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2BE4651">
      <w:pPr>
        <w:pStyle w:val="2"/>
        <w:rPr>
          <w:rFonts w:ascii="宋体" w:hAnsi="宋体"/>
        </w:rPr>
      </w:pPr>
      <w:r>
        <w:rPr>
          <w:rFonts w:hint="eastAsia" w:ascii="宋体" w:hAnsi="宋体"/>
        </w:rPr>
        <w:t>南雄市志</w:t>
      </w: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4DD1E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E5078E3">
            <w:pPr>
              <w:ind w:firstLine="0" w:firstLineChars="0"/>
              <w:jc w:val="center"/>
              <w:rPr>
                <w:rFonts w:ascii="宋体" w:hAnsi="宋体"/>
              </w:rPr>
            </w:pPr>
            <w:r>
              <w:rPr>
                <w:rFonts w:ascii="宋体" w:hAnsi="宋体"/>
              </w:rPr>
              <w:drawing>
                <wp:inline distT="0" distB="0" distL="114300" distR="114300">
                  <wp:extent cx="5354955" cy="7680960"/>
                  <wp:effectExtent l="0" t="0" r="17145" b="15240"/>
                  <wp:docPr id="47" name="图片 1" descr="南雄市志 封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descr="南雄市志 封面"/>
                          <pic:cNvPicPr>
                            <a:picLocks noChangeAspect="1"/>
                          </pic:cNvPicPr>
                        </pic:nvPicPr>
                        <pic:blipFill>
                          <a:blip r:embed="rId12"/>
                          <a:stretch>
                            <a:fillRect/>
                          </a:stretch>
                        </pic:blipFill>
                        <pic:spPr>
                          <a:xfrm>
                            <a:off x="0" y="0"/>
                            <a:ext cx="5354955" cy="7680960"/>
                          </a:xfrm>
                          <a:prstGeom prst="rect">
                            <a:avLst/>
                          </a:prstGeom>
                          <a:noFill/>
                          <a:ln>
                            <a:noFill/>
                          </a:ln>
                        </pic:spPr>
                      </pic:pic>
                    </a:graphicData>
                  </a:graphic>
                </wp:inline>
              </w:drawing>
            </w:r>
          </w:p>
        </w:tc>
      </w:tr>
    </w:tbl>
    <w:p w14:paraId="1AC5BFBC">
      <w:pPr>
        <w:pStyle w:val="2"/>
        <w:rPr>
          <w:rFonts w:ascii="宋体" w:hAnsi="宋体"/>
        </w:rPr>
      </w:pPr>
      <w:r>
        <w:rPr>
          <w:rFonts w:hint="eastAsia" w:ascii="宋体" w:hAnsi="宋体"/>
        </w:rPr>
        <w:t>南雄市在广东省位置示意图</w:t>
      </w: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FC09A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F4C327B">
            <w:pPr>
              <w:ind w:firstLine="0" w:firstLineChars="0"/>
              <w:jc w:val="center"/>
              <w:rPr>
                <w:rFonts w:ascii="宋体" w:hAnsi="宋体"/>
              </w:rPr>
            </w:pPr>
            <w:r>
              <w:rPr>
                <w:rFonts w:ascii="宋体" w:hAnsi="宋体"/>
              </w:rPr>
              <w:drawing>
                <wp:inline distT="0" distB="0" distL="114300" distR="114300">
                  <wp:extent cx="6188710" cy="4316095"/>
                  <wp:effectExtent l="0" t="0" r="2540" b="8255"/>
                  <wp:docPr id="44" name="图片 2" descr="南雄市志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descr="南雄市志_0003"/>
                          <pic:cNvPicPr>
                            <a:picLocks noChangeAspect="1"/>
                          </pic:cNvPicPr>
                        </pic:nvPicPr>
                        <pic:blipFill>
                          <a:blip r:embed="rId13"/>
                          <a:stretch>
                            <a:fillRect/>
                          </a:stretch>
                        </pic:blipFill>
                        <pic:spPr>
                          <a:xfrm>
                            <a:off x="0" y="0"/>
                            <a:ext cx="6188710" cy="4316095"/>
                          </a:xfrm>
                          <a:prstGeom prst="rect">
                            <a:avLst/>
                          </a:prstGeom>
                          <a:noFill/>
                          <a:ln>
                            <a:noFill/>
                          </a:ln>
                        </pic:spPr>
                      </pic:pic>
                    </a:graphicData>
                  </a:graphic>
                </wp:inline>
              </w:drawing>
            </w:r>
          </w:p>
        </w:tc>
      </w:tr>
    </w:tbl>
    <w:p w14:paraId="4E70D4E4">
      <w:pPr>
        <w:pStyle w:val="2"/>
        <w:rPr>
          <w:rFonts w:ascii="宋体" w:hAnsi="宋体"/>
        </w:rPr>
      </w:pPr>
      <w:r>
        <w:rPr>
          <w:rFonts w:hint="eastAsia" w:ascii="宋体" w:hAnsi="宋体"/>
        </w:rPr>
        <w:t>南雄市行政区划图</w:t>
      </w: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362D6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4594177">
            <w:pPr>
              <w:ind w:firstLine="0" w:firstLineChars="0"/>
              <w:jc w:val="center"/>
              <w:rPr>
                <w:rFonts w:ascii="宋体" w:hAnsi="宋体"/>
              </w:rPr>
            </w:pPr>
            <w:r>
              <w:rPr>
                <w:rFonts w:ascii="宋体" w:hAnsi="宋体"/>
              </w:rPr>
              <w:drawing>
                <wp:inline distT="0" distB="0" distL="114300" distR="114300">
                  <wp:extent cx="6188710" cy="4316095"/>
                  <wp:effectExtent l="0" t="0" r="2540" b="8255"/>
                  <wp:docPr id="58" name="图片 3" descr="南雄市志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 descr="南雄市志_0004"/>
                          <pic:cNvPicPr>
                            <a:picLocks noChangeAspect="1"/>
                          </pic:cNvPicPr>
                        </pic:nvPicPr>
                        <pic:blipFill>
                          <a:blip r:embed="rId14"/>
                          <a:stretch>
                            <a:fillRect/>
                          </a:stretch>
                        </pic:blipFill>
                        <pic:spPr>
                          <a:xfrm>
                            <a:off x="0" y="0"/>
                            <a:ext cx="6188710" cy="4316095"/>
                          </a:xfrm>
                          <a:prstGeom prst="rect">
                            <a:avLst/>
                          </a:prstGeom>
                          <a:noFill/>
                          <a:ln>
                            <a:noFill/>
                          </a:ln>
                        </pic:spPr>
                      </pic:pic>
                    </a:graphicData>
                  </a:graphic>
                </wp:inline>
              </w:drawing>
            </w:r>
          </w:p>
        </w:tc>
      </w:tr>
    </w:tbl>
    <w:p w14:paraId="2B183E8B">
      <w:pPr>
        <w:pStyle w:val="2"/>
        <w:rPr>
          <w:rFonts w:ascii="宋体" w:hAnsi="宋体"/>
        </w:rPr>
      </w:pPr>
      <w:r>
        <w:rPr>
          <w:rFonts w:hint="eastAsia" w:ascii="宋体" w:hAnsi="宋体"/>
        </w:rPr>
        <w:t>南雄市城区图</w:t>
      </w: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BCD75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00E45B4">
            <w:pPr>
              <w:ind w:firstLine="0" w:firstLineChars="0"/>
              <w:jc w:val="center"/>
              <w:rPr>
                <w:rFonts w:ascii="宋体" w:hAnsi="宋体"/>
              </w:rPr>
            </w:pPr>
            <w:r>
              <w:rPr>
                <w:rFonts w:ascii="宋体" w:hAnsi="宋体"/>
              </w:rPr>
              <w:drawing>
                <wp:inline distT="0" distB="0" distL="114300" distR="114300">
                  <wp:extent cx="6188710" cy="4316095"/>
                  <wp:effectExtent l="0" t="0" r="2540" b="8255"/>
                  <wp:docPr id="59" name="图片 4" descr="南雄市志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 descr="南雄市志_0005"/>
                          <pic:cNvPicPr>
                            <a:picLocks noChangeAspect="1"/>
                          </pic:cNvPicPr>
                        </pic:nvPicPr>
                        <pic:blipFill>
                          <a:blip r:embed="rId15"/>
                          <a:stretch>
                            <a:fillRect/>
                          </a:stretch>
                        </pic:blipFill>
                        <pic:spPr>
                          <a:xfrm>
                            <a:off x="0" y="0"/>
                            <a:ext cx="6188710" cy="4316095"/>
                          </a:xfrm>
                          <a:prstGeom prst="rect">
                            <a:avLst/>
                          </a:prstGeom>
                          <a:noFill/>
                          <a:ln>
                            <a:noFill/>
                          </a:ln>
                        </pic:spPr>
                      </pic:pic>
                    </a:graphicData>
                  </a:graphic>
                </wp:inline>
              </w:drawing>
            </w:r>
          </w:p>
        </w:tc>
      </w:tr>
    </w:tbl>
    <w:p w14:paraId="04E6591D">
      <w:pPr>
        <w:pStyle w:val="2"/>
        <w:rPr>
          <w:rFonts w:ascii="宋体" w:hAnsi="宋体"/>
        </w:rPr>
      </w:pPr>
      <w:r>
        <w:rPr>
          <w:rFonts w:hint="eastAsia" w:ascii="宋体" w:hAnsi="宋体"/>
        </w:rPr>
        <w:t>南雄市地势图</w:t>
      </w: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DF5E3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E846C7C">
            <w:pPr>
              <w:ind w:firstLine="0" w:firstLineChars="0"/>
              <w:jc w:val="center"/>
              <w:rPr>
                <w:rFonts w:ascii="宋体" w:hAnsi="宋体"/>
              </w:rPr>
            </w:pPr>
            <w:r>
              <w:rPr>
                <w:rFonts w:ascii="宋体" w:hAnsi="宋体"/>
              </w:rPr>
              <w:drawing>
                <wp:inline distT="0" distB="0" distL="114300" distR="114300">
                  <wp:extent cx="6188710" cy="4316095"/>
                  <wp:effectExtent l="0" t="0" r="2540" b="8255"/>
                  <wp:docPr id="42" name="图片 5" descr="南雄市志_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5" descr="南雄市志_0006"/>
                          <pic:cNvPicPr>
                            <a:picLocks noChangeAspect="1"/>
                          </pic:cNvPicPr>
                        </pic:nvPicPr>
                        <pic:blipFill>
                          <a:blip r:embed="rId16"/>
                          <a:stretch>
                            <a:fillRect/>
                          </a:stretch>
                        </pic:blipFill>
                        <pic:spPr>
                          <a:xfrm>
                            <a:off x="0" y="0"/>
                            <a:ext cx="6188710" cy="4316095"/>
                          </a:xfrm>
                          <a:prstGeom prst="rect">
                            <a:avLst/>
                          </a:prstGeom>
                          <a:noFill/>
                          <a:ln>
                            <a:noFill/>
                          </a:ln>
                        </pic:spPr>
                      </pic:pic>
                    </a:graphicData>
                  </a:graphic>
                </wp:inline>
              </w:drawing>
            </w:r>
          </w:p>
        </w:tc>
      </w:tr>
    </w:tbl>
    <w:p w14:paraId="04AFE6F1">
      <w:pPr>
        <w:pStyle w:val="2"/>
        <w:rPr>
          <w:rFonts w:ascii="宋体" w:hAnsi="宋体"/>
        </w:rPr>
      </w:pPr>
      <w:r>
        <w:rPr>
          <w:rFonts w:hint="eastAsia" w:ascii="宋体" w:hAnsi="宋体"/>
        </w:rPr>
        <w:t>南雄市交通图</w:t>
      </w: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1C852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C21DF00">
            <w:pPr>
              <w:ind w:firstLine="0" w:firstLineChars="0"/>
              <w:jc w:val="center"/>
              <w:rPr>
                <w:rFonts w:ascii="宋体" w:hAnsi="宋体"/>
              </w:rPr>
            </w:pPr>
            <w:r>
              <w:rPr>
                <w:rFonts w:ascii="宋体" w:hAnsi="宋体"/>
              </w:rPr>
              <w:drawing>
                <wp:inline distT="0" distB="0" distL="114300" distR="114300">
                  <wp:extent cx="6188710" cy="4316095"/>
                  <wp:effectExtent l="0" t="0" r="2540" b="8255"/>
                  <wp:docPr id="50" name="图片 6" descr="南雄市志_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6" descr="南雄市志_0007"/>
                          <pic:cNvPicPr>
                            <a:picLocks noChangeAspect="1"/>
                          </pic:cNvPicPr>
                        </pic:nvPicPr>
                        <pic:blipFill>
                          <a:blip r:embed="rId17"/>
                          <a:stretch>
                            <a:fillRect/>
                          </a:stretch>
                        </pic:blipFill>
                        <pic:spPr>
                          <a:xfrm>
                            <a:off x="0" y="0"/>
                            <a:ext cx="6188710" cy="4316095"/>
                          </a:xfrm>
                          <a:prstGeom prst="rect">
                            <a:avLst/>
                          </a:prstGeom>
                          <a:noFill/>
                          <a:ln>
                            <a:noFill/>
                          </a:ln>
                        </pic:spPr>
                      </pic:pic>
                    </a:graphicData>
                  </a:graphic>
                </wp:inline>
              </w:drawing>
            </w:r>
          </w:p>
        </w:tc>
      </w:tr>
    </w:tbl>
    <w:p w14:paraId="1D070BBC">
      <w:pPr>
        <w:pStyle w:val="2"/>
        <w:rPr>
          <w:rFonts w:ascii="宋体" w:hAnsi="宋体"/>
        </w:rPr>
      </w:pPr>
      <w:r>
        <w:rPr>
          <w:rFonts w:hint="eastAsia" w:ascii="宋体" w:hAnsi="宋体"/>
        </w:rPr>
        <w:t>图片专辑</w:t>
      </w:r>
    </w:p>
    <w:p w14:paraId="16451852">
      <w:pPr>
        <w:pStyle w:val="3"/>
        <w:rPr>
          <w:rFonts w:ascii="宋体" w:hAnsi="宋体"/>
        </w:rPr>
      </w:pPr>
      <w:r>
        <w:rPr>
          <w:rFonts w:hint="eastAsia" w:ascii="宋体" w:hAnsi="宋体"/>
        </w:rPr>
        <w:t>基础设施</w:t>
      </w: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81DCD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55BF95B3">
            <w:pPr>
              <w:ind w:firstLine="0" w:firstLineChars="0"/>
              <w:jc w:val="center"/>
              <w:rPr>
                <w:rFonts w:ascii="宋体" w:hAnsi="宋体"/>
                <w:szCs w:val="21"/>
              </w:rPr>
            </w:pPr>
            <w:r>
              <w:rPr>
                <w:rFonts w:ascii="宋体" w:hAnsi="宋体"/>
                <w:szCs w:val="21"/>
              </w:rPr>
              <w:drawing>
                <wp:inline distT="0" distB="0" distL="114300" distR="114300">
                  <wp:extent cx="6181090" cy="3818255"/>
                  <wp:effectExtent l="0" t="0" r="10160" b="10795"/>
                  <wp:docPr id="54" name="图片 7" descr="南雄市志_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7" descr="南雄市志_0006"/>
                          <pic:cNvPicPr>
                            <a:picLocks noChangeAspect="1"/>
                          </pic:cNvPicPr>
                        </pic:nvPicPr>
                        <pic:blipFill>
                          <a:blip r:embed="rId18"/>
                          <a:stretch>
                            <a:fillRect/>
                          </a:stretch>
                        </pic:blipFill>
                        <pic:spPr>
                          <a:xfrm>
                            <a:off x="0" y="0"/>
                            <a:ext cx="6181090" cy="3818255"/>
                          </a:xfrm>
                          <a:prstGeom prst="rect">
                            <a:avLst/>
                          </a:prstGeom>
                          <a:noFill/>
                          <a:ln>
                            <a:noFill/>
                          </a:ln>
                        </pic:spPr>
                      </pic:pic>
                    </a:graphicData>
                  </a:graphic>
                </wp:inline>
              </w:drawing>
            </w:r>
          </w:p>
        </w:tc>
      </w:tr>
      <w:tr w14:paraId="2F7C1F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78B60D8F">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市委办公楼</w:t>
            </w:r>
          </w:p>
        </w:tc>
      </w:tr>
    </w:tbl>
    <w:p w14:paraId="070D4E81">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8F7B1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978C1CF">
            <w:pPr>
              <w:ind w:firstLine="0" w:firstLineChars="0"/>
              <w:jc w:val="center"/>
              <w:rPr>
                <w:rFonts w:ascii="宋体" w:hAnsi="宋体"/>
                <w:szCs w:val="21"/>
              </w:rPr>
            </w:pPr>
            <w:r>
              <w:rPr>
                <w:rFonts w:ascii="宋体" w:hAnsi="宋体"/>
                <w:szCs w:val="21"/>
              </w:rPr>
              <w:drawing>
                <wp:inline distT="0" distB="0" distL="114300" distR="114300">
                  <wp:extent cx="6188710" cy="3694430"/>
                  <wp:effectExtent l="0" t="0" r="2540" b="1270"/>
                  <wp:docPr id="46" name="图片 8" descr="南雄市志_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8" descr="南雄市志_0007"/>
                          <pic:cNvPicPr>
                            <a:picLocks noChangeAspect="1"/>
                          </pic:cNvPicPr>
                        </pic:nvPicPr>
                        <pic:blipFill>
                          <a:blip r:embed="rId19"/>
                          <a:stretch>
                            <a:fillRect/>
                          </a:stretch>
                        </pic:blipFill>
                        <pic:spPr>
                          <a:xfrm>
                            <a:off x="0" y="0"/>
                            <a:ext cx="6188710" cy="3694430"/>
                          </a:xfrm>
                          <a:prstGeom prst="rect">
                            <a:avLst/>
                          </a:prstGeom>
                          <a:noFill/>
                          <a:ln>
                            <a:noFill/>
                          </a:ln>
                        </pic:spPr>
                      </pic:pic>
                    </a:graphicData>
                  </a:graphic>
                </wp:inline>
              </w:drawing>
            </w:r>
          </w:p>
        </w:tc>
      </w:tr>
      <w:tr w14:paraId="7403BC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506500C2">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市人大、政协办公楼</w:t>
            </w:r>
          </w:p>
        </w:tc>
      </w:tr>
    </w:tbl>
    <w:p w14:paraId="16EB76FE">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28D31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EB5DAD0">
            <w:pPr>
              <w:ind w:firstLine="0" w:firstLineChars="0"/>
              <w:jc w:val="center"/>
              <w:rPr>
                <w:rFonts w:ascii="宋体" w:hAnsi="宋体"/>
                <w:szCs w:val="21"/>
              </w:rPr>
            </w:pPr>
            <w:r>
              <w:rPr>
                <w:rFonts w:ascii="宋体" w:hAnsi="宋体"/>
                <w:szCs w:val="21"/>
              </w:rPr>
              <w:drawing>
                <wp:inline distT="0" distB="0" distL="114300" distR="114300">
                  <wp:extent cx="6174105" cy="3101340"/>
                  <wp:effectExtent l="0" t="0" r="17145" b="3810"/>
                  <wp:docPr id="48" name="图片 9" descr="南雄市志_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9" descr="南雄市志_0008"/>
                          <pic:cNvPicPr>
                            <a:picLocks noChangeAspect="1"/>
                          </pic:cNvPicPr>
                        </pic:nvPicPr>
                        <pic:blipFill>
                          <a:blip r:embed="rId20"/>
                          <a:stretch>
                            <a:fillRect/>
                          </a:stretch>
                        </pic:blipFill>
                        <pic:spPr>
                          <a:xfrm>
                            <a:off x="0" y="0"/>
                            <a:ext cx="6174105" cy="3101340"/>
                          </a:xfrm>
                          <a:prstGeom prst="rect">
                            <a:avLst/>
                          </a:prstGeom>
                          <a:noFill/>
                          <a:ln>
                            <a:noFill/>
                          </a:ln>
                        </pic:spPr>
                      </pic:pic>
                    </a:graphicData>
                  </a:graphic>
                </wp:inline>
              </w:drawing>
            </w:r>
          </w:p>
        </w:tc>
      </w:tr>
      <w:tr w14:paraId="3179E8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00530EE0">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市政府办公楼</w:t>
            </w:r>
          </w:p>
        </w:tc>
      </w:tr>
    </w:tbl>
    <w:p w14:paraId="309E6117">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89D97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EC8BA21">
            <w:pPr>
              <w:ind w:firstLine="0" w:firstLineChars="0"/>
              <w:jc w:val="center"/>
              <w:rPr>
                <w:rFonts w:ascii="宋体" w:hAnsi="宋体"/>
                <w:szCs w:val="21"/>
              </w:rPr>
            </w:pPr>
            <w:r>
              <w:rPr>
                <w:rFonts w:ascii="宋体" w:hAnsi="宋体"/>
                <w:szCs w:val="21"/>
              </w:rPr>
              <w:drawing>
                <wp:inline distT="0" distB="0" distL="114300" distR="114300">
                  <wp:extent cx="6181090" cy="2128520"/>
                  <wp:effectExtent l="0" t="0" r="10160" b="5080"/>
                  <wp:docPr id="49" name="图片 10" descr="南雄市志_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0" descr="南雄市志_0009"/>
                          <pic:cNvPicPr>
                            <a:picLocks noChangeAspect="1"/>
                          </pic:cNvPicPr>
                        </pic:nvPicPr>
                        <pic:blipFill>
                          <a:blip r:embed="rId21"/>
                          <a:stretch>
                            <a:fillRect/>
                          </a:stretch>
                        </pic:blipFill>
                        <pic:spPr>
                          <a:xfrm>
                            <a:off x="0" y="0"/>
                            <a:ext cx="6181090" cy="2128520"/>
                          </a:xfrm>
                          <a:prstGeom prst="rect">
                            <a:avLst/>
                          </a:prstGeom>
                          <a:noFill/>
                          <a:ln>
                            <a:noFill/>
                          </a:ln>
                        </pic:spPr>
                      </pic:pic>
                    </a:graphicData>
                  </a:graphic>
                </wp:inline>
              </w:drawing>
            </w:r>
          </w:p>
        </w:tc>
      </w:tr>
      <w:tr w14:paraId="533EA2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5DB61117">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三影塔广场</w:t>
            </w:r>
          </w:p>
        </w:tc>
      </w:tr>
    </w:tbl>
    <w:p w14:paraId="7FF8E40B">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3C06F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DDB3EB5">
            <w:pPr>
              <w:ind w:firstLine="0" w:firstLineChars="0"/>
              <w:jc w:val="center"/>
              <w:rPr>
                <w:rFonts w:ascii="宋体" w:hAnsi="宋体"/>
                <w:szCs w:val="21"/>
              </w:rPr>
            </w:pPr>
            <w:r>
              <w:rPr>
                <w:rFonts w:ascii="宋体" w:hAnsi="宋体"/>
                <w:szCs w:val="21"/>
              </w:rPr>
              <w:drawing>
                <wp:inline distT="0" distB="0" distL="114300" distR="114300">
                  <wp:extent cx="6188710" cy="3723640"/>
                  <wp:effectExtent l="0" t="0" r="2540" b="10160"/>
                  <wp:docPr id="57" name="图片 11" descr="南雄市志_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1" descr="南雄市志_0010"/>
                          <pic:cNvPicPr>
                            <a:picLocks noChangeAspect="1"/>
                          </pic:cNvPicPr>
                        </pic:nvPicPr>
                        <pic:blipFill>
                          <a:blip r:embed="rId22"/>
                          <a:stretch>
                            <a:fillRect/>
                          </a:stretch>
                        </pic:blipFill>
                        <pic:spPr>
                          <a:xfrm>
                            <a:off x="0" y="0"/>
                            <a:ext cx="6188710" cy="3723640"/>
                          </a:xfrm>
                          <a:prstGeom prst="rect">
                            <a:avLst/>
                          </a:prstGeom>
                          <a:noFill/>
                          <a:ln>
                            <a:noFill/>
                          </a:ln>
                        </pic:spPr>
                      </pic:pic>
                    </a:graphicData>
                  </a:graphic>
                </wp:inline>
              </w:drawing>
            </w:r>
          </w:p>
        </w:tc>
      </w:tr>
      <w:tr w14:paraId="003D0B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2F9C1D16">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仿古建筑</w:t>
            </w:r>
          </w:p>
        </w:tc>
      </w:tr>
    </w:tbl>
    <w:p w14:paraId="66C37DD8">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F6E46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B8EA53B">
            <w:pPr>
              <w:ind w:firstLine="0" w:firstLineChars="0"/>
              <w:jc w:val="center"/>
              <w:rPr>
                <w:rFonts w:ascii="宋体" w:hAnsi="宋体"/>
                <w:szCs w:val="21"/>
              </w:rPr>
            </w:pPr>
            <w:r>
              <w:rPr>
                <w:rFonts w:ascii="宋体" w:hAnsi="宋体"/>
                <w:szCs w:val="21"/>
              </w:rPr>
              <w:drawing>
                <wp:inline distT="0" distB="0" distL="114300" distR="114300">
                  <wp:extent cx="6181090" cy="3672205"/>
                  <wp:effectExtent l="0" t="0" r="10160" b="4445"/>
                  <wp:docPr id="51" name="图片 12" descr="南雄市志_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2" descr="南雄市志_0011"/>
                          <pic:cNvPicPr>
                            <a:picLocks noChangeAspect="1"/>
                          </pic:cNvPicPr>
                        </pic:nvPicPr>
                        <pic:blipFill>
                          <a:blip r:embed="rId23"/>
                          <a:stretch>
                            <a:fillRect/>
                          </a:stretch>
                        </pic:blipFill>
                        <pic:spPr>
                          <a:xfrm>
                            <a:off x="0" y="0"/>
                            <a:ext cx="6181090" cy="3672205"/>
                          </a:xfrm>
                          <a:prstGeom prst="rect">
                            <a:avLst/>
                          </a:prstGeom>
                          <a:noFill/>
                          <a:ln>
                            <a:noFill/>
                          </a:ln>
                        </pic:spPr>
                      </pic:pic>
                    </a:graphicData>
                  </a:graphic>
                </wp:inline>
              </w:drawing>
            </w:r>
          </w:p>
        </w:tc>
      </w:tr>
      <w:tr w14:paraId="58B233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15D39FF1">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青云路</w:t>
            </w:r>
          </w:p>
        </w:tc>
      </w:tr>
    </w:tbl>
    <w:p w14:paraId="58EAC427">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8F59E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F2A2723">
            <w:pPr>
              <w:ind w:firstLine="0" w:firstLineChars="0"/>
              <w:jc w:val="center"/>
              <w:rPr>
                <w:rFonts w:ascii="宋体" w:hAnsi="宋体"/>
                <w:szCs w:val="21"/>
              </w:rPr>
            </w:pPr>
            <w:r>
              <w:rPr>
                <w:rFonts w:ascii="宋体" w:hAnsi="宋体"/>
                <w:szCs w:val="21"/>
              </w:rPr>
              <w:drawing>
                <wp:inline distT="0" distB="0" distL="114300" distR="114300">
                  <wp:extent cx="6181090" cy="4133215"/>
                  <wp:effectExtent l="0" t="0" r="10160" b="635"/>
                  <wp:docPr id="53" name="图片 13" descr="南雄市志_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3" descr="南雄市志_0012"/>
                          <pic:cNvPicPr>
                            <a:picLocks noChangeAspect="1"/>
                          </pic:cNvPicPr>
                        </pic:nvPicPr>
                        <pic:blipFill>
                          <a:blip r:embed="rId24"/>
                          <a:stretch>
                            <a:fillRect/>
                          </a:stretch>
                        </pic:blipFill>
                        <pic:spPr>
                          <a:xfrm>
                            <a:off x="0" y="0"/>
                            <a:ext cx="6181090" cy="4133215"/>
                          </a:xfrm>
                          <a:prstGeom prst="rect">
                            <a:avLst/>
                          </a:prstGeom>
                          <a:noFill/>
                          <a:ln>
                            <a:noFill/>
                          </a:ln>
                        </pic:spPr>
                      </pic:pic>
                    </a:graphicData>
                  </a:graphic>
                </wp:inline>
              </w:drawing>
            </w:r>
          </w:p>
        </w:tc>
      </w:tr>
      <w:tr w14:paraId="2EFB85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7BB4FAED">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雄州大道</w:t>
            </w:r>
          </w:p>
        </w:tc>
      </w:tr>
    </w:tbl>
    <w:p w14:paraId="4672BCBD">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20043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09C3BC0">
            <w:pPr>
              <w:ind w:firstLine="0" w:firstLineChars="0"/>
              <w:jc w:val="center"/>
              <w:rPr>
                <w:rFonts w:ascii="宋体" w:hAnsi="宋体"/>
                <w:szCs w:val="21"/>
              </w:rPr>
            </w:pPr>
            <w:r>
              <w:rPr>
                <w:rFonts w:ascii="宋体" w:hAnsi="宋体"/>
                <w:szCs w:val="21"/>
              </w:rPr>
              <w:drawing>
                <wp:inline distT="0" distB="0" distL="114300" distR="114300">
                  <wp:extent cx="6181090" cy="4754880"/>
                  <wp:effectExtent l="0" t="0" r="10160" b="7620"/>
                  <wp:docPr id="52" name="图片 14" descr="南雄市志_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4" descr="南雄市志_0013"/>
                          <pic:cNvPicPr>
                            <a:picLocks noChangeAspect="1"/>
                          </pic:cNvPicPr>
                        </pic:nvPicPr>
                        <pic:blipFill>
                          <a:blip r:embed="rId25"/>
                          <a:stretch>
                            <a:fillRect/>
                          </a:stretch>
                        </pic:blipFill>
                        <pic:spPr>
                          <a:xfrm>
                            <a:off x="0" y="0"/>
                            <a:ext cx="6181090" cy="4754880"/>
                          </a:xfrm>
                          <a:prstGeom prst="rect">
                            <a:avLst/>
                          </a:prstGeom>
                          <a:noFill/>
                          <a:ln>
                            <a:noFill/>
                          </a:ln>
                        </pic:spPr>
                      </pic:pic>
                    </a:graphicData>
                  </a:graphic>
                </wp:inline>
              </w:drawing>
            </w:r>
          </w:p>
        </w:tc>
      </w:tr>
      <w:tr w14:paraId="793430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44B13270">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市区河堤</w:t>
            </w:r>
          </w:p>
        </w:tc>
      </w:tr>
    </w:tbl>
    <w:p w14:paraId="44F01032">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39B11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ADE7682">
            <w:pPr>
              <w:ind w:firstLine="0" w:firstLineChars="0"/>
              <w:jc w:val="center"/>
              <w:rPr>
                <w:rFonts w:ascii="宋体" w:hAnsi="宋体"/>
                <w:szCs w:val="21"/>
              </w:rPr>
            </w:pPr>
            <w:r>
              <w:rPr>
                <w:rFonts w:ascii="宋体" w:hAnsi="宋体"/>
                <w:szCs w:val="21"/>
              </w:rPr>
              <w:drawing>
                <wp:inline distT="0" distB="0" distL="114300" distR="114300">
                  <wp:extent cx="5800725" cy="8112760"/>
                  <wp:effectExtent l="0" t="0" r="9525" b="2540"/>
                  <wp:docPr id="55" name="图片 15" descr="南雄市志_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5" descr="南雄市志_0014"/>
                          <pic:cNvPicPr>
                            <a:picLocks noChangeAspect="1"/>
                          </pic:cNvPicPr>
                        </pic:nvPicPr>
                        <pic:blipFill>
                          <a:blip r:embed="rId26"/>
                          <a:stretch>
                            <a:fillRect/>
                          </a:stretch>
                        </pic:blipFill>
                        <pic:spPr>
                          <a:xfrm>
                            <a:off x="0" y="0"/>
                            <a:ext cx="5800725" cy="8112760"/>
                          </a:xfrm>
                          <a:prstGeom prst="rect">
                            <a:avLst/>
                          </a:prstGeom>
                          <a:noFill/>
                          <a:ln>
                            <a:noFill/>
                          </a:ln>
                        </pic:spPr>
                      </pic:pic>
                    </a:graphicData>
                  </a:graphic>
                </wp:inline>
              </w:drawing>
            </w:r>
          </w:p>
        </w:tc>
      </w:tr>
      <w:tr w14:paraId="59BE26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45D2CC02">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市国税局办公大楼</w:t>
            </w:r>
          </w:p>
        </w:tc>
      </w:tr>
    </w:tbl>
    <w:p w14:paraId="2A3F41D0">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FCC60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67AF9979">
            <w:pPr>
              <w:ind w:firstLine="0" w:firstLineChars="0"/>
              <w:jc w:val="center"/>
              <w:rPr>
                <w:rFonts w:ascii="宋体" w:hAnsi="宋体"/>
                <w:szCs w:val="21"/>
              </w:rPr>
            </w:pPr>
            <w:r>
              <w:rPr>
                <w:rFonts w:ascii="宋体" w:hAnsi="宋体"/>
                <w:szCs w:val="21"/>
              </w:rPr>
              <w:drawing>
                <wp:inline distT="0" distB="0" distL="114300" distR="114300">
                  <wp:extent cx="6181090" cy="5376545"/>
                  <wp:effectExtent l="0" t="0" r="10160" b="14605"/>
                  <wp:docPr id="56" name="图片 16" descr="南雄市志_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6" descr="南雄市志_0015"/>
                          <pic:cNvPicPr>
                            <a:picLocks noChangeAspect="1"/>
                          </pic:cNvPicPr>
                        </pic:nvPicPr>
                        <pic:blipFill>
                          <a:blip r:embed="rId27"/>
                          <a:stretch>
                            <a:fillRect/>
                          </a:stretch>
                        </pic:blipFill>
                        <pic:spPr>
                          <a:xfrm>
                            <a:off x="0" y="0"/>
                            <a:ext cx="6181090" cy="5376545"/>
                          </a:xfrm>
                          <a:prstGeom prst="rect">
                            <a:avLst/>
                          </a:prstGeom>
                          <a:noFill/>
                          <a:ln>
                            <a:noFill/>
                          </a:ln>
                        </pic:spPr>
                      </pic:pic>
                    </a:graphicData>
                  </a:graphic>
                </wp:inline>
              </w:drawing>
            </w:r>
          </w:p>
        </w:tc>
      </w:tr>
      <w:tr w14:paraId="49E620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717E06F1">
            <w:pPr>
              <w:ind w:firstLine="420"/>
              <w:jc w:val="left"/>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市行政服务中心</w:t>
            </w:r>
          </w:p>
        </w:tc>
      </w:tr>
    </w:tbl>
    <w:p w14:paraId="38F453A0">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20E63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446D5DE">
            <w:pPr>
              <w:ind w:firstLine="0" w:firstLineChars="0"/>
              <w:jc w:val="center"/>
              <w:rPr>
                <w:rFonts w:ascii="宋体" w:hAnsi="宋体"/>
                <w:szCs w:val="21"/>
              </w:rPr>
            </w:pPr>
            <w:r>
              <w:rPr>
                <w:rFonts w:ascii="宋体" w:hAnsi="宋体"/>
                <w:szCs w:val="21"/>
              </w:rPr>
              <w:drawing>
                <wp:inline distT="0" distB="0" distL="114300" distR="114300">
                  <wp:extent cx="6188710" cy="3957320"/>
                  <wp:effectExtent l="0" t="0" r="2540" b="5080"/>
                  <wp:docPr id="43" name="图片 17" descr="南雄市志_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7" descr="南雄市志_0016"/>
                          <pic:cNvPicPr>
                            <a:picLocks noChangeAspect="1"/>
                          </pic:cNvPicPr>
                        </pic:nvPicPr>
                        <pic:blipFill>
                          <a:blip r:embed="rId28"/>
                          <a:stretch>
                            <a:fillRect/>
                          </a:stretch>
                        </pic:blipFill>
                        <pic:spPr>
                          <a:xfrm>
                            <a:off x="0" y="0"/>
                            <a:ext cx="6188710" cy="3957320"/>
                          </a:xfrm>
                          <a:prstGeom prst="rect">
                            <a:avLst/>
                          </a:prstGeom>
                          <a:noFill/>
                          <a:ln>
                            <a:noFill/>
                          </a:ln>
                        </pic:spPr>
                      </pic:pic>
                    </a:graphicData>
                  </a:graphic>
                </wp:inline>
              </w:drawing>
            </w:r>
          </w:p>
        </w:tc>
      </w:tr>
      <w:tr w14:paraId="358FB8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12E3BDA3">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市地税局办公大楼</w:t>
            </w:r>
          </w:p>
        </w:tc>
      </w:tr>
    </w:tbl>
    <w:p w14:paraId="2DD74841">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E5535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A034FEE">
            <w:pPr>
              <w:ind w:firstLine="0" w:firstLineChars="0"/>
              <w:jc w:val="center"/>
              <w:rPr>
                <w:rFonts w:ascii="宋体" w:hAnsi="宋体"/>
                <w:szCs w:val="21"/>
              </w:rPr>
            </w:pPr>
            <w:r>
              <w:rPr>
                <w:rFonts w:ascii="宋体" w:hAnsi="宋体"/>
                <w:szCs w:val="21"/>
              </w:rPr>
              <w:drawing>
                <wp:inline distT="0" distB="0" distL="114300" distR="114300">
                  <wp:extent cx="6181090" cy="5186680"/>
                  <wp:effectExtent l="0" t="0" r="10160" b="13970"/>
                  <wp:docPr id="45" name="图片 18" descr="南雄市志_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8" descr="南雄市志_0017"/>
                          <pic:cNvPicPr>
                            <a:picLocks noChangeAspect="1"/>
                          </pic:cNvPicPr>
                        </pic:nvPicPr>
                        <pic:blipFill>
                          <a:blip r:embed="rId29"/>
                          <a:stretch>
                            <a:fillRect/>
                          </a:stretch>
                        </pic:blipFill>
                        <pic:spPr>
                          <a:xfrm>
                            <a:off x="0" y="0"/>
                            <a:ext cx="6181090" cy="5186680"/>
                          </a:xfrm>
                          <a:prstGeom prst="rect">
                            <a:avLst/>
                          </a:prstGeom>
                          <a:noFill/>
                          <a:ln>
                            <a:noFill/>
                          </a:ln>
                        </pic:spPr>
                      </pic:pic>
                    </a:graphicData>
                  </a:graphic>
                </wp:inline>
              </w:drawing>
            </w:r>
          </w:p>
        </w:tc>
      </w:tr>
      <w:tr w14:paraId="2411A5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vAlign w:val="center"/>
          </w:tcPr>
          <w:p w14:paraId="7AA62D96">
            <w:pPr>
              <w:ind w:firstLine="420"/>
              <w:jc w:val="left"/>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市公安局“110”指挥中心</w:t>
            </w:r>
          </w:p>
        </w:tc>
      </w:tr>
    </w:tbl>
    <w:p w14:paraId="78948282">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CE234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48168DC">
            <w:pPr>
              <w:ind w:firstLine="0" w:firstLineChars="0"/>
              <w:jc w:val="center"/>
              <w:rPr>
                <w:rFonts w:ascii="宋体" w:hAnsi="宋体"/>
                <w:szCs w:val="21"/>
              </w:rPr>
            </w:pPr>
            <w:r>
              <w:rPr>
                <w:rFonts w:ascii="宋体" w:hAnsi="宋体"/>
                <w:szCs w:val="21"/>
              </w:rPr>
              <w:drawing>
                <wp:inline distT="0" distB="0" distL="114300" distR="114300">
                  <wp:extent cx="6181090" cy="4725670"/>
                  <wp:effectExtent l="0" t="0" r="10160" b="17780"/>
                  <wp:docPr id="60" name="图片 19" descr="南雄市志_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9" descr="南雄市志_0018"/>
                          <pic:cNvPicPr>
                            <a:picLocks noChangeAspect="1"/>
                          </pic:cNvPicPr>
                        </pic:nvPicPr>
                        <pic:blipFill>
                          <a:blip r:embed="rId30"/>
                          <a:stretch>
                            <a:fillRect/>
                          </a:stretch>
                        </pic:blipFill>
                        <pic:spPr>
                          <a:xfrm>
                            <a:off x="0" y="0"/>
                            <a:ext cx="6181090" cy="4725670"/>
                          </a:xfrm>
                          <a:prstGeom prst="rect">
                            <a:avLst/>
                          </a:prstGeom>
                          <a:noFill/>
                          <a:ln>
                            <a:noFill/>
                          </a:ln>
                        </pic:spPr>
                      </pic:pic>
                    </a:graphicData>
                  </a:graphic>
                </wp:inline>
              </w:drawing>
            </w:r>
          </w:p>
        </w:tc>
      </w:tr>
      <w:tr w14:paraId="1085C1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11717CA3">
            <w:pPr>
              <w:ind w:firstLine="420"/>
              <w:jc w:val="left"/>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市旅游公司</w:t>
            </w:r>
          </w:p>
        </w:tc>
      </w:tr>
    </w:tbl>
    <w:p w14:paraId="2269FAB2">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B6E29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CE07D1A">
            <w:pPr>
              <w:ind w:firstLine="0" w:firstLineChars="0"/>
              <w:jc w:val="center"/>
              <w:rPr>
                <w:rFonts w:ascii="宋体" w:hAnsi="宋体"/>
                <w:szCs w:val="21"/>
              </w:rPr>
            </w:pPr>
            <w:r>
              <w:rPr>
                <w:rFonts w:ascii="宋体" w:hAnsi="宋体"/>
                <w:szCs w:val="21"/>
              </w:rPr>
              <w:drawing>
                <wp:inline distT="0" distB="0" distL="114300" distR="114300">
                  <wp:extent cx="6181090" cy="4601210"/>
                  <wp:effectExtent l="0" t="0" r="10160" b="8890"/>
                  <wp:docPr id="32" name="图片 20" descr="南雄市志_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0" descr="南雄市志_0019"/>
                          <pic:cNvPicPr>
                            <a:picLocks noChangeAspect="1"/>
                          </pic:cNvPicPr>
                        </pic:nvPicPr>
                        <pic:blipFill>
                          <a:blip r:embed="rId31"/>
                          <a:stretch>
                            <a:fillRect/>
                          </a:stretch>
                        </pic:blipFill>
                        <pic:spPr>
                          <a:xfrm>
                            <a:off x="0" y="0"/>
                            <a:ext cx="6181090" cy="4601210"/>
                          </a:xfrm>
                          <a:prstGeom prst="rect">
                            <a:avLst/>
                          </a:prstGeom>
                          <a:noFill/>
                          <a:ln>
                            <a:noFill/>
                          </a:ln>
                        </pic:spPr>
                      </pic:pic>
                    </a:graphicData>
                  </a:graphic>
                </wp:inline>
              </w:drawing>
            </w:r>
          </w:p>
        </w:tc>
      </w:tr>
      <w:tr w14:paraId="5CDC93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77439C4A">
            <w:pPr>
              <w:ind w:firstLine="420"/>
              <w:jc w:val="left"/>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市老干部活动中心</w:t>
            </w:r>
          </w:p>
        </w:tc>
      </w:tr>
    </w:tbl>
    <w:p w14:paraId="2CFFB214">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7A638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003D6B7">
            <w:pPr>
              <w:ind w:firstLine="0" w:firstLineChars="0"/>
              <w:jc w:val="center"/>
              <w:rPr>
                <w:rFonts w:ascii="宋体" w:hAnsi="宋体"/>
                <w:szCs w:val="21"/>
              </w:rPr>
            </w:pPr>
            <w:r>
              <w:rPr>
                <w:rFonts w:ascii="宋体" w:hAnsi="宋体"/>
                <w:szCs w:val="21"/>
              </w:rPr>
              <w:drawing>
                <wp:inline distT="0" distB="0" distL="114300" distR="114300">
                  <wp:extent cx="6005830" cy="8390255"/>
                  <wp:effectExtent l="0" t="0" r="13970" b="10795"/>
                  <wp:docPr id="21" name="图片 21" descr="南雄市志_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南雄市志_0020"/>
                          <pic:cNvPicPr>
                            <a:picLocks noChangeAspect="1"/>
                          </pic:cNvPicPr>
                        </pic:nvPicPr>
                        <pic:blipFill>
                          <a:blip r:embed="rId32"/>
                          <a:stretch>
                            <a:fillRect/>
                          </a:stretch>
                        </pic:blipFill>
                        <pic:spPr>
                          <a:xfrm>
                            <a:off x="0" y="0"/>
                            <a:ext cx="6005830" cy="8390255"/>
                          </a:xfrm>
                          <a:prstGeom prst="rect">
                            <a:avLst/>
                          </a:prstGeom>
                          <a:noFill/>
                          <a:ln>
                            <a:noFill/>
                          </a:ln>
                        </pic:spPr>
                      </pic:pic>
                    </a:graphicData>
                  </a:graphic>
                </wp:inline>
              </w:drawing>
            </w:r>
          </w:p>
        </w:tc>
      </w:tr>
      <w:tr w14:paraId="4BF676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57727FF1">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市林业局办公楼</w:t>
            </w:r>
          </w:p>
        </w:tc>
      </w:tr>
    </w:tbl>
    <w:p w14:paraId="708DB8F1">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0D9D9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B819FEF">
            <w:pPr>
              <w:ind w:firstLine="0" w:firstLineChars="0"/>
              <w:jc w:val="center"/>
              <w:rPr>
                <w:rFonts w:ascii="宋体" w:hAnsi="宋体"/>
                <w:szCs w:val="21"/>
              </w:rPr>
            </w:pPr>
            <w:r>
              <w:rPr>
                <w:rFonts w:ascii="宋体" w:hAnsi="宋体"/>
                <w:szCs w:val="21"/>
              </w:rPr>
              <w:drawing>
                <wp:inline distT="0" distB="0" distL="114300" distR="114300">
                  <wp:extent cx="6181090" cy="4389120"/>
                  <wp:effectExtent l="0" t="0" r="10160" b="11430"/>
                  <wp:docPr id="10" name="图片 22" descr="南雄市志_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2" descr="南雄市志_0021"/>
                          <pic:cNvPicPr>
                            <a:picLocks noChangeAspect="1"/>
                          </pic:cNvPicPr>
                        </pic:nvPicPr>
                        <pic:blipFill>
                          <a:blip r:embed="rId33"/>
                          <a:stretch>
                            <a:fillRect/>
                          </a:stretch>
                        </pic:blipFill>
                        <pic:spPr>
                          <a:xfrm>
                            <a:off x="0" y="0"/>
                            <a:ext cx="6181090" cy="4389120"/>
                          </a:xfrm>
                          <a:prstGeom prst="rect">
                            <a:avLst/>
                          </a:prstGeom>
                          <a:noFill/>
                          <a:ln>
                            <a:noFill/>
                          </a:ln>
                        </pic:spPr>
                      </pic:pic>
                    </a:graphicData>
                  </a:graphic>
                </wp:inline>
              </w:drawing>
            </w:r>
          </w:p>
        </w:tc>
      </w:tr>
      <w:tr w14:paraId="09091E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3A6287B0">
            <w:pPr>
              <w:ind w:firstLine="420"/>
              <w:jc w:val="left"/>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市武装部内景</w:t>
            </w:r>
          </w:p>
        </w:tc>
      </w:tr>
    </w:tbl>
    <w:p w14:paraId="62DF4546">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B47F6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5BF9486">
            <w:pPr>
              <w:ind w:firstLine="0" w:firstLineChars="0"/>
              <w:jc w:val="center"/>
              <w:rPr>
                <w:rFonts w:ascii="宋体" w:hAnsi="宋体"/>
                <w:szCs w:val="21"/>
              </w:rPr>
            </w:pPr>
            <w:r>
              <w:rPr>
                <w:rFonts w:ascii="宋体" w:hAnsi="宋体"/>
                <w:szCs w:val="21"/>
              </w:rPr>
              <w:drawing>
                <wp:inline distT="0" distB="0" distL="114300" distR="114300">
                  <wp:extent cx="6181090" cy="4455160"/>
                  <wp:effectExtent l="0" t="0" r="10160" b="2540"/>
                  <wp:docPr id="11" name="图片 23" descr="南雄市志_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3" descr="南雄市志_0022"/>
                          <pic:cNvPicPr>
                            <a:picLocks noChangeAspect="1"/>
                          </pic:cNvPicPr>
                        </pic:nvPicPr>
                        <pic:blipFill>
                          <a:blip r:embed="rId34"/>
                          <a:stretch>
                            <a:fillRect/>
                          </a:stretch>
                        </pic:blipFill>
                        <pic:spPr>
                          <a:xfrm>
                            <a:off x="0" y="0"/>
                            <a:ext cx="6181090" cy="4455160"/>
                          </a:xfrm>
                          <a:prstGeom prst="rect">
                            <a:avLst/>
                          </a:prstGeom>
                          <a:noFill/>
                          <a:ln>
                            <a:noFill/>
                          </a:ln>
                        </pic:spPr>
                      </pic:pic>
                    </a:graphicData>
                  </a:graphic>
                </wp:inline>
              </w:drawing>
            </w:r>
          </w:p>
        </w:tc>
      </w:tr>
      <w:tr w14:paraId="18EACD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56870EF3">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南雄大会堂</w:t>
            </w:r>
          </w:p>
        </w:tc>
      </w:tr>
    </w:tbl>
    <w:p w14:paraId="5AECE38A">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03329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647EE77">
            <w:pPr>
              <w:ind w:firstLine="0" w:firstLineChars="0"/>
              <w:jc w:val="center"/>
              <w:rPr>
                <w:rFonts w:ascii="宋体" w:hAnsi="宋体"/>
                <w:szCs w:val="21"/>
              </w:rPr>
            </w:pPr>
            <w:r>
              <w:rPr>
                <w:rFonts w:ascii="宋体" w:hAnsi="宋体"/>
                <w:szCs w:val="21"/>
              </w:rPr>
              <w:drawing>
                <wp:inline distT="0" distB="0" distL="114300" distR="114300">
                  <wp:extent cx="6181090" cy="5259705"/>
                  <wp:effectExtent l="0" t="0" r="10160" b="17145"/>
                  <wp:docPr id="22" name="图片 24" descr="南雄市志_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4" descr="南雄市志_0023"/>
                          <pic:cNvPicPr>
                            <a:picLocks noChangeAspect="1"/>
                          </pic:cNvPicPr>
                        </pic:nvPicPr>
                        <pic:blipFill>
                          <a:blip r:embed="rId35"/>
                          <a:stretch>
                            <a:fillRect/>
                          </a:stretch>
                        </pic:blipFill>
                        <pic:spPr>
                          <a:xfrm>
                            <a:off x="0" y="0"/>
                            <a:ext cx="6181090" cy="5259705"/>
                          </a:xfrm>
                          <a:prstGeom prst="rect">
                            <a:avLst/>
                          </a:prstGeom>
                          <a:noFill/>
                          <a:ln>
                            <a:noFill/>
                          </a:ln>
                        </pic:spPr>
                      </pic:pic>
                    </a:graphicData>
                  </a:graphic>
                </wp:inline>
              </w:drawing>
            </w:r>
          </w:p>
        </w:tc>
      </w:tr>
      <w:tr w14:paraId="218806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112C6938">
            <w:pPr>
              <w:ind w:firstLine="420"/>
              <w:jc w:val="left"/>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雄州街道办事处</w:t>
            </w:r>
          </w:p>
        </w:tc>
      </w:tr>
    </w:tbl>
    <w:p w14:paraId="4AEF8E87">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E863F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2708E6D">
            <w:pPr>
              <w:ind w:firstLine="0" w:firstLineChars="0"/>
              <w:jc w:val="center"/>
              <w:rPr>
                <w:rFonts w:ascii="宋体" w:hAnsi="宋体"/>
                <w:szCs w:val="21"/>
              </w:rPr>
            </w:pPr>
            <w:r>
              <w:rPr>
                <w:rFonts w:ascii="宋体" w:hAnsi="宋体"/>
                <w:szCs w:val="21"/>
              </w:rPr>
              <w:drawing>
                <wp:inline distT="0" distB="0" distL="114300" distR="114300">
                  <wp:extent cx="6181090" cy="4403725"/>
                  <wp:effectExtent l="0" t="0" r="10160" b="15875"/>
                  <wp:docPr id="23" name="图片 25" descr="南雄市志_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5" descr="南雄市志_0024"/>
                          <pic:cNvPicPr>
                            <a:picLocks noChangeAspect="1"/>
                          </pic:cNvPicPr>
                        </pic:nvPicPr>
                        <pic:blipFill>
                          <a:blip r:embed="rId36"/>
                          <a:stretch>
                            <a:fillRect/>
                          </a:stretch>
                        </pic:blipFill>
                        <pic:spPr>
                          <a:xfrm>
                            <a:off x="0" y="0"/>
                            <a:ext cx="6181090" cy="4403725"/>
                          </a:xfrm>
                          <a:prstGeom prst="rect">
                            <a:avLst/>
                          </a:prstGeom>
                          <a:noFill/>
                          <a:ln>
                            <a:noFill/>
                          </a:ln>
                        </pic:spPr>
                      </pic:pic>
                    </a:graphicData>
                  </a:graphic>
                </wp:inline>
              </w:drawing>
            </w:r>
          </w:p>
        </w:tc>
      </w:tr>
      <w:tr w14:paraId="479B49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69609CF7">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市人民法院办公楼</w:t>
            </w:r>
          </w:p>
        </w:tc>
      </w:tr>
    </w:tbl>
    <w:p w14:paraId="3CE24526">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F0DFA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1965AE78">
            <w:pPr>
              <w:ind w:firstLine="0" w:firstLineChars="0"/>
              <w:jc w:val="center"/>
              <w:rPr>
                <w:rFonts w:ascii="宋体" w:hAnsi="宋体"/>
                <w:szCs w:val="21"/>
              </w:rPr>
            </w:pPr>
            <w:r>
              <w:rPr>
                <w:rFonts w:ascii="宋体" w:hAnsi="宋体"/>
                <w:szCs w:val="21"/>
              </w:rPr>
              <w:drawing>
                <wp:inline distT="0" distB="0" distL="114300" distR="114300">
                  <wp:extent cx="6181090" cy="4923155"/>
                  <wp:effectExtent l="0" t="0" r="10160" b="10795"/>
                  <wp:docPr id="24" name="图片 26" descr="南雄市志_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6" descr="南雄市志_0025"/>
                          <pic:cNvPicPr>
                            <a:picLocks noChangeAspect="1"/>
                          </pic:cNvPicPr>
                        </pic:nvPicPr>
                        <pic:blipFill>
                          <a:blip r:embed="rId37"/>
                          <a:stretch>
                            <a:fillRect/>
                          </a:stretch>
                        </pic:blipFill>
                        <pic:spPr>
                          <a:xfrm>
                            <a:off x="0" y="0"/>
                            <a:ext cx="6181090" cy="4923155"/>
                          </a:xfrm>
                          <a:prstGeom prst="rect">
                            <a:avLst/>
                          </a:prstGeom>
                          <a:noFill/>
                          <a:ln>
                            <a:noFill/>
                          </a:ln>
                        </pic:spPr>
                      </pic:pic>
                    </a:graphicData>
                  </a:graphic>
                </wp:inline>
              </w:drawing>
            </w:r>
          </w:p>
        </w:tc>
      </w:tr>
      <w:tr w14:paraId="03147D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7B047D7F">
            <w:pPr>
              <w:ind w:firstLine="420"/>
              <w:jc w:val="left"/>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市卫生局办公楼</w:t>
            </w:r>
          </w:p>
        </w:tc>
      </w:tr>
    </w:tbl>
    <w:p w14:paraId="1E662CB6">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DD222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6BEB85D0">
            <w:pPr>
              <w:ind w:firstLine="0" w:firstLineChars="0"/>
              <w:jc w:val="center"/>
              <w:rPr>
                <w:rFonts w:ascii="宋体" w:hAnsi="宋体"/>
                <w:szCs w:val="21"/>
              </w:rPr>
            </w:pPr>
            <w:r>
              <w:rPr>
                <w:rFonts w:ascii="宋体" w:hAnsi="宋体"/>
                <w:szCs w:val="21"/>
              </w:rPr>
              <w:drawing>
                <wp:inline distT="0" distB="0" distL="114300" distR="114300">
                  <wp:extent cx="6181090" cy="3079750"/>
                  <wp:effectExtent l="0" t="0" r="10160" b="6350"/>
                  <wp:docPr id="33" name="图片 27" descr="南雄市志_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7" descr="南雄市志_0026"/>
                          <pic:cNvPicPr>
                            <a:picLocks noChangeAspect="1"/>
                          </pic:cNvPicPr>
                        </pic:nvPicPr>
                        <pic:blipFill>
                          <a:blip r:embed="rId38"/>
                          <a:stretch>
                            <a:fillRect/>
                          </a:stretch>
                        </pic:blipFill>
                        <pic:spPr>
                          <a:xfrm>
                            <a:off x="0" y="0"/>
                            <a:ext cx="6181090" cy="3079750"/>
                          </a:xfrm>
                          <a:prstGeom prst="rect">
                            <a:avLst/>
                          </a:prstGeom>
                          <a:noFill/>
                          <a:ln>
                            <a:noFill/>
                          </a:ln>
                        </pic:spPr>
                      </pic:pic>
                    </a:graphicData>
                  </a:graphic>
                </wp:inline>
              </w:drawing>
            </w:r>
          </w:p>
        </w:tc>
      </w:tr>
      <w:tr w14:paraId="17E0E4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3E918FCF">
            <w:pPr>
              <w:ind w:firstLine="420"/>
              <w:jc w:val="left"/>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江头墟镇</w:t>
            </w:r>
          </w:p>
        </w:tc>
      </w:tr>
    </w:tbl>
    <w:p w14:paraId="128E463D">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E8975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2D7AB6E">
            <w:pPr>
              <w:ind w:firstLine="0" w:firstLineChars="0"/>
              <w:jc w:val="center"/>
              <w:rPr>
                <w:rFonts w:ascii="宋体" w:hAnsi="宋体"/>
                <w:szCs w:val="21"/>
              </w:rPr>
            </w:pPr>
            <w:r>
              <w:rPr>
                <w:rFonts w:ascii="宋体" w:hAnsi="宋体"/>
                <w:szCs w:val="21"/>
              </w:rPr>
              <w:drawing>
                <wp:inline distT="0" distB="0" distL="114300" distR="114300">
                  <wp:extent cx="6174105" cy="3774440"/>
                  <wp:effectExtent l="0" t="0" r="17145" b="16510"/>
                  <wp:docPr id="41" name="图片 28" descr="南雄市志_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8" descr="南雄市志_0027"/>
                          <pic:cNvPicPr>
                            <a:picLocks noChangeAspect="1"/>
                          </pic:cNvPicPr>
                        </pic:nvPicPr>
                        <pic:blipFill>
                          <a:blip r:embed="rId39"/>
                          <a:stretch>
                            <a:fillRect/>
                          </a:stretch>
                        </pic:blipFill>
                        <pic:spPr>
                          <a:xfrm>
                            <a:off x="0" y="0"/>
                            <a:ext cx="6174105" cy="3774440"/>
                          </a:xfrm>
                          <a:prstGeom prst="rect">
                            <a:avLst/>
                          </a:prstGeom>
                          <a:noFill/>
                          <a:ln>
                            <a:noFill/>
                          </a:ln>
                        </pic:spPr>
                      </pic:pic>
                    </a:graphicData>
                  </a:graphic>
                </wp:inline>
              </w:drawing>
            </w:r>
          </w:p>
        </w:tc>
      </w:tr>
      <w:tr w14:paraId="4FFA7D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5677AB83">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南雄大桥</w:t>
            </w:r>
          </w:p>
        </w:tc>
      </w:tr>
    </w:tbl>
    <w:p w14:paraId="513AA7B1">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7E8B9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7ADA738">
            <w:pPr>
              <w:ind w:firstLine="0" w:firstLineChars="0"/>
              <w:jc w:val="center"/>
              <w:rPr>
                <w:rFonts w:ascii="宋体" w:hAnsi="宋体"/>
                <w:szCs w:val="21"/>
              </w:rPr>
            </w:pPr>
            <w:r>
              <w:rPr>
                <w:rFonts w:ascii="宋体" w:hAnsi="宋体"/>
                <w:szCs w:val="21"/>
              </w:rPr>
              <w:drawing>
                <wp:inline distT="0" distB="0" distL="114300" distR="114300">
                  <wp:extent cx="6181090" cy="4118610"/>
                  <wp:effectExtent l="0" t="0" r="10160" b="15240"/>
                  <wp:docPr id="35" name="图片 29" descr="南雄市志_00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9" descr="南雄市志_0027-1"/>
                          <pic:cNvPicPr>
                            <a:picLocks noChangeAspect="1"/>
                          </pic:cNvPicPr>
                        </pic:nvPicPr>
                        <pic:blipFill>
                          <a:blip r:embed="rId40"/>
                          <a:stretch>
                            <a:fillRect/>
                          </a:stretch>
                        </pic:blipFill>
                        <pic:spPr>
                          <a:xfrm>
                            <a:off x="0" y="0"/>
                            <a:ext cx="6181090" cy="4118610"/>
                          </a:xfrm>
                          <a:prstGeom prst="rect">
                            <a:avLst/>
                          </a:prstGeom>
                          <a:noFill/>
                          <a:ln>
                            <a:noFill/>
                          </a:ln>
                        </pic:spPr>
                      </pic:pic>
                    </a:graphicData>
                  </a:graphic>
                </wp:inline>
              </w:drawing>
            </w:r>
          </w:p>
        </w:tc>
      </w:tr>
      <w:tr w14:paraId="37FC9C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6B7AEEA6">
            <w:pPr>
              <w:ind w:firstLine="420"/>
              <w:rPr>
                <w:rFonts w:ascii="宋体" w:hAnsi="宋体" w:cs="宋体"/>
                <w:szCs w:val="21"/>
              </w:rPr>
            </w:pPr>
            <w:r>
              <w:rPr>
                <w:rFonts w:hint="eastAsia" w:ascii="宋体" w:hAnsi="宋体" w:cs="宋体"/>
                <w:color w:val="000000" w:themeColor="text1"/>
                <w:szCs w:val="21"/>
                <w14:textFill>
                  <w14:solidFill>
                    <w14:schemeClr w14:val="tx1"/>
                  </w14:solidFill>
                </w14:textFill>
              </w:rPr>
              <w:t>青云大桥</w:t>
            </w:r>
          </w:p>
        </w:tc>
      </w:tr>
    </w:tbl>
    <w:p w14:paraId="311EDB34">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DEDA8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8BBDB09">
            <w:pPr>
              <w:ind w:firstLine="0" w:firstLineChars="0"/>
              <w:jc w:val="center"/>
              <w:rPr>
                <w:rFonts w:ascii="宋体" w:hAnsi="宋体"/>
                <w:szCs w:val="21"/>
              </w:rPr>
            </w:pPr>
            <w:r>
              <w:rPr>
                <w:rFonts w:ascii="宋体" w:hAnsi="宋体"/>
                <w:szCs w:val="21"/>
              </w:rPr>
              <w:drawing>
                <wp:inline distT="0" distB="0" distL="114300" distR="114300">
                  <wp:extent cx="6181090" cy="4696460"/>
                  <wp:effectExtent l="0" t="0" r="10160" b="8890"/>
                  <wp:docPr id="36" name="图片 30" descr="南雄市志_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0" descr="南雄市志_0028"/>
                          <pic:cNvPicPr>
                            <a:picLocks noChangeAspect="1"/>
                          </pic:cNvPicPr>
                        </pic:nvPicPr>
                        <pic:blipFill>
                          <a:blip r:embed="rId41"/>
                          <a:stretch>
                            <a:fillRect/>
                          </a:stretch>
                        </pic:blipFill>
                        <pic:spPr>
                          <a:xfrm>
                            <a:off x="0" y="0"/>
                            <a:ext cx="6181090" cy="4696460"/>
                          </a:xfrm>
                          <a:prstGeom prst="rect">
                            <a:avLst/>
                          </a:prstGeom>
                          <a:noFill/>
                          <a:ln>
                            <a:noFill/>
                          </a:ln>
                        </pic:spPr>
                      </pic:pic>
                    </a:graphicData>
                  </a:graphic>
                </wp:inline>
              </w:drawing>
            </w:r>
          </w:p>
        </w:tc>
      </w:tr>
      <w:tr w14:paraId="2707CC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6660D0D6">
            <w:pPr>
              <w:ind w:firstLine="420"/>
              <w:rPr>
                <w:rFonts w:ascii="宋体" w:hAnsi="宋体" w:cs="宋体"/>
                <w:color w:val="000000" w:themeColor="text1"/>
                <w:szCs w:val="21"/>
                <w14:textFill>
                  <w14:solidFill>
                    <w14:schemeClr w14:val="tx1"/>
                  </w14:solidFill>
                </w14:textFill>
              </w:rPr>
            </w:pPr>
            <w:r>
              <w:rPr>
                <w:rFonts w:hint="eastAsia" w:ascii="宋体" w:hAnsi="宋体" w:cs="宋体"/>
                <w:szCs w:val="21"/>
              </w:rPr>
              <w:t>国道323线新道</w:t>
            </w:r>
          </w:p>
        </w:tc>
      </w:tr>
    </w:tbl>
    <w:p w14:paraId="00755552">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BD822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3FD2676">
            <w:pPr>
              <w:ind w:firstLine="0" w:firstLineChars="0"/>
              <w:jc w:val="center"/>
              <w:rPr>
                <w:rFonts w:ascii="宋体" w:hAnsi="宋体"/>
                <w:szCs w:val="21"/>
              </w:rPr>
            </w:pPr>
            <w:r>
              <w:rPr>
                <w:rFonts w:ascii="宋体" w:hAnsi="宋体"/>
                <w:szCs w:val="21"/>
              </w:rPr>
              <w:drawing>
                <wp:inline distT="0" distB="0" distL="114300" distR="114300">
                  <wp:extent cx="6181090" cy="3291840"/>
                  <wp:effectExtent l="0" t="0" r="10160" b="3810"/>
                  <wp:docPr id="37" name="图片 31" descr="南雄市志_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1" descr="南雄市志_0029"/>
                          <pic:cNvPicPr>
                            <a:picLocks noChangeAspect="1"/>
                          </pic:cNvPicPr>
                        </pic:nvPicPr>
                        <pic:blipFill>
                          <a:blip r:embed="rId42"/>
                          <a:stretch>
                            <a:fillRect/>
                          </a:stretch>
                        </pic:blipFill>
                        <pic:spPr>
                          <a:xfrm>
                            <a:off x="0" y="0"/>
                            <a:ext cx="6181090" cy="3291840"/>
                          </a:xfrm>
                          <a:prstGeom prst="rect">
                            <a:avLst/>
                          </a:prstGeom>
                          <a:noFill/>
                          <a:ln>
                            <a:noFill/>
                          </a:ln>
                        </pic:spPr>
                      </pic:pic>
                    </a:graphicData>
                  </a:graphic>
                </wp:inline>
              </w:drawing>
            </w:r>
          </w:p>
        </w:tc>
      </w:tr>
      <w:tr w14:paraId="7BCC41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62E5ADB8">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河南桥</w:t>
            </w:r>
          </w:p>
        </w:tc>
      </w:tr>
    </w:tbl>
    <w:p w14:paraId="550287CD">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9B236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5ABBA09">
            <w:pPr>
              <w:ind w:firstLine="0" w:firstLineChars="0"/>
              <w:jc w:val="center"/>
              <w:rPr>
                <w:rFonts w:ascii="宋体" w:hAnsi="宋体"/>
                <w:szCs w:val="21"/>
              </w:rPr>
            </w:pPr>
            <w:r>
              <w:rPr>
                <w:rFonts w:ascii="宋体" w:hAnsi="宋体"/>
                <w:szCs w:val="21"/>
              </w:rPr>
              <w:drawing>
                <wp:inline distT="0" distB="0" distL="114300" distR="114300">
                  <wp:extent cx="6181090" cy="4118610"/>
                  <wp:effectExtent l="0" t="0" r="10160" b="15240"/>
                  <wp:docPr id="40" name="图片 32" descr="南雄市志_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2" descr="南雄市志_0030"/>
                          <pic:cNvPicPr>
                            <a:picLocks noChangeAspect="1"/>
                          </pic:cNvPicPr>
                        </pic:nvPicPr>
                        <pic:blipFill>
                          <a:blip r:embed="rId43"/>
                          <a:stretch>
                            <a:fillRect/>
                          </a:stretch>
                        </pic:blipFill>
                        <pic:spPr>
                          <a:xfrm>
                            <a:off x="0" y="0"/>
                            <a:ext cx="6181090" cy="4118610"/>
                          </a:xfrm>
                          <a:prstGeom prst="rect">
                            <a:avLst/>
                          </a:prstGeom>
                          <a:noFill/>
                          <a:ln>
                            <a:noFill/>
                          </a:ln>
                        </pic:spPr>
                      </pic:pic>
                    </a:graphicData>
                  </a:graphic>
                </wp:inline>
              </w:drawing>
            </w:r>
          </w:p>
        </w:tc>
      </w:tr>
      <w:tr w14:paraId="1BF359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0628F09F">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县道养护材标准化路段</w:t>
            </w:r>
          </w:p>
        </w:tc>
      </w:tr>
    </w:tbl>
    <w:p w14:paraId="45360154">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4E6BA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2819A64">
            <w:pPr>
              <w:ind w:firstLine="0" w:firstLineChars="0"/>
              <w:jc w:val="center"/>
              <w:rPr>
                <w:rFonts w:ascii="宋体" w:hAnsi="宋体"/>
                <w:szCs w:val="21"/>
              </w:rPr>
            </w:pPr>
            <w:r>
              <w:rPr>
                <w:rFonts w:ascii="宋体" w:hAnsi="宋体"/>
                <w:szCs w:val="21"/>
              </w:rPr>
              <w:drawing>
                <wp:inline distT="0" distB="0" distL="114300" distR="114300">
                  <wp:extent cx="6181090" cy="2684780"/>
                  <wp:effectExtent l="0" t="0" r="10160" b="1270"/>
                  <wp:docPr id="38" name="图片 33" descr="南雄市志_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3" descr="南雄市志_0031"/>
                          <pic:cNvPicPr>
                            <a:picLocks noChangeAspect="1"/>
                          </pic:cNvPicPr>
                        </pic:nvPicPr>
                        <pic:blipFill>
                          <a:blip r:embed="rId44"/>
                          <a:stretch>
                            <a:fillRect/>
                          </a:stretch>
                        </pic:blipFill>
                        <pic:spPr>
                          <a:xfrm>
                            <a:off x="0" y="0"/>
                            <a:ext cx="6181090" cy="2684780"/>
                          </a:xfrm>
                          <a:prstGeom prst="rect">
                            <a:avLst/>
                          </a:prstGeom>
                          <a:noFill/>
                          <a:ln>
                            <a:noFill/>
                          </a:ln>
                        </pic:spPr>
                      </pic:pic>
                    </a:graphicData>
                  </a:graphic>
                </wp:inline>
              </w:drawing>
            </w:r>
          </w:p>
        </w:tc>
      </w:tr>
      <w:tr w14:paraId="12FE80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5E18D6BE">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金叶大桥</w:t>
            </w:r>
          </w:p>
        </w:tc>
      </w:tr>
    </w:tbl>
    <w:p w14:paraId="463CEC50">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AD75F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DE1B786">
            <w:pPr>
              <w:ind w:firstLine="0" w:firstLineChars="0"/>
              <w:jc w:val="center"/>
              <w:rPr>
                <w:rFonts w:ascii="宋体" w:hAnsi="宋体"/>
                <w:szCs w:val="21"/>
              </w:rPr>
            </w:pPr>
            <w:r>
              <w:rPr>
                <w:rFonts w:ascii="宋体" w:hAnsi="宋体"/>
                <w:szCs w:val="21"/>
              </w:rPr>
              <w:drawing>
                <wp:inline distT="0" distB="0" distL="114300" distR="114300">
                  <wp:extent cx="6181090" cy="3635375"/>
                  <wp:effectExtent l="0" t="0" r="10160" b="3175"/>
                  <wp:docPr id="39" name="图片 34" descr="南雄市志_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4" descr="南雄市志_0032"/>
                          <pic:cNvPicPr>
                            <a:picLocks noChangeAspect="1"/>
                          </pic:cNvPicPr>
                        </pic:nvPicPr>
                        <pic:blipFill>
                          <a:blip r:embed="rId45"/>
                          <a:stretch>
                            <a:fillRect/>
                          </a:stretch>
                        </pic:blipFill>
                        <pic:spPr>
                          <a:xfrm>
                            <a:off x="0" y="0"/>
                            <a:ext cx="6181090" cy="3635375"/>
                          </a:xfrm>
                          <a:prstGeom prst="rect">
                            <a:avLst/>
                          </a:prstGeom>
                          <a:noFill/>
                          <a:ln>
                            <a:noFill/>
                          </a:ln>
                        </pic:spPr>
                      </pic:pic>
                    </a:graphicData>
                  </a:graphic>
                </wp:inline>
              </w:drawing>
            </w:r>
          </w:p>
        </w:tc>
      </w:tr>
      <w:tr w14:paraId="3243F9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6FE404FD">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新建3万立方米供水厂</w:t>
            </w:r>
          </w:p>
        </w:tc>
      </w:tr>
    </w:tbl>
    <w:p w14:paraId="085C30D5">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115A4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5ABBA095">
            <w:pPr>
              <w:ind w:firstLine="0" w:firstLineChars="0"/>
              <w:jc w:val="center"/>
              <w:rPr>
                <w:rFonts w:ascii="宋体" w:hAnsi="宋体"/>
                <w:szCs w:val="21"/>
              </w:rPr>
            </w:pPr>
            <w:r>
              <w:rPr>
                <w:rFonts w:ascii="宋体" w:hAnsi="宋体"/>
                <w:szCs w:val="21"/>
              </w:rPr>
              <w:drawing>
                <wp:inline distT="0" distB="0" distL="114300" distR="114300">
                  <wp:extent cx="5552440" cy="8317230"/>
                  <wp:effectExtent l="0" t="0" r="10160" b="7620"/>
                  <wp:docPr id="34" name="图片 35" descr="南雄市志_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5" descr="南雄市志_0033"/>
                          <pic:cNvPicPr>
                            <a:picLocks noChangeAspect="1"/>
                          </pic:cNvPicPr>
                        </pic:nvPicPr>
                        <pic:blipFill>
                          <a:blip r:embed="rId46"/>
                          <a:stretch>
                            <a:fillRect/>
                          </a:stretch>
                        </pic:blipFill>
                        <pic:spPr>
                          <a:xfrm>
                            <a:off x="0" y="0"/>
                            <a:ext cx="5552440" cy="8317230"/>
                          </a:xfrm>
                          <a:prstGeom prst="rect">
                            <a:avLst/>
                          </a:prstGeom>
                          <a:noFill/>
                          <a:ln>
                            <a:noFill/>
                          </a:ln>
                        </pic:spPr>
                      </pic:pic>
                    </a:graphicData>
                  </a:graphic>
                </wp:inline>
              </w:drawing>
            </w:r>
          </w:p>
        </w:tc>
      </w:tr>
      <w:tr w14:paraId="75FFE4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1F42CA0C">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市广播电视台</w:t>
            </w:r>
          </w:p>
        </w:tc>
      </w:tr>
    </w:tbl>
    <w:p w14:paraId="531E6C2B">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45177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30B6E53">
            <w:pPr>
              <w:ind w:firstLine="0" w:firstLineChars="0"/>
              <w:jc w:val="center"/>
              <w:rPr>
                <w:rFonts w:ascii="宋体" w:hAnsi="宋体"/>
                <w:szCs w:val="21"/>
              </w:rPr>
            </w:pPr>
            <w:r>
              <w:rPr>
                <w:rFonts w:ascii="宋体" w:hAnsi="宋体"/>
                <w:szCs w:val="21"/>
              </w:rPr>
              <w:drawing>
                <wp:inline distT="0" distB="0" distL="114300" distR="114300">
                  <wp:extent cx="6181090" cy="4381500"/>
                  <wp:effectExtent l="0" t="0" r="10160" b="0"/>
                  <wp:docPr id="86" name="图片 36" descr="南雄市志_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6" descr="南雄市志_0034"/>
                          <pic:cNvPicPr>
                            <a:picLocks noChangeAspect="1"/>
                          </pic:cNvPicPr>
                        </pic:nvPicPr>
                        <pic:blipFill>
                          <a:blip r:embed="rId47"/>
                          <a:stretch>
                            <a:fillRect/>
                          </a:stretch>
                        </pic:blipFill>
                        <pic:spPr>
                          <a:xfrm>
                            <a:off x="0" y="0"/>
                            <a:ext cx="6181090" cy="4381500"/>
                          </a:xfrm>
                          <a:prstGeom prst="rect">
                            <a:avLst/>
                          </a:prstGeom>
                          <a:noFill/>
                          <a:ln>
                            <a:noFill/>
                          </a:ln>
                        </pic:spPr>
                      </pic:pic>
                    </a:graphicData>
                  </a:graphic>
                </wp:inline>
              </w:drawing>
            </w:r>
          </w:p>
        </w:tc>
      </w:tr>
      <w:tr w14:paraId="4B5253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7854D055">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市食品药品监督</w:t>
            </w:r>
            <w:r>
              <w:rPr>
                <w:rFonts w:hint="eastAsia" w:ascii="宋体" w:hAnsi="宋体" w:cs="宋体"/>
                <w:color w:val="000000" w:themeColor="text1"/>
                <w:szCs w:val="21"/>
                <w:lang w:val="en-US" w:eastAsia="zh-CN"/>
                <w14:textFill>
                  <w14:solidFill>
                    <w14:schemeClr w14:val="tx1"/>
                  </w14:solidFill>
                </w14:textFill>
              </w:rPr>
              <w:t>管理</w:t>
            </w:r>
            <w:r>
              <w:rPr>
                <w:rFonts w:hint="eastAsia" w:ascii="宋体" w:hAnsi="宋体" w:cs="宋体"/>
                <w:color w:val="000000" w:themeColor="text1"/>
                <w:szCs w:val="21"/>
                <w14:textFill>
                  <w14:solidFill>
                    <w14:schemeClr w14:val="tx1"/>
                  </w14:solidFill>
                </w14:textFill>
              </w:rPr>
              <w:t>局办证大厅</w:t>
            </w:r>
          </w:p>
        </w:tc>
      </w:tr>
    </w:tbl>
    <w:p w14:paraId="1CA1A91E">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1E878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75A19AF">
            <w:pPr>
              <w:ind w:firstLine="0" w:firstLineChars="0"/>
              <w:jc w:val="center"/>
              <w:rPr>
                <w:rFonts w:ascii="宋体" w:hAnsi="宋体"/>
                <w:szCs w:val="21"/>
              </w:rPr>
            </w:pPr>
            <w:r>
              <w:rPr>
                <w:rFonts w:ascii="宋体" w:hAnsi="宋体"/>
                <w:szCs w:val="21"/>
              </w:rPr>
              <w:drawing>
                <wp:inline distT="0" distB="0" distL="114300" distR="114300">
                  <wp:extent cx="6181090" cy="4842510"/>
                  <wp:effectExtent l="0" t="0" r="10160" b="15240"/>
                  <wp:docPr id="68" name="图片 37" descr="南雄市志_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7" descr="南雄市志_0035"/>
                          <pic:cNvPicPr>
                            <a:picLocks noChangeAspect="1"/>
                          </pic:cNvPicPr>
                        </pic:nvPicPr>
                        <pic:blipFill>
                          <a:blip r:embed="rId48"/>
                          <a:stretch>
                            <a:fillRect/>
                          </a:stretch>
                        </pic:blipFill>
                        <pic:spPr>
                          <a:xfrm>
                            <a:off x="0" y="0"/>
                            <a:ext cx="6181090" cy="4842510"/>
                          </a:xfrm>
                          <a:prstGeom prst="rect">
                            <a:avLst/>
                          </a:prstGeom>
                          <a:noFill/>
                          <a:ln>
                            <a:noFill/>
                          </a:ln>
                        </pic:spPr>
                      </pic:pic>
                    </a:graphicData>
                  </a:graphic>
                </wp:inline>
              </w:drawing>
            </w:r>
          </w:p>
        </w:tc>
      </w:tr>
      <w:tr w14:paraId="36F1F6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7C1D66CE">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市社保医保服务中心</w:t>
            </w:r>
          </w:p>
        </w:tc>
      </w:tr>
    </w:tbl>
    <w:p w14:paraId="17796203">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9CAC0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B7DD366">
            <w:pPr>
              <w:ind w:firstLine="0" w:firstLineChars="0"/>
              <w:jc w:val="center"/>
              <w:rPr>
                <w:rFonts w:ascii="宋体" w:hAnsi="宋体"/>
                <w:szCs w:val="21"/>
              </w:rPr>
            </w:pPr>
            <w:r>
              <w:rPr>
                <w:rFonts w:ascii="宋体" w:hAnsi="宋体"/>
                <w:szCs w:val="21"/>
              </w:rPr>
              <w:drawing>
                <wp:inline distT="0" distB="0" distL="114300" distR="114300">
                  <wp:extent cx="6181090" cy="2713990"/>
                  <wp:effectExtent l="0" t="0" r="10160" b="10160"/>
                  <wp:docPr id="80" name="图片 38" descr="南雄市志_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8" descr="南雄市志_0036"/>
                          <pic:cNvPicPr>
                            <a:picLocks noChangeAspect="1"/>
                          </pic:cNvPicPr>
                        </pic:nvPicPr>
                        <pic:blipFill>
                          <a:blip r:embed="rId49"/>
                          <a:stretch>
                            <a:fillRect/>
                          </a:stretch>
                        </pic:blipFill>
                        <pic:spPr>
                          <a:xfrm>
                            <a:off x="0" y="0"/>
                            <a:ext cx="6181090" cy="2713990"/>
                          </a:xfrm>
                          <a:prstGeom prst="rect">
                            <a:avLst/>
                          </a:prstGeom>
                          <a:noFill/>
                          <a:ln>
                            <a:noFill/>
                          </a:ln>
                        </pic:spPr>
                      </pic:pic>
                    </a:graphicData>
                  </a:graphic>
                </wp:inline>
              </w:drawing>
            </w:r>
          </w:p>
        </w:tc>
      </w:tr>
      <w:tr w14:paraId="28DFD2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2DEB593B">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国家基准气象站气象观察场</w:t>
            </w:r>
          </w:p>
        </w:tc>
      </w:tr>
    </w:tbl>
    <w:p w14:paraId="49FABDCA">
      <w:pPr>
        <w:pStyle w:val="3"/>
        <w:rPr>
          <w:rFonts w:ascii="宋体" w:hAnsi="宋体"/>
        </w:rPr>
      </w:pPr>
      <w:r>
        <w:rPr>
          <w:rFonts w:hint="eastAsia" w:ascii="宋体" w:hAnsi="宋体"/>
        </w:rPr>
        <w:t>邮政通信</w:t>
      </w: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39BE9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0027234">
            <w:pPr>
              <w:ind w:firstLine="0" w:firstLineChars="0"/>
              <w:jc w:val="center"/>
              <w:rPr>
                <w:rFonts w:ascii="宋体" w:hAnsi="宋体"/>
                <w:szCs w:val="21"/>
              </w:rPr>
            </w:pPr>
            <w:r>
              <w:rPr>
                <w:rFonts w:ascii="宋体" w:hAnsi="宋体"/>
                <w:szCs w:val="21"/>
              </w:rPr>
              <w:drawing>
                <wp:inline distT="0" distB="0" distL="114300" distR="114300">
                  <wp:extent cx="6181090" cy="6839585"/>
                  <wp:effectExtent l="0" t="0" r="10160" b="18415"/>
                  <wp:docPr id="78" name="图片 39" descr="南雄市志_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9" descr="南雄市志_0037"/>
                          <pic:cNvPicPr>
                            <a:picLocks noChangeAspect="1"/>
                          </pic:cNvPicPr>
                        </pic:nvPicPr>
                        <pic:blipFill>
                          <a:blip r:embed="rId50"/>
                          <a:stretch>
                            <a:fillRect/>
                          </a:stretch>
                        </pic:blipFill>
                        <pic:spPr>
                          <a:xfrm>
                            <a:off x="0" y="0"/>
                            <a:ext cx="6181090" cy="6839585"/>
                          </a:xfrm>
                          <a:prstGeom prst="rect">
                            <a:avLst/>
                          </a:prstGeom>
                          <a:noFill/>
                          <a:ln>
                            <a:noFill/>
                          </a:ln>
                        </pic:spPr>
                      </pic:pic>
                    </a:graphicData>
                  </a:graphic>
                </wp:inline>
              </w:drawing>
            </w:r>
          </w:p>
        </w:tc>
      </w:tr>
      <w:tr w14:paraId="0687BE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2BC7DAFB">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中国移通南雄分公司营业大楼</w:t>
            </w:r>
          </w:p>
        </w:tc>
      </w:tr>
    </w:tbl>
    <w:p w14:paraId="350313E3">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EE460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23FBE8D0">
            <w:pPr>
              <w:ind w:firstLine="0" w:firstLineChars="0"/>
              <w:jc w:val="center"/>
              <w:rPr>
                <w:rFonts w:ascii="宋体" w:hAnsi="宋体"/>
                <w:szCs w:val="21"/>
              </w:rPr>
            </w:pPr>
            <w:r>
              <w:rPr>
                <w:rFonts w:ascii="宋体" w:hAnsi="宋体"/>
                <w:szCs w:val="21"/>
              </w:rPr>
              <w:drawing>
                <wp:inline distT="0" distB="0" distL="114300" distR="114300">
                  <wp:extent cx="6181090" cy="4667250"/>
                  <wp:effectExtent l="0" t="0" r="10160" b="0"/>
                  <wp:docPr id="64" name="图片 40" descr="南雄市志_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40" descr="南雄市志_0038"/>
                          <pic:cNvPicPr>
                            <a:picLocks noChangeAspect="1"/>
                          </pic:cNvPicPr>
                        </pic:nvPicPr>
                        <pic:blipFill>
                          <a:blip r:embed="rId51"/>
                          <a:stretch>
                            <a:fillRect/>
                          </a:stretch>
                        </pic:blipFill>
                        <pic:spPr>
                          <a:xfrm>
                            <a:off x="0" y="0"/>
                            <a:ext cx="6181090" cy="4667250"/>
                          </a:xfrm>
                          <a:prstGeom prst="rect">
                            <a:avLst/>
                          </a:prstGeom>
                          <a:noFill/>
                          <a:ln>
                            <a:noFill/>
                          </a:ln>
                        </pic:spPr>
                      </pic:pic>
                    </a:graphicData>
                  </a:graphic>
                </wp:inline>
              </w:drawing>
            </w:r>
          </w:p>
        </w:tc>
      </w:tr>
      <w:tr w14:paraId="0930EE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2CC69A79">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邮政业务大厅</w:t>
            </w:r>
          </w:p>
        </w:tc>
      </w:tr>
    </w:tbl>
    <w:p w14:paraId="3B5CCA47">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6519B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FA3C085">
            <w:pPr>
              <w:ind w:firstLine="0" w:firstLineChars="0"/>
              <w:jc w:val="center"/>
              <w:rPr>
                <w:rFonts w:ascii="宋体" w:hAnsi="宋体"/>
                <w:szCs w:val="21"/>
              </w:rPr>
            </w:pPr>
            <w:r>
              <w:rPr>
                <w:rFonts w:ascii="宋体" w:hAnsi="宋体"/>
                <w:szCs w:val="21"/>
              </w:rPr>
              <w:drawing>
                <wp:inline distT="0" distB="0" distL="114300" distR="114300">
                  <wp:extent cx="6181090" cy="4769485"/>
                  <wp:effectExtent l="0" t="0" r="10160" b="12065"/>
                  <wp:docPr id="81" name="图片 41" descr="南雄市志_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1" descr="南雄市志_0039"/>
                          <pic:cNvPicPr>
                            <a:picLocks noChangeAspect="1"/>
                          </pic:cNvPicPr>
                        </pic:nvPicPr>
                        <pic:blipFill>
                          <a:blip r:embed="rId52"/>
                          <a:stretch>
                            <a:fillRect/>
                          </a:stretch>
                        </pic:blipFill>
                        <pic:spPr>
                          <a:xfrm>
                            <a:off x="0" y="0"/>
                            <a:ext cx="6181090" cy="4769485"/>
                          </a:xfrm>
                          <a:prstGeom prst="rect">
                            <a:avLst/>
                          </a:prstGeom>
                          <a:noFill/>
                          <a:ln>
                            <a:noFill/>
                          </a:ln>
                        </pic:spPr>
                      </pic:pic>
                    </a:graphicData>
                  </a:graphic>
                </wp:inline>
              </w:drawing>
            </w:r>
          </w:p>
        </w:tc>
      </w:tr>
      <w:tr w14:paraId="235314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6A3129B6">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中国联通南雄分公司营业</w:t>
            </w:r>
          </w:p>
        </w:tc>
      </w:tr>
    </w:tbl>
    <w:p w14:paraId="6AA4C4A4">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00A5F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F96F111">
            <w:pPr>
              <w:ind w:firstLine="0" w:firstLineChars="0"/>
              <w:jc w:val="center"/>
              <w:rPr>
                <w:rFonts w:ascii="宋体" w:hAnsi="宋体"/>
                <w:szCs w:val="21"/>
              </w:rPr>
            </w:pPr>
            <w:r>
              <w:rPr>
                <w:rFonts w:ascii="宋体" w:hAnsi="宋体"/>
                <w:szCs w:val="21"/>
              </w:rPr>
              <w:drawing>
                <wp:inline distT="0" distB="0" distL="114300" distR="114300">
                  <wp:extent cx="6181090" cy="4455160"/>
                  <wp:effectExtent l="0" t="0" r="10160" b="2540"/>
                  <wp:docPr id="87" name="图片 42" descr="南雄市志_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42" descr="南雄市志_0040"/>
                          <pic:cNvPicPr>
                            <a:picLocks noChangeAspect="1"/>
                          </pic:cNvPicPr>
                        </pic:nvPicPr>
                        <pic:blipFill>
                          <a:blip r:embed="rId53"/>
                          <a:stretch>
                            <a:fillRect/>
                          </a:stretch>
                        </pic:blipFill>
                        <pic:spPr>
                          <a:xfrm>
                            <a:off x="0" y="0"/>
                            <a:ext cx="6181090" cy="4455160"/>
                          </a:xfrm>
                          <a:prstGeom prst="rect">
                            <a:avLst/>
                          </a:prstGeom>
                          <a:noFill/>
                          <a:ln>
                            <a:noFill/>
                          </a:ln>
                        </pic:spPr>
                      </pic:pic>
                    </a:graphicData>
                  </a:graphic>
                </wp:inline>
              </w:drawing>
            </w:r>
          </w:p>
        </w:tc>
      </w:tr>
      <w:tr w14:paraId="35EF86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52461423">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中国铁通营业厅</w:t>
            </w:r>
          </w:p>
        </w:tc>
      </w:tr>
    </w:tbl>
    <w:p w14:paraId="7C4F08F2">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F718B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B1B4B9A">
            <w:pPr>
              <w:ind w:firstLine="0" w:firstLineChars="0"/>
              <w:jc w:val="center"/>
              <w:rPr>
                <w:rFonts w:ascii="宋体" w:hAnsi="宋体"/>
                <w:szCs w:val="21"/>
              </w:rPr>
            </w:pPr>
            <w:r>
              <w:rPr>
                <w:rFonts w:ascii="宋体" w:hAnsi="宋体"/>
                <w:szCs w:val="21"/>
              </w:rPr>
              <w:drawing>
                <wp:inline distT="0" distB="0" distL="114300" distR="114300">
                  <wp:extent cx="6181090" cy="4725670"/>
                  <wp:effectExtent l="0" t="0" r="10160" b="17780"/>
                  <wp:docPr id="85" name="图片 43" descr="南雄市志_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3" descr="南雄市志_0041"/>
                          <pic:cNvPicPr>
                            <a:picLocks noChangeAspect="1"/>
                          </pic:cNvPicPr>
                        </pic:nvPicPr>
                        <pic:blipFill>
                          <a:blip r:embed="rId54"/>
                          <a:stretch>
                            <a:fillRect/>
                          </a:stretch>
                        </pic:blipFill>
                        <pic:spPr>
                          <a:xfrm>
                            <a:off x="0" y="0"/>
                            <a:ext cx="6181090" cy="4725670"/>
                          </a:xfrm>
                          <a:prstGeom prst="rect">
                            <a:avLst/>
                          </a:prstGeom>
                          <a:noFill/>
                          <a:ln>
                            <a:noFill/>
                          </a:ln>
                        </pic:spPr>
                      </pic:pic>
                    </a:graphicData>
                  </a:graphic>
                </wp:inline>
              </w:drawing>
            </w:r>
          </w:p>
        </w:tc>
      </w:tr>
      <w:tr w14:paraId="64E8B4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1515AB64">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中国电信营业大厅</w:t>
            </w:r>
          </w:p>
        </w:tc>
      </w:tr>
    </w:tbl>
    <w:p w14:paraId="347EDC15">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0554F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72EBD35E">
            <w:pPr>
              <w:ind w:firstLine="0" w:firstLineChars="0"/>
              <w:jc w:val="center"/>
              <w:rPr>
                <w:rFonts w:ascii="宋体" w:hAnsi="宋体"/>
                <w:szCs w:val="21"/>
              </w:rPr>
            </w:pPr>
            <w:r>
              <w:rPr>
                <w:rFonts w:ascii="宋体" w:hAnsi="宋体"/>
                <w:szCs w:val="21"/>
              </w:rPr>
              <w:drawing>
                <wp:inline distT="0" distB="0" distL="114300" distR="114300">
                  <wp:extent cx="6181090" cy="4608830"/>
                  <wp:effectExtent l="0" t="0" r="10160" b="1270"/>
                  <wp:docPr id="93" name="图片 44" descr="南雄市志_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4" descr="南雄市志_0042"/>
                          <pic:cNvPicPr>
                            <a:picLocks noChangeAspect="1"/>
                          </pic:cNvPicPr>
                        </pic:nvPicPr>
                        <pic:blipFill>
                          <a:blip r:embed="rId55"/>
                          <a:stretch>
                            <a:fillRect/>
                          </a:stretch>
                        </pic:blipFill>
                        <pic:spPr>
                          <a:xfrm>
                            <a:off x="0" y="0"/>
                            <a:ext cx="6181090" cy="4608830"/>
                          </a:xfrm>
                          <a:prstGeom prst="rect">
                            <a:avLst/>
                          </a:prstGeom>
                          <a:noFill/>
                          <a:ln>
                            <a:noFill/>
                          </a:ln>
                        </pic:spPr>
                      </pic:pic>
                    </a:graphicData>
                  </a:graphic>
                </wp:inline>
              </w:drawing>
            </w:r>
          </w:p>
        </w:tc>
      </w:tr>
      <w:tr w14:paraId="228889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21C06C06">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中国电信微机房</w:t>
            </w:r>
          </w:p>
        </w:tc>
      </w:tr>
    </w:tbl>
    <w:p w14:paraId="70631E8F">
      <w:pPr>
        <w:pStyle w:val="3"/>
        <w:rPr>
          <w:rFonts w:ascii="宋体" w:hAnsi="宋体"/>
        </w:rPr>
      </w:pPr>
      <w:r>
        <w:rPr>
          <w:rFonts w:hint="eastAsia" w:ascii="宋体" w:hAnsi="宋体"/>
        </w:rPr>
        <w:t>金融服务</w:t>
      </w: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E36F4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4FCDD22">
            <w:pPr>
              <w:ind w:firstLine="0" w:firstLineChars="0"/>
              <w:jc w:val="center"/>
              <w:rPr>
                <w:rFonts w:ascii="宋体" w:hAnsi="宋体"/>
                <w:szCs w:val="21"/>
              </w:rPr>
            </w:pPr>
            <w:r>
              <w:rPr>
                <w:rFonts w:ascii="宋体" w:hAnsi="宋体"/>
                <w:szCs w:val="21"/>
              </w:rPr>
              <w:drawing>
                <wp:inline distT="0" distB="0" distL="114300" distR="114300">
                  <wp:extent cx="6181090" cy="4681855"/>
                  <wp:effectExtent l="0" t="0" r="10160" b="4445"/>
                  <wp:docPr id="66" name="图片 45" descr="南雄市志_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5" descr="南雄市志_0043"/>
                          <pic:cNvPicPr>
                            <a:picLocks noChangeAspect="1"/>
                          </pic:cNvPicPr>
                        </pic:nvPicPr>
                        <pic:blipFill>
                          <a:blip r:embed="rId56"/>
                          <a:stretch>
                            <a:fillRect/>
                          </a:stretch>
                        </pic:blipFill>
                        <pic:spPr>
                          <a:xfrm>
                            <a:off x="0" y="0"/>
                            <a:ext cx="6181090" cy="4681855"/>
                          </a:xfrm>
                          <a:prstGeom prst="rect">
                            <a:avLst/>
                          </a:prstGeom>
                          <a:noFill/>
                          <a:ln>
                            <a:noFill/>
                          </a:ln>
                        </pic:spPr>
                      </pic:pic>
                    </a:graphicData>
                  </a:graphic>
                </wp:inline>
              </w:drawing>
            </w:r>
          </w:p>
        </w:tc>
      </w:tr>
      <w:tr w14:paraId="682A02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vAlign w:val="center"/>
          </w:tcPr>
          <w:p w14:paraId="182F8429">
            <w:pPr>
              <w:ind w:firstLine="420"/>
              <w:rPr>
                <w:rFonts w:ascii="宋体" w:hAnsi="宋体" w:cs="宋体"/>
                <w:b/>
                <w:bCs/>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建设银行</w:t>
            </w:r>
          </w:p>
        </w:tc>
      </w:tr>
    </w:tbl>
    <w:p w14:paraId="38C7D5F3">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4B69B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908DA83">
            <w:pPr>
              <w:ind w:firstLine="0" w:firstLineChars="0"/>
              <w:jc w:val="center"/>
              <w:rPr>
                <w:rFonts w:ascii="宋体" w:hAnsi="宋体"/>
                <w:szCs w:val="21"/>
              </w:rPr>
            </w:pPr>
            <w:r>
              <w:rPr>
                <w:rFonts w:ascii="宋体" w:hAnsi="宋体"/>
                <w:szCs w:val="21"/>
              </w:rPr>
              <w:drawing>
                <wp:inline distT="0" distB="0" distL="114300" distR="114300">
                  <wp:extent cx="6181090" cy="4696460"/>
                  <wp:effectExtent l="0" t="0" r="10160" b="8890"/>
                  <wp:docPr id="65" name="图片 46" descr="南雄市志_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6" descr="南雄市志_0044"/>
                          <pic:cNvPicPr>
                            <a:picLocks noChangeAspect="1"/>
                          </pic:cNvPicPr>
                        </pic:nvPicPr>
                        <pic:blipFill>
                          <a:blip r:embed="rId57"/>
                          <a:stretch>
                            <a:fillRect/>
                          </a:stretch>
                        </pic:blipFill>
                        <pic:spPr>
                          <a:xfrm>
                            <a:off x="0" y="0"/>
                            <a:ext cx="6181090" cy="4696460"/>
                          </a:xfrm>
                          <a:prstGeom prst="rect">
                            <a:avLst/>
                          </a:prstGeom>
                          <a:noFill/>
                          <a:ln>
                            <a:noFill/>
                          </a:ln>
                        </pic:spPr>
                      </pic:pic>
                    </a:graphicData>
                  </a:graphic>
                </wp:inline>
              </w:drawing>
            </w:r>
          </w:p>
        </w:tc>
      </w:tr>
      <w:tr w14:paraId="25470D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74AA1629">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农村信用社</w:t>
            </w:r>
          </w:p>
        </w:tc>
      </w:tr>
    </w:tbl>
    <w:p w14:paraId="25AE927C">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B4F0B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5752730">
            <w:pPr>
              <w:ind w:firstLine="0" w:firstLineChars="0"/>
              <w:jc w:val="center"/>
              <w:rPr>
                <w:rFonts w:ascii="宋体" w:hAnsi="宋体"/>
                <w:szCs w:val="21"/>
              </w:rPr>
            </w:pPr>
            <w:r>
              <w:rPr>
                <w:rFonts w:ascii="宋体" w:hAnsi="宋体"/>
                <w:szCs w:val="21"/>
              </w:rPr>
              <w:drawing>
                <wp:inline distT="0" distB="0" distL="114300" distR="114300">
                  <wp:extent cx="6181090" cy="7015480"/>
                  <wp:effectExtent l="0" t="0" r="10160" b="13970"/>
                  <wp:docPr id="94" name="图片 47" descr="南雄市志_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7" descr="南雄市志_0045"/>
                          <pic:cNvPicPr>
                            <a:picLocks noChangeAspect="1"/>
                          </pic:cNvPicPr>
                        </pic:nvPicPr>
                        <pic:blipFill>
                          <a:blip r:embed="rId58"/>
                          <a:stretch>
                            <a:fillRect/>
                          </a:stretch>
                        </pic:blipFill>
                        <pic:spPr>
                          <a:xfrm>
                            <a:off x="0" y="0"/>
                            <a:ext cx="6181090" cy="7015480"/>
                          </a:xfrm>
                          <a:prstGeom prst="rect">
                            <a:avLst/>
                          </a:prstGeom>
                          <a:noFill/>
                          <a:ln>
                            <a:noFill/>
                          </a:ln>
                        </pic:spPr>
                      </pic:pic>
                    </a:graphicData>
                  </a:graphic>
                </wp:inline>
              </w:drawing>
            </w:r>
          </w:p>
        </w:tc>
      </w:tr>
      <w:tr w14:paraId="258915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74FFA23F">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中国银行</w:t>
            </w:r>
          </w:p>
        </w:tc>
      </w:tr>
    </w:tbl>
    <w:p w14:paraId="7C65A6F6">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EE34F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87B2B53">
            <w:pPr>
              <w:ind w:firstLine="0" w:firstLineChars="0"/>
              <w:jc w:val="center"/>
              <w:rPr>
                <w:rFonts w:ascii="宋体" w:hAnsi="宋体"/>
                <w:szCs w:val="21"/>
              </w:rPr>
            </w:pPr>
            <w:r>
              <w:rPr>
                <w:rFonts w:ascii="宋体" w:hAnsi="宋体"/>
                <w:szCs w:val="21"/>
              </w:rPr>
              <w:drawing>
                <wp:inline distT="0" distB="0" distL="114300" distR="114300">
                  <wp:extent cx="6181090" cy="4667250"/>
                  <wp:effectExtent l="0" t="0" r="10160" b="0"/>
                  <wp:docPr id="95" name="图片 48" descr="南雄市志_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8" descr="南雄市志_0046"/>
                          <pic:cNvPicPr>
                            <a:picLocks noChangeAspect="1"/>
                          </pic:cNvPicPr>
                        </pic:nvPicPr>
                        <pic:blipFill>
                          <a:blip r:embed="rId59"/>
                          <a:stretch>
                            <a:fillRect/>
                          </a:stretch>
                        </pic:blipFill>
                        <pic:spPr>
                          <a:xfrm>
                            <a:off x="0" y="0"/>
                            <a:ext cx="6181090" cy="4667250"/>
                          </a:xfrm>
                          <a:prstGeom prst="rect">
                            <a:avLst/>
                          </a:prstGeom>
                          <a:noFill/>
                          <a:ln>
                            <a:noFill/>
                          </a:ln>
                        </pic:spPr>
                      </pic:pic>
                    </a:graphicData>
                  </a:graphic>
                </wp:inline>
              </w:drawing>
            </w:r>
          </w:p>
        </w:tc>
      </w:tr>
      <w:tr w14:paraId="2F19C5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10B3005B">
            <w:pPr>
              <w:ind w:firstLine="420"/>
              <w:rPr>
                <w:rFonts w:ascii="宋体" w:hAnsi="宋体" w:cs="宋体"/>
                <w:b/>
                <w:bCs/>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工商银行</w:t>
            </w:r>
          </w:p>
        </w:tc>
      </w:tr>
    </w:tbl>
    <w:p w14:paraId="1C56B908">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E460B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C9437A8">
            <w:pPr>
              <w:ind w:firstLine="0" w:firstLineChars="0"/>
              <w:jc w:val="center"/>
              <w:rPr>
                <w:rFonts w:ascii="宋体" w:hAnsi="宋体"/>
                <w:szCs w:val="21"/>
              </w:rPr>
            </w:pPr>
            <w:r>
              <w:rPr>
                <w:rFonts w:ascii="宋体" w:hAnsi="宋体"/>
                <w:szCs w:val="21"/>
              </w:rPr>
              <w:drawing>
                <wp:inline distT="0" distB="0" distL="114300" distR="114300">
                  <wp:extent cx="6181090" cy="4557395"/>
                  <wp:effectExtent l="0" t="0" r="10160" b="14605"/>
                  <wp:docPr id="83" name="图片 49" descr="南雄市志_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9" descr="南雄市志_0047"/>
                          <pic:cNvPicPr>
                            <a:picLocks noChangeAspect="1"/>
                          </pic:cNvPicPr>
                        </pic:nvPicPr>
                        <pic:blipFill>
                          <a:blip r:embed="rId60"/>
                          <a:stretch>
                            <a:fillRect/>
                          </a:stretch>
                        </pic:blipFill>
                        <pic:spPr>
                          <a:xfrm>
                            <a:off x="0" y="0"/>
                            <a:ext cx="6181090" cy="4557395"/>
                          </a:xfrm>
                          <a:prstGeom prst="rect">
                            <a:avLst/>
                          </a:prstGeom>
                          <a:noFill/>
                          <a:ln>
                            <a:noFill/>
                          </a:ln>
                        </pic:spPr>
                      </pic:pic>
                    </a:graphicData>
                  </a:graphic>
                </wp:inline>
              </w:drawing>
            </w:r>
          </w:p>
        </w:tc>
      </w:tr>
      <w:tr w14:paraId="766F66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2EB9B55F">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市财政国库支付中心</w:t>
            </w:r>
          </w:p>
        </w:tc>
      </w:tr>
    </w:tbl>
    <w:p w14:paraId="39BEC8F2">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D6B9F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04E2F73">
            <w:pPr>
              <w:ind w:firstLine="0" w:firstLineChars="0"/>
              <w:jc w:val="center"/>
              <w:rPr>
                <w:rFonts w:ascii="宋体" w:hAnsi="宋体"/>
                <w:szCs w:val="21"/>
              </w:rPr>
            </w:pPr>
            <w:r>
              <w:rPr>
                <w:rFonts w:ascii="宋体" w:hAnsi="宋体"/>
                <w:szCs w:val="21"/>
              </w:rPr>
              <w:drawing>
                <wp:inline distT="0" distB="0" distL="114300" distR="114300">
                  <wp:extent cx="6181090" cy="4652645"/>
                  <wp:effectExtent l="0" t="0" r="10160" b="14605"/>
                  <wp:docPr id="89" name="图片 50" descr="南雄市志_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50" descr="南雄市志_0048"/>
                          <pic:cNvPicPr>
                            <a:picLocks noChangeAspect="1"/>
                          </pic:cNvPicPr>
                        </pic:nvPicPr>
                        <pic:blipFill>
                          <a:blip r:embed="rId61"/>
                          <a:stretch>
                            <a:fillRect/>
                          </a:stretch>
                        </pic:blipFill>
                        <pic:spPr>
                          <a:xfrm>
                            <a:off x="0" y="0"/>
                            <a:ext cx="6181090" cy="4652645"/>
                          </a:xfrm>
                          <a:prstGeom prst="rect">
                            <a:avLst/>
                          </a:prstGeom>
                          <a:noFill/>
                          <a:ln>
                            <a:noFill/>
                          </a:ln>
                        </pic:spPr>
                      </pic:pic>
                    </a:graphicData>
                  </a:graphic>
                </wp:inline>
              </w:drawing>
            </w:r>
          </w:p>
        </w:tc>
      </w:tr>
      <w:tr w14:paraId="596D59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6104FA04">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农业银行（大成街）</w:t>
            </w:r>
          </w:p>
        </w:tc>
      </w:tr>
    </w:tbl>
    <w:p w14:paraId="64A6939E">
      <w:pPr>
        <w:pStyle w:val="3"/>
        <w:rPr>
          <w:rFonts w:ascii="宋体" w:hAnsi="宋体"/>
        </w:rPr>
      </w:pPr>
      <w:r>
        <w:rPr>
          <w:rFonts w:hint="eastAsia" w:ascii="宋体" w:hAnsi="宋体"/>
        </w:rPr>
        <w:t>工矿商贸</w:t>
      </w: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3B0A1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9E25BD8">
            <w:pPr>
              <w:ind w:firstLine="0" w:firstLineChars="0"/>
              <w:jc w:val="center"/>
              <w:rPr>
                <w:rFonts w:ascii="宋体" w:hAnsi="宋体"/>
                <w:szCs w:val="21"/>
              </w:rPr>
            </w:pPr>
            <w:r>
              <w:rPr>
                <w:rFonts w:ascii="宋体" w:hAnsi="宋体"/>
                <w:szCs w:val="21"/>
              </w:rPr>
              <w:drawing>
                <wp:inline distT="0" distB="0" distL="114300" distR="114300">
                  <wp:extent cx="6174105" cy="2830830"/>
                  <wp:effectExtent l="0" t="0" r="17145" b="7620"/>
                  <wp:docPr id="75" name="图片 51" descr="南雄市志_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51" descr="南雄市志_0049"/>
                          <pic:cNvPicPr>
                            <a:picLocks noChangeAspect="1"/>
                          </pic:cNvPicPr>
                        </pic:nvPicPr>
                        <pic:blipFill>
                          <a:blip r:embed="rId62"/>
                          <a:stretch>
                            <a:fillRect/>
                          </a:stretch>
                        </pic:blipFill>
                        <pic:spPr>
                          <a:xfrm>
                            <a:off x="0" y="0"/>
                            <a:ext cx="6174105" cy="2830830"/>
                          </a:xfrm>
                          <a:prstGeom prst="rect">
                            <a:avLst/>
                          </a:prstGeom>
                          <a:noFill/>
                          <a:ln>
                            <a:noFill/>
                          </a:ln>
                        </pic:spPr>
                      </pic:pic>
                    </a:graphicData>
                  </a:graphic>
                </wp:inline>
              </w:drawing>
            </w:r>
          </w:p>
        </w:tc>
      </w:tr>
      <w:tr w14:paraId="4A5050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066A189E">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明珠工业开发区</w:t>
            </w:r>
          </w:p>
        </w:tc>
      </w:tr>
    </w:tbl>
    <w:p w14:paraId="673FC71C">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CE74E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852F58D">
            <w:pPr>
              <w:ind w:firstLine="0" w:firstLineChars="0"/>
              <w:jc w:val="center"/>
              <w:rPr>
                <w:rFonts w:ascii="宋体" w:hAnsi="宋体"/>
                <w:szCs w:val="21"/>
              </w:rPr>
            </w:pPr>
            <w:r>
              <w:rPr>
                <w:rFonts w:ascii="宋体" w:hAnsi="宋体"/>
                <w:szCs w:val="21"/>
              </w:rPr>
              <w:drawing>
                <wp:inline distT="0" distB="0" distL="114300" distR="114300">
                  <wp:extent cx="6181090" cy="5764530"/>
                  <wp:effectExtent l="0" t="0" r="10160" b="7620"/>
                  <wp:docPr id="76" name="图片 52" descr="南雄市志_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52" descr="南雄市志_0050"/>
                          <pic:cNvPicPr>
                            <a:picLocks noChangeAspect="1"/>
                          </pic:cNvPicPr>
                        </pic:nvPicPr>
                        <pic:blipFill>
                          <a:blip r:embed="rId63"/>
                          <a:stretch>
                            <a:fillRect/>
                          </a:stretch>
                        </pic:blipFill>
                        <pic:spPr>
                          <a:xfrm>
                            <a:off x="0" y="0"/>
                            <a:ext cx="6181090" cy="5764530"/>
                          </a:xfrm>
                          <a:prstGeom prst="rect">
                            <a:avLst/>
                          </a:prstGeom>
                          <a:noFill/>
                          <a:ln>
                            <a:noFill/>
                          </a:ln>
                        </pic:spPr>
                      </pic:pic>
                    </a:graphicData>
                  </a:graphic>
                </wp:inline>
              </w:drawing>
            </w:r>
          </w:p>
        </w:tc>
      </w:tr>
      <w:tr w14:paraId="642C6F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24690A90">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棉土窝矿</w:t>
            </w:r>
          </w:p>
        </w:tc>
      </w:tr>
    </w:tbl>
    <w:p w14:paraId="79712980">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D4A4D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382797B9">
            <w:pPr>
              <w:ind w:firstLine="0" w:firstLineChars="0"/>
              <w:jc w:val="center"/>
              <w:rPr>
                <w:rFonts w:ascii="宋体" w:hAnsi="宋体"/>
                <w:szCs w:val="21"/>
              </w:rPr>
            </w:pPr>
            <w:r>
              <w:rPr>
                <w:rFonts w:ascii="宋体" w:hAnsi="宋体"/>
                <w:szCs w:val="21"/>
              </w:rPr>
              <w:drawing>
                <wp:inline distT="0" distB="0" distL="114300" distR="114300">
                  <wp:extent cx="6181090" cy="5808345"/>
                  <wp:effectExtent l="0" t="0" r="10160" b="1905"/>
                  <wp:docPr id="74" name="图片 53" descr="南雄市志_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53" descr="南雄市志_0051"/>
                          <pic:cNvPicPr>
                            <a:picLocks noChangeAspect="1"/>
                          </pic:cNvPicPr>
                        </pic:nvPicPr>
                        <pic:blipFill>
                          <a:blip r:embed="rId64"/>
                          <a:stretch>
                            <a:fillRect/>
                          </a:stretch>
                        </pic:blipFill>
                        <pic:spPr>
                          <a:xfrm>
                            <a:off x="0" y="0"/>
                            <a:ext cx="6181090" cy="5808345"/>
                          </a:xfrm>
                          <a:prstGeom prst="rect">
                            <a:avLst/>
                          </a:prstGeom>
                          <a:noFill/>
                          <a:ln>
                            <a:noFill/>
                          </a:ln>
                        </pic:spPr>
                      </pic:pic>
                    </a:graphicData>
                  </a:graphic>
                </wp:inline>
              </w:drawing>
            </w:r>
          </w:p>
        </w:tc>
      </w:tr>
      <w:tr w14:paraId="5223F1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6382A05E">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钨矿石</w:t>
            </w:r>
          </w:p>
        </w:tc>
      </w:tr>
    </w:tbl>
    <w:p w14:paraId="7FA0C6BA">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C2FBD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6D81574">
            <w:pPr>
              <w:ind w:firstLine="0" w:firstLineChars="0"/>
              <w:jc w:val="center"/>
              <w:rPr>
                <w:rFonts w:ascii="宋体" w:hAnsi="宋体"/>
                <w:szCs w:val="21"/>
              </w:rPr>
            </w:pPr>
            <w:r>
              <w:rPr>
                <w:rFonts w:ascii="宋体" w:hAnsi="宋体"/>
                <w:szCs w:val="21"/>
              </w:rPr>
              <w:drawing>
                <wp:inline distT="0" distB="0" distL="114300" distR="114300">
                  <wp:extent cx="6181090" cy="2655570"/>
                  <wp:effectExtent l="0" t="0" r="10160" b="11430"/>
                  <wp:docPr id="77" name="图片 54" descr="南雄市志_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54" descr="南雄市志_0052"/>
                          <pic:cNvPicPr>
                            <a:picLocks noChangeAspect="1"/>
                          </pic:cNvPicPr>
                        </pic:nvPicPr>
                        <pic:blipFill>
                          <a:blip r:embed="rId65"/>
                          <a:stretch>
                            <a:fillRect/>
                          </a:stretch>
                        </pic:blipFill>
                        <pic:spPr>
                          <a:xfrm>
                            <a:off x="0" y="0"/>
                            <a:ext cx="6181090" cy="2655570"/>
                          </a:xfrm>
                          <a:prstGeom prst="rect">
                            <a:avLst/>
                          </a:prstGeom>
                          <a:noFill/>
                          <a:ln>
                            <a:noFill/>
                          </a:ln>
                        </pic:spPr>
                      </pic:pic>
                    </a:graphicData>
                  </a:graphic>
                </wp:inline>
              </w:drawing>
            </w:r>
          </w:p>
        </w:tc>
      </w:tr>
      <w:tr w14:paraId="4A4EDE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2D8D815D">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珠玑纸业有限公司</w:t>
            </w:r>
          </w:p>
        </w:tc>
      </w:tr>
    </w:tbl>
    <w:p w14:paraId="701EA3CC">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A120C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2691DF4">
            <w:pPr>
              <w:ind w:firstLine="0" w:firstLineChars="0"/>
              <w:jc w:val="center"/>
              <w:rPr>
                <w:rFonts w:ascii="宋体" w:hAnsi="宋体"/>
                <w:szCs w:val="21"/>
              </w:rPr>
            </w:pPr>
            <w:r>
              <w:rPr>
                <w:rFonts w:ascii="宋体" w:hAnsi="宋体"/>
                <w:szCs w:val="21"/>
              </w:rPr>
              <w:drawing>
                <wp:inline distT="0" distB="0" distL="114300" distR="114300">
                  <wp:extent cx="6181090" cy="5222875"/>
                  <wp:effectExtent l="0" t="0" r="10160" b="15875"/>
                  <wp:docPr id="67" name="图片 55" descr="南雄市志_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55" descr="南雄市志_0053"/>
                          <pic:cNvPicPr>
                            <a:picLocks noChangeAspect="1"/>
                          </pic:cNvPicPr>
                        </pic:nvPicPr>
                        <pic:blipFill>
                          <a:blip r:embed="rId66"/>
                          <a:stretch>
                            <a:fillRect/>
                          </a:stretch>
                        </pic:blipFill>
                        <pic:spPr>
                          <a:xfrm>
                            <a:off x="0" y="0"/>
                            <a:ext cx="6181090" cy="5222875"/>
                          </a:xfrm>
                          <a:prstGeom prst="rect">
                            <a:avLst/>
                          </a:prstGeom>
                          <a:noFill/>
                          <a:ln>
                            <a:noFill/>
                          </a:ln>
                        </pic:spPr>
                      </pic:pic>
                    </a:graphicData>
                  </a:graphic>
                </wp:inline>
              </w:drawing>
            </w:r>
          </w:p>
        </w:tc>
      </w:tr>
    </w:tbl>
    <w:p w14:paraId="1E122997">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F35E5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CC86B67">
            <w:pPr>
              <w:ind w:firstLine="0" w:firstLineChars="0"/>
              <w:jc w:val="center"/>
              <w:rPr>
                <w:rFonts w:ascii="宋体" w:hAnsi="宋体"/>
                <w:szCs w:val="21"/>
              </w:rPr>
            </w:pPr>
            <w:r>
              <w:rPr>
                <w:rFonts w:ascii="宋体" w:hAnsi="宋体"/>
                <w:szCs w:val="21"/>
              </w:rPr>
              <w:drawing>
                <wp:inline distT="0" distB="0" distL="114300" distR="114300">
                  <wp:extent cx="6181090" cy="4528185"/>
                  <wp:effectExtent l="0" t="0" r="10160" b="5715"/>
                  <wp:docPr id="69" name="图片 56" descr="南雄市志_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6" descr="南雄市志_0054"/>
                          <pic:cNvPicPr>
                            <a:picLocks noChangeAspect="1"/>
                          </pic:cNvPicPr>
                        </pic:nvPicPr>
                        <pic:blipFill>
                          <a:blip r:embed="rId67"/>
                          <a:stretch>
                            <a:fillRect/>
                          </a:stretch>
                        </pic:blipFill>
                        <pic:spPr>
                          <a:xfrm>
                            <a:off x="0" y="0"/>
                            <a:ext cx="6181090" cy="4528185"/>
                          </a:xfrm>
                          <a:prstGeom prst="rect">
                            <a:avLst/>
                          </a:prstGeom>
                          <a:noFill/>
                          <a:ln>
                            <a:noFill/>
                          </a:ln>
                        </pic:spPr>
                      </pic:pic>
                    </a:graphicData>
                  </a:graphic>
                </wp:inline>
              </w:drawing>
            </w:r>
          </w:p>
        </w:tc>
      </w:tr>
    </w:tbl>
    <w:p w14:paraId="36121BB1">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F1574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EC540B9">
            <w:pPr>
              <w:ind w:firstLine="0" w:firstLineChars="0"/>
              <w:jc w:val="center"/>
              <w:rPr>
                <w:rFonts w:ascii="宋体" w:hAnsi="宋体"/>
                <w:szCs w:val="21"/>
              </w:rPr>
            </w:pPr>
            <w:r>
              <w:rPr>
                <w:rFonts w:ascii="宋体" w:hAnsi="宋体"/>
                <w:szCs w:val="21"/>
              </w:rPr>
              <w:drawing>
                <wp:inline distT="0" distB="0" distL="114300" distR="114300">
                  <wp:extent cx="6181090" cy="3789045"/>
                  <wp:effectExtent l="0" t="0" r="10160" b="1905"/>
                  <wp:docPr id="88" name="图片 57" descr="南雄市志_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57" descr="南雄市志_0055"/>
                          <pic:cNvPicPr>
                            <a:picLocks noChangeAspect="1"/>
                          </pic:cNvPicPr>
                        </pic:nvPicPr>
                        <pic:blipFill>
                          <a:blip r:embed="rId68"/>
                          <a:stretch>
                            <a:fillRect/>
                          </a:stretch>
                        </pic:blipFill>
                        <pic:spPr>
                          <a:xfrm>
                            <a:off x="0" y="0"/>
                            <a:ext cx="6181090" cy="3789045"/>
                          </a:xfrm>
                          <a:prstGeom prst="rect">
                            <a:avLst/>
                          </a:prstGeom>
                          <a:noFill/>
                          <a:ln>
                            <a:noFill/>
                          </a:ln>
                        </pic:spPr>
                      </pic:pic>
                    </a:graphicData>
                  </a:graphic>
                </wp:inline>
              </w:drawing>
            </w:r>
          </w:p>
        </w:tc>
      </w:tr>
    </w:tbl>
    <w:p w14:paraId="49A969D6">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2F32D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16CDBDB">
            <w:pPr>
              <w:ind w:firstLine="0" w:firstLineChars="0"/>
              <w:jc w:val="center"/>
              <w:rPr>
                <w:rFonts w:ascii="宋体" w:hAnsi="宋体"/>
                <w:szCs w:val="21"/>
              </w:rPr>
            </w:pPr>
            <w:r>
              <w:rPr>
                <w:rFonts w:ascii="宋体" w:hAnsi="宋体"/>
                <w:szCs w:val="21"/>
              </w:rPr>
              <w:drawing>
                <wp:inline distT="0" distB="0" distL="114300" distR="114300">
                  <wp:extent cx="6181090" cy="4381500"/>
                  <wp:effectExtent l="0" t="0" r="10160" b="0"/>
                  <wp:docPr id="79" name="图片 58" descr="南雄市志_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8" descr="南雄市志_0056"/>
                          <pic:cNvPicPr>
                            <a:picLocks noChangeAspect="1"/>
                          </pic:cNvPicPr>
                        </pic:nvPicPr>
                        <pic:blipFill>
                          <a:blip r:embed="rId69"/>
                          <a:stretch>
                            <a:fillRect/>
                          </a:stretch>
                        </pic:blipFill>
                        <pic:spPr>
                          <a:xfrm>
                            <a:off x="0" y="0"/>
                            <a:ext cx="6181090" cy="4381500"/>
                          </a:xfrm>
                          <a:prstGeom prst="rect">
                            <a:avLst/>
                          </a:prstGeom>
                          <a:noFill/>
                          <a:ln>
                            <a:noFill/>
                          </a:ln>
                        </pic:spPr>
                      </pic:pic>
                    </a:graphicData>
                  </a:graphic>
                </wp:inline>
              </w:drawing>
            </w:r>
          </w:p>
        </w:tc>
      </w:tr>
      <w:tr w14:paraId="2AB535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7C55570F">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绿洲纸模包装制品有限公司</w:t>
            </w:r>
          </w:p>
        </w:tc>
      </w:tr>
    </w:tbl>
    <w:p w14:paraId="5330C036">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49E6C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3ACD354">
            <w:pPr>
              <w:ind w:firstLine="0" w:firstLineChars="0"/>
              <w:jc w:val="center"/>
              <w:rPr>
                <w:rFonts w:ascii="宋体" w:hAnsi="宋体"/>
                <w:szCs w:val="21"/>
              </w:rPr>
            </w:pPr>
            <w:r>
              <w:rPr>
                <w:rFonts w:ascii="宋体" w:hAnsi="宋体"/>
                <w:szCs w:val="21"/>
              </w:rPr>
              <w:drawing>
                <wp:inline distT="0" distB="0" distL="114300" distR="114300">
                  <wp:extent cx="6174105" cy="3986530"/>
                  <wp:effectExtent l="0" t="0" r="17145" b="13970"/>
                  <wp:docPr id="70" name="图片 59" descr="南雄市志_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59" descr="南雄市志_0057"/>
                          <pic:cNvPicPr>
                            <a:picLocks noChangeAspect="1"/>
                          </pic:cNvPicPr>
                        </pic:nvPicPr>
                        <pic:blipFill>
                          <a:blip r:embed="rId70"/>
                          <a:stretch>
                            <a:fillRect/>
                          </a:stretch>
                        </pic:blipFill>
                        <pic:spPr>
                          <a:xfrm>
                            <a:off x="0" y="0"/>
                            <a:ext cx="6174105" cy="3986530"/>
                          </a:xfrm>
                          <a:prstGeom prst="rect">
                            <a:avLst/>
                          </a:prstGeom>
                          <a:noFill/>
                          <a:ln>
                            <a:noFill/>
                          </a:ln>
                        </pic:spPr>
                      </pic:pic>
                    </a:graphicData>
                  </a:graphic>
                </wp:inline>
              </w:drawing>
            </w:r>
          </w:p>
        </w:tc>
      </w:tr>
    </w:tbl>
    <w:p w14:paraId="67BA01F5">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3DF32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59E4D91">
            <w:pPr>
              <w:ind w:firstLine="0" w:firstLineChars="0"/>
              <w:jc w:val="center"/>
              <w:rPr>
                <w:rFonts w:ascii="宋体" w:hAnsi="宋体"/>
                <w:szCs w:val="21"/>
              </w:rPr>
            </w:pPr>
            <w:r>
              <w:rPr>
                <w:rFonts w:ascii="宋体" w:hAnsi="宋体"/>
                <w:szCs w:val="21"/>
              </w:rPr>
              <w:drawing>
                <wp:inline distT="0" distB="0" distL="114300" distR="114300">
                  <wp:extent cx="6181090" cy="4476750"/>
                  <wp:effectExtent l="0" t="0" r="10160" b="0"/>
                  <wp:docPr id="82" name="图片 60" descr="南雄市志_0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0" descr="南雄市志_0058"/>
                          <pic:cNvPicPr>
                            <a:picLocks noChangeAspect="1"/>
                          </pic:cNvPicPr>
                        </pic:nvPicPr>
                        <pic:blipFill>
                          <a:blip r:embed="rId71"/>
                          <a:stretch>
                            <a:fillRect/>
                          </a:stretch>
                        </pic:blipFill>
                        <pic:spPr>
                          <a:xfrm>
                            <a:off x="0" y="0"/>
                            <a:ext cx="6181090" cy="4476750"/>
                          </a:xfrm>
                          <a:prstGeom prst="rect">
                            <a:avLst/>
                          </a:prstGeom>
                          <a:noFill/>
                          <a:ln>
                            <a:noFill/>
                          </a:ln>
                        </pic:spPr>
                      </pic:pic>
                    </a:graphicData>
                  </a:graphic>
                </wp:inline>
              </w:drawing>
            </w:r>
          </w:p>
        </w:tc>
      </w:tr>
      <w:tr w14:paraId="2D586C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1A308784">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日成公司生产车间</w:t>
            </w:r>
          </w:p>
        </w:tc>
      </w:tr>
    </w:tbl>
    <w:p w14:paraId="77CFAF58">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D3B92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484CCA30">
            <w:pPr>
              <w:ind w:firstLine="0" w:firstLineChars="0"/>
              <w:jc w:val="center"/>
              <w:rPr>
                <w:rFonts w:ascii="宋体" w:hAnsi="宋体"/>
                <w:szCs w:val="21"/>
              </w:rPr>
            </w:pPr>
            <w:r>
              <w:rPr>
                <w:rFonts w:ascii="宋体" w:hAnsi="宋体"/>
                <w:szCs w:val="21"/>
              </w:rPr>
              <w:drawing>
                <wp:inline distT="0" distB="0" distL="114300" distR="114300">
                  <wp:extent cx="6181090" cy="4411345"/>
                  <wp:effectExtent l="0" t="0" r="10160" b="8255"/>
                  <wp:docPr id="84" name="图片 61" descr="南雄市志_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61" descr="南雄市志_0059"/>
                          <pic:cNvPicPr>
                            <a:picLocks noChangeAspect="1"/>
                          </pic:cNvPicPr>
                        </pic:nvPicPr>
                        <pic:blipFill>
                          <a:blip r:embed="rId72"/>
                          <a:stretch>
                            <a:fillRect/>
                          </a:stretch>
                        </pic:blipFill>
                        <pic:spPr>
                          <a:xfrm>
                            <a:off x="0" y="0"/>
                            <a:ext cx="6181090" cy="4411345"/>
                          </a:xfrm>
                          <a:prstGeom prst="rect">
                            <a:avLst/>
                          </a:prstGeom>
                          <a:noFill/>
                          <a:ln>
                            <a:noFill/>
                          </a:ln>
                        </pic:spPr>
                      </pic:pic>
                    </a:graphicData>
                  </a:graphic>
                </wp:inline>
              </w:drawing>
            </w:r>
          </w:p>
        </w:tc>
      </w:tr>
      <w:tr w14:paraId="1A2D47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3E0E9558">
            <w:pPr>
              <w:ind w:firstLine="420"/>
              <w:rPr>
                <w:rFonts w:ascii="宋体" w:hAnsi="宋体" w:cs="宋体"/>
                <w:b/>
                <w:bCs/>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正勤手袋厂生产车间</w:t>
            </w:r>
          </w:p>
        </w:tc>
      </w:tr>
    </w:tbl>
    <w:p w14:paraId="45BCC543">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00119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6AD3C55">
            <w:pPr>
              <w:ind w:firstLine="0" w:firstLineChars="0"/>
              <w:jc w:val="center"/>
              <w:rPr>
                <w:rFonts w:ascii="宋体" w:hAnsi="宋体"/>
                <w:szCs w:val="21"/>
              </w:rPr>
            </w:pPr>
            <w:r>
              <w:rPr>
                <w:rFonts w:ascii="宋体" w:hAnsi="宋体"/>
                <w:szCs w:val="21"/>
              </w:rPr>
              <w:drawing>
                <wp:inline distT="0" distB="0" distL="114300" distR="114300">
                  <wp:extent cx="6181090" cy="5764530"/>
                  <wp:effectExtent l="0" t="0" r="10160" b="7620"/>
                  <wp:docPr id="90" name="图片 62" descr="南雄市志_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62" descr="南雄市志_0060"/>
                          <pic:cNvPicPr>
                            <a:picLocks noChangeAspect="1"/>
                          </pic:cNvPicPr>
                        </pic:nvPicPr>
                        <pic:blipFill>
                          <a:blip r:embed="rId73"/>
                          <a:stretch>
                            <a:fillRect/>
                          </a:stretch>
                        </pic:blipFill>
                        <pic:spPr>
                          <a:xfrm>
                            <a:off x="0" y="0"/>
                            <a:ext cx="6181090" cy="5764530"/>
                          </a:xfrm>
                          <a:prstGeom prst="rect">
                            <a:avLst/>
                          </a:prstGeom>
                          <a:noFill/>
                          <a:ln>
                            <a:noFill/>
                          </a:ln>
                        </pic:spPr>
                      </pic:pic>
                    </a:graphicData>
                  </a:graphic>
                </wp:inline>
              </w:drawing>
            </w:r>
          </w:p>
        </w:tc>
      </w:tr>
      <w:tr w14:paraId="4F45ED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70E497E4">
            <w:pPr>
              <w:ind w:firstLine="420"/>
              <w:rPr>
                <w:rFonts w:ascii="宋体" w:hAnsi="宋体" w:cs="宋体"/>
                <w:b/>
                <w:bCs/>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永骏食品罐头厂</w:t>
            </w:r>
          </w:p>
        </w:tc>
      </w:tr>
    </w:tbl>
    <w:p w14:paraId="643AB418">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6A537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0AA9236F">
            <w:pPr>
              <w:ind w:firstLine="0" w:firstLineChars="0"/>
              <w:jc w:val="center"/>
              <w:rPr>
                <w:rFonts w:ascii="宋体" w:hAnsi="宋体"/>
                <w:szCs w:val="21"/>
              </w:rPr>
            </w:pPr>
            <w:r>
              <w:rPr>
                <w:rFonts w:ascii="宋体" w:hAnsi="宋体"/>
                <w:szCs w:val="21"/>
              </w:rPr>
              <w:drawing>
                <wp:inline distT="0" distB="0" distL="114300" distR="114300">
                  <wp:extent cx="6181090" cy="4154805"/>
                  <wp:effectExtent l="0" t="0" r="10160" b="17145"/>
                  <wp:docPr id="91" name="图片 63" descr="南雄市志_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63" descr="南雄市志_0061"/>
                          <pic:cNvPicPr>
                            <a:picLocks noChangeAspect="1"/>
                          </pic:cNvPicPr>
                        </pic:nvPicPr>
                        <pic:blipFill>
                          <a:blip r:embed="rId74"/>
                          <a:stretch>
                            <a:fillRect/>
                          </a:stretch>
                        </pic:blipFill>
                        <pic:spPr>
                          <a:xfrm>
                            <a:off x="0" y="0"/>
                            <a:ext cx="6181090" cy="4154805"/>
                          </a:xfrm>
                          <a:prstGeom prst="rect">
                            <a:avLst/>
                          </a:prstGeom>
                          <a:noFill/>
                          <a:ln>
                            <a:noFill/>
                          </a:ln>
                        </pic:spPr>
                      </pic:pic>
                    </a:graphicData>
                  </a:graphic>
                </wp:inline>
              </w:drawing>
            </w:r>
          </w:p>
        </w:tc>
      </w:tr>
      <w:tr w14:paraId="0CE461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4614887D">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夏思竹艺厂产品</w:t>
            </w:r>
          </w:p>
        </w:tc>
      </w:tr>
    </w:tbl>
    <w:p w14:paraId="5F25FBF1">
      <w:pPr>
        <w:pStyle w:val="3"/>
        <w:rPr>
          <w:rFonts w:ascii="宋体" w:hAnsi="宋体"/>
        </w:rPr>
      </w:pPr>
      <w:r>
        <w:rPr>
          <w:rFonts w:hint="eastAsia" w:ascii="宋体" w:hAnsi="宋体"/>
        </w:rPr>
        <w:t>商贸服务</w:t>
      </w: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6220C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DB7B96F">
            <w:pPr>
              <w:ind w:firstLine="0" w:firstLineChars="0"/>
              <w:jc w:val="center"/>
              <w:rPr>
                <w:rFonts w:ascii="宋体" w:hAnsi="宋体"/>
                <w:szCs w:val="21"/>
              </w:rPr>
            </w:pPr>
            <w:r>
              <w:rPr>
                <w:rFonts w:ascii="宋体" w:hAnsi="宋体"/>
                <w:szCs w:val="21"/>
              </w:rPr>
              <w:drawing>
                <wp:inline distT="0" distB="0" distL="114300" distR="114300">
                  <wp:extent cx="6181090" cy="4184015"/>
                  <wp:effectExtent l="0" t="0" r="10160" b="6985"/>
                  <wp:docPr id="92" name="图片 64" descr="南雄市志_0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64" descr="南雄市志_0062"/>
                          <pic:cNvPicPr>
                            <a:picLocks noChangeAspect="1"/>
                          </pic:cNvPicPr>
                        </pic:nvPicPr>
                        <pic:blipFill>
                          <a:blip r:embed="rId75"/>
                          <a:stretch>
                            <a:fillRect/>
                          </a:stretch>
                        </pic:blipFill>
                        <pic:spPr>
                          <a:xfrm>
                            <a:off x="0" y="0"/>
                            <a:ext cx="6181090" cy="4184015"/>
                          </a:xfrm>
                          <a:prstGeom prst="rect">
                            <a:avLst/>
                          </a:prstGeom>
                          <a:noFill/>
                          <a:ln>
                            <a:noFill/>
                          </a:ln>
                        </pic:spPr>
                      </pic:pic>
                    </a:graphicData>
                  </a:graphic>
                </wp:inline>
              </w:drawing>
            </w:r>
          </w:p>
        </w:tc>
      </w:tr>
      <w:tr w14:paraId="75A2A4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087DD408">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粤客隆超市</w:t>
            </w:r>
          </w:p>
        </w:tc>
      </w:tr>
    </w:tbl>
    <w:p w14:paraId="6D6BC8F9">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EAF10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BFBD91A">
            <w:pPr>
              <w:ind w:firstLine="0" w:firstLineChars="0"/>
              <w:jc w:val="center"/>
              <w:rPr>
                <w:rFonts w:ascii="宋体" w:hAnsi="宋体"/>
                <w:szCs w:val="21"/>
              </w:rPr>
            </w:pPr>
            <w:r>
              <w:rPr>
                <w:rFonts w:ascii="宋体" w:hAnsi="宋体"/>
                <w:szCs w:val="21"/>
              </w:rPr>
              <w:drawing>
                <wp:inline distT="0" distB="0" distL="114300" distR="114300">
                  <wp:extent cx="6166485" cy="4243070"/>
                  <wp:effectExtent l="0" t="0" r="5715" b="5080"/>
                  <wp:docPr id="71" name="图片 65" descr="南雄市志_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65" descr="南雄市志_0063"/>
                          <pic:cNvPicPr>
                            <a:picLocks noChangeAspect="1"/>
                          </pic:cNvPicPr>
                        </pic:nvPicPr>
                        <pic:blipFill>
                          <a:blip r:embed="rId76"/>
                          <a:stretch>
                            <a:fillRect/>
                          </a:stretch>
                        </pic:blipFill>
                        <pic:spPr>
                          <a:xfrm>
                            <a:off x="0" y="0"/>
                            <a:ext cx="6166485" cy="4243070"/>
                          </a:xfrm>
                          <a:prstGeom prst="rect">
                            <a:avLst/>
                          </a:prstGeom>
                          <a:noFill/>
                          <a:ln>
                            <a:noFill/>
                          </a:ln>
                        </pic:spPr>
                      </pic:pic>
                    </a:graphicData>
                  </a:graphic>
                </wp:inline>
              </w:drawing>
            </w:r>
          </w:p>
        </w:tc>
      </w:tr>
      <w:tr w14:paraId="063A56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4B2784FF">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仁寿商业步行街</w:t>
            </w:r>
          </w:p>
        </w:tc>
      </w:tr>
    </w:tbl>
    <w:p w14:paraId="1D282B81">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44F5D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CF834FD">
            <w:pPr>
              <w:ind w:firstLine="0" w:firstLineChars="0"/>
              <w:jc w:val="center"/>
              <w:rPr>
                <w:rFonts w:ascii="宋体" w:hAnsi="宋体"/>
                <w:szCs w:val="21"/>
              </w:rPr>
            </w:pPr>
            <w:r>
              <w:rPr>
                <w:rFonts w:ascii="宋体" w:hAnsi="宋体"/>
                <w:szCs w:val="21"/>
              </w:rPr>
              <w:drawing>
                <wp:inline distT="0" distB="0" distL="114300" distR="114300">
                  <wp:extent cx="6181090" cy="3694430"/>
                  <wp:effectExtent l="0" t="0" r="10160" b="1270"/>
                  <wp:docPr id="72" name="图片 66" descr="南雄市志_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66" descr="南雄市志_0064"/>
                          <pic:cNvPicPr>
                            <a:picLocks noChangeAspect="1"/>
                          </pic:cNvPicPr>
                        </pic:nvPicPr>
                        <pic:blipFill>
                          <a:blip r:embed="rId77"/>
                          <a:stretch>
                            <a:fillRect/>
                          </a:stretch>
                        </pic:blipFill>
                        <pic:spPr>
                          <a:xfrm>
                            <a:off x="0" y="0"/>
                            <a:ext cx="6181090" cy="3694430"/>
                          </a:xfrm>
                          <a:prstGeom prst="rect">
                            <a:avLst/>
                          </a:prstGeom>
                          <a:noFill/>
                          <a:ln>
                            <a:noFill/>
                          </a:ln>
                        </pic:spPr>
                      </pic:pic>
                    </a:graphicData>
                  </a:graphic>
                </wp:inline>
              </w:drawing>
            </w:r>
          </w:p>
        </w:tc>
      </w:tr>
      <w:tr w14:paraId="14600C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7EFF4D01">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三影塔商业步行街</w:t>
            </w:r>
          </w:p>
        </w:tc>
      </w:tr>
    </w:tbl>
    <w:p w14:paraId="2C23111E">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D6775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3F621604">
            <w:pPr>
              <w:ind w:firstLine="0" w:firstLineChars="0"/>
              <w:jc w:val="center"/>
              <w:rPr>
                <w:rFonts w:ascii="宋体" w:hAnsi="宋体"/>
                <w:szCs w:val="21"/>
              </w:rPr>
            </w:pPr>
            <w:r>
              <w:rPr>
                <w:rFonts w:ascii="宋体" w:hAnsi="宋体"/>
                <w:szCs w:val="21"/>
              </w:rPr>
              <w:drawing>
                <wp:inline distT="0" distB="0" distL="114300" distR="114300">
                  <wp:extent cx="6181090" cy="3496945"/>
                  <wp:effectExtent l="0" t="0" r="10160" b="8255"/>
                  <wp:docPr id="73" name="图片 67" descr="南雄市志_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67" descr="南雄市志_0065"/>
                          <pic:cNvPicPr>
                            <a:picLocks noChangeAspect="1"/>
                          </pic:cNvPicPr>
                        </pic:nvPicPr>
                        <pic:blipFill>
                          <a:blip r:embed="rId78"/>
                          <a:stretch>
                            <a:fillRect/>
                          </a:stretch>
                        </pic:blipFill>
                        <pic:spPr>
                          <a:xfrm>
                            <a:off x="0" y="0"/>
                            <a:ext cx="6181090" cy="3496945"/>
                          </a:xfrm>
                          <a:prstGeom prst="rect">
                            <a:avLst/>
                          </a:prstGeom>
                          <a:noFill/>
                          <a:ln>
                            <a:noFill/>
                          </a:ln>
                        </pic:spPr>
                      </pic:pic>
                    </a:graphicData>
                  </a:graphic>
                </wp:inline>
              </w:drawing>
            </w:r>
          </w:p>
        </w:tc>
      </w:tr>
      <w:tr w14:paraId="1AC992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0F13F94D">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黄坑商贸集市</w:t>
            </w:r>
          </w:p>
        </w:tc>
      </w:tr>
    </w:tbl>
    <w:p w14:paraId="3E477F7C">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F5029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6642138">
            <w:pPr>
              <w:ind w:firstLine="0" w:firstLineChars="0"/>
              <w:jc w:val="center"/>
              <w:rPr>
                <w:rFonts w:ascii="宋体" w:hAnsi="宋体"/>
                <w:szCs w:val="21"/>
              </w:rPr>
            </w:pPr>
            <w:r>
              <w:rPr>
                <w:rFonts w:ascii="宋体" w:hAnsi="宋体"/>
                <w:szCs w:val="21"/>
              </w:rPr>
              <w:drawing>
                <wp:inline distT="0" distB="0" distL="114300" distR="114300">
                  <wp:extent cx="6181090" cy="3906520"/>
                  <wp:effectExtent l="0" t="0" r="10160" b="17780"/>
                  <wp:docPr id="112" name="图片 68" descr="南雄市志_0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68" descr="南雄市志_0066"/>
                          <pic:cNvPicPr>
                            <a:picLocks noChangeAspect="1"/>
                          </pic:cNvPicPr>
                        </pic:nvPicPr>
                        <pic:blipFill>
                          <a:blip r:embed="rId79"/>
                          <a:stretch>
                            <a:fillRect/>
                          </a:stretch>
                        </pic:blipFill>
                        <pic:spPr>
                          <a:xfrm>
                            <a:off x="0" y="0"/>
                            <a:ext cx="6181090" cy="3906520"/>
                          </a:xfrm>
                          <a:prstGeom prst="rect">
                            <a:avLst/>
                          </a:prstGeom>
                          <a:noFill/>
                          <a:ln>
                            <a:noFill/>
                          </a:ln>
                        </pic:spPr>
                      </pic:pic>
                    </a:graphicData>
                  </a:graphic>
                </wp:inline>
              </w:drawing>
            </w:r>
          </w:p>
        </w:tc>
      </w:tr>
      <w:tr w14:paraId="145586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53F4F281">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江雄床垫厂</w:t>
            </w:r>
          </w:p>
        </w:tc>
      </w:tr>
    </w:tbl>
    <w:p w14:paraId="02F283A7">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7F78A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4FECB7E">
            <w:pPr>
              <w:ind w:firstLine="0" w:firstLineChars="0"/>
              <w:jc w:val="center"/>
              <w:rPr>
                <w:rFonts w:ascii="宋体" w:hAnsi="宋体"/>
                <w:szCs w:val="21"/>
              </w:rPr>
            </w:pPr>
            <w:r>
              <w:rPr>
                <w:rFonts w:ascii="宋体" w:hAnsi="宋体"/>
                <w:szCs w:val="21"/>
              </w:rPr>
              <w:drawing>
                <wp:inline distT="0" distB="0" distL="114300" distR="114300">
                  <wp:extent cx="6181090" cy="3818255"/>
                  <wp:effectExtent l="0" t="0" r="10160" b="10795"/>
                  <wp:docPr id="113" name="图片 69" descr="南雄市志_0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69" descr="南雄市志_0067"/>
                          <pic:cNvPicPr>
                            <a:picLocks noChangeAspect="1"/>
                          </pic:cNvPicPr>
                        </pic:nvPicPr>
                        <pic:blipFill>
                          <a:blip r:embed="rId80"/>
                          <a:stretch>
                            <a:fillRect/>
                          </a:stretch>
                        </pic:blipFill>
                        <pic:spPr>
                          <a:xfrm>
                            <a:off x="0" y="0"/>
                            <a:ext cx="6181090" cy="3818255"/>
                          </a:xfrm>
                          <a:prstGeom prst="rect">
                            <a:avLst/>
                          </a:prstGeom>
                          <a:noFill/>
                          <a:ln>
                            <a:noFill/>
                          </a:ln>
                        </pic:spPr>
                      </pic:pic>
                    </a:graphicData>
                  </a:graphic>
                </wp:inline>
              </w:drawing>
            </w:r>
          </w:p>
        </w:tc>
      </w:tr>
      <w:tr w14:paraId="6A9410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1412DC2D">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全友家私专卖点</w:t>
            </w:r>
          </w:p>
        </w:tc>
      </w:tr>
    </w:tbl>
    <w:p w14:paraId="4DBEDF06">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E80B6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4818241">
            <w:pPr>
              <w:ind w:firstLine="0" w:firstLineChars="0"/>
              <w:jc w:val="center"/>
              <w:rPr>
                <w:rFonts w:ascii="宋体" w:hAnsi="宋体"/>
                <w:szCs w:val="21"/>
              </w:rPr>
            </w:pPr>
            <w:r>
              <w:rPr>
                <w:rFonts w:ascii="宋体" w:hAnsi="宋体"/>
                <w:szCs w:val="21"/>
              </w:rPr>
              <w:drawing>
                <wp:inline distT="0" distB="0" distL="114300" distR="114300">
                  <wp:extent cx="6188710" cy="2940685"/>
                  <wp:effectExtent l="0" t="0" r="2540" b="12065"/>
                  <wp:docPr id="107" name="图片 70" descr="南雄市志_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70" descr="南雄市志_0068"/>
                          <pic:cNvPicPr>
                            <a:picLocks noChangeAspect="1"/>
                          </pic:cNvPicPr>
                        </pic:nvPicPr>
                        <pic:blipFill>
                          <a:blip r:embed="rId81"/>
                          <a:stretch>
                            <a:fillRect/>
                          </a:stretch>
                        </pic:blipFill>
                        <pic:spPr>
                          <a:xfrm>
                            <a:off x="0" y="0"/>
                            <a:ext cx="6188710" cy="2940685"/>
                          </a:xfrm>
                          <a:prstGeom prst="rect">
                            <a:avLst/>
                          </a:prstGeom>
                          <a:noFill/>
                          <a:ln>
                            <a:noFill/>
                          </a:ln>
                        </pic:spPr>
                      </pic:pic>
                    </a:graphicData>
                  </a:graphic>
                </wp:inline>
              </w:drawing>
            </w:r>
          </w:p>
        </w:tc>
      </w:tr>
      <w:tr w14:paraId="1CD5EA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3B960D82">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园林式的迎宾馆</w:t>
            </w:r>
          </w:p>
        </w:tc>
      </w:tr>
    </w:tbl>
    <w:p w14:paraId="3AC10FE2">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89A2E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F8B48B9">
            <w:pPr>
              <w:ind w:firstLine="0" w:firstLineChars="0"/>
              <w:jc w:val="center"/>
              <w:rPr>
                <w:rFonts w:ascii="宋体" w:hAnsi="宋体"/>
                <w:szCs w:val="21"/>
              </w:rPr>
            </w:pPr>
            <w:r>
              <w:rPr>
                <w:rFonts w:ascii="宋体" w:hAnsi="宋体"/>
                <w:szCs w:val="21"/>
              </w:rPr>
              <w:drawing>
                <wp:inline distT="0" distB="0" distL="114300" distR="114300">
                  <wp:extent cx="6181090" cy="5647055"/>
                  <wp:effectExtent l="0" t="0" r="10160" b="10795"/>
                  <wp:docPr id="104" name="图片 71" descr="南雄市志_0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71" descr="南雄市志_0069"/>
                          <pic:cNvPicPr>
                            <a:picLocks noChangeAspect="1"/>
                          </pic:cNvPicPr>
                        </pic:nvPicPr>
                        <pic:blipFill>
                          <a:blip r:embed="rId82"/>
                          <a:stretch>
                            <a:fillRect/>
                          </a:stretch>
                        </pic:blipFill>
                        <pic:spPr>
                          <a:xfrm>
                            <a:off x="0" y="0"/>
                            <a:ext cx="6181090" cy="5647055"/>
                          </a:xfrm>
                          <a:prstGeom prst="rect">
                            <a:avLst/>
                          </a:prstGeom>
                          <a:noFill/>
                          <a:ln>
                            <a:noFill/>
                          </a:ln>
                        </pic:spPr>
                      </pic:pic>
                    </a:graphicData>
                  </a:graphic>
                </wp:inline>
              </w:drawing>
            </w:r>
          </w:p>
        </w:tc>
      </w:tr>
    </w:tbl>
    <w:p w14:paraId="7800B38E">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CF558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AED9670">
            <w:pPr>
              <w:ind w:firstLine="0" w:firstLineChars="0"/>
              <w:jc w:val="center"/>
              <w:rPr>
                <w:rFonts w:ascii="宋体" w:hAnsi="宋体"/>
                <w:szCs w:val="21"/>
              </w:rPr>
            </w:pPr>
            <w:r>
              <w:rPr>
                <w:rFonts w:ascii="宋体" w:hAnsi="宋体"/>
                <w:szCs w:val="21"/>
              </w:rPr>
              <w:drawing>
                <wp:inline distT="0" distB="0" distL="114300" distR="114300">
                  <wp:extent cx="6181090" cy="4886325"/>
                  <wp:effectExtent l="0" t="0" r="10160" b="9525"/>
                  <wp:docPr id="100" name="图片 72" descr="南雄市志_0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72" descr="南雄市志_0070"/>
                          <pic:cNvPicPr>
                            <a:picLocks noChangeAspect="1"/>
                          </pic:cNvPicPr>
                        </pic:nvPicPr>
                        <pic:blipFill>
                          <a:blip r:embed="rId83"/>
                          <a:stretch>
                            <a:fillRect/>
                          </a:stretch>
                        </pic:blipFill>
                        <pic:spPr>
                          <a:xfrm>
                            <a:off x="0" y="0"/>
                            <a:ext cx="6181090" cy="4886325"/>
                          </a:xfrm>
                          <a:prstGeom prst="rect">
                            <a:avLst/>
                          </a:prstGeom>
                          <a:noFill/>
                          <a:ln>
                            <a:noFill/>
                          </a:ln>
                        </pic:spPr>
                      </pic:pic>
                    </a:graphicData>
                  </a:graphic>
                </wp:inline>
              </w:drawing>
            </w:r>
          </w:p>
        </w:tc>
      </w:tr>
      <w:tr w14:paraId="7C1B13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00335924">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珠玑大酒店</w:t>
            </w:r>
          </w:p>
        </w:tc>
      </w:tr>
    </w:tbl>
    <w:p w14:paraId="7B1DF6F6">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37891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D713A9F">
            <w:pPr>
              <w:ind w:firstLine="0" w:firstLineChars="0"/>
              <w:jc w:val="center"/>
              <w:rPr>
                <w:rFonts w:ascii="宋体" w:hAnsi="宋体"/>
                <w:szCs w:val="21"/>
              </w:rPr>
            </w:pPr>
            <w:r>
              <w:rPr>
                <w:rFonts w:ascii="宋体" w:hAnsi="宋体"/>
                <w:szCs w:val="21"/>
              </w:rPr>
              <w:drawing>
                <wp:inline distT="0" distB="0" distL="114300" distR="114300">
                  <wp:extent cx="6181090" cy="3811270"/>
                  <wp:effectExtent l="0" t="0" r="10160" b="17780"/>
                  <wp:docPr id="118" name="图片 73" descr="南雄市志_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73" descr="南雄市志_0071"/>
                          <pic:cNvPicPr>
                            <a:picLocks noChangeAspect="1"/>
                          </pic:cNvPicPr>
                        </pic:nvPicPr>
                        <pic:blipFill>
                          <a:blip r:embed="rId84"/>
                          <a:stretch>
                            <a:fillRect/>
                          </a:stretch>
                        </pic:blipFill>
                        <pic:spPr>
                          <a:xfrm>
                            <a:off x="0" y="0"/>
                            <a:ext cx="6181090" cy="3811270"/>
                          </a:xfrm>
                          <a:prstGeom prst="rect">
                            <a:avLst/>
                          </a:prstGeom>
                          <a:noFill/>
                          <a:ln>
                            <a:noFill/>
                          </a:ln>
                        </pic:spPr>
                      </pic:pic>
                    </a:graphicData>
                  </a:graphic>
                </wp:inline>
              </w:drawing>
            </w:r>
          </w:p>
        </w:tc>
      </w:tr>
      <w:tr w14:paraId="66CC45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6B7D2EB2">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金雄鹰宾馆</w:t>
            </w:r>
          </w:p>
        </w:tc>
      </w:tr>
    </w:tbl>
    <w:p w14:paraId="4F801CB3">
      <w:pPr>
        <w:pStyle w:val="3"/>
        <w:rPr>
          <w:rFonts w:ascii="宋体" w:hAnsi="宋体"/>
        </w:rPr>
      </w:pPr>
      <w:r>
        <w:rPr>
          <w:rFonts w:hint="eastAsia" w:ascii="宋体" w:hAnsi="宋体"/>
        </w:rPr>
        <w:t>农林水电</w:t>
      </w: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77B68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BBD5214">
            <w:pPr>
              <w:ind w:firstLine="0" w:firstLineChars="0"/>
              <w:jc w:val="center"/>
              <w:rPr>
                <w:rFonts w:ascii="宋体" w:hAnsi="宋体"/>
                <w:szCs w:val="21"/>
              </w:rPr>
            </w:pPr>
            <w:r>
              <w:rPr>
                <w:rFonts w:ascii="宋体" w:hAnsi="宋体"/>
                <w:szCs w:val="21"/>
              </w:rPr>
              <w:drawing>
                <wp:inline distT="0" distB="0" distL="114300" distR="114300">
                  <wp:extent cx="6181090" cy="2992120"/>
                  <wp:effectExtent l="0" t="0" r="10160" b="17780"/>
                  <wp:docPr id="108" name="图片 74" descr="南雄市志_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74" descr="南雄市志_0072"/>
                          <pic:cNvPicPr>
                            <a:picLocks noChangeAspect="1"/>
                          </pic:cNvPicPr>
                        </pic:nvPicPr>
                        <pic:blipFill>
                          <a:blip r:embed="rId85"/>
                          <a:stretch>
                            <a:fillRect/>
                          </a:stretch>
                        </pic:blipFill>
                        <pic:spPr>
                          <a:xfrm>
                            <a:off x="0" y="0"/>
                            <a:ext cx="6181090" cy="2992120"/>
                          </a:xfrm>
                          <a:prstGeom prst="rect">
                            <a:avLst/>
                          </a:prstGeom>
                          <a:noFill/>
                          <a:ln>
                            <a:noFill/>
                          </a:ln>
                        </pic:spPr>
                      </pic:pic>
                    </a:graphicData>
                  </a:graphic>
                </wp:inline>
              </w:drawing>
            </w:r>
          </w:p>
        </w:tc>
      </w:tr>
      <w:tr w14:paraId="4ED2B5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59126EE8">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科技兴烟</w:t>
            </w:r>
          </w:p>
        </w:tc>
      </w:tr>
    </w:tbl>
    <w:p w14:paraId="4D009972">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0E983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5A8CCB3">
            <w:pPr>
              <w:ind w:firstLine="0" w:firstLineChars="0"/>
              <w:jc w:val="center"/>
              <w:rPr>
                <w:rFonts w:ascii="宋体" w:hAnsi="宋体"/>
                <w:szCs w:val="21"/>
              </w:rPr>
            </w:pPr>
            <w:r>
              <w:rPr>
                <w:rFonts w:ascii="宋体" w:hAnsi="宋体"/>
                <w:szCs w:val="21"/>
              </w:rPr>
              <w:drawing>
                <wp:inline distT="0" distB="0" distL="114300" distR="114300">
                  <wp:extent cx="6181090" cy="3986530"/>
                  <wp:effectExtent l="0" t="0" r="10160" b="13970"/>
                  <wp:docPr id="109" name="图片 75" descr="南雄市志_0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75" descr="南雄市志_0073"/>
                          <pic:cNvPicPr>
                            <a:picLocks noChangeAspect="1"/>
                          </pic:cNvPicPr>
                        </pic:nvPicPr>
                        <pic:blipFill>
                          <a:blip r:embed="rId86"/>
                          <a:stretch>
                            <a:fillRect/>
                          </a:stretch>
                        </pic:blipFill>
                        <pic:spPr>
                          <a:xfrm>
                            <a:off x="0" y="0"/>
                            <a:ext cx="6181090" cy="3986530"/>
                          </a:xfrm>
                          <a:prstGeom prst="rect">
                            <a:avLst/>
                          </a:prstGeom>
                          <a:noFill/>
                          <a:ln>
                            <a:noFill/>
                          </a:ln>
                        </pic:spPr>
                      </pic:pic>
                    </a:graphicData>
                  </a:graphic>
                </wp:inline>
              </w:drawing>
            </w:r>
          </w:p>
        </w:tc>
      </w:tr>
      <w:tr w14:paraId="74E426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4C3342F4">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培育良种基地</w:t>
            </w:r>
          </w:p>
        </w:tc>
      </w:tr>
    </w:tbl>
    <w:p w14:paraId="389EE63D">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77A8C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B1B4A21">
            <w:pPr>
              <w:ind w:firstLine="0" w:firstLineChars="0"/>
              <w:jc w:val="center"/>
              <w:rPr>
                <w:rFonts w:ascii="宋体" w:hAnsi="宋体"/>
                <w:szCs w:val="21"/>
              </w:rPr>
            </w:pPr>
            <w:r>
              <w:rPr>
                <w:rFonts w:ascii="宋体" w:hAnsi="宋体"/>
                <w:szCs w:val="21"/>
              </w:rPr>
              <w:drawing>
                <wp:inline distT="0" distB="0" distL="114300" distR="114300">
                  <wp:extent cx="6174105" cy="3906520"/>
                  <wp:effectExtent l="0" t="0" r="17145" b="17780"/>
                  <wp:docPr id="105" name="图片 76" descr="南雄市志_0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76" descr="南雄市志_0074"/>
                          <pic:cNvPicPr>
                            <a:picLocks noChangeAspect="1"/>
                          </pic:cNvPicPr>
                        </pic:nvPicPr>
                        <pic:blipFill>
                          <a:blip r:embed="rId87"/>
                          <a:stretch>
                            <a:fillRect/>
                          </a:stretch>
                        </pic:blipFill>
                        <pic:spPr>
                          <a:xfrm>
                            <a:off x="0" y="0"/>
                            <a:ext cx="6174105" cy="3906520"/>
                          </a:xfrm>
                          <a:prstGeom prst="rect">
                            <a:avLst/>
                          </a:prstGeom>
                          <a:noFill/>
                          <a:ln>
                            <a:noFill/>
                          </a:ln>
                        </pic:spPr>
                      </pic:pic>
                    </a:graphicData>
                  </a:graphic>
                </wp:inline>
              </w:drawing>
            </w:r>
          </w:p>
        </w:tc>
      </w:tr>
      <w:tr w14:paraId="425E63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51EC2DBB">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烟草研究所</w:t>
            </w:r>
          </w:p>
        </w:tc>
      </w:tr>
    </w:tbl>
    <w:p w14:paraId="29B51CF0">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5D570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044421F">
            <w:pPr>
              <w:ind w:firstLine="0" w:firstLineChars="0"/>
              <w:jc w:val="center"/>
              <w:rPr>
                <w:rFonts w:ascii="宋体" w:hAnsi="宋体"/>
                <w:szCs w:val="21"/>
              </w:rPr>
            </w:pPr>
            <w:r>
              <w:rPr>
                <w:rFonts w:ascii="宋体" w:hAnsi="宋体"/>
                <w:szCs w:val="21"/>
              </w:rPr>
              <w:drawing>
                <wp:inline distT="0" distB="0" distL="114300" distR="114300">
                  <wp:extent cx="6181090" cy="3869690"/>
                  <wp:effectExtent l="0" t="0" r="10160" b="16510"/>
                  <wp:docPr id="114" name="图片 77" descr="南雄市志_0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77" descr="南雄市志_0075"/>
                          <pic:cNvPicPr>
                            <a:picLocks noChangeAspect="1"/>
                          </pic:cNvPicPr>
                        </pic:nvPicPr>
                        <pic:blipFill>
                          <a:blip r:embed="rId88"/>
                          <a:stretch>
                            <a:fillRect/>
                          </a:stretch>
                        </pic:blipFill>
                        <pic:spPr>
                          <a:xfrm>
                            <a:off x="0" y="0"/>
                            <a:ext cx="6181090" cy="3869690"/>
                          </a:xfrm>
                          <a:prstGeom prst="rect">
                            <a:avLst/>
                          </a:prstGeom>
                          <a:noFill/>
                          <a:ln>
                            <a:noFill/>
                          </a:ln>
                        </pic:spPr>
                      </pic:pic>
                    </a:graphicData>
                  </a:graphic>
                </wp:inline>
              </w:drawing>
            </w:r>
          </w:p>
        </w:tc>
      </w:tr>
      <w:tr w14:paraId="4F75ED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2B73A849">
            <w:pPr>
              <w:ind w:firstLine="420"/>
              <w:jc w:val="left"/>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烟叶复烤厂</w:t>
            </w:r>
          </w:p>
        </w:tc>
      </w:tr>
    </w:tbl>
    <w:p w14:paraId="4E74DF9F">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9DAD6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C076B24">
            <w:pPr>
              <w:ind w:firstLine="0" w:firstLineChars="0"/>
              <w:jc w:val="center"/>
              <w:rPr>
                <w:rFonts w:ascii="宋体" w:hAnsi="宋体"/>
                <w:szCs w:val="21"/>
              </w:rPr>
            </w:pPr>
            <w:r>
              <w:rPr>
                <w:rFonts w:ascii="宋体" w:hAnsi="宋体"/>
                <w:szCs w:val="21"/>
              </w:rPr>
              <w:drawing>
                <wp:inline distT="0" distB="0" distL="114300" distR="114300">
                  <wp:extent cx="6181090" cy="4037965"/>
                  <wp:effectExtent l="0" t="0" r="10160" b="635"/>
                  <wp:docPr id="116" name="图片 78" descr="南雄市志_0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78" descr="南雄市志_0076"/>
                          <pic:cNvPicPr>
                            <a:picLocks noChangeAspect="1"/>
                          </pic:cNvPicPr>
                        </pic:nvPicPr>
                        <pic:blipFill>
                          <a:blip r:embed="rId89"/>
                          <a:stretch>
                            <a:fillRect/>
                          </a:stretch>
                        </pic:blipFill>
                        <pic:spPr>
                          <a:xfrm>
                            <a:off x="0" y="0"/>
                            <a:ext cx="6181090" cy="4037965"/>
                          </a:xfrm>
                          <a:prstGeom prst="rect">
                            <a:avLst/>
                          </a:prstGeom>
                          <a:noFill/>
                          <a:ln>
                            <a:noFill/>
                          </a:ln>
                        </pic:spPr>
                      </pic:pic>
                    </a:graphicData>
                  </a:graphic>
                </wp:inline>
              </w:drawing>
            </w:r>
          </w:p>
        </w:tc>
      </w:tr>
      <w:tr w14:paraId="6676EB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14F8C8DD">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国际烟叶烤房群</w:t>
            </w:r>
          </w:p>
        </w:tc>
      </w:tr>
    </w:tbl>
    <w:p w14:paraId="349C0B0E">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E3F04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2EFE88C">
            <w:pPr>
              <w:ind w:firstLine="0" w:firstLineChars="0"/>
              <w:jc w:val="center"/>
              <w:rPr>
                <w:rFonts w:ascii="宋体" w:hAnsi="宋体"/>
                <w:szCs w:val="21"/>
              </w:rPr>
            </w:pPr>
            <w:r>
              <w:rPr>
                <w:rFonts w:ascii="宋体" w:hAnsi="宋体"/>
                <w:szCs w:val="21"/>
              </w:rPr>
              <w:drawing>
                <wp:inline distT="0" distB="0" distL="114300" distR="114300">
                  <wp:extent cx="6181090" cy="3306445"/>
                  <wp:effectExtent l="0" t="0" r="10160" b="8255"/>
                  <wp:docPr id="96" name="图片 79" descr="南雄市志_0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79" descr="南雄市志_0077"/>
                          <pic:cNvPicPr>
                            <a:picLocks noChangeAspect="1"/>
                          </pic:cNvPicPr>
                        </pic:nvPicPr>
                        <pic:blipFill>
                          <a:blip r:embed="rId90"/>
                          <a:stretch>
                            <a:fillRect/>
                          </a:stretch>
                        </pic:blipFill>
                        <pic:spPr>
                          <a:xfrm>
                            <a:off x="0" y="0"/>
                            <a:ext cx="6181090" cy="3306445"/>
                          </a:xfrm>
                          <a:prstGeom prst="rect">
                            <a:avLst/>
                          </a:prstGeom>
                          <a:noFill/>
                          <a:ln>
                            <a:noFill/>
                          </a:ln>
                        </pic:spPr>
                      </pic:pic>
                    </a:graphicData>
                  </a:graphic>
                </wp:inline>
              </w:drawing>
            </w:r>
          </w:p>
        </w:tc>
      </w:tr>
      <w:tr w14:paraId="327D0C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1BF18236">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林业基地</w:t>
            </w:r>
          </w:p>
        </w:tc>
      </w:tr>
    </w:tbl>
    <w:p w14:paraId="59C3F6C1">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14770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2F8101F">
            <w:pPr>
              <w:ind w:firstLine="0" w:firstLineChars="0"/>
              <w:jc w:val="center"/>
              <w:rPr>
                <w:rFonts w:ascii="宋体" w:hAnsi="宋体"/>
                <w:szCs w:val="21"/>
              </w:rPr>
            </w:pPr>
            <w:r>
              <w:rPr>
                <w:rFonts w:ascii="宋体" w:hAnsi="宋体"/>
                <w:szCs w:val="21"/>
              </w:rPr>
              <w:drawing>
                <wp:inline distT="0" distB="0" distL="114300" distR="114300">
                  <wp:extent cx="6188710" cy="3672205"/>
                  <wp:effectExtent l="0" t="0" r="2540" b="4445"/>
                  <wp:docPr id="106" name="图片 80" descr="南雄市志_0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80" descr="南雄市志_0078"/>
                          <pic:cNvPicPr>
                            <a:picLocks noChangeAspect="1"/>
                          </pic:cNvPicPr>
                        </pic:nvPicPr>
                        <pic:blipFill>
                          <a:blip r:embed="rId91"/>
                          <a:stretch>
                            <a:fillRect/>
                          </a:stretch>
                        </pic:blipFill>
                        <pic:spPr>
                          <a:xfrm>
                            <a:off x="0" y="0"/>
                            <a:ext cx="6188710" cy="3672205"/>
                          </a:xfrm>
                          <a:prstGeom prst="rect">
                            <a:avLst/>
                          </a:prstGeom>
                          <a:noFill/>
                          <a:ln>
                            <a:noFill/>
                          </a:ln>
                        </pic:spPr>
                      </pic:pic>
                    </a:graphicData>
                  </a:graphic>
                </wp:inline>
              </w:drawing>
            </w:r>
          </w:p>
        </w:tc>
      </w:tr>
      <w:tr w14:paraId="23A1B8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2B2F2A62">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竹博园</w:t>
            </w:r>
          </w:p>
        </w:tc>
      </w:tr>
    </w:tbl>
    <w:p w14:paraId="5AA1FAA4">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5CE41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525C7450">
            <w:pPr>
              <w:ind w:firstLine="0" w:firstLineChars="0"/>
              <w:jc w:val="center"/>
              <w:rPr>
                <w:rFonts w:ascii="宋体" w:hAnsi="宋体"/>
                <w:szCs w:val="21"/>
              </w:rPr>
            </w:pPr>
            <w:r>
              <w:rPr>
                <w:rFonts w:ascii="宋体" w:hAnsi="宋体"/>
                <w:szCs w:val="21"/>
              </w:rPr>
              <w:drawing>
                <wp:inline distT="0" distB="0" distL="114300" distR="114300">
                  <wp:extent cx="6174105" cy="3971925"/>
                  <wp:effectExtent l="0" t="0" r="17145" b="9525"/>
                  <wp:docPr id="121" name="图片 81" descr="南雄市志_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81" descr="南雄市志_0079"/>
                          <pic:cNvPicPr>
                            <a:picLocks noChangeAspect="1"/>
                          </pic:cNvPicPr>
                        </pic:nvPicPr>
                        <pic:blipFill>
                          <a:blip r:embed="rId92"/>
                          <a:stretch>
                            <a:fillRect/>
                          </a:stretch>
                        </pic:blipFill>
                        <pic:spPr>
                          <a:xfrm>
                            <a:off x="0" y="0"/>
                            <a:ext cx="6174105" cy="3971925"/>
                          </a:xfrm>
                          <a:prstGeom prst="rect">
                            <a:avLst/>
                          </a:prstGeom>
                          <a:noFill/>
                          <a:ln>
                            <a:noFill/>
                          </a:ln>
                        </pic:spPr>
                      </pic:pic>
                    </a:graphicData>
                  </a:graphic>
                </wp:inline>
              </w:drawing>
            </w:r>
          </w:p>
        </w:tc>
      </w:tr>
      <w:tr w14:paraId="2CAF15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01D67118">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优质稻基地</w:t>
            </w:r>
          </w:p>
        </w:tc>
      </w:tr>
    </w:tbl>
    <w:p w14:paraId="133232E6">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42CB1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9AA87CD">
            <w:pPr>
              <w:ind w:firstLine="0" w:firstLineChars="0"/>
              <w:jc w:val="center"/>
              <w:rPr>
                <w:rFonts w:ascii="宋体" w:hAnsi="宋体"/>
                <w:szCs w:val="21"/>
              </w:rPr>
            </w:pPr>
            <w:r>
              <w:rPr>
                <w:rFonts w:ascii="宋体" w:hAnsi="宋体"/>
                <w:szCs w:val="21"/>
              </w:rPr>
              <w:drawing>
                <wp:inline distT="0" distB="0" distL="114300" distR="114300">
                  <wp:extent cx="6181090" cy="6605905"/>
                  <wp:effectExtent l="0" t="0" r="10160" b="4445"/>
                  <wp:docPr id="122" name="图片 82" descr="南雄市志_0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82" descr="南雄市志_0080"/>
                          <pic:cNvPicPr>
                            <a:picLocks noChangeAspect="1"/>
                          </pic:cNvPicPr>
                        </pic:nvPicPr>
                        <pic:blipFill>
                          <a:blip r:embed="rId93"/>
                          <a:stretch>
                            <a:fillRect/>
                          </a:stretch>
                        </pic:blipFill>
                        <pic:spPr>
                          <a:xfrm>
                            <a:off x="0" y="0"/>
                            <a:ext cx="6181090" cy="6605905"/>
                          </a:xfrm>
                          <a:prstGeom prst="rect">
                            <a:avLst/>
                          </a:prstGeom>
                          <a:noFill/>
                          <a:ln>
                            <a:noFill/>
                          </a:ln>
                        </pic:spPr>
                      </pic:pic>
                    </a:graphicData>
                  </a:graphic>
                </wp:inline>
              </w:drawing>
            </w:r>
          </w:p>
        </w:tc>
      </w:tr>
      <w:tr w14:paraId="5161CF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3DD9142F">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古银杏树</w:t>
            </w:r>
          </w:p>
        </w:tc>
      </w:tr>
    </w:tbl>
    <w:p w14:paraId="4C7D696A">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7922F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4617E0BF">
            <w:pPr>
              <w:ind w:firstLine="0" w:firstLineChars="0"/>
              <w:jc w:val="center"/>
              <w:rPr>
                <w:rFonts w:ascii="宋体" w:hAnsi="宋体"/>
                <w:szCs w:val="21"/>
              </w:rPr>
            </w:pPr>
            <w:r>
              <w:rPr>
                <w:rFonts w:ascii="宋体" w:hAnsi="宋体"/>
                <w:szCs w:val="21"/>
              </w:rPr>
              <w:drawing>
                <wp:inline distT="0" distB="0" distL="114300" distR="114300">
                  <wp:extent cx="6181090" cy="4688840"/>
                  <wp:effectExtent l="0" t="0" r="10160" b="16510"/>
                  <wp:docPr id="125" name="图片 83" descr="南雄市志_0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83" descr="南雄市志_0081"/>
                          <pic:cNvPicPr>
                            <a:picLocks noChangeAspect="1"/>
                          </pic:cNvPicPr>
                        </pic:nvPicPr>
                        <pic:blipFill>
                          <a:blip r:embed="rId94"/>
                          <a:stretch>
                            <a:fillRect/>
                          </a:stretch>
                        </pic:blipFill>
                        <pic:spPr>
                          <a:xfrm>
                            <a:off x="0" y="0"/>
                            <a:ext cx="6181090" cy="4688840"/>
                          </a:xfrm>
                          <a:prstGeom prst="rect">
                            <a:avLst/>
                          </a:prstGeom>
                          <a:noFill/>
                          <a:ln>
                            <a:noFill/>
                          </a:ln>
                        </pic:spPr>
                      </pic:pic>
                    </a:graphicData>
                  </a:graphic>
                </wp:inline>
              </w:drawing>
            </w:r>
          </w:p>
        </w:tc>
      </w:tr>
      <w:tr w14:paraId="0F3EEA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30CDAD2B">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黑山羊</w:t>
            </w:r>
          </w:p>
        </w:tc>
      </w:tr>
    </w:tbl>
    <w:p w14:paraId="4B9373F5">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2C8F7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9A98F09">
            <w:pPr>
              <w:ind w:firstLine="0" w:firstLineChars="0"/>
              <w:jc w:val="center"/>
              <w:rPr>
                <w:rFonts w:ascii="宋体" w:hAnsi="宋体"/>
                <w:szCs w:val="21"/>
              </w:rPr>
            </w:pPr>
            <w:r>
              <w:rPr>
                <w:rFonts w:ascii="宋体" w:hAnsi="宋体"/>
                <w:szCs w:val="21"/>
              </w:rPr>
              <w:drawing>
                <wp:inline distT="0" distB="0" distL="114300" distR="114300">
                  <wp:extent cx="6181090" cy="4667250"/>
                  <wp:effectExtent l="0" t="0" r="10160" b="0"/>
                  <wp:docPr id="101" name="图片 84" descr="南雄市志_0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84" descr="南雄市志_0082"/>
                          <pic:cNvPicPr>
                            <a:picLocks noChangeAspect="1"/>
                          </pic:cNvPicPr>
                        </pic:nvPicPr>
                        <pic:blipFill>
                          <a:blip r:embed="rId95"/>
                          <a:stretch>
                            <a:fillRect/>
                          </a:stretch>
                        </pic:blipFill>
                        <pic:spPr>
                          <a:xfrm>
                            <a:off x="0" y="0"/>
                            <a:ext cx="6181090" cy="4667250"/>
                          </a:xfrm>
                          <a:prstGeom prst="rect">
                            <a:avLst/>
                          </a:prstGeom>
                          <a:noFill/>
                          <a:ln>
                            <a:noFill/>
                          </a:ln>
                        </pic:spPr>
                      </pic:pic>
                    </a:graphicData>
                  </a:graphic>
                </wp:inline>
              </w:drawing>
            </w:r>
          </w:p>
        </w:tc>
      </w:tr>
      <w:tr w14:paraId="73FD35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47220175">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甜玉米基地</w:t>
            </w:r>
          </w:p>
        </w:tc>
      </w:tr>
    </w:tbl>
    <w:p w14:paraId="48F38B29">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4AAEA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F909E3B">
            <w:pPr>
              <w:ind w:firstLine="0" w:firstLineChars="0"/>
              <w:jc w:val="center"/>
              <w:rPr>
                <w:rFonts w:ascii="宋体" w:hAnsi="宋体"/>
                <w:szCs w:val="21"/>
              </w:rPr>
            </w:pPr>
            <w:r>
              <w:rPr>
                <w:rFonts w:ascii="宋体" w:hAnsi="宋体"/>
                <w:szCs w:val="21"/>
              </w:rPr>
              <w:drawing>
                <wp:inline distT="0" distB="0" distL="114300" distR="114300">
                  <wp:extent cx="6181090" cy="4381500"/>
                  <wp:effectExtent l="0" t="0" r="10160" b="0"/>
                  <wp:docPr id="120" name="图片 85" descr="南雄市志_0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85" descr="南雄市志_0083"/>
                          <pic:cNvPicPr>
                            <a:picLocks noChangeAspect="1"/>
                          </pic:cNvPicPr>
                        </pic:nvPicPr>
                        <pic:blipFill>
                          <a:blip r:embed="rId96"/>
                          <a:stretch>
                            <a:fillRect/>
                          </a:stretch>
                        </pic:blipFill>
                        <pic:spPr>
                          <a:xfrm>
                            <a:off x="0" y="0"/>
                            <a:ext cx="6181090" cy="4381500"/>
                          </a:xfrm>
                          <a:prstGeom prst="rect">
                            <a:avLst/>
                          </a:prstGeom>
                          <a:noFill/>
                          <a:ln>
                            <a:noFill/>
                          </a:ln>
                        </pic:spPr>
                      </pic:pic>
                    </a:graphicData>
                  </a:graphic>
                </wp:inline>
              </w:drawing>
            </w:r>
          </w:p>
        </w:tc>
      </w:tr>
      <w:tr w14:paraId="57DEAE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1EA927EE">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横江水库</w:t>
            </w:r>
          </w:p>
        </w:tc>
      </w:tr>
    </w:tbl>
    <w:p w14:paraId="17C48732">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29B8F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4E398ED">
            <w:pPr>
              <w:ind w:firstLine="0" w:firstLineChars="0"/>
              <w:jc w:val="center"/>
              <w:rPr>
                <w:rFonts w:ascii="宋体" w:hAnsi="宋体"/>
                <w:szCs w:val="21"/>
              </w:rPr>
            </w:pPr>
            <w:r>
              <w:rPr>
                <w:rFonts w:ascii="宋体" w:hAnsi="宋体"/>
                <w:szCs w:val="21"/>
              </w:rPr>
              <w:drawing>
                <wp:inline distT="0" distB="0" distL="114300" distR="114300">
                  <wp:extent cx="6181090" cy="4777105"/>
                  <wp:effectExtent l="0" t="0" r="10160" b="4445"/>
                  <wp:docPr id="110" name="图片 86" descr="南雄市志_0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86" descr="南雄市志_0084"/>
                          <pic:cNvPicPr>
                            <a:picLocks noChangeAspect="1"/>
                          </pic:cNvPicPr>
                        </pic:nvPicPr>
                        <pic:blipFill>
                          <a:blip r:embed="rId97"/>
                          <a:stretch>
                            <a:fillRect/>
                          </a:stretch>
                        </pic:blipFill>
                        <pic:spPr>
                          <a:xfrm>
                            <a:off x="0" y="0"/>
                            <a:ext cx="6181090" cy="4777105"/>
                          </a:xfrm>
                          <a:prstGeom prst="rect">
                            <a:avLst/>
                          </a:prstGeom>
                          <a:noFill/>
                          <a:ln>
                            <a:noFill/>
                          </a:ln>
                        </pic:spPr>
                      </pic:pic>
                    </a:graphicData>
                  </a:graphic>
                </wp:inline>
              </w:drawing>
            </w:r>
          </w:p>
        </w:tc>
      </w:tr>
      <w:tr w14:paraId="6E8F99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FEE8BE9">
            <w:pPr>
              <w:ind w:firstLine="420"/>
              <w:rPr>
                <w:rFonts w:ascii="宋体" w:hAnsi="宋体"/>
                <w:szCs w:val="21"/>
              </w:rPr>
            </w:pPr>
            <w:r>
              <w:rPr>
                <w:rFonts w:hint="eastAsia" w:ascii="宋体" w:hAnsi="宋体" w:cs="宋体"/>
                <w:color w:val="000000" w:themeColor="text1"/>
                <w:szCs w:val="21"/>
                <w14:textFill>
                  <w14:solidFill>
                    <w14:schemeClr w14:val="tx1"/>
                  </w14:solidFill>
                </w14:textFill>
              </w:rPr>
              <w:t>放水闸塔</w:t>
            </w:r>
          </w:p>
        </w:tc>
      </w:tr>
    </w:tbl>
    <w:p w14:paraId="01187498">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07D62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121A8212">
            <w:pPr>
              <w:ind w:firstLine="0" w:firstLineChars="0"/>
              <w:jc w:val="center"/>
              <w:rPr>
                <w:rFonts w:ascii="宋体" w:hAnsi="宋体"/>
                <w:szCs w:val="21"/>
              </w:rPr>
            </w:pPr>
            <w:r>
              <w:rPr>
                <w:rFonts w:ascii="宋体" w:hAnsi="宋体"/>
                <w:szCs w:val="21"/>
              </w:rPr>
              <w:drawing>
                <wp:inline distT="0" distB="0" distL="114300" distR="114300">
                  <wp:extent cx="6181090" cy="5047615"/>
                  <wp:effectExtent l="0" t="0" r="10160" b="635"/>
                  <wp:docPr id="103" name="图片 87" descr="南雄市志_0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87" descr="南雄市志_0085"/>
                          <pic:cNvPicPr>
                            <a:picLocks noChangeAspect="1"/>
                          </pic:cNvPicPr>
                        </pic:nvPicPr>
                        <pic:blipFill>
                          <a:blip r:embed="rId98"/>
                          <a:stretch>
                            <a:fillRect/>
                          </a:stretch>
                        </pic:blipFill>
                        <pic:spPr>
                          <a:xfrm>
                            <a:off x="0" y="0"/>
                            <a:ext cx="6181090" cy="5047615"/>
                          </a:xfrm>
                          <a:prstGeom prst="rect">
                            <a:avLst/>
                          </a:prstGeom>
                          <a:noFill/>
                          <a:ln>
                            <a:noFill/>
                          </a:ln>
                        </pic:spPr>
                      </pic:pic>
                    </a:graphicData>
                  </a:graphic>
                </wp:inline>
              </w:drawing>
            </w:r>
          </w:p>
        </w:tc>
      </w:tr>
      <w:tr w14:paraId="0DF54D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2EAA34FD">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苍石水库大坝</w:t>
            </w:r>
          </w:p>
        </w:tc>
      </w:tr>
    </w:tbl>
    <w:p w14:paraId="4B1C751E">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F244F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57B82A7">
            <w:pPr>
              <w:ind w:firstLine="0" w:firstLineChars="0"/>
              <w:jc w:val="center"/>
              <w:rPr>
                <w:rFonts w:ascii="宋体" w:hAnsi="宋体"/>
                <w:szCs w:val="21"/>
              </w:rPr>
            </w:pPr>
            <w:r>
              <w:rPr>
                <w:rFonts w:ascii="宋体" w:hAnsi="宋体"/>
                <w:szCs w:val="21"/>
              </w:rPr>
              <w:drawing>
                <wp:inline distT="0" distB="0" distL="114300" distR="114300">
                  <wp:extent cx="6181090" cy="5354955"/>
                  <wp:effectExtent l="0" t="0" r="10160" b="17145"/>
                  <wp:docPr id="111" name="图片 88" descr="南雄市志_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88" descr="南雄市志_0086"/>
                          <pic:cNvPicPr>
                            <a:picLocks noChangeAspect="1"/>
                          </pic:cNvPicPr>
                        </pic:nvPicPr>
                        <pic:blipFill>
                          <a:blip r:embed="rId99"/>
                          <a:stretch>
                            <a:fillRect/>
                          </a:stretch>
                        </pic:blipFill>
                        <pic:spPr>
                          <a:xfrm>
                            <a:off x="0" y="0"/>
                            <a:ext cx="6181090" cy="5354955"/>
                          </a:xfrm>
                          <a:prstGeom prst="rect">
                            <a:avLst/>
                          </a:prstGeom>
                          <a:noFill/>
                          <a:ln>
                            <a:noFill/>
                          </a:ln>
                        </pic:spPr>
                      </pic:pic>
                    </a:graphicData>
                  </a:graphic>
                </wp:inline>
              </w:drawing>
            </w:r>
          </w:p>
        </w:tc>
      </w:tr>
      <w:tr w14:paraId="333EF3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7D5D6328">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水口头渡渡槽</w:t>
            </w:r>
          </w:p>
        </w:tc>
      </w:tr>
    </w:tbl>
    <w:p w14:paraId="7B10A9E0">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8E99F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4DCD0DCD">
            <w:pPr>
              <w:ind w:firstLine="0" w:firstLineChars="0"/>
              <w:jc w:val="center"/>
              <w:rPr>
                <w:rFonts w:ascii="宋体" w:hAnsi="宋体"/>
                <w:szCs w:val="21"/>
              </w:rPr>
            </w:pPr>
            <w:r>
              <w:rPr>
                <w:rFonts w:ascii="宋体" w:hAnsi="宋体"/>
                <w:szCs w:val="21"/>
              </w:rPr>
              <w:drawing>
                <wp:inline distT="0" distB="0" distL="114300" distR="114300">
                  <wp:extent cx="6181090" cy="3848100"/>
                  <wp:effectExtent l="0" t="0" r="10160" b="0"/>
                  <wp:docPr id="115" name="图片 89" descr="南雄市志_0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89" descr="南雄市志_0087"/>
                          <pic:cNvPicPr>
                            <a:picLocks noChangeAspect="1"/>
                          </pic:cNvPicPr>
                        </pic:nvPicPr>
                        <pic:blipFill>
                          <a:blip r:embed="rId100"/>
                          <a:stretch>
                            <a:fillRect/>
                          </a:stretch>
                        </pic:blipFill>
                        <pic:spPr>
                          <a:xfrm>
                            <a:off x="0" y="0"/>
                            <a:ext cx="6181090" cy="3848100"/>
                          </a:xfrm>
                          <a:prstGeom prst="rect">
                            <a:avLst/>
                          </a:prstGeom>
                          <a:noFill/>
                          <a:ln>
                            <a:noFill/>
                          </a:ln>
                        </pic:spPr>
                      </pic:pic>
                    </a:graphicData>
                  </a:graphic>
                </wp:inline>
              </w:drawing>
            </w:r>
          </w:p>
        </w:tc>
      </w:tr>
      <w:tr w14:paraId="7D6043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6F229950">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农田灌溉三面光</w:t>
            </w:r>
          </w:p>
        </w:tc>
      </w:tr>
    </w:tbl>
    <w:p w14:paraId="53FDF246">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2148F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B53E64C">
            <w:pPr>
              <w:ind w:firstLine="0" w:firstLineChars="0"/>
              <w:jc w:val="center"/>
              <w:rPr>
                <w:rFonts w:ascii="宋体" w:hAnsi="宋体"/>
                <w:szCs w:val="21"/>
              </w:rPr>
            </w:pPr>
            <w:r>
              <w:rPr>
                <w:rFonts w:ascii="宋体" w:hAnsi="宋体"/>
                <w:szCs w:val="21"/>
              </w:rPr>
              <w:drawing>
                <wp:inline distT="0" distB="0" distL="114300" distR="114300">
                  <wp:extent cx="6181090" cy="4535170"/>
                  <wp:effectExtent l="0" t="0" r="10160" b="17780"/>
                  <wp:docPr id="123" name="图片 90" descr="南雄市志_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90" descr="南雄市志_0088"/>
                          <pic:cNvPicPr>
                            <a:picLocks noChangeAspect="1"/>
                          </pic:cNvPicPr>
                        </pic:nvPicPr>
                        <pic:blipFill>
                          <a:blip r:embed="rId101"/>
                          <a:stretch>
                            <a:fillRect/>
                          </a:stretch>
                        </pic:blipFill>
                        <pic:spPr>
                          <a:xfrm>
                            <a:off x="0" y="0"/>
                            <a:ext cx="6181090" cy="4535170"/>
                          </a:xfrm>
                          <a:prstGeom prst="rect">
                            <a:avLst/>
                          </a:prstGeom>
                          <a:noFill/>
                          <a:ln>
                            <a:noFill/>
                          </a:ln>
                        </pic:spPr>
                      </pic:pic>
                    </a:graphicData>
                  </a:graphic>
                </wp:inline>
              </w:drawing>
            </w:r>
          </w:p>
        </w:tc>
      </w:tr>
      <w:tr w14:paraId="35BE9C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6045B1EC">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中坪水库</w:t>
            </w:r>
          </w:p>
        </w:tc>
      </w:tr>
    </w:tbl>
    <w:p w14:paraId="094F8C3D">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90C87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050ACE6">
            <w:pPr>
              <w:ind w:firstLine="0" w:firstLineChars="0"/>
              <w:jc w:val="center"/>
              <w:rPr>
                <w:rFonts w:ascii="宋体" w:hAnsi="宋体"/>
                <w:szCs w:val="21"/>
              </w:rPr>
            </w:pPr>
            <w:r>
              <w:rPr>
                <w:rFonts w:ascii="宋体" w:hAnsi="宋体"/>
                <w:szCs w:val="21"/>
              </w:rPr>
              <w:drawing>
                <wp:inline distT="0" distB="0" distL="114300" distR="114300">
                  <wp:extent cx="5969000" cy="8163560"/>
                  <wp:effectExtent l="0" t="0" r="12700" b="8890"/>
                  <wp:docPr id="117" name="图片 91" descr="南雄市志_0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91" descr="南雄市志_0089"/>
                          <pic:cNvPicPr>
                            <a:picLocks noChangeAspect="1"/>
                          </pic:cNvPicPr>
                        </pic:nvPicPr>
                        <pic:blipFill>
                          <a:blip r:embed="rId102"/>
                          <a:stretch>
                            <a:fillRect/>
                          </a:stretch>
                        </pic:blipFill>
                        <pic:spPr>
                          <a:xfrm>
                            <a:off x="0" y="0"/>
                            <a:ext cx="5969000" cy="8163560"/>
                          </a:xfrm>
                          <a:prstGeom prst="rect">
                            <a:avLst/>
                          </a:prstGeom>
                          <a:noFill/>
                          <a:ln>
                            <a:noFill/>
                          </a:ln>
                        </pic:spPr>
                      </pic:pic>
                    </a:graphicData>
                  </a:graphic>
                </wp:inline>
              </w:drawing>
            </w:r>
          </w:p>
        </w:tc>
      </w:tr>
      <w:tr w14:paraId="13AD28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660CACEE">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市电力调度中心</w:t>
            </w:r>
          </w:p>
        </w:tc>
      </w:tr>
    </w:tbl>
    <w:p w14:paraId="621BFA27">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41CA2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5B449482">
            <w:pPr>
              <w:ind w:firstLine="0" w:firstLineChars="0"/>
              <w:jc w:val="center"/>
              <w:rPr>
                <w:rFonts w:ascii="宋体" w:hAnsi="宋体"/>
                <w:szCs w:val="21"/>
              </w:rPr>
            </w:pPr>
            <w:r>
              <w:rPr>
                <w:rFonts w:ascii="宋体" w:hAnsi="宋体"/>
                <w:szCs w:val="21"/>
              </w:rPr>
              <w:drawing>
                <wp:inline distT="0" distB="0" distL="114300" distR="114300">
                  <wp:extent cx="6181090" cy="4688840"/>
                  <wp:effectExtent l="0" t="0" r="10160" b="16510"/>
                  <wp:docPr id="97" name="图片 92" descr="南雄市志_0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2" descr="南雄市志_0090"/>
                          <pic:cNvPicPr>
                            <a:picLocks noChangeAspect="1"/>
                          </pic:cNvPicPr>
                        </pic:nvPicPr>
                        <pic:blipFill>
                          <a:blip r:embed="rId103"/>
                          <a:stretch>
                            <a:fillRect/>
                          </a:stretch>
                        </pic:blipFill>
                        <pic:spPr>
                          <a:xfrm>
                            <a:off x="0" y="0"/>
                            <a:ext cx="6181090" cy="4688840"/>
                          </a:xfrm>
                          <a:prstGeom prst="rect">
                            <a:avLst/>
                          </a:prstGeom>
                          <a:noFill/>
                          <a:ln>
                            <a:noFill/>
                          </a:ln>
                        </pic:spPr>
                      </pic:pic>
                    </a:graphicData>
                  </a:graphic>
                </wp:inline>
              </w:drawing>
            </w:r>
          </w:p>
        </w:tc>
      </w:tr>
      <w:tr w14:paraId="765421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41837326">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市三防指挥中心</w:t>
            </w:r>
          </w:p>
        </w:tc>
      </w:tr>
    </w:tbl>
    <w:p w14:paraId="349FFF6A">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7EF1D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6CF23AF">
            <w:pPr>
              <w:ind w:firstLine="0" w:firstLineChars="0"/>
              <w:jc w:val="center"/>
              <w:rPr>
                <w:rFonts w:ascii="宋体" w:hAnsi="宋体"/>
                <w:szCs w:val="21"/>
              </w:rPr>
            </w:pPr>
            <w:r>
              <w:rPr>
                <w:rFonts w:ascii="宋体" w:hAnsi="宋体"/>
                <w:szCs w:val="21"/>
              </w:rPr>
              <w:drawing>
                <wp:inline distT="0" distB="0" distL="114300" distR="114300">
                  <wp:extent cx="6181090" cy="3042920"/>
                  <wp:effectExtent l="0" t="0" r="10160" b="5080"/>
                  <wp:docPr id="98" name="图片 93" descr="南雄市志_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3" descr="南雄市志_0091"/>
                          <pic:cNvPicPr>
                            <a:picLocks noChangeAspect="1"/>
                          </pic:cNvPicPr>
                        </pic:nvPicPr>
                        <pic:blipFill>
                          <a:blip r:embed="rId104"/>
                          <a:stretch>
                            <a:fillRect/>
                          </a:stretch>
                        </pic:blipFill>
                        <pic:spPr>
                          <a:xfrm>
                            <a:off x="0" y="0"/>
                            <a:ext cx="6181090" cy="3042920"/>
                          </a:xfrm>
                          <a:prstGeom prst="rect">
                            <a:avLst/>
                          </a:prstGeom>
                          <a:noFill/>
                          <a:ln>
                            <a:noFill/>
                          </a:ln>
                        </pic:spPr>
                      </pic:pic>
                    </a:graphicData>
                  </a:graphic>
                </wp:inline>
              </w:drawing>
            </w:r>
          </w:p>
        </w:tc>
      </w:tr>
      <w:tr w14:paraId="0C4B6F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214E0458">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三枫电站</w:t>
            </w:r>
          </w:p>
        </w:tc>
      </w:tr>
    </w:tbl>
    <w:p w14:paraId="57DBA372">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3CCCA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1DF8F7E">
            <w:pPr>
              <w:ind w:firstLine="0" w:firstLineChars="0"/>
              <w:jc w:val="center"/>
              <w:rPr>
                <w:rFonts w:ascii="宋体" w:hAnsi="宋体"/>
                <w:szCs w:val="21"/>
              </w:rPr>
            </w:pPr>
            <w:r>
              <w:rPr>
                <w:rFonts w:ascii="宋体" w:hAnsi="宋体"/>
                <w:szCs w:val="21"/>
              </w:rPr>
              <w:drawing>
                <wp:inline distT="0" distB="0" distL="114300" distR="114300">
                  <wp:extent cx="6188710" cy="3408680"/>
                  <wp:effectExtent l="0" t="0" r="2540" b="1270"/>
                  <wp:docPr id="119" name="图片 94" descr="南雄市志_0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94" descr="南雄市志_0092"/>
                          <pic:cNvPicPr>
                            <a:picLocks noChangeAspect="1"/>
                          </pic:cNvPicPr>
                        </pic:nvPicPr>
                        <pic:blipFill>
                          <a:blip r:embed="rId105"/>
                          <a:stretch>
                            <a:fillRect/>
                          </a:stretch>
                        </pic:blipFill>
                        <pic:spPr>
                          <a:xfrm>
                            <a:off x="0" y="0"/>
                            <a:ext cx="6188710" cy="3408680"/>
                          </a:xfrm>
                          <a:prstGeom prst="rect">
                            <a:avLst/>
                          </a:prstGeom>
                          <a:noFill/>
                          <a:ln>
                            <a:noFill/>
                          </a:ln>
                        </pic:spPr>
                      </pic:pic>
                    </a:graphicData>
                  </a:graphic>
                </wp:inline>
              </w:drawing>
            </w:r>
          </w:p>
        </w:tc>
      </w:tr>
      <w:tr w14:paraId="3CFA85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59BF4E39">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苍石电站</w:t>
            </w:r>
          </w:p>
        </w:tc>
      </w:tr>
    </w:tbl>
    <w:p w14:paraId="4859983D">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5E63A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286482F">
            <w:pPr>
              <w:ind w:firstLine="0" w:firstLineChars="0"/>
              <w:jc w:val="center"/>
              <w:rPr>
                <w:rFonts w:ascii="宋体" w:hAnsi="宋体"/>
                <w:szCs w:val="21"/>
              </w:rPr>
            </w:pPr>
            <w:r>
              <w:rPr>
                <w:rFonts w:ascii="宋体" w:hAnsi="宋体"/>
                <w:szCs w:val="21"/>
              </w:rPr>
              <w:drawing>
                <wp:inline distT="0" distB="0" distL="114300" distR="114300">
                  <wp:extent cx="6181090" cy="4923155"/>
                  <wp:effectExtent l="0" t="0" r="10160" b="10795"/>
                  <wp:docPr id="124" name="图片 95" descr="南雄市志_0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95" descr="南雄市志_0093"/>
                          <pic:cNvPicPr>
                            <a:picLocks noChangeAspect="1"/>
                          </pic:cNvPicPr>
                        </pic:nvPicPr>
                        <pic:blipFill>
                          <a:blip r:embed="rId106"/>
                          <a:stretch>
                            <a:fillRect/>
                          </a:stretch>
                        </pic:blipFill>
                        <pic:spPr>
                          <a:xfrm>
                            <a:off x="0" y="0"/>
                            <a:ext cx="6181090" cy="4923155"/>
                          </a:xfrm>
                          <a:prstGeom prst="rect">
                            <a:avLst/>
                          </a:prstGeom>
                          <a:noFill/>
                          <a:ln>
                            <a:noFill/>
                          </a:ln>
                        </pic:spPr>
                      </pic:pic>
                    </a:graphicData>
                  </a:graphic>
                </wp:inline>
              </w:drawing>
            </w:r>
          </w:p>
        </w:tc>
      </w:tr>
      <w:tr w14:paraId="27E3B4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4A93B377">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全安llOKV变电站</w:t>
            </w:r>
          </w:p>
        </w:tc>
      </w:tr>
    </w:tbl>
    <w:p w14:paraId="61190381">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F84C9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6EED4608">
            <w:pPr>
              <w:ind w:firstLine="0" w:firstLineChars="0"/>
              <w:jc w:val="center"/>
              <w:rPr>
                <w:rFonts w:ascii="宋体" w:hAnsi="宋体"/>
                <w:szCs w:val="21"/>
              </w:rPr>
            </w:pPr>
            <w:r>
              <w:rPr>
                <w:rFonts w:ascii="宋体" w:hAnsi="宋体"/>
                <w:szCs w:val="21"/>
              </w:rPr>
              <w:drawing>
                <wp:inline distT="0" distB="0" distL="114300" distR="114300">
                  <wp:extent cx="6181090" cy="4125595"/>
                  <wp:effectExtent l="0" t="0" r="10160" b="8255"/>
                  <wp:docPr id="99" name="图片 96" descr="南雄市志_0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6" descr="南雄市志_0094"/>
                          <pic:cNvPicPr>
                            <a:picLocks noChangeAspect="1"/>
                          </pic:cNvPicPr>
                        </pic:nvPicPr>
                        <pic:blipFill>
                          <a:blip r:embed="rId107"/>
                          <a:stretch>
                            <a:fillRect/>
                          </a:stretch>
                        </pic:blipFill>
                        <pic:spPr>
                          <a:xfrm>
                            <a:off x="0" y="0"/>
                            <a:ext cx="6181090" cy="4125595"/>
                          </a:xfrm>
                          <a:prstGeom prst="rect">
                            <a:avLst/>
                          </a:prstGeom>
                          <a:noFill/>
                          <a:ln>
                            <a:noFill/>
                          </a:ln>
                        </pic:spPr>
                      </pic:pic>
                    </a:graphicData>
                  </a:graphic>
                </wp:inline>
              </w:drawing>
            </w:r>
          </w:p>
        </w:tc>
      </w:tr>
      <w:tr w14:paraId="6B93D3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1D40C2CC">
            <w:pPr>
              <w:ind w:firstLine="420"/>
              <w:rPr>
                <w:rFonts w:ascii="宋体" w:hAnsi="宋体" w:cs="宋体"/>
                <w:color w:val="000000" w:themeColor="text1"/>
                <w:szCs w:val="21"/>
                <w14:textFill>
                  <w14:solidFill>
                    <w14:schemeClr w14:val="tx1"/>
                  </w14:solidFill>
                </w14:textFill>
              </w:rPr>
            </w:pPr>
            <w:r>
              <w:rPr>
                <w:rFonts w:hint="eastAsia" w:ascii="宋体" w:hAnsi="宋体" w:cs="宋体"/>
                <w:szCs w:val="21"/>
              </w:rPr>
              <w:t>瀑布电站厂房一角</w:t>
            </w:r>
          </w:p>
        </w:tc>
      </w:tr>
    </w:tbl>
    <w:p w14:paraId="442793D2">
      <w:pPr>
        <w:pStyle w:val="3"/>
        <w:rPr>
          <w:rFonts w:ascii="宋体" w:hAnsi="宋体"/>
        </w:rPr>
      </w:pPr>
      <w:r>
        <w:rPr>
          <w:rFonts w:hint="eastAsia" w:ascii="宋体" w:hAnsi="宋体"/>
        </w:rPr>
        <w:t>文教卫生</w:t>
      </w: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6AFFC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40410E9">
            <w:pPr>
              <w:ind w:firstLine="0" w:firstLineChars="0"/>
              <w:jc w:val="center"/>
              <w:rPr>
                <w:rFonts w:ascii="宋体" w:hAnsi="宋体"/>
                <w:szCs w:val="21"/>
              </w:rPr>
            </w:pPr>
            <w:r>
              <w:rPr>
                <w:rFonts w:ascii="宋体" w:hAnsi="宋体"/>
                <w:szCs w:val="21"/>
              </w:rPr>
              <w:drawing>
                <wp:inline distT="0" distB="0" distL="114300" distR="114300">
                  <wp:extent cx="6181090" cy="4754880"/>
                  <wp:effectExtent l="0" t="0" r="10160" b="7620"/>
                  <wp:docPr id="126" name="图片 97" descr="南雄市志_0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97" descr="南雄市志_0095"/>
                          <pic:cNvPicPr>
                            <a:picLocks noChangeAspect="1"/>
                          </pic:cNvPicPr>
                        </pic:nvPicPr>
                        <pic:blipFill>
                          <a:blip r:embed="rId108"/>
                          <a:stretch>
                            <a:fillRect/>
                          </a:stretch>
                        </pic:blipFill>
                        <pic:spPr>
                          <a:xfrm>
                            <a:off x="0" y="0"/>
                            <a:ext cx="6181090" cy="4754880"/>
                          </a:xfrm>
                          <a:prstGeom prst="rect">
                            <a:avLst/>
                          </a:prstGeom>
                          <a:noFill/>
                          <a:ln>
                            <a:noFill/>
                          </a:ln>
                        </pic:spPr>
                      </pic:pic>
                    </a:graphicData>
                  </a:graphic>
                </wp:inline>
              </w:drawing>
            </w:r>
          </w:p>
        </w:tc>
      </w:tr>
      <w:tr w14:paraId="0B1A47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62C4C633">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南雄中学南大门</w:t>
            </w:r>
          </w:p>
        </w:tc>
      </w:tr>
    </w:tbl>
    <w:p w14:paraId="22353575">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6FAB8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C83AB26">
            <w:pPr>
              <w:ind w:firstLine="0" w:firstLineChars="0"/>
              <w:jc w:val="center"/>
              <w:rPr>
                <w:rFonts w:ascii="宋体" w:hAnsi="宋体"/>
                <w:szCs w:val="21"/>
              </w:rPr>
            </w:pPr>
            <w:r>
              <w:rPr>
                <w:rFonts w:ascii="宋体" w:hAnsi="宋体"/>
                <w:szCs w:val="21"/>
              </w:rPr>
              <w:drawing>
                <wp:inline distT="0" distB="0" distL="114300" distR="114300">
                  <wp:extent cx="6181090" cy="4842510"/>
                  <wp:effectExtent l="0" t="0" r="10160" b="15240"/>
                  <wp:docPr id="102" name="图片 98" descr="南雄市志_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98" descr="南雄市志_0096"/>
                          <pic:cNvPicPr>
                            <a:picLocks noChangeAspect="1"/>
                          </pic:cNvPicPr>
                        </pic:nvPicPr>
                        <pic:blipFill>
                          <a:blip r:embed="rId109"/>
                          <a:stretch>
                            <a:fillRect/>
                          </a:stretch>
                        </pic:blipFill>
                        <pic:spPr>
                          <a:xfrm>
                            <a:off x="0" y="0"/>
                            <a:ext cx="6181090" cy="4842510"/>
                          </a:xfrm>
                          <a:prstGeom prst="rect">
                            <a:avLst/>
                          </a:prstGeom>
                          <a:noFill/>
                          <a:ln>
                            <a:noFill/>
                          </a:ln>
                        </pic:spPr>
                      </pic:pic>
                    </a:graphicData>
                  </a:graphic>
                </wp:inline>
              </w:drawing>
            </w:r>
          </w:p>
        </w:tc>
      </w:tr>
      <w:tr w14:paraId="068D9D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078E7FB0">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黎灿学校校园</w:t>
            </w:r>
          </w:p>
        </w:tc>
      </w:tr>
    </w:tbl>
    <w:p w14:paraId="2EAF8DC6">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42E3E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5ECBB6A">
            <w:pPr>
              <w:ind w:firstLine="0" w:firstLineChars="0"/>
              <w:jc w:val="center"/>
              <w:rPr>
                <w:rFonts w:ascii="宋体" w:hAnsi="宋体"/>
                <w:szCs w:val="21"/>
              </w:rPr>
            </w:pPr>
            <w:r>
              <w:rPr>
                <w:rFonts w:ascii="宋体" w:hAnsi="宋体"/>
                <w:szCs w:val="21"/>
              </w:rPr>
              <w:drawing>
                <wp:inline distT="0" distB="0" distL="114300" distR="114300">
                  <wp:extent cx="6181090" cy="4696460"/>
                  <wp:effectExtent l="0" t="0" r="10160" b="8890"/>
                  <wp:docPr id="127" name="图片 99" descr="南雄市志_0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99" descr="南雄市志_0097"/>
                          <pic:cNvPicPr>
                            <a:picLocks noChangeAspect="1"/>
                          </pic:cNvPicPr>
                        </pic:nvPicPr>
                        <pic:blipFill>
                          <a:blip r:embed="rId110"/>
                          <a:stretch>
                            <a:fillRect/>
                          </a:stretch>
                        </pic:blipFill>
                        <pic:spPr>
                          <a:xfrm>
                            <a:off x="0" y="0"/>
                            <a:ext cx="6181090" cy="4696460"/>
                          </a:xfrm>
                          <a:prstGeom prst="rect">
                            <a:avLst/>
                          </a:prstGeom>
                          <a:noFill/>
                          <a:ln>
                            <a:noFill/>
                          </a:ln>
                        </pic:spPr>
                      </pic:pic>
                    </a:graphicData>
                  </a:graphic>
                </wp:inline>
              </w:drawing>
            </w:r>
          </w:p>
        </w:tc>
      </w:tr>
      <w:tr w14:paraId="2B4A6D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6A4EE714">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市一中校园</w:t>
            </w:r>
          </w:p>
        </w:tc>
      </w:tr>
    </w:tbl>
    <w:p w14:paraId="1B38FC92">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07E80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446E10D">
            <w:pPr>
              <w:ind w:firstLine="0" w:firstLineChars="0"/>
              <w:jc w:val="center"/>
              <w:rPr>
                <w:rFonts w:ascii="宋体" w:hAnsi="宋体"/>
                <w:szCs w:val="21"/>
              </w:rPr>
            </w:pPr>
            <w:r>
              <w:rPr>
                <w:rFonts w:ascii="宋体" w:hAnsi="宋体"/>
                <w:szCs w:val="21"/>
              </w:rPr>
              <w:drawing>
                <wp:inline distT="0" distB="0" distL="114300" distR="114300">
                  <wp:extent cx="6181090" cy="4725670"/>
                  <wp:effectExtent l="0" t="0" r="10160" b="17780"/>
                  <wp:docPr id="144" name="图片 100" descr="南雄市志_0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00" descr="南雄市志_0098"/>
                          <pic:cNvPicPr>
                            <a:picLocks noChangeAspect="1"/>
                          </pic:cNvPicPr>
                        </pic:nvPicPr>
                        <pic:blipFill>
                          <a:blip r:embed="rId111"/>
                          <a:stretch>
                            <a:fillRect/>
                          </a:stretch>
                        </pic:blipFill>
                        <pic:spPr>
                          <a:xfrm>
                            <a:off x="0" y="0"/>
                            <a:ext cx="6181090" cy="4725670"/>
                          </a:xfrm>
                          <a:prstGeom prst="rect">
                            <a:avLst/>
                          </a:prstGeom>
                          <a:noFill/>
                          <a:ln>
                            <a:noFill/>
                          </a:ln>
                        </pic:spPr>
                      </pic:pic>
                    </a:graphicData>
                  </a:graphic>
                </wp:inline>
              </w:drawing>
            </w:r>
          </w:p>
        </w:tc>
      </w:tr>
      <w:tr w14:paraId="7B4E76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274B6BE6">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机关幼儿园</w:t>
            </w:r>
          </w:p>
        </w:tc>
      </w:tr>
    </w:tbl>
    <w:p w14:paraId="511313F4">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6E479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339EE10">
            <w:pPr>
              <w:ind w:firstLine="0" w:firstLineChars="0"/>
              <w:jc w:val="center"/>
              <w:rPr>
                <w:rFonts w:ascii="宋体" w:hAnsi="宋体"/>
                <w:szCs w:val="21"/>
              </w:rPr>
            </w:pPr>
            <w:r>
              <w:rPr>
                <w:rFonts w:ascii="宋体" w:hAnsi="宋体"/>
                <w:szCs w:val="21"/>
              </w:rPr>
              <w:drawing>
                <wp:inline distT="0" distB="0" distL="114300" distR="114300">
                  <wp:extent cx="6181090" cy="4645025"/>
                  <wp:effectExtent l="0" t="0" r="10160" b="3175"/>
                  <wp:docPr id="145" name="图片 101" descr="南雄市志_0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01" descr="南雄市志_0099"/>
                          <pic:cNvPicPr>
                            <a:picLocks noChangeAspect="1"/>
                          </pic:cNvPicPr>
                        </pic:nvPicPr>
                        <pic:blipFill>
                          <a:blip r:embed="rId112"/>
                          <a:stretch>
                            <a:fillRect/>
                          </a:stretch>
                        </pic:blipFill>
                        <pic:spPr>
                          <a:xfrm>
                            <a:off x="0" y="0"/>
                            <a:ext cx="6181090" cy="4645025"/>
                          </a:xfrm>
                          <a:prstGeom prst="rect">
                            <a:avLst/>
                          </a:prstGeom>
                          <a:noFill/>
                          <a:ln>
                            <a:noFill/>
                          </a:ln>
                        </pic:spPr>
                      </pic:pic>
                    </a:graphicData>
                  </a:graphic>
                </wp:inline>
              </w:drawing>
            </w:r>
          </w:p>
        </w:tc>
      </w:tr>
      <w:tr w14:paraId="051605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6ADACBFD">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市委党校、行政学校、广播电视大学、进修学校四校合一</w:t>
            </w:r>
          </w:p>
        </w:tc>
      </w:tr>
    </w:tbl>
    <w:p w14:paraId="7A320B3A">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79611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F0F18EF">
            <w:pPr>
              <w:ind w:firstLine="0" w:firstLineChars="0"/>
              <w:jc w:val="center"/>
              <w:rPr>
                <w:rFonts w:ascii="宋体" w:hAnsi="宋体"/>
                <w:szCs w:val="21"/>
              </w:rPr>
            </w:pPr>
            <w:r>
              <w:rPr>
                <w:rFonts w:ascii="宋体" w:hAnsi="宋体"/>
                <w:szCs w:val="21"/>
              </w:rPr>
              <w:drawing>
                <wp:inline distT="0" distB="0" distL="114300" distR="114300">
                  <wp:extent cx="6188710" cy="3299460"/>
                  <wp:effectExtent l="0" t="0" r="2540" b="15240"/>
                  <wp:docPr id="148" name="图片 102" descr="南雄市志_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02" descr="南雄市志_0100"/>
                          <pic:cNvPicPr>
                            <a:picLocks noChangeAspect="1"/>
                          </pic:cNvPicPr>
                        </pic:nvPicPr>
                        <pic:blipFill>
                          <a:blip r:embed="rId113"/>
                          <a:stretch>
                            <a:fillRect/>
                          </a:stretch>
                        </pic:blipFill>
                        <pic:spPr>
                          <a:xfrm>
                            <a:off x="0" y="0"/>
                            <a:ext cx="6188710" cy="3299460"/>
                          </a:xfrm>
                          <a:prstGeom prst="rect">
                            <a:avLst/>
                          </a:prstGeom>
                          <a:noFill/>
                          <a:ln>
                            <a:noFill/>
                          </a:ln>
                        </pic:spPr>
                      </pic:pic>
                    </a:graphicData>
                  </a:graphic>
                </wp:inline>
              </w:drawing>
            </w:r>
          </w:p>
        </w:tc>
      </w:tr>
      <w:tr w14:paraId="59FE47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415B7DB5">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新城王锦辉中学</w:t>
            </w:r>
          </w:p>
        </w:tc>
      </w:tr>
    </w:tbl>
    <w:p w14:paraId="569944BF">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F721B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210ACD1F">
            <w:pPr>
              <w:ind w:firstLine="0" w:firstLineChars="0"/>
              <w:jc w:val="center"/>
              <w:rPr>
                <w:rFonts w:ascii="宋体" w:hAnsi="宋体"/>
                <w:szCs w:val="21"/>
              </w:rPr>
            </w:pPr>
            <w:r>
              <w:rPr>
                <w:rFonts w:ascii="宋体" w:hAnsi="宋体"/>
                <w:szCs w:val="21"/>
              </w:rPr>
              <w:drawing>
                <wp:inline distT="0" distB="0" distL="114300" distR="114300">
                  <wp:extent cx="6188710" cy="4505960"/>
                  <wp:effectExtent l="0" t="0" r="2540" b="8890"/>
                  <wp:docPr id="158" name="图片 103" descr="南雄市志_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03" descr="南雄市志_0101"/>
                          <pic:cNvPicPr>
                            <a:picLocks noChangeAspect="1"/>
                          </pic:cNvPicPr>
                        </pic:nvPicPr>
                        <pic:blipFill>
                          <a:blip r:embed="rId114"/>
                          <a:stretch>
                            <a:fillRect/>
                          </a:stretch>
                        </pic:blipFill>
                        <pic:spPr>
                          <a:xfrm>
                            <a:off x="0" y="0"/>
                            <a:ext cx="6188710" cy="4505960"/>
                          </a:xfrm>
                          <a:prstGeom prst="rect">
                            <a:avLst/>
                          </a:prstGeom>
                          <a:noFill/>
                          <a:ln>
                            <a:noFill/>
                          </a:ln>
                        </pic:spPr>
                      </pic:pic>
                    </a:graphicData>
                  </a:graphic>
                </wp:inline>
              </w:drawing>
            </w:r>
          </w:p>
        </w:tc>
      </w:tr>
      <w:tr w14:paraId="6B731E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00E906A8">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322731"/>
                <w:szCs w:val="21"/>
              </w:rPr>
              <w:t>黄坑中学教学区</w:t>
            </w:r>
          </w:p>
        </w:tc>
      </w:tr>
    </w:tbl>
    <w:p w14:paraId="1C4B5E3E">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17927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34789592">
            <w:pPr>
              <w:ind w:firstLine="0" w:firstLineChars="0"/>
              <w:jc w:val="center"/>
              <w:rPr>
                <w:rFonts w:ascii="宋体" w:hAnsi="宋体"/>
                <w:szCs w:val="21"/>
              </w:rPr>
            </w:pPr>
            <w:r>
              <w:rPr>
                <w:rFonts w:ascii="宋体" w:hAnsi="宋体"/>
                <w:szCs w:val="21"/>
              </w:rPr>
              <w:drawing>
                <wp:inline distT="0" distB="0" distL="114300" distR="114300">
                  <wp:extent cx="6181090" cy="4645025"/>
                  <wp:effectExtent l="0" t="0" r="10160" b="3175"/>
                  <wp:docPr id="140" name="图片 104" descr="南雄市志_0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04" descr="南雄市志_0102"/>
                          <pic:cNvPicPr>
                            <a:picLocks noChangeAspect="1"/>
                          </pic:cNvPicPr>
                        </pic:nvPicPr>
                        <pic:blipFill>
                          <a:blip r:embed="rId115"/>
                          <a:stretch>
                            <a:fillRect/>
                          </a:stretch>
                        </pic:blipFill>
                        <pic:spPr>
                          <a:xfrm>
                            <a:off x="0" y="0"/>
                            <a:ext cx="6181090" cy="4645025"/>
                          </a:xfrm>
                          <a:prstGeom prst="rect">
                            <a:avLst/>
                          </a:prstGeom>
                          <a:noFill/>
                          <a:ln>
                            <a:noFill/>
                          </a:ln>
                        </pic:spPr>
                      </pic:pic>
                    </a:graphicData>
                  </a:graphic>
                </wp:inline>
              </w:drawing>
            </w:r>
          </w:p>
        </w:tc>
      </w:tr>
      <w:tr w14:paraId="4E080D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51E2E16B">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市职业高中学生在上实验课</w:t>
            </w:r>
          </w:p>
        </w:tc>
      </w:tr>
    </w:tbl>
    <w:p w14:paraId="02864CF2">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FD0E1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BFE7DFF">
            <w:pPr>
              <w:ind w:firstLine="0" w:firstLineChars="0"/>
              <w:jc w:val="center"/>
              <w:rPr>
                <w:rFonts w:ascii="宋体" w:hAnsi="宋体"/>
                <w:szCs w:val="21"/>
              </w:rPr>
            </w:pPr>
            <w:r>
              <w:rPr>
                <w:rFonts w:ascii="宋体" w:hAnsi="宋体"/>
                <w:szCs w:val="21"/>
              </w:rPr>
              <w:drawing>
                <wp:inline distT="0" distB="0" distL="114300" distR="114300">
                  <wp:extent cx="6181090" cy="4842510"/>
                  <wp:effectExtent l="0" t="0" r="10160" b="15240"/>
                  <wp:docPr id="141" name="图片 105" descr="南雄市志_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05" descr="南雄市志_0103"/>
                          <pic:cNvPicPr>
                            <a:picLocks noChangeAspect="1"/>
                          </pic:cNvPicPr>
                        </pic:nvPicPr>
                        <pic:blipFill>
                          <a:blip r:embed="rId116"/>
                          <a:stretch>
                            <a:fillRect/>
                          </a:stretch>
                        </pic:blipFill>
                        <pic:spPr>
                          <a:xfrm>
                            <a:off x="0" y="0"/>
                            <a:ext cx="6181090" cy="4842510"/>
                          </a:xfrm>
                          <a:prstGeom prst="rect">
                            <a:avLst/>
                          </a:prstGeom>
                          <a:noFill/>
                          <a:ln>
                            <a:noFill/>
                          </a:ln>
                        </pic:spPr>
                      </pic:pic>
                    </a:graphicData>
                  </a:graphic>
                </wp:inline>
              </w:drawing>
            </w:r>
          </w:p>
        </w:tc>
      </w:tr>
      <w:tr w14:paraId="700644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2D17CE41">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乌迳中学校园一角</w:t>
            </w:r>
          </w:p>
        </w:tc>
      </w:tr>
    </w:tbl>
    <w:p w14:paraId="248FA5BF">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A6769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0870253C">
            <w:pPr>
              <w:ind w:firstLine="0" w:firstLineChars="0"/>
              <w:jc w:val="center"/>
              <w:rPr>
                <w:rFonts w:ascii="宋体" w:hAnsi="宋体"/>
                <w:szCs w:val="21"/>
              </w:rPr>
            </w:pPr>
            <w:r>
              <w:rPr>
                <w:rFonts w:ascii="宋体" w:hAnsi="宋体"/>
                <w:szCs w:val="21"/>
              </w:rPr>
              <w:drawing>
                <wp:inline distT="0" distB="0" distL="114300" distR="114300">
                  <wp:extent cx="6181090" cy="4630420"/>
                  <wp:effectExtent l="0" t="0" r="10160" b="17780"/>
                  <wp:docPr id="135" name="图片 106" descr="南雄市志_0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06" descr="南雄市志_0104"/>
                          <pic:cNvPicPr>
                            <a:picLocks noChangeAspect="1"/>
                          </pic:cNvPicPr>
                        </pic:nvPicPr>
                        <pic:blipFill>
                          <a:blip r:embed="rId117"/>
                          <a:stretch>
                            <a:fillRect/>
                          </a:stretch>
                        </pic:blipFill>
                        <pic:spPr>
                          <a:xfrm>
                            <a:off x="0" y="0"/>
                            <a:ext cx="6181090" cy="4630420"/>
                          </a:xfrm>
                          <a:prstGeom prst="rect">
                            <a:avLst/>
                          </a:prstGeom>
                          <a:noFill/>
                          <a:ln>
                            <a:noFill/>
                          </a:ln>
                        </pic:spPr>
                      </pic:pic>
                    </a:graphicData>
                  </a:graphic>
                </wp:inline>
              </w:drawing>
            </w:r>
          </w:p>
        </w:tc>
      </w:tr>
      <w:tr w14:paraId="54E8E3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vAlign w:val="center"/>
          </w:tcPr>
          <w:p w14:paraId="496034EE">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湖口中学梁广榕综合楼</w:t>
            </w:r>
          </w:p>
        </w:tc>
      </w:tr>
    </w:tbl>
    <w:p w14:paraId="623E58E3">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132FC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963DAFA">
            <w:pPr>
              <w:ind w:firstLine="0" w:firstLineChars="0"/>
              <w:jc w:val="center"/>
              <w:rPr>
                <w:rFonts w:ascii="宋体" w:hAnsi="宋体"/>
                <w:szCs w:val="21"/>
              </w:rPr>
            </w:pPr>
            <w:r>
              <w:rPr>
                <w:rFonts w:ascii="宋体" w:hAnsi="宋体"/>
                <w:szCs w:val="21"/>
              </w:rPr>
              <w:drawing>
                <wp:inline distT="0" distB="0" distL="114300" distR="114300">
                  <wp:extent cx="6181090" cy="4403725"/>
                  <wp:effectExtent l="0" t="0" r="10160" b="15875"/>
                  <wp:docPr id="159" name="图片 107" descr="南雄市志_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07" descr="南雄市志_0105"/>
                          <pic:cNvPicPr>
                            <a:picLocks noChangeAspect="1"/>
                          </pic:cNvPicPr>
                        </pic:nvPicPr>
                        <pic:blipFill>
                          <a:blip r:embed="rId118"/>
                          <a:stretch>
                            <a:fillRect/>
                          </a:stretch>
                        </pic:blipFill>
                        <pic:spPr>
                          <a:xfrm>
                            <a:off x="0" y="0"/>
                            <a:ext cx="6181090" cy="4403725"/>
                          </a:xfrm>
                          <a:prstGeom prst="rect">
                            <a:avLst/>
                          </a:prstGeom>
                          <a:noFill/>
                          <a:ln>
                            <a:noFill/>
                          </a:ln>
                        </pic:spPr>
                      </pic:pic>
                    </a:graphicData>
                  </a:graphic>
                </wp:inline>
              </w:drawing>
            </w:r>
          </w:p>
        </w:tc>
      </w:tr>
      <w:tr w14:paraId="2EDA6A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71FCD439">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永康路小学校园</w:t>
            </w:r>
          </w:p>
        </w:tc>
      </w:tr>
    </w:tbl>
    <w:p w14:paraId="1299FE86">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11FBD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6F3F017">
            <w:pPr>
              <w:ind w:firstLine="0" w:firstLineChars="0"/>
              <w:jc w:val="center"/>
              <w:rPr>
                <w:rFonts w:ascii="宋体" w:hAnsi="宋体"/>
                <w:szCs w:val="21"/>
              </w:rPr>
            </w:pPr>
            <w:r>
              <w:rPr>
                <w:rFonts w:ascii="宋体" w:hAnsi="宋体"/>
                <w:szCs w:val="21"/>
              </w:rPr>
              <w:drawing>
                <wp:inline distT="0" distB="0" distL="114300" distR="114300">
                  <wp:extent cx="6181090" cy="4615815"/>
                  <wp:effectExtent l="0" t="0" r="10160" b="13335"/>
                  <wp:docPr id="128" name="图片 108" descr="南雄市志_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08" descr="南雄市志_0106"/>
                          <pic:cNvPicPr>
                            <a:picLocks noChangeAspect="1"/>
                          </pic:cNvPicPr>
                        </pic:nvPicPr>
                        <pic:blipFill>
                          <a:blip r:embed="rId119"/>
                          <a:stretch>
                            <a:fillRect/>
                          </a:stretch>
                        </pic:blipFill>
                        <pic:spPr>
                          <a:xfrm>
                            <a:off x="0" y="0"/>
                            <a:ext cx="6181090" cy="4615815"/>
                          </a:xfrm>
                          <a:prstGeom prst="rect">
                            <a:avLst/>
                          </a:prstGeom>
                          <a:noFill/>
                          <a:ln>
                            <a:noFill/>
                          </a:ln>
                        </pic:spPr>
                      </pic:pic>
                    </a:graphicData>
                  </a:graphic>
                </wp:inline>
              </w:drawing>
            </w:r>
          </w:p>
        </w:tc>
      </w:tr>
      <w:tr w14:paraId="53FFFC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5FEA3CA3">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古市中心小学教学楼</w:t>
            </w:r>
          </w:p>
        </w:tc>
      </w:tr>
    </w:tbl>
    <w:p w14:paraId="4DC04067">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C3564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265886C">
            <w:pPr>
              <w:ind w:firstLine="0" w:firstLineChars="0"/>
              <w:jc w:val="center"/>
              <w:rPr>
                <w:rFonts w:ascii="宋体" w:hAnsi="宋体"/>
                <w:szCs w:val="21"/>
              </w:rPr>
            </w:pPr>
            <w:r>
              <w:rPr>
                <w:rFonts w:ascii="宋体" w:hAnsi="宋体"/>
                <w:szCs w:val="21"/>
              </w:rPr>
              <w:drawing>
                <wp:inline distT="0" distB="0" distL="114300" distR="114300">
                  <wp:extent cx="6188710" cy="3818255"/>
                  <wp:effectExtent l="0" t="0" r="2540" b="10795"/>
                  <wp:docPr id="157" name="图片 109" descr="南雄市志_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09" descr="南雄市志_0107"/>
                          <pic:cNvPicPr>
                            <a:picLocks noChangeAspect="1"/>
                          </pic:cNvPicPr>
                        </pic:nvPicPr>
                        <pic:blipFill>
                          <a:blip r:embed="rId120"/>
                          <a:stretch>
                            <a:fillRect/>
                          </a:stretch>
                        </pic:blipFill>
                        <pic:spPr>
                          <a:xfrm>
                            <a:off x="0" y="0"/>
                            <a:ext cx="6188710" cy="3818255"/>
                          </a:xfrm>
                          <a:prstGeom prst="rect">
                            <a:avLst/>
                          </a:prstGeom>
                          <a:noFill/>
                          <a:ln>
                            <a:noFill/>
                          </a:ln>
                        </pic:spPr>
                      </pic:pic>
                    </a:graphicData>
                  </a:graphic>
                </wp:inline>
              </w:drawing>
            </w:r>
          </w:p>
        </w:tc>
      </w:tr>
      <w:tr w14:paraId="230DCE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55026058">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雄州全民健身广场</w:t>
            </w:r>
          </w:p>
        </w:tc>
      </w:tr>
    </w:tbl>
    <w:p w14:paraId="77C32F8A">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65DC1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4B86C12">
            <w:pPr>
              <w:ind w:firstLine="0" w:firstLineChars="0"/>
              <w:jc w:val="center"/>
              <w:rPr>
                <w:rFonts w:ascii="宋体" w:hAnsi="宋体"/>
                <w:szCs w:val="21"/>
              </w:rPr>
            </w:pPr>
            <w:r>
              <w:rPr>
                <w:rFonts w:ascii="宋体" w:hAnsi="宋体"/>
                <w:szCs w:val="21"/>
              </w:rPr>
              <w:drawing>
                <wp:inline distT="0" distB="0" distL="114300" distR="114300">
                  <wp:extent cx="6181090" cy="5098415"/>
                  <wp:effectExtent l="0" t="0" r="10160" b="6985"/>
                  <wp:docPr id="129" name="图片 110" descr="南雄市志_0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10" descr="南雄市志_0108"/>
                          <pic:cNvPicPr>
                            <a:picLocks noChangeAspect="1"/>
                          </pic:cNvPicPr>
                        </pic:nvPicPr>
                        <pic:blipFill>
                          <a:blip r:embed="rId121"/>
                          <a:stretch>
                            <a:fillRect/>
                          </a:stretch>
                        </pic:blipFill>
                        <pic:spPr>
                          <a:xfrm>
                            <a:off x="0" y="0"/>
                            <a:ext cx="6181090" cy="5098415"/>
                          </a:xfrm>
                          <a:prstGeom prst="rect">
                            <a:avLst/>
                          </a:prstGeom>
                          <a:noFill/>
                          <a:ln>
                            <a:noFill/>
                          </a:ln>
                        </pic:spPr>
                      </pic:pic>
                    </a:graphicData>
                  </a:graphic>
                </wp:inline>
              </w:drawing>
            </w:r>
          </w:p>
        </w:tc>
      </w:tr>
      <w:tr w14:paraId="7529EE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35BCB6CB">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金叶花苑全民健身路径</w:t>
            </w:r>
          </w:p>
        </w:tc>
      </w:tr>
    </w:tbl>
    <w:p w14:paraId="6CE54E99">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F6CB6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7A1CEE1">
            <w:pPr>
              <w:ind w:firstLine="0" w:firstLineChars="0"/>
              <w:jc w:val="center"/>
              <w:rPr>
                <w:rFonts w:ascii="宋体" w:hAnsi="宋体"/>
                <w:szCs w:val="21"/>
              </w:rPr>
            </w:pPr>
            <w:r>
              <w:rPr>
                <w:rFonts w:ascii="宋体" w:hAnsi="宋体"/>
                <w:szCs w:val="21"/>
              </w:rPr>
              <w:drawing>
                <wp:inline distT="0" distB="0" distL="114300" distR="114300">
                  <wp:extent cx="6181090" cy="4469765"/>
                  <wp:effectExtent l="0" t="0" r="10160" b="6985"/>
                  <wp:docPr id="130" name="图片 111" descr="南雄市志_0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11" descr="南雄市志_0109"/>
                          <pic:cNvPicPr>
                            <a:picLocks noChangeAspect="1"/>
                          </pic:cNvPicPr>
                        </pic:nvPicPr>
                        <pic:blipFill>
                          <a:blip r:embed="rId122"/>
                          <a:stretch>
                            <a:fillRect/>
                          </a:stretch>
                        </pic:blipFill>
                        <pic:spPr>
                          <a:xfrm>
                            <a:off x="0" y="0"/>
                            <a:ext cx="6181090" cy="4469765"/>
                          </a:xfrm>
                          <a:prstGeom prst="rect">
                            <a:avLst/>
                          </a:prstGeom>
                          <a:noFill/>
                          <a:ln>
                            <a:noFill/>
                          </a:ln>
                        </pic:spPr>
                      </pic:pic>
                    </a:graphicData>
                  </a:graphic>
                </wp:inline>
              </w:drawing>
            </w:r>
          </w:p>
        </w:tc>
      </w:tr>
      <w:tr w14:paraId="317086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42BFD271">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儿童乐园</w:t>
            </w:r>
          </w:p>
        </w:tc>
      </w:tr>
    </w:tbl>
    <w:p w14:paraId="74E04B16">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FAA63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9204992">
            <w:pPr>
              <w:ind w:firstLine="0" w:firstLineChars="0"/>
              <w:jc w:val="center"/>
              <w:rPr>
                <w:rFonts w:ascii="宋体" w:hAnsi="宋体"/>
                <w:szCs w:val="21"/>
              </w:rPr>
            </w:pPr>
            <w:r>
              <w:rPr>
                <w:rFonts w:ascii="宋体" w:hAnsi="宋体"/>
                <w:szCs w:val="21"/>
              </w:rPr>
              <w:drawing>
                <wp:inline distT="0" distB="0" distL="114300" distR="114300">
                  <wp:extent cx="6181090" cy="5361940"/>
                  <wp:effectExtent l="0" t="0" r="10160" b="10160"/>
                  <wp:docPr id="139" name="图片 112" descr="南雄市志_0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12" descr="南雄市志_0110"/>
                          <pic:cNvPicPr>
                            <a:picLocks noChangeAspect="1"/>
                          </pic:cNvPicPr>
                        </pic:nvPicPr>
                        <pic:blipFill>
                          <a:blip r:embed="rId123"/>
                          <a:stretch>
                            <a:fillRect/>
                          </a:stretch>
                        </pic:blipFill>
                        <pic:spPr>
                          <a:xfrm>
                            <a:off x="0" y="0"/>
                            <a:ext cx="6181090" cy="5361940"/>
                          </a:xfrm>
                          <a:prstGeom prst="rect">
                            <a:avLst/>
                          </a:prstGeom>
                          <a:noFill/>
                          <a:ln>
                            <a:noFill/>
                          </a:ln>
                        </pic:spPr>
                      </pic:pic>
                    </a:graphicData>
                  </a:graphic>
                </wp:inline>
              </w:drawing>
            </w:r>
          </w:p>
        </w:tc>
      </w:tr>
      <w:tr w14:paraId="7C37A4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0A4EDFEA">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新城体育馆游泳池</w:t>
            </w:r>
          </w:p>
        </w:tc>
      </w:tr>
    </w:tbl>
    <w:p w14:paraId="4664318E">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023D8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C839260">
            <w:pPr>
              <w:ind w:firstLine="0" w:firstLineChars="0"/>
              <w:jc w:val="center"/>
              <w:rPr>
                <w:rFonts w:ascii="宋体" w:hAnsi="宋体"/>
                <w:szCs w:val="21"/>
              </w:rPr>
            </w:pPr>
            <w:r>
              <w:rPr>
                <w:rFonts w:ascii="宋体" w:hAnsi="宋体"/>
                <w:szCs w:val="21"/>
              </w:rPr>
              <w:drawing>
                <wp:inline distT="0" distB="0" distL="114300" distR="114300">
                  <wp:extent cx="6181090" cy="4630420"/>
                  <wp:effectExtent l="0" t="0" r="10160" b="17780"/>
                  <wp:docPr id="131" name="图片 113" descr="南雄市志_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13" descr="南雄市志_0111"/>
                          <pic:cNvPicPr>
                            <a:picLocks noChangeAspect="1"/>
                          </pic:cNvPicPr>
                        </pic:nvPicPr>
                        <pic:blipFill>
                          <a:blip r:embed="rId124"/>
                          <a:stretch>
                            <a:fillRect/>
                          </a:stretch>
                        </pic:blipFill>
                        <pic:spPr>
                          <a:xfrm>
                            <a:off x="0" y="0"/>
                            <a:ext cx="6181090" cy="4630420"/>
                          </a:xfrm>
                          <a:prstGeom prst="rect">
                            <a:avLst/>
                          </a:prstGeom>
                          <a:noFill/>
                          <a:ln>
                            <a:noFill/>
                          </a:ln>
                        </pic:spPr>
                      </pic:pic>
                    </a:graphicData>
                  </a:graphic>
                </wp:inline>
              </w:drawing>
            </w:r>
          </w:p>
        </w:tc>
      </w:tr>
      <w:tr w14:paraId="40BA5A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vAlign w:val="center"/>
          </w:tcPr>
          <w:p w14:paraId="301CBBB1">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市图书馆</w:t>
            </w:r>
          </w:p>
        </w:tc>
      </w:tr>
    </w:tbl>
    <w:p w14:paraId="2A7D3CA7">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4AF40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5F9676F">
            <w:pPr>
              <w:ind w:firstLine="0" w:firstLineChars="0"/>
              <w:jc w:val="center"/>
              <w:rPr>
                <w:rFonts w:ascii="宋体" w:hAnsi="宋体"/>
                <w:szCs w:val="21"/>
              </w:rPr>
            </w:pPr>
            <w:r>
              <w:rPr>
                <w:rFonts w:ascii="宋体" w:hAnsi="宋体"/>
                <w:szCs w:val="21"/>
              </w:rPr>
              <w:drawing>
                <wp:inline distT="0" distB="0" distL="114300" distR="114300">
                  <wp:extent cx="6181090" cy="5186680"/>
                  <wp:effectExtent l="0" t="0" r="10160" b="13970"/>
                  <wp:docPr id="133" name="图片 114" descr="南雄市志_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14" descr="南雄市志_0112"/>
                          <pic:cNvPicPr>
                            <a:picLocks noChangeAspect="1"/>
                          </pic:cNvPicPr>
                        </pic:nvPicPr>
                        <pic:blipFill>
                          <a:blip r:embed="rId125"/>
                          <a:stretch>
                            <a:fillRect/>
                          </a:stretch>
                        </pic:blipFill>
                        <pic:spPr>
                          <a:xfrm>
                            <a:off x="0" y="0"/>
                            <a:ext cx="6181090" cy="5186680"/>
                          </a:xfrm>
                          <a:prstGeom prst="rect">
                            <a:avLst/>
                          </a:prstGeom>
                          <a:noFill/>
                          <a:ln>
                            <a:noFill/>
                          </a:ln>
                        </pic:spPr>
                      </pic:pic>
                    </a:graphicData>
                  </a:graphic>
                </wp:inline>
              </w:drawing>
            </w:r>
          </w:p>
        </w:tc>
      </w:tr>
      <w:tr w14:paraId="4BF77D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0413F1A4">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新华书店</w:t>
            </w:r>
          </w:p>
        </w:tc>
      </w:tr>
    </w:tbl>
    <w:p w14:paraId="0EAD1A57">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079BB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85B16A4">
            <w:pPr>
              <w:ind w:firstLine="0" w:firstLineChars="0"/>
              <w:jc w:val="center"/>
              <w:rPr>
                <w:rFonts w:ascii="宋体" w:hAnsi="宋体"/>
                <w:szCs w:val="21"/>
              </w:rPr>
            </w:pPr>
            <w:r>
              <w:rPr>
                <w:rFonts w:ascii="宋体" w:hAnsi="宋体"/>
                <w:szCs w:val="21"/>
              </w:rPr>
              <w:drawing>
                <wp:inline distT="0" distB="0" distL="114300" distR="114300">
                  <wp:extent cx="6181090" cy="4154805"/>
                  <wp:effectExtent l="0" t="0" r="10160" b="17145"/>
                  <wp:docPr id="142" name="图片 115" descr="南雄市志_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15" descr="南雄市志_0113"/>
                          <pic:cNvPicPr>
                            <a:picLocks noChangeAspect="1"/>
                          </pic:cNvPicPr>
                        </pic:nvPicPr>
                        <pic:blipFill>
                          <a:blip r:embed="rId126"/>
                          <a:stretch>
                            <a:fillRect/>
                          </a:stretch>
                        </pic:blipFill>
                        <pic:spPr>
                          <a:xfrm>
                            <a:off x="0" y="0"/>
                            <a:ext cx="6181090" cy="4154805"/>
                          </a:xfrm>
                          <a:prstGeom prst="rect">
                            <a:avLst/>
                          </a:prstGeom>
                          <a:noFill/>
                          <a:ln>
                            <a:noFill/>
                          </a:ln>
                        </pic:spPr>
                      </pic:pic>
                    </a:graphicData>
                  </a:graphic>
                </wp:inline>
              </w:drawing>
            </w:r>
          </w:p>
        </w:tc>
      </w:tr>
      <w:tr w14:paraId="52BE8D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0C5293B7">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市人民医院住院大楼</w:t>
            </w:r>
          </w:p>
        </w:tc>
      </w:tr>
    </w:tbl>
    <w:p w14:paraId="17096467">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6B57C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C8AB70D">
            <w:pPr>
              <w:ind w:firstLine="0" w:firstLineChars="0"/>
              <w:jc w:val="center"/>
              <w:rPr>
                <w:rFonts w:ascii="宋体" w:hAnsi="宋体"/>
                <w:szCs w:val="21"/>
              </w:rPr>
            </w:pPr>
            <w:r>
              <w:rPr>
                <w:rFonts w:ascii="宋体" w:hAnsi="宋体"/>
                <w:szCs w:val="21"/>
              </w:rPr>
              <w:drawing>
                <wp:inline distT="0" distB="0" distL="114300" distR="114300">
                  <wp:extent cx="6181090" cy="4696460"/>
                  <wp:effectExtent l="0" t="0" r="10160" b="8890"/>
                  <wp:docPr id="156" name="图片 116" descr="南雄市志_0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16" descr="南雄市志_0114"/>
                          <pic:cNvPicPr>
                            <a:picLocks noChangeAspect="1"/>
                          </pic:cNvPicPr>
                        </pic:nvPicPr>
                        <pic:blipFill>
                          <a:blip r:embed="rId127"/>
                          <a:stretch>
                            <a:fillRect/>
                          </a:stretch>
                        </pic:blipFill>
                        <pic:spPr>
                          <a:xfrm>
                            <a:off x="0" y="0"/>
                            <a:ext cx="6181090" cy="4696460"/>
                          </a:xfrm>
                          <a:prstGeom prst="rect">
                            <a:avLst/>
                          </a:prstGeom>
                          <a:noFill/>
                          <a:ln>
                            <a:noFill/>
                          </a:ln>
                        </pic:spPr>
                      </pic:pic>
                    </a:graphicData>
                  </a:graphic>
                </wp:inline>
              </w:drawing>
            </w:r>
          </w:p>
        </w:tc>
      </w:tr>
      <w:tr w14:paraId="23B1DA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65A154C4">
            <w:pPr>
              <w:ind w:firstLine="420"/>
              <w:rPr>
                <w:rFonts w:ascii="宋体" w:hAnsi="宋体" w:cs="宋体"/>
                <w:color w:val="000000" w:themeColor="text1"/>
                <w:szCs w:val="21"/>
                <w14:textFill>
                  <w14:solidFill>
                    <w14:schemeClr w14:val="tx1"/>
                  </w14:solidFill>
                </w14:textFill>
              </w:rPr>
            </w:pPr>
            <w:r>
              <w:rPr>
                <w:rFonts w:ascii="宋体" w:hAnsi="宋体" w:cs="宋体"/>
                <w:color w:val="000000" w:themeColor="text1"/>
                <w:szCs w:val="21"/>
                <w14:textFill>
                  <w14:solidFill>
                    <w14:schemeClr w14:val="tx1"/>
                  </w14:solidFill>
                </w14:textFill>
              </w:rPr>
              <w:t>市中医院化验室</w:t>
            </w:r>
          </w:p>
        </w:tc>
      </w:tr>
    </w:tbl>
    <w:p w14:paraId="26F8F409">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8EA3B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35FA49E">
            <w:pPr>
              <w:ind w:firstLine="0" w:firstLineChars="0"/>
              <w:jc w:val="center"/>
              <w:rPr>
                <w:rFonts w:ascii="宋体" w:hAnsi="宋体"/>
                <w:szCs w:val="21"/>
              </w:rPr>
            </w:pPr>
            <w:r>
              <w:rPr>
                <w:rFonts w:ascii="宋体" w:hAnsi="宋体"/>
                <w:szCs w:val="21"/>
              </w:rPr>
              <w:drawing>
                <wp:inline distT="0" distB="0" distL="114300" distR="114300">
                  <wp:extent cx="6181090" cy="4154805"/>
                  <wp:effectExtent l="0" t="0" r="10160" b="17145"/>
                  <wp:docPr id="132" name="图片 117" descr="南雄市志_0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17" descr="南雄市志_0115"/>
                          <pic:cNvPicPr>
                            <a:picLocks noChangeAspect="1"/>
                          </pic:cNvPicPr>
                        </pic:nvPicPr>
                        <pic:blipFill>
                          <a:blip r:embed="rId128"/>
                          <a:stretch>
                            <a:fillRect/>
                          </a:stretch>
                        </pic:blipFill>
                        <pic:spPr>
                          <a:xfrm>
                            <a:off x="0" y="0"/>
                            <a:ext cx="6181090" cy="4154805"/>
                          </a:xfrm>
                          <a:prstGeom prst="rect">
                            <a:avLst/>
                          </a:prstGeom>
                          <a:noFill/>
                          <a:ln>
                            <a:noFill/>
                          </a:ln>
                        </pic:spPr>
                      </pic:pic>
                    </a:graphicData>
                  </a:graphic>
                </wp:inline>
              </w:drawing>
            </w:r>
          </w:p>
        </w:tc>
      </w:tr>
      <w:tr w14:paraId="73D180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3CA8E2B3">
            <w:pPr>
              <w:ind w:firstLine="420"/>
              <w:rPr>
                <w:rFonts w:ascii="宋体" w:hAnsi="宋体" w:cs="宋体"/>
                <w:color w:val="000000" w:themeColor="text1"/>
                <w:szCs w:val="21"/>
                <w14:textFill>
                  <w14:solidFill>
                    <w14:schemeClr w14:val="tx1"/>
                  </w14:solidFill>
                </w14:textFill>
              </w:rPr>
            </w:pPr>
            <w:r>
              <w:rPr>
                <w:rFonts w:ascii="宋体" w:hAnsi="宋体" w:cs="宋体"/>
                <w:color w:val="000000" w:themeColor="text1"/>
                <w:szCs w:val="21"/>
                <w14:textFill>
                  <w14:solidFill>
                    <w14:schemeClr w14:val="tx1"/>
                  </w14:solidFill>
                </w14:textFill>
              </w:rPr>
              <w:t>市防疫站特种化验室</w:t>
            </w:r>
          </w:p>
        </w:tc>
      </w:tr>
    </w:tbl>
    <w:p w14:paraId="22D53ECD">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03176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1C93DA6">
            <w:pPr>
              <w:ind w:firstLine="0" w:firstLineChars="0"/>
              <w:jc w:val="center"/>
              <w:rPr>
                <w:rFonts w:ascii="宋体" w:hAnsi="宋体"/>
                <w:szCs w:val="21"/>
              </w:rPr>
            </w:pPr>
            <w:r>
              <w:rPr>
                <w:rFonts w:ascii="宋体" w:hAnsi="宋体"/>
                <w:szCs w:val="21"/>
              </w:rPr>
              <w:drawing>
                <wp:inline distT="0" distB="0" distL="114300" distR="114300">
                  <wp:extent cx="6181090" cy="4703445"/>
                  <wp:effectExtent l="0" t="0" r="10160" b="1905"/>
                  <wp:docPr id="155" name="图片 118" descr="南雄市志_0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18" descr="南雄市志_0116"/>
                          <pic:cNvPicPr>
                            <a:picLocks noChangeAspect="1"/>
                          </pic:cNvPicPr>
                        </pic:nvPicPr>
                        <pic:blipFill>
                          <a:blip r:embed="rId129"/>
                          <a:stretch>
                            <a:fillRect/>
                          </a:stretch>
                        </pic:blipFill>
                        <pic:spPr>
                          <a:xfrm>
                            <a:off x="0" y="0"/>
                            <a:ext cx="6181090" cy="4703445"/>
                          </a:xfrm>
                          <a:prstGeom prst="rect">
                            <a:avLst/>
                          </a:prstGeom>
                          <a:noFill/>
                          <a:ln>
                            <a:noFill/>
                          </a:ln>
                        </pic:spPr>
                      </pic:pic>
                    </a:graphicData>
                  </a:graphic>
                </wp:inline>
              </w:drawing>
            </w:r>
          </w:p>
        </w:tc>
      </w:tr>
    </w:tbl>
    <w:p w14:paraId="5343BA6E">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83FED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2E59A155">
            <w:pPr>
              <w:ind w:firstLine="0" w:firstLineChars="0"/>
              <w:jc w:val="center"/>
              <w:rPr>
                <w:rFonts w:ascii="宋体" w:hAnsi="宋体"/>
                <w:szCs w:val="21"/>
              </w:rPr>
            </w:pPr>
            <w:r>
              <w:rPr>
                <w:rFonts w:ascii="宋体" w:hAnsi="宋体"/>
                <w:szCs w:val="21"/>
              </w:rPr>
              <w:drawing>
                <wp:inline distT="0" distB="0" distL="114300" distR="114300">
                  <wp:extent cx="6181090" cy="4645025"/>
                  <wp:effectExtent l="0" t="0" r="10160" b="3175"/>
                  <wp:docPr id="136" name="图片 119" descr="南雄市志_0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19" descr="南雄市志_0117"/>
                          <pic:cNvPicPr>
                            <a:picLocks noChangeAspect="1"/>
                          </pic:cNvPicPr>
                        </pic:nvPicPr>
                        <pic:blipFill>
                          <a:blip r:embed="rId130"/>
                          <a:stretch>
                            <a:fillRect/>
                          </a:stretch>
                        </pic:blipFill>
                        <pic:spPr>
                          <a:xfrm>
                            <a:off x="0" y="0"/>
                            <a:ext cx="6181090" cy="4645025"/>
                          </a:xfrm>
                          <a:prstGeom prst="rect">
                            <a:avLst/>
                          </a:prstGeom>
                          <a:noFill/>
                          <a:ln>
                            <a:noFill/>
                          </a:ln>
                        </pic:spPr>
                      </pic:pic>
                    </a:graphicData>
                  </a:graphic>
                </wp:inline>
              </w:drawing>
            </w:r>
          </w:p>
        </w:tc>
      </w:tr>
      <w:tr w14:paraId="1954E1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6D7F6ABB">
            <w:pPr>
              <w:ind w:firstLine="420"/>
              <w:rPr>
                <w:rFonts w:ascii="宋体" w:hAnsi="宋体" w:cs="宋体"/>
                <w:color w:val="000000" w:themeColor="text1"/>
                <w:szCs w:val="21"/>
                <w14:textFill>
                  <w14:solidFill>
                    <w14:schemeClr w14:val="tx1"/>
                  </w14:solidFill>
                </w14:textFill>
              </w:rPr>
            </w:pPr>
            <w:r>
              <w:rPr>
                <w:rFonts w:ascii="宋体" w:hAnsi="宋体" w:cs="宋体"/>
                <w:color w:val="000000" w:themeColor="text1"/>
                <w:szCs w:val="21"/>
                <w14:textFill>
                  <w14:solidFill>
                    <w14:schemeClr w14:val="tx1"/>
                  </w14:solidFill>
                </w14:textFill>
              </w:rPr>
              <w:t>高精尖医疗设备</w:t>
            </w:r>
          </w:p>
        </w:tc>
      </w:tr>
    </w:tbl>
    <w:p w14:paraId="74A1C85B">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90FF0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CA2FFFD">
            <w:pPr>
              <w:ind w:firstLine="0" w:firstLineChars="0"/>
              <w:jc w:val="center"/>
              <w:rPr>
                <w:rFonts w:ascii="宋体" w:hAnsi="宋体"/>
                <w:szCs w:val="21"/>
              </w:rPr>
            </w:pPr>
            <w:r>
              <w:rPr>
                <w:rFonts w:ascii="宋体" w:hAnsi="宋体"/>
                <w:szCs w:val="21"/>
              </w:rPr>
              <w:drawing>
                <wp:inline distT="0" distB="0" distL="114300" distR="114300">
                  <wp:extent cx="6166485" cy="4162425"/>
                  <wp:effectExtent l="0" t="0" r="5715" b="9525"/>
                  <wp:docPr id="143" name="图片 120" descr="南雄市志_0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20" descr="南雄市志_0118"/>
                          <pic:cNvPicPr>
                            <a:picLocks noChangeAspect="1"/>
                          </pic:cNvPicPr>
                        </pic:nvPicPr>
                        <pic:blipFill>
                          <a:blip r:embed="rId131"/>
                          <a:stretch>
                            <a:fillRect/>
                          </a:stretch>
                        </pic:blipFill>
                        <pic:spPr>
                          <a:xfrm>
                            <a:off x="0" y="0"/>
                            <a:ext cx="6166485" cy="4162425"/>
                          </a:xfrm>
                          <a:prstGeom prst="rect">
                            <a:avLst/>
                          </a:prstGeom>
                          <a:noFill/>
                          <a:ln>
                            <a:noFill/>
                          </a:ln>
                        </pic:spPr>
                      </pic:pic>
                    </a:graphicData>
                  </a:graphic>
                </wp:inline>
              </w:drawing>
            </w:r>
          </w:p>
        </w:tc>
      </w:tr>
    </w:tbl>
    <w:p w14:paraId="3D499782">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DDE1A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6A79950">
            <w:pPr>
              <w:ind w:firstLine="0" w:firstLineChars="0"/>
              <w:jc w:val="center"/>
              <w:rPr>
                <w:rFonts w:ascii="宋体" w:hAnsi="宋体"/>
                <w:szCs w:val="21"/>
              </w:rPr>
            </w:pPr>
            <w:r>
              <w:rPr>
                <w:rFonts w:ascii="宋体" w:hAnsi="宋体"/>
                <w:szCs w:val="21"/>
              </w:rPr>
              <w:drawing>
                <wp:inline distT="0" distB="0" distL="114300" distR="114300">
                  <wp:extent cx="6181090" cy="4711065"/>
                  <wp:effectExtent l="0" t="0" r="10160" b="13335"/>
                  <wp:docPr id="134" name="图片 121" descr="南雄市志_0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21" descr="南雄市志_0119"/>
                          <pic:cNvPicPr>
                            <a:picLocks noChangeAspect="1"/>
                          </pic:cNvPicPr>
                        </pic:nvPicPr>
                        <pic:blipFill>
                          <a:blip r:embed="rId132"/>
                          <a:stretch>
                            <a:fillRect/>
                          </a:stretch>
                        </pic:blipFill>
                        <pic:spPr>
                          <a:xfrm>
                            <a:off x="0" y="0"/>
                            <a:ext cx="6181090" cy="4711065"/>
                          </a:xfrm>
                          <a:prstGeom prst="rect">
                            <a:avLst/>
                          </a:prstGeom>
                          <a:noFill/>
                          <a:ln>
                            <a:noFill/>
                          </a:ln>
                        </pic:spPr>
                      </pic:pic>
                    </a:graphicData>
                  </a:graphic>
                </wp:inline>
              </w:drawing>
            </w:r>
          </w:p>
        </w:tc>
      </w:tr>
      <w:tr w14:paraId="3FA7E7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56C0A631">
            <w:pPr>
              <w:ind w:firstLine="420"/>
              <w:rPr>
                <w:rFonts w:ascii="宋体" w:hAnsi="宋体" w:cs="宋体"/>
                <w:color w:val="000000" w:themeColor="text1"/>
                <w:szCs w:val="21"/>
                <w14:textFill>
                  <w14:solidFill>
                    <w14:schemeClr w14:val="tx1"/>
                  </w14:solidFill>
                </w14:textFill>
              </w:rPr>
            </w:pPr>
            <w:r>
              <w:rPr>
                <w:rFonts w:ascii="宋体" w:hAnsi="宋体" w:cs="宋体"/>
                <w:color w:val="000000" w:themeColor="text1"/>
                <w:szCs w:val="21"/>
                <w14:textFill>
                  <w14:solidFill>
                    <w14:schemeClr w14:val="tx1"/>
                  </w14:solidFill>
                </w14:textFill>
              </w:rPr>
              <w:t>市残疾综合康复中心</w:t>
            </w:r>
          </w:p>
        </w:tc>
      </w:tr>
    </w:tbl>
    <w:p w14:paraId="2D23614D">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1DE61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11847928">
            <w:pPr>
              <w:ind w:firstLine="0" w:firstLineChars="0"/>
              <w:jc w:val="center"/>
              <w:rPr>
                <w:rFonts w:ascii="宋体" w:hAnsi="宋体"/>
                <w:szCs w:val="21"/>
              </w:rPr>
            </w:pPr>
            <w:r>
              <w:rPr>
                <w:rFonts w:ascii="宋体" w:hAnsi="宋体"/>
                <w:szCs w:val="21"/>
              </w:rPr>
              <w:drawing>
                <wp:inline distT="0" distB="0" distL="114300" distR="114300">
                  <wp:extent cx="6188710" cy="3467100"/>
                  <wp:effectExtent l="0" t="0" r="2540" b="0"/>
                  <wp:docPr id="137" name="图片 122" descr="南雄市志_0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22" descr="南雄市志_0120"/>
                          <pic:cNvPicPr>
                            <a:picLocks noChangeAspect="1"/>
                          </pic:cNvPicPr>
                        </pic:nvPicPr>
                        <pic:blipFill>
                          <a:blip r:embed="rId133"/>
                          <a:stretch>
                            <a:fillRect/>
                          </a:stretch>
                        </pic:blipFill>
                        <pic:spPr>
                          <a:xfrm>
                            <a:off x="0" y="0"/>
                            <a:ext cx="6188710" cy="3467100"/>
                          </a:xfrm>
                          <a:prstGeom prst="rect">
                            <a:avLst/>
                          </a:prstGeom>
                          <a:noFill/>
                          <a:ln>
                            <a:noFill/>
                          </a:ln>
                        </pic:spPr>
                      </pic:pic>
                    </a:graphicData>
                  </a:graphic>
                </wp:inline>
              </w:drawing>
            </w:r>
          </w:p>
        </w:tc>
      </w:tr>
      <w:tr w14:paraId="5C2C6D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54F6CE15">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民间飘色（装故事）</w:t>
            </w:r>
          </w:p>
        </w:tc>
      </w:tr>
    </w:tbl>
    <w:p w14:paraId="590A99A7">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D3ACD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745AEF4F">
            <w:pPr>
              <w:ind w:firstLine="0" w:firstLineChars="0"/>
              <w:jc w:val="center"/>
              <w:rPr>
                <w:rFonts w:ascii="宋体" w:hAnsi="宋体"/>
                <w:szCs w:val="21"/>
              </w:rPr>
            </w:pPr>
            <w:r>
              <w:rPr>
                <w:rFonts w:ascii="宋体" w:hAnsi="宋体"/>
                <w:szCs w:val="21"/>
              </w:rPr>
              <w:drawing>
                <wp:inline distT="0" distB="0" distL="114300" distR="114300">
                  <wp:extent cx="6166485" cy="4191635"/>
                  <wp:effectExtent l="0" t="0" r="5715" b="18415"/>
                  <wp:docPr id="150" name="图片 123" descr="南雄市志_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23" descr="南雄市志_0121"/>
                          <pic:cNvPicPr>
                            <a:picLocks noChangeAspect="1"/>
                          </pic:cNvPicPr>
                        </pic:nvPicPr>
                        <pic:blipFill>
                          <a:blip r:embed="rId134"/>
                          <a:stretch>
                            <a:fillRect/>
                          </a:stretch>
                        </pic:blipFill>
                        <pic:spPr>
                          <a:xfrm>
                            <a:off x="0" y="0"/>
                            <a:ext cx="6166485" cy="4191635"/>
                          </a:xfrm>
                          <a:prstGeom prst="rect">
                            <a:avLst/>
                          </a:prstGeom>
                          <a:noFill/>
                          <a:ln>
                            <a:noFill/>
                          </a:ln>
                        </pic:spPr>
                      </pic:pic>
                    </a:graphicData>
                  </a:graphic>
                </wp:inline>
              </w:drawing>
            </w:r>
          </w:p>
        </w:tc>
      </w:tr>
      <w:tr w14:paraId="6303E2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4ADED169">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群狮荟萃</w:t>
            </w:r>
          </w:p>
        </w:tc>
      </w:tr>
    </w:tbl>
    <w:p w14:paraId="2B0FB263">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122CC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6E0478F">
            <w:pPr>
              <w:ind w:firstLine="0" w:firstLineChars="0"/>
              <w:jc w:val="center"/>
              <w:rPr>
                <w:rFonts w:ascii="宋体" w:hAnsi="宋体"/>
                <w:szCs w:val="21"/>
              </w:rPr>
            </w:pPr>
            <w:r>
              <w:rPr>
                <w:rFonts w:ascii="宋体" w:hAnsi="宋体"/>
                <w:szCs w:val="21"/>
              </w:rPr>
              <w:drawing>
                <wp:inline distT="0" distB="0" distL="114300" distR="114300">
                  <wp:extent cx="6188710" cy="3877310"/>
                  <wp:effectExtent l="0" t="0" r="2540" b="8890"/>
                  <wp:docPr id="153" name="图片 124" descr="南雄市志_0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24" descr="南雄市志_0122"/>
                          <pic:cNvPicPr>
                            <a:picLocks noChangeAspect="1"/>
                          </pic:cNvPicPr>
                        </pic:nvPicPr>
                        <pic:blipFill>
                          <a:blip r:embed="rId135"/>
                          <a:stretch>
                            <a:fillRect/>
                          </a:stretch>
                        </pic:blipFill>
                        <pic:spPr>
                          <a:xfrm>
                            <a:off x="0" y="0"/>
                            <a:ext cx="6188710" cy="3877310"/>
                          </a:xfrm>
                          <a:prstGeom prst="rect">
                            <a:avLst/>
                          </a:prstGeom>
                          <a:noFill/>
                          <a:ln>
                            <a:noFill/>
                          </a:ln>
                        </pic:spPr>
                      </pic:pic>
                    </a:graphicData>
                  </a:graphic>
                </wp:inline>
              </w:drawing>
            </w:r>
          </w:p>
        </w:tc>
      </w:tr>
      <w:tr w14:paraId="594F9E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42DB159E">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九十九节长龙舞龙</w:t>
            </w:r>
          </w:p>
        </w:tc>
      </w:tr>
    </w:tbl>
    <w:p w14:paraId="451EC76B">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6DC26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F272186">
            <w:pPr>
              <w:ind w:firstLine="0" w:firstLineChars="0"/>
              <w:jc w:val="center"/>
              <w:rPr>
                <w:rFonts w:ascii="宋体" w:hAnsi="宋体"/>
                <w:szCs w:val="21"/>
              </w:rPr>
            </w:pPr>
            <w:r>
              <w:rPr>
                <w:rFonts w:ascii="宋体" w:hAnsi="宋体"/>
                <w:szCs w:val="21"/>
              </w:rPr>
              <w:drawing>
                <wp:inline distT="0" distB="0" distL="114300" distR="114300">
                  <wp:extent cx="6181090" cy="4154805"/>
                  <wp:effectExtent l="0" t="0" r="10160" b="17145"/>
                  <wp:docPr id="138" name="图片 125" descr="南雄市志_0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25" descr="南雄市志_0123"/>
                          <pic:cNvPicPr>
                            <a:picLocks noChangeAspect="1"/>
                          </pic:cNvPicPr>
                        </pic:nvPicPr>
                        <pic:blipFill>
                          <a:blip r:embed="rId136"/>
                          <a:stretch>
                            <a:fillRect/>
                          </a:stretch>
                        </pic:blipFill>
                        <pic:spPr>
                          <a:xfrm>
                            <a:off x="0" y="0"/>
                            <a:ext cx="6181090" cy="4154805"/>
                          </a:xfrm>
                          <a:prstGeom prst="rect">
                            <a:avLst/>
                          </a:prstGeom>
                          <a:noFill/>
                          <a:ln>
                            <a:noFill/>
                          </a:ln>
                        </pic:spPr>
                      </pic:pic>
                    </a:graphicData>
                  </a:graphic>
                </wp:inline>
              </w:drawing>
            </w:r>
          </w:p>
        </w:tc>
      </w:tr>
      <w:tr w14:paraId="2F19BD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04232B6C">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腰鼓表演</w:t>
            </w:r>
          </w:p>
        </w:tc>
      </w:tr>
    </w:tbl>
    <w:p w14:paraId="0BB58FCE">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0726E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2F979282">
            <w:pPr>
              <w:ind w:firstLine="0" w:firstLineChars="0"/>
              <w:jc w:val="center"/>
              <w:rPr>
                <w:rFonts w:ascii="宋体" w:hAnsi="宋体"/>
                <w:szCs w:val="21"/>
              </w:rPr>
            </w:pPr>
            <w:r>
              <w:rPr>
                <w:rFonts w:ascii="宋体" w:hAnsi="宋体"/>
                <w:szCs w:val="21"/>
              </w:rPr>
              <w:drawing>
                <wp:inline distT="0" distB="0" distL="114300" distR="114300">
                  <wp:extent cx="6181090" cy="4301490"/>
                  <wp:effectExtent l="0" t="0" r="10160" b="3810"/>
                  <wp:docPr id="154" name="图片 126" descr="南雄市志_0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26" descr="南雄市志_0124"/>
                          <pic:cNvPicPr>
                            <a:picLocks noChangeAspect="1"/>
                          </pic:cNvPicPr>
                        </pic:nvPicPr>
                        <pic:blipFill>
                          <a:blip r:embed="rId137"/>
                          <a:stretch>
                            <a:fillRect/>
                          </a:stretch>
                        </pic:blipFill>
                        <pic:spPr>
                          <a:xfrm>
                            <a:off x="0" y="0"/>
                            <a:ext cx="6181090" cy="4301490"/>
                          </a:xfrm>
                          <a:prstGeom prst="rect">
                            <a:avLst/>
                          </a:prstGeom>
                          <a:noFill/>
                          <a:ln>
                            <a:noFill/>
                          </a:ln>
                        </pic:spPr>
                      </pic:pic>
                    </a:graphicData>
                  </a:graphic>
                </wp:inline>
              </w:drawing>
            </w:r>
          </w:p>
        </w:tc>
      </w:tr>
      <w:tr w14:paraId="6628B6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5801B177">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舞香火龙</w:t>
            </w:r>
          </w:p>
        </w:tc>
      </w:tr>
    </w:tbl>
    <w:p w14:paraId="649E17F4">
      <w:pPr>
        <w:pStyle w:val="3"/>
        <w:rPr>
          <w:rFonts w:ascii="宋体" w:hAnsi="宋体"/>
        </w:rPr>
      </w:pPr>
      <w:r>
        <w:rPr>
          <w:rFonts w:hint="eastAsia" w:ascii="宋体" w:hAnsi="宋体"/>
        </w:rPr>
        <w:t>文物古迹</w:t>
      </w: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89DE0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D4A65CC">
            <w:pPr>
              <w:ind w:firstLine="0" w:firstLineChars="0"/>
              <w:jc w:val="center"/>
              <w:rPr>
                <w:rFonts w:ascii="宋体" w:hAnsi="宋体"/>
                <w:szCs w:val="21"/>
              </w:rPr>
            </w:pPr>
            <w:r>
              <w:rPr>
                <w:rFonts w:ascii="宋体" w:hAnsi="宋体"/>
                <w:szCs w:val="21"/>
              </w:rPr>
              <w:drawing>
                <wp:inline distT="0" distB="0" distL="114300" distR="114300">
                  <wp:extent cx="6181090" cy="3328670"/>
                  <wp:effectExtent l="0" t="0" r="10160" b="5080"/>
                  <wp:docPr id="146" name="图片 127" descr="南雄市志_0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27" descr="南雄市志_0125"/>
                          <pic:cNvPicPr>
                            <a:picLocks noChangeAspect="1"/>
                          </pic:cNvPicPr>
                        </pic:nvPicPr>
                        <pic:blipFill>
                          <a:blip r:embed="rId138"/>
                          <a:stretch>
                            <a:fillRect/>
                          </a:stretch>
                        </pic:blipFill>
                        <pic:spPr>
                          <a:xfrm>
                            <a:off x="0" y="0"/>
                            <a:ext cx="6181090" cy="3328670"/>
                          </a:xfrm>
                          <a:prstGeom prst="rect">
                            <a:avLst/>
                          </a:prstGeom>
                          <a:noFill/>
                          <a:ln>
                            <a:noFill/>
                          </a:ln>
                        </pic:spPr>
                      </pic:pic>
                    </a:graphicData>
                  </a:graphic>
                </wp:inline>
              </w:drawing>
            </w:r>
          </w:p>
        </w:tc>
      </w:tr>
      <w:tr w14:paraId="1FD761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2B0EEE93">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市博物馆</w:t>
            </w:r>
          </w:p>
        </w:tc>
      </w:tr>
    </w:tbl>
    <w:p w14:paraId="7246BD08">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4169B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8EDBE06">
            <w:pPr>
              <w:ind w:firstLine="0" w:firstLineChars="0"/>
              <w:jc w:val="center"/>
              <w:rPr>
                <w:rFonts w:ascii="宋体" w:hAnsi="宋体"/>
                <w:szCs w:val="21"/>
              </w:rPr>
            </w:pPr>
            <w:r>
              <w:rPr>
                <w:rFonts w:ascii="宋体" w:hAnsi="宋体"/>
                <w:szCs w:val="21"/>
              </w:rPr>
              <w:drawing>
                <wp:inline distT="0" distB="0" distL="114300" distR="114300">
                  <wp:extent cx="6181090" cy="4535170"/>
                  <wp:effectExtent l="0" t="0" r="10160" b="17780"/>
                  <wp:docPr id="147" name="图片 128" descr="南雄市志_0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28" descr="南雄市志_0126"/>
                          <pic:cNvPicPr>
                            <a:picLocks noChangeAspect="1"/>
                          </pic:cNvPicPr>
                        </pic:nvPicPr>
                        <pic:blipFill>
                          <a:blip r:embed="rId139"/>
                          <a:stretch>
                            <a:fillRect/>
                          </a:stretch>
                        </pic:blipFill>
                        <pic:spPr>
                          <a:xfrm>
                            <a:off x="0" y="0"/>
                            <a:ext cx="6181090" cy="4535170"/>
                          </a:xfrm>
                          <a:prstGeom prst="rect">
                            <a:avLst/>
                          </a:prstGeom>
                          <a:noFill/>
                          <a:ln>
                            <a:noFill/>
                          </a:ln>
                        </pic:spPr>
                      </pic:pic>
                    </a:graphicData>
                  </a:graphic>
                </wp:inline>
              </w:drawing>
            </w:r>
          </w:p>
        </w:tc>
      </w:tr>
      <w:tr w14:paraId="71094D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19C0DEC0">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恐龙骨架化石</w:t>
            </w:r>
          </w:p>
        </w:tc>
      </w:tr>
    </w:tbl>
    <w:p w14:paraId="5F0CFAA3">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64742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1DC95603">
            <w:pPr>
              <w:ind w:firstLine="0" w:firstLineChars="0"/>
              <w:jc w:val="center"/>
              <w:rPr>
                <w:rFonts w:ascii="宋体" w:hAnsi="宋体"/>
                <w:szCs w:val="21"/>
              </w:rPr>
            </w:pPr>
            <w:r>
              <w:rPr>
                <w:rFonts w:ascii="宋体" w:hAnsi="宋体"/>
                <w:szCs w:val="21"/>
              </w:rPr>
              <w:drawing>
                <wp:inline distT="0" distB="0" distL="114300" distR="114300">
                  <wp:extent cx="6181090" cy="5332730"/>
                  <wp:effectExtent l="0" t="0" r="10160" b="1270"/>
                  <wp:docPr id="149" name="图片 129" descr="南雄市志_0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29" descr="南雄市志_0127"/>
                          <pic:cNvPicPr>
                            <a:picLocks noChangeAspect="1"/>
                          </pic:cNvPicPr>
                        </pic:nvPicPr>
                        <pic:blipFill>
                          <a:blip r:embed="rId140"/>
                          <a:stretch>
                            <a:fillRect/>
                          </a:stretch>
                        </pic:blipFill>
                        <pic:spPr>
                          <a:xfrm>
                            <a:off x="0" y="0"/>
                            <a:ext cx="6181090" cy="5332730"/>
                          </a:xfrm>
                          <a:prstGeom prst="rect">
                            <a:avLst/>
                          </a:prstGeom>
                          <a:noFill/>
                          <a:ln>
                            <a:noFill/>
                          </a:ln>
                        </pic:spPr>
                      </pic:pic>
                    </a:graphicData>
                  </a:graphic>
                </wp:inline>
              </w:drawing>
            </w:r>
          </w:p>
        </w:tc>
      </w:tr>
      <w:tr w14:paraId="1DB709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6321B9A4">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恐龙蛋化石</w:t>
            </w:r>
          </w:p>
        </w:tc>
      </w:tr>
    </w:tbl>
    <w:p w14:paraId="133013A4">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FBD3D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7AA10A7">
            <w:pPr>
              <w:ind w:firstLine="0" w:firstLineChars="0"/>
              <w:jc w:val="center"/>
              <w:rPr>
                <w:rFonts w:ascii="宋体" w:hAnsi="宋体"/>
                <w:szCs w:val="21"/>
              </w:rPr>
            </w:pPr>
            <w:r>
              <w:rPr>
                <w:rFonts w:ascii="宋体" w:hAnsi="宋体"/>
                <w:szCs w:val="21"/>
              </w:rPr>
              <w:drawing>
                <wp:inline distT="0" distB="0" distL="114300" distR="114300">
                  <wp:extent cx="6181090" cy="4301490"/>
                  <wp:effectExtent l="0" t="0" r="10160" b="3810"/>
                  <wp:docPr id="151" name="图片 130" descr="南雄市志_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30" descr="南雄市志_0128"/>
                          <pic:cNvPicPr>
                            <a:picLocks noChangeAspect="1"/>
                          </pic:cNvPicPr>
                        </pic:nvPicPr>
                        <pic:blipFill>
                          <a:blip r:embed="rId141"/>
                          <a:stretch>
                            <a:fillRect/>
                          </a:stretch>
                        </pic:blipFill>
                        <pic:spPr>
                          <a:xfrm>
                            <a:off x="0" y="0"/>
                            <a:ext cx="6181090" cy="4301490"/>
                          </a:xfrm>
                          <a:prstGeom prst="rect">
                            <a:avLst/>
                          </a:prstGeom>
                          <a:noFill/>
                          <a:ln>
                            <a:noFill/>
                          </a:ln>
                        </pic:spPr>
                      </pic:pic>
                    </a:graphicData>
                  </a:graphic>
                </wp:inline>
              </w:drawing>
            </w:r>
          </w:p>
        </w:tc>
      </w:tr>
      <w:tr w14:paraId="008A15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1E52DB1D">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汉墓出土墓砖</w:t>
            </w:r>
          </w:p>
        </w:tc>
      </w:tr>
    </w:tbl>
    <w:p w14:paraId="32236717">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83888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C2B6CA1">
            <w:pPr>
              <w:ind w:firstLine="0" w:firstLineChars="0"/>
              <w:jc w:val="center"/>
              <w:rPr>
                <w:rFonts w:ascii="宋体" w:hAnsi="宋体"/>
                <w:szCs w:val="21"/>
              </w:rPr>
            </w:pPr>
            <w:r>
              <w:rPr>
                <w:rFonts w:ascii="宋体" w:hAnsi="宋体"/>
                <w:szCs w:val="21"/>
              </w:rPr>
              <w:drawing>
                <wp:inline distT="0" distB="0" distL="114300" distR="114300">
                  <wp:extent cx="6195695" cy="4243070"/>
                  <wp:effectExtent l="0" t="0" r="14605" b="5080"/>
                  <wp:docPr id="152" name="图片 131" descr="南雄市志_0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31" descr="南雄市志_0129"/>
                          <pic:cNvPicPr>
                            <a:picLocks noChangeAspect="1"/>
                          </pic:cNvPicPr>
                        </pic:nvPicPr>
                        <pic:blipFill>
                          <a:blip r:embed="rId142"/>
                          <a:stretch>
                            <a:fillRect/>
                          </a:stretch>
                        </pic:blipFill>
                        <pic:spPr>
                          <a:xfrm>
                            <a:off x="0" y="0"/>
                            <a:ext cx="6195695" cy="4243070"/>
                          </a:xfrm>
                          <a:prstGeom prst="rect">
                            <a:avLst/>
                          </a:prstGeom>
                          <a:noFill/>
                          <a:ln>
                            <a:noFill/>
                          </a:ln>
                        </pic:spPr>
                      </pic:pic>
                    </a:graphicData>
                  </a:graphic>
                </wp:inline>
              </w:drawing>
            </w:r>
          </w:p>
        </w:tc>
      </w:tr>
      <w:tr w14:paraId="3D61CF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6021C6A6">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罗佛寨红层保护区</w:t>
            </w:r>
          </w:p>
        </w:tc>
      </w:tr>
    </w:tbl>
    <w:p w14:paraId="774C6321">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F0EFB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3090C2DB">
            <w:pPr>
              <w:ind w:firstLine="0" w:firstLineChars="0"/>
              <w:jc w:val="center"/>
              <w:rPr>
                <w:rFonts w:ascii="宋体" w:hAnsi="宋体"/>
                <w:szCs w:val="21"/>
              </w:rPr>
            </w:pPr>
            <w:r>
              <w:rPr>
                <w:rFonts w:ascii="宋体" w:hAnsi="宋体"/>
                <w:szCs w:val="21"/>
              </w:rPr>
              <w:drawing>
                <wp:inline distT="0" distB="0" distL="114300" distR="114300">
                  <wp:extent cx="6181090" cy="8229600"/>
                  <wp:effectExtent l="0" t="0" r="10160" b="0"/>
                  <wp:docPr id="204" name="图片 132" descr="南雄市志_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32" descr="南雄市志_0130"/>
                          <pic:cNvPicPr>
                            <a:picLocks noChangeAspect="1"/>
                          </pic:cNvPicPr>
                        </pic:nvPicPr>
                        <pic:blipFill>
                          <a:blip r:embed="rId143"/>
                          <a:stretch>
                            <a:fillRect/>
                          </a:stretch>
                        </pic:blipFill>
                        <pic:spPr>
                          <a:xfrm>
                            <a:off x="0" y="0"/>
                            <a:ext cx="6181090" cy="8229600"/>
                          </a:xfrm>
                          <a:prstGeom prst="rect">
                            <a:avLst/>
                          </a:prstGeom>
                          <a:noFill/>
                          <a:ln>
                            <a:noFill/>
                          </a:ln>
                        </pic:spPr>
                      </pic:pic>
                    </a:graphicData>
                  </a:graphic>
                </wp:inline>
              </w:drawing>
            </w:r>
          </w:p>
        </w:tc>
      </w:tr>
      <w:tr w14:paraId="71EDB3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09102C39">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梅关古道</w:t>
            </w:r>
          </w:p>
        </w:tc>
      </w:tr>
    </w:tbl>
    <w:p w14:paraId="11E5DDD8">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9C3E5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9E85562">
            <w:pPr>
              <w:ind w:firstLine="0" w:firstLineChars="0"/>
              <w:jc w:val="center"/>
              <w:rPr>
                <w:rFonts w:ascii="宋体" w:hAnsi="宋体"/>
                <w:szCs w:val="21"/>
              </w:rPr>
            </w:pPr>
            <w:r>
              <w:rPr>
                <w:rFonts w:ascii="宋体" w:hAnsi="宋体"/>
                <w:szCs w:val="21"/>
              </w:rPr>
              <w:drawing>
                <wp:inline distT="0" distB="0" distL="114300" distR="114300">
                  <wp:extent cx="6166485" cy="4162425"/>
                  <wp:effectExtent l="0" t="0" r="5715" b="9525"/>
                  <wp:docPr id="170" name="图片 133" descr="南雄市志_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33" descr="南雄市志_0131"/>
                          <pic:cNvPicPr>
                            <a:picLocks noChangeAspect="1"/>
                          </pic:cNvPicPr>
                        </pic:nvPicPr>
                        <pic:blipFill>
                          <a:blip r:embed="rId144"/>
                          <a:stretch>
                            <a:fillRect/>
                          </a:stretch>
                        </pic:blipFill>
                        <pic:spPr>
                          <a:xfrm>
                            <a:off x="0" y="0"/>
                            <a:ext cx="6166485" cy="4162425"/>
                          </a:xfrm>
                          <a:prstGeom prst="rect">
                            <a:avLst/>
                          </a:prstGeom>
                          <a:noFill/>
                          <a:ln>
                            <a:noFill/>
                          </a:ln>
                        </pic:spPr>
                      </pic:pic>
                    </a:graphicData>
                  </a:graphic>
                </wp:inline>
              </w:drawing>
            </w:r>
          </w:p>
        </w:tc>
      </w:tr>
      <w:tr w14:paraId="1374DF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vAlign w:val="center"/>
          </w:tcPr>
          <w:p w14:paraId="73531ECE">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梅关楼</w:t>
            </w:r>
          </w:p>
        </w:tc>
      </w:tr>
    </w:tbl>
    <w:p w14:paraId="65C0ADB0">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BF76E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06FAF856">
            <w:pPr>
              <w:ind w:firstLine="0" w:firstLineChars="0"/>
              <w:jc w:val="center"/>
              <w:rPr>
                <w:rFonts w:ascii="宋体" w:hAnsi="宋体"/>
                <w:szCs w:val="21"/>
              </w:rPr>
            </w:pPr>
            <w:r>
              <w:rPr>
                <w:rFonts w:ascii="宋体" w:hAnsi="宋体"/>
                <w:szCs w:val="21"/>
              </w:rPr>
              <w:drawing>
                <wp:inline distT="0" distB="0" distL="114300" distR="114300">
                  <wp:extent cx="6181090" cy="4652645"/>
                  <wp:effectExtent l="0" t="0" r="10160" b="14605"/>
                  <wp:docPr id="192" name="图片 134" descr="南雄市志_0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34" descr="南雄市志_0132"/>
                          <pic:cNvPicPr>
                            <a:picLocks noChangeAspect="1"/>
                          </pic:cNvPicPr>
                        </pic:nvPicPr>
                        <pic:blipFill>
                          <a:blip r:embed="rId145"/>
                          <a:stretch>
                            <a:fillRect/>
                          </a:stretch>
                        </pic:blipFill>
                        <pic:spPr>
                          <a:xfrm>
                            <a:off x="0" y="0"/>
                            <a:ext cx="6181090" cy="4652645"/>
                          </a:xfrm>
                          <a:prstGeom prst="rect">
                            <a:avLst/>
                          </a:prstGeom>
                          <a:noFill/>
                          <a:ln>
                            <a:noFill/>
                          </a:ln>
                        </pic:spPr>
                      </pic:pic>
                    </a:graphicData>
                  </a:graphic>
                </wp:inline>
              </w:drawing>
            </w:r>
          </w:p>
        </w:tc>
      </w:tr>
      <w:tr w14:paraId="785CCE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1ADC4032">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钟鼓岩</w:t>
            </w:r>
          </w:p>
        </w:tc>
      </w:tr>
    </w:tbl>
    <w:p w14:paraId="110BB64B">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32FBE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1010F0DB">
            <w:pPr>
              <w:ind w:firstLine="0" w:firstLineChars="0"/>
              <w:jc w:val="center"/>
              <w:rPr>
                <w:rFonts w:ascii="宋体" w:hAnsi="宋体"/>
                <w:szCs w:val="21"/>
              </w:rPr>
            </w:pPr>
            <w:r>
              <w:rPr>
                <w:rFonts w:ascii="宋体" w:hAnsi="宋体"/>
                <w:szCs w:val="21"/>
              </w:rPr>
              <w:drawing>
                <wp:inline distT="0" distB="0" distL="114300" distR="114300">
                  <wp:extent cx="5318125" cy="8032115"/>
                  <wp:effectExtent l="0" t="0" r="15875" b="6985"/>
                  <wp:docPr id="189" name="图片 135" descr="南雄市志_0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35" descr="南雄市志_0133"/>
                          <pic:cNvPicPr>
                            <a:picLocks noChangeAspect="1"/>
                          </pic:cNvPicPr>
                        </pic:nvPicPr>
                        <pic:blipFill>
                          <a:blip r:embed="rId146"/>
                          <a:stretch>
                            <a:fillRect/>
                          </a:stretch>
                        </pic:blipFill>
                        <pic:spPr>
                          <a:xfrm>
                            <a:off x="0" y="0"/>
                            <a:ext cx="5318125" cy="8032115"/>
                          </a:xfrm>
                          <a:prstGeom prst="rect">
                            <a:avLst/>
                          </a:prstGeom>
                          <a:noFill/>
                          <a:ln>
                            <a:noFill/>
                          </a:ln>
                        </pic:spPr>
                      </pic:pic>
                    </a:graphicData>
                  </a:graphic>
                </wp:inline>
              </w:drawing>
            </w:r>
          </w:p>
        </w:tc>
      </w:tr>
      <w:tr w14:paraId="294CF2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6C2614D6">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珠玑巷街区</w:t>
            </w:r>
          </w:p>
        </w:tc>
      </w:tr>
    </w:tbl>
    <w:p w14:paraId="47CE3124">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A29BA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0567BED">
            <w:pPr>
              <w:ind w:firstLine="0" w:firstLineChars="0"/>
              <w:jc w:val="center"/>
              <w:rPr>
                <w:rFonts w:ascii="宋体" w:hAnsi="宋体"/>
                <w:szCs w:val="21"/>
              </w:rPr>
            </w:pPr>
            <w:r>
              <w:rPr>
                <w:rFonts w:ascii="宋体" w:hAnsi="宋体"/>
                <w:szCs w:val="21"/>
              </w:rPr>
              <w:drawing>
                <wp:inline distT="0" distB="0" distL="114300" distR="114300">
                  <wp:extent cx="6188710" cy="4045585"/>
                  <wp:effectExtent l="0" t="0" r="2540" b="12065"/>
                  <wp:docPr id="193" name="图片 136" descr="南雄市志_0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36" descr="南雄市志_0134"/>
                          <pic:cNvPicPr>
                            <a:picLocks noChangeAspect="1"/>
                          </pic:cNvPicPr>
                        </pic:nvPicPr>
                        <pic:blipFill>
                          <a:blip r:embed="rId147"/>
                          <a:stretch>
                            <a:fillRect/>
                          </a:stretch>
                        </pic:blipFill>
                        <pic:spPr>
                          <a:xfrm>
                            <a:off x="0" y="0"/>
                            <a:ext cx="6188710" cy="4045585"/>
                          </a:xfrm>
                          <a:prstGeom prst="rect">
                            <a:avLst/>
                          </a:prstGeom>
                          <a:noFill/>
                          <a:ln>
                            <a:noFill/>
                          </a:ln>
                        </pic:spPr>
                      </pic:pic>
                    </a:graphicData>
                  </a:graphic>
                </wp:inline>
              </w:drawing>
            </w:r>
          </w:p>
        </w:tc>
      </w:tr>
      <w:tr w14:paraId="7C137D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31F731D2">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珠玑古巷石塔</w:t>
            </w:r>
          </w:p>
        </w:tc>
      </w:tr>
    </w:tbl>
    <w:p w14:paraId="300D65FC">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D14F6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D6D48F7">
            <w:pPr>
              <w:ind w:firstLine="0" w:firstLineChars="0"/>
              <w:jc w:val="center"/>
              <w:rPr>
                <w:rFonts w:ascii="宋体" w:hAnsi="宋体"/>
                <w:szCs w:val="21"/>
              </w:rPr>
            </w:pPr>
            <w:r>
              <w:rPr>
                <w:rFonts w:ascii="宋体" w:hAnsi="宋体"/>
                <w:szCs w:val="21"/>
              </w:rPr>
              <w:drawing>
                <wp:inline distT="0" distB="0" distL="114300" distR="114300">
                  <wp:extent cx="6181090" cy="4652645"/>
                  <wp:effectExtent l="0" t="0" r="10160" b="14605"/>
                  <wp:docPr id="177" name="图片 137" descr="南雄市志_0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37" descr="南雄市志_0135"/>
                          <pic:cNvPicPr>
                            <a:picLocks noChangeAspect="1"/>
                          </pic:cNvPicPr>
                        </pic:nvPicPr>
                        <pic:blipFill>
                          <a:blip r:embed="rId148"/>
                          <a:stretch>
                            <a:fillRect/>
                          </a:stretch>
                        </pic:blipFill>
                        <pic:spPr>
                          <a:xfrm>
                            <a:off x="0" y="0"/>
                            <a:ext cx="6181090" cy="4652645"/>
                          </a:xfrm>
                          <a:prstGeom prst="rect">
                            <a:avLst/>
                          </a:prstGeom>
                          <a:noFill/>
                          <a:ln>
                            <a:noFill/>
                          </a:ln>
                        </pic:spPr>
                      </pic:pic>
                    </a:graphicData>
                  </a:graphic>
                </wp:inline>
              </w:drawing>
            </w:r>
          </w:p>
        </w:tc>
      </w:tr>
      <w:tr w14:paraId="247E0E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5E4B646">
            <w:pPr>
              <w:ind w:firstLine="420"/>
              <w:rPr>
                <w:rFonts w:ascii="宋体" w:hAnsi="宋体"/>
                <w:szCs w:val="21"/>
              </w:rPr>
            </w:pPr>
            <w:r>
              <w:rPr>
                <w:rFonts w:hint="eastAsia" w:ascii="宋体" w:hAnsi="宋体"/>
                <w:szCs w:val="21"/>
              </w:rPr>
              <w:t>广州会馆</w:t>
            </w:r>
          </w:p>
        </w:tc>
      </w:tr>
    </w:tbl>
    <w:p w14:paraId="663EE907">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2F135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034C5D8B">
            <w:pPr>
              <w:ind w:firstLine="0" w:firstLineChars="0"/>
              <w:jc w:val="center"/>
              <w:rPr>
                <w:rFonts w:ascii="宋体" w:hAnsi="宋体"/>
                <w:szCs w:val="21"/>
              </w:rPr>
            </w:pPr>
            <w:r>
              <w:rPr>
                <w:rFonts w:ascii="宋体" w:hAnsi="宋体"/>
                <w:szCs w:val="21"/>
              </w:rPr>
              <w:drawing>
                <wp:inline distT="0" distB="0" distL="114300" distR="114300">
                  <wp:extent cx="6181090" cy="5471795"/>
                  <wp:effectExtent l="0" t="0" r="10160" b="14605"/>
                  <wp:docPr id="187" name="图片 138" descr="南雄市志_0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38" descr="南雄市志_0136"/>
                          <pic:cNvPicPr>
                            <a:picLocks noChangeAspect="1"/>
                          </pic:cNvPicPr>
                        </pic:nvPicPr>
                        <pic:blipFill>
                          <a:blip r:embed="rId149"/>
                          <a:stretch>
                            <a:fillRect/>
                          </a:stretch>
                        </pic:blipFill>
                        <pic:spPr>
                          <a:xfrm>
                            <a:off x="0" y="0"/>
                            <a:ext cx="6181090" cy="5471795"/>
                          </a:xfrm>
                          <a:prstGeom prst="rect">
                            <a:avLst/>
                          </a:prstGeom>
                          <a:noFill/>
                          <a:ln>
                            <a:noFill/>
                          </a:ln>
                        </pic:spPr>
                      </pic:pic>
                    </a:graphicData>
                  </a:graphic>
                </wp:inline>
              </w:drawing>
            </w:r>
          </w:p>
        </w:tc>
      </w:tr>
      <w:tr w14:paraId="31C924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A4168BC">
            <w:pPr>
              <w:ind w:firstLine="420"/>
              <w:rPr>
                <w:rFonts w:ascii="宋体" w:hAnsi="宋体"/>
                <w:szCs w:val="21"/>
              </w:rPr>
            </w:pPr>
            <w:r>
              <w:rPr>
                <w:rFonts w:hint="eastAsia" w:ascii="宋体" w:hAnsi="宋体"/>
                <w:szCs w:val="21"/>
              </w:rPr>
              <w:t>正南门城楼</w:t>
            </w:r>
          </w:p>
        </w:tc>
      </w:tr>
    </w:tbl>
    <w:p w14:paraId="639DA59F">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5EE42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63E44B74">
            <w:pPr>
              <w:ind w:firstLine="0" w:firstLineChars="0"/>
              <w:jc w:val="center"/>
              <w:rPr>
                <w:rFonts w:ascii="宋体" w:hAnsi="宋体"/>
                <w:szCs w:val="21"/>
              </w:rPr>
            </w:pPr>
            <w:r>
              <w:rPr>
                <w:rFonts w:ascii="宋体" w:hAnsi="宋体"/>
                <w:szCs w:val="21"/>
              </w:rPr>
              <w:drawing>
                <wp:inline distT="0" distB="0" distL="114300" distR="114300">
                  <wp:extent cx="6188710" cy="3189605"/>
                  <wp:effectExtent l="0" t="0" r="2540" b="10795"/>
                  <wp:docPr id="205" name="图片 139" descr="南雄市志_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39" descr="南雄市志_0137"/>
                          <pic:cNvPicPr>
                            <a:picLocks noChangeAspect="1"/>
                          </pic:cNvPicPr>
                        </pic:nvPicPr>
                        <pic:blipFill>
                          <a:blip r:embed="rId150"/>
                          <a:stretch>
                            <a:fillRect/>
                          </a:stretch>
                        </pic:blipFill>
                        <pic:spPr>
                          <a:xfrm>
                            <a:off x="0" y="0"/>
                            <a:ext cx="6188710" cy="3189605"/>
                          </a:xfrm>
                          <a:prstGeom prst="rect">
                            <a:avLst/>
                          </a:prstGeom>
                          <a:noFill/>
                          <a:ln>
                            <a:noFill/>
                          </a:ln>
                        </pic:spPr>
                      </pic:pic>
                    </a:graphicData>
                  </a:graphic>
                </wp:inline>
              </w:drawing>
            </w:r>
          </w:p>
        </w:tc>
      </w:tr>
      <w:tr w14:paraId="73BAC6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F2DA0FD">
            <w:pPr>
              <w:ind w:firstLine="420"/>
              <w:rPr>
                <w:rFonts w:ascii="宋体" w:hAnsi="宋体"/>
                <w:szCs w:val="21"/>
              </w:rPr>
            </w:pPr>
            <w:r>
              <w:rPr>
                <w:rFonts w:hint="eastAsia" w:ascii="宋体" w:hAnsi="宋体"/>
                <w:szCs w:val="21"/>
              </w:rPr>
              <w:t>古城墙</w:t>
            </w:r>
          </w:p>
        </w:tc>
      </w:tr>
    </w:tbl>
    <w:p w14:paraId="1B94089D">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5AA9C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4081C1CE">
            <w:pPr>
              <w:ind w:firstLine="0" w:firstLineChars="0"/>
              <w:jc w:val="center"/>
              <w:rPr>
                <w:rFonts w:ascii="宋体" w:hAnsi="宋体"/>
                <w:szCs w:val="21"/>
              </w:rPr>
            </w:pPr>
            <w:r>
              <w:rPr>
                <w:rFonts w:ascii="宋体" w:hAnsi="宋体"/>
                <w:szCs w:val="21"/>
              </w:rPr>
              <w:drawing>
                <wp:inline distT="0" distB="0" distL="114300" distR="114300">
                  <wp:extent cx="6181090" cy="4272280"/>
                  <wp:effectExtent l="0" t="0" r="10160" b="13970"/>
                  <wp:docPr id="190" name="图片 140" descr="南雄市志_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40" descr="南雄市志_0138"/>
                          <pic:cNvPicPr>
                            <a:picLocks noChangeAspect="1"/>
                          </pic:cNvPicPr>
                        </pic:nvPicPr>
                        <pic:blipFill>
                          <a:blip r:embed="rId151"/>
                          <a:stretch>
                            <a:fillRect/>
                          </a:stretch>
                        </pic:blipFill>
                        <pic:spPr>
                          <a:xfrm>
                            <a:off x="0" y="0"/>
                            <a:ext cx="6181090" cy="4272280"/>
                          </a:xfrm>
                          <a:prstGeom prst="rect">
                            <a:avLst/>
                          </a:prstGeom>
                          <a:noFill/>
                          <a:ln>
                            <a:noFill/>
                          </a:ln>
                        </pic:spPr>
                      </pic:pic>
                    </a:graphicData>
                  </a:graphic>
                </wp:inline>
              </w:drawing>
            </w:r>
          </w:p>
        </w:tc>
      </w:tr>
      <w:tr w14:paraId="1CA6E4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5B300FE">
            <w:pPr>
              <w:ind w:firstLine="420"/>
              <w:rPr>
                <w:rFonts w:ascii="宋体" w:hAnsi="宋体"/>
                <w:szCs w:val="21"/>
              </w:rPr>
            </w:pPr>
            <w:r>
              <w:rPr>
                <w:rFonts w:hint="eastAsia" w:ascii="宋体" w:hAnsi="宋体"/>
                <w:szCs w:val="21"/>
              </w:rPr>
              <w:t>百顺镇黄屋城</w:t>
            </w:r>
          </w:p>
        </w:tc>
      </w:tr>
    </w:tbl>
    <w:p w14:paraId="1BDD2BA2">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B6C67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BBB7E62">
            <w:pPr>
              <w:ind w:firstLine="0" w:firstLineChars="0"/>
              <w:jc w:val="center"/>
              <w:rPr>
                <w:rFonts w:ascii="宋体" w:hAnsi="宋体"/>
                <w:szCs w:val="21"/>
              </w:rPr>
            </w:pPr>
            <w:r>
              <w:rPr>
                <w:rFonts w:ascii="宋体" w:hAnsi="宋体"/>
                <w:szCs w:val="21"/>
              </w:rPr>
              <w:drawing>
                <wp:inline distT="0" distB="0" distL="114300" distR="114300">
                  <wp:extent cx="6181090" cy="4228465"/>
                  <wp:effectExtent l="0" t="0" r="10160" b="635"/>
                  <wp:docPr id="195" name="图片 141" descr="南雄市志_0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41" descr="南雄市志_0139"/>
                          <pic:cNvPicPr>
                            <a:picLocks noChangeAspect="1"/>
                          </pic:cNvPicPr>
                        </pic:nvPicPr>
                        <pic:blipFill>
                          <a:blip r:embed="rId152"/>
                          <a:stretch>
                            <a:fillRect/>
                          </a:stretch>
                        </pic:blipFill>
                        <pic:spPr>
                          <a:xfrm>
                            <a:off x="0" y="0"/>
                            <a:ext cx="6181090" cy="4228465"/>
                          </a:xfrm>
                          <a:prstGeom prst="rect">
                            <a:avLst/>
                          </a:prstGeom>
                          <a:noFill/>
                          <a:ln>
                            <a:noFill/>
                          </a:ln>
                        </pic:spPr>
                      </pic:pic>
                    </a:graphicData>
                  </a:graphic>
                </wp:inline>
              </w:drawing>
            </w:r>
          </w:p>
        </w:tc>
      </w:tr>
      <w:tr w14:paraId="0E2E15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4C2B131A">
            <w:pPr>
              <w:ind w:firstLine="420"/>
              <w:rPr>
                <w:rFonts w:ascii="宋体" w:hAnsi="宋体"/>
                <w:szCs w:val="21"/>
              </w:rPr>
            </w:pPr>
            <w:r>
              <w:rPr>
                <w:rFonts w:hint="eastAsia" w:ascii="宋体" w:hAnsi="宋体"/>
                <w:szCs w:val="21"/>
              </w:rPr>
              <w:t>乌迳新田村祠堂</w:t>
            </w:r>
          </w:p>
        </w:tc>
      </w:tr>
    </w:tbl>
    <w:p w14:paraId="51D9F724">
      <w:pPr>
        <w:pStyle w:val="3"/>
        <w:rPr>
          <w:rFonts w:ascii="宋体" w:hAnsi="宋体"/>
        </w:rPr>
      </w:pPr>
      <w:r>
        <w:rPr>
          <w:rFonts w:ascii="宋体" w:hAnsi="宋体"/>
        </w:rPr>
        <w:t>自然景观</w:t>
      </w: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2F5C9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1A360CF6">
            <w:pPr>
              <w:ind w:firstLine="0" w:firstLineChars="0"/>
              <w:jc w:val="center"/>
              <w:rPr>
                <w:rFonts w:ascii="宋体" w:hAnsi="宋体"/>
                <w:szCs w:val="21"/>
              </w:rPr>
            </w:pPr>
            <w:r>
              <w:rPr>
                <w:rFonts w:ascii="宋体" w:hAnsi="宋体"/>
                <w:szCs w:val="21"/>
              </w:rPr>
              <w:drawing>
                <wp:inline distT="0" distB="0" distL="114300" distR="114300">
                  <wp:extent cx="6232525" cy="2867660"/>
                  <wp:effectExtent l="0" t="0" r="15875" b="8890"/>
                  <wp:docPr id="166" name="图片 142" descr="南雄市志_0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42" descr="南雄市志_0135"/>
                          <pic:cNvPicPr>
                            <a:picLocks noChangeAspect="1"/>
                          </pic:cNvPicPr>
                        </pic:nvPicPr>
                        <pic:blipFill>
                          <a:blip r:embed="rId153"/>
                          <a:stretch>
                            <a:fillRect/>
                          </a:stretch>
                        </pic:blipFill>
                        <pic:spPr>
                          <a:xfrm>
                            <a:off x="0" y="0"/>
                            <a:ext cx="6232525" cy="2867660"/>
                          </a:xfrm>
                          <a:prstGeom prst="rect">
                            <a:avLst/>
                          </a:prstGeom>
                          <a:noFill/>
                          <a:ln>
                            <a:noFill/>
                          </a:ln>
                        </pic:spPr>
                      </pic:pic>
                    </a:graphicData>
                  </a:graphic>
                </wp:inline>
              </w:drawing>
            </w:r>
          </w:p>
        </w:tc>
      </w:tr>
      <w:tr w14:paraId="79E108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391E69CE">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驿道寒梅</w:t>
            </w:r>
          </w:p>
        </w:tc>
      </w:tr>
    </w:tbl>
    <w:p w14:paraId="28FEB1BD">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EB7DD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2A03864D">
            <w:pPr>
              <w:ind w:firstLine="0" w:firstLineChars="0"/>
              <w:jc w:val="center"/>
              <w:rPr>
                <w:rFonts w:ascii="宋体" w:hAnsi="宋体"/>
                <w:szCs w:val="21"/>
              </w:rPr>
            </w:pPr>
            <w:r>
              <w:rPr>
                <w:rFonts w:ascii="宋体" w:hAnsi="宋体"/>
                <w:szCs w:val="21"/>
              </w:rPr>
              <w:drawing>
                <wp:inline distT="0" distB="0" distL="114300" distR="114300">
                  <wp:extent cx="6181090" cy="7783195"/>
                  <wp:effectExtent l="0" t="0" r="10160" b="8255"/>
                  <wp:docPr id="167" name="图片 143" descr="南雄市志_0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43" descr="南雄市志_0136"/>
                          <pic:cNvPicPr>
                            <a:picLocks noChangeAspect="1"/>
                          </pic:cNvPicPr>
                        </pic:nvPicPr>
                        <pic:blipFill>
                          <a:blip r:embed="rId154"/>
                          <a:stretch>
                            <a:fillRect/>
                          </a:stretch>
                        </pic:blipFill>
                        <pic:spPr>
                          <a:xfrm>
                            <a:off x="0" y="0"/>
                            <a:ext cx="6181090" cy="7783195"/>
                          </a:xfrm>
                          <a:prstGeom prst="rect">
                            <a:avLst/>
                          </a:prstGeom>
                          <a:noFill/>
                          <a:ln>
                            <a:noFill/>
                          </a:ln>
                        </pic:spPr>
                      </pic:pic>
                    </a:graphicData>
                  </a:graphic>
                </wp:inline>
              </w:drawing>
            </w:r>
          </w:p>
        </w:tc>
      </w:tr>
      <w:tr w14:paraId="0445FA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2D971A39">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梅花长廊</w:t>
            </w:r>
          </w:p>
        </w:tc>
      </w:tr>
    </w:tbl>
    <w:p w14:paraId="46C6D836">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F1B65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31C1532">
            <w:pPr>
              <w:ind w:firstLine="0" w:firstLineChars="0"/>
              <w:jc w:val="center"/>
              <w:rPr>
                <w:rFonts w:ascii="宋体" w:hAnsi="宋体"/>
                <w:szCs w:val="21"/>
              </w:rPr>
            </w:pPr>
            <w:r>
              <w:rPr>
                <w:rFonts w:ascii="宋体" w:hAnsi="宋体"/>
                <w:szCs w:val="21"/>
              </w:rPr>
              <w:drawing>
                <wp:inline distT="0" distB="0" distL="114300" distR="114300">
                  <wp:extent cx="6181090" cy="4791710"/>
                  <wp:effectExtent l="0" t="0" r="10160" b="8890"/>
                  <wp:docPr id="196" name="图片 144" descr="南雄市志_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44" descr="南雄市志_0137"/>
                          <pic:cNvPicPr>
                            <a:picLocks noChangeAspect="1"/>
                          </pic:cNvPicPr>
                        </pic:nvPicPr>
                        <pic:blipFill>
                          <a:blip r:embed="rId155"/>
                          <a:stretch>
                            <a:fillRect/>
                          </a:stretch>
                        </pic:blipFill>
                        <pic:spPr>
                          <a:xfrm>
                            <a:off x="0" y="0"/>
                            <a:ext cx="6181090" cy="4791710"/>
                          </a:xfrm>
                          <a:prstGeom prst="rect">
                            <a:avLst/>
                          </a:prstGeom>
                          <a:noFill/>
                          <a:ln>
                            <a:noFill/>
                          </a:ln>
                        </pic:spPr>
                      </pic:pic>
                    </a:graphicData>
                  </a:graphic>
                </wp:inline>
              </w:drawing>
            </w:r>
          </w:p>
        </w:tc>
      </w:tr>
      <w:tr w14:paraId="361DB2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63B3428B">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苍石寒风景区</w:t>
            </w:r>
          </w:p>
        </w:tc>
      </w:tr>
    </w:tbl>
    <w:p w14:paraId="68A305DE">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8F8D2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DB17567">
            <w:pPr>
              <w:ind w:firstLine="0" w:firstLineChars="0"/>
              <w:jc w:val="center"/>
              <w:rPr>
                <w:rFonts w:ascii="宋体" w:hAnsi="宋体"/>
                <w:szCs w:val="21"/>
              </w:rPr>
            </w:pPr>
            <w:r>
              <w:rPr>
                <w:rFonts w:ascii="宋体" w:hAnsi="宋体"/>
                <w:szCs w:val="21"/>
              </w:rPr>
              <w:drawing>
                <wp:inline distT="0" distB="0" distL="114300" distR="114300">
                  <wp:extent cx="6181090" cy="4557395"/>
                  <wp:effectExtent l="0" t="0" r="10160" b="14605"/>
                  <wp:docPr id="197" name="图片 145" descr="南雄市志_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45" descr="南雄市志_0138"/>
                          <pic:cNvPicPr>
                            <a:picLocks noChangeAspect="1"/>
                          </pic:cNvPicPr>
                        </pic:nvPicPr>
                        <pic:blipFill>
                          <a:blip r:embed="rId156"/>
                          <a:stretch>
                            <a:fillRect/>
                          </a:stretch>
                        </pic:blipFill>
                        <pic:spPr>
                          <a:xfrm>
                            <a:off x="0" y="0"/>
                            <a:ext cx="6181090" cy="4557395"/>
                          </a:xfrm>
                          <a:prstGeom prst="rect">
                            <a:avLst/>
                          </a:prstGeom>
                          <a:noFill/>
                          <a:ln>
                            <a:noFill/>
                          </a:ln>
                        </pic:spPr>
                      </pic:pic>
                    </a:graphicData>
                  </a:graphic>
                </wp:inline>
              </w:drawing>
            </w:r>
          </w:p>
        </w:tc>
      </w:tr>
      <w:tr w14:paraId="13E22B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0CE7268C">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苍石松潭</w:t>
            </w:r>
          </w:p>
        </w:tc>
      </w:tr>
    </w:tbl>
    <w:p w14:paraId="7E87666A">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7AC40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EC64FCC">
            <w:pPr>
              <w:ind w:firstLine="0" w:firstLineChars="0"/>
              <w:jc w:val="center"/>
              <w:rPr>
                <w:rFonts w:ascii="宋体" w:hAnsi="宋体"/>
                <w:szCs w:val="21"/>
              </w:rPr>
            </w:pPr>
            <w:r>
              <w:rPr>
                <w:rFonts w:ascii="宋体" w:hAnsi="宋体"/>
                <w:szCs w:val="21"/>
              </w:rPr>
              <w:drawing>
                <wp:inline distT="0" distB="0" distL="114300" distR="114300">
                  <wp:extent cx="6181090" cy="4154805"/>
                  <wp:effectExtent l="0" t="0" r="10160" b="17145"/>
                  <wp:docPr id="168" name="图片 146" descr="南雄市志_0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46" descr="南雄市志_0139"/>
                          <pic:cNvPicPr>
                            <a:picLocks noChangeAspect="1"/>
                          </pic:cNvPicPr>
                        </pic:nvPicPr>
                        <pic:blipFill>
                          <a:blip r:embed="rId157"/>
                          <a:stretch>
                            <a:fillRect/>
                          </a:stretch>
                        </pic:blipFill>
                        <pic:spPr>
                          <a:xfrm>
                            <a:off x="0" y="0"/>
                            <a:ext cx="6181090" cy="4154805"/>
                          </a:xfrm>
                          <a:prstGeom prst="rect">
                            <a:avLst/>
                          </a:prstGeom>
                          <a:noFill/>
                          <a:ln>
                            <a:noFill/>
                          </a:ln>
                        </pic:spPr>
                      </pic:pic>
                    </a:graphicData>
                  </a:graphic>
                </wp:inline>
              </w:drawing>
            </w:r>
          </w:p>
        </w:tc>
      </w:tr>
      <w:tr w14:paraId="0C346D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5DACF43A">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龙华山温泉</w:t>
            </w:r>
          </w:p>
        </w:tc>
      </w:tr>
    </w:tbl>
    <w:p w14:paraId="5C08D31C">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F2AF7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562A9678">
            <w:pPr>
              <w:ind w:firstLine="0" w:firstLineChars="0"/>
              <w:jc w:val="center"/>
              <w:rPr>
                <w:rFonts w:ascii="宋体" w:hAnsi="宋体"/>
                <w:szCs w:val="21"/>
              </w:rPr>
            </w:pPr>
            <w:r>
              <w:rPr>
                <w:rFonts w:ascii="宋体" w:hAnsi="宋体"/>
                <w:szCs w:val="21"/>
              </w:rPr>
              <w:drawing>
                <wp:inline distT="0" distB="0" distL="114300" distR="114300">
                  <wp:extent cx="6181090" cy="4184015"/>
                  <wp:effectExtent l="0" t="0" r="10160" b="6985"/>
                  <wp:docPr id="199" name="图片 147" descr="南雄市志_0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47" descr="南雄市志_0140"/>
                          <pic:cNvPicPr>
                            <a:picLocks noChangeAspect="1"/>
                          </pic:cNvPicPr>
                        </pic:nvPicPr>
                        <pic:blipFill>
                          <a:blip r:embed="rId158"/>
                          <a:stretch>
                            <a:fillRect/>
                          </a:stretch>
                        </pic:blipFill>
                        <pic:spPr>
                          <a:xfrm>
                            <a:off x="0" y="0"/>
                            <a:ext cx="6181090" cy="4184015"/>
                          </a:xfrm>
                          <a:prstGeom prst="rect">
                            <a:avLst/>
                          </a:prstGeom>
                          <a:noFill/>
                          <a:ln>
                            <a:noFill/>
                          </a:ln>
                        </pic:spPr>
                      </pic:pic>
                    </a:graphicData>
                  </a:graphic>
                </wp:inline>
              </w:drawing>
            </w:r>
          </w:p>
        </w:tc>
      </w:tr>
      <w:tr w14:paraId="3C3552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001175F5">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青嶂山天池</w:t>
            </w:r>
          </w:p>
        </w:tc>
      </w:tr>
    </w:tbl>
    <w:p w14:paraId="23C78D35">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1F733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6B0680B">
            <w:pPr>
              <w:ind w:firstLine="0" w:firstLineChars="0"/>
              <w:jc w:val="center"/>
              <w:rPr>
                <w:rFonts w:ascii="宋体" w:hAnsi="宋体"/>
                <w:szCs w:val="21"/>
              </w:rPr>
            </w:pPr>
            <w:r>
              <w:rPr>
                <w:rFonts w:ascii="宋体" w:hAnsi="宋体"/>
                <w:szCs w:val="21"/>
              </w:rPr>
              <w:drawing>
                <wp:inline distT="0" distB="0" distL="114300" distR="114300">
                  <wp:extent cx="6181090" cy="4966970"/>
                  <wp:effectExtent l="0" t="0" r="10160" b="5080"/>
                  <wp:docPr id="200" name="图片 148" descr="南雄市志_0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48" descr="南雄市志_0141"/>
                          <pic:cNvPicPr>
                            <a:picLocks noChangeAspect="1"/>
                          </pic:cNvPicPr>
                        </pic:nvPicPr>
                        <pic:blipFill>
                          <a:blip r:embed="rId159"/>
                          <a:stretch>
                            <a:fillRect/>
                          </a:stretch>
                        </pic:blipFill>
                        <pic:spPr>
                          <a:xfrm>
                            <a:off x="0" y="0"/>
                            <a:ext cx="6181090" cy="4966970"/>
                          </a:xfrm>
                          <a:prstGeom prst="rect">
                            <a:avLst/>
                          </a:prstGeom>
                          <a:noFill/>
                          <a:ln>
                            <a:noFill/>
                          </a:ln>
                        </pic:spPr>
                      </pic:pic>
                    </a:graphicData>
                  </a:graphic>
                </wp:inline>
              </w:drawing>
            </w:r>
          </w:p>
        </w:tc>
      </w:tr>
      <w:tr w14:paraId="0142BE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17BC5AFE">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青嶂山</w:t>
            </w:r>
          </w:p>
        </w:tc>
      </w:tr>
    </w:tbl>
    <w:p w14:paraId="163DFFF2">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11E88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50EBBC5A">
            <w:pPr>
              <w:ind w:firstLine="0" w:firstLineChars="0"/>
              <w:jc w:val="center"/>
              <w:rPr>
                <w:rFonts w:ascii="宋体" w:hAnsi="宋体"/>
                <w:szCs w:val="21"/>
              </w:rPr>
            </w:pPr>
            <w:r>
              <w:rPr>
                <w:rFonts w:ascii="宋体" w:hAnsi="宋体"/>
                <w:szCs w:val="21"/>
              </w:rPr>
              <w:drawing>
                <wp:inline distT="0" distB="0" distL="114300" distR="114300">
                  <wp:extent cx="6181090" cy="6986270"/>
                  <wp:effectExtent l="0" t="0" r="10160" b="5080"/>
                  <wp:docPr id="178" name="图片 149" descr="南雄市志_0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49" descr="南雄市志_0142"/>
                          <pic:cNvPicPr>
                            <a:picLocks noChangeAspect="1"/>
                          </pic:cNvPicPr>
                        </pic:nvPicPr>
                        <pic:blipFill>
                          <a:blip r:embed="rId160"/>
                          <a:stretch>
                            <a:fillRect/>
                          </a:stretch>
                        </pic:blipFill>
                        <pic:spPr>
                          <a:xfrm>
                            <a:off x="0" y="0"/>
                            <a:ext cx="6181090" cy="6986270"/>
                          </a:xfrm>
                          <a:prstGeom prst="rect">
                            <a:avLst/>
                          </a:prstGeom>
                          <a:noFill/>
                          <a:ln>
                            <a:noFill/>
                          </a:ln>
                        </pic:spPr>
                      </pic:pic>
                    </a:graphicData>
                  </a:graphic>
                </wp:inline>
              </w:drawing>
            </w:r>
          </w:p>
        </w:tc>
      </w:tr>
      <w:tr w14:paraId="5EA9BB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517C43A0">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山区梯田</w:t>
            </w:r>
          </w:p>
        </w:tc>
      </w:tr>
    </w:tbl>
    <w:p w14:paraId="475B6312">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D3819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3D8EDBB">
            <w:pPr>
              <w:ind w:firstLine="0" w:firstLineChars="0"/>
              <w:jc w:val="center"/>
              <w:rPr>
                <w:rFonts w:ascii="宋体" w:hAnsi="宋体"/>
                <w:szCs w:val="21"/>
              </w:rPr>
            </w:pPr>
            <w:r>
              <w:rPr>
                <w:rFonts w:ascii="宋体" w:hAnsi="宋体"/>
                <w:szCs w:val="21"/>
              </w:rPr>
              <w:drawing>
                <wp:inline distT="0" distB="0" distL="114300" distR="114300">
                  <wp:extent cx="6181090" cy="4608830"/>
                  <wp:effectExtent l="0" t="0" r="10160" b="1270"/>
                  <wp:docPr id="181" name="图片 150" descr="南雄市志_0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50" descr="南雄市志_0143"/>
                          <pic:cNvPicPr>
                            <a:picLocks noChangeAspect="1"/>
                          </pic:cNvPicPr>
                        </pic:nvPicPr>
                        <pic:blipFill>
                          <a:blip r:embed="rId161"/>
                          <a:stretch>
                            <a:fillRect/>
                          </a:stretch>
                        </pic:blipFill>
                        <pic:spPr>
                          <a:xfrm>
                            <a:off x="0" y="0"/>
                            <a:ext cx="6181090" cy="4608830"/>
                          </a:xfrm>
                          <a:prstGeom prst="rect">
                            <a:avLst/>
                          </a:prstGeom>
                          <a:noFill/>
                          <a:ln>
                            <a:noFill/>
                          </a:ln>
                        </pic:spPr>
                      </pic:pic>
                    </a:graphicData>
                  </a:graphic>
                </wp:inline>
              </w:drawing>
            </w:r>
          </w:p>
        </w:tc>
      </w:tr>
      <w:tr w14:paraId="090DEC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7701FE36">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青嶂山温泉度假村</w:t>
            </w:r>
          </w:p>
        </w:tc>
      </w:tr>
    </w:tbl>
    <w:p w14:paraId="52A9F830">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F199D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9AC36CB">
            <w:pPr>
              <w:ind w:firstLine="0" w:firstLineChars="0"/>
              <w:jc w:val="center"/>
              <w:rPr>
                <w:rFonts w:ascii="宋体" w:hAnsi="宋体"/>
                <w:szCs w:val="21"/>
              </w:rPr>
            </w:pPr>
            <w:r>
              <w:rPr>
                <w:rFonts w:ascii="宋体" w:hAnsi="宋体"/>
                <w:szCs w:val="21"/>
              </w:rPr>
              <w:drawing>
                <wp:inline distT="0" distB="0" distL="114300" distR="114300">
                  <wp:extent cx="6181090" cy="3357880"/>
                  <wp:effectExtent l="0" t="0" r="10160" b="13970"/>
                  <wp:docPr id="171" name="图片 151" descr="南雄市志_0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51" descr="南雄市志_0144"/>
                          <pic:cNvPicPr>
                            <a:picLocks noChangeAspect="1"/>
                          </pic:cNvPicPr>
                        </pic:nvPicPr>
                        <pic:blipFill>
                          <a:blip r:embed="rId162"/>
                          <a:stretch>
                            <a:fillRect/>
                          </a:stretch>
                        </pic:blipFill>
                        <pic:spPr>
                          <a:xfrm>
                            <a:off x="0" y="0"/>
                            <a:ext cx="6181090" cy="3357880"/>
                          </a:xfrm>
                          <a:prstGeom prst="rect">
                            <a:avLst/>
                          </a:prstGeom>
                          <a:noFill/>
                          <a:ln>
                            <a:noFill/>
                          </a:ln>
                        </pic:spPr>
                      </pic:pic>
                    </a:graphicData>
                  </a:graphic>
                </wp:inline>
              </w:drawing>
            </w:r>
          </w:p>
        </w:tc>
      </w:tr>
      <w:tr w14:paraId="0D1680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18BA8396">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银杏染秋</w:t>
            </w:r>
          </w:p>
        </w:tc>
      </w:tr>
    </w:tbl>
    <w:p w14:paraId="45EF6337">
      <w:pPr>
        <w:pStyle w:val="3"/>
        <w:rPr>
          <w:rFonts w:ascii="宋体" w:hAnsi="宋体"/>
        </w:rPr>
      </w:pPr>
      <w:r>
        <w:rPr>
          <w:rFonts w:hint="eastAsia" w:ascii="宋体" w:hAnsi="宋体"/>
        </w:rPr>
        <w:t>珠玑文化景观</w:t>
      </w: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2E16B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460C8BF">
            <w:pPr>
              <w:ind w:firstLine="0" w:firstLineChars="0"/>
              <w:jc w:val="center"/>
              <w:rPr>
                <w:rFonts w:ascii="宋体" w:hAnsi="宋体"/>
                <w:szCs w:val="21"/>
              </w:rPr>
            </w:pPr>
            <w:r>
              <w:rPr>
                <w:rFonts w:ascii="宋体" w:hAnsi="宋体"/>
                <w:szCs w:val="21"/>
              </w:rPr>
              <w:drawing>
                <wp:inline distT="0" distB="0" distL="114300" distR="114300">
                  <wp:extent cx="6181090" cy="2157730"/>
                  <wp:effectExtent l="0" t="0" r="10160" b="13970"/>
                  <wp:docPr id="180" name="图片 152" descr="南雄市志_0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52" descr="南雄市志_0150"/>
                          <pic:cNvPicPr>
                            <a:picLocks noChangeAspect="1"/>
                          </pic:cNvPicPr>
                        </pic:nvPicPr>
                        <pic:blipFill>
                          <a:blip r:embed="rId163"/>
                          <a:stretch>
                            <a:fillRect/>
                          </a:stretch>
                        </pic:blipFill>
                        <pic:spPr>
                          <a:xfrm>
                            <a:off x="0" y="0"/>
                            <a:ext cx="6181090" cy="2157730"/>
                          </a:xfrm>
                          <a:prstGeom prst="rect">
                            <a:avLst/>
                          </a:prstGeom>
                          <a:noFill/>
                          <a:ln>
                            <a:noFill/>
                          </a:ln>
                        </pic:spPr>
                      </pic:pic>
                    </a:graphicData>
                  </a:graphic>
                </wp:inline>
              </w:drawing>
            </w:r>
          </w:p>
        </w:tc>
      </w:tr>
      <w:tr w14:paraId="5821DE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7F00B0F1">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南迁纪念群雕</w:t>
            </w:r>
          </w:p>
        </w:tc>
      </w:tr>
    </w:tbl>
    <w:p w14:paraId="503CCAAA">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F9EC5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973182F">
            <w:pPr>
              <w:ind w:firstLine="0" w:firstLineChars="0"/>
              <w:jc w:val="center"/>
              <w:rPr>
                <w:rFonts w:ascii="宋体" w:hAnsi="宋体"/>
                <w:szCs w:val="21"/>
              </w:rPr>
            </w:pPr>
            <w:r>
              <w:rPr>
                <w:rFonts w:ascii="宋体" w:hAnsi="宋体"/>
                <w:szCs w:val="21"/>
              </w:rPr>
              <w:drawing>
                <wp:inline distT="0" distB="0" distL="114300" distR="114300">
                  <wp:extent cx="6181090" cy="7768590"/>
                  <wp:effectExtent l="0" t="0" r="10160" b="3810"/>
                  <wp:docPr id="198" name="图片 153" descr="南雄市志_0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53" descr="南雄市志_0151"/>
                          <pic:cNvPicPr>
                            <a:picLocks noChangeAspect="1"/>
                          </pic:cNvPicPr>
                        </pic:nvPicPr>
                        <pic:blipFill>
                          <a:blip r:embed="rId164"/>
                          <a:stretch>
                            <a:fillRect/>
                          </a:stretch>
                        </pic:blipFill>
                        <pic:spPr>
                          <a:xfrm>
                            <a:off x="0" y="0"/>
                            <a:ext cx="6181090" cy="7768590"/>
                          </a:xfrm>
                          <a:prstGeom prst="rect">
                            <a:avLst/>
                          </a:prstGeom>
                          <a:noFill/>
                          <a:ln>
                            <a:noFill/>
                          </a:ln>
                        </pic:spPr>
                      </pic:pic>
                    </a:graphicData>
                  </a:graphic>
                </wp:inline>
              </w:drawing>
            </w:r>
          </w:p>
        </w:tc>
      </w:tr>
      <w:tr w14:paraId="6DD5BE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1D5B2117">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珠玑古巷南门楼</w:t>
            </w:r>
          </w:p>
        </w:tc>
      </w:tr>
    </w:tbl>
    <w:p w14:paraId="6BFB6D14">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F8E1B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143F79A5">
            <w:pPr>
              <w:ind w:firstLine="0" w:firstLineChars="0"/>
              <w:jc w:val="center"/>
              <w:rPr>
                <w:rFonts w:ascii="宋体" w:hAnsi="宋体"/>
                <w:szCs w:val="21"/>
              </w:rPr>
            </w:pPr>
            <w:r>
              <w:rPr>
                <w:rFonts w:ascii="宋体" w:hAnsi="宋体"/>
                <w:szCs w:val="21"/>
              </w:rPr>
              <w:drawing>
                <wp:inline distT="0" distB="0" distL="114300" distR="114300">
                  <wp:extent cx="6174105" cy="3848100"/>
                  <wp:effectExtent l="0" t="0" r="17145" b="0"/>
                  <wp:docPr id="201" name="图片 154" descr="南雄市志_0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54" descr="南雄市志_0152"/>
                          <pic:cNvPicPr>
                            <a:picLocks noChangeAspect="1"/>
                          </pic:cNvPicPr>
                        </pic:nvPicPr>
                        <pic:blipFill>
                          <a:blip r:embed="rId165"/>
                          <a:stretch>
                            <a:fillRect/>
                          </a:stretch>
                        </pic:blipFill>
                        <pic:spPr>
                          <a:xfrm>
                            <a:off x="0" y="0"/>
                            <a:ext cx="6174105" cy="3848100"/>
                          </a:xfrm>
                          <a:prstGeom prst="rect">
                            <a:avLst/>
                          </a:prstGeom>
                          <a:noFill/>
                          <a:ln>
                            <a:noFill/>
                          </a:ln>
                        </pic:spPr>
                      </pic:pic>
                    </a:graphicData>
                  </a:graphic>
                </wp:inline>
              </w:drawing>
            </w:r>
          </w:p>
        </w:tc>
      </w:tr>
      <w:tr w14:paraId="496D40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7AC4E389">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珠玑巷胡妃殿</w:t>
            </w:r>
          </w:p>
        </w:tc>
      </w:tr>
    </w:tbl>
    <w:p w14:paraId="7F3441B0">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68244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5302499">
            <w:pPr>
              <w:ind w:firstLine="0" w:firstLineChars="0"/>
              <w:jc w:val="center"/>
              <w:rPr>
                <w:rFonts w:ascii="宋体" w:hAnsi="宋体"/>
                <w:szCs w:val="21"/>
              </w:rPr>
            </w:pPr>
            <w:r>
              <w:rPr>
                <w:rFonts w:ascii="宋体" w:hAnsi="宋体"/>
                <w:szCs w:val="21"/>
              </w:rPr>
              <w:drawing>
                <wp:inline distT="0" distB="0" distL="114300" distR="114300">
                  <wp:extent cx="6181090" cy="4220845"/>
                  <wp:effectExtent l="0" t="0" r="10160" b="8255"/>
                  <wp:docPr id="183" name="图片 155" descr="南雄市志_0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55" descr="南雄市志_0153"/>
                          <pic:cNvPicPr>
                            <a:picLocks noChangeAspect="1"/>
                          </pic:cNvPicPr>
                        </pic:nvPicPr>
                        <pic:blipFill>
                          <a:blip r:embed="rId166"/>
                          <a:stretch>
                            <a:fillRect/>
                          </a:stretch>
                        </pic:blipFill>
                        <pic:spPr>
                          <a:xfrm>
                            <a:off x="0" y="0"/>
                            <a:ext cx="6181090" cy="4220845"/>
                          </a:xfrm>
                          <a:prstGeom prst="rect">
                            <a:avLst/>
                          </a:prstGeom>
                          <a:noFill/>
                          <a:ln>
                            <a:noFill/>
                          </a:ln>
                        </pic:spPr>
                      </pic:pic>
                    </a:graphicData>
                  </a:graphic>
                </wp:inline>
              </w:drawing>
            </w:r>
          </w:p>
        </w:tc>
      </w:tr>
      <w:tr w14:paraId="3229AC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071CDCFF">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珠玑巷博物馆</w:t>
            </w:r>
          </w:p>
        </w:tc>
      </w:tr>
    </w:tbl>
    <w:p w14:paraId="59928BAE">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0B460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8EF53A5">
            <w:pPr>
              <w:ind w:firstLine="0" w:firstLineChars="0"/>
              <w:jc w:val="center"/>
              <w:rPr>
                <w:rFonts w:ascii="宋体" w:hAnsi="宋体"/>
                <w:szCs w:val="21"/>
              </w:rPr>
            </w:pPr>
            <w:r>
              <w:rPr>
                <w:rFonts w:ascii="宋体" w:hAnsi="宋体"/>
                <w:szCs w:val="21"/>
              </w:rPr>
              <w:drawing>
                <wp:inline distT="0" distB="0" distL="114300" distR="114300">
                  <wp:extent cx="6181090" cy="3869690"/>
                  <wp:effectExtent l="0" t="0" r="10160" b="16510"/>
                  <wp:docPr id="172" name="图片 156" descr="南雄市志_0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56" descr="南雄市志_0154"/>
                          <pic:cNvPicPr>
                            <a:picLocks noChangeAspect="1"/>
                          </pic:cNvPicPr>
                        </pic:nvPicPr>
                        <pic:blipFill>
                          <a:blip r:embed="rId167"/>
                          <a:stretch>
                            <a:fillRect/>
                          </a:stretch>
                        </pic:blipFill>
                        <pic:spPr>
                          <a:xfrm>
                            <a:off x="0" y="0"/>
                            <a:ext cx="6181090" cy="3869690"/>
                          </a:xfrm>
                          <a:prstGeom prst="rect">
                            <a:avLst/>
                          </a:prstGeom>
                          <a:noFill/>
                          <a:ln>
                            <a:noFill/>
                          </a:ln>
                        </pic:spPr>
                      </pic:pic>
                    </a:graphicData>
                  </a:graphic>
                </wp:inline>
              </w:drawing>
            </w:r>
          </w:p>
        </w:tc>
      </w:tr>
      <w:tr w14:paraId="349F52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683AA477">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沙水湖</w:t>
            </w:r>
          </w:p>
        </w:tc>
      </w:tr>
    </w:tbl>
    <w:p w14:paraId="0E8C1653">
      <w:pPr>
        <w:pStyle w:val="3"/>
        <w:rPr>
          <w:rFonts w:ascii="宋体" w:hAnsi="宋体"/>
        </w:rPr>
      </w:pPr>
      <w:r>
        <w:rPr>
          <w:rFonts w:ascii="宋体" w:hAnsi="宋体"/>
        </w:rPr>
        <w:t>宗教信仰</w:t>
      </w: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98D44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17EE6658">
            <w:pPr>
              <w:ind w:firstLine="0" w:firstLineChars="0"/>
              <w:jc w:val="center"/>
              <w:rPr>
                <w:rFonts w:ascii="宋体" w:hAnsi="宋体"/>
                <w:szCs w:val="21"/>
              </w:rPr>
            </w:pPr>
            <w:r>
              <w:rPr>
                <w:rFonts w:ascii="宋体" w:hAnsi="宋体"/>
                <w:szCs w:val="21"/>
              </w:rPr>
              <w:drawing>
                <wp:inline distT="0" distB="0" distL="114300" distR="114300">
                  <wp:extent cx="6188710" cy="1858010"/>
                  <wp:effectExtent l="0" t="0" r="2540" b="8890"/>
                  <wp:docPr id="202" name="图片 157" descr="南雄市志_0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57" descr="南雄市志_0155"/>
                          <pic:cNvPicPr>
                            <a:picLocks noChangeAspect="1"/>
                          </pic:cNvPicPr>
                        </pic:nvPicPr>
                        <pic:blipFill>
                          <a:blip r:embed="rId168"/>
                          <a:stretch>
                            <a:fillRect/>
                          </a:stretch>
                        </pic:blipFill>
                        <pic:spPr>
                          <a:xfrm>
                            <a:off x="0" y="0"/>
                            <a:ext cx="6188710" cy="1858010"/>
                          </a:xfrm>
                          <a:prstGeom prst="rect">
                            <a:avLst/>
                          </a:prstGeom>
                          <a:noFill/>
                          <a:ln>
                            <a:noFill/>
                          </a:ln>
                        </pic:spPr>
                      </pic:pic>
                    </a:graphicData>
                  </a:graphic>
                </wp:inline>
              </w:drawing>
            </w:r>
          </w:p>
        </w:tc>
      </w:tr>
      <w:tr w14:paraId="3CFE93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7F695595">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莲开净寺</w:t>
            </w:r>
          </w:p>
        </w:tc>
      </w:tr>
    </w:tbl>
    <w:p w14:paraId="7E89B15A">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5ABD1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28FA61F8">
            <w:pPr>
              <w:ind w:firstLine="0" w:firstLineChars="0"/>
              <w:jc w:val="center"/>
              <w:rPr>
                <w:rFonts w:ascii="宋体" w:hAnsi="宋体"/>
                <w:szCs w:val="21"/>
              </w:rPr>
            </w:pPr>
            <w:r>
              <w:rPr>
                <w:rFonts w:ascii="宋体" w:hAnsi="宋体"/>
                <w:szCs w:val="21"/>
              </w:rPr>
              <w:drawing>
                <wp:inline distT="0" distB="0" distL="114300" distR="114300">
                  <wp:extent cx="6188710" cy="4586605"/>
                  <wp:effectExtent l="0" t="0" r="2540" b="4445"/>
                  <wp:docPr id="203" name="图片 158" descr="南雄市志_0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58" descr="南雄市志_0156"/>
                          <pic:cNvPicPr>
                            <a:picLocks noChangeAspect="1"/>
                          </pic:cNvPicPr>
                        </pic:nvPicPr>
                        <pic:blipFill>
                          <a:blip r:embed="rId169"/>
                          <a:stretch>
                            <a:fillRect/>
                          </a:stretch>
                        </pic:blipFill>
                        <pic:spPr>
                          <a:xfrm>
                            <a:off x="0" y="0"/>
                            <a:ext cx="6188710" cy="4586605"/>
                          </a:xfrm>
                          <a:prstGeom prst="rect">
                            <a:avLst/>
                          </a:prstGeom>
                          <a:noFill/>
                          <a:ln>
                            <a:noFill/>
                          </a:ln>
                        </pic:spPr>
                      </pic:pic>
                    </a:graphicData>
                  </a:graphic>
                </wp:inline>
              </w:drawing>
            </w:r>
          </w:p>
        </w:tc>
      </w:tr>
      <w:tr w14:paraId="2D5CEE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vAlign w:val="center"/>
          </w:tcPr>
          <w:p w14:paraId="038656F7">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大雄禅寺</w:t>
            </w:r>
          </w:p>
        </w:tc>
      </w:tr>
    </w:tbl>
    <w:p w14:paraId="290874C7">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0382B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0EB978C">
            <w:pPr>
              <w:ind w:firstLine="0" w:firstLineChars="0"/>
              <w:jc w:val="center"/>
              <w:rPr>
                <w:rFonts w:ascii="宋体" w:hAnsi="宋体"/>
                <w:szCs w:val="21"/>
              </w:rPr>
            </w:pPr>
            <w:r>
              <w:rPr>
                <w:rFonts w:ascii="宋体" w:hAnsi="宋体"/>
                <w:szCs w:val="21"/>
              </w:rPr>
              <w:drawing>
                <wp:inline distT="0" distB="0" distL="114300" distR="114300">
                  <wp:extent cx="5588635" cy="8478520"/>
                  <wp:effectExtent l="0" t="0" r="12065" b="17780"/>
                  <wp:docPr id="169" name="图片 159" descr="南雄市志_0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59" descr="南雄市志_0157"/>
                          <pic:cNvPicPr>
                            <a:picLocks noChangeAspect="1"/>
                          </pic:cNvPicPr>
                        </pic:nvPicPr>
                        <pic:blipFill>
                          <a:blip r:embed="rId170"/>
                          <a:stretch>
                            <a:fillRect/>
                          </a:stretch>
                        </pic:blipFill>
                        <pic:spPr>
                          <a:xfrm>
                            <a:off x="0" y="0"/>
                            <a:ext cx="5588635" cy="8478520"/>
                          </a:xfrm>
                          <a:prstGeom prst="rect">
                            <a:avLst/>
                          </a:prstGeom>
                          <a:noFill/>
                          <a:ln>
                            <a:noFill/>
                          </a:ln>
                        </pic:spPr>
                      </pic:pic>
                    </a:graphicData>
                  </a:graphic>
                </wp:inline>
              </w:drawing>
            </w:r>
          </w:p>
        </w:tc>
      </w:tr>
      <w:tr w14:paraId="1BBC58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0160696A">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本焕大师</w:t>
            </w:r>
          </w:p>
        </w:tc>
      </w:tr>
    </w:tbl>
    <w:p w14:paraId="0F0CB798">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38EC2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39FBDC3">
            <w:pPr>
              <w:ind w:firstLine="0" w:firstLineChars="0"/>
              <w:jc w:val="center"/>
              <w:rPr>
                <w:rFonts w:ascii="宋体" w:hAnsi="宋体"/>
                <w:szCs w:val="21"/>
              </w:rPr>
            </w:pPr>
            <w:r>
              <w:rPr>
                <w:rFonts w:ascii="宋体" w:hAnsi="宋体"/>
                <w:szCs w:val="21"/>
              </w:rPr>
              <w:drawing>
                <wp:inline distT="0" distB="0" distL="114300" distR="114300">
                  <wp:extent cx="6181090" cy="4301490"/>
                  <wp:effectExtent l="0" t="0" r="10160" b="3810"/>
                  <wp:docPr id="184" name="图片 160" descr="南雄市志_0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60" descr="南雄市志_0158"/>
                          <pic:cNvPicPr>
                            <a:picLocks noChangeAspect="1"/>
                          </pic:cNvPicPr>
                        </pic:nvPicPr>
                        <pic:blipFill>
                          <a:blip r:embed="rId171"/>
                          <a:stretch>
                            <a:fillRect/>
                          </a:stretch>
                        </pic:blipFill>
                        <pic:spPr>
                          <a:xfrm>
                            <a:off x="0" y="0"/>
                            <a:ext cx="6181090" cy="4301490"/>
                          </a:xfrm>
                          <a:prstGeom prst="rect">
                            <a:avLst/>
                          </a:prstGeom>
                          <a:noFill/>
                          <a:ln>
                            <a:noFill/>
                          </a:ln>
                        </pic:spPr>
                      </pic:pic>
                    </a:graphicData>
                  </a:graphic>
                </wp:inline>
              </w:drawing>
            </w:r>
          </w:p>
        </w:tc>
      </w:tr>
      <w:tr w14:paraId="48CC56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273E466C">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钟鼓岩洞真古观</w:t>
            </w:r>
          </w:p>
        </w:tc>
      </w:tr>
    </w:tbl>
    <w:p w14:paraId="4581B15D">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D1D53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51BEB24">
            <w:pPr>
              <w:ind w:firstLine="0" w:firstLineChars="0"/>
              <w:jc w:val="center"/>
              <w:rPr>
                <w:rFonts w:ascii="宋体" w:hAnsi="宋体"/>
                <w:szCs w:val="21"/>
              </w:rPr>
            </w:pPr>
            <w:r>
              <w:rPr>
                <w:rFonts w:ascii="宋体" w:hAnsi="宋体"/>
                <w:szCs w:val="21"/>
              </w:rPr>
              <w:drawing>
                <wp:inline distT="0" distB="0" distL="114300" distR="114300">
                  <wp:extent cx="6195695" cy="5230495"/>
                  <wp:effectExtent l="0" t="0" r="14605" b="8255"/>
                  <wp:docPr id="174" name="图片 161" descr="南雄市志_0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61" descr="南雄市志_0159"/>
                          <pic:cNvPicPr>
                            <a:picLocks noChangeAspect="1"/>
                          </pic:cNvPicPr>
                        </pic:nvPicPr>
                        <pic:blipFill>
                          <a:blip r:embed="rId172"/>
                          <a:stretch>
                            <a:fillRect/>
                          </a:stretch>
                        </pic:blipFill>
                        <pic:spPr>
                          <a:xfrm>
                            <a:off x="0" y="0"/>
                            <a:ext cx="6195695" cy="5230495"/>
                          </a:xfrm>
                          <a:prstGeom prst="rect">
                            <a:avLst/>
                          </a:prstGeom>
                          <a:noFill/>
                          <a:ln>
                            <a:noFill/>
                          </a:ln>
                        </pic:spPr>
                      </pic:pic>
                    </a:graphicData>
                  </a:graphic>
                </wp:inline>
              </w:drawing>
            </w:r>
          </w:p>
        </w:tc>
      </w:tr>
      <w:tr w14:paraId="55F971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0C8DABAE">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雄东天主教堂</w:t>
            </w:r>
          </w:p>
        </w:tc>
      </w:tr>
    </w:tbl>
    <w:p w14:paraId="270DF723">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B19D1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00FEEAA">
            <w:pPr>
              <w:ind w:firstLine="0" w:firstLineChars="0"/>
              <w:jc w:val="center"/>
              <w:rPr>
                <w:rFonts w:ascii="宋体" w:hAnsi="宋体"/>
                <w:szCs w:val="21"/>
              </w:rPr>
            </w:pPr>
            <w:r>
              <w:rPr>
                <w:rFonts w:ascii="宋体" w:hAnsi="宋体"/>
                <w:szCs w:val="21"/>
              </w:rPr>
              <w:drawing>
                <wp:inline distT="0" distB="0" distL="114300" distR="114300">
                  <wp:extent cx="5925185" cy="8858885"/>
                  <wp:effectExtent l="0" t="0" r="18415" b="18415"/>
                  <wp:docPr id="175" name="图片 162" descr="南雄市志_0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62" descr="南雄市志_0160"/>
                          <pic:cNvPicPr>
                            <a:picLocks noChangeAspect="1"/>
                          </pic:cNvPicPr>
                        </pic:nvPicPr>
                        <pic:blipFill>
                          <a:blip r:embed="rId173"/>
                          <a:stretch>
                            <a:fillRect/>
                          </a:stretch>
                        </pic:blipFill>
                        <pic:spPr>
                          <a:xfrm>
                            <a:off x="0" y="0"/>
                            <a:ext cx="5925185" cy="8858885"/>
                          </a:xfrm>
                          <a:prstGeom prst="rect">
                            <a:avLst/>
                          </a:prstGeom>
                          <a:noFill/>
                          <a:ln>
                            <a:noFill/>
                          </a:ln>
                        </pic:spPr>
                      </pic:pic>
                    </a:graphicData>
                  </a:graphic>
                </wp:inline>
              </w:drawing>
            </w:r>
          </w:p>
        </w:tc>
      </w:tr>
      <w:tr w14:paraId="083591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vAlign w:val="center"/>
          </w:tcPr>
          <w:p w14:paraId="05B2D845">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南雄基督教堂福音堂</w:t>
            </w:r>
          </w:p>
        </w:tc>
      </w:tr>
    </w:tbl>
    <w:p w14:paraId="26153B27">
      <w:pPr>
        <w:pStyle w:val="3"/>
        <w:rPr>
          <w:rFonts w:ascii="宋体" w:hAnsi="宋体"/>
        </w:rPr>
      </w:pPr>
      <w:r>
        <w:rPr>
          <w:rFonts w:ascii="宋体" w:hAnsi="宋体"/>
        </w:rPr>
        <w:t>革命史迹</w:t>
      </w: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C8A31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A6D9FFB">
            <w:pPr>
              <w:ind w:firstLine="0" w:firstLineChars="0"/>
              <w:jc w:val="center"/>
              <w:rPr>
                <w:rFonts w:ascii="宋体" w:hAnsi="宋体"/>
                <w:szCs w:val="21"/>
              </w:rPr>
            </w:pPr>
            <w:r>
              <w:rPr>
                <w:rFonts w:ascii="宋体" w:hAnsi="宋体"/>
                <w:szCs w:val="21"/>
              </w:rPr>
              <w:drawing>
                <wp:inline distT="0" distB="0" distL="114300" distR="114300">
                  <wp:extent cx="6195695" cy="5954395"/>
                  <wp:effectExtent l="0" t="0" r="14605" b="8255"/>
                  <wp:docPr id="186" name="图片 163" descr="南雄市志_0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63" descr="南雄市志_0161"/>
                          <pic:cNvPicPr>
                            <a:picLocks noChangeAspect="1"/>
                          </pic:cNvPicPr>
                        </pic:nvPicPr>
                        <pic:blipFill>
                          <a:blip r:embed="rId174"/>
                          <a:stretch>
                            <a:fillRect/>
                          </a:stretch>
                        </pic:blipFill>
                        <pic:spPr>
                          <a:xfrm>
                            <a:off x="0" y="0"/>
                            <a:ext cx="6195695" cy="5954395"/>
                          </a:xfrm>
                          <a:prstGeom prst="rect">
                            <a:avLst/>
                          </a:prstGeom>
                          <a:noFill/>
                          <a:ln>
                            <a:noFill/>
                          </a:ln>
                        </pic:spPr>
                      </pic:pic>
                    </a:graphicData>
                  </a:graphic>
                </wp:inline>
              </w:drawing>
            </w:r>
          </w:p>
        </w:tc>
      </w:tr>
      <w:tr w14:paraId="17E553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189FF892">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油山革命纪念碑</w:t>
            </w:r>
          </w:p>
        </w:tc>
      </w:tr>
    </w:tbl>
    <w:p w14:paraId="72FC13E8">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40F19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DFF41C8">
            <w:pPr>
              <w:ind w:firstLine="0" w:firstLineChars="0"/>
              <w:jc w:val="center"/>
              <w:rPr>
                <w:rFonts w:ascii="宋体" w:hAnsi="宋体"/>
                <w:szCs w:val="21"/>
              </w:rPr>
            </w:pPr>
            <w:r>
              <w:rPr>
                <w:rFonts w:ascii="宋体" w:hAnsi="宋体"/>
                <w:szCs w:val="21"/>
              </w:rPr>
              <w:drawing>
                <wp:inline distT="0" distB="0" distL="114300" distR="114300">
                  <wp:extent cx="6195695" cy="8456295"/>
                  <wp:effectExtent l="0" t="0" r="14605" b="1905"/>
                  <wp:docPr id="212" name="图片 164" descr="南雄市志_0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64" descr="南雄市志_0162"/>
                          <pic:cNvPicPr>
                            <a:picLocks noChangeAspect="1"/>
                          </pic:cNvPicPr>
                        </pic:nvPicPr>
                        <pic:blipFill>
                          <a:blip r:embed="rId175"/>
                          <a:stretch>
                            <a:fillRect/>
                          </a:stretch>
                        </pic:blipFill>
                        <pic:spPr>
                          <a:xfrm>
                            <a:off x="0" y="0"/>
                            <a:ext cx="6195695" cy="8456295"/>
                          </a:xfrm>
                          <a:prstGeom prst="rect">
                            <a:avLst/>
                          </a:prstGeom>
                          <a:noFill/>
                          <a:ln>
                            <a:noFill/>
                          </a:ln>
                        </pic:spPr>
                      </pic:pic>
                    </a:graphicData>
                  </a:graphic>
                </wp:inline>
              </w:drawing>
            </w:r>
          </w:p>
        </w:tc>
      </w:tr>
      <w:tr w14:paraId="4982C5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3E11EFEE">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红军标语</w:t>
            </w:r>
          </w:p>
        </w:tc>
      </w:tr>
    </w:tbl>
    <w:p w14:paraId="1A3C8C5B">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03933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0BDE047">
            <w:pPr>
              <w:ind w:firstLine="0" w:firstLineChars="0"/>
              <w:jc w:val="center"/>
              <w:rPr>
                <w:rFonts w:ascii="宋体" w:hAnsi="宋体"/>
                <w:szCs w:val="21"/>
              </w:rPr>
            </w:pPr>
            <w:r>
              <w:rPr>
                <w:rFonts w:ascii="宋体" w:hAnsi="宋体"/>
                <w:szCs w:val="21"/>
              </w:rPr>
              <w:drawing>
                <wp:inline distT="0" distB="0" distL="114300" distR="114300">
                  <wp:extent cx="6195695" cy="7475855"/>
                  <wp:effectExtent l="0" t="0" r="14605" b="10795"/>
                  <wp:docPr id="207" name="图片 165" descr="南雄市志_0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65" descr="南雄市志_0163"/>
                          <pic:cNvPicPr>
                            <a:picLocks noChangeAspect="1"/>
                          </pic:cNvPicPr>
                        </pic:nvPicPr>
                        <pic:blipFill>
                          <a:blip r:embed="rId176"/>
                          <a:stretch>
                            <a:fillRect/>
                          </a:stretch>
                        </pic:blipFill>
                        <pic:spPr>
                          <a:xfrm>
                            <a:off x="0" y="0"/>
                            <a:ext cx="6195695" cy="7475855"/>
                          </a:xfrm>
                          <a:prstGeom prst="rect">
                            <a:avLst/>
                          </a:prstGeom>
                          <a:noFill/>
                          <a:ln>
                            <a:noFill/>
                          </a:ln>
                        </pic:spPr>
                      </pic:pic>
                    </a:graphicData>
                  </a:graphic>
                </wp:inline>
              </w:drawing>
            </w:r>
          </w:p>
        </w:tc>
      </w:tr>
      <w:tr w14:paraId="1F3E7C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32D58C52">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水口战役纪念公园</w:t>
            </w:r>
          </w:p>
        </w:tc>
      </w:tr>
    </w:tbl>
    <w:p w14:paraId="20E0C770">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1A1B7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554EA80">
            <w:pPr>
              <w:ind w:firstLine="0" w:firstLineChars="0"/>
              <w:jc w:val="center"/>
              <w:rPr>
                <w:rFonts w:ascii="宋体" w:hAnsi="宋体"/>
                <w:szCs w:val="21"/>
              </w:rPr>
            </w:pPr>
            <w:r>
              <w:rPr>
                <w:rFonts w:ascii="宋体" w:hAnsi="宋体"/>
                <w:szCs w:val="21"/>
              </w:rPr>
              <w:drawing>
                <wp:inline distT="0" distB="0" distL="114300" distR="114300">
                  <wp:extent cx="6195695" cy="8098155"/>
                  <wp:effectExtent l="0" t="0" r="14605" b="17145"/>
                  <wp:docPr id="206" name="图片 166" descr="南雄市志_0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66" descr="南雄市志_0164"/>
                          <pic:cNvPicPr>
                            <a:picLocks noChangeAspect="1"/>
                          </pic:cNvPicPr>
                        </pic:nvPicPr>
                        <pic:blipFill>
                          <a:blip r:embed="rId177"/>
                          <a:stretch>
                            <a:fillRect/>
                          </a:stretch>
                        </pic:blipFill>
                        <pic:spPr>
                          <a:xfrm>
                            <a:off x="0" y="0"/>
                            <a:ext cx="6195695" cy="8098155"/>
                          </a:xfrm>
                          <a:prstGeom prst="rect">
                            <a:avLst/>
                          </a:prstGeom>
                          <a:noFill/>
                          <a:ln>
                            <a:noFill/>
                          </a:ln>
                        </pic:spPr>
                      </pic:pic>
                    </a:graphicData>
                  </a:graphic>
                </wp:inline>
              </w:drawing>
            </w:r>
          </w:p>
        </w:tc>
      </w:tr>
      <w:tr w14:paraId="531D01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5D8813C0">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毛泽东召开群众大会遗址</w:t>
            </w:r>
          </w:p>
        </w:tc>
      </w:tr>
    </w:tbl>
    <w:p w14:paraId="6ACF349E">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7D16B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0E9A653">
            <w:pPr>
              <w:ind w:firstLine="0" w:firstLineChars="0"/>
              <w:jc w:val="center"/>
              <w:rPr>
                <w:rFonts w:ascii="宋体" w:hAnsi="宋体"/>
                <w:szCs w:val="21"/>
              </w:rPr>
            </w:pPr>
            <w:r>
              <w:rPr>
                <w:rFonts w:ascii="宋体" w:hAnsi="宋体"/>
                <w:szCs w:val="21"/>
              </w:rPr>
              <w:drawing>
                <wp:inline distT="0" distB="0" distL="114300" distR="114300">
                  <wp:extent cx="6195695" cy="7249160"/>
                  <wp:effectExtent l="0" t="0" r="14605" b="8890"/>
                  <wp:docPr id="209" name="图片 167" descr="南雄市志_0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67" descr="南雄市志_0165"/>
                          <pic:cNvPicPr>
                            <a:picLocks noChangeAspect="1"/>
                          </pic:cNvPicPr>
                        </pic:nvPicPr>
                        <pic:blipFill>
                          <a:blip r:embed="rId178"/>
                          <a:stretch>
                            <a:fillRect/>
                          </a:stretch>
                        </pic:blipFill>
                        <pic:spPr>
                          <a:xfrm>
                            <a:off x="0" y="0"/>
                            <a:ext cx="6195695" cy="7249160"/>
                          </a:xfrm>
                          <a:prstGeom prst="rect">
                            <a:avLst/>
                          </a:prstGeom>
                          <a:noFill/>
                          <a:ln>
                            <a:noFill/>
                          </a:ln>
                        </pic:spPr>
                      </pic:pic>
                    </a:graphicData>
                  </a:graphic>
                </wp:inline>
              </w:drawing>
            </w:r>
          </w:p>
        </w:tc>
      </w:tr>
      <w:tr w14:paraId="058517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30FBC734">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南雄革命烈士陵园</w:t>
            </w:r>
          </w:p>
        </w:tc>
      </w:tr>
    </w:tbl>
    <w:p w14:paraId="60A32038">
      <w:pPr>
        <w:pStyle w:val="3"/>
        <w:rPr>
          <w:rFonts w:ascii="宋体" w:hAnsi="宋体"/>
        </w:rPr>
      </w:pPr>
      <w:r>
        <w:rPr>
          <w:rFonts w:ascii="宋体" w:hAnsi="宋体"/>
        </w:rPr>
        <w:t>地方特产</w:t>
      </w: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FDD64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F08C04A">
            <w:pPr>
              <w:ind w:firstLine="0" w:firstLineChars="0"/>
              <w:jc w:val="center"/>
              <w:rPr>
                <w:rFonts w:ascii="宋体" w:hAnsi="宋体"/>
                <w:szCs w:val="21"/>
              </w:rPr>
            </w:pPr>
            <w:r>
              <w:rPr>
                <w:rFonts w:ascii="宋体" w:hAnsi="宋体"/>
                <w:szCs w:val="21"/>
              </w:rPr>
              <w:drawing>
                <wp:inline distT="0" distB="0" distL="114300" distR="114300">
                  <wp:extent cx="6195695" cy="4769485"/>
                  <wp:effectExtent l="0" t="0" r="14605" b="12065"/>
                  <wp:docPr id="208" name="图片 168" descr="南雄市志_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68" descr="南雄市志_0166"/>
                          <pic:cNvPicPr>
                            <a:picLocks noChangeAspect="1"/>
                          </pic:cNvPicPr>
                        </pic:nvPicPr>
                        <pic:blipFill>
                          <a:blip r:embed="rId179"/>
                          <a:stretch>
                            <a:fillRect/>
                          </a:stretch>
                        </pic:blipFill>
                        <pic:spPr>
                          <a:xfrm>
                            <a:off x="0" y="0"/>
                            <a:ext cx="6195695" cy="4769485"/>
                          </a:xfrm>
                          <a:prstGeom prst="rect">
                            <a:avLst/>
                          </a:prstGeom>
                          <a:noFill/>
                          <a:ln>
                            <a:noFill/>
                          </a:ln>
                        </pic:spPr>
                      </pic:pic>
                    </a:graphicData>
                  </a:graphic>
                </wp:inline>
              </w:drawing>
            </w:r>
          </w:p>
        </w:tc>
      </w:tr>
      <w:tr w14:paraId="318A30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0BD3B981">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银杏产品系列</w:t>
            </w:r>
          </w:p>
        </w:tc>
      </w:tr>
    </w:tbl>
    <w:p w14:paraId="4E1EA356">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7E84D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59AC06E">
            <w:pPr>
              <w:ind w:firstLine="0" w:firstLineChars="0"/>
              <w:jc w:val="center"/>
              <w:rPr>
                <w:rFonts w:ascii="宋体" w:hAnsi="宋体"/>
                <w:szCs w:val="21"/>
              </w:rPr>
            </w:pPr>
            <w:r>
              <w:rPr>
                <w:rFonts w:ascii="宋体" w:hAnsi="宋体"/>
                <w:szCs w:val="21"/>
              </w:rPr>
              <w:drawing>
                <wp:inline distT="0" distB="0" distL="114300" distR="114300">
                  <wp:extent cx="6195695" cy="4835525"/>
                  <wp:effectExtent l="0" t="0" r="14605" b="3175"/>
                  <wp:docPr id="213" name="图片 169" descr="南雄市志_0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69" descr="南雄市志_0167"/>
                          <pic:cNvPicPr>
                            <a:picLocks noChangeAspect="1"/>
                          </pic:cNvPicPr>
                        </pic:nvPicPr>
                        <pic:blipFill>
                          <a:blip r:embed="rId180"/>
                          <a:stretch>
                            <a:fillRect/>
                          </a:stretch>
                        </pic:blipFill>
                        <pic:spPr>
                          <a:xfrm>
                            <a:off x="0" y="0"/>
                            <a:ext cx="6195695" cy="4835525"/>
                          </a:xfrm>
                          <a:prstGeom prst="rect">
                            <a:avLst/>
                          </a:prstGeom>
                          <a:noFill/>
                          <a:ln>
                            <a:noFill/>
                          </a:ln>
                        </pic:spPr>
                      </pic:pic>
                    </a:graphicData>
                  </a:graphic>
                </wp:inline>
              </w:drawing>
            </w:r>
          </w:p>
        </w:tc>
      </w:tr>
    </w:tbl>
    <w:p w14:paraId="6747F1EF">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D7308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0CB00414">
            <w:pPr>
              <w:ind w:firstLine="0" w:firstLineChars="0"/>
              <w:jc w:val="center"/>
              <w:rPr>
                <w:rFonts w:ascii="宋体" w:hAnsi="宋体"/>
                <w:szCs w:val="21"/>
              </w:rPr>
            </w:pPr>
            <w:r>
              <w:rPr>
                <w:rFonts w:ascii="宋体" w:hAnsi="宋体"/>
                <w:szCs w:val="21"/>
              </w:rPr>
              <w:drawing>
                <wp:inline distT="0" distB="0" distL="114300" distR="114300">
                  <wp:extent cx="6195695" cy="4557395"/>
                  <wp:effectExtent l="0" t="0" r="14605" b="14605"/>
                  <wp:docPr id="214" name="图片 170" descr="南雄市志_0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70" descr="南雄市志_0168"/>
                          <pic:cNvPicPr>
                            <a:picLocks noChangeAspect="1"/>
                          </pic:cNvPicPr>
                        </pic:nvPicPr>
                        <pic:blipFill>
                          <a:blip r:embed="rId181"/>
                          <a:stretch>
                            <a:fillRect/>
                          </a:stretch>
                        </pic:blipFill>
                        <pic:spPr>
                          <a:xfrm>
                            <a:off x="0" y="0"/>
                            <a:ext cx="6195695" cy="4557395"/>
                          </a:xfrm>
                          <a:prstGeom prst="rect">
                            <a:avLst/>
                          </a:prstGeom>
                          <a:noFill/>
                          <a:ln>
                            <a:noFill/>
                          </a:ln>
                        </pic:spPr>
                      </pic:pic>
                    </a:graphicData>
                  </a:graphic>
                </wp:inline>
              </w:drawing>
            </w:r>
          </w:p>
        </w:tc>
      </w:tr>
      <w:tr w14:paraId="407499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0DA6C15A">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金友米</w:t>
            </w:r>
          </w:p>
        </w:tc>
      </w:tr>
    </w:tbl>
    <w:p w14:paraId="26D61BED">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9D85F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BEE1873">
            <w:pPr>
              <w:ind w:firstLine="0" w:firstLineChars="0"/>
              <w:jc w:val="center"/>
              <w:rPr>
                <w:rFonts w:ascii="宋体" w:hAnsi="宋体"/>
                <w:szCs w:val="21"/>
              </w:rPr>
            </w:pPr>
            <w:r>
              <w:rPr>
                <w:rFonts w:ascii="宋体" w:hAnsi="宋体"/>
                <w:szCs w:val="21"/>
              </w:rPr>
              <w:drawing>
                <wp:inline distT="0" distB="0" distL="114300" distR="114300">
                  <wp:extent cx="5735320" cy="8331835"/>
                  <wp:effectExtent l="0" t="0" r="17780" b="12065"/>
                  <wp:docPr id="210" name="图片 171" descr="南雄市志_0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171" descr="南雄市志_0169"/>
                          <pic:cNvPicPr>
                            <a:picLocks noChangeAspect="1"/>
                          </pic:cNvPicPr>
                        </pic:nvPicPr>
                        <pic:blipFill>
                          <a:blip r:embed="rId182"/>
                          <a:stretch>
                            <a:fillRect/>
                          </a:stretch>
                        </pic:blipFill>
                        <pic:spPr>
                          <a:xfrm>
                            <a:off x="0" y="0"/>
                            <a:ext cx="5735320" cy="8331835"/>
                          </a:xfrm>
                          <a:prstGeom prst="rect">
                            <a:avLst/>
                          </a:prstGeom>
                          <a:noFill/>
                          <a:ln>
                            <a:noFill/>
                          </a:ln>
                        </pic:spPr>
                      </pic:pic>
                    </a:graphicData>
                  </a:graphic>
                </wp:inline>
              </w:drawing>
            </w:r>
          </w:p>
        </w:tc>
      </w:tr>
      <w:tr w14:paraId="485093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35E4287F">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南雄板鸭</w:t>
            </w:r>
          </w:p>
        </w:tc>
      </w:tr>
    </w:tbl>
    <w:p w14:paraId="45CDEDD6">
      <w:pPr>
        <w:ind w:firstLine="420"/>
        <w:rPr>
          <w:rFonts w:ascii="宋体" w:hAnsi="宋体"/>
          <w:szCs w:val="21"/>
        </w:rPr>
      </w:pP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39694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38EF466">
            <w:pPr>
              <w:ind w:firstLine="0" w:firstLineChars="0"/>
              <w:jc w:val="center"/>
              <w:rPr>
                <w:rFonts w:ascii="宋体" w:hAnsi="宋体"/>
                <w:szCs w:val="21"/>
              </w:rPr>
            </w:pPr>
            <w:r>
              <w:rPr>
                <w:rFonts w:ascii="宋体" w:hAnsi="宋体"/>
                <w:szCs w:val="21"/>
              </w:rPr>
              <w:drawing>
                <wp:inline distT="0" distB="0" distL="114300" distR="114300">
                  <wp:extent cx="6195695" cy="4806315"/>
                  <wp:effectExtent l="0" t="0" r="14605" b="13335"/>
                  <wp:docPr id="211" name="图片 172" descr="南雄市志_0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72" descr="南雄市志_0170"/>
                          <pic:cNvPicPr>
                            <a:picLocks noChangeAspect="1"/>
                          </pic:cNvPicPr>
                        </pic:nvPicPr>
                        <pic:blipFill>
                          <a:blip r:embed="rId183"/>
                          <a:stretch>
                            <a:fillRect/>
                          </a:stretch>
                        </pic:blipFill>
                        <pic:spPr>
                          <a:xfrm>
                            <a:off x="0" y="0"/>
                            <a:ext cx="6195695" cy="4806315"/>
                          </a:xfrm>
                          <a:prstGeom prst="rect">
                            <a:avLst/>
                          </a:prstGeom>
                          <a:noFill/>
                          <a:ln>
                            <a:noFill/>
                          </a:ln>
                        </pic:spPr>
                      </pic:pic>
                    </a:graphicData>
                  </a:graphic>
                </wp:inline>
              </w:drawing>
            </w:r>
          </w:p>
        </w:tc>
      </w:tr>
      <w:tr w14:paraId="03E4A3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vAlign w:val="center"/>
          </w:tcPr>
          <w:p w14:paraId="5F0FC9E9">
            <w:pPr>
              <w:ind w:firstLine="42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红辣椒</w:t>
            </w:r>
          </w:p>
        </w:tc>
      </w:tr>
    </w:tbl>
    <w:p w14:paraId="1842C13E">
      <w:pPr>
        <w:pStyle w:val="2"/>
        <w:rPr>
          <w:rFonts w:ascii="宋体" w:hAnsi="宋体"/>
        </w:rPr>
      </w:pPr>
      <w:r>
        <w:rPr>
          <w:rFonts w:hint="eastAsia" w:ascii="宋体" w:hAnsi="宋体"/>
        </w:rPr>
        <w:t>南雄市第二届新方志编纂委员会</w:t>
      </w:r>
    </w:p>
    <w:p w14:paraId="1889ED1B">
      <w:pPr>
        <w:ind w:firstLine="422"/>
        <w:rPr>
          <w:rFonts w:ascii="宋体" w:hAnsi="宋体"/>
          <w:szCs w:val="21"/>
        </w:rPr>
      </w:pPr>
      <w:r>
        <w:rPr>
          <w:rFonts w:hint="eastAsia" w:ascii="宋体" w:hAnsi="宋体"/>
          <w:b/>
          <w:szCs w:val="21"/>
        </w:rPr>
        <w:t>主  任：</w:t>
      </w:r>
      <w:r>
        <w:rPr>
          <w:rFonts w:hint="eastAsia" w:ascii="宋体" w:hAnsi="宋体"/>
          <w:szCs w:val="21"/>
        </w:rPr>
        <w:t>沈明祥（</w:t>
      </w:r>
      <w:r>
        <w:rPr>
          <w:rFonts w:ascii="宋体" w:hAnsi="宋体"/>
          <w:szCs w:val="21"/>
        </w:rPr>
        <w:t>2002年8月至2003年6月）</w:t>
      </w:r>
    </w:p>
    <w:p w14:paraId="73617F20">
      <w:pPr>
        <w:ind w:firstLine="1260" w:firstLineChars="600"/>
        <w:rPr>
          <w:rFonts w:ascii="宋体" w:hAnsi="宋体"/>
          <w:szCs w:val="21"/>
        </w:rPr>
      </w:pPr>
      <w:r>
        <w:rPr>
          <w:rFonts w:hint="eastAsia" w:ascii="宋体" w:hAnsi="宋体"/>
          <w:szCs w:val="21"/>
        </w:rPr>
        <w:t>何为星（</w:t>
      </w:r>
      <w:r>
        <w:rPr>
          <w:rFonts w:ascii="宋体" w:hAnsi="宋体"/>
          <w:szCs w:val="21"/>
        </w:rPr>
        <w:t>2003年6月至2005年8月）</w:t>
      </w:r>
    </w:p>
    <w:p w14:paraId="2FD3C4EB">
      <w:pPr>
        <w:ind w:firstLine="1260" w:firstLineChars="600"/>
        <w:rPr>
          <w:rFonts w:ascii="宋体" w:hAnsi="宋体"/>
          <w:szCs w:val="21"/>
        </w:rPr>
      </w:pPr>
      <w:r>
        <w:rPr>
          <w:rFonts w:hint="eastAsia" w:ascii="宋体" w:hAnsi="宋体"/>
          <w:szCs w:val="21"/>
        </w:rPr>
        <w:t>林楚欣（</w:t>
      </w:r>
      <w:r>
        <w:rPr>
          <w:rFonts w:ascii="宋体" w:hAnsi="宋体"/>
          <w:szCs w:val="21"/>
        </w:rPr>
        <w:t>2005年8月至2010年8月）</w:t>
      </w:r>
    </w:p>
    <w:p w14:paraId="5252B4F6">
      <w:pPr>
        <w:ind w:firstLine="422"/>
        <w:rPr>
          <w:rFonts w:ascii="宋体" w:hAnsi="宋体"/>
          <w:szCs w:val="21"/>
        </w:rPr>
      </w:pPr>
      <w:r>
        <w:rPr>
          <w:rFonts w:hint="eastAsia" w:ascii="宋体" w:hAnsi="宋体"/>
          <w:b/>
          <w:szCs w:val="21"/>
        </w:rPr>
        <w:t>副主任：</w:t>
      </w:r>
      <w:r>
        <w:rPr>
          <w:rFonts w:hint="eastAsia" w:ascii="宋体" w:hAnsi="宋体"/>
          <w:szCs w:val="21"/>
        </w:rPr>
        <w:t>许建设  曲令平  陈逢英  曾昭佑  许  红  肖芬先  刘发群  王荣光  陈玉英</w:t>
      </w:r>
    </w:p>
    <w:p w14:paraId="1F6FFB16">
      <w:pPr>
        <w:ind w:firstLine="422"/>
        <w:rPr>
          <w:rFonts w:ascii="宋体" w:hAnsi="宋体"/>
          <w:szCs w:val="21"/>
        </w:rPr>
      </w:pPr>
      <w:r>
        <w:rPr>
          <w:rFonts w:hint="eastAsia" w:ascii="宋体" w:hAnsi="宋体"/>
          <w:b/>
          <w:szCs w:val="21"/>
        </w:rPr>
        <w:t>委  员：</w:t>
      </w:r>
      <w:r>
        <w:rPr>
          <w:rFonts w:hint="eastAsia" w:ascii="宋体" w:hAnsi="宋体"/>
          <w:szCs w:val="21"/>
        </w:rPr>
        <w:t>杨水生  何  坚  王友华  肖兴麟  陈礼祥  梁  斌  刘烈焕  杨凤林  钟义海  吴述祺</w:t>
      </w:r>
    </w:p>
    <w:p w14:paraId="6BC99FC3">
      <w:pPr>
        <w:ind w:firstLine="1260" w:firstLineChars="600"/>
        <w:rPr>
          <w:rFonts w:ascii="宋体" w:hAnsi="宋体"/>
          <w:szCs w:val="21"/>
        </w:rPr>
      </w:pPr>
      <w:r>
        <w:rPr>
          <w:rFonts w:hint="eastAsia" w:ascii="宋体" w:hAnsi="宋体"/>
          <w:szCs w:val="21"/>
        </w:rPr>
        <w:t>王荣光  何光明  何  巍  陈景泰  尹本良  何腾荣  陈仁麟  朱兆才  叶国崇  陈伦寿</w:t>
      </w:r>
    </w:p>
    <w:p w14:paraId="487C7E7A">
      <w:pPr>
        <w:ind w:firstLine="1260" w:firstLineChars="600"/>
        <w:rPr>
          <w:rFonts w:ascii="宋体" w:hAnsi="宋体"/>
          <w:szCs w:val="21"/>
        </w:rPr>
      </w:pPr>
      <w:r>
        <w:rPr>
          <w:rFonts w:hint="eastAsia" w:ascii="宋体" w:hAnsi="宋体"/>
          <w:szCs w:val="21"/>
        </w:rPr>
        <w:t>何人平  贾保平  黄端鹏  吴洪亮  肖清志  康小平  刘宏伟  张永石  叶轩杰  周济辉</w:t>
      </w:r>
    </w:p>
    <w:p w14:paraId="339F60BD">
      <w:pPr>
        <w:ind w:firstLine="1260" w:firstLineChars="600"/>
        <w:rPr>
          <w:rFonts w:ascii="宋体" w:hAnsi="宋体"/>
          <w:szCs w:val="21"/>
        </w:rPr>
      </w:pPr>
      <w:r>
        <w:rPr>
          <w:rFonts w:hint="eastAsia" w:ascii="宋体" w:hAnsi="宋体"/>
          <w:szCs w:val="21"/>
        </w:rPr>
        <w:t>黄德群  陈培兰  陈如亮  何启林  刘光团  张福明  郭盛霖  丁春晖  刘运平  李  青</w:t>
      </w:r>
    </w:p>
    <w:p w14:paraId="08CA106D">
      <w:pPr>
        <w:ind w:firstLine="1260" w:firstLineChars="600"/>
        <w:rPr>
          <w:rFonts w:ascii="宋体" w:hAnsi="宋体"/>
          <w:szCs w:val="21"/>
        </w:rPr>
      </w:pPr>
      <w:r>
        <w:rPr>
          <w:rFonts w:hint="eastAsia" w:ascii="宋体" w:hAnsi="宋体"/>
          <w:szCs w:val="21"/>
        </w:rPr>
        <w:t>林建文  刘运财  罗少林  熊健雄  廖声华  肖丽琼  沈步亮  董书海  袁元桃  徐春生</w:t>
      </w:r>
    </w:p>
    <w:p w14:paraId="4B1C64B5">
      <w:pPr>
        <w:ind w:firstLine="1260" w:firstLineChars="600"/>
        <w:rPr>
          <w:rFonts w:ascii="宋体" w:hAnsi="宋体"/>
          <w:szCs w:val="21"/>
        </w:rPr>
      </w:pPr>
      <w:r>
        <w:rPr>
          <w:rFonts w:hint="eastAsia" w:ascii="宋体" w:hAnsi="宋体"/>
          <w:szCs w:val="21"/>
        </w:rPr>
        <w:t>李皋辉  董圣国  尹本善  曾子南  刘循信</w:t>
      </w:r>
    </w:p>
    <w:p w14:paraId="3CD50601">
      <w:pPr>
        <w:pStyle w:val="2"/>
        <w:rPr>
          <w:rFonts w:ascii="宋体" w:hAnsi="宋体"/>
        </w:rPr>
      </w:pPr>
      <w:r>
        <w:rPr>
          <w:rFonts w:hint="eastAsia" w:ascii="宋体" w:hAnsi="宋体"/>
        </w:rPr>
        <w:t>编纂委员会办公室</w:t>
      </w:r>
    </w:p>
    <w:p w14:paraId="78779E36">
      <w:pPr>
        <w:ind w:firstLine="422"/>
        <w:rPr>
          <w:rFonts w:ascii="宋体" w:hAnsi="宋体"/>
          <w:szCs w:val="21"/>
        </w:rPr>
      </w:pPr>
      <w:r>
        <w:rPr>
          <w:rFonts w:hint="eastAsia" w:ascii="宋体" w:hAnsi="宋体"/>
          <w:b/>
          <w:szCs w:val="21"/>
        </w:rPr>
        <w:t>主  任：</w:t>
      </w:r>
      <w:r>
        <w:rPr>
          <w:rFonts w:hint="eastAsia" w:ascii="宋体" w:hAnsi="宋体"/>
          <w:szCs w:val="21"/>
        </w:rPr>
        <w:t>何  巍  陈景泰</w:t>
      </w:r>
    </w:p>
    <w:p w14:paraId="54262B87">
      <w:pPr>
        <w:ind w:firstLine="422"/>
        <w:rPr>
          <w:rFonts w:ascii="宋体" w:hAnsi="宋体"/>
          <w:szCs w:val="21"/>
        </w:rPr>
      </w:pPr>
      <w:r>
        <w:rPr>
          <w:rFonts w:hint="eastAsia" w:ascii="宋体" w:hAnsi="宋体"/>
          <w:b/>
          <w:szCs w:val="21"/>
        </w:rPr>
        <w:t>副主任：</w:t>
      </w:r>
      <w:r>
        <w:rPr>
          <w:rFonts w:hint="eastAsia" w:ascii="宋体" w:hAnsi="宋体"/>
          <w:szCs w:val="21"/>
        </w:rPr>
        <w:t>曾冠雄  李君祥  谢  平</w:t>
      </w:r>
    </w:p>
    <w:p w14:paraId="786F1741">
      <w:pPr>
        <w:ind w:firstLine="422"/>
        <w:rPr>
          <w:rFonts w:ascii="宋体" w:hAnsi="宋体"/>
          <w:szCs w:val="21"/>
        </w:rPr>
      </w:pPr>
      <w:r>
        <w:rPr>
          <w:rFonts w:hint="eastAsia" w:ascii="宋体" w:hAnsi="宋体"/>
          <w:b/>
          <w:szCs w:val="21"/>
        </w:rPr>
        <w:t>成  员：</w:t>
      </w:r>
      <w:r>
        <w:rPr>
          <w:rFonts w:hint="eastAsia" w:ascii="宋体" w:hAnsi="宋体"/>
          <w:szCs w:val="21"/>
        </w:rPr>
        <w:t>陈如永  钟祥灵  董三妹  刘球凤</w:t>
      </w:r>
    </w:p>
    <w:p w14:paraId="01FB081A">
      <w:pPr>
        <w:pStyle w:val="2"/>
        <w:rPr>
          <w:rFonts w:ascii="宋体" w:hAnsi="宋体"/>
        </w:rPr>
      </w:pPr>
      <w:r>
        <w:rPr>
          <w:rFonts w:hint="eastAsia" w:ascii="宋体" w:hAnsi="宋体"/>
        </w:rPr>
        <w:t>《南雄市志》编辑部</w:t>
      </w:r>
    </w:p>
    <w:p w14:paraId="5DBC222C">
      <w:pPr>
        <w:ind w:firstLine="422"/>
        <w:rPr>
          <w:rFonts w:ascii="宋体" w:hAnsi="宋体"/>
          <w:szCs w:val="21"/>
        </w:rPr>
      </w:pPr>
      <w:r>
        <w:rPr>
          <w:rFonts w:hint="eastAsia" w:ascii="宋体" w:hAnsi="宋体"/>
          <w:b/>
          <w:szCs w:val="21"/>
        </w:rPr>
        <w:t>主  编：</w:t>
      </w:r>
      <w:r>
        <w:rPr>
          <w:rFonts w:hint="eastAsia" w:ascii="宋体" w:hAnsi="宋体"/>
          <w:szCs w:val="21"/>
        </w:rPr>
        <w:t>罗凯燊</w:t>
      </w:r>
    </w:p>
    <w:p w14:paraId="66B55CF4">
      <w:pPr>
        <w:ind w:firstLine="422"/>
        <w:rPr>
          <w:rFonts w:ascii="宋体" w:hAnsi="宋体"/>
          <w:szCs w:val="21"/>
        </w:rPr>
      </w:pPr>
      <w:r>
        <w:rPr>
          <w:rFonts w:hint="eastAsia" w:ascii="宋体" w:hAnsi="宋体"/>
          <w:b/>
          <w:szCs w:val="21"/>
        </w:rPr>
        <w:t>副主编：</w:t>
      </w:r>
      <w:r>
        <w:rPr>
          <w:rFonts w:hint="eastAsia" w:ascii="宋体" w:hAnsi="宋体"/>
          <w:szCs w:val="21"/>
        </w:rPr>
        <w:t>何  巍  陈景泰  曾冠雄  李君祥  黄朝定  谢  平</w:t>
      </w:r>
    </w:p>
    <w:p w14:paraId="03E2C64F">
      <w:pPr>
        <w:ind w:firstLine="422"/>
        <w:rPr>
          <w:rFonts w:ascii="宋体" w:hAnsi="宋体"/>
          <w:szCs w:val="21"/>
        </w:rPr>
      </w:pPr>
      <w:r>
        <w:rPr>
          <w:rFonts w:hint="eastAsia" w:ascii="宋体" w:hAnsi="宋体"/>
          <w:b/>
          <w:szCs w:val="21"/>
        </w:rPr>
        <w:t>编  辑：</w:t>
      </w:r>
      <w:r>
        <w:rPr>
          <w:rFonts w:hint="eastAsia" w:ascii="宋体" w:hAnsi="宋体"/>
          <w:szCs w:val="21"/>
        </w:rPr>
        <w:t>黄寿滔  钟义海  邱才桂  庄子圣  钟祥灵  董三妹  刘球凤  陈如永</w:t>
      </w:r>
    </w:p>
    <w:p w14:paraId="2FB075DF">
      <w:pPr>
        <w:pStyle w:val="2"/>
        <w:rPr>
          <w:rFonts w:ascii="宋体" w:hAnsi="宋体"/>
        </w:rPr>
      </w:pPr>
      <w:r>
        <w:rPr>
          <w:rFonts w:hint="eastAsia" w:ascii="宋体" w:hAnsi="宋体"/>
        </w:rPr>
        <w:t>《南雄市志》初审小组</w:t>
      </w:r>
    </w:p>
    <w:p w14:paraId="579A4D4B">
      <w:pPr>
        <w:ind w:firstLine="422"/>
        <w:rPr>
          <w:rFonts w:ascii="宋体" w:hAnsi="宋体"/>
          <w:szCs w:val="21"/>
        </w:rPr>
      </w:pPr>
      <w:r>
        <w:rPr>
          <w:rFonts w:hint="eastAsia" w:ascii="宋体" w:hAnsi="宋体"/>
          <w:b/>
          <w:szCs w:val="21"/>
        </w:rPr>
        <w:t>组  长：</w:t>
      </w:r>
      <w:r>
        <w:rPr>
          <w:rFonts w:hint="eastAsia" w:ascii="宋体" w:hAnsi="宋体"/>
          <w:szCs w:val="21"/>
        </w:rPr>
        <w:t>许志新</w:t>
      </w:r>
    </w:p>
    <w:p w14:paraId="5C87828C">
      <w:pPr>
        <w:ind w:firstLine="422"/>
        <w:rPr>
          <w:rFonts w:ascii="宋体" w:hAnsi="宋体"/>
          <w:szCs w:val="21"/>
        </w:rPr>
      </w:pPr>
      <w:r>
        <w:rPr>
          <w:rFonts w:hint="eastAsia" w:ascii="宋体" w:hAnsi="宋体"/>
          <w:b/>
          <w:szCs w:val="21"/>
        </w:rPr>
        <w:t>副组长：</w:t>
      </w:r>
      <w:r>
        <w:rPr>
          <w:rFonts w:hint="eastAsia" w:ascii="宋体" w:hAnsi="宋体"/>
          <w:szCs w:val="21"/>
        </w:rPr>
        <w:t>王荣光</w:t>
      </w:r>
    </w:p>
    <w:p w14:paraId="49242EF0">
      <w:pPr>
        <w:ind w:firstLine="422"/>
        <w:rPr>
          <w:rFonts w:ascii="宋体" w:hAnsi="宋体"/>
          <w:szCs w:val="21"/>
        </w:rPr>
      </w:pPr>
      <w:r>
        <w:rPr>
          <w:rFonts w:hint="eastAsia" w:ascii="宋体" w:hAnsi="宋体"/>
          <w:b/>
          <w:szCs w:val="21"/>
        </w:rPr>
        <w:t>成  员：</w:t>
      </w:r>
      <w:r>
        <w:rPr>
          <w:rFonts w:hint="eastAsia" w:ascii="宋体" w:hAnsi="宋体"/>
          <w:szCs w:val="21"/>
        </w:rPr>
        <w:t>（排名不分先后）</w:t>
      </w:r>
    </w:p>
    <w:p w14:paraId="0DA1437B">
      <w:pPr>
        <w:ind w:firstLine="1260" w:firstLineChars="600"/>
        <w:rPr>
          <w:rFonts w:ascii="宋体" w:hAnsi="宋体"/>
          <w:szCs w:val="21"/>
        </w:rPr>
      </w:pPr>
      <w:r>
        <w:rPr>
          <w:rFonts w:hint="eastAsia" w:ascii="宋体" w:hAnsi="宋体"/>
          <w:szCs w:val="21"/>
        </w:rPr>
        <w:t>陈景泰  曾冠雄  李君祥  陈如永  钟祥灵  董三妹  刘球凤</w:t>
      </w:r>
    </w:p>
    <w:p w14:paraId="558229B6">
      <w:pPr>
        <w:pStyle w:val="2"/>
        <w:rPr>
          <w:rFonts w:ascii="宋体" w:hAnsi="宋体"/>
        </w:rPr>
      </w:pPr>
      <w:r>
        <w:rPr>
          <w:rFonts w:hint="eastAsia" w:ascii="宋体" w:hAnsi="宋体"/>
        </w:rPr>
        <w:t>韶关市二级综合志书审查验收小组</w:t>
      </w:r>
    </w:p>
    <w:p w14:paraId="6E914D1F">
      <w:pPr>
        <w:ind w:firstLine="0" w:firstLineChars="0"/>
        <w:jc w:val="center"/>
        <w:rPr>
          <w:rFonts w:ascii="宋体" w:hAnsi="宋体"/>
          <w:szCs w:val="21"/>
        </w:rPr>
      </w:pPr>
      <w:r>
        <w:rPr>
          <w:rFonts w:hint="eastAsia" w:ascii="宋体" w:hAnsi="宋体"/>
          <w:szCs w:val="21"/>
        </w:rPr>
        <w:t>（</w:t>
      </w:r>
      <w:r>
        <w:rPr>
          <w:rFonts w:ascii="宋体" w:hAnsi="宋体"/>
          <w:szCs w:val="21"/>
        </w:rPr>
        <w:t>2008年5月）</w:t>
      </w:r>
    </w:p>
    <w:p w14:paraId="41686112">
      <w:pPr>
        <w:ind w:firstLine="422"/>
        <w:rPr>
          <w:rFonts w:ascii="宋体" w:hAnsi="宋体"/>
          <w:szCs w:val="21"/>
        </w:rPr>
      </w:pPr>
      <w:r>
        <w:rPr>
          <w:rFonts w:hint="eastAsia" w:ascii="宋体" w:hAnsi="宋体"/>
          <w:b/>
          <w:szCs w:val="21"/>
        </w:rPr>
        <w:t>主  审：</w:t>
      </w:r>
      <w:r>
        <w:rPr>
          <w:rFonts w:hint="eastAsia" w:ascii="宋体" w:hAnsi="宋体"/>
          <w:szCs w:val="21"/>
        </w:rPr>
        <w:t>吴土清</w:t>
      </w:r>
    </w:p>
    <w:p w14:paraId="4F6DA7BD">
      <w:pPr>
        <w:ind w:firstLine="422"/>
        <w:rPr>
          <w:rFonts w:ascii="宋体" w:hAnsi="宋体"/>
          <w:szCs w:val="21"/>
        </w:rPr>
      </w:pPr>
      <w:r>
        <w:rPr>
          <w:rFonts w:hint="eastAsia" w:ascii="宋体" w:hAnsi="宋体"/>
          <w:b/>
          <w:szCs w:val="21"/>
        </w:rPr>
        <w:t>成  员：</w:t>
      </w:r>
      <w:r>
        <w:rPr>
          <w:rFonts w:hint="eastAsia" w:ascii="宋体" w:hAnsi="宋体"/>
          <w:szCs w:val="21"/>
        </w:rPr>
        <w:t>（排名不分先后）</w:t>
      </w:r>
    </w:p>
    <w:p w14:paraId="03717FA9">
      <w:pPr>
        <w:ind w:firstLine="1260" w:firstLineChars="600"/>
        <w:rPr>
          <w:rFonts w:ascii="宋体" w:hAnsi="宋体"/>
          <w:szCs w:val="21"/>
        </w:rPr>
      </w:pPr>
      <w:r>
        <w:rPr>
          <w:rFonts w:hint="eastAsia" w:ascii="宋体" w:hAnsi="宋体"/>
          <w:szCs w:val="21"/>
        </w:rPr>
        <w:t>殷南光  梁观福  邓庭雄  王镝非  邹捷中  黄志辉</w:t>
      </w:r>
    </w:p>
    <w:p w14:paraId="0CA32619">
      <w:pPr>
        <w:pStyle w:val="2"/>
        <w:rPr>
          <w:rFonts w:ascii="宋体" w:hAnsi="宋体"/>
        </w:rPr>
      </w:pPr>
      <w:r>
        <w:rPr>
          <w:rFonts w:hint="eastAsia" w:ascii="宋体" w:hAnsi="宋体"/>
        </w:rPr>
        <w:t>韶关市人民政府地方志书审查委员会</w:t>
      </w:r>
    </w:p>
    <w:p w14:paraId="5617909C">
      <w:pPr>
        <w:ind w:firstLine="0" w:firstLineChars="0"/>
        <w:jc w:val="center"/>
        <w:rPr>
          <w:rFonts w:ascii="宋体" w:hAnsi="宋体"/>
          <w:szCs w:val="21"/>
        </w:rPr>
      </w:pPr>
      <w:r>
        <w:rPr>
          <w:rFonts w:hint="eastAsia" w:ascii="宋体" w:hAnsi="宋体"/>
          <w:szCs w:val="21"/>
        </w:rPr>
        <w:t>（</w:t>
      </w:r>
      <w:r>
        <w:rPr>
          <w:rFonts w:ascii="宋体" w:hAnsi="宋体"/>
          <w:szCs w:val="21"/>
        </w:rPr>
        <w:t>2009年6月）</w:t>
      </w:r>
    </w:p>
    <w:p w14:paraId="094EA001">
      <w:pPr>
        <w:ind w:firstLine="422"/>
        <w:rPr>
          <w:rFonts w:ascii="宋体" w:hAnsi="宋体"/>
          <w:szCs w:val="21"/>
        </w:rPr>
      </w:pPr>
      <w:r>
        <w:rPr>
          <w:rFonts w:hint="eastAsia" w:ascii="宋体" w:hAnsi="宋体"/>
          <w:b/>
          <w:szCs w:val="21"/>
        </w:rPr>
        <w:t>主  任：</w:t>
      </w:r>
      <w:r>
        <w:rPr>
          <w:rFonts w:hint="eastAsia" w:ascii="宋体" w:hAnsi="宋体"/>
          <w:szCs w:val="21"/>
        </w:rPr>
        <w:t>邹永松</w:t>
      </w:r>
    </w:p>
    <w:p w14:paraId="5609EE04">
      <w:pPr>
        <w:ind w:firstLine="422"/>
        <w:rPr>
          <w:rFonts w:ascii="宋体" w:hAnsi="宋体"/>
          <w:szCs w:val="21"/>
        </w:rPr>
      </w:pPr>
      <w:r>
        <w:rPr>
          <w:rFonts w:hint="eastAsia" w:ascii="宋体" w:hAnsi="宋体"/>
          <w:b/>
          <w:szCs w:val="21"/>
        </w:rPr>
        <w:t>副主任：</w:t>
      </w:r>
      <w:r>
        <w:rPr>
          <w:rFonts w:hint="eastAsia" w:ascii="宋体" w:hAnsi="宋体"/>
          <w:szCs w:val="21"/>
        </w:rPr>
        <w:t>李书明  吴土清</w:t>
      </w:r>
    </w:p>
    <w:p w14:paraId="112E92F6">
      <w:pPr>
        <w:ind w:firstLine="422"/>
        <w:rPr>
          <w:rFonts w:ascii="宋体" w:hAnsi="宋体"/>
          <w:szCs w:val="21"/>
        </w:rPr>
      </w:pPr>
      <w:r>
        <w:rPr>
          <w:rFonts w:hint="eastAsia" w:ascii="宋体" w:hAnsi="宋体"/>
          <w:b/>
          <w:szCs w:val="21"/>
        </w:rPr>
        <w:t>成  员：</w:t>
      </w:r>
      <w:r>
        <w:rPr>
          <w:rFonts w:hint="eastAsia" w:ascii="宋体" w:hAnsi="宋体"/>
          <w:szCs w:val="21"/>
        </w:rPr>
        <w:t>（按姓氏笔画排列）</w:t>
      </w:r>
    </w:p>
    <w:p w14:paraId="735E29CF">
      <w:pPr>
        <w:ind w:firstLine="1260" w:firstLineChars="600"/>
        <w:rPr>
          <w:rFonts w:ascii="宋体" w:hAnsi="宋体"/>
          <w:szCs w:val="21"/>
        </w:rPr>
      </w:pPr>
      <w:r>
        <w:rPr>
          <w:rFonts w:hint="eastAsia" w:ascii="宋体" w:hAnsi="宋体"/>
          <w:szCs w:val="21"/>
        </w:rPr>
        <w:t>石云峰  申爱平  刘剑城  吴岳明  陈雄标  杨水养  殷南光  徐建华  梁观福  黄镇伟</w:t>
      </w:r>
    </w:p>
    <w:p w14:paraId="0BD5A4A4">
      <w:pPr>
        <w:ind w:firstLine="1260" w:firstLineChars="600"/>
        <w:rPr>
          <w:rFonts w:ascii="宋体" w:hAnsi="宋体"/>
          <w:szCs w:val="21"/>
        </w:rPr>
      </w:pPr>
      <w:r>
        <w:rPr>
          <w:rFonts w:hint="eastAsia" w:ascii="宋体" w:hAnsi="宋体"/>
          <w:szCs w:val="21"/>
        </w:rPr>
        <w:t>廖桂洲</w:t>
      </w:r>
    </w:p>
    <w:p w14:paraId="7B0FD7A7">
      <w:pPr>
        <w:pStyle w:val="2"/>
        <w:rPr>
          <w:rFonts w:ascii="宋体" w:hAnsi="宋体"/>
        </w:rPr>
      </w:pPr>
      <w:r>
        <w:rPr>
          <w:rFonts w:hint="eastAsia" w:ascii="宋体" w:hAnsi="宋体"/>
        </w:rPr>
        <w:t>序一</w:t>
      </w:r>
    </w:p>
    <w:p w14:paraId="5C675C08">
      <w:pPr>
        <w:ind w:firstLine="422"/>
        <w:jc w:val="right"/>
        <w:rPr>
          <w:rFonts w:ascii="宋体" w:hAnsi="宋体"/>
          <w:b/>
          <w:szCs w:val="21"/>
        </w:rPr>
      </w:pPr>
      <w:r>
        <w:rPr>
          <w:rFonts w:hint="eastAsia" w:ascii="宋体" w:hAnsi="宋体"/>
          <w:b/>
          <w:szCs w:val="21"/>
        </w:rPr>
        <w:t>许志新</w:t>
      </w:r>
    </w:p>
    <w:p w14:paraId="0997C740">
      <w:pPr>
        <w:ind w:firstLine="420"/>
        <w:rPr>
          <w:rFonts w:ascii="宋体" w:hAnsi="宋体"/>
          <w:szCs w:val="21"/>
        </w:rPr>
      </w:pPr>
      <w:r>
        <w:rPr>
          <w:rFonts w:hint="eastAsia" w:ascii="宋体" w:hAnsi="宋体"/>
          <w:szCs w:val="21"/>
        </w:rPr>
        <w:t>盛世修志，志铭盛世。第二部新方志《南雄市志》应时出版，新世纪文化工程圆满告竣，为南雄加强文化建设、建立文化强市献上了一份厚礼，为南雄文化建设树立了新的里程碑。</w:t>
      </w:r>
    </w:p>
    <w:p w14:paraId="44AFC085">
      <w:pPr>
        <w:ind w:firstLine="420"/>
        <w:rPr>
          <w:rFonts w:ascii="宋体" w:hAnsi="宋体"/>
          <w:szCs w:val="21"/>
        </w:rPr>
      </w:pPr>
      <w:r>
        <w:rPr>
          <w:rFonts w:hint="eastAsia" w:ascii="宋体" w:hAnsi="宋体"/>
          <w:szCs w:val="21"/>
        </w:rPr>
        <w:t>沐浴着改革开放的强劲春风，南雄发生了历史性巨变，焕发出勃勃生机。《南雄市志》洋洋洒洒百万余字，揽一方资料于史籍，辑百业精华于一卷，既贯通南雄古今，又涵盖各行各业；既有的南雄历史沿革、山川地貌，又有社会经济、风土人情，堪为记载南雄市情的百科全书。通读此志既可横阅南雄旖旎瑰丽的自然风光、日新月异的发展变化，又能纵览南雄风生水起、腾挪跌宕的灿烂文明。使读者通古今之变，明世情之理，从中汲取历史营养。新志合乎体例，谋篇布局科学，全书追根溯源，记载细详，史实清楚，脉络分明，文风淳朴，具有鲜明的时代特征和地方特色。治天下者以史为鉴，治郡县者以志为鉴。作为广东省著名的历史文化名城、广东省文化先进市的南雄，枕楚跨粤，境内东、北、西三面与江西省接壤，自古以来边境贸易繁荣兴旺，有着“陆上丝绸之路”之誉。南雄又是广府人的桑梓之地、发祥之乡，其文化源远流长，底蕴厚重。地方志书是历代官员科学决策的必备之宝，《南雄市志》同样具有“资政、存史、教化”的三大功能：</w:t>
      </w:r>
    </w:p>
    <w:p w14:paraId="332AB0A1">
      <w:pPr>
        <w:ind w:firstLine="420"/>
        <w:rPr>
          <w:rFonts w:ascii="宋体" w:hAnsi="宋体"/>
          <w:szCs w:val="21"/>
        </w:rPr>
      </w:pPr>
      <w:r>
        <w:rPr>
          <w:rFonts w:hint="eastAsia" w:ascii="宋体" w:hAnsi="宋体"/>
          <w:szCs w:val="21"/>
        </w:rPr>
        <w:t>（一）“资政”功能，为各级党委和政府实施文化建设提供历史依据。目前我们要建设文化大省，一定要充分利用地方志的丰富文化资源，以古鉴今，科学决策。南雄要建立文化大市，当然离不开本身就是文化形态的地方志。而要使南雄真正建设成为文化大市、经济强市，各级党政领导必须利用南雄地方志资源作为决策的依据之一。</w:t>
      </w:r>
    </w:p>
    <w:p w14:paraId="40702C96">
      <w:pPr>
        <w:ind w:firstLine="420"/>
        <w:rPr>
          <w:rFonts w:ascii="宋体" w:hAnsi="宋体"/>
          <w:szCs w:val="21"/>
        </w:rPr>
      </w:pPr>
      <w:r>
        <w:rPr>
          <w:rFonts w:hint="eastAsia" w:ascii="宋体" w:hAnsi="宋体"/>
          <w:szCs w:val="21"/>
        </w:rPr>
        <w:t>（二）“存史”功能，增加南雄文化宝库财富。南雄特有的珠玑文化源远流长，在岭南文化中占有重要的地位。珠玑文化底蕴深厚，内容丰富，这对后人继承优秀的传统文化具有重要的作用。南雄近</w:t>
      </w:r>
      <w:r>
        <w:rPr>
          <w:rFonts w:ascii="宋体" w:hAnsi="宋体"/>
          <w:szCs w:val="21"/>
        </w:rPr>
        <w:t>30年编纂的</w:t>
      </w:r>
      <w:r>
        <w:rPr>
          <w:rFonts w:hint="eastAsia" w:ascii="宋体" w:hAnsi="宋体"/>
          <w:szCs w:val="21"/>
        </w:rPr>
        <w:t>几十部文史书籍，主要参阅的资料就是历代南雄的志书。</w:t>
      </w:r>
    </w:p>
    <w:p w14:paraId="4D7FE4A7">
      <w:pPr>
        <w:ind w:firstLine="420"/>
        <w:rPr>
          <w:rFonts w:ascii="宋体" w:hAnsi="宋体"/>
          <w:szCs w:val="21"/>
        </w:rPr>
      </w:pPr>
      <w:r>
        <w:rPr>
          <w:rFonts w:hint="eastAsia" w:ascii="宋体" w:hAnsi="宋体"/>
          <w:szCs w:val="21"/>
        </w:rPr>
        <w:t>（三）“教化”功能，提高广大人民群众的文化素质。利用志书，对广大群众进行爱国主义、集体主义和革命传统教育、弘扬地方文化、倡导优良风气、学习英模人物、提倡社会公德、职业道德和家庭美德，促进社会的和谐发展和安定团结。</w:t>
      </w:r>
    </w:p>
    <w:p w14:paraId="2980DA88">
      <w:pPr>
        <w:ind w:firstLine="420"/>
        <w:rPr>
          <w:rFonts w:ascii="宋体" w:hAnsi="宋体"/>
          <w:szCs w:val="21"/>
        </w:rPr>
      </w:pPr>
      <w:r>
        <w:rPr>
          <w:rFonts w:hint="eastAsia" w:ascii="宋体" w:hAnsi="宋体"/>
          <w:szCs w:val="21"/>
        </w:rPr>
        <w:t>抚卷在手，深感成书不易，值此《南雄市志》付梓之际，特向为此部传世史籍殚精竭虑、默默耕耘的编纂人员致以崇高敬意；向指导、关心、支持新志编纂、出版、印刷的各界人士深表谢意！</w:t>
      </w:r>
    </w:p>
    <w:p w14:paraId="5CAE1487">
      <w:pPr>
        <w:ind w:firstLine="420"/>
        <w:rPr>
          <w:rFonts w:ascii="宋体" w:hAnsi="宋体"/>
          <w:szCs w:val="21"/>
        </w:rPr>
      </w:pPr>
      <w:r>
        <w:rPr>
          <w:rFonts w:hint="eastAsia" w:ascii="宋体" w:hAnsi="宋体"/>
          <w:szCs w:val="21"/>
        </w:rPr>
        <w:t>谨献此言，是以为序。</w:t>
      </w:r>
    </w:p>
    <w:p w14:paraId="4DC4E0FD">
      <w:pPr>
        <w:ind w:firstLine="420"/>
        <w:jc w:val="right"/>
        <w:rPr>
          <w:rFonts w:ascii="宋体" w:hAnsi="宋体"/>
          <w:szCs w:val="21"/>
        </w:rPr>
      </w:pPr>
      <w:r>
        <w:rPr>
          <w:rFonts w:hint="eastAsia" w:ascii="宋体" w:hAnsi="宋体"/>
          <w:szCs w:val="21"/>
        </w:rPr>
        <w:t>（许志新系中共南雄市委书记  市人大常委会主任）</w:t>
      </w:r>
    </w:p>
    <w:p w14:paraId="7264BF97">
      <w:pPr>
        <w:pStyle w:val="2"/>
        <w:rPr>
          <w:rFonts w:ascii="宋体" w:hAnsi="宋体"/>
        </w:rPr>
      </w:pPr>
      <w:r>
        <w:rPr>
          <w:rFonts w:hint="eastAsia" w:ascii="宋体" w:hAnsi="宋体"/>
        </w:rPr>
        <w:t>序二</w:t>
      </w:r>
    </w:p>
    <w:p w14:paraId="360DE79A">
      <w:pPr>
        <w:ind w:firstLine="422"/>
        <w:jc w:val="right"/>
        <w:rPr>
          <w:rFonts w:ascii="宋体" w:hAnsi="宋体"/>
          <w:b/>
          <w:szCs w:val="21"/>
        </w:rPr>
      </w:pPr>
      <w:r>
        <w:rPr>
          <w:rFonts w:hint="eastAsia" w:ascii="宋体" w:hAnsi="宋体"/>
          <w:b/>
          <w:szCs w:val="21"/>
        </w:rPr>
        <w:t>刘清生</w:t>
      </w:r>
    </w:p>
    <w:p w14:paraId="1578ACC1">
      <w:pPr>
        <w:ind w:firstLine="420"/>
        <w:rPr>
          <w:rFonts w:ascii="宋体" w:hAnsi="宋体"/>
          <w:szCs w:val="21"/>
        </w:rPr>
      </w:pPr>
      <w:r>
        <w:rPr>
          <w:rFonts w:hint="eastAsia" w:ascii="宋体" w:hAnsi="宋体"/>
          <w:szCs w:val="21"/>
        </w:rPr>
        <w:t>新编《南雄市志》历经数载，三订编目，终纂成书。这是我市文化建设又一成果。</w:t>
      </w:r>
    </w:p>
    <w:p w14:paraId="6957E26C">
      <w:pPr>
        <w:ind w:firstLine="420"/>
        <w:rPr>
          <w:rFonts w:ascii="宋体" w:hAnsi="宋体"/>
          <w:szCs w:val="21"/>
        </w:rPr>
      </w:pPr>
      <w:r>
        <w:rPr>
          <w:rFonts w:hint="eastAsia" w:ascii="宋体" w:hAnsi="宋体"/>
          <w:szCs w:val="21"/>
        </w:rPr>
        <w:t>南雄是广东历史文化名城。改革开放后政府重视地方志编纂。于</w:t>
      </w:r>
      <w:r>
        <w:rPr>
          <w:rFonts w:ascii="宋体" w:hAnsi="宋体"/>
          <w:szCs w:val="21"/>
        </w:rPr>
        <w:t>1991</w:t>
      </w:r>
      <w:r>
        <w:rPr>
          <w:rFonts w:hint="eastAsia" w:ascii="宋体" w:hAnsi="宋体"/>
          <w:szCs w:val="21"/>
        </w:rPr>
        <w:t>年</w:t>
      </w:r>
      <w:r>
        <w:rPr>
          <w:rFonts w:ascii="宋体" w:hAnsi="宋体"/>
          <w:szCs w:val="21"/>
        </w:rPr>
        <w:t>6月在全省率先出版《南雄县志》，成为广东省第一部新编方志。随着</w:t>
      </w:r>
      <w:r>
        <w:rPr>
          <w:rFonts w:hint="eastAsia" w:ascii="宋体" w:hAnsi="宋体"/>
          <w:szCs w:val="21"/>
        </w:rPr>
        <w:t>社会、经济、文化建设的迅速发展，第二次编修新方志又在全国各地蓬勃兴起。中共南雄市委、市人民政府抓住机遇，于</w:t>
      </w:r>
      <w:r>
        <w:rPr>
          <w:rFonts w:ascii="宋体" w:hAnsi="宋体"/>
          <w:szCs w:val="21"/>
        </w:rPr>
        <w:t>2002年8月作出编修</w:t>
      </w:r>
      <w:r>
        <w:rPr>
          <w:rFonts w:hint="eastAsia" w:ascii="宋体" w:hAnsi="宋体"/>
          <w:szCs w:val="21"/>
        </w:rPr>
        <w:t>《南雄市志》的决定，随后建立工作机构，组建编纂队伍，组织各方力量通力合作。全体编修人员为完成这项系统的社会文化工程付出了心血和才智。我借此谨向他们致以衷心的谢意！</w:t>
      </w:r>
    </w:p>
    <w:p w14:paraId="29CF89F1">
      <w:pPr>
        <w:ind w:firstLine="420"/>
        <w:rPr>
          <w:rFonts w:ascii="宋体" w:hAnsi="宋体"/>
          <w:szCs w:val="21"/>
        </w:rPr>
      </w:pPr>
      <w:r>
        <w:rPr>
          <w:rFonts w:hint="eastAsia" w:ascii="宋体" w:hAnsi="宋体"/>
          <w:szCs w:val="21"/>
        </w:rPr>
        <w:t>新编《南雄市志》，以邓小平理论和“三个代表”重要思想为指导，坚持唯物史观，运用年鉴、各专业志等资料，在《南雄县志》的基础上续增、充实、提高。发扬《南雄县志》的优点，注重南雄人文历史的挖掘和记述，如实反映南雄经济文化建设方面的新举措、新成就。诸如梅关古道、珠玑古巷、氏族源流、历史人物和邑人著作等方面的记述，均较前志更为翔实丰满。至于近十多年来日新月异的市政建设以及交通、通信等事业发展，都有详尽的记述。</w:t>
      </w:r>
    </w:p>
    <w:p w14:paraId="17B1D354">
      <w:pPr>
        <w:ind w:firstLine="420"/>
        <w:rPr>
          <w:rFonts w:ascii="宋体" w:hAnsi="宋体"/>
          <w:szCs w:val="21"/>
        </w:rPr>
      </w:pPr>
      <w:r>
        <w:rPr>
          <w:rFonts w:hint="eastAsia" w:ascii="宋体" w:hAnsi="宋体"/>
          <w:szCs w:val="21"/>
        </w:rPr>
        <w:t>地方志历来是地方官员科学决策和正确施政的重要依据。唐代大文学家韩愈关心地情民风，常常查阅志书。当他被贬到潮州任刺史路过曲江时，仍不忘向韶州守张端借阅地方志，并作诗云：“曲江山水闻来久，恐不知名访倍难。愿借图经将入界，每逢佳处便开看”的诗句。毛泽东不论在战火纷纷的年代还是新中国成立后，每到一地都要想方设法找到当地志书阅读。当前，在建设文化大省的大潮中，更要充分利用地方志的丰富文化资源，以古鉴今，科学决策，正确施政。</w:t>
      </w:r>
    </w:p>
    <w:p w14:paraId="638187B6">
      <w:pPr>
        <w:ind w:firstLine="420"/>
        <w:rPr>
          <w:rFonts w:ascii="宋体" w:hAnsi="宋体"/>
          <w:szCs w:val="21"/>
        </w:rPr>
      </w:pPr>
      <w:r>
        <w:rPr>
          <w:rFonts w:hint="eastAsia" w:ascii="宋体" w:hAnsi="宋体"/>
          <w:szCs w:val="21"/>
        </w:rPr>
        <w:t>我过去对南雄的历史知之不多。自</w:t>
      </w:r>
      <w:r>
        <w:rPr>
          <w:rFonts w:ascii="宋体" w:hAnsi="宋体"/>
          <w:szCs w:val="21"/>
        </w:rPr>
        <w:t>2010年春到南雄工作以来，经阅</w:t>
      </w:r>
      <w:r>
        <w:rPr>
          <w:rFonts w:hint="eastAsia" w:ascii="宋体" w:hAnsi="宋体"/>
          <w:szCs w:val="21"/>
        </w:rPr>
        <w:t>读《南雄县志》后，深受启发和教育，对南雄的发展历史、经验教训看得更透彻一些，从而更加领悟“观今宜鉴古，无古不成今”这句古训。《南雄市志》是我市历史文化知识的积累，是一部“前有所稽，后有所鉴”的“百科全书”，是各部门单位领导及工作人员不可缺少的工具书。希望各级领导、各界人士都能认真阅读《南雄市志》，宣传、开发、利用地方志资源，以促进我市经济文化建设的发展。</w:t>
      </w:r>
    </w:p>
    <w:p w14:paraId="2822F137">
      <w:pPr>
        <w:ind w:firstLine="420"/>
        <w:jc w:val="right"/>
        <w:rPr>
          <w:rFonts w:ascii="宋体" w:hAnsi="宋体"/>
          <w:szCs w:val="21"/>
        </w:rPr>
      </w:pPr>
      <w:r>
        <w:rPr>
          <w:rFonts w:hint="eastAsia" w:ascii="宋体" w:hAnsi="宋体"/>
          <w:szCs w:val="21"/>
        </w:rPr>
        <w:t>（刘清生系中共南雄市委副书记、市人民政府市长）</w:t>
      </w:r>
    </w:p>
    <w:p w14:paraId="5909EF80">
      <w:pPr>
        <w:pStyle w:val="2"/>
        <w:rPr>
          <w:rFonts w:ascii="宋体" w:hAnsi="宋体"/>
        </w:rPr>
      </w:pPr>
      <w:r>
        <w:rPr>
          <w:rFonts w:hint="eastAsia" w:ascii="宋体" w:hAnsi="宋体"/>
        </w:rPr>
        <w:t>凡例</w:t>
      </w:r>
    </w:p>
    <w:p w14:paraId="067378C8">
      <w:pPr>
        <w:ind w:firstLine="420"/>
        <w:rPr>
          <w:rFonts w:ascii="宋体" w:hAnsi="宋体"/>
          <w:szCs w:val="21"/>
        </w:rPr>
      </w:pPr>
      <w:r>
        <w:rPr>
          <w:rFonts w:hint="eastAsia" w:ascii="宋体" w:hAnsi="宋体"/>
          <w:szCs w:val="21"/>
        </w:rPr>
        <w:t>一、本志由总述、大事记、专志、附录</w:t>
      </w:r>
      <w:r>
        <w:rPr>
          <w:rFonts w:ascii="宋体" w:hAnsi="宋体"/>
          <w:szCs w:val="21"/>
        </w:rPr>
        <w:t>4部分组成。专志部分设8编46章。各专志按事物性质设立，不局限于现行行政管理系统，相同事物，</w:t>
      </w:r>
      <w:r>
        <w:rPr>
          <w:rFonts w:hint="eastAsia" w:ascii="宋体" w:hAnsi="宋体"/>
          <w:szCs w:val="21"/>
        </w:rPr>
        <w:t>不论其隶属何行政部门，原则上归类编入同一专志。</w:t>
      </w:r>
    </w:p>
    <w:p w14:paraId="09258635">
      <w:pPr>
        <w:ind w:firstLine="420"/>
        <w:rPr>
          <w:rFonts w:ascii="宋体" w:hAnsi="宋体"/>
          <w:szCs w:val="21"/>
        </w:rPr>
      </w:pPr>
      <w:r>
        <w:rPr>
          <w:rFonts w:hint="eastAsia" w:ascii="宋体" w:hAnsi="宋体"/>
          <w:szCs w:val="21"/>
        </w:rPr>
        <w:t>二、断限。上溯不限，下限</w:t>
      </w:r>
      <w:r>
        <w:rPr>
          <w:rFonts w:ascii="宋体" w:hAnsi="宋体"/>
          <w:szCs w:val="21"/>
        </w:rPr>
        <w:t>2004年。但有些连续性重大事项可延续</w:t>
      </w:r>
      <w:r>
        <w:rPr>
          <w:rFonts w:hint="eastAsia" w:ascii="宋体" w:hAnsi="宋体"/>
          <w:szCs w:val="21"/>
        </w:rPr>
        <w:t>及</w:t>
      </w:r>
      <w:r>
        <w:rPr>
          <w:rFonts w:ascii="宋体" w:hAnsi="宋体"/>
          <w:szCs w:val="21"/>
        </w:rPr>
        <w:t>2004年后。（本志重点记述时限为1979年至2004年。）</w:t>
      </w:r>
    </w:p>
    <w:p w14:paraId="6476B6E3">
      <w:pPr>
        <w:ind w:firstLine="420"/>
        <w:rPr>
          <w:rFonts w:ascii="宋体" w:hAnsi="宋体"/>
          <w:szCs w:val="21"/>
        </w:rPr>
      </w:pPr>
      <w:r>
        <w:rPr>
          <w:rFonts w:hint="eastAsia" w:ascii="宋体" w:hAnsi="宋体"/>
          <w:szCs w:val="21"/>
        </w:rPr>
        <w:t>三、称谓。历史阶段分期称谓，分古代（清代及之前）、民国（</w:t>
      </w:r>
      <w:r>
        <w:rPr>
          <w:rFonts w:ascii="宋体" w:hAnsi="宋体"/>
          <w:szCs w:val="21"/>
        </w:rPr>
        <w:t>1912</w:t>
      </w:r>
      <w:r>
        <w:rPr>
          <w:rFonts w:hint="eastAsia" w:ascii="宋体" w:hAnsi="宋体"/>
          <w:szCs w:val="21"/>
        </w:rPr>
        <w:t>年</w:t>
      </w:r>
      <w:r>
        <w:rPr>
          <w:rFonts w:ascii="宋体" w:hAnsi="宋体"/>
          <w:szCs w:val="21"/>
        </w:rPr>
        <w:t>1月至1949年9月）、中华人民共和国成立以来（简称新中国成立后）</w:t>
      </w:r>
      <w:r>
        <w:rPr>
          <w:rFonts w:hint="eastAsia" w:ascii="宋体" w:hAnsi="宋体"/>
          <w:szCs w:val="21"/>
        </w:rPr>
        <w:t>。专业事业分期称谓，据各事业实际情况而定，明确注明分期年限。</w:t>
      </w:r>
    </w:p>
    <w:p w14:paraId="03FBD733">
      <w:pPr>
        <w:ind w:firstLine="420"/>
        <w:rPr>
          <w:rFonts w:ascii="宋体" w:hAnsi="宋体"/>
          <w:szCs w:val="21"/>
        </w:rPr>
      </w:pPr>
      <w:r>
        <w:rPr>
          <w:rFonts w:hint="eastAsia" w:ascii="宋体" w:hAnsi="宋体"/>
          <w:szCs w:val="21"/>
        </w:rPr>
        <w:t>凡行政区划、地理、政府机构、职官名称等，均按当时当地的历史称谓。古地名名称与今名有异者，注明今名；新中国成立后的地名记述，以</w:t>
      </w:r>
      <w:r>
        <w:rPr>
          <w:rFonts w:ascii="宋体" w:hAnsi="宋体"/>
          <w:szCs w:val="21"/>
        </w:rPr>
        <w:t>1981年南雄县人民政府编印的《广东省南雄县标准地名录》为准。</w:t>
      </w:r>
    </w:p>
    <w:p w14:paraId="24CA9C4C">
      <w:pPr>
        <w:ind w:firstLine="420"/>
        <w:rPr>
          <w:rFonts w:ascii="宋体" w:hAnsi="宋体"/>
          <w:szCs w:val="21"/>
        </w:rPr>
      </w:pPr>
      <w:r>
        <w:rPr>
          <w:rFonts w:hint="eastAsia" w:ascii="宋体" w:hAnsi="宋体"/>
          <w:szCs w:val="21"/>
        </w:rPr>
        <w:t>四、数据和资料。数字采用本市统计局定案数字。如统计局缺乏数字则选用有关单位提供的准确数字。</w:t>
      </w:r>
    </w:p>
    <w:p w14:paraId="71473B17">
      <w:pPr>
        <w:ind w:firstLine="420"/>
        <w:rPr>
          <w:rFonts w:ascii="宋体" w:hAnsi="宋体"/>
          <w:szCs w:val="21"/>
        </w:rPr>
      </w:pPr>
      <w:r>
        <w:rPr>
          <w:rFonts w:hint="eastAsia" w:ascii="宋体" w:hAnsi="宋体"/>
          <w:szCs w:val="21"/>
        </w:rPr>
        <w:t>对事实或数字有出入，不能鉴别真伪时，则两证俱存，并加以说明。</w:t>
      </w:r>
    </w:p>
    <w:p w14:paraId="49F437EB">
      <w:pPr>
        <w:ind w:firstLine="420"/>
        <w:rPr>
          <w:rFonts w:ascii="宋体" w:hAnsi="宋体"/>
          <w:szCs w:val="21"/>
        </w:rPr>
      </w:pPr>
      <w:r>
        <w:rPr>
          <w:rFonts w:hint="eastAsia" w:ascii="宋体" w:hAnsi="宋体"/>
          <w:szCs w:val="21"/>
        </w:rPr>
        <w:t>凡有文献资料者原则上采用文献资料，无文献资料的，采用口碑资料，并加说明。</w:t>
      </w:r>
    </w:p>
    <w:p w14:paraId="305DFF4E">
      <w:pPr>
        <w:ind w:firstLine="420"/>
        <w:rPr>
          <w:rFonts w:ascii="宋体" w:hAnsi="宋体"/>
          <w:szCs w:val="21"/>
        </w:rPr>
      </w:pPr>
      <w:r>
        <w:rPr>
          <w:rFonts w:hint="eastAsia" w:ascii="宋体" w:hAnsi="宋体"/>
          <w:szCs w:val="21"/>
        </w:rPr>
        <w:t>五、文体。用语体文记述体。数字书写、计量名称和符号使用，按韶关市地方志办公室《关于〈韶关市志〉书写行文试行通则》、国家语言文字工作委员会等</w:t>
      </w:r>
      <w:r>
        <w:rPr>
          <w:rFonts w:ascii="宋体" w:hAnsi="宋体"/>
          <w:szCs w:val="21"/>
        </w:rPr>
        <w:t>7个部门联合公布的《关于出版物上数字用法的试行规</w:t>
      </w:r>
      <w:r>
        <w:rPr>
          <w:rFonts w:hint="eastAsia" w:ascii="宋体" w:hAnsi="宋体"/>
          <w:szCs w:val="21"/>
        </w:rPr>
        <w:t>定》和国务院</w:t>
      </w:r>
      <w:r>
        <w:rPr>
          <w:rFonts w:ascii="宋体" w:hAnsi="宋体"/>
          <w:szCs w:val="21"/>
        </w:rPr>
        <w:t>1984年2月27日颁发的《关于在我国统一实行法定计量单</w:t>
      </w:r>
      <w:r>
        <w:rPr>
          <w:rFonts w:hint="eastAsia" w:ascii="宋体" w:hAnsi="宋体"/>
          <w:szCs w:val="21"/>
        </w:rPr>
        <w:t>位的命令》执行。</w:t>
      </w:r>
    </w:p>
    <w:p w14:paraId="6582290E">
      <w:pPr>
        <w:ind w:firstLine="420"/>
        <w:rPr>
          <w:rFonts w:ascii="宋体" w:hAnsi="宋体"/>
          <w:szCs w:val="21"/>
        </w:rPr>
      </w:pPr>
      <w:r>
        <w:rPr>
          <w:rFonts w:hint="eastAsia" w:ascii="宋体" w:hAnsi="宋体"/>
          <w:szCs w:val="21"/>
        </w:rPr>
        <w:t>六、立传人物。以本籍为主，生不立传。以选顺应社会发展、有较大贡献的进步人物为主，对阻碍社会进步而又有较大影响的人物也适当选入，“书美以彰善，记恶以垂戒”。外籍人士在南雄活动时间较长且有重大贡献或较大影响者，列入《人物事略》，记述其在南雄活动事迹。所有人物，前志已有传者本志不录入；前志未有传或传之不详者，本志作传详记之，以保持历史人物的完整性。在世人物必要记述的事迹，采取以事系人的办法，在有关章节目中记述之。</w:t>
      </w:r>
    </w:p>
    <w:p w14:paraId="433CB481">
      <w:pPr>
        <w:pStyle w:val="2"/>
        <w:rPr>
          <w:rFonts w:ascii="宋体" w:hAnsi="宋体"/>
        </w:rPr>
      </w:pPr>
      <w:r>
        <w:rPr>
          <w:rFonts w:hint="eastAsia" w:ascii="宋体" w:hAnsi="宋体"/>
        </w:rPr>
        <w:t>总述</w:t>
      </w:r>
    </w:p>
    <w:p w14:paraId="00AF10A8">
      <w:pPr>
        <w:pStyle w:val="3"/>
        <w:rPr>
          <w:rFonts w:ascii="宋体" w:hAnsi="宋体"/>
        </w:rPr>
      </w:pPr>
      <w:r>
        <w:rPr>
          <w:rFonts w:hint="eastAsia" w:ascii="宋体" w:hAnsi="宋体"/>
        </w:rPr>
        <w:t>（一）</w:t>
      </w:r>
    </w:p>
    <w:p w14:paraId="0331649B">
      <w:pPr>
        <w:ind w:firstLine="420"/>
        <w:rPr>
          <w:rFonts w:ascii="宋体" w:hAnsi="宋体"/>
          <w:szCs w:val="21"/>
        </w:rPr>
      </w:pPr>
      <w:r>
        <w:rPr>
          <w:rFonts w:hint="eastAsia" w:ascii="宋体" w:hAnsi="宋体"/>
          <w:szCs w:val="21"/>
        </w:rPr>
        <w:t>南雄市位于广东北部偏东，大庾岭南麓。史称“居五岭之首，为江广之冲”，“枕楚跨粤，为南北咽喉”。县境北接江西省大余县，东与江西省信丰县相邻，南连始兴县及江西全南县，西接仁化县。境域地质属燕山期花冈岩体及寒武纪、震旦纪变质岩体。四周群山环抱，中部为狭长丘陵，地质学家命名为“南雄盆地”，为中外著名的南雄红层，蕴藏着丰富的恐龙、恐龙蛋及其化古礁脊椎动物化石。因此，南雄早被誉为恐龙之乡。</w:t>
      </w:r>
    </w:p>
    <w:p w14:paraId="57666A51">
      <w:pPr>
        <w:ind w:firstLine="420"/>
        <w:rPr>
          <w:rFonts w:ascii="宋体" w:hAnsi="宋体"/>
          <w:szCs w:val="21"/>
        </w:rPr>
      </w:pPr>
      <w:r>
        <w:rPr>
          <w:rFonts w:hint="eastAsia" w:ascii="宋体" w:hAnsi="宋体"/>
          <w:szCs w:val="21"/>
        </w:rPr>
        <w:t>全市总面积约</w:t>
      </w:r>
      <w:r>
        <w:rPr>
          <w:rFonts w:ascii="宋体" w:hAnsi="宋体"/>
          <w:szCs w:val="21"/>
        </w:rPr>
        <w:t>2361.4平方公里，东西极限为84公里，南北极限为52公里。地</w:t>
      </w:r>
      <w:r>
        <w:rPr>
          <w:rFonts w:hint="eastAsia" w:ascii="宋体" w:hAnsi="宋体"/>
          <w:szCs w:val="21"/>
        </w:rPr>
        <w:t>势为西北高，东南低。西北山区最高峰为观音</w:t>
      </w:r>
      <w:r>
        <w:rPr>
          <w:rFonts w:hint="eastAsia" w:ascii="宋体" w:hAnsi="宋体"/>
          <w:szCs w:val="21"/>
        </w:rPr>
        <w:drawing>
          <wp:inline distT="0" distB="0" distL="0" distR="0">
            <wp:extent cx="167640" cy="175260"/>
            <wp:effectExtent l="0" t="0" r="3810" b="1524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noChangeArrowheads="1"/>
                    </pic:cNvPicPr>
                  </pic:nvPicPr>
                  <pic:blipFill>
                    <a:blip r:embed="rId184" cstate="print"/>
                    <a:srcRect/>
                    <a:stretch>
                      <a:fillRect/>
                    </a:stretch>
                  </pic:blipFill>
                  <pic:spPr>
                    <a:xfrm>
                      <a:off x="0" y="0"/>
                      <a:ext cx="171564" cy="179009"/>
                    </a:xfrm>
                    <a:prstGeom prst="rect">
                      <a:avLst/>
                    </a:prstGeom>
                    <a:noFill/>
                    <a:ln w="9525">
                      <a:noFill/>
                      <a:miter lim="800000"/>
                      <a:headEnd/>
                      <a:tailEnd/>
                    </a:ln>
                  </pic:spPr>
                </pic:pic>
              </a:graphicData>
            </a:graphic>
          </wp:inline>
        </w:drawing>
      </w:r>
      <w:r>
        <w:rPr>
          <w:rFonts w:hint="eastAsia" w:ascii="宋体" w:hAnsi="宋体"/>
          <w:szCs w:val="21"/>
        </w:rPr>
        <w:t>，海拔</w:t>
      </w:r>
      <w:r>
        <w:rPr>
          <w:rFonts w:ascii="宋体" w:hAnsi="宋体"/>
          <w:szCs w:val="21"/>
        </w:rPr>
        <w:t>1429米，南部山区最高山峰</w:t>
      </w:r>
      <w:r>
        <w:rPr>
          <w:rFonts w:hint="eastAsia" w:ascii="宋体" w:hAnsi="宋体"/>
          <w:szCs w:val="21"/>
        </w:rPr>
        <w:t>为青嶂山，海拔</w:t>
      </w:r>
      <w:r>
        <w:rPr>
          <w:rFonts w:ascii="宋体" w:hAnsi="宋体"/>
          <w:szCs w:val="21"/>
        </w:rPr>
        <w:t>917米。南雄为浈江之源，浈水自东北向西南贯流至南雄城与来自西</w:t>
      </w:r>
      <w:r>
        <w:rPr>
          <w:rFonts w:hint="eastAsia" w:ascii="宋体" w:hAnsi="宋体"/>
          <w:szCs w:val="21"/>
        </w:rPr>
        <w:t>北的凌江汇合，南流汇入北江。梅岭古驿道跨越大庾岭，把岭南的北江、珠江与岭北的赣江、长江联结起来，成为古代贯通南北之黄金通道。</w:t>
      </w:r>
    </w:p>
    <w:p w14:paraId="6A10CFA4">
      <w:pPr>
        <w:ind w:firstLine="420"/>
        <w:rPr>
          <w:rFonts w:ascii="宋体" w:hAnsi="宋体"/>
          <w:szCs w:val="21"/>
        </w:rPr>
      </w:pPr>
      <w:r>
        <w:rPr>
          <w:rFonts w:hint="eastAsia" w:ascii="宋体" w:hAnsi="宋体"/>
          <w:szCs w:val="21"/>
        </w:rPr>
        <w:t>唐光宅元年（</w:t>
      </w:r>
      <w:r>
        <w:rPr>
          <w:rFonts w:ascii="宋体" w:hAnsi="宋体"/>
          <w:szCs w:val="21"/>
        </w:rPr>
        <w:t>684年）南雄始置县，取县内水、昌水之名为浈昌县。南汉乾亨</w:t>
      </w:r>
      <w:r>
        <w:rPr>
          <w:rFonts w:hint="eastAsia" w:ascii="宋体" w:hAnsi="宋体"/>
          <w:szCs w:val="21"/>
        </w:rPr>
        <w:t>四年（</w:t>
      </w:r>
      <w:r>
        <w:rPr>
          <w:rFonts w:ascii="宋体" w:hAnsi="宋体"/>
          <w:szCs w:val="21"/>
        </w:rPr>
        <w:t>920年），于浈昌置雄州。宋开宝四年（971年），因河北有雄州而改称为南雄</w:t>
      </w:r>
      <w:r>
        <w:rPr>
          <w:rFonts w:hint="eastAsia" w:ascii="宋体" w:hAnsi="宋体"/>
          <w:szCs w:val="21"/>
        </w:rPr>
        <w:t>州辖浈昌、始兴二县。南雄之名自此始。宋天圣元年（</w:t>
      </w:r>
      <w:r>
        <w:rPr>
          <w:rFonts w:ascii="宋体" w:hAnsi="宋体"/>
          <w:szCs w:val="21"/>
        </w:rPr>
        <w:t>1023年），为避仁宗帝赵祯</w:t>
      </w:r>
      <w:r>
        <w:rPr>
          <w:rFonts w:hint="eastAsia" w:ascii="宋体" w:hAnsi="宋体"/>
          <w:szCs w:val="21"/>
        </w:rPr>
        <w:t>讳，改浈昌县名为保昌。元至元十五年（</w:t>
      </w:r>
      <w:r>
        <w:rPr>
          <w:rFonts w:ascii="宋体" w:hAnsi="宋体"/>
          <w:szCs w:val="21"/>
        </w:rPr>
        <w:t>1278年），撤南雄州置南雄路。明</w:t>
      </w:r>
      <w:r>
        <w:rPr>
          <w:rFonts w:hint="eastAsia" w:ascii="宋体" w:hAnsi="宋体"/>
          <w:szCs w:val="21"/>
        </w:rPr>
        <w:t>洪</w:t>
      </w:r>
      <w:r>
        <w:rPr>
          <w:rFonts w:ascii="宋体" w:hAnsi="宋体"/>
          <w:szCs w:val="21"/>
        </w:rPr>
        <w:t>武元年</w:t>
      </w:r>
      <w:r>
        <w:rPr>
          <w:rFonts w:hint="eastAsia" w:ascii="宋体" w:hAnsi="宋体"/>
          <w:szCs w:val="21"/>
        </w:rPr>
        <w:t>（</w:t>
      </w:r>
      <w:r>
        <w:rPr>
          <w:rFonts w:ascii="宋体" w:hAnsi="宋体"/>
          <w:szCs w:val="21"/>
        </w:rPr>
        <w:t>1368年），撤南雄路置南雄府。清沿明制，至嘉庆十二年（1807年），撤南雄府置</w:t>
      </w:r>
      <w:r>
        <w:rPr>
          <w:rFonts w:hint="eastAsia" w:ascii="宋体" w:hAnsi="宋体"/>
          <w:szCs w:val="21"/>
        </w:rPr>
        <w:t>直隶南雄州，裁去保昌县。民国建元（</w:t>
      </w:r>
      <w:r>
        <w:rPr>
          <w:rFonts w:ascii="宋体" w:hAnsi="宋体"/>
          <w:szCs w:val="21"/>
        </w:rPr>
        <w:t>1912年），撤直隶南雄州置南雄县。1996年6</w:t>
      </w:r>
      <w:r>
        <w:rPr>
          <w:rFonts w:hint="eastAsia" w:ascii="宋体" w:hAnsi="宋体"/>
          <w:szCs w:val="21"/>
        </w:rPr>
        <w:t>月，撤南雄县设南雄市（县级）。</w:t>
      </w:r>
    </w:p>
    <w:p w14:paraId="08A6BCFA">
      <w:pPr>
        <w:ind w:firstLine="420"/>
        <w:rPr>
          <w:rFonts w:ascii="宋体" w:hAnsi="宋体"/>
          <w:szCs w:val="21"/>
        </w:rPr>
      </w:pPr>
      <w:r>
        <w:rPr>
          <w:rFonts w:hint="eastAsia" w:ascii="宋体" w:hAnsi="宋体"/>
          <w:szCs w:val="21"/>
        </w:rPr>
        <w:t>全市现有</w:t>
      </w:r>
      <w:r>
        <w:rPr>
          <w:rFonts w:ascii="宋体" w:hAnsi="宋体"/>
          <w:szCs w:val="21"/>
        </w:rPr>
        <w:t>17个镇，共辖208个村；另雄州街道辖7个社区。2004年人口457883</w:t>
      </w:r>
      <w:r>
        <w:rPr>
          <w:rFonts w:hint="eastAsia" w:ascii="宋体" w:hAnsi="宋体"/>
          <w:szCs w:val="21"/>
        </w:rPr>
        <w:t>人，耕地</w:t>
      </w:r>
      <w:r>
        <w:rPr>
          <w:rFonts w:ascii="宋体" w:hAnsi="宋体"/>
          <w:szCs w:val="21"/>
        </w:rPr>
        <w:t>29073.07公顷，林业用地159654公顷。为广东粮食、烟叶主产区。山区竹</w:t>
      </w:r>
      <w:r>
        <w:rPr>
          <w:rFonts w:hint="eastAsia" w:ascii="宋体" w:hAnsi="宋体"/>
          <w:szCs w:val="21"/>
        </w:rPr>
        <w:t>木资源丰富。森林覆盖率为</w:t>
      </w:r>
      <w:r>
        <w:rPr>
          <w:rFonts w:ascii="宋体" w:hAnsi="宋体"/>
          <w:szCs w:val="21"/>
        </w:rPr>
        <w:t>62%</w:t>
      </w:r>
      <w:r>
        <w:rPr>
          <w:rFonts w:hint="eastAsia" w:ascii="宋体" w:hAnsi="宋体"/>
          <w:szCs w:val="21"/>
        </w:rPr>
        <w:t>。</w:t>
      </w:r>
    </w:p>
    <w:p w14:paraId="51ED8EEA">
      <w:pPr>
        <w:pStyle w:val="3"/>
        <w:rPr>
          <w:rFonts w:ascii="宋体" w:hAnsi="宋体"/>
        </w:rPr>
      </w:pPr>
      <w:r>
        <w:rPr>
          <w:rFonts w:hint="eastAsia" w:ascii="宋体" w:hAnsi="宋体"/>
        </w:rPr>
        <w:t>（二）</w:t>
      </w:r>
    </w:p>
    <w:p w14:paraId="76FEBE1F">
      <w:pPr>
        <w:ind w:firstLine="420"/>
        <w:rPr>
          <w:rFonts w:ascii="宋体" w:hAnsi="宋体"/>
          <w:szCs w:val="21"/>
        </w:rPr>
      </w:pPr>
      <w:r>
        <w:rPr>
          <w:rFonts w:hint="eastAsia" w:ascii="宋体" w:hAnsi="宋体"/>
          <w:szCs w:val="21"/>
        </w:rPr>
        <w:t>南雄历史文化，源远流长。从出土文物来看，已发现有新石器时代早期的中站洞穴遗物，中期的水口下楼村遗物，晚期的水口篛过村遗物。还有新石器末期的太和岭墓葬遗物。说明在距今</w:t>
      </w:r>
      <w:r>
        <w:rPr>
          <w:rFonts w:ascii="宋体" w:hAnsi="宋体"/>
          <w:szCs w:val="21"/>
        </w:rPr>
        <w:t>10000年至4000年前，南雄已有人类活动而出现了新石器时</w:t>
      </w:r>
      <w:r>
        <w:rPr>
          <w:rFonts w:hint="eastAsia" w:ascii="宋体" w:hAnsi="宋体"/>
          <w:szCs w:val="21"/>
        </w:rPr>
        <w:t>代的文化。从历史文献记载来看，涉及南雄境史事，最早的是发生在战国末年。《直隶南雄州志·编年》载：“始皇并六国，越王逾零陵往南海。越人梅鋗从至梅岭家焉，筑城浈水上，奉王居之。”秦末梅鋗从刘邦伐秦，有功，封</w:t>
      </w:r>
      <w:r>
        <w:rPr>
          <w:rFonts w:ascii="宋体" w:hAnsi="宋体"/>
          <w:szCs w:val="21"/>
        </w:rPr>
        <w:t>10万户侯。《汉书</w:t>
      </w:r>
      <w:r>
        <w:rPr>
          <w:rFonts w:hint="eastAsia" w:ascii="宋体" w:hAnsi="宋体"/>
          <w:szCs w:val="21"/>
        </w:rPr>
        <w:t>·武帝纪》载：元鼎五年（前</w:t>
      </w:r>
      <w:r>
        <w:rPr>
          <w:rFonts w:ascii="宋体" w:hAnsi="宋体"/>
          <w:szCs w:val="21"/>
        </w:rPr>
        <w:t>112年）秋，汉武帝令10万楼船师分四路进兵南越（番</w:t>
      </w:r>
      <w:r>
        <w:rPr>
          <w:rFonts w:hint="eastAsia" w:ascii="宋体" w:hAnsi="宋体"/>
          <w:szCs w:val="21"/>
        </w:rPr>
        <w:t>禺）平吕嘉之乱。其中一路主力是楼船将军杨仆率领的</w:t>
      </w:r>
      <w:r>
        <w:rPr>
          <w:rFonts w:ascii="宋体" w:hAnsi="宋体"/>
          <w:szCs w:val="21"/>
        </w:rPr>
        <w:t>5万楼船师（水军），出豫章</w:t>
      </w:r>
      <w:r>
        <w:rPr>
          <w:rFonts w:hint="eastAsia" w:ascii="宋体" w:hAnsi="宋体"/>
          <w:szCs w:val="21"/>
        </w:rPr>
        <w:t>（九江），度梅岭，在今浈江、凌江两岸屯兵备战一年多，而后率师下浈水，陷寻陕，破石门，一举而平南越之乱。留下了杨历岩历史遗迹，至今犹在。魏晋南北朝，中原动乱，氏族南迁。西晋愍帝朝太常卿李耿，因直谏获罪被贬为曲江令，乃于建兴三年（</w:t>
      </w:r>
      <w:r>
        <w:rPr>
          <w:rFonts w:ascii="宋体" w:hAnsi="宋体"/>
          <w:szCs w:val="21"/>
        </w:rPr>
        <w:t>315年）弃官举家由秣陵（南京）南迁隐居于南雄新溪（新田），是为有谱可稽迁</w:t>
      </w:r>
      <w:r>
        <w:rPr>
          <w:rFonts w:hint="eastAsia" w:ascii="宋体" w:hAnsi="宋体"/>
          <w:szCs w:val="21"/>
        </w:rPr>
        <w:t>居南雄最早的士族。隋代，百顺人麦铁杖以武勇忠烈著称，在杨素麾下南征北战，封右屯位大将军，卒赠光禄大夫、宿国公。《隋书·麦铁杖传》有详纪。</w:t>
      </w:r>
    </w:p>
    <w:p w14:paraId="54C3BC6D">
      <w:pPr>
        <w:ind w:firstLine="420"/>
        <w:rPr>
          <w:rFonts w:ascii="宋体" w:hAnsi="宋体"/>
          <w:szCs w:val="21"/>
        </w:rPr>
      </w:pPr>
      <w:r>
        <w:rPr>
          <w:rFonts w:hint="eastAsia" w:ascii="宋体" w:hAnsi="宋体"/>
          <w:szCs w:val="21"/>
        </w:rPr>
        <w:t>唐代以前，南雄经济文化处于缓慢的萌动时期，与中原文化交融，处在局部的、断续的状态之中。到了唐开元四年（</w:t>
      </w:r>
      <w:r>
        <w:rPr>
          <w:rFonts w:ascii="宋体" w:hAnsi="宋体"/>
          <w:szCs w:val="21"/>
        </w:rPr>
        <w:t>716年）梅关古驿道开通之后，南雄经济文化进</w:t>
      </w:r>
      <w:r>
        <w:rPr>
          <w:rFonts w:hint="eastAsia" w:ascii="宋体" w:hAnsi="宋体"/>
          <w:szCs w:val="21"/>
        </w:rPr>
        <w:t>入一个迈开成长步伐的新时期，是南雄经济文化发展的一个重要转折点。路通人旺，路通财通，路通文盛。史谓梅关驿道“内接京师，外通岛夷，朝贡使命，岁无虚日”。从梅关至南雄城</w:t>
      </w:r>
      <w:r>
        <w:rPr>
          <w:rFonts w:ascii="宋体" w:hAnsi="宋体"/>
          <w:szCs w:val="21"/>
        </w:rPr>
        <w:t>30多公里驿道上，就有7条街市，每日来往商旅一二千人，沿</w:t>
      </w:r>
      <w:r>
        <w:rPr>
          <w:rFonts w:hint="eastAsia" w:ascii="宋体" w:hAnsi="宋体"/>
          <w:szCs w:val="21"/>
        </w:rPr>
        <w:t>途商贸因之繁荣起来。唐季，中原动荡，仕宦之家为避战祸而经梅关古道迁徙岭南，定居于南雄者有坪林孔族、乌迳叶族、珠玑巷张族，以及后唐时迁来上朔的彭族，后周时迁来珠玑巷的何族等。他们举家挟资而来，带来了中原文化，成为南雄一方望族，是促进南雄经济文化发展的一支重要力量。尤其是珠玑巷聚族，成为</w:t>
      </w:r>
      <w:r>
        <w:rPr>
          <w:rFonts w:ascii="宋体" w:hAnsi="宋体"/>
          <w:szCs w:val="21"/>
        </w:rPr>
        <w:t>100多姓南</w:t>
      </w:r>
      <w:r>
        <w:rPr>
          <w:rFonts w:hint="eastAsia" w:ascii="宋体" w:hAnsi="宋体"/>
          <w:szCs w:val="21"/>
        </w:rPr>
        <w:t>迁氏族发祥之地，也是中原文化荟萃之地。这一时期，南雄经济文化迈开了发展步伐的最显著标志是逐步融汇于中原文化而与之同步发展。</w:t>
      </w:r>
    </w:p>
    <w:p w14:paraId="761341EB">
      <w:pPr>
        <w:ind w:firstLine="420"/>
        <w:rPr>
          <w:rFonts w:ascii="宋体" w:hAnsi="宋体"/>
          <w:szCs w:val="21"/>
        </w:rPr>
      </w:pPr>
      <w:r>
        <w:rPr>
          <w:rFonts w:hint="eastAsia" w:ascii="宋体" w:hAnsi="宋体"/>
          <w:szCs w:val="21"/>
        </w:rPr>
        <w:t>北宋从太祖至神宗</w:t>
      </w:r>
      <w:r>
        <w:rPr>
          <w:rFonts w:ascii="宋体" w:hAnsi="宋体"/>
          <w:szCs w:val="21"/>
        </w:rPr>
        <w:t>100多年间，是南雄文化勃然兴起时期。及至南宋，由于政治</w:t>
      </w:r>
      <w:r>
        <w:rPr>
          <w:rFonts w:hint="eastAsia" w:ascii="宋体" w:hAnsi="宋体"/>
          <w:szCs w:val="21"/>
        </w:rPr>
        <w:t>经济中心南移，为南雄经济文化发展创造了一个良机；加上南雄偏安岭南，社会比较稳定，大批为避战乱而南迁的仕宦世家聚居南雄，带来了知识、技术、资金和劳力，从而推动了南雄经济文化的勃兴。从太平兴国至元丰，近百年间，南雄州（含保昌、始兴二县）人口由</w:t>
      </w:r>
      <w:r>
        <w:rPr>
          <w:rFonts w:ascii="宋体" w:hAnsi="宋体"/>
          <w:szCs w:val="21"/>
        </w:rPr>
        <w:t>8363户增至20339户，增长143%。保昌（南雄）县被列为一等</w:t>
      </w:r>
      <w:r>
        <w:rPr>
          <w:rFonts w:hint="eastAsia" w:ascii="宋体" w:hAnsi="宋体"/>
          <w:szCs w:val="21"/>
        </w:rPr>
        <w:t>望县。首先是人文的勃兴，唐末迁居于坪林村的孔子第四十一代裔孙孔闰，景福二年（</w:t>
      </w:r>
      <w:r>
        <w:rPr>
          <w:rFonts w:ascii="宋体" w:hAnsi="宋体"/>
          <w:szCs w:val="21"/>
        </w:rPr>
        <w:t>1893年）进</w:t>
      </w:r>
      <w:r>
        <w:rPr>
          <w:rFonts w:hint="eastAsia" w:ascii="宋体" w:hAnsi="宋体"/>
          <w:szCs w:val="21"/>
        </w:rPr>
        <w:t>士</w:t>
      </w:r>
      <w:r>
        <w:rPr>
          <w:rFonts w:ascii="宋体" w:hAnsi="宋体"/>
          <w:szCs w:val="21"/>
        </w:rPr>
        <w:t>，后周朝散大夫，袁州刺史，继承儒家传统，于北宋建隆三年（962</w:t>
      </w:r>
      <w:r>
        <w:rPr>
          <w:rFonts w:hint="eastAsia" w:ascii="宋体" w:hAnsi="宋体"/>
          <w:szCs w:val="21"/>
        </w:rPr>
        <w:t>年）在坪林村创办孔林书院。这是岭南首创的第一间书院，对南雄乃至岭南都有极大影响。继孔林书院之后，上朔、新田、古城等村纷纷办学，大兴耕读之风，人文蔚起。《直隶南雄州志·选举》载：宋代，保昌（南雄）县举进士</w:t>
      </w:r>
      <w:r>
        <w:rPr>
          <w:rFonts w:ascii="宋体" w:hAnsi="宋体"/>
          <w:szCs w:val="21"/>
        </w:rPr>
        <w:t>52名，另特科64</w:t>
      </w:r>
      <w:r>
        <w:rPr>
          <w:rFonts w:hint="eastAsia" w:ascii="宋体" w:hAnsi="宋体"/>
          <w:szCs w:val="21"/>
        </w:rPr>
        <w:t>人，进士之多为粤北之冠，省内仅次于南海、番禺。南雄城邓向世家，四代三进士。古城村李氏一门五进士。北宋元符元年（</w:t>
      </w:r>
      <w:r>
        <w:rPr>
          <w:rFonts w:ascii="宋体" w:hAnsi="宋体"/>
          <w:szCs w:val="21"/>
        </w:rPr>
        <w:t>1098年）保昌县应乡试者2000人。南宋嘉</w:t>
      </w:r>
      <w:r>
        <w:rPr>
          <w:rFonts w:hint="eastAsia" w:ascii="宋体" w:hAnsi="宋体"/>
          <w:szCs w:val="21"/>
        </w:rPr>
        <w:t>泰二年（</w:t>
      </w:r>
      <w:r>
        <w:rPr>
          <w:rFonts w:ascii="宋体" w:hAnsi="宋体"/>
          <w:szCs w:val="21"/>
        </w:rPr>
        <w:t>1202年）和端平二年（1235年）两科，保昌县各科均举进士3名。创下了</w:t>
      </w:r>
      <w:r>
        <w:rPr>
          <w:rFonts w:hint="eastAsia" w:ascii="宋体" w:hAnsi="宋体"/>
          <w:szCs w:val="21"/>
        </w:rPr>
        <w:t>在整个科举时期空前绝后的盛况。其次是在生产水平上具有历史性的突破。天禧间，保昌县令凌皓倡建凌陂，伐石筑坝，截流灌田</w:t>
      </w:r>
      <w:r>
        <w:rPr>
          <w:rFonts w:ascii="宋体" w:hAnsi="宋体"/>
          <w:szCs w:val="21"/>
        </w:rPr>
        <w:t>133.33余公顷。这是第一个由官府倡</w:t>
      </w:r>
      <w:r>
        <w:rPr>
          <w:rFonts w:hint="eastAsia" w:ascii="宋体" w:hAnsi="宋体"/>
          <w:szCs w:val="21"/>
        </w:rPr>
        <w:t>建的较大型的砌石结构的水利工程，也是广东早期重要水利工程之一。而后兴建的有连陂、罗陂、叶陂、宝陂等工程，南雄开始出现大面积连片稳产农田区，农业生产步上新台阶。又嘉祐推官肖世范推广手推车（独轮手推车，俗称鸡公车，至今仍有些地方在使用），大大地提高了运输效率，这在运输工具上又是一个突破。北宋皇祐四年（</w:t>
      </w:r>
      <w:r>
        <w:rPr>
          <w:rFonts w:ascii="宋体" w:hAnsi="宋体"/>
          <w:szCs w:val="21"/>
        </w:rPr>
        <w:t>1052年），知州肖渤为适应经济文化的发展需要，兴建州城。此城面积虽仅20</w:t>
      </w:r>
      <w:r>
        <w:rPr>
          <w:rFonts w:hint="eastAsia" w:ascii="宋体" w:hAnsi="宋体"/>
          <w:szCs w:val="21"/>
        </w:rPr>
        <w:t>多公顷，而设施完善，楼橹相望，深沟高垒。因其小而称之为斗城。在那时岭南的</w:t>
      </w:r>
      <w:r>
        <w:rPr>
          <w:rFonts w:ascii="宋体" w:hAnsi="宋体"/>
          <w:szCs w:val="21"/>
        </w:rPr>
        <w:t>40余州中，南雄城被誉为“规模宏伟”的甲等城池。从此，南雄有了一个较稳定的</w:t>
      </w:r>
      <w:r>
        <w:rPr>
          <w:rFonts w:hint="eastAsia" w:ascii="宋体" w:hAnsi="宋体"/>
          <w:szCs w:val="21"/>
        </w:rPr>
        <w:t>政治、经济、文化中心，面貌大为改观。</w:t>
      </w:r>
    </w:p>
    <w:p w14:paraId="6B7B59A1">
      <w:pPr>
        <w:ind w:firstLine="420"/>
        <w:rPr>
          <w:rFonts w:ascii="宋体" w:hAnsi="宋体"/>
          <w:szCs w:val="21"/>
        </w:rPr>
      </w:pPr>
      <w:r>
        <w:rPr>
          <w:rFonts w:hint="eastAsia" w:ascii="宋体" w:hAnsi="宋体"/>
          <w:szCs w:val="21"/>
        </w:rPr>
        <w:t>宋末元初，南雄为宋元两军拉锯争夺之地，有“五宋五元”之说（即有五次反复为宋军元军所据），在战火连绵中，人民生命财产遭受严重损失。元代历时</w:t>
      </w:r>
      <w:r>
        <w:rPr>
          <w:rFonts w:ascii="宋体" w:hAnsi="宋体"/>
          <w:szCs w:val="21"/>
        </w:rPr>
        <w:t>97年，</w:t>
      </w:r>
      <w:r>
        <w:rPr>
          <w:rFonts w:hint="eastAsia" w:ascii="宋体" w:hAnsi="宋体"/>
          <w:szCs w:val="21"/>
        </w:rPr>
        <w:t>社会动荡，“禁江南民挟弓矢而盗益发”，科举不行凡</w:t>
      </w:r>
      <w:r>
        <w:rPr>
          <w:rFonts w:ascii="宋体" w:hAnsi="宋体"/>
          <w:szCs w:val="21"/>
        </w:rPr>
        <w:t>50年。这100年间，南雄社会</w:t>
      </w:r>
      <w:r>
        <w:rPr>
          <w:rFonts w:hint="eastAsia" w:ascii="宋体" w:hAnsi="宋体"/>
          <w:szCs w:val="21"/>
        </w:rPr>
        <w:t>经济处于停滞状态。及至明清两代，特别是明代前期和清代中期，南雄经济有了较大的发展，是谓中兴时期。首先是农田水利建设的兴起。南雄在明代的农田水利建设工程，已载入府志的有叶陂、宝陂、虎岸陂、珪塘陂、杨凹陂、涧头陂及永灌塘、大湖塘、长丰塘、湖口塘、新塘等，各灌田几百亩至</w:t>
      </w:r>
      <w:r>
        <w:rPr>
          <w:rFonts w:ascii="宋体" w:hAnsi="宋体"/>
          <w:szCs w:val="21"/>
        </w:rPr>
        <w:t>1000余亩。清嘉庆间，知州罗含章</w:t>
      </w:r>
      <w:r>
        <w:rPr>
          <w:rFonts w:hint="eastAsia" w:ascii="宋体" w:hAnsi="宋体"/>
          <w:szCs w:val="21"/>
        </w:rPr>
        <w:t>大力倡导兴修农田水利，慨捐廉钱，躬亲勘测，两年间共新建陂</w:t>
      </w:r>
      <w:r>
        <w:rPr>
          <w:rFonts w:ascii="宋体" w:hAnsi="宋体"/>
          <w:szCs w:val="21"/>
        </w:rPr>
        <w:t>12座，修复陂14</w:t>
      </w:r>
      <w:r>
        <w:rPr>
          <w:rFonts w:hint="eastAsia" w:ascii="宋体" w:hAnsi="宋体"/>
          <w:szCs w:val="21"/>
        </w:rPr>
        <w:t>座，新开山塘</w:t>
      </w:r>
      <w:r>
        <w:rPr>
          <w:rFonts w:ascii="宋体" w:hAnsi="宋体"/>
          <w:szCs w:val="21"/>
        </w:rPr>
        <w:t>21口，共灌田1333.33余公顷，在南雄农田水利建设史上写下了光辉</w:t>
      </w:r>
      <w:r>
        <w:rPr>
          <w:rFonts w:hint="eastAsia" w:ascii="宋体" w:hAnsi="宋体"/>
          <w:szCs w:val="21"/>
        </w:rPr>
        <w:t>的一页。许多工程至今还在发挥其灌溉效益。其二是商贸繁荣。明清时期是梅关驿道最为繁荣的黄金时期，也是南雄被誉为“小扬州”时期。每年单广盐经南雄度岭北运赣南一带就有二三千万斤，每年外贸茶叶</w:t>
      </w:r>
      <w:r>
        <w:rPr>
          <w:rFonts w:ascii="宋体" w:hAnsi="宋体"/>
          <w:szCs w:val="21"/>
        </w:rPr>
        <w:t>50余万担，亦经南雄转运广州出口。有</w:t>
      </w:r>
      <w:r>
        <w:rPr>
          <w:rFonts w:hint="eastAsia" w:ascii="宋体" w:hAnsi="宋体"/>
          <w:szCs w:val="21"/>
        </w:rPr>
        <w:t>谓“商旅如云，货物如雨，万足践履，冬无寒土”。明成化间，知府江璞鉴于梅关驿道商旅众多，虽有</w:t>
      </w:r>
      <w:r>
        <w:rPr>
          <w:rFonts w:ascii="宋体" w:hAnsi="宋体"/>
          <w:szCs w:val="21"/>
        </w:rPr>
        <w:t>7条街市仍应接不暇，乃于槐花（火迳）创建通济镇，有货栈旅</w:t>
      </w:r>
      <w:r>
        <w:rPr>
          <w:rFonts w:hint="eastAsia" w:ascii="宋体" w:hAnsi="宋体"/>
          <w:szCs w:val="21"/>
        </w:rPr>
        <w:t>舍</w:t>
      </w:r>
      <w:r>
        <w:rPr>
          <w:rFonts w:ascii="宋体" w:hAnsi="宋体"/>
          <w:szCs w:val="21"/>
        </w:rPr>
        <w:t>120间。南雄又是赣米入粤集散地。江西稻米由信丰入南雄乌迳市（明代乌迳称</w:t>
      </w:r>
      <w:r>
        <w:rPr>
          <w:rFonts w:hint="eastAsia" w:ascii="宋体" w:hAnsi="宋体"/>
          <w:szCs w:val="21"/>
        </w:rPr>
        <w:t>市），然后水运韶州、广州，来往船只</w:t>
      </w:r>
      <w:r>
        <w:rPr>
          <w:rFonts w:ascii="宋体" w:hAnsi="宋体"/>
          <w:szCs w:val="21"/>
        </w:rPr>
        <w:t>500余艘，有“日屯万担米，夜行百只船”之</w:t>
      </w:r>
      <w:r>
        <w:rPr>
          <w:rFonts w:hint="eastAsia" w:ascii="宋体" w:hAnsi="宋体"/>
          <w:szCs w:val="21"/>
        </w:rPr>
        <w:t>说。到了清乾隆二十二年（</w:t>
      </w:r>
      <w:r>
        <w:rPr>
          <w:rFonts w:ascii="宋体" w:hAnsi="宋体"/>
          <w:szCs w:val="21"/>
        </w:rPr>
        <w:t>1757年），清廷实行闭关自守，封闭漳州、宁波、连云港3个对外通商港口，以广州为唯一对外通商口岸，梅关驿道便成了沟通中外海上交通</w:t>
      </w:r>
      <w:r>
        <w:rPr>
          <w:rFonts w:hint="eastAsia" w:ascii="宋体" w:hAnsi="宋体"/>
          <w:szCs w:val="21"/>
        </w:rPr>
        <w:t>的唯一陆上通道，南雄也一跃而成为“南来车马北来船”的岭南商贸重镇。其三是南雄黄烟生产的引进发展。南雄黄烟自明末清初由闽南传入。由于南雄特有的红砂土壤及种植技术，生产出来的烟叶具有特优品质，称誉海内外。近百年间迅速发展，到乾隆时“每年货银百万两，其利几与禾稻等”。黄烟生产的发展，改变了南雄农业结构，由自给性生产转向商品性生产。南雄农村生产总值中，作为商品生产的黄烟加上山区土纸、竹木，约占</w:t>
      </w:r>
      <w:r>
        <w:rPr>
          <w:rFonts w:ascii="宋体" w:hAnsi="宋体"/>
          <w:szCs w:val="21"/>
        </w:rPr>
        <w:t>50%。经济的繁荣，促进了人口的增长。明嘉靖至清初有大</w:t>
      </w:r>
      <w:r>
        <w:rPr>
          <w:rFonts w:hint="eastAsia" w:ascii="宋体" w:hAnsi="宋体"/>
          <w:szCs w:val="21"/>
        </w:rPr>
        <w:t>批客家氏族由闽西、赣南迁徙南雄。据旧志载，由宋元到明初，约</w:t>
      </w:r>
      <w:r>
        <w:rPr>
          <w:rFonts w:ascii="宋体" w:hAnsi="宋体"/>
          <w:szCs w:val="21"/>
        </w:rPr>
        <w:t>400多年间，南雄</w:t>
      </w:r>
      <w:r>
        <w:rPr>
          <w:rFonts w:hint="eastAsia" w:ascii="宋体" w:hAnsi="宋体"/>
          <w:szCs w:val="21"/>
        </w:rPr>
        <w:t>人口徘徊于</w:t>
      </w:r>
      <w:r>
        <w:rPr>
          <w:rFonts w:ascii="宋体" w:hAnsi="宋体"/>
          <w:szCs w:val="21"/>
        </w:rPr>
        <w:t>5万人左右，而自明初至清乾、嘉年间，也是400多年间，人口骤增至23</w:t>
      </w:r>
      <w:r>
        <w:rPr>
          <w:rFonts w:hint="eastAsia" w:ascii="宋体" w:hAnsi="宋体"/>
          <w:szCs w:val="21"/>
        </w:rPr>
        <w:t>万多人。鸦片战争后，清廷门户开放，海运日益发展，加上现代铁路、公路交通的兴起，梅关驿道失去了南北交通孔道的作用，南雄商贸随之日渐衰落。新中国成立前百多年间，南雄历经战乱，城乡凋敝，社会经济处于停滞落后状态。</w:t>
      </w:r>
    </w:p>
    <w:p w14:paraId="03C9FBEF">
      <w:pPr>
        <w:pStyle w:val="3"/>
        <w:rPr>
          <w:rFonts w:ascii="宋体" w:hAnsi="宋体"/>
        </w:rPr>
      </w:pPr>
      <w:r>
        <w:rPr>
          <w:rFonts w:hint="eastAsia" w:ascii="宋体" w:hAnsi="宋体"/>
        </w:rPr>
        <w:t>（三）</w:t>
      </w:r>
    </w:p>
    <w:p w14:paraId="6B732701">
      <w:pPr>
        <w:ind w:firstLine="420"/>
        <w:rPr>
          <w:rFonts w:ascii="宋体" w:hAnsi="宋体"/>
          <w:szCs w:val="21"/>
        </w:rPr>
      </w:pPr>
      <w:r>
        <w:rPr>
          <w:rFonts w:hint="eastAsia" w:ascii="宋体" w:hAnsi="宋体"/>
          <w:szCs w:val="21"/>
        </w:rPr>
        <w:t>在现代人民革命斗争中，南雄占有重要位置。孙中山两次北伐，以韶关为大本营，南雄为前哨阵地。</w:t>
      </w:r>
      <w:r>
        <w:rPr>
          <w:rFonts w:ascii="宋体" w:hAnsi="宋体"/>
          <w:szCs w:val="21"/>
        </w:rPr>
        <w:t>6万大军一度云集南雄，得南雄人民积极支援。第二次国内革</w:t>
      </w:r>
      <w:r>
        <w:rPr>
          <w:rFonts w:hint="eastAsia" w:ascii="宋体" w:hAnsi="宋体"/>
          <w:szCs w:val="21"/>
        </w:rPr>
        <w:t>命战争时期，南雄人民在中国共产党领导下，举行武装暴动，建立县苏维埃政府，</w:t>
      </w:r>
      <w:r>
        <w:rPr>
          <w:rFonts w:ascii="宋体" w:hAnsi="宋体"/>
          <w:szCs w:val="21"/>
        </w:rPr>
        <w:t>6</w:t>
      </w:r>
      <w:r>
        <w:rPr>
          <w:rFonts w:hint="eastAsia" w:ascii="宋体" w:hAnsi="宋体"/>
          <w:szCs w:val="21"/>
        </w:rPr>
        <w:t>万农民参加“平田、平仓”斗争。暴动失败后，在粤赣边区建立游击根据地，与中央苏区连成一片。南雄成为中央苏区属县。红军长征后，项英、陈毅在油山开展艰苦卓绝的</w:t>
      </w:r>
      <w:r>
        <w:rPr>
          <w:rFonts w:ascii="宋体" w:hAnsi="宋体"/>
          <w:szCs w:val="21"/>
        </w:rPr>
        <w:t>3年游击战。抗日战争时期，南雄曾是广东抗日后方，国民党中央和广东省属50个军政机关迁来南雄。中共广东省委机关一度驻扎南雄瑶坑村。解放战争时期，</w:t>
      </w:r>
      <w:r>
        <w:rPr>
          <w:rFonts w:hint="eastAsia" w:ascii="宋体" w:hAnsi="宋体"/>
          <w:szCs w:val="21"/>
        </w:rPr>
        <w:t>南雄又是中共五岭地委、粤赣湘边区人民解放总队领导机关驻地。从</w:t>
      </w:r>
      <w:r>
        <w:rPr>
          <w:rFonts w:ascii="宋体" w:hAnsi="宋体"/>
          <w:szCs w:val="21"/>
        </w:rPr>
        <w:t>1926年中共南</w:t>
      </w:r>
      <w:r>
        <w:rPr>
          <w:rFonts w:hint="eastAsia" w:ascii="宋体" w:hAnsi="宋体"/>
          <w:szCs w:val="21"/>
        </w:rPr>
        <w:t>雄支部成立至</w:t>
      </w:r>
      <w:r>
        <w:rPr>
          <w:rFonts w:ascii="宋体" w:hAnsi="宋体"/>
          <w:szCs w:val="21"/>
        </w:rPr>
        <w:t>1949年20多年来，南雄人民红旗不倒，斗争不息，400多位烈士为革</w:t>
      </w:r>
      <w:r>
        <w:rPr>
          <w:rFonts w:hint="eastAsia" w:ascii="宋体" w:hAnsi="宋体"/>
          <w:szCs w:val="21"/>
        </w:rPr>
        <w:t>命献出了生命，</w:t>
      </w:r>
      <w:r>
        <w:rPr>
          <w:rFonts w:ascii="宋体" w:hAnsi="宋体"/>
          <w:szCs w:val="21"/>
        </w:rPr>
        <w:t>2000多个革命老区村庄为革命作出了重大贡献。</w:t>
      </w:r>
    </w:p>
    <w:p w14:paraId="4AD59AFB">
      <w:pPr>
        <w:ind w:firstLine="420"/>
        <w:rPr>
          <w:rFonts w:ascii="宋体" w:hAnsi="宋体"/>
          <w:szCs w:val="21"/>
        </w:rPr>
      </w:pPr>
      <w:r>
        <w:rPr>
          <w:rFonts w:hint="eastAsia" w:ascii="宋体" w:hAnsi="宋体"/>
          <w:szCs w:val="21"/>
        </w:rPr>
        <w:t>新中国成立后，南雄人民发扬革命光荣传统，在社会主义现代化建设中，经历了</w:t>
      </w:r>
      <w:r>
        <w:rPr>
          <w:rFonts w:ascii="宋体" w:hAnsi="宋体"/>
          <w:szCs w:val="21"/>
        </w:rPr>
        <w:t>20世纪50年代“大跃进”、人民公社化运动以及1966年至1976年的“文化大革命”</w:t>
      </w:r>
      <w:r>
        <w:rPr>
          <w:rFonts w:hint="eastAsia" w:ascii="宋体" w:hAnsi="宋体"/>
          <w:szCs w:val="21"/>
        </w:rPr>
        <w:t>运动，克服了一个又一个困难和挫折。</w:t>
      </w:r>
      <w:r>
        <w:rPr>
          <w:rFonts w:ascii="宋体" w:hAnsi="宋体"/>
          <w:szCs w:val="21"/>
        </w:rPr>
        <w:t>1979年，中国共产党的十一届三中全会以后，</w:t>
      </w:r>
      <w:r>
        <w:rPr>
          <w:rFonts w:hint="eastAsia" w:ascii="宋体" w:hAnsi="宋体"/>
          <w:szCs w:val="21"/>
        </w:rPr>
        <w:t>贯彻改革开放方针，实行经济体制改革，调整生产结构，逐步实行由计划经济到市场经济的转变，建立以民营资本为主体的多元化经济体制。短短的</w:t>
      </w:r>
      <w:r>
        <w:rPr>
          <w:rFonts w:ascii="宋体" w:hAnsi="宋体"/>
          <w:szCs w:val="21"/>
        </w:rPr>
        <w:t>20多年间，各项</w:t>
      </w:r>
      <w:r>
        <w:rPr>
          <w:rFonts w:hint="eastAsia" w:ascii="宋体" w:hAnsi="宋体"/>
          <w:szCs w:val="21"/>
        </w:rPr>
        <w:t>事业都有很大发展。从</w:t>
      </w:r>
      <w:r>
        <w:rPr>
          <w:rFonts w:ascii="宋体" w:hAnsi="宋体"/>
          <w:szCs w:val="21"/>
        </w:rPr>
        <w:t>1952年至1978年26年间，社会总产值（1980年不变价）由3423万元增加到12640万元，增长2.69倍。从1978年至2004年又一个26年间，社</w:t>
      </w:r>
      <w:r>
        <w:rPr>
          <w:rFonts w:hint="eastAsia" w:ascii="宋体" w:hAnsi="宋体"/>
          <w:szCs w:val="21"/>
        </w:rPr>
        <w:t>会总产值由</w:t>
      </w:r>
      <w:r>
        <w:rPr>
          <w:rFonts w:ascii="宋体" w:hAnsi="宋体"/>
          <w:szCs w:val="21"/>
        </w:rPr>
        <w:t>12715万元增加到638579万元。按不变价计算，1978年至1990年12年</w:t>
      </w:r>
      <w:r>
        <w:rPr>
          <w:rFonts w:hint="eastAsia" w:ascii="宋体" w:hAnsi="宋体"/>
          <w:szCs w:val="21"/>
        </w:rPr>
        <w:t>间，全市社会总产值增长</w:t>
      </w:r>
      <w:r>
        <w:rPr>
          <w:rFonts w:ascii="宋体" w:hAnsi="宋体"/>
          <w:szCs w:val="21"/>
        </w:rPr>
        <w:t>2.84倍，1990年至2000年10年间增长2.28倍，2001年</w:t>
      </w:r>
      <w:r>
        <w:rPr>
          <w:rFonts w:hint="eastAsia" w:ascii="宋体" w:hAnsi="宋体"/>
          <w:szCs w:val="21"/>
        </w:rPr>
        <w:t>至</w:t>
      </w:r>
      <w:r>
        <w:rPr>
          <w:rFonts w:ascii="宋体" w:hAnsi="宋体"/>
          <w:szCs w:val="21"/>
        </w:rPr>
        <w:t>2004年3年间增长31%。产业结构有较大变化。第一产业产值占总产值的比重，1978年为50.2%，2004年为26.23%。第二产业产值占总产值的比重，1978年为27.8%，2004年为43.88%。第三产业占总产值的比重，1978年为12.2%，2004年</w:t>
      </w:r>
      <w:r>
        <w:rPr>
          <w:rFonts w:hint="eastAsia" w:ascii="宋体" w:hAnsi="宋体"/>
          <w:szCs w:val="21"/>
        </w:rPr>
        <w:t>为</w:t>
      </w:r>
      <w:r>
        <w:rPr>
          <w:rFonts w:ascii="宋体" w:hAnsi="宋体"/>
          <w:szCs w:val="21"/>
        </w:rPr>
        <w:t>29.87%。工商企业已形成以民营经济为主体多种经济成分结构。国有工业产值占</w:t>
      </w:r>
      <w:r>
        <w:rPr>
          <w:rFonts w:hint="eastAsia" w:ascii="宋体" w:hAnsi="宋体"/>
          <w:szCs w:val="21"/>
        </w:rPr>
        <w:t>全市工业总产值的比重，</w:t>
      </w:r>
      <w:r>
        <w:rPr>
          <w:rFonts w:ascii="宋体" w:hAnsi="宋体"/>
          <w:szCs w:val="21"/>
        </w:rPr>
        <w:t>1978年为57.9%，2004年为5.7%。私营工业产值占全市</w:t>
      </w:r>
      <w:r>
        <w:rPr>
          <w:rFonts w:hint="eastAsia" w:ascii="宋体" w:hAnsi="宋体"/>
          <w:szCs w:val="21"/>
        </w:rPr>
        <w:t>工业总产值的比重，</w:t>
      </w:r>
      <w:r>
        <w:rPr>
          <w:rFonts w:ascii="宋体" w:hAnsi="宋体"/>
          <w:szCs w:val="21"/>
        </w:rPr>
        <w:t>1978年为0，2004年为89.7%。社会消费品零售总额中，1978</w:t>
      </w:r>
      <w:r>
        <w:rPr>
          <w:rFonts w:hint="eastAsia" w:ascii="宋体" w:hAnsi="宋体"/>
          <w:szCs w:val="21"/>
        </w:rPr>
        <w:t>年民营企业仅占</w:t>
      </w:r>
      <w:r>
        <w:rPr>
          <w:rFonts w:ascii="宋体" w:hAnsi="宋体"/>
          <w:szCs w:val="21"/>
        </w:rPr>
        <w:t>2%，2004年为90%。</w:t>
      </w:r>
    </w:p>
    <w:p w14:paraId="0A32BE63">
      <w:pPr>
        <w:ind w:firstLine="420"/>
        <w:rPr>
          <w:rFonts w:ascii="宋体" w:hAnsi="宋体"/>
          <w:szCs w:val="21"/>
        </w:rPr>
      </w:pPr>
      <w:r>
        <w:rPr>
          <w:rFonts w:hint="eastAsia" w:ascii="宋体" w:hAnsi="宋体"/>
          <w:szCs w:val="21"/>
        </w:rPr>
        <w:t>在经济体制改革同时，逐步建立和完善社会医疗保险制度。至</w:t>
      </w:r>
      <w:r>
        <w:rPr>
          <w:rFonts w:ascii="宋体" w:hAnsi="宋体"/>
          <w:szCs w:val="21"/>
        </w:rPr>
        <w:t>2004年城镇职工</w:t>
      </w:r>
      <w:r>
        <w:rPr>
          <w:rFonts w:hint="eastAsia" w:ascii="宋体" w:hAnsi="宋体"/>
          <w:szCs w:val="21"/>
        </w:rPr>
        <w:t>参加养老保险有</w:t>
      </w:r>
      <w:r>
        <w:rPr>
          <w:rFonts w:ascii="宋体" w:hAnsi="宋体"/>
          <w:szCs w:val="21"/>
        </w:rPr>
        <w:t>22099人，占应保人数的95%；参加医疗保险有21299人，占应保人</w:t>
      </w:r>
      <w:r>
        <w:rPr>
          <w:rFonts w:hint="eastAsia" w:ascii="宋体" w:hAnsi="宋体"/>
          <w:szCs w:val="21"/>
        </w:rPr>
        <w:t>数的</w:t>
      </w:r>
      <w:r>
        <w:rPr>
          <w:rFonts w:ascii="宋体" w:hAnsi="宋体"/>
          <w:szCs w:val="21"/>
        </w:rPr>
        <w:t>95%，农村有18万人参加农村合作医疗保险，占农村人口的50%。</w:t>
      </w:r>
    </w:p>
    <w:p w14:paraId="7DDCE5C5">
      <w:pPr>
        <w:ind w:firstLine="420"/>
        <w:rPr>
          <w:rFonts w:ascii="宋体" w:hAnsi="宋体"/>
          <w:szCs w:val="21"/>
        </w:rPr>
      </w:pPr>
      <w:r>
        <w:rPr>
          <w:rFonts w:hint="eastAsia" w:ascii="宋体" w:hAnsi="宋体"/>
          <w:szCs w:val="21"/>
        </w:rPr>
        <w:t>半个多世纪以来，最为市民瞩目的是农田水利建设。从</w:t>
      </w:r>
      <w:r>
        <w:rPr>
          <w:rFonts w:ascii="宋体" w:hAnsi="宋体"/>
          <w:szCs w:val="21"/>
        </w:rPr>
        <w:t>1958年起，几十年坚持</w:t>
      </w:r>
      <w:r>
        <w:rPr>
          <w:rFonts w:hint="eastAsia" w:ascii="宋体" w:hAnsi="宋体"/>
          <w:szCs w:val="21"/>
        </w:rPr>
        <w:t>不懈，兴建了一批骨干工程，水库蓄水量达</w:t>
      </w:r>
      <w:r>
        <w:rPr>
          <w:rFonts w:ascii="宋体" w:hAnsi="宋体"/>
          <w:szCs w:val="21"/>
        </w:rPr>
        <w:t>2亿多立方米，灌溉渠道成网，七成多农</w:t>
      </w:r>
      <w:r>
        <w:rPr>
          <w:rFonts w:hint="eastAsia" w:ascii="宋体" w:hAnsi="宋体"/>
          <w:szCs w:val="21"/>
        </w:rPr>
        <w:t>田得到灌溉，改变了千百年来干旱面貌，为农业创造了稳产高产、优质高效的条件。在改革开放中，再接再厉，不断建立完善市、镇、村三级水利工程管理机构与管理制度，筹资</w:t>
      </w:r>
      <w:r>
        <w:rPr>
          <w:rFonts w:ascii="宋体" w:hAnsi="宋体"/>
          <w:szCs w:val="21"/>
        </w:rPr>
        <w:t>4.5亿元，做好每一项工程的除险加固工作，保证工程正常运转。1989年，</w:t>
      </w:r>
      <w:r>
        <w:rPr>
          <w:rFonts w:hint="eastAsia" w:ascii="宋体" w:hAnsi="宋体"/>
          <w:szCs w:val="21"/>
        </w:rPr>
        <w:t>获得“全国水利建设先进县”称号。</w:t>
      </w:r>
    </w:p>
    <w:p w14:paraId="60D84282">
      <w:pPr>
        <w:ind w:firstLine="420"/>
        <w:rPr>
          <w:rFonts w:ascii="宋体" w:hAnsi="宋体"/>
          <w:szCs w:val="21"/>
        </w:rPr>
      </w:pPr>
      <w:r>
        <w:rPr>
          <w:rFonts w:hint="eastAsia" w:ascii="宋体" w:hAnsi="宋体"/>
          <w:szCs w:val="21"/>
        </w:rPr>
        <w:t>在改革开放中，农业不断完善家庭联产承包责任制，逐步推行农业产业化，实施“公司</w:t>
      </w:r>
      <w:r>
        <w:rPr>
          <w:rFonts w:ascii="宋体" w:hAnsi="宋体"/>
          <w:szCs w:val="21"/>
        </w:rPr>
        <w:t>＋农户＋基础”模式，推广科学技术。黄烟实行品种优良化、种植区域化、技</w:t>
      </w:r>
      <w:r>
        <w:rPr>
          <w:rFonts w:hint="eastAsia" w:ascii="宋体" w:hAnsi="宋体"/>
          <w:szCs w:val="21"/>
        </w:rPr>
        <w:t>术规范化，科技兴烟，成效显著。</w:t>
      </w:r>
      <w:r>
        <w:rPr>
          <w:rFonts w:ascii="宋体" w:hAnsi="宋体"/>
          <w:szCs w:val="21"/>
        </w:rPr>
        <w:t>1988年至2004年，17年平均年产烟叶22751吨，</w:t>
      </w:r>
      <w:r>
        <w:rPr>
          <w:rFonts w:hint="eastAsia" w:ascii="宋体" w:hAnsi="宋体"/>
          <w:szCs w:val="21"/>
        </w:rPr>
        <w:t>且烟叶品质优良。南雄被誉为“中国黄烟之乡”。粮食总产由</w:t>
      </w:r>
      <w:r>
        <w:rPr>
          <w:rFonts w:ascii="宋体" w:hAnsi="宋体"/>
          <w:szCs w:val="21"/>
        </w:rPr>
        <w:t>1950年的57619吨增加</w:t>
      </w:r>
      <w:r>
        <w:rPr>
          <w:rFonts w:hint="eastAsia" w:ascii="宋体" w:hAnsi="宋体"/>
          <w:szCs w:val="21"/>
        </w:rPr>
        <w:t>至</w:t>
      </w:r>
      <w:r>
        <w:rPr>
          <w:rFonts w:ascii="宋体" w:hAnsi="宋体"/>
          <w:szCs w:val="21"/>
        </w:rPr>
        <w:t>2004年的246852吨，增长3.28倍。优质稻生产进入产业化，年种植</w:t>
      </w:r>
      <w:r>
        <w:rPr>
          <w:rFonts w:hint="eastAsia" w:ascii="宋体" w:hAnsi="宋体"/>
          <w:szCs w:val="21"/>
        </w:rPr>
        <w:t>6</w:t>
      </w:r>
      <w:r>
        <w:rPr>
          <w:rFonts w:ascii="宋体" w:hAnsi="宋体"/>
          <w:szCs w:val="21"/>
        </w:rPr>
        <w:t>666.67多</w:t>
      </w:r>
      <w:r>
        <w:rPr>
          <w:rFonts w:hint="eastAsia" w:ascii="宋体" w:hAnsi="宋体"/>
          <w:szCs w:val="21"/>
        </w:rPr>
        <w:t>公顷，金友米成为中国名牌产品。工业引进外资，开展城市经营。公路交通日益完善，国、省、乡道纵横交错，里程</w:t>
      </w:r>
      <w:r>
        <w:rPr>
          <w:rFonts w:ascii="宋体" w:hAnsi="宋体"/>
          <w:szCs w:val="21"/>
        </w:rPr>
        <w:t>1200余公里，水泥公路铺到了每个镇和村。城镇</w:t>
      </w:r>
      <w:r>
        <w:rPr>
          <w:rFonts w:hint="eastAsia" w:ascii="宋体" w:hAnsi="宋体"/>
          <w:szCs w:val="21"/>
        </w:rPr>
        <w:t>建设面貌一新，雄州古城扩建新城区</w:t>
      </w:r>
      <w:r>
        <w:rPr>
          <w:rFonts w:ascii="宋体" w:hAnsi="宋体"/>
          <w:szCs w:val="21"/>
        </w:rPr>
        <w:t>1.34平方公里，老城区正加紧改造。电信网络</w:t>
      </w:r>
      <w:r>
        <w:rPr>
          <w:rFonts w:hint="eastAsia" w:ascii="宋体" w:hAnsi="宋体"/>
          <w:szCs w:val="21"/>
        </w:rPr>
        <w:t>覆盖城乡。积极挖掘历史文化名城蕴藏，建设文化名胜景区，开发新兴的旅游事业。梅关古道、珠玑古巷、红层恐龙等一批历史文化名胜景区，经修葺保护，重现异彩。</w:t>
      </w:r>
      <w:r>
        <w:rPr>
          <w:rFonts w:ascii="宋体" w:hAnsi="宋体"/>
          <w:szCs w:val="21"/>
        </w:rPr>
        <w:t>2004年，到南雄旅游人数达28万人次。多方筹集资金，加强教育设施建设，改造薄</w:t>
      </w:r>
      <w:r>
        <w:rPr>
          <w:rFonts w:hint="eastAsia" w:ascii="宋体" w:hAnsi="宋体"/>
          <w:szCs w:val="21"/>
        </w:rPr>
        <w:t>弱学校，调整学校布局。</w:t>
      </w:r>
      <w:r>
        <w:rPr>
          <w:rFonts w:ascii="宋体" w:hAnsi="宋体"/>
          <w:szCs w:val="21"/>
        </w:rPr>
        <w:t>1986年南雄县被授予“全国基础教育先进县”称号。1993</w:t>
      </w:r>
      <w:r>
        <w:rPr>
          <w:rFonts w:hint="eastAsia" w:ascii="宋体" w:hAnsi="宋体"/>
          <w:szCs w:val="21"/>
        </w:rPr>
        <w:t>年完成普及九年义务教育。</w:t>
      </w:r>
    </w:p>
    <w:p w14:paraId="17B64E9F">
      <w:pPr>
        <w:ind w:firstLine="420"/>
        <w:rPr>
          <w:rFonts w:ascii="宋体" w:hAnsi="宋体"/>
          <w:szCs w:val="21"/>
        </w:rPr>
      </w:pPr>
      <w:r>
        <w:rPr>
          <w:rFonts w:hint="eastAsia" w:ascii="宋体" w:hAnsi="宋体"/>
          <w:szCs w:val="21"/>
        </w:rPr>
        <w:t>改革开放从根本上改变了南雄面貌。</w:t>
      </w:r>
      <w:r>
        <w:rPr>
          <w:rFonts w:ascii="宋体" w:hAnsi="宋体"/>
          <w:szCs w:val="21"/>
        </w:rPr>
        <w:t>1996年6月，经国务院批准，南雄县</w:t>
      </w:r>
      <w:r>
        <w:rPr>
          <w:rFonts w:hint="eastAsia" w:ascii="宋体" w:hAnsi="宋体"/>
          <w:szCs w:val="21"/>
        </w:rPr>
        <w:t>撤</w:t>
      </w:r>
      <w:r>
        <w:rPr>
          <w:rFonts w:ascii="宋体" w:hAnsi="宋体"/>
          <w:szCs w:val="21"/>
        </w:rPr>
        <w:t>县</w:t>
      </w:r>
      <w:r>
        <w:rPr>
          <w:rFonts w:hint="eastAsia" w:ascii="宋体" w:hAnsi="宋体"/>
          <w:szCs w:val="21"/>
        </w:rPr>
        <w:t>设市。</w:t>
      </w:r>
      <w:r>
        <w:rPr>
          <w:rFonts w:ascii="宋体" w:hAnsi="宋体"/>
          <w:szCs w:val="21"/>
        </w:rPr>
        <w:t>2000年9月，经省验收，实现农村小康达标市。南雄作为广东的历史文化名</w:t>
      </w:r>
      <w:r>
        <w:rPr>
          <w:rFonts w:hint="eastAsia" w:ascii="宋体" w:hAnsi="宋体"/>
          <w:szCs w:val="21"/>
        </w:rPr>
        <w:t>城，在</w:t>
      </w:r>
      <w:r>
        <w:rPr>
          <w:rFonts w:ascii="宋体" w:hAnsi="宋体"/>
          <w:szCs w:val="21"/>
        </w:rPr>
        <w:t>21世纪建设大潮中，充分发挥其历史文化优势，把握新的经济增长点，脚踏</w:t>
      </w:r>
      <w:r>
        <w:rPr>
          <w:rFonts w:hint="eastAsia" w:ascii="宋体" w:hAnsi="宋体"/>
          <w:szCs w:val="21"/>
        </w:rPr>
        <w:t>实地，不断前进！</w:t>
      </w:r>
    </w:p>
    <w:p w14:paraId="7E5A7607">
      <w:pPr>
        <w:pStyle w:val="2"/>
        <w:rPr>
          <w:rFonts w:ascii="宋体" w:hAnsi="宋体"/>
        </w:rPr>
      </w:pPr>
      <w:r>
        <w:rPr>
          <w:rFonts w:hint="eastAsia" w:ascii="宋体" w:hAnsi="宋体"/>
        </w:rPr>
        <w:t>大事记</w:t>
      </w:r>
    </w:p>
    <w:p w14:paraId="691E5459">
      <w:pPr>
        <w:pStyle w:val="3"/>
        <w:rPr>
          <w:rFonts w:ascii="宋体" w:hAnsi="宋体"/>
        </w:rPr>
      </w:pPr>
      <w:r>
        <w:rPr>
          <w:rFonts w:hint="eastAsia" w:ascii="宋体" w:hAnsi="宋体"/>
        </w:rPr>
        <w:t>一、古代</w:t>
      </w:r>
    </w:p>
    <w:p w14:paraId="441057A6">
      <w:pPr>
        <w:pStyle w:val="4"/>
        <w:rPr>
          <w:rFonts w:ascii="宋体" w:hAnsi="宋体"/>
        </w:rPr>
      </w:pPr>
      <w:r>
        <w:rPr>
          <w:rFonts w:hint="eastAsia" w:ascii="宋体" w:hAnsi="宋体"/>
        </w:rPr>
        <w:t>秦</w:t>
      </w:r>
    </w:p>
    <w:p w14:paraId="02EFCDDD">
      <w:pPr>
        <w:ind w:firstLine="420"/>
        <w:rPr>
          <w:rFonts w:ascii="宋体" w:hAnsi="宋体"/>
          <w:szCs w:val="21"/>
        </w:rPr>
      </w:pPr>
      <w:r>
        <w:rPr>
          <w:rFonts w:hint="eastAsia" w:ascii="宋体" w:hAnsi="宋体"/>
          <w:szCs w:val="21"/>
        </w:rPr>
        <w:t>秦初，梅鋗从越王逾零陵至梅岭，筑城浈水上，奉王居之。</w:t>
      </w:r>
    </w:p>
    <w:p w14:paraId="0A4DBEC1">
      <w:pPr>
        <w:ind w:firstLine="420"/>
        <w:rPr>
          <w:rFonts w:ascii="宋体" w:hAnsi="宋体"/>
          <w:szCs w:val="21"/>
        </w:rPr>
      </w:pPr>
      <w:r>
        <w:rPr>
          <w:rFonts w:hint="eastAsia" w:ascii="宋体" w:hAnsi="宋体"/>
          <w:szCs w:val="21"/>
        </w:rPr>
        <w:t>秦始皇三十三年（前</w:t>
      </w:r>
      <w:r>
        <w:rPr>
          <w:rFonts w:ascii="宋体" w:hAnsi="宋体"/>
          <w:szCs w:val="21"/>
        </w:rPr>
        <w:t>214年），发兵50万戍五岭，旋筑横浦关于大庾岭上。</w:t>
      </w:r>
    </w:p>
    <w:p w14:paraId="1FCE3047">
      <w:pPr>
        <w:ind w:firstLine="420"/>
        <w:rPr>
          <w:rFonts w:ascii="宋体" w:hAnsi="宋体"/>
          <w:szCs w:val="21"/>
        </w:rPr>
      </w:pPr>
      <w:r>
        <w:rPr>
          <w:rFonts w:hint="eastAsia" w:ascii="宋体" w:hAnsi="宋体"/>
          <w:szCs w:val="21"/>
        </w:rPr>
        <w:t>秦末，诸侯起兵伐秦，龙川令赵佗从南海尉任嚣谋，移檄告横浦诸关，绝道聚兵守。梅鋗则起兵从刘邦伐秦。秦灭，项羽以梅鋗功多，封</w:t>
      </w:r>
      <w:r>
        <w:rPr>
          <w:rFonts w:ascii="宋体" w:hAnsi="宋体"/>
          <w:szCs w:val="21"/>
        </w:rPr>
        <w:t>10万户侯。</w:t>
      </w:r>
    </w:p>
    <w:p w14:paraId="5F468908">
      <w:pPr>
        <w:pStyle w:val="4"/>
        <w:rPr>
          <w:rFonts w:ascii="宋体" w:hAnsi="宋体"/>
        </w:rPr>
      </w:pPr>
      <w:r>
        <w:rPr>
          <w:rFonts w:hint="eastAsia" w:ascii="宋体" w:hAnsi="宋体"/>
        </w:rPr>
        <w:t>西汉</w:t>
      </w:r>
    </w:p>
    <w:p w14:paraId="08ABB002">
      <w:pPr>
        <w:ind w:firstLine="422"/>
        <w:rPr>
          <w:rFonts w:ascii="宋体" w:hAnsi="宋体"/>
          <w:szCs w:val="21"/>
        </w:rPr>
      </w:pPr>
      <w:r>
        <w:rPr>
          <w:rFonts w:hint="eastAsia" w:ascii="宋体" w:hAnsi="宋体"/>
          <w:b/>
          <w:szCs w:val="21"/>
        </w:rPr>
        <w:t>元鼎</w:t>
      </w:r>
      <w:r>
        <w:rPr>
          <w:rFonts w:hint="eastAsia" w:ascii="宋体" w:hAnsi="宋体"/>
          <w:szCs w:val="21"/>
        </w:rPr>
        <w:t>六年（前</w:t>
      </w:r>
      <w:r>
        <w:rPr>
          <w:rFonts w:ascii="宋体" w:hAnsi="宋体"/>
          <w:szCs w:val="21"/>
        </w:rPr>
        <w:t>111年）十月，武帝发兵平南越乱。楼船将军杨仆率楼船师出豫</w:t>
      </w:r>
      <w:r>
        <w:rPr>
          <w:rFonts w:hint="eastAsia" w:ascii="宋体" w:hAnsi="宋体"/>
          <w:szCs w:val="21"/>
        </w:rPr>
        <w:t>章，下浈水，大破南越叛相吕嘉于番禺。</w:t>
      </w:r>
    </w:p>
    <w:p w14:paraId="38D58284">
      <w:pPr>
        <w:pStyle w:val="4"/>
        <w:rPr>
          <w:rFonts w:ascii="宋体" w:hAnsi="宋体"/>
        </w:rPr>
      </w:pPr>
      <w:r>
        <w:rPr>
          <w:rFonts w:hint="eastAsia" w:ascii="宋体" w:hAnsi="宋体"/>
        </w:rPr>
        <w:t>三国</w:t>
      </w:r>
    </w:p>
    <w:p w14:paraId="3EA10D42">
      <w:pPr>
        <w:ind w:firstLine="422"/>
        <w:rPr>
          <w:rFonts w:ascii="宋体" w:hAnsi="宋体"/>
          <w:szCs w:val="21"/>
        </w:rPr>
      </w:pPr>
      <w:r>
        <w:rPr>
          <w:rFonts w:hint="eastAsia" w:ascii="宋体" w:hAnsi="宋体"/>
          <w:b/>
          <w:szCs w:val="21"/>
        </w:rPr>
        <w:t>吴赤乌</w:t>
      </w:r>
      <w:r>
        <w:rPr>
          <w:rFonts w:hint="eastAsia" w:ascii="宋体" w:hAnsi="宋体"/>
          <w:szCs w:val="21"/>
        </w:rPr>
        <w:t>四年（</w:t>
      </w:r>
      <w:r>
        <w:rPr>
          <w:rFonts w:ascii="宋体" w:hAnsi="宋体"/>
          <w:szCs w:val="21"/>
        </w:rPr>
        <w:t>241年），孙权遣将军聂友、校尉陆凯率3万兵讨珠崖儋耳。渡梅</w:t>
      </w:r>
      <w:r>
        <w:rPr>
          <w:rFonts w:hint="eastAsia" w:ascii="宋体" w:hAnsi="宋体"/>
          <w:szCs w:val="21"/>
        </w:rPr>
        <w:t>时，正值岭梅怒放，陆凯折梅赋诗《赠范晔》。是为吟咏岭梅的第一首诗。</w:t>
      </w:r>
    </w:p>
    <w:p w14:paraId="797E1CEE">
      <w:pPr>
        <w:pStyle w:val="4"/>
        <w:rPr>
          <w:rFonts w:ascii="宋体" w:hAnsi="宋体"/>
        </w:rPr>
      </w:pPr>
      <w:r>
        <w:rPr>
          <w:rFonts w:hint="eastAsia" w:ascii="宋体" w:hAnsi="宋体"/>
        </w:rPr>
        <w:t>西晋</w:t>
      </w:r>
    </w:p>
    <w:p w14:paraId="54B934D9">
      <w:pPr>
        <w:ind w:firstLine="422"/>
        <w:rPr>
          <w:rFonts w:ascii="宋体" w:hAnsi="宋体"/>
          <w:szCs w:val="21"/>
        </w:rPr>
      </w:pPr>
      <w:r>
        <w:rPr>
          <w:rFonts w:hint="eastAsia" w:ascii="宋体" w:hAnsi="宋体"/>
          <w:b/>
          <w:szCs w:val="21"/>
        </w:rPr>
        <w:t>建兴</w:t>
      </w:r>
      <w:r>
        <w:rPr>
          <w:rFonts w:hint="eastAsia" w:ascii="宋体" w:hAnsi="宋体"/>
          <w:szCs w:val="21"/>
        </w:rPr>
        <w:t>三年（</w:t>
      </w:r>
      <w:r>
        <w:rPr>
          <w:rFonts w:ascii="宋体" w:hAnsi="宋体"/>
          <w:szCs w:val="21"/>
        </w:rPr>
        <w:t>315年），太常卿李耿因极言直谏，左迁始兴郡曲江令，由虔入粤，</w:t>
      </w:r>
      <w:r>
        <w:rPr>
          <w:rFonts w:hint="eastAsia" w:ascii="宋体" w:hAnsi="宋体"/>
          <w:szCs w:val="21"/>
        </w:rPr>
        <w:t>道经新溪（今新田），环睹川原幽异，乃弃官，举家由秣陵（今南京）后街迁新溪定居，而后繁衍为雄州一方望族。</w:t>
      </w:r>
    </w:p>
    <w:p w14:paraId="5105703F">
      <w:pPr>
        <w:pStyle w:val="4"/>
        <w:rPr>
          <w:rFonts w:ascii="宋体" w:hAnsi="宋体"/>
        </w:rPr>
      </w:pPr>
      <w:r>
        <w:rPr>
          <w:rFonts w:hint="eastAsia" w:ascii="宋体" w:hAnsi="宋体"/>
        </w:rPr>
        <w:t>南朝梁</w:t>
      </w:r>
    </w:p>
    <w:p w14:paraId="35B58956">
      <w:pPr>
        <w:ind w:firstLine="422"/>
        <w:rPr>
          <w:rFonts w:ascii="宋体" w:hAnsi="宋体"/>
          <w:szCs w:val="21"/>
        </w:rPr>
      </w:pPr>
      <w:r>
        <w:rPr>
          <w:rFonts w:hint="eastAsia" w:ascii="宋体" w:hAnsi="宋体"/>
          <w:b/>
          <w:szCs w:val="21"/>
        </w:rPr>
        <w:t>太清</w:t>
      </w:r>
      <w:r>
        <w:rPr>
          <w:rFonts w:hint="eastAsia" w:ascii="宋体" w:hAnsi="宋体"/>
          <w:szCs w:val="21"/>
        </w:rPr>
        <w:t>三年（</w:t>
      </w:r>
      <w:r>
        <w:rPr>
          <w:rFonts w:ascii="宋体" w:hAnsi="宋体"/>
          <w:szCs w:val="21"/>
        </w:rPr>
        <w:t>549年）十一月，始兴太守陈霸先为防御侯景之乱，遣主帅杜僧明将2000人屯于梅岭</w:t>
      </w:r>
      <w:r>
        <w:rPr>
          <w:rFonts w:hint="eastAsia" w:ascii="宋体" w:hAnsi="宋体"/>
          <w:szCs w:val="21"/>
        </w:rPr>
        <w:t>。</w:t>
      </w:r>
    </w:p>
    <w:p w14:paraId="142246C5">
      <w:pPr>
        <w:ind w:firstLine="422"/>
        <w:rPr>
          <w:rFonts w:ascii="宋体" w:hAnsi="宋体"/>
          <w:szCs w:val="21"/>
        </w:rPr>
      </w:pPr>
      <w:r>
        <w:rPr>
          <w:rFonts w:hint="eastAsia" w:ascii="宋体" w:hAnsi="宋体"/>
          <w:b/>
          <w:szCs w:val="21"/>
        </w:rPr>
        <w:t>大宝</w:t>
      </w:r>
      <w:r>
        <w:rPr>
          <w:rFonts w:hint="eastAsia" w:ascii="宋体" w:hAnsi="宋体"/>
          <w:szCs w:val="21"/>
        </w:rPr>
        <w:t>元年（</w:t>
      </w:r>
      <w:r>
        <w:rPr>
          <w:rFonts w:ascii="宋体" w:hAnsi="宋体"/>
          <w:szCs w:val="21"/>
        </w:rPr>
        <w:t>550年）正月，陈霸先率3万精兵渡大庾岭讨侯景，与蔡路养战于</w:t>
      </w:r>
      <w:r>
        <w:rPr>
          <w:rFonts w:hint="eastAsia" w:ascii="宋体" w:hAnsi="宋体"/>
          <w:szCs w:val="21"/>
        </w:rPr>
        <w:t>南野。</w:t>
      </w:r>
    </w:p>
    <w:p w14:paraId="1C372776">
      <w:pPr>
        <w:pStyle w:val="4"/>
        <w:rPr>
          <w:rFonts w:ascii="宋体" w:hAnsi="宋体"/>
        </w:rPr>
      </w:pPr>
      <w:r>
        <w:rPr>
          <w:rFonts w:hint="eastAsia" w:ascii="宋体" w:hAnsi="宋体"/>
        </w:rPr>
        <w:t>隋</w:t>
      </w:r>
    </w:p>
    <w:p w14:paraId="4E8A47EB">
      <w:pPr>
        <w:ind w:firstLine="422"/>
        <w:rPr>
          <w:rFonts w:ascii="宋体" w:hAnsi="宋体"/>
          <w:szCs w:val="21"/>
        </w:rPr>
      </w:pPr>
      <w:r>
        <w:rPr>
          <w:rFonts w:hint="eastAsia" w:ascii="宋体" w:hAnsi="宋体"/>
          <w:b/>
          <w:szCs w:val="21"/>
        </w:rPr>
        <w:t>大业</w:t>
      </w:r>
      <w:r>
        <w:rPr>
          <w:rFonts w:hint="eastAsia" w:ascii="宋体" w:hAnsi="宋体"/>
          <w:szCs w:val="21"/>
        </w:rPr>
        <w:t>八年（</w:t>
      </w:r>
      <w:r>
        <w:rPr>
          <w:rFonts w:ascii="宋体" w:hAnsi="宋体"/>
          <w:szCs w:val="21"/>
        </w:rPr>
        <w:t>612年）三月，百顺人麦铁杖以右屯卫大将军从帝征辽东，为前锋，</w:t>
      </w:r>
      <w:r>
        <w:rPr>
          <w:rFonts w:hint="eastAsia" w:ascii="宋体" w:hAnsi="宋体"/>
          <w:szCs w:val="21"/>
        </w:rPr>
        <w:t>战死，御赐宿国公，谥“忠烈”。</w:t>
      </w:r>
    </w:p>
    <w:p w14:paraId="61C7531E">
      <w:pPr>
        <w:pStyle w:val="4"/>
        <w:rPr>
          <w:rFonts w:ascii="宋体" w:hAnsi="宋体"/>
        </w:rPr>
      </w:pPr>
      <w:r>
        <w:rPr>
          <w:rFonts w:hint="eastAsia" w:ascii="宋体" w:hAnsi="宋体"/>
        </w:rPr>
        <w:t>唐</w:t>
      </w:r>
    </w:p>
    <w:p w14:paraId="6B464242">
      <w:pPr>
        <w:ind w:firstLine="422"/>
        <w:rPr>
          <w:rFonts w:ascii="宋体" w:hAnsi="宋体"/>
          <w:szCs w:val="21"/>
        </w:rPr>
      </w:pPr>
      <w:r>
        <w:rPr>
          <w:rFonts w:hint="eastAsia" w:ascii="宋体" w:hAnsi="宋体"/>
          <w:b/>
          <w:szCs w:val="21"/>
        </w:rPr>
        <w:t>开元</w:t>
      </w:r>
      <w:r>
        <w:rPr>
          <w:rFonts w:hint="eastAsia" w:ascii="宋体" w:hAnsi="宋体"/>
          <w:szCs w:val="21"/>
        </w:rPr>
        <w:t>四年（</w:t>
      </w:r>
      <w:r>
        <w:rPr>
          <w:rFonts w:ascii="宋体" w:hAnsi="宋体"/>
          <w:szCs w:val="21"/>
        </w:rPr>
        <w:t>716年）五月，内供奉、左拾遗张九龄奉诏开凿大庾岭路</w:t>
      </w:r>
      <w:r>
        <w:rPr>
          <w:rFonts w:hint="eastAsia" w:ascii="宋体" w:hAnsi="宋体"/>
          <w:szCs w:val="21"/>
        </w:rPr>
        <w:t>。</w:t>
      </w:r>
    </w:p>
    <w:p w14:paraId="7EE6265E">
      <w:pPr>
        <w:ind w:firstLine="422"/>
        <w:rPr>
          <w:rFonts w:ascii="宋体" w:hAnsi="宋体"/>
          <w:szCs w:val="21"/>
        </w:rPr>
      </w:pPr>
      <w:r>
        <w:rPr>
          <w:rFonts w:hint="eastAsia" w:ascii="宋体" w:hAnsi="宋体"/>
          <w:b/>
          <w:szCs w:val="21"/>
        </w:rPr>
        <w:t>景福</w:t>
      </w:r>
      <w:r>
        <w:rPr>
          <w:rFonts w:hint="eastAsia" w:ascii="宋体" w:hAnsi="宋体"/>
          <w:szCs w:val="21"/>
        </w:rPr>
        <w:t>二年（</w:t>
      </w:r>
      <w:r>
        <w:rPr>
          <w:rFonts w:ascii="宋体" w:hAnsi="宋体"/>
          <w:szCs w:val="21"/>
        </w:rPr>
        <w:t>893年），浈昌人孔闰年十九，举进士，官至朝散大夫，袁州刺史</w:t>
      </w:r>
      <w:r>
        <w:rPr>
          <w:rFonts w:hint="eastAsia" w:ascii="宋体" w:hAnsi="宋体"/>
          <w:szCs w:val="21"/>
        </w:rPr>
        <w:t>。</w:t>
      </w:r>
    </w:p>
    <w:p w14:paraId="7582411A">
      <w:pPr>
        <w:ind w:firstLine="422"/>
        <w:rPr>
          <w:rFonts w:ascii="宋体" w:hAnsi="宋体"/>
          <w:szCs w:val="21"/>
        </w:rPr>
      </w:pPr>
      <w:r>
        <w:rPr>
          <w:rFonts w:hint="eastAsia" w:ascii="宋体" w:hAnsi="宋体"/>
          <w:b/>
          <w:szCs w:val="21"/>
        </w:rPr>
        <w:t>宝历</w:t>
      </w:r>
      <w:r>
        <w:rPr>
          <w:rFonts w:hint="eastAsia" w:ascii="宋体" w:hAnsi="宋体"/>
          <w:szCs w:val="21"/>
        </w:rPr>
        <w:t>间，沙水敬宗巷张兴七世同居，唐敬宗李湛闻其孝义，旌以珠玑绦环。后为避敬宗讳，改敬宗巷为珠玑巷，孝义之声闻于遐迩。</w:t>
      </w:r>
    </w:p>
    <w:p w14:paraId="3E28884E">
      <w:pPr>
        <w:pStyle w:val="4"/>
        <w:rPr>
          <w:rFonts w:ascii="宋体" w:hAnsi="宋体"/>
        </w:rPr>
      </w:pPr>
      <w:r>
        <w:rPr>
          <w:rFonts w:hint="eastAsia" w:ascii="宋体" w:hAnsi="宋体"/>
        </w:rPr>
        <w:t>南汉</w:t>
      </w:r>
    </w:p>
    <w:p w14:paraId="632A5E79">
      <w:pPr>
        <w:ind w:firstLine="422"/>
        <w:rPr>
          <w:rFonts w:ascii="宋体" w:hAnsi="宋体"/>
          <w:szCs w:val="21"/>
        </w:rPr>
      </w:pPr>
      <w:r>
        <w:rPr>
          <w:rFonts w:hint="eastAsia" w:ascii="宋体" w:hAnsi="宋体"/>
          <w:b/>
          <w:szCs w:val="21"/>
        </w:rPr>
        <w:t>乾亨</w:t>
      </w:r>
      <w:r>
        <w:rPr>
          <w:rFonts w:hint="eastAsia" w:ascii="宋体" w:hAnsi="宋体"/>
          <w:szCs w:val="21"/>
        </w:rPr>
        <w:t>四年（</w:t>
      </w:r>
      <w:r>
        <w:rPr>
          <w:rFonts w:ascii="宋体" w:hAnsi="宋体"/>
          <w:szCs w:val="21"/>
        </w:rPr>
        <w:t>920年），析韶州置雄州，治浈昌，辖浈昌、始兴二县</w:t>
      </w:r>
      <w:r>
        <w:rPr>
          <w:rFonts w:hint="eastAsia" w:ascii="宋体" w:hAnsi="宋体"/>
          <w:szCs w:val="21"/>
        </w:rPr>
        <w:t>。</w:t>
      </w:r>
    </w:p>
    <w:p w14:paraId="12344CC7">
      <w:pPr>
        <w:pStyle w:val="4"/>
        <w:rPr>
          <w:rFonts w:ascii="宋体" w:hAnsi="宋体"/>
        </w:rPr>
      </w:pPr>
      <w:r>
        <w:rPr>
          <w:rFonts w:hint="eastAsia" w:ascii="宋体" w:hAnsi="宋体"/>
        </w:rPr>
        <w:t>北宋</w:t>
      </w:r>
    </w:p>
    <w:p w14:paraId="5697238B">
      <w:pPr>
        <w:ind w:firstLine="422"/>
        <w:rPr>
          <w:rFonts w:ascii="宋体" w:hAnsi="宋体"/>
          <w:szCs w:val="21"/>
        </w:rPr>
      </w:pPr>
      <w:r>
        <w:rPr>
          <w:rFonts w:hint="eastAsia" w:ascii="宋体" w:hAnsi="宋体"/>
          <w:b/>
          <w:szCs w:val="21"/>
        </w:rPr>
        <w:t>建隆</w:t>
      </w:r>
      <w:r>
        <w:rPr>
          <w:rFonts w:hint="eastAsia" w:ascii="宋体" w:hAnsi="宋体"/>
          <w:szCs w:val="21"/>
        </w:rPr>
        <w:t>三年（</w:t>
      </w:r>
      <w:r>
        <w:rPr>
          <w:rFonts w:ascii="宋体" w:hAnsi="宋体"/>
          <w:szCs w:val="21"/>
        </w:rPr>
        <w:t>962年），孔闰在坪林创办孔林书院，为南雄书院之始。亦为岭南已</w:t>
      </w:r>
      <w:r>
        <w:rPr>
          <w:rFonts w:hint="eastAsia" w:ascii="宋体" w:hAnsi="宋体"/>
          <w:szCs w:val="21"/>
        </w:rPr>
        <w:t>知第一所书院。</w:t>
      </w:r>
    </w:p>
    <w:p w14:paraId="2A687721">
      <w:pPr>
        <w:ind w:firstLine="422"/>
        <w:rPr>
          <w:rFonts w:ascii="宋体" w:hAnsi="宋体"/>
          <w:szCs w:val="21"/>
        </w:rPr>
      </w:pPr>
      <w:r>
        <w:rPr>
          <w:rFonts w:hint="eastAsia" w:ascii="宋体" w:hAnsi="宋体"/>
          <w:b/>
          <w:szCs w:val="21"/>
        </w:rPr>
        <w:t>开宝</w:t>
      </w:r>
      <w:r>
        <w:rPr>
          <w:rFonts w:hint="eastAsia" w:ascii="宋体" w:hAnsi="宋体"/>
          <w:szCs w:val="21"/>
        </w:rPr>
        <w:t>四年（</w:t>
      </w:r>
      <w:r>
        <w:rPr>
          <w:rFonts w:ascii="宋体" w:hAnsi="宋体"/>
          <w:szCs w:val="21"/>
        </w:rPr>
        <w:t>971年），潘美征岭南克雄州，为与河北雄州别，改名南雄州，辖县</w:t>
      </w:r>
      <w:r>
        <w:rPr>
          <w:rFonts w:hint="eastAsia" w:ascii="宋体" w:hAnsi="宋体"/>
          <w:szCs w:val="21"/>
        </w:rPr>
        <w:t>不变。</w:t>
      </w:r>
    </w:p>
    <w:p w14:paraId="6C9C7CA5">
      <w:pPr>
        <w:ind w:firstLine="422"/>
        <w:rPr>
          <w:rFonts w:ascii="宋体" w:hAnsi="宋体"/>
          <w:szCs w:val="21"/>
        </w:rPr>
      </w:pPr>
      <w:r>
        <w:rPr>
          <w:rFonts w:hint="eastAsia" w:ascii="宋体" w:hAnsi="宋体"/>
          <w:b/>
          <w:szCs w:val="21"/>
        </w:rPr>
        <w:t>大中</w:t>
      </w:r>
      <w:r>
        <w:rPr>
          <w:rFonts w:hint="eastAsia" w:ascii="宋体" w:hAnsi="宋体"/>
          <w:szCs w:val="21"/>
        </w:rPr>
        <w:t>祥符二年（</w:t>
      </w:r>
      <w:r>
        <w:rPr>
          <w:rFonts w:ascii="宋体" w:hAnsi="宋体"/>
          <w:szCs w:val="21"/>
        </w:rPr>
        <w:t>1009年），建延祥寺塔（三影塔）。</w:t>
      </w:r>
    </w:p>
    <w:p w14:paraId="4DF2BCE5">
      <w:pPr>
        <w:ind w:firstLine="422"/>
        <w:rPr>
          <w:rFonts w:ascii="宋体" w:hAnsi="宋体"/>
          <w:szCs w:val="21"/>
        </w:rPr>
      </w:pPr>
      <w:r>
        <w:rPr>
          <w:rFonts w:hint="eastAsia" w:ascii="宋体" w:hAnsi="宋体"/>
          <w:b/>
          <w:szCs w:val="21"/>
        </w:rPr>
        <w:t>天圣</w:t>
      </w:r>
      <w:r>
        <w:rPr>
          <w:rFonts w:hint="eastAsia" w:ascii="宋体" w:hAnsi="宋体"/>
          <w:szCs w:val="21"/>
        </w:rPr>
        <w:t>元年（</w:t>
      </w:r>
      <w:r>
        <w:rPr>
          <w:rFonts w:ascii="宋体" w:hAnsi="宋体"/>
          <w:szCs w:val="21"/>
        </w:rPr>
        <w:t>1023年），因避仁宗帝赵祯讳，改浈昌县为保昌县</w:t>
      </w:r>
      <w:r>
        <w:rPr>
          <w:rFonts w:hint="eastAsia" w:ascii="宋体" w:hAnsi="宋体"/>
          <w:szCs w:val="21"/>
        </w:rPr>
        <w:t>。</w:t>
      </w:r>
    </w:p>
    <w:p w14:paraId="354FF447">
      <w:pPr>
        <w:ind w:firstLine="422"/>
        <w:rPr>
          <w:rFonts w:ascii="宋体" w:hAnsi="宋体"/>
          <w:szCs w:val="21"/>
        </w:rPr>
      </w:pPr>
      <w:r>
        <w:rPr>
          <w:rFonts w:hint="eastAsia" w:ascii="宋体" w:hAnsi="宋体"/>
          <w:b/>
          <w:szCs w:val="21"/>
        </w:rPr>
        <w:t>庆历</w:t>
      </w:r>
      <w:r>
        <w:rPr>
          <w:rFonts w:hint="eastAsia" w:ascii="宋体" w:hAnsi="宋体"/>
          <w:szCs w:val="21"/>
        </w:rPr>
        <w:t>四年（</w:t>
      </w:r>
      <w:r>
        <w:rPr>
          <w:rFonts w:ascii="宋体" w:hAnsi="宋体"/>
          <w:szCs w:val="21"/>
        </w:rPr>
        <w:t>1044年），创州学。</w:t>
      </w:r>
    </w:p>
    <w:p w14:paraId="74EB8C66">
      <w:pPr>
        <w:ind w:firstLine="422"/>
        <w:rPr>
          <w:rFonts w:ascii="宋体" w:hAnsi="宋体"/>
          <w:szCs w:val="21"/>
        </w:rPr>
      </w:pPr>
      <w:r>
        <w:rPr>
          <w:rFonts w:hint="eastAsia" w:ascii="宋体" w:hAnsi="宋体"/>
          <w:b/>
          <w:szCs w:val="21"/>
        </w:rPr>
        <w:t>皇祐</w:t>
      </w:r>
      <w:r>
        <w:rPr>
          <w:rFonts w:hint="eastAsia" w:ascii="宋体" w:hAnsi="宋体"/>
          <w:szCs w:val="21"/>
        </w:rPr>
        <w:t>四年（</w:t>
      </w:r>
      <w:r>
        <w:rPr>
          <w:rFonts w:ascii="宋体" w:hAnsi="宋体"/>
          <w:szCs w:val="21"/>
        </w:rPr>
        <w:t>1052年），南雄知州肖勃筑斗城，周长6880尺。</w:t>
      </w:r>
    </w:p>
    <w:p w14:paraId="39063136">
      <w:pPr>
        <w:ind w:firstLine="422"/>
        <w:rPr>
          <w:rFonts w:ascii="宋体" w:hAnsi="宋体"/>
          <w:szCs w:val="21"/>
        </w:rPr>
      </w:pPr>
      <w:r>
        <w:rPr>
          <w:rFonts w:hint="eastAsia" w:ascii="宋体" w:hAnsi="宋体"/>
          <w:b/>
          <w:szCs w:val="21"/>
        </w:rPr>
        <w:t>皇祐</w:t>
      </w:r>
      <w:r>
        <w:rPr>
          <w:rFonts w:hint="eastAsia" w:ascii="宋体" w:hAnsi="宋体"/>
          <w:szCs w:val="21"/>
        </w:rPr>
        <w:t>八年（</w:t>
      </w:r>
      <w:r>
        <w:rPr>
          <w:rFonts w:ascii="宋体" w:hAnsi="宋体"/>
          <w:szCs w:val="21"/>
        </w:rPr>
        <w:t>1063年），广南东路转运使蔡抗与弟江西提刑蔡挺，各自督民修砌境</w:t>
      </w:r>
      <w:r>
        <w:rPr>
          <w:rFonts w:hint="eastAsia" w:ascii="宋体" w:hAnsi="宋体"/>
          <w:szCs w:val="21"/>
        </w:rPr>
        <w:t>内大庾岭路。植松夹道，并署表曰梅关。</w:t>
      </w:r>
    </w:p>
    <w:p w14:paraId="57D1EFBB">
      <w:pPr>
        <w:ind w:firstLine="422"/>
        <w:rPr>
          <w:rFonts w:ascii="宋体" w:hAnsi="宋体"/>
          <w:szCs w:val="21"/>
        </w:rPr>
      </w:pPr>
      <w:r>
        <w:rPr>
          <w:rFonts w:hint="eastAsia" w:ascii="宋体" w:hAnsi="宋体"/>
          <w:b/>
          <w:szCs w:val="21"/>
        </w:rPr>
        <w:t>元祐</w:t>
      </w:r>
      <w:r>
        <w:rPr>
          <w:rFonts w:hint="eastAsia" w:ascii="宋体" w:hAnsi="宋体"/>
          <w:szCs w:val="21"/>
        </w:rPr>
        <w:t>间，南雄州学始置教授，首任为夏能之。</w:t>
      </w:r>
    </w:p>
    <w:p w14:paraId="79CD025F">
      <w:pPr>
        <w:pStyle w:val="4"/>
        <w:rPr>
          <w:rFonts w:ascii="宋体" w:hAnsi="宋体"/>
        </w:rPr>
      </w:pPr>
      <w:r>
        <w:rPr>
          <w:rFonts w:hint="eastAsia" w:ascii="宋体" w:hAnsi="宋体"/>
        </w:rPr>
        <w:t>南宋</w:t>
      </w:r>
    </w:p>
    <w:p w14:paraId="773EA2E1">
      <w:pPr>
        <w:ind w:firstLine="422"/>
        <w:rPr>
          <w:rFonts w:ascii="宋体" w:hAnsi="宋体"/>
          <w:szCs w:val="21"/>
        </w:rPr>
      </w:pPr>
      <w:r>
        <w:rPr>
          <w:rFonts w:hint="eastAsia" w:ascii="宋体" w:hAnsi="宋体"/>
          <w:b/>
          <w:szCs w:val="21"/>
        </w:rPr>
        <w:t>绍兴</w:t>
      </w:r>
      <w:r>
        <w:rPr>
          <w:rFonts w:hint="eastAsia" w:ascii="宋体" w:hAnsi="宋体"/>
          <w:szCs w:val="21"/>
        </w:rPr>
        <w:t>初，珠玑巷罗贵率</w:t>
      </w:r>
      <w:r>
        <w:rPr>
          <w:rFonts w:ascii="宋体" w:hAnsi="宋体"/>
          <w:szCs w:val="21"/>
        </w:rPr>
        <w:t>30余姓氏族避祸南迁珠江三角洲，筚路褴褛，开拓南疆。</w:t>
      </w:r>
    </w:p>
    <w:p w14:paraId="737FBFD6">
      <w:pPr>
        <w:ind w:firstLine="422"/>
        <w:rPr>
          <w:rFonts w:ascii="宋体" w:hAnsi="宋体"/>
          <w:szCs w:val="21"/>
        </w:rPr>
      </w:pPr>
      <w:r>
        <w:rPr>
          <w:rFonts w:hint="eastAsia" w:ascii="宋体" w:hAnsi="宋体"/>
          <w:b/>
          <w:szCs w:val="21"/>
        </w:rPr>
        <w:t>开禧</w:t>
      </w:r>
      <w:r>
        <w:rPr>
          <w:rFonts w:hint="eastAsia" w:ascii="宋体" w:hAnsi="宋体"/>
          <w:szCs w:val="21"/>
        </w:rPr>
        <w:t>二年（</w:t>
      </w:r>
      <w:r>
        <w:rPr>
          <w:rFonts w:ascii="宋体" w:hAnsi="宋体"/>
          <w:szCs w:val="21"/>
        </w:rPr>
        <w:t>1206年），知州聂周臣倡建平政桥，去浮舟，以石为墩。此桥后更名</w:t>
      </w:r>
      <w:r>
        <w:rPr>
          <w:rFonts w:hint="eastAsia" w:ascii="宋体" w:hAnsi="宋体"/>
          <w:szCs w:val="21"/>
        </w:rPr>
        <w:t>为太平桥，即今河南桥。</w:t>
      </w:r>
    </w:p>
    <w:p w14:paraId="683662CB">
      <w:pPr>
        <w:ind w:firstLine="422"/>
        <w:rPr>
          <w:rFonts w:ascii="宋体" w:hAnsi="宋体"/>
          <w:szCs w:val="21"/>
        </w:rPr>
      </w:pPr>
      <w:r>
        <w:rPr>
          <w:rFonts w:hint="eastAsia" w:ascii="宋体" w:hAnsi="宋体"/>
          <w:b/>
          <w:szCs w:val="21"/>
        </w:rPr>
        <w:t>嘉定</w:t>
      </w:r>
      <w:r>
        <w:rPr>
          <w:rFonts w:hint="eastAsia" w:ascii="宋体" w:hAnsi="宋体"/>
          <w:szCs w:val="21"/>
        </w:rPr>
        <w:t>十二年（</w:t>
      </w:r>
      <w:r>
        <w:rPr>
          <w:rFonts w:ascii="宋体" w:hAnsi="宋体"/>
          <w:szCs w:val="21"/>
        </w:rPr>
        <w:t>1219年），知州孙</w:t>
      </w:r>
      <w:r>
        <w:rPr>
          <w:rFonts w:ascii="宋体" w:hAnsi="宋体"/>
          <w:szCs w:val="21"/>
        </w:rPr>
        <w:drawing>
          <wp:inline distT="0" distB="0" distL="0" distR="0">
            <wp:extent cx="141605" cy="179070"/>
            <wp:effectExtent l="0" t="0" r="10795" b="1143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noChangeArrowheads="1"/>
                    </pic:cNvPicPr>
                  </pic:nvPicPr>
                  <pic:blipFill>
                    <a:blip r:embed="rId185" cstate="print"/>
                    <a:srcRect/>
                    <a:stretch>
                      <a:fillRect/>
                    </a:stretch>
                  </pic:blipFill>
                  <pic:spPr>
                    <a:xfrm>
                      <a:off x="0" y="0"/>
                      <a:ext cx="142798" cy="180732"/>
                    </a:xfrm>
                    <a:prstGeom prst="rect">
                      <a:avLst/>
                    </a:prstGeom>
                    <a:noFill/>
                    <a:ln w="9525">
                      <a:noFill/>
                      <a:miter lim="800000"/>
                      <a:headEnd/>
                      <a:tailEnd/>
                    </a:ln>
                  </pic:spPr>
                </pic:pic>
              </a:graphicData>
            </a:graphic>
          </wp:inline>
        </w:drawing>
      </w:r>
      <w:r>
        <w:rPr>
          <w:rFonts w:ascii="宋体" w:hAnsi="宋体"/>
          <w:szCs w:val="21"/>
        </w:rPr>
        <w:t>纂嘉定志八卷，为南雄修志之始。此志已佚。</w:t>
      </w:r>
    </w:p>
    <w:p w14:paraId="5A6B2B8C">
      <w:pPr>
        <w:pStyle w:val="4"/>
        <w:rPr>
          <w:rFonts w:ascii="宋体" w:hAnsi="宋体"/>
        </w:rPr>
      </w:pPr>
      <w:r>
        <w:rPr>
          <w:rFonts w:hint="eastAsia" w:ascii="宋体" w:hAnsi="宋体"/>
        </w:rPr>
        <w:t>元</w:t>
      </w:r>
    </w:p>
    <w:p w14:paraId="02E211C2">
      <w:pPr>
        <w:ind w:firstLine="422"/>
        <w:rPr>
          <w:rFonts w:ascii="宋体" w:hAnsi="宋体"/>
          <w:szCs w:val="21"/>
        </w:rPr>
      </w:pPr>
      <w:r>
        <w:rPr>
          <w:rFonts w:hint="eastAsia" w:ascii="宋体" w:hAnsi="宋体"/>
          <w:b/>
          <w:szCs w:val="21"/>
        </w:rPr>
        <w:t>至元</w:t>
      </w:r>
      <w:r>
        <w:rPr>
          <w:rFonts w:hint="eastAsia" w:ascii="宋体" w:hAnsi="宋体"/>
          <w:szCs w:val="21"/>
        </w:rPr>
        <w:t>十五年（</w:t>
      </w:r>
      <w:r>
        <w:rPr>
          <w:rFonts w:ascii="宋体" w:hAnsi="宋体"/>
          <w:szCs w:val="21"/>
        </w:rPr>
        <w:t>1278年），元师定南雄，改南雄州为南雄路，立总管府，仍领保</w:t>
      </w:r>
      <w:r>
        <w:rPr>
          <w:rFonts w:hint="eastAsia" w:ascii="宋体" w:hAnsi="宋体"/>
          <w:szCs w:val="21"/>
        </w:rPr>
        <w:t>昌、始兴二县。</w:t>
      </w:r>
    </w:p>
    <w:p w14:paraId="4ED31FE5">
      <w:pPr>
        <w:ind w:firstLine="422"/>
        <w:rPr>
          <w:rFonts w:ascii="宋体" w:hAnsi="宋体"/>
          <w:szCs w:val="21"/>
        </w:rPr>
      </w:pPr>
      <w:r>
        <w:rPr>
          <w:rFonts w:hint="eastAsia" w:ascii="宋体" w:hAnsi="宋体"/>
          <w:b/>
          <w:szCs w:val="21"/>
        </w:rPr>
        <w:t>至正</w:t>
      </w:r>
      <w:r>
        <w:rPr>
          <w:rFonts w:hint="eastAsia" w:ascii="宋体" w:hAnsi="宋体"/>
          <w:szCs w:val="21"/>
        </w:rPr>
        <w:t>十年（</w:t>
      </w:r>
      <w:r>
        <w:rPr>
          <w:rFonts w:ascii="宋体" w:hAnsi="宋体"/>
          <w:szCs w:val="21"/>
        </w:rPr>
        <w:t>1350年），南雄路同知孙朝列重立珠玑巷石塔。此塔今存，列为广东</w:t>
      </w:r>
      <w:r>
        <w:rPr>
          <w:rFonts w:hint="eastAsia" w:ascii="宋体" w:hAnsi="宋体"/>
          <w:szCs w:val="21"/>
        </w:rPr>
        <w:t>省重点文物保护单位。</w:t>
      </w:r>
    </w:p>
    <w:p w14:paraId="053BE6C5">
      <w:pPr>
        <w:pStyle w:val="4"/>
        <w:rPr>
          <w:rFonts w:ascii="宋体" w:hAnsi="宋体"/>
        </w:rPr>
      </w:pPr>
      <w:r>
        <w:rPr>
          <w:rFonts w:hint="eastAsia" w:ascii="宋体" w:hAnsi="宋体"/>
        </w:rPr>
        <w:t>明</w:t>
      </w:r>
    </w:p>
    <w:p w14:paraId="2E3AABFE">
      <w:pPr>
        <w:ind w:firstLine="422"/>
        <w:rPr>
          <w:rFonts w:ascii="宋体" w:hAnsi="宋体"/>
          <w:szCs w:val="21"/>
        </w:rPr>
      </w:pPr>
      <w:r>
        <w:rPr>
          <w:rFonts w:hint="eastAsia" w:ascii="宋体" w:hAnsi="宋体"/>
          <w:b/>
          <w:szCs w:val="21"/>
        </w:rPr>
        <w:t>成化</w:t>
      </w:r>
      <w:r>
        <w:rPr>
          <w:rFonts w:hint="eastAsia" w:ascii="宋体" w:hAnsi="宋体"/>
          <w:szCs w:val="21"/>
        </w:rPr>
        <w:t>五年（</w:t>
      </w:r>
      <w:r>
        <w:rPr>
          <w:rFonts w:ascii="宋体" w:hAnsi="宋体"/>
          <w:szCs w:val="21"/>
        </w:rPr>
        <w:t>1469年），都御史韩雍命佥事陈贵，倡民在老城外扩筑土城300余</w:t>
      </w:r>
      <w:r>
        <w:rPr>
          <w:rFonts w:hint="eastAsia" w:ascii="宋体" w:hAnsi="宋体"/>
          <w:szCs w:val="21"/>
        </w:rPr>
        <w:t>丈，沿河立木栅。</w:t>
      </w:r>
    </w:p>
    <w:p w14:paraId="4D818942">
      <w:pPr>
        <w:ind w:firstLine="422"/>
        <w:rPr>
          <w:rFonts w:ascii="宋体" w:hAnsi="宋体"/>
          <w:szCs w:val="21"/>
        </w:rPr>
      </w:pPr>
      <w:r>
        <w:rPr>
          <w:rFonts w:hint="eastAsia" w:ascii="宋体" w:hAnsi="宋体"/>
          <w:b/>
          <w:szCs w:val="21"/>
        </w:rPr>
        <w:t>正德</w:t>
      </w:r>
      <w:r>
        <w:rPr>
          <w:rFonts w:hint="eastAsia" w:ascii="宋体" w:hAnsi="宋体"/>
          <w:szCs w:val="21"/>
        </w:rPr>
        <w:t>九年（</w:t>
      </w:r>
      <w:r>
        <w:rPr>
          <w:rFonts w:ascii="宋体" w:hAnsi="宋体"/>
          <w:szCs w:val="21"/>
        </w:rPr>
        <w:t>1514年），知府李吉修城，增女墙6尺，筑宾阳门、文明门。</w:t>
      </w:r>
    </w:p>
    <w:p w14:paraId="2CF8AE74">
      <w:pPr>
        <w:ind w:firstLine="422"/>
        <w:rPr>
          <w:rFonts w:ascii="宋体" w:hAnsi="宋体"/>
          <w:szCs w:val="21"/>
        </w:rPr>
      </w:pPr>
      <w:r>
        <w:rPr>
          <w:rFonts w:hint="eastAsia" w:ascii="宋体" w:hAnsi="宋体"/>
          <w:b/>
          <w:szCs w:val="21"/>
        </w:rPr>
        <w:t>嘉靖</w:t>
      </w:r>
      <w:r>
        <w:rPr>
          <w:rFonts w:hint="eastAsia" w:ascii="宋体" w:hAnsi="宋体"/>
          <w:szCs w:val="21"/>
        </w:rPr>
        <w:t>十七年（</w:t>
      </w:r>
      <w:r>
        <w:rPr>
          <w:rFonts w:ascii="宋体" w:hAnsi="宋体"/>
          <w:szCs w:val="21"/>
        </w:rPr>
        <w:t>1538年），谭大初进士及第。累官至户部尚书</w:t>
      </w:r>
      <w:r>
        <w:rPr>
          <w:rFonts w:hint="eastAsia" w:ascii="宋体" w:hAnsi="宋体"/>
          <w:szCs w:val="21"/>
        </w:rPr>
        <w:t>。</w:t>
      </w:r>
    </w:p>
    <w:p w14:paraId="7B1B8B23">
      <w:pPr>
        <w:ind w:firstLine="422"/>
        <w:rPr>
          <w:rFonts w:ascii="宋体" w:hAnsi="宋体"/>
          <w:szCs w:val="21"/>
        </w:rPr>
      </w:pPr>
      <w:r>
        <w:rPr>
          <w:rFonts w:hint="eastAsia" w:ascii="宋体" w:hAnsi="宋体"/>
          <w:b/>
          <w:szCs w:val="21"/>
        </w:rPr>
        <w:t>嘉靖</w:t>
      </w:r>
      <w:r>
        <w:rPr>
          <w:rFonts w:hint="eastAsia" w:ascii="宋体" w:hAnsi="宋体"/>
          <w:szCs w:val="21"/>
        </w:rPr>
        <w:t>二十一年（</w:t>
      </w:r>
      <w:r>
        <w:rPr>
          <w:rFonts w:ascii="宋体" w:hAnsi="宋体"/>
          <w:szCs w:val="21"/>
        </w:rPr>
        <w:t>1542年），谭大初修《南雄府志》，是为今存最早的府志。</w:t>
      </w:r>
    </w:p>
    <w:p w14:paraId="2C299ABE">
      <w:pPr>
        <w:ind w:firstLine="422"/>
        <w:rPr>
          <w:rFonts w:ascii="宋体" w:hAnsi="宋体"/>
          <w:szCs w:val="21"/>
        </w:rPr>
      </w:pPr>
      <w:r>
        <w:rPr>
          <w:rFonts w:hint="eastAsia" w:ascii="宋体" w:hAnsi="宋体"/>
          <w:b/>
          <w:szCs w:val="21"/>
        </w:rPr>
        <w:t>嘉靖</w:t>
      </w:r>
      <w:r>
        <w:rPr>
          <w:rFonts w:hint="eastAsia" w:ascii="宋体" w:hAnsi="宋体"/>
          <w:szCs w:val="21"/>
        </w:rPr>
        <w:t>四十三年（</w:t>
      </w:r>
      <w:r>
        <w:rPr>
          <w:rFonts w:ascii="宋体" w:hAnsi="宋体"/>
          <w:szCs w:val="21"/>
        </w:rPr>
        <w:t>1564年），知府欧阳念倡郡民砌沿河水城，改木栅为砖石，历时4月。至此，南雄第二次扩城告成。是谓新城。</w:t>
      </w:r>
    </w:p>
    <w:p w14:paraId="6A6BF4B4">
      <w:pPr>
        <w:ind w:firstLine="422"/>
        <w:rPr>
          <w:rFonts w:ascii="宋体" w:hAnsi="宋体"/>
          <w:szCs w:val="21"/>
        </w:rPr>
      </w:pPr>
      <w:r>
        <w:rPr>
          <w:rFonts w:hint="eastAsia" w:ascii="宋体" w:hAnsi="宋体"/>
          <w:b/>
          <w:szCs w:val="21"/>
        </w:rPr>
        <w:t>万历</w:t>
      </w:r>
      <w:r>
        <w:rPr>
          <w:rFonts w:hint="eastAsia" w:ascii="宋体" w:hAnsi="宋体"/>
          <w:szCs w:val="21"/>
        </w:rPr>
        <w:t>二十六年（</w:t>
      </w:r>
      <w:r>
        <w:rPr>
          <w:rFonts w:ascii="宋体" w:hAnsi="宋体"/>
          <w:szCs w:val="21"/>
        </w:rPr>
        <w:t>1598年），知府蒋杰修梅关关楼，为关楼题额：“岭南第一关”，</w:t>
      </w:r>
      <w:r>
        <w:rPr>
          <w:rFonts w:hint="eastAsia" w:ascii="宋体" w:hAnsi="宋体"/>
          <w:szCs w:val="21"/>
        </w:rPr>
        <w:t>今存。</w:t>
      </w:r>
    </w:p>
    <w:p w14:paraId="4B472D15">
      <w:pPr>
        <w:pStyle w:val="4"/>
        <w:rPr>
          <w:rFonts w:ascii="宋体" w:hAnsi="宋体"/>
        </w:rPr>
      </w:pPr>
      <w:r>
        <w:rPr>
          <w:rFonts w:hint="eastAsia" w:ascii="宋体" w:hAnsi="宋体"/>
        </w:rPr>
        <w:t>清</w:t>
      </w:r>
    </w:p>
    <w:p w14:paraId="2EAEA9D2">
      <w:pPr>
        <w:ind w:firstLine="422"/>
        <w:rPr>
          <w:rFonts w:ascii="宋体" w:hAnsi="宋体"/>
          <w:szCs w:val="21"/>
        </w:rPr>
      </w:pPr>
      <w:r>
        <w:rPr>
          <w:rFonts w:hint="eastAsia" w:ascii="宋体" w:hAnsi="宋体"/>
          <w:b/>
          <w:szCs w:val="21"/>
        </w:rPr>
        <w:t>顺治</w:t>
      </w:r>
      <w:r>
        <w:rPr>
          <w:rFonts w:hint="eastAsia" w:ascii="宋体" w:hAnsi="宋体"/>
          <w:szCs w:val="21"/>
        </w:rPr>
        <w:t>十五年（</w:t>
      </w:r>
      <w:r>
        <w:rPr>
          <w:rFonts w:ascii="宋体" w:hAnsi="宋体"/>
          <w:szCs w:val="21"/>
        </w:rPr>
        <w:t>1658年），知府陆世楷重修《南雄府志》，康熙十四年（1675年）</w:t>
      </w:r>
      <w:r>
        <w:rPr>
          <w:rFonts w:hint="eastAsia" w:ascii="宋体" w:hAnsi="宋体"/>
          <w:szCs w:val="21"/>
        </w:rPr>
        <w:t>刊刻。今存残本。</w:t>
      </w:r>
    </w:p>
    <w:p w14:paraId="55639227">
      <w:pPr>
        <w:ind w:firstLine="422"/>
        <w:rPr>
          <w:rFonts w:ascii="宋体" w:hAnsi="宋体"/>
          <w:szCs w:val="21"/>
        </w:rPr>
      </w:pPr>
      <w:r>
        <w:rPr>
          <w:rFonts w:hint="eastAsia" w:ascii="宋体" w:hAnsi="宋体"/>
          <w:b/>
          <w:szCs w:val="21"/>
        </w:rPr>
        <w:t>乾隆</w:t>
      </w:r>
      <w:r>
        <w:rPr>
          <w:rFonts w:hint="eastAsia" w:ascii="宋体" w:hAnsi="宋体"/>
          <w:szCs w:val="21"/>
        </w:rPr>
        <w:t>十八年（</w:t>
      </w:r>
      <w:r>
        <w:rPr>
          <w:rFonts w:ascii="宋体" w:hAnsi="宋体"/>
          <w:szCs w:val="21"/>
        </w:rPr>
        <w:t>1753年），胡定重修郡志。今存。</w:t>
      </w:r>
    </w:p>
    <w:p w14:paraId="6B0381F3">
      <w:pPr>
        <w:ind w:firstLine="422"/>
        <w:rPr>
          <w:rFonts w:ascii="宋体" w:hAnsi="宋体"/>
          <w:szCs w:val="21"/>
        </w:rPr>
      </w:pPr>
      <w:r>
        <w:rPr>
          <w:rFonts w:hint="eastAsia" w:ascii="宋体" w:hAnsi="宋体"/>
          <w:b/>
          <w:szCs w:val="21"/>
        </w:rPr>
        <w:t>乾隆</w:t>
      </w:r>
      <w:r>
        <w:rPr>
          <w:rFonts w:hint="eastAsia" w:ascii="宋体" w:hAnsi="宋体"/>
          <w:szCs w:val="21"/>
        </w:rPr>
        <w:t>二十一年（</w:t>
      </w:r>
      <w:r>
        <w:rPr>
          <w:rFonts w:ascii="宋体" w:hAnsi="宋体"/>
          <w:szCs w:val="21"/>
        </w:rPr>
        <w:t>1756年），重建广州会馆</w:t>
      </w:r>
      <w:r>
        <w:rPr>
          <w:rFonts w:hint="eastAsia" w:ascii="宋体" w:hAnsi="宋体"/>
          <w:szCs w:val="21"/>
        </w:rPr>
        <w:t>。</w:t>
      </w:r>
    </w:p>
    <w:p w14:paraId="39CB54E6">
      <w:pPr>
        <w:ind w:firstLine="422"/>
        <w:rPr>
          <w:rFonts w:ascii="宋体" w:hAnsi="宋体"/>
          <w:szCs w:val="21"/>
        </w:rPr>
      </w:pPr>
      <w:r>
        <w:rPr>
          <w:rFonts w:hint="eastAsia" w:ascii="宋体" w:hAnsi="宋体"/>
          <w:b/>
          <w:szCs w:val="21"/>
        </w:rPr>
        <w:t>嘉庆</w:t>
      </w:r>
      <w:r>
        <w:rPr>
          <w:rFonts w:hint="eastAsia" w:ascii="宋体" w:hAnsi="宋体"/>
          <w:szCs w:val="21"/>
        </w:rPr>
        <w:t>十二年（</w:t>
      </w:r>
      <w:r>
        <w:rPr>
          <w:rFonts w:ascii="宋体" w:hAnsi="宋体"/>
          <w:szCs w:val="21"/>
        </w:rPr>
        <w:t>1807年），改南雄府为直隶州，裁保昌县，仍辖始兴县。</w:t>
      </w:r>
    </w:p>
    <w:p w14:paraId="630435BB">
      <w:pPr>
        <w:ind w:firstLine="422"/>
        <w:rPr>
          <w:rFonts w:ascii="宋体" w:hAnsi="宋体"/>
          <w:szCs w:val="21"/>
        </w:rPr>
      </w:pPr>
      <w:r>
        <w:rPr>
          <w:rFonts w:hint="eastAsia" w:ascii="宋体" w:hAnsi="宋体"/>
          <w:b/>
          <w:szCs w:val="21"/>
        </w:rPr>
        <w:t>嘉庆</w:t>
      </w:r>
      <w:r>
        <w:rPr>
          <w:rFonts w:hint="eastAsia" w:ascii="宋体" w:hAnsi="宋体"/>
          <w:szCs w:val="21"/>
        </w:rPr>
        <w:t>二十四年（</w:t>
      </w:r>
      <w:r>
        <w:rPr>
          <w:rFonts w:ascii="宋体" w:hAnsi="宋体"/>
          <w:szCs w:val="21"/>
        </w:rPr>
        <w:t>1818年），知州余保纯、学正黄其勤，重修州志，历时4年而</w:t>
      </w:r>
      <w:r>
        <w:rPr>
          <w:rFonts w:hint="eastAsia" w:ascii="宋体" w:hAnsi="宋体"/>
          <w:szCs w:val="21"/>
        </w:rPr>
        <w:t>成。后经知州戴锡纶续修，于道光四年（</w:t>
      </w:r>
      <w:r>
        <w:rPr>
          <w:rFonts w:ascii="宋体" w:hAnsi="宋体"/>
          <w:szCs w:val="21"/>
        </w:rPr>
        <w:t>1824年）刻印。此志共34卷，今存。</w:t>
      </w:r>
    </w:p>
    <w:p w14:paraId="1886AD04">
      <w:pPr>
        <w:ind w:firstLine="422"/>
        <w:rPr>
          <w:rFonts w:ascii="宋体" w:hAnsi="宋体"/>
          <w:szCs w:val="21"/>
        </w:rPr>
      </w:pPr>
      <w:r>
        <w:rPr>
          <w:rFonts w:hint="eastAsia" w:ascii="宋体" w:hAnsi="宋体"/>
          <w:b/>
          <w:szCs w:val="21"/>
        </w:rPr>
        <w:t>同治</w:t>
      </w:r>
      <w:r>
        <w:rPr>
          <w:rFonts w:hint="eastAsia" w:ascii="宋体" w:hAnsi="宋体"/>
          <w:szCs w:val="21"/>
        </w:rPr>
        <w:t>二年（</w:t>
      </w:r>
      <w:r>
        <w:rPr>
          <w:rFonts w:ascii="宋体" w:hAnsi="宋体"/>
          <w:szCs w:val="21"/>
        </w:rPr>
        <w:t>1863年），南山道人程明善主持重修翠屏山钟鼓岩。</w:t>
      </w:r>
    </w:p>
    <w:p w14:paraId="4C5BC30C">
      <w:pPr>
        <w:ind w:firstLine="422"/>
        <w:rPr>
          <w:rFonts w:ascii="宋体" w:hAnsi="宋体"/>
          <w:szCs w:val="21"/>
        </w:rPr>
      </w:pPr>
      <w:r>
        <w:rPr>
          <w:rFonts w:hint="eastAsia" w:ascii="宋体" w:hAnsi="宋体"/>
          <w:b/>
          <w:szCs w:val="21"/>
        </w:rPr>
        <w:t>光绪</w:t>
      </w:r>
      <w:r>
        <w:rPr>
          <w:rFonts w:hint="eastAsia" w:ascii="宋体" w:hAnsi="宋体"/>
          <w:szCs w:val="21"/>
        </w:rPr>
        <w:t>三十年（</w:t>
      </w:r>
      <w:r>
        <w:rPr>
          <w:rFonts w:ascii="宋体" w:hAnsi="宋体"/>
          <w:szCs w:val="21"/>
        </w:rPr>
        <w:t>1904年）院试，取秀才36名，是为南雄州最后一次院试。</w:t>
      </w:r>
    </w:p>
    <w:p w14:paraId="5B0752FE">
      <w:pPr>
        <w:ind w:firstLine="422"/>
        <w:rPr>
          <w:rFonts w:ascii="宋体" w:hAnsi="宋体"/>
          <w:szCs w:val="21"/>
        </w:rPr>
      </w:pPr>
      <w:r>
        <w:rPr>
          <w:rFonts w:hint="eastAsia" w:ascii="宋体" w:hAnsi="宋体"/>
          <w:b/>
          <w:szCs w:val="21"/>
        </w:rPr>
        <w:t>宣统</w:t>
      </w:r>
      <w:r>
        <w:rPr>
          <w:rFonts w:hint="eastAsia" w:ascii="宋体" w:hAnsi="宋体"/>
          <w:szCs w:val="21"/>
        </w:rPr>
        <w:t>二年（</w:t>
      </w:r>
      <w:r>
        <w:rPr>
          <w:rFonts w:ascii="宋体" w:hAnsi="宋体"/>
          <w:szCs w:val="21"/>
        </w:rPr>
        <w:t>1910年），江苏江宁供事胡永昌出任南雄末任知州。</w:t>
      </w:r>
    </w:p>
    <w:p w14:paraId="45CA5CEE">
      <w:pPr>
        <w:pStyle w:val="3"/>
        <w:rPr>
          <w:rFonts w:ascii="宋体" w:hAnsi="宋体"/>
        </w:rPr>
      </w:pPr>
      <w:r>
        <w:rPr>
          <w:rFonts w:hint="eastAsia" w:ascii="宋体" w:hAnsi="宋体"/>
        </w:rPr>
        <w:t>二、中华民国时期</w:t>
      </w:r>
    </w:p>
    <w:p w14:paraId="41E37C94">
      <w:pPr>
        <w:pStyle w:val="4"/>
        <w:rPr>
          <w:rFonts w:ascii="宋体" w:hAnsi="宋体"/>
        </w:rPr>
      </w:pPr>
      <w:r>
        <w:rPr>
          <w:rFonts w:hint="eastAsia" w:ascii="宋体" w:hAnsi="宋体"/>
        </w:rPr>
        <w:t>民国元年（</w:t>
      </w:r>
      <w:r>
        <w:rPr>
          <w:rFonts w:ascii="宋体" w:hAnsi="宋体"/>
        </w:rPr>
        <w:t>1912年</w:t>
      </w:r>
      <w:r>
        <w:rPr>
          <w:rFonts w:hint="eastAsia" w:ascii="宋体" w:hAnsi="宋体"/>
        </w:rPr>
        <w:t>）</w:t>
      </w:r>
    </w:p>
    <w:p w14:paraId="760FA5B3">
      <w:pPr>
        <w:ind w:firstLine="420"/>
        <w:rPr>
          <w:rFonts w:ascii="宋体" w:hAnsi="宋体"/>
          <w:szCs w:val="21"/>
        </w:rPr>
      </w:pPr>
      <w:r>
        <w:rPr>
          <w:rFonts w:hint="eastAsia" w:ascii="宋体" w:hAnsi="宋体"/>
          <w:szCs w:val="21"/>
        </w:rPr>
        <w:t>春，废直隶南雄州置南雄县，属二等二级中缺县，省都督府委陈百东为民政长。次年改称县知事。</w:t>
      </w:r>
    </w:p>
    <w:p w14:paraId="6F53CDB8">
      <w:pPr>
        <w:pStyle w:val="4"/>
        <w:rPr>
          <w:rFonts w:ascii="宋体" w:hAnsi="宋体"/>
        </w:rPr>
      </w:pPr>
      <w:r>
        <w:rPr>
          <w:rFonts w:hint="eastAsia" w:ascii="宋体" w:hAnsi="宋体"/>
        </w:rPr>
        <w:t>民国</w:t>
      </w:r>
      <w:r>
        <w:rPr>
          <w:rFonts w:ascii="宋体" w:hAnsi="宋体"/>
        </w:rPr>
        <w:t>2年（1913年）</w:t>
      </w:r>
    </w:p>
    <w:p w14:paraId="08CD525E">
      <w:pPr>
        <w:ind w:firstLine="420"/>
        <w:rPr>
          <w:rFonts w:ascii="宋体" w:hAnsi="宋体"/>
          <w:szCs w:val="21"/>
        </w:rPr>
      </w:pPr>
      <w:r>
        <w:rPr>
          <w:rFonts w:hint="eastAsia" w:ascii="宋体" w:hAnsi="宋体"/>
          <w:szCs w:val="21"/>
        </w:rPr>
        <w:t>州立南雄中学堂改称省立南雄中学，首任校长陈泽东。</w:t>
      </w:r>
    </w:p>
    <w:p w14:paraId="2343C3BD">
      <w:pPr>
        <w:pStyle w:val="4"/>
        <w:rPr>
          <w:rFonts w:ascii="宋体" w:hAnsi="宋体"/>
        </w:rPr>
      </w:pPr>
      <w:r>
        <w:rPr>
          <w:rFonts w:hint="eastAsia" w:ascii="宋体" w:hAnsi="宋体"/>
        </w:rPr>
        <w:t>民国</w:t>
      </w:r>
      <w:r>
        <w:rPr>
          <w:rFonts w:ascii="宋体" w:hAnsi="宋体"/>
        </w:rPr>
        <w:t>7年（1918年）</w:t>
      </w:r>
    </w:p>
    <w:p w14:paraId="312EC404">
      <w:pPr>
        <w:ind w:firstLine="420"/>
        <w:rPr>
          <w:rFonts w:ascii="宋体" w:hAnsi="宋体"/>
          <w:szCs w:val="21"/>
        </w:rPr>
      </w:pPr>
      <w:r>
        <w:rPr>
          <w:rFonts w:ascii="宋体" w:hAnsi="宋体"/>
          <w:szCs w:val="21"/>
        </w:rPr>
        <w:t>1月至3月，县知事连换3任，1月叶景范离任后黄作霖接任，黄离任后，丁树</w:t>
      </w:r>
      <w:r>
        <w:rPr>
          <w:rFonts w:hint="eastAsia" w:ascii="宋体" w:hAnsi="宋体"/>
          <w:szCs w:val="21"/>
        </w:rPr>
        <w:t>华署理，</w:t>
      </w:r>
      <w:r>
        <w:rPr>
          <w:rFonts w:ascii="宋体" w:hAnsi="宋体"/>
          <w:szCs w:val="21"/>
        </w:rPr>
        <w:t>3月底和耀奎接任。</w:t>
      </w:r>
    </w:p>
    <w:p w14:paraId="616B3003">
      <w:pPr>
        <w:ind w:firstLine="420"/>
        <w:rPr>
          <w:rFonts w:ascii="宋体" w:hAnsi="宋体"/>
          <w:szCs w:val="21"/>
        </w:rPr>
      </w:pPr>
      <w:r>
        <w:rPr>
          <w:rFonts w:hint="eastAsia" w:ascii="宋体" w:hAnsi="宋体"/>
          <w:szCs w:val="21"/>
        </w:rPr>
        <w:t>冬，曾蹇任南雄县长。从此不称县知事。</w:t>
      </w:r>
    </w:p>
    <w:p w14:paraId="25E38071">
      <w:pPr>
        <w:pStyle w:val="4"/>
        <w:rPr>
          <w:rFonts w:ascii="宋体" w:hAnsi="宋体"/>
        </w:rPr>
      </w:pPr>
      <w:r>
        <w:rPr>
          <w:rFonts w:hint="eastAsia" w:ascii="宋体" w:hAnsi="宋体"/>
        </w:rPr>
        <w:t>民国</w:t>
      </w:r>
      <w:r>
        <w:rPr>
          <w:rFonts w:ascii="宋体" w:hAnsi="宋体"/>
        </w:rPr>
        <w:t>10年（1921年）</w:t>
      </w:r>
    </w:p>
    <w:p w14:paraId="6E371E0C">
      <w:pPr>
        <w:ind w:firstLine="420"/>
        <w:rPr>
          <w:rFonts w:ascii="宋体" w:hAnsi="宋体"/>
          <w:szCs w:val="21"/>
        </w:rPr>
      </w:pPr>
      <w:r>
        <w:rPr>
          <w:rFonts w:hint="eastAsia" w:ascii="宋体" w:hAnsi="宋体"/>
          <w:szCs w:val="21"/>
        </w:rPr>
        <w:t>冬，县行政公署根据广东省长陈炯明公布的《县自治暂行条例》、《县长选举暂行条例》及《县议会议员选举暂行条例》，重立南雄县议会，选举刘昌桢为县长。</w:t>
      </w:r>
    </w:p>
    <w:p w14:paraId="3B253C68">
      <w:pPr>
        <w:pStyle w:val="4"/>
        <w:rPr>
          <w:rFonts w:ascii="宋体" w:hAnsi="宋体"/>
        </w:rPr>
      </w:pPr>
      <w:r>
        <w:rPr>
          <w:rFonts w:hint="eastAsia" w:ascii="宋体" w:hAnsi="宋体"/>
        </w:rPr>
        <w:t>民国</w:t>
      </w:r>
      <w:r>
        <w:rPr>
          <w:rFonts w:ascii="宋体" w:hAnsi="宋体"/>
        </w:rPr>
        <w:t>12年（1923年）</w:t>
      </w:r>
    </w:p>
    <w:p w14:paraId="3E05D6EC">
      <w:pPr>
        <w:ind w:firstLine="420"/>
        <w:rPr>
          <w:rFonts w:ascii="宋体" w:hAnsi="宋体"/>
          <w:szCs w:val="21"/>
        </w:rPr>
      </w:pPr>
      <w:r>
        <w:rPr>
          <w:rFonts w:ascii="宋体" w:hAnsi="宋体"/>
          <w:szCs w:val="21"/>
        </w:rPr>
        <w:t>11月，赣军15000余人占领南雄，先后指派方伦、何国寿为南雄县长，勒索军</w:t>
      </w:r>
      <w:r>
        <w:rPr>
          <w:rFonts w:hint="eastAsia" w:ascii="宋体" w:hAnsi="宋体"/>
          <w:szCs w:val="21"/>
        </w:rPr>
        <w:t>米、军柴、军饷。</w:t>
      </w:r>
      <w:r>
        <w:rPr>
          <w:rFonts w:ascii="宋体" w:hAnsi="宋体"/>
          <w:szCs w:val="21"/>
        </w:rPr>
        <w:t>12月2日滇湘联军克复南雄。</w:t>
      </w:r>
    </w:p>
    <w:p w14:paraId="5BBE7274">
      <w:pPr>
        <w:pStyle w:val="4"/>
        <w:rPr>
          <w:rFonts w:ascii="宋体" w:hAnsi="宋体"/>
        </w:rPr>
      </w:pPr>
      <w:r>
        <w:rPr>
          <w:rFonts w:hint="eastAsia" w:ascii="宋体" w:hAnsi="宋体"/>
        </w:rPr>
        <w:t>民国</w:t>
      </w:r>
      <w:r>
        <w:rPr>
          <w:rFonts w:ascii="宋体" w:hAnsi="宋体"/>
        </w:rPr>
        <w:t>14年（1925年</w:t>
      </w:r>
      <w:r>
        <w:rPr>
          <w:rFonts w:hint="eastAsia" w:ascii="宋体" w:hAnsi="宋体"/>
        </w:rPr>
        <w:t>）</w:t>
      </w:r>
    </w:p>
    <w:p w14:paraId="4F9624A7">
      <w:pPr>
        <w:ind w:firstLine="420"/>
        <w:rPr>
          <w:rFonts w:ascii="宋体" w:hAnsi="宋体"/>
          <w:szCs w:val="21"/>
        </w:rPr>
      </w:pPr>
      <w:r>
        <w:rPr>
          <w:rFonts w:hint="eastAsia" w:ascii="宋体" w:hAnsi="宋体"/>
          <w:szCs w:val="21"/>
        </w:rPr>
        <w:t>春，曾昭秀等南雄籍进步学生在广州成立南雄留省学生会，出版《雄声月刊》。</w:t>
      </w:r>
    </w:p>
    <w:p w14:paraId="3553915D">
      <w:pPr>
        <w:ind w:firstLine="420"/>
        <w:rPr>
          <w:rFonts w:ascii="宋体" w:hAnsi="宋体"/>
          <w:szCs w:val="21"/>
        </w:rPr>
      </w:pPr>
      <w:r>
        <w:rPr>
          <w:rFonts w:ascii="宋体" w:hAnsi="宋体"/>
          <w:szCs w:val="21"/>
        </w:rPr>
        <w:t>9月16日，300多名农会会员在上朔村十房祠堂（四德堂）举行朔溪农民协会</w:t>
      </w:r>
      <w:r>
        <w:rPr>
          <w:rFonts w:hint="eastAsia" w:ascii="宋体" w:hAnsi="宋体"/>
          <w:szCs w:val="21"/>
        </w:rPr>
        <w:t>成立大会。</w:t>
      </w:r>
    </w:p>
    <w:p w14:paraId="2E86CAA3">
      <w:pPr>
        <w:ind w:firstLine="420"/>
        <w:rPr>
          <w:rFonts w:ascii="宋体" w:hAnsi="宋体"/>
          <w:szCs w:val="21"/>
        </w:rPr>
      </w:pPr>
      <w:r>
        <w:rPr>
          <w:rFonts w:ascii="宋体" w:hAnsi="宋体"/>
          <w:szCs w:val="21"/>
        </w:rPr>
        <w:t>12月，共产主义青年团广东区委派农民运动讲习所第五届学员傅恕、夏明震、</w:t>
      </w:r>
      <w:r>
        <w:rPr>
          <w:rFonts w:hint="eastAsia" w:ascii="宋体" w:hAnsi="宋体"/>
          <w:szCs w:val="21"/>
        </w:rPr>
        <w:t>沈仲昆到南雄开展工农运动，建立共产主义青年团南雄县特别支部，代号“兰芝”，傅恕任书记。</w:t>
      </w:r>
    </w:p>
    <w:p w14:paraId="36CCDAFA">
      <w:pPr>
        <w:pStyle w:val="4"/>
        <w:rPr>
          <w:rFonts w:ascii="宋体" w:hAnsi="宋体"/>
        </w:rPr>
      </w:pPr>
      <w:r>
        <w:rPr>
          <w:rFonts w:hint="eastAsia" w:ascii="宋体" w:hAnsi="宋体"/>
        </w:rPr>
        <w:t>民国</w:t>
      </w:r>
      <w:r>
        <w:rPr>
          <w:rFonts w:ascii="宋体" w:hAnsi="宋体"/>
        </w:rPr>
        <w:t>15年（1926年</w:t>
      </w:r>
      <w:r>
        <w:rPr>
          <w:rFonts w:hint="eastAsia" w:ascii="宋体" w:hAnsi="宋体"/>
        </w:rPr>
        <w:t>）</w:t>
      </w:r>
    </w:p>
    <w:p w14:paraId="0C8BCA6B">
      <w:pPr>
        <w:ind w:firstLine="420"/>
        <w:rPr>
          <w:rFonts w:ascii="宋体" w:hAnsi="宋体"/>
          <w:szCs w:val="21"/>
        </w:rPr>
      </w:pPr>
      <w:r>
        <w:rPr>
          <w:rFonts w:ascii="宋体" w:hAnsi="宋体"/>
          <w:szCs w:val="21"/>
        </w:rPr>
        <w:t>5月1日，成立南雄县总工会，陈赞贤任委员长。工会会员958人</w:t>
      </w:r>
      <w:r>
        <w:rPr>
          <w:rFonts w:hint="eastAsia" w:ascii="宋体" w:hAnsi="宋体"/>
          <w:szCs w:val="21"/>
        </w:rPr>
        <w:t>。</w:t>
      </w:r>
    </w:p>
    <w:p w14:paraId="6FE5B574">
      <w:pPr>
        <w:ind w:firstLine="420"/>
        <w:rPr>
          <w:rFonts w:ascii="宋体" w:hAnsi="宋体"/>
          <w:szCs w:val="21"/>
        </w:rPr>
      </w:pPr>
      <w:r>
        <w:rPr>
          <w:rFonts w:ascii="宋体" w:hAnsi="宋体"/>
          <w:szCs w:val="21"/>
        </w:rPr>
        <w:t>6月，成立中共南雄支部，傅恕为支部书记。</w:t>
      </w:r>
    </w:p>
    <w:p w14:paraId="344C732F">
      <w:pPr>
        <w:ind w:firstLine="420"/>
        <w:rPr>
          <w:rFonts w:ascii="宋体" w:hAnsi="宋体"/>
          <w:szCs w:val="21"/>
        </w:rPr>
      </w:pPr>
      <w:r>
        <w:rPr>
          <w:rFonts w:ascii="宋体" w:hAnsi="宋体"/>
          <w:szCs w:val="21"/>
        </w:rPr>
        <w:t>6月，弱过村农民协会成立</w:t>
      </w:r>
      <w:r>
        <w:rPr>
          <w:rFonts w:hint="eastAsia" w:ascii="宋体" w:hAnsi="宋体"/>
          <w:szCs w:val="21"/>
        </w:rPr>
        <w:t>。</w:t>
      </w:r>
    </w:p>
    <w:p w14:paraId="1C38646B">
      <w:pPr>
        <w:ind w:firstLine="420"/>
        <w:rPr>
          <w:rFonts w:ascii="宋体" w:hAnsi="宋体"/>
          <w:szCs w:val="21"/>
        </w:rPr>
      </w:pPr>
      <w:r>
        <w:rPr>
          <w:rFonts w:ascii="宋体" w:hAnsi="宋体"/>
          <w:szCs w:val="21"/>
        </w:rPr>
        <w:t>8月，中共南雄特别支部成立，傅恕任支部书记。</w:t>
      </w:r>
    </w:p>
    <w:p w14:paraId="67B59798">
      <w:pPr>
        <w:ind w:firstLine="420"/>
        <w:rPr>
          <w:rFonts w:ascii="宋体" w:hAnsi="宋体"/>
          <w:szCs w:val="21"/>
        </w:rPr>
      </w:pPr>
      <w:r>
        <w:rPr>
          <w:rFonts w:ascii="宋体" w:hAnsi="宋体"/>
          <w:szCs w:val="21"/>
        </w:rPr>
        <w:t>10月，广东妇女解放协会南雄分会成立，曾昭慈为主席</w:t>
      </w:r>
      <w:r>
        <w:rPr>
          <w:rFonts w:hint="eastAsia" w:ascii="宋体" w:hAnsi="宋体"/>
          <w:szCs w:val="21"/>
        </w:rPr>
        <w:t>。</w:t>
      </w:r>
    </w:p>
    <w:p w14:paraId="6CE98D6C">
      <w:pPr>
        <w:ind w:firstLine="420"/>
        <w:rPr>
          <w:rFonts w:ascii="宋体" w:hAnsi="宋体"/>
          <w:szCs w:val="21"/>
        </w:rPr>
      </w:pPr>
      <w:r>
        <w:rPr>
          <w:rFonts w:ascii="宋体" w:hAnsi="宋体"/>
          <w:szCs w:val="21"/>
        </w:rPr>
        <w:t>12月15日，国民党南雄县党部召开第二次代表大会，选举产生执行委员会，曾</w:t>
      </w:r>
      <w:r>
        <w:rPr>
          <w:rFonts w:hint="eastAsia" w:ascii="宋体" w:hAnsi="宋体"/>
          <w:szCs w:val="21"/>
        </w:rPr>
        <w:t>昭秀为常务委员。</w:t>
      </w:r>
    </w:p>
    <w:p w14:paraId="40BDF877">
      <w:pPr>
        <w:ind w:firstLine="420"/>
        <w:rPr>
          <w:rFonts w:ascii="宋体" w:hAnsi="宋体"/>
          <w:szCs w:val="21"/>
        </w:rPr>
      </w:pPr>
      <w:r>
        <w:rPr>
          <w:rFonts w:hint="eastAsia" w:ascii="宋体" w:hAnsi="宋体"/>
          <w:szCs w:val="21"/>
        </w:rPr>
        <w:t>冬，南雄县第一次农民代表大会在县城召开，</w:t>
      </w:r>
      <w:r>
        <w:rPr>
          <w:rFonts w:ascii="宋体" w:hAnsi="宋体"/>
          <w:szCs w:val="21"/>
        </w:rPr>
        <w:t>1000多名代表出席，成立南雄县</w:t>
      </w:r>
      <w:r>
        <w:rPr>
          <w:rFonts w:hint="eastAsia" w:ascii="宋体" w:hAnsi="宋体"/>
          <w:szCs w:val="21"/>
        </w:rPr>
        <w:t>农民协会，选举陈召南为委员长。</w:t>
      </w:r>
    </w:p>
    <w:p w14:paraId="0C9523A9">
      <w:pPr>
        <w:pStyle w:val="4"/>
        <w:rPr>
          <w:rFonts w:ascii="宋体" w:hAnsi="宋体"/>
        </w:rPr>
      </w:pPr>
      <w:r>
        <w:rPr>
          <w:rFonts w:hint="eastAsia" w:ascii="宋体" w:hAnsi="宋体"/>
        </w:rPr>
        <w:t>民国</w:t>
      </w:r>
      <w:r>
        <w:rPr>
          <w:rFonts w:ascii="宋体" w:hAnsi="宋体"/>
        </w:rPr>
        <w:t>16年（1927年）</w:t>
      </w:r>
    </w:p>
    <w:p w14:paraId="1D232739">
      <w:pPr>
        <w:ind w:firstLine="420"/>
        <w:rPr>
          <w:rFonts w:ascii="宋体" w:hAnsi="宋体"/>
          <w:szCs w:val="21"/>
        </w:rPr>
      </w:pPr>
      <w:r>
        <w:rPr>
          <w:rFonts w:ascii="宋体" w:hAnsi="宋体"/>
          <w:szCs w:val="21"/>
        </w:rPr>
        <w:t>5月6日，练炳章师进驻南雄，师部派秘书黄安富代理县长。旋由省府委唐友厦</w:t>
      </w:r>
      <w:r>
        <w:rPr>
          <w:rFonts w:hint="eastAsia" w:ascii="宋体" w:hAnsi="宋体"/>
          <w:szCs w:val="21"/>
        </w:rPr>
        <w:t>为县长。</w:t>
      </w:r>
    </w:p>
    <w:p w14:paraId="514845E9">
      <w:pPr>
        <w:ind w:firstLine="420"/>
        <w:rPr>
          <w:rFonts w:ascii="宋体" w:hAnsi="宋体"/>
          <w:szCs w:val="21"/>
        </w:rPr>
      </w:pPr>
      <w:r>
        <w:rPr>
          <w:rFonts w:ascii="宋体" w:hAnsi="宋体"/>
          <w:szCs w:val="21"/>
        </w:rPr>
        <w:t>11月7日，中共南雄特别支部在湖口集英国民小学召开党员扩大会议，决定领</w:t>
      </w:r>
      <w:r>
        <w:rPr>
          <w:rFonts w:hint="eastAsia" w:ascii="宋体" w:hAnsi="宋体"/>
          <w:szCs w:val="21"/>
        </w:rPr>
        <w:t>导农民举行武装起义。</w:t>
      </w:r>
    </w:p>
    <w:p w14:paraId="187C7521">
      <w:pPr>
        <w:ind w:firstLine="420"/>
        <w:rPr>
          <w:rFonts w:ascii="宋体" w:hAnsi="宋体"/>
          <w:szCs w:val="21"/>
        </w:rPr>
      </w:pPr>
      <w:r>
        <w:rPr>
          <w:rFonts w:ascii="宋体" w:hAnsi="宋体"/>
          <w:szCs w:val="21"/>
        </w:rPr>
        <w:t>12月1日，中共南雄县委员会成立，委员有彭显模、欧阳哲、彭显伦、曾昭慈。</w:t>
      </w:r>
    </w:p>
    <w:p w14:paraId="2A412416">
      <w:pPr>
        <w:pStyle w:val="4"/>
        <w:rPr>
          <w:rFonts w:ascii="宋体" w:hAnsi="宋体"/>
        </w:rPr>
      </w:pPr>
      <w:r>
        <w:rPr>
          <w:rFonts w:hint="eastAsia" w:ascii="宋体" w:hAnsi="宋体"/>
        </w:rPr>
        <w:t>民国</w:t>
      </w:r>
      <w:r>
        <w:rPr>
          <w:rFonts w:ascii="宋体" w:hAnsi="宋体"/>
        </w:rPr>
        <w:t>17年（1928年）</w:t>
      </w:r>
    </w:p>
    <w:p w14:paraId="18017BBC">
      <w:pPr>
        <w:ind w:firstLine="420"/>
        <w:rPr>
          <w:rFonts w:ascii="宋体" w:hAnsi="宋体"/>
          <w:szCs w:val="21"/>
        </w:rPr>
      </w:pPr>
      <w:r>
        <w:rPr>
          <w:rFonts w:ascii="宋体" w:hAnsi="宋体"/>
          <w:szCs w:val="21"/>
        </w:rPr>
        <w:t>2月1日，中共南雄县委改组，曾昭秀为书记</w:t>
      </w:r>
      <w:r>
        <w:rPr>
          <w:rFonts w:hint="eastAsia" w:ascii="宋体" w:hAnsi="宋体"/>
          <w:szCs w:val="21"/>
        </w:rPr>
        <w:t>。</w:t>
      </w:r>
    </w:p>
    <w:p w14:paraId="64657892">
      <w:pPr>
        <w:ind w:firstLine="420"/>
        <w:rPr>
          <w:rFonts w:ascii="宋体" w:hAnsi="宋体"/>
          <w:szCs w:val="21"/>
        </w:rPr>
      </w:pPr>
      <w:r>
        <w:rPr>
          <w:rFonts w:ascii="宋体" w:hAnsi="宋体"/>
          <w:szCs w:val="21"/>
        </w:rPr>
        <w:t>2月13日晚，大雪，县农民赤卫队举行武装暴动，分头攻打大城门税厂、中站</w:t>
      </w:r>
      <w:r>
        <w:rPr>
          <w:rFonts w:hint="eastAsia" w:ascii="宋体" w:hAnsi="宋体"/>
          <w:szCs w:val="21"/>
        </w:rPr>
        <w:t>税厂、夹河口税厂及新田、水口等处，共摧毁税卡</w:t>
      </w:r>
      <w:r>
        <w:rPr>
          <w:rFonts w:ascii="宋体" w:hAnsi="宋体"/>
          <w:szCs w:val="21"/>
        </w:rPr>
        <w:t>18处，击毙顽抗的税卡人员24</w:t>
      </w:r>
      <w:r>
        <w:rPr>
          <w:rFonts w:hint="eastAsia" w:ascii="宋体" w:hAnsi="宋体"/>
          <w:szCs w:val="21"/>
        </w:rPr>
        <w:t>名，缴枪</w:t>
      </w:r>
      <w:r>
        <w:rPr>
          <w:rFonts w:ascii="宋体" w:hAnsi="宋体"/>
          <w:szCs w:val="21"/>
        </w:rPr>
        <w:t>20多支。</w:t>
      </w:r>
    </w:p>
    <w:p w14:paraId="17E77FE7">
      <w:pPr>
        <w:ind w:firstLine="420"/>
        <w:rPr>
          <w:rFonts w:ascii="宋体" w:hAnsi="宋体"/>
          <w:szCs w:val="21"/>
        </w:rPr>
      </w:pPr>
      <w:r>
        <w:rPr>
          <w:rFonts w:ascii="宋体" w:hAnsi="宋体"/>
          <w:szCs w:val="21"/>
        </w:rPr>
        <w:t>2月18日，中共南雄县委在黄坑圩召开万人群众大会，成立南雄县苏维埃政府</w:t>
      </w:r>
      <w:r>
        <w:rPr>
          <w:rFonts w:hint="eastAsia" w:ascii="宋体" w:hAnsi="宋体"/>
          <w:szCs w:val="21"/>
        </w:rPr>
        <w:t>。大会选举曾昭秀为苏维埃政府主席。并成立</w:t>
      </w:r>
      <w:r>
        <w:rPr>
          <w:rFonts w:ascii="宋体" w:hAnsi="宋体"/>
          <w:szCs w:val="21"/>
        </w:rPr>
        <w:t>4个区苏维埃政府，120多个乡村苏维</w:t>
      </w:r>
      <w:r>
        <w:rPr>
          <w:rFonts w:hint="eastAsia" w:ascii="宋体" w:hAnsi="宋体"/>
          <w:szCs w:val="21"/>
        </w:rPr>
        <w:t>埃。随即开展土地革命，</w:t>
      </w:r>
      <w:r>
        <w:rPr>
          <w:rFonts w:ascii="宋体" w:hAnsi="宋体"/>
          <w:szCs w:val="21"/>
        </w:rPr>
        <w:t>5万名群众参加“平仓”、“平田”运动，捕杀反动豪绅地</w:t>
      </w:r>
      <w:r>
        <w:rPr>
          <w:rFonts w:hint="eastAsia" w:ascii="宋体" w:hAnsi="宋体"/>
          <w:szCs w:val="21"/>
        </w:rPr>
        <w:t>主</w:t>
      </w:r>
      <w:r>
        <w:rPr>
          <w:rFonts w:ascii="宋体" w:hAnsi="宋体"/>
          <w:szCs w:val="21"/>
        </w:rPr>
        <w:t>200余人，摧毁其据点50余个。</w:t>
      </w:r>
    </w:p>
    <w:p w14:paraId="5CDEA40C">
      <w:pPr>
        <w:ind w:firstLine="420"/>
        <w:rPr>
          <w:rFonts w:ascii="宋体" w:hAnsi="宋体"/>
          <w:szCs w:val="21"/>
        </w:rPr>
      </w:pPr>
      <w:r>
        <w:rPr>
          <w:rFonts w:ascii="宋体" w:hAnsi="宋体"/>
          <w:szCs w:val="21"/>
        </w:rPr>
        <w:t>2月，省府委任伍慎修为南雄县长，月余不敢到任，县城各界成立临时维持地方</w:t>
      </w:r>
      <w:r>
        <w:rPr>
          <w:rFonts w:hint="eastAsia" w:ascii="宋体" w:hAnsi="宋体"/>
          <w:szCs w:val="21"/>
        </w:rPr>
        <w:t>治安委员会。</w:t>
      </w:r>
    </w:p>
    <w:p w14:paraId="318DE5D3">
      <w:pPr>
        <w:pStyle w:val="4"/>
        <w:rPr>
          <w:rFonts w:ascii="宋体" w:hAnsi="宋体"/>
        </w:rPr>
      </w:pPr>
      <w:r>
        <w:rPr>
          <w:rFonts w:hint="eastAsia" w:ascii="宋体" w:hAnsi="宋体"/>
        </w:rPr>
        <w:t>民国</w:t>
      </w:r>
      <w:r>
        <w:rPr>
          <w:rFonts w:ascii="宋体" w:hAnsi="宋体"/>
        </w:rPr>
        <w:t>18年（1929年</w:t>
      </w:r>
      <w:r>
        <w:rPr>
          <w:rFonts w:hint="eastAsia" w:ascii="宋体" w:hAnsi="宋体"/>
        </w:rPr>
        <w:t>）</w:t>
      </w:r>
    </w:p>
    <w:p w14:paraId="374E2049">
      <w:pPr>
        <w:ind w:firstLine="420"/>
        <w:rPr>
          <w:rFonts w:ascii="宋体" w:hAnsi="宋体"/>
          <w:szCs w:val="21"/>
        </w:rPr>
      </w:pPr>
      <w:r>
        <w:rPr>
          <w:rFonts w:ascii="宋体" w:hAnsi="宋体"/>
          <w:szCs w:val="21"/>
        </w:rPr>
        <w:t>1月24日，毛泽东、朱德、陈毅率领红四军二十八团和三十一团及特务营、独</w:t>
      </w:r>
      <w:r>
        <w:rPr>
          <w:rFonts w:hint="eastAsia" w:ascii="宋体" w:hAnsi="宋体"/>
          <w:szCs w:val="21"/>
        </w:rPr>
        <w:t>立营近</w:t>
      </w:r>
      <w:r>
        <w:rPr>
          <w:rFonts w:ascii="宋体" w:hAnsi="宋体"/>
          <w:szCs w:val="21"/>
        </w:rPr>
        <w:t>4000人，从大余县城入南雄县上下杨梅，25日在上茶田石寨击退国民党政府</w:t>
      </w:r>
      <w:r>
        <w:rPr>
          <w:rFonts w:hint="eastAsia" w:ascii="宋体" w:hAnsi="宋体"/>
          <w:szCs w:val="21"/>
        </w:rPr>
        <w:t>军一个团的拦截，出夹河口，经上朔，宿乌迳，在黄木岭召开群众大会，</w:t>
      </w:r>
      <w:r>
        <w:rPr>
          <w:rFonts w:ascii="宋体" w:hAnsi="宋体"/>
          <w:szCs w:val="21"/>
        </w:rPr>
        <w:t>26日经界</w:t>
      </w:r>
      <w:r>
        <w:rPr>
          <w:rFonts w:hint="eastAsia" w:ascii="宋体" w:hAnsi="宋体"/>
          <w:szCs w:val="21"/>
        </w:rPr>
        <w:t>址入江西信丰县李庄。</w:t>
      </w:r>
    </w:p>
    <w:p w14:paraId="69779E80">
      <w:pPr>
        <w:ind w:firstLine="420"/>
        <w:rPr>
          <w:rFonts w:ascii="宋体" w:hAnsi="宋体"/>
          <w:szCs w:val="21"/>
        </w:rPr>
      </w:pPr>
      <w:r>
        <w:rPr>
          <w:rFonts w:ascii="宋体" w:hAnsi="宋体"/>
          <w:szCs w:val="21"/>
        </w:rPr>
        <w:t>4月，中共南雄县委在油山坪田坳召开党员代表大会，选举县委员会，书记陈</w:t>
      </w:r>
      <w:r>
        <w:rPr>
          <w:rFonts w:hint="eastAsia" w:ascii="宋体" w:hAnsi="宋体"/>
          <w:szCs w:val="21"/>
        </w:rPr>
        <w:t>召南。</w:t>
      </w:r>
    </w:p>
    <w:p w14:paraId="4D87E5F9">
      <w:pPr>
        <w:ind w:firstLine="420"/>
        <w:rPr>
          <w:rFonts w:ascii="宋体" w:hAnsi="宋体"/>
          <w:szCs w:val="21"/>
        </w:rPr>
      </w:pPr>
      <w:r>
        <w:rPr>
          <w:rFonts w:ascii="宋体" w:hAnsi="宋体"/>
          <w:szCs w:val="21"/>
        </w:rPr>
        <w:t>6月1日下午，彭德怀率红五军攻占南雄城，县长方新剃须易服潜逃。红军镇压</w:t>
      </w:r>
      <w:r>
        <w:rPr>
          <w:rFonts w:hint="eastAsia" w:ascii="宋体" w:hAnsi="宋体"/>
          <w:szCs w:val="21"/>
        </w:rPr>
        <w:t>反动官绅，释放被关押的政治犯，筹款</w:t>
      </w:r>
      <w:r>
        <w:rPr>
          <w:rFonts w:ascii="宋体" w:hAnsi="宋体"/>
          <w:szCs w:val="21"/>
        </w:rPr>
        <w:t>3万银元，缴获商团枪械百余支，集中全城裁</w:t>
      </w:r>
      <w:r>
        <w:rPr>
          <w:rFonts w:hint="eastAsia" w:ascii="宋体" w:hAnsi="宋体"/>
          <w:szCs w:val="21"/>
        </w:rPr>
        <w:t>缝赶制军装千套，</w:t>
      </w:r>
      <w:r>
        <w:rPr>
          <w:rFonts w:ascii="宋体" w:hAnsi="宋体"/>
          <w:szCs w:val="21"/>
        </w:rPr>
        <w:t>4日退出南雄城</w:t>
      </w:r>
      <w:r>
        <w:rPr>
          <w:rFonts w:hint="eastAsia" w:ascii="宋体" w:hAnsi="宋体"/>
          <w:szCs w:val="21"/>
        </w:rPr>
        <w:t>。</w:t>
      </w:r>
    </w:p>
    <w:p w14:paraId="2E5B39A0">
      <w:pPr>
        <w:ind w:firstLine="420"/>
        <w:rPr>
          <w:rFonts w:ascii="宋体" w:hAnsi="宋体"/>
          <w:szCs w:val="21"/>
        </w:rPr>
      </w:pPr>
      <w:r>
        <w:rPr>
          <w:rFonts w:ascii="宋体" w:hAnsi="宋体"/>
          <w:szCs w:val="21"/>
        </w:rPr>
        <w:t>11月2日，因叛徒告密，中共南雄县委书记陈召南，常委周序龙、周群标、何</w:t>
      </w:r>
      <w:r>
        <w:rPr>
          <w:rFonts w:hint="eastAsia" w:ascii="宋体" w:hAnsi="宋体"/>
          <w:szCs w:val="21"/>
        </w:rPr>
        <w:t>新福等被国民党军警逮捕，</w:t>
      </w:r>
      <w:r>
        <w:rPr>
          <w:rFonts w:ascii="宋体" w:hAnsi="宋体"/>
          <w:szCs w:val="21"/>
        </w:rPr>
        <w:t>3日被杀害于城郊五里山。</w:t>
      </w:r>
    </w:p>
    <w:p w14:paraId="60CD396B">
      <w:pPr>
        <w:ind w:firstLine="420"/>
        <w:rPr>
          <w:rFonts w:ascii="宋体" w:hAnsi="宋体"/>
          <w:szCs w:val="21"/>
        </w:rPr>
      </w:pPr>
      <w:r>
        <w:rPr>
          <w:rFonts w:ascii="宋体" w:hAnsi="宋体"/>
          <w:szCs w:val="21"/>
        </w:rPr>
        <w:t>11月，中共南雄县委重建，彭显模为书记。</w:t>
      </w:r>
    </w:p>
    <w:p w14:paraId="1649D9DD">
      <w:pPr>
        <w:pStyle w:val="4"/>
        <w:rPr>
          <w:rFonts w:ascii="宋体" w:hAnsi="宋体"/>
        </w:rPr>
      </w:pPr>
      <w:r>
        <w:rPr>
          <w:rFonts w:hint="eastAsia" w:ascii="宋体" w:hAnsi="宋体"/>
        </w:rPr>
        <w:t>民国</w:t>
      </w:r>
      <w:r>
        <w:rPr>
          <w:rFonts w:ascii="宋体" w:hAnsi="宋体"/>
        </w:rPr>
        <w:t>19年（</w:t>
      </w:r>
      <w:r>
        <w:rPr>
          <w:rFonts w:hint="eastAsia" w:ascii="宋体" w:hAnsi="宋体"/>
        </w:rPr>
        <w:t>1</w:t>
      </w:r>
      <w:r>
        <w:rPr>
          <w:rFonts w:ascii="宋体" w:hAnsi="宋体"/>
        </w:rPr>
        <w:t>930年</w:t>
      </w:r>
      <w:r>
        <w:rPr>
          <w:rFonts w:hint="eastAsia" w:ascii="宋体" w:hAnsi="宋体"/>
        </w:rPr>
        <w:t>）</w:t>
      </w:r>
    </w:p>
    <w:p w14:paraId="31F23AEF">
      <w:pPr>
        <w:ind w:firstLine="420"/>
        <w:rPr>
          <w:rFonts w:ascii="宋体" w:hAnsi="宋体"/>
          <w:szCs w:val="21"/>
        </w:rPr>
      </w:pPr>
      <w:r>
        <w:rPr>
          <w:rFonts w:ascii="宋体" w:hAnsi="宋体"/>
          <w:szCs w:val="21"/>
        </w:rPr>
        <w:t>4月1日17时，毛泽东、朱德率红四军占领南雄县城，县长梅翊翔携印潜逃，</w:t>
      </w:r>
      <w:r>
        <w:rPr>
          <w:rFonts w:hint="eastAsia" w:ascii="宋体" w:hAnsi="宋体"/>
          <w:szCs w:val="21"/>
        </w:rPr>
        <w:t>红军在雄城驻扎</w:t>
      </w:r>
      <w:r>
        <w:rPr>
          <w:rFonts w:ascii="宋体" w:hAnsi="宋体"/>
          <w:szCs w:val="21"/>
        </w:rPr>
        <w:t>1周，开展革命宣传，筹款4万银元，于7日离城，经乌迳入信丰。</w:t>
      </w:r>
    </w:p>
    <w:p w14:paraId="71BA2AC3">
      <w:pPr>
        <w:ind w:firstLine="420"/>
        <w:rPr>
          <w:rFonts w:ascii="宋体" w:hAnsi="宋体"/>
          <w:szCs w:val="21"/>
        </w:rPr>
      </w:pPr>
      <w:r>
        <w:rPr>
          <w:rFonts w:ascii="宋体" w:hAnsi="宋体"/>
          <w:szCs w:val="21"/>
        </w:rPr>
        <w:t>10月，南雄游击区归属中央苏区，为赣西南34个苏区县之一。在油山坪林重建</w:t>
      </w:r>
      <w:r>
        <w:rPr>
          <w:rFonts w:hint="eastAsia" w:ascii="宋体" w:hAnsi="宋体"/>
          <w:szCs w:val="21"/>
        </w:rPr>
        <w:t>南雄县苏维埃政府，开辟支援中央苏区的食盐运输线。</w:t>
      </w:r>
    </w:p>
    <w:p w14:paraId="4A3B740A">
      <w:pPr>
        <w:pStyle w:val="4"/>
        <w:rPr>
          <w:rFonts w:ascii="宋体" w:hAnsi="宋体"/>
        </w:rPr>
      </w:pPr>
      <w:r>
        <w:rPr>
          <w:rFonts w:hint="eastAsia" w:ascii="宋体" w:hAnsi="宋体"/>
        </w:rPr>
        <w:t>民国</w:t>
      </w:r>
      <w:r>
        <w:rPr>
          <w:rFonts w:ascii="宋体" w:hAnsi="宋体"/>
        </w:rPr>
        <w:t>21年（1932年）</w:t>
      </w:r>
    </w:p>
    <w:p w14:paraId="379F1F3E">
      <w:pPr>
        <w:ind w:firstLine="420"/>
        <w:rPr>
          <w:rFonts w:ascii="宋体" w:hAnsi="宋体"/>
          <w:szCs w:val="21"/>
        </w:rPr>
      </w:pPr>
      <w:r>
        <w:rPr>
          <w:rFonts w:ascii="宋体" w:hAnsi="宋体"/>
          <w:szCs w:val="21"/>
        </w:rPr>
        <w:t>3月9日，中共南雄县党员代表大会在油山大岭栋附近的山寮召开，成立新的南</w:t>
      </w:r>
      <w:r>
        <w:rPr>
          <w:rFonts w:hint="eastAsia" w:ascii="宋体" w:hAnsi="宋体"/>
          <w:szCs w:val="21"/>
        </w:rPr>
        <w:t>雄县委员会，叶修林任书记。</w:t>
      </w:r>
    </w:p>
    <w:p w14:paraId="5F5CBC57">
      <w:pPr>
        <w:ind w:firstLine="420"/>
        <w:rPr>
          <w:rFonts w:ascii="宋体" w:hAnsi="宋体"/>
          <w:szCs w:val="21"/>
        </w:rPr>
      </w:pPr>
      <w:r>
        <w:rPr>
          <w:rFonts w:ascii="宋体" w:hAnsi="宋体"/>
          <w:szCs w:val="21"/>
        </w:rPr>
        <w:t>7月8日至10日，发生水口战役。红一军团的第十二军、十五军，红五军团的</w:t>
      </w:r>
      <w:r>
        <w:rPr>
          <w:rFonts w:hint="eastAsia" w:ascii="宋体" w:hAnsi="宋体"/>
          <w:szCs w:val="21"/>
        </w:rPr>
        <w:t>第三军、十三军，以及江西独立第三师、六师，在毛泽东、朱德、王稼祥指挥下，同粤军李汉魂、张梅新、陈章、张达所部共</w:t>
      </w:r>
      <w:r>
        <w:rPr>
          <w:rFonts w:ascii="宋体" w:hAnsi="宋体"/>
          <w:szCs w:val="21"/>
        </w:rPr>
        <w:t>13个团的兵力，激战于水口圩一带，相持3昼夜，红军击溃了粤军，双方伤亡较大。</w:t>
      </w:r>
    </w:p>
    <w:p w14:paraId="5BDB685B">
      <w:pPr>
        <w:ind w:firstLine="420"/>
        <w:rPr>
          <w:rFonts w:ascii="宋体" w:hAnsi="宋体"/>
          <w:szCs w:val="21"/>
        </w:rPr>
      </w:pPr>
      <w:r>
        <w:rPr>
          <w:rFonts w:ascii="宋体" w:hAnsi="宋体"/>
          <w:szCs w:val="21"/>
        </w:rPr>
        <w:t>7月，姚之荣任南雄县长</w:t>
      </w:r>
      <w:r>
        <w:rPr>
          <w:rFonts w:hint="eastAsia" w:ascii="宋体" w:hAnsi="宋体"/>
          <w:szCs w:val="21"/>
        </w:rPr>
        <w:t>。</w:t>
      </w:r>
    </w:p>
    <w:p w14:paraId="04D9E920">
      <w:pPr>
        <w:pStyle w:val="4"/>
        <w:rPr>
          <w:rFonts w:ascii="宋体" w:hAnsi="宋体"/>
        </w:rPr>
      </w:pPr>
      <w:r>
        <w:rPr>
          <w:rFonts w:hint="eastAsia" w:ascii="宋体" w:hAnsi="宋体"/>
        </w:rPr>
        <w:t>民国</w:t>
      </w:r>
      <w:r>
        <w:rPr>
          <w:rFonts w:ascii="宋体" w:hAnsi="宋体"/>
        </w:rPr>
        <w:t>22年（1933年</w:t>
      </w:r>
      <w:r>
        <w:rPr>
          <w:rFonts w:hint="eastAsia" w:ascii="宋体" w:hAnsi="宋体"/>
        </w:rPr>
        <w:t>）</w:t>
      </w:r>
    </w:p>
    <w:p w14:paraId="030FD224">
      <w:pPr>
        <w:ind w:firstLine="420"/>
        <w:rPr>
          <w:rFonts w:ascii="宋体" w:hAnsi="宋体"/>
          <w:szCs w:val="21"/>
        </w:rPr>
      </w:pPr>
      <w:r>
        <w:rPr>
          <w:rFonts w:ascii="宋体" w:hAnsi="宋体"/>
          <w:szCs w:val="21"/>
        </w:rPr>
        <w:t>1月，雄韶公路通车。该公路于民国20年6月动工，由驻军和地方筹款兴建。</w:t>
      </w:r>
      <w:r>
        <w:rPr>
          <w:rFonts w:hint="eastAsia" w:ascii="宋体" w:hAnsi="宋体"/>
          <w:szCs w:val="21"/>
        </w:rPr>
        <w:t>广东省政府裁撤梅关税局。</w:t>
      </w:r>
    </w:p>
    <w:p w14:paraId="13A3C3B0">
      <w:pPr>
        <w:pStyle w:val="4"/>
        <w:rPr>
          <w:rFonts w:ascii="宋体" w:hAnsi="宋体"/>
        </w:rPr>
      </w:pPr>
      <w:r>
        <w:rPr>
          <w:rFonts w:hint="eastAsia" w:ascii="宋体" w:hAnsi="宋体"/>
        </w:rPr>
        <w:t>民国</w:t>
      </w:r>
      <w:r>
        <w:rPr>
          <w:rFonts w:ascii="宋体" w:hAnsi="宋体"/>
        </w:rPr>
        <w:t>23年（1934年）</w:t>
      </w:r>
    </w:p>
    <w:p w14:paraId="0A113DB6">
      <w:pPr>
        <w:ind w:firstLine="420"/>
        <w:rPr>
          <w:rFonts w:ascii="宋体" w:hAnsi="宋体"/>
          <w:szCs w:val="21"/>
        </w:rPr>
      </w:pPr>
      <w:r>
        <w:rPr>
          <w:rFonts w:ascii="宋体" w:hAnsi="宋体"/>
          <w:szCs w:val="21"/>
        </w:rPr>
        <w:t>3月，雄庾公路建成通车</w:t>
      </w:r>
      <w:r>
        <w:rPr>
          <w:rFonts w:hint="eastAsia" w:ascii="宋体" w:hAnsi="宋体"/>
          <w:szCs w:val="21"/>
        </w:rPr>
        <w:t>。</w:t>
      </w:r>
    </w:p>
    <w:p w14:paraId="5A33D59A">
      <w:pPr>
        <w:ind w:firstLine="420"/>
        <w:rPr>
          <w:rFonts w:ascii="宋体" w:hAnsi="宋体"/>
          <w:szCs w:val="21"/>
        </w:rPr>
      </w:pPr>
      <w:r>
        <w:rPr>
          <w:rFonts w:ascii="宋体" w:hAnsi="宋体"/>
          <w:szCs w:val="21"/>
        </w:rPr>
        <w:t>6月10日，广州至南雄有线电话开通。</w:t>
      </w:r>
    </w:p>
    <w:p w14:paraId="50821725">
      <w:pPr>
        <w:ind w:firstLine="420"/>
        <w:rPr>
          <w:rFonts w:ascii="宋体" w:hAnsi="宋体"/>
          <w:szCs w:val="21"/>
        </w:rPr>
      </w:pPr>
      <w:r>
        <w:rPr>
          <w:rFonts w:ascii="宋体" w:hAnsi="宋体"/>
          <w:szCs w:val="21"/>
        </w:rPr>
        <w:t>10月21日，中国工农红军一方面军长征。分两路突破敌人封锁，一路由信丰禾</w:t>
      </w:r>
      <w:r>
        <w:rPr>
          <w:rFonts w:hint="eastAsia" w:ascii="宋体" w:hAnsi="宋体"/>
          <w:szCs w:val="21"/>
        </w:rPr>
        <w:t>锹陂经南雄黄地、大兰入江西聂都；一路由信丰万隆入南雄界址过乌迳、锦陂、夹河口、茶田、黄陂洞，入大余县河洞、内良到聂都。</w:t>
      </w:r>
    </w:p>
    <w:p w14:paraId="3BA0B478">
      <w:pPr>
        <w:ind w:firstLine="420"/>
        <w:rPr>
          <w:rFonts w:ascii="宋体" w:hAnsi="宋体"/>
          <w:szCs w:val="21"/>
        </w:rPr>
      </w:pPr>
      <w:r>
        <w:rPr>
          <w:rFonts w:ascii="宋体" w:hAnsi="宋体"/>
          <w:szCs w:val="21"/>
        </w:rPr>
        <w:t>11月，雄信公路建成通车</w:t>
      </w:r>
      <w:r>
        <w:rPr>
          <w:rFonts w:hint="eastAsia" w:ascii="宋体" w:hAnsi="宋体"/>
          <w:szCs w:val="21"/>
        </w:rPr>
        <w:t>。</w:t>
      </w:r>
    </w:p>
    <w:p w14:paraId="4F56F239">
      <w:pPr>
        <w:ind w:firstLine="420"/>
        <w:rPr>
          <w:rFonts w:ascii="宋体" w:hAnsi="宋体"/>
          <w:szCs w:val="21"/>
        </w:rPr>
      </w:pPr>
      <w:r>
        <w:rPr>
          <w:rFonts w:hint="eastAsia" w:ascii="宋体" w:hAnsi="宋体"/>
          <w:szCs w:val="21"/>
        </w:rPr>
        <w:t>冬，中共赣粤边特委书记、军分区司令员兼政委李乐天率领特委机关和武装</w:t>
      </w:r>
      <w:r>
        <w:rPr>
          <w:rFonts w:ascii="宋体" w:hAnsi="宋体"/>
          <w:szCs w:val="21"/>
        </w:rPr>
        <w:t>700</w:t>
      </w:r>
      <w:r>
        <w:rPr>
          <w:rFonts w:hint="eastAsia" w:ascii="宋体" w:hAnsi="宋体"/>
          <w:szCs w:val="21"/>
        </w:rPr>
        <w:t>余人到油山，开展武装斗争。</w:t>
      </w:r>
    </w:p>
    <w:p w14:paraId="1F3D1587">
      <w:pPr>
        <w:pStyle w:val="4"/>
        <w:rPr>
          <w:rFonts w:ascii="宋体" w:hAnsi="宋体"/>
        </w:rPr>
      </w:pPr>
      <w:r>
        <w:rPr>
          <w:rFonts w:hint="eastAsia" w:ascii="宋体" w:hAnsi="宋体"/>
        </w:rPr>
        <w:t>民国</w:t>
      </w:r>
      <w:r>
        <w:rPr>
          <w:rFonts w:ascii="宋体" w:hAnsi="宋体"/>
        </w:rPr>
        <w:t>24年（1935年）</w:t>
      </w:r>
    </w:p>
    <w:p w14:paraId="46897978">
      <w:pPr>
        <w:ind w:firstLine="420"/>
        <w:rPr>
          <w:rFonts w:ascii="宋体" w:hAnsi="宋体"/>
          <w:szCs w:val="21"/>
        </w:rPr>
      </w:pPr>
      <w:r>
        <w:rPr>
          <w:rFonts w:ascii="宋体" w:hAnsi="宋体"/>
          <w:szCs w:val="21"/>
        </w:rPr>
        <w:t>3月，中共中央分局书记、中央革命根据地司令员兼政委项英，中央政府办事处</w:t>
      </w:r>
      <w:r>
        <w:rPr>
          <w:rFonts w:hint="eastAsia" w:ascii="宋体" w:hAnsi="宋体"/>
          <w:szCs w:val="21"/>
        </w:rPr>
        <w:t>主任陈毅，到油山廖地村会合李乐天开展游击战争。</w:t>
      </w:r>
    </w:p>
    <w:p w14:paraId="1E83324F">
      <w:pPr>
        <w:ind w:firstLine="420"/>
        <w:rPr>
          <w:rFonts w:ascii="宋体" w:hAnsi="宋体"/>
          <w:szCs w:val="21"/>
        </w:rPr>
      </w:pPr>
      <w:r>
        <w:rPr>
          <w:rFonts w:ascii="宋体" w:hAnsi="宋体"/>
          <w:szCs w:val="21"/>
        </w:rPr>
        <w:t>10月，中央根据地军区原参谋长龚楚叛变后，化装袭击北山天井洞，杀害游击</w:t>
      </w:r>
      <w:r>
        <w:rPr>
          <w:rFonts w:hint="eastAsia" w:ascii="宋体" w:hAnsi="宋体"/>
          <w:szCs w:val="21"/>
        </w:rPr>
        <w:t>队员六七十人，又窜入帽子峰企图捕捉项英、陈毅，阴谋未遂。是为“北山事件”。</w:t>
      </w:r>
    </w:p>
    <w:p w14:paraId="76B0DAAD">
      <w:pPr>
        <w:pStyle w:val="4"/>
        <w:rPr>
          <w:rFonts w:ascii="宋体" w:hAnsi="宋体"/>
        </w:rPr>
      </w:pPr>
      <w:r>
        <w:rPr>
          <w:rFonts w:hint="eastAsia" w:ascii="宋体" w:hAnsi="宋体"/>
        </w:rPr>
        <w:t>民国</w:t>
      </w:r>
      <w:r>
        <w:rPr>
          <w:rFonts w:ascii="宋体" w:hAnsi="宋体"/>
        </w:rPr>
        <w:t>25年（1936年）</w:t>
      </w:r>
    </w:p>
    <w:p w14:paraId="37652447">
      <w:pPr>
        <w:ind w:firstLine="420"/>
        <w:rPr>
          <w:rFonts w:ascii="宋体" w:hAnsi="宋体"/>
          <w:szCs w:val="21"/>
        </w:rPr>
      </w:pPr>
      <w:r>
        <w:rPr>
          <w:rFonts w:ascii="宋体" w:hAnsi="宋体"/>
          <w:szCs w:val="21"/>
        </w:rPr>
        <w:t>10月，县长姚之荣离任，杨德隆接任。</w:t>
      </w:r>
    </w:p>
    <w:p w14:paraId="0DDE481B">
      <w:pPr>
        <w:pStyle w:val="4"/>
        <w:rPr>
          <w:rFonts w:ascii="宋体" w:hAnsi="宋体"/>
        </w:rPr>
      </w:pPr>
      <w:r>
        <w:rPr>
          <w:rFonts w:hint="eastAsia" w:ascii="宋体" w:hAnsi="宋体"/>
        </w:rPr>
        <w:t>民国</w:t>
      </w:r>
      <w:r>
        <w:rPr>
          <w:rFonts w:ascii="宋体" w:hAnsi="宋体"/>
        </w:rPr>
        <w:t>26年（1937年</w:t>
      </w:r>
      <w:r>
        <w:rPr>
          <w:rFonts w:hint="eastAsia" w:ascii="宋体" w:hAnsi="宋体"/>
        </w:rPr>
        <w:t>）</w:t>
      </w:r>
    </w:p>
    <w:p w14:paraId="6029DFE2">
      <w:pPr>
        <w:ind w:firstLine="420"/>
        <w:rPr>
          <w:rFonts w:ascii="宋体" w:hAnsi="宋体"/>
          <w:szCs w:val="21"/>
        </w:rPr>
      </w:pPr>
      <w:r>
        <w:rPr>
          <w:rFonts w:ascii="宋体" w:hAnsi="宋体"/>
          <w:szCs w:val="21"/>
        </w:rPr>
        <w:t>5月，国民党重兵“围剿”游击队20余日，陈毅身带伤病，伏莽写下《梅岭三</w:t>
      </w:r>
      <w:r>
        <w:rPr>
          <w:rFonts w:hint="eastAsia" w:ascii="宋体" w:hAnsi="宋体"/>
          <w:szCs w:val="21"/>
        </w:rPr>
        <w:t>章》诗篇。</w:t>
      </w:r>
    </w:p>
    <w:p w14:paraId="310E4991">
      <w:pPr>
        <w:ind w:firstLine="420"/>
        <w:rPr>
          <w:rFonts w:ascii="宋体" w:hAnsi="宋体"/>
          <w:szCs w:val="21"/>
        </w:rPr>
      </w:pPr>
      <w:r>
        <w:rPr>
          <w:rFonts w:ascii="宋体" w:hAnsi="宋体"/>
          <w:szCs w:val="21"/>
        </w:rPr>
        <w:t>9月6日，陈毅与大余县长彭育英在钟鼓岩谈判团结抗日事宜。</w:t>
      </w:r>
    </w:p>
    <w:p w14:paraId="19F6D12A">
      <w:pPr>
        <w:ind w:firstLine="420"/>
        <w:rPr>
          <w:rFonts w:ascii="宋体" w:hAnsi="宋体"/>
          <w:szCs w:val="21"/>
        </w:rPr>
      </w:pPr>
      <w:r>
        <w:rPr>
          <w:rFonts w:ascii="宋体" w:hAnsi="宋体"/>
          <w:szCs w:val="21"/>
        </w:rPr>
        <w:t>11月上旬，陈丕显以江西省抗日义勇军第一支队代表身份，在南雄县城与大余</w:t>
      </w:r>
      <w:r>
        <w:rPr>
          <w:rFonts w:hint="eastAsia" w:ascii="宋体" w:hAnsi="宋体"/>
          <w:szCs w:val="21"/>
        </w:rPr>
        <w:t>县政府秘书鲁炯雯、南雄县长曾绳点以及驻军师长谈判团结抗日事项。</w:t>
      </w:r>
    </w:p>
    <w:p w14:paraId="003DBB18">
      <w:pPr>
        <w:pStyle w:val="4"/>
        <w:rPr>
          <w:rFonts w:ascii="宋体" w:hAnsi="宋体"/>
        </w:rPr>
      </w:pPr>
      <w:r>
        <w:rPr>
          <w:rFonts w:hint="eastAsia" w:ascii="宋体" w:hAnsi="宋体"/>
        </w:rPr>
        <w:t>民国</w:t>
      </w:r>
      <w:r>
        <w:rPr>
          <w:rFonts w:ascii="宋体" w:hAnsi="宋体"/>
        </w:rPr>
        <w:t>27年（1938年）</w:t>
      </w:r>
    </w:p>
    <w:p w14:paraId="09876CCF">
      <w:pPr>
        <w:ind w:firstLine="420"/>
        <w:rPr>
          <w:rFonts w:ascii="宋体" w:hAnsi="宋体"/>
          <w:szCs w:val="21"/>
        </w:rPr>
      </w:pPr>
      <w:r>
        <w:rPr>
          <w:rFonts w:ascii="宋体" w:hAnsi="宋体"/>
          <w:szCs w:val="21"/>
        </w:rPr>
        <w:t>1月，赣粤边游击队在大余县池江集结，改编为新四军第一支队，3月北上抗日</w:t>
      </w:r>
      <w:r>
        <w:rPr>
          <w:rFonts w:hint="eastAsia" w:ascii="宋体" w:hAnsi="宋体"/>
          <w:szCs w:val="21"/>
        </w:rPr>
        <w:t>。</w:t>
      </w:r>
    </w:p>
    <w:p w14:paraId="301B57E0">
      <w:pPr>
        <w:ind w:firstLine="420"/>
        <w:rPr>
          <w:rFonts w:ascii="宋体" w:hAnsi="宋体"/>
          <w:szCs w:val="21"/>
        </w:rPr>
      </w:pPr>
      <w:r>
        <w:rPr>
          <w:rFonts w:ascii="宋体" w:hAnsi="宋体"/>
          <w:szCs w:val="21"/>
        </w:rPr>
        <w:t>9月，莫雄出任南雄县长，招抚土匪头子钟寿山，稳定南雄局势，并释放在押政</w:t>
      </w:r>
      <w:r>
        <w:rPr>
          <w:rFonts w:hint="eastAsia" w:ascii="宋体" w:hAnsi="宋体"/>
          <w:szCs w:val="21"/>
        </w:rPr>
        <w:t>治犯。</w:t>
      </w:r>
    </w:p>
    <w:p w14:paraId="70CF6ECC">
      <w:pPr>
        <w:pStyle w:val="4"/>
        <w:rPr>
          <w:rFonts w:ascii="宋体" w:hAnsi="宋体"/>
        </w:rPr>
      </w:pPr>
      <w:r>
        <w:rPr>
          <w:rFonts w:hint="eastAsia" w:ascii="宋体" w:hAnsi="宋体"/>
        </w:rPr>
        <w:t>民国</w:t>
      </w:r>
      <w:r>
        <w:rPr>
          <w:rFonts w:ascii="宋体" w:hAnsi="宋体"/>
        </w:rPr>
        <w:t>28年（1939年）</w:t>
      </w:r>
    </w:p>
    <w:p w14:paraId="0F56F1BB">
      <w:pPr>
        <w:ind w:firstLine="420"/>
        <w:rPr>
          <w:rFonts w:ascii="宋体" w:hAnsi="宋体"/>
          <w:szCs w:val="21"/>
        </w:rPr>
      </w:pPr>
      <w:r>
        <w:rPr>
          <w:rFonts w:hint="eastAsia" w:ascii="宋体" w:hAnsi="宋体"/>
          <w:szCs w:val="21"/>
        </w:rPr>
        <w:t>春，中共广东省委书记张文彬到南雄传达中共六届六中全会精神，成立南雄中心县委，书记罗世珍。</w:t>
      </w:r>
    </w:p>
    <w:p w14:paraId="7629F1BC">
      <w:pPr>
        <w:ind w:firstLine="420"/>
        <w:rPr>
          <w:rFonts w:ascii="宋体" w:hAnsi="宋体"/>
          <w:szCs w:val="21"/>
        </w:rPr>
      </w:pPr>
      <w:r>
        <w:rPr>
          <w:rFonts w:ascii="宋体" w:hAnsi="宋体"/>
          <w:szCs w:val="21"/>
        </w:rPr>
        <w:t>12月，中共广东省委机关由信丰九渡水迁至南雄瑶坑村。</w:t>
      </w:r>
    </w:p>
    <w:p w14:paraId="0AF342CA">
      <w:pPr>
        <w:ind w:firstLine="420"/>
        <w:rPr>
          <w:rFonts w:ascii="宋体" w:hAnsi="宋体"/>
          <w:szCs w:val="21"/>
        </w:rPr>
      </w:pPr>
      <w:r>
        <w:rPr>
          <w:rFonts w:hint="eastAsia" w:ascii="宋体" w:hAnsi="宋体"/>
          <w:szCs w:val="21"/>
        </w:rPr>
        <w:t>冬，中共广东省委在全安乡里岗岭炮楼举办县级党员训练班，有</w:t>
      </w:r>
      <w:r>
        <w:rPr>
          <w:rFonts w:ascii="宋体" w:hAnsi="宋体"/>
          <w:szCs w:val="21"/>
        </w:rPr>
        <w:t>30多人，翌年5月结束。</w:t>
      </w:r>
    </w:p>
    <w:p w14:paraId="02C3608B">
      <w:pPr>
        <w:pStyle w:val="4"/>
        <w:rPr>
          <w:rFonts w:ascii="宋体" w:hAnsi="宋体"/>
        </w:rPr>
      </w:pPr>
      <w:r>
        <w:rPr>
          <w:rFonts w:hint="eastAsia" w:ascii="宋体" w:hAnsi="宋体"/>
        </w:rPr>
        <w:t>民国</w:t>
      </w:r>
      <w:r>
        <w:rPr>
          <w:rFonts w:ascii="宋体" w:hAnsi="宋体"/>
        </w:rPr>
        <w:t>29年（1940年）</w:t>
      </w:r>
    </w:p>
    <w:p w14:paraId="0778408B">
      <w:pPr>
        <w:ind w:firstLine="420"/>
        <w:rPr>
          <w:rFonts w:ascii="宋体" w:hAnsi="宋体"/>
          <w:szCs w:val="21"/>
        </w:rPr>
      </w:pPr>
      <w:r>
        <w:rPr>
          <w:rFonts w:ascii="宋体" w:hAnsi="宋体"/>
          <w:szCs w:val="21"/>
        </w:rPr>
        <w:t>5月，赵沛鸿调任南雄县长。</w:t>
      </w:r>
    </w:p>
    <w:p w14:paraId="1E115A15">
      <w:pPr>
        <w:pStyle w:val="4"/>
        <w:rPr>
          <w:rFonts w:ascii="宋体" w:hAnsi="宋体"/>
        </w:rPr>
      </w:pPr>
      <w:r>
        <w:rPr>
          <w:rFonts w:hint="eastAsia" w:ascii="宋体" w:hAnsi="宋体"/>
        </w:rPr>
        <w:t>民国</w:t>
      </w:r>
      <w:r>
        <w:rPr>
          <w:rFonts w:ascii="宋体" w:hAnsi="宋体"/>
        </w:rPr>
        <w:t>33年（1944年）</w:t>
      </w:r>
    </w:p>
    <w:p w14:paraId="25B96BA4">
      <w:pPr>
        <w:ind w:firstLine="420"/>
        <w:rPr>
          <w:rFonts w:ascii="宋体" w:hAnsi="宋体"/>
          <w:szCs w:val="21"/>
        </w:rPr>
      </w:pPr>
      <w:r>
        <w:rPr>
          <w:rFonts w:hint="eastAsia" w:ascii="宋体" w:hAnsi="宋体"/>
          <w:szCs w:val="21"/>
        </w:rPr>
        <w:t>是年，南雄县临时参议会成立，议长胡锡朋。</w:t>
      </w:r>
    </w:p>
    <w:p w14:paraId="014AD31E">
      <w:pPr>
        <w:pStyle w:val="4"/>
        <w:rPr>
          <w:rFonts w:ascii="宋体" w:hAnsi="宋体"/>
        </w:rPr>
      </w:pPr>
      <w:r>
        <w:rPr>
          <w:rFonts w:hint="eastAsia" w:ascii="宋体" w:hAnsi="宋体"/>
        </w:rPr>
        <w:t>民国</w:t>
      </w:r>
      <w:r>
        <w:rPr>
          <w:rFonts w:ascii="宋体" w:hAnsi="宋体"/>
        </w:rPr>
        <w:t>34年（1945年）</w:t>
      </w:r>
    </w:p>
    <w:p w14:paraId="0F3C8B34">
      <w:pPr>
        <w:ind w:firstLine="420"/>
        <w:rPr>
          <w:rFonts w:ascii="宋体" w:hAnsi="宋体"/>
          <w:szCs w:val="21"/>
        </w:rPr>
      </w:pPr>
      <w:r>
        <w:rPr>
          <w:rFonts w:ascii="宋体" w:hAnsi="宋体"/>
          <w:szCs w:val="21"/>
        </w:rPr>
        <w:t>1月，黄坑土匪在秀塘坑附近抢劫七战区长官部军车，县长赵沛鸿被撤职，七战</w:t>
      </w:r>
      <w:r>
        <w:rPr>
          <w:rFonts w:hint="eastAsia" w:ascii="宋体" w:hAnsi="宋体"/>
          <w:szCs w:val="21"/>
        </w:rPr>
        <w:t>区中将参议云振中接任南雄县长。</w:t>
      </w:r>
    </w:p>
    <w:p w14:paraId="727AF512">
      <w:pPr>
        <w:ind w:firstLine="420"/>
        <w:rPr>
          <w:rFonts w:ascii="宋体" w:hAnsi="宋体"/>
          <w:szCs w:val="21"/>
        </w:rPr>
      </w:pPr>
      <w:r>
        <w:rPr>
          <w:rFonts w:ascii="宋体" w:hAnsi="宋体"/>
          <w:szCs w:val="21"/>
        </w:rPr>
        <w:t>2月，日本侵略军进逼南雄，南始曲守备司令李震下令烧毁飞机场仓库，炸毁河</w:t>
      </w:r>
      <w:r>
        <w:rPr>
          <w:rFonts w:hint="eastAsia" w:ascii="宋体" w:hAnsi="宋体"/>
          <w:szCs w:val="21"/>
        </w:rPr>
        <w:t>南桥。</w:t>
      </w:r>
      <w:r>
        <w:rPr>
          <w:rFonts w:ascii="宋体" w:hAnsi="宋体"/>
          <w:szCs w:val="21"/>
        </w:rPr>
        <w:t>3日16时，日军围攻南雄城，18时城陷。县政府撤至宝江乡长潭尾村（3月</w:t>
      </w:r>
      <w:r>
        <w:rPr>
          <w:rFonts w:hint="eastAsia" w:ascii="宋体" w:hAnsi="宋体"/>
          <w:szCs w:val="21"/>
        </w:rPr>
        <w:t>迁至龙口圩），并在百顺成立办事处。</w:t>
      </w:r>
    </w:p>
    <w:p w14:paraId="3B7EE716">
      <w:pPr>
        <w:ind w:firstLine="420"/>
        <w:rPr>
          <w:rFonts w:ascii="宋体" w:hAnsi="宋体"/>
          <w:szCs w:val="21"/>
        </w:rPr>
      </w:pPr>
      <w:r>
        <w:rPr>
          <w:rFonts w:ascii="宋体" w:hAnsi="宋体"/>
          <w:szCs w:val="21"/>
        </w:rPr>
        <w:t>2月23日深夜，日军向始兴撤退，国民革命军收复南雄县城</w:t>
      </w:r>
      <w:r>
        <w:rPr>
          <w:rFonts w:hint="eastAsia" w:ascii="宋体" w:hAnsi="宋体"/>
          <w:szCs w:val="21"/>
        </w:rPr>
        <w:t>。</w:t>
      </w:r>
    </w:p>
    <w:p w14:paraId="40F45381">
      <w:pPr>
        <w:ind w:firstLine="420"/>
        <w:rPr>
          <w:rFonts w:ascii="宋体" w:hAnsi="宋体"/>
          <w:szCs w:val="21"/>
        </w:rPr>
      </w:pPr>
      <w:r>
        <w:rPr>
          <w:rFonts w:ascii="宋体" w:hAnsi="宋体"/>
          <w:szCs w:val="21"/>
        </w:rPr>
        <w:t>8月14日，日本天皇宣布无条件投降。</w:t>
      </w:r>
    </w:p>
    <w:p w14:paraId="65773DF3">
      <w:pPr>
        <w:ind w:firstLine="420"/>
        <w:rPr>
          <w:rFonts w:ascii="宋体" w:hAnsi="宋体"/>
          <w:szCs w:val="21"/>
        </w:rPr>
      </w:pPr>
      <w:r>
        <w:rPr>
          <w:rFonts w:ascii="宋体" w:hAnsi="宋体"/>
          <w:szCs w:val="21"/>
        </w:rPr>
        <w:t>8月，南雄县善后委员会成立，调查南雄县沦陷后损失情况。县政府报告称：全</w:t>
      </w:r>
      <w:r>
        <w:rPr>
          <w:rFonts w:hint="eastAsia" w:ascii="宋体" w:hAnsi="宋体"/>
          <w:szCs w:val="21"/>
        </w:rPr>
        <w:t>县被日军盘踞</w:t>
      </w:r>
      <w:r>
        <w:rPr>
          <w:rFonts w:ascii="宋体" w:hAnsi="宋体"/>
          <w:szCs w:val="21"/>
        </w:rPr>
        <w:t>2个镇7个乡，被蹂躏12个乡、23个村，被抢夺粮食20万石（1万</w:t>
      </w:r>
      <w:r>
        <w:rPr>
          <w:rFonts w:hint="eastAsia" w:ascii="宋体" w:hAnsi="宋体"/>
          <w:szCs w:val="21"/>
        </w:rPr>
        <w:t>吨），房屋被毁</w:t>
      </w:r>
      <w:r>
        <w:rPr>
          <w:rFonts w:ascii="宋体" w:hAnsi="宋体"/>
          <w:szCs w:val="21"/>
        </w:rPr>
        <w:t>7000间，死亡307人</w:t>
      </w:r>
      <w:r>
        <w:rPr>
          <w:rFonts w:hint="eastAsia" w:ascii="宋体" w:hAnsi="宋体"/>
          <w:szCs w:val="21"/>
        </w:rPr>
        <w:t>。</w:t>
      </w:r>
    </w:p>
    <w:p w14:paraId="02820783">
      <w:pPr>
        <w:ind w:firstLine="420"/>
        <w:rPr>
          <w:rFonts w:ascii="宋体" w:hAnsi="宋体"/>
          <w:szCs w:val="21"/>
        </w:rPr>
      </w:pPr>
      <w:r>
        <w:rPr>
          <w:rFonts w:ascii="宋体" w:hAnsi="宋体"/>
          <w:szCs w:val="21"/>
        </w:rPr>
        <w:t>8月，王震、王首道根据中共中央建立五岭根据地指示，率部南下，于8月27</w:t>
      </w:r>
      <w:r>
        <w:rPr>
          <w:rFonts w:hint="eastAsia" w:ascii="宋体" w:hAnsi="宋体"/>
          <w:szCs w:val="21"/>
        </w:rPr>
        <w:t>日到达南雄北山上移，旋因日本投降，时局变化，接军委电报后轻装北上。</w:t>
      </w:r>
    </w:p>
    <w:p w14:paraId="7D3F933A">
      <w:pPr>
        <w:pStyle w:val="4"/>
        <w:rPr>
          <w:rFonts w:ascii="宋体" w:hAnsi="宋体"/>
        </w:rPr>
      </w:pPr>
      <w:r>
        <w:rPr>
          <w:rFonts w:hint="eastAsia" w:ascii="宋体" w:hAnsi="宋体"/>
        </w:rPr>
        <w:t>民国</w:t>
      </w:r>
      <w:r>
        <w:rPr>
          <w:rFonts w:ascii="宋体" w:hAnsi="宋体"/>
        </w:rPr>
        <w:t>35年（1946年）</w:t>
      </w:r>
    </w:p>
    <w:p w14:paraId="23C8035D">
      <w:pPr>
        <w:ind w:firstLine="420"/>
        <w:rPr>
          <w:rFonts w:ascii="宋体" w:hAnsi="宋体"/>
          <w:szCs w:val="21"/>
        </w:rPr>
      </w:pPr>
      <w:r>
        <w:rPr>
          <w:rFonts w:ascii="宋体" w:hAnsi="宋体"/>
          <w:szCs w:val="21"/>
        </w:rPr>
        <w:t>5月5日，南雄县参议会成立，议长何腾鸿。</w:t>
      </w:r>
    </w:p>
    <w:p w14:paraId="63892E13">
      <w:pPr>
        <w:pStyle w:val="4"/>
        <w:rPr>
          <w:rFonts w:ascii="宋体" w:hAnsi="宋体"/>
        </w:rPr>
      </w:pPr>
      <w:r>
        <w:rPr>
          <w:rFonts w:hint="eastAsia" w:ascii="宋体" w:hAnsi="宋体"/>
        </w:rPr>
        <w:t>民国</w:t>
      </w:r>
      <w:r>
        <w:rPr>
          <w:rFonts w:ascii="宋体" w:hAnsi="宋体"/>
        </w:rPr>
        <w:t>36年（1947年</w:t>
      </w:r>
      <w:r>
        <w:rPr>
          <w:rFonts w:hint="eastAsia" w:ascii="宋体" w:hAnsi="宋体"/>
        </w:rPr>
        <w:t>）</w:t>
      </w:r>
    </w:p>
    <w:p w14:paraId="2AA17B99">
      <w:pPr>
        <w:ind w:firstLine="420"/>
        <w:rPr>
          <w:rFonts w:ascii="宋体" w:hAnsi="宋体"/>
          <w:szCs w:val="21"/>
        </w:rPr>
      </w:pPr>
      <w:r>
        <w:rPr>
          <w:rFonts w:ascii="宋体" w:hAnsi="宋体"/>
          <w:szCs w:val="21"/>
        </w:rPr>
        <w:t>3月，中共香港分局派张华到凌溪大庙，成立五岭地委，张华任书记，黄业、刘</w:t>
      </w:r>
      <w:r>
        <w:rPr>
          <w:rFonts w:hint="eastAsia" w:ascii="宋体" w:hAnsi="宋体"/>
          <w:szCs w:val="21"/>
        </w:rPr>
        <w:t>建华任副书记。会议决定以“反三征”（反征兵、征粮、征苛捐杂税）为中心，发动群众，扩大队伍，发展游击区，建立根据地。</w:t>
      </w:r>
    </w:p>
    <w:p w14:paraId="39B37370">
      <w:pPr>
        <w:ind w:firstLine="420"/>
        <w:rPr>
          <w:rFonts w:ascii="宋体" w:hAnsi="宋体"/>
          <w:szCs w:val="21"/>
        </w:rPr>
      </w:pPr>
      <w:r>
        <w:rPr>
          <w:rFonts w:ascii="宋体" w:hAnsi="宋体"/>
          <w:szCs w:val="21"/>
        </w:rPr>
        <w:t>4月，粤赣湘边人民解放总队成立，黄业任总队长，张华任政治委员，总队有3500多人，下设4个支队</w:t>
      </w:r>
      <w:r>
        <w:rPr>
          <w:rFonts w:hint="eastAsia" w:ascii="宋体" w:hAnsi="宋体"/>
          <w:szCs w:val="21"/>
        </w:rPr>
        <w:t>。</w:t>
      </w:r>
    </w:p>
    <w:p w14:paraId="7C92368F">
      <w:pPr>
        <w:ind w:firstLine="420"/>
        <w:rPr>
          <w:rFonts w:ascii="宋体" w:hAnsi="宋体"/>
          <w:szCs w:val="21"/>
        </w:rPr>
      </w:pPr>
      <w:r>
        <w:rPr>
          <w:rFonts w:ascii="宋体" w:hAnsi="宋体"/>
          <w:szCs w:val="21"/>
        </w:rPr>
        <w:t>12月1日，国民党南雄县党部与三青团南雄县分团合并，成立党团统一委员会，</w:t>
      </w:r>
      <w:r>
        <w:rPr>
          <w:rFonts w:hint="eastAsia" w:ascii="宋体" w:hAnsi="宋体"/>
          <w:szCs w:val="21"/>
        </w:rPr>
        <w:t>何腾鸿任书记长，曾永汉任副书记长。</w:t>
      </w:r>
    </w:p>
    <w:p w14:paraId="32CE7C6B">
      <w:pPr>
        <w:pStyle w:val="4"/>
        <w:rPr>
          <w:rFonts w:ascii="宋体" w:hAnsi="宋体"/>
        </w:rPr>
      </w:pPr>
      <w:r>
        <w:rPr>
          <w:rFonts w:hint="eastAsia" w:ascii="宋体" w:hAnsi="宋体"/>
        </w:rPr>
        <w:t>民国</w:t>
      </w:r>
      <w:r>
        <w:rPr>
          <w:rFonts w:ascii="宋体" w:hAnsi="宋体"/>
        </w:rPr>
        <w:t>37年（1948年）</w:t>
      </w:r>
    </w:p>
    <w:p w14:paraId="59101F05">
      <w:pPr>
        <w:ind w:firstLine="420"/>
        <w:rPr>
          <w:rFonts w:ascii="宋体" w:hAnsi="宋体"/>
          <w:szCs w:val="21"/>
        </w:rPr>
      </w:pPr>
      <w:r>
        <w:rPr>
          <w:rFonts w:ascii="宋体" w:hAnsi="宋体"/>
          <w:szCs w:val="21"/>
        </w:rPr>
        <w:t>7月18日，韩建勋升任二区专员，胡锡朋接任南雄县长。</w:t>
      </w:r>
    </w:p>
    <w:p w14:paraId="53735420">
      <w:pPr>
        <w:pStyle w:val="4"/>
        <w:rPr>
          <w:rFonts w:ascii="宋体" w:hAnsi="宋体"/>
        </w:rPr>
      </w:pPr>
      <w:r>
        <w:rPr>
          <w:rFonts w:hint="eastAsia" w:ascii="宋体" w:hAnsi="宋体"/>
        </w:rPr>
        <w:t>民国</w:t>
      </w:r>
      <w:r>
        <w:rPr>
          <w:rFonts w:ascii="宋体" w:hAnsi="宋体"/>
        </w:rPr>
        <w:t>38年（至1949年9月）</w:t>
      </w:r>
    </w:p>
    <w:p w14:paraId="17B6C2BD">
      <w:pPr>
        <w:ind w:firstLine="420"/>
        <w:rPr>
          <w:rFonts w:ascii="宋体" w:hAnsi="宋体"/>
          <w:szCs w:val="21"/>
        </w:rPr>
      </w:pPr>
      <w:r>
        <w:rPr>
          <w:rFonts w:ascii="宋体" w:hAnsi="宋体"/>
          <w:szCs w:val="21"/>
        </w:rPr>
        <w:t>1月，中国人民解放军粤赣湘边纵队成立，粤赣湘边人民解放总队改为中国人民</w:t>
      </w:r>
      <w:r>
        <w:rPr>
          <w:rFonts w:hint="eastAsia" w:ascii="宋体" w:hAnsi="宋体"/>
          <w:szCs w:val="21"/>
        </w:rPr>
        <w:t>解放军粤赣湘边纵队北江第二支队。</w:t>
      </w:r>
    </w:p>
    <w:p w14:paraId="7FDE7A7A">
      <w:pPr>
        <w:ind w:firstLine="420"/>
        <w:rPr>
          <w:rFonts w:ascii="宋体" w:hAnsi="宋体"/>
          <w:szCs w:val="21"/>
        </w:rPr>
      </w:pPr>
      <w:r>
        <w:rPr>
          <w:rFonts w:ascii="宋体" w:hAnsi="宋体"/>
          <w:szCs w:val="21"/>
        </w:rPr>
        <w:t>3月至4月间，中共南雄县工作委员会成立，书记吴新民，副书记郭显亲。同</w:t>
      </w:r>
      <w:r>
        <w:rPr>
          <w:rFonts w:hint="eastAsia" w:ascii="宋体" w:hAnsi="宋体"/>
          <w:szCs w:val="21"/>
        </w:rPr>
        <w:t>时，成立南雄县人民政府，县长吴新民（兼），秘书郭显亲（兼）。成立</w:t>
      </w:r>
      <w:r>
        <w:rPr>
          <w:rFonts w:ascii="宋体" w:hAnsi="宋体"/>
          <w:szCs w:val="21"/>
        </w:rPr>
        <w:t>5个区人民</w:t>
      </w:r>
      <w:r>
        <w:rPr>
          <w:rFonts w:hint="eastAsia" w:ascii="宋体" w:hAnsi="宋体"/>
          <w:szCs w:val="21"/>
        </w:rPr>
        <w:t>政府。</w:t>
      </w:r>
    </w:p>
    <w:p w14:paraId="5B0ADE08">
      <w:pPr>
        <w:ind w:firstLine="420"/>
        <w:rPr>
          <w:rFonts w:ascii="宋体" w:hAnsi="宋体"/>
          <w:szCs w:val="21"/>
        </w:rPr>
      </w:pPr>
      <w:r>
        <w:rPr>
          <w:rFonts w:ascii="宋体" w:hAnsi="宋体"/>
          <w:szCs w:val="21"/>
        </w:rPr>
        <w:t>5月，县长胡锡朋辞职，华文治接任。</w:t>
      </w:r>
    </w:p>
    <w:p w14:paraId="4BA7CCED">
      <w:pPr>
        <w:ind w:firstLine="420"/>
        <w:rPr>
          <w:rFonts w:ascii="宋体" w:hAnsi="宋体"/>
          <w:szCs w:val="21"/>
        </w:rPr>
      </w:pPr>
      <w:r>
        <w:rPr>
          <w:rFonts w:ascii="宋体" w:hAnsi="宋体"/>
          <w:szCs w:val="21"/>
        </w:rPr>
        <w:t>8月21日，中共南雄县委员会成立，县委书记兼县长张尚琼，副书记于亚农，</w:t>
      </w:r>
      <w:r>
        <w:rPr>
          <w:rFonts w:hint="eastAsia" w:ascii="宋体" w:hAnsi="宋体"/>
          <w:szCs w:val="21"/>
        </w:rPr>
        <w:t>副县长华云。</w:t>
      </w:r>
    </w:p>
    <w:p w14:paraId="1E9E9EC7">
      <w:pPr>
        <w:pStyle w:val="3"/>
        <w:rPr>
          <w:rFonts w:ascii="宋体" w:hAnsi="宋体"/>
        </w:rPr>
      </w:pPr>
      <w:r>
        <w:rPr>
          <w:rFonts w:hint="eastAsia" w:ascii="宋体" w:hAnsi="宋体"/>
        </w:rPr>
        <w:t>三、中华人民共和国时期</w:t>
      </w:r>
    </w:p>
    <w:p w14:paraId="7FCAB13F">
      <w:pPr>
        <w:pStyle w:val="4"/>
        <w:rPr>
          <w:rFonts w:ascii="宋体" w:hAnsi="宋体"/>
        </w:rPr>
      </w:pPr>
      <w:r>
        <w:rPr>
          <w:rFonts w:ascii="宋体" w:hAnsi="宋体"/>
        </w:rPr>
        <w:t>1949年</w:t>
      </w:r>
    </w:p>
    <w:p w14:paraId="64E97E89">
      <w:pPr>
        <w:ind w:firstLine="420"/>
        <w:rPr>
          <w:rFonts w:ascii="宋体" w:hAnsi="宋体"/>
          <w:szCs w:val="21"/>
        </w:rPr>
      </w:pPr>
      <w:r>
        <w:rPr>
          <w:rFonts w:ascii="宋体" w:hAnsi="宋体"/>
          <w:szCs w:val="21"/>
        </w:rPr>
        <w:t>9月24日凌晨2时，中国人民解放军第二野战军第四兵团第十五军第四十五师</w:t>
      </w:r>
      <w:r>
        <w:rPr>
          <w:rFonts w:hint="eastAsia" w:ascii="宋体" w:hAnsi="宋体"/>
          <w:szCs w:val="21"/>
        </w:rPr>
        <w:t>在北江第二支队协同下，进攻南雄县城，</w:t>
      </w:r>
      <w:r>
        <w:rPr>
          <w:rFonts w:ascii="宋体" w:hAnsi="宋体"/>
          <w:szCs w:val="21"/>
        </w:rPr>
        <w:t>4时攻克，南雄解放。县人民政府入城接管</w:t>
      </w:r>
      <w:r>
        <w:rPr>
          <w:rFonts w:hint="eastAsia" w:ascii="宋体" w:hAnsi="宋体"/>
          <w:szCs w:val="21"/>
        </w:rPr>
        <w:t>旧政权。</w:t>
      </w:r>
    </w:p>
    <w:p w14:paraId="07E94B8B">
      <w:pPr>
        <w:pStyle w:val="4"/>
        <w:rPr>
          <w:rFonts w:ascii="宋体" w:hAnsi="宋体"/>
        </w:rPr>
      </w:pPr>
      <w:r>
        <w:rPr>
          <w:rFonts w:ascii="宋体" w:hAnsi="宋体"/>
        </w:rPr>
        <w:t>1950年</w:t>
      </w:r>
    </w:p>
    <w:p w14:paraId="4AFCB898">
      <w:pPr>
        <w:ind w:firstLine="420"/>
        <w:rPr>
          <w:rFonts w:ascii="宋体" w:hAnsi="宋体"/>
          <w:szCs w:val="21"/>
        </w:rPr>
      </w:pPr>
      <w:r>
        <w:rPr>
          <w:rFonts w:hint="eastAsia" w:ascii="宋体" w:hAnsi="宋体"/>
          <w:szCs w:val="21"/>
        </w:rPr>
        <w:t>是年末，全县</w:t>
      </w:r>
      <w:r>
        <w:rPr>
          <w:rFonts w:ascii="宋体" w:hAnsi="宋体"/>
          <w:szCs w:val="21"/>
        </w:rPr>
        <w:t>57045户，222499人。</w:t>
      </w:r>
    </w:p>
    <w:p w14:paraId="6EC29983">
      <w:pPr>
        <w:ind w:firstLine="420"/>
        <w:rPr>
          <w:rFonts w:ascii="宋体" w:hAnsi="宋体"/>
          <w:szCs w:val="21"/>
        </w:rPr>
      </w:pPr>
      <w:r>
        <w:rPr>
          <w:rFonts w:ascii="宋体" w:hAnsi="宋体"/>
          <w:szCs w:val="21"/>
        </w:rPr>
        <w:t>4月8日至15日，南雄县首届各界人民代表会议召开，出席会议代表277人，县</w:t>
      </w:r>
      <w:r>
        <w:rPr>
          <w:rFonts w:hint="eastAsia" w:ascii="宋体" w:hAnsi="宋体"/>
          <w:szCs w:val="21"/>
        </w:rPr>
        <w:t>长张尚琼作施政工作报告，部署开展清匪反霸、退租退押运动，通过关于取消保甲、整编政权组织的决议。</w:t>
      </w:r>
    </w:p>
    <w:p w14:paraId="17A8871C">
      <w:pPr>
        <w:pStyle w:val="4"/>
        <w:rPr>
          <w:rFonts w:ascii="宋体" w:hAnsi="宋体"/>
        </w:rPr>
      </w:pPr>
      <w:r>
        <w:rPr>
          <w:rFonts w:ascii="宋体" w:hAnsi="宋体"/>
        </w:rPr>
        <w:t>1951年</w:t>
      </w:r>
    </w:p>
    <w:p w14:paraId="565B87D3">
      <w:pPr>
        <w:ind w:firstLine="420"/>
        <w:rPr>
          <w:rFonts w:ascii="宋体" w:hAnsi="宋体"/>
          <w:szCs w:val="21"/>
        </w:rPr>
      </w:pPr>
      <w:r>
        <w:rPr>
          <w:rFonts w:ascii="宋体" w:hAnsi="宋体"/>
          <w:szCs w:val="21"/>
        </w:rPr>
        <w:t>3月23日，县政府组织镇压反革命大行动，当晚在县城逮捕反革命分子58名，28日召开镇反大会，依法判处22名反革命分子死刑。</w:t>
      </w:r>
    </w:p>
    <w:p w14:paraId="6E226565">
      <w:pPr>
        <w:ind w:firstLine="420"/>
        <w:rPr>
          <w:rFonts w:ascii="宋体" w:hAnsi="宋体"/>
          <w:szCs w:val="21"/>
        </w:rPr>
      </w:pPr>
      <w:r>
        <w:rPr>
          <w:rFonts w:ascii="宋体" w:hAnsi="宋体"/>
          <w:szCs w:val="21"/>
        </w:rPr>
        <w:t>5月23日至29日，县土地改革干部会议召开，参加会议的大军干部（中国人民</w:t>
      </w:r>
      <w:r>
        <w:rPr>
          <w:rFonts w:hint="eastAsia" w:ascii="宋体" w:hAnsi="宋体"/>
          <w:szCs w:val="21"/>
        </w:rPr>
        <w:t>解放军参加地方土改的干部）和县区乡干部共</w:t>
      </w:r>
      <w:r>
        <w:rPr>
          <w:rFonts w:ascii="宋体" w:hAnsi="宋体"/>
          <w:szCs w:val="21"/>
        </w:rPr>
        <w:t>900多人。会议作出土改工作部署。会</w:t>
      </w:r>
      <w:r>
        <w:rPr>
          <w:rFonts w:hint="eastAsia" w:ascii="宋体" w:hAnsi="宋体"/>
          <w:szCs w:val="21"/>
        </w:rPr>
        <w:t>后组织</w:t>
      </w:r>
      <w:r>
        <w:rPr>
          <w:rFonts w:ascii="宋体" w:hAnsi="宋体"/>
          <w:szCs w:val="21"/>
        </w:rPr>
        <w:t>15个工作队共388人，分赴乡村开展土地改革</w:t>
      </w:r>
      <w:r>
        <w:rPr>
          <w:rFonts w:hint="eastAsia" w:ascii="宋体" w:hAnsi="宋体"/>
          <w:szCs w:val="21"/>
        </w:rPr>
        <w:t>。</w:t>
      </w:r>
    </w:p>
    <w:p w14:paraId="3FB6CE29">
      <w:pPr>
        <w:pStyle w:val="4"/>
        <w:rPr>
          <w:rFonts w:ascii="宋体" w:hAnsi="宋体"/>
        </w:rPr>
      </w:pPr>
      <w:r>
        <w:rPr>
          <w:rFonts w:ascii="宋体" w:hAnsi="宋体"/>
        </w:rPr>
        <w:t>1953年</w:t>
      </w:r>
    </w:p>
    <w:p w14:paraId="7B6A6752">
      <w:pPr>
        <w:ind w:firstLine="420"/>
        <w:rPr>
          <w:rFonts w:ascii="宋体" w:hAnsi="宋体"/>
          <w:szCs w:val="21"/>
        </w:rPr>
      </w:pPr>
      <w:r>
        <w:rPr>
          <w:rFonts w:ascii="宋体" w:hAnsi="宋体"/>
          <w:szCs w:val="21"/>
        </w:rPr>
        <w:t>5月，南雄县人民革命烈士纪念碑落成。碑高26米，位于城东烈士陵园。</w:t>
      </w:r>
    </w:p>
    <w:p w14:paraId="7B5E8819">
      <w:pPr>
        <w:ind w:firstLine="420"/>
        <w:rPr>
          <w:rFonts w:ascii="宋体" w:hAnsi="宋体"/>
          <w:szCs w:val="21"/>
        </w:rPr>
      </w:pPr>
      <w:r>
        <w:rPr>
          <w:rFonts w:hint="eastAsia" w:ascii="宋体" w:hAnsi="宋体"/>
          <w:szCs w:val="21"/>
        </w:rPr>
        <w:t>冬，中共中央华南分局书记陶铸到南雄视察。登梅岭，赋诗两首。</w:t>
      </w:r>
    </w:p>
    <w:p w14:paraId="04B975F5">
      <w:pPr>
        <w:pStyle w:val="4"/>
        <w:rPr>
          <w:rFonts w:ascii="宋体" w:hAnsi="宋体"/>
        </w:rPr>
      </w:pPr>
      <w:r>
        <w:rPr>
          <w:rFonts w:ascii="宋体" w:hAnsi="宋体"/>
        </w:rPr>
        <w:t>1954年</w:t>
      </w:r>
    </w:p>
    <w:p w14:paraId="5D9FF261">
      <w:pPr>
        <w:ind w:firstLine="420"/>
        <w:rPr>
          <w:rFonts w:ascii="宋体" w:hAnsi="宋体"/>
          <w:szCs w:val="21"/>
        </w:rPr>
      </w:pPr>
      <w:r>
        <w:rPr>
          <w:rFonts w:ascii="宋体" w:hAnsi="宋体"/>
          <w:szCs w:val="21"/>
        </w:rPr>
        <w:t>3月至4月，选举首届县、乡镇人民代表大会代表，参选107900人，占选民的</w:t>
      </w:r>
      <w:r>
        <w:rPr>
          <w:rFonts w:hint="eastAsia" w:ascii="宋体" w:hAnsi="宋体"/>
          <w:szCs w:val="21"/>
        </w:rPr>
        <w:t>7</w:t>
      </w:r>
      <w:r>
        <w:rPr>
          <w:rFonts w:ascii="宋体" w:hAnsi="宋体"/>
          <w:szCs w:val="21"/>
        </w:rPr>
        <w:t>6.39%，选出乡镇人民代表2753名；各乡镇人民代表大会选出县人民代表大会代表238名</w:t>
      </w:r>
      <w:r>
        <w:rPr>
          <w:rFonts w:hint="eastAsia" w:ascii="宋体" w:hAnsi="宋体"/>
          <w:szCs w:val="21"/>
        </w:rPr>
        <w:t>。</w:t>
      </w:r>
    </w:p>
    <w:p w14:paraId="782D65AE">
      <w:pPr>
        <w:ind w:firstLine="420"/>
        <w:rPr>
          <w:rFonts w:ascii="宋体" w:hAnsi="宋体"/>
          <w:szCs w:val="21"/>
        </w:rPr>
      </w:pPr>
      <w:r>
        <w:rPr>
          <w:rFonts w:ascii="宋体" w:hAnsi="宋体"/>
          <w:szCs w:val="21"/>
        </w:rPr>
        <w:t>6月25日至7月1日，县首届人民代表大会第一次会议召开，选举产生出席省人</w:t>
      </w:r>
      <w:r>
        <w:rPr>
          <w:rFonts w:hint="eastAsia" w:ascii="宋体" w:hAnsi="宋体"/>
          <w:szCs w:val="21"/>
        </w:rPr>
        <w:t>民代表大会代表。通过拥护《中华人民共和国宪法草案》的决议。</w:t>
      </w:r>
    </w:p>
    <w:p w14:paraId="7D0D0024">
      <w:pPr>
        <w:pStyle w:val="4"/>
        <w:rPr>
          <w:rFonts w:ascii="宋体" w:hAnsi="宋体"/>
        </w:rPr>
      </w:pPr>
      <w:r>
        <w:rPr>
          <w:rFonts w:ascii="宋体" w:hAnsi="宋体"/>
        </w:rPr>
        <w:t>1955年</w:t>
      </w:r>
    </w:p>
    <w:p w14:paraId="78AC3005">
      <w:pPr>
        <w:ind w:firstLine="420"/>
        <w:rPr>
          <w:rFonts w:ascii="宋体" w:hAnsi="宋体"/>
          <w:szCs w:val="21"/>
        </w:rPr>
      </w:pPr>
      <w:r>
        <w:rPr>
          <w:rFonts w:ascii="宋体" w:hAnsi="宋体"/>
          <w:szCs w:val="21"/>
        </w:rPr>
        <w:t>7月2日至4日，第一届人民代表大会第二次会议在县城召开。大会以无记名投</w:t>
      </w:r>
      <w:r>
        <w:rPr>
          <w:rFonts w:hint="eastAsia" w:ascii="宋体" w:hAnsi="宋体"/>
          <w:szCs w:val="21"/>
        </w:rPr>
        <w:t>票方式选举产生第一届县人民委员会，县长张英裘。</w:t>
      </w:r>
    </w:p>
    <w:p w14:paraId="146CB157">
      <w:pPr>
        <w:ind w:firstLine="420"/>
        <w:rPr>
          <w:rFonts w:ascii="宋体" w:hAnsi="宋体"/>
          <w:szCs w:val="21"/>
        </w:rPr>
      </w:pPr>
      <w:r>
        <w:rPr>
          <w:rFonts w:hint="eastAsia" w:ascii="宋体" w:hAnsi="宋体"/>
          <w:szCs w:val="21"/>
        </w:rPr>
        <w:t>冬，横江水库、乌泥水库、梅花水库、寨下水库</w:t>
      </w:r>
      <w:r>
        <w:rPr>
          <w:rFonts w:ascii="宋体" w:hAnsi="宋体"/>
          <w:szCs w:val="21"/>
        </w:rPr>
        <w:t>4宗水利工程上马。次年冬竣</w:t>
      </w:r>
      <w:r>
        <w:rPr>
          <w:rFonts w:hint="eastAsia" w:ascii="宋体" w:hAnsi="宋体"/>
          <w:szCs w:val="21"/>
        </w:rPr>
        <w:t>工。</w:t>
      </w:r>
    </w:p>
    <w:p w14:paraId="54C3919E">
      <w:pPr>
        <w:pStyle w:val="4"/>
        <w:rPr>
          <w:rFonts w:ascii="宋体" w:hAnsi="宋体"/>
        </w:rPr>
      </w:pPr>
      <w:r>
        <w:rPr>
          <w:rFonts w:ascii="宋体" w:hAnsi="宋体"/>
        </w:rPr>
        <w:t>1956年</w:t>
      </w:r>
    </w:p>
    <w:p w14:paraId="2AE0885E">
      <w:pPr>
        <w:ind w:firstLine="420"/>
        <w:rPr>
          <w:rFonts w:ascii="宋体" w:hAnsi="宋体"/>
          <w:szCs w:val="21"/>
        </w:rPr>
      </w:pPr>
      <w:r>
        <w:rPr>
          <w:rFonts w:ascii="宋体" w:hAnsi="宋体"/>
          <w:szCs w:val="21"/>
        </w:rPr>
        <w:t>6月6日至10日，中共南雄县第一次代表大会召开。代表245名，出席228名。</w:t>
      </w:r>
      <w:r>
        <w:rPr>
          <w:rFonts w:hint="eastAsia" w:ascii="宋体" w:hAnsi="宋体"/>
          <w:szCs w:val="21"/>
        </w:rPr>
        <w:t>大会选举产生第一届委员会委员</w:t>
      </w:r>
      <w:r>
        <w:rPr>
          <w:rFonts w:ascii="宋体" w:hAnsi="宋体"/>
          <w:szCs w:val="21"/>
        </w:rPr>
        <w:t>21人，候补委员7人。刘存国为第一书记</w:t>
      </w:r>
      <w:r>
        <w:rPr>
          <w:rFonts w:hint="eastAsia" w:ascii="宋体" w:hAnsi="宋体"/>
          <w:szCs w:val="21"/>
        </w:rPr>
        <w:t>。</w:t>
      </w:r>
    </w:p>
    <w:p w14:paraId="71123CA1">
      <w:pPr>
        <w:ind w:firstLine="420"/>
        <w:rPr>
          <w:rFonts w:ascii="宋体" w:hAnsi="宋体"/>
          <w:szCs w:val="21"/>
        </w:rPr>
      </w:pPr>
      <w:r>
        <w:rPr>
          <w:rFonts w:ascii="宋体" w:hAnsi="宋体"/>
          <w:szCs w:val="21"/>
        </w:rPr>
        <w:t>12月，选举第二届县、乡镇人民代表大会代表，91.7%的选民参加选举。</w:t>
      </w:r>
    </w:p>
    <w:p w14:paraId="4E54F3C9">
      <w:pPr>
        <w:ind w:firstLine="420"/>
        <w:rPr>
          <w:rFonts w:ascii="宋体" w:hAnsi="宋体"/>
          <w:szCs w:val="21"/>
        </w:rPr>
      </w:pPr>
      <w:r>
        <w:rPr>
          <w:rFonts w:hint="eastAsia" w:ascii="宋体" w:hAnsi="宋体"/>
          <w:szCs w:val="21"/>
        </w:rPr>
        <w:t>冬，兴建大源水库、蛇岭水库，次年竣工。大源水库库容</w:t>
      </w:r>
      <w:r>
        <w:rPr>
          <w:rFonts w:ascii="宋体" w:hAnsi="宋体"/>
          <w:szCs w:val="21"/>
        </w:rPr>
        <w:t>613万立方米，蛇岭水</w:t>
      </w:r>
      <w:r>
        <w:rPr>
          <w:rFonts w:hint="eastAsia" w:ascii="宋体" w:hAnsi="宋体"/>
          <w:szCs w:val="21"/>
        </w:rPr>
        <w:t>库库容</w:t>
      </w:r>
      <w:r>
        <w:rPr>
          <w:rFonts w:ascii="宋体" w:hAnsi="宋体"/>
          <w:szCs w:val="21"/>
        </w:rPr>
        <w:t>118万立方米</w:t>
      </w:r>
      <w:r>
        <w:rPr>
          <w:rFonts w:hint="eastAsia" w:ascii="宋体" w:hAnsi="宋体"/>
          <w:szCs w:val="21"/>
        </w:rPr>
        <w:t>。</w:t>
      </w:r>
    </w:p>
    <w:p w14:paraId="05DF5563">
      <w:pPr>
        <w:pStyle w:val="4"/>
        <w:rPr>
          <w:rFonts w:ascii="宋体" w:hAnsi="宋体"/>
        </w:rPr>
      </w:pPr>
      <w:r>
        <w:rPr>
          <w:rFonts w:ascii="宋体" w:hAnsi="宋体"/>
        </w:rPr>
        <w:t>1957年</w:t>
      </w:r>
    </w:p>
    <w:p w14:paraId="4BE9C529">
      <w:pPr>
        <w:ind w:firstLine="420"/>
        <w:rPr>
          <w:rFonts w:ascii="宋体" w:hAnsi="宋体"/>
          <w:szCs w:val="21"/>
        </w:rPr>
      </w:pPr>
      <w:r>
        <w:rPr>
          <w:rFonts w:ascii="宋体" w:hAnsi="宋体"/>
          <w:szCs w:val="21"/>
        </w:rPr>
        <w:t>1月19日至24日，县第二届人民代表大会第一次会议召开。以无记名投票方</w:t>
      </w:r>
      <w:r>
        <w:rPr>
          <w:rFonts w:hint="eastAsia" w:ascii="宋体" w:hAnsi="宋体"/>
          <w:szCs w:val="21"/>
        </w:rPr>
        <w:t>式，选举产生第二届县人民委员会，县长张英裘。</w:t>
      </w:r>
    </w:p>
    <w:p w14:paraId="527623E6">
      <w:pPr>
        <w:ind w:firstLine="420"/>
        <w:rPr>
          <w:rFonts w:ascii="宋体" w:hAnsi="宋体"/>
          <w:szCs w:val="21"/>
        </w:rPr>
      </w:pPr>
      <w:r>
        <w:rPr>
          <w:rFonts w:ascii="宋体" w:hAnsi="宋体"/>
          <w:szCs w:val="21"/>
        </w:rPr>
        <w:t>11月，划闻韶、凌溪二乡归仁化县管辖，划武岗乡、侯陂乡归始兴县管辖</w:t>
      </w:r>
      <w:r>
        <w:rPr>
          <w:rFonts w:hint="eastAsia" w:ascii="宋体" w:hAnsi="宋体"/>
          <w:szCs w:val="21"/>
        </w:rPr>
        <w:t>。</w:t>
      </w:r>
    </w:p>
    <w:p w14:paraId="073A0D6E">
      <w:pPr>
        <w:ind w:firstLine="420"/>
        <w:rPr>
          <w:rFonts w:ascii="宋体" w:hAnsi="宋体"/>
          <w:szCs w:val="21"/>
        </w:rPr>
      </w:pPr>
      <w:r>
        <w:rPr>
          <w:rFonts w:ascii="宋体" w:hAnsi="宋体"/>
          <w:szCs w:val="21"/>
        </w:rPr>
        <w:t>12月13日至21日，中共南雄县第一届第二次党员代表大会召开，贯彻中共中</w:t>
      </w:r>
      <w:r>
        <w:rPr>
          <w:rFonts w:hint="eastAsia" w:ascii="宋体" w:hAnsi="宋体"/>
          <w:szCs w:val="21"/>
        </w:rPr>
        <w:t>央八届三中全会精神，制订农业发展规划，提出反右派，号召“大跃进”。</w:t>
      </w:r>
    </w:p>
    <w:p w14:paraId="33A8F287">
      <w:pPr>
        <w:ind w:firstLine="420"/>
        <w:rPr>
          <w:rFonts w:ascii="宋体" w:hAnsi="宋体"/>
          <w:szCs w:val="21"/>
        </w:rPr>
      </w:pPr>
      <w:r>
        <w:rPr>
          <w:rFonts w:hint="eastAsia" w:ascii="宋体" w:hAnsi="宋体"/>
          <w:szCs w:val="21"/>
        </w:rPr>
        <w:t>冬，兴建中坪水库（库容</w:t>
      </w:r>
      <w:r>
        <w:rPr>
          <w:rFonts w:ascii="宋体" w:hAnsi="宋体"/>
          <w:szCs w:val="21"/>
        </w:rPr>
        <w:t>2036万立方米）、松山水库（库容146.5万立方米）、</w:t>
      </w:r>
      <w:r>
        <w:rPr>
          <w:rFonts w:hint="eastAsia" w:ascii="宋体" w:hAnsi="宋体"/>
          <w:szCs w:val="21"/>
        </w:rPr>
        <w:t>梅岭水库（库容</w:t>
      </w:r>
      <w:r>
        <w:rPr>
          <w:rFonts w:ascii="宋体" w:hAnsi="宋体"/>
          <w:szCs w:val="21"/>
        </w:rPr>
        <w:t>153万立方米）、凌江引水工程（长30余公里，引水流量每秒2立方</w:t>
      </w:r>
      <w:r>
        <w:rPr>
          <w:rFonts w:hint="eastAsia" w:ascii="宋体" w:hAnsi="宋体"/>
          <w:szCs w:val="21"/>
        </w:rPr>
        <w:t>米）。中坪水库于</w:t>
      </w:r>
      <w:r>
        <w:rPr>
          <w:rFonts w:ascii="宋体" w:hAnsi="宋体"/>
          <w:szCs w:val="21"/>
        </w:rPr>
        <w:t>1958年6月完成，梅岭水库于1959年完成，凌江引水工程于1958</w:t>
      </w:r>
      <w:r>
        <w:rPr>
          <w:rFonts w:hint="eastAsia" w:ascii="宋体" w:hAnsi="宋体"/>
          <w:szCs w:val="21"/>
        </w:rPr>
        <w:t>年冬完成，松山水库于</w:t>
      </w:r>
      <w:r>
        <w:rPr>
          <w:rFonts w:ascii="宋体" w:hAnsi="宋体"/>
          <w:szCs w:val="21"/>
        </w:rPr>
        <w:t>1963年完成</w:t>
      </w:r>
      <w:r>
        <w:rPr>
          <w:rFonts w:hint="eastAsia" w:ascii="宋体" w:hAnsi="宋体"/>
          <w:szCs w:val="21"/>
        </w:rPr>
        <w:t>。</w:t>
      </w:r>
    </w:p>
    <w:p w14:paraId="2D26FEB1">
      <w:pPr>
        <w:pStyle w:val="4"/>
        <w:rPr>
          <w:rFonts w:ascii="宋体" w:hAnsi="宋体"/>
        </w:rPr>
      </w:pPr>
      <w:r>
        <w:rPr>
          <w:rFonts w:ascii="宋体" w:hAnsi="宋体"/>
        </w:rPr>
        <w:t>1958年</w:t>
      </w:r>
    </w:p>
    <w:p w14:paraId="641AE581">
      <w:pPr>
        <w:ind w:firstLine="420"/>
        <w:rPr>
          <w:rFonts w:ascii="宋体" w:hAnsi="宋体"/>
          <w:szCs w:val="21"/>
        </w:rPr>
      </w:pPr>
      <w:r>
        <w:rPr>
          <w:rFonts w:ascii="宋体" w:hAnsi="宋体"/>
          <w:szCs w:val="21"/>
        </w:rPr>
        <w:t>2月，县委根据上级部署，开展反地方主义和反右派，为时9个多月。全县276</w:t>
      </w:r>
      <w:r>
        <w:rPr>
          <w:rFonts w:hint="eastAsia" w:ascii="宋体" w:hAnsi="宋体"/>
          <w:szCs w:val="21"/>
        </w:rPr>
        <w:t>名干部被错划为“右派分子”，</w:t>
      </w:r>
      <w:r>
        <w:rPr>
          <w:rFonts w:ascii="宋体" w:hAnsi="宋体"/>
          <w:szCs w:val="21"/>
        </w:rPr>
        <w:t>6名地方干部被错定为“地方主义分子”，造成严重</w:t>
      </w:r>
      <w:r>
        <w:rPr>
          <w:rFonts w:hint="eastAsia" w:ascii="宋体" w:hAnsi="宋体"/>
          <w:szCs w:val="21"/>
        </w:rPr>
        <w:t>后果。</w:t>
      </w:r>
      <w:r>
        <w:rPr>
          <w:rFonts w:ascii="宋体" w:hAnsi="宋体"/>
          <w:szCs w:val="21"/>
        </w:rPr>
        <w:t>1979年已全部改正</w:t>
      </w:r>
      <w:r>
        <w:rPr>
          <w:rFonts w:hint="eastAsia" w:ascii="宋体" w:hAnsi="宋体"/>
          <w:szCs w:val="21"/>
        </w:rPr>
        <w:t>。</w:t>
      </w:r>
    </w:p>
    <w:p w14:paraId="535279EF">
      <w:pPr>
        <w:ind w:firstLine="420"/>
        <w:rPr>
          <w:rFonts w:ascii="宋体" w:hAnsi="宋体"/>
          <w:szCs w:val="21"/>
        </w:rPr>
      </w:pPr>
      <w:r>
        <w:rPr>
          <w:rFonts w:ascii="宋体" w:hAnsi="宋体"/>
          <w:szCs w:val="21"/>
        </w:rPr>
        <w:t>4月5日至25日，选举第三届县、乡（镇）人民代表大会代表，98.4%的选民</w:t>
      </w:r>
      <w:r>
        <w:rPr>
          <w:rFonts w:hint="eastAsia" w:ascii="宋体" w:hAnsi="宋体"/>
          <w:szCs w:val="21"/>
        </w:rPr>
        <w:t>参加选举。</w:t>
      </w:r>
    </w:p>
    <w:p w14:paraId="37198B71">
      <w:pPr>
        <w:ind w:firstLine="420"/>
        <w:rPr>
          <w:rFonts w:ascii="宋体" w:hAnsi="宋体"/>
          <w:szCs w:val="21"/>
        </w:rPr>
      </w:pPr>
      <w:r>
        <w:rPr>
          <w:rFonts w:ascii="宋体" w:hAnsi="宋体"/>
          <w:szCs w:val="21"/>
        </w:rPr>
        <w:t>5月16日至19日，县第三届人民代表大会第一次会议召开。大会以无记名投票</w:t>
      </w:r>
      <w:r>
        <w:rPr>
          <w:rFonts w:hint="eastAsia" w:ascii="宋体" w:hAnsi="宋体"/>
          <w:szCs w:val="21"/>
        </w:rPr>
        <w:t>方式选举产生第三届县人民委员会，县长郭仪荣。</w:t>
      </w:r>
    </w:p>
    <w:p w14:paraId="69960E5A">
      <w:pPr>
        <w:ind w:firstLine="420"/>
        <w:rPr>
          <w:rFonts w:ascii="宋体" w:hAnsi="宋体"/>
          <w:szCs w:val="21"/>
        </w:rPr>
      </w:pPr>
      <w:r>
        <w:rPr>
          <w:rFonts w:ascii="宋体" w:hAnsi="宋体"/>
          <w:szCs w:val="21"/>
        </w:rPr>
        <w:t>6月10日，省委检查团团长、省委书记赵紫阳，副团长、省委候补书记尹林平</w:t>
      </w:r>
      <w:r>
        <w:rPr>
          <w:rFonts w:hint="eastAsia" w:ascii="宋体" w:hAnsi="宋体"/>
          <w:szCs w:val="21"/>
        </w:rPr>
        <w:t>等</w:t>
      </w:r>
      <w:r>
        <w:rPr>
          <w:rFonts w:ascii="宋体" w:hAnsi="宋体"/>
          <w:szCs w:val="21"/>
        </w:rPr>
        <w:t>40人到南雄检查工作，当天下午莅临中坪水库、高朔农业社检查指导。</w:t>
      </w:r>
    </w:p>
    <w:p w14:paraId="194E4CE4">
      <w:pPr>
        <w:ind w:firstLine="420"/>
        <w:rPr>
          <w:rFonts w:ascii="宋体" w:hAnsi="宋体"/>
          <w:szCs w:val="21"/>
        </w:rPr>
      </w:pPr>
      <w:r>
        <w:rPr>
          <w:rFonts w:ascii="宋体" w:hAnsi="宋体"/>
          <w:szCs w:val="21"/>
        </w:rPr>
        <w:t>9月，雄百公路竣工。该公路1956年动工，历时3年。全长57公里</w:t>
      </w:r>
      <w:r>
        <w:rPr>
          <w:rFonts w:hint="eastAsia" w:ascii="宋体" w:hAnsi="宋体"/>
          <w:szCs w:val="21"/>
        </w:rPr>
        <w:t>。</w:t>
      </w:r>
    </w:p>
    <w:p w14:paraId="75B54535">
      <w:pPr>
        <w:ind w:firstLine="420"/>
        <w:rPr>
          <w:rFonts w:ascii="宋体" w:hAnsi="宋体"/>
          <w:szCs w:val="21"/>
        </w:rPr>
      </w:pPr>
      <w:r>
        <w:rPr>
          <w:rFonts w:ascii="宋体" w:hAnsi="宋体"/>
          <w:szCs w:val="21"/>
        </w:rPr>
        <w:t>12月，南雄、始兴二县合并，定名为南雄县。是月10日在南雄县城正式办公</w:t>
      </w:r>
      <w:r>
        <w:rPr>
          <w:rFonts w:hint="eastAsia" w:ascii="宋体" w:hAnsi="宋体"/>
          <w:szCs w:val="21"/>
        </w:rPr>
        <w:t>。</w:t>
      </w:r>
    </w:p>
    <w:p w14:paraId="12CB3F8A">
      <w:pPr>
        <w:pStyle w:val="4"/>
        <w:rPr>
          <w:rFonts w:ascii="宋体" w:hAnsi="宋体"/>
        </w:rPr>
      </w:pPr>
      <w:r>
        <w:rPr>
          <w:rFonts w:ascii="宋体" w:hAnsi="宋体"/>
        </w:rPr>
        <w:t>1959年</w:t>
      </w:r>
    </w:p>
    <w:p w14:paraId="6DAD716B">
      <w:pPr>
        <w:ind w:firstLine="420"/>
        <w:rPr>
          <w:rFonts w:ascii="宋体" w:hAnsi="宋体"/>
          <w:szCs w:val="21"/>
        </w:rPr>
      </w:pPr>
      <w:r>
        <w:rPr>
          <w:rFonts w:hint="eastAsia" w:ascii="宋体" w:hAnsi="宋体"/>
          <w:szCs w:val="21"/>
        </w:rPr>
        <w:t>南雄至棉土窝公路通车，全长</w:t>
      </w:r>
      <w:r>
        <w:rPr>
          <w:rFonts w:ascii="宋体" w:hAnsi="宋体"/>
          <w:szCs w:val="21"/>
        </w:rPr>
        <w:t>16公里。</w:t>
      </w:r>
    </w:p>
    <w:p w14:paraId="24B1BDB2">
      <w:pPr>
        <w:pStyle w:val="4"/>
        <w:rPr>
          <w:rFonts w:ascii="宋体" w:hAnsi="宋体"/>
        </w:rPr>
      </w:pPr>
      <w:r>
        <w:rPr>
          <w:rFonts w:ascii="宋体" w:hAnsi="宋体"/>
        </w:rPr>
        <w:t>1960年</w:t>
      </w:r>
    </w:p>
    <w:p w14:paraId="445E7ABA">
      <w:pPr>
        <w:ind w:firstLine="420"/>
        <w:rPr>
          <w:rFonts w:ascii="宋体" w:hAnsi="宋体"/>
          <w:szCs w:val="21"/>
        </w:rPr>
      </w:pPr>
      <w:r>
        <w:rPr>
          <w:rFonts w:ascii="宋体" w:hAnsi="宋体"/>
          <w:szCs w:val="21"/>
        </w:rPr>
        <w:t>6月17日至29日，选举第四届县、公社人民代表大会代表，95.8%的选民参加</w:t>
      </w:r>
      <w:r>
        <w:rPr>
          <w:rFonts w:hint="eastAsia" w:ascii="宋体" w:hAnsi="宋体"/>
          <w:szCs w:val="21"/>
        </w:rPr>
        <w:t>选举。</w:t>
      </w:r>
    </w:p>
    <w:p w14:paraId="42F219CB">
      <w:pPr>
        <w:ind w:firstLine="420"/>
        <w:rPr>
          <w:rFonts w:ascii="宋体" w:hAnsi="宋体"/>
          <w:szCs w:val="21"/>
        </w:rPr>
      </w:pPr>
      <w:r>
        <w:rPr>
          <w:rFonts w:ascii="宋体" w:hAnsi="宋体"/>
          <w:szCs w:val="21"/>
        </w:rPr>
        <w:t>7月，中国科学院古脊椎动物研究所在乌迳黄塘首次发现恐龙趾骨化石</w:t>
      </w:r>
      <w:r>
        <w:rPr>
          <w:rFonts w:hint="eastAsia" w:ascii="宋体" w:hAnsi="宋体"/>
          <w:szCs w:val="21"/>
        </w:rPr>
        <w:t>。</w:t>
      </w:r>
    </w:p>
    <w:p w14:paraId="0B31DF9D">
      <w:pPr>
        <w:ind w:firstLine="420"/>
        <w:rPr>
          <w:rFonts w:ascii="宋体" w:hAnsi="宋体"/>
          <w:szCs w:val="21"/>
        </w:rPr>
      </w:pPr>
      <w:r>
        <w:rPr>
          <w:rFonts w:ascii="宋体" w:hAnsi="宋体"/>
          <w:szCs w:val="21"/>
        </w:rPr>
        <w:t>10月3日，中共韶关地委决定将南雄县恢复为南雄、始兴二县，是月15日分县</w:t>
      </w:r>
      <w:r>
        <w:rPr>
          <w:rFonts w:hint="eastAsia" w:ascii="宋体" w:hAnsi="宋体"/>
          <w:szCs w:val="21"/>
        </w:rPr>
        <w:t>办公。</w:t>
      </w:r>
    </w:p>
    <w:p w14:paraId="144AF5F2">
      <w:pPr>
        <w:pStyle w:val="4"/>
        <w:rPr>
          <w:rFonts w:ascii="宋体" w:hAnsi="宋体"/>
        </w:rPr>
      </w:pPr>
      <w:r>
        <w:rPr>
          <w:rFonts w:ascii="宋体" w:hAnsi="宋体"/>
        </w:rPr>
        <w:t>1961年</w:t>
      </w:r>
    </w:p>
    <w:p w14:paraId="005F02A3">
      <w:pPr>
        <w:ind w:firstLine="420"/>
        <w:rPr>
          <w:rFonts w:ascii="宋体" w:hAnsi="宋体"/>
          <w:szCs w:val="21"/>
        </w:rPr>
      </w:pPr>
      <w:r>
        <w:rPr>
          <w:rFonts w:ascii="宋体" w:hAnsi="宋体"/>
          <w:szCs w:val="21"/>
        </w:rPr>
        <w:t>11月17日至20日，中共南雄县第二次代表大会第一次会议召开。大会选举产</w:t>
      </w:r>
      <w:r>
        <w:rPr>
          <w:rFonts w:hint="eastAsia" w:ascii="宋体" w:hAnsi="宋体"/>
          <w:szCs w:val="21"/>
        </w:rPr>
        <w:t>生第二届县委员会，刘存国为第一书记。</w:t>
      </w:r>
    </w:p>
    <w:p w14:paraId="303E76D4">
      <w:pPr>
        <w:ind w:firstLine="420"/>
        <w:rPr>
          <w:rFonts w:ascii="宋体" w:hAnsi="宋体"/>
          <w:szCs w:val="21"/>
        </w:rPr>
      </w:pPr>
      <w:r>
        <w:rPr>
          <w:rFonts w:ascii="宋体" w:hAnsi="宋体"/>
          <w:szCs w:val="21"/>
        </w:rPr>
        <w:t>12月8日至11日，县第四届人民代表大会第一次会议召开。大会选举产生第四</w:t>
      </w:r>
      <w:r>
        <w:rPr>
          <w:rFonts w:hint="eastAsia" w:ascii="宋体" w:hAnsi="宋体"/>
          <w:szCs w:val="21"/>
        </w:rPr>
        <w:t>届县人民委员会，县长蒋玉彬。</w:t>
      </w:r>
    </w:p>
    <w:p w14:paraId="3CDBAAB7">
      <w:pPr>
        <w:pStyle w:val="4"/>
        <w:rPr>
          <w:rFonts w:ascii="宋体" w:hAnsi="宋体"/>
        </w:rPr>
      </w:pPr>
      <w:r>
        <w:rPr>
          <w:rFonts w:ascii="宋体" w:hAnsi="宋体"/>
        </w:rPr>
        <w:t>1962年</w:t>
      </w:r>
    </w:p>
    <w:p w14:paraId="098A23CA">
      <w:pPr>
        <w:ind w:firstLine="420"/>
        <w:rPr>
          <w:rFonts w:ascii="宋体" w:hAnsi="宋体"/>
          <w:szCs w:val="21"/>
        </w:rPr>
      </w:pPr>
      <w:r>
        <w:rPr>
          <w:rFonts w:hint="eastAsia" w:ascii="宋体" w:hAnsi="宋体"/>
          <w:szCs w:val="21"/>
        </w:rPr>
        <w:t>是年，实行精兵简政，</w:t>
      </w:r>
      <w:r>
        <w:rPr>
          <w:rFonts w:ascii="宋体" w:hAnsi="宋体"/>
          <w:szCs w:val="21"/>
        </w:rPr>
        <w:t>2356名干部、职工回乡生产，占干部、职工总数的25.7%。</w:t>
      </w:r>
    </w:p>
    <w:p w14:paraId="4F33BD9F">
      <w:pPr>
        <w:pStyle w:val="4"/>
        <w:rPr>
          <w:rFonts w:ascii="宋体" w:hAnsi="宋体"/>
        </w:rPr>
      </w:pPr>
      <w:r>
        <w:rPr>
          <w:rFonts w:ascii="宋体" w:hAnsi="宋体"/>
        </w:rPr>
        <w:t>1963年</w:t>
      </w:r>
    </w:p>
    <w:p w14:paraId="61A4897A">
      <w:pPr>
        <w:ind w:firstLine="420"/>
        <w:rPr>
          <w:rFonts w:ascii="宋体" w:hAnsi="宋体"/>
          <w:szCs w:val="21"/>
        </w:rPr>
      </w:pPr>
      <w:r>
        <w:rPr>
          <w:rFonts w:ascii="宋体" w:hAnsi="宋体"/>
          <w:szCs w:val="21"/>
        </w:rPr>
        <w:t>2月13日至4月底，选举第五届县、公社人民代表大会代表，98.4%的选民参</w:t>
      </w:r>
      <w:r>
        <w:rPr>
          <w:rFonts w:hint="eastAsia" w:ascii="宋体" w:hAnsi="宋体"/>
          <w:szCs w:val="21"/>
        </w:rPr>
        <w:t>加选举。</w:t>
      </w:r>
    </w:p>
    <w:p w14:paraId="7C5B7B7D">
      <w:pPr>
        <w:ind w:firstLine="420"/>
        <w:rPr>
          <w:rFonts w:ascii="宋体" w:hAnsi="宋体"/>
          <w:szCs w:val="21"/>
        </w:rPr>
      </w:pPr>
      <w:r>
        <w:rPr>
          <w:rFonts w:ascii="宋体" w:hAnsi="宋体"/>
          <w:szCs w:val="21"/>
        </w:rPr>
        <w:t>8月25日至29日，县第五届人民代表大会第一次会议召开。大会选举产生第四</w:t>
      </w:r>
      <w:r>
        <w:rPr>
          <w:rFonts w:hint="eastAsia" w:ascii="宋体" w:hAnsi="宋体"/>
          <w:szCs w:val="21"/>
        </w:rPr>
        <w:t>届县人民委员会，县长沈会峯。</w:t>
      </w:r>
    </w:p>
    <w:p w14:paraId="4B174E0B">
      <w:pPr>
        <w:ind w:firstLine="420"/>
        <w:rPr>
          <w:rFonts w:ascii="宋体" w:hAnsi="宋体"/>
          <w:szCs w:val="21"/>
        </w:rPr>
      </w:pPr>
      <w:r>
        <w:rPr>
          <w:rFonts w:hint="eastAsia" w:ascii="宋体" w:hAnsi="宋体"/>
          <w:szCs w:val="21"/>
        </w:rPr>
        <w:t>冬，兴建围背水库。库容</w:t>
      </w:r>
      <w:r>
        <w:rPr>
          <w:rFonts w:ascii="宋体" w:hAnsi="宋体"/>
          <w:szCs w:val="21"/>
        </w:rPr>
        <w:t>708万立方米，1964年建成。</w:t>
      </w:r>
    </w:p>
    <w:p w14:paraId="241792AA">
      <w:pPr>
        <w:ind w:firstLine="420"/>
        <w:rPr>
          <w:rFonts w:ascii="宋体" w:hAnsi="宋体"/>
          <w:szCs w:val="21"/>
        </w:rPr>
      </w:pPr>
      <w:r>
        <w:rPr>
          <w:rFonts w:hint="eastAsia" w:ascii="宋体" w:hAnsi="宋体"/>
          <w:szCs w:val="21"/>
        </w:rPr>
        <w:t>是年，大旱。自</w:t>
      </w:r>
      <w:r>
        <w:rPr>
          <w:rFonts w:ascii="宋体" w:hAnsi="宋体"/>
          <w:szCs w:val="21"/>
        </w:rPr>
        <w:t>1962年7月起，连续460多天未下过透雨。5月，除浈、凌二江</w:t>
      </w:r>
      <w:r>
        <w:rPr>
          <w:rFonts w:hint="eastAsia" w:ascii="宋体" w:hAnsi="宋体"/>
          <w:szCs w:val="21"/>
        </w:rPr>
        <w:t>外，其余河流均已断流。早稻受旱近半，晒死</w:t>
      </w:r>
      <w:r>
        <w:rPr>
          <w:rFonts w:ascii="宋体" w:hAnsi="宋体"/>
          <w:szCs w:val="21"/>
        </w:rPr>
        <w:t>553.6公顷，黄烟晒死13.3公顷，有2780.6公顷中稻插不下秧。9月，大小山塘全部干涸，山坑泉水枯竭，晚稻受旱7成</w:t>
      </w:r>
      <w:r>
        <w:rPr>
          <w:rFonts w:hint="eastAsia" w:ascii="宋体" w:hAnsi="宋体"/>
          <w:szCs w:val="21"/>
        </w:rPr>
        <w:t>多，</w:t>
      </w:r>
      <w:r>
        <w:rPr>
          <w:rFonts w:ascii="宋体" w:hAnsi="宋体"/>
          <w:szCs w:val="21"/>
        </w:rPr>
        <w:t>1548.4公顷插不下秧。省委书记刘田夫、副省长罗天亲临南雄指导抗旱。全县5</w:t>
      </w:r>
      <w:r>
        <w:rPr>
          <w:rFonts w:hint="eastAsia" w:ascii="宋体" w:hAnsi="宋体"/>
          <w:szCs w:val="21"/>
        </w:rPr>
        <w:t>万多劳力投入抗旱斗争。</w:t>
      </w:r>
    </w:p>
    <w:p w14:paraId="2DCC93F6">
      <w:pPr>
        <w:pStyle w:val="4"/>
        <w:rPr>
          <w:rFonts w:ascii="宋体" w:hAnsi="宋体"/>
        </w:rPr>
      </w:pPr>
      <w:r>
        <w:rPr>
          <w:rFonts w:ascii="宋体" w:hAnsi="宋体"/>
        </w:rPr>
        <w:t>1964年</w:t>
      </w:r>
    </w:p>
    <w:p w14:paraId="1FA68B80">
      <w:pPr>
        <w:ind w:firstLine="420"/>
        <w:rPr>
          <w:rFonts w:ascii="宋体" w:hAnsi="宋体"/>
          <w:szCs w:val="21"/>
        </w:rPr>
      </w:pPr>
      <w:r>
        <w:rPr>
          <w:rFonts w:ascii="宋体" w:hAnsi="宋体"/>
          <w:szCs w:val="21"/>
        </w:rPr>
        <w:t>5月，中共中央书记处书记、中国人民解放军总参谋长罗瑞卿到南雄县视察铀矿</w:t>
      </w:r>
      <w:r>
        <w:rPr>
          <w:rFonts w:hint="eastAsia" w:ascii="宋体" w:hAnsi="宋体"/>
          <w:szCs w:val="21"/>
        </w:rPr>
        <w:t>开采情况。</w:t>
      </w:r>
    </w:p>
    <w:p w14:paraId="0B103B12">
      <w:pPr>
        <w:ind w:firstLine="420"/>
        <w:rPr>
          <w:rFonts w:ascii="宋体" w:hAnsi="宋体"/>
          <w:szCs w:val="21"/>
        </w:rPr>
      </w:pPr>
      <w:r>
        <w:rPr>
          <w:rFonts w:ascii="宋体" w:hAnsi="宋体"/>
          <w:szCs w:val="21"/>
        </w:rPr>
        <w:t>6月，全国进行第二次人口普查。全县有56847户，255861人。</w:t>
      </w:r>
    </w:p>
    <w:p w14:paraId="079A7803">
      <w:pPr>
        <w:pStyle w:val="4"/>
        <w:rPr>
          <w:rFonts w:ascii="宋体" w:hAnsi="宋体"/>
        </w:rPr>
      </w:pPr>
      <w:r>
        <w:rPr>
          <w:rFonts w:ascii="宋体" w:hAnsi="宋体"/>
        </w:rPr>
        <w:t>1965年</w:t>
      </w:r>
    </w:p>
    <w:p w14:paraId="416CB951">
      <w:pPr>
        <w:ind w:firstLine="420"/>
        <w:rPr>
          <w:rFonts w:ascii="宋体" w:hAnsi="宋体"/>
          <w:szCs w:val="21"/>
        </w:rPr>
      </w:pPr>
      <w:r>
        <w:rPr>
          <w:rFonts w:ascii="宋体" w:hAnsi="宋体"/>
          <w:szCs w:val="21"/>
        </w:rPr>
        <w:t>5月，中共广东省委第一书记赵紫阳到南雄县视察，并游览钟鼓岩、梅关。</w:t>
      </w:r>
    </w:p>
    <w:p w14:paraId="79A87411">
      <w:pPr>
        <w:ind w:firstLine="420"/>
        <w:rPr>
          <w:rFonts w:ascii="宋体" w:hAnsi="宋体"/>
          <w:szCs w:val="21"/>
        </w:rPr>
      </w:pPr>
      <w:r>
        <w:rPr>
          <w:rFonts w:ascii="宋体" w:hAnsi="宋体"/>
          <w:szCs w:val="21"/>
        </w:rPr>
        <w:t>10月11日至16日，县贫下中农代表会议召开，成立县贫下中农协会筹备委员</w:t>
      </w:r>
      <w:r>
        <w:rPr>
          <w:rFonts w:hint="eastAsia" w:ascii="宋体" w:hAnsi="宋体"/>
          <w:szCs w:val="21"/>
        </w:rPr>
        <w:t>会，由</w:t>
      </w:r>
      <w:r>
        <w:rPr>
          <w:rFonts w:ascii="宋体" w:hAnsi="宋体"/>
          <w:szCs w:val="21"/>
        </w:rPr>
        <w:t>39人组成</w:t>
      </w:r>
      <w:r>
        <w:rPr>
          <w:rFonts w:hint="eastAsia" w:ascii="宋体" w:hAnsi="宋体"/>
          <w:szCs w:val="21"/>
        </w:rPr>
        <w:t>。</w:t>
      </w:r>
    </w:p>
    <w:p w14:paraId="752F9787">
      <w:pPr>
        <w:ind w:firstLine="420"/>
        <w:rPr>
          <w:rFonts w:ascii="宋体" w:hAnsi="宋体"/>
          <w:szCs w:val="21"/>
        </w:rPr>
      </w:pPr>
      <w:r>
        <w:rPr>
          <w:rFonts w:hint="eastAsia" w:ascii="宋体" w:hAnsi="宋体"/>
          <w:szCs w:val="21"/>
        </w:rPr>
        <w:t>冬，兴建杨梅水库。库容</w:t>
      </w:r>
      <w:r>
        <w:rPr>
          <w:rFonts w:ascii="宋体" w:hAnsi="宋体"/>
          <w:szCs w:val="21"/>
        </w:rPr>
        <w:t>556万立方米。</w:t>
      </w:r>
    </w:p>
    <w:p w14:paraId="0A0600C5">
      <w:pPr>
        <w:pStyle w:val="4"/>
        <w:rPr>
          <w:rFonts w:ascii="宋体" w:hAnsi="宋体"/>
        </w:rPr>
      </w:pPr>
      <w:r>
        <w:rPr>
          <w:rFonts w:ascii="宋体" w:hAnsi="宋体"/>
        </w:rPr>
        <w:t>1966年</w:t>
      </w:r>
    </w:p>
    <w:p w14:paraId="656C5F7D">
      <w:pPr>
        <w:ind w:firstLine="420"/>
        <w:rPr>
          <w:rFonts w:ascii="宋体" w:hAnsi="宋体"/>
          <w:szCs w:val="21"/>
        </w:rPr>
      </w:pPr>
      <w:r>
        <w:rPr>
          <w:rFonts w:ascii="宋体" w:hAnsi="宋体"/>
          <w:szCs w:val="21"/>
        </w:rPr>
        <w:t>10月，全县最大的水利工程一孔江水库（库容6784万立方米）全面动工，在孔</w:t>
      </w:r>
      <w:r>
        <w:rPr>
          <w:rFonts w:hint="eastAsia" w:ascii="宋体" w:hAnsi="宋体"/>
          <w:szCs w:val="21"/>
        </w:rPr>
        <w:t>江库区工地举办万人“毛泽东著作”学习班，</w:t>
      </w:r>
      <w:r>
        <w:rPr>
          <w:rFonts w:ascii="宋体" w:hAnsi="宋体"/>
          <w:szCs w:val="21"/>
        </w:rPr>
        <w:t>10300人边学习边劳动，突击20天完</w:t>
      </w:r>
      <w:r>
        <w:rPr>
          <w:rFonts w:hint="eastAsia" w:ascii="宋体" w:hAnsi="宋体"/>
          <w:szCs w:val="21"/>
        </w:rPr>
        <w:t>成水库土坝</w:t>
      </w:r>
      <w:r>
        <w:rPr>
          <w:rFonts w:ascii="宋体" w:hAnsi="宋体"/>
          <w:szCs w:val="21"/>
        </w:rPr>
        <w:t>10万立方米土方任务。接着又在主干渠举办4万人学习班，突击25天完</w:t>
      </w:r>
      <w:r>
        <w:rPr>
          <w:rFonts w:hint="eastAsia" w:ascii="宋体" w:hAnsi="宋体"/>
          <w:szCs w:val="21"/>
        </w:rPr>
        <w:t>成</w:t>
      </w:r>
      <w:r>
        <w:rPr>
          <w:rFonts w:ascii="宋体" w:hAnsi="宋体"/>
          <w:szCs w:val="21"/>
        </w:rPr>
        <w:t>91.8万立方米土方任务。</w:t>
      </w:r>
    </w:p>
    <w:p w14:paraId="19F3D6EE">
      <w:pPr>
        <w:pStyle w:val="4"/>
        <w:rPr>
          <w:rFonts w:ascii="宋体" w:hAnsi="宋体"/>
        </w:rPr>
      </w:pPr>
      <w:r>
        <w:rPr>
          <w:rFonts w:ascii="宋体" w:hAnsi="宋体"/>
        </w:rPr>
        <w:t>1967年</w:t>
      </w:r>
    </w:p>
    <w:p w14:paraId="0F4E9DAD">
      <w:pPr>
        <w:ind w:firstLine="420"/>
        <w:rPr>
          <w:rFonts w:ascii="宋体" w:hAnsi="宋体"/>
          <w:szCs w:val="21"/>
        </w:rPr>
      </w:pPr>
      <w:r>
        <w:rPr>
          <w:rFonts w:ascii="宋体" w:hAnsi="宋体"/>
          <w:szCs w:val="21"/>
        </w:rPr>
        <w:t>1月24日晚，部分“造反派”联合向县委、县政府夺权，接着各机关单位也相</w:t>
      </w:r>
      <w:r>
        <w:rPr>
          <w:rFonts w:hint="eastAsia" w:ascii="宋体" w:hAnsi="宋体"/>
          <w:szCs w:val="21"/>
        </w:rPr>
        <w:t>继被夺权。</w:t>
      </w:r>
    </w:p>
    <w:p w14:paraId="1BD15B68">
      <w:pPr>
        <w:ind w:firstLine="420"/>
        <w:rPr>
          <w:rFonts w:ascii="宋体" w:hAnsi="宋体"/>
          <w:szCs w:val="21"/>
        </w:rPr>
      </w:pPr>
      <w:r>
        <w:rPr>
          <w:rFonts w:ascii="宋体" w:hAnsi="宋体"/>
          <w:szCs w:val="21"/>
        </w:rPr>
        <w:t>10月22日下午，公安、武装部门在广大群众和民兵的协助下，于梅岭坳上擒获</w:t>
      </w:r>
      <w:r>
        <w:rPr>
          <w:rFonts w:hint="eastAsia" w:ascii="宋体" w:hAnsi="宋体"/>
          <w:szCs w:val="21"/>
        </w:rPr>
        <w:t>潜藏</w:t>
      </w:r>
      <w:r>
        <w:rPr>
          <w:rFonts w:ascii="宋体" w:hAnsi="宋体"/>
          <w:szCs w:val="21"/>
        </w:rPr>
        <w:t>17年之久的匪首李西石，一举破获以李西石为首的反革命组织“中华民国三民</w:t>
      </w:r>
      <w:r>
        <w:rPr>
          <w:rFonts w:hint="eastAsia" w:ascii="宋体" w:hAnsi="宋体"/>
          <w:szCs w:val="21"/>
        </w:rPr>
        <w:t>主义革命军讨共总督司令部”，成员</w:t>
      </w:r>
      <w:r>
        <w:rPr>
          <w:rFonts w:ascii="宋体" w:hAnsi="宋体"/>
          <w:szCs w:val="21"/>
        </w:rPr>
        <w:t>56人</w:t>
      </w:r>
      <w:r>
        <w:rPr>
          <w:rFonts w:hint="eastAsia" w:ascii="宋体" w:hAnsi="宋体"/>
          <w:szCs w:val="21"/>
        </w:rPr>
        <w:t>。</w:t>
      </w:r>
    </w:p>
    <w:p w14:paraId="6B20153A">
      <w:pPr>
        <w:ind w:firstLine="420"/>
        <w:rPr>
          <w:rFonts w:ascii="宋体" w:hAnsi="宋体"/>
          <w:szCs w:val="21"/>
        </w:rPr>
      </w:pPr>
      <w:r>
        <w:rPr>
          <w:rFonts w:ascii="宋体" w:hAnsi="宋体"/>
          <w:szCs w:val="21"/>
        </w:rPr>
        <w:t>11月，全县各地在开展剿匪工作中出现扩大化，有22个公社（镇、场）的180</w:t>
      </w:r>
      <w:r>
        <w:rPr>
          <w:rFonts w:hint="eastAsia" w:ascii="宋体" w:hAnsi="宋体"/>
          <w:szCs w:val="21"/>
        </w:rPr>
        <w:t>个大队发生乱抓、乱打、乱杀的“三乱”现象，造成一批冤假错案。</w:t>
      </w:r>
    </w:p>
    <w:p w14:paraId="2BCC3B8E">
      <w:pPr>
        <w:pStyle w:val="4"/>
        <w:rPr>
          <w:rFonts w:ascii="宋体" w:hAnsi="宋体"/>
        </w:rPr>
      </w:pPr>
      <w:r>
        <w:rPr>
          <w:rFonts w:ascii="宋体" w:hAnsi="宋体"/>
        </w:rPr>
        <w:t>1968年</w:t>
      </w:r>
    </w:p>
    <w:p w14:paraId="1E64C6B3">
      <w:pPr>
        <w:ind w:firstLine="420"/>
        <w:rPr>
          <w:rFonts w:ascii="宋体" w:hAnsi="宋体"/>
          <w:szCs w:val="21"/>
        </w:rPr>
      </w:pPr>
      <w:r>
        <w:rPr>
          <w:rFonts w:ascii="宋体" w:hAnsi="宋体"/>
          <w:szCs w:val="21"/>
        </w:rPr>
        <w:t>3月20日至26日，县贫下中农代表大会和民兵代表大会召开，成立县贫下中农</w:t>
      </w:r>
      <w:r>
        <w:rPr>
          <w:rFonts w:hint="eastAsia" w:ascii="宋体" w:hAnsi="宋体"/>
          <w:szCs w:val="21"/>
        </w:rPr>
        <w:t>代表委员会，由</w:t>
      </w:r>
      <w:r>
        <w:rPr>
          <w:rFonts w:ascii="宋体" w:hAnsi="宋体"/>
          <w:szCs w:val="21"/>
        </w:rPr>
        <w:t>36人组成。</w:t>
      </w:r>
    </w:p>
    <w:p w14:paraId="364F74A1">
      <w:pPr>
        <w:ind w:firstLine="420"/>
        <w:rPr>
          <w:rFonts w:ascii="宋体" w:hAnsi="宋体"/>
          <w:szCs w:val="21"/>
        </w:rPr>
      </w:pPr>
      <w:r>
        <w:rPr>
          <w:rFonts w:ascii="宋体" w:hAnsi="宋体"/>
          <w:szCs w:val="21"/>
        </w:rPr>
        <w:t>4月4日，省革命委员会批准成立南雄县革命委员会，由52名委员组成。主任</w:t>
      </w:r>
      <w:r>
        <w:rPr>
          <w:rFonts w:hint="eastAsia" w:ascii="宋体" w:hAnsi="宋体"/>
          <w:szCs w:val="21"/>
        </w:rPr>
        <w:t>魏世俊。</w:t>
      </w:r>
    </w:p>
    <w:p w14:paraId="0202D27A">
      <w:pPr>
        <w:pStyle w:val="4"/>
        <w:rPr>
          <w:rFonts w:ascii="宋体" w:hAnsi="宋体"/>
        </w:rPr>
      </w:pPr>
      <w:r>
        <w:rPr>
          <w:rFonts w:ascii="宋体" w:hAnsi="宋体"/>
        </w:rPr>
        <w:t>1969年</w:t>
      </w:r>
    </w:p>
    <w:p w14:paraId="374868BE">
      <w:pPr>
        <w:ind w:firstLine="420"/>
        <w:rPr>
          <w:rFonts w:ascii="宋体" w:hAnsi="宋体"/>
          <w:szCs w:val="21"/>
        </w:rPr>
      </w:pPr>
      <w:r>
        <w:rPr>
          <w:rFonts w:hint="eastAsia" w:ascii="宋体" w:hAnsi="宋体"/>
          <w:szCs w:val="21"/>
        </w:rPr>
        <w:t>冬，兴建罗田水库。库容</w:t>
      </w:r>
      <w:r>
        <w:rPr>
          <w:rFonts w:ascii="宋体" w:hAnsi="宋体"/>
          <w:szCs w:val="21"/>
        </w:rPr>
        <w:t>212.2万立方米，1974年建成。</w:t>
      </w:r>
    </w:p>
    <w:p w14:paraId="72D0BA2A">
      <w:pPr>
        <w:ind w:firstLine="420"/>
        <w:rPr>
          <w:rFonts w:ascii="宋体" w:hAnsi="宋体"/>
          <w:szCs w:val="21"/>
        </w:rPr>
      </w:pPr>
      <w:r>
        <w:rPr>
          <w:rFonts w:hint="eastAsia" w:ascii="宋体" w:hAnsi="宋体"/>
          <w:szCs w:val="21"/>
        </w:rPr>
        <w:t>是年，动员大批城市知识青年上山下乡。至</w:t>
      </w:r>
      <w:r>
        <w:rPr>
          <w:rFonts w:ascii="宋体" w:hAnsi="宋体"/>
          <w:szCs w:val="21"/>
        </w:rPr>
        <w:t>1977年，全县农村接收知青4942</w:t>
      </w:r>
      <w:r>
        <w:rPr>
          <w:rFonts w:hint="eastAsia" w:ascii="宋体" w:hAnsi="宋体"/>
          <w:szCs w:val="21"/>
        </w:rPr>
        <w:t>人，内含广州市知青</w:t>
      </w:r>
      <w:r>
        <w:rPr>
          <w:rFonts w:ascii="宋体" w:hAnsi="宋体"/>
          <w:szCs w:val="21"/>
        </w:rPr>
        <w:t>273人，韶关市知青119人</w:t>
      </w:r>
      <w:r>
        <w:rPr>
          <w:rFonts w:hint="eastAsia" w:ascii="宋体" w:hAnsi="宋体"/>
          <w:szCs w:val="21"/>
        </w:rPr>
        <w:t>。</w:t>
      </w:r>
    </w:p>
    <w:p w14:paraId="0C4BF117">
      <w:pPr>
        <w:pStyle w:val="4"/>
        <w:rPr>
          <w:rFonts w:ascii="宋体" w:hAnsi="宋体"/>
        </w:rPr>
      </w:pPr>
      <w:r>
        <w:rPr>
          <w:rFonts w:ascii="宋体" w:hAnsi="宋体"/>
        </w:rPr>
        <w:t>1970年</w:t>
      </w:r>
    </w:p>
    <w:p w14:paraId="4BA2611E">
      <w:pPr>
        <w:ind w:firstLine="420"/>
        <w:rPr>
          <w:rFonts w:ascii="宋体" w:hAnsi="宋体"/>
          <w:szCs w:val="21"/>
        </w:rPr>
      </w:pPr>
      <w:r>
        <w:rPr>
          <w:rFonts w:ascii="宋体" w:hAnsi="宋体"/>
          <w:szCs w:val="21"/>
        </w:rPr>
        <w:t>1月1日至5日，中共南雄县第三次代表大会召开，选举产生第三届中共南雄县</w:t>
      </w:r>
      <w:r>
        <w:rPr>
          <w:rFonts w:hint="eastAsia" w:ascii="宋体" w:hAnsi="宋体"/>
          <w:szCs w:val="21"/>
        </w:rPr>
        <w:t>委员会，书记魏世俊。恢复中共南雄县委员会活动。</w:t>
      </w:r>
    </w:p>
    <w:p w14:paraId="170B6DB3">
      <w:pPr>
        <w:ind w:firstLine="420"/>
        <w:rPr>
          <w:rFonts w:ascii="宋体" w:hAnsi="宋体"/>
          <w:szCs w:val="21"/>
        </w:rPr>
      </w:pPr>
      <w:r>
        <w:rPr>
          <w:rFonts w:hint="eastAsia" w:ascii="宋体" w:hAnsi="宋体"/>
          <w:szCs w:val="21"/>
        </w:rPr>
        <w:t>冬，兴建瀑布水库，</w:t>
      </w:r>
      <w:r>
        <w:rPr>
          <w:rFonts w:ascii="宋体" w:hAnsi="宋体"/>
          <w:szCs w:val="21"/>
        </w:rPr>
        <w:t>1万多名民工以民兵师形式组织施工。1973年基本完成库区</w:t>
      </w:r>
      <w:r>
        <w:rPr>
          <w:rFonts w:hint="eastAsia" w:ascii="宋体" w:hAnsi="宋体"/>
          <w:szCs w:val="21"/>
        </w:rPr>
        <w:t>工程。库容</w:t>
      </w:r>
      <w:r>
        <w:rPr>
          <w:rFonts w:ascii="宋体" w:hAnsi="宋体"/>
          <w:szCs w:val="21"/>
        </w:rPr>
        <w:t>3400万立方米</w:t>
      </w:r>
      <w:r>
        <w:rPr>
          <w:rFonts w:hint="eastAsia" w:ascii="宋体" w:hAnsi="宋体"/>
          <w:szCs w:val="21"/>
        </w:rPr>
        <w:t>。</w:t>
      </w:r>
    </w:p>
    <w:p w14:paraId="154AD63C">
      <w:pPr>
        <w:pStyle w:val="4"/>
        <w:rPr>
          <w:rFonts w:ascii="宋体" w:hAnsi="宋体"/>
        </w:rPr>
      </w:pPr>
      <w:r>
        <w:rPr>
          <w:rFonts w:ascii="宋体" w:hAnsi="宋体"/>
        </w:rPr>
        <w:t>1972年</w:t>
      </w:r>
    </w:p>
    <w:p w14:paraId="5501B5F3">
      <w:pPr>
        <w:ind w:firstLine="420"/>
        <w:rPr>
          <w:rFonts w:ascii="宋体" w:hAnsi="宋体"/>
          <w:szCs w:val="21"/>
        </w:rPr>
      </w:pPr>
      <w:r>
        <w:rPr>
          <w:rFonts w:ascii="宋体" w:hAnsi="宋体"/>
          <w:szCs w:val="21"/>
        </w:rPr>
        <w:t>10月，县革委会先后组织两批干部320人赴山西省昔阳县大寨大队参观学习，</w:t>
      </w:r>
      <w:r>
        <w:rPr>
          <w:rFonts w:hint="eastAsia" w:ascii="宋体" w:hAnsi="宋体"/>
          <w:szCs w:val="21"/>
        </w:rPr>
        <w:t>开展建设大寨县运动。</w:t>
      </w:r>
    </w:p>
    <w:p w14:paraId="3FA2BCAA">
      <w:pPr>
        <w:pStyle w:val="4"/>
        <w:rPr>
          <w:rFonts w:ascii="宋体" w:hAnsi="宋体"/>
        </w:rPr>
      </w:pPr>
      <w:r>
        <w:rPr>
          <w:rFonts w:ascii="宋体" w:hAnsi="宋体"/>
        </w:rPr>
        <w:t>1974年</w:t>
      </w:r>
    </w:p>
    <w:p w14:paraId="5A6C63C4">
      <w:pPr>
        <w:ind w:firstLine="420"/>
        <w:rPr>
          <w:rFonts w:ascii="宋体" w:hAnsi="宋体"/>
          <w:szCs w:val="21"/>
        </w:rPr>
      </w:pPr>
      <w:r>
        <w:rPr>
          <w:rFonts w:ascii="宋体" w:hAnsi="宋体"/>
          <w:szCs w:val="21"/>
        </w:rPr>
        <w:t>2月11日至15日，南雄县第二次贫下中农代表及1973年劳模代表大会召开，出</w:t>
      </w:r>
      <w:r>
        <w:rPr>
          <w:rFonts w:hint="eastAsia" w:ascii="宋体" w:hAnsi="宋体"/>
          <w:szCs w:val="21"/>
        </w:rPr>
        <w:t>席会议</w:t>
      </w:r>
      <w:r>
        <w:rPr>
          <w:rFonts w:ascii="宋体" w:hAnsi="宋体"/>
          <w:szCs w:val="21"/>
        </w:rPr>
        <w:t>3994人，选举产生南雄县贫下中农协会第三届委员会。</w:t>
      </w:r>
    </w:p>
    <w:p w14:paraId="4B3EB7CE">
      <w:pPr>
        <w:ind w:firstLine="420"/>
        <w:rPr>
          <w:rFonts w:ascii="宋体" w:hAnsi="宋体"/>
          <w:szCs w:val="21"/>
        </w:rPr>
      </w:pPr>
      <w:r>
        <w:rPr>
          <w:rFonts w:ascii="宋体" w:hAnsi="宋体"/>
          <w:szCs w:val="21"/>
        </w:rPr>
        <w:t>5月，上海自然博物馆考察人员在水南岭发现一只大海龟化石，在水口公社河坪</w:t>
      </w:r>
      <w:r>
        <w:rPr>
          <w:rFonts w:hint="eastAsia" w:ascii="宋体" w:hAnsi="宋体"/>
          <w:szCs w:val="21"/>
        </w:rPr>
        <w:t>大队河坪村附近岭上发现恐龙脊椎、颈、背、荐椎、尾椎等化石。</w:t>
      </w:r>
    </w:p>
    <w:p w14:paraId="5E697F63">
      <w:pPr>
        <w:pStyle w:val="4"/>
        <w:rPr>
          <w:rFonts w:ascii="宋体" w:hAnsi="宋体"/>
        </w:rPr>
      </w:pPr>
      <w:r>
        <w:rPr>
          <w:rFonts w:ascii="宋体" w:hAnsi="宋体"/>
        </w:rPr>
        <w:t>1976年</w:t>
      </w:r>
    </w:p>
    <w:p w14:paraId="1575DA92">
      <w:pPr>
        <w:ind w:firstLine="420"/>
        <w:rPr>
          <w:rFonts w:ascii="宋体" w:hAnsi="宋体"/>
          <w:szCs w:val="21"/>
        </w:rPr>
      </w:pPr>
      <w:r>
        <w:rPr>
          <w:rFonts w:ascii="宋体" w:hAnsi="宋体"/>
          <w:szCs w:val="21"/>
        </w:rPr>
        <w:t>9月18日，在飞机场举行6万多人大会，悼念伟大领袖毛泽东逝世</w:t>
      </w:r>
      <w:r>
        <w:rPr>
          <w:rFonts w:hint="eastAsia" w:ascii="宋体" w:hAnsi="宋体"/>
          <w:szCs w:val="21"/>
        </w:rPr>
        <w:t>。</w:t>
      </w:r>
    </w:p>
    <w:p w14:paraId="632A091E">
      <w:pPr>
        <w:ind w:firstLine="420"/>
        <w:rPr>
          <w:rFonts w:ascii="宋体" w:hAnsi="宋体"/>
          <w:szCs w:val="21"/>
        </w:rPr>
      </w:pPr>
      <w:r>
        <w:rPr>
          <w:rFonts w:ascii="宋体" w:hAnsi="宋体"/>
          <w:szCs w:val="21"/>
        </w:rPr>
        <w:t>10月25日，全县城乡20多万名群众集会游行，热烈庆祝粉碎江青反革命集团</w:t>
      </w:r>
      <w:r>
        <w:rPr>
          <w:rFonts w:hint="eastAsia" w:ascii="宋体" w:hAnsi="宋体"/>
          <w:szCs w:val="21"/>
        </w:rPr>
        <w:t>的伟大胜利。</w:t>
      </w:r>
    </w:p>
    <w:p w14:paraId="178342AB">
      <w:pPr>
        <w:ind w:firstLine="420"/>
        <w:rPr>
          <w:rFonts w:ascii="宋体" w:hAnsi="宋体"/>
          <w:szCs w:val="21"/>
        </w:rPr>
      </w:pPr>
      <w:r>
        <w:rPr>
          <w:rFonts w:ascii="宋体" w:hAnsi="宋体"/>
          <w:szCs w:val="21"/>
        </w:rPr>
        <w:t>11月21日至12月26日，中国科学院古脊椎动物与古人类研究所在南雄县召开</w:t>
      </w:r>
      <w:r>
        <w:rPr>
          <w:rFonts w:hint="eastAsia" w:ascii="宋体" w:hAnsi="宋体"/>
          <w:szCs w:val="21"/>
        </w:rPr>
        <w:t>华南红层现场会议。参加会议的代表来自全国</w:t>
      </w:r>
      <w:r>
        <w:rPr>
          <w:rFonts w:ascii="宋体" w:hAnsi="宋体"/>
          <w:szCs w:val="21"/>
        </w:rPr>
        <w:t>24个省（自治区）96个单位180余</w:t>
      </w:r>
      <w:r>
        <w:rPr>
          <w:rFonts w:hint="eastAsia" w:ascii="宋体" w:hAnsi="宋体"/>
          <w:szCs w:val="21"/>
        </w:rPr>
        <w:t>人。</w:t>
      </w:r>
    </w:p>
    <w:p w14:paraId="71FAD2A9">
      <w:pPr>
        <w:ind w:firstLine="420"/>
        <w:rPr>
          <w:rFonts w:ascii="宋体" w:hAnsi="宋体"/>
          <w:szCs w:val="21"/>
        </w:rPr>
      </w:pPr>
      <w:r>
        <w:rPr>
          <w:rFonts w:hint="eastAsia" w:ascii="宋体" w:hAnsi="宋体"/>
          <w:szCs w:val="21"/>
        </w:rPr>
        <w:t>是年，孔江水库全面完成配套。整个工程头尾历时</w:t>
      </w:r>
      <w:r>
        <w:rPr>
          <w:rFonts w:ascii="宋体" w:hAnsi="宋体"/>
          <w:szCs w:val="21"/>
        </w:rPr>
        <w:t>10年，投资999.4万元，用</w:t>
      </w:r>
      <w:r>
        <w:rPr>
          <w:rFonts w:hint="eastAsia" w:ascii="宋体" w:hAnsi="宋体"/>
          <w:szCs w:val="21"/>
        </w:rPr>
        <w:t>去劳动工日</w:t>
      </w:r>
      <w:r>
        <w:rPr>
          <w:rFonts w:ascii="宋体" w:hAnsi="宋体"/>
          <w:szCs w:val="21"/>
        </w:rPr>
        <w:t>262万个，完成土石方247.5万立方米。</w:t>
      </w:r>
    </w:p>
    <w:p w14:paraId="7C764225">
      <w:pPr>
        <w:pStyle w:val="4"/>
        <w:rPr>
          <w:rFonts w:ascii="宋体" w:hAnsi="宋体"/>
        </w:rPr>
      </w:pPr>
      <w:r>
        <w:rPr>
          <w:rFonts w:ascii="宋体" w:hAnsi="宋体"/>
        </w:rPr>
        <w:t>1977年</w:t>
      </w:r>
    </w:p>
    <w:p w14:paraId="1CAB3FA3">
      <w:pPr>
        <w:ind w:firstLine="420"/>
        <w:rPr>
          <w:rFonts w:ascii="宋体" w:hAnsi="宋体"/>
          <w:szCs w:val="21"/>
        </w:rPr>
      </w:pPr>
      <w:r>
        <w:rPr>
          <w:rFonts w:ascii="宋体" w:hAnsi="宋体"/>
          <w:szCs w:val="21"/>
        </w:rPr>
        <w:t>11月15日，县成立赴海南育种大队，繁育杂交水稻种子</w:t>
      </w:r>
      <w:r>
        <w:rPr>
          <w:rFonts w:hint="eastAsia" w:ascii="宋体" w:hAnsi="宋体"/>
          <w:szCs w:val="21"/>
        </w:rPr>
        <w:t>。</w:t>
      </w:r>
    </w:p>
    <w:p w14:paraId="74B1D107">
      <w:pPr>
        <w:ind w:firstLine="420"/>
        <w:rPr>
          <w:rFonts w:ascii="宋体" w:hAnsi="宋体"/>
          <w:szCs w:val="21"/>
        </w:rPr>
      </w:pPr>
      <w:r>
        <w:rPr>
          <w:rFonts w:ascii="宋体" w:hAnsi="宋体"/>
          <w:szCs w:val="21"/>
        </w:rPr>
        <w:t>11月底至12月底，县委组织雄东农田基本建设大会战，18个公社民兵团共6万</w:t>
      </w:r>
      <w:r>
        <w:rPr>
          <w:rFonts w:hint="eastAsia" w:ascii="宋体" w:hAnsi="宋体"/>
          <w:szCs w:val="21"/>
        </w:rPr>
        <w:t>劳力，分别在乌迳、新龙、坪田、界址、黄坑等公社和宝江水库投入农田基本建设。</w:t>
      </w:r>
    </w:p>
    <w:p w14:paraId="4EC06CD2">
      <w:pPr>
        <w:pStyle w:val="4"/>
        <w:rPr>
          <w:rFonts w:ascii="宋体" w:hAnsi="宋体"/>
        </w:rPr>
      </w:pPr>
      <w:r>
        <w:rPr>
          <w:rFonts w:ascii="宋体" w:hAnsi="宋体"/>
        </w:rPr>
        <w:t>1978年</w:t>
      </w:r>
    </w:p>
    <w:p w14:paraId="09950CA3">
      <w:pPr>
        <w:ind w:firstLine="420"/>
        <w:rPr>
          <w:rFonts w:ascii="宋体" w:hAnsi="宋体"/>
          <w:szCs w:val="21"/>
        </w:rPr>
      </w:pPr>
      <w:r>
        <w:rPr>
          <w:rFonts w:ascii="宋体" w:hAnsi="宋体"/>
          <w:szCs w:val="21"/>
        </w:rPr>
        <w:t>4月，中共南雄县委落实政策办公室成立。至1983年10月底完成落实政策工</w:t>
      </w:r>
      <w:r>
        <w:rPr>
          <w:rFonts w:hint="eastAsia" w:ascii="宋体" w:hAnsi="宋体"/>
          <w:szCs w:val="21"/>
        </w:rPr>
        <w:t>作。全县平反“文化大革命”冤假错案</w:t>
      </w:r>
      <w:r>
        <w:rPr>
          <w:rFonts w:ascii="宋体" w:hAnsi="宋体"/>
          <w:szCs w:val="21"/>
        </w:rPr>
        <w:t>2468人，收回被迫“两退一插”干部职工495人，复查新中国成立以来至“文化大革命”前干部职工群众的历史案件4399宗。</w:t>
      </w:r>
    </w:p>
    <w:p w14:paraId="17334425">
      <w:pPr>
        <w:ind w:firstLine="420"/>
        <w:rPr>
          <w:rFonts w:ascii="宋体" w:hAnsi="宋体"/>
          <w:szCs w:val="21"/>
        </w:rPr>
      </w:pPr>
      <w:r>
        <w:rPr>
          <w:rFonts w:ascii="宋体" w:hAnsi="宋体"/>
          <w:szCs w:val="21"/>
        </w:rPr>
        <w:t>7月，北京自然博物馆和县博物馆考察人员在河南大队炸药仓库附近岭上发现</w:t>
      </w:r>
      <w:r>
        <w:rPr>
          <w:rFonts w:hint="eastAsia" w:ascii="宋体" w:hAnsi="宋体"/>
          <w:szCs w:val="21"/>
        </w:rPr>
        <w:t>一窝恐龙蛋化石</w:t>
      </w:r>
      <w:r>
        <w:rPr>
          <w:rFonts w:ascii="宋体" w:hAnsi="宋体"/>
          <w:szCs w:val="21"/>
        </w:rPr>
        <w:t>29个。该化石存北京自然博物馆。</w:t>
      </w:r>
    </w:p>
    <w:p w14:paraId="5CC41324">
      <w:pPr>
        <w:ind w:firstLine="420"/>
        <w:rPr>
          <w:rFonts w:ascii="宋体" w:hAnsi="宋体"/>
          <w:szCs w:val="21"/>
        </w:rPr>
      </w:pPr>
      <w:r>
        <w:rPr>
          <w:rFonts w:ascii="宋体" w:hAnsi="宋体"/>
          <w:szCs w:val="21"/>
        </w:rPr>
        <w:t>11月27日上午，县委召开落实政策平反大会。在县城设中心会场，23个公社</w:t>
      </w:r>
      <w:r>
        <w:rPr>
          <w:rFonts w:hint="eastAsia" w:ascii="宋体" w:hAnsi="宋体"/>
          <w:szCs w:val="21"/>
        </w:rPr>
        <w:t>（镇场）分别设分会场。大会宣读中共韶关地委和中共南雄县委关于为受林彪、“江青反革命集团”反革命修正主义路线迫害的干部群众平反的决定。宣读中共南雄县委为在</w:t>
      </w:r>
      <w:r>
        <w:rPr>
          <w:rFonts w:ascii="宋体" w:hAnsi="宋体"/>
          <w:szCs w:val="21"/>
        </w:rPr>
        <w:t>1967年剿匪扩大化中受迫害的干部群众平反的决定</w:t>
      </w:r>
      <w:r>
        <w:rPr>
          <w:rFonts w:hint="eastAsia" w:ascii="宋体" w:hAnsi="宋体"/>
          <w:szCs w:val="21"/>
        </w:rPr>
        <w:t>。</w:t>
      </w:r>
    </w:p>
    <w:p w14:paraId="2F9B43F3">
      <w:pPr>
        <w:ind w:firstLine="420"/>
        <w:rPr>
          <w:rFonts w:ascii="宋体" w:hAnsi="宋体"/>
          <w:szCs w:val="21"/>
        </w:rPr>
      </w:pPr>
      <w:r>
        <w:rPr>
          <w:rFonts w:ascii="宋体" w:hAnsi="宋体"/>
          <w:szCs w:val="21"/>
        </w:rPr>
        <w:t>12月5日，县委召开县机关落实政策平反大会，宣布为63位副股级以上干部平</w:t>
      </w:r>
      <w:r>
        <w:rPr>
          <w:rFonts w:hint="eastAsia" w:ascii="宋体" w:hAnsi="宋体"/>
          <w:szCs w:val="21"/>
        </w:rPr>
        <w:t>反恢复名誉，为</w:t>
      </w:r>
      <w:r>
        <w:rPr>
          <w:rFonts w:ascii="宋体" w:hAnsi="宋体"/>
          <w:szCs w:val="21"/>
        </w:rPr>
        <w:t>11位被迫害致死的职工平反昭雪。</w:t>
      </w:r>
    </w:p>
    <w:p w14:paraId="39E149EC">
      <w:pPr>
        <w:ind w:firstLine="420"/>
        <w:rPr>
          <w:rFonts w:ascii="宋体" w:hAnsi="宋体"/>
          <w:szCs w:val="21"/>
        </w:rPr>
      </w:pPr>
      <w:r>
        <w:rPr>
          <w:rFonts w:ascii="宋体" w:hAnsi="宋体"/>
          <w:szCs w:val="21"/>
        </w:rPr>
        <w:t>12月，4万劳力投入雄中农田基</w:t>
      </w:r>
      <w:r>
        <w:rPr>
          <w:rFonts w:hint="eastAsia" w:ascii="宋体" w:hAnsi="宋体"/>
          <w:szCs w:val="21"/>
        </w:rPr>
        <w:t>本</w:t>
      </w:r>
      <w:r>
        <w:rPr>
          <w:rFonts w:ascii="宋体" w:hAnsi="宋体"/>
          <w:szCs w:val="21"/>
        </w:rPr>
        <w:t>建设大会战，连片整治湖口、珠玑、梅岭、邓</w:t>
      </w:r>
      <w:r>
        <w:rPr>
          <w:rFonts w:hint="eastAsia" w:ascii="宋体" w:hAnsi="宋体"/>
          <w:szCs w:val="21"/>
        </w:rPr>
        <w:t>坊、水口、南亩</w:t>
      </w:r>
      <w:r>
        <w:rPr>
          <w:rFonts w:ascii="宋体" w:hAnsi="宋体"/>
          <w:szCs w:val="21"/>
        </w:rPr>
        <w:t>6个公社的7</w:t>
      </w:r>
      <w:r>
        <w:rPr>
          <w:rFonts w:hint="eastAsia" w:ascii="宋体" w:hAnsi="宋体"/>
          <w:szCs w:val="21"/>
        </w:rPr>
        <w:t>3</w:t>
      </w:r>
      <w:r>
        <w:rPr>
          <w:rFonts w:ascii="宋体" w:hAnsi="宋体"/>
          <w:szCs w:val="21"/>
        </w:rPr>
        <w:t>33.33公顷农田。</w:t>
      </w:r>
    </w:p>
    <w:p w14:paraId="4F26F0BE">
      <w:pPr>
        <w:pStyle w:val="4"/>
        <w:rPr>
          <w:rFonts w:ascii="宋体" w:hAnsi="宋体"/>
        </w:rPr>
      </w:pPr>
      <w:r>
        <w:rPr>
          <w:rFonts w:ascii="宋体" w:hAnsi="宋体"/>
        </w:rPr>
        <w:t>1979年</w:t>
      </w:r>
    </w:p>
    <w:p w14:paraId="4751DB13">
      <w:pPr>
        <w:ind w:firstLine="420"/>
        <w:rPr>
          <w:rFonts w:ascii="宋体" w:hAnsi="宋体"/>
          <w:szCs w:val="21"/>
        </w:rPr>
      </w:pPr>
      <w:r>
        <w:rPr>
          <w:rFonts w:ascii="宋体" w:hAnsi="宋体"/>
          <w:szCs w:val="21"/>
        </w:rPr>
        <w:t>1月23日，县革委会决定把油山、邓坊、乌迳3个公社的部分大队划出，增设</w:t>
      </w:r>
      <w:r>
        <w:rPr>
          <w:rFonts w:hint="eastAsia" w:ascii="宋体" w:hAnsi="宋体"/>
          <w:szCs w:val="21"/>
        </w:rPr>
        <w:t>大塘、孔江</w:t>
      </w:r>
      <w:r>
        <w:rPr>
          <w:rFonts w:ascii="宋体" w:hAnsi="宋体"/>
          <w:szCs w:val="21"/>
        </w:rPr>
        <w:t>2个公社</w:t>
      </w:r>
      <w:r>
        <w:rPr>
          <w:rFonts w:hint="eastAsia" w:ascii="宋体" w:hAnsi="宋体"/>
          <w:szCs w:val="21"/>
        </w:rPr>
        <w:t>。</w:t>
      </w:r>
    </w:p>
    <w:p w14:paraId="27CF5541">
      <w:pPr>
        <w:ind w:firstLine="420"/>
        <w:rPr>
          <w:rFonts w:ascii="宋体" w:hAnsi="宋体"/>
          <w:szCs w:val="21"/>
        </w:rPr>
      </w:pPr>
      <w:r>
        <w:rPr>
          <w:rFonts w:ascii="宋体" w:hAnsi="宋体"/>
          <w:szCs w:val="21"/>
        </w:rPr>
        <w:t>2月13日至19日，县委召开三级干部会议，传达贯彻中共十一届三中全会精</w:t>
      </w:r>
      <w:r>
        <w:rPr>
          <w:rFonts w:hint="eastAsia" w:ascii="宋体" w:hAnsi="宋体"/>
          <w:szCs w:val="21"/>
        </w:rPr>
        <w:t>神，批判“两个凡是”，解放思想，破除迷信，实事求是，拨乱反正，把工作着重点转移到社会主义现代化建设上来。</w:t>
      </w:r>
    </w:p>
    <w:p w14:paraId="7CDD636E">
      <w:pPr>
        <w:ind w:firstLine="420"/>
        <w:rPr>
          <w:rFonts w:ascii="宋体" w:hAnsi="宋体"/>
          <w:szCs w:val="21"/>
        </w:rPr>
      </w:pPr>
      <w:r>
        <w:rPr>
          <w:rFonts w:ascii="宋体" w:hAnsi="宋体"/>
          <w:szCs w:val="21"/>
        </w:rPr>
        <w:t>5月，河南35千伏安变电站建成投产</w:t>
      </w:r>
      <w:r>
        <w:rPr>
          <w:rFonts w:hint="eastAsia" w:ascii="宋体" w:hAnsi="宋体"/>
          <w:szCs w:val="21"/>
        </w:rPr>
        <w:t>。</w:t>
      </w:r>
    </w:p>
    <w:p w14:paraId="1100662F">
      <w:pPr>
        <w:ind w:firstLine="420"/>
        <w:rPr>
          <w:rFonts w:ascii="宋体" w:hAnsi="宋体"/>
          <w:szCs w:val="21"/>
        </w:rPr>
      </w:pPr>
      <w:r>
        <w:rPr>
          <w:rFonts w:ascii="宋体" w:hAnsi="宋体"/>
          <w:szCs w:val="21"/>
        </w:rPr>
        <w:t>9月，筹建南雄电视差转台（10瓦），1980年2月13日建成转播，1981年6月</w:t>
      </w:r>
      <w:r>
        <w:rPr>
          <w:rFonts w:hint="eastAsia" w:ascii="宋体" w:hAnsi="宋体"/>
          <w:szCs w:val="21"/>
        </w:rPr>
        <w:t>增设</w:t>
      </w:r>
      <w:r>
        <w:rPr>
          <w:rFonts w:ascii="宋体" w:hAnsi="宋体"/>
          <w:szCs w:val="21"/>
        </w:rPr>
        <w:t>50瓦差转机1台</w:t>
      </w:r>
      <w:r>
        <w:rPr>
          <w:rFonts w:hint="eastAsia" w:ascii="宋体" w:hAnsi="宋体"/>
          <w:szCs w:val="21"/>
        </w:rPr>
        <w:t>。</w:t>
      </w:r>
    </w:p>
    <w:p w14:paraId="0A15DC3D">
      <w:pPr>
        <w:ind w:firstLine="420"/>
        <w:rPr>
          <w:rFonts w:ascii="宋体" w:hAnsi="宋体"/>
          <w:szCs w:val="21"/>
        </w:rPr>
      </w:pPr>
      <w:r>
        <w:rPr>
          <w:rFonts w:hint="eastAsia" w:ascii="宋体" w:hAnsi="宋体"/>
          <w:szCs w:val="21"/>
        </w:rPr>
        <w:t>冬，基本完成宝江水库工程。该工程于</w:t>
      </w:r>
      <w:r>
        <w:rPr>
          <w:rFonts w:ascii="宋体" w:hAnsi="宋体"/>
          <w:szCs w:val="21"/>
        </w:rPr>
        <w:t>1977年上马，库容2367万立方米</w:t>
      </w:r>
      <w:r>
        <w:rPr>
          <w:rFonts w:hint="eastAsia" w:ascii="宋体" w:hAnsi="宋体"/>
          <w:szCs w:val="21"/>
        </w:rPr>
        <w:t>。</w:t>
      </w:r>
    </w:p>
    <w:p w14:paraId="47438DC9">
      <w:pPr>
        <w:ind w:firstLine="420"/>
        <w:rPr>
          <w:rFonts w:ascii="宋体" w:hAnsi="宋体"/>
          <w:szCs w:val="21"/>
        </w:rPr>
      </w:pPr>
      <w:r>
        <w:rPr>
          <w:rFonts w:hint="eastAsia" w:ascii="宋体" w:hAnsi="宋体"/>
          <w:szCs w:val="21"/>
        </w:rPr>
        <w:t>是年，浆田等地生产队农民自发实行包产到户。</w:t>
      </w:r>
    </w:p>
    <w:p w14:paraId="5840A880">
      <w:pPr>
        <w:pStyle w:val="4"/>
        <w:rPr>
          <w:rFonts w:ascii="宋体" w:hAnsi="宋体"/>
        </w:rPr>
      </w:pPr>
      <w:r>
        <w:rPr>
          <w:rFonts w:ascii="宋体" w:hAnsi="宋体"/>
        </w:rPr>
        <w:t>1980年</w:t>
      </w:r>
    </w:p>
    <w:p w14:paraId="40622AAF">
      <w:pPr>
        <w:ind w:firstLine="420"/>
        <w:rPr>
          <w:rFonts w:ascii="宋体" w:hAnsi="宋体"/>
          <w:szCs w:val="21"/>
        </w:rPr>
      </w:pPr>
      <w:r>
        <w:rPr>
          <w:rFonts w:ascii="宋体" w:hAnsi="宋体"/>
          <w:szCs w:val="21"/>
        </w:rPr>
        <w:t>1月29日，大雪。县城积雪1.5厘米，山区积雪10多厘米，山区公路中断交通4天。</w:t>
      </w:r>
    </w:p>
    <w:p w14:paraId="470AF910">
      <w:pPr>
        <w:ind w:firstLine="420"/>
        <w:rPr>
          <w:rFonts w:ascii="宋体" w:hAnsi="宋体"/>
          <w:szCs w:val="21"/>
        </w:rPr>
      </w:pPr>
      <w:r>
        <w:rPr>
          <w:rFonts w:ascii="宋体" w:hAnsi="宋体"/>
          <w:szCs w:val="21"/>
        </w:rPr>
        <w:t>6月28日至7月1日，中共南雄县第四次代表大会召开。选举产生第四届委员</w:t>
      </w:r>
      <w:r>
        <w:rPr>
          <w:rFonts w:hint="eastAsia" w:ascii="宋体" w:hAnsi="宋体"/>
          <w:szCs w:val="21"/>
        </w:rPr>
        <w:t>会，书记沈会峰。</w:t>
      </w:r>
    </w:p>
    <w:p w14:paraId="1EFF8700">
      <w:pPr>
        <w:ind w:firstLine="420"/>
        <w:rPr>
          <w:rFonts w:ascii="宋体" w:hAnsi="宋体"/>
          <w:szCs w:val="21"/>
        </w:rPr>
      </w:pPr>
      <w:r>
        <w:rPr>
          <w:rFonts w:ascii="宋体" w:hAnsi="宋体"/>
          <w:szCs w:val="21"/>
        </w:rPr>
        <w:t>9月26日，南雄县科学技术协会代表大会召开，成立南雄县科学技术协会</w:t>
      </w:r>
      <w:r>
        <w:rPr>
          <w:rFonts w:hint="eastAsia" w:ascii="宋体" w:hAnsi="宋体"/>
          <w:szCs w:val="21"/>
        </w:rPr>
        <w:t>。</w:t>
      </w:r>
    </w:p>
    <w:p w14:paraId="5F7B38CC">
      <w:pPr>
        <w:ind w:firstLine="420"/>
        <w:rPr>
          <w:rFonts w:ascii="宋体" w:hAnsi="宋体"/>
          <w:szCs w:val="21"/>
        </w:rPr>
      </w:pPr>
      <w:r>
        <w:rPr>
          <w:rFonts w:ascii="宋体" w:hAnsi="宋体"/>
          <w:szCs w:val="21"/>
        </w:rPr>
        <w:t>9月至10月，选举第六届县、公社两级人民代表大会代表，实行直接选举和差</w:t>
      </w:r>
      <w:r>
        <w:rPr>
          <w:rFonts w:hint="eastAsia" w:ascii="宋体" w:hAnsi="宋体"/>
          <w:szCs w:val="21"/>
        </w:rPr>
        <w:t>额选举，</w:t>
      </w:r>
      <w:r>
        <w:rPr>
          <w:rFonts w:ascii="宋体" w:hAnsi="宋体"/>
          <w:szCs w:val="21"/>
        </w:rPr>
        <w:t>95.9%的选民参加选举。</w:t>
      </w:r>
    </w:p>
    <w:p w14:paraId="64B94E4E">
      <w:pPr>
        <w:ind w:firstLine="420"/>
        <w:rPr>
          <w:rFonts w:ascii="宋体" w:hAnsi="宋体"/>
          <w:szCs w:val="21"/>
        </w:rPr>
      </w:pPr>
      <w:r>
        <w:rPr>
          <w:rFonts w:ascii="宋体" w:hAnsi="宋体"/>
          <w:szCs w:val="21"/>
        </w:rPr>
        <w:t>11月，贯彻中共中央《关于印发进一步加强和完善农业生产责任制的几个问题</w:t>
      </w:r>
      <w:r>
        <w:rPr>
          <w:rFonts w:hint="eastAsia" w:ascii="宋体" w:hAnsi="宋体"/>
          <w:szCs w:val="21"/>
        </w:rPr>
        <w:t>的通知》，允许少数地区实行包产到户。</w:t>
      </w:r>
    </w:p>
    <w:p w14:paraId="7FA053A0">
      <w:pPr>
        <w:ind w:firstLine="420"/>
        <w:rPr>
          <w:rFonts w:ascii="宋体" w:hAnsi="宋体"/>
          <w:szCs w:val="21"/>
        </w:rPr>
      </w:pPr>
      <w:r>
        <w:rPr>
          <w:rFonts w:ascii="宋体" w:hAnsi="宋体"/>
          <w:szCs w:val="21"/>
        </w:rPr>
        <w:t>11月16日至18日，县第六届人民代表大会第一次会议召开。首次选举产生县</w:t>
      </w:r>
      <w:r>
        <w:rPr>
          <w:rFonts w:hint="eastAsia" w:ascii="宋体" w:hAnsi="宋体"/>
          <w:szCs w:val="21"/>
        </w:rPr>
        <w:t>人民代表大会常务委员会，主任王春堂。大会选举产生县人民政府县长、副县长，县长赵焕宝。</w:t>
      </w:r>
    </w:p>
    <w:p w14:paraId="4D96137C">
      <w:pPr>
        <w:ind w:firstLine="420"/>
        <w:rPr>
          <w:rFonts w:ascii="宋体" w:hAnsi="宋体"/>
          <w:szCs w:val="21"/>
        </w:rPr>
      </w:pPr>
      <w:r>
        <w:rPr>
          <w:rFonts w:ascii="宋体" w:hAnsi="宋体"/>
          <w:szCs w:val="21"/>
        </w:rPr>
        <w:t>11月15日至19日，中国人民政治协商会议南雄县第一届委员会第一次全体会</w:t>
      </w:r>
      <w:r>
        <w:rPr>
          <w:rFonts w:hint="eastAsia" w:ascii="宋体" w:hAnsi="宋体"/>
          <w:szCs w:val="21"/>
        </w:rPr>
        <w:t>议召开，选举产生第一届政协主席、副主席、常委。主席赖济标。</w:t>
      </w:r>
    </w:p>
    <w:p w14:paraId="4A2CE75B">
      <w:pPr>
        <w:ind w:firstLine="420"/>
        <w:rPr>
          <w:rFonts w:ascii="宋体" w:hAnsi="宋体"/>
          <w:szCs w:val="21"/>
        </w:rPr>
      </w:pPr>
      <w:r>
        <w:rPr>
          <w:rFonts w:ascii="宋体" w:hAnsi="宋体"/>
          <w:szCs w:val="21"/>
        </w:rPr>
        <w:t>11月24日，复用“南雄县人民政府”名称，取消“南雄县革命委员会”名称</w:t>
      </w:r>
      <w:r>
        <w:rPr>
          <w:rFonts w:hint="eastAsia" w:ascii="宋体" w:hAnsi="宋体"/>
          <w:szCs w:val="21"/>
        </w:rPr>
        <w:t>。</w:t>
      </w:r>
    </w:p>
    <w:p w14:paraId="6FCE0DDC">
      <w:pPr>
        <w:ind w:firstLine="420"/>
        <w:rPr>
          <w:rFonts w:ascii="宋体" w:hAnsi="宋体"/>
          <w:szCs w:val="21"/>
        </w:rPr>
      </w:pPr>
      <w:r>
        <w:rPr>
          <w:rFonts w:ascii="宋体" w:hAnsi="宋体"/>
          <w:szCs w:val="21"/>
        </w:rPr>
        <w:t>11月底，开展雄西农田基本建设大会战，全县7万劳力在百顺、苍石、帽子峰</w:t>
      </w:r>
      <w:r>
        <w:rPr>
          <w:rFonts w:hint="eastAsia" w:ascii="宋体" w:hAnsi="宋体"/>
          <w:szCs w:val="21"/>
        </w:rPr>
        <w:t>、澜河</w:t>
      </w:r>
      <w:r>
        <w:rPr>
          <w:rFonts w:ascii="宋体" w:hAnsi="宋体"/>
          <w:szCs w:val="21"/>
        </w:rPr>
        <w:t>4个公社奋战30天，完成9项农田基本建设工程，改造低产田960公顷。</w:t>
      </w:r>
    </w:p>
    <w:p w14:paraId="24751D6D">
      <w:pPr>
        <w:ind w:firstLine="420"/>
        <w:rPr>
          <w:rFonts w:ascii="宋体" w:hAnsi="宋体"/>
          <w:szCs w:val="21"/>
        </w:rPr>
      </w:pPr>
      <w:r>
        <w:rPr>
          <w:rFonts w:hint="eastAsia" w:ascii="宋体" w:hAnsi="宋体"/>
          <w:szCs w:val="21"/>
        </w:rPr>
        <w:t>是年，坪田公社白果丰收，总产</w:t>
      </w:r>
      <w:r>
        <w:rPr>
          <w:rFonts w:ascii="宋体" w:hAnsi="宋体"/>
          <w:szCs w:val="21"/>
        </w:rPr>
        <w:t>31吨。该社自1979年把果树归还社员所有之</w:t>
      </w:r>
      <w:r>
        <w:rPr>
          <w:rFonts w:hint="eastAsia" w:ascii="宋体" w:hAnsi="宋体"/>
          <w:szCs w:val="21"/>
        </w:rPr>
        <w:t>后，</w:t>
      </w:r>
      <w:r>
        <w:rPr>
          <w:rFonts w:ascii="宋体" w:hAnsi="宋体"/>
          <w:szCs w:val="21"/>
        </w:rPr>
        <w:t>500多株白果树恢复生机。</w:t>
      </w:r>
    </w:p>
    <w:p w14:paraId="03ED1B48">
      <w:pPr>
        <w:pStyle w:val="4"/>
        <w:rPr>
          <w:rFonts w:ascii="宋体" w:hAnsi="宋体"/>
        </w:rPr>
      </w:pPr>
      <w:r>
        <w:rPr>
          <w:rFonts w:ascii="宋体" w:hAnsi="宋体"/>
        </w:rPr>
        <w:t>1981年</w:t>
      </w:r>
    </w:p>
    <w:p w14:paraId="06296424">
      <w:pPr>
        <w:ind w:firstLine="420"/>
        <w:rPr>
          <w:rFonts w:ascii="宋体" w:hAnsi="宋体"/>
          <w:szCs w:val="21"/>
        </w:rPr>
      </w:pPr>
      <w:r>
        <w:rPr>
          <w:rFonts w:ascii="宋体" w:hAnsi="宋体"/>
          <w:szCs w:val="21"/>
        </w:rPr>
        <w:t>4月4日下午，部分地区受暴风雨、冰雹袭击，受灾的有界址、新龙、乌迳、黄</w:t>
      </w:r>
      <w:r>
        <w:rPr>
          <w:rFonts w:hint="eastAsia" w:ascii="宋体" w:hAnsi="宋体"/>
          <w:szCs w:val="21"/>
        </w:rPr>
        <w:t>坑、大塘、邓坊、珠玑等公社的</w:t>
      </w:r>
      <w:r>
        <w:rPr>
          <w:rFonts w:ascii="宋体" w:hAnsi="宋体"/>
          <w:szCs w:val="21"/>
        </w:rPr>
        <w:t>74个大队，民房倒塌117间，损坏10344间，折断</w:t>
      </w:r>
      <w:r>
        <w:rPr>
          <w:rFonts w:hint="eastAsia" w:ascii="宋体" w:hAnsi="宋体"/>
          <w:szCs w:val="21"/>
        </w:rPr>
        <w:t>电话线杆</w:t>
      </w:r>
      <w:r>
        <w:rPr>
          <w:rFonts w:ascii="宋体" w:hAnsi="宋体"/>
          <w:szCs w:val="21"/>
        </w:rPr>
        <w:t>538根，死亡5人，重伤13人，轻伤300人，直接经济损失达34万多元。</w:t>
      </w:r>
    </w:p>
    <w:p w14:paraId="0FAB70C9">
      <w:pPr>
        <w:ind w:firstLine="420"/>
        <w:rPr>
          <w:rFonts w:ascii="宋体" w:hAnsi="宋体"/>
          <w:szCs w:val="21"/>
        </w:rPr>
      </w:pPr>
      <w:r>
        <w:rPr>
          <w:rFonts w:ascii="宋体" w:hAnsi="宋体"/>
          <w:szCs w:val="21"/>
        </w:rPr>
        <w:t>8月，全县公社分两批进行山林发证，增划自留山，落实责任山。</w:t>
      </w:r>
    </w:p>
    <w:p w14:paraId="472FE25E">
      <w:pPr>
        <w:ind w:firstLine="420"/>
        <w:rPr>
          <w:rFonts w:ascii="宋体" w:hAnsi="宋体"/>
          <w:szCs w:val="21"/>
        </w:rPr>
      </w:pPr>
      <w:r>
        <w:rPr>
          <w:rFonts w:ascii="宋体" w:hAnsi="宋体"/>
          <w:szCs w:val="21"/>
        </w:rPr>
        <w:t>10月，县自来水厂水质净化工程竣工，新铺设县城及郊区送水管道19公里</w:t>
      </w:r>
      <w:r>
        <w:rPr>
          <w:rFonts w:hint="eastAsia" w:ascii="宋体" w:hAnsi="宋体"/>
          <w:szCs w:val="21"/>
        </w:rPr>
        <w:t>。</w:t>
      </w:r>
    </w:p>
    <w:p w14:paraId="22BC9E3A">
      <w:pPr>
        <w:ind w:firstLine="420"/>
        <w:rPr>
          <w:rFonts w:ascii="宋体" w:hAnsi="宋体"/>
          <w:szCs w:val="21"/>
        </w:rPr>
      </w:pPr>
      <w:r>
        <w:rPr>
          <w:rFonts w:ascii="宋体" w:hAnsi="宋体"/>
          <w:szCs w:val="21"/>
        </w:rPr>
        <w:t>11月14日，广东省人民政府、中国人民解放军广东省军区授予梅关大队“三</w:t>
      </w:r>
      <w:r>
        <w:rPr>
          <w:rFonts w:hint="eastAsia" w:ascii="宋体" w:hAnsi="宋体"/>
          <w:szCs w:val="21"/>
        </w:rPr>
        <w:t>八”民兵班“艰苦创业模范民兵班”称号。</w:t>
      </w:r>
    </w:p>
    <w:p w14:paraId="33A0F5C4">
      <w:pPr>
        <w:ind w:firstLine="420"/>
        <w:rPr>
          <w:rFonts w:ascii="宋体" w:hAnsi="宋体"/>
          <w:szCs w:val="21"/>
        </w:rPr>
      </w:pPr>
      <w:r>
        <w:rPr>
          <w:rFonts w:hint="eastAsia" w:ascii="宋体" w:hAnsi="宋体"/>
          <w:szCs w:val="21"/>
        </w:rPr>
        <w:t>冬，全县农村普遍实行包产到户，即家庭联产承包责任制。</w:t>
      </w:r>
    </w:p>
    <w:p w14:paraId="7F58BD87">
      <w:pPr>
        <w:ind w:firstLine="420"/>
        <w:rPr>
          <w:rFonts w:ascii="宋体" w:hAnsi="宋体"/>
          <w:szCs w:val="21"/>
        </w:rPr>
      </w:pPr>
      <w:r>
        <w:rPr>
          <w:rFonts w:hint="eastAsia" w:ascii="宋体" w:hAnsi="宋体"/>
          <w:szCs w:val="21"/>
        </w:rPr>
        <w:t>是年，普遍推广杂交水稻，全县粮食亩产</w:t>
      </w:r>
      <w:r>
        <w:rPr>
          <w:rFonts w:ascii="宋体" w:hAnsi="宋体"/>
          <w:szCs w:val="21"/>
        </w:rPr>
        <w:t>515公斤。</w:t>
      </w:r>
    </w:p>
    <w:p w14:paraId="3C3215A9">
      <w:pPr>
        <w:pStyle w:val="4"/>
        <w:rPr>
          <w:rFonts w:ascii="宋体" w:hAnsi="宋体"/>
        </w:rPr>
      </w:pPr>
      <w:r>
        <w:rPr>
          <w:rFonts w:ascii="宋体" w:hAnsi="宋体"/>
        </w:rPr>
        <w:t>1982年</w:t>
      </w:r>
    </w:p>
    <w:p w14:paraId="6FC49F44">
      <w:pPr>
        <w:ind w:firstLine="420"/>
        <w:rPr>
          <w:rFonts w:ascii="宋体" w:hAnsi="宋体"/>
          <w:szCs w:val="21"/>
        </w:rPr>
      </w:pPr>
      <w:r>
        <w:rPr>
          <w:rFonts w:ascii="宋体" w:hAnsi="宋体"/>
          <w:szCs w:val="21"/>
        </w:rPr>
        <w:t>7月，全国开展第三次人口普查。全县有67115户，396662人。</w:t>
      </w:r>
    </w:p>
    <w:p w14:paraId="69C1EBB8">
      <w:pPr>
        <w:ind w:firstLine="420"/>
        <w:rPr>
          <w:rFonts w:ascii="宋体" w:hAnsi="宋体"/>
          <w:szCs w:val="21"/>
        </w:rPr>
      </w:pPr>
      <w:r>
        <w:rPr>
          <w:rFonts w:ascii="宋体" w:hAnsi="宋体"/>
          <w:szCs w:val="21"/>
        </w:rPr>
        <w:t>8月，坪岗大桥建成通车。该桥于1981年11月动工，双曲拱桥，长118米。</w:t>
      </w:r>
    </w:p>
    <w:p w14:paraId="1C068DF0">
      <w:pPr>
        <w:ind w:firstLine="420"/>
        <w:rPr>
          <w:rFonts w:ascii="宋体" w:hAnsi="宋体"/>
          <w:szCs w:val="21"/>
        </w:rPr>
      </w:pPr>
      <w:r>
        <w:rPr>
          <w:rFonts w:ascii="宋体" w:hAnsi="宋体"/>
          <w:szCs w:val="21"/>
        </w:rPr>
        <w:t>9月，广东省广播电视大学南雄工作站招收首届学员。1984年5月改为南雄广播</w:t>
      </w:r>
      <w:r>
        <w:rPr>
          <w:rFonts w:hint="eastAsia" w:ascii="宋体" w:hAnsi="宋体"/>
          <w:szCs w:val="21"/>
        </w:rPr>
        <w:t>电视大学。</w:t>
      </w:r>
    </w:p>
    <w:p w14:paraId="2296CC9F">
      <w:pPr>
        <w:ind w:firstLine="420"/>
        <w:rPr>
          <w:rFonts w:ascii="宋体" w:hAnsi="宋体"/>
          <w:szCs w:val="21"/>
        </w:rPr>
      </w:pPr>
      <w:r>
        <w:rPr>
          <w:rFonts w:ascii="宋体" w:hAnsi="宋体"/>
          <w:szCs w:val="21"/>
        </w:rPr>
        <w:t>9月，南雄县第一中学校舍建成开学</w:t>
      </w:r>
      <w:r>
        <w:rPr>
          <w:rFonts w:hint="eastAsia" w:ascii="宋体" w:hAnsi="宋体"/>
          <w:szCs w:val="21"/>
        </w:rPr>
        <w:t>。</w:t>
      </w:r>
    </w:p>
    <w:p w14:paraId="28F6F11C">
      <w:pPr>
        <w:ind w:firstLine="420"/>
        <w:rPr>
          <w:rFonts w:ascii="宋体" w:hAnsi="宋体"/>
          <w:szCs w:val="21"/>
        </w:rPr>
      </w:pPr>
      <w:r>
        <w:rPr>
          <w:rFonts w:ascii="宋体" w:hAnsi="宋体"/>
          <w:szCs w:val="21"/>
        </w:rPr>
        <w:t>10月，县博物馆在新田龙口山发现3座汉墓，出土陶器、铜镜、青铜矛、铁环</w:t>
      </w:r>
      <w:r>
        <w:rPr>
          <w:rFonts w:hint="eastAsia" w:ascii="宋体" w:hAnsi="宋体"/>
          <w:szCs w:val="21"/>
        </w:rPr>
        <w:t>手刀等文物</w:t>
      </w:r>
      <w:r>
        <w:rPr>
          <w:rFonts w:ascii="宋体" w:hAnsi="宋体"/>
          <w:szCs w:val="21"/>
        </w:rPr>
        <w:t>30多件。</w:t>
      </w:r>
    </w:p>
    <w:p w14:paraId="17D90792">
      <w:pPr>
        <w:ind w:firstLine="420"/>
        <w:rPr>
          <w:rFonts w:ascii="宋体" w:hAnsi="宋体"/>
          <w:szCs w:val="21"/>
        </w:rPr>
      </w:pPr>
      <w:r>
        <w:rPr>
          <w:rFonts w:ascii="宋体" w:hAnsi="宋体"/>
          <w:szCs w:val="21"/>
        </w:rPr>
        <w:t>11月初，温州柑丰收，总产300多吨。南雄自1973年开始推广温州柑，经10年</w:t>
      </w:r>
      <w:r>
        <w:rPr>
          <w:rFonts w:hint="eastAsia" w:ascii="宋体" w:hAnsi="宋体"/>
          <w:szCs w:val="21"/>
        </w:rPr>
        <w:t>努力，全县有柑树</w:t>
      </w:r>
      <w:r>
        <w:rPr>
          <w:rFonts w:ascii="宋体" w:hAnsi="宋体"/>
          <w:szCs w:val="21"/>
        </w:rPr>
        <w:t>35万株，投产5万株</w:t>
      </w:r>
      <w:r>
        <w:rPr>
          <w:rFonts w:hint="eastAsia" w:ascii="宋体" w:hAnsi="宋体"/>
          <w:szCs w:val="21"/>
        </w:rPr>
        <w:t>。</w:t>
      </w:r>
    </w:p>
    <w:p w14:paraId="3554F662">
      <w:pPr>
        <w:ind w:firstLine="420"/>
        <w:rPr>
          <w:rFonts w:ascii="宋体" w:hAnsi="宋体"/>
          <w:szCs w:val="21"/>
        </w:rPr>
      </w:pPr>
      <w:r>
        <w:rPr>
          <w:rFonts w:ascii="宋体" w:hAnsi="宋体"/>
          <w:szCs w:val="21"/>
        </w:rPr>
        <w:t>12月，经省、市考核验收，南雄县为基本消灭丝虫病县和基本消灭疟疾县。</w:t>
      </w:r>
    </w:p>
    <w:p w14:paraId="4C0560C3">
      <w:pPr>
        <w:ind w:firstLine="420"/>
        <w:rPr>
          <w:rFonts w:ascii="宋体" w:hAnsi="宋体"/>
          <w:szCs w:val="21"/>
        </w:rPr>
      </w:pPr>
      <w:r>
        <w:rPr>
          <w:rFonts w:ascii="宋体" w:hAnsi="宋体"/>
          <w:szCs w:val="21"/>
        </w:rPr>
        <w:t>12月26日至29日，县委、县政府首次召开建设社会主义精神文明、开展“五</w:t>
      </w:r>
      <w:r>
        <w:rPr>
          <w:rFonts w:hint="eastAsia" w:ascii="宋体" w:hAnsi="宋体"/>
          <w:szCs w:val="21"/>
        </w:rPr>
        <w:t>讲四美”活动先进集体和先进个人代表大会。</w:t>
      </w:r>
    </w:p>
    <w:p w14:paraId="7AC43BC9">
      <w:pPr>
        <w:pStyle w:val="4"/>
        <w:rPr>
          <w:rFonts w:ascii="宋体" w:hAnsi="宋体"/>
        </w:rPr>
      </w:pPr>
      <w:r>
        <w:rPr>
          <w:rFonts w:ascii="宋体" w:hAnsi="宋体"/>
        </w:rPr>
        <w:t>1983年</w:t>
      </w:r>
    </w:p>
    <w:p w14:paraId="358F75E7">
      <w:pPr>
        <w:ind w:firstLine="420"/>
        <w:rPr>
          <w:rFonts w:ascii="宋体" w:hAnsi="宋体"/>
          <w:szCs w:val="21"/>
        </w:rPr>
      </w:pPr>
      <w:r>
        <w:rPr>
          <w:rFonts w:ascii="宋体" w:hAnsi="宋体"/>
          <w:szCs w:val="21"/>
        </w:rPr>
        <w:t>1月24日至27日，县委、县政府首次召开劳动致富经验交流会，表彰鼓励致富</w:t>
      </w:r>
      <w:r>
        <w:rPr>
          <w:rFonts w:hint="eastAsia" w:ascii="宋体" w:hAnsi="宋体"/>
          <w:szCs w:val="21"/>
        </w:rPr>
        <w:t>农民。</w:t>
      </w:r>
    </w:p>
    <w:p w14:paraId="57FEFACE">
      <w:pPr>
        <w:ind w:firstLine="420"/>
        <w:rPr>
          <w:rFonts w:ascii="宋体" w:hAnsi="宋体"/>
          <w:szCs w:val="21"/>
        </w:rPr>
      </w:pPr>
      <w:r>
        <w:rPr>
          <w:rFonts w:ascii="宋体" w:hAnsi="宋体"/>
          <w:szCs w:val="21"/>
        </w:rPr>
        <w:t>3月28日，瀑布水库严重滑坡，经6000人7昼夜抢救脱险。</w:t>
      </w:r>
    </w:p>
    <w:p w14:paraId="72A3C949">
      <w:pPr>
        <w:ind w:firstLine="420"/>
        <w:rPr>
          <w:rFonts w:ascii="宋体" w:hAnsi="宋体"/>
          <w:szCs w:val="21"/>
        </w:rPr>
      </w:pPr>
      <w:r>
        <w:rPr>
          <w:rFonts w:ascii="宋体" w:hAnsi="宋体"/>
          <w:szCs w:val="21"/>
        </w:rPr>
        <w:t>4月29日凌晨，部分地区遭受大风袭击，最大风力7级，阵风9级，受灾的有黄</w:t>
      </w:r>
      <w:r>
        <w:rPr>
          <w:rFonts w:hint="eastAsia" w:ascii="宋体" w:hAnsi="宋体"/>
          <w:szCs w:val="21"/>
        </w:rPr>
        <w:t>坑、邓坊、大塘、乌迳、孔江、新龙、界址、湖口、珠玑、城镇</w:t>
      </w:r>
      <w:r>
        <w:rPr>
          <w:rFonts w:ascii="宋体" w:hAnsi="宋体"/>
          <w:szCs w:val="21"/>
        </w:rPr>
        <w:t>10个公社的60个大</w:t>
      </w:r>
      <w:r>
        <w:rPr>
          <w:rFonts w:hint="eastAsia" w:ascii="宋体" w:hAnsi="宋体"/>
          <w:szCs w:val="21"/>
        </w:rPr>
        <w:t>队，倒塌房屋</w:t>
      </w:r>
      <w:r>
        <w:rPr>
          <w:rFonts w:ascii="宋体" w:hAnsi="宋体"/>
          <w:szCs w:val="21"/>
        </w:rPr>
        <w:t>88间，烟寮、牛猪栏、厕所245间，学校课室98间。</w:t>
      </w:r>
    </w:p>
    <w:p w14:paraId="25DFC373">
      <w:pPr>
        <w:ind w:firstLine="420"/>
        <w:rPr>
          <w:rFonts w:ascii="宋体" w:hAnsi="宋体"/>
          <w:szCs w:val="21"/>
        </w:rPr>
      </w:pPr>
      <w:r>
        <w:rPr>
          <w:rFonts w:ascii="宋体" w:hAnsi="宋体"/>
          <w:szCs w:val="21"/>
        </w:rPr>
        <w:t>7月，帽子峰电站正式投产，装机容量2100千瓦</w:t>
      </w:r>
      <w:r>
        <w:rPr>
          <w:rFonts w:hint="eastAsia" w:ascii="宋体" w:hAnsi="宋体"/>
          <w:szCs w:val="21"/>
        </w:rPr>
        <w:t>。</w:t>
      </w:r>
    </w:p>
    <w:p w14:paraId="5A72434B">
      <w:pPr>
        <w:ind w:firstLine="420"/>
        <w:rPr>
          <w:rFonts w:ascii="宋体" w:hAnsi="宋体"/>
          <w:szCs w:val="21"/>
        </w:rPr>
      </w:pPr>
      <w:r>
        <w:rPr>
          <w:rFonts w:ascii="宋体" w:hAnsi="宋体"/>
          <w:szCs w:val="21"/>
        </w:rPr>
        <w:t>8月2日至5日，中共韶关市委在南雄县召开修建校舍现场会议，省委常委杨应</w:t>
      </w:r>
      <w:r>
        <w:rPr>
          <w:rFonts w:hint="eastAsia" w:ascii="宋体" w:hAnsi="宋体"/>
          <w:szCs w:val="21"/>
        </w:rPr>
        <w:t>彬、副省长王屏山、省教育厅党组书记杨子江分别在会上讲话。现场会结束后，各地</w:t>
      </w:r>
      <w:r>
        <w:rPr>
          <w:rFonts w:ascii="宋体" w:hAnsi="宋体"/>
          <w:szCs w:val="21"/>
        </w:rPr>
        <w:t>5</w:t>
      </w:r>
      <w:r>
        <w:rPr>
          <w:rFonts w:hint="eastAsia" w:ascii="宋体" w:hAnsi="宋体"/>
          <w:szCs w:val="21"/>
        </w:rPr>
        <w:t>0</w:t>
      </w:r>
      <w:r>
        <w:rPr>
          <w:rFonts w:ascii="宋体" w:hAnsi="宋体"/>
          <w:szCs w:val="21"/>
        </w:rPr>
        <w:t>00多人先后前来参观</w:t>
      </w:r>
      <w:r>
        <w:rPr>
          <w:rFonts w:hint="eastAsia" w:ascii="宋体" w:hAnsi="宋体"/>
          <w:szCs w:val="21"/>
        </w:rPr>
        <w:t>。</w:t>
      </w:r>
    </w:p>
    <w:p w14:paraId="3C4D93F8">
      <w:pPr>
        <w:ind w:firstLine="420"/>
        <w:rPr>
          <w:rFonts w:ascii="宋体" w:hAnsi="宋体"/>
          <w:szCs w:val="21"/>
        </w:rPr>
      </w:pPr>
      <w:r>
        <w:rPr>
          <w:rFonts w:ascii="宋体" w:hAnsi="宋体"/>
          <w:szCs w:val="21"/>
        </w:rPr>
        <w:t>8月，部署严惩严重危害社会治安的犯罪分子工作，3年为期，分为3个战役。1985年9月结束。第一个战役，抓获各种犯罪分子1121人，摧毁各种犯罪团伙54个</w:t>
      </w:r>
      <w:r>
        <w:rPr>
          <w:rFonts w:hint="eastAsia" w:ascii="宋体" w:hAnsi="宋体"/>
          <w:szCs w:val="21"/>
        </w:rPr>
        <w:t>。</w:t>
      </w:r>
    </w:p>
    <w:p w14:paraId="07E141E4">
      <w:pPr>
        <w:ind w:firstLine="420"/>
        <w:rPr>
          <w:rFonts w:ascii="宋体" w:hAnsi="宋体"/>
          <w:szCs w:val="21"/>
        </w:rPr>
      </w:pPr>
      <w:r>
        <w:rPr>
          <w:rFonts w:ascii="宋体" w:hAnsi="宋体"/>
          <w:szCs w:val="21"/>
        </w:rPr>
        <w:t>9月至10月间，中国科学院古脊椎动物研究所及西德考察团、县博物馆等考察</w:t>
      </w:r>
      <w:r>
        <w:rPr>
          <w:rFonts w:hint="eastAsia" w:ascii="宋体" w:hAnsi="宋体"/>
          <w:szCs w:val="21"/>
        </w:rPr>
        <w:t>人员在大塘公社杨梅坑首次发现恐龙脚印化石</w:t>
      </w:r>
      <w:r>
        <w:rPr>
          <w:rFonts w:ascii="宋体" w:hAnsi="宋体"/>
          <w:szCs w:val="21"/>
        </w:rPr>
        <w:t>10多个</w:t>
      </w:r>
      <w:r>
        <w:rPr>
          <w:rFonts w:hint="eastAsia" w:ascii="宋体" w:hAnsi="宋体"/>
          <w:szCs w:val="21"/>
        </w:rPr>
        <w:t>。</w:t>
      </w:r>
    </w:p>
    <w:p w14:paraId="4E338D5E">
      <w:pPr>
        <w:ind w:firstLine="420"/>
        <w:rPr>
          <w:rFonts w:ascii="宋体" w:hAnsi="宋体"/>
          <w:szCs w:val="21"/>
        </w:rPr>
      </w:pPr>
      <w:r>
        <w:rPr>
          <w:rFonts w:ascii="宋体" w:hAnsi="宋体"/>
          <w:szCs w:val="21"/>
        </w:rPr>
        <w:t>11月，实行政社分开，建立乡政权。以原公社设区，全县设23个区，1个区级</w:t>
      </w:r>
      <w:r>
        <w:rPr>
          <w:rFonts w:hint="eastAsia" w:ascii="宋体" w:hAnsi="宋体"/>
          <w:szCs w:val="21"/>
        </w:rPr>
        <w:t>镇（城关镇）；以原来</w:t>
      </w:r>
      <w:r>
        <w:rPr>
          <w:rFonts w:ascii="宋体" w:hAnsi="宋体"/>
          <w:szCs w:val="21"/>
        </w:rPr>
        <w:t>208个大队调整为173个乡，城关镇的5个大队改为管理区。</w:t>
      </w:r>
    </w:p>
    <w:p w14:paraId="746AC4F8">
      <w:pPr>
        <w:ind w:firstLine="420"/>
        <w:rPr>
          <w:rFonts w:ascii="宋体" w:hAnsi="宋体"/>
          <w:szCs w:val="21"/>
        </w:rPr>
      </w:pPr>
      <w:r>
        <w:rPr>
          <w:rFonts w:ascii="宋体" w:hAnsi="宋体"/>
          <w:szCs w:val="21"/>
        </w:rPr>
        <w:t>12月，三影塔修茸工程竣工，开放游览。</w:t>
      </w:r>
    </w:p>
    <w:p w14:paraId="04A81FAA">
      <w:pPr>
        <w:ind w:firstLine="420"/>
        <w:rPr>
          <w:rFonts w:ascii="宋体" w:hAnsi="宋体"/>
          <w:szCs w:val="21"/>
        </w:rPr>
      </w:pPr>
      <w:r>
        <w:rPr>
          <w:rFonts w:hint="eastAsia" w:ascii="宋体" w:hAnsi="宋体"/>
          <w:szCs w:val="21"/>
        </w:rPr>
        <w:t>是年，经省验收，全县小学基本实现“一无两有”，即：校校无危房，班班有教室，学生人人有课桌椅；并基本实现普及小学教育。</w:t>
      </w:r>
    </w:p>
    <w:p w14:paraId="439BDF53">
      <w:pPr>
        <w:ind w:firstLine="420"/>
        <w:rPr>
          <w:rFonts w:ascii="宋体" w:hAnsi="宋体"/>
          <w:szCs w:val="21"/>
        </w:rPr>
      </w:pPr>
      <w:r>
        <w:rPr>
          <w:rFonts w:hint="eastAsia" w:ascii="宋体" w:hAnsi="宋体"/>
          <w:szCs w:val="21"/>
        </w:rPr>
        <w:t>是年，全县计划生育工作有较大突破，人口自然增长率为</w:t>
      </w:r>
      <w:r>
        <w:rPr>
          <w:rFonts w:ascii="宋体" w:hAnsi="宋体"/>
          <w:szCs w:val="21"/>
        </w:rPr>
        <w:t>7.93‰，比1982年的12.12‰下降4.19个千分点</w:t>
      </w:r>
      <w:r>
        <w:rPr>
          <w:rFonts w:hint="eastAsia" w:ascii="宋体" w:hAnsi="宋体"/>
          <w:szCs w:val="21"/>
        </w:rPr>
        <w:t>。</w:t>
      </w:r>
    </w:p>
    <w:p w14:paraId="3A615B21">
      <w:pPr>
        <w:pStyle w:val="4"/>
        <w:rPr>
          <w:rFonts w:ascii="宋体" w:hAnsi="宋体"/>
        </w:rPr>
      </w:pPr>
      <w:r>
        <w:rPr>
          <w:rFonts w:ascii="宋体" w:hAnsi="宋体"/>
        </w:rPr>
        <w:t>1984年</w:t>
      </w:r>
    </w:p>
    <w:p w14:paraId="71F5908D">
      <w:pPr>
        <w:ind w:firstLine="420"/>
        <w:rPr>
          <w:rFonts w:ascii="宋体" w:hAnsi="宋体"/>
          <w:szCs w:val="21"/>
        </w:rPr>
      </w:pPr>
      <w:r>
        <w:rPr>
          <w:rFonts w:ascii="宋体" w:hAnsi="宋体"/>
          <w:szCs w:val="21"/>
        </w:rPr>
        <w:t>2月至3月，选举第七届县、乡镇人民代表大会代表，98.6%的选民参加选举</w:t>
      </w:r>
      <w:r>
        <w:rPr>
          <w:rFonts w:hint="eastAsia" w:ascii="宋体" w:hAnsi="宋体"/>
          <w:szCs w:val="21"/>
        </w:rPr>
        <w:t>。</w:t>
      </w:r>
    </w:p>
    <w:p w14:paraId="29B26823">
      <w:pPr>
        <w:ind w:firstLine="420"/>
        <w:rPr>
          <w:rFonts w:ascii="宋体" w:hAnsi="宋体"/>
          <w:szCs w:val="21"/>
        </w:rPr>
      </w:pPr>
      <w:r>
        <w:rPr>
          <w:rFonts w:ascii="宋体" w:hAnsi="宋体"/>
          <w:szCs w:val="21"/>
        </w:rPr>
        <w:t>6月25日至29日，县第七届人民代表大会第一次会议召开。选举产生县人大常</w:t>
      </w:r>
      <w:r>
        <w:rPr>
          <w:rFonts w:hint="eastAsia" w:ascii="宋体" w:hAnsi="宋体"/>
          <w:szCs w:val="21"/>
        </w:rPr>
        <w:t>委会，主任黄登军。选举县人民政府县长、副县长，县长黄武君。</w:t>
      </w:r>
    </w:p>
    <w:p w14:paraId="45ED68B5">
      <w:pPr>
        <w:ind w:firstLine="420"/>
        <w:rPr>
          <w:rFonts w:ascii="宋体" w:hAnsi="宋体"/>
          <w:szCs w:val="21"/>
        </w:rPr>
      </w:pPr>
      <w:r>
        <w:rPr>
          <w:rFonts w:ascii="宋体" w:hAnsi="宋体"/>
          <w:szCs w:val="21"/>
        </w:rPr>
        <w:t>6月24日至30日，中国人民政治协商会议南雄县第二届委员会第一次全体会议</w:t>
      </w:r>
      <w:r>
        <w:rPr>
          <w:rFonts w:hint="eastAsia" w:ascii="宋体" w:hAnsi="宋体"/>
          <w:szCs w:val="21"/>
        </w:rPr>
        <w:t>召开。选举产生县政协常务委员会，主席黄铁坚。</w:t>
      </w:r>
    </w:p>
    <w:p w14:paraId="3670DADF">
      <w:pPr>
        <w:ind w:firstLine="420"/>
        <w:rPr>
          <w:rFonts w:ascii="宋体" w:hAnsi="宋体"/>
          <w:szCs w:val="21"/>
        </w:rPr>
      </w:pPr>
      <w:r>
        <w:rPr>
          <w:rFonts w:ascii="宋体" w:hAnsi="宋体"/>
          <w:szCs w:val="21"/>
        </w:rPr>
        <w:t>7月30日，全安区的全安乡、杨沥乡和城关镇莲塘乡一带受龙卷风袭击，倒塌</w:t>
      </w:r>
      <w:r>
        <w:rPr>
          <w:rFonts w:hint="eastAsia" w:ascii="宋体" w:hAnsi="宋体"/>
          <w:szCs w:val="21"/>
        </w:rPr>
        <w:t>房屋</w:t>
      </w:r>
      <w:r>
        <w:rPr>
          <w:rFonts w:ascii="宋体" w:hAnsi="宋体"/>
          <w:szCs w:val="21"/>
        </w:rPr>
        <w:t>152间，窑棚31间，围墙1607米，课室3间，中学礼堂1间，死4人，重伤9</w:t>
      </w:r>
      <w:r>
        <w:rPr>
          <w:rFonts w:hint="eastAsia" w:ascii="宋体" w:hAnsi="宋体"/>
          <w:szCs w:val="21"/>
        </w:rPr>
        <w:t>人，轻伤</w:t>
      </w:r>
      <w:r>
        <w:rPr>
          <w:rFonts w:ascii="宋体" w:hAnsi="宋体"/>
          <w:szCs w:val="21"/>
        </w:rPr>
        <w:t>103人</w:t>
      </w:r>
      <w:r>
        <w:rPr>
          <w:rFonts w:hint="eastAsia" w:ascii="宋体" w:hAnsi="宋体"/>
          <w:szCs w:val="21"/>
        </w:rPr>
        <w:t>。</w:t>
      </w:r>
    </w:p>
    <w:p w14:paraId="039A6B43">
      <w:pPr>
        <w:ind w:firstLine="420"/>
        <w:rPr>
          <w:rFonts w:ascii="宋体" w:hAnsi="宋体"/>
          <w:szCs w:val="21"/>
        </w:rPr>
      </w:pPr>
      <w:r>
        <w:rPr>
          <w:rFonts w:ascii="宋体" w:hAnsi="宋体"/>
          <w:szCs w:val="21"/>
        </w:rPr>
        <w:t>7月，繁荣路农贸市场建成开张，建筑面积1759平方米</w:t>
      </w:r>
      <w:r>
        <w:rPr>
          <w:rFonts w:hint="eastAsia" w:ascii="宋体" w:hAnsi="宋体"/>
          <w:szCs w:val="21"/>
        </w:rPr>
        <w:t>。</w:t>
      </w:r>
    </w:p>
    <w:p w14:paraId="6F69BD1E">
      <w:pPr>
        <w:ind w:firstLine="420"/>
        <w:rPr>
          <w:rFonts w:ascii="宋体" w:hAnsi="宋体"/>
          <w:szCs w:val="21"/>
        </w:rPr>
      </w:pPr>
      <w:r>
        <w:rPr>
          <w:rFonts w:ascii="宋体" w:hAnsi="宋体"/>
          <w:szCs w:val="21"/>
        </w:rPr>
        <w:t>8月7日，珠玑区祗芫乡遭受龙卷风袭击，倒塌住房22间，杂屋26间，死2人</w:t>
      </w:r>
      <w:r>
        <w:rPr>
          <w:rFonts w:hint="eastAsia" w:ascii="宋体" w:hAnsi="宋体"/>
          <w:szCs w:val="21"/>
        </w:rPr>
        <w:t>，重伤</w:t>
      </w:r>
      <w:r>
        <w:rPr>
          <w:rFonts w:ascii="宋体" w:hAnsi="宋体"/>
          <w:szCs w:val="21"/>
        </w:rPr>
        <w:t>6人，轻伤14人</w:t>
      </w:r>
      <w:r>
        <w:rPr>
          <w:rFonts w:hint="eastAsia" w:ascii="宋体" w:hAnsi="宋体"/>
          <w:szCs w:val="21"/>
        </w:rPr>
        <w:t>。</w:t>
      </w:r>
    </w:p>
    <w:p w14:paraId="5044AC69">
      <w:pPr>
        <w:ind w:firstLine="420"/>
        <w:rPr>
          <w:rFonts w:ascii="宋体" w:hAnsi="宋体"/>
          <w:szCs w:val="21"/>
        </w:rPr>
      </w:pPr>
      <w:r>
        <w:rPr>
          <w:rFonts w:ascii="宋体" w:hAnsi="宋体"/>
          <w:szCs w:val="21"/>
        </w:rPr>
        <w:t>8月24日至26日，中共南雄县第五次代表大会召开。选举产生第五届县委员会</w:t>
      </w:r>
      <w:r>
        <w:rPr>
          <w:rFonts w:hint="eastAsia" w:ascii="宋体" w:hAnsi="宋体"/>
          <w:szCs w:val="21"/>
        </w:rPr>
        <w:t>和纪律检查委员会，县委书记肖有根，纪委书记陈庆泉。</w:t>
      </w:r>
    </w:p>
    <w:p w14:paraId="534BF930">
      <w:pPr>
        <w:ind w:firstLine="420"/>
        <w:rPr>
          <w:rFonts w:ascii="宋体" w:hAnsi="宋体"/>
          <w:szCs w:val="21"/>
        </w:rPr>
      </w:pPr>
      <w:r>
        <w:rPr>
          <w:rFonts w:ascii="宋体" w:hAnsi="宋体"/>
          <w:szCs w:val="21"/>
        </w:rPr>
        <w:t>11月30日，中共南雄县委发出《关于成立南雄县地方志编纂委员会》的通知，</w:t>
      </w:r>
      <w:r>
        <w:rPr>
          <w:rFonts w:hint="eastAsia" w:ascii="宋体" w:hAnsi="宋体"/>
          <w:szCs w:val="21"/>
        </w:rPr>
        <w:t>并成立办公室。</w:t>
      </w:r>
    </w:p>
    <w:p w14:paraId="4BFBF564">
      <w:pPr>
        <w:ind w:firstLine="420"/>
        <w:rPr>
          <w:rFonts w:ascii="宋体" w:hAnsi="宋体"/>
          <w:szCs w:val="21"/>
        </w:rPr>
      </w:pPr>
      <w:r>
        <w:rPr>
          <w:rFonts w:ascii="宋体" w:hAnsi="宋体"/>
          <w:szCs w:val="21"/>
        </w:rPr>
        <w:t>11月，河南110千伏安变电站扩建工程竣工投产</w:t>
      </w:r>
      <w:r>
        <w:rPr>
          <w:rFonts w:hint="eastAsia" w:ascii="宋体" w:hAnsi="宋体"/>
          <w:szCs w:val="21"/>
        </w:rPr>
        <w:t>。</w:t>
      </w:r>
    </w:p>
    <w:p w14:paraId="42D057B6">
      <w:pPr>
        <w:ind w:firstLine="420"/>
        <w:rPr>
          <w:rFonts w:ascii="宋体" w:hAnsi="宋体"/>
          <w:szCs w:val="21"/>
        </w:rPr>
      </w:pPr>
      <w:r>
        <w:rPr>
          <w:rFonts w:ascii="宋体" w:hAnsi="宋体"/>
          <w:szCs w:val="21"/>
        </w:rPr>
        <w:t>12月，南雄体育队参加省市运动会比赛，获得16块金牌。县一中教师谢崇金获</w:t>
      </w:r>
      <w:r>
        <w:rPr>
          <w:rFonts w:hint="eastAsia" w:ascii="宋体" w:hAnsi="宋体"/>
          <w:szCs w:val="21"/>
        </w:rPr>
        <w:t>全省马拉松跑第一名。</w:t>
      </w:r>
    </w:p>
    <w:p w14:paraId="13ECFE38">
      <w:pPr>
        <w:ind w:firstLine="420"/>
        <w:rPr>
          <w:rFonts w:ascii="宋体" w:hAnsi="宋体"/>
          <w:szCs w:val="21"/>
        </w:rPr>
      </w:pPr>
      <w:r>
        <w:rPr>
          <w:rFonts w:ascii="宋体" w:hAnsi="宋体"/>
          <w:szCs w:val="21"/>
        </w:rPr>
        <w:t>12月，在五里山兴建100瓦电视差转台</w:t>
      </w:r>
      <w:r>
        <w:rPr>
          <w:rFonts w:hint="eastAsia" w:ascii="宋体" w:hAnsi="宋体"/>
          <w:szCs w:val="21"/>
        </w:rPr>
        <w:t>。</w:t>
      </w:r>
    </w:p>
    <w:p w14:paraId="3FDD22D0">
      <w:pPr>
        <w:ind w:firstLine="420"/>
        <w:rPr>
          <w:rFonts w:ascii="宋体" w:hAnsi="宋体"/>
          <w:szCs w:val="21"/>
        </w:rPr>
      </w:pPr>
      <w:r>
        <w:rPr>
          <w:rFonts w:hint="eastAsia" w:ascii="宋体" w:hAnsi="宋体"/>
          <w:szCs w:val="21"/>
        </w:rPr>
        <w:t>是年，修复珠玑古巷，新建“珠玑楼”、“珠玑街”门楼和护塔亭，用卵石重铺古巷道。</w:t>
      </w:r>
    </w:p>
    <w:p w14:paraId="0E0014DB">
      <w:pPr>
        <w:pStyle w:val="4"/>
        <w:rPr>
          <w:rFonts w:ascii="宋体" w:hAnsi="宋体"/>
        </w:rPr>
      </w:pPr>
      <w:r>
        <w:rPr>
          <w:rFonts w:ascii="宋体" w:hAnsi="宋体"/>
        </w:rPr>
        <w:t>1985年</w:t>
      </w:r>
    </w:p>
    <w:p w14:paraId="6C601E60">
      <w:pPr>
        <w:ind w:firstLine="420"/>
        <w:rPr>
          <w:rFonts w:ascii="宋体" w:hAnsi="宋体"/>
          <w:szCs w:val="21"/>
        </w:rPr>
      </w:pPr>
      <w:r>
        <w:rPr>
          <w:rFonts w:ascii="宋体" w:hAnsi="宋体"/>
          <w:szCs w:val="21"/>
        </w:rPr>
        <w:t>1月10日至15日，全国水土保持小流域治理试点汇报会暨珠江流域水土保持协</w:t>
      </w:r>
      <w:r>
        <w:rPr>
          <w:rFonts w:hint="eastAsia" w:ascii="宋体" w:hAnsi="宋体"/>
          <w:szCs w:val="21"/>
        </w:rPr>
        <w:t>调会在南雄召开。会议肯定了南雄</w:t>
      </w:r>
      <w:r>
        <w:rPr>
          <w:rFonts w:ascii="宋体" w:hAnsi="宋体"/>
          <w:szCs w:val="21"/>
        </w:rPr>
        <w:t>5年试点成效。1996年经省、市、县三级验收合</w:t>
      </w:r>
      <w:r>
        <w:rPr>
          <w:rFonts w:hint="eastAsia" w:ascii="宋体" w:hAnsi="宋体"/>
          <w:szCs w:val="21"/>
        </w:rPr>
        <w:t>格，发证竖碑。</w:t>
      </w:r>
    </w:p>
    <w:p w14:paraId="1E804D16">
      <w:pPr>
        <w:ind w:firstLine="420"/>
        <w:rPr>
          <w:rFonts w:ascii="宋体" w:hAnsi="宋体"/>
          <w:szCs w:val="21"/>
        </w:rPr>
      </w:pPr>
      <w:r>
        <w:rPr>
          <w:rFonts w:ascii="宋体" w:hAnsi="宋体"/>
          <w:szCs w:val="21"/>
        </w:rPr>
        <w:t>3月27日晚，局部地区出现雷雨大风和冰雹，最大风力11级～12级，冰雹直径3厘米～5厘米，大的达30厘米。受灾的有城关镇和黄坑、大塘、乌迳、百顺、黎</w:t>
      </w:r>
      <w:r>
        <w:rPr>
          <w:rFonts w:hint="eastAsia" w:ascii="宋体" w:hAnsi="宋体"/>
          <w:szCs w:val="21"/>
        </w:rPr>
        <w:t>口、全安</w:t>
      </w:r>
      <w:r>
        <w:rPr>
          <w:rFonts w:ascii="宋体" w:hAnsi="宋体"/>
          <w:szCs w:val="21"/>
        </w:rPr>
        <w:t>6个区共55个乡，其中重灾16个村，倒塌房屋668间，杂屋1400多间，</w:t>
      </w:r>
      <w:r>
        <w:rPr>
          <w:rFonts w:hint="eastAsia" w:ascii="宋体" w:hAnsi="宋体"/>
          <w:szCs w:val="21"/>
        </w:rPr>
        <w:t>压死</w:t>
      </w:r>
      <w:r>
        <w:rPr>
          <w:rFonts w:ascii="宋体" w:hAnsi="宋体"/>
          <w:szCs w:val="21"/>
        </w:rPr>
        <w:t>9人，轻伤58人。大风刮去黄烟422.</w:t>
      </w:r>
      <w:r>
        <w:rPr>
          <w:rFonts w:hint="eastAsia" w:ascii="宋体" w:hAnsi="宋体"/>
          <w:szCs w:val="21"/>
        </w:rPr>
        <w:t>9</w:t>
      </w:r>
      <w:r>
        <w:rPr>
          <w:rFonts w:ascii="宋体" w:hAnsi="宋体"/>
          <w:szCs w:val="21"/>
        </w:rPr>
        <w:t>3公顷，拔木25169株，折断水泥电线杆422根，直接损失300多万元。省委常委凌伯棠、市委书记袁炳焕、副市长钟基年等</w:t>
      </w:r>
      <w:r>
        <w:rPr>
          <w:rFonts w:hint="eastAsia" w:ascii="宋体" w:hAnsi="宋体"/>
          <w:szCs w:val="21"/>
        </w:rPr>
        <w:t>亲临灾区视察、指导救灾工作，全县城乡干部群众捐献救灾现金</w:t>
      </w:r>
      <w:r>
        <w:rPr>
          <w:rFonts w:ascii="宋体" w:hAnsi="宋体"/>
          <w:szCs w:val="21"/>
        </w:rPr>
        <w:t>83000多元，粮票值6万多公斤，稻谷19吨，衣物18000多件，其他物资一大批</w:t>
      </w:r>
      <w:r>
        <w:rPr>
          <w:rFonts w:hint="eastAsia" w:ascii="宋体" w:hAnsi="宋体"/>
          <w:szCs w:val="21"/>
        </w:rPr>
        <w:t>。</w:t>
      </w:r>
    </w:p>
    <w:p w14:paraId="68A6F006">
      <w:pPr>
        <w:ind w:firstLine="420"/>
        <w:rPr>
          <w:rFonts w:ascii="宋体" w:hAnsi="宋体"/>
          <w:szCs w:val="21"/>
        </w:rPr>
      </w:pPr>
      <w:r>
        <w:rPr>
          <w:rFonts w:ascii="宋体" w:hAnsi="宋体"/>
          <w:szCs w:val="21"/>
        </w:rPr>
        <w:t>6月16日，县城开设公共汽车，从汽车站到氮肥厂，行程约4公里，深受群众</w:t>
      </w:r>
      <w:r>
        <w:rPr>
          <w:rFonts w:hint="eastAsia" w:ascii="宋体" w:hAnsi="宋体"/>
          <w:szCs w:val="21"/>
        </w:rPr>
        <w:t>欢迎。</w:t>
      </w:r>
      <w:r>
        <w:rPr>
          <w:rFonts w:ascii="宋体" w:hAnsi="宋体"/>
          <w:szCs w:val="21"/>
        </w:rPr>
        <w:t>10月16日起公共汽车增到2辆。</w:t>
      </w:r>
    </w:p>
    <w:p w14:paraId="27A1A025">
      <w:pPr>
        <w:ind w:firstLine="420"/>
        <w:rPr>
          <w:rFonts w:ascii="宋体" w:hAnsi="宋体"/>
          <w:szCs w:val="21"/>
        </w:rPr>
      </w:pPr>
      <w:r>
        <w:rPr>
          <w:rFonts w:ascii="宋体" w:hAnsi="宋体"/>
          <w:szCs w:val="21"/>
        </w:rPr>
        <w:t>6月，城关镇水南新城区开发工程破土动工，规划1.34平方公里。</w:t>
      </w:r>
    </w:p>
    <w:p w14:paraId="16548E67">
      <w:pPr>
        <w:ind w:firstLine="420"/>
        <w:rPr>
          <w:rFonts w:ascii="宋体" w:hAnsi="宋体"/>
          <w:szCs w:val="21"/>
        </w:rPr>
      </w:pPr>
      <w:r>
        <w:rPr>
          <w:rFonts w:ascii="宋体" w:hAnsi="宋体"/>
          <w:szCs w:val="21"/>
        </w:rPr>
        <w:t>7月，县人大常委会作出《关于用五年时间在全县普及法律常识的决定》。此后，</w:t>
      </w:r>
      <w:r>
        <w:rPr>
          <w:rFonts w:hint="eastAsia" w:ascii="宋体" w:hAnsi="宋体"/>
          <w:szCs w:val="21"/>
        </w:rPr>
        <w:t>在全县干部群众中有计划地进行《中华人民共和国宪法》、《中华人民共和国刑法》、《中华人民共和国刑事诉讼法》、《中华人民共和国民法通则》、《中华人民共和国民事诉讼法》、《中华人民共和国婚姻法》、《中华人民共和国继承法》、《中华人民共和国经济合同法》、《中华人民共和国森林法》、《中华人民共和国兵役法》、《治安管理处罚条例》的学习。此项工作至</w:t>
      </w:r>
      <w:r>
        <w:rPr>
          <w:rFonts w:ascii="宋体" w:hAnsi="宋体"/>
          <w:szCs w:val="21"/>
        </w:rPr>
        <w:t>1990年完成</w:t>
      </w:r>
      <w:r>
        <w:rPr>
          <w:rFonts w:hint="eastAsia" w:ascii="宋体" w:hAnsi="宋体"/>
          <w:szCs w:val="21"/>
        </w:rPr>
        <w:t>。</w:t>
      </w:r>
    </w:p>
    <w:p w14:paraId="5AF30DAB">
      <w:pPr>
        <w:ind w:firstLine="420"/>
        <w:rPr>
          <w:rFonts w:ascii="宋体" w:hAnsi="宋体"/>
          <w:szCs w:val="21"/>
        </w:rPr>
      </w:pPr>
      <w:r>
        <w:rPr>
          <w:rFonts w:ascii="宋体" w:hAnsi="宋体"/>
          <w:szCs w:val="21"/>
        </w:rPr>
        <w:t>10月1日，县城光明农贸市场（面积2016平方米）和宾阳门农贸市场（面积1210平方米）建成，投入使用。</w:t>
      </w:r>
    </w:p>
    <w:p w14:paraId="1604699C">
      <w:pPr>
        <w:ind w:firstLine="420"/>
        <w:rPr>
          <w:rFonts w:ascii="宋体" w:hAnsi="宋体"/>
          <w:szCs w:val="21"/>
        </w:rPr>
      </w:pPr>
      <w:r>
        <w:rPr>
          <w:rFonts w:ascii="宋体" w:hAnsi="宋体"/>
          <w:szCs w:val="21"/>
        </w:rPr>
        <w:t>12月30日下午4时，县城1000门自动电话开通。</w:t>
      </w:r>
    </w:p>
    <w:p w14:paraId="2C6276A9">
      <w:pPr>
        <w:ind w:firstLine="420"/>
        <w:rPr>
          <w:rFonts w:ascii="宋体" w:hAnsi="宋体"/>
          <w:szCs w:val="21"/>
        </w:rPr>
      </w:pPr>
      <w:r>
        <w:rPr>
          <w:rFonts w:hint="eastAsia" w:ascii="宋体" w:hAnsi="宋体"/>
          <w:szCs w:val="21"/>
        </w:rPr>
        <w:t>是年，南雄县运动员在韶关市第七届运动会上，获得</w:t>
      </w:r>
      <w:r>
        <w:rPr>
          <w:rFonts w:ascii="宋体" w:hAnsi="宋体"/>
          <w:szCs w:val="21"/>
        </w:rPr>
        <w:t>31块金牌、7块铜牌，武</w:t>
      </w:r>
      <w:r>
        <w:rPr>
          <w:rFonts w:hint="eastAsia" w:ascii="宋体" w:hAnsi="宋体"/>
          <w:szCs w:val="21"/>
        </w:rPr>
        <w:t>术一项囊括</w:t>
      </w:r>
      <w:r>
        <w:rPr>
          <w:rFonts w:ascii="宋体" w:hAnsi="宋体"/>
          <w:szCs w:val="21"/>
        </w:rPr>
        <w:t>17块金牌</w:t>
      </w:r>
      <w:r>
        <w:rPr>
          <w:rFonts w:hint="eastAsia" w:ascii="宋体" w:hAnsi="宋体"/>
          <w:szCs w:val="21"/>
        </w:rPr>
        <w:t>。</w:t>
      </w:r>
    </w:p>
    <w:p w14:paraId="2EC8C99B">
      <w:pPr>
        <w:ind w:firstLine="420"/>
        <w:rPr>
          <w:rFonts w:ascii="宋体" w:hAnsi="宋体"/>
          <w:szCs w:val="21"/>
        </w:rPr>
      </w:pPr>
      <w:r>
        <w:rPr>
          <w:rFonts w:hint="eastAsia" w:ascii="宋体" w:hAnsi="宋体"/>
          <w:szCs w:val="21"/>
        </w:rPr>
        <w:t>是年，浓香型优质烤烟</w:t>
      </w:r>
      <w:r>
        <w:rPr>
          <w:rFonts w:ascii="宋体" w:hAnsi="宋体"/>
          <w:szCs w:val="21"/>
        </w:rPr>
        <w:t>G28推广成功，种植面积1866.67公顷，总产3000吨。</w:t>
      </w:r>
    </w:p>
    <w:p w14:paraId="505DF9EA">
      <w:pPr>
        <w:pStyle w:val="4"/>
        <w:rPr>
          <w:rFonts w:ascii="宋体" w:hAnsi="宋体"/>
        </w:rPr>
      </w:pPr>
      <w:r>
        <w:rPr>
          <w:rFonts w:ascii="宋体" w:hAnsi="宋体"/>
        </w:rPr>
        <w:t>1986年</w:t>
      </w:r>
    </w:p>
    <w:p w14:paraId="40BA8FB5">
      <w:pPr>
        <w:ind w:firstLine="420"/>
        <w:rPr>
          <w:rFonts w:ascii="宋体" w:hAnsi="宋体"/>
          <w:szCs w:val="21"/>
        </w:rPr>
      </w:pPr>
      <w:r>
        <w:rPr>
          <w:rFonts w:ascii="宋体" w:hAnsi="宋体"/>
          <w:szCs w:val="21"/>
        </w:rPr>
        <w:t>2月27日至3月1日，连续3天大雪，县城积雪深2.3厘米</w:t>
      </w:r>
      <w:r>
        <w:rPr>
          <w:rFonts w:hint="eastAsia" w:ascii="宋体" w:hAnsi="宋体"/>
          <w:szCs w:val="21"/>
        </w:rPr>
        <w:t>。</w:t>
      </w:r>
    </w:p>
    <w:p w14:paraId="033FA26F">
      <w:pPr>
        <w:ind w:firstLine="420"/>
        <w:rPr>
          <w:rFonts w:ascii="宋体" w:hAnsi="宋体"/>
          <w:szCs w:val="21"/>
        </w:rPr>
      </w:pPr>
      <w:r>
        <w:rPr>
          <w:rFonts w:ascii="宋体" w:hAnsi="宋体"/>
          <w:szCs w:val="21"/>
        </w:rPr>
        <w:t>3月31日，省府批准南雄县城关镇更名为雄州镇</w:t>
      </w:r>
      <w:r>
        <w:rPr>
          <w:rFonts w:hint="eastAsia" w:ascii="宋体" w:hAnsi="宋体"/>
          <w:szCs w:val="21"/>
        </w:rPr>
        <w:t>。</w:t>
      </w:r>
    </w:p>
    <w:p w14:paraId="451C9C5A">
      <w:pPr>
        <w:ind w:firstLine="420"/>
        <w:rPr>
          <w:rFonts w:ascii="宋体" w:hAnsi="宋体"/>
          <w:szCs w:val="21"/>
        </w:rPr>
      </w:pPr>
      <w:r>
        <w:rPr>
          <w:rFonts w:ascii="宋体" w:hAnsi="宋体"/>
          <w:szCs w:val="21"/>
        </w:rPr>
        <w:t>3月，国家计划生育委员会授予南雄县和县计划生育委员会、县人民医院、江头</w:t>
      </w:r>
      <w:r>
        <w:rPr>
          <w:rFonts w:hint="eastAsia" w:ascii="宋体" w:hAnsi="宋体"/>
          <w:szCs w:val="21"/>
        </w:rPr>
        <w:t>区、水口区大部乡</w:t>
      </w:r>
      <w:r>
        <w:rPr>
          <w:rFonts w:ascii="宋体" w:hAnsi="宋体"/>
          <w:szCs w:val="21"/>
        </w:rPr>
        <w:t>5个单位为“全国计划生育先进集体”称号。</w:t>
      </w:r>
    </w:p>
    <w:p w14:paraId="12B77534">
      <w:pPr>
        <w:ind w:firstLine="420"/>
        <w:rPr>
          <w:rFonts w:ascii="宋体" w:hAnsi="宋体"/>
          <w:szCs w:val="21"/>
        </w:rPr>
      </w:pPr>
      <w:r>
        <w:rPr>
          <w:rFonts w:ascii="宋体" w:hAnsi="宋体"/>
          <w:szCs w:val="21"/>
        </w:rPr>
        <w:t>7月24日，地面电视卫星接收站在县城建成投入使用</w:t>
      </w:r>
      <w:r>
        <w:rPr>
          <w:rFonts w:hint="eastAsia" w:ascii="宋体" w:hAnsi="宋体"/>
          <w:szCs w:val="21"/>
        </w:rPr>
        <w:t>。</w:t>
      </w:r>
    </w:p>
    <w:p w14:paraId="565F5999">
      <w:pPr>
        <w:ind w:firstLine="420"/>
        <w:rPr>
          <w:rFonts w:ascii="宋体" w:hAnsi="宋体"/>
          <w:szCs w:val="21"/>
        </w:rPr>
      </w:pPr>
      <w:r>
        <w:rPr>
          <w:rFonts w:ascii="宋体" w:hAnsi="宋体"/>
          <w:szCs w:val="21"/>
        </w:rPr>
        <w:t>8月，旱，晚稻受旱9533.</w:t>
      </w:r>
      <w:r>
        <w:rPr>
          <w:rFonts w:hint="eastAsia" w:ascii="宋体" w:hAnsi="宋体"/>
          <w:szCs w:val="21"/>
        </w:rPr>
        <w:t>3</w:t>
      </w:r>
      <w:r>
        <w:rPr>
          <w:rFonts w:ascii="宋体" w:hAnsi="宋体"/>
          <w:szCs w:val="21"/>
        </w:rPr>
        <w:t>3多公顷，占晚稻的50%，其中晒死2933.33公顷，</w:t>
      </w:r>
      <w:r>
        <w:rPr>
          <w:rFonts w:hint="eastAsia" w:ascii="宋体" w:hAnsi="宋体"/>
          <w:szCs w:val="21"/>
        </w:rPr>
        <w:t>稻谷减产</w:t>
      </w:r>
      <w:r>
        <w:rPr>
          <w:rFonts w:ascii="宋体" w:hAnsi="宋体"/>
          <w:szCs w:val="21"/>
        </w:rPr>
        <w:t>2.46万吨</w:t>
      </w:r>
      <w:r>
        <w:rPr>
          <w:rFonts w:hint="eastAsia" w:ascii="宋体" w:hAnsi="宋体"/>
          <w:szCs w:val="21"/>
        </w:rPr>
        <w:t>。</w:t>
      </w:r>
    </w:p>
    <w:p w14:paraId="6D14633B">
      <w:pPr>
        <w:ind w:firstLine="420"/>
        <w:rPr>
          <w:rFonts w:ascii="宋体" w:hAnsi="宋体"/>
          <w:szCs w:val="21"/>
        </w:rPr>
      </w:pPr>
      <w:r>
        <w:rPr>
          <w:rFonts w:ascii="宋体" w:hAnsi="宋体"/>
          <w:szCs w:val="21"/>
        </w:rPr>
        <w:t>9月，国家教育委员会授予南雄县为“全国基础教育先进县”称号</w:t>
      </w:r>
      <w:r>
        <w:rPr>
          <w:rFonts w:hint="eastAsia" w:ascii="宋体" w:hAnsi="宋体"/>
          <w:szCs w:val="21"/>
        </w:rPr>
        <w:t>。</w:t>
      </w:r>
    </w:p>
    <w:p w14:paraId="55DDBA8F">
      <w:pPr>
        <w:ind w:firstLine="420"/>
        <w:rPr>
          <w:rFonts w:ascii="宋体" w:hAnsi="宋体"/>
          <w:szCs w:val="21"/>
        </w:rPr>
      </w:pPr>
      <w:r>
        <w:rPr>
          <w:rFonts w:ascii="宋体" w:hAnsi="宋体"/>
          <w:szCs w:val="21"/>
        </w:rPr>
        <w:t>11月，撤区建乡。原23个区改为12个乡、11个镇，保留雄州镇。原173个乡，</w:t>
      </w:r>
      <w:r>
        <w:rPr>
          <w:rFonts w:hint="eastAsia" w:ascii="宋体" w:hAnsi="宋体"/>
          <w:szCs w:val="21"/>
        </w:rPr>
        <w:t>划为</w:t>
      </w:r>
      <w:r>
        <w:rPr>
          <w:rFonts w:ascii="宋体" w:hAnsi="宋体"/>
          <w:szCs w:val="21"/>
        </w:rPr>
        <w:t>211个村民委员会，17个居民委员会</w:t>
      </w:r>
      <w:r>
        <w:rPr>
          <w:rFonts w:hint="eastAsia" w:ascii="宋体" w:hAnsi="宋体"/>
          <w:szCs w:val="21"/>
        </w:rPr>
        <w:t>。</w:t>
      </w:r>
    </w:p>
    <w:p w14:paraId="63C1E4D8">
      <w:pPr>
        <w:ind w:firstLine="420"/>
        <w:rPr>
          <w:rFonts w:ascii="宋体" w:hAnsi="宋体"/>
          <w:szCs w:val="21"/>
        </w:rPr>
      </w:pPr>
      <w:r>
        <w:rPr>
          <w:rFonts w:ascii="宋体" w:hAnsi="宋体"/>
          <w:szCs w:val="21"/>
        </w:rPr>
        <w:t>11月18日至24日，省人民政府在南雄县召开改燃节柴现场会议。副省长凌伯</w:t>
      </w:r>
      <w:r>
        <w:rPr>
          <w:rFonts w:hint="eastAsia" w:ascii="宋体" w:hAnsi="宋体"/>
          <w:szCs w:val="21"/>
        </w:rPr>
        <w:t>棠主持会议。到会干部参观南雄“五改”现场。“五改”即机关食堂改烧柴为烧煤，机关干部城镇居民改烧柴为烧煤或烧石油气，农村炉灶改烧柴为烧煤或烧沼气，砖瓦窑改烧柴为烧煤，烤烟改烧柴为烧煤。</w:t>
      </w:r>
    </w:p>
    <w:p w14:paraId="2F947259">
      <w:pPr>
        <w:ind w:firstLine="420"/>
        <w:rPr>
          <w:rFonts w:ascii="宋体" w:hAnsi="宋体"/>
          <w:szCs w:val="21"/>
        </w:rPr>
      </w:pPr>
      <w:r>
        <w:rPr>
          <w:rFonts w:ascii="宋体" w:hAnsi="宋体"/>
          <w:szCs w:val="21"/>
        </w:rPr>
        <w:t>11月，进行第八届县、乡（镇）人民代表大会代表选举工作，至次年3月结束，94.1%的选民参加选举。</w:t>
      </w:r>
    </w:p>
    <w:p w14:paraId="6882D561">
      <w:pPr>
        <w:ind w:firstLine="420"/>
        <w:rPr>
          <w:rFonts w:ascii="宋体" w:hAnsi="宋体"/>
          <w:szCs w:val="21"/>
        </w:rPr>
      </w:pPr>
      <w:r>
        <w:rPr>
          <w:rFonts w:ascii="宋体" w:hAnsi="宋体"/>
          <w:szCs w:val="21"/>
        </w:rPr>
        <w:t>12月5日，苍石电站工程建成发电，装机容量3750千瓦</w:t>
      </w:r>
      <w:r>
        <w:rPr>
          <w:rFonts w:hint="eastAsia" w:ascii="宋体" w:hAnsi="宋体"/>
          <w:szCs w:val="21"/>
        </w:rPr>
        <w:t>。</w:t>
      </w:r>
    </w:p>
    <w:p w14:paraId="60F4B833">
      <w:pPr>
        <w:ind w:firstLine="420"/>
        <w:rPr>
          <w:rFonts w:ascii="宋体" w:hAnsi="宋体"/>
          <w:szCs w:val="21"/>
        </w:rPr>
      </w:pPr>
      <w:r>
        <w:rPr>
          <w:rFonts w:hint="eastAsia" w:ascii="宋体" w:hAnsi="宋体"/>
          <w:szCs w:val="21"/>
        </w:rPr>
        <w:t>是年，黄烟丰收，种植面积</w:t>
      </w:r>
      <w:r>
        <w:rPr>
          <w:rFonts w:ascii="宋体" w:hAnsi="宋体"/>
          <w:szCs w:val="21"/>
        </w:rPr>
        <w:t>7192.07公顷，总产11130吨。</w:t>
      </w:r>
    </w:p>
    <w:p w14:paraId="59F2CBFB">
      <w:pPr>
        <w:pStyle w:val="4"/>
        <w:rPr>
          <w:rFonts w:ascii="宋体" w:hAnsi="宋体"/>
        </w:rPr>
      </w:pPr>
      <w:r>
        <w:rPr>
          <w:rFonts w:ascii="宋体" w:hAnsi="宋体"/>
        </w:rPr>
        <w:t>1987年</w:t>
      </w:r>
    </w:p>
    <w:p w14:paraId="09512D75">
      <w:pPr>
        <w:ind w:firstLine="420"/>
        <w:rPr>
          <w:rFonts w:ascii="宋体" w:hAnsi="宋体"/>
          <w:szCs w:val="21"/>
        </w:rPr>
      </w:pPr>
      <w:r>
        <w:rPr>
          <w:rFonts w:ascii="宋体" w:hAnsi="宋体"/>
          <w:szCs w:val="21"/>
        </w:rPr>
        <w:t>2月16日，南雄人民广播电台成立</w:t>
      </w:r>
      <w:r>
        <w:rPr>
          <w:rFonts w:hint="eastAsia" w:ascii="宋体" w:hAnsi="宋体"/>
          <w:szCs w:val="21"/>
        </w:rPr>
        <w:t>。</w:t>
      </w:r>
    </w:p>
    <w:p w14:paraId="3474B312">
      <w:pPr>
        <w:ind w:firstLine="420"/>
        <w:rPr>
          <w:rFonts w:ascii="宋体" w:hAnsi="宋体"/>
          <w:szCs w:val="21"/>
        </w:rPr>
      </w:pPr>
      <w:r>
        <w:rPr>
          <w:rFonts w:ascii="宋体" w:hAnsi="宋体"/>
          <w:szCs w:val="21"/>
        </w:rPr>
        <w:t>3月16日至21日，中国人民政治协商会议南雄县第三届委员会第一次会议召</w:t>
      </w:r>
      <w:r>
        <w:rPr>
          <w:rFonts w:hint="eastAsia" w:ascii="宋体" w:hAnsi="宋体"/>
          <w:szCs w:val="21"/>
        </w:rPr>
        <w:t>开。会议选举产生第三届政协常务委员会，主席黄铁坚。</w:t>
      </w:r>
    </w:p>
    <w:p w14:paraId="5E53ED14">
      <w:pPr>
        <w:ind w:firstLine="420"/>
        <w:rPr>
          <w:rFonts w:ascii="宋体" w:hAnsi="宋体"/>
          <w:szCs w:val="21"/>
        </w:rPr>
      </w:pPr>
      <w:r>
        <w:rPr>
          <w:rFonts w:ascii="宋体" w:hAnsi="宋体"/>
          <w:szCs w:val="21"/>
        </w:rPr>
        <w:t>3月17日至20日，县第八届人民代表大会第一次会议召开。大会选举产生县人</w:t>
      </w:r>
      <w:r>
        <w:rPr>
          <w:rFonts w:hint="eastAsia" w:ascii="宋体" w:hAnsi="宋体"/>
          <w:szCs w:val="21"/>
        </w:rPr>
        <w:t>大常委会，主任黄登军。选举产生县人民政府县长、副县长，县长黄武君。</w:t>
      </w:r>
    </w:p>
    <w:p w14:paraId="66ECB2C8">
      <w:pPr>
        <w:ind w:firstLine="420"/>
        <w:rPr>
          <w:rFonts w:ascii="宋体" w:hAnsi="宋体"/>
          <w:szCs w:val="21"/>
        </w:rPr>
      </w:pPr>
      <w:r>
        <w:rPr>
          <w:rFonts w:ascii="宋体" w:hAnsi="宋体"/>
          <w:szCs w:val="21"/>
        </w:rPr>
        <w:t>4月7日至9日，中共南雄县第六次代表大会召开。大会选举产生第六届县委员</w:t>
      </w:r>
      <w:r>
        <w:rPr>
          <w:rFonts w:hint="eastAsia" w:ascii="宋体" w:hAnsi="宋体"/>
          <w:szCs w:val="21"/>
        </w:rPr>
        <w:t>会和纪律检查委员会。县委书记肖有根，纪委书记郭衍全。</w:t>
      </w:r>
    </w:p>
    <w:p w14:paraId="2AB9BFC4">
      <w:pPr>
        <w:ind w:firstLine="420"/>
        <w:rPr>
          <w:rFonts w:ascii="宋体" w:hAnsi="宋体"/>
          <w:szCs w:val="21"/>
        </w:rPr>
      </w:pPr>
      <w:r>
        <w:rPr>
          <w:rFonts w:ascii="宋体" w:hAnsi="宋体"/>
          <w:szCs w:val="21"/>
        </w:rPr>
        <w:t>5月，中国民主同盟南雄小组成立，次年7月发展为南雄支部</w:t>
      </w:r>
      <w:r>
        <w:rPr>
          <w:rFonts w:hint="eastAsia" w:ascii="宋体" w:hAnsi="宋体"/>
          <w:szCs w:val="21"/>
        </w:rPr>
        <w:t>。</w:t>
      </w:r>
    </w:p>
    <w:p w14:paraId="099A4C53">
      <w:pPr>
        <w:ind w:firstLine="420"/>
        <w:rPr>
          <w:rFonts w:ascii="宋体" w:hAnsi="宋体"/>
          <w:szCs w:val="21"/>
        </w:rPr>
      </w:pPr>
      <w:r>
        <w:rPr>
          <w:rFonts w:ascii="宋体" w:hAnsi="宋体"/>
          <w:szCs w:val="21"/>
        </w:rPr>
        <w:t>6月，广东省、韶关市、南雄县三级社会科学联合会联合发起，在南雄县举办南</w:t>
      </w:r>
      <w:r>
        <w:rPr>
          <w:rFonts w:hint="eastAsia" w:ascii="宋体" w:hAnsi="宋体"/>
          <w:szCs w:val="21"/>
        </w:rPr>
        <w:t>雄山区经济发展研讨会。来自北京、广州等地专家学者共同研讨南雄山区经济发展的路子。会后，人民出版社出版《南雄特色研究》一书。</w:t>
      </w:r>
    </w:p>
    <w:p w14:paraId="4B6D6032">
      <w:pPr>
        <w:ind w:firstLine="420"/>
        <w:rPr>
          <w:rFonts w:ascii="宋体" w:hAnsi="宋体"/>
          <w:szCs w:val="21"/>
        </w:rPr>
      </w:pPr>
      <w:r>
        <w:rPr>
          <w:rFonts w:ascii="宋体" w:hAnsi="宋体"/>
          <w:szCs w:val="21"/>
        </w:rPr>
        <w:t>7月，国家财政部、中国贸易工会全国委员会授予南雄县税务局为“全国财税系</w:t>
      </w:r>
      <w:r>
        <w:rPr>
          <w:rFonts w:hint="eastAsia" w:ascii="宋体" w:hAnsi="宋体"/>
          <w:szCs w:val="21"/>
        </w:rPr>
        <w:t>统先进集体”称号。</w:t>
      </w:r>
    </w:p>
    <w:p w14:paraId="1227C538">
      <w:pPr>
        <w:ind w:firstLine="420"/>
        <w:rPr>
          <w:rFonts w:ascii="宋体" w:hAnsi="宋体"/>
          <w:szCs w:val="21"/>
        </w:rPr>
      </w:pPr>
      <w:r>
        <w:rPr>
          <w:rFonts w:ascii="宋体" w:hAnsi="宋体"/>
          <w:szCs w:val="21"/>
        </w:rPr>
        <w:t>8月2日18时零9分，县城地震，约为3.6级</w:t>
      </w:r>
      <w:r>
        <w:rPr>
          <w:rFonts w:hint="eastAsia" w:ascii="宋体" w:hAnsi="宋体"/>
          <w:szCs w:val="21"/>
        </w:rPr>
        <w:t>。</w:t>
      </w:r>
    </w:p>
    <w:p w14:paraId="1020491F">
      <w:pPr>
        <w:ind w:firstLine="420"/>
        <w:rPr>
          <w:rFonts w:ascii="宋体" w:hAnsi="宋体"/>
          <w:szCs w:val="21"/>
        </w:rPr>
      </w:pPr>
      <w:r>
        <w:rPr>
          <w:rFonts w:ascii="宋体" w:hAnsi="宋体"/>
          <w:szCs w:val="21"/>
        </w:rPr>
        <w:t>8月6日，县人民政府发出关于蓝氏群众恢复畲族民族成分的通知。1988年2</w:t>
      </w:r>
      <w:r>
        <w:rPr>
          <w:rFonts w:hint="eastAsia" w:ascii="宋体" w:hAnsi="宋体"/>
          <w:szCs w:val="21"/>
        </w:rPr>
        <w:t>月，又发出恢复雷氏群众畲族民族成分的通知。至</w:t>
      </w:r>
      <w:r>
        <w:rPr>
          <w:rFonts w:ascii="宋体" w:hAnsi="宋体"/>
          <w:szCs w:val="21"/>
        </w:rPr>
        <w:t>1988年底，全县畲族有935户</w:t>
      </w:r>
      <w:r>
        <w:rPr>
          <w:rFonts w:hint="eastAsia" w:ascii="宋体" w:hAnsi="宋体"/>
          <w:szCs w:val="21"/>
        </w:rPr>
        <w:t>，</w:t>
      </w:r>
      <w:r>
        <w:rPr>
          <w:rFonts w:ascii="宋体" w:hAnsi="宋体"/>
          <w:szCs w:val="21"/>
        </w:rPr>
        <w:t>5266人。</w:t>
      </w:r>
    </w:p>
    <w:p w14:paraId="3E327630">
      <w:pPr>
        <w:ind w:firstLine="420"/>
        <w:rPr>
          <w:rFonts w:ascii="宋体" w:hAnsi="宋体"/>
          <w:szCs w:val="21"/>
        </w:rPr>
      </w:pPr>
      <w:r>
        <w:rPr>
          <w:rFonts w:ascii="宋体" w:hAnsi="宋体"/>
          <w:szCs w:val="21"/>
        </w:rPr>
        <w:t>10月，省国防体育运动员到南雄表演射击、飞碟、摩托车技、航空模型、跳伞，</w:t>
      </w:r>
      <w:r>
        <w:rPr>
          <w:rFonts w:hint="eastAsia" w:ascii="宋体" w:hAnsi="宋体"/>
          <w:szCs w:val="21"/>
        </w:rPr>
        <w:t>观众近</w:t>
      </w:r>
      <w:r>
        <w:rPr>
          <w:rFonts w:ascii="宋体" w:hAnsi="宋体"/>
          <w:szCs w:val="21"/>
        </w:rPr>
        <w:t>10万人</w:t>
      </w:r>
      <w:r>
        <w:rPr>
          <w:rFonts w:hint="eastAsia" w:ascii="宋体" w:hAnsi="宋体"/>
          <w:szCs w:val="21"/>
        </w:rPr>
        <w:t>。</w:t>
      </w:r>
    </w:p>
    <w:p w14:paraId="18470E3C">
      <w:pPr>
        <w:ind w:firstLine="420"/>
        <w:rPr>
          <w:rFonts w:ascii="宋体" w:hAnsi="宋体"/>
          <w:szCs w:val="21"/>
        </w:rPr>
      </w:pPr>
      <w:r>
        <w:rPr>
          <w:rFonts w:ascii="宋体" w:hAnsi="宋体"/>
          <w:szCs w:val="21"/>
        </w:rPr>
        <w:t>11月23日至25日，县委召开扩大会议，贯彻中共十三次全国代表大会精神，</w:t>
      </w:r>
      <w:r>
        <w:rPr>
          <w:rFonts w:hint="eastAsia" w:ascii="宋体" w:hAnsi="宋体"/>
          <w:szCs w:val="21"/>
        </w:rPr>
        <w:t>学习社会主义初级阶段理论和党的基本路线，动员全党坚持改革开放方针，为实现南雄经济腾飞而努力。</w:t>
      </w:r>
    </w:p>
    <w:p w14:paraId="3EA948E8">
      <w:pPr>
        <w:ind w:firstLine="420"/>
        <w:rPr>
          <w:rFonts w:ascii="宋体" w:hAnsi="宋体"/>
          <w:szCs w:val="21"/>
        </w:rPr>
      </w:pPr>
      <w:r>
        <w:rPr>
          <w:rFonts w:ascii="宋体" w:hAnsi="宋体"/>
          <w:szCs w:val="21"/>
        </w:rPr>
        <w:t>12月，全国木材节约代用会议授予南雄县人民政府为“全国木材节约代用先进</w:t>
      </w:r>
      <w:r>
        <w:rPr>
          <w:rFonts w:hint="eastAsia" w:ascii="宋体" w:hAnsi="宋体"/>
          <w:szCs w:val="21"/>
        </w:rPr>
        <w:t>单位”称号。</w:t>
      </w:r>
    </w:p>
    <w:p w14:paraId="33BA2036">
      <w:pPr>
        <w:ind w:firstLine="420"/>
        <w:rPr>
          <w:rFonts w:ascii="宋体" w:hAnsi="宋体"/>
          <w:szCs w:val="21"/>
        </w:rPr>
      </w:pPr>
      <w:r>
        <w:rPr>
          <w:rFonts w:hint="eastAsia" w:ascii="宋体" w:hAnsi="宋体"/>
          <w:szCs w:val="21"/>
        </w:rPr>
        <w:t>是年，森林保护取得明显效益，全县森林生长量</w:t>
      </w:r>
      <w:r>
        <w:rPr>
          <w:rFonts w:ascii="宋体" w:hAnsi="宋体"/>
          <w:szCs w:val="21"/>
        </w:rPr>
        <w:t>22.5万立方米，消耗量12万立</w:t>
      </w:r>
      <w:r>
        <w:rPr>
          <w:rFonts w:hint="eastAsia" w:ascii="宋体" w:hAnsi="宋体"/>
          <w:szCs w:val="21"/>
        </w:rPr>
        <w:t>方米。扭转了消耗量大于生长量的不良状况。</w:t>
      </w:r>
    </w:p>
    <w:p w14:paraId="323225C6">
      <w:pPr>
        <w:ind w:firstLine="420"/>
        <w:rPr>
          <w:rFonts w:ascii="宋体" w:hAnsi="宋体"/>
          <w:szCs w:val="21"/>
        </w:rPr>
      </w:pPr>
      <w:r>
        <w:rPr>
          <w:rFonts w:hint="eastAsia" w:ascii="宋体" w:hAnsi="宋体"/>
          <w:szCs w:val="21"/>
        </w:rPr>
        <w:t>是年，全县产业结构起了重大变化，工业产值第一次超过农业产值，工农业产值的比重为</w:t>
      </w:r>
      <w:r>
        <w:rPr>
          <w:rFonts w:ascii="宋体" w:hAnsi="宋体"/>
          <w:szCs w:val="21"/>
        </w:rPr>
        <w:t>51.5:48.5</w:t>
      </w:r>
      <w:r>
        <w:rPr>
          <w:rFonts w:hint="eastAsia" w:ascii="宋体" w:hAnsi="宋体"/>
          <w:szCs w:val="21"/>
        </w:rPr>
        <w:t>。</w:t>
      </w:r>
    </w:p>
    <w:p w14:paraId="5E5DAF1C">
      <w:pPr>
        <w:ind w:firstLine="420"/>
        <w:rPr>
          <w:rFonts w:ascii="宋体" w:hAnsi="宋体"/>
          <w:szCs w:val="21"/>
        </w:rPr>
      </w:pPr>
      <w:r>
        <w:rPr>
          <w:rFonts w:hint="eastAsia" w:ascii="宋体" w:hAnsi="宋体"/>
          <w:szCs w:val="21"/>
        </w:rPr>
        <w:t>是年，县中医院建成开诊。</w:t>
      </w:r>
    </w:p>
    <w:p w14:paraId="180E9828">
      <w:pPr>
        <w:pStyle w:val="4"/>
        <w:rPr>
          <w:rFonts w:ascii="宋体" w:hAnsi="宋体"/>
        </w:rPr>
      </w:pPr>
      <w:r>
        <w:rPr>
          <w:rFonts w:ascii="宋体" w:hAnsi="宋体"/>
        </w:rPr>
        <w:t>1988年</w:t>
      </w:r>
    </w:p>
    <w:p w14:paraId="6A156D41">
      <w:pPr>
        <w:ind w:firstLine="420"/>
        <w:rPr>
          <w:rFonts w:ascii="宋体" w:hAnsi="宋体"/>
          <w:szCs w:val="21"/>
        </w:rPr>
      </w:pPr>
      <w:r>
        <w:rPr>
          <w:rFonts w:ascii="宋体" w:hAnsi="宋体"/>
          <w:szCs w:val="21"/>
        </w:rPr>
        <w:t>4月8日，县人大八届二次会议选举林志诚为县长。</w:t>
      </w:r>
    </w:p>
    <w:p w14:paraId="53904C11">
      <w:pPr>
        <w:ind w:firstLine="420"/>
        <w:rPr>
          <w:rFonts w:ascii="宋体" w:hAnsi="宋体"/>
          <w:szCs w:val="21"/>
        </w:rPr>
      </w:pPr>
      <w:r>
        <w:rPr>
          <w:rFonts w:ascii="宋体" w:hAnsi="宋体"/>
          <w:szCs w:val="21"/>
        </w:rPr>
        <w:t>4月26日，中共南雄县委作出《关于开展廉洁为民教育活动的决定》，各机关单</w:t>
      </w:r>
      <w:r>
        <w:rPr>
          <w:rFonts w:hint="eastAsia" w:ascii="宋体" w:hAnsi="宋体"/>
          <w:szCs w:val="21"/>
        </w:rPr>
        <w:t>位制定廉洁为民公约。</w:t>
      </w:r>
    </w:p>
    <w:p w14:paraId="35040F46">
      <w:pPr>
        <w:ind w:firstLine="420"/>
        <w:rPr>
          <w:rFonts w:ascii="宋体" w:hAnsi="宋体"/>
          <w:szCs w:val="21"/>
        </w:rPr>
      </w:pPr>
      <w:r>
        <w:rPr>
          <w:rFonts w:ascii="宋体" w:hAnsi="宋体"/>
          <w:szCs w:val="21"/>
        </w:rPr>
        <w:t>5月16日，隆重举行南雄县苏维埃政府成立暨南雄游击根据地建立60周年纪念</w:t>
      </w:r>
      <w:r>
        <w:rPr>
          <w:rFonts w:hint="eastAsia" w:ascii="宋体" w:hAnsi="宋体"/>
          <w:szCs w:val="21"/>
        </w:rPr>
        <w:t>大会，与会</w:t>
      </w:r>
      <w:r>
        <w:rPr>
          <w:rFonts w:ascii="宋体" w:hAnsi="宋体"/>
          <w:szCs w:val="21"/>
        </w:rPr>
        <w:t>6000多人</w:t>
      </w:r>
      <w:r>
        <w:rPr>
          <w:rFonts w:hint="eastAsia" w:ascii="宋体" w:hAnsi="宋体"/>
          <w:szCs w:val="21"/>
        </w:rPr>
        <w:t>。</w:t>
      </w:r>
    </w:p>
    <w:p w14:paraId="0054C176">
      <w:pPr>
        <w:ind w:firstLine="420"/>
        <w:rPr>
          <w:rFonts w:ascii="宋体" w:hAnsi="宋体"/>
          <w:szCs w:val="21"/>
        </w:rPr>
      </w:pPr>
      <w:r>
        <w:rPr>
          <w:rFonts w:ascii="宋体" w:hAnsi="宋体"/>
          <w:szCs w:val="21"/>
        </w:rPr>
        <w:t>7月，县竹制工艺厂应中华人民共和国对外贸易经济合作部中国成套设备出口公</w:t>
      </w:r>
      <w:r>
        <w:rPr>
          <w:rFonts w:hint="eastAsia" w:ascii="宋体" w:hAnsi="宋体"/>
          <w:szCs w:val="21"/>
        </w:rPr>
        <w:t>司聘请，选派本厂罗会武、许志祥与翻译共</w:t>
      </w:r>
      <w:r>
        <w:rPr>
          <w:rFonts w:ascii="宋体" w:hAnsi="宋体"/>
          <w:szCs w:val="21"/>
        </w:rPr>
        <w:t>3人组成中国竹编专家组赴坦桑尼亚培训</w:t>
      </w:r>
      <w:r>
        <w:rPr>
          <w:rFonts w:hint="eastAsia" w:ascii="宋体" w:hAnsi="宋体"/>
          <w:szCs w:val="21"/>
        </w:rPr>
        <w:t>该国竹编工艺人才。</w:t>
      </w:r>
    </w:p>
    <w:p w14:paraId="693A7CEC">
      <w:pPr>
        <w:ind w:firstLine="420"/>
        <w:rPr>
          <w:rFonts w:ascii="宋体" w:hAnsi="宋体"/>
          <w:szCs w:val="21"/>
        </w:rPr>
      </w:pPr>
      <w:r>
        <w:rPr>
          <w:rFonts w:ascii="宋体" w:hAnsi="宋体"/>
          <w:szCs w:val="21"/>
        </w:rPr>
        <w:t>8月5日，中共广东省委书记林若到南雄视察县卷烟厂、花岗石板材厂、竹制工</w:t>
      </w:r>
      <w:r>
        <w:rPr>
          <w:rFonts w:hint="eastAsia" w:ascii="宋体" w:hAnsi="宋体"/>
          <w:szCs w:val="21"/>
        </w:rPr>
        <w:t>艺厂、陶瓷厂、博物馆、雄州镇第二中学和珠玑镇大茶棚沼气村，以及红砂岭整治工程，要求南雄县加速绿化红砂岭。</w:t>
      </w:r>
    </w:p>
    <w:p w14:paraId="3A158409">
      <w:pPr>
        <w:ind w:firstLine="420"/>
        <w:rPr>
          <w:rFonts w:ascii="宋体" w:hAnsi="宋体"/>
          <w:szCs w:val="21"/>
        </w:rPr>
      </w:pPr>
      <w:r>
        <w:rPr>
          <w:rFonts w:ascii="宋体" w:hAnsi="宋体"/>
          <w:szCs w:val="21"/>
        </w:rPr>
        <w:t>9月14日，中共南雄县委、南雄县人民政府发出《关于县党政机关实施十个公</w:t>
      </w:r>
      <w:r>
        <w:rPr>
          <w:rFonts w:hint="eastAsia" w:ascii="宋体" w:hAnsi="宋体"/>
          <w:szCs w:val="21"/>
        </w:rPr>
        <w:t>开的试行规定》。十公开即：公开领导决策、干部考核考评、招工招干、农转非、入学录取、银行贷款、主要物资分配、财政预算、国土使用审批、基建项目审批。</w:t>
      </w:r>
    </w:p>
    <w:p w14:paraId="09DF7B84">
      <w:pPr>
        <w:ind w:firstLine="420"/>
        <w:rPr>
          <w:rFonts w:ascii="宋体" w:hAnsi="宋体"/>
          <w:szCs w:val="21"/>
        </w:rPr>
      </w:pPr>
      <w:r>
        <w:rPr>
          <w:rFonts w:ascii="宋体" w:hAnsi="宋体"/>
          <w:szCs w:val="21"/>
        </w:rPr>
        <w:t>10月，水南新水厂建成投产，日供水2万立方米。</w:t>
      </w:r>
    </w:p>
    <w:p w14:paraId="05AFA675">
      <w:pPr>
        <w:ind w:firstLine="420"/>
        <w:rPr>
          <w:rFonts w:ascii="宋体" w:hAnsi="宋体"/>
          <w:szCs w:val="21"/>
        </w:rPr>
      </w:pPr>
      <w:r>
        <w:rPr>
          <w:rFonts w:ascii="宋体" w:hAnsi="宋体"/>
          <w:szCs w:val="21"/>
        </w:rPr>
        <w:t>11月，国家教育委员会授予雄州镇第二中学为“全国中小学德育先进校”称号</w:t>
      </w:r>
      <w:r>
        <w:rPr>
          <w:rFonts w:hint="eastAsia" w:ascii="宋体" w:hAnsi="宋体"/>
          <w:szCs w:val="21"/>
        </w:rPr>
        <w:t>。</w:t>
      </w:r>
    </w:p>
    <w:p w14:paraId="6AE11476">
      <w:pPr>
        <w:ind w:firstLine="420"/>
        <w:rPr>
          <w:rFonts w:ascii="宋体" w:hAnsi="宋体"/>
          <w:szCs w:val="21"/>
        </w:rPr>
      </w:pPr>
      <w:r>
        <w:rPr>
          <w:rFonts w:ascii="宋体" w:hAnsi="宋体"/>
          <w:szCs w:val="21"/>
        </w:rPr>
        <w:t>11月，广东省社会科学院南雄县山区发展研究所在南雄成立。</w:t>
      </w:r>
    </w:p>
    <w:p w14:paraId="52C5E6D3">
      <w:pPr>
        <w:ind w:firstLine="420"/>
        <w:rPr>
          <w:rFonts w:ascii="宋体" w:hAnsi="宋体"/>
          <w:szCs w:val="21"/>
        </w:rPr>
      </w:pPr>
      <w:r>
        <w:rPr>
          <w:rFonts w:hint="eastAsia" w:ascii="宋体" w:hAnsi="宋体"/>
          <w:szCs w:val="21"/>
        </w:rPr>
        <w:t>是年，县委、县政府以</w:t>
      </w:r>
      <w:r>
        <w:rPr>
          <w:rFonts w:ascii="宋体" w:hAnsi="宋体"/>
          <w:szCs w:val="21"/>
        </w:rPr>
        <w:t>1988年为“黄烟年”，取得显著成绩，黄烟种植面积14593.33公顷，总产21000吨</w:t>
      </w:r>
      <w:r>
        <w:rPr>
          <w:rFonts w:hint="eastAsia" w:ascii="宋体" w:hAnsi="宋体"/>
          <w:szCs w:val="21"/>
        </w:rPr>
        <w:t>。</w:t>
      </w:r>
    </w:p>
    <w:p w14:paraId="4AAF8B06">
      <w:pPr>
        <w:ind w:firstLine="420"/>
        <w:rPr>
          <w:rFonts w:ascii="宋体" w:hAnsi="宋体"/>
          <w:szCs w:val="21"/>
        </w:rPr>
      </w:pPr>
      <w:r>
        <w:rPr>
          <w:rFonts w:hint="eastAsia" w:ascii="宋体" w:hAnsi="宋体"/>
          <w:szCs w:val="21"/>
        </w:rPr>
        <w:t>是年，物价上涨幅度大，南雄县零售物价比</w:t>
      </w:r>
      <w:r>
        <w:rPr>
          <w:rFonts w:ascii="宋体" w:hAnsi="宋体"/>
          <w:szCs w:val="21"/>
        </w:rPr>
        <w:t>1987年上涨32.1%（全省为30.2%，全市为31.9%）；职工生活费用价格上涨31%（全省为29.5%，全市为30.6%）；农民生活费用价格上涨38.6%（全市为31.3%）</w:t>
      </w:r>
      <w:r>
        <w:rPr>
          <w:rFonts w:hint="eastAsia" w:ascii="宋体" w:hAnsi="宋体"/>
          <w:szCs w:val="21"/>
        </w:rPr>
        <w:t>。</w:t>
      </w:r>
    </w:p>
    <w:p w14:paraId="28678681">
      <w:pPr>
        <w:pStyle w:val="4"/>
        <w:rPr>
          <w:rFonts w:ascii="宋体" w:hAnsi="宋体"/>
        </w:rPr>
      </w:pPr>
      <w:r>
        <w:rPr>
          <w:rFonts w:ascii="宋体" w:hAnsi="宋体"/>
        </w:rPr>
        <w:t>1989年</w:t>
      </w:r>
    </w:p>
    <w:p w14:paraId="064938E0">
      <w:pPr>
        <w:ind w:firstLine="420"/>
        <w:rPr>
          <w:rFonts w:ascii="宋体" w:hAnsi="宋体"/>
          <w:szCs w:val="21"/>
        </w:rPr>
      </w:pPr>
      <w:r>
        <w:rPr>
          <w:rFonts w:hint="eastAsia" w:ascii="宋体" w:hAnsi="宋体"/>
          <w:szCs w:val="21"/>
        </w:rPr>
        <w:t>春，县委、县政府精心组织绿化红砂岭战役，出动劳力</w:t>
      </w:r>
      <w:r>
        <w:rPr>
          <w:rFonts w:ascii="宋体" w:hAnsi="宋体"/>
          <w:szCs w:val="21"/>
        </w:rPr>
        <w:t>25000人，整治绿化红砂</w:t>
      </w:r>
      <w:r>
        <w:rPr>
          <w:rFonts w:hint="eastAsia" w:ascii="宋体" w:hAnsi="宋体"/>
          <w:szCs w:val="21"/>
        </w:rPr>
        <w:t>岭</w:t>
      </w:r>
      <w:r>
        <w:rPr>
          <w:rFonts w:ascii="宋体" w:hAnsi="宋体"/>
          <w:szCs w:val="21"/>
        </w:rPr>
        <w:t>1949.4公顷。</w:t>
      </w:r>
    </w:p>
    <w:p w14:paraId="6E77F3AB">
      <w:pPr>
        <w:ind w:firstLine="420"/>
        <w:rPr>
          <w:rFonts w:ascii="宋体" w:hAnsi="宋体"/>
          <w:szCs w:val="21"/>
        </w:rPr>
      </w:pPr>
      <w:r>
        <w:rPr>
          <w:rFonts w:ascii="宋体" w:hAnsi="宋体"/>
          <w:szCs w:val="21"/>
        </w:rPr>
        <w:t>4月22日，南雄电视台成立，县城开通有线电视。</w:t>
      </w:r>
    </w:p>
    <w:p w14:paraId="5135B3C5">
      <w:pPr>
        <w:ind w:firstLine="420"/>
        <w:rPr>
          <w:rFonts w:ascii="宋体" w:hAnsi="宋体"/>
          <w:szCs w:val="21"/>
        </w:rPr>
      </w:pPr>
      <w:r>
        <w:rPr>
          <w:rFonts w:ascii="宋体" w:hAnsi="宋体"/>
          <w:szCs w:val="21"/>
        </w:rPr>
        <w:t>4月，松毛虫为害森林4533.33公顷。县政府首次请广州民航、广州空军进行飞</w:t>
      </w:r>
      <w:r>
        <w:rPr>
          <w:rFonts w:hint="eastAsia" w:ascii="宋体" w:hAnsi="宋体"/>
          <w:szCs w:val="21"/>
        </w:rPr>
        <w:t>机撒药，防治面积</w:t>
      </w:r>
      <w:r>
        <w:rPr>
          <w:rFonts w:ascii="宋体" w:hAnsi="宋体"/>
          <w:szCs w:val="21"/>
        </w:rPr>
        <w:t>5046.67公顷</w:t>
      </w:r>
      <w:r>
        <w:rPr>
          <w:rFonts w:hint="eastAsia" w:ascii="宋体" w:hAnsi="宋体"/>
          <w:szCs w:val="21"/>
        </w:rPr>
        <w:t>。</w:t>
      </w:r>
    </w:p>
    <w:p w14:paraId="549F1D87">
      <w:pPr>
        <w:ind w:firstLine="420"/>
        <w:rPr>
          <w:rFonts w:ascii="宋体" w:hAnsi="宋体"/>
          <w:szCs w:val="21"/>
        </w:rPr>
      </w:pPr>
      <w:r>
        <w:rPr>
          <w:rFonts w:ascii="宋体" w:hAnsi="宋体"/>
          <w:szCs w:val="21"/>
        </w:rPr>
        <w:t>5月至6月，县委组织干部学习中央关于1989年春夏之交发生在北京的政治风</w:t>
      </w:r>
      <w:r>
        <w:rPr>
          <w:rFonts w:hint="eastAsia" w:ascii="宋体" w:hAnsi="宋体"/>
          <w:szCs w:val="21"/>
        </w:rPr>
        <w:t>波的文件，主动消除不安定因素，维护全县安定团结的政治局面。</w:t>
      </w:r>
    </w:p>
    <w:p w14:paraId="7B2BA27F">
      <w:pPr>
        <w:ind w:firstLine="420"/>
        <w:rPr>
          <w:rFonts w:ascii="宋体" w:hAnsi="宋体"/>
          <w:szCs w:val="21"/>
        </w:rPr>
      </w:pPr>
      <w:r>
        <w:rPr>
          <w:rFonts w:ascii="宋体" w:hAnsi="宋体"/>
          <w:szCs w:val="21"/>
        </w:rPr>
        <w:t>7月，根据广东省政府的部署，将原村民委员会改为管理区办事处，原村民小组</w:t>
      </w:r>
      <w:r>
        <w:rPr>
          <w:rFonts w:hint="eastAsia" w:ascii="宋体" w:hAnsi="宋体"/>
          <w:szCs w:val="21"/>
        </w:rPr>
        <w:t>改为村民委员会。全县共设管理区办事处</w:t>
      </w:r>
      <w:r>
        <w:rPr>
          <w:rFonts w:ascii="宋体" w:hAnsi="宋体"/>
          <w:szCs w:val="21"/>
        </w:rPr>
        <w:t>219个。</w:t>
      </w:r>
    </w:p>
    <w:p w14:paraId="0441A77F">
      <w:pPr>
        <w:ind w:firstLine="420"/>
        <w:rPr>
          <w:rFonts w:ascii="宋体" w:hAnsi="宋体"/>
          <w:szCs w:val="21"/>
        </w:rPr>
      </w:pPr>
      <w:r>
        <w:rPr>
          <w:rFonts w:ascii="宋体" w:hAnsi="宋体"/>
          <w:szCs w:val="21"/>
        </w:rPr>
        <w:t>8月5日至9日，省政府、省军区在南雄召开全省民兵工作现场会。</w:t>
      </w:r>
    </w:p>
    <w:p w14:paraId="7A4627CF">
      <w:pPr>
        <w:ind w:firstLine="420"/>
        <w:rPr>
          <w:rFonts w:ascii="宋体" w:hAnsi="宋体"/>
          <w:szCs w:val="21"/>
        </w:rPr>
      </w:pPr>
      <w:r>
        <w:rPr>
          <w:rFonts w:ascii="宋体" w:hAnsi="宋体"/>
          <w:szCs w:val="21"/>
        </w:rPr>
        <w:t>8月，中华人民共和国水利部授予南雄县为“水利建设先进县”称号。</w:t>
      </w:r>
    </w:p>
    <w:p w14:paraId="376CC179">
      <w:pPr>
        <w:ind w:firstLine="420"/>
        <w:rPr>
          <w:rFonts w:ascii="宋体" w:hAnsi="宋体"/>
          <w:szCs w:val="21"/>
        </w:rPr>
      </w:pPr>
      <w:r>
        <w:rPr>
          <w:rFonts w:ascii="宋体" w:hAnsi="宋体"/>
          <w:szCs w:val="21"/>
        </w:rPr>
        <w:t>8月，新城中学开办</w:t>
      </w:r>
      <w:r>
        <w:rPr>
          <w:rFonts w:hint="eastAsia" w:ascii="宋体" w:hAnsi="宋体"/>
          <w:szCs w:val="21"/>
        </w:rPr>
        <w:t>。</w:t>
      </w:r>
    </w:p>
    <w:p w14:paraId="09E8C766">
      <w:pPr>
        <w:ind w:firstLine="420"/>
        <w:rPr>
          <w:rFonts w:ascii="宋体" w:hAnsi="宋体"/>
          <w:szCs w:val="21"/>
        </w:rPr>
      </w:pPr>
      <w:r>
        <w:rPr>
          <w:rFonts w:ascii="宋体" w:hAnsi="宋体"/>
          <w:szCs w:val="21"/>
        </w:rPr>
        <w:t>9月20日至24日，县委举办正科级以上干部学习班，学习中共十三届四中全会</w:t>
      </w:r>
      <w:r>
        <w:rPr>
          <w:rFonts w:hint="eastAsia" w:ascii="宋体" w:hAnsi="宋体"/>
          <w:szCs w:val="21"/>
        </w:rPr>
        <w:t>精神，总结过去忽视思想政治工作和急于求成的教训，思考未来，提高认识，树立信心，继续前进。</w:t>
      </w:r>
    </w:p>
    <w:p w14:paraId="2C8B480A">
      <w:pPr>
        <w:ind w:firstLine="420"/>
        <w:rPr>
          <w:rFonts w:ascii="宋体" w:hAnsi="宋体"/>
          <w:szCs w:val="21"/>
        </w:rPr>
      </w:pPr>
      <w:r>
        <w:rPr>
          <w:rFonts w:ascii="宋体" w:hAnsi="宋体"/>
          <w:szCs w:val="21"/>
        </w:rPr>
        <w:t>12月8日，全国政协副主席、著名科学家钱伟长一行7人到南雄视察。为县政</w:t>
      </w:r>
      <w:r>
        <w:rPr>
          <w:rFonts w:hint="eastAsia" w:ascii="宋体" w:hAnsi="宋体"/>
          <w:szCs w:val="21"/>
        </w:rPr>
        <w:t>府题词：“动员群众，依靠科学，为建设新南雄而努力奋斗”。</w:t>
      </w:r>
    </w:p>
    <w:p w14:paraId="74281527">
      <w:pPr>
        <w:ind w:firstLine="420"/>
        <w:rPr>
          <w:rFonts w:ascii="宋体" w:hAnsi="宋体"/>
          <w:szCs w:val="21"/>
        </w:rPr>
      </w:pPr>
      <w:r>
        <w:rPr>
          <w:rFonts w:ascii="宋体" w:hAnsi="宋体"/>
          <w:szCs w:val="21"/>
        </w:rPr>
        <w:t>12月18日至20日，县委召开六届五次全委扩大会议，贯彻中共十三届五中全</w:t>
      </w:r>
      <w:r>
        <w:rPr>
          <w:rFonts w:hint="eastAsia" w:ascii="宋体" w:hAnsi="宋体"/>
          <w:szCs w:val="21"/>
        </w:rPr>
        <w:t>会精神，坚持整顿治理，深化改革，制定全县国民经济持续、稳定、协调发展的措施。</w:t>
      </w:r>
    </w:p>
    <w:p w14:paraId="1F4B37E0">
      <w:pPr>
        <w:pStyle w:val="4"/>
        <w:rPr>
          <w:rFonts w:ascii="宋体" w:hAnsi="宋体"/>
        </w:rPr>
      </w:pPr>
      <w:r>
        <w:rPr>
          <w:rFonts w:ascii="宋体" w:hAnsi="宋体"/>
        </w:rPr>
        <w:t>1990年</w:t>
      </w:r>
    </w:p>
    <w:p w14:paraId="4178290C">
      <w:pPr>
        <w:ind w:firstLine="420"/>
        <w:rPr>
          <w:rFonts w:ascii="宋体" w:hAnsi="宋体"/>
          <w:szCs w:val="21"/>
        </w:rPr>
      </w:pPr>
      <w:r>
        <w:rPr>
          <w:rFonts w:ascii="宋体" w:hAnsi="宋体"/>
          <w:szCs w:val="21"/>
        </w:rPr>
        <w:t>3月16日至19日，中共南雄县第七次代表大会在县城举行，出席代表373人。</w:t>
      </w:r>
      <w:r>
        <w:rPr>
          <w:rFonts w:hint="eastAsia" w:ascii="宋体" w:hAnsi="宋体"/>
          <w:szCs w:val="21"/>
        </w:rPr>
        <w:t>大会选举产生中共南雄县第七届委员会、中共南雄县纪律检查委员会。吴承建为县委书记，谢兴宏为县纪委书记。</w:t>
      </w:r>
    </w:p>
    <w:p w14:paraId="14A6B121">
      <w:pPr>
        <w:ind w:firstLine="420"/>
        <w:rPr>
          <w:rFonts w:ascii="宋体" w:hAnsi="宋体"/>
          <w:szCs w:val="21"/>
        </w:rPr>
      </w:pPr>
      <w:r>
        <w:rPr>
          <w:rFonts w:ascii="宋体" w:hAnsi="宋体"/>
          <w:szCs w:val="21"/>
        </w:rPr>
        <w:t>3月25日至29日，南雄县第九届人民代表大会第一次会议在县城举行，出席代</w:t>
      </w:r>
      <w:r>
        <w:rPr>
          <w:rFonts w:hint="eastAsia" w:ascii="宋体" w:hAnsi="宋体"/>
          <w:szCs w:val="21"/>
        </w:rPr>
        <w:t>表</w:t>
      </w:r>
      <w:r>
        <w:rPr>
          <w:rFonts w:ascii="宋体" w:hAnsi="宋体"/>
          <w:szCs w:val="21"/>
        </w:rPr>
        <w:t>252人。大会选举产生第九届人大常委会，主任黄登军；选举县人民政府县长、副</w:t>
      </w:r>
      <w:r>
        <w:rPr>
          <w:rFonts w:hint="eastAsia" w:ascii="宋体" w:hAnsi="宋体"/>
          <w:szCs w:val="21"/>
        </w:rPr>
        <w:t>县长，县长林志诚。</w:t>
      </w:r>
    </w:p>
    <w:p w14:paraId="6E4BAA4B">
      <w:pPr>
        <w:ind w:firstLine="420"/>
        <w:rPr>
          <w:rFonts w:ascii="宋体" w:hAnsi="宋体"/>
          <w:szCs w:val="21"/>
        </w:rPr>
      </w:pPr>
      <w:r>
        <w:rPr>
          <w:rFonts w:ascii="宋体" w:hAnsi="宋体"/>
          <w:szCs w:val="21"/>
        </w:rPr>
        <w:t>3月25日至30日，中国人民政治协商会议南雄县第四届委员会第一次会议在县</w:t>
      </w:r>
      <w:r>
        <w:rPr>
          <w:rFonts w:hint="eastAsia" w:ascii="宋体" w:hAnsi="宋体"/>
          <w:szCs w:val="21"/>
        </w:rPr>
        <w:t>城举行。选举产生第四届政协常委会，主席吴述超。</w:t>
      </w:r>
    </w:p>
    <w:p w14:paraId="6731B1DC">
      <w:pPr>
        <w:ind w:firstLine="420"/>
        <w:rPr>
          <w:rFonts w:ascii="宋体" w:hAnsi="宋体"/>
          <w:szCs w:val="21"/>
        </w:rPr>
      </w:pPr>
      <w:r>
        <w:rPr>
          <w:rFonts w:ascii="宋体" w:hAnsi="宋体"/>
          <w:szCs w:val="21"/>
        </w:rPr>
        <w:t>5月4日至7日，中顾委常委陈丕显到南雄视察。</w:t>
      </w:r>
    </w:p>
    <w:p w14:paraId="453A3AD5">
      <w:pPr>
        <w:ind w:firstLine="420"/>
        <w:rPr>
          <w:rFonts w:ascii="宋体" w:hAnsi="宋体"/>
          <w:szCs w:val="21"/>
        </w:rPr>
      </w:pPr>
      <w:r>
        <w:rPr>
          <w:rFonts w:ascii="宋体" w:hAnsi="宋体"/>
          <w:szCs w:val="21"/>
        </w:rPr>
        <w:t>7月，全国开展第四次人口普查，全县总人口为434175人，其中男性占50.5%，</w:t>
      </w:r>
      <w:r>
        <w:rPr>
          <w:rFonts w:hint="eastAsia" w:ascii="宋体" w:hAnsi="宋体"/>
          <w:szCs w:val="21"/>
        </w:rPr>
        <w:t>女性占</w:t>
      </w:r>
      <w:r>
        <w:rPr>
          <w:rFonts w:ascii="宋体" w:hAnsi="宋体"/>
          <w:szCs w:val="21"/>
        </w:rPr>
        <w:t>49.5%，市镇人口占11.68%，平均每个家庭户的人口为4.85人。</w:t>
      </w:r>
    </w:p>
    <w:p w14:paraId="12A3CD04">
      <w:pPr>
        <w:ind w:firstLine="420"/>
        <w:rPr>
          <w:rFonts w:ascii="宋体" w:hAnsi="宋体"/>
          <w:szCs w:val="21"/>
        </w:rPr>
      </w:pPr>
      <w:r>
        <w:rPr>
          <w:rFonts w:ascii="宋体" w:hAnsi="宋体"/>
          <w:szCs w:val="21"/>
        </w:rPr>
        <w:t>12月1日至3日，县举办以“传播文明，倡导新风，增进友爱，激励进取”为</w:t>
      </w:r>
      <w:r>
        <w:rPr>
          <w:rFonts w:hint="eastAsia" w:ascii="宋体" w:hAnsi="宋体"/>
          <w:szCs w:val="21"/>
        </w:rPr>
        <w:t>宗旨的首届青年联欢节。</w:t>
      </w:r>
      <w:r>
        <w:rPr>
          <w:rFonts w:ascii="宋体" w:hAnsi="宋体"/>
          <w:szCs w:val="21"/>
        </w:rPr>
        <w:t>1日晚举行大型集体婚礼，有249对新婚夫妇参加。一连3</w:t>
      </w:r>
      <w:r>
        <w:rPr>
          <w:rFonts w:hint="eastAsia" w:ascii="宋体" w:hAnsi="宋体"/>
          <w:szCs w:val="21"/>
        </w:rPr>
        <w:t>晚，城乡</w:t>
      </w:r>
      <w:r>
        <w:rPr>
          <w:rFonts w:ascii="宋体" w:hAnsi="宋体"/>
          <w:szCs w:val="21"/>
        </w:rPr>
        <w:t>36个代表团1700多名代表表演文艺节目76个。县城数万群众观看火龙</w:t>
      </w:r>
      <w:r>
        <w:rPr>
          <w:rFonts w:hint="eastAsia" w:ascii="宋体" w:hAnsi="宋体"/>
          <w:szCs w:val="21"/>
        </w:rPr>
        <w:t>、火狮、火虾、马灯、春牛、瑞狮等传统民间文艺表演。</w:t>
      </w:r>
    </w:p>
    <w:p w14:paraId="315273D5">
      <w:pPr>
        <w:pStyle w:val="4"/>
        <w:rPr>
          <w:rFonts w:ascii="宋体" w:hAnsi="宋体"/>
        </w:rPr>
      </w:pPr>
      <w:r>
        <w:rPr>
          <w:rFonts w:ascii="宋体" w:hAnsi="宋体"/>
        </w:rPr>
        <w:t>1991年</w:t>
      </w:r>
    </w:p>
    <w:p w14:paraId="490786FF">
      <w:pPr>
        <w:ind w:firstLine="420"/>
        <w:rPr>
          <w:rFonts w:ascii="宋体" w:hAnsi="宋体"/>
          <w:szCs w:val="21"/>
        </w:rPr>
      </w:pPr>
      <w:r>
        <w:rPr>
          <w:rFonts w:ascii="宋体" w:hAnsi="宋体"/>
          <w:szCs w:val="21"/>
        </w:rPr>
        <w:t>2月8日，中共广东省委表彰雄州镇水南管理区党支部为全省10个农村党支部</w:t>
      </w:r>
      <w:r>
        <w:rPr>
          <w:rFonts w:hint="eastAsia" w:ascii="宋体" w:hAnsi="宋体"/>
          <w:szCs w:val="21"/>
        </w:rPr>
        <w:t>先进典型。</w:t>
      </w:r>
    </w:p>
    <w:p w14:paraId="19D40084">
      <w:pPr>
        <w:ind w:firstLine="420"/>
        <w:rPr>
          <w:rFonts w:ascii="宋体" w:hAnsi="宋体"/>
          <w:szCs w:val="21"/>
        </w:rPr>
      </w:pPr>
      <w:r>
        <w:rPr>
          <w:rFonts w:ascii="宋体" w:hAnsi="宋体"/>
          <w:szCs w:val="21"/>
        </w:rPr>
        <w:t>3月3日至4日，中共南雄县委举行七届三次全体会议，传达学习中共十三届七</w:t>
      </w:r>
      <w:r>
        <w:rPr>
          <w:rFonts w:hint="eastAsia" w:ascii="宋体" w:hAnsi="宋体"/>
          <w:szCs w:val="21"/>
        </w:rPr>
        <w:t>中全会、省委六届五次全会和市委六届四次全会精神。会议讨论通过了《南雄县“八五”计划和</w:t>
      </w:r>
      <w:r>
        <w:rPr>
          <w:rFonts w:ascii="宋体" w:hAnsi="宋体"/>
          <w:szCs w:val="21"/>
        </w:rPr>
        <w:t>2000年规划纲要（草案）》</w:t>
      </w:r>
      <w:r>
        <w:rPr>
          <w:rFonts w:hint="eastAsia" w:ascii="宋体" w:hAnsi="宋体"/>
          <w:szCs w:val="21"/>
        </w:rPr>
        <w:t>。</w:t>
      </w:r>
    </w:p>
    <w:p w14:paraId="30428355">
      <w:pPr>
        <w:ind w:firstLine="420"/>
        <w:rPr>
          <w:rFonts w:ascii="宋体" w:hAnsi="宋体"/>
          <w:szCs w:val="21"/>
        </w:rPr>
      </w:pPr>
      <w:r>
        <w:rPr>
          <w:rFonts w:ascii="宋体" w:hAnsi="宋体"/>
          <w:szCs w:val="21"/>
        </w:rPr>
        <w:t>3月18日上午，县城隆重举行大成街改造工程奠基仪式。该工程将砖瓦平房改</w:t>
      </w:r>
      <w:r>
        <w:rPr>
          <w:rFonts w:hint="eastAsia" w:ascii="宋体" w:hAnsi="宋体"/>
          <w:szCs w:val="21"/>
        </w:rPr>
        <w:t>建为框架楼房</w:t>
      </w:r>
      <w:r>
        <w:rPr>
          <w:rFonts w:ascii="宋体" w:hAnsi="宋体"/>
          <w:szCs w:val="21"/>
        </w:rPr>
        <w:t>13栋，共计门店205间，住宅283套，写字楼面积2000平方米；街长756米，原宽12米，加宽后为24米水泥路面。至1994年冬基本完成</w:t>
      </w:r>
      <w:r>
        <w:rPr>
          <w:rFonts w:hint="eastAsia" w:ascii="宋体" w:hAnsi="宋体"/>
          <w:szCs w:val="21"/>
        </w:rPr>
        <w:t>。</w:t>
      </w:r>
    </w:p>
    <w:p w14:paraId="39891524">
      <w:pPr>
        <w:ind w:firstLine="420"/>
        <w:rPr>
          <w:rFonts w:ascii="宋体" w:hAnsi="宋体"/>
          <w:szCs w:val="21"/>
        </w:rPr>
      </w:pPr>
      <w:r>
        <w:rPr>
          <w:rFonts w:ascii="宋体" w:hAnsi="宋体"/>
          <w:szCs w:val="21"/>
        </w:rPr>
        <w:t>4月1日至4日，南雄县第九届人民代表大会第二次会议在县城举行。选举江青</w:t>
      </w:r>
      <w:r>
        <w:rPr>
          <w:rFonts w:hint="eastAsia" w:ascii="宋体" w:hAnsi="宋体"/>
          <w:szCs w:val="21"/>
        </w:rPr>
        <w:t>粦为县长。</w:t>
      </w:r>
    </w:p>
    <w:p w14:paraId="0787598D">
      <w:pPr>
        <w:ind w:firstLine="420"/>
        <w:rPr>
          <w:rFonts w:ascii="宋体" w:hAnsi="宋体"/>
          <w:szCs w:val="21"/>
        </w:rPr>
      </w:pPr>
      <w:r>
        <w:rPr>
          <w:rFonts w:ascii="宋体" w:hAnsi="宋体"/>
          <w:szCs w:val="21"/>
        </w:rPr>
        <w:t>4月29日，国家邮电部、省邮电管理局投资的沪穗数字微波通信干线一邮电数</w:t>
      </w:r>
      <w:r>
        <w:rPr>
          <w:rFonts w:hint="eastAsia" w:ascii="宋体" w:hAnsi="宋体"/>
          <w:szCs w:val="21"/>
        </w:rPr>
        <w:t>字微波通信南雄地面中继站在新城奠基。建筑面积</w:t>
      </w:r>
      <w:r>
        <w:rPr>
          <w:rFonts w:ascii="宋体" w:hAnsi="宋体"/>
          <w:szCs w:val="21"/>
        </w:rPr>
        <w:t>5000平方米，总投资1000万元</w:t>
      </w:r>
      <w:r>
        <w:rPr>
          <w:rFonts w:hint="eastAsia" w:ascii="宋体" w:hAnsi="宋体"/>
          <w:szCs w:val="21"/>
        </w:rPr>
        <w:t>。该工程于</w:t>
      </w:r>
      <w:r>
        <w:rPr>
          <w:rFonts w:ascii="宋体" w:hAnsi="宋体"/>
          <w:szCs w:val="21"/>
        </w:rPr>
        <w:t>1993年2月6日落成剪彩。</w:t>
      </w:r>
    </w:p>
    <w:p w14:paraId="50A277BE">
      <w:pPr>
        <w:ind w:firstLine="420"/>
        <w:rPr>
          <w:rFonts w:ascii="宋体" w:hAnsi="宋体"/>
          <w:szCs w:val="21"/>
        </w:rPr>
      </w:pPr>
      <w:r>
        <w:rPr>
          <w:rFonts w:ascii="宋体" w:hAnsi="宋体"/>
          <w:szCs w:val="21"/>
        </w:rPr>
        <w:t>5月1日下午，在县人民会场举行大型集体婚礼，有157对新婚青年夫妇参加</w:t>
      </w:r>
      <w:r>
        <w:rPr>
          <w:rFonts w:hint="eastAsia" w:ascii="宋体" w:hAnsi="宋体"/>
          <w:szCs w:val="21"/>
        </w:rPr>
        <w:t>。新婚夫妇参观了县城部分工厂、中学和体育馆，并到儿童乐园种上一棵象征爱情的常青树。</w:t>
      </w:r>
    </w:p>
    <w:p w14:paraId="69CC7BA0">
      <w:pPr>
        <w:ind w:firstLine="420"/>
        <w:rPr>
          <w:rFonts w:ascii="宋体" w:hAnsi="宋体"/>
          <w:szCs w:val="21"/>
        </w:rPr>
      </w:pPr>
      <w:r>
        <w:rPr>
          <w:rFonts w:ascii="宋体" w:hAnsi="宋体"/>
          <w:szCs w:val="21"/>
        </w:rPr>
        <w:t>5月中旬至7月，严重干旱。降雨量比上年同期减少50%，山塘水库蓄水比上年</w:t>
      </w:r>
      <w:r>
        <w:rPr>
          <w:rFonts w:hint="eastAsia" w:ascii="宋体" w:hAnsi="宋体"/>
          <w:szCs w:val="21"/>
        </w:rPr>
        <w:t>同期减少</w:t>
      </w:r>
      <w:r>
        <w:rPr>
          <w:rFonts w:ascii="宋体" w:hAnsi="宋体"/>
          <w:szCs w:val="21"/>
        </w:rPr>
        <w:t>6成。黄烟损失严重。县委、县政府组织3万多名干部群众进行历时2个多</w:t>
      </w:r>
      <w:r>
        <w:rPr>
          <w:rFonts w:hint="eastAsia" w:ascii="宋体" w:hAnsi="宋体"/>
          <w:szCs w:val="21"/>
        </w:rPr>
        <w:t>月的抗旱保苗与抢插晚造。</w:t>
      </w:r>
    </w:p>
    <w:p w14:paraId="71764C8D">
      <w:pPr>
        <w:ind w:firstLine="420"/>
        <w:rPr>
          <w:rFonts w:ascii="宋体" w:hAnsi="宋体"/>
          <w:szCs w:val="21"/>
        </w:rPr>
      </w:pPr>
      <w:r>
        <w:rPr>
          <w:rFonts w:ascii="宋体" w:hAnsi="宋体"/>
          <w:szCs w:val="21"/>
        </w:rPr>
        <w:t>6月5日20时和6日13时，新龙、坪田、主田和古市等乡镇遭受暴风雨和冰雹</w:t>
      </w:r>
      <w:r>
        <w:rPr>
          <w:rFonts w:hint="eastAsia" w:ascii="宋体" w:hAnsi="宋体"/>
          <w:szCs w:val="21"/>
        </w:rPr>
        <w:t>袭击。受灾的有</w:t>
      </w:r>
      <w:r>
        <w:rPr>
          <w:rFonts w:ascii="宋体" w:hAnsi="宋体"/>
          <w:szCs w:val="21"/>
        </w:rPr>
        <w:t>21个行政村2562户，倒塌房屋13间，毁坏瓦面713间，雷击受伤4</w:t>
      </w:r>
      <w:r>
        <w:rPr>
          <w:rFonts w:hint="eastAsia" w:ascii="宋体" w:hAnsi="宋体"/>
          <w:szCs w:val="21"/>
        </w:rPr>
        <w:t>人，冲坏水利设施</w:t>
      </w:r>
      <w:r>
        <w:rPr>
          <w:rFonts w:ascii="宋体" w:hAnsi="宋体"/>
          <w:szCs w:val="21"/>
        </w:rPr>
        <w:t>26宗、公路1410米，损折大树3500株，受灾农作物面积317.4</w:t>
      </w:r>
      <w:r>
        <w:rPr>
          <w:rFonts w:hint="eastAsia" w:ascii="宋体" w:hAnsi="宋体"/>
          <w:szCs w:val="21"/>
        </w:rPr>
        <w:t>公顷，直接经济损失</w:t>
      </w:r>
      <w:r>
        <w:rPr>
          <w:rFonts w:ascii="宋体" w:hAnsi="宋体"/>
          <w:szCs w:val="21"/>
        </w:rPr>
        <w:t>124万元</w:t>
      </w:r>
      <w:r>
        <w:rPr>
          <w:rFonts w:hint="eastAsia" w:ascii="宋体" w:hAnsi="宋体"/>
          <w:szCs w:val="21"/>
        </w:rPr>
        <w:t>。</w:t>
      </w:r>
    </w:p>
    <w:p w14:paraId="777CB76E">
      <w:pPr>
        <w:ind w:firstLine="420"/>
        <w:rPr>
          <w:rFonts w:ascii="宋体" w:hAnsi="宋体"/>
          <w:szCs w:val="21"/>
        </w:rPr>
      </w:pPr>
      <w:r>
        <w:rPr>
          <w:rFonts w:ascii="宋体" w:hAnsi="宋体"/>
          <w:szCs w:val="21"/>
        </w:rPr>
        <w:t>6月26日，省地方志编纂委员会主任匡吉在省政府迎宾厅主持召开新闻发布会</w:t>
      </w:r>
      <w:r>
        <w:rPr>
          <w:rFonts w:hint="eastAsia" w:ascii="宋体" w:hAnsi="宋体"/>
          <w:szCs w:val="21"/>
        </w:rPr>
        <w:t>暨《南雄县志》首发式。这是新中国成立后本省第一部公开发行的新县志。</w:t>
      </w:r>
    </w:p>
    <w:p w14:paraId="3336C7DC">
      <w:pPr>
        <w:ind w:firstLine="420"/>
        <w:rPr>
          <w:rFonts w:ascii="宋体" w:hAnsi="宋体"/>
          <w:szCs w:val="21"/>
        </w:rPr>
      </w:pPr>
      <w:r>
        <w:rPr>
          <w:rFonts w:ascii="宋体" w:hAnsi="宋体"/>
          <w:szCs w:val="21"/>
        </w:rPr>
        <w:t>7月9日，具有多功能的雄州体育馆落成。该馆建筑面积5000平方米，投资310</w:t>
      </w:r>
      <w:r>
        <w:rPr>
          <w:rFonts w:hint="eastAsia" w:ascii="宋体" w:hAnsi="宋体"/>
          <w:szCs w:val="21"/>
        </w:rPr>
        <w:t>多万元，馆内设座位</w:t>
      </w:r>
      <w:r>
        <w:rPr>
          <w:rFonts w:ascii="宋体" w:hAnsi="宋体"/>
          <w:szCs w:val="21"/>
        </w:rPr>
        <w:t>2400个</w:t>
      </w:r>
      <w:r>
        <w:rPr>
          <w:rFonts w:hint="eastAsia" w:ascii="宋体" w:hAnsi="宋体"/>
          <w:szCs w:val="21"/>
        </w:rPr>
        <w:t>。</w:t>
      </w:r>
    </w:p>
    <w:p w14:paraId="48F3F513">
      <w:pPr>
        <w:ind w:firstLine="420"/>
        <w:rPr>
          <w:rFonts w:ascii="宋体" w:hAnsi="宋体"/>
          <w:szCs w:val="21"/>
        </w:rPr>
      </w:pPr>
      <w:r>
        <w:rPr>
          <w:rFonts w:ascii="宋体" w:hAnsi="宋体"/>
          <w:szCs w:val="21"/>
        </w:rPr>
        <w:t>8月19日，南雄县农村第一批“社教”全面铺开，社教工作队员由633人组成，</w:t>
      </w:r>
      <w:r>
        <w:rPr>
          <w:rFonts w:hint="eastAsia" w:ascii="宋体" w:hAnsi="宋体"/>
          <w:szCs w:val="21"/>
        </w:rPr>
        <w:t>分赴百顺、澜河等</w:t>
      </w:r>
      <w:r>
        <w:rPr>
          <w:rFonts w:ascii="宋体" w:hAnsi="宋体"/>
          <w:szCs w:val="21"/>
        </w:rPr>
        <w:t>11个乡镇、83个管理区开展社会主义教育工作。至翌年1月17日</w:t>
      </w:r>
      <w:r>
        <w:rPr>
          <w:rFonts w:hint="eastAsia" w:ascii="宋体" w:hAnsi="宋体"/>
          <w:szCs w:val="21"/>
        </w:rPr>
        <w:t>结束。经省、市验收合格。</w:t>
      </w:r>
    </w:p>
    <w:p w14:paraId="66BDA242">
      <w:pPr>
        <w:ind w:firstLine="420"/>
        <w:rPr>
          <w:rFonts w:ascii="宋体" w:hAnsi="宋体"/>
          <w:szCs w:val="21"/>
        </w:rPr>
      </w:pPr>
      <w:r>
        <w:rPr>
          <w:rFonts w:ascii="宋体" w:hAnsi="宋体"/>
          <w:szCs w:val="21"/>
        </w:rPr>
        <w:t>8月，国家教育委员会授予南雄县政府为“全国尊师重教先进集体”称号。</w:t>
      </w:r>
    </w:p>
    <w:p w14:paraId="006038B0">
      <w:pPr>
        <w:ind w:firstLine="420"/>
        <w:rPr>
          <w:rFonts w:ascii="宋体" w:hAnsi="宋体"/>
          <w:szCs w:val="21"/>
        </w:rPr>
      </w:pPr>
      <w:r>
        <w:rPr>
          <w:rFonts w:ascii="宋体" w:hAnsi="宋体"/>
          <w:szCs w:val="21"/>
        </w:rPr>
        <w:t>9月7日8时至翌日8时，南雄县普降大到暴雨，平均降雨量150毫米。全县有19个乡镇、1个林场、2个矿山共3211户3.1万多人受灾。死亡33人，重伤17人，</w:t>
      </w:r>
      <w:r>
        <w:rPr>
          <w:rFonts w:hint="eastAsia" w:ascii="宋体" w:hAnsi="宋体"/>
          <w:szCs w:val="21"/>
        </w:rPr>
        <w:t>失踪</w:t>
      </w:r>
      <w:r>
        <w:rPr>
          <w:rFonts w:ascii="宋体" w:hAnsi="宋体"/>
          <w:szCs w:val="21"/>
        </w:rPr>
        <w:t>5人。倒塌房屋2320间，冲毁桥梁56座、渡槽13座、陂头187座、山塘57口、</w:t>
      </w:r>
      <w:r>
        <w:rPr>
          <w:rFonts w:hint="eastAsia" w:ascii="宋体" w:hAnsi="宋体"/>
          <w:szCs w:val="21"/>
        </w:rPr>
        <w:t>农田</w:t>
      </w:r>
      <w:r>
        <w:rPr>
          <w:rFonts w:ascii="宋体" w:hAnsi="宋体"/>
          <w:szCs w:val="21"/>
        </w:rPr>
        <w:t>3200公顷。县委、县政府迅速组织抗洪救灾。县政府向灾区拔出第一批救灾款10万元，饼干食品一大批，衣服1万多件。干群捐款13.8万元和衣物28086件</w:t>
      </w:r>
      <w:r>
        <w:rPr>
          <w:rFonts w:hint="eastAsia" w:ascii="宋体" w:hAnsi="宋体"/>
          <w:szCs w:val="21"/>
        </w:rPr>
        <w:t>。</w:t>
      </w:r>
    </w:p>
    <w:p w14:paraId="146F0134">
      <w:pPr>
        <w:ind w:firstLine="420"/>
        <w:rPr>
          <w:rFonts w:ascii="宋体" w:hAnsi="宋体"/>
          <w:szCs w:val="21"/>
        </w:rPr>
      </w:pPr>
      <w:r>
        <w:rPr>
          <w:rFonts w:ascii="宋体" w:hAnsi="宋体"/>
          <w:szCs w:val="21"/>
        </w:rPr>
        <w:t>10月，国家公安部授予县公安局户政股为“全国居民身份证工作先进集体”称</w:t>
      </w:r>
      <w:r>
        <w:rPr>
          <w:rFonts w:hint="eastAsia" w:ascii="宋体" w:hAnsi="宋体"/>
          <w:szCs w:val="21"/>
        </w:rPr>
        <w:t>号。</w:t>
      </w:r>
    </w:p>
    <w:p w14:paraId="287E71FB">
      <w:pPr>
        <w:ind w:firstLine="420"/>
        <w:rPr>
          <w:rFonts w:ascii="宋体" w:hAnsi="宋体"/>
          <w:szCs w:val="21"/>
        </w:rPr>
      </w:pPr>
      <w:r>
        <w:rPr>
          <w:rFonts w:ascii="宋体" w:hAnsi="宋体"/>
          <w:szCs w:val="21"/>
        </w:rPr>
        <w:t>11月，县委、县政府发动全县干部职工、各机关单位为大办水利举行2年无息</w:t>
      </w:r>
      <w:r>
        <w:rPr>
          <w:rFonts w:hint="eastAsia" w:ascii="宋体" w:hAnsi="宋体"/>
          <w:szCs w:val="21"/>
        </w:rPr>
        <w:t>还本集资，</w:t>
      </w:r>
      <w:r>
        <w:rPr>
          <w:rFonts w:ascii="宋体" w:hAnsi="宋体"/>
          <w:szCs w:val="21"/>
        </w:rPr>
        <w:t>2.1万多人集资646万元。</w:t>
      </w:r>
    </w:p>
    <w:p w14:paraId="4239DEE5">
      <w:pPr>
        <w:ind w:firstLine="420"/>
        <w:rPr>
          <w:rFonts w:ascii="宋体" w:hAnsi="宋体"/>
          <w:szCs w:val="21"/>
        </w:rPr>
      </w:pPr>
      <w:r>
        <w:rPr>
          <w:rFonts w:ascii="宋体" w:hAnsi="宋体"/>
          <w:szCs w:val="21"/>
        </w:rPr>
        <w:t>12月1日至3日，县举行第二届青年联欢节。联欢节期间，组织169对新婚夫妇</w:t>
      </w:r>
      <w:r>
        <w:rPr>
          <w:rFonts w:hint="eastAsia" w:ascii="宋体" w:hAnsi="宋体"/>
          <w:szCs w:val="21"/>
        </w:rPr>
        <w:t>举行集体婚礼，各具特色的</w:t>
      </w:r>
      <w:r>
        <w:rPr>
          <w:rFonts w:ascii="宋体" w:hAnsi="宋体"/>
          <w:szCs w:val="21"/>
        </w:rPr>
        <w:t>36辆彩车游行，表演了73个文艺节目。</w:t>
      </w:r>
    </w:p>
    <w:p w14:paraId="78E3378F">
      <w:pPr>
        <w:ind w:firstLine="420"/>
        <w:rPr>
          <w:rFonts w:ascii="宋体" w:hAnsi="宋体"/>
          <w:szCs w:val="21"/>
        </w:rPr>
      </w:pPr>
      <w:r>
        <w:rPr>
          <w:rFonts w:ascii="宋体" w:hAnsi="宋体"/>
          <w:szCs w:val="21"/>
        </w:rPr>
        <w:t>12月，国家商业部授予县粮食局为“全国粮油安全保管工作先进单位”称号</w:t>
      </w:r>
      <w:r>
        <w:rPr>
          <w:rFonts w:hint="eastAsia" w:ascii="宋体" w:hAnsi="宋体"/>
          <w:szCs w:val="21"/>
        </w:rPr>
        <w:t>。</w:t>
      </w:r>
    </w:p>
    <w:p w14:paraId="1D57A90C">
      <w:pPr>
        <w:ind w:firstLine="420"/>
        <w:rPr>
          <w:rFonts w:ascii="宋体" w:hAnsi="宋体"/>
          <w:szCs w:val="21"/>
        </w:rPr>
      </w:pPr>
      <w:r>
        <w:rPr>
          <w:rFonts w:ascii="宋体" w:hAnsi="宋体"/>
          <w:szCs w:val="21"/>
        </w:rPr>
        <w:t>12月，新城中学被全国绿化委员会、国家教委、广播电影电视部、共青团中央</w:t>
      </w:r>
      <w:r>
        <w:rPr>
          <w:rFonts w:hint="eastAsia" w:ascii="宋体" w:hAnsi="宋体"/>
          <w:szCs w:val="21"/>
        </w:rPr>
        <w:t>授予“全国中小学生绿化知识普及宣传教育活动集体三等奖”。</w:t>
      </w:r>
    </w:p>
    <w:p w14:paraId="36FCC900">
      <w:pPr>
        <w:ind w:firstLine="420"/>
        <w:rPr>
          <w:rFonts w:ascii="宋体" w:hAnsi="宋体"/>
          <w:szCs w:val="21"/>
        </w:rPr>
      </w:pPr>
      <w:r>
        <w:rPr>
          <w:rFonts w:ascii="宋体" w:hAnsi="宋体"/>
          <w:szCs w:val="21"/>
        </w:rPr>
        <w:t>12月，国务院发展研究中心、《管理世界》中国企业评价中心、国家统计局、工</w:t>
      </w:r>
      <w:r>
        <w:rPr>
          <w:rFonts w:hint="eastAsia" w:ascii="宋体" w:hAnsi="宋体"/>
          <w:szCs w:val="21"/>
        </w:rPr>
        <w:t>业交通统计局排出全国</w:t>
      </w:r>
      <w:r>
        <w:rPr>
          <w:rFonts w:ascii="宋体" w:hAnsi="宋体"/>
          <w:szCs w:val="21"/>
        </w:rPr>
        <w:t>500家最佳经济效益工业企业中，南雄卷烟厂排为第77名，</w:t>
      </w:r>
      <w:r>
        <w:rPr>
          <w:rFonts w:hint="eastAsia" w:ascii="宋体" w:hAnsi="宋体"/>
          <w:szCs w:val="21"/>
        </w:rPr>
        <w:t>翌年</w:t>
      </w:r>
      <w:r>
        <w:rPr>
          <w:rFonts w:ascii="宋体" w:hAnsi="宋体"/>
          <w:szCs w:val="21"/>
        </w:rPr>
        <w:t>10月排为50名</w:t>
      </w:r>
      <w:r>
        <w:rPr>
          <w:rFonts w:hint="eastAsia" w:ascii="宋体" w:hAnsi="宋体"/>
          <w:szCs w:val="21"/>
        </w:rPr>
        <w:t>。</w:t>
      </w:r>
    </w:p>
    <w:p w14:paraId="7A358D89">
      <w:pPr>
        <w:ind w:firstLine="420"/>
        <w:rPr>
          <w:rFonts w:ascii="宋体" w:hAnsi="宋体"/>
          <w:szCs w:val="21"/>
        </w:rPr>
      </w:pPr>
      <w:r>
        <w:rPr>
          <w:rFonts w:ascii="宋体" w:hAnsi="宋体"/>
          <w:szCs w:val="21"/>
        </w:rPr>
        <w:t>12月，国家医药管理局、国家人事部授予县医药总公司为“全国医药系统先进</w:t>
      </w:r>
      <w:r>
        <w:rPr>
          <w:rFonts w:hint="eastAsia" w:ascii="宋体" w:hAnsi="宋体"/>
          <w:szCs w:val="21"/>
        </w:rPr>
        <w:t>集体”称号。</w:t>
      </w:r>
    </w:p>
    <w:p w14:paraId="02753F86">
      <w:pPr>
        <w:pStyle w:val="4"/>
        <w:rPr>
          <w:rFonts w:ascii="宋体" w:hAnsi="宋体"/>
        </w:rPr>
      </w:pPr>
      <w:r>
        <w:rPr>
          <w:rFonts w:ascii="宋体" w:hAnsi="宋体"/>
        </w:rPr>
        <w:t>1992年</w:t>
      </w:r>
    </w:p>
    <w:p w14:paraId="58A90937">
      <w:pPr>
        <w:ind w:firstLine="420"/>
        <w:rPr>
          <w:rFonts w:ascii="宋体" w:hAnsi="宋体"/>
          <w:szCs w:val="21"/>
        </w:rPr>
      </w:pPr>
      <w:r>
        <w:rPr>
          <w:rFonts w:ascii="宋体" w:hAnsi="宋体"/>
          <w:szCs w:val="21"/>
        </w:rPr>
        <w:t>2月12日，雄州综合市场动工兴建，翌年2月6日落成剪彩。该市场占地面积5767平方米，建筑面积10845.38平方米，总投资580万元。</w:t>
      </w:r>
    </w:p>
    <w:p w14:paraId="2FD5CE51">
      <w:pPr>
        <w:ind w:firstLine="420"/>
        <w:rPr>
          <w:rFonts w:ascii="宋体" w:hAnsi="宋体"/>
          <w:szCs w:val="21"/>
        </w:rPr>
      </w:pPr>
      <w:r>
        <w:rPr>
          <w:rFonts w:ascii="宋体" w:hAnsi="宋体"/>
          <w:szCs w:val="21"/>
        </w:rPr>
        <w:t>2月18日，南雄县举行“猴年元宵民间艺术晚会”。应邀嘉宾有港澳台同胞、省</w:t>
      </w:r>
      <w:r>
        <w:rPr>
          <w:rFonts w:hint="eastAsia" w:ascii="宋体" w:hAnsi="宋体"/>
          <w:szCs w:val="21"/>
        </w:rPr>
        <w:t>市有关部门领导、香港《大公报》及省市部分新闻单位共</w:t>
      </w:r>
      <w:r>
        <w:rPr>
          <w:rFonts w:ascii="宋体" w:hAnsi="宋体"/>
          <w:szCs w:val="21"/>
        </w:rPr>
        <w:t>340多人。晚会表演了彩</w:t>
      </w:r>
      <w:r>
        <w:rPr>
          <w:rFonts w:hint="eastAsia" w:ascii="宋体" w:hAnsi="宋体"/>
          <w:szCs w:val="21"/>
        </w:rPr>
        <w:t>车、瑞狮、香火龙等</w:t>
      </w:r>
      <w:r>
        <w:rPr>
          <w:rFonts w:ascii="宋体" w:hAnsi="宋体"/>
          <w:szCs w:val="21"/>
        </w:rPr>
        <w:t>25个传统节目</w:t>
      </w:r>
      <w:r>
        <w:rPr>
          <w:rFonts w:hint="eastAsia" w:ascii="宋体" w:hAnsi="宋体"/>
          <w:szCs w:val="21"/>
        </w:rPr>
        <w:t>。</w:t>
      </w:r>
    </w:p>
    <w:p w14:paraId="14502D88">
      <w:pPr>
        <w:ind w:firstLine="420"/>
        <w:rPr>
          <w:rFonts w:ascii="宋体" w:hAnsi="宋体"/>
          <w:szCs w:val="21"/>
        </w:rPr>
      </w:pPr>
      <w:r>
        <w:rPr>
          <w:rFonts w:ascii="宋体" w:hAnsi="宋体"/>
          <w:szCs w:val="21"/>
        </w:rPr>
        <w:t>2月，国家税务局分别授予县人民政府、县团委和县税务局为“1991年度全国税</w:t>
      </w:r>
      <w:r>
        <w:rPr>
          <w:rFonts w:hint="eastAsia" w:ascii="宋体" w:hAnsi="宋体"/>
          <w:szCs w:val="21"/>
        </w:rPr>
        <w:t>法宣传教育先进单位”称号。</w:t>
      </w:r>
    </w:p>
    <w:p w14:paraId="1DDC2D42">
      <w:pPr>
        <w:ind w:firstLine="420"/>
        <w:rPr>
          <w:rFonts w:ascii="宋体" w:hAnsi="宋体"/>
          <w:szCs w:val="21"/>
        </w:rPr>
      </w:pPr>
      <w:r>
        <w:rPr>
          <w:rFonts w:ascii="宋体" w:hAnsi="宋体"/>
          <w:szCs w:val="21"/>
        </w:rPr>
        <w:t>3月5日，县第二批农村“社教”工作铺开。社教工作队员由省市县和乡镇四级</w:t>
      </w:r>
      <w:r>
        <w:rPr>
          <w:rFonts w:hint="eastAsia" w:ascii="宋体" w:hAnsi="宋体"/>
          <w:szCs w:val="21"/>
        </w:rPr>
        <w:t>抽调</w:t>
      </w:r>
      <w:r>
        <w:rPr>
          <w:rFonts w:ascii="宋体" w:hAnsi="宋体"/>
          <w:szCs w:val="21"/>
        </w:rPr>
        <w:t>535人组成，分赴乌迳、黄坑等7个乡镇。</w:t>
      </w:r>
    </w:p>
    <w:p w14:paraId="3DE9368E">
      <w:pPr>
        <w:ind w:firstLine="420"/>
        <w:rPr>
          <w:rFonts w:ascii="宋体" w:hAnsi="宋体"/>
          <w:szCs w:val="21"/>
        </w:rPr>
      </w:pPr>
      <w:r>
        <w:rPr>
          <w:rFonts w:ascii="宋体" w:hAnsi="宋体"/>
          <w:szCs w:val="21"/>
        </w:rPr>
        <w:t>3月25日，南雄县普降大雨，降雨量达148.8毫米，主田、古市等乡镇还下了</w:t>
      </w:r>
      <w:r>
        <w:rPr>
          <w:rFonts w:hint="eastAsia" w:ascii="宋体" w:hAnsi="宋体"/>
          <w:szCs w:val="21"/>
        </w:rPr>
        <w:t>冰雹。全县黄烟受浸面积</w:t>
      </w:r>
      <w:r>
        <w:rPr>
          <w:rFonts w:ascii="宋体" w:hAnsi="宋体"/>
          <w:szCs w:val="21"/>
        </w:rPr>
        <w:t>3733.33多公顷，秧苗360公顷，部分水利设施和房屋遭</w:t>
      </w:r>
      <w:r>
        <w:rPr>
          <w:rFonts w:hint="eastAsia" w:ascii="宋体" w:hAnsi="宋体"/>
          <w:szCs w:val="21"/>
        </w:rPr>
        <w:t>到破坏。县委县政府迅速采取措施，抗洪救灾，恢复生产。</w:t>
      </w:r>
    </w:p>
    <w:p w14:paraId="41A7DEDC">
      <w:pPr>
        <w:ind w:firstLine="420"/>
        <w:rPr>
          <w:rFonts w:ascii="宋体" w:hAnsi="宋体"/>
          <w:szCs w:val="21"/>
        </w:rPr>
      </w:pPr>
      <w:r>
        <w:rPr>
          <w:rFonts w:ascii="宋体" w:hAnsi="宋体"/>
          <w:szCs w:val="21"/>
        </w:rPr>
        <w:t>4月19日至26日，经省绿化达标检查验收工作组检查验收，宣布南雄提前一年</w:t>
      </w:r>
      <w:r>
        <w:rPr>
          <w:rFonts w:hint="eastAsia" w:ascii="宋体" w:hAnsi="宋体"/>
          <w:szCs w:val="21"/>
        </w:rPr>
        <w:t>实现绿化达标县。</w:t>
      </w:r>
      <w:r>
        <w:rPr>
          <w:rFonts w:ascii="宋体" w:hAnsi="宋体"/>
          <w:szCs w:val="21"/>
        </w:rPr>
        <w:t>4月，全国水资源与水土保持工作领导小组、国家水利部、水利电力工会全国委</w:t>
      </w:r>
      <w:r>
        <w:rPr>
          <w:rFonts w:hint="eastAsia" w:ascii="宋体" w:hAnsi="宋体"/>
          <w:szCs w:val="21"/>
        </w:rPr>
        <w:t>员会授予县水土保持委员会办公室为“全国水土保持先进单位”称号。</w:t>
      </w:r>
    </w:p>
    <w:p w14:paraId="071D7E5F">
      <w:pPr>
        <w:ind w:firstLine="420"/>
        <w:rPr>
          <w:rFonts w:ascii="宋体" w:hAnsi="宋体"/>
          <w:szCs w:val="21"/>
        </w:rPr>
      </w:pPr>
      <w:r>
        <w:rPr>
          <w:rFonts w:ascii="宋体" w:hAnsi="宋体"/>
          <w:szCs w:val="21"/>
        </w:rPr>
        <w:t>5月29日，县九届人大常委会第三十一次会议决定，任命郭衍全为副县长、代</w:t>
      </w:r>
      <w:r>
        <w:rPr>
          <w:rFonts w:hint="eastAsia" w:ascii="宋体" w:hAnsi="宋体"/>
          <w:szCs w:val="21"/>
        </w:rPr>
        <w:t>县长；同意江青</w:t>
      </w:r>
      <w:bookmarkStart w:id="0" w:name="_Hlk54133565"/>
      <w:r>
        <w:rPr>
          <w:rFonts w:hint="eastAsia" w:ascii="宋体" w:hAnsi="宋体"/>
          <w:szCs w:val="21"/>
        </w:rPr>
        <w:t>粦</w:t>
      </w:r>
      <w:bookmarkEnd w:id="0"/>
      <w:r>
        <w:rPr>
          <w:rFonts w:hint="eastAsia" w:ascii="宋体" w:hAnsi="宋体"/>
          <w:szCs w:val="21"/>
        </w:rPr>
        <w:t>辞去县长职务。</w:t>
      </w:r>
    </w:p>
    <w:p w14:paraId="12B8A9A5">
      <w:pPr>
        <w:ind w:firstLine="420"/>
        <w:rPr>
          <w:rFonts w:ascii="宋体" w:hAnsi="宋体"/>
          <w:szCs w:val="21"/>
        </w:rPr>
      </w:pPr>
      <w:r>
        <w:rPr>
          <w:rFonts w:ascii="宋体" w:hAnsi="宋体"/>
          <w:szCs w:val="21"/>
        </w:rPr>
        <w:t>6月，国家税务局授予县税务局监督股为“全国税务监督先进集体”称号</w:t>
      </w:r>
      <w:r>
        <w:rPr>
          <w:rFonts w:hint="eastAsia" w:ascii="宋体" w:hAnsi="宋体"/>
          <w:szCs w:val="21"/>
        </w:rPr>
        <w:t>。</w:t>
      </w:r>
    </w:p>
    <w:p w14:paraId="772CF3E9">
      <w:pPr>
        <w:ind w:firstLine="420"/>
        <w:rPr>
          <w:rFonts w:ascii="宋体" w:hAnsi="宋体"/>
          <w:szCs w:val="21"/>
        </w:rPr>
      </w:pPr>
      <w:r>
        <w:rPr>
          <w:rFonts w:ascii="宋体" w:hAnsi="宋体"/>
          <w:szCs w:val="21"/>
        </w:rPr>
        <w:t>8月中旬，南雄县教育基金会成立，共筹集教育基金180多万元。</w:t>
      </w:r>
    </w:p>
    <w:p w14:paraId="4EA0B4CD">
      <w:pPr>
        <w:ind w:firstLine="420"/>
        <w:rPr>
          <w:rFonts w:ascii="宋体" w:hAnsi="宋体"/>
          <w:szCs w:val="21"/>
        </w:rPr>
      </w:pPr>
      <w:r>
        <w:rPr>
          <w:rFonts w:ascii="宋体" w:hAnsi="宋体"/>
          <w:szCs w:val="21"/>
        </w:rPr>
        <w:t>8月29日，县铺开第三批“社教”工作，至12月26日结</w:t>
      </w:r>
      <w:r>
        <w:rPr>
          <w:rFonts w:hint="eastAsia" w:ascii="宋体" w:hAnsi="宋体"/>
          <w:szCs w:val="21"/>
        </w:rPr>
        <w:t>束</w:t>
      </w:r>
      <w:r>
        <w:rPr>
          <w:rFonts w:ascii="宋体" w:hAnsi="宋体"/>
          <w:szCs w:val="21"/>
        </w:rPr>
        <w:t>。至此，全县24个</w:t>
      </w:r>
      <w:r>
        <w:rPr>
          <w:rFonts w:hint="eastAsia" w:ascii="宋体" w:hAnsi="宋体"/>
          <w:szCs w:val="21"/>
        </w:rPr>
        <w:t>乡镇的管理区、圩镇、街道的社会主义思想教育工作全面结束。</w:t>
      </w:r>
    </w:p>
    <w:p w14:paraId="5F86528A">
      <w:pPr>
        <w:ind w:firstLine="420"/>
        <w:rPr>
          <w:rFonts w:ascii="宋体" w:hAnsi="宋体"/>
          <w:szCs w:val="21"/>
        </w:rPr>
      </w:pPr>
      <w:r>
        <w:rPr>
          <w:rFonts w:ascii="宋体" w:hAnsi="宋体"/>
          <w:szCs w:val="21"/>
        </w:rPr>
        <w:t>9月28日，县水泥厂8.8万吨生产线扩建工程竣工，使该厂年产水泥能力由3.2</w:t>
      </w:r>
      <w:r>
        <w:rPr>
          <w:rFonts w:hint="eastAsia" w:ascii="宋体" w:hAnsi="宋体"/>
          <w:szCs w:val="21"/>
        </w:rPr>
        <w:t>万吨增至</w:t>
      </w:r>
      <w:r>
        <w:rPr>
          <w:rFonts w:ascii="宋体" w:hAnsi="宋体"/>
          <w:szCs w:val="21"/>
        </w:rPr>
        <w:t>13万吨。</w:t>
      </w:r>
    </w:p>
    <w:p w14:paraId="27292BA7">
      <w:pPr>
        <w:ind w:firstLine="420"/>
        <w:rPr>
          <w:rFonts w:ascii="宋体" w:hAnsi="宋体"/>
          <w:szCs w:val="21"/>
        </w:rPr>
      </w:pPr>
      <w:r>
        <w:rPr>
          <w:rFonts w:ascii="宋体" w:hAnsi="宋体"/>
          <w:szCs w:val="21"/>
        </w:rPr>
        <w:t>12月1日至3日，县举行第三届青年联欢节。在联欢节期间，组织了商品展销</w:t>
      </w:r>
      <w:r>
        <w:rPr>
          <w:rFonts w:hint="eastAsia" w:ascii="宋体" w:hAnsi="宋体"/>
          <w:szCs w:val="21"/>
        </w:rPr>
        <w:t>、篮球赛和文艺晚会等多项活动，并组织</w:t>
      </w:r>
      <w:r>
        <w:rPr>
          <w:rFonts w:ascii="宋体" w:hAnsi="宋体"/>
          <w:szCs w:val="21"/>
        </w:rPr>
        <w:t>990对新婚夫妇，分别在县城和22个乡镇举</w:t>
      </w:r>
      <w:r>
        <w:rPr>
          <w:rFonts w:hint="eastAsia" w:ascii="宋体" w:hAnsi="宋体"/>
          <w:szCs w:val="21"/>
        </w:rPr>
        <w:t>行隆重而简朴的集体婚礼。</w:t>
      </w:r>
    </w:p>
    <w:p w14:paraId="29946428">
      <w:pPr>
        <w:ind w:firstLine="420"/>
        <w:rPr>
          <w:rFonts w:ascii="宋体" w:hAnsi="宋体"/>
          <w:szCs w:val="21"/>
        </w:rPr>
      </w:pPr>
      <w:r>
        <w:rPr>
          <w:rFonts w:hint="eastAsia" w:ascii="宋体" w:hAnsi="宋体"/>
          <w:szCs w:val="21"/>
        </w:rPr>
        <w:t>是年，全县种烟面积</w:t>
      </w:r>
      <w:r>
        <w:rPr>
          <w:rFonts w:ascii="宋体" w:hAnsi="宋体"/>
          <w:szCs w:val="21"/>
        </w:rPr>
        <w:t>17332.67公顷，总产31623吨，亩产122公斤，收购28753</w:t>
      </w:r>
      <w:r>
        <w:rPr>
          <w:rFonts w:hint="eastAsia" w:ascii="宋体" w:hAnsi="宋体"/>
          <w:szCs w:val="21"/>
        </w:rPr>
        <w:t>吨，创黄烟面积产量和收购量新水平。</w:t>
      </w:r>
    </w:p>
    <w:p w14:paraId="00C7A100">
      <w:pPr>
        <w:pStyle w:val="4"/>
        <w:rPr>
          <w:rFonts w:ascii="宋体" w:hAnsi="宋体"/>
        </w:rPr>
      </w:pPr>
      <w:r>
        <w:rPr>
          <w:rFonts w:ascii="宋体" w:hAnsi="宋体"/>
        </w:rPr>
        <w:t>1993年</w:t>
      </w:r>
    </w:p>
    <w:p w14:paraId="25A7CC61">
      <w:pPr>
        <w:ind w:firstLine="420"/>
        <w:rPr>
          <w:rFonts w:ascii="宋体" w:hAnsi="宋体"/>
          <w:szCs w:val="21"/>
        </w:rPr>
      </w:pPr>
      <w:r>
        <w:rPr>
          <w:rFonts w:ascii="宋体" w:hAnsi="宋体"/>
          <w:szCs w:val="21"/>
        </w:rPr>
        <w:t>2月6日至8日，县举办元宵经贸洽谈会，共签订合同和意向书20宗，资金总额1.51亿元</w:t>
      </w:r>
      <w:r>
        <w:rPr>
          <w:rFonts w:hint="eastAsia" w:ascii="宋体" w:hAnsi="宋体"/>
          <w:szCs w:val="21"/>
        </w:rPr>
        <w:t>。</w:t>
      </w:r>
    </w:p>
    <w:p w14:paraId="302E09E7">
      <w:pPr>
        <w:ind w:firstLine="420"/>
        <w:rPr>
          <w:rFonts w:ascii="宋体" w:hAnsi="宋体"/>
          <w:szCs w:val="21"/>
        </w:rPr>
      </w:pPr>
      <w:r>
        <w:rPr>
          <w:rFonts w:ascii="宋体" w:hAnsi="宋体"/>
          <w:szCs w:val="21"/>
        </w:rPr>
        <w:t>2月14日，美国圣母大学、中国地质大学、北京自然博物馆组成联合科学考察</w:t>
      </w:r>
      <w:r>
        <w:rPr>
          <w:rFonts w:hint="eastAsia" w:ascii="宋体" w:hAnsi="宋体"/>
          <w:szCs w:val="21"/>
        </w:rPr>
        <w:t>队来雄考察红层地质。</w:t>
      </w:r>
    </w:p>
    <w:p w14:paraId="6B7F94D5">
      <w:pPr>
        <w:ind w:firstLine="420"/>
        <w:rPr>
          <w:rFonts w:ascii="宋体" w:hAnsi="宋体"/>
          <w:szCs w:val="21"/>
        </w:rPr>
      </w:pPr>
      <w:r>
        <w:rPr>
          <w:rFonts w:ascii="宋体" w:hAnsi="宋体"/>
          <w:szCs w:val="21"/>
        </w:rPr>
        <w:t>2月21日至25日，中共南雄县第八次代表大会在县城举行，出席代表380人。</w:t>
      </w:r>
      <w:r>
        <w:rPr>
          <w:rFonts w:hint="eastAsia" w:ascii="宋体" w:hAnsi="宋体"/>
          <w:szCs w:val="21"/>
        </w:rPr>
        <w:t>大会选举产生中共南雄县第八届委员会、中共南雄县纪律检查委员会。江青粦为县委书记，谢兴宏为县纪委书记。</w:t>
      </w:r>
    </w:p>
    <w:p w14:paraId="33DE0EAE">
      <w:pPr>
        <w:ind w:firstLine="420"/>
        <w:rPr>
          <w:rFonts w:ascii="宋体" w:hAnsi="宋体"/>
          <w:szCs w:val="21"/>
        </w:rPr>
      </w:pPr>
      <w:r>
        <w:rPr>
          <w:rFonts w:ascii="宋体" w:hAnsi="宋体"/>
          <w:szCs w:val="21"/>
        </w:rPr>
        <w:t>2月27日至3月3日，南雄县第十届人民代表大会第一次会议在县城举行，出席</w:t>
      </w:r>
      <w:r>
        <w:rPr>
          <w:rFonts w:hint="eastAsia" w:ascii="宋体" w:hAnsi="宋体"/>
          <w:szCs w:val="21"/>
        </w:rPr>
        <w:t>代表</w:t>
      </w:r>
      <w:r>
        <w:rPr>
          <w:rFonts w:ascii="宋体" w:hAnsi="宋体"/>
          <w:szCs w:val="21"/>
        </w:rPr>
        <w:t>259人。大会选举产生第十届人大常委会，主任黄启钊。选举县人民政府县长、</w:t>
      </w:r>
      <w:r>
        <w:rPr>
          <w:rFonts w:hint="eastAsia" w:ascii="宋体" w:hAnsi="宋体"/>
          <w:szCs w:val="21"/>
        </w:rPr>
        <w:t>副县长，县长郭衍全。</w:t>
      </w:r>
    </w:p>
    <w:p w14:paraId="56111693">
      <w:pPr>
        <w:ind w:firstLine="420"/>
        <w:rPr>
          <w:rFonts w:ascii="宋体" w:hAnsi="宋体"/>
          <w:szCs w:val="21"/>
        </w:rPr>
      </w:pPr>
      <w:r>
        <w:rPr>
          <w:rFonts w:ascii="宋体" w:hAnsi="宋体"/>
          <w:szCs w:val="21"/>
        </w:rPr>
        <w:t>2月27日至3月4日，中国人民政治协商会议南雄县第五届委员会第一次会议在</w:t>
      </w:r>
      <w:r>
        <w:rPr>
          <w:rFonts w:hint="eastAsia" w:ascii="宋体" w:hAnsi="宋体"/>
          <w:szCs w:val="21"/>
        </w:rPr>
        <w:t>县城举行。选举产生第五届政协常委会，主席吴述超。</w:t>
      </w:r>
    </w:p>
    <w:p w14:paraId="4EC0D149">
      <w:pPr>
        <w:ind w:firstLine="420"/>
        <w:rPr>
          <w:rFonts w:ascii="宋体" w:hAnsi="宋体"/>
          <w:szCs w:val="21"/>
        </w:rPr>
      </w:pPr>
      <w:r>
        <w:rPr>
          <w:rFonts w:ascii="宋体" w:hAnsi="宋体"/>
          <w:szCs w:val="21"/>
        </w:rPr>
        <w:t>3月20日，开通微波通讯和万门数字程控电话</w:t>
      </w:r>
      <w:r>
        <w:rPr>
          <w:rFonts w:hint="eastAsia" w:ascii="宋体" w:hAnsi="宋体"/>
          <w:szCs w:val="21"/>
        </w:rPr>
        <w:t>。</w:t>
      </w:r>
    </w:p>
    <w:p w14:paraId="525FBF19">
      <w:pPr>
        <w:ind w:firstLine="420"/>
        <w:rPr>
          <w:rFonts w:ascii="宋体" w:hAnsi="宋体"/>
          <w:szCs w:val="21"/>
        </w:rPr>
      </w:pPr>
      <w:r>
        <w:rPr>
          <w:rFonts w:ascii="宋体" w:hAnsi="宋体"/>
          <w:szCs w:val="21"/>
        </w:rPr>
        <w:t>5月1日下午至翌日晚，南雄县遭受特大暴雨袭击，降雨量达208毫米，江河暴</w:t>
      </w:r>
      <w:r>
        <w:rPr>
          <w:rFonts w:hint="eastAsia" w:ascii="宋体" w:hAnsi="宋体"/>
          <w:szCs w:val="21"/>
        </w:rPr>
        <w:t>涨，洪水成灾。毁坏和倒塌房屋</w:t>
      </w:r>
      <w:r>
        <w:rPr>
          <w:rFonts w:ascii="宋体" w:hAnsi="宋体"/>
          <w:szCs w:val="21"/>
        </w:rPr>
        <w:t>10184间，死亡2人，无家可归698户4048人；冲</w:t>
      </w:r>
      <w:r>
        <w:rPr>
          <w:rFonts w:hint="eastAsia" w:ascii="宋体" w:hAnsi="宋体"/>
          <w:szCs w:val="21"/>
        </w:rPr>
        <w:t>坏陂头</w:t>
      </w:r>
      <w:r>
        <w:rPr>
          <w:rFonts w:ascii="宋体" w:hAnsi="宋体"/>
          <w:szCs w:val="21"/>
        </w:rPr>
        <w:t>268座、水圳660处、桥梁46座、河堤410处、公路101处、农田379.67公</w:t>
      </w:r>
      <w:r>
        <w:rPr>
          <w:rFonts w:hint="eastAsia" w:ascii="宋体" w:hAnsi="宋体"/>
          <w:szCs w:val="21"/>
        </w:rPr>
        <w:t>顷；农作物受损</w:t>
      </w:r>
      <w:r>
        <w:rPr>
          <w:rFonts w:ascii="宋体" w:hAnsi="宋体"/>
          <w:szCs w:val="21"/>
        </w:rPr>
        <w:t>11358.73公顷，其中黄烟636公顷。直接经济损失1.67亿元。灾</w:t>
      </w:r>
      <w:r>
        <w:rPr>
          <w:rFonts w:hint="eastAsia" w:ascii="宋体" w:hAnsi="宋体"/>
          <w:szCs w:val="21"/>
        </w:rPr>
        <w:t>后，县委、县政府迅速动员全县人民投入抗洪救灾，重建家园。机关单位和个人捐款</w:t>
      </w:r>
      <w:r>
        <w:rPr>
          <w:rFonts w:ascii="宋体" w:hAnsi="宋体"/>
          <w:szCs w:val="21"/>
        </w:rPr>
        <w:t>90多万元，衣物2万多件，麻袋9万多只。县发放救灾款300多万元，调运化肥1800多吨和柴油120多吨</w:t>
      </w:r>
      <w:r>
        <w:rPr>
          <w:rFonts w:hint="eastAsia" w:ascii="宋体" w:hAnsi="宋体"/>
          <w:szCs w:val="21"/>
        </w:rPr>
        <w:t>。</w:t>
      </w:r>
    </w:p>
    <w:p w14:paraId="2E89376A">
      <w:pPr>
        <w:ind w:firstLine="420"/>
        <w:rPr>
          <w:rFonts w:ascii="宋体" w:hAnsi="宋体"/>
          <w:szCs w:val="21"/>
        </w:rPr>
      </w:pPr>
      <w:r>
        <w:rPr>
          <w:rFonts w:ascii="宋体" w:hAnsi="宋体"/>
          <w:szCs w:val="21"/>
        </w:rPr>
        <w:t>7月18日，南雄县开通移动电话。</w:t>
      </w:r>
    </w:p>
    <w:p w14:paraId="3F7442CC">
      <w:pPr>
        <w:ind w:firstLine="420"/>
        <w:rPr>
          <w:rFonts w:ascii="宋体" w:hAnsi="宋体"/>
          <w:szCs w:val="21"/>
        </w:rPr>
      </w:pPr>
      <w:r>
        <w:rPr>
          <w:rFonts w:ascii="宋体" w:hAnsi="宋体"/>
          <w:szCs w:val="21"/>
        </w:rPr>
        <w:t>9月，《南雄县志》参加全国700部新志书评比，被评为“全国新编地方志优秀</w:t>
      </w:r>
      <w:r>
        <w:rPr>
          <w:rFonts w:hint="eastAsia" w:ascii="宋体" w:hAnsi="宋体"/>
          <w:szCs w:val="21"/>
        </w:rPr>
        <w:t>成果一等奖”。</w:t>
      </w:r>
    </w:p>
    <w:p w14:paraId="2D3CD3EA">
      <w:pPr>
        <w:ind w:firstLine="420"/>
        <w:rPr>
          <w:rFonts w:ascii="宋体" w:hAnsi="宋体"/>
          <w:szCs w:val="21"/>
        </w:rPr>
      </w:pPr>
      <w:r>
        <w:rPr>
          <w:rFonts w:ascii="宋体" w:hAnsi="宋体"/>
          <w:szCs w:val="21"/>
        </w:rPr>
        <w:t>10月28日，原中国共产党中央顾问委员（简称中顾委）会常委李德生一行到南</w:t>
      </w:r>
      <w:r>
        <w:rPr>
          <w:rFonts w:hint="eastAsia" w:ascii="宋体" w:hAnsi="宋体"/>
          <w:szCs w:val="21"/>
        </w:rPr>
        <w:t>雄视察，题词：“百事顺意”、“翠屏生辉”。</w:t>
      </w:r>
    </w:p>
    <w:p w14:paraId="31476596">
      <w:pPr>
        <w:ind w:firstLine="420"/>
        <w:rPr>
          <w:rFonts w:ascii="宋体" w:hAnsi="宋体"/>
          <w:szCs w:val="21"/>
        </w:rPr>
      </w:pPr>
      <w:r>
        <w:rPr>
          <w:rFonts w:ascii="宋体" w:hAnsi="宋体"/>
          <w:szCs w:val="21"/>
        </w:rPr>
        <w:t>11月8日，县成立商品粮基地建设领导小组。国家计划委员会、农业部、水利</w:t>
      </w:r>
      <w:r>
        <w:rPr>
          <w:rFonts w:hint="eastAsia" w:ascii="宋体" w:hAnsi="宋体"/>
          <w:szCs w:val="21"/>
        </w:rPr>
        <w:t>部于当年批准南雄县为全国“八五”第二批商品粮基地县。</w:t>
      </w:r>
    </w:p>
    <w:p w14:paraId="12E1F9CA">
      <w:pPr>
        <w:ind w:firstLine="420"/>
        <w:rPr>
          <w:rFonts w:ascii="宋体" w:hAnsi="宋体"/>
          <w:szCs w:val="21"/>
        </w:rPr>
      </w:pPr>
      <w:r>
        <w:rPr>
          <w:rFonts w:ascii="宋体" w:hAnsi="宋体"/>
          <w:szCs w:val="21"/>
        </w:rPr>
        <w:t>11月22日，南雄大会堂动工兴建。该工程总投资750多万元，建筑面积6315平</w:t>
      </w:r>
      <w:r>
        <w:rPr>
          <w:rFonts w:hint="eastAsia" w:ascii="宋体" w:hAnsi="宋体"/>
          <w:szCs w:val="21"/>
        </w:rPr>
        <w:t>方米，设座位</w:t>
      </w:r>
      <w:r>
        <w:rPr>
          <w:rFonts w:ascii="宋体" w:hAnsi="宋体"/>
          <w:szCs w:val="21"/>
        </w:rPr>
        <w:t>1068个，于1995年3月29日竣工。</w:t>
      </w:r>
    </w:p>
    <w:p w14:paraId="4E0405E2">
      <w:pPr>
        <w:ind w:firstLine="420"/>
        <w:rPr>
          <w:rFonts w:ascii="宋体" w:hAnsi="宋体"/>
          <w:szCs w:val="21"/>
        </w:rPr>
      </w:pPr>
      <w:r>
        <w:rPr>
          <w:rFonts w:ascii="宋体" w:hAnsi="宋体"/>
          <w:szCs w:val="21"/>
        </w:rPr>
        <w:t>11月27日，县召开五大基地建设下乡工作队动员大会。大会提出“八五”期间</w:t>
      </w:r>
      <w:r>
        <w:rPr>
          <w:rFonts w:hint="eastAsia" w:ascii="宋体" w:hAnsi="宋体"/>
          <w:szCs w:val="21"/>
        </w:rPr>
        <w:t>建立白果基地3</w:t>
      </w:r>
      <w:r>
        <w:rPr>
          <w:rFonts w:ascii="宋体" w:hAnsi="宋体"/>
          <w:szCs w:val="21"/>
        </w:rPr>
        <w:t>333.33公顷、毛竹基地2</w:t>
      </w:r>
      <w:r>
        <w:rPr>
          <w:rFonts w:hint="eastAsia" w:ascii="宋体" w:hAnsi="宋体"/>
          <w:szCs w:val="21"/>
        </w:rPr>
        <w:t>0</w:t>
      </w:r>
      <w:r>
        <w:rPr>
          <w:rFonts w:ascii="宋体" w:hAnsi="宋体"/>
          <w:szCs w:val="21"/>
        </w:rPr>
        <w:t>000公顷、松香基地</w:t>
      </w:r>
      <w:r>
        <w:rPr>
          <w:rFonts w:hint="eastAsia" w:ascii="宋体" w:hAnsi="宋体"/>
          <w:szCs w:val="21"/>
        </w:rPr>
        <w:t>6</w:t>
      </w:r>
      <w:r>
        <w:rPr>
          <w:rFonts w:ascii="宋体" w:hAnsi="宋体"/>
          <w:szCs w:val="21"/>
        </w:rPr>
        <w:t>666.67公顷、油茶基</w:t>
      </w:r>
      <w:r>
        <w:rPr>
          <w:rFonts w:hint="eastAsia" w:ascii="宋体" w:hAnsi="宋体"/>
          <w:szCs w:val="21"/>
        </w:rPr>
        <w:t>地</w:t>
      </w:r>
      <w:r>
        <w:rPr>
          <w:rFonts w:ascii="宋体" w:hAnsi="宋体"/>
          <w:szCs w:val="21"/>
        </w:rPr>
        <w:t>2000公顷、药材基地2000公顷。</w:t>
      </w:r>
    </w:p>
    <w:p w14:paraId="43D03C80">
      <w:pPr>
        <w:ind w:firstLine="420"/>
        <w:rPr>
          <w:rFonts w:ascii="宋体" w:hAnsi="宋体"/>
          <w:szCs w:val="21"/>
        </w:rPr>
      </w:pPr>
      <w:r>
        <w:rPr>
          <w:rFonts w:ascii="宋体" w:hAnsi="宋体"/>
          <w:szCs w:val="21"/>
        </w:rPr>
        <w:t>11月，古市镇文化技术学校，获联合国教科文中心奖励的价值为1000元美金的20项目电化教具。</w:t>
      </w:r>
    </w:p>
    <w:p w14:paraId="0DE42724">
      <w:pPr>
        <w:ind w:firstLine="420"/>
        <w:rPr>
          <w:rFonts w:ascii="宋体" w:hAnsi="宋体"/>
          <w:szCs w:val="21"/>
        </w:rPr>
      </w:pPr>
      <w:r>
        <w:rPr>
          <w:rFonts w:ascii="宋体" w:hAnsi="宋体"/>
          <w:szCs w:val="21"/>
        </w:rPr>
        <w:t>12月1日，韶关市人民政府同意评划南雄县帽子峰乡富竹管理区黄沙坑村等879</w:t>
      </w:r>
      <w:r>
        <w:rPr>
          <w:rFonts w:hint="eastAsia" w:ascii="宋体" w:hAnsi="宋体"/>
          <w:szCs w:val="21"/>
        </w:rPr>
        <w:t>个村庄为解放战争游击根据地村庄。</w:t>
      </w:r>
    </w:p>
    <w:p w14:paraId="125752D9">
      <w:pPr>
        <w:ind w:firstLine="420"/>
        <w:rPr>
          <w:rFonts w:ascii="宋体" w:hAnsi="宋体"/>
          <w:szCs w:val="21"/>
        </w:rPr>
      </w:pPr>
      <w:r>
        <w:rPr>
          <w:rFonts w:ascii="宋体" w:hAnsi="宋体"/>
          <w:szCs w:val="21"/>
        </w:rPr>
        <w:t>12月7日至9日，县十届人民代表大会第二次会议，选举丘隆基为南雄县县长。</w:t>
      </w:r>
    </w:p>
    <w:p w14:paraId="5C9EDB12">
      <w:pPr>
        <w:ind w:firstLine="420"/>
        <w:rPr>
          <w:rFonts w:ascii="宋体" w:hAnsi="宋体"/>
          <w:szCs w:val="21"/>
        </w:rPr>
      </w:pPr>
      <w:r>
        <w:rPr>
          <w:rFonts w:ascii="宋体" w:hAnsi="宋体"/>
          <w:szCs w:val="21"/>
        </w:rPr>
        <w:t>12月26日至30日，省、市政府、人大和教育部门组成30人的“普九”工作验</w:t>
      </w:r>
      <w:r>
        <w:rPr>
          <w:rFonts w:hint="eastAsia" w:ascii="宋体" w:hAnsi="宋体"/>
          <w:szCs w:val="21"/>
        </w:rPr>
        <w:t>收组，对南雄县普及九年义务教育工作进行验收，宣布全县</w:t>
      </w:r>
      <w:r>
        <w:rPr>
          <w:rFonts w:ascii="宋体" w:hAnsi="宋体"/>
          <w:szCs w:val="21"/>
        </w:rPr>
        <w:t>24个乡镇均合格达标。</w:t>
      </w:r>
    </w:p>
    <w:p w14:paraId="16B4D1B2">
      <w:pPr>
        <w:pStyle w:val="4"/>
        <w:rPr>
          <w:rFonts w:ascii="宋体" w:hAnsi="宋体"/>
        </w:rPr>
      </w:pPr>
      <w:r>
        <w:rPr>
          <w:rFonts w:ascii="宋体" w:hAnsi="宋体"/>
        </w:rPr>
        <w:t>1994年</w:t>
      </w:r>
    </w:p>
    <w:p w14:paraId="3134BE13">
      <w:pPr>
        <w:ind w:firstLine="420"/>
        <w:rPr>
          <w:rFonts w:ascii="宋体" w:hAnsi="宋体"/>
          <w:szCs w:val="21"/>
        </w:rPr>
      </w:pPr>
      <w:r>
        <w:rPr>
          <w:rFonts w:ascii="宋体" w:hAnsi="宋体"/>
          <w:szCs w:val="21"/>
        </w:rPr>
        <w:t>1月1日，美国印第安纳州圣母大学地质教授小瑞格比先生一行10人应中国地</w:t>
      </w:r>
      <w:r>
        <w:rPr>
          <w:rFonts w:hint="eastAsia" w:ascii="宋体" w:hAnsi="宋体"/>
          <w:szCs w:val="21"/>
        </w:rPr>
        <w:t>质矿产部的邀请，到南雄考察，为期半个月。</w:t>
      </w:r>
    </w:p>
    <w:p w14:paraId="0D7EF694">
      <w:pPr>
        <w:ind w:firstLine="420"/>
        <w:rPr>
          <w:rFonts w:ascii="宋体" w:hAnsi="宋体"/>
          <w:szCs w:val="21"/>
        </w:rPr>
      </w:pPr>
      <w:r>
        <w:rPr>
          <w:rFonts w:ascii="宋体" w:hAnsi="宋体"/>
          <w:szCs w:val="21"/>
        </w:rPr>
        <w:t>1月，电视微波站建成。可接收韶关台，香港的本港台、翡翠台等。总投资80</w:t>
      </w:r>
      <w:r>
        <w:rPr>
          <w:rFonts w:hint="eastAsia" w:ascii="宋体" w:hAnsi="宋体"/>
          <w:szCs w:val="21"/>
        </w:rPr>
        <w:t>万元。</w:t>
      </w:r>
    </w:p>
    <w:p w14:paraId="24FA6A50">
      <w:pPr>
        <w:ind w:firstLine="420"/>
        <w:rPr>
          <w:rFonts w:ascii="宋体" w:hAnsi="宋体"/>
          <w:szCs w:val="21"/>
        </w:rPr>
      </w:pPr>
      <w:r>
        <w:rPr>
          <w:rFonts w:ascii="宋体" w:hAnsi="宋体"/>
          <w:szCs w:val="21"/>
        </w:rPr>
        <w:t>3月2日，雄州镇水南新村首期工程落成剪彩。该村占地面积13万平方米，已</w:t>
      </w:r>
      <w:r>
        <w:rPr>
          <w:rFonts w:hint="eastAsia" w:ascii="宋体" w:hAnsi="宋体"/>
          <w:szCs w:val="21"/>
        </w:rPr>
        <w:t>建好钢混结构住宅楼房</w:t>
      </w:r>
      <w:r>
        <w:rPr>
          <w:rFonts w:ascii="宋体" w:hAnsi="宋体"/>
          <w:szCs w:val="21"/>
        </w:rPr>
        <w:t>450多座。省长朱森林为该村牌楼题额：“</w:t>
      </w:r>
      <w:r>
        <w:rPr>
          <w:rFonts w:hint="eastAsia" w:ascii="宋体" w:hAnsi="宋体"/>
          <w:szCs w:val="21"/>
        </w:rPr>
        <w:t>粤</w:t>
      </w:r>
      <w:r>
        <w:rPr>
          <w:rFonts w:ascii="宋体" w:hAnsi="宋体"/>
          <w:szCs w:val="21"/>
        </w:rPr>
        <w:t>北第一村”。</w:t>
      </w:r>
    </w:p>
    <w:p w14:paraId="6FCFBBEA">
      <w:pPr>
        <w:ind w:firstLine="420"/>
        <w:rPr>
          <w:rFonts w:ascii="宋体" w:hAnsi="宋体"/>
          <w:szCs w:val="21"/>
        </w:rPr>
      </w:pPr>
      <w:r>
        <w:rPr>
          <w:rFonts w:ascii="宋体" w:hAnsi="宋体"/>
          <w:szCs w:val="21"/>
        </w:rPr>
        <w:t>3月2日，县城标准钟装成。该钟安装在40多米高的县税务局大楼顶端</w:t>
      </w:r>
      <w:r>
        <w:rPr>
          <w:rFonts w:hint="eastAsia" w:ascii="宋体" w:hAnsi="宋体"/>
          <w:szCs w:val="21"/>
        </w:rPr>
        <w:t>。</w:t>
      </w:r>
    </w:p>
    <w:p w14:paraId="6999D052">
      <w:pPr>
        <w:ind w:firstLine="420"/>
        <w:rPr>
          <w:rFonts w:ascii="宋体" w:hAnsi="宋体"/>
          <w:szCs w:val="21"/>
        </w:rPr>
      </w:pPr>
      <w:r>
        <w:rPr>
          <w:rFonts w:ascii="宋体" w:hAnsi="宋体"/>
          <w:szCs w:val="21"/>
        </w:rPr>
        <w:t>3月7日至9日，中国人民解放军上将、原中顾委常委肖克一行到南雄视察，并</w:t>
      </w:r>
      <w:r>
        <w:rPr>
          <w:rFonts w:hint="eastAsia" w:ascii="宋体" w:hAnsi="宋体"/>
          <w:szCs w:val="21"/>
        </w:rPr>
        <w:t>为南雄题词：“政通人和，百业昌盛”。</w:t>
      </w:r>
    </w:p>
    <w:p w14:paraId="6E5C2883">
      <w:pPr>
        <w:ind w:firstLine="420"/>
        <w:rPr>
          <w:rFonts w:ascii="宋体" w:hAnsi="宋体"/>
          <w:szCs w:val="21"/>
        </w:rPr>
      </w:pPr>
      <w:r>
        <w:rPr>
          <w:rFonts w:ascii="宋体" w:hAnsi="宋体"/>
          <w:szCs w:val="21"/>
        </w:rPr>
        <w:t>6月18日，翠屏实业股份有限公司成立。该公司是全国林业系统首家股份有限</w:t>
      </w:r>
      <w:r>
        <w:rPr>
          <w:rFonts w:hint="eastAsia" w:ascii="宋体" w:hAnsi="宋体"/>
          <w:szCs w:val="21"/>
        </w:rPr>
        <w:t>公司，由国有帽子峰林场和金叶、华顺两公司参与发起筹建，净资产总值</w:t>
      </w:r>
      <w:r>
        <w:rPr>
          <w:rFonts w:ascii="宋体" w:hAnsi="宋体"/>
          <w:szCs w:val="21"/>
        </w:rPr>
        <w:t>4558万元，</w:t>
      </w:r>
      <w:r>
        <w:rPr>
          <w:rFonts w:hint="eastAsia" w:ascii="宋体" w:hAnsi="宋体"/>
          <w:szCs w:val="21"/>
        </w:rPr>
        <w:t>拥有林业、水电、养殖等</w:t>
      </w:r>
      <w:r>
        <w:rPr>
          <w:rFonts w:ascii="宋体" w:hAnsi="宋体"/>
          <w:szCs w:val="21"/>
        </w:rPr>
        <w:t>12家企业。1997年该公司形成“公司＋基地＋农户”的经</w:t>
      </w:r>
      <w:r>
        <w:rPr>
          <w:rFonts w:hint="eastAsia" w:ascii="宋体" w:hAnsi="宋体"/>
          <w:szCs w:val="21"/>
        </w:rPr>
        <w:t>营模式，被广东省体改委命名为“翠屏模式”。国家体改委批准该公司为全国农业产业化首批试点单位。而后因经营不善等原因亏损严重。所属企业除林场、水电站外，其余均先后以不同形式转制。</w:t>
      </w:r>
    </w:p>
    <w:p w14:paraId="4335CFFB">
      <w:pPr>
        <w:ind w:firstLine="420"/>
        <w:rPr>
          <w:rFonts w:ascii="宋体" w:hAnsi="宋体"/>
          <w:szCs w:val="21"/>
        </w:rPr>
      </w:pPr>
      <w:r>
        <w:rPr>
          <w:rFonts w:ascii="宋体" w:hAnsi="宋体"/>
          <w:szCs w:val="21"/>
        </w:rPr>
        <w:t>6月19日至20日，南雄县突遭暴雨袭击，降雨量达190毫米～220毫米，直接</w:t>
      </w:r>
      <w:r>
        <w:rPr>
          <w:rFonts w:hint="eastAsia" w:ascii="宋体" w:hAnsi="宋体"/>
          <w:szCs w:val="21"/>
        </w:rPr>
        <w:t>经济损失</w:t>
      </w:r>
      <w:r>
        <w:rPr>
          <w:rFonts w:ascii="宋体" w:hAnsi="宋体"/>
          <w:szCs w:val="21"/>
        </w:rPr>
        <w:t>1.45亿元；倒塌房屋2785间，死亡3人，受伤11人；受淹农作物8220公</w:t>
      </w:r>
      <w:r>
        <w:rPr>
          <w:rFonts w:hint="eastAsia" w:ascii="宋体" w:hAnsi="宋体"/>
          <w:szCs w:val="21"/>
        </w:rPr>
        <w:t>顷，毁坏陂头</w:t>
      </w:r>
      <w:r>
        <w:rPr>
          <w:rFonts w:ascii="宋体" w:hAnsi="宋体"/>
          <w:szCs w:val="21"/>
        </w:rPr>
        <w:t>354座、河堤水圳44公里。县委、县政府成立抗洪救灾指挥部，开展</w:t>
      </w:r>
      <w:r>
        <w:rPr>
          <w:rFonts w:hint="eastAsia" w:ascii="宋体" w:hAnsi="宋体"/>
          <w:szCs w:val="21"/>
        </w:rPr>
        <w:t>抗洪救灾工作。</w:t>
      </w:r>
    </w:p>
    <w:p w14:paraId="286B6FE5">
      <w:pPr>
        <w:ind w:firstLine="420"/>
        <w:rPr>
          <w:rFonts w:ascii="宋体" w:hAnsi="宋体"/>
          <w:szCs w:val="21"/>
        </w:rPr>
      </w:pPr>
      <w:r>
        <w:rPr>
          <w:rFonts w:ascii="宋体" w:hAnsi="宋体"/>
          <w:szCs w:val="21"/>
        </w:rPr>
        <w:t>6月，经省政府批准，全安、苍石、主田、油山、帽子峰、江头、邓坊、黎口、</w:t>
      </w:r>
      <w:r>
        <w:rPr>
          <w:rFonts w:hint="eastAsia" w:ascii="宋体" w:hAnsi="宋体"/>
          <w:szCs w:val="21"/>
        </w:rPr>
        <w:t>坪田、新龙、孔江、南亩</w:t>
      </w:r>
      <w:r>
        <w:rPr>
          <w:rFonts w:ascii="宋体" w:hAnsi="宋体"/>
          <w:szCs w:val="21"/>
        </w:rPr>
        <w:t>12个乡改为镇。至此，全县24个行政区域均为镇建制。</w:t>
      </w:r>
    </w:p>
    <w:p w14:paraId="605153DE">
      <w:pPr>
        <w:ind w:firstLine="420"/>
        <w:rPr>
          <w:rFonts w:ascii="宋体" w:hAnsi="宋体"/>
          <w:szCs w:val="21"/>
        </w:rPr>
      </w:pPr>
      <w:r>
        <w:rPr>
          <w:rFonts w:ascii="宋体" w:hAnsi="宋体"/>
          <w:szCs w:val="21"/>
        </w:rPr>
        <w:t>10月6日至9日，南雄县农村水电初级电气化，经省、市、县组成的验收委员</w:t>
      </w:r>
      <w:r>
        <w:rPr>
          <w:rFonts w:hint="eastAsia" w:ascii="宋体" w:hAnsi="宋体"/>
          <w:szCs w:val="21"/>
        </w:rPr>
        <w:t>会考核检查，提前一年成为全国第二批农村水电初级电气化达标县。</w:t>
      </w:r>
    </w:p>
    <w:p w14:paraId="6650AB3C">
      <w:pPr>
        <w:ind w:firstLine="420"/>
        <w:rPr>
          <w:rFonts w:ascii="宋体" w:hAnsi="宋体"/>
          <w:szCs w:val="21"/>
        </w:rPr>
      </w:pPr>
      <w:r>
        <w:rPr>
          <w:rFonts w:ascii="宋体" w:hAnsi="宋体"/>
          <w:szCs w:val="21"/>
        </w:rPr>
        <w:t>10月9日，中国民主同盟南雄县总支部委员会成立。</w:t>
      </w:r>
    </w:p>
    <w:p w14:paraId="1AC07EBC">
      <w:pPr>
        <w:ind w:firstLine="420"/>
        <w:rPr>
          <w:rFonts w:ascii="宋体" w:hAnsi="宋体"/>
          <w:szCs w:val="21"/>
        </w:rPr>
      </w:pPr>
      <w:r>
        <w:rPr>
          <w:rFonts w:ascii="宋体" w:hAnsi="宋体"/>
          <w:szCs w:val="21"/>
        </w:rPr>
        <w:t>10月27日下午，由省委常委、广州市委书记高祀仁和广州市长黎子流率领的广</w:t>
      </w:r>
      <w:r>
        <w:rPr>
          <w:rFonts w:hint="eastAsia" w:ascii="宋体" w:hAnsi="宋体"/>
          <w:szCs w:val="21"/>
        </w:rPr>
        <w:t>州、顺德、番禺、南海以及香港等地的珠玑巷南迁后裔考察团一行</w:t>
      </w:r>
      <w:r>
        <w:rPr>
          <w:rFonts w:ascii="宋体" w:hAnsi="宋体"/>
          <w:szCs w:val="21"/>
        </w:rPr>
        <w:t>33人，到南雄参</w:t>
      </w:r>
      <w:r>
        <w:rPr>
          <w:rFonts w:hint="eastAsia" w:ascii="宋体" w:hAnsi="宋体"/>
          <w:szCs w:val="21"/>
        </w:rPr>
        <w:t>观考察，受到县党政领导及上万群众夹道欢迎。晚上，县委、县政府在雄州体育馆举行隆重的欢迎大会。</w:t>
      </w:r>
    </w:p>
    <w:p w14:paraId="626C212E">
      <w:pPr>
        <w:ind w:firstLine="420"/>
        <w:rPr>
          <w:rFonts w:ascii="宋体" w:hAnsi="宋体"/>
          <w:szCs w:val="21"/>
        </w:rPr>
      </w:pPr>
      <w:r>
        <w:rPr>
          <w:rFonts w:ascii="宋体" w:hAnsi="宋体"/>
          <w:szCs w:val="21"/>
        </w:rPr>
        <w:t>10月28日上午，珠玑巷人南迁后裔考察团一行到珠玑古巷，受到珠玑镇党委和</w:t>
      </w:r>
      <w:r>
        <w:rPr>
          <w:rFonts w:hint="eastAsia" w:ascii="宋体" w:hAnsi="宋体"/>
          <w:szCs w:val="21"/>
        </w:rPr>
        <w:t>政府及乡亲们的热烈欢迎。贵宾们参加了“胡妃玉像”揭幕和“张昌故居”落成剪彩仪式，观看了珠玑古巷民间艺术表演。</w:t>
      </w:r>
    </w:p>
    <w:p w14:paraId="11678C96">
      <w:pPr>
        <w:ind w:firstLine="420"/>
        <w:rPr>
          <w:rFonts w:ascii="宋体" w:hAnsi="宋体"/>
          <w:szCs w:val="21"/>
        </w:rPr>
      </w:pPr>
      <w:r>
        <w:rPr>
          <w:rFonts w:ascii="宋体" w:hAnsi="宋体"/>
          <w:szCs w:val="21"/>
        </w:rPr>
        <w:t>12月4日，全县电话号码由6位升为7位，并入韶关本地网。</w:t>
      </w:r>
    </w:p>
    <w:p w14:paraId="17B36F6A">
      <w:pPr>
        <w:ind w:firstLine="420"/>
        <w:rPr>
          <w:rFonts w:ascii="宋体" w:hAnsi="宋体"/>
          <w:szCs w:val="21"/>
        </w:rPr>
      </w:pPr>
      <w:r>
        <w:rPr>
          <w:rFonts w:ascii="宋体" w:hAnsi="宋体"/>
          <w:szCs w:val="21"/>
        </w:rPr>
        <w:t>12月7日至10日，全省竹业经营管理现场会在南雄县召开，省、市有关领导和39个市、县代表共70多人出席了会议。与会代表参观了南雄澜河镇和江西崇义县的</w:t>
      </w:r>
      <w:r>
        <w:rPr>
          <w:rFonts w:hint="eastAsia" w:ascii="宋体" w:hAnsi="宋体"/>
          <w:szCs w:val="21"/>
        </w:rPr>
        <w:t>毛竹点。</w:t>
      </w:r>
    </w:p>
    <w:p w14:paraId="3E19C29D">
      <w:pPr>
        <w:pStyle w:val="4"/>
        <w:rPr>
          <w:rFonts w:ascii="宋体" w:hAnsi="宋体"/>
        </w:rPr>
      </w:pPr>
      <w:r>
        <w:rPr>
          <w:rFonts w:ascii="宋体" w:hAnsi="宋体"/>
        </w:rPr>
        <w:t>1995年</w:t>
      </w:r>
    </w:p>
    <w:p w14:paraId="6C55A1AE">
      <w:pPr>
        <w:ind w:firstLine="420"/>
        <w:rPr>
          <w:rFonts w:ascii="宋体" w:hAnsi="宋体"/>
          <w:szCs w:val="21"/>
        </w:rPr>
      </w:pPr>
      <w:r>
        <w:rPr>
          <w:rFonts w:ascii="宋体" w:hAnsi="宋体"/>
          <w:szCs w:val="21"/>
        </w:rPr>
        <w:t>1月，万门程控电话扩容工程建成。</w:t>
      </w:r>
    </w:p>
    <w:p w14:paraId="651F2419">
      <w:pPr>
        <w:ind w:firstLine="420"/>
        <w:rPr>
          <w:rFonts w:ascii="宋体" w:hAnsi="宋体"/>
          <w:szCs w:val="21"/>
        </w:rPr>
      </w:pPr>
      <w:r>
        <w:rPr>
          <w:rFonts w:ascii="宋体" w:hAnsi="宋体"/>
          <w:szCs w:val="21"/>
        </w:rPr>
        <w:t>2月20日，珠玑大酒店在县城建设路动工兴建。是年底落成启用。</w:t>
      </w:r>
    </w:p>
    <w:p w14:paraId="0E94D223">
      <w:pPr>
        <w:ind w:firstLine="420"/>
        <w:rPr>
          <w:rFonts w:ascii="宋体" w:hAnsi="宋体"/>
          <w:szCs w:val="21"/>
        </w:rPr>
      </w:pPr>
      <w:r>
        <w:rPr>
          <w:rFonts w:ascii="宋体" w:hAnsi="宋体"/>
          <w:szCs w:val="21"/>
        </w:rPr>
        <w:t>3月29日至31日，县人大十届四次会议通过了关于《提请建立南雄县见义勇为</w:t>
      </w:r>
      <w:r>
        <w:rPr>
          <w:rFonts w:hint="eastAsia" w:ascii="宋体" w:hAnsi="宋体"/>
          <w:szCs w:val="21"/>
        </w:rPr>
        <w:t>奖励基金会的议案》的决议。</w:t>
      </w:r>
    </w:p>
    <w:p w14:paraId="128C9F7C">
      <w:pPr>
        <w:ind w:firstLine="420"/>
        <w:rPr>
          <w:rFonts w:ascii="宋体" w:hAnsi="宋体"/>
          <w:szCs w:val="21"/>
        </w:rPr>
      </w:pPr>
      <w:r>
        <w:rPr>
          <w:rFonts w:ascii="宋体" w:hAnsi="宋体"/>
          <w:szCs w:val="21"/>
        </w:rPr>
        <w:t>3月，全国绿化委员会授予古市镇丰源管理区为“全国造林绿化千佳村”称号。</w:t>
      </w:r>
      <w:r>
        <w:rPr>
          <w:rFonts w:hint="eastAsia" w:ascii="宋体" w:hAnsi="宋体"/>
          <w:szCs w:val="21"/>
        </w:rPr>
        <w:t>该村人均造林</w:t>
      </w:r>
      <w:r>
        <w:rPr>
          <w:rFonts w:ascii="宋体" w:hAnsi="宋体"/>
          <w:szCs w:val="21"/>
        </w:rPr>
        <w:t>0.12公顷，村庄林木覆盖率为63.17%</w:t>
      </w:r>
      <w:r>
        <w:rPr>
          <w:rFonts w:hint="eastAsia" w:ascii="宋体" w:hAnsi="宋体"/>
          <w:szCs w:val="21"/>
        </w:rPr>
        <w:t>。</w:t>
      </w:r>
    </w:p>
    <w:p w14:paraId="6B85B001">
      <w:pPr>
        <w:ind w:firstLine="420"/>
        <w:rPr>
          <w:rFonts w:ascii="宋体" w:hAnsi="宋体"/>
          <w:szCs w:val="21"/>
        </w:rPr>
      </w:pPr>
      <w:r>
        <w:rPr>
          <w:rFonts w:ascii="宋体" w:hAnsi="宋体"/>
          <w:szCs w:val="21"/>
        </w:rPr>
        <w:t>5月29日，南雄县博物馆和珠玑巷被韶关市委、市政府命名为首批爱国主义教</w:t>
      </w:r>
      <w:r>
        <w:rPr>
          <w:rFonts w:hint="eastAsia" w:ascii="宋体" w:hAnsi="宋体"/>
          <w:szCs w:val="21"/>
        </w:rPr>
        <w:t>育基地。</w:t>
      </w:r>
    </w:p>
    <w:p w14:paraId="6D8047F7">
      <w:pPr>
        <w:ind w:firstLine="420"/>
        <w:rPr>
          <w:rFonts w:ascii="宋体" w:hAnsi="宋体"/>
          <w:szCs w:val="21"/>
        </w:rPr>
      </w:pPr>
      <w:r>
        <w:rPr>
          <w:rFonts w:ascii="宋体" w:hAnsi="宋体"/>
          <w:szCs w:val="21"/>
        </w:rPr>
        <w:t>7月，开通南雄至韶关的光纤通讯。</w:t>
      </w:r>
    </w:p>
    <w:p w14:paraId="32963367">
      <w:pPr>
        <w:ind w:firstLine="420"/>
        <w:rPr>
          <w:rFonts w:ascii="宋体" w:hAnsi="宋体"/>
          <w:szCs w:val="21"/>
        </w:rPr>
      </w:pPr>
      <w:r>
        <w:rPr>
          <w:rFonts w:ascii="宋体" w:hAnsi="宋体"/>
          <w:szCs w:val="21"/>
        </w:rPr>
        <w:t>10月2日下午，中国桥牌协会、南雄县人民政府、南雄卷烟厂在北京钓鱼台国</w:t>
      </w:r>
      <w:r>
        <w:rPr>
          <w:rFonts w:hint="eastAsia" w:ascii="宋体" w:hAnsi="宋体"/>
          <w:szCs w:val="21"/>
        </w:rPr>
        <w:t>宾馆联合举办“珠玑杯”名人桥牌邀请赛。中共中央政治局委员、书记处书记、中宣部部长丁关根，中共中央政治局委员、国务委员李铁映，全国政协副主席阿沛·阿旺晋美，铁道部原部长吕正操和中共中央办公厅、国务院办公厅、农林部、民政部等部委办的领导及有关负责人共</w:t>
      </w:r>
      <w:r>
        <w:rPr>
          <w:rFonts w:ascii="宋体" w:hAnsi="宋体"/>
          <w:szCs w:val="21"/>
        </w:rPr>
        <w:t>120多人参加了邀请赛。</w:t>
      </w:r>
    </w:p>
    <w:p w14:paraId="422B723A">
      <w:pPr>
        <w:ind w:firstLine="420"/>
        <w:rPr>
          <w:rFonts w:ascii="宋体" w:hAnsi="宋体"/>
          <w:szCs w:val="21"/>
        </w:rPr>
      </w:pPr>
      <w:r>
        <w:rPr>
          <w:rFonts w:ascii="宋体" w:hAnsi="宋体"/>
          <w:szCs w:val="21"/>
        </w:rPr>
        <w:t>11月27日下午，参加广东南雄珠玑巷后裔联谊会成立暨第一届恳亲大会的1700</w:t>
      </w:r>
      <w:r>
        <w:rPr>
          <w:rFonts w:hint="eastAsia" w:ascii="宋体" w:hAnsi="宋体"/>
          <w:szCs w:val="21"/>
        </w:rPr>
        <w:t>多名嘉宾陆续到达县城。县党政领导率全县干部、群众万人夹道欢迎。参加大会人员中有全国政协副主席霍英东偕夫人，全国政协副主席马万祺偕夫人，广东省省长朱森林，新华社香港分社副社长郑国雄，广州市委书记高祀仁，广东省副省长李兰芳，广东省政协副主席、省委统战部部长肖耀堂，广东省政协副主席李金培，广州市市长黎子流，省政协原副主席祁峰以及来自港澳、海外的</w:t>
      </w:r>
      <w:r>
        <w:rPr>
          <w:rFonts w:ascii="宋体" w:hAnsi="宋体"/>
          <w:szCs w:val="21"/>
        </w:rPr>
        <w:t>100多个社团、侨团的代表，来自</w:t>
      </w:r>
      <w:r>
        <w:rPr>
          <w:rFonts w:hint="eastAsia" w:ascii="宋体" w:hAnsi="宋体"/>
          <w:szCs w:val="21"/>
        </w:rPr>
        <w:t>内地的广州、深圳、珠海、中山、佛山、肇庆、江门、东莞、惠州、云浮、韶关市等</w:t>
      </w:r>
      <w:r>
        <w:rPr>
          <w:rFonts w:ascii="宋体" w:hAnsi="宋体"/>
          <w:szCs w:val="21"/>
        </w:rPr>
        <w:t>11个后裔恳亲团</w:t>
      </w:r>
      <w:r>
        <w:rPr>
          <w:rFonts w:hint="eastAsia" w:ascii="宋体" w:hAnsi="宋体"/>
          <w:szCs w:val="21"/>
        </w:rPr>
        <w:t>。</w:t>
      </w:r>
    </w:p>
    <w:p w14:paraId="6B8DB4B9">
      <w:pPr>
        <w:ind w:firstLine="420"/>
        <w:rPr>
          <w:rFonts w:ascii="宋体" w:hAnsi="宋体"/>
          <w:szCs w:val="21"/>
        </w:rPr>
      </w:pPr>
      <w:r>
        <w:rPr>
          <w:rFonts w:ascii="宋体" w:hAnsi="宋体"/>
          <w:szCs w:val="21"/>
        </w:rPr>
        <w:t>11月27日晚上，珠玑巷后裔联谊会筹备委员会召开第一次全体（候选）理事会</w:t>
      </w:r>
      <w:r>
        <w:rPr>
          <w:rFonts w:hint="eastAsia" w:ascii="宋体" w:hAnsi="宋体"/>
          <w:szCs w:val="21"/>
        </w:rPr>
        <w:t>议。会议通过了《广东南雄珠玑巷后裔联谊会修复珠玑古巷基金会章程》，推选出雷洁琼、霍英东、马万祺、高祀仁、欧广源、梁广大、肖耀堂、李金培、吴冷西、祁烽、欧初、侣志广、汤维英</w:t>
      </w:r>
      <w:r>
        <w:rPr>
          <w:rFonts w:ascii="宋体" w:hAnsi="宋体"/>
          <w:szCs w:val="21"/>
        </w:rPr>
        <w:t>13人为联谊会名誉会长，黎子流为会长，李兆基、利国</w:t>
      </w:r>
      <w:r>
        <w:rPr>
          <w:rFonts w:hint="eastAsia" w:ascii="宋体" w:hAnsi="宋体"/>
          <w:szCs w:val="21"/>
        </w:rPr>
        <w:t>伟、何厚铧、何鸿燊、郑裕彤为副会长，郭衍全为理事长，丘隆基为副理事长，黄启钊、吴述超为副秘书长（秘书长空缺）。马有礼等</w:t>
      </w:r>
      <w:r>
        <w:rPr>
          <w:rFonts w:ascii="宋体" w:hAnsi="宋体"/>
          <w:szCs w:val="21"/>
        </w:rPr>
        <w:t>74人为常务理事，马寿山等99人</w:t>
      </w:r>
      <w:r>
        <w:rPr>
          <w:rFonts w:hint="eastAsia" w:ascii="宋体" w:hAnsi="宋体"/>
          <w:szCs w:val="21"/>
        </w:rPr>
        <w:t>为理事。</w:t>
      </w:r>
    </w:p>
    <w:p w14:paraId="7BC1B272">
      <w:pPr>
        <w:ind w:firstLine="420"/>
        <w:rPr>
          <w:rFonts w:ascii="宋体" w:hAnsi="宋体"/>
          <w:szCs w:val="21"/>
        </w:rPr>
      </w:pPr>
      <w:r>
        <w:rPr>
          <w:rFonts w:ascii="宋体" w:hAnsi="宋体"/>
          <w:szCs w:val="21"/>
        </w:rPr>
        <w:t>11月28日上午，广东南雄珠玑巷后裔联谊会成立暨第一届恳亲大会，在县城雄</w:t>
      </w:r>
      <w:r>
        <w:rPr>
          <w:rFonts w:hint="eastAsia" w:ascii="宋体" w:hAnsi="宋体"/>
          <w:szCs w:val="21"/>
        </w:rPr>
        <w:t>州体育馆隆重举行。全国人大常委会副委员长雷洁琼、中共中央统战部办公厅和一些兄弟县、市、单位团体和个人向大会发来了贺信、贺电。全国政协副主席、联谊会名誉会长霍英东宣布：“广东南雄珠玑巷后裔联谊会成立暨第一届恳亲大会开幕”。联谊会会长黎子流，联谊会名誉会长马万祺发表了热情洋溢的讲话。省长朱森林代表省委、省政府向大会表示热烈的祝贺。</w:t>
      </w:r>
    </w:p>
    <w:p w14:paraId="4A22F29C">
      <w:pPr>
        <w:pStyle w:val="4"/>
        <w:rPr>
          <w:rFonts w:ascii="宋体" w:hAnsi="宋体"/>
        </w:rPr>
      </w:pPr>
      <w:r>
        <w:rPr>
          <w:rFonts w:ascii="宋体" w:hAnsi="宋体"/>
        </w:rPr>
        <w:t>1996年</w:t>
      </w:r>
    </w:p>
    <w:p w14:paraId="7B39B6E3">
      <w:pPr>
        <w:ind w:firstLine="420"/>
        <w:rPr>
          <w:rFonts w:ascii="宋体" w:hAnsi="宋体"/>
          <w:szCs w:val="21"/>
        </w:rPr>
      </w:pPr>
      <w:r>
        <w:rPr>
          <w:rFonts w:ascii="宋体" w:hAnsi="宋体"/>
          <w:szCs w:val="21"/>
        </w:rPr>
        <w:t>2月29日，香港鲍思高慈善基金会一行10人到南雄考察，其间向启明小学等5</w:t>
      </w:r>
      <w:r>
        <w:rPr>
          <w:rFonts w:hint="eastAsia" w:ascii="宋体" w:hAnsi="宋体"/>
          <w:szCs w:val="21"/>
        </w:rPr>
        <w:t>所小学捐资近</w:t>
      </w:r>
      <w:r>
        <w:rPr>
          <w:rFonts w:ascii="宋体" w:hAnsi="宋体"/>
          <w:szCs w:val="21"/>
        </w:rPr>
        <w:t>90万元。</w:t>
      </w:r>
    </w:p>
    <w:p w14:paraId="18D8F1E2">
      <w:pPr>
        <w:ind w:firstLine="420"/>
        <w:rPr>
          <w:rFonts w:ascii="宋体" w:hAnsi="宋体"/>
          <w:szCs w:val="21"/>
        </w:rPr>
      </w:pPr>
      <w:r>
        <w:rPr>
          <w:rFonts w:ascii="宋体" w:hAnsi="宋体"/>
          <w:szCs w:val="21"/>
        </w:rPr>
        <w:t>3月24日至28日，南雄县政协第五届第四次会议召开，补选李世名为县政协主</w:t>
      </w:r>
      <w:r>
        <w:rPr>
          <w:rFonts w:hint="eastAsia" w:ascii="宋体" w:hAnsi="宋体"/>
          <w:szCs w:val="21"/>
        </w:rPr>
        <w:t>席，钟道海为副主席。</w:t>
      </w:r>
    </w:p>
    <w:p w14:paraId="1BC5C2A5">
      <w:pPr>
        <w:ind w:firstLine="420"/>
        <w:rPr>
          <w:rFonts w:ascii="宋体" w:hAnsi="宋体"/>
          <w:szCs w:val="21"/>
        </w:rPr>
      </w:pPr>
      <w:r>
        <w:rPr>
          <w:rFonts w:ascii="宋体" w:hAnsi="宋体"/>
          <w:szCs w:val="21"/>
        </w:rPr>
        <w:t>4月1日，南雄县召开人武部交接大会，即日起，南雄县人武部由地方建制收归</w:t>
      </w:r>
      <w:r>
        <w:rPr>
          <w:rFonts w:hint="eastAsia" w:ascii="宋体" w:hAnsi="宋体"/>
          <w:szCs w:val="21"/>
        </w:rPr>
        <w:t>军队建制，中国人民解放军南雄县人民武装部正式挂牌。</w:t>
      </w:r>
    </w:p>
    <w:p w14:paraId="39370432">
      <w:pPr>
        <w:ind w:firstLine="420"/>
        <w:rPr>
          <w:rFonts w:ascii="宋体" w:hAnsi="宋体"/>
          <w:szCs w:val="21"/>
        </w:rPr>
      </w:pPr>
      <w:r>
        <w:rPr>
          <w:rFonts w:ascii="宋体" w:hAnsi="宋体"/>
          <w:szCs w:val="21"/>
        </w:rPr>
        <w:t>4月上旬，南雄金友粮食企业集团有限公司生产的“金友”牌香米被中国食品工</w:t>
      </w:r>
      <w:r>
        <w:rPr>
          <w:rFonts w:hint="eastAsia" w:ascii="宋体" w:hAnsi="宋体"/>
          <w:szCs w:val="21"/>
        </w:rPr>
        <w:t>业协会评为“九六中国名优特食品博览会金奖”。</w:t>
      </w:r>
    </w:p>
    <w:p w14:paraId="12F507B1">
      <w:pPr>
        <w:ind w:firstLine="420"/>
        <w:rPr>
          <w:rFonts w:ascii="宋体" w:hAnsi="宋体"/>
          <w:szCs w:val="21"/>
        </w:rPr>
      </w:pPr>
      <w:r>
        <w:rPr>
          <w:rFonts w:ascii="宋体" w:hAnsi="宋体"/>
          <w:szCs w:val="21"/>
        </w:rPr>
        <w:t>6月5日，经广东省人民政府批准，南雄为历史文化名城</w:t>
      </w:r>
      <w:r>
        <w:rPr>
          <w:rFonts w:hint="eastAsia" w:ascii="宋体" w:hAnsi="宋体"/>
          <w:szCs w:val="21"/>
        </w:rPr>
        <w:t>。</w:t>
      </w:r>
    </w:p>
    <w:p w14:paraId="76CE3A43">
      <w:pPr>
        <w:ind w:firstLine="420"/>
        <w:rPr>
          <w:rFonts w:ascii="宋体" w:hAnsi="宋体"/>
          <w:szCs w:val="21"/>
        </w:rPr>
      </w:pPr>
      <w:r>
        <w:rPr>
          <w:rFonts w:ascii="宋体" w:hAnsi="宋体"/>
          <w:szCs w:val="21"/>
        </w:rPr>
        <w:t>6月6日，90岁高龄的全国人大常委会副委员长雷洁琼率领全国人大实施《中华</w:t>
      </w:r>
      <w:r>
        <w:rPr>
          <w:rFonts w:hint="eastAsia" w:ascii="宋体" w:hAnsi="宋体"/>
          <w:szCs w:val="21"/>
        </w:rPr>
        <w:t>人民共和国教育法》检查组到南雄实地检查，并参观了珠玑巷。</w:t>
      </w:r>
    </w:p>
    <w:p w14:paraId="0E0C5793">
      <w:pPr>
        <w:ind w:firstLine="420"/>
        <w:rPr>
          <w:rFonts w:ascii="宋体" w:hAnsi="宋体"/>
          <w:szCs w:val="21"/>
        </w:rPr>
      </w:pPr>
      <w:r>
        <w:rPr>
          <w:rFonts w:ascii="宋体" w:hAnsi="宋体"/>
          <w:szCs w:val="21"/>
        </w:rPr>
        <w:t>6月17日，国家民政部发文称：“经国务院批准，同意撤销南雄县，设立南雄市</w:t>
      </w:r>
      <w:r>
        <w:rPr>
          <w:rFonts w:hint="eastAsia" w:ascii="宋体" w:hAnsi="宋体"/>
          <w:szCs w:val="21"/>
        </w:rPr>
        <w:t>（县级），以原南雄县的行政区域为南雄市的行政区域。”</w:t>
      </w:r>
    </w:p>
    <w:p w14:paraId="4E37D0AE">
      <w:pPr>
        <w:ind w:firstLine="420"/>
        <w:rPr>
          <w:rFonts w:ascii="宋体" w:hAnsi="宋体"/>
          <w:szCs w:val="21"/>
        </w:rPr>
      </w:pPr>
      <w:r>
        <w:rPr>
          <w:rFonts w:ascii="宋体" w:hAnsi="宋体"/>
          <w:szCs w:val="21"/>
        </w:rPr>
        <w:t>8月18日，全国第五次银杏学术研讨会暨银杏研究会在南雄召开。来自全国20</w:t>
      </w:r>
      <w:r>
        <w:rPr>
          <w:rFonts w:hint="eastAsia" w:ascii="宋体" w:hAnsi="宋体"/>
          <w:szCs w:val="21"/>
        </w:rPr>
        <w:t>个省、区</w:t>
      </w:r>
      <w:r>
        <w:rPr>
          <w:rFonts w:hint="eastAsia" w:ascii="宋体" w:hAnsi="宋体"/>
          <w:szCs w:val="21"/>
          <w:lang w:eastAsia="zh-CN"/>
        </w:rPr>
        <w:t>、</w:t>
      </w:r>
      <w:r>
        <w:rPr>
          <w:rFonts w:hint="eastAsia" w:ascii="宋体" w:hAnsi="宋体"/>
          <w:szCs w:val="21"/>
        </w:rPr>
        <w:t>市近</w:t>
      </w:r>
      <w:r>
        <w:rPr>
          <w:rFonts w:ascii="宋体" w:hAnsi="宋体"/>
          <w:szCs w:val="21"/>
        </w:rPr>
        <w:t>300多名专家、学者和科技人员参加了会议。会后出版论文集</w:t>
      </w:r>
      <w:r>
        <w:rPr>
          <w:rFonts w:hint="eastAsia" w:ascii="宋体" w:hAnsi="宋体"/>
          <w:szCs w:val="21"/>
        </w:rPr>
        <w:t>。</w:t>
      </w:r>
    </w:p>
    <w:p w14:paraId="3FBB2370">
      <w:pPr>
        <w:ind w:firstLine="420"/>
        <w:rPr>
          <w:rFonts w:ascii="宋体" w:hAnsi="宋体"/>
          <w:szCs w:val="21"/>
        </w:rPr>
      </w:pPr>
      <w:r>
        <w:rPr>
          <w:rFonts w:ascii="宋体" w:hAnsi="宋体"/>
          <w:szCs w:val="21"/>
        </w:rPr>
        <w:t>9月19日，举行</w:t>
      </w:r>
      <w:r>
        <w:rPr>
          <w:rFonts w:hint="eastAsia" w:ascii="宋体" w:hAnsi="宋体"/>
          <w:szCs w:val="21"/>
        </w:rPr>
        <w:t>撤</w:t>
      </w:r>
      <w:r>
        <w:rPr>
          <w:rFonts w:ascii="宋体" w:hAnsi="宋体"/>
          <w:szCs w:val="21"/>
        </w:rPr>
        <w:t>县设市庆祝大会，各机关单位正式挂牌</w:t>
      </w:r>
      <w:r>
        <w:rPr>
          <w:rFonts w:hint="eastAsia" w:ascii="宋体" w:hAnsi="宋体"/>
          <w:szCs w:val="21"/>
        </w:rPr>
        <w:t>。</w:t>
      </w:r>
    </w:p>
    <w:p w14:paraId="6C7418EC">
      <w:pPr>
        <w:ind w:firstLine="420"/>
        <w:rPr>
          <w:rFonts w:ascii="宋体" w:hAnsi="宋体"/>
          <w:szCs w:val="21"/>
        </w:rPr>
      </w:pPr>
      <w:r>
        <w:rPr>
          <w:rFonts w:ascii="宋体" w:hAnsi="宋体"/>
          <w:szCs w:val="21"/>
        </w:rPr>
        <w:t>9月22日，省卫生厅、防疫站，韶关市卫生局、防疫站及有关专家组成的消灭</w:t>
      </w:r>
      <w:r>
        <w:rPr>
          <w:rFonts w:hint="eastAsia" w:ascii="宋体" w:hAnsi="宋体"/>
          <w:szCs w:val="21"/>
        </w:rPr>
        <w:t>丝虫病审评组，对南雄进行审评，确认南雄已提前两年消灭了丝虫病。</w:t>
      </w:r>
    </w:p>
    <w:p w14:paraId="6C8C046A">
      <w:pPr>
        <w:ind w:firstLine="420"/>
        <w:rPr>
          <w:rFonts w:ascii="宋体" w:hAnsi="宋体"/>
          <w:szCs w:val="21"/>
        </w:rPr>
      </w:pPr>
      <w:r>
        <w:rPr>
          <w:rFonts w:ascii="宋体" w:hAnsi="宋体"/>
          <w:szCs w:val="21"/>
        </w:rPr>
        <w:t>10月18日至20日，由广东炎黄文化研究会、南雄市人民政府主办，韶关市委</w:t>
      </w:r>
      <w:r>
        <w:rPr>
          <w:rFonts w:hint="eastAsia" w:ascii="宋体" w:hAnsi="宋体"/>
          <w:szCs w:val="21"/>
        </w:rPr>
        <w:t>宣传部、韶关大学协办的珠玑巷与广府文化研讨会在南雄召开，</w:t>
      </w:r>
      <w:r>
        <w:rPr>
          <w:rFonts w:ascii="宋体" w:hAnsi="宋体"/>
          <w:szCs w:val="21"/>
        </w:rPr>
        <w:t>60多名专家学者出</w:t>
      </w:r>
      <w:r>
        <w:rPr>
          <w:rFonts w:hint="eastAsia" w:ascii="宋体" w:hAnsi="宋体"/>
          <w:szCs w:val="21"/>
        </w:rPr>
        <w:t>席了会议。会后出版了研究文集《岭峤春秋》。</w:t>
      </w:r>
    </w:p>
    <w:p w14:paraId="6421743A">
      <w:pPr>
        <w:ind w:firstLine="420"/>
        <w:rPr>
          <w:rFonts w:ascii="宋体" w:hAnsi="宋体"/>
          <w:szCs w:val="21"/>
        </w:rPr>
      </w:pPr>
      <w:r>
        <w:rPr>
          <w:rFonts w:ascii="宋体" w:hAnsi="宋体"/>
          <w:szCs w:val="21"/>
        </w:rPr>
        <w:t>12月26日，南雄市人民政府发布《关于</w:t>
      </w:r>
      <w:r>
        <w:rPr>
          <w:rFonts w:hint="eastAsia" w:ascii="宋体" w:hAnsi="宋体"/>
          <w:szCs w:val="21"/>
        </w:rPr>
        <w:t>禁</w:t>
      </w:r>
      <w:r>
        <w:rPr>
          <w:rFonts w:ascii="宋体" w:hAnsi="宋体"/>
          <w:szCs w:val="21"/>
        </w:rPr>
        <w:t>止燃放烟花爆竹的规定（试行）》布</w:t>
      </w:r>
      <w:r>
        <w:rPr>
          <w:rFonts w:hint="eastAsia" w:ascii="宋体" w:hAnsi="宋体"/>
          <w:szCs w:val="21"/>
        </w:rPr>
        <w:t>告，规定自</w:t>
      </w:r>
      <w:r>
        <w:rPr>
          <w:rFonts w:ascii="宋体" w:hAnsi="宋体"/>
          <w:szCs w:val="21"/>
        </w:rPr>
        <w:t>1997年2月1日起执行</w:t>
      </w:r>
      <w:r>
        <w:rPr>
          <w:rFonts w:hint="eastAsia" w:ascii="宋体" w:hAnsi="宋体"/>
          <w:szCs w:val="21"/>
        </w:rPr>
        <w:t>。</w:t>
      </w:r>
    </w:p>
    <w:p w14:paraId="5644EC79">
      <w:pPr>
        <w:pStyle w:val="4"/>
        <w:rPr>
          <w:rFonts w:ascii="宋体" w:hAnsi="宋体"/>
        </w:rPr>
      </w:pPr>
      <w:r>
        <w:rPr>
          <w:rFonts w:ascii="宋体" w:hAnsi="宋体"/>
        </w:rPr>
        <w:t>1997年</w:t>
      </w:r>
    </w:p>
    <w:p w14:paraId="40DD1AD3">
      <w:pPr>
        <w:ind w:firstLine="420"/>
        <w:rPr>
          <w:rFonts w:ascii="宋体" w:hAnsi="宋体"/>
          <w:szCs w:val="21"/>
        </w:rPr>
      </w:pPr>
      <w:r>
        <w:rPr>
          <w:rFonts w:ascii="宋体" w:hAnsi="宋体"/>
          <w:szCs w:val="21"/>
        </w:rPr>
        <w:t>1月16日，韶关拍卖行南雄办事处举行1997年首次公物拍卖会，市商业贸易中</w:t>
      </w:r>
      <w:r>
        <w:rPr>
          <w:rFonts w:hint="eastAsia" w:ascii="宋体" w:hAnsi="宋体"/>
          <w:szCs w:val="21"/>
        </w:rPr>
        <w:t>心环城东路</w:t>
      </w:r>
      <w:r>
        <w:rPr>
          <w:rFonts w:ascii="宋体" w:hAnsi="宋体"/>
          <w:szCs w:val="21"/>
        </w:rPr>
        <w:t>68号楼1层～2层459.52平方米，以每平方米800元作底，最后以1150</w:t>
      </w:r>
      <w:r>
        <w:rPr>
          <w:rFonts w:hint="eastAsia" w:ascii="宋体" w:hAnsi="宋体"/>
          <w:szCs w:val="21"/>
        </w:rPr>
        <w:t>元成交。这是南雄国有资产的首次拍卖。</w:t>
      </w:r>
    </w:p>
    <w:p w14:paraId="5579C064">
      <w:pPr>
        <w:ind w:firstLine="420"/>
        <w:rPr>
          <w:rFonts w:ascii="宋体" w:hAnsi="宋体"/>
          <w:szCs w:val="21"/>
        </w:rPr>
      </w:pPr>
      <w:r>
        <w:rPr>
          <w:rFonts w:ascii="宋体" w:hAnsi="宋体"/>
          <w:szCs w:val="21"/>
        </w:rPr>
        <w:t>1月，南雄市烟草公司被国家烟草专卖局评为“全国烟叶生产收购工作先进单</w:t>
      </w:r>
      <w:r>
        <w:rPr>
          <w:rFonts w:hint="eastAsia" w:ascii="宋体" w:hAnsi="宋体"/>
          <w:szCs w:val="21"/>
        </w:rPr>
        <w:t>位”。自</w:t>
      </w:r>
      <w:r>
        <w:rPr>
          <w:rFonts w:ascii="宋体" w:hAnsi="宋体"/>
          <w:szCs w:val="21"/>
        </w:rPr>
        <w:t>1988年起，已连续10年评为先进单位</w:t>
      </w:r>
      <w:r>
        <w:rPr>
          <w:rFonts w:hint="eastAsia" w:ascii="宋体" w:hAnsi="宋体"/>
          <w:szCs w:val="21"/>
        </w:rPr>
        <w:t>。</w:t>
      </w:r>
    </w:p>
    <w:p w14:paraId="176FD922">
      <w:pPr>
        <w:ind w:firstLine="420"/>
        <w:rPr>
          <w:rFonts w:ascii="宋体" w:hAnsi="宋体"/>
          <w:szCs w:val="21"/>
        </w:rPr>
      </w:pPr>
      <w:r>
        <w:rPr>
          <w:rFonts w:ascii="宋体" w:hAnsi="宋体"/>
          <w:szCs w:val="21"/>
        </w:rPr>
        <w:t>3月2日，省委批准丘隆基同志任中共南雄市委书记，免去郭衍全同志南雄市委</w:t>
      </w:r>
      <w:r>
        <w:rPr>
          <w:rFonts w:hint="eastAsia" w:ascii="宋体" w:hAnsi="宋体"/>
          <w:szCs w:val="21"/>
        </w:rPr>
        <w:t>书记职务。</w:t>
      </w:r>
    </w:p>
    <w:p w14:paraId="5361744A">
      <w:pPr>
        <w:ind w:firstLine="420"/>
        <w:rPr>
          <w:rFonts w:ascii="宋体" w:hAnsi="宋体"/>
          <w:szCs w:val="21"/>
        </w:rPr>
      </w:pPr>
      <w:r>
        <w:rPr>
          <w:rFonts w:ascii="宋体" w:hAnsi="宋体"/>
          <w:szCs w:val="21"/>
        </w:rPr>
        <w:t>3月18日，市委、市政府在市大会堂召开机构改革动员大会，宣布《南雄市党</w:t>
      </w:r>
      <w:r>
        <w:rPr>
          <w:rFonts w:hint="eastAsia" w:ascii="宋体" w:hAnsi="宋体"/>
          <w:szCs w:val="21"/>
        </w:rPr>
        <w:t>政群机构改革方案实施意见》和《南雄市镇级机构改革实施方案》。至月底，市直党政群机构由原来</w:t>
      </w:r>
      <w:r>
        <w:rPr>
          <w:rFonts w:ascii="宋体" w:hAnsi="宋体"/>
          <w:szCs w:val="21"/>
        </w:rPr>
        <w:t>72个精简为43个，人员从原来873人，精简为732人。</w:t>
      </w:r>
    </w:p>
    <w:p w14:paraId="4BB309FB">
      <w:pPr>
        <w:ind w:firstLine="420"/>
        <w:rPr>
          <w:rFonts w:ascii="宋体" w:hAnsi="宋体"/>
          <w:szCs w:val="21"/>
        </w:rPr>
      </w:pPr>
      <w:r>
        <w:rPr>
          <w:rFonts w:ascii="宋体" w:hAnsi="宋体"/>
          <w:szCs w:val="21"/>
        </w:rPr>
        <w:t>3月25日，中共中央宣传部公布全国200个创建文明村镇活动示范点，南雄市</w:t>
      </w:r>
      <w:r>
        <w:rPr>
          <w:rFonts w:hint="eastAsia" w:ascii="宋体" w:hAnsi="宋体"/>
          <w:szCs w:val="21"/>
        </w:rPr>
        <w:t>珠玑村列入其中。</w:t>
      </w:r>
    </w:p>
    <w:p w14:paraId="725D6938">
      <w:pPr>
        <w:ind w:firstLine="420"/>
        <w:rPr>
          <w:rFonts w:ascii="宋体" w:hAnsi="宋体"/>
          <w:szCs w:val="21"/>
        </w:rPr>
      </w:pPr>
      <w:r>
        <w:rPr>
          <w:rFonts w:ascii="宋体" w:hAnsi="宋体"/>
          <w:szCs w:val="21"/>
        </w:rPr>
        <w:t>3月31日至4月4日，南雄市第十届人民代表大会第六次会议召开，选举谢兴宏</w:t>
      </w:r>
      <w:r>
        <w:rPr>
          <w:rFonts w:hint="eastAsia" w:ascii="宋体" w:hAnsi="宋体"/>
          <w:szCs w:val="21"/>
        </w:rPr>
        <w:t>为市人大常委会主任，谭章明为市人民政府市长。</w:t>
      </w:r>
    </w:p>
    <w:p w14:paraId="4B360BE9">
      <w:pPr>
        <w:ind w:firstLine="420"/>
        <w:rPr>
          <w:rFonts w:ascii="宋体" w:hAnsi="宋体"/>
          <w:szCs w:val="21"/>
        </w:rPr>
      </w:pPr>
      <w:r>
        <w:rPr>
          <w:rFonts w:ascii="宋体" w:hAnsi="宋体"/>
          <w:szCs w:val="21"/>
        </w:rPr>
        <w:t>3月，南雄市被省政府评为</w:t>
      </w:r>
      <w:r>
        <w:rPr>
          <w:rFonts w:hint="eastAsia" w:ascii="宋体" w:hAnsi="宋体"/>
          <w:szCs w:val="21"/>
        </w:rPr>
        <w:t>“</w:t>
      </w:r>
      <w:r>
        <w:rPr>
          <w:rFonts w:ascii="宋体" w:hAnsi="宋体"/>
          <w:szCs w:val="21"/>
        </w:rPr>
        <w:t>农村人人享有初级卫生保健达标市</w:t>
      </w:r>
      <w:r>
        <w:rPr>
          <w:rFonts w:hint="eastAsia" w:ascii="宋体" w:hAnsi="宋体"/>
          <w:szCs w:val="21"/>
        </w:rPr>
        <w:t>”。</w:t>
      </w:r>
    </w:p>
    <w:p w14:paraId="1D695316">
      <w:pPr>
        <w:ind w:firstLine="420"/>
        <w:rPr>
          <w:rFonts w:ascii="宋体" w:hAnsi="宋体"/>
          <w:szCs w:val="21"/>
        </w:rPr>
      </w:pPr>
      <w:r>
        <w:rPr>
          <w:rFonts w:ascii="宋体" w:hAnsi="宋体"/>
          <w:szCs w:val="21"/>
        </w:rPr>
        <w:t>8月，南雄市一中被国家教委评为</w:t>
      </w:r>
      <w:r>
        <w:rPr>
          <w:rFonts w:hint="eastAsia" w:ascii="宋体" w:hAnsi="宋体"/>
          <w:szCs w:val="21"/>
        </w:rPr>
        <w:t>“</w:t>
      </w:r>
      <w:r>
        <w:rPr>
          <w:rFonts w:ascii="宋体" w:hAnsi="宋体"/>
          <w:szCs w:val="21"/>
        </w:rPr>
        <w:t>全国群众体育先进集体</w:t>
      </w:r>
      <w:r>
        <w:rPr>
          <w:rFonts w:hint="eastAsia" w:ascii="宋体" w:hAnsi="宋体"/>
          <w:szCs w:val="21"/>
        </w:rPr>
        <w:t>”</w:t>
      </w:r>
      <w:r>
        <w:rPr>
          <w:rFonts w:ascii="宋体" w:hAnsi="宋体"/>
          <w:szCs w:val="21"/>
        </w:rPr>
        <w:t>。</w:t>
      </w:r>
    </w:p>
    <w:p w14:paraId="06ED3EA4">
      <w:pPr>
        <w:ind w:firstLine="420"/>
        <w:rPr>
          <w:rFonts w:ascii="宋体" w:hAnsi="宋体"/>
          <w:szCs w:val="21"/>
        </w:rPr>
      </w:pPr>
      <w:r>
        <w:rPr>
          <w:rFonts w:ascii="宋体" w:hAnsi="宋体"/>
          <w:szCs w:val="21"/>
        </w:rPr>
        <w:t>9月9日，南雄市被国家教委评为“基本实施九年义务教育和扫除青壮年文盲工</w:t>
      </w:r>
      <w:r>
        <w:rPr>
          <w:rFonts w:hint="eastAsia" w:ascii="宋体" w:hAnsi="宋体"/>
          <w:szCs w:val="21"/>
        </w:rPr>
        <w:t>作先进市”。</w:t>
      </w:r>
    </w:p>
    <w:p w14:paraId="23685AD4">
      <w:pPr>
        <w:ind w:firstLine="420"/>
        <w:rPr>
          <w:rFonts w:ascii="宋体" w:hAnsi="宋体"/>
          <w:szCs w:val="21"/>
        </w:rPr>
      </w:pPr>
      <w:r>
        <w:rPr>
          <w:rFonts w:ascii="宋体" w:hAnsi="宋体"/>
          <w:szCs w:val="21"/>
        </w:rPr>
        <w:t>9月19日，由香港陈经伦先生捐资250万港元兴建的南雄陈经伦小学在梅关竣</w:t>
      </w:r>
      <w:r>
        <w:rPr>
          <w:rFonts w:hint="eastAsia" w:ascii="宋体" w:hAnsi="宋体"/>
          <w:szCs w:val="21"/>
        </w:rPr>
        <w:t>工。该校占地面积</w:t>
      </w:r>
      <w:r>
        <w:rPr>
          <w:rFonts w:ascii="宋体" w:hAnsi="宋体"/>
          <w:szCs w:val="21"/>
        </w:rPr>
        <w:t>13000平方米，建筑面积2100平方米。</w:t>
      </w:r>
    </w:p>
    <w:p w14:paraId="6B24C66B">
      <w:pPr>
        <w:ind w:firstLine="420"/>
        <w:rPr>
          <w:rFonts w:ascii="宋体" w:hAnsi="宋体"/>
          <w:szCs w:val="21"/>
        </w:rPr>
      </w:pPr>
      <w:r>
        <w:rPr>
          <w:rFonts w:ascii="宋体" w:hAnsi="宋体"/>
          <w:szCs w:val="21"/>
        </w:rPr>
        <w:t>10月24日，南雄市人大常委会首次对拟任干部进行法律、法规考试。</w:t>
      </w:r>
    </w:p>
    <w:p w14:paraId="7BB434F6">
      <w:pPr>
        <w:ind w:firstLine="420"/>
        <w:rPr>
          <w:rFonts w:ascii="宋体" w:hAnsi="宋体"/>
          <w:szCs w:val="21"/>
        </w:rPr>
      </w:pPr>
      <w:r>
        <w:rPr>
          <w:rFonts w:ascii="宋体" w:hAnsi="宋体"/>
          <w:szCs w:val="21"/>
        </w:rPr>
        <w:t>10月27日，市政府颁发《南雄市分散按比例安排残疾人就业实施办法》。</w:t>
      </w:r>
    </w:p>
    <w:p w14:paraId="17E6A20E">
      <w:pPr>
        <w:ind w:firstLine="420"/>
        <w:rPr>
          <w:rFonts w:ascii="宋体" w:hAnsi="宋体"/>
          <w:szCs w:val="21"/>
        </w:rPr>
      </w:pPr>
      <w:r>
        <w:rPr>
          <w:rFonts w:ascii="宋体" w:hAnsi="宋体"/>
          <w:szCs w:val="21"/>
        </w:rPr>
        <w:t>11月24日，市人民政府颁发《南雄市管理区、居民委员会干部社会养老保险和</w:t>
      </w:r>
      <w:r>
        <w:rPr>
          <w:rFonts w:hint="eastAsia" w:ascii="宋体" w:hAnsi="宋体"/>
          <w:szCs w:val="21"/>
        </w:rPr>
        <w:t>老年津贴试行办法》。</w:t>
      </w:r>
    </w:p>
    <w:p w14:paraId="1AE7AAD3">
      <w:pPr>
        <w:ind w:firstLine="420"/>
        <w:rPr>
          <w:rFonts w:ascii="宋体" w:hAnsi="宋体"/>
          <w:szCs w:val="21"/>
        </w:rPr>
      </w:pPr>
      <w:r>
        <w:rPr>
          <w:rFonts w:ascii="宋体" w:hAnsi="宋体"/>
          <w:szCs w:val="21"/>
        </w:rPr>
        <w:t>11月28日，韩国输出入银行经济基金部评估组一行4人在省经贸委、省交通</w:t>
      </w:r>
      <w:r>
        <w:rPr>
          <w:rFonts w:hint="eastAsia" w:ascii="宋体" w:hAnsi="宋体"/>
          <w:szCs w:val="21"/>
        </w:rPr>
        <w:t>厅、省公路局及韶关市有关部门领导的陪同下，对国道</w:t>
      </w:r>
      <w:r>
        <w:rPr>
          <w:rFonts w:ascii="宋体" w:hAnsi="宋体"/>
          <w:szCs w:val="21"/>
        </w:rPr>
        <w:t>323线零公里至小梅关路段的</w:t>
      </w:r>
      <w:r>
        <w:rPr>
          <w:rFonts w:hint="eastAsia" w:ascii="宋体" w:hAnsi="宋体"/>
          <w:szCs w:val="21"/>
        </w:rPr>
        <w:t>改造修建情况进行评估考察。</w:t>
      </w:r>
      <w:r>
        <w:rPr>
          <w:rFonts w:ascii="宋体" w:hAnsi="宋体"/>
          <w:szCs w:val="21"/>
        </w:rPr>
        <w:t>12月1日上午在广东大厦举行了由韩国政府提供350</w:t>
      </w:r>
      <w:r>
        <w:rPr>
          <w:rFonts w:hint="eastAsia" w:ascii="宋体" w:hAnsi="宋体"/>
          <w:szCs w:val="21"/>
        </w:rPr>
        <w:t>万美元贷款，改造该路段</w:t>
      </w:r>
      <w:r>
        <w:rPr>
          <w:rFonts w:ascii="宋体" w:hAnsi="宋体"/>
          <w:szCs w:val="21"/>
        </w:rPr>
        <w:t>26.6公里（按二级加宽公路标准设计）签字仪式。该项目</w:t>
      </w:r>
      <w:r>
        <w:rPr>
          <w:rFonts w:hint="eastAsia" w:ascii="宋体" w:hAnsi="宋体"/>
          <w:szCs w:val="21"/>
        </w:rPr>
        <w:t>预计需投资</w:t>
      </w:r>
      <w:r>
        <w:rPr>
          <w:rFonts w:ascii="宋体" w:hAnsi="宋体"/>
          <w:szCs w:val="21"/>
        </w:rPr>
        <w:t>1.21亿元人民币</w:t>
      </w:r>
      <w:r>
        <w:rPr>
          <w:rFonts w:hint="eastAsia" w:ascii="宋体" w:hAnsi="宋体"/>
          <w:szCs w:val="21"/>
        </w:rPr>
        <w:t>。</w:t>
      </w:r>
    </w:p>
    <w:p w14:paraId="4AC8D9F3">
      <w:pPr>
        <w:ind w:firstLine="420"/>
        <w:rPr>
          <w:rFonts w:ascii="宋体" w:hAnsi="宋体"/>
          <w:szCs w:val="21"/>
        </w:rPr>
      </w:pPr>
      <w:r>
        <w:rPr>
          <w:rFonts w:ascii="宋体" w:hAnsi="宋体"/>
          <w:szCs w:val="21"/>
        </w:rPr>
        <w:t>12月17日，贯彻《南雄市建立和执行国家公务员制定实施方案》，市委市政府</w:t>
      </w:r>
      <w:r>
        <w:rPr>
          <w:rFonts w:hint="eastAsia" w:ascii="宋体" w:hAnsi="宋体"/>
          <w:szCs w:val="21"/>
        </w:rPr>
        <w:t>召开全市推行国家公务员制度和参照管理工作会议。</w:t>
      </w:r>
    </w:p>
    <w:p w14:paraId="4021FE90">
      <w:pPr>
        <w:ind w:firstLine="420"/>
        <w:rPr>
          <w:rFonts w:ascii="宋体" w:hAnsi="宋体"/>
          <w:szCs w:val="21"/>
        </w:rPr>
      </w:pPr>
      <w:r>
        <w:rPr>
          <w:rFonts w:hint="eastAsia" w:ascii="宋体" w:hAnsi="宋体"/>
          <w:szCs w:val="21"/>
        </w:rPr>
        <w:t>是年，全市国内生产总值</w:t>
      </w:r>
      <w:r>
        <w:rPr>
          <w:rFonts w:ascii="宋体" w:hAnsi="宋体"/>
          <w:szCs w:val="21"/>
        </w:rPr>
        <w:t>13.23亿元，工农业总产值18.46亿元，分别比1980</w:t>
      </w:r>
      <w:r>
        <w:rPr>
          <w:rFonts w:hint="eastAsia" w:ascii="宋体" w:hAnsi="宋体"/>
          <w:szCs w:val="21"/>
        </w:rPr>
        <w:t>年翻了两番。</w:t>
      </w:r>
    </w:p>
    <w:p w14:paraId="3F86D07A">
      <w:pPr>
        <w:pStyle w:val="4"/>
        <w:rPr>
          <w:rFonts w:ascii="宋体" w:hAnsi="宋体"/>
        </w:rPr>
      </w:pPr>
      <w:r>
        <w:rPr>
          <w:rFonts w:ascii="宋体" w:hAnsi="宋体"/>
        </w:rPr>
        <w:t>1998年</w:t>
      </w:r>
    </w:p>
    <w:p w14:paraId="4C993207">
      <w:pPr>
        <w:ind w:firstLine="420"/>
        <w:rPr>
          <w:rFonts w:ascii="宋体" w:hAnsi="宋体"/>
          <w:szCs w:val="21"/>
        </w:rPr>
      </w:pPr>
      <w:r>
        <w:rPr>
          <w:rFonts w:ascii="宋体" w:hAnsi="宋体"/>
          <w:szCs w:val="21"/>
        </w:rPr>
        <w:t>1月，南雄市公安局“110”报警服务台开通</w:t>
      </w:r>
      <w:r>
        <w:rPr>
          <w:rFonts w:hint="eastAsia" w:ascii="宋体" w:hAnsi="宋体"/>
          <w:szCs w:val="21"/>
        </w:rPr>
        <w:t>。</w:t>
      </w:r>
    </w:p>
    <w:p w14:paraId="29B6262F">
      <w:pPr>
        <w:ind w:firstLine="420"/>
        <w:rPr>
          <w:rFonts w:ascii="宋体" w:hAnsi="宋体"/>
          <w:szCs w:val="21"/>
        </w:rPr>
      </w:pPr>
      <w:r>
        <w:rPr>
          <w:rFonts w:ascii="宋体" w:hAnsi="宋体"/>
          <w:szCs w:val="21"/>
        </w:rPr>
        <w:t>3月7日，中国共产党南雄市第九次代表大会召开。大会选举产生第九届市委会</w:t>
      </w:r>
      <w:r>
        <w:rPr>
          <w:rFonts w:hint="eastAsia" w:ascii="宋体" w:hAnsi="宋体"/>
          <w:szCs w:val="21"/>
        </w:rPr>
        <w:t>和纪律检查委员会，邱隆基为市委书记，曾昭佑为纪检会书记。</w:t>
      </w:r>
    </w:p>
    <w:p w14:paraId="4DA33090">
      <w:pPr>
        <w:ind w:firstLine="420"/>
        <w:rPr>
          <w:rFonts w:ascii="宋体" w:hAnsi="宋体"/>
          <w:szCs w:val="21"/>
        </w:rPr>
      </w:pPr>
      <w:r>
        <w:rPr>
          <w:rFonts w:ascii="宋体" w:hAnsi="宋体"/>
          <w:szCs w:val="21"/>
        </w:rPr>
        <w:t>3月13日至18日，南雄政协召开六届一次会议选举产生六届政协常委会，主席</w:t>
      </w:r>
      <w:r>
        <w:rPr>
          <w:rFonts w:hint="eastAsia" w:ascii="宋体" w:hAnsi="宋体"/>
          <w:szCs w:val="21"/>
        </w:rPr>
        <w:t>陈逢英。</w:t>
      </w:r>
    </w:p>
    <w:p w14:paraId="1AA62417">
      <w:pPr>
        <w:ind w:firstLine="420"/>
        <w:rPr>
          <w:rFonts w:ascii="宋体" w:hAnsi="宋体"/>
          <w:szCs w:val="21"/>
        </w:rPr>
      </w:pPr>
      <w:r>
        <w:rPr>
          <w:rFonts w:ascii="宋体" w:hAnsi="宋体"/>
          <w:szCs w:val="21"/>
        </w:rPr>
        <w:t>3月14日至18日，南雄市十一届人民代表大会第一次会议召开。选举产生第十</w:t>
      </w:r>
      <w:r>
        <w:rPr>
          <w:rFonts w:hint="eastAsia" w:ascii="宋体" w:hAnsi="宋体"/>
          <w:szCs w:val="21"/>
        </w:rPr>
        <w:t>一届人大常委会，主任曲令平。选举市人民政府市长、副市长，市长沈明祥。</w:t>
      </w:r>
    </w:p>
    <w:p w14:paraId="74187555">
      <w:pPr>
        <w:ind w:firstLine="420"/>
        <w:rPr>
          <w:rFonts w:ascii="宋体" w:hAnsi="宋体"/>
          <w:szCs w:val="21"/>
        </w:rPr>
      </w:pPr>
      <w:r>
        <w:rPr>
          <w:rFonts w:ascii="宋体" w:hAnsi="宋体"/>
          <w:szCs w:val="21"/>
        </w:rPr>
        <w:t>3月，南雄汽车站成立公共汽车公司，首次开通环城路公共汽车运行线，雄东三</w:t>
      </w:r>
      <w:r>
        <w:rPr>
          <w:rFonts w:hint="eastAsia" w:ascii="宋体" w:hAnsi="宋体"/>
          <w:szCs w:val="21"/>
        </w:rPr>
        <w:t>岔路口至氮肥厂双向对开，途径北门、教场路口、雄中路。</w:t>
      </w:r>
    </w:p>
    <w:p w14:paraId="43FA28A8">
      <w:pPr>
        <w:ind w:firstLine="420"/>
        <w:rPr>
          <w:rFonts w:ascii="宋体" w:hAnsi="宋体"/>
          <w:szCs w:val="21"/>
        </w:rPr>
      </w:pPr>
      <w:r>
        <w:rPr>
          <w:rFonts w:ascii="宋体" w:hAnsi="宋体"/>
          <w:szCs w:val="21"/>
        </w:rPr>
        <w:t>4月2日，中共中央政治局委员、广东省委书记李长春到南雄调查研究，先后参</w:t>
      </w:r>
      <w:r>
        <w:rPr>
          <w:rFonts w:hint="eastAsia" w:ascii="宋体" w:hAnsi="宋体"/>
          <w:szCs w:val="21"/>
        </w:rPr>
        <w:t>观视察了翠屏主田良种猪场第一分场、珠玑新村、珠玑古巷、帽子峰毛竹基地、黄烟高产示范基地以及澜河永翔公司，听取了南雄市领导的工作汇报，并与企业负责人交谈，了解企业经营发展情况等。</w:t>
      </w:r>
    </w:p>
    <w:p w14:paraId="7D1CBEDD">
      <w:pPr>
        <w:ind w:firstLine="420"/>
        <w:rPr>
          <w:rFonts w:ascii="宋体" w:hAnsi="宋体"/>
          <w:szCs w:val="21"/>
        </w:rPr>
      </w:pPr>
      <w:r>
        <w:rPr>
          <w:rFonts w:ascii="宋体" w:hAnsi="宋体"/>
          <w:szCs w:val="21"/>
        </w:rPr>
        <w:t>4月4日上午，南雄首次无偿献血活动在市人民医院血库进行，市武警中队战士</w:t>
      </w:r>
      <w:r>
        <w:rPr>
          <w:rFonts w:hint="eastAsia" w:ascii="宋体" w:hAnsi="宋体"/>
          <w:szCs w:val="21"/>
        </w:rPr>
        <w:t>踊跃参加献血活动。</w:t>
      </w:r>
    </w:p>
    <w:p w14:paraId="79B55B28">
      <w:pPr>
        <w:ind w:firstLine="420"/>
        <w:rPr>
          <w:rFonts w:ascii="宋体" w:hAnsi="宋体"/>
          <w:szCs w:val="21"/>
        </w:rPr>
      </w:pPr>
      <w:r>
        <w:rPr>
          <w:rFonts w:ascii="宋体" w:hAnsi="宋体"/>
          <w:szCs w:val="21"/>
        </w:rPr>
        <w:t>5月11日，香港黎氏宗亲会理事长黎灿先生投资300万元兴建黎灿学校。该校</w:t>
      </w:r>
      <w:r>
        <w:rPr>
          <w:rFonts w:hint="eastAsia" w:ascii="宋体" w:hAnsi="宋体"/>
          <w:szCs w:val="21"/>
        </w:rPr>
        <w:t>于</w:t>
      </w:r>
      <w:r>
        <w:rPr>
          <w:rFonts w:ascii="宋体" w:hAnsi="宋体"/>
          <w:szCs w:val="21"/>
        </w:rPr>
        <w:t>11月落成。1999年9月1日开学，聘请黎灿为名誉校长。2002年9月，该校被评</w:t>
      </w:r>
      <w:r>
        <w:rPr>
          <w:rFonts w:hint="eastAsia" w:ascii="宋体" w:hAnsi="宋体"/>
          <w:szCs w:val="21"/>
        </w:rPr>
        <w:t>为“省一级学校”。</w:t>
      </w:r>
    </w:p>
    <w:p w14:paraId="22DCB11B">
      <w:pPr>
        <w:ind w:firstLine="420"/>
        <w:rPr>
          <w:rFonts w:ascii="宋体" w:hAnsi="宋体"/>
          <w:szCs w:val="21"/>
        </w:rPr>
      </w:pPr>
      <w:r>
        <w:rPr>
          <w:rFonts w:ascii="宋体" w:hAnsi="宋体"/>
          <w:szCs w:val="21"/>
        </w:rPr>
        <w:t>7月10日上午，市区繁荣市场改造工程举行开工典礼。市场占地面积8000平方</w:t>
      </w:r>
      <w:r>
        <w:rPr>
          <w:rFonts w:hint="eastAsia" w:ascii="宋体" w:hAnsi="宋体"/>
          <w:szCs w:val="21"/>
        </w:rPr>
        <w:t>米，</w:t>
      </w:r>
      <w:r>
        <w:rPr>
          <w:rFonts w:ascii="宋体" w:hAnsi="宋体"/>
          <w:szCs w:val="21"/>
        </w:rPr>
        <w:t>9层建筑面积22000平方米。首期工程</w:t>
      </w:r>
      <w:r>
        <w:rPr>
          <w:rFonts w:hint="eastAsia" w:ascii="宋体" w:hAnsi="宋体"/>
          <w:szCs w:val="21"/>
        </w:rPr>
        <w:t>一、二</w:t>
      </w:r>
      <w:r>
        <w:rPr>
          <w:rFonts w:ascii="宋体" w:hAnsi="宋体"/>
          <w:szCs w:val="21"/>
        </w:rPr>
        <w:t>层为商贸市场，于次年春节竣工。</w:t>
      </w:r>
    </w:p>
    <w:p w14:paraId="2241604A">
      <w:pPr>
        <w:ind w:firstLine="420"/>
        <w:rPr>
          <w:rFonts w:ascii="宋体" w:hAnsi="宋体"/>
          <w:szCs w:val="21"/>
        </w:rPr>
      </w:pPr>
      <w:r>
        <w:rPr>
          <w:rFonts w:ascii="宋体" w:hAnsi="宋体"/>
          <w:szCs w:val="21"/>
        </w:rPr>
        <w:t>7月，南雄出现高温天气，最高气温36℃，平均为31℃，全市用电负荷最高达</w:t>
      </w:r>
      <w:r>
        <w:rPr>
          <w:rFonts w:hint="eastAsia" w:ascii="宋体" w:hAnsi="宋体"/>
          <w:szCs w:val="21"/>
        </w:rPr>
        <w:t>到</w:t>
      </w:r>
      <w:r>
        <w:rPr>
          <w:rFonts w:ascii="宋体" w:hAnsi="宋体"/>
          <w:szCs w:val="21"/>
        </w:rPr>
        <w:t>92000千瓦时，超过历史最高水平</w:t>
      </w:r>
      <w:r>
        <w:rPr>
          <w:rFonts w:hint="eastAsia" w:ascii="宋体" w:hAnsi="宋体"/>
          <w:szCs w:val="21"/>
        </w:rPr>
        <w:t>。</w:t>
      </w:r>
    </w:p>
    <w:p w14:paraId="0B45A8FC">
      <w:pPr>
        <w:ind w:firstLine="420"/>
        <w:rPr>
          <w:rFonts w:ascii="宋体" w:hAnsi="宋体"/>
          <w:szCs w:val="21"/>
        </w:rPr>
      </w:pPr>
      <w:r>
        <w:rPr>
          <w:rFonts w:ascii="宋体" w:hAnsi="宋体"/>
          <w:szCs w:val="21"/>
        </w:rPr>
        <w:t>7月，南雄市政府为解决下岗职工再就业，开设浈江路灯光夜市。有摊位100多</w:t>
      </w:r>
      <w:r>
        <w:rPr>
          <w:rFonts w:hint="eastAsia" w:ascii="宋体" w:hAnsi="宋体"/>
          <w:szCs w:val="21"/>
        </w:rPr>
        <w:t>个，解决了</w:t>
      </w:r>
      <w:r>
        <w:rPr>
          <w:rFonts w:ascii="宋体" w:hAnsi="宋体"/>
          <w:szCs w:val="21"/>
        </w:rPr>
        <w:t>200多人就业。</w:t>
      </w:r>
    </w:p>
    <w:p w14:paraId="25F79B4D">
      <w:pPr>
        <w:ind w:firstLine="420"/>
        <w:rPr>
          <w:rFonts w:ascii="宋体" w:hAnsi="宋体"/>
          <w:szCs w:val="21"/>
        </w:rPr>
      </w:pPr>
      <w:r>
        <w:rPr>
          <w:rFonts w:ascii="宋体" w:hAnsi="宋体"/>
          <w:szCs w:val="21"/>
        </w:rPr>
        <w:t>8月3日，世界商业奇才冯两努先生在大会堂作了一场题为《亚洲金融风暴启示</w:t>
      </w:r>
      <w:r>
        <w:rPr>
          <w:rFonts w:hint="eastAsia" w:ascii="宋体" w:hAnsi="宋体"/>
          <w:szCs w:val="21"/>
        </w:rPr>
        <w:t>录一’</w:t>
      </w:r>
      <w:r>
        <w:rPr>
          <w:rFonts w:ascii="宋体" w:hAnsi="宋体"/>
          <w:szCs w:val="21"/>
        </w:rPr>
        <w:t>98中国商机》的专题演讲。近千群众前往听讲。演讲结束后，举行了冯先生</w:t>
      </w:r>
      <w:r>
        <w:rPr>
          <w:rFonts w:hint="eastAsia" w:ascii="宋体" w:hAnsi="宋体"/>
          <w:szCs w:val="21"/>
        </w:rPr>
        <w:t>名著《三国新启示录》等书签名义卖活动。</w:t>
      </w:r>
    </w:p>
    <w:p w14:paraId="6E7DFE48">
      <w:pPr>
        <w:ind w:firstLine="420"/>
        <w:rPr>
          <w:rFonts w:ascii="宋体" w:hAnsi="宋体"/>
          <w:szCs w:val="21"/>
        </w:rPr>
      </w:pPr>
      <w:r>
        <w:rPr>
          <w:rFonts w:ascii="宋体" w:hAnsi="宋体"/>
          <w:szCs w:val="21"/>
        </w:rPr>
        <w:t>8月，坪田白果大丰收，总产达180吨，收</w:t>
      </w:r>
      <w:r>
        <w:rPr>
          <w:rFonts w:hint="eastAsia" w:ascii="宋体" w:hAnsi="宋体"/>
          <w:szCs w:val="21"/>
        </w:rPr>
        <w:t>干</w:t>
      </w:r>
      <w:r>
        <w:rPr>
          <w:rFonts w:ascii="宋体" w:hAnsi="宋体"/>
          <w:szCs w:val="21"/>
        </w:rPr>
        <w:t>果45吨，创历史纪录。仅此一项，</w:t>
      </w:r>
      <w:r>
        <w:rPr>
          <w:rFonts w:hint="eastAsia" w:ascii="宋体" w:hAnsi="宋体"/>
          <w:szCs w:val="21"/>
        </w:rPr>
        <w:t>坪田镇人均收入可增</w:t>
      </w:r>
      <w:r>
        <w:rPr>
          <w:rFonts w:ascii="宋体" w:hAnsi="宋体"/>
          <w:szCs w:val="21"/>
        </w:rPr>
        <w:t>140元。</w:t>
      </w:r>
    </w:p>
    <w:p w14:paraId="4E6FFA6D">
      <w:pPr>
        <w:ind w:firstLine="420"/>
        <w:rPr>
          <w:rFonts w:ascii="宋体" w:hAnsi="宋体"/>
          <w:szCs w:val="21"/>
        </w:rPr>
      </w:pPr>
      <w:r>
        <w:rPr>
          <w:rFonts w:ascii="宋体" w:hAnsi="宋体"/>
          <w:szCs w:val="21"/>
        </w:rPr>
        <w:t>9月20日，南雄交通局被国家交通部授予“全国交通系统先进集体”称号。</w:t>
      </w:r>
    </w:p>
    <w:p w14:paraId="761DF511">
      <w:pPr>
        <w:ind w:firstLine="420"/>
        <w:rPr>
          <w:rFonts w:ascii="宋体" w:hAnsi="宋体"/>
          <w:szCs w:val="21"/>
        </w:rPr>
      </w:pPr>
      <w:r>
        <w:rPr>
          <w:rFonts w:ascii="宋体" w:hAnsi="宋体"/>
          <w:szCs w:val="21"/>
        </w:rPr>
        <w:t>9月29日，广州少年儿童图书馆南雄分馆在南雄图书馆开馆。分馆设在市图书</w:t>
      </w:r>
      <w:r>
        <w:rPr>
          <w:rFonts w:hint="eastAsia" w:ascii="宋体" w:hAnsi="宋体"/>
          <w:szCs w:val="21"/>
        </w:rPr>
        <w:t>馆</w:t>
      </w:r>
      <w:r>
        <w:rPr>
          <w:rFonts w:ascii="宋体" w:hAnsi="宋体"/>
          <w:szCs w:val="21"/>
        </w:rPr>
        <w:t>4楼，藏书1.3万册</w:t>
      </w:r>
      <w:r>
        <w:rPr>
          <w:rFonts w:hint="eastAsia" w:ascii="宋体" w:hAnsi="宋体"/>
          <w:szCs w:val="21"/>
        </w:rPr>
        <w:t>。</w:t>
      </w:r>
    </w:p>
    <w:p w14:paraId="42B520AA">
      <w:pPr>
        <w:ind w:firstLine="420"/>
        <w:rPr>
          <w:rFonts w:ascii="宋体" w:hAnsi="宋体"/>
          <w:szCs w:val="21"/>
        </w:rPr>
      </w:pPr>
      <w:r>
        <w:rPr>
          <w:rFonts w:ascii="宋体" w:hAnsi="宋体"/>
          <w:szCs w:val="21"/>
        </w:rPr>
        <w:t>10月8日上午，南雄召开理顺农村基层管理体制会议，决定撤销管理区办事处，</w:t>
      </w:r>
      <w:r>
        <w:rPr>
          <w:rFonts w:hint="eastAsia" w:ascii="宋体" w:hAnsi="宋体"/>
          <w:szCs w:val="21"/>
        </w:rPr>
        <w:t>设立村民委员会。至</w:t>
      </w:r>
      <w:r>
        <w:rPr>
          <w:rFonts w:ascii="宋体" w:hAnsi="宋体"/>
          <w:szCs w:val="21"/>
        </w:rPr>
        <w:t>12月底，此项工作顺利结束。26万选民参加直选211个村委会</w:t>
      </w:r>
      <w:r>
        <w:rPr>
          <w:rFonts w:hint="eastAsia" w:ascii="宋体" w:hAnsi="宋体"/>
          <w:szCs w:val="21"/>
        </w:rPr>
        <w:t>组成人员。</w:t>
      </w:r>
    </w:p>
    <w:p w14:paraId="01C3A9A1">
      <w:pPr>
        <w:ind w:firstLine="420"/>
        <w:rPr>
          <w:rFonts w:ascii="宋体" w:hAnsi="宋体"/>
          <w:szCs w:val="21"/>
        </w:rPr>
      </w:pPr>
      <w:r>
        <w:rPr>
          <w:rFonts w:ascii="宋体" w:hAnsi="宋体"/>
          <w:szCs w:val="21"/>
        </w:rPr>
        <w:t>11月28日，南雄珠玑巷后裔联谊会第二届理事会在市迎宾馆召开，黎子流再次</w:t>
      </w:r>
      <w:r>
        <w:rPr>
          <w:rFonts w:hint="eastAsia" w:ascii="宋体" w:hAnsi="宋体"/>
          <w:szCs w:val="21"/>
        </w:rPr>
        <w:t>当选会长。</w:t>
      </w:r>
    </w:p>
    <w:p w14:paraId="3AC8283C">
      <w:pPr>
        <w:ind w:firstLine="420"/>
        <w:rPr>
          <w:rFonts w:ascii="宋体" w:hAnsi="宋体"/>
          <w:szCs w:val="21"/>
        </w:rPr>
      </w:pPr>
      <w:r>
        <w:rPr>
          <w:rFonts w:ascii="宋体" w:hAnsi="宋体"/>
          <w:szCs w:val="21"/>
        </w:rPr>
        <w:t>12月29日，南雄市被国家体育总局授予“新一批全国体育先进县”称号。</w:t>
      </w:r>
    </w:p>
    <w:p w14:paraId="77BD9BF5">
      <w:pPr>
        <w:pStyle w:val="4"/>
        <w:rPr>
          <w:rFonts w:ascii="宋体" w:hAnsi="宋体"/>
        </w:rPr>
      </w:pPr>
      <w:r>
        <w:rPr>
          <w:rFonts w:ascii="宋体" w:hAnsi="宋体"/>
        </w:rPr>
        <w:t>1999年</w:t>
      </w:r>
    </w:p>
    <w:p w14:paraId="15C0D34A">
      <w:pPr>
        <w:ind w:firstLine="420"/>
        <w:rPr>
          <w:rFonts w:ascii="宋体" w:hAnsi="宋体"/>
          <w:szCs w:val="21"/>
        </w:rPr>
      </w:pPr>
      <w:r>
        <w:rPr>
          <w:rFonts w:ascii="宋体" w:hAnsi="宋体"/>
          <w:szCs w:val="21"/>
        </w:rPr>
        <w:t>4月4日，中央军事委员会原副主席张震将军及夫人在广州军区副司令员潭冬生</w:t>
      </w:r>
      <w:r>
        <w:rPr>
          <w:rFonts w:hint="eastAsia" w:ascii="宋体" w:hAnsi="宋体"/>
          <w:szCs w:val="21"/>
        </w:rPr>
        <w:t>中将、副政委王同琢中将等领导陪同下到南雄视察，参观了梅关古道、珠玑古巷、水口战役旧址、市博物馆等。</w:t>
      </w:r>
    </w:p>
    <w:p w14:paraId="7073B391">
      <w:pPr>
        <w:ind w:firstLine="420"/>
        <w:rPr>
          <w:rFonts w:ascii="宋体" w:hAnsi="宋体"/>
          <w:szCs w:val="21"/>
        </w:rPr>
      </w:pPr>
      <w:r>
        <w:rPr>
          <w:rFonts w:ascii="宋体" w:hAnsi="宋体"/>
          <w:szCs w:val="21"/>
        </w:rPr>
        <w:t>7月，市严格按照《国家公务员暂行条例》和《广东省国家公务员录用面试实施</w:t>
      </w:r>
      <w:r>
        <w:rPr>
          <w:rFonts w:hint="eastAsia" w:ascii="宋体" w:hAnsi="宋体"/>
          <w:szCs w:val="21"/>
        </w:rPr>
        <w:t>细则》的规定，首次公开招考录用</w:t>
      </w:r>
      <w:r>
        <w:rPr>
          <w:rFonts w:ascii="宋体" w:hAnsi="宋体"/>
          <w:szCs w:val="21"/>
        </w:rPr>
        <w:t>17名镇机关女公务员</w:t>
      </w:r>
      <w:r>
        <w:rPr>
          <w:rFonts w:hint="eastAsia" w:ascii="宋体" w:hAnsi="宋体"/>
          <w:szCs w:val="21"/>
        </w:rPr>
        <w:t>。</w:t>
      </w:r>
    </w:p>
    <w:p w14:paraId="3051F7A5">
      <w:pPr>
        <w:ind w:firstLine="420"/>
        <w:rPr>
          <w:rFonts w:ascii="宋体" w:hAnsi="宋体"/>
          <w:szCs w:val="21"/>
        </w:rPr>
      </w:pPr>
      <w:r>
        <w:rPr>
          <w:rFonts w:ascii="宋体" w:hAnsi="宋体"/>
          <w:szCs w:val="21"/>
        </w:rPr>
        <w:t>12月3日，凌江河飞机场段裁弯取直工程举行开工典礼。2000年底竣工，全长1800米，宽106米，投资2500万元</w:t>
      </w:r>
      <w:r>
        <w:rPr>
          <w:rFonts w:hint="eastAsia" w:ascii="宋体" w:hAnsi="宋体"/>
          <w:szCs w:val="21"/>
        </w:rPr>
        <w:t>。</w:t>
      </w:r>
    </w:p>
    <w:p w14:paraId="01ACFBE6">
      <w:pPr>
        <w:ind w:firstLine="420"/>
        <w:rPr>
          <w:rFonts w:ascii="宋体" w:hAnsi="宋体"/>
          <w:szCs w:val="21"/>
        </w:rPr>
      </w:pPr>
      <w:r>
        <w:rPr>
          <w:rFonts w:ascii="宋体" w:hAnsi="宋体"/>
          <w:szCs w:val="21"/>
        </w:rPr>
        <w:t>12月4日至5日，省基本消灭麻风病考核验收组到南雄考核验收，宣布南雄已</w:t>
      </w:r>
      <w:r>
        <w:rPr>
          <w:rFonts w:hint="eastAsia" w:ascii="宋体" w:hAnsi="宋体"/>
          <w:szCs w:val="21"/>
        </w:rPr>
        <w:t>达到国家卫生部颁发的基本消灭麻风病标准。</w:t>
      </w:r>
    </w:p>
    <w:p w14:paraId="5BEF000D">
      <w:pPr>
        <w:pStyle w:val="4"/>
        <w:rPr>
          <w:rFonts w:ascii="宋体" w:hAnsi="宋体"/>
        </w:rPr>
      </w:pPr>
      <w:r>
        <w:rPr>
          <w:rFonts w:ascii="宋体" w:hAnsi="宋体"/>
        </w:rPr>
        <w:t>2000年</w:t>
      </w:r>
    </w:p>
    <w:p w14:paraId="2956865E">
      <w:pPr>
        <w:ind w:firstLine="420"/>
        <w:rPr>
          <w:rFonts w:ascii="宋体" w:hAnsi="宋体"/>
          <w:szCs w:val="21"/>
        </w:rPr>
      </w:pPr>
      <w:r>
        <w:rPr>
          <w:rFonts w:ascii="宋体" w:hAnsi="宋体"/>
          <w:szCs w:val="21"/>
        </w:rPr>
        <w:t>1月16日，市委、市政府在南雄大会堂召开“三讲”（讲学习、讲政治、讲正</w:t>
      </w:r>
      <w:r>
        <w:rPr>
          <w:rFonts w:hint="eastAsia" w:ascii="宋体" w:hAnsi="宋体"/>
          <w:szCs w:val="21"/>
        </w:rPr>
        <w:t>气）教育总结大会。至此，为期两个多月的全省县（市）“三讲”教育试点工作结束。至</w:t>
      </w:r>
      <w:r>
        <w:rPr>
          <w:rFonts w:ascii="宋体" w:hAnsi="宋体"/>
          <w:szCs w:val="21"/>
        </w:rPr>
        <w:t>11月，全市科局“三讲”教育结束</w:t>
      </w:r>
      <w:r>
        <w:rPr>
          <w:rFonts w:hint="eastAsia" w:ascii="宋体" w:hAnsi="宋体"/>
          <w:szCs w:val="21"/>
        </w:rPr>
        <w:t>。</w:t>
      </w:r>
    </w:p>
    <w:p w14:paraId="307FBFA1">
      <w:pPr>
        <w:ind w:firstLine="420"/>
        <w:rPr>
          <w:rFonts w:ascii="宋体" w:hAnsi="宋体"/>
          <w:szCs w:val="21"/>
        </w:rPr>
      </w:pPr>
      <w:r>
        <w:rPr>
          <w:rFonts w:ascii="宋体" w:hAnsi="宋体"/>
          <w:szCs w:val="21"/>
        </w:rPr>
        <w:t>8月8日，市国有瀑布、中坪、帽子峰（佛岭）、苍石电站转制签字仪式在南雄</w:t>
      </w:r>
      <w:r>
        <w:rPr>
          <w:rFonts w:hint="eastAsia" w:ascii="宋体" w:hAnsi="宋体"/>
          <w:szCs w:val="21"/>
        </w:rPr>
        <w:t>大会堂举行。韶关市长覃卫东、韶能集团股份有限公司等领导以及南雄市党政领导近</w:t>
      </w:r>
      <w:r>
        <w:rPr>
          <w:rFonts w:ascii="宋体" w:hAnsi="宋体"/>
          <w:szCs w:val="21"/>
        </w:rPr>
        <w:t>1000人参加了大会。市长沈明祥和广东省韶能集团股份有限公司董事长徐兵签订了</w:t>
      </w:r>
      <w:r>
        <w:rPr>
          <w:rFonts w:hint="eastAsia" w:ascii="宋体" w:hAnsi="宋体"/>
          <w:szCs w:val="21"/>
        </w:rPr>
        <w:t>电站转让协议书，市水利局长陈如亮与韶能集团董事长徐兵签订了电站转让合同。韶关市长覃卫东和南雄市市委书记丘隆基在会上分别作了讲话。</w:t>
      </w:r>
    </w:p>
    <w:p w14:paraId="4ADFB113">
      <w:pPr>
        <w:ind w:firstLine="420"/>
        <w:rPr>
          <w:rFonts w:ascii="宋体" w:hAnsi="宋体"/>
          <w:szCs w:val="21"/>
        </w:rPr>
      </w:pPr>
      <w:r>
        <w:rPr>
          <w:rFonts w:ascii="宋体" w:hAnsi="宋体"/>
          <w:szCs w:val="21"/>
        </w:rPr>
        <w:t>8月28日至30日，省卫生城市考核鉴定委员会对南雄创建“省卫生城市”工作</w:t>
      </w:r>
      <w:r>
        <w:rPr>
          <w:rFonts w:hint="eastAsia" w:ascii="宋体" w:hAnsi="宋体"/>
          <w:szCs w:val="21"/>
        </w:rPr>
        <w:t>进行了考核鉴定，授予“广东省卫生城市”称号。</w:t>
      </w:r>
    </w:p>
    <w:p w14:paraId="780B5E03">
      <w:pPr>
        <w:ind w:firstLine="420"/>
        <w:rPr>
          <w:rFonts w:ascii="宋体" w:hAnsi="宋体"/>
          <w:szCs w:val="21"/>
        </w:rPr>
      </w:pPr>
      <w:r>
        <w:rPr>
          <w:rFonts w:ascii="宋体" w:hAnsi="宋体"/>
          <w:szCs w:val="21"/>
        </w:rPr>
        <w:t>10月18日，全市实现村村通电话</w:t>
      </w:r>
      <w:r>
        <w:rPr>
          <w:rFonts w:hint="eastAsia" w:ascii="宋体" w:hAnsi="宋体"/>
          <w:szCs w:val="21"/>
        </w:rPr>
        <w:t>。</w:t>
      </w:r>
    </w:p>
    <w:p w14:paraId="05B50681">
      <w:pPr>
        <w:ind w:firstLine="420"/>
        <w:rPr>
          <w:rFonts w:ascii="宋体" w:hAnsi="宋体"/>
          <w:szCs w:val="21"/>
        </w:rPr>
      </w:pPr>
      <w:r>
        <w:rPr>
          <w:rFonts w:ascii="宋体" w:hAnsi="宋体"/>
          <w:szCs w:val="21"/>
        </w:rPr>
        <w:t>10月29日，珠玑出租汽车有限公司正式向社会提供出租汽车客运服务。</w:t>
      </w:r>
    </w:p>
    <w:p w14:paraId="5F481052">
      <w:pPr>
        <w:ind w:firstLine="420"/>
        <w:rPr>
          <w:rFonts w:ascii="宋体" w:hAnsi="宋体"/>
          <w:szCs w:val="21"/>
        </w:rPr>
      </w:pPr>
      <w:r>
        <w:rPr>
          <w:rFonts w:ascii="宋体" w:hAnsi="宋体"/>
          <w:szCs w:val="21"/>
        </w:rPr>
        <w:t>12月，广东省政府授予南雄市为“广东农村小康达标市”称号</w:t>
      </w:r>
      <w:r>
        <w:rPr>
          <w:rFonts w:hint="eastAsia" w:ascii="宋体" w:hAnsi="宋体"/>
          <w:szCs w:val="21"/>
        </w:rPr>
        <w:t>。</w:t>
      </w:r>
    </w:p>
    <w:p w14:paraId="0EB8B382">
      <w:pPr>
        <w:pStyle w:val="4"/>
        <w:rPr>
          <w:rFonts w:ascii="宋体" w:hAnsi="宋体"/>
        </w:rPr>
      </w:pPr>
      <w:r>
        <w:rPr>
          <w:rFonts w:ascii="宋体" w:hAnsi="宋体"/>
        </w:rPr>
        <w:t>2001年</w:t>
      </w:r>
    </w:p>
    <w:p w14:paraId="6DBE41B8">
      <w:pPr>
        <w:ind w:firstLine="420"/>
        <w:rPr>
          <w:rFonts w:ascii="宋体" w:hAnsi="宋体"/>
          <w:szCs w:val="21"/>
        </w:rPr>
      </w:pPr>
      <w:r>
        <w:rPr>
          <w:rFonts w:ascii="宋体" w:hAnsi="宋体"/>
          <w:szCs w:val="21"/>
        </w:rPr>
        <w:t>3月9日，在南雄大会堂召开农村“三个代表”重要思想（中国共产党要始终代</w:t>
      </w:r>
      <w:r>
        <w:rPr>
          <w:rFonts w:hint="eastAsia" w:ascii="宋体" w:hAnsi="宋体"/>
          <w:szCs w:val="21"/>
        </w:rPr>
        <w:t>表中国先进生产力的发展要求，要始终代表中国先进文化的前进方向，要始终代表中国最广大人民的根本利益）学习教育活动动员大会。该项活动为期</w:t>
      </w:r>
      <w:r>
        <w:rPr>
          <w:rFonts w:ascii="宋体" w:hAnsi="宋体"/>
          <w:szCs w:val="21"/>
        </w:rPr>
        <w:t>4个月，7月结</w:t>
      </w:r>
      <w:r>
        <w:rPr>
          <w:rFonts w:hint="eastAsia" w:ascii="宋体" w:hAnsi="宋体"/>
          <w:szCs w:val="21"/>
        </w:rPr>
        <w:t>束，</w:t>
      </w:r>
      <w:r>
        <w:rPr>
          <w:rFonts w:ascii="宋体" w:hAnsi="宋体"/>
          <w:szCs w:val="21"/>
        </w:rPr>
        <w:t>11月铺开到村一级。</w:t>
      </w:r>
    </w:p>
    <w:p w14:paraId="4D581888">
      <w:pPr>
        <w:ind w:firstLine="420"/>
        <w:rPr>
          <w:rFonts w:ascii="宋体" w:hAnsi="宋体"/>
          <w:szCs w:val="21"/>
        </w:rPr>
      </w:pPr>
      <w:r>
        <w:rPr>
          <w:rFonts w:ascii="宋体" w:hAnsi="宋体"/>
          <w:szCs w:val="21"/>
        </w:rPr>
        <w:t>4月18日，市第五次全国人口普查工作结束，全市总人口为37.28万人（包括</w:t>
      </w:r>
      <w:r>
        <w:rPr>
          <w:rFonts w:hint="eastAsia" w:ascii="宋体" w:hAnsi="宋体"/>
          <w:szCs w:val="21"/>
        </w:rPr>
        <w:t>离开户口所在地半年以上的外县在雄人口，不包括户籍在本市但已离开本市半年以上人口），全市户籍人口</w:t>
      </w:r>
      <w:r>
        <w:rPr>
          <w:rFonts w:ascii="宋体" w:hAnsi="宋体"/>
          <w:szCs w:val="21"/>
        </w:rPr>
        <w:t>45.04万人</w:t>
      </w:r>
      <w:r>
        <w:rPr>
          <w:rFonts w:hint="eastAsia" w:ascii="宋体" w:hAnsi="宋体"/>
          <w:szCs w:val="21"/>
        </w:rPr>
        <w:t>。</w:t>
      </w:r>
    </w:p>
    <w:p w14:paraId="10ACD6C7">
      <w:pPr>
        <w:ind w:firstLine="420"/>
        <w:rPr>
          <w:rFonts w:ascii="宋体" w:hAnsi="宋体"/>
          <w:szCs w:val="21"/>
        </w:rPr>
      </w:pPr>
      <w:r>
        <w:rPr>
          <w:rFonts w:ascii="宋体" w:hAnsi="宋体"/>
          <w:szCs w:val="21"/>
        </w:rPr>
        <w:t>8月，南雄市在坪田镇建立岭南银杏种群自然保护区，保护区域内的古银杏树呈</w:t>
      </w:r>
      <w:r>
        <w:rPr>
          <w:rFonts w:hint="eastAsia" w:ascii="宋体" w:hAnsi="宋体"/>
          <w:szCs w:val="21"/>
        </w:rPr>
        <w:t>自然分布状态，株数众多，形成群落，品种品性优良独特。生长期最长达千年，普遍在三四百年以上。</w:t>
      </w:r>
    </w:p>
    <w:p w14:paraId="38795378">
      <w:pPr>
        <w:ind w:firstLine="420"/>
        <w:rPr>
          <w:rFonts w:ascii="宋体" w:hAnsi="宋体"/>
          <w:szCs w:val="21"/>
        </w:rPr>
      </w:pPr>
      <w:r>
        <w:rPr>
          <w:rFonts w:ascii="宋体" w:hAnsi="宋体"/>
          <w:szCs w:val="21"/>
        </w:rPr>
        <w:t>10月5日，莲开净寺举行落成庆典，正式对外开放。佛教界高僧本焕大和尚及1</w:t>
      </w:r>
      <w:r>
        <w:rPr>
          <w:rFonts w:hint="eastAsia" w:ascii="宋体" w:hAnsi="宋体"/>
          <w:szCs w:val="21"/>
        </w:rPr>
        <w:t>万多名海内外各界人士参加了庆典活动。</w:t>
      </w:r>
    </w:p>
    <w:p w14:paraId="63E30B0A">
      <w:pPr>
        <w:ind w:firstLine="420"/>
        <w:rPr>
          <w:rFonts w:ascii="宋体" w:hAnsi="宋体"/>
          <w:szCs w:val="21"/>
        </w:rPr>
      </w:pPr>
      <w:r>
        <w:rPr>
          <w:rFonts w:ascii="宋体" w:hAnsi="宋体"/>
          <w:szCs w:val="21"/>
        </w:rPr>
        <w:t>12月10日，市委、市政府在南雄大会堂召开机构改革动员大会，要求市级党政</w:t>
      </w:r>
      <w:r>
        <w:rPr>
          <w:rFonts w:hint="eastAsia" w:ascii="宋体" w:hAnsi="宋体"/>
          <w:szCs w:val="21"/>
        </w:rPr>
        <w:t>机构精简</w:t>
      </w:r>
      <w:r>
        <w:rPr>
          <w:rFonts w:ascii="宋体" w:hAnsi="宋体"/>
          <w:szCs w:val="21"/>
        </w:rPr>
        <w:t>22%，市委工作部门由8个减至7个，市政府工作部门由33个减为25个</w:t>
      </w:r>
      <w:r>
        <w:rPr>
          <w:rFonts w:hint="eastAsia" w:ascii="宋体" w:hAnsi="宋体"/>
          <w:szCs w:val="21"/>
        </w:rPr>
        <w:t>，市级行政编制精简</w:t>
      </w:r>
      <w:r>
        <w:rPr>
          <w:rFonts w:ascii="宋体" w:hAnsi="宋体"/>
          <w:szCs w:val="21"/>
        </w:rPr>
        <w:t>20%，在12月底前完成。</w:t>
      </w:r>
    </w:p>
    <w:p w14:paraId="447ADD12">
      <w:pPr>
        <w:ind w:firstLine="420"/>
        <w:rPr>
          <w:rFonts w:ascii="宋体" w:hAnsi="宋体"/>
          <w:szCs w:val="21"/>
        </w:rPr>
      </w:pPr>
      <w:r>
        <w:rPr>
          <w:rFonts w:ascii="宋体" w:hAnsi="宋体"/>
          <w:szCs w:val="21"/>
        </w:rPr>
        <w:t>12月28日，广东韶关卷烟厂兼并南雄卷烟厂协议书签订，经国家烟草专卖局批</w:t>
      </w:r>
      <w:r>
        <w:rPr>
          <w:rFonts w:hint="eastAsia" w:ascii="宋体" w:hAnsi="宋体"/>
          <w:szCs w:val="21"/>
        </w:rPr>
        <w:t>准，取消南雄卷烟厂法人资格和生产点。</w:t>
      </w:r>
    </w:p>
    <w:p w14:paraId="2943AAE8">
      <w:pPr>
        <w:ind w:firstLine="420"/>
        <w:rPr>
          <w:rFonts w:ascii="宋体" w:hAnsi="宋体"/>
          <w:szCs w:val="21"/>
        </w:rPr>
      </w:pPr>
      <w:r>
        <w:rPr>
          <w:rFonts w:hint="eastAsia" w:ascii="宋体" w:hAnsi="宋体"/>
          <w:szCs w:val="21"/>
        </w:rPr>
        <w:t>是年，南雄市被国家林业局授予“全国经济林建设先进县”、“中国银杏之乡”称号。市林业局被授予“全国森林防火先进单位”称号。</w:t>
      </w:r>
    </w:p>
    <w:p w14:paraId="09D0A681">
      <w:pPr>
        <w:ind w:firstLine="420"/>
        <w:rPr>
          <w:rFonts w:ascii="宋体" w:hAnsi="宋体"/>
          <w:szCs w:val="21"/>
        </w:rPr>
      </w:pPr>
      <w:r>
        <w:rPr>
          <w:rFonts w:hint="eastAsia" w:ascii="宋体" w:hAnsi="宋体"/>
          <w:szCs w:val="21"/>
        </w:rPr>
        <w:t>是年，广东烟草南雄市有限公司被国家烟草总局评为“</w:t>
      </w:r>
      <w:r>
        <w:rPr>
          <w:rFonts w:ascii="宋体" w:hAnsi="宋体"/>
          <w:szCs w:val="21"/>
        </w:rPr>
        <w:t>1999年至2001年全国烟</w:t>
      </w:r>
      <w:r>
        <w:rPr>
          <w:rFonts w:hint="eastAsia" w:ascii="宋体" w:hAnsi="宋体"/>
          <w:szCs w:val="21"/>
        </w:rPr>
        <w:t>叶工作先进单位”。</w:t>
      </w:r>
    </w:p>
    <w:p w14:paraId="5A706CB2">
      <w:pPr>
        <w:ind w:firstLine="420"/>
        <w:rPr>
          <w:rFonts w:ascii="宋体" w:hAnsi="宋体"/>
          <w:szCs w:val="21"/>
        </w:rPr>
      </w:pPr>
      <w:r>
        <w:rPr>
          <w:rFonts w:hint="eastAsia" w:ascii="宋体" w:hAnsi="宋体"/>
          <w:szCs w:val="21"/>
        </w:rPr>
        <w:t>是年，全市完成第一期农电改造任务，实现农村到户电价每千瓦时</w:t>
      </w:r>
      <w:r>
        <w:rPr>
          <w:rFonts w:ascii="宋体" w:hAnsi="宋体"/>
          <w:szCs w:val="21"/>
        </w:rPr>
        <w:t>0.79元</w:t>
      </w:r>
      <w:r>
        <w:rPr>
          <w:rFonts w:hint="eastAsia" w:ascii="宋体" w:hAnsi="宋体"/>
          <w:szCs w:val="21"/>
        </w:rPr>
        <w:t>。</w:t>
      </w:r>
    </w:p>
    <w:p w14:paraId="06229D50">
      <w:pPr>
        <w:pStyle w:val="4"/>
        <w:rPr>
          <w:rFonts w:ascii="宋体" w:hAnsi="宋体"/>
        </w:rPr>
      </w:pPr>
      <w:r>
        <w:rPr>
          <w:rFonts w:ascii="宋体" w:hAnsi="宋体"/>
        </w:rPr>
        <w:t>2002年</w:t>
      </w:r>
    </w:p>
    <w:p w14:paraId="7588BA69">
      <w:pPr>
        <w:ind w:firstLine="420"/>
        <w:rPr>
          <w:rFonts w:ascii="宋体" w:hAnsi="宋体"/>
          <w:szCs w:val="21"/>
        </w:rPr>
      </w:pPr>
      <w:r>
        <w:rPr>
          <w:rFonts w:ascii="宋体" w:hAnsi="宋体"/>
          <w:szCs w:val="21"/>
        </w:rPr>
        <w:t>1月17日至18日，市委召开九届八次全体（扩大）会议。部署2002年突出抓</w:t>
      </w:r>
      <w:r>
        <w:rPr>
          <w:rFonts w:hint="eastAsia" w:ascii="宋体" w:hAnsi="宋体"/>
          <w:szCs w:val="21"/>
        </w:rPr>
        <w:t>好</w:t>
      </w:r>
      <w:r>
        <w:rPr>
          <w:rFonts w:ascii="宋体" w:hAnsi="宋体"/>
          <w:szCs w:val="21"/>
        </w:rPr>
        <w:t>5个方面的工作：以工业发展为重点的招商引资工作；以强化城市经营理念为重</w:t>
      </w:r>
      <w:r>
        <w:rPr>
          <w:rFonts w:hint="eastAsia" w:ascii="宋体" w:hAnsi="宋体"/>
          <w:szCs w:val="21"/>
        </w:rPr>
        <w:t>点，加快城市建设和城市经济发展；以发展民营经济为重点的环境建设；进一步加大国有企业改革的力度；进一步加大农业结构调整力度。</w:t>
      </w:r>
    </w:p>
    <w:p w14:paraId="6C80E6ED">
      <w:pPr>
        <w:ind w:firstLine="420"/>
        <w:rPr>
          <w:rFonts w:ascii="宋体" w:hAnsi="宋体"/>
          <w:szCs w:val="21"/>
        </w:rPr>
      </w:pPr>
      <w:r>
        <w:rPr>
          <w:rFonts w:ascii="宋体" w:hAnsi="宋体"/>
          <w:szCs w:val="21"/>
        </w:rPr>
        <w:t>1月29日，市委在大会堂召开股级以上干部大会，宣布沈明祥任中共南雄市委</w:t>
      </w:r>
      <w:r>
        <w:rPr>
          <w:rFonts w:hint="eastAsia" w:ascii="宋体" w:hAnsi="宋体"/>
          <w:szCs w:val="21"/>
        </w:rPr>
        <w:t>书记，林楚欣任中共南雄市委副书记。</w:t>
      </w:r>
    </w:p>
    <w:p w14:paraId="0FE45D5B">
      <w:pPr>
        <w:ind w:firstLine="420"/>
        <w:rPr>
          <w:rFonts w:ascii="宋体" w:hAnsi="宋体"/>
          <w:szCs w:val="21"/>
        </w:rPr>
      </w:pPr>
      <w:r>
        <w:rPr>
          <w:rFonts w:ascii="宋体" w:hAnsi="宋体"/>
          <w:szCs w:val="21"/>
        </w:rPr>
        <w:t>1月，南雄国税局被国家人事部和国家税务总局评为2001年度“全国税务系统</w:t>
      </w:r>
      <w:r>
        <w:rPr>
          <w:rFonts w:hint="eastAsia" w:ascii="宋体" w:hAnsi="宋体"/>
          <w:szCs w:val="21"/>
        </w:rPr>
        <w:t>先进集体”。</w:t>
      </w:r>
    </w:p>
    <w:p w14:paraId="2D935775">
      <w:pPr>
        <w:ind w:firstLine="420"/>
        <w:rPr>
          <w:rFonts w:ascii="宋体" w:hAnsi="宋体"/>
          <w:szCs w:val="21"/>
        </w:rPr>
      </w:pPr>
      <w:r>
        <w:rPr>
          <w:rFonts w:ascii="宋体" w:hAnsi="宋体"/>
          <w:szCs w:val="21"/>
        </w:rPr>
        <w:t>3月11日至15日，市人大十一届五次会议，选举林楚欣为市长。</w:t>
      </w:r>
    </w:p>
    <w:p w14:paraId="50E074DF">
      <w:pPr>
        <w:ind w:firstLine="420"/>
        <w:rPr>
          <w:rFonts w:ascii="宋体" w:hAnsi="宋体"/>
          <w:szCs w:val="21"/>
        </w:rPr>
      </w:pPr>
      <w:r>
        <w:rPr>
          <w:rFonts w:ascii="宋体" w:hAnsi="宋体"/>
          <w:szCs w:val="21"/>
        </w:rPr>
        <w:t>4月3日，在油山新建的油山革命纪念碑、在帽子峰乾村新建的五岭地委及</w:t>
      </w:r>
      <w:r>
        <w:rPr>
          <w:rFonts w:hint="eastAsia" w:ascii="宋体" w:hAnsi="宋体"/>
          <w:szCs w:val="21"/>
        </w:rPr>
        <w:t>粤</w:t>
      </w:r>
      <w:r>
        <w:rPr>
          <w:rFonts w:ascii="宋体" w:hAnsi="宋体"/>
          <w:szCs w:val="21"/>
        </w:rPr>
        <w:t>赣</w:t>
      </w:r>
      <w:r>
        <w:rPr>
          <w:rFonts w:hint="eastAsia" w:ascii="宋体" w:hAnsi="宋体"/>
          <w:szCs w:val="21"/>
        </w:rPr>
        <w:t>湘边人民解放总队纪念碑、在湖口镇设立的革命烈士李乐天铜像分别举行落成典礼。</w:t>
      </w:r>
    </w:p>
    <w:p w14:paraId="155710A1">
      <w:pPr>
        <w:ind w:firstLine="420"/>
        <w:rPr>
          <w:rFonts w:ascii="宋体" w:hAnsi="宋体"/>
          <w:szCs w:val="21"/>
        </w:rPr>
      </w:pPr>
      <w:r>
        <w:rPr>
          <w:rFonts w:ascii="宋体" w:hAnsi="宋体"/>
          <w:szCs w:val="21"/>
        </w:rPr>
        <w:t>4月10日上午，南雄行政服务中心举行挂牌启用仪式。首批进入窗口的33个单</w:t>
      </w:r>
      <w:r>
        <w:rPr>
          <w:rFonts w:hint="eastAsia" w:ascii="宋体" w:hAnsi="宋体"/>
          <w:szCs w:val="21"/>
        </w:rPr>
        <w:t>位和</w:t>
      </w:r>
      <w:r>
        <w:rPr>
          <w:rFonts w:ascii="宋体" w:hAnsi="宋体"/>
          <w:szCs w:val="21"/>
        </w:rPr>
        <w:t>6个其他服务机构，为外商和群众办事提供</w:t>
      </w:r>
      <w:r>
        <w:rPr>
          <w:rFonts w:hint="eastAsia" w:ascii="宋体" w:hAnsi="宋体"/>
          <w:szCs w:val="21"/>
        </w:rPr>
        <w:t>“</w:t>
      </w:r>
      <w:r>
        <w:rPr>
          <w:rFonts w:ascii="宋体" w:hAnsi="宋体"/>
          <w:szCs w:val="21"/>
        </w:rPr>
        <w:t>一站式</w:t>
      </w:r>
      <w:r>
        <w:rPr>
          <w:rFonts w:hint="eastAsia" w:ascii="宋体" w:hAnsi="宋体"/>
          <w:szCs w:val="21"/>
        </w:rPr>
        <w:t>”</w:t>
      </w:r>
      <w:r>
        <w:rPr>
          <w:rFonts w:ascii="宋体" w:hAnsi="宋体"/>
          <w:szCs w:val="21"/>
        </w:rPr>
        <w:t>服务</w:t>
      </w:r>
      <w:r>
        <w:rPr>
          <w:rFonts w:hint="eastAsia" w:ascii="宋体" w:hAnsi="宋体"/>
          <w:szCs w:val="21"/>
        </w:rPr>
        <w:t>。</w:t>
      </w:r>
    </w:p>
    <w:p w14:paraId="3765D8A5">
      <w:pPr>
        <w:ind w:firstLine="420"/>
        <w:rPr>
          <w:rFonts w:ascii="宋体" w:hAnsi="宋体"/>
          <w:szCs w:val="21"/>
        </w:rPr>
      </w:pPr>
      <w:r>
        <w:rPr>
          <w:rFonts w:ascii="宋体" w:hAnsi="宋体"/>
          <w:szCs w:val="21"/>
        </w:rPr>
        <w:t>4月19日，凌江河羊角大桥落成。该桥于2000年6月动工，总投资200万元，</w:t>
      </w:r>
      <w:r>
        <w:rPr>
          <w:rFonts w:hint="eastAsia" w:ascii="宋体" w:hAnsi="宋体"/>
          <w:szCs w:val="21"/>
        </w:rPr>
        <w:t>桥长</w:t>
      </w:r>
      <w:r>
        <w:rPr>
          <w:rFonts w:ascii="宋体" w:hAnsi="宋体"/>
          <w:szCs w:val="21"/>
        </w:rPr>
        <w:t>110米，宽12米，5跨，每跨20米，为预制钢筋混凝土</w:t>
      </w:r>
      <w:r>
        <w:rPr>
          <w:rFonts w:hint="eastAsia" w:ascii="宋体" w:hAnsi="宋体"/>
          <w:szCs w:val="21"/>
        </w:rPr>
        <w:t>“</w:t>
      </w:r>
      <w:r>
        <w:rPr>
          <w:rFonts w:ascii="宋体" w:hAnsi="宋体"/>
          <w:szCs w:val="21"/>
        </w:rPr>
        <w:t>T</w:t>
      </w:r>
      <w:r>
        <w:rPr>
          <w:rFonts w:hint="eastAsia" w:ascii="宋体" w:hAnsi="宋体"/>
          <w:szCs w:val="21"/>
        </w:rPr>
        <w:t>”</w:t>
      </w:r>
      <w:r>
        <w:rPr>
          <w:rFonts w:ascii="宋体" w:hAnsi="宋体"/>
          <w:szCs w:val="21"/>
        </w:rPr>
        <w:t>梁结构。</w:t>
      </w:r>
    </w:p>
    <w:p w14:paraId="542B5DC1">
      <w:pPr>
        <w:ind w:firstLine="420"/>
        <w:rPr>
          <w:rFonts w:ascii="宋体" w:hAnsi="宋体"/>
          <w:szCs w:val="21"/>
        </w:rPr>
      </w:pPr>
      <w:r>
        <w:rPr>
          <w:rFonts w:ascii="宋体" w:hAnsi="宋体"/>
          <w:szCs w:val="21"/>
        </w:rPr>
        <w:t>5月10日下午，南雄市政府与广州明信有限公司正式签约，共同开发建设南雄</w:t>
      </w:r>
      <w:r>
        <w:rPr>
          <w:rFonts w:hint="eastAsia" w:ascii="宋体" w:hAnsi="宋体"/>
          <w:szCs w:val="21"/>
        </w:rPr>
        <w:t>（香港）明珠工业园。该园位于南雄河南工业开发区，占地面积</w:t>
      </w:r>
      <w:r>
        <w:rPr>
          <w:rFonts w:ascii="宋体" w:hAnsi="宋体"/>
          <w:szCs w:val="21"/>
        </w:rPr>
        <w:t>21万平方米，建设</w:t>
      </w:r>
      <w:r>
        <w:rPr>
          <w:rFonts w:hint="eastAsia" w:ascii="宋体" w:hAnsi="宋体"/>
          <w:szCs w:val="21"/>
        </w:rPr>
        <w:t>期</w:t>
      </w:r>
      <w:r>
        <w:rPr>
          <w:rFonts w:ascii="宋体" w:hAnsi="宋体"/>
          <w:szCs w:val="21"/>
        </w:rPr>
        <w:t>8年，园区内实行自主投资、自行规划建设、自主招商、自负盈亏的经营管理模</w:t>
      </w:r>
      <w:r>
        <w:rPr>
          <w:rFonts w:hint="eastAsia" w:ascii="宋体" w:hAnsi="宋体"/>
          <w:szCs w:val="21"/>
        </w:rPr>
        <w:t>式。该园于</w:t>
      </w:r>
      <w:r>
        <w:rPr>
          <w:rFonts w:ascii="宋体" w:hAnsi="宋体"/>
          <w:szCs w:val="21"/>
        </w:rPr>
        <w:t>8月5日破土动工</w:t>
      </w:r>
      <w:r>
        <w:rPr>
          <w:rFonts w:hint="eastAsia" w:ascii="宋体" w:hAnsi="宋体"/>
          <w:szCs w:val="21"/>
        </w:rPr>
        <w:t>。</w:t>
      </w:r>
    </w:p>
    <w:p w14:paraId="61A3E651">
      <w:pPr>
        <w:ind w:firstLine="420"/>
        <w:rPr>
          <w:rFonts w:ascii="宋体" w:hAnsi="宋体"/>
          <w:szCs w:val="21"/>
        </w:rPr>
      </w:pPr>
      <w:r>
        <w:rPr>
          <w:rFonts w:ascii="宋体" w:hAnsi="宋体"/>
          <w:szCs w:val="21"/>
        </w:rPr>
        <w:t>6月11日，由国家烟草专卖局科教司、青州烟草研究所共同组织的“全国名优</w:t>
      </w:r>
      <w:r>
        <w:rPr>
          <w:rFonts w:hint="eastAsia" w:ascii="宋体" w:hAnsi="宋体"/>
          <w:szCs w:val="21"/>
        </w:rPr>
        <w:t>晒黄烟开发现场观摩会”在南雄召开，来自全国</w:t>
      </w:r>
      <w:r>
        <w:rPr>
          <w:rFonts w:ascii="宋体" w:hAnsi="宋体"/>
          <w:szCs w:val="21"/>
        </w:rPr>
        <w:t>6大卷烟厂家和40多名烟草专家参</w:t>
      </w:r>
      <w:r>
        <w:rPr>
          <w:rFonts w:hint="eastAsia" w:ascii="宋体" w:hAnsi="宋体"/>
          <w:szCs w:val="21"/>
        </w:rPr>
        <w:t>加了会议。专家对南雄晒黄烟采用半晒半烤的调制技术，认为独具特色，烟叶兼有晒、烤特性，有较好的使用价值。</w:t>
      </w:r>
    </w:p>
    <w:p w14:paraId="20A4EADE">
      <w:pPr>
        <w:ind w:firstLine="420"/>
        <w:rPr>
          <w:rFonts w:ascii="宋体" w:hAnsi="宋体"/>
          <w:szCs w:val="21"/>
        </w:rPr>
      </w:pPr>
      <w:r>
        <w:rPr>
          <w:rFonts w:ascii="宋体" w:hAnsi="宋体"/>
          <w:szCs w:val="21"/>
        </w:rPr>
        <w:t>6月23日，市委、市政府制定《关于大力发展民营经济的决定》，力争在“十</w:t>
      </w:r>
      <w:r>
        <w:rPr>
          <w:rFonts w:hint="eastAsia" w:ascii="宋体" w:hAnsi="宋体"/>
          <w:szCs w:val="21"/>
        </w:rPr>
        <w:t>五”计划期末，民营经济总量占市国民经济总量的</w:t>
      </w:r>
      <w:r>
        <w:rPr>
          <w:rFonts w:ascii="宋体" w:hAnsi="宋体"/>
          <w:szCs w:val="21"/>
        </w:rPr>
        <w:t>50%左右。并提出发展民营企业</w:t>
      </w:r>
      <w:r>
        <w:rPr>
          <w:rFonts w:hint="eastAsia" w:ascii="宋体" w:hAnsi="宋体"/>
          <w:szCs w:val="21"/>
        </w:rPr>
        <w:t>的</w:t>
      </w:r>
      <w:r>
        <w:rPr>
          <w:rFonts w:ascii="宋体" w:hAnsi="宋体"/>
          <w:szCs w:val="21"/>
        </w:rPr>
        <w:t>7条政策措施。</w:t>
      </w:r>
    </w:p>
    <w:p w14:paraId="42A47E34">
      <w:pPr>
        <w:ind w:firstLine="420"/>
        <w:rPr>
          <w:rFonts w:ascii="宋体" w:hAnsi="宋体"/>
          <w:szCs w:val="21"/>
        </w:rPr>
      </w:pPr>
      <w:r>
        <w:rPr>
          <w:rFonts w:ascii="宋体" w:hAnsi="宋体"/>
          <w:szCs w:val="21"/>
        </w:rPr>
        <w:t>6月26日，雄州镇将原有6个街道办事处，改为社区居委会，强化城市管理功</w:t>
      </w:r>
      <w:r>
        <w:rPr>
          <w:rFonts w:hint="eastAsia" w:ascii="宋体" w:hAnsi="宋体"/>
          <w:szCs w:val="21"/>
        </w:rPr>
        <w:t>能。</w:t>
      </w:r>
    </w:p>
    <w:p w14:paraId="284706DD">
      <w:pPr>
        <w:ind w:firstLine="420"/>
        <w:rPr>
          <w:rFonts w:ascii="宋体" w:hAnsi="宋体"/>
          <w:szCs w:val="21"/>
        </w:rPr>
      </w:pPr>
      <w:r>
        <w:rPr>
          <w:rFonts w:ascii="宋体" w:hAnsi="宋体"/>
          <w:szCs w:val="21"/>
        </w:rPr>
        <w:t>6月26日，市政府召开加快城市化进程工作会议。强调运用市场手段，开展城</w:t>
      </w:r>
      <w:r>
        <w:rPr>
          <w:rFonts w:hint="eastAsia" w:ascii="宋体" w:hAnsi="宋体"/>
          <w:szCs w:val="21"/>
        </w:rPr>
        <w:t>市经营，加快城市发展。会上，市建设局与江西省南丰县华宇房地产开发有限公司签订开发建设老城下城区</w:t>
      </w:r>
      <w:r>
        <w:rPr>
          <w:rFonts w:ascii="宋体" w:hAnsi="宋体"/>
          <w:szCs w:val="21"/>
        </w:rPr>
        <w:t>5号组团，即槐花大道到中山街，总投资1亿元，首期到位资</w:t>
      </w:r>
      <w:r>
        <w:rPr>
          <w:rFonts w:hint="eastAsia" w:ascii="宋体" w:hAnsi="宋体"/>
          <w:szCs w:val="21"/>
        </w:rPr>
        <w:t>金</w:t>
      </w:r>
      <w:r>
        <w:rPr>
          <w:rFonts w:ascii="宋体" w:hAnsi="宋体"/>
          <w:szCs w:val="21"/>
        </w:rPr>
        <w:t>303万元。又与惠州市王旗化妆品有限公司开发建设老城下城区2号组团，即维新</w:t>
      </w:r>
      <w:r>
        <w:rPr>
          <w:rFonts w:hint="eastAsia" w:ascii="宋体" w:hAnsi="宋体"/>
          <w:szCs w:val="21"/>
        </w:rPr>
        <w:t>路至槐花大道，总投资</w:t>
      </w:r>
      <w:r>
        <w:rPr>
          <w:rFonts w:ascii="宋体" w:hAnsi="宋体"/>
          <w:szCs w:val="21"/>
        </w:rPr>
        <w:t>1亿元，首期到位资金505万元。</w:t>
      </w:r>
    </w:p>
    <w:p w14:paraId="34D172AC">
      <w:pPr>
        <w:ind w:firstLine="420"/>
        <w:rPr>
          <w:rFonts w:ascii="宋体" w:hAnsi="宋体"/>
          <w:szCs w:val="21"/>
        </w:rPr>
      </w:pPr>
      <w:r>
        <w:rPr>
          <w:rFonts w:ascii="宋体" w:hAnsi="宋体"/>
          <w:szCs w:val="21"/>
        </w:rPr>
        <w:t>7月3日，“南雄十景”评选活动结束，入选“十景”为南粤雄关，驿道寒梅、</w:t>
      </w:r>
      <w:r>
        <w:rPr>
          <w:rFonts w:hint="eastAsia" w:ascii="宋体" w:hAnsi="宋体"/>
          <w:szCs w:val="21"/>
        </w:rPr>
        <w:t>珠玑古巷、翠屏钟鼓、三影宝塔、古城流韵，红层龙踪、碧水青嶂、苍石奇谷、莲开净寺。</w:t>
      </w:r>
    </w:p>
    <w:p w14:paraId="57CF3AE4">
      <w:pPr>
        <w:ind w:firstLine="420"/>
        <w:rPr>
          <w:rFonts w:ascii="宋体" w:hAnsi="宋体"/>
          <w:szCs w:val="21"/>
        </w:rPr>
      </w:pPr>
      <w:r>
        <w:rPr>
          <w:rFonts w:ascii="宋体" w:hAnsi="宋体"/>
          <w:szCs w:val="21"/>
        </w:rPr>
        <w:t>7月9日，市第一造纸厂万吨生产线竣工投产，从而使该厂年产量从1.5万吨提</w:t>
      </w:r>
      <w:r>
        <w:rPr>
          <w:rFonts w:hint="eastAsia" w:ascii="宋体" w:hAnsi="宋体"/>
          <w:szCs w:val="21"/>
        </w:rPr>
        <w:t>高到</w:t>
      </w:r>
      <w:r>
        <w:rPr>
          <w:rFonts w:ascii="宋体" w:hAnsi="宋体"/>
          <w:szCs w:val="21"/>
        </w:rPr>
        <w:t>2.5万吨。</w:t>
      </w:r>
    </w:p>
    <w:p w14:paraId="505F2D27">
      <w:pPr>
        <w:ind w:firstLine="420"/>
        <w:rPr>
          <w:rFonts w:ascii="宋体" w:hAnsi="宋体"/>
          <w:szCs w:val="21"/>
        </w:rPr>
      </w:pPr>
      <w:r>
        <w:rPr>
          <w:rFonts w:ascii="宋体" w:hAnsi="宋体"/>
          <w:szCs w:val="21"/>
        </w:rPr>
        <w:t>8月3日，首届省、港、澳、深、韶武术交流会在南雄雄州体育馆举行，省武术</w:t>
      </w:r>
      <w:r>
        <w:rPr>
          <w:rFonts w:hint="eastAsia" w:ascii="宋体" w:hAnsi="宋体"/>
          <w:szCs w:val="21"/>
        </w:rPr>
        <w:t>队、香港精武会、香港武术总会、澳门精武会、澳门武术总会、深圳武术协会、韶关武术协会与南雄武术队的武术精英进行了</w:t>
      </w:r>
      <w:r>
        <w:rPr>
          <w:rFonts w:ascii="宋体" w:hAnsi="宋体"/>
          <w:szCs w:val="21"/>
        </w:rPr>
        <w:t>32种武术表演</w:t>
      </w:r>
      <w:r>
        <w:rPr>
          <w:rFonts w:hint="eastAsia" w:ascii="宋体" w:hAnsi="宋体"/>
          <w:szCs w:val="21"/>
        </w:rPr>
        <w:t>。</w:t>
      </w:r>
    </w:p>
    <w:p w14:paraId="2D3B497A">
      <w:pPr>
        <w:ind w:firstLine="420"/>
        <w:rPr>
          <w:rFonts w:ascii="宋体" w:hAnsi="宋体"/>
          <w:szCs w:val="21"/>
        </w:rPr>
      </w:pPr>
      <w:r>
        <w:rPr>
          <w:rFonts w:ascii="宋体" w:hAnsi="宋体"/>
          <w:szCs w:val="21"/>
        </w:rPr>
        <w:t>8月10日上午，广东南雄新世纪银杏园有限责任公司成立。该公司由香港协群</w:t>
      </w:r>
      <w:r>
        <w:rPr>
          <w:rFonts w:hint="eastAsia" w:ascii="宋体" w:hAnsi="宋体"/>
          <w:szCs w:val="21"/>
        </w:rPr>
        <w:t>有限公司投资</w:t>
      </w:r>
      <w:r>
        <w:rPr>
          <w:rFonts w:ascii="宋体" w:hAnsi="宋体"/>
          <w:szCs w:val="21"/>
        </w:rPr>
        <w:t>750万元与南雄银杏开发有限责任公司共同合作经营。</w:t>
      </w:r>
    </w:p>
    <w:p w14:paraId="0C029F8E">
      <w:pPr>
        <w:ind w:firstLine="420"/>
        <w:rPr>
          <w:rFonts w:ascii="宋体" w:hAnsi="宋体"/>
          <w:szCs w:val="21"/>
        </w:rPr>
      </w:pPr>
      <w:r>
        <w:rPr>
          <w:rFonts w:ascii="宋体" w:hAnsi="宋体"/>
          <w:szCs w:val="21"/>
        </w:rPr>
        <w:t>8月29日，南雄市第二届新方志编修工作会议召开，部署第二届修志工作任务。</w:t>
      </w:r>
    </w:p>
    <w:p w14:paraId="2C2DA6C7">
      <w:pPr>
        <w:ind w:firstLine="420"/>
        <w:rPr>
          <w:rFonts w:ascii="宋体" w:hAnsi="宋体"/>
          <w:szCs w:val="21"/>
        </w:rPr>
      </w:pPr>
      <w:r>
        <w:rPr>
          <w:rFonts w:ascii="宋体" w:hAnsi="宋体"/>
          <w:szCs w:val="21"/>
        </w:rPr>
        <w:t>8月，南雄为加快城市建设经营进程，出台了一系列配套措施。一是推行政务公</w:t>
      </w:r>
      <w:r>
        <w:rPr>
          <w:rFonts w:hint="eastAsia" w:ascii="宋体" w:hAnsi="宋体"/>
          <w:szCs w:val="21"/>
        </w:rPr>
        <w:t>开，实现审批行为法制化；二是切实减免部分工程建设费用，总收费由原来工程总造价的</w:t>
      </w:r>
      <w:r>
        <w:rPr>
          <w:rFonts w:ascii="宋体" w:hAnsi="宋体"/>
          <w:szCs w:val="21"/>
        </w:rPr>
        <w:t>9.63%降为5.72%；三是制定鼓励发展第二、三产业优惠政策，简化办事程序，</w:t>
      </w:r>
      <w:r>
        <w:rPr>
          <w:rFonts w:hint="eastAsia" w:ascii="宋体" w:hAnsi="宋体"/>
          <w:szCs w:val="21"/>
        </w:rPr>
        <w:t>为进城就业人员提供方便；四是改革户籍制度，放宽户口限制，凡经办理城区常住户口的居民子女在入学、入托、参军、招工等方面，享受城镇居民同等待遇。</w:t>
      </w:r>
    </w:p>
    <w:p w14:paraId="6253363E">
      <w:pPr>
        <w:ind w:firstLine="420"/>
        <w:rPr>
          <w:rFonts w:ascii="宋体" w:hAnsi="宋体"/>
          <w:szCs w:val="21"/>
        </w:rPr>
      </w:pPr>
      <w:r>
        <w:rPr>
          <w:rFonts w:ascii="宋体" w:hAnsi="宋体"/>
          <w:szCs w:val="21"/>
        </w:rPr>
        <w:t>10月27日至30日，持续暴</w:t>
      </w:r>
      <w:r>
        <w:rPr>
          <w:rFonts w:hint="eastAsia" w:ascii="宋体" w:hAnsi="宋体"/>
          <w:szCs w:val="21"/>
        </w:rPr>
        <w:t>雨</w:t>
      </w:r>
      <w:r>
        <w:rPr>
          <w:rFonts w:ascii="宋体" w:hAnsi="宋体"/>
          <w:szCs w:val="21"/>
        </w:rPr>
        <w:t>，部分地区大暴雨。全市受浸农作物2722公顷，</w:t>
      </w:r>
      <w:r>
        <w:rPr>
          <w:rFonts w:hint="eastAsia" w:ascii="宋体" w:hAnsi="宋体"/>
          <w:szCs w:val="21"/>
        </w:rPr>
        <w:t>毁坏耕地</w:t>
      </w:r>
      <w:r>
        <w:rPr>
          <w:rFonts w:ascii="宋体" w:hAnsi="宋体"/>
          <w:szCs w:val="21"/>
        </w:rPr>
        <w:t>2</w:t>
      </w:r>
      <w:r>
        <w:rPr>
          <w:rFonts w:hint="eastAsia" w:ascii="宋体" w:hAnsi="宋体"/>
          <w:szCs w:val="21"/>
        </w:rPr>
        <w:t>0</w:t>
      </w:r>
      <w:r>
        <w:rPr>
          <w:rFonts w:ascii="宋体" w:hAnsi="宋体"/>
          <w:szCs w:val="21"/>
        </w:rPr>
        <w:t>0公顷，损失粮食5.8万吨，倒塌房屋205间，损坏房屋319间，2座山</w:t>
      </w:r>
      <w:r>
        <w:rPr>
          <w:rFonts w:hint="eastAsia" w:ascii="宋体" w:hAnsi="宋体"/>
          <w:szCs w:val="21"/>
        </w:rPr>
        <w:t>塘缺口，冲毁水渠</w:t>
      </w:r>
      <w:r>
        <w:rPr>
          <w:rFonts w:ascii="宋体" w:hAnsi="宋体"/>
          <w:szCs w:val="21"/>
        </w:rPr>
        <w:t>1300米，直接经济损失800多万元。</w:t>
      </w:r>
    </w:p>
    <w:p w14:paraId="2BCF5DDF">
      <w:pPr>
        <w:ind w:firstLine="420"/>
        <w:rPr>
          <w:rFonts w:ascii="宋体" w:hAnsi="宋体"/>
          <w:szCs w:val="21"/>
        </w:rPr>
      </w:pPr>
      <w:r>
        <w:rPr>
          <w:rFonts w:ascii="宋体" w:hAnsi="宋体"/>
          <w:szCs w:val="21"/>
        </w:rPr>
        <w:t>11月28日，由省音乐家协会、省戏剧家协会和南雄市政府联合主办的“中国音</w:t>
      </w:r>
      <w:r>
        <w:rPr>
          <w:rFonts w:hint="eastAsia" w:ascii="宋体" w:hAnsi="宋体"/>
          <w:szCs w:val="21"/>
        </w:rPr>
        <w:t>乐文化、采茶戏音乐研讨会”在南雄举行。</w:t>
      </w:r>
    </w:p>
    <w:p w14:paraId="6ED5EAFD">
      <w:pPr>
        <w:ind w:firstLine="420"/>
        <w:rPr>
          <w:rFonts w:ascii="宋体" w:hAnsi="宋体"/>
          <w:szCs w:val="21"/>
        </w:rPr>
      </w:pPr>
      <w:r>
        <w:rPr>
          <w:rFonts w:ascii="宋体" w:hAnsi="宋体"/>
          <w:szCs w:val="21"/>
        </w:rPr>
        <w:t>12月21日至22日，广东朱熹学术思想研讨会在南雄举行。</w:t>
      </w:r>
    </w:p>
    <w:p w14:paraId="481D7EC0">
      <w:pPr>
        <w:pStyle w:val="4"/>
        <w:rPr>
          <w:rFonts w:ascii="宋体" w:hAnsi="宋体"/>
        </w:rPr>
      </w:pPr>
      <w:r>
        <w:rPr>
          <w:rFonts w:ascii="宋体" w:hAnsi="宋体"/>
        </w:rPr>
        <w:t>2003年</w:t>
      </w:r>
    </w:p>
    <w:p w14:paraId="6ABDF52D">
      <w:pPr>
        <w:ind w:firstLine="420"/>
        <w:rPr>
          <w:rFonts w:ascii="宋体" w:hAnsi="宋体"/>
          <w:szCs w:val="21"/>
        </w:rPr>
      </w:pPr>
      <w:r>
        <w:rPr>
          <w:rFonts w:ascii="宋体" w:hAnsi="宋体"/>
          <w:szCs w:val="21"/>
        </w:rPr>
        <w:t>1月3日，省文化厅对乌迳、邓坊两镇文化楼进行检查验收。至此，全市20个</w:t>
      </w:r>
      <w:r>
        <w:rPr>
          <w:rFonts w:hint="eastAsia" w:ascii="宋体" w:hAnsi="宋体"/>
          <w:szCs w:val="21"/>
        </w:rPr>
        <w:t>镇的文化楼都通过了省文化厅检查验收，完成了</w:t>
      </w:r>
      <w:r>
        <w:rPr>
          <w:rFonts w:ascii="宋体" w:hAnsi="宋体"/>
          <w:szCs w:val="21"/>
        </w:rPr>
        <w:t>1998年省人大一号议案提出山区每</w:t>
      </w:r>
      <w:r>
        <w:rPr>
          <w:rFonts w:hint="eastAsia" w:ascii="宋体" w:hAnsi="宋体"/>
          <w:szCs w:val="21"/>
        </w:rPr>
        <w:t>镇一文化楼的任务。</w:t>
      </w:r>
    </w:p>
    <w:p w14:paraId="1C446A54">
      <w:pPr>
        <w:ind w:firstLine="420"/>
        <w:rPr>
          <w:rFonts w:ascii="宋体" w:hAnsi="宋体"/>
          <w:szCs w:val="21"/>
        </w:rPr>
      </w:pPr>
      <w:r>
        <w:rPr>
          <w:rFonts w:ascii="宋体" w:hAnsi="宋体"/>
          <w:szCs w:val="21"/>
        </w:rPr>
        <w:t>1月20日，南雄市珠玑纸业有限公司成立。该公司是原南雄造纸总厂与中国信</w:t>
      </w:r>
      <w:r>
        <w:rPr>
          <w:rFonts w:hint="eastAsia" w:ascii="宋体" w:hAnsi="宋体"/>
          <w:szCs w:val="21"/>
        </w:rPr>
        <w:t>达资产管理公司、中国华融资产管理公司以债转股方式组建的股份制公司。公司总资产</w:t>
      </w:r>
      <w:r>
        <w:rPr>
          <w:rFonts w:ascii="宋体" w:hAnsi="宋体"/>
          <w:szCs w:val="21"/>
        </w:rPr>
        <w:t>10139万元，有员工300多人，年生产能力2.5万吨</w:t>
      </w:r>
      <w:r>
        <w:rPr>
          <w:rFonts w:hint="eastAsia" w:ascii="宋体" w:hAnsi="宋体"/>
          <w:szCs w:val="21"/>
        </w:rPr>
        <w:t>。</w:t>
      </w:r>
    </w:p>
    <w:p w14:paraId="43CBDEA1">
      <w:pPr>
        <w:ind w:firstLine="420"/>
        <w:rPr>
          <w:rFonts w:ascii="宋体" w:hAnsi="宋体"/>
          <w:szCs w:val="21"/>
        </w:rPr>
      </w:pPr>
      <w:r>
        <w:rPr>
          <w:rFonts w:ascii="宋体" w:hAnsi="宋体"/>
          <w:szCs w:val="21"/>
        </w:rPr>
        <w:t>2月17日，南雄中学举行“广东省一级学校”挂牌仪式</w:t>
      </w:r>
      <w:r>
        <w:rPr>
          <w:rFonts w:hint="eastAsia" w:ascii="宋体" w:hAnsi="宋体"/>
          <w:szCs w:val="21"/>
        </w:rPr>
        <w:t>。</w:t>
      </w:r>
    </w:p>
    <w:p w14:paraId="3560E838">
      <w:pPr>
        <w:ind w:firstLine="420"/>
        <w:rPr>
          <w:rFonts w:ascii="宋体" w:hAnsi="宋体"/>
          <w:szCs w:val="21"/>
        </w:rPr>
      </w:pPr>
      <w:r>
        <w:rPr>
          <w:rFonts w:ascii="宋体" w:hAnsi="宋体"/>
          <w:szCs w:val="21"/>
        </w:rPr>
        <w:t>3月4日至6日，中共南雄市第十次代表大会召开。大会选举产生第十届县委员</w:t>
      </w:r>
      <w:r>
        <w:rPr>
          <w:rFonts w:hint="eastAsia" w:ascii="宋体" w:hAnsi="宋体"/>
          <w:szCs w:val="21"/>
        </w:rPr>
        <w:t>会和纪律检查委员会，何为星为市委书记，许志新为纪检会书记。</w:t>
      </w:r>
    </w:p>
    <w:p w14:paraId="283DB80A">
      <w:pPr>
        <w:ind w:firstLine="420"/>
        <w:rPr>
          <w:rFonts w:ascii="宋体" w:hAnsi="宋体"/>
          <w:szCs w:val="21"/>
        </w:rPr>
      </w:pPr>
      <w:r>
        <w:rPr>
          <w:rFonts w:ascii="宋体" w:hAnsi="宋体"/>
          <w:szCs w:val="21"/>
        </w:rPr>
        <w:t>3月10日至13日，政协南雄市第七届委员会第一次会议召开，选举产生第七届</w:t>
      </w:r>
      <w:r>
        <w:rPr>
          <w:rFonts w:hint="eastAsia" w:ascii="宋体" w:hAnsi="宋体"/>
          <w:szCs w:val="21"/>
        </w:rPr>
        <w:t>政协常委会，主席曾昭佑。</w:t>
      </w:r>
    </w:p>
    <w:p w14:paraId="4DE8E624">
      <w:pPr>
        <w:ind w:firstLine="420"/>
        <w:rPr>
          <w:rFonts w:ascii="宋体" w:hAnsi="宋体"/>
          <w:szCs w:val="21"/>
        </w:rPr>
      </w:pPr>
      <w:r>
        <w:rPr>
          <w:rFonts w:ascii="宋体" w:hAnsi="宋体"/>
          <w:szCs w:val="21"/>
        </w:rPr>
        <w:t>3月10日至14日，南雄市第十二届人民代表大会第一次会议召开。大会选举产</w:t>
      </w:r>
      <w:r>
        <w:rPr>
          <w:rFonts w:hint="eastAsia" w:ascii="宋体" w:hAnsi="宋体"/>
          <w:szCs w:val="21"/>
        </w:rPr>
        <w:t>生第十二届人大常委会，主任何为星。选举市长、副市长，市长林楚欣。</w:t>
      </w:r>
    </w:p>
    <w:p w14:paraId="25F8C047">
      <w:pPr>
        <w:ind w:firstLine="420"/>
        <w:rPr>
          <w:rFonts w:ascii="宋体" w:hAnsi="宋体"/>
          <w:szCs w:val="21"/>
        </w:rPr>
      </w:pPr>
      <w:r>
        <w:rPr>
          <w:rFonts w:ascii="宋体" w:hAnsi="宋体"/>
          <w:szCs w:val="21"/>
        </w:rPr>
        <w:t>4月3日，市妇幼保健院妇产科被全国妇联评为</w:t>
      </w:r>
      <w:r>
        <w:rPr>
          <w:rFonts w:hint="eastAsia" w:ascii="宋体" w:hAnsi="宋体"/>
          <w:szCs w:val="21"/>
        </w:rPr>
        <w:t>“</w:t>
      </w:r>
      <w:r>
        <w:rPr>
          <w:rFonts w:ascii="宋体" w:hAnsi="宋体"/>
          <w:szCs w:val="21"/>
        </w:rPr>
        <w:t>巾帼文明示范岗</w:t>
      </w:r>
      <w:r>
        <w:rPr>
          <w:rFonts w:hint="eastAsia" w:ascii="宋体" w:hAnsi="宋体"/>
          <w:szCs w:val="21"/>
        </w:rPr>
        <w:t>”。</w:t>
      </w:r>
    </w:p>
    <w:p w14:paraId="24BF6918">
      <w:pPr>
        <w:ind w:firstLine="420"/>
        <w:rPr>
          <w:rFonts w:ascii="宋体" w:hAnsi="宋体"/>
          <w:szCs w:val="21"/>
        </w:rPr>
      </w:pPr>
      <w:r>
        <w:rPr>
          <w:rFonts w:ascii="宋体" w:hAnsi="宋体"/>
          <w:szCs w:val="21"/>
        </w:rPr>
        <w:t>4月12日20时至13日中午，受强对流天气影响，南雄出现8级～10级强风</w:t>
      </w:r>
      <w:r>
        <w:rPr>
          <w:rFonts w:hint="eastAsia" w:ascii="宋体" w:hAnsi="宋体"/>
          <w:szCs w:val="21"/>
        </w:rPr>
        <w:t>，暴雨达</w:t>
      </w:r>
      <w:r>
        <w:rPr>
          <w:rFonts w:ascii="宋体" w:hAnsi="宋体"/>
          <w:szCs w:val="21"/>
        </w:rPr>
        <w:t>120毫米，冰雹直径0.8厘米。倒塌房屋814间，受灾人口13万人，直接经</w:t>
      </w:r>
      <w:r>
        <w:rPr>
          <w:rFonts w:hint="eastAsia" w:ascii="宋体" w:hAnsi="宋体"/>
          <w:szCs w:val="21"/>
        </w:rPr>
        <w:t>济损失</w:t>
      </w:r>
      <w:r>
        <w:rPr>
          <w:rFonts w:ascii="宋体" w:hAnsi="宋体"/>
          <w:szCs w:val="21"/>
        </w:rPr>
        <w:t>1.2亿元</w:t>
      </w:r>
      <w:r>
        <w:rPr>
          <w:rFonts w:hint="eastAsia" w:ascii="宋体" w:hAnsi="宋体"/>
          <w:szCs w:val="21"/>
        </w:rPr>
        <w:t>。</w:t>
      </w:r>
    </w:p>
    <w:p w14:paraId="340B2480">
      <w:pPr>
        <w:ind w:firstLine="420"/>
        <w:rPr>
          <w:rFonts w:ascii="宋体" w:hAnsi="宋体"/>
          <w:szCs w:val="21"/>
        </w:rPr>
      </w:pPr>
      <w:r>
        <w:rPr>
          <w:rFonts w:ascii="宋体" w:hAnsi="宋体"/>
          <w:szCs w:val="21"/>
        </w:rPr>
        <w:t>4月29日，三影塔广场建设奠基动工。该广场占地4.5万平方米，为南雄市区</w:t>
      </w:r>
      <w:r>
        <w:rPr>
          <w:rFonts w:hint="eastAsia" w:ascii="宋体" w:hAnsi="宋体"/>
          <w:szCs w:val="21"/>
        </w:rPr>
        <w:t>博览观光、文化娱乐、休闲购物之开放性群众广场。</w:t>
      </w:r>
      <w:r>
        <w:rPr>
          <w:rFonts w:ascii="宋体" w:hAnsi="宋体"/>
          <w:szCs w:val="21"/>
        </w:rPr>
        <w:t>2004年冬落成</w:t>
      </w:r>
      <w:r>
        <w:rPr>
          <w:rFonts w:hint="eastAsia" w:ascii="宋体" w:hAnsi="宋体"/>
          <w:szCs w:val="21"/>
        </w:rPr>
        <w:t>。</w:t>
      </w:r>
    </w:p>
    <w:p w14:paraId="4A1C51BE">
      <w:pPr>
        <w:ind w:firstLine="420"/>
        <w:rPr>
          <w:rFonts w:ascii="宋体" w:hAnsi="宋体"/>
          <w:szCs w:val="21"/>
        </w:rPr>
      </w:pPr>
      <w:r>
        <w:rPr>
          <w:rFonts w:ascii="宋体" w:hAnsi="宋体"/>
          <w:szCs w:val="21"/>
        </w:rPr>
        <w:t>6月9日，南雄第二期农村电网建设与改造工程完成。该工程从2002年10月动</w:t>
      </w:r>
      <w:r>
        <w:rPr>
          <w:rFonts w:hint="eastAsia" w:ascii="宋体" w:hAnsi="宋体"/>
          <w:szCs w:val="21"/>
        </w:rPr>
        <w:t>工，投资</w:t>
      </w:r>
      <w:r>
        <w:rPr>
          <w:rFonts w:ascii="宋体" w:hAnsi="宋体"/>
          <w:szCs w:val="21"/>
        </w:rPr>
        <w:t>4107万元</w:t>
      </w:r>
      <w:r>
        <w:rPr>
          <w:rFonts w:hint="eastAsia" w:ascii="宋体" w:hAnsi="宋体"/>
          <w:szCs w:val="21"/>
        </w:rPr>
        <w:t>。</w:t>
      </w:r>
    </w:p>
    <w:p w14:paraId="645EB74B">
      <w:pPr>
        <w:ind w:firstLine="420"/>
        <w:rPr>
          <w:rFonts w:ascii="宋体" w:hAnsi="宋体"/>
          <w:szCs w:val="21"/>
        </w:rPr>
      </w:pPr>
      <w:r>
        <w:rPr>
          <w:rFonts w:ascii="宋体" w:hAnsi="宋体"/>
          <w:szCs w:val="21"/>
        </w:rPr>
        <w:t>7月7日，20支农村税费改革工作队经培训后分赴各镇开展农村税费改革工作，</w:t>
      </w:r>
      <w:r>
        <w:rPr>
          <w:rFonts w:hint="eastAsia" w:ascii="宋体" w:hAnsi="宋体"/>
          <w:szCs w:val="21"/>
        </w:rPr>
        <w:t>至</w:t>
      </w:r>
      <w:r>
        <w:rPr>
          <w:rFonts w:ascii="宋体" w:hAnsi="宋体"/>
          <w:szCs w:val="21"/>
        </w:rPr>
        <w:t>11月结束，全面取消镇和村一切统筹费，农业税减半征收。2005年全面免征农业</w:t>
      </w:r>
      <w:r>
        <w:rPr>
          <w:rFonts w:hint="eastAsia" w:ascii="宋体" w:hAnsi="宋体"/>
          <w:szCs w:val="21"/>
        </w:rPr>
        <w:t>税。</w:t>
      </w:r>
    </w:p>
    <w:p w14:paraId="252098FB">
      <w:pPr>
        <w:ind w:firstLine="420"/>
        <w:rPr>
          <w:rFonts w:ascii="宋体" w:hAnsi="宋体"/>
          <w:szCs w:val="21"/>
        </w:rPr>
      </w:pPr>
      <w:r>
        <w:rPr>
          <w:rFonts w:ascii="宋体" w:hAnsi="宋体"/>
          <w:szCs w:val="21"/>
        </w:rPr>
        <w:t>7月，旱。6月下旬以来，持续50多天高温，降雨仅40毫米。全市受旱面积4000公顷</w:t>
      </w:r>
      <w:r>
        <w:rPr>
          <w:rFonts w:hint="eastAsia" w:ascii="宋体" w:hAnsi="宋体"/>
          <w:szCs w:val="21"/>
        </w:rPr>
        <w:t>。</w:t>
      </w:r>
    </w:p>
    <w:p w14:paraId="2372121B">
      <w:pPr>
        <w:ind w:firstLine="420"/>
        <w:rPr>
          <w:rFonts w:ascii="宋体" w:hAnsi="宋体"/>
          <w:szCs w:val="21"/>
        </w:rPr>
      </w:pPr>
      <w:r>
        <w:rPr>
          <w:rFonts w:ascii="宋体" w:hAnsi="宋体"/>
          <w:szCs w:val="21"/>
        </w:rPr>
        <w:t>8月，古城墙修复1800米，重现宋城古貌。</w:t>
      </w:r>
    </w:p>
    <w:p w14:paraId="0078FADE">
      <w:pPr>
        <w:ind w:firstLine="420"/>
        <w:rPr>
          <w:rFonts w:ascii="宋体" w:hAnsi="宋体"/>
          <w:szCs w:val="21"/>
        </w:rPr>
      </w:pPr>
      <w:r>
        <w:rPr>
          <w:rFonts w:ascii="宋体" w:hAnsi="宋体"/>
          <w:szCs w:val="21"/>
        </w:rPr>
        <w:t>9月，经7年努力，全市221个村委会实现办公楼房化</w:t>
      </w:r>
      <w:r>
        <w:rPr>
          <w:rFonts w:hint="eastAsia" w:ascii="宋体" w:hAnsi="宋体"/>
          <w:szCs w:val="21"/>
        </w:rPr>
        <w:t>。</w:t>
      </w:r>
    </w:p>
    <w:p w14:paraId="110CDC12">
      <w:pPr>
        <w:ind w:firstLine="420"/>
        <w:rPr>
          <w:rFonts w:ascii="宋体" w:hAnsi="宋体"/>
          <w:szCs w:val="21"/>
        </w:rPr>
      </w:pPr>
      <w:r>
        <w:rPr>
          <w:rFonts w:ascii="宋体" w:hAnsi="宋体"/>
          <w:szCs w:val="21"/>
        </w:rPr>
        <w:t>10月18日，国道323线南雄大桥、省道342线分水坳至南雄段以及河南桥修葺3项工程竣工通车</w:t>
      </w:r>
      <w:r>
        <w:rPr>
          <w:rFonts w:hint="eastAsia" w:ascii="宋体" w:hAnsi="宋体"/>
          <w:szCs w:val="21"/>
        </w:rPr>
        <w:t>。</w:t>
      </w:r>
    </w:p>
    <w:p w14:paraId="3384A274">
      <w:pPr>
        <w:ind w:firstLine="420"/>
        <w:rPr>
          <w:rFonts w:ascii="宋体" w:hAnsi="宋体"/>
          <w:szCs w:val="21"/>
        </w:rPr>
      </w:pPr>
      <w:r>
        <w:rPr>
          <w:rFonts w:ascii="宋体" w:hAnsi="宋体"/>
          <w:szCs w:val="21"/>
        </w:rPr>
        <w:t>10月21日，珠玑巷后裔联谊会第三届理事会暨经贸洽谈会召开，来自海内外嘉</w:t>
      </w:r>
      <w:r>
        <w:rPr>
          <w:rFonts w:hint="eastAsia" w:ascii="宋体" w:hAnsi="宋体"/>
          <w:szCs w:val="21"/>
        </w:rPr>
        <w:t>宾</w:t>
      </w:r>
      <w:r>
        <w:rPr>
          <w:rFonts w:ascii="宋体" w:hAnsi="宋体"/>
          <w:szCs w:val="21"/>
        </w:rPr>
        <w:t>600多名。黎子流再次当选为联谊会会长。在经贸活动中，落成、奠基、签约项目</w:t>
      </w:r>
      <w:r>
        <w:rPr>
          <w:rFonts w:hint="eastAsia" w:ascii="宋体" w:hAnsi="宋体"/>
          <w:szCs w:val="21"/>
        </w:rPr>
        <w:t>共有</w:t>
      </w:r>
      <w:r>
        <w:rPr>
          <w:rFonts w:ascii="宋体" w:hAnsi="宋体"/>
          <w:szCs w:val="21"/>
        </w:rPr>
        <w:t>30多个，总金额18亿元</w:t>
      </w:r>
      <w:r>
        <w:rPr>
          <w:rFonts w:hint="eastAsia" w:ascii="宋体" w:hAnsi="宋体"/>
          <w:szCs w:val="21"/>
        </w:rPr>
        <w:t>。</w:t>
      </w:r>
    </w:p>
    <w:p w14:paraId="56AF1F0B">
      <w:pPr>
        <w:pStyle w:val="4"/>
        <w:rPr>
          <w:rFonts w:ascii="宋体" w:hAnsi="宋体"/>
        </w:rPr>
      </w:pPr>
      <w:r>
        <w:rPr>
          <w:rFonts w:ascii="宋体" w:hAnsi="宋体"/>
        </w:rPr>
        <w:t>2004年</w:t>
      </w:r>
    </w:p>
    <w:p w14:paraId="04EB4425">
      <w:pPr>
        <w:ind w:firstLine="420"/>
        <w:rPr>
          <w:rFonts w:ascii="宋体" w:hAnsi="宋体"/>
          <w:szCs w:val="21"/>
        </w:rPr>
      </w:pPr>
      <w:r>
        <w:rPr>
          <w:rFonts w:ascii="宋体" w:hAnsi="宋体"/>
          <w:szCs w:val="21"/>
        </w:rPr>
        <w:t>2月12日，中华人民共和国农业部发布南雄市黄坑镇许村李德军鸡场发生疑似</w:t>
      </w:r>
      <w:r>
        <w:rPr>
          <w:rFonts w:hint="eastAsia" w:ascii="宋体" w:hAnsi="宋体"/>
          <w:szCs w:val="21"/>
        </w:rPr>
        <w:t>高致病性禽流感疫情的消息。市政府发布封锁令，有关部门组织力量前往疫区开展封锁防治工作。</w:t>
      </w:r>
      <w:r>
        <w:rPr>
          <w:rFonts w:ascii="宋体" w:hAnsi="宋体"/>
          <w:szCs w:val="21"/>
        </w:rPr>
        <w:t>3月5日，经省验收解封。</w:t>
      </w:r>
    </w:p>
    <w:p w14:paraId="287793AE">
      <w:pPr>
        <w:ind w:firstLine="420"/>
        <w:rPr>
          <w:rFonts w:ascii="宋体" w:hAnsi="宋体"/>
          <w:szCs w:val="21"/>
        </w:rPr>
      </w:pPr>
      <w:r>
        <w:rPr>
          <w:rFonts w:ascii="宋体" w:hAnsi="宋体"/>
          <w:szCs w:val="21"/>
        </w:rPr>
        <w:t>2月18日，市政府召开林地林权换发证工作会议，从市直机关抽调300余人，</w:t>
      </w:r>
      <w:r>
        <w:rPr>
          <w:rFonts w:hint="eastAsia" w:ascii="宋体" w:hAnsi="宋体"/>
          <w:szCs w:val="21"/>
        </w:rPr>
        <w:t>组成</w:t>
      </w:r>
      <w:r>
        <w:rPr>
          <w:rFonts w:ascii="宋体" w:hAnsi="宋体"/>
          <w:szCs w:val="21"/>
        </w:rPr>
        <w:t>18个工作队、92个工作组，投入换发林地权证工作，同年6月底完成。</w:t>
      </w:r>
    </w:p>
    <w:p w14:paraId="54C8C8C4">
      <w:pPr>
        <w:ind w:firstLine="420"/>
        <w:rPr>
          <w:rFonts w:ascii="宋体" w:hAnsi="宋体"/>
          <w:szCs w:val="21"/>
        </w:rPr>
      </w:pPr>
      <w:r>
        <w:rPr>
          <w:rFonts w:ascii="宋体" w:hAnsi="宋体"/>
          <w:szCs w:val="21"/>
        </w:rPr>
        <w:t>3月9日，香港竹林明堂有限公司董事长苏东霖先生捐资100万元，兴建黄坑中</w:t>
      </w:r>
      <w:r>
        <w:rPr>
          <w:rFonts w:hint="eastAsia" w:ascii="宋体" w:hAnsi="宋体"/>
          <w:szCs w:val="21"/>
        </w:rPr>
        <w:t>学苏东霖音美苑和珠玑镇苏东霖中英文幼儿园。幼儿园于同年</w:t>
      </w:r>
      <w:r>
        <w:rPr>
          <w:rFonts w:ascii="宋体" w:hAnsi="宋体"/>
          <w:szCs w:val="21"/>
        </w:rPr>
        <w:t>12月竣工</w:t>
      </w:r>
      <w:r>
        <w:rPr>
          <w:rFonts w:hint="eastAsia" w:ascii="宋体" w:hAnsi="宋体"/>
          <w:szCs w:val="21"/>
        </w:rPr>
        <w:t>。</w:t>
      </w:r>
    </w:p>
    <w:p w14:paraId="740ADDAD">
      <w:pPr>
        <w:ind w:firstLine="420"/>
        <w:rPr>
          <w:rFonts w:ascii="宋体" w:hAnsi="宋体"/>
          <w:szCs w:val="21"/>
        </w:rPr>
      </w:pPr>
      <w:r>
        <w:rPr>
          <w:rFonts w:ascii="宋体" w:hAnsi="宋体"/>
          <w:szCs w:val="21"/>
        </w:rPr>
        <w:t>10月27日，梅关、珠玑古巷、市博物馆、革命烈士陵园、油山革命游击根据地</w:t>
      </w:r>
      <w:r>
        <w:rPr>
          <w:rFonts w:hint="eastAsia" w:ascii="宋体" w:hAnsi="宋体"/>
          <w:szCs w:val="21"/>
        </w:rPr>
        <w:t>旧址、县苏维埃政府遗址、水口战役遗址、李乐天烈士纪念园地、五岭地委及粤赣湘边人民解放总队机关旧址、赣粤边红军独立师第三团团部旧址等</w:t>
      </w:r>
      <w:r>
        <w:rPr>
          <w:rFonts w:ascii="宋体" w:hAnsi="宋体"/>
          <w:szCs w:val="21"/>
        </w:rPr>
        <w:t>10处景点，被市委、</w:t>
      </w:r>
      <w:r>
        <w:rPr>
          <w:rFonts w:hint="eastAsia" w:ascii="宋体" w:hAnsi="宋体"/>
          <w:szCs w:val="21"/>
        </w:rPr>
        <w:t>市政府命名为南雄市爱国主义教育基地。</w:t>
      </w:r>
      <w:r>
        <w:rPr>
          <w:rFonts w:ascii="宋体" w:hAnsi="宋体"/>
          <w:szCs w:val="21"/>
        </w:rPr>
        <w:t>12月16日正式挂牌。</w:t>
      </w:r>
    </w:p>
    <w:p w14:paraId="233AED92">
      <w:pPr>
        <w:ind w:firstLine="420"/>
        <w:rPr>
          <w:rFonts w:ascii="宋体" w:hAnsi="宋体"/>
          <w:szCs w:val="21"/>
        </w:rPr>
      </w:pPr>
      <w:r>
        <w:rPr>
          <w:rFonts w:ascii="宋体" w:hAnsi="宋体"/>
          <w:szCs w:val="21"/>
        </w:rPr>
        <w:t>10月，旱。自8月以来，累计降雨仅86毫米，比上年同期少6成多。农作物受</w:t>
      </w:r>
      <w:r>
        <w:rPr>
          <w:rFonts w:hint="eastAsia" w:ascii="宋体" w:hAnsi="宋体"/>
          <w:szCs w:val="21"/>
        </w:rPr>
        <w:t>旱</w:t>
      </w:r>
      <w:r>
        <w:rPr>
          <w:rFonts w:ascii="宋体" w:hAnsi="宋体"/>
          <w:szCs w:val="21"/>
        </w:rPr>
        <w:t>10933.33公顷</w:t>
      </w:r>
      <w:r>
        <w:rPr>
          <w:rFonts w:hint="eastAsia" w:ascii="宋体" w:hAnsi="宋体"/>
          <w:szCs w:val="21"/>
        </w:rPr>
        <w:t>。</w:t>
      </w:r>
    </w:p>
    <w:p w14:paraId="43BB2351">
      <w:pPr>
        <w:ind w:firstLine="420"/>
        <w:rPr>
          <w:rFonts w:ascii="宋体" w:hAnsi="宋体"/>
          <w:szCs w:val="21"/>
        </w:rPr>
      </w:pPr>
      <w:r>
        <w:rPr>
          <w:rFonts w:ascii="宋体" w:hAnsi="宋体"/>
          <w:szCs w:val="21"/>
        </w:rPr>
        <w:t>11月11日下午，黄坑、界址、油山等镇不同程度受到龙卷风、冰雹袭击，死亡1人，重伤2人，倒塌房屋164间，一批农作物、牲畜、供电设备受损。</w:t>
      </w:r>
    </w:p>
    <w:p w14:paraId="7EEA2BCA">
      <w:pPr>
        <w:ind w:firstLine="420"/>
        <w:rPr>
          <w:rFonts w:ascii="宋体" w:hAnsi="宋体"/>
          <w:szCs w:val="21"/>
        </w:rPr>
      </w:pPr>
      <w:r>
        <w:rPr>
          <w:rFonts w:ascii="宋体" w:hAnsi="宋体"/>
          <w:szCs w:val="21"/>
        </w:rPr>
        <w:t>11月21日，南雄第一宗国家农业综合开发土地治理项目举行开工仪式。该项目</w:t>
      </w:r>
      <w:r>
        <w:rPr>
          <w:rFonts w:hint="eastAsia" w:ascii="宋体" w:hAnsi="宋体"/>
          <w:szCs w:val="21"/>
        </w:rPr>
        <w:t>落户全安镇五岭垌，规划改造中低产田</w:t>
      </w:r>
      <w:r>
        <w:rPr>
          <w:rFonts w:ascii="宋体" w:hAnsi="宋体"/>
          <w:szCs w:val="21"/>
        </w:rPr>
        <w:t>9333.33公顷，总投资810万元。</w:t>
      </w:r>
    </w:p>
    <w:p w14:paraId="0F90FF9B">
      <w:pPr>
        <w:ind w:firstLine="420"/>
        <w:rPr>
          <w:rFonts w:ascii="宋体" w:hAnsi="宋体"/>
          <w:szCs w:val="21"/>
        </w:rPr>
      </w:pPr>
      <w:r>
        <w:rPr>
          <w:rFonts w:ascii="宋体" w:hAnsi="宋体"/>
          <w:szCs w:val="21"/>
        </w:rPr>
        <w:t>12月7日，雄州大道改造工程动工。该工程东起原八一路，西至环城西路，总</w:t>
      </w:r>
      <w:r>
        <w:rPr>
          <w:rFonts w:hint="eastAsia" w:ascii="宋体" w:hAnsi="宋体"/>
          <w:szCs w:val="21"/>
        </w:rPr>
        <w:t>长</w:t>
      </w:r>
      <w:r>
        <w:rPr>
          <w:rFonts w:ascii="宋体" w:hAnsi="宋体"/>
          <w:szCs w:val="21"/>
        </w:rPr>
        <w:t>2310米，有效路宽28米，总投资4500万元</w:t>
      </w:r>
      <w:r>
        <w:rPr>
          <w:rFonts w:hint="eastAsia" w:ascii="宋体" w:hAnsi="宋体"/>
          <w:szCs w:val="21"/>
        </w:rPr>
        <w:t>。</w:t>
      </w:r>
    </w:p>
    <w:p w14:paraId="40B0D951">
      <w:pPr>
        <w:ind w:firstLine="420"/>
        <w:rPr>
          <w:rFonts w:ascii="宋体" w:hAnsi="宋体"/>
          <w:szCs w:val="21"/>
        </w:rPr>
      </w:pPr>
      <w:r>
        <w:rPr>
          <w:rFonts w:ascii="宋体" w:hAnsi="宋体"/>
          <w:szCs w:val="21"/>
        </w:rPr>
        <w:t>12月23日，黄坑中学王锦辉教学大楼落成启用。该大楼由王锦辉先生捐资300</w:t>
      </w:r>
      <w:r>
        <w:rPr>
          <w:rFonts w:hint="eastAsia" w:ascii="宋体" w:hAnsi="宋体"/>
          <w:szCs w:val="21"/>
        </w:rPr>
        <w:t>多万元，总面积</w:t>
      </w:r>
      <w:r>
        <w:rPr>
          <w:rFonts w:ascii="宋体" w:hAnsi="宋体"/>
          <w:szCs w:val="21"/>
        </w:rPr>
        <w:t>5512平方米，框架7层，有42间课室和7间办公室。</w:t>
      </w:r>
    </w:p>
    <w:p w14:paraId="675B6F56">
      <w:pPr>
        <w:ind w:firstLine="420"/>
        <w:rPr>
          <w:rFonts w:ascii="宋体" w:hAnsi="宋体"/>
          <w:szCs w:val="21"/>
        </w:rPr>
      </w:pPr>
      <w:r>
        <w:rPr>
          <w:rFonts w:ascii="宋体" w:hAnsi="宋体"/>
          <w:szCs w:val="21"/>
        </w:rPr>
        <w:t>12月24日，乌迳商贸城开业。该城占地2.3万平方米，建筑面积2.47万平方</w:t>
      </w:r>
      <w:r>
        <w:rPr>
          <w:rFonts w:hint="eastAsia" w:ascii="宋体" w:hAnsi="宋体"/>
          <w:szCs w:val="21"/>
        </w:rPr>
        <w:t>米，拥有商铺</w:t>
      </w:r>
      <w:r>
        <w:rPr>
          <w:rFonts w:ascii="宋体" w:hAnsi="宋体"/>
          <w:szCs w:val="21"/>
        </w:rPr>
        <w:t>221间和4000平方米农贸市场。投资2300万元</w:t>
      </w:r>
      <w:r>
        <w:rPr>
          <w:rFonts w:hint="eastAsia" w:ascii="宋体" w:hAnsi="宋体"/>
          <w:szCs w:val="21"/>
        </w:rPr>
        <w:t>。</w:t>
      </w:r>
    </w:p>
    <w:p w14:paraId="30798299">
      <w:pPr>
        <w:ind w:firstLine="420"/>
        <w:rPr>
          <w:rFonts w:ascii="宋体" w:hAnsi="宋体"/>
          <w:szCs w:val="21"/>
        </w:rPr>
      </w:pPr>
      <w:r>
        <w:rPr>
          <w:rFonts w:ascii="宋体" w:hAnsi="宋体"/>
          <w:szCs w:val="21"/>
        </w:rPr>
        <w:t>12月，《南雄县志》被省社科联、省地方志办公室评为“广东省第一届新编地方</w:t>
      </w:r>
      <w:r>
        <w:rPr>
          <w:rFonts w:hint="eastAsia" w:ascii="宋体" w:hAnsi="宋体"/>
          <w:szCs w:val="21"/>
        </w:rPr>
        <w:t>志书一等奖”。</w:t>
      </w:r>
    </w:p>
    <w:p w14:paraId="7718C3FB">
      <w:pPr>
        <w:pStyle w:val="2"/>
        <w:rPr>
          <w:rFonts w:ascii="宋体" w:hAnsi="宋体"/>
        </w:rPr>
      </w:pPr>
      <w:r>
        <w:rPr>
          <w:rFonts w:hint="eastAsia" w:ascii="宋体" w:hAnsi="宋体"/>
        </w:rPr>
        <w:t>第一编  区划  自然</w:t>
      </w:r>
    </w:p>
    <w:p w14:paraId="33A2DDFB">
      <w:pPr>
        <w:pStyle w:val="3"/>
        <w:rPr>
          <w:rFonts w:ascii="宋体" w:hAnsi="宋体"/>
        </w:rPr>
      </w:pPr>
      <w:r>
        <w:rPr>
          <w:rFonts w:hint="eastAsia" w:ascii="宋体" w:hAnsi="宋体"/>
        </w:rPr>
        <w:t>第一章  建置沿革与行政区划</w:t>
      </w:r>
    </w:p>
    <w:p w14:paraId="624371F3">
      <w:pPr>
        <w:pStyle w:val="4"/>
        <w:rPr>
          <w:rFonts w:ascii="宋体" w:hAnsi="宋体"/>
        </w:rPr>
      </w:pPr>
      <w:r>
        <w:rPr>
          <w:rFonts w:hint="eastAsia" w:ascii="宋体" w:hAnsi="宋体"/>
        </w:rPr>
        <w:t>第一节  位置面积</w:t>
      </w:r>
    </w:p>
    <w:p w14:paraId="42F9F69B">
      <w:pPr>
        <w:ind w:firstLine="420"/>
        <w:rPr>
          <w:rFonts w:ascii="宋体" w:hAnsi="宋体"/>
          <w:szCs w:val="21"/>
        </w:rPr>
      </w:pPr>
      <w:r>
        <w:rPr>
          <w:rFonts w:hint="eastAsia" w:ascii="宋体" w:hAnsi="宋体"/>
          <w:szCs w:val="21"/>
        </w:rPr>
        <w:t>南雄市位于大庾岭南麓，史称“居五岭之首，为江广之冲，控带群蛮，襟会百粤”。市境位于，北纬</w:t>
      </w:r>
      <w:r>
        <w:rPr>
          <w:rFonts w:ascii="宋体" w:hAnsi="宋体"/>
          <w:szCs w:val="21"/>
        </w:rPr>
        <w:t>24°56’59″～25°25’20″，东经113°55’30″～114°44’38″，东连江</w:t>
      </w:r>
      <w:r>
        <w:rPr>
          <w:rFonts w:hint="eastAsia" w:ascii="宋体" w:hAnsi="宋体"/>
          <w:szCs w:val="21"/>
        </w:rPr>
        <w:t>西省信丰县，东南界江西省全南县，西南毗连始兴县，西邻曲江县，西北隅与仁化县接壤，北界江西大余县。四周群山环抱，中为丘陵，地理学家称为“南雄盆地”。全市东西长而南北短，东西极限为</w:t>
      </w:r>
      <w:r>
        <w:rPr>
          <w:rFonts w:ascii="宋体" w:hAnsi="宋体"/>
          <w:szCs w:val="21"/>
        </w:rPr>
        <w:t>84公里，南北极限为52公里。全市面积约2361.4</w:t>
      </w:r>
      <w:r>
        <w:rPr>
          <w:rFonts w:hint="eastAsia" w:ascii="宋体" w:hAnsi="宋体"/>
          <w:szCs w:val="21"/>
        </w:rPr>
        <w:t>平方公里。</w:t>
      </w:r>
    </w:p>
    <w:p w14:paraId="609B43CD">
      <w:pPr>
        <w:ind w:firstLine="420"/>
        <w:rPr>
          <w:rFonts w:ascii="宋体" w:hAnsi="宋体"/>
          <w:szCs w:val="21"/>
        </w:rPr>
      </w:pPr>
      <w:r>
        <w:rPr>
          <w:rFonts w:hint="eastAsia" w:ascii="宋体" w:hAnsi="宋体"/>
          <w:szCs w:val="21"/>
        </w:rPr>
        <w:t>南雄城与邻近县市的公路里程：距始兴县城</w:t>
      </w:r>
      <w:r>
        <w:rPr>
          <w:rFonts w:ascii="宋体" w:hAnsi="宋体"/>
          <w:szCs w:val="21"/>
        </w:rPr>
        <w:t>36公里，距仁化县城87公里，距大</w:t>
      </w:r>
      <w:r>
        <w:rPr>
          <w:rFonts w:hint="eastAsia" w:ascii="宋体" w:hAnsi="宋体"/>
          <w:szCs w:val="21"/>
        </w:rPr>
        <w:t>余县城</w:t>
      </w:r>
      <w:r>
        <w:rPr>
          <w:rFonts w:ascii="宋体" w:hAnsi="宋体"/>
          <w:szCs w:val="21"/>
        </w:rPr>
        <w:t>42公里，距信丰县城77公里，距全南县城108公里，距龙南县城155公里</w:t>
      </w:r>
      <w:r>
        <w:rPr>
          <w:rFonts w:hint="eastAsia" w:ascii="宋体" w:hAnsi="宋体"/>
          <w:szCs w:val="21"/>
        </w:rPr>
        <w:t>（经信丰到龙南），距韶关市</w:t>
      </w:r>
      <w:r>
        <w:rPr>
          <w:rFonts w:ascii="宋体" w:hAnsi="宋体"/>
          <w:szCs w:val="21"/>
        </w:rPr>
        <w:t>103公里，距广州市364公里。</w:t>
      </w:r>
    </w:p>
    <w:p w14:paraId="7790099A">
      <w:pPr>
        <w:ind w:firstLine="420"/>
        <w:rPr>
          <w:rFonts w:ascii="宋体" w:hAnsi="宋体"/>
          <w:szCs w:val="21"/>
        </w:rPr>
      </w:pPr>
      <w:r>
        <w:rPr>
          <w:rFonts w:hint="eastAsia" w:ascii="宋体" w:hAnsi="宋体"/>
          <w:szCs w:val="21"/>
        </w:rPr>
        <w:t>南雄城至本县各镇政府所在地的公路里程：至坪田镇</w:t>
      </w:r>
      <w:r>
        <w:rPr>
          <w:rFonts w:ascii="宋体" w:hAnsi="宋体"/>
          <w:szCs w:val="21"/>
        </w:rPr>
        <w:t>43公里，界址镇56公里，</w:t>
      </w:r>
      <w:r>
        <w:rPr>
          <w:rFonts w:hint="eastAsia" w:ascii="宋体" w:hAnsi="宋体"/>
          <w:szCs w:val="21"/>
        </w:rPr>
        <w:t>乌迳镇</w:t>
      </w:r>
      <w:r>
        <w:rPr>
          <w:rFonts w:ascii="宋体" w:hAnsi="宋体"/>
          <w:szCs w:val="21"/>
        </w:rPr>
        <w:t>35公里，油山镇30公里，黄坑镇23公里，邓坊镇26公里，湖口镇11公里，</w:t>
      </w:r>
      <w:r>
        <w:rPr>
          <w:rFonts w:hint="eastAsia" w:ascii="宋体" w:hAnsi="宋体"/>
          <w:szCs w:val="21"/>
        </w:rPr>
        <w:t>水口镇</w:t>
      </w:r>
      <w:r>
        <w:rPr>
          <w:rFonts w:ascii="宋体" w:hAnsi="宋体"/>
          <w:szCs w:val="21"/>
        </w:rPr>
        <w:t>21公里，南亩镇30公里，江头镇31公里（经水口到江头），珠玑镇9公里，</w:t>
      </w:r>
      <w:r>
        <w:rPr>
          <w:rFonts w:hint="eastAsia" w:ascii="宋体" w:hAnsi="宋体"/>
          <w:szCs w:val="21"/>
        </w:rPr>
        <w:t>百顺镇</w:t>
      </w:r>
      <w:r>
        <w:rPr>
          <w:rFonts w:ascii="宋体" w:hAnsi="宋体"/>
          <w:szCs w:val="21"/>
        </w:rPr>
        <w:t>58公里，</w:t>
      </w:r>
      <w:r>
        <w:rPr>
          <w:rFonts w:hint="eastAsia" w:ascii="宋体" w:hAnsi="宋体"/>
          <w:szCs w:val="21"/>
        </w:rPr>
        <w:t>澜</w:t>
      </w:r>
      <w:r>
        <w:rPr>
          <w:rFonts w:ascii="宋体" w:hAnsi="宋体"/>
          <w:szCs w:val="21"/>
        </w:rPr>
        <w:t>河镇35公里，帽子峰镇24公里，全安镇8公里，主田镇9公里，</w:t>
      </w:r>
      <w:r>
        <w:rPr>
          <w:rFonts w:hint="eastAsia" w:ascii="宋体" w:hAnsi="宋体"/>
          <w:szCs w:val="21"/>
        </w:rPr>
        <w:t>古市镇</w:t>
      </w:r>
      <w:r>
        <w:rPr>
          <w:rFonts w:ascii="宋体" w:hAnsi="宋体"/>
          <w:szCs w:val="21"/>
        </w:rPr>
        <w:t>14公里。</w:t>
      </w:r>
    </w:p>
    <w:p w14:paraId="3BE6D074">
      <w:pPr>
        <w:pStyle w:val="4"/>
        <w:rPr>
          <w:rFonts w:ascii="宋体" w:hAnsi="宋体"/>
        </w:rPr>
      </w:pPr>
      <w:r>
        <w:rPr>
          <w:rFonts w:hint="eastAsia" w:ascii="宋体" w:hAnsi="宋体"/>
        </w:rPr>
        <w:t>第二节  建置沿革</w:t>
      </w:r>
    </w:p>
    <w:p w14:paraId="28A04985">
      <w:pPr>
        <w:ind w:firstLine="420"/>
        <w:rPr>
          <w:rFonts w:ascii="宋体" w:hAnsi="宋体"/>
          <w:szCs w:val="21"/>
        </w:rPr>
      </w:pPr>
      <w:r>
        <w:rPr>
          <w:rFonts w:hint="eastAsia" w:ascii="宋体" w:hAnsi="宋体"/>
          <w:szCs w:val="21"/>
        </w:rPr>
        <w:t>南雄市地域，春秋为百越地，战国属楚，秦属南海郡，两汉为南野县，属豫章郡。东汉顺帝建康时又属桂阳郡之曲江县。三国孙吴时南野县属庐陵郡，吴景帝永安六年（</w:t>
      </w:r>
      <w:r>
        <w:rPr>
          <w:rFonts w:ascii="宋体" w:hAnsi="宋体"/>
          <w:szCs w:val="21"/>
        </w:rPr>
        <w:t>263年）分南野置始兴县，南雄地属之。吴末帝甘露元年（265年）分始兴置</w:t>
      </w:r>
      <w:r>
        <w:rPr>
          <w:rFonts w:hint="eastAsia" w:ascii="宋体" w:hAnsi="宋体"/>
          <w:szCs w:val="21"/>
        </w:rPr>
        <w:t>斜阶县，南雄地属之，隶于始兴郡。晋废斜阶复南野，改属庐陵郡。南朝宋因之，齐复置令阶县，梁复置安远县，均辖南雄地。陈改安远县为安远郡，隶属东衡州，即韶州。隋废诸郡，改安远为大庾县，隶于广州总管府。旋废大庾入始兴，大业三年（</w:t>
      </w:r>
      <w:r>
        <w:rPr>
          <w:rFonts w:ascii="宋体" w:hAnsi="宋体"/>
          <w:szCs w:val="21"/>
        </w:rPr>
        <w:t>607年）属南海郡，唐武德四年（621年）属番州，不久更名为东衡州。贞观元年</w:t>
      </w:r>
      <w:r>
        <w:rPr>
          <w:rFonts w:hint="eastAsia" w:ascii="宋体" w:hAnsi="宋体"/>
          <w:szCs w:val="21"/>
        </w:rPr>
        <w:t>（</w:t>
      </w:r>
      <w:r>
        <w:rPr>
          <w:rFonts w:ascii="宋体" w:hAnsi="宋体"/>
          <w:szCs w:val="21"/>
        </w:rPr>
        <w:t>627年）改为韶州。武后光宅元年又称唐中宗嗣圣元年（684年）划始兴县的化南、</w:t>
      </w:r>
      <w:r>
        <w:rPr>
          <w:rFonts w:hint="eastAsia" w:ascii="宋体" w:hAnsi="宋体"/>
          <w:szCs w:val="21"/>
        </w:rPr>
        <w:t>横山两乡置浈昌县，因境内浈、昌二水而取名。县治设在今雄州。</w:t>
      </w:r>
    </w:p>
    <w:p w14:paraId="42927650">
      <w:pPr>
        <w:ind w:firstLine="420"/>
        <w:rPr>
          <w:rFonts w:ascii="宋体" w:hAnsi="宋体"/>
          <w:szCs w:val="21"/>
        </w:rPr>
      </w:pPr>
      <w:r>
        <w:rPr>
          <w:rFonts w:hint="eastAsia" w:ascii="宋体" w:hAnsi="宋体"/>
          <w:szCs w:val="21"/>
        </w:rPr>
        <w:t>南汉乾亨四年（</w:t>
      </w:r>
      <w:r>
        <w:rPr>
          <w:rFonts w:ascii="宋体" w:hAnsi="宋体"/>
          <w:szCs w:val="21"/>
        </w:rPr>
        <w:t>920年）在浈昌县置雄州，辖浈昌、始兴两县。《溪塘陈氏重修</w:t>
      </w:r>
      <w:r>
        <w:rPr>
          <w:rFonts w:hint="eastAsia" w:ascii="宋体" w:hAnsi="宋体"/>
          <w:szCs w:val="21"/>
        </w:rPr>
        <w:t>族谱》载有明户部尚书谭大初的《溪塘水东陈氏地舆记》称，州治所初设大宁镇，即今黄坑镇溪塘村，旋设浈昌县城。宋开宝四年（</w:t>
      </w:r>
      <w:r>
        <w:rPr>
          <w:rFonts w:ascii="宋体" w:hAnsi="宋体"/>
          <w:szCs w:val="21"/>
        </w:rPr>
        <w:t>971年）改雄州为南雄州，与河北</w:t>
      </w:r>
      <w:r>
        <w:rPr>
          <w:rFonts w:hint="eastAsia" w:ascii="宋体" w:hAnsi="宋体"/>
          <w:szCs w:val="21"/>
        </w:rPr>
        <w:t>雄州别，属广南东路。天圣元年（</w:t>
      </w:r>
      <w:r>
        <w:rPr>
          <w:rFonts w:ascii="宋体" w:hAnsi="宋体"/>
          <w:szCs w:val="21"/>
        </w:rPr>
        <w:t>1023年）因避仁宗赵祯讳，改浈昌为保昌。宣和</w:t>
      </w:r>
      <w:r>
        <w:rPr>
          <w:rFonts w:hint="eastAsia" w:ascii="宋体" w:hAnsi="宋体"/>
          <w:szCs w:val="21"/>
        </w:rPr>
        <w:t>二年（</w:t>
      </w:r>
      <w:r>
        <w:rPr>
          <w:rFonts w:ascii="宋体" w:hAnsi="宋体"/>
          <w:szCs w:val="21"/>
        </w:rPr>
        <w:t>1120年）赐保昌为郡。元至元十五年（1278年）改南雄州为南雄路，领保</w:t>
      </w:r>
      <w:r>
        <w:rPr>
          <w:rFonts w:hint="eastAsia" w:ascii="宋体" w:hAnsi="宋体"/>
          <w:szCs w:val="21"/>
        </w:rPr>
        <w:t>昌、始兴两县。明洪武元年（</w:t>
      </w:r>
      <w:r>
        <w:rPr>
          <w:rFonts w:ascii="宋体" w:hAnsi="宋体"/>
          <w:szCs w:val="21"/>
        </w:rPr>
        <w:t>1368年）改路为府，辖保昌、始兴两县，属广东道。</w:t>
      </w:r>
      <w:r>
        <w:rPr>
          <w:rFonts w:hint="eastAsia" w:ascii="宋体" w:hAnsi="宋体"/>
          <w:szCs w:val="21"/>
        </w:rPr>
        <w:t>洪武二年改行中书省，九年改行省为承宣布政使司，南雄府属相随。清嘉庆十二年（</w:t>
      </w:r>
      <w:r>
        <w:rPr>
          <w:rFonts w:ascii="宋体" w:hAnsi="宋体"/>
          <w:szCs w:val="21"/>
        </w:rPr>
        <w:t>1807年）改府为直隶南雄州，直隶广东布政使司，裁去保昌县，领始兴一县。据</w:t>
      </w:r>
      <w:r>
        <w:rPr>
          <w:rFonts w:hint="eastAsia" w:ascii="宋体" w:hAnsi="宋体"/>
          <w:szCs w:val="21"/>
        </w:rPr>
        <w:t>《清史稿·地理志》谓嘉庆十六年复升为府，次年又降为直隶州，直至清宣统末年止。</w:t>
      </w:r>
    </w:p>
    <w:p w14:paraId="15E5643E">
      <w:pPr>
        <w:ind w:firstLine="420"/>
        <w:rPr>
          <w:rFonts w:ascii="宋体" w:hAnsi="宋体"/>
          <w:szCs w:val="21"/>
        </w:rPr>
      </w:pPr>
      <w:r>
        <w:rPr>
          <w:rFonts w:hint="eastAsia" w:ascii="宋体" w:hAnsi="宋体"/>
          <w:szCs w:val="21"/>
        </w:rPr>
        <w:t>民国肇始，改直隶南雄州为南雄县，隶属广东省。中华人民共和国建立后，沿袭不变。</w:t>
      </w:r>
      <w:r>
        <w:rPr>
          <w:rFonts w:ascii="宋体" w:hAnsi="宋体"/>
          <w:szCs w:val="21"/>
        </w:rPr>
        <w:t>1958年12月，南雄县与始兴县合并称南雄县，1960年10月复分为南雄县、</w:t>
      </w:r>
      <w:r>
        <w:rPr>
          <w:rFonts w:hint="eastAsia" w:ascii="宋体" w:hAnsi="宋体"/>
          <w:szCs w:val="21"/>
        </w:rPr>
        <w:t>始兴县，隶属广东省韶关专员公署。</w:t>
      </w:r>
      <w:r>
        <w:rPr>
          <w:rFonts w:ascii="宋体" w:hAnsi="宋体"/>
          <w:szCs w:val="21"/>
        </w:rPr>
        <w:t>1982年6月实行市管县体制后，隶属韶关市</w:t>
      </w:r>
      <w:r>
        <w:rPr>
          <w:rFonts w:hint="eastAsia" w:ascii="宋体" w:hAnsi="宋体"/>
          <w:szCs w:val="21"/>
        </w:rPr>
        <w:t>。</w:t>
      </w:r>
      <w:r>
        <w:rPr>
          <w:rFonts w:ascii="宋体" w:hAnsi="宋体"/>
          <w:szCs w:val="21"/>
        </w:rPr>
        <w:t>1996年6月，撤县设市（县级），由韶关市代管。</w:t>
      </w:r>
    </w:p>
    <w:p w14:paraId="1048BB8E">
      <w:pPr>
        <w:pStyle w:val="4"/>
        <w:rPr>
          <w:rFonts w:ascii="宋体" w:hAnsi="宋体"/>
        </w:rPr>
      </w:pPr>
      <w:r>
        <w:rPr>
          <w:rFonts w:hint="eastAsia" w:ascii="宋体" w:hAnsi="宋体"/>
        </w:rPr>
        <w:t>第三节  行政区划</w:t>
      </w:r>
    </w:p>
    <w:p w14:paraId="2014A0B1">
      <w:pPr>
        <w:ind w:firstLine="420"/>
        <w:rPr>
          <w:rFonts w:ascii="宋体" w:hAnsi="宋体"/>
          <w:szCs w:val="21"/>
        </w:rPr>
      </w:pPr>
      <w:r>
        <w:rPr>
          <w:rFonts w:hint="eastAsia" w:ascii="宋体" w:hAnsi="宋体"/>
          <w:szCs w:val="21"/>
        </w:rPr>
        <w:t>南雄市行政区域，唐宋以前无文献可稽。明代嘉靖《南雄府志》和清代乾隆《保昌县志》均载保昌县境区域东西宽</w:t>
      </w:r>
      <w:r>
        <w:rPr>
          <w:rFonts w:ascii="宋体" w:hAnsi="宋体"/>
          <w:szCs w:val="21"/>
        </w:rPr>
        <w:t>160华里（下同），南北长120里。区域四至</w:t>
      </w:r>
      <w:r>
        <w:rPr>
          <w:rFonts w:hint="eastAsia" w:ascii="宋体" w:hAnsi="宋体"/>
          <w:szCs w:val="21"/>
        </w:rPr>
        <w:t>八到，自明至清均称：东至江西信丰县界</w:t>
      </w:r>
      <w:r>
        <w:rPr>
          <w:rFonts w:ascii="宋体" w:hAnsi="宋体"/>
          <w:szCs w:val="21"/>
        </w:rPr>
        <w:t>240里，西至始兴县界100里，南至江西龙</w:t>
      </w:r>
      <w:r>
        <w:rPr>
          <w:rFonts w:hint="eastAsia" w:ascii="宋体" w:hAnsi="宋体"/>
          <w:szCs w:val="21"/>
        </w:rPr>
        <w:t>南县界</w:t>
      </w:r>
      <w:r>
        <w:rPr>
          <w:rFonts w:ascii="宋体" w:hAnsi="宋体"/>
          <w:szCs w:val="21"/>
        </w:rPr>
        <w:t>300里，北至江西大庾县界110里，东南至信丰县旱湖凹界200里，西南至始</w:t>
      </w:r>
      <w:r>
        <w:rPr>
          <w:rFonts w:hint="eastAsia" w:ascii="宋体" w:hAnsi="宋体"/>
          <w:szCs w:val="21"/>
        </w:rPr>
        <w:t>兴古录村界</w:t>
      </w:r>
      <w:r>
        <w:rPr>
          <w:rFonts w:ascii="宋体" w:hAnsi="宋体"/>
          <w:szCs w:val="21"/>
        </w:rPr>
        <w:t>40里，东北至信丰九里村界200里，西北至大庾吉村界200里</w:t>
      </w:r>
      <w:r>
        <w:rPr>
          <w:rFonts w:hint="eastAsia" w:ascii="宋体" w:hAnsi="宋体"/>
          <w:szCs w:val="21"/>
        </w:rPr>
        <w:t>。</w:t>
      </w:r>
    </w:p>
    <w:p w14:paraId="75A4F01F">
      <w:pPr>
        <w:pStyle w:val="5"/>
        <w:rPr>
          <w:rFonts w:ascii="宋体" w:hAnsi="宋体"/>
        </w:rPr>
      </w:pPr>
      <w:r>
        <w:rPr>
          <w:rFonts w:hint="eastAsia" w:ascii="宋体" w:hAnsi="宋体"/>
        </w:rPr>
        <w:t>一、明代行政区划</w:t>
      </w:r>
    </w:p>
    <w:p w14:paraId="2D8BF558">
      <w:pPr>
        <w:ind w:firstLine="420"/>
        <w:rPr>
          <w:rFonts w:ascii="宋体" w:hAnsi="宋体"/>
          <w:szCs w:val="21"/>
        </w:rPr>
      </w:pPr>
      <w:r>
        <w:rPr>
          <w:rFonts w:hint="eastAsia" w:ascii="宋体" w:hAnsi="宋体"/>
          <w:szCs w:val="21"/>
        </w:rPr>
        <w:t>明嘉靖《南雄府志》称：洪武元年（</w:t>
      </w:r>
      <w:r>
        <w:rPr>
          <w:rFonts w:ascii="宋体" w:hAnsi="宋体"/>
          <w:szCs w:val="21"/>
        </w:rPr>
        <w:t>1368年），革元代之路为府。县属分治城厢2个、隅3个（厢、隅属都一级），乡5个，都21个，</w:t>
      </w:r>
      <w:r>
        <w:rPr>
          <w:rFonts w:hint="eastAsia" w:ascii="宋体" w:hAnsi="宋体"/>
          <w:szCs w:val="21"/>
        </w:rPr>
        <w:t>啚</w:t>
      </w:r>
      <w:r>
        <w:rPr>
          <w:rFonts w:ascii="宋体" w:hAnsi="宋体"/>
          <w:szCs w:val="21"/>
        </w:rPr>
        <w:t>44个。</w:t>
      </w:r>
    </w:p>
    <w:p w14:paraId="52B19E1F">
      <w:pPr>
        <w:ind w:firstLine="0" w:firstLineChars="0"/>
        <w:jc w:val="center"/>
        <w:rPr>
          <w:rFonts w:ascii="宋体" w:hAnsi="宋体"/>
          <w:b/>
          <w:szCs w:val="21"/>
        </w:rPr>
      </w:pPr>
      <w:r>
        <w:rPr>
          <w:rFonts w:hint="eastAsia" w:ascii="宋体" w:hAnsi="宋体"/>
          <w:b/>
          <w:szCs w:val="21"/>
        </w:rPr>
        <w:t>保昌县明初行政区一览</w:t>
      </w:r>
    </w:p>
    <w:p w14:paraId="3CA2C59D">
      <w:pPr>
        <w:ind w:firstLine="0" w:firstLineChars="0"/>
        <w:rPr>
          <w:rFonts w:ascii="宋体" w:hAnsi="宋体"/>
          <w:b/>
        </w:rPr>
      </w:pPr>
      <w:r>
        <w:rPr>
          <w:rFonts w:hint="eastAsia" w:ascii="宋体" w:hAnsi="宋体"/>
          <w:b/>
        </w:rPr>
        <w:t>表1-1</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05"/>
        <w:gridCol w:w="755"/>
        <w:gridCol w:w="755"/>
        <w:gridCol w:w="755"/>
        <w:gridCol w:w="755"/>
        <w:gridCol w:w="755"/>
        <w:gridCol w:w="755"/>
        <w:gridCol w:w="755"/>
        <w:gridCol w:w="755"/>
        <w:gridCol w:w="755"/>
        <w:gridCol w:w="755"/>
        <w:gridCol w:w="755"/>
        <w:gridCol w:w="752"/>
      </w:tblGrid>
      <w:tr w14:paraId="7B390A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454" w:type="pct"/>
            <w:vMerge w:val="restart"/>
            <w:vAlign w:val="center"/>
          </w:tcPr>
          <w:p w14:paraId="23D1D6E6">
            <w:pPr>
              <w:pStyle w:val="12"/>
              <w:jc w:val="center"/>
              <w:rPr>
                <w:rFonts w:ascii="宋体" w:hAnsi="宋体"/>
                <w:b/>
              </w:rPr>
            </w:pPr>
            <w:r>
              <w:rPr>
                <w:rFonts w:hint="eastAsia" w:ascii="宋体" w:hAnsi="宋体"/>
                <w:b/>
              </w:rPr>
              <w:t>乡别</w:t>
            </w:r>
          </w:p>
        </w:tc>
        <w:tc>
          <w:tcPr>
            <w:tcW w:w="3788" w:type="pct"/>
            <w:gridSpan w:val="10"/>
            <w:vAlign w:val="center"/>
          </w:tcPr>
          <w:p w14:paraId="1B55FEE3">
            <w:pPr>
              <w:pStyle w:val="12"/>
              <w:jc w:val="center"/>
              <w:rPr>
                <w:rFonts w:ascii="宋体" w:hAnsi="宋体"/>
                <w:b/>
              </w:rPr>
            </w:pPr>
            <w:r>
              <w:rPr>
                <w:rFonts w:hint="eastAsia" w:ascii="宋体" w:hAnsi="宋体"/>
                <w:b/>
              </w:rPr>
              <w:t>辖属都名</w:t>
            </w:r>
          </w:p>
        </w:tc>
        <w:tc>
          <w:tcPr>
            <w:tcW w:w="758" w:type="pct"/>
            <w:gridSpan w:val="2"/>
            <w:vMerge w:val="restart"/>
            <w:vAlign w:val="center"/>
          </w:tcPr>
          <w:p w14:paraId="0C0DA5F2">
            <w:pPr>
              <w:pStyle w:val="12"/>
              <w:jc w:val="center"/>
              <w:rPr>
                <w:rFonts w:ascii="宋体" w:hAnsi="宋体"/>
                <w:b/>
              </w:rPr>
            </w:pPr>
            <w:r>
              <w:rPr>
                <w:rFonts w:hint="eastAsia" w:ascii="宋体" w:hAnsi="宋体"/>
                <w:b/>
              </w:rPr>
              <w:t>合  计</w:t>
            </w:r>
          </w:p>
        </w:tc>
      </w:tr>
      <w:tr w14:paraId="77A138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454" w:type="pct"/>
            <w:vMerge w:val="continue"/>
            <w:vAlign w:val="center"/>
          </w:tcPr>
          <w:p w14:paraId="4E1EF4D8">
            <w:pPr>
              <w:pStyle w:val="12"/>
              <w:jc w:val="center"/>
              <w:rPr>
                <w:rFonts w:ascii="宋体" w:hAnsi="宋体"/>
                <w:b/>
              </w:rPr>
            </w:pPr>
          </w:p>
        </w:tc>
        <w:tc>
          <w:tcPr>
            <w:tcW w:w="757" w:type="pct"/>
            <w:gridSpan w:val="2"/>
            <w:vAlign w:val="center"/>
          </w:tcPr>
          <w:p w14:paraId="2338DD79">
            <w:pPr>
              <w:pStyle w:val="12"/>
              <w:jc w:val="center"/>
              <w:rPr>
                <w:rFonts w:ascii="宋体" w:hAnsi="宋体"/>
                <w:b/>
              </w:rPr>
            </w:pPr>
            <w:r>
              <w:rPr>
                <w:rFonts w:hint="eastAsia" w:ascii="宋体" w:hAnsi="宋体"/>
                <w:b/>
              </w:rPr>
              <w:t>1</w:t>
            </w:r>
          </w:p>
        </w:tc>
        <w:tc>
          <w:tcPr>
            <w:tcW w:w="758" w:type="pct"/>
            <w:gridSpan w:val="2"/>
            <w:vAlign w:val="center"/>
          </w:tcPr>
          <w:p w14:paraId="4A62486F">
            <w:pPr>
              <w:pStyle w:val="12"/>
              <w:jc w:val="center"/>
              <w:rPr>
                <w:rFonts w:ascii="宋体" w:hAnsi="宋体"/>
                <w:b/>
              </w:rPr>
            </w:pPr>
            <w:r>
              <w:rPr>
                <w:rFonts w:hint="eastAsia" w:ascii="宋体" w:hAnsi="宋体"/>
                <w:b/>
              </w:rPr>
              <w:t>2</w:t>
            </w:r>
          </w:p>
        </w:tc>
        <w:tc>
          <w:tcPr>
            <w:tcW w:w="757" w:type="pct"/>
            <w:gridSpan w:val="2"/>
            <w:vAlign w:val="center"/>
          </w:tcPr>
          <w:p w14:paraId="04CCD5F1">
            <w:pPr>
              <w:pStyle w:val="12"/>
              <w:jc w:val="center"/>
              <w:rPr>
                <w:rFonts w:ascii="宋体" w:hAnsi="宋体"/>
                <w:b/>
              </w:rPr>
            </w:pPr>
            <w:r>
              <w:rPr>
                <w:rFonts w:hint="eastAsia" w:ascii="宋体" w:hAnsi="宋体"/>
                <w:b/>
              </w:rPr>
              <w:t>3</w:t>
            </w:r>
          </w:p>
        </w:tc>
        <w:tc>
          <w:tcPr>
            <w:tcW w:w="758" w:type="pct"/>
            <w:gridSpan w:val="2"/>
            <w:vAlign w:val="center"/>
          </w:tcPr>
          <w:p w14:paraId="24515544">
            <w:pPr>
              <w:pStyle w:val="12"/>
              <w:jc w:val="center"/>
              <w:rPr>
                <w:rFonts w:ascii="宋体" w:hAnsi="宋体"/>
                <w:b/>
              </w:rPr>
            </w:pPr>
            <w:r>
              <w:rPr>
                <w:rFonts w:hint="eastAsia" w:ascii="宋体" w:hAnsi="宋体"/>
                <w:b/>
              </w:rPr>
              <w:t>4</w:t>
            </w:r>
          </w:p>
        </w:tc>
        <w:tc>
          <w:tcPr>
            <w:tcW w:w="757" w:type="pct"/>
            <w:gridSpan w:val="2"/>
            <w:vAlign w:val="center"/>
          </w:tcPr>
          <w:p w14:paraId="1672701B">
            <w:pPr>
              <w:pStyle w:val="12"/>
              <w:jc w:val="center"/>
              <w:rPr>
                <w:rFonts w:ascii="宋体" w:hAnsi="宋体"/>
                <w:b/>
              </w:rPr>
            </w:pPr>
            <w:r>
              <w:rPr>
                <w:rFonts w:hint="eastAsia" w:ascii="宋体" w:hAnsi="宋体"/>
                <w:b/>
              </w:rPr>
              <w:t>5</w:t>
            </w:r>
          </w:p>
        </w:tc>
        <w:tc>
          <w:tcPr>
            <w:tcW w:w="758" w:type="pct"/>
            <w:gridSpan w:val="2"/>
            <w:vMerge w:val="continue"/>
            <w:vAlign w:val="center"/>
          </w:tcPr>
          <w:p w14:paraId="5EE65D5B">
            <w:pPr>
              <w:pStyle w:val="12"/>
              <w:jc w:val="center"/>
              <w:rPr>
                <w:rFonts w:ascii="宋体" w:hAnsi="宋体"/>
                <w:b/>
              </w:rPr>
            </w:pPr>
          </w:p>
        </w:tc>
      </w:tr>
      <w:tr w14:paraId="5E4C57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7" w:hRule="atLeast"/>
        </w:trPr>
        <w:tc>
          <w:tcPr>
            <w:tcW w:w="454" w:type="pct"/>
            <w:vMerge w:val="continue"/>
            <w:vAlign w:val="center"/>
          </w:tcPr>
          <w:p w14:paraId="7F9362E0">
            <w:pPr>
              <w:pStyle w:val="12"/>
              <w:jc w:val="center"/>
              <w:rPr>
                <w:rFonts w:ascii="宋体" w:hAnsi="宋体"/>
                <w:b/>
              </w:rPr>
            </w:pPr>
          </w:p>
        </w:tc>
        <w:tc>
          <w:tcPr>
            <w:tcW w:w="379" w:type="pct"/>
            <w:vAlign w:val="center"/>
          </w:tcPr>
          <w:p w14:paraId="54F67711">
            <w:pPr>
              <w:pStyle w:val="12"/>
              <w:jc w:val="center"/>
              <w:rPr>
                <w:rFonts w:ascii="宋体" w:hAnsi="宋体"/>
                <w:b/>
              </w:rPr>
            </w:pPr>
            <w:r>
              <w:rPr>
                <w:rFonts w:hint="eastAsia" w:ascii="宋体" w:hAnsi="宋体"/>
                <w:b/>
              </w:rPr>
              <w:t>都名</w:t>
            </w:r>
          </w:p>
        </w:tc>
        <w:tc>
          <w:tcPr>
            <w:tcW w:w="379" w:type="pct"/>
            <w:vAlign w:val="center"/>
          </w:tcPr>
          <w:p w14:paraId="7F2CFA66">
            <w:pPr>
              <w:pStyle w:val="12"/>
              <w:jc w:val="center"/>
              <w:rPr>
                <w:rFonts w:ascii="宋体" w:hAnsi="宋体"/>
                <w:b/>
              </w:rPr>
            </w:pPr>
            <w:r>
              <w:rPr>
                <w:rFonts w:hint="eastAsia" w:ascii="宋体" w:hAnsi="宋体"/>
                <w:b/>
              </w:rPr>
              <w:t>啚数</w:t>
            </w:r>
          </w:p>
        </w:tc>
        <w:tc>
          <w:tcPr>
            <w:tcW w:w="379" w:type="pct"/>
            <w:vAlign w:val="center"/>
          </w:tcPr>
          <w:p w14:paraId="5A32FB2C">
            <w:pPr>
              <w:pStyle w:val="12"/>
              <w:jc w:val="center"/>
              <w:rPr>
                <w:rFonts w:ascii="宋体" w:hAnsi="宋体"/>
                <w:b/>
              </w:rPr>
            </w:pPr>
            <w:r>
              <w:rPr>
                <w:rFonts w:hint="eastAsia" w:ascii="宋体" w:hAnsi="宋体"/>
                <w:b/>
              </w:rPr>
              <w:t>都名</w:t>
            </w:r>
          </w:p>
        </w:tc>
        <w:tc>
          <w:tcPr>
            <w:tcW w:w="379" w:type="pct"/>
            <w:vAlign w:val="center"/>
          </w:tcPr>
          <w:p w14:paraId="58399845">
            <w:pPr>
              <w:pStyle w:val="12"/>
              <w:jc w:val="center"/>
              <w:rPr>
                <w:rFonts w:ascii="宋体" w:hAnsi="宋体"/>
                <w:b/>
              </w:rPr>
            </w:pPr>
            <w:r>
              <w:rPr>
                <w:rFonts w:hint="eastAsia" w:ascii="宋体" w:hAnsi="宋体"/>
                <w:b/>
              </w:rPr>
              <w:t>啚数</w:t>
            </w:r>
          </w:p>
        </w:tc>
        <w:tc>
          <w:tcPr>
            <w:tcW w:w="379" w:type="pct"/>
            <w:vAlign w:val="center"/>
          </w:tcPr>
          <w:p w14:paraId="546DF90D">
            <w:pPr>
              <w:pStyle w:val="12"/>
              <w:jc w:val="center"/>
              <w:rPr>
                <w:rFonts w:ascii="宋体" w:hAnsi="宋体"/>
                <w:b/>
              </w:rPr>
            </w:pPr>
            <w:r>
              <w:rPr>
                <w:rFonts w:hint="eastAsia" w:ascii="宋体" w:hAnsi="宋体"/>
                <w:b/>
              </w:rPr>
              <w:t>都名</w:t>
            </w:r>
          </w:p>
        </w:tc>
        <w:tc>
          <w:tcPr>
            <w:tcW w:w="379" w:type="pct"/>
            <w:vAlign w:val="center"/>
          </w:tcPr>
          <w:p w14:paraId="482467E1">
            <w:pPr>
              <w:pStyle w:val="12"/>
              <w:jc w:val="center"/>
              <w:rPr>
                <w:rFonts w:ascii="宋体" w:hAnsi="宋体"/>
                <w:b/>
              </w:rPr>
            </w:pPr>
            <w:r>
              <w:rPr>
                <w:rFonts w:hint="eastAsia" w:ascii="宋体" w:hAnsi="宋体"/>
                <w:b/>
              </w:rPr>
              <w:t>啚数</w:t>
            </w:r>
          </w:p>
        </w:tc>
        <w:tc>
          <w:tcPr>
            <w:tcW w:w="379" w:type="pct"/>
            <w:vAlign w:val="center"/>
          </w:tcPr>
          <w:p w14:paraId="0327B949">
            <w:pPr>
              <w:pStyle w:val="12"/>
              <w:jc w:val="center"/>
              <w:rPr>
                <w:rFonts w:ascii="宋体" w:hAnsi="宋体"/>
                <w:b/>
              </w:rPr>
            </w:pPr>
            <w:r>
              <w:rPr>
                <w:rFonts w:hint="eastAsia" w:ascii="宋体" w:hAnsi="宋体"/>
                <w:b/>
              </w:rPr>
              <w:t>都名</w:t>
            </w:r>
          </w:p>
        </w:tc>
        <w:tc>
          <w:tcPr>
            <w:tcW w:w="379" w:type="pct"/>
            <w:vAlign w:val="center"/>
          </w:tcPr>
          <w:p w14:paraId="477E557A">
            <w:pPr>
              <w:pStyle w:val="12"/>
              <w:jc w:val="center"/>
              <w:rPr>
                <w:rFonts w:ascii="宋体" w:hAnsi="宋体"/>
                <w:b/>
              </w:rPr>
            </w:pPr>
            <w:r>
              <w:rPr>
                <w:rFonts w:hint="eastAsia" w:ascii="宋体" w:hAnsi="宋体"/>
                <w:b/>
              </w:rPr>
              <w:t>啚数</w:t>
            </w:r>
          </w:p>
        </w:tc>
        <w:tc>
          <w:tcPr>
            <w:tcW w:w="379" w:type="pct"/>
            <w:vAlign w:val="center"/>
          </w:tcPr>
          <w:p w14:paraId="0688DA8E">
            <w:pPr>
              <w:pStyle w:val="12"/>
              <w:jc w:val="center"/>
              <w:rPr>
                <w:rFonts w:ascii="宋体" w:hAnsi="宋体"/>
                <w:b/>
              </w:rPr>
            </w:pPr>
            <w:r>
              <w:rPr>
                <w:rFonts w:hint="eastAsia" w:ascii="宋体" w:hAnsi="宋体"/>
                <w:b/>
              </w:rPr>
              <w:t>都名</w:t>
            </w:r>
          </w:p>
        </w:tc>
        <w:tc>
          <w:tcPr>
            <w:tcW w:w="379" w:type="pct"/>
            <w:vAlign w:val="center"/>
          </w:tcPr>
          <w:p w14:paraId="4002964D">
            <w:pPr>
              <w:pStyle w:val="12"/>
              <w:jc w:val="center"/>
              <w:rPr>
                <w:rFonts w:ascii="宋体" w:hAnsi="宋体"/>
                <w:b/>
              </w:rPr>
            </w:pPr>
            <w:r>
              <w:rPr>
                <w:rFonts w:hint="eastAsia" w:ascii="宋体" w:hAnsi="宋体"/>
                <w:b/>
              </w:rPr>
              <w:t>啚数</w:t>
            </w:r>
          </w:p>
        </w:tc>
        <w:tc>
          <w:tcPr>
            <w:tcW w:w="379" w:type="pct"/>
            <w:vAlign w:val="center"/>
          </w:tcPr>
          <w:p w14:paraId="1BB5FA57">
            <w:pPr>
              <w:pStyle w:val="12"/>
              <w:jc w:val="center"/>
              <w:rPr>
                <w:rFonts w:ascii="宋体" w:hAnsi="宋体"/>
                <w:b/>
              </w:rPr>
            </w:pPr>
            <w:r>
              <w:rPr>
                <w:rFonts w:hint="eastAsia" w:ascii="宋体" w:hAnsi="宋体"/>
                <w:b/>
              </w:rPr>
              <w:t>都数</w:t>
            </w:r>
          </w:p>
        </w:tc>
        <w:tc>
          <w:tcPr>
            <w:tcW w:w="379" w:type="pct"/>
            <w:vAlign w:val="center"/>
          </w:tcPr>
          <w:p w14:paraId="3C94A2FB">
            <w:pPr>
              <w:pStyle w:val="12"/>
              <w:jc w:val="center"/>
              <w:rPr>
                <w:rFonts w:ascii="宋体" w:hAnsi="宋体"/>
                <w:b/>
              </w:rPr>
            </w:pPr>
            <w:r>
              <w:rPr>
                <w:rFonts w:hint="eastAsia" w:ascii="宋体" w:hAnsi="宋体"/>
                <w:b/>
              </w:rPr>
              <w:t>啚数</w:t>
            </w:r>
          </w:p>
        </w:tc>
      </w:tr>
      <w:tr w14:paraId="3771BF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8" w:hRule="atLeast"/>
        </w:trPr>
        <w:tc>
          <w:tcPr>
            <w:tcW w:w="454" w:type="pct"/>
            <w:vAlign w:val="center"/>
          </w:tcPr>
          <w:p w14:paraId="08BE0502">
            <w:pPr>
              <w:pStyle w:val="12"/>
              <w:jc w:val="center"/>
              <w:rPr>
                <w:rFonts w:ascii="宋体" w:hAnsi="宋体"/>
              </w:rPr>
            </w:pPr>
            <w:r>
              <w:rPr>
                <w:rFonts w:hint="eastAsia" w:ascii="宋体" w:hAnsi="宋体"/>
              </w:rPr>
              <w:t>城  厢</w:t>
            </w:r>
          </w:p>
        </w:tc>
        <w:tc>
          <w:tcPr>
            <w:tcW w:w="379" w:type="pct"/>
            <w:vAlign w:val="center"/>
          </w:tcPr>
          <w:p w14:paraId="3F391B61">
            <w:pPr>
              <w:pStyle w:val="12"/>
              <w:jc w:val="center"/>
              <w:rPr>
                <w:rFonts w:ascii="宋体" w:hAnsi="宋体"/>
              </w:rPr>
            </w:pPr>
            <w:r>
              <w:rPr>
                <w:rFonts w:hint="eastAsia" w:ascii="宋体" w:hAnsi="宋体"/>
              </w:rPr>
              <w:t>东厢</w:t>
            </w:r>
          </w:p>
        </w:tc>
        <w:tc>
          <w:tcPr>
            <w:tcW w:w="379" w:type="pct"/>
            <w:vAlign w:val="center"/>
          </w:tcPr>
          <w:p w14:paraId="216A425C">
            <w:pPr>
              <w:pStyle w:val="12"/>
              <w:jc w:val="center"/>
              <w:rPr>
                <w:rFonts w:ascii="宋体" w:hAnsi="宋体"/>
              </w:rPr>
            </w:pPr>
            <w:r>
              <w:rPr>
                <w:rFonts w:hint="eastAsia" w:ascii="宋体" w:hAnsi="宋体"/>
              </w:rPr>
              <w:t>1</w:t>
            </w:r>
          </w:p>
        </w:tc>
        <w:tc>
          <w:tcPr>
            <w:tcW w:w="379" w:type="pct"/>
            <w:vAlign w:val="center"/>
          </w:tcPr>
          <w:p w14:paraId="3A0FFCB7">
            <w:pPr>
              <w:pStyle w:val="12"/>
              <w:jc w:val="center"/>
              <w:rPr>
                <w:rFonts w:ascii="宋体" w:hAnsi="宋体"/>
              </w:rPr>
            </w:pPr>
            <w:r>
              <w:rPr>
                <w:rFonts w:hint="eastAsia" w:ascii="宋体" w:hAnsi="宋体"/>
              </w:rPr>
              <w:t>北厢</w:t>
            </w:r>
          </w:p>
        </w:tc>
        <w:tc>
          <w:tcPr>
            <w:tcW w:w="379" w:type="pct"/>
            <w:vAlign w:val="center"/>
          </w:tcPr>
          <w:p w14:paraId="50D883FB">
            <w:pPr>
              <w:pStyle w:val="12"/>
              <w:jc w:val="center"/>
              <w:rPr>
                <w:rFonts w:ascii="宋体" w:hAnsi="宋体"/>
              </w:rPr>
            </w:pPr>
            <w:r>
              <w:rPr>
                <w:rFonts w:hint="eastAsia" w:ascii="宋体" w:hAnsi="宋体"/>
              </w:rPr>
              <w:t>1</w:t>
            </w:r>
          </w:p>
        </w:tc>
        <w:tc>
          <w:tcPr>
            <w:tcW w:w="379" w:type="pct"/>
            <w:vAlign w:val="center"/>
          </w:tcPr>
          <w:p w14:paraId="020A6A46">
            <w:pPr>
              <w:pStyle w:val="12"/>
              <w:jc w:val="center"/>
              <w:rPr>
                <w:rFonts w:ascii="宋体" w:hAnsi="宋体"/>
              </w:rPr>
            </w:pPr>
            <w:r>
              <w:rPr>
                <w:rFonts w:hint="eastAsia" w:ascii="宋体" w:hAnsi="宋体"/>
              </w:rPr>
              <w:t>东隅</w:t>
            </w:r>
          </w:p>
        </w:tc>
        <w:tc>
          <w:tcPr>
            <w:tcW w:w="379" w:type="pct"/>
            <w:vAlign w:val="center"/>
          </w:tcPr>
          <w:p w14:paraId="71F67F4B">
            <w:pPr>
              <w:pStyle w:val="12"/>
              <w:jc w:val="center"/>
              <w:rPr>
                <w:rFonts w:ascii="宋体" w:hAnsi="宋体"/>
              </w:rPr>
            </w:pPr>
            <w:r>
              <w:rPr>
                <w:rFonts w:hint="eastAsia" w:ascii="宋体" w:hAnsi="宋体"/>
              </w:rPr>
              <w:t>1</w:t>
            </w:r>
          </w:p>
        </w:tc>
        <w:tc>
          <w:tcPr>
            <w:tcW w:w="379" w:type="pct"/>
            <w:vAlign w:val="center"/>
          </w:tcPr>
          <w:p w14:paraId="2689298A">
            <w:pPr>
              <w:pStyle w:val="12"/>
              <w:jc w:val="center"/>
              <w:rPr>
                <w:rFonts w:ascii="宋体" w:hAnsi="宋体"/>
              </w:rPr>
            </w:pPr>
            <w:r>
              <w:rPr>
                <w:rFonts w:hint="eastAsia" w:ascii="宋体" w:hAnsi="宋体"/>
              </w:rPr>
              <w:t>南隅</w:t>
            </w:r>
          </w:p>
        </w:tc>
        <w:tc>
          <w:tcPr>
            <w:tcW w:w="379" w:type="pct"/>
            <w:vAlign w:val="center"/>
          </w:tcPr>
          <w:p w14:paraId="2DA60049">
            <w:pPr>
              <w:pStyle w:val="12"/>
              <w:jc w:val="center"/>
              <w:rPr>
                <w:rFonts w:ascii="宋体" w:hAnsi="宋体"/>
              </w:rPr>
            </w:pPr>
            <w:r>
              <w:rPr>
                <w:rFonts w:hint="eastAsia" w:ascii="宋体" w:hAnsi="宋体"/>
              </w:rPr>
              <w:t>1</w:t>
            </w:r>
          </w:p>
        </w:tc>
        <w:tc>
          <w:tcPr>
            <w:tcW w:w="379" w:type="pct"/>
            <w:vAlign w:val="center"/>
          </w:tcPr>
          <w:p w14:paraId="131C6EDA">
            <w:pPr>
              <w:pStyle w:val="12"/>
              <w:jc w:val="center"/>
              <w:rPr>
                <w:rFonts w:ascii="宋体" w:hAnsi="宋体"/>
              </w:rPr>
            </w:pPr>
            <w:r>
              <w:rPr>
                <w:rFonts w:hint="eastAsia" w:ascii="宋体" w:hAnsi="宋体"/>
              </w:rPr>
              <w:t>北隅</w:t>
            </w:r>
          </w:p>
        </w:tc>
        <w:tc>
          <w:tcPr>
            <w:tcW w:w="379" w:type="pct"/>
            <w:vAlign w:val="center"/>
          </w:tcPr>
          <w:p w14:paraId="626CD50F">
            <w:pPr>
              <w:pStyle w:val="12"/>
              <w:jc w:val="center"/>
              <w:rPr>
                <w:rFonts w:ascii="宋体" w:hAnsi="宋体"/>
              </w:rPr>
            </w:pPr>
            <w:r>
              <w:rPr>
                <w:rFonts w:hint="eastAsia" w:ascii="宋体" w:hAnsi="宋体"/>
              </w:rPr>
              <w:t>1</w:t>
            </w:r>
          </w:p>
        </w:tc>
        <w:tc>
          <w:tcPr>
            <w:tcW w:w="379" w:type="pct"/>
            <w:vAlign w:val="center"/>
          </w:tcPr>
          <w:p w14:paraId="57ACB503">
            <w:pPr>
              <w:pStyle w:val="12"/>
              <w:jc w:val="center"/>
              <w:rPr>
                <w:rFonts w:ascii="宋体" w:hAnsi="宋体"/>
              </w:rPr>
            </w:pPr>
            <w:r>
              <w:rPr>
                <w:rFonts w:hint="eastAsia" w:ascii="宋体" w:hAnsi="宋体"/>
              </w:rPr>
              <w:t>5</w:t>
            </w:r>
          </w:p>
        </w:tc>
        <w:tc>
          <w:tcPr>
            <w:tcW w:w="379" w:type="pct"/>
            <w:vAlign w:val="center"/>
          </w:tcPr>
          <w:p w14:paraId="341D1638">
            <w:pPr>
              <w:pStyle w:val="12"/>
              <w:jc w:val="center"/>
              <w:rPr>
                <w:rFonts w:ascii="宋体" w:hAnsi="宋体"/>
              </w:rPr>
            </w:pPr>
            <w:r>
              <w:rPr>
                <w:rFonts w:hint="eastAsia" w:ascii="宋体" w:hAnsi="宋体"/>
              </w:rPr>
              <w:t>5</w:t>
            </w:r>
          </w:p>
        </w:tc>
      </w:tr>
      <w:tr w14:paraId="11FB62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8" w:hRule="atLeast"/>
        </w:trPr>
        <w:tc>
          <w:tcPr>
            <w:tcW w:w="454" w:type="pct"/>
            <w:vAlign w:val="center"/>
          </w:tcPr>
          <w:p w14:paraId="0A238BCA">
            <w:pPr>
              <w:pStyle w:val="12"/>
              <w:jc w:val="center"/>
              <w:rPr>
                <w:rFonts w:ascii="宋体" w:hAnsi="宋体"/>
              </w:rPr>
            </w:pPr>
            <w:r>
              <w:rPr>
                <w:rFonts w:hint="eastAsia" w:ascii="宋体" w:hAnsi="宋体"/>
              </w:rPr>
              <w:t>九成乡</w:t>
            </w:r>
          </w:p>
        </w:tc>
        <w:tc>
          <w:tcPr>
            <w:tcW w:w="379" w:type="pct"/>
            <w:vAlign w:val="center"/>
          </w:tcPr>
          <w:p w14:paraId="77AA1573">
            <w:pPr>
              <w:pStyle w:val="12"/>
              <w:jc w:val="center"/>
              <w:rPr>
                <w:rFonts w:ascii="宋体" w:hAnsi="宋体"/>
              </w:rPr>
            </w:pPr>
            <w:r>
              <w:rPr>
                <w:rFonts w:hint="eastAsia" w:ascii="宋体" w:hAnsi="宋体"/>
              </w:rPr>
              <w:t>政教</w:t>
            </w:r>
          </w:p>
        </w:tc>
        <w:tc>
          <w:tcPr>
            <w:tcW w:w="379" w:type="pct"/>
            <w:vAlign w:val="center"/>
          </w:tcPr>
          <w:p w14:paraId="328C152A">
            <w:pPr>
              <w:pStyle w:val="12"/>
              <w:jc w:val="center"/>
              <w:rPr>
                <w:rFonts w:ascii="宋体" w:hAnsi="宋体"/>
              </w:rPr>
            </w:pPr>
            <w:r>
              <w:rPr>
                <w:rFonts w:hint="eastAsia" w:ascii="宋体" w:hAnsi="宋体"/>
              </w:rPr>
              <w:t>4</w:t>
            </w:r>
          </w:p>
        </w:tc>
        <w:tc>
          <w:tcPr>
            <w:tcW w:w="379" w:type="pct"/>
            <w:vAlign w:val="center"/>
          </w:tcPr>
          <w:p w14:paraId="17E009CE">
            <w:pPr>
              <w:pStyle w:val="12"/>
              <w:jc w:val="center"/>
              <w:rPr>
                <w:rFonts w:ascii="宋体" w:hAnsi="宋体"/>
              </w:rPr>
            </w:pPr>
            <w:r>
              <w:rPr>
                <w:rFonts w:hint="eastAsia" w:ascii="宋体" w:hAnsi="宋体"/>
              </w:rPr>
              <w:t>政化</w:t>
            </w:r>
          </w:p>
        </w:tc>
        <w:tc>
          <w:tcPr>
            <w:tcW w:w="379" w:type="pct"/>
            <w:vAlign w:val="center"/>
          </w:tcPr>
          <w:p w14:paraId="23913CC0">
            <w:pPr>
              <w:pStyle w:val="12"/>
              <w:jc w:val="center"/>
              <w:rPr>
                <w:rFonts w:ascii="宋体" w:hAnsi="宋体"/>
              </w:rPr>
            </w:pPr>
            <w:r>
              <w:rPr>
                <w:rFonts w:hint="eastAsia" w:ascii="宋体" w:hAnsi="宋体"/>
              </w:rPr>
              <w:t>3</w:t>
            </w:r>
          </w:p>
        </w:tc>
        <w:tc>
          <w:tcPr>
            <w:tcW w:w="379" w:type="pct"/>
            <w:vAlign w:val="center"/>
          </w:tcPr>
          <w:p w14:paraId="60E8B2E2">
            <w:pPr>
              <w:pStyle w:val="12"/>
              <w:jc w:val="center"/>
              <w:rPr>
                <w:rFonts w:ascii="宋体" w:hAnsi="宋体"/>
              </w:rPr>
            </w:pPr>
            <w:r>
              <w:rPr>
                <w:rFonts w:hint="eastAsia" w:ascii="宋体" w:hAnsi="宋体"/>
              </w:rPr>
              <w:t>百顺</w:t>
            </w:r>
          </w:p>
        </w:tc>
        <w:tc>
          <w:tcPr>
            <w:tcW w:w="379" w:type="pct"/>
            <w:vAlign w:val="center"/>
          </w:tcPr>
          <w:p w14:paraId="6FF03070">
            <w:pPr>
              <w:pStyle w:val="12"/>
              <w:jc w:val="center"/>
              <w:rPr>
                <w:rFonts w:ascii="宋体" w:hAnsi="宋体"/>
              </w:rPr>
            </w:pPr>
            <w:r>
              <w:rPr>
                <w:rFonts w:hint="eastAsia" w:ascii="宋体" w:hAnsi="宋体"/>
              </w:rPr>
              <w:t>1</w:t>
            </w:r>
          </w:p>
        </w:tc>
        <w:tc>
          <w:tcPr>
            <w:tcW w:w="379" w:type="pct"/>
            <w:vAlign w:val="center"/>
          </w:tcPr>
          <w:p w14:paraId="26BB0FFD">
            <w:pPr>
              <w:pStyle w:val="12"/>
              <w:jc w:val="center"/>
              <w:rPr>
                <w:rFonts w:ascii="宋体" w:hAnsi="宋体"/>
              </w:rPr>
            </w:pPr>
            <w:r>
              <w:rPr>
                <w:rFonts w:hint="eastAsia" w:ascii="宋体" w:hAnsi="宋体"/>
              </w:rPr>
              <w:t>凌源</w:t>
            </w:r>
          </w:p>
        </w:tc>
        <w:tc>
          <w:tcPr>
            <w:tcW w:w="379" w:type="pct"/>
            <w:vAlign w:val="center"/>
          </w:tcPr>
          <w:p w14:paraId="337F8396">
            <w:pPr>
              <w:pStyle w:val="12"/>
              <w:jc w:val="center"/>
              <w:rPr>
                <w:rFonts w:ascii="宋体" w:hAnsi="宋体"/>
              </w:rPr>
            </w:pPr>
            <w:r>
              <w:rPr>
                <w:rFonts w:hint="eastAsia" w:ascii="宋体" w:hAnsi="宋体"/>
              </w:rPr>
              <w:t>1</w:t>
            </w:r>
          </w:p>
        </w:tc>
        <w:tc>
          <w:tcPr>
            <w:tcW w:w="379" w:type="pct"/>
            <w:vAlign w:val="center"/>
          </w:tcPr>
          <w:p w14:paraId="02C3A968">
            <w:pPr>
              <w:pStyle w:val="12"/>
              <w:jc w:val="center"/>
              <w:rPr>
                <w:rFonts w:ascii="宋体" w:hAnsi="宋体"/>
              </w:rPr>
            </w:pPr>
            <w:r>
              <w:rPr>
                <w:rFonts w:hint="eastAsia" w:ascii="宋体" w:hAnsi="宋体"/>
              </w:rPr>
              <w:t>闻韶</w:t>
            </w:r>
          </w:p>
        </w:tc>
        <w:tc>
          <w:tcPr>
            <w:tcW w:w="379" w:type="pct"/>
            <w:vAlign w:val="center"/>
          </w:tcPr>
          <w:p w14:paraId="078E0C8C">
            <w:pPr>
              <w:pStyle w:val="12"/>
              <w:jc w:val="center"/>
              <w:rPr>
                <w:rFonts w:ascii="宋体" w:hAnsi="宋体"/>
              </w:rPr>
            </w:pPr>
            <w:r>
              <w:rPr>
                <w:rFonts w:hint="eastAsia" w:ascii="宋体" w:hAnsi="宋体"/>
              </w:rPr>
              <w:t>1</w:t>
            </w:r>
          </w:p>
        </w:tc>
        <w:tc>
          <w:tcPr>
            <w:tcW w:w="379" w:type="pct"/>
            <w:vAlign w:val="center"/>
          </w:tcPr>
          <w:p w14:paraId="3D6D82AF">
            <w:pPr>
              <w:pStyle w:val="12"/>
              <w:jc w:val="center"/>
              <w:rPr>
                <w:rFonts w:ascii="宋体" w:hAnsi="宋体"/>
              </w:rPr>
            </w:pPr>
            <w:r>
              <w:rPr>
                <w:rFonts w:hint="eastAsia" w:ascii="宋体" w:hAnsi="宋体"/>
              </w:rPr>
              <w:t>5</w:t>
            </w:r>
          </w:p>
        </w:tc>
        <w:tc>
          <w:tcPr>
            <w:tcW w:w="379" w:type="pct"/>
            <w:vAlign w:val="center"/>
          </w:tcPr>
          <w:p w14:paraId="25CC2EC5">
            <w:pPr>
              <w:pStyle w:val="12"/>
              <w:jc w:val="center"/>
              <w:rPr>
                <w:rFonts w:ascii="宋体" w:hAnsi="宋体"/>
              </w:rPr>
            </w:pPr>
            <w:r>
              <w:rPr>
                <w:rFonts w:hint="eastAsia" w:ascii="宋体" w:hAnsi="宋体"/>
              </w:rPr>
              <w:t>10</w:t>
            </w:r>
          </w:p>
        </w:tc>
      </w:tr>
      <w:tr w14:paraId="1B6289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454" w:type="pct"/>
            <w:vAlign w:val="center"/>
          </w:tcPr>
          <w:p w14:paraId="5E2C20F6">
            <w:pPr>
              <w:pStyle w:val="12"/>
              <w:jc w:val="center"/>
              <w:rPr>
                <w:rFonts w:ascii="宋体" w:hAnsi="宋体"/>
              </w:rPr>
            </w:pPr>
            <w:r>
              <w:rPr>
                <w:rFonts w:hint="eastAsia" w:ascii="宋体" w:hAnsi="宋体"/>
              </w:rPr>
              <w:t>知劝乡</w:t>
            </w:r>
          </w:p>
        </w:tc>
        <w:tc>
          <w:tcPr>
            <w:tcW w:w="379" w:type="pct"/>
            <w:vAlign w:val="center"/>
          </w:tcPr>
          <w:p w14:paraId="6C0A2D54">
            <w:pPr>
              <w:pStyle w:val="12"/>
              <w:jc w:val="center"/>
              <w:rPr>
                <w:rFonts w:ascii="宋体" w:hAnsi="宋体"/>
              </w:rPr>
            </w:pPr>
            <w:r>
              <w:rPr>
                <w:rFonts w:hint="eastAsia" w:ascii="宋体" w:hAnsi="宋体"/>
              </w:rPr>
              <w:t>修仁</w:t>
            </w:r>
          </w:p>
        </w:tc>
        <w:tc>
          <w:tcPr>
            <w:tcW w:w="379" w:type="pct"/>
            <w:vAlign w:val="center"/>
          </w:tcPr>
          <w:p w14:paraId="6D9D4D4F">
            <w:pPr>
              <w:pStyle w:val="12"/>
              <w:jc w:val="center"/>
              <w:rPr>
                <w:rFonts w:ascii="宋体" w:hAnsi="宋体"/>
              </w:rPr>
            </w:pPr>
            <w:r>
              <w:rPr>
                <w:rFonts w:hint="eastAsia" w:ascii="宋体" w:hAnsi="宋体"/>
              </w:rPr>
              <w:t>3</w:t>
            </w:r>
          </w:p>
        </w:tc>
        <w:tc>
          <w:tcPr>
            <w:tcW w:w="379" w:type="pct"/>
            <w:vAlign w:val="center"/>
          </w:tcPr>
          <w:p w14:paraId="5D12703D">
            <w:pPr>
              <w:pStyle w:val="12"/>
              <w:jc w:val="center"/>
              <w:rPr>
                <w:rFonts w:ascii="宋体" w:hAnsi="宋体"/>
              </w:rPr>
            </w:pPr>
            <w:r>
              <w:rPr>
                <w:rFonts w:hint="eastAsia" w:ascii="宋体" w:hAnsi="宋体"/>
              </w:rPr>
              <w:t>迎春</w:t>
            </w:r>
          </w:p>
        </w:tc>
        <w:tc>
          <w:tcPr>
            <w:tcW w:w="379" w:type="pct"/>
            <w:vAlign w:val="center"/>
          </w:tcPr>
          <w:p w14:paraId="7C1C8252">
            <w:pPr>
              <w:pStyle w:val="12"/>
              <w:jc w:val="center"/>
              <w:rPr>
                <w:rFonts w:ascii="宋体" w:hAnsi="宋体"/>
              </w:rPr>
            </w:pPr>
            <w:r>
              <w:rPr>
                <w:rFonts w:hint="eastAsia" w:ascii="宋体" w:hAnsi="宋体"/>
              </w:rPr>
              <w:t>3</w:t>
            </w:r>
          </w:p>
        </w:tc>
        <w:tc>
          <w:tcPr>
            <w:tcW w:w="379" w:type="pct"/>
            <w:vAlign w:val="center"/>
          </w:tcPr>
          <w:p w14:paraId="564AAE29">
            <w:pPr>
              <w:pStyle w:val="12"/>
              <w:jc w:val="center"/>
              <w:rPr>
                <w:rFonts w:ascii="宋体" w:hAnsi="宋体"/>
              </w:rPr>
            </w:pPr>
            <w:r>
              <w:rPr>
                <w:rFonts w:hint="eastAsia" w:ascii="宋体" w:hAnsi="宋体"/>
              </w:rPr>
              <w:t>周南</w:t>
            </w:r>
          </w:p>
        </w:tc>
        <w:tc>
          <w:tcPr>
            <w:tcW w:w="379" w:type="pct"/>
            <w:vAlign w:val="center"/>
          </w:tcPr>
          <w:p w14:paraId="4E7D29DB">
            <w:pPr>
              <w:pStyle w:val="12"/>
              <w:jc w:val="center"/>
              <w:rPr>
                <w:rFonts w:ascii="宋体" w:hAnsi="宋体"/>
              </w:rPr>
            </w:pPr>
            <w:r>
              <w:rPr>
                <w:rFonts w:hint="eastAsia" w:ascii="宋体" w:hAnsi="宋体"/>
              </w:rPr>
              <w:t>3</w:t>
            </w:r>
          </w:p>
        </w:tc>
        <w:tc>
          <w:tcPr>
            <w:tcW w:w="379" w:type="pct"/>
            <w:vAlign w:val="center"/>
          </w:tcPr>
          <w:p w14:paraId="6067E48D">
            <w:pPr>
              <w:pStyle w:val="12"/>
              <w:jc w:val="center"/>
              <w:rPr>
                <w:rFonts w:ascii="宋体" w:hAnsi="宋体"/>
              </w:rPr>
            </w:pPr>
            <w:r>
              <w:rPr>
                <w:rFonts w:hint="eastAsia" w:ascii="宋体" w:hAnsi="宋体"/>
              </w:rPr>
              <w:t>石前</w:t>
            </w:r>
          </w:p>
        </w:tc>
        <w:tc>
          <w:tcPr>
            <w:tcW w:w="379" w:type="pct"/>
            <w:vAlign w:val="center"/>
          </w:tcPr>
          <w:p w14:paraId="5D8F013B">
            <w:pPr>
              <w:pStyle w:val="12"/>
              <w:jc w:val="center"/>
              <w:rPr>
                <w:rFonts w:ascii="宋体" w:hAnsi="宋体"/>
              </w:rPr>
            </w:pPr>
            <w:r>
              <w:rPr>
                <w:rFonts w:hint="eastAsia" w:ascii="宋体" w:hAnsi="宋体"/>
              </w:rPr>
              <w:t>1</w:t>
            </w:r>
          </w:p>
        </w:tc>
        <w:tc>
          <w:tcPr>
            <w:tcW w:w="379" w:type="pct"/>
            <w:vAlign w:val="center"/>
          </w:tcPr>
          <w:p w14:paraId="29605A6E">
            <w:pPr>
              <w:pStyle w:val="12"/>
              <w:jc w:val="center"/>
              <w:rPr>
                <w:rFonts w:ascii="宋体" w:hAnsi="宋体"/>
              </w:rPr>
            </w:pPr>
            <w:r>
              <w:rPr>
                <w:rFonts w:hint="eastAsia" w:ascii="宋体" w:hAnsi="宋体"/>
              </w:rPr>
              <w:t>—</w:t>
            </w:r>
          </w:p>
        </w:tc>
        <w:tc>
          <w:tcPr>
            <w:tcW w:w="379" w:type="pct"/>
            <w:vAlign w:val="center"/>
          </w:tcPr>
          <w:p w14:paraId="78B48DDF">
            <w:pPr>
              <w:pStyle w:val="12"/>
              <w:jc w:val="center"/>
              <w:rPr>
                <w:rFonts w:ascii="宋体" w:hAnsi="宋体"/>
              </w:rPr>
            </w:pPr>
            <w:r>
              <w:rPr>
                <w:rFonts w:hint="eastAsia" w:ascii="宋体" w:hAnsi="宋体"/>
              </w:rPr>
              <w:t>—</w:t>
            </w:r>
          </w:p>
        </w:tc>
        <w:tc>
          <w:tcPr>
            <w:tcW w:w="379" w:type="pct"/>
            <w:vAlign w:val="center"/>
          </w:tcPr>
          <w:p w14:paraId="6B3F28CD">
            <w:pPr>
              <w:pStyle w:val="12"/>
              <w:jc w:val="center"/>
              <w:rPr>
                <w:rFonts w:ascii="宋体" w:hAnsi="宋体"/>
              </w:rPr>
            </w:pPr>
            <w:r>
              <w:rPr>
                <w:rFonts w:hint="eastAsia" w:ascii="宋体" w:hAnsi="宋体"/>
              </w:rPr>
              <w:t>4</w:t>
            </w:r>
          </w:p>
        </w:tc>
        <w:tc>
          <w:tcPr>
            <w:tcW w:w="379" w:type="pct"/>
            <w:vAlign w:val="center"/>
          </w:tcPr>
          <w:p w14:paraId="63EEF4C2">
            <w:pPr>
              <w:pStyle w:val="12"/>
              <w:jc w:val="center"/>
              <w:rPr>
                <w:rFonts w:ascii="宋体" w:hAnsi="宋体"/>
              </w:rPr>
            </w:pPr>
            <w:r>
              <w:rPr>
                <w:rFonts w:hint="eastAsia" w:ascii="宋体" w:hAnsi="宋体"/>
              </w:rPr>
              <w:t>10</w:t>
            </w:r>
          </w:p>
        </w:tc>
      </w:tr>
      <w:tr w14:paraId="1E195D9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8" w:hRule="atLeast"/>
        </w:trPr>
        <w:tc>
          <w:tcPr>
            <w:tcW w:w="454" w:type="pct"/>
            <w:vAlign w:val="center"/>
          </w:tcPr>
          <w:p w14:paraId="371516B7">
            <w:pPr>
              <w:pStyle w:val="12"/>
              <w:jc w:val="center"/>
              <w:rPr>
                <w:rFonts w:ascii="宋体" w:hAnsi="宋体"/>
              </w:rPr>
            </w:pPr>
            <w:r>
              <w:rPr>
                <w:rFonts w:hint="eastAsia" w:ascii="宋体" w:hAnsi="宋体"/>
              </w:rPr>
              <w:t>望梅乡</w:t>
            </w:r>
          </w:p>
        </w:tc>
        <w:tc>
          <w:tcPr>
            <w:tcW w:w="379" w:type="pct"/>
            <w:vAlign w:val="center"/>
          </w:tcPr>
          <w:p w14:paraId="3CDFE4F6">
            <w:pPr>
              <w:pStyle w:val="12"/>
              <w:jc w:val="center"/>
              <w:rPr>
                <w:rFonts w:ascii="宋体" w:hAnsi="宋体"/>
              </w:rPr>
            </w:pPr>
            <w:r>
              <w:rPr>
                <w:rFonts w:hint="eastAsia" w:ascii="宋体" w:hAnsi="宋体"/>
              </w:rPr>
              <w:t>杨律</w:t>
            </w:r>
          </w:p>
        </w:tc>
        <w:tc>
          <w:tcPr>
            <w:tcW w:w="379" w:type="pct"/>
            <w:vAlign w:val="center"/>
          </w:tcPr>
          <w:p w14:paraId="038F717A">
            <w:pPr>
              <w:pStyle w:val="12"/>
              <w:jc w:val="center"/>
              <w:rPr>
                <w:rFonts w:ascii="宋体" w:hAnsi="宋体"/>
              </w:rPr>
            </w:pPr>
            <w:r>
              <w:rPr>
                <w:rFonts w:hint="eastAsia" w:ascii="宋体" w:hAnsi="宋体"/>
              </w:rPr>
              <w:t>2</w:t>
            </w:r>
          </w:p>
        </w:tc>
        <w:tc>
          <w:tcPr>
            <w:tcW w:w="379" w:type="pct"/>
            <w:vAlign w:val="center"/>
          </w:tcPr>
          <w:p w14:paraId="221E1066">
            <w:pPr>
              <w:pStyle w:val="12"/>
              <w:jc w:val="center"/>
              <w:rPr>
                <w:rFonts w:ascii="宋体" w:hAnsi="宋体"/>
              </w:rPr>
            </w:pPr>
            <w:r>
              <w:rPr>
                <w:rFonts w:hint="eastAsia" w:ascii="宋体" w:hAnsi="宋体"/>
              </w:rPr>
              <w:t>归仁</w:t>
            </w:r>
          </w:p>
        </w:tc>
        <w:tc>
          <w:tcPr>
            <w:tcW w:w="379" w:type="pct"/>
            <w:vAlign w:val="center"/>
          </w:tcPr>
          <w:p w14:paraId="5DA6BC7E">
            <w:pPr>
              <w:pStyle w:val="12"/>
              <w:jc w:val="center"/>
              <w:rPr>
                <w:rFonts w:ascii="宋体" w:hAnsi="宋体"/>
              </w:rPr>
            </w:pPr>
            <w:r>
              <w:rPr>
                <w:rFonts w:hint="eastAsia" w:ascii="宋体" w:hAnsi="宋体"/>
              </w:rPr>
              <w:t>2</w:t>
            </w:r>
          </w:p>
        </w:tc>
        <w:tc>
          <w:tcPr>
            <w:tcW w:w="379" w:type="pct"/>
            <w:vAlign w:val="center"/>
          </w:tcPr>
          <w:p w14:paraId="423DE3F7">
            <w:pPr>
              <w:pStyle w:val="12"/>
              <w:jc w:val="center"/>
              <w:rPr>
                <w:rFonts w:ascii="宋体" w:hAnsi="宋体"/>
              </w:rPr>
            </w:pPr>
            <w:r>
              <w:rPr>
                <w:rFonts w:hint="eastAsia" w:ascii="宋体" w:hAnsi="宋体"/>
              </w:rPr>
              <w:t>长甫</w:t>
            </w:r>
          </w:p>
        </w:tc>
        <w:tc>
          <w:tcPr>
            <w:tcW w:w="379" w:type="pct"/>
            <w:vAlign w:val="center"/>
          </w:tcPr>
          <w:p w14:paraId="43396701">
            <w:pPr>
              <w:pStyle w:val="12"/>
              <w:jc w:val="center"/>
              <w:rPr>
                <w:rFonts w:ascii="宋体" w:hAnsi="宋体"/>
              </w:rPr>
            </w:pPr>
            <w:r>
              <w:rPr>
                <w:rFonts w:hint="eastAsia" w:ascii="宋体" w:hAnsi="宋体"/>
              </w:rPr>
              <w:t>2</w:t>
            </w:r>
          </w:p>
        </w:tc>
        <w:tc>
          <w:tcPr>
            <w:tcW w:w="379" w:type="pct"/>
            <w:vAlign w:val="center"/>
          </w:tcPr>
          <w:p w14:paraId="0CB135EA">
            <w:pPr>
              <w:pStyle w:val="12"/>
              <w:jc w:val="center"/>
              <w:rPr>
                <w:rFonts w:ascii="宋体" w:hAnsi="宋体"/>
              </w:rPr>
            </w:pPr>
            <w:r>
              <w:rPr>
                <w:rFonts w:hint="eastAsia" w:ascii="宋体" w:hAnsi="宋体"/>
              </w:rPr>
              <w:t>灵潭</w:t>
            </w:r>
          </w:p>
        </w:tc>
        <w:tc>
          <w:tcPr>
            <w:tcW w:w="379" w:type="pct"/>
            <w:vAlign w:val="center"/>
          </w:tcPr>
          <w:p w14:paraId="23E65F69">
            <w:pPr>
              <w:pStyle w:val="12"/>
              <w:jc w:val="center"/>
              <w:rPr>
                <w:rFonts w:ascii="宋体" w:hAnsi="宋体"/>
              </w:rPr>
            </w:pPr>
            <w:r>
              <w:rPr>
                <w:rFonts w:hint="eastAsia" w:ascii="宋体" w:hAnsi="宋体"/>
              </w:rPr>
              <w:t>2</w:t>
            </w:r>
          </w:p>
        </w:tc>
        <w:tc>
          <w:tcPr>
            <w:tcW w:w="379" w:type="pct"/>
            <w:vAlign w:val="center"/>
          </w:tcPr>
          <w:p w14:paraId="4F7809A1">
            <w:pPr>
              <w:pStyle w:val="12"/>
              <w:jc w:val="center"/>
              <w:rPr>
                <w:rFonts w:ascii="宋体" w:hAnsi="宋体"/>
              </w:rPr>
            </w:pPr>
            <w:r>
              <w:rPr>
                <w:rFonts w:hint="eastAsia" w:ascii="宋体" w:hAnsi="宋体"/>
              </w:rPr>
              <w:t>茹惠</w:t>
            </w:r>
          </w:p>
        </w:tc>
        <w:tc>
          <w:tcPr>
            <w:tcW w:w="379" w:type="pct"/>
            <w:vAlign w:val="center"/>
          </w:tcPr>
          <w:p w14:paraId="50309E79">
            <w:pPr>
              <w:pStyle w:val="12"/>
              <w:jc w:val="center"/>
              <w:rPr>
                <w:rFonts w:ascii="宋体" w:hAnsi="宋体"/>
              </w:rPr>
            </w:pPr>
            <w:r>
              <w:rPr>
                <w:rFonts w:hint="eastAsia" w:ascii="宋体" w:hAnsi="宋体"/>
              </w:rPr>
              <w:t>1</w:t>
            </w:r>
          </w:p>
        </w:tc>
        <w:tc>
          <w:tcPr>
            <w:tcW w:w="379" w:type="pct"/>
            <w:vAlign w:val="center"/>
          </w:tcPr>
          <w:p w14:paraId="0E766F36">
            <w:pPr>
              <w:pStyle w:val="12"/>
              <w:jc w:val="center"/>
              <w:rPr>
                <w:rFonts w:ascii="宋体" w:hAnsi="宋体"/>
              </w:rPr>
            </w:pPr>
            <w:r>
              <w:rPr>
                <w:rFonts w:hint="eastAsia" w:ascii="宋体" w:hAnsi="宋体"/>
              </w:rPr>
              <w:t>5</w:t>
            </w:r>
          </w:p>
        </w:tc>
        <w:tc>
          <w:tcPr>
            <w:tcW w:w="379" w:type="pct"/>
            <w:vAlign w:val="center"/>
          </w:tcPr>
          <w:p w14:paraId="1679799D">
            <w:pPr>
              <w:pStyle w:val="12"/>
              <w:jc w:val="center"/>
              <w:rPr>
                <w:rFonts w:ascii="宋体" w:hAnsi="宋体"/>
              </w:rPr>
            </w:pPr>
            <w:r>
              <w:rPr>
                <w:rFonts w:hint="eastAsia" w:ascii="宋体" w:hAnsi="宋体"/>
              </w:rPr>
              <w:t>9</w:t>
            </w:r>
          </w:p>
        </w:tc>
      </w:tr>
      <w:tr w14:paraId="6C4B68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8" w:hRule="atLeast"/>
        </w:trPr>
        <w:tc>
          <w:tcPr>
            <w:tcW w:w="454" w:type="pct"/>
            <w:vAlign w:val="center"/>
          </w:tcPr>
          <w:p w14:paraId="0637CD1D">
            <w:pPr>
              <w:pStyle w:val="12"/>
              <w:jc w:val="center"/>
              <w:rPr>
                <w:rFonts w:ascii="宋体" w:hAnsi="宋体"/>
              </w:rPr>
            </w:pPr>
            <w:r>
              <w:rPr>
                <w:rFonts w:hint="eastAsia" w:ascii="宋体" w:hAnsi="宋体"/>
              </w:rPr>
              <w:t>通仙乡</w:t>
            </w:r>
          </w:p>
        </w:tc>
        <w:tc>
          <w:tcPr>
            <w:tcW w:w="379" w:type="pct"/>
            <w:vAlign w:val="center"/>
          </w:tcPr>
          <w:p w14:paraId="7E780BF1">
            <w:pPr>
              <w:pStyle w:val="12"/>
              <w:jc w:val="center"/>
              <w:rPr>
                <w:rFonts w:ascii="宋体" w:hAnsi="宋体"/>
              </w:rPr>
            </w:pPr>
            <w:r>
              <w:rPr>
                <w:rFonts w:hint="eastAsia" w:ascii="宋体" w:hAnsi="宋体"/>
              </w:rPr>
              <w:t>延福</w:t>
            </w:r>
          </w:p>
        </w:tc>
        <w:tc>
          <w:tcPr>
            <w:tcW w:w="379" w:type="pct"/>
            <w:vAlign w:val="center"/>
          </w:tcPr>
          <w:p w14:paraId="2BAC0EC6">
            <w:pPr>
              <w:pStyle w:val="12"/>
              <w:jc w:val="center"/>
              <w:rPr>
                <w:rFonts w:ascii="宋体" w:hAnsi="宋体"/>
              </w:rPr>
            </w:pPr>
            <w:r>
              <w:rPr>
                <w:rFonts w:hint="eastAsia" w:ascii="宋体" w:hAnsi="宋体"/>
              </w:rPr>
              <w:t>2</w:t>
            </w:r>
          </w:p>
        </w:tc>
        <w:tc>
          <w:tcPr>
            <w:tcW w:w="379" w:type="pct"/>
            <w:vAlign w:val="center"/>
          </w:tcPr>
          <w:p w14:paraId="22728491">
            <w:pPr>
              <w:pStyle w:val="12"/>
              <w:jc w:val="center"/>
              <w:rPr>
                <w:rFonts w:ascii="宋体" w:hAnsi="宋体"/>
              </w:rPr>
            </w:pPr>
            <w:r>
              <w:rPr>
                <w:rFonts w:hint="eastAsia" w:ascii="宋体" w:hAnsi="宋体"/>
              </w:rPr>
              <w:t>上朔</w:t>
            </w:r>
          </w:p>
        </w:tc>
        <w:tc>
          <w:tcPr>
            <w:tcW w:w="379" w:type="pct"/>
            <w:vAlign w:val="center"/>
          </w:tcPr>
          <w:p w14:paraId="5B343BBB">
            <w:pPr>
              <w:pStyle w:val="12"/>
              <w:jc w:val="center"/>
              <w:rPr>
                <w:rFonts w:ascii="宋体" w:hAnsi="宋体"/>
              </w:rPr>
            </w:pPr>
            <w:r>
              <w:rPr>
                <w:rFonts w:hint="eastAsia" w:ascii="宋体" w:hAnsi="宋体"/>
              </w:rPr>
              <w:t>2</w:t>
            </w:r>
          </w:p>
        </w:tc>
        <w:tc>
          <w:tcPr>
            <w:tcW w:w="379" w:type="pct"/>
            <w:vAlign w:val="center"/>
          </w:tcPr>
          <w:p w14:paraId="773230CA">
            <w:pPr>
              <w:pStyle w:val="12"/>
              <w:jc w:val="center"/>
              <w:rPr>
                <w:rFonts w:ascii="宋体" w:hAnsi="宋体"/>
              </w:rPr>
            </w:pPr>
            <w:r>
              <w:rPr>
                <w:rFonts w:hint="eastAsia" w:ascii="宋体" w:hAnsi="宋体"/>
              </w:rPr>
              <w:t>莲溪</w:t>
            </w:r>
          </w:p>
        </w:tc>
        <w:tc>
          <w:tcPr>
            <w:tcW w:w="379" w:type="pct"/>
            <w:vAlign w:val="center"/>
          </w:tcPr>
          <w:p w14:paraId="41BD0B40">
            <w:pPr>
              <w:pStyle w:val="12"/>
              <w:jc w:val="center"/>
              <w:rPr>
                <w:rFonts w:ascii="宋体" w:hAnsi="宋体"/>
              </w:rPr>
            </w:pPr>
            <w:r>
              <w:rPr>
                <w:rFonts w:hint="eastAsia" w:ascii="宋体" w:hAnsi="宋体"/>
              </w:rPr>
              <w:t>2</w:t>
            </w:r>
          </w:p>
        </w:tc>
        <w:tc>
          <w:tcPr>
            <w:tcW w:w="379" w:type="pct"/>
            <w:vAlign w:val="center"/>
          </w:tcPr>
          <w:p w14:paraId="1BE666B5">
            <w:pPr>
              <w:pStyle w:val="12"/>
              <w:jc w:val="center"/>
              <w:rPr>
                <w:rFonts w:ascii="宋体" w:hAnsi="宋体"/>
              </w:rPr>
            </w:pPr>
            <w:r>
              <w:rPr>
                <w:rFonts w:hint="eastAsia" w:ascii="宋体" w:hAnsi="宋体"/>
              </w:rPr>
              <w:t>崇仁</w:t>
            </w:r>
          </w:p>
        </w:tc>
        <w:tc>
          <w:tcPr>
            <w:tcW w:w="379" w:type="pct"/>
            <w:vAlign w:val="center"/>
          </w:tcPr>
          <w:p w14:paraId="1F562B3E">
            <w:pPr>
              <w:pStyle w:val="12"/>
              <w:jc w:val="center"/>
              <w:rPr>
                <w:rFonts w:ascii="宋体" w:hAnsi="宋体"/>
              </w:rPr>
            </w:pPr>
            <w:r>
              <w:rPr>
                <w:rFonts w:hint="eastAsia" w:ascii="宋体" w:hAnsi="宋体"/>
              </w:rPr>
              <w:t>1</w:t>
            </w:r>
          </w:p>
        </w:tc>
        <w:tc>
          <w:tcPr>
            <w:tcW w:w="379" w:type="pct"/>
            <w:vAlign w:val="center"/>
          </w:tcPr>
          <w:p w14:paraId="14E7E715">
            <w:pPr>
              <w:pStyle w:val="12"/>
              <w:jc w:val="center"/>
              <w:rPr>
                <w:rFonts w:ascii="宋体" w:hAnsi="宋体"/>
              </w:rPr>
            </w:pPr>
            <w:r>
              <w:rPr>
                <w:rFonts w:hint="eastAsia" w:ascii="宋体" w:hAnsi="宋体"/>
              </w:rPr>
              <w:t>—</w:t>
            </w:r>
          </w:p>
        </w:tc>
        <w:tc>
          <w:tcPr>
            <w:tcW w:w="379" w:type="pct"/>
            <w:vAlign w:val="center"/>
          </w:tcPr>
          <w:p w14:paraId="682D1956">
            <w:pPr>
              <w:pStyle w:val="12"/>
              <w:jc w:val="center"/>
              <w:rPr>
                <w:rFonts w:ascii="宋体" w:hAnsi="宋体"/>
              </w:rPr>
            </w:pPr>
            <w:r>
              <w:rPr>
                <w:rFonts w:hint="eastAsia" w:ascii="宋体" w:hAnsi="宋体"/>
              </w:rPr>
              <w:t>—</w:t>
            </w:r>
          </w:p>
        </w:tc>
        <w:tc>
          <w:tcPr>
            <w:tcW w:w="379" w:type="pct"/>
            <w:vAlign w:val="center"/>
          </w:tcPr>
          <w:p w14:paraId="25D1AF22">
            <w:pPr>
              <w:pStyle w:val="12"/>
              <w:jc w:val="center"/>
              <w:rPr>
                <w:rFonts w:ascii="宋体" w:hAnsi="宋体"/>
              </w:rPr>
            </w:pPr>
            <w:r>
              <w:rPr>
                <w:rFonts w:hint="eastAsia" w:ascii="宋体" w:hAnsi="宋体"/>
              </w:rPr>
              <w:t>4</w:t>
            </w:r>
          </w:p>
        </w:tc>
        <w:tc>
          <w:tcPr>
            <w:tcW w:w="379" w:type="pct"/>
            <w:vAlign w:val="center"/>
          </w:tcPr>
          <w:p w14:paraId="593336B1">
            <w:pPr>
              <w:pStyle w:val="12"/>
              <w:jc w:val="center"/>
              <w:rPr>
                <w:rFonts w:ascii="宋体" w:hAnsi="宋体"/>
              </w:rPr>
            </w:pPr>
            <w:r>
              <w:rPr>
                <w:rFonts w:hint="eastAsia" w:ascii="宋体" w:hAnsi="宋体"/>
              </w:rPr>
              <w:t>7</w:t>
            </w:r>
          </w:p>
        </w:tc>
      </w:tr>
      <w:tr w14:paraId="44A5D80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8" w:hRule="atLeast"/>
        </w:trPr>
        <w:tc>
          <w:tcPr>
            <w:tcW w:w="454" w:type="pct"/>
            <w:vAlign w:val="center"/>
          </w:tcPr>
          <w:p w14:paraId="05EABD58">
            <w:pPr>
              <w:pStyle w:val="12"/>
              <w:jc w:val="center"/>
              <w:rPr>
                <w:rFonts w:ascii="宋体" w:hAnsi="宋体"/>
              </w:rPr>
            </w:pPr>
            <w:r>
              <w:rPr>
                <w:rFonts w:hint="eastAsia" w:ascii="宋体" w:hAnsi="宋体"/>
              </w:rPr>
              <w:t>惠杨乡</w:t>
            </w:r>
          </w:p>
        </w:tc>
        <w:tc>
          <w:tcPr>
            <w:tcW w:w="379" w:type="pct"/>
            <w:vAlign w:val="center"/>
          </w:tcPr>
          <w:p w14:paraId="57AD8991">
            <w:pPr>
              <w:pStyle w:val="12"/>
              <w:jc w:val="center"/>
              <w:rPr>
                <w:rFonts w:ascii="宋体" w:hAnsi="宋体"/>
              </w:rPr>
            </w:pPr>
            <w:r>
              <w:rPr>
                <w:rFonts w:hint="eastAsia" w:ascii="宋体" w:hAnsi="宋体"/>
              </w:rPr>
              <w:t>平田</w:t>
            </w:r>
          </w:p>
        </w:tc>
        <w:tc>
          <w:tcPr>
            <w:tcW w:w="379" w:type="pct"/>
            <w:vAlign w:val="center"/>
          </w:tcPr>
          <w:p w14:paraId="3CDD2E77">
            <w:pPr>
              <w:pStyle w:val="12"/>
              <w:jc w:val="center"/>
              <w:rPr>
                <w:rFonts w:ascii="宋体" w:hAnsi="宋体"/>
              </w:rPr>
            </w:pPr>
            <w:r>
              <w:rPr>
                <w:rFonts w:hint="eastAsia" w:ascii="宋体" w:hAnsi="宋体"/>
              </w:rPr>
              <w:t>1</w:t>
            </w:r>
          </w:p>
        </w:tc>
        <w:tc>
          <w:tcPr>
            <w:tcW w:w="379" w:type="pct"/>
            <w:vAlign w:val="center"/>
          </w:tcPr>
          <w:p w14:paraId="4998EAC3">
            <w:pPr>
              <w:pStyle w:val="12"/>
              <w:jc w:val="center"/>
              <w:rPr>
                <w:rFonts w:ascii="宋体" w:hAnsi="宋体"/>
              </w:rPr>
            </w:pPr>
            <w:r>
              <w:rPr>
                <w:rFonts w:hint="eastAsia" w:ascii="宋体" w:hAnsi="宋体"/>
              </w:rPr>
              <w:t>官田</w:t>
            </w:r>
          </w:p>
        </w:tc>
        <w:tc>
          <w:tcPr>
            <w:tcW w:w="379" w:type="pct"/>
            <w:vAlign w:val="center"/>
          </w:tcPr>
          <w:p w14:paraId="5AB35D15">
            <w:pPr>
              <w:pStyle w:val="12"/>
              <w:jc w:val="center"/>
              <w:rPr>
                <w:rFonts w:ascii="宋体" w:hAnsi="宋体"/>
              </w:rPr>
            </w:pPr>
            <w:r>
              <w:rPr>
                <w:rFonts w:hint="eastAsia" w:ascii="宋体" w:hAnsi="宋体"/>
              </w:rPr>
              <w:t>1</w:t>
            </w:r>
          </w:p>
        </w:tc>
        <w:tc>
          <w:tcPr>
            <w:tcW w:w="379" w:type="pct"/>
            <w:vAlign w:val="center"/>
          </w:tcPr>
          <w:p w14:paraId="7C53C1AD">
            <w:pPr>
              <w:pStyle w:val="12"/>
              <w:jc w:val="center"/>
              <w:rPr>
                <w:rFonts w:ascii="宋体" w:hAnsi="宋体"/>
              </w:rPr>
            </w:pPr>
            <w:r>
              <w:rPr>
                <w:rFonts w:hint="eastAsia" w:ascii="宋体" w:hAnsi="宋体"/>
              </w:rPr>
              <w:t>乌源</w:t>
            </w:r>
          </w:p>
        </w:tc>
        <w:tc>
          <w:tcPr>
            <w:tcW w:w="379" w:type="pct"/>
            <w:vAlign w:val="center"/>
          </w:tcPr>
          <w:p w14:paraId="456B2305">
            <w:pPr>
              <w:pStyle w:val="12"/>
              <w:jc w:val="center"/>
              <w:rPr>
                <w:rFonts w:ascii="宋体" w:hAnsi="宋体"/>
              </w:rPr>
            </w:pPr>
            <w:r>
              <w:rPr>
                <w:rFonts w:hint="eastAsia" w:ascii="宋体" w:hAnsi="宋体"/>
              </w:rPr>
              <w:t>1</w:t>
            </w:r>
          </w:p>
        </w:tc>
        <w:tc>
          <w:tcPr>
            <w:tcW w:w="379" w:type="pct"/>
            <w:vAlign w:val="center"/>
          </w:tcPr>
          <w:p w14:paraId="23807F92">
            <w:pPr>
              <w:pStyle w:val="12"/>
              <w:jc w:val="center"/>
              <w:rPr>
                <w:rFonts w:ascii="宋体" w:hAnsi="宋体"/>
              </w:rPr>
            </w:pPr>
            <w:r>
              <w:rPr>
                <w:rFonts w:hint="eastAsia" w:ascii="宋体" w:hAnsi="宋体"/>
              </w:rPr>
              <w:t>—</w:t>
            </w:r>
          </w:p>
        </w:tc>
        <w:tc>
          <w:tcPr>
            <w:tcW w:w="379" w:type="pct"/>
            <w:vAlign w:val="center"/>
          </w:tcPr>
          <w:p w14:paraId="477D26D1">
            <w:pPr>
              <w:pStyle w:val="12"/>
              <w:jc w:val="center"/>
              <w:rPr>
                <w:rFonts w:ascii="宋体" w:hAnsi="宋体"/>
              </w:rPr>
            </w:pPr>
            <w:r>
              <w:rPr>
                <w:rFonts w:hint="eastAsia" w:ascii="宋体" w:hAnsi="宋体"/>
              </w:rPr>
              <w:t>—</w:t>
            </w:r>
          </w:p>
        </w:tc>
        <w:tc>
          <w:tcPr>
            <w:tcW w:w="379" w:type="pct"/>
            <w:vAlign w:val="center"/>
          </w:tcPr>
          <w:p w14:paraId="74316FAE">
            <w:pPr>
              <w:pStyle w:val="12"/>
              <w:jc w:val="center"/>
              <w:rPr>
                <w:rFonts w:ascii="宋体" w:hAnsi="宋体"/>
              </w:rPr>
            </w:pPr>
            <w:r>
              <w:rPr>
                <w:rFonts w:hint="eastAsia" w:ascii="宋体" w:hAnsi="宋体"/>
              </w:rPr>
              <w:t>—</w:t>
            </w:r>
          </w:p>
        </w:tc>
        <w:tc>
          <w:tcPr>
            <w:tcW w:w="379" w:type="pct"/>
            <w:vAlign w:val="center"/>
          </w:tcPr>
          <w:p w14:paraId="4ACAD8CD">
            <w:pPr>
              <w:pStyle w:val="12"/>
              <w:jc w:val="center"/>
              <w:rPr>
                <w:rFonts w:ascii="宋体" w:hAnsi="宋体"/>
              </w:rPr>
            </w:pPr>
            <w:r>
              <w:rPr>
                <w:rFonts w:hint="eastAsia" w:ascii="宋体" w:hAnsi="宋体"/>
              </w:rPr>
              <w:t>—</w:t>
            </w:r>
          </w:p>
        </w:tc>
        <w:tc>
          <w:tcPr>
            <w:tcW w:w="379" w:type="pct"/>
            <w:vAlign w:val="center"/>
          </w:tcPr>
          <w:p w14:paraId="5AF56CCE">
            <w:pPr>
              <w:pStyle w:val="12"/>
              <w:jc w:val="center"/>
              <w:rPr>
                <w:rFonts w:ascii="宋体" w:hAnsi="宋体"/>
              </w:rPr>
            </w:pPr>
            <w:r>
              <w:rPr>
                <w:rFonts w:hint="eastAsia" w:ascii="宋体" w:hAnsi="宋体"/>
              </w:rPr>
              <w:t>3</w:t>
            </w:r>
          </w:p>
        </w:tc>
        <w:tc>
          <w:tcPr>
            <w:tcW w:w="379" w:type="pct"/>
            <w:vAlign w:val="center"/>
          </w:tcPr>
          <w:p w14:paraId="38D44F61">
            <w:pPr>
              <w:pStyle w:val="12"/>
              <w:jc w:val="center"/>
              <w:rPr>
                <w:rFonts w:ascii="宋体" w:hAnsi="宋体"/>
              </w:rPr>
            </w:pPr>
            <w:r>
              <w:rPr>
                <w:rFonts w:hint="eastAsia" w:ascii="宋体" w:hAnsi="宋体"/>
              </w:rPr>
              <w:t>3</w:t>
            </w:r>
          </w:p>
        </w:tc>
      </w:tr>
      <w:tr w14:paraId="37305A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454" w:type="pct"/>
            <w:vAlign w:val="center"/>
          </w:tcPr>
          <w:p w14:paraId="0AD77A68">
            <w:pPr>
              <w:pStyle w:val="12"/>
              <w:jc w:val="center"/>
              <w:rPr>
                <w:rFonts w:ascii="宋体" w:hAnsi="宋体"/>
              </w:rPr>
            </w:pPr>
            <w:r>
              <w:rPr>
                <w:rFonts w:hint="eastAsia" w:ascii="宋体" w:hAnsi="宋体"/>
              </w:rPr>
              <w:t>合  计</w:t>
            </w:r>
          </w:p>
        </w:tc>
        <w:tc>
          <w:tcPr>
            <w:tcW w:w="379" w:type="pct"/>
            <w:vAlign w:val="center"/>
          </w:tcPr>
          <w:p w14:paraId="4BD7DE73">
            <w:pPr>
              <w:pStyle w:val="12"/>
              <w:jc w:val="center"/>
              <w:rPr>
                <w:rFonts w:ascii="宋体" w:hAnsi="宋体"/>
              </w:rPr>
            </w:pPr>
            <w:r>
              <w:rPr>
                <w:rFonts w:hint="eastAsia" w:ascii="宋体" w:hAnsi="宋体"/>
              </w:rPr>
              <w:t>—</w:t>
            </w:r>
          </w:p>
        </w:tc>
        <w:tc>
          <w:tcPr>
            <w:tcW w:w="379" w:type="pct"/>
            <w:vAlign w:val="center"/>
          </w:tcPr>
          <w:p w14:paraId="0F0D8943">
            <w:pPr>
              <w:pStyle w:val="12"/>
              <w:jc w:val="center"/>
              <w:rPr>
                <w:rFonts w:ascii="宋体" w:hAnsi="宋体"/>
              </w:rPr>
            </w:pPr>
            <w:r>
              <w:rPr>
                <w:rFonts w:hint="eastAsia" w:ascii="宋体" w:hAnsi="宋体"/>
              </w:rPr>
              <w:t>—</w:t>
            </w:r>
          </w:p>
        </w:tc>
        <w:tc>
          <w:tcPr>
            <w:tcW w:w="379" w:type="pct"/>
            <w:vAlign w:val="center"/>
          </w:tcPr>
          <w:p w14:paraId="0D825551">
            <w:pPr>
              <w:pStyle w:val="12"/>
              <w:jc w:val="center"/>
              <w:rPr>
                <w:rFonts w:ascii="宋体" w:hAnsi="宋体"/>
              </w:rPr>
            </w:pPr>
            <w:r>
              <w:rPr>
                <w:rFonts w:hint="eastAsia" w:ascii="宋体" w:hAnsi="宋体"/>
              </w:rPr>
              <w:t>—</w:t>
            </w:r>
          </w:p>
        </w:tc>
        <w:tc>
          <w:tcPr>
            <w:tcW w:w="379" w:type="pct"/>
            <w:vAlign w:val="center"/>
          </w:tcPr>
          <w:p w14:paraId="4D04B386">
            <w:pPr>
              <w:pStyle w:val="12"/>
              <w:jc w:val="center"/>
              <w:rPr>
                <w:rFonts w:ascii="宋体" w:hAnsi="宋体"/>
              </w:rPr>
            </w:pPr>
            <w:r>
              <w:rPr>
                <w:rFonts w:hint="eastAsia" w:ascii="宋体" w:hAnsi="宋体"/>
              </w:rPr>
              <w:t>—</w:t>
            </w:r>
          </w:p>
        </w:tc>
        <w:tc>
          <w:tcPr>
            <w:tcW w:w="379" w:type="pct"/>
            <w:vAlign w:val="center"/>
          </w:tcPr>
          <w:p w14:paraId="6F9EBF3C">
            <w:pPr>
              <w:pStyle w:val="12"/>
              <w:jc w:val="center"/>
              <w:rPr>
                <w:rFonts w:ascii="宋体" w:hAnsi="宋体"/>
              </w:rPr>
            </w:pPr>
            <w:r>
              <w:rPr>
                <w:rFonts w:hint="eastAsia" w:ascii="宋体" w:hAnsi="宋体"/>
              </w:rPr>
              <w:t>—</w:t>
            </w:r>
          </w:p>
        </w:tc>
        <w:tc>
          <w:tcPr>
            <w:tcW w:w="379" w:type="pct"/>
            <w:vAlign w:val="center"/>
          </w:tcPr>
          <w:p w14:paraId="00F6D085">
            <w:pPr>
              <w:pStyle w:val="12"/>
              <w:jc w:val="center"/>
              <w:rPr>
                <w:rFonts w:ascii="宋体" w:hAnsi="宋体"/>
              </w:rPr>
            </w:pPr>
            <w:r>
              <w:rPr>
                <w:rFonts w:hint="eastAsia" w:ascii="宋体" w:hAnsi="宋体"/>
              </w:rPr>
              <w:t>—</w:t>
            </w:r>
          </w:p>
        </w:tc>
        <w:tc>
          <w:tcPr>
            <w:tcW w:w="379" w:type="pct"/>
            <w:vAlign w:val="center"/>
          </w:tcPr>
          <w:p w14:paraId="00E26A35">
            <w:pPr>
              <w:pStyle w:val="12"/>
              <w:jc w:val="center"/>
              <w:rPr>
                <w:rFonts w:ascii="宋体" w:hAnsi="宋体"/>
              </w:rPr>
            </w:pPr>
            <w:r>
              <w:rPr>
                <w:rFonts w:hint="eastAsia" w:ascii="宋体" w:hAnsi="宋体"/>
              </w:rPr>
              <w:t>—</w:t>
            </w:r>
          </w:p>
        </w:tc>
        <w:tc>
          <w:tcPr>
            <w:tcW w:w="379" w:type="pct"/>
            <w:vAlign w:val="center"/>
          </w:tcPr>
          <w:p w14:paraId="7DE46D15">
            <w:pPr>
              <w:pStyle w:val="12"/>
              <w:jc w:val="center"/>
              <w:rPr>
                <w:rFonts w:ascii="宋体" w:hAnsi="宋体"/>
              </w:rPr>
            </w:pPr>
            <w:r>
              <w:rPr>
                <w:rFonts w:hint="eastAsia" w:ascii="宋体" w:hAnsi="宋体"/>
              </w:rPr>
              <w:t>—</w:t>
            </w:r>
          </w:p>
        </w:tc>
        <w:tc>
          <w:tcPr>
            <w:tcW w:w="379" w:type="pct"/>
            <w:vAlign w:val="center"/>
          </w:tcPr>
          <w:p w14:paraId="4E14D337">
            <w:pPr>
              <w:pStyle w:val="12"/>
              <w:jc w:val="center"/>
              <w:rPr>
                <w:rFonts w:ascii="宋体" w:hAnsi="宋体"/>
              </w:rPr>
            </w:pPr>
            <w:r>
              <w:rPr>
                <w:rFonts w:hint="eastAsia" w:ascii="宋体" w:hAnsi="宋体"/>
              </w:rPr>
              <w:t>—</w:t>
            </w:r>
          </w:p>
        </w:tc>
        <w:tc>
          <w:tcPr>
            <w:tcW w:w="379" w:type="pct"/>
            <w:vAlign w:val="center"/>
          </w:tcPr>
          <w:p w14:paraId="2A535F43">
            <w:pPr>
              <w:pStyle w:val="12"/>
              <w:jc w:val="center"/>
              <w:rPr>
                <w:rFonts w:ascii="宋体" w:hAnsi="宋体"/>
              </w:rPr>
            </w:pPr>
            <w:r>
              <w:rPr>
                <w:rFonts w:hint="eastAsia" w:ascii="宋体" w:hAnsi="宋体"/>
              </w:rPr>
              <w:t>—</w:t>
            </w:r>
          </w:p>
        </w:tc>
        <w:tc>
          <w:tcPr>
            <w:tcW w:w="379" w:type="pct"/>
            <w:vAlign w:val="center"/>
          </w:tcPr>
          <w:p w14:paraId="1DC20EED">
            <w:pPr>
              <w:pStyle w:val="12"/>
              <w:jc w:val="center"/>
              <w:rPr>
                <w:rFonts w:ascii="宋体" w:hAnsi="宋体"/>
              </w:rPr>
            </w:pPr>
            <w:r>
              <w:rPr>
                <w:rFonts w:hint="eastAsia" w:ascii="宋体" w:hAnsi="宋体"/>
              </w:rPr>
              <w:t>26</w:t>
            </w:r>
          </w:p>
        </w:tc>
        <w:tc>
          <w:tcPr>
            <w:tcW w:w="379" w:type="pct"/>
            <w:vAlign w:val="center"/>
          </w:tcPr>
          <w:p w14:paraId="08494E55">
            <w:pPr>
              <w:pStyle w:val="12"/>
              <w:jc w:val="center"/>
              <w:rPr>
                <w:rFonts w:ascii="宋体" w:hAnsi="宋体"/>
              </w:rPr>
            </w:pPr>
            <w:r>
              <w:rPr>
                <w:rFonts w:hint="eastAsia" w:ascii="宋体" w:hAnsi="宋体"/>
              </w:rPr>
              <w:t>44</w:t>
            </w:r>
          </w:p>
        </w:tc>
      </w:tr>
    </w:tbl>
    <w:p w14:paraId="38A4B847">
      <w:pPr>
        <w:pStyle w:val="5"/>
        <w:rPr>
          <w:rFonts w:ascii="宋体" w:hAnsi="宋体"/>
        </w:rPr>
      </w:pPr>
      <w:r>
        <w:rPr>
          <w:rFonts w:hint="eastAsia" w:ascii="宋体" w:hAnsi="宋体"/>
        </w:rPr>
        <w:t>二、清代行政区划</w:t>
      </w:r>
    </w:p>
    <w:p w14:paraId="3BE25C19">
      <w:pPr>
        <w:ind w:firstLine="420"/>
        <w:rPr>
          <w:rFonts w:ascii="宋体" w:hAnsi="宋体"/>
          <w:szCs w:val="21"/>
        </w:rPr>
      </w:pPr>
      <w:r>
        <w:rPr>
          <w:rFonts w:hint="eastAsia" w:ascii="宋体" w:hAnsi="宋体"/>
          <w:szCs w:val="21"/>
        </w:rPr>
        <w:t>清康熙前行政区划沿明代，康熙二十年（</w:t>
      </w:r>
      <w:r>
        <w:rPr>
          <w:rFonts w:ascii="宋体" w:hAnsi="宋体"/>
          <w:szCs w:val="21"/>
        </w:rPr>
        <w:t>1681年）悉改</w:t>
      </w:r>
      <w:r>
        <w:rPr>
          <w:rFonts w:hint="eastAsia" w:ascii="宋体" w:hAnsi="宋体"/>
          <w:szCs w:val="21"/>
        </w:rPr>
        <w:t>啚</w:t>
      </w:r>
      <w:r>
        <w:rPr>
          <w:rFonts w:ascii="宋体" w:hAnsi="宋体"/>
          <w:szCs w:val="21"/>
        </w:rPr>
        <w:t>为都</w:t>
      </w:r>
      <w:r>
        <w:rPr>
          <w:rFonts w:hint="eastAsia" w:ascii="宋体" w:hAnsi="宋体"/>
          <w:szCs w:val="21"/>
        </w:rPr>
        <w:t>。</w:t>
      </w:r>
    </w:p>
    <w:p w14:paraId="2D64B278">
      <w:pPr>
        <w:ind w:firstLine="420"/>
        <w:rPr>
          <w:rFonts w:ascii="宋体" w:hAnsi="宋体"/>
          <w:szCs w:val="21"/>
        </w:rPr>
      </w:pPr>
      <w:r>
        <w:rPr>
          <w:rFonts w:hint="eastAsia" w:ascii="宋体" w:hAnsi="宋体"/>
          <w:szCs w:val="21"/>
        </w:rPr>
        <w:t>乾隆二年（</w:t>
      </w:r>
      <w:r>
        <w:rPr>
          <w:rFonts w:ascii="宋体" w:hAnsi="宋体"/>
          <w:szCs w:val="21"/>
        </w:rPr>
        <w:t>1737年），奉吏部文，厘定捕巡各官所属地方为5个乡，44个都，</w:t>
      </w:r>
      <w:r>
        <w:rPr>
          <w:rFonts w:hint="eastAsia" w:ascii="宋体" w:hAnsi="宋体"/>
          <w:szCs w:val="21"/>
        </w:rPr>
        <w:t>每都分</w:t>
      </w:r>
      <w:r>
        <w:rPr>
          <w:rFonts w:ascii="宋体" w:hAnsi="宋体"/>
          <w:szCs w:val="21"/>
        </w:rPr>
        <w:t>10甲。计：</w:t>
      </w:r>
    </w:p>
    <w:p w14:paraId="583B4DBC">
      <w:pPr>
        <w:ind w:firstLine="420"/>
        <w:rPr>
          <w:rFonts w:ascii="宋体" w:hAnsi="宋体"/>
          <w:szCs w:val="21"/>
        </w:rPr>
      </w:pPr>
      <w:r>
        <w:rPr>
          <w:rFonts w:hint="eastAsia" w:ascii="宋体" w:hAnsi="宋体"/>
          <w:szCs w:val="21"/>
        </w:rPr>
        <w:t>城厢属都</w:t>
      </w:r>
      <w:r>
        <w:rPr>
          <w:rFonts w:ascii="宋体" w:hAnsi="宋体"/>
          <w:szCs w:val="21"/>
        </w:rPr>
        <w:t>6个：东厢、北厢、东隅、南隅、西隅、北隅</w:t>
      </w:r>
      <w:r>
        <w:rPr>
          <w:rFonts w:hint="eastAsia" w:ascii="宋体" w:hAnsi="宋体"/>
          <w:szCs w:val="21"/>
        </w:rPr>
        <w:t>。</w:t>
      </w:r>
    </w:p>
    <w:p w14:paraId="77C2D3E9">
      <w:pPr>
        <w:ind w:firstLine="420"/>
        <w:rPr>
          <w:rFonts w:ascii="宋体" w:hAnsi="宋体"/>
          <w:szCs w:val="21"/>
        </w:rPr>
      </w:pPr>
      <w:r>
        <w:rPr>
          <w:rFonts w:hint="eastAsia" w:ascii="宋体" w:hAnsi="宋体"/>
          <w:szCs w:val="21"/>
        </w:rPr>
        <w:t>九成乡（旧名闻韶）属都</w:t>
      </w:r>
      <w:r>
        <w:rPr>
          <w:rFonts w:ascii="宋体" w:hAnsi="宋体"/>
          <w:szCs w:val="21"/>
        </w:rPr>
        <w:t>9个：正上二都、正上三都、正上四都、（旧政教都分4</w:t>
      </w:r>
      <w:r>
        <w:rPr>
          <w:rFonts w:hint="eastAsia" w:ascii="宋体" w:hAnsi="宋体"/>
          <w:szCs w:val="21"/>
        </w:rPr>
        <w:t>啚</w:t>
      </w:r>
      <w:r>
        <w:rPr>
          <w:rFonts w:ascii="宋体" w:hAnsi="宋体"/>
          <w:szCs w:val="21"/>
        </w:rPr>
        <w:t>，后改为西隅、正上二、正上三、正上四4个都）、正化一都、正化二都、正化</w:t>
      </w:r>
      <w:r>
        <w:rPr>
          <w:rFonts w:hint="eastAsia" w:ascii="宋体" w:hAnsi="宋体"/>
          <w:szCs w:val="21"/>
        </w:rPr>
        <w:t>三都（旧政化都分</w:t>
      </w:r>
      <w:r>
        <w:rPr>
          <w:rFonts w:ascii="宋体" w:hAnsi="宋体"/>
          <w:szCs w:val="21"/>
        </w:rPr>
        <w:t>3</w:t>
      </w:r>
      <w:r>
        <w:rPr>
          <w:rFonts w:hint="eastAsia" w:ascii="宋体" w:hAnsi="宋体"/>
          <w:szCs w:val="21"/>
        </w:rPr>
        <w:t>啚</w:t>
      </w:r>
      <w:r>
        <w:rPr>
          <w:rFonts w:ascii="宋体" w:hAnsi="宋体"/>
          <w:szCs w:val="21"/>
        </w:rPr>
        <w:t>后改为3都）、百顺都（旧名百上、百下）、凌源都、闻韶都。</w:t>
      </w:r>
    </w:p>
    <w:p w14:paraId="6ED2B337">
      <w:pPr>
        <w:ind w:firstLine="420"/>
        <w:rPr>
          <w:rFonts w:ascii="宋体" w:hAnsi="宋体"/>
          <w:szCs w:val="21"/>
        </w:rPr>
      </w:pPr>
      <w:r>
        <w:rPr>
          <w:rFonts w:hint="eastAsia" w:ascii="宋体" w:hAnsi="宋体"/>
          <w:szCs w:val="21"/>
        </w:rPr>
        <w:t>知劝乡属都</w:t>
      </w:r>
      <w:r>
        <w:rPr>
          <w:rFonts w:ascii="宋体" w:hAnsi="宋体"/>
          <w:szCs w:val="21"/>
        </w:rPr>
        <w:t>10个：修仁一都、修仁二都、修仁三都（旧修仁都分3</w:t>
      </w:r>
      <w:r>
        <w:rPr>
          <w:rFonts w:hint="eastAsia" w:ascii="宋体" w:hAnsi="宋体"/>
          <w:szCs w:val="21"/>
        </w:rPr>
        <w:t>啚</w:t>
      </w:r>
      <w:r>
        <w:rPr>
          <w:rFonts w:ascii="宋体" w:hAnsi="宋体"/>
          <w:szCs w:val="21"/>
        </w:rPr>
        <w:t>，后改为3都）、上北一都、上北二都、上北三都（旧迎春都分3</w:t>
      </w:r>
      <w:r>
        <w:rPr>
          <w:rFonts w:hint="eastAsia" w:ascii="宋体" w:hAnsi="宋体"/>
          <w:szCs w:val="21"/>
        </w:rPr>
        <w:t>啚</w:t>
      </w:r>
      <w:r>
        <w:rPr>
          <w:rFonts w:ascii="宋体" w:hAnsi="宋体"/>
          <w:szCs w:val="21"/>
        </w:rPr>
        <w:t>，后改为3都）、周南</w:t>
      </w:r>
      <w:r>
        <w:rPr>
          <w:rFonts w:hint="eastAsia" w:ascii="宋体" w:hAnsi="宋体"/>
          <w:szCs w:val="21"/>
        </w:rPr>
        <w:t>一都、周南二都、周南四都（旧周南都分</w:t>
      </w:r>
      <w:r>
        <w:rPr>
          <w:rFonts w:ascii="宋体" w:hAnsi="宋体"/>
          <w:szCs w:val="21"/>
        </w:rPr>
        <w:t>3</w:t>
      </w:r>
      <w:r>
        <w:rPr>
          <w:rFonts w:hint="eastAsia" w:ascii="宋体" w:hAnsi="宋体"/>
          <w:szCs w:val="21"/>
        </w:rPr>
        <w:t>啚</w:t>
      </w:r>
      <w:r>
        <w:rPr>
          <w:rFonts w:ascii="宋体" w:hAnsi="宋体"/>
          <w:szCs w:val="21"/>
        </w:rPr>
        <w:t>，后改为3都）、石前都。</w:t>
      </w:r>
    </w:p>
    <w:p w14:paraId="4458CC6F">
      <w:pPr>
        <w:ind w:firstLine="420"/>
        <w:rPr>
          <w:rFonts w:ascii="宋体" w:hAnsi="宋体"/>
          <w:szCs w:val="21"/>
        </w:rPr>
      </w:pPr>
      <w:r>
        <w:rPr>
          <w:rFonts w:hint="eastAsia" w:ascii="宋体" w:hAnsi="宋体"/>
          <w:szCs w:val="21"/>
        </w:rPr>
        <w:t>望梅乡属都</w:t>
      </w:r>
      <w:r>
        <w:rPr>
          <w:rFonts w:ascii="宋体" w:hAnsi="宋体"/>
          <w:szCs w:val="21"/>
        </w:rPr>
        <w:t>9个：杨律一都、杨律二都（旧杨律都分2</w:t>
      </w:r>
      <w:r>
        <w:rPr>
          <w:rFonts w:hint="eastAsia" w:ascii="宋体" w:hAnsi="宋体"/>
          <w:szCs w:val="21"/>
        </w:rPr>
        <w:t>啚</w:t>
      </w:r>
      <w:r>
        <w:rPr>
          <w:rFonts w:ascii="宋体" w:hAnsi="宋体"/>
          <w:szCs w:val="21"/>
        </w:rPr>
        <w:t>，后改为2都）、归仁</w:t>
      </w:r>
      <w:r>
        <w:rPr>
          <w:rFonts w:hint="eastAsia" w:ascii="宋体" w:hAnsi="宋体"/>
          <w:szCs w:val="21"/>
        </w:rPr>
        <w:t>一都、归仁二都（旧归仁都分</w:t>
      </w:r>
      <w:r>
        <w:rPr>
          <w:rFonts w:ascii="宋体" w:hAnsi="宋体"/>
          <w:szCs w:val="21"/>
        </w:rPr>
        <w:t>2</w:t>
      </w:r>
      <w:r>
        <w:rPr>
          <w:rFonts w:hint="eastAsia" w:ascii="宋体" w:hAnsi="宋体"/>
          <w:szCs w:val="21"/>
        </w:rPr>
        <w:t>啚</w:t>
      </w:r>
      <w:r>
        <w:rPr>
          <w:rFonts w:ascii="宋体" w:hAnsi="宋体"/>
          <w:szCs w:val="21"/>
        </w:rPr>
        <w:t>，后改为2都）、长甫一都、长甫二都（旧长甫都</w:t>
      </w:r>
      <w:r>
        <w:rPr>
          <w:rFonts w:hint="eastAsia" w:ascii="宋体" w:hAnsi="宋体"/>
          <w:szCs w:val="21"/>
        </w:rPr>
        <w:t>分</w:t>
      </w:r>
      <w:r>
        <w:rPr>
          <w:rFonts w:ascii="宋体" w:hAnsi="宋体"/>
          <w:szCs w:val="21"/>
        </w:rPr>
        <w:t>2</w:t>
      </w:r>
      <w:r>
        <w:rPr>
          <w:rFonts w:hint="eastAsia" w:ascii="宋体" w:hAnsi="宋体"/>
          <w:szCs w:val="21"/>
        </w:rPr>
        <w:t>啚</w:t>
      </w:r>
      <w:r>
        <w:rPr>
          <w:rFonts w:ascii="宋体" w:hAnsi="宋体"/>
          <w:szCs w:val="21"/>
        </w:rPr>
        <w:t>，后改为2都）、灵潭一都、灵潭二都（旧灵潭都分2</w:t>
      </w:r>
      <w:r>
        <w:rPr>
          <w:rFonts w:hint="eastAsia" w:ascii="宋体" w:hAnsi="宋体"/>
          <w:szCs w:val="21"/>
        </w:rPr>
        <w:t>啚</w:t>
      </w:r>
      <w:r>
        <w:rPr>
          <w:rFonts w:ascii="宋体" w:hAnsi="宋体"/>
          <w:szCs w:val="21"/>
        </w:rPr>
        <w:t>，后改为2都）、茹惠</w:t>
      </w:r>
      <w:r>
        <w:rPr>
          <w:rFonts w:hint="eastAsia" w:ascii="宋体" w:hAnsi="宋体"/>
          <w:szCs w:val="21"/>
        </w:rPr>
        <w:t>都。</w:t>
      </w:r>
    </w:p>
    <w:p w14:paraId="25DFB852">
      <w:pPr>
        <w:ind w:firstLine="420"/>
        <w:rPr>
          <w:rFonts w:ascii="宋体" w:hAnsi="宋体"/>
          <w:szCs w:val="21"/>
        </w:rPr>
      </w:pPr>
      <w:r>
        <w:rPr>
          <w:rFonts w:hint="eastAsia" w:ascii="宋体" w:hAnsi="宋体"/>
          <w:szCs w:val="21"/>
        </w:rPr>
        <w:t>通仙乡都</w:t>
      </w:r>
      <w:r>
        <w:rPr>
          <w:rFonts w:ascii="宋体" w:hAnsi="宋体"/>
          <w:szCs w:val="21"/>
        </w:rPr>
        <w:t>7个：延福一都、延福二都（旧延福都2</w:t>
      </w:r>
      <w:r>
        <w:rPr>
          <w:rFonts w:hint="eastAsia" w:ascii="宋体" w:hAnsi="宋体"/>
          <w:szCs w:val="21"/>
        </w:rPr>
        <w:t>啚</w:t>
      </w:r>
      <w:r>
        <w:rPr>
          <w:rFonts w:ascii="宋体" w:hAnsi="宋体"/>
          <w:szCs w:val="21"/>
        </w:rPr>
        <w:t>，后改为2都）、上朔一都</w:t>
      </w:r>
      <w:r>
        <w:rPr>
          <w:rFonts w:hint="eastAsia" w:ascii="宋体" w:hAnsi="宋体"/>
          <w:szCs w:val="21"/>
        </w:rPr>
        <w:t>、上朔二都（旧上朔都分</w:t>
      </w:r>
      <w:r>
        <w:rPr>
          <w:rFonts w:ascii="宋体" w:hAnsi="宋体"/>
          <w:szCs w:val="21"/>
        </w:rPr>
        <w:t>2</w:t>
      </w:r>
      <w:r>
        <w:rPr>
          <w:rFonts w:hint="eastAsia" w:ascii="宋体" w:hAnsi="宋体"/>
          <w:szCs w:val="21"/>
        </w:rPr>
        <w:t>啚</w:t>
      </w:r>
      <w:r>
        <w:rPr>
          <w:rFonts w:ascii="宋体" w:hAnsi="宋体"/>
          <w:szCs w:val="21"/>
        </w:rPr>
        <w:t>，后改为2都）、莲溪一都、莲溪二都（旧莲溪都分2</w:t>
      </w:r>
      <w:r>
        <w:rPr>
          <w:rFonts w:hint="eastAsia" w:ascii="宋体" w:hAnsi="宋体"/>
          <w:szCs w:val="21"/>
        </w:rPr>
        <w:t>啚，后改为</w:t>
      </w:r>
      <w:r>
        <w:rPr>
          <w:rFonts w:ascii="宋体" w:hAnsi="宋体"/>
          <w:szCs w:val="21"/>
        </w:rPr>
        <w:t>2都）、崇仁都（旧名白胜大黄里）。</w:t>
      </w:r>
    </w:p>
    <w:p w14:paraId="0D7C73D1">
      <w:pPr>
        <w:ind w:firstLine="420"/>
        <w:rPr>
          <w:rFonts w:ascii="宋体" w:hAnsi="宋体"/>
          <w:szCs w:val="21"/>
        </w:rPr>
      </w:pPr>
      <w:r>
        <w:rPr>
          <w:rFonts w:hint="eastAsia" w:ascii="宋体" w:hAnsi="宋体"/>
          <w:szCs w:val="21"/>
        </w:rPr>
        <w:t>惠杨乡都</w:t>
      </w:r>
      <w:r>
        <w:rPr>
          <w:rFonts w:ascii="宋体" w:hAnsi="宋体"/>
          <w:szCs w:val="21"/>
        </w:rPr>
        <w:t>3个：平田都、官田都、乌源都。</w:t>
      </w:r>
    </w:p>
    <w:p w14:paraId="7BF74E8B">
      <w:pPr>
        <w:ind w:firstLine="420"/>
        <w:rPr>
          <w:rFonts w:ascii="宋体" w:hAnsi="宋体"/>
          <w:szCs w:val="21"/>
        </w:rPr>
      </w:pPr>
      <w:r>
        <w:rPr>
          <w:rFonts w:hint="eastAsia" w:ascii="宋体" w:hAnsi="宋体"/>
          <w:szCs w:val="21"/>
        </w:rPr>
        <w:t>嘉庆十二年（</w:t>
      </w:r>
      <w:r>
        <w:rPr>
          <w:rFonts w:ascii="宋体" w:hAnsi="宋体"/>
          <w:szCs w:val="21"/>
        </w:rPr>
        <w:t>1807年）改府为直隶州后，原保昌县下属行政区以一吏目和三巡</w:t>
      </w:r>
      <w:r>
        <w:rPr>
          <w:rFonts w:hint="eastAsia" w:ascii="宋体" w:hAnsi="宋体"/>
          <w:szCs w:val="21"/>
        </w:rPr>
        <w:t>检司（红梅、坪田、百顺）分治。</w:t>
      </w:r>
    </w:p>
    <w:p w14:paraId="7574BFE7">
      <w:pPr>
        <w:ind w:firstLine="420"/>
        <w:rPr>
          <w:rFonts w:ascii="宋体" w:hAnsi="宋体"/>
          <w:szCs w:val="21"/>
        </w:rPr>
      </w:pPr>
      <w:r>
        <w:rPr>
          <w:rFonts w:hint="eastAsia" w:ascii="宋体" w:hAnsi="宋体"/>
          <w:szCs w:val="21"/>
        </w:rPr>
        <w:t>咸丰四年（</w:t>
      </w:r>
      <w:r>
        <w:rPr>
          <w:rFonts w:ascii="宋体" w:hAnsi="宋体"/>
          <w:szCs w:val="21"/>
        </w:rPr>
        <w:t>1854年），太平军兴，广东省巡抚为加强对乡村的控制，废都建约</w:t>
      </w:r>
      <w:r>
        <w:rPr>
          <w:rFonts w:hint="eastAsia" w:ascii="宋体" w:hAnsi="宋体"/>
          <w:szCs w:val="21"/>
        </w:rPr>
        <w:t>，全州为</w:t>
      </w:r>
      <w:r>
        <w:rPr>
          <w:rFonts w:ascii="宋体" w:hAnsi="宋体"/>
          <w:szCs w:val="21"/>
        </w:rPr>
        <w:t>44约。光绪三十四年（1908年）颁布城乡地方自治章程，规定县以下之基层</w:t>
      </w:r>
      <w:r>
        <w:rPr>
          <w:rFonts w:hint="eastAsia" w:ascii="宋体" w:hAnsi="宋体"/>
          <w:szCs w:val="21"/>
        </w:rPr>
        <w:t>为乡镇，改约为乡，并把原城厢属</w:t>
      </w:r>
      <w:r>
        <w:rPr>
          <w:rFonts w:ascii="宋体" w:hAnsi="宋体"/>
          <w:szCs w:val="21"/>
        </w:rPr>
        <w:t>6个都归吏目司分治，把原有村474个，归并为186个</w:t>
      </w:r>
      <w:r>
        <w:rPr>
          <w:rFonts w:hint="eastAsia" w:ascii="宋体" w:hAnsi="宋体"/>
          <w:szCs w:val="21"/>
        </w:rPr>
        <w:t>。</w:t>
      </w:r>
    </w:p>
    <w:p w14:paraId="67212478">
      <w:pPr>
        <w:pStyle w:val="5"/>
        <w:rPr>
          <w:rFonts w:ascii="宋体" w:hAnsi="宋体"/>
        </w:rPr>
      </w:pPr>
      <w:r>
        <w:rPr>
          <w:rFonts w:hint="eastAsia" w:ascii="宋体" w:hAnsi="宋体"/>
        </w:rPr>
        <w:t>三、民国时期行政区划</w:t>
      </w:r>
    </w:p>
    <w:p w14:paraId="2272D988">
      <w:pPr>
        <w:ind w:firstLine="422"/>
        <w:rPr>
          <w:rFonts w:ascii="宋体" w:hAnsi="宋体"/>
          <w:b/>
          <w:szCs w:val="21"/>
        </w:rPr>
      </w:pPr>
      <w:r>
        <w:rPr>
          <w:rFonts w:hint="eastAsia" w:ascii="宋体" w:hAnsi="宋体"/>
          <w:b/>
          <w:szCs w:val="21"/>
        </w:rPr>
        <w:t>（一）建立区乡</w:t>
      </w:r>
    </w:p>
    <w:p w14:paraId="4801A894">
      <w:pPr>
        <w:ind w:firstLine="420"/>
        <w:rPr>
          <w:rFonts w:ascii="宋体" w:hAnsi="宋体"/>
          <w:szCs w:val="21"/>
        </w:rPr>
      </w:pPr>
      <w:r>
        <w:rPr>
          <w:rFonts w:hint="eastAsia" w:ascii="宋体" w:hAnsi="宋体"/>
          <w:szCs w:val="21"/>
        </w:rPr>
        <w:t>民初依循清制，民国</w:t>
      </w:r>
      <w:r>
        <w:rPr>
          <w:rFonts w:ascii="宋体" w:hAnsi="宋体"/>
          <w:szCs w:val="21"/>
        </w:rPr>
        <w:t>17年（1928年），按国民政府组织法，以县为自治单位，</w:t>
      </w:r>
      <w:r>
        <w:rPr>
          <w:rFonts w:hint="eastAsia" w:ascii="宋体" w:hAnsi="宋体"/>
          <w:szCs w:val="21"/>
        </w:rPr>
        <w:t>县以下按户口及地形划分为</w:t>
      </w:r>
      <w:r>
        <w:rPr>
          <w:rFonts w:ascii="宋体" w:hAnsi="宋体"/>
          <w:szCs w:val="21"/>
        </w:rPr>
        <w:t>9个区1个镇24个乡。乡镇以下为闾邻。民国21年划为9个区55个乡：</w:t>
      </w:r>
    </w:p>
    <w:p w14:paraId="401C66E9">
      <w:pPr>
        <w:ind w:firstLine="420"/>
        <w:rPr>
          <w:rFonts w:ascii="宋体" w:hAnsi="宋体"/>
          <w:szCs w:val="21"/>
        </w:rPr>
      </w:pPr>
      <w:r>
        <w:rPr>
          <w:rFonts w:hint="eastAsia" w:ascii="宋体" w:hAnsi="宋体"/>
          <w:szCs w:val="21"/>
        </w:rPr>
        <w:t>第一区：岭南乡、宾阳乡、水南乡、河南乡、水西乡、显和乡。</w:t>
      </w:r>
    </w:p>
    <w:p w14:paraId="77D45CEF">
      <w:pPr>
        <w:ind w:firstLine="420"/>
        <w:rPr>
          <w:rFonts w:ascii="宋体" w:hAnsi="宋体"/>
          <w:szCs w:val="21"/>
        </w:rPr>
      </w:pPr>
      <w:r>
        <w:rPr>
          <w:rFonts w:hint="eastAsia" w:ascii="宋体" w:hAnsi="宋体"/>
          <w:szCs w:val="21"/>
        </w:rPr>
        <w:t>第二区：长平乡、均平乡、承平乡、庆平乡。</w:t>
      </w:r>
    </w:p>
    <w:p w14:paraId="5BA2EEF1">
      <w:pPr>
        <w:ind w:firstLine="420"/>
        <w:rPr>
          <w:rFonts w:ascii="宋体" w:hAnsi="宋体"/>
          <w:szCs w:val="21"/>
        </w:rPr>
      </w:pPr>
      <w:r>
        <w:rPr>
          <w:rFonts w:hint="eastAsia" w:ascii="宋体" w:hAnsi="宋体"/>
          <w:szCs w:val="21"/>
        </w:rPr>
        <w:t>第三区：镇平乡、正和乡、永平乡。</w:t>
      </w:r>
    </w:p>
    <w:p w14:paraId="798B5779">
      <w:pPr>
        <w:ind w:firstLine="420"/>
        <w:rPr>
          <w:rFonts w:ascii="宋体" w:hAnsi="宋体"/>
          <w:szCs w:val="21"/>
        </w:rPr>
      </w:pPr>
      <w:r>
        <w:rPr>
          <w:rFonts w:hint="eastAsia" w:ascii="宋体" w:hAnsi="宋体"/>
          <w:szCs w:val="21"/>
        </w:rPr>
        <w:t>第四区：广成乡、平安乡、太安乡、怀庆乡。</w:t>
      </w:r>
    </w:p>
    <w:p w14:paraId="1CADE0AF">
      <w:pPr>
        <w:ind w:firstLine="420"/>
        <w:rPr>
          <w:rFonts w:ascii="宋体" w:hAnsi="宋体"/>
          <w:szCs w:val="21"/>
        </w:rPr>
      </w:pPr>
      <w:r>
        <w:rPr>
          <w:rFonts w:hint="eastAsia" w:ascii="宋体" w:hAnsi="宋体"/>
          <w:szCs w:val="21"/>
        </w:rPr>
        <w:t>第五区：定平乡、南亩乡、水口乡、坪田乡、宝安乡、江头内乡、江头外乡、公平乡。</w:t>
      </w:r>
    </w:p>
    <w:p w14:paraId="704FDCCC">
      <w:pPr>
        <w:ind w:firstLine="420"/>
        <w:rPr>
          <w:rFonts w:ascii="宋体" w:hAnsi="宋体"/>
          <w:szCs w:val="21"/>
        </w:rPr>
      </w:pPr>
      <w:r>
        <w:rPr>
          <w:rFonts w:hint="eastAsia" w:ascii="宋体" w:hAnsi="宋体"/>
          <w:szCs w:val="21"/>
        </w:rPr>
        <w:t>第六区：乌迳乡、大塘乡、新田乡、黄平乡、江口乡、新龙乡、龙溪乡、桥江乡、大坊乡、崇化乡。</w:t>
      </w:r>
    </w:p>
    <w:p w14:paraId="464E5D7E">
      <w:pPr>
        <w:ind w:firstLine="420"/>
        <w:rPr>
          <w:rFonts w:ascii="宋体" w:hAnsi="宋体"/>
          <w:szCs w:val="21"/>
        </w:rPr>
      </w:pPr>
      <w:r>
        <w:rPr>
          <w:rFonts w:hint="eastAsia" w:ascii="宋体" w:hAnsi="宋体"/>
          <w:szCs w:val="21"/>
        </w:rPr>
        <w:t>第七区：保平安乡、太平乡、吉安乡、通安乡、和安乡。</w:t>
      </w:r>
    </w:p>
    <w:p w14:paraId="1042BCFB">
      <w:pPr>
        <w:ind w:firstLine="420"/>
        <w:rPr>
          <w:rFonts w:ascii="宋体" w:hAnsi="宋体"/>
          <w:szCs w:val="21"/>
        </w:rPr>
      </w:pPr>
      <w:r>
        <w:rPr>
          <w:rFonts w:hint="eastAsia" w:ascii="宋体" w:hAnsi="宋体"/>
          <w:szCs w:val="21"/>
        </w:rPr>
        <w:t>第八区：全安乡、守望乡、永安乡、人和正乡、人和分乡、和衷乡、中和乡、协和乡。</w:t>
      </w:r>
    </w:p>
    <w:p w14:paraId="1020EB6A">
      <w:pPr>
        <w:ind w:firstLine="420"/>
        <w:rPr>
          <w:rFonts w:ascii="宋体" w:hAnsi="宋体"/>
          <w:szCs w:val="21"/>
        </w:rPr>
      </w:pPr>
      <w:r>
        <w:rPr>
          <w:rFonts w:hint="eastAsia" w:ascii="宋体" w:hAnsi="宋体"/>
          <w:szCs w:val="21"/>
        </w:rPr>
        <w:t>第九区：守安乡、永靖乡、安平乡、济平乡、同风乡、普安乡、韶望乡。</w:t>
      </w:r>
    </w:p>
    <w:p w14:paraId="4E9A94C9">
      <w:pPr>
        <w:ind w:firstLine="422"/>
        <w:rPr>
          <w:rFonts w:ascii="宋体" w:hAnsi="宋体"/>
          <w:b/>
          <w:szCs w:val="21"/>
        </w:rPr>
      </w:pPr>
      <w:r>
        <w:rPr>
          <w:rFonts w:hint="eastAsia" w:ascii="宋体" w:hAnsi="宋体"/>
          <w:b/>
          <w:szCs w:val="21"/>
        </w:rPr>
        <w:t>（二）实行新县制，调整区乡，整编保甲</w:t>
      </w:r>
    </w:p>
    <w:p w14:paraId="72B39B9A">
      <w:pPr>
        <w:ind w:firstLine="420"/>
        <w:rPr>
          <w:rFonts w:ascii="宋体" w:hAnsi="宋体"/>
          <w:szCs w:val="21"/>
        </w:rPr>
      </w:pPr>
      <w:r>
        <w:rPr>
          <w:rFonts w:hint="eastAsia" w:ascii="宋体" w:hAnsi="宋体"/>
          <w:szCs w:val="21"/>
        </w:rPr>
        <w:t>民国</w:t>
      </w:r>
      <w:r>
        <w:rPr>
          <w:rFonts w:ascii="宋体" w:hAnsi="宋体"/>
          <w:szCs w:val="21"/>
        </w:rPr>
        <w:t>29年（1940年）实行新县制，全县划为2个区，28个乡，2个镇（均在城</w:t>
      </w:r>
      <w:r>
        <w:rPr>
          <w:rFonts w:hint="eastAsia" w:ascii="宋体" w:hAnsi="宋体"/>
          <w:szCs w:val="21"/>
        </w:rPr>
        <w:t>区），共辖</w:t>
      </w:r>
      <w:r>
        <w:rPr>
          <w:rFonts w:ascii="宋体" w:hAnsi="宋体"/>
          <w:szCs w:val="21"/>
        </w:rPr>
        <w:t>336保，3516甲</w:t>
      </w:r>
      <w:r>
        <w:rPr>
          <w:rFonts w:hint="eastAsia" w:ascii="宋体" w:hAnsi="宋体"/>
          <w:szCs w:val="21"/>
        </w:rPr>
        <w:t>。</w:t>
      </w:r>
    </w:p>
    <w:p w14:paraId="76D79492">
      <w:pPr>
        <w:ind w:firstLine="420"/>
        <w:rPr>
          <w:rFonts w:ascii="宋体" w:hAnsi="宋体"/>
          <w:szCs w:val="21"/>
        </w:rPr>
      </w:pPr>
      <w:r>
        <w:rPr>
          <w:rFonts w:hint="eastAsia" w:ascii="宋体" w:hAnsi="宋体"/>
          <w:szCs w:val="21"/>
        </w:rPr>
        <w:t>第一区辖</w:t>
      </w:r>
      <w:r>
        <w:rPr>
          <w:rFonts w:ascii="宋体" w:hAnsi="宋体"/>
          <w:szCs w:val="21"/>
        </w:rPr>
        <w:t>13个乡、2个镇：太平镇、保定镇、安平乡、浈凌乡、全安乡、太怀</w:t>
      </w:r>
      <w:r>
        <w:rPr>
          <w:rFonts w:hint="eastAsia" w:ascii="宋体" w:hAnsi="宋体"/>
          <w:szCs w:val="21"/>
        </w:rPr>
        <w:t>乡、永正乡、珠玑乡（由均平乡改为珠玑乡）、永和乡、承庆乡、和望乡、靖平乡、保吉乡、韶安乡、普济乡。</w:t>
      </w:r>
    </w:p>
    <w:p w14:paraId="238165AC">
      <w:pPr>
        <w:ind w:firstLine="420"/>
        <w:rPr>
          <w:rFonts w:ascii="宋体" w:hAnsi="宋体"/>
          <w:szCs w:val="21"/>
        </w:rPr>
      </w:pPr>
      <w:r>
        <w:rPr>
          <w:rFonts w:hint="eastAsia" w:ascii="宋体" w:hAnsi="宋体"/>
          <w:szCs w:val="21"/>
        </w:rPr>
        <w:t>第二区辖</w:t>
      </w:r>
      <w:r>
        <w:rPr>
          <w:rFonts w:ascii="宋体" w:hAnsi="宋体"/>
          <w:szCs w:val="21"/>
        </w:rPr>
        <w:t>15个乡：水平乡、南亩乡、宝江乡、公田乡、广平乡、大塘乡、坪林</w:t>
      </w:r>
      <w:r>
        <w:rPr>
          <w:rFonts w:hint="eastAsia" w:ascii="宋体" w:hAnsi="宋体"/>
          <w:szCs w:val="21"/>
        </w:rPr>
        <w:t>乡、崇大乡、桥江乡、龙溪乡、新江乡、乌迳乡、黄平乡、镇平乡、长平乡。</w:t>
      </w:r>
    </w:p>
    <w:p w14:paraId="6B663AF8">
      <w:pPr>
        <w:ind w:firstLine="420"/>
        <w:rPr>
          <w:rFonts w:ascii="宋体" w:hAnsi="宋体"/>
          <w:szCs w:val="21"/>
        </w:rPr>
      </w:pPr>
      <w:r>
        <w:rPr>
          <w:rFonts w:hint="eastAsia" w:ascii="宋体" w:hAnsi="宋体"/>
          <w:szCs w:val="21"/>
        </w:rPr>
        <w:t>民国</w:t>
      </w:r>
      <w:r>
        <w:rPr>
          <w:rFonts w:ascii="宋体" w:hAnsi="宋体"/>
          <w:szCs w:val="21"/>
        </w:rPr>
        <w:t>31年（1942年）调整为2个区，2个镇，25个乡，259保，3030甲。这种</w:t>
      </w:r>
      <w:r>
        <w:rPr>
          <w:rFonts w:hint="eastAsia" w:ascii="宋体" w:hAnsi="宋体"/>
          <w:szCs w:val="21"/>
        </w:rPr>
        <w:t>设置一直到</w:t>
      </w:r>
      <w:r>
        <w:rPr>
          <w:rFonts w:ascii="宋体" w:hAnsi="宋体"/>
          <w:szCs w:val="21"/>
        </w:rPr>
        <w:t>1949年基本不变。各乡（镇）保甲户数详见《南雄县志·行政区划》</w:t>
      </w:r>
    </w:p>
    <w:p w14:paraId="66FBD4EE">
      <w:pPr>
        <w:pStyle w:val="5"/>
        <w:rPr>
          <w:rFonts w:ascii="宋体" w:hAnsi="宋体"/>
        </w:rPr>
      </w:pPr>
      <w:r>
        <w:rPr>
          <w:rFonts w:hint="eastAsia" w:ascii="宋体" w:hAnsi="宋体"/>
        </w:rPr>
        <w:t>四、新中国成立后行政区划。</w:t>
      </w:r>
    </w:p>
    <w:p w14:paraId="01B81623">
      <w:pPr>
        <w:ind w:firstLine="422"/>
        <w:rPr>
          <w:rFonts w:ascii="宋体" w:hAnsi="宋体"/>
          <w:b/>
          <w:szCs w:val="21"/>
        </w:rPr>
      </w:pPr>
      <w:r>
        <w:rPr>
          <w:rFonts w:hint="eastAsia" w:ascii="宋体" w:hAnsi="宋体"/>
          <w:b/>
          <w:szCs w:val="21"/>
        </w:rPr>
        <w:t>（一）土地改革时期分小乡</w:t>
      </w:r>
    </w:p>
    <w:p w14:paraId="416E483C">
      <w:pPr>
        <w:ind w:firstLine="420"/>
        <w:rPr>
          <w:rFonts w:ascii="宋体" w:hAnsi="宋体"/>
          <w:szCs w:val="21"/>
        </w:rPr>
      </w:pPr>
      <w:r>
        <w:rPr>
          <w:rFonts w:ascii="宋体" w:hAnsi="宋体"/>
          <w:szCs w:val="21"/>
        </w:rPr>
        <w:t>1949年全县划为8个区，25个乡，7条街。1950年改为8个区64个乡。1951年</w:t>
      </w:r>
      <w:r>
        <w:rPr>
          <w:rFonts w:hint="eastAsia" w:ascii="宋体" w:hAnsi="宋体"/>
          <w:szCs w:val="21"/>
        </w:rPr>
        <w:t>又改为</w:t>
      </w:r>
      <w:r>
        <w:rPr>
          <w:rFonts w:ascii="宋体" w:hAnsi="宋体"/>
          <w:szCs w:val="21"/>
        </w:rPr>
        <w:t>8个区124个乡，以利于开展土地改革运动。</w:t>
      </w:r>
    </w:p>
    <w:p w14:paraId="72206BCD">
      <w:pPr>
        <w:ind w:firstLine="420"/>
        <w:rPr>
          <w:rFonts w:ascii="宋体" w:hAnsi="宋体"/>
          <w:szCs w:val="21"/>
        </w:rPr>
      </w:pPr>
      <w:r>
        <w:rPr>
          <w:rFonts w:hint="eastAsia" w:ascii="宋体" w:hAnsi="宋体"/>
          <w:szCs w:val="21"/>
        </w:rPr>
        <w:t>一区（珠玑）</w:t>
      </w:r>
      <w:r>
        <w:rPr>
          <w:rFonts w:ascii="宋体" w:hAnsi="宋体"/>
          <w:szCs w:val="21"/>
        </w:rPr>
        <w:t>22个乡：横江、梅岭、岭南、罗山、祗田、联合、里和、珠中、</w:t>
      </w:r>
      <w:r>
        <w:rPr>
          <w:rFonts w:hint="eastAsia" w:ascii="宋体" w:hAnsi="宋体"/>
          <w:szCs w:val="21"/>
        </w:rPr>
        <w:t>长市、长和、新湖、珠东、珠平、里东、保卫、和平、承平、太和、湖口、珠西、珠成、里窑。</w:t>
      </w:r>
    </w:p>
    <w:p w14:paraId="1E6C6D4F">
      <w:pPr>
        <w:ind w:firstLine="420"/>
        <w:rPr>
          <w:rFonts w:ascii="宋体" w:hAnsi="宋体"/>
          <w:szCs w:val="21"/>
        </w:rPr>
      </w:pPr>
      <w:r>
        <w:rPr>
          <w:rFonts w:hint="eastAsia" w:ascii="宋体" w:hAnsi="宋体"/>
          <w:szCs w:val="21"/>
        </w:rPr>
        <w:t>二区（黄坑）</w:t>
      </w:r>
      <w:r>
        <w:rPr>
          <w:rFonts w:ascii="宋体" w:hAnsi="宋体"/>
          <w:szCs w:val="21"/>
        </w:rPr>
        <w:t>16个乡：水西、象湖、黄坑、赤石、邓坊、大塘、锦陂、溪塘、</w:t>
      </w:r>
      <w:r>
        <w:rPr>
          <w:rFonts w:hint="eastAsia" w:ascii="宋体" w:hAnsi="宋体"/>
          <w:szCs w:val="21"/>
        </w:rPr>
        <w:t>马战、古城、浆田、洋西、坪林、山背、油山、湖山。</w:t>
      </w:r>
    </w:p>
    <w:p w14:paraId="4DA22235">
      <w:pPr>
        <w:ind w:firstLine="420"/>
        <w:rPr>
          <w:rFonts w:ascii="宋体" w:hAnsi="宋体"/>
          <w:szCs w:val="21"/>
        </w:rPr>
      </w:pPr>
      <w:r>
        <w:rPr>
          <w:rFonts w:hint="eastAsia" w:ascii="宋体" w:hAnsi="宋体"/>
          <w:szCs w:val="21"/>
        </w:rPr>
        <w:t>三区（乌迳）</w:t>
      </w:r>
      <w:r>
        <w:rPr>
          <w:rFonts w:ascii="宋体" w:hAnsi="宋体"/>
          <w:szCs w:val="21"/>
        </w:rPr>
        <w:t>16个乡：龙岭、崇化、界址、大坊、水松、大坝、老龙、新龙、</w:t>
      </w:r>
      <w:r>
        <w:rPr>
          <w:rFonts w:hint="eastAsia" w:ascii="宋体" w:hAnsi="宋体"/>
          <w:szCs w:val="21"/>
        </w:rPr>
        <w:t>桥江、联大、乌迳、新田、江口、黄塘、孔江、桥山。</w:t>
      </w:r>
    </w:p>
    <w:p w14:paraId="6E1B26DE">
      <w:pPr>
        <w:ind w:firstLine="420"/>
        <w:rPr>
          <w:rFonts w:ascii="宋体" w:hAnsi="宋体"/>
          <w:szCs w:val="21"/>
        </w:rPr>
      </w:pPr>
      <w:r>
        <w:rPr>
          <w:rFonts w:hint="eastAsia" w:ascii="宋体" w:hAnsi="宋体"/>
          <w:szCs w:val="21"/>
        </w:rPr>
        <w:t>四区（水口）</w:t>
      </w:r>
      <w:r>
        <w:rPr>
          <w:rFonts w:ascii="宋体" w:hAnsi="宋体"/>
          <w:szCs w:val="21"/>
        </w:rPr>
        <w:t>20个乡：芙蓉、坪田、坪外、泷头、涌溪、园圃、宝江、坪岗、</w:t>
      </w:r>
      <w:r>
        <w:rPr>
          <w:rFonts w:hint="eastAsia" w:ascii="宋体" w:hAnsi="宋体"/>
          <w:szCs w:val="21"/>
        </w:rPr>
        <w:t>岭下、鱼鲜、弱过、南亩、中寺、大部、赤沙、泷联、中内、南浦、水口、河坪。</w:t>
      </w:r>
    </w:p>
    <w:p w14:paraId="17FAEA2E">
      <w:pPr>
        <w:ind w:firstLine="420"/>
        <w:rPr>
          <w:rFonts w:ascii="宋体" w:hAnsi="宋体"/>
          <w:szCs w:val="21"/>
        </w:rPr>
      </w:pPr>
      <w:r>
        <w:rPr>
          <w:rFonts w:hint="eastAsia" w:ascii="宋体" w:hAnsi="宋体"/>
          <w:szCs w:val="21"/>
        </w:rPr>
        <w:t>五区（主田）</w:t>
      </w:r>
      <w:r>
        <w:rPr>
          <w:rFonts w:ascii="宋体" w:hAnsi="宋体"/>
          <w:szCs w:val="21"/>
        </w:rPr>
        <w:t>14个乡：溪口、修仁、五洲、迳口、广胜、广大、广合、西洞</w:t>
      </w:r>
      <w:r>
        <w:rPr>
          <w:rFonts w:hint="eastAsia" w:ascii="宋体" w:hAnsi="宋体"/>
          <w:szCs w:val="21"/>
        </w:rPr>
        <w:t>、浈江、城门、和胜、胜利、廖地、山角岭。</w:t>
      </w:r>
    </w:p>
    <w:p w14:paraId="61A1470B">
      <w:pPr>
        <w:ind w:firstLine="420"/>
        <w:rPr>
          <w:rFonts w:ascii="宋体" w:hAnsi="宋体"/>
          <w:szCs w:val="21"/>
        </w:rPr>
      </w:pPr>
      <w:r>
        <w:rPr>
          <w:rFonts w:hint="eastAsia" w:ascii="宋体" w:hAnsi="宋体"/>
          <w:szCs w:val="21"/>
        </w:rPr>
        <w:t>六区（全安）</w:t>
      </w:r>
      <w:r>
        <w:rPr>
          <w:rFonts w:ascii="宋体" w:hAnsi="宋体"/>
          <w:szCs w:val="21"/>
        </w:rPr>
        <w:t>18个乡：倚逢、建设、龙江、富竹、永和、艻迳、横水、上龙、</w:t>
      </w:r>
      <w:r>
        <w:rPr>
          <w:rFonts w:hint="eastAsia" w:ascii="宋体" w:hAnsi="宋体"/>
          <w:szCs w:val="21"/>
        </w:rPr>
        <w:t>温泉、庆平、古市、保吉、三岭、凌江、全安、杨历、苍石、庆和。</w:t>
      </w:r>
    </w:p>
    <w:p w14:paraId="741B7CD8">
      <w:pPr>
        <w:ind w:firstLine="420"/>
        <w:rPr>
          <w:rFonts w:ascii="宋体" w:hAnsi="宋体"/>
          <w:szCs w:val="21"/>
        </w:rPr>
      </w:pPr>
      <w:r>
        <w:rPr>
          <w:rFonts w:hint="eastAsia" w:ascii="宋体" w:hAnsi="宋体"/>
          <w:szCs w:val="21"/>
        </w:rPr>
        <w:t>七区（百顺）</w:t>
      </w:r>
      <w:r>
        <w:rPr>
          <w:rFonts w:ascii="宋体" w:hAnsi="宋体"/>
          <w:szCs w:val="21"/>
        </w:rPr>
        <w:t>18个乡：南坑、白云、溪头、凌溪、澜河、百顺、东坑、西岸</w:t>
      </w:r>
      <w:r>
        <w:rPr>
          <w:rFonts w:hint="eastAsia" w:ascii="宋体" w:hAnsi="宋体"/>
          <w:szCs w:val="21"/>
        </w:rPr>
        <w:t>、上张、大坪、下徐、官田、丁洞、湖地、上</w:t>
      </w:r>
      <w:r>
        <w:rPr>
          <w:rFonts w:hint="eastAsia" w:ascii="宋体" w:hAnsi="宋体"/>
          <w:szCs w:val="21"/>
        </w:rPr>
        <w:drawing>
          <wp:inline distT="0" distB="0" distL="0" distR="0">
            <wp:extent cx="165735" cy="182880"/>
            <wp:effectExtent l="0" t="0" r="5715" b="762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noChangeArrowheads="1"/>
                    </pic:cNvPicPr>
                  </pic:nvPicPr>
                  <pic:blipFill>
                    <a:blip r:embed="rId186" cstate="print"/>
                    <a:srcRect/>
                    <a:stretch>
                      <a:fillRect/>
                    </a:stretch>
                  </pic:blipFill>
                  <pic:spPr>
                    <a:xfrm>
                      <a:off x="0" y="0"/>
                      <a:ext cx="170028" cy="187283"/>
                    </a:xfrm>
                    <a:prstGeom prst="rect">
                      <a:avLst/>
                    </a:prstGeom>
                    <a:noFill/>
                    <a:ln w="9525">
                      <a:noFill/>
                      <a:miter lim="800000"/>
                      <a:headEnd/>
                      <a:tailEnd/>
                    </a:ln>
                  </pic:spPr>
                </pic:pic>
              </a:graphicData>
            </a:graphic>
          </wp:inline>
        </w:drawing>
      </w:r>
      <w:r>
        <w:rPr>
          <w:rFonts w:hint="eastAsia" w:ascii="宋体" w:hAnsi="宋体"/>
          <w:szCs w:val="21"/>
        </w:rPr>
        <w:t>、左龙、武岗、闻韶。</w:t>
      </w:r>
    </w:p>
    <w:p w14:paraId="2EAE2176">
      <w:pPr>
        <w:ind w:firstLine="420"/>
        <w:rPr>
          <w:rFonts w:ascii="宋体" w:hAnsi="宋体"/>
          <w:szCs w:val="21"/>
        </w:rPr>
      </w:pPr>
      <w:r>
        <w:rPr>
          <w:rFonts w:hint="eastAsia" w:ascii="宋体" w:hAnsi="宋体"/>
          <w:szCs w:val="21"/>
        </w:rPr>
        <w:t>城关区：按原建制</w:t>
      </w:r>
      <w:r>
        <w:rPr>
          <w:rFonts w:ascii="宋体" w:hAnsi="宋体"/>
          <w:szCs w:val="21"/>
        </w:rPr>
        <w:t>7条街不变：八一、胜利、解放、民主、建国、和平、幸福。</w:t>
      </w:r>
    </w:p>
    <w:p w14:paraId="70194775">
      <w:pPr>
        <w:ind w:firstLine="422"/>
        <w:rPr>
          <w:rFonts w:ascii="宋体" w:hAnsi="宋体"/>
          <w:b/>
          <w:szCs w:val="21"/>
        </w:rPr>
      </w:pPr>
      <w:r>
        <w:rPr>
          <w:rFonts w:hint="eastAsia" w:ascii="宋体" w:hAnsi="宋体"/>
          <w:b/>
          <w:szCs w:val="21"/>
        </w:rPr>
        <w:t>（二）合作化时期撤区并乡</w:t>
      </w:r>
    </w:p>
    <w:p w14:paraId="563D5295">
      <w:pPr>
        <w:ind w:firstLine="420"/>
        <w:rPr>
          <w:rFonts w:ascii="宋体" w:hAnsi="宋体"/>
          <w:szCs w:val="21"/>
        </w:rPr>
      </w:pPr>
      <w:r>
        <w:rPr>
          <w:rFonts w:ascii="宋体" w:hAnsi="宋体"/>
          <w:szCs w:val="21"/>
        </w:rPr>
        <w:t>1956年3月撤区并乡，全县由124个小乡并为51个乡。1957年12月，划闻韶</w:t>
      </w:r>
      <w:r>
        <w:rPr>
          <w:rFonts w:hint="eastAsia" w:ascii="宋体" w:hAnsi="宋体"/>
          <w:szCs w:val="21"/>
        </w:rPr>
        <w:t>乡、凌溪乡归仁化县管辖，划武岗乡、侯陂乡归始兴县管辖，并由</w:t>
      </w:r>
      <w:r>
        <w:rPr>
          <w:rFonts w:ascii="宋体" w:hAnsi="宋体"/>
          <w:szCs w:val="21"/>
        </w:rPr>
        <w:t>47个乡并为19个</w:t>
      </w:r>
      <w:r>
        <w:rPr>
          <w:rFonts w:hint="eastAsia" w:ascii="宋体" w:hAnsi="宋体"/>
          <w:szCs w:val="21"/>
        </w:rPr>
        <w:t>乡，名称是：珠玑、里东、湖口、荆岗、黄坑、大塘、邓坊、乌迳、界址、新龙、水口、南亩、主田、古市、全安、温泉、永和、白云、百顺。</w:t>
      </w:r>
    </w:p>
    <w:p w14:paraId="292F966E">
      <w:pPr>
        <w:ind w:firstLine="422"/>
        <w:rPr>
          <w:rFonts w:ascii="宋体" w:hAnsi="宋体"/>
          <w:b/>
          <w:szCs w:val="21"/>
        </w:rPr>
      </w:pPr>
      <w:r>
        <w:rPr>
          <w:rFonts w:hint="eastAsia" w:ascii="宋体" w:hAnsi="宋体"/>
          <w:b/>
          <w:szCs w:val="21"/>
        </w:rPr>
        <w:t>（三）人民公社时期政社合一</w:t>
      </w:r>
    </w:p>
    <w:p w14:paraId="2E97FD76">
      <w:pPr>
        <w:ind w:firstLine="420"/>
        <w:rPr>
          <w:rFonts w:ascii="宋体" w:hAnsi="宋体"/>
          <w:szCs w:val="21"/>
        </w:rPr>
      </w:pPr>
      <w:r>
        <w:rPr>
          <w:rFonts w:hint="eastAsia" w:ascii="宋体" w:hAnsi="宋体"/>
          <w:szCs w:val="21"/>
        </w:rPr>
        <w:t>实行政社合一，公社规模多次调整，见表</w:t>
      </w:r>
      <w:r>
        <w:rPr>
          <w:rFonts w:ascii="宋体" w:hAnsi="宋体"/>
          <w:szCs w:val="21"/>
        </w:rPr>
        <w:t>1-2</w:t>
      </w:r>
      <w:r>
        <w:rPr>
          <w:rFonts w:hint="eastAsia" w:ascii="宋体" w:hAnsi="宋体"/>
          <w:szCs w:val="21"/>
        </w:rPr>
        <w:t>。</w:t>
      </w:r>
    </w:p>
    <w:p w14:paraId="3861B73D">
      <w:pPr>
        <w:ind w:firstLine="0" w:firstLineChars="0"/>
        <w:jc w:val="center"/>
        <w:rPr>
          <w:rFonts w:ascii="宋体" w:hAnsi="宋体"/>
          <w:b/>
          <w:szCs w:val="21"/>
        </w:rPr>
      </w:pPr>
      <w:r>
        <w:rPr>
          <w:rFonts w:hint="eastAsia" w:ascii="宋体" w:hAnsi="宋体"/>
          <w:b/>
          <w:szCs w:val="21"/>
        </w:rPr>
        <w:t>南雄县人民公社设置一览</w:t>
      </w:r>
    </w:p>
    <w:p w14:paraId="6CA4CAFB">
      <w:pPr>
        <w:ind w:firstLine="0" w:firstLineChars="0"/>
        <w:rPr>
          <w:rFonts w:ascii="宋体" w:hAnsi="宋体"/>
          <w:b/>
        </w:rPr>
      </w:pPr>
      <w:r>
        <w:rPr>
          <w:rFonts w:hint="eastAsia" w:ascii="宋体" w:hAnsi="宋体"/>
          <w:b/>
        </w:rPr>
        <w:t>表1-2</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46"/>
        <w:gridCol w:w="966"/>
        <w:gridCol w:w="6950"/>
      </w:tblGrid>
      <w:tr w14:paraId="2E5372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7" w:type="pct"/>
            <w:vAlign w:val="center"/>
          </w:tcPr>
          <w:p w14:paraId="33A3E826">
            <w:pPr>
              <w:pStyle w:val="12"/>
              <w:jc w:val="center"/>
              <w:rPr>
                <w:rFonts w:ascii="宋体" w:hAnsi="宋体"/>
                <w:b/>
              </w:rPr>
            </w:pPr>
            <w:r>
              <w:rPr>
                <w:rFonts w:hint="eastAsia" w:ascii="宋体" w:hAnsi="宋体"/>
                <w:b/>
              </w:rPr>
              <w:t>年份</w:t>
            </w:r>
          </w:p>
        </w:tc>
        <w:tc>
          <w:tcPr>
            <w:tcW w:w="485" w:type="pct"/>
            <w:vAlign w:val="center"/>
          </w:tcPr>
          <w:p w14:paraId="057B506C">
            <w:pPr>
              <w:pStyle w:val="12"/>
              <w:jc w:val="center"/>
              <w:rPr>
                <w:rFonts w:ascii="宋体" w:hAnsi="宋体"/>
                <w:b/>
              </w:rPr>
            </w:pPr>
            <w:r>
              <w:rPr>
                <w:rFonts w:hint="eastAsia" w:ascii="宋体" w:hAnsi="宋体"/>
                <w:b/>
              </w:rPr>
              <w:t>公社数</w:t>
            </w:r>
          </w:p>
        </w:tc>
        <w:tc>
          <w:tcPr>
            <w:tcW w:w="3488" w:type="pct"/>
            <w:vAlign w:val="center"/>
          </w:tcPr>
          <w:p w14:paraId="414912E5">
            <w:pPr>
              <w:pStyle w:val="12"/>
              <w:jc w:val="center"/>
              <w:rPr>
                <w:rFonts w:ascii="宋体" w:hAnsi="宋体"/>
                <w:b/>
              </w:rPr>
            </w:pPr>
            <w:r>
              <w:rPr>
                <w:rFonts w:hint="eastAsia" w:ascii="宋体" w:hAnsi="宋体"/>
                <w:b/>
              </w:rPr>
              <w:t>公社名称</w:t>
            </w:r>
          </w:p>
        </w:tc>
      </w:tr>
      <w:tr w14:paraId="27A8E60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7" w:type="pct"/>
            <w:vAlign w:val="center"/>
          </w:tcPr>
          <w:p w14:paraId="553B7AD0">
            <w:pPr>
              <w:pStyle w:val="12"/>
              <w:jc w:val="center"/>
              <w:rPr>
                <w:rFonts w:ascii="宋体" w:hAnsi="宋体"/>
              </w:rPr>
            </w:pPr>
            <w:r>
              <w:rPr>
                <w:rFonts w:hint="eastAsia" w:ascii="宋体" w:hAnsi="宋体"/>
              </w:rPr>
              <w:t>1958年</w:t>
            </w:r>
          </w:p>
        </w:tc>
        <w:tc>
          <w:tcPr>
            <w:tcW w:w="485" w:type="pct"/>
            <w:vAlign w:val="center"/>
          </w:tcPr>
          <w:p w14:paraId="4C1C1FD3">
            <w:pPr>
              <w:pStyle w:val="12"/>
              <w:jc w:val="center"/>
              <w:rPr>
                <w:rFonts w:ascii="宋体" w:hAnsi="宋体"/>
              </w:rPr>
            </w:pPr>
            <w:r>
              <w:rPr>
                <w:rFonts w:hint="eastAsia" w:ascii="宋体" w:hAnsi="宋体"/>
              </w:rPr>
              <w:t>8</w:t>
            </w:r>
          </w:p>
        </w:tc>
        <w:tc>
          <w:tcPr>
            <w:tcW w:w="3488" w:type="pct"/>
            <w:vAlign w:val="center"/>
          </w:tcPr>
          <w:p w14:paraId="723522A6">
            <w:pPr>
              <w:pStyle w:val="12"/>
              <w:jc w:val="left"/>
              <w:rPr>
                <w:rFonts w:ascii="宋体" w:hAnsi="宋体"/>
              </w:rPr>
            </w:pPr>
            <w:r>
              <w:rPr>
                <w:rFonts w:hint="eastAsia" w:ascii="宋体" w:hAnsi="宋体"/>
              </w:rPr>
              <w:t>上游（水口）、卫星（全安）、红旗（湖口）、钢铁（城镇）先锋（主田）、火箭（黄坑）、跃进（乌迳）、高峰（百顺）</w:t>
            </w:r>
          </w:p>
        </w:tc>
      </w:tr>
      <w:tr w14:paraId="398B3A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7" w:type="pct"/>
            <w:vAlign w:val="center"/>
          </w:tcPr>
          <w:p w14:paraId="0C6A1E57">
            <w:pPr>
              <w:pStyle w:val="12"/>
              <w:jc w:val="center"/>
              <w:rPr>
                <w:rFonts w:ascii="宋体" w:hAnsi="宋体"/>
              </w:rPr>
            </w:pPr>
            <w:r>
              <w:rPr>
                <w:rFonts w:hint="eastAsia" w:ascii="宋体" w:hAnsi="宋体"/>
              </w:rPr>
              <w:t>1959年</w:t>
            </w:r>
          </w:p>
        </w:tc>
        <w:tc>
          <w:tcPr>
            <w:tcW w:w="485" w:type="pct"/>
            <w:vAlign w:val="center"/>
          </w:tcPr>
          <w:p w14:paraId="0701804B">
            <w:pPr>
              <w:pStyle w:val="12"/>
              <w:jc w:val="center"/>
              <w:rPr>
                <w:rFonts w:ascii="宋体" w:hAnsi="宋体"/>
              </w:rPr>
            </w:pPr>
            <w:r>
              <w:rPr>
                <w:rFonts w:hint="eastAsia" w:ascii="宋体" w:hAnsi="宋体"/>
              </w:rPr>
              <w:t>5</w:t>
            </w:r>
          </w:p>
        </w:tc>
        <w:tc>
          <w:tcPr>
            <w:tcW w:w="3488" w:type="pct"/>
            <w:vAlign w:val="center"/>
          </w:tcPr>
          <w:p w14:paraId="6080C642">
            <w:pPr>
              <w:pStyle w:val="12"/>
              <w:jc w:val="left"/>
              <w:rPr>
                <w:rFonts w:ascii="宋体" w:hAnsi="宋体"/>
              </w:rPr>
            </w:pPr>
            <w:r>
              <w:rPr>
                <w:rFonts w:hint="eastAsia" w:ascii="宋体" w:hAnsi="宋体"/>
              </w:rPr>
              <w:t>城镇、湖口、黄坑、乌迳、澜河</w:t>
            </w:r>
          </w:p>
        </w:tc>
      </w:tr>
      <w:tr w14:paraId="65C093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7" w:type="pct"/>
            <w:vAlign w:val="center"/>
          </w:tcPr>
          <w:p w14:paraId="069E0831">
            <w:pPr>
              <w:pStyle w:val="12"/>
              <w:jc w:val="center"/>
              <w:rPr>
                <w:rFonts w:ascii="宋体" w:hAnsi="宋体"/>
              </w:rPr>
            </w:pPr>
            <w:r>
              <w:rPr>
                <w:rFonts w:hint="eastAsia" w:ascii="宋体" w:hAnsi="宋体"/>
              </w:rPr>
              <w:t>1960年</w:t>
            </w:r>
          </w:p>
        </w:tc>
        <w:tc>
          <w:tcPr>
            <w:tcW w:w="485" w:type="pct"/>
            <w:vAlign w:val="center"/>
          </w:tcPr>
          <w:p w14:paraId="3C0BF4A8">
            <w:pPr>
              <w:pStyle w:val="12"/>
              <w:jc w:val="center"/>
              <w:rPr>
                <w:rFonts w:ascii="宋体" w:hAnsi="宋体"/>
              </w:rPr>
            </w:pPr>
            <w:r>
              <w:rPr>
                <w:rFonts w:hint="eastAsia" w:ascii="宋体" w:hAnsi="宋体"/>
              </w:rPr>
              <w:t>7</w:t>
            </w:r>
          </w:p>
        </w:tc>
        <w:tc>
          <w:tcPr>
            <w:tcW w:w="3488" w:type="pct"/>
            <w:vAlign w:val="center"/>
          </w:tcPr>
          <w:p w14:paraId="0EAFEDDF">
            <w:pPr>
              <w:pStyle w:val="12"/>
              <w:jc w:val="left"/>
              <w:rPr>
                <w:rFonts w:ascii="宋体" w:hAnsi="宋体"/>
              </w:rPr>
            </w:pPr>
            <w:r>
              <w:rPr>
                <w:rFonts w:hint="eastAsia" w:ascii="宋体" w:hAnsi="宋体"/>
              </w:rPr>
              <w:t>城镇、城郊、湖口、黄坑、乌迳、百顺、帽子峰（另有梅岭果木场和乐天、全安、赤马、黄木岭等四个国营农场）</w:t>
            </w:r>
          </w:p>
        </w:tc>
      </w:tr>
      <w:tr w14:paraId="0399FE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7" w:type="pct"/>
            <w:vAlign w:val="center"/>
          </w:tcPr>
          <w:p w14:paraId="4B3B6510">
            <w:pPr>
              <w:pStyle w:val="12"/>
              <w:jc w:val="center"/>
              <w:rPr>
                <w:rFonts w:ascii="宋体" w:hAnsi="宋体"/>
              </w:rPr>
            </w:pPr>
            <w:r>
              <w:rPr>
                <w:rFonts w:hint="eastAsia" w:ascii="宋体" w:hAnsi="宋体"/>
              </w:rPr>
              <w:t>1962年—1976年</w:t>
            </w:r>
          </w:p>
        </w:tc>
        <w:tc>
          <w:tcPr>
            <w:tcW w:w="485" w:type="pct"/>
            <w:vAlign w:val="center"/>
          </w:tcPr>
          <w:p w14:paraId="7D2E3CBF">
            <w:pPr>
              <w:pStyle w:val="12"/>
              <w:jc w:val="center"/>
              <w:rPr>
                <w:rFonts w:ascii="宋体" w:hAnsi="宋体"/>
              </w:rPr>
            </w:pPr>
            <w:r>
              <w:rPr>
                <w:rFonts w:hint="eastAsia" w:ascii="宋体" w:hAnsi="宋体"/>
              </w:rPr>
              <w:t>22</w:t>
            </w:r>
          </w:p>
        </w:tc>
        <w:tc>
          <w:tcPr>
            <w:tcW w:w="3488" w:type="pct"/>
            <w:vAlign w:val="center"/>
          </w:tcPr>
          <w:p w14:paraId="4B57D627">
            <w:pPr>
              <w:pStyle w:val="12"/>
              <w:jc w:val="left"/>
              <w:rPr>
                <w:rFonts w:ascii="宋体" w:hAnsi="宋体"/>
              </w:rPr>
            </w:pPr>
            <w:r>
              <w:rPr>
                <w:rFonts w:hint="eastAsia" w:ascii="宋体" w:hAnsi="宋体"/>
              </w:rPr>
              <w:t>乌迳、界址、水口、南亩、主田、古市、黎口、百顺、白云、湖口、坪田、珠玑、梅岭、帽子峰、黄坑、苍石、孔江、邓坊、油山、新龙、全安、城镇</w:t>
            </w:r>
          </w:p>
        </w:tc>
      </w:tr>
      <w:tr w14:paraId="24185F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7" w:type="pct"/>
            <w:vAlign w:val="center"/>
          </w:tcPr>
          <w:p w14:paraId="0955B86D">
            <w:pPr>
              <w:pStyle w:val="12"/>
              <w:jc w:val="center"/>
              <w:rPr>
                <w:rFonts w:ascii="宋体" w:hAnsi="宋体"/>
              </w:rPr>
            </w:pPr>
            <w:r>
              <w:rPr>
                <w:rFonts w:hint="eastAsia" w:ascii="宋体" w:hAnsi="宋体"/>
              </w:rPr>
              <w:t>1977年—1980年</w:t>
            </w:r>
          </w:p>
        </w:tc>
        <w:tc>
          <w:tcPr>
            <w:tcW w:w="485" w:type="pct"/>
            <w:vAlign w:val="center"/>
          </w:tcPr>
          <w:p w14:paraId="7FA4781E">
            <w:pPr>
              <w:pStyle w:val="12"/>
              <w:jc w:val="center"/>
              <w:rPr>
                <w:rFonts w:ascii="宋体" w:hAnsi="宋体"/>
              </w:rPr>
            </w:pPr>
            <w:r>
              <w:rPr>
                <w:rFonts w:hint="eastAsia" w:ascii="宋体" w:hAnsi="宋体"/>
              </w:rPr>
              <w:t>24</w:t>
            </w:r>
          </w:p>
        </w:tc>
        <w:tc>
          <w:tcPr>
            <w:tcW w:w="3488" w:type="pct"/>
            <w:vAlign w:val="center"/>
          </w:tcPr>
          <w:p w14:paraId="6AAFAA3D">
            <w:pPr>
              <w:pStyle w:val="12"/>
              <w:jc w:val="left"/>
              <w:rPr>
                <w:rFonts w:ascii="宋体" w:hAnsi="宋体"/>
              </w:rPr>
            </w:pPr>
            <w:r>
              <w:rPr>
                <w:rFonts w:hint="eastAsia" w:ascii="宋体" w:hAnsi="宋体"/>
              </w:rPr>
              <w:t>乌迳、界址、水口、南亩、主田、百顺、澜河、湖口、珠玑、黄坑、油山、全安、古市、帽子峰、苍石、新龙、孔江、梅岭、黎口、邓坊、坪田、江头（1977年设）、大塘（1979年设）、城关镇</w:t>
            </w:r>
          </w:p>
        </w:tc>
      </w:tr>
    </w:tbl>
    <w:p w14:paraId="344FE4E3">
      <w:pPr>
        <w:ind w:firstLine="420"/>
        <w:rPr>
          <w:rFonts w:ascii="宋体" w:hAnsi="宋体"/>
          <w:szCs w:val="21"/>
        </w:rPr>
      </w:pPr>
      <w:r>
        <w:rPr>
          <w:rFonts w:hint="eastAsia" w:ascii="宋体" w:hAnsi="宋体"/>
          <w:szCs w:val="21"/>
        </w:rPr>
        <w:t>大队、生产队经多次分并，</w:t>
      </w:r>
      <w:r>
        <w:rPr>
          <w:rFonts w:ascii="宋体" w:hAnsi="宋体"/>
          <w:szCs w:val="21"/>
        </w:rPr>
        <w:t>1961年有大队379个，生产队3182个；1962年有大</w:t>
      </w:r>
      <w:r>
        <w:rPr>
          <w:rFonts w:hint="eastAsia" w:ascii="宋体" w:hAnsi="宋体"/>
          <w:szCs w:val="21"/>
        </w:rPr>
        <w:t>队</w:t>
      </w:r>
      <w:r>
        <w:rPr>
          <w:rFonts w:ascii="宋体" w:hAnsi="宋体"/>
          <w:szCs w:val="21"/>
        </w:rPr>
        <w:t>199个，生产队3279个；1965年以后至1980年政社分开前，有大队208个，生产</w:t>
      </w:r>
      <w:r>
        <w:rPr>
          <w:rFonts w:hint="eastAsia" w:ascii="宋体" w:hAnsi="宋体"/>
          <w:szCs w:val="21"/>
        </w:rPr>
        <w:t>队</w:t>
      </w:r>
      <w:r>
        <w:rPr>
          <w:rFonts w:ascii="宋体" w:hAnsi="宋体"/>
          <w:szCs w:val="21"/>
        </w:rPr>
        <w:t>2545个。</w:t>
      </w:r>
    </w:p>
    <w:p w14:paraId="5EF642BB">
      <w:pPr>
        <w:ind w:firstLine="420"/>
        <w:rPr>
          <w:rFonts w:ascii="宋体" w:hAnsi="宋体"/>
          <w:szCs w:val="21"/>
        </w:rPr>
      </w:pPr>
      <w:r>
        <w:rPr>
          <w:rFonts w:ascii="宋体" w:hAnsi="宋体"/>
          <w:szCs w:val="21"/>
        </w:rPr>
        <w:t>1966年11月，陂头大队及河塘3个自然村划省办国营凌江农场，1971年撤销。</w:t>
      </w:r>
    </w:p>
    <w:p w14:paraId="48CD408F">
      <w:pPr>
        <w:ind w:firstLine="422"/>
        <w:rPr>
          <w:rFonts w:ascii="宋体" w:hAnsi="宋体"/>
          <w:b/>
          <w:szCs w:val="21"/>
        </w:rPr>
      </w:pPr>
      <w:r>
        <w:rPr>
          <w:rFonts w:hint="eastAsia" w:ascii="宋体" w:hAnsi="宋体"/>
          <w:b/>
          <w:szCs w:val="21"/>
        </w:rPr>
        <w:t>（四）政社分开恢复区乡</w:t>
      </w:r>
    </w:p>
    <w:p w14:paraId="533E79BF">
      <w:pPr>
        <w:ind w:firstLine="420"/>
        <w:rPr>
          <w:rFonts w:ascii="宋体" w:hAnsi="宋体"/>
          <w:szCs w:val="21"/>
        </w:rPr>
      </w:pPr>
      <w:r>
        <w:rPr>
          <w:rFonts w:ascii="宋体" w:hAnsi="宋体"/>
          <w:szCs w:val="21"/>
        </w:rPr>
        <w:t>1983年实行政社分开，原23个公社改为区，208个大队调整为174个乡。城关</w:t>
      </w:r>
      <w:r>
        <w:rPr>
          <w:rFonts w:hint="eastAsia" w:ascii="宋体" w:hAnsi="宋体"/>
          <w:szCs w:val="21"/>
        </w:rPr>
        <w:t>镇名称不变，下属大队改为管理区。</w:t>
      </w:r>
    </w:p>
    <w:p w14:paraId="75532ABA">
      <w:pPr>
        <w:ind w:firstLine="420"/>
        <w:rPr>
          <w:rFonts w:ascii="宋体" w:hAnsi="宋体"/>
          <w:szCs w:val="21"/>
        </w:rPr>
      </w:pPr>
      <w:r>
        <w:rPr>
          <w:rFonts w:hint="eastAsia" w:ascii="宋体" w:hAnsi="宋体"/>
          <w:szCs w:val="21"/>
        </w:rPr>
        <w:t>乌迳区</w:t>
      </w:r>
      <w:r>
        <w:rPr>
          <w:rFonts w:ascii="宋体" w:hAnsi="宋体"/>
          <w:szCs w:val="21"/>
        </w:rPr>
        <w:t>12个乡：乌迳、山下、鱼塘、新田、高溯、江口、坪塘、龙迳、水松、</w:t>
      </w:r>
      <w:r>
        <w:rPr>
          <w:rFonts w:hint="eastAsia" w:ascii="宋体" w:hAnsi="宋体"/>
          <w:szCs w:val="21"/>
        </w:rPr>
        <w:t>黄塘、孔塘、庙前。</w:t>
      </w:r>
    </w:p>
    <w:p w14:paraId="7BE7C32E">
      <w:pPr>
        <w:ind w:firstLine="420"/>
        <w:rPr>
          <w:rFonts w:ascii="宋体" w:hAnsi="宋体"/>
          <w:szCs w:val="21"/>
        </w:rPr>
      </w:pPr>
      <w:r>
        <w:rPr>
          <w:rFonts w:hint="eastAsia" w:ascii="宋体" w:hAnsi="宋体"/>
          <w:szCs w:val="21"/>
        </w:rPr>
        <w:t>孔江区</w:t>
      </w:r>
      <w:r>
        <w:rPr>
          <w:rFonts w:ascii="宋体" w:hAnsi="宋体"/>
          <w:szCs w:val="21"/>
        </w:rPr>
        <w:t>5个乡：孔江、白胜、田心、大竹、兰丘。</w:t>
      </w:r>
    </w:p>
    <w:p w14:paraId="0D09B990">
      <w:pPr>
        <w:ind w:firstLine="420"/>
        <w:rPr>
          <w:rFonts w:ascii="宋体" w:hAnsi="宋体"/>
          <w:szCs w:val="21"/>
        </w:rPr>
      </w:pPr>
      <w:r>
        <w:rPr>
          <w:rFonts w:hint="eastAsia" w:ascii="宋体" w:hAnsi="宋体"/>
          <w:szCs w:val="21"/>
        </w:rPr>
        <w:t>新龙区</w:t>
      </w:r>
      <w:r>
        <w:rPr>
          <w:rFonts w:ascii="宋体" w:hAnsi="宋体"/>
          <w:szCs w:val="21"/>
        </w:rPr>
        <w:t>6个乡：新龙、背迳、老龙、长坑、小塘、官陂。</w:t>
      </w:r>
    </w:p>
    <w:p w14:paraId="03B97217">
      <w:pPr>
        <w:ind w:firstLine="420"/>
        <w:rPr>
          <w:rFonts w:ascii="宋体" w:hAnsi="宋体"/>
          <w:szCs w:val="21"/>
        </w:rPr>
      </w:pPr>
      <w:r>
        <w:rPr>
          <w:rFonts w:hint="eastAsia" w:ascii="宋体" w:hAnsi="宋体"/>
          <w:szCs w:val="21"/>
        </w:rPr>
        <w:t>界址区</w:t>
      </w:r>
      <w:r>
        <w:rPr>
          <w:rFonts w:ascii="宋体" w:hAnsi="宋体"/>
          <w:szCs w:val="21"/>
        </w:rPr>
        <w:t>6个乡：界址、崇化、赵屋、大坑、窑灶口、马芫。</w:t>
      </w:r>
    </w:p>
    <w:p w14:paraId="02E7C220">
      <w:pPr>
        <w:ind w:firstLine="420"/>
        <w:rPr>
          <w:rFonts w:ascii="宋体" w:hAnsi="宋体"/>
          <w:szCs w:val="21"/>
        </w:rPr>
      </w:pPr>
      <w:r>
        <w:rPr>
          <w:rFonts w:hint="eastAsia" w:ascii="宋体" w:hAnsi="宋体"/>
          <w:szCs w:val="21"/>
        </w:rPr>
        <w:t>坪田区</w:t>
      </w:r>
      <w:r>
        <w:rPr>
          <w:rFonts w:ascii="宋体" w:hAnsi="宋体"/>
          <w:szCs w:val="21"/>
        </w:rPr>
        <w:t>6个乡：中坪、老宅、新圩、迳洞、坪田、坪湖。</w:t>
      </w:r>
    </w:p>
    <w:p w14:paraId="058DA2D6">
      <w:pPr>
        <w:ind w:firstLine="420"/>
        <w:rPr>
          <w:rFonts w:ascii="宋体" w:hAnsi="宋体"/>
          <w:szCs w:val="21"/>
        </w:rPr>
      </w:pPr>
      <w:r>
        <w:rPr>
          <w:rFonts w:hint="eastAsia" w:ascii="宋体" w:hAnsi="宋体"/>
          <w:szCs w:val="21"/>
        </w:rPr>
        <w:t>黄坑区</w:t>
      </w:r>
      <w:r>
        <w:rPr>
          <w:rFonts w:ascii="宋体" w:hAnsi="宋体"/>
          <w:szCs w:val="21"/>
        </w:rPr>
        <w:t>9个乡：；社前、小陂、黄坑、水西、溪塘、园岭、耶溪、许村、塘下。</w:t>
      </w:r>
    </w:p>
    <w:p w14:paraId="3261C476">
      <w:pPr>
        <w:ind w:firstLine="420"/>
        <w:rPr>
          <w:rFonts w:ascii="宋体" w:hAnsi="宋体"/>
          <w:szCs w:val="21"/>
        </w:rPr>
      </w:pPr>
      <w:r>
        <w:rPr>
          <w:rFonts w:hint="eastAsia" w:ascii="宋体" w:hAnsi="宋体"/>
          <w:szCs w:val="21"/>
        </w:rPr>
        <w:t>邓坊区</w:t>
      </w:r>
      <w:r>
        <w:rPr>
          <w:rFonts w:ascii="宋体" w:hAnsi="宋体"/>
          <w:szCs w:val="21"/>
        </w:rPr>
        <w:t>6个乡：邓坊、洋西、赤石、赤马、马战、里源。</w:t>
      </w:r>
    </w:p>
    <w:p w14:paraId="62467CF1">
      <w:pPr>
        <w:ind w:firstLine="420"/>
        <w:rPr>
          <w:rFonts w:ascii="宋体" w:hAnsi="宋体"/>
          <w:szCs w:val="21"/>
        </w:rPr>
      </w:pPr>
      <w:r>
        <w:rPr>
          <w:rFonts w:hint="eastAsia" w:ascii="宋体" w:hAnsi="宋体"/>
          <w:szCs w:val="21"/>
        </w:rPr>
        <w:t>油山区</w:t>
      </w:r>
      <w:r>
        <w:rPr>
          <w:rFonts w:ascii="宋体" w:hAnsi="宋体"/>
          <w:szCs w:val="21"/>
        </w:rPr>
        <w:t>7个乡：油山、坪田垇、连山、坪林、茶头背、上湖、兰田。</w:t>
      </w:r>
    </w:p>
    <w:p w14:paraId="192C3431">
      <w:pPr>
        <w:ind w:firstLine="420"/>
        <w:rPr>
          <w:rFonts w:ascii="宋体" w:hAnsi="宋体"/>
          <w:szCs w:val="21"/>
        </w:rPr>
      </w:pPr>
      <w:r>
        <w:rPr>
          <w:rFonts w:hint="eastAsia" w:ascii="宋体" w:hAnsi="宋体"/>
          <w:szCs w:val="21"/>
        </w:rPr>
        <w:t>大塘区</w:t>
      </w:r>
      <w:r>
        <w:rPr>
          <w:rFonts w:ascii="宋体" w:hAnsi="宋体"/>
          <w:szCs w:val="21"/>
        </w:rPr>
        <w:t>8个乡：大塘、上朔、黄田、锦陂、下惠、古城、爱政、浆田</w:t>
      </w:r>
      <w:r>
        <w:rPr>
          <w:rFonts w:hint="eastAsia" w:ascii="宋体" w:hAnsi="宋体"/>
          <w:szCs w:val="21"/>
        </w:rPr>
        <w:t>。</w:t>
      </w:r>
    </w:p>
    <w:p w14:paraId="35AAB67D">
      <w:pPr>
        <w:ind w:firstLine="420"/>
        <w:rPr>
          <w:rFonts w:ascii="宋体" w:hAnsi="宋体"/>
          <w:szCs w:val="21"/>
        </w:rPr>
      </w:pPr>
      <w:r>
        <w:rPr>
          <w:rFonts w:hint="eastAsia" w:ascii="宋体" w:hAnsi="宋体"/>
          <w:szCs w:val="21"/>
        </w:rPr>
        <w:t>南亩区</w:t>
      </w:r>
      <w:r>
        <w:rPr>
          <w:rFonts w:ascii="宋体" w:hAnsi="宋体"/>
          <w:szCs w:val="21"/>
        </w:rPr>
        <w:t>8个乡：南亩、水塘、中寺、岭下、芙蓉、鱼鲜、樟屋、官田</w:t>
      </w:r>
      <w:r>
        <w:rPr>
          <w:rFonts w:hint="eastAsia" w:ascii="宋体" w:hAnsi="宋体"/>
          <w:szCs w:val="21"/>
        </w:rPr>
        <w:t>。</w:t>
      </w:r>
    </w:p>
    <w:p w14:paraId="153246A9">
      <w:pPr>
        <w:ind w:firstLine="420"/>
        <w:rPr>
          <w:rFonts w:ascii="宋体" w:hAnsi="宋体"/>
          <w:szCs w:val="21"/>
        </w:rPr>
      </w:pPr>
      <w:r>
        <w:rPr>
          <w:rFonts w:hint="eastAsia" w:ascii="宋体" w:hAnsi="宋体"/>
          <w:szCs w:val="21"/>
        </w:rPr>
        <w:t>水口区</w:t>
      </w:r>
      <w:r>
        <w:rPr>
          <w:rFonts w:ascii="宋体" w:hAnsi="宋体"/>
          <w:szCs w:val="21"/>
        </w:rPr>
        <w:t>10个乡：水口、云西、弱过、大部、河坪、沙头、下湖、石庄、下楼、</w:t>
      </w:r>
      <w:r>
        <w:rPr>
          <w:rFonts w:hint="eastAsia" w:ascii="宋体" w:hAnsi="宋体"/>
          <w:szCs w:val="21"/>
        </w:rPr>
        <w:t>泷头。</w:t>
      </w:r>
    </w:p>
    <w:p w14:paraId="0359B874">
      <w:pPr>
        <w:ind w:firstLine="420"/>
        <w:rPr>
          <w:rFonts w:ascii="宋体" w:hAnsi="宋体"/>
          <w:szCs w:val="21"/>
        </w:rPr>
      </w:pPr>
      <w:r>
        <w:rPr>
          <w:rFonts w:hint="eastAsia" w:ascii="宋体" w:hAnsi="宋体"/>
          <w:szCs w:val="21"/>
        </w:rPr>
        <w:t>江头区</w:t>
      </w:r>
      <w:r>
        <w:rPr>
          <w:rFonts w:ascii="宋体" w:hAnsi="宋体"/>
          <w:szCs w:val="21"/>
        </w:rPr>
        <w:t>8个乡：江头、坪岗、涌溪、园圃、鱼仙、南浦、武岭、小竹。</w:t>
      </w:r>
    </w:p>
    <w:p w14:paraId="55A7419A">
      <w:pPr>
        <w:ind w:firstLine="420"/>
        <w:rPr>
          <w:rFonts w:ascii="宋体" w:hAnsi="宋体"/>
          <w:szCs w:val="21"/>
        </w:rPr>
      </w:pPr>
      <w:r>
        <w:rPr>
          <w:rFonts w:hint="eastAsia" w:ascii="宋体" w:hAnsi="宋体"/>
          <w:szCs w:val="21"/>
        </w:rPr>
        <w:t>湖口区</w:t>
      </w:r>
      <w:r>
        <w:rPr>
          <w:rFonts w:ascii="宋体" w:hAnsi="宋体"/>
          <w:szCs w:val="21"/>
        </w:rPr>
        <w:t>11个乡：湖口、里和、三角、三水、长市、新湖、新迳、矿岭、岗围、</w:t>
      </w:r>
      <w:r>
        <w:rPr>
          <w:rFonts w:hint="eastAsia" w:ascii="宋体" w:hAnsi="宋体"/>
          <w:szCs w:val="21"/>
        </w:rPr>
        <w:t>大和、承平。</w:t>
      </w:r>
    </w:p>
    <w:p w14:paraId="004C8163">
      <w:pPr>
        <w:ind w:firstLine="420"/>
        <w:rPr>
          <w:rFonts w:ascii="宋体" w:hAnsi="宋体"/>
          <w:szCs w:val="21"/>
        </w:rPr>
      </w:pPr>
      <w:r>
        <w:rPr>
          <w:rFonts w:hint="eastAsia" w:ascii="宋体" w:hAnsi="宋体"/>
          <w:szCs w:val="21"/>
        </w:rPr>
        <w:t>珠玑区</w:t>
      </w:r>
      <w:r>
        <w:rPr>
          <w:rFonts w:ascii="宋体" w:hAnsi="宋体"/>
          <w:szCs w:val="21"/>
        </w:rPr>
        <w:t>12个乡：珠玑、长迳、古田、聪背、塘东、洋湖、小里源、石塘、里东</w:t>
      </w:r>
      <w:r>
        <w:rPr>
          <w:rFonts w:hint="eastAsia" w:ascii="宋体" w:hAnsi="宋体"/>
          <w:szCs w:val="21"/>
        </w:rPr>
        <w:t>、灵潭、祇芫、南山。</w:t>
      </w:r>
    </w:p>
    <w:p w14:paraId="55DC4454">
      <w:pPr>
        <w:ind w:firstLine="420"/>
        <w:rPr>
          <w:rFonts w:ascii="宋体" w:hAnsi="宋体"/>
          <w:szCs w:val="21"/>
        </w:rPr>
      </w:pPr>
      <w:r>
        <w:rPr>
          <w:rFonts w:hint="eastAsia" w:ascii="宋体" w:hAnsi="宋体"/>
          <w:szCs w:val="21"/>
        </w:rPr>
        <w:t>梅岭区</w:t>
      </w:r>
      <w:r>
        <w:rPr>
          <w:rFonts w:ascii="宋体" w:hAnsi="宋体"/>
          <w:szCs w:val="21"/>
        </w:rPr>
        <w:t>5个乡：梅关、梅岭、泰源、中站、角湾。</w:t>
      </w:r>
    </w:p>
    <w:p w14:paraId="6A77ED51">
      <w:pPr>
        <w:ind w:firstLine="420"/>
        <w:rPr>
          <w:rFonts w:ascii="宋体" w:hAnsi="宋体"/>
          <w:szCs w:val="21"/>
        </w:rPr>
      </w:pPr>
      <w:r>
        <w:rPr>
          <w:rFonts w:hint="eastAsia" w:ascii="宋体" w:hAnsi="宋体"/>
          <w:szCs w:val="21"/>
        </w:rPr>
        <w:t>主田区</w:t>
      </w:r>
      <w:r>
        <w:rPr>
          <w:rFonts w:ascii="宋体" w:hAnsi="宋体"/>
          <w:szCs w:val="21"/>
        </w:rPr>
        <w:t>7个乡：主田、城门、大坝、塘山、西洞、高峰、窑合。</w:t>
      </w:r>
    </w:p>
    <w:p w14:paraId="3774107B">
      <w:pPr>
        <w:ind w:firstLine="420"/>
        <w:rPr>
          <w:rFonts w:ascii="宋体" w:hAnsi="宋体"/>
          <w:szCs w:val="21"/>
        </w:rPr>
      </w:pPr>
      <w:r>
        <w:rPr>
          <w:rFonts w:hint="eastAsia" w:ascii="宋体" w:hAnsi="宋体"/>
          <w:szCs w:val="21"/>
        </w:rPr>
        <w:t>古市区</w:t>
      </w:r>
      <w:r>
        <w:rPr>
          <w:rFonts w:ascii="宋体" w:hAnsi="宋体"/>
          <w:szCs w:val="21"/>
        </w:rPr>
        <w:t>7个乡：小坑、溪口、修仁、丰源、柴岭、丹布、古市</w:t>
      </w:r>
      <w:r>
        <w:rPr>
          <w:rFonts w:hint="eastAsia" w:ascii="宋体" w:hAnsi="宋体"/>
          <w:szCs w:val="21"/>
        </w:rPr>
        <w:t>。</w:t>
      </w:r>
    </w:p>
    <w:p w14:paraId="36AA31DA">
      <w:pPr>
        <w:ind w:firstLine="420"/>
        <w:rPr>
          <w:rFonts w:ascii="宋体" w:hAnsi="宋体"/>
          <w:szCs w:val="21"/>
        </w:rPr>
      </w:pPr>
      <w:r>
        <w:rPr>
          <w:rFonts w:hint="eastAsia" w:ascii="宋体" w:hAnsi="宋体"/>
          <w:szCs w:val="21"/>
        </w:rPr>
        <w:t>黎口区</w:t>
      </w:r>
      <w:r>
        <w:rPr>
          <w:rFonts w:ascii="宋体" w:hAnsi="宋体"/>
          <w:szCs w:val="21"/>
        </w:rPr>
        <w:t>8个乡：下坪、勋口、迳口、观新、上坪、五洲、荆岗、黎口</w:t>
      </w:r>
      <w:r>
        <w:rPr>
          <w:rFonts w:hint="eastAsia" w:ascii="宋体" w:hAnsi="宋体"/>
          <w:szCs w:val="21"/>
        </w:rPr>
        <w:t>。</w:t>
      </w:r>
    </w:p>
    <w:p w14:paraId="56AEB90A">
      <w:pPr>
        <w:ind w:firstLine="420"/>
        <w:rPr>
          <w:rFonts w:ascii="宋体" w:hAnsi="宋体"/>
          <w:szCs w:val="21"/>
        </w:rPr>
      </w:pPr>
      <w:r>
        <w:rPr>
          <w:rFonts w:hint="eastAsia" w:ascii="宋体" w:hAnsi="宋体"/>
          <w:szCs w:val="21"/>
        </w:rPr>
        <w:t>全安区</w:t>
      </w:r>
      <w:r>
        <w:rPr>
          <w:rFonts w:ascii="宋体" w:hAnsi="宋体"/>
          <w:szCs w:val="21"/>
        </w:rPr>
        <w:t>9个乡：全安、陂头、羊角、古塘、河塘、王亭石、杨历、艻迳、密下</w:t>
      </w:r>
      <w:r>
        <w:rPr>
          <w:rFonts w:hint="eastAsia" w:ascii="宋体" w:hAnsi="宋体"/>
          <w:szCs w:val="21"/>
        </w:rPr>
        <w:t>水。</w:t>
      </w:r>
    </w:p>
    <w:p w14:paraId="59775034">
      <w:pPr>
        <w:ind w:firstLine="420"/>
        <w:rPr>
          <w:rFonts w:ascii="宋体" w:hAnsi="宋体"/>
          <w:szCs w:val="21"/>
        </w:rPr>
      </w:pPr>
      <w:r>
        <w:rPr>
          <w:rFonts w:hint="eastAsia" w:ascii="宋体" w:hAnsi="宋体"/>
          <w:szCs w:val="21"/>
        </w:rPr>
        <w:t>苍石区</w:t>
      </w:r>
      <w:r>
        <w:rPr>
          <w:rFonts w:ascii="宋体" w:hAnsi="宋体"/>
          <w:szCs w:val="21"/>
        </w:rPr>
        <w:t>4个乡：苍石、大坪、兰溪、章禾洞</w:t>
      </w:r>
      <w:r>
        <w:rPr>
          <w:rFonts w:hint="eastAsia" w:ascii="宋体" w:hAnsi="宋体"/>
          <w:szCs w:val="21"/>
        </w:rPr>
        <w:t>。</w:t>
      </w:r>
    </w:p>
    <w:p w14:paraId="140671C2">
      <w:pPr>
        <w:ind w:firstLine="420"/>
        <w:rPr>
          <w:rFonts w:ascii="宋体" w:hAnsi="宋体"/>
          <w:szCs w:val="21"/>
        </w:rPr>
      </w:pPr>
      <w:r>
        <w:rPr>
          <w:rFonts w:hint="eastAsia" w:ascii="宋体" w:hAnsi="宋体"/>
          <w:szCs w:val="21"/>
        </w:rPr>
        <w:t>百顺区</w:t>
      </w:r>
      <w:r>
        <w:rPr>
          <w:rFonts w:ascii="宋体" w:hAnsi="宋体"/>
          <w:szCs w:val="21"/>
        </w:rPr>
        <w:t>10个乡：百顺、尚睦、杨梅、朱安、汾水、大沙洲、湖地、东坑、溪头、</w:t>
      </w:r>
      <w:r>
        <w:rPr>
          <w:rFonts w:hint="eastAsia" w:ascii="宋体" w:hAnsi="宋体"/>
          <w:szCs w:val="21"/>
        </w:rPr>
        <w:t>邓洞。</w:t>
      </w:r>
    </w:p>
    <w:p w14:paraId="4A6A36C3">
      <w:pPr>
        <w:ind w:firstLine="420"/>
        <w:rPr>
          <w:rFonts w:ascii="宋体" w:hAnsi="宋体"/>
          <w:szCs w:val="21"/>
        </w:rPr>
      </w:pPr>
      <w:r>
        <w:rPr>
          <w:rFonts w:hint="eastAsia" w:ascii="宋体" w:hAnsi="宋体"/>
          <w:szCs w:val="21"/>
        </w:rPr>
        <w:t>澜河区</w:t>
      </w:r>
      <w:r>
        <w:rPr>
          <w:rFonts w:ascii="宋体" w:hAnsi="宋体"/>
          <w:szCs w:val="21"/>
        </w:rPr>
        <w:t>6个乡：澜河、白云、洞底、上移、上澜、葛坪。</w:t>
      </w:r>
    </w:p>
    <w:p w14:paraId="2026CF5A">
      <w:pPr>
        <w:ind w:firstLine="420"/>
        <w:rPr>
          <w:rFonts w:ascii="宋体" w:hAnsi="宋体"/>
          <w:szCs w:val="21"/>
        </w:rPr>
      </w:pPr>
      <w:r>
        <w:rPr>
          <w:rFonts w:hint="eastAsia" w:ascii="宋体" w:hAnsi="宋体"/>
          <w:szCs w:val="21"/>
        </w:rPr>
        <w:t>帽子峰区</w:t>
      </w:r>
      <w:r>
        <w:rPr>
          <w:rFonts w:ascii="宋体" w:hAnsi="宋体"/>
          <w:szCs w:val="21"/>
        </w:rPr>
        <w:t>4个乡：富竹、洞头、坪山、上垅</w:t>
      </w:r>
      <w:r>
        <w:rPr>
          <w:rFonts w:hint="eastAsia" w:ascii="宋体" w:hAnsi="宋体"/>
          <w:szCs w:val="21"/>
        </w:rPr>
        <w:t>。</w:t>
      </w:r>
    </w:p>
    <w:p w14:paraId="7A237A00">
      <w:pPr>
        <w:ind w:firstLine="420"/>
        <w:rPr>
          <w:rFonts w:ascii="宋体" w:hAnsi="宋体"/>
          <w:szCs w:val="21"/>
        </w:rPr>
      </w:pPr>
      <w:r>
        <w:rPr>
          <w:rFonts w:hint="eastAsia" w:ascii="宋体" w:hAnsi="宋体"/>
          <w:szCs w:val="21"/>
        </w:rPr>
        <w:t>城关镇</w:t>
      </w:r>
      <w:r>
        <w:rPr>
          <w:rFonts w:ascii="宋体" w:hAnsi="宋体"/>
          <w:szCs w:val="21"/>
        </w:rPr>
        <w:t>5个管理区：铺背、莲塘、郊区、河南、水南。</w:t>
      </w:r>
    </w:p>
    <w:p w14:paraId="1EA2870C">
      <w:pPr>
        <w:ind w:firstLine="422"/>
        <w:rPr>
          <w:rFonts w:ascii="宋体" w:hAnsi="宋体"/>
          <w:b/>
          <w:szCs w:val="21"/>
        </w:rPr>
      </w:pPr>
      <w:r>
        <w:rPr>
          <w:rFonts w:hint="eastAsia" w:ascii="宋体" w:hAnsi="宋体"/>
          <w:b/>
          <w:szCs w:val="21"/>
        </w:rPr>
        <w:t>（五）撤区建乡镇</w:t>
      </w:r>
    </w:p>
    <w:p w14:paraId="3856FB45">
      <w:pPr>
        <w:ind w:firstLine="420"/>
        <w:rPr>
          <w:rFonts w:ascii="宋体" w:hAnsi="宋体"/>
          <w:szCs w:val="21"/>
        </w:rPr>
      </w:pPr>
      <w:r>
        <w:rPr>
          <w:rFonts w:ascii="宋体" w:hAnsi="宋体"/>
          <w:szCs w:val="21"/>
        </w:rPr>
        <w:t>1986年冬以原23个区改为12个乡、11个镇，原各区辖属的174个乡则调整为211个村民委员会和17个圩镇居民委员会，雄州镇保留不变，仍辖5个管理区、5个</w:t>
      </w:r>
      <w:r>
        <w:rPr>
          <w:rFonts w:hint="eastAsia" w:ascii="宋体" w:hAnsi="宋体"/>
          <w:szCs w:val="21"/>
        </w:rPr>
        <w:t>街道居民委员会。</w:t>
      </w:r>
    </w:p>
    <w:p w14:paraId="695F7846">
      <w:pPr>
        <w:ind w:firstLine="0" w:firstLineChars="0"/>
        <w:jc w:val="center"/>
        <w:rPr>
          <w:rFonts w:ascii="宋体" w:hAnsi="宋体"/>
          <w:szCs w:val="21"/>
        </w:rPr>
      </w:pPr>
      <w:r>
        <w:rPr>
          <w:rFonts w:ascii="宋体" w:hAnsi="宋体"/>
          <w:b/>
          <w:szCs w:val="21"/>
        </w:rPr>
        <w:t>1987年南雄县乡镇村民（居民）委员会一览</w:t>
      </w:r>
    </w:p>
    <w:p w14:paraId="3FE243FA">
      <w:pPr>
        <w:ind w:firstLine="0" w:firstLineChars="0"/>
        <w:rPr>
          <w:rFonts w:ascii="宋体" w:hAnsi="宋体"/>
          <w:b/>
          <w:szCs w:val="21"/>
        </w:rPr>
      </w:pPr>
      <w:r>
        <w:rPr>
          <w:rFonts w:ascii="宋体" w:hAnsi="宋体"/>
          <w:b/>
          <w:szCs w:val="21"/>
        </w:rPr>
        <w:t>表1-3</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5"/>
        <w:gridCol w:w="773"/>
        <w:gridCol w:w="2317"/>
        <w:gridCol w:w="773"/>
        <w:gridCol w:w="4824"/>
      </w:tblGrid>
      <w:tr w14:paraId="6B36BF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restart"/>
            <w:vAlign w:val="center"/>
          </w:tcPr>
          <w:p w14:paraId="15DBFA91">
            <w:pPr>
              <w:pStyle w:val="12"/>
              <w:jc w:val="center"/>
              <w:rPr>
                <w:rFonts w:ascii="宋体" w:hAnsi="宋体"/>
                <w:b/>
              </w:rPr>
            </w:pPr>
            <w:r>
              <w:rPr>
                <w:rFonts w:hint="eastAsia" w:ascii="宋体" w:hAnsi="宋体"/>
                <w:b/>
              </w:rPr>
              <w:t>乡镇名称</w:t>
            </w:r>
          </w:p>
        </w:tc>
        <w:tc>
          <w:tcPr>
            <w:tcW w:w="1551" w:type="pct"/>
            <w:gridSpan w:val="2"/>
            <w:vAlign w:val="center"/>
          </w:tcPr>
          <w:p w14:paraId="44519B7D">
            <w:pPr>
              <w:pStyle w:val="12"/>
              <w:jc w:val="center"/>
              <w:rPr>
                <w:rFonts w:ascii="宋体" w:hAnsi="宋体"/>
                <w:b/>
              </w:rPr>
            </w:pPr>
            <w:r>
              <w:rPr>
                <w:rFonts w:hint="eastAsia" w:ascii="宋体" w:hAnsi="宋体"/>
                <w:b/>
              </w:rPr>
              <w:t>居民委员会</w:t>
            </w:r>
          </w:p>
        </w:tc>
        <w:tc>
          <w:tcPr>
            <w:tcW w:w="2810" w:type="pct"/>
            <w:gridSpan w:val="2"/>
            <w:vAlign w:val="center"/>
          </w:tcPr>
          <w:p w14:paraId="704363FE">
            <w:pPr>
              <w:pStyle w:val="12"/>
              <w:jc w:val="center"/>
              <w:rPr>
                <w:rFonts w:ascii="宋体" w:hAnsi="宋体"/>
                <w:b/>
              </w:rPr>
            </w:pPr>
            <w:r>
              <w:rPr>
                <w:rFonts w:hint="eastAsia" w:ascii="宋体" w:hAnsi="宋体"/>
                <w:b/>
              </w:rPr>
              <w:t>村民委员会、管理区</w:t>
            </w:r>
          </w:p>
        </w:tc>
      </w:tr>
      <w:tr w14:paraId="4DBFF1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1C618D03">
            <w:pPr>
              <w:pStyle w:val="12"/>
              <w:jc w:val="center"/>
              <w:rPr>
                <w:rFonts w:ascii="宋体" w:hAnsi="宋体"/>
                <w:b/>
              </w:rPr>
            </w:pPr>
          </w:p>
        </w:tc>
        <w:tc>
          <w:tcPr>
            <w:tcW w:w="388" w:type="pct"/>
            <w:vAlign w:val="center"/>
          </w:tcPr>
          <w:p w14:paraId="2F3C6883">
            <w:pPr>
              <w:pStyle w:val="12"/>
              <w:jc w:val="center"/>
              <w:rPr>
                <w:rFonts w:ascii="宋体" w:hAnsi="宋体"/>
                <w:b/>
              </w:rPr>
            </w:pPr>
            <w:r>
              <w:rPr>
                <w:rFonts w:hint="eastAsia" w:ascii="宋体" w:hAnsi="宋体"/>
                <w:b/>
              </w:rPr>
              <w:t>个数</w:t>
            </w:r>
          </w:p>
        </w:tc>
        <w:tc>
          <w:tcPr>
            <w:tcW w:w="1163" w:type="pct"/>
            <w:vAlign w:val="center"/>
          </w:tcPr>
          <w:p w14:paraId="1D1F3CC1">
            <w:pPr>
              <w:pStyle w:val="12"/>
              <w:jc w:val="center"/>
              <w:rPr>
                <w:rFonts w:ascii="宋体" w:hAnsi="宋体"/>
                <w:b/>
              </w:rPr>
            </w:pPr>
            <w:r>
              <w:rPr>
                <w:rFonts w:hint="eastAsia" w:ascii="宋体" w:hAnsi="宋体"/>
                <w:b/>
              </w:rPr>
              <w:t>名称</w:t>
            </w:r>
          </w:p>
        </w:tc>
        <w:tc>
          <w:tcPr>
            <w:tcW w:w="388" w:type="pct"/>
            <w:vAlign w:val="center"/>
          </w:tcPr>
          <w:p w14:paraId="6A014D61">
            <w:pPr>
              <w:pStyle w:val="12"/>
              <w:jc w:val="center"/>
              <w:rPr>
                <w:rFonts w:ascii="宋体" w:hAnsi="宋体"/>
                <w:b/>
              </w:rPr>
            </w:pPr>
            <w:r>
              <w:rPr>
                <w:rFonts w:hint="eastAsia" w:ascii="宋体" w:hAnsi="宋体"/>
                <w:b/>
              </w:rPr>
              <w:t>个数</w:t>
            </w:r>
          </w:p>
        </w:tc>
        <w:tc>
          <w:tcPr>
            <w:tcW w:w="2422" w:type="pct"/>
            <w:vAlign w:val="center"/>
          </w:tcPr>
          <w:p w14:paraId="4AC692E2">
            <w:pPr>
              <w:pStyle w:val="12"/>
              <w:jc w:val="center"/>
              <w:rPr>
                <w:rFonts w:ascii="宋体" w:hAnsi="宋体"/>
                <w:b/>
              </w:rPr>
            </w:pPr>
            <w:r>
              <w:rPr>
                <w:rFonts w:hint="eastAsia" w:ascii="宋体" w:hAnsi="宋体"/>
                <w:b/>
              </w:rPr>
              <w:t>名称</w:t>
            </w:r>
          </w:p>
        </w:tc>
      </w:tr>
      <w:tr w14:paraId="32FEF9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3016970">
            <w:pPr>
              <w:pStyle w:val="12"/>
              <w:jc w:val="center"/>
              <w:rPr>
                <w:rFonts w:ascii="宋体" w:hAnsi="宋体"/>
              </w:rPr>
            </w:pPr>
            <w:r>
              <w:rPr>
                <w:rFonts w:hint="eastAsia" w:ascii="宋体" w:hAnsi="宋体"/>
              </w:rPr>
              <w:t>雄州镇</w:t>
            </w:r>
          </w:p>
        </w:tc>
        <w:tc>
          <w:tcPr>
            <w:tcW w:w="388" w:type="pct"/>
            <w:vAlign w:val="center"/>
          </w:tcPr>
          <w:p w14:paraId="7A89EB33">
            <w:pPr>
              <w:pStyle w:val="12"/>
              <w:jc w:val="center"/>
              <w:rPr>
                <w:rFonts w:ascii="宋体" w:hAnsi="宋体"/>
              </w:rPr>
            </w:pPr>
            <w:r>
              <w:rPr>
                <w:rFonts w:hint="eastAsia" w:ascii="宋体" w:hAnsi="宋体"/>
              </w:rPr>
              <w:t>5</w:t>
            </w:r>
          </w:p>
        </w:tc>
        <w:tc>
          <w:tcPr>
            <w:tcW w:w="1163" w:type="pct"/>
            <w:vAlign w:val="center"/>
          </w:tcPr>
          <w:p w14:paraId="18035B09">
            <w:pPr>
              <w:pStyle w:val="12"/>
              <w:jc w:val="center"/>
              <w:rPr>
                <w:rFonts w:ascii="宋体" w:hAnsi="宋体"/>
              </w:rPr>
            </w:pPr>
            <w:r>
              <w:rPr>
                <w:rFonts w:hint="eastAsia" w:ascii="宋体" w:hAnsi="宋体"/>
              </w:rPr>
              <w:t>八一街、胜利街、民主街、建国街、幸福街</w:t>
            </w:r>
          </w:p>
        </w:tc>
        <w:tc>
          <w:tcPr>
            <w:tcW w:w="388" w:type="pct"/>
            <w:vAlign w:val="center"/>
          </w:tcPr>
          <w:p w14:paraId="54CC152B">
            <w:pPr>
              <w:pStyle w:val="12"/>
              <w:jc w:val="center"/>
              <w:rPr>
                <w:rFonts w:ascii="宋体" w:hAnsi="宋体"/>
              </w:rPr>
            </w:pPr>
            <w:r>
              <w:rPr>
                <w:rFonts w:hint="eastAsia" w:ascii="宋体" w:hAnsi="宋体"/>
              </w:rPr>
              <w:t>5</w:t>
            </w:r>
          </w:p>
        </w:tc>
        <w:tc>
          <w:tcPr>
            <w:tcW w:w="2422" w:type="pct"/>
            <w:vAlign w:val="center"/>
          </w:tcPr>
          <w:p w14:paraId="46737B4B">
            <w:pPr>
              <w:pStyle w:val="12"/>
              <w:jc w:val="left"/>
              <w:rPr>
                <w:rFonts w:ascii="宋体" w:hAnsi="宋体"/>
              </w:rPr>
            </w:pPr>
            <w:r>
              <w:rPr>
                <w:rFonts w:hint="eastAsia" w:ascii="宋体" w:hAnsi="宋体"/>
              </w:rPr>
              <w:t>管理区：河南、水南、铺背、莲塘、郊区</w:t>
            </w:r>
          </w:p>
        </w:tc>
      </w:tr>
      <w:tr w14:paraId="63619B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C054D33">
            <w:pPr>
              <w:pStyle w:val="12"/>
              <w:jc w:val="center"/>
              <w:rPr>
                <w:rFonts w:ascii="宋体" w:hAnsi="宋体"/>
              </w:rPr>
            </w:pPr>
            <w:r>
              <w:rPr>
                <w:rFonts w:hint="eastAsia" w:ascii="宋体" w:hAnsi="宋体"/>
              </w:rPr>
              <w:t>乌迳镇</w:t>
            </w:r>
          </w:p>
        </w:tc>
        <w:tc>
          <w:tcPr>
            <w:tcW w:w="388" w:type="pct"/>
            <w:vAlign w:val="center"/>
          </w:tcPr>
          <w:p w14:paraId="60232BCB">
            <w:pPr>
              <w:pStyle w:val="12"/>
              <w:jc w:val="center"/>
              <w:rPr>
                <w:rFonts w:ascii="宋体" w:hAnsi="宋体"/>
              </w:rPr>
            </w:pPr>
            <w:r>
              <w:rPr>
                <w:rFonts w:hint="eastAsia" w:ascii="宋体" w:hAnsi="宋体"/>
              </w:rPr>
              <w:t>1</w:t>
            </w:r>
          </w:p>
        </w:tc>
        <w:tc>
          <w:tcPr>
            <w:tcW w:w="1163" w:type="pct"/>
            <w:vAlign w:val="center"/>
          </w:tcPr>
          <w:p w14:paraId="5A226A3B">
            <w:pPr>
              <w:pStyle w:val="12"/>
              <w:jc w:val="center"/>
              <w:rPr>
                <w:rFonts w:ascii="宋体" w:hAnsi="宋体"/>
              </w:rPr>
            </w:pPr>
            <w:r>
              <w:rPr>
                <w:rFonts w:hint="eastAsia" w:ascii="宋体" w:hAnsi="宋体"/>
              </w:rPr>
              <w:t>迳  新</w:t>
            </w:r>
          </w:p>
        </w:tc>
        <w:tc>
          <w:tcPr>
            <w:tcW w:w="388" w:type="pct"/>
            <w:vAlign w:val="center"/>
          </w:tcPr>
          <w:p w14:paraId="1894EAE3">
            <w:pPr>
              <w:pStyle w:val="12"/>
              <w:jc w:val="center"/>
              <w:rPr>
                <w:rFonts w:ascii="宋体" w:hAnsi="宋体"/>
              </w:rPr>
            </w:pPr>
            <w:r>
              <w:rPr>
                <w:rFonts w:hint="eastAsia" w:ascii="宋体" w:hAnsi="宋体"/>
              </w:rPr>
              <w:t>16</w:t>
            </w:r>
          </w:p>
        </w:tc>
        <w:tc>
          <w:tcPr>
            <w:tcW w:w="2422" w:type="pct"/>
            <w:vAlign w:val="center"/>
          </w:tcPr>
          <w:p w14:paraId="71B152B3">
            <w:pPr>
              <w:pStyle w:val="12"/>
              <w:jc w:val="left"/>
              <w:rPr>
                <w:rFonts w:ascii="宋体" w:hAnsi="宋体"/>
              </w:rPr>
            </w:pPr>
            <w:r>
              <w:rPr>
                <w:rFonts w:hint="eastAsia" w:ascii="宋体" w:hAnsi="宋体"/>
              </w:rPr>
              <w:t>乌迳、山下、鱼塘、新田、高溯、长龙、坪塘、龙迳、黄塘、水松、孔塘、庙前、白龙、官门楼、响联、黄洞</w:t>
            </w:r>
          </w:p>
        </w:tc>
      </w:tr>
      <w:tr w14:paraId="78D387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4E5F84C">
            <w:pPr>
              <w:pStyle w:val="12"/>
              <w:jc w:val="center"/>
              <w:rPr>
                <w:rFonts w:ascii="宋体" w:hAnsi="宋体"/>
              </w:rPr>
            </w:pPr>
            <w:r>
              <w:rPr>
                <w:rFonts w:hint="eastAsia" w:ascii="宋体" w:hAnsi="宋体"/>
              </w:rPr>
              <w:t>大塘镇</w:t>
            </w:r>
          </w:p>
        </w:tc>
        <w:tc>
          <w:tcPr>
            <w:tcW w:w="388" w:type="pct"/>
            <w:vAlign w:val="center"/>
          </w:tcPr>
          <w:p w14:paraId="67D2DAC2">
            <w:pPr>
              <w:pStyle w:val="12"/>
              <w:jc w:val="center"/>
              <w:rPr>
                <w:rFonts w:ascii="宋体" w:hAnsi="宋体"/>
              </w:rPr>
            </w:pPr>
            <w:r>
              <w:rPr>
                <w:rFonts w:hint="eastAsia" w:ascii="宋体" w:hAnsi="宋体"/>
              </w:rPr>
              <w:t>1</w:t>
            </w:r>
          </w:p>
        </w:tc>
        <w:tc>
          <w:tcPr>
            <w:tcW w:w="1163" w:type="pct"/>
            <w:vAlign w:val="center"/>
          </w:tcPr>
          <w:p w14:paraId="73D44573">
            <w:pPr>
              <w:pStyle w:val="12"/>
              <w:jc w:val="center"/>
              <w:rPr>
                <w:rFonts w:ascii="宋体" w:hAnsi="宋体"/>
              </w:rPr>
            </w:pPr>
            <w:r>
              <w:rPr>
                <w:rFonts w:hint="eastAsia" w:ascii="宋体" w:hAnsi="宋体"/>
              </w:rPr>
              <w:t>大塘圩</w:t>
            </w:r>
          </w:p>
        </w:tc>
        <w:tc>
          <w:tcPr>
            <w:tcW w:w="388" w:type="pct"/>
            <w:vAlign w:val="center"/>
          </w:tcPr>
          <w:p w14:paraId="4126E291">
            <w:pPr>
              <w:pStyle w:val="12"/>
              <w:jc w:val="center"/>
              <w:rPr>
                <w:rFonts w:ascii="宋体" w:hAnsi="宋体"/>
              </w:rPr>
            </w:pPr>
            <w:r>
              <w:rPr>
                <w:rFonts w:hint="eastAsia" w:ascii="宋体" w:hAnsi="宋体"/>
              </w:rPr>
              <w:t>14</w:t>
            </w:r>
          </w:p>
        </w:tc>
        <w:tc>
          <w:tcPr>
            <w:tcW w:w="2422" w:type="pct"/>
            <w:vAlign w:val="center"/>
          </w:tcPr>
          <w:p w14:paraId="79458362">
            <w:pPr>
              <w:pStyle w:val="12"/>
              <w:jc w:val="left"/>
              <w:rPr>
                <w:rFonts w:ascii="宋体" w:hAnsi="宋体"/>
              </w:rPr>
            </w:pPr>
            <w:r>
              <w:rPr>
                <w:rFonts w:hint="eastAsia" w:ascii="宋体" w:hAnsi="宋体"/>
              </w:rPr>
              <w:t>上浆田、爱政、锦陂、上朔、塘岭、黄田、下惠、古城、郭屋、井头、船塘、延村、夹河口、孔村</w:t>
            </w:r>
          </w:p>
        </w:tc>
      </w:tr>
      <w:tr w14:paraId="22BB2E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7525849">
            <w:pPr>
              <w:pStyle w:val="12"/>
              <w:jc w:val="center"/>
              <w:rPr>
                <w:rFonts w:ascii="宋体" w:hAnsi="宋体"/>
              </w:rPr>
            </w:pPr>
            <w:r>
              <w:rPr>
                <w:rFonts w:hint="eastAsia" w:ascii="宋体" w:hAnsi="宋体"/>
              </w:rPr>
              <w:t>黄坑镇</w:t>
            </w:r>
          </w:p>
        </w:tc>
        <w:tc>
          <w:tcPr>
            <w:tcW w:w="388" w:type="pct"/>
            <w:vAlign w:val="center"/>
          </w:tcPr>
          <w:p w14:paraId="32CB6486">
            <w:pPr>
              <w:pStyle w:val="12"/>
              <w:jc w:val="center"/>
              <w:rPr>
                <w:rFonts w:ascii="宋体" w:hAnsi="宋体"/>
              </w:rPr>
            </w:pPr>
            <w:r>
              <w:rPr>
                <w:rFonts w:hint="eastAsia" w:ascii="宋体" w:hAnsi="宋体"/>
              </w:rPr>
              <w:t>1</w:t>
            </w:r>
          </w:p>
        </w:tc>
        <w:tc>
          <w:tcPr>
            <w:tcW w:w="1163" w:type="pct"/>
            <w:vAlign w:val="center"/>
          </w:tcPr>
          <w:p w14:paraId="5A1DDEE4">
            <w:pPr>
              <w:pStyle w:val="12"/>
              <w:jc w:val="center"/>
              <w:rPr>
                <w:rFonts w:ascii="宋体" w:hAnsi="宋体"/>
              </w:rPr>
            </w:pPr>
            <w:r>
              <w:rPr>
                <w:rFonts w:hint="eastAsia" w:ascii="宋体" w:hAnsi="宋体"/>
              </w:rPr>
              <w:t>圩  坪</w:t>
            </w:r>
          </w:p>
        </w:tc>
        <w:tc>
          <w:tcPr>
            <w:tcW w:w="388" w:type="pct"/>
            <w:vAlign w:val="center"/>
          </w:tcPr>
          <w:p w14:paraId="25403DF4">
            <w:pPr>
              <w:pStyle w:val="12"/>
              <w:jc w:val="center"/>
              <w:rPr>
                <w:rFonts w:ascii="宋体" w:hAnsi="宋体"/>
              </w:rPr>
            </w:pPr>
            <w:r>
              <w:rPr>
                <w:rFonts w:hint="eastAsia" w:ascii="宋体" w:hAnsi="宋体"/>
              </w:rPr>
              <w:t>11</w:t>
            </w:r>
          </w:p>
        </w:tc>
        <w:tc>
          <w:tcPr>
            <w:tcW w:w="2422" w:type="pct"/>
            <w:vAlign w:val="center"/>
          </w:tcPr>
          <w:p w14:paraId="43FFDA95">
            <w:pPr>
              <w:pStyle w:val="12"/>
              <w:jc w:val="left"/>
              <w:rPr>
                <w:rFonts w:ascii="宋体" w:hAnsi="宋体"/>
              </w:rPr>
            </w:pPr>
            <w:r>
              <w:rPr>
                <w:rFonts w:hint="eastAsia" w:ascii="宋体" w:hAnsi="宋体"/>
              </w:rPr>
              <w:t>社前、小陂、黄坑、水西、溪塘、园岭、中心村、耶溪、许村、塘下、上象</w:t>
            </w:r>
          </w:p>
        </w:tc>
      </w:tr>
      <w:tr w14:paraId="7A8A40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52536FA">
            <w:pPr>
              <w:pStyle w:val="12"/>
              <w:jc w:val="center"/>
              <w:rPr>
                <w:rFonts w:ascii="宋体" w:hAnsi="宋体"/>
              </w:rPr>
            </w:pPr>
            <w:r>
              <w:rPr>
                <w:rFonts w:hint="eastAsia" w:ascii="宋体" w:hAnsi="宋体"/>
              </w:rPr>
              <w:t>湖口镇</w:t>
            </w:r>
          </w:p>
        </w:tc>
        <w:tc>
          <w:tcPr>
            <w:tcW w:w="388" w:type="pct"/>
            <w:vAlign w:val="center"/>
          </w:tcPr>
          <w:p w14:paraId="5878372D">
            <w:pPr>
              <w:pStyle w:val="12"/>
              <w:jc w:val="center"/>
              <w:rPr>
                <w:rFonts w:ascii="宋体" w:hAnsi="宋体"/>
              </w:rPr>
            </w:pPr>
            <w:r>
              <w:rPr>
                <w:rFonts w:hint="eastAsia" w:ascii="宋体" w:hAnsi="宋体"/>
              </w:rPr>
              <w:t>1</w:t>
            </w:r>
          </w:p>
        </w:tc>
        <w:tc>
          <w:tcPr>
            <w:tcW w:w="1163" w:type="pct"/>
            <w:vAlign w:val="center"/>
          </w:tcPr>
          <w:p w14:paraId="702FB5E7">
            <w:pPr>
              <w:pStyle w:val="12"/>
              <w:jc w:val="center"/>
              <w:rPr>
                <w:rFonts w:ascii="宋体" w:hAnsi="宋体"/>
              </w:rPr>
            </w:pPr>
            <w:r>
              <w:rPr>
                <w:rFonts w:hint="eastAsia" w:ascii="宋体" w:hAnsi="宋体"/>
              </w:rPr>
              <w:t>湖口圩</w:t>
            </w:r>
          </w:p>
        </w:tc>
        <w:tc>
          <w:tcPr>
            <w:tcW w:w="388" w:type="pct"/>
            <w:vAlign w:val="center"/>
          </w:tcPr>
          <w:p w14:paraId="539DA4B9">
            <w:pPr>
              <w:pStyle w:val="12"/>
              <w:jc w:val="center"/>
              <w:rPr>
                <w:rFonts w:ascii="宋体" w:hAnsi="宋体"/>
              </w:rPr>
            </w:pPr>
            <w:r>
              <w:rPr>
                <w:rFonts w:hint="eastAsia" w:ascii="宋体" w:hAnsi="宋体"/>
              </w:rPr>
              <w:t>14</w:t>
            </w:r>
          </w:p>
        </w:tc>
        <w:tc>
          <w:tcPr>
            <w:tcW w:w="2422" w:type="pct"/>
            <w:vAlign w:val="center"/>
          </w:tcPr>
          <w:p w14:paraId="12C48C38">
            <w:pPr>
              <w:pStyle w:val="12"/>
              <w:jc w:val="left"/>
              <w:rPr>
                <w:rFonts w:ascii="宋体" w:hAnsi="宋体"/>
              </w:rPr>
            </w:pPr>
            <w:r>
              <w:rPr>
                <w:rFonts w:hint="eastAsia" w:ascii="宋体" w:hAnsi="宋体"/>
              </w:rPr>
              <w:t>里和、三角、三水、长市、新湖、新迳、矿岭、岗围、湖口、太和、承平、麻塔石、石坑、积塔</w:t>
            </w:r>
          </w:p>
        </w:tc>
      </w:tr>
      <w:tr w14:paraId="029527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96CD0C9">
            <w:pPr>
              <w:pStyle w:val="12"/>
              <w:jc w:val="center"/>
              <w:rPr>
                <w:rFonts w:ascii="宋体" w:hAnsi="宋体"/>
              </w:rPr>
            </w:pPr>
            <w:r>
              <w:rPr>
                <w:rFonts w:hint="eastAsia" w:ascii="宋体" w:hAnsi="宋体"/>
              </w:rPr>
              <w:t>水口镇</w:t>
            </w:r>
          </w:p>
        </w:tc>
        <w:tc>
          <w:tcPr>
            <w:tcW w:w="388" w:type="pct"/>
            <w:vAlign w:val="center"/>
          </w:tcPr>
          <w:p w14:paraId="01534362">
            <w:pPr>
              <w:pStyle w:val="12"/>
              <w:jc w:val="center"/>
              <w:rPr>
                <w:rFonts w:ascii="宋体" w:hAnsi="宋体"/>
              </w:rPr>
            </w:pPr>
            <w:r>
              <w:rPr>
                <w:rFonts w:hint="eastAsia" w:ascii="宋体" w:hAnsi="宋体"/>
              </w:rPr>
              <w:t>1</w:t>
            </w:r>
          </w:p>
        </w:tc>
        <w:tc>
          <w:tcPr>
            <w:tcW w:w="1163" w:type="pct"/>
            <w:vAlign w:val="center"/>
          </w:tcPr>
          <w:p w14:paraId="5E6089EA">
            <w:pPr>
              <w:pStyle w:val="12"/>
              <w:jc w:val="center"/>
              <w:rPr>
                <w:rFonts w:ascii="宋体" w:hAnsi="宋体"/>
              </w:rPr>
            </w:pPr>
            <w:r>
              <w:rPr>
                <w:rFonts w:hint="eastAsia" w:ascii="宋体" w:hAnsi="宋体"/>
              </w:rPr>
              <w:t>圩  上</w:t>
            </w:r>
          </w:p>
        </w:tc>
        <w:tc>
          <w:tcPr>
            <w:tcW w:w="388" w:type="pct"/>
            <w:vAlign w:val="center"/>
          </w:tcPr>
          <w:p w14:paraId="64D5663D">
            <w:pPr>
              <w:pStyle w:val="12"/>
              <w:jc w:val="center"/>
              <w:rPr>
                <w:rFonts w:ascii="宋体" w:hAnsi="宋体"/>
              </w:rPr>
            </w:pPr>
            <w:r>
              <w:rPr>
                <w:rFonts w:hint="eastAsia" w:ascii="宋体" w:hAnsi="宋体"/>
              </w:rPr>
              <w:t>10</w:t>
            </w:r>
          </w:p>
        </w:tc>
        <w:tc>
          <w:tcPr>
            <w:tcW w:w="2422" w:type="pct"/>
            <w:vAlign w:val="center"/>
          </w:tcPr>
          <w:p w14:paraId="2DA96FFB">
            <w:pPr>
              <w:pStyle w:val="12"/>
              <w:jc w:val="left"/>
              <w:rPr>
                <w:rFonts w:ascii="宋体" w:hAnsi="宋体"/>
              </w:rPr>
            </w:pPr>
            <w:r>
              <w:rPr>
                <w:rFonts w:hint="eastAsia" w:ascii="宋体" w:hAnsi="宋体"/>
              </w:rPr>
              <w:t>云西、弱过、水口、大部、河坪、沙头、下湖、石庄、下楼、泷头</w:t>
            </w:r>
          </w:p>
        </w:tc>
      </w:tr>
      <w:tr w14:paraId="510675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42B4486">
            <w:pPr>
              <w:pStyle w:val="12"/>
              <w:jc w:val="center"/>
              <w:rPr>
                <w:rFonts w:ascii="宋体" w:hAnsi="宋体"/>
              </w:rPr>
            </w:pPr>
            <w:r>
              <w:rPr>
                <w:rFonts w:hint="eastAsia" w:ascii="宋体" w:hAnsi="宋体"/>
              </w:rPr>
              <w:t>梅岭镇</w:t>
            </w:r>
          </w:p>
        </w:tc>
        <w:tc>
          <w:tcPr>
            <w:tcW w:w="388" w:type="pct"/>
            <w:vAlign w:val="center"/>
          </w:tcPr>
          <w:p w14:paraId="16838858">
            <w:pPr>
              <w:pStyle w:val="12"/>
              <w:jc w:val="center"/>
              <w:rPr>
                <w:rFonts w:ascii="宋体" w:hAnsi="宋体"/>
              </w:rPr>
            </w:pPr>
            <w:r>
              <w:rPr>
                <w:rFonts w:hint="eastAsia" w:ascii="宋体" w:hAnsi="宋体"/>
              </w:rPr>
              <w:t>2</w:t>
            </w:r>
          </w:p>
        </w:tc>
        <w:tc>
          <w:tcPr>
            <w:tcW w:w="1163" w:type="pct"/>
            <w:vAlign w:val="center"/>
          </w:tcPr>
          <w:p w14:paraId="0468E56F">
            <w:pPr>
              <w:pStyle w:val="12"/>
              <w:jc w:val="center"/>
              <w:rPr>
                <w:rFonts w:ascii="宋体" w:hAnsi="宋体"/>
              </w:rPr>
            </w:pPr>
            <w:r>
              <w:rPr>
                <w:rFonts w:hint="eastAsia" w:ascii="宋体" w:hAnsi="宋体"/>
              </w:rPr>
              <w:t>小岭圩</w:t>
            </w:r>
          </w:p>
          <w:p w14:paraId="22728B1D">
            <w:pPr>
              <w:pStyle w:val="12"/>
              <w:jc w:val="center"/>
              <w:rPr>
                <w:rFonts w:ascii="宋体" w:hAnsi="宋体"/>
              </w:rPr>
            </w:pPr>
            <w:r>
              <w:rPr>
                <w:rFonts w:hint="eastAsia" w:ascii="宋体" w:hAnsi="宋体"/>
              </w:rPr>
              <w:t>坪  山</w:t>
            </w:r>
          </w:p>
        </w:tc>
        <w:tc>
          <w:tcPr>
            <w:tcW w:w="388" w:type="pct"/>
            <w:vAlign w:val="center"/>
          </w:tcPr>
          <w:p w14:paraId="3EE8B7C6">
            <w:pPr>
              <w:pStyle w:val="12"/>
              <w:jc w:val="center"/>
              <w:rPr>
                <w:rFonts w:ascii="宋体" w:hAnsi="宋体"/>
              </w:rPr>
            </w:pPr>
            <w:r>
              <w:rPr>
                <w:rFonts w:hint="eastAsia" w:ascii="宋体" w:hAnsi="宋体"/>
              </w:rPr>
              <w:t>5</w:t>
            </w:r>
          </w:p>
        </w:tc>
        <w:tc>
          <w:tcPr>
            <w:tcW w:w="2422" w:type="pct"/>
            <w:vAlign w:val="center"/>
          </w:tcPr>
          <w:p w14:paraId="769E8795">
            <w:pPr>
              <w:pStyle w:val="12"/>
              <w:jc w:val="left"/>
              <w:rPr>
                <w:rFonts w:ascii="宋体" w:hAnsi="宋体"/>
              </w:rPr>
            </w:pPr>
            <w:r>
              <w:rPr>
                <w:rFonts w:hint="eastAsia" w:ascii="宋体" w:hAnsi="宋体"/>
              </w:rPr>
              <w:t>梅关、梅岭、泰源、中站、角湾</w:t>
            </w:r>
          </w:p>
        </w:tc>
      </w:tr>
      <w:tr w14:paraId="5A8C45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0DE58A7">
            <w:pPr>
              <w:pStyle w:val="12"/>
              <w:jc w:val="center"/>
              <w:rPr>
                <w:rFonts w:ascii="宋体" w:hAnsi="宋体"/>
              </w:rPr>
            </w:pPr>
            <w:r>
              <w:rPr>
                <w:rFonts w:hint="eastAsia" w:ascii="宋体" w:hAnsi="宋体"/>
              </w:rPr>
              <w:t>珠玑镇</w:t>
            </w:r>
          </w:p>
        </w:tc>
        <w:tc>
          <w:tcPr>
            <w:tcW w:w="388" w:type="pct"/>
            <w:vAlign w:val="center"/>
          </w:tcPr>
          <w:p w14:paraId="316BD7DC">
            <w:pPr>
              <w:pStyle w:val="12"/>
              <w:jc w:val="center"/>
              <w:rPr>
                <w:rFonts w:ascii="宋体" w:hAnsi="宋体"/>
              </w:rPr>
            </w:pPr>
            <w:r>
              <w:rPr>
                <w:rFonts w:hint="eastAsia" w:ascii="宋体" w:hAnsi="宋体"/>
              </w:rPr>
              <w:t>2</w:t>
            </w:r>
          </w:p>
        </w:tc>
        <w:tc>
          <w:tcPr>
            <w:tcW w:w="1163" w:type="pct"/>
            <w:vAlign w:val="center"/>
          </w:tcPr>
          <w:p w14:paraId="6980A0D4">
            <w:pPr>
              <w:pStyle w:val="12"/>
              <w:jc w:val="center"/>
              <w:rPr>
                <w:rFonts w:ascii="宋体" w:hAnsi="宋体"/>
              </w:rPr>
            </w:pPr>
            <w:r>
              <w:rPr>
                <w:rFonts w:hint="eastAsia" w:ascii="宋体" w:hAnsi="宋体"/>
              </w:rPr>
              <w:t>均  平</w:t>
            </w:r>
          </w:p>
          <w:p w14:paraId="0FB4F2F7">
            <w:pPr>
              <w:pStyle w:val="12"/>
              <w:jc w:val="center"/>
              <w:rPr>
                <w:rFonts w:ascii="宋体" w:hAnsi="宋体"/>
              </w:rPr>
            </w:pPr>
            <w:r>
              <w:rPr>
                <w:rFonts w:hint="eastAsia" w:ascii="宋体" w:hAnsi="宋体"/>
              </w:rPr>
              <w:t>里东街</w:t>
            </w:r>
          </w:p>
        </w:tc>
        <w:tc>
          <w:tcPr>
            <w:tcW w:w="388" w:type="pct"/>
            <w:vAlign w:val="center"/>
          </w:tcPr>
          <w:p w14:paraId="1E652A66">
            <w:pPr>
              <w:pStyle w:val="12"/>
              <w:jc w:val="center"/>
              <w:rPr>
                <w:rFonts w:ascii="宋体" w:hAnsi="宋体"/>
              </w:rPr>
            </w:pPr>
            <w:r>
              <w:rPr>
                <w:rFonts w:hint="eastAsia" w:ascii="宋体" w:hAnsi="宋体"/>
              </w:rPr>
              <w:t>17</w:t>
            </w:r>
          </w:p>
        </w:tc>
        <w:tc>
          <w:tcPr>
            <w:tcW w:w="2422" w:type="pct"/>
            <w:vAlign w:val="center"/>
          </w:tcPr>
          <w:p w14:paraId="2C91F2BC">
            <w:pPr>
              <w:pStyle w:val="12"/>
              <w:jc w:val="left"/>
              <w:rPr>
                <w:rFonts w:ascii="宋体" w:hAnsi="宋体"/>
              </w:rPr>
            </w:pPr>
            <w:r>
              <w:rPr>
                <w:rFonts w:hint="eastAsia" w:ascii="宋体" w:hAnsi="宋体"/>
              </w:rPr>
              <w:t>古田、长迳、聪背、珠玑、洋湖、小里源、新村、上嵩、里仁、石塘、里东、灵潭、下汾、南山、罗田、祗芫、塘东</w:t>
            </w:r>
          </w:p>
        </w:tc>
      </w:tr>
      <w:tr w14:paraId="2E6B89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9165B9F">
            <w:pPr>
              <w:pStyle w:val="12"/>
              <w:jc w:val="center"/>
              <w:rPr>
                <w:rFonts w:ascii="宋体" w:hAnsi="宋体"/>
              </w:rPr>
            </w:pPr>
            <w:r>
              <w:rPr>
                <w:rFonts w:hint="eastAsia" w:ascii="宋体" w:hAnsi="宋体"/>
              </w:rPr>
              <w:t>古市镇</w:t>
            </w:r>
          </w:p>
        </w:tc>
        <w:tc>
          <w:tcPr>
            <w:tcW w:w="388" w:type="pct"/>
            <w:vAlign w:val="center"/>
          </w:tcPr>
          <w:p w14:paraId="118DBB7E">
            <w:pPr>
              <w:pStyle w:val="12"/>
              <w:jc w:val="center"/>
              <w:rPr>
                <w:rFonts w:ascii="宋体" w:hAnsi="宋体"/>
              </w:rPr>
            </w:pPr>
            <w:r>
              <w:rPr>
                <w:rFonts w:hint="eastAsia" w:ascii="宋体" w:hAnsi="宋体"/>
              </w:rPr>
              <w:t>1</w:t>
            </w:r>
          </w:p>
        </w:tc>
        <w:tc>
          <w:tcPr>
            <w:tcW w:w="1163" w:type="pct"/>
            <w:vAlign w:val="center"/>
          </w:tcPr>
          <w:p w14:paraId="6E5D4E6B">
            <w:pPr>
              <w:pStyle w:val="12"/>
              <w:jc w:val="center"/>
              <w:rPr>
                <w:rFonts w:ascii="宋体" w:hAnsi="宋体"/>
              </w:rPr>
            </w:pPr>
            <w:r>
              <w:rPr>
                <w:rFonts w:hint="eastAsia" w:ascii="宋体" w:hAnsi="宋体"/>
              </w:rPr>
              <w:t>古  录</w:t>
            </w:r>
          </w:p>
        </w:tc>
        <w:tc>
          <w:tcPr>
            <w:tcW w:w="388" w:type="pct"/>
            <w:vAlign w:val="center"/>
          </w:tcPr>
          <w:p w14:paraId="5E5A7931">
            <w:pPr>
              <w:pStyle w:val="12"/>
              <w:jc w:val="center"/>
              <w:rPr>
                <w:rFonts w:ascii="宋体" w:hAnsi="宋体"/>
              </w:rPr>
            </w:pPr>
            <w:r>
              <w:rPr>
                <w:rFonts w:hint="eastAsia" w:ascii="宋体" w:hAnsi="宋体"/>
              </w:rPr>
              <w:t>8</w:t>
            </w:r>
          </w:p>
        </w:tc>
        <w:tc>
          <w:tcPr>
            <w:tcW w:w="2422" w:type="pct"/>
            <w:vAlign w:val="center"/>
          </w:tcPr>
          <w:p w14:paraId="715D6B46">
            <w:pPr>
              <w:pStyle w:val="12"/>
              <w:jc w:val="left"/>
              <w:rPr>
                <w:rFonts w:ascii="宋体" w:hAnsi="宋体"/>
              </w:rPr>
            </w:pPr>
            <w:r>
              <w:rPr>
                <w:rFonts w:hint="eastAsia" w:ascii="宋体" w:hAnsi="宋体"/>
              </w:rPr>
              <w:t>小坑、溪口、修仁、丰源、柴岭、古市、丹布、山角岭</w:t>
            </w:r>
          </w:p>
        </w:tc>
      </w:tr>
      <w:tr w14:paraId="3B5043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35078A7">
            <w:pPr>
              <w:pStyle w:val="12"/>
              <w:jc w:val="center"/>
              <w:rPr>
                <w:rFonts w:ascii="宋体" w:hAnsi="宋体"/>
              </w:rPr>
            </w:pPr>
            <w:r>
              <w:rPr>
                <w:rFonts w:hint="eastAsia" w:ascii="宋体" w:hAnsi="宋体"/>
              </w:rPr>
              <w:t>百顺镇</w:t>
            </w:r>
          </w:p>
        </w:tc>
        <w:tc>
          <w:tcPr>
            <w:tcW w:w="388" w:type="pct"/>
            <w:vAlign w:val="center"/>
          </w:tcPr>
          <w:p w14:paraId="162567F1">
            <w:pPr>
              <w:pStyle w:val="12"/>
              <w:jc w:val="center"/>
              <w:rPr>
                <w:rFonts w:ascii="宋体" w:hAnsi="宋体"/>
              </w:rPr>
            </w:pPr>
            <w:r>
              <w:rPr>
                <w:rFonts w:hint="eastAsia" w:ascii="宋体" w:hAnsi="宋体"/>
              </w:rPr>
              <w:t>1</w:t>
            </w:r>
          </w:p>
        </w:tc>
        <w:tc>
          <w:tcPr>
            <w:tcW w:w="1163" w:type="pct"/>
            <w:vAlign w:val="center"/>
          </w:tcPr>
          <w:p w14:paraId="46329B0D">
            <w:pPr>
              <w:pStyle w:val="12"/>
              <w:jc w:val="center"/>
              <w:rPr>
                <w:rFonts w:ascii="宋体" w:hAnsi="宋体"/>
              </w:rPr>
            </w:pPr>
            <w:r>
              <w:rPr>
                <w:rFonts w:hint="eastAsia" w:ascii="宋体" w:hAnsi="宋体"/>
              </w:rPr>
              <w:t>百  兴</w:t>
            </w:r>
          </w:p>
        </w:tc>
        <w:tc>
          <w:tcPr>
            <w:tcW w:w="388" w:type="pct"/>
            <w:vAlign w:val="center"/>
          </w:tcPr>
          <w:p w14:paraId="3AEB750A">
            <w:pPr>
              <w:pStyle w:val="12"/>
              <w:jc w:val="center"/>
              <w:rPr>
                <w:rFonts w:ascii="宋体" w:hAnsi="宋体"/>
              </w:rPr>
            </w:pPr>
            <w:r>
              <w:rPr>
                <w:rFonts w:hint="eastAsia" w:ascii="宋体" w:hAnsi="宋体"/>
              </w:rPr>
              <w:t>10</w:t>
            </w:r>
          </w:p>
        </w:tc>
        <w:tc>
          <w:tcPr>
            <w:tcW w:w="2422" w:type="pct"/>
            <w:vAlign w:val="center"/>
          </w:tcPr>
          <w:p w14:paraId="3AD165DB">
            <w:pPr>
              <w:pStyle w:val="12"/>
              <w:jc w:val="left"/>
              <w:rPr>
                <w:rFonts w:ascii="宋体" w:hAnsi="宋体"/>
              </w:rPr>
            </w:pPr>
            <w:r>
              <w:rPr>
                <w:rFonts w:hint="eastAsia" w:ascii="宋体" w:hAnsi="宋体"/>
              </w:rPr>
              <w:t>百顺、汾水、朱安、杨梅、邓洞、尚睦、大沙洲、湖地、东坑、溪头</w:t>
            </w:r>
          </w:p>
        </w:tc>
      </w:tr>
      <w:tr w14:paraId="3B31B2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DAD6682">
            <w:pPr>
              <w:pStyle w:val="12"/>
              <w:jc w:val="center"/>
              <w:rPr>
                <w:rFonts w:ascii="宋体" w:hAnsi="宋体"/>
              </w:rPr>
            </w:pPr>
            <w:r>
              <w:rPr>
                <w:rFonts w:hint="eastAsia" w:ascii="宋体" w:hAnsi="宋体"/>
              </w:rPr>
              <w:t>澜河镇</w:t>
            </w:r>
          </w:p>
        </w:tc>
        <w:tc>
          <w:tcPr>
            <w:tcW w:w="388" w:type="pct"/>
            <w:vAlign w:val="center"/>
          </w:tcPr>
          <w:p w14:paraId="52B5B2C3">
            <w:pPr>
              <w:pStyle w:val="12"/>
              <w:jc w:val="center"/>
              <w:rPr>
                <w:rFonts w:ascii="宋体" w:hAnsi="宋体"/>
              </w:rPr>
            </w:pPr>
            <w:r>
              <w:rPr>
                <w:rFonts w:hint="eastAsia" w:ascii="宋体" w:hAnsi="宋体"/>
              </w:rPr>
              <w:t>2</w:t>
            </w:r>
          </w:p>
        </w:tc>
        <w:tc>
          <w:tcPr>
            <w:tcW w:w="1163" w:type="pct"/>
            <w:vAlign w:val="center"/>
          </w:tcPr>
          <w:p w14:paraId="0CD55C83">
            <w:pPr>
              <w:pStyle w:val="12"/>
              <w:jc w:val="center"/>
              <w:rPr>
                <w:rFonts w:ascii="宋体" w:hAnsi="宋体"/>
              </w:rPr>
            </w:pPr>
            <w:r>
              <w:rPr>
                <w:rFonts w:hint="eastAsia" w:ascii="宋体" w:hAnsi="宋体"/>
              </w:rPr>
              <w:t>新街、矿区</w:t>
            </w:r>
          </w:p>
        </w:tc>
        <w:tc>
          <w:tcPr>
            <w:tcW w:w="388" w:type="pct"/>
            <w:vAlign w:val="center"/>
          </w:tcPr>
          <w:p w14:paraId="07876D82">
            <w:pPr>
              <w:pStyle w:val="12"/>
              <w:jc w:val="center"/>
              <w:rPr>
                <w:rFonts w:ascii="宋体" w:hAnsi="宋体"/>
              </w:rPr>
            </w:pPr>
            <w:r>
              <w:rPr>
                <w:rFonts w:hint="eastAsia" w:ascii="宋体" w:hAnsi="宋体"/>
              </w:rPr>
              <w:t>6</w:t>
            </w:r>
          </w:p>
        </w:tc>
        <w:tc>
          <w:tcPr>
            <w:tcW w:w="2422" w:type="pct"/>
            <w:vAlign w:val="center"/>
          </w:tcPr>
          <w:p w14:paraId="1946D6A6">
            <w:pPr>
              <w:pStyle w:val="12"/>
              <w:jc w:val="left"/>
              <w:rPr>
                <w:rFonts w:ascii="宋体" w:hAnsi="宋体"/>
              </w:rPr>
            </w:pPr>
            <w:r>
              <w:rPr>
                <w:rFonts w:hint="eastAsia" w:ascii="宋体" w:hAnsi="宋体"/>
              </w:rPr>
              <w:t>洞底、白云、上石多、上澜、下澜、葛坪</w:t>
            </w:r>
          </w:p>
        </w:tc>
      </w:tr>
      <w:tr w14:paraId="4555E17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33FE48C">
            <w:pPr>
              <w:pStyle w:val="12"/>
              <w:jc w:val="center"/>
              <w:rPr>
                <w:rFonts w:ascii="宋体" w:hAnsi="宋体"/>
              </w:rPr>
            </w:pPr>
            <w:r>
              <w:rPr>
                <w:rFonts w:hint="eastAsia" w:ascii="宋体" w:hAnsi="宋体"/>
              </w:rPr>
              <w:t>界址镇</w:t>
            </w:r>
          </w:p>
        </w:tc>
        <w:tc>
          <w:tcPr>
            <w:tcW w:w="388" w:type="pct"/>
            <w:vAlign w:val="center"/>
          </w:tcPr>
          <w:p w14:paraId="614EBFA1">
            <w:pPr>
              <w:pStyle w:val="12"/>
              <w:jc w:val="center"/>
              <w:rPr>
                <w:rFonts w:ascii="宋体" w:hAnsi="宋体"/>
              </w:rPr>
            </w:pPr>
            <w:r>
              <w:rPr>
                <w:rFonts w:hint="eastAsia" w:ascii="宋体" w:hAnsi="宋体"/>
              </w:rPr>
              <w:t>1</w:t>
            </w:r>
          </w:p>
        </w:tc>
        <w:tc>
          <w:tcPr>
            <w:tcW w:w="1163" w:type="pct"/>
            <w:vAlign w:val="center"/>
          </w:tcPr>
          <w:p w14:paraId="57ED42BE">
            <w:pPr>
              <w:pStyle w:val="12"/>
              <w:jc w:val="center"/>
              <w:rPr>
                <w:rFonts w:ascii="宋体" w:hAnsi="宋体"/>
              </w:rPr>
            </w:pPr>
            <w:r>
              <w:rPr>
                <w:rFonts w:hint="eastAsia" w:ascii="宋体" w:hAnsi="宋体"/>
              </w:rPr>
              <w:t>界址圩</w:t>
            </w:r>
          </w:p>
        </w:tc>
        <w:tc>
          <w:tcPr>
            <w:tcW w:w="388" w:type="pct"/>
            <w:vAlign w:val="center"/>
          </w:tcPr>
          <w:p w14:paraId="3A723BC5">
            <w:pPr>
              <w:pStyle w:val="12"/>
              <w:jc w:val="center"/>
              <w:rPr>
                <w:rFonts w:ascii="宋体" w:hAnsi="宋体"/>
              </w:rPr>
            </w:pPr>
            <w:r>
              <w:rPr>
                <w:rFonts w:hint="eastAsia" w:ascii="宋体" w:hAnsi="宋体"/>
              </w:rPr>
              <w:t>8</w:t>
            </w:r>
          </w:p>
        </w:tc>
        <w:tc>
          <w:tcPr>
            <w:tcW w:w="2422" w:type="pct"/>
            <w:vAlign w:val="center"/>
          </w:tcPr>
          <w:p w14:paraId="063CE3EF">
            <w:pPr>
              <w:pStyle w:val="12"/>
              <w:jc w:val="left"/>
              <w:rPr>
                <w:rFonts w:ascii="宋体" w:hAnsi="宋体"/>
              </w:rPr>
            </w:pPr>
            <w:r>
              <w:rPr>
                <w:rFonts w:hint="eastAsia" w:ascii="宋体" w:hAnsi="宋体"/>
              </w:rPr>
              <w:t>下屋、崇化、赵屋、新汤、百罗、大坑、窑灶口、马芫</w:t>
            </w:r>
          </w:p>
        </w:tc>
      </w:tr>
      <w:tr w14:paraId="7806BE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55F8270">
            <w:pPr>
              <w:pStyle w:val="12"/>
              <w:jc w:val="center"/>
              <w:rPr>
                <w:rFonts w:ascii="宋体" w:hAnsi="宋体"/>
              </w:rPr>
            </w:pPr>
            <w:r>
              <w:rPr>
                <w:rFonts w:hint="eastAsia" w:ascii="宋体" w:hAnsi="宋体"/>
              </w:rPr>
              <w:t>孔江乡</w:t>
            </w:r>
          </w:p>
        </w:tc>
        <w:tc>
          <w:tcPr>
            <w:tcW w:w="388" w:type="pct"/>
            <w:vAlign w:val="center"/>
          </w:tcPr>
          <w:p w14:paraId="5CC3C128">
            <w:pPr>
              <w:pStyle w:val="12"/>
              <w:jc w:val="center"/>
              <w:rPr>
                <w:rFonts w:ascii="宋体" w:hAnsi="宋体"/>
              </w:rPr>
            </w:pPr>
            <w:r>
              <w:rPr>
                <w:rFonts w:hint="eastAsia" w:ascii="宋体" w:hAnsi="宋体"/>
              </w:rPr>
              <w:t>—</w:t>
            </w:r>
          </w:p>
        </w:tc>
        <w:tc>
          <w:tcPr>
            <w:tcW w:w="1163" w:type="pct"/>
            <w:vAlign w:val="center"/>
          </w:tcPr>
          <w:p w14:paraId="773E7CF0">
            <w:pPr>
              <w:pStyle w:val="12"/>
              <w:jc w:val="center"/>
              <w:rPr>
                <w:rFonts w:ascii="宋体" w:hAnsi="宋体"/>
              </w:rPr>
            </w:pPr>
            <w:r>
              <w:rPr>
                <w:rFonts w:hint="eastAsia" w:ascii="宋体" w:hAnsi="宋体"/>
              </w:rPr>
              <w:t>—</w:t>
            </w:r>
          </w:p>
        </w:tc>
        <w:tc>
          <w:tcPr>
            <w:tcW w:w="388" w:type="pct"/>
            <w:vAlign w:val="center"/>
          </w:tcPr>
          <w:p w14:paraId="215EF208">
            <w:pPr>
              <w:pStyle w:val="12"/>
              <w:jc w:val="center"/>
              <w:rPr>
                <w:rFonts w:ascii="宋体" w:hAnsi="宋体"/>
              </w:rPr>
            </w:pPr>
            <w:r>
              <w:rPr>
                <w:rFonts w:hint="eastAsia" w:ascii="宋体" w:hAnsi="宋体"/>
              </w:rPr>
              <w:t>6</w:t>
            </w:r>
          </w:p>
        </w:tc>
        <w:tc>
          <w:tcPr>
            <w:tcW w:w="2422" w:type="pct"/>
            <w:vAlign w:val="center"/>
          </w:tcPr>
          <w:p w14:paraId="56792B44">
            <w:pPr>
              <w:pStyle w:val="12"/>
              <w:jc w:val="left"/>
              <w:rPr>
                <w:rFonts w:ascii="宋体" w:hAnsi="宋体"/>
              </w:rPr>
            </w:pPr>
            <w:r>
              <w:rPr>
                <w:rFonts w:hint="eastAsia" w:ascii="宋体" w:hAnsi="宋体"/>
              </w:rPr>
              <w:t>白胜、田心、大竹、沦浪、孔江、兰丘</w:t>
            </w:r>
          </w:p>
        </w:tc>
      </w:tr>
      <w:tr w14:paraId="666C14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8B91035">
            <w:pPr>
              <w:pStyle w:val="12"/>
              <w:jc w:val="center"/>
              <w:rPr>
                <w:rFonts w:ascii="宋体" w:hAnsi="宋体"/>
              </w:rPr>
            </w:pPr>
            <w:r>
              <w:rPr>
                <w:rFonts w:hint="eastAsia" w:ascii="宋体" w:hAnsi="宋体"/>
              </w:rPr>
              <w:t>新龙乡</w:t>
            </w:r>
          </w:p>
        </w:tc>
        <w:tc>
          <w:tcPr>
            <w:tcW w:w="388" w:type="pct"/>
            <w:vAlign w:val="center"/>
          </w:tcPr>
          <w:p w14:paraId="60B0A551">
            <w:pPr>
              <w:pStyle w:val="12"/>
              <w:jc w:val="center"/>
              <w:rPr>
                <w:rFonts w:ascii="宋体" w:hAnsi="宋体"/>
              </w:rPr>
            </w:pPr>
            <w:r>
              <w:rPr>
                <w:rFonts w:hint="eastAsia" w:ascii="宋体" w:hAnsi="宋体"/>
              </w:rPr>
              <w:t>—</w:t>
            </w:r>
          </w:p>
        </w:tc>
        <w:tc>
          <w:tcPr>
            <w:tcW w:w="1163" w:type="pct"/>
            <w:vAlign w:val="center"/>
          </w:tcPr>
          <w:p w14:paraId="3FAD0EB1">
            <w:pPr>
              <w:pStyle w:val="12"/>
              <w:jc w:val="center"/>
              <w:rPr>
                <w:rFonts w:ascii="宋体" w:hAnsi="宋体"/>
              </w:rPr>
            </w:pPr>
            <w:r>
              <w:rPr>
                <w:rFonts w:hint="eastAsia" w:ascii="宋体" w:hAnsi="宋体"/>
              </w:rPr>
              <w:t>—</w:t>
            </w:r>
          </w:p>
        </w:tc>
        <w:tc>
          <w:tcPr>
            <w:tcW w:w="388" w:type="pct"/>
            <w:vAlign w:val="center"/>
          </w:tcPr>
          <w:p w14:paraId="20182C34">
            <w:pPr>
              <w:pStyle w:val="12"/>
              <w:jc w:val="center"/>
              <w:rPr>
                <w:rFonts w:ascii="宋体" w:hAnsi="宋体"/>
              </w:rPr>
            </w:pPr>
            <w:r>
              <w:rPr>
                <w:rFonts w:hint="eastAsia" w:ascii="宋体" w:hAnsi="宋体"/>
              </w:rPr>
              <w:t>7</w:t>
            </w:r>
          </w:p>
        </w:tc>
        <w:tc>
          <w:tcPr>
            <w:tcW w:w="2422" w:type="pct"/>
            <w:vAlign w:val="center"/>
          </w:tcPr>
          <w:p w14:paraId="5CE7AB3D">
            <w:pPr>
              <w:pStyle w:val="12"/>
              <w:jc w:val="left"/>
              <w:rPr>
                <w:rFonts w:ascii="宋体" w:hAnsi="宋体"/>
              </w:rPr>
            </w:pPr>
            <w:r>
              <w:rPr>
                <w:rFonts w:hint="eastAsia" w:ascii="宋体" w:hAnsi="宋体"/>
              </w:rPr>
              <w:t>长坑、老龙、背迳、小塘、官陂、龙口、横岭</w:t>
            </w:r>
          </w:p>
        </w:tc>
      </w:tr>
      <w:tr w14:paraId="25E052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CDF9C77">
            <w:pPr>
              <w:pStyle w:val="12"/>
              <w:jc w:val="center"/>
              <w:rPr>
                <w:rFonts w:ascii="宋体" w:hAnsi="宋体"/>
              </w:rPr>
            </w:pPr>
            <w:r>
              <w:rPr>
                <w:rFonts w:hint="eastAsia" w:ascii="宋体" w:hAnsi="宋体"/>
              </w:rPr>
              <w:t>坪田乡</w:t>
            </w:r>
          </w:p>
        </w:tc>
        <w:tc>
          <w:tcPr>
            <w:tcW w:w="388" w:type="pct"/>
            <w:vAlign w:val="center"/>
          </w:tcPr>
          <w:p w14:paraId="0015287E">
            <w:pPr>
              <w:pStyle w:val="12"/>
              <w:jc w:val="center"/>
              <w:rPr>
                <w:rFonts w:ascii="宋体" w:hAnsi="宋体"/>
              </w:rPr>
            </w:pPr>
            <w:r>
              <w:rPr>
                <w:rFonts w:hint="eastAsia" w:ascii="宋体" w:hAnsi="宋体"/>
              </w:rPr>
              <w:t>—</w:t>
            </w:r>
          </w:p>
        </w:tc>
        <w:tc>
          <w:tcPr>
            <w:tcW w:w="1163" w:type="pct"/>
            <w:vAlign w:val="center"/>
          </w:tcPr>
          <w:p w14:paraId="3C899801">
            <w:pPr>
              <w:pStyle w:val="12"/>
              <w:jc w:val="center"/>
              <w:rPr>
                <w:rFonts w:ascii="宋体" w:hAnsi="宋体"/>
              </w:rPr>
            </w:pPr>
            <w:r>
              <w:rPr>
                <w:rFonts w:hint="eastAsia" w:ascii="宋体" w:hAnsi="宋体"/>
              </w:rPr>
              <w:t>—</w:t>
            </w:r>
          </w:p>
        </w:tc>
        <w:tc>
          <w:tcPr>
            <w:tcW w:w="388" w:type="pct"/>
            <w:vAlign w:val="center"/>
          </w:tcPr>
          <w:p w14:paraId="39AE3172">
            <w:pPr>
              <w:pStyle w:val="12"/>
              <w:jc w:val="center"/>
              <w:rPr>
                <w:rFonts w:ascii="宋体" w:hAnsi="宋体"/>
              </w:rPr>
            </w:pPr>
            <w:r>
              <w:rPr>
                <w:rFonts w:hint="eastAsia" w:ascii="宋体" w:hAnsi="宋体"/>
              </w:rPr>
              <w:t>8</w:t>
            </w:r>
          </w:p>
        </w:tc>
        <w:tc>
          <w:tcPr>
            <w:tcW w:w="2422" w:type="pct"/>
            <w:vAlign w:val="center"/>
          </w:tcPr>
          <w:p w14:paraId="0F5EF260">
            <w:pPr>
              <w:pStyle w:val="12"/>
              <w:jc w:val="left"/>
              <w:rPr>
                <w:rFonts w:ascii="宋体" w:hAnsi="宋体"/>
              </w:rPr>
            </w:pPr>
            <w:r>
              <w:rPr>
                <w:rFonts w:hint="eastAsia" w:ascii="宋体" w:hAnsi="宋体"/>
              </w:rPr>
              <w:t>中坪、老宅、新圩、迳洞、坪田、坪湖、汪汤、龙头</w:t>
            </w:r>
          </w:p>
        </w:tc>
      </w:tr>
      <w:tr w14:paraId="2A0131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E6F42E6">
            <w:pPr>
              <w:pStyle w:val="12"/>
              <w:jc w:val="center"/>
              <w:rPr>
                <w:rFonts w:ascii="宋体" w:hAnsi="宋体"/>
              </w:rPr>
            </w:pPr>
            <w:r>
              <w:rPr>
                <w:rFonts w:hint="eastAsia" w:ascii="宋体" w:hAnsi="宋体"/>
              </w:rPr>
              <w:t>邓坊乡</w:t>
            </w:r>
          </w:p>
        </w:tc>
        <w:tc>
          <w:tcPr>
            <w:tcW w:w="388" w:type="pct"/>
            <w:vAlign w:val="center"/>
          </w:tcPr>
          <w:p w14:paraId="55EDB67D">
            <w:pPr>
              <w:pStyle w:val="12"/>
              <w:jc w:val="center"/>
              <w:rPr>
                <w:rFonts w:ascii="宋体" w:hAnsi="宋体"/>
              </w:rPr>
            </w:pPr>
            <w:r>
              <w:rPr>
                <w:rFonts w:hint="eastAsia" w:ascii="宋体" w:hAnsi="宋体"/>
              </w:rPr>
              <w:t>1</w:t>
            </w:r>
          </w:p>
        </w:tc>
        <w:tc>
          <w:tcPr>
            <w:tcW w:w="1163" w:type="pct"/>
            <w:vAlign w:val="center"/>
          </w:tcPr>
          <w:p w14:paraId="3920EF7C">
            <w:pPr>
              <w:pStyle w:val="12"/>
              <w:jc w:val="center"/>
              <w:rPr>
                <w:rFonts w:ascii="宋体" w:hAnsi="宋体"/>
              </w:rPr>
            </w:pPr>
            <w:r>
              <w:rPr>
                <w:rFonts w:hint="eastAsia" w:ascii="宋体" w:hAnsi="宋体"/>
              </w:rPr>
              <w:t>新圩</w:t>
            </w:r>
          </w:p>
        </w:tc>
        <w:tc>
          <w:tcPr>
            <w:tcW w:w="388" w:type="pct"/>
            <w:vAlign w:val="center"/>
          </w:tcPr>
          <w:p w14:paraId="3A476D53">
            <w:pPr>
              <w:pStyle w:val="12"/>
              <w:jc w:val="center"/>
              <w:rPr>
                <w:rFonts w:ascii="宋体" w:hAnsi="宋体"/>
              </w:rPr>
            </w:pPr>
            <w:r>
              <w:rPr>
                <w:rFonts w:hint="eastAsia" w:ascii="宋体" w:hAnsi="宋体"/>
              </w:rPr>
              <w:t>6</w:t>
            </w:r>
          </w:p>
        </w:tc>
        <w:tc>
          <w:tcPr>
            <w:tcW w:w="2422" w:type="pct"/>
            <w:vAlign w:val="center"/>
          </w:tcPr>
          <w:p w14:paraId="06F3E13F">
            <w:pPr>
              <w:pStyle w:val="12"/>
              <w:jc w:val="left"/>
              <w:rPr>
                <w:rFonts w:ascii="宋体" w:hAnsi="宋体"/>
              </w:rPr>
            </w:pPr>
            <w:r>
              <w:rPr>
                <w:rFonts w:hint="eastAsia" w:ascii="宋体" w:hAnsi="宋体"/>
              </w:rPr>
              <w:t>洋西、赤石、赤马、马战、邓坊、里源</w:t>
            </w:r>
          </w:p>
        </w:tc>
      </w:tr>
      <w:tr w14:paraId="14ED64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D29A12E">
            <w:pPr>
              <w:pStyle w:val="12"/>
              <w:jc w:val="center"/>
              <w:rPr>
                <w:rFonts w:ascii="宋体" w:hAnsi="宋体"/>
              </w:rPr>
            </w:pPr>
            <w:r>
              <w:rPr>
                <w:rFonts w:hint="eastAsia" w:ascii="宋体" w:hAnsi="宋体"/>
              </w:rPr>
              <w:t>油山乡</w:t>
            </w:r>
          </w:p>
        </w:tc>
        <w:tc>
          <w:tcPr>
            <w:tcW w:w="388" w:type="pct"/>
            <w:vAlign w:val="center"/>
          </w:tcPr>
          <w:p w14:paraId="4340159C">
            <w:pPr>
              <w:pStyle w:val="12"/>
              <w:jc w:val="center"/>
              <w:rPr>
                <w:rFonts w:ascii="宋体" w:hAnsi="宋体"/>
              </w:rPr>
            </w:pPr>
            <w:r>
              <w:rPr>
                <w:rFonts w:hint="eastAsia" w:ascii="宋体" w:hAnsi="宋体"/>
              </w:rPr>
              <w:t>—</w:t>
            </w:r>
          </w:p>
        </w:tc>
        <w:tc>
          <w:tcPr>
            <w:tcW w:w="1163" w:type="pct"/>
            <w:vAlign w:val="center"/>
          </w:tcPr>
          <w:p w14:paraId="2D5BFAAA">
            <w:pPr>
              <w:pStyle w:val="12"/>
              <w:jc w:val="center"/>
              <w:rPr>
                <w:rFonts w:ascii="宋体" w:hAnsi="宋体"/>
              </w:rPr>
            </w:pPr>
            <w:r>
              <w:rPr>
                <w:rFonts w:hint="eastAsia" w:ascii="宋体" w:hAnsi="宋体"/>
              </w:rPr>
              <w:t>—</w:t>
            </w:r>
          </w:p>
        </w:tc>
        <w:tc>
          <w:tcPr>
            <w:tcW w:w="388" w:type="pct"/>
            <w:vAlign w:val="center"/>
          </w:tcPr>
          <w:p w14:paraId="0987FA84">
            <w:pPr>
              <w:pStyle w:val="12"/>
              <w:jc w:val="center"/>
              <w:rPr>
                <w:rFonts w:ascii="宋体" w:hAnsi="宋体"/>
              </w:rPr>
            </w:pPr>
            <w:r>
              <w:rPr>
                <w:rFonts w:hint="eastAsia" w:ascii="宋体" w:hAnsi="宋体"/>
              </w:rPr>
              <w:t>9</w:t>
            </w:r>
          </w:p>
        </w:tc>
        <w:tc>
          <w:tcPr>
            <w:tcW w:w="2422" w:type="pct"/>
            <w:vAlign w:val="center"/>
          </w:tcPr>
          <w:p w14:paraId="5A83E220">
            <w:pPr>
              <w:pStyle w:val="12"/>
              <w:jc w:val="left"/>
              <w:rPr>
                <w:rFonts w:ascii="宋体" w:hAnsi="宋体"/>
              </w:rPr>
            </w:pPr>
            <w:r>
              <w:rPr>
                <w:rFonts w:hint="eastAsia" w:ascii="宋体" w:hAnsi="宋体"/>
              </w:rPr>
              <w:t>坪田坳、莲山、大兰、坪林、黄地、茶头背、上湖、兰田、益田</w:t>
            </w:r>
          </w:p>
        </w:tc>
      </w:tr>
      <w:tr w14:paraId="30C2C6E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97DE74B">
            <w:pPr>
              <w:pStyle w:val="12"/>
              <w:jc w:val="center"/>
              <w:rPr>
                <w:rFonts w:ascii="宋体" w:hAnsi="宋体"/>
              </w:rPr>
            </w:pPr>
            <w:r>
              <w:rPr>
                <w:rFonts w:hint="eastAsia" w:ascii="宋体" w:hAnsi="宋体"/>
              </w:rPr>
              <w:t>南亩乡</w:t>
            </w:r>
          </w:p>
        </w:tc>
        <w:tc>
          <w:tcPr>
            <w:tcW w:w="388" w:type="pct"/>
            <w:vAlign w:val="center"/>
          </w:tcPr>
          <w:p w14:paraId="2DB70B91">
            <w:pPr>
              <w:pStyle w:val="12"/>
              <w:jc w:val="center"/>
              <w:rPr>
                <w:rFonts w:ascii="宋体" w:hAnsi="宋体"/>
              </w:rPr>
            </w:pPr>
            <w:r>
              <w:rPr>
                <w:rFonts w:hint="eastAsia" w:ascii="宋体" w:hAnsi="宋体"/>
              </w:rPr>
              <w:t>1</w:t>
            </w:r>
          </w:p>
        </w:tc>
        <w:tc>
          <w:tcPr>
            <w:tcW w:w="1163" w:type="pct"/>
            <w:vAlign w:val="center"/>
          </w:tcPr>
          <w:p w14:paraId="0B6FC352">
            <w:pPr>
              <w:pStyle w:val="12"/>
              <w:jc w:val="center"/>
              <w:rPr>
                <w:rFonts w:ascii="宋体" w:hAnsi="宋体"/>
              </w:rPr>
            </w:pPr>
            <w:r>
              <w:rPr>
                <w:rFonts w:hint="eastAsia" w:ascii="宋体" w:hAnsi="宋体"/>
              </w:rPr>
              <w:t>南亩圩</w:t>
            </w:r>
          </w:p>
        </w:tc>
        <w:tc>
          <w:tcPr>
            <w:tcW w:w="388" w:type="pct"/>
            <w:vAlign w:val="center"/>
          </w:tcPr>
          <w:p w14:paraId="582A22F2">
            <w:pPr>
              <w:pStyle w:val="12"/>
              <w:jc w:val="center"/>
              <w:rPr>
                <w:rFonts w:ascii="宋体" w:hAnsi="宋体"/>
              </w:rPr>
            </w:pPr>
            <w:r>
              <w:rPr>
                <w:rFonts w:hint="eastAsia" w:ascii="宋体" w:hAnsi="宋体"/>
              </w:rPr>
              <w:t>10</w:t>
            </w:r>
          </w:p>
        </w:tc>
        <w:tc>
          <w:tcPr>
            <w:tcW w:w="2422" w:type="pct"/>
            <w:vAlign w:val="center"/>
          </w:tcPr>
          <w:p w14:paraId="1AD9287E">
            <w:pPr>
              <w:pStyle w:val="12"/>
              <w:jc w:val="left"/>
              <w:rPr>
                <w:rFonts w:ascii="宋体" w:hAnsi="宋体"/>
              </w:rPr>
            </w:pPr>
            <w:r>
              <w:rPr>
                <w:rFonts w:hint="eastAsia" w:ascii="宋体" w:hAnsi="宋体"/>
              </w:rPr>
              <w:t>樟屋、鱼鲜、南亩、官田、岭下、中寺、水塘、芙蓉、长洞、中岭</w:t>
            </w:r>
          </w:p>
        </w:tc>
      </w:tr>
      <w:tr w14:paraId="07D4E3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D0A6C39">
            <w:pPr>
              <w:pStyle w:val="12"/>
              <w:jc w:val="center"/>
              <w:rPr>
                <w:rFonts w:ascii="宋体" w:hAnsi="宋体"/>
              </w:rPr>
            </w:pPr>
            <w:r>
              <w:rPr>
                <w:rFonts w:hint="eastAsia" w:ascii="宋体" w:hAnsi="宋体"/>
              </w:rPr>
              <w:t>江头乡</w:t>
            </w:r>
          </w:p>
        </w:tc>
        <w:tc>
          <w:tcPr>
            <w:tcW w:w="388" w:type="pct"/>
            <w:vAlign w:val="center"/>
          </w:tcPr>
          <w:p w14:paraId="1E9CA5A5">
            <w:pPr>
              <w:pStyle w:val="12"/>
              <w:jc w:val="center"/>
              <w:rPr>
                <w:rFonts w:ascii="宋体" w:hAnsi="宋体"/>
              </w:rPr>
            </w:pPr>
            <w:r>
              <w:rPr>
                <w:rFonts w:hint="eastAsia" w:ascii="宋体" w:hAnsi="宋体"/>
              </w:rPr>
              <w:t>1</w:t>
            </w:r>
          </w:p>
        </w:tc>
        <w:tc>
          <w:tcPr>
            <w:tcW w:w="1163" w:type="pct"/>
            <w:vAlign w:val="center"/>
          </w:tcPr>
          <w:p w14:paraId="36DD92B3">
            <w:pPr>
              <w:pStyle w:val="12"/>
              <w:jc w:val="center"/>
              <w:rPr>
                <w:rFonts w:ascii="宋体" w:hAnsi="宋体"/>
              </w:rPr>
            </w:pPr>
            <w:r>
              <w:rPr>
                <w:rFonts w:hint="eastAsia" w:ascii="宋体" w:hAnsi="宋体"/>
              </w:rPr>
              <w:t>江头圩</w:t>
            </w:r>
          </w:p>
        </w:tc>
        <w:tc>
          <w:tcPr>
            <w:tcW w:w="388" w:type="pct"/>
            <w:vAlign w:val="center"/>
          </w:tcPr>
          <w:p w14:paraId="3FF72163">
            <w:pPr>
              <w:pStyle w:val="12"/>
              <w:jc w:val="center"/>
              <w:rPr>
                <w:rFonts w:ascii="宋体" w:hAnsi="宋体"/>
              </w:rPr>
            </w:pPr>
            <w:r>
              <w:rPr>
                <w:rFonts w:hint="eastAsia" w:ascii="宋体" w:hAnsi="宋体"/>
              </w:rPr>
              <w:t>10</w:t>
            </w:r>
          </w:p>
        </w:tc>
        <w:tc>
          <w:tcPr>
            <w:tcW w:w="2422" w:type="pct"/>
            <w:vAlign w:val="center"/>
          </w:tcPr>
          <w:p w14:paraId="698345D6">
            <w:pPr>
              <w:pStyle w:val="12"/>
              <w:jc w:val="left"/>
              <w:rPr>
                <w:rFonts w:ascii="宋体" w:hAnsi="宋体"/>
              </w:rPr>
            </w:pPr>
            <w:r>
              <w:rPr>
                <w:rFonts w:hint="eastAsia" w:ascii="宋体" w:hAnsi="宋体"/>
              </w:rPr>
              <w:t>坪岗、涌溪、园圃、江头、鱼仙、山坑、南浦、大汉、武岭、小竹</w:t>
            </w:r>
          </w:p>
        </w:tc>
      </w:tr>
      <w:tr w14:paraId="060DE2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3D94329">
            <w:pPr>
              <w:pStyle w:val="12"/>
              <w:jc w:val="center"/>
              <w:rPr>
                <w:rFonts w:ascii="宋体" w:hAnsi="宋体"/>
              </w:rPr>
            </w:pPr>
            <w:r>
              <w:rPr>
                <w:rFonts w:hint="eastAsia" w:ascii="宋体" w:hAnsi="宋体"/>
              </w:rPr>
              <w:t>黎口乡</w:t>
            </w:r>
          </w:p>
        </w:tc>
        <w:tc>
          <w:tcPr>
            <w:tcW w:w="388" w:type="pct"/>
            <w:vAlign w:val="center"/>
          </w:tcPr>
          <w:p w14:paraId="33283B61">
            <w:pPr>
              <w:pStyle w:val="12"/>
              <w:jc w:val="center"/>
              <w:rPr>
                <w:rFonts w:ascii="宋体" w:hAnsi="宋体"/>
              </w:rPr>
            </w:pPr>
            <w:r>
              <w:rPr>
                <w:rFonts w:hint="eastAsia" w:ascii="宋体" w:hAnsi="宋体"/>
              </w:rPr>
              <w:t>—</w:t>
            </w:r>
          </w:p>
        </w:tc>
        <w:tc>
          <w:tcPr>
            <w:tcW w:w="1163" w:type="pct"/>
            <w:vAlign w:val="center"/>
          </w:tcPr>
          <w:p w14:paraId="012B6EE1">
            <w:pPr>
              <w:pStyle w:val="12"/>
              <w:jc w:val="center"/>
              <w:rPr>
                <w:rFonts w:ascii="宋体" w:hAnsi="宋体"/>
              </w:rPr>
            </w:pPr>
            <w:r>
              <w:rPr>
                <w:rFonts w:hint="eastAsia" w:ascii="宋体" w:hAnsi="宋体"/>
              </w:rPr>
              <w:t>—</w:t>
            </w:r>
          </w:p>
        </w:tc>
        <w:tc>
          <w:tcPr>
            <w:tcW w:w="388" w:type="pct"/>
            <w:vAlign w:val="center"/>
          </w:tcPr>
          <w:p w14:paraId="461F2DAB">
            <w:pPr>
              <w:pStyle w:val="12"/>
              <w:jc w:val="center"/>
              <w:rPr>
                <w:rFonts w:ascii="宋体" w:hAnsi="宋体"/>
              </w:rPr>
            </w:pPr>
            <w:r>
              <w:rPr>
                <w:rFonts w:hint="eastAsia" w:ascii="宋体" w:hAnsi="宋体"/>
              </w:rPr>
              <w:t>8</w:t>
            </w:r>
          </w:p>
        </w:tc>
        <w:tc>
          <w:tcPr>
            <w:tcW w:w="2422" w:type="pct"/>
            <w:vAlign w:val="center"/>
          </w:tcPr>
          <w:p w14:paraId="387B42CC">
            <w:pPr>
              <w:pStyle w:val="12"/>
              <w:jc w:val="left"/>
              <w:rPr>
                <w:rFonts w:ascii="宋体" w:hAnsi="宋体"/>
              </w:rPr>
            </w:pPr>
            <w:r>
              <w:rPr>
                <w:rFonts w:hint="eastAsia" w:ascii="宋体" w:hAnsi="宋体"/>
              </w:rPr>
              <w:t>观新、黎口、荆岗、勋口、上坪、下坪、五洲、迳口</w:t>
            </w:r>
          </w:p>
        </w:tc>
      </w:tr>
      <w:tr w14:paraId="78B03D1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0DFBA08">
            <w:pPr>
              <w:pStyle w:val="12"/>
              <w:jc w:val="center"/>
              <w:rPr>
                <w:rFonts w:ascii="宋体" w:hAnsi="宋体"/>
              </w:rPr>
            </w:pPr>
            <w:r>
              <w:rPr>
                <w:rFonts w:hint="eastAsia" w:ascii="宋体" w:hAnsi="宋体"/>
              </w:rPr>
              <w:t>全安乡</w:t>
            </w:r>
          </w:p>
        </w:tc>
        <w:tc>
          <w:tcPr>
            <w:tcW w:w="388" w:type="pct"/>
            <w:vAlign w:val="center"/>
          </w:tcPr>
          <w:p w14:paraId="53E9F58C">
            <w:pPr>
              <w:pStyle w:val="12"/>
              <w:jc w:val="center"/>
              <w:rPr>
                <w:rFonts w:ascii="宋体" w:hAnsi="宋体"/>
              </w:rPr>
            </w:pPr>
            <w:r>
              <w:rPr>
                <w:rFonts w:hint="eastAsia" w:ascii="宋体" w:hAnsi="宋体"/>
              </w:rPr>
              <w:t>—</w:t>
            </w:r>
          </w:p>
        </w:tc>
        <w:tc>
          <w:tcPr>
            <w:tcW w:w="1163" w:type="pct"/>
            <w:vAlign w:val="center"/>
          </w:tcPr>
          <w:p w14:paraId="44420A60">
            <w:pPr>
              <w:pStyle w:val="12"/>
              <w:jc w:val="center"/>
              <w:rPr>
                <w:rFonts w:ascii="宋体" w:hAnsi="宋体"/>
              </w:rPr>
            </w:pPr>
            <w:r>
              <w:rPr>
                <w:rFonts w:hint="eastAsia" w:ascii="宋体" w:hAnsi="宋体"/>
              </w:rPr>
              <w:t>—</w:t>
            </w:r>
          </w:p>
        </w:tc>
        <w:tc>
          <w:tcPr>
            <w:tcW w:w="388" w:type="pct"/>
            <w:vAlign w:val="center"/>
          </w:tcPr>
          <w:p w14:paraId="37CF836A">
            <w:pPr>
              <w:pStyle w:val="12"/>
              <w:jc w:val="center"/>
              <w:rPr>
                <w:rFonts w:ascii="宋体" w:hAnsi="宋体"/>
              </w:rPr>
            </w:pPr>
            <w:r>
              <w:rPr>
                <w:rFonts w:hint="eastAsia" w:ascii="宋体" w:hAnsi="宋体"/>
              </w:rPr>
              <w:t>10</w:t>
            </w:r>
          </w:p>
        </w:tc>
        <w:tc>
          <w:tcPr>
            <w:tcW w:w="2422" w:type="pct"/>
            <w:vAlign w:val="center"/>
          </w:tcPr>
          <w:p w14:paraId="13C551E0">
            <w:pPr>
              <w:pStyle w:val="12"/>
              <w:jc w:val="left"/>
              <w:rPr>
                <w:rFonts w:ascii="宋体" w:hAnsi="宋体"/>
              </w:rPr>
            </w:pPr>
            <w:r>
              <w:rPr>
                <w:rFonts w:hint="eastAsia" w:ascii="宋体" w:hAnsi="宋体"/>
              </w:rPr>
              <w:t>河塘、全安、陂头、密下水、艻迳、羊角、古塘、杨历、王亭石、龙江</w:t>
            </w:r>
          </w:p>
        </w:tc>
      </w:tr>
      <w:tr w14:paraId="525C8B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C4C1BD2">
            <w:pPr>
              <w:pStyle w:val="12"/>
              <w:jc w:val="center"/>
              <w:rPr>
                <w:rFonts w:ascii="宋体" w:hAnsi="宋体"/>
              </w:rPr>
            </w:pPr>
            <w:r>
              <w:rPr>
                <w:rFonts w:hint="eastAsia" w:ascii="宋体" w:hAnsi="宋体"/>
              </w:rPr>
              <w:t>苍石乡</w:t>
            </w:r>
          </w:p>
        </w:tc>
        <w:tc>
          <w:tcPr>
            <w:tcW w:w="388" w:type="pct"/>
            <w:vAlign w:val="center"/>
          </w:tcPr>
          <w:p w14:paraId="01D118DE">
            <w:pPr>
              <w:pStyle w:val="12"/>
              <w:jc w:val="center"/>
              <w:rPr>
                <w:rFonts w:ascii="宋体" w:hAnsi="宋体"/>
              </w:rPr>
            </w:pPr>
            <w:r>
              <w:rPr>
                <w:rFonts w:hint="eastAsia" w:ascii="宋体" w:hAnsi="宋体"/>
              </w:rPr>
              <w:t>—</w:t>
            </w:r>
          </w:p>
        </w:tc>
        <w:tc>
          <w:tcPr>
            <w:tcW w:w="1163" w:type="pct"/>
            <w:vAlign w:val="center"/>
          </w:tcPr>
          <w:p w14:paraId="1335C07C">
            <w:pPr>
              <w:pStyle w:val="12"/>
              <w:jc w:val="center"/>
              <w:rPr>
                <w:rFonts w:ascii="宋体" w:hAnsi="宋体"/>
              </w:rPr>
            </w:pPr>
            <w:r>
              <w:rPr>
                <w:rFonts w:hint="eastAsia" w:ascii="宋体" w:hAnsi="宋体"/>
              </w:rPr>
              <w:t>—</w:t>
            </w:r>
          </w:p>
        </w:tc>
        <w:tc>
          <w:tcPr>
            <w:tcW w:w="388" w:type="pct"/>
            <w:vAlign w:val="center"/>
          </w:tcPr>
          <w:p w14:paraId="2C7FA5D8">
            <w:pPr>
              <w:pStyle w:val="12"/>
              <w:jc w:val="center"/>
              <w:rPr>
                <w:rFonts w:ascii="宋体" w:hAnsi="宋体"/>
              </w:rPr>
            </w:pPr>
            <w:r>
              <w:rPr>
                <w:rFonts w:hint="eastAsia" w:ascii="宋体" w:hAnsi="宋体"/>
              </w:rPr>
              <w:t>5</w:t>
            </w:r>
          </w:p>
        </w:tc>
        <w:tc>
          <w:tcPr>
            <w:tcW w:w="2422" w:type="pct"/>
            <w:vAlign w:val="center"/>
          </w:tcPr>
          <w:p w14:paraId="707A3E6B">
            <w:pPr>
              <w:pStyle w:val="12"/>
              <w:jc w:val="left"/>
              <w:rPr>
                <w:rFonts w:ascii="宋体" w:hAnsi="宋体"/>
              </w:rPr>
            </w:pPr>
            <w:r>
              <w:rPr>
                <w:rFonts w:hint="eastAsia" w:ascii="宋体" w:hAnsi="宋体"/>
              </w:rPr>
              <w:t>大坪、兰溪、章禾洞、苍石、龙华山</w:t>
            </w:r>
          </w:p>
        </w:tc>
      </w:tr>
      <w:tr w14:paraId="18EFDA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6B4DB4A">
            <w:pPr>
              <w:pStyle w:val="12"/>
              <w:jc w:val="center"/>
              <w:rPr>
                <w:rFonts w:ascii="宋体" w:hAnsi="宋体"/>
              </w:rPr>
            </w:pPr>
            <w:r>
              <w:rPr>
                <w:rFonts w:hint="eastAsia" w:ascii="宋体" w:hAnsi="宋体"/>
              </w:rPr>
              <w:t>帽子峰</w:t>
            </w:r>
          </w:p>
        </w:tc>
        <w:tc>
          <w:tcPr>
            <w:tcW w:w="388" w:type="pct"/>
            <w:vAlign w:val="center"/>
          </w:tcPr>
          <w:p w14:paraId="1BF7E722">
            <w:pPr>
              <w:pStyle w:val="12"/>
              <w:jc w:val="center"/>
              <w:rPr>
                <w:rFonts w:ascii="宋体" w:hAnsi="宋体"/>
              </w:rPr>
            </w:pPr>
            <w:r>
              <w:rPr>
                <w:rFonts w:hint="eastAsia" w:ascii="宋体" w:hAnsi="宋体"/>
              </w:rPr>
              <w:t>—</w:t>
            </w:r>
          </w:p>
        </w:tc>
        <w:tc>
          <w:tcPr>
            <w:tcW w:w="1163" w:type="pct"/>
            <w:vAlign w:val="center"/>
          </w:tcPr>
          <w:p w14:paraId="6EC5FF06">
            <w:pPr>
              <w:pStyle w:val="12"/>
              <w:jc w:val="center"/>
              <w:rPr>
                <w:rFonts w:ascii="宋体" w:hAnsi="宋体"/>
              </w:rPr>
            </w:pPr>
            <w:r>
              <w:rPr>
                <w:rFonts w:hint="eastAsia" w:ascii="宋体" w:hAnsi="宋体"/>
              </w:rPr>
              <w:t>—</w:t>
            </w:r>
          </w:p>
        </w:tc>
        <w:tc>
          <w:tcPr>
            <w:tcW w:w="388" w:type="pct"/>
            <w:vAlign w:val="center"/>
          </w:tcPr>
          <w:p w14:paraId="023D18F9">
            <w:pPr>
              <w:pStyle w:val="12"/>
              <w:jc w:val="center"/>
              <w:rPr>
                <w:rFonts w:ascii="宋体" w:hAnsi="宋体"/>
              </w:rPr>
            </w:pPr>
            <w:r>
              <w:rPr>
                <w:rFonts w:hint="eastAsia" w:ascii="宋体" w:hAnsi="宋体"/>
              </w:rPr>
              <w:t>5</w:t>
            </w:r>
          </w:p>
        </w:tc>
        <w:tc>
          <w:tcPr>
            <w:tcW w:w="2422" w:type="pct"/>
            <w:vAlign w:val="center"/>
          </w:tcPr>
          <w:p w14:paraId="63A9D8FF">
            <w:pPr>
              <w:pStyle w:val="12"/>
              <w:jc w:val="left"/>
              <w:rPr>
                <w:rFonts w:ascii="宋体" w:hAnsi="宋体"/>
              </w:rPr>
            </w:pPr>
            <w:r>
              <w:rPr>
                <w:rFonts w:hint="eastAsia" w:ascii="宋体" w:hAnsi="宋体"/>
              </w:rPr>
              <w:t>富竹、洞头、坪山、上垅、梨树</w:t>
            </w:r>
          </w:p>
        </w:tc>
      </w:tr>
      <w:tr w14:paraId="39F24C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1A97E02">
            <w:pPr>
              <w:pStyle w:val="12"/>
              <w:jc w:val="center"/>
              <w:rPr>
                <w:rFonts w:ascii="宋体" w:hAnsi="宋体"/>
              </w:rPr>
            </w:pPr>
            <w:r>
              <w:rPr>
                <w:rFonts w:hint="eastAsia" w:ascii="宋体" w:hAnsi="宋体"/>
              </w:rPr>
              <w:t>主田乡</w:t>
            </w:r>
          </w:p>
        </w:tc>
        <w:tc>
          <w:tcPr>
            <w:tcW w:w="388" w:type="pct"/>
            <w:vAlign w:val="center"/>
          </w:tcPr>
          <w:p w14:paraId="7F0855B4">
            <w:pPr>
              <w:pStyle w:val="12"/>
              <w:jc w:val="center"/>
              <w:rPr>
                <w:rFonts w:ascii="宋体" w:hAnsi="宋体"/>
              </w:rPr>
            </w:pPr>
            <w:r>
              <w:rPr>
                <w:rFonts w:hint="eastAsia" w:ascii="宋体" w:hAnsi="宋体"/>
              </w:rPr>
              <w:t>1</w:t>
            </w:r>
          </w:p>
        </w:tc>
        <w:tc>
          <w:tcPr>
            <w:tcW w:w="1163" w:type="pct"/>
            <w:vAlign w:val="center"/>
          </w:tcPr>
          <w:p w14:paraId="424DED52">
            <w:pPr>
              <w:pStyle w:val="12"/>
              <w:jc w:val="center"/>
              <w:rPr>
                <w:rFonts w:ascii="宋体" w:hAnsi="宋体"/>
              </w:rPr>
            </w:pPr>
            <w:r>
              <w:rPr>
                <w:rFonts w:hint="eastAsia" w:ascii="宋体" w:hAnsi="宋体"/>
              </w:rPr>
              <w:t>大凤</w:t>
            </w:r>
          </w:p>
        </w:tc>
        <w:tc>
          <w:tcPr>
            <w:tcW w:w="388" w:type="pct"/>
            <w:vAlign w:val="center"/>
          </w:tcPr>
          <w:p w14:paraId="52C02B6A">
            <w:pPr>
              <w:pStyle w:val="12"/>
              <w:jc w:val="center"/>
              <w:rPr>
                <w:rFonts w:ascii="宋体" w:hAnsi="宋体"/>
              </w:rPr>
            </w:pPr>
            <w:r>
              <w:rPr>
                <w:rFonts w:hint="eastAsia" w:ascii="宋体" w:hAnsi="宋体"/>
              </w:rPr>
              <w:t>8</w:t>
            </w:r>
          </w:p>
        </w:tc>
        <w:tc>
          <w:tcPr>
            <w:tcW w:w="2422" w:type="pct"/>
            <w:vAlign w:val="center"/>
          </w:tcPr>
          <w:p w14:paraId="14D1097D">
            <w:pPr>
              <w:pStyle w:val="12"/>
              <w:jc w:val="left"/>
              <w:rPr>
                <w:rFonts w:ascii="宋体" w:hAnsi="宋体"/>
              </w:rPr>
            </w:pPr>
            <w:r>
              <w:rPr>
                <w:rFonts w:hint="eastAsia" w:ascii="宋体" w:hAnsi="宋体"/>
              </w:rPr>
              <w:t>城门、主田、大坝、西洞、西坪、窑合、高峰、塘山</w:t>
            </w:r>
          </w:p>
        </w:tc>
      </w:tr>
    </w:tbl>
    <w:p w14:paraId="7CB3ED89">
      <w:pPr>
        <w:ind w:firstLine="422"/>
        <w:rPr>
          <w:rFonts w:ascii="宋体" w:hAnsi="宋体"/>
          <w:b/>
          <w:szCs w:val="21"/>
        </w:rPr>
      </w:pPr>
      <w:r>
        <w:rPr>
          <w:rFonts w:hint="eastAsia" w:ascii="宋体" w:hAnsi="宋体"/>
          <w:b/>
          <w:szCs w:val="21"/>
        </w:rPr>
        <w:t>（六）撤乡并镇</w:t>
      </w:r>
    </w:p>
    <w:p w14:paraId="4C1DA253">
      <w:pPr>
        <w:ind w:firstLine="420"/>
        <w:rPr>
          <w:rFonts w:ascii="宋体" w:hAnsi="宋体"/>
          <w:szCs w:val="21"/>
        </w:rPr>
      </w:pPr>
      <w:r>
        <w:rPr>
          <w:rFonts w:ascii="宋体" w:hAnsi="宋体"/>
          <w:szCs w:val="21"/>
        </w:rPr>
        <w:t>1994年6月，省政府批准，将全安等12个乡改为镇，全县县以下24个行政区均</w:t>
      </w:r>
      <w:r>
        <w:rPr>
          <w:rFonts w:hint="eastAsia" w:ascii="宋体" w:hAnsi="宋体"/>
          <w:szCs w:val="21"/>
        </w:rPr>
        <w:t>为镇。</w:t>
      </w:r>
    </w:p>
    <w:p w14:paraId="0970B8D0">
      <w:pPr>
        <w:ind w:firstLine="420"/>
        <w:rPr>
          <w:rFonts w:ascii="宋体" w:hAnsi="宋体"/>
          <w:szCs w:val="21"/>
        </w:rPr>
      </w:pPr>
      <w:r>
        <w:rPr>
          <w:rFonts w:ascii="宋体" w:hAnsi="宋体"/>
          <w:szCs w:val="21"/>
        </w:rPr>
        <w:t>2001年部分镇撤并，即撤大塘镇，将原大塘镇和油山镇的黄地、大兰、莲山</w:t>
      </w:r>
      <w:r>
        <w:rPr>
          <w:rFonts w:hint="eastAsia" w:ascii="宋体" w:hAnsi="宋体"/>
          <w:szCs w:val="21"/>
        </w:rPr>
        <w:t>、坪田坳、坪林</w:t>
      </w:r>
      <w:r>
        <w:rPr>
          <w:rFonts w:ascii="宋体" w:hAnsi="宋体"/>
          <w:szCs w:val="21"/>
        </w:rPr>
        <w:t>5个村合并为油山镇，镇政府设在大塘，即原大塘镇政府所在地。将原</w:t>
      </w:r>
      <w:r>
        <w:rPr>
          <w:rFonts w:hint="eastAsia" w:ascii="宋体" w:hAnsi="宋体"/>
          <w:szCs w:val="21"/>
        </w:rPr>
        <w:t>油山镇的兰田、益田、茶头背、上湖</w:t>
      </w:r>
      <w:r>
        <w:rPr>
          <w:rFonts w:ascii="宋体" w:hAnsi="宋体"/>
          <w:szCs w:val="21"/>
        </w:rPr>
        <w:t>4个村划归邓坊镇管辖。撤销新龙镇，将所属村</w:t>
      </w:r>
      <w:r>
        <w:rPr>
          <w:rFonts w:hint="eastAsia" w:ascii="宋体" w:hAnsi="宋体"/>
          <w:szCs w:val="21"/>
        </w:rPr>
        <w:t>并入坪田镇，镇政府设在新龙，即原新龙镇政府所在地。撤销苍石镇，将其所属村并入全安镇。撤销孔江镇，将其所属村并入乌迳镇。全市由</w:t>
      </w:r>
      <w:r>
        <w:rPr>
          <w:rFonts w:ascii="宋体" w:hAnsi="宋体"/>
          <w:szCs w:val="21"/>
        </w:rPr>
        <w:t>24个镇变为20个镇。下属221个村民委员会2481个村民小组，23个居民委员会</w:t>
      </w:r>
      <w:r>
        <w:rPr>
          <w:rFonts w:hint="eastAsia" w:ascii="宋体" w:hAnsi="宋体"/>
          <w:szCs w:val="21"/>
        </w:rPr>
        <w:t>。</w:t>
      </w:r>
    </w:p>
    <w:p w14:paraId="3AA98540">
      <w:pPr>
        <w:ind w:firstLine="420"/>
        <w:rPr>
          <w:rFonts w:ascii="宋体" w:hAnsi="宋体"/>
          <w:szCs w:val="21"/>
        </w:rPr>
      </w:pPr>
      <w:r>
        <w:rPr>
          <w:rFonts w:ascii="宋体" w:hAnsi="宋体"/>
          <w:szCs w:val="21"/>
        </w:rPr>
        <w:t>2005年1月，撤黎口镇，所属村并</w:t>
      </w:r>
      <w:r>
        <w:rPr>
          <w:rFonts w:hint="eastAsia" w:ascii="宋体" w:hAnsi="宋体"/>
          <w:szCs w:val="21"/>
        </w:rPr>
        <w:t>入</w:t>
      </w:r>
      <w:r>
        <w:rPr>
          <w:rFonts w:ascii="宋体" w:hAnsi="宋体"/>
          <w:szCs w:val="21"/>
        </w:rPr>
        <w:t>雄州镇，镇政府设在雄州镇。撤梅岭镇</w:t>
      </w:r>
      <w:r>
        <w:rPr>
          <w:rFonts w:hint="eastAsia" w:ascii="宋体" w:hAnsi="宋体"/>
          <w:szCs w:val="21"/>
        </w:rPr>
        <w:t>，所属村并入珠玑镇，镇政府设在珠玑镇。全市由</w:t>
      </w:r>
      <w:r>
        <w:rPr>
          <w:rFonts w:ascii="宋体" w:hAnsi="宋体"/>
          <w:szCs w:val="21"/>
        </w:rPr>
        <w:t>20个镇变为18个镇。同时将26个</w:t>
      </w:r>
      <w:r>
        <w:rPr>
          <w:rFonts w:hint="eastAsia" w:ascii="宋体" w:hAnsi="宋体"/>
          <w:szCs w:val="21"/>
        </w:rPr>
        <w:t>村委会合并为</w:t>
      </w:r>
      <w:r>
        <w:rPr>
          <w:rFonts w:ascii="宋体" w:hAnsi="宋体"/>
          <w:szCs w:val="21"/>
        </w:rPr>
        <w:t>13个村委会，全市由221个村委会减为208个村委会。同年8月，雄</w:t>
      </w:r>
      <w:r>
        <w:rPr>
          <w:rFonts w:hint="eastAsia" w:ascii="宋体" w:hAnsi="宋体"/>
          <w:szCs w:val="21"/>
        </w:rPr>
        <w:t>州镇更名为雄州街道，</w:t>
      </w:r>
    </w:p>
    <w:p w14:paraId="21CEC3B9">
      <w:pPr>
        <w:ind w:firstLine="0" w:firstLineChars="0"/>
        <w:jc w:val="center"/>
        <w:rPr>
          <w:rFonts w:ascii="宋体" w:hAnsi="宋体"/>
          <w:b/>
          <w:szCs w:val="21"/>
        </w:rPr>
      </w:pPr>
      <w:r>
        <w:rPr>
          <w:rFonts w:ascii="宋体" w:hAnsi="宋体"/>
          <w:b/>
          <w:szCs w:val="21"/>
        </w:rPr>
        <w:t>2005年各镇、村（村民委员会）一览</w:t>
      </w:r>
    </w:p>
    <w:p w14:paraId="3977E6E8">
      <w:pPr>
        <w:ind w:firstLine="0" w:firstLineChars="0"/>
        <w:rPr>
          <w:rFonts w:ascii="宋体" w:hAnsi="宋体"/>
          <w:b/>
          <w:szCs w:val="21"/>
        </w:rPr>
      </w:pPr>
      <w:r>
        <w:rPr>
          <w:rFonts w:hint="eastAsia" w:ascii="宋体" w:hAnsi="宋体"/>
          <w:b/>
          <w:szCs w:val="21"/>
        </w:rPr>
        <w:t>表</w:t>
      </w:r>
      <w:r>
        <w:rPr>
          <w:rFonts w:ascii="宋体" w:hAnsi="宋体"/>
          <w:b/>
          <w:szCs w:val="21"/>
        </w:rPr>
        <w:t>1-4</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82"/>
        <w:gridCol w:w="1737"/>
        <w:gridCol w:w="773"/>
        <w:gridCol w:w="6370"/>
      </w:tblGrid>
      <w:tr w14:paraId="5380AB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3" w:type="pct"/>
            <w:vMerge w:val="restart"/>
            <w:vAlign w:val="center"/>
          </w:tcPr>
          <w:p w14:paraId="20722B31">
            <w:pPr>
              <w:pStyle w:val="12"/>
              <w:jc w:val="center"/>
              <w:rPr>
                <w:rFonts w:ascii="宋体" w:hAnsi="宋体"/>
                <w:b/>
              </w:rPr>
            </w:pPr>
            <w:r>
              <w:rPr>
                <w:rFonts w:hint="eastAsia" w:ascii="宋体" w:hAnsi="宋体"/>
                <w:b/>
              </w:rPr>
              <w:t>镇名</w:t>
            </w:r>
          </w:p>
        </w:tc>
        <w:tc>
          <w:tcPr>
            <w:tcW w:w="872" w:type="pct"/>
            <w:vMerge w:val="restart"/>
            <w:vAlign w:val="center"/>
          </w:tcPr>
          <w:p w14:paraId="49690C86">
            <w:pPr>
              <w:pStyle w:val="12"/>
              <w:jc w:val="center"/>
              <w:rPr>
                <w:rFonts w:ascii="宋体" w:hAnsi="宋体"/>
                <w:b/>
              </w:rPr>
            </w:pPr>
            <w:r>
              <w:rPr>
                <w:rFonts w:hint="eastAsia" w:ascii="宋体" w:hAnsi="宋体"/>
                <w:b/>
              </w:rPr>
              <w:t>镇政府所在地</w:t>
            </w:r>
          </w:p>
        </w:tc>
        <w:tc>
          <w:tcPr>
            <w:tcW w:w="3585" w:type="pct"/>
            <w:gridSpan w:val="2"/>
            <w:vAlign w:val="center"/>
          </w:tcPr>
          <w:p w14:paraId="3B27CCF0">
            <w:pPr>
              <w:pStyle w:val="12"/>
              <w:jc w:val="center"/>
              <w:rPr>
                <w:rFonts w:ascii="宋体" w:hAnsi="宋体"/>
                <w:b/>
              </w:rPr>
            </w:pPr>
            <w:r>
              <w:rPr>
                <w:rFonts w:hint="eastAsia" w:ascii="宋体" w:hAnsi="宋体"/>
                <w:b/>
              </w:rPr>
              <w:t>村民委员会、社区</w:t>
            </w:r>
          </w:p>
        </w:tc>
      </w:tr>
      <w:tr w14:paraId="479416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3" w:type="pct"/>
            <w:vMerge w:val="continue"/>
            <w:vAlign w:val="center"/>
          </w:tcPr>
          <w:p w14:paraId="19EB9553">
            <w:pPr>
              <w:pStyle w:val="12"/>
              <w:jc w:val="center"/>
              <w:rPr>
                <w:rFonts w:ascii="宋体" w:hAnsi="宋体"/>
                <w:b/>
              </w:rPr>
            </w:pPr>
          </w:p>
        </w:tc>
        <w:tc>
          <w:tcPr>
            <w:tcW w:w="872" w:type="pct"/>
            <w:vMerge w:val="continue"/>
            <w:vAlign w:val="center"/>
          </w:tcPr>
          <w:p w14:paraId="3258BE6B">
            <w:pPr>
              <w:pStyle w:val="12"/>
              <w:jc w:val="center"/>
              <w:rPr>
                <w:rFonts w:ascii="宋体" w:hAnsi="宋体"/>
                <w:b/>
              </w:rPr>
            </w:pPr>
          </w:p>
        </w:tc>
        <w:tc>
          <w:tcPr>
            <w:tcW w:w="388" w:type="pct"/>
            <w:vAlign w:val="center"/>
          </w:tcPr>
          <w:p w14:paraId="5A99F6DA">
            <w:pPr>
              <w:pStyle w:val="12"/>
              <w:jc w:val="center"/>
              <w:rPr>
                <w:rFonts w:ascii="宋体" w:hAnsi="宋体"/>
                <w:b/>
              </w:rPr>
            </w:pPr>
            <w:r>
              <w:rPr>
                <w:rFonts w:hint="eastAsia" w:ascii="宋体" w:hAnsi="宋体"/>
                <w:b/>
              </w:rPr>
              <w:t>个数</w:t>
            </w:r>
          </w:p>
        </w:tc>
        <w:tc>
          <w:tcPr>
            <w:tcW w:w="3197" w:type="pct"/>
            <w:vAlign w:val="center"/>
          </w:tcPr>
          <w:p w14:paraId="511DBC33">
            <w:pPr>
              <w:pStyle w:val="12"/>
              <w:jc w:val="center"/>
              <w:rPr>
                <w:rFonts w:ascii="宋体" w:hAnsi="宋体"/>
                <w:b/>
              </w:rPr>
            </w:pPr>
            <w:r>
              <w:rPr>
                <w:rFonts w:hint="eastAsia" w:ascii="宋体" w:hAnsi="宋体"/>
                <w:b/>
              </w:rPr>
              <w:t>名称</w:t>
            </w:r>
          </w:p>
        </w:tc>
      </w:tr>
      <w:tr w14:paraId="69FD45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3" w:type="pct"/>
            <w:vAlign w:val="center"/>
          </w:tcPr>
          <w:p w14:paraId="7EE2BCD9">
            <w:pPr>
              <w:pStyle w:val="12"/>
              <w:jc w:val="center"/>
              <w:rPr>
                <w:rFonts w:ascii="宋体" w:hAnsi="宋体"/>
              </w:rPr>
            </w:pPr>
            <w:r>
              <w:rPr>
                <w:rFonts w:hint="eastAsia" w:ascii="宋体" w:hAnsi="宋体"/>
              </w:rPr>
              <w:t>雄州镇</w:t>
            </w:r>
          </w:p>
        </w:tc>
        <w:tc>
          <w:tcPr>
            <w:tcW w:w="872" w:type="pct"/>
            <w:vAlign w:val="center"/>
          </w:tcPr>
          <w:p w14:paraId="35346D98">
            <w:pPr>
              <w:pStyle w:val="12"/>
              <w:jc w:val="center"/>
              <w:rPr>
                <w:rFonts w:ascii="宋体" w:hAnsi="宋体"/>
              </w:rPr>
            </w:pPr>
            <w:r>
              <w:rPr>
                <w:rFonts w:hint="eastAsia" w:ascii="宋体" w:hAnsi="宋体"/>
              </w:rPr>
              <w:t>市区</w:t>
            </w:r>
          </w:p>
        </w:tc>
        <w:tc>
          <w:tcPr>
            <w:tcW w:w="388" w:type="pct"/>
            <w:vAlign w:val="center"/>
          </w:tcPr>
          <w:p w14:paraId="64FE64AE">
            <w:pPr>
              <w:pStyle w:val="12"/>
              <w:jc w:val="center"/>
              <w:rPr>
                <w:rFonts w:ascii="宋体" w:hAnsi="宋体"/>
              </w:rPr>
            </w:pPr>
            <w:r>
              <w:rPr>
                <w:rFonts w:hint="eastAsia" w:ascii="宋体" w:hAnsi="宋体"/>
              </w:rPr>
              <w:t>20</w:t>
            </w:r>
          </w:p>
        </w:tc>
        <w:tc>
          <w:tcPr>
            <w:tcW w:w="3197" w:type="pct"/>
            <w:vAlign w:val="center"/>
          </w:tcPr>
          <w:p w14:paraId="6D5B6C43">
            <w:pPr>
              <w:pStyle w:val="12"/>
              <w:jc w:val="left"/>
              <w:rPr>
                <w:rFonts w:ascii="宋体" w:hAnsi="宋体"/>
              </w:rPr>
            </w:pPr>
            <w:r>
              <w:rPr>
                <w:rFonts w:hint="eastAsia" w:ascii="宋体" w:hAnsi="宋体"/>
              </w:rPr>
              <w:t>社区7个：八一街、胜利街、民主街、建国街、幸福街、新城东、新城西。村委会13个：铺背、莲塘、郊区、河南、水南、黎口、观新、荆岗、勋口、上坪、下坪、五洲、迳口。共有村民小组157个，社区居委会7个。</w:t>
            </w:r>
          </w:p>
        </w:tc>
      </w:tr>
      <w:tr w14:paraId="6267CF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3" w:type="pct"/>
            <w:vAlign w:val="center"/>
          </w:tcPr>
          <w:p w14:paraId="11A0FEBD">
            <w:pPr>
              <w:pStyle w:val="12"/>
              <w:jc w:val="center"/>
              <w:rPr>
                <w:rFonts w:ascii="宋体" w:hAnsi="宋体"/>
              </w:rPr>
            </w:pPr>
            <w:r>
              <w:rPr>
                <w:rFonts w:hint="eastAsia" w:ascii="宋体" w:hAnsi="宋体"/>
              </w:rPr>
              <w:t>界址镇</w:t>
            </w:r>
          </w:p>
        </w:tc>
        <w:tc>
          <w:tcPr>
            <w:tcW w:w="872" w:type="pct"/>
            <w:vAlign w:val="center"/>
          </w:tcPr>
          <w:p w14:paraId="528AA15F">
            <w:pPr>
              <w:pStyle w:val="12"/>
              <w:jc w:val="center"/>
              <w:rPr>
                <w:rFonts w:ascii="宋体" w:hAnsi="宋体"/>
              </w:rPr>
            </w:pPr>
            <w:r>
              <w:rPr>
                <w:rFonts w:hint="eastAsia" w:ascii="宋体" w:hAnsi="宋体"/>
              </w:rPr>
              <w:t>界址圩</w:t>
            </w:r>
          </w:p>
        </w:tc>
        <w:tc>
          <w:tcPr>
            <w:tcW w:w="388" w:type="pct"/>
            <w:vAlign w:val="center"/>
          </w:tcPr>
          <w:p w14:paraId="613250FC">
            <w:pPr>
              <w:pStyle w:val="12"/>
              <w:jc w:val="center"/>
              <w:rPr>
                <w:rFonts w:ascii="宋体" w:hAnsi="宋体"/>
              </w:rPr>
            </w:pPr>
            <w:r>
              <w:rPr>
                <w:rFonts w:hint="eastAsia" w:ascii="宋体" w:hAnsi="宋体"/>
              </w:rPr>
              <w:t>8</w:t>
            </w:r>
          </w:p>
        </w:tc>
        <w:tc>
          <w:tcPr>
            <w:tcW w:w="3197" w:type="pct"/>
            <w:vAlign w:val="center"/>
          </w:tcPr>
          <w:p w14:paraId="287A62B1">
            <w:pPr>
              <w:pStyle w:val="12"/>
              <w:jc w:val="left"/>
              <w:rPr>
                <w:rFonts w:ascii="宋体" w:hAnsi="宋体"/>
              </w:rPr>
            </w:pPr>
            <w:r>
              <w:rPr>
                <w:rFonts w:hint="eastAsia" w:ascii="宋体" w:hAnsi="宋体"/>
              </w:rPr>
              <w:t>下屋、崇化、赵屋、界址、百罗、大坑、窑灶口、马芫。共有村民小组67个，居民委员会1个。</w:t>
            </w:r>
          </w:p>
        </w:tc>
      </w:tr>
      <w:tr w14:paraId="501BF4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3" w:type="pct"/>
            <w:vAlign w:val="center"/>
          </w:tcPr>
          <w:p w14:paraId="1797AE6B">
            <w:pPr>
              <w:pStyle w:val="12"/>
              <w:jc w:val="center"/>
              <w:rPr>
                <w:rFonts w:ascii="宋体" w:hAnsi="宋体"/>
              </w:rPr>
            </w:pPr>
            <w:r>
              <w:rPr>
                <w:rFonts w:hint="eastAsia" w:ascii="宋体" w:hAnsi="宋体"/>
              </w:rPr>
              <w:t>坪田镇</w:t>
            </w:r>
          </w:p>
        </w:tc>
        <w:tc>
          <w:tcPr>
            <w:tcW w:w="872" w:type="pct"/>
            <w:vAlign w:val="center"/>
          </w:tcPr>
          <w:p w14:paraId="4EC17DBF">
            <w:pPr>
              <w:pStyle w:val="12"/>
              <w:jc w:val="center"/>
              <w:rPr>
                <w:rFonts w:ascii="宋体" w:hAnsi="宋体"/>
              </w:rPr>
            </w:pPr>
            <w:r>
              <w:rPr>
                <w:rFonts w:hint="eastAsia" w:ascii="宋体" w:hAnsi="宋体"/>
              </w:rPr>
              <w:t>老龙圩</w:t>
            </w:r>
          </w:p>
        </w:tc>
        <w:tc>
          <w:tcPr>
            <w:tcW w:w="388" w:type="pct"/>
            <w:vAlign w:val="center"/>
          </w:tcPr>
          <w:p w14:paraId="56BEFC26">
            <w:pPr>
              <w:pStyle w:val="12"/>
              <w:jc w:val="center"/>
              <w:rPr>
                <w:rFonts w:ascii="宋体" w:hAnsi="宋体"/>
              </w:rPr>
            </w:pPr>
            <w:r>
              <w:rPr>
                <w:rFonts w:hint="eastAsia" w:ascii="宋体" w:hAnsi="宋体"/>
              </w:rPr>
              <w:t>14</w:t>
            </w:r>
          </w:p>
        </w:tc>
        <w:tc>
          <w:tcPr>
            <w:tcW w:w="3197" w:type="pct"/>
            <w:vAlign w:val="center"/>
          </w:tcPr>
          <w:p w14:paraId="42C7ED99">
            <w:pPr>
              <w:pStyle w:val="12"/>
              <w:jc w:val="left"/>
              <w:rPr>
                <w:rFonts w:ascii="宋体" w:hAnsi="宋体"/>
              </w:rPr>
            </w:pPr>
            <w:r>
              <w:rPr>
                <w:rFonts w:hint="eastAsia" w:ascii="宋体" w:hAnsi="宋体"/>
              </w:rPr>
              <w:t>长坑、老龙、背迳、龙口、横岭、小塘、官陂、中坪、老圩、新圩、迳洞、坪田、坪湖、龙头。共有村民小组176个，居民委员会2个。</w:t>
            </w:r>
          </w:p>
        </w:tc>
      </w:tr>
      <w:tr w14:paraId="25C749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3" w:type="pct"/>
            <w:vAlign w:val="center"/>
          </w:tcPr>
          <w:p w14:paraId="1284256D">
            <w:pPr>
              <w:pStyle w:val="12"/>
              <w:jc w:val="center"/>
              <w:rPr>
                <w:rFonts w:ascii="宋体" w:hAnsi="宋体"/>
              </w:rPr>
            </w:pPr>
            <w:r>
              <w:rPr>
                <w:rFonts w:hint="eastAsia" w:ascii="宋体" w:hAnsi="宋体"/>
              </w:rPr>
              <w:t>乌迳镇</w:t>
            </w:r>
          </w:p>
        </w:tc>
        <w:tc>
          <w:tcPr>
            <w:tcW w:w="872" w:type="pct"/>
            <w:vAlign w:val="center"/>
          </w:tcPr>
          <w:p w14:paraId="2CBEB206">
            <w:pPr>
              <w:pStyle w:val="12"/>
              <w:jc w:val="center"/>
              <w:rPr>
                <w:rFonts w:ascii="宋体" w:hAnsi="宋体"/>
              </w:rPr>
            </w:pPr>
            <w:r>
              <w:rPr>
                <w:rFonts w:hint="eastAsia" w:ascii="宋体" w:hAnsi="宋体"/>
              </w:rPr>
              <w:t>乌迳圩</w:t>
            </w:r>
          </w:p>
        </w:tc>
        <w:tc>
          <w:tcPr>
            <w:tcW w:w="388" w:type="pct"/>
            <w:vAlign w:val="center"/>
          </w:tcPr>
          <w:p w14:paraId="6CC311F6">
            <w:pPr>
              <w:pStyle w:val="12"/>
              <w:jc w:val="center"/>
              <w:rPr>
                <w:rFonts w:ascii="宋体" w:hAnsi="宋体"/>
              </w:rPr>
            </w:pPr>
            <w:r>
              <w:rPr>
                <w:rFonts w:hint="eastAsia" w:ascii="宋体" w:hAnsi="宋体"/>
              </w:rPr>
              <w:t>21</w:t>
            </w:r>
          </w:p>
        </w:tc>
        <w:tc>
          <w:tcPr>
            <w:tcW w:w="3197" w:type="pct"/>
            <w:vAlign w:val="center"/>
          </w:tcPr>
          <w:p w14:paraId="28C3C7D4">
            <w:pPr>
              <w:pStyle w:val="12"/>
              <w:jc w:val="left"/>
              <w:rPr>
                <w:rFonts w:ascii="宋体" w:hAnsi="宋体"/>
              </w:rPr>
            </w:pPr>
            <w:r>
              <w:rPr>
                <w:rFonts w:hint="eastAsia" w:ascii="宋体" w:hAnsi="宋体"/>
              </w:rPr>
              <w:t>乌迳、山下、鱼塘、新田、高溯、长龙、白龙、坪塘、龙迳、响联、黄塘、孔塘、庙前、水松、黄洞、官门楼、田心、白胜、大竹、孔江、兰坵。共有村民小组210个，居民委员会1个。</w:t>
            </w:r>
          </w:p>
        </w:tc>
      </w:tr>
      <w:tr w14:paraId="2AEBCF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3" w:type="pct"/>
            <w:vAlign w:val="center"/>
          </w:tcPr>
          <w:p w14:paraId="072AC5B0">
            <w:pPr>
              <w:pStyle w:val="12"/>
              <w:jc w:val="center"/>
              <w:rPr>
                <w:rFonts w:ascii="宋体" w:hAnsi="宋体"/>
              </w:rPr>
            </w:pPr>
            <w:r>
              <w:rPr>
                <w:rFonts w:hint="eastAsia" w:ascii="宋体" w:hAnsi="宋体"/>
              </w:rPr>
              <w:t>油山镇</w:t>
            </w:r>
          </w:p>
        </w:tc>
        <w:tc>
          <w:tcPr>
            <w:tcW w:w="872" w:type="pct"/>
            <w:vAlign w:val="center"/>
          </w:tcPr>
          <w:p w14:paraId="0F0EC0AB">
            <w:pPr>
              <w:pStyle w:val="12"/>
              <w:jc w:val="center"/>
              <w:rPr>
                <w:rFonts w:ascii="宋体" w:hAnsi="宋体"/>
              </w:rPr>
            </w:pPr>
            <w:r>
              <w:rPr>
                <w:rFonts w:hint="eastAsia" w:ascii="宋体" w:hAnsi="宋体"/>
              </w:rPr>
              <w:t>大塘圩</w:t>
            </w:r>
          </w:p>
        </w:tc>
        <w:tc>
          <w:tcPr>
            <w:tcW w:w="388" w:type="pct"/>
            <w:vAlign w:val="center"/>
          </w:tcPr>
          <w:p w14:paraId="481343CE">
            <w:pPr>
              <w:pStyle w:val="12"/>
              <w:jc w:val="center"/>
              <w:rPr>
                <w:rFonts w:ascii="宋体" w:hAnsi="宋体"/>
              </w:rPr>
            </w:pPr>
            <w:r>
              <w:rPr>
                <w:rFonts w:hint="eastAsia" w:ascii="宋体" w:hAnsi="宋体"/>
              </w:rPr>
              <w:t>17</w:t>
            </w:r>
          </w:p>
        </w:tc>
        <w:tc>
          <w:tcPr>
            <w:tcW w:w="3197" w:type="pct"/>
            <w:vAlign w:val="center"/>
          </w:tcPr>
          <w:p w14:paraId="57E5FD45">
            <w:pPr>
              <w:pStyle w:val="12"/>
              <w:jc w:val="left"/>
              <w:rPr>
                <w:rFonts w:ascii="宋体" w:hAnsi="宋体"/>
              </w:rPr>
            </w:pPr>
            <w:r>
              <w:rPr>
                <w:rFonts w:hint="eastAsia" w:ascii="宋体" w:hAnsi="宋体"/>
              </w:rPr>
              <w:t>坪石坳、莲山、大兰、平林、黄地、爱敬、浆田、上浆田、孔村、船塘、锦陂、上朔、夹河口、大塘、黄田、下惠、古城。共有村民小组179个，居民委员会1个。</w:t>
            </w:r>
          </w:p>
        </w:tc>
      </w:tr>
      <w:tr w14:paraId="0F71A4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3" w:type="pct"/>
            <w:vAlign w:val="center"/>
          </w:tcPr>
          <w:p w14:paraId="7CC43FA3">
            <w:pPr>
              <w:pStyle w:val="12"/>
              <w:jc w:val="center"/>
              <w:rPr>
                <w:rFonts w:ascii="宋体" w:hAnsi="宋体"/>
              </w:rPr>
            </w:pPr>
            <w:r>
              <w:rPr>
                <w:rFonts w:hint="eastAsia" w:ascii="宋体" w:hAnsi="宋体"/>
              </w:rPr>
              <w:t>邓坊镇</w:t>
            </w:r>
          </w:p>
        </w:tc>
        <w:tc>
          <w:tcPr>
            <w:tcW w:w="872" w:type="pct"/>
            <w:vAlign w:val="center"/>
          </w:tcPr>
          <w:p w14:paraId="6442B1A0">
            <w:pPr>
              <w:pStyle w:val="12"/>
              <w:jc w:val="center"/>
              <w:rPr>
                <w:rFonts w:ascii="宋体" w:hAnsi="宋体"/>
              </w:rPr>
            </w:pPr>
            <w:r>
              <w:rPr>
                <w:rFonts w:hint="eastAsia" w:ascii="宋体" w:hAnsi="宋体"/>
              </w:rPr>
              <w:t>邓坊圩</w:t>
            </w:r>
          </w:p>
        </w:tc>
        <w:tc>
          <w:tcPr>
            <w:tcW w:w="388" w:type="pct"/>
            <w:vAlign w:val="center"/>
          </w:tcPr>
          <w:p w14:paraId="0748BDE4">
            <w:pPr>
              <w:pStyle w:val="12"/>
              <w:jc w:val="center"/>
              <w:rPr>
                <w:rFonts w:ascii="宋体" w:hAnsi="宋体"/>
              </w:rPr>
            </w:pPr>
            <w:r>
              <w:rPr>
                <w:rFonts w:hint="eastAsia" w:ascii="宋体" w:hAnsi="宋体"/>
              </w:rPr>
              <w:t>9</w:t>
            </w:r>
          </w:p>
        </w:tc>
        <w:tc>
          <w:tcPr>
            <w:tcW w:w="3197" w:type="pct"/>
            <w:vAlign w:val="center"/>
          </w:tcPr>
          <w:p w14:paraId="0764797D">
            <w:pPr>
              <w:pStyle w:val="12"/>
              <w:jc w:val="left"/>
              <w:rPr>
                <w:rFonts w:ascii="宋体" w:hAnsi="宋体"/>
              </w:rPr>
            </w:pPr>
            <w:r>
              <w:rPr>
                <w:rFonts w:hint="eastAsia" w:ascii="宋体" w:hAnsi="宋体"/>
              </w:rPr>
              <w:t>邓坊、洋西、赤石、赤马、马战、里元、茶头背、上湖、兰田。共有村民小组105个，居民委员会1个。</w:t>
            </w:r>
          </w:p>
        </w:tc>
      </w:tr>
      <w:tr w14:paraId="6CE0F1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3" w:type="pct"/>
            <w:vAlign w:val="center"/>
          </w:tcPr>
          <w:p w14:paraId="5C752244">
            <w:pPr>
              <w:pStyle w:val="12"/>
              <w:jc w:val="center"/>
              <w:rPr>
                <w:rFonts w:ascii="宋体" w:hAnsi="宋体"/>
              </w:rPr>
            </w:pPr>
            <w:r>
              <w:rPr>
                <w:rFonts w:hint="eastAsia" w:ascii="宋体" w:hAnsi="宋体"/>
              </w:rPr>
              <w:t>黄坑镇</w:t>
            </w:r>
          </w:p>
        </w:tc>
        <w:tc>
          <w:tcPr>
            <w:tcW w:w="872" w:type="pct"/>
            <w:vAlign w:val="center"/>
          </w:tcPr>
          <w:p w14:paraId="00D31C80">
            <w:pPr>
              <w:pStyle w:val="12"/>
              <w:jc w:val="center"/>
              <w:rPr>
                <w:rFonts w:ascii="宋体" w:hAnsi="宋体"/>
              </w:rPr>
            </w:pPr>
            <w:r>
              <w:rPr>
                <w:rFonts w:hint="eastAsia" w:ascii="宋体" w:hAnsi="宋体"/>
              </w:rPr>
              <w:t>黄坑圩</w:t>
            </w:r>
          </w:p>
        </w:tc>
        <w:tc>
          <w:tcPr>
            <w:tcW w:w="388" w:type="pct"/>
            <w:vAlign w:val="center"/>
          </w:tcPr>
          <w:p w14:paraId="3D79AFC2">
            <w:pPr>
              <w:pStyle w:val="12"/>
              <w:jc w:val="center"/>
              <w:rPr>
                <w:rFonts w:ascii="宋体" w:hAnsi="宋体"/>
              </w:rPr>
            </w:pPr>
            <w:r>
              <w:rPr>
                <w:rFonts w:hint="eastAsia" w:ascii="宋体" w:hAnsi="宋体"/>
              </w:rPr>
              <w:t>10</w:t>
            </w:r>
          </w:p>
        </w:tc>
        <w:tc>
          <w:tcPr>
            <w:tcW w:w="3197" w:type="pct"/>
            <w:vAlign w:val="center"/>
          </w:tcPr>
          <w:p w14:paraId="5F9B90BC">
            <w:pPr>
              <w:pStyle w:val="12"/>
              <w:jc w:val="left"/>
              <w:rPr>
                <w:rFonts w:ascii="宋体" w:hAnsi="宋体"/>
              </w:rPr>
            </w:pPr>
            <w:r>
              <w:rPr>
                <w:rFonts w:hint="eastAsia" w:ascii="宋体" w:hAnsi="宋体"/>
              </w:rPr>
              <w:t>黄坑、社前、小陂、塘源、溪塘、园岭、中心、耶溪、上象、许村。共有村民小组124个，居民委员会1个。</w:t>
            </w:r>
          </w:p>
        </w:tc>
      </w:tr>
      <w:tr w14:paraId="211380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3" w:type="pct"/>
            <w:vAlign w:val="center"/>
          </w:tcPr>
          <w:p w14:paraId="3E90DD49">
            <w:pPr>
              <w:pStyle w:val="12"/>
              <w:jc w:val="center"/>
              <w:rPr>
                <w:rFonts w:ascii="宋体" w:hAnsi="宋体"/>
              </w:rPr>
            </w:pPr>
            <w:r>
              <w:rPr>
                <w:rFonts w:hint="eastAsia" w:ascii="宋体" w:hAnsi="宋体"/>
              </w:rPr>
              <w:t>珠玑镇</w:t>
            </w:r>
          </w:p>
        </w:tc>
        <w:tc>
          <w:tcPr>
            <w:tcW w:w="872" w:type="pct"/>
            <w:vAlign w:val="center"/>
          </w:tcPr>
          <w:p w14:paraId="097F46B4">
            <w:pPr>
              <w:pStyle w:val="12"/>
              <w:jc w:val="center"/>
              <w:rPr>
                <w:rFonts w:ascii="宋体" w:hAnsi="宋体"/>
              </w:rPr>
            </w:pPr>
            <w:r>
              <w:rPr>
                <w:rFonts w:hint="eastAsia" w:ascii="宋体" w:hAnsi="宋体"/>
              </w:rPr>
              <w:t>珠玑圩</w:t>
            </w:r>
          </w:p>
        </w:tc>
        <w:tc>
          <w:tcPr>
            <w:tcW w:w="388" w:type="pct"/>
            <w:vAlign w:val="center"/>
          </w:tcPr>
          <w:p w14:paraId="7E6D8ECB">
            <w:pPr>
              <w:pStyle w:val="12"/>
              <w:jc w:val="center"/>
              <w:rPr>
                <w:rFonts w:ascii="宋体" w:hAnsi="宋体"/>
              </w:rPr>
            </w:pPr>
            <w:r>
              <w:rPr>
                <w:rFonts w:hint="eastAsia" w:ascii="宋体" w:hAnsi="宋体"/>
              </w:rPr>
              <w:t>22</w:t>
            </w:r>
          </w:p>
        </w:tc>
        <w:tc>
          <w:tcPr>
            <w:tcW w:w="3197" w:type="pct"/>
            <w:vAlign w:val="center"/>
          </w:tcPr>
          <w:p w14:paraId="55E8BFDA">
            <w:pPr>
              <w:pStyle w:val="12"/>
              <w:jc w:val="left"/>
              <w:rPr>
                <w:rFonts w:ascii="宋体" w:hAnsi="宋体"/>
              </w:rPr>
            </w:pPr>
            <w:r>
              <w:rPr>
                <w:rFonts w:hint="eastAsia" w:ascii="宋体" w:hAnsi="宋体"/>
              </w:rPr>
              <w:t>长迳、新村、古田、聪辈、珠玑、洋湖、叟里元、上嵩、里仁、塘东、石塘、里东、灵潭、祇芫、下坋、罗田、南山、梅关、梅岭、泰源、中站、角湾。共有村民小组237个，居民委员会2个。</w:t>
            </w:r>
          </w:p>
        </w:tc>
      </w:tr>
      <w:tr w14:paraId="159E54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3" w:type="pct"/>
            <w:vAlign w:val="center"/>
          </w:tcPr>
          <w:p w14:paraId="17C2F6A3">
            <w:pPr>
              <w:pStyle w:val="12"/>
              <w:jc w:val="center"/>
              <w:rPr>
                <w:rFonts w:ascii="宋体" w:hAnsi="宋体"/>
              </w:rPr>
            </w:pPr>
            <w:r>
              <w:rPr>
                <w:rFonts w:hint="eastAsia" w:ascii="宋体" w:hAnsi="宋体"/>
              </w:rPr>
              <w:t>湖口镇</w:t>
            </w:r>
          </w:p>
        </w:tc>
        <w:tc>
          <w:tcPr>
            <w:tcW w:w="872" w:type="pct"/>
            <w:vAlign w:val="center"/>
          </w:tcPr>
          <w:p w14:paraId="4AA32965">
            <w:pPr>
              <w:pStyle w:val="12"/>
              <w:jc w:val="center"/>
              <w:rPr>
                <w:rFonts w:ascii="宋体" w:hAnsi="宋体"/>
              </w:rPr>
            </w:pPr>
            <w:r>
              <w:rPr>
                <w:rFonts w:hint="eastAsia" w:ascii="宋体" w:hAnsi="宋体"/>
              </w:rPr>
              <w:t>湖口圩</w:t>
            </w:r>
          </w:p>
        </w:tc>
        <w:tc>
          <w:tcPr>
            <w:tcW w:w="388" w:type="pct"/>
            <w:vAlign w:val="center"/>
          </w:tcPr>
          <w:p w14:paraId="4E036DA9">
            <w:pPr>
              <w:pStyle w:val="12"/>
              <w:jc w:val="center"/>
              <w:rPr>
                <w:rFonts w:ascii="宋体" w:hAnsi="宋体"/>
              </w:rPr>
            </w:pPr>
            <w:r>
              <w:rPr>
                <w:rFonts w:hint="eastAsia" w:ascii="宋体" w:hAnsi="宋体"/>
              </w:rPr>
              <w:t>12</w:t>
            </w:r>
          </w:p>
        </w:tc>
        <w:tc>
          <w:tcPr>
            <w:tcW w:w="3197" w:type="pct"/>
            <w:vAlign w:val="center"/>
          </w:tcPr>
          <w:p w14:paraId="4BE9AD0A">
            <w:pPr>
              <w:pStyle w:val="12"/>
              <w:jc w:val="left"/>
              <w:rPr>
                <w:rFonts w:ascii="宋体" w:hAnsi="宋体"/>
              </w:rPr>
            </w:pPr>
            <w:r>
              <w:rPr>
                <w:rFonts w:hint="eastAsia" w:ascii="宋体" w:hAnsi="宋体"/>
              </w:rPr>
              <w:t>里和、三角、三水、积塔、长市、新湖、新迳、矿石、岗围、湖口、太和、承平。共有村民小组156个，居民委员会1个。</w:t>
            </w:r>
          </w:p>
        </w:tc>
      </w:tr>
      <w:tr w14:paraId="0E3FC3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3" w:type="pct"/>
            <w:vAlign w:val="center"/>
          </w:tcPr>
          <w:p w14:paraId="5E09C76B">
            <w:pPr>
              <w:pStyle w:val="12"/>
              <w:jc w:val="center"/>
              <w:rPr>
                <w:rFonts w:ascii="宋体" w:hAnsi="宋体"/>
              </w:rPr>
            </w:pPr>
            <w:r>
              <w:rPr>
                <w:rFonts w:hint="eastAsia" w:ascii="宋体" w:hAnsi="宋体"/>
              </w:rPr>
              <w:t>南亩镇</w:t>
            </w:r>
          </w:p>
        </w:tc>
        <w:tc>
          <w:tcPr>
            <w:tcW w:w="872" w:type="pct"/>
            <w:vAlign w:val="center"/>
          </w:tcPr>
          <w:p w14:paraId="17184C90">
            <w:pPr>
              <w:pStyle w:val="12"/>
              <w:jc w:val="center"/>
              <w:rPr>
                <w:rFonts w:ascii="宋体" w:hAnsi="宋体"/>
              </w:rPr>
            </w:pPr>
            <w:r>
              <w:rPr>
                <w:rFonts w:hint="eastAsia" w:ascii="宋体" w:hAnsi="宋体"/>
              </w:rPr>
              <w:t>南亩圩</w:t>
            </w:r>
          </w:p>
        </w:tc>
        <w:tc>
          <w:tcPr>
            <w:tcW w:w="388" w:type="pct"/>
            <w:vAlign w:val="center"/>
          </w:tcPr>
          <w:p w14:paraId="0B366B87">
            <w:pPr>
              <w:pStyle w:val="12"/>
              <w:jc w:val="center"/>
              <w:rPr>
                <w:rFonts w:ascii="宋体" w:hAnsi="宋体"/>
              </w:rPr>
            </w:pPr>
            <w:r>
              <w:rPr>
                <w:rFonts w:hint="eastAsia" w:ascii="宋体" w:hAnsi="宋体"/>
              </w:rPr>
              <w:t>11</w:t>
            </w:r>
          </w:p>
        </w:tc>
        <w:tc>
          <w:tcPr>
            <w:tcW w:w="3197" w:type="pct"/>
            <w:vAlign w:val="center"/>
          </w:tcPr>
          <w:p w14:paraId="798D0B7C">
            <w:pPr>
              <w:pStyle w:val="12"/>
              <w:jc w:val="left"/>
              <w:rPr>
                <w:rFonts w:ascii="宋体" w:hAnsi="宋体"/>
              </w:rPr>
            </w:pPr>
            <w:r>
              <w:rPr>
                <w:rFonts w:hint="eastAsia" w:ascii="宋体" w:hAnsi="宋体"/>
              </w:rPr>
              <w:t>长洞、水塘、中寺、岭下、中岭、水尾、芙蓉、官田、鱼鲜、樟屋、南亩。共有村民小组108个，居民委员会1个。</w:t>
            </w:r>
          </w:p>
        </w:tc>
      </w:tr>
      <w:tr w14:paraId="6954BF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3" w:type="pct"/>
            <w:vAlign w:val="center"/>
          </w:tcPr>
          <w:p w14:paraId="52E72B6E">
            <w:pPr>
              <w:pStyle w:val="12"/>
              <w:jc w:val="center"/>
              <w:rPr>
                <w:rFonts w:ascii="宋体" w:hAnsi="宋体"/>
              </w:rPr>
            </w:pPr>
            <w:r>
              <w:rPr>
                <w:rFonts w:hint="eastAsia" w:ascii="宋体" w:hAnsi="宋体"/>
              </w:rPr>
              <w:t>水口镇</w:t>
            </w:r>
          </w:p>
        </w:tc>
        <w:tc>
          <w:tcPr>
            <w:tcW w:w="872" w:type="pct"/>
            <w:vAlign w:val="center"/>
          </w:tcPr>
          <w:p w14:paraId="5AFAB7FB">
            <w:pPr>
              <w:pStyle w:val="12"/>
              <w:jc w:val="center"/>
              <w:rPr>
                <w:rFonts w:ascii="宋体" w:hAnsi="宋体"/>
              </w:rPr>
            </w:pPr>
            <w:r>
              <w:rPr>
                <w:rFonts w:hint="eastAsia" w:ascii="宋体" w:hAnsi="宋体"/>
              </w:rPr>
              <w:t>水口圩</w:t>
            </w:r>
          </w:p>
        </w:tc>
        <w:tc>
          <w:tcPr>
            <w:tcW w:w="388" w:type="pct"/>
            <w:vAlign w:val="center"/>
          </w:tcPr>
          <w:p w14:paraId="71AD34D8">
            <w:pPr>
              <w:pStyle w:val="12"/>
              <w:jc w:val="center"/>
              <w:rPr>
                <w:rFonts w:ascii="宋体" w:hAnsi="宋体"/>
              </w:rPr>
            </w:pPr>
            <w:r>
              <w:rPr>
                <w:rFonts w:hint="eastAsia" w:ascii="宋体" w:hAnsi="宋体"/>
              </w:rPr>
              <w:t>13</w:t>
            </w:r>
          </w:p>
        </w:tc>
        <w:tc>
          <w:tcPr>
            <w:tcW w:w="3197" w:type="pct"/>
            <w:vAlign w:val="center"/>
          </w:tcPr>
          <w:p w14:paraId="0A060DE5">
            <w:pPr>
              <w:pStyle w:val="12"/>
              <w:jc w:val="left"/>
              <w:rPr>
                <w:rFonts w:ascii="宋体" w:hAnsi="宋体"/>
              </w:rPr>
            </w:pPr>
            <w:r>
              <w:rPr>
                <w:rFonts w:hint="eastAsia" w:ascii="宋体" w:hAnsi="宋体"/>
              </w:rPr>
              <w:t>云西、弱过、水口、大部、河村、大坪、沙头、下湖、赤岭、群星、石庄、下楼、泷头。共有村民小组183个，居民委员会1个。</w:t>
            </w:r>
          </w:p>
        </w:tc>
      </w:tr>
      <w:tr w14:paraId="316BF7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3" w:type="pct"/>
            <w:vAlign w:val="center"/>
          </w:tcPr>
          <w:p w14:paraId="37EDA797">
            <w:pPr>
              <w:pStyle w:val="12"/>
              <w:jc w:val="center"/>
              <w:rPr>
                <w:rFonts w:ascii="宋体" w:hAnsi="宋体"/>
              </w:rPr>
            </w:pPr>
            <w:r>
              <w:rPr>
                <w:rFonts w:hint="eastAsia" w:ascii="宋体" w:hAnsi="宋体"/>
              </w:rPr>
              <w:t>江头镇</w:t>
            </w:r>
          </w:p>
        </w:tc>
        <w:tc>
          <w:tcPr>
            <w:tcW w:w="872" w:type="pct"/>
            <w:vAlign w:val="center"/>
          </w:tcPr>
          <w:p w14:paraId="41C8FBC1">
            <w:pPr>
              <w:pStyle w:val="12"/>
              <w:jc w:val="center"/>
              <w:rPr>
                <w:rFonts w:ascii="宋体" w:hAnsi="宋体"/>
              </w:rPr>
            </w:pPr>
            <w:r>
              <w:rPr>
                <w:rFonts w:hint="eastAsia" w:ascii="宋体" w:hAnsi="宋体"/>
              </w:rPr>
              <w:t>江头圩</w:t>
            </w:r>
          </w:p>
        </w:tc>
        <w:tc>
          <w:tcPr>
            <w:tcW w:w="388" w:type="pct"/>
            <w:vAlign w:val="center"/>
          </w:tcPr>
          <w:p w14:paraId="77D737EF">
            <w:pPr>
              <w:pStyle w:val="12"/>
              <w:jc w:val="center"/>
              <w:rPr>
                <w:rFonts w:ascii="宋体" w:hAnsi="宋体"/>
              </w:rPr>
            </w:pPr>
            <w:r>
              <w:rPr>
                <w:rFonts w:hint="eastAsia" w:ascii="宋体" w:hAnsi="宋体"/>
              </w:rPr>
              <w:t>9</w:t>
            </w:r>
          </w:p>
        </w:tc>
        <w:tc>
          <w:tcPr>
            <w:tcW w:w="3197" w:type="pct"/>
            <w:vAlign w:val="center"/>
          </w:tcPr>
          <w:p w14:paraId="08526461">
            <w:pPr>
              <w:pStyle w:val="12"/>
              <w:jc w:val="left"/>
              <w:rPr>
                <w:rFonts w:ascii="宋体" w:hAnsi="宋体"/>
              </w:rPr>
            </w:pPr>
            <w:r>
              <w:rPr>
                <w:rFonts w:hint="eastAsia" w:ascii="宋体" w:hAnsi="宋体"/>
              </w:rPr>
              <w:t>坪岗、涌溪、园圃、江头、鱼仙、大汉、南甫、武岭、小竹。共有村民小组97个，居民委员会1个。</w:t>
            </w:r>
          </w:p>
        </w:tc>
      </w:tr>
      <w:tr w14:paraId="2A4B6B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3" w:type="pct"/>
            <w:vAlign w:val="center"/>
          </w:tcPr>
          <w:p w14:paraId="23CC86ED">
            <w:pPr>
              <w:pStyle w:val="12"/>
              <w:jc w:val="center"/>
              <w:rPr>
                <w:rFonts w:ascii="宋体" w:hAnsi="宋体"/>
              </w:rPr>
            </w:pPr>
            <w:r>
              <w:rPr>
                <w:rFonts w:hint="eastAsia" w:ascii="宋体" w:hAnsi="宋体"/>
              </w:rPr>
              <w:t>主田镇</w:t>
            </w:r>
          </w:p>
        </w:tc>
        <w:tc>
          <w:tcPr>
            <w:tcW w:w="872" w:type="pct"/>
            <w:vAlign w:val="center"/>
          </w:tcPr>
          <w:p w14:paraId="49E8784F">
            <w:pPr>
              <w:pStyle w:val="12"/>
              <w:jc w:val="center"/>
              <w:rPr>
                <w:rFonts w:ascii="宋体" w:hAnsi="宋体"/>
              </w:rPr>
            </w:pPr>
            <w:r>
              <w:rPr>
                <w:rFonts w:hint="eastAsia" w:ascii="宋体" w:hAnsi="宋体"/>
              </w:rPr>
              <w:t>主田</w:t>
            </w:r>
          </w:p>
        </w:tc>
        <w:tc>
          <w:tcPr>
            <w:tcW w:w="388" w:type="pct"/>
            <w:vAlign w:val="center"/>
          </w:tcPr>
          <w:p w14:paraId="69C20236">
            <w:pPr>
              <w:pStyle w:val="12"/>
              <w:jc w:val="center"/>
              <w:rPr>
                <w:rFonts w:ascii="宋体" w:hAnsi="宋体"/>
              </w:rPr>
            </w:pPr>
            <w:r>
              <w:rPr>
                <w:rFonts w:hint="eastAsia" w:ascii="宋体" w:hAnsi="宋体"/>
              </w:rPr>
              <w:t>8</w:t>
            </w:r>
          </w:p>
        </w:tc>
        <w:tc>
          <w:tcPr>
            <w:tcW w:w="3197" w:type="pct"/>
            <w:vAlign w:val="center"/>
          </w:tcPr>
          <w:p w14:paraId="39B178CA">
            <w:pPr>
              <w:pStyle w:val="12"/>
              <w:jc w:val="left"/>
              <w:rPr>
                <w:rFonts w:ascii="宋体" w:hAnsi="宋体"/>
              </w:rPr>
            </w:pPr>
            <w:r>
              <w:rPr>
                <w:rFonts w:hint="eastAsia" w:ascii="宋体" w:hAnsi="宋体"/>
              </w:rPr>
              <w:t>城门、主田、大坝、塘山、西坪、高峰、窑合、西洞。共有村民小组102个，居民委员会1个。</w:t>
            </w:r>
          </w:p>
        </w:tc>
      </w:tr>
      <w:tr w14:paraId="2507B4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3" w:type="pct"/>
            <w:vAlign w:val="center"/>
          </w:tcPr>
          <w:p w14:paraId="45E1D97C">
            <w:pPr>
              <w:pStyle w:val="12"/>
              <w:jc w:val="center"/>
              <w:rPr>
                <w:rFonts w:ascii="宋体" w:hAnsi="宋体"/>
              </w:rPr>
            </w:pPr>
            <w:r>
              <w:rPr>
                <w:rFonts w:hint="eastAsia" w:ascii="宋体" w:hAnsi="宋体"/>
              </w:rPr>
              <w:t>古市镇</w:t>
            </w:r>
          </w:p>
        </w:tc>
        <w:tc>
          <w:tcPr>
            <w:tcW w:w="872" w:type="pct"/>
            <w:vAlign w:val="center"/>
          </w:tcPr>
          <w:p w14:paraId="4C8A42FF">
            <w:pPr>
              <w:pStyle w:val="12"/>
              <w:jc w:val="center"/>
              <w:rPr>
                <w:rFonts w:ascii="宋体" w:hAnsi="宋体"/>
              </w:rPr>
            </w:pPr>
            <w:r>
              <w:rPr>
                <w:rFonts w:hint="eastAsia" w:ascii="宋体" w:hAnsi="宋体"/>
              </w:rPr>
              <w:t>古禄圩</w:t>
            </w:r>
          </w:p>
        </w:tc>
        <w:tc>
          <w:tcPr>
            <w:tcW w:w="388" w:type="pct"/>
            <w:vAlign w:val="center"/>
          </w:tcPr>
          <w:p w14:paraId="6CFB2057">
            <w:pPr>
              <w:pStyle w:val="12"/>
              <w:jc w:val="center"/>
              <w:rPr>
                <w:rFonts w:ascii="宋体" w:hAnsi="宋体"/>
              </w:rPr>
            </w:pPr>
            <w:r>
              <w:rPr>
                <w:rFonts w:hint="eastAsia" w:ascii="宋体" w:hAnsi="宋体"/>
              </w:rPr>
              <w:t>8</w:t>
            </w:r>
          </w:p>
        </w:tc>
        <w:tc>
          <w:tcPr>
            <w:tcW w:w="3197" w:type="pct"/>
            <w:vAlign w:val="center"/>
          </w:tcPr>
          <w:p w14:paraId="461ADBBF">
            <w:pPr>
              <w:pStyle w:val="12"/>
              <w:jc w:val="left"/>
              <w:rPr>
                <w:rFonts w:ascii="宋体" w:hAnsi="宋体"/>
              </w:rPr>
            </w:pPr>
            <w:r>
              <w:rPr>
                <w:rFonts w:hint="eastAsia" w:ascii="宋体" w:hAnsi="宋体"/>
              </w:rPr>
              <w:t>小坑、山角岭、溪口、修仁、丰源、柴岭、古市、丹布。共有村民小组123个，居民委员会1个。</w:t>
            </w:r>
          </w:p>
        </w:tc>
      </w:tr>
      <w:tr w14:paraId="4F56D59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3" w:type="pct"/>
            <w:vAlign w:val="center"/>
          </w:tcPr>
          <w:p w14:paraId="3DCDB732">
            <w:pPr>
              <w:pStyle w:val="12"/>
              <w:jc w:val="center"/>
              <w:rPr>
                <w:rFonts w:ascii="宋体" w:hAnsi="宋体"/>
              </w:rPr>
            </w:pPr>
            <w:r>
              <w:rPr>
                <w:rFonts w:hint="eastAsia" w:ascii="宋体" w:hAnsi="宋体"/>
              </w:rPr>
              <w:t>全安镇</w:t>
            </w:r>
          </w:p>
        </w:tc>
        <w:tc>
          <w:tcPr>
            <w:tcW w:w="872" w:type="pct"/>
            <w:vAlign w:val="center"/>
          </w:tcPr>
          <w:p w14:paraId="33A3C5DC">
            <w:pPr>
              <w:pStyle w:val="12"/>
              <w:jc w:val="center"/>
              <w:rPr>
                <w:rFonts w:ascii="宋体" w:hAnsi="宋体"/>
              </w:rPr>
            </w:pPr>
            <w:r>
              <w:rPr>
                <w:rFonts w:hint="eastAsia" w:ascii="宋体" w:hAnsi="宋体"/>
              </w:rPr>
              <w:t>郭公岭</w:t>
            </w:r>
          </w:p>
        </w:tc>
        <w:tc>
          <w:tcPr>
            <w:tcW w:w="388" w:type="pct"/>
            <w:vAlign w:val="center"/>
          </w:tcPr>
          <w:p w14:paraId="5B25ADBE">
            <w:pPr>
              <w:pStyle w:val="12"/>
              <w:jc w:val="center"/>
              <w:rPr>
                <w:rFonts w:ascii="宋体" w:hAnsi="宋体"/>
              </w:rPr>
            </w:pPr>
            <w:r>
              <w:rPr>
                <w:rFonts w:hint="eastAsia" w:ascii="宋体" w:hAnsi="宋体"/>
              </w:rPr>
              <w:t>13</w:t>
            </w:r>
          </w:p>
        </w:tc>
        <w:tc>
          <w:tcPr>
            <w:tcW w:w="3197" w:type="pct"/>
            <w:vAlign w:val="center"/>
          </w:tcPr>
          <w:p w14:paraId="52CEEFBE">
            <w:pPr>
              <w:pStyle w:val="12"/>
              <w:jc w:val="left"/>
              <w:rPr>
                <w:rFonts w:ascii="宋体" w:hAnsi="宋体"/>
              </w:rPr>
            </w:pPr>
            <w:r>
              <w:rPr>
                <w:rFonts w:hint="eastAsia" w:ascii="宋体" w:hAnsi="宋体"/>
              </w:rPr>
              <w:t>密下水、艻迳、杨历、河塘、王亭石、全安、古塘、羊角、陂头、苍石、大坪、兰溪、章禾洞。共有村民小组192个，居民委员会1个。</w:t>
            </w:r>
          </w:p>
        </w:tc>
      </w:tr>
      <w:tr w14:paraId="73D13A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3" w:type="pct"/>
            <w:vAlign w:val="center"/>
          </w:tcPr>
          <w:p w14:paraId="06B45AE2">
            <w:pPr>
              <w:pStyle w:val="12"/>
              <w:jc w:val="center"/>
              <w:rPr>
                <w:rFonts w:ascii="宋体" w:hAnsi="宋体"/>
              </w:rPr>
            </w:pPr>
            <w:r>
              <w:rPr>
                <w:rFonts w:hint="eastAsia" w:ascii="宋体" w:hAnsi="宋体"/>
              </w:rPr>
              <w:t>帽子峰镇</w:t>
            </w:r>
          </w:p>
        </w:tc>
        <w:tc>
          <w:tcPr>
            <w:tcW w:w="872" w:type="pct"/>
            <w:vAlign w:val="center"/>
          </w:tcPr>
          <w:p w14:paraId="1F54983C">
            <w:pPr>
              <w:pStyle w:val="12"/>
              <w:jc w:val="center"/>
              <w:rPr>
                <w:rFonts w:ascii="宋体" w:hAnsi="宋体"/>
              </w:rPr>
            </w:pPr>
            <w:r>
              <w:rPr>
                <w:rFonts w:hint="eastAsia" w:ascii="宋体" w:hAnsi="宋体"/>
              </w:rPr>
              <w:t>富竹圩</w:t>
            </w:r>
          </w:p>
        </w:tc>
        <w:tc>
          <w:tcPr>
            <w:tcW w:w="388" w:type="pct"/>
            <w:vAlign w:val="center"/>
          </w:tcPr>
          <w:p w14:paraId="028AFFA2">
            <w:pPr>
              <w:pStyle w:val="12"/>
              <w:jc w:val="center"/>
              <w:rPr>
                <w:rFonts w:ascii="宋体" w:hAnsi="宋体"/>
              </w:rPr>
            </w:pPr>
            <w:r>
              <w:rPr>
                <w:rFonts w:hint="eastAsia" w:ascii="宋体" w:hAnsi="宋体"/>
              </w:rPr>
              <w:t>5</w:t>
            </w:r>
          </w:p>
        </w:tc>
        <w:tc>
          <w:tcPr>
            <w:tcW w:w="3197" w:type="pct"/>
            <w:vAlign w:val="center"/>
          </w:tcPr>
          <w:p w14:paraId="0D42AF31">
            <w:pPr>
              <w:pStyle w:val="12"/>
              <w:jc w:val="left"/>
              <w:rPr>
                <w:rFonts w:ascii="宋体" w:hAnsi="宋体"/>
              </w:rPr>
            </w:pPr>
            <w:r>
              <w:rPr>
                <w:rFonts w:hint="eastAsia" w:ascii="宋体" w:hAnsi="宋体"/>
              </w:rPr>
              <w:t>富竹、洞头、坪山、上龙、梨树。共有村民小组56个，居民委员会1个。</w:t>
            </w:r>
          </w:p>
        </w:tc>
      </w:tr>
      <w:tr w14:paraId="78FF9D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3" w:type="pct"/>
            <w:vAlign w:val="center"/>
          </w:tcPr>
          <w:p w14:paraId="62DCCFD4">
            <w:pPr>
              <w:pStyle w:val="12"/>
              <w:jc w:val="center"/>
              <w:rPr>
                <w:rFonts w:ascii="宋体" w:hAnsi="宋体"/>
              </w:rPr>
            </w:pPr>
            <w:r>
              <w:rPr>
                <w:rFonts w:hint="eastAsia" w:ascii="宋体" w:hAnsi="宋体"/>
              </w:rPr>
              <w:t>澜河镇</w:t>
            </w:r>
          </w:p>
        </w:tc>
        <w:tc>
          <w:tcPr>
            <w:tcW w:w="872" w:type="pct"/>
            <w:vAlign w:val="center"/>
          </w:tcPr>
          <w:p w14:paraId="3E0F2719">
            <w:pPr>
              <w:pStyle w:val="12"/>
              <w:jc w:val="center"/>
              <w:rPr>
                <w:rFonts w:ascii="宋体" w:hAnsi="宋体"/>
              </w:rPr>
            </w:pPr>
            <w:r>
              <w:rPr>
                <w:rFonts w:hint="eastAsia" w:ascii="宋体" w:hAnsi="宋体"/>
              </w:rPr>
              <w:t>澜河圩</w:t>
            </w:r>
          </w:p>
        </w:tc>
        <w:tc>
          <w:tcPr>
            <w:tcW w:w="388" w:type="pct"/>
            <w:vAlign w:val="center"/>
          </w:tcPr>
          <w:p w14:paraId="02D95BDE">
            <w:pPr>
              <w:pStyle w:val="12"/>
              <w:jc w:val="center"/>
              <w:rPr>
                <w:rFonts w:ascii="宋体" w:hAnsi="宋体"/>
              </w:rPr>
            </w:pPr>
            <w:r>
              <w:rPr>
                <w:rFonts w:hint="eastAsia" w:ascii="宋体" w:hAnsi="宋体"/>
              </w:rPr>
              <w:t>6</w:t>
            </w:r>
          </w:p>
        </w:tc>
        <w:tc>
          <w:tcPr>
            <w:tcW w:w="3197" w:type="pct"/>
            <w:vAlign w:val="center"/>
          </w:tcPr>
          <w:p w14:paraId="525D15E2">
            <w:pPr>
              <w:pStyle w:val="12"/>
              <w:jc w:val="left"/>
              <w:rPr>
                <w:rFonts w:ascii="宋体" w:hAnsi="宋体"/>
              </w:rPr>
            </w:pPr>
            <w:r>
              <w:rPr>
                <w:rFonts w:hint="eastAsia" w:ascii="宋体" w:hAnsi="宋体"/>
              </w:rPr>
              <w:t>澜河、葛坪、上澜、白云、上石、洞底。共有村民小组79个，居民委员会1个。</w:t>
            </w:r>
          </w:p>
        </w:tc>
      </w:tr>
      <w:tr w14:paraId="75463D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3" w:type="pct"/>
            <w:vAlign w:val="center"/>
          </w:tcPr>
          <w:p w14:paraId="2661EC8C">
            <w:pPr>
              <w:pStyle w:val="12"/>
              <w:jc w:val="center"/>
              <w:rPr>
                <w:rFonts w:ascii="宋体" w:hAnsi="宋体"/>
              </w:rPr>
            </w:pPr>
            <w:r>
              <w:rPr>
                <w:rFonts w:hint="eastAsia" w:ascii="宋体" w:hAnsi="宋体"/>
              </w:rPr>
              <w:t>百顺镇</w:t>
            </w:r>
          </w:p>
        </w:tc>
        <w:tc>
          <w:tcPr>
            <w:tcW w:w="872" w:type="pct"/>
            <w:vAlign w:val="center"/>
          </w:tcPr>
          <w:p w14:paraId="0368995A">
            <w:pPr>
              <w:pStyle w:val="12"/>
              <w:jc w:val="center"/>
              <w:rPr>
                <w:rFonts w:ascii="宋体" w:hAnsi="宋体"/>
              </w:rPr>
            </w:pPr>
            <w:r>
              <w:rPr>
                <w:rFonts w:hint="eastAsia" w:ascii="宋体" w:hAnsi="宋体"/>
              </w:rPr>
              <w:t>百顺圩</w:t>
            </w:r>
          </w:p>
        </w:tc>
        <w:tc>
          <w:tcPr>
            <w:tcW w:w="388" w:type="pct"/>
            <w:vAlign w:val="center"/>
          </w:tcPr>
          <w:p w14:paraId="733D9615">
            <w:pPr>
              <w:pStyle w:val="12"/>
              <w:jc w:val="center"/>
              <w:rPr>
                <w:rFonts w:ascii="宋体" w:hAnsi="宋体"/>
              </w:rPr>
            </w:pPr>
            <w:r>
              <w:rPr>
                <w:rFonts w:hint="eastAsia" w:ascii="宋体" w:hAnsi="宋体"/>
              </w:rPr>
              <w:t>9</w:t>
            </w:r>
          </w:p>
        </w:tc>
        <w:tc>
          <w:tcPr>
            <w:tcW w:w="3197" w:type="pct"/>
            <w:vAlign w:val="center"/>
          </w:tcPr>
          <w:p w14:paraId="12523D21">
            <w:pPr>
              <w:pStyle w:val="12"/>
              <w:jc w:val="left"/>
              <w:rPr>
                <w:rFonts w:ascii="宋体" w:hAnsi="宋体"/>
              </w:rPr>
            </w:pPr>
            <w:r>
              <w:rPr>
                <w:rFonts w:hint="eastAsia" w:ascii="宋体" w:hAnsi="宋体"/>
              </w:rPr>
              <w:t>百顺、尚睦、大沙洲、湖地、杨梅、邓洞、东坑、朱安、溪头。共有村民小组106个，居民委员会1个。</w:t>
            </w:r>
          </w:p>
        </w:tc>
      </w:tr>
    </w:tbl>
    <w:p w14:paraId="5DDC2F16">
      <w:pPr>
        <w:ind w:firstLine="420"/>
        <w:rPr>
          <w:rFonts w:ascii="宋体" w:hAnsi="宋体"/>
          <w:szCs w:val="21"/>
        </w:rPr>
      </w:pPr>
      <w:r>
        <w:rPr>
          <w:rFonts w:hint="eastAsia" w:ascii="宋体" w:hAnsi="宋体"/>
          <w:szCs w:val="21"/>
        </w:rPr>
        <w:t>以上合计村民委会</w:t>
      </w:r>
      <w:r>
        <w:rPr>
          <w:rFonts w:ascii="宋体" w:hAnsi="宋体"/>
          <w:szCs w:val="21"/>
        </w:rPr>
        <w:t>208个，村民小组2481个，居民委员会26个。</w:t>
      </w:r>
    </w:p>
    <w:p w14:paraId="61164AE3">
      <w:pPr>
        <w:pStyle w:val="4"/>
        <w:rPr>
          <w:rFonts w:ascii="宋体" w:hAnsi="宋体"/>
        </w:rPr>
      </w:pPr>
      <w:r>
        <w:rPr>
          <w:rFonts w:hint="eastAsia" w:ascii="宋体" w:hAnsi="宋体"/>
        </w:rPr>
        <w:t>第四节  市区街巷、各镇村落</w:t>
      </w:r>
    </w:p>
    <w:p w14:paraId="636B2D85">
      <w:pPr>
        <w:pStyle w:val="5"/>
        <w:rPr>
          <w:rFonts w:ascii="宋体" w:hAnsi="宋体"/>
        </w:rPr>
      </w:pPr>
      <w:r>
        <w:rPr>
          <w:rFonts w:hint="eastAsia" w:ascii="宋体" w:hAnsi="宋体"/>
        </w:rPr>
        <w:t>一、市区街巷</w:t>
      </w:r>
    </w:p>
    <w:p w14:paraId="06CB69B1">
      <w:pPr>
        <w:ind w:firstLine="420"/>
        <w:rPr>
          <w:rFonts w:ascii="宋体" w:hAnsi="宋体"/>
          <w:szCs w:val="21"/>
        </w:rPr>
      </w:pPr>
      <w:r>
        <w:rPr>
          <w:rFonts w:hint="eastAsia" w:ascii="宋体" w:hAnsi="宋体"/>
          <w:szCs w:val="21"/>
        </w:rPr>
        <w:t>明末，南雄县城只有</w:t>
      </w:r>
      <w:r>
        <w:rPr>
          <w:rFonts w:ascii="宋体" w:hAnsi="宋体"/>
          <w:szCs w:val="21"/>
        </w:rPr>
        <w:t>17条街巷，至清道光年间扩充到25条，新中国成立后至1981年增加至70条，1986年又新建水南新城区5条街，南雄市区街巷共有74条</w:t>
      </w:r>
      <w:r>
        <w:rPr>
          <w:rFonts w:hint="eastAsia" w:ascii="宋体" w:hAnsi="宋体"/>
          <w:szCs w:val="21"/>
        </w:rPr>
        <w:t>。以后随着新城区扩展完善，老城区的拆迁改造，情况又有很大变化，街巷名称也作了较大更改。</w:t>
      </w:r>
    </w:p>
    <w:p w14:paraId="199715F6">
      <w:pPr>
        <w:ind w:firstLine="422"/>
        <w:rPr>
          <w:rFonts w:ascii="宋体" w:hAnsi="宋体"/>
          <w:b/>
          <w:szCs w:val="21"/>
        </w:rPr>
      </w:pPr>
      <w:r>
        <w:rPr>
          <w:rFonts w:hint="eastAsia" w:ascii="宋体" w:hAnsi="宋体"/>
          <w:b/>
          <w:szCs w:val="21"/>
        </w:rPr>
        <w:t>（一）老城区两大道、十二路、十二街</w:t>
      </w:r>
    </w:p>
    <w:p w14:paraId="134B232B">
      <w:pPr>
        <w:ind w:firstLine="420"/>
        <w:rPr>
          <w:rFonts w:ascii="宋体" w:hAnsi="宋体"/>
          <w:szCs w:val="21"/>
        </w:rPr>
      </w:pPr>
      <w:r>
        <w:rPr>
          <w:rFonts w:hint="eastAsia" w:ascii="宋体" w:hAnsi="宋体"/>
          <w:szCs w:val="21"/>
        </w:rPr>
        <w:t>两大道：雄州大道（维新路以西为大道西路，宾阳门至维新路为大道中路，宾阳门至交警大队，为雄州大道东路）、金叶大道（金叶大桥北至环城西路）。</w:t>
      </w:r>
    </w:p>
    <w:p w14:paraId="680F4959">
      <w:pPr>
        <w:ind w:firstLine="420"/>
        <w:rPr>
          <w:rFonts w:ascii="宋体" w:hAnsi="宋体"/>
          <w:szCs w:val="21"/>
        </w:rPr>
      </w:pPr>
      <w:r>
        <w:rPr>
          <w:rFonts w:hint="eastAsia" w:ascii="宋体" w:hAnsi="宋体"/>
          <w:szCs w:val="21"/>
        </w:rPr>
        <w:t>十二路：青云路（大成街口西至河南桥为青云西路，大成街口东至永康路口为青云东路）、环城路（北门街口西至教场桥为环城西路，北门街口东至八一路口为环城中路，八一路口以东为环城东路）、维新路、永康路、成康路、成新路、八一路、文明路、朝阳路、陵园路、宾阳路、雄东路。</w:t>
      </w:r>
    </w:p>
    <w:p w14:paraId="37AB72D9">
      <w:pPr>
        <w:ind w:firstLine="420"/>
        <w:rPr>
          <w:rFonts w:ascii="宋体" w:hAnsi="宋体"/>
          <w:szCs w:val="21"/>
        </w:rPr>
      </w:pPr>
      <w:r>
        <w:rPr>
          <w:rFonts w:hint="eastAsia" w:ascii="宋体" w:hAnsi="宋体"/>
          <w:szCs w:val="21"/>
        </w:rPr>
        <w:t>十二街：中山街、西门街、居仁街、北门街、三秀新街、大成街、三元里步行街、三影塔步行街、延祥街、仓前街、濠畔街、埠前街。</w:t>
      </w:r>
    </w:p>
    <w:p w14:paraId="427CE62B">
      <w:pPr>
        <w:ind w:firstLine="420"/>
        <w:rPr>
          <w:rFonts w:ascii="宋体" w:hAnsi="宋体"/>
          <w:szCs w:val="21"/>
        </w:rPr>
      </w:pPr>
      <w:r>
        <w:rPr>
          <w:rFonts w:hint="eastAsia" w:ascii="宋体" w:hAnsi="宋体"/>
          <w:szCs w:val="21"/>
        </w:rPr>
        <w:t>其他巷、塘、井、门等：龙勾巷、老虎塘、马路口、罗汉井、梁木巷、石马塘、俚屋岭、大空坪、杜木巷、宝仓巷、桃园洞、五口塘、小梅关、钟楼巷、枣俚园、竹树下、黄木巷、塔俚巷、迥栏门、黄田井、元宝塘。</w:t>
      </w:r>
    </w:p>
    <w:p w14:paraId="566B541F">
      <w:pPr>
        <w:ind w:firstLine="422"/>
        <w:rPr>
          <w:rFonts w:ascii="宋体" w:hAnsi="宋体"/>
          <w:b/>
          <w:szCs w:val="21"/>
        </w:rPr>
      </w:pPr>
      <w:r>
        <w:rPr>
          <w:rFonts w:hint="eastAsia" w:ascii="宋体" w:hAnsi="宋体"/>
          <w:b/>
          <w:szCs w:val="21"/>
        </w:rPr>
        <w:t>（二）新城区十路、三街、一巷</w:t>
      </w:r>
    </w:p>
    <w:p w14:paraId="32489BD1">
      <w:pPr>
        <w:ind w:firstLine="420"/>
        <w:rPr>
          <w:rFonts w:ascii="宋体" w:hAnsi="宋体"/>
          <w:szCs w:val="21"/>
        </w:rPr>
      </w:pPr>
      <w:r>
        <w:rPr>
          <w:rFonts w:hint="eastAsia" w:ascii="宋体" w:hAnsi="宋体"/>
          <w:szCs w:val="21"/>
        </w:rPr>
        <w:t>十路：沿江路（青云桥头西至河南桥头为西路，青云桥头东至水南桥头为东路）、林荫路（城标西至河南街为西路，城标东至水南桥为东路）、浈江路（北起青云桥，南接雄中路）、雄中路（由水南大桥至河南街口）教育路、市场路、竹园路、水南路、江南路、永安路、乐园路。</w:t>
      </w:r>
    </w:p>
    <w:p w14:paraId="43DC5E0F">
      <w:pPr>
        <w:ind w:firstLine="420"/>
        <w:rPr>
          <w:rFonts w:ascii="宋体" w:hAnsi="宋体"/>
          <w:szCs w:val="21"/>
        </w:rPr>
      </w:pPr>
      <w:r>
        <w:rPr>
          <w:rFonts w:hint="eastAsia" w:ascii="宋体" w:hAnsi="宋体"/>
          <w:szCs w:val="21"/>
        </w:rPr>
        <w:t>三街：河南街、金穗街、中街。</w:t>
      </w:r>
    </w:p>
    <w:p w14:paraId="1FC3A4FE">
      <w:pPr>
        <w:ind w:firstLine="420"/>
        <w:rPr>
          <w:rFonts w:ascii="宋体" w:hAnsi="宋体"/>
          <w:szCs w:val="21"/>
        </w:rPr>
      </w:pPr>
      <w:r>
        <w:rPr>
          <w:rFonts w:hint="eastAsia" w:ascii="宋体" w:hAnsi="宋体"/>
          <w:szCs w:val="21"/>
        </w:rPr>
        <w:t>一巷：仙人巷（分东、西、南、北巷）。</w:t>
      </w:r>
    </w:p>
    <w:p w14:paraId="7E83026A">
      <w:pPr>
        <w:ind w:firstLine="422"/>
        <w:rPr>
          <w:rFonts w:ascii="宋体" w:hAnsi="宋体"/>
          <w:b/>
          <w:szCs w:val="21"/>
        </w:rPr>
      </w:pPr>
      <w:r>
        <w:rPr>
          <w:rFonts w:hint="eastAsia" w:ascii="宋体" w:hAnsi="宋体"/>
          <w:b/>
          <w:szCs w:val="21"/>
        </w:rPr>
        <w:t>（三）水南新村二道、十八路</w:t>
      </w:r>
    </w:p>
    <w:p w14:paraId="417F482F">
      <w:pPr>
        <w:ind w:firstLine="420"/>
        <w:rPr>
          <w:rFonts w:ascii="宋体" w:hAnsi="宋体"/>
          <w:szCs w:val="21"/>
        </w:rPr>
      </w:pPr>
      <w:r>
        <w:rPr>
          <w:rFonts w:hint="eastAsia" w:ascii="宋体" w:hAnsi="宋体"/>
          <w:szCs w:val="21"/>
        </w:rPr>
        <w:t>二道：新村大道、新运大道（新运东、新运西）。</w:t>
      </w:r>
    </w:p>
    <w:p w14:paraId="1C88A413">
      <w:pPr>
        <w:ind w:firstLine="420"/>
        <w:rPr>
          <w:rFonts w:ascii="宋体" w:hAnsi="宋体"/>
          <w:szCs w:val="21"/>
        </w:rPr>
      </w:pPr>
      <w:r>
        <w:rPr>
          <w:rFonts w:hint="eastAsia" w:ascii="宋体" w:hAnsi="宋体"/>
          <w:szCs w:val="21"/>
        </w:rPr>
        <w:t>十八路：上园路、龙舟路、门前路、新塘路、林园路、永安路、新湖路、大道东路、大道西路、环村东路、环村西路、枣园南路、枣园北路、麦岭南路、麦岭北路、公园东路、沿湖东路、沿湖西路、园西巷。</w:t>
      </w:r>
    </w:p>
    <w:p w14:paraId="3D326F82">
      <w:pPr>
        <w:pStyle w:val="5"/>
        <w:rPr>
          <w:rFonts w:ascii="宋体" w:hAnsi="宋体"/>
        </w:rPr>
      </w:pPr>
      <w:r>
        <w:rPr>
          <w:rFonts w:hint="eastAsia" w:ascii="宋体" w:hAnsi="宋体"/>
        </w:rPr>
        <w:t>二、社区</w:t>
      </w:r>
    </w:p>
    <w:p w14:paraId="055BEB9E">
      <w:pPr>
        <w:ind w:firstLine="420"/>
        <w:rPr>
          <w:rFonts w:ascii="宋体" w:hAnsi="宋体"/>
          <w:szCs w:val="21"/>
        </w:rPr>
      </w:pPr>
      <w:r>
        <w:rPr>
          <w:rFonts w:hint="eastAsia" w:ascii="宋体" w:hAnsi="宋体"/>
          <w:szCs w:val="21"/>
        </w:rPr>
        <w:t>（一）八一社区属：八一路、石马塘、雄州大道东（原光明东路段）、马路口、梁木巷、俚屋巷、环城东路、宾阳路、老虎塘、雄东路、朝阳路、新马路口、陵园路、鸿基邨。</w:t>
      </w:r>
    </w:p>
    <w:p w14:paraId="388A202B">
      <w:pPr>
        <w:ind w:firstLine="420"/>
        <w:rPr>
          <w:rFonts w:ascii="宋体" w:hAnsi="宋体"/>
          <w:szCs w:val="21"/>
        </w:rPr>
      </w:pPr>
      <w:r>
        <w:rPr>
          <w:rFonts w:hint="eastAsia" w:ascii="宋体" w:hAnsi="宋体"/>
          <w:szCs w:val="21"/>
        </w:rPr>
        <w:t>（二）民主社区属：雄州大道中（原光明西路、爱民路、建设路）、大成街、三元里步行街、北门街、元宝塘、环城路、维新路、成新路、青云西路、三影塔步行街、三影塔广场、成康路、青云东路、永康路（爱民花园）。</w:t>
      </w:r>
    </w:p>
    <w:p w14:paraId="737D4786">
      <w:pPr>
        <w:ind w:firstLine="420"/>
        <w:rPr>
          <w:rFonts w:ascii="宋体" w:hAnsi="宋体"/>
          <w:szCs w:val="21"/>
        </w:rPr>
      </w:pPr>
      <w:r>
        <w:rPr>
          <w:rFonts w:hint="eastAsia" w:ascii="宋体" w:hAnsi="宋体"/>
          <w:szCs w:val="21"/>
        </w:rPr>
        <w:t>（三）胜利社区属：龙勾巷（上、下）、罗汉井、大空坪、仓前街、埠前街、杜木巷、宝仓巷、桃园洞、小梅关、五口塘、濠畔街、雄州大道中（原光明西路）、永康路（城市花园）。</w:t>
      </w:r>
    </w:p>
    <w:p w14:paraId="1874691D">
      <w:pPr>
        <w:ind w:firstLine="420"/>
        <w:rPr>
          <w:rFonts w:ascii="宋体" w:hAnsi="宋体"/>
          <w:szCs w:val="21"/>
        </w:rPr>
      </w:pPr>
      <w:r>
        <w:rPr>
          <w:rFonts w:hint="eastAsia" w:ascii="宋体" w:hAnsi="宋体"/>
          <w:szCs w:val="21"/>
        </w:rPr>
        <w:t>（四）建国社区属：洪山寺、利民路、秋千街、县背街、达德路、黄田井、槐花巷、三秀新街、雄州大道西、环城西路、青云西路、维新路。</w:t>
      </w:r>
    </w:p>
    <w:p w14:paraId="181A7CE4">
      <w:pPr>
        <w:ind w:firstLine="420"/>
        <w:rPr>
          <w:rFonts w:ascii="宋体" w:hAnsi="宋体"/>
          <w:szCs w:val="21"/>
        </w:rPr>
      </w:pPr>
      <w:r>
        <w:rPr>
          <w:rFonts w:hint="eastAsia" w:ascii="宋体" w:hAnsi="宋体"/>
          <w:szCs w:val="21"/>
        </w:rPr>
        <w:t>（五）幸福社区属：利民路、迥栏门、中山街、黄木巷、塔俚巷、居仁街、钟楼巷、西门街、枣俚园、洪山寺、高磊俚、竹树下。</w:t>
      </w:r>
    </w:p>
    <w:p w14:paraId="227034D9">
      <w:pPr>
        <w:ind w:firstLine="420"/>
        <w:rPr>
          <w:rFonts w:ascii="宋体" w:hAnsi="宋体"/>
          <w:szCs w:val="21"/>
        </w:rPr>
      </w:pPr>
      <w:r>
        <w:rPr>
          <w:rFonts w:hint="eastAsia" w:ascii="宋体" w:hAnsi="宋体"/>
          <w:szCs w:val="21"/>
        </w:rPr>
        <w:t>（六）新城东社区属：林荫东路、浈冮路（东边）、沿江东路、中街、水南路、市场路、雄中东路、林荫横街。</w:t>
      </w:r>
    </w:p>
    <w:p w14:paraId="7220BF10">
      <w:pPr>
        <w:ind w:firstLine="420"/>
        <w:rPr>
          <w:rFonts w:ascii="宋体" w:hAnsi="宋体"/>
          <w:szCs w:val="21"/>
        </w:rPr>
      </w:pPr>
      <w:r>
        <w:rPr>
          <w:rFonts w:hint="eastAsia" w:ascii="宋体" w:hAnsi="宋体"/>
          <w:szCs w:val="21"/>
        </w:rPr>
        <w:t>（七）新城西社区属：林荫西路、乐园路、雄中路、金叶大道南、沿江西路（南边）、浈江路（西边）、竹园路、仙人巷（东、西、南、北）。</w:t>
      </w:r>
    </w:p>
    <w:p w14:paraId="5302DB96">
      <w:pPr>
        <w:pStyle w:val="5"/>
        <w:rPr>
          <w:rFonts w:ascii="宋体" w:hAnsi="宋体"/>
        </w:rPr>
      </w:pPr>
      <w:r>
        <w:rPr>
          <w:rFonts w:hint="eastAsia" w:ascii="宋体" w:hAnsi="宋体"/>
        </w:rPr>
        <w:t>三、各镇村落</w:t>
      </w:r>
    </w:p>
    <w:p w14:paraId="7B254CF3">
      <w:pPr>
        <w:ind w:firstLine="420"/>
        <w:rPr>
          <w:rFonts w:ascii="宋体" w:hAnsi="宋体"/>
          <w:szCs w:val="21"/>
        </w:rPr>
      </w:pPr>
      <w:r>
        <w:rPr>
          <w:rFonts w:ascii="宋体" w:hAnsi="宋体"/>
          <w:szCs w:val="21"/>
        </w:rPr>
        <w:t>2005年，各镇、村（村民委员会）所属自然村落列如下：</w:t>
      </w:r>
    </w:p>
    <w:p w14:paraId="634492DE">
      <w:pPr>
        <w:ind w:firstLine="422"/>
        <w:rPr>
          <w:rFonts w:ascii="宋体" w:hAnsi="宋体"/>
          <w:b/>
          <w:szCs w:val="21"/>
        </w:rPr>
      </w:pPr>
      <w:r>
        <w:rPr>
          <w:rFonts w:hint="eastAsia" w:ascii="宋体" w:hAnsi="宋体"/>
          <w:b/>
          <w:szCs w:val="21"/>
        </w:rPr>
        <w:t>雄州镇（</w:t>
      </w:r>
      <w:r>
        <w:rPr>
          <w:rFonts w:ascii="宋体" w:hAnsi="宋体"/>
          <w:b/>
          <w:szCs w:val="21"/>
        </w:rPr>
        <w:t>111个自然村）</w:t>
      </w:r>
    </w:p>
    <w:p w14:paraId="2C2C3904">
      <w:pPr>
        <w:ind w:firstLine="420"/>
        <w:rPr>
          <w:rFonts w:ascii="宋体" w:hAnsi="宋体"/>
          <w:szCs w:val="21"/>
        </w:rPr>
      </w:pPr>
      <w:r>
        <w:rPr>
          <w:rFonts w:hint="eastAsia" w:ascii="宋体" w:hAnsi="宋体"/>
          <w:szCs w:val="21"/>
        </w:rPr>
        <w:t>铺背村属：长岭、武岗、铺背、老虎坑、围俚、狗子脑、溪田寺。</w:t>
      </w:r>
    </w:p>
    <w:p w14:paraId="5F84A4EA">
      <w:pPr>
        <w:ind w:firstLine="420"/>
        <w:rPr>
          <w:rFonts w:ascii="宋体" w:hAnsi="宋体"/>
          <w:szCs w:val="21"/>
        </w:rPr>
      </w:pPr>
      <w:r>
        <w:rPr>
          <w:rFonts w:hint="eastAsia" w:ascii="宋体" w:hAnsi="宋体"/>
          <w:szCs w:val="21"/>
        </w:rPr>
        <w:t>郊区村属：四头门、水西、借村、田边水、洋汾水、塘尾、苍石移民村。</w:t>
      </w:r>
    </w:p>
    <w:p w14:paraId="37DC1155">
      <w:pPr>
        <w:ind w:firstLine="420"/>
        <w:rPr>
          <w:rFonts w:ascii="宋体" w:hAnsi="宋体"/>
          <w:szCs w:val="21"/>
        </w:rPr>
      </w:pPr>
      <w:r>
        <w:rPr>
          <w:rFonts w:hint="eastAsia" w:ascii="宋体" w:hAnsi="宋体"/>
          <w:szCs w:val="21"/>
        </w:rPr>
        <w:t>莲塘村属：莲塘、瑶山坪、仙水地、营子下、贵村。</w:t>
      </w:r>
    </w:p>
    <w:p w14:paraId="1AAF6E51">
      <w:pPr>
        <w:ind w:firstLine="420"/>
        <w:rPr>
          <w:rFonts w:ascii="宋体" w:hAnsi="宋体"/>
          <w:szCs w:val="21"/>
        </w:rPr>
      </w:pPr>
      <w:r>
        <w:rPr>
          <w:rFonts w:hint="eastAsia" w:ascii="宋体" w:hAnsi="宋体"/>
          <w:szCs w:val="21"/>
        </w:rPr>
        <w:t>水南村属：水南。</w:t>
      </w:r>
    </w:p>
    <w:p w14:paraId="0B278532">
      <w:pPr>
        <w:ind w:firstLine="420"/>
        <w:rPr>
          <w:rFonts w:ascii="宋体" w:hAnsi="宋体"/>
          <w:szCs w:val="21"/>
        </w:rPr>
      </w:pPr>
      <w:r>
        <w:rPr>
          <w:rFonts w:hint="eastAsia" w:ascii="宋体" w:hAnsi="宋体"/>
          <w:szCs w:val="21"/>
        </w:rPr>
        <w:t>河南村属：河南街、上排、丰文、丰门坳、畔塘水、楠木、竹园。</w:t>
      </w:r>
    </w:p>
    <w:p w14:paraId="74EEC673">
      <w:pPr>
        <w:ind w:firstLine="420"/>
        <w:rPr>
          <w:rFonts w:ascii="宋体" w:hAnsi="宋体"/>
          <w:szCs w:val="21"/>
        </w:rPr>
      </w:pPr>
      <w:r>
        <w:rPr>
          <w:rFonts w:hint="eastAsia" w:ascii="宋体" w:hAnsi="宋体"/>
          <w:szCs w:val="21"/>
        </w:rPr>
        <w:t>黎口村属：黎口桥、赤水塘、斜头下、满湖塘、大坪俚、岭排、水口桥。</w:t>
      </w:r>
    </w:p>
    <w:p w14:paraId="5E23C717">
      <w:pPr>
        <w:ind w:firstLine="420"/>
        <w:rPr>
          <w:rFonts w:ascii="宋体" w:hAnsi="宋体"/>
          <w:szCs w:val="21"/>
        </w:rPr>
      </w:pPr>
      <w:r>
        <w:rPr>
          <w:rFonts w:hint="eastAsia" w:ascii="宋体" w:hAnsi="宋体"/>
          <w:szCs w:val="21"/>
        </w:rPr>
        <w:t>观新村属：观斗坪、坝俚、哈乐、南蛇洞、九头园。</w:t>
      </w:r>
    </w:p>
    <w:p w14:paraId="436D889E">
      <w:pPr>
        <w:ind w:firstLine="420"/>
        <w:rPr>
          <w:rFonts w:ascii="宋体" w:hAnsi="宋体"/>
          <w:szCs w:val="21"/>
        </w:rPr>
      </w:pPr>
      <w:r>
        <w:rPr>
          <w:rFonts w:hint="eastAsia" w:ascii="宋体" w:hAnsi="宋体"/>
          <w:szCs w:val="21"/>
        </w:rPr>
        <w:t>荆岗村属：荆岗、鸭子岭、瑶坑、司马窝、大岭口、江背坑、里坑、刘屋、邓屋、陈屋。</w:t>
      </w:r>
    </w:p>
    <w:p w14:paraId="2D33C862">
      <w:pPr>
        <w:ind w:firstLine="420"/>
        <w:rPr>
          <w:rFonts w:ascii="宋体" w:hAnsi="宋体"/>
          <w:szCs w:val="21"/>
        </w:rPr>
      </w:pPr>
      <w:r>
        <w:rPr>
          <w:rFonts w:hint="eastAsia" w:ascii="宋体" w:hAnsi="宋体"/>
          <w:szCs w:val="21"/>
        </w:rPr>
        <w:t>勋口村属：聂屋、王屋、郭屋、沈屋、曾屋、河唇、坪湖、观音山、何家村、高桥、徐屋、月光坪、谷树塘。</w:t>
      </w:r>
    </w:p>
    <w:p w14:paraId="43E753E6">
      <w:pPr>
        <w:ind w:firstLine="420"/>
        <w:rPr>
          <w:rFonts w:ascii="宋体" w:hAnsi="宋体"/>
          <w:szCs w:val="21"/>
        </w:rPr>
      </w:pPr>
      <w:r>
        <w:rPr>
          <w:rFonts w:hint="eastAsia" w:ascii="宋体" w:hAnsi="宋体"/>
          <w:szCs w:val="21"/>
        </w:rPr>
        <w:t>上坪村属：大村、岭排、刘屋、华屋、大树园、石子岭、兰桥、卢屋、欧坑。</w:t>
      </w:r>
    </w:p>
    <w:p w14:paraId="6327889D">
      <w:pPr>
        <w:ind w:firstLine="420"/>
        <w:rPr>
          <w:rFonts w:ascii="宋体" w:hAnsi="宋体"/>
          <w:szCs w:val="21"/>
        </w:rPr>
      </w:pPr>
      <w:r>
        <w:rPr>
          <w:rFonts w:hint="eastAsia" w:ascii="宋体" w:hAnsi="宋体"/>
          <w:szCs w:val="21"/>
        </w:rPr>
        <w:t>下坪村属：石陂水、红桃杏、周坑、茶园、中村、大莲塘、叶屋、对面、上坪源、罗屋、林屋、天湖洞、窑下、麻地、禾场地、土头围、新村、孔房头、新屋。</w:t>
      </w:r>
    </w:p>
    <w:p w14:paraId="2E21E13C">
      <w:pPr>
        <w:ind w:firstLine="420"/>
        <w:rPr>
          <w:rFonts w:ascii="宋体" w:hAnsi="宋体"/>
          <w:szCs w:val="21"/>
        </w:rPr>
      </w:pPr>
      <w:r>
        <w:rPr>
          <w:rFonts w:hint="eastAsia" w:ascii="宋体" w:hAnsi="宋体"/>
          <w:szCs w:val="21"/>
        </w:rPr>
        <w:t>五洲村属：五渡、岗顶、小水、上三洲、下三洲、上边岭、园岭头、窑前。</w:t>
      </w:r>
    </w:p>
    <w:p w14:paraId="0B4EEBD6">
      <w:pPr>
        <w:ind w:firstLine="420"/>
        <w:rPr>
          <w:rFonts w:ascii="宋体" w:hAnsi="宋体"/>
          <w:szCs w:val="21"/>
        </w:rPr>
      </w:pPr>
      <w:r>
        <w:rPr>
          <w:rFonts w:hint="eastAsia" w:ascii="宋体" w:hAnsi="宋体"/>
          <w:szCs w:val="21"/>
        </w:rPr>
        <w:t>迳口村属：迳口、昆仓州、安背、佛子前、迎江头、铜锣坪、窑背头。</w:t>
      </w:r>
    </w:p>
    <w:p w14:paraId="3060D818">
      <w:pPr>
        <w:ind w:firstLine="422"/>
        <w:rPr>
          <w:rFonts w:ascii="宋体" w:hAnsi="宋体"/>
          <w:b/>
          <w:szCs w:val="21"/>
        </w:rPr>
      </w:pPr>
      <w:r>
        <w:rPr>
          <w:rFonts w:hint="eastAsia" w:ascii="宋体" w:hAnsi="宋体"/>
          <w:b/>
          <w:szCs w:val="21"/>
        </w:rPr>
        <w:t>界址镇（</w:t>
      </w:r>
      <w:r>
        <w:rPr>
          <w:rFonts w:ascii="宋体" w:hAnsi="宋体"/>
          <w:b/>
          <w:szCs w:val="21"/>
        </w:rPr>
        <w:t>83个自然村</w:t>
      </w:r>
      <w:r>
        <w:rPr>
          <w:rFonts w:hint="eastAsia" w:ascii="宋体" w:hAnsi="宋体"/>
          <w:b/>
          <w:szCs w:val="21"/>
        </w:rPr>
        <w:t>）</w:t>
      </w:r>
    </w:p>
    <w:p w14:paraId="31207290">
      <w:pPr>
        <w:ind w:firstLine="420"/>
        <w:rPr>
          <w:rFonts w:ascii="宋体" w:hAnsi="宋体"/>
          <w:szCs w:val="21"/>
        </w:rPr>
      </w:pPr>
      <w:r>
        <w:rPr>
          <w:rFonts w:hint="eastAsia" w:ascii="宋体" w:hAnsi="宋体"/>
          <w:szCs w:val="21"/>
        </w:rPr>
        <w:t>界址村属：界址圩、虎珠坑、落水山、牛栏背、中间屋、下屋子、连皮、旱公岭、麻池坑、大丘场、流皮塘、坳子脑、仙水塘。</w:t>
      </w:r>
    </w:p>
    <w:p w14:paraId="182D47E1">
      <w:pPr>
        <w:ind w:firstLine="420"/>
        <w:rPr>
          <w:rFonts w:ascii="宋体" w:hAnsi="宋体"/>
          <w:szCs w:val="21"/>
        </w:rPr>
      </w:pPr>
      <w:r>
        <w:rPr>
          <w:rFonts w:hint="eastAsia" w:ascii="宋体" w:hAnsi="宋体"/>
          <w:szCs w:val="21"/>
        </w:rPr>
        <w:t>下屋村属：下围、古池、船寨、下屋子、水南墘、旱背、上村、黄公坑、江子脑、园岭子、破塘、杉头下、流地。</w:t>
      </w:r>
    </w:p>
    <w:p w14:paraId="42D336CD">
      <w:pPr>
        <w:ind w:firstLine="420"/>
        <w:rPr>
          <w:rFonts w:ascii="宋体" w:hAnsi="宋体"/>
          <w:szCs w:val="21"/>
        </w:rPr>
      </w:pPr>
      <w:r>
        <w:rPr>
          <w:rFonts w:hint="eastAsia" w:ascii="宋体" w:hAnsi="宋体"/>
          <w:szCs w:val="21"/>
        </w:rPr>
        <w:t>崇化村属：黄坑、寨脚下、孔班、埂头、营背。</w:t>
      </w:r>
    </w:p>
    <w:p w14:paraId="7E90FE9C">
      <w:pPr>
        <w:ind w:firstLine="420"/>
        <w:rPr>
          <w:rFonts w:ascii="宋体" w:hAnsi="宋体"/>
          <w:szCs w:val="21"/>
        </w:rPr>
      </w:pPr>
      <w:r>
        <w:rPr>
          <w:rFonts w:hint="eastAsia" w:ascii="宋体" w:hAnsi="宋体"/>
          <w:szCs w:val="21"/>
        </w:rPr>
        <w:t>赵屋村属：赵屋、叶坑、赵坑、洋街、水库坑。</w:t>
      </w:r>
    </w:p>
    <w:p w14:paraId="4F159CD4">
      <w:pPr>
        <w:ind w:firstLine="420"/>
        <w:rPr>
          <w:rFonts w:ascii="宋体" w:hAnsi="宋体"/>
          <w:szCs w:val="21"/>
        </w:rPr>
      </w:pPr>
      <w:r>
        <w:rPr>
          <w:rFonts w:hint="eastAsia" w:ascii="宋体" w:hAnsi="宋体"/>
          <w:szCs w:val="21"/>
        </w:rPr>
        <w:t>百罗村属：百罗石、汶井、新屋俚、地脚下、枫树排、上乌石下、下屋子、赤石塘、麦栋。</w:t>
      </w:r>
    </w:p>
    <w:p w14:paraId="7584A41E">
      <w:pPr>
        <w:ind w:firstLine="420"/>
        <w:rPr>
          <w:rFonts w:ascii="宋体" w:hAnsi="宋体"/>
          <w:szCs w:val="21"/>
        </w:rPr>
      </w:pPr>
      <w:r>
        <w:rPr>
          <w:rFonts w:hint="eastAsia" w:ascii="宋体" w:hAnsi="宋体"/>
          <w:szCs w:val="21"/>
        </w:rPr>
        <w:t>大坑村属：大坑、松山、下坝、新屋里、河毛、荷树塘、新莲塘。</w:t>
      </w:r>
    </w:p>
    <w:p w14:paraId="6B1E52BD">
      <w:pPr>
        <w:ind w:firstLine="420"/>
        <w:rPr>
          <w:rFonts w:ascii="宋体" w:hAnsi="宋体"/>
          <w:szCs w:val="21"/>
        </w:rPr>
      </w:pPr>
      <w:r>
        <w:rPr>
          <w:rFonts w:hint="eastAsia" w:ascii="宋体" w:hAnsi="宋体"/>
          <w:szCs w:val="21"/>
        </w:rPr>
        <w:t>灶口村属：村头、东坑、窑灶口、杨坑、雷公坑、铙钹岭、杨木塘、黄泥塘、雷公丘、新人塘、坳下、坑尾子、大坊。</w:t>
      </w:r>
    </w:p>
    <w:p w14:paraId="3E8C50C1">
      <w:pPr>
        <w:ind w:firstLine="420"/>
        <w:rPr>
          <w:rFonts w:ascii="宋体" w:hAnsi="宋体"/>
          <w:szCs w:val="21"/>
        </w:rPr>
      </w:pPr>
      <w:r>
        <w:rPr>
          <w:rFonts w:hint="eastAsia" w:ascii="宋体" w:hAnsi="宋体"/>
          <w:szCs w:val="21"/>
        </w:rPr>
        <w:t>马芫村属：马芫坝、狗脚湾、沙排、地脚下、乌泥坑、长坪里、破塘、天心坝、下屋子、元下。</w:t>
      </w:r>
    </w:p>
    <w:p w14:paraId="1FCCEA5D">
      <w:pPr>
        <w:ind w:firstLine="422"/>
        <w:rPr>
          <w:rFonts w:ascii="宋体" w:hAnsi="宋体"/>
          <w:b/>
          <w:szCs w:val="21"/>
        </w:rPr>
      </w:pPr>
      <w:r>
        <w:rPr>
          <w:rFonts w:hint="eastAsia" w:ascii="宋体" w:hAnsi="宋体"/>
          <w:b/>
          <w:szCs w:val="21"/>
        </w:rPr>
        <w:t>坪田镇（</w:t>
      </w:r>
      <w:r>
        <w:rPr>
          <w:rFonts w:ascii="宋体" w:hAnsi="宋体"/>
          <w:b/>
          <w:szCs w:val="21"/>
        </w:rPr>
        <w:t>190个自然村）</w:t>
      </w:r>
    </w:p>
    <w:p w14:paraId="16955F06">
      <w:pPr>
        <w:ind w:firstLine="420"/>
        <w:rPr>
          <w:rFonts w:ascii="宋体" w:hAnsi="宋体"/>
          <w:szCs w:val="21"/>
        </w:rPr>
      </w:pPr>
      <w:r>
        <w:rPr>
          <w:rFonts w:hint="eastAsia" w:ascii="宋体" w:hAnsi="宋体"/>
          <w:szCs w:val="21"/>
        </w:rPr>
        <w:t>新圩村属：新圩（曾用名红旗）、邓班围、新屋、汪班、姜坳围、姜坳、社湾布宅、坳背、迳下山、宝塔寨、禾镰背、茶塘下。</w:t>
      </w:r>
    </w:p>
    <w:p w14:paraId="0C574CA5">
      <w:pPr>
        <w:ind w:firstLine="420"/>
        <w:rPr>
          <w:rFonts w:ascii="宋体" w:hAnsi="宋体"/>
          <w:szCs w:val="21"/>
        </w:rPr>
      </w:pPr>
      <w:r>
        <w:rPr>
          <w:rFonts w:hint="eastAsia" w:ascii="宋体" w:hAnsi="宋体"/>
          <w:szCs w:val="21"/>
        </w:rPr>
        <w:t>坪田村属：邓坳、坪田圩、黄候、田洞、赤脚岭、莲头、老村、军营寨、观音洞、坳下、草湖、下寮、景子头、上排、新屋岭、七坑、南岭、猪婆洞。</w:t>
      </w:r>
    </w:p>
    <w:p w14:paraId="3F817F83">
      <w:pPr>
        <w:ind w:firstLine="420"/>
        <w:rPr>
          <w:rFonts w:ascii="宋体" w:hAnsi="宋体"/>
          <w:szCs w:val="21"/>
        </w:rPr>
      </w:pPr>
      <w:r>
        <w:rPr>
          <w:rFonts w:hint="eastAsia" w:ascii="宋体" w:hAnsi="宋体"/>
          <w:szCs w:val="21"/>
        </w:rPr>
        <w:t>坪湖村属：坪湖、坪岗、围俚、钗江、陈塘、白石水（曾用名永胜）、迳俚、竹山口、大岭下、上大岭下、小分、乌泥塘、大岭背、黄胜、榕树下。</w:t>
      </w:r>
    </w:p>
    <w:p w14:paraId="4237D313">
      <w:pPr>
        <w:ind w:firstLine="420"/>
        <w:rPr>
          <w:rFonts w:ascii="宋体" w:hAnsi="宋体"/>
          <w:szCs w:val="21"/>
        </w:rPr>
      </w:pPr>
      <w:r>
        <w:rPr>
          <w:rFonts w:hint="eastAsia" w:ascii="宋体" w:hAnsi="宋体"/>
          <w:szCs w:val="21"/>
        </w:rPr>
        <w:t>汪汤村属：大屋下、老屋下、禾昌、珠塘、高树坑、老围俚、新围俚、黄田坳石湾。</w:t>
      </w:r>
    </w:p>
    <w:p w14:paraId="6246C4F6">
      <w:pPr>
        <w:ind w:firstLine="420"/>
        <w:rPr>
          <w:rFonts w:ascii="宋体" w:hAnsi="宋体"/>
          <w:szCs w:val="21"/>
        </w:rPr>
      </w:pPr>
      <w:r>
        <w:rPr>
          <w:rFonts w:hint="eastAsia" w:ascii="宋体" w:hAnsi="宋体"/>
          <w:szCs w:val="21"/>
        </w:rPr>
        <w:t>迳洞村属：迳洞（曾用名红卫）、亨邦新屋下、围角俚、社</w:t>
      </w:r>
      <w:r>
        <w:rPr>
          <w:rFonts w:hint="eastAsia" w:ascii="宋体" w:hAnsi="宋体"/>
          <w:szCs w:val="21"/>
        </w:rPr>
        <w:drawing>
          <wp:inline distT="0" distB="0" distL="0" distR="0">
            <wp:extent cx="223520" cy="255905"/>
            <wp:effectExtent l="0" t="0" r="5080" b="10795"/>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noChangeArrowheads="1"/>
                    </pic:cNvPicPr>
                  </pic:nvPicPr>
                  <pic:blipFill>
                    <a:blip r:embed="rId187" cstate="print"/>
                    <a:srcRect/>
                    <a:stretch>
                      <a:fillRect/>
                    </a:stretch>
                  </pic:blipFill>
                  <pic:spPr>
                    <a:xfrm>
                      <a:off x="0" y="0"/>
                      <a:ext cx="227269" cy="259685"/>
                    </a:xfrm>
                    <a:prstGeom prst="rect">
                      <a:avLst/>
                    </a:prstGeom>
                    <a:noFill/>
                    <a:ln w="9525">
                      <a:noFill/>
                      <a:miter lim="800000"/>
                      <a:headEnd/>
                      <a:tailEnd/>
                    </a:ln>
                  </pic:spPr>
                </pic:pic>
              </a:graphicData>
            </a:graphic>
          </wp:inline>
        </w:drawing>
      </w:r>
      <w:r>
        <w:rPr>
          <w:rFonts w:hint="eastAsia" w:ascii="宋体" w:hAnsi="宋体"/>
          <w:szCs w:val="21"/>
        </w:rPr>
        <w:t>、长塘、老屋下、塘坑、冯上屋、冯下新屋、岭背塘、田螺洞、矮洞、珠坑、大岭背、黄田、栗树、老屋场、下洞、炮安、天心坝、大树下、董坳、长亨、新太平岭、谷洞、石坎脚下、枫树洞、荷树下。</w:t>
      </w:r>
    </w:p>
    <w:p w14:paraId="558997B8">
      <w:pPr>
        <w:ind w:firstLine="420"/>
        <w:rPr>
          <w:rFonts w:ascii="宋体" w:hAnsi="宋体"/>
          <w:szCs w:val="21"/>
        </w:rPr>
      </w:pPr>
      <w:r>
        <w:rPr>
          <w:rFonts w:hint="eastAsia" w:ascii="宋体" w:hAnsi="宋体"/>
          <w:szCs w:val="21"/>
        </w:rPr>
        <w:t>中坪村属：河背水、枫树下、新屋、石板丘、石板丘新屋、黄塘背、刘屋、东坑、房坑、下洞俚、蒙山坳、高栋塘、乐德塘、下屋、李坑、内石坑、大屋下、老屋下、禾昌、珠塘、高树坑、老围俚、新围俚、黄田坳、石湾。</w:t>
      </w:r>
    </w:p>
    <w:p w14:paraId="7A0C0F27">
      <w:pPr>
        <w:ind w:firstLine="420"/>
        <w:rPr>
          <w:rFonts w:ascii="宋体" w:hAnsi="宋体"/>
          <w:szCs w:val="21"/>
        </w:rPr>
      </w:pPr>
      <w:r>
        <w:rPr>
          <w:rFonts w:hint="eastAsia" w:ascii="宋体" w:hAnsi="宋体"/>
          <w:szCs w:val="21"/>
        </w:rPr>
        <w:t>老宅村属：老宅、楼下、欧班、白屋、姜塘、大墘、姜江、新屋、引居坑。</w:t>
      </w:r>
    </w:p>
    <w:p w14:paraId="1ACBE371">
      <w:pPr>
        <w:ind w:firstLine="420"/>
        <w:rPr>
          <w:rFonts w:ascii="宋体" w:hAnsi="宋体"/>
          <w:szCs w:val="21"/>
        </w:rPr>
      </w:pPr>
      <w:r>
        <w:rPr>
          <w:rFonts w:hint="eastAsia" w:ascii="宋体" w:hAnsi="宋体"/>
          <w:szCs w:val="21"/>
        </w:rPr>
        <w:t>龙头村属：龙头、老屋、社口、狗面窝、理地、元丁迳、猪路下、龙洞。</w:t>
      </w:r>
    </w:p>
    <w:p w14:paraId="51C4899F">
      <w:pPr>
        <w:ind w:firstLine="420"/>
        <w:rPr>
          <w:rFonts w:ascii="宋体" w:hAnsi="宋体"/>
          <w:szCs w:val="21"/>
        </w:rPr>
      </w:pPr>
      <w:r>
        <w:rPr>
          <w:rFonts w:hint="eastAsia" w:ascii="宋体" w:hAnsi="宋体"/>
          <w:szCs w:val="21"/>
        </w:rPr>
        <w:t>横岭村属：横岭、新圩（曾用名新营）、谢皮、白石岗、青竹山、老田心、新田心、老栗子围、新栗子围、古楼、陈坑洞。</w:t>
      </w:r>
    </w:p>
    <w:p w14:paraId="5EA9745A">
      <w:pPr>
        <w:ind w:firstLine="420"/>
        <w:rPr>
          <w:rFonts w:ascii="宋体" w:hAnsi="宋体"/>
          <w:szCs w:val="21"/>
        </w:rPr>
      </w:pPr>
      <w:r>
        <w:rPr>
          <w:rFonts w:hint="eastAsia" w:ascii="宋体" w:hAnsi="宋体"/>
          <w:szCs w:val="21"/>
        </w:rPr>
        <w:t>龙口村属：龙口、磨形、塔背下、川头口。</w:t>
      </w:r>
    </w:p>
    <w:p w14:paraId="6EEBF95D">
      <w:pPr>
        <w:ind w:firstLine="420"/>
        <w:rPr>
          <w:rFonts w:ascii="宋体" w:hAnsi="宋体"/>
          <w:szCs w:val="21"/>
        </w:rPr>
      </w:pPr>
      <w:r>
        <w:rPr>
          <w:rFonts w:hint="eastAsia" w:ascii="宋体" w:hAnsi="宋体"/>
          <w:szCs w:val="21"/>
        </w:rPr>
        <w:t>背迳村属：高丘、石塘、东塘、围俚、窝坑、枫树下、湖坑、寨脚下、樟芳、窝塘、樟岭、梅子岭、野猪石、黄坑仔、下肖屋、上肖屋、毛车。</w:t>
      </w:r>
    </w:p>
    <w:p w14:paraId="7AF3C129">
      <w:pPr>
        <w:ind w:firstLine="420"/>
        <w:rPr>
          <w:rFonts w:ascii="宋体" w:hAnsi="宋体"/>
          <w:szCs w:val="21"/>
        </w:rPr>
      </w:pPr>
      <w:r>
        <w:rPr>
          <w:rFonts w:hint="eastAsia" w:ascii="宋体" w:hAnsi="宋体"/>
          <w:szCs w:val="21"/>
        </w:rPr>
        <w:t>老龙村属：老龙、董屋、老鸦坑、石陂、白泥井、新屋、官路头、蕉江、犁头下、上满江、下满江、禾寮下。</w:t>
      </w:r>
    </w:p>
    <w:p w14:paraId="319A2C72">
      <w:pPr>
        <w:ind w:firstLine="420"/>
        <w:rPr>
          <w:rFonts w:ascii="宋体" w:hAnsi="宋体"/>
          <w:szCs w:val="21"/>
        </w:rPr>
      </w:pPr>
      <w:r>
        <w:rPr>
          <w:rFonts w:hint="eastAsia" w:ascii="宋体" w:hAnsi="宋体"/>
          <w:szCs w:val="21"/>
        </w:rPr>
        <w:t>长坑村属：五指坑、长坑、杨梅坑、塔塘、尖岭、高发。</w:t>
      </w:r>
    </w:p>
    <w:p w14:paraId="02F9284B">
      <w:pPr>
        <w:ind w:firstLine="420"/>
        <w:rPr>
          <w:rFonts w:ascii="宋体" w:hAnsi="宋体"/>
          <w:szCs w:val="21"/>
        </w:rPr>
      </w:pPr>
      <w:r>
        <w:rPr>
          <w:rFonts w:hint="eastAsia" w:ascii="宋体" w:hAnsi="宋体"/>
          <w:szCs w:val="21"/>
        </w:rPr>
        <w:t>小塘村属：东岭下、东风、新屋场、老屋场、丰乡、小塘、城溪塘、山茶坑、棠梨树下、乌树下。</w:t>
      </w:r>
    </w:p>
    <w:p w14:paraId="013D542A">
      <w:pPr>
        <w:ind w:firstLine="420"/>
        <w:rPr>
          <w:rFonts w:ascii="宋体" w:hAnsi="宋体"/>
          <w:szCs w:val="21"/>
        </w:rPr>
      </w:pPr>
      <w:r>
        <w:rPr>
          <w:rFonts w:hint="eastAsia" w:ascii="宋体" w:hAnsi="宋体"/>
          <w:szCs w:val="21"/>
        </w:rPr>
        <w:t>官陂村属：莲口、围俚、沉坑、楚坑、杉树下、老屋场、社湾、罗屋、石构塘、老屋、围俚、大塘面。</w:t>
      </w:r>
    </w:p>
    <w:p w14:paraId="4D0A148C">
      <w:pPr>
        <w:ind w:firstLine="422"/>
        <w:rPr>
          <w:rFonts w:ascii="宋体" w:hAnsi="宋体"/>
          <w:b/>
          <w:szCs w:val="21"/>
        </w:rPr>
      </w:pPr>
      <w:r>
        <w:rPr>
          <w:rFonts w:hint="eastAsia" w:ascii="宋体" w:hAnsi="宋体"/>
          <w:b/>
          <w:szCs w:val="21"/>
        </w:rPr>
        <w:t>乌迳镇（</w:t>
      </w:r>
      <w:r>
        <w:rPr>
          <w:rFonts w:ascii="宋体" w:hAnsi="宋体"/>
          <w:b/>
          <w:szCs w:val="21"/>
        </w:rPr>
        <w:t>207个自然村）</w:t>
      </w:r>
    </w:p>
    <w:p w14:paraId="3C4014F0">
      <w:pPr>
        <w:ind w:firstLine="420"/>
        <w:rPr>
          <w:rFonts w:ascii="宋体" w:hAnsi="宋体"/>
          <w:szCs w:val="21"/>
        </w:rPr>
      </w:pPr>
      <w:r>
        <w:rPr>
          <w:rFonts w:hint="eastAsia" w:ascii="宋体" w:hAnsi="宋体"/>
          <w:szCs w:val="21"/>
        </w:rPr>
        <w:t>乌迳村属：乌迳圩、杜屋围。</w:t>
      </w:r>
    </w:p>
    <w:p w14:paraId="4FF94D1B">
      <w:pPr>
        <w:ind w:firstLine="420"/>
        <w:rPr>
          <w:rFonts w:ascii="宋体" w:hAnsi="宋体"/>
          <w:szCs w:val="21"/>
        </w:rPr>
      </w:pPr>
      <w:r>
        <w:rPr>
          <w:rFonts w:hint="eastAsia" w:ascii="宋体" w:hAnsi="宋体"/>
          <w:szCs w:val="21"/>
        </w:rPr>
        <w:t>山下村属：山下（曾用名山红）、水城、水南洞、桥渡安。</w:t>
      </w:r>
    </w:p>
    <w:p w14:paraId="7B6F2B46">
      <w:pPr>
        <w:ind w:firstLine="420"/>
        <w:rPr>
          <w:rFonts w:ascii="宋体" w:hAnsi="宋体"/>
          <w:szCs w:val="21"/>
        </w:rPr>
      </w:pPr>
      <w:r>
        <w:rPr>
          <w:rFonts w:hint="eastAsia" w:ascii="宋体" w:hAnsi="宋体"/>
          <w:szCs w:val="21"/>
        </w:rPr>
        <w:t>鱼塘村属：上陂坑、下陂坑、松树岭、长江下、吊头下、鱼塘背、鹁鸪洞、竹园俚、下坪地、黄泥塘、大坪俚、癞痢寨、桐子树上、鹅兜、新屋俚、大园俚。</w:t>
      </w:r>
    </w:p>
    <w:p w14:paraId="6FD37ECE">
      <w:pPr>
        <w:ind w:firstLine="420"/>
        <w:rPr>
          <w:rFonts w:ascii="宋体" w:hAnsi="宋体"/>
          <w:szCs w:val="21"/>
        </w:rPr>
      </w:pPr>
      <w:r>
        <w:rPr>
          <w:rFonts w:hint="eastAsia" w:ascii="宋体" w:hAnsi="宋体"/>
          <w:szCs w:val="21"/>
        </w:rPr>
        <w:t>新田村属：新田村、新田圩、茶亭下。</w:t>
      </w:r>
    </w:p>
    <w:p w14:paraId="439D203B">
      <w:pPr>
        <w:ind w:firstLine="420"/>
        <w:rPr>
          <w:rFonts w:ascii="宋体" w:hAnsi="宋体"/>
          <w:szCs w:val="21"/>
        </w:rPr>
      </w:pPr>
      <w:r>
        <w:rPr>
          <w:rFonts w:hint="eastAsia" w:ascii="宋体" w:hAnsi="宋体"/>
          <w:szCs w:val="21"/>
        </w:rPr>
        <w:t>高溯村属：上高陂、甘埠、下高陂、溯水、忠心墘、大岭背、流塘。</w:t>
      </w:r>
    </w:p>
    <w:p w14:paraId="20C96A65">
      <w:pPr>
        <w:ind w:firstLine="420"/>
        <w:rPr>
          <w:rFonts w:ascii="宋体" w:hAnsi="宋体"/>
          <w:szCs w:val="21"/>
        </w:rPr>
      </w:pPr>
      <w:r>
        <w:rPr>
          <w:rFonts w:hint="eastAsia" w:ascii="宋体" w:hAnsi="宋体"/>
          <w:szCs w:val="21"/>
        </w:rPr>
        <w:t>响联村属：响石、上屋、下屋、樟坑、井下、大坑。</w:t>
      </w:r>
    </w:p>
    <w:p w14:paraId="69E65378">
      <w:pPr>
        <w:ind w:firstLine="420"/>
        <w:rPr>
          <w:rFonts w:ascii="宋体" w:hAnsi="宋体"/>
          <w:szCs w:val="21"/>
        </w:rPr>
      </w:pPr>
      <w:r>
        <w:rPr>
          <w:rFonts w:hint="eastAsia" w:ascii="宋体" w:hAnsi="宋体"/>
          <w:szCs w:val="21"/>
        </w:rPr>
        <w:t>长龙村属：长龙圩、山塘、乌泥坑、沉湖、坪湖、莲塘、棠木山、江口圩。</w:t>
      </w:r>
    </w:p>
    <w:p w14:paraId="755DCCE6">
      <w:pPr>
        <w:ind w:firstLine="420"/>
        <w:rPr>
          <w:rFonts w:ascii="宋体" w:hAnsi="宋体"/>
          <w:szCs w:val="21"/>
        </w:rPr>
      </w:pPr>
      <w:r>
        <w:rPr>
          <w:rFonts w:hint="eastAsia" w:ascii="宋体" w:hAnsi="宋体"/>
          <w:szCs w:val="21"/>
        </w:rPr>
        <w:t>白龙村属：下白龙、桥背坑、寨下、上白龙、中白龙、老屋下、朱屋俚、大坪俚、鹁鸪坑、矮公坑、枫树下、高车。</w:t>
      </w:r>
    </w:p>
    <w:p w14:paraId="794F48B6">
      <w:pPr>
        <w:ind w:firstLine="420"/>
        <w:rPr>
          <w:rFonts w:ascii="宋体" w:hAnsi="宋体"/>
          <w:szCs w:val="21"/>
        </w:rPr>
      </w:pPr>
      <w:r>
        <w:rPr>
          <w:rFonts w:hint="eastAsia" w:ascii="宋体" w:hAnsi="宋体"/>
          <w:szCs w:val="21"/>
        </w:rPr>
        <w:t>坪塘村属：鹅公头、郭屋、黄屋、杨公坑、新村、小口塘、坪地山、落水塘、大坝、大口塘。</w:t>
      </w:r>
    </w:p>
    <w:p w14:paraId="2C5E7E6B">
      <w:pPr>
        <w:ind w:firstLine="420"/>
        <w:rPr>
          <w:rFonts w:ascii="宋体" w:hAnsi="宋体"/>
          <w:szCs w:val="21"/>
        </w:rPr>
      </w:pPr>
      <w:r>
        <w:rPr>
          <w:rFonts w:hint="eastAsia" w:ascii="宋体" w:hAnsi="宋体"/>
          <w:szCs w:val="21"/>
        </w:rPr>
        <w:t>黄塘村属：珠黄塘、腊树园。</w:t>
      </w:r>
    </w:p>
    <w:p w14:paraId="78F2A038">
      <w:pPr>
        <w:ind w:firstLine="420"/>
        <w:rPr>
          <w:rFonts w:ascii="宋体" w:hAnsi="宋体"/>
          <w:szCs w:val="21"/>
        </w:rPr>
      </w:pPr>
      <w:r>
        <w:rPr>
          <w:rFonts w:hint="eastAsia" w:ascii="宋体" w:hAnsi="宋体"/>
          <w:szCs w:val="21"/>
        </w:rPr>
        <w:t>水松村属：水松、山坑、缠塘、陈坑尾、旱坑仔、寺前、对门、东厅、西排、园脚下。</w:t>
      </w:r>
    </w:p>
    <w:p w14:paraId="09223BE9">
      <w:pPr>
        <w:ind w:firstLine="420"/>
        <w:rPr>
          <w:rFonts w:ascii="宋体" w:hAnsi="宋体"/>
          <w:szCs w:val="21"/>
        </w:rPr>
      </w:pPr>
      <w:r>
        <w:rPr>
          <w:rFonts w:hint="eastAsia" w:ascii="宋体" w:hAnsi="宋体"/>
          <w:szCs w:val="21"/>
        </w:rPr>
        <w:t>孔塘村属：孔塘、大迳、齐石、吉九坑、实竹坑、樟头下、墩址背、大坑、灌塘、青</w:t>
      </w:r>
      <w:r>
        <w:rPr>
          <w:rFonts w:hint="eastAsia" w:ascii="宋体" w:hAnsi="宋体" w:eastAsia="SimSun-ExtB" w:cs="SimSun-ExtB"/>
          <w:szCs w:val="21"/>
        </w:rPr>
        <w:t>𧊅</w:t>
      </w:r>
      <w:r>
        <w:rPr>
          <w:rFonts w:hint="eastAsia" w:ascii="宋体" w:hAnsi="宋体"/>
          <w:szCs w:val="21"/>
        </w:rPr>
        <w:t>地。</w:t>
      </w:r>
    </w:p>
    <w:p w14:paraId="51F0C581">
      <w:pPr>
        <w:ind w:firstLine="420"/>
        <w:rPr>
          <w:rFonts w:ascii="宋体" w:hAnsi="宋体"/>
          <w:szCs w:val="21"/>
        </w:rPr>
      </w:pPr>
      <w:r>
        <w:rPr>
          <w:rFonts w:hint="eastAsia" w:ascii="宋体" w:hAnsi="宋体"/>
          <w:szCs w:val="21"/>
        </w:rPr>
        <w:t>庙前村属：庙前（曾用名东风）、新屋、山下、南坑、布谷岭、飞鹅塘、江背、孔坑。</w:t>
      </w:r>
    </w:p>
    <w:p w14:paraId="2CEAA812">
      <w:pPr>
        <w:ind w:firstLine="420"/>
        <w:rPr>
          <w:rFonts w:ascii="宋体" w:hAnsi="宋体"/>
          <w:szCs w:val="21"/>
        </w:rPr>
      </w:pPr>
      <w:r>
        <w:rPr>
          <w:rFonts w:hint="eastAsia" w:ascii="宋体" w:hAnsi="宋体"/>
          <w:szCs w:val="21"/>
        </w:rPr>
        <w:t>黄洞村属：黄洞、老屋俚、满坑、松山下、禾稿塘、塞上、上屋子、黄竹塘、石溪水。</w:t>
      </w:r>
    </w:p>
    <w:p w14:paraId="1D40CF60">
      <w:pPr>
        <w:ind w:firstLine="420"/>
        <w:rPr>
          <w:rFonts w:ascii="宋体" w:hAnsi="宋体"/>
          <w:szCs w:val="21"/>
        </w:rPr>
      </w:pPr>
      <w:r>
        <w:rPr>
          <w:rFonts w:hint="eastAsia" w:ascii="宋体" w:hAnsi="宋体"/>
          <w:szCs w:val="21"/>
        </w:rPr>
        <w:t>官门楼村属：官门楼、仓子前、小塘下、禾坑、乌溪塘。</w:t>
      </w:r>
    </w:p>
    <w:p w14:paraId="5313316E">
      <w:pPr>
        <w:ind w:firstLine="420"/>
        <w:rPr>
          <w:rFonts w:ascii="宋体" w:hAnsi="宋体"/>
          <w:szCs w:val="21"/>
        </w:rPr>
      </w:pPr>
      <w:r>
        <w:rPr>
          <w:rFonts w:hint="eastAsia" w:ascii="宋体" w:hAnsi="宋体"/>
          <w:szCs w:val="21"/>
        </w:rPr>
        <w:t>龙迳村属：大溪背、傍江坑、龙迳、黄统江、塔背。</w:t>
      </w:r>
    </w:p>
    <w:p w14:paraId="04BC399A">
      <w:pPr>
        <w:ind w:firstLine="420"/>
        <w:rPr>
          <w:rFonts w:ascii="宋体" w:hAnsi="宋体"/>
          <w:szCs w:val="21"/>
        </w:rPr>
      </w:pPr>
      <w:r>
        <w:rPr>
          <w:rFonts w:hint="eastAsia" w:ascii="宋体" w:hAnsi="宋体"/>
          <w:szCs w:val="21"/>
        </w:rPr>
        <w:t>白胜村属：塘角石、石盘岗、白胜（曾用名红胜）、锦龙圩、黄龙排、石溪塘、坳背、朝南村、迳口、高芫、老下村、新下村、十里桥、山塘下。</w:t>
      </w:r>
    </w:p>
    <w:p w14:paraId="295EC44E">
      <w:pPr>
        <w:ind w:firstLine="420"/>
        <w:rPr>
          <w:rFonts w:ascii="宋体" w:hAnsi="宋体"/>
          <w:szCs w:val="21"/>
        </w:rPr>
      </w:pPr>
      <w:r>
        <w:rPr>
          <w:rFonts w:hint="eastAsia" w:ascii="宋体" w:hAnsi="宋体"/>
          <w:szCs w:val="21"/>
        </w:rPr>
        <w:t>田心村属：黄泥井、田心、屋背坑、老山下、麻糍塘、新江、河桥坝、松木塘、唱歌坑、火烧桥、鹤子坑、坳背窝、大窝俚。</w:t>
      </w:r>
    </w:p>
    <w:p w14:paraId="02A8ADD5">
      <w:pPr>
        <w:ind w:firstLine="420"/>
        <w:rPr>
          <w:rFonts w:ascii="宋体" w:hAnsi="宋体"/>
          <w:szCs w:val="21"/>
        </w:rPr>
      </w:pPr>
      <w:r>
        <w:rPr>
          <w:rFonts w:hint="eastAsia" w:ascii="宋体" w:hAnsi="宋体"/>
          <w:szCs w:val="21"/>
        </w:rPr>
        <w:t>大竹村属：大竹、先汤、老屋下、园背、小坑、荷树排、老布塘、古塘、城俚、大岭下、沉塘石、高排、布庄、老布庄、塘头下、担水排、蕉坑、鸭子口、杜岭。</w:t>
      </w:r>
    </w:p>
    <w:p w14:paraId="5D3E1930">
      <w:pPr>
        <w:ind w:firstLine="420"/>
        <w:rPr>
          <w:rFonts w:ascii="宋体" w:hAnsi="宋体"/>
          <w:szCs w:val="21"/>
        </w:rPr>
      </w:pPr>
      <w:r>
        <w:rPr>
          <w:rFonts w:hint="eastAsia" w:ascii="宋体" w:hAnsi="宋体"/>
          <w:szCs w:val="21"/>
        </w:rPr>
        <w:t>孔江村属：金钩湾、围角头、船塘背、新屋俚、枫坑、徐屋俚、明山塘、中塅坳、下赵岭、铜锣湾、鹧鸪水、走脚坑、小大塘、老虎佛、孔夫岭、孔江坑、中赵岭、上赵岭。</w:t>
      </w:r>
    </w:p>
    <w:p w14:paraId="0407495B">
      <w:pPr>
        <w:ind w:firstLine="420"/>
        <w:rPr>
          <w:rFonts w:ascii="宋体" w:hAnsi="宋体"/>
          <w:szCs w:val="21"/>
        </w:rPr>
      </w:pPr>
      <w:r>
        <w:rPr>
          <w:rFonts w:hint="eastAsia" w:ascii="宋体" w:hAnsi="宋体"/>
          <w:szCs w:val="21"/>
        </w:rPr>
        <w:t>兰丘村属：兰丘（曾用名油山）、利分、石禾场、老庙前、老屋场、尖石、井泥塘、城墙垅、苗竹湾、桐子树下、新屋俚、高龙新屋、高龙、大布塘、井石、寨子脑、豪猪坑、大垅俚、铜锣丘、粪箕窝、围俚。</w:t>
      </w:r>
    </w:p>
    <w:p w14:paraId="51934693">
      <w:pPr>
        <w:ind w:firstLine="422"/>
        <w:rPr>
          <w:rFonts w:ascii="宋体" w:hAnsi="宋体"/>
          <w:b/>
          <w:szCs w:val="21"/>
        </w:rPr>
      </w:pPr>
      <w:r>
        <w:rPr>
          <w:rFonts w:hint="eastAsia" w:ascii="宋体" w:hAnsi="宋体"/>
          <w:b/>
          <w:szCs w:val="21"/>
        </w:rPr>
        <w:t>油山镇（</w:t>
      </w:r>
      <w:r>
        <w:rPr>
          <w:rFonts w:ascii="宋体" w:hAnsi="宋体"/>
          <w:b/>
          <w:szCs w:val="21"/>
        </w:rPr>
        <w:t>194个自然村</w:t>
      </w:r>
      <w:r>
        <w:rPr>
          <w:rFonts w:hint="eastAsia" w:ascii="宋体" w:hAnsi="宋体"/>
          <w:b/>
          <w:szCs w:val="21"/>
        </w:rPr>
        <w:t>）</w:t>
      </w:r>
    </w:p>
    <w:p w14:paraId="1614DD21">
      <w:pPr>
        <w:ind w:firstLine="420"/>
        <w:rPr>
          <w:rFonts w:ascii="宋体" w:hAnsi="宋体"/>
          <w:szCs w:val="21"/>
        </w:rPr>
      </w:pPr>
      <w:r>
        <w:rPr>
          <w:rFonts w:hint="eastAsia" w:ascii="宋体" w:hAnsi="宋体"/>
          <w:szCs w:val="21"/>
        </w:rPr>
        <w:t>坪田坳村属：坪田坳、上屋、车寮排、谢屋、船丘、杨柳坝、瑶前、过水坑、上茶田、腊树头下、畔丘、上屋俚、老屋俚、黄泥排、黄泥迳、猪头坳、犁牛坳、杨梅坑。</w:t>
      </w:r>
    </w:p>
    <w:p w14:paraId="579FA5BA">
      <w:pPr>
        <w:ind w:firstLine="420"/>
        <w:rPr>
          <w:rFonts w:ascii="宋体" w:hAnsi="宋体"/>
          <w:szCs w:val="21"/>
        </w:rPr>
      </w:pPr>
      <w:r>
        <w:rPr>
          <w:rFonts w:hint="eastAsia" w:ascii="宋体" w:hAnsi="宋体"/>
          <w:szCs w:val="21"/>
        </w:rPr>
        <w:t>莲山村属：龙头、石狮下、鹅脚湾、围埂上、沙洲坑、上大洞、下大洞、赤土寨、望峰山、富竹坪、黄陂洞、葫芦丘、丁屋、新屋、下屋、禾场背、老屋、铜锣湾、担水坑、老村、大坑、大禾田、石龙俚、上山、石子坑。</w:t>
      </w:r>
    </w:p>
    <w:p w14:paraId="01D60FB5">
      <w:pPr>
        <w:ind w:firstLine="420"/>
        <w:rPr>
          <w:rFonts w:ascii="宋体" w:hAnsi="宋体"/>
          <w:szCs w:val="21"/>
        </w:rPr>
      </w:pPr>
      <w:r>
        <w:rPr>
          <w:rFonts w:hint="eastAsia" w:ascii="宋体" w:hAnsi="宋体"/>
          <w:szCs w:val="21"/>
        </w:rPr>
        <w:t>大兰村属：大兰、桥头、老村、李坑垅、龙下、罗边、蛇舌俚、新屋俚、廖地老屋俚、下屋、石口俚、松头、石人咀、对面排、枫树岗、大岭下。</w:t>
      </w:r>
    </w:p>
    <w:p w14:paraId="2B9DD1EE">
      <w:pPr>
        <w:ind w:firstLine="420"/>
        <w:rPr>
          <w:rFonts w:ascii="宋体" w:hAnsi="宋体"/>
          <w:szCs w:val="21"/>
        </w:rPr>
      </w:pPr>
      <w:r>
        <w:rPr>
          <w:rFonts w:hint="eastAsia" w:ascii="宋体" w:hAnsi="宋体"/>
          <w:szCs w:val="21"/>
        </w:rPr>
        <w:t>坪林村属：下冲、高岭、上门、田心、龙底下、围俚、黄屋塘、牌坊下、神仙井、田螺下、南山、汪塘俚、丈古丘、豹田、老寨背。</w:t>
      </w:r>
    </w:p>
    <w:p w14:paraId="719F9E2F">
      <w:pPr>
        <w:ind w:firstLine="420"/>
        <w:rPr>
          <w:rFonts w:ascii="宋体" w:hAnsi="宋体"/>
          <w:szCs w:val="21"/>
        </w:rPr>
      </w:pPr>
      <w:r>
        <w:rPr>
          <w:rFonts w:hint="eastAsia" w:ascii="宋体" w:hAnsi="宋体"/>
          <w:szCs w:val="21"/>
        </w:rPr>
        <w:t>黄地村属：黄地、围俚、园岭、潭龙、大龙俚、石岭下、豪猪坑、芒东坑、栏杉坳、梅花寨。大塘村属：大塘圩、糠头岭。</w:t>
      </w:r>
    </w:p>
    <w:p w14:paraId="50C933D8">
      <w:pPr>
        <w:ind w:firstLine="420"/>
        <w:rPr>
          <w:rFonts w:ascii="宋体" w:hAnsi="宋体"/>
          <w:szCs w:val="21"/>
        </w:rPr>
      </w:pPr>
      <w:r>
        <w:rPr>
          <w:rFonts w:hint="eastAsia" w:ascii="宋体" w:hAnsi="宋体"/>
          <w:szCs w:val="21"/>
        </w:rPr>
        <w:t>上浆田村属：上房、洋屋、上背、东边、西边。</w:t>
      </w:r>
    </w:p>
    <w:p w14:paraId="0767500D">
      <w:pPr>
        <w:ind w:firstLine="420"/>
        <w:rPr>
          <w:rFonts w:ascii="宋体" w:hAnsi="宋体"/>
          <w:szCs w:val="21"/>
        </w:rPr>
      </w:pPr>
      <w:r>
        <w:rPr>
          <w:rFonts w:hint="eastAsia" w:ascii="宋体" w:hAnsi="宋体"/>
          <w:szCs w:val="21"/>
        </w:rPr>
        <w:t>浆田村属：城仂、中屋、红卫、新屋、榕树，上角、祠堂、石街、井头。</w:t>
      </w:r>
    </w:p>
    <w:p w14:paraId="62A11618">
      <w:pPr>
        <w:ind w:firstLine="420"/>
        <w:rPr>
          <w:rFonts w:ascii="宋体" w:hAnsi="宋体"/>
          <w:szCs w:val="21"/>
        </w:rPr>
      </w:pPr>
      <w:r>
        <w:rPr>
          <w:rFonts w:hint="eastAsia" w:ascii="宋体" w:hAnsi="宋体"/>
          <w:szCs w:val="21"/>
        </w:rPr>
        <w:t>船塘村属：延村、云岭下、船塘弯、石兰、牛坑、店前水。</w:t>
      </w:r>
    </w:p>
    <w:p w14:paraId="1824166C">
      <w:pPr>
        <w:ind w:firstLine="420"/>
        <w:rPr>
          <w:rFonts w:ascii="宋体" w:hAnsi="宋体"/>
          <w:szCs w:val="21"/>
        </w:rPr>
      </w:pPr>
      <w:r>
        <w:rPr>
          <w:rFonts w:hint="eastAsia" w:ascii="宋体" w:hAnsi="宋体"/>
          <w:szCs w:val="21"/>
        </w:rPr>
        <w:t>爱政村属：爱政（曾用名爱敬）。</w:t>
      </w:r>
    </w:p>
    <w:p w14:paraId="142FBCC0">
      <w:pPr>
        <w:ind w:firstLine="420"/>
        <w:rPr>
          <w:rFonts w:ascii="宋体" w:hAnsi="宋体"/>
          <w:szCs w:val="21"/>
        </w:rPr>
      </w:pPr>
      <w:r>
        <w:rPr>
          <w:rFonts w:hint="eastAsia" w:ascii="宋体" w:hAnsi="宋体"/>
          <w:szCs w:val="21"/>
        </w:rPr>
        <w:t>孔村村属：上孔村、下孔村、村塘。</w:t>
      </w:r>
    </w:p>
    <w:p w14:paraId="44A01171">
      <w:pPr>
        <w:ind w:firstLine="420"/>
        <w:rPr>
          <w:rFonts w:ascii="宋体" w:hAnsi="宋体"/>
          <w:szCs w:val="21"/>
        </w:rPr>
      </w:pPr>
      <w:r>
        <w:rPr>
          <w:rFonts w:hint="eastAsia" w:ascii="宋体" w:hAnsi="宋体"/>
          <w:szCs w:val="21"/>
        </w:rPr>
        <w:t>锦陂村属：上锦陂、下锦陂、川头山、井湾、蝈塘、五炉、塔子下、固坑、石子岭。</w:t>
      </w:r>
    </w:p>
    <w:p w14:paraId="6B38452A">
      <w:pPr>
        <w:ind w:firstLine="420"/>
        <w:rPr>
          <w:rFonts w:ascii="宋体" w:hAnsi="宋体"/>
          <w:szCs w:val="21"/>
        </w:rPr>
      </w:pPr>
      <w:r>
        <w:rPr>
          <w:rFonts w:hint="eastAsia" w:ascii="宋体" w:hAnsi="宋体"/>
          <w:szCs w:val="21"/>
        </w:rPr>
        <w:t>上溯村属：上溯、上地窝、红岭、付岗头。</w:t>
      </w:r>
    </w:p>
    <w:p w14:paraId="57925E01">
      <w:pPr>
        <w:ind w:firstLine="420"/>
        <w:rPr>
          <w:rFonts w:ascii="宋体" w:hAnsi="宋体"/>
          <w:szCs w:val="21"/>
        </w:rPr>
      </w:pPr>
      <w:r>
        <w:rPr>
          <w:rFonts w:hint="eastAsia" w:ascii="宋体" w:hAnsi="宋体"/>
          <w:szCs w:val="21"/>
        </w:rPr>
        <w:t>夹河口村属：夹河口（曾用名红色）、象咀头、小斗、樟树下、坳背、寨江、五色、古胜前。</w:t>
      </w:r>
    </w:p>
    <w:p w14:paraId="273A3551">
      <w:pPr>
        <w:ind w:firstLine="420"/>
        <w:rPr>
          <w:rFonts w:ascii="宋体" w:hAnsi="宋体"/>
          <w:szCs w:val="21"/>
        </w:rPr>
      </w:pPr>
      <w:r>
        <w:rPr>
          <w:rFonts w:hint="eastAsia" w:ascii="宋体" w:hAnsi="宋体"/>
          <w:szCs w:val="21"/>
        </w:rPr>
        <w:t>黄田村属：高田、旱塘坑、大坪、竹桂坑、黄田、菇村。</w:t>
      </w:r>
    </w:p>
    <w:p w14:paraId="280F428D">
      <w:pPr>
        <w:ind w:firstLine="420"/>
        <w:rPr>
          <w:rFonts w:ascii="宋体" w:hAnsi="宋体"/>
          <w:szCs w:val="21"/>
        </w:rPr>
      </w:pPr>
      <w:r>
        <w:rPr>
          <w:rFonts w:hint="eastAsia" w:ascii="宋体" w:hAnsi="宋体"/>
          <w:szCs w:val="21"/>
        </w:rPr>
        <w:t>下惠村属：花树下、下惠、官塘、逆龙坑、石子塘、江背、上坪岭、东坑、必得坑、锡上、廖塘。</w:t>
      </w:r>
    </w:p>
    <w:p w14:paraId="57AEF687">
      <w:pPr>
        <w:ind w:firstLine="420"/>
        <w:rPr>
          <w:rFonts w:ascii="宋体" w:hAnsi="宋体"/>
          <w:szCs w:val="21"/>
        </w:rPr>
      </w:pPr>
      <w:r>
        <w:rPr>
          <w:rFonts w:hint="eastAsia" w:ascii="宋体" w:hAnsi="宋体"/>
          <w:szCs w:val="21"/>
        </w:rPr>
        <w:t>古城村属：古城、龙尾、刘松、上惠、廖塘、小江背、毛狗湾、探背。</w:t>
      </w:r>
    </w:p>
    <w:p w14:paraId="3F766121">
      <w:pPr>
        <w:ind w:firstLine="422"/>
        <w:rPr>
          <w:rFonts w:ascii="宋体" w:hAnsi="宋体"/>
          <w:b/>
          <w:szCs w:val="21"/>
        </w:rPr>
      </w:pPr>
      <w:r>
        <w:rPr>
          <w:rFonts w:hint="eastAsia" w:ascii="宋体" w:hAnsi="宋体"/>
          <w:b/>
          <w:szCs w:val="21"/>
        </w:rPr>
        <w:t>黄坑镇（</w:t>
      </w:r>
      <w:r>
        <w:rPr>
          <w:rFonts w:ascii="宋体" w:hAnsi="宋体"/>
          <w:b/>
          <w:szCs w:val="21"/>
        </w:rPr>
        <w:t>84个自然村）</w:t>
      </w:r>
    </w:p>
    <w:p w14:paraId="03221D4D">
      <w:pPr>
        <w:ind w:firstLine="420"/>
        <w:rPr>
          <w:rFonts w:ascii="宋体" w:hAnsi="宋体"/>
          <w:szCs w:val="21"/>
        </w:rPr>
      </w:pPr>
      <w:r>
        <w:rPr>
          <w:rFonts w:hint="eastAsia" w:ascii="宋体" w:hAnsi="宋体"/>
          <w:szCs w:val="21"/>
        </w:rPr>
        <w:t>黄坑村属：黄坑圩、春坑、石子山、上坑、老四方坑、秀塘坑、罗坑、旱排俚。</w:t>
      </w:r>
    </w:p>
    <w:p w14:paraId="33109F55">
      <w:pPr>
        <w:ind w:firstLine="420"/>
        <w:rPr>
          <w:rFonts w:ascii="宋体" w:hAnsi="宋体"/>
          <w:szCs w:val="21"/>
        </w:rPr>
      </w:pPr>
      <w:r>
        <w:rPr>
          <w:rFonts w:hint="eastAsia" w:ascii="宋体" w:hAnsi="宋体"/>
          <w:szCs w:val="21"/>
        </w:rPr>
        <w:t>许村村属：许村、塔岭、新店、白芒洞、围背、杜坑。</w:t>
      </w:r>
    </w:p>
    <w:p w14:paraId="718F1295">
      <w:pPr>
        <w:ind w:firstLine="420"/>
        <w:rPr>
          <w:rFonts w:ascii="宋体" w:hAnsi="宋体"/>
          <w:szCs w:val="21"/>
        </w:rPr>
      </w:pPr>
      <w:r>
        <w:rPr>
          <w:rFonts w:hint="eastAsia" w:ascii="宋体" w:hAnsi="宋体"/>
          <w:szCs w:val="21"/>
        </w:rPr>
        <w:t>上象村属：桥湾、大窝、上村延、田心、坳背、龙凤井、公陂坑。</w:t>
      </w:r>
    </w:p>
    <w:p w14:paraId="4827B57F">
      <w:pPr>
        <w:ind w:firstLine="420"/>
        <w:rPr>
          <w:rFonts w:ascii="宋体" w:hAnsi="宋体"/>
          <w:szCs w:val="21"/>
        </w:rPr>
      </w:pPr>
      <w:r>
        <w:rPr>
          <w:rFonts w:hint="eastAsia" w:ascii="宋体" w:hAnsi="宋体"/>
          <w:szCs w:val="21"/>
        </w:rPr>
        <w:t>耶溪村属：麻石塘、肖屋、新屋、象湖、乌高塘、板桥坑、新四方坑、耶溪。</w:t>
      </w:r>
    </w:p>
    <w:p w14:paraId="7DC31621">
      <w:pPr>
        <w:ind w:firstLine="420"/>
        <w:rPr>
          <w:rFonts w:ascii="宋体" w:hAnsi="宋体"/>
          <w:szCs w:val="21"/>
        </w:rPr>
      </w:pPr>
      <w:r>
        <w:rPr>
          <w:rFonts w:hint="eastAsia" w:ascii="宋体" w:hAnsi="宋体"/>
          <w:szCs w:val="21"/>
        </w:rPr>
        <w:t>中心村属：长岭、饶钹岭、上里坑、下里坑、上南坑、康排窝、虎须排、上只屋、中间屋、下只屋、旱楼下、榕树下。</w:t>
      </w:r>
    </w:p>
    <w:p w14:paraId="487F4288">
      <w:pPr>
        <w:ind w:firstLine="420"/>
        <w:rPr>
          <w:rFonts w:ascii="宋体" w:hAnsi="宋体"/>
          <w:szCs w:val="21"/>
        </w:rPr>
      </w:pPr>
      <w:r>
        <w:rPr>
          <w:rFonts w:hint="eastAsia" w:ascii="宋体" w:hAnsi="宋体"/>
          <w:szCs w:val="21"/>
        </w:rPr>
        <w:t>园岭村属：细岭、黄龙岗、沙窝、园岭、上窝。</w:t>
      </w:r>
    </w:p>
    <w:p w14:paraId="779B7F58">
      <w:pPr>
        <w:ind w:firstLine="420"/>
        <w:rPr>
          <w:rFonts w:ascii="宋体" w:hAnsi="宋体"/>
          <w:szCs w:val="21"/>
        </w:rPr>
      </w:pPr>
      <w:r>
        <w:rPr>
          <w:rFonts w:hint="eastAsia" w:ascii="宋体" w:hAnsi="宋体"/>
          <w:szCs w:val="21"/>
        </w:rPr>
        <w:t>塘源村属：塘源坑、里河陂、下搓、下坝、大塘面、鸭子湖、新作塘、黄泥塘、水西、禾场岭、坳顶。</w:t>
      </w:r>
    </w:p>
    <w:p w14:paraId="1EE170E1">
      <w:pPr>
        <w:ind w:firstLine="420"/>
        <w:rPr>
          <w:rFonts w:ascii="宋体" w:hAnsi="宋体"/>
          <w:szCs w:val="21"/>
        </w:rPr>
      </w:pPr>
      <w:r>
        <w:rPr>
          <w:rFonts w:hint="eastAsia" w:ascii="宋体" w:hAnsi="宋体"/>
          <w:szCs w:val="21"/>
        </w:rPr>
        <w:t>社前村属：茅坑、霞村岭、火狮坑、下坪岭、社官前、下围、鲢尾岭、官塘坑。</w:t>
      </w:r>
    </w:p>
    <w:p w14:paraId="3654F4D4">
      <w:pPr>
        <w:ind w:firstLine="420"/>
        <w:rPr>
          <w:rFonts w:ascii="宋体" w:hAnsi="宋体"/>
          <w:szCs w:val="21"/>
        </w:rPr>
      </w:pPr>
      <w:r>
        <w:rPr>
          <w:rFonts w:hint="eastAsia" w:ascii="宋体" w:hAnsi="宋体"/>
          <w:szCs w:val="21"/>
        </w:rPr>
        <w:t>溪塘村属：溪塘、平岗、大山下、黄坪、蔡屋场、麻糍塘。</w:t>
      </w:r>
    </w:p>
    <w:p w14:paraId="69C3AFE7">
      <w:pPr>
        <w:ind w:firstLine="420"/>
        <w:rPr>
          <w:rFonts w:ascii="宋体" w:hAnsi="宋体"/>
          <w:szCs w:val="21"/>
        </w:rPr>
      </w:pPr>
      <w:r>
        <w:rPr>
          <w:rFonts w:hint="eastAsia" w:ascii="宋体" w:hAnsi="宋体"/>
          <w:szCs w:val="21"/>
        </w:rPr>
        <w:t>小陂村属：灯笼排、枫坑、片坑、陂下、孔坑、小陂头、杨梅坑、猪头岭。</w:t>
      </w:r>
    </w:p>
    <w:p w14:paraId="493D3E0A">
      <w:pPr>
        <w:ind w:firstLine="422"/>
        <w:rPr>
          <w:rFonts w:ascii="宋体" w:hAnsi="宋体"/>
          <w:b/>
          <w:szCs w:val="21"/>
        </w:rPr>
      </w:pPr>
      <w:r>
        <w:rPr>
          <w:rFonts w:hint="eastAsia" w:ascii="宋体" w:hAnsi="宋体"/>
          <w:b/>
          <w:szCs w:val="21"/>
        </w:rPr>
        <w:t>邓坊乡（</w:t>
      </w:r>
      <w:r>
        <w:rPr>
          <w:rFonts w:ascii="宋体" w:hAnsi="宋体"/>
          <w:b/>
          <w:szCs w:val="21"/>
        </w:rPr>
        <w:t>98个自然村）</w:t>
      </w:r>
    </w:p>
    <w:p w14:paraId="7A7316C4">
      <w:pPr>
        <w:ind w:firstLine="420"/>
        <w:rPr>
          <w:rFonts w:ascii="宋体" w:hAnsi="宋体"/>
          <w:szCs w:val="21"/>
        </w:rPr>
      </w:pPr>
      <w:r>
        <w:rPr>
          <w:rFonts w:hint="eastAsia" w:ascii="宋体" w:hAnsi="宋体"/>
          <w:szCs w:val="21"/>
        </w:rPr>
        <w:t>邓坊村属：邓坊圩、邓坊村、前坊。</w:t>
      </w:r>
    </w:p>
    <w:p w14:paraId="2C756E5A">
      <w:pPr>
        <w:ind w:firstLine="420"/>
        <w:rPr>
          <w:rFonts w:ascii="宋体" w:hAnsi="宋体"/>
          <w:szCs w:val="21"/>
        </w:rPr>
      </w:pPr>
      <w:r>
        <w:rPr>
          <w:rFonts w:hint="eastAsia" w:ascii="宋体" w:hAnsi="宋体"/>
          <w:szCs w:val="21"/>
        </w:rPr>
        <w:t>洋西村属：大坪、洋稠、洋江、田心、旱田、寨下、西坑、苟石、洋坑、蓝屋、烂围、陈屋、古田、井湾、大路边、禾场背、榕树头下、丘屋、新屋下、上门。</w:t>
      </w:r>
    </w:p>
    <w:p w14:paraId="575D2015">
      <w:pPr>
        <w:ind w:firstLine="420"/>
        <w:rPr>
          <w:rFonts w:ascii="宋体" w:hAnsi="宋体"/>
          <w:szCs w:val="21"/>
        </w:rPr>
      </w:pPr>
      <w:r>
        <w:rPr>
          <w:rFonts w:hint="eastAsia" w:ascii="宋体" w:hAnsi="宋体"/>
          <w:szCs w:val="21"/>
        </w:rPr>
        <w:t>赤石村屋：赤石、新屋、和睦塘、龙塘坑。</w:t>
      </w:r>
    </w:p>
    <w:p w14:paraId="119370B2">
      <w:pPr>
        <w:ind w:firstLine="420"/>
        <w:rPr>
          <w:rFonts w:ascii="宋体" w:hAnsi="宋体"/>
          <w:szCs w:val="21"/>
        </w:rPr>
      </w:pPr>
      <w:r>
        <w:rPr>
          <w:rFonts w:hint="eastAsia" w:ascii="宋体" w:hAnsi="宋体"/>
          <w:szCs w:val="21"/>
        </w:rPr>
        <w:t>赤马村属：水底、四头门、新屋、丰田坳、竹头坪、牛塘、黄陂、新牛塘。</w:t>
      </w:r>
    </w:p>
    <w:p w14:paraId="2B5E5C5B">
      <w:pPr>
        <w:ind w:firstLine="420"/>
        <w:rPr>
          <w:rFonts w:ascii="宋体" w:hAnsi="宋体"/>
          <w:szCs w:val="21"/>
        </w:rPr>
      </w:pPr>
      <w:r>
        <w:rPr>
          <w:rFonts w:hint="eastAsia" w:ascii="宋体" w:hAnsi="宋体"/>
          <w:szCs w:val="21"/>
        </w:rPr>
        <w:t>马战村属：坝俚、万俚、河背、徐屋、鹅公岭、探江湾、石子岭、雷公畔、店门口。</w:t>
      </w:r>
    </w:p>
    <w:p w14:paraId="205F5076">
      <w:pPr>
        <w:ind w:firstLine="420"/>
        <w:rPr>
          <w:rFonts w:ascii="宋体" w:hAnsi="宋体"/>
          <w:szCs w:val="21"/>
        </w:rPr>
      </w:pPr>
      <w:r>
        <w:rPr>
          <w:rFonts w:hint="eastAsia" w:ascii="宋体" w:hAnsi="宋体"/>
          <w:szCs w:val="21"/>
        </w:rPr>
        <w:t>里源村属：里源、老屋、竹山下、围俚、窑头、围脚下、小口、大地前、上杨梅、燕石下、龙头。</w:t>
      </w:r>
    </w:p>
    <w:p w14:paraId="1A90CFE4">
      <w:pPr>
        <w:ind w:firstLine="420"/>
        <w:rPr>
          <w:rFonts w:ascii="宋体" w:hAnsi="宋体"/>
          <w:szCs w:val="21"/>
        </w:rPr>
      </w:pPr>
      <w:r>
        <w:rPr>
          <w:rFonts w:hint="eastAsia" w:ascii="宋体" w:hAnsi="宋体"/>
          <w:szCs w:val="21"/>
        </w:rPr>
        <w:t>茶头背村属：茶头背、坳上、枫树下、碓耳石、桥下、老屋场、南岭、水庄岭、邓松。</w:t>
      </w:r>
    </w:p>
    <w:p w14:paraId="0FE20B9E">
      <w:pPr>
        <w:ind w:firstLine="420"/>
        <w:rPr>
          <w:rFonts w:ascii="宋体" w:hAnsi="宋体"/>
          <w:szCs w:val="21"/>
        </w:rPr>
      </w:pPr>
      <w:r>
        <w:rPr>
          <w:rFonts w:hint="eastAsia" w:ascii="宋体" w:hAnsi="宋体"/>
          <w:szCs w:val="21"/>
        </w:rPr>
        <w:t>上湖村属：上湖、小东坑、探地、西坑、闇湖、私公地、里和田、秧地水、旗杆岭、三垅村。</w:t>
      </w:r>
    </w:p>
    <w:p w14:paraId="5B4C5729">
      <w:pPr>
        <w:ind w:firstLine="420"/>
        <w:rPr>
          <w:rFonts w:ascii="宋体" w:hAnsi="宋体"/>
          <w:szCs w:val="21"/>
        </w:rPr>
      </w:pPr>
      <w:r>
        <w:rPr>
          <w:rFonts w:hint="eastAsia" w:ascii="宋体" w:hAnsi="宋体"/>
          <w:szCs w:val="21"/>
        </w:rPr>
        <w:t>兰田村属：上兰田、过水丘、下兰田、茶田排、河背、水尾坝、园磊背、安坳、兔洞、上坊、何屋、里地、益田、山圳俚、大岭下、下连、南坑、沙排、马面、寨脚下、寨下、水坑陂、莲塘、樟地背。</w:t>
      </w:r>
    </w:p>
    <w:p w14:paraId="36F9B7E3">
      <w:pPr>
        <w:ind w:firstLine="422"/>
        <w:rPr>
          <w:rFonts w:ascii="宋体" w:hAnsi="宋体"/>
          <w:b/>
          <w:szCs w:val="21"/>
        </w:rPr>
      </w:pPr>
      <w:r>
        <w:rPr>
          <w:rFonts w:hint="eastAsia" w:ascii="宋体" w:hAnsi="宋体"/>
          <w:b/>
          <w:szCs w:val="21"/>
        </w:rPr>
        <w:t>珠玑镇（</w:t>
      </w:r>
      <w:r>
        <w:rPr>
          <w:rFonts w:ascii="宋体" w:hAnsi="宋体"/>
          <w:b/>
          <w:szCs w:val="21"/>
        </w:rPr>
        <w:t>179个自然村</w:t>
      </w:r>
      <w:r>
        <w:rPr>
          <w:rFonts w:hint="eastAsia" w:ascii="宋体" w:hAnsi="宋体"/>
          <w:b/>
          <w:szCs w:val="21"/>
        </w:rPr>
        <w:t>）</w:t>
      </w:r>
    </w:p>
    <w:p w14:paraId="1E81E60C">
      <w:pPr>
        <w:ind w:firstLine="420"/>
        <w:rPr>
          <w:rFonts w:ascii="宋体" w:hAnsi="宋体"/>
          <w:szCs w:val="21"/>
        </w:rPr>
      </w:pPr>
      <w:r>
        <w:rPr>
          <w:rFonts w:hint="eastAsia" w:ascii="宋体" w:hAnsi="宋体"/>
          <w:szCs w:val="21"/>
        </w:rPr>
        <w:t>泰源村属：小岭圩、泰源、新街、黄山坑口、祠堂、坳背、樟公山、营脚下、曾屋、迳心、窑窝、川坳。</w:t>
      </w:r>
    </w:p>
    <w:p w14:paraId="6901B02E">
      <w:pPr>
        <w:ind w:firstLine="420"/>
        <w:rPr>
          <w:rFonts w:ascii="宋体" w:hAnsi="宋体"/>
          <w:szCs w:val="21"/>
        </w:rPr>
      </w:pPr>
      <w:r>
        <w:rPr>
          <w:rFonts w:hint="eastAsia" w:ascii="宋体" w:hAnsi="宋体"/>
          <w:szCs w:val="21"/>
        </w:rPr>
        <w:t>梅关村属：坳上、狐狸丘、田心、赖屋、李屋、高坑、池屋、岭脚下、曾屋、围上、黄屋、靠椅丘、牛栏前、新屋、花坑、上土桥、下土桥、黄坑、丹竹坑、毫头、杨梅前。</w:t>
      </w:r>
    </w:p>
    <w:p w14:paraId="5C34BE6E">
      <w:pPr>
        <w:ind w:firstLine="420"/>
        <w:rPr>
          <w:rFonts w:ascii="宋体" w:hAnsi="宋体"/>
          <w:szCs w:val="21"/>
        </w:rPr>
      </w:pPr>
      <w:r>
        <w:rPr>
          <w:rFonts w:hint="eastAsia" w:ascii="宋体" w:hAnsi="宋体"/>
          <w:szCs w:val="21"/>
        </w:rPr>
        <w:t>角湾村属：南岭、下街、角湾牌坊、庙下洞、新屋、尹屋、老屋。</w:t>
      </w:r>
    </w:p>
    <w:p w14:paraId="7876BB17">
      <w:pPr>
        <w:ind w:firstLine="420"/>
        <w:rPr>
          <w:rFonts w:ascii="宋体" w:hAnsi="宋体"/>
          <w:szCs w:val="21"/>
        </w:rPr>
      </w:pPr>
      <w:r>
        <w:rPr>
          <w:rFonts w:hint="eastAsia" w:ascii="宋体" w:hAnsi="宋体"/>
          <w:szCs w:val="21"/>
        </w:rPr>
        <w:t>中站村属：中站、中站城（曾用名梅鋗城）、衙门坪、中街、彭屋、河坑。</w:t>
      </w:r>
    </w:p>
    <w:p w14:paraId="6D29E2B4">
      <w:pPr>
        <w:ind w:firstLine="420"/>
        <w:rPr>
          <w:rFonts w:ascii="宋体" w:hAnsi="宋体"/>
          <w:szCs w:val="21"/>
        </w:rPr>
      </w:pPr>
      <w:r>
        <w:rPr>
          <w:rFonts w:hint="eastAsia" w:ascii="宋体" w:hAnsi="宋体"/>
          <w:szCs w:val="21"/>
        </w:rPr>
        <w:t>梅岭村属：江头、石灰城、邓坑、红梅、小井、雉公塖、梅岭、禾连坑、竹园、肖屋排、老屋场、铁罗坑、围上、新路口、李屋、猪肚丘、岭下、红梅排。</w:t>
      </w:r>
    </w:p>
    <w:p w14:paraId="1D864ACE">
      <w:pPr>
        <w:ind w:firstLine="420"/>
        <w:rPr>
          <w:rFonts w:ascii="宋体" w:hAnsi="宋体"/>
          <w:szCs w:val="21"/>
        </w:rPr>
      </w:pPr>
      <w:r>
        <w:rPr>
          <w:rFonts w:hint="eastAsia" w:ascii="宋体" w:hAnsi="宋体"/>
          <w:szCs w:val="21"/>
        </w:rPr>
        <w:t>珠玑村属：龙门圩、沙水、钟屋、外浆、陈公庙、长塘尾、小坑、塘坡、蛤蟆坑、凿岭、秀坑（敬老院）。</w:t>
      </w:r>
    </w:p>
    <w:p w14:paraId="6A8D74C6">
      <w:pPr>
        <w:ind w:firstLine="420"/>
        <w:rPr>
          <w:rFonts w:ascii="宋体" w:hAnsi="宋体"/>
          <w:szCs w:val="21"/>
        </w:rPr>
      </w:pPr>
      <w:r>
        <w:rPr>
          <w:rFonts w:hint="eastAsia" w:ascii="宋体" w:hAnsi="宋体"/>
          <w:szCs w:val="21"/>
        </w:rPr>
        <w:t>洋湖村属：洋湖、门口田、屋背岭、新窝、沙角、高基头、新屋、老酒坑、上门。</w:t>
      </w:r>
    </w:p>
    <w:p w14:paraId="768A0128">
      <w:pPr>
        <w:ind w:firstLine="420"/>
        <w:rPr>
          <w:rFonts w:ascii="宋体" w:hAnsi="宋体"/>
          <w:szCs w:val="21"/>
        </w:rPr>
      </w:pPr>
      <w:r>
        <w:rPr>
          <w:rFonts w:hint="eastAsia" w:ascii="宋体" w:hAnsi="宋体"/>
          <w:szCs w:val="21"/>
        </w:rPr>
        <w:t>里仁村属：里仁、经堂、增头坳、新屋、凤凰桥、田心。</w:t>
      </w:r>
    </w:p>
    <w:p w14:paraId="573CCB9B">
      <w:pPr>
        <w:ind w:firstLine="420"/>
        <w:rPr>
          <w:rFonts w:ascii="宋体" w:hAnsi="宋体"/>
          <w:szCs w:val="21"/>
        </w:rPr>
      </w:pPr>
      <w:r>
        <w:rPr>
          <w:rFonts w:hint="eastAsia" w:ascii="宋体" w:hAnsi="宋体"/>
          <w:szCs w:val="21"/>
        </w:rPr>
        <w:t>塘东村属：塘乐、虎岗头。</w:t>
      </w:r>
    </w:p>
    <w:p w14:paraId="31CA9FE5">
      <w:pPr>
        <w:ind w:firstLine="420"/>
        <w:rPr>
          <w:rFonts w:ascii="宋体" w:hAnsi="宋体"/>
          <w:szCs w:val="21"/>
        </w:rPr>
      </w:pPr>
      <w:r>
        <w:rPr>
          <w:rFonts w:hint="eastAsia" w:ascii="宋体" w:hAnsi="宋体"/>
          <w:szCs w:val="21"/>
        </w:rPr>
        <w:t>聪背村属：小虎岗头、聪背、吊口塘。</w:t>
      </w:r>
    </w:p>
    <w:p w14:paraId="55366AC6">
      <w:pPr>
        <w:ind w:firstLine="420"/>
        <w:rPr>
          <w:rFonts w:ascii="宋体" w:hAnsi="宋体"/>
          <w:szCs w:val="21"/>
        </w:rPr>
      </w:pPr>
      <w:r>
        <w:rPr>
          <w:rFonts w:hint="eastAsia" w:ascii="宋体" w:hAnsi="宋体"/>
          <w:szCs w:val="21"/>
        </w:rPr>
        <w:t>古田村属：古头、桥背、牛田刘屋、竹园、大路下、营脚下、牛皮桥、鸦鹊山、塘村。</w:t>
      </w:r>
    </w:p>
    <w:p w14:paraId="5DDFF748">
      <w:pPr>
        <w:ind w:firstLine="420"/>
        <w:rPr>
          <w:rFonts w:ascii="宋体" w:hAnsi="宋体"/>
          <w:szCs w:val="21"/>
        </w:rPr>
      </w:pPr>
      <w:r>
        <w:rPr>
          <w:rFonts w:hint="eastAsia" w:ascii="宋体" w:hAnsi="宋体"/>
          <w:szCs w:val="21"/>
        </w:rPr>
        <w:t>长迳村属：长迳桥、泥岭、三佳村、三驳桥、米王亭、二塘、大茶棚。</w:t>
      </w:r>
    </w:p>
    <w:p w14:paraId="0CBA1248">
      <w:pPr>
        <w:ind w:firstLine="420"/>
        <w:rPr>
          <w:rFonts w:ascii="宋体" w:hAnsi="宋体"/>
          <w:szCs w:val="21"/>
        </w:rPr>
      </w:pPr>
      <w:r>
        <w:rPr>
          <w:rFonts w:hint="eastAsia" w:ascii="宋体" w:hAnsi="宋体"/>
          <w:szCs w:val="21"/>
        </w:rPr>
        <w:t>新村村属：新村、乌泥、石陂头。</w:t>
      </w:r>
    </w:p>
    <w:p w14:paraId="32087421">
      <w:pPr>
        <w:ind w:firstLine="420"/>
        <w:rPr>
          <w:rFonts w:ascii="宋体" w:hAnsi="宋体"/>
          <w:szCs w:val="21"/>
        </w:rPr>
      </w:pPr>
      <w:r>
        <w:rPr>
          <w:rFonts w:hint="eastAsia" w:ascii="宋体" w:hAnsi="宋体"/>
          <w:szCs w:val="21"/>
        </w:rPr>
        <w:t>小里源村属：小里源、大口江、牛栏岗、鹅颈陂、里塘坪、艻棚下。</w:t>
      </w:r>
    </w:p>
    <w:p w14:paraId="3F94E042">
      <w:pPr>
        <w:ind w:firstLine="420"/>
        <w:rPr>
          <w:rFonts w:ascii="宋体" w:hAnsi="宋体"/>
          <w:szCs w:val="21"/>
        </w:rPr>
      </w:pPr>
      <w:r>
        <w:rPr>
          <w:rFonts w:hint="eastAsia" w:ascii="宋体" w:hAnsi="宋体"/>
          <w:szCs w:val="21"/>
        </w:rPr>
        <w:t>石塘村属：曾屋、青山口、老屋家、刘屋、石岩下、新屋、石塘街、蕉坑胡屋、艻竹排、何屋、坳背。</w:t>
      </w:r>
    </w:p>
    <w:p w14:paraId="32EC11DB">
      <w:pPr>
        <w:ind w:firstLine="420"/>
        <w:rPr>
          <w:rFonts w:ascii="宋体" w:hAnsi="宋体"/>
          <w:szCs w:val="21"/>
        </w:rPr>
      </w:pPr>
      <w:r>
        <w:rPr>
          <w:rFonts w:hint="eastAsia" w:ascii="宋体" w:hAnsi="宋体"/>
          <w:szCs w:val="21"/>
        </w:rPr>
        <w:t>里东村属：里东圩、里东岗、刘屋山、迳口、新围、秧</w:t>
      </w:r>
      <w:r>
        <w:rPr>
          <w:rFonts w:hint="eastAsia" w:ascii="宋体" w:hAnsi="宋体"/>
          <w:szCs w:val="21"/>
        </w:rPr>
        <w:drawing>
          <wp:inline distT="0" distB="0" distL="0" distR="0">
            <wp:extent cx="185420" cy="223520"/>
            <wp:effectExtent l="0" t="0" r="5080" b="508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noChangeArrowheads="1"/>
                    </pic:cNvPicPr>
                  </pic:nvPicPr>
                  <pic:blipFill>
                    <a:blip r:embed="rId188" cstate="print"/>
                    <a:srcRect/>
                    <a:stretch>
                      <a:fillRect/>
                    </a:stretch>
                  </pic:blipFill>
                  <pic:spPr>
                    <a:xfrm>
                      <a:off x="0" y="0"/>
                      <a:ext cx="186092" cy="224366"/>
                    </a:xfrm>
                    <a:prstGeom prst="rect">
                      <a:avLst/>
                    </a:prstGeom>
                    <a:noFill/>
                    <a:ln w="9525">
                      <a:noFill/>
                      <a:miter lim="800000"/>
                      <a:headEnd/>
                      <a:tailEnd/>
                    </a:ln>
                  </pic:spPr>
                </pic:pic>
              </a:graphicData>
            </a:graphic>
          </wp:inline>
        </w:drawing>
      </w:r>
      <w:r>
        <w:rPr>
          <w:rFonts w:hint="eastAsia" w:ascii="宋体" w:hAnsi="宋体"/>
          <w:szCs w:val="21"/>
        </w:rPr>
        <w:t>心、茶园、社礼庙、大操场、周地排、大岭下、窑前、苔塘、温屋、下屋。</w:t>
      </w:r>
    </w:p>
    <w:p w14:paraId="2912070C">
      <w:pPr>
        <w:ind w:firstLine="420"/>
        <w:rPr>
          <w:rFonts w:ascii="宋体" w:hAnsi="宋体"/>
          <w:szCs w:val="21"/>
        </w:rPr>
      </w:pPr>
      <w:r>
        <w:rPr>
          <w:rFonts w:hint="eastAsia" w:ascii="宋体" w:hAnsi="宋体"/>
          <w:szCs w:val="21"/>
        </w:rPr>
        <w:t>上嵩村属：上嵩、中洞、下洞。</w:t>
      </w:r>
    </w:p>
    <w:p w14:paraId="69F16B1D">
      <w:pPr>
        <w:ind w:firstLine="420"/>
        <w:rPr>
          <w:rFonts w:ascii="宋体" w:hAnsi="宋体"/>
          <w:szCs w:val="21"/>
        </w:rPr>
      </w:pPr>
      <w:r>
        <w:rPr>
          <w:rFonts w:hint="eastAsia" w:ascii="宋体" w:hAnsi="宋体"/>
          <w:szCs w:val="21"/>
        </w:rPr>
        <w:t>灵潭村属：灵潭、田兰、前围、曾屋、刘屋、何屋、石头把、兰桥水、槐花。</w:t>
      </w:r>
    </w:p>
    <w:p w14:paraId="085178F8">
      <w:pPr>
        <w:ind w:firstLine="420"/>
        <w:rPr>
          <w:rFonts w:ascii="宋体" w:hAnsi="宋体"/>
          <w:szCs w:val="21"/>
        </w:rPr>
      </w:pPr>
      <w:r>
        <w:rPr>
          <w:rFonts w:hint="eastAsia" w:ascii="宋体" w:hAnsi="宋体"/>
          <w:szCs w:val="21"/>
        </w:rPr>
        <w:t>罗田村属：上罗田、巷脑、大园。</w:t>
      </w:r>
    </w:p>
    <w:p w14:paraId="041E8549">
      <w:pPr>
        <w:ind w:firstLine="420"/>
        <w:rPr>
          <w:rFonts w:ascii="宋体" w:hAnsi="宋体"/>
          <w:szCs w:val="21"/>
        </w:rPr>
      </w:pPr>
      <w:r>
        <w:rPr>
          <w:rFonts w:hint="eastAsia" w:ascii="宋体" w:hAnsi="宋体"/>
          <w:szCs w:val="21"/>
        </w:rPr>
        <w:t>下汾村属：下汾、罗屋、围俚。</w:t>
      </w:r>
    </w:p>
    <w:p w14:paraId="6374EC0A">
      <w:pPr>
        <w:ind w:firstLine="420"/>
        <w:rPr>
          <w:rFonts w:ascii="宋体" w:hAnsi="宋体"/>
          <w:szCs w:val="21"/>
        </w:rPr>
      </w:pPr>
      <w:r>
        <w:rPr>
          <w:rFonts w:hint="eastAsia" w:ascii="宋体" w:hAnsi="宋体"/>
          <w:szCs w:val="21"/>
        </w:rPr>
        <w:t>衹芫村属：上祇芫、下祇芫、城俚、马古星、中坑、双巴树、仙水塘。</w:t>
      </w:r>
    </w:p>
    <w:p w14:paraId="28762067">
      <w:pPr>
        <w:ind w:firstLine="420"/>
        <w:rPr>
          <w:rFonts w:ascii="宋体" w:hAnsi="宋体"/>
          <w:szCs w:val="21"/>
        </w:rPr>
      </w:pPr>
      <w:r>
        <w:rPr>
          <w:rFonts w:hint="eastAsia" w:ascii="宋体" w:hAnsi="宋体"/>
          <w:szCs w:val="21"/>
        </w:rPr>
        <w:t>南山村属：罗管坑、南山背、塘头背、新叶屋、邓屋、郭屋。</w:t>
      </w:r>
    </w:p>
    <w:p w14:paraId="78FC8B93">
      <w:pPr>
        <w:ind w:firstLine="422"/>
        <w:rPr>
          <w:rFonts w:ascii="宋体" w:hAnsi="宋体"/>
          <w:b/>
          <w:szCs w:val="21"/>
        </w:rPr>
      </w:pPr>
      <w:r>
        <w:rPr>
          <w:rFonts w:hint="eastAsia" w:ascii="宋体" w:hAnsi="宋体"/>
          <w:b/>
          <w:szCs w:val="21"/>
        </w:rPr>
        <w:t>湖口镇（</w:t>
      </w:r>
      <w:r>
        <w:rPr>
          <w:rFonts w:ascii="宋体" w:hAnsi="宋体"/>
          <w:b/>
          <w:szCs w:val="21"/>
        </w:rPr>
        <w:t>112个自然村</w:t>
      </w:r>
      <w:r>
        <w:rPr>
          <w:rFonts w:hint="eastAsia" w:ascii="宋体" w:hAnsi="宋体"/>
          <w:b/>
          <w:szCs w:val="21"/>
        </w:rPr>
        <w:t>）</w:t>
      </w:r>
    </w:p>
    <w:p w14:paraId="11C5C2C8">
      <w:pPr>
        <w:ind w:firstLine="420"/>
        <w:rPr>
          <w:rFonts w:ascii="宋体" w:hAnsi="宋体"/>
          <w:szCs w:val="21"/>
        </w:rPr>
      </w:pPr>
      <w:r>
        <w:rPr>
          <w:rFonts w:hint="eastAsia" w:ascii="宋体" w:hAnsi="宋体"/>
          <w:szCs w:val="21"/>
        </w:rPr>
        <w:t>湖口村属：湖口圩、社官下、杨屋田心、上芫、高田、大井头、窝塘、龙井下、高石街、枫坛、朱木墩、姜子塘、石古圳、汉塘、坪地、田心、老圩曾屋。</w:t>
      </w:r>
    </w:p>
    <w:p w14:paraId="3671B33D">
      <w:pPr>
        <w:ind w:firstLine="420"/>
        <w:rPr>
          <w:rFonts w:ascii="宋体" w:hAnsi="宋体"/>
          <w:szCs w:val="21"/>
        </w:rPr>
      </w:pPr>
      <w:r>
        <w:rPr>
          <w:rFonts w:hint="eastAsia" w:ascii="宋体" w:hAnsi="宋体"/>
          <w:szCs w:val="21"/>
        </w:rPr>
        <w:t>承平村属：午田、龙眼头、拱桥、龙川水、赤沙岭、太和岭、下洋汾、上洋汾长坑、黄竹塘。</w:t>
      </w:r>
    </w:p>
    <w:p w14:paraId="67E91E22">
      <w:pPr>
        <w:ind w:firstLine="420"/>
        <w:rPr>
          <w:rFonts w:ascii="宋体" w:hAnsi="宋体"/>
          <w:szCs w:val="21"/>
        </w:rPr>
      </w:pPr>
      <w:r>
        <w:rPr>
          <w:rFonts w:hint="eastAsia" w:ascii="宋体" w:hAnsi="宋体"/>
          <w:szCs w:val="21"/>
        </w:rPr>
        <w:t>太和村属：太和圩、老圩场、九塘、旱塘、新屋下、禾场下、老刘屋、新陈屋、坳背。</w:t>
      </w:r>
    </w:p>
    <w:p w14:paraId="63ECB8A1">
      <w:pPr>
        <w:ind w:firstLine="420"/>
        <w:rPr>
          <w:rFonts w:ascii="宋体" w:hAnsi="宋体"/>
          <w:szCs w:val="21"/>
        </w:rPr>
      </w:pPr>
      <w:r>
        <w:rPr>
          <w:rFonts w:hint="eastAsia" w:ascii="宋体" w:hAnsi="宋体"/>
          <w:szCs w:val="21"/>
        </w:rPr>
        <w:t>岗围村属：对门、岗坪、围俚、老屋、窝塘、梅杆脚下。</w:t>
      </w:r>
    </w:p>
    <w:p w14:paraId="19DCE99F">
      <w:pPr>
        <w:ind w:firstLine="420"/>
        <w:rPr>
          <w:rFonts w:ascii="宋体" w:hAnsi="宋体"/>
          <w:szCs w:val="21"/>
        </w:rPr>
      </w:pPr>
      <w:r>
        <w:rPr>
          <w:rFonts w:hint="eastAsia" w:ascii="宋体" w:hAnsi="宋体"/>
          <w:szCs w:val="21"/>
        </w:rPr>
        <w:t>矿石村属：下地山、矿岭、新塘、麻塔石。</w:t>
      </w:r>
    </w:p>
    <w:p w14:paraId="750DF9F8">
      <w:pPr>
        <w:ind w:firstLine="420"/>
        <w:rPr>
          <w:rFonts w:ascii="宋体" w:hAnsi="宋体"/>
          <w:szCs w:val="21"/>
        </w:rPr>
      </w:pPr>
      <w:r>
        <w:rPr>
          <w:rFonts w:hint="eastAsia" w:ascii="宋体" w:hAnsi="宋体"/>
          <w:szCs w:val="21"/>
        </w:rPr>
        <w:t>新迳村属：筲箕窝、苦楝树下、樟树下、大路下、莲塘、古坑。</w:t>
      </w:r>
    </w:p>
    <w:p w14:paraId="3216E303">
      <w:pPr>
        <w:ind w:firstLine="420"/>
        <w:rPr>
          <w:rFonts w:ascii="宋体" w:hAnsi="宋体"/>
          <w:szCs w:val="21"/>
        </w:rPr>
      </w:pPr>
      <w:r>
        <w:rPr>
          <w:rFonts w:hint="eastAsia" w:ascii="宋体" w:hAnsi="宋体"/>
          <w:szCs w:val="21"/>
        </w:rPr>
        <w:t>新湖村属：围背、下罗田、竹园、赤溪湖、公坑、新大门、石榜下。</w:t>
      </w:r>
    </w:p>
    <w:p w14:paraId="3E8A59DD">
      <w:pPr>
        <w:ind w:firstLine="420"/>
        <w:rPr>
          <w:rFonts w:ascii="宋体" w:hAnsi="宋体"/>
          <w:szCs w:val="21"/>
        </w:rPr>
      </w:pPr>
      <w:r>
        <w:rPr>
          <w:rFonts w:hint="eastAsia" w:ascii="宋体" w:hAnsi="宋体"/>
          <w:szCs w:val="21"/>
        </w:rPr>
        <w:t>长市村属：三子下、白木、石龙头、长浦桥、彭坑、竹下山、江背、野猪岭、牛皮岭。</w:t>
      </w:r>
    </w:p>
    <w:p w14:paraId="6D5FD05A">
      <w:pPr>
        <w:ind w:firstLine="420"/>
        <w:rPr>
          <w:rFonts w:ascii="宋体" w:hAnsi="宋体"/>
          <w:szCs w:val="21"/>
        </w:rPr>
      </w:pPr>
      <w:r>
        <w:rPr>
          <w:rFonts w:hint="eastAsia" w:ascii="宋体" w:hAnsi="宋体"/>
          <w:szCs w:val="21"/>
        </w:rPr>
        <w:t>积塔村属：积塔、大塘下、瓜园。</w:t>
      </w:r>
    </w:p>
    <w:p w14:paraId="5976FBD9">
      <w:pPr>
        <w:ind w:firstLine="420"/>
        <w:rPr>
          <w:rFonts w:ascii="宋体" w:hAnsi="宋体"/>
          <w:szCs w:val="21"/>
        </w:rPr>
      </w:pPr>
      <w:r>
        <w:rPr>
          <w:rFonts w:hint="eastAsia" w:ascii="宋体" w:hAnsi="宋体"/>
          <w:szCs w:val="21"/>
        </w:rPr>
        <w:t>石坑村属：大石坑、细石坑。</w:t>
      </w:r>
    </w:p>
    <w:p w14:paraId="1A2DBDD2">
      <w:pPr>
        <w:ind w:firstLine="420"/>
        <w:rPr>
          <w:rFonts w:ascii="宋体" w:hAnsi="宋体"/>
          <w:szCs w:val="21"/>
        </w:rPr>
      </w:pPr>
      <w:r>
        <w:rPr>
          <w:rFonts w:hint="eastAsia" w:ascii="宋体" w:hAnsi="宋体"/>
          <w:szCs w:val="21"/>
        </w:rPr>
        <w:t>三水村属、樟木山、上下陂、下陂山、雷公塘、瓜园、大塘下。</w:t>
      </w:r>
    </w:p>
    <w:p w14:paraId="0A074717">
      <w:pPr>
        <w:ind w:firstLine="420"/>
        <w:rPr>
          <w:rFonts w:ascii="宋体" w:hAnsi="宋体"/>
          <w:szCs w:val="21"/>
        </w:rPr>
      </w:pPr>
      <w:r>
        <w:rPr>
          <w:rFonts w:hint="eastAsia" w:ascii="宋体" w:hAnsi="宋体"/>
          <w:szCs w:val="21"/>
        </w:rPr>
        <w:t>三角村属：水西岭、马古坝、陈屋、张屋、王屋、鱼王石、沙道丘、围俚、吴屋、岭下，横岭。</w:t>
      </w:r>
    </w:p>
    <w:p w14:paraId="4AE022F3">
      <w:pPr>
        <w:ind w:firstLine="420"/>
        <w:rPr>
          <w:rFonts w:ascii="宋体" w:hAnsi="宋体"/>
          <w:szCs w:val="21"/>
        </w:rPr>
      </w:pPr>
      <w:r>
        <w:rPr>
          <w:rFonts w:hint="eastAsia" w:ascii="宋体" w:hAnsi="宋体"/>
          <w:szCs w:val="21"/>
        </w:rPr>
        <w:t>里和村属：里和、角公塘、公陂坑、杨柳湾、黄泥塘、黄咀岭、邓公桥、尖岭下、牛岗地、牛牯坡、店坪、李木坑、瓦子塘、小白木、小坪、邓甫塘、上坑、晏塘、扶山头、油店、店俚。</w:t>
      </w:r>
    </w:p>
    <w:p w14:paraId="3051D821">
      <w:pPr>
        <w:ind w:firstLine="422"/>
        <w:rPr>
          <w:rFonts w:ascii="宋体" w:hAnsi="宋体"/>
          <w:b/>
          <w:szCs w:val="21"/>
        </w:rPr>
      </w:pPr>
      <w:r>
        <w:rPr>
          <w:rFonts w:hint="eastAsia" w:ascii="宋体" w:hAnsi="宋体"/>
          <w:b/>
          <w:szCs w:val="21"/>
        </w:rPr>
        <w:t>水口镇（</w:t>
      </w:r>
      <w:r>
        <w:rPr>
          <w:rFonts w:ascii="宋体" w:hAnsi="宋体"/>
          <w:b/>
          <w:szCs w:val="21"/>
        </w:rPr>
        <w:t>120个自然村）</w:t>
      </w:r>
    </w:p>
    <w:p w14:paraId="070ECDD5">
      <w:pPr>
        <w:ind w:firstLine="420"/>
        <w:rPr>
          <w:rFonts w:ascii="宋体" w:hAnsi="宋体"/>
          <w:szCs w:val="21"/>
        </w:rPr>
      </w:pPr>
      <w:r>
        <w:rPr>
          <w:rFonts w:hint="eastAsia" w:ascii="宋体" w:hAnsi="宋体"/>
          <w:szCs w:val="21"/>
        </w:rPr>
        <w:t>水口村属：水口圩、长圳、塘下洞、卢屋、下屋场、老屋、坳头、长水桥、上坳、上大仚、上古塘、下古塘、大坑、祠堂、何屋、张屋、岭排、打石湖、黄坑、油糟坑、矮岭。</w:t>
      </w:r>
    </w:p>
    <w:p w14:paraId="3A905842">
      <w:pPr>
        <w:ind w:firstLine="420"/>
        <w:rPr>
          <w:rFonts w:ascii="宋体" w:hAnsi="宋体"/>
          <w:szCs w:val="21"/>
        </w:rPr>
      </w:pPr>
      <w:r>
        <w:rPr>
          <w:rFonts w:hint="eastAsia" w:ascii="宋体" w:hAnsi="宋体"/>
          <w:szCs w:val="21"/>
        </w:rPr>
        <w:t>下楼村属：张屋、下楼村、玉过坳、井水坑、大坳、黄竹坪、高地岗、田心、老屋下、坪山、沙坪、上坑、大坪、大沙洲。</w:t>
      </w:r>
    </w:p>
    <w:p w14:paraId="4D6BB2D0">
      <w:pPr>
        <w:ind w:firstLine="420"/>
        <w:rPr>
          <w:rFonts w:ascii="宋体" w:hAnsi="宋体"/>
          <w:szCs w:val="21"/>
        </w:rPr>
      </w:pPr>
      <w:r>
        <w:rPr>
          <w:rFonts w:hint="eastAsia" w:ascii="宋体" w:hAnsi="宋体"/>
          <w:szCs w:val="21"/>
        </w:rPr>
        <w:t>泷头村属：新屋、龙头角、围俚、兴龙湾、上新屋、竹陂坑、泷下叶屋、沈屋、蓝屋、彭屋。</w:t>
      </w:r>
    </w:p>
    <w:p w14:paraId="5D3B9A24">
      <w:pPr>
        <w:ind w:firstLine="420"/>
        <w:rPr>
          <w:rFonts w:ascii="宋体" w:hAnsi="宋体"/>
          <w:szCs w:val="21"/>
        </w:rPr>
      </w:pPr>
      <w:r>
        <w:rPr>
          <w:rFonts w:hint="eastAsia" w:ascii="宋体" w:hAnsi="宋体"/>
          <w:szCs w:val="21"/>
        </w:rPr>
        <w:t>篛过村属：篛过、横塘、老屋、陈屋、后龙（围俚）、水西坝、河背、横坋。</w:t>
      </w:r>
    </w:p>
    <w:p w14:paraId="164FCCE1">
      <w:pPr>
        <w:ind w:firstLine="420"/>
        <w:rPr>
          <w:rFonts w:ascii="宋体" w:hAnsi="宋体"/>
          <w:szCs w:val="21"/>
        </w:rPr>
      </w:pPr>
      <w:r>
        <w:rPr>
          <w:rFonts w:hint="eastAsia" w:ascii="宋体" w:hAnsi="宋体"/>
          <w:szCs w:val="21"/>
        </w:rPr>
        <w:t>云西村属：新屋、西瓜墩、云沙下、石角、王屋、长尾洞、深水、月形、老屋、钟屋。</w:t>
      </w:r>
    </w:p>
    <w:p w14:paraId="3138A246">
      <w:pPr>
        <w:ind w:firstLine="420"/>
        <w:rPr>
          <w:rFonts w:ascii="宋体" w:hAnsi="宋体"/>
          <w:szCs w:val="21"/>
        </w:rPr>
      </w:pPr>
      <w:r>
        <w:rPr>
          <w:rFonts w:hint="eastAsia" w:ascii="宋体" w:hAnsi="宋体"/>
          <w:szCs w:val="21"/>
        </w:rPr>
        <w:t>大部村属：大部、当面岭、大水洞、塘背、老大坑、新大坑、新流坑、老流坑、李屋、围俚。</w:t>
      </w:r>
    </w:p>
    <w:p w14:paraId="2281EEB5">
      <w:pPr>
        <w:ind w:firstLine="420"/>
        <w:rPr>
          <w:rFonts w:ascii="宋体" w:hAnsi="宋体"/>
          <w:szCs w:val="21"/>
        </w:rPr>
      </w:pPr>
      <w:r>
        <w:rPr>
          <w:rFonts w:hint="eastAsia" w:ascii="宋体" w:hAnsi="宋体"/>
          <w:szCs w:val="21"/>
        </w:rPr>
        <w:t>河村村属：村头、田心、上门、头渡、水南门。</w:t>
      </w:r>
    </w:p>
    <w:p w14:paraId="4AC34C40">
      <w:pPr>
        <w:ind w:firstLine="420"/>
        <w:rPr>
          <w:rFonts w:ascii="宋体" w:hAnsi="宋体"/>
          <w:szCs w:val="21"/>
        </w:rPr>
      </w:pPr>
      <w:r>
        <w:rPr>
          <w:rFonts w:hint="eastAsia" w:ascii="宋体" w:hAnsi="宋体"/>
          <w:szCs w:val="21"/>
        </w:rPr>
        <w:t>大坪村属：大坪、何屋、窑下、聂屋。</w:t>
      </w:r>
    </w:p>
    <w:p w14:paraId="5D1967D5">
      <w:pPr>
        <w:ind w:firstLine="420"/>
        <w:rPr>
          <w:rFonts w:ascii="宋体" w:hAnsi="宋体"/>
          <w:szCs w:val="21"/>
        </w:rPr>
      </w:pPr>
      <w:r>
        <w:rPr>
          <w:rFonts w:hint="eastAsia" w:ascii="宋体" w:hAnsi="宋体"/>
          <w:szCs w:val="21"/>
        </w:rPr>
        <w:t>赤岭村属：大村、龙头山、天心坝、迁江夫。</w:t>
      </w:r>
    </w:p>
    <w:p w14:paraId="66D703FB">
      <w:pPr>
        <w:ind w:firstLine="420"/>
        <w:rPr>
          <w:rFonts w:ascii="宋体" w:hAnsi="宋体"/>
          <w:szCs w:val="21"/>
        </w:rPr>
      </w:pPr>
      <w:r>
        <w:rPr>
          <w:rFonts w:hint="eastAsia" w:ascii="宋体" w:hAnsi="宋体"/>
          <w:szCs w:val="21"/>
        </w:rPr>
        <w:t>群星村属：罗汉井、张河坝、高排、陂下。</w:t>
      </w:r>
    </w:p>
    <w:p w14:paraId="33704FBC">
      <w:pPr>
        <w:ind w:firstLine="420"/>
        <w:rPr>
          <w:rFonts w:ascii="宋体" w:hAnsi="宋体"/>
          <w:szCs w:val="21"/>
        </w:rPr>
      </w:pPr>
      <w:r>
        <w:rPr>
          <w:rFonts w:hint="eastAsia" w:ascii="宋体" w:hAnsi="宋体"/>
          <w:szCs w:val="21"/>
        </w:rPr>
        <w:t>下湖村属：祠堂、下湖、下门、黄屋、松树岭、龙凤塘曾屋、新李屋。</w:t>
      </w:r>
    </w:p>
    <w:p w14:paraId="5E2356F4">
      <w:pPr>
        <w:ind w:firstLine="420"/>
        <w:rPr>
          <w:rFonts w:ascii="宋体" w:hAnsi="宋体"/>
          <w:szCs w:val="21"/>
        </w:rPr>
      </w:pPr>
      <w:r>
        <w:rPr>
          <w:rFonts w:hint="eastAsia" w:ascii="宋体" w:hAnsi="宋体"/>
          <w:szCs w:val="21"/>
        </w:rPr>
        <w:t>沙头村属：沙坳头、上湖洞、桥背、寺山下、武台岗、天培岭。</w:t>
      </w:r>
    </w:p>
    <w:p w14:paraId="34E901D5">
      <w:pPr>
        <w:ind w:firstLine="420"/>
        <w:rPr>
          <w:rFonts w:ascii="宋体" w:hAnsi="宋体"/>
          <w:szCs w:val="21"/>
        </w:rPr>
      </w:pPr>
      <w:r>
        <w:rPr>
          <w:rFonts w:hint="eastAsia" w:ascii="宋体" w:hAnsi="宋体"/>
          <w:szCs w:val="21"/>
        </w:rPr>
        <w:t>石庄村属：石塘、岭脑、马糟坑、大岭背卷头、上门、赖坑、围俚、围背、柴寮下刘屋、丘屋、正山田心、杉树下、坪岭、柳树排、老虎坑、小水何屋、陈屋。</w:t>
      </w:r>
    </w:p>
    <w:p w14:paraId="2A2C7E1E">
      <w:pPr>
        <w:ind w:firstLine="422"/>
        <w:rPr>
          <w:rFonts w:ascii="宋体" w:hAnsi="宋体"/>
          <w:b/>
          <w:szCs w:val="21"/>
        </w:rPr>
      </w:pPr>
      <w:r>
        <w:rPr>
          <w:rFonts w:hint="eastAsia" w:ascii="宋体" w:hAnsi="宋体"/>
          <w:b/>
          <w:szCs w:val="21"/>
        </w:rPr>
        <w:t>南亩乡（</w:t>
      </w:r>
      <w:r>
        <w:rPr>
          <w:rFonts w:ascii="宋体" w:hAnsi="宋体"/>
          <w:b/>
          <w:szCs w:val="21"/>
        </w:rPr>
        <w:t>134个自然村）</w:t>
      </w:r>
    </w:p>
    <w:p w14:paraId="0112CEFF">
      <w:pPr>
        <w:ind w:firstLine="420"/>
        <w:rPr>
          <w:rFonts w:ascii="宋体" w:hAnsi="宋体"/>
          <w:szCs w:val="21"/>
        </w:rPr>
      </w:pPr>
      <w:r>
        <w:rPr>
          <w:rFonts w:hint="eastAsia" w:ascii="宋体" w:hAnsi="宋体"/>
          <w:szCs w:val="21"/>
        </w:rPr>
        <w:t>南亩村属：南亩圩、牛婆坑、文坑围俚、新屋下、吊井边、塘屋里、老屋、南亩围、南亩老屋、南亩新屋。</w:t>
      </w:r>
    </w:p>
    <w:p w14:paraId="6E1566F0">
      <w:pPr>
        <w:ind w:firstLine="420"/>
        <w:rPr>
          <w:rFonts w:ascii="宋体" w:hAnsi="宋体"/>
          <w:szCs w:val="21"/>
        </w:rPr>
      </w:pPr>
      <w:r>
        <w:rPr>
          <w:rFonts w:hint="eastAsia" w:ascii="宋体" w:hAnsi="宋体"/>
          <w:szCs w:val="21"/>
        </w:rPr>
        <w:t>樟屋村属：新樟屋、沈屋、谢屋、石坳、禾稿塘、新屋、松树下、官溪、长坑、狗塘刘屋、狗塘郭屋、新狗塘、鹅形、荷树头。</w:t>
      </w:r>
    </w:p>
    <w:p w14:paraId="6F29C4C5">
      <w:pPr>
        <w:ind w:firstLine="420"/>
        <w:rPr>
          <w:rFonts w:ascii="宋体" w:hAnsi="宋体"/>
          <w:szCs w:val="21"/>
        </w:rPr>
      </w:pPr>
      <w:r>
        <w:rPr>
          <w:rFonts w:hint="eastAsia" w:ascii="宋体" w:hAnsi="宋体"/>
          <w:szCs w:val="21"/>
        </w:rPr>
        <w:t>鱼鲜村属：鱼鲜、迳俚、樟树下、坪地山、罗里坑、薯坑、钗头下、蛇岭。</w:t>
      </w:r>
    </w:p>
    <w:p w14:paraId="43A3B129">
      <w:pPr>
        <w:ind w:firstLine="420"/>
        <w:rPr>
          <w:rFonts w:ascii="宋体" w:hAnsi="宋体"/>
          <w:szCs w:val="21"/>
        </w:rPr>
      </w:pPr>
      <w:r>
        <w:rPr>
          <w:rFonts w:hint="eastAsia" w:ascii="宋体" w:hAnsi="宋体"/>
          <w:szCs w:val="21"/>
        </w:rPr>
        <w:t>官田村属：五架、城俚、罗洞、罗洞新屋、里溪莲塘、蓝田、牛岭、老屋下、坝俚、枫树江、荷树排。</w:t>
      </w:r>
    </w:p>
    <w:p w14:paraId="512796D8">
      <w:pPr>
        <w:ind w:firstLine="420"/>
        <w:rPr>
          <w:rFonts w:ascii="宋体" w:hAnsi="宋体"/>
          <w:szCs w:val="21"/>
        </w:rPr>
      </w:pPr>
      <w:r>
        <w:rPr>
          <w:rFonts w:hint="eastAsia" w:ascii="宋体" w:hAnsi="宋体"/>
          <w:szCs w:val="21"/>
        </w:rPr>
        <w:t>芙蓉村属：实行坑、实围、水星、老屋下、塘面、芙围。</w:t>
      </w:r>
    </w:p>
    <w:p w14:paraId="5E6E39F5">
      <w:pPr>
        <w:ind w:firstLine="420"/>
        <w:rPr>
          <w:rFonts w:ascii="宋体" w:hAnsi="宋体"/>
          <w:szCs w:val="21"/>
        </w:rPr>
      </w:pPr>
      <w:r>
        <w:rPr>
          <w:rFonts w:hint="eastAsia" w:ascii="宋体" w:hAnsi="宋体"/>
          <w:szCs w:val="21"/>
        </w:rPr>
        <w:t>岭下村属：江子头、老屋、新围、社洞、岭下、禾寮背、转坑、墘田、岭下坝、中边、高山、黄渊、沙底。</w:t>
      </w:r>
    </w:p>
    <w:p w14:paraId="1128366E">
      <w:pPr>
        <w:ind w:firstLine="420"/>
        <w:rPr>
          <w:rFonts w:ascii="宋体" w:hAnsi="宋体"/>
          <w:szCs w:val="21"/>
        </w:rPr>
      </w:pPr>
      <w:r>
        <w:rPr>
          <w:rFonts w:hint="eastAsia" w:ascii="宋体" w:hAnsi="宋体"/>
          <w:szCs w:val="21"/>
        </w:rPr>
        <w:t>水尾村属：朝晖、郝屋、刘屋、逸汤、钗坑、爱塘、云山。</w:t>
      </w:r>
    </w:p>
    <w:p w14:paraId="7697452C">
      <w:pPr>
        <w:ind w:firstLine="420"/>
        <w:rPr>
          <w:rFonts w:ascii="宋体" w:hAnsi="宋体"/>
          <w:szCs w:val="21"/>
        </w:rPr>
      </w:pPr>
      <w:r>
        <w:rPr>
          <w:rFonts w:hint="eastAsia" w:ascii="宋体" w:hAnsi="宋体"/>
          <w:szCs w:val="21"/>
        </w:rPr>
        <w:t>中寺村属：黄属洞、大山、黄泥塘、新屋排、沉水洞、老屋排、坝头湾、流坑、新流坑、逸屋场、早禾田、大江墩、龙班、新塘下、旱坑、蕉坑、枫树背、坳背、忠心坑、下场仂、中洞寺、蛇皮头。</w:t>
      </w:r>
    </w:p>
    <w:p w14:paraId="5F24D70A">
      <w:pPr>
        <w:ind w:firstLine="420"/>
        <w:rPr>
          <w:rFonts w:ascii="宋体" w:hAnsi="宋体"/>
          <w:szCs w:val="21"/>
        </w:rPr>
      </w:pPr>
      <w:r>
        <w:rPr>
          <w:rFonts w:hint="eastAsia" w:ascii="宋体" w:hAnsi="宋体"/>
          <w:szCs w:val="21"/>
        </w:rPr>
        <w:t>中岭村属：马迳前、中岭新屋、老屋、园汤、龙头、上屋、禾寮坝新屋、经堂、中间屋、三棵枫树、子沙坝。</w:t>
      </w:r>
    </w:p>
    <w:p w14:paraId="5B4573F8">
      <w:pPr>
        <w:ind w:firstLine="420"/>
        <w:rPr>
          <w:rFonts w:ascii="宋体" w:hAnsi="宋体"/>
          <w:szCs w:val="21"/>
        </w:rPr>
      </w:pPr>
      <w:r>
        <w:rPr>
          <w:rFonts w:hint="eastAsia" w:ascii="宋体" w:hAnsi="宋体"/>
          <w:szCs w:val="21"/>
        </w:rPr>
        <w:t>长洞村属：虎竹塘、坳塆、里塘、新围、老巫、长洞、长洞新屋、</w:t>
      </w:r>
      <w:r>
        <w:rPr>
          <w:rFonts w:hint="eastAsia" w:ascii="宋体" w:hAnsi="宋体"/>
          <w:szCs w:val="21"/>
        </w:rPr>
        <w:drawing>
          <wp:inline distT="0" distB="0" distL="0" distR="0">
            <wp:extent cx="207645" cy="197485"/>
            <wp:effectExtent l="0" t="0" r="1905" b="12065"/>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noChangeArrowheads="1"/>
                    </pic:cNvPicPr>
                  </pic:nvPicPr>
                  <pic:blipFill>
                    <a:blip r:embed="rId189" cstate="print"/>
                    <a:srcRect/>
                    <a:stretch>
                      <a:fillRect/>
                    </a:stretch>
                  </pic:blipFill>
                  <pic:spPr>
                    <a:xfrm>
                      <a:off x="0" y="0"/>
                      <a:ext cx="205698" cy="196150"/>
                    </a:xfrm>
                    <a:prstGeom prst="rect">
                      <a:avLst/>
                    </a:prstGeom>
                    <a:noFill/>
                    <a:ln w="9525">
                      <a:noFill/>
                      <a:miter lim="800000"/>
                      <a:headEnd/>
                      <a:tailEnd/>
                    </a:ln>
                  </pic:spPr>
                </pic:pic>
              </a:graphicData>
            </a:graphic>
          </wp:inline>
        </w:drawing>
      </w:r>
      <w:r>
        <w:rPr>
          <w:rFonts w:hint="eastAsia" w:ascii="宋体" w:hAnsi="宋体"/>
          <w:szCs w:val="21"/>
        </w:rPr>
        <w:t>下、山岭、向阳、新庄、虎竹坑。</w:t>
      </w:r>
    </w:p>
    <w:p w14:paraId="7F307E7E">
      <w:pPr>
        <w:ind w:firstLine="420"/>
        <w:rPr>
          <w:rFonts w:ascii="宋体" w:hAnsi="宋体"/>
          <w:szCs w:val="21"/>
        </w:rPr>
      </w:pPr>
      <w:r>
        <w:rPr>
          <w:rFonts w:hint="eastAsia" w:ascii="宋体" w:hAnsi="宋体"/>
          <w:szCs w:val="21"/>
        </w:rPr>
        <w:t>水塘村属：围俚、河背、望江塘、花树下、水塘围、逸庄、新厅下、油糟芬、中坳圩、中坳、上西坑、下西坑、刘屋场、竹窝墘、油糟新丰。</w:t>
      </w:r>
    </w:p>
    <w:p w14:paraId="5D945942">
      <w:pPr>
        <w:ind w:firstLine="422"/>
        <w:rPr>
          <w:rFonts w:ascii="宋体" w:hAnsi="宋体"/>
          <w:b/>
          <w:szCs w:val="21"/>
        </w:rPr>
      </w:pPr>
      <w:r>
        <w:rPr>
          <w:rFonts w:hint="eastAsia" w:ascii="宋体" w:hAnsi="宋体"/>
          <w:b/>
          <w:szCs w:val="21"/>
        </w:rPr>
        <w:t>江头乡（</w:t>
      </w:r>
      <w:r>
        <w:rPr>
          <w:rFonts w:ascii="宋体" w:hAnsi="宋体"/>
          <w:b/>
          <w:szCs w:val="21"/>
        </w:rPr>
        <w:t>120个自然村</w:t>
      </w:r>
      <w:r>
        <w:rPr>
          <w:rFonts w:hint="eastAsia" w:ascii="宋体" w:hAnsi="宋体"/>
          <w:b/>
          <w:szCs w:val="21"/>
        </w:rPr>
        <w:t>）</w:t>
      </w:r>
    </w:p>
    <w:p w14:paraId="6036D352">
      <w:pPr>
        <w:ind w:firstLine="420"/>
        <w:rPr>
          <w:rFonts w:ascii="宋体" w:hAnsi="宋体"/>
          <w:szCs w:val="21"/>
        </w:rPr>
      </w:pPr>
      <w:r>
        <w:rPr>
          <w:rFonts w:hint="eastAsia" w:ascii="宋体" w:hAnsi="宋体"/>
          <w:szCs w:val="21"/>
        </w:rPr>
        <w:t>江头村属：江头圩、江头老圩、蚊坑、拦头水、旱禾地、塘坑、官仁村、邓屋、江头村、饭岭、上锡、长老坑、梅子坝、沙湾、坳下、下屋、长屋山子下、桥头、温屋、王屋。</w:t>
      </w:r>
    </w:p>
    <w:p w14:paraId="794282DC">
      <w:pPr>
        <w:ind w:firstLine="420"/>
        <w:rPr>
          <w:rFonts w:ascii="宋体" w:hAnsi="宋体"/>
          <w:szCs w:val="21"/>
        </w:rPr>
      </w:pPr>
      <w:r>
        <w:rPr>
          <w:rFonts w:hint="eastAsia" w:ascii="宋体" w:hAnsi="宋体"/>
          <w:szCs w:val="21"/>
        </w:rPr>
        <w:t>园圃村属：白花潭、吐珠岭、瑶铃山、茶子园、李峰山、沙坋、亚公门前、西林水、中坪、园圃。</w:t>
      </w:r>
    </w:p>
    <w:p w14:paraId="29F6DDB2">
      <w:pPr>
        <w:ind w:firstLine="420"/>
        <w:rPr>
          <w:rFonts w:ascii="宋体" w:hAnsi="宋体"/>
          <w:szCs w:val="21"/>
        </w:rPr>
      </w:pPr>
      <w:r>
        <w:rPr>
          <w:rFonts w:hint="eastAsia" w:ascii="宋体" w:hAnsi="宋体"/>
          <w:szCs w:val="21"/>
        </w:rPr>
        <w:t>坪岗村属：坪岗山、山塘尾、马鞍山、山下、下小涌、鹤坝、上小涌、塘窝、社背地。</w:t>
      </w:r>
    </w:p>
    <w:p w14:paraId="2703C2E2">
      <w:pPr>
        <w:ind w:firstLine="420"/>
        <w:rPr>
          <w:rFonts w:ascii="宋体" w:hAnsi="宋体"/>
          <w:szCs w:val="21"/>
        </w:rPr>
      </w:pPr>
      <w:r>
        <w:rPr>
          <w:rFonts w:hint="eastAsia" w:ascii="宋体" w:hAnsi="宋体"/>
          <w:szCs w:val="21"/>
        </w:rPr>
        <w:t>涌溪村属：祠堂、大坪山邓屋、龚屋、涌溪老园、吴屋、大水边、官田、下旱坪。</w:t>
      </w:r>
    </w:p>
    <w:p w14:paraId="0E59E6B0">
      <w:pPr>
        <w:ind w:firstLine="420"/>
        <w:rPr>
          <w:rFonts w:ascii="宋体" w:hAnsi="宋体"/>
          <w:szCs w:val="21"/>
        </w:rPr>
      </w:pPr>
      <w:r>
        <w:rPr>
          <w:rFonts w:hint="eastAsia" w:ascii="宋体" w:hAnsi="宋体"/>
          <w:szCs w:val="21"/>
        </w:rPr>
        <w:t>小竹村属：大屋、下赖洞大丘麻、芒头坋、寨项、小竹田洞、卷头、黄茅坪、小泷头、钟屋、乌石洞下屋、上屋、九米坑、乌高塘新屋下、老屋下。</w:t>
      </w:r>
    </w:p>
    <w:p w14:paraId="3ABE20D6">
      <w:pPr>
        <w:ind w:firstLine="420"/>
        <w:rPr>
          <w:rFonts w:ascii="宋体" w:hAnsi="宋体"/>
          <w:szCs w:val="21"/>
        </w:rPr>
      </w:pPr>
      <w:r>
        <w:rPr>
          <w:rFonts w:hint="eastAsia" w:ascii="宋体" w:hAnsi="宋体"/>
          <w:szCs w:val="21"/>
        </w:rPr>
        <w:t>鱼仙村属：上洞、枫树坑、蓝屋排、鱼仙、芒东坑、上东坑、下东坑、桥头、钟屋、林屋、夹水口、老井井头、五丘田、窑胡丘。</w:t>
      </w:r>
    </w:p>
    <w:p w14:paraId="51C57CC2">
      <w:pPr>
        <w:ind w:firstLine="420"/>
        <w:rPr>
          <w:rFonts w:ascii="宋体" w:hAnsi="宋体"/>
          <w:szCs w:val="21"/>
        </w:rPr>
      </w:pPr>
      <w:r>
        <w:rPr>
          <w:rFonts w:hint="eastAsia" w:ascii="宋体" w:hAnsi="宋体"/>
          <w:szCs w:val="21"/>
        </w:rPr>
        <w:t>大汉村属：大汉（曾用名大侃）、山望岗、天瑶地、小汉（曾用名小侃）、张屋、朱屋、滑石水、旺龙丘。</w:t>
      </w:r>
    </w:p>
    <w:p w14:paraId="221380E1">
      <w:pPr>
        <w:ind w:firstLine="420"/>
        <w:rPr>
          <w:rFonts w:ascii="宋体" w:hAnsi="宋体"/>
          <w:szCs w:val="21"/>
        </w:rPr>
      </w:pPr>
      <w:r>
        <w:rPr>
          <w:rFonts w:hint="eastAsia" w:ascii="宋体" w:hAnsi="宋体"/>
          <w:szCs w:val="21"/>
        </w:rPr>
        <w:t>南浦村属：南浦、石坝、豆岗、里塘坑、上塘、新屋下、西坑、园份、白泥坑、水口坝、井坑、横岗、下湖、围埂、百坑尾、塘地坳、新塘坑。</w:t>
      </w:r>
    </w:p>
    <w:p w14:paraId="616A4106">
      <w:pPr>
        <w:ind w:firstLine="420"/>
        <w:rPr>
          <w:rFonts w:ascii="宋体" w:hAnsi="宋体"/>
          <w:szCs w:val="21"/>
        </w:rPr>
      </w:pPr>
      <w:r>
        <w:rPr>
          <w:rFonts w:hint="eastAsia" w:ascii="宋体" w:hAnsi="宋体"/>
          <w:szCs w:val="21"/>
        </w:rPr>
        <w:t>武岭村属：马头寨、小洞、下寨、欧洞、田心、老柒木岭、新作塘、新柒木岭、人形、老屋下、桃树湾、陂头、对门、石墩下、坪岗、围迳、南坪、下湖、小水口。</w:t>
      </w:r>
    </w:p>
    <w:p w14:paraId="2AD8E54A">
      <w:pPr>
        <w:ind w:firstLine="422"/>
        <w:rPr>
          <w:rFonts w:ascii="宋体" w:hAnsi="宋体"/>
          <w:b/>
          <w:szCs w:val="21"/>
        </w:rPr>
      </w:pPr>
      <w:r>
        <w:rPr>
          <w:rFonts w:hint="eastAsia" w:ascii="宋体" w:hAnsi="宋体"/>
          <w:b/>
          <w:szCs w:val="21"/>
        </w:rPr>
        <w:t>主田镇（</w:t>
      </w:r>
      <w:r>
        <w:rPr>
          <w:rFonts w:ascii="宋体" w:hAnsi="宋体"/>
          <w:b/>
          <w:szCs w:val="21"/>
        </w:rPr>
        <w:t>109个自然村）</w:t>
      </w:r>
    </w:p>
    <w:p w14:paraId="7564C7C8">
      <w:pPr>
        <w:ind w:firstLine="420"/>
        <w:rPr>
          <w:rFonts w:ascii="宋体" w:hAnsi="宋体"/>
          <w:szCs w:val="21"/>
        </w:rPr>
      </w:pPr>
      <w:r>
        <w:rPr>
          <w:rFonts w:hint="eastAsia" w:ascii="宋体" w:hAnsi="宋体"/>
          <w:szCs w:val="21"/>
        </w:rPr>
        <w:t>大坝村属：大凤、大坝、大坪头、罗屋、园岭、大坋岭、跃下、九公里、石床坑、白石、南坑、下村、村头坪、万里窝、牛牯岭、乌石坑、泷下上洞、黄龙坪、下村、白石坑矮台、大村、围项、店项、大门路、张天丘。</w:t>
      </w:r>
    </w:p>
    <w:p w14:paraId="5E599DB1">
      <w:pPr>
        <w:ind w:firstLine="420"/>
        <w:rPr>
          <w:rFonts w:ascii="宋体" w:hAnsi="宋体"/>
          <w:szCs w:val="21"/>
        </w:rPr>
      </w:pPr>
      <w:r>
        <w:rPr>
          <w:rFonts w:hint="eastAsia" w:ascii="宋体" w:hAnsi="宋体"/>
          <w:szCs w:val="21"/>
        </w:rPr>
        <w:t>主田村属：谭屋、姚屋、大村、李屋、围俚、石子桥、古子坑、谭塘坪。</w:t>
      </w:r>
    </w:p>
    <w:p w14:paraId="22B321DA">
      <w:pPr>
        <w:ind w:firstLine="420"/>
        <w:rPr>
          <w:rFonts w:ascii="宋体" w:hAnsi="宋体"/>
          <w:szCs w:val="21"/>
        </w:rPr>
      </w:pPr>
      <w:r>
        <w:rPr>
          <w:rFonts w:hint="eastAsia" w:ascii="宋体" w:hAnsi="宋体"/>
          <w:szCs w:val="21"/>
        </w:rPr>
        <w:t>城门村属：城门、排俚、寨脚下、下朱屋、塘田、大旺洞、瑶台、前背岭、风元头、上井、高车、陂迳、黄坑。</w:t>
      </w:r>
    </w:p>
    <w:p w14:paraId="124CC752">
      <w:pPr>
        <w:ind w:firstLine="420"/>
        <w:rPr>
          <w:rFonts w:ascii="宋体" w:hAnsi="宋体"/>
          <w:szCs w:val="21"/>
        </w:rPr>
      </w:pPr>
      <w:r>
        <w:rPr>
          <w:rFonts w:hint="eastAsia" w:ascii="宋体" w:hAnsi="宋体"/>
          <w:szCs w:val="21"/>
        </w:rPr>
        <w:t>塘山村属、塘山、新村、白头背、水井、下孔、黄土仑、枫树窝、河地、中心塅、楠木坪、上孔、茶树坳、老虎板、廖地、山背。</w:t>
      </w:r>
    </w:p>
    <w:p w14:paraId="1F7D312A">
      <w:pPr>
        <w:ind w:firstLine="420"/>
        <w:rPr>
          <w:rFonts w:ascii="宋体" w:hAnsi="宋体"/>
          <w:szCs w:val="21"/>
        </w:rPr>
      </w:pPr>
      <w:r>
        <w:rPr>
          <w:rFonts w:hint="eastAsia" w:ascii="宋体" w:hAnsi="宋体"/>
          <w:szCs w:val="21"/>
        </w:rPr>
        <w:t>高峰村属：大水头、黄屋、老围、梨树头下、观音坪、斋塘围、青峰山、学前、梁书洞村坑、张屋、田心、寨子背、灌湖、塘坪山、虎井坑。</w:t>
      </w:r>
    </w:p>
    <w:p w14:paraId="26BDF34D">
      <w:pPr>
        <w:ind w:firstLine="420"/>
        <w:rPr>
          <w:rFonts w:ascii="宋体" w:hAnsi="宋体"/>
          <w:szCs w:val="21"/>
        </w:rPr>
      </w:pPr>
      <w:r>
        <w:rPr>
          <w:rFonts w:hint="eastAsia" w:ascii="宋体" w:hAnsi="宋体"/>
          <w:szCs w:val="21"/>
        </w:rPr>
        <w:t>西坪村属：新屋场、坑屋、西泷老围、树坪陈屋、坎头下、朱屋。</w:t>
      </w:r>
    </w:p>
    <w:p w14:paraId="484AB43F">
      <w:pPr>
        <w:ind w:firstLine="420"/>
        <w:rPr>
          <w:rFonts w:ascii="宋体" w:hAnsi="宋体"/>
          <w:szCs w:val="21"/>
        </w:rPr>
      </w:pPr>
      <w:r>
        <w:rPr>
          <w:rFonts w:hint="eastAsia" w:ascii="宋体" w:hAnsi="宋体"/>
          <w:szCs w:val="21"/>
        </w:rPr>
        <w:t>西洞村属：水口、西坑、樟坪、竹园下、何屋、大塘邓屋、小乌社、乌社。</w:t>
      </w:r>
    </w:p>
    <w:p w14:paraId="2C46BBA2">
      <w:pPr>
        <w:ind w:firstLine="420"/>
        <w:rPr>
          <w:rFonts w:ascii="宋体" w:hAnsi="宋体"/>
          <w:szCs w:val="21"/>
        </w:rPr>
      </w:pPr>
      <w:r>
        <w:rPr>
          <w:rFonts w:hint="eastAsia" w:ascii="宋体" w:hAnsi="宋体"/>
          <w:szCs w:val="21"/>
        </w:rPr>
        <w:t>窑合村属：黄泥丘、下村头、老屋下、窑围、老村老屋、新屋、围项、邓洞、瓦窑岗、坪坑、罗屋、童屋、孔地陈屋、围项、十八担丘、小塘。</w:t>
      </w:r>
    </w:p>
    <w:p w14:paraId="513B1F87">
      <w:pPr>
        <w:ind w:firstLine="422"/>
        <w:rPr>
          <w:rFonts w:ascii="宋体" w:hAnsi="宋体"/>
          <w:b/>
          <w:szCs w:val="21"/>
        </w:rPr>
      </w:pPr>
      <w:r>
        <w:rPr>
          <w:rFonts w:hint="eastAsia" w:ascii="宋体" w:hAnsi="宋体"/>
          <w:b/>
          <w:szCs w:val="21"/>
        </w:rPr>
        <w:t>古市镇（</w:t>
      </w:r>
      <w:r>
        <w:rPr>
          <w:rFonts w:ascii="宋体" w:hAnsi="宋体"/>
          <w:b/>
          <w:szCs w:val="21"/>
        </w:rPr>
        <w:t>103个自然村</w:t>
      </w:r>
      <w:r>
        <w:rPr>
          <w:rFonts w:hint="eastAsia" w:ascii="宋体" w:hAnsi="宋体"/>
          <w:b/>
          <w:szCs w:val="21"/>
        </w:rPr>
        <w:t>）</w:t>
      </w:r>
    </w:p>
    <w:p w14:paraId="59B3D912">
      <w:pPr>
        <w:ind w:firstLine="420"/>
        <w:rPr>
          <w:rFonts w:ascii="宋体" w:hAnsi="宋体"/>
          <w:szCs w:val="21"/>
        </w:rPr>
      </w:pPr>
      <w:r>
        <w:rPr>
          <w:rFonts w:hint="eastAsia" w:ascii="宋体" w:hAnsi="宋体"/>
          <w:szCs w:val="21"/>
        </w:rPr>
        <w:t>丹布村属：古禄圩、丹布、下排、湖罗丘、长坑坝、新屋、石圳、油糟坑、山门。</w:t>
      </w:r>
    </w:p>
    <w:p w14:paraId="6B248AA8">
      <w:pPr>
        <w:ind w:firstLine="420"/>
        <w:rPr>
          <w:rFonts w:ascii="宋体" w:hAnsi="宋体"/>
          <w:szCs w:val="21"/>
        </w:rPr>
      </w:pPr>
      <w:r>
        <w:rPr>
          <w:rFonts w:hint="eastAsia" w:ascii="宋体" w:hAnsi="宋体"/>
          <w:szCs w:val="21"/>
        </w:rPr>
        <w:t>山角岭村属：新龙、李屋、赵屋、上排、下排。</w:t>
      </w:r>
    </w:p>
    <w:p w14:paraId="0980C622">
      <w:pPr>
        <w:ind w:firstLine="420"/>
        <w:rPr>
          <w:rFonts w:ascii="宋体" w:hAnsi="宋体"/>
          <w:szCs w:val="21"/>
        </w:rPr>
      </w:pPr>
      <w:r>
        <w:rPr>
          <w:rFonts w:hint="eastAsia" w:ascii="宋体" w:hAnsi="宋体"/>
          <w:szCs w:val="21"/>
        </w:rPr>
        <w:t>溪口村属：溪口、上溪口、糟坑、圳口、清水塘、社前、木莲坝、河角、王步水、珠辉头、天子印、石禾场。</w:t>
      </w:r>
    </w:p>
    <w:p w14:paraId="705C4C10">
      <w:pPr>
        <w:ind w:firstLine="420"/>
        <w:rPr>
          <w:rFonts w:ascii="宋体" w:hAnsi="宋体"/>
          <w:szCs w:val="21"/>
        </w:rPr>
      </w:pPr>
      <w:r>
        <w:rPr>
          <w:rFonts w:hint="eastAsia" w:ascii="宋体" w:hAnsi="宋体"/>
          <w:szCs w:val="21"/>
        </w:rPr>
        <w:t>丰源村属：塘尾、风源水老屋、莫屋、牛角岭、学堂岭、岭排、对门、上坪、中坪、沈屋、水坪、乾口岭、坝俚、黄茅坪黄屋、新村、刘屋。</w:t>
      </w:r>
    </w:p>
    <w:p w14:paraId="57BD89D1">
      <w:pPr>
        <w:ind w:firstLine="420"/>
        <w:rPr>
          <w:rFonts w:ascii="宋体" w:hAnsi="宋体"/>
          <w:szCs w:val="21"/>
        </w:rPr>
      </w:pPr>
      <w:r>
        <w:rPr>
          <w:rFonts w:hint="eastAsia" w:ascii="宋体" w:hAnsi="宋体"/>
          <w:szCs w:val="21"/>
        </w:rPr>
        <w:t>古市村属：柴岭风水塘、茅昌坪、高松山、禾场头、高屋、矮岭洞、卢屋、叶塘尾、坪坑鹧鸪</w:t>
      </w:r>
      <w:r>
        <w:rPr>
          <w:rFonts w:hint="eastAsia" w:ascii="宋体" w:hAnsi="宋体"/>
          <w:szCs w:val="21"/>
        </w:rPr>
        <w:drawing>
          <wp:inline distT="0" distB="0" distL="0" distR="0">
            <wp:extent cx="163830" cy="175895"/>
            <wp:effectExtent l="0" t="0" r="7620" b="14605"/>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noChangeArrowheads="1"/>
                    </pic:cNvPicPr>
                  </pic:nvPicPr>
                  <pic:blipFill>
                    <a:blip r:embed="rId190" cstate="print"/>
                    <a:srcRect/>
                    <a:stretch>
                      <a:fillRect/>
                    </a:stretch>
                  </pic:blipFill>
                  <pic:spPr>
                    <a:xfrm>
                      <a:off x="0" y="0"/>
                      <a:ext cx="163794" cy="176089"/>
                    </a:xfrm>
                    <a:prstGeom prst="rect">
                      <a:avLst/>
                    </a:prstGeom>
                    <a:noFill/>
                    <a:ln w="9525">
                      <a:noFill/>
                      <a:miter lim="800000"/>
                      <a:headEnd/>
                      <a:tailEnd/>
                    </a:ln>
                  </pic:spPr>
                </pic:pic>
              </a:graphicData>
            </a:graphic>
          </wp:inline>
        </w:drawing>
      </w:r>
      <w:r>
        <w:rPr>
          <w:rFonts w:hint="eastAsia" w:ascii="宋体" w:hAnsi="宋体"/>
          <w:szCs w:val="21"/>
        </w:rPr>
        <w:t>、石塘、大岭、对门岭、下村、横田塍。</w:t>
      </w:r>
    </w:p>
    <w:p w14:paraId="6F0934B6">
      <w:pPr>
        <w:ind w:firstLine="420"/>
        <w:rPr>
          <w:rFonts w:ascii="宋体" w:hAnsi="宋体"/>
          <w:szCs w:val="21"/>
        </w:rPr>
      </w:pPr>
      <w:r>
        <w:rPr>
          <w:rFonts w:hint="eastAsia" w:ascii="宋体" w:hAnsi="宋体"/>
          <w:szCs w:val="21"/>
        </w:rPr>
        <w:t>小坑村属：源头上围、下围、崩岗下、小坑江尾、黄屋、水坑、南坑、新地、犁头坌、双坑、官田、老屋家。</w:t>
      </w:r>
    </w:p>
    <w:p w14:paraId="06BA832B">
      <w:pPr>
        <w:ind w:firstLine="420"/>
        <w:rPr>
          <w:rFonts w:ascii="宋体" w:hAnsi="宋体"/>
          <w:szCs w:val="21"/>
        </w:rPr>
      </w:pPr>
      <w:r>
        <w:rPr>
          <w:rFonts w:hint="eastAsia" w:ascii="宋体" w:hAnsi="宋体"/>
          <w:szCs w:val="21"/>
        </w:rPr>
        <w:t>修仁村属：东厢铺、下修仁、刘屋、洋子塘、寺场、曾屋、新钟屋、上修仁大小洞、苍边、二水窝、岭头、村头、老屋家。</w:t>
      </w:r>
    </w:p>
    <w:p w14:paraId="131095F0">
      <w:pPr>
        <w:ind w:firstLine="420"/>
        <w:rPr>
          <w:rFonts w:ascii="宋体" w:hAnsi="宋体"/>
          <w:szCs w:val="21"/>
        </w:rPr>
      </w:pPr>
      <w:r>
        <w:rPr>
          <w:rFonts w:hint="eastAsia" w:ascii="宋体" w:hAnsi="宋体"/>
          <w:szCs w:val="21"/>
        </w:rPr>
        <w:t>修仁村属：东厢铺、下修仁、刘屋、洋子塘、寺场、曾屋、新钟屋、上修仁大小洞、苍边、二水窝、岭头、村头、老村头。</w:t>
      </w:r>
    </w:p>
    <w:p w14:paraId="357C3BE4">
      <w:pPr>
        <w:ind w:firstLine="422"/>
        <w:rPr>
          <w:rFonts w:ascii="宋体" w:hAnsi="宋体"/>
          <w:b/>
          <w:szCs w:val="21"/>
        </w:rPr>
      </w:pPr>
      <w:r>
        <w:rPr>
          <w:rFonts w:hint="eastAsia" w:ascii="宋体" w:hAnsi="宋体"/>
          <w:b/>
          <w:szCs w:val="21"/>
        </w:rPr>
        <w:t>全安乡（</w:t>
      </w:r>
      <w:r>
        <w:rPr>
          <w:rFonts w:ascii="宋体" w:hAnsi="宋体"/>
          <w:b/>
          <w:szCs w:val="21"/>
        </w:rPr>
        <w:t>158个自然村）</w:t>
      </w:r>
    </w:p>
    <w:p w14:paraId="20CC88C7">
      <w:pPr>
        <w:ind w:firstLine="420"/>
        <w:rPr>
          <w:rFonts w:ascii="宋体" w:hAnsi="宋体"/>
          <w:szCs w:val="21"/>
        </w:rPr>
      </w:pPr>
      <w:r>
        <w:rPr>
          <w:rFonts w:hint="eastAsia" w:ascii="宋体" w:hAnsi="宋体"/>
          <w:szCs w:val="21"/>
        </w:rPr>
        <w:t>苍石村属：前栋、桥头、下村、香粉厂、乱石坑、半迳水王屋、陈屋、连石、五斗岭、九曲岭、仁人掌、花洞、坦地、周地。</w:t>
      </w:r>
    </w:p>
    <w:p w14:paraId="19E1E014">
      <w:pPr>
        <w:ind w:firstLine="420"/>
        <w:rPr>
          <w:rFonts w:ascii="宋体" w:hAnsi="宋体"/>
          <w:szCs w:val="21"/>
        </w:rPr>
      </w:pPr>
      <w:r>
        <w:rPr>
          <w:rFonts w:hint="eastAsia" w:ascii="宋体" w:hAnsi="宋体"/>
          <w:szCs w:val="21"/>
        </w:rPr>
        <w:t>章禾洞村属：章禾洞、门前岭、斩坪、司公寮、高岭、四脑、章地、大坑。</w:t>
      </w:r>
    </w:p>
    <w:p w14:paraId="0070DDA5">
      <w:pPr>
        <w:ind w:firstLine="420"/>
        <w:rPr>
          <w:rFonts w:ascii="宋体" w:hAnsi="宋体"/>
          <w:szCs w:val="21"/>
        </w:rPr>
      </w:pPr>
      <w:r>
        <w:rPr>
          <w:rFonts w:hint="eastAsia" w:ascii="宋体" w:hAnsi="宋体"/>
          <w:szCs w:val="21"/>
        </w:rPr>
        <w:t>兰溪村属：兰溪、松树坑、凉地、文坑、梨树坑、深坑、东水山。</w:t>
      </w:r>
    </w:p>
    <w:p w14:paraId="22CC22BD">
      <w:pPr>
        <w:ind w:firstLine="420"/>
        <w:rPr>
          <w:rFonts w:ascii="宋体" w:hAnsi="宋体"/>
          <w:szCs w:val="21"/>
        </w:rPr>
      </w:pPr>
      <w:r>
        <w:rPr>
          <w:rFonts w:hint="eastAsia" w:ascii="宋体" w:hAnsi="宋体"/>
          <w:szCs w:val="21"/>
        </w:rPr>
        <w:t>大坪村属：大坪圩、大禾坪、章车水、市场、谢屋、苏屋、大塘丘、大坪是头、何屋、陈屋、塘坑老屋、高盆、福背、大陂水胡屋、欧屋、大坝。</w:t>
      </w:r>
    </w:p>
    <w:p w14:paraId="74DD6952">
      <w:pPr>
        <w:ind w:firstLine="420"/>
        <w:rPr>
          <w:rFonts w:ascii="宋体" w:hAnsi="宋体"/>
          <w:szCs w:val="21"/>
        </w:rPr>
      </w:pPr>
      <w:r>
        <w:rPr>
          <w:rFonts w:hint="eastAsia" w:ascii="宋体" w:hAnsi="宋体"/>
          <w:szCs w:val="21"/>
        </w:rPr>
        <w:t>全安村属：廓公岭、大塘岭、大岭俚、石头堆、牛旱塘、高地（曾用名高磊）、肖屋、营堡前、五连、瓦寮岗、暖水塘、田心。</w:t>
      </w:r>
    </w:p>
    <w:p w14:paraId="7BD1E9D9">
      <w:pPr>
        <w:ind w:firstLine="420"/>
        <w:rPr>
          <w:rFonts w:ascii="宋体" w:hAnsi="宋体"/>
          <w:szCs w:val="21"/>
        </w:rPr>
      </w:pPr>
      <w:r>
        <w:rPr>
          <w:rFonts w:hint="eastAsia" w:ascii="宋体" w:hAnsi="宋体"/>
          <w:szCs w:val="21"/>
        </w:rPr>
        <w:t>古塘村属：长岭头、上营、三枫、古塘、峰三坪、政塘。</w:t>
      </w:r>
    </w:p>
    <w:p w14:paraId="6D877636">
      <w:pPr>
        <w:ind w:firstLine="420"/>
        <w:rPr>
          <w:rFonts w:ascii="宋体" w:hAnsi="宋体"/>
          <w:szCs w:val="21"/>
        </w:rPr>
      </w:pPr>
      <w:r>
        <w:rPr>
          <w:rFonts w:hint="eastAsia" w:ascii="宋体" w:hAnsi="宋体"/>
          <w:szCs w:val="21"/>
        </w:rPr>
        <w:t>羊角村属：窑背头、琵琶岭、羊角岭、大坑塘、富村坪、岭头俚、土陂头。</w:t>
      </w:r>
    </w:p>
    <w:p w14:paraId="6E8DEB07">
      <w:pPr>
        <w:ind w:firstLine="420"/>
        <w:rPr>
          <w:rFonts w:ascii="宋体" w:hAnsi="宋体"/>
          <w:szCs w:val="21"/>
        </w:rPr>
      </w:pPr>
      <w:r>
        <w:rPr>
          <w:rFonts w:hint="eastAsia" w:ascii="宋体" w:hAnsi="宋体"/>
          <w:szCs w:val="21"/>
        </w:rPr>
        <w:t>王亭石村属：曾屋、旱岗、贵村、富岭、桐木岭、坳下、大坑。</w:t>
      </w:r>
    </w:p>
    <w:p w14:paraId="169C0DE1">
      <w:pPr>
        <w:ind w:firstLine="420"/>
        <w:rPr>
          <w:rFonts w:ascii="宋体" w:hAnsi="宋体"/>
          <w:szCs w:val="21"/>
        </w:rPr>
      </w:pPr>
      <w:r>
        <w:rPr>
          <w:rFonts w:hint="eastAsia" w:ascii="宋体" w:hAnsi="宋体"/>
          <w:szCs w:val="21"/>
        </w:rPr>
        <w:t>河塘村属：里岗岭、小水岭、严木村、上河塘、下河塘、河塘圩、竹头坑、岭背。</w:t>
      </w:r>
    </w:p>
    <w:p w14:paraId="337D760A">
      <w:pPr>
        <w:ind w:firstLine="420"/>
        <w:rPr>
          <w:rFonts w:ascii="宋体" w:hAnsi="宋体"/>
          <w:szCs w:val="21"/>
        </w:rPr>
      </w:pPr>
      <w:r>
        <w:rPr>
          <w:rFonts w:hint="eastAsia" w:ascii="宋体" w:hAnsi="宋体"/>
          <w:szCs w:val="21"/>
        </w:rPr>
        <w:t>杨历村属：社岭、黄泥塘、蛇头迳、西岸、下村、中村、连塘、山塘尾、菖蒲塘、黄塘坑、新坪村、上村、吊基岭、湖南石。</w:t>
      </w:r>
    </w:p>
    <w:p w14:paraId="5A3EE172">
      <w:pPr>
        <w:ind w:firstLine="420"/>
        <w:rPr>
          <w:rFonts w:ascii="宋体" w:hAnsi="宋体"/>
          <w:szCs w:val="21"/>
        </w:rPr>
      </w:pPr>
      <w:r>
        <w:rPr>
          <w:rFonts w:hint="eastAsia" w:ascii="宋体" w:hAnsi="宋体"/>
          <w:szCs w:val="21"/>
        </w:rPr>
        <w:t>陂头村属：莲塘坳、陂头、东江岭、东江坝、三福地、仕坑、珠坑、里溪水、长麻、白屋、狮头潭、麻土坳、细陂头、大塘坑、龙江坑、上黄岭、围脚下、转湾、下黄岭、张屋、林屋、新屋场、塘坑、麦山、老屋场、坑屋、官田坳。</w:t>
      </w:r>
    </w:p>
    <w:p w14:paraId="33270507">
      <w:pPr>
        <w:ind w:firstLine="420"/>
        <w:rPr>
          <w:rFonts w:ascii="宋体" w:hAnsi="宋体"/>
          <w:szCs w:val="21"/>
        </w:rPr>
      </w:pPr>
      <w:r>
        <w:rPr>
          <w:rFonts w:hint="eastAsia" w:ascii="宋体" w:hAnsi="宋体"/>
          <w:szCs w:val="21"/>
        </w:rPr>
        <w:t>艻迳村属：兴迳、细窝、荷树坑、白木水、神背、艻迳、长园、打铁排、兴塘、老石坑、下陂、桂花坪、网岭下。</w:t>
      </w:r>
    </w:p>
    <w:p w14:paraId="287FAA2E">
      <w:pPr>
        <w:ind w:firstLine="420"/>
        <w:rPr>
          <w:rFonts w:ascii="宋体" w:hAnsi="宋体"/>
          <w:szCs w:val="21"/>
        </w:rPr>
      </w:pPr>
      <w:r>
        <w:rPr>
          <w:rFonts w:hint="eastAsia" w:ascii="宋体" w:hAnsi="宋体"/>
          <w:szCs w:val="21"/>
        </w:rPr>
        <w:t>密下水村属：刘屋、石角湾、榕树下、廖屋、菜子坑、圩坝、黄屋、石光、上塘坝、坪江、谢地、南宋、城古岭谭屋、叶屋、下村坪、官田坳。</w:t>
      </w:r>
    </w:p>
    <w:p w14:paraId="79A2F5B5">
      <w:pPr>
        <w:ind w:firstLine="422"/>
        <w:rPr>
          <w:rFonts w:ascii="宋体" w:hAnsi="宋体"/>
          <w:b/>
          <w:szCs w:val="21"/>
        </w:rPr>
      </w:pPr>
      <w:r>
        <w:rPr>
          <w:rFonts w:hint="eastAsia" w:ascii="宋体" w:hAnsi="宋体"/>
          <w:b/>
          <w:szCs w:val="21"/>
        </w:rPr>
        <w:t>帽子峰乡（</w:t>
      </w:r>
      <w:r>
        <w:rPr>
          <w:rFonts w:ascii="宋体" w:hAnsi="宋体"/>
          <w:b/>
          <w:szCs w:val="21"/>
        </w:rPr>
        <w:t>84个自然村</w:t>
      </w:r>
      <w:r>
        <w:rPr>
          <w:rFonts w:hint="eastAsia" w:ascii="宋体" w:hAnsi="宋体"/>
          <w:b/>
          <w:szCs w:val="21"/>
        </w:rPr>
        <w:t>）</w:t>
      </w:r>
    </w:p>
    <w:p w14:paraId="6CD655DB">
      <w:pPr>
        <w:ind w:firstLine="420"/>
        <w:rPr>
          <w:rFonts w:ascii="宋体" w:hAnsi="宋体"/>
          <w:szCs w:val="21"/>
        </w:rPr>
      </w:pPr>
      <w:r>
        <w:rPr>
          <w:rFonts w:hint="eastAsia" w:ascii="宋体" w:hAnsi="宋体"/>
          <w:szCs w:val="21"/>
        </w:rPr>
        <w:t>富竹村属：富竹坑、富竹圩、潭溪纪屋、丁屋、富里、沙背江、万俚、外溪、河背、水南坝、新地坑、新洋地、洋地、冲下水、新坑尾、上坑黄屋、谭屋、含水石、黄沙坑坑尾、新屋、老屋、狮石、坪地刘屋、张屋、滩陂寨、小坑迳。</w:t>
      </w:r>
    </w:p>
    <w:p w14:paraId="0E5A8763">
      <w:pPr>
        <w:ind w:firstLine="420"/>
        <w:rPr>
          <w:rFonts w:ascii="宋体" w:hAnsi="宋体"/>
          <w:szCs w:val="21"/>
        </w:rPr>
      </w:pPr>
      <w:r>
        <w:rPr>
          <w:rFonts w:hint="eastAsia" w:ascii="宋体" w:hAnsi="宋体"/>
          <w:szCs w:val="21"/>
        </w:rPr>
        <w:t>洞头村属：新跃林场、三丘田、软脚湾、黄石街、坎头下、上芫头、锅厂村、坪岗、半源、崧头、桥头、河背、大村、窑下、中坋、张屋坪、高升、大秧坳、塘岗岭、洞头圩、碰田垅、荷树头下。</w:t>
      </w:r>
    </w:p>
    <w:p w14:paraId="2C4F5FB5">
      <w:pPr>
        <w:ind w:firstLine="420"/>
        <w:rPr>
          <w:rFonts w:ascii="宋体" w:hAnsi="宋体"/>
          <w:szCs w:val="21"/>
        </w:rPr>
      </w:pPr>
      <w:r>
        <w:rPr>
          <w:rFonts w:hint="eastAsia" w:ascii="宋体" w:hAnsi="宋体"/>
          <w:szCs w:val="21"/>
        </w:rPr>
        <w:t>坪山村属：坪山、河口、黄蜂坪、李坑、南塘、新南塘、陈屋、江屋、大芫、新村、老虎寨、油箩坑、乾村、偷鸡坑、王村、大田。</w:t>
      </w:r>
    </w:p>
    <w:p w14:paraId="6367C79C">
      <w:pPr>
        <w:ind w:firstLine="420"/>
        <w:rPr>
          <w:rFonts w:ascii="宋体" w:hAnsi="宋体"/>
          <w:szCs w:val="21"/>
        </w:rPr>
      </w:pPr>
      <w:r>
        <w:rPr>
          <w:rFonts w:hint="eastAsia" w:ascii="宋体" w:hAnsi="宋体"/>
          <w:szCs w:val="21"/>
        </w:rPr>
        <w:t>上垅村属：上垅、新坪井水塘、塘屋、塘头下、村俚、田心坝、王姜、早芫、竹山下、大村、田心俚、老屋下。</w:t>
      </w:r>
    </w:p>
    <w:p w14:paraId="7DB120FB">
      <w:pPr>
        <w:ind w:firstLine="420"/>
        <w:rPr>
          <w:rFonts w:ascii="宋体" w:hAnsi="宋体"/>
          <w:szCs w:val="21"/>
        </w:rPr>
      </w:pPr>
      <w:r>
        <w:rPr>
          <w:rFonts w:hint="eastAsia" w:ascii="宋体" w:hAnsi="宋体"/>
          <w:szCs w:val="21"/>
        </w:rPr>
        <w:t>梨树村属：梨树、赵坑、碰坑、东山丘、矮岭、黄土坋、上田坑、午坑。</w:t>
      </w:r>
    </w:p>
    <w:p w14:paraId="40F140DE">
      <w:pPr>
        <w:ind w:firstLine="422"/>
        <w:rPr>
          <w:rFonts w:ascii="宋体" w:hAnsi="宋体"/>
          <w:b/>
          <w:szCs w:val="21"/>
        </w:rPr>
      </w:pPr>
      <w:r>
        <w:rPr>
          <w:rFonts w:hint="eastAsia" w:ascii="宋体" w:hAnsi="宋体"/>
          <w:b/>
          <w:szCs w:val="21"/>
        </w:rPr>
        <w:t>澜河镇（</w:t>
      </w:r>
      <w:r>
        <w:rPr>
          <w:rFonts w:ascii="宋体" w:hAnsi="宋体"/>
          <w:b/>
          <w:szCs w:val="21"/>
        </w:rPr>
        <w:t>100个自然村）</w:t>
      </w:r>
    </w:p>
    <w:p w14:paraId="785B3E9F">
      <w:pPr>
        <w:ind w:firstLine="420"/>
        <w:rPr>
          <w:rFonts w:ascii="宋体" w:hAnsi="宋体"/>
          <w:szCs w:val="21"/>
        </w:rPr>
      </w:pPr>
      <w:r>
        <w:rPr>
          <w:rFonts w:hint="eastAsia" w:ascii="宋体" w:hAnsi="宋体"/>
          <w:szCs w:val="21"/>
        </w:rPr>
        <w:t>澜河村属：彭古王、下澜河、赤潭、马槽坳、锅坑、</w:t>
      </w:r>
      <w:r>
        <w:rPr>
          <w:rFonts w:hint="eastAsia" w:ascii="宋体" w:hAnsi="宋体"/>
          <w:szCs w:val="21"/>
        </w:rPr>
        <w:drawing>
          <wp:inline distT="0" distB="0" distL="0" distR="0">
            <wp:extent cx="198120" cy="180340"/>
            <wp:effectExtent l="0" t="0" r="11430" b="10160"/>
            <wp:docPr id="1"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79"/>
                    <pic:cNvPicPr>
                      <a:picLocks noChangeAspect="1" noChangeArrowheads="1"/>
                    </pic:cNvPicPr>
                  </pic:nvPicPr>
                  <pic:blipFill>
                    <a:blip r:embed="rId191" cstate="print"/>
                    <a:srcRect/>
                    <a:stretch>
                      <a:fillRect/>
                    </a:stretch>
                  </pic:blipFill>
                  <pic:spPr>
                    <a:xfrm>
                      <a:off x="0" y="0"/>
                      <a:ext cx="200614" cy="182401"/>
                    </a:xfrm>
                    <a:prstGeom prst="rect">
                      <a:avLst/>
                    </a:prstGeom>
                    <a:noFill/>
                    <a:ln w="9525">
                      <a:noFill/>
                      <a:miter lim="800000"/>
                      <a:headEnd/>
                      <a:tailEnd/>
                    </a:ln>
                  </pic:spPr>
                </pic:pic>
              </a:graphicData>
            </a:graphic>
          </wp:inline>
        </w:drawing>
      </w:r>
      <w:r>
        <w:rPr>
          <w:rFonts w:hint="eastAsia" w:ascii="宋体" w:hAnsi="宋体"/>
          <w:szCs w:val="21"/>
        </w:rPr>
        <w:t>头、石寨、上社、竹山背。</w:t>
      </w:r>
    </w:p>
    <w:p w14:paraId="17CF4AA1">
      <w:pPr>
        <w:ind w:firstLine="420"/>
        <w:rPr>
          <w:rFonts w:ascii="宋体" w:hAnsi="宋体"/>
          <w:szCs w:val="21"/>
        </w:rPr>
      </w:pPr>
      <w:r>
        <w:rPr>
          <w:rFonts w:hint="eastAsia" w:ascii="宋体" w:hAnsi="宋体"/>
          <w:szCs w:val="21"/>
        </w:rPr>
        <w:t>白云村属：上白云、官田、芒东坪、岩子石、小白、寺背垅、白云圩、李树丘、黄坑、下门楼、鱼口坑、虎鞋、鲜地。</w:t>
      </w:r>
    </w:p>
    <w:p w14:paraId="6A303E01">
      <w:pPr>
        <w:ind w:firstLine="420"/>
        <w:rPr>
          <w:rFonts w:ascii="宋体" w:hAnsi="宋体"/>
          <w:szCs w:val="21"/>
        </w:rPr>
      </w:pPr>
      <w:r>
        <w:rPr>
          <w:rFonts w:hint="eastAsia" w:ascii="宋体" w:hAnsi="宋体"/>
          <w:szCs w:val="21"/>
        </w:rPr>
        <w:t>葛坪村属：坦坪蔡屋、邱屋、曾屋、杉木岭、新厂、田心堂、李坑蓝地、大源、南坑、严屋、前岭、小水打鼓石、步边</w:t>
      </w:r>
      <w:r>
        <w:rPr>
          <w:rFonts w:hint="eastAsia" w:ascii="宋体" w:hAnsi="宋体"/>
          <w:szCs w:val="21"/>
        </w:rPr>
        <w:drawing>
          <wp:inline distT="0" distB="0" distL="0" distR="0">
            <wp:extent cx="202565" cy="239395"/>
            <wp:effectExtent l="0" t="0" r="6985" b="8255"/>
            <wp:docPr id="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82"/>
                    <pic:cNvPicPr>
                      <a:picLocks noChangeAspect="1" noChangeArrowheads="1"/>
                    </pic:cNvPicPr>
                  </pic:nvPicPr>
                  <pic:blipFill>
                    <a:blip r:embed="rId192" cstate="print"/>
                    <a:srcRect/>
                    <a:stretch>
                      <a:fillRect/>
                    </a:stretch>
                  </pic:blipFill>
                  <pic:spPr>
                    <a:xfrm>
                      <a:off x="0" y="0"/>
                      <a:ext cx="203881" cy="241326"/>
                    </a:xfrm>
                    <a:prstGeom prst="rect">
                      <a:avLst/>
                    </a:prstGeom>
                    <a:noFill/>
                    <a:ln w="9525">
                      <a:noFill/>
                      <a:miter lim="800000"/>
                      <a:headEnd/>
                      <a:tailEnd/>
                    </a:ln>
                  </pic:spPr>
                </pic:pic>
              </a:graphicData>
            </a:graphic>
          </wp:inline>
        </w:drawing>
      </w:r>
      <w:r>
        <w:rPr>
          <w:rFonts w:hint="eastAsia" w:ascii="宋体" w:hAnsi="宋体"/>
          <w:szCs w:val="21"/>
        </w:rPr>
        <w:t>、茶坪、亚</w:t>
      </w:r>
      <w:r>
        <w:rPr>
          <w:rFonts w:hint="eastAsia" w:ascii="宋体" w:hAnsi="宋体"/>
          <w:szCs w:val="21"/>
        </w:rPr>
        <w:drawing>
          <wp:inline distT="0" distB="0" distL="0" distR="0">
            <wp:extent cx="202565" cy="239395"/>
            <wp:effectExtent l="0" t="0" r="6985" b="8255"/>
            <wp:docPr id="25"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82"/>
                    <pic:cNvPicPr>
                      <a:picLocks noChangeAspect="1" noChangeArrowheads="1"/>
                    </pic:cNvPicPr>
                  </pic:nvPicPr>
                  <pic:blipFill>
                    <a:blip r:embed="rId192" cstate="print"/>
                    <a:srcRect/>
                    <a:stretch>
                      <a:fillRect/>
                    </a:stretch>
                  </pic:blipFill>
                  <pic:spPr>
                    <a:xfrm>
                      <a:off x="0" y="0"/>
                      <a:ext cx="203881" cy="241326"/>
                    </a:xfrm>
                    <a:prstGeom prst="rect">
                      <a:avLst/>
                    </a:prstGeom>
                    <a:noFill/>
                    <a:ln w="9525">
                      <a:noFill/>
                      <a:miter lim="800000"/>
                      <a:headEnd/>
                      <a:tailEnd/>
                    </a:ln>
                  </pic:spPr>
                </pic:pic>
              </a:graphicData>
            </a:graphic>
          </wp:inline>
        </w:drawing>
      </w:r>
      <w:r>
        <w:rPr>
          <w:rFonts w:hint="eastAsia" w:ascii="宋体" w:hAnsi="宋体"/>
          <w:szCs w:val="21"/>
        </w:rPr>
        <w:t>、连坑水、罗屋、东门坝、下村、沙前坝、黄地、葛坪、大湖山、黄草石、山塘尾、中地、里地、上洞坝、塔下、樟坑。</w:t>
      </w:r>
    </w:p>
    <w:p w14:paraId="46A2149E">
      <w:pPr>
        <w:ind w:firstLine="420"/>
        <w:rPr>
          <w:rFonts w:ascii="宋体" w:hAnsi="宋体"/>
          <w:szCs w:val="21"/>
        </w:rPr>
      </w:pPr>
      <w:r>
        <w:rPr>
          <w:rFonts w:hint="eastAsia" w:ascii="宋体" w:hAnsi="宋体"/>
          <w:szCs w:val="21"/>
        </w:rPr>
        <w:t>上</w:t>
      </w:r>
      <w:r>
        <w:rPr>
          <w:rFonts w:hint="eastAsia" w:ascii="宋体" w:hAnsi="宋体"/>
          <w:szCs w:val="21"/>
        </w:rPr>
        <w:drawing>
          <wp:inline distT="0" distB="0" distL="0" distR="0">
            <wp:extent cx="198120" cy="180340"/>
            <wp:effectExtent l="0" t="0" r="11430" b="10160"/>
            <wp:docPr id="26"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79"/>
                    <pic:cNvPicPr>
                      <a:picLocks noChangeAspect="1" noChangeArrowheads="1"/>
                    </pic:cNvPicPr>
                  </pic:nvPicPr>
                  <pic:blipFill>
                    <a:blip r:embed="rId191" cstate="print"/>
                    <a:srcRect/>
                    <a:stretch>
                      <a:fillRect/>
                    </a:stretch>
                  </pic:blipFill>
                  <pic:spPr>
                    <a:xfrm>
                      <a:off x="0" y="0"/>
                      <a:ext cx="200614" cy="182401"/>
                    </a:xfrm>
                    <a:prstGeom prst="rect">
                      <a:avLst/>
                    </a:prstGeom>
                    <a:noFill/>
                    <a:ln w="9525">
                      <a:noFill/>
                      <a:miter lim="800000"/>
                      <a:headEnd/>
                      <a:tailEnd/>
                    </a:ln>
                  </pic:spPr>
                </pic:pic>
              </a:graphicData>
            </a:graphic>
          </wp:inline>
        </w:drawing>
      </w:r>
      <w:r>
        <w:rPr>
          <w:rFonts w:hint="eastAsia" w:ascii="宋体" w:hAnsi="宋体"/>
          <w:szCs w:val="21"/>
        </w:rPr>
        <w:t>村属：上</w:t>
      </w:r>
      <w:r>
        <w:rPr>
          <w:rFonts w:hint="eastAsia" w:ascii="宋体" w:hAnsi="宋体"/>
          <w:szCs w:val="21"/>
        </w:rPr>
        <w:drawing>
          <wp:inline distT="0" distB="0" distL="0" distR="0">
            <wp:extent cx="198120" cy="180340"/>
            <wp:effectExtent l="0" t="0" r="11430" b="10160"/>
            <wp:docPr id="27"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79"/>
                    <pic:cNvPicPr>
                      <a:picLocks noChangeAspect="1" noChangeArrowheads="1"/>
                    </pic:cNvPicPr>
                  </pic:nvPicPr>
                  <pic:blipFill>
                    <a:blip r:embed="rId191" cstate="print"/>
                    <a:srcRect/>
                    <a:stretch>
                      <a:fillRect/>
                    </a:stretch>
                  </pic:blipFill>
                  <pic:spPr>
                    <a:xfrm>
                      <a:off x="0" y="0"/>
                      <a:ext cx="200614" cy="182401"/>
                    </a:xfrm>
                    <a:prstGeom prst="rect">
                      <a:avLst/>
                    </a:prstGeom>
                    <a:noFill/>
                    <a:ln w="9525">
                      <a:noFill/>
                      <a:miter lim="800000"/>
                      <a:headEnd/>
                      <a:tailEnd/>
                    </a:ln>
                  </pic:spPr>
                </pic:pic>
              </a:graphicData>
            </a:graphic>
          </wp:inline>
        </w:drawing>
      </w:r>
      <w:r>
        <w:rPr>
          <w:rFonts w:hint="eastAsia" w:ascii="宋体" w:hAnsi="宋体"/>
          <w:szCs w:val="21"/>
        </w:rPr>
        <w:t>、酒盏岗、篓竹山、茅坪、刘屋、石丘、降子头、黄岸、零塅、高岗、白石坳、东亨社、山贝、大塅、炮路头、下</w:t>
      </w:r>
      <w:r>
        <w:rPr>
          <w:rFonts w:hint="eastAsia" w:ascii="宋体" w:hAnsi="宋体"/>
          <w:szCs w:val="21"/>
        </w:rPr>
        <w:drawing>
          <wp:inline distT="0" distB="0" distL="0" distR="0">
            <wp:extent cx="198120" cy="180340"/>
            <wp:effectExtent l="0" t="0" r="11430" b="10160"/>
            <wp:docPr id="28"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79"/>
                    <pic:cNvPicPr>
                      <a:picLocks noChangeAspect="1" noChangeArrowheads="1"/>
                    </pic:cNvPicPr>
                  </pic:nvPicPr>
                  <pic:blipFill>
                    <a:blip r:embed="rId191" cstate="print"/>
                    <a:srcRect/>
                    <a:stretch>
                      <a:fillRect/>
                    </a:stretch>
                  </pic:blipFill>
                  <pic:spPr>
                    <a:xfrm>
                      <a:off x="0" y="0"/>
                      <a:ext cx="200614" cy="182401"/>
                    </a:xfrm>
                    <a:prstGeom prst="rect">
                      <a:avLst/>
                    </a:prstGeom>
                    <a:noFill/>
                    <a:ln w="9525">
                      <a:noFill/>
                      <a:miter lim="800000"/>
                      <a:headEnd/>
                      <a:tailEnd/>
                    </a:ln>
                  </pic:spPr>
                </pic:pic>
              </a:graphicData>
            </a:graphic>
          </wp:inline>
        </w:drawing>
      </w:r>
      <w:r>
        <w:rPr>
          <w:rFonts w:hint="eastAsia" w:ascii="宋体" w:hAnsi="宋体"/>
          <w:szCs w:val="21"/>
        </w:rPr>
        <w:t>陈屋、鹅公湾、老屋、河背、白芒洞、台头、大眼形、刘屋、黄屋、台板山、洋古脑、大山。</w:t>
      </w:r>
    </w:p>
    <w:p w14:paraId="090F249B">
      <w:pPr>
        <w:ind w:firstLine="420"/>
        <w:rPr>
          <w:rFonts w:ascii="宋体" w:hAnsi="宋体"/>
          <w:szCs w:val="21"/>
        </w:rPr>
      </w:pPr>
      <w:r>
        <w:rPr>
          <w:rFonts w:hint="eastAsia" w:ascii="宋体" w:hAnsi="宋体"/>
          <w:szCs w:val="21"/>
        </w:rPr>
        <w:t>上澜村属：寨湾、上澜河、月塘坑、李公洞、谢屋、惊洞、牛嘛坑、凿树湾、大江洞、烂屋、牛</w:t>
      </w:r>
      <w:r>
        <w:rPr>
          <w:rFonts w:hint="eastAsia" w:ascii="宋体" w:hAnsi="宋体"/>
          <w:szCs w:val="21"/>
        </w:rPr>
        <w:drawing>
          <wp:inline distT="0" distB="0" distL="0" distR="0">
            <wp:extent cx="198120" cy="180340"/>
            <wp:effectExtent l="0" t="0" r="11430" b="10160"/>
            <wp:docPr id="2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79"/>
                    <pic:cNvPicPr>
                      <a:picLocks noChangeAspect="1" noChangeArrowheads="1"/>
                    </pic:cNvPicPr>
                  </pic:nvPicPr>
                  <pic:blipFill>
                    <a:blip r:embed="rId191" cstate="print"/>
                    <a:srcRect/>
                    <a:stretch>
                      <a:fillRect/>
                    </a:stretch>
                  </pic:blipFill>
                  <pic:spPr>
                    <a:xfrm>
                      <a:off x="0" y="0"/>
                      <a:ext cx="200614" cy="182401"/>
                    </a:xfrm>
                    <a:prstGeom prst="rect">
                      <a:avLst/>
                    </a:prstGeom>
                    <a:noFill/>
                    <a:ln w="9525">
                      <a:noFill/>
                      <a:miter lim="800000"/>
                      <a:headEnd/>
                      <a:tailEnd/>
                    </a:ln>
                  </pic:spPr>
                </pic:pic>
              </a:graphicData>
            </a:graphic>
          </wp:inline>
        </w:drawing>
      </w:r>
      <w:r>
        <w:rPr>
          <w:rFonts w:hint="eastAsia" w:ascii="宋体" w:hAnsi="宋体"/>
          <w:szCs w:val="21"/>
        </w:rPr>
        <w:t>下杨屋、分水坳、坦地、小官田。</w:t>
      </w:r>
    </w:p>
    <w:p w14:paraId="581B13B6">
      <w:pPr>
        <w:ind w:firstLine="420"/>
        <w:rPr>
          <w:rFonts w:ascii="宋体" w:hAnsi="宋体"/>
          <w:szCs w:val="21"/>
        </w:rPr>
      </w:pPr>
      <w:r>
        <w:rPr>
          <w:rFonts w:hint="eastAsia" w:ascii="宋体" w:hAnsi="宋体"/>
          <w:szCs w:val="21"/>
        </w:rPr>
        <w:t>洞底村属：罗屋、坑头、高坪头、鱼地、龙坳头、中洞李屋、张屋、西坑。</w:t>
      </w:r>
    </w:p>
    <w:p w14:paraId="493074E7">
      <w:pPr>
        <w:ind w:firstLine="422"/>
        <w:rPr>
          <w:rFonts w:ascii="宋体" w:hAnsi="宋体"/>
          <w:b/>
          <w:szCs w:val="21"/>
        </w:rPr>
      </w:pPr>
      <w:r>
        <w:rPr>
          <w:rFonts w:hint="eastAsia" w:ascii="宋体" w:hAnsi="宋体"/>
          <w:b/>
          <w:szCs w:val="21"/>
        </w:rPr>
        <w:t>百顺镇（</w:t>
      </w:r>
      <w:r>
        <w:rPr>
          <w:rFonts w:ascii="宋体" w:hAnsi="宋体"/>
          <w:b/>
          <w:szCs w:val="21"/>
        </w:rPr>
        <w:t>116个自然村</w:t>
      </w:r>
      <w:r>
        <w:rPr>
          <w:rFonts w:hint="eastAsia" w:ascii="宋体" w:hAnsi="宋体"/>
          <w:b/>
          <w:szCs w:val="21"/>
        </w:rPr>
        <w:t>）</w:t>
      </w:r>
    </w:p>
    <w:p w14:paraId="2426486A">
      <w:pPr>
        <w:ind w:firstLine="420"/>
        <w:rPr>
          <w:rFonts w:ascii="宋体" w:hAnsi="宋体"/>
          <w:szCs w:val="21"/>
        </w:rPr>
      </w:pPr>
      <w:r>
        <w:rPr>
          <w:rFonts w:hint="eastAsia" w:ascii="宋体" w:hAnsi="宋体"/>
          <w:szCs w:val="21"/>
        </w:rPr>
        <w:t>百顺村属：百顺圩、村前、李屋、麦营、三角丘、石溪水（曾用名全溪）、鱼塘、蛇头</w:t>
      </w:r>
      <w:r>
        <w:rPr>
          <w:rFonts w:hint="eastAsia" w:ascii="宋体" w:hAnsi="宋体"/>
          <w:szCs w:val="21"/>
        </w:rPr>
        <w:drawing>
          <wp:inline distT="0" distB="0" distL="0" distR="0">
            <wp:extent cx="202565" cy="239395"/>
            <wp:effectExtent l="0" t="0" r="6985" b="8255"/>
            <wp:docPr id="30"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82"/>
                    <pic:cNvPicPr>
                      <a:picLocks noChangeAspect="1" noChangeArrowheads="1"/>
                    </pic:cNvPicPr>
                  </pic:nvPicPr>
                  <pic:blipFill>
                    <a:blip r:embed="rId192" cstate="print"/>
                    <a:srcRect/>
                    <a:stretch>
                      <a:fillRect/>
                    </a:stretch>
                  </pic:blipFill>
                  <pic:spPr>
                    <a:xfrm>
                      <a:off x="0" y="0"/>
                      <a:ext cx="203881" cy="241326"/>
                    </a:xfrm>
                    <a:prstGeom prst="rect">
                      <a:avLst/>
                    </a:prstGeom>
                    <a:noFill/>
                    <a:ln w="9525">
                      <a:noFill/>
                      <a:miter lim="800000"/>
                      <a:headEnd/>
                      <a:tailEnd/>
                    </a:ln>
                  </pic:spPr>
                </pic:pic>
              </a:graphicData>
            </a:graphic>
          </wp:inline>
        </w:drawing>
      </w:r>
      <w:r>
        <w:rPr>
          <w:rFonts w:hint="eastAsia" w:ascii="宋体" w:hAnsi="宋体"/>
          <w:szCs w:val="21"/>
        </w:rPr>
        <w:t>、屋场、黄屋城、何屋、新屋（曾用名下岭场）、坌洞、老屋、上黄洞迳、下黄洞迳、坪头</w:t>
      </w:r>
      <w:r>
        <w:rPr>
          <w:rFonts w:hint="eastAsia" w:ascii="宋体" w:hAnsi="宋体"/>
          <w:szCs w:val="21"/>
        </w:rPr>
        <w:drawing>
          <wp:inline distT="0" distB="0" distL="0" distR="0">
            <wp:extent cx="202565" cy="239395"/>
            <wp:effectExtent l="0" t="0" r="6985" b="8255"/>
            <wp:docPr id="31"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82"/>
                    <pic:cNvPicPr>
                      <a:picLocks noChangeAspect="1" noChangeArrowheads="1"/>
                    </pic:cNvPicPr>
                  </pic:nvPicPr>
                  <pic:blipFill>
                    <a:blip r:embed="rId192" cstate="print"/>
                    <a:srcRect/>
                    <a:stretch>
                      <a:fillRect/>
                    </a:stretch>
                  </pic:blipFill>
                  <pic:spPr>
                    <a:xfrm>
                      <a:off x="0" y="0"/>
                      <a:ext cx="203881" cy="241326"/>
                    </a:xfrm>
                    <a:prstGeom prst="rect">
                      <a:avLst/>
                    </a:prstGeom>
                    <a:noFill/>
                    <a:ln w="9525">
                      <a:noFill/>
                      <a:miter lim="800000"/>
                      <a:headEnd/>
                      <a:tailEnd/>
                    </a:ln>
                  </pic:spPr>
                </pic:pic>
              </a:graphicData>
            </a:graphic>
          </wp:inline>
        </w:drawing>
      </w:r>
      <w:r>
        <w:rPr>
          <w:rFonts w:hint="eastAsia" w:ascii="宋体" w:hAnsi="宋体"/>
          <w:szCs w:val="21"/>
        </w:rPr>
        <w:t>、大水迳、马洞、大片、金狮水、吊钟寨、河洞山、沙坑、马尾丘、沙前。</w:t>
      </w:r>
    </w:p>
    <w:p w14:paraId="43D215BB">
      <w:pPr>
        <w:ind w:firstLine="420"/>
        <w:rPr>
          <w:rFonts w:ascii="宋体" w:hAnsi="宋体"/>
          <w:szCs w:val="21"/>
        </w:rPr>
      </w:pPr>
      <w:r>
        <w:rPr>
          <w:rFonts w:hint="eastAsia" w:ascii="宋体" w:hAnsi="宋体"/>
          <w:szCs w:val="21"/>
        </w:rPr>
        <w:t>尚睦村属：游屋、上张、上门、下门、尚睦（曾用名上木）、甘地何屋、芒秆坝。</w:t>
      </w:r>
    </w:p>
    <w:p w14:paraId="084D7C40">
      <w:pPr>
        <w:ind w:firstLine="420"/>
        <w:rPr>
          <w:rFonts w:ascii="宋体" w:hAnsi="宋体"/>
          <w:szCs w:val="21"/>
        </w:rPr>
      </w:pPr>
      <w:r>
        <w:rPr>
          <w:rFonts w:hint="eastAsia" w:ascii="宋体" w:hAnsi="宋体"/>
          <w:szCs w:val="21"/>
        </w:rPr>
        <w:t>朱安村属：朱安塘、竹垅、黄溪、水石、钟屋、塘头、高背岭、小梅洞、杉木</w:t>
      </w:r>
      <w:r>
        <w:rPr>
          <w:rFonts w:hint="eastAsia" w:ascii="宋体" w:hAnsi="宋体"/>
          <w:szCs w:val="21"/>
        </w:rPr>
        <w:drawing>
          <wp:inline distT="0" distB="0" distL="0" distR="0">
            <wp:extent cx="202565" cy="239395"/>
            <wp:effectExtent l="0" t="0" r="6985" b="8255"/>
            <wp:docPr id="160"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82"/>
                    <pic:cNvPicPr>
                      <a:picLocks noChangeAspect="1" noChangeArrowheads="1"/>
                    </pic:cNvPicPr>
                  </pic:nvPicPr>
                  <pic:blipFill>
                    <a:blip r:embed="rId192" cstate="print"/>
                    <a:srcRect/>
                    <a:stretch>
                      <a:fillRect/>
                    </a:stretch>
                  </pic:blipFill>
                  <pic:spPr>
                    <a:xfrm>
                      <a:off x="0" y="0"/>
                      <a:ext cx="203881" cy="241326"/>
                    </a:xfrm>
                    <a:prstGeom prst="rect">
                      <a:avLst/>
                    </a:prstGeom>
                    <a:noFill/>
                    <a:ln w="9525">
                      <a:noFill/>
                      <a:miter lim="800000"/>
                      <a:headEnd/>
                      <a:tailEnd/>
                    </a:ln>
                  </pic:spPr>
                </pic:pic>
              </a:graphicData>
            </a:graphic>
          </wp:inline>
        </w:drawing>
      </w:r>
      <w:r>
        <w:rPr>
          <w:rFonts w:hint="eastAsia" w:ascii="宋体" w:hAnsi="宋体"/>
          <w:szCs w:val="21"/>
        </w:rPr>
        <w:t>、东溪水。</w:t>
      </w:r>
    </w:p>
    <w:p w14:paraId="01A6A8C5">
      <w:pPr>
        <w:ind w:firstLine="420"/>
        <w:rPr>
          <w:rFonts w:ascii="宋体" w:hAnsi="宋体"/>
          <w:szCs w:val="21"/>
        </w:rPr>
      </w:pPr>
      <w:r>
        <w:rPr>
          <w:rFonts w:hint="eastAsia" w:ascii="宋体" w:hAnsi="宋体"/>
          <w:szCs w:val="21"/>
        </w:rPr>
        <w:t>杨梅村属：杨梅洞华屋、谢屋、瓦寮洞、雷屋、黄屋、上市园、丁洞、盘龙山、黄茅坳、朝阳寔、茶树片、蛇头</w:t>
      </w:r>
      <w:r>
        <w:rPr>
          <w:rFonts w:hint="eastAsia" w:ascii="宋体" w:hAnsi="宋体"/>
          <w:szCs w:val="21"/>
        </w:rPr>
        <w:drawing>
          <wp:inline distT="0" distB="0" distL="0" distR="0">
            <wp:extent cx="202565" cy="239395"/>
            <wp:effectExtent l="0" t="0" r="6985" b="8255"/>
            <wp:docPr id="161"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82"/>
                    <pic:cNvPicPr>
                      <a:picLocks noChangeAspect="1" noChangeArrowheads="1"/>
                    </pic:cNvPicPr>
                  </pic:nvPicPr>
                  <pic:blipFill>
                    <a:blip r:embed="rId192" cstate="print"/>
                    <a:srcRect/>
                    <a:stretch>
                      <a:fillRect/>
                    </a:stretch>
                  </pic:blipFill>
                  <pic:spPr>
                    <a:xfrm>
                      <a:off x="0" y="0"/>
                      <a:ext cx="203881" cy="241326"/>
                    </a:xfrm>
                    <a:prstGeom prst="rect">
                      <a:avLst/>
                    </a:prstGeom>
                    <a:noFill/>
                    <a:ln w="9525">
                      <a:noFill/>
                      <a:miter lim="800000"/>
                      <a:headEnd/>
                      <a:tailEnd/>
                    </a:ln>
                  </pic:spPr>
                </pic:pic>
              </a:graphicData>
            </a:graphic>
          </wp:inline>
        </w:drawing>
      </w:r>
      <w:r>
        <w:rPr>
          <w:rFonts w:hint="eastAsia" w:ascii="宋体" w:hAnsi="宋体"/>
          <w:szCs w:val="21"/>
        </w:rPr>
        <w:t>。</w:t>
      </w:r>
    </w:p>
    <w:p w14:paraId="645B76CC">
      <w:pPr>
        <w:ind w:firstLine="420"/>
        <w:rPr>
          <w:rFonts w:ascii="宋体" w:hAnsi="宋体"/>
          <w:szCs w:val="21"/>
        </w:rPr>
      </w:pPr>
      <w:r>
        <w:rPr>
          <w:rFonts w:hint="eastAsia" w:ascii="宋体" w:hAnsi="宋体"/>
          <w:szCs w:val="21"/>
        </w:rPr>
        <w:t>湖地村属：水源、河背、吴屋、彭屋、陈屋、新屋、大风头、白源洞、犬门场、百麻坑、石围、甘屋、湖地上屋、下门、上门、山石水、马洞。</w:t>
      </w:r>
    </w:p>
    <w:p w14:paraId="6895B192">
      <w:pPr>
        <w:ind w:firstLine="420"/>
        <w:rPr>
          <w:rFonts w:ascii="宋体" w:hAnsi="宋体"/>
          <w:szCs w:val="21"/>
        </w:rPr>
      </w:pPr>
      <w:r>
        <w:rPr>
          <w:rFonts w:hint="eastAsia" w:ascii="宋体" w:hAnsi="宋体"/>
          <w:szCs w:val="21"/>
        </w:rPr>
        <w:t>大沙洲村属：寨地、钟屋、饶屋、塘面、丰麻坳、罗新地、山塘、大沙洲、耍坑、天弓湾、罗坑、罗坑洞。</w:t>
      </w:r>
    </w:p>
    <w:p w14:paraId="10BBB41B">
      <w:pPr>
        <w:ind w:firstLine="420"/>
        <w:rPr>
          <w:rFonts w:ascii="宋体" w:hAnsi="宋体"/>
          <w:szCs w:val="21"/>
        </w:rPr>
      </w:pPr>
      <w:r>
        <w:rPr>
          <w:rFonts w:hint="eastAsia" w:ascii="宋体" w:hAnsi="宋体"/>
          <w:szCs w:val="21"/>
        </w:rPr>
        <w:t>溪头村属：溪头、何洞、低应埂、廖岭、老村、下洞水、上南山、下南山、官社、撩寔、三角丘、坳头、河唇、东坑胡屋、叶屋、高坎头新屋、老屋、寨背、猪婆潭、窑下、松树塘。</w:t>
      </w:r>
    </w:p>
    <w:p w14:paraId="75CE90AD">
      <w:pPr>
        <w:ind w:firstLine="420"/>
        <w:rPr>
          <w:rFonts w:ascii="宋体" w:hAnsi="宋体"/>
          <w:szCs w:val="21"/>
        </w:rPr>
      </w:pPr>
      <w:r>
        <w:rPr>
          <w:rFonts w:hint="eastAsia" w:ascii="宋体" w:hAnsi="宋体"/>
          <w:szCs w:val="21"/>
        </w:rPr>
        <w:t>邓洞村属：塘坑丘、邓洞湾俚、芹菜塘、饮水岭、墨溪、沉洞、新地黄屋、朱屋、曾屋。</w:t>
      </w:r>
    </w:p>
    <w:p w14:paraId="5533198A">
      <w:pPr>
        <w:pStyle w:val="3"/>
        <w:rPr>
          <w:rFonts w:ascii="宋体" w:hAnsi="宋体"/>
        </w:rPr>
      </w:pPr>
      <w:r>
        <w:rPr>
          <w:rFonts w:hint="eastAsia" w:ascii="宋体" w:hAnsi="宋体"/>
        </w:rPr>
        <w:t>第二章  自然环境</w:t>
      </w:r>
    </w:p>
    <w:p w14:paraId="1B1D58A0">
      <w:pPr>
        <w:pStyle w:val="4"/>
        <w:rPr>
          <w:rFonts w:ascii="宋体" w:hAnsi="宋体"/>
        </w:rPr>
      </w:pPr>
      <w:r>
        <w:rPr>
          <w:rFonts w:hint="eastAsia" w:ascii="宋体" w:hAnsi="宋体"/>
        </w:rPr>
        <w:t>第一节  自然地理</w:t>
      </w:r>
    </w:p>
    <w:p w14:paraId="7CE58554">
      <w:pPr>
        <w:pStyle w:val="5"/>
        <w:rPr>
          <w:rFonts w:ascii="宋体" w:hAnsi="宋体"/>
        </w:rPr>
      </w:pPr>
      <w:r>
        <w:rPr>
          <w:rFonts w:hint="eastAsia" w:ascii="宋体" w:hAnsi="宋体"/>
        </w:rPr>
        <w:t>一、地质地貌</w:t>
      </w:r>
    </w:p>
    <w:p w14:paraId="0C6BE252">
      <w:pPr>
        <w:ind w:firstLine="422"/>
        <w:rPr>
          <w:rFonts w:ascii="宋体" w:hAnsi="宋体"/>
          <w:b/>
          <w:szCs w:val="21"/>
        </w:rPr>
      </w:pPr>
      <w:r>
        <w:rPr>
          <w:rFonts w:hint="eastAsia" w:ascii="宋体" w:hAnsi="宋体"/>
          <w:b/>
          <w:szCs w:val="21"/>
        </w:rPr>
        <w:t>（一）地质构造</w:t>
      </w:r>
    </w:p>
    <w:p w14:paraId="1A7C5AFE">
      <w:pPr>
        <w:ind w:firstLine="420"/>
        <w:rPr>
          <w:rFonts w:ascii="宋体" w:hAnsi="宋体"/>
          <w:szCs w:val="21"/>
        </w:rPr>
      </w:pPr>
      <w:r>
        <w:rPr>
          <w:rFonts w:hint="eastAsia" w:ascii="宋体" w:hAnsi="宋体"/>
          <w:szCs w:val="21"/>
        </w:rPr>
        <w:t>市境地质属燕山期花岗岩体及寒武纪震旦纪变质岩体。中部盆地在</w:t>
      </w:r>
      <w:r>
        <w:rPr>
          <w:rFonts w:ascii="宋体" w:hAnsi="宋体"/>
          <w:szCs w:val="21"/>
        </w:rPr>
        <w:t>2亿年前是个</w:t>
      </w:r>
      <w:r>
        <w:rPr>
          <w:rFonts w:hint="eastAsia" w:ascii="宋体" w:hAnsi="宋体"/>
          <w:szCs w:val="21"/>
        </w:rPr>
        <w:t>大淡水湖，</w:t>
      </w:r>
      <w:r>
        <w:rPr>
          <w:rFonts w:ascii="宋体" w:hAnsi="宋体"/>
          <w:szCs w:val="21"/>
        </w:rPr>
        <w:t>7000万年前干涸成陆地，属中生代白垩纪紫色砂页岩体。在紫色砂页岩</w:t>
      </w:r>
      <w:r>
        <w:rPr>
          <w:rFonts w:hint="eastAsia" w:ascii="宋体" w:hAnsi="宋体"/>
          <w:szCs w:val="21"/>
        </w:rPr>
        <w:t>上面间或分布有新生代第四纪卵石层和网纹状红土，在盆地周围与低山丘陵之间或分布有老第三纪红色岩系。</w:t>
      </w:r>
    </w:p>
    <w:p w14:paraId="3FB9975B">
      <w:pPr>
        <w:ind w:firstLine="422"/>
        <w:rPr>
          <w:rFonts w:ascii="宋体" w:hAnsi="宋体"/>
          <w:b/>
          <w:szCs w:val="21"/>
        </w:rPr>
      </w:pPr>
      <w:r>
        <w:rPr>
          <w:rFonts w:hint="eastAsia" w:ascii="宋体" w:hAnsi="宋体"/>
          <w:b/>
          <w:szCs w:val="21"/>
        </w:rPr>
        <w:t>（二）地层</w:t>
      </w:r>
    </w:p>
    <w:p w14:paraId="4AA4CB26">
      <w:pPr>
        <w:ind w:firstLine="420"/>
        <w:rPr>
          <w:rFonts w:ascii="宋体" w:hAnsi="宋体"/>
          <w:szCs w:val="21"/>
        </w:rPr>
      </w:pPr>
      <w:r>
        <w:rPr>
          <w:rFonts w:hint="eastAsia" w:ascii="宋体" w:hAnsi="宋体"/>
          <w:szCs w:val="21"/>
        </w:rPr>
        <w:t>早在元古代的震旦纪受到地质构造吕梁运动的作用，市境东北部油山茶坪岌一带形成了云母片岩，这是南雄最早的变质岩体。在此以后的地层有古生代的寒武纪、奥陶纪；古生代的石炭纪、二叠纪，中生代的三叠纪、侏罗纪、白垩纪，新生代的老第三纪、第四纪。</w:t>
      </w:r>
    </w:p>
    <w:p w14:paraId="02F6889E">
      <w:pPr>
        <w:ind w:firstLine="420"/>
        <w:rPr>
          <w:rFonts w:ascii="宋体" w:hAnsi="宋体"/>
          <w:szCs w:val="21"/>
        </w:rPr>
      </w:pPr>
      <w:r>
        <w:rPr>
          <w:rFonts w:ascii="宋体" w:hAnsi="宋体"/>
          <w:szCs w:val="21"/>
        </w:rPr>
        <w:t>1.古生代寒武纪早、中、晚世和奥陶纪中晚世，在加里东运动影响下，分别形</w:t>
      </w:r>
      <w:r>
        <w:rPr>
          <w:rFonts w:hint="eastAsia" w:ascii="宋体" w:hAnsi="宋体"/>
          <w:szCs w:val="21"/>
        </w:rPr>
        <w:t>成砂岩、页岩、和硅质板岩、长石石英砂岩以及混合花岗岩，主要分布在帽子峰镇、澜河镇和主田镇、古市镇的山区。</w:t>
      </w:r>
    </w:p>
    <w:p w14:paraId="61B5860A">
      <w:pPr>
        <w:ind w:firstLine="420"/>
        <w:rPr>
          <w:rFonts w:ascii="宋体" w:hAnsi="宋体"/>
          <w:szCs w:val="21"/>
        </w:rPr>
      </w:pPr>
      <w:r>
        <w:rPr>
          <w:rFonts w:ascii="宋体" w:hAnsi="宋体"/>
          <w:szCs w:val="21"/>
        </w:rPr>
        <w:t>2.古生代石炭纪在海西运动作用下，形成石灰岩，主要分布在梅岭中部的雄余</w:t>
      </w:r>
      <w:r>
        <w:rPr>
          <w:rFonts w:hint="eastAsia" w:ascii="宋体" w:hAnsi="宋体"/>
          <w:szCs w:val="21"/>
        </w:rPr>
        <w:t>公路两侧，呈长条分布。</w:t>
      </w:r>
    </w:p>
    <w:p w14:paraId="5D9B656B">
      <w:pPr>
        <w:ind w:firstLine="420"/>
        <w:rPr>
          <w:rFonts w:ascii="宋体" w:hAnsi="宋体"/>
          <w:szCs w:val="21"/>
        </w:rPr>
      </w:pPr>
      <w:r>
        <w:rPr>
          <w:rFonts w:ascii="宋体" w:hAnsi="宋体"/>
          <w:szCs w:val="21"/>
        </w:rPr>
        <w:t>3.古生代二叠纪和中生代的三叠纪在海西、印支运动的作用下，在帽子峰镇形</w:t>
      </w:r>
      <w:r>
        <w:rPr>
          <w:rFonts w:hint="eastAsia" w:ascii="宋体" w:hAnsi="宋体"/>
          <w:szCs w:val="21"/>
        </w:rPr>
        <w:t>成连片石英二长岩。</w:t>
      </w:r>
    </w:p>
    <w:p w14:paraId="27E9A6C8">
      <w:pPr>
        <w:ind w:firstLine="420"/>
        <w:rPr>
          <w:rFonts w:ascii="宋体" w:hAnsi="宋体"/>
          <w:szCs w:val="21"/>
        </w:rPr>
      </w:pPr>
      <w:r>
        <w:rPr>
          <w:rFonts w:ascii="宋体" w:hAnsi="宋体"/>
          <w:szCs w:val="21"/>
        </w:rPr>
        <w:t>4.中生代侏罗纪的中晚侏罗世和白垩纪的早白垩世，在燕山运动作用下，分别</w:t>
      </w:r>
      <w:r>
        <w:rPr>
          <w:rFonts w:hint="eastAsia" w:ascii="宋体" w:hAnsi="宋体"/>
          <w:szCs w:val="21"/>
        </w:rPr>
        <w:t>形成二长花岗岩、云母花岗岩、二云母花岗岩、黑云母花岗岩以及紫红色泥质砂岩、紫红色泥质粉砂岩、红色砂岩。各种花岗岩分布在苍石、百顺、澜河、帽子峰、全安、油山、坪田、南亩、江头、主田和古市等地。各种红色砂岩分布在中部盆地的新龙、乌迳、黄坑、湖口、大塘、水口、珠玑、黎口、邓坊、古市、主田、江头、城镇等地。</w:t>
      </w:r>
    </w:p>
    <w:p w14:paraId="0EC1318D">
      <w:pPr>
        <w:ind w:firstLine="420"/>
        <w:rPr>
          <w:rFonts w:ascii="宋体" w:hAnsi="宋体"/>
          <w:szCs w:val="21"/>
        </w:rPr>
      </w:pPr>
      <w:r>
        <w:rPr>
          <w:rFonts w:hint="eastAsia" w:ascii="宋体" w:hAnsi="宋体"/>
          <w:szCs w:val="21"/>
        </w:rPr>
        <w:t>在南雄市中部盆地与南北山区交接处形成了紫红色厚层砂页岩、紫红色粉砂岩夹砾岩形成明显的断裂。如苍石、全安、杨历等处都可看见。整个盆地受喜马拉雅运动作用，第一层（底层）形成紫红色厚层泥质粉砂岩、粉砂质砾岩；第二层为青灰色泥质灰岩、紫红色厚层粉砂岩和泥岩瓦层；第三层为浅灰色砂砾岩。这一层的各种岩体是构成紫色土地区（盆地）的紫色砂页岩、红色砂页、红色砂岩等一系列红色岩系。</w:t>
      </w:r>
    </w:p>
    <w:p w14:paraId="0B64D0DB">
      <w:pPr>
        <w:ind w:firstLine="420"/>
        <w:rPr>
          <w:rFonts w:ascii="宋体" w:hAnsi="宋体"/>
          <w:szCs w:val="21"/>
        </w:rPr>
      </w:pPr>
      <w:r>
        <w:rPr>
          <w:rFonts w:hint="eastAsia" w:ascii="宋体" w:hAnsi="宋体"/>
          <w:szCs w:val="21"/>
        </w:rPr>
        <w:t>各种岩石的构成详见表</w:t>
      </w:r>
      <w:r>
        <w:rPr>
          <w:rFonts w:ascii="宋体" w:hAnsi="宋体"/>
          <w:szCs w:val="21"/>
        </w:rPr>
        <w:t>1-5。</w:t>
      </w:r>
    </w:p>
    <w:p w14:paraId="37126821">
      <w:pPr>
        <w:ind w:firstLine="0" w:firstLineChars="0"/>
        <w:jc w:val="center"/>
        <w:rPr>
          <w:rFonts w:ascii="宋体" w:hAnsi="宋体"/>
          <w:b/>
          <w:szCs w:val="21"/>
        </w:rPr>
      </w:pPr>
      <w:r>
        <w:rPr>
          <w:rFonts w:hint="eastAsia" w:ascii="宋体" w:hAnsi="宋体"/>
          <w:b/>
          <w:szCs w:val="21"/>
        </w:rPr>
        <w:t>南雄市地质（母岩）年代</w:t>
      </w:r>
    </w:p>
    <w:p w14:paraId="761688D0">
      <w:pPr>
        <w:ind w:firstLine="0" w:firstLineChars="0"/>
        <w:rPr>
          <w:rFonts w:ascii="宋体" w:hAnsi="宋体"/>
          <w:b/>
          <w:szCs w:val="21"/>
        </w:rPr>
      </w:pPr>
      <w:r>
        <w:rPr>
          <w:rFonts w:hint="eastAsia" w:ascii="宋体" w:hAnsi="宋体"/>
          <w:b/>
          <w:szCs w:val="21"/>
        </w:rPr>
        <w:t>表</w:t>
      </w:r>
      <w:r>
        <w:rPr>
          <w:rFonts w:ascii="宋体" w:hAnsi="宋体"/>
          <w:b/>
          <w:szCs w:val="21"/>
        </w:rPr>
        <w:t>1-5</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89"/>
        <w:gridCol w:w="966"/>
        <w:gridCol w:w="1160"/>
        <w:gridCol w:w="966"/>
        <w:gridCol w:w="1351"/>
        <w:gridCol w:w="2510"/>
        <w:gridCol w:w="2120"/>
      </w:tblGrid>
      <w:tr w14:paraId="10BB0D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3" w:type="pct"/>
            <w:gridSpan w:val="3"/>
            <w:vAlign w:val="center"/>
          </w:tcPr>
          <w:p w14:paraId="69620AFB">
            <w:pPr>
              <w:pStyle w:val="12"/>
              <w:jc w:val="center"/>
              <w:rPr>
                <w:rFonts w:ascii="宋体" w:hAnsi="宋体"/>
                <w:b/>
              </w:rPr>
            </w:pPr>
            <w:r>
              <w:rPr>
                <w:rFonts w:hint="eastAsia" w:ascii="宋体" w:hAnsi="宋体"/>
                <w:b/>
              </w:rPr>
              <w:t>地质年代</w:t>
            </w:r>
          </w:p>
        </w:tc>
        <w:tc>
          <w:tcPr>
            <w:tcW w:w="485" w:type="pct"/>
            <w:vMerge w:val="restart"/>
            <w:vAlign w:val="center"/>
          </w:tcPr>
          <w:p w14:paraId="6E255034">
            <w:pPr>
              <w:pStyle w:val="12"/>
              <w:jc w:val="center"/>
              <w:rPr>
                <w:rFonts w:ascii="宋体" w:hAnsi="宋体"/>
                <w:b/>
              </w:rPr>
            </w:pPr>
            <w:r>
              <w:rPr>
                <w:rFonts w:hint="eastAsia" w:ascii="宋体" w:hAnsi="宋体"/>
                <w:b/>
              </w:rPr>
              <w:t>距今年龄（千万年）</w:t>
            </w:r>
          </w:p>
        </w:tc>
        <w:tc>
          <w:tcPr>
            <w:tcW w:w="678" w:type="pct"/>
            <w:vMerge w:val="restart"/>
            <w:vAlign w:val="center"/>
          </w:tcPr>
          <w:p w14:paraId="021BAB95">
            <w:pPr>
              <w:pStyle w:val="12"/>
              <w:jc w:val="center"/>
              <w:rPr>
                <w:rFonts w:ascii="宋体" w:hAnsi="宋体"/>
                <w:b/>
              </w:rPr>
            </w:pPr>
            <w:r>
              <w:rPr>
                <w:rFonts w:hint="eastAsia" w:ascii="宋体" w:hAnsi="宋体"/>
                <w:b/>
              </w:rPr>
              <w:t>构造阶段</w:t>
            </w:r>
          </w:p>
        </w:tc>
        <w:tc>
          <w:tcPr>
            <w:tcW w:w="1260" w:type="pct"/>
            <w:vMerge w:val="restart"/>
            <w:vAlign w:val="center"/>
          </w:tcPr>
          <w:p w14:paraId="74DD2913">
            <w:pPr>
              <w:pStyle w:val="12"/>
              <w:jc w:val="center"/>
              <w:rPr>
                <w:rFonts w:ascii="宋体" w:hAnsi="宋体"/>
                <w:b/>
              </w:rPr>
            </w:pPr>
            <w:r>
              <w:rPr>
                <w:rFonts w:hint="eastAsia" w:ascii="宋体" w:hAnsi="宋体"/>
                <w:b/>
              </w:rPr>
              <w:t>岩  石  种  类</w:t>
            </w:r>
          </w:p>
        </w:tc>
        <w:tc>
          <w:tcPr>
            <w:tcW w:w="1064" w:type="pct"/>
            <w:vMerge w:val="restart"/>
            <w:vAlign w:val="center"/>
          </w:tcPr>
          <w:p w14:paraId="1438499A">
            <w:pPr>
              <w:pStyle w:val="12"/>
              <w:jc w:val="center"/>
              <w:rPr>
                <w:rFonts w:ascii="宋体" w:hAnsi="宋体"/>
                <w:b/>
              </w:rPr>
            </w:pPr>
            <w:r>
              <w:rPr>
                <w:rFonts w:hint="eastAsia" w:ascii="宋体" w:hAnsi="宋体"/>
                <w:b/>
              </w:rPr>
              <w:t>分  布  地  点</w:t>
            </w:r>
          </w:p>
        </w:tc>
      </w:tr>
      <w:tr w14:paraId="22A4DB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6" w:type="pct"/>
            <w:vAlign w:val="center"/>
          </w:tcPr>
          <w:p w14:paraId="7EA0E875">
            <w:pPr>
              <w:pStyle w:val="12"/>
              <w:jc w:val="center"/>
              <w:rPr>
                <w:rFonts w:ascii="宋体" w:hAnsi="宋体"/>
                <w:b/>
              </w:rPr>
            </w:pPr>
            <w:r>
              <w:rPr>
                <w:rFonts w:hint="eastAsia" w:ascii="宋体" w:hAnsi="宋体"/>
                <w:b/>
              </w:rPr>
              <w:t>代</w:t>
            </w:r>
          </w:p>
          <w:p w14:paraId="35FECBB0">
            <w:pPr>
              <w:pStyle w:val="12"/>
              <w:jc w:val="center"/>
              <w:rPr>
                <w:rFonts w:ascii="宋体" w:hAnsi="宋体"/>
                <w:b/>
              </w:rPr>
            </w:pPr>
            <w:r>
              <w:rPr>
                <w:rFonts w:hint="eastAsia" w:ascii="宋体" w:hAnsi="宋体"/>
                <w:b/>
              </w:rPr>
              <w:t>（界）</w:t>
            </w:r>
          </w:p>
        </w:tc>
        <w:tc>
          <w:tcPr>
            <w:tcW w:w="485" w:type="pct"/>
            <w:vAlign w:val="center"/>
          </w:tcPr>
          <w:p w14:paraId="01739410">
            <w:pPr>
              <w:pStyle w:val="12"/>
              <w:jc w:val="center"/>
              <w:rPr>
                <w:rFonts w:ascii="宋体" w:hAnsi="宋体"/>
                <w:b/>
              </w:rPr>
            </w:pPr>
            <w:r>
              <w:rPr>
                <w:rFonts w:hint="eastAsia" w:ascii="宋体" w:hAnsi="宋体"/>
                <w:b/>
              </w:rPr>
              <w:t>纪</w:t>
            </w:r>
          </w:p>
          <w:p w14:paraId="043DEF5E">
            <w:pPr>
              <w:pStyle w:val="12"/>
              <w:jc w:val="center"/>
              <w:rPr>
                <w:rFonts w:ascii="宋体" w:hAnsi="宋体"/>
                <w:b/>
              </w:rPr>
            </w:pPr>
            <w:r>
              <w:rPr>
                <w:rFonts w:hint="eastAsia" w:ascii="宋体" w:hAnsi="宋体"/>
                <w:b/>
              </w:rPr>
              <w:t>（系）</w:t>
            </w:r>
          </w:p>
        </w:tc>
        <w:tc>
          <w:tcPr>
            <w:tcW w:w="582" w:type="pct"/>
            <w:vAlign w:val="center"/>
          </w:tcPr>
          <w:p w14:paraId="0C2C9D6A">
            <w:pPr>
              <w:pStyle w:val="12"/>
              <w:jc w:val="center"/>
              <w:rPr>
                <w:rFonts w:ascii="宋体" w:hAnsi="宋体"/>
                <w:b/>
              </w:rPr>
            </w:pPr>
            <w:r>
              <w:rPr>
                <w:rFonts w:hint="eastAsia" w:ascii="宋体" w:hAnsi="宋体"/>
                <w:b/>
              </w:rPr>
              <w:t>世</w:t>
            </w:r>
          </w:p>
          <w:p w14:paraId="67EF3059">
            <w:pPr>
              <w:pStyle w:val="12"/>
              <w:jc w:val="center"/>
              <w:rPr>
                <w:rFonts w:ascii="宋体" w:hAnsi="宋体"/>
                <w:b/>
              </w:rPr>
            </w:pPr>
            <w:r>
              <w:rPr>
                <w:rFonts w:hint="eastAsia" w:ascii="宋体" w:hAnsi="宋体"/>
                <w:b/>
              </w:rPr>
              <w:t>（统）</w:t>
            </w:r>
          </w:p>
        </w:tc>
        <w:tc>
          <w:tcPr>
            <w:tcW w:w="485" w:type="pct"/>
            <w:vMerge w:val="continue"/>
            <w:vAlign w:val="center"/>
          </w:tcPr>
          <w:p w14:paraId="0C383913">
            <w:pPr>
              <w:pStyle w:val="12"/>
              <w:jc w:val="center"/>
              <w:rPr>
                <w:rFonts w:ascii="宋体" w:hAnsi="宋体"/>
                <w:b/>
              </w:rPr>
            </w:pPr>
          </w:p>
        </w:tc>
        <w:tc>
          <w:tcPr>
            <w:tcW w:w="678" w:type="pct"/>
            <w:vMerge w:val="continue"/>
            <w:vAlign w:val="center"/>
          </w:tcPr>
          <w:p w14:paraId="2D4D84EC">
            <w:pPr>
              <w:pStyle w:val="12"/>
              <w:jc w:val="center"/>
              <w:rPr>
                <w:rFonts w:ascii="宋体" w:hAnsi="宋体"/>
                <w:b/>
              </w:rPr>
            </w:pPr>
          </w:p>
        </w:tc>
        <w:tc>
          <w:tcPr>
            <w:tcW w:w="1260" w:type="pct"/>
            <w:vMerge w:val="continue"/>
            <w:vAlign w:val="center"/>
          </w:tcPr>
          <w:p w14:paraId="35B4A4B3">
            <w:pPr>
              <w:pStyle w:val="12"/>
              <w:jc w:val="center"/>
              <w:rPr>
                <w:rFonts w:ascii="宋体" w:hAnsi="宋体"/>
                <w:b/>
              </w:rPr>
            </w:pPr>
          </w:p>
        </w:tc>
        <w:tc>
          <w:tcPr>
            <w:tcW w:w="1064" w:type="pct"/>
            <w:vMerge w:val="continue"/>
            <w:vAlign w:val="center"/>
          </w:tcPr>
          <w:p w14:paraId="1BD18F77">
            <w:pPr>
              <w:pStyle w:val="12"/>
              <w:jc w:val="center"/>
              <w:rPr>
                <w:rFonts w:ascii="宋体" w:hAnsi="宋体"/>
                <w:b/>
              </w:rPr>
            </w:pPr>
          </w:p>
        </w:tc>
      </w:tr>
      <w:tr w14:paraId="7A8AC1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6" w:type="pct"/>
            <w:vMerge w:val="restart"/>
            <w:vAlign w:val="center"/>
          </w:tcPr>
          <w:p w14:paraId="770B9902">
            <w:pPr>
              <w:pStyle w:val="12"/>
              <w:jc w:val="center"/>
              <w:rPr>
                <w:rFonts w:ascii="宋体" w:hAnsi="宋体"/>
              </w:rPr>
            </w:pPr>
            <w:r>
              <w:rPr>
                <w:rFonts w:hint="eastAsia" w:ascii="宋体" w:hAnsi="宋体"/>
              </w:rPr>
              <w:t>新生代</w:t>
            </w:r>
          </w:p>
        </w:tc>
        <w:tc>
          <w:tcPr>
            <w:tcW w:w="485" w:type="pct"/>
            <w:vMerge w:val="restart"/>
            <w:vAlign w:val="center"/>
          </w:tcPr>
          <w:p w14:paraId="5018F857">
            <w:pPr>
              <w:pStyle w:val="12"/>
              <w:jc w:val="center"/>
              <w:rPr>
                <w:rFonts w:ascii="宋体" w:hAnsi="宋体"/>
              </w:rPr>
            </w:pPr>
            <w:r>
              <w:rPr>
                <w:rFonts w:hint="eastAsia" w:ascii="宋体" w:hAnsi="宋体"/>
              </w:rPr>
              <w:t>第四纪</w:t>
            </w:r>
          </w:p>
        </w:tc>
        <w:tc>
          <w:tcPr>
            <w:tcW w:w="582" w:type="pct"/>
            <w:vAlign w:val="center"/>
          </w:tcPr>
          <w:p w14:paraId="15D85C5C">
            <w:pPr>
              <w:pStyle w:val="12"/>
              <w:jc w:val="center"/>
              <w:rPr>
                <w:rFonts w:ascii="宋体" w:hAnsi="宋体"/>
              </w:rPr>
            </w:pPr>
            <w:r>
              <w:rPr>
                <w:rFonts w:hint="eastAsia" w:ascii="宋体" w:hAnsi="宋体"/>
              </w:rPr>
              <w:t>全新世</w:t>
            </w:r>
          </w:p>
        </w:tc>
        <w:tc>
          <w:tcPr>
            <w:tcW w:w="485" w:type="pct"/>
            <w:vAlign w:val="center"/>
          </w:tcPr>
          <w:p w14:paraId="6DFD4507">
            <w:pPr>
              <w:pStyle w:val="12"/>
              <w:jc w:val="center"/>
              <w:rPr>
                <w:rFonts w:ascii="宋体" w:hAnsi="宋体"/>
              </w:rPr>
            </w:pPr>
            <w:r>
              <w:rPr>
                <w:rFonts w:hint="eastAsia" w:ascii="宋体" w:hAnsi="宋体"/>
              </w:rPr>
              <w:t>0.1</w:t>
            </w:r>
          </w:p>
        </w:tc>
        <w:tc>
          <w:tcPr>
            <w:tcW w:w="678" w:type="pct"/>
            <w:vAlign w:val="center"/>
          </w:tcPr>
          <w:p w14:paraId="22744775">
            <w:pPr>
              <w:pStyle w:val="12"/>
              <w:jc w:val="left"/>
              <w:rPr>
                <w:rFonts w:ascii="宋体" w:hAnsi="宋体"/>
              </w:rPr>
            </w:pPr>
            <w:r>
              <w:rPr>
                <w:rFonts w:hint="eastAsia" w:ascii="宋体" w:hAnsi="宋体"/>
              </w:rPr>
              <w:t>喜马拉雅山运动</w:t>
            </w:r>
          </w:p>
        </w:tc>
        <w:tc>
          <w:tcPr>
            <w:tcW w:w="1260" w:type="pct"/>
            <w:vAlign w:val="center"/>
          </w:tcPr>
          <w:p w14:paraId="177956BF">
            <w:pPr>
              <w:pStyle w:val="12"/>
              <w:jc w:val="left"/>
              <w:rPr>
                <w:rFonts w:ascii="宋体" w:hAnsi="宋体"/>
              </w:rPr>
            </w:pPr>
            <w:r>
              <w:rPr>
                <w:rFonts w:hint="eastAsia" w:ascii="宋体" w:hAnsi="宋体"/>
              </w:rPr>
              <w:t>浈凌两河下游冲积及宽谷冲积</w:t>
            </w:r>
          </w:p>
        </w:tc>
        <w:tc>
          <w:tcPr>
            <w:tcW w:w="1064" w:type="pct"/>
            <w:vAlign w:val="center"/>
          </w:tcPr>
          <w:p w14:paraId="2A2D2829">
            <w:pPr>
              <w:pStyle w:val="12"/>
              <w:jc w:val="left"/>
              <w:rPr>
                <w:rFonts w:ascii="宋体" w:hAnsi="宋体"/>
              </w:rPr>
            </w:pPr>
            <w:r>
              <w:rPr>
                <w:rFonts w:hint="eastAsia" w:ascii="宋体" w:hAnsi="宋体"/>
              </w:rPr>
              <w:t>全安、雄州镇、珠玑、古市等镇</w:t>
            </w:r>
          </w:p>
        </w:tc>
      </w:tr>
      <w:tr w14:paraId="454911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6" w:type="pct"/>
            <w:vMerge w:val="continue"/>
            <w:vAlign w:val="center"/>
          </w:tcPr>
          <w:p w14:paraId="0ADD40AE">
            <w:pPr>
              <w:pStyle w:val="12"/>
              <w:jc w:val="center"/>
              <w:rPr>
                <w:rFonts w:ascii="宋体" w:hAnsi="宋体"/>
              </w:rPr>
            </w:pPr>
          </w:p>
        </w:tc>
        <w:tc>
          <w:tcPr>
            <w:tcW w:w="485" w:type="pct"/>
            <w:vMerge w:val="continue"/>
            <w:vAlign w:val="center"/>
          </w:tcPr>
          <w:p w14:paraId="55369BFB">
            <w:pPr>
              <w:pStyle w:val="12"/>
              <w:jc w:val="center"/>
              <w:rPr>
                <w:rFonts w:ascii="宋体" w:hAnsi="宋体"/>
              </w:rPr>
            </w:pPr>
          </w:p>
        </w:tc>
        <w:tc>
          <w:tcPr>
            <w:tcW w:w="582" w:type="pct"/>
            <w:vAlign w:val="center"/>
          </w:tcPr>
          <w:p w14:paraId="6B709EC8">
            <w:pPr>
              <w:pStyle w:val="12"/>
              <w:jc w:val="center"/>
              <w:rPr>
                <w:rFonts w:ascii="宋体" w:hAnsi="宋体"/>
              </w:rPr>
            </w:pPr>
            <w:r>
              <w:rPr>
                <w:rFonts w:hint="eastAsia" w:ascii="宋体" w:hAnsi="宋体"/>
              </w:rPr>
              <w:t>更新世</w:t>
            </w:r>
          </w:p>
        </w:tc>
        <w:tc>
          <w:tcPr>
            <w:tcW w:w="485" w:type="pct"/>
            <w:vAlign w:val="center"/>
          </w:tcPr>
          <w:p w14:paraId="3281E70B">
            <w:pPr>
              <w:pStyle w:val="12"/>
              <w:jc w:val="center"/>
              <w:rPr>
                <w:rFonts w:ascii="宋体" w:hAnsi="宋体"/>
              </w:rPr>
            </w:pPr>
            <w:r>
              <w:rPr>
                <w:rFonts w:hint="eastAsia" w:ascii="宋体" w:hAnsi="宋体"/>
              </w:rPr>
              <w:t>0.1</w:t>
            </w:r>
          </w:p>
        </w:tc>
        <w:tc>
          <w:tcPr>
            <w:tcW w:w="678" w:type="pct"/>
            <w:vAlign w:val="center"/>
          </w:tcPr>
          <w:p w14:paraId="701DF47D">
            <w:pPr>
              <w:pStyle w:val="12"/>
              <w:jc w:val="left"/>
              <w:rPr>
                <w:rFonts w:ascii="宋体" w:hAnsi="宋体"/>
              </w:rPr>
            </w:pPr>
            <w:r>
              <w:rPr>
                <w:rFonts w:hint="eastAsia" w:ascii="宋体" w:hAnsi="宋体"/>
              </w:rPr>
              <w:t>喜马拉雅山运动</w:t>
            </w:r>
          </w:p>
        </w:tc>
        <w:tc>
          <w:tcPr>
            <w:tcW w:w="1260" w:type="pct"/>
            <w:vAlign w:val="center"/>
          </w:tcPr>
          <w:p w14:paraId="6018C494">
            <w:pPr>
              <w:pStyle w:val="12"/>
              <w:jc w:val="left"/>
              <w:rPr>
                <w:rFonts w:ascii="宋体" w:hAnsi="宋体"/>
              </w:rPr>
            </w:pPr>
            <w:r>
              <w:rPr>
                <w:rFonts w:hint="eastAsia" w:ascii="宋体" w:hAnsi="宋体"/>
              </w:rPr>
              <w:t>未分层红色砾岩、花岗质砾岩及砂砾岩、第四纪红土Q1·Q2·Q3成间域分布于红层之上</w:t>
            </w:r>
          </w:p>
        </w:tc>
        <w:tc>
          <w:tcPr>
            <w:tcW w:w="1064" w:type="pct"/>
            <w:vAlign w:val="center"/>
          </w:tcPr>
          <w:p w14:paraId="2748A87B">
            <w:pPr>
              <w:pStyle w:val="12"/>
              <w:jc w:val="left"/>
              <w:rPr>
                <w:rFonts w:ascii="宋体" w:hAnsi="宋体"/>
              </w:rPr>
            </w:pPr>
            <w:r>
              <w:rPr>
                <w:rFonts w:hint="eastAsia" w:ascii="宋体" w:hAnsi="宋体"/>
              </w:rPr>
              <w:t>盆地周围与山地交界处、以及盆地范围十三个镇</w:t>
            </w:r>
          </w:p>
        </w:tc>
      </w:tr>
      <w:tr w14:paraId="7A0FAA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6" w:type="pct"/>
            <w:vMerge w:val="continue"/>
            <w:vAlign w:val="center"/>
          </w:tcPr>
          <w:p w14:paraId="574AD982">
            <w:pPr>
              <w:pStyle w:val="12"/>
              <w:jc w:val="center"/>
              <w:rPr>
                <w:rFonts w:ascii="宋体" w:hAnsi="宋体"/>
              </w:rPr>
            </w:pPr>
          </w:p>
        </w:tc>
        <w:tc>
          <w:tcPr>
            <w:tcW w:w="485" w:type="pct"/>
            <w:vMerge w:val="restart"/>
            <w:vAlign w:val="center"/>
          </w:tcPr>
          <w:p w14:paraId="4E02799C">
            <w:pPr>
              <w:pStyle w:val="12"/>
              <w:jc w:val="center"/>
              <w:rPr>
                <w:rFonts w:ascii="宋体" w:hAnsi="宋体"/>
              </w:rPr>
            </w:pPr>
            <w:r>
              <w:rPr>
                <w:rFonts w:hint="eastAsia" w:ascii="宋体" w:hAnsi="宋体"/>
              </w:rPr>
              <w:t>老第三纪</w:t>
            </w:r>
          </w:p>
        </w:tc>
        <w:tc>
          <w:tcPr>
            <w:tcW w:w="582" w:type="pct"/>
            <w:vAlign w:val="center"/>
          </w:tcPr>
          <w:p w14:paraId="10922646">
            <w:pPr>
              <w:pStyle w:val="12"/>
              <w:jc w:val="center"/>
              <w:rPr>
                <w:rFonts w:ascii="宋体" w:hAnsi="宋体"/>
              </w:rPr>
            </w:pPr>
            <w:r>
              <w:rPr>
                <w:rFonts w:hint="eastAsia" w:ascii="宋体" w:hAnsi="宋体"/>
              </w:rPr>
              <w:t>渐新世</w:t>
            </w:r>
          </w:p>
        </w:tc>
        <w:tc>
          <w:tcPr>
            <w:tcW w:w="485" w:type="pct"/>
            <w:vAlign w:val="center"/>
          </w:tcPr>
          <w:p w14:paraId="389192E2">
            <w:pPr>
              <w:pStyle w:val="12"/>
              <w:jc w:val="center"/>
              <w:rPr>
                <w:rFonts w:ascii="宋体" w:hAnsi="宋体"/>
              </w:rPr>
            </w:pPr>
            <w:r>
              <w:rPr>
                <w:rFonts w:hint="eastAsia" w:ascii="宋体" w:hAnsi="宋体"/>
              </w:rPr>
              <w:t>2.5~4.5</w:t>
            </w:r>
          </w:p>
        </w:tc>
        <w:tc>
          <w:tcPr>
            <w:tcW w:w="678" w:type="pct"/>
            <w:vAlign w:val="center"/>
          </w:tcPr>
          <w:p w14:paraId="0B0EAD1A">
            <w:pPr>
              <w:pStyle w:val="12"/>
              <w:jc w:val="left"/>
              <w:rPr>
                <w:rFonts w:ascii="宋体" w:hAnsi="宋体"/>
              </w:rPr>
            </w:pPr>
            <w:r>
              <w:rPr>
                <w:rFonts w:hint="eastAsia" w:ascii="宋体" w:hAnsi="宋体"/>
              </w:rPr>
              <w:t>喜马拉雅山运动</w:t>
            </w:r>
          </w:p>
        </w:tc>
        <w:tc>
          <w:tcPr>
            <w:tcW w:w="1260" w:type="pct"/>
            <w:vAlign w:val="center"/>
          </w:tcPr>
          <w:p w14:paraId="42DF640E">
            <w:pPr>
              <w:pStyle w:val="12"/>
              <w:jc w:val="left"/>
              <w:rPr>
                <w:rFonts w:ascii="宋体" w:hAnsi="宋体"/>
              </w:rPr>
            </w:pPr>
            <w:r>
              <w:rPr>
                <w:rFonts w:hint="eastAsia" w:ascii="宋体" w:hAnsi="宋体"/>
              </w:rPr>
              <w:t>浅灰色砂砾岩、泥质砂岩</w:t>
            </w:r>
          </w:p>
        </w:tc>
        <w:tc>
          <w:tcPr>
            <w:tcW w:w="1064" w:type="pct"/>
            <w:vAlign w:val="center"/>
          </w:tcPr>
          <w:p w14:paraId="7EC3A332">
            <w:pPr>
              <w:pStyle w:val="12"/>
              <w:jc w:val="left"/>
              <w:rPr>
                <w:rFonts w:ascii="宋体" w:hAnsi="宋体"/>
              </w:rPr>
            </w:pPr>
            <w:r>
              <w:rPr>
                <w:rFonts w:hint="eastAsia" w:ascii="宋体" w:hAnsi="宋体"/>
              </w:rPr>
              <w:t>中层盆地紫色砂页岩的第三层(面层)</w:t>
            </w:r>
          </w:p>
        </w:tc>
      </w:tr>
      <w:tr w14:paraId="1173A3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6" w:type="pct"/>
            <w:vMerge w:val="continue"/>
            <w:vAlign w:val="center"/>
          </w:tcPr>
          <w:p w14:paraId="1CBF0429">
            <w:pPr>
              <w:pStyle w:val="12"/>
              <w:jc w:val="center"/>
              <w:rPr>
                <w:rFonts w:ascii="宋体" w:hAnsi="宋体"/>
              </w:rPr>
            </w:pPr>
          </w:p>
        </w:tc>
        <w:tc>
          <w:tcPr>
            <w:tcW w:w="485" w:type="pct"/>
            <w:vMerge w:val="continue"/>
            <w:vAlign w:val="center"/>
          </w:tcPr>
          <w:p w14:paraId="4C8CF080">
            <w:pPr>
              <w:pStyle w:val="12"/>
              <w:jc w:val="center"/>
              <w:rPr>
                <w:rFonts w:ascii="宋体" w:hAnsi="宋体"/>
              </w:rPr>
            </w:pPr>
          </w:p>
        </w:tc>
        <w:tc>
          <w:tcPr>
            <w:tcW w:w="582" w:type="pct"/>
            <w:vAlign w:val="center"/>
          </w:tcPr>
          <w:p w14:paraId="3ACBAE8D">
            <w:pPr>
              <w:pStyle w:val="12"/>
              <w:jc w:val="center"/>
              <w:rPr>
                <w:rFonts w:ascii="宋体" w:hAnsi="宋体"/>
              </w:rPr>
            </w:pPr>
            <w:r>
              <w:rPr>
                <w:rFonts w:hint="eastAsia" w:ascii="宋体" w:hAnsi="宋体"/>
              </w:rPr>
              <w:t>始新世</w:t>
            </w:r>
          </w:p>
        </w:tc>
        <w:tc>
          <w:tcPr>
            <w:tcW w:w="485" w:type="pct"/>
            <w:vAlign w:val="center"/>
          </w:tcPr>
          <w:p w14:paraId="07D9C45F">
            <w:pPr>
              <w:pStyle w:val="12"/>
              <w:jc w:val="center"/>
              <w:rPr>
                <w:rFonts w:ascii="宋体" w:hAnsi="宋体"/>
              </w:rPr>
            </w:pPr>
            <w:r>
              <w:rPr>
                <w:rFonts w:hint="eastAsia" w:ascii="宋体" w:hAnsi="宋体"/>
              </w:rPr>
              <w:t>4.5~6.5</w:t>
            </w:r>
          </w:p>
        </w:tc>
        <w:tc>
          <w:tcPr>
            <w:tcW w:w="678" w:type="pct"/>
            <w:vAlign w:val="center"/>
          </w:tcPr>
          <w:p w14:paraId="6FD24301">
            <w:pPr>
              <w:pStyle w:val="12"/>
              <w:jc w:val="left"/>
              <w:rPr>
                <w:rFonts w:ascii="宋体" w:hAnsi="宋体"/>
              </w:rPr>
            </w:pPr>
            <w:r>
              <w:rPr>
                <w:rFonts w:hint="eastAsia" w:ascii="宋体" w:hAnsi="宋体"/>
              </w:rPr>
              <w:t>喜马拉雅山运动</w:t>
            </w:r>
          </w:p>
        </w:tc>
        <w:tc>
          <w:tcPr>
            <w:tcW w:w="1260" w:type="pct"/>
            <w:vAlign w:val="center"/>
          </w:tcPr>
          <w:p w14:paraId="6D9B8327">
            <w:pPr>
              <w:pStyle w:val="12"/>
              <w:jc w:val="left"/>
              <w:rPr>
                <w:rFonts w:ascii="宋体" w:hAnsi="宋体"/>
              </w:rPr>
            </w:pPr>
            <w:r>
              <w:rPr>
                <w:rFonts w:hint="eastAsia" w:ascii="宋体" w:hAnsi="宋体"/>
              </w:rPr>
              <w:t>青灰色泥质灰岩、紫红色粉砂岩、泥岩瓦层</w:t>
            </w:r>
          </w:p>
        </w:tc>
        <w:tc>
          <w:tcPr>
            <w:tcW w:w="1064" w:type="pct"/>
            <w:vAlign w:val="center"/>
          </w:tcPr>
          <w:p w14:paraId="28F0E65F">
            <w:pPr>
              <w:pStyle w:val="12"/>
              <w:jc w:val="left"/>
              <w:rPr>
                <w:rFonts w:ascii="宋体" w:hAnsi="宋体"/>
              </w:rPr>
            </w:pPr>
            <w:r>
              <w:rPr>
                <w:rFonts w:hint="eastAsia" w:ascii="宋体" w:hAnsi="宋体"/>
              </w:rPr>
              <w:t>中层盆地紫色砂页岩的第二层(中间层)</w:t>
            </w:r>
          </w:p>
        </w:tc>
      </w:tr>
      <w:tr w14:paraId="777E9B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6" w:type="pct"/>
            <w:vMerge w:val="continue"/>
            <w:vAlign w:val="center"/>
          </w:tcPr>
          <w:p w14:paraId="56EDE84E">
            <w:pPr>
              <w:pStyle w:val="12"/>
              <w:jc w:val="center"/>
              <w:rPr>
                <w:rFonts w:ascii="宋体" w:hAnsi="宋体"/>
              </w:rPr>
            </w:pPr>
          </w:p>
        </w:tc>
        <w:tc>
          <w:tcPr>
            <w:tcW w:w="485" w:type="pct"/>
            <w:vMerge w:val="continue"/>
            <w:vAlign w:val="center"/>
          </w:tcPr>
          <w:p w14:paraId="0B3F4EA1">
            <w:pPr>
              <w:pStyle w:val="12"/>
              <w:jc w:val="center"/>
              <w:rPr>
                <w:rFonts w:ascii="宋体" w:hAnsi="宋体"/>
              </w:rPr>
            </w:pPr>
          </w:p>
        </w:tc>
        <w:tc>
          <w:tcPr>
            <w:tcW w:w="582" w:type="pct"/>
            <w:vAlign w:val="center"/>
          </w:tcPr>
          <w:p w14:paraId="26AD0842">
            <w:pPr>
              <w:pStyle w:val="12"/>
              <w:jc w:val="center"/>
              <w:rPr>
                <w:rFonts w:ascii="宋体" w:hAnsi="宋体"/>
              </w:rPr>
            </w:pPr>
            <w:r>
              <w:rPr>
                <w:rFonts w:hint="eastAsia" w:ascii="宋体" w:hAnsi="宋体"/>
              </w:rPr>
              <w:t>古新世</w:t>
            </w:r>
          </w:p>
        </w:tc>
        <w:tc>
          <w:tcPr>
            <w:tcW w:w="485" w:type="pct"/>
            <w:vAlign w:val="center"/>
          </w:tcPr>
          <w:p w14:paraId="7E8602E8">
            <w:pPr>
              <w:pStyle w:val="12"/>
              <w:jc w:val="center"/>
              <w:rPr>
                <w:rFonts w:ascii="宋体" w:hAnsi="宋体"/>
              </w:rPr>
            </w:pPr>
            <w:r>
              <w:rPr>
                <w:rFonts w:hint="eastAsia" w:ascii="宋体" w:hAnsi="宋体"/>
              </w:rPr>
              <w:t>6.5~9</w:t>
            </w:r>
          </w:p>
        </w:tc>
        <w:tc>
          <w:tcPr>
            <w:tcW w:w="678" w:type="pct"/>
            <w:vAlign w:val="center"/>
          </w:tcPr>
          <w:p w14:paraId="2FBB7B31">
            <w:pPr>
              <w:pStyle w:val="12"/>
              <w:jc w:val="left"/>
              <w:rPr>
                <w:rFonts w:ascii="宋体" w:hAnsi="宋体"/>
              </w:rPr>
            </w:pPr>
            <w:r>
              <w:rPr>
                <w:rFonts w:hint="eastAsia" w:ascii="宋体" w:hAnsi="宋体"/>
              </w:rPr>
              <w:t>喜马拉雅山运动</w:t>
            </w:r>
          </w:p>
        </w:tc>
        <w:tc>
          <w:tcPr>
            <w:tcW w:w="1260" w:type="pct"/>
            <w:vAlign w:val="center"/>
          </w:tcPr>
          <w:p w14:paraId="404C2668">
            <w:pPr>
              <w:pStyle w:val="12"/>
              <w:jc w:val="left"/>
              <w:rPr>
                <w:rFonts w:ascii="宋体" w:hAnsi="宋体"/>
              </w:rPr>
            </w:pPr>
            <w:r>
              <w:rPr>
                <w:rFonts w:hint="eastAsia" w:ascii="宋体" w:hAnsi="宋体"/>
              </w:rPr>
              <w:t>紫红色泥质砂岩、粉砂质砾岩</w:t>
            </w:r>
          </w:p>
        </w:tc>
        <w:tc>
          <w:tcPr>
            <w:tcW w:w="1064" w:type="pct"/>
            <w:vAlign w:val="center"/>
          </w:tcPr>
          <w:p w14:paraId="0C53866C">
            <w:pPr>
              <w:pStyle w:val="12"/>
              <w:jc w:val="left"/>
              <w:rPr>
                <w:rFonts w:ascii="宋体" w:hAnsi="宋体"/>
              </w:rPr>
            </w:pPr>
            <w:r>
              <w:rPr>
                <w:rFonts w:hint="eastAsia" w:ascii="宋体" w:hAnsi="宋体"/>
              </w:rPr>
              <w:t>中层盆地紫色砂页岩的第一层(底层)</w:t>
            </w:r>
          </w:p>
        </w:tc>
      </w:tr>
      <w:tr w14:paraId="346417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6" w:type="pct"/>
            <w:vMerge w:val="restart"/>
            <w:vAlign w:val="center"/>
          </w:tcPr>
          <w:p w14:paraId="053B2929">
            <w:pPr>
              <w:pStyle w:val="12"/>
              <w:jc w:val="center"/>
              <w:rPr>
                <w:rFonts w:ascii="宋体" w:hAnsi="宋体"/>
              </w:rPr>
            </w:pPr>
            <w:r>
              <w:rPr>
                <w:rFonts w:hint="eastAsia" w:ascii="宋体" w:hAnsi="宋体"/>
              </w:rPr>
              <w:t>中生代</w:t>
            </w:r>
          </w:p>
        </w:tc>
        <w:tc>
          <w:tcPr>
            <w:tcW w:w="485" w:type="pct"/>
            <w:vAlign w:val="center"/>
          </w:tcPr>
          <w:p w14:paraId="6ECB72A5">
            <w:pPr>
              <w:pStyle w:val="12"/>
              <w:jc w:val="center"/>
              <w:rPr>
                <w:rFonts w:ascii="宋体" w:hAnsi="宋体"/>
              </w:rPr>
            </w:pPr>
            <w:r>
              <w:rPr>
                <w:rFonts w:hint="eastAsia" w:ascii="宋体" w:hAnsi="宋体"/>
              </w:rPr>
              <w:t>白垩纪</w:t>
            </w:r>
          </w:p>
        </w:tc>
        <w:tc>
          <w:tcPr>
            <w:tcW w:w="582" w:type="pct"/>
            <w:vAlign w:val="center"/>
          </w:tcPr>
          <w:p w14:paraId="3ED5E0D5">
            <w:pPr>
              <w:pStyle w:val="12"/>
              <w:jc w:val="center"/>
              <w:rPr>
                <w:rFonts w:ascii="宋体" w:hAnsi="宋体"/>
              </w:rPr>
            </w:pPr>
            <w:r>
              <w:rPr>
                <w:rFonts w:hint="eastAsia" w:ascii="宋体" w:hAnsi="宋体"/>
              </w:rPr>
              <w:t>早白垩世</w:t>
            </w:r>
          </w:p>
        </w:tc>
        <w:tc>
          <w:tcPr>
            <w:tcW w:w="485" w:type="pct"/>
            <w:vAlign w:val="center"/>
          </w:tcPr>
          <w:p w14:paraId="4B826B6C">
            <w:pPr>
              <w:pStyle w:val="12"/>
              <w:jc w:val="center"/>
              <w:rPr>
                <w:rFonts w:ascii="宋体" w:hAnsi="宋体"/>
              </w:rPr>
            </w:pPr>
            <w:r>
              <w:rPr>
                <w:rFonts w:hint="eastAsia" w:ascii="宋体" w:hAnsi="宋体"/>
              </w:rPr>
              <w:t>9</w:t>
            </w:r>
          </w:p>
        </w:tc>
        <w:tc>
          <w:tcPr>
            <w:tcW w:w="678" w:type="pct"/>
            <w:vAlign w:val="center"/>
          </w:tcPr>
          <w:p w14:paraId="38B1C8AA">
            <w:pPr>
              <w:pStyle w:val="12"/>
              <w:jc w:val="left"/>
              <w:rPr>
                <w:rFonts w:ascii="宋体" w:hAnsi="宋体"/>
              </w:rPr>
            </w:pPr>
            <w:r>
              <w:rPr>
                <w:rFonts w:hint="eastAsia" w:ascii="宋体" w:hAnsi="宋体"/>
              </w:rPr>
              <w:t>燕山运动</w:t>
            </w:r>
          </w:p>
        </w:tc>
        <w:tc>
          <w:tcPr>
            <w:tcW w:w="1260" w:type="pct"/>
            <w:vAlign w:val="center"/>
          </w:tcPr>
          <w:p w14:paraId="0B193E8C">
            <w:pPr>
              <w:pStyle w:val="12"/>
              <w:jc w:val="left"/>
              <w:rPr>
                <w:rFonts w:ascii="宋体" w:hAnsi="宋体"/>
              </w:rPr>
            </w:pPr>
            <w:r>
              <w:rPr>
                <w:rFonts w:hint="eastAsia" w:ascii="宋体" w:hAnsi="宋体"/>
              </w:rPr>
              <w:t>黑云母花岗岩、紫红色泥质砂岩、紫红色泥质粉砂岩、红色砂岩</w:t>
            </w:r>
          </w:p>
        </w:tc>
        <w:tc>
          <w:tcPr>
            <w:tcW w:w="1064" w:type="pct"/>
            <w:vAlign w:val="center"/>
          </w:tcPr>
          <w:p w14:paraId="1B831F71">
            <w:pPr>
              <w:pStyle w:val="12"/>
              <w:jc w:val="left"/>
              <w:rPr>
                <w:rFonts w:ascii="宋体" w:hAnsi="宋体"/>
              </w:rPr>
            </w:pPr>
            <w:r>
              <w:rPr>
                <w:rFonts w:hint="eastAsia" w:ascii="宋体" w:hAnsi="宋体"/>
              </w:rPr>
              <w:t>苍石、帽子峰、澜河、油山、古市等镇及中部盆地十三个镇</w:t>
            </w:r>
          </w:p>
        </w:tc>
      </w:tr>
      <w:tr w14:paraId="561AAE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6" w:type="pct"/>
            <w:vMerge w:val="continue"/>
            <w:vAlign w:val="center"/>
          </w:tcPr>
          <w:p w14:paraId="1987A698">
            <w:pPr>
              <w:pStyle w:val="12"/>
              <w:jc w:val="center"/>
              <w:rPr>
                <w:rFonts w:ascii="宋体" w:hAnsi="宋体"/>
              </w:rPr>
            </w:pPr>
          </w:p>
        </w:tc>
        <w:tc>
          <w:tcPr>
            <w:tcW w:w="485" w:type="pct"/>
            <w:vAlign w:val="center"/>
          </w:tcPr>
          <w:p w14:paraId="3B241DC8">
            <w:pPr>
              <w:pStyle w:val="12"/>
              <w:jc w:val="center"/>
              <w:rPr>
                <w:rFonts w:ascii="宋体" w:hAnsi="宋体"/>
              </w:rPr>
            </w:pPr>
            <w:r>
              <w:rPr>
                <w:rFonts w:hint="eastAsia" w:ascii="宋体" w:hAnsi="宋体"/>
              </w:rPr>
              <w:t>侏罗纪</w:t>
            </w:r>
          </w:p>
        </w:tc>
        <w:tc>
          <w:tcPr>
            <w:tcW w:w="582" w:type="pct"/>
            <w:vAlign w:val="center"/>
          </w:tcPr>
          <w:p w14:paraId="5F00BF8A">
            <w:pPr>
              <w:pStyle w:val="12"/>
              <w:jc w:val="center"/>
              <w:rPr>
                <w:rFonts w:ascii="宋体" w:hAnsi="宋体"/>
              </w:rPr>
            </w:pPr>
            <w:r>
              <w:rPr>
                <w:rFonts w:hint="eastAsia" w:ascii="宋体" w:hAnsi="宋体"/>
              </w:rPr>
              <w:t>晚侏罗世</w:t>
            </w:r>
          </w:p>
        </w:tc>
        <w:tc>
          <w:tcPr>
            <w:tcW w:w="485" w:type="pct"/>
            <w:vAlign w:val="center"/>
          </w:tcPr>
          <w:p w14:paraId="1922EB12">
            <w:pPr>
              <w:pStyle w:val="12"/>
              <w:jc w:val="center"/>
              <w:rPr>
                <w:rFonts w:ascii="宋体" w:hAnsi="宋体"/>
              </w:rPr>
            </w:pPr>
            <w:r>
              <w:rPr>
                <w:rFonts w:hint="eastAsia" w:ascii="宋体" w:hAnsi="宋体"/>
              </w:rPr>
              <w:t>13.5</w:t>
            </w:r>
          </w:p>
        </w:tc>
        <w:tc>
          <w:tcPr>
            <w:tcW w:w="678" w:type="pct"/>
            <w:vAlign w:val="center"/>
          </w:tcPr>
          <w:p w14:paraId="29C158D5">
            <w:pPr>
              <w:pStyle w:val="12"/>
              <w:jc w:val="left"/>
              <w:rPr>
                <w:rFonts w:ascii="宋体" w:hAnsi="宋体"/>
              </w:rPr>
            </w:pPr>
            <w:r>
              <w:rPr>
                <w:rFonts w:hint="eastAsia" w:ascii="宋体" w:hAnsi="宋体"/>
              </w:rPr>
              <w:t>燕山运动</w:t>
            </w:r>
          </w:p>
        </w:tc>
        <w:tc>
          <w:tcPr>
            <w:tcW w:w="1260" w:type="pct"/>
            <w:vAlign w:val="center"/>
          </w:tcPr>
          <w:p w14:paraId="5C666308">
            <w:pPr>
              <w:pStyle w:val="12"/>
              <w:jc w:val="left"/>
              <w:rPr>
                <w:rFonts w:ascii="宋体" w:hAnsi="宋体"/>
              </w:rPr>
            </w:pPr>
            <w:r>
              <w:rPr>
                <w:rFonts w:hint="eastAsia" w:ascii="宋体" w:hAnsi="宋体"/>
              </w:rPr>
              <w:t>云母花岗岩</w:t>
            </w:r>
          </w:p>
        </w:tc>
        <w:tc>
          <w:tcPr>
            <w:tcW w:w="1064" w:type="pct"/>
            <w:vAlign w:val="center"/>
          </w:tcPr>
          <w:p w14:paraId="36FBEF2C">
            <w:pPr>
              <w:pStyle w:val="12"/>
              <w:jc w:val="left"/>
              <w:rPr>
                <w:rFonts w:ascii="宋体" w:hAnsi="宋体"/>
              </w:rPr>
            </w:pPr>
            <w:r>
              <w:rPr>
                <w:rFonts w:hint="eastAsia" w:ascii="宋体" w:hAnsi="宋体"/>
              </w:rPr>
              <w:t>百顺、澜河及油山、孔江、南亩、帽子峰等镇</w:t>
            </w:r>
          </w:p>
        </w:tc>
      </w:tr>
      <w:tr w14:paraId="636CC43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6" w:type="pct"/>
            <w:vMerge w:val="continue"/>
            <w:vAlign w:val="center"/>
          </w:tcPr>
          <w:p w14:paraId="2160ECD4">
            <w:pPr>
              <w:pStyle w:val="12"/>
              <w:jc w:val="center"/>
              <w:rPr>
                <w:rFonts w:ascii="宋体" w:hAnsi="宋体"/>
              </w:rPr>
            </w:pPr>
          </w:p>
        </w:tc>
        <w:tc>
          <w:tcPr>
            <w:tcW w:w="485" w:type="pct"/>
            <w:vAlign w:val="center"/>
          </w:tcPr>
          <w:p w14:paraId="5FA55662">
            <w:pPr>
              <w:pStyle w:val="12"/>
              <w:jc w:val="center"/>
              <w:rPr>
                <w:rFonts w:ascii="宋体" w:hAnsi="宋体"/>
              </w:rPr>
            </w:pPr>
          </w:p>
        </w:tc>
        <w:tc>
          <w:tcPr>
            <w:tcW w:w="582" w:type="pct"/>
            <w:vAlign w:val="center"/>
          </w:tcPr>
          <w:p w14:paraId="0CA1ADEB">
            <w:pPr>
              <w:pStyle w:val="12"/>
              <w:jc w:val="center"/>
              <w:rPr>
                <w:rFonts w:ascii="宋体" w:hAnsi="宋体"/>
              </w:rPr>
            </w:pPr>
            <w:r>
              <w:rPr>
                <w:rFonts w:hint="eastAsia" w:ascii="宋体" w:hAnsi="宋体"/>
              </w:rPr>
              <w:t>中侏罗世</w:t>
            </w:r>
          </w:p>
        </w:tc>
        <w:tc>
          <w:tcPr>
            <w:tcW w:w="485" w:type="pct"/>
            <w:vAlign w:val="center"/>
          </w:tcPr>
          <w:p w14:paraId="7978997E">
            <w:pPr>
              <w:pStyle w:val="12"/>
              <w:jc w:val="center"/>
              <w:rPr>
                <w:rFonts w:ascii="宋体" w:hAnsi="宋体"/>
              </w:rPr>
            </w:pPr>
            <w:r>
              <w:rPr>
                <w:rFonts w:hint="eastAsia" w:ascii="宋体" w:hAnsi="宋体"/>
              </w:rPr>
              <w:t>13.5~18</w:t>
            </w:r>
          </w:p>
        </w:tc>
        <w:tc>
          <w:tcPr>
            <w:tcW w:w="678" w:type="pct"/>
            <w:vAlign w:val="center"/>
          </w:tcPr>
          <w:p w14:paraId="5BC60D7C">
            <w:pPr>
              <w:pStyle w:val="12"/>
              <w:jc w:val="center"/>
              <w:rPr>
                <w:rFonts w:ascii="宋体" w:hAnsi="宋体"/>
              </w:rPr>
            </w:pPr>
            <w:r>
              <w:rPr>
                <w:rFonts w:hint="eastAsia" w:ascii="宋体" w:hAnsi="宋体"/>
              </w:rPr>
              <w:t>燕山运动</w:t>
            </w:r>
          </w:p>
        </w:tc>
        <w:tc>
          <w:tcPr>
            <w:tcW w:w="1260" w:type="pct"/>
            <w:vAlign w:val="center"/>
          </w:tcPr>
          <w:p w14:paraId="1F4B7A10">
            <w:pPr>
              <w:pStyle w:val="12"/>
              <w:jc w:val="left"/>
              <w:rPr>
                <w:rFonts w:ascii="宋体" w:hAnsi="宋体"/>
              </w:rPr>
            </w:pPr>
            <w:r>
              <w:rPr>
                <w:rFonts w:hint="eastAsia" w:ascii="宋体" w:hAnsi="宋体"/>
              </w:rPr>
              <w:t>二长花岗岩</w:t>
            </w:r>
          </w:p>
        </w:tc>
        <w:tc>
          <w:tcPr>
            <w:tcW w:w="1064" w:type="pct"/>
            <w:vAlign w:val="center"/>
          </w:tcPr>
          <w:p w14:paraId="2E643C44">
            <w:pPr>
              <w:pStyle w:val="12"/>
              <w:jc w:val="left"/>
              <w:rPr>
                <w:rFonts w:ascii="宋体" w:hAnsi="宋体"/>
              </w:rPr>
            </w:pPr>
            <w:r>
              <w:rPr>
                <w:rFonts w:hint="eastAsia" w:ascii="宋体" w:hAnsi="宋体"/>
              </w:rPr>
              <w:t>—</w:t>
            </w:r>
          </w:p>
        </w:tc>
      </w:tr>
      <w:tr w14:paraId="2CB08E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6" w:type="pct"/>
            <w:vMerge w:val="continue"/>
            <w:vAlign w:val="center"/>
          </w:tcPr>
          <w:p w14:paraId="7775068B">
            <w:pPr>
              <w:pStyle w:val="12"/>
              <w:jc w:val="center"/>
              <w:rPr>
                <w:rFonts w:ascii="宋体" w:hAnsi="宋体"/>
              </w:rPr>
            </w:pPr>
          </w:p>
        </w:tc>
        <w:tc>
          <w:tcPr>
            <w:tcW w:w="485" w:type="pct"/>
            <w:vAlign w:val="center"/>
          </w:tcPr>
          <w:p w14:paraId="2FCD2F00">
            <w:pPr>
              <w:pStyle w:val="12"/>
              <w:jc w:val="center"/>
              <w:rPr>
                <w:rFonts w:ascii="宋体" w:hAnsi="宋体"/>
              </w:rPr>
            </w:pPr>
            <w:r>
              <w:rPr>
                <w:rFonts w:hint="eastAsia" w:ascii="宋体" w:hAnsi="宋体"/>
              </w:rPr>
              <w:t>三迭纪</w:t>
            </w:r>
          </w:p>
        </w:tc>
        <w:tc>
          <w:tcPr>
            <w:tcW w:w="582" w:type="pct"/>
            <w:vAlign w:val="center"/>
          </w:tcPr>
          <w:p w14:paraId="3B633F06">
            <w:pPr>
              <w:pStyle w:val="12"/>
              <w:jc w:val="center"/>
              <w:rPr>
                <w:rFonts w:ascii="宋体" w:hAnsi="宋体"/>
              </w:rPr>
            </w:pPr>
            <w:r>
              <w:rPr>
                <w:rFonts w:hint="eastAsia" w:ascii="宋体" w:hAnsi="宋体"/>
              </w:rPr>
              <w:t>早三迭世</w:t>
            </w:r>
          </w:p>
        </w:tc>
        <w:tc>
          <w:tcPr>
            <w:tcW w:w="485" w:type="pct"/>
            <w:vAlign w:val="center"/>
          </w:tcPr>
          <w:p w14:paraId="49563645">
            <w:pPr>
              <w:pStyle w:val="12"/>
              <w:jc w:val="center"/>
              <w:rPr>
                <w:rFonts w:ascii="宋体" w:hAnsi="宋体"/>
              </w:rPr>
            </w:pPr>
            <w:r>
              <w:rPr>
                <w:rFonts w:hint="eastAsia" w:ascii="宋体" w:hAnsi="宋体"/>
              </w:rPr>
              <w:t>22.5</w:t>
            </w:r>
          </w:p>
        </w:tc>
        <w:tc>
          <w:tcPr>
            <w:tcW w:w="678" w:type="pct"/>
            <w:vAlign w:val="center"/>
          </w:tcPr>
          <w:p w14:paraId="3C963496">
            <w:pPr>
              <w:pStyle w:val="12"/>
              <w:jc w:val="left"/>
              <w:rPr>
                <w:rFonts w:ascii="宋体" w:hAnsi="宋体"/>
              </w:rPr>
            </w:pPr>
            <w:r>
              <w:rPr>
                <w:rFonts w:hint="eastAsia" w:ascii="宋体" w:hAnsi="宋体"/>
              </w:rPr>
              <w:t>印支运动</w:t>
            </w:r>
          </w:p>
        </w:tc>
        <w:tc>
          <w:tcPr>
            <w:tcW w:w="1260" w:type="pct"/>
            <w:vAlign w:val="center"/>
          </w:tcPr>
          <w:p w14:paraId="3746671B">
            <w:pPr>
              <w:pStyle w:val="12"/>
              <w:jc w:val="left"/>
              <w:rPr>
                <w:rFonts w:ascii="宋体" w:hAnsi="宋体"/>
              </w:rPr>
            </w:pPr>
            <w:r>
              <w:rPr>
                <w:rFonts w:hint="eastAsia" w:ascii="宋体" w:hAnsi="宋体"/>
              </w:rPr>
              <w:t>石英二长岩</w:t>
            </w:r>
          </w:p>
        </w:tc>
        <w:tc>
          <w:tcPr>
            <w:tcW w:w="1064" w:type="pct"/>
            <w:vAlign w:val="center"/>
          </w:tcPr>
          <w:p w14:paraId="186AA0C0">
            <w:pPr>
              <w:pStyle w:val="12"/>
              <w:jc w:val="left"/>
              <w:rPr>
                <w:rFonts w:ascii="宋体" w:hAnsi="宋体"/>
              </w:rPr>
            </w:pPr>
            <w:r>
              <w:rPr>
                <w:rFonts w:hint="eastAsia" w:ascii="宋体" w:hAnsi="宋体"/>
              </w:rPr>
              <w:t>百顺、澜河、油山、孔江、南亩、帽子峰等镇</w:t>
            </w:r>
          </w:p>
        </w:tc>
      </w:tr>
      <w:tr w14:paraId="31B583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6" w:type="pct"/>
            <w:vMerge w:val="restart"/>
            <w:vAlign w:val="center"/>
          </w:tcPr>
          <w:p w14:paraId="382727F0">
            <w:pPr>
              <w:pStyle w:val="12"/>
              <w:jc w:val="center"/>
              <w:rPr>
                <w:rFonts w:ascii="宋体" w:hAnsi="宋体"/>
              </w:rPr>
            </w:pPr>
            <w:r>
              <w:rPr>
                <w:rFonts w:hint="eastAsia" w:ascii="宋体" w:hAnsi="宋体"/>
              </w:rPr>
              <w:t>古生代</w:t>
            </w:r>
          </w:p>
        </w:tc>
        <w:tc>
          <w:tcPr>
            <w:tcW w:w="485" w:type="pct"/>
            <w:vAlign w:val="center"/>
          </w:tcPr>
          <w:p w14:paraId="66683D01">
            <w:pPr>
              <w:pStyle w:val="12"/>
              <w:jc w:val="center"/>
              <w:rPr>
                <w:rFonts w:ascii="宋体" w:hAnsi="宋体"/>
              </w:rPr>
            </w:pPr>
            <w:r>
              <w:rPr>
                <w:rFonts w:hint="eastAsia" w:ascii="宋体" w:hAnsi="宋体"/>
              </w:rPr>
              <w:t>二迭纪</w:t>
            </w:r>
          </w:p>
        </w:tc>
        <w:tc>
          <w:tcPr>
            <w:tcW w:w="582" w:type="pct"/>
            <w:vAlign w:val="center"/>
          </w:tcPr>
          <w:p w14:paraId="3914AA71">
            <w:pPr>
              <w:pStyle w:val="12"/>
              <w:jc w:val="center"/>
              <w:rPr>
                <w:rFonts w:ascii="宋体" w:hAnsi="宋体"/>
              </w:rPr>
            </w:pPr>
            <w:r>
              <w:rPr>
                <w:rFonts w:hint="eastAsia" w:ascii="宋体" w:hAnsi="宋体"/>
              </w:rPr>
              <w:t>晚二迭世</w:t>
            </w:r>
          </w:p>
        </w:tc>
        <w:tc>
          <w:tcPr>
            <w:tcW w:w="485" w:type="pct"/>
            <w:vAlign w:val="center"/>
          </w:tcPr>
          <w:p w14:paraId="3AE75627">
            <w:pPr>
              <w:pStyle w:val="12"/>
              <w:jc w:val="center"/>
              <w:rPr>
                <w:rFonts w:ascii="宋体" w:hAnsi="宋体"/>
              </w:rPr>
            </w:pPr>
            <w:r>
              <w:rPr>
                <w:rFonts w:hint="eastAsia" w:ascii="宋体" w:hAnsi="宋体"/>
              </w:rPr>
              <w:t>22.5~27</w:t>
            </w:r>
          </w:p>
        </w:tc>
        <w:tc>
          <w:tcPr>
            <w:tcW w:w="678" w:type="pct"/>
            <w:vAlign w:val="center"/>
          </w:tcPr>
          <w:p w14:paraId="739F2B68">
            <w:pPr>
              <w:pStyle w:val="12"/>
              <w:jc w:val="left"/>
              <w:rPr>
                <w:rFonts w:ascii="宋体" w:hAnsi="宋体"/>
              </w:rPr>
            </w:pPr>
            <w:r>
              <w:rPr>
                <w:rFonts w:hint="eastAsia" w:ascii="宋体" w:hAnsi="宋体"/>
              </w:rPr>
              <w:t>海西运动</w:t>
            </w:r>
          </w:p>
        </w:tc>
        <w:tc>
          <w:tcPr>
            <w:tcW w:w="1260" w:type="pct"/>
            <w:vAlign w:val="center"/>
          </w:tcPr>
          <w:p w14:paraId="39896662">
            <w:pPr>
              <w:pStyle w:val="12"/>
              <w:jc w:val="left"/>
              <w:rPr>
                <w:rFonts w:ascii="宋体" w:hAnsi="宋体"/>
              </w:rPr>
            </w:pPr>
            <w:r>
              <w:rPr>
                <w:rFonts w:hint="eastAsia" w:ascii="宋体" w:hAnsi="宋体"/>
              </w:rPr>
              <w:t>石英二长岩</w:t>
            </w:r>
          </w:p>
        </w:tc>
        <w:tc>
          <w:tcPr>
            <w:tcW w:w="1064" w:type="pct"/>
            <w:vAlign w:val="center"/>
          </w:tcPr>
          <w:p w14:paraId="7AF6F473">
            <w:pPr>
              <w:pStyle w:val="12"/>
              <w:jc w:val="left"/>
              <w:rPr>
                <w:rFonts w:ascii="宋体" w:hAnsi="宋体"/>
              </w:rPr>
            </w:pPr>
            <w:r>
              <w:rPr>
                <w:rFonts w:hint="eastAsia" w:ascii="宋体" w:hAnsi="宋体"/>
              </w:rPr>
              <w:t>帽子峰镇</w:t>
            </w:r>
          </w:p>
        </w:tc>
      </w:tr>
      <w:tr w14:paraId="1DD3529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6" w:type="pct"/>
            <w:vMerge w:val="continue"/>
            <w:vAlign w:val="center"/>
          </w:tcPr>
          <w:p w14:paraId="65656A16">
            <w:pPr>
              <w:pStyle w:val="12"/>
              <w:jc w:val="center"/>
              <w:rPr>
                <w:rFonts w:ascii="宋体" w:hAnsi="宋体"/>
              </w:rPr>
            </w:pPr>
          </w:p>
        </w:tc>
        <w:tc>
          <w:tcPr>
            <w:tcW w:w="485" w:type="pct"/>
            <w:vAlign w:val="center"/>
          </w:tcPr>
          <w:p w14:paraId="550A1194">
            <w:pPr>
              <w:pStyle w:val="12"/>
              <w:jc w:val="center"/>
              <w:rPr>
                <w:rFonts w:ascii="宋体" w:hAnsi="宋体"/>
              </w:rPr>
            </w:pPr>
            <w:r>
              <w:rPr>
                <w:rFonts w:hint="eastAsia" w:ascii="宋体" w:hAnsi="宋体"/>
              </w:rPr>
              <w:t>石炭纪</w:t>
            </w:r>
          </w:p>
        </w:tc>
        <w:tc>
          <w:tcPr>
            <w:tcW w:w="582" w:type="pct"/>
            <w:vAlign w:val="center"/>
          </w:tcPr>
          <w:p w14:paraId="3BAAA9DC">
            <w:pPr>
              <w:pStyle w:val="12"/>
              <w:jc w:val="center"/>
              <w:rPr>
                <w:rFonts w:ascii="宋体" w:hAnsi="宋体"/>
              </w:rPr>
            </w:pPr>
            <w:r>
              <w:rPr>
                <w:rFonts w:hint="eastAsia" w:ascii="宋体" w:hAnsi="宋体"/>
              </w:rPr>
              <w:t>中炭世</w:t>
            </w:r>
          </w:p>
        </w:tc>
        <w:tc>
          <w:tcPr>
            <w:tcW w:w="485" w:type="pct"/>
            <w:vAlign w:val="center"/>
          </w:tcPr>
          <w:p w14:paraId="0AC69C5B">
            <w:pPr>
              <w:pStyle w:val="12"/>
              <w:jc w:val="center"/>
              <w:rPr>
                <w:rFonts w:ascii="宋体" w:hAnsi="宋体"/>
              </w:rPr>
            </w:pPr>
            <w:r>
              <w:rPr>
                <w:rFonts w:hint="eastAsia" w:ascii="宋体" w:hAnsi="宋体"/>
              </w:rPr>
              <w:t>27~35</w:t>
            </w:r>
          </w:p>
        </w:tc>
        <w:tc>
          <w:tcPr>
            <w:tcW w:w="678" w:type="pct"/>
            <w:vAlign w:val="center"/>
          </w:tcPr>
          <w:p w14:paraId="2D469034">
            <w:pPr>
              <w:pStyle w:val="12"/>
              <w:jc w:val="left"/>
              <w:rPr>
                <w:rFonts w:ascii="宋体" w:hAnsi="宋体"/>
              </w:rPr>
            </w:pPr>
            <w:r>
              <w:rPr>
                <w:rFonts w:hint="eastAsia" w:ascii="宋体" w:hAnsi="宋体"/>
              </w:rPr>
              <w:t>海西运动</w:t>
            </w:r>
          </w:p>
        </w:tc>
        <w:tc>
          <w:tcPr>
            <w:tcW w:w="1260" w:type="pct"/>
            <w:vAlign w:val="center"/>
          </w:tcPr>
          <w:p w14:paraId="2CC015EF">
            <w:pPr>
              <w:pStyle w:val="12"/>
              <w:jc w:val="left"/>
              <w:rPr>
                <w:rFonts w:ascii="宋体" w:hAnsi="宋体"/>
              </w:rPr>
            </w:pPr>
            <w:r>
              <w:rPr>
                <w:rFonts w:hint="eastAsia" w:ascii="宋体" w:hAnsi="宋体"/>
              </w:rPr>
              <w:t>石灰岩</w:t>
            </w:r>
          </w:p>
        </w:tc>
        <w:tc>
          <w:tcPr>
            <w:tcW w:w="1064" w:type="pct"/>
            <w:vAlign w:val="center"/>
          </w:tcPr>
          <w:p w14:paraId="1C48446E">
            <w:pPr>
              <w:pStyle w:val="12"/>
              <w:jc w:val="left"/>
              <w:rPr>
                <w:rFonts w:ascii="宋体" w:hAnsi="宋体"/>
              </w:rPr>
            </w:pPr>
            <w:r>
              <w:rPr>
                <w:rFonts w:hint="eastAsia" w:ascii="宋体" w:hAnsi="宋体"/>
              </w:rPr>
              <w:t>梅岭镇中部</w:t>
            </w:r>
          </w:p>
        </w:tc>
      </w:tr>
      <w:tr w14:paraId="60DA6D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6" w:type="pct"/>
            <w:vMerge w:val="continue"/>
            <w:vAlign w:val="center"/>
          </w:tcPr>
          <w:p w14:paraId="5E14D542">
            <w:pPr>
              <w:pStyle w:val="12"/>
              <w:jc w:val="center"/>
              <w:rPr>
                <w:rFonts w:ascii="宋体" w:hAnsi="宋体"/>
              </w:rPr>
            </w:pPr>
          </w:p>
        </w:tc>
        <w:tc>
          <w:tcPr>
            <w:tcW w:w="485" w:type="pct"/>
            <w:vMerge w:val="restart"/>
            <w:vAlign w:val="center"/>
          </w:tcPr>
          <w:p w14:paraId="545AEDD2">
            <w:pPr>
              <w:pStyle w:val="12"/>
              <w:jc w:val="center"/>
              <w:rPr>
                <w:rFonts w:ascii="宋体" w:hAnsi="宋体"/>
              </w:rPr>
            </w:pPr>
            <w:r>
              <w:rPr>
                <w:rFonts w:hint="eastAsia" w:ascii="宋体" w:hAnsi="宋体"/>
              </w:rPr>
              <w:t>奥陶纪</w:t>
            </w:r>
          </w:p>
        </w:tc>
        <w:tc>
          <w:tcPr>
            <w:tcW w:w="582" w:type="pct"/>
            <w:vAlign w:val="center"/>
          </w:tcPr>
          <w:p w14:paraId="14A88A74">
            <w:pPr>
              <w:pStyle w:val="12"/>
              <w:jc w:val="center"/>
              <w:rPr>
                <w:rFonts w:ascii="宋体" w:hAnsi="宋体"/>
              </w:rPr>
            </w:pPr>
            <w:r>
              <w:rPr>
                <w:rFonts w:hint="eastAsia" w:ascii="宋体" w:hAnsi="宋体"/>
              </w:rPr>
              <w:t>晚奥陶世</w:t>
            </w:r>
          </w:p>
        </w:tc>
        <w:tc>
          <w:tcPr>
            <w:tcW w:w="485" w:type="pct"/>
            <w:vMerge w:val="restart"/>
            <w:vAlign w:val="center"/>
          </w:tcPr>
          <w:p w14:paraId="04DFD430">
            <w:pPr>
              <w:pStyle w:val="12"/>
              <w:jc w:val="center"/>
              <w:rPr>
                <w:rFonts w:ascii="宋体" w:hAnsi="宋体"/>
              </w:rPr>
            </w:pPr>
            <w:r>
              <w:rPr>
                <w:rFonts w:hint="eastAsia" w:ascii="宋体" w:hAnsi="宋体"/>
              </w:rPr>
              <w:t>44~50</w:t>
            </w:r>
          </w:p>
        </w:tc>
        <w:tc>
          <w:tcPr>
            <w:tcW w:w="678" w:type="pct"/>
            <w:vMerge w:val="restart"/>
            <w:vAlign w:val="center"/>
          </w:tcPr>
          <w:p w14:paraId="6B8724B9">
            <w:pPr>
              <w:pStyle w:val="12"/>
              <w:jc w:val="left"/>
              <w:rPr>
                <w:rFonts w:ascii="宋体" w:hAnsi="宋体"/>
              </w:rPr>
            </w:pPr>
            <w:r>
              <w:rPr>
                <w:rFonts w:hint="eastAsia" w:ascii="宋体" w:hAnsi="宋体"/>
              </w:rPr>
              <w:t>加里东运动</w:t>
            </w:r>
          </w:p>
        </w:tc>
        <w:tc>
          <w:tcPr>
            <w:tcW w:w="1260" w:type="pct"/>
            <w:vMerge w:val="restart"/>
            <w:vAlign w:val="center"/>
          </w:tcPr>
          <w:p w14:paraId="33F9520B">
            <w:pPr>
              <w:pStyle w:val="12"/>
              <w:jc w:val="left"/>
              <w:rPr>
                <w:rFonts w:ascii="宋体" w:hAnsi="宋体"/>
              </w:rPr>
            </w:pPr>
            <w:r>
              <w:rPr>
                <w:rFonts w:hint="eastAsia" w:ascii="宋体" w:hAnsi="宋体"/>
              </w:rPr>
              <w:t>硅质板岩、长石石英砂岩、混合花岗岩</w:t>
            </w:r>
          </w:p>
        </w:tc>
        <w:tc>
          <w:tcPr>
            <w:tcW w:w="1064" w:type="pct"/>
            <w:vMerge w:val="restart"/>
            <w:vAlign w:val="center"/>
          </w:tcPr>
          <w:p w14:paraId="52B0868B">
            <w:pPr>
              <w:pStyle w:val="12"/>
              <w:jc w:val="left"/>
              <w:rPr>
                <w:rFonts w:ascii="宋体" w:hAnsi="宋体"/>
              </w:rPr>
            </w:pPr>
            <w:r>
              <w:rPr>
                <w:rFonts w:hint="eastAsia" w:ascii="宋体" w:hAnsi="宋体"/>
              </w:rPr>
              <w:t>帽子峰、澜河、主田、古市等镇</w:t>
            </w:r>
          </w:p>
        </w:tc>
      </w:tr>
      <w:tr w14:paraId="1DFB43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6" w:type="pct"/>
            <w:vMerge w:val="continue"/>
            <w:vAlign w:val="center"/>
          </w:tcPr>
          <w:p w14:paraId="5A4C8F8D">
            <w:pPr>
              <w:pStyle w:val="12"/>
              <w:jc w:val="center"/>
              <w:rPr>
                <w:rFonts w:ascii="宋体" w:hAnsi="宋体"/>
              </w:rPr>
            </w:pPr>
          </w:p>
        </w:tc>
        <w:tc>
          <w:tcPr>
            <w:tcW w:w="485" w:type="pct"/>
            <w:vMerge w:val="continue"/>
            <w:vAlign w:val="center"/>
          </w:tcPr>
          <w:p w14:paraId="1473DDAB">
            <w:pPr>
              <w:pStyle w:val="12"/>
              <w:jc w:val="center"/>
              <w:rPr>
                <w:rFonts w:ascii="宋体" w:hAnsi="宋体"/>
              </w:rPr>
            </w:pPr>
          </w:p>
        </w:tc>
        <w:tc>
          <w:tcPr>
            <w:tcW w:w="582" w:type="pct"/>
            <w:vAlign w:val="center"/>
          </w:tcPr>
          <w:p w14:paraId="4AAE731D">
            <w:pPr>
              <w:pStyle w:val="12"/>
              <w:jc w:val="center"/>
              <w:rPr>
                <w:rFonts w:ascii="宋体" w:hAnsi="宋体"/>
              </w:rPr>
            </w:pPr>
            <w:r>
              <w:rPr>
                <w:rFonts w:hint="eastAsia" w:ascii="宋体" w:hAnsi="宋体"/>
              </w:rPr>
              <w:t>中奥陶世</w:t>
            </w:r>
          </w:p>
        </w:tc>
        <w:tc>
          <w:tcPr>
            <w:tcW w:w="485" w:type="pct"/>
            <w:vMerge w:val="continue"/>
            <w:vAlign w:val="center"/>
          </w:tcPr>
          <w:p w14:paraId="21B44C6F">
            <w:pPr>
              <w:pStyle w:val="12"/>
              <w:jc w:val="center"/>
              <w:rPr>
                <w:rFonts w:ascii="宋体" w:hAnsi="宋体"/>
              </w:rPr>
            </w:pPr>
          </w:p>
        </w:tc>
        <w:tc>
          <w:tcPr>
            <w:tcW w:w="678" w:type="pct"/>
            <w:vMerge w:val="continue"/>
            <w:vAlign w:val="center"/>
          </w:tcPr>
          <w:p w14:paraId="7DCC531E">
            <w:pPr>
              <w:pStyle w:val="12"/>
              <w:jc w:val="left"/>
              <w:rPr>
                <w:rFonts w:ascii="宋体" w:hAnsi="宋体"/>
              </w:rPr>
            </w:pPr>
          </w:p>
        </w:tc>
        <w:tc>
          <w:tcPr>
            <w:tcW w:w="1260" w:type="pct"/>
            <w:vMerge w:val="continue"/>
            <w:vAlign w:val="center"/>
          </w:tcPr>
          <w:p w14:paraId="61A0B5E8">
            <w:pPr>
              <w:pStyle w:val="12"/>
              <w:jc w:val="left"/>
              <w:rPr>
                <w:rFonts w:ascii="宋体" w:hAnsi="宋体"/>
              </w:rPr>
            </w:pPr>
          </w:p>
        </w:tc>
        <w:tc>
          <w:tcPr>
            <w:tcW w:w="1064" w:type="pct"/>
            <w:vMerge w:val="continue"/>
            <w:vAlign w:val="center"/>
          </w:tcPr>
          <w:p w14:paraId="278C1831">
            <w:pPr>
              <w:pStyle w:val="12"/>
              <w:jc w:val="left"/>
              <w:rPr>
                <w:rFonts w:ascii="宋体" w:hAnsi="宋体"/>
              </w:rPr>
            </w:pPr>
          </w:p>
        </w:tc>
      </w:tr>
      <w:tr w14:paraId="5748F4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6" w:type="pct"/>
            <w:vMerge w:val="continue"/>
            <w:vAlign w:val="center"/>
          </w:tcPr>
          <w:p w14:paraId="568E7B2C">
            <w:pPr>
              <w:pStyle w:val="12"/>
              <w:jc w:val="center"/>
              <w:rPr>
                <w:rFonts w:ascii="宋体" w:hAnsi="宋体"/>
              </w:rPr>
            </w:pPr>
          </w:p>
        </w:tc>
        <w:tc>
          <w:tcPr>
            <w:tcW w:w="485" w:type="pct"/>
            <w:vMerge w:val="restart"/>
            <w:vAlign w:val="center"/>
          </w:tcPr>
          <w:p w14:paraId="6FC00C9E">
            <w:pPr>
              <w:pStyle w:val="12"/>
              <w:jc w:val="center"/>
              <w:rPr>
                <w:rFonts w:ascii="宋体" w:hAnsi="宋体"/>
              </w:rPr>
            </w:pPr>
            <w:r>
              <w:rPr>
                <w:rFonts w:hint="eastAsia" w:ascii="宋体" w:hAnsi="宋体"/>
              </w:rPr>
              <w:t>寒武纪</w:t>
            </w:r>
          </w:p>
        </w:tc>
        <w:tc>
          <w:tcPr>
            <w:tcW w:w="582" w:type="pct"/>
            <w:vAlign w:val="center"/>
          </w:tcPr>
          <w:p w14:paraId="515DDD68">
            <w:pPr>
              <w:pStyle w:val="12"/>
              <w:jc w:val="center"/>
              <w:rPr>
                <w:rFonts w:ascii="宋体" w:hAnsi="宋体"/>
              </w:rPr>
            </w:pPr>
            <w:r>
              <w:rPr>
                <w:rFonts w:hint="eastAsia" w:ascii="宋体" w:hAnsi="宋体"/>
              </w:rPr>
              <w:t>晚寒武世</w:t>
            </w:r>
          </w:p>
        </w:tc>
        <w:tc>
          <w:tcPr>
            <w:tcW w:w="485" w:type="pct"/>
            <w:vAlign w:val="center"/>
          </w:tcPr>
          <w:p w14:paraId="22EBAB3F">
            <w:pPr>
              <w:pStyle w:val="12"/>
              <w:jc w:val="center"/>
              <w:rPr>
                <w:rFonts w:ascii="宋体" w:hAnsi="宋体"/>
              </w:rPr>
            </w:pPr>
            <w:r>
              <w:rPr>
                <w:rFonts w:hint="eastAsia" w:ascii="宋体" w:hAnsi="宋体"/>
              </w:rPr>
              <w:t>50~60</w:t>
            </w:r>
          </w:p>
        </w:tc>
        <w:tc>
          <w:tcPr>
            <w:tcW w:w="678" w:type="pct"/>
            <w:vAlign w:val="center"/>
          </w:tcPr>
          <w:p w14:paraId="5DA3F13E">
            <w:pPr>
              <w:pStyle w:val="12"/>
              <w:jc w:val="left"/>
              <w:rPr>
                <w:rFonts w:ascii="宋体" w:hAnsi="宋体"/>
              </w:rPr>
            </w:pPr>
            <w:r>
              <w:rPr>
                <w:rFonts w:hint="eastAsia" w:ascii="宋体" w:hAnsi="宋体"/>
              </w:rPr>
              <w:t>加里东运动砂页岩</w:t>
            </w:r>
          </w:p>
        </w:tc>
        <w:tc>
          <w:tcPr>
            <w:tcW w:w="1260" w:type="pct"/>
            <w:vAlign w:val="center"/>
          </w:tcPr>
          <w:p w14:paraId="30BED011">
            <w:pPr>
              <w:pStyle w:val="12"/>
              <w:jc w:val="left"/>
              <w:rPr>
                <w:rFonts w:ascii="宋体" w:hAnsi="宋体"/>
              </w:rPr>
            </w:pPr>
            <w:r>
              <w:rPr>
                <w:rFonts w:hint="eastAsia" w:ascii="宋体" w:hAnsi="宋体"/>
              </w:rPr>
              <w:t>帽子峰镇等地</w:t>
            </w:r>
          </w:p>
        </w:tc>
        <w:tc>
          <w:tcPr>
            <w:tcW w:w="1064" w:type="pct"/>
            <w:vAlign w:val="center"/>
          </w:tcPr>
          <w:p w14:paraId="5ACDF1FB">
            <w:pPr>
              <w:pStyle w:val="12"/>
              <w:jc w:val="left"/>
              <w:rPr>
                <w:rFonts w:ascii="宋体" w:hAnsi="宋体"/>
              </w:rPr>
            </w:pPr>
            <w:r>
              <w:rPr>
                <w:rFonts w:hint="eastAsia" w:ascii="宋体" w:hAnsi="宋体"/>
              </w:rPr>
              <w:t>—</w:t>
            </w:r>
          </w:p>
        </w:tc>
      </w:tr>
      <w:tr w14:paraId="364E6D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6" w:type="pct"/>
            <w:vMerge w:val="continue"/>
            <w:vAlign w:val="center"/>
          </w:tcPr>
          <w:p w14:paraId="6AACDFD9">
            <w:pPr>
              <w:pStyle w:val="12"/>
              <w:jc w:val="center"/>
              <w:rPr>
                <w:rFonts w:ascii="宋体" w:hAnsi="宋体"/>
              </w:rPr>
            </w:pPr>
          </w:p>
        </w:tc>
        <w:tc>
          <w:tcPr>
            <w:tcW w:w="485" w:type="pct"/>
            <w:vMerge w:val="continue"/>
            <w:vAlign w:val="center"/>
          </w:tcPr>
          <w:p w14:paraId="35D2790B">
            <w:pPr>
              <w:pStyle w:val="12"/>
              <w:jc w:val="center"/>
              <w:rPr>
                <w:rFonts w:ascii="宋体" w:hAnsi="宋体"/>
              </w:rPr>
            </w:pPr>
          </w:p>
        </w:tc>
        <w:tc>
          <w:tcPr>
            <w:tcW w:w="582" w:type="pct"/>
            <w:vAlign w:val="center"/>
          </w:tcPr>
          <w:p w14:paraId="1502B905">
            <w:pPr>
              <w:pStyle w:val="12"/>
              <w:jc w:val="center"/>
              <w:rPr>
                <w:rFonts w:ascii="宋体" w:hAnsi="宋体"/>
              </w:rPr>
            </w:pPr>
            <w:r>
              <w:rPr>
                <w:rFonts w:hint="eastAsia" w:ascii="宋体" w:hAnsi="宋体"/>
              </w:rPr>
              <w:t>中寒武世</w:t>
            </w:r>
          </w:p>
        </w:tc>
        <w:tc>
          <w:tcPr>
            <w:tcW w:w="485" w:type="pct"/>
            <w:vAlign w:val="center"/>
          </w:tcPr>
          <w:p w14:paraId="0C3AA749">
            <w:pPr>
              <w:pStyle w:val="12"/>
              <w:jc w:val="center"/>
              <w:rPr>
                <w:rFonts w:ascii="宋体" w:hAnsi="宋体"/>
              </w:rPr>
            </w:pPr>
            <w:r>
              <w:rPr>
                <w:rFonts w:hint="eastAsia" w:ascii="宋体" w:hAnsi="宋体"/>
              </w:rPr>
              <w:t>50~60</w:t>
            </w:r>
          </w:p>
        </w:tc>
        <w:tc>
          <w:tcPr>
            <w:tcW w:w="678" w:type="pct"/>
            <w:vAlign w:val="center"/>
          </w:tcPr>
          <w:p w14:paraId="1C839040">
            <w:pPr>
              <w:pStyle w:val="12"/>
              <w:jc w:val="left"/>
              <w:rPr>
                <w:rFonts w:ascii="宋体" w:hAnsi="宋体"/>
              </w:rPr>
            </w:pPr>
            <w:r>
              <w:rPr>
                <w:rFonts w:hint="eastAsia" w:ascii="宋体" w:hAnsi="宋体"/>
              </w:rPr>
              <w:t>加里东运动砂页岩</w:t>
            </w:r>
          </w:p>
        </w:tc>
        <w:tc>
          <w:tcPr>
            <w:tcW w:w="1260" w:type="pct"/>
            <w:vAlign w:val="center"/>
          </w:tcPr>
          <w:p w14:paraId="748C7AC0">
            <w:pPr>
              <w:pStyle w:val="12"/>
              <w:jc w:val="left"/>
              <w:rPr>
                <w:rFonts w:ascii="宋体" w:hAnsi="宋体"/>
              </w:rPr>
            </w:pPr>
            <w:r>
              <w:rPr>
                <w:rFonts w:hint="eastAsia" w:ascii="宋体" w:hAnsi="宋体"/>
              </w:rPr>
              <w:t>帽子峰镇等地</w:t>
            </w:r>
          </w:p>
        </w:tc>
        <w:tc>
          <w:tcPr>
            <w:tcW w:w="1064" w:type="pct"/>
            <w:vAlign w:val="center"/>
          </w:tcPr>
          <w:p w14:paraId="6CF7547A">
            <w:pPr>
              <w:pStyle w:val="12"/>
              <w:jc w:val="left"/>
              <w:rPr>
                <w:rFonts w:ascii="宋体" w:hAnsi="宋体"/>
              </w:rPr>
            </w:pPr>
            <w:r>
              <w:rPr>
                <w:rFonts w:hint="eastAsia" w:ascii="宋体" w:hAnsi="宋体"/>
              </w:rPr>
              <w:t>—</w:t>
            </w:r>
          </w:p>
        </w:tc>
      </w:tr>
      <w:tr w14:paraId="4092FD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6" w:type="pct"/>
            <w:vMerge w:val="continue"/>
            <w:vAlign w:val="center"/>
          </w:tcPr>
          <w:p w14:paraId="0BD38467">
            <w:pPr>
              <w:pStyle w:val="12"/>
              <w:jc w:val="center"/>
              <w:rPr>
                <w:rFonts w:ascii="宋体" w:hAnsi="宋体"/>
              </w:rPr>
            </w:pPr>
          </w:p>
        </w:tc>
        <w:tc>
          <w:tcPr>
            <w:tcW w:w="485" w:type="pct"/>
            <w:vMerge w:val="continue"/>
            <w:vAlign w:val="center"/>
          </w:tcPr>
          <w:p w14:paraId="02F8ED9E">
            <w:pPr>
              <w:pStyle w:val="12"/>
              <w:jc w:val="center"/>
              <w:rPr>
                <w:rFonts w:ascii="宋体" w:hAnsi="宋体"/>
              </w:rPr>
            </w:pPr>
          </w:p>
        </w:tc>
        <w:tc>
          <w:tcPr>
            <w:tcW w:w="582" w:type="pct"/>
            <w:vAlign w:val="center"/>
          </w:tcPr>
          <w:p w14:paraId="6C895416">
            <w:pPr>
              <w:pStyle w:val="12"/>
              <w:jc w:val="center"/>
              <w:rPr>
                <w:rFonts w:ascii="宋体" w:hAnsi="宋体"/>
              </w:rPr>
            </w:pPr>
            <w:r>
              <w:rPr>
                <w:rFonts w:hint="eastAsia" w:ascii="宋体" w:hAnsi="宋体"/>
              </w:rPr>
              <w:t>早寒武世</w:t>
            </w:r>
          </w:p>
        </w:tc>
        <w:tc>
          <w:tcPr>
            <w:tcW w:w="485" w:type="pct"/>
            <w:vAlign w:val="center"/>
          </w:tcPr>
          <w:p w14:paraId="25AC453A">
            <w:pPr>
              <w:pStyle w:val="12"/>
              <w:jc w:val="center"/>
              <w:rPr>
                <w:rFonts w:ascii="宋体" w:hAnsi="宋体"/>
              </w:rPr>
            </w:pPr>
            <w:r>
              <w:rPr>
                <w:rFonts w:hint="eastAsia" w:ascii="宋体" w:hAnsi="宋体"/>
              </w:rPr>
              <w:t>50~60</w:t>
            </w:r>
          </w:p>
        </w:tc>
        <w:tc>
          <w:tcPr>
            <w:tcW w:w="678" w:type="pct"/>
            <w:vAlign w:val="center"/>
          </w:tcPr>
          <w:p w14:paraId="11BBC68A">
            <w:pPr>
              <w:pStyle w:val="12"/>
              <w:jc w:val="left"/>
              <w:rPr>
                <w:rFonts w:ascii="宋体" w:hAnsi="宋体"/>
              </w:rPr>
            </w:pPr>
            <w:r>
              <w:rPr>
                <w:rFonts w:hint="eastAsia" w:ascii="宋体" w:hAnsi="宋体"/>
              </w:rPr>
              <w:t>加里东运动砂页岩</w:t>
            </w:r>
          </w:p>
        </w:tc>
        <w:tc>
          <w:tcPr>
            <w:tcW w:w="1260" w:type="pct"/>
            <w:vAlign w:val="center"/>
          </w:tcPr>
          <w:p w14:paraId="1BBC53CB">
            <w:pPr>
              <w:pStyle w:val="12"/>
              <w:jc w:val="left"/>
              <w:rPr>
                <w:rFonts w:ascii="宋体" w:hAnsi="宋体"/>
              </w:rPr>
            </w:pPr>
            <w:r>
              <w:rPr>
                <w:rFonts w:hint="eastAsia" w:ascii="宋体" w:hAnsi="宋体"/>
              </w:rPr>
              <w:t>帽子峰镇等地</w:t>
            </w:r>
          </w:p>
        </w:tc>
        <w:tc>
          <w:tcPr>
            <w:tcW w:w="1064" w:type="pct"/>
            <w:vAlign w:val="center"/>
          </w:tcPr>
          <w:p w14:paraId="133A7EA0">
            <w:pPr>
              <w:pStyle w:val="12"/>
              <w:jc w:val="left"/>
              <w:rPr>
                <w:rFonts w:ascii="宋体" w:hAnsi="宋体"/>
              </w:rPr>
            </w:pPr>
            <w:r>
              <w:rPr>
                <w:rFonts w:hint="eastAsia" w:ascii="宋体" w:hAnsi="宋体"/>
              </w:rPr>
              <w:t>—</w:t>
            </w:r>
          </w:p>
        </w:tc>
      </w:tr>
      <w:tr w14:paraId="6C6E3D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6" w:type="pct"/>
            <w:vAlign w:val="center"/>
          </w:tcPr>
          <w:p w14:paraId="504E16DA">
            <w:pPr>
              <w:pStyle w:val="12"/>
              <w:jc w:val="center"/>
              <w:rPr>
                <w:rFonts w:ascii="宋体" w:hAnsi="宋体"/>
              </w:rPr>
            </w:pPr>
            <w:r>
              <w:rPr>
                <w:rFonts w:hint="eastAsia" w:ascii="宋体" w:hAnsi="宋体"/>
              </w:rPr>
              <w:t>元古代</w:t>
            </w:r>
          </w:p>
        </w:tc>
        <w:tc>
          <w:tcPr>
            <w:tcW w:w="485" w:type="pct"/>
            <w:vAlign w:val="center"/>
          </w:tcPr>
          <w:p w14:paraId="14082C72">
            <w:pPr>
              <w:pStyle w:val="12"/>
              <w:jc w:val="center"/>
              <w:rPr>
                <w:rFonts w:ascii="宋体" w:hAnsi="宋体"/>
              </w:rPr>
            </w:pPr>
            <w:r>
              <w:rPr>
                <w:rFonts w:hint="eastAsia" w:ascii="宋体" w:hAnsi="宋体"/>
              </w:rPr>
              <w:t>震旦纪</w:t>
            </w:r>
          </w:p>
        </w:tc>
        <w:tc>
          <w:tcPr>
            <w:tcW w:w="582" w:type="pct"/>
            <w:vAlign w:val="center"/>
          </w:tcPr>
          <w:p w14:paraId="33B16553">
            <w:pPr>
              <w:pStyle w:val="12"/>
              <w:jc w:val="center"/>
              <w:rPr>
                <w:rFonts w:ascii="宋体" w:hAnsi="宋体"/>
              </w:rPr>
            </w:pPr>
            <w:r>
              <w:rPr>
                <w:rFonts w:hint="eastAsia" w:ascii="宋体" w:hAnsi="宋体"/>
              </w:rPr>
              <w:t>晚震旦纪</w:t>
            </w:r>
          </w:p>
        </w:tc>
        <w:tc>
          <w:tcPr>
            <w:tcW w:w="485" w:type="pct"/>
            <w:vAlign w:val="center"/>
          </w:tcPr>
          <w:p w14:paraId="3B047689">
            <w:pPr>
              <w:pStyle w:val="12"/>
              <w:jc w:val="center"/>
              <w:rPr>
                <w:rFonts w:ascii="宋体" w:hAnsi="宋体"/>
              </w:rPr>
            </w:pPr>
            <w:r>
              <w:rPr>
                <w:rFonts w:hint="eastAsia" w:ascii="宋体" w:hAnsi="宋体"/>
              </w:rPr>
              <w:t>60</w:t>
            </w:r>
          </w:p>
        </w:tc>
        <w:tc>
          <w:tcPr>
            <w:tcW w:w="678" w:type="pct"/>
            <w:vAlign w:val="center"/>
          </w:tcPr>
          <w:p w14:paraId="2B27899C">
            <w:pPr>
              <w:pStyle w:val="12"/>
              <w:jc w:val="left"/>
              <w:rPr>
                <w:rFonts w:ascii="宋体" w:hAnsi="宋体"/>
              </w:rPr>
            </w:pPr>
            <w:r>
              <w:rPr>
                <w:rFonts w:hint="eastAsia" w:ascii="宋体" w:hAnsi="宋体"/>
              </w:rPr>
              <w:t>吕梁运动</w:t>
            </w:r>
          </w:p>
        </w:tc>
        <w:tc>
          <w:tcPr>
            <w:tcW w:w="1260" w:type="pct"/>
            <w:vAlign w:val="center"/>
          </w:tcPr>
          <w:p w14:paraId="27F339D1">
            <w:pPr>
              <w:pStyle w:val="12"/>
              <w:jc w:val="left"/>
              <w:rPr>
                <w:rFonts w:ascii="宋体" w:hAnsi="宋体"/>
              </w:rPr>
            </w:pPr>
            <w:r>
              <w:rPr>
                <w:rFonts w:hint="eastAsia" w:ascii="宋体" w:hAnsi="宋体"/>
              </w:rPr>
              <w:t>云母片岩</w:t>
            </w:r>
          </w:p>
        </w:tc>
        <w:tc>
          <w:tcPr>
            <w:tcW w:w="1064" w:type="pct"/>
            <w:vAlign w:val="center"/>
          </w:tcPr>
          <w:p w14:paraId="46789EDD">
            <w:pPr>
              <w:pStyle w:val="12"/>
              <w:jc w:val="left"/>
              <w:rPr>
                <w:rFonts w:ascii="宋体" w:hAnsi="宋体"/>
              </w:rPr>
            </w:pPr>
            <w:r>
              <w:rPr>
                <w:rFonts w:hint="eastAsia" w:ascii="宋体" w:hAnsi="宋体"/>
              </w:rPr>
              <w:t>油山茶坪岌</w:t>
            </w:r>
          </w:p>
        </w:tc>
      </w:tr>
    </w:tbl>
    <w:p w14:paraId="782C492A">
      <w:pPr>
        <w:ind w:firstLine="422"/>
        <w:rPr>
          <w:rFonts w:ascii="宋体" w:hAnsi="宋体"/>
          <w:b/>
          <w:szCs w:val="21"/>
        </w:rPr>
      </w:pPr>
      <w:r>
        <w:rPr>
          <w:rFonts w:hint="eastAsia" w:ascii="宋体" w:hAnsi="宋体"/>
          <w:b/>
          <w:szCs w:val="21"/>
        </w:rPr>
        <w:t>（三）地貌</w:t>
      </w:r>
    </w:p>
    <w:p w14:paraId="7E159BC0">
      <w:pPr>
        <w:ind w:firstLine="420"/>
        <w:rPr>
          <w:rFonts w:ascii="宋体" w:hAnsi="宋体"/>
          <w:szCs w:val="21"/>
        </w:rPr>
      </w:pPr>
      <w:r>
        <w:rPr>
          <w:rFonts w:hint="eastAsia" w:ascii="宋体" w:hAnsi="宋体"/>
          <w:szCs w:val="21"/>
        </w:rPr>
        <w:t>南雄地处大庾岭南麓，北宽南狭，南北两面群山连绵，中部盆地丘陵起伏。古来对南北山区称之为“南山”、“北山”。南山自西南向东北延伸，以青嶂山为主峰，海拔</w:t>
      </w:r>
      <w:r>
        <w:rPr>
          <w:rFonts w:ascii="宋体" w:hAnsi="宋体"/>
          <w:szCs w:val="21"/>
        </w:rPr>
        <w:t>917米，西南行有高峰（海拔840米）、寨顶埂、山角寨（海拔858米）等山岭，</w:t>
      </w:r>
      <w:r>
        <w:rPr>
          <w:rFonts w:hint="eastAsia" w:ascii="宋体" w:hAnsi="宋体"/>
          <w:szCs w:val="21"/>
        </w:rPr>
        <w:t>东北走有目龙埂、鸦子寨（海拔</w:t>
      </w:r>
      <w:r>
        <w:rPr>
          <w:rFonts w:ascii="宋体" w:hAnsi="宋体"/>
          <w:szCs w:val="21"/>
        </w:rPr>
        <w:t>872米）、龙王脑（海拔616米）、猪头寨（海拔592</w:t>
      </w:r>
      <w:r>
        <w:rPr>
          <w:rFonts w:hint="eastAsia" w:ascii="宋体" w:hAnsi="宋体"/>
          <w:szCs w:val="21"/>
        </w:rPr>
        <w:t>米）、洪泰山（海拔</w:t>
      </w:r>
      <w:r>
        <w:rPr>
          <w:rFonts w:ascii="宋体" w:hAnsi="宋体"/>
          <w:szCs w:val="21"/>
        </w:rPr>
        <w:t>716米）等山岭，南行有王石寨（海拔761人）等山岭。北山由</w:t>
      </w:r>
      <w:r>
        <w:rPr>
          <w:rFonts w:hint="eastAsia" w:ascii="宋体" w:hAnsi="宋体"/>
          <w:szCs w:val="21"/>
        </w:rPr>
        <w:t>西南向东北伸展，以观音</w:t>
      </w:r>
      <w:r>
        <w:rPr>
          <w:rFonts w:hint="eastAsia" w:ascii="宋体" w:hAnsi="宋体"/>
          <w:szCs w:val="21"/>
        </w:rPr>
        <w:drawing>
          <wp:inline distT="0" distB="0" distL="0" distR="0">
            <wp:extent cx="178435" cy="181610"/>
            <wp:effectExtent l="0" t="0" r="12065" b="889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noChangeArrowheads="1"/>
                    </pic:cNvPicPr>
                  </pic:nvPicPr>
                  <pic:blipFill>
                    <a:blip r:embed="rId193" cstate="print"/>
                    <a:srcRect/>
                    <a:stretch>
                      <a:fillRect/>
                    </a:stretch>
                  </pic:blipFill>
                  <pic:spPr>
                    <a:xfrm>
                      <a:off x="0" y="0"/>
                      <a:ext cx="178506" cy="181836"/>
                    </a:xfrm>
                    <a:prstGeom prst="rect">
                      <a:avLst/>
                    </a:prstGeom>
                    <a:noFill/>
                    <a:ln w="9525">
                      <a:noFill/>
                      <a:miter lim="800000"/>
                      <a:headEnd/>
                      <a:tailEnd/>
                    </a:ln>
                  </pic:spPr>
                </pic:pic>
              </a:graphicData>
            </a:graphic>
          </wp:inline>
        </w:drawing>
      </w:r>
      <w:r>
        <w:rPr>
          <w:rFonts w:hint="eastAsia" w:ascii="宋体" w:hAnsi="宋体"/>
          <w:szCs w:val="21"/>
        </w:rPr>
        <w:t>、帽子峰、油山为主峰。观音</w:t>
      </w:r>
      <w:r>
        <w:rPr>
          <w:rStyle w:val="11"/>
          <w:rFonts w:hint="eastAsia" w:ascii="宋体" w:hAnsi="宋体"/>
        </w:rPr>
        <w:drawing>
          <wp:inline distT="0" distB="0" distL="0" distR="0">
            <wp:extent cx="178435" cy="181610"/>
            <wp:effectExtent l="0" t="0" r="12065" b="8890"/>
            <wp:docPr id="163"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94"/>
                    <pic:cNvPicPr>
                      <a:picLocks noChangeAspect="1" noChangeArrowheads="1"/>
                    </pic:cNvPicPr>
                  </pic:nvPicPr>
                  <pic:blipFill>
                    <a:blip r:embed="rId193" cstate="print"/>
                    <a:srcRect/>
                    <a:stretch>
                      <a:fillRect/>
                    </a:stretch>
                  </pic:blipFill>
                  <pic:spPr>
                    <a:xfrm>
                      <a:off x="0" y="0"/>
                      <a:ext cx="178506" cy="181836"/>
                    </a:xfrm>
                    <a:prstGeom prst="rect">
                      <a:avLst/>
                    </a:prstGeom>
                    <a:noFill/>
                    <a:ln w="9525">
                      <a:noFill/>
                      <a:miter lim="800000"/>
                      <a:headEnd/>
                      <a:tailEnd/>
                    </a:ln>
                  </pic:spPr>
                </pic:pic>
              </a:graphicData>
            </a:graphic>
          </wp:inline>
        </w:drawing>
      </w:r>
      <w:r>
        <w:rPr>
          <w:rFonts w:hint="eastAsia" w:ascii="宋体" w:hAnsi="宋体"/>
          <w:szCs w:val="21"/>
        </w:rPr>
        <w:t>海拔</w:t>
      </w:r>
      <w:r>
        <w:rPr>
          <w:rFonts w:ascii="宋体" w:hAnsi="宋体"/>
          <w:szCs w:val="21"/>
        </w:rPr>
        <w:t>1429米，为全市最</w:t>
      </w:r>
      <w:r>
        <w:rPr>
          <w:rFonts w:hint="eastAsia" w:ascii="宋体" w:hAnsi="宋体"/>
          <w:szCs w:val="21"/>
        </w:rPr>
        <w:t>高峰，东有老殿顶（海拔</w:t>
      </w:r>
      <w:r>
        <w:rPr>
          <w:rFonts w:ascii="宋体" w:hAnsi="宋体"/>
          <w:szCs w:val="21"/>
        </w:rPr>
        <w:t>1395米）、龙华山（海拔1224米），北有白沙髻（海拔1342米）、盘墙虎（海拔1262米），西有粑子岭（海拔1190米）、花髻脑（海拔971</w:t>
      </w:r>
      <w:r>
        <w:rPr>
          <w:rFonts w:hint="eastAsia" w:ascii="宋体" w:hAnsi="宋体"/>
          <w:szCs w:val="21"/>
        </w:rPr>
        <w:t>米）等山岭。帽子峰海拔</w:t>
      </w:r>
      <w:r>
        <w:rPr>
          <w:rFonts w:ascii="宋体" w:hAnsi="宋体"/>
          <w:szCs w:val="21"/>
        </w:rPr>
        <w:t>1058米，东南行有中岭（海拔902米）、巾子岭（海拔824</w:t>
      </w:r>
      <w:r>
        <w:rPr>
          <w:rFonts w:hint="eastAsia" w:ascii="宋体" w:hAnsi="宋体"/>
          <w:szCs w:val="21"/>
        </w:rPr>
        <w:t>米）、亚机</w:t>
      </w:r>
      <w:r>
        <w:rPr>
          <w:rStyle w:val="11"/>
          <w:rFonts w:hint="eastAsia" w:ascii="宋体" w:hAnsi="宋体"/>
        </w:rPr>
        <w:drawing>
          <wp:inline distT="0" distB="0" distL="0" distR="0">
            <wp:extent cx="178435" cy="181610"/>
            <wp:effectExtent l="0" t="0" r="12065" b="8890"/>
            <wp:docPr id="16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94"/>
                    <pic:cNvPicPr>
                      <a:picLocks noChangeAspect="1" noChangeArrowheads="1"/>
                    </pic:cNvPicPr>
                  </pic:nvPicPr>
                  <pic:blipFill>
                    <a:blip r:embed="rId193" cstate="print"/>
                    <a:srcRect/>
                    <a:stretch>
                      <a:fillRect/>
                    </a:stretch>
                  </pic:blipFill>
                  <pic:spPr>
                    <a:xfrm>
                      <a:off x="0" y="0"/>
                      <a:ext cx="178506" cy="181836"/>
                    </a:xfrm>
                    <a:prstGeom prst="rect">
                      <a:avLst/>
                    </a:prstGeom>
                    <a:noFill/>
                    <a:ln w="9525">
                      <a:noFill/>
                      <a:miter lim="800000"/>
                      <a:headEnd/>
                      <a:tailEnd/>
                    </a:ln>
                  </pic:spPr>
                </pic:pic>
              </a:graphicData>
            </a:graphic>
          </wp:inline>
        </w:drawing>
      </w:r>
      <w:r>
        <w:rPr>
          <w:rFonts w:hint="eastAsia" w:ascii="宋体" w:hAnsi="宋体"/>
          <w:szCs w:val="21"/>
        </w:rPr>
        <w:t>（海拔</w:t>
      </w:r>
      <w:r>
        <w:rPr>
          <w:rFonts w:ascii="宋体" w:hAnsi="宋体"/>
          <w:szCs w:val="21"/>
        </w:rPr>
        <w:t>875米）等山岭，西行有五峰山（海拔1224米）、俚木山（海拔</w:t>
      </w:r>
      <w:r>
        <w:rPr>
          <w:rFonts w:hint="eastAsia" w:ascii="宋体" w:hAnsi="宋体"/>
          <w:szCs w:val="21"/>
        </w:rPr>
        <w:t>1</w:t>
      </w:r>
      <w:r>
        <w:rPr>
          <w:rFonts w:ascii="宋体" w:hAnsi="宋体"/>
          <w:szCs w:val="21"/>
        </w:rPr>
        <w:t>045米）、南山（海拔1303米）、云前脑（海拔1131米）、月岭寨（海拔1010米）</w:t>
      </w:r>
      <w:r>
        <w:rPr>
          <w:rFonts w:hint="eastAsia" w:ascii="宋体" w:hAnsi="宋体"/>
          <w:szCs w:val="21"/>
        </w:rPr>
        <w:t>等山岭。油山海拔</w:t>
      </w:r>
      <w:r>
        <w:rPr>
          <w:rFonts w:ascii="宋体" w:hAnsi="宋体"/>
          <w:szCs w:val="21"/>
        </w:rPr>
        <w:t>1073米，东行有穆公寨（海拔789米），南行有西厢寨（海拔965</w:t>
      </w:r>
      <w:r>
        <w:rPr>
          <w:rFonts w:hint="eastAsia" w:ascii="宋体" w:hAnsi="宋体"/>
          <w:szCs w:val="21"/>
        </w:rPr>
        <w:t>米）、琵琶寨（海拔</w:t>
      </w:r>
      <w:r>
        <w:rPr>
          <w:rFonts w:ascii="宋体" w:hAnsi="宋体"/>
          <w:szCs w:val="21"/>
        </w:rPr>
        <w:t>938米），西行有梅岭、仙人岭（海拔756米）等山岭。</w:t>
      </w:r>
    </w:p>
    <w:p w14:paraId="7011EED2">
      <w:pPr>
        <w:ind w:firstLine="420"/>
        <w:rPr>
          <w:rFonts w:ascii="宋体" w:hAnsi="宋体"/>
          <w:szCs w:val="21"/>
        </w:rPr>
      </w:pPr>
      <w:r>
        <w:rPr>
          <w:rFonts w:hint="eastAsia" w:ascii="宋体" w:hAnsi="宋体"/>
          <w:szCs w:val="21"/>
        </w:rPr>
        <w:t>南雄市地貌独特，按地势可分三个层次，高层形似驼峰，海拔多在</w:t>
      </w:r>
      <w:r>
        <w:rPr>
          <w:rFonts w:ascii="宋体" w:hAnsi="宋体"/>
          <w:szCs w:val="21"/>
        </w:rPr>
        <w:t>1000米以上，</w:t>
      </w:r>
      <w:r>
        <w:rPr>
          <w:rFonts w:hint="eastAsia" w:ascii="宋体" w:hAnsi="宋体"/>
          <w:szCs w:val="21"/>
        </w:rPr>
        <w:t>约占山地总面积的</w:t>
      </w:r>
      <w:r>
        <w:rPr>
          <w:rFonts w:ascii="宋体" w:hAnsi="宋体"/>
          <w:szCs w:val="21"/>
        </w:rPr>
        <w:t>6%；中层山峰连绵，海拔600米左右，约占山地总面积的24%；</w:t>
      </w:r>
      <w:r>
        <w:rPr>
          <w:rFonts w:hint="eastAsia" w:ascii="宋体" w:hAnsi="宋体"/>
          <w:szCs w:val="21"/>
        </w:rPr>
        <w:t>底层（山座）海拔</w:t>
      </w:r>
      <w:r>
        <w:rPr>
          <w:rFonts w:ascii="宋体" w:hAnsi="宋体"/>
          <w:szCs w:val="21"/>
        </w:rPr>
        <w:t>200米～600米，约占山地总面积的30%；基座庞大，约占山地总</w:t>
      </w:r>
      <w:r>
        <w:rPr>
          <w:rFonts w:hint="eastAsia" w:ascii="宋体" w:hAnsi="宋体"/>
          <w:szCs w:val="21"/>
        </w:rPr>
        <w:t>面积的</w:t>
      </w:r>
      <w:r>
        <w:rPr>
          <w:rFonts w:ascii="宋体" w:hAnsi="宋体"/>
          <w:szCs w:val="21"/>
        </w:rPr>
        <w:t>40%。南北山地均以40°以上倾角向盆地倾斜。东西向则倾斜平缓，倾角一般10°～20°</w:t>
      </w:r>
      <w:r>
        <w:rPr>
          <w:rFonts w:hint="eastAsia" w:ascii="宋体" w:hAnsi="宋体"/>
          <w:szCs w:val="21"/>
        </w:rPr>
        <w:t>。</w:t>
      </w:r>
    </w:p>
    <w:p w14:paraId="6E6E2A53">
      <w:pPr>
        <w:ind w:firstLine="420"/>
        <w:rPr>
          <w:rFonts w:ascii="宋体" w:hAnsi="宋体"/>
          <w:szCs w:val="21"/>
        </w:rPr>
      </w:pPr>
      <w:r>
        <w:rPr>
          <w:rFonts w:hint="eastAsia" w:ascii="宋体" w:hAnsi="宋体"/>
          <w:szCs w:val="21"/>
        </w:rPr>
        <w:t>中部丘陵自东北向西南沿浈江两岸伸展，浈江斜贯其中，形成一狭长大盆地，地质学称之为“南雄盆地”。</w:t>
      </w:r>
    </w:p>
    <w:p w14:paraId="71A3E03A">
      <w:pPr>
        <w:pStyle w:val="5"/>
        <w:rPr>
          <w:rFonts w:ascii="宋体" w:hAnsi="宋体"/>
        </w:rPr>
      </w:pPr>
      <w:r>
        <w:rPr>
          <w:rFonts w:hint="eastAsia" w:ascii="宋体" w:hAnsi="宋体"/>
        </w:rPr>
        <w:t>二、气候  物候</w:t>
      </w:r>
    </w:p>
    <w:p w14:paraId="5E6CEFCD">
      <w:pPr>
        <w:ind w:firstLine="422"/>
        <w:rPr>
          <w:rFonts w:ascii="宋体" w:hAnsi="宋体"/>
          <w:b/>
          <w:szCs w:val="21"/>
        </w:rPr>
      </w:pPr>
      <w:r>
        <w:rPr>
          <w:rFonts w:hint="eastAsia" w:ascii="宋体" w:hAnsi="宋体"/>
          <w:b/>
          <w:szCs w:val="21"/>
        </w:rPr>
        <w:t>（一）气候</w:t>
      </w:r>
    </w:p>
    <w:p w14:paraId="3BC6A042">
      <w:pPr>
        <w:ind w:firstLine="420"/>
        <w:rPr>
          <w:rFonts w:ascii="宋体" w:hAnsi="宋体"/>
          <w:szCs w:val="21"/>
        </w:rPr>
      </w:pPr>
      <w:r>
        <w:rPr>
          <w:rFonts w:hint="eastAsia" w:ascii="宋体" w:hAnsi="宋体"/>
          <w:szCs w:val="21"/>
        </w:rPr>
        <w:t>南雄位于亚欧大陆东南缘，处在北回归线北侧，属亚热带季风湿润气候区，具有四季分明，冬短夏长，秋季过渡快的特点。冬半年受大陆冷性高压控制，气温较低，寒冷少雨，多霜冻、冰冻天气出现，历年平均最低气温皆在</w:t>
      </w:r>
      <w:r>
        <w:rPr>
          <w:rFonts w:ascii="宋体" w:hAnsi="宋体"/>
          <w:szCs w:val="21"/>
        </w:rPr>
        <w:t>1月，盛行东北风，具有</w:t>
      </w:r>
      <w:r>
        <w:rPr>
          <w:rFonts w:hint="eastAsia" w:ascii="宋体" w:hAnsi="宋体"/>
          <w:szCs w:val="21"/>
        </w:rPr>
        <w:t>大陆性气候特征。夏半年受副热带海洋天气系统影响，盛行西南风，加上南雄地处赭土盆地，具有气温较高，热量充足，雨量颇丰的偏海洋性气候特点。由于市境内地形复杂，地势高低差异，山地气温比平原要低</w:t>
      </w:r>
      <w:r>
        <w:rPr>
          <w:rFonts w:ascii="宋体" w:hAnsi="宋体"/>
          <w:szCs w:val="21"/>
        </w:rPr>
        <w:t>4℃左右，雨量约多10%。</w:t>
      </w:r>
    </w:p>
    <w:p w14:paraId="17652463">
      <w:pPr>
        <w:ind w:firstLine="420"/>
        <w:rPr>
          <w:rFonts w:ascii="宋体" w:hAnsi="宋体"/>
          <w:szCs w:val="21"/>
        </w:rPr>
      </w:pPr>
      <w:r>
        <w:rPr>
          <w:rFonts w:hint="eastAsia" w:ascii="宋体" w:hAnsi="宋体"/>
          <w:szCs w:val="21"/>
        </w:rPr>
        <w:t>南雄四季气候特点如下：</w:t>
      </w:r>
    </w:p>
    <w:p w14:paraId="14C930FE">
      <w:pPr>
        <w:ind w:firstLine="420"/>
        <w:rPr>
          <w:rFonts w:ascii="宋体" w:hAnsi="宋体"/>
          <w:szCs w:val="21"/>
        </w:rPr>
      </w:pPr>
      <w:r>
        <w:rPr>
          <w:rFonts w:hint="eastAsia" w:ascii="宋体" w:hAnsi="宋体"/>
          <w:szCs w:val="21"/>
        </w:rPr>
        <w:t>春季（</w:t>
      </w:r>
      <w:r>
        <w:rPr>
          <w:rFonts w:ascii="宋体" w:hAnsi="宋体"/>
          <w:szCs w:val="21"/>
        </w:rPr>
        <w:t>3月至4月）：时晴时暖，变化无常，累年平均气温为2月10.4℃C，3月15℃，4月20℃，个别年份3月仍可见霜雪。日照时数极少。尤其是3月，一天日照</w:t>
      </w:r>
      <w:r>
        <w:rPr>
          <w:rFonts w:hint="eastAsia" w:ascii="宋体" w:hAnsi="宋体"/>
          <w:szCs w:val="21"/>
        </w:rPr>
        <w:t>在</w:t>
      </w:r>
      <w:r>
        <w:rPr>
          <w:rFonts w:ascii="宋体" w:hAnsi="宋体"/>
          <w:szCs w:val="21"/>
        </w:rPr>
        <w:t>2小时以下的天数占20天以上</w:t>
      </w:r>
      <w:r>
        <w:rPr>
          <w:rFonts w:hint="eastAsia" w:ascii="宋体" w:hAnsi="宋体"/>
          <w:szCs w:val="21"/>
        </w:rPr>
        <w:t>。</w:t>
      </w:r>
    </w:p>
    <w:p w14:paraId="5B440947">
      <w:pPr>
        <w:ind w:firstLine="420"/>
        <w:rPr>
          <w:rFonts w:ascii="宋体" w:hAnsi="宋体"/>
          <w:szCs w:val="21"/>
        </w:rPr>
      </w:pPr>
      <w:r>
        <w:rPr>
          <w:rFonts w:hint="eastAsia" w:ascii="宋体" w:hAnsi="宋体"/>
          <w:szCs w:val="21"/>
        </w:rPr>
        <w:t>夏季（</w:t>
      </w:r>
      <w:r>
        <w:rPr>
          <w:rFonts w:ascii="宋体" w:hAnsi="宋体"/>
          <w:szCs w:val="21"/>
        </w:rPr>
        <w:t>5月至9月）：初夏（5月至6月）高湿，雨量集中，强度大；盛夏（7月</w:t>
      </w:r>
      <w:r>
        <w:rPr>
          <w:rFonts w:hint="eastAsia" w:ascii="宋体" w:hAnsi="宋体"/>
          <w:szCs w:val="21"/>
        </w:rPr>
        <w:t>至</w:t>
      </w:r>
      <w:r>
        <w:rPr>
          <w:rFonts w:ascii="宋体" w:hAnsi="宋体"/>
          <w:szCs w:val="21"/>
        </w:rPr>
        <w:t>9月）降雨量少，天气炎热，光照充足。高温出现在7月至8月，月极端最高气温</w:t>
      </w:r>
      <w:r>
        <w:rPr>
          <w:rFonts w:hint="eastAsia" w:ascii="宋体" w:hAnsi="宋体"/>
          <w:szCs w:val="21"/>
        </w:rPr>
        <w:t>为</w:t>
      </w:r>
      <w:r>
        <w:rPr>
          <w:rFonts w:ascii="宋体" w:hAnsi="宋体"/>
          <w:szCs w:val="21"/>
        </w:rPr>
        <w:t>37.5℃～40.4℃。南雄虽处在较低纬度，但地处内陆，离海较远，故台风对南雄</w:t>
      </w:r>
      <w:r>
        <w:rPr>
          <w:rFonts w:hint="eastAsia" w:ascii="宋体" w:hAnsi="宋体"/>
          <w:szCs w:val="21"/>
        </w:rPr>
        <w:t>影响较弱。由于失去海风调剂，加上地处盆地，其辐射之强烈在夏季甚于海南和珠江三角洲。雨季于</w:t>
      </w:r>
      <w:r>
        <w:rPr>
          <w:rFonts w:ascii="宋体" w:hAnsi="宋体"/>
          <w:szCs w:val="21"/>
        </w:rPr>
        <w:t>4月中下旬始，5月至6月雨量平均达490.6毫米，占全年雨量的31.55%，7月至9月占年雨量24%，8月至9月出现</w:t>
      </w:r>
      <w:r>
        <w:rPr>
          <w:rFonts w:hint="eastAsia" w:ascii="宋体" w:hAnsi="宋体"/>
          <w:szCs w:val="21"/>
        </w:rPr>
        <w:t>干</w:t>
      </w:r>
      <w:r>
        <w:rPr>
          <w:rFonts w:ascii="宋体" w:hAnsi="宋体"/>
          <w:szCs w:val="21"/>
        </w:rPr>
        <w:t>旱的几率大，平均三年就有两</w:t>
      </w:r>
      <w:r>
        <w:rPr>
          <w:rFonts w:hint="eastAsia" w:ascii="宋体" w:hAnsi="宋体"/>
          <w:szCs w:val="21"/>
        </w:rPr>
        <w:t>年发生干旱。</w:t>
      </w:r>
    </w:p>
    <w:p w14:paraId="57F0E182">
      <w:pPr>
        <w:ind w:firstLine="420"/>
        <w:rPr>
          <w:rFonts w:ascii="宋体" w:hAnsi="宋体"/>
          <w:szCs w:val="21"/>
        </w:rPr>
      </w:pPr>
      <w:r>
        <w:rPr>
          <w:rFonts w:hint="eastAsia" w:ascii="宋体" w:hAnsi="宋体"/>
          <w:szCs w:val="21"/>
        </w:rPr>
        <w:t>秋季（</w:t>
      </w:r>
      <w:r>
        <w:rPr>
          <w:rFonts w:ascii="宋体" w:hAnsi="宋体"/>
          <w:szCs w:val="21"/>
        </w:rPr>
        <w:t>10月至11月）：气温迅速降低，且日较差大，干燥少云雨，累年平均气</w:t>
      </w:r>
      <w:r>
        <w:rPr>
          <w:rFonts w:hint="eastAsia" w:ascii="宋体" w:hAnsi="宋体"/>
          <w:szCs w:val="21"/>
        </w:rPr>
        <w:t>温为</w:t>
      </w:r>
      <w:r>
        <w:rPr>
          <w:rFonts w:ascii="宋体" w:hAnsi="宋体"/>
          <w:szCs w:val="21"/>
        </w:rPr>
        <w:t>10月21.2℃，11月15.8℃。总雨量118.4毫米，占年雨量7.6%，为全年降水</w:t>
      </w:r>
      <w:r>
        <w:rPr>
          <w:rFonts w:hint="eastAsia" w:ascii="宋体" w:hAnsi="宋体"/>
          <w:szCs w:val="21"/>
        </w:rPr>
        <w:t>量最少的一个季节。平均雨日也为全年最少，</w:t>
      </w:r>
      <w:r>
        <w:rPr>
          <w:rFonts w:ascii="宋体" w:hAnsi="宋体"/>
          <w:szCs w:val="21"/>
        </w:rPr>
        <w:t>10月7天，11月为6.8天。</w:t>
      </w:r>
    </w:p>
    <w:p w14:paraId="4742ABA8">
      <w:pPr>
        <w:ind w:firstLine="420"/>
        <w:rPr>
          <w:rFonts w:ascii="宋体" w:hAnsi="宋体"/>
          <w:szCs w:val="21"/>
        </w:rPr>
      </w:pPr>
      <w:r>
        <w:rPr>
          <w:rFonts w:hint="eastAsia" w:ascii="宋体" w:hAnsi="宋体"/>
          <w:szCs w:val="21"/>
        </w:rPr>
        <w:t>冬季（</w:t>
      </w:r>
      <w:r>
        <w:rPr>
          <w:rFonts w:ascii="宋体" w:hAnsi="宋体"/>
          <w:szCs w:val="21"/>
        </w:rPr>
        <w:t>12月至2月）：受蒙古次高压影响常有寒潮入侵，天气晴朗寒冷少雨，多</w:t>
      </w:r>
      <w:r>
        <w:rPr>
          <w:rFonts w:hint="eastAsia" w:ascii="宋体" w:hAnsi="宋体"/>
          <w:szCs w:val="21"/>
        </w:rPr>
        <w:t>霜冻、冰冻。累年平均雨量</w:t>
      </w:r>
      <w:r>
        <w:rPr>
          <w:rFonts w:ascii="宋体" w:hAnsi="宋体"/>
          <w:szCs w:val="21"/>
        </w:rPr>
        <w:t>298.1毫米，占全年雨量的19.17%，其中2月份占50%。气温以1月为全年最低，月平均8.8℃，月平均最低气温5.2℃，累年极端最</w:t>
      </w:r>
      <w:r>
        <w:rPr>
          <w:rFonts w:hint="eastAsia" w:ascii="宋体" w:hAnsi="宋体"/>
          <w:szCs w:val="21"/>
        </w:rPr>
        <w:t>低气温</w:t>
      </w:r>
      <w:r>
        <w:rPr>
          <w:rFonts w:ascii="宋体" w:hAnsi="宋体"/>
          <w:szCs w:val="21"/>
        </w:rPr>
        <w:t>－6.2℃（出现在1955年1月12日）。霜冻天数累年平均为18天，结冰日数</w:t>
      </w:r>
      <w:r>
        <w:rPr>
          <w:rFonts w:hint="eastAsia" w:ascii="宋体" w:hAnsi="宋体"/>
          <w:szCs w:val="21"/>
        </w:rPr>
        <w:t>平均为</w:t>
      </w:r>
      <w:r>
        <w:rPr>
          <w:rFonts w:ascii="宋体" w:hAnsi="宋体"/>
          <w:szCs w:val="21"/>
        </w:rPr>
        <w:t>9.3天，降雪日数累年平均3.3天。</w:t>
      </w:r>
    </w:p>
    <w:p w14:paraId="1E7FB217">
      <w:pPr>
        <w:ind w:firstLine="420"/>
        <w:rPr>
          <w:rFonts w:ascii="宋体" w:hAnsi="宋体"/>
          <w:szCs w:val="21"/>
        </w:rPr>
      </w:pPr>
      <w:r>
        <w:rPr>
          <w:rFonts w:hint="eastAsia" w:ascii="宋体" w:hAnsi="宋体"/>
          <w:szCs w:val="21"/>
        </w:rPr>
        <w:t>各气象要素：</w:t>
      </w:r>
    </w:p>
    <w:p w14:paraId="4AA0FDDC">
      <w:pPr>
        <w:ind w:firstLine="420"/>
        <w:rPr>
          <w:rFonts w:ascii="宋体" w:hAnsi="宋体"/>
          <w:szCs w:val="21"/>
        </w:rPr>
      </w:pPr>
      <w:r>
        <w:rPr>
          <w:rFonts w:hint="eastAsia" w:ascii="宋体" w:hAnsi="宋体"/>
          <w:szCs w:val="21"/>
        </w:rPr>
        <w:t>光照：累年平均太阳辐射量为</w:t>
      </w:r>
      <w:r>
        <w:rPr>
          <w:rFonts w:ascii="宋体" w:hAnsi="宋体"/>
          <w:szCs w:val="21"/>
        </w:rPr>
        <w:t>111.6667千卡</w:t>
      </w:r>
      <w:r>
        <w:rPr>
          <w:rFonts w:hint="eastAsia" w:ascii="宋体" w:hAnsi="宋体"/>
          <w:szCs w:val="21"/>
        </w:rPr>
        <w:t>／</w:t>
      </w:r>
      <w:r>
        <w:rPr>
          <w:rFonts w:ascii="宋体" w:hAnsi="宋体"/>
          <w:szCs w:val="21"/>
        </w:rPr>
        <w:t>平方厘米，辐射量1月、2月为最</w:t>
      </w:r>
      <w:r>
        <w:rPr>
          <w:rFonts w:hint="eastAsia" w:ascii="宋体" w:hAnsi="宋体"/>
          <w:szCs w:val="21"/>
        </w:rPr>
        <w:t>低值，</w:t>
      </w:r>
      <w:r>
        <w:rPr>
          <w:rFonts w:ascii="宋体" w:hAnsi="宋体"/>
          <w:szCs w:val="21"/>
        </w:rPr>
        <w:t>7月、8月为最高值</w:t>
      </w:r>
      <w:r>
        <w:rPr>
          <w:rFonts w:hint="eastAsia" w:ascii="宋体" w:hAnsi="宋体"/>
          <w:szCs w:val="21"/>
        </w:rPr>
        <w:t>。</w:t>
      </w:r>
    </w:p>
    <w:p w14:paraId="3ED61F7A">
      <w:pPr>
        <w:ind w:firstLine="420"/>
        <w:rPr>
          <w:rFonts w:ascii="宋体" w:hAnsi="宋体"/>
          <w:szCs w:val="21"/>
        </w:rPr>
      </w:pPr>
      <w:r>
        <w:rPr>
          <w:rFonts w:hint="eastAsia" w:ascii="宋体" w:hAnsi="宋体"/>
          <w:szCs w:val="21"/>
        </w:rPr>
        <w:t>日照：累年平均日照时数</w:t>
      </w:r>
      <w:r>
        <w:rPr>
          <w:rFonts w:ascii="宋体" w:hAnsi="宋体"/>
          <w:szCs w:val="21"/>
        </w:rPr>
        <w:t>1825.7小时，一年中以7月、8月最多，分别为252.5</w:t>
      </w:r>
      <w:r>
        <w:rPr>
          <w:rFonts w:hint="eastAsia" w:ascii="宋体" w:hAnsi="宋体"/>
          <w:szCs w:val="21"/>
        </w:rPr>
        <w:t>小时和</w:t>
      </w:r>
      <w:r>
        <w:rPr>
          <w:rFonts w:ascii="宋体" w:hAnsi="宋体"/>
          <w:szCs w:val="21"/>
        </w:rPr>
        <w:t>232小时；最少是2月、3月：分别为80.3和81.2小时</w:t>
      </w:r>
      <w:r>
        <w:rPr>
          <w:rFonts w:hint="eastAsia" w:ascii="宋体" w:hAnsi="宋体"/>
          <w:szCs w:val="21"/>
        </w:rPr>
        <w:t>。</w:t>
      </w:r>
    </w:p>
    <w:p w14:paraId="64CFBADA">
      <w:pPr>
        <w:ind w:firstLine="420"/>
        <w:rPr>
          <w:rFonts w:ascii="宋体" w:hAnsi="宋体"/>
          <w:szCs w:val="21"/>
        </w:rPr>
      </w:pPr>
      <w:r>
        <w:rPr>
          <w:rFonts w:hint="eastAsia" w:ascii="宋体" w:hAnsi="宋体"/>
          <w:szCs w:val="21"/>
        </w:rPr>
        <w:t>气温：累年平均气温</w:t>
      </w:r>
      <w:r>
        <w:rPr>
          <w:rFonts w:ascii="宋体" w:hAnsi="宋体"/>
          <w:szCs w:val="21"/>
        </w:rPr>
        <w:t>19.6℃，年平均最高气温24.5℃，平均最低气温16℃。极</w:t>
      </w:r>
      <w:r>
        <w:rPr>
          <w:rFonts w:hint="eastAsia" w:ascii="宋体" w:hAnsi="宋体"/>
          <w:szCs w:val="21"/>
        </w:rPr>
        <w:t>端最高气温</w:t>
      </w:r>
      <w:r>
        <w:rPr>
          <w:rFonts w:ascii="宋体" w:hAnsi="宋体"/>
          <w:szCs w:val="21"/>
        </w:rPr>
        <w:t>40.4℃（2003年8月4日），极端最低气温－6.2℃（1955年1月12</w:t>
      </w:r>
      <w:r>
        <w:rPr>
          <w:rFonts w:hint="eastAsia" w:ascii="宋体" w:hAnsi="宋体"/>
          <w:szCs w:val="21"/>
        </w:rPr>
        <w:t>日）。</w:t>
      </w:r>
    </w:p>
    <w:p w14:paraId="589A7292">
      <w:pPr>
        <w:ind w:firstLine="420"/>
        <w:rPr>
          <w:rFonts w:ascii="宋体" w:hAnsi="宋体"/>
          <w:szCs w:val="21"/>
        </w:rPr>
      </w:pPr>
      <w:r>
        <w:rPr>
          <w:rFonts w:hint="eastAsia" w:ascii="宋体" w:hAnsi="宋体"/>
          <w:szCs w:val="21"/>
        </w:rPr>
        <w:t>南雄全年逐日平均气温在</w:t>
      </w:r>
      <w:r>
        <w:rPr>
          <w:rFonts w:ascii="宋体" w:hAnsi="宋体"/>
          <w:szCs w:val="21"/>
        </w:rPr>
        <w:t>0℃以上，年总积温累年平均7177.9℃，农作物主要生</w:t>
      </w:r>
      <w:r>
        <w:rPr>
          <w:rFonts w:hint="eastAsia" w:ascii="宋体" w:hAnsi="宋体"/>
          <w:szCs w:val="21"/>
        </w:rPr>
        <w:t>育期的</w:t>
      </w:r>
      <w:r>
        <w:rPr>
          <w:rFonts w:ascii="宋体" w:hAnsi="宋体"/>
          <w:szCs w:val="21"/>
        </w:rPr>
        <w:t>3月至10月积温平均为5794.3℃。</w:t>
      </w:r>
    </w:p>
    <w:p w14:paraId="305EBB1A">
      <w:pPr>
        <w:ind w:firstLine="420"/>
        <w:rPr>
          <w:rFonts w:ascii="宋体" w:hAnsi="宋体"/>
          <w:szCs w:val="21"/>
        </w:rPr>
      </w:pPr>
      <w:r>
        <w:rPr>
          <w:rFonts w:hint="eastAsia" w:ascii="宋体" w:hAnsi="宋体"/>
          <w:szCs w:val="21"/>
        </w:rPr>
        <w:t>雨量：县境累年平均降雨量</w:t>
      </w:r>
      <w:r>
        <w:rPr>
          <w:rFonts w:ascii="宋体" w:hAnsi="宋体"/>
          <w:szCs w:val="21"/>
        </w:rPr>
        <w:t>1555.1毫米，总雨量充沛，但各月分布极不均匀，</w:t>
      </w:r>
      <w:r>
        <w:rPr>
          <w:rFonts w:hint="eastAsia" w:ascii="宋体" w:hAnsi="宋体"/>
          <w:szCs w:val="21"/>
        </w:rPr>
        <w:t>春末夏初前汛期（</w:t>
      </w:r>
      <w:r>
        <w:rPr>
          <w:rFonts w:ascii="宋体" w:hAnsi="宋体"/>
          <w:szCs w:val="21"/>
        </w:rPr>
        <w:t>4月至6月）总雨量达717.3毫米，占年雨量46.1%。8月至10</w:t>
      </w:r>
      <w:r>
        <w:rPr>
          <w:rFonts w:hint="eastAsia" w:ascii="宋体" w:hAnsi="宋体"/>
          <w:szCs w:val="21"/>
        </w:rPr>
        <w:t>月为干旱季节，占年雨量</w:t>
      </w:r>
      <w:r>
        <w:rPr>
          <w:rFonts w:ascii="宋体" w:hAnsi="宋体"/>
          <w:szCs w:val="21"/>
        </w:rPr>
        <w:t>20%左右。降雨地理分布，山区较平原地区多，西北部比</w:t>
      </w:r>
      <w:r>
        <w:rPr>
          <w:rFonts w:hint="eastAsia" w:ascii="宋体" w:hAnsi="宋体"/>
          <w:szCs w:val="21"/>
        </w:rPr>
        <w:t>东部多。西北部山区年平均降雨量为</w:t>
      </w:r>
      <w:r>
        <w:rPr>
          <w:rFonts w:ascii="宋体" w:hAnsi="宋体"/>
          <w:szCs w:val="21"/>
        </w:rPr>
        <w:t>1732毫米，东北部在1400</w:t>
      </w:r>
      <w:r>
        <w:rPr>
          <w:rFonts w:hint="eastAsia" w:ascii="宋体" w:hAnsi="宋体"/>
          <w:szCs w:val="21"/>
        </w:rPr>
        <w:t>毫</w:t>
      </w:r>
      <w:r>
        <w:rPr>
          <w:rFonts w:ascii="宋体" w:hAnsi="宋体"/>
          <w:szCs w:val="21"/>
        </w:rPr>
        <w:t>米以下，中部地区</w:t>
      </w:r>
      <w:r>
        <w:rPr>
          <w:rFonts w:hint="eastAsia" w:ascii="宋体" w:hAnsi="宋体"/>
          <w:szCs w:val="21"/>
        </w:rPr>
        <w:t>为</w:t>
      </w:r>
      <w:r>
        <w:rPr>
          <w:rFonts w:ascii="宋体" w:hAnsi="宋体"/>
          <w:szCs w:val="21"/>
        </w:rPr>
        <w:t>1500毫米左右</w:t>
      </w:r>
      <w:r>
        <w:rPr>
          <w:rFonts w:hint="eastAsia" w:ascii="宋体" w:hAnsi="宋体"/>
          <w:szCs w:val="21"/>
        </w:rPr>
        <w:t>。</w:t>
      </w:r>
    </w:p>
    <w:p w14:paraId="58AC2B82">
      <w:pPr>
        <w:ind w:firstLine="420"/>
        <w:rPr>
          <w:rFonts w:ascii="宋体" w:hAnsi="宋体"/>
          <w:szCs w:val="21"/>
        </w:rPr>
      </w:pPr>
      <w:r>
        <w:rPr>
          <w:rFonts w:hint="eastAsia" w:ascii="宋体" w:hAnsi="宋体"/>
          <w:szCs w:val="21"/>
        </w:rPr>
        <w:t>蒸发量：南雄累年平均蒸发量为</w:t>
      </w:r>
      <w:r>
        <w:rPr>
          <w:rFonts w:ascii="宋体" w:hAnsi="宋体"/>
          <w:szCs w:val="21"/>
        </w:rPr>
        <w:t>1678.7</w:t>
      </w:r>
      <w:r>
        <w:rPr>
          <w:rFonts w:hint="eastAsia" w:ascii="宋体" w:hAnsi="宋体"/>
          <w:szCs w:val="21"/>
        </w:rPr>
        <w:t>毫</w:t>
      </w:r>
      <w:r>
        <w:rPr>
          <w:rFonts w:ascii="宋体" w:hAnsi="宋体"/>
          <w:szCs w:val="21"/>
        </w:rPr>
        <w:t>米，累年水分支大于收，年平均蒸发</w:t>
      </w:r>
      <w:r>
        <w:rPr>
          <w:rFonts w:hint="eastAsia" w:ascii="宋体" w:hAnsi="宋体"/>
          <w:szCs w:val="21"/>
        </w:rPr>
        <w:t>量比年平均降雨量多</w:t>
      </w:r>
      <w:r>
        <w:rPr>
          <w:rFonts w:ascii="宋体" w:hAnsi="宋体"/>
          <w:szCs w:val="21"/>
        </w:rPr>
        <w:t>123.5毫米</w:t>
      </w:r>
      <w:r>
        <w:rPr>
          <w:rFonts w:hint="eastAsia" w:ascii="宋体" w:hAnsi="宋体"/>
          <w:szCs w:val="21"/>
        </w:rPr>
        <w:t>。</w:t>
      </w:r>
    </w:p>
    <w:p w14:paraId="269B9027">
      <w:pPr>
        <w:ind w:firstLine="420"/>
        <w:rPr>
          <w:rFonts w:ascii="宋体" w:hAnsi="宋体"/>
          <w:szCs w:val="21"/>
        </w:rPr>
      </w:pPr>
      <w:r>
        <w:rPr>
          <w:rFonts w:hint="eastAsia" w:ascii="宋体" w:hAnsi="宋体"/>
          <w:szCs w:val="21"/>
        </w:rPr>
        <w:t>风：全年累计平均风速为</w:t>
      </w:r>
      <w:r>
        <w:rPr>
          <w:rFonts w:ascii="宋体" w:hAnsi="宋体"/>
          <w:szCs w:val="21"/>
        </w:rPr>
        <w:t>1.8米</w:t>
      </w:r>
      <w:r>
        <w:rPr>
          <w:rFonts w:hint="eastAsia" w:ascii="宋体" w:hAnsi="宋体"/>
          <w:szCs w:val="21"/>
        </w:rPr>
        <w:t>／</w:t>
      </w:r>
      <w:r>
        <w:rPr>
          <w:rFonts w:ascii="宋体" w:hAnsi="宋体"/>
          <w:szCs w:val="21"/>
        </w:rPr>
        <w:t>秒，最大风速为14.7米</w:t>
      </w:r>
      <w:r>
        <w:rPr>
          <w:rFonts w:hint="eastAsia" w:ascii="宋体" w:hAnsi="宋体"/>
          <w:szCs w:val="21"/>
        </w:rPr>
        <w:t>／</w:t>
      </w:r>
      <w:r>
        <w:rPr>
          <w:rFonts w:ascii="宋体" w:hAnsi="宋体"/>
          <w:szCs w:val="21"/>
        </w:rPr>
        <w:t>秒（相当于7级）。累</w:t>
      </w:r>
      <w:r>
        <w:rPr>
          <w:rFonts w:hint="eastAsia" w:ascii="宋体" w:hAnsi="宋体"/>
          <w:szCs w:val="21"/>
        </w:rPr>
        <w:t>年最多风向，除静风外为东北风（</w:t>
      </w:r>
      <w:r>
        <w:rPr>
          <w:rFonts w:ascii="宋体" w:hAnsi="宋体"/>
          <w:szCs w:val="21"/>
        </w:rPr>
        <w:t>NE），频率15，最大风速为14米</w:t>
      </w:r>
      <w:r>
        <w:rPr>
          <w:rFonts w:hint="eastAsia" w:ascii="宋体" w:hAnsi="宋体"/>
          <w:szCs w:val="21"/>
        </w:rPr>
        <w:t>／</w:t>
      </w:r>
      <w:r>
        <w:rPr>
          <w:rFonts w:ascii="宋体" w:hAnsi="宋体"/>
          <w:szCs w:val="21"/>
        </w:rPr>
        <w:t>秒；其次为东</w:t>
      </w:r>
      <w:r>
        <w:rPr>
          <w:rFonts w:hint="eastAsia" w:ascii="宋体" w:hAnsi="宋体"/>
          <w:szCs w:val="21"/>
        </w:rPr>
        <w:t>北东风（</w:t>
      </w:r>
      <w:r>
        <w:rPr>
          <w:rFonts w:ascii="宋体" w:hAnsi="宋体"/>
          <w:szCs w:val="21"/>
        </w:rPr>
        <w:t>ENE），频率14，最大风速10米</w:t>
      </w:r>
      <w:r>
        <w:rPr>
          <w:rFonts w:hint="eastAsia" w:ascii="宋体" w:hAnsi="宋体"/>
          <w:szCs w:val="21"/>
        </w:rPr>
        <w:t>／</w:t>
      </w:r>
      <w:r>
        <w:rPr>
          <w:rFonts w:ascii="宋体" w:hAnsi="宋体"/>
          <w:szCs w:val="21"/>
        </w:rPr>
        <w:t>秒。从秋季开始直至春</w:t>
      </w:r>
      <w:r>
        <w:rPr>
          <w:rFonts w:hint="eastAsia" w:ascii="宋体" w:hAnsi="宋体"/>
          <w:szCs w:val="21"/>
        </w:rPr>
        <w:t>末</w:t>
      </w:r>
      <w:r>
        <w:rPr>
          <w:rFonts w:ascii="宋体" w:hAnsi="宋体"/>
          <w:szCs w:val="21"/>
        </w:rPr>
        <w:t>夏初，县境大多</w:t>
      </w:r>
      <w:r>
        <w:rPr>
          <w:rFonts w:hint="eastAsia" w:ascii="宋体" w:hAnsi="宋体"/>
          <w:szCs w:val="21"/>
        </w:rPr>
        <w:t>处于大陆冷性高压系统控制之下，</w:t>
      </w:r>
      <w:r>
        <w:rPr>
          <w:rFonts w:ascii="宋体" w:hAnsi="宋体"/>
          <w:szCs w:val="21"/>
        </w:rPr>
        <w:t>9月至次年5月以东北一东北东风为主要风向。6</w:t>
      </w:r>
      <w:r>
        <w:rPr>
          <w:rFonts w:hint="eastAsia" w:ascii="宋体" w:hAnsi="宋体"/>
          <w:szCs w:val="21"/>
        </w:rPr>
        <w:t>月至</w:t>
      </w:r>
      <w:r>
        <w:rPr>
          <w:rFonts w:ascii="宋体" w:hAnsi="宋体"/>
          <w:szCs w:val="21"/>
        </w:rPr>
        <w:t>8月以西南西（WSW）风为主要风向，频率为7，最大风速12米</w:t>
      </w:r>
      <w:r>
        <w:rPr>
          <w:rFonts w:hint="eastAsia" w:ascii="宋体" w:hAnsi="宋体"/>
          <w:szCs w:val="21"/>
        </w:rPr>
        <w:t>／</w:t>
      </w:r>
      <w:r>
        <w:rPr>
          <w:rFonts w:ascii="宋体" w:hAnsi="宋体"/>
          <w:szCs w:val="21"/>
        </w:rPr>
        <w:t>秒。累年风速</w:t>
      </w:r>
      <w:r>
        <w:rPr>
          <w:rFonts w:hint="eastAsia" w:ascii="宋体" w:hAnsi="宋体"/>
          <w:szCs w:val="21"/>
        </w:rPr>
        <w:t>大于</w:t>
      </w:r>
      <w:r>
        <w:rPr>
          <w:rFonts w:ascii="宋体" w:hAnsi="宋体"/>
          <w:szCs w:val="21"/>
        </w:rPr>
        <w:t>8级（17米</w:t>
      </w:r>
      <w:r>
        <w:rPr>
          <w:rFonts w:hint="eastAsia" w:ascii="宋体" w:hAnsi="宋体"/>
          <w:szCs w:val="21"/>
        </w:rPr>
        <w:t>／</w:t>
      </w:r>
      <w:r>
        <w:rPr>
          <w:rFonts w:ascii="宋体" w:hAnsi="宋体"/>
          <w:szCs w:val="21"/>
        </w:rPr>
        <w:t>秒）的日数共有129天，平均每年有4.7天，以7月、8月最多，</w:t>
      </w:r>
      <w:r>
        <w:rPr>
          <w:rFonts w:hint="eastAsia" w:ascii="宋体" w:hAnsi="宋体"/>
          <w:szCs w:val="21"/>
        </w:rPr>
        <w:t>共出现</w:t>
      </w:r>
      <w:r>
        <w:rPr>
          <w:rFonts w:ascii="宋体" w:hAnsi="宋体"/>
          <w:szCs w:val="21"/>
        </w:rPr>
        <w:t>66天，其次是4月、5月共出现29天。</w:t>
      </w:r>
    </w:p>
    <w:p w14:paraId="7A9203D0">
      <w:pPr>
        <w:ind w:firstLine="422"/>
        <w:rPr>
          <w:rFonts w:ascii="宋体" w:hAnsi="宋体"/>
          <w:b/>
          <w:szCs w:val="21"/>
        </w:rPr>
      </w:pPr>
      <w:r>
        <w:rPr>
          <w:rFonts w:hint="eastAsia" w:ascii="宋体" w:hAnsi="宋体"/>
          <w:b/>
          <w:szCs w:val="21"/>
        </w:rPr>
        <w:t>（二）物候</w:t>
      </w:r>
    </w:p>
    <w:p w14:paraId="674C8387">
      <w:pPr>
        <w:ind w:firstLine="422"/>
        <w:rPr>
          <w:rFonts w:ascii="宋体" w:hAnsi="宋体"/>
          <w:b/>
          <w:szCs w:val="21"/>
        </w:rPr>
      </w:pPr>
      <w:r>
        <w:rPr>
          <w:rFonts w:hint="eastAsia" w:ascii="宋体" w:hAnsi="宋体"/>
          <w:b/>
          <w:szCs w:val="21"/>
        </w:rPr>
        <w:t>农作物候</w:t>
      </w:r>
    </w:p>
    <w:p w14:paraId="57E40136">
      <w:pPr>
        <w:ind w:firstLine="420"/>
        <w:rPr>
          <w:rFonts w:ascii="宋体" w:hAnsi="宋体"/>
          <w:szCs w:val="21"/>
        </w:rPr>
      </w:pPr>
      <w:r>
        <w:rPr>
          <w:rFonts w:hint="eastAsia" w:ascii="宋体" w:hAnsi="宋体"/>
          <w:szCs w:val="21"/>
        </w:rPr>
        <w:t>水稻：早造播种为</w:t>
      </w:r>
      <w:r>
        <w:rPr>
          <w:rFonts w:ascii="宋体" w:hAnsi="宋体"/>
          <w:szCs w:val="21"/>
        </w:rPr>
        <w:t>3月中旬（惊蛰后春分前），4月中旬（清明前后）插（抛）</w:t>
      </w:r>
      <w:r>
        <w:rPr>
          <w:rFonts w:hint="eastAsia" w:ascii="宋体" w:hAnsi="宋体"/>
          <w:szCs w:val="21"/>
        </w:rPr>
        <w:t>秧，</w:t>
      </w:r>
      <w:r>
        <w:rPr>
          <w:rFonts w:ascii="宋体" w:hAnsi="宋体"/>
          <w:szCs w:val="21"/>
        </w:rPr>
        <w:t>7月中旬至6月下旬（小暑到大暑）收割；晚造播种为6月下旬（夏至前后），7</w:t>
      </w:r>
      <w:r>
        <w:rPr>
          <w:rFonts w:hint="eastAsia" w:ascii="宋体" w:hAnsi="宋体"/>
          <w:szCs w:val="21"/>
        </w:rPr>
        <w:t>月下旬（大暑前后）收割；单季稻播种为</w:t>
      </w:r>
      <w:r>
        <w:rPr>
          <w:rFonts w:ascii="宋体" w:hAnsi="宋体"/>
          <w:szCs w:val="21"/>
        </w:rPr>
        <w:t>5月下旬（小满左右），6月下旬（夏至左</w:t>
      </w:r>
      <w:r>
        <w:rPr>
          <w:rFonts w:hint="eastAsia" w:ascii="宋体" w:hAnsi="宋体"/>
          <w:szCs w:val="21"/>
        </w:rPr>
        <w:t>右）插秧，</w:t>
      </w:r>
      <w:r>
        <w:rPr>
          <w:rFonts w:ascii="宋体" w:hAnsi="宋体"/>
          <w:szCs w:val="21"/>
        </w:rPr>
        <w:t>9月中旬（秋分前后）收割</w:t>
      </w:r>
      <w:r>
        <w:rPr>
          <w:rFonts w:hint="eastAsia" w:ascii="宋体" w:hAnsi="宋体"/>
          <w:szCs w:val="21"/>
        </w:rPr>
        <w:t>。</w:t>
      </w:r>
    </w:p>
    <w:p w14:paraId="4159806F">
      <w:pPr>
        <w:ind w:firstLine="420"/>
        <w:rPr>
          <w:rFonts w:ascii="宋体" w:hAnsi="宋体"/>
          <w:szCs w:val="21"/>
        </w:rPr>
      </w:pPr>
      <w:r>
        <w:rPr>
          <w:rFonts w:hint="eastAsia" w:ascii="宋体" w:hAnsi="宋体"/>
          <w:szCs w:val="21"/>
        </w:rPr>
        <w:t>黄烟：播种育苗（尼龙薄膜）为</w:t>
      </w:r>
      <w:r>
        <w:rPr>
          <w:rFonts w:ascii="宋体" w:hAnsi="宋体"/>
          <w:szCs w:val="21"/>
        </w:rPr>
        <w:t>11月中旬（小雪前后），移栽期为2月中下旬</w:t>
      </w:r>
      <w:r>
        <w:rPr>
          <w:rFonts w:hint="eastAsia" w:ascii="宋体" w:hAnsi="宋体"/>
          <w:szCs w:val="21"/>
        </w:rPr>
        <w:t>至</w:t>
      </w:r>
      <w:r>
        <w:rPr>
          <w:rFonts w:ascii="宋体" w:hAnsi="宋体"/>
          <w:szCs w:val="21"/>
        </w:rPr>
        <w:t>3月初（雨水一惊蛰）。摘烟时间因种植时间和品种成熟期不同而各异，一般最早</w:t>
      </w:r>
      <w:r>
        <w:rPr>
          <w:rFonts w:hint="eastAsia" w:ascii="宋体" w:hAnsi="宋体"/>
          <w:szCs w:val="21"/>
        </w:rPr>
        <w:t>在</w:t>
      </w:r>
      <w:r>
        <w:rPr>
          <w:rFonts w:ascii="宋体" w:hAnsi="宋体"/>
          <w:szCs w:val="21"/>
        </w:rPr>
        <w:t>5月中下旬（芒种前）始摘，7月上旬至中旬（小暑后大暑前）摘完。</w:t>
      </w:r>
    </w:p>
    <w:p w14:paraId="49CA35EE">
      <w:pPr>
        <w:ind w:firstLine="420"/>
        <w:rPr>
          <w:rFonts w:ascii="宋体" w:hAnsi="宋体"/>
          <w:szCs w:val="21"/>
        </w:rPr>
      </w:pPr>
      <w:r>
        <w:rPr>
          <w:rFonts w:hint="eastAsia" w:ascii="宋体" w:hAnsi="宋体"/>
          <w:szCs w:val="21"/>
        </w:rPr>
        <w:t>花生：惊蛰春分为种植花生季节。收获季节视品种不同而别，有在中秋节前后收成的“八月子”、“大子”，有在早稻收获时收成的“六月子”。</w:t>
      </w:r>
    </w:p>
    <w:p w14:paraId="4BDD6D91">
      <w:pPr>
        <w:ind w:firstLine="422"/>
        <w:rPr>
          <w:rFonts w:ascii="宋体" w:hAnsi="宋体"/>
          <w:b/>
          <w:szCs w:val="21"/>
        </w:rPr>
      </w:pPr>
      <w:r>
        <w:rPr>
          <w:rFonts w:hint="eastAsia" w:ascii="宋体" w:hAnsi="宋体"/>
          <w:b/>
          <w:szCs w:val="21"/>
        </w:rPr>
        <w:t>花果候</w:t>
      </w:r>
    </w:p>
    <w:p w14:paraId="297D954B">
      <w:pPr>
        <w:ind w:firstLine="420"/>
        <w:rPr>
          <w:rFonts w:ascii="宋体" w:hAnsi="宋体"/>
          <w:szCs w:val="21"/>
        </w:rPr>
      </w:pPr>
      <w:r>
        <w:rPr>
          <w:rFonts w:hint="eastAsia" w:ascii="宋体" w:hAnsi="宋体"/>
          <w:szCs w:val="21"/>
        </w:rPr>
        <w:t>南雄民间有十二月（农历）花谣：</w:t>
      </w:r>
    </w:p>
    <w:p w14:paraId="1C9065B8">
      <w:pPr>
        <w:ind w:firstLine="420"/>
        <w:rPr>
          <w:rFonts w:ascii="宋体" w:hAnsi="宋体"/>
          <w:szCs w:val="21"/>
        </w:rPr>
      </w:pPr>
      <w:r>
        <w:rPr>
          <w:rFonts w:hint="eastAsia" w:ascii="宋体" w:hAnsi="宋体"/>
          <w:szCs w:val="21"/>
        </w:rPr>
        <w:t>一月水仙迎春开；二月桃李争艳来；</w:t>
      </w:r>
    </w:p>
    <w:p w14:paraId="63B50F3A">
      <w:pPr>
        <w:ind w:firstLine="420"/>
        <w:rPr>
          <w:rFonts w:ascii="宋体" w:hAnsi="宋体"/>
          <w:szCs w:val="21"/>
        </w:rPr>
      </w:pPr>
      <w:r>
        <w:rPr>
          <w:rFonts w:hint="eastAsia" w:ascii="宋体" w:hAnsi="宋体"/>
          <w:szCs w:val="21"/>
        </w:rPr>
        <w:t>三月枇杷多结子；四月银杏挂花忙；</w:t>
      </w:r>
    </w:p>
    <w:p w14:paraId="50C16210">
      <w:pPr>
        <w:ind w:firstLine="420"/>
        <w:rPr>
          <w:rFonts w:ascii="宋体" w:hAnsi="宋体"/>
          <w:szCs w:val="21"/>
        </w:rPr>
      </w:pPr>
      <w:r>
        <w:rPr>
          <w:rFonts w:hint="eastAsia" w:ascii="宋体" w:hAnsi="宋体"/>
          <w:szCs w:val="21"/>
        </w:rPr>
        <w:t>五月石榴红似火；六月荷花开满塘；</w:t>
      </w:r>
    </w:p>
    <w:p w14:paraId="4D4CFDF9">
      <w:pPr>
        <w:ind w:firstLine="420"/>
        <w:rPr>
          <w:rFonts w:ascii="宋体" w:hAnsi="宋体"/>
          <w:szCs w:val="21"/>
        </w:rPr>
      </w:pPr>
      <w:r>
        <w:rPr>
          <w:rFonts w:hint="eastAsia" w:ascii="宋体" w:hAnsi="宋体"/>
          <w:szCs w:val="21"/>
        </w:rPr>
        <w:t>七月茉莉人人爱；八月桂花十里香；</w:t>
      </w:r>
    </w:p>
    <w:p w14:paraId="121D656B">
      <w:pPr>
        <w:ind w:firstLine="420"/>
        <w:rPr>
          <w:rFonts w:ascii="宋体" w:hAnsi="宋体"/>
          <w:szCs w:val="21"/>
        </w:rPr>
      </w:pPr>
      <w:r>
        <w:rPr>
          <w:rFonts w:hint="eastAsia" w:ascii="宋体" w:hAnsi="宋体"/>
          <w:szCs w:val="21"/>
        </w:rPr>
        <w:t>九月菊花千百态；十月芙蓉对牡丹；</w:t>
      </w:r>
    </w:p>
    <w:p w14:paraId="7B2BED03">
      <w:pPr>
        <w:ind w:firstLine="420"/>
        <w:rPr>
          <w:rFonts w:ascii="宋体" w:hAnsi="宋体"/>
          <w:szCs w:val="21"/>
        </w:rPr>
      </w:pPr>
      <w:r>
        <w:rPr>
          <w:rFonts w:hint="eastAsia" w:ascii="宋体" w:hAnsi="宋体"/>
          <w:szCs w:val="21"/>
        </w:rPr>
        <w:t>十一月茶花初绽放；十二月腊梅透雪开。</w:t>
      </w:r>
    </w:p>
    <w:p w14:paraId="1E69389B">
      <w:pPr>
        <w:ind w:firstLine="422"/>
        <w:rPr>
          <w:rFonts w:ascii="宋体" w:hAnsi="宋体"/>
          <w:b/>
          <w:szCs w:val="21"/>
        </w:rPr>
      </w:pPr>
      <w:r>
        <w:rPr>
          <w:rFonts w:hint="eastAsia" w:ascii="宋体" w:hAnsi="宋体"/>
          <w:b/>
          <w:szCs w:val="21"/>
        </w:rPr>
        <w:t>自然植物候</w:t>
      </w:r>
    </w:p>
    <w:p w14:paraId="1B4C75A8">
      <w:pPr>
        <w:ind w:firstLine="420"/>
        <w:rPr>
          <w:rFonts w:ascii="宋体" w:hAnsi="宋体"/>
          <w:szCs w:val="21"/>
        </w:rPr>
      </w:pPr>
      <w:r>
        <w:rPr>
          <w:rFonts w:hint="eastAsia" w:ascii="宋体" w:hAnsi="宋体"/>
          <w:szCs w:val="21"/>
        </w:rPr>
        <w:t>一月（“大寒”前后）霜雪降，雄州梅（花）先放。</w:t>
      </w:r>
    </w:p>
    <w:p w14:paraId="4FFB2E1B">
      <w:pPr>
        <w:ind w:firstLine="420"/>
        <w:rPr>
          <w:rFonts w:ascii="宋体" w:hAnsi="宋体"/>
          <w:szCs w:val="21"/>
        </w:rPr>
      </w:pPr>
      <w:r>
        <w:rPr>
          <w:rFonts w:hint="eastAsia" w:ascii="宋体" w:hAnsi="宋体"/>
          <w:szCs w:val="21"/>
        </w:rPr>
        <w:t>荷树开花（立夏前后）送尽寒。</w:t>
      </w:r>
    </w:p>
    <w:p w14:paraId="4A61B9FC">
      <w:pPr>
        <w:ind w:firstLine="420"/>
        <w:rPr>
          <w:rFonts w:ascii="宋体" w:hAnsi="宋体"/>
          <w:szCs w:val="21"/>
        </w:rPr>
      </w:pPr>
      <w:r>
        <w:rPr>
          <w:rFonts w:hint="eastAsia" w:ascii="宋体" w:hAnsi="宋体"/>
          <w:szCs w:val="21"/>
        </w:rPr>
        <w:t>“寒露”到，茶籽摘，挨到“霜降”油少半。</w:t>
      </w:r>
    </w:p>
    <w:p w14:paraId="3727CD0F">
      <w:pPr>
        <w:ind w:firstLine="420"/>
        <w:rPr>
          <w:rFonts w:ascii="宋体" w:hAnsi="宋体"/>
          <w:szCs w:val="21"/>
        </w:rPr>
      </w:pPr>
      <w:r>
        <w:rPr>
          <w:rFonts w:hint="eastAsia" w:ascii="宋体" w:hAnsi="宋体"/>
          <w:szCs w:val="21"/>
        </w:rPr>
        <w:t>十月杀风到，梧桐叶落时。</w:t>
      </w:r>
    </w:p>
    <w:p w14:paraId="4C2726D3">
      <w:pPr>
        <w:ind w:firstLine="422"/>
        <w:rPr>
          <w:rFonts w:ascii="宋体" w:hAnsi="宋体"/>
          <w:b/>
          <w:szCs w:val="21"/>
        </w:rPr>
      </w:pPr>
      <w:r>
        <w:rPr>
          <w:rFonts w:hint="eastAsia" w:ascii="宋体" w:hAnsi="宋体"/>
          <w:b/>
          <w:szCs w:val="21"/>
        </w:rPr>
        <w:t>动物候</w:t>
      </w:r>
    </w:p>
    <w:p w14:paraId="7B7C56A3">
      <w:pPr>
        <w:ind w:firstLine="420"/>
        <w:rPr>
          <w:rFonts w:ascii="宋体" w:hAnsi="宋体"/>
          <w:szCs w:val="21"/>
        </w:rPr>
      </w:pPr>
      <w:r>
        <w:rPr>
          <w:rFonts w:hint="eastAsia" w:ascii="宋体" w:hAnsi="宋体"/>
          <w:szCs w:val="21"/>
        </w:rPr>
        <w:t>预示冷暖：大雁北飞不再寒，燕子飞来天气暖。蛤蟆下塘叫得早（蛤蟆下水产卵），天气必然回暖早。猪衔草做窝，天快变冷啰。冬天麻雀成团吵，不过几天寒潮到。蜘蛛白天网上爬，寒潮明天就要到。</w:t>
      </w:r>
    </w:p>
    <w:p w14:paraId="4289A2B6">
      <w:pPr>
        <w:ind w:firstLine="420"/>
        <w:rPr>
          <w:rFonts w:ascii="宋体" w:hAnsi="宋体"/>
          <w:szCs w:val="21"/>
        </w:rPr>
      </w:pPr>
      <w:r>
        <w:rPr>
          <w:rFonts w:hint="eastAsia" w:ascii="宋体" w:hAnsi="宋体"/>
          <w:szCs w:val="21"/>
        </w:rPr>
        <w:t>预示晴雨：雨中青蛙叫，晴天就来了。蚯蚓路上爬，雨水乱如麻。塘鱼水面跳得紧，三天之内雨将临。白蚁出洞到处飞，近日大雨必来临。蚂蚁出洞慌乱爬，很快就有大雨下。燕子高飞天晴好，低飞雨将到。今晚鸡群早回笼，明日太阳红彤彤。</w:t>
      </w:r>
    </w:p>
    <w:p w14:paraId="3529EE6E">
      <w:pPr>
        <w:ind w:firstLine="420"/>
        <w:rPr>
          <w:rFonts w:ascii="宋体" w:hAnsi="宋体"/>
          <w:szCs w:val="21"/>
        </w:rPr>
      </w:pPr>
      <w:r>
        <w:rPr>
          <w:rFonts w:hint="eastAsia" w:ascii="宋体" w:hAnsi="宋体"/>
          <w:szCs w:val="21"/>
        </w:rPr>
        <w:t>预示风：老鹰飞叫风，坐叫雨（坐叫即停在树上叫）。猪爬草，北风到。鹅叫风，鸭叫雨。</w:t>
      </w:r>
    </w:p>
    <w:p w14:paraId="1EDFF1CF">
      <w:pPr>
        <w:pStyle w:val="5"/>
        <w:rPr>
          <w:rFonts w:ascii="宋体" w:hAnsi="宋体"/>
        </w:rPr>
      </w:pPr>
      <w:r>
        <w:rPr>
          <w:rFonts w:hint="eastAsia" w:ascii="宋体" w:hAnsi="宋体"/>
        </w:rPr>
        <w:t>三、河川  温泉</w:t>
      </w:r>
    </w:p>
    <w:p w14:paraId="31C6EF94">
      <w:pPr>
        <w:ind w:firstLine="420"/>
        <w:rPr>
          <w:rFonts w:ascii="宋体" w:hAnsi="宋体"/>
          <w:szCs w:val="21"/>
        </w:rPr>
      </w:pPr>
      <w:r>
        <w:rPr>
          <w:rFonts w:hint="eastAsia" w:ascii="宋体" w:hAnsi="宋体"/>
          <w:szCs w:val="21"/>
        </w:rPr>
        <w:t>本市河流属北江上游，共有大小河流</w:t>
      </w:r>
      <w:r>
        <w:rPr>
          <w:rFonts w:ascii="宋体" w:hAnsi="宋体"/>
          <w:szCs w:val="21"/>
        </w:rPr>
        <w:t>110条，除浈江外，集雨面积在100平方公</w:t>
      </w:r>
      <w:r>
        <w:rPr>
          <w:rFonts w:hint="eastAsia" w:ascii="宋体" w:hAnsi="宋体"/>
          <w:szCs w:val="21"/>
        </w:rPr>
        <w:t>里以上的一级支流有</w:t>
      </w:r>
      <w:r>
        <w:rPr>
          <w:rFonts w:ascii="宋体" w:hAnsi="宋体"/>
          <w:szCs w:val="21"/>
        </w:rPr>
        <w:t>8条（凌江、南山水、瀑布水、新龙水、江头水、大坪水、百顺</w:t>
      </w:r>
      <w:r>
        <w:rPr>
          <w:rFonts w:hint="eastAsia" w:ascii="宋体" w:hAnsi="宋体"/>
          <w:szCs w:val="21"/>
        </w:rPr>
        <w:t>水、扶溪水，百顺、扶溪水流向仁化县）；</w:t>
      </w:r>
      <w:r>
        <w:rPr>
          <w:rFonts w:ascii="宋体" w:hAnsi="宋体"/>
          <w:szCs w:val="21"/>
        </w:rPr>
        <w:t>5平方公里～10平方公里的97条，其中汇</w:t>
      </w:r>
      <w:r>
        <w:rPr>
          <w:rFonts w:hint="eastAsia" w:ascii="宋体" w:hAnsi="宋体"/>
          <w:szCs w:val="21"/>
        </w:rPr>
        <w:t>入本市浈江的有</w:t>
      </w:r>
      <w:r>
        <w:rPr>
          <w:rFonts w:ascii="宋体" w:hAnsi="宋体"/>
          <w:szCs w:val="21"/>
        </w:rPr>
        <w:t>88条，汇入江西信丰县的2条，汇入本省仁化县的6条，汇入曲江</w:t>
      </w:r>
      <w:r>
        <w:rPr>
          <w:rFonts w:hint="eastAsia" w:ascii="宋体" w:hAnsi="宋体"/>
          <w:szCs w:val="21"/>
        </w:rPr>
        <w:t>县的</w:t>
      </w:r>
      <w:r>
        <w:rPr>
          <w:rFonts w:ascii="宋体" w:hAnsi="宋体"/>
          <w:szCs w:val="21"/>
        </w:rPr>
        <w:t>1条。</w:t>
      </w:r>
    </w:p>
    <w:p w14:paraId="041F58AB">
      <w:pPr>
        <w:ind w:firstLine="420"/>
        <w:rPr>
          <w:rFonts w:ascii="宋体" w:hAnsi="宋体"/>
          <w:szCs w:val="21"/>
        </w:rPr>
      </w:pPr>
      <w:r>
        <w:rPr>
          <w:rFonts w:hint="eastAsia" w:ascii="宋体" w:hAnsi="宋体"/>
          <w:szCs w:val="21"/>
        </w:rPr>
        <w:t>浈江：上游古称昌水，位于市境东部，发源于江西省信丰县爬栏寨。在信丰境内集雨面积</w:t>
      </w:r>
      <w:r>
        <w:rPr>
          <w:rFonts w:ascii="宋体" w:hAnsi="宋体"/>
          <w:szCs w:val="21"/>
        </w:rPr>
        <w:t>38平方公里，流入本县后经老破塘、石迳、迳口、</w:t>
      </w:r>
      <w:r>
        <w:rPr>
          <w:rFonts w:hint="eastAsia" w:ascii="宋体" w:hAnsi="宋体"/>
          <w:szCs w:val="21"/>
        </w:rPr>
        <w:t>乌</w:t>
      </w:r>
      <w:r>
        <w:rPr>
          <w:rFonts w:ascii="宋体" w:hAnsi="宋体"/>
          <w:szCs w:val="21"/>
        </w:rPr>
        <w:t>迳、江口、水口、市</w:t>
      </w:r>
      <w:r>
        <w:rPr>
          <w:rFonts w:hint="eastAsia" w:ascii="宋体" w:hAnsi="宋体"/>
          <w:szCs w:val="21"/>
        </w:rPr>
        <w:t>区，从古市小水出始兴经曲江入北江，县境内长</w:t>
      </w:r>
      <w:r>
        <w:rPr>
          <w:rFonts w:ascii="宋体" w:hAnsi="宋体"/>
          <w:szCs w:val="21"/>
        </w:rPr>
        <w:t>112公里，流域面积1756平方公里。</w:t>
      </w:r>
      <w:r>
        <w:rPr>
          <w:rFonts w:hint="eastAsia" w:ascii="宋体" w:hAnsi="宋体"/>
          <w:szCs w:val="21"/>
        </w:rPr>
        <w:t>河床宽</w:t>
      </w:r>
      <w:r>
        <w:rPr>
          <w:rFonts w:ascii="宋体" w:hAnsi="宋体"/>
          <w:szCs w:val="21"/>
        </w:rPr>
        <w:t>40米～80米，河床平均坡降2.35%，年平均流量43.53立方米／秒。它汇纳</w:t>
      </w:r>
      <w:r>
        <w:rPr>
          <w:rFonts w:hint="eastAsia" w:ascii="宋体" w:hAnsi="宋体"/>
          <w:szCs w:val="21"/>
        </w:rPr>
        <w:t>一、二级支流</w:t>
      </w:r>
      <w:r>
        <w:rPr>
          <w:rFonts w:ascii="宋体" w:hAnsi="宋体"/>
          <w:szCs w:val="21"/>
        </w:rPr>
        <w:t>14条，即凌江、瀑布水、江头水、大坪水、太源水、黄坑水、邓坊水</w:t>
      </w:r>
      <w:r>
        <w:rPr>
          <w:rFonts w:hint="eastAsia" w:ascii="宋体" w:hAnsi="宋体"/>
          <w:szCs w:val="21"/>
        </w:rPr>
        <w:t>、南山水、下洞水、新龙水、宝江水、南亩水等。最大洪峰流量为</w:t>
      </w:r>
      <w:r>
        <w:rPr>
          <w:rFonts w:ascii="宋体" w:hAnsi="宋体"/>
          <w:szCs w:val="21"/>
        </w:rPr>
        <w:t>1530秒立方米，最</w:t>
      </w:r>
      <w:r>
        <w:rPr>
          <w:rFonts w:hint="eastAsia" w:ascii="宋体" w:hAnsi="宋体"/>
          <w:szCs w:val="21"/>
        </w:rPr>
        <w:t>枯流量为</w:t>
      </w:r>
      <w:r>
        <w:rPr>
          <w:rFonts w:ascii="宋体" w:hAnsi="宋体"/>
          <w:szCs w:val="21"/>
        </w:rPr>
        <w:t>0.018秒立方米。1970年冬在三洲至佛岭头处新开浈江河道，裁弯取直，</w:t>
      </w:r>
      <w:r>
        <w:rPr>
          <w:rFonts w:hint="eastAsia" w:ascii="宋体" w:hAnsi="宋体"/>
          <w:szCs w:val="21"/>
        </w:rPr>
        <w:t>使原河道缩短了</w:t>
      </w:r>
      <w:r>
        <w:rPr>
          <w:rFonts w:ascii="宋体" w:hAnsi="宋体"/>
          <w:szCs w:val="21"/>
        </w:rPr>
        <w:t>2.5公里</w:t>
      </w:r>
      <w:r>
        <w:rPr>
          <w:rFonts w:hint="eastAsia" w:ascii="宋体" w:hAnsi="宋体"/>
          <w:szCs w:val="21"/>
        </w:rPr>
        <w:t>。</w:t>
      </w:r>
    </w:p>
    <w:p w14:paraId="3A0F797A">
      <w:pPr>
        <w:ind w:firstLine="420"/>
        <w:rPr>
          <w:rFonts w:ascii="宋体" w:hAnsi="宋体"/>
          <w:szCs w:val="21"/>
        </w:rPr>
      </w:pPr>
      <w:r>
        <w:rPr>
          <w:rFonts w:hint="eastAsia" w:ascii="宋体" w:hAnsi="宋体"/>
          <w:szCs w:val="21"/>
        </w:rPr>
        <w:t>凌江：古称横浦水、楼船水，位于市境西北部。首源于百顺镇杨梅村的俚木山，流经白云、澜河、密下水、陂头、莲塘至城郊水西村与浈江汇合，河长</w:t>
      </w:r>
      <w:r>
        <w:rPr>
          <w:rFonts w:ascii="宋体" w:hAnsi="宋体"/>
          <w:szCs w:val="21"/>
        </w:rPr>
        <w:t>65公里，流</w:t>
      </w:r>
      <w:r>
        <w:rPr>
          <w:rFonts w:hint="eastAsia" w:ascii="宋体" w:hAnsi="宋体"/>
          <w:szCs w:val="21"/>
        </w:rPr>
        <w:t>域内集雨面积</w:t>
      </w:r>
      <w:r>
        <w:rPr>
          <w:rFonts w:ascii="宋体" w:hAnsi="宋体"/>
          <w:szCs w:val="21"/>
        </w:rPr>
        <w:t>365平方公里。河床平均坡降14.22</w:t>
      </w:r>
      <w:r>
        <w:rPr>
          <w:rFonts w:hint="eastAsia" w:ascii="宋体" w:hAnsi="宋体"/>
          <w:szCs w:val="21"/>
        </w:rPr>
        <w:t>‰</w:t>
      </w:r>
      <w:r>
        <w:rPr>
          <w:rFonts w:ascii="宋体" w:hAnsi="宋体"/>
          <w:szCs w:val="21"/>
        </w:rPr>
        <w:t>，年平均流量9.26秒立方米，天</w:t>
      </w:r>
      <w:r>
        <w:rPr>
          <w:rFonts w:hint="eastAsia" w:ascii="宋体" w:hAnsi="宋体"/>
          <w:szCs w:val="21"/>
        </w:rPr>
        <w:t>然落差</w:t>
      </w:r>
      <w:r>
        <w:rPr>
          <w:rFonts w:ascii="宋体" w:hAnsi="宋体"/>
          <w:szCs w:val="21"/>
        </w:rPr>
        <w:t>928米，是县境仅次于</w:t>
      </w:r>
      <w:r>
        <w:rPr>
          <w:rFonts w:hint="eastAsia" w:ascii="宋体" w:hAnsi="宋体"/>
          <w:szCs w:val="21"/>
        </w:rPr>
        <w:t>浈</w:t>
      </w:r>
      <w:r>
        <w:rPr>
          <w:rFonts w:ascii="宋体" w:hAnsi="宋体"/>
          <w:szCs w:val="21"/>
        </w:rPr>
        <w:t>江的第二大河。它汇纳集雨10平方公里以内的支流</w:t>
      </w:r>
      <w:r>
        <w:rPr>
          <w:rFonts w:hint="eastAsia" w:ascii="宋体" w:hAnsi="宋体"/>
          <w:szCs w:val="21"/>
        </w:rPr>
        <w:t>有</w:t>
      </w:r>
      <w:r>
        <w:rPr>
          <w:rFonts w:ascii="宋体" w:hAnsi="宋体"/>
          <w:szCs w:val="21"/>
        </w:rPr>
        <w:t>8条，即洞底水、白云村水、上澜河水、潭溪水、坪山水、新店水、吊基岭水、网</w:t>
      </w:r>
      <w:r>
        <w:rPr>
          <w:rFonts w:hint="eastAsia" w:ascii="宋体" w:hAnsi="宋体"/>
          <w:szCs w:val="21"/>
        </w:rPr>
        <w:t>岭水。</w:t>
      </w:r>
    </w:p>
    <w:p w14:paraId="6C98E222">
      <w:pPr>
        <w:ind w:firstLine="420"/>
        <w:rPr>
          <w:rFonts w:ascii="宋体" w:hAnsi="宋体"/>
          <w:szCs w:val="21"/>
        </w:rPr>
      </w:pPr>
      <w:r>
        <w:rPr>
          <w:rFonts w:hint="eastAsia" w:ascii="宋体" w:hAnsi="宋体"/>
          <w:szCs w:val="21"/>
        </w:rPr>
        <w:t>瀑布水：位于浈江南岸，古称修仁水，又称城门水，发源于主田镇山角寨，流经泷下、大坝、主田、城门至修仁汇入浈江，河长</w:t>
      </w:r>
      <w:r>
        <w:rPr>
          <w:rFonts w:ascii="宋体" w:hAnsi="宋体"/>
          <w:szCs w:val="21"/>
        </w:rPr>
        <w:t>35公里，河床坡降9.27‰，天然落</w:t>
      </w:r>
      <w:r>
        <w:rPr>
          <w:rFonts w:hint="eastAsia" w:ascii="宋体" w:hAnsi="宋体"/>
          <w:szCs w:val="21"/>
        </w:rPr>
        <w:t>差</w:t>
      </w:r>
      <w:r>
        <w:rPr>
          <w:rFonts w:ascii="宋体" w:hAnsi="宋体"/>
          <w:szCs w:val="21"/>
        </w:rPr>
        <w:t>746米，流域内集雨面积174平方公里。流域上游泷下段已建瀑布水库，控制集雨</w:t>
      </w:r>
      <w:r>
        <w:rPr>
          <w:rFonts w:hint="eastAsia" w:ascii="宋体" w:hAnsi="宋体"/>
          <w:szCs w:val="21"/>
        </w:rPr>
        <w:t>面积</w:t>
      </w:r>
      <w:r>
        <w:rPr>
          <w:rFonts w:ascii="宋体" w:hAnsi="宋体"/>
          <w:szCs w:val="21"/>
        </w:rPr>
        <w:t>76平方公里，占流域面积43.7%，并利用其天然落差建有一、二级电站，装机6台，总容量6700千瓦，是南雄现在最大的电站。其下游是瀑布灌区，耕地面积有2893.</w:t>
      </w:r>
      <w:r>
        <w:rPr>
          <w:rFonts w:hint="eastAsia" w:ascii="宋体" w:hAnsi="宋体"/>
          <w:szCs w:val="21"/>
        </w:rPr>
        <w:t>3</w:t>
      </w:r>
      <w:r>
        <w:rPr>
          <w:rFonts w:ascii="宋体" w:hAnsi="宋体"/>
          <w:szCs w:val="21"/>
        </w:rPr>
        <w:t>3公顷。它汇纳集雨10平方公里以上的支流有3条，即南山水、塘山水、溪口</w:t>
      </w:r>
      <w:r>
        <w:rPr>
          <w:rFonts w:hint="eastAsia" w:ascii="宋体" w:hAnsi="宋体"/>
          <w:szCs w:val="21"/>
        </w:rPr>
        <w:t>水。</w:t>
      </w:r>
    </w:p>
    <w:p w14:paraId="1528A192">
      <w:pPr>
        <w:ind w:firstLine="420"/>
        <w:rPr>
          <w:rFonts w:ascii="宋体" w:hAnsi="宋体"/>
          <w:szCs w:val="21"/>
        </w:rPr>
      </w:pPr>
      <w:r>
        <w:rPr>
          <w:rFonts w:hint="eastAsia" w:ascii="宋体" w:hAnsi="宋体"/>
          <w:szCs w:val="21"/>
        </w:rPr>
        <w:t>南山水：古称浈江，又称北坑水，位于浈江北岸，发源于梅岭大人寨，流经灵潭、新湖、长市至三水汇入浈江，河长</w:t>
      </w:r>
      <w:r>
        <w:rPr>
          <w:rFonts w:ascii="宋体" w:hAnsi="宋体"/>
          <w:szCs w:val="21"/>
        </w:rPr>
        <w:t>32公里，河床坡降3.57‰，天然落差511米。</w:t>
      </w:r>
      <w:r>
        <w:rPr>
          <w:rFonts w:hint="eastAsia" w:ascii="宋体" w:hAnsi="宋体"/>
          <w:szCs w:val="21"/>
        </w:rPr>
        <w:t>流域内集雨面积</w:t>
      </w:r>
      <w:r>
        <w:rPr>
          <w:rFonts w:ascii="宋体" w:hAnsi="宋体"/>
          <w:szCs w:val="21"/>
        </w:rPr>
        <w:t>2</w:t>
      </w:r>
      <w:r>
        <w:rPr>
          <w:rFonts w:hint="eastAsia" w:ascii="宋体" w:hAnsi="宋体"/>
          <w:szCs w:val="21"/>
        </w:rPr>
        <w:t>1</w:t>
      </w:r>
      <w:r>
        <w:rPr>
          <w:rFonts w:ascii="宋体" w:hAnsi="宋体"/>
          <w:szCs w:val="21"/>
        </w:rPr>
        <w:t>9平方公里。它汇纳集雨10平方公里以上50平方公里以下的支流</w:t>
      </w:r>
      <w:r>
        <w:rPr>
          <w:rFonts w:hint="eastAsia" w:ascii="宋体" w:hAnsi="宋体"/>
          <w:szCs w:val="21"/>
        </w:rPr>
        <w:t>有</w:t>
      </w:r>
      <w:r>
        <w:rPr>
          <w:rFonts w:ascii="宋体" w:hAnsi="宋体"/>
          <w:szCs w:val="21"/>
        </w:rPr>
        <w:t>5条，即灵潭水、庙角头水、里东水、中坑水、赤马水。流域内已建横江水库（中</w:t>
      </w:r>
      <w:r>
        <w:rPr>
          <w:rFonts w:hint="eastAsia" w:ascii="宋体" w:hAnsi="宋体"/>
          <w:szCs w:val="21"/>
        </w:rPr>
        <w:t>型）及梅岭水库</w:t>
      </w:r>
      <w:r>
        <w:rPr>
          <w:rFonts w:ascii="宋体" w:hAnsi="宋体"/>
          <w:szCs w:val="21"/>
        </w:rPr>
        <w:t>［小（一）型</w:t>
      </w:r>
      <w:r>
        <w:rPr>
          <w:rFonts w:hint="eastAsia" w:ascii="宋体" w:hAnsi="宋体"/>
          <w:szCs w:val="21"/>
        </w:rPr>
        <w:t>］</w:t>
      </w:r>
      <w:r>
        <w:rPr>
          <w:rFonts w:ascii="宋体" w:hAnsi="宋体"/>
          <w:szCs w:val="21"/>
        </w:rPr>
        <w:t>、罗田水库［小（一）型</w:t>
      </w:r>
      <w:r>
        <w:rPr>
          <w:rFonts w:hint="eastAsia" w:ascii="宋体" w:hAnsi="宋体"/>
          <w:szCs w:val="21"/>
        </w:rPr>
        <w:t>］</w:t>
      </w:r>
      <w:r>
        <w:rPr>
          <w:rFonts w:ascii="宋体" w:hAnsi="宋体"/>
          <w:szCs w:val="21"/>
        </w:rPr>
        <w:t>。控制集雨面积29.37平</w:t>
      </w:r>
      <w:r>
        <w:rPr>
          <w:rFonts w:hint="eastAsia" w:ascii="宋体" w:hAnsi="宋体"/>
          <w:szCs w:val="21"/>
        </w:rPr>
        <w:t>方公里，占流域面积</w:t>
      </w:r>
      <w:r>
        <w:rPr>
          <w:rFonts w:ascii="宋体" w:hAnsi="宋体"/>
          <w:szCs w:val="21"/>
        </w:rPr>
        <w:t>13.4%</w:t>
      </w:r>
      <w:r>
        <w:rPr>
          <w:rFonts w:hint="eastAsia" w:ascii="宋体" w:hAnsi="宋体"/>
          <w:szCs w:val="21"/>
        </w:rPr>
        <w:t>。</w:t>
      </w:r>
    </w:p>
    <w:p w14:paraId="550A85CE">
      <w:pPr>
        <w:ind w:firstLine="420"/>
        <w:rPr>
          <w:rFonts w:ascii="宋体" w:hAnsi="宋体"/>
          <w:szCs w:val="21"/>
        </w:rPr>
      </w:pPr>
      <w:r>
        <w:rPr>
          <w:rFonts w:hint="eastAsia" w:ascii="宋体" w:hAnsi="宋体"/>
          <w:szCs w:val="21"/>
        </w:rPr>
        <w:t>新龙水：位于浈江东南岸，古称坪田水，发源于坪田洪泰山，流经坪田、新龙至江口圩汇入浈江，河长</w:t>
      </w:r>
      <w:r>
        <w:rPr>
          <w:rFonts w:ascii="宋体" w:hAnsi="宋体"/>
          <w:szCs w:val="21"/>
        </w:rPr>
        <w:t>27公里，河床平均坡降8.23%，天然落差568米，流域内集</w:t>
      </w:r>
      <w:r>
        <w:rPr>
          <w:rFonts w:hint="eastAsia" w:ascii="宋体" w:hAnsi="宋体"/>
          <w:szCs w:val="21"/>
        </w:rPr>
        <w:t>雨面积</w:t>
      </w:r>
      <w:r>
        <w:rPr>
          <w:rFonts w:ascii="宋体" w:hAnsi="宋体"/>
          <w:szCs w:val="21"/>
        </w:rPr>
        <w:t>109平方公里。上游建有中坪水库，控制集雨面积26平方公里，占流域面积23.9%</w:t>
      </w:r>
      <w:r>
        <w:rPr>
          <w:rFonts w:hint="eastAsia" w:ascii="宋体" w:hAnsi="宋体"/>
          <w:szCs w:val="21"/>
        </w:rPr>
        <w:t>。</w:t>
      </w:r>
    </w:p>
    <w:p w14:paraId="057DCBE8">
      <w:pPr>
        <w:ind w:firstLine="420"/>
        <w:rPr>
          <w:rFonts w:ascii="宋体" w:hAnsi="宋体"/>
          <w:szCs w:val="21"/>
        </w:rPr>
      </w:pPr>
      <w:r>
        <w:rPr>
          <w:rFonts w:hint="eastAsia" w:ascii="宋体" w:hAnsi="宋体"/>
          <w:szCs w:val="21"/>
        </w:rPr>
        <w:t>江头水：又称长潭水，位于浈江南岸，发源于主田窑合，流经小竹、江头圩、园圃至涌溪汇入浈江，河长</w:t>
      </w:r>
      <w:r>
        <w:rPr>
          <w:rFonts w:ascii="宋体" w:hAnsi="宋体"/>
          <w:szCs w:val="21"/>
        </w:rPr>
        <w:t>18公里，河床平均坡降19.2‰，天然落差577米，流域内</w:t>
      </w:r>
      <w:r>
        <w:rPr>
          <w:rFonts w:hint="eastAsia" w:ascii="宋体" w:hAnsi="宋体"/>
          <w:szCs w:val="21"/>
        </w:rPr>
        <w:t>集雨面积</w:t>
      </w:r>
      <w:r>
        <w:rPr>
          <w:rFonts w:ascii="宋体" w:hAnsi="宋体"/>
          <w:szCs w:val="21"/>
        </w:rPr>
        <w:t>106平方公里。上游建有长尾、长潭等电站</w:t>
      </w:r>
      <w:r>
        <w:rPr>
          <w:rFonts w:hint="eastAsia" w:ascii="宋体" w:hAnsi="宋体"/>
          <w:szCs w:val="21"/>
        </w:rPr>
        <w:t>。</w:t>
      </w:r>
    </w:p>
    <w:p w14:paraId="2FD740A7">
      <w:pPr>
        <w:ind w:firstLine="420"/>
        <w:rPr>
          <w:rFonts w:ascii="宋体" w:hAnsi="宋体"/>
          <w:szCs w:val="21"/>
        </w:rPr>
      </w:pPr>
      <w:r>
        <w:rPr>
          <w:rFonts w:hint="eastAsia" w:ascii="宋体" w:hAnsi="宋体"/>
          <w:szCs w:val="21"/>
        </w:rPr>
        <w:t>大坪水：又称半径水，位于浈江北岸，发源于百顺镇观音</w:t>
      </w:r>
      <w:r>
        <w:rPr>
          <w:rStyle w:val="11"/>
          <w:rFonts w:hint="eastAsia" w:ascii="宋体" w:hAnsi="宋体"/>
        </w:rPr>
        <w:drawing>
          <wp:inline distT="0" distB="0" distL="0" distR="0">
            <wp:extent cx="178435" cy="181610"/>
            <wp:effectExtent l="0" t="0" r="12065" b="8890"/>
            <wp:docPr id="165"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94"/>
                    <pic:cNvPicPr>
                      <a:picLocks noChangeAspect="1" noChangeArrowheads="1"/>
                    </pic:cNvPicPr>
                  </pic:nvPicPr>
                  <pic:blipFill>
                    <a:blip r:embed="rId193" cstate="print"/>
                    <a:srcRect/>
                    <a:stretch>
                      <a:fillRect/>
                    </a:stretch>
                  </pic:blipFill>
                  <pic:spPr>
                    <a:xfrm>
                      <a:off x="0" y="0"/>
                      <a:ext cx="178506" cy="181836"/>
                    </a:xfrm>
                    <a:prstGeom prst="rect">
                      <a:avLst/>
                    </a:prstGeom>
                    <a:noFill/>
                    <a:ln w="9525">
                      <a:noFill/>
                      <a:miter lim="800000"/>
                      <a:headEnd/>
                      <a:tailEnd/>
                    </a:ln>
                  </pic:spPr>
                </pic:pic>
              </a:graphicData>
            </a:graphic>
          </wp:inline>
        </w:drawing>
      </w:r>
      <w:r>
        <w:rPr>
          <w:rFonts w:hint="eastAsia" w:ascii="宋体" w:hAnsi="宋体"/>
          <w:szCs w:val="21"/>
        </w:rPr>
        <w:t>，流经苍石至古市的小水汇入浈江，河长</w:t>
      </w:r>
      <w:r>
        <w:rPr>
          <w:rFonts w:ascii="宋体" w:hAnsi="宋体"/>
          <w:szCs w:val="21"/>
        </w:rPr>
        <w:t>33公里，河床平均坡降15.7‰，天然落差1320米，流域内集雨</w:t>
      </w:r>
      <w:r>
        <w:rPr>
          <w:rFonts w:hint="eastAsia" w:ascii="宋体" w:hAnsi="宋体"/>
          <w:szCs w:val="21"/>
        </w:rPr>
        <w:t>面积</w:t>
      </w:r>
      <w:r>
        <w:rPr>
          <w:rFonts w:ascii="宋体" w:hAnsi="宋体"/>
          <w:szCs w:val="21"/>
        </w:rPr>
        <w:t>101平方公里。上游已建苍石水库，总库容1172万立方米。全流域共建电站9</w:t>
      </w:r>
      <w:r>
        <w:rPr>
          <w:rFonts w:hint="eastAsia" w:ascii="宋体" w:hAnsi="宋体"/>
          <w:szCs w:val="21"/>
        </w:rPr>
        <w:t>座，装机</w:t>
      </w:r>
      <w:r>
        <w:rPr>
          <w:rFonts w:ascii="宋体" w:hAnsi="宋体"/>
          <w:szCs w:val="21"/>
        </w:rPr>
        <w:t>7685千瓦，下游建苍石引水工程，引水流量0.4立方米／秒</w:t>
      </w:r>
      <w:r>
        <w:rPr>
          <w:rFonts w:hint="eastAsia" w:ascii="宋体" w:hAnsi="宋体"/>
          <w:szCs w:val="21"/>
        </w:rPr>
        <w:t>。</w:t>
      </w:r>
    </w:p>
    <w:p w14:paraId="205DD4D1">
      <w:pPr>
        <w:ind w:firstLine="420"/>
        <w:rPr>
          <w:rFonts w:ascii="宋体" w:hAnsi="宋体"/>
          <w:szCs w:val="21"/>
        </w:rPr>
      </w:pPr>
      <w:r>
        <w:rPr>
          <w:rFonts w:hint="eastAsia" w:ascii="宋体" w:hAnsi="宋体"/>
          <w:szCs w:val="21"/>
        </w:rPr>
        <w:t>百顺水：又称石夹水、塘源水、发源于百顺镇河洞山坳，流经邻县仁化、曲江，在曲江县高坪出口汇入浈江。河长</w:t>
      </w:r>
      <w:r>
        <w:rPr>
          <w:rFonts w:ascii="宋体" w:hAnsi="宋体"/>
          <w:szCs w:val="21"/>
        </w:rPr>
        <w:t>59公里，集雨面积392平方公里，河床平均坡降5.</w:t>
      </w:r>
      <w:r>
        <w:rPr>
          <w:rFonts w:hint="eastAsia" w:ascii="宋体" w:hAnsi="宋体"/>
          <w:szCs w:val="21"/>
        </w:rPr>
        <w:t>9</w:t>
      </w:r>
      <w:r>
        <w:rPr>
          <w:rFonts w:ascii="宋体" w:hAnsi="宋体"/>
          <w:szCs w:val="21"/>
        </w:rPr>
        <w:t>6‰。在南雄境内河长17.8公里，河床坡降19.3‰，天然落差720米，集雨面积69.5平方公里，水力资源丰富，已建电站3座，装机1925千瓦。</w:t>
      </w:r>
    </w:p>
    <w:p w14:paraId="7C12EFDF">
      <w:pPr>
        <w:ind w:firstLine="420"/>
        <w:rPr>
          <w:rFonts w:ascii="宋体" w:hAnsi="宋体"/>
          <w:szCs w:val="21"/>
        </w:rPr>
      </w:pPr>
      <w:r>
        <w:rPr>
          <w:rFonts w:hint="eastAsia" w:ascii="宋体" w:hAnsi="宋体"/>
          <w:szCs w:val="21"/>
        </w:rPr>
        <w:t>扶溪水：位于市区东北部，发源于百顺镇俚木山左，流经邻县仁化，流域面积</w:t>
      </w:r>
      <w:r>
        <w:rPr>
          <w:rFonts w:ascii="宋体" w:hAnsi="宋体"/>
          <w:szCs w:val="21"/>
        </w:rPr>
        <w:t>132平方公里。南雄境内集雨面积16平方公里，河长8.78公里，平均河床坡降59.6‰，已建电站2座，装机740千瓦。</w:t>
      </w:r>
    </w:p>
    <w:p w14:paraId="4871B7A0">
      <w:pPr>
        <w:ind w:firstLine="420"/>
        <w:rPr>
          <w:rFonts w:ascii="宋体" w:hAnsi="宋体"/>
          <w:szCs w:val="21"/>
        </w:rPr>
      </w:pPr>
      <w:r>
        <w:rPr>
          <w:rFonts w:hint="eastAsia" w:ascii="宋体" w:hAnsi="宋体"/>
          <w:szCs w:val="21"/>
        </w:rPr>
        <w:t>太源水：位于浈江东北岸，发源于坪田坳，流经上朔、高溯，从新田圩出口汇入浈冮，河长</w:t>
      </w:r>
      <w:r>
        <w:rPr>
          <w:rFonts w:ascii="宋体" w:hAnsi="宋体"/>
          <w:szCs w:val="21"/>
        </w:rPr>
        <w:t>24.1公里。河床平均坡降9.96‰，天然落差641米。流域内集雨面积</w:t>
      </w:r>
      <w:r>
        <w:rPr>
          <w:rFonts w:hint="eastAsia" w:ascii="宋体" w:hAnsi="宋体"/>
          <w:szCs w:val="21"/>
        </w:rPr>
        <w:t>9</w:t>
      </w:r>
      <w:r>
        <w:rPr>
          <w:rFonts w:ascii="宋体" w:hAnsi="宋体"/>
          <w:szCs w:val="21"/>
        </w:rPr>
        <w:t>6.7平方公里。上游已建太源水库，控制流域面积26平方公里，占流域面积26.9%。汇纳集雨10平方公里以上的支流有3条，即夹河口水、坳背水、延村水。</w:t>
      </w:r>
    </w:p>
    <w:p w14:paraId="3100330C">
      <w:pPr>
        <w:ind w:firstLine="420"/>
        <w:rPr>
          <w:rFonts w:ascii="宋体" w:hAnsi="宋体"/>
          <w:szCs w:val="21"/>
        </w:rPr>
      </w:pPr>
      <w:r>
        <w:rPr>
          <w:rFonts w:hint="eastAsia" w:ascii="宋体" w:hAnsi="宋体"/>
          <w:szCs w:val="21"/>
        </w:rPr>
        <w:t>下洞水：位于浈江北岸，古称沙水，发源于珠玑镇上嵩，流经小里元、洋湖、古田、拱桥、水口桥出口汇入浈江。河长</w:t>
      </w:r>
      <w:r>
        <w:rPr>
          <w:rFonts w:ascii="宋体" w:hAnsi="宋体"/>
          <w:szCs w:val="21"/>
        </w:rPr>
        <w:t>34公里，河床平均坡降6.28‰，天然落差598米，流域内集雨面积80.8平方公里，汇纳集雨10平方公里以上支流太和岭水。</w:t>
      </w:r>
    </w:p>
    <w:p w14:paraId="3413B4AB">
      <w:pPr>
        <w:ind w:firstLine="420"/>
        <w:rPr>
          <w:rFonts w:ascii="宋体" w:hAnsi="宋体"/>
          <w:szCs w:val="21"/>
        </w:rPr>
      </w:pPr>
      <w:r>
        <w:rPr>
          <w:rFonts w:hint="eastAsia" w:ascii="宋体" w:hAnsi="宋体"/>
          <w:szCs w:val="21"/>
        </w:rPr>
        <w:t>邓坊水：位于浈江东北岸，古称东溪水，发源于邓坊镇上杨梅，流经邓坊、许村、三角从三水出口汇入浈江，河长</w:t>
      </w:r>
      <w:r>
        <w:rPr>
          <w:rFonts w:ascii="宋体" w:hAnsi="宋体"/>
          <w:szCs w:val="21"/>
        </w:rPr>
        <w:t>28.5公里，河床平均坡降6.08%，天然落差638米，流域内集雨面积80.5平方公里。上游建有杨梅水库，控制流域面积11.5平</w:t>
      </w:r>
      <w:r>
        <w:rPr>
          <w:rFonts w:hint="eastAsia" w:ascii="宋体" w:hAnsi="宋体"/>
          <w:szCs w:val="21"/>
        </w:rPr>
        <w:t>方公里，占流域面积</w:t>
      </w:r>
      <w:r>
        <w:rPr>
          <w:rFonts w:ascii="宋体" w:hAnsi="宋体"/>
          <w:szCs w:val="21"/>
        </w:rPr>
        <w:t>14.1%。汇纳集雨10平方公里以内支流黄岭水。</w:t>
      </w:r>
    </w:p>
    <w:p w14:paraId="0EECC0A1">
      <w:pPr>
        <w:ind w:firstLine="420"/>
        <w:rPr>
          <w:rFonts w:ascii="宋体" w:hAnsi="宋体"/>
          <w:szCs w:val="21"/>
        </w:rPr>
      </w:pPr>
      <w:r>
        <w:rPr>
          <w:rFonts w:hint="eastAsia" w:ascii="宋体" w:hAnsi="宋体"/>
          <w:szCs w:val="21"/>
        </w:rPr>
        <w:t>南亩水：位于浈江南岸，古称芙蓉水，发源于南亩镇大江墩，流经南亩、樟屋，从高车出口汇入浈江，河长</w:t>
      </w:r>
      <w:r>
        <w:rPr>
          <w:rFonts w:ascii="宋体" w:hAnsi="宋体"/>
          <w:szCs w:val="21"/>
        </w:rPr>
        <w:t>20.1公里。河床平均坡降5.72‰，天然落差286米。流</w:t>
      </w:r>
      <w:r>
        <w:rPr>
          <w:rFonts w:hint="eastAsia" w:ascii="宋体" w:hAnsi="宋体"/>
          <w:szCs w:val="21"/>
        </w:rPr>
        <w:t>域内集雨面积</w:t>
      </w:r>
      <w:r>
        <w:rPr>
          <w:rFonts w:ascii="宋体" w:hAnsi="宋体"/>
          <w:szCs w:val="21"/>
        </w:rPr>
        <w:t>75.2平方公里。汇纳集雨10平方公里以上的河流有3条，即塘屋里</w:t>
      </w:r>
      <w:r>
        <w:rPr>
          <w:rFonts w:hint="eastAsia" w:ascii="宋体" w:hAnsi="宋体"/>
          <w:szCs w:val="21"/>
        </w:rPr>
        <w:t>水、中边水、芙蓉水。下游建有南亩引水工程。</w:t>
      </w:r>
    </w:p>
    <w:p w14:paraId="250EA852">
      <w:pPr>
        <w:ind w:firstLine="420"/>
        <w:rPr>
          <w:rFonts w:ascii="宋体" w:hAnsi="宋体"/>
          <w:szCs w:val="21"/>
        </w:rPr>
      </w:pPr>
      <w:r>
        <w:rPr>
          <w:rFonts w:hint="eastAsia" w:ascii="宋体" w:hAnsi="宋体"/>
          <w:szCs w:val="21"/>
        </w:rPr>
        <w:t>宝江水：位于浈江南岸，又称夹水口水，发源于泷头樟坑，流经下楼，从水口圩出口汇入浈江，河长</w:t>
      </w:r>
      <w:r>
        <w:rPr>
          <w:rFonts w:ascii="宋体" w:hAnsi="宋体"/>
          <w:szCs w:val="21"/>
        </w:rPr>
        <w:t>20.3公里。河床平均坡降7.13‰，天然落差416米。流域内集</w:t>
      </w:r>
      <w:r>
        <w:rPr>
          <w:rFonts w:hint="eastAsia" w:ascii="宋体" w:hAnsi="宋体"/>
          <w:szCs w:val="21"/>
        </w:rPr>
        <w:t>雨面积</w:t>
      </w:r>
      <w:r>
        <w:rPr>
          <w:rFonts w:ascii="宋体" w:hAnsi="宋体"/>
          <w:szCs w:val="21"/>
        </w:rPr>
        <w:t>63.4平方公里。上游建有宝</w:t>
      </w:r>
      <w:r>
        <w:rPr>
          <w:rFonts w:hint="eastAsia" w:ascii="宋体" w:hAnsi="宋体"/>
          <w:szCs w:val="21"/>
        </w:rPr>
        <w:t>江</w:t>
      </w:r>
      <w:r>
        <w:rPr>
          <w:rFonts w:ascii="宋体" w:hAnsi="宋体"/>
          <w:szCs w:val="21"/>
        </w:rPr>
        <w:t>水库，控制集雨面积48.1平方公里，占流域面</w:t>
      </w:r>
      <w:r>
        <w:rPr>
          <w:rFonts w:hint="eastAsia" w:ascii="宋体" w:hAnsi="宋体"/>
          <w:szCs w:val="21"/>
        </w:rPr>
        <w:t>积</w:t>
      </w:r>
      <w:r>
        <w:rPr>
          <w:rFonts w:ascii="宋体" w:hAnsi="宋体"/>
          <w:szCs w:val="21"/>
        </w:rPr>
        <w:t>75.9%。</w:t>
      </w:r>
    </w:p>
    <w:p w14:paraId="6EEC5802">
      <w:pPr>
        <w:ind w:firstLine="420"/>
        <w:rPr>
          <w:rFonts w:ascii="宋体" w:hAnsi="宋体"/>
          <w:szCs w:val="21"/>
        </w:rPr>
      </w:pPr>
      <w:r>
        <w:rPr>
          <w:rFonts w:hint="eastAsia" w:ascii="宋体" w:hAnsi="宋体"/>
          <w:szCs w:val="21"/>
        </w:rPr>
        <w:t>黄坑水：又称春坑水，位于浈江北岸，发源于油山镇茶头背，流经古城、黄坑从下槎村出口汇入浈江，河长</w:t>
      </w:r>
      <w:r>
        <w:rPr>
          <w:rFonts w:ascii="宋体" w:hAnsi="宋体"/>
          <w:szCs w:val="21"/>
        </w:rPr>
        <w:t>15.7公里，河床平均坡降6.95‰，天然落差717米，</w:t>
      </w:r>
      <w:r>
        <w:rPr>
          <w:rFonts w:hint="eastAsia" w:ascii="宋体" w:hAnsi="宋体"/>
          <w:szCs w:val="21"/>
        </w:rPr>
        <w:t>流域内集雨面积</w:t>
      </w:r>
      <w:r>
        <w:rPr>
          <w:rFonts w:ascii="宋体" w:hAnsi="宋体"/>
          <w:szCs w:val="21"/>
        </w:rPr>
        <w:t>50.9平方公里，汇纳集雨15.3平方公里支流洋西坑水。上游建有寨</w:t>
      </w:r>
      <w:r>
        <w:rPr>
          <w:rFonts w:hint="eastAsia" w:ascii="宋体" w:hAnsi="宋体"/>
          <w:szCs w:val="21"/>
        </w:rPr>
        <w:t>背水库。</w:t>
      </w:r>
    </w:p>
    <w:p w14:paraId="5CB75DB2">
      <w:pPr>
        <w:ind w:firstLine="420"/>
        <w:rPr>
          <w:rFonts w:ascii="宋体" w:hAnsi="宋体"/>
          <w:szCs w:val="21"/>
        </w:rPr>
      </w:pPr>
      <w:r>
        <w:rPr>
          <w:rFonts w:hint="eastAsia" w:ascii="宋体" w:hAnsi="宋体"/>
          <w:szCs w:val="21"/>
        </w:rPr>
        <w:t>集雨面积</w:t>
      </w:r>
      <w:r>
        <w:rPr>
          <w:rFonts w:ascii="宋体" w:hAnsi="宋体"/>
          <w:szCs w:val="21"/>
        </w:rPr>
        <w:t>50平方公里以下主要支流，详见《南雄县志·河流》。</w:t>
      </w:r>
    </w:p>
    <w:p w14:paraId="74A46A4D">
      <w:pPr>
        <w:ind w:firstLine="420"/>
        <w:rPr>
          <w:rFonts w:ascii="宋体" w:hAnsi="宋体"/>
          <w:szCs w:val="21"/>
        </w:rPr>
      </w:pPr>
      <w:r>
        <w:rPr>
          <w:rFonts w:hint="eastAsia" w:ascii="宋体" w:hAnsi="宋体"/>
          <w:szCs w:val="21"/>
        </w:rPr>
        <w:t>市内温泉有四：</w:t>
      </w:r>
    </w:p>
    <w:p w14:paraId="62B24439">
      <w:pPr>
        <w:ind w:firstLine="420"/>
        <w:rPr>
          <w:rFonts w:ascii="宋体" w:hAnsi="宋体"/>
          <w:szCs w:val="21"/>
        </w:rPr>
      </w:pPr>
      <w:r>
        <w:rPr>
          <w:rFonts w:hint="eastAsia" w:ascii="宋体" w:hAnsi="宋体"/>
          <w:szCs w:val="21"/>
        </w:rPr>
        <w:t>王亭石温泉：位于市区西北隅</w:t>
      </w:r>
      <w:r>
        <w:rPr>
          <w:rFonts w:ascii="宋体" w:hAnsi="宋体"/>
          <w:szCs w:val="21"/>
        </w:rPr>
        <w:t>10公里，今全安镇王亭石暖水塘村，泉水颇丰，</w:t>
      </w:r>
      <w:r>
        <w:rPr>
          <w:rFonts w:hint="eastAsia" w:ascii="宋体" w:hAnsi="宋体"/>
          <w:szCs w:val="21"/>
        </w:rPr>
        <w:t>已开发利用。</w:t>
      </w:r>
    </w:p>
    <w:p w14:paraId="7D0E85AA">
      <w:pPr>
        <w:ind w:firstLine="420"/>
        <w:rPr>
          <w:rFonts w:ascii="宋体" w:hAnsi="宋体"/>
          <w:szCs w:val="21"/>
        </w:rPr>
      </w:pPr>
      <w:r>
        <w:rPr>
          <w:rFonts w:hint="eastAsia" w:ascii="宋体" w:hAnsi="宋体"/>
          <w:szCs w:val="21"/>
        </w:rPr>
        <w:t>下坪温泉：位于市区之南</w:t>
      </w:r>
      <w:r>
        <w:rPr>
          <w:rFonts w:ascii="宋体" w:hAnsi="宋体"/>
          <w:szCs w:val="21"/>
        </w:rPr>
        <w:t>15公里的下坪村，未开发</w:t>
      </w:r>
      <w:r>
        <w:rPr>
          <w:rFonts w:hint="eastAsia" w:ascii="宋体" w:hAnsi="宋体"/>
          <w:szCs w:val="21"/>
        </w:rPr>
        <w:t>。</w:t>
      </w:r>
    </w:p>
    <w:p w14:paraId="44803038">
      <w:pPr>
        <w:ind w:firstLine="420"/>
        <w:rPr>
          <w:rFonts w:ascii="宋体" w:hAnsi="宋体"/>
          <w:szCs w:val="21"/>
        </w:rPr>
      </w:pPr>
      <w:r>
        <w:rPr>
          <w:rFonts w:hint="eastAsia" w:ascii="宋体" w:hAnsi="宋体"/>
          <w:szCs w:val="21"/>
        </w:rPr>
        <w:t>江头温泉：民国初年始见，位于市区东南</w:t>
      </w:r>
      <w:r>
        <w:rPr>
          <w:rFonts w:ascii="宋体" w:hAnsi="宋体"/>
          <w:szCs w:val="21"/>
        </w:rPr>
        <w:t>15公里，今属江头镇江头村。已开发</w:t>
      </w:r>
      <w:r>
        <w:rPr>
          <w:rFonts w:hint="eastAsia" w:ascii="宋体" w:hAnsi="宋体"/>
          <w:szCs w:val="21"/>
        </w:rPr>
        <w:t>利用。</w:t>
      </w:r>
    </w:p>
    <w:p w14:paraId="56D66585">
      <w:pPr>
        <w:ind w:firstLine="420"/>
        <w:rPr>
          <w:rFonts w:ascii="宋体" w:hAnsi="宋体"/>
          <w:szCs w:val="21"/>
        </w:rPr>
      </w:pPr>
      <w:r>
        <w:rPr>
          <w:rFonts w:hint="eastAsia" w:ascii="宋体" w:hAnsi="宋体"/>
          <w:szCs w:val="21"/>
        </w:rPr>
        <w:t>锅坑温泉：位于市区西北</w:t>
      </w:r>
      <w:r>
        <w:rPr>
          <w:rFonts w:ascii="宋体" w:hAnsi="宋体"/>
          <w:szCs w:val="21"/>
        </w:rPr>
        <w:t>30公里，今属澜河镇锅坑村。未开发。</w:t>
      </w:r>
    </w:p>
    <w:p w14:paraId="035C7ECD">
      <w:pPr>
        <w:ind w:firstLine="420"/>
        <w:rPr>
          <w:rFonts w:ascii="宋体" w:hAnsi="宋体"/>
          <w:szCs w:val="21"/>
        </w:rPr>
      </w:pPr>
      <w:r>
        <w:rPr>
          <w:rFonts w:hint="eastAsia" w:ascii="宋体" w:hAnsi="宋体"/>
          <w:szCs w:val="21"/>
        </w:rPr>
        <w:t>水文观测：</w:t>
      </w:r>
    </w:p>
    <w:p w14:paraId="7A82333D">
      <w:pPr>
        <w:ind w:firstLine="420"/>
        <w:rPr>
          <w:rFonts w:ascii="宋体" w:hAnsi="宋体"/>
          <w:szCs w:val="21"/>
        </w:rPr>
      </w:pPr>
      <w:r>
        <w:rPr>
          <w:rFonts w:ascii="宋体" w:hAnsi="宋体"/>
          <w:szCs w:val="21"/>
        </w:rPr>
        <w:t>1918年3月19日，广东省治河处在南雄县城设立南雄雨量站，委托天主教堂代</w:t>
      </w:r>
      <w:r>
        <w:rPr>
          <w:rFonts w:hint="eastAsia" w:ascii="宋体" w:hAnsi="宋体"/>
          <w:szCs w:val="21"/>
        </w:rPr>
        <w:t>为观测。</w:t>
      </w:r>
      <w:r>
        <w:rPr>
          <w:rFonts w:ascii="宋体" w:hAnsi="宋体"/>
          <w:szCs w:val="21"/>
        </w:rPr>
        <w:t>1939年6月1日，江西省水利局在市境浈江河段设立南雄（一）站、南雄</w:t>
      </w:r>
      <w:r>
        <w:rPr>
          <w:rFonts w:hint="eastAsia" w:ascii="宋体" w:hAnsi="宋体"/>
          <w:szCs w:val="21"/>
        </w:rPr>
        <w:t>（二）站、三口水站</w:t>
      </w:r>
      <w:r>
        <w:rPr>
          <w:rFonts w:ascii="宋体" w:hAnsi="宋体"/>
          <w:szCs w:val="21"/>
        </w:rPr>
        <w:t>3个水位站，测量浈江水位流量。1941年2月撤销。</w:t>
      </w:r>
    </w:p>
    <w:p w14:paraId="61723474">
      <w:pPr>
        <w:ind w:firstLine="420"/>
        <w:rPr>
          <w:rFonts w:ascii="宋体" w:hAnsi="宋体"/>
          <w:szCs w:val="21"/>
        </w:rPr>
      </w:pPr>
      <w:r>
        <w:rPr>
          <w:rFonts w:hint="eastAsia" w:ascii="宋体" w:hAnsi="宋体"/>
          <w:szCs w:val="21"/>
        </w:rPr>
        <w:t>新中国成立后，珠江水利工程总局、广东省水利电力厅、广东省气象局、广东省水文总站，先后在南雄市市区、三枫、大坊、乌迳、水口圩、南甫、百顺、澜河盘古王以及松山水库、横江水库、太源水库、中坪水库、瀑布水库等处设立水位站、雨量站、水文站、气象站。三枫站于</w:t>
      </w:r>
      <w:r>
        <w:rPr>
          <w:rFonts w:ascii="宋体" w:hAnsi="宋体"/>
          <w:szCs w:val="21"/>
        </w:rPr>
        <w:t>1959年撤，大坊站于1961年撤。</w:t>
      </w:r>
    </w:p>
    <w:p w14:paraId="46650860">
      <w:pPr>
        <w:pStyle w:val="5"/>
        <w:rPr>
          <w:rFonts w:ascii="宋体" w:hAnsi="宋体"/>
        </w:rPr>
      </w:pPr>
      <w:r>
        <w:rPr>
          <w:rFonts w:hint="eastAsia" w:ascii="宋体" w:hAnsi="宋体"/>
        </w:rPr>
        <w:t>四、土壤</w:t>
      </w:r>
    </w:p>
    <w:p w14:paraId="1CD3DB2D">
      <w:pPr>
        <w:ind w:firstLine="420"/>
        <w:rPr>
          <w:rFonts w:ascii="宋体" w:hAnsi="宋体"/>
          <w:szCs w:val="21"/>
        </w:rPr>
      </w:pPr>
      <w:r>
        <w:rPr>
          <w:rFonts w:hint="eastAsia" w:ascii="宋体" w:hAnsi="宋体"/>
          <w:szCs w:val="21"/>
        </w:rPr>
        <w:t>南雄县农业区划委员会土壤普查办公室</w:t>
      </w:r>
      <w:r>
        <w:rPr>
          <w:rFonts w:ascii="宋体" w:hAnsi="宋体"/>
          <w:szCs w:val="21"/>
        </w:rPr>
        <w:t>1985年印制的《南雄土壤》资料记载，</w:t>
      </w:r>
      <w:r>
        <w:rPr>
          <w:rFonts w:hint="eastAsia" w:ascii="宋体" w:hAnsi="宋体"/>
          <w:szCs w:val="21"/>
        </w:rPr>
        <w:t>全县土地总面积</w:t>
      </w:r>
      <w:r>
        <w:rPr>
          <w:rFonts w:ascii="宋体" w:hAnsi="宋体"/>
          <w:szCs w:val="21"/>
        </w:rPr>
        <w:t>231553.33公顷，其中成土母质为花岗岩的110666.67公顷，占47.8%；紫色砂页岩55433.33公顷，占23.9%；砂页岩27633.33公顷，占11.9%</w:t>
      </w:r>
      <w:r>
        <w:rPr>
          <w:rFonts w:hint="eastAsia" w:ascii="宋体" w:hAnsi="宋体"/>
          <w:szCs w:val="21"/>
        </w:rPr>
        <w:t>；红色砂砾岩</w:t>
      </w:r>
      <w:r>
        <w:rPr>
          <w:rFonts w:ascii="宋体" w:hAnsi="宋体"/>
          <w:szCs w:val="21"/>
        </w:rPr>
        <w:t>15933.33公顷，占6.88%；石灰岩1566.67公顷，占0.75%；第四纪红</w:t>
      </w:r>
      <w:r>
        <w:rPr>
          <w:rFonts w:hint="eastAsia" w:ascii="宋体" w:hAnsi="宋体"/>
          <w:szCs w:val="21"/>
        </w:rPr>
        <w:t>土</w:t>
      </w:r>
      <w:r>
        <w:rPr>
          <w:rFonts w:ascii="宋体" w:hAnsi="宋体"/>
          <w:szCs w:val="21"/>
        </w:rPr>
        <w:t>17380公顷，占7.5%；片岩板岩2940公顷，占1.27%。</w:t>
      </w:r>
    </w:p>
    <w:p w14:paraId="651F387F">
      <w:pPr>
        <w:ind w:firstLine="422"/>
        <w:rPr>
          <w:rFonts w:ascii="宋体" w:hAnsi="宋体"/>
          <w:b/>
          <w:szCs w:val="21"/>
        </w:rPr>
      </w:pPr>
      <w:r>
        <w:rPr>
          <w:rFonts w:hint="eastAsia" w:ascii="宋体" w:hAnsi="宋体"/>
          <w:b/>
          <w:szCs w:val="21"/>
        </w:rPr>
        <w:t>（一）自然土</w:t>
      </w:r>
    </w:p>
    <w:p w14:paraId="623659AA">
      <w:pPr>
        <w:ind w:firstLine="420"/>
        <w:rPr>
          <w:rFonts w:ascii="宋体" w:hAnsi="宋体"/>
          <w:szCs w:val="21"/>
        </w:rPr>
      </w:pPr>
      <w:r>
        <w:rPr>
          <w:rFonts w:hint="eastAsia" w:ascii="宋体" w:hAnsi="宋体"/>
          <w:szCs w:val="21"/>
        </w:rPr>
        <w:t>全市自然土壤有黄壤、红壤、红色石灰土、紫色土</w:t>
      </w:r>
      <w:r>
        <w:rPr>
          <w:rFonts w:ascii="宋体" w:hAnsi="宋体"/>
          <w:szCs w:val="21"/>
        </w:rPr>
        <w:t>4个土类，面积为181446.67</w:t>
      </w:r>
      <w:r>
        <w:rPr>
          <w:rFonts w:hint="eastAsia" w:ascii="宋体" w:hAnsi="宋体"/>
          <w:szCs w:val="21"/>
        </w:rPr>
        <w:t>公顷，占土地总面积</w:t>
      </w:r>
      <w:r>
        <w:rPr>
          <w:rFonts w:ascii="宋体" w:hAnsi="宋体"/>
          <w:szCs w:val="21"/>
        </w:rPr>
        <w:t>77.67%</w:t>
      </w:r>
      <w:r>
        <w:rPr>
          <w:rFonts w:hint="eastAsia" w:ascii="宋体" w:hAnsi="宋体"/>
          <w:szCs w:val="21"/>
        </w:rPr>
        <w:t>。</w:t>
      </w:r>
    </w:p>
    <w:p w14:paraId="039C71B4">
      <w:pPr>
        <w:ind w:firstLine="420"/>
        <w:rPr>
          <w:rFonts w:ascii="宋体" w:hAnsi="宋体"/>
          <w:szCs w:val="21"/>
        </w:rPr>
      </w:pPr>
      <w:r>
        <w:rPr>
          <w:rFonts w:hint="eastAsia" w:ascii="宋体" w:hAnsi="宋体"/>
          <w:szCs w:val="21"/>
        </w:rPr>
        <w:t>黄壤土类：面积</w:t>
      </w:r>
      <w:r>
        <w:rPr>
          <w:rFonts w:ascii="宋体" w:hAnsi="宋体"/>
          <w:szCs w:val="21"/>
        </w:rPr>
        <w:t>27240公顷，占自然土壤的15.14%，分布在海拔700米以上中</w:t>
      </w:r>
      <w:r>
        <w:rPr>
          <w:rFonts w:hint="eastAsia" w:ascii="宋体" w:hAnsi="宋体"/>
          <w:szCs w:val="21"/>
        </w:rPr>
        <w:t>山中上部。由于山地黄壤地势高，雨多雾大，温度较低，湿度较大，故酸性强，</w:t>
      </w:r>
      <w:r>
        <w:rPr>
          <w:rFonts w:ascii="宋体" w:hAnsi="宋体"/>
          <w:szCs w:val="21"/>
        </w:rPr>
        <w:t>pH</w:t>
      </w:r>
      <w:r>
        <w:rPr>
          <w:rFonts w:hint="eastAsia" w:ascii="宋体" w:hAnsi="宋体"/>
          <w:szCs w:val="21"/>
        </w:rPr>
        <w:t>值一般在</w:t>
      </w:r>
      <w:r>
        <w:rPr>
          <w:rFonts w:ascii="宋体" w:hAnsi="宋体"/>
          <w:szCs w:val="21"/>
        </w:rPr>
        <w:t>4.0～5.5。</w:t>
      </w:r>
    </w:p>
    <w:p w14:paraId="2E0A43AF">
      <w:pPr>
        <w:ind w:firstLine="420"/>
        <w:rPr>
          <w:rFonts w:ascii="宋体" w:hAnsi="宋体"/>
          <w:szCs w:val="21"/>
        </w:rPr>
      </w:pPr>
      <w:r>
        <w:rPr>
          <w:rFonts w:hint="eastAsia" w:ascii="宋体" w:hAnsi="宋体"/>
          <w:szCs w:val="21"/>
        </w:rPr>
        <w:t>红壤土类：面积</w:t>
      </w:r>
      <w:r>
        <w:rPr>
          <w:rFonts w:ascii="宋体" w:hAnsi="宋体"/>
          <w:szCs w:val="21"/>
        </w:rPr>
        <w:t>136426.67公顷，占自然土壤的75.84%，分布于南部和北部山</w:t>
      </w:r>
      <w:r>
        <w:rPr>
          <w:rFonts w:hint="eastAsia" w:ascii="宋体" w:hAnsi="宋体"/>
          <w:szCs w:val="21"/>
        </w:rPr>
        <w:t>地，海拔多在</w:t>
      </w:r>
      <w:r>
        <w:rPr>
          <w:rFonts w:ascii="宋体" w:hAnsi="宋体"/>
          <w:szCs w:val="21"/>
        </w:rPr>
        <w:t>700米以下至250米以上的低山、中高丘陵以及中低山麓地段。这类土</w:t>
      </w:r>
      <w:r>
        <w:rPr>
          <w:rFonts w:hint="eastAsia" w:ascii="宋体" w:hAnsi="宋体"/>
          <w:szCs w:val="21"/>
        </w:rPr>
        <w:t>壤有机质积累的多寡、土层厚薄变化甚大。整个土体呈红色，表土呈暗棕色，多含铁钴成分，酸性层在一般情况下，由花岗岩发育的红壤土层较深厚，钾素含量较丰富，砂页岩发育的土壤，则相对较少。植被覆盖良好的红壤，则有机质层较厚，养分含量较多。本土类只有</w:t>
      </w:r>
      <w:r>
        <w:rPr>
          <w:rFonts w:ascii="宋体" w:hAnsi="宋体"/>
          <w:szCs w:val="21"/>
        </w:rPr>
        <w:t>1个亚类，8个土属，32个土种，以花岗岩红壤土属和砂页岩红壤</w:t>
      </w:r>
      <w:r>
        <w:rPr>
          <w:rFonts w:hint="eastAsia" w:ascii="宋体" w:hAnsi="宋体"/>
          <w:szCs w:val="21"/>
        </w:rPr>
        <w:t>土属居多，分别占自然土壤的</w:t>
      </w:r>
      <w:r>
        <w:rPr>
          <w:rFonts w:ascii="宋体" w:hAnsi="宋体"/>
          <w:szCs w:val="21"/>
        </w:rPr>
        <w:t>43.33%和14.76%。</w:t>
      </w:r>
    </w:p>
    <w:p w14:paraId="692D7A35">
      <w:pPr>
        <w:ind w:firstLine="420"/>
        <w:rPr>
          <w:rFonts w:ascii="宋体" w:hAnsi="宋体"/>
          <w:szCs w:val="21"/>
        </w:rPr>
      </w:pPr>
      <w:r>
        <w:rPr>
          <w:rFonts w:hint="eastAsia" w:ascii="宋体" w:hAnsi="宋体"/>
          <w:szCs w:val="21"/>
        </w:rPr>
        <w:t>红色石灰土类：面积</w:t>
      </w:r>
      <w:r>
        <w:rPr>
          <w:rFonts w:ascii="宋体" w:hAnsi="宋体"/>
          <w:szCs w:val="21"/>
        </w:rPr>
        <w:t>1566.67公顷，占自然土壤的0.87%，仅分布在梅岭雄余公</w:t>
      </w:r>
      <w:r>
        <w:rPr>
          <w:rFonts w:hint="eastAsia" w:ascii="宋体" w:hAnsi="宋体"/>
          <w:szCs w:val="21"/>
        </w:rPr>
        <w:t>路两侧的石灰岩低山上。土壤由石灰岩风化发育而成，有机质层深厚达</w:t>
      </w:r>
      <w:r>
        <w:rPr>
          <w:rFonts w:ascii="宋体" w:hAnsi="宋体"/>
          <w:szCs w:val="21"/>
        </w:rPr>
        <w:t>23厘米，土</w:t>
      </w:r>
      <w:r>
        <w:rPr>
          <w:rFonts w:hint="eastAsia" w:ascii="宋体" w:hAnsi="宋体"/>
          <w:szCs w:val="21"/>
        </w:rPr>
        <w:t>体颜色浅黄，</w:t>
      </w:r>
      <w:r>
        <w:rPr>
          <w:rFonts w:ascii="宋体" w:hAnsi="宋体"/>
          <w:szCs w:val="21"/>
        </w:rPr>
        <w:t>pH值5～5.5，植被多为阔叶灌乔木混交林和风栗果树。本土类就此1</w:t>
      </w:r>
      <w:r>
        <w:rPr>
          <w:rFonts w:hint="eastAsia" w:ascii="宋体" w:hAnsi="宋体"/>
          <w:szCs w:val="21"/>
        </w:rPr>
        <w:t>个亚类，</w:t>
      </w:r>
      <w:r>
        <w:rPr>
          <w:rFonts w:ascii="宋体" w:hAnsi="宋体"/>
          <w:szCs w:val="21"/>
        </w:rPr>
        <w:t>1个土种</w:t>
      </w:r>
      <w:r>
        <w:rPr>
          <w:rFonts w:hint="eastAsia" w:ascii="宋体" w:hAnsi="宋体"/>
          <w:szCs w:val="21"/>
        </w:rPr>
        <w:t>。</w:t>
      </w:r>
    </w:p>
    <w:p w14:paraId="76948562">
      <w:pPr>
        <w:ind w:firstLine="420"/>
        <w:rPr>
          <w:rFonts w:ascii="宋体" w:hAnsi="宋体"/>
          <w:szCs w:val="21"/>
        </w:rPr>
      </w:pPr>
      <w:r>
        <w:rPr>
          <w:rFonts w:hint="eastAsia" w:ascii="宋体" w:hAnsi="宋体"/>
          <w:szCs w:val="21"/>
        </w:rPr>
        <w:t>紫色土土类：面积</w:t>
      </w:r>
      <w:r>
        <w:rPr>
          <w:rFonts w:ascii="宋体" w:hAnsi="宋体"/>
          <w:szCs w:val="21"/>
        </w:rPr>
        <w:t>16213.33公顷，占自然土壤的9.01%，分布在南雄中部紫色</w:t>
      </w:r>
      <w:r>
        <w:rPr>
          <w:rFonts w:hint="eastAsia" w:ascii="宋体" w:hAnsi="宋体"/>
          <w:szCs w:val="21"/>
        </w:rPr>
        <w:t>砂页盆地的坪田、南亩、乌迳、黄坑、油山、界址、水口、江头、湖口、珠玑、主田、古市等镇及雄州城区的低丘上。有机质层浅薄，一般在</w:t>
      </w:r>
      <w:r>
        <w:rPr>
          <w:rFonts w:ascii="宋体" w:hAnsi="宋体"/>
          <w:szCs w:val="21"/>
        </w:rPr>
        <w:t>10厘米以下，土层厚度</w:t>
      </w:r>
      <w:r>
        <w:rPr>
          <w:rFonts w:hint="eastAsia" w:ascii="宋体" w:hAnsi="宋体"/>
          <w:szCs w:val="21"/>
        </w:rPr>
        <w:t>多在</w:t>
      </w:r>
      <w:r>
        <w:rPr>
          <w:rFonts w:ascii="宋体" w:hAnsi="宋体"/>
          <w:szCs w:val="21"/>
        </w:rPr>
        <w:t>40厘米以下，土壤呈碱性反应，pH值一般在7</w:t>
      </w:r>
      <w:r>
        <w:rPr>
          <w:rFonts w:hint="eastAsia" w:ascii="宋体" w:hAnsi="宋体"/>
          <w:szCs w:val="21"/>
        </w:rPr>
        <w:t>.</w:t>
      </w:r>
      <w:r>
        <w:rPr>
          <w:rFonts w:ascii="宋体" w:hAnsi="宋体"/>
          <w:szCs w:val="21"/>
        </w:rPr>
        <w:t>5～9。土壤养分含全钾甚为丰</w:t>
      </w:r>
      <w:r>
        <w:rPr>
          <w:rFonts w:hint="eastAsia" w:ascii="宋体" w:hAnsi="宋体"/>
          <w:szCs w:val="21"/>
        </w:rPr>
        <w:t>富，其余养分较低。本土类只有一个亚类，</w:t>
      </w:r>
      <w:r>
        <w:rPr>
          <w:rFonts w:ascii="宋体" w:hAnsi="宋体"/>
          <w:szCs w:val="21"/>
        </w:rPr>
        <w:t>1个土属，1个土种。详见《南雄县志</w:t>
      </w:r>
      <w:r>
        <w:rPr>
          <w:rFonts w:hint="eastAsia" w:ascii="宋体" w:hAnsi="宋体"/>
          <w:szCs w:val="21"/>
        </w:rPr>
        <w:t>·土壤》。</w:t>
      </w:r>
    </w:p>
    <w:p w14:paraId="3382E008">
      <w:pPr>
        <w:ind w:firstLine="422"/>
        <w:rPr>
          <w:rFonts w:ascii="宋体" w:hAnsi="宋体"/>
          <w:b/>
          <w:szCs w:val="21"/>
        </w:rPr>
      </w:pPr>
      <w:r>
        <w:rPr>
          <w:rFonts w:hint="eastAsia" w:ascii="宋体" w:hAnsi="宋体"/>
          <w:b/>
          <w:szCs w:val="21"/>
        </w:rPr>
        <w:t>（二）水稻土</w:t>
      </w:r>
    </w:p>
    <w:p w14:paraId="268FDF6F">
      <w:pPr>
        <w:ind w:firstLine="420"/>
        <w:rPr>
          <w:rFonts w:ascii="宋体" w:hAnsi="宋体"/>
          <w:szCs w:val="21"/>
        </w:rPr>
      </w:pPr>
      <w:r>
        <w:rPr>
          <w:rFonts w:hint="eastAsia" w:ascii="宋体" w:hAnsi="宋体"/>
          <w:szCs w:val="21"/>
        </w:rPr>
        <w:t>全市水稻土有</w:t>
      </w:r>
      <w:r>
        <w:rPr>
          <w:rFonts w:ascii="宋体" w:hAnsi="宋体"/>
          <w:szCs w:val="21"/>
        </w:rPr>
        <w:t>22420公顷，占全市土地总面积9.68%，占耕地总面积74.98%。</w:t>
      </w:r>
      <w:r>
        <w:rPr>
          <w:rFonts w:hint="eastAsia" w:ascii="宋体" w:hAnsi="宋体"/>
          <w:szCs w:val="21"/>
        </w:rPr>
        <w:t>其中</w:t>
      </w:r>
      <w:r>
        <w:rPr>
          <w:rFonts w:ascii="宋体" w:hAnsi="宋体"/>
          <w:szCs w:val="21"/>
        </w:rPr>
        <w:t>10060公顷分布在南雄盆地的12个镇，其余分布在周围山区。水田土壤有淹育</w:t>
      </w:r>
      <w:r>
        <w:rPr>
          <w:rFonts w:hint="eastAsia" w:ascii="宋体" w:hAnsi="宋体"/>
          <w:szCs w:val="21"/>
        </w:rPr>
        <w:t>型、潴育型、潜育型、渗育型、沼育型、矿毒型</w:t>
      </w:r>
      <w:r>
        <w:rPr>
          <w:rFonts w:ascii="宋体" w:hAnsi="宋体"/>
          <w:szCs w:val="21"/>
        </w:rPr>
        <w:t>6个亚类，22个土属，45个土种。</w:t>
      </w:r>
    </w:p>
    <w:p w14:paraId="0BF011ED">
      <w:pPr>
        <w:ind w:firstLine="420"/>
        <w:rPr>
          <w:rFonts w:ascii="宋体" w:hAnsi="宋体"/>
          <w:szCs w:val="21"/>
        </w:rPr>
      </w:pPr>
      <w:r>
        <w:rPr>
          <w:rFonts w:hint="eastAsia" w:ascii="宋体" w:hAnsi="宋体"/>
          <w:szCs w:val="21"/>
        </w:rPr>
        <w:t>水稻土土质：壤土</w:t>
      </w:r>
      <w:r>
        <w:rPr>
          <w:rFonts w:ascii="宋体" w:hAnsi="宋体"/>
          <w:szCs w:val="21"/>
        </w:rPr>
        <w:t>14807.53公顷，占水田面积66%；偏砂的4407.07公顷，占</w:t>
      </w:r>
      <w:r>
        <w:rPr>
          <w:rFonts w:hint="eastAsia" w:ascii="宋体" w:hAnsi="宋体"/>
          <w:szCs w:val="21"/>
        </w:rPr>
        <w:t>水田面积</w:t>
      </w:r>
      <w:r>
        <w:rPr>
          <w:rFonts w:ascii="宋体" w:hAnsi="宋体"/>
          <w:szCs w:val="21"/>
        </w:rPr>
        <w:t>19.7%；偏黏的3207.27公顷，占水田面积14.3%。酸碱度：pH值为4.5</w:t>
      </w:r>
      <w:r>
        <w:rPr>
          <w:rFonts w:hint="eastAsia" w:ascii="宋体" w:hAnsi="宋体"/>
          <w:szCs w:val="21"/>
        </w:rPr>
        <w:t>～</w:t>
      </w:r>
      <w:r>
        <w:rPr>
          <w:rFonts w:ascii="宋体" w:hAnsi="宋体"/>
          <w:szCs w:val="21"/>
        </w:rPr>
        <w:t>5.5的占水田面积48.9%，5.5～6.5的占29.5%，6.6～7.5的占6.2%，7.5以上</w:t>
      </w:r>
      <w:r>
        <w:rPr>
          <w:rFonts w:hint="eastAsia" w:ascii="宋体" w:hAnsi="宋体"/>
          <w:szCs w:val="21"/>
        </w:rPr>
        <w:t>的占</w:t>
      </w:r>
      <w:r>
        <w:rPr>
          <w:rFonts w:ascii="宋体" w:hAnsi="宋体"/>
          <w:szCs w:val="21"/>
        </w:rPr>
        <w:t>7.3%。耕作层13厘米以上的有18178.4公顷，占水田面积81%；耕作层养分</w:t>
      </w:r>
      <w:r>
        <w:rPr>
          <w:rFonts w:hint="eastAsia" w:ascii="宋体" w:hAnsi="宋体"/>
          <w:szCs w:val="21"/>
        </w:rPr>
        <w:t>含量，全市加权平均值为：有机质</w:t>
      </w:r>
      <w:r>
        <w:rPr>
          <w:rFonts w:ascii="宋体" w:hAnsi="宋体"/>
          <w:szCs w:val="21"/>
        </w:rPr>
        <w:t>3.08%，全氮0.15%属中上，速效磷22.67ppm属</w:t>
      </w:r>
      <w:r>
        <w:rPr>
          <w:rFonts w:hint="eastAsia" w:ascii="宋体" w:hAnsi="宋体"/>
          <w:szCs w:val="21"/>
        </w:rPr>
        <w:t>中等，速效钾</w:t>
      </w:r>
      <w:r>
        <w:rPr>
          <w:rFonts w:ascii="宋体" w:hAnsi="宋体"/>
          <w:szCs w:val="21"/>
        </w:rPr>
        <w:t>67.85pm属偏低</w:t>
      </w:r>
      <w:r>
        <w:rPr>
          <w:rFonts w:hint="eastAsia" w:ascii="宋体" w:hAnsi="宋体"/>
          <w:szCs w:val="21"/>
        </w:rPr>
        <w:t>。</w:t>
      </w:r>
    </w:p>
    <w:p w14:paraId="07D8F107">
      <w:pPr>
        <w:ind w:firstLine="422"/>
        <w:rPr>
          <w:rFonts w:ascii="宋体" w:hAnsi="宋体"/>
          <w:b/>
          <w:szCs w:val="21"/>
        </w:rPr>
      </w:pPr>
      <w:r>
        <w:rPr>
          <w:rFonts w:hint="eastAsia" w:ascii="宋体" w:hAnsi="宋体"/>
          <w:b/>
          <w:szCs w:val="21"/>
        </w:rPr>
        <w:t>（三）旱地土壤</w:t>
      </w:r>
    </w:p>
    <w:p w14:paraId="4C954097">
      <w:pPr>
        <w:ind w:firstLine="420"/>
        <w:rPr>
          <w:rFonts w:ascii="宋体" w:hAnsi="宋体"/>
          <w:szCs w:val="21"/>
        </w:rPr>
      </w:pPr>
      <w:r>
        <w:rPr>
          <w:rFonts w:hint="eastAsia" w:ascii="宋体" w:hAnsi="宋体"/>
          <w:szCs w:val="21"/>
        </w:rPr>
        <w:t>全市有</w:t>
      </w:r>
      <w:r>
        <w:rPr>
          <w:rFonts w:ascii="宋体" w:hAnsi="宋体"/>
          <w:szCs w:val="21"/>
        </w:rPr>
        <w:t>7480公顷，分黄壤、红壤、紫色土、菜园土、潮砂泥土5个土类，5个</w:t>
      </w:r>
      <w:r>
        <w:rPr>
          <w:rFonts w:hint="eastAsia" w:ascii="宋体" w:hAnsi="宋体"/>
          <w:szCs w:val="21"/>
        </w:rPr>
        <w:t>亚类，</w:t>
      </w:r>
      <w:r>
        <w:rPr>
          <w:rFonts w:ascii="宋体" w:hAnsi="宋体"/>
          <w:szCs w:val="21"/>
        </w:rPr>
        <w:t>9个土属，14个土种。紫色土类有5575.33公顷，占旱地面积74.5%。最大土</w:t>
      </w:r>
      <w:r>
        <w:rPr>
          <w:rFonts w:hint="eastAsia" w:ascii="宋体" w:hAnsi="宋体"/>
          <w:szCs w:val="21"/>
        </w:rPr>
        <w:t>种是紫砂地</w:t>
      </w:r>
      <w:r>
        <w:rPr>
          <w:rFonts w:ascii="宋体" w:hAnsi="宋体"/>
          <w:szCs w:val="21"/>
        </w:rPr>
        <w:t>3433.47公顷，占旱地面积45.9%。土质，偏砂的4132.5公顷，占55.2%；壤土2258.07公顷，占30.2%；偏黏的1091.03公顷，占14.6%。酸碱度：</w:t>
      </w:r>
      <w:r>
        <w:rPr>
          <w:rFonts w:hint="eastAsia" w:ascii="宋体" w:hAnsi="宋体"/>
          <w:szCs w:val="21"/>
        </w:rPr>
        <w:t>紫色土</w:t>
      </w:r>
      <w:r>
        <w:rPr>
          <w:rFonts w:ascii="宋体" w:hAnsi="宋体"/>
          <w:szCs w:val="21"/>
        </w:rPr>
        <w:t>pH值7.5以上的有4924.07公顷，占旱地面积65.8%；pH值6.5～7.5之间</w:t>
      </w:r>
      <w:r>
        <w:rPr>
          <w:rFonts w:hint="eastAsia" w:ascii="宋体" w:hAnsi="宋体"/>
          <w:szCs w:val="21"/>
        </w:rPr>
        <w:t>的</w:t>
      </w:r>
      <w:r>
        <w:rPr>
          <w:rFonts w:ascii="宋体" w:hAnsi="宋体"/>
          <w:szCs w:val="21"/>
        </w:rPr>
        <w:t>918.27公顷，占旱地面积12.3%；其余1639.27公顷，均在pH值6.5以下。旱地</w:t>
      </w:r>
      <w:r>
        <w:rPr>
          <w:rFonts w:hint="eastAsia" w:ascii="宋体" w:hAnsi="宋体"/>
          <w:szCs w:val="21"/>
        </w:rPr>
        <w:t>耕作层</w:t>
      </w:r>
      <w:r>
        <w:rPr>
          <w:rFonts w:ascii="宋体" w:hAnsi="宋体"/>
          <w:szCs w:val="21"/>
        </w:rPr>
        <w:t>15厘米以上的面积占79.1%。耕作层养分含量，全市加权平均值为：有机质0.28%，全氮0.064%属缺乏，速效磷11.28ppm属中等偏低，速效钾127.61ppm属</w:t>
      </w:r>
      <w:r>
        <w:rPr>
          <w:rFonts w:hint="eastAsia" w:ascii="宋体" w:hAnsi="宋体"/>
          <w:szCs w:val="21"/>
        </w:rPr>
        <w:t>中等。</w:t>
      </w:r>
    </w:p>
    <w:p w14:paraId="51BD496E">
      <w:pPr>
        <w:pStyle w:val="4"/>
        <w:rPr>
          <w:rFonts w:ascii="宋体" w:hAnsi="宋体"/>
        </w:rPr>
      </w:pPr>
      <w:r>
        <w:rPr>
          <w:rFonts w:hint="eastAsia" w:ascii="宋体" w:hAnsi="宋体"/>
        </w:rPr>
        <w:t>第二节  自然资源</w:t>
      </w:r>
    </w:p>
    <w:p w14:paraId="39D4A66E">
      <w:pPr>
        <w:pStyle w:val="5"/>
        <w:rPr>
          <w:rFonts w:ascii="宋体" w:hAnsi="宋体"/>
        </w:rPr>
      </w:pPr>
      <w:r>
        <w:rPr>
          <w:rFonts w:hint="eastAsia" w:ascii="宋体" w:hAnsi="宋体"/>
        </w:rPr>
        <w:t>一、矿藏资源</w:t>
      </w:r>
    </w:p>
    <w:p w14:paraId="3D05F976">
      <w:pPr>
        <w:ind w:firstLine="422"/>
        <w:rPr>
          <w:rFonts w:ascii="宋体" w:hAnsi="宋体"/>
          <w:szCs w:val="21"/>
        </w:rPr>
      </w:pPr>
      <w:r>
        <w:rPr>
          <w:rFonts w:hint="eastAsia" w:ascii="宋体" w:hAnsi="宋体"/>
          <w:b/>
          <w:szCs w:val="21"/>
        </w:rPr>
        <w:t>铀矿：</w:t>
      </w:r>
      <w:r>
        <w:rPr>
          <w:rFonts w:hint="eastAsia" w:ascii="宋体" w:hAnsi="宋体"/>
          <w:szCs w:val="21"/>
        </w:rPr>
        <w:t>已开采矿化区从帽子峰镇的潭溪村至澜河镇的澜河牛</w:t>
      </w:r>
      <w:r>
        <w:rPr>
          <w:rFonts w:hint="eastAsia" w:ascii="宋体" w:hAnsi="宋体"/>
          <w:szCs w:val="21"/>
        </w:rPr>
        <w:drawing>
          <wp:inline distT="0" distB="0" distL="0" distR="0">
            <wp:extent cx="198120" cy="180340"/>
            <wp:effectExtent l="0" t="0" r="11430" b="10160"/>
            <wp:docPr id="162"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79"/>
                    <pic:cNvPicPr>
                      <a:picLocks noChangeAspect="1" noChangeArrowheads="1"/>
                    </pic:cNvPicPr>
                  </pic:nvPicPr>
                  <pic:blipFill>
                    <a:blip r:embed="rId191" cstate="print"/>
                    <a:srcRect/>
                    <a:stretch>
                      <a:fillRect/>
                    </a:stretch>
                  </pic:blipFill>
                  <pic:spPr>
                    <a:xfrm>
                      <a:off x="0" y="0"/>
                      <a:ext cx="200614" cy="182401"/>
                    </a:xfrm>
                    <a:prstGeom prst="rect">
                      <a:avLst/>
                    </a:prstGeom>
                    <a:noFill/>
                    <a:ln w="9525">
                      <a:noFill/>
                      <a:miter lim="800000"/>
                      <a:headEnd/>
                      <a:tailEnd/>
                    </a:ln>
                  </pic:spPr>
                </pic:pic>
              </a:graphicData>
            </a:graphic>
          </wp:inline>
        </w:drawing>
      </w:r>
      <w:r>
        <w:rPr>
          <w:rFonts w:hint="eastAsia" w:ascii="宋体" w:hAnsi="宋体"/>
          <w:szCs w:val="21"/>
        </w:rPr>
        <w:t>至百顺镇的东坑一带，矿藏丰富。于</w:t>
      </w:r>
      <w:r>
        <w:rPr>
          <w:rFonts w:ascii="宋体" w:hAnsi="宋体"/>
          <w:szCs w:val="21"/>
        </w:rPr>
        <w:t>1965年7月投产。1985年以后限量开采，1994年停产。未开采的</w:t>
      </w:r>
      <w:r>
        <w:rPr>
          <w:rFonts w:hint="eastAsia" w:ascii="宋体" w:hAnsi="宋体"/>
          <w:szCs w:val="21"/>
        </w:rPr>
        <w:t>矿化区有全安的杨历、王亭石和新龙的龙口至中坪以及江头的江头村一带。</w:t>
      </w:r>
    </w:p>
    <w:p w14:paraId="1A6016F4">
      <w:pPr>
        <w:ind w:firstLine="422"/>
        <w:rPr>
          <w:rFonts w:ascii="宋体" w:hAnsi="宋体"/>
          <w:szCs w:val="21"/>
        </w:rPr>
      </w:pPr>
      <w:r>
        <w:rPr>
          <w:rFonts w:hint="eastAsia" w:ascii="宋体" w:hAnsi="宋体"/>
          <w:b/>
          <w:szCs w:val="21"/>
        </w:rPr>
        <w:t>钨矿：</w:t>
      </w:r>
      <w:r>
        <w:rPr>
          <w:rFonts w:hint="eastAsia" w:ascii="宋体" w:hAnsi="宋体"/>
          <w:szCs w:val="21"/>
        </w:rPr>
        <w:t>矿化面积</w:t>
      </w:r>
      <w:r>
        <w:rPr>
          <w:rFonts w:ascii="宋体" w:hAnsi="宋体"/>
          <w:szCs w:val="21"/>
        </w:rPr>
        <w:t>3.7平方公里，矿化范围在主田大坝村至唐山村一带。地理坐标</w:t>
      </w:r>
      <w:r>
        <w:rPr>
          <w:rFonts w:hint="eastAsia" w:ascii="宋体" w:hAnsi="宋体"/>
          <w:szCs w:val="21"/>
        </w:rPr>
        <w:t>为北纬</w:t>
      </w:r>
      <w:r>
        <w:rPr>
          <w:rFonts w:ascii="宋体" w:hAnsi="宋体"/>
          <w:szCs w:val="21"/>
        </w:rPr>
        <w:t>25</w:t>
      </w:r>
      <w:r>
        <w:rPr>
          <w:rFonts w:hint="eastAsia" w:ascii="宋体" w:hAnsi="宋体"/>
          <w:szCs w:val="21"/>
        </w:rPr>
        <w:t>°</w:t>
      </w:r>
      <w:r>
        <w:rPr>
          <w:rFonts w:ascii="宋体" w:hAnsi="宋体"/>
          <w:szCs w:val="21"/>
        </w:rPr>
        <w:t>01′，东经114</w:t>
      </w:r>
      <w:r>
        <w:rPr>
          <w:rFonts w:hint="eastAsia" w:ascii="宋体" w:hAnsi="宋体"/>
          <w:szCs w:val="21"/>
        </w:rPr>
        <w:t>°</w:t>
      </w:r>
      <w:r>
        <w:rPr>
          <w:rFonts w:ascii="宋体" w:hAnsi="宋体"/>
          <w:szCs w:val="21"/>
        </w:rPr>
        <w:t>18′35″。最高海拔为766米。已开采矿区占地面积71万平方</w:t>
      </w:r>
      <w:r>
        <w:rPr>
          <w:rFonts w:hint="eastAsia" w:ascii="宋体" w:hAnsi="宋体"/>
          <w:szCs w:val="21"/>
        </w:rPr>
        <w:t>米。</w:t>
      </w:r>
      <w:r>
        <w:rPr>
          <w:rFonts w:ascii="宋体" w:hAnsi="宋体"/>
          <w:szCs w:val="21"/>
        </w:rPr>
        <w:t>1985年，测得地质储量数仍有脉石量65.49万吨，金属量6508吨。青嶂山亦有</w:t>
      </w:r>
      <w:r>
        <w:rPr>
          <w:rFonts w:hint="eastAsia" w:ascii="宋体" w:hAnsi="宋体"/>
          <w:szCs w:val="21"/>
        </w:rPr>
        <w:t>钨矿，储量未确，尚未开采。</w:t>
      </w:r>
    </w:p>
    <w:p w14:paraId="4F201E3D">
      <w:pPr>
        <w:ind w:firstLine="422"/>
        <w:rPr>
          <w:rFonts w:ascii="宋体" w:hAnsi="宋体"/>
          <w:szCs w:val="21"/>
        </w:rPr>
      </w:pPr>
      <w:r>
        <w:rPr>
          <w:rFonts w:hint="eastAsia" w:ascii="宋体" w:hAnsi="宋体"/>
          <w:b/>
          <w:szCs w:val="21"/>
        </w:rPr>
        <w:t>萤矿石（氟石）：</w:t>
      </w:r>
      <w:r>
        <w:rPr>
          <w:rFonts w:hint="eastAsia" w:ascii="宋体" w:hAnsi="宋体"/>
          <w:szCs w:val="21"/>
        </w:rPr>
        <w:t>矿化范围主要是江头镇江头村，储量不大，但质量颇好，硬度</w:t>
      </w:r>
      <w:r>
        <w:rPr>
          <w:rFonts w:ascii="宋体" w:hAnsi="宋体"/>
          <w:szCs w:val="21"/>
        </w:rPr>
        <w:t>4度，比重3.18，纯度98%以上，已开采约4万吨，仍有储量约45万吨。</w:t>
      </w:r>
    </w:p>
    <w:p w14:paraId="5D66516C">
      <w:pPr>
        <w:ind w:firstLine="422"/>
        <w:rPr>
          <w:rFonts w:ascii="宋体" w:hAnsi="宋体"/>
          <w:szCs w:val="21"/>
        </w:rPr>
      </w:pPr>
      <w:r>
        <w:rPr>
          <w:rFonts w:hint="eastAsia" w:ascii="宋体" w:hAnsi="宋体"/>
          <w:b/>
          <w:szCs w:val="21"/>
        </w:rPr>
        <w:t>稀土矿：</w:t>
      </w:r>
      <w:r>
        <w:rPr>
          <w:rFonts w:hint="eastAsia" w:ascii="宋体" w:hAnsi="宋体"/>
          <w:szCs w:val="21"/>
        </w:rPr>
        <w:t>矿床分布在澜河、黎口、油山、坪田、古市、主田、苍石等地，总储量达</w:t>
      </w:r>
      <w:r>
        <w:rPr>
          <w:rFonts w:ascii="宋体" w:hAnsi="宋体"/>
          <w:szCs w:val="21"/>
        </w:rPr>
        <w:t>1500万吨，宜开采。</w:t>
      </w:r>
    </w:p>
    <w:p w14:paraId="3C5527DB">
      <w:pPr>
        <w:pStyle w:val="5"/>
        <w:rPr>
          <w:rFonts w:ascii="宋体" w:hAnsi="宋体"/>
        </w:rPr>
      </w:pPr>
      <w:r>
        <w:rPr>
          <w:rFonts w:hint="eastAsia" w:ascii="宋体" w:hAnsi="宋体"/>
        </w:rPr>
        <w:t>二、水资源</w:t>
      </w:r>
    </w:p>
    <w:p w14:paraId="5E841917">
      <w:pPr>
        <w:ind w:firstLine="422"/>
        <w:rPr>
          <w:rFonts w:ascii="宋体" w:hAnsi="宋体"/>
          <w:szCs w:val="21"/>
        </w:rPr>
      </w:pPr>
      <w:r>
        <w:rPr>
          <w:rFonts w:hint="eastAsia" w:ascii="宋体" w:hAnsi="宋体"/>
          <w:b/>
          <w:szCs w:val="21"/>
        </w:rPr>
        <w:t>地表水：</w:t>
      </w:r>
      <w:r>
        <w:rPr>
          <w:rFonts w:hint="eastAsia" w:ascii="宋体" w:hAnsi="宋体"/>
          <w:szCs w:val="21"/>
        </w:rPr>
        <w:t>据</w:t>
      </w:r>
      <w:r>
        <w:rPr>
          <w:rFonts w:ascii="宋体" w:hAnsi="宋体"/>
          <w:szCs w:val="21"/>
        </w:rPr>
        <w:t>1956年至1979年的观测资料，南雄县多年平均降雨量为1484.2毫</w:t>
      </w:r>
      <w:r>
        <w:rPr>
          <w:rFonts w:hint="eastAsia" w:ascii="宋体" w:hAnsi="宋体"/>
          <w:szCs w:val="21"/>
        </w:rPr>
        <w:t>米，降水总量为</w:t>
      </w:r>
      <w:r>
        <w:rPr>
          <w:rFonts w:ascii="宋体" w:hAnsi="宋体"/>
          <w:szCs w:val="21"/>
        </w:rPr>
        <w:t>34.804亿立方米。全县径流均由降雨产生，属雨水补发类型。多年</w:t>
      </w:r>
      <w:r>
        <w:rPr>
          <w:rFonts w:hint="eastAsia" w:ascii="宋体" w:hAnsi="宋体"/>
          <w:szCs w:val="21"/>
        </w:rPr>
        <w:t>平均降雨量中约有</w:t>
      </w:r>
      <w:r>
        <w:rPr>
          <w:rFonts w:ascii="宋体" w:hAnsi="宋体"/>
          <w:szCs w:val="21"/>
        </w:rPr>
        <w:t>47.3%的水量为植物蒸腾和土壤以及地表水体蒸发所消耗，52.7%形成径流。全县多年平均径流深为781.8毫米，每平方公里产水量78.18万立</w:t>
      </w:r>
      <w:r>
        <w:rPr>
          <w:rFonts w:hint="eastAsia" w:ascii="宋体" w:hAnsi="宋体"/>
          <w:szCs w:val="21"/>
        </w:rPr>
        <w:t>方米；多年平均地表径流总量为</w:t>
      </w:r>
      <w:r>
        <w:rPr>
          <w:rFonts w:ascii="宋体" w:hAnsi="宋体"/>
          <w:szCs w:val="21"/>
        </w:rPr>
        <w:t>18.333亿立方米（未加入客水）。详见《南雄县志</w:t>
      </w:r>
      <w:r>
        <w:rPr>
          <w:rFonts w:hint="eastAsia" w:ascii="宋体" w:hAnsi="宋体"/>
          <w:szCs w:val="21"/>
        </w:rPr>
        <w:t>·自然资源》。</w:t>
      </w:r>
    </w:p>
    <w:p w14:paraId="1C3E90D1">
      <w:pPr>
        <w:ind w:firstLine="422"/>
        <w:rPr>
          <w:rFonts w:ascii="宋体" w:hAnsi="宋体"/>
          <w:szCs w:val="21"/>
        </w:rPr>
      </w:pPr>
      <w:r>
        <w:rPr>
          <w:rFonts w:hint="eastAsia" w:ascii="宋体" w:hAnsi="宋体"/>
          <w:b/>
          <w:szCs w:val="21"/>
        </w:rPr>
        <w:t>地下水：</w:t>
      </w:r>
      <w:r>
        <w:rPr>
          <w:rFonts w:hint="eastAsia" w:ascii="宋体" w:hAnsi="宋体"/>
          <w:szCs w:val="21"/>
        </w:rPr>
        <w:t>据省水文总站测定，南雄市浅层地下水资源约占河川径流总量的</w:t>
      </w:r>
      <w:r>
        <w:rPr>
          <w:rFonts w:ascii="宋体" w:hAnsi="宋体"/>
          <w:szCs w:val="21"/>
        </w:rPr>
        <w:t>21%</w:t>
      </w:r>
      <w:r>
        <w:rPr>
          <w:rFonts w:hint="eastAsia" w:ascii="宋体" w:hAnsi="宋体"/>
          <w:szCs w:val="21"/>
        </w:rPr>
        <w:t>。全市地下水总储量为：多年平均值</w:t>
      </w:r>
      <w:r>
        <w:rPr>
          <w:rFonts w:ascii="宋体" w:hAnsi="宋体"/>
          <w:szCs w:val="21"/>
        </w:rPr>
        <w:t>18.333×21=3.85亿立方米；丰水年（P=10%）29.41×0.21=6.18亿立方米；枯水年（P=90%）8.8×2.21=1.85亿立方米。浅层</w:t>
      </w:r>
      <w:r>
        <w:rPr>
          <w:rFonts w:hint="eastAsia" w:ascii="宋体" w:hAnsi="宋体"/>
          <w:szCs w:val="21"/>
        </w:rPr>
        <w:t>地下水资源不足，每遇秋旱，不少村庄、井水枯竭。</w:t>
      </w:r>
    </w:p>
    <w:p w14:paraId="21AE82D7">
      <w:pPr>
        <w:ind w:firstLine="422"/>
        <w:rPr>
          <w:rFonts w:ascii="宋体" w:hAnsi="宋体"/>
          <w:szCs w:val="21"/>
        </w:rPr>
      </w:pPr>
      <w:r>
        <w:rPr>
          <w:rFonts w:hint="eastAsia" w:ascii="宋体" w:hAnsi="宋体"/>
          <w:b/>
          <w:szCs w:val="21"/>
        </w:rPr>
        <w:t>水能：</w:t>
      </w:r>
      <w:r>
        <w:rPr>
          <w:rFonts w:hint="eastAsia" w:ascii="宋体" w:hAnsi="宋体"/>
          <w:szCs w:val="21"/>
        </w:rPr>
        <w:t>全市水能总蕴量为</w:t>
      </w:r>
      <w:r>
        <w:rPr>
          <w:rFonts w:ascii="宋体" w:hAnsi="宋体"/>
          <w:szCs w:val="21"/>
        </w:rPr>
        <w:t>7.39万千瓦，可开发量为6.72万千瓦，至2004年，</w:t>
      </w:r>
      <w:r>
        <w:rPr>
          <w:rFonts w:hint="eastAsia" w:ascii="宋体" w:hAnsi="宋体"/>
          <w:szCs w:val="21"/>
        </w:rPr>
        <w:t>已建水电站</w:t>
      </w:r>
      <w:r>
        <w:rPr>
          <w:rFonts w:ascii="宋体" w:hAnsi="宋体"/>
          <w:szCs w:val="21"/>
        </w:rPr>
        <w:t>106宗，装机54545千瓦。《南雄县志》原载总蕴藏量为64700千瓦，可</w:t>
      </w:r>
      <w:r>
        <w:rPr>
          <w:rFonts w:hint="eastAsia" w:ascii="宋体" w:hAnsi="宋体"/>
          <w:szCs w:val="21"/>
        </w:rPr>
        <w:t>开发量为</w:t>
      </w:r>
      <w:r>
        <w:rPr>
          <w:rFonts w:ascii="宋体" w:hAnsi="宋体"/>
          <w:szCs w:val="21"/>
        </w:rPr>
        <w:t>48130千瓦，现根据2003年《南雄水利志》续志更改</w:t>
      </w:r>
      <w:r>
        <w:rPr>
          <w:rFonts w:hint="eastAsia" w:ascii="宋体" w:hAnsi="宋体"/>
          <w:szCs w:val="21"/>
        </w:rPr>
        <w:t>。</w:t>
      </w:r>
    </w:p>
    <w:p w14:paraId="7425FE87">
      <w:pPr>
        <w:pStyle w:val="5"/>
        <w:rPr>
          <w:rFonts w:ascii="宋体" w:hAnsi="宋体"/>
        </w:rPr>
      </w:pPr>
      <w:r>
        <w:rPr>
          <w:rFonts w:hint="eastAsia" w:ascii="宋体" w:hAnsi="宋体"/>
        </w:rPr>
        <w:t>三、森林资源</w:t>
      </w:r>
    </w:p>
    <w:p w14:paraId="5CBA8578">
      <w:pPr>
        <w:ind w:firstLine="420"/>
        <w:rPr>
          <w:rFonts w:ascii="宋体" w:hAnsi="宋体"/>
          <w:szCs w:val="21"/>
        </w:rPr>
      </w:pPr>
      <w:r>
        <w:rPr>
          <w:rFonts w:hint="eastAsia" w:ascii="宋体" w:hAnsi="宋体"/>
          <w:szCs w:val="21"/>
        </w:rPr>
        <w:t>南雄市是粤北重点林区。</w:t>
      </w:r>
      <w:r>
        <w:rPr>
          <w:rFonts w:ascii="宋体" w:hAnsi="宋体"/>
          <w:szCs w:val="21"/>
        </w:rPr>
        <w:t>1958年以来森林资源遭受多次破坏，蓄积量减少，林</w:t>
      </w:r>
      <w:r>
        <w:rPr>
          <w:rFonts w:hint="eastAsia" w:ascii="宋体" w:hAnsi="宋体"/>
          <w:szCs w:val="21"/>
        </w:rPr>
        <w:t>分质量下降。</w:t>
      </w:r>
      <w:r>
        <w:rPr>
          <w:rFonts w:ascii="宋体" w:hAnsi="宋体"/>
          <w:szCs w:val="21"/>
        </w:rPr>
        <w:t>1957年全县有林地面积115186.67公顷，活立木蓄积量745.46万立方</w:t>
      </w:r>
      <w:r>
        <w:rPr>
          <w:rFonts w:hint="eastAsia" w:ascii="宋体" w:hAnsi="宋体"/>
          <w:szCs w:val="21"/>
        </w:rPr>
        <w:t>米。</w:t>
      </w:r>
      <w:r>
        <w:rPr>
          <w:rFonts w:ascii="宋体" w:hAnsi="宋体"/>
          <w:szCs w:val="21"/>
        </w:rPr>
        <w:t>1987年森林资源数据更新调查，全县有林地面积128533.33公顷，森林覆盖率56.29%，活立木蓄积量314万立方米，疏残林、中幼龄林多</w:t>
      </w:r>
      <w:r>
        <w:rPr>
          <w:rFonts w:hint="eastAsia" w:ascii="宋体" w:hAnsi="宋体"/>
          <w:szCs w:val="21"/>
        </w:rPr>
        <w:t>。</w:t>
      </w:r>
    </w:p>
    <w:p w14:paraId="3D930A1A">
      <w:pPr>
        <w:ind w:firstLine="420"/>
        <w:rPr>
          <w:rFonts w:ascii="宋体" w:hAnsi="宋体"/>
          <w:szCs w:val="21"/>
        </w:rPr>
      </w:pPr>
      <w:r>
        <w:rPr>
          <w:rFonts w:ascii="宋体" w:hAnsi="宋体"/>
          <w:szCs w:val="21"/>
        </w:rPr>
        <w:t>1994年二类调查，全县总面积232818公顷，林业用地面积155451公顷，占总面</w:t>
      </w:r>
      <w:r>
        <w:rPr>
          <w:rFonts w:hint="eastAsia" w:ascii="宋体" w:hAnsi="宋体"/>
          <w:szCs w:val="21"/>
        </w:rPr>
        <w:t>积的</w:t>
      </w:r>
      <w:r>
        <w:rPr>
          <w:rFonts w:ascii="宋体" w:hAnsi="宋体"/>
          <w:szCs w:val="21"/>
        </w:rPr>
        <w:t>66.77%，有林地面积141089公顷。活立木蓄积量4333996立方米。</w:t>
      </w:r>
    </w:p>
    <w:p w14:paraId="1F347513">
      <w:pPr>
        <w:ind w:firstLine="420"/>
        <w:rPr>
          <w:rFonts w:ascii="宋体" w:hAnsi="宋体"/>
          <w:szCs w:val="21"/>
        </w:rPr>
      </w:pPr>
      <w:r>
        <w:rPr>
          <w:rFonts w:ascii="宋体" w:hAnsi="宋体"/>
          <w:szCs w:val="21"/>
        </w:rPr>
        <w:t>1999年12月，资源数据库更新调查结果：全市林业用地面积155526.3公顷，有</w:t>
      </w:r>
      <w:r>
        <w:rPr>
          <w:rFonts w:hint="eastAsia" w:ascii="宋体" w:hAnsi="宋体"/>
          <w:szCs w:val="21"/>
        </w:rPr>
        <w:t>林地面积</w:t>
      </w:r>
      <w:r>
        <w:rPr>
          <w:rFonts w:ascii="宋体" w:hAnsi="宋体"/>
          <w:szCs w:val="21"/>
        </w:rPr>
        <w:t>118847.9公顷，活立木蓄积量562.49万立方米</w:t>
      </w:r>
      <w:r>
        <w:rPr>
          <w:rFonts w:hint="eastAsia" w:ascii="宋体" w:hAnsi="宋体"/>
          <w:szCs w:val="21"/>
        </w:rPr>
        <w:t>。</w:t>
      </w:r>
    </w:p>
    <w:p w14:paraId="212DFB78">
      <w:pPr>
        <w:ind w:firstLine="420"/>
        <w:rPr>
          <w:rFonts w:ascii="宋体" w:hAnsi="宋体"/>
          <w:szCs w:val="21"/>
        </w:rPr>
      </w:pPr>
      <w:r>
        <w:rPr>
          <w:rFonts w:ascii="宋体" w:hAnsi="宋体"/>
          <w:szCs w:val="21"/>
        </w:rPr>
        <w:t>2004年第三次二类调查，有林地面积145397.7公顷，森林覆盖率64.2%，活立</w:t>
      </w:r>
      <w:r>
        <w:rPr>
          <w:rFonts w:hint="eastAsia" w:ascii="宋体" w:hAnsi="宋体"/>
          <w:szCs w:val="21"/>
        </w:rPr>
        <w:t>木蓄积量</w:t>
      </w:r>
      <w:r>
        <w:rPr>
          <w:rFonts w:ascii="宋体" w:hAnsi="宋体"/>
          <w:szCs w:val="21"/>
        </w:rPr>
        <w:t>7248037立方米。</w:t>
      </w:r>
    </w:p>
    <w:p w14:paraId="202A50FE">
      <w:pPr>
        <w:pStyle w:val="5"/>
        <w:rPr>
          <w:rFonts w:ascii="宋体" w:hAnsi="宋体"/>
        </w:rPr>
      </w:pPr>
      <w:r>
        <w:rPr>
          <w:rFonts w:hint="eastAsia" w:ascii="宋体" w:hAnsi="宋体"/>
        </w:rPr>
        <w:t>四、植物资源</w:t>
      </w:r>
    </w:p>
    <w:p w14:paraId="4F9DABAB">
      <w:pPr>
        <w:ind w:firstLine="420"/>
        <w:rPr>
          <w:rFonts w:ascii="宋体" w:hAnsi="宋体"/>
          <w:szCs w:val="21"/>
        </w:rPr>
      </w:pPr>
      <w:r>
        <w:rPr>
          <w:rFonts w:hint="eastAsia" w:ascii="宋体" w:hAnsi="宋体"/>
          <w:szCs w:val="21"/>
        </w:rPr>
        <w:t>人工栽培为主的农作物和经济作物，如谷物、菜蔬、水果等，在农业章记述，本目主要记述树木、竹、花卉和药类。</w:t>
      </w:r>
    </w:p>
    <w:p w14:paraId="3DEADC73">
      <w:pPr>
        <w:ind w:firstLine="422"/>
        <w:rPr>
          <w:rFonts w:ascii="宋体" w:hAnsi="宋体"/>
          <w:b/>
          <w:szCs w:val="21"/>
        </w:rPr>
      </w:pPr>
      <w:r>
        <w:rPr>
          <w:rFonts w:hint="eastAsia" w:ascii="宋体" w:hAnsi="宋体"/>
          <w:b/>
          <w:szCs w:val="21"/>
        </w:rPr>
        <w:t>（一）树种</w:t>
      </w:r>
    </w:p>
    <w:p w14:paraId="4702D5A1">
      <w:pPr>
        <w:ind w:firstLine="420"/>
        <w:rPr>
          <w:rFonts w:ascii="宋体" w:hAnsi="宋体"/>
          <w:szCs w:val="21"/>
        </w:rPr>
      </w:pPr>
      <w:r>
        <w:rPr>
          <w:rFonts w:ascii="宋体" w:hAnsi="宋体"/>
          <w:szCs w:val="21"/>
        </w:rPr>
        <w:t>1.针叶树有马尾松、湿地松（松科松属）和杉树（杉科杉属），以马尾松分布</w:t>
      </w:r>
      <w:r>
        <w:rPr>
          <w:rFonts w:hint="eastAsia" w:ascii="宋体" w:hAnsi="宋体"/>
          <w:szCs w:val="21"/>
        </w:rPr>
        <w:t>最广，不论海拔高低，土层厚薄、肥瘦、干湿，甚至石头山都能生长。湿地松原产北美洲，近年引种于丘陵山坡。杉树分布于北山、南山两大林区，是用材林的主要品种，最适宜生长于砂页岩、片（板）岩风化的土壤。在山谷及高山阴坡的中、下部和毛竹林中，可长成长大材。</w:t>
      </w:r>
    </w:p>
    <w:p w14:paraId="68050E13">
      <w:pPr>
        <w:ind w:firstLine="420"/>
        <w:rPr>
          <w:rFonts w:ascii="宋体" w:hAnsi="宋体"/>
          <w:szCs w:val="21"/>
        </w:rPr>
      </w:pPr>
      <w:r>
        <w:rPr>
          <w:rFonts w:ascii="宋体" w:hAnsi="宋体"/>
          <w:szCs w:val="21"/>
        </w:rPr>
        <w:t>2.阔叶树较常见的有51科100属173种，多为常绿乔木，适应性与杉树相似，</w:t>
      </w:r>
      <w:r>
        <w:rPr>
          <w:rFonts w:hint="eastAsia" w:ascii="宋体" w:hAnsi="宋体"/>
          <w:szCs w:val="21"/>
        </w:rPr>
        <w:t>以壳斗科、樟科、漆科、大戟科、茶科、金缕梅科、蔷薇科的树种居多。</w:t>
      </w:r>
    </w:p>
    <w:p w14:paraId="0DDA2C11">
      <w:pPr>
        <w:ind w:firstLine="420"/>
        <w:rPr>
          <w:rFonts w:ascii="宋体" w:hAnsi="宋体"/>
          <w:szCs w:val="21"/>
        </w:rPr>
      </w:pPr>
      <w:r>
        <w:rPr>
          <w:rFonts w:ascii="宋体" w:hAnsi="宋体"/>
          <w:szCs w:val="21"/>
        </w:rPr>
        <w:t>3.珍稀树种有白果（银杏）、野白兰、木莲、隆兰、白玉兰、黄兰、楠木、香</w:t>
      </w:r>
      <w:r>
        <w:rPr>
          <w:rFonts w:hint="eastAsia" w:ascii="宋体" w:hAnsi="宋体"/>
          <w:szCs w:val="21"/>
        </w:rPr>
        <w:t>樟、香椿、木棉、山枣、檫木、石斑、红锥、米锥、橄榄、苹婆、黄檀等。</w:t>
      </w:r>
    </w:p>
    <w:p w14:paraId="04B26373">
      <w:pPr>
        <w:ind w:firstLine="422"/>
        <w:rPr>
          <w:rFonts w:ascii="宋体" w:hAnsi="宋体"/>
          <w:b/>
          <w:szCs w:val="21"/>
        </w:rPr>
      </w:pPr>
      <w:r>
        <w:rPr>
          <w:rFonts w:hint="eastAsia" w:ascii="宋体" w:hAnsi="宋体"/>
          <w:b/>
          <w:szCs w:val="21"/>
        </w:rPr>
        <w:t>（二）竹</w:t>
      </w:r>
    </w:p>
    <w:p w14:paraId="0ED01621">
      <w:pPr>
        <w:ind w:firstLine="420"/>
        <w:rPr>
          <w:rFonts w:ascii="宋体" w:hAnsi="宋体"/>
          <w:szCs w:val="21"/>
        </w:rPr>
      </w:pPr>
      <w:r>
        <w:rPr>
          <w:rFonts w:hint="eastAsia" w:ascii="宋体" w:hAnsi="宋体"/>
          <w:szCs w:val="21"/>
        </w:rPr>
        <w:t>本地常见的除毛竹外，还有黄竹、勒竹、撑篙竹、金竹、粉单竹、广宁竹、茶秆竹、水竹（禾木科）。近年创办竹博园，引进珍稀品种一批，如黄甜竹、橄榄竹、粉酸竹、毛花酸竹、方竹、刺黑竹、中华大节竹、大节竹、摆竹、江山浦子竹、倭形竹、龟甲竹、黄秆乌哺鸡、花秆早竹、黄皮绿筋竹、红舌唐竹、白纹维谷竹、白纺阴阳竹、刺竹、凤尾竹、撑麻</w:t>
      </w:r>
      <w:r>
        <w:rPr>
          <w:rFonts w:ascii="宋体" w:hAnsi="宋体"/>
          <w:szCs w:val="21"/>
        </w:rPr>
        <w:t>7号、撑麻青1号、勃氏甜龙竹、大叶龙竹、金丝慈竹</w:t>
      </w:r>
      <w:r>
        <w:rPr>
          <w:rFonts w:hint="eastAsia" w:ascii="宋体" w:hAnsi="宋体"/>
          <w:szCs w:val="21"/>
        </w:rPr>
        <w:t>、泰竹、巨竹、绿竹、黄麻竹、瓜多竹、膜竹、撑绿</w:t>
      </w:r>
      <w:r>
        <w:rPr>
          <w:rFonts w:ascii="宋体" w:hAnsi="宋体"/>
          <w:szCs w:val="21"/>
        </w:rPr>
        <w:t>3号、苦绿竹、云南甜竹等等。</w:t>
      </w:r>
    </w:p>
    <w:p w14:paraId="4CD0784D">
      <w:pPr>
        <w:ind w:firstLine="422"/>
        <w:rPr>
          <w:rFonts w:ascii="宋体" w:hAnsi="宋体"/>
          <w:b/>
          <w:szCs w:val="21"/>
        </w:rPr>
      </w:pPr>
      <w:r>
        <w:rPr>
          <w:rFonts w:hint="eastAsia" w:ascii="宋体" w:hAnsi="宋体"/>
          <w:b/>
          <w:szCs w:val="21"/>
        </w:rPr>
        <w:t>（三）花</w:t>
      </w:r>
    </w:p>
    <w:p w14:paraId="4076F692">
      <w:pPr>
        <w:ind w:firstLine="420"/>
        <w:rPr>
          <w:rFonts w:ascii="宋体" w:hAnsi="宋体"/>
          <w:szCs w:val="21"/>
        </w:rPr>
      </w:pPr>
      <w:r>
        <w:rPr>
          <w:rFonts w:hint="eastAsia" w:ascii="宋体" w:hAnsi="宋体"/>
          <w:szCs w:val="21"/>
        </w:rPr>
        <w:t>常见的有兰花（即中国兰花）：盛产于帽子峰一带阔叶林阴湿地，俗称石兰，有春兰（草兰）、夏兰、秋兰、冬兰之分。旧志载有剑叶兰、山兰、风兰、赛兰、树兰。今家庭盆栽还有珠兰、米兰、鸡爪兰、吊兰，吊兰又分金边吊兰、银边吊兰。</w:t>
      </w:r>
    </w:p>
    <w:p w14:paraId="61340195">
      <w:pPr>
        <w:ind w:firstLine="420"/>
        <w:rPr>
          <w:rFonts w:ascii="宋体" w:hAnsi="宋体"/>
          <w:szCs w:val="21"/>
        </w:rPr>
      </w:pPr>
      <w:r>
        <w:rPr>
          <w:rFonts w:hint="eastAsia" w:ascii="宋体" w:hAnsi="宋体"/>
          <w:szCs w:val="21"/>
        </w:rPr>
        <w:t>红梅：以梅岭著，旧志有记载：“花颇似桃而唇红，亦有纯红者”。但至清末，梅树日少。</w:t>
      </w:r>
      <w:r>
        <w:rPr>
          <w:rFonts w:ascii="宋体" w:hAnsi="宋体"/>
          <w:szCs w:val="21"/>
        </w:rPr>
        <w:t>1986年以来，政府拨款购梅花苗在梅岭古道旁补植，引进新的品种，以</w:t>
      </w:r>
      <w:r>
        <w:rPr>
          <w:rFonts w:hint="eastAsia" w:ascii="宋体" w:hAnsi="宋体"/>
          <w:szCs w:val="21"/>
        </w:rPr>
        <w:t>绿萼、腊梅为贵。</w:t>
      </w:r>
    </w:p>
    <w:p w14:paraId="6DECE99D">
      <w:pPr>
        <w:ind w:firstLine="420"/>
        <w:rPr>
          <w:rFonts w:ascii="宋体" w:hAnsi="宋体"/>
          <w:szCs w:val="21"/>
        </w:rPr>
      </w:pPr>
      <w:r>
        <w:rPr>
          <w:rFonts w:hint="eastAsia" w:ascii="宋体" w:hAnsi="宋体"/>
          <w:szCs w:val="21"/>
        </w:rPr>
        <w:t>山含笑：原野生于帽子峰一带，木兰科乔木，近年经人工栽培繁殖，作为美化树种广为栽种。</w:t>
      </w:r>
    </w:p>
    <w:p w14:paraId="67DA8344">
      <w:pPr>
        <w:ind w:firstLine="420"/>
        <w:rPr>
          <w:rFonts w:ascii="宋体" w:hAnsi="宋体"/>
          <w:szCs w:val="21"/>
        </w:rPr>
      </w:pPr>
      <w:r>
        <w:rPr>
          <w:rFonts w:hint="eastAsia" w:ascii="宋体" w:hAnsi="宋体"/>
          <w:szCs w:val="21"/>
        </w:rPr>
        <w:t>夹竹桃：盆地丘陵多插植于树桩、路旁、土坎以及红砂岭水保工程，夏秋季开花，红色，甚鲜艳。</w:t>
      </w:r>
    </w:p>
    <w:p w14:paraId="11CEB5E7">
      <w:pPr>
        <w:ind w:firstLine="420"/>
        <w:rPr>
          <w:rFonts w:ascii="宋体" w:hAnsi="宋体"/>
          <w:szCs w:val="21"/>
        </w:rPr>
      </w:pPr>
      <w:r>
        <w:rPr>
          <w:rFonts w:hint="eastAsia" w:ascii="宋体" w:hAnsi="宋体"/>
          <w:szCs w:val="21"/>
        </w:rPr>
        <w:t>杜鹃花（又名满山红）：南北山地及丘陵山坡均有生长，农历四月盛开，红遍山冈，极为可观。</w:t>
      </w:r>
    </w:p>
    <w:p w14:paraId="2C0144A6">
      <w:pPr>
        <w:ind w:firstLine="420"/>
        <w:rPr>
          <w:rFonts w:ascii="宋体" w:hAnsi="宋体"/>
          <w:szCs w:val="21"/>
        </w:rPr>
      </w:pPr>
      <w:r>
        <w:rPr>
          <w:rFonts w:hint="eastAsia" w:ascii="宋体" w:hAnsi="宋体"/>
          <w:szCs w:val="21"/>
        </w:rPr>
        <w:t>此外，有白玉兰，县政府大院内有近百年大树。木棉花，青云桥头有近百年大树一棵。桂花，有金桂、银桂，还有一年四季开放的四季桂，城乡均有数十年、百余年大树。</w:t>
      </w:r>
    </w:p>
    <w:p w14:paraId="1A96298C">
      <w:pPr>
        <w:ind w:firstLine="422"/>
        <w:rPr>
          <w:rFonts w:ascii="宋体" w:hAnsi="宋体"/>
          <w:b/>
          <w:szCs w:val="21"/>
        </w:rPr>
      </w:pPr>
      <w:r>
        <w:rPr>
          <w:rFonts w:hint="eastAsia" w:ascii="宋体" w:hAnsi="宋体"/>
          <w:b/>
          <w:szCs w:val="21"/>
        </w:rPr>
        <w:t>（四）药</w:t>
      </w:r>
    </w:p>
    <w:p w14:paraId="6D8BB757">
      <w:pPr>
        <w:ind w:firstLine="420"/>
        <w:rPr>
          <w:rFonts w:ascii="宋体" w:hAnsi="宋体"/>
          <w:szCs w:val="21"/>
        </w:rPr>
      </w:pPr>
      <w:r>
        <w:rPr>
          <w:rFonts w:ascii="宋体" w:hAnsi="宋体"/>
          <w:szCs w:val="21"/>
        </w:rPr>
        <w:t>1984年县药材资源普查办公室普查，全县有中药材325种。其中：根茎类112</w:t>
      </w:r>
      <w:r>
        <w:rPr>
          <w:rFonts w:hint="eastAsia" w:ascii="宋体" w:hAnsi="宋体"/>
          <w:szCs w:val="21"/>
        </w:rPr>
        <w:t>种，全草类</w:t>
      </w:r>
      <w:r>
        <w:rPr>
          <w:rFonts w:ascii="宋体" w:hAnsi="宋体"/>
          <w:szCs w:val="21"/>
        </w:rPr>
        <w:t>107种，花叶类27种，果实种子类52种，藤木树皮类24种，真菌类3</w:t>
      </w:r>
      <w:r>
        <w:rPr>
          <w:rFonts w:hint="eastAsia" w:ascii="宋体" w:hAnsi="宋体"/>
          <w:szCs w:val="21"/>
        </w:rPr>
        <w:t>种。在这</w:t>
      </w:r>
      <w:r>
        <w:rPr>
          <w:rFonts w:ascii="宋体" w:hAnsi="宋体"/>
          <w:szCs w:val="21"/>
        </w:rPr>
        <w:t>325种药材中，产量达1.5吨以上的品种有白茯苓、丹参、山枝子、金银</w:t>
      </w:r>
      <w:r>
        <w:rPr>
          <w:rFonts w:hint="eastAsia" w:ascii="宋体" w:hAnsi="宋体"/>
          <w:szCs w:val="21"/>
        </w:rPr>
        <w:t>花、罗汉果、杜仲、厚朴、粉防杞、白花败酱、水半夏、千斤拔、田基王、蛇舌草、卷柏、虎杖、天冬、了哥王、苍耳草、旱莲草、乌药</w:t>
      </w:r>
      <w:r>
        <w:rPr>
          <w:rFonts w:ascii="宋体" w:hAnsi="宋体"/>
          <w:szCs w:val="21"/>
        </w:rPr>
        <w:t>20种。稀有品种为田七、天葵、</w:t>
      </w:r>
      <w:r>
        <w:rPr>
          <w:rFonts w:hint="eastAsia" w:ascii="宋体" w:hAnsi="宋体"/>
          <w:szCs w:val="21"/>
        </w:rPr>
        <w:t>羽见草、吐丝子</w:t>
      </w:r>
      <w:r>
        <w:rPr>
          <w:rFonts w:ascii="宋体" w:hAnsi="宋体"/>
          <w:szCs w:val="21"/>
        </w:rPr>
        <w:t>4种，田七年产约10吨。</w:t>
      </w:r>
    </w:p>
    <w:p w14:paraId="3587187D">
      <w:pPr>
        <w:pStyle w:val="4"/>
        <w:rPr>
          <w:rFonts w:ascii="宋体" w:hAnsi="宋体"/>
        </w:rPr>
      </w:pPr>
      <w:r>
        <w:rPr>
          <w:rFonts w:hint="eastAsia" w:ascii="宋体" w:hAnsi="宋体"/>
        </w:rPr>
        <w:t>第三节  自然灾害</w:t>
      </w:r>
    </w:p>
    <w:p w14:paraId="1F792B40">
      <w:pPr>
        <w:pStyle w:val="5"/>
        <w:rPr>
          <w:rFonts w:ascii="宋体" w:hAnsi="宋体"/>
        </w:rPr>
      </w:pPr>
      <w:r>
        <w:rPr>
          <w:rFonts w:hint="eastAsia" w:ascii="宋体" w:hAnsi="宋体"/>
        </w:rPr>
        <w:t>一、</w:t>
      </w:r>
      <w:r>
        <w:rPr>
          <w:rFonts w:ascii="宋体" w:hAnsi="宋体"/>
        </w:rPr>
        <w:t>水灾</w:t>
      </w:r>
    </w:p>
    <w:p w14:paraId="55C8B9DB">
      <w:pPr>
        <w:ind w:firstLine="422"/>
        <w:rPr>
          <w:rFonts w:ascii="宋体" w:hAnsi="宋体"/>
          <w:b/>
          <w:szCs w:val="21"/>
        </w:rPr>
      </w:pPr>
      <w:r>
        <w:rPr>
          <w:rFonts w:ascii="宋体" w:hAnsi="宋体"/>
          <w:b/>
          <w:szCs w:val="21"/>
        </w:rPr>
        <w:t>1.古代</w:t>
      </w:r>
    </w:p>
    <w:p w14:paraId="4500253F">
      <w:pPr>
        <w:ind w:firstLine="420"/>
        <w:rPr>
          <w:rFonts w:ascii="宋体" w:hAnsi="宋体"/>
          <w:szCs w:val="21"/>
        </w:rPr>
      </w:pPr>
      <w:r>
        <w:rPr>
          <w:rFonts w:hint="eastAsia" w:ascii="宋体" w:hAnsi="宋体"/>
          <w:szCs w:val="21"/>
        </w:rPr>
        <w:t>元·大德元年（</w:t>
      </w:r>
      <w:r>
        <w:rPr>
          <w:rFonts w:ascii="宋体" w:hAnsi="宋体"/>
          <w:szCs w:val="21"/>
        </w:rPr>
        <w:t>1297年）十月大水。</w:t>
      </w:r>
    </w:p>
    <w:p w14:paraId="4F3F5FD4">
      <w:pPr>
        <w:ind w:firstLine="420"/>
        <w:rPr>
          <w:rFonts w:ascii="宋体" w:hAnsi="宋体"/>
          <w:szCs w:val="21"/>
        </w:rPr>
      </w:pPr>
      <w:r>
        <w:rPr>
          <w:rFonts w:hint="eastAsia" w:ascii="宋体" w:hAnsi="宋体"/>
          <w:szCs w:val="21"/>
        </w:rPr>
        <w:t>明·正德九年（</w:t>
      </w:r>
      <w:r>
        <w:rPr>
          <w:rFonts w:ascii="宋体" w:hAnsi="宋体"/>
          <w:szCs w:val="21"/>
        </w:rPr>
        <w:t>1514年）四月大水</w:t>
      </w:r>
      <w:r>
        <w:rPr>
          <w:rFonts w:hint="eastAsia" w:ascii="宋体" w:hAnsi="宋体"/>
          <w:szCs w:val="21"/>
        </w:rPr>
        <w:t>。</w:t>
      </w:r>
    </w:p>
    <w:p w14:paraId="1064C479">
      <w:pPr>
        <w:ind w:firstLine="420"/>
        <w:rPr>
          <w:rFonts w:ascii="宋体" w:hAnsi="宋体"/>
          <w:szCs w:val="21"/>
        </w:rPr>
      </w:pPr>
      <w:r>
        <w:rPr>
          <w:rFonts w:hint="eastAsia" w:ascii="宋体" w:hAnsi="宋体"/>
          <w:szCs w:val="21"/>
        </w:rPr>
        <w:t>明·嘉靖十四年（</w:t>
      </w:r>
      <w:r>
        <w:rPr>
          <w:rFonts w:ascii="宋体" w:hAnsi="宋体"/>
          <w:szCs w:val="21"/>
        </w:rPr>
        <w:t>1535年）四月至六月，淫雨恒阴，大水伤禾稼</w:t>
      </w:r>
      <w:r>
        <w:rPr>
          <w:rFonts w:hint="eastAsia" w:ascii="宋体" w:hAnsi="宋体"/>
          <w:szCs w:val="21"/>
        </w:rPr>
        <w:t>。</w:t>
      </w:r>
    </w:p>
    <w:p w14:paraId="0E912B04">
      <w:pPr>
        <w:ind w:firstLine="420"/>
        <w:rPr>
          <w:rFonts w:ascii="宋体" w:hAnsi="宋体"/>
          <w:szCs w:val="21"/>
        </w:rPr>
      </w:pPr>
      <w:r>
        <w:rPr>
          <w:rFonts w:hint="eastAsia" w:ascii="宋体" w:hAnsi="宋体"/>
          <w:szCs w:val="21"/>
        </w:rPr>
        <w:t>明·嘉靖二十五年（</w:t>
      </w:r>
      <w:r>
        <w:rPr>
          <w:rFonts w:ascii="宋体" w:hAnsi="宋体"/>
          <w:szCs w:val="21"/>
        </w:rPr>
        <w:t>1546年）四月，大水泛滥至小东门南城下（今公安局维新</w:t>
      </w:r>
      <w:r>
        <w:rPr>
          <w:rFonts w:hint="eastAsia" w:ascii="宋体" w:hAnsi="宋体"/>
          <w:szCs w:val="21"/>
        </w:rPr>
        <w:t>路口处），冲圮南城十余丈。</w:t>
      </w:r>
    </w:p>
    <w:p w14:paraId="3729434C">
      <w:pPr>
        <w:ind w:firstLine="420"/>
        <w:rPr>
          <w:rFonts w:ascii="宋体" w:hAnsi="宋体"/>
          <w:szCs w:val="21"/>
        </w:rPr>
      </w:pPr>
      <w:r>
        <w:rPr>
          <w:rFonts w:hint="eastAsia" w:ascii="宋体" w:hAnsi="宋体"/>
          <w:szCs w:val="21"/>
        </w:rPr>
        <w:t>明·万历四年（</w:t>
      </w:r>
      <w:r>
        <w:rPr>
          <w:rFonts w:ascii="宋体" w:hAnsi="宋体"/>
          <w:szCs w:val="21"/>
        </w:rPr>
        <w:t>1576年）五月；大水。斗城（今中山街、居仁街等处）水陷数</w:t>
      </w:r>
      <w:r>
        <w:rPr>
          <w:rFonts w:hint="eastAsia" w:ascii="宋体" w:hAnsi="宋体"/>
          <w:szCs w:val="21"/>
        </w:rPr>
        <w:t>十丈，沿河水城尽废。</w:t>
      </w:r>
    </w:p>
    <w:p w14:paraId="64F006FB">
      <w:pPr>
        <w:ind w:firstLine="420"/>
        <w:rPr>
          <w:rFonts w:ascii="宋体" w:hAnsi="宋体"/>
          <w:szCs w:val="21"/>
        </w:rPr>
      </w:pPr>
      <w:r>
        <w:rPr>
          <w:rFonts w:hint="eastAsia" w:ascii="宋体" w:hAnsi="宋体"/>
          <w:szCs w:val="21"/>
        </w:rPr>
        <w:t>明·万历十四年（</w:t>
      </w:r>
      <w:r>
        <w:rPr>
          <w:rFonts w:ascii="宋体" w:hAnsi="宋体"/>
          <w:szCs w:val="21"/>
        </w:rPr>
        <w:t>1586年）四月十九日，大水。先夜大水如注，洪崖山崩，巨</w:t>
      </w:r>
      <w:r>
        <w:rPr>
          <w:rFonts w:hint="eastAsia" w:ascii="宋体" w:hAnsi="宋体"/>
          <w:szCs w:val="21"/>
        </w:rPr>
        <w:t>潦暴涨，府城倾圮数十丈，沿河水城尽被冲陷，太平桥（今河南桥前身）荡拆殆尽；万年石桥（今水西桥前身）冲去三墩。民田成河及沙丘者</w:t>
      </w:r>
      <w:r>
        <w:rPr>
          <w:rFonts w:ascii="宋体" w:hAnsi="宋体"/>
          <w:szCs w:val="21"/>
        </w:rPr>
        <w:t>85顷，城市乡村民屋漂流</w:t>
      </w:r>
      <w:r>
        <w:rPr>
          <w:rFonts w:hint="eastAsia" w:ascii="宋体" w:hAnsi="宋体"/>
          <w:szCs w:val="21"/>
        </w:rPr>
        <w:t>者</w:t>
      </w:r>
      <w:r>
        <w:rPr>
          <w:rFonts w:ascii="宋体" w:hAnsi="宋体"/>
          <w:szCs w:val="21"/>
        </w:rPr>
        <w:t>873间65截，公廨馆驿倒塌4所，男妇溺死165人，浮尸江流，异常灾变。</w:t>
      </w:r>
    </w:p>
    <w:p w14:paraId="702F3D70">
      <w:pPr>
        <w:ind w:firstLine="420"/>
        <w:rPr>
          <w:rFonts w:ascii="宋体" w:hAnsi="宋体"/>
          <w:szCs w:val="21"/>
        </w:rPr>
      </w:pPr>
      <w:r>
        <w:rPr>
          <w:rFonts w:hint="eastAsia" w:ascii="宋体" w:hAnsi="宋体"/>
          <w:szCs w:val="21"/>
        </w:rPr>
        <w:t>明·万历四十四年（</w:t>
      </w:r>
      <w:r>
        <w:rPr>
          <w:rFonts w:ascii="宋体" w:hAnsi="宋体"/>
          <w:szCs w:val="21"/>
        </w:rPr>
        <w:t>1616年）五月初三，洪水涨十余丈，至铁杖楼下（今雄州</w:t>
      </w:r>
      <w:r>
        <w:rPr>
          <w:rFonts w:hint="eastAsia" w:ascii="宋体" w:hAnsi="宋体"/>
          <w:szCs w:val="21"/>
        </w:rPr>
        <w:t>镇附近）淹没沿河民居</w:t>
      </w:r>
      <w:r>
        <w:rPr>
          <w:rFonts w:ascii="宋体" w:hAnsi="宋体"/>
          <w:szCs w:val="21"/>
        </w:rPr>
        <w:t>300余间，水城尽圮，冲毁近河田40余公顷</w:t>
      </w:r>
      <w:r>
        <w:rPr>
          <w:rFonts w:hint="eastAsia" w:ascii="宋体" w:hAnsi="宋体"/>
          <w:szCs w:val="21"/>
        </w:rPr>
        <w:t>。</w:t>
      </w:r>
    </w:p>
    <w:p w14:paraId="17EB54C3">
      <w:pPr>
        <w:ind w:firstLine="420"/>
        <w:rPr>
          <w:rFonts w:ascii="宋体" w:hAnsi="宋体"/>
          <w:szCs w:val="21"/>
        </w:rPr>
      </w:pPr>
      <w:r>
        <w:rPr>
          <w:rFonts w:hint="eastAsia" w:ascii="宋体" w:hAnsi="宋体"/>
          <w:szCs w:val="21"/>
        </w:rPr>
        <w:t>清·顺治十四年（</w:t>
      </w:r>
      <w:r>
        <w:rPr>
          <w:rFonts w:ascii="宋体" w:hAnsi="宋体"/>
          <w:szCs w:val="21"/>
        </w:rPr>
        <w:t>1657年）夏大水，斗城、顾城、新城俱陷，水城全圮（按</w:t>
      </w:r>
      <w:r>
        <w:rPr>
          <w:rFonts w:hint="eastAsia" w:ascii="宋体" w:hAnsi="宋体"/>
          <w:szCs w:val="21"/>
        </w:rPr>
        <w:t>：顾城在今达德街、洪山寺、北门街、维新路等处；新城在今大成街、青云路、埠前街、河边街等处；水城即沿江城墙）。</w:t>
      </w:r>
    </w:p>
    <w:p w14:paraId="754D6646">
      <w:pPr>
        <w:ind w:firstLine="420"/>
        <w:rPr>
          <w:rFonts w:ascii="宋体" w:hAnsi="宋体"/>
          <w:szCs w:val="21"/>
        </w:rPr>
      </w:pPr>
      <w:r>
        <w:rPr>
          <w:rFonts w:hint="eastAsia" w:ascii="宋体" w:hAnsi="宋体"/>
          <w:szCs w:val="21"/>
        </w:rPr>
        <w:t>清·顺治十五年（</w:t>
      </w:r>
      <w:r>
        <w:rPr>
          <w:rFonts w:ascii="宋体" w:hAnsi="宋体"/>
          <w:szCs w:val="21"/>
        </w:rPr>
        <w:t>1658年）五月，水灾。</w:t>
      </w:r>
    </w:p>
    <w:p w14:paraId="20E72A1B">
      <w:pPr>
        <w:ind w:firstLine="420"/>
        <w:rPr>
          <w:rFonts w:ascii="宋体" w:hAnsi="宋体"/>
          <w:szCs w:val="21"/>
        </w:rPr>
      </w:pPr>
      <w:r>
        <w:rPr>
          <w:rFonts w:hint="eastAsia" w:ascii="宋体" w:hAnsi="宋体"/>
          <w:szCs w:val="21"/>
        </w:rPr>
        <w:t>清·康熙十三年（</w:t>
      </w:r>
      <w:r>
        <w:rPr>
          <w:rFonts w:ascii="宋体" w:hAnsi="宋体"/>
          <w:szCs w:val="21"/>
        </w:rPr>
        <w:t>1674年），大水。</w:t>
      </w:r>
    </w:p>
    <w:p w14:paraId="7183127E">
      <w:pPr>
        <w:ind w:firstLine="420"/>
        <w:rPr>
          <w:rFonts w:ascii="宋体" w:hAnsi="宋体"/>
          <w:szCs w:val="21"/>
        </w:rPr>
      </w:pPr>
      <w:r>
        <w:rPr>
          <w:rFonts w:hint="eastAsia" w:ascii="宋体" w:hAnsi="宋体"/>
          <w:szCs w:val="21"/>
        </w:rPr>
        <w:t>清·康熙十五年（</w:t>
      </w:r>
      <w:r>
        <w:rPr>
          <w:rFonts w:ascii="宋体" w:hAnsi="宋体"/>
          <w:szCs w:val="21"/>
        </w:rPr>
        <w:t>1676年）四月，大水。冲去沿河围屋，坏田16顷96亩，民</w:t>
      </w:r>
      <w:r>
        <w:rPr>
          <w:rFonts w:hint="eastAsia" w:ascii="宋体" w:hAnsi="宋体"/>
          <w:szCs w:val="21"/>
        </w:rPr>
        <w:t>溺死无数。</w:t>
      </w:r>
    </w:p>
    <w:p w14:paraId="303A56C9">
      <w:pPr>
        <w:ind w:firstLine="420"/>
        <w:rPr>
          <w:rFonts w:ascii="宋体" w:hAnsi="宋体"/>
          <w:szCs w:val="21"/>
        </w:rPr>
      </w:pPr>
      <w:r>
        <w:rPr>
          <w:rFonts w:hint="eastAsia" w:ascii="宋体" w:hAnsi="宋体"/>
          <w:szCs w:val="21"/>
        </w:rPr>
        <w:t>清·雍正十一年（</w:t>
      </w:r>
      <w:r>
        <w:rPr>
          <w:rFonts w:ascii="宋体" w:hAnsi="宋体"/>
          <w:szCs w:val="21"/>
        </w:rPr>
        <w:t>1733年）四月十八日，大水。水城冲圮，民房倒塌数百间。</w:t>
      </w:r>
    </w:p>
    <w:p w14:paraId="0453855B">
      <w:pPr>
        <w:ind w:firstLine="420"/>
        <w:rPr>
          <w:rFonts w:ascii="宋体" w:hAnsi="宋体"/>
          <w:szCs w:val="21"/>
        </w:rPr>
      </w:pPr>
      <w:r>
        <w:rPr>
          <w:rFonts w:hint="eastAsia" w:ascii="宋体" w:hAnsi="宋体"/>
          <w:szCs w:val="21"/>
        </w:rPr>
        <w:t>清·乾隆八年（</w:t>
      </w:r>
      <w:r>
        <w:rPr>
          <w:rFonts w:ascii="宋体" w:hAnsi="宋体"/>
          <w:szCs w:val="21"/>
        </w:rPr>
        <w:t>1743年）夏，淫雨连绵，山水陡发，两江（浈、凌）水涨，淹</w:t>
      </w:r>
      <w:r>
        <w:rPr>
          <w:rFonts w:hint="eastAsia" w:ascii="宋体" w:hAnsi="宋体"/>
          <w:szCs w:val="21"/>
        </w:rPr>
        <w:t>毙人口，冲决基围，塌坏房屋。</w:t>
      </w:r>
    </w:p>
    <w:p w14:paraId="49FBE047">
      <w:pPr>
        <w:ind w:firstLine="420"/>
        <w:rPr>
          <w:rFonts w:ascii="宋体" w:hAnsi="宋体"/>
          <w:szCs w:val="21"/>
        </w:rPr>
      </w:pPr>
      <w:r>
        <w:rPr>
          <w:rFonts w:hint="eastAsia" w:ascii="宋体" w:hAnsi="宋体"/>
          <w:szCs w:val="21"/>
        </w:rPr>
        <w:t>清·乾隆二十五年（</w:t>
      </w:r>
      <w:r>
        <w:rPr>
          <w:rFonts w:ascii="宋体" w:hAnsi="宋体"/>
          <w:szCs w:val="21"/>
        </w:rPr>
        <w:t>1760年）大水</w:t>
      </w:r>
      <w:r>
        <w:rPr>
          <w:rFonts w:hint="eastAsia" w:ascii="宋体" w:hAnsi="宋体"/>
          <w:szCs w:val="21"/>
        </w:rPr>
        <w:t>。</w:t>
      </w:r>
    </w:p>
    <w:p w14:paraId="1F1B0389">
      <w:pPr>
        <w:ind w:firstLine="420"/>
        <w:rPr>
          <w:rFonts w:ascii="宋体" w:hAnsi="宋体"/>
          <w:szCs w:val="21"/>
        </w:rPr>
      </w:pPr>
      <w:r>
        <w:rPr>
          <w:rFonts w:hint="eastAsia" w:ascii="宋体" w:hAnsi="宋体"/>
          <w:szCs w:val="21"/>
        </w:rPr>
        <w:t>清·乾隆二十九年（</w:t>
      </w:r>
      <w:r>
        <w:rPr>
          <w:rFonts w:ascii="宋体" w:hAnsi="宋体"/>
          <w:szCs w:val="21"/>
        </w:rPr>
        <w:t>1764年）五月，大水。</w:t>
      </w:r>
    </w:p>
    <w:p w14:paraId="4C5C6ACE">
      <w:pPr>
        <w:ind w:firstLine="420"/>
        <w:rPr>
          <w:rFonts w:ascii="宋体" w:hAnsi="宋体"/>
          <w:szCs w:val="21"/>
        </w:rPr>
      </w:pPr>
      <w:r>
        <w:rPr>
          <w:rFonts w:hint="eastAsia" w:ascii="宋体" w:hAnsi="宋体"/>
          <w:szCs w:val="21"/>
        </w:rPr>
        <w:t>清·嘉庆十五年（</w:t>
      </w:r>
      <w:r>
        <w:rPr>
          <w:rFonts w:ascii="宋体" w:hAnsi="宋体"/>
          <w:szCs w:val="21"/>
        </w:rPr>
        <w:t>1810年）夏，雨，土城倒圮。</w:t>
      </w:r>
    </w:p>
    <w:p w14:paraId="0381105C">
      <w:pPr>
        <w:ind w:firstLine="422"/>
        <w:rPr>
          <w:rFonts w:ascii="宋体" w:hAnsi="宋体"/>
          <w:b/>
          <w:szCs w:val="21"/>
        </w:rPr>
      </w:pPr>
      <w:r>
        <w:rPr>
          <w:rFonts w:ascii="宋体" w:hAnsi="宋体"/>
          <w:b/>
          <w:szCs w:val="21"/>
        </w:rPr>
        <w:t>2.民国时期</w:t>
      </w:r>
    </w:p>
    <w:p w14:paraId="739EFC77">
      <w:pPr>
        <w:ind w:firstLine="420"/>
        <w:rPr>
          <w:rFonts w:ascii="宋体" w:hAnsi="宋体"/>
          <w:szCs w:val="21"/>
        </w:rPr>
      </w:pPr>
      <w:r>
        <w:rPr>
          <w:rFonts w:hint="eastAsia" w:ascii="宋体" w:hAnsi="宋体"/>
          <w:szCs w:val="21"/>
        </w:rPr>
        <w:t>民国</w:t>
      </w:r>
      <w:r>
        <w:rPr>
          <w:rFonts w:ascii="宋体" w:hAnsi="宋体"/>
          <w:szCs w:val="21"/>
        </w:rPr>
        <w:t>13年（1924年）6月，雨水连绵，河水暴涨，沿河禾田均被淹没。</w:t>
      </w:r>
    </w:p>
    <w:p w14:paraId="4996398C">
      <w:pPr>
        <w:ind w:firstLine="420"/>
        <w:rPr>
          <w:rFonts w:ascii="宋体" w:hAnsi="宋体"/>
          <w:szCs w:val="21"/>
        </w:rPr>
      </w:pPr>
      <w:r>
        <w:rPr>
          <w:rFonts w:hint="eastAsia" w:ascii="宋体" w:hAnsi="宋体"/>
          <w:szCs w:val="21"/>
        </w:rPr>
        <w:t>民国</w:t>
      </w:r>
      <w:r>
        <w:rPr>
          <w:rFonts w:ascii="宋体" w:hAnsi="宋体"/>
          <w:szCs w:val="21"/>
        </w:rPr>
        <w:t>36年（1947年）淫雨月余，6月中旬连日大雨倾盆，山洪暴发，河坝、公</w:t>
      </w:r>
      <w:r>
        <w:rPr>
          <w:rFonts w:hint="eastAsia" w:ascii="宋体" w:hAnsi="宋体"/>
          <w:szCs w:val="21"/>
        </w:rPr>
        <w:t>路、桥涵多被冲毁，早稻、黄烟损失严重。</w:t>
      </w:r>
    </w:p>
    <w:p w14:paraId="1AFF439C">
      <w:pPr>
        <w:ind w:firstLine="420"/>
        <w:rPr>
          <w:rFonts w:ascii="宋体" w:hAnsi="宋体"/>
          <w:szCs w:val="21"/>
        </w:rPr>
      </w:pPr>
      <w:r>
        <w:rPr>
          <w:rFonts w:hint="eastAsia" w:ascii="宋体" w:hAnsi="宋体"/>
          <w:szCs w:val="21"/>
        </w:rPr>
        <w:t>民国</w:t>
      </w:r>
      <w:r>
        <w:rPr>
          <w:rFonts w:ascii="宋体" w:hAnsi="宋体"/>
          <w:szCs w:val="21"/>
        </w:rPr>
        <w:t>38年（1949年）7月3日上午8时暴雨，宝江乡龙南勋石山突然爆裂，瞬</w:t>
      </w:r>
      <w:r>
        <w:rPr>
          <w:rFonts w:hint="eastAsia" w:ascii="宋体" w:hAnsi="宋体"/>
          <w:szCs w:val="21"/>
        </w:rPr>
        <w:t>时山崩水泻，附近第</w:t>
      </w:r>
      <w:r>
        <w:rPr>
          <w:rFonts w:ascii="宋体" w:hAnsi="宋体"/>
          <w:szCs w:val="21"/>
        </w:rPr>
        <w:t>4、8、9保等村庄一片汪洋，淹没民房甚多，牲畜及粮食农具等</w:t>
      </w:r>
      <w:r>
        <w:rPr>
          <w:rFonts w:hint="eastAsia" w:ascii="宋体" w:hAnsi="宋体"/>
          <w:szCs w:val="21"/>
        </w:rPr>
        <w:t>损失甚巨，</w:t>
      </w:r>
      <w:r>
        <w:rPr>
          <w:rFonts w:hint="eastAsia" w:ascii="宋体" w:hAnsi="宋体"/>
          <w:szCs w:val="21"/>
          <w:lang w:val="en-US" w:eastAsia="zh-CN"/>
        </w:rPr>
        <w:t>受</w:t>
      </w:r>
      <w:r>
        <w:rPr>
          <w:rFonts w:hint="eastAsia" w:ascii="宋体" w:hAnsi="宋体"/>
          <w:szCs w:val="21"/>
        </w:rPr>
        <w:t>灾</w:t>
      </w:r>
      <w:r>
        <w:rPr>
          <w:rFonts w:hint="eastAsia" w:ascii="宋体" w:hAnsi="宋体"/>
          <w:szCs w:val="21"/>
          <w:lang w:val="en-US" w:eastAsia="zh-CN"/>
        </w:rPr>
        <w:t>群众</w:t>
      </w:r>
      <w:r>
        <w:rPr>
          <w:rFonts w:hint="eastAsia" w:ascii="宋体" w:hAnsi="宋体"/>
          <w:szCs w:val="21"/>
        </w:rPr>
        <w:t>达</w:t>
      </w:r>
      <w:r>
        <w:rPr>
          <w:rFonts w:ascii="宋体" w:hAnsi="宋体"/>
          <w:szCs w:val="21"/>
        </w:rPr>
        <w:t>1000余人，次日上午7时洪水始渐消退。</w:t>
      </w:r>
    </w:p>
    <w:p w14:paraId="76782453">
      <w:pPr>
        <w:ind w:firstLine="422"/>
        <w:rPr>
          <w:rFonts w:ascii="宋体" w:hAnsi="宋体"/>
          <w:b/>
          <w:szCs w:val="21"/>
        </w:rPr>
      </w:pPr>
      <w:r>
        <w:rPr>
          <w:rFonts w:ascii="宋体" w:hAnsi="宋体"/>
          <w:b/>
          <w:szCs w:val="21"/>
        </w:rPr>
        <w:t>3.新中国成立后</w:t>
      </w:r>
    </w:p>
    <w:p w14:paraId="3E42E9EB">
      <w:pPr>
        <w:ind w:firstLine="420"/>
        <w:rPr>
          <w:rFonts w:ascii="宋体" w:hAnsi="宋体"/>
          <w:szCs w:val="21"/>
        </w:rPr>
      </w:pPr>
      <w:r>
        <w:rPr>
          <w:rFonts w:ascii="宋体" w:hAnsi="宋体"/>
          <w:szCs w:val="21"/>
        </w:rPr>
        <w:t>1950年至1987年38年中，有19年发生洪水，成灾有8年，严重的有5次：</w:t>
      </w:r>
    </w:p>
    <w:p w14:paraId="5AB59650">
      <w:pPr>
        <w:ind w:firstLine="420"/>
        <w:rPr>
          <w:rFonts w:ascii="宋体" w:hAnsi="宋体"/>
          <w:szCs w:val="21"/>
        </w:rPr>
      </w:pPr>
      <w:r>
        <w:rPr>
          <w:rFonts w:ascii="宋体" w:hAnsi="宋体"/>
          <w:szCs w:val="21"/>
        </w:rPr>
        <w:t>1959年5月29日至6月22日，连续下了9次暴雨，其中4次雨量共达600毫</w:t>
      </w:r>
      <w:r>
        <w:rPr>
          <w:rFonts w:hint="eastAsia" w:ascii="宋体" w:hAnsi="宋体"/>
          <w:szCs w:val="21"/>
        </w:rPr>
        <w:t>米，出现</w:t>
      </w:r>
      <w:r>
        <w:rPr>
          <w:rFonts w:ascii="宋体" w:hAnsi="宋体"/>
          <w:szCs w:val="21"/>
        </w:rPr>
        <w:t>9次特大洪峰，早稻受浸5140.2公顷，减产50%以上1150.27公顷，失收836.47公顷，黄烟失收69.53公顷，受灾大队159个，受浸村庄50多个，倒塌房屋2867间，死8人，伤21人，冲毁山塘水陂1170宗（处），冲走木材180多立方米。</w:t>
      </w:r>
    </w:p>
    <w:p w14:paraId="521483A1">
      <w:pPr>
        <w:ind w:firstLine="420"/>
        <w:rPr>
          <w:rFonts w:ascii="宋体" w:hAnsi="宋体"/>
          <w:szCs w:val="21"/>
        </w:rPr>
      </w:pPr>
      <w:r>
        <w:rPr>
          <w:rFonts w:ascii="宋体" w:hAnsi="宋体"/>
          <w:szCs w:val="21"/>
        </w:rPr>
        <w:t>1964年6月11日至20日，出现3次暴雨，雨量达432毫米，受灾面积933333</w:t>
      </w:r>
      <w:r>
        <w:rPr>
          <w:rFonts w:hint="eastAsia" w:ascii="宋体" w:hAnsi="宋体"/>
          <w:szCs w:val="21"/>
        </w:rPr>
        <w:t>多公顷，冲毁农田</w:t>
      </w:r>
      <w:r>
        <w:rPr>
          <w:rFonts w:ascii="宋体" w:hAnsi="宋体"/>
          <w:szCs w:val="21"/>
        </w:rPr>
        <w:t>349.33公顷，冲坏山塘、陂头、水圳等1474宗（处），死伤7人，</w:t>
      </w:r>
      <w:r>
        <w:rPr>
          <w:rFonts w:hint="eastAsia" w:ascii="宋体" w:hAnsi="宋体"/>
          <w:szCs w:val="21"/>
        </w:rPr>
        <w:t>损坏房屋</w:t>
      </w:r>
      <w:r>
        <w:rPr>
          <w:rFonts w:ascii="宋体" w:hAnsi="宋体"/>
          <w:szCs w:val="21"/>
        </w:rPr>
        <w:t>869间，县城水位高程达122.022米，洪水涨至公安局门口，为新中国成立</w:t>
      </w:r>
      <w:r>
        <w:rPr>
          <w:rFonts w:hint="eastAsia" w:ascii="宋体" w:hAnsi="宋体"/>
          <w:szCs w:val="21"/>
        </w:rPr>
        <w:t>后所仅见。</w:t>
      </w:r>
    </w:p>
    <w:p w14:paraId="19AF7849">
      <w:pPr>
        <w:ind w:firstLine="420"/>
        <w:rPr>
          <w:rFonts w:ascii="宋体" w:hAnsi="宋体"/>
          <w:szCs w:val="21"/>
        </w:rPr>
      </w:pPr>
      <w:r>
        <w:rPr>
          <w:rFonts w:ascii="宋体" w:hAnsi="宋体"/>
          <w:szCs w:val="21"/>
        </w:rPr>
        <w:t>1972年5月6日至7日，西北部（百顺、白云、帽子峰、梅岭）出现1947年以</w:t>
      </w:r>
      <w:r>
        <w:rPr>
          <w:rFonts w:hint="eastAsia" w:ascii="宋体" w:hAnsi="宋体"/>
          <w:szCs w:val="21"/>
        </w:rPr>
        <w:t>来最大一次洪水，受浸面积</w:t>
      </w:r>
      <w:r>
        <w:rPr>
          <w:rFonts w:ascii="宋体" w:hAnsi="宋体"/>
          <w:szCs w:val="21"/>
        </w:rPr>
        <w:t>1032.6公顷，冲垮山塘水陂42宗，倒塌房屋36间，冲</w:t>
      </w:r>
      <w:r>
        <w:rPr>
          <w:rFonts w:hint="eastAsia" w:ascii="宋体" w:hAnsi="宋体"/>
          <w:szCs w:val="21"/>
        </w:rPr>
        <w:t>走木材</w:t>
      </w:r>
      <w:r>
        <w:rPr>
          <w:rFonts w:ascii="宋体" w:hAnsi="宋体"/>
          <w:szCs w:val="21"/>
        </w:rPr>
        <w:t>300多立方米，损坏小水电站1座。</w:t>
      </w:r>
    </w:p>
    <w:p w14:paraId="26DE4E5A">
      <w:pPr>
        <w:ind w:firstLine="420"/>
        <w:rPr>
          <w:rFonts w:ascii="宋体" w:hAnsi="宋体"/>
          <w:szCs w:val="21"/>
        </w:rPr>
      </w:pPr>
      <w:r>
        <w:rPr>
          <w:rFonts w:ascii="宋体" w:hAnsi="宋体"/>
          <w:szCs w:val="21"/>
        </w:rPr>
        <w:t>1976年6月9日，暴雨，县城日降雨量131.9毫米，浈江河比历史上最高水位还</w:t>
      </w:r>
      <w:r>
        <w:rPr>
          <w:rFonts w:hint="eastAsia" w:ascii="宋体" w:hAnsi="宋体"/>
          <w:szCs w:val="21"/>
        </w:rPr>
        <w:t>高一市尺，水稻受浸</w:t>
      </w:r>
      <w:r>
        <w:rPr>
          <w:rFonts w:ascii="宋体" w:hAnsi="宋体"/>
          <w:szCs w:val="21"/>
        </w:rPr>
        <w:t>467公顷，冲坏280公顷，花生受浸480公顷，黄烟受浸226.67</w:t>
      </w:r>
      <w:r>
        <w:rPr>
          <w:rFonts w:hint="eastAsia" w:ascii="宋体" w:hAnsi="宋体"/>
          <w:szCs w:val="21"/>
        </w:rPr>
        <w:t>公顷，冲坏山塘、水圳、陂头</w:t>
      </w:r>
      <w:r>
        <w:rPr>
          <w:rFonts w:ascii="宋体" w:hAnsi="宋体"/>
          <w:szCs w:val="21"/>
        </w:rPr>
        <w:t>620多宗，桥梁35座，倒塌住房183间、牛栏厕所311</w:t>
      </w:r>
      <w:r>
        <w:rPr>
          <w:rFonts w:hint="eastAsia" w:ascii="宋体" w:hAnsi="宋体"/>
          <w:szCs w:val="21"/>
        </w:rPr>
        <w:t>间。</w:t>
      </w:r>
    </w:p>
    <w:p w14:paraId="1FFDFB17">
      <w:pPr>
        <w:ind w:firstLine="420"/>
        <w:rPr>
          <w:rFonts w:ascii="宋体" w:hAnsi="宋体"/>
          <w:szCs w:val="21"/>
        </w:rPr>
      </w:pPr>
      <w:r>
        <w:rPr>
          <w:rFonts w:ascii="宋体" w:hAnsi="宋体"/>
          <w:szCs w:val="21"/>
        </w:rPr>
        <w:t>1980年3月6日，暴雨，县城雨量145.6毫米，为气象站有记录以来最高一次，</w:t>
      </w:r>
      <w:r>
        <w:rPr>
          <w:rFonts w:hint="eastAsia" w:ascii="宋体" w:hAnsi="宋体"/>
          <w:szCs w:val="21"/>
        </w:rPr>
        <w:t>冲垮水利设施</w:t>
      </w:r>
      <w:r>
        <w:rPr>
          <w:rFonts w:ascii="宋体" w:hAnsi="宋体"/>
          <w:szCs w:val="21"/>
        </w:rPr>
        <w:t>178宗，倒塌房屋62间，10条公路中断交通，6个区出现雷雨大风和</w:t>
      </w:r>
      <w:r>
        <w:rPr>
          <w:rFonts w:hint="eastAsia" w:ascii="宋体" w:hAnsi="宋体"/>
          <w:szCs w:val="21"/>
        </w:rPr>
        <w:t>冰雹。</w:t>
      </w:r>
    </w:p>
    <w:p w14:paraId="6B783961">
      <w:pPr>
        <w:ind w:firstLine="420"/>
        <w:rPr>
          <w:rFonts w:ascii="宋体" w:hAnsi="宋体"/>
          <w:szCs w:val="21"/>
        </w:rPr>
      </w:pPr>
      <w:r>
        <w:rPr>
          <w:rFonts w:ascii="宋体" w:hAnsi="宋体"/>
          <w:szCs w:val="21"/>
        </w:rPr>
        <w:t>1988年5月24日上午8时至次日上午8时，普降大暴雨，县城降雨量达134.3</w:t>
      </w:r>
      <w:r>
        <w:rPr>
          <w:rFonts w:hint="eastAsia" w:ascii="宋体" w:hAnsi="宋体"/>
          <w:szCs w:val="21"/>
        </w:rPr>
        <w:t>毫米，全县倒塌房屋</w:t>
      </w:r>
      <w:r>
        <w:rPr>
          <w:rFonts w:ascii="宋体" w:hAnsi="宋体"/>
          <w:szCs w:val="21"/>
        </w:rPr>
        <w:t>55间，水浸农作物1678.53公顷，冲毁陂头66座，河堤24处</w:t>
      </w:r>
      <w:r>
        <w:rPr>
          <w:rFonts w:hint="eastAsia" w:ascii="宋体" w:hAnsi="宋体"/>
          <w:szCs w:val="21"/>
        </w:rPr>
        <w:t>。</w:t>
      </w:r>
    </w:p>
    <w:p w14:paraId="4690212A">
      <w:pPr>
        <w:ind w:firstLine="420"/>
        <w:rPr>
          <w:rFonts w:ascii="宋体" w:hAnsi="宋体"/>
          <w:szCs w:val="21"/>
        </w:rPr>
      </w:pPr>
      <w:r>
        <w:rPr>
          <w:rFonts w:ascii="宋体" w:hAnsi="宋体"/>
          <w:szCs w:val="21"/>
        </w:rPr>
        <w:t>1991年9月7日上午8时至翌日上午8时，普降大暴雨，平均降雨量150毫米，</w:t>
      </w:r>
      <w:r>
        <w:rPr>
          <w:rFonts w:hint="eastAsia" w:ascii="宋体" w:hAnsi="宋体"/>
          <w:szCs w:val="21"/>
        </w:rPr>
        <w:t>其中苍石乡达</w:t>
      </w:r>
      <w:r>
        <w:rPr>
          <w:rFonts w:ascii="宋体" w:hAnsi="宋体"/>
          <w:szCs w:val="21"/>
        </w:rPr>
        <w:t>322毫米，澜河、帽子峰乡达245毫米。全县有19个乡镇，6221</w:t>
      </w:r>
      <w:r>
        <w:rPr>
          <w:rFonts w:hint="eastAsia" w:ascii="宋体" w:hAnsi="宋体"/>
          <w:szCs w:val="21"/>
        </w:rPr>
        <w:t>1</w:t>
      </w:r>
      <w:r>
        <w:rPr>
          <w:rFonts w:ascii="宋体" w:hAnsi="宋体"/>
          <w:szCs w:val="21"/>
        </w:rPr>
        <w:t>户3.1万人受灾，死亡33人，重伤17人，失踪5人。倒塌房屋2320间，冲毁桥梁56</w:t>
      </w:r>
      <w:r>
        <w:rPr>
          <w:rFonts w:hint="eastAsia" w:ascii="宋体" w:hAnsi="宋体"/>
          <w:szCs w:val="21"/>
        </w:rPr>
        <w:t>座、渡槽</w:t>
      </w:r>
      <w:r>
        <w:rPr>
          <w:rFonts w:ascii="宋体" w:hAnsi="宋体"/>
          <w:szCs w:val="21"/>
        </w:rPr>
        <w:t>13座、陂头187座、山塘57口，淹没农田3200多公顷。县委、县政府大</w:t>
      </w:r>
      <w:r>
        <w:rPr>
          <w:rFonts w:hint="eastAsia" w:ascii="宋体" w:hAnsi="宋体"/>
          <w:szCs w:val="21"/>
        </w:rPr>
        <w:t>力组织抗洪救灾。干群捐款</w:t>
      </w:r>
      <w:r>
        <w:rPr>
          <w:rFonts w:ascii="宋体" w:hAnsi="宋体"/>
          <w:szCs w:val="21"/>
        </w:rPr>
        <w:t>13.8万元，衣物28086件。</w:t>
      </w:r>
    </w:p>
    <w:p w14:paraId="3BD82FC3">
      <w:pPr>
        <w:ind w:firstLine="420"/>
        <w:rPr>
          <w:rFonts w:ascii="宋体" w:hAnsi="宋体"/>
          <w:szCs w:val="21"/>
        </w:rPr>
      </w:pPr>
      <w:r>
        <w:rPr>
          <w:rFonts w:ascii="宋体" w:hAnsi="宋体"/>
          <w:szCs w:val="21"/>
        </w:rPr>
        <w:t>1992年3月25日，普降大雨，降雨量达148.8毫米，古市、主田等乡镇还下了</w:t>
      </w:r>
      <w:r>
        <w:rPr>
          <w:rFonts w:hint="eastAsia" w:ascii="宋体" w:hAnsi="宋体"/>
          <w:szCs w:val="21"/>
        </w:rPr>
        <w:t>冰雹。全县黄烟受浸</w:t>
      </w:r>
      <w:r>
        <w:rPr>
          <w:rFonts w:ascii="宋体" w:hAnsi="宋体"/>
          <w:szCs w:val="21"/>
        </w:rPr>
        <w:t>3733.33公顷，秧苗受浸360公顷。</w:t>
      </w:r>
    </w:p>
    <w:p w14:paraId="6367ABE6">
      <w:pPr>
        <w:ind w:firstLine="420"/>
        <w:rPr>
          <w:rFonts w:ascii="宋体" w:hAnsi="宋体"/>
          <w:szCs w:val="21"/>
        </w:rPr>
      </w:pPr>
      <w:r>
        <w:rPr>
          <w:rFonts w:ascii="宋体" w:hAnsi="宋体"/>
          <w:szCs w:val="21"/>
        </w:rPr>
        <w:t>1993年5月1日下午至翌日晚，遭大暴雨袭击，降雨量达162.1毫米，江河暴</w:t>
      </w:r>
      <w:r>
        <w:rPr>
          <w:rFonts w:hint="eastAsia" w:ascii="宋体" w:hAnsi="宋体"/>
          <w:szCs w:val="21"/>
        </w:rPr>
        <w:t>涨，洪水成灾。毁塌房屋</w:t>
      </w:r>
      <w:r>
        <w:rPr>
          <w:rFonts w:ascii="宋体" w:hAnsi="宋体"/>
          <w:szCs w:val="21"/>
        </w:rPr>
        <w:t>10184间，死亡2人，无家可归698户4048人。冲毁陂头268座、水圳60处、桥梁46座、河堤410处、公路101处、农田379.87公顷。农作</w:t>
      </w:r>
      <w:r>
        <w:rPr>
          <w:rFonts w:hint="eastAsia" w:ascii="宋体" w:hAnsi="宋体"/>
          <w:szCs w:val="21"/>
        </w:rPr>
        <w:t>物受损</w:t>
      </w:r>
      <w:r>
        <w:rPr>
          <w:rFonts w:ascii="宋体" w:hAnsi="宋体"/>
          <w:szCs w:val="21"/>
        </w:rPr>
        <w:t>11358.</w:t>
      </w:r>
      <w:r>
        <w:rPr>
          <w:rFonts w:hint="eastAsia" w:ascii="宋体" w:hAnsi="宋体"/>
          <w:szCs w:val="21"/>
        </w:rPr>
        <w:t>7</w:t>
      </w:r>
      <w:r>
        <w:rPr>
          <w:rFonts w:ascii="宋体" w:hAnsi="宋体"/>
          <w:szCs w:val="21"/>
        </w:rPr>
        <w:t>3公顷，其中黄烟636公顷，直接经济损失1.67亿元。县委、县政府</w:t>
      </w:r>
      <w:r>
        <w:rPr>
          <w:rFonts w:hint="eastAsia" w:ascii="宋体" w:hAnsi="宋体"/>
          <w:szCs w:val="21"/>
        </w:rPr>
        <w:t>动员全县人民抗洪救灾，重建家园。县发放救灾款</w:t>
      </w:r>
      <w:r>
        <w:rPr>
          <w:rFonts w:ascii="宋体" w:hAnsi="宋体"/>
          <w:szCs w:val="21"/>
        </w:rPr>
        <w:t>300多万元，各单位和个人捐款90多万元，衣物2万多件。</w:t>
      </w:r>
    </w:p>
    <w:p w14:paraId="5F2A1220">
      <w:pPr>
        <w:ind w:firstLine="420"/>
        <w:rPr>
          <w:rFonts w:ascii="宋体" w:hAnsi="宋体"/>
          <w:szCs w:val="21"/>
        </w:rPr>
      </w:pPr>
      <w:r>
        <w:rPr>
          <w:rFonts w:ascii="宋体" w:hAnsi="宋体"/>
          <w:szCs w:val="21"/>
        </w:rPr>
        <w:t>1994年6月19日至20日，暴雨袭击，降雨量达190毫米～220毫米，倒塌房屋2785间，死亡3人，伤11人，受淹农作物8220公顷，毁陂头354座，河堤、水圳44公里。</w:t>
      </w:r>
    </w:p>
    <w:p w14:paraId="6EC77F9A">
      <w:pPr>
        <w:ind w:firstLine="420"/>
        <w:rPr>
          <w:rFonts w:ascii="宋体" w:hAnsi="宋体"/>
          <w:szCs w:val="21"/>
        </w:rPr>
      </w:pPr>
      <w:r>
        <w:rPr>
          <w:rFonts w:ascii="宋体" w:hAnsi="宋体"/>
          <w:szCs w:val="21"/>
        </w:rPr>
        <w:t>1997年8月10日，黄坑、大塘、邓坊、乌迳等镇突降暴雨80毫米，山洪暴发</w:t>
      </w:r>
      <w:r>
        <w:rPr>
          <w:rFonts w:hint="eastAsia" w:ascii="宋体" w:hAnsi="宋体"/>
          <w:szCs w:val="21"/>
        </w:rPr>
        <w:t>，倒塌房屋</w:t>
      </w:r>
      <w:r>
        <w:rPr>
          <w:rFonts w:ascii="宋体" w:hAnsi="宋体"/>
          <w:szCs w:val="21"/>
        </w:rPr>
        <w:t>366间，62户无家可归。冲毁农田433.</w:t>
      </w:r>
      <w:r>
        <w:rPr>
          <w:rFonts w:hint="eastAsia" w:ascii="宋体" w:hAnsi="宋体"/>
          <w:szCs w:val="21"/>
        </w:rPr>
        <w:t>3</w:t>
      </w:r>
      <w:r>
        <w:rPr>
          <w:rFonts w:ascii="宋体" w:hAnsi="宋体"/>
          <w:szCs w:val="21"/>
        </w:rPr>
        <w:t>3公顷，直接经济损失800多万元</w:t>
      </w:r>
      <w:r>
        <w:rPr>
          <w:rFonts w:hint="eastAsia" w:ascii="宋体" w:hAnsi="宋体"/>
          <w:szCs w:val="21"/>
        </w:rPr>
        <w:t>。</w:t>
      </w:r>
    </w:p>
    <w:p w14:paraId="290F2D39">
      <w:pPr>
        <w:ind w:firstLine="420"/>
        <w:rPr>
          <w:rFonts w:ascii="宋体" w:hAnsi="宋体"/>
          <w:szCs w:val="21"/>
        </w:rPr>
      </w:pPr>
      <w:r>
        <w:rPr>
          <w:rFonts w:ascii="宋体" w:hAnsi="宋体"/>
          <w:szCs w:val="21"/>
        </w:rPr>
        <w:t>2002年10月29日至30日，持续2天大范围强降雨，29日降雨量达125.1毫米，6820公顷农作物受浸。小型水利设施遭严重破坏，倒塌房屋220间，直接经济损失872万元。</w:t>
      </w:r>
    </w:p>
    <w:p w14:paraId="4774000B">
      <w:pPr>
        <w:ind w:firstLine="420"/>
        <w:rPr>
          <w:rFonts w:ascii="宋体" w:hAnsi="宋体"/>
          <w:szCs w:val="21"/>
        </w:rPr>
      </w:pPr>
      <w:r>
        <w:rPr>
          <w:rFonts w:ascii="宋体" w:hAnsi="宋体"/>
          <w:szCs w:val="21"/>
        </w:rPr>
        <w:t>2005年6月1日20时至2日14时，普降暴雨，局部地区大暴雨，黄烟受灾面积1666.67公顷，花生400公顷，水稻733.</w:t>
      </w:r>
      <w:r>
        <w:rPr>
          <w:rFonts w:hint="eastAsia" w:ascii="宋体" w:hAnsi="宋体"/>
          <w:szCs w:val="21"/>
        </w:rPr>
        <w:t>3</w:t>
      </w:r>
      <w:r>
        <w:rPr>
          <w:rFonts w:ascii="宋体" w:hAnsi="宋体"/>
          <w:szCs w:val="21"/>
        </w:rPr>
        <w:t>3公顷，倒塌房屋150间，直接经济损失1000多万元。</w:t>
      </w:r>
    </w:p>
    <w:p w14:paraId="5080A722">
      <w:pPr>
        <w:pStyle w:val="5"/>
        <w:rPr>
          <w:rFonts w:ascii="宋体" w:hAnsi="宋体"/>
        </w:rPr>
      </w:pPr>
      <w:r>
        <w:rPr>
          <w:rFonts w:hint="eastAsia" w:ascii="宋体" w:hAnsi="宋体"/>
        </w:rPr>
        <w:t>二、旱灾</w:t>
      </w:r>
    </w:p>
    <w:p w14:paraId="61B72DD9">
      <w:pPr>
        <w:ind w:firstLine="422"/>
        <w:rPr>
          <w:rFonts w:ascii="宋体" w:hAnsi="宋体"/>
          <w:b/>
          <w:szCs w:val="21"/>
        </w:rPr>
      </w:pPr>
      <w:r>
        <w:rPr>
          <w:rFonts w:ascii="宋体" w:hAnsi="宋体"/>
          <w:b/>
          <w:szCs w:val="21"/>
        </w:rPr>
        <w:t>1.古代</w:t>
      </w:r>
    </w:p>
    <w:p w14:paraId="13114A94">
      <w:pPr>
        <w:ind w:firstLine="420"/>
        <w:rPr>
          <w:rFonts w:ascii="宋体" w:hAnsi="宋体"/>
          <w:szCs w:val="21"/>
        </w:rPr>
      </w:pPr>
      <w:r>
        <w:rPr>
          <w:rFonts w:hint="eastAsia" w:ascii="宋体" w:hAnsi="宋体"/>
          <w:szCs w:val="21"/>
        </w:rPr>
        <w:t>唐·开元二年（</w:t>
      </w:r>
      <w:r>
        <w:rPr>
          <w:rFonts w:ascii="宋体" w:hAnsi="宋体"/>
          <w:szCs w:val="21"/>
        </w:rPr>
        <w:t>714年），大旱，竹有华实</w:t>
      </w:r>
      <w:r>
        <w:rPr>
          <w:rFonts w:hint="eastAsia" w:ascii="宋体" w:hAnsi="宋体"/>
          <w:szCs w:val="21"/>
        </w:rPr>
        <w:t>。</w:t>
      </w:r>
    </w:p>
    <w:p w14:paraId="1EF8F371">
      <w:pPr>
        <w:ind w:firstLine="420"/>
        <w:rPr>
          <w:rFonts w:ascii="宋体" w:hAnsi="宋体"/>
          <w:szCs w:val="21"/>
        </w:rPr>
      </w:pPr>
      <w:r>
        <w:rPr>
          <w:rFonts w:hint="eastAsia" w:ascii="宋体" w:hAnsi="宋体"/>
          <w:szCs w:val="21"/>
        </w:rPr>
        <w:t>宋·嘉定九年（</w:t>
      </w:r>
      <w:r>
        <w:rPr>
          <w:rFonts w:ascii="宋体" w:hAnsi="宋体"/>
          <w:szCs w:val="21"/>
        </w:rPr>
        <w:t>1216年），大旱。</w:t>
      </w:r>
    </w:p>
    <w:p w14:paraId="4DC883EC">
      <w:pPr>
        <w:ind w:firstLine="420"/>
        <w:rPr>
          <w:rFonts w:ascii="宋体" w:hAnsi="宋体"/>
          <w:szCs w:val="21"/>
        </w:rPr>
      </w:pPr>
      <w:r>
        <w:rPr>
          <w:rFonts w:hint="eastAsia" w:ascii="宋体" w:hAnsi="宋体"/>
          <w:szCs w:val="21"/>
        </w:rPr>
        <w:t>元·至元六年（</w:t>
      </w:r>
      <w:r>
        <w:rPr>
          <w:rFonts w:ascii="宋体" w:hAnsi="宋体"/>
          <w:szCs w:val="21"/>
        </w:rPr>
        <w:t>1340年），旱，二月不雨至五月，种不入土</w:t>
      </w:r>
      <w:r>
        <w:rPr>
          <w:rFonts w:hint="eastAsia" w:ascii="宋体" w:hAnsi="宋体"/>
          <w:szCs w:val="21"/>
        </w:rPr>
        <w:t>。</w:t>
      </w:r>
    </w:p>
    <w:p w14:paraId="504B1F1F">
      <w:pPr>
        <w:ind w:firstLine="420"/>
        <w:rPr>
          <w:rFonts w:ascii="宋体" w:hAnsi="宋体"/>
          <w:szCs w:val="21"/>
        </w:rPr>
      </w:pPr>
      <w:r>
        <w:rPr>
          <w:rFonts w:hint="eastAsia" w:ascii="宋体" w:hAnsi="宋体"/>
          <w:szCs w:val="21"/>
        </w:rPr>
        <w:t>元·至正十三年（</w:t>
      </w:r>
      <w:r>
        <w:rPr>
          <w:rFonts w:ascii="宋体" w:hAnsi="宋体"/>
          <w:szCs w:val="21"/>
        </w:rPr>
        <w:t>1353年），大旱。</w:t>
      </w:r>
    </w:p>
    <w:p w14:paraId="2ECF69B0">
      <w:pPr>
        <w:ind w:firstLine="420"/>
        <w:rPr>
          <w:rFonts w:ascii="宋体" w:hAnsi="宋体"/>
          <w:szCs w:val="21"/>
        </w:rPr>
      </w:pPr>
      <w:r>
        <w:rPr>
          <w:rFonts w:hint="eastAsia" w:ascii="宋体" w:hAnsi="宋体"/>
          <w:szCs w:val="21"/>
        </w:rPr>
        <w:t>明·嘉靖十五年（</w:t>
      </w:r>
      <w:r>
        <w:rPr>
          <w:rFonts w:ascii="宋体" w:hAnsi="宋体"/>
          <w:szCs w:val="21"/>
        </w:rPr>
        <w:t>1536年），大旱</w:t>
      </w:r>
      <w:r>
        <w:rPr>
          <w:rFonts w:hint="eastAsia" w:ascii="宋体" w:hAnsi="宋体"/>
          <w:szCs w:val="21"/>
        </w:rPr>
        <w:t>。</w:t>
      </w:r>
    </w:p>
    <w:p w14:paraId="5DBA4490">
      <w:pPr>
        <w:ind w:firstLine="420"/>
        <w:rPr>
          <w:rFonts w:ascii="宋体" w:hAnsi="宋体"/>
          <w:szCs w:val="21"/>
        </w:rPr>
      </w:pPr>
      <w:r>
        <w:rPr>
          <w:rFonts w:hint="eastAsia" w:ascii="宋体" w:hAnsi="宋体"/>
          <w:szCs w:val="21"/>
        </w:rPr>
        <w:t>明·万历二十四年（</w:t>
      </w:r>
      <w:r>
        <w:rPr>
          <w:rFonts w:ascii="宋体" w:hAnsi="宋体"/>
          <w:szCs w:val="21"/>
        </w:rPr>
        <w:t>1596年），大旱，民饥，斗米百钱</w:t>
      </w:r>
      <w:r>
        <w:rPr>
          <w:rFonts w:hint="eastAsia" w:ascii="宋体" w:hAnsi="宋体"/>
          <w:szCs w:val="21"/>
        </w:rPr>
        <w:t>。</w:t>
      </w:r>
    </w:p>
    <w:p w14:paraId="5F82CD7C">
      <w:pPr>
        <w:ind w:firstLine="420"/>
        <w:rPr>
          <w:rFonts w:ascii="宋体" w:hAnsi="宋体"/>
          <w:szCs w:val="21"/>
        </w:rPr>
      </w:pPr>
      <w:r>
        <w:rPr>
          <w:rFonts w:hint="eastAsia" w:ascii="宋体" w:hAnsi="宋体"/>
          <w:szCs w:val="21"/>
        </w:rPr>
        <w:t>清·顺治十年（</w:t>
      </w:r>
      <w:r>
        <w:rPr>
          <w:rFonts w:ascii="宋体" w:hAnsi="宋体"/>
          <w:szCs w:val="21"/>
        </w:rPr>
        <w:t>1653年），大</w:t>
      </w:r>
      <w:r>
        <w:rPr>
          <w:rFonts w:hint="eastAsia" w:ascii="宋体" w:hAnsi="宋体"/>
          <w:szCs w:val="21"/>
        </w:rPr>
        <w:t>旱</w:t>
      </w:r>
      <w:r>
        <w:rPr>
          <w:rFonts w:ascii="宋体" w:hAnsi="宋体"/>
          <w:szCs w:val="21"/>
        </w:rPr>
        <w:t>，斗米银四钱。</w:t>
      </w:r>
    </w:p>
    <w:p w14:paraId="4F2AC496">
      <w:pPr>
        <w:ind w:firstLine="420"/>
        <w:rPr>
          <w:rFonts w:ascii="宋体" w:hAnsi="宋体"/>
          <w:szCs w:val="21"/>
        </w:rPr>
      </w:pPr>
      <w:r>
        <w:rPr>
          <w:rFonts w:hint="eastAsia" w:ascii="宋体" w:hAnsi="宋体"/>
          <w:szCs w:val="21"/>
        </w:rPr>
        <w:t>清·顺治十七年（</w:t>
      </w:r>
      <w:r>
        <w:rPr>
          <w:rFonts w:ascii="宋体" w:hAnsi="宋体"/>
          <w:szCs w:val="21"/>
        </w:rPr>
        <w:t>1660年）旱灾，九月免保昌、曲江、乳源、仁化、乐昌、翁</w:t>
      </w:r>
      <w:r>
        <w:rPr>
          <w:rFonts w:hint="eastAsia" w:ascii="宋体" w:hAnsi="宋体"/>
          <w:szCs w:val="21"/>
        </w:rPr>
        <w:t>源等</w:t>
      </w:r>
      <w:r>
        <w:rPr>
          <w:rFonts w:ascii="宋体" w:hAnsi="宋体"/>
          <w:szCs w:val="21"/>
        </w:rPr>
        <w:t>32县旱灾额赋</w:t>
      </w:r>
      <w:r>
        <w:rPr>
          <w:rFonts w:hint="eastAsia" w:ascii="宋体" w:hAnsi="宋体"/>
          <w:szCs w:val="21"/>
        </w:rPr>
        <w:t>。</w:t>
      </w:r>
    </w:p>
    <w:p w14:paraId="16EB1ACE">
      <w:pPr>
        <w:ind w:firstLine="420"/>
        <w:rPr>
          <w:rFonts w:ascii="宋体" w:hAnsi="宋体"/>
          <w:szCs w:val="21"/>
        </w:rPr>
      </w:pPr>
      <w:r>
        <w:rPr>
          <w:rFonts w:hint="eastAsia" w:ascii="宋体" w:hAnsi="宋体"/>
          <w:szCs w:val="21"/>
        </w:rPr>
        <w:t>清·康熙二十三年（</w:t>
      </w:r>
      <w:r>
        <w:rPr>
          <w:rFonts w:ascii="宋体" w:hAnsi="宋体"/>
          <w:szCs w:val="21"/>
        </w:rPr>
        <w:t>1684年），大旱</w:t>
      </w:r>
      <w:r>
        <w:rPr>
          <w:rFonts w:hint="eastAsia" w:ascii="宋体" w:hAnsi="宋体"/>
          <w:szCs w:val="21"/>
        </w:rPr>
        <w:t>。</w:t>
      </w:r>
    </w:p>
    <w:p w14:paraId="7B5FDC23">
      <w:pPr>
        <w:ind w:firstLine="420"/>
        <w:rPr>
          <w:rFonts w:ascii="宋体" w:hAnsi="宋体"/>
          <w:szCs w:val="21"/>
        </w:rPr>
      </w:pPr>
      <w:r>
        <w:rPr>
          <w:rFonts w:hint="eastAsia" w:ascii="宋体" w:hAnsi="宋体"/>
          <w:szCs w:val="21"/>
        </w:rPr>
        <w:t>清·康熙三十六年（</w:t>
      </w:r>
      <w:r>
        <w:rPr>
          <w:rFonts w:ascii="宋体" w:hAnsi="宋体"/>
          <w:szCs w:val="21"/>
        </w:rPr>
        <w:t>1697年），大旱。</w:t>
      </w:r>
    </w:p>
    <w:p w14:paraId="7847EF76">
      <w:pPr>
        <w:ind w:firstLine="420"/>
        <w:rPr>
          <w:rFonts w:ascii="宋体" w:hAnsi="宋体"/>
          <w:szCs w:val="21"/>
        </w:rPr>
      </w:pPr>
      <w:r>
        <w:rPr>
          <w:rFonts w:hint="eastAsia" w:ascii="宋体" w:hAnsi="宋体"/>
          <w:szCs w:val="21"/>
        </w:rPr>
        <w:t>清·康熙六十年（</w:t>
      </w:r>
      <w:r>
        <w:rPr>
          <w:rFonts w:ascii="宋体" w:hAnsi="宋体"/>
          <w:szCs w:val="21"/>
        </w:rPr>
        <w:t>1721年），旱</w:t>
      </w:r>
      <w:r>
        <w:rPr>
          <w:rFonts w:hint="eastAsia" w:ascii="宋体" w:hAnsi="宋体"/>
          <w:szCs w:val="21"/>
        </w:rPr>
        <w:t>。</w:t>
      </w:r>
    </w:p>
    <w:p w14:paraId="51FD5AAF">
      <w:pPr>
        <w:ind w:firstLine="420"/>
        <w:rPr>
          <w:rFonts w:ascii="宋体" w:hAnsi="宋体"/>
          <w:szCs w:val="21"/>
        </w:rPr>
      </w:pPr>
      <w:r>
        <w:rPr>
          <w:rFonts w:hint="eastAsia" w:ascii="宋体" w:hAnsi="宋体"/>
          <w:szCs w:val="21"/>
        </w:rPr>
        <w:t>清·乾隆四年（</w:t>
      </w:r>
      <w:r>
        <w:rPr>
          <w:rFonts w:ascii="宋体" w:hAnsi="宋体"/>
          <w:szCs w:val="21"/>
        </w:rPr>
        <w:t>1739年），大旱，三月不雨至五月，饥民遍地，乞籴江西</w:t>
      </w:r>
      <w:r>
        <w:rPr>
          <w:rFonts w:hint="eastAsia" w:ascii="宋体" w:hAnsi="宋体"/>
          <w:szCs w:val="21"/>
        </w:rPr>
        <w:t>。</w:t>
      </w:r>
    </w:p>
    <w:p w14:paraId="21467CC6">
      <w:pPr>
        <w:ind w:firstLine="420"/>
        <w:rPr>
          <w:rFonts w:ascii="宋体" w:hAnsi="宋体"/>
          <w:szCs w:val="21"/>
        </w:rPr>
      </w:pPr>
      <w:r>
        <w:rPr>
          <w:rFonts w:hint="eastAsia" w:ascii="宋体" w:hAnsi="宋体"/>
          <w:szCs w:val="21"/>
        </w:rPr>
        <w:t>清·乾隆五十一年（</w:t>
      </w:r>
      <w:r>
        <w:rPr>
          <w:rFonts w:ascii="宋体" w:hAnsi="宋体"/>
          <w:szCs w:val="21"/>
        </w:rPr>
        <w:t>1786年），大旱，饥，米价腾贵，民食观音土</w:t>
      </w:r>
      <w:r>
        <w:rPr>
          <w:rFonts w:hint="eastAsia" w:ascii="宋体" w:hAnsi="宋体"/>
          <w:szCs w:val="21"/>
        </w:rPr>
        <w:t>。</w:t>
      </w:r>
    </w:p>
    <w:p w14:paraId="4F412227">
      <w:pPr>
        <w:ind w:firstLine="422"/>
        <w:rPr>
          <w:rFonts w:ascii="宋体" w:hAnsi="宋体"/>
          <w:b/>
          <w:szCs w:val="21"/>
        </w:rPr>
      </w:pPr>
      <w:r>
        <w:rPr>
          <w:rFonts w:ascii="宋体" w:hAnsi="宋体"/>
          <w:b/>
          <w:szCs w:val="21"/>
        </w:rPr>
        <w:t>2.民国时期</w:t>
      </w:r>
    </w:p>
    <w:p w14:paraId="4B0276A4">
      <w:pPr>
        <w:ind w:firstLine="420"/>
        <w:rPr>
          <w:rFonts w:ascii="宋体" w:hAnsi="宋体"/>
          <w:szCs w:val="21"/>
        </w:rPr>
      </w:pPr>
      <w:r>
        <w:rPr>
          <w:rFonts w:hint="eastAsia" w:ascii="宋体" w:hAnsi="宋体"/>
          <w:szCs w:val="21"/>
        </w:rPr>
        <w:t>民国</w:t>
      </w:r>
      <w:r>
        <w:rPr>
          <w:rFonts w:ascii="宋体" w:hAnsi="宋体"/>
          <w:szCs w:val="21"/>
        </w:rPr>
        <w:t>19年（1930年），旱灾，受灾面积15333.</w:t>
      </w:r>
      <w:r>
        <w:rPr>
          <w:rFonts w:hint="eastAsia" w:ascii="宋体" w:hAnsi="宋体"/>
          <w:szCs w:val="21"/>
        </w:rPr>
        <w:t>3</w:t>
      </w:r>
      <w:r>
        <w:rPr>
          <w:rFonts w:ascii="宋体" w:hAnsi="宋体"/>
          <w:szCs w:val="21"/>
        </w:rPr>
        <w:t>3多公顷，损失粮食15735吨。</w:t>
      </w:r>
    </w:p>
    <w:p w14:paraId="265A7EA6">
      <w:pPr>
        <w:ind w:firstLine="420"/>
        <w:rPr>
          <w:rFonts w:ascii="宋体" w:hAnsi="宋体"/>
          <w:szCs w:val="21"/>
        </w:rPr>
      </w:pPr>
      <w:r>
        <w:rPr>
          <w:rFonts w:hint="eastAsia" w:ascii="宋体" w:hAnsi="宋体"/>
          <w:szCs w:val="21"/>
        </w:rPr>
        <w:t>民国</w:t>
      </w:r>
      <w:r>
        <w:rPr>
          <w:rFonts w:ascii="宋体" w:hAnsi="宋体"/>
          <w:szCs w:val="21"/>
        </w:rPr>
        <w:t>27年（1938年），大旱，县人纷纷逃荒。黄坑乡茅坑、云下两个自然村有12户逃荒，7人饿死路上。</w:t>
      </w:r>
    </w:p>
    <w:p w14:paraId="6EC98F3D">
      <w:pPr>
        <w:ind w:firstLine="420"/>
        <w:rPr>
          <w:rFonts w:ascii="宋体" w:hAnsi="宋体"/>
          <w:szCs w:val="21"/>
        </w:rPr>
      </w:pPr>
      <w:r>
        <w:rPr>
          <w:rFonts w:hint="eastAsia" w:ascii="宋体" w:hAnsi="宋体"/>
          <w:szCs w:val="21"/>
        </w:rPr>
        <w:t>民国</w:t>
      </w:r>
      <w:r>
        <w:rPr>
          <w:rFonts w:ascii="宋体" w:hAnsi="宋体"/>
          <w:szCs w:val="21"/>
        </w:rPr>
        <w:t>29年（1940年），大旱。早、晚两造歉收，灾情严重为数十年所仅见。米</w:t>
      </w:r>
      <w:r>
        <w:rPr>
          <w:rFonts w:hint="eastAsia" w:ascii="宋体" w:hAnsi="宋体"/>
          <w:szCs w:val="21"/>
        </w:rPr>
        <w:t>价暴涨，每元由购</w:t>
      </w:r>
      <w:r>
        <w:rPr>
          <w:rFonts w:ascii="宋体" w:hAnsi="宋体"/>
          <w:szCs w:val="21"/>
        </w:rPr>
        <w:t>2.5公斤、3公斤涨至仅可购1.5公斤，斯时，县成立赈济会和粮</w:t>
      </w:r>
      <w:r>
        <w:rPr>
          <w:rFonts w:hint="eastAsia" w:ascii="宋体" w:hAnsi="宋体"/>
          <w:szCs w:val="21"/>
        </w:rPr>
        <w:t>食调节委员会，开展赈灾平粜，每元购米</w:t>
      </w:r>
      <w:r>
        <w:rPr>
          <w:rFonts w:ascii="宋体" w:hAnsi="宋体"/>
          <w:szCs w:val="21"/>
        </w:rPr>
        <w:t>2.25公斤。</w:t>
      </w:r>
    </w:p>
    <w:p w14:paraId="00C8114D">
      <w:pPr>
        <w:ind w:firstLine="422"/>
        <w:rPr>
          <w:rFonts w:ascii="宋体" w:hAnsi="宋体"/>
          <w:b/>
          <w:szCs w:val="21"/>
        </w:rPr>
      </w:pPr>
      <w:r>
        <w:rPr>
          <w:rFonts w:ascii="宋体" w:hAnsi="宋体"/>
          <w:b/>
          <w:szCs w:val="21"/>
        </w:rPr>
        <w:t>3.新中国成立后</w:t>
      </w:r>
    </w:p>
    <w:p w14:paraId="2992D4AF">
      <w:pPr>
        <w:ind w:firstLine="420"/>
        <w:rPr>
          <w:rFonts w:ascii="宋体" w:hAnsi="宋体"/>
          <w:szCs w:val="21"/>
        </w:rPr>
      </w:pPr>
      <w:r>
        <w:rPr>
          <w:rFonts w:ascii="宋体" w:hAnsi="宋体"/>
          <w:szCs w:val="21"/>
        </w:rPr>
        <w:t>1950年至1987年38年间受</w:t>
      </w:r>
      <w:r>
        <w:rPr>
          <w:rFonts w:hint="eastAsia" w:ascii="宋体" w:hAnsi="宋体"/>
          <w:szCs w:val="21"/>
        </w:rPr>
        <w:t>旱</w:t>
      </w:r>
      <w:r>
        <w:rPr>
          <w:rFonts w:ascii="宋体" w:hAnsi="宋体"/>
          <w:szCs w:val="21"/>
        </w:rPr>
        <w:t>33</w:t>
      </w:r>
      <w:r>
        <w:rPr>
          <w:rFonts w:hint="eastAsia" w:ascii="宋体" w:hAnsi="宋体"/>
          <w:szCs w:val="21"/>
        </w:rPr>
        <w:t>3</w:t>
      </w:r>
      <w:r>
        <w:rPr>
          <w:rFonts w:ascii="宋体" w:hAnsi="宋体"/>
          <w:szCs w:val="21"/>
        </w:rPr>
        <w:t>3.33公顷以上年份有1950年、1953年、1954</w:t>
      </w:r>
      <w:r>
        <w:rPr>
          <w:rFonts w:hint="eastAsia" w:ascii="宋体" w:hAnsi="宋体"/>
          <w:szCs w:val="21"/>
        </w:rPr>
        <w:t>年、</w:t>
      </w:r>
      <w:r>
        <w:rPr>
          <w:rFonts w:ascii="宋体" w:hAnsi="宋体"/>
          <w:szCs w:val="21"/>
        </w:rPr>
        <w:t>1956年、1960年、1962年、1964年、1966年、1972年、1977年、1986年，共11个年份</w:t>
      </w:r>
      <w:r>
        <w:rPr>
          <w:rFonts w:hint="eastAsia" w:ascii="宋体" w:hAnsi="宋体"/>
          <w:szCs w:val="21"/>
        </w:rPr>
        <w:t>。</w:t>
      </w:r>
    </w:p>
    <w:p w14:paraId="52BAF071">
      <w:pPr>
        <w:ind w:firstLine="420"/>
        <w:rPr>
          <w:rFonts w:ascii="宋体" w:hAnsi="宋体"/>
          <w:szCs w:val="21"/>
        </w:rPr>
      </w:pPr>
      <w:r>
        <w:rPr>
          <w:rFonts w:ascii="宋体" w:hAnsi="宋体"/>
          <w:szCs w:val="21"/>
        </w:rPr>
        <w:t>1956年7月中旬至10月上旬，大旱，连续旱期达85天，时称：</w:t>
      </w:r>
      <w:r>
        <w:rPr>
          <w:rFonts w:hint="eastAsia" w:ascii="宋体" w:hAnsi="宋体"/>
          <w:szCs w:val="21"/>
        </w:rPr>
        <w:t>“</w:t>
      </w:r>
      <w:r>
        <w:rPr>
          <w:rFonts w:ascii="宋体" w:hAnsi="宋体"/>
          <w:szCs w:val="21"/>
        </w:rPr>
        <w:t>百年大旱</w:t>
      </w:r>
      <w:r>
        <w:rPr>
          <w:rFonts w:hint="eastAsia" w:ascii="宋体" w:hAnsi="宋体"/>
          <w:szCs w:val="21"/>
        </w:rPr>
        <w:t>”。全县受灾水稻面积</w:t>
      </w:r>
      <w:r>
        <w:rPr>
          <w:rFonts w:ascii="宋体" w:hAnsi="宋体"/>
          <w:szCs w:val="21"/>
        </w:rPr>
        <w:t>14666.67公顷，占总面积40%，失收4933.33公顷，晚稻比上年</w:t>
      </w:r>
      <w:r>
        <w:rPr>
          <w:rFonts w:hint="eastAsia" w:ascii="宋体" w:hAnsi="宋体"/>
          <w:szCs w:val="21"/>
        </w:rPr>
        <w:t>减产</w:t>
      </w:r>
      <w:r>
        <w:rPr>
          <w:rFonts w:ascii="宋体" w:hAnsi="宋体"/>
          <w:szCs w:val="21"/>
        </w:rPr>
        <w:t>5850吨</w:t>
      </w:r>
      <w:r>
        <w:rPr>
          <w:rFonts w:hint="eastAsia" w:ascii="宋体" w:hAnsi="宋体"/>
          <w:szCs w:val="21"/>
        </w:rPr>
        <w:t>。</w:t>
      </w:r>
    </w:p>
    <w:p w14:paraId="3170DC5A">
      <w:pPr>
        <w:ind w:firstLine="420"/>
        <w:rPr>
          <w:rFonts w:ascii="宋体" w:hAnsi="宋体"/>
          <w:szCs w:val="21"/>
        </w:rPr>
      </w:pPr>
      <w:r>
        <w:rPr>
          <w:rFonts w:ascii="宋体" w:hAnsi="宋体"/>
          <w:szCs w:val="21"/>
        </w:rPr>
        <w:t>1962年7月至1963年9月，大旱。1962年晚稻受旱10666.67公顷，其中失收3333.33多公顷，加上寒露风，共损失稻谷13000吨。旱灾一直延续到1963年9月，</w:t>
      </w:r>
      <w:r>
        <w:rPr>
          <w:rFonts w:hint="eastAsia" w:ascii="宋体" w:hAnsi="宋体"/>
          <w:szCs w:val="21"/>
        </w:rPr>
        <w:t>连</w:t>
      </w:r>
      <w:r>
        <w:rPr>
          <w:rFonts w:ascii="宋体" w:hAnsi="宋体"/>
          <w:szCs w:val="21"/>
        </w:rPr>
        <w:t>15个月未下过透雨，除浈凌两江外，其余小河断流，大小山塘干涸。全县受旱30666.67公顷，未插下秧的中晚稻田4333.33公顷，损失粮食43680吨。</w:t>
      </w:r>
    </w:p>
    <w:p w14:paraId="1D2849F1">
      <w:pPr>
        <w:ind w:firstLine="420"/>
        <w:rPr>
          <w:rFonts w:ascii="宋体" w:hAnsi="宋体"/>
          <w:szCs w:val="21"/>
        </w:rPr>
      </w:pPr>
      <w:r>
        <w:rPr>
          <w:rFonts w:ascii="宋体" w:hAnsi="宋体"/>
          <w:szCs w:val="21"/>
        </w:rPr>
        <w:t>1966年秋旱，从8月19日至10月13日连旱56天，受旱面积8393.33公顷。</w:t>
      </w:r>
    </w:p>
    <w:p w14:paraId="61CF7E47">
      <w:pPr>
        <w:ind w:firstLine="420"/>
        <w:rPr>
          <w:rFonts w:ascii="宋体" w:hAnsi="宋体"/>
          <w:szCs w:val="21"/>
        </w:rPr>
      </w:pPr>
      <w:r>
        <w:rPr>
          <w:rFonts w:ascii="宋体" w:hAnsi="宋体"/>
          <w:szCs w:val="21"/>
        </w:rPr>
        <w:t>1977年大旱，2月至4月未下过一场透雨，降雨量只51.9毫米，13333.33公顷</w:t>
      </w:r>
      <w:r>
        <w:rPr>
          <w:rFonts w:hint="eastAsia" w:ascii="宋体" w:hAnsi="宋体"/>
          <w:szCs w:val="21"/>
        </w:rPr>
        <w:t>早稻无水办田，</w:t>
      </w:r>
      <w:r>
        <w:rPr>
          <w:rFonts w:ascii="宋体" w:hAnsi="宋体"/>
          <w:szCs w:val="21"/>
        </w:rPr>
        <w:t>300多个生产队无水播种，有些地区的黄烟花生补种了二三次都被旱</w:t>
      </w:r>
      <w:r>
        <w:rPr>
          <w:rFonts w:hint="eastAsia" w:ascii="宋体" w:hAnsi="宋体"/>
          <w:szCs w:val="21"/>
        </w:rPr>
        <w:t>死。</w:t>
      </w:r>
      <w:r>
        <w:rPr>
          <w:rFonts w:ascii="宋体" w:hAnsi="宋体"/>
          <w:szCs w:val="21"/>
        </w:rPr>
        <w:t>100多个生产队吃水困难。</w:t>
      </w:r>
    </w:p>
    <w:p w14:paraId="4E01D237">
      <w:pPr>
        <w:ind w:firstLine="420"/>
        <w:rPr>
          <w:rFonts w:ascii="宋体" w:hAnsi="宋体"/>
          <w:szCs w:val="21"/>
        </w:rPr>
      </w:pPr>
      <w:r>
        <w:rPr>
          <w:rFonts w:ascii="宋体" w:hAnsi="宋体"/>
          <w:szCs w:val="21"/>
        </w:rPr>
        <w:t>1989年大旱，为1966年以来20多年所罕见，7月至9月降雨量仅197毫米，比</w:t>
      </w:r>
      <w:r>
        <w:rPr>
          <w:rFonts w:hint="eastAsia" w:ascii="宋体" w:hAnsi="宋体"/>
          <w:szCs w:val="21"/>
        </w:rPr>
        <w:t>往年平均值少</w:t>
      </w:r>
      <w:r>
        <w:rPr>
          <w:rFonts w:ascii="宋体" w:hAnsi="宋体"/>
          <w:szCs w:val="21"/>
        </w:rPr>
        <w:t>57%。全县受旱面积5400公顷，其中失收340多公顷</w:t>
      </w:r>
      <w:r>
        <w:rPr>
          <w:rFonts w:hint="eastAsia" w:ascii="宋体" w:hAnsi="宋体"/>
          <w:szCs w:val="21"/>
        </w:rPr>
        <w:t>。</w:t>
      </w:r>
    </w:p>
    <w:p w14:paraId="3D0FD4F8">
      <w:pPr>
        <w:ind w:firstLine="420"/>
        <w:rPr>
          <w:rFonts w:ascii="宋体" w:hAnsi="宋体"/>
          <w:szCs w:val="21"/>
        </w:rPr>
      </w:pPr>
      <w:r>
        <w:rPr>
          <w:rFonts w:ascii="宋体" w:hAnsi="宋体"/>
          <w:szCs w:val="21"/>
        </w:rPr>
        <w:t>1990年7月5日至27日，连续22天高温干旱，7月初至9月上旬未下过一次透</w:t>
      </w:r>
      <w:r>
        <w:rPr>
          <w:rFonts w:hint="eastAsia" w:ascii="宋体" w:hAnsi="宋体"/>
          <w:szCs w:val="21"/>
        </w:rPr>
        <w:t>雨。稻田受旱6</w:t>
      </w:r>
      <w:r>
        <w:rPr>
          <w:rFonts w:ascii="宋体" w:hAnsi="宋体"/>
          <w:szCs w:val="21"/>
        </w:rPr>
        <w:t>666.67多公顷，其中2666.67多公顷晚稻无水插秧</w:t>
      </w:r>
      <w:r>
        <w:rPr>
          <w:rFonts w:hint="eastAsia" w:ascii="宋体" w:hAnsi="宋体"/>
          <w:szCs w:val="21"/>
        </w:rPr>
        <w:t>。</w:t>
      </w:r>
    </w:p>
    <w:p w14:paraId="7B44B042">
      <w:pPr>
        <w:ind w:firstLine="420"/>
        <w:rPr>
          <w:rFonts w:ascii="宋体" w:hAnsi="宋体"/>
          <w:szCs w:val="21"/>
        </w:rPr>
      </w:pPr>
      <w:r>
        <w:rPr>
          <w:rFonts w:ascii="宋体" w:hAnsi="宋体"/>
          <w:szCs w:val="21"/>
        </w:rPr>
        <w:t>1991年5月中旬至7月，严重干</w:t>
      </w:r>
      <w:r>
        <w:rPr>
          <w:rFonts w:hint="eastAsia" w:ascii="宋体" w:hAnsi="宋体"/>
          <w:szCs w:val="21"/>
        </w:rPr>
        <w:t>旱</w:t>
      </w:r>
      <w:r>
        <w:rPr>
          <w:rFonts w:ascii="宋体" w:hAnsi="宋体"/>
          <w:szCs w:val="21"/>
        </w:rPr>
        <w:t>。降雨量比上年同期少50%，山塘水库蓄水</w:t>
      </w:r>
      <w:r>
        <w:rPr>
          <w:rFonts w:hint="eastAsia" w:ascii="宋体" w:hAnsi="宋体"/>
          <w:szCs w:val="21"/>
        </w:rPr>
        <w:t>量比上年同期减少</w:t>
      </w:r>
      <w:r>
        <w:rPr>
          <w:rFonts w:ascii="宋体" w:hAnsi="宋体"/>
          <w:szCs w:val="21"/>
        </w:rPr>
        <w:t>6成，黄烟损失严重，50%农田龟裂。3万多干部群众抗旱保苗，</w:t>
      </w:r>
      <w:r>
        <w:rPr>
          <w:rFonts w:hint="eastAsia" w:ascii="宋体" w:hAnsi="宋体"/>
          <w:szCs w:val="21"/>
        </w:rPr>
        <w:t>抢插晚稻，历时</w:t>
      </w:r>
      <w:r>
        <w:rPr>
          <w:rFonts w:ascii="宋体" w:hAnsi="宋体"/>
          <w:szCs w:val="21"/>
        </w:rPr>
        <w:t>2个月</w:t>
      </w:r>
      <w:r>
        <w:rPr>
          <w:rFonts w:hint="eastAsia" w:ascii="宋体" w:hAnsi="宋体"/>
          <w:szCs w:val="21"/>
        </w:rPr>
        <w:t>。</w:t>
      </w:r>
    </w:p>
    <w:p w14:paraId="3E0A6F73">
      <w:pPr>
        <w:ind w:firstLine="420"/>
        <w:rPr>
          <w:rFonts w:ascii="宋体" w:hAnsi="宋体"/>
          <w:szCs w:val="21"/>
        </w:rPr>
      </w:pPr>
      <w:r>
        <w:rPr>
          <w:rFonts w:ascii="宋体" w:hAnsi="宋体"/>
          <w:szCs w:val="21"/>
        </w:rPr>
        <w:t>2000年5月，连续20多天无雨，黄烟受旱7466.67公顷。</w:t>
      </w:r>
    </w:p>
    <w:p w14:paraId="36D0D8BF">
      <w:pPr>
        <w:ind w:firstLine="420"/>
        <w:rPr>
          <w:rFonts w:ascii="宋体" w:hAnsi="宋体"/>
          <w:szCs w:val="21"/>
        </w:rPr>
      </w:pPr>
      <w:r>
        <w:rPr>
          <w:rFonts w:ascii="宋体" w:hAnsi="宋体"/>
          <w:szCs w:val="21"/>
        </w:rPr>
        <w:t>2004年秋，全市出现大旱，从8月至12月，降雨量持续偏少。工农业生产和居</w:t>
      </w:r>
      <w:r>
        <w:rPr>
          <w:rFonts w:hint="eastAsia" w:ascii="宋体" w:hAnsi="宋体"/>
          <w:szCs w:val="21"/>
        </w:rPr>
        <w:t>民生活用水非常紧张，全市受旱农作物</w:t>
      </w:r>
      <w:r>
        <w:rPr>
          <w:rFonts w:ascii="宋体" w:hAnsi="宋体"/>
          <w:szCs w:val="21"/>
        </w:rPr>
        <w:t>10933.33公顷，其中晚稻8133.33公顷，造</w:t>
      </w:r>
      <w:r>
        <w:rPr>
          <w:rFonts w:hint="eastAsia" w:ascii="宋体" w:hAnsi="宋体"/>
          <w:szCs w:val="21"/>
        </w:rPr>
        <w:t>成直接经济损失</w:t>
      </w:r>
      <w:r>
        <w:rPr>
          <w:rFonts w:ascii="宋体" w:hAnsi="宋体"/>
          <w:szCs w:val="21"/>
        </w:rPr>
        <w:t>2700万元</w:t>
      </w:r>
      <w:r>
        <w:rPr>
          <w:rFonts w:hint="eastAsia" w:ascii="宋体" w:hAnsi="宋体"/>
          <w:szCs w:val="21"/>
        </w:rPr>
        <w:t>。</w:t>
      </w:r>
    </w:p>
    <w:p w14:paraId="0D7533C6">
      <w:pPr>
        <w:pStyle w:val="5"/>
        <w:rPr>
          <w:rFonts w:ascii="宋体" w:hAnsi="宋体"/>
        </w:rPr>
      </w:pPr>
      <w:r>
        <w:rPr>
          <w:rFonts w:hint="eastAsia" w:ascii="宋体" w:hAnsi="宋体"/>
        </w:rPr>
        <w:t>三、风雹</w:t>
      </w:r>
    </w:p>
    <w:p w14:paraId="38BC6210">
      <w:pPr>
        <w:ind w:firstLine="422"/>
        <w:rPr>
          <w:rFonts w:ascii="宋体" w:hAnsi="宋体"/>
          <w:b/>
          <w:szCs w:val="21"/>
        </w:rPr>
      </w:pPr>
      <w:r>
        <w:rPr>
          <w:rFonts w:ascii="宋体" w:hAnsi="宋体"/>
          <w:b/>
          <w:szCs w:val="21"/>
        </w:rPr>
        <w:t>1.古代</w:t>
      </w:r>
    </w:p>
    <w:p w14:paraId="4400D630">
      <w:pPr>
        <w:ind w:firstLine="420"/>
        <w:rPr>
          <w:rFonts w:ascii="宋体" w:hAnsi="宋体"/>
          <w:szCs w:val="21"/>
        </w:rPr>
      </w:pPr>
      <w:r>
        <w:rPr>
          <w:rFonts w:hint="eastAsia" w:ascii="宋体" w:hAnsi="宋体"/>
          <w:szCs w:val="21"/>
        </w:rPr>
        <w:t>元·至正二十二年（</w:t>
      </w:r>
      <w:r>
        <w:rPr>
          <w:rFonts w:ascii="宋体" w:hAnsi="宋体"/>
          <w:szCs w:val="21"/>
        </w:rPr>
        <w:t>1362年）八月，雨雹如桃李实</w:t>
      </w:r>
      <w:r>
        <w:rPr>
          <w:rFonts w:hint="eastAsia" w:ascii="宋体" w:hAnsi="宋体"/>
          <w:szCs w:val="21"/>
        </w:rPr>
        <w:t>。</w:t>
      </w:r>
    </w:p>
    <w:p w14:paraId="57057E28">
      <w:pPr>
        <w:ind w:firstLine="420"/>
        <w:rPr>
          <w:rFonts w:ascii="宋体" w:hAnsi="宋体"/>
          <w:szCs w:val="21"/>
        </w:rPr>
      </w:pPr>
      <w:r>
        <w:rPr>
          <w:rFonts w:hint="eastAsia" w:ascii="宋体" w:hAnsi="宋体"/>
          <w:szCs w:val="21"/>
        </w:rPr>
        <w:t>明·嘉靖五年（</w:t>
      </w:r>
      <w:r>
        <w:rPr>
          <w:rFonts w:ascii="宋体" w:hAnsi="宋体"/>
          <w:szCs w:val="21"/>
        </w:rPr>
        <w:t>1526年）五月，迅风，大雨雹，城屋多圮</w:t>
      </w:r>
      <w:r>
        <w:rPr>
          <w:rFonts w:hint="eastAsia" w:ascii="宋体" w:hAnsi="宋体"/>
          <w:szCs w:val="21"/>
        </w:rPr>
        <w:t>。</w:t>
      </w:r>
    </w:p>
    <w:p w14:paraId="48E641F4">
      <w:pPr>
        <w:ind w:firstLine="420"/>
        <w:rPr>
          <w:rFonts w:ascii="宋体" w:hAnsi="宋体"/>
          <w:szCs w:val="21"/>
        </w:rPr>
      </w:pPr>
      <w:r>
        <w:rPr>
          <w:rFonts w:hint="eastAsia" w:ascii="宋体" w:hAnsi="宋体"/>
          <w:szCs w:val="21"/>
        </w:rPr>
        <w:t>明·嘉靖二十六年（</w:t>
      </w:r>
      <w:r>
        <w:rPr>
          <w:rFonts w:ascii="宋体" w:hAnsi="宋体"/>
          <w:szCs w:val="21"/>
        </w:rPr>
        <w:t>1547年）春，二月初四日，大雨雹</w:t>
      </w:r>
      <w:r>
        <w:rPr>
          <w:rFonts w:hint="eastAsia" w:ascii="宋体" w:hAnsi="宋体"/>
          <w:szCs w:val="21"/>
        </w:rPr>
        <w:t>。</w:t>
      </w:r>
    </w:p>
    <w:p w14:paraId="382071D5">
      <w:pPr>
        <w:ind w:firstLine="420"/>
        <w:rPr>
          <w:rFonts w:ascii="宋体" w:hAnsi="宋体"/>
          <w:szCs w:val="21"/>
        </w:rPr>
      </w:pPr>
      <w:r>
        <w:rPr>
          <w:rFonts w:hint="eastAsia" w:ascii="宋体" w:hAnsi="宋体"/>
          <w:szCs w:val="21"/>
        </w:rPr>
        <w:t>清·顺治三年（</w:t>
      </w:r>
      <w:r>
        <w:rPr>
          <w:rFonts w:ascii="宋体" w:hAnsi="宋体"/>
          <w:szCs w:val="21"/>
        </w:rPr>
        <w:t>1646年）春，二月十六日夜，雷电交加，风雹拔木，关帝祠前</w:t>
      </w:r>
      <w:r>
        <w:rPr>
          <w:rFonts w:hint="eastAsia" w:ascii="宋体" w:hAnsi="宋体"/>
          <w:szCs w:val="21"/>
        </w:rPr>
        <w:t>“绝代英风”牌坊因此倒塌，柏树经百岁以上者亦多折。</w:t>
      </w:r>
    </w:p>
    <w:p w14:paraId="53922D36">
      <w:pPr>
        <w:ind w:firstLine="420"/>
        <w:rPr>
          <w:rFonts w:ascii="宋体" w:hAnsi="宋体"/>
          <w:szCs w:val="21"/>
        </w:rPr>
      </w:pPr>
      <w:r>
        <w:rPr>
          <w:rFonts w:hint="eastAsia" w:ascii="宋体" w:hAnsi="宋体"/>
          <w:szCs w:val="21"/>
        </w:rPr>
        <w:t>清·乾隆二年（</w:t>
      </w:r>
      <w:r>
        <w:rPr>
          <w:rFonts w:ascii="宋体" w:hAnsi="宋体"/>
          <w:szCs w:val="21"/>
        </w:rPr>
        <w:t>1745年）六月，大风拔木，屋瓦皆飞</w:t>
      </w:r>
      <w:r>
        <w:rPr>
          <w:rFonts w:hint="eastAsia" w:ascii="宋体" w:hAnsi="宋体"/>
          <w:szCs w:val="21"/>
        </w:rPr>
        <w:t>。</w:t>
      </w:r>
    </w:p>
    <w:p w14:paraId="3B1621A7">
      <w:pPr>
        <w:ind w:firstLine="420"/>
        <w:rPr>
          <w:rFonts w:ascii="宋体" w:hAnsi="宋体"/>
          <w:szCs w:val="21"/>
        </w:rPr>
      </w:pPr>
      <w:r>
        <w:rPr>
          <w:rFonts w:hint="eastAsia" w:ascii="宋体" w:hAnsi="宋体"/>
          <w:szCs w:val="21"/>
        </w:rPr>
        <w:t>清·嘉庆六年（</w:t>
      </w:r>
      <w:r>
        <w:rPr>
          <w:rFonts w:ascii="宋体" w:hAnsi="宋体"/>
          <w:szCs w:val="21"/>
        </w:rPr>
        <w:t>1801年），雨雹大如碗，击伤人畜</w:t>
      </w:r>
      <w:r>
        <w:rPr>
          <w:rFonts w:hint="eastAsia" w:ascii="宋体" w:hAnsi="宋体"/>
          <w:szCs w:val="21"/>
        </w:rPr>
        <w:t>。</w:t>
      </w:r>
    </w:p>
    <w:p w14:paraId="2B1A2119">
      <w:pPr>
        <w:ind w:firstLine="422"/>
        <w:rPr>
          <w:rFonts w:ascii="宋体" w:hAnsi="宋体"/>
          <w:b/>
          <w:szCs w:val="21"/>
        </w:rPr>
      </w:pPr>
      <w:r>
        <w:rPr>
          <w:rFonts w:ascii="宋体" w:hAnsi="宋体"/>
          <w:b/>
          <w:szCs w:val="21"/>
        </w:rPr>
        <w:t>2.民国时期</w:t>
      </w:r>
    </w:p>
    <w:p w14:paraId="4D7237E9">
      <w:pPr>
        <w:ind w:firstLine="420"/>
        <w:rPr>
          <w:rFonts w:ascii="宋体" w:hAnsi="宋体"/>
          <w:szCs w:val="21"/>
        </w:rPr>
      </w:pPr>
      <w:r>
        <w:rPr>
          <w:rFonts w:hint="eastAsia" w:ascii="宋体" w:hAnsi="宋体"/>
          <w:szCs w:val="21"/>
        </w:rPr>
        <w:t>风雹灾害文献失载。</w:t>
      </w:r>
    </w:p>
    <w:p w14:paraId="77E0F7CC">
      <w:pPr>
        <w:ind w:firstLine="422"/>
        <w:rPr>
          <w:rFonts w:ascii="宋体" w:hAnsi="宋体"/>
          <w:b/>
          <w:szCs w:val="21"/>
        </w:rPr>
      </w:pPr>
      <w:r>
        <w:rPr>
          <w:rFonts w:ascii="宋体" w:hAnsi="宋体"/>
          <w:b/>
          <w:szCs w:val="21"/>
        </w:rPr>
        <w:t>3.新中国成立后</w:t>
      </w:r>
    </w:p>
    <w:p w14:paraId="0265B37D">
      <w:pPr>
        <w:ind w:firstLine="420"/>
        <w:rPr>
          <w:rFonts w:ascii="宋体" w:hAnsi="宋体"/>
          <w:szCs w:val="21"/>
        </w:rPr>
      </w:pPr>
      <w:r>
        <w:rPr>
          <w:rFonts w:ascii="宋体" w:hAnsi="宋体"/>
          <w:szCs w:val="21"/>
        </w:rPr>
        <w:t>1957年4月23日凌晨，迅雷暴雨，大风冰雹，最大风速40米／秒以上，大树连</w:t>
      </w:r>
      <w:r>
        <w:rPr>
          <w:rFonts w:hint="eastAsia" w:ascii="宋体" w:hAnsi="宋体"/>
          <w:szCs w:val="21"/>
        </w:rPr>
        <w:t>根拔起。</w:t>
      </w:r>
    </w:p>
    <w:p w14:paraId="7FFA3478">
      <w:pPr>
        <w:ind w:firstLine="420"/>
        <w:rPr>
          <w:rFonts w:ascii="宋体" w:hAnsi="宋体"/>
          <w:szCs w:val="21"/>
        </w:rPr>
      </w:pPr>
      <w:r>
        <w:rPr>
          <w:rFonts w:ascii="宋体" w:hAnsi="宋体"/>
          <w:szCs w:val="21"/>
        </w:rPr>
        <w:t>1966年4月26日、28日，分别下了两场冰雹，受害的有水口、南亩、油山、乌</w:t>
      </w:r>
      <w:r>
        <w:rPr>
          <w:rFonts w:hint="eastAsia" w:ascii="宋体" w:hAnsi="宋体"/>
          <w:szCs w:val="21"/>
        </w:rPr>
        <w:t>迳、界址、坪田、古市、珠玑、湖口、新龙</w:t>
      </w:r>
      <w:r>
        <w:rPr>
          <w:rFonts w:ascii="宋体" w:hAnsi="宋体"/>
          <w:szCs w:val="21"/>
        </w:rPr>
        <w:t>10个公社和城关镇，共49个大队，375</w:t>
      </w:r>
      <w:r>
        <w:rPr>
          <w:rFonts w:hint="eastAsia" w:ascii="宋体" w:hAnsi="宋体"/>
          <w:szCs w:val="21"/>
        </w:rPr>
        <w:t>个生产队，毁坏各类房屋</w:t>
      </w:r>
      <w:r>
        <w:rPr>
          <w:rFonts w:ascii="宋体" w:hAnsi="宋体"/>
          <w:szCs w:val="21"/>
        </w:rPr>
        <w:t>2233间，雷击死1人，伤1人，打坏黄烟690公顷</w:t>
      </w:r>
      <w:r>
        <w:rPr>
          <w:rFonts w:hint="eastAsia" w:ascii="宋体" w:hAnsi="宋体"/>
          <w:szCs w:val="21"/>
        </w:rPr>
        <w:t>。</w:t>
      </w:r>
    </w:p>
    <w:p w14:paraId="3A2E6B91">
      <w:pPr>
        <w:ind w:firstLine="420"/>
        <w:rPr>
          <w:rFonts w:ascii="宋体" w:hAnsi="宋体"/>
          <w:szCs w:val="21"/>
        </w:rPr>
      </w:pPr>
      <w:r>
        <w:rPr>
          <w:rFonts w:ascii="宋体" w:hAnsi="宋体"/>
          <w:szCs w:val="21"/>
        </w:rPr>
        <w:t>1968年12月11日下午，雷雨大风和冰雹，雹粒平均直径为2厘米，冰雹中心全</w:t>
      </w:r>
      <w:r>
        <w:rPr>
          <w:rFonts w:hint="eastAsia" w:ascii="宋体" w:hAnsi="宋体"/>
          <w:szCs w:val="21"/>
        </w:rPr>
        <w:t>安公社为</w:t>
      </w:r>
      <w:r>
        <w:rPr>
          <w:rFonts w:ascii="宋体" w:hAnsi="宋体"/>
          <w:szCs w:val="21"/>
        </w:rPr>
        <w:t>10厘米左右，风力8级～10级，房屋瓦面多被打烂刮走，山坑深处雹粒厚</w:t>
      </w:r>
      <w:r>
        <w:rPr>
          <w:rFonts w:hint="eastAsia" w:ascii="宋体" w:hAnsi="宋体"/>
          <w:szCs w:val="21"/>
        </w:rPr>
        <w:t>达</w:t>
      </w:r>
      <w:r>
        <w:rPr>
          <w:rFonts w:ascii="宋体" w:hAnsi="宋体"/>
          <w:szCs w:val="21"/>
        </w:rPr>
        <w:t>1米，经8天方溶化完</w:t>
      </w:r>
      <w:r>
        <w:rPr>
          <w:rFonts w:hint="eastAsia" w:ascii="宋体" w:hAnsi="宋体"/>
          <w:szCs w:val="21"/>
        </w:rPr>
        <w:t>。</w:t>
      </w:r>
    </w:p>
    <w:p w14:paraId="626CECBC">
      <w:pPr>
        <w:ind w:firstLine="420"/>
        <w:rPr>
          <w:rFonts w:ascii="宋体" w:hAnsi="宋体"/>
          <w:szCs w:val="21"/>
        </w:rPr>
      </w:pPr>
      <w:r>
        <w:rPr>
          <w:rFonts w:ascii="宋体" w:hAnsi="宋体"/>
          <w:szCs w:val="21"/>
        </w:rPr>
        <w:t>1978年3月8日，雷雨大风和冰雹，城郊苗圃被雷击死1人，古市、南亩、主</w:t>
      </w:r>
      <w:r>
        <w:rPr>
          <w:rFonts w:hint="eastAsia" w:ascii="宋体" w:hAnsi="宋体"/>
          <w:szCs w:val="21"/>
        </w:rPr>
        <w:t>田、黄坑等乡镇降雹</w:t>
      </w:r>
      <w:r>
        <w:rPr>
          <w:rFonts w:ascii="宋体" w:hAnsi="宋体"/>
          <w:szCs w:val="21"/>
        </w:rPr>
        <w:t>5分钟～10分钟，雹粒直径约2厘米。同年7月16日，珠玑公</w:t>
      </w:r>
      <w:r>
        <w:rPr>
          <w:rFonts w:hint="eastAsia" w:ascii="宋体" w:hAnsi="宋体"/>
          <w:szCs w:val="21"/>
        </w:rPr>
        <w:t>社一带出现暴风雨和冰雹，雹粒如指大，持续</w:t>
      </w:r>
      <w:r>
        <w:rPr>
          <w:rFonts w:ascii="宋体" w:hAnsi="宋体"/>
          <w:szCs w:val="21"/>
        </w:rPr>
        <w:t>10分钟～20分钟，一株大榕树被拔</w:t>
      </w:r>
      <w:r>
        <w:rPr>
          <w:rFonts w:hint="eastAsia" w:ascii="宋体" w:hAnsi="宋体"/>
          <w:szCs w:val="21"/>
        </w:rPr>
        <w:t>倒，倒塌房屋</w:t>
      </w:r>
      <w:r>
        <w:rPr>
          <w:rFonts w:ascii="宋体" w:hAnsi="宋体"/>
          <w:szCs w:val="21"/>
        </w:rPr>
        <w:t>1间，损坏200多间</w:t>
      </w:r>
      <w:r>
        <w:rPr>
          <w:rFonts w:hint="eastAsia" w:ascii="宋体" w:hAnsi="宋体"/>
          <w:szCs w:val="21"/>
        </w:rPr>
        <w:t>。</w:t>
      </w:r>
    </w:p>
    <w:p w14:paraId="6209D275">
      <w:pPr>
        <w:ind w:firstLine="420"/>
        <w:rPr>
          <w:rFonts w:ascii="宋体" w:hAnsi="宋体"/>
          <w:szCs w:val="21"/>
        </w:rPr>
      </w:pPr>
      <w:r>
        <w:rPr>
          <w:rFonts w:ascii="宋体" w:hAnsi="宋体"/>
          <w:szCs w:val="21"/>
        </w:rPr>
        <w:t>1981年4月4日下午4时至6时，暴风雨冰雹袭击界址、新龙、黄坑、乌迳、大塘</w:t>
      </w:r>
      <w:r>
        <w:rPr>
          <w:rFonts w:hint="eastAsia" w:ascii="宋体" w:hAnsi="宋体"/>
          <w:szCs w:val="21"/>
        </w:rPr>
        <w:t>、邓坊、珠玑等</w:t>
      </w:r>
      <w:r>
        <w:rPr>
          <w:rFonts w:ascii="宋体" w:hAnsi="宋体"/>
          <w:szCs w:val="21"/>
        </w:rPr>
        <w:t>14个公社，雹带长达55公里～60公里，宽3公里～5公里，降雹5分钟～10分钟，乌迳、水松雹粒最大，直径10厘米～15厘米。受灾大队74个，12974户，60486</w:t>
      </w:r>
      <w:r>
        <w:rPr>
          <w:rFonts w:hint="eastAsia" w:ascii="宋体" w:hAnsi="宋体"/>
          <w:szCs w:val="21"/>
        </w:rPr>
        <w:t>人，住房倒塌</w:t>
      </w:r>
      <w:r>
        <w:rPr>
          <w:rFonts w:ascii="宋体" w:hAnsi="宋体"/>
          <w:szCs w:val="21"/>
        </w:rPr>
        <w:t>117间，损坏103</w:t>
      </w:r>
      <w:r>
        <w:rPr>
          <w:rFonts w:hint="eastAsia" w:ascii="宋体" w:hAnsi="宋体"/>
          <w:szCs w:val="21"/>
        </w:rPr>
        <w:t>4</w:t>
      </w:r>
      <w:r>
        <w:rPr>
          <w:rFonts w:ascii="宋体" w:hAnsi="宋体"/>
          <w:szCs w:val="21"/>
        </w:rPr>
        <w:t>4间，牛栏、厕所倒塌44间，损坏1871间，烤烟房倒塌13间，损坏291间，折断电话线杆538条，死亡5人，重伤13人。</w:t>
      </w:r>
    </w:p>
    <w:p w14:paraId="2DD61735">
      <w:pPr>
        <w:ind w:firstLine="420"/>
        <w:rPr>
          <w:rFonts w:ascii="宋体" w:hAnsi="宋体"/>
          <w:szCs w:val="21"/>
        </w:rPr>
      </w:pPr>
      <w:r>
        <w:rPr>
          <w:rFonts w:ascii="宋体" w:hAnsi="宋体"/>
          <w:szCs w:val="21"/>
        </w:rPr>
        <w:t>1982年3月5日上午10时45分，黄坑公社狂风暴雨达20分钟，受灾大队7个，</w:t>
      </w:r>
      <w:r>
        <w:rPr>
          <w:rFonts w:hint="eastAsia" w:ascii="宋体" w:hAnsi="宋体"/>
          <w:szCs w:val="21"/>
        </w:rPr>
        <w:t>生产队</w:t>
      </w:r>
      <w:r>
        <w:rPr>
          <w:rFonts w:ascii="宋体" w:hAnsi="宋体"/>
          <w:szCs w:val="21"/>
        </w:rPr>
        <w:t>48个，死1人，伤9人，房屋倒塌10间，损坏2508间，烟寮损坏116间，毁</w:t>
      </w:r>
      <w:r>
        <w:rPr>
          <w:rFonts w:hint="eastAsia" w:ascii="宋体" w:hAnsi="宋体"/>
          <w:szCs w:val="21"/>
        </w:rPr>
        <w:t>坏电话线杆</w:t>
      </w:r>
      <w:r>
        <w:rPr>
          <w:rFonts w:ascii="宋体" w:hAnsi="宋体"/>
          <w:szCs w:val="21"/>
        </w:rPr>
        <w:t>68条，毁坏黄烟20.67公顷。</w:t>
      </w:r>
    </w:p>
    <w:p w14:paraId="6EE01188">
      <w:pPr>
        <w:ind w:firstLine="420"/>
        <w:rPr>
          <w:rFonts w:ascii="宋体" w:hAnsi="宋体"/>
          <w:szCs w:val="21"/>
        </w:rPr>
      </w:pPr>
      <w:r>
        <w:rPr>
          <w:rFonts w:ascii="宋体" w:hAnsi="宋体"/>
          <w:szCs w:val="21"/>
        </w:rPr>
        <w:t>1983年4月29日凌晨2时30分至5时，7级大风和9级阵风袭击黄坑、邓坊、</w:t>
      </w:r>
      <w:r>
        <w:rPr>
          <w:rFonts w:hint="eastAsia" w:ascii="宋体" w:hAnsi="宋体"/>
          <w:szCs w:val="21"/>
        </w:rPr>
        <w:t>大塘、乌迳、孔江、新龙、界址、珠玑、城镇等</w:t>
      </w:r>
      <w:r>
        <w:rPr>
          <w:rFonts w:ascii="宋体" w:hAnsi="宋体"/>
          <w:szCs w:val="21"/>
        </w:rPr>
        <w:t>10个公社，有60个大队受灾，其中</w:t>
      </w:r>
      <w:r>
        <w:rPr>
          <w:rFonts w:hint="eastAsia" w:ascii="宋体" w:hAnsi="宋体"/>
          <w:szCs w:val="21"/>
        </w:rPr>
        <w:t>严重的有</w:t>
      </w:r>
      <w:r>
        <w:rPr>
          <w:rFonts w:ascii="宋体" w:hAnsi="宋体"/>
          <w:szCs w:val="21"/>
        </w:rPr>
        <w:t>19个大队，倒塌房屋88间，牛猪栏、厕所212间，烟寮33间，学校课室98间（计6800平方米）其他房子188间</w:t>
      </w:r>
      <w:r>
        <w:rPr>
          <w:rFonts w:hint="eastAsia" w:ascii="宋体" w:hAnsi="宋体"/>
          <w:szCs w:val="21"/>
        </w:rPr>
        <w:t>。</w:t>
      </w:r>
    </w:p>
    <w:p w14:paraId="37137EF2">
      <w:pPr>
        <w:ind w:firstLine="420"/>
        <w:rPr>
          <w:rFonts w:ascii="宋体" w:hAnsi="宋体"/>
          <w:szCs w:val="21"/>
        </w:rPr>
      </w:pPr>
      <w:r>
        <w:rPr>
          <w:rFonts w:ascii="宋体" w:hAnsi="宋体"/>
          <w:szCs w:val="21"/>
        </w:rPr>
        <w:t>1984年4月4日晚，县城及郊区降雹3分钟，雹粒直径3厘米～5厘米，气象站</w:t>
      </w:r>
      <w:r>
        <w:rPr>
          <w:rFonts w:hint="eastAsia" w:ascii="宋体" w:hAnsi="宋体"/>
          <w:szCs w:val="21"/>
        </w:rPr>
        <w:t>围墙倒塌</w:t>
      </w:r>
      <w:r>
        <w:rPr>
          <w:rFonts w:ascii="宋体" w:hAnsi="宋体"/>
          <w:szCs w:val="21"/>
        </w:rPr>
        <w:t>50米</w:t>
      </w:r>
      <w:r>
        <w:rPr>
          <w:rFonts w:hint="eastAsia" w:ascii="宋体" w:hAnsi="宋体"/>
          <w:szCs w:val="21"/>
        </w:rPr>
        <w:t>。</w:t>
      </w:r>
    </w:p>
    <w:p w14:paraId="11A793AC">
      <w:pPr>
        <w:ind w:firstLine="420"/>
        <w:rPr>
          <w:rFonts w:ascii="宋体" w:hAnsi="宋体"/>
          <w:szCs w:val="21"/>
        </w:rPr>
      </w:pPr>
      <w:r>
        <w:rPr>
          <w:rFonts w:ascii="宋体" w:hAnsi="宋体"/>
          <w:szCs w:val="21"/>
        </w:rPr>
        <w:t>1984年7月30日，全安区的全安乡、杨历乡，城镇的莲塘乡一带受龙卷风袭</w:t>
      </w:r>
      <w:r>
        <w:rPr>
          <w:rFonts w:hint="eastAsia" w:ascii="宋体" w:hAnsi="宋体"/>
          <w:szCs w:val="21"/>
        </w:rPr>
        <w:t>击，倒塌房屋</w:t>
      </w:r>
      <w:r>
        <w:rPr>
          <w:rFonts w:ascii="宋体" w:hAnsi="宋体"/>
          <w:szCs w:val="21"/>
        </w:rPr>
        <w:t>152间，窑棚31间，课室3间，中学礼堂1间，围墙1607米，电线杆60根，损失稻谷19500公斤，死4人，重伤9人，轻伤103人</w:t>
      </w:r>
      <w:r>
        <w:rPr>
          <w:rFonts w:hint="eastAsia" w:ascii="宋体" w:hAnsi="宋体"/>
          <w:szCs w:val="21"/>
        </w:rPr>
        <w:t>。</w:t>
      </w:r>
    </w:p>
    <w:p w14:paraId="60FEACC2">
      <w:pPr>
        <w:ind w:firstLine="420"/>
        <w:rPr>
          <w:rFonts w:ascii="宋体" w:hAnsi="宋体"/>
          <w:szCs w:val="21"/>
        </w:rPr>
      </w:pPr>
      <w:r>
        <w:rPr>
          <w:rFonts w:ascii="宋体" w:hAnsi="宋体"/>
          <w:szCs w:val="21"/>
        </w:rPr>
        <w:t>1984年7月31日，龙卷风袭击乌迳、界址、邓坊、水口、湖口、梅岭、主田</w:t>
      </w:r>
      <w:r>
        <w:rPr>
          <w:rFonts w:hint="eastAsia" w:ascii="宋体" w:hAnsi="宋体"/>
          <w:szCs w:val="21"/>
        </w:rPr>
        <w:t>、古市、黎口等部分地区，倒塌房屋</w:t>
      </w:r>
      <w:r>
        <w:rPr>
          <w:rFonts w:ascii="宋体" w:hAnsi="宋体"/>
          <w:szCs w:val="21"/>
        </w:rPr>
        <w:t>29间，烟寮8间，杂房12间，折断电话线、高压</w:t>
      </w:r>
      <w:r>
        <w:rPr>
          <w:rFonts w:hint="eastAsia" w:ascii="宋体" w:hAnsi="宋体"/>
          <w:szCs w:val="21"/>
        </w:rPr>
        <w:t>线杆</w:t>
      </w:r>
      <w:r>
        <w:rPr>
          <w:rFonts w:ascii="宋体" w:hAnsi="宋体"/>
          <w:szCs w:val="21"/>
        </w:rPr>
        <w:t>23根</w:t>
      </w:r>
      <w:r>
        <w:rPr>
          <w:rFonts w:hint="eastAsia" w:ascii="宋体" w:hAnsi="宋体"/>
          <w:szCs w:val="21"/>
        </w:rPr>
        <w:t>。</w:t>
      </w:r>
    </w:p>
    <w:p w14:paraId="5B51D80B">
      <w:pPr>
        <w:ind w:firstLine="420"/>
        <w:rPr>
          <w:rFonts w:ascii="宋体" w:hAnsi="宋体"/>
          <w:szCs w:val="21"/>
        </w:rPr>
      </w:pPr>
      <w:r>
        <w:rPr>
          <w:rFonts w:ascii="宋体" w:hAnsi="宋体"/>
          <w:szCs w:val="21"/>
        </w:rPr>
        <w:t>1984年8月7日，龙卷风袭击珠玑区祇芫乡，倒塌房屋22间，烟寮2间，其他</w:t>
      </w:r>
      <w:r>
        <w:rPr>
          <w:rFonts w:hint="eastAsia" w:ascii="宋体" w:hAnsi="宋体"/>
          <w:szCs w:val="21"/>
        </w:rPr>
        <w:t>杂房</w:t>
      </w:r>
      <w:r>
        <w:rPr>
          <w:rFonts w:ascii="宋体" w:hAnsi="宋体"/>
          <w:szCs w:val="21"/>
        </w:rPr>
        <w:t>24间，死2人，伤20人</w:t>
      </w:r>
      <w:r>
        <w:rPr>
          <w:rFonts w:hint="eastAsia" w:ascii="宋体" w:hAnsi="宋体"/>
          <w:szCs w:val="21"/>
        </w:rPr>
        <w:t>。</w:t>
      </w:r>
    </w:p>
    <w:p w14:paraId="6D124842">
      <w:pPr>
        <w:ind w:firstLine="420"/>
        <w:rPr>
          <w:rFonts w:ascii="宋体" w:hAnsi="宋体"/>
          <w:szCs w:val="21"/>
        </w:rPr>
      </w:pPr>
      <w:r>
        <w:rPr>
          <w:rFonts w:ascii="宋体" w:hAnsi="宋体"/>
          <w:szCs w:val="21"/>
        </w:rPr>
        <w:t>1985年3月27日晚，黄坑、大塘、乌迳、百顺、黎口、全安等6个区和城关镇</w:t>
      </w:r>
      <w:r>
        <w:rPr>
          <w:rFonts w:hint="eastAsia" w:ascii="宋体" w:hAnsi="宋体"/>
          <w:szCs w:val="21"/>
        </w:rPr>
        <w:t>出现剧烈的雷雨大风和冰雹，最大风力达</w:t>
      </w:r>
      <w:r>
        <w:rPr>
          <w:rFonts w:ascii="宋体" w:hAnsi="宋体"/>
          <w:szCs w:val="21"/>
        </w:rPr>
        <w:t>11级～12级，冰雹直径3厘米～5厘米，</w:t>
      </w:r>
      <w:r>
        <w:rPr>
          <w:rFonts w:hint="eastAsia" w:ascii="宋体" w:hAnsi="宋体"/>
          <w:szCs w:val="21"/>
        </w:rPr>
        <w:t>大的</w:t>
      </w:r>
      <w:r>
        <w:rPr>
          <w:rFonts w:ascii="宋体" w:hAnsi="宋体"/>
          <w:szCs w:val="21"/>
        </w:rPr>
        <w:t>30厘米。受灾55个乡，其中重灾16个村，30多平方公里，2044户，11100多</w:t>
      </w:r>
      <w:r>
        <w:rPr>
          <w:rFonts w:hint="eastAsia" w:ascii="宋体" w:hAnsi="宋体"/>
          <w:szCs w:val="21"/>
        </w:rPr>
        <w:t>人，倒塌房屋</w:t>
      </w:r>
      <w:r>
        <w:rPr>
          <w:rFonts w:ascii="宋体" w:hAnsi="宋体"/>
          <w:szCs w:val="21"/>
        </w:rPr>
        <w:t>668间，杂屋1400多间。因塌屋压死9人，伤58人。大风刮倒黄烟4</w:t>
      </w:r>
      <w:r>
        <w:rPr>
          <w:rFonts w:hint="eastAsia" w:ascii="宋体" w:hAnsi="宋体"/>
          <w:szCs w:val="21"/>
        </w:rPr>
        <w:t>2</w:t>
      </w:r>
      <w:r>
        <w:rPr>
          <w:rFonts w:ascii="宋体" w:hAnsi="宋体"/>
          <w:szCs w:val="21"/>
        </w:rPr>
        <w:t>2.</w:t>
      </w:r>
      <w:r>
        <w:rPr>
          <w:rFonts w:hint="eastAsia" w:ascii="宋体" w:hAnsi="宋体"/>
          <w:szCs w:val="21"/>
        </w:rPr>
        <w:t>9</w:t>
      </w:r>
      <w:r>
        <w:rPr>
          <w:rFonts w:ascii="宋体" w:hAnsi="宋体"/>
          <w:szCs w:val="21"/>
        </w:rPr>
        <w:t>3</w:t>
      </w:r>
      <w:r>
        <w:rPr>
          <w:rFonts w:hint="eastAsia" w:ascii="宋体" w:hAnsi="宋体"/>
          <w:szCs w:val="21"/>
        </w:rPr>
        <w:t>%</w:t>
      </w:r>
      <w:r>
        <w:rPr>
          <w:rFonts w:ascii="宋体" w:hAnsi="宋体"/>
          <w:szCs w:val="21"/>
        </w:rPr>
        <w:t>公顷，拨木25169株，折断水泥电线杆422根，受灾损失300多万元。省市领</w:t>
      </w:r>
      <w:r>
        <w:rPr>
          <w:rFonts w:hint="eastAsia" w:ascii="宋体" w:hAnsi="宋体"/>
          <w:szCs w:val="21"/>
        </w:rPr>
        <w:t>导亲临视察指导救灾。</w:t>
      </w:r>
    </w:p>
    <w:p w14:paraId="34D454B9">
      <w:pPr>
        <w:ind w:firstLine="420"/>
        <w:rPr>
          <w:rFonts w:ascii="宋体" w:hAnsi="宋体"/>
          <w:szCs w:val="21"/>
        </w:rPr>
      </w:pPr>
      <w:r>
        <w:rPr>
          <w:rFonts w:ascii="宋体" w:hAnsi="宋体"/>
          <w:szCs w:val="21"/>
        </w:rPr>
        <w:t>1991年6月5日20时、6日下午1时，新龙、坪田、主田、古市等乡镇遭暴风</w:t>
      </w:r>
      <w:r>
        <w:rPr>
          <w:rFonts w:hint="eastAsia" w:ascii="宋体" w:hAnsi="宋体"/>
          <w:szCs w:val="21"/>
        </w:rPr>
        <w:t>雨和冰雹袭击，受灾</w:t>
      </w:r>
      <w:r>
        <w:rPr>
          <w:rFonts w:ascii="宋体" w:hAnsi="宋体"/>
          <w:szCs w:val="21"/>
        </w:rPr>
        <w:t>21个行政村，2562户，倒塌房屋13间，毁坏瓦面713间，雷击</w:t>
      </w:r>
      <w:r>
        <w:rPr>
          <w:rFonts w:hint="eastAsia" w:ascii="宋体" w:hAnsi="宋体"/>
          <w:szCs w:val="21"/>
        </w:rPr>
        <w:t>伤</w:t>
      </w:r>
      <w:r>
        <w:rPr>
          <w:rFonts w:ascii="宋体" w:hAnsi="宋体"/>
          <w:szCs w:val="21"/>
        </w:rPr>
        <w:t>4人，受灾农作物314.4公顷，直接经济损失124万元</w:t>
      </w:r>
      <w:r>
        <w:rPr>
          <w:rFonts w:hint="eastAsia" w:ascii="宋体" w:hAnsi="宋体"/>
          <w:szCs w:val="21"/>
        </w:rPr>
        <w:t>。</w:t>
      </w:r>
    </w:p>
    <w:p w14:paraId="500E0004">
      <w:pPr>
        <w:ind w:firstLine="420"/>
        <w:rPr>
          <w:rFonts w:ascii="宋体" w:hAnsi="宋体"/>
          <w:szCs w:val="21"/>
        </w:rPr>
      </w:pPr>
      <w:r>
        <w:rPr>
          <w:rFonts w:ascii="宋体" w:hAnsi="宋体"/>
          <w:szCs w:val="21"/>
        </w:rPr>
        <w:t>2</w:t>
      </w:r>
      <w:r>
        <w:rPr>
          <w:rFonts w:hint="eastAsia" w:ascii="宋体" w:hAnsi="宋体"/>
          <w:szCs w:val="21"/>
        </w:rPr>
        <w:t>0</w:t>
      </w:r>
      <w:r>
        <w:rPr>
          <w:rFonts w:ascii="宋体" w:hAnsi="宋体"/>
          <w:szCs w:val="21"/>
        </w:rPr>
        <w:t>03年4月13日，普降暴雨，湖口、珠玑、黎口、水口等乡镇出现雷雨大风、</w:t>
      </w:r>
      <w:r>
        <w:rPr>
          <w:rFonts w:hint="eastAsia" w:ascii="宋体" w:hAnsi="宋体"/>
          <w:szCs w:val="21"/>
        </w:rPr>
        <w:t>冰雹，黄烟受灾</w:t>
      </w:r>
      <w:r>
        <w:rPr>
          <w:rFonts w:ascii="宋体" w:hAnsi="宋体"/>
          <w:szCs w:val="21"/>
        </w:rPr>
        <w:t>7600公顷，倒塌房屋277间，山体滑坡467处，直接经济损失3530</w:t>
      </w:r>
      <w:r>
        <w:rPr>
          <w:rFonts w:hint="eastAsia" w:ascii="宋体" w:hAnsi="宋体"/>
          <w:szCs w:val="21"/>
        </w:rPr>
        <w:t>万元。</w:t>
      </w:r>
    </w:p>
    <w:p w14:paraId="6C50300E">
      <w:pPr>
        <w:ind w:firstLine="420"/>
        <w:rPr>
          <w:rFonts w:ascii="宋体" w:hAnsi="宋体"/>
          <w:szCs w:val="21"/>
        </w:rPr>
      </w:pPr>
      <w:r>
        <w:rPr>
          <w:rFonts w:ascii="宋体" w:hAnsi="宋体"/>
          <w:szCs w:val="21"/>
        </w:rPr>
        <w:t>2005年5月1日、5日，古市、主田出现大风、冰雹、黄烟受灾86.67公顷，房</w:t>
      </w:r>
      <w:r>
        <w:rPr>
          <w:rFonts w:hint="eastAsia" w:ascii="宋体" w:hAnsi="宋体"/>
          <w:szCs w:val="21"/>
        </w:rPr>
        <w:t>屋受损</w:t>
      </w:r>
      <w:r>
        <w:rPr>
          <w:rFonts w:ascii="宋体" w:hAnsi="宋体"/>
          <w:szCs w:val="21"/>
        </w:rPr>
        <w:t>1750间。</w:t>
      </w:r>
    </w:p>
    <w:p w14:paraId="17FCA19C">
      <w:pPr>
        <w:pStyle w:val="5"/>
        <w:rPr>
          <w:rFonts w:ascii="宋体" w:hAnsi="宋体"/>
        </w:rPr>
      </w:pPr>
      <w:r>
        <w:rPr>
          <w:rFonts w:hint="eastAsia" w:ascii="宋体" w:hAnsi="宋体"/>
        </w:rPr>
        <w:t>四、寒潮</w:t>
      </w:r>
    </w:p>
    <w:p w14:paraId="255AE2BF">
      <w:pPr>
        <w:ind w:firstLine="420"/>
        <w:rPr>
          <w:rFonts w:ascii="宋体" w:hAnsi="宋体"/>
          <w:szCs w:val="21"/>
        </w:rPr>
      </w:pPr>
      <w:r>
        <w:rPr>
          <w:rFonts w:hint="eastAsia" w:ascii="宋体" w:hAnsi="宋体"/>
          <w:szCs w:val="21"/>
        </w:rPr>
        <w:t>新中国成立前的灾害性寒潮文献失载。</w:t>
      </w:r>
    </w:p>
    <w:p w14:paraId="564840B2">
      <w:pPr>
        <w:ind w:firstLine="420"/>
        <w:rPr>
          <w:rFonts w:ascii="宋体" w:hAnsi="宋体"/>
          <w:szCs w:val="21"/>
        </w:rPr>
      </w:pPr>
      <w:r>
        <w:rPr>
          <w:rFonts w:ascii="宋体" w:hAnsi="宋体"/>
          <w:szCs w:val="21"/>
        </w:rPr>
        <w:t>1975年12月4日，大雪，积雪平均深度15厘米，百顺山区达32厘米，连续7</w:t>
      </w:r>
      <w:r>
        <w:rPr>
          <w:rFonts w:hint="eastAsia" w:ascii="宋体" w:hAnsi="宋体"/>
          <w:szCs w:val="21"/>
        </w:rPr>
        <w:t>天气温在</w:t>
      </w:r>
      <w:r>
        <w:rPr>
          <w:rFonts w:ascii="宋体" w:hAnsi="宋体"/>
          <w:szCs w:val="21"/>
        </w:rPr>
        <w:t>0℃以下，连续出现12天霜冻。耕牛冻死62头，烟苗冻死30%～40%</w:t>
      </w:r>
      <w:r>
        <w:rPr>
          <w:rFonts w:hint="eastAsia" w:ascii="宋体" w:hAnsi="宋体"/>
          <w:szCs w:val="21"/>
        </w:rPr>
        <w:t>。</w:t>
      </w:r>
    </w:p>
    <w:p w14:paraId="6A3F142B">
      <w:pPr>
        <w:ind w:firstLine="420"/>
        <w:rPr>
          <w:rFonts w:ascii="宋体" w:hAnsi="宋体"/>
          <w:szCs w:val="21"/>
        </w:rPr>
      </w:pPr>
      <w:r>
        <w:rPr>
          <w:rFonts w:ascii="宋体" w:hAnsi="宋体"/>
          <w:szCs w:val="21"/>
        </w:rPr>
        <w:t>1976年3月18日寒潮入侵本县，低温阴雨延至4月6日，全县烂秧3850.6公</w:t>
      </w:r>
      <w:r>
        <w:rPr>
          <w:rFonts w:hint="eastAsia" w:ascii="宋体" w:hAnsi="宋体"/>
          <w:szCs w:val="21"/>
        </w:rPr>
        <w:t>顷，补播禾种</w:t>
      </w:r>
      <w:r>
        <w:rPr>
          <w:rFonts w:ascii="宋体" w:hAnsi="宋体"/>
          <w:szCs w:val="21"/>
        </w:rPr>
        <w:t>2250吨。插秧季节推迟20天～30天。</w:t>
      </w:r>
    </w:p>
    <w:p w14:paraId="6BCA557C">
      <w:pPr>
        <w:ind w:firstLine="420"/>
        <w:rPr>
          <w:rFonts w:ascii="宋体" w:hAnsi="宋体"/>
          <w:szCs w:val="21"/>
        </w:rPr>
      </w:pPr>
      <w:r>
        <w:rPr>
          <w:rFonts w:ascii="宋体" w:hAnsi="宋体"/>
          <w:szCs w:val="21"/>
        </w:rPr>
        <w:t>1977年1月26日起，连续4天出现雨夹雪，道路积冰雪，山区公路交通中断2</w:t>
      </w:r>
      <w:r>
        <w:rPr>
          <w:rFonts w:hint="eastAsia" w:ascii="宋体" w:hAnsi="宋体"/>
          <w:szCs w:val="21"/>
        </w:rPr>
        <w:t>天</w:t>
      </w:r>
      <w:r>
        <w:rPr>
          <w:rFonts w:ascii="宋体" w:hAnsi="宋体"/>
          <w:szCs w:val="21"/>
        </w:rPr>
        <w:t>～3天。</w:t>
      </w:r>
    </w:p>
    <w:p w14:paraId="4342EAA8">
      <w:pPr>
        <w:ind w:firstLine="420"/>
        <w:rPr>
          <w:rFonts w:ascii="宋体" w:hAnsi="宋体"/>
          <w:szCs w:val="21"/>
        </w:rPr>
      </w:pPr>
      <w:r>
        <w:rPr>
          <w:rFonts w:hint="eastAsia" w:ascii="宋体" w:hAnsi="宋体"/>
          <w:szCs w:val="21"/>
        </w:rPr>
        <w:t>1</w:t>
      </w:r>
      <w:r>
        <w:rPr>
          <w:rFonts w:ascii="宋体" w:hAnsi="宋体"/>
          <w:szCs w:val="21"/>
        </w:rPr>
        <w:t>980年1月29日，大雪、山区积雪10多厘米，冻死耕牛130多头，交通中断4天。</w:t>
      </w:r>
    </w:p>
    <w:p w14:paraId="78D55433">
      <w:pPr>
        <w:ind w:firstLine="420"/>
        <w:rPr>
          <w:rFonts w:ascii="宋体" w:hAnsi="宋体"/>
          <w:szCs w:val="21"/>
        </w:rPr>
      </w:pPr>
      <w:r>
        <w:rPr>
          <w:rFonts w:ascii="宋体" w:hAnsi="宋体"/>
          <w:szCs w:val="21"/>
        </w:rPr>
        <w:t>1996年2月18日至21日，强寒潮袭来，普降雨夹雪，市区积雪深1厘米。受灾11个镇，倒电杆1309根，损变压器27台，电话线杆倒423根，公路塌126处，毛竹</w:t>
      </w:r>
      <w:r>
        <w:rPr>
          <w:rFonts w:hint="eastAsia" w:ascii="宋体" w:hAnsi="宋体"/>
          <w:szCs w:val="21"/>
        </w:rPr>
        <w:t>损毁一大批，经济损失</w:t>
      </w:r>
      <w:r>
        <w:rPr>
          <w:rFonts w:ascii="宋体" w:hAnsi="宋体"/>
          <w:szCs w:val="21"/>
        </w:rPr>
        <w:t>1.84亿元。</w:t>
      </w:r>
    </w:p>
    <w:p w14:paraId="2E4A10B6">
      <w:pPr>
        <w:ind w:firstLine="420"/>
        <w:rPr>
          <w:rFonts w:ascii="宋体" w:hAnsi="宋体"/>
          <w:szCs w:val="21"/>
        </w:rPr>
      </w:pPr>
      <w:r>
        <w:rPr>
          <w:rFonts w:ascii="宋体" w:hAnsi="宋体"/>
          <w:szCs w:val="21"/>
        </w:rPr>
        <w:t>1999年12月21日至27日，强冷空气入侵，气温、地温急剧下降，出现长达</w:t>
      </w:r>
      <w:r>
        <w:rPr>
          <w:rFonts w:hint="eastAsia" w:ascii="宋体" w:hAnsi="宋体"/>
          <w:szCs w:val="21"/>
        </w:rPr>
        <w:t>一周的霜冻天气，其中冰冻</w:t>
      </w:r>
      <w:r>
        <w:rPr>
          <w:rFonts w:ascii="宋体" w:hAnsi="宋体"/>
          <w:szCs w:val="21"/>
        </w:rPr>
        <w:t>4天，花卉、果苗死亡殆尽。</w:t>
      </w:r>
    </w:p>
    <w:p w14:paraId="58183668">
      <w:pPr>
        <w:ind w:firstLine="420"/>
        <w:rPr>
          <w:rFonts w:ascii="宋体" w:hAnsi="宋体"/>
          <w:szCs w:val="21"/>
        </w:rPr>
      </w:pPr>
      <w:r>
        <w:rPr>
          <w:rFonts w:ascii="宋体" w:hAnsi="宋体"/>
          <w:szCs w:val="21"/>
        </w:rPr>
        <w:t>2002年12月26日晚11时至次日凌晨7时半，普降鹅毛大雪，市区积雪厚达1.5厘米～2厘米，山区积雪达10厘米以上，是南雄20年来最大一次。</w:t>
      </w:r>
    </w:p>
    <w:p w14:paraId="24EB6A3D">
      <w:pPr>
        <w:pStyle w:val="5"/>
        <w:rPr>
          <w:rFonts w:ascii="宋体" w:hAnsi="宋体"/>
        </w:rPr>
      </w:pPr>
      <w:r>
        <w:rPr>
          <w:rFonts w:hint="eastAsia" w:ascii="宋体" w:hAnsi="宋体"/>
        </w:rPr>
        <w:t>五、地震</w:t>
      </w:r>
    </w:p>
    <w:p w14:paraId="3D33598D">
      <w:pPr>
        <w:ind w:firstLine="420"/>
        <w:rPr>
          <w:rFonts w:ascii="宋体" w:hAnsi="宋体"/>
          <w:szCs w:val="21"/>
        </w:rPr>
      </w:pPr>
      <w:r>
        <w:rPr>
          <w:rFonts w:hint="eastAsia" w:ascii="宋体" w:hAnsi="宋体"/>
          <w:szCs w:val="21"/>
        </w:rPr>
        <w:t>南雄市历年地震活动情况见</w:t>
      </w:r>
      <w:r>
        <w:rPr>
          <w:rFonts w:ascii="宋体" w:hAnsi="宋体"/>
          <w:szCs w:val="21"/>
        </w:rPr>
        <w:t>1-6。</w:t>
      </w:r>
    </w:p>
    <w:p w14:paraId="67F51E40">
      <w:pPr>
        <w:ind w:firstLine="0" w:firstLineChars="0"/>
        <w:jc w:val="center"/>
        <w:rPr>
          <w:rFonts w:ascii="宋体" w:hAnsi="宋体"/>
          <w:b/>
          <w:szCs w:val="21"/>
        </w:rPr>
      </w:pPr>
      <w:r>
        <w:rPr>
          <w:rFonts w:hint="eastAsia" w:ascii="宋体" w:hAnsi="宋体"/>
          <w:b/>
          <w:szCs w:val="21"/>
        </w:rPr>
        <w:t>南雄县历年地震活动情况</w:t>
      </w:r>
    </w:p>
    <w:p w14:paraId="379CD1E1">
      <w:pPr>
        <w:ind w:firstLine="0" w:firstLineChars="0"/>
        <w:rPr>
          <w:rFonts w:ascii="宋体" w:hAnsi="宋体"/>
          <w:b/>
          <w:szCs w:val="21"/>
        </w:rPr>
      </w:pPr>
      <w:r>
        <w:rPr>
          <w:rFonts w:hint="eastAsia" w:ascii="宋体" w:hAnsi="宋体"/>
          <w:b/>
          <w:szCs w:val="21"/>
        </w:rPr>
        <w:t>表</w:t>
      </w:r>
      <w:r>
        <w:rPr>
          <w:rFonts w:ascii="宋体" w:hAnsi="宋体"/>
          <w:b/>
          <w:szCs w:val="21"/>
        </w:rPr>
        <w:t>1-6</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02"/>
        <w:gridCol w:w="2551"/>
        <w:gridCol w:w="2118"/>
        <w:gridCol w:w="2491"/>
      </w:tblGrid>
      <w:tr w14:paraId="3B36D0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06" w:type="pct"/>
            <w:vAlign w:val="center"/>
          </w:tcPr>
          <w:p w14:paraId="622CB901">
            <w:pPr>
              <w:pStyle w:val="12"/>
              <w:jc w:val="center"/>
              <w:rPr>
                <w:rFonts w:ascii="宋体" w:hAnsi="宋体"/>
                <w:b/>
              </w:rPr>
            </w:pPr>
            <w:r>
              <w:rPr>
                <w:rFonts w:hint="eastAsia" w:ascii="宋体" w:hAnsi="宋体"/>
                <w:b/>
              </w:rPr>
              <w:t>时        间</w:t>
            </w:r>
          </w:p>
        </w:tc>
        <w:tc>
          <w:tcPr>
            <w:tcW w:w="1280" w:type="pct"/>
            <w:vAlign w:val="center"/>
          </w:tcPr>
          <w:p w14:paraId="7911D610">
            <w:pPr>
              <w:pStyle w:val="12"/>
              <w:jc w:val="center"/>
              <w:rPr>
                <w:rFonts w:ascii="宋体" w:hAnsi="宋体"/>
                <w:b/>
              </w:rPr>
            </w:pPr>
            <w:r>
              <w:rPr>
                <w:rFonts w:hint="eastAsia" w:ascii="宋体" w:hAnsi="宋体"/>
                <w:b/>
              </w:rPr>
              <w:t>震  中  位  置</w:t>
            </w:r>
          </w:p>
        </w:tc>
        <w:tc>
          <w:tcPr>
            <w:tcW w:w="1063" w:type="pct"/>
            <w:vAlign w:val="center"/>
          </w:tcPr>
          <w:p w14:paraId="10CDE932">
            <w:pPr>
              <w:pStyle w:val="12"/>
              <w:jc w:val="center"/>
              <w:rPr>
                <w:rFonts w:ascii="宋体" w:hAnsi="宋体"/>
                <w:b/>
              </w:rPr>
            </w:pPr>
            <w:r>
              <w:rPr>
                <w:rFonts w:hint="eastAsia" w:ascii="宋体" w:hAnsi="宋体"/>
                <w:b/>
              </w:rPr>
              <w:t>震级</w:t>
            </w:r>
          </w:p>
        </w:tc>
        <w:tc>
          <w:tcPr>
            <w:tcW w:w="1250" w:type="pct"/>
            <w:vAlign w:val="center"/>
          </w:tcPr>
          <w:p w14:paraId="42053460">
            <w:pPr>
              <w:pStyle w:val="12"/>
              <w:jc w:val="center"/>
              <w:rPr>
                <w:rFonts w:ascii="宋体" w:hAnsi="宋体"/>
                <w:b/>
              </w:rPr>
            </w:pPr>
            <w:r>
              <w:rPr>
                <w:rFonts w:hint="eastAsia" w:ascii="宋体" w:hAnsi="宋体"/>
                <w:b/>
              </w:rPr>
              <w:t>烈        度</w:t>
            </w:r>
          </w:p>
        </w:tc>
      </w:tr>
      <w:tr w14:paraId="3F09D1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06" w:type="pct"/>
            <w:vAlign w:val="center"/>
          </w:tcPr>
          <w:p w14:paraId="27279C41">
            <w:pPr>
              <w:pStyle w:val="12"/>
              <w:jc w:val="left"/>
              <w:rPr>
                <w:rFonts w:ascii="宋体" w:hAnsi="宋体"/>
              </w:rPr>
            </w:pPr>
            <w:r>
              <w:rPr>
                <w:rFonts w:hint="eastAsia" w:ascii="宋体" w:hAnsi="宋体"/>
              </w:rPr>
              <w:t>1362年4月</w:t>
            </w:r>
          </w:p>
        </w:tc>
        <w:tc>
          <w:tcPr>
            <w:tcW w:w="1280" w:type="pct"/>
            <w:vAlign w:val="center"/>
          </w:tcPr>
          <w:p w14:paraId="5A08BDBC">
            <w:pPr>
              <w:pStyle w:val="12"/>
              <w:jc w:val="left"/>
              <w:rPr>
                <w:rFonts w:ascii="宋体" w:hAnsi="宋体"/>
              </w:rPr>
            </w:pPr>
            <w:r>
              <w:rPr>
                <w:rFonts w:hint="eastAsia" w:ascii="宋体" w:hAnsi="宋体"/>
              </w:rPr>
              <w:t>南    雄</w:t>
            </w:r>
          </w:p>
        </w:tc>
        <w:tc>
          <w:tcPr>
            <w:tcW w:w="1063" w:type="pct"/>
            <w:vAlign w:val="center"/>
          </w:tcPr>
          <w:p w14:paraId="5F42D5D2">
            <w:pPr>
              <w:pStyle w:val="12"/>
              <w:jc w:val="center"/>
              <w:rPr>
                <w:rFonts w:ascii="宋体" w:hAnsi="宋体"/>
              </w:rPr>
            </w:pPr>
            <w:r>
              <w:rPr>
                <w:rFonts w:hint="eastAsia" w:ascii="宋体" w:hAnsi="宋体"/>
              </w:rPr>
              <w:t>3.5级</w:t>
            </w:r>
          </w:p>
        </w:tc>
        <w:tc>
          <w:tcPr>
            <w:tcW w:w="1250" w:type="pct"/>
            <w:vAlign w:val="center"/>
          </w:tcPr>
          <w:p w14:paraId="143ADAE8">
            <w:pPr>
              <w:pStyle w:val="12"/>
              <w:jc w:val="left"/>
              <w:rPr>
                <w:rFonts w:ascii="宋体" w:hAnsi="宋体"/>
              </w:rPr>
            </w:pPr>
            <w:r>
              <w:rPr>
                <w:rFonts w:hint="eastAsia" w:ascii="宋体" w:hAnsi="宋体"/>
              </w:rPr>
              <w:t>—</w:t>
            </w:r>
          </w:p>
        </w:tc>
      </w:tr>
      <w:tr w14:paraId="6E81CE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06" w:type="pct"/>
            <w:vAlign w:val="center"/>
          </w:tcPr>
          <w:p w14:paraId="1EF88C46">
            <w:pPr>
              <w:pStyle w:val="12"/>
              <w:jc w:val="left"/>
              <w:rPr>
                <w:rFonts w:ascii="宋体" w:hAnsi="宋体"/>
              </w:rPr>
            </w:pPr>
            <w:r>
              <w:rPr>
                <w:rFonts w:hint="eastAsia" w:ascii="宋体" w:hAnsi="宋体"/>
              </w:rPr>
              <w:t>1681年2月6日</w:t>
            </w:r>
          </w:p>
        </w:tc>
        <w:tc>
          <w:tcPr>
            <w:tcW w:w="1280" w:type="pct"/>
            <w:vAlign w:val="center"/>
          </w:tcPr>
          <w:p w14:paraId="42BE2955">
            <w:pPr>
              <w:pStyle w:val="12"/>
              <w:jc w:val="left"/>
              <w:rPr>
                <w:rFonts w:ascii="宋体" w:hAnsi="宋体"/>
              </w:rPr>
            </w:pPr>
            <w:r>
              <w:rPr>
                <w:rFonts w:hint="eastAsia" w:ascii="宋体" w:hAnsi="宋体"/>
              </w:rPr>
              <w:t>南    雄</w:t>
            </w:r>
          </w:p>
        </w:tc>
        <w:tc>
          <w:tcPr>
            <w:tcW w:w="1063" w:type="pct"/>
            <w:vAlign w:val="center"/>
          </w:tcPr>
          <w:p w14:paraId="5FBFEA48">
            <w:pPr>
              <w:pStyle w:val="12"/>
              <w:jc w:val="center"/>
              <w:rPr>
                <w:rFonts w:ascii="宋体" w:hAnsi="宋体"/>
              </w:rPr>
            </w:pPr>
            <w:r>
              <w:rPr>
                <w:rFonts w:hint="eastAsia" w:ascii="宋体" w:hAnsi="宋体"/>
              </w:rPr>
              <w:t>3级</w:t>
            </w:r>
          </w:p>
        </w:tc>
        <w:tc>
          <w:tcPr>
            <w:tcW w:w="1250" w:type="pct"/>
            <w:vAlign w:val="center"/>
          </w:tcPr>
          <w:p w14:paraId="17C4C402">
            <w:pPr>
              <w:pStyle w:val="12"/>
              <w:jc w:val="left"/>
              <w:rPr>
                <w:rFonts w:ascii="宋体" w:hAnsi="宋体"/>
              </w:rPr>
            </w:pPr>
            <w:r>
              <w:rPr>
                <w:rFonts w:hint="eastAsia" w:ascii="宋体" w:hAnsi="宋体"/>
              </w:rPr>
              <w:t>—</w:t>
            </w:r>
          </w:p>
        </w:tc>
      </w:tr>
      <w:tr w14:paraId="436F55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06" w:type="pct"/>
            <w:vAlign w:val="center"/>
          </w:tcPr>
          <w:p w14:paraId="08D95324">
            <w:pPr>
              <w:pStyle w:val="12"/>
              <w:jc w:val="left"/>
              <w:rPr>
                <w:rFonts w:ascii="宋体" w:hAnsi="宋体"/>
              </w:rPr>
            </w:pPr>
            <w:r>
              <w:rPr>
                <w:rFonts w:hint="eastAsia" w:ascii="宋体" w:hAnsi="宋体"/>
              </w:rPr>
              <w:t>1962年3月19日</w:t>
            </w:r>
          </w:p>
        </w:tc>
        <w:tc>
          <w:tcPr>
            <w:tcW w:w="1280" w:type="pct"/>
            <w:vAlign w:val="center"/>
          </w:tcPr>
          <w:p w14:paraId="21E945CA">
            <w:pPr>
              <w:pStyle w:val="12"/>
              <w:jc w:val="left"/>
              <w:rPr>
                <w:rFonts w:ascii="宋体" w:hAnsi="宋体"/>
              </w:rPr>
            </w:pPr>
            <w:r>
              <w:rPr>
                <w:rFonts w:hint="eastAsia" w:ascii="宋体" w:hAnsi="宋体"/>
              </w:rPr>
              <w:t>广东省河源县新丰江水库</w:t>
            </w:r>
          </w:p>
        </w:tc>
        <w:tc>
          <w:tcPr>
            <w:tcW w:w="1063" w:type="pct"/>
            <w:vAlign w:val="center"/>
          </w:tcPr>
          <w:p w14:paraId="302FDB5F">
            <w:pPr>
              <w:pStyle w:val="12"/>
              <w:jc w:val="center"/>
              <w:rPr>
                <w:rFonts w:ascii="宋体" w:hAnsi="宋体"/>
              </w:rPr>
            </w:pPr>
            <w:r>
              <w:rPr>
                <w:rFonts w:hint="eastAsia" w:ascii="宋体" w:hAnsi="宋体"/>
              </w:rPr>
              <w:t>6级</w:t>
            </w:r>
          </w:p>
        </w:tc>
        <w:tc>
          <w:tcPr>
            <w:tcW w:w="1250" w:type="pct"/>
            <w:vAlign w:val="center"/>
          </w:tcPr>
          <w:p w14:paraId="109DF668">
            <w:pPr>
              <w:pStyle w:val="12"/>
              <w:jc w:val="left"/>
              <w:rPr>
                <w:rFonts w:ascii="宋体" w:hAnsi="宋体"/>
              </w:rPr>
            </w:pPr>
            <w:r>
              <w:rPr>
                <w:rFonts w:hint="eastAsia" w:ascii="宋体" w:hAnsi="宋体"/>
              </w:rPr>
              <w:t>南雄表现烈度4度~5度</w:t>
            </w:r>
          </w:p>
        </w:tc>
      </w:tr>
      <w:tr w14:paraId="0C622F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06" w:type="pct"/>
            <w:vAlign w:val="center"/>
          </w:tcPr>
          <w:p w14:paraId="7CA7DDB8">
            <w:pPr>
              <w:pStyle w:val="12"/>
              <w:jc w:val="left"/>
              <w:rPr>
                <w:rFonts w:ascii="宋体" w:hAnsi="宋体"/>
              </w:rPr>
            </w:pPr>
            <w:r>
              <w:rPr>
                <w:rFonts w:hint="eastAsia" w:ascii="宋体" w:hAnsi="宋体"/>
              </w:rPr>
              <w:t>1969年7月26日</w:t>
            </w:r>
          </w:p>
        </w:tc>
        <w:tc>
          <w:tcPr>
            <w:tcW w:w="1280" w:type="pct"/>
            <w:vAlign w:val="center"/>
          </w:tcPr>
          <w:p w14:paraId="31204391">
            <w:pPr>
              <w:pStyle w:val="12"/>
              <w:jc w:val="left"/>
              <w:rPr>
                <w:rFonts w:ascii="宋体" w:hAnsi="宋体"/>
              </w:rPr>
            </w:pPr>
            <w:r>
              <w:rPr>
                <w:rFonts w:hint="eastAsia" w:ascii="宋体" w:hAnsi="宋体"/>
              </w:rPr>
              <w:t>广东省阳江县</w:t>
            </w:r>
          </w:p>
        </w:tc>
        <w:tc>
          <w:tcPr>
            <w:tcW w:w="1063" w:type="pct"/>
            <w:vAlign w:val="center"/>
          </w:tcPr>
          <w:p w14:paraId="692333AF">
            <w:pPr>
              <w:pStyle w:val="12"/>
              <w:jc w:val="center"/>
              <w:rPr>
                <w:rFonts w:ascii="宋体" w:hAnsi="宋体"/>
              </w:rPr>
            </w:pPr>
            <w:r>
              <w:rPr>
                <w:rFonts w:hint="eastAsia" w:ascii="宋体" w:hAnsi="宋体"/>
              </w:rPr>
              <w:t>6.4级</w:t>
            </w:r>
          </w:p>
        </w:tc>
        <w:tc>
          <w:tcPr>
            <w:tcW w:w="1250" w:type="pct"/>
            <w:vAlign w:val="center"/>
          </w:tcPr>
          <w:p w14:paraId="40DD9935">
            <w:pPr>
              <w:pStyle w:val="12"/>
              <w:jc w:val="left"/>
              <w:rPr>
                <w:rFonts w:ascii="宋体" w:hAnsi="宋体"/>
              </w:rPr>
            </w:pPr>
            <w:r>
              <w:rPr>
                <w:rFonts w:hint="eastAsia" w:ascii="宋体" w:hAnsi="宋体"/>
              </w:rPr>
              <w:t>南雄表现烈度4度</w:t>
            </w:r>
          </w:p>
        </w:tc>
      </w:tr>
      <w:tr w14:paraId="7755AC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06" w:type="pct"/>
            <w:vAlign w:val="center"/>
          </w:tcPr>
          <w:p w14:paraId="5F6C6E15">
            <w:pPr>
              <w:pStyle w:val="12"/>
              <w:jc w:val="left"/>
              <w:rPr>
                <w:rFonts w:ascii="宋体" w:hAnsi="宋体"/>
              </w:rPr>
            </w:pPr>
            <w:r>
              <w:rPr>
                <w:rFonts w:hint="eastAsia" w:ascii="宋体" w:hAnsi="宋体"/>
              </w:rPr>
              <w:t>1972年6月14日</w:t>
            </w:r>
          </w:p>
        </w:tc>
        <w:tc>
          <w:tcPr>
            <w:tcW w:w="1280" w:type="pct"/>
            <w:vAlign w:val="center"/>
          </w:tcPr>
          <w:p w14:paraId="5099D412">
            <w:pPr>
              <w:pStyle w:val="12"/>
              <w:jc w:val="left"/>
              <w:rPr>
                <w:rFonts w:ascii="宋体" w:hAnsi="宋体"/>
              </w:rPr>
            </w:pPr>
            <w:r>
              <w:rPr>
                <w:rFonts w:hint="eastAsia" w:ascii="宋体" w:hAnsi="宋体"/>
              </w:rPr>
              <w:t>南雄乌迳附近</w:t>
            </w:r>
          </w:p>
        </w:tc>
        <w:tc>
          <w:tcPr>
            <w:tcW w:w="1063" w:type="pct"/>
            <w:vAlign w:val="center"/>
          </w:tcPr>
          <w:p w14:paraId="5199F880">
            <w:pPr>
              <w:pStyle w:val="12"/>
              <w:jc w:val="center"/>
              <w:rPr>
                <w:rFonts w:ascii="宋体" w:hAnsi="宋体"/>
              </w:rPr>
            </w:pPr>
            <w:r>
              <w:rPr>
                <w:rFonts w:hint="eastAsia" w:ascii="宋体" w:hAnsi="宋体"/>
              </w:rPr>
              <w:t>1.1级</w:t>
            </w:r>
          </w:p>
        </w:tc>
        <w:tc>
          <w:tcPr>
            <w:tcW w:w="1250" w:type="pct"/>
            <w:vAlign w:val="center"/>
          </w:tcPr>
          <w:p w14:paraId="1E5517CA">
            <w:pPr>
              <w:pStyle w:val="12"/>
              <w:jc w:val="left"/>
              <w:rPr>
                <w:rFonts w:ascii="宋体" w:hAnsi="宋体"/>
              </w:rPr>
            </w:pPr>
            <w:r>
              <w:rPr>
                <w:rFonts w:hint="eastAsia" w:ascii="宋体" w:hAnsi="宋体"/>
              </w:rPr>
              <w:t>—</w:t>
            </w:r>
          </w:p>
        </w:tc>
      </w:tr>
      <w:tr w14:paraId="070AB40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06" w:type="pct"/>
            <w:vAlign w:val="center"/>
          </w:tcPr>
          <w:p w14:paraId="59175DFF">
            <w:pPr>
              <w:pStyle w:val="12"/>
              <w:jc w:val="left"/>
              <w:rPr>
                <w:rFonts w:ascii="宋体" w:hAnsi="宋体"/>
              </w:rPr>
            </w:pPr>
            <w:r>
              <w:rPr>
                <w:rFonts w:hint="eastAsia" w:ascii="宋体" w:hAnsi="宋体"/>
              </w:rPr>
              <w:t>1972年7月22日</w:t>
            </w:r>
          </w:p>
        </w:tc>
        <w:tc>
          <w:tcPr>
            <w:tcW w:w="1280" w:type="pct"/>
            <w:vAlign w:val="center"/>
          </w:tcPr>
          <w:p w14:paraId="014786A4">
            <w:pPr>
              <w:pStyle w:val="12"/>
              <w:jc w:val="left"/>
              <w:rPr>
                <w:rFonts w:ascii="宋体" w:hAnsi="宋体"/>
              </w:rPr>
            </w:pPr>
            <w:r>
              <w:rPr>
                <w:rFonts w:hint="eastAsia" w:ascii="宋体" w:hAnsi="宋体"/>
              </w:rPr>
              <w:t>油山以北5公里</w:t>
            </w:r>
          </w:p>
        </w:tc>
        <w:tc>
          <w:tcPr>
            <w:tcW w:w="1063" w:type="pct"/>
            <w:vAlign w:val="center"/>
          </w:tcPr>
          <w:p w14:paraId="1F2AA8B0">
            <w:pPr>
              <w:pStyle w:val="12"/>
              <w:jc w:val="center"/>
              <w:rPr>
                <w:rFonts w:ascii="宋体" w:hAnsi="宋体"/>
              </w:rPr>
            </w:pPr>
            <w:r>
              <w:rPr>
                <w:rFonts w:hint="eastAsia" w:ascii="宋体" w:hAnsi="宋体"/>
              </w:rPr>
              <w:t>1.4级</w:t>
            </w:r>
          </w:p>
        </w:tc>
        <w:tc>
          <w:tcPr>
            <w:tcW w:w="1250" w:type="pct"/>
            <w:vAlign w:val="center"/>
          </w:tcPr>
          <w:p w14:paraId="7ABB3862">
            <w:pPr>
              <w:pStyle w:val="12"/>
              <w:jc w:val="left"/>
              <w:rPr>
                <w:rFonts w:ascii="宋体" w:hAnsi="宋体"/>
              </w:rPr>
            </w:pPr>
            <w:r>
              <w:rPr>
                <w:rFonts w:hint="eastAsia" w:ascii="宋体" w:hAnsi="宋体"/>
              </w:rPr>
              <w:t>—</w:t>
            </w:r>
          </w:p>
        </w:tc>
      </w:tr>
      <w:tr w14:paraId="403AE0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06" w:type="pct"/>
            <w:vAlign w:val="center"/>
          </w:tcPr>
          <w:p w14:paraId="472F1724">
            <w:pPr>
              <w:pStyle w:val="12"/>
              <w:jc w:val="left"/>
              <w:rPr>
                <w:rFonts w:ascii="宋体" w:hAnsi="宋体"/>
              </w:rPr>
            </w:pPr>
            <w:r>
              <w:rPr>
                <w:rFonts w:hint="eastAsia" w:ascii="宋体" w:hAnsi="宋体"/>
              </w:rPr>
              <w:t>1975年4月8日</w:t>
            </w:r>
          </w:p>
        </w:tc>
        <w:tc>
          <w:tcPr>
            <w:tcW w:w="1280" w:type="pct"/>
            <w:vAlign w:val="center"/>
          </w:tcPr>
          <w:p w14:paraId="2FF36816">
            <w:pPr>
              <w:pStyle w:val="12"/>
              <w:jc w:val="left"/>
              <w:rPr>
                <w:rFonts w:ascii="宋体" w:hAnsi="宋体"/>
              </w:rPr>
            </w:pPr>
            <w:r>
              <w:rPr>
                <w:rFonts w:hint="eastAsia" w:ascii="宋体" w:hAnsi="宋体"/>
              </w:rPr>
              <w:t>南雄城东北20公里</w:t>
            </w:r>
          </w:p>
        </w:tc>
        <w:tc>
          <w:tcPr>
            <w:tcW w:w="1063" w:type="pct"/>
            <w:vAlign w:val="center"/>
          </w:tcPr>
          <w:p w14:paraId="460D9649">
            <w:pPr>
              <w:pStyle w:val="12"/>
              <w:jc w:val="center"/>
              <w:rPr>
                <w:rFonts w:ascii="宋体" w:hAnsi="宋体"/>
              </w:rPr>
            </w:pPr>
            <w:r>
              <w:rPr>
                <w:rFonts w:hint="eastAsia" w:ascii="宋体" w:hAnsi="宋体"/>
              </w:rPr>
              <w:t>2.5级</w:t>
            </w:r>
          </w:p>
        </w:tc>
        <w:tc>
          <w:tcPr>
            <w:tcW w:w="1250" w:type="pct"/>
            <w:vAlign w:val="center"/>
          </w:tcPr>
          <w:p w14:paraId="74559711">
            <w:pPr>
              <w:pStyle w:val="12"/>
              <w:jc w:val="left"/>
              <w:rPr>
                <w:rFonts w:ascii="宋体" w:hAnsi="宋体"/>
              </w:rPr>
            </w:pPr>
            <w:r>
              <w:rPr>
                <w:rFonts w:hint="eastAsia" w:ascii="宋体" w:hAnsi="宋体"/>
              </w:rPr>
              <w:t>—</w:t>
            </w:r>
          </w:p>
        </w:tc>
      </w:tr>
      <w:tr w14:paraId="4DED94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06" w:type="pct"/>
            <w:vAlign w:val="center"/>
          </w:tcPr>
          <w:p w14:paraId="3E2FEEA5">
            <w:pPr>
              <w:pStyle w:val="12"/>
              <w:jc w:val="left"/>
              <w:rPr>
                <w:rFonts w:ascii="宋体" w:hAnsi="宋体"/>
              </w:rPr>
            </w:pPr>
            <w:r>
              <w:rPr>
                <w:rFonts w:hint="eastAsia" w:ascii="宋体" w:hAnsi="宋体"/>
              </w:rPr>
              <w:t>1975年4月23日</w:t>
            </w:r>
          </w:p>
        </w:tc>
        <w:tc>
          <w:tcPr>
            <w:tcW w:w="1280" w:type="pct"/>
            <w:vAlign w:val="center"/>
          </w:tcPr>
          <w:p w14:paraId="542690D8">
            <w:pPr>
              <w:pStyle w:val="12"/>
              <w:jc w:val="left"/>
              <w:rPr>
                <w:rFonts w:ascii="宋体" w:hAnsi="宋体"/>
              </w:rPr>
            </w:pPr>
            <w:r>
              <w:rPr>
                <w:rFonts w:hint="eastAsia" w:ascii="宋体" w:hAnsi="宋体"/>
              </w:rPr>
              <w:t>南雄城东北20公里</w:t>
            </w:r>
          </w:p>
        </w:tc>
        <w:tc>
          <w:tcPr>
            <w:tcW w:w="1063" w:type="pct"/>
            <w:vAlign w:val="center"/>
          </w:tcPr>
          <w:p w14:paraId="099E11C6">
            <w:pPr>
              <w:pStyle w:val="12"/>
              <w:jc w:val="center"/>
              <w:rPr>
                <w:rFonts w:ascii="宋体" w:hAnsi="宋体"/>
              </w:rPr>
            </w:pPr>
            <w:r>
              <w:rPr>
                <w:rFonts w:hint="eastAsia" w:ascii="宋体" w:hAnsi="宋体"/>
              </w:rPr>
              <w:t>2级</w:t>
            </w:r>
          </w:p>
        </w:tc>
        <w:tc>
          <w:tcPr>
            <w:tcW w:w="1250" w:type="pct"/>
            <w:vAlign w:val="center"/>
          </w:tcPr>
          <w:p w14:paraId="362F6186">
            <w:pPr>
              <w:pStyle w:val="12"/>
              <w:jc w:val="left"/>
              <w:rPr>
                <w:rFonts w:ascii="宋体" w:hAnsi="宋体"/>
              </w:rPr>
            </w:pPr>
            <w:r>
              <w:rPr>
                <w:rFonts w:hint="eastAsia" w:ascii="宋体" w:hAnsi="宋体"/>
              </w:rPr>
              <w:t>—</w:t>
            </w:r>
          </w:p>
        </w:tc>
      </w:tr>
      <w:tr w14:paraId="7A7B9B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06" w:type="pct"/>
            <w:vAlign w:val="center"/>
          </w:tcPr>
          <w:p w14:paraId="25F4AF6E">
            <w:pPr>
              <w:pStyle w:val="12"/>
              <w:jc w:val="left"/>
              <w:rPr>
                <w:rFonts w:ascii="宋体" w:hAnsi="宋体"/>
              </w:rPr>
            </w:pPr>
            <w:r>
              <w:rPr>
                <w:rFonts w:hint="eastAsia" w:ascii="宋体" w:hAnsi="宋体"/>
              </w:rPr>
              <w:t>1982年4月</w:t>
            </w:r>
          </w:p>
        </w:tc>
        <w:tc>
          <w:tcPr>
            <w:tcW w:w="1280" w:type="pct"/>
            <w:vAlign w:val="center"/>
          </w:tcPr>
          <w:p w14:paraId="61ABE45E">
            <w:pPr>
              <w:pStyle w:val="12"/>
              <w:jc w:val="left"/>
              <w:rPr>
                <w:rFonts w:ascii="宋体" w:hAnsi="宋体"/>
              </w:rPr>
            </w:pPr>
            <w:r>
              <w:rPr>
                <w:rFonts w:hint="eastAsia" w:ascii="宋体" w:hAnsi="宋体"/>
              </w:rPr>
              <w:t>江西省寻乌县</w:t>
            </w:r>
          </w:p>
        </w:tc>
        <w:tc>
          <w:tcPr>
            <w:tcW w:w="1063" w:type="pct"/>
            <w:vAlign w:val="center"/>
          </w:tcPr>
          <w:p w14:paraId="53121618">
            <w:pPr>
              <w:pStyle w:val="12"/>
              <w:jc w:val="center"/>
              <w:rPr>
                <w:rFonts w:ascii="宋体" w:hAnsi="宋体"/>
              </w:rPr>
            </w:pPr>
            <w:r>
              <w:rPr>
                <w:rFonts w:hint="eastAsia" w:ascii="宋体" w:hAnsi="宋体"/>
              </w:rPr>
              <w:t>5.2级</w:t>
            </w:r>
          </w:p>
        </w:tc>
        <w:tc>
          <w:tcPr>
            <w:tcW w:w="1250" w:type="pct"/>
            <w:vAlign w:val="center"/>
          </w:tcPr>
          <w:p w14:paraId="008895A4">
            <w:pPr>
              <w:pStyle w:val="12"/>
              <w:jc w:val="left"/>
              <w:rPr>
                <w:rFonts w:ascii="宋体" w:hAnsi="宋体"/>
              </w:rPr>
            </w:pPr>
            <w:r>
              <w:rPr>
                <w:rFonts w:hint="eastAsia" w:ascii="宋体" w:hAnsi="宋体"/>
              </w:rPr>
              <w:t>南雄表现烈度4度</w:t>
            </w:r>
          </w:p>
        </w:tc>
      </w:tr>
      <w:tr w14:paraId="222B157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06" w:type="pct"/>
            <w:vAlign w:val="center"/>
          </w:tcPr>
          <w:p w14:paraId="3A44D80A">
            <w:pPr>
              <w:pStyle w:val="12"/>
              <w:jc w:val="left"/>
              <w:rPr>
                <w:rFonts w:ascii="宋体" w:hAnsi="宋体"/>
              </w:rPr>
            </w:pPr>
            <w:r>
              <w:rPr>
                <w:rFonts w:hint="eastAsia" w:ascii="宋体" w:hAnsi="宋体"/>
              </w:rPr>
              <w:t>1987年8月2日（下午6时）</w:t>
            </w:r>
          </w:p>
        </w:tc>
        <w:tc>
          <w:tcPr>
            <w:tcW w:w="1280" w:type="pct"/>
            <w:vAlign w:val="center"/>
          </w:tcPr>
          <w:p w14:paraId="391382E7">
            <w:pPr>
              <w:pStyle w:val="12"/>
              <w:jc w:val="left"/>
              <w:rPr>
                <w:rFonts w:ascii="宋体" w:hAnsi="宋体"/>
              </w:rPr>
            </w:pPr>
            <w:r>
              <w:rPr>
                <w:rFonts w:hint="eastAsia" w:ascii="宋体" w:hAnsi="宋体"/>
              </w:rPr>
              <w:t>江西省寻乌县</w:t>
            </w:r>
          </w:p>
        </w:tc>
        <w:tc>
          <w:tcPr>
            <w:tcW w:w="1063" w:type="pct"/>
            <w:vAlign w:val="center"/>
          </w:tcPr>
          <w:p w14:paraId="06957A1B">
            <w:pPr>
              <w:pStyle w:val="12"/>
              <w:jc w:val="center"/>
              <w:rPr>
                <w:rFonts w:ascii="宋体" w:hAnsi="宋体"/>
              </w:rPr>
            </w:pPr>
            <w:r>
              <w:rPr>
                <w:rFonts w:hint="eastAsia" w:ascii="宋体" w:hAnsi="宋体"/>
              </w:rPr>
              <w:t>5.5级</w:t>
            </w:r>
          </w:p>
        </w:tc>
        <w:tc>
          <w:tcPr>
            <w:tcW w:w="1250" w:type="pct"/>
            <w:vAlign w:val="center"/>
          </w:tcPr>
          <w:p w14:paraId="1456E510">
            <w:pPr>
              <w:pStyle w:val="12"/>
              <w:jc w:val="left"/>
              <w:rPr>
                <w:rFonts w:ascii="宋体" w:hAnsi="宋体"/>
              </w:rPr>
            </w:pPr>
            <w:r>
              <w:rPr>
                <w:rFonts w:hint="eastAsia" w:ascii="宋体" w:hAnsi="宋体"/>
              </w:rPr>
              <w:t>南雄表现烈度4度</w:t>
            </w:r>
          </w:p>
        </w:tc>
      </w:tr>
      <w:tr w14:paraId="77AF50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06" w:type="pct"/>
            <w:vAlign w:val="center"/>
          </w:tcPr>
          <w:p w14:paraId="101927F6">
            <w:pPr>
              <w:pStyle w:val="12"/>
              <w:jc w:val="left"/>
              <w:rPr>
                <w:rFonts w:ascii="宋体" w:hAnsi="宋体"/>
              </w:rPr>
            </w:pPr>
            <w:r>
              <w:rPr>
                <w:rFonts w:hint="eastAsia" w:ascii="宋体" w:hAnsi="宋体"/>
              </w:rPr>
              <w:t>1987年8月3日（早晨4时）</w:t>
            </w:r>
          </w:p>
        </w:tc>
        <w:tc>
          <w:tcPr>
            <w:tcW w:w="1280" w:type="pct"/>
            <w:vAlign w:val="center"/>
          </w:tcPr>
          <w:p w14:paraId="222AD92A">
            <w:pPr>
              <w:pStyle w:val="12"/>
              <w:jc w:val="left"/>
              <w:rPr>
                <w:rFonts w:ascii="宋体" w:hAnsi="宋体"/>
              </w:rPr>
            </w:pPr>
            <w:r>
              <w:rPr>
                <w:rFonts w:hint="eastAsia" w:ascii="宋体" w:hAnsi="宋体"/>
              </w:rPr>
              <w:t>江西省寻乌县</w:t>
            </w:r>
          </w:p>
        </w:tc>
        <w:tc>
          <w:tcPr>
            <w:tcW w:w="1063" w:type="pct"/>
            <w:vAlign w:val="center"/>
          </w:tcPr>
          <w:p w14:paraId="7E5BB054">
            <w:pPr>
              <w:pStyle w:val="12"/>
              <w:jc w:val="center"/>
              <w:rPr>
                <w:rFonts w:ascii="宋体" w:hAnsi="宋体"/>
              </w:rPr>
            </w:pPr>
            <w:r>
              <w:rPr>
                <w:rFonts w:hint="eastAsia" w:ascii="宋体" w:hAnsi="宋体"/>
              </w:rPr>
              <w:t>5级</w:t>
            </w:r>
          </w:p>
        </w:tc>
        <w:tc>
          <w:tcPr>
            <w:tcW w:w="1250" w:type="pct"/>
            <w:vAlign w:val="center"/>
          </w:tcPr>
          <w:p w14:paraId="1FA914AF">
            <w:pPr>
              <w:pStyle w:val="12"/>
              <w:jc w:val="left"/>
              <w:rPr>
                <w:rFonts w:ascii="宋体" w:hAnsi="宋体"/>
              </w:rPr>
            </w:pPr>
            <w:r>
              <w:rPr>
                <w:rFonts w:hint="eastAsia" w:ascii="宋体" w:hAnsi="宋体"/>
              </w:rPr>
              <w:t>南雄表现烈度4度</w:t>
            </w:r>
          </w:p>
        </w:tc>
      </w:tr>
      <w:tr w14:paraId="6195A8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06" w:type="pct"/>
            <w:vAlign w:val="center"/>
          </w:tcPr>
          <w:p w14:paraId="5BFB5EC4">
            <w:pPr>
              <w:pStyle w:val="12"/>
              <w:jc w:val="left"/>
              <w:rPr>
                <w:rFonts w:ascii="宋体" w:hAnsi="宋体"/>
              </w:rPr>
            </w:pPr>
            <w:r>
              <w:rPr>
                <w:rFonts w:hint="eastAsia" w:ascii="宋体" w:hAnsi="宋体"/>
              </w:rPr>
              <w:t>1987年8月3日（上午8时）</w:t>
            </w:r>
          </w:p>
        </w:tc>
        <w:tc>
          <w:tcPr>
            <w:tcW w:w="1280" w:type="pct"/>
            <w:vAlign w:val="center"/>
          </w:tcPr>
          <w:p w14:paraId="79F0D6A2">
            <w:pPr>
              <w:pStyle w:val="12"/>
              <w:jc w:val="left"/>
              <w:rPr>
                <w:rFonts w:ascii="宋体" w:hAnsi="宋体"/>
              </w:rPr>
            </w:pPr>
            <w:r>
              <w:rPr>
                <w:rFonts w:hint="eastAsia" w:ascii="宋体" w:hAnsi="宋体"/>
              </w:rPr>
              <w:t>江西省寻乌县</w:t>
            </w:r>
          </w:p>
        </w:tc>
        <w:tc>
          <w:tcPr>
            <w:tcW w:w="1063" w:type="pct"/>
            <w:vAlign w:val="center"/>
          </w:tcPr>
          <w:p w14:paraId="3FA91D69">
            <w:pPr>
              <w:pStyle w:val="12"/>
              <w:jc w:val="center"/>
              <w:rPr>
                <w:rFonts w:ascii="宋体" w:hAnsi="宋体"/>
              </w:rPr>
            </w:pPr>
            <w:r>
              <w:rPr>
                <w:rFonts w:hint="eastAsia" w:ascii="宋体" w:hAnsi="宋体"/>
              </w:rPr>
              <w:t>3.6级</w:t>
            </w:r>
          </w:p>
        </w:tc>
        <w:tc>
          <w:tcPr>
            <w:tcW w:w="1250" w:type="pct"/>
            <w:vAlign w:val="center"/>
          </w:tcPr>
          <w:p w14:paraId="5D9AAC04">
            <w:pPr>
              <w:pStyle w:val="12"/>
              <w:jc w:val="left"/>
              <w:rPr>
                <w:rFonts w:ascii="宋体" w:hAnsi="宋体"/>
              </w:rPr>
            </w:pPr>
            <w:r>
              <w:rPr>
                <w:rFonts w:hint="eastAsia" w:ascii="宋体" w:hAnsi="宋体"/>
              </w:rPr>
              <w:t>南雄表现烈度3度</w:t>
            </w:r>
          </w:p>
        </w:tc>
      </w:tr>
    </w:tbl>
    <w:p w14:paraId="1520ED21">
      <w:pPr>
        <w:ind w:firstLine="420"/>
        <w:rPr>
          <w:rFonts w:ascii="宋体" w:hAnsi="宋体"/>
          <w:szCs w:val="21"/>
        </w:rPr>
      </w:pPr>
      <w:r>
        <w:rPr>
          <w:rFonts w:hint="eastAsia" w:ascii="宋体" w:hAnsi="宋体"/>
          <w:szCs w:val="21"/>
        </w:rPr>
        <w:t>说明：震级按当时记录表现推算，年月已换算为公历纪年。</w:t>
      </w:r>
    </w:p>
    <w:p w14:paraId="4B87E426">
      <w:pPr>
        <w:pStyle w:val="4"/>
        <w:rPr>
          <w:rFonts w:ascii="宋体" w:hAnsi="宋体"/>
        </w:rPr>
      </w:pPr>
      <w:r>
        <w:rPr>
          <w:rFonts w:hint="eastAsia" w:ascii="宋体" w:hAnsi="宋体"/>
        </w:rPr>
        <w:t>第四节  南雄红层古生物化石</w:t>
      </w:r>
    </w:p>
    <w:p w14:paraId="207ED1D8">
      <w:pPr>
        <w:pStyle w:val="5"/>
        <w:rPr>
          <w:rFonts w:ascii="宋体" w:hAnsi="宋体"/>
        </w:rPr>
      </w:pPr>
      <w:r>
        <w:rPr>
          <w:rFonts w:hint="eastAsia" w:ascii="宋体" w:hAnsi="宋体"/>
        </w:rPr>
        <w:t>一、红层古生物分布</w:t>
      </w:r>
    </w:p>
    <w:p w14:paraId="4F7749EC">
      <w:pPr>
        <w:ind w:firstLine="420"/>
        <w:rPr>
          <w:rFonts w:ascii="宋体" w:hAnsi="宋体"/>
          <w:szCs w:val="21"/>
        </w:rPr>
      </w:pPr>
      <w:r>
        <w:rPr>
          <w:rFonts w:hint="eastAsia" w:ascii="宋体" w:hAnsi="宋体"/>
          <w:szCs w:val="21"/>
        </w:rPr>
        <w:t>南雄盆地“红层”西起始兴县的鸡笼圩，东与信丰盆地相连，纵长约</w:t>
      </w:r>
      <w:r>
        <w:rPr>
          <w:rFonts w:ascii="宋体" w:hAnsi="宋体"/>
          <w:szCs w:val="21"/>
        </w:rPr>
        <w:t>80公里，</w:t>
      </w:r>
      <w:r>
        <w:rPr>
          <w:rFonts w:hint="eastAsia" w:ascii="宋体" w:hAnsi="宋体"/>
          <w:szCs w:val="21"/>
        </w:rPr>
        <w:t>面积约</w:t>
      </w:r>
      <w:r>
        <w:rPr>
          <w:rFonts w:ascii="宋体" w:hAnsi="宋体"/>
          <w:szCs w:val="21"/>
        </w:rPr>
        <w:t>1800平方公里。“红层”出露完整，地质构造比较简单，含有丰富的脊椎动</w:t>
      </w:r>
      <w:r>
        <w:rPr>
          <w:rFonts w:hint="eastAsia" w:ascii="宋体" w:hAnsi="宋体"/>
          <w:szCs w:val="21"/>
        </w:rPr>
        <w:t>物、无脊椎动物和植物化石，按其岩性特征和生物组合，可分为南雄、上湖、浓山、古城四个地层单元。</w:t>
      </w:r>
    </w:p>
    <w:p w14:paraId="2EECE9BD">
      <w:pPr>
        <w:ind w:firstLine="422"/>
        <w:rPr>
          <w:rFonts w:ascii="宋体" w:hAnsi="宋体"/>
          <w:b/>
          <w:szCs w:val="21"/>
        </w:rPr>
      </w:pPr>
      <w:r>
        <w:rPr>
          <w:rFonts w:hint="eastAsia" w:ascii="宋体" w:hAnsi="宋体"/>
          <w:b/>
          <w:szCs w:val="21"/>
        </w:rPr>
        <w:t>（一）南雄组（晚白垩世）</w:t>
      </w:r>
    </w:p>
    <w:p w14:paraId="5AED2BE3">
      <w:pPr>
        <w:ind w:firstLine="420"/>
        <w:rPr>
          <w:rFonts w:ascii="宋体" w:hAnsi="宋体"/>
          <w:szCs w:val="21"/>
        </w:rPr>
      </w:pPr>
      <w:r>
        <w:rPr>
          <w:rFonts w:hint="eastAsia" w:ascii="宋体" w:hAnsi="宋体"/>
          <w:szCs w:val="21"/>
        </w:rPr>
        <w:t>不整合覆盖于中生代花岗岩之上，是一套厚约</w:t>
      </w:r>
      <w:r>
        <w:rPr>
          <w:rFonts w:ascii="宋体" w:hAnsi="宋体"/>
          <w:szCs w:val="21"/>
        </w:rPr>
        <w:t>1300米～2900米的陆源碎屑岩</w:t>
      </w:r>
      <w:r>
        <w:rPr>
          <w:rFonts w:hint="eastAsia" w:ascii="宋体" w:hAnsi="宋体"/>
          <w:szCs w:val="21"/>
        </w:rPr>
        <w:t>系，一般向西北倾斜为</w:t>
      </w:r>
      <w:r>
        <w:rPr>
          <w:rFonts w:ascii="宋体" w:hAnsi="宋体"/>
          <w:szCs w:val="21"/>
        </w:rPr>
        <w:t>12°～22°，分布于全盆地，在主田、黄坑、乌迳、大塘等地出</w:t>
      </w:r>
      <w:r>
        <w:rPr>
          <w:rFonts w:hint="eastAsia" w:ascii="宋体" w:hAnsi="宋体"/>
          <w:szCs w:val="21"/>
        </w:rPr>
        <w:t>露最好，依岩性可分为上、中、下部分：</w:t>
      </w:r>
    </w:p>
    <w:p w14:paraId="500D7F02">
      <w:pPr>
        <w:ind w:firstLine="420"/>
        <w:rPr>
          <w:rFonts w:ascii="宋体" w:hAnsi="宋体"/>
          <w:szCs w:val="21"/>
        </w:rPr>
      </w:pPr>
      <w:r>
        <w:rPr>
          <w:rFonts w:hint="eastAsia" w:ascii="宋体" w:hAnsi="宋体"/>
          <w:szCs w:val="21"/>
        </w:rPr>
        <w:t>上部为棕红色砂质泥岩、泥岩、泥质砂岩为主，夹有含砾砂岩、砂砾岩，藏蜥蜴类、恐龙和恐龙蛋、龟蟹类化石及介形类、腹足类、瓣鳃类等化石。</w:t>
      </w:r>
    </w:p>
    <w:p w14:paraId="56E5F7F7">
      <w:pPr>
        <w:ind w:firstLine="420"/>
        <w:rPr>
          <w:rFonts w:ascii="宋体" w:hAnsi="宋体"/>
          <w:szCs w:val="21"/>
        </w:rPr>
      </w:pPr>
      <w:r>
        <w:rPr>
          <w:rFonts w:hint="eastAsia" w:ascii="宋体" w:hAnsi="宋体"/>
          <w:szCs w:val="21"/>
        </w:rPr>
        <w:t>中部为棕红色砂质泥岩与泥质砂岩盘层，夹有灰绿色砂岩，藏恐龙、恐龙蛋、恐龙脚印化石以及腹足类、瓣鳃类化石，富藏介形类和轮藻化石。</w:t>
      </w:r>
    </w:p>
    <w:p w14:paraId="561A5161">
      <w:pPr>
        <w:ind w:firstLine="420"/>
        <w:rPr>
          <w:rFonts w:ascii="宋体" w:hAnsi="宋体"/>
          <w:szCs w:val="21"/>
        </w:rPr>
      </w:pPr>
      <w:r>
        <w:rPr>
          <w:rFonts w:hint="eastAsia" w:ascii="宋体" w:hAnsi="宋体"/>
          <w:szCs w:val="21"/>
        </w:rPr>
        <w:t>下部为紫红色砂砾岩、泥质砂岩，藏恐龙蛋化石。</w:t>
      </w:r>
    </w:p>
    <w:p w14:paraId="506E727F">
      <w:pPr>
        <w:ind w:firstLine="422"/>
        <w:rPr>
          <w:rFonts w:ascii="宋体" w:hAnsi="宋体"/>
          <w:b/>
          <w:szCs w:val="21"/>
        </w:rPr>
      </w:pPr>
      <w:r>
        <w:rPr>
          <w:rFonts w:hint="eastAsia" w:ascii="宋体" w:hAnsi="宋体"/>
          <w:b/>
          <w:szCs w:val="21"/>
        </w:rPr>
        <w:t>（二）罗佛寨群（早第三纪）</w:t>
      </w:r>
    </w:p>
    <w:p w14:paraId="5FC3FDD7">
      <w:pPr>
        <w:ind w:firstLine="420"/>
        <w:rPr>
          <w:rFonts w:ascii="宋体" w:hAnsi="宋体"/>
          <w:szCs w:val="21"/>
        </w:rPr>
      </w:pPr>
      <w:r>
        <w:rPr>
          <w:rFonts w:hint="eastAsia" w:ascii="宋体" w:hAnsi="宋体"/>
          <w:szCs w:val="21"/>
        </w:rPr>
        <w:t>以湖口罗佛寨村命名，代表盆地中的古新世沉积物，总厚度</w:t>
      </w:r>
      <w:r>
        <w:rPr>
          <w:rFonts w:ascii="宋体" w:hAnsi="宋体"/>
          <w:szCs w:val="21"/>
        </w:rPr>
        <w:t>800米。罗佛寨群划</w:t>
      </w:r>
      <w:r>
        <w:rPr>
          <w:rFonts w:hint="eastAsia" w:ascii="宋体" w:hAnsi="宋体"/>
          <w:szCs w:val="21"/>
        </w:rPr>
        <w:t>分为上湖组段，以上湖洞村命名；浓山组以罗佛寨村北一小山浓山顶命名，古城组以古城村命名。</w:t>
      </w:r>
    </w:p>
    <w:p w14:paraId="168A987F">
      <w:pPr>
        <w:ind w:firstLine="420"/>
        <w:rPr>
          <w:rFonts w:ascii="宋体" w:hAnsi="宋体"/>
          <w:szCs w:val="21"/>
        </w:rPr>
      </w:pPr>
      <w:r>
        <w:rPr>
          <w:rFonts w:ascii="宋体" w:hAnsi="宋体"/>
          <w:szCs w:val="21"/>
        </w:rPr>
        <w:t>1.上湖组段与下伏南雄组和古城组（中古新世）整合或假整合或局部不整合接</w:t>
      </w:r>
      <w:r>
        <w:rPr>
          <w:rFonts w:hint="eastAsia" w:ascii="宋体" w:hAnsi="宋体"/>
          <w:szCs w:val="21"/>
        </w:rPr>
        <w:t>触，主要分布于修仁一湖口一上湖洞一带，在大塘附近也有出露，总厚度</w:t>
      </w:r>
      <w:r>
        <w:rPr>
          <w:rFonts w:ascii="宋体" w:hAnsi="宋体"/>
          <w:szCs w:val="21"/>
        </w:rPr>
        <w:t>600米。地</w:t>
      </w:r>
      <w:r>
        <w:rPr>
          <w:rFonts w:hint="eastAsia" w:ascii="宋体" w:hAnsi="宋体"/>
          <w:szCs w:val="21"/>
        </w:rPr>
        <w:t>层产状平缓，一般向北西倾斜，倾角</w:t>
      </w:r>
      <w:r>
        <w:rPr>
          <w:rFonts w:ascii="宋体" w:hAnsi="宋体"/>
          <w:szCs w:val="21"/>
        </w:rPr>
        <w:t>7°～12°，岩性主要为褐红色、紫红色泥质砂与</w:t>
      </w:r>
      <w:r>
        <w:rPr>
          <w:rFonts w:hint="eastAsia" w:ascii="宋体" w:hAnsi="宋体"/>
          <w:szCs w:val="21"/>
        </w:rPr>
        <w:t>砂质泥夹砂砾薄层，底部有一层厚约</w:t>
      </w:r>
      <w:r>
        <w:rPr>
          <w:rFonts w:ascii="宋体" w:hAnsi="宋体"/>
          <w:szCs w:val="21"/>
        </w:rPr>
        <w:t>2米～5米的灰白色、灰红色砂砾，此段内含有</w:t>
      </w:r>
      <w:r>
        <w:rPr>
          <w:rFonts w:hint="eastAsia" w:ascii="宋体" w:hAnsi="宋体"/>
          <w:szCs w:val="21"/>
        </w:rPr>
        <w:t>丰富的脊椎动物（哺乳类和龟蟹类、鳄类等爬行类）和淡水腹足类、瓣鳃类、叶肢介、介形类、轮藻等化石。</w:t>
      </w:r>
    </w:p>
    <w:p w14:paraId="40A145E6">
      <w:pPr>
        <w:ind w:firstLine="420"/>
        <w:rPr>
          <w:rFonts w:ascii="宋体" w:hAnsi="宋体"/>
          <w:szCs w:val="21"/>
        </w:rPr>
      </w:pPr>
      <w:r>
        <w:rPr>
          <w:rFonts w:ascii="宋体" w:hAnsi="宋体"/>
          <w:szCs w:val="21"/>
        </w:rPr>
        <w:t>2.浓山组（晚古新世），与上湖组为连续沉积，主要分布在盆地中心罗佛寨村</w:t>
      </w:r>
      <w:r>
        <w:rPr>
          <w:rFonts w:hint="eastAsia" w:ascii="宋体" w:hAnsi="宋体"/>
          <w:szCs w:val="21"/>
        </w:rPr>
        <w:t>一浓山周围与大塘圩西侧，厚约</w:t>
      </w:r>
      <w:r>
        <w:rPr>
          <w:rFonts w:ascii="宋体" w:hAnsi="宋体"/>
          <w:szCs w:val="21"/>
        </w:rPr>
        <w:t>200余米，地层产状平缓，倾角一般5°～8°度。岩性</w:t>
      </w:r>
      <w:r>
        <w:rPr>
          <w:rFonts w:hint="eastAsia" w:ascii="宋体" w:hAnsi="宋体"/>
          <w:szCs w:val="21"/>
        </w:rPr>
        <w:t>主要是由灰绿色泥岩与紫红色泥岩盘层、灰褐色砂岩组成。此段含有龟类、鳄类、中兽科和伪齿兽科的哺乳类化石。</w:t>
      </w:r>
    </w:p>
    <w:p w14:paraId="065FCAD2">
      <w:pPr>
        <w:ind w:firstLine="420"/>
        <w:rPr>
          <w:rFonts w:ascii="宋体" w:hAnsi="宋体"/>
          <w:szCs w:val="21"/>
        </w:rPr>
      </w:pPr>
      <w:r>
        <w:rPr>
          <w:rFonts w:ascii="宋体" w:hAnsi="宋体"/>
          <w:szCs w:val="21"/>
        </w:rPr>
        <w:t>3.古城组（始新世），不整合沉积在罗佛寨组之上，为一套厚层状的砂砾岩，</w:t>
      </w:r>
      <w:r>
        <w:rPr>
          <w:rFonts w:hint="eastAsia" w:ascii="宋体" w:hAnsi="宋体"/>
          <w:szCs w:val="21"/>
        </w:rPr>
        <w:t>风化而呈褐色，新鲜而灰黄或紫褐色，层理不清，出露</w:t>
      </w:r>
      <w:r>
        <w:rPr>
          <w:rFonts w:ascii="宋体" w:hAnsi="宋体"/>
          <w:szCs w:val="21"/>
        </w:rPr>
        <w:t>100米～500米。在这套地层</w:t>
      </w:r>
      <w:r>
        <w:rPr>
          <w:rFonts w:hint="eastAsia" w:ascii="宋体" w:hAnsi="宋体"/>
          <w:szCs w:val="21"/>
        </w:rPr>
        <w:t>中至今未找到化石。</w:t>
      </w:r>
    </w:p>
    <w:p w14:paraId="49078E38">
      <w:pPr>
        <w:pStyle w:val="5"/>
        <w:rPr>
          <w:rFonts w:ascii="宋体" w:hAnsi="宋体"/>
        </w:rPr>
      </w:pPr>
      <w:r>
        <w:rPr>
          <w:rFonts w:hint="eastAsia" w:ascii="宋体" w:hAnsi="宋体"/>
        </w:rPr>
        <w:t>二、红层古生物化石挖掘</w:t>
      </w:r>
    </w:p>
    <w:p w14:paraId="148F14E6">
      <w:pPr>
        <w:ind w:firstLine="420"/>
        <w:rPr>
          <w:rFonts w:ascii="宋体" w:hAnsi="宋体"/>
          <w:szCs w:val="21"/>
        </w:rPr>
      </w:pPr>
      <w:r>
        <w:rPr>
          <w:rFonts w:hint="eastAsia" w:ascii="宋体" w:hAnsi="宋体"/>
          <w:szCs w:val="21"/>
        </w:rPr>
        <w:t>新中国成立前，著名地质学家、考古学家如中国冯景兰、朱翙声、陈国远和德国李希霍芬、日本野田势次郎、饭塚升等曾到南雄考察。新中国成立后，中外地质、考古专家学者亦相继到南雄考察。自</w:t>
      </w:r>
      <w:r>
        <w:rPr>
          <w:rFonts w:ascii="宋体" w:hAnsi="宋体"/>
          <w:szCs w:val="21"/>
        </w:rPr>
        <w:t>1960年7月广东区测队在乌迳黄塘首次发现恐龙</w:t>
      </w:r>
      <w:r>
        <w:rPr>
          <w:rFonts w:hint="eastAsia" w:ascii="宋体" w:hAnsi="宋体"/>
          <w:szCs w:val="21"/>
        </w:rPr>
        <w:t>趾骨化石以来，又相继发掘恐龙化石</w:t>
      </w:r>
      <w:r>
        <w:rPr>
          <w:rFonts w:ascii="宋体" w:hAnsi="宋体"/>
          <w:szCs w:val="21"/>
        </w:rPr>
        <w:t>14处，恐龙蛋化石54窝，恐龙脚印化石21个，</w:t>
      </w:r>
      <w:r>
        <w:rPr>
          <w:rFonts w:hint="eastAsia" w:ascii="宋体" w:hAnsi="宋体"/>
          <w:szCs w:val="21"/>
        </w:rPr>
        <w:t>以及其他古生物化石。</w:t>
      </w:r>
    </w:p>
    <w:p w14:paraId="7718B3C7">
      <w:pPr>
        <w:ind w:firstLine="420"/>
        <w:rPr>
          <w:rFonts w:ascii="宋体" w:hAnsi="宋体"/>
          <w:szCs w:val="21"/>
        </w:rPr>
      </w:pPr>
      <w:r>
        <w:rPr>
          <w:rFonts w:ascii="宋体" w:hAnsi="宋体"/>
          <w:szCs w:val="21"/>
        </w:rPr>
        <w:t>1.恐龙化石挖掘</w:t>
      </w:r>
    </w:p>
    <w:p w14:paraId="419C9666">
      <w:pPr>
        <w:ind w:firstLine="0" w:firstLineChars="0"/>
        <w:jc w:val="center"/>
        <w:rPr>
          <w:rFonts w:ascii="宋体" w:hAnsi="宋体"/>
          <w:b/>
          <w:szCs w:val="21"/>
        </w:rPr>
      </w:pPr>
      <w:r>
        <w:rPr>
          <w:rFonts w:hint="eastAsia" w:ascii="宋体" w:hAnsi="宋体"/>
          <w:b/>
          <w:szCs w:val="21"/>
        </w:rPr>
        <w:t>南雄恐龙化石暴露挖掘情况</w:t>
      </w:r>
    </w:p>
    <w:p w14:paraId="6D7C8FB6">
      <w:pPr>
        <w:ind w:firstLine="0" w:firstLineChars="0"/>
        <w:rPr>
          <w:rFonts w:ascii="宋体" w:hAnsi="宋体"/>
          <w:b/>
          <w:szCs w:val="21"/>
        </w:rPr>
      </w:pPr>
      <w:r>
        <w:rPr>
          <w:rFonts w:hint="eastAsia" w:ascii="宋体" w:hAnsi="宋体"/>
          <w:b/>
          <w:szCs w:val="21"/>
        </w:rPr>
        <w:t>表</w:t>
      </w:r>
      <w:r>
        <w:rPr>
          <w:rFonts w:ascii="宋体" w:hAnsi="宋体"/>
          <w:b/>
          <w:szCs w:val="21"/>
        </w:rPr>
        <w:t>1-7</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60"/>
        <w:gridCol w:w="1353"/>
        <w:gridCol w:w="1737"/>
        <w:gridCol w:w="1544"/>
        <w:gridCol w:w="1751"/>
        <w:gridCol w:w="1917"/>
      </w:tblGrid>
      <w:tr w14:paraId="7A8618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3A17D4F0">
            <w:pPr>
              <w:pStyle w:val="12"/>
              <w:jc w:val="center"/>
              <w:rPr>
                <w:rFonts w:ascii="宋体" w:hAnsi="宋体"/>
                <w:b/>
              </w:rPr>
            </w:pPr>
            <w:r>
              <w:rPr>
                <w:rFonts w:hint="eastAsia" w:ascii="宋体" w:hAnsi="宋体"/>
                <w:b/>
              </w:rPr>
              <w:t>发现时间</w:t>
            </w:r>
          </w:p>
        </w:tc>
        <w:tc>
          <w:tcPr>
            <w:tcW w:w="679" w:type="pct"/>
            <w:vAlign w:val="center"/>
          </w:tcPr>
          <w:p w14:paraId="18220A17">
            <w:pPr>
              <w:pStyle w:val="12"/>
              <w:jc w:val="center"/>
              <w:rPr>
                <w:rFonts w:ascii="宋体" w:hAnsi="宋体"/>
                <w:b/>
              </w:rPr>
            </w:pPr>
            <w:r>
              <w:rPr>
                <w:rFonts w:hint="eastAsia" w:ascii="宋体" w:hAnsi="宋体"/>
                <w:b/>
              </w:rPr>
              <w:t>地点</w:t>
            </w:r>
          </w:p>
        </w:tc>
        <w:tc>
          <w:tcPr>
            <w:tcW w:w="872" w:type="pct"/>
            <w:vAlign w:val="center"/>
          </w:tcPr>
          <w:p w14:paraId="1FDF4718">
            <w:pPr>
              <w:pStyle w:val="12"/>
              <w:jc w:val="center"/>
              <w:rPr>
                <w:rFonts w:ascii="宋体" w:hAnsi="宋体"/>
                <w:b/>
              </w:rPr>
            </w:pPr>
            <w:r>
              <w:rPr>
                <w:rFonts w:hint="eastAsia" w:ascii="宋体" w:hAnsi="宋体"/>
                <w:b/>
              </w:rPr>
              <w:t>古生物名称</w:t>
            </w:r>
          </w:p>
        </w:tc>
        <w:tc>
          <w:tcPr>
            <w:tcW w:w="775" w:type="pct"/>
            <w:vAlign w:val="center"/>
          </w:tcPr>
          <w:p w14:paraId="71BC08F3">
            <w:pPr>
              <w:pStyle w:val="12"/>
              <w:jc w:val="center"/>
              <w:rPr>
                <w:rFonts w:ascii="宋体" w:hAnsi="宋体"/>
                <w:b/>
              </w:rPr>
            </w:pPr>
            <w:r>
              <w:rPr>
                <w:rFonts w:hint="eastAsia" w:ascii="宋体" w:hAnsi="宋体"/>
                <w:b/>
              </w:rPr>
              <w:t>种属</w:t>
            </w:r>
          </w:p>
        </w:tc>
        <w:tc>
          <w:tcPr>
            <w:tcW w:w="879" w:type="pct"/>
            <w:vAlign w:val="center"/>
          </w:tcPr>
          <w:p w14:paraId="458C5713">
            <w:pPr>
              <w:pStyle w:val="12"/>
              <w:jc w:val="center"/>
              <w:rPr>
                <w:rFonts w:ascii="宋体" w:hAnsi="宋体"/>
                <w:b/>
              </w:rPr>
            </w:pPr>
            <w:r>
              <w:rPr>
                <w:rFonts w:hint="eastAsia" w:ascii="宋体" w:hAnsi="宋体"/>
                <w:b/>
              </w:rPr>
              <w:t>数量</w:t>
            </w:r>
          </w:p>
        </w:tc>
        <w:tc>
          <w:tcPr>
            <w:tcW w:w="962" w:type="pct"/>
            <w:vAlign w:val="center"/>
          </w:tcPr>
          <w:p w14:paraId="084599F5">
            <w:pPr>
              <w:pStyle w:val="12"/>
              <w:jc w:val="center"/>
              <w:rPr>
                <w:rFonts w:ascii="宋体" w:hAnsi="宋体"/>
                <w:b/>
              </w:rPr>
            </w:pPr>
            <w:r>
              <w:rPr>
                <w:rFonts w:hint="eastAsia" w:ascii="宋体" w:hAnsi="宋体"/>
                <w:b/>
              </w:rPr>
              <w:t>发现和保护单位</w:t>
            </w:r>
          </w:p>
        </w:tc>
      </w:tr>
      <w:tr w14:paraId="4229AF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2406C701">
            <w:pPr>
              <w:pStyle w:val="12"/>
              <w:jc w:val="left"/>
              <w:rPr>
                <w:rFonts w:ascii="宋体" w:hAnsi="宋体"/>
              </w:rPr>
            </w:pPr>
            <w:r>
              <w:rPr>
                <w:rFonts w:hint="eastAsia" w:ascii="宋体" w:hAnsi="宋体"/>
              </w:rPr>
              <w:t>1960年</w:t>
            </w:r>
          </w:p>
        </w:tc>
        <w:tc>
          <w:tcPr>
            <w:tcW w:w="679" w:type="pct"/>
            <w:vAlign w:val="center"/>
          </w:tcPr>
          <w:p w14:paraId="28FA4E9C">
            <w:pPr>
              <w:pStyle w:val="12"/>
              <w:jc w:val="left"/>
              <w:rPr>
                <w:rFonts w:ascii="宋体" w:hAnsi="宋体"/>
              </w:rPr>
            </w:pPr>
            <w:r>
              <w:rPr>
                <w:rFonts w:hint="eastAsia" w:ascii="宋体" w:hAnsi="宋体"/>
              </w:rPr>
              <w:t>乌迳黄塘</w:t>
            </w:r>
          </w:p>
        </w:tc>
        <w:tc>
          <w:tcPr>
            <w:tcW w:w="872" w:type="pct"/>
            <w:vAlign w:val="center"/>
          </w:tcPr>
          <w:p w14:paraId="7300B35B">
            <w:pPr>
              <w:pStyle w:val="12"/>
              <w:jc w:val="left"/>
              <w:rPr>
                <w:rFonts w:ascii="宋体" w:hAnsi="宋体"/>
              </w:rPr>
            </w:pPr>
            <w:r>
              <w:rPr>
                <w:rFonts w:hint="eastAsia" w:ascii="宋体" w:hAnsi="宋体"/>
              </w:rPr>
              <w:t>恐龙趾骨化石</w:t>
            </w:r>
          </w:p>
        </w:tc>
        <w:tc>
          <w:tcPr>
            <w:tcW w:w="775" w:type="pct"/>
            <w:vAlign w:val="center"/>
          </w:tcPr>
          <w:p w14:paraId="3EF0DED2">
            <w:pPr>
              <w:pStyle w:val="12"/>
              <w:jc w:val="left"/>
              <w:rPr>
                <w:rFonts w:ascii="宋体" w:hAnsi="宋体"/>
              </w:rPr>
            </w:pPr>
            <w:r>
              <w:rPr>
                <w:rFonts w:hint="eastAsia" w:ascii="宋体" w:hAnsi="宋体"/>
              </w:rPr>
              <w:t>未定</w:t>
            </w:r>
          </w:p>
        </w:tc>
        <w:tc>
          <w:tcPr>
            <w:tcW w:w="879" w:type="pct"/>
            <w:vAlign w:val="center"/>
          </w:tcPr>
          <w:p w14:paraId="62D179EE">
            <w:pPr>
              <w:pStyle w:val="12"/>
              <w:jc w:val="left"/>
              <w:rPr>
                <w:rFonts w:ascii="宋体" w:hAnsi="宋体"/>
              </w:rPr>
            </w:pPr>
            <w:r>
              <w:rPr>
                <w:rFonts w:hint="eastAsia" w:ascii="宋体" w:hAnsi="宋体"/>
              </w:rPr>
              <w:t>1块</w:t>
            </w:r>
          </w:p>
        </w:tc>
        <w:tc>
          <w:tcPr>
            <w:tcW w:w="962" w:type="pct"/>
            <w:vAlign w:val="center"/>
          </w:tcPr>
          <w:p w14:paraId="638AF8B4">
            <w:pPr>
              <w:pStyle w:val="12"/>
              <w:jc w:val="left"/>
              <w:rPr>
                <w:rFonts w:ascii="宋体" w:hAnsi="宋体"/>
              </w:rPr>
            </w:pPr>
            <w:r>
              <w:rPr>
                <w:rFonts w:hint="eastAsia" w:ascii="宋体" w:hAnsi="宋体"/>
              </w:rPr>
              <w:t>广东省区测队采集</w:t>
            </w:r>
          </w:p>
        </w:tc>
      </w:tr>
      <w:tr w14:paraId="4A337D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1BA6A0FC">
            <w:pPr>
              <w:pStyle w:val="12"/>
              <w:jc w:val="left"/>
              <w:rPr>
                <w:rFonts w:ascii="宋体" w:hAnsi="宋体"/>
              </w:rPr>
            </w:pPr>
            <w:r>
              <w:rPr>
                <w:rFonts w:hint="eastAsia" w:ascii="宋体" w:hAnsi="宋体"/>
              </w:rPr>
              <w:t>1972年5月</w:t>
            </w:r>
          </w:p>
        </w:tc>
        <w:tc>
          <w:tcPr>
            <w:tcW w:w="679" w:type="pct"/>
            <w:vAlign w:val="center"/>
          </w:tcPr>
          <w:p w14:paraId="7F5AA008">
            <w:pPr>
              <w:pStyle w:val="12"/>
              <w:jc w:val="left"/>
              <w:rPr>
                <w:rFonts w:ascii="宋体" w:hAnsi="宋体"/>
              </w:rPr>
            </w:pPr>
            <w:r>
              <w:rPr>
                <w:rFonts w:hint="eastAsia" w:ascii="宋体" w:hAnsi="宋体"/>
              </w:rPr>
              <w:t>古田古子坑</w:t>
            </w:r>
          </w:p>
        </w:tc>
        <w:tc>
          <w:tcPr>
            <w:tcW w:w="872" w:type="pct"/>
            <w:vAlign w:val="center"/>
          </w:tcPr>
          <w:p w14:paraId="6082FC89">
            <w:pPr>
              <w:pStyle w:val="12"/>
              <w:jc w:val="left"/>
              <w:rPr>
                <w:rFonts w:ascii="宋体" w:hAnsi="宋体"/>
              </w:rPr>
            </w:pPr>
            <w:r>
              <w:rPr>
                <w:rFonts w:hint="eastAsia" w:ascii="宋体" w:hAnsi="宋体"/>
              </w:rPr>
              <w:t>恐龙骨化石</w:t>
            </w:r>
          </w:p>
        </w:tc>
        <w:tc>
          <w:tcPr>
            <w:tcW w:w="775" w:type="pct"/>
            <w:vAlign w:val="center"/>
          </w:tcPr>
          <w:p w14:paraId="1A7598CB">
            <w:pPr>
              <w:pStyle w:val="12"/>
              <w:jc w:val="left"/>
              <w:rPr>
                <w:rFonts w:ascii="宋体" w:hAnsi="宋体"/>
              </w:rPr>
            </w:pPr>
            <w:r>
              <w:rPr>
                <w:rFonts w:hint="eastAsia" w:ascii="宋体" w:hAnsi="宋体"/>
              </w:rPr>
              <w:t>未定</w:t>
            </w:r>
          </w:p>
        </w:tc>
        <w:tc>
          <w:tcPr>
            <w:tcW w:w="879" w:type="pct"/>
            <w:vAlign w:val="center"/>
          </w:tcPr>
          <w:p w14:paraId="64ED09C7">
            <w:pPr>
              <w:pStyle w:val="12"/>
              <w:jc w:val="left"/>
              <w:rPr>
                <w:rFonts w:ascii="宋体" w:hAnsi="宋体"/>
              </w:rPr>
            </w:pPr>
            <w:r>
              <w:rPr>
                <w:rFonts w:hint="eastAsia" w:ascii="宋体" w:hAnsi="宋体"/>
              </w:rPr>
              <w:t>2块</w:t>
            </w:r>
          </w:p>
        </w:tc>
        <w:tc>
          <w:tcPr>
            <w:tcW w:w="962" w:type="pct"/>
            <w:vAlign w:val="center"/>
          </w:tcPr>
          <w:p w14:paraId="309C59A3">
            <w:pPr>
              <w:pStyle w:val="12"/>
              <w:jc w:val="left"/>
              <w:rPr>
                <w:rFonts w:ascii="宋体" w:hAnsi="宋体"/>
              </w:rPr>
            </w:pPr>
            <w:r>
              <w:rPr>
                <w:rFonts w:hint="eastAsia" w:ascii="宋体" w:hAnsi="宋体"/>
              </w:rPr>
              <w:t>上海自然博物馆</w:t>
            </w:r>
          </w:p>
        </w:tc>
      </w:tr>
      <w:tr w14:paraId="2403B8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172A70BA">
            <w:pPr>
              <w:pStyle w:val="12"/>
              <w:jc w:val="left"/>
              <w:rPr>
                <w:rFonts w:ascii="宋体" w:hAnsi="宋体"/>
              </w:rPr>
            </w:pPr>
            <w:r>
              <w:rPr>
                <w:rFonts w:hint="eastAsia" w:ascii="宋体" w:hAnsi="宋体"/>
              </w:rPr>
              <w:t>1974年</w:t>
            </w:r>
          </w:p>
        </w:tc>
        <w:tc>
          <w:tcPr>
            <w:tcW w:w="679" w:type="pct"/>
            <w:vAlign w:val="center"/>
          </w:tcPr>
          <w:p w14:paraId="7B10BD77">
            <w:pPr>
              <w:pStyle w:val="12"/>
              <w:jc w:val="left"/>
              <w:rPr>
                <w:rFonts w:ascii="宋体" w:hAnsi="宋体"/>
              </w:rPr>
            </w:pPr>
            <w:r>
              <w:rPr>
                <w:rFonts w:hint="eastAsia" w:ascii="宋体" w:hAnsi="宋体"/>
              </w:rPr>
              <w:t>水口大坪</w:t>
            </w:r>
          </w:p>
        </w:tc>
        <w:tc>
          <w:tcPr>
            <w:tcW w:w="872" w:type="pct"/>
            <w:vAlign w:val="center"/>
          </w:tcPr>
          <w:p w14:paraId="3806E0F8">
            <w:pPr>
              <w:pStyle w:val="12"/>
              <w:jc w:val="left"/>
              <w:rPr>
                <w:rFonts w:ascii="宋体" w:hAnsi="宋体"/>
              </w:rPr>
            </w:pPr>
            <w:r>
              <w:rPr>
                <w:rFonts w:hint="eastAsia" w:ascii="宋体" w:hAnsi="宋体"/>
              </w:rPr>
              <w:t>恐龙骨化石</w:t>
            </w:r>
          </w:p>
        </w:tc>
        <w:tc>
          <w:tcPr>
            <w:tcW w:w="775" w:type="pct"/>
            <w:vAlign w:val="center"/>
          </w:tcPr>
          <w:p w14:paraId="47F46C72">
            <w:pPr>
              <w:pStyle w:val="12"/>
              <w:jc w:val="left"/>
              <w:rPr>
                <w:rFonts w:ascii="宋体" w:hAnsi="宋体"/>
              </w:rPr>
            </w:pPr>
            <w:r>
              <w:rPr>
                <w:rFonts w:hint="eastAsia" w:ascii="宋体" w:hAnsi="宋体"/>
              </w:rPr>
              <w:t>巨龙亚种短棘南雄龙</w:t>
            </w:r>
          </w:p>
        </w:tc>
        <w:tc>
          <w:tcPr>
            <w:tcW w:w="879" w:type="pct"/>
            <w:vAlign w:val="center"/>
          </w:tcPr>
          <w:p w14:paraId="49054E5E">
            <w:pPr>
              <w:pStyle w:val="12"/>
              <w:jc w:val="left"/>
              <w:rPr>
                <w:rFonts w:ascii="宋体" w:hAnsi="宋体"/>
              </w:rPr>
            </w:pPr>
            <w:r>
              <w:rPr>
                <w:rFonts w:hint="eastAsia" w:ascii="宋体" w:hAnsi="宋体"/>
              </w:rPr>
              <w:t>颈11，背12，荐5，荐一尾椎，腰带</w:t>
            </w:r>
          </w:p>
        </w:tc>
        <w:tc>
          <w:tcPr>
            <w:tcW w:w="962" w:type="pct"/>
            <w:vAlign w:val="center"/>
          </w:tcPr>
          <w:p w14:paraId="32F6A5F8">
            <w:pPr>
              <w:pStyle w:val="12"/>
              <w:jc w:val="left"/>
              <w:rPr>
                <w:rFonts w:ascii="宋体" w:hAnsi="宋体"/>
              </w:rPr>
            </w:pPr>
            <w:r>
              <w:rPr>
                <w:rFonts w:hint="eastAsia" w:ascii="宋体" w:hAnsi="宋体"/>
              </w:rPr>
              <w:t>中国科学院古脊椎动物研究所</w:t>
            </w:r>
          </w:p>
        </w:tc>
      </w:tr>
      <w:tr w14:paraId="1E7605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77C7DCEA">
            <w:pPr>
              <w:pStyle w:val="12"/>
              <w:jc w:val="left"/>
              <w:rPr>
                <w:rFonts w:ascii="宋体" w:hAnsi="宋体"/>
              </w:rPr>
            </w:pPr>
            <w:r>
              <w:rPr>
                <w:rFonts w:hint="eastAsia" w:ascii="宋体" w:hAnsi="宋体"/>
              </w:rPr>
              <w:t>1974年</w:t>
            </w:r>
          </w:p>
        </w:tc>
        <w:tc>
          <w:tcPr>
            <w:tcW w:w="679" w:type="pct"/>
            <w:vAlign w:val="center"/>
          </w:tcPr>
          <w:p w14:paraId="4866BD9A">
            <w:pPr>
              <w:pStyle w:val="12"/>
              <w:jc w:val="left"/>
              <w:rPr>
                <w:rFonts w:ascii="宋体" w:hAnsi="宋体"/>
              </w:rPr>
            </w:pPr>
            <w:r>
              <w:rPr>
                <w:rFonts w:hint="eastAsia" w:ascii="宋体" w:hAnsi="宋体"/>
              </w:rPr>
              <w:t>不详</w:t>
            </w:r>
          </w:p>
        </w:tc>
        <w:tc>
          <w:tcPr>
            <w:tcW w:w="872" w:type="pct"/>
            <w:vAlign w:val="center"/>
          </w:tcPr>
          <w:p w14:paraId="15638761">
            <w:pPr>
              <w:pStyle w:val="12"/>
              <w:jc w:val="left"/>
              <w:rPr>
                <w:rFonts w:ascii="宋体" w:hAnsi="宋体"/>
              </w:rPr>
            </w:pPr>
            <w:r>
              <w:rPr>
                <w:rFonts w:hint="eastAsia" w:ascii="宋体" w:hAnsi="宋体"/>
              </w:rPr>
              <w:t>恐龙牙齿</w:t>
            </w:r>
          </w:p>
        </w:tc>
        <w:tc>
          <w:tcPr>
            <w:tcW w:w="775" w:type="pct"/>
            <w:vAlign w:val="center"/>
          </w:tcPr>
          <w:p w14:paraId="055988FD">
            <w:pPr>
              <w:pStyle w:val="12"/>
              <w:jc w:val="left"/>
              <w:rPr>
                <w:rFonts w:ascii="宋体" w:hAnsi="宋体"/>
              </w:rPr>
            </w:pPr>
            <w:r>
              <w:rPr>
                <w:rFonts w:hint="eastAsia" w:ascii="宋体" w:hAnsi="宋体"/>
              </w:rPr>
              <w:t>暴龙属</w:t>
            </w:r>
          </w:p>
        </w:tc>
        <w:tc>
          <w:tcPr>
            <w:tcW w:w="879" w:type="pct"/>
            <w:vAlign w:val="center"/>
          </w:tcPr>
          <w:p w14:paraId="75DF7116">
            <w:pPr>
              <w:pStyle w:val="12"/>
              <w:jc w:val="left"/>
              <w:rPr>
                <w:rFonts w:ascii="宋体" w:hAnsi="宋体"/>
              </w:rPr>
            </w:pPr>
            <w:r>
              <w:rPr>
                <w:rFonts w:hint="eastAsia" w:ascii="宋体" w:hAnsi="宋体"/>
              </w:rPr>
              <w:t>2个</w:t>
            </w:r>
          </w:p>
        </w:tc>
        <w:tc>
          <w:tcPr>
            <w:tcW w:w="962" w:type="pct"/>
            <w:vAlign w:val="center"/>
          </w:tcPr>
          <w:p w14:paraId="6D8A7720">
            <w:pPr>
              <w:pStyle w:val="12"/>
              <w:jc w:val="left"/>
              <w:rPr>
                <w:rFonts w:ascii="宋体" w:hAnsi="宋体"/>
              </w:rPr>
            </w:pPr>
            <w:r>
              <w:rPr>
                <w:rFonts w:hint="eastAsia" w:ascii="宋体" w:hAnsi="宋体"/>
              </w:rPr>
              <w:t>中国科学院古脊椎动物研究所</w:t>
            </w:r>
          </w:p>
        </w:tc>
      </w:tr>
      <w:tr w14:paraId="10AAFE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5726D27A">
            <w:pPr>
              <w:pStyle w:val="12"/>
              <w:jc w:val="left"/>
              <w:rPr>
                <w:rFonts w:ascii="宋体" w:hAnsi="宋体"/>
              </w:rPr>
            </w:pPr>
            <w:r>
              <w:rPr>
                <w:rFonts w:hint="eastAsia" w:ascii="宋体" w:hAnsi="宋体"/>
              </w:rPr>
              <w:t>1974年</w:t>
            </w:r>
          </w:p>
        </w:tc>
        <w:tc>
          <w:tcPr>
            <w:tcW w:w="679" w:type="pct"/>
            <w:vAlign w:val="center"/>
          </w:tcPr>
          <w:p w14:paraId="2FBAADD6">
            <w:pPr>
              <w:pStyle w:val="12"/>
              <w:jc w:val="left"/>
              <w:rPr>
                <w:rFonts w:ascii="宋体" w:hAnsi="宋体"/>
              </w:rPr>
            </w:pPr>
            <w:r>
              <w:rPr>
                <w:rFonts w:hint="eastAsia" w:ascii="宋体" w:hAnsi="宋体"/>
              </w:rPr>
              <w:t>同上</w:t>
            </w:r>
          </w:p>
        </w:tc>
        <w:tc>
          <w:tcPr>
            <w:tcW w:w="872" w:type="pct"/>
            <w:vAlign w:val="center"/>
          </w:tcPr>
          <w:p w14:paraId="60543269">
            <w:pPr>
              <w:pStyle w:val="12"/>
              <w:jc w:val="left"/>
              <w:rPr>
                <w:rFonts w:ascii="宋体" w:hAnsi="宋体"/>
              </w:rPr>
            </w:pPr>
            <w:r>
              <w:rPr>
                <w:rFonts w:hint="eastAsia" w:ascii="宋体" w:hAnsi="宋体"/>
              </w:rPr>
              <w:t>恐龙骨化石</w:t>
            </w:r>
          </w:p>
        </w:tc>
        <w:tc>
          <w:tcPr>
            <w:tcW w:w="775" w:type="pct"/>
            <w:vAlign w:val="center"/>
          </w:tcPr>
          <w:p w14:paraId="6E6B31DA">
            <w:pPr>
              <w:pStyle w:val="12"/>
              <w:jc w:val="left"/>
              <w:rPr>
                <w:rFonts w:ascii="宋体" w:hAnsi="宋体"/>
              </w:rPr>
            </w:pPr>
            <w:r>
              <w:rPr>
                <w:rFonts w:hint="eastAsia" w:ascii="宋体" w:hAnsi="宋体"/>
              </w:rPr>
              <w:t>未定</w:t>
            </w:r>
          </w:p>
        </w:tc>
        <w:tc>
          <w:tcPr>
            <w:tcW w:w="879" w:type="pct"/>
            <w:vAlign w:val="center"/>
          </w:tcPr>
          <w:p w14:paraId="554EB8D4">
            <w:pPr>
              <w:pStyle w:val="12"/>
              <w:jc w:val="left"/>
              <w:rPr>
                <w:rFonts w:ascii="宋体" w:hAnsi="宋体"/>
              </w:rPr>
            </w:pPr>
            <w:r>
              <w:rPr>
                <w:rFonts w:hint="eastAsia" w:ascii="宋体" w:hAnsi="宋体"/>
              </w:rPr>
              <w:t>脊椎1，碎趾若干</w:t>
            </w:r>
          </w:p>
        </w:tc>
        <w:tc>
          <w:tcPr>
            <w:tcW w:w="962" w:type="pct"/>
            <w:vAlign w:val="center"/>
          </w:tcPr>
          <w:p w14:paraId="52DDB606">
            <w:pPr>
              <w:pStyle w:val="12"/>
              <w:jc w:val="left"/>
              <w:rPr>
                <w:rFonts w:ascii="宋体" w:hAnsi="宋体"/>
              </w:rPr>
            </w:pPr>
            <w:r>
              <w:rPr>
                <w:rFonts w:hint="eastAsia" w:ascii="宋体" w:hAnsi="宋体"/>
              </w:rPr>
              <w:t>同上</w:t>
            </w:r>
          </w:p>
        </w:tc>
      </w:tr>
      <w:tr w14:paraId="28BB00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00A186C2">
            <w:pPr>
              <w:pStyle w:val="12"/>
              <w:jc w:val="left"/>
              <w:rPr>
                <w:rFonts w:ascii="宋体" w:hAnsi="宋体"/>
              </w:rPr>
            </w:pPr>
            <w:r>
              <w:rPr>
                <w:rFonts w:hint="eastAsia" w:ascii="宋体" w:hAnsi="宋体"/>
              </w:rPr>
              <w:t>1974年</w:t>
            </w:r>
          </w:p>
        </w:tc>
        <w:tc>
          <w:tcPr>
            <w:tcW w:w="679" w:type="pct"/>
            <w:vAlign w:val="center"/>
          </w:tcPr>
          <w:p w14:paraId="6A7C0E5C">
            <w:pPr>
              <w:pStyle w:val="12"/>
              <w:jc w:val="left"/>
              <w:rPr>
                <w:rFonts w:ascii="宋体" w:hAnsi="宋体"/>
              </w:rPr>
            </w:pPr>
            <w:r>
              <w:rPr>
                <w:rFonts w:hint="eastAsia" w:ascii="宋体" w:hAnsi="宋体"/>
              </w:rPr>
              <w:t>同上</w:t>
            </w:r>
          </w:p>
        </w:tc>
        <w:tc>
          <w:tcPr>
            <w:tcW w:w="872" w:type="pct"/>
            <w:vAlign w:val="center"/>
          </w:tcPr>
          <w:p w14:paraId="0055B1EC">
            <w:pPr>
              <w:pStyle w:val="12"/>
              <w:jc w:val="left"/>
              <w:rPr>
                <w:rFonts w:ascii="宋体" w:hAnsi="宋体"/>
              </w:rPr>
            </w:pPr>
            <w:r>
              <w:rPr>
                <w:rFonts w:hint="eastAsia" w:ascii="宋体" w:hAnsi="宋体"/>
              </w:rPr>
              <w:t>恐龙下颈骨化石</w:t>
            </w:r>
          </w:p>
        </w:tc>
        <w:tc>
          <w:tcPr>
            <w:tcW w:w="775" w:type="pct"/>
            <w:vAlign w:val="center"/>
          </w:tcPr>
          <w:p w14:paraId="1CEFF455">
            <w:pPr>
              <w:pStyle w:val="12"/>
              <w:jc w:val="left"/>
              <w:rPr>
                <w:rFonts w:ascii="宋体" w:hAnsi="宋体"/>
              </w:rPr>
            </w:pPr>
            <w:r>
              <w:rPr>
                <w:rFonts w:hint="eastAsia" w:ascii="宋体" w:hAnsi="宋体"/>
              </w:rPr>
              <w:t>南雄小鸭嘴龙</w:t>
            </w:r>
          </w:p>
        </w:tc>
        <w:tc>
          <w:tcPr>
            <w:tcW w:w="879" w:type="pct"/>
            <w:vAlign w:val="center"/>
          </w:tcPr>
          <w:p w14:paraId="1D12B332">
            <w:pPr>
              <w:pStyle w:val="12"/>
              <w:jc w:val="left"/>
              <w:rPr>
                <w:rFonts w:ascii="宋体" w:hAnsi="宋体"/>
              </w:rPr>
            </w:pPr>
            <w:r>
              <w:rPr>
                <w:rFonts w:hint="eastAsia" w:ascii="宋体" w:hAnsi="宋体"/>
              </w:rPr>
              <w:t>保存长132毫米</w:t>
            </w:r>
          </w:p>
        </w:tc>
        <w:tc>
          <w:tcPr>
            <w:tcW w:w="962" w:type="pct"/>
            <w:vAlign w:val="center"/>
          </w:tcPr>
          <w:p w14:paraId="16300ECD">
            <w:pPr>
              <w:pStyle w:val="12"/>
              <w:jc w:val="left"/>
              <w:rPr>
                <w:rFonts w:ascii="宋体" w:hAnsi="宋体"/>
              </w:rPr>
            </w:pPr>
            <w:r>
              <w:rPr>
                <w:rFonts w:hint="eastAsia" w:ascii="宋体" w:hAnsi="宋体"/>
              </w:rPr>
              <w:t>706地质队</w:t>
            </w:r>
          </w:p>
        </w:tc>
      </w:tr>
      <w:tr w14:paraId="4A13FB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3CE94AF4">
            <w:pPr>
              <w:pStyle w:val="12"/>
              <w:jc w:val="left"/>
              <w:rPr>
                <w:rFonts w:ascii="宋体" w:hAnsi="宋体"/>
              </w:rPr>
            </w:pPr>
            <w:r>
              <w:rPr>
                <w:rFonts w:hint="eastAsia" w:ascii="宋体" w:hAnsi="宋体"/>
              </w:rPr>
              <w:t>1984年12月至1985年1月</w:t>
            </w:r>
          </w:p>
        </w:tc>
        <w:tc>
          <w:tcPr>
            <w:tcW w:w="679" w:type="pct"/>
            <w:vAlign w:val="center"/>
          </w:tcPr>
          <w:p w14:paraId="00602161">
            <w:pPr>
              <w:pStyle w:val="12"/>
              <w:jc w:val="left"/>
              <w:rPr>
                <w:rFonts w:ascii="宋体" w:hAnsi="宋体"/>
              </w:rPr>
            </w:pPr>
            <w:r>
              <w:rPr>
                <w:rFonts w:hint="eastAsia" w:ascii="宋体" w:hAnsi="宋体"/>
              </w:rPr>
              <w:t>大塘孔村</w:t>
            </w:r>
          </w:p>
        </w:tc>
        <w:tc>
          <w:tcPr>
            <w:tcW w:w="872" w:type="pct"/>
            <w:vAlign w:val="center"/>
          </w:tcPr>
          <w:p w14:paraId="4D789AD8">
            <w:pPr>
              <w:pStyle w:val="12"/>
              <w:jc w:val="left"/>
              <w:rPr>
                <w:rFonts w:ascii="宋体" w:hAnsi="宋体"/>
              </w:rPr>
            </w:pPr>
            <w:r>
              <w:rPr>
                <w:rFonts w:hint="eastAsia" w:ascii="宋体" w:hAnsi="宋体"/>
              </w:rPr>
              <w:t>恐龙骨化石</w:t>
            </w:r>
          </w:p>
        </w:tc>
        <w:tc>
          <w:tcPr>
            <w:tcW w:w="775" w:type="pct"/>
            <w:vAlign w:val="center"/>
          </w:tcPr>
          <w:p w14:paraId="7ACCE7F4">
            <w:pPr>
              <w:pStyle w:val="12"/>
              <w:jc w:val="left"/>
              <w:rPr>
                <w:rFonts w:ascii="宋体" w:hAnsi="宋体"/>
              </w:rPr>
            </w:pPr>
            <w:r>
              <w:rPr>
                <w:rFonts w:hint="eastAsia" w:ascii="宋体" w:hAnsi="宋体"/>
              </w:rPr>
              <w:t>巨龙亚种短棘南雄龙</w:t>
            </w:r>
          </w:p>
        </w:tc>
        <w:tc>
          <w:tcPr>
            <w:tcW w:w="879" w:type="pct"/>
            <w:vAlign w:val="center"/>
          </w:tcPr>
          <w:p w14:paraId="614F527A">
            <w:pPr>
              <w:pStyle w:val="12"/>
              <w:jc w:val="left"/>
              <w:rPr>
                <w:rFonts w:ascii="宋体" w:hAnsi="宋体"/>
              </w:rPr>
            </w:pPr>
            <w:r>
              <w:rPr>
                <w:rFonts w:hint="eastAsia" w:ascii="宋体" w:hAnsi="宋体"/>
              </w:rPr>
              <w:t>颈1，肋1，肱1，尾椎2</w:t>
            </w:r>
          </w:p>
        </w:tc>
        <w:tc>
          <w:tcPr>
            <w:tcW w:w="962" w:type="pct"/>
            <w:vAlign w:val="center"/>
          </w:tcPr>
          <w:p w14:paraId="78972F9A">
            <w:pPr>
              <w:pStyle w:val="12"/>
              <w:jc w:val="left"/>
              <w:rPr>
                <w:rFonts w:ascii="宋体" w:hAnsi="宋体"/>
              </w:rPr>
            </w:pPr>
            <w:r>
              <w:rPr>
                <w:rFonts w:hint="eastAsia" w:ascii="宋体" w:hAnsi="宋体"/>
              </w:rPr>
              <w:t>南雄县博物馆</w:t>
            </w:r>
          </w:p>
        </w:tc>
      </w:tr>
      <w:tr w14:paraId="5E111D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7E93D27C">
            <w:pPr>
              <w:pStyle w:val="12"/>
              <w:jc w:val="left"/>
              <w:rPr>
                <w:rFonts w:ascii="宋体" w:hAnsi="宋体"/>
              </w:rPr>
            </w:pPr>
            <w:r>
              <w:rPr>
                <w:rFonts w:hint="eastAsia" w:ascii="宋体" w:hAnsi="宋体"/>
              </w:rPr>
              <w:t>同上</w:t>
            </w:r>
          </w:p>
        </w:tc>
        <w:tc>
          <w:tcPr>
            <w:tcW w:w="679" w:type="pct"/>
            <w:vAlign w:val="center"/>
          </w:tcPr>
          <w:p w14:paraId="131276CF">
            <w:pPr>
              <w:pStyle w:val="12"/>
              <w:jc w:val="left"/>
              <w:rPr>
                <w:rFonts w:ascii="宋体" w:hAnsi="宋体"/>
              </w:rPr>
            </w:pPr>
            <w:r>
              <w:rPr>
                <w:rFonts w:hint="eastAsia" w:ascii="宋体" w:hAnsi="宋体"/>
              </w:rPr>
              <w:t>乌迳鱼塘背、鹧鸪洞、石狗岭</w:t>
            </w:r>
          </w:p>
        </w:tc>
        <w:tc>
          <w:tcPr>
            <w:tcW w:w="872" w:type="pct"/>
            <w:vAlign w:val="center"/>
          </w:tcPr>
          <w:p w14:paraId="6A356A38">
            <w:pPr>
              <w:pStyle w:val="12"/>
              <w:jc w:val="left"/>
              <w:rPr>
                <w:rFonts w:ascii="宋体" w:hAnsi="宋体"/>
              </w:rPr>
            </w:pPr>
            <w:r>
              <w:rPr>
                <w:rFonts w:hint="eastAsia" w:ascii="宋体" w:hAnsi="宋体"/>
              </w:rPr>
              <w:t>同上</w:t>
            </w:r>
          </w:p>
        </w:tc>
        <w:tc>
          <w:tcPr>
            <w:tcW w:w="775" w:type="pct"/>
            <w:vAlign w:val="center"/>
          </w:tcPr>
          <w:p w14:paraId="3FAB12CA">
            <w:pPr>
              <w:pStyle w:val="12"/>
              <w:jc w:val="left"/>
              <w:rPr>
                <w:rFonts w:ascii="宋体" w:hAnsi="宋体"/>
              </w:rPr>
            </w:pPr>
            <w:r>
              <w:rPr>
                <w:rFonts w:hint="eastAsia" w:ascii="宋体" w:hAnsi="宋体"/>
              </w:rPr>
              <w:t>同上</w:t>
            </w:r>
          </w:p>
        </w:tc>
        <w:tc>
          <w:tcPr>
            <w:tcW w:w="879" w:type="pct"/>
            <w:vAlign w:val="center"/>
          </w:tcPr>
          <w:p w14:paraId="70689796">
            <w:pPr>
              <w:pStyle w:val="12"/>
              <w:jc w:val="left"/>
              <w:rPr>
                <w:rFonts w:ascii="宋体" w:hAnsi="宋体"/>
              </w:rPr>
            </w:pPr>
            <w:r>
              <w:rPr>
                <w:rFonts w:hint="eastAsia" w:ascii="宋体" w:hAnsi="宋体"/>
              </w:rPr>
              <w:t>颈1，背10，荐3，尾椎10，胫2，肱1</w:t>
            </w:r>
          </w:p>
        </w:tc>
        <w:tc>
          <w:tcPr>
            <w:tcW w:w="962" w:type="pct"/>
            <w:vAlign w:val="center"/>
          </w:tcPr>
          <w:p w14:paraId="0D44D51C">
            <w:pPr>
              <w:pStyle w:val="12"/>
              <w:jc w:val="left"/>
              <w:rPr>
                <w:rFonts w:ascii="宋体" w:hAnsi="宋体"/>
              </w:rPr>
            </w:pPr>
            <w:r>
              <w:rPr>
                <w:rFonts w:hint="eastAsia" w:ascii="宋体" w:hAnsi="宋体"/>
              </w:rPr>
              <w:t>同上</w:t>
            </w:r>
          </w:p>
        </w:tc>
      </w:tr>
      <w:tr w14:paraId="6FAABC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57ECC523">
            <w:pPr>
              <w:pStyle w:val="12"/>
              <w:jc w:val="left"/>
              <w:rPr>
                <w:rFonts w:ascii="宋体" w:hAnsi="宋体"/>
              </w:rPr>
            </w:pPr>
            <w:r>
              <w:rPr>
                <w:rFonts w:hint="eastAsia" w:ascii="宋体" w:hAnsi="宋体"/>
              </w:rPr>
              <w:t>同上</w:t>
            </w:r>
          </w:p>
        </w:tc>
        <w:tc>
          <w:tcPr>
            <w:tcW w:w="679" w:type="pct"/>
            <w:vAlign w:val="center"/>
          </w:tcPr>
          <w:p w14:paraId="26F5640B">
            <w:pPr>
              <w:pStyle w:val="12"/>
              <w:jc w:val="left"/>
              <w:rPr>
                <w:rFonts w:ascii="宋体" w:hAnsi="宋体"/>
              </w:rPr>
            </w:pPr>
            <w:r>
              <w:rPr>
                <w:rFonts w:hint="eastAsia" w:ascii="宋体" w:hAnsi="宋体"/>
              </w:rPr>
              <w:t>乌迳园岭水库对面岭</w:t>
            </w:r>
          </w:p>
        </w:tc>
        <w:tc>
          <w:tcPr>
            <w:tcW w:w="872" w:type="pct"/>
            <w:vAlign w:val="center"/>
          </w:tcPr>
          <w:p w14:paraId="2269D22A">
            <w:pPr>
              <w:pStyle w:val="12"/>
              <w:jc w:val="left"/>
              <w:rPr>
                <w:rFonts w:ascii="宋体" w:hAnsi="宋体"/>
              </w:rPr>
            </w:pPr>
            <w:r>
              <w:rPr>
                <w:rFonts w:hint="eastAsia" w:ascii="宋体" w:hAnsi="宋体"/>
              </w:rPr>
              <w:t>同上</w:t>
            </w:r>
          </w:p>
        </w:tc>
        <w:tc>
          <w:tcPr>
            <w:tcW w:w="775" w:type="pct"/>
            <w:vAlign w:val="center"/>
          </w:tcPr>
          <w:p w14:paraId="35B2653A">
            <w:pPr>
              <w:pStyle w:val="12"/>
              <w:jc w:val="left"/>
              <w:rPr>
                <w:rFonts w:ascii="宋体" w:hAnsi="宋体"/>
              </w:rPr>
            </w:pPr>
            <w:r>
              <w:rPr>
                <w:rFonts w:hint="eastAsia" w:ascii="宋体" w:hAnsi="宋体"/>
              </w:rPr>
              <w:t>同上</w:t>
            </w:r>
          </w:p>
        </w:tc>
        <w:tc>
          <w:tcPr>
            <w:tcW w:w="879" w:type="pct"/>
            <w:vAlign w:val="center"/>
          </w:tcPr>
          <w:p w14:paraId="5EE4BF6B">
            <w:pPr>
              <w:pStyle w:val="12"/>
              <w:jc w:val="left"/>
              <w:rPr>
                <w:rFonts w:ascii="宋体" w:hAnsi="宋体"/>
              </w:rPr>
            </w:pPr>
            <w:r>
              <w:rPr>
                <w:rFonts w:hint="eastAsia" w:ascii="宋体" w:hAnsi="宋体"/>
              </w:rPr>
              <w:t>背3，股1</w:t>
            </w:r>
          </w:p>
        </w:tc>
        <w:tc>
          <w:tcPr>
            <w:tcW w:w="962" w:type="pct"/>
            <w:vAlign w:val="center"/>
          </w:tcPr>
          <w:p w14:paraId="652DD995">
            <w:pPr>
              <w:pStyle w:val="12"/>
              <w:jc w:val="left"/>
              <w:rPr>
                <w:rFonts w:ascii="宋体" w:hAnsi="宋体"/>
              </w:rPr>
            </w:pPr>
            <w:r>
              <w:rPr>
                <w:rFonts w:hint="eastAsia" w:ascii="宋体" w:hAnsi="宋体"/>
              </w:rPr>
              <w:t>同上</w:t>
            </w:r>
          </w:p>
        </w:tc>
      </w:tr>
      <w:tr w14:paraId="5882C5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23D8E92E">
            <w:pPr>
              <w:pStyle w:val="12"/>
              <w:jc w:val="left"/>
              <w:rPr>
                <w:rFonts w:ascii="宋体" w:hAnsi="宋体"/>
              </w:rPr>
            </w:pPr>
            <w:r>
              <w:rPr>
                <w:rFonts w:hint="eastAsia" w:ascii="宋体" w:hAnsi="宋体"/>
              </w:rPr>
              <w:t>1985年5月</w:t>
            </w:r>
          </w:p>
        </w:tc>
        <w:tc>
          <w:tcPr>
            <w:tcW w:w="679" w:type="pct"/>
            <w:vAlign w:val="center"/>
          </w:tcPr>
          <w:p w14:paraId="115E7514">
            <w:pPr>
              <w:pStyle w:val="12"/>
              <w:jc w:val="left"/>
              <w:rPr>
                <w:rFonts w:ascii="宋体" w:hAnsi="宋体"/>
              </w:rPr>
            </w:pPr>
            <w:r>
              <w:rPr>
                <w:rFonts w:hint="eastAsia" w:ascii="宋体" w:hAnsi="宋体"/>
              </w:rPr>
              <w:t>新城区水南岭</w:t>
            </w:r>
          </w:p>
        </w:tc>
        <w:tc>
          <w:tcPr>
            <w:tcW w:w="872" w:type="pct"/>
            <w:vAlign w:val="center"/>
          </w:tcPr>
          <w:p w14:paraId="7E572E25">
            <w:pPr>
              <w:pStyle w:val="12"/>
              <w:jc w:val="left"/>
              <w:rPr>
                <w:rFonts w:ascii="宋体" w:hAnsi="宋体"/>
              </w:rPr>
            </w:pPr>
            <w:r>
              <w:rPr>
                <w:rFonts w:hint="eastAsia" w:ascii="宋体" w:hAnsi="宋体"/>
              </w:rPr>
              <w:t>蜥蜴类化石</w:t>
            </w:r>
          </w:p>
        </w:tc>
        <w:tc>
          <w:tcPr>
            <w:tcW w:w="775" w:type="pct"/>
            <w:vAlign w:val="center"/>
          </w:tcPr>
          <w:p w14:paraId="3F9B7282">
            <w:pPr>
              <w:pStyle w:val="12"/>
              <w:jc w:val="left"/>
              <w:rPr>
                <w:rFonts w:ascii="宋体" w:hAnsi="宋体"/>
              </w:rPr>
            </w:pPr>
            <w:r>
              <w:rPr>
                <w:rFonts w:hint="eastAsia" w:ascii="宋体" w:hAnsi="宋体"/>
              </w:rPr>
              <w:t>蜥蜴类</w:t>
            </w:r>
          </w:p>
        </w:tc>
        <w:tc>
          <w:tcPr>
            <w:tcW w:w="879" w:type="pct"/>
            <w:vAlign w:val="center"/>
          </w:tcPr>
          <w:p w14:paraId="78F83B53">
            <w:pPr>
              <w:pStyle w:val="12"/>
              <w:jc w:val="left"/>
              <w:rPr>
                <w:rFonts w:ascii="宋体" w:hAnsi="宋体"/>
              </w:rPr>
            </w:pPr>
            <w:r>
              <w:rPr>
                <w:rFonts w:hint="eastAsia" w:ascii="宋体" w:hAnsi="宋体"/>
              </w:rPr>
              <w:t>肋1，椎1，完整</w:t>
            </w:r>
          </w:p>
        </w:tc>
        <w:tc>
          <w:tcPr>
            <w:tcW w:w="962" w:type="pct"/>
            <w:vAlign w:val="center"/>
          </w:tcPr>
          <w:p w14:paraId="2BBA1561">
            <w:pPr>
              <w:pStyle w:val="12"/>
              <w:jc w:val="left"/>
              <w:rPr>
                <w:rFonts w:ascii="宋体" w:hAnsi="宋体"/>
              </w:rPr>
            </w:pPr>
            <w:r>
              <w:rPr>
                <w:rFonts w:hint="eastAsia" w:ascii="宋体" w:hAnsi="宋体"/>
              </w:rPr>
              <w:t>同上</w:t>
            </w:r>
          </w:p>
        </w:tc>
      </w:tr>
      <w:tr w14:paraId="1B2766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010F5962">
            <w:pPr>
              <w:pStyle w:val="12"/>
              <w:jc w:val="left"/>
              <w:rPr>
                <w:rFonts w:ascii="宋体" w:hAnsi="宋体"/>
              </w:rPr>
            </w:pPr>
            <w:r>
              <w:rPr>
                <w:rFonts w:hint="eastAsia" w:ascii="宋体" w:hAnsi="宋体"/>
              </w:rPr>
              <w:t>1986年4月20日</w:t>
            </w:r>
          </w:p>
        </w:tc>
        <w:tc>
          <w:tcPr>
            <w:tcW w:w="679" w:type="pct"/>
            <w:vAlign w:val="center"/>
          </w:tcPr>
          <w:p w14:paraId="12EC3900">
            <w:pPr>
              <w:pStyle w:val="12"/>
              <w:jc w:val="left"/>
              <w:rPr>
                <w:rFonts w:ascii="宋体" w:hAnsi="宋体"/>
              </w:rPr>
            </w:pPr>
            <w:r>
              <w:rPr>
                <w:rFonts w:hint="eastAsia" w:ascii="宋体" w:hAnsi="宋体"/>
              </w:rPr>
              <w:t>同上</w:t>
            </w:r>
          </w:p>
        </w:tc>
        <w:tc>
          <w:tcPr>
            <w:tcW w:w="872" w:type="pct"/>
            <w:vAlign w:val="center"/>
          </w:tcPr>
          <w:p w14:paraId="3A17DB8F">
            <w:pPr>
              <w:pStyle w:val="12"/>
              <w:jc w:val="left"/>
              <w:rPr>
                <w:rFonts w:ascii="宋体" w:hAnsi="宋体"/>
              </w:rPr>
            </w:pPr>
            <w:r>
              <w:rPr>
                <w:rFonts w:hint="eastAsia" w:ascii="宋体" w:hAnsi="宋体"/>
              </w:rPr>
              <w:t>恐龙骨化石</w:t>
            </w:r>
          </w:p>
        </w:tc>
        <w:tc>
          <w:tcPr>
            <w:tcW w:w="775" w:type="pct"/>
            <w:vAlign w:val="center"/>
          </w:tcPr>
          <w:p w14:paraId="6063FED4">
            <w:pPr>
              <w:pStyle w:val="12"/>
              <w:jc w:val="left"/>
              <w:rPr>
                <w:rFonts w:ascii="宋体" w:hAnsi="宋体"/>
              </w:rPr>
            </w:pPr>
            <w:r>
              <w:rPr>
                <w:rFonts w:hint="eastAsia" w:ascii="宋体" w:hAnsi="宋体"/>
              </w:rPr>
              <w:t>未定</w:t>
            </w:r>
          </w:p>
        </w:tc>
        <w:tc>
          <w:tcPr>
            <w:tcW w:w="879" w:type="pct"/>
            <w:vAlign w:val="center"/>
          </w:tcPr>
          <w:p w14:paraId="2BA4FC58">
            <w:pPr>
              <w:pStyle w:val="12"/>
              <w:jc w:val="left"/>
              <w:rPr>
                <w:rFonts w:ascii="宋体" w:hAnsi="宋体"/>
              </w:rPr>
            </w:pPr>
            <w:r>
              <w:rPr>
                <w:rFonts w:hint="eastAsia" w:ascii="宋体" w:hAnsi="宋体"/>
              </w:rPr>
              <w:t>肱1，腿1</w:t>
            </w:r>
          </w:p>
        </w:tc>
        <w:tc>
          <w:tcPr>
            <w:tcW w:w="962" w:type="pct"/>
            <w:vAlign w:val="center"/>
          </w:tcPr>
          <w:p w14:paraId="5E7C3EB7">
            <w:pPr>
              <w:pStyle w:val="12"/>
              <w:jc w:val="left"/>
              <w:rPr>
                <w:rFonts w:ascii="宋体" w:hAnsi="宋体"/>
              </w:rPr>
            </w:pPr>
            <w:r>
              <w:rPr>
                <w:rFonts w:hint="eastAsia" w:ascii="宋体" w:hAnsi="宋体"/>
              </w:rPr>
              <w:t>同上</w:t>
            </w:r>
          </w:p>
        </w:tc>
      </w:tr>
      <w:tr w14:paraId="0258F2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0251288A">
            <w:pPr>
              <w:pStyle w:val="12"/>
              <w:jc w:val="left"/>
              <w:rPr>
                <w:rFonts w:ascii="宋体" w:hAnsi="宋体"/>
              </w:rPr>
            </w:pPr>
            <w:r>
              <w:rPr>
                <w:rFonts w:hint="eastAsia" w:ascii="宋体" w:hAnsi="宋体"/>
              </w:rPr>
              <w:t>1985年4月</w:t>
            </w:r>
          </w:p>
        </w:tc>
        <w:tc>
          <w:tcPr>
            <w:tcW w:w="679" w:type="pct"/>
            <w:vAlign w:val="center"/>
          </w:tcPr>
          <w:p w14:paraId="5285CA72">
            <w:pPr>
              <w:pStyle w:val="12"/>
              <w:jc w:val="left"/>
              <w:rPr>
                <w:rFonts w:ascii="宋体" w:hAnsi="宋体"/>
              </w:rPr>
            </w:pPr>
            <w:r>
              <w:rPr>
                <w:rFonts w:hint="eastAsia" w:ascii="宋体" w:hAnsi="宋体"/>
              </w:rPr>
              <w:t>新城区</w:t>
            </w:r>
          </w:p>
        </w:tc>
        <w:tc>
          <w:tcPr>
            <w:tcW w:w="872" w:type="pct"/>
            <w:vAlign w:val="center"/>
          </w:tcPr>
          <w:p w14:paraId="66C45692">
            <w:pPr>
              <w:pStyle w:val="12"/>
              <w:jc w:val="left"/>
              <w:rPr>
                <w:rFonts w:ascii="宋体" w:hAnsi="宋体"/>
              </w:rPr>
            </w:pPr>
            <w:r>
              <w:rPr>
                <w:rFonts w:hint="eastAsia" w:ascii="宋体" w:hAnsi="宋体"/>
              </w:rPr>
              <w:t>恐龙肋骨化石</w:t>
            </w:r>
          </w:p>
        </w:tc>
        <w:tc>
          <w:tcPr>
            <w:tcW w:w="775" w:type="pct"/>
            <w:vAlign w:val="center"/>
          </w:tcPr>
          <w:p w14:paraId="403026A0">
            <w:pPr>
              <w:pStyle w:val="12"/>
              <w:jc w:val="left"/>
              <w:rPr>
                <w:rFonts w:ascii="宋体" w:hAnsi="宋体"/>
              </w:rPr>
            </w:pPr>
            <w:r>
              <w:rPr>
                <w:rFonts w:hint="eastAsia" w:ascii="宋体" w:hAnsi="宋体"/>
              </w:rPr>
              <w:t>未定</w:t>
            </w:r>
          </w:p>
        </w:tc>
        <w:tc>
          <w:tcPr>
            <w:tcW w:w="879" w:type="pct"/>
            <w:vAlign w:val="center"/>
          </w:tcPr>
          <w:p w14:paraId="2B55D5CE">
            <w:pPr>
              <w:pStyle w:val="12"/>
              <w:jc w:val="left"/>
              <w:rPr>
                <w:rFonts w:ascii="宋体" w:hAnsi="宋体"/>
              </w:rPr>
            </w:pPr>
            <w:r>
              <w:rPr>
                <w:rFonts w:hint="eastAsia" w:ascii="宋体" w:hAnsi="宋体"/>
              </w:rPr>
              <w:t>3根</w:t>
            </w:r>
          </w:p>
        </w:tc>
        <w:tc>
          <w:tcPr>
            <w:tcW w:w="962" w:type="pct"/>
            <w:vAlign w:val="center"/>
          </w:tcPr>
          <w:p w14:paraId="6EFF2B1E">
            <w:pPr>
              <w:pStyle w:val="12"/>
              <w:jc w:val="left"/>
              <w:rPr>
                <w:rFonts w:ascii="宋体" w:hAnsi="宋体"/>
              </w:rPr>
            </w:pPr>
            <w:r>
              <w:rPr>
                <w:rFonts w:hint="eastAsia" w:ascii="宋体" w:hAnsi="宋体"/>
              </w:rPr>
              <w:t>同上</w:t>
            </w:r>
          </w:p>
        </w:tc>
      </w:tr>
      <w:tr w14:paraId="7DBC601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088B33AB">
            <w:pPr>
              <w:pStyle w:val="12"/>
              <w:jc w:val="left"/>
              <w:rPr>
                <w:rFonts w:ascii="宋体" w:hAnsi="宋体"/>
              </w:rPr>
            </w:pPr>
            <w:r>
              <w:rPr>
                <w:rFonts w:hint="eastAsia" w:ascii="宋体" w:hAnsi="宋体"/>
              </w:rPr>
              <w:t>1993年1月</w:t>
            </w:r>
          </w:p>
        </w:tc>
        <w:tc>
          <w:tcPr>
            <w:tcW w:w="679" w:type="pct"/>
            <w:vAlign w:val="center"/>
          </w:tcPr>
          <w:p w14:paraId="4636CCC4">
            <w:pPr>
              <w:pStyle w:val="12"/>
              <w:jc w:val="left"/>
              <w:rPr>
                <w:rFonts w:ascii="宋体" w:hAnsi="宋体"/>
              </w:rPr>
            </w:pPr>
            <w:r>
              <w:rPr>
                <w:rFonts w:hint="eastAsia" w:ascii="宋体" w:hAnsi="宋体"/>
              </w:rPr>
              <w:t>新城区</w:t>
            </w:r>
          </w:p>
        </w:tc>
        <w:tc>
          <w:tcPr>
            <w:tcW w:w="872" w:type="pct"/>
            <w:vAlign w:val="center"/>
          </w:tcPr>
          <w:p w14:paraId="3A786B3A">
            <w:pPr>
              <w:pStyle w:val="12"/>
              <w:jc w:val="left"/>
              <w:rPr>
                <w:rFonts w:ascii="宋体" w:hAnsi="宋体"/>
              </w:rPr>
            </w:pPr>
            <w:r>
              <w:rPr>
                <w:rFonts w:hint="eastAsia" w:ascii="宋体" w:hAnsi="宋体"/>
              </w:rPr>
              <w:t>恐龙骨化石</w:t>
            </w:r>
          </w:p>
        </w:tc>
        <w:tc>
          <w:tcPr>
            <w:tcW w:w="775" w:type="pct"/>
            <w:vAlign w:val="center"/>
          </w:tcPr>
          <w:p w14:paraId="1737B6BC">
            <w:pPr>
              <w:pStyle w:val="12"/>
              <w:jc w:val="left"/>
              <w:rPr>
                <w:rFonts w:ascii="宋体" w:hAnsi="宋体"/>
              </w:rPr>
            </w:pPr>
            <w:r>
              <w:rPr>
                <w:rFonts w:hint="eastAsia" w:ascii="宋体" w:hAnsi="宋体"/>
              </w:rPr>
              <w:t>未定</w:t>
            </w:r>
          </w:p>
        </w:tc>
        <w:tc>
          <w:tcPr>
            <w:tcW w:w="879" w:type="pct"/>
            <w:vAlign w:val="center"/>
          </w:tcPr>
          <w:p w14:paraId="351E6769">
            <w:pPr>
              <w:pStyle w:val="12"/>
              <w:jc w:val="left"/>
              <w:rPr>
                <w:rFonts w:ascii="宋体" w:hAnsi="宋体"/>
              </w:rPr>
            </w:pPr>
            <w:r>
              <w:rPr>
                <w:rFonts w:hint="eastAsia" w:ascii="宋体" w:hAnsi="宋体"/>
              </w:rPr>
              <w:t>肋1，椎1，趾1，胫1，肱1</w:t>
            </w:r>
          </w:p>
        </w:tc>
        <w:tc>
          <w:tcPr>
            <w:tcW w:w="962" w:type="pct"/>
            <w:vAlign w:val="center"/>
          </w:tcPr>
          <w:p w14:paraId="7F50C6C3">
            <w:pPr>
              <w:pStyle w:val="12"/>
              <w:jc w:val="left"/>
              <w:rPr>
                <w:rFonts w:ascii="宋体" w:hAnsi="宋体"/>
              </w:rPr>
            </w:pPr>
            <w:r>
              <w:rPr>
                <w:rFonts w:hint="eastAsia" w:ascii="宋体" w:hAnsi="宋体"/>
              </w:rPr>
              <w:t>同上</w:t>
            </w:r>
          </w:p>
        </w:tc>
      </w:tr>
    </w:tbl>
    <w:p w14:paraId="78F018B7">
      <w:pPr>
        <w:ind w:firstLine="420"/>
        <w:rPr>
          <w:rFonts w:ascii="宋体" w:hAnsi="宋体"/>
          <w:szCs w:val="21"/>
        </w:rPr>
      </w:pPr>
      <w:r>
        <w:rPr>
          <w:rFonts w:ascii="宋体" w:hAnsi="宋体"/>
          <w:szCs w:val="21"/>
        </w:rPr>
        <w:t>2.恐龙蛋化石挖掘</w:t>
      </w:r>
    </w:p>
    <w:p w14:paraId="61851E43">
      <w:pPr>
        <w:ind w:firstLine="0" w:firstLineChars="0"/>
        <w:jc w:val="center"/>
        <w:rPr>
          <w:rFonts w:ascii="宋体" w:hAnsi="宋体"/>
          <w:b/>
          <w:szCs w:val="21"/>
        </w:rPr>
      </w:pPr>
      <w:r>
        <w:rPr>
          <w:rFonts w:hint="eastAsia" w:ascii="宋体" w:hAnsi="宋体"/>
          <w:b/>
          <w:szCs w:val="21"/>
        </w:rPr>
        <w:t>南雄恐龙蛋化石挖掘情况</w:t>
      </w:r>
    </w:p>
    <w:p w14:paraId="2B03C8CA">
      <w:pPr>
        <w:ind w:firstLine="0" w:firstLineChars="0"/>
        <w:rPr>
          <w:rFonts w:ascii="宋体" w:hAnsi="宋体"/>
          <w:b/>
          <w:szCs w:val="21"/>
        </w:rPr>
      </w:pPr>
      <w:r>
        <w:rPr>
          <w:rFonts w:hint="eastAsia" w:ascii="宋体" w:hAnsi="宋体"/>
          <w:b/>
          <w:szCs w:val="21"/>
        </w:rPr>
        <w:t>表</w:t>
      </w:r>
      <w:r>
        <w:rPr>
          <w:rFonts w:ascii="宋体" w:hAnsi="宋体"/>
          <w:b/>
          <w:szCs w:val="21"/>
        </w:rPr>
        <w:t>1-8</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40"/>
        <w:gridCol w:w="2124"/>
        <w:gridCol w:w="869"/>
        <w:gridCol w:w="869"/>
        <w:gridCol w:w="3860"/>
      </w:tblGrid>
      <w:tr w14:paraId="6238B8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1C8CE6C4">
            <w:pPr>
              <w:pStyle w:val="12"/>
              <w:jc w:val="center"/>
              <w:rPr>
                <w:rFonts w:ascii="宋体" w:hAnsi="宋体"/>
                <w:b/>
              </w:rPr>
            </w:pPr>
            <w:r>
              <w:rPr>
                <w:rFonts w:hint="eastAsia" w:ascii="宋体" w:hAnsi="宋体"/>
                <w:b/>
              </w:rPr>
              <w:t>时间</w:t>
            </w:r>
          </w:p>
        </w:tc>
        <w:tc>
          <w:tcPr>
            <w:tcW w:w="1066" w:type="pct"/>
            <w:vAlign w:val="center"/>
          </w:tcPr>
          <w:p w14:paraId="4703BD4E">
            <w:pPr>
              <w:pStyle w:val="12"/>
              <w:jc w:val="center"/>
              <w:rPr>
                <w:rFonts w:ascii="宋体" w:hAnsi="宋体"/>
                <w:b/>
              </w:rPr>
            </w:pPr>
            <w:r>
              <w:rPr>
                <w:rFonts w:hint="eastAsia" w:ascii="宋体" w:hAnsi="宋体"/>
                <w:b/>
              </w:rPr>
              <w:t>地点</w:t>
            </w:r>
          </w:p>
        </w:tc>
        <w:tc>
          <w:tcPr>
            <w:tcW w:w="436" w:type="pct"/>
            <w:vAlign w:val="center"/>
          </w:tcPr>
          <w:p w14:paraId="5592FFBB">
            <w:pPr>
              <w:pStyle w:val="12"/>
              <w:jc w:val="center"/>
              <w:rPr>
                <w:rFonts w:ascii="宋体" w:hAnsi="宋体"/>
                <w:b/>
              </w:rPr>
            </w:pPr>
            <w:r>
              <w:rPr>
                <w:rFonts w:hint="eastAsia" w:ascii="宋体" w:hAnsi="宋体"/>
                <w:b/>
              </w:rPr>
              <w:t>窝数</w:t>
            </w:r>
          </w:p>
        </w:tc>
        <w:tc>
          <w:tcPr>
            <w:tcW w:w="436" w:type="pct"/>
            <w:vAlign w:val="center"/>
          </w:tcPr>
          <w:p w14:paraId="2691D878">
            <w:pPr>
              <w:pStyle w:val="12"/>
              <w:jc w:val="center"/>
              <w:rPr>
                <w:rFonts w:ascii="宋体" w:hAnsi="宋体"/>
                <w:b/>
              </w:rPr>
            </w:pPr>
            <w:r>
              <w:rPr>
                <w:rFonts w:hint="eastAsia" w:ascii="宋体" w:hAnsi="宋体"/>
                <w:b/>
              </w:rPr>
              <w:t>个数</w:t>
            </w:r>
          </w:p>
        </w:tc>
        <w:tc>
          <w:tcPr>
            <w:tcW w:w="1937" w:type="pct"/>
            <w:vAlign w:val="center"/>
          </w:tcPr>
          <w:p w14:paraId="4ABC0818">
            <w:pPr>
              <w:pStyle w:val="12"/>
              <w:jc w:val="center"/>
              <w:rPr>
                <w:rFonts w:ascii="宋体" w:hAnsi="宋体"/>
                <w:b/>
              </w:rPr>
            </w:pPr>
            <w:r>
              <w:rPr>
                <w:rFonts w:hint="eastAsia" w:ascii="宋体" w:hAnsi="宋体"/>
                <w:b/>
              </w:rPr>
              <w:t>挖掘及保存单位</w:t>
            </w:r>
          </w:p>
        </w:tc>
      </w:tr>
      <w:tr w14:paraId="436909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57EEE3AD">
            <w:pPr>
              <w:pStyle w:val="12"/>
              <w:jc w:val="left"/>
              <w:rPr>
                <w:rFonts w:ascii="宋体" w:hAnsi="宋体"/>
              </w:rPr>
            </w:pPr>
            <w:r>
              <w:rPr>
                <w:rFonts w:hint="eastAsia" w:ascii="宋体" w:hAnsi="宋体"/>
              </w:rPr>
              <w:t>1962年至1972年</w:t>
            </w:r>
          </w:p>
        </w:tc>
        <w:tc>
          <w:tcPr>
            <w:tcW w:w="1066" w:type="pct"/>
            <w:vAlign w:val="center"/>
          </w:tcPr>
          <w:p w14:paraId="4306CFDE">
            <w:pPr>
              <w:pStyle w:val="12"/>
              <w:jc w:val="left"/>
              <w:rPr>
                <w:rFonts w:ascii="宋体" w:hAnsi="宋体"/>
              </w:rPr>
            </w:pPr>
            <w:r>
              <w:rPr>
                <w:rFonts w:hint="eastAsia" w:ascii="宋体" w:hAnsi="宋体"/>
              </w:rPr>
              <w:t>南雄组</w:t>
            </w:r>
          </w:p>
        </w:tc>
        <w:tc>
          <w:tcPr>
            <w:tcW w:w="436" w:type="pct"/>
            <w:vAlign w:val="center"/>
          </w:tcPr>
          <w:p w14:paraId="114CBBD0">
            <w:pPr>
              <w:pStyle w:val="12"/>
              <w:jc w:val="center"/>
              <w:rPr>
                <w:rFonts w:ascii="宋体" w:hAnsi="宋体"/>
              </w:rPr>
            </w:pPr>
            <w:r>
              <w:rPr>
                <w:rFonts w:hint="eastAsia" w:ascii="宋体" w:hAnsi="宋体"/>
              </w:rPr>
              <w:t>39</w:t>
            </w:r>
          </w:p>
        </w:tc>
        <w:tc>
          <w:tcPr>
            <w:tcW w:w="436" w:type="pct"/>
            <w:vAlign w:val="center"/>
          </w:tcPr>
          <w:p w14:paraId="23A21DC0">
            <w:pPr>
              <w:pStyle w:val="12"/>
              <w:jc w:val="center"/>
              <w:rPr>
                <w:rFonts w:ascii="宋体" w:hAnsi="宋体"/>
              </w:rPr>
            </w:pPr>
            <w:r>
              <w:rPr>
                <w:rFonts w:hint="eastAsia" w:ascii="宋体" w:hAnsi="宋体"/>
              </w:rPr>
              <w:t>78</w:t>
            </w:r>
          </w:p>
        </w:tc>
        <w:tc>
          <w:tcPr>
            <w:tcW w:w="1937" w:type="pct"/>
            <w:vAlign w:val="center"/>
          </w:tcPr>
          <w:p w14:paraId="6350EBF7">
            <w:pPr>
              <w:pStyle w:val="12"/>
              <w:jc w:val="left"/>
              <w:rPr>
                <w:rFonts w:ascii="宋体" w:hAnsi="宋体"/>
              </w:rPr>
            </w:pPr>
            <w:r>
              <w:rPr>
                <w:rFonts w:hint="eastAsia" w:ascii="宋体" w:hAnsi="宋体"/>
              </w:rPr>
              <w:t>中国科学院古脊椎动物研究所</w:t>
            </w:r>
          </w:p>
        </w:tc>
      </w:tr>
      <w:tr w14:paraId="154B72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4396D8CC">
            <w:pPr>
              <w:pStyle w:val="12"/>
              <w:jc w:val="left"/>
              <w:rPr>
                <w:rFonts w:ascii="宋体" w:hAnsi="宋体"/>
              </w:rPr>
            </w:pPr>
            <w:r>
              <w:rPr>
                <w:rFonts w:hint="eastAsia" w:ascii="宋体" w:hAnsi="宋体"/>
              </w:rPr>
              <w:t>1972年5月至7月</w:t>
            </w:r>
          </w:p>
        </w:tc>
        <w:tc>
          <w:tcPr>
            <w:tcW w:w="1066" w:type="pct"/>
            <w:vAlign w:val="center"/>
          </w:tcPr>
          <w:p w14:paraId="5932A48B">
            <w:pPr>
              <w:pStyle w:val="12"/>
              <w:jc w:val="left"/>
              <w:rPr>
                <w:rFonts w:ascii="宋体" w:hAnsi="宋体"/>
              </w:rPr>
            </w:pPr>
            <w:r>
              <w:rPr>
                <w:rFonts w:hint="eastAsia" w:ascii="宋体" w:hAnsi="宋体"/>
              </w:rPr>
              <w:t>水南岭西南</w:t>
            </w:r>
          </w:p>
        </w:tc>
        <w:tc>
          <w:tcPr>
            <w:tcW w:w="436" w:type="pct"/>
            <w:vAlign w:val="center"/>
          </w:tcPr>
          <w:p w14:paraId="60CDFCEB">
            <w:pPr>
              <w:pStyle w:val="12"/>
              <w:jc w:val="center"/>
              <w:rPr>
                <w:rFonts w:ascii="宋体" w:hAnsi="宋体"/>
              </w:rPr>
            </w:pPr>
            <w:r>
              <w:rPr>
                <w:rFonts w:hint="eastAsia" w:ascii="宋体" w:hAnsi="宋体"/>
              </w:rPr>
              <w:t>3</w:t>
            </w:r>
          </w:p>
        </w:tc>
        <w:tc>
          <w:tcPr>
            <w:tcW w:w="436" w:type="pct"/>
            <w:vAlign w:val="center"/>
          </w:tcPr>
          <w:p w14:paraId="73B7CCCB">
            <w:pPr>
              <w:pStyle w:val="12"/>
              <w:jc w:val="center"/>
              <w:rPr>
                <w:rFonts w:ascii="宋体" w:hAnsi="宋体"/>
              </w:rPr>
            </w:pPr>
            <w:r>
              <w:rPr>
                <w:rFonts w:hint="eastAsia" w:ascii="宋体" w:hAnsi="宋体"/>
              </w:rPr>
              <w:t>不详</w:t>
            </w:r>
          </w:p>
        </w:tc>
        <w:tc>
          <w:tcPr>
            <w:tcW w:w="1937" w:type="pct"/>
            <w:vAlign w:val="center"/>
          </w:tcPr>
          <w:p w14:paraId="7F237785">
            <w:pPr>
              <w:pStyle w:val="12"/>
              <w:jc w:val="left"/>
              <w:rPr>
                <w:rFonts w:ascii="宋体" w:hAnsi="宋体"/>
              </w:rPr>
            </w:pPr>
            <w:r>
              <w:rPr>
                <w:rFonts w:hint="eastAsia" w:ascii="宋体" w:hAnsi="宋体"/>
              </w:rPr>
              <w:t>上海自然博物馆</w:t>
            </w:r>
          </w:p>
        </w:tc>
      </w:tr>
      <w:tr w14:paraId="094D61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23CF9A2A">
            <w:pPr>
              <w:pStyle w:val="12"/>
              <w:jc w:val="left"/>
              <w:rPr>
                <w:rFonts w:ascii="宋体" w:hAnsi="宋体"/>
              </w:rPr>
            </w:pPr>
            <w:r>
              <w:rPr>
                <w:rFonts w:hint="eastAsia" w:ascii="宋体" w:hAnsi="宋体"/>
              </w:rPr>
              <w:t>1975年秋</w:t>
            </w:r>
          </w:p>
        </w:tc>
        <w:tc>
          <w:tcPr>
            <w:tcW w:w="1066" w:type="pct"/>
            <w:vAlign w:val="center"/>
          </w:tcPr>
          <w:p w14:paraId="0F9CA8E9">
            <w:pPr>
              <w:pStyle w:val="12"/>
              <w:jc w:val="left"/>
              <w:rPr>
                <w:rFonts w:ascii="宋体" w:hAnsi="宋体"/>
              </w:rPr>
            </w:pPr>
            <w:r>
              <w:rPr>
                <w:rFonts w:hint="eastAsia" w:ascii="宋体" w:hAnsi="宋体"/>
              </w:rPr>
              <w:t>水南岭</w:t>
            </w:r>
          </w:p>
        </w:tc>
        <w:tc>
          <w:tcPr>
            <w:tcW w:w="436" w:type="pct"/>
            <w:vAlign w:val="center"/>
          </w:tcPr>
          <w:p w14:paraId="5764304C">
            <w:pPr>
              <w:pStyle w:val="12"/>
              <w:jc w:val="center"/>
              <w:rPr>
                <w:rFonts w:ascii="宋体" w:hAnsi="宋体"/>
              </w:rPr>
            </w:pPr>
            <w:r>
              <w:rPr>
                <w:rFonts w:hint="eastAsia" w:ascii="宋体" w:hAnsi="宋体"/>
              </w:rPr>
              <w:t>1</w:t>
            </w:r>
          </w:p>
        </w:tc>
        <w:tc>
          <w:tcPr>
            <w:tcW w:w="436" w:type="pct"/>
            <w:vAlign w:val="center"/>
          </w:tcPr>
          <w:p w14:paraId="6F4E45C8">
            <w:pPr>
              <w:pStyle w:val="12"/>
              <w:jc w:val="center"/>
              <w:rPr>
                <w:rFonts w:ascii="宋体" w:hAnsi="宋体"/>
              </w:rPr>
            </w:pPr>
            <w:r>
              <w:rPr>
                <w:rFonts w:hint="eastAsia" w:ascii="宋体" w:hAnsi="宋体"/>
              </w:rPr>
              <w:t>7</w:t>
            </w:r>
          </w:p>
        </w:tc>
        <w:tc>
          <w:tcPr>
            <w:tcW w:w="1937" w:type="pct"/>
            <w:vAlign w:val="center"/>
          </w:tcPr>
          <w:p w14:paraId="1552272A">
            <w:pPr>
              <w:pStyle w:val="12"/>
              <w:jc w:val="left"/>
              <w:rPr>
                <w:rFonts w:ascii="宋体" w:hAnsi="宋体"/>
              </w:rPr>
            </w:pPr>
            <w:r>
              <w:rPr>
                <w:rFonts w:hint="eastAsia" w:ascii="宋体" w:hAnsi="宋体"/>
              </w:rPr>
              <w:t>南雄县博物馆</w:t>
            </w:r>
          </w:p>
        </w:tc>
      </w:tr>
      <w:tr w14:paraId="464FD2B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7757229C">
            <w:pPr>
              <w:pStyle w:val="12"/>
              <w:jc w:val="left"/>
              <w:rPr>
                <w:rFonts w:ascii="宋体" w:hAnsi="宋体"/>
              </w:rPr>
            </w:pPr>
            <w:r>
              <w:rPr>
                <w:rFonts w:hint="eastAsia" w:ascii="宋体" w:hAnsi="宋体"/>
              </w:rPr>
              <w:t>1979年秋</w:t>
            </w:r>
          </w:p>
        </w:tc>
        <w:tc>
          <w:tcPr>
            <w:tcW w:w="1066" w:type="pct"/>
            <w:vAlign w:val="center"/>
          </w:tcPr>
          <w:p w14:paraId="05C4B3A8">
            <w:pPr>
              <w:pStyle w:val="12"/>
              <w:jc w:val="left"/>
              <w:rPr>
                <w:rFonts w:ascii="宋体" w:hAnsi="宋体"/>
              </w:rPr>
            </w:pPr>
            <w:r>
              <w:rPr>
                <w:rFonts w:hint="eastAsia" w:ascii="宋体" w:hAnsi="宋体"/>
              </w:rPr>
              <w:t>同上</w:t>
            </w:r>
          </w:p>
        </w:tc>
        <w:tc>
          <w:tcPr>
            <w:tcW w:w="436" w:type="pct"/>
            <w:vAlign w:val="center"/>
          </w:tcPr>
          <w:p w14:paraId="11BE9455">
            <w:pPr>
              <w:pStyle w:val="12"/>
              <w:jc w:val="center"/>
              <w:rPr>
                <w:rFonts w:ascii="宋体" w:hAnsi="宋体"/>
              </w:rPr>
            </w:pPr>
            <w:r>
              <w:rPr>
                <w:rFonts w:hint="eastAsia" w:ascii="宋体" w:hAnsi="宋体"/>
              </w:rPr>
              <w:t>1</w:t>
            </w:r>
          </w:p>
        </w:tc>
        <w:tc>
          <w:tcPr>
            <w:tcW w:w="436" w:type="pct"/>
            <w:vAlign w:val="center"/>
          </w:tcPr>
          <w:p w14:paraId="46FD4823">
            <w:pPr>
              <w:pStyle w:val="12"/>
              <w:jc w:val="center"/>
              <w:rPr>
                <w:rFonts w:ascii="宋体" w:hAnsi="宋体"/>
              </w:rPr>
            </w:pPr>
            <w:r>
              <w:rPr>
                <w:rFonts w:hint="eastAsia" w:ascii="宋体" w:hAnsi="宋体"/>
              </w:rPr>
              <w:t>29</w:t>
            </w:r>
          </w:p>
        </w:tc>
        <w:tc>
          <w:tcPr>
            <w:tcW w:w="1937" w:type="pct"/>
            <w:vAlign w:val="center"/>
          </w:tcPr>
          <w:p w14:paraId="586D374E">
            <w:pPr>
              <w:pStyle w:val="12"/>
              <w:jc w:val="left"/>
              <w:rPr>
                <w:rFonts w:ascii="宋体" w:hAnsi="宋体"/>
              </w:rPr>
            </w:pPr>
            <w:r>
              <w:rPr>
                <w:rFonts w:hint="eastAsia" w:ascii="宋体" w:hAnsi="宋体"/>
              </w:rPr>
              <w:t>北京自然博物馆</w:t>
            </w:r>
          </w:p>
        </w:tc>
      </w:tr>
      <w:tr w14:paraId="1E66BE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45D84BE2">
            <w:pPr>
              <w:pStyle w:val="12"/>
              <w:jc w:val="left"/>
              <w:rPr>
                <w:rFonts w:ascii="宋体" w:hAnsi="宋体"/>
              </w:rPr>
            </w:pPr>
            <w:r>
              <w:rPr>
                <w:rFonts w:hint="eastAsia" w:ascii="宋体" w:hAnsi="宋体"/>
              </w:rPr>
              <w:t>1979年秋</w:t>
            </w:r>
          </w:p>
        </w:tc>
        <w:tc>
          <w:tcPr>
            <w:tcW w:w="1066" w:type="pct"/>
            <w:vAlign w:val="center"/>
          </w:tcPr>
          <w:p w14:paraId="003E0AA6">
            <w:pPr>
              <w:pStyle w:val="12"/>
              <w:jc w:val="left"/>
              <w:rPr>
                <w:rFonts w:ascii="宋体" w:hAnsi="宋体"/>
              </w:rPr>
            </w:pPr>
            <w:r>
              <w:rPr>
                <w:rFonts w:hint="eastAsia" w:ascii="宋体" w:hAnsi="宋体"/>
              </w:rPr>
              <w:t>水口岭排附近</w:t>
            </w:r>
          </w:p>
        </w:tc>
        <w:tc>
          <w:tcPr>
            <w:tcW w:w="436" w:type="pct"/>
            <w:vAlign w:val="center"/>
          </w:tcPr>
          <w:p w14:paraId="40A10A34">
            <w:pPr>
              <w:pStyle w:val="12"/>
              <w:jc w:val="center"/>
              <w:rPr>
                <w:rFonts w:ascii="宋体" w:hAnsi="宋体"/>
              </w:rPr>
            </w:pPr>
            <w:r>
              <w:rPr>
                <w:rFonts w:hint="eastAsia" w:ascii="宋体" w:hAnsi="宋体"/>
              </w:rPr>
              <w:t>1</w:t>
            </w:r>
          </w:p>
        </w:tc>
        <w:tc>
          <w:tcPr>
            <w:tcW w:w="436" w:type="pct"/>
            <w:vAlign w:val="center"/>
          </w:tcPr>
          <w:p w14:paraId="369CDC18">
            <w:pPr>
              <w:pStyle w:val="12"/>
              <w:jc w:val="center"/>
              <w:rPr>
                <w:rFonts w:ascii="宋体" w:hAnsi="宋体"/>
              </w:rPr>
            </w:pPr>
            <w:r>
              <w:rPr>
                <w:rFonts w:hint="eastAsia" w:ascii="宋体" w:hAnsi="宋体"/>
              </w:rPr>
              <w:t>12</w:t>
            </w:r>
          </w:p>
        </w:tc>
        <w:tc>
          <w:tcPr>
            <w:tcW w:w="1937" w:type="pct"/>
            <w:vAlign w:val="center"/>
          </w:tcPr>
          <w:p w14:paraId="015153FF">
            <w:pPr>
              <w:pStyle w:val="12"/>
              <w:jc w:val="left"/>
              <w:rPr>
                <w:rFonts w:ascii="宋体" w:hAnsi="宋体"/>
              </w:rPr>
            </w:pPr>
            <w:r>
              <w:rPr>
                <w:rFonts w:hint="eastAsia" w:ascii="宋体" w:hAnsi="宋体"/>
              </w:rPr>
              <w:t>同上</w:t>
            </w:r>
          </w:p>
        </w:tc>
      </w:tr>
      <w:tr w14:paraId="305992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0ECDE19F">
            <w:pPr>
              <w:pStyle w:val="12"/>
              <w:jc w:val="left"/>
              <w:rPr>
                <w:rFonts w:ascii="宋体" w:hAnsi="宋体"/>
              </w:rPr>
            </w:pPr>
            <w:r>
              <w:rPr>
                <w:rFonts w:hint="eastAsia" w:ascii="宋体" w:hAnsi="宋体"/>
              </w:rPr>
              <w:t>1984年10月</w:t>
            </w:r>
          </w:p>
        </w:tc>
        <w:tc>
          <w:tcPr>
            <w:tcW w:w="1066" w:type="pct"/>
            <w:vAlign w:val="center"/>
          </w:tcPr>
          <w:p w14:paraId="09A26D71">
            <w:pPr>
              <w:pStyle w:val="12"/>
              <w:jc w:val="left"/>
              <w:rPr>
                <w:rFonts w:ascii="宋体" w:hAnsi="宋体"/>
              </w:rPr>
            </w:pPr>
            <w:r>
              <w:rPr>
                <w:rFonts w:hint="eastAsia" w:ascii="宋体" w:hAnsi="宋体"/>
              </w:rPr>
              <w:t>大塘圩西</w:t>
            </w:r>
          </w:p>
        </w:tc>
        <w:tc>
          <w:tcPr>
            <w:tcW w:w="436" w:type="pct"/>
            <w:vAlign w:val="center"/>
          </w:tcPr>
          <w:p w14:paraId="2656E3E1">
            <w:pPr>
              <w:pStyle w:val="12"/>
              <w:jc w:val="center"/>
              <w:rPr>
                <w:rFonts w:ascii="宋体" w:hAnsi="宋体"/>
              </w:rPr>
            </w:pPr>
            <w:r>
              <w:rPr>
                <w:rFonts w:hint="eastAsia" w:ascii="宋体" w:hAnsi="宋体"/>
              </w:rPr>
              <w:t>2</w:t>
            </w:r>
          </w:p>
        </w:tc>
        <w:tc>
          <w:tcPr>
            <w:tcW w:w="436" w:type="pct"/>
            <w:vAlign w:val="center"/>
          </w:tcPr>
          <w:p w14:paraId="018D483F">
            <w:pPr>
              <w:pStyle w:val="12"/>
              <w:jc w:val="center"/>
              <w:rPr>
                <w:rFonts w:ascii="宋体" w:hAnsi="宋体"/>
              </w:rPr>
            </w:pPr>
            <w:r>
              <w:rPr>
                <w:rFonts w:hint="eastAsia" w:ascii="宋体" w:hAnsi="宋体"/>
              </w:rPr>
              <w:t>不详</w:t>
            </w:r>
          </w:p>
        </w:tc>
        <w:tc>
          <w:tcPr>
            <w:tcW w:w="1937" w:type="pct"/>
            <w:vAlign w:val="center"/>
          </w:tcPr>
          <w:p w14:paraId="0D1A6E6B">
            <w:pPr>
              <w:pStyle w:val="12"/>
              <w:jc w:val="left"/>
              <w:rPr>
                <w:rFonts w:ascii="宋体" w:hAnsi="宋体"/>
              </w:rPr>
            </w:pPr>
            <w:r>
              <w:rPr>
                <w:rFonts w:hint="eastAsia" w:ascii="宋体" w:hAnsi="宋体"/>
              </w:rPr>
              <w:t>中国科学院古脊椎动物研究所</w:t>
            </w:r>
          </w:p>
        </w:tc>
      </w:tr>
      <w:tr w14:paraId="123F40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71DB5C3F">
            <w:pPr>
              <w:pStyle w:val="12"/>
              <w:jc w:val="left"/>
              <w:rPr>
                <w:rFonts w:ascii="宋体" w:hAnsi="宋体"/>
              </w:rPr>
            </w:pPr>
            <w:r>
              <w:rPr>
                <w:rFonts w:hint="eastAsia" w:ascii="宋体" w:hAnsi="宋体"/>
              </w:rPr>
              <w:t>1984年12月</w:t>
            </w:r>
          </w:p>
        </w:tc>
        <w:tc>
          <w:tcPr>
            <w:tcW w:w="1066" w:type="pct"/>
            <w:vAlign w:val="center"/>
          </w:tcPr>
          <w:p w14:paraId="60FF0428">
            <w:pPr>
              <w:pStyle w:val="12"/>
              <w:jc w:val="left"/>
              <w:rPr>
                <w:rFonts w:ascii="宋体" w:hAnsi="宋体"/>
              </w:rPr>
            </w:pPr>
            <w:r>
              <w:rPr>
                <w:rFonts w:hint="eastAsia" w:ascii="宋体" w:hAnsi="宋体"/>
              </w:rPr>
              <w:t>湖口长市村彭坑</w:t>
            </w:r>
          </w:p>
        </w:tc>
        <w:tc>
          <w:tcPr>
            <w:tcW w:w="436" w:type="pct"/>
            <w:vAlign w:val="center"/>
          </w:tcPr>
          <w:p w14:paraId="5A12485A">
            <w:pPr>
              <w:pStyle w:val="12"/>
              <w:jc w:val="center"/>
              <w:rPr>
                <w:rFonts w:ascii="宋体" w:hAnsi="宋体"/>
              </w:rPr>
            </w:pPr>
            <w:r>
              <w:rPr>
                <w:rFonts w:hint="eastAsia" w:ascii="宋体" w:hAnsi="宋体"/>
              </w:rPr>
              <w:t>1</w:t>
            </w:r>
          </w:p>
        </w:tc>
        <w:tc>
          <w:tcPr>
            <w:tcW w:w="436" w:type="pct"/>
            <w:vAlign w:val="center"/>
          </w:tcPr>
          <w:p w14:paraId="2187922F">
            <w:pPr>
              <w:pStyle w:val="12"/>
              <w:jc w:val="center"/>
              <w:rPr>
                <w:rFonts w:ascii="宋体" w:hAnsi="宋体"/>
              </w:rPr>
            </w:pPr>
            <w:r>
              <w:rPr>
                <w:rFonts w:hint="eastAsia" w:ascii="宋体" w:hAnsi="宋体"/>
              </w:rPr>
              <w:t>11</w:t>
            </w:r>
          </w:p>
        </w:tc>
        <w:tc>
          <w:tcPr>
            <w:tcW w:w="1937" w:type="pct"/>
            <w:vAlign w:val="center"/>
          </w:tcPr>
          <w:p w14:paraId="6BDBE17E">
            <w:pPr>
              <w:pStyle w:val="12"/>
              <w:jc w:val="left"/>
              <w:rPr>
                <w:rFonts w:ascii="宋体" w:hAnsi="宋体"/>
              </w:rPr>
            </w:pPr>
            <w:r>
              <w:rPr>
                <w:rFonts w:hint="eastAsia" w:ascii="宋体" w:hAnsi="宋体"/>
              </w:rPr>
              <w:t>南雄县博物馆</w:t>
            </w:r>
          </w:p>
        </w:tc>
      </w:tr>
      <w:tr w14:paraId="73316B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36A2B1FA">
            <w:pPr>
              <w:pStyle w:val="12"/>
              <w:jc w:val="left"/>
              <w:rPr>
                <w:rFonts w:ascii="宋体" w:hAnsi="宋体"/>
              </w:rPr>
            </w:pPr>
            <w:r>
              <w:rPr>
                <w:rFonts w:hint="eastAsia" w:ascii="宋体" w:hAnsi="宋体"/>
              </w:rPr>
              <w:t>1984年12月</w:t>
            </w:r>
          </w:p>
        </w:tc>
        <w:tc>
          <w:tcPr>
            <w:tcW w:w="1066" w:type="pct"/>
            <w:vAlign w:val="center"/>
          </w:tcPr>
          <w:p w14:paraId="33E70162">
            <w:pPr>
              <w:pStyle w:val="12"/>
              <w:jc w:val="left"/>
              <w:rPr>
                <w:rFonts w:ascii="宋体" w:hAnsi="宋体"/>
              </w:rPr>
            </w:pPr>
            <w:r>
              <w:rPr>
                <w:rFonts w:hint="eastAsia" w:ascii="宋体" w:hAnsi="宋体"/>
              </w:rPr>
              <w:t>乌迳鱼塘背</w:t>
            </w:r>
          </w:p>
        </w:tc>
        <w:tc>
          <w:tcPr>
            <w:tcW w:w="436" w:type="pct"/>
            <w:vAlign w:val="center"/>
          </w:tcPr>
          <w:p w14:paraId="43672092">
            <w:pPr>
              <w:pStyle w:val="12"/>
              <w:jc w:val="center"/>
              <w:rPr>
                <w:rFonts w:ascii="宋体" w:hAnsi="宋体"/>
              </w:rPr>
            </w:pPr>
            <w:r>
              <w:rPr>
                <w:rFonts w:hint="eastAsia" w:ascii="宋体" w:hAnsi="宋体"/>
              </w:rPr>
              <w:t>1</w:t>
            </w:r>
          </w:p>
        </w:tc>
        <w:tc>
          <w:tcPr>
            <w:tcW w:w="436" w:type="pct"/>
            <w:vAlign w:val="center"/>
          </w:tcPr>
          <w:p w14:paraId="6D87E394">
            <w:pPr>
              <w:pStyle w:val="12"/>
              <w:jc w:val="center"/>
              <w:rPr>
                <w:rFonts w:ascii="宋体" w:hAnsi="宋体"/>
              </w:rPr>
            </w:pPr>
            <w:r>
              <w:rPr>
                <w:rFonts w:hint="eastAsia" w:ascii="宋体" w:hAnsi="宋体"/>
              </w:rPr>
              <w:t>12</w:t>
            </w:r>
          </w:p>
        </w:tc>
        <w:tc>
          <w:tcPr>
            <w:tcW w:w="1937" w:type="pct"/>
            <w:vAlign w:val="center"/>
          </w:tcPr>
          <w:p w14:paraId="32D5B1FB">
            <w:pPr>
              <w:pStyle w:val="12"/>
              <w:jc w:val="left"/>
              <w:rPr>
                <w:rFonts w:ascii="宋体" w:hAnsi="宋体"/>
              </w:rPr>
            </w:pPr>
            <w:r>
              <w:rPr>
                <w:rFonts w:hint="eastAsia" w:ascii="宋体" w:hAnsi="宋体"/>
              </w:rPr>
              <w:t>同上</w:t>
            </w:r>
          </w:p>
        </w:tc>
      </w:tr>
      <w:tr w14:paraId="19F795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2BB20E4A">
            <w:pPr>
              <w:pStyle w:val="12"/>
              <w:jc w:val="left"/>
              <w:rPr>
                <w:rFonts w:ascii="宋体" w:hAnsi="宋体"/>
              </w:rPr>
            </w:pPr>
            <w:r>
              <w:rPr>
                <w:rFonts w:hint="eastAsia" w:ascii="宋体" w:hAnsi="宋体"/>
              </w:rPr>
              <w:t>1985年5月</w:t>
            </w:r>
          </w:p>
        </w:tc>
        <w:tc>
          <w:tcPr>
            <w:tcW w:w="1066" w:type="pct"/>
            <w:vAlign w:val="center"/>
          </w:tcPr>
          <w:p w14:paraId="5E8BAFB3">
            <w:pPr>
              <w:pStyle w:val="12"/>
              <w:jc w:val="left"/>
              <w:rPr>
                <w:rFonts w:ascii="宋体" w:hAnsi="宋体"/>
              </w:rPr>
            </w:pPr>
            <w:r>
              <w:rPr>
                <w:rFonts w:hint="eastAsia" w:ascii="宋体" w:hAnsi="宋体"/>
              </w:rPr>
              <w:t>新城区</w:t>
            </w:r>
          </w:p>
        </w:tc>
        <w:tc>
          <w:tcPr>
            <w:tcW w:w="436" w:type="pct"/>
            <w:vAlign w:val="center"/>
          </w:tcPr>
          <w:p w14:paraId="04D3508B">
            <w:pPr>
              <w:pStyle w:val="12"/>
              <w:jc w:val="center"/>
              <w:rPr>
                <w:rFonts w:ascii="宋体" w:hAnsi="宋体"/>
              </w:rPr>
            </w:pPr>
            <w:r>
              <w:rPr>
                <w:rFonts w:hint="eastAsia" w:ascii="宋体" w:hAnsi="宋体"/>
              </w:rPr>
              <w:t>—</w:t>
            </w:r>
          </w:p>
        </w:tc>
        <w:tc>
          <w:tcPr>
            <w:tcW w:w="436" w:type="pct"/>
            <w:vAlign w:val="center"/>
          </w:tcPr>
          <w:p w14:paraId="1AF835B1">
            <w:pPr>
              <w:pStyle w:val="12"/>
              <w:jc w:val="center"/>
              <w:rPr>
                <w:rFonts w:ascii="宋体" w:hAnsi="宋体"/>
              </w:rPr>
            </w:pPr>
            <w:r>
              <w:rPr>
                <w:rFonts w:hint="eastAsia" w:ascii="宋体" w:hAnsi="宋体"/>
              </w:rPr>
              <w:t>3</w:t>
            </w:r>
          </w:p>
        </w:tc>
        <w:tc>
          <w:tcPr>
            <w:tcW w:w="1937" w:type="pct"/>
            <w:vAlign w:val="center"/>
          </w:tcPr>
          <w:p w14:paraId="3515D5E3">
            <w:pPr>
              <w:pStyle w:val="12"/>
              <w:jc w:val="left"/>
              <w:rPr>
                <w:rFonts w:ascii="宋体" w:hAnsi="宋体"/>
              </w:rPr>
            </w:pPr>
            <w:r>
              <w:rPr>
                <w:rFonts w:hint="eastAsia" w:ascii="宋体" w:hAnsi="宋体"/>
              </w:rPr>
              <w:t>同上</w:t>
            </w:r>
          </w:p>
        </w:tc>
      </w:tr>
      <w:tr w14:paraId="21BB12C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1C1E64AF">
            <w:pPr>
              <w:pStyle w:val="12"/>
              <w:jc w:val="left"/>
              <w:rPr>
                <w:rFonts w:ascii="宋体" w:hAnsi="宋体"/>
              </w:rPr>
            </w:pPr>
            <w:r>
              <w:rPr>
                <w:rFonts w:hint="eastAsia" w:ascii="宋体" w:hAnsi="宋体"/>
              </w:rPr>
              <w:t>1985年6月</w:t>
            </w:r>
          </w:p>
        </w:tc>
        <w:tc>
          <w:tcPr>
            <w:tcW w:w="1066" w:type="pct"/>
            <w:vAlign w:val="center"/>
          </w:tcPr>
          <w:p w14:paraId="003600FF">
            <w:pPr>
              <w:pStyle w:val="12"/>
              <w:jc w:val="left"/>
              <w:rPr>
                <w:rFonts w:ascii="宋体" w:hAnsi="宋体"/>
              </w:rPr>
            </w:pPr>
            <w:r>
              <w:rPr>
                <w:rFonts w:hint="eastAsia" w:ascii="宋体" w:hAnsi="宋体"/>
              </w:rPr>
              <w:t>新龙老鸦坑</w:t>
            </w:r>
          </w:p>
        </w:tc>
        <w:tc>
          <w:tcPr>
            <w:tcW w:w="436" w:type="pct"/>
            <w:vAlign w:val="center"/>
          </w:tcPr>
          <w:p w14:paraId="15A51AFC">
            <w:pPr>
              <w:pStyle w:val="12"/>
              <w:jc w:val="center"/>
              <w:rPr>
                <w:rFonts w:ascii="宋体" w:hAnsi="宋体"/>
              </w:rPr>
            </w:pPr>
            <w:r>
              <w:rPr>
                <w:rFonts w:hint="eastAsia" w:ascii="宋体" w:hAnsi="宋体"/>
              </w:rPr>
              <w:t>1</w:t>
            </w:r>
          </w:p>
        </w:tc>
        <w:tc>
          <w:tcPr>
            <w:tcW w:w="436" w:type="pct"/>
            <w:vAlign w:val="center"/>
          </w:tcPr>
          <w:p w14:paraId="00562AC7">
            <w:pPr>
              <w:pStyle w:val="12"/>
              <w:jc w:val="center"/>
              <w:rPr>
                <w:rFonts w:ascii="宋体" w:hAnsi="宋体"/>
              </w:rPr>
            </w:pPr>
            <w:r>
              <w:rPr>
                <w:rFonts w:hint="eastAsia" w:ascii="宋体" w:hAnsi="宋体"/>
              </w:rPr>
              <w:t>破碎</w:t>
            </w:r>
          </w:p>
        </w:tc>
        <w:tc>
          <w:tcPr>
            <w:tcW w:w="1937" w:type="pct"/>
            <w:vAlign w:val="center"/>
          </w:tcPr>
          <w:p w14:paraId="47493888">
            <w:pPr>
              <w:pStyle w:val="12"/>
              <w:jc w:val="left"/>
              <w:rPr>
                <w:rFonts w:ascii="宋体" w:hAnsi="宋体"/>
              </w:rPr>
            </w:pPr>
            <w:r>
              <w:rPr>
                <w:rFonts w:hint="eastAsia" w:ascii="宋体" w:hAnsi="宋体"/>
              </w:rPr>
              <w:t>同上</w:t>
            </w:r>
          </w:p>
        </w:tc>
      </w:tr>
      <w:tr w14:paraId="29D3519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061A7E91">
            <w:pPr>
              <w:pStyle w:val="12"/>
              <w:jc w:val="left"/>
              <w:rPr>
                <w:rFonts w:ascii="宋体" w:hAnsi="宋体"/>
              </w:rPr>
            </w:pPr>
            <w:r>
              <w:rPr>
                <w:rFonts w:hint="eastAsia" w:ascii="宋体" w:hAnsi="宋体"/>
              </w:rPr>
              <w:t>1985年12月</w:t>
            </w:r>
          </w:p>
        </w:tc>
        <w:tc>
          <w:tcPr>
            <w:tcW w:w="1066" w:type="pct"/>
            <w:vAlign w:val="center"/>
          </w:tcPr>
          <w:p w14:paraId="37CDAB9A">
            <w:pPr>
              <w:pStyle w:val="12"/>
              <w:jc w:val="left"/>
              <w:rPr>
                <w:rFonts w:ascii="宋体" w:hAnsi="宋体"/>
              </w:rPr>
            </w:pPr>
            <w:r>
              <w:rPr>
                <w:rFonts w:hint="eastAsia" w:ascii="宋体" w:hAnsi="宋体"/>
              </w:rPr>
              <w:t>新城区</w:t>
            </w:r>
          </w:p>
        </w:tc>
        <w:tc>
          <w:tcPr>
            <w:tcW w:w="436" w:type="pct"/>
            <w:vAlign w:val="center"/>
          </w:tcPr>
          <w:p w14:paraId="2841F616">
            <w:pPr>
              <w:pStyle w:val="12"/>
              <w:jc w:val="center"/>
              <w:rPr>
                <w:rFonts w:ascii="宋体" w:hAnsi="宋体"/>
              </w:rPr>
            </w:pPr>
            <w:r>
              <w:rPr>
                <w:rFonts w:hint="eastAsia" w:ascii="宋体" w:hAnsi="宋体"/>
              </w:rPr>
              <w:t>1</w:t>
            </w:r>
          </w:p>
        </w:tc>
        <w:tc>
          <w:tcPr>
            <w:tcW w:w="436" w:type="pct"/>
            <w:vAlign w:val="center"/>
          </w:tcPr>
          <w:p w14:paraId="13482A7B">
            <w:pPr>
              <w:pStyle w:val="12"/>
              <w:jc w:val="center"/>
              <w:rPr>
                <w:rFonts w:ascii="宋体" w:hAnsi="宋体"/>
              </w:rPr>
            </w:pPr>
            <w:r>
              <w:rPr>
                <w:rFonts w:hint="eastAsia" w:ascii="宋体" w:hAnsi="宋体"/>
              </w:rPr>
              <w:t>破碎</w:t>
            </w:r>
          </w:p>
        </w:tc>
        <w:tc>
          <w:tcPr>
            <w:tcW w:w="1937" w:type="pct"/>
            <w:vAlign w:val="center"/>
          </w:tcPr>
          <w:p w14:paraId="7710D39E">
            <w:pPr>
              <w:pStyle w:val="12"/>
              <w:jc w:val="left"/>
              <w:rPr>
                <w:rFonts w:ascii="宋体" w:hAnsi="宋体"/>
              </w:rPr>
            </w:pPr>
            <w:r>
              <w:rPr>
                <w:rFonts w:hint="eastAsia" w:ascii="宋体" w:hAnsi="宋体"/>
              </w:rPr>
              <w:t>同上</w:t>
            </w:r>
          </w:p>
        </w:tc>
      </w:tr>
      <w:tr w14:paraId="6FFE38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6023F555">
            <w:pPr>
              <w:pStyle w:val="12"/>
              <w:jc w:val="left"/>
              <w:rPr>
                <w:rFonts w:ascii="宋体" w:hAnsi="宋体"/>
              </w:rPr>
            </w:pPr>
            <w:r>
              <w:rPr>
                <w:rFonts w:hint="eastAsia" w:ascii="宋体" w:hAnsi="宋体"/>
              </w:rPr>
              <w:t>1985年4月</w:t>
            </w:r>
          </w:p>
        </w:tc>
        <w:tc>
          <w:tcPr>
            <w:tcW w:w="1066" w:type="pct"/>
            <w:vAlign w:val="center"/>
          </w:tcPr>
          <w:p w14:paraId="42A9999D">
            <w:pPr>
              <w:pStyle w:val="12"/>
              <w:jc w:val="left"/>
              <w:rPr>
                <w:rFonts w:ascii="宋体" w:hAnsi="宋体"/>
              </w:rPr>
            </w:pPr>
            <w:r>
              <w:rPr>
                <w:rFonts w:hint="eastAsia" w:ascii="宋体" w:hAnsi="宋体"/>
              </w:rPr>
              <w:t>新城区</w:t>
            </w:r>
          </w:p>
        </w:tc>
        <w:tc>
          <w:tcPr>
            <w:tcW w:w="436" w:type="pct"/>
            <w:vAlign w:val="center"/>
          </w:tcPr>
          <w:p w14:paraId="2D987E13">
            <w:pPr>
              <w:pStyle w:val="12"/>
              <w:jc w:val="center"/>
              <w:rPr>
                <w:rFonts w:ascii="宋体" w:hAnsi="宋体"/>
              </w:rPr>
            </w:pPr>
            <w:r>
              <w:rPr>
                <w:rFonts w:hint="eastAsia" w:ascii="宋体" w:hAnsi="宋体"/>
              </w:rPr>
              <w:t>1</w:t>
            </w:r>
          </w:p>
        </w:tc>
        <w:tc>
          <w:tcPr>
            <w:tcW w:w="436" w:type="pct"/>
            <w:vAlign w:val="center"/>
          </w:tcPr>
          <w:p w14:paraId="5EC804DC">
            <w:pPr>
              <w:pStyle w:val="12"/>
              <w:jc w:val="center"/>
              <w:rPr>
                <w:rFonts w:ascii="宋体" w:hAnsi="宋体"/>
              </w:rPr>
            </w:pPr>
            <w:r>
              <w:rPr>
                <w:rFonts w:hint="eastAsia" w:ascii="宋体" w:hAnsi="宋体"/>
              </w:rPr>
              <w:t>5</w:t>
            </w:r>
          </w:p>
        </w:tc>
        <w:tc>
          <w:tcPr>
            <w:tcW w:w="1937" w:type="pct"/>
            <w:vAlign w:val="center"/>
          </w:tcPr>
          <w:p w14:paraId="0025E55A">
            <w:pPr>
              <w:pStyle w:val="12"/>
              <w:jc w:val="left"/>
              <w:rPr>
                <w:rFonts w:ascii="宋体" w:hAnsi="宋体"/>
              </w:rPr>
            </w:pPr>
            <w:r>
              <w:rPr>
                <w:rFonts w:hint="eastAsia" w:ascii="宋体" w:hAnsi="宋体"/>
              </w:rPr>
              <w:t>南雄县博物馆</w:t>
            </w:r>
          </w:p>
        </w:tc>
      </w:tr>
      <w:tr w14:paraId="37D59E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42FEC3F7">
            <w:pPr>
              <w:pStyle w:val="12"/>
              <w:jc w:val="left"/>
              <w:rPr>
                <w:rFonts w:ascii="宋体" w:hAnsi="宋体"/>
              </w:rPr>
            </w:pPr>
            <w:r>
              <w:rPr>
                <w:rFonts w:hint="eastAsia" w:ascii="宋体" w:hAnsi="宋体"/>
              </w:rPr>
              <w:t>1993年</w:t>
            </w:r>
          </w:p>
        </w:tc>
        <w:tc>
          <w:tcPr>
            <w:tcW w:w="1066" w:type="pct"/>
            <w:vAlign w:val="center"/>
          </w:tcPr>
          <w:p w14:paraId="30132C8F">
            <w:pPr>
              <w:pStyle w:val="12"/>
              <w:jc w:val="left"/>
              <w:rPr>
                <w:rFonts w:ascii="宋体" w:hAnsi="宋体"/>
              </w:rPr>
            </w:pPr>
            <w:r>
              <w:rPr>
                <w:rFonts w:hint="eastAsia" w:ascii="宋体" w:hAnsi="宋体"/>
              </w:rPr>
              <w:t>新城区</w:t>
            </w:r>
          </w:p>
        </w:tc>
        <w:tc>
          <w:tcPr>
            <w:tcW w:w="436" w:type="pct"/>
            <w:vAlign w:val="center"/>
          </w:tcPr>
          <w:p w14:paraId="7BB6B0F2">
            <w:pPr>
              <w:pStyle w:val="12"/>
              <w:jc w:val="center"/>
              <w:rPr>
                <w:rFonts w:ascii="宋体" w:hAnsi="宋体"/>
              </w:rPr>
            </w:pPr>
            <w:r>
              <w:rPr>
                <w:rFonts w:hint="eastAsia" w:ascii="宋体" w:hAnsi="宋体"/>
              </w:rPr>
              <w:t>5</w:t>
            </w:r>
          </w:p>
        </w:tc>
        <w:tc>
          <w:tcPr>
            <w:tcW w:w="436" w:type="pct"/>
            <w:vAlign w:val="center"/>
          </w:tcPr>
          <w:p w14:paraId="5B8A9C91">
            <w:pPr>
              <w:pStyle w:val="12"/>
              <w:jc w:val="center"/>
              <w:rPr>
                <w:rFonts w:ascii="宋体" w:hAnsi="宋体"/>
              </w:rPr>
            </w:pPr>
            <w:r>
              <w:rPr>
                <w:rFonts w:hint="eastAsia" w:ascii="宋体" w:hAnsi="宋体"/>
              </w:rPr>
              <w:t>48</w:t>
            </w:r>
          </w:p>
        </w:tc>
        <w:tc>
          <w:tcPr>
            <w:tcW w:w="1937" w:type="pct"/>
            <w:vAlign w:val="center"/>
          </w:tcPr>
          <w:p w14:paraId="3525657D">
            <w:pPr>
              <w:pStyle w:val="12"/>
              <w:jc w:val="left"/>
              <w:rPr>
                <w:rFonts w:ascii="宋体" w:hAnsi="宋体"/>
              </w:rPr>
            </w:pPr>
            <w:r>
              <w:rPr>
                <w:rFonts w:hint="eastAsia" w:ascii="宋体" w:hAnsi="宋体"/>
              </w:rPr>
              <w:t>同上</w:t>
            </w:r>
          </w:p>
        </w:tc>
      </w:tr>
    </w:tbl>
    <w:p w14:paraId="62119F46">
      <w:pPr>
        <w:ind w:firstLine="420"/>
        <w:rPr>
          <w:rFonts w:ascii="宋体" w:hAnsi="宋体"/>
          <w:szCs w:val="21"/>
        </w:rPr>
      </w:pPr>
      <w:r>
        <w:rPr>
          <w:rFonts w:ascii="宋体" w:hAnsi="宋体"/>
          <w:szCs w:val="21"/>
        </w:rPr>
        <w:t>3.恐龙脚印化石挖掘</w:t>
      </w:r>
    </w:p>
    <w:p w14:paraId="47E746B4">
      <w:pPr>
        <w:ind w:firstLine="420"/>
        <w:rPr>
          <w:rFonts w:ascii="宋体" w:hAnsi="宋体"/>
          <w:szCs w:val="21"/>
        </w:rPr>
      </w:pPr>
      <w:r>
        <w:rPr>
          <w:rFonts w:ascii="宋体" w:hAnsi="宋体"/>
          <w:szCs w:val="21"/>
        </w:rPr>
        <w:t>1983年9月、1984年10月，中国科学院与联邦德国波恩地质古生物学家代表团</w:t>
      </w:r>
      <w:r>
        <w:rPr>
          <w:rFonts w:hint="eastAsia" w:ascii="宋体" w:hAnsi="宋体"/>
          <w:szCs w:val="21"/>
        </w:rPr>
        <w:t>在南雄红层大塘区发现</w:t>
      </w:r>
      <w:r>
        <w:rPr>
          <w:rFonts w:ascii="宋体" w:hAnsi="宋体"/>
          <w:szCs w:val="21"/>
        </w:rPr>
        <w:t>20余个恐龙脚印化石。1985年1月又在乌迳区鱼塘背石狗岭</w:t>
      </w:r>
      <w:r>
        <w:rPr>
          <w:rFonts w:hint="eastAsia" w:ascii="宋体" w:hAnsi="宋体"/>
          <w:szCs w:val="21"/>
        </w:rPr>
        <w:t>发现</w:t>
      </w:r>
      <w:r>
        <w:rPr>
          <w:rFonts w:ascii="宋体" w:hAnsi="宋体"/>
          <w:szCs w:val="21"/>
        </w:rPr>
        <w:t>1个恐龙脚印化石。1985年1月18日，在大塘镇杨梅坑挖掘恐龙脚印2个。1993年1月，美国圣姆大学古生物学会考察组在大塘杨梅坑发现恐龙脚印化石群。</w:t>
      </w:r>
    </w:p>
    <w:p w14:paraId="6C09E9A6">
      <w:pPr>
        <w:ind w:firstLine="420"/>
        <w:rPr>
          <w:rFonts w:ascii="宋体" w:hAnsi="宋体"/>
          <w:szCs w:val="21"/>
        </w:rPr>
      </w:pPr>
      <w:r>
        <w:rPr>
          <w:rFonts w:ascii="宋体" w:hAnsi="宋体"/>
          <w:szCs w:val="21"/>
        </w:rPr>
        <w:t>4.南雄古新世哺乳动物群化石挖掘</w:t>
      </w:r>
    </w:p>
    <w:p w14:paraId="4E1E863D">
      <w:pPr>
        <w:ind w:firstLine="0" w:firstLineChars="0"/>
        <w:jc w:val="center"/>
        <w:rPr>
          <w:rFonts w:ascii="宋体" w:hAnsi="宋体"/>
          <w:b/>
          <w:szCs w:val="21"/>
        </w:rPr>
      </w:pPr>
      <w:r>
        <w:rPr>
          <w:rFonts w:hint="eastAsia" w:ascii="宋体" w:hAnsi="宋体"/>
          <w:b/>
          <w:szCs w:val="21"/>
        </w:rPr>
        <w:t>南雄红层罗佛寨组发掘哺乳类动物化石情况</w:t>
      </w:r>
    </w:p>
    <w:p w14:paraId="228F8747">
      <w:pPr>
        <w:ind w:firstLine="0" w:firstLineChars="0"/>
        <w:rPr>
          <w:rFonts w:ascii="宋体" w:hAnsi="宋体"/>
          <w:b/>
          <w:szCs w:val="21"/>
        </w:rPr>
      </w:pPr>
      <w:r>
        <w:rPr>
          <w:rFonts w:hint="eastAsia" w:ascii="宋体" w:hAnsi="宋体"/>
          <w:b/>
          <w:szCs w:val="21"/>
        </w:rPr>
        <w:t>表</w:t>
      </w:r>
      <w:r>
        <w:rPr>
          <w:rFonts w:ascii="宋体" w:hAnsi="宋体"/>
          <w:b/>
          <w:szCs w:val="21"/>
        </w:rPr>
        <w:t>1-9</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85"/>
        <w:gridCol w:w="1476"/>
        <w:gridCol w:w="1538"/>
        <w:gridCol w:w="1921"/>
        <w:gridCol w:w="1994"/>
        <w:gridCol w:w="1648"/>
      </w:tblGrid>
      <w:tr w14:paraId="10AB74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3ED6C198">
            <w:pPr>
              <w:pStyle w:val="12"/>
              <w:jc w:val="center"/>
              <w:rPr>
                <w:rFonts w:ascii="宋体" w:hAnsi="宋体"/>
                <w:b/>
              </w:rPr>
            </w:pPr>
            <w:r>
              <w:rPr>
                <w:rFonts w:hint="eastAsia" w:ascii="宋体" w:hAnsi="宋体"/>
                <w:b/>
              </w:rPr>
              <w:t>时间</w:t>
            </w:r>
          </w:p>
        </w:tc>
        <w:tc>
          <w:tcPr>
            <w:tcW w:w="741" w:type="pct"/>
            <w:vAlign w:val="center"/>
          </w:tcPr>
          <w:p w14:paraId="374277CE">
            <w:pPr>
              <w:pStyle w:val="12"/>
              <w:jc w:val="center"/>
              <w:rPr>
                <w:rFonts w:ascii="宋体" w:hAnsi="宋体"/>
                <w:b/>
              </w:rPr>
            </w:pPr>
            <w:r>
              <w:rPr>
                <w:rFonts w:hint="eastAsia" w:ascii="宋体" w:hAnsi="宋体"/>
                <w:b/>
              </w:rPr>
              <w:t>地点</w:t>
            </w:r>
          </w:p>
        </w:tc>
        <w:tc>
          <w:tcPr>
            <w:tcW w:w="772" w:type="pct"/>
            <w:vAlign w:val="center"/>
          </w:tcPr>
          <w:p w14:paraId="73D4AAF8">
            <w:pPr>
              <w:pStyle w:val="12"/>
              <w:jc w:val="center"/>
              <w:rPr>
                <w:rFonts w:ascii="宋体" w:hAnsi="宋体"/>
                <w:b/>
              </w:rPr>
            </w:pPr>
            <w:r>
              <w:rPr>
                <w:rFonts w:hint="eastAsia" w:ascii="宋体" w:hAnsi="宋体"/>
                <w:b/>
              </w:rPr>
              <w:t>层位</w:t>
            </w:r>
          </w:p>
        </w:tc>
        <w:tc>
          <w:tcPr>
            <w:tcW w:w="964" w:type="pct"/>
            <w:vAlign w:val="center"/>
          </w:tcPr>
          <w:p w14:paraId="2406200A">
            <w:pPr>
              <w:pStyle w:val="12"/>
              <w:jc w:val="center"/>
              <w:rPr>
                <w:rFonts w:ascii="宋体" w:hAnsi="宋体"/>
                <w:b/>
              </w:rPr>
            </w:pPr>
            <w:r>
              <w:rPr>
                <w:rFonts w:hint="eastAsia" w:ascii="宋体" w:hAnsi="宋体"/>
                <w:b/>
              </w:rPr>
              <w:t>名称</w:t>
            </w:r>
          </w:p>
        </w:tc>
        <w:tc>
          <w:tcPr>
            <w:tcW w:w="1001" w:type="pct"/>
            <w:vAlign w:val="center"/>
          </w:tcPr>
          <w:p w14:paraId="2A5F0A65">
            <w:pPr>
              <w:pStyle w:val="12"/>
              <w:jc w:val="center"/>
              <w:rPr>
                <w:rFonts w:ascii="宋体" w:hAnsi="宋体"/>
                <w:b/>
              </w:rPr>
            </w:pPr>
            <w:r>
              <w:rPr>
                <w:rFonts w:hint="eastAsia" w:ascii="宋体" w:hAnsi="宋体"/>
                <w:b/>
              </w:rPr>
              <w:t>数量</w:t>
            </w:r>
          </w:p>
        </w:tc>
        <w:tc>
          <w:tcPr>
            <w:tcW w:w="827" w:type="pct"/>
            <w:vAlign w:val="center"/>
          </w:tcPr>
          <w:p w14:paraId="53CB4B29">
            <w:pPr>
              <w:pStyle w:val="12"/>
              <w:jc w:val="center"/>
              <w:rPr>
                <w:rFonts w:ascii="宋体" w:hAnsi="宋体"/>
                <w:b/>
              </w:rPr>
            </w:pPr>
            <w:r>
              <w:rPr>
                <w:rFonts w:hint="eastAsia" w:ascii="宋体" w:hAnsi="宋体"/>
                <w:b/>
              </w:rPr>
              <w:t>挖掘及保管单位</w:t>
            </w:r>
          </w:p>
        </w:tc>
      </w:tr>
      <w:tr w14:paraId="6EEB8A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7C987761">
            <w:pPr>
              <w:pStyle w:val="12"/>
              <w:jc w:val="left"/>
              <w:rPr>
                <w:rFonts w:ascii="宋体" w:hAnsi="宋体"/>
              </w:rPr>
            </w:pPr>
            <w:r>
              <w:rPr>
                <w:rFonts w:hint="eastAsia" w:ascii="宋体" w:hAnsi="宋体"/>
              </w:rPr>
              <w:t>1962年</w:t>
            </w:r>
          </w:p>
        </w:tc>
        <w:tc>
          <w:tcPr>
            <w:tcW w:w="741" w:type="pct"/>
            <w:vAlign w:val="center"/>
          </w:tcPr>
          <w:p w14:paraId="6C8040D2">
            <w:pPr>
              <w:pStyle w:val="12"/>
              <w:jc w:val="left"/>
              <w:rPr>
                <w:rFonts w:ascii="宋体" w:hAnsi="宋体"/>
              </w:rPr>
            </w:pPr>
            <w:r>
              <w:rPr>
                <w:rFonts w:hint="eastAsia" w:ascii="宋体" w:hAnsi="宋体"/>
              </w:rPr>
              <w:t>修仁西南</w:t>
            </w:r>
          </w:p>
        </w:tc>
        <w:tc>
          <w:tcPr>
            <w:tcW w:w="772" w:type="pct"/>
            <w:vAlign w:val="center"/>
          </w:tcPr>
          <w:p w14:paraId="7075A7FC">
            <w:pPr>
              <w:pStyle w:val="12"/>
              <w:jc w:val="left"/>
              <w:rPr>
                <w:rFonts w:ascii="宋体" w:hAnsi="宋体"/>
              </w:rPr>
            </w:pPr>
            <w:r>
              <w:rPr>
                <w:rFonts w:hint="eastAsia" w:ascii="宋体" w:hAnsi="宋体"/>
              </w:rPr>
              <w:t>上湖段下部</w:t>
            </w:r>
          </w:p>
        </w:tc>
        <w:tc>
          <w:tcPr>
            <w:tcW w:w="964" w:type="pct"/>
            <w:vAlign w:val="center"/>
          </w:tcPr>
          <w:p w14:paraId="0000DAF9">
            <w:pPr>
              <w:pStyle w:val="12"/>
              <w:jc w:val="left"/>
              <w:rPr>
                <w:rFonts w:ascii="宋体" w:hAnsi="宋体"/>
              </w:rPr>
            </w:pPr>
            <w:r>
              <w:rPr>
                <w:rFonts w:hint="eastAsia" w:ascii="宋体" w:hAnsi="宋体"/>
              </w:rPr>
              <w:t>南雄阶齿兽</w:t>
            </w:r>
          </w:p>
        </w:tc>
        <w:tc>
          <w:tcPr>
            <w:tcW w:w="1001" w:type="pct"/>
            <w:vAlign w:val="center"/>
          </w:tcPr>
          <w:p w14:paraId="5FFB1172">
            <w:pPr>
              <w:pStyle w:val="12"/>
              <w:jc w:val="left"/>
              <w:rPr>
                <w:rFonts w:ascii="宋体" w:hAnsi="宋体"/>
              </w:rPr>
            </w:pPr>
            <w:r>
              <w:rPr>
                <w:rFonts w:hint="eastAsia" w:ascii="宋体" w:hAnsi="宋体"/>
              </w:rPr>
              <w:t>下额骨4个</w:t>
            </w:r>
          </w:p>
        </w:tc>
        <w:tc>
          <w:tcPr>
            <w:tcW w:w="827" w:type="pct"/>
            <w:vMerge w:val="restart"/>
            <w:vAlign w:val="center"/>
          </w:tcPr>
          <w:p w14:paraId="5BE1943D">
            <w:pPr>
              <w:pStyle w:val="12"/>
              <w:jc w:val="left"/>
              <w:rPr>
                <w:rFonts w:ascii="宋体" w:hAnsi="宋体"/>
              </w:rPr>
            </w:pPr>
            <w:r>
              <w:rPr>
                <w:rFonts w:hint="eastAsia" w:ascii="宋体" w:hAnsi="宋体"/>
              </w:rPr>
              <w:t>中国科学院古脊椎动物研究所</w:t>
            </w:r>
          </w:p>
        </w:tc>
      </w:tr>
      <w:tr w14:paraId="280040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73F63AA1">
            <w:pPr>
              <w:pStyle w:val="12"/>
              <w:jc w:val="left"/>
              <w:rPr>
                <w:rFonts w:ascii="宋体" w:hAnsi="宋体"/>
              </w:rPr>
            </w:pPr>
            <w:r>
              <w:rPr>
                <w:rFonts w:hint="eastAsia" w:ascii="宋体" w:hAnsi="宋体"/>
              </w:rPr>
              <w:t>1962年</w:t>
            </w:r>
          </w:p>
        </w:tc>
        <w:tc>
          <w:tcPr>
            <w:tcW w:w="741" w:type="pct"/>
            <w:vAlign w:val="center"/>
          </w:tcPr>
          <w:p w14:paraId="4917EFDA">
            <w:pPr>
              <w:pStyle w:val="12"/>
              <w:jc w:val="left"/>
              <w:rPr>
                <w:rFonts w:ascii="宋体" w:hAnsi="宋体"/>
              </w:rPr>
            </w:pPr>
            <w:r>
              <w:rPr>
                <w:rFonts w:hint="eastAsia" w:ascii="宋体" w:hAnsi="宋体"/>
              </w:rPr>
              <w:t>修仁西南一里</w:t>
            </w:r>
          </w:p>
        </w:tc>
        <w:tc>
          <w:tcPr>
            <w:tcW w:w="772" w:type="pct"/>
            <w:vAlign w:val="center"/>
          </w:tcPr>
          <w:p w14:paraId="62911AC6">
            <w:pPr>
              <w:pStyle w:val="12"/>
              <w:jc w:val="left"/>
              <w:rPr>
                <w:rFonts w:ascii="宋体" w:hAnsi="宋体"/>
              </w:rPr>
            </w:pPr>
            <w:r>
              <w:rPr>
                <w:rFonts w:hint="eastAsia" w:ascii="宋体" w:hAnsi="宋体"/>
              </w:rPr>
              <w:t>同上</w:t>
            </w:r>
          </w:p>
        </w:tc>
        <w:tc>
          <w:tcPr>
            <w:tcW w:w="964" w:type="pct"/>
            <w:vAlign w:val="center"/>
          </w:tcPr>
          <w:p w14:paraId="1E9E6800">
            <w:pPr>
              <w:pStyle w:val="12"/>
              <w:jc w:val="left"/>
              <w:rPr>
                <w:rFonts w:ascii="宋体" w:hAnsi="宋体"/>
              </w:rPr>
            </w:pPr>
            <w:r>
              <w:rPr>
                <w:rFonts w:hint="eastAsia" w:ascii="宋体" w:hAnsi="宋体"/>
              </w:rPr>
              <w:t>肿骨阶齿兽</w:t>
            </w:r>
          </w:p>
        </w:tc>
        <w:tc>
          <w:tcPr>
            <w:tcW w:w="1001" w:type="pct"/>
            <w:vAlign w:val="center"/>
          </w:tcPr>
          <w:p w14:paraId="69A338BC">
            <w:pPr>
              <w:pStyle w:val="12"/>
              <w:jc w:val="left"/>
              <w:rPr>
                <w:rFonts w:ascii="宋体" w:hAnsi="宋体"/>
              </w:rPr>
            </w:pPr>
            <w:r>
              <w:rPr>
                <w:rFonts w:hint="eastAsia" w:ascii="宋体" w:hAnsi="宋体"/>
              </w:rPr>
              <w:t>头骨、下额各1个</w:t>
            </w:r>
          </w:p>
        </w:tc>
        <w:tc>
          <w:tcPr>
            <w:tcW w:w="827" w:type="pct"/>
            <w:vMerge w:val="continue"/>
            <w:vAlign w:val="center"/>
          </w:tcPr>
          <w:p w14:paraId="4E183080">
            <w:pPr>
              <w:pStyle w:val="12"/>
              <w:jc w:val="left"/>
              <w:rPr>
                <w:rFonts w:ascii="宋体" w:hAnsi="宋体"/>
              </w:rPr>
            </w:pPr>
          </w:p>
        </w:tc>
      </w:tr>
      <w:tr w14:paraId="313D27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04B1EF54">
            <w:pPr>
              <w:pStyle w:val="12"/>
              <w:jc w:val="left"/>
              <w:rPr>
                <w:rFonts w:ascii="宋体" w:hAnsi="宋体"/>
              </w:rPr>
            </w:pPr>
            <w:r>
              <w:rPr>
                <w:rFonts w:hint="eastAsia" w:ascii="宋体" w:hAnsi="宋体"/>
              </w:rPr>
              <w:t>1962年</w:t>
            </w:r>
          </w:p>
        </w:tc>
        <w:tc>
          <w:tcPr>
            <w:tcW w:w="741" w:type="pct"/>
            <w:vAlign w:val="center"/>
          </w:tcPr>
          <w:p w14:paraId="44CCBF7C">
            <w:pPr>
              <w:pStyle w:val="12"/>
              <w:jc w:val="left"/>
              <w:rPr>
                <w:rFonts w:ascii="宋体" w:hAnsi="宋体"/>
              </w:rPr>
            </w:pPr>
            <w:r>
              <w:rPr>
                <w:rFonts w:hint="eastAsia" w:ascii="宋体" w:hAnsi="宋体"/>
              </w:rPr>
              <w:t>湖口上河洞</w:t>
            </w:r>
          </w:p>
        </w:tc>
        <w:tc>
          <w:tcPr>
            <w:tcW w:w="772" w:type="pct"/>
            <w:vAlign w:val="center"/>
          </w:tcPr>
          <w:p w14:paraId="4BCEBA73">
            <w:pPr>
              <w:pStyle w:val="12"/>
              <w:jc w:val="left"/>
              <w:rPr>
                <w:rFonts w:ascii="宋体" w:hAnsi="宋体"/>
              </w:rPr>
            </w:pPr>
            <w:r>
              <w:rPr>
                <w:rFonts w:hint="eastAsia" w:ascii="宋体" w:hAnsi="宋体"/>
              </w:rPr>
              <w:t>上湖段中部</w:t>
            </w:r>
          </w:p>
        </w:tc>
        <w:tc>
          <w:tcPr>
            <w:tcW w:w="964" w:type="pct"/>
            <w:vAlign w:val="center"/>
          </w:tcPr>
          <w:p w14:paraId="62F2754E">
            <w:pPr>
              <w:pStyle w:val="12"/>
              <w:jc w:val="left"/>
              <w:rPr>
                <w:rFonts w:ascii="宋体" w:hAnsi="宋体"/>
              </w:rPr>
            </w:pPr>
            <w:r>
              <w:rPr>
                <w:rFonts w:hint="eastAsia" w:ascii="宋体" w:hAnsi="宋体"/>
              </w:rPr>
              <w:t>同上</w:t>
            </w:r>
          </w:p>
        </w:tc>
        <w:tc>
          <w:tcPr>
            <w:tcW w:w="1001" w:type="pct"/>
            <w:vAlign w:val="center"/>
          </w:tcPr>
          <w:p w14:paraId="180D552F">
            <w:pPr>
              <w:pStyle w:val="12"/>
              <w:jc w:val="left"/>
              <w:rPr>
                <w:rFonts w:ascii="宋体" w:hAnsi="宋体"/>
              </w:rPr>
            </w:pPr>
            <w:r>
              <w:rPr>
                <w:rFonts w:hint="eastAsia" w:ascii="宋体" w:hAnsi="宋体"/>
              </w:rPr>
              <w:t>骨架1个，包括头等12部位</w:t>
            </w:r>
          </w:p>
        </w:tc>
        <w:tc>
          <w:tcPr>
            <w:tcW w:w="827" w:type="pct"/>
            <w:vMerge w:val="continue"/>
            <w:vAlign w:val="center"/>
          </w:tcPr>
          <w:p w14:paraId="6474FA83">
            <w:pPr>
              <w:pStyle w:val="12"/>
              <w:jc w:val="left"/>
              <w:rPr>
                <w:rFonts w:ascii="宋体" w:hAnsi="宋体"/>
              </w:rPr>
            </w:pPr>
          </w:p>
        </w:tc>
      </w:tr>
      <w:tr w14:paraId="3D63DF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5ADA2C2F">
            <w:pPr>
              <w:pStyle w:val="12"/>
              <w:jc w:val="left"/>
              <w:rPr>
                <w:rFonts w:ascii="宋体" w:hAnsi="宋体"/>
              </w:rPr>
            </w:pPr>
            <w:r>
              <w:rPr>
                <w:rFonts w:hint="eastAsia" w:ascii="宋体" w:hAnsi="宋体"/>
              </w:rPr>
              <w:t>1962年</w:t>
            </w:r>
          </w:p>
        </w:tc>
        <w:tc>
          <w:tcPr>
            <w:tcW w:w="741" w:type="pct"/>
            <w:vAlign w:val="center"/>
          </w:tcPr>
          <w:p w14:paraId="703466CD">
            <w:pPr>
              <w:pStyle w:val="12"/>
              <w:jc w:val="left"/>
              <w:rPr>
                <w:rFonts w:ascii="宋体" w:hAnsi="宋体"/>
              </w:rPr>
            </w:pPr>
            <w:r>
              <w:rPr>
                <w:rFonts w:hint="eastAsia" w:ascii="宋体" w:hAnsi="宋体"/>
              </w:rPr>
              <w:t>同上</w:t>
            </w:r>
          </w:p>
        </w:tc>
        <w:tc>
          <w:tcPr>
            <w:tcW w:w="772" w:type="pct"/>
            <w:vAlign w:val="center"/>
          </w:tcPr>
          <w:p w14:paraId="53D29241">
            <w:pPr>
              <w:pStyle w:val="12"/>
              <w:jc w:val="left"/>
              <w:rPr>
                <w:rFonts w:ascii="宋体" w:hAnsi="宋体"/>
              </w:rPr>
            </w:pPr>
            <w:r>
              <w:rPr>
                <w:rFonts w:hint="eastAsia" w:ascii="宋体" w:hAnsi="宋体"/>
              </w:rPr>
              <w:t>同上</w:t>
            </w:r>
          </w:p>
        </w:tc>
        <w:tc>
          <w:tcPr>
            <w:tcW w:w="964" w:type="pct"/>
            <w:vAlign w:val="center"/>
          </w:tcPr>
          <w:p w14:paraId="19E48642">
            <w:pPr>
              <w:pStyle w:val="12"/>
              <w:jc w:val="left"/>
              <w:rPr>
                <w:rFonts w:ascii="宋体" w:hAnsi="宋体"/>
              </w:rPr>
            </w:pPr>
            <w:r>
              <w:rPr>
                <w:rFonts w:hint="eastAsia" w:ascii="宋体" w:hAnsi="宋体"/>
              </w:rPr>
              <w:t>肥岗中兽</w:t>
            </w:r>
          </w:p>
        </w:tc>
        <w:tc>
          <w:tcPr>
            <w:tcW w:w="1001" w:type="pct"/>
            <w:vAlign w:val="center"/>
          </w:tcPr>
          <w:p w14:paraId="10C0C247">
            <w:pPr>
              <w:pStyle w:val="12"/>
              <w:jc w:val="left"/>
              <w:rPr>
                <w:rFonts w:ascii="宋体" w:hAnsi="宋体"/>
              </w:rPr>
            </w:pPr>
            <w:r>
              <w:rPr>
                <w:rFonts w:hint="eastAsia" w:ascii="宋体" w:hAnsi="宋体"/>
              </w:rPr>
              <w:t>头骨、左右有牙P</w:t>
            </w:r>
            <w:r>
              <w:rPr>
                <w:rFonts w:hint="eastAsia" w:ascii="宋体" w:hAnsi="宋体"/>
                <w:vertAlign w:val="superscript"/>
              </w:rPr>
              <w:t>5</w:t>
            </w:r>
            <w:r>
              <w:rPr>
                <w:rFonts w:hint="eastAsia" w:ascii="宋体" w:hAnsi="宋体"/>
              </w:rPr>
              <w:t>—M</w:t>
            </w:r>
            <w:r>
              <w:rPr>
                <w:rFonts w:hint="eastAsia" w:ascii="宋体" w:hAnsi="宋体"/>
                <w:vertAlign w:val="superscript"/>
              </w:rPr>
              <w:t>3</w:t>
            </w:r>
            <w:r>
              <w:rPr>
                <w:rFonts w:hint="eastAsia" w:ascii="宋体" w:hAnsi="宋体"/>
              </w:rPr>
              <w:t>、P</w:t>
            </w:r>
            <w:r>
              <w:rPr>
                <w:rFonts w:hint="eastAsia" w:ascii="宋体" w:hAnsi="宋体"/>
                <w:vertAlign w:val="superscript"/>
              </w:rPr>
              <w:t>5</w:t>
            </w:r>
            <w:r>
              <w:rPr>
                <w:rFonts w:hint="eastAsia" w:ascii="宋体" w:hAnsi="宋体"/>
              </w:rPr>
              <w:t>—M</w:t>
            </w:r>
            <w:r>
              <w:rPr>
                <w:rFonts w:hint="eastAsia" w:ascii="宋体" w:hAnsi="宋体"/>
                <w:vertAlign w:val="superscript"/>
              </w:rPr>
              <w:t>2</w:t>
            </w:r>
          </w:p>
        </w:tc>
        <w:tc>
          <w:tcPr>
            <w:tcW w:w="827" w:type="pct"/>
            <w:vMerge w:val="continue"/>
            <w:vAlign w:val="center"/>
          </w:tcPr>
          <w:p w14:paraId="29B09F55">
            <w:pPr>
              <w:pStyle w:val="12"/>
              <w:jc w:val="left"/>
              <w:rPr>
                <w:rFonts w:ascii="宋体" w:hAnsi="宋体"/>
              </w:rPr>
            </w:pPr>
          </w:p>
        </w:tc>
      </w:tr>
      <w:tr w14:paraId="5E79F2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Merge w:val="restart"/>
            <w:vAlign w:val="center"/>
          </w:tcPr>
          <w:p w14:paraId="7968D8B4">
            <w:pPr>
              <w:pStyle w:val="12"/>
              <w:jc w:val="left"/>
              <w:rPr>
                <w:rFonts w:ascii="宋体" w:hAnsi="宋体"/>
              </w:rPr>
            </w:pPr>
            <w:r>
              <w:rPr>
                <w:rFonts w:hint="eastAsia" w:ascii="宋体" w:hAnsi="宋体"/>
              </w:rPr>
              <w:t>1963年</w:t>
            </w:r>
          </w:p>
        </w:tc>
        <w:tc>
          <w:tcPr>
            <w:tcW w:w="741" w:type="pct"/>
            <w:vMerge w:val="restart"/>
            <w:vAlign w:val="center"/>
          </w:tcPr>
          <w:p w14:paraId="2E524DFA">
            <w:pPr>
              <w:pStyle w:val="12"/>
              <w:jc w:val="left"/>
              <w:rPr>
                <w:rFonts w:ascii="宋体" w:hAnsi="宋体"/>
              </w:rPr>
            </w:pPr>
            <w:r>
              <w:rPr>
                <w:rFonts w:hint="eastAsia" w:ascii="宋体" w:hAnsi="宋体"/>
              </w:rPr>
              <w:t>同上</w:t>
            </w:r>
          </w:p>
        </w:tc>
        <w:tc>
          <w:tcPr>
            <w:tcW w:w="772" w:type="pct"/>
            <w:vAlign w:val="center"/>
          </w:tcPr>
          <w:p w14:paraId="55FDF3A9">
            <w:pPr>
              <w:pStyle w:val="12"/>
              <w:jc w:val="left"/>
              <w:rPr>
                <w:rFonts w:ascii="宋体" w:hAnsi="宋体"/>
              </w:rPr>
            </w:pPr>
            <w:r>
              <w:rPr>
                <w:rFonts w:hint="eastAsia" w:ascii="宋体" w:hAnsi="宋体"/>
              </w:rPr>
              <w:t>同上</w:t>
            </w:r>
          </w:p>
        </w:tc>
        <w:tc>
          <w:tcPr>
            <w:tcW w:w="964" w:type="pct"/>
            <w:vAlign w:val="center"/>
          </w:tcPr>
          <w:p w14:paraId="7CAB3128">
            <w:pPr>
              <w:pStyle w:val="12"/>
              <w:jc w:val="left"/>
              <w:rPr>
                <w:rFonts w:ascii="宋体" w:hAnsi="宋体"/>
              </w:rPr>
            </w:pPr>
            <w:r>
              <w:rPr>
                <w:rFonts w:hint="eastAsia" w:ascii="宋体" w:hAnsi="宋体"/>
              </w:rPr>
              <w:t>罗佛犭亚兽</w:t>
            </w:r>
          </w:p>
        </w:tc>
        <w:tc>
          <w:tcPr>
            <w:tcW w:w="1001" w:type="pct"/>
            <w:vAlign w:val="center"/>
          </w:tcPr>
          <w:p w14:paraId="6F0F8913">
            <w:pPr>
              <w:pStyle w:val="12"/>
              <w:jc w:val="left"/>
              <w:rPr>
                <w:rFonts w:ascii="宋体" w:hAnsi="宋体"/>
              </w:rPr>
            </w:pPr>
            <w:r>
              <w:rPr>
                <w:rFonts w:hint="eastAsia" w:ascii="宋体" w:hAnsi="宋体"/>
              </w:rPr>
              <w:t>头骨、下颈骨</w:t>
            </w:r>
          </w:p>
        </w:tc>
        <w:tc>
          <w:tcPr>
            <w:tcW w:w="827" w:type="pct"/>
            <w:vMerge w:val="continue"/>
            <w:vAlign w:val="center"/>
          </w:tcPr>
          <w:p w14:paraId="352A57B7">
            <w:pPr>
              <w:pStyle w:val="12"/>
              <w:jc w:val="left"/>
              <w:rPr>
                <w:rFonts w:ascii="宋体" w:hAnsi="宋体"/>
              </w:rPr>
            </w:pPr>
          </w:p>
        </w:tc>
      </w:tr>
      <w:tr w14:paraId="62A80D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Merge w:val="continue"/>
            <w:vAlign w:val="center"/>
          </w:tcPr>
          <w:p w14:paraId="71E2A46D">
            <w:pPr>
              <w:pStyle w:val="12"/>
              <w:jc w:val="left"/>
              <w:rPr>
                <w:rFonts w:ascii="宋体" w:hAnsi="宋体"/>
              </w:rPr>
            </w:pPr>
          </w:p>
        </w:tc>
        <w:tc>
          <w:tcPr>
            <w:tcW w:w="741" w:type="pct"/>
            <w:vMerge w:val="continue"/>
            <w:vAlign w:val="center"/>
          </w:tcPr>
          <w:p w14:paraId="4A2D469D">
            <w:pPr>
              <w:pStyle w:val="12"/>
              <w:jc w:val="left"/>
              <w:rPr>
                <w:rFonts w:ascii="宋体" w:hAnsi="宋体"/>
              </w:rPr>
            </w:pPr>
          </w:p>
        </w:tc>
        <w:tc>
          <w:tcPr>
            <w:tcW w:w="772" w:type="pct"/>
            <w:vAlign w:val="center"/>
          </w:tcPr>
          <w:p w14:paraId="304F1A41">
            <w:pPr>
              <w:pStyle w:val="12"/>
              <w:jc w:val="left"/>
              <w:rPr>
                <w:rFonts w:ascii="宋体" w:hAnsi="宋体"/>
              </w:rPr>
            </w:pPr>
            <w:r>
              <w:rPr>
                <w:rFonts w:hint="eastAsia" w:ascii="宋体" w:hAnsi="宋体"/>
              </w:rPr>
              <w:t>上湖段下部</w:t>
            </w:r>
          </w:p>
        </w:tc>
        <w:tc>
          <w:tcPr>
            <w:tcW w:w="964" w:type="pct"/>
            <w:vAlign w:val="center"/>
          </w:tcPr>
          <w:p w14:paraId="01CE7DE6">
            <w:pPr>
              <w:pStyle w:val="12"/>
              <w:jc w:val="left"/>
              <w:rPr>
                <w:rFonts w:ascii="宋体" w:hAnsi="宋体"/>
              </w:rPr>
            </w:pPr>
            <w:r>
              <w:rPr>
                <w:rFonts w:hint="eastAsia" w:ascii="宋体" w:hAnsi="宋体"/>
              </w:rPr>
              <w:t>上河中兽</w:t>
            </w:r>
          </w:p>
        </w:tc>
        <w:tc>
          <w:tcPr>
            <w:tcW w:w="1001" w:type="pct"/>
            <w:vAlign w:val="center"/>
          </w:tcPr>
          <w:p w14:paraId="79D08193">
            <w:pPr>
              <w:pStyle w:val="12"/>
              <w:jc w:val="left"/>
              <w:rPr>
                <w:rFonts w:ascii="宋体" w:hAnsi="宋体"/>
              </w:rPr>
            </w:pPr>
            <w:r>
              <w:rPr>
                <w:rFonts w:hint="eastAsia" w:ascii="宋体" w:hAnsi="宋体"/>
              </w:rPr>
              <w:t>右上牙M</w:t>
            </w:r>
            <w:r>
              <w:rPr>
                <w:rFonts w:hint="eastAsia" w:ascii="宋体" w:hAnsi="宋体"/>
                <w:vertAlign w:val="superscript"/>
              </w:rPr>
              <w:t>2</w:t>
            </w:r>
          </w:p>
        </w:tc>
        <w:tc>
          <w:tcPr>
            <w:tcW w:w="827" w:type="pct"/>
            <w:vMerge w:val="continue"/>
            <w:vAlign w:val="center"/>
          </w:tcPr>
          <w:p w14:paraId="2A41B4A5">
            <w:pPr>
              <w:pStyle w:val="12"/>
              <w:jc w:val="left"/>
              <w:rPr>
                <w:rFonts w:ascii="宋体" w:hAnsi="宋体"/>
              </w:rPr>
            </w:pPr>
          </w:p>
        </w:tc>
      </w:tr>
      <w:tr w14:paraId="009637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5C08B8E0">
            <w:pPr>
              <w:pStyle w:val="12"/>
              <w:jc w:val="left"/>
              <w:rPr>
                <w:rFonts w:ascii="宋体" w:hAnsi="宋体"/>
              </w:rPr>
            </w:pPr>
            <w:r>
              <w:rPr>
                <w:rFonts w:hint="eastAsia" w:ascii="宋体" w:hAnsi="宋体"/>
              </w:rPr>
              <w:t>1963年</w:t>
            </w:r>
          </w:p>
        </w:tc>
        <w:tc>
          <w:tcPr>
            <w:tcW w:w="741" w:type="pct"/>
            <w:vAlign w:val="center"/>
          </w:tcPr>
          <w:p w14:paraId="7403806D">
            <w:pPr>
              <w:pStyle w:val="12"/>
              <w:jc w:val="left"/>
              <w:rPr>
                <w:rFonts w:ascii="宋体" w:hAnsi="宋体"/>
              </w:rPr>
            </w:pPr>
            <w:r>
              <w:rPr>
                <w:rFonts w:hint="eastAsia" w:ascii="宋体" w:hAnsi="宋体"/>
              </w:rPr>
              <w:t>湖口武台岗</w:t>
            </w:r>
          </w:p>
        </w:tc>
        <w:tc>
          <w:tcPr>
            <w:tcW w:w="772" w:type="pct"/>
            <w:vAlign w:val="center"/>
          </w:tcPr>
          <w:p w14:paraId="6BD5FDD2">
            <w:pPr>
              <w:pStyle w:val="12"/>
              <w:jc w:val="left"/>
              <w:rPr>
                <w:rFonts w:ascii="宋体" w:hAnsi="宋体"/>
              </w:rPr>
            </w:pPr>
            <w:r>
              <w:rPr>
                <w:rFonts w:hint="eastAsia" w:ascii="宋体" w:hAnsi="宋体"/>
              </w:rPr>
              <w:t>上湖段下部</w:t>
            </w:r>
          </w:p>
        </w:tc>
        <w:tc>
          <w:tcPr>
            <w:tcW w:w="964" w:type="pct"/>
            <w:vAlign w:val="center"/>
          </w:tcPr>
          <w:p w14:paraId="33B9CDC2">
            <w:pPr>
              <w:pStyle w:val="12"/>
              <w:jc w:val="left"/>
              <w:rPr>
                <w:rFonts w:ascii="宋体" w:hAnsi="宋体"/>
              </w:rPr>
            </w:pPr>
            <w:r>
              <w:rPr>
                <w:rFonts w:hint="eastAsia" w:ascii="宋体" w:hAnsi="宋体"/>
              </w:rPr>
              <w:t>肿骨阶齿兽</w:t>
            </w:r>
          </w:p>
        </w:tc>
        <w:tc>
          <w:tcPr>
            <w:tcW w:w="1001" w:type="pct"/>
            <w:vAlign w:val="center"/>
          </w:tcPr>
          <w:p w14:paraId="4B558985">
            <w:pPr>
              <w:pStyle w:val="12"/>
              <w:jc w:val="left"/>
              <w:rPr>
                <w:rFonts w:ascii="宋体" w:hAnsi="宋体"/>
              </w:rPr>
            </w:pPr>
            <w:r>
              <w:rPr>
                <w:rFonts w:hint="eastAsia" w:ascii="宋体" w:hAnsi="宋体"/>
              </w:rPr>
              <w:t>头骨、肩胛骨、肱骨</w:t>
            </w:r>
          </w:p>
        </w:tc>
        <w:tc>
          <w:tcPr>
            <w:tcW w:w="827" w:type="pct"/>
            <w:vMerge w:val="continue"/>
            <w:vAlign w:val="center"/>
          </w:tcPr>
          <w:p w14:paraId="02CAE47D">
            <w:pPr>
              <w:pStyle w:val="12"/>
              <w:jc w:val="left"/>
              <w:rPr>
                <w:rFonts w:ascii="宋体" w:hAnsi="宋体"/>
              </w:rPr>
            </w:pPr>
          </w:p>
        </w:tc>
      </w:tr>
      <w:tr w14:paraId="0FF94F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46BF0663">
            <w:pPr>
              <w:pStyle w:val="12"/>
              <w:jc w:val="left"/>
              <w:rPr>
                <w:rFonts w:ascii="宋体" w:hAnsi="宋体"/>
              </w:rPr>
            </w:pPr>
            <w:r>
              <w:rPr>
                <w:rFonts w:hint="eastAsia" w:ascii="宋体" w:hAnsi="宋体"/>
              </w:rPr>
              <w:t>1963年</w:t>
            </w:r>
          </w:p>
        </w:tc>
        <w:tc>
          <w:tcPr>
            <w:tcW w:w="741" w:type="pct"/>
            <w:vAlign w:val="center"/>
          </w:tcPr>
          <w:p w14:paraId="761B9A37">
            <w:pPr>
              <w:pStyle w:val="12"/>
              <w:jc w:val="left"/>
              <w:rPr>
                <w:rFonts w:ascii="宋体" w:hAnsi="宋体"/>
              </w:rPr>
            </w:pPr>
            <w:r>
              <w:rPr>
                <w:rFonts w:hint="eastAsia" w:ascii="宋体" w:hAnsi="宋体"/>
              </w:rPr>
              <w:t>同上</w:t>
            </w:r>
          </w:p>
        </w:tc>
        <w:tc>
          <w:tcPr>
            <w:tcW w:w="772" w:type="pct"/>
            <w:vAlign w:val="center"/>
          </w:tcPr>
          <w:p w14:paraId="5EE4B4B1">
            <w:pPr>
              <w:pStyle w:val="12"/>
              <w:jc w:val="left"/>
              <w:rPr>
                <w:rFonts w:ascii="宋体" w:hAnsi="宋体"/>
              </w:rPr>
            </w:pPr>
            <w:r>
              <w:rPr>
                <w:rFonts w:hint="eastAsia" w:ascii="宋体" w:hAnsi="宋体"/>
              </w:rPr>
              <w:t>上湖段中部</w:t>
            </w:r>
          </w:p>
        </w:tc>
        <w:tc>
          <w:tcPr>
            <w:tcW w:w="964" w:type="pct"/>
            <w:vAlign w:val="center"/>
          </w:tcPr>
          <w:p w14:paraId="2CE38C63">
            <w:pPr>
              <w:pStyle w:val="12"/>
              <w:jc w:val="left"/>
              <w:rPr>
                <w:rFonts w:ascii="宋体" w:hAnsi="宋体"/>
              </w:rPr>
            </w:pPr>
            <w:r>
              <w:rPr>
                <w:rFonts w:hint="eastAsia" w:ascii="宋体" w:hAnsi="宋体"/>
              </w:rPr>
              <w:t>湖口兽</w:t>
            </w:r>
          </w:p>
        </w:tc>
        <w:tc>
          <w:tcPr>
            <w:tcW w:w="1001" w:type="pct"/>
            <w:vAlign w:val="center"/>
          </w:tcPr>
          <w:p w14:paraId="149B37F1">
            <w:pPr>
              <w:pStyle w:val="12"/>
              <w:jc w:val="left"/>
              <w:rPr>
                <w:rFonts w:ascii="宋体" w:hAnsi="宋体"/>
              </w:rPr>
            </w:pPr>
            <w:r>
              <w:rPr>
                <w:rFonts w:hint="eastAsia" w:ascii="宋体" w:hAnsi="宋体"/>
              </w:rPr>
              <w:t>下牙床骨</w:t>
            </w:r>
          </w:p>
        </w:tc>
        <w:tc>
          <w:tcPr>
            <w:tcW w:w="827" w:type="pct"/>
            <w:vMerge w:val="continue"/>
            <w:vAlign w:val="center"/>
          </w:tcPr>
          <w:p w14:paraId="69A8696B">
            <w:pPr>
              <w:pStyle w:val="12"/>
              <w:jc w:val="left"/>
              <w:rPr>
                <w:rFonts w:ascii="宋体" w:hAnsi="宋体"/>
              </w:rPr>
            </w:pPr>
          </w:p>
        </w:tc>
      </w:tr>
      <w:tr w14:paraId="6F80D80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6945207F">
            <w:pPr>
              <w:pStyle w:val="12"/>
              <w:jc w:val="left"/>
              <w:rPr>
                <w:rFonts w:ascii="宋体" w:hAnsi="宋体"/>
              </w:rPr>
            </w:pPr>
            <w:r>
              <w:rPr>
                <w:rFonts w:hint="eastAsia" w:ascii="宋体" w:hAnsi="宋体"/>
              </w:rPr>
              <w:t>1963年</w:t>
            </w:r>
          </w:p>
        </w:tc>
        <w:tc>
          <w:tcPr>
            <w:tcW w:w="741" w:type="pct"/>
            <w:vAlign w:val="center"/>
          </w:tcPr>
          <w:p w14:paraId="0EE79CD1">
            <w:pPr>
              <w:pStyle w:val="12"/>
              <w:jc w:val="left"/>
              <w:rPr>
                <w:rFonts w:ascii="宋体" w:hAnsi="宋体"/>
              </w:rPr>
            </w:pPr>
            <w:r>
              <w:rPr>
                <w:rFonts w:hint="eastAsia" w:ascii="宋体" w:hAnsi="宋体"/>
              </w:rPr>
              <w:t>同上</w:t>
            </w:r>
          </w:p>
        </w:tc>
        <w:tc>
          <w:tcPr>
            <w:tcW w:w="772" w:type="pct"/>
            <w:vAlign w:val="center"/>
          </w:tcPr>
          <w:p w14:paraId="574729A3">
            <w:pPr>
              <w:pStyle w:val="12"/>
              <w:jc w:val="left"/>
              <w:rPr>
                <w:rFonts w:ascii="宋体" w:hAnsi="宋体"/>
              </w:rPr>
            </w:pPr>
            <w:r>
              <w:rPr>
                <w:rFonts w:hint="eastAsia" w:ascii="宋体" w:hAnsi="宋体"/>
              </w:rPr>
              <w:t>上湖段下部</w:t>
            </w:r>
          </w:p>
        </w:tc>
        <w:tc>
          <w:tcPr>
            <w:tcW w:w="964" w:type="pct"/>
            <w:vAlign w:val="center"/>
          </w:tcPr>
          <w:p w14:paraId="503ADC0A">
            <w:pPr>
              <w:pStyle w:val="12"/>
              <w:jc w:val="left"/>
              <w:rPr>
                <w:rFonts w:ascii="宋体" w:hAnsi="宋体"/>
              </w:rPr>
            </w:pPr>
            <w:r>
              <w:rPr>
                <w:rFonts w:hint="eastAsia" w:ascii="宋体" w:hAnsi="宋体"/>
              </w:rPr>
              <w:t>南雄阶齿兽</w:t>
            </w:r>
          </w:p>
        </w:tc>
        <w:tc>
          <w:tcPr>
            <w:tcW w:w="1001" w:type="pct"/>
            <w:vAlign w:val="center"/>
          </w:tcPr>
          <w:p w14:paraId="19FE8A22">
            <w:pPr>
              <w:pStyle w:val="12"/>
              <w:jc w:val="left"/>
              <w:rPr>
                <w:rFonts w:ascii="宋体" w:hAnsi="宋体"/>
              </w:rPr>
            </w:pPr>
            <w:r>
              <w:rPr>
                <w:rFonts w:hint="eastAsia" w:ascii="宋体" w:hAnsi="宋体"/>
              </w:rPr>
              <w:t>下颌骨8个、头骨6个</w:t>
            </w:r>
          </w:p>
        </w:tc>
        <w:tc>
          <w:tcPr>
            <w:tcW w:w="827" w:type="pct"/>
            <w:vMerge w:val="continue"/>
            <w:vAlign w:val="center"/>
          </w:tcPr>
          <w:p w14:paraId="7066857D">
            <w:pPr>
              <w:pStyle w:val="12"/>
              <w:jc w:val="left"/>
              <w:rPr>
                <w:rFonts w:ascii="宋体" w:hAnsi="宋体"/>
              </w:rPr>
            </w:pPr>
          </w:p>
        </w:tc>
      </w:tr>
      <w:tr w14:paraId="3589DE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44FAF78F">
            <w:pPr>
              <w:pStyle w:val="12"/>
              <w:jc w:val="left"/>
              <w:rPr>
                <w:rFonts w:ascii="宋体" w:hAnsi="宋体"/>
              </w:rPr>
            </w:pPr>
            <w:r>
              <w:rPr>
                <w:rFonts w:hint="eastAsia" w:ascii="宋体" w:hAnsi="宋体"/>
              </w:rPr>
              <w:t>1963年</w:t>
            </w:r>
          </w:p>
        </w:tc>
        <w:tc>
          <w:tcPr>
            <w:tcW w:w="741" w:type="pct"/>
            <w:vAlign w:val="center"/>
          </w:tcPr>
          <w:p w14:paraId="40F0934B">
            <w:pPr>
              <w:pStyle w:val="12"/>
              <w:jc w:val="left"/>
              <w:rPr>
                <w:rFonts w:ascii="宋体" w:hAnsi="宋体"/>
              </w:rPr>
            </w:pPr>
            <w:r>
              <w:rPr>
                <w:rFonts w:hint="eastAsia" w:ascii="宋体" w:hAnsi="宋体"/>
              </w:rPr>
              <w:t>湖口武台岗</w:t>
            </w:r>
          </w:p>
        </w:tc>
        <w:tc>
          <w:tcPr>
            <w:tcW w:w="772" w:type="pct"/>
            <w:vAlign w:val="center"/>
          </w:tcPr>
          <w:p w14:paraId="6DB44556">
            <w:pPr>
              <w:pStyle w:val="12"/>
              <w:jc w:val="left"/>
              <w:rPr>
                <w:rFonts w:ascii="宋体" w:hAnsi="宋体"/>
              </w:rPr>
            </w:pPr>
            <w:r>
              <w:rPr>
                <w:rFonts w:hint="eastAsia" w:ascii="宋体" w:hAnsi="宋体"/>
              </w:rPr>
              <w:t>上湖段下部</w:t>
            </w:r>
          </w:p>
        </w:tc>
        <w:tc>
          <w:tcPr>
            <w:tcW w:w="964" w:type="pct"/>
            <w:vAlign w:val="center"/>
          </w:tcPr>
          <w:p w14:paraId="3225F50D">
            <w:pPr>
              <w:pStyle w:val="12"/>
              <w:jc w:val="left"/>
              <w:rPr>
                <w:rFonts w:ascii="宋体" w:hAnsi="宋体"/>
              </w:rPr>
            </w:pPr>
            <w:r>
              <w:rPr>
                <w:rFonts w:hint="eastAsia" w:ascii="宋体" w:hAnsi="宋体"/>
              </w:rPr>
              <w:t>南雄阶齿兽</w:t>
            </w:r>
          </w:p>
        </w:tc>
        <w:tc>
          <w:tcPr>
            <w:tcW w:w="1001" w:type="pct"/>
            <w:vAlign w:val="center"/>
          </w:tcPr>
          <w:p w14:paraId="14D87DA0">
            <w:pPr>
              <w:pStyle w:val="12"/>
              <w:jc w:val="left"/>
              <w:rPr>
                <w:rFonts w:ascii="宋体" w:hAnsi="宋体"/>
              </w:rPr>
            </w:pPr>
            <w:r>
              <w:rPr>
                <w:rFonts w:hint="eastAsia" w:ascii="宋体" w:hAnsi="宋体"/>
              </w:rPr>
              <w:t>骨架、胸、腰间椎</w:t>
            </w:r>
          </w:p>
        </w:tc>
        <w:tc>
          <w:tcPr>
            <w:tcW w:w="827" w:type="pct"/>
            <w:vMerge w:val="continue"/>
            <w:vAlign w:val="center"/>
          </w:tcPr>
          <w:p w14:paraId="20D76F37">
            <w:pPr>
              <w:pStyle w:val="12"/>
              <w:jc w:val="left"/>
              <w:rPr>
                <w:rFonts w:ascii="宋体" w:hAnsi="宋体"/>
              </w:rPr>
            </w:pPr>
          </w:p>
        </w:tc>
      </w:tr>
      <w:tr w14:paraId="274E89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6AEAB6E4">
            <w:pPr>
              <w:pStyle w:val="12"/>
              <w:jc w:val="left"/>
              <w:rPr>
                <w:rFonts w:ascii="宋体" w:hAnsi="宋体"/>
              </w:rPr>
            </w:pPr>
            <w:r>
              <w:rPr>
                <w:rFonts w:hint="eastAsia" w:ascii="宋体" w:hAnsi="宋体"/>
              </w:rPr>
              <w:t>1963年</w:t>
            </w:r>
          </w:p>
        </w:tc>
        <w:tc>
          <w:tcPr>
            <w:tcW w:w="741" w:type="pct"/>
            <w:vAlign w:val="center"/>
          </w:tcPr>
          <w:p w14:paraId="14096B22">
            <w:pPr>
              <w:pStyle w:val="12"/>
              <w:jc w:val="left"/>
              <w:rPr>
                <w:rFonts w:ascii="宋体" w:hAnsi="宋体"/>
              </w:rPr>
            </w:pPr>
            <w:r>
              <w:rPr>
                <w:rFonts w:hint="eastAsia" w:ascii="宋体" w:hAnsi="宋体"/>
              </w:rPr>
              <w:t>同上</w:t>
            </w:r>
          </w:p>
        </w:tc>
        <w:tc>
          <w:tcPr>
            <w:tcW w:w="772" w:type="pct"/>
            <w:vAlign w:val="center"/>
          </w:tcPr>
          <w:p w14:paraId="6901860F">
            <w:pPr>
              <w:pStyle w:val="12"/>
              <w:jc w:val="left"/>
              <w:rPr>
                <w:rFonts w:ascii="宋体" w:hAnsi="宋体"/>
              </w:rPr>
            </w:pPr>
            <w:r>
              <w:rPr>
                <w:rFonts w:hint="eastAsia" w:ascii="宋体" w:hAnsi="宋体"/>
              </w:rPr>
              <w:t>同上</w:t>
            </w:r>
          </w:p>
        </w:tc>
        <w:tc>
          <w:tcPr>
            <w:tcW w:w="964" w:type="pct"/>
            <w:vAlign w:val="center"/>
          </w:tcPr>
          <w:p w14:paraId="637898B8">
            <w:pPr>
              <w:pStyle w:val="12"/>
              <w:jc w:val="left"/>
              <w:rPr>
                <w:rFonts w:ascii="宋体" w:hAnsi="宋体"/>
              </w:rPr>
            </w:pPr>
            <w:r>
              <w:rPr>
                <w:rFonts w:hint="eastAsia" w:ascii="宋体" w:hAnsi="宋体"/>
              </w:rPr>
              <w:t>同上</w:t>
            </w:r>
          </w:p>
        </w:tc>
        <w:tc>
          <w:tcPr>
            <w:tcW w:w="1001" w:type="pct"/>
            <w:vAlign w:val="center"/>
          </w:tcPr>
          <w:p w14:paraId="0B05EBD6">
            <w:pPr>
              <w:pStyle w:val="12"/>
              <w:jc w:val="left"/>
              <w:rPr>
                <w:rFonts w:ascii="宋体" w:hAnsi="宋体"/>
              </w:rPr>
            </w:pPr>
            <w:r>
              <w:rPr>
                <w:rFonts w:hint="eastAsia" w:ascii="宋体" w:hAnsi="宋体"/>
              </w:rPr>
              <w:t>头骨2个</w:t>
            </w:r>
          </w:p>
        </w:tc>
        <w:tc>
          <w:tcPr>
            <w:tcW w:w="827" w:type="pct"/>
            <w:vMerge w:val="continue"/>
            <w:vAlign w:val="center"/>
          </w:tcPr>
          <w:p w14:paraId="77825358">
            <w:pPr>
              <w:pStyle w:val="12"/>
              <w:jc w:val="left"/>
              <w:rPr>
                <w:rFonts w:ascii="宋体" w:hAnsi="宋体"/>
              </w:rPr>
            </w:pPr>
          </w:p>
        </w:tc>
      </w:tr>
      <w:tr w14:paraId="4E6E32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6394D787">
            <w:pPr>
              <w:pStyle w:val="12"/>
              <w:jc w:val="left"/>
              <w:rPr>
                <w:rFonts w:ascii="宋体" w:hAnsi="宋体"/>
              </w:rPr>
            </w:pPr>
            <w:r>
              <w:rPr>
                <w:rFonts w:hint="eastAsia" w:ascii="宋体" w:hAnsi="宋体"/>
              </w:rPr>
              <w:t>1963年</w:t>
            </w:r>
          </w:p>
        </w:tc>
        <w:tc>
          <w:tcPr>
            <w:tcW w:w="741" w:type="pct"/>
            <w:vAlign w:val="center"/>
          </w:tcPr>
          <w:p w14:paraId="26787FBD">
            <w:pPr>
              <w:pStyle w:val="12"/>
              <w:jc w:val="left"/>
              <w:rPr>
                <w:rFonts w:ascii="宋体" w:hAnsi="宋体"/>
              </w:rPr>
            </w:pPr>
            <w:r>
              <w:rPr>
                <w:rFonts w:hint="eastAsia" w:ascii="宋体" w:hAnsi="宋体"/>
              </w:rPr>
              <w:t>珠玑南老村</w:t>
            </w:r>
          </w:p>
        </w:tc>
        <w:tc>
          <w:tcPr>
            <w:tcW w:w="772" w:type="pct"/>
            <w:vAlign w:val="center"/>
          </w:tcPr>
          <w:p w14:paraId="2F365B8A">
            <w:pPr>
              <w:pStyle w:val="12"/>
              <w:jc w:val="left"/>
              <w:rPr>
                <w:rFonts w:ascii="宋体" w:hAnsi="宋体"/>
              </w:rPr>
            </w:pPr>
            <w:r>
              <w:rPr>
                <w:rFonts w:hint="eastAsia" w:ascii="宋体" w:hAnsi="宋体"/>
              </w:rPr>
              <w:t>上湖段顶部</w:t>
            </w:r>
          </w:p>
        </w:tc>
        <w:tc>
          <w:tcPr>
            <w:tcW w:w="964" w:type="pct"/>
            <w:vAlign w:val="center"/>
          </w:tcPr>
          <w:p w14:paraId="2726E8F2">
            <w:pPr>
              <w:pStyle w:val="12"/>
              <w:jc w:val="left"/>
              <w:rPr>
                <w:rFonts w:ascii="宋体" w:hAnsi="宋体"/>
              </w:rPr>
            </w:pPr>
            <w:r>
              <w:rPr>
                <w:rFonts w:hint="eastAsia" w:ascii="宋体" w:hAnsi="宋体"/>
              </w:rPr>
              <w:t>粗壮阶齿兽</w:t>
            </w:r>
          </w:p>
        </w:tc>
        <w:tc>
          <w:tcPr>
            <w:tcW w:w="1001" w:type="pct"/>
            <w:vAlign w:val="center"/>
          </w:tcPr>
          <w:p w14:paraId="7D4EED49">
            <w:pPr>
              <w:pStyle w:val="12"/>
              <w:jc w:val="left"/>
              <w:rPr>
                <w:rFonts w:ascii="宋体" w:hAnsi="宋体"/>
              </w:rPr>
            </w:pPr>
            <w:r>
              <w:rPr>
                <w:rFonts w:hint="eastAsia" w:ascii="宋体" w:hAnsi="宋体"/>
              </w:rPr>
              <w:t>右上额M</w:t>
            </w:r>
            <w:r>
              <w:rPr>
                <w:rFonts w:hint="eastAsia" w:ascii="宋体" w:hAnsi="宋体"/>
                <w:vertAlign w:val="superscript"/>
              </w:rPr>
              <w:t>1</w:t>
            </w:r>
            <w:r>
              <w:rPr>
                <w:rFonts w:hint="eastAsia" w:ascii="宋体" w:hAnsi="宋体"/>
              </w:rPr>
              <w:t>—M</w:t>
            </w:r>
            <w:r>
              <w:rPr>
                <w:rFonts w:hint="eastAsia" w:ascii="宋体" w:hAnsi="宋体"/>
                <w:vertAlign w:val="superscript"/>
              </w:rPr>
              <w:t>3</w:t>
            </w:r>
          </w:p>
        </w:tc>
        <w:tc>
          <w:tcPr>
            <w:tcW w:w="827" w:type="pct"/>
            <w:vMerge w:val="continue"/>
            <w:vAlign w:val="center"/>
          </w:tcPr>
          <w:p w14:paraId="4B04A4CB">
            <w:pPr>
              <w:pStyle w:val="12"/>
              <w:jc w:val="left"/>
              <w:rPr>
                <w:rFonts w:ascii="宋体" w:hAnsi="宋体"/>
              </w:rPr>
            </w:pPr>
          </w:p>
        </w:tc>
      </w:tr>
      <w:tr w14:paraId="027520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65B80E3B">
            <w:pPr>
              <w:pStyle w:val="12"/>
              <w:jc w:val="left"/>
              <w:rPr>
                <w:rFonts w:ascii="宋体" w:hAnsi="宋体"/>
              </w:rPr>
            </w:pPr>
            <w:r>
              <w:rPr>
                <w:rFonts w:hint="eastAsia" w:ascii="宋体" w:hAnsi="宋体"/>
              </w:rPr>
              <w:t>1963年</w:t>
            </w:r>
          </w:p>
        </w:tc>
        <w:tc>
          <w:tcPr>
            <w:tcW w:w="741" w:type="pct"/>
            <w:vAlign w:val="center"/>
          </w:tcPr>
          <w:p w14:paraId="48582FDE">
            <w:pPr>
              <w:pStyle w:val="12"/>
              <w:jc w:val="left"/>
              <w:rPr>
                <w:rFonts w:ascii="宋体" w:hAnsi="宋体"/>
              </w:rPr>
            </w:pPr>
            <w:r>
              <w:rPr>
                <w:rFonts w:hint="eastAsia" w:ascii="宋体" w:hAnsi="宋体"/>
              </w:rPr>
              <w:t>珠玑增德坳</w:t>
            </w:r>
          </w:p>
        </w:tc>
        <w:tc>
          <w:tcPr>
            <w:tcW w:w="772" w:type="pct"/>
            <w:vAlign w:val="center"/>
          </w:tcPr>
          <w:p w14:paraId="57FBCC98">
            <w:pPr>
              <w:pStyle w:val="12"/>
              <w:jc w:val="left"/>
              <w:rPr>
                <w:rFonts w:ascii="宋体" w:hAnsi="宋体"/>
              </w:rPr>
            </w:pPr>
            <w:r>
              <w:rPr>
                <w:rFonts w:hint="eastAsia" w:ascii="宋体" w:hAnsi="宋体"/>
              </w:rPr>
              <w:t>上湖段顶部</w:t>
            </w:r>
          </w:p>
        </w:tc>
        <w:tc>
          <w:tcPr>
            <w:tcW w:w="964" w:type="pct"/>
            <w:vAlign w:val="center"/>
          </w:tcPr>
          <w:p w14:paraId="1F603901">
            <w:pPr>
              <w:pStyle w:val="12"/>
              <w:jc w:val="left"/>
              <w:rPr>
                <w:rFonts w:ascii="宋体" w:hAnsi="宋体"/>
              </w:rPr>
            </w:pPr>
            <w:r>
              <w:rPr>
                <w:rFonts w:hint="eastAsia" w:ascii="宋体" w:hAnsi="宋体"/>
              </w:rPr>
              <w:t>罗佛寨兽</w:t>
            </w:r>
          </w:p>
        </w:tc>
        <w:tc>
          <w:tcPr>
            <w:tcW w:w="1001" w:type="pct"/>
            <w:vAlign w:val="center"/>
          </w:tcPr>
          <w:p w14:paraId="2A146C67">
            <w:pPr>
              <w:pStyle w:val="12"/>
              <w:jc w:val="left"/>
              <w:rPr>
                <w:rFonts w:ascii="宋体" w:hAnsi="宋体"/>
              </w:rPr>
            </w:pPr>
            <w:r>
              <w:rPr>
                <w:rFonts w:hint="eastAsia" w:ascii="宋体" w:hAnsi="宋体"/>
              </w:rPr>
              <w:t>完整头骨有左P</w:t>
            </w:r>
            <w:r>
              <w:rPr>
                <w:rFonts w:hint="eastAsia" w:ascii="宋体" w:hAnsi="宋体"/>
                <w:vertAlign w:val="superscript"/>
              </w:rPr>
              <w:t>4</w:t>
            </w:r>
            <w:r>
              <w:rPr>
                <w:rFonts w:hint="eastAsia" w:ascii="宋体" w:hAnsi="宋体"/>
              </w:rPr>
              <w:t>—M</w:t>
            </w:r>
            <w:r>
              <w:rPr>
                <w:rFonts w:hint="eastAsia" w:ascii="宋体" w:hAnsi="宋体"/>
                <w:vertAlign w:val="superscript"/>
              </w:rPr>
              <w:t>3</w:t>
            </w:r>
            <w:r>
              <w:rPr>
                <w:rFonts w:hint="eastAsia" w:ascii="宋体" w:hAnsi="宋体"/>
              </w:rPr>
              <w:t>肩胛2个</w:t>
            </w:r>
          </w:p>
        </w:tc>
        <w:tc>
          <w:tcPr>
            <w:tcW w:w="827" w:type="pct"/>
            <w:vAlign w:val="center"/>
          </w:tcPr>
          <w:p w14:paraId="441C0F84">
            <w:pPr>
              <w:pStyle w:val="12"/>
              <w:jc w:val="left"/>
              <w:rPr>
                <w:rFonts w:ascii="宋体" w:hAnsi="宋体"/>
              </w:rPr>
            </w:pPr>
            <w:r>
              <w:rPr>
                <w:rFonts w:hint="eastAsia" w:ascii="宋体" w:hAnsi="宋体"/>
              </w:rPr>
              <w:t>湖北地质科学研究所</w:t>
            </w:r>
          </w:p>
        </w:tc>
      </w:tr>
      <w:tr w14:paraId="7A9F45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76FF98A8">
            <w:pPr>
              <w:pStyle w:val="12"/>
              <w:jc w:val="left"/>
              <w:rPr>
                <w:rFonts w:ascii="宋体" w:hAnsi="宋体"/>
              </w:rPr>
            </w:pPr>
            <w:r>
              <w:rPr>
                <w:rFonts w:hint="eastAsia" w:ascii="宋体" w:hAnsi="宋体"/>
              </w:rPr>
              <w:t>1963年</w:t>
            </w:r>
          </w:p>
        </w:tc>
        <w:tc>
          <w:tcPr>
            <w:tcW w:w="741" w:type="pct"/>
            <w:vAlign w:val="center"/>
          </w:tcPr>
          <w:p w14:paraId="27C149AE">
            <w:pPr>
              <w:pStyle w:val="12"/>
              <w:jc w:val="left"/>
              <w:rPr>
                <w:rFonts w:ascii="宋体" w:hAnsi="宋体"/>
              </w:rPr>
            </w:pPr>
            <w:r>
              <w:rPr>
                <w:rFonts w:hint="eastAsia" w:ascii="宋体" w:hAnsi="宋体"/>
              </w:rPr>
              <w:t>湖口</w:t>
            </w:r>
          </w:p>
        </w:tc>
        <w:tc>
          <w:tcPr>
            <w:tcW w:w="772" w:type="pct"/>
            <w:vAlign w:val="center"/>
          </w:tcPr>
          <w:p w14:paraId="10A192BD">
            <w:pPr>
              <w:pStyle w:val="12"/>
              <w:jc w:val="left"/>
              <w:rPr>
                <w:rFonts w:ascii="宋体" w:hAnsi="宋体"/>
              </w:rPr>
            </w:pPr>
            <w:r>
              <w:rPr>
                <w:rFonts w:hint="eastAsia" w:ascii="宋体" w:hAnsi="宋体"/>
              </w:rPr>
              <w:t>上湖段</w:t>
            </w:r>
          </w:p>
        </w:tc>
        <w:tc>
          <w:tcPr>
            <w:tcW w:w="964" w:type="pct"/>
            <w:vAlign w:val="center"/>
          </w:tcPr>
          <w:p w14:paraId="5CDB3249">
            <w:pPr>
              <w:pStyle w:val="12"/>
              <w:jc w:val="left"/>
              <w:rPr>
                <w:rFonts w:ascii="宋体" w:hAnsi="宋体"/>
              </w:rPr>
            </w:pPr>
            <w:r>
              <w:rPr>
                <w:rFonts w:hint="eastAsia" w:ascii="宋体" w:hAnsi="宋体"/>
              </w:rPr>
              <w:t>伪齿兽</w:t>
            </w:r>
          </w:p>
        </w:tc>
        <w:tc>
          <w:tcPr>
            <w:tcW w:w="1001" w:type="pct"/>
            <w:vAlign w:val="center"/>
          </w:tcPr>
          <w:p w14:paraId="6D4C8952">
            <w:pPr>
              <w:pStyle w:val="12"/>
              <w:jc w:val="left"/>
              <w:rPr>
                <w:rFonts w:ascii="宋体" w:hAnsi="宋体"/>
              </w:rPr>
            </w:pPr>
            <w:r>
              <w:rPr>
                <w:rFonts w:hint="eastAsia" w:ascii="宋体" w:hAnsi="宋体"/>
              </w:rPr>
              <w:t>肩2个</w:t>
            </w:r>
          </w:p>
        </w:tc>
        <w:tc>
          <w:tcPr>
            <w:tcW w:w="827" w:type="pct"/>
            <w:vAlign w:val="center"/>
          </w:tcPr>
          <w:p w14:paraId="7247A52F">
            <w:pPr>
              <w:pStyle w:val="12"/>
              <w:jc w:val="left"/>
              <w:rPr>
                <w:rFonts w:ascii="宋体" w:hAnsi="宋体"/>
              </w:rPr>
            </w:pPr>
            <w:r>
              <w:rPr>
                <w:rFonts w:hint="eastAsia" w:ascii="宋体" w:hAnsi="宋体"/>
              </w:rPr>
              <w:t>中国科学院古脊椎动物研究所</w:t>
            </w:r>
          </w:p>
        </w:tc>
      </w:tr>
      <w:tr w14:paraId="26185A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30FCA755">
            <w:pPr>
              <w:pStyle w:val="12"/>
              <w:jc w:val="left"/>
              <w:rPr>
                <w:rFonts w:ascii="宋体" w:hAnsi="宋体"/>
              </w:rPr>
            </w:pPr>
            <w:r>
              <w:rPr>
                <w:rFonts w:hint="eastAsia" w:ascii="宋体" w:hAnsi="宋体"/>
              </w:rPr>
              <w:t>1963年</w:t>
            </w:r>
          </w:p>
        </w:tc>
        <w:tc>
          <w:tcPr>
            <w:tcW w:w="741" w:type="pct"/>
            <w:vAlign w:val="center"/>
          </w:tcPr>
          <w:p w14:paraId="568FCB0E">
            <w:pPr>
              <w:pStyle w:val="12"/>
              <w:jc w:val="left"/>
              <w:rPr>
                <w:rFonts w:ascii="宋体" w:hAnsi="宋体"/>
              </w:rPr>
            </w:pPr>
            <w:r>
              <w:rPr>
                <w:rFonts w:hint="eastAsia" w:ascii="宋体" w:hAnsi="宋体"/>
              </w:rPr>
              <w:t>湖口上湖洞</w:t>
            </w:r>
          </w:p>
        </w:tc>
        <w:tc>
          <w:tcPr>
            <w:tcW w:w="772" w:type="pct"/>
            <w:vAlign w:val="center"/>
          </w:tcPr>
          <w:p w14:paraId="62E7ECCA">
            <w:pPr>
              <w:pStyle w:val="12"/>
              <w:jc w:val="left"/>
              <w:rPr>
                <w:rFonts w:ascii="宋体" w:hAnsi="宋体"/>
              </w:rPr>
            </w:pPr>
            <w:r>
              <w:rPr>
                <w:rFonts w:hint="eastAsia" w:ascii="宋体" w:hAnsi="宋体"/>
              </w:rPr>
              <w:t>上湖段下部</w:t>
            </w:r>
          </w:p>
        </w:tc>
        <w:tc>
          <w:tcPr>
            <w:tcW w:w="964" w:type="pct"/>
            <w:vAlign w:val="center"/>
          </w:tcPr>
          <w:p w14:paraId="2EFC14E8">
            <w:pPr>
              <w:pStyle w:val="12"/>
              <w:jc w:val="left"/>
              <w:rPr>
                <w:rFonts w:ascii="宋体" w:hAnsi="宋体"/>
              </w:rPr>
            </w:pPr>
            <w:r>
              <w:rPr>
                <w:rFonts w:hint="eastAsia" w:ascii="宋体" w:hAnsi="宋体"/>
              </w:rPr>
              <w:t>粤齿兽</w:t>
            </w:r>
          </w:p>
        </w:tc>
        <w:tc>
          <w:tcPr>
            <w:tcW w:w="1001" w:type="pct"/>
            <w:vAlign w:val="center"/>
          </w:tcPr>
          <w:p w14:paraId="61355941">
            <w:pPr>
              <w:pStyle w:val="12"/>
              <w:jc w:val="left"/>
              <w:rPr>
                <w:rFonts w:ascii="宋体" w:hAnsi="宋体"/>
              </w:rPr>
            </w:pPr>
            <w:r>
              <w:rPr>
                <w:rFonts w:hint="eastAsia" w:ascii="宋体" w:hAnsi="宋体"/>
              </w:rPr>
              <w:t>右下颌骨带有牙齿P</w:t>
            </w:r>
            <w:r>
              <w:rPr>
                <w:rFonts w:hint="eastAsia" w:ascii="宋体" w:hAnsi="宋体"/>
                <w:vertAlign w:val="superscript"/>
              </w:rPr>
              <w:t>2</w:t>
            </w:r>
            <w:r>
              <w:rPr>
                <w:rFonts w:hint="eastAsia" w:ascii="宋体" w:hAnsi="宋体"/>
              </w:rPr>
              <w:t>—PM</w:t>
            </w:r>
            <w:r>
              <w:rPr>
                <w:rFonts w:hint="eastAsia" w:ascii="宋体" w:hAnsi="宋体"/>
                <w:vertAlign w:val="superscript"/>
              </w:rPr>
              <w:t>3</w:t>
            </w:r>
          </w:p>
        </w:tc>
        <w:tc>
          <w:tcPr>
            <w:tcW w:w="827" w:type="pct"/>
            <w:vAlign w:val="center"/>
          </w:tcPr>
          <w:p w14:paraId="09A11230">
            <w:pPr>
              <w:pStyle w:val="12"/>
              <w:jc w:val="left"/>
              <w:rPr>
                <w:rFonts w:ascii="宋体" w:hAnsi="宋体"/>
              </w:rPr>
            </w:pPr>
            <w:r>
              <w:rPr>
                <w:rFonts w:hint="eastAsia" w:ascii="宋体" w:hAnsi="宋体"/>
              </w:rPr>
              <w:t>同上</w:t>
            </w:r>
          </w:p>
        </w:tc>
      </w:tr>
      <w:tr w14:paraId="6324F7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3BF07E08">
            <w:pPr>
              <w:pStyle w:val="12"/>
              <w:jc w:val="left"/>
              <w:rPr>
                <w:rFonts w:ascii="宋体" w:hAnsi="宋体"/>
              </w:rPr>
            </w:pPr>
            <w:r>
              <w:rPr>
                <w:rFonts w:hint="eastAsia" w:ascii="宋体" w:hAnsi="宋体"/>
              </w:rPr>
              <w:t>1963年</w:t>
            </w:r>
          </w:p>
        </w:tc>
        <w:tc>
          <w:tcPr>
            <w:tcW w:w="741" w:type="pct"/>
            <w:vAlign w:val="center"/>
          </w:tcPr>
          <w:p w14:paraId="6834336D">
            <w:pPr>
              <w:pStyle w:val="12"/>
              <w:jc w:val="left"/>
              <w:rPr>
                <w:rFonts w:ascii="宋体" w:hAnsi="宋体"/>
              </w:rPr>
            </w:pPr>
            <w:r>
              <w:rPr>
                <w:rFonts w:hint="eastAsia" w:ascii="宋体" w:hAnsi="宋体"/>
              </w:rPr>
              <w:t>湖口武台岗</w:t>
            </w:r>
          </w:p>
        </w:tc>
        <w:tc>
          <w:tcPr>
            <w:tcW w:w="772" w:type="pct"/>
            <w:vAlign w:val="center"/>
          </w:tcPr>
          <w:p w14:paraId="4CE47C77">
            <w:pPr>
              <w:pStyle w:val="12"/>
              <w:jc w:val="left"/>
              <w:rPr>
                <w:rFonts w:ascii="宋体" w:hAnsi="宋体"/>
              </w:rPr>
            </w:pPr>
            <w:r>
              <w:rPr>
                <w:rFonts w:hint="eastAsia" w:ascii="宋体" w:hAnsi="宋体"/>
              </w:rPr>
              <w:t>上湖段下部</w:t>
            </w:r>
          </w:p>
        </w:tc>
        <w:tc>
          <w:tcPr>
            <w:tcW w:w="964" w:type="pct"/>
            <w:vAlign w:val="center"/>
          </w:tcPr>
          <w:p w14:paraId="0B9A2D7B">
            <w:pPr>
              <w:pStyle w:val="12"/>
              <w:jc w:val="left"/>
              <w:rPr>
                <w:rFonts w:ascii="宋体" w:hAnsi="宋体"/>
              </w:rPr>
            </w:pPr>
            <w:r>
              <w:rPr>
                <w:rFonts w:hint="eastAsia" w:ascii="宋体" w:hAnsi="宋体"/>
              </w:rPr>
              <w:t>外锥兽</w:t>
            </w:r>
          </w:p>
        </w:tc>
        <w:tc>
          <w:tcPr>
            <w:tcW w:w="1001" w:type="pct"/>
            <w:vAlign w:val="center"/>
          </w:tcPr>
          <w:p w14:paraId="1B75F8E5">
            <w:pPr>
              <w:pStyle w:val="12"/>
              <w:jc w:val="left"/>
              <w:rPr>
                <w:rFonts w:ascii="宋体" w:hAnsi="宋体"/>
              </w:rPr>
            </w:pPr>
            <w:r>
              <w:rPr>
                <w:rFonts w:hint="eastAsia" w:ascii="宋体" w:hAnsi="宋体"/>
              </w:rPr>
              <w:t>不详</w:t>
            </w:r>
          </w:p>
        </w:tc>
        <w:tc>
          <w:tcPr>
            <w:tcW w:w="827" w:type="pct"/>
            <w:vAlign w:val="center"/>
          </w:tcPr>
          <w:p w14:paraId="39DD3485">
            <w:pPr>
              <w:pStyle w:val="12"/>
              <w:jc w:val="left"/>
              <w:rPr>
                <w:rFonts w:ascii="宋体" w:hAnsi="宋体"/>
              </w:rPr>
            </w:pPr>
            <w:r>
              <w:rPr>
                <w:rFonts w:hint="eastAsia" w:ascii="宋体" w:hAnsi="宋体"/>
              </w:rPr>
              <w:t>同上</w:t>
            </w:r>
          </w:p>
        </w:tc>
      </w:tr>
      <w:tr w14:paraId="46D11F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102C32C5">
            <w:pPr>
              <w:pStyle w:val="12"/>
              <w:jc w:val="left"/>
              <w:rPr>
                <w:rFonts w:ascii="宋体" w:hAnsi="宋体"/>
              </w:rPr>
            </w:pPr>
            <w:r>
              <w:rPr>
                <w:rFonts w:hint="eastAsia" w:ascii="宋体" w:hAnsi="宋体"/>
              </w:rPr>
              <w:t>1972年5月</w:t>
            </w:r>
          </w:p>
        </w:tc>
        <w:tc>
          <w:tcPr>
            <w:tcW w:w="741" w:type="pct"/>
            <w:vAlign w:val="center"/>
          </w:tcPr>
          <w:p w14:paraId="5304C71D">
            <w:pPr>
              <w:pStyle w:val="12"/>
              <w:jc w:val="left"/>
              <w:rPr>
                <w:rFonts w:ascii="宋体" w:hAnsi="宋体"/>
              </w:rPr>
            </w:pPr>
            <w:r>
              <w:rPr>
                <w:rFonts w:hint="eastAsia" w:ascii="宋体" w:hAnsi="宋体"/>
              </w:rPr>
              <w:t>同上</w:t>
            </w:r>
          </w:p>
        </w:tc>
        <w:tc>
          <w:tcPr>
            <w:tcW w:w="772" w:type="pct"/>
            <w:vAlign w:val="center"/>
          </w:tcPr>
          <w:p w14:paraId="66BD4D2D">
            <w:pPr>
              <w:pStyle w:val="12"/>
              <w:jc w:val="left"/>
              <w:rPr>
                <w:rFonts w:ascii="宋体" w:hAnsi="宋体"/>
              </w:rPr>
            </w:pPr>
            <w:r>
              <w:rPr>
                <w:rFonts w:hint="eastAsia" w:ascii="宋体" w:hAnsi="宋体"/>
              </w:rPr>
              <w:t>同上</w:t>
            </w:r>
          </w:p>
        </w:tc>
        <w:tc>
          <w:tcPr>
            <w:tcW w:w="964" w:type="pct"/>
            <w:vAlign w:val="center"/>
          </w:tcPr>
          <w:p w14:paraId="6CD3C899">
            <w:pPr>
              <w:pStyle w:val="12"/>
              <w:jc w:val="left"/>
              <w:rPr>
                <w:rFonts w:ascii="宋体" w:hAnsi="宋体"/>
              </w:rPr>
            </w:pPr>
            <w:r>
              <w:rPr>
                <w:rFonts w:hint="eastAsia" w:ascii="宋体" w:hAnsi="宋体"/>
              </w:rPr>
              <w:t>哺乳类（未分种）</w:t>
            </w:r>
          </w:p>
        </w:tc>
        <w:tc>
          <w:tcPr>
            <w:tcW w:w="1001" w:type="pct"/>
            <w:vAlign w:val="center"/>
          </w:tcPr>
          <w:p w14:paraId="410F23EE">
            <w:pPr>
              <w:pStyle w:val="12"/>
              <w:jc w:val="left"/>
              <w:rPr>
                <w:rFonts w:ascii="宋体" w:hAnsi="宋体"/>
              </w:rPr>
            </w:pPr>
            <w:r>
              <w:rPr>
                <w:rFonts w:hint="eastAsia" w:ascii="宋体" w:hAnsi="宋体"/>
              </w:rPr>
              <w:t>共26个化石点</w:t>
            </w:r>
          </w:p>
        </w:tc>
        <w:tc>
          <w:tcPr>
            <w:tcW w:w="827" w:type="pct"/>
            <w:vAlign w:val="center"/>
          </w:tcPr>
          <w:p w14:paraId="28FBD6BB">
            <w:pPr>
              <w:pStyle w:val="12"/>
              <w:jc w:val="left"/>
              <w:rPr>
                <w:rFonts w:ascii="宋体" w:hAnsi="宋体"/>
              </w:rPr>
            </w:pPr>
            <w:r>
              <w:rPr>
                <w:rFonts w:hint="eastAsia" w:ascii="宋体" w:hAnsi="宋体"/>
              </w:rPr>
              <w:t>上海自然博物馆</w:t>
            </w:r>
          </w:p>
        </w:tc>
      </w:tr>
      <w:tr w14:paraId="10EEDD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533D9DCF">
            <w:pPr>
              <w:pStyle w:val="12"/>
              <w:jc w:val="left"/>
              <w:rPr>
                <w:rFonts w:ascii="宋体" w:hAnsi="宋体"/>
              </w:rPr>
            </w:pPr>
            <w:r>
              <w:rPr>
                <w:rFonts w:hint="eastAsia" w:ascii="宋体" w:hAnsi="宋体"/>
              </w:rPr>
              <w:t>1976年</w:t>
            </w:r>
          </w:p>
        </w:tc>
        <w:tc>
          <w:tcPr>
            <w:tcW w:w="741" w:type="pct"/>
            <w:vAlign w:val="center"/>
          </w:tcPr>
          <w:p w14:paraId="6873485A">
            <w:pPr>
              <w:pStyle w:val="12"/>
              <w:jc w:val="left"/>
              <w:rPr>
                <w:rFonts w:ascii="宋体" w:hAnsi="宋体"/>
              </w:rPr>
            </w:pPr>
            <w:r>
              <w:rPr>
                <w:rFonts w:hint="eastAsia" w:ascii="宋体" w:hAnsi="宋体"/>
              </w:rPr>
              <w:t>同上</w:t>
            </w:r>
          </w:p>
        </w:tc>
        <w:tc>
          <w:tcPr>
            <w:tcW w:w="772" w:type="pct"/>
            <w:vAlign w:val="center"/>
          </w:tcPr>
          <w:p w14:paraId="28638BEA">
            <w:pPr>
              <w:pStyle w:val="12"/>
              <w:jc w:val="left"/>
              <w:rPr>
                <w:rFonts w:ascii="宋体" w:hAnsi="宋体"/>
              </w:rPr>
            </w:pPr>
            <w:r>
              <w:rPr>
                <w:rFonts w:hint="eastAsia" w:ascii="宋体" w:hAnsi="宋体"/>
              </w:rPr>
              <w:t>上湖段下部</w:t>
            </w:r>
          </w:p>
        </w:tc>
        <w:tc>
          <w:tcPr>
            <w:tcW w:w="964" w:type="pct"/>
            <w:vAlign w:val="center"/>
          </w:tcPr>
          <w:p w14:paraId="76C5A770">
            <w:pPr>
              <w:pStyle w:val="12"/>
              <w:jc w:val="left"/>
              <w:rPr>
                <w:rFonts w:ascii="宋体" w:hAnsi="宋体"/>
              </w:rPr>
            </w:pPr>
            <w:r>
              <w:rPr>
                <w:rFonts w:hint="eastAsia" w:ascii="宋体" w:hAnsi="宋体"/>
              </w:rPr>
              <w:t>南雄阶齿兽</w:t>
            </w:r>
          </w:p>
        </w:tc>
        <w:tc>
          <w:tcPr>
            <w:tcW w:w="1001" w:type="pct"/>
            <w:vAlign w:val="center"/>
          </w:tcPr>
          <w:p w14:paraId="48C62A88">
            <w:pPr>
              <w:pStyle w:val="12"/>
              <w:jc w:val="left"/>
              <w:rPr>
                <w:rFonts w:ascii="宋体" w:hAnsi="宋体"/>
              </w:rPr>
            </w:pPr>
            <w:r>
              <w:rPr>
                <w:rFonts w:hint="eastAsia" w:ascii="宋体" w:hAnsi="宋体"/>
              </w:rPr>
              <w:t>上下颌牙齿P</w:t>
            </w:r>
            <w:r>
              <w:rPr>
                <w:rFonts w:hint="eastAsia" w:ascii="宋体" w:hAnsi="宋体"/>
                <w:vertAlign w:val="superscript"/>
              </w:rPr>
              <w:t>1</w:t>
            </w:r>
            <w:r>
              <w:rPr>
                <w:rFonts w:hint="eastAsia" w:ascii="宋体" w:hAnsi="宋体"/>
              </w:rPr>
              <w:t>—M</w:t>
            </w:r>
            <w:r>
              <w:rPr>
                <w:rFonts w:hint="eastAsia" w:ascii="宋体" w:hAnsi="宋体"/>
                <w:vertAlign w:val="superscript"/>
              </w:rPr>
              <w:t>1</w:t>
            </w:r>
          </w:p>
        </w:tc>
        <w:tc>
          <w:tcPr>
            <w:tcW w:w="827" w:type="pct"/>
            <w:vAlign w:val="center"/>
          </w:tcPr>
          <w:p w14:paraId="2C1E0C68">
            <w:pPr>
              <w:pStyle w:val="12"/>
              <w:jc w:val="left"/>
              <w:rPr>
                <w:rFonts w:ascii="宋体" w:hAnsi="宋体"/>
              </w:rPr>
            </w:pPr>
            <w:r>
              <w:rPr>
                <w:rFonts w:hint="eastAsia" w:ascii="宋体" w:hAnsi="宋体"/>
              </w:rPr>
              <w:t>南雄县博物馆</w:t>
            </w:r>
          </w:p>
        </w:tc>
      </w:tr>
      <w:tr w14:paraId="35CAED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66660472">
            <w:pPr>
              <w:pStyle w:val="12"/>
              <w:jc w:val="left"/>
              <w:rPr>
                <w:rFonts w:ascii="宋体" w:hAnsi="宋体"/>
              </w:rPr>
            </w:pPr>
            <w:r>
              <w:rPr>
                <w:rFonts w:hint="eastAsia" w:ascii="宋体" w:hAnsi="宋体"/>
              </w:rPr>
              <w:t>1979年</w:t>
            </w:r>
          </w:p>
        </w:tc>
        <w:tc>
          <w:tcPr>
            <w:tcW w:w="741" w:type="pct"/>
            <w:vAlign w:val="center"/>
          </w:tcPr>
          <w:p w14:paraId="06654C1E">
            <w:pPr>
              <w:pStyle w:val="12"/>
              <w:jc w:val="left"/>
              <w:rPr>
                <w:rFonts w:ascii="宋体" w:hAnsi="宋体"/>
              </w:rPr>
            </w:pPr>
            <w:r>
              <w:rPr>
                <w:rFonts w:hint="eastAsia" w:ascii="宋体" w:hAnsi="宋体"/>
              </w:rPr>
              <w:t>修仁牛角岭</w:t>
            </w:r>
          </w:p>
        </w:tc>
        <w:tc>
          <w:tcPr>
            <w:tcW w:w="772" w:type="pct"/>
            <w:vAlign w:val="center"/>
          </w:tcPr>
          <w:p w14:paraId="775D3EE5">
            <w:pPr>
              <w:pStyle w:val="12"/>
              <w:jc w:val="left"/>
              <w:rPr>
                <w:rFonts w:ascii="宋体" w:hAnsi="宋体"/>
              </w:rPr>
            </w:pPr>
            <w:r>
              <w:rPr>
                <w:rFonts w:hint="eastAsia" w:ascii="宋体" w:hAnsi="宋体"/>
              </w:rPr>
              <w:t>同上</w:t>
            </w:r>
          </w:p>
        </w:tc>
        <w:tc>
          <w:tcPr>
            <w:tcW w:w="964" w:type="pct"/>
            <w:vAlign w:val="center"/>
          </w:tcPr>
          <w:p w14:paraId="43082974">
            <w:pPr>
              <w:pStyle w:val="12"/>
              <w:jc w:val="left"/>
              <w:rPr>
                <w:rFonts w:ascii="宋体" w:hAnsi="宋体"/>
              </w:rPr>
            </w:pPr>
            <w:r>
              <w:rPr>
                <w:rFonts w:hint="eastAsia" w:ascii="宋体" w:hAnsi="宋体"/>
              </w:rPr>
              <w:t>同上</w:t>
            </w:r>
          </w:p>
        </w:tc>
        <w:tc>
          <w:tcPr>
            <w:tcW w:w="1001" w:type="pct"/>
            <w:vAlign w:val="center"/>
          </w:tcPr>
          <w:p w14:paraId="312A243C">
            <w:pPr>
              <w:pStyle w:val="12"/>
              <w:jc w:val="left"/>
              <w:rPr>
                <w:rFonts w:ascii="宋体" w:hAnsi="宋体"/>
              </w:rPr>
            </w:pPr>
            <w:r>
              <w:rPr>
                <w:rFonts w:hint="eastAsia" w:ascii="宋体" w:hAnsi="宋体"/>
              </w:rPr>
              <w:t>头骨、椎体等</w:t>
            </w:r>
          </w:p>
        </w:tc>
        <w:tc>
          <w:tcPr>
            <w:tcW w:w="827" w:type="pct"/>
            <w:vAlign w:val="center"/>
          </w:tcPr>
          <w:p w14:paraId="2641C2A9">
            <w:pPr>
              <w:pStyle w:val="12"/>
              <w:jc w:val="left"/>
              <w:rPr>
                <w:rFonts w:ascii="宋体" w:hAnsi="宋体"/>
              </w:rPr>
            </w:pPr>
            <w:r>
              <w:rPr>
                <w:rFonts w:hint="eastAsia" w:ascii="宋体" w:hAnsi="宋体"/>
              </w:rPr>
              <w:t>北京自然博物馆</w:t>
            </w:r>
          </w:p>
        </w:tc>
      </w:tr>
      <w:tr w14:paraId="5D31A5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677E5D02">
            <w:pPr>
              <w:pStyle w:val="12"/>
              <w:jc w:val="left"/>
              <w:rPr>
                <w:rFonts w:ascii="宋体" w:hAnsi="宋体"/>
              </w:rPr>
            </w:pPr>
            <w:r>
              <w:rPr>
                <w:rFonts w:hint="eastAsia" w:ascii="宋体" w:hAnsi="宋体"/>
              </w:rPr>
              <w:t>1984年</w:t>
            </w:r>
          </w:p>
        </w:tc>
        <w:tc>
          <w:tcPr>
            <w:tcW w:w="741" w:type="pct"/>
            <w:vAlign w:val="center"/>
          </w:tcPr>
          <w:p w14:paraId="1391D36F">
            <w:pPr>
              <w:pStyle w:val="12"/>
              <w:jc w:val="left"/>
              <w:rPr>
                <w:rFonts w:ascii="宋体" w:hAnsi="宋体"/>
              </w:rPr>
            </w:pPr>
            <w:r>
              <w:rPr>
                <w:rFonts w:hint="eastAsia" w:ascii="宋体" w:hAnsi="宋体"/>
              </w:rPr>
              <w:t>大塘圩西南1公里</w:t>
            </w:r>
          </w:p>
        </w:tc>
        <w:tc>
          <w:tcPr>
            <w:tcW w:w="772" w:type="pct"/>
            <w:vAlign w:val="center"/>
          </w:tcPr>
          <w:p w14:paraId="7B57DDA0">
            <w:pPr>
              <w:pStyle w:val="12"/>
              <w:jc w:val="left"/>
              <w:rPr>
                <w:rFonts w:ascii="宋体" w:hAnsi="宋体"/>
              </w:rPr>
            </w:pPr>
            <w:r>
              <w:rPr>
                <w:rFonts w:hint="eastAsia" w:ascii="宋体" w:hAnsi="宋体"/>
              </w:rPr>
              <w:t>上湖段顶部</w:t>
            </w:r>
          </w:p>
        </w:tc>
        <w:tc>
          <w:tcPr>
            <w:tcW w:w="964" w:type="pct"/>
            <w:vAlign w:val="center"/>
          </w:tcPr>
          <w:p w14:paraId="5879F11E">
            <w:pPr>
              <w:pStyle w:val="12"/>
              <w:jc w:val="left"/>
              <w:rPr>
                <w:rFonts w:ascii="宋体" w:hAnsi="宋体"/>
              </w:rPr>
            </w:pPr>
            <w:r>
              <w:rPr>
                <w:rFonts w:hint="eastAsia" w:ascii="宋体" w:hAnsi="宋体"/>
              </w:rPr>
              <w:t>南雄鳄鱼</w:t>
            </w:r>
          </w:p>
        </w:tc>
        <w:tc>
          <w:tcPr>
            <w:tcW w:w="1001" w:type="pct"/>
            <w:vAlign w:val="center"/>
          </w:tcPr>
          <w:p w14:paraId="2C47B0F8">
            <w:pPr>
              <w:pStyle w:val="12"/>
              <w:jc w:val="left"/>
              <w:rPr>
                <w:rFonts w:ascii="宋体" w:hAnsi="宋体"/>
              </w:rPr>
            </w:pPr>
            <w:r>
              <w:rPr>
                <w:rFonts w:hint="eastAsia" w:ascii="宋体" w:hAnsi="宋体"/>
              </w:rPr>
              <w:t>椎  骨</w:t>
            </w:r>
          </w:p>
        </w:tc>
        <w:tc>
          <w:tcPr>
            <w:tcW w:w="827" w:type="pct"/>
            <w:vAlign w:val="center"/>
          </w:tcPr>
          <w:p w14:paraId="096BB54D">
            <w:pPr>
              <w:pStyle w:val="12"/>
              <w:jc w:val="left"/>
              <w:rPr>
                <w:rFonts w:ascii="宋体" w:hAnsi="宋体"/>
              </w:rPr>
            </w:pPr>
            <w:r>
              <w:rPr>
                <w:rFonts w:hint="eastAsia" w:ascii="宋体" w:hAnsi="宋体"/>
              </w:rPr>
              <w:t>南雄县博物馆</w:t>
            </w:r>
          </w:p>
        </w:tc>
      </w:tr>
    </w:tbl>
    <w:p w14:paraId="5D992136">
      <w:pPr>
        <w:ind w:firstLine="420"/>
        <w:rPr>
          <w:rFonts w:ascii="宋体" w:hAnsi="宋体"/>
          <w:szCs w:val="21"/>
        </w:rPr>
      </w:pPr>
      <w:r>
        <w:rPr>
          <w:rFonts w:ascii="宋体" w:hAnsi="宋体"/>
          <w:szCs w:val="21"/>
        </w:rPr>
        <w:t>5.龟鳖类、鳄类化石挖掘</w:t>
      </w:r>
    </w:p>
    <w:p w14:paraId="74FCEEA3">
      <w:pPr>
        <w:ind w:firstLine="420"/>
        <w:rPr>
          <w:rFonts w:ascii="宋体" w:hAnsi="宋体"/>
          <w:szCs w:val="21"/>
        </w:rPr>
      </w:pPr>
      <w:r>
        <w:rPr>
          <w:rFonts w:ascii="宋体" w:hAnsi="宋体"/>
          <w:szCs w:val="21"/>
        </w:rPr>
        <w:t>1972年5月至7月，上海自然博物馆到南雄考察时，在水南至古子坑人行小道</w:t>
      </w:r>
      <w:r>
        <w:rPr>
          <w:rFonts w:hint="eastAsia" w:ascii="宋体" w:hAnsi="宋体"/>
          <w:szCs w:val="21"/>
        </w:rPr>
        <w:t>上发现晚白垩世龟化石</w:t>
      </w:r>
      <w:r>
        <w:rPr>
          <w:rFonts w:ascii="宋体" w:hAnsi="宋体"/>
          <w:szCs w:val="21"/>
        </w:rPr>
        <w:t>1个，直径长约78厘米，宽58厘米；同时还发掘了鳄类化</w:t>
      </w:r>
      <w:r>
        <w:rPr>
          <w:rFonts w:hint="eastAsia" w:ascii="宋体" w:hAnsi="宋体"/>
          <w:szCs w:val="21"/>
        </w:rPr>
        <w:t>石，又在湖口罗佛寨北东</w:t>
      </w:r>
      <w:r>
        <w:rPr>
          <w:rFonts w:ascii="宋体" w:hAnsi="宋体"/>
          <w:szCs w:val="21"/>
        </w:rPr>
        <w:t>2公里发掘2个古新世龟化石。1984年12月，县博物馆在</w:t>
      </w:r>
      <w:r>
        <w:rPr>
          <w:rFonts w:hint="eastAsia" w:ascii="宋体" w:hAnsi="宋体"/>
          <w:szCs w:val="21"/>
        </w:rPr>
        <w:t>风门坳公路南发掘晩白垩世龟化石</w:t>
      </w:r>
      <w:r>
        <w:rPr>
          <w:rFonts w:ascii="宋体" w:hAnsi="宋体"/>
          <w:szCs w:val="21"/>
        </w:rPr>
        <w:t>2个。1987年在湖口镇发现完整鳄鱼化石。1992</w:t>
      </w:r>
      <w:r>
        <w:rPr>
          <w:rFonts w:hint="eastAsia" w:ascii="宋体" w:hAnsi="宋体"/>
          <w:szCs w:val="21"/>
        </w:rPr>
        <w:t>年在河南开发区发现巨龟化石</w:t>
      </w:r>
      <w:r>
        <w:rPr>
          <w:rFonts w:ascii="宋体" w:hAnsi="宋体"/>
          <w:szCs w:val="21"/>
        </w:rPr>
        <w:t>1只，身长80厘米，背宽50厘米</w:t>
      </w:r>
      <w:r>
        <w:rPr>
          <w:rFonts w:hint="eastAsia" w:ascii="宋体" w:hAnsi="宋体"/>
          <w:szCs w:val="21"/>
        </w:rPr>
        <w:t>。</w:t>
      </w:r>
    </w:p>
    <w:p w14:paraId="1E31BB9C">
      <w:pPr>
        <w:ind w:firstLine="420"/>
        <w:rPr>
          <w:rFonts w:ascii="宋体" w:hAnsi="宋体"/>
          <w:szCs w:val="21"/>
        </w:rPr>
      </w:pPr>
      <w:r>
        <w:rPr>
          <w:rFonts w:ascii="宋体" w:hAnsi="宋体"/>
          <w:szCs w:val="21"/>
        </w:rPr>
        <w:t>6.介形类、轮藻类化石挖掘</w:t>
      </w:r>
    </w:p>
    <w:p w14:paraId="34F3C183">
      <w:pPr>
        <w:ind w:firstLine="420"/>
        <w:rPr>
          <w:rFonts w:ascii="宋体" w:hAnsi="宋体"/>
          <w:szCs w:val="21"/>
        </w:rPr>
      </w:pPr>
      <w:r>
        <w:rPr>
          <w:rFonts w:ascii="宋体" w:hAnsi="宋体"/>
          <w:szCs w:val="21"/>
        </w:rPr>
        <w:t>1965年秋，中国科学院、南京地质古生物研究所华南红层队，在南雄盆地大凤</w:t>
      </w:r>
      <w:r>
        <w:rPr>
          <w:rFonts w:hint="eastAsia" w:ascii="宋体" w:hAnsi="宋体"/>
          <w:szCs w:val="21"/>
        </w:rPr>
        <w:t>至河南岭上白垩统及下第三系剖面、湖口沙坳头至罗佛寨上白垩纪及下第三系剖面进行了部分实测工作，采集了大量介形类化石，计有</w:t>
      </w:r>
      <w:r>
        <w:rPr>
          <w:rFonts w:ascii="宋体" w:hAnsi="宋体"/>
          <w:szCs w:val="21"/>
        </w:rPr>
        <w:t>15属55种，还有轮藻化石，计有18属25种。</w:t>
      </w:r>
    </w:p>
    <w:p w14:paraId="70D666F6">
      <w:pPr>
        <w:pStyle w:val="5"/>
        <w:rPr>
          <w:rFonts w:ascii="宋体" w:hAnsi="宋体"/>
        </w:rPr>
      </w:pPr>
      <w:r>
        <w:rPr>
          <w:rFonts w:hint="eastAsia" w:ascii="宋体" w:hAnsi="宋体"/>
        </w:rPr>
        <w:t>三、红层古生物化石保护</w:t>
      </w:r>
    </w:p>
    <w:p w14:paraId="48167B20">
      <w:pPr>
        <w:ind w:firstLine="420"/>
        <w:rPr>
          <w:rFonts w:ascii="宋体" w:hAnsi="宋体"/>
          <w:szCs w:val="21"/>
        </w:rPr>
      </w:pPr>
      <w:r>
        <w:rPr>
          <w:rFonts w:ascii="宋体" w:hAnsi="宋体"/>
          <w:szCs w:val="21"/>
        </w:rPr>
        <w:t>1.古生物化石的收藏与展览。市博物馆设专室收藏展览古生物化石。1989年1</w:t>
      </w:r>
      <w:r>
        <w:rPr>
          <w:rFonts w:hint="eastAsia" w:ascii="宋体" w:hAnsi="宋体"/>
          <w:szCs w:val="21"/>
        </w:rPr>
        <w:t>月至</w:t>
      </w:r>
      <w:r>
        <w:rPr>
          <w:rFonts w:ascii="宋体" w:hAnsi="宋体"/>
          <w:szCs w:val="21"/>
        </w:rPr>
        <w:t>1990年6月，博物馆的部分古生物化石到韶关、英德、佛山、顺德等地巡回展</w:t>
      </w:r>
      <w:r>
        <w:rPr>
          <w:rFonts w:hint="eastAsia" w:ascii="宋体" w:hAnsi="宋体"/>
          <w:szCs w:val="21"/>
        </w:rPr>
        <w:t>出。</w:t>
      </w:r>
      <w:r>
        <w:rPr>
          <w:rFonts w:ascii="宋体" w:hAnsi="宋体"/>
          <w:szCs w:val="21"/>
        </w:rPr>
        <w:t>1993年10月，博物馆的恐龙蛋、恐龙骨、恐龙脚印、龟等11件化石标本送澳</w:t>
      </w:r>
      <w:r>
        <w:rPr>
          <w:rFonts w:hint="eastAsia" w:ascii="宋体" w:hAnsi="宋体"/>
          <w:szCs w:val="21"/>
        </w:rPr>
        <w:t>门海事博物馆参加“恐龙在澳门”展览。</w:t>
      </w:r>
      <w:r>
        <w:rPr>
          <w:rFonts w:ascii="宋体" w:hAnsi="宋体"/>
          <w:szCs w:val="21"/>
        </w:rPr>
        <w:t>1994年4月，博物馆组织部分古生物化石</w:t>
      </w:r>
      <w:r>
        <w:rPr>
          <w:rFonts w:hint="eastAsia" w:ascii="宋体" w:hAnsi="宋体"/>
          <w:szCs w:val="21"/>
        </w:rPr>
        <w:t>标本送曲江县展览。</w:t>
      </w:r>
    </w:p>
    <w:p w14:paraId="7B254F0E">
      <w:pPr>
        <w:ind w:firstLine="420"/>
        <w:rPr>
          <w:rFonts w:ascii="宋体" w:hAnsi="宋体"/>
          <w:szCs w:val="21"/>
        </w:rPr>
      </w:pPr>
      <w:r>
        <w:rPr>
          <w:rFonts w:ascii="宋体" w:hAnsi="宋体"/>
          <w:szCs w:val="21"/>
        </w:rPr>
        <w:t>2.1992年12月13日，县人民政府公布《关于建立罗佛寨等五处红层保护区的</w:t>
      </w:r>
      <w:r>
        <w:rPr>
          <w:rFonts w:hint="eastAsia" w:ascii="宋体" w:hAnsi="宋体"/>
          <w:szCs w:val="21"/>
        </w:rPr>
        <w:t>通知》，已立界桩保护的</w:t>
      </w:r>
      <w:r>
        <w:rPr>
          <w:rFonts w:ascii="宋体" w:hAnsi="宋体"/>
          <w:szCs w:val="21"/>
        </w:rPr>
        <w:t>5处是：湖口镇罗佛寨红层保护区（晚白垩纪</w:t>
      </w:r>
      <w:r>
        <w:rPr>
          <w:rFonts w:hint="eastAsia" w:ascii="宋体" w:hAnsi="宋体"/>
          <w:szCs w:val="21"/>
        </w:rPr>
        <w:t>—</w:t>
      </w:r>
      <w:r>
        <w:rPr>
          <w:rFonts w:ascii="宋体" w:hAnsi="宋体"/>
          <w:szCs w:val="21"/>
        </w:rPr>
        <w:t>早第三纪标</w:t>
      </w:r>
      <w:r>
        <w:rPr>
          <w:rFonts w:hint="eastAsia" w:ascii="宋体" w:hAnsi="宋体"/>
          <w:szCs w:val="21"/>
        </w:rPr>
        <w:t>准地层）；雄州镇丰门坳松树坑红层保护区（第三纪化石出土点）；大塘镇必得坑红层保护区（第三纪化石出土点）；大塘镇坪岭村鹅颈岭红层保护区（晚白垩纪一第三纪地质分界点）；黄坑镇杨梅坑与大塘镇坪岭村交界处杨梅坑红层保护区（恐龙脚印出露点）。</w:t>
      </w:r>
    </w:p>
    <w:p w14:paraId="419520FC">
      <w:pPr>
        <w:ind w:firstLine="420"/>
        <w:rPr>
          <w:rFonts w:ascii="宋体" w:hAnsi="宋体"/>
          <w:szCs w:val="21"/>
        </w:rPr>
      </w:pPr>
      <w:r>
        <w:rPr>
          <w:rFonts w:ascii="宋体" w:hAnsi="宋体"/>
          <w:szCs w:val="21"/>
        </w:rPr>
        <w:t>3.2005年4月，广东省省级自然保护区评审会议一致通过南雄恐龙化石群为省</w:t>
      </w:r>
      <w:r>
        <w:rPr>
          <w:rFonts w:hint="eastAsia" w:ascii="宋体" w:hAnsi="宋体"/>
          <w:szCs w:val="21"/>
        </w:rPr>
        <w:t>级自然保护区。主要保护对象为恐龙蛋化石、恐龙骨骼化石、恐龙脚印以及含化石的典型地层剖面、古气候特征标志、自然生态环境等。整个保护区分为核心区、缓冲区及实验区</w:t>
      </w:r>
      <w:r>
        <w:rPr>
          <w:rFonts w:ascii="宋体" w:hAnsi="宋体"/>
          <w:szCs w:val="21"/>
        </w:rPr>
        <w:t>3部分，涉及8个镇，总面积为42.21平方公里</w:t>
      </w:r>
      <w:r>
        <w:rPr>
          <w:rFonts w:hint="eastAsia" w:ascii="宋体" w:hAnsi="宋体"/>
          <w:szCs w:val="21"/>
        </w:rPr>
        <w:t>。</w:t>
      </w:r>
    </w:p>
    <w:p w14:paraId="58A819FA">
      <w:pPr>
        <w:pStyle w:val="3"/>
        <w:rPr>
          <w:rFonts w:ascii="宋体" w:hAnsi="宋体"/>
        </w:rPr>
      </w:pPr>
      <w:r>
        <w:rPr>
          <w:rFonts w:hint="eastAsia" w:ascii="宋体" w:hAnsi="宋体"/>
        </w:rPr>
        <w:t>第三章  水土保持与环境保护</w:t>
      </w:r>
    </w:p>
    <w:p w14:paraId="2B4C9D5C">
      <w:pPr>
        <w:pStyle w:val="4"/>
        <w:rPr>
          <w:rFonts w:ascii="宋体" w:hAnsi="宋体"/>
        </w:rPr>
      </w:pPr>
      <w:r>
        <w:rPr>
          <w:rFonts w:hint="eastAsia" w:ascii="宋体" w:hAnsi="宋体"/>
        </w:rPr>
        <w:t>第一节  水土保持</w:t>
      </w:r>
    </w:p>
    <w:p w14:paraId="65F6F11B">
      <w:pPr>
        <w:pStyle w:val="5"/>
        <w:rPr>
          <w:rFonts w:ascii="宋体" w:hAnsi="宋体"/>
        </w:rPr>
      </w:pPr>
      <w:r>
        <w:rPr>
          <w:rFonts w:hint="eastAsia" w:ascii="宋体" w:hAnsi="宋体"/>
        </w:rPr>
        <w:t>一、水土流失状况</w:t>
      </w:r>
    </w:p>
    <w:p w14:paraId="12174B04">
      <w:pPr>
        <w:ind w:firstLine="420"/>
        <w:rPr>
          <w:rFonts w:ascii="宋体" w:hAnsi="宋体"/>
          <w:szCs w:val="21"/>
        </w:rPr>
      </w:pPr>
      <w:r>
        <w:rPr>
          <w:rFonts w:hint="eastAsia" w:ascii="宋体" w:hAnsi="宋体"/>
          <w:szCs w:val="21"/>
        </w:rPr>
        <w:t>南雄是水土流失严重地区，由于南雄盆地丘陵紫色土成土母质系紫色页岩夹薄层砂岩的半风化物，易风化，加上南雄地处亚热带湿润季风气候区，高温多雨，暴雨集中且强度大，在径流水力和风力的作用下，加速岩石风化，再加上一些人为因素，使森林和植被受到破坏，更加速水土流失。</w:t>
      </w:r>
    </w:p>
    <w:p w14:paraId="4E641F86">
      <w:pPr>
        <w:ind w:firstLine="420"/>
        <w:rPr>
          <w:rFonts w:ascii="宋体" w:hAnsi="宋体"/>
          <w:szCs w:val="21"/>
        </w:rPr>
      </w:pPr>
      <w:r>
        <w:rPr>
          <w:rFonts w:ascii="宋体" w:hAnsi="宋体"/>
          <w:szCs w:val="21"/>
        </w:rPr>
        <w:t>1983年，珠江水利委员会利用航空图片和实地考察测定全县水土流失面积751.26平方公里，折合75126.67公顷，占土地总面积的31.4%。其中面状流失50780公顷（轻度13586.67公顷，中度19600公顷，重度17593.33公顷）；沟状流失</w:t>
      </w:r>
      <w:r>
        <w:rPr>
          <w:rFonts w:hint="eastAsia" w:ascii="宋体" w:hAnsi="宋体"/>
          <w:szCs w:val="21"/>
        </w:rPr>
        <w:t>面积为</w:t>
      </w:r>
      <w:r>
        <w:rPr>
          <w:rFonts w:ascii="宋体" w:hAnsi="宋体"/>
          <w:szCs w:val="21"/>
        </w:rPr>
        <w:t>24253.33公顷（轻度14531.33公顷，重度9740公顷）；崩岗93.33公顷（轻</w:t>
      </w:r>
      <w:r>
        <w:rPr>
          <w:rFonts w:hint="eastAsia" w:ascii="宋体" w:hAnsi="宋体"/>
          <w:szCs w:val="21"/>
        </w:rPr>
        <w:t>度</w:t>
      </w:r>
      <w:r>
        <w:rPr>
          <w:rFonts w:ascii="宋体" w:hAnsi="宋体"/>
          <w:szCs w:val="21"/>
        </w:rPr>
        <w:t>60公顷，重度33.33公顷）。主要分布在16个乡镇，133个村。重度流失分布在</w:t>
      </w:r>
      <w:r>
        <w:rPr>
          <w:rFonts w:hint="eastAsia" w:ascii="宋体" w:hAnsi="宋体"/>
          <w:szCs w:val="21"/>
        </w:rPr>
        <w:t>人口稠密、耕垦率高的浈江两岸紫色砂页岩、砂砾岩低丘地区；中、轻度流失分布在高丘低山的荒山草坡和坡耕地。水土流失造成平均年侵蚀模数达</w:t>
      </w:r>
      <w:r>
        <w:rPr>
          <w:rFonts w:ascii="宋体" w:hAnsi="宋体"/>
          <w:szCs w:val="21"/>
        </w:rPr>
        <w:t>4691吨／平方公里，</w:t>
      </w:r>
      <w:r>
        <w:rPr>
          <w:rFonts w:hint="eastAsia" w:ascii="宋体" w:hAnsi="宋体"/>
          <w:szCs w:val="21"/>
        </w:rPr>
        <w:t>相当于每年剥蚀土层厚度</w:t>
      </w:r>
      <w:r>
        <w:rPr>
          <w:rFonts w:ascii="宋体" w:hAnsi="宋体"/>
          <w:szCs w:val="21"/>
        </w:rPr>
        <w:t>3.16毫米。沟状流失最为严重，占全县水土流失面积的32.28%，但流失土壤却占58.4%，年侵蚀模数达到10000吨／平方公里以上。每年大</w:t>
      </w:r>
      <w:r>
        <w:rPr>
          <w:rFonts w:hint="eastAsia" w:ascii="宋体" w:hAnsi="宋体"/>
          <w:szCs w:val="21"/>
        </w:rPr>
        <w:t>量泥沙流入河道及水利工程，致使河道淤塞，工程灌溉效益降低。（详见《南雄县志》）</w:t>
      </w:r>
    </w:p>
    <w:p w14:paraId="6C116B59">
      <w:pPr>
        <w:ind w:firstLine="420"/>
        <w:rPr>
          <w:rFonts w:ascii="宋体" w:hAnsi="宋体"/>
          <w:szCs w:val="21"/>
        </w:rPr>
      </w:pPr>
      <w:r>
        <w:rPr>
          <w:rFonts w:ascii="宋体" w:hAnsi="宋体"/>
          <w:szCs w:val="21"/>
        </w:rPr>
        <w:t>1999年省水利厅和中山大学地理系利用卫星遥感技术测定，并根据新的土壤侵</w:t>
      </w:r>
      <w:r>
        <w:rPr>
          <w:rFonts w:hint="eastAsia" w:ascii="宋体" w:hAnsi="宋体"/>
          <w:szCs w:val="21"/>
        </w:rPr>
        <w:t>蚀分级标准，核定南雄仍有水土流失面积</w:t>
      </w:r>
      <w:r>
        <w:rPr>
          <w:rFonts w:ascii="宋体" w:hAnsi="宋体"/>
          <w:szCs w:val="21"/>
        </w:rPr>
        <w:t>249.58平方公里，其中：面状流失149.28</w:t>
      </w:r>
      <w:r>
        <w:rPr>
          <w:rFonts w:hint="eastAsia" w:ascii="宋体" w:hAnsi="宋体"/>
          <w:szCs w:val="21"/>
        </w:rPr>
        <w:t>平方公里，沟状流失</w:t>
      </w:r>
      <w:r>
        <w:rPr>
          <w:rFonts w:ascii="宋体" w:hAnsi="宋体"/>
          <w:szCs w:val="21"/>
        </w:rPr>
        <w:t>42.68平方公里，坡耕地流失57.62平方公里。</w:t>
      </w:r>
    </w:p>
    <w:p w14:paraId="4A2D5EE0">
      <w:pPr>
        <w:pStyle w:val="5"/>
        <w:rPr>
          <w:rFonts w:ascii="宋体" w:hAnsi="宋体"/>
        </w:rPr>
      </w:pPr>
      <w:r>
        <w:rPr>
          <w:rFonts w:hint="eastAsia" w:ascii="宋体" w:hAnsi="宋体"/>
        </w:rPr>
        <w:t>二、水土流失治理</w:t>
      </w:r>
    </w:p>
    <w:p w14:paraId="4B5CBE7F">
      <w:pPr>
        <w:ind w:firstLine="420"/>
        <w:rPr>
          <w:rFonts w:ascii="宋体" w:hAnsi="宋体"/>
          <w:szCs w:val="21"/>
        </w:rPr>
      </w:pPr>
      <w:r>
        <w:rPr>
          <w:rFonts w:ascii="宋体" w:hAnsi="宋体"/>
          <w:szCs w:val="21"/>
        </w:rPr>
        <w:t>1956年，韶关专署和南雄县政府先后分别设立治理水土流失机构，开展水土流</w:t>
      </w:r>
      <w:r>
        <w:rPr>
          <w:rFonts w:hint="eastAsia" w:ascii="宋体" w:hAnsi="宋体"/>
          <w:szCs w:val="21"/>
        </w:rPr>
        <w:t>失治理工作。</w:t>
      </w:r>
      <w:r>
        <w:rPr>
          <w:rFonts w:ascii="宋体" w:hAnsi="宋体"/>
          <w:szCs w:val="21"/>
        </w:rPr>
        <w:t>1984年成立县绿化水保委员会，下设4个水土保持站，有水保人员83</w:t>
      </w:r>
      <w:r>
        <w:rPr>
          <w:rFonts w:hint="eastAsia" w:ascii="宋体" w:hAnsi="宋体"/>
          <w:szCs w:val="21"/>
        </w:rPr>
        <w:t>人。</w:t>
      </w:r>
      <w:r>
        <w:rPr>
          <w:rFonts w:ascii="宋体" w:hAnsi="宋体"/>
          <w:szCs w:val="21"/>
        </w:rPr>
        <w:t>1991年6月，水保与绿化分开，成立水土保持办公室，下设股室3个，执法监</w:t>
      </w:r>
      <w:r>
        <w:rPr>
          <w:rFonts w:hint="eastAsia" w:ascii="宋体" w:hAnsi="宋体"/>
          <w:szCs w:val="21"/>
        </w:rPr>
        <w:t>督站</w:t>
      </w:r>
      <w:r>
        <w:rPr>
          <w:rFonts w:ascii="宋体" w:hAnsi="宋体"/>
          <w:szCs w:val="21"/>
        </w:rPr>
        <w:t>1个，水保站4个。2001年机构改革，水保办定编制16人，基层事业编制87</w:t>
      </w:r>
      <w:r>
        <w:rPr>
          <w:rFonts w:hint="eastAsia" w:ascii="宋体" w:hAnsi="宋体"/>
          <w:szCs w:val="21"/>
        </w:rPr>
        <w:t>人。</w:t>
      </w:r>
    </w:p>
    <w:p w14:paraId="2064CB88">
      <w:pPr>
        <w:ind w:firstLine="420"/>
        <w:rPr>
          <w:rFonts w:ascii="宋体" w:hAnsi="宋体"/>
          <w:szCs w:val="21"/>
        </w:rPr>
      </w:pPr>
      <w:r>
        <w:rPr>
          <w:rFonts w:ascii="宋体" w:hAnsi="宋体"/>
          <w:szCs w:val="21"/>
        </w:rPr>
        <w:t>1957年至1959年，治理水土流失主要采取谷坊群工程措施，在红壤土面状流失</w:t>
      </w:r>
      <w:r>
        <w:rPr>
          <w:rFonts w:hint="eastAsia" w:ascii="宋体" w:hAnsi="宋体"/>
          <w:szCs w:val="21"/>
        </w:rPr>
        <w:t>区挖品字沟、等高沟、鱼鳞坑等工程，结合植物措施，逐级控制，稳定坡度。</w:t>
      </w:r>
      <w:r>
        <w:rPr>
          <w:rFonts w:ascii="宋体" w:hAnsi="宋体"/>
          <w:szCs w:val="21"/>
        </w:rPr>
        <w:t>3年初</w:t>
      </w:r>
      <w:r>
        <w:rPr>
          <w:rFonts w:hint="eastAsia" w:ascii="宋体" w:hAnsi="宋体"/>
          <w:szCs w:val="21"/>
        </w:rPr>
        <w:t>步控制水土流失面积</w:t>
      </w:r>
      <w:r>
        <w:rPr>
          <w:rFonts w:ascii="宋体" w:hAnsi="宋体"/>
          <w:szCs w:val="21"/>
        </w:rPr>
        <w:t>1866.66公顷。</w:t>
      </w:r>
    </w:p>
    <w:p w14:paraId="1EC3CCCF">
      <w:pPr>
        <w:ind w:firstLine="420"/>
        <w:rPr>
          <w:rFonts w:ascii="宋体" w:hAnsi="宋体"/>
          <w:szCs w:val="21"/>
        </w:rPr>
      </w:pPr>
      <w:r>
        <w:rPr>
          <w:rFonts w:ascii="宋体" w:hAnsi="宋体"/>
          <w:szCs w:val="21"/>
        </w:rPr>
        <w:t>1960年至1966年，主要采用等高水平阶坡面治理工程，即在山坡上按2米～4</w:t>
      </w:r>
      <w:r>
        <w:rPr>
          <w:rFonts w:hint="eastAsia" w:ascii="宋体" w:hAnsi="宋体"/>
          <w:szCs w:val="21"/>
        </w:rPr>
        <w:t>米距离，沿着等高线自上而下，开成外高内低水平阶沟，结合植物措施，达到堵水拦沙目的。实行民办公助方针，依靠</w:t>
      </w:r>
      <w:r>
        <w:rPr>
          <w:rFonts w:ascii="宋体" w:hAnsi="宋体"/>
          <w:szCs w:val="21"/>
        </w:rPr>
        <w:t>41个农村水保站，组织5000人的专业队伍与群众</w:t>
      </w:r>
      <w:r>
        <w:rPr>
          <w:rFonts w:hint="eastAsia" w:ascii="宋体" w:hAnsi="宋体"/>
          <w:szCs w:val="21"/>
        </w:rPr>
        <w:t>运动相结合，经</w:t>
      </w:r>
      <w:r>
        <w:rPr>
          <w:rFonts w:ascii="宋体" w:hAnsi="宋体"/>
          <w:szCs w:val="21"/>
        </w:rPr>
        <w:t>6年治理，初步控制水土流失面积3686.66公顷。</w:t>
      </w:r>
    </w:p>
    <w:p w14:paraId="06BFA423">
      <w:pPr>
        <w:ind w:firstLine="420"/>
        <w:rPr>
          <w:rFonts w:ascii="宋体" w:hAnsi="宋体"/>
          <w:szCs w:val="21"/>
        </w:rPr>
      </w:pPr>
      <w:r>
        <w:rPr>
          <w:rFonts w:ascii="宋体" w:hAnsi="宋体"/>
          <w:szCs w:val="21"/>
        </w:rPr>
        <w:t>1976年至1978年，主要采取以水平梯田为主的沟坡综合治理工程，第一层削平</w:t>
      </w:r>
      <w:r>
        <w:rPr>
          <w:rFonts w:hint="eastAsia" w:ascii="宋体" w:hAnsi="宋体"/>
          <w:szCs w:val="21"/>
        </w:rPr>
        <w:t>紫色页岩母质的山顶，植树种草；第二层炸坡开发水平梯地，种植黄烟、花生等作物；第三层在红砂岭与坡地交界处，开筑机耕路，上方为截洪沟，下方为灌溉沟；第四层整治水平梯田，变“三跑地”为“三保地”；第五层水稻耕作区，改低建高，排“五毒水”。经</w:t>
      </w:r>
      <w:r>
        <w:rPr>
          <w:rFonts w:ascii="宋体" w:hAnsi="宋体"/>
          <w:szCs w:val="21"/>
        </w:rPr>
        <w:t>3年整治，共开发红砂岭216.2公顷，黄土岭608.33公顷，建</w:t>
      </w:r>
      <w:r>
        <w:rPr>
          <w:rFonts w:hint="eastAsia" w:ascii="宋体" w:hAnsi="宋体"/>
          <w:szCs w:val="21"/>
        </w:rPr>
        <w:t>“</w:t>
      </w:r>
      <w:r>
        <w:rPr>
          <w:rFonts w:ascii="宋体" w:hAnsi="宋体"/>
          <w:szCs w:val="21"/>
        </w:rPr>
        <w:t>三保</w:t>
      </w:r>
      <w:r>
        <w:rPr>
          <w:rFonts w:hint="eastAsia" w:ascii="宋体" w:hAnsi="宋体"/>
          <w:szCs w:val="21"/>
        </w:rPr>
        <w:t>土”</w:t>
      </w:r>
      <w:r>
        <w:rPr>
          <w:rFonts w:ascii="宋体" w:hAnsi="宋体"/>
          <w:szCs w:val="21"/>
        </w:rPr>
        <w:t>133.33公顷</w:t>
      </w:r>
      <w:r>
        <w:rPr>
          <w:rFonts w:hint="eastAsia" w:ascii="宋体" w:hAnsi="宋体"/>
          <w:szCs w:val="21"/>
        </w:rPr>
        <w:t>。</w:t>
      </w:r>
    </w:p>
    <w:p w14:paraId="2C42B4A9">
      <w:pPr>
        <w:ind w:firstLine="420"/>
        <w:rPr>
          <w:rFonts w:ascii="宋体" w:hAnsi="宋体"/>
          <w:szCs w:val="21"/>
        </w:rPr>
      </w:pPr>
      <w:r>
        <w:rPr>
          <w:rFonts w:ascii="宋体" w:hAnsi="宋体"/>
          <w:szCs w:val="21"/>
        </w:rPr>
        <w:t>1980年起，在珠江水利委员会指导下，采取小流域连续综合治理，由点到面，</w:t>
      </w:r>
      <w:r>
        <w:rPr>
          <w:rFonts w:hint="eastAsia" w:ascii="宋体" w:hAnsi="宋体"/>
          <w:szCs w:val="21"/>
        </w:rPr>
        <w:t>统一规划，逐年实施。</w:t>
      </w:r>
      <w:r>
        <w:rPr>
          <w:rFonts w:ascii="宋体" w:hAnsi="宋体"/>
          <w:szCs w:val="21"/>
        </w:rPr>
        <w:t>1980年至1987年，以巾子岭小坑河小流域为试点，逐步推广</w:t>
      </w:r>
      <w:r>
        <w:rPr>
          <w:rFonts w:hint="eastAsia" w:ascii="宋体" w:hAnsi="宋体"/>
          <w:szCs w:val="21"/>
        </w:rPr>
        <w:t>到瀑布水、湖口水、下洞水、邓坊水、太源水</w:t>
      </w:r>
      <w:r>
        <w:rPr>
          <w:rFonts w:ascii="宋体" w:hAnsi="宋体"/>
          <w:szCs w:val="21"/>
        </w:rPr>
        <w:t>5条小流域。8年共完成连片治理面积18703.</w:t>
      </w:r>
      <w:r>
        <w:rPr>
          <w:rFonts w:hint="eastAsia" w:ascii="宋体" w:hAnsi="宋体"/>
          <w:szCs w:val="21"/>
        </w:rPr>
        <w:t>3</w:t>
      </w:r>
      <w:r>
        <w:rPr>
          <w:rFonts w:ascii="宋体" w:hAnsi="宋体"/>
          <w:szCs w:val="21"/>
        </w:rPr>
        <w:t>3公顷，其中效益显著的2887.87公顷，营造水保林2135.2公顷，封山育林2642公顷，开水平梯田16公顷，建谷坊2503座，拦沙坝6018米，沟洫工程62.45</w:t>
      </w:r>
      <w:r>
        <w:rPr>
          <w:rFonts w:hint="eastAsia" w:ascii="宋体" w:hAnsi="宋体"/>
          <w:szCs w:val="21"/>
        </w:rPr>
        <w:t>万米。累计搬动土方</w:t>
      </w:r>
      <w:r>
        <w:rPr>
          <w:rFonts w:ascii="宋体" w:hAnsi="宋体"/>
          <w:szCs w:val="21"/>
        </w:rPr>
        <w:t>17.64万立方米，搬动石方69.607万立方米，出动劳力100.015</w:t>
      </w:r>
      <w:r>
        <w:rPr>
          <w:rFonts w:hint="eastAsia" w:ascii="宋体" w:hAnsi="宋体"/>
          <w:szCs w:val="21"/>
        </w:rPr>
        <w:t>万工日。</w:t>
      </w:r>
    </w:p>
    <w:p w14:paraId="5EDBDEA9">
      <w:pPr>
        <w:ind w:firstLine="420"/>
        <w:rPr>
          <w:rFonts w:ascii="宋体" w:hAnsi="宋体"/>
          <w:szCs w:val="21"/>
        </w:rPr>
      </w:pPr>
      <w:r>
        <w:rPr>
          <w:rFonts w:ascii="宋体" w:hAnsi="宋体"/>
          <w:szCs w:val="21"/>
        </w:rPr>
        <w:t>1986年起，实施广东省人大《关于整治韩江、北江上游的水</w:t>
      </w:r>
      <w:r>
        <w:rPr>
          <w:rFonts w:hint="eastAsia" w:ascii="宋体" w:hAnsi="宋体"/>
          <w:szCs w:val="21"/>
        </w:rPr>
        <w:t>土</w:t>
      </w:r>
      <w:r>
        <w:rPr>
          <w:rFonts w:ascii="宋体" w:hAnsi="宋体"/>
          <w:szCs w:val="21"/>
        </w:rPr>
        <w:t>流失问题的决议》</w:t>
      </w:r>
      <w:r>
        <w:rPr>
          <w:rFonts w:hint="eastAsia" w:ascii="宋体" w:hAnsi="宋体"/>
          <w:szCs w:val="21"/>
        </w:rPr>
        <w:t>根据县七届人大常委会“三年消灭荒山，五年绿化南雄，八年治理水土流失”的要求，连续</w:t>
      </w:r>
      <w:r>
        <w:rPr>
          <w:rFonts w:ascii="宋体" w:hAnsi="宋体"/>
          <w:szCs w:val="21"/>
        </w:rPr>
        <w:t>9年开展综合治理。据统计至1995年4月底，全县共完成治理水土流失面</w:t>
      </w:r>
      <w:r>
        <w:rPr>
          <w:rFonts w:hint="eastAsia" w:ascii="宋体" w:hAnsi="宋体"/>
          <w:szCs w:val="21"/>
        </w:rPr>
        <w:t>积</w:t>
      </w:r>
      <w:r>
        <w:rPr>
          <w:rFonts w:ascii="宋体" w:hAnsi="宋体"/>
          <w:szCs w:val="21"/>
        </w:rPr>
        <w:t>547.3平方公里，占计划面积的146%。计筑谷坊7507座，拦沙坝19570米，沟洫</w:t>
      </w:r>
      <w:r>
        <w:rPr>
          <w:rFonts w:hint="eastAsia" w:ascii="宋体" w:hAnsi="宋体"/>
          <w:szCs w:val="21"/>
        </w:rPr>
        <w:t>工程</w:t>
      </w:r>
      <w:r>
        <w:rPr>
          <w:rFonts w:ascii="宋体" w:hAnsi="宋体"/>
          <w:szCs w:val="21"/>
        </w:rPr>
        <w:t>412.6万米，开梯田222.3公顷，种牧草833.33公顷，造林22613.33公顷，种</w:t>
      </w:r>
      <w:r>
        <w:rPr>
          <w:rFonts w:hint="eastAsia" w:ascii="宋体" w:hAnsi="宋体"/>
          <w:szCs w:val="21"/>
        </w:rPr>
        <w:t>经济林</w:t>
      </w:r>
      <w:r>
        <w:rPr>
          <w:rFonts w:ascii="宋体" w:hAnsi="宋体"/>
          <w:szCs w:val="21"/>
        </w:rPr>
        <w:t>4380公顷，种龙舌兰麻526.67公顷，封山育林33833.33公顷，总投资1848.64万元，其中省投资730.3万元，韶关市投资147.3万元，县、乡镇投资236.74万元，群众自筹734.3万元（含以工折款）。通过治理，初步控制了水土流</w:t>
      </w:r>
      <w:r>
        <w:rPr>
          <w:rFonts w:hint="eastAsia" w:ascii="宋体" w:hAnsi="宋体"/>
          <w:szCs w:val="21"/>
        </w:rPr>
        <w:t>失，起到了缓洪拦沙作用。</w:t>
      </w:r>
      <w:r>
        <w:rPr>
          <w:rFonts w:ascii="宋体" w:hAnsi="宋体"/>
          <w:szCs w:val="21"/>
        </w:rPr>
        <w:t>1994年测计，年侵蚀模数由1985年的4691吨／平方公里</w:t>
      </w:r>
      <w:r>
        <w:rPr>
          <w:rFonts w:hint="eastAsia" w:ascii="宋体" w:hAnsi="宋体"/>
          <w:szCs w:val="21"/>
        </w:rPr>
        <w:t>下降到</w:t>
      </w:r>
      <w:r>
        <w:rPr>
          <w:rFonts w:ascii="宋体" w:hAnsi="宋体"/>
          <w:szCs w:val="21"/>
        </w:rPr>
        <w:t>1736吨／平方公里，拦沙率达63%，拦蓄洪水量为3.6亿立方米，拦水效率达21%。</w:t>
      </w:r>
    </w:p>
    <w:p w14:paraId="59A66061">
      <w:pPr>
        <w:ind w:firstLine="420"/>
        <w:rPr>
          <w:rFonts w:ascii="宋体" w:hAnsi="宋体"/>
          <w:szCs w:val="21"/>
        </w:rPr>
      </w:pPr>
      <w:r>
        <w:rPr>
          <w:rFonts w:ascii="宋体" w:hAnsi="宋体"/>
          <w:szCs w:val="21"/>
        </w:rPr>
        <w:t>1999年，按《全国水土保持生态环境建设“十百千”示范工程实施管理办法》</w:t>
      </w:r>
      <w:r>
        <w:rPr>
          <w:rFonts w:hint="eastAsia" w:ascii="宋体" w:hAnsi="宋体"/>
          <w:szCs w:val="21"/>
        </w:rPr>
        <w:t>的要求，整治湖口河、黄坑河两条小流域，黄坑河小流域治理面积</w:t>
      </w:r>
      <w:r>
        <w:rPr>
          <w:rFonts w:ascii="宋体" w:hAnsi="宋体"/>
          <w:szCs w:val="21"/>
        </w:rPr>
        <w:t>2553.2公顷，占</w:t>
      </w:r>
      <w:r>
        <w:rPr>
          <w:rFonts w:hint="eastAsia" w:ascii="宋体" w:hAnsi="宋体"/>
          <w:szCs w:val="21"/>
        </w:rPr>
        <w:t>流失面积</w:t>
      </w:r>
      <w:r>
        <w:rPr>
          <w:rFonts w:ascii="宋体" w:hAnsi="宋体"/>
          <w:szCs w:val="21"/>
        </w:rPr>
        <w:t>91.74%，植树造林2490.27公顷，筑拦沙坝1728座，谷坊3423座，开梯</w:t>
      </w:r>
      <w:r>
        <w:rPr>
          <w:rFonts w:hint="eastAsia" w:ascii="宋体" w:hAnsi="宋体"/>
          <w:szCs w:val="21"/>
        </w:rPr>
        <w:t>田</w:t>
      </w:r>
      <w:r>
        <w:rPr>
          <w:rFonts w:ascii="宋体" w:hAnsi="宋体"/>
          <w:szCs w:val="21"/>
        </w:rPr>
        <w:t>62.93公顷，沟洫55.47万米。湖口河小流域治理面3119公顷，占流失面积92.9%，植树造林2402.53公顷，筑拦沙坝3590座，谷坊3920座，开梯田51.67公</w:t>
      </w:r>
      <w:r>
        <w:rPr>
          <w:rFonts w:hint="eastAsia" w:ascii="宋体" w:hAnsi="宋体"/>
          <w:szCs w:val="21"/>
        </w:rPr>
        <w:t>顷，沟洫</w:t>
      </w:r>
      <w:r>
        <w:rPr>
          <w:rFonts w:ascii="宋体" w:hAnsi="宋体"/>
          <w:szCs w:val="21"/>
        </w:rPr>
        <w:t>59.71万米，两项工程均于2000年7月经省水利厅验收合格，并被国家水</w:t>
      </w:r>
      <w:r>
        <w:rPr>
          <w:rFonts w:hint="eastAsia" w:ascii="宋体" w:hAnsi="宋体"/>
          <w:szCs w:val="21"/>
        </w:rPr>
        <w:t>利部、财政部命名为全国水土保持生态环境建设示范小流域。</w:t>
      </w:r>
    </w:p>
    <w:p w14:paraId="6FE5202F">
      <w:pPr>
        <w:ind w:firstLine="0" w:firstLineChars="0"/>
        <w:jc w:val="center"/>
        <w:rPr>
          <w:rFonts w:ascii="宋体" w:hAnsi="宋体"/>
          <w:b/>
          <w:szCs w:val="21"/>
        </w:rPr>
      </w:pPr>
      <w:r>
        <w:rPr>
          <w:rFonts w:hint="eastAsia" w:ascii="宋体" w:hAnsi="宋体"/>
          <w:b/>
          <w:szCs w:val="21"/>
        </w:rPr>
        <w:t>南雄市1955年至1987年治理水土流失情况</w:t>
      </w:r>
    </w:p>
    <w:p w14:paraId="1B480E3F">
      <w:pPr>
        <w:ind w:firstLine="0" w:firstLineChars="0"/>
        <w:rPr>
          <w:rFonts w:ascii="宋体" w:hAnsi="宋体"/>
          <w:b/>
          <w:szCs w:val="21"/>
        </w:rPr>
      </w:pPr>
      <w:r>
        <w:rPr>
          <w:rFonts w:hint="eastAsia" w:ascii="宋体" w:hAnsi="宋体"/>
          <w:b/>
          <w:szCs w:val="21"/>
        </w:rPr>
        <w:t>表1-10</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02"/>
        <w:gridCol w:w="1080"/>
        <w:gridCol w:w="1082"/>
        <w:gridCol w:w="1082"/>
        <w:gridCol w:w="1084"/>
        <w:gridCol w:w="1084"/>
        <w:gridCol w:w="1084"/>
        <w:gridCol w:w="1084"/>
        <w:gridCol w:w="1080"/>
      </w:tblGrid>
      <w:tr w14:paraId="5C69CE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654" w:type="pct"/>
            <w:vMerge w:val="restart"/>
            <w:vAlign w:val="center"/>
          </w:tcPr>
          <w:p w14:paraId="1AC3A258">
            <w:pPr>
              <w:pStyle w:val="12"/>
              <w:jc w:val="center"/>
              <w:rPr>
                <w:rFonts w:ascii="宋体" w:hAnsi="宋体"/>
                <w:b/>
              </w:rPr>
            </w:pPr>
            <w:r>
              <w:rPr>
                <w:rFonts w:hint="eastAsia" w:ascii="宋体" w:hAnsi="宋体"/>
                <w:b/>
              </w:rPr>
              <w:t>年度</w:t>
            </w:r>
          </w:p>
        </w:tc>
        <w:tc>
          <w:tcPr>
            <w:tcW w:w="542" w:type="pct"/>
            <w:vMerge w:val="restart"/>
            <w:vAlign w:val="center"/>
          </w:tcPr>
          <w:p w14:paraId="12C30242">
            <w:pPr>
              <w:pStyle w:val="12"/>
              <w:jc w:val="center"/>
              <w:rPr>
                <w:rFonts w:ascii="宋体" w:hAnsi="宋体"/>
                <w:b/>
              </w:rPr>
            </w:pPr>
            <w:r>
              <w:rPr>
                <w:rFonts w:hint="eastAsia" w:ascii="宋体" w:hAnsi="宋体"/>
                <w:b/>
              </w:rPr>
              <w:t>流失面积（万亩）</w:t>
            </w:r>
          </w:p>
        </w:tc>
        <w:tc>
          <w:tcPr>
            <w:tcW w:w="543" w:type="pct"/>
            <w:vMerge w:val="restart"/>
            <w:vAlign w:val="center"/>
          </w:tcPr>
          <w:p w14:paraId="025145E1">
            <w:pPr>
              <w:pStyle w:val="12"/>
              <w:jc w:val="center"/>
              <w:rPr>
                <w:rFonts w:ascii="宋体" w:hAnsi="宋体"/>
                <w:b/>
              </w:rPr>
            </w:pPr>
            <w:r>
              <w:rPr>
                <w:rFonts w:hint="eastAsia" w:ascii="宋体" w:hAnsi="宋体"/>
                <w:b/>
              </w:rPr>
              <w:t>其中红沙岭面积（万亩）</w:t>
            </w:r>
          </w:p>
        </w:tc>
        <w:tc>
          <w:tcPr>
            <w:tcW w:w="1630" w:type="pct"/>
            <w:gridSpan w:val="3"/>
            <w:vAlign w:val="center"/>
          </w:tcPr>
          <w:p w14:paraId="088F6B8C">
            <w:pPr>
              <w:pStyle w:val="12"/>
              <w:jc w:val="center"/>
              <w:rPr>
                <w:rFonts w:ascii="宋体" w:hAnsi="宋体"/>
                <w:b/>
              </w:rPr>
            </w:pPr>
            <w:r>
              <w:rPr>
                <w:rFonts w:hint="eastAsia" w:ascii="宋体" w:hAnsi="宋体"/>
                <w:b/>
              </w:rPr>
              <w:t>治理面积（万亩）</w:t>
            </w:r>
          </w:p>
        </w:tc>
        <w:tc>
          <w:tcPr>
            <w:tcW w:w="1087" w:type="pct"/>
            <w:gridSpan w:val="2"/>
            <w:vAlign w:val="center"/>
          </w:tcPr>
          <w:p w14:paraId="03D31870">
            <w:pPr>
              <w:pStyle w:val="12"/>
              <w:jc w:val="center"/>
              <w:rPr>
                <w:rFonts w:ascii="宋体" w:hAnsi="宋体"/>
                <w:b/>
              </w:rPr>
            </w:pPr>
            <w:r>
              <w:rPr>
                <w:rFonts w:hint="eastAsia" w:ascii="宋体" w:hAnsi="宋体"/>
                <w:b/>
              </w:rPr>
              <w:t>工程量（万立方米）</w:t>
            </w:r>
          </w:p>
        </w:tc>
        <w:tc>
          <w:tcPr>
            <w:tcW w:w="544" w:type="pct"/>
            <w:vMerge w:val="restart"/>
            <w:vAlign w:val="center"/>
          </w:tcPr>
          <w:p w14:paraId="1BF99702">
            <w:pPr>
              <w:pStyle w:val="12"/>
              <w:jc w:val="center"/>
              <w:rPr>
                <w:rFonts w:ascii="宋体" w:hAnsi="宋体"/>
                <w:b/>
              </w:rPr>
            </w:pPr>
            <w:r>
              <w:rPr>
                <w:rFonts w:hint="eastAsia" w:ascii="宋体" w:hAnsi="宋体"/>
                <w:b/>
              </w:rPr>
              <w:t>用工量（万工日）</w:t>
            </w:r>
          </w:p>
        </w:tc>
      </w:tr>
      <w:tr w14:paraId="0D6E73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654" w:type="pct"/>
            <w:vMerge w:val="continue"/>
            <w:vAlign w:val="center"/>
          </w:tcPr>
          <w:p w14:paraId="72CD9CD7">
            <w:pPr>
              <w:pStyle w:val="12"/>
              <w:jc w:val="center"/>
              <w:rPr>
                <w:rFonts w:ascii="宋体" w:hAnsi="宋体"/>
              </w:rPr>
            </w:pPr>
          </w:p>
        </w:tc>
        <w:tc>
          <w:tcPr>
            <w:tcW w:w="542" w:type="pct"/>
            <w:vMerge w:val="continue"/>
            <w:vAlign w:val="center"/>
          </w:tcPr>
          <w:p w14:paraId="6ABB2B68">
            <w:pPr>
              <w:pStyle w:val="12"/>
              <w:jc w:val="center"/>
              <w:rPr>
                <w:rFonts w:ascii="宋体" w:hAnsi="宋体"/>
              </w:rPr>
            </w:pPr>
          </w:p>
        </w:tc>
        <w:tc>
          <w:tcPr>
            <w:tcW w:w="543" w:type="pct"/>
            <w:vMerge w:val="continue"/>
            <w:vAlign w:val="center"/>
          </w:tcPr>
          <w:p w14:paraId="45BF45A3">
            <w:pPr>
              <w:pStyle w:val="12"/>
              <w:jc w:val="center"/>
              <w:rPr>
                <w:rFonts w:ascii="宋体" w:hAnsi="宋体"/>
              </w:rPr>
            </w:pPr>
          </w:p>
        </w:tc>
        <w:tc>
          <w:tcPr>
            <w:tcW w:w="543" w:type="pct"/>
            <w:vAlign w:val="center"/>
          </w:tcPr>
          <w:p w14:paraId="778499CB">
            <w:pPr>
              <w:pStyle w:val="12"/>
              <w:jc w:val="center"/>
              <w:rPr>
                <w:rFonts w:ascii="宋体" w:hAnsi="宋体"/>
                <w:b/>
              </w:rPr>
            </w:pPr>
            <w:r>
              <w:rPr>
                <w:rFonts w:hint="eastAsia" w:ascii="宋体" w:hAnsi="宋体"/>
                <w:b/>
              </w:rPr>
              <w:t>累  计</w:t>
            </w:r>
          </w:p>
        </w:tc>
        <w:tc>
          <w:tcPr>
            <w:tcW w:w="544" w:type="pct"/>
            <w:vAlign w:val="center"/>
          </w:tcPr>
          <w:p w14:paraId="7574D7F3">
            <w:pPr>
              <w:pStyle w:val="12"/>
              <w:jc w:val="center"/>
              <w:rPr>
                <w:rFonts w:ascii="宋体" w:hAnsi="宋体"/>
                <w:b/>
              </w:rPr>
            </w:pPr>
            <w:r>
              <w:rPr>
                <w:rFonts w:hint="eastAsia" w:ascii="宋体" w:hAnsi="宋体"/>
                <w:b/>
              </w:rPr>
              <w:t>当年治理面积</w:t>
            </w:r>
          </w:p>
        </w:tc>
        <w:tc>
          <w:tcPr>
            <w:tcW w:w="544" w:type="pct"/>
            <w:vAlign w:val="center"/>
          </w:tcPr>
          <w:p w14:paraId="696A0D57">
            <w:pPr>
              <w:pStyle w:val="12"/>
              <w:jc w:val="center"/>
              <w:rPr>
                <w:rFonts w:ascii="宋体" w:hAnsi="宋体"/>
                <w:b/>
              </w:rPr>
            </w:pPr>
            <w:r>
              <w:rPr>
                <w:rFonts w:hint="eastAsia" w:ascii="宋体" w:hAnsi="宋体"/>
                <w:b/>
              </w:rPr>
              <w:t>效益显著面积</w:t>
            </w:r>
          </w:p>
        </w:tc>
        <w:tc>
          <w:tcPr>
            <w:tcW w:w="544" w:type="pct"/>
            <w:vAlign w:val="center"/>
          </w:tcPr>
          <w:p w14:paraId="7CD0F78C">
            <w:pPr>
              <w:pStyle w:val="12"/>
              <w:jc w:val="center"/>
              <w:rPr>
                <w:rFonts w:ascii="宋体" w:hAnsi="宋体"/>
                <w:b/>
              </w:rPr>
            </w:pPr>
            <w:r>
              <w:rPr>
                <w:rFonts w:hint="eastAsia" w:ascii="宋体" w:hAnsi="宋体"/>
                <w:b/>
              </w:rPr>
              <w:t>土  方</w:t>
            </w:r>
          </w:p>
        </w:tc>
        <w:tc>
          <w:tcPr>
            <w:tcW w:w="544" w:type="pct"/>
            <w:vAlign w:val="center"/>
          </w:tcPr>
          <w:p w14:paraId="0343AF8D">
            <w:pPr>
              <w:pStyle w:val="12"/>
              <w:jc w:val="center"/>
              <w:rPr>
                <w:rFonts w:ascii="宋体" w:hAnsi="宋体"/>
                <w:b/>
              </w:rPr>
            </w:pPr>
            <w:r>
              <w:rPr>
                <w:rFonts w:hint="eastAsia" w:ascii="宋体" w:hAnsi="宋体"/>
                <w:b/>
              </w:rPr>
              <w:t>石  方</w:t>
            </w:r>
          </w:p>
        </w:tc>
        <w:tc>
          <w:tcPr>
            <w:tcW w:w="544" w:type="pct"/>
            <w:vMerge w:val="continue"/>
            <w:vAlign w:val="center"/>
          </w:tcPr>
          <w:p w14:paraId="75494C9E">
            <w:pPr>
              <w:pStyle w:val="12"/>
              <w:jc w:val="center"/>
              <w:rPr>
                <w:rFonts w:ascii="宋体" w:hAnsi="宋体"/>
              </w:rPr>
            </w:pPr>
          </w:p>
        </w:tc>
      </w:tr>
      <w:tr w14:paraId="19ECA7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4" w:type="pct"/>
            <w:vAlign w:val="center"/>
          </w:tcPr>
          <w:p w14:paraId="2240F96F">
            <w:pPr>
              <w:pStyle w:val="12"/>
              <w:jc w:val="center"/>
              <w:rPr>
                <w:rFonts w:ascii="宋体" w:hAnsi="宋体"/>
              </w:rPr>
            </w:pPr>
            <w:r>
              <w:rPr>
                <w:rFonts w:ascii="宋体" w:hAnsi="宋体"/>
              </w:rPr>
              <w:t>1955</w:t>
            </w:r>
          </w:p>
        </w:tc>
        <w:tc>
          <w:tcPr>
            <w:tcW w:w="542" w:type="pct"/>
            <w:vAlign w:val="center"/>
          </w:tcPr>
          <w:p w14:paraId="066627A0">
            <w:pPr>
              <w:pStyle w:val="12"/>
              <w:jc w:val="center"/>
              <w:rPr>
                <w:rFonts w:ascii="宋体" w:hAnsi="宋体"/>
              </w:rPr>
            </w:pPr>
            <w:r>
              <w:rPr>
                <w:rFonts w:ascii="宋体" w:hAnsi="宋体"/>
              </w:rPr>
              <w:t>112.7</w:t>
            </w:r>
          </w:p>
        </w:tc>
        <w:tc>
          <w:tcPr>
            <w:tcW w:w="543" w:type="pct"/>
            <w:vAlign w:val="center"/>
          </w:tcPr>
          <w:p w14:paraId="6C1F9208">
            <w:pPr>
              <w:pStyle w:val="12"/>
              <w:jc w:val="center"/>
              <w:rPr>
                <w:rFonts w:ascii="宋体" w:hAnsi="宋体"/>
              </w:rPr>
            </w:pPr>
            <w:r>
              <w:rPr>
                <w:rFonts w:ascii="宋体" w:hAnsi="宋体"/>
              </w:rPr>
              <w:t>12.46</w:t>
            </w:r>
          </w:p>
        </w:tc>
        <w:tc>
          <w:tcPr>
            <w:tcW w:w="543" w:type="pct"/>
            <w:vAlign w:val="center"/>
          </w:tcPr>
          <w:p w14:paraId="3E353C4F">
            <w:pPr>
              <w:pStyle w:val="12"/>
              <w:jc w:val="center"/>
              <w:rPr>
                <w:rFonts w:ascii="宋体" w:hAnsi="宋体"/>
              </w:rPr>
            </w:pPr>
            <w:r>
              <w:rPr>
                <w:rFonts w:ascii="宋体" w:hAnsi="宋体"/>
              </w:rPr>
              <w:t>—</w:t>
            </w:r>
          </w:p>
        </w:tc>
        <w:tc>
          <w:tcPr>
            <w:tcW w:w="544" w:type="pct"/>
            <w:vAlign w:val="center"/>
          </w:tcPr>
          <w:p w14:paraId="47E73D98">
            <w:pPr>
              <w:pStyle w:val="12"/>
              <w:jc w:val="center"/>
              <w:rPr>
                <w:rFonts w:ascii="宋体" w:hAnsi="宋体"/>
              </w:rPr>
            </w:pPr>
            <w:r>
              <w:rPr>
                <w:rFonts w:ascii="宋体" w:hAnsi="宋体"/>
              </w:rPr>
              <w:t>—</w:t>
            </w:r>
          </w:p>
        </w:tc>
        <w:tc>
          <w:tcPr>
            <w:tcW w:w="544" w:type="pct"/>
            <w:vAlign w:val="center"/>
          </w:tcPr>
          <w:p w14:paraId="38602E21">
            <w:pPr>
              <w:pStyle w:val="12"/>
              <w:jc w:val="center"/>
              <w:rPr>
                <w:rFonts w:ascii="宋体" w:hAnsi="宋体"/>
              </w:rPr>
            </w:pPr>
            <w:r>
              <w:rPr>
                <w:rFonts w:ascii="宋体" w:hAnsi="宋体"/>
              </w:rPr>
              <w:t>—</w:t>
            </w:r>
          </w:p>
        </w:tc>
        <w:tc>
          <w:tcPr>
            <w:tcW w:w="544" w:type="pct"/>
            <w:vAlign w:val="center"/>
          </w:tcPr>
          <w:p w14:paraId="586C222B">
            <w:pPr>
              <w:pStyle w:val="12"/>
              <w:jc w:val="center"/>
              <w:rPr>
                <w:rFonts w:ascii="宋体" w:hAnsi="宋体"/>
              </w:rPr>
            </w:pPr>
            <w:r>
              <w:rPr>
                <w:rFonts w:ascii="宋体" w:hAnsi="宋体"/>
              </w:rPr>
              <w:t>—</w:t>
            </w:r>
          </w:p>
        </w:tc>
        <w:tc>
          <w:tcPr>
            <w:tcW w:w="544" w:type="pct"/>
            <w:vAlign w:val="center"/>
          </w:tcPr>
          <w:p w14:paraId="32A27185">
            <w:pPr>
              <w:pStyle w:val="12"/>
              <w:jc w:val="center"/>
              <w:rPr>
                <w:rFonts w:ascii="宋体" w:hAnsi="宋体"/>
              </w:rPr>
            </w:pPr>
            <w:r>
              <w:rPr>
                <w:rFonts w:ascii="宋体" w:hAnsi="宋体"/>
              </w:rPr>
              <w:t>—</w:t>
            </w:r>
          </w:p>
        </w:tc>
        <w:tc>
          <w:tcPr>
            <w:tcW w:w="544" w:type="pct"/>
            <w:vAlign w:val="center"/>
          </w:tcPr>
          <w:p w14:paraId="5E506029">
            <w:pPr>
              <w:pStyle w:val="12"/>
              <w:jc w:val="center"/>
              <w:rPr>
                <w:rFonts w:ascii="宋体" w:hAnsi="宋体"/>
              </w:rPr>
            </w:pPr>
            <w:r>
              <w:rPr>
                <w:rFonts w:ascii="宋体" w:hAnsi="宋体"/>
              </w:rPr>
              <w:t>—</w:t>
            </w:r>
          </w:p>
        </w:tc>
      </w:tr>
      <w:tr w14:paraId="10413B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4" w:type="pct"/>
            <w:vAlign w:val="center"/>
          </w:tcPr>
          <w:p w14:paraId="16A4AC2B">
            <w:pPr>
              <w:pStyle w:val="12"/>
              <w:jc w:val="center"/>
              <w:rPr>
                <w:rFonts w:ascii="宋体" w:hAnsi="宋体"/>
              </w:rPr>
            </w:pPr>
            <w:r>
              <w:rPr>
                <w:rFonts w:ascii="宋体" w:hAnsi="宋体"/>
              </w:rPr>
              <w:t>1956~1966</w:t>
            </w:r>
          </w:p>
        </w:tc>
        <w:tc>
          <w:tcPr>
            <w:tcW w:w="542" w:type="pct"/>
            <w:vAlign w:val="center"/>
          </w:tcPr>
          <w:p w14:paraId="4A8886AB">
            <w:pPr>
              <w:pStyle w:val="12"/>
              <w:jc w:val="center"/>
              <w:rPr>
                <w:rFonts w:ascii="宋体" w:hAnsi="宋体"/>
              </w:rPr>
            </w:pPr>
            <w:r>
              <w:rPr>
                <w:rFonts w:ascii="宋体" w:hAnsi="宋体"/>
              </w:rPr>
              <w:t>104.33</w:t>
            </w:r>
          </w:p>
        </w:tc>
        <w:tc>
          <w:tcPr>
            <w:tcW w:w="543" w:type="pct"/>
            <w:vAlign w:val="center"/>
          </w:tcPr>
          <w:p w14:paraId="20B07B2F">
            <w:pPr>
              <w:pStyle w:val="12"/>
              <w:jc w:val="center"/>
              <w:rPr>
                <w:rFonts w:ascii="宋体" w:hAnsi="宋体"/>
              </w:rPr>
            </w:pPr>
            <w:r>
              <w:rPr>
                <w:rFonts w:ascii="宋体" w:hAnsi="宋体"/>
              </w:rPr>
              <w:t>11.35</w:t>
            </w:r>
          </w:p>
        </w:tc>
        <w:tc>
          <w:tcPr>
            <w:tcW w:w="543" w:type="pct"/>
            <w:vAlign w:val="center"/>
          </w:tcPr>
          <w:p w14:paraId="5D3BB0BD">
            <w:pPr>
              <w:pStyle w:val="12"/>
              <w:jc w:val="center"/>
              <w:rPr>
                <w:rFonts w:ascii="宋体" w:hAnsi="宋体"/>
              </w:rPr>
            </w:pPr>
            <w:r>
              <w:rPr>
                <w:rFonts w:ascii="宋体" w:hAnsi="宋体"/>
              </w:rPr>
              <w:t>8.37</w:t>
            </w:r>
          </w:p>
        </w:tc>
        <w:tc>
          <w:tcPr>
            <w:tcW w:w="544" w:type="pct"/>
            <w:vAlign w:val="center"/>
          </w:tcPr>
          <w:p w14:paraId="771C2939">
            <w:pPr>
              <w:pStyle w:val="12"/>
              <w:jc w:val="center"/>
              <w:rPr>
                <w:rFonts w:ascii="宋体" w:hAnsi="宋体"/>
              </w:rPr>
            </w:pPr>
            <w:r>
              <w:rPr>
                <w:rFonts w:ascii="宋体" w:hAnsi="宋体"/>
              </w:rPr>
              <w:t>8.37</w:t>
            </w:r>
          </w:p>
        </w:tc>
        <w:tc>
          <w:tcPr>
            <w:tcW w:w="544" w:type="pct"/>
            <w:vAlign w:val="center"/>
          </w:tcPr>
          <w:p w14:paraId="5530C84C">
            <w:pPr>
              <w:pStyle w:val="12"/>
              <w:jc w:val="center"/>
              <w:rPr>
                <w:rFonts w:ascii="宋体" w:hAnsi="宋体"/>
              </w:rPr>
            </w:pPr>
            <w:r>
              <w:rPr>
                <w:rFonts w:ascii="宋体" w:hAnsi="宋体"/>
              </w:rPr>
              <w:t>1.00</w:t>
            </w:r>
          </w:p>
        </w:tc>
        <w:tc>
          <w:tcPr>
            <w:tcW w:w="544" w:type="pct"/>
            <w:vAlign w:val="center"/>
          </w:tcPr>
          <w:p w14:paraId="7C96A530">
            <w:pPr>
              <w:pStyle w:val="12"/>
              <w:jc w:val="center"/>
              <w:rPr>
                <w:rFonts w:ascii="宋体" w:hAnsi="宋体"/>
              </w:rPr>
            </w:pPr>
            <w:r>
              <w:rPr>
                <w:rFonts w:ascii="宋体" w:hAnsi="宋体"/>
              </w:rPr>
              <w:t>10</w:t>
            </w:r>
          </w:p>
        </w:tc>
        <w:tc>
          <w:tcPr>
            <w:tcW w:w="544" w:type="pct"/>
            <w:vAlign w:val="center"/>
          </w:tcPr>
          <w:p w14:paraId="5EA83A62">
            <w:pPr>
              <w:pStyle w:val="12"/>
              <w:jc w:val="center"/>
              <w:rPr>
                <w:rFonts w:ascii="宋体" w:hAnsi="宋体"/>
              </w:rPr>
            </w:pPr>
            <w:r>
              <w:rPr>
                <w:rFonts w:ascii="宋体" w:hAnsi="宋体"/>
              </w:rPr>
              <w:t>—</w:t>
            </w:r>
          </w:p>
        </w:tc>
        <w:tc>
          <w:tcPr>
            <w:tcW w:w="544" w:type="pct"/>
            <w:vAlign w:val="center"/>
          </w:tcPr>
          <w:p w14:paraId="178A5C75">
            <w:pPr>
              <w:pStyle w:val="12"/>
              <w:jc w:val="center"/>
              <w:rPr>
                <w:rFonts w:ascii="宋体" w:hAnsi="宋体"/>
              </w:rPr>
            </w:pPr>
            <w:r>
              <w:rPr>
                <w:rFonts w:ascii="宋体" w:hAnsi="宋体"/>
              </w:rPr>
              <w:t>26</w:t>
            </w:r>
          </w:p>
        </w:tc>
      </w:tr>
      <w:tr w14:paraId="06453B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4" w:type="pct"/>
            <w:vAlign w:val="center"/>
          </w:tcPr>
          <w:p w14:paraId="3E8882D4">
            <w:pPr>
              <w:pStyle w:val="12"/>
              <w:jc w:val="center"/>
              <w:rPr>
                <w:rFonts w:ascii="宋体" w:hAnsi="宋体"/>
              </w:rPr>
            </w:pPr>
            <w:r>
              <w:rPr>
                <w:rFonts w:ascii="宋体" w:hAnsi="宋体"/>
              </w:rPr>
              <w:t>1967~1979</w:t>
            </w:r>
          </w:p>
        </w:tc>
        <w:tc>
          <w:tcPr>
            <w:tcW w:w="542" w:type="pct"/>
            <w:vAlign w:val="center"/>
          </w:tcPr>
          <w:p w14:paraId="6FA1D0E8">
            <w:pPr>
              <w:pStyle w:val="12"/>
              <w:jc w:val="center"/>
              <w:rPr>
                <w:rFonts w:ascii="宋体" w:hAnsi="宋体"/>
              </w:rPr>
            </w:pPr>
            <w:r>
              <w:rPr>
                <w:rFonts w:ascii="宋体" w:hAnsi="宋体"/>
              </w:rPr>
              <w:t>100.77</w:t>
            </w:r>
          </w:p>
        </w:tc>
        <w:tc>
          <w:tcPr>
            <w:tcW w:w="543" w:type="pct"/>
            <w:vAlign w:val="center"/>
          </w:tcPr>
          <w:p w14:paraId="62B7C162">
            <w:pPr>
              <w:pStyle w:val="12"/>
              <w:jc w:val="center"/>
              <w:rPr>
                <w:rFonts w:ascii="宋体" w:hAnsi="宋体"/>
              </w:rPr>
            </w:pPr>
            <w:r>
              <w:rPr>
                <w:rFonts w:ascii="宋体" w:hAnsi="宋体"/>
              </w:rPr>
              <w:t>9.24</w:t>
            </w:r>
          </w:p>
        </w:tc>
        <w:tc>
          <w:tcPr>
            <w:tcW w:w="543" w:type="pct"/>
            <w:vAlign w:val="center"/>
          </w:tcPr>
          <w:p w14:paraId="48667BD5">
            <w:pPr>
              <w:pStyle w:val="12"/>
              <w:jc w:val="center"/>
              <w:rPr>
                <w:rFonts w:ascii="宋体" w:hAnsi="宋体"/>
              </w:rPr>
            </w:pPr>
            <w:r>
              <w:rPr>
                <w:rFonts w:ascii="宋体" w:hAnsi="宋体"/>
              </w:rPr>
              <w:t>11.93</w:t>
            </w:r>
          </w:p>
        </w:tc>
        <w:tc>
          <w:tcPr>
            <w:tcW w:w="544" w:type="pct"/>
            <w:vAlign w:val="center"/>
          </w:tcPr>
          <w:p w14:paraId="3530914E">
            <w:pPr>
              <w:pStyle w:val="12"/>
              <w:jc w:val="center"/>
              <w:rPr>
                <w:rFonts w:ascii="宋体" w:hAnsi="宋体"/>
              </w:rPr>
            </w:pPr>
            <w:r>
              <w:rPr>
                <w:rFonts w:ascii="宋体" w:hAnsi="宋体"/>
              </w:rPr>
              <w:t>3.56</w:t>
            </w:r>
          </w:p>
        </w:tc>
        <w:tc>
          <w:tcPr>
            <w:tcW w:w="544" w:type="pct"/>
            <w:vAlign w:val="center"/>
          </w:tcPr>
          <w:p w14:paraId="61BD0D9C">
            <w:pPr>
              <w:pStyle w:val="12"/>
              <w:jc w:val="center"/>
              <w:rPr>
                <w:rFonts w:ascii="宋体" w:hAnsi="宋体"/>
              </w:rPr>
            </w:pPr>
            <w:r>
              <w:rPr>
                <w:rFonts w:ascii="宋体" w:hAnsi="宋体"/>
              </w:rPr>
              <w:t>0.20</w:t>
            </w:r>
          </w:p>
        </w:tc>
        <w:tc>
          <w:tcPr>
            <w:tcW w:w="544" w:type="pct"/>
            <w:vAlign w:val="center"/>
          </w:tcPr>
          <w:p w14:paraId="1432E60A">
            <w:pPr>
              <w:pStyle w:val="12"/>
              <w:jc w:val="center"/>
              <w:rPr>
                <w:rFonts w:ascii="宋体" w:hAnsi="宋体"/>
              </w:rPr>
            </w:pPr>
            <w:r>
              <w:rPr>
                <w:rFonts w:ascii="宋体" w:hAnsi="宋体"/>
              </w:rPr>
              <w:t>76.3</w:t>
            </w:r>
          </w:p>
        </w:tc>
        <w:tc>
          <w:tcPr>
            <w:tcW w:w="544" w:type="pct"/>
            <w:vAlign w:val="center"/>
          </w:tcPr>
          <w:p w14:paraId="55DD78BF">
            <w:pPr>
              <w:pStyle w:val="12"/>
              <w:jc w:val="center"/>
              <w:rPr>
                <w:rFonts w:ascii="宋体" w:hAnsi="宋体"/>
              </w:rPr>
            </w:pPr>
            <w:r>
              <w:rPr>
                <w:rFonts w:ascii="宋体" w:hAnsi="宋体"/>
              </w:rPr>
              <w:t>14.18</w:t>
            </w:r>
          </w:p>
        </w:tc>
        <w:tc>
          <w:tcPr>
            <w:tcW w:w="544" w:type="pct"/>
            <w:vAlign w:val="center"/>
          </w:tcPr>
          <w:p w14:paraId="3159841A">
            <w:pPr>
              <w:pStyle w:val="12"/>
              <w:jc w:val="center"/>
              <w:rPr>
                <w:rFonts w:ascii="宋体" w:hAnsi="宋体"/>
              </w:rPr>
            </w:pPr>
            <w:r>
              <w:rPr>
                <w:rFonts w:ascii="宋体" w:hAnsi="宋体"/>
              </w:rPr>
              <w:t>174.26</w:t>
            </w:r>
          </w:p>
        </w:tc>
      </w:tr>
      <w:tr w14:paraId="2F735E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4" w:type="pct"/>
            <w:vAlign w:val="center"/>
          </w:tcPr>
          <w:p w14:paraId="32602F2C">
            <w:pPr>
              <w:pStyle w:val="12"/>
              <w:jc w:val="center"/>
              <w:rPr>
                <w:rFonts w:ascii="宋体" w:hAnsi="宋体"/>
              </w:rPr>
            </w:pPr>
            <w:r>
              <w:rPr>
                <w:rFonts w:ascii="宋体" w:hAnsi="宋体"/>
              </w:rPr>
              <w:t>1980</w:t>
            </w:r>
          </w:p>
        </w:tc>
        <w:tc>
          <w:tcPr>
            <w:tcW w:w="542" w:type="pct"/>
            <w:vAlign w:val="center"/>
          </w:tcPr>
          <w:p w14:paraId="51308010">
            <w:pPr>
              <w:pStyle w:val="12"/>
              <w:jc w:val="center"/>
              <w:rPr>
                <w:rFonts w:ascii="宋体" w:hAnsi="宋体"/>
              </w:rPr>
            </w:pPr>
            <w:r>
              <w:rPr>
                <w:rFonts w:ascii="宋体" w:hAnsi="宋体"/>
              </w:rPr>
              <w:t>100.57</w:t>
            </w:r>
          </w:p>
        </w:tc>
        <w:tc>
          <w:tcPr>
            <w:tcW w:w="543" w:type="pct"/>
            <w:vAlign w:val="center"/>
          </w:tcPr>
          <w:p w14:paraId="5B8DFB95">
            <w:pPr>
              <w:pStyle w:val="12"/>
              <w:jc w:val="center"/>
              <w:rPr>
                <w:rFonts w:ascii="宋体" w:hAnsi="宋体"/>
              </w:rPr>
            </w:pPr>
            <w:r>
              <w:rPr>
                <w:rFonts w:ascii="宋体" w:hAnsi="宋体"/>
              </w:rPr>
              <w:t>9.23</w:t>
            </w:r>
          </w:p>
        </w:tc>
        <w:tc>
          <w:tcPr>
            <w:tcW w:w="543" w:type="pct"/>
            <w:vAlign w:val="center"/>
          </w:tcPr>
          <w:p w14:paraId="1E634F3D">
            <w:pPr>
              <w:pStyle w:val="12"/>
              <w:jc w:val="center"/>
              <w:rPr>
                <w:rFonts w:ascii="宋体" w:hAnsi="宋体"/>
              </w:rPr>
            </w:pPr>
            <w:r>
              <w:rPr>
                <w:rFonts w:ascii="宋体" w:hAnsi="宋体"/>
              </w:rPr>
              <w:t>12.13</w:t>
            </w:r>
          </w:p>
        </w:tc>
        <w:tc>
          <w:tcPr>
            <w:tcW w:w="544" w:type="pct"/>
            <w:vAlign w:val="center"/>
          </w:tcPr>
          <w:p w14:paraId="62C97FE0">
            <w:pPr>
              <w:pStyle w:val="12"/>
              <w:jc w:val="center"/>
              <w:rPr>
                <w:rFonts w:ascii="宋体" w:hAnsi="宋体"/>
              </w:rPr>
            </w:pPr>
            <w:r>
              <w:rPr>
                <w:rFonts w:ascii="宋体" w:hAnsi="宋体"/>
              </w:rPr>
              <w:t>0.20</w:t>
            </w:r>
          </w:p>
        </w:tc>
        <w:tc>
          <w:tcPr>
            <w:tcW w:w="544" w:type="pct"/>
            <w:vAlign w:val="center"/>
          </w:tcPr>
          <w:p w14:paraId="7D5453D1">
            <w:pPr>
              <w:pStyle w:val="12"/>
              <w:jc w:val="center"/>
              <w:rPr>
                <w:rFonts w:ascii="宋体" w:hAnsi="宋体"/>
              </w:rPr>
            </w:pPr>
            <w:r>
              <w:rPr>
                <w:rFonts w:ascii="宋体" w:hAnsi="宋体"/>
              </w:rPr>
              <w:t>0.10</w:t>
            </w:r>
          </w:p>
        </w:tc>
        <w:tc>
          <w:tcPr>
            <w:tcW w:w="544" w:type="pct"/>
            <w:vAlign w:val="center"/>
          </w:tcPr>
          <w:p w14:paraId="401CFFFC">
            <w:pPr>
              <w:pStyle w:val="12"/>
              <w:jc w:val="center"/>
              <w:rPr>
                <w:rFonts w:ascii="宋体" w:hAnsi="宋体"/>
              </w:rPr>
            </w:pPr>
            <w:r>
              <w:rPr>
                <w:rFonts w:ascii="宋体" w:hAnsi="宋体"/>
              </w:rPr>
              <w:t>—</w:t>
            </w:r>
          </w:p>
        </w:tc>
        <w:tc>
          <w:tcPr>
            <w:tcW w:w="544" w:type="pct"/>
            <w:vAlign w:val="center"/>
          </w:tcPr>
          <w:p w14:paraId="3CB7D297">
            <w:pPr>
              <w:pStyle w:val="12"/>
              <w:jc w:val="center"/>
              <w:rPr>
                <w:rFonts w:ascii="宋体" w:hAnsi="宋体"/>
              </w:rPr>
            </w:pPr>
            <w:r>
              <w:rPr>
                <w:rFonts w:ascii="宋体" w:hAnsi="宋体"/>
              </w:rPr>
              <w:t>—</w:t>
            </w:r>
          </w:p>
        </w:tc>
        <w:tc>
          <w:tcPr>
            <w:tcW w:w="544" w:type="pct"/>
            <w:vAlign w:val="center"/>
          </w:tcPr>
          <w:p w14:paraId="6B831FCB">
            <w:pPr>
              <w:pStyle w:val="12"/>
              <w:jc w:val="center"/>
              <w:rPr>
                <w:rFonts w:ascii="宋体" w:hAnsi="宋体"/>
              </w:rPr>
            </w:pPr>
            <w:r>
              <w:rPr>
                <w:rFonts w:ascii="宋体" w:hAnsi="宋体"/>
              </w:rPr>
              <w:t>2</w:t>
            </w:r>
          </w:p>
        </w:tc>
      </w:tr>
      <w:tr w14:paraId="176AB9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4" w:type="pct"/>
            <w:vAlign w:val="center"/>
          </w:tcPr>
          <w:p w14:paraId="48EDB2CA">
            <w:pPr>
              <w:pStyle w:val="12"/>
              <w:jc w:val="center"/>
              <w:rPr>
                <w:rFonts w:ascii="宋体" w:hAnsi="宋体"/>
              </w:rPr>
            </w:pPr>
            <w:r>
              <w:rPr>
                <w:rFonts w:ascii="宋体" w:hAnsi="宋体"/>
              </w:rPr>
              <w:t>1981</w:t>
            </w:r>
          </w:p>
        </w:tc>
        <w:tc>
          <w:tcPr>
            <w:tcW w:w="542" w:type="pct"/>
            <w:vAlign w:val="center"/>
          </w:tcPr>
          <w:p w14:paraId="39F84260">
            <w:pPr>
              <w:pStyle w:val="12"/>
              <w:jc w:val="center"/>
              <w:rPr>
                <w:rFonts w:ascii="宋体" w:hAnsi="宋体"/>
              </w:rPr>
            </w:pPr>
            <w:r>
              <w:rPr>
                <w:rFonts w:ascii="宋体" w:hAnsi="宋体"/>
              </w:rPr>
              <w:t>99.67</w:t>
            </w:r>
          </w:p>
        </w:tc>
        <w:tc>
          <w:tcPr>
            <w:tcW w:w="543" w:type="pct"/>
            <w:vAlign w:val="center"/>
          </w:tcPr>
          <w:p w14:paraId="4609AF3B">
            <w:pPr>
              <w:pStyle w:val="12"/>
              <w:jc w:val="center"/>
              <w:rPr>
                <w:rFonts w:ascii="宋体" w:hAnsi="宋体"/>
              </w:rPr>
            </w:pPr>
            <w:r>
              <w:rPr>
                <w:rFonts w:ascii="宋体" w:hAnsi="宋体"/>
              </w:rPr>
              <w:t>9.22</w:t>
            </w:r>
          </w:p>
        </w:tc>
        <w:tc>
          <w:tcPr>
            <w:tcW w:w="543" w:type="pct"/>
            <w:vAlign w:val="center"/>
          </w:tcPr>
          <w:p w14:paraId="1C6B4D26">
            <w:pPr>
              <w:pStyle w:val="12"/>
              <w:jc w:val="center"/>
              <w:rPr>
                <w:rFonts w:ascii="宋体" w:hAnsi="宋体"/>
              </w:rPr>
            </w:pPr>
            <w:r>
              <w:rPr>
                <w:rFonts w:ascii="宋体" w:hAnsi="宋体"/>
              </w:rPr>
              <w:t>13.03</w:t>
            </w:r>
          </w:p>
        </w:tc>
        <w:tc>
          <w:tcPr>
            <w:tcW w:w="544" w:type="pct"/>
            <w:vAlign w:val="center"/>
          </w:tcPr>
          <w:p w14:paraId="185AA334">
            <w:pPr>
              <w:pStyle w:val="12"/>
              <w:jc w:val="center"/>
              <w:rPr>
                <w:rFonts w:ascii="宋体" w:hAnsi="宋体"/>
              </w:rPr>
            </w:pPr>
            <w:r>
              <w:rPr>
                <w:rFonts w:ascii="宋体" w:hAnsi="宋体"/>
              </w:rPr>
              <w:t>0.90</w:t>
            </w:r>
          </w:p>
        </w:tc>
        <w:tc>
          <w:tcPr>
            <w:tcW w:w="544" w:type="pct"/>
            <w:vAlign w:val="center"/>
          </w:tcPr>
          <w:p w14:paraId="4FA1405F">
            <w:pPr>
              <w:pStyle w:val="12"/>
              <w:jc w:val="center"/>
              <w:rPr>
                <w:rFonts w:ascii="宋体" w:hAnsi="宋体"/>
              </w:rPr>
            </w:pPr>
            <w:r>
              <w:rPr>
                <w:rFonts w:ascii="宋体" w:hAnsi="宋体"/>
              </w:rPr>
              <w:t>0.20</w:t>
            </w:r>
          </w:p>
        </w:tc>
        <w:tc>
          <w:tcPr>
            <w:tcW w:w="544" w:type="pct"/>
            <w:vAlign w:val="center"/>
          </w:tcPr>
          <w:p w14:paraId="3A5FB13B">
            <w:pPr>
              <w:pStyle w:val="12"/>
              <w:jc w:val="center"/>
              <w:rPr>
                <w:rFonts w:ascii="宋体" w:hAnsi="宋体"/>
              </w:rPr>
            </w:pPr>
            <w:r>
              <w:rPr>
                <w:rFonts w:ascii="宋体" w:hAnsi="宋体"/>
              </w:rPr>
              <w:t>5.03</w:t>
            </w:r>
          </w:p>
        </w:tc>
        <w:tc>
          <w:tcPr>
            <w:tcW w:w="544" w:type="pct"/>
            <w:vAlign w:val="center"/>
          </w:tcPr>
          <w:p w14:paraId="297413FA">
            <w:pPr>
              <w:pStyle w:val="12"/>
              <w:jc w:val="center"/>
              <w:rPr>
                <w:rFonts w:ascii="宋体" w:hAnsi="宋体"/>
              </w:rPr>
            </w:pPr>
            <w:r>
              <w:rPr>
                <w:rFonts w:ascii="宋体" w:hAnsi="宋体"/>
              </w:rPr>
              <w:t>0.63</w:t>
            </w:r>
          </w:p>
        </w:tc>
        <w:tc>
          <w:tcPr>
            <w:tcW w:w="544" w:type="pct"/>
            <w:vAlign w:val="center"/>
          </w:tcPr>
          <w:p w14:paraId="4BD336E4">
            <w:pPr>
              <w:pStyle w:val="12"/>
              <w:jc w:val="center"/>
              <w:rPr>
                <w:rFonts w:ascii="宋体" w:hAnsi="宋体"/>
              </w:rPr>
            </w:pPr>
            <w:r>
              <w:rPr>
                <w:rFonts w:ascii="宋体" w:hAnsi="宋体"/>
              </w:rPr>
              <w:t>7.75</w:t>
            </w:r>
          </w:p>
        </w:tc>
      </w:tr>
      <w:tr w14:paraId="3608C45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4" w:type="pct"/>
            <w:vAlign w:val="center"/>
          </w:tcPr>
          <w:p w14:paraId="2D176911">
            <w:pPr>
              <w:pStyle w:val="12"/>
              <w:jc w:val="center"/>
              <w:rPr>
                <w:rFonts w:ascii="宋体" w:hAnsi="宋体"/>
              </w:rPr>
            </w:pPr>
            <w:r>
              <w:rPr>
                <w:rFonts w:ascii="宋体" w:hAnsi="宋体"/>
              </w:rPr>
              <w:t>1982</w:t>
            </w:r>
          </w:p>
        </w:tc>
        <w:tc>
          <w:tcPr>
            <w:tcW w:w="542" w:type="pct"/>
            <w:vAlign w:val="center"/>
          </w:tcPr>
          <w:p w14:paraId="0BCC1843">
            <w:pPr>
              <w:pStyle w:val="12"/>
              <w:jc w:val="center"/>
              <w:rPr>
                <w:rFonts w:ascii="宋体" w:hAnsi="宋体"/>
              </w:rPr>
            </w:pPr>
            <w:r>
              <w:rPr>
                <w:rFonts w:ascii="宋体" w:hAnsi="宋体"/>
              </w:rPr>
              <w:t>99.36</w:t>
            </w:r>
          </w:p>
        </w:tc>
        <w:tc>
          <w:tcPr>
            <w:tcW w:w="543" w:type="pct"/>
            <w:vAlign w:val="center"/>
          </w:tcPr>
          <w:p w14:paraId="1123E981">
            <w:pPr>
              <w:pStyle w:val="12"/>
              <w:jc w:val="center"/>
              <w:rPr>
                <w:rFonts w:ascii="宋体" w:hAnsi="宋体"/>
              </w:rPr>
            </w:pPr>
            <w:r>
              <w:rPr>
                <w:rFonts w:ascii="宋体" w:hAnsi="宋体"/>
              </w:rPr>
              <w:t>9.21</w:t>
            </w:r>
          </w:p>
        </w:tc>
        <w:tc>
          <w:tcPr>
            <w:tcW w:w="543" w:type="pct"/>
            <w:vAlign w:val="center"/>
          </w:tcPr>
          <w:p w14:paraId="691F6135">
            <w:pPr>
              <w:pStyle w:val="12"/>
              <w:jc w:val="center"/>
              <w:rPr>
                <w:rFonts w:ascii="宋体" w:hAnsi="宋体"/>
              </w:rPr>
            </w:pPr>
            <w:r>
              <w:rPr>
                <w:rFonts w:ascii="宋体" w:hAnsi="宋体"/>
              </w:rPr>
              <w:t>13.34</w:t>
            </w:r>
          </w:p>
        </w:tc>
        <w:tc>
          <w:tcPr>
            <w:tcW w:w="544" w:type="pct"/>
            <w:vAlign w:val="center"/>
          </w:tcPr>
          <w:p w14:paraId="64CB6DCA">
            <w:pPr>
              <w:pStyle w:val="12"/>
              <w:jc w:val="center"/>
              <w:rPr>
                <w:rFonts w:ascii="宋体" w:hAnsi="宋体"/>
              </w:rPr>
            </w:pPr>
            <w:r>
              <w:rPr>
                <w:rFonts w:ascii="宋体" w:hAnsi="宋体"/>
              </w:rPr>
              <w:t>0.31</w:t>
            </w:r>
          </w:p>
        </w:tc>
        <w:tc>
          <w:tcPr>
            <w:tcW w:w="544" w:type="pct"/>
            <w:vAlign w:val="center"/>
          </w:tcPr>
          <w:p w14:paraId="69B9481F">
            <w:pPr>
              <w:pStyle w:val="12"/>
              <w:jc w:val="center"/>
              <w:rPr>
                <w:rFonts w:ascii="宋体" w:hAnsi="宋体"/>
              </w:rPr>
            </w:pPr>
            <w:r>
              <w:rPr>
                <w:rFonts w:ascii="宋体" w:hAnsi="宋体"/>
              </w:rPr>
              <w:t>0.76</w:t>
            </w:r>
          </w:p>
        </w:tc>
        <w:tc>
          <w:tcPr>
            <w:tcW w:w="544" w:type="pct"/>
            <w:vAlign w:val="center"/>
          </w:tcPr>
          <w:p w14:paraId="45DF6FCC">
            <w:pPr>
              <w:pStyle w:val="12"/>
              <w:jc w:val="center"/>
              <w:rPr>
                <w:rFonts w:ascii="宋体" w:hAnsi="宋体"/>
              </w:rPr>
            </w:pPr>
            <w:r>
              <w:rPr>
                <w:rFonts w:ascii="宋体" w:hAnsi="宋体"/>
              </w:rPr>
              <w:t>2.5</w:t>
            </w:r>
          </w:p>
        </w:tc>
        <w:tc>
          <w:tcPr>
            <w:tcW w:w="544" w:type="pct"/>
            <w:vAlign w:val="center"/>
          </w:tcPr>
          <w:p w14:paraId="02078038">
            <w:pPr>
              <w:pStyle w:val="12"/>
              <w:jc w:val="center"/>
              <w:rPr>
                <w:rFonts w:ascii="宋体" w:hAnsi="宋体"/>
              </w:rPr>
            </w:pPr>
            <w:r>
              <w:rPr>
                <w:rFonts w:ascii="宋体" w:hAnsi="宋体"/>
              </w:rPr>
              <w:t>0.5</w:t>
            </w:r>
          </w:p>
        </w:tc>
        <w:tc>
          <w:tcPr>
            <w:tcW w:w="544" w:type="pct"/>
            <w:vAlign w:val="center"/>
          </w:tcPr>
          <w:p w14:paraId="265389C8">
            <w:pPr>
              <w:pStyle w:val="12"/>
              <w:jc w:val="center"/>
              <w:rPr>
                <w:rFonts w:ascii="宋体" w:hAnsi="宋体"/>
              </w:rPr>
            </w:pPr>
            <w:r>
              <w:rPr>
                <w:rFonts w:ascii="宋体" w:hAnsi="宋体"/>
              </w:rPr>
              <w:t>2</w:t>
            </w:r>
          </w:p>
        </w:tc>
      </w:tr>
      <w:tr w14:paraId="262747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4" w:type="pct"/>
            <w:vAlign w:val="center"/>
          </w:tcPr>
          <w:p w14:paraId="7DE11F3D">
            <w:pPr>
              <w:pStyle w:val="12"/>
              <w:jc w:val="center"/>
              <w:rPr>
                <w:rFonts w:ascii="宋体" w:hAnsi="宋体"/>
              </w:rPr>
            </w:pPr>
            <w:r>
              <w:rPr>
                <w:rFonts w:ascii="宋体" w:hAnsi="宋体"/>
              </w:rPr>
              <w:t>1983</w:t>
            </w:r>
          </w:p>
        </w:tc>
        <w:tc>
          <w:tcPr>
            <w:tcW w:w="542" w:type="pct"/>
            <w:vAlign w:val="center"/>
          </w:tcPr>
          <w:p w14:paraId="76D527DA">
            <w:pPr>
              <w:pStyle w:val="12"/>
              <w:jc w:val="center"/>
              <w:rPr>
                <w:rFonts w:ascii="宋体" w:hAnsi="宋体"/>
              </w:rPr>
            </w:pPr>
            <w:r>
              <w:rPr>
                <w:rFonts w:ascii="宋体" w:hAnsi="宋体"/>
              </w:rPr>
              <w:t>98.56</w:t>
            </w:r>
          </w:p>
        </w:tc>
        <w:tc>
          <w:tcPr>
            <w:tcW w:w="543" w:type="pct"/>
            <w:vAlign w:val="center"/>
          </w:tcPr>
          <w:p w14:paraId="45B3CDA6">
            <w:pPr>
              <w:pStyle w:val="12"/>
              <w:jc w:val="center"/>
              <w:rPr>
                <w:rFonts w:ascii="宋体" w:hAnsi="宋体"/>
              </w:rPr>
            </w:pPr>
            <w:r>
              <w:rPr>
                <w:rFonts w:ascii="宋体" w:hAnsi="宋体"/>
              </w:rPr>
              <w:t>9.20</w:t>
            </w:r>
          </w:p>
        </w:tc>
        <w:tc>
          <w:tcPr>
            <w:tcW w:w="543" w:type="pct"/>
            <w:vAlign w:val="center"/>
          </w:tcPr>
          <w:p w14:paraId="3E00776C">
            <w:pPr>
              <w:pStyle w:val="12"/>
              <w:jc w:val="center"/>
              <w:rPr>
                <w:rFonts w:ascii="宋体" w:hAnsi="宋体"/>
              </w:rPr>
            </w:pPr>
            <w:r>
              <w:rPr>
                <w:rFonts w:ascii="宋体" w:hAnsi="宋体"/>
              </w:rPr>
              <w:t>14.14</w:t>
            </w:r>
          </w:p>
        </w:tc>
        <w:tc>
          <w:tcPr>
            <w:tcW w:w="544" w:type="pct"/>
            <w:vAlign w:val="center"/>
          </w:tcPr>
          <w:p w14:paraId="699030EC">
            <w:pPr>
              <w:pStyle w:val="12"/>
              <w:jc w:val="center"/>
              <w:rPr>
                <w:rFonts w:ascii="宋体" w:hAnsi="宋体"/>
              </w:rPr>
            </w:pPr>
            <w:r>
              <w:rPr>
                <w:rFonts w:ascii="宋体" w:hAnsi="宋体"/>
              </w:rPr>
              <w:t>0.80</w:t>
            </w:r>
          </w:p>
        </w:tc>
        <w:tc>
          <w:tcPr>
            <w:tcW w:w="544" w:type="pct"/>
            <w:vAlign w:val="center"/>
          </w:tcPr>
          <w:p w14:paraId="44A730FF">
            <w:pPr>
              <w:pStyle w:val="12"/>
              <w:jc w:val="center"/>
              <w:rPr>
                <w:rFonts w:ascii="宋体" w:hAnsi="宋体"/>
              </w:rPr>
            </w:pPr>
            <w:r>
              <w:rPr>
                <w:rFonts w:ascii="宋体" w:hAnsi="宋体"/>
              </w:rPr>
              <w:t>0.50</w:t>
            </w:r>
          </w:p>
        </w:tc>
        <w:tc>
          <w:tcPr>
            <w:tcW w:w="544" w:type="pct"/>
            <w:vAlign w:val="center"/>
          </w:tcPr>
          <w:p w14:paraId="35549629">
            <w:pPr>
              <w:pStyle w:val="12"/>
              <w:jc w:val="center"/>
              <w:rPr>
                <w:rFonts w:ascii="宋体" w:hAnsi="宋体"/>
              </w:rPr>
            </w:pPr>
            <w:r>
              <w:rPr>
                <w:rFonts w:ascii="宋体" w:hAnsi="宋体"/>
              </w:rPr>
              <w:t>2.6</w:t>
            </w:r>
          </w:p>
        </w:tc>
        <w:tc>
          <w:tcPr>
            <w:tcW w:w="544" w:type="pct"/>
            <w:vAlign w:val="center"/>
          </w:tcPr>
          <w:p w14:paraId="2EF11E7E">
            <w:pPr>
              <w:pStyle w:val="12"/>
              <w:jc w:val="center"/>
              <w:rPr>
                <w:rFonts w:ascii="宋体" w:hAnsi="宋体"/>
              </w:rPr>
            </w:pPr>
            <w:r>
              <w:rPr>
                <w:rFonts w:ascii="宋体" w:hAnsi="宋体"/>
              </w:rPr>
              <w:t>0.47</w:t>
            </w:r>
          </w:p>
        </w:tc>
        <w:tc>
          <w:tcPr>
            <w:tcW w:w="544" w:type="pct"/>
            <w:vAlign w:val="center"/>
          </w:tcPr>
          <w:p w14:paraId="73B0E123">
            <w:pPr>
              <w:pStyle w:val="12"/>
              <w:jc w:val="center"/>
              <w:rPr>
                <w:rFonts w:ascii="宋体" w:hAnsi="宋体"/>
              </w:rPr>
            </w:pPr>
            <w:r>
              <w:rPr>
                <w:rFonts w:ascii="宋体" w:hAnsi="宋体"/>
              </w:rPr>
              <w:t>4.8</w:t>
            </w:r>
          </w:p>
        </w:tc>
      </w:tr>
      <w:tr w14:paraId="1E3E3A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4" w:type="pct"/>
            <w:vAlign w:val="center"/>
          </w:tcPr>
          <w:p w14:paraId="5FB021B4">
            <w:pPr>
              <w:pStyle w:val="12"/>
              <w:jc w:val="center"/>
              <w:rPr>
                <w:rFonts w:ascii="宋体" w:hAnsi="宋体"/>
              </w:rPr>
            </w:pPr>
            <w:r>
              <w:rPr>
                <w:rFonts w:ascii="宋体" w:hAnsi="宋体"/>
              </w:rPr>
              <w:t>1984</w:t>
            </w:r>
          </w:p>
        </w:tc>
        <w:tc>
          <w:tcPr>
            <w:tcW w:w="542" w:type="pct"/>
            <w:vAlign w:val="center"/>
          </w:tcPr>
          <w:p w14:paraId="3A4050A3">
            <w:pPr>
              <w:pStyle w:val="12"/>
              <w:jc w:val="center"/>
              <w:rPr>
                <w:rFonts w:ascii="宋体" w:hAnsi="宋体"/>
              </w:rPr>
            </w:pPr>
            <w:r>
              <w:rPr>
                <w:rFonts w:ascii="宋体" w:hAnsi="宋体"/>
              </w:rPr>
              <w:t>96.76</w:t>
            </w:r>
          </w:p>
        </w:tc>
        <w:tc>
          <w:tcPr>
            <w:tcW w:w="543" w:type="pct"/>
            <w:vAlign w:val="center"/>
          </w:tcPr>
          <w:p w14:paraId="6FA5224A">
            <w:pPr>
              <w:pStyle w:val="12"/>
              <w:jc w:val="center"/>
              <w:rPr>
                <w:rFonts w:ascii="宋体" w:hAnsi="宋体"/>
              </w:rPr>
            </w:pPr>
            <w:r>
              <w:rPr>
                <w:rFonts w:ascii="宋体" w:hAnsi="宋体"/>
              </w:rPr>
              <w:t>9.15</w:t>
            </w:r>
          </w:p>
        </w:tc>
        <w:tc>
          <w:tcPr>
            <w:tcW w:w="543" w:type="pct"/>
            <w:vAlign w:val="center"/>
          </w:tcPr>
          <w:p w14:paraId="7056BED7">
            <w:pPr>
              <w:pStyle w:val="12"/>
              <w:jc w:val="center"/>
              <w:rPr>
                <w:rFonts w:ascii="宋体" w:hAnsi="宋体"/>
              </w:rPr>
            </w:pPr>
            <w:r>
              <w:rPr>
                <w:rFonts w:ascii="宋体" w:hAnsi="宋体"/>
              </w:rPr>
              <w:t>15.94</w:t>
            </w:r>
          </w:p>
        </w:tc>
        <w:tc>
          <w:tcPr>
            <w:tcW w:w="544" w:type="pct"/>
            <w:vAlign w:val="center"/>
          </w:tcPr>
          <w:p w14:paraId="60888B3B">
            <w:pPr>
              <w:pStyle w:val="12"/>
              <w:jc w:val="center"/>
              <w:rPr>
                <w:rFonts w:ascii="宋体" w:hAnsi="宋体"/>
              </w:rPr>
            </w:pPr>
            <w:r>
              <w:rPr>
                <w:rFonts w:ascii="宋体" w:hAnsi="宋体"/>
              </w:rPr>
              <w:t>1.80</w:t>
            </w:r>
          </w:p>
        </w:tc>
        <w:tc>
          <w:tcPr>
            <w:tcW w:w="544" w:type="pct"/>
            <w:vAlign w:val="center"/>
          </w:tcPr>
          <w:p w14:paraId="02691301">
            <w:pPr>
              <w:pStyle w:val="12"/>
              <w:jc w:val="center"/>
              <w:rPr>
                <w:rFonts w:ascii="宋体" w:hAnsi="宋体"/>
              </w:rPr>
            </w:pPr>
            <w:r>
              <w:rPr>
                <w:rFonts w:ascii="宋体" w:hAnsi="宋体"/>
              </w:rPr>
              <w:t>0.50</w:t>
            </w:r>
          </w:p>
        </w:tc>
        <w:tc>
          <w:tcPr>
            <w:tcW w:w="544" w:type="pct"/>
            <w:vAlign w:val="center"/>
          </w:tcPr>
          <w:p w14:paraId="7C4D34C8">
            <w:pPr>
              <w:pStyle w:val="12"/>
              <w:jc w:val="center"/>
              <w:rPr>
                <w:rFonts w:ascii="宋体" w:hAnsi="宋体"/>
              </w:rPr>
            </w:pPr>
            <w:r>
              <w:rPr>
                <w:rFonts w:ascii="宋体" w:hAnsi="宋体"/>
              </w:rPr>
              <w:t>0.19</w:t>
            </w:r>
          </w:p>
        </w:tc>
        <w:tc>
          <w:tcPr>
            <w:tcW w:w="544" w:type="pct"/>
            <w:vAlign w:val="center"/>
          </w:tcPr>
          <w:p w14:paraId="709AFCBF">
            <w:pPr>
              <w:pStyle w:val="12"/>
              <w:jc w:val="center"/>
              <w:rPr>
                <w:rFonts w:ascii="宋体" w:hAnsi="宋体"/>
              </w:rPr>
            </w:pPr>
            <w:r>
              <w:rPr>
                <w:rFonts w:ascii="宋体" w:hAnsi="宋体"/>
              </w:rPr>
              <w:t>1.73</w:t>
            </w:r>
          </w:p>
        </w:tc>
        <w:tc>
          <w:tcPr>
            <w:tcW w:w="544" w:type="pct"/>
            <w:vAlign w:val="center"/>
          </w:tcPr>
          <w:p w14:paraId="68949A56">
            <w:pPr>
              <w:pStyle w:val="12"/>
              <w:jc w:val="center"/>
              <w:rPr>
                <w:rFonts w:ascii="宋体" w:hAnsi="宋体"/>
              </w:rPr>
            </w:pPr>
            <w:r>
              <w:rPr>
                <w:rFonts w:ascii="宋体" w:hAnsi="宋体"/>
              </w:rPr>
              <w:t>1.76</w:t>
            </w:r>
          </w:p>
        </w:tc>
      </w:tr>
      <w:tr w14:paraId="291625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4" w:type="pct"/>
            <w:vAlign w:val="center"/>
          </w:tcPr>
          <w:p w14:paraId="5277A294">
            <w:pPr>
              <w:pStyle w:val="12"/>
              <w:jc w:val="center"/>
              <w:rPr>
                <w:rFonts w:ascii="宋体" w:hAnsi="宋体"/>
              </w:rPr>
            </w:pPr>
            <w:r>
              <w:rPr>
                <w:rFonts w:ascii="宋体" w:hAnsi="宋体"/>
              </w:rPr>
              <w:t>1985</w:t>
            </w:r>
          </w:p>
        </w:tc>
        <w:tc>
          <w:tcPr>
            <w:tcW w:w="542" w:type="pct"/>
            <w:vAlign w:val="center"/>
          </w:tcPr>
          <w:p w14:paraId="5A31D5CF">
            <w:pPr>
              <w:pStyle w:val="12"/>
              <w:jc w:val="center"/>
              <w:rPr>
                <w:rFonts w:ascii="宋体" w:hAnsi="宋体"/>
              </w:rPr>
            </w:pPr>
            <w:r>
              <w:rPr>
                <w:rFonts w:ascii="宋体" w:hAnsi="宋体"/>
              </w:rPr>
              <w:t>91.57</w:t>
            </w:r>
          </w:p>
        </w:tc>
        <w:tc>
          <w:tcPr>
            <w:tcW w:w="543" w:type="pct"/>
            <w:vAlign w:val="center"/>
          </w:tcPr>
          <w:p w14:paraId="45DCD03D">
            <w:pPr>
              <w:pStyle w:val="12"/>
              <w:jc w:val="center"/>
              <w:rPr>
                <w:rFonts w:ascii="宋体" w:hAnsi="宋体"/>
              </w:rPr>
            </w:pPr>
            <w:r>
              <w:rPr>
                <w:rFonts w:ascii="宋体" w:hAnsi="宋体"/>
              </w:rPr>
              <w:t>9.00</w:t>
            </w:r>
          </w:p>
        </w:tc>
        <w:tc>
          <w:tcPr>
            <w:tcW w:w="543" w:type="pct"/>
            <w:vAlign w:val="center"/>
          </w:tcPr>
          <w:p w14:paraId="02BFEB4F">
            <w:pPr>
              <w:pStyle w:val="12"/>
              <w:jc w:val="center"/>
              <w:rPr>
                <w:rFonts w:ascii="宋体" w:hAnsi="宋体"/>
              </w:rPr>
            </w:pPr>
            <w:r>
              <w:rPr>
                <w:rFonts w:ascii="宋体" w:hAnsi="宋体"/>
              </w:rPr>
              <w:t>21.13</w:t>
            </w:r>
          </w:p>
        </w:tc>
        <w:tc>
          <w:tcPr>
            <w:tcW w:w="544" w:type="pct"/>
            <w:vAlign w:val="center"/>
          </w:tcPr>
          <w:p w14:paraId="5FF862E1">
            <w:pPr>
              <w:pStyle w:val="12"/>
              <w:jc w:val="center"/>
              <w:rPr>
                <w:rFonts w:ascii="宋体" w:hAnsi="宋体"/>
              </w:rPr>
            </w:pPr>
            <w:r>
              <w:rPr>
                <w:rFonts w:ascii="宋体" w:hAnsi="宋体"/>
              </w:rPr>
              <w:t>5.19</w:t>
            </w:r>
          </w:p>
        </w:tc>
        <w:tc>
          <w:tcPr>
            <w:tcW w:w="544" w:type="pct"/>
            <w:vAlign w:val="center"/>
          </w:tcPr>
          <w:p w14:paraId="488EFE8D">
            <w:pPr>
              <w:pStyle w:val="12"/>
              <w:jc w:val="center"/>
              <w:rPr>
                <w:rFonts w:ascii="宋体" w:hAnsi="宋体"/>
              </w:rPr>
            </w:pPr>
            <w:r>
              <w:rPr>
                <w:rFonts w:ascii="宋体" w:hAnsi="宋体"/>
              </w:rPr>
              <w:t>0.70</w:t>
            </w:r>
          </w:p>
        </w:tc>
        <w:tc>
          <w:tcPr>
            <w:tcW w:w="544" w:type="pct"/>
            <w:vAlign w:val="center"/>
          </w:tcPr>
          <w:p w14:paraId="187B4BBF">
            <w:pPr>
              <w:pStyle w:val="12"/>
              <w:jc w:val="center"/>
              <w:rPr>
                <w:rFonts w:ascii="宋体" w:hAnsi="宋体"/>
              </w:rPr>
            </w:pPr>
            <w:r>
              <w:rPr>
                <w:rFonts w:ascii="宋体" w:hAnsi="宋体"/>
              </w:rPr>
              <w:t>0.6</w:t>
            </w:r>
          </w:p>
        </w:tc>
        <w:tc>
          <w:tcPr>
            <w:tcW w:w="544" w:type="pct"/>
            <w:vAlign w:val="center"/>
          </w:tcPr>
          <w:p w14:paraId="5C00CDCB">
            <w:pPr>
              <w:pStyle w:val="12"/>
              <w:jc w:val="center"/>
              <w:rPr>
                <w:rFonts w:ascii="宋体" w:hAnsi="宋体"/>
              </w:rPr>
            </w:pPr>
            <w:r>
              <w:rPr>
                <w:rFonts w:ascii="宋体" w:hAnsi="宋体"/>
              </w:rPr>
              <w:t>5.4</w:t>
            </w:r>
          </w:p>
        </w:tc>
        <w:tc>
          <w:tcPr>
            <w:tcW w:w="544" w:type="pct"/>
            <w:vAlign w:val="center"/>
          </w:tcPr>
          <w:p w14:paraId="0FDF070B">
            <w:pPr>
              <w:pStyle w:val="12"/>
              <w:jc w:val="center"/>
              <w:rPr>
                <w:rFonts w:ascii="宋体" w:hAnsi="宋体"/>
              </w:rPr>
            </w:pPr>
            <w:r>
              <w:rPr>
                <w:rFonts w:ascii="宋体" w:hAnsi="宋体"/>
              </w:rPr>
              <w:t>5.63</w:t>
            </w:r>
          </w:p>
        </w:tc>
      </w:tr>
      <w:tr w14:paraId="24C2AB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4" w:type="pct"/>
            <w:vAlign w:val="center"/>
          </w:tcPr>
          <w:p w14:paraId="53EB9E88">
            <w:pPr>
              <w:pStyle w:val="12"/>
              <w:jc w:val="center"/>
              <w:rPr>
                <w:rFonts w:ascii="宋体" w:hAnsi="宋体"/>
              </w:rPr>
            </w:pPr>
            <w:r>
              <w:rPr>
                <w:rFonts w:ascii="宋体" w:hAnsi="宋体"/>
              </w:rPr>
              <w:t>1986</w:t>
            </w:r>
          </w:p>
        </w:tc>
        <w:tc>
          <w:tcPr>
            <w:tcW w:w="542" w:type="pct"/>
            <w:vAlign w:val="center"/>
          </w:tcPr>
          <w:p w14:paraId="3D5432A7">
            <w:pPr>
              <w:pStyle w:val="12"/>
              <w:jc w:val="center"/>
              <w:rPr>
                <w:rFonts w:ascii="宋体" w:hAnsi="宋体"/>
              </w:rPr>
            </w:pPr>
            <w:r>
              <w:rPr>
                <w:rFonts w:ascii="宋体" w:hAnsi="宋体"/>
              </w:rPr>
              <w:t>82.36</w:t>
            </w:r>
          </w:p>
        </w:tc>
        <w:tc>
          <w:tcPr>
            <w:tcW w:w="543" w:type="pct"/>
            <w:vAlign w:val="center"/>
          </w:tcPr>
          <w:p w14:paraId="592F96DB">
            <w:pPr>
              <w:pStyle w:val="12"/>
              <w:jc w:val="center"/>
              <w:rPr>
                <w:rFonts w:ascii="宋体" w:hAnsi="宋体"/>
              </w:rPr>
            </w:pPr>
            <w:r>
              <w:rPr>
                <w:rFonts w:ascii="宋体" w:hAnsi="宋体"/>
              </w:rPr>
              <w:t>8.24</w:t>
            </w:r>
          </w:p>
        </w:tc>
        <w:tc>
          <w:tcPr>
            <w:tcW w:w="543" w:type="pct"/>
            <w:vAlign w:val="center"/>
          </w:tcPr>
          <w:p w14:paraId="35C0C5A0">
            <w:pPr>
              <w:pStyle w:val="12"/>
              <w:jc w:val="center"/>
              <w:rPr>
                <w:rFonts w:ascii="宋体" w:hAnsi="宋体"/>
              </w:rPr>
            </w:pPr>
            <w:r>
              <w:rPr>
                <w:rFonts w:ascii="宋体" w:hAnsi="宋体"/>
              </w:rPr>
              <w:t>30.34</w:t>
            </w:r>
          </w:p>
        </w:tc>
        <w:tc>
          <w:tcPr>
            <w:tcW w:w="544" w:type="pct"/>
            <w:vAlign w:val="center"/>
          </w:tcPr>
          <w:p w14:paraId="47EAEBF8">
            <w:pPr>
              <w:pStyle w:val="12"/>
              <w:jc w:val="center"/>
              <w:rPr>
                <w:rFonts w:ascii="宋体" w:hAnsi="宋体"/>
              </w:rPr>
            </w:pPr>
            <w:r>
              <w:rPr>
                <w:rFonts w:ascii="宋体" w:hAnsi="宋体"/>
              </w:rPr>
              <w:t>9.21</w:t>
            </w:r>
          </w:p>
        </w:tc>
        <w:tc>
          <w:tcPr>
            <w:tcW w:w="544" w:type="pct"/>
            <w:vAlign w:val="center"/>
          </w:tcPr>
          <w:p w14:paraId="5FA70F64">
            <w:pPr>
              <w:pStyle w:val="12"/>
              <w:jc w:val="center"/>
              <w:rPr>
                <w:rFonts w:ascii="宋体" w:hAnsi="宋体"/>
              </w:rPr>
            </w:pPr>
            <w:r>
              <w:rPr>
                <w:rFonts w:ascii="宋体" w:hAnsi="宋体"/>
              </w:rPr>
              <w:t>0.57</w:t>
            </w:r>
          </w:p>
        </w:tc>
        <w:tc>
          <w:tcPr>
            <w:tcW w:w="544" w:type="pct"/>
            <w:vAlign w:val="center"/>
          </w:tcPr>
          <w:p w14:paraId="7B4B3FA8">
            <w:pPr>
              <w:pStyle w:val="12"/>
              <w:jc w:val="center"/>
              <w:rPr>
                <w:rFonts w:ascii="宋体" w:hAnsi="宋体"/>
              </w:rPr>
            </w:pPr>
            <w:r>
              <w:rPr>
                <w:rFonts w:ascii="宋体" w:hAnsi="宋体"/>
              </w:rPr>
              <w:t>2.92</w:t>
            </w:r>
          </w:p>
        </w:tc>
        <w:tc>
          <w:tcPr>
            <w:tcW w:w="544" w:type="pct"/>
            <w:vAlign w:val="center"/>
          </w:tcPr>
          <w:p w14:paraId="0E5F9E26">
            <w:pPr>
              <w:pStyle w:val="12"/>
              <w:jc w:val="center"/>
              <w:rPr>
                <w:rFonts w:ascii="宋体" w:hAnsi="宋体"/>
              </w:rPr>
            </w:pPr>
            <w:r>
              <w:rPr>
                <w:rFonts w:ascii="宋体" w:hAnsi="宋体"/>
              </w:rPr>
              <w:t>26.28</w:t>
            </w:r>
          </w:p>
        </w:tc>
        <w:tc>
          <w:tcPr>
            <w:tcW w:w="544" w:type="pct"/>
            <w:vAlign w:val="center"/>
          </w:tcPr>
          <w:p w14:paraId="50934BDC">
            <w:pPr>
              <w:pStyle w:val="12"/>
              <w:jc w:val="center"/>
              <w:rPr>
                <w:rFonts w:ascii="宋体" w:hAnsi="宋体"/>
              </w:rPr>
            </w:pPr>
            <w:r>
              <w:rPr>
                <w:rFonts w:ascii="宋体" w:hAnsi="宋体"/>
              </w:rPr>
              <w:t>38.8</w:t>
            </w:r>
          </w:p>
        </w:tc>
      </w:tr>
      <w:tr w14:paraId="3607CC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4" w:type="pct"/>
            <w:vAlign w:val="center"/>
          </w:tcPr>
          <w:p w14:paraId="518F8F7E">
            <w:pPr>
              <w:pStyle w:val="12"/>
              <w:jc w:val="center"/>
              <w:rPr>
                <w:rFonts w:ascii="宋体" w:hAnsi="宋体"/>
              </w:rPr>
            </w:pPr>
            <w:r>
              <w:rPr>
                <w:rFonts w:ascii="宋体" w:hAnsi="宋体"/>
              </w:rPr>
              <w:t>1987</w:t>
            </w:r>
          </w:p>
        </w:tc>
        <w:tc>
          <w:tcPr>
            <w:tcW w:w="542" w:type="pct"/>
            <w:vAlign w:val="center"/>
          </w:tcPr>
          <w:p w14:paraId="51DDA680">
            <w:pPr>
              <w:pStyle w:val="12"/>
              <w:jc w:val="center"/>
              <w:rPr>
                <w:rFonts w:ascii="宋体" w:hAnsi="宋体"/>
              </w:rPr>
            </w:pPr>
            <w:r>
              <w:rPr>
                <w:rFonts w:ascii="宋体" w:hAnsi="宋体"/>
              </w:rPr>
              <w:t>72.27</w:t>
            </w:r>
          </w:p>
        </w:tc>
        <w:tc>
          <w:tcPr>
            <w:tcW w:w="543" w:type="pct"/>
            <w:vAlign w:val="center"/>
          </w:tcPr>
          <w:p w14:paraId="6A6345F2">
            <w:pPr>
              <w:pStyle w:val="12"/>
              <w:jc w:val="center"/>
              <w:rPr>
                <w:rFonts w:ascii="宋体" w:hAnsi="宋体"/>
              </w:rPr>
            </w:pPr>
            <w:r>
              <w:rPr>
                <w:rFonts w:ascii="宋体" w:hAnsi="宋体"/>
              </w:rPr>
              <w:t>7.24</w:t>
            </w:r>
          </w:p>
        </w:tc>
        <w:tc>
          <w:tcPr>
            <w:tcW w:w="543" w:type="pct"/>
            <w:vAlign w:val="center"/>
          </w:tcPr>
          <w:p w14:paraId="7F585FF4">
            <w:pPr>
              <w:pStyle w:val="12"/>
              <w:jc w:val="center"/>
              <w:rPr>
                <w:rFonts w:ascii="宋体" w:hAnsi="宋体"/>
              </w:rPr>
            </w:pPr>
            <w:r>
              <w:rPr>
                <w:rFonts w:ascii="宋体" w:hAnsi="宋体"/>
              </w:rPr>
              <w:t>39.98</w:t>
            </w:r>
          </w:p>
        </w:tc>
        <w:tc>
          <w:tcPr>
            <w:tcW w:w="544" w:type="pct"/>
            <w:vAlign w:val="center"/>
          </w:tcPr>
          <w:p w14:paraId="54259966">
            <w:pPr>
              <w:pStyle w:val="12"/>
              <w:jc w:val="center"/>
              <w:rPr>
                <w:rFonts w:ascii="宋体" w:hAnsi="宋体"/>
              </w:rPr>
            </w:pPr>
            <w:r>
              <w:rPr>
                <w:rFonts w:ascii="宋体" w:hAnsi="宋体"/>
              </w:rPr>
              <w:t>9.64</w:t>
            </w:r>
          </w:p>
        </w:tc>
        <w:tc>
          <w:tcPr>
            <w:tcW w:w="544" w:type="pct"/>
            <w:vAlign w:val="center"/>
          </w:tcPr>
          <w:p w14:paraId="5DECB901">
            <w:pPr>
              <w:pStyle w:val="12"/>
              <w:jc w:val="center"/>
              <w:rPr>
                <w:rFonts w:ascii="宋体" w:hAnsi="宋体"/>
              </w:rPr>
            </w:pPr>
            <w:r>
              <w:rPr>
                <w:rFonts w:ascii="宋体" w:hAnsi="宋体"/>
              </w:rPr>
              <w:t>1.00</w:t>
            </w:r>
          </w:p>
        </w:tc>
        <w:tc>
          <w:tcPr>
            <w:tcW w:w="544" w:type="pct"/>
            <w:vAlign w:val="center"/>
          </w:tcPr>
          <w:p w14:paraId="6FEE097D">
            <w:pPr>
              <w:pStyle w:val="12"/>
              <w:jc w:val="center"/>
              <w:rPr>
                <w:rFonts w:ascii="宋体" w:hAnsi="宋体"/>
              </w:rPr>
            </w:pPr>
            <w:r>
              <w:rPr>
                <w:rFonts w:ascii="宋体" w:hAnsi="宋体"/>
              </w:rPr>
              <w:t>3.8</w:t>
            </w:r>
          </w:p>
        </w:tc>
        <w:tc>
          <w:tcPr>
            <w:tcW w:w="544" w:type="pct"/>
            <w:vAlign w:val="center"/>
          </w:tcPr>
          <w:p w14:paraId="7E671058">
            <w:pPr>
              <w:pStyle w:val="12"/>
              <w:jc w:val="center"/>
              <w:rPr>
                <w:rFonts w:ascii="宋体" w:hAnsi="宋体"/>
              </w:rPr>
            </w:pPr>
            <w:r>
              <w:rPr>
                <w:rFonts w:ascii="宋体" w:hAnsi="宋体"/>
              </w:rPr>
              <w:t>34.6</w:t>
            </w:r>
          </w:p>
        </w:tc>
        <w:tc>
          <w:tcPr>
            <w:tcW w:w="544" w:type="pct"/>
            <w:vAlign w:val="center"/>
          </w:tcPr>
          <w:p w14:paraId="0EE29230">
            <w:pPr>
              <w:pStyle w:val="12"/>
              <w:jc w:val="center"/>
              <w:rPr>
                <w:rFonts w:ascii="宋体" w:hAnsi="宋体"/>
              </w:rPr>
            </w:pPr>
            <w:r>
              <w:rPr>
                <w:rFonts w:ascii="宋体" w:hAnsi="宋体"/>
              </w:rPr>
              <w:t>37.28</w:t>
            </w:r>
          </w:p>
        </w:tc>
      </w:tr>
    </w:tbl>
    <w:p w14:paraId="4EC8FF39">
      <w:pPr>
        <w:ind w:firstLine="0" w:firstLineChars="0"/>
        <w:jc w:val="center"/>
        <w:rPr>
          <w:rFonts w:ascii="宋体" w:hAnsi="宋体"/>
          <w:b/>
          <w:szCs w:val="21"/>
        </w:rPr>
      </w:pPr>
      <w:r>
        <w:rPr>
          <w:rFonts w:hint="eastAsia" w:ascii="宋体" w:hAnsi="宋体"/>
          <w:b/>
          <w:szCs w:val="21"/>
        </w:rPr>
        <w:t>南雄市1988年至2002年治理水土流失情况</w:t>
      </w:r>
    </w:p>
    <w:p w14:paraId="64984102">
      <w:pPr>
        <w:ind w:firstLine="0" w:firstLineChars="0"/>
        <w:rPr>
          <w:rFonts w:ascii="宋体" w:hAnsi="宋体"/>
          <w:b/>
          <w:szCs w:val="21"/>
        </w:rPr>
      </w:pPr>
      <w:r>
        <w:rPr>
          <w:rFonts w:hint="eastAsia" w:ascii="宋体" w:hAnsi="宋体"/>
          <w:b/>
          <w:szCs w:val="21"/>
        </w:rPr>
        <w:t>表1-11</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5"/>
        <w:gridCol w:w="1105"/>
        <w:gridCol w:w="1108"/>
        <w:gridCol w:w="1108"/>
        <w:gridCol w:w="1108"/>
        <w:gridCol w:w="1108"/>
        <w:gridCol w:w="1108"/>
        <w:gridCol w:w="1108"/>
        <w:gridCol w:w="1104"/>
      </w:tblGrid>
      <w:tr w14:paraId="1F3628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555" w:type="pct"/>
            <w:vMerge w:val="restart"/>
            <w:vAlign w:val="center"/>
          </w:tcPr>
          <w:p w14:paraId="48527522">
            <w:pPr>
              <w:pStyle w:val="12"/>
              <w:jc w:val="center"/>
              <w:rPr>
                <w:rFonts w:ascii="宋体" w:hAnsi="宋体"/>
                <w:b/>
              </w:rPr>
            </w:pPr>
            <w:r>
              <w:rPr>
                <w:rFonts w:hint="eastAsia" w:ascii="宋体" w:hAnsi="宋体"/>
                <w:b/>
              </w:rPr>
              <w:t>年份</w:t>
            </w:r>
          </w:p>
        </w:tc>
        <w:tc>
          <w:tcPr>
            <w:tcW w:w="555" w:type="pct"/>
            <w:vMerge w:val="restart"/>
            <w:vAlign w:val="center"/>
          </w:tcPr>
          <w:p w14:paraId="564E356E">
            <w:pPr>
              <w:pStyle w:val="12"/>
              <w:jc w:val="center"/>
              <w:rPr>
                <w:rFonts w:ascii="宋体" w:hAnsi="宋体"/>
                <w:b/>
              </w:rPr>
            </w:pPr>
            <w:r>
              <w:rPr>
                <w:rFonts w:hint="eastAsia" w:ascii="宋体" w:hAnsi="宋体"/>
                <w:b/>
              </w:rPr>
              <w:t>治理面积（平方公里）</w:t>
            </w:r>
          </w:p>
        </w:tc>
        <w:tc>
          <w:tcPr>
            <w:tcW w:w="2778" w:type="pct"/>
            <w:gridSpan w:val="5"/>
            <w:vAlign w:val="center"/>
          </w:tcPr>
          <w:p w14:paraId="31C478E6">
            <w:pPr>
              <w:pStyle w:val="12"/>
              <w:jc w:val="center"/>
              <w:rPr>
                <w:rFonts w:ascii="宋体" w:hAnsi="宋体"/>
                <w:b/>
              </w:rPr>
            </w:pPr>
            <w:r>
              <w:rPr>
                <w:rFonts w:hint="eastAsia" w:ascii="宋体" w:hAnsi="宋体"/>
                <w:b/>
              </w:rPr>
              <w:t>水土保持投资（万元）</w:t>
            </w:r>
          </w:p>
        </w:tc>
        <w:tc>
          <w:tcPr>
            <w:tcW w:w="1111" w:type="pct"/>
            <w:gridSpan w:val="2"/>
            <w:vAlign w:val="center"/>
          </w:tcPr>
          <w:p w14:paraId="4E3CAA30">
            <w:pPr>
              <w:pStyle w:val="12"/>
              <w:jc w:val="center"/>
              <w:rPr>
                <w:rFonts w:ascii="宋体" w:hAnsi="宋体"/>
                <w:b/>
              </w:rPr>
            </w:pPr>
            <w:r>
              <w:rPr>
                <w:rFonts w:hint="eastAsia" w:ascii="宋体" w:hAnsi="宋体"/>
                <w:b/>
              </w:rPr>
              <w:t>完成工程量（万立方米）</w:t>
            </w:r>
          </w:p>
        </w:tc>
      </w:tr>
      <w:tr w14:paraId="3AA7E2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555" w:type="pct"/>
            <w:vMerge w:val="continue"/>
            <w:vAlign w:val="center"/>
          </w:tcPr>
          <w:p w14:paraId="276D43DE">
            <w:pPr>
              <w:pStyle w:val="12"/>
              <w:jc w:val="center"/>
              <w:rPr>
                <w:rFonts w:ascii="宋体" w:hAnsi="宋体"/>
                <w:b/>
              </w:rPr>
            </w:pPr>
          </w:p>
        </w:tc>
        <w:tc>
          <w:tcPr>
            <w:tcW w:w="555" w:type="pct"/>
            <w:vMerge w:val="continue"/>
            <w:vAlign w:val="center"/>
          </w:tcPr>
          <w:p w14:paraId="32E90F04">
            <w:pPr>
              <w:pStyle w:val="12"/>
              <w:jc w:val="center"/>
              <w:rPr>
                <w:rFonts w:ascii="宋体" w:hAnsi="宋体"/>
                <w:b/>
              </w:rPr>
            </w:pPr>
          </w:p>
        </w:tc>
        <w:tc>
          <w:tcPr>
            <w:tcW w:w="556" w:type="pct"/>
            <w:vAlign w:val="center"/>
          </w:tcPr>
          <w:p w14:paraId="069BA3BD">
            <w:pPr>
              <w:pStyle w:val="12"/>
              <w:jc w:val="center"/>
              <w:rPr>
                <w:rFonts w:ascii="宋体" w:hAnsi="宋体"/>
                <w:b/>
              </w:rPr>
            </w:pPr>
            <w:r>
              <w:rPr>
                <w:rFonts w:hint="eastAsia" w:ascii="宋体" w:hAnsi="宋体"/>
                <w:b/>
              </w:rPr>
              <w:t>总投资</w:t>
            </w:r>
          </w:p>
        </w:tc>
        <w:tc>
          <w:tcPr>
            <w:tcW w:w="556" w:type="pct"/>
            <w:vAlign w:val="center"/>
          </w:tcPr>
          <w:p w14:paraId="203BBF0B">
            <w:pPr>
              <w:pStyle w:val="12"/>
              <w:jc w:val="center"/>
              <w:rPr>
                <w:rFonts w:ascii="宋体" w:hAnsi="宋体"/>
                <w:b/>
              </w:rPr>
            </w:pPr>
            <w:r>
              <w:rPr>
                <w:rFonts w:hint="eastAsia" w:ascii="宋体" w:hAnsi="宋体"/>
                <w:b/>
              </w:rPr>
              <w:t>省级投资</w:t>
            </w:r>
          </w:p>
        </w:tc>
        <w:tc>
          <w:tcPr>
            <w:tcW w:w="556" w:type="pct"/>
            <w:vAlign w:val="center"/>
          </w:tcPr>
          <w:p w14:paraId="5F6330A3">
            <w:pPr>
              <w:pStyle w:val="12"/>
              <w:jc w:val="center"/>
              <w:rPr>
                <w:rFonts w:ascii="宋体" w:hAnsi="宋体"/>
                <w:b/>
              </w:rPr>
            </w:pPr>
            <w:r>
              <w:rPr>
                <w:rFonts w:hint="eastAsia" w:ascii="宋体" w:hAnsi="宋体"/>
                <w:b/>
              </w:rPr>
              <w:t>市级投资</w:t>
            </w:r>
          </w:p>
        </w:tc>
        <w:tc>
          <w:tcPr>
            <w:tcW w:w="556" w:type="pct"/>
            <w:vAlign w:val="center"/>
          </w:tcPr>
          <w:p w14:paraId="4F2235D3">
            <w:pPr>
              <w:pStyle w:val="12"/>
              <w:jc w:val="center"/>
              <w:rPr>
                <w:rFonts w:ascii="宋体" w:hAnsi="宋体"/>
                <w:b/>
              </w:rPr>
            </w:pPr>
            <w:r>
              <w:rPr>
                <w:rFonts w:hint="eastAsia" w:ascii="宋体" w:hAnsi="宋体"/>
                <w:b/>
              </w:rPr>
              <w:t>本市投资</w:t>
            </w:r>
          </w:p>
        </w:tc>
        <w:tc>
          <w:tcPr>
            <w:tcW w:w="556" w:type="pct"/>
            <w:vAlign w:val="center"/>
          </w:tcPr>
          <w:p w14:paraId="427A03AA">
            <w:pPr>
              <w:pStyle w:val="12"/>
              <w:jc w:val="center"/>
              <w:rPr>
                <w:rFonts w:ascii="宋体" w:hAnsi="宋体"/>
                <w:b/>
              </w:rPr>
            </w:pPr>
            <w:r>
              <w:rPr>
                <w:rFonts w:hint="eastAsia" w:ascii="宋体" w:hAnsi="宋体"/>
                <w:b/>
              </w:rPr>
              <w:t>镇及群众投资</w:t>
            </w:r>
          </w:p>
        </w:tc>
        <w:tc>
          <w:tcPr>
            <w:tcW w:w="556" w:type="pct"/>
            <w:vAlign w:val="center"/>
          </w:tcPr>
          <w:p w14:paraId="2FC82D35">
            <w:pPr>
              <w:pStyle w:val="12"/>
              <w:jc w:val="center"/>
              <w:rPr>
                <w:rFonts w:ascii="宋体" w:hAnsi="宋体"/>
                <w:b/>
              </w:rPr>
            </w:pPr>
            <w:r>
              <w:rPr>
                <w:rFonts w:hint="eastAsia" w:ascii="宋体" w:hAnsi="宋体"/>
                <w:b/>
              </w:rPr>
              <w:t>土  方</w:t>
            </w:r>
          </w:p>
        </w:tc>
        <w:tc>
          <w:tcPr>
            <w:tcW w:w="556" w:type="pct"/>
            <w:vAlign w:val="center"/>
          </w:tcPr>
          <w:p w14:paraId="5646309B">
            <w:pPr>
              <w:pStyle w:val="12"/>
              <w:jc w:val="center"/>
              <w:rPr>
                <w:rFonts w:ascii="宋体" w:hAnsi="宋体"/>
                <w:b/>
              </w:rPr>
            </w:pPr>
            <w:r>
              <w:rPr>
                <w:rFonts w:hint="eastAsia" w:ascii="宋体" w:hAnsi="宋体"/>
                <w:b/>
              </w:rPr>
              <w:t>石  方</w:t>
            </w:r>
          </w:p>
        </w:tc>
      </w:tr>
      <w:tr w14:paraId="079D4D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5FEA6386">
            <w:pPr>
              <w:pStyle w:val="12"/>
              <w:jc w:val="center"/>
              <w:rPr>
                <w:rFonts w:ascii="宋体" w:hAnsi="宋体"/>
              </w:rPr>
            </w:pPr>
            <w:r>
              <w:rPr>
                <w:rFonts w:ascii="宋体" w:hAnsi="宋体"/>
              </w:rPr>
              <w:t>1988</w:t>
            </w:r>
          </w:p>
        </w:tc>
        <w:tc>
          <w:tcPr>
            <w:tcW w:w="555" w:type="pct"/>
            <w:vAlign w:val="center"/>
          </w:tcPr>
          <w:p w14:paraId="3279AC92">
            <w:pPr>
              <w:pStyle w:val="12"/>
              <w:jc w:val="center"/>
              <w:rPr>
                <w:rFonts w:ascii="宋体" w:hAnsi="宋体"/>
              </w:rPr>
            </w:pPr>
            <w:r>
              <w:rPr>
                <w:rFonts w:ascii="宋体" w:hAnsi="宋体"/>
              </w:rPr>
              <w:t>88.48</w:t>
            </w:r>
          </w:p>
        </w:tc>
        <w:tc>
          <w:tcPr>
            <w:tcW w:w="556" w:type="pct"/>
            <w:vAlign w:val="center"/>
          </w:tcPr>
          <w:p w14:paraId="5F8604D5">
            <w:pPr>
              <w:pStyle w:val="12"/>
              <w:jc w:val="center"/>
              <w:rPr>
                <w:rFonts w:ascii="宋体" w:hAnsi="宋体"/>
              </w:rPr>
            </w:pPr>
            <w:r>
              <w:rPr>
                <w:rFonts w:ascii="宋体" w:hAnsi="宋体"/>
              </w:rPr>
              <w:t>185.85</w:t>
            </w:r>
          </w:p>
        </w:tc>
        <w:tc>
          <w:tcPr>
            <w:tcW w:w="556" w:type="pct"/>
            <w:vAlign w:val="center"/>
          </w:tcPr>
          <w:p w14:paraId="13B3C082">
            <w:pPr>
              <w:pStyle w:val="12"/>
              <w:jc w:val="center"/>
              <w:rPr>
                <w:rFonts w:ascii="宋体" w:hAnsi="宋体"/>
              </w:rPr>
            </w:pPr>
            <w:r>
              <w:rPr>
                <w:rFonts w:ascii="宋体" w:hAnsi="宋体"/>
              </w:rPr>
              <w:t>77.57</w:t>
            </w:r>
          </w:p>
        </w:tc>
        <w:tc>
          <w:tcPr>
            <w:tcW w:w="556" w:type="pct"/>
            <w:vAlign w:val="center"/>
          </w:tcPr>
          <w:p w14:paraId="3538522B">
            <w:pPr>
              <w:pStyle w:val="12"/>
              <w:jc w:val="center"/>
              <w:rPr>
                <w:rFonts w:ascii="宋体" w:hAnsi="宋体"/>
              </w:rPr>
            </w:pPr>
            <w:r>
              <w:rPr>
                <w:rFonts w:ascii="宋体" w:hAnsi="宋体"/>
              </w:rPr>
              <w:t>16</w:t>
            </w:r>
          </w:p>
        </w:tc>
        <w:tc>
          <w:tcPr>
            <w:tcW w:w="556" w:type="pct"/>
            <w:vAlign w:val="center"/>
          </w:tcPr>
          <w:p w14:paraId="2250B571">
            <w:pPr>
              <w:pStyle w:val="12"/>
              <w:jc w:val="center"/>
              <w:rPr>
                <w:rFonts w:ascii="宋体" w:hAnsi="宋体"/>
              </w:rPr>
            </w:pPr>
            <w:r>
              <w:rPr>
                <w:rFonts w:ascii="宋体" w:hAnsi="宋体"/>
              </w:rPr>
              <w:t>21</w:t>
            </w:r>
          </w:p>
        </w:tc>
        <w:tc>
          <w:tcPr>
            <w:tcW w:w="556" w:type="pct"/>
            <w:vAlign w:val="center"/>
          </w:tcPr>
          <w:p w14:paraId="49342AEC">
            <w:pPr>
              <w:pStyle w:val="12"/>
              <w:jc w:val="center"/>
              <w:rPr>
                <w:rFonts w:ascii="宋体" w:hAnsi="宋体"/>
              </w:rPr>
            </w:pPr>
            <w:r>
              <w:rPr>
                <w:rFonts w:ascii="宋体" w:hAnsi="宋体"/>
              </w:rPr>
              <w:t>71.28</w:t>
            </w:r>
          </w:p>
        </w:tc>
        <w:tc>
          <w:tcPr>
            <w:tcW w:w="556" w:type="pct"/>
            <w:vAlign w:val="center"/>
          </w:tcPr>
          <w:p w14:paraId="1F35F252">
            <w:pPr>
              <w:pStyle w:val="12"/>
              <w:jc w:val="center"/>
              <w:rPr>
                <w:rFonts w:ascii="宋体" w:hAnsi="宋体"/>
              </w:rPr>
            </w:pPr>
            <w:r>
              <w:rPr>
                <w:rFonts w:ascii="宋体" w:hAnsi="宋体"/>
              </w:rPr>
              <w:t>6.28</w:t>
            </w:r>
          </w:p>
        </w:tc>
        <w:tc>
          <w:tcPr>
            <w:tcW w:w="556" w:type="pct"/>
            <w:vAlign w:val="center"/>
          </w:tcPr>
          <w:p w14:paraId="6D63F970">
            <w:pPr>
              <w:pStyle w:val="12"/>
              <w:jc w:val="center"/>
              <w:rPr>
                <w:rFonts w:ascii="宋体" w:hAnsi="宋体"/>
              </w:rPr>
            </w:pPr>
            <w:r>
              <w:rPr>
                <w:rFonts w:ascii="宋体" w:hAnsi="宋体"/>
              </w:rPr>
              <w:t>69.07</w:t>
            </w:r>
          </w:p>
        </w:tc>
      </w:tr>
      <w:tr w14:paraId="3FF016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269C9B7E">
            <w:pPr>
              <w:pStyle w:val="12"/>
              <w:jc w:val="center"/>
              <w:rPr>
                <w:rFonts w:ascii="宋体" w:hAnsi="宋体"/>
              </w:rPr>
            </w:pPr>
            <w:r>
              <w:rPr>
                <w:rFonts w:ascii="宋体" w:hAnsi="宋体"/>
              </w:rPr>
              <w:t>1989</w:t>
            </w:r>
          </w:p>
        </w:tc>
        <w:tc>
          <w:tcPr>
            <w:tcW w:w="555" w:type="pct"/>
            <w:vAlign w:val="center"/>
          </w:tcPr>
          <w:p w14:paraId="18426690">
            <w:pPr>
              <w:pStyle w:val="12"/>
              <w:jc w:val="center"/>
              <w:rPr>
                <w:rFonts w:ascii="宋体" w:hAnsi="宋体"/>
              </w:rPr>
            </w:pPr>
            <w:r>
              <w:rPr>
                <w:rFonts w:ascii="宋体" w:hAnsi="宋体"/>
              </w:rPr>
              <w:t>126.22</w:t>
            </w:r>
          </w:p>
        </w:tc>
        <w:tc>
          <w:tcPr>
            <w:tcW w:w="556" w:type="pct"/>
            <w:vAlign w:val="center"/>
          </w:tcPr>
          <w:p w14:paraId="05BA8E08">
            <w:pPr>
              <w:pStyle w:val="12"/>
              <w:jc w:val="center"/>
              <w:rPr>
                <w:rFonts w:ascii="宋体" w:hAnsi="宋体"/>
              </w:rPr>
            </w:pPr>
            <w:r>
              <w:rPr>
                <w:rFonts w:ascii="宋体" w:hAnsi="宋体"/>
              </w:rPr>
              <w:t>270</w:t>
            </w:r>
          </w:p>
        </w:tc>
        <w:tc>
          <w:tcPr>
            <w:tcW w:w="556" w:type="pct"/>
            <w:vAlign w:val="center"/>
          </w:tcPr>
          <w:p w14:paraId="4D050BF8">
            <w:pPr>
              <w:pStyle w:val="12"/>
              <w:jc w:val="center"/>
              <w:rPr>
                <w:rFonts w:ascii="宋体" w:hAnsi="宋体"/>
              </w:rPr>
            </w:pPr>
            <w:r>
              <w:rPr>
                <w:rFonts w:ascii="宋体" w:hAnsi="宋体"/>
              </w:rPr>
              <w:t>69.5</w:t>
            </w:r>
          </w:p>
        </w:tc>
        <w:tc>
          <w:tcPr>
            <w:tcW w:w="556" w:type="pct"/>
            <w:vAlign w:val="center"/>
          </w:tcPr>
          <w:p w14:paraId="3BED2536">
            <w:pPr>
              <w:pStyle w:val="12"/>
              <w:jc w:val="center"/>
              <w:rPr>
                <w:rFonts w:ascii="宋体" w:hAnsi="宋体"/>
              </w:rPr>
            </w:pPr>
            <w:r>
              <w:rPr>
                <w:rFonts w:ascii="宋体" w:hAnsi="宋体"/>
              </w:rPr>
              <w:t>19</w:t>
            </w:r>
          </w:p>
        </w:tc>
        <w:tc>
          <w:tcPr>
            <w:tcW w:w="556" w:type="pct"/>
            <w:vAlign w:val="center"/>
          </w:tcPr>
          <w:p w14:paraId="1B4A53BE">
            <w:pPr>
              <w:pStyle w:val="12"/>
              <w:jc w:val="center"/>
              <w:rPr>
                <w:rFonts w:ascii="宋体" w:hAnsi="宋体"/>
              </w:rPr>
            </w:pPr>
            <w:r>
              <w:rPr>
                <w:rFonts w:ascii="宋体" w:hAnsi="宋体"/>
              </w:rPr>
              <w:t>113.5</w:t>
            </w:r>
          </w:p>
        </w:tc>
        <w:tc>
          <w:tcPr>
            <w:tcW w:w="556" w:type="pct"/>
            <w:vAlign w:val="center"/>
          </w:tcPr>
          <w:p w14:paraId="4434EAA1">
            <w:pPr>
              <w:pStyle w:val="12"/>
              <w:jc w:val="center"/>
              <w:rPr>
                <w:rFonts w:ascii="宋体" w:hAnsi="宋体"/>
              </w:rPr>
            </w:pPr>
            <w:r>
              <w:rPr>
                <w:rFonts w:ascii="宋体" w:hAnsi="宋体"/>
              </w:rPr>
              <w:t>68</w:t>
            </w:r>
          </w:p>
        </w:tc>
        <w:tc>
          <w:tcPr>
            <w:tcW w:w="556" w:type="pct"/>
            <w:vAlign w:val="center"/>
          </w:tcPr>
          <w:p w14:paraId="34A830CE">
            <w:pPr>
              <w:pStyle w:val="12"/>
              <w:jc w:val="center"/>
              <w:rPr>
                <w:rFonts w:ascii="宋体" w:hAnsi="宋体"/>
              </w:rPr>
            </w:pPr>
            <w:r>
              <w:rPr>
                <w:rFonts w:ascii="宋体" w:hAnsi="宋体"/>
              </w:rPr>
              <w:t>29.44</w:t>
            </w:r>
          </w:p>
        </w:tc>
        <w:tc>
          <w:tcPr>
            <w:tcW w:w="556" w:type="pct"/>
            <w:vAlign w:val="center"/>
          </w:tcPr>
          <w:p w14:paraId="2757C125">
            <w:pPr>
              <w:pStyle w:val="12"/>
              <w:jc w:val="center"/>
              <w:rPr>
                <w:rFonts w:ascii="宋体" w:hAnsi="宋体"/>
              </w:rPr>
            </w:pPr>
            <w:r>
              <w:rPr>
                <w:rFonts w:ascii="宋体" w:hAnsi="宋体"/>
              </w:rPr>
              <w:t>132.83</w:t>
            </w:r>
          </w:p>
        </w:tc>
      </w:tr>
      <w:tr w14:paraId="010AE4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4902AFA6">
            <w:pPr>
              <w:pStyle w:val="12"/>
              <w:jc w:val="center"/>
              <w:rPr>
                <w:rFonts w:ascii="宋体" w:hAnsi="宋体"/>
              </w:rPr>
            </w:pPr>
            <w:r>
              <w:rPr>
                <w:rFonts w:ascii="宋体" w:hAnsi="宋体"/>
              </w:rPr>
              <w:t>1990</w:t>
            </w:r>
          </w:p>
        </w:tc>
        <w:tc>
          <w:tcPr>
            <w:tcW w:w="555" w:type="pct"/>
            <w:vAlign w:val="center"/>
          </w:tcPr>
          <w:p w14:paraId="05D812C0">
            <w:pPr>
              <w:pStyle w:val="12"/>
              <w:jc w:val="center"/>
              <w:rPr>
                <w:rFonts w:ascii="宋体" w:hAnsi="宋体"/>
              </w:rPr>
            </w:pPr>
            <w:r>
              <w:rPr>
                <w:rFonts w:ascii="宋体" w:hAnsi="宋体"/>
              </w:rPr>
              <w:t>104.6</w:t>
            </w:r>
          </w:p>
        </w:tc>
        <w:tc>
          <w:tcPr>
            <w:tcW w:w="556" w:type="pct"/>
            <w:vAlign w:val="center"/>
          </w:tcPr>
          <w:p w14:paraId="4FD40786">
            <w:pPr>
              <w:pStyle w:val="12"/>
              <w:jc w:val="center"/>
              <w:rPr>
                <w:rFonts w:ascii="宋体" w:hAnsi="宋体"/>
              </w:rPr>
            </w:pPr>
            <w:r>
              <w:rPr>
                <w:rFonts w:ascii="宋体" w:hAnsi="宋体"/>
              </w:rPr>
              <w:t>121.7</w:t>
            </w:r>
          </w:p>
        </w:tc>
        <w:tc>
          <w:tcPr>
            <w:tcW w:w="556" w:type="pct"/>
            <w:vAlign w:val="center"/>
          </w:tcPr>
          <w:p w14:paraId="0F36FB75">
            <w:pPr>
              <w:pStyle w:val="12"/>
              <w:jc w:val="center"/>
              <w:rPr>
                <w:rFonts w:ascii="宋体" w:hAnsi="宋体"/>
              </w:rPr>
            </w:pPr>
            <w:r>
              <w:rPr>
                <w:rFonts w:ascii="宋体" w:hAnsi="宋体"/>
              </w:rPr>
              <w:t>68.1</w:t>
            </w:r>
          </w:p>
        </w:tc>
        <w:tc>
          <w:tcPr>
            <w:tcW w:w="556" w:type="pct"/>
            <w:vAlign w:val="center"/>
          </w:tcPr>
          <w:p w14:paraId="435C28CE">
            <w:pPr>
              <w:pStyle w:val="12"/>
              <w:jc w:val="center"/>
              <w:rPr>
                <w:rFonts w:ascii="宋体" w:hAnsi="宋体"/>
              </w:rPr>
            </w:pPr>
            <w:r>
              <w:rPr>
                <w:rFonts w:ascii="宋体" w:hAnsi="宋体"/>
              </w:rPr>
              <w:t>15</w:t>
            </w:r>
          </w:p>
        </w:tc>
        <w:tc>
          <w:tcPr>
            <w:tcW w:w="556" w:type="pct"/>
            <w:vAlign w:val="center"/>
          </w:tcPr>
          <w:p w14:paraId="059DB909">
            <w:pPr>
              <w:pStyle w:val="12"/>
              <w:jc w:val="center"/>
              <w:rPr>
                <w:rFonts w:ascii="宋体" w:hAnsi="宋体"/>
              </w:rPr>
            </w:pPr>
            <w:r>
              <w:rPr>
                <w:rFonts w:ascii="宋体" w:hAnsi="宋体"/>
              </w:rPr>
              <w:t>4</w:t>
            </w:r>
          </w:p>
        </w:tc>
        <w:tc>
          <w:tcPr>
            <w:tcW w:w="556" w:type="pct"/>
            <w:vAlign w:val="center"/>
          </w:tcPr>
          <w:p w14:paraId="28B929A1">
            <w:pPr>
              <w:pStyle w:val="12"/>
              <w:jc w:val="center"/>
              <w:rPr>
                <w:rFonts w:ascii="宋体" w:hAnsi="宋体"/>
              </w:rPr>
            </w:pPr>
            <w:r>
              <w:rPr>
                <w:rFonts w:ascii="宋体" w:hAnsi="宋体"/>
              </w:rPr>
              <w:t>34.6</w:t>
            </w:r>
          </w:p>
        </w:tc>
        <w:tc>
          <w:tcPr>
            <w:tcW w:w="556" w:type="pct"/>
            <w:vAlign w:val="center"/>
          </w:tcPr>
          <w:p w14:paraId="7CCBDCD5">
            <w:pPr>
              <w:pStyle w:val="12"/>
              <w:jc w:val="center"/>
              <w:rPr>
                <w:rFonts w:ascii="宋体" w:hAnsi="宋体"/>
              </w:rPr>
            </w:pPr>
            <w:r>
              <w:rPr>
                <w:rFonts w:ascii="宋体" w:hAnsi="宋体"/>
              </w:rPr>
              <w:t>8.11</w:t>
            </w:r>
          </w:p>
        </w:tc>
        <w:tc>
          <w:tcPr>
            <w:tcW w:w="556" w:type="pct"/>
            <w:vAlign w:val="center"/>
          </w:tcPr>
          <w:p w14:paraId="42EB9D05">
            <w:pPr>
              <w:pStyle w:val="12"/>
              <w:jc w:val="center"/>
              <w:rPr>
                <w:rFonts w:ascii="宋体" w:hAnsi="宋体"/>
              </w:rPr>
            </w:pPr>
            <w:r>
              <w:rPr>
                <w:rFonts w:ascii="宋体" w:hAnsi="宋体"/>
              </w:rPr>
              <w:t>18.1</w:t>
            </w:r>
          </w:p>
        </w:tc>
      </w:tr>
      <w:tr w14:paraId="26632F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59B7FC5E">
            <w:pPr>
              <w:pStyle w:val="12"/>
              <w:jc w:val="center"/>
              <w:rPr>
                <w:rFonts w:ascii="宋体" w:hAnsi="宋体"/>
              </w:rPr>
            </w:pPr>
            <w:r>
              <w:rPr>
                <w:rFonts w:ascii="宋体" w:hAnsi="宋体"/>
              </w:rPr>
              <w:t>1991</w:t>
            </w:r>
          </w:p>
        </w:tc>
        <w:tc>
          <w:tcPr>
            <w:tcW w:w="555" w:type="pct"/>
            <w:vAlign w:val="center"/>
          </w:tcPr>
          <w:p w14:paraId="5D91640B">
            <w:pPr>
              <w:pStyle w:val="12"/>
              <w:jc w:val="center"/>
              <w:rPr>
                <w:rFonts w:ascii="宋体" w:hAnsi="宋体"/>
              </w:rPr>
            </w:pPr>
            <w:r>
              <w:rPr>
                <w:rFonts w:ascii="宋体" w:hAnsi="宋体"/>
              </w:rPr>
              <w:t>57.61</w:t>
            </w:r>
          </w:p>
        </w:tc>
        <w:tc>
          <w:tcPr>
            <w:tcW w:w="556" w:type="pct"/>
            <w:vAlign w:val="center"/>
          </w:tcPr>
          <w:p w14:paraId="1659B32B">
            <w:pPr>
              <w:pStyle w:val="12"/>
              <w:jc w:val="center"/>
              <w:rPr>
                <w:rFonts w:ascii="宋体" w:hAnsi="宋体"/>
              </w:rPr>
            </w:pPr>
            <w:r>
              <w:rPr>
                <w:rFonts w:ascii="宋体" w:hAnsi="宋体"/>
              </w:rPr>
              <w:t>165.84</w:t>
            </w:r>
          </w:p>
        </w:tc>
        <w:tc>
          <w:tcPr>
            <w:tcW w:w="556" w:type="pct"/>
            <w:vAlign w:val="center"/>
          </w:tcPr>
          <w:p w14:paraId="1BA668DA">
            <w:pPr>
              <w:pStyle w:val="12"/>
              <w:jc w:val="center"/>
              <w:rPr>
                <w:rFonts w:ascii="宋体" w:hAnsi="宋体"/>
              </w:rPr>
            </w:pPr>
            <w:r>
              <w:rPr>
                <w:rFonts w:ascii="宋体" w:hAnsi="宋体"/>
              </w:rPr>
              <w:t>68.5</w:t>
            </w:r>
          </w:p>
        </w:tc>
        <w:tc>
          <w:tcPr>
            <w:tcW w:w="556" w:type="pct"/>
            <w:vAlign w:val="center"/>
          </w:tcPr>
          <w:p w14:paraId="6E39A25B">
            <w:pPr>
              <w:pStyle w:val="12"/>
              <w:jc w:val="center"/>
              <w:rPr>
                <w:rFonts w:ascii="宋体" w:hAnsi="宋体"/>
              </w:rPr>
            </w:pPr>
            <w:r>
              <w:rPr>
                <w:rFonts w:ascii="宋体" w:hAnsi="宋体"/>
              </w:rPr>
              <w:t>14</w:t>
            </w:r>
          </w:p>
        </w:tc>
        <w:tc>
          <w:tcPr>
            <w:tcW w:w="556" w:type="pct"/>
            <w:vAlign w:val="center"/>
          </w:tcPr>
          <w:p w14:paraId="1DE7483C">
            <w:pPr>
              <w:pStyle w:val="12"/>
              <w:jc w:val="center"/>
              <w:rPr>
                <w:rFonts w:ascii="宋体" w:hAnsi="宋体"/>
              </w:rPr>
            </w:pPr>
            <w:r>
              <w:rPr>
                <w:rFonts w:ascii="宋体" w:hAnsi="宋体"/>
              </w:rPr>
              <w:t>19.34</w:t>
            </w:r>
          </w:p>
        </w:tc>
        <w:tc>
          <w:tcPr>
            <w:tcW w:w="556" w:type="pct"/>
            <w:vAlign w:val="center"/>
          </w:tcPr>
          <w:p w14:paraId="6FD278FF">
            <w:pPr>
              <w:pStyle w:val="12"/>
              <w:jc w:val="center"/>
              <w:rPr>
                <w:rFonts w:ascii="宋体" w:hAnsi="宋体"/>
              </w:rPr>
            </w:pPr>
            <w:r>
              <w:rPr>
                <w:rFonts w:ascii="宋体" w:hAnsi="宋体"/>
              </w:rPr>
              <w:t>64</w:t>
            </w:r>
          </w:p>
        </w:tc>
        <w:tc>
          <w:tcPr>
            <w:tcW w:w="556" w:type="pct"/>
            <w:vAlign w:val="center"/>
          </w:tcPr>
          <w:p w14:paraId="7AB2BBFF">
            <w:pPr>
              <w:pStyle w:val="12"/>
              <w:jc w:val="center"/>
              <w:rPr>
                <w:rFonts w:ascii="宋体" w:hAnsi="宋体"/>
              </w:rPr>
            </w:pPr>
            <w:r>
              <w:rPr>
                <w:rFonts w:ascii="宋体" w:hAnsi="宋体"/>
              </w:rPr>
              <w:t>5.44</w:t>
            </w:r>
          </w:p>
        </w:tc>
        <w:tc>
          <w:tcPr>
            <w:tcW w:w="556" w:type="pct"/>
            <w:vAlign w:val="center"/>
          </w:tcPr>
          <w:p w14:paraId="65DC3F7B">
            <w:pPr>
              <w:pStyle w:val="12"/>
              <w:jc w:val="center"/>
              <w:rPr>
                <w:rFonts w:ascii="宋体" w:hAnsi="宋体"/>
              </w:rPr>
            </w:pPr>
            <w:r>
              <w:rPr>
                <w:rFonts w:ascii="宋体" w:hAnsi="宋体"/>
              </w:rPr>
              <w:t>48.03</w:t>
            </w:r>
          </w:p>
        </w:tc>
      </w:tr>
      <w:tr w14:paraId="1768B7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246EE967">
            <w:pPr>
              <w:pStyle w:val="12"/>
              <w:jc w:val="center"/>
              <w:rPr>
                <w:rFonts w:ascii="宋体" w:hAnsi="宋体"/>
              </w:rPr>
            </w:pPr>
            <w:r>
              <w:rPr>
                <w:rFonts w:ascii="宋体" w:hAnsi="宋体"/>
              </w:rPr>
              <w:t>1992</w:t>
            </w:r>
          </w:p>
        </w:tc>
        <w:tc>
          <w:tcPr>
            <w:tcW w:w="555" w:type="pct"/>
            <w:vAlign w:val="center"/>
          </w:tcPr>
          <w:p w14:paraId="039AC857">
            <w:pPr>
              <w:pStyle w:val="12"/>
              <w:jc w:val="center"/>
              <w:rPr>
                <w:rFonts w:ascii="宋体" w:hAnsi="宋体"/>
              </w:rPr>
            </w:pPr>
            <w:r>
              <w:rPr>
                <w:rFonts w:ascii="宋体" w:hAnsi="宋体"/>
              </w:rPr>
              <w:t>9.85</w:t>
            </w:r>
          </w:p>
        </w:tc>
        <w:tc>
          <w:tcPr>
            <w:tcW w:w="556" w:type="pct"/>
            <w:vAlign w:val="center"/>
          </w:tcPr>
          <w:p w14:paraId="64D20D35">
            <w:pPr>
              <w:pStyle w:val="12"/>
              <w:jc w:val="center"/>
              <w:rPr>
                <w:rFonts w:ascii="宋体" w:hAnsi="宋体"/>
              </w:rPr>
            </w:pPr>
            <w:r>
              <w:rPr>
                <w:rFonts w:ascii="宋体" w:hAnsi="宋体"/>
              </w:rPr>
              <w:t>271.25</w:t>
            </w:r>
          </w:p>
        </w:tc>
        <w:tc>
          <w:tcPr>
            <w:tcW w:w="556" w:type="pct"/>
            <w:vAlign w:val="center"/>
          </w:tcPr>
          <w:p w14:paraId="4D5BC9CB">
            <w:pPr>
              <w:pStyle w:val="12"/>
              <w:jc w:val="center"/>
              <w:rPr>
                <w:rFonts w:ascii="宋体" w:hAnsi="宋体"/>
              </w:rPr>
            </w:pPr>
            <w:r>
              <w:rPr>
                <w:rFonts w:ascii="宋体" w:hAnsi="宋体"/>
              </w:rPr>
              <w:t>104.3</w:t>
            </w:r>
          </w:p>
        </w:tc>
        <w:tc>
          <w:tcPr>
            <w:tcW w:w="556" w:type="pct"/>
            <w:vAlign w:val="center"/>
          </w:tcPr>
          <w:p w14:paraId="488454A9">
            <w:pPr>
              <w:pStyle w:val="12"/>
              <w:jc w:val="center"/>
              <w:rPr>
                <w:rFonts w:ascii="宋体" w:hAnsi="宋体"/>
              </w:rPr>
            </w:pPr>
            <w:r>
              <w:rPr>
                <w:rFonts w:ascii="宋体" w:hAnsi="宋体"/>
              </w:rPr>
              <w:t>15</w:t>
            </w:r>
          </w:p>
        </w:tc>
        <w:tc>
          <w:tcPr>
            <w:tcW w:w="556" w:type="pct"/>
            <w:vAlign w:val="center"/>
          </w:tcPr>
          <w:p w14:paraId="5A58DDAA">
            <w:pPr>
              <w:pStyle w:val="12"/>
              <w:jc w:val="center"/>
              <w:rPr>
                <w:rFonts w:ascii="宋体" w:hAnsi="宋体"/>
              </w:rPr>
            </w:pPr>
            <w:r>
              <w:rPr>
                <w:rFonts w:ascii="宋体" w:hAnsi="宋体"/>
              </w:rPr>
              <w:t>—</w:t>
            </w:r>
          </w:p>
        </w:tc>
        <w:tc>
          <w:tcPr>
            <w:tcW w:w="556" w:type="pct"/>
            <w:vAlign w:val="center"/>
          </w:tcPr>
          <w:p w14:paraId="0CFFB3B5">
            <w:pPr>
              <w:pStyle w:val="12"/>
              <w:jc w:val="center"/>
              <w:rPr>
                <w:rFonts w:ascii="宋体" w:hAnsi="宋体"/>
              </w:rPr>
            </w:pPr>
            <w:r>
              <w:rPr>
                <w:rFonts w:ascii="宋体" w:hAnsi="宋体"/>
              </w:rPr>
              <w:t>152.45</w:t>
            </w:r>
          </w:p>
        </w:tc>
        <w:tc>
          <w:tcPr>
            <w:tcW w:w="556" w:type="pct"/>
            <w:vAlign w:val="center"/>
          </w:tcPr>
          <w:p w14:paraId="774D96D4">
            <w:pPr>
              <w:pStyle w:val="12"/>
              <w:jc w:val="center"/>
              <w:rPr>
                <w:rFonts w:ascii="宋体" w:hAnsi="宋体"/>
              </w:rPr>
            </w:pPr>
            <w:r>
              <w:rPr>
                <w:rFonts w:ascii="宋体" w:hAnsi="宋体"/>
              </w:rPr>
              <w:t>8.15</w:t>
            </w:r>
          </w:p>
        </w:tc>
        <w:tc>
          <w:tcPr>
            <w:tcW w:w="556" w:type="pct"/>
            <w:vAlign w:val="center"/>
          </w:tcPr>
          <w:p w14:paraId="6D659203">
            <w:pPr>
              <w:pStyle w:val="12"/>
              <w:jc w:val="center"/>
              <w:rPr>
                <w:rFonts w:ascii="宋体" w:hAnsi="宋体"/>
              </w:rPr>
            </w:pPr>
            <w:r>
              <w:rPr>
                <w:rFonts w:ascii="宋体" w:hAnsi="宋体"/>
              </w:rPr>
              <w:t>51.35</w:t>
            </w:r>
          </w:p>
        </w:tc>
      </w:tr>
      <w:tr w14:paraId="4221F1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17917CB7">
            <w:pPr>
              <w:pStyle w:val="12"/>
              <w:jc w:val="center"/>
              <w:rPr>
                <w:rFonts w:ascii="宋体" w:hAnsi="宋体"/>
              </w:rPr>
            </w:pPr>
            <w:r>
              <w:rPr>
                <w:rFonts w:ascii="宋体" w:hAnsi="宋体"/>
              </w:rPr>
              <w:t>1993</w:t>
            </w:r>
          </w:p>
        </w:tc>
        <w:tc>
          <w:tcPr>
            <w:tcW w:w="555" w:type="pct"/>
            <w:vAlign w:val="center"/>
          </w:tcPr>
          <w:p w14:paraId="13365C2C">
            <w:pPr>
              <w:pStyle w:val="12"/>
              <w:jc w:val="center"/>
              <w:rPr>
                <w:rFonts w:ascii="宋体" w:hAnsi="宋体"/>
              </w:rPr>
            </w:pPr>
            <w:r>
              <w:rPr>
                <w:rFonts w:ascii="宋体" w:hAnsi="宋体"/>
              </w:rPr>
              <w:t>10.83</w:t>
            </w:r>
          </w:p>
        </w:tc>
        <w:tc>
          <w:tcPr>
            <w:tcW w:w="556" w:type="pct"/>
            <w:vAlign w:val="center"/>
          </w:tcPr>
          <w:p w14:paraId="08A363FD">
            <w:pPr>
              <w:pStyle w:val="12"/>
              <w:jc w:val="center"/>
              <w:rPr>
                <w:rFonts w:ascii="宋体" w:hAnsi="宋体"/>
              </w:rPr>
            </w:pPr>
            <w:r>
              <w:rPr>
                <w:rFonts w:ascii="宋体" w:hAnsi="宋体"/>
              </w:rPr>
              <w:t>242.17</w:t>
            </w:r>
          </w:p>
        </w:tc>
        <w:tc>
          <w:tcPr>
            <w:tcW w:w="556" w:type="pct"/>
            <w:vAlign w:val="center"/>
          </w:tcPr>
          <w:p w14:paraId="0A362985">
            <w:pPr>
              <w:pStyle w:val="12"/>
              <w:jc w:val="center"/>
              <w:rPr>
                <w:rFonts w:ascii="宋体" w:hAnsi="宋体"/>
              </w:rPr>
            </w:pPr>
            <w:r>
              <w:rPr>
                <w:rFonts w:ascii="宋体" w:hAnsi="宋体"/>
              </w:rPr>
              <w:t>112.5</w:t>
            </w:r>
          </w:p>
        </w:tc>
        <w:tc>
          <w:tcPr>
            <w:tcW w:w="556" w:type="pct"/>
            <w:vAlign w:val="center"/>
          </w:tcPr>
          <w:p w14:paraId="3887D36B">
            <w:pPr>
              <w:pStyle w:val="12"/>
              <w:jc w:val="center"/>
              <w:rPr>
                <w:rFonts w:ascii="宋体" w:hAnsi="宋体"/>
              </w:rPr>
            </w:pPr>
            <w:r>
              <w:rPr>
                <w:rFonts w:ascii="宋体" w:hAnsi="宋体"/>
              </w:rPr>
              <w:t>15</w:t>
            </w:r>
          </w:p>
        </w:tc>
        <w:tc>
          <w:tcPr>
            <w:tcW w:w="556" w:type="pct"/>
            <w:vAlign w:val="center"/>
          </w:tcPr>
          <w:p w14:paraId="184DBDF6">
            <w:pPr>
              <w:pStyle w:val="12"/>
              <w:jc w:val="center"/>
              <w:rPr>
                <w:rFonts w:ascii="宋体" w:hAnsi="宋体"/>
              </w:rPr>
            </w:pPr>
            <w:r>
              <w:rPr>
                <w:rFonts w:ascii="宋体" w:hAnsi="宋体"/>
              </w:rPr>
              <w:t>23.7</w:t>
            </w:r>
          </w:p>
        </w:tc>
        <w:tc>
          <w:tcPr>
            <w:tcW w:w="556" w:type="pct"/>
            <w:vAlign w:val="center"/>
          </w:tcPr>
          <w:p w14:paraId="1A65E0E9">
            <w:pPr>
              <w:pStyle w:val="12"/>
              <w:jc w:val="center"/>
              <w:rPr>
                <w:rFonts w:ascii="宋体" w:hAnsi="宋体"/>
              </w:rPr>
            </w:pPr>
            <w:r>
              <w:rPr>
                <w:rFonts w:ascii="宋体" w:hAnsi="宋体"/>
              </w:rPr>
              <w:t>90.97</w:t>
            </w:r>
          </w:p>
        </w:tc>
        <w:tc>
          <w:tcPr>
            <w:tcW w:w="556" w:type="pct"/>
            <w:vAlign w:val="center"/>
          </w:tcPr>
          <w:p w14:paraId="64719FDE">
            <w:pPr>
              <w:pStyle w:val="12"/>
              <w:jc w:val="center"/>
              <w:rPr>
                <w:rFonts w:ascii="宋体" w:hAnsi="宋体"/>
              </w:rPr>
            </w:pPr>
            <w:r>
              <w:rPr>
                <w:rFonts w:ascii="宋体" w:hAnsi="宋体"/>
              </w:rPr>
              <w:t>6.81</w:t>
            </w:r>
          </w:p>
        </w:tc>
        <w:tc>
          <w:tcPr>
            <w:tcW w:w="556" w:type="pct"/>
            <w:vAlign w:val="center"/>
          </w:tcPr>
          <w:p w14:paraId="58C781C8">
            <w:pPr>
              <w:pStyle w:val="12"/>
              <w:jc w:val="center"/>
              <w:rPr>
                <w:rFonts w:ascii="宋体" w:hAnsi="宋体"/>
              </w:rPr>
            </w:pPr>
            <w:r>
              <w:rPr>
                <w:rFonts w:ascii="宋体" w:hAnsi="宋体"/>
              </w:rPr>
              <w:t>44.88</w:t>
            </w:r>
          </w:p>
        </w:tc>
      </w:tr>
      <w:tr w14:paraId="5BD442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7B2826AD">
            <w:pPr>
              <w:pStyle w:val="12"/>
              <w:jc w:val="center"/>
              <w:rPr>
                <w:rFonts w:ascii="宋体" w:hAnsi="宋体"/>
              </w:rPr>
            </w:pPr>
            <w:r>
              <w:rPr>
                <w:rFonts w:ascii="宋体" w:hAnsi="宋体"/>
              </w:rPr>
              <w:t>1994</w:t>
            </w:r>
          </w:p>
        </w:tc>
        <w:tc>
          <w:tcPr>
            <w:tcW w:w="555" w:type="pct"/>
            <w:vAlign w:val="center"/>
          </w:tcPr>
          <w:p w14:paraId="4747DEEA">
            <w:pPr>
              <w:pStyle w:val="12"/>
              <w:jc w:val="center"/>
              <w:rPr>
                <w:rFonts w:ascii="宋体" w:hAnsi="宋体"/>
              </w:rPr>
            </w:pPr>
            <w:r>
              <w:rPr>
                <w:rFonts w:ascii="宋体" w:hAnsi="宋体"/>
              </w:rPr>
              <w:t>23.99</w:t>
            </w:r>
          </w:p>
        </w:tc>
        <w:tc>
          <w:tcPr>
            <w:tcW w:w="556" w:type="pct"/>
            <w:vAlign w:val="center"/>
          </w:tcPr>
          <w:p w14:paraId="233019BD">
            <w:pPr>
              <w:pStyle w:val="12"/>
              <w:jc w:val="center"/>
              <w:rPr>
                <w:rFonts w:ascii="宋体" w:hAnsi="宋体"/>
              </w:rPr>
            </w:pPr>
            <w:r>
              <w:rPr>
                <w:rFonts w:ascii="宋体" w:hAnsi="宋体"/>
              </w:rPr>
              <w:t>207.02</w:t>
            </w:r>
          </w:p>
        </w:tc>
        <w:tc>
          <w:tcPr>
            <w:tcW w:w="556" w:type="pct"/>
            <w:vAlign w:val="center"/>
          </w:tcPr>
          <w:p w14:paraId="5856A1F1">
            <w:pPr>
              <w:pStyle w:val="12"/>
              <w:jc w:val="center"/>
              <w:rPr>
                <w:rFonts w:ascii="宋体" w:hAnsi="宋体"/>
              </w:rPr>
            </w:pPr>
            <w:r>
              <w:rPr>
                <w:rFonts w:ascii="宋体" w:hAnsi="宋体"/>
              </w:rPr>
              <w:t>101</w:t>
            </w:r>
          </w:p>
        </w:tc>
        <w:tc>
          <w:tcPr>
            <w:tcW w:w="556" w:type="pct"/>
            <w:vAlign w:val="center"/>
          </w:tcPr>
          <w:p w14:paraId="3D8114DC">
            <w:pPr>
              <w:pStyle w:val="12"/>
              <w:jc w:val="center"/>
              <w:rPr>
                <w:rFonts w:ascii="宋体" w:hAnsi="宋体"/>
              </w:rPr>
            </w:pPr>
            <w:r>
              <w:rPr>
                <w:rFonts w:ascii="宋体" w:hAnsi="宋体"/>
              </w:rPr>
              <w:t>15</w:t>
            </w:r>
          </w:p>
        </w:tc>
        <w:tc>
          <w:tcPr>
            <w:tcW w:w="556" w:type="pct"/>
            <w:vAlign w:val="center"/>
          </w:tcPr>
          <w:p w14:paraId="0F2854C4">
            <w:pPr>
              <w:pStyle w:val="12"/>
              <w:jc w:val="center"/>
              <w:rPr>
                <w:rFonts w:ascii="宋体" w:hAnsi="宋体"/>
              </w:rPr>
            </w:pPr>
            <w:r>
              <w:rPr>
                <w:rFonts w:ascii="宋体" w:hAnsi="宋体"/>
              </w:rPr>
              <w:t>10.2</w:t>
            </w:r>
          </w:p>
        </w:tc>
        <w:tc>
          <w:tcPr>
            <w:tcW w:w="556" w:type="pct"/>
            <w:vAlign w:val="center"/>
          </w:tcPr>
          <w:p w14:paraId="5E64C68A">
            <w:pPr>
              <w:pStyle w:val="12"/>
              <w:jc w:val="center"/>
              <w:rPr>
                <w:rFonts w:ascii="宋体" w:hAnsi="宋体"/>
              </w:rPr>
            </w:pPr>
            <w:r>
              <w:rPr>
                <w:rFonts w:ascii="宋体" w:hAnsi="宋体"/>
              </w:rPr>
              <w:t>80.82</w:t>
            </w:r>
          </w:p>
        </w:tc>
        <w:tc>
          <w:tcPr>
            <w:tcW w:w="556" w:type="pct"/>
            <w:vAlign w:val="center"/>
          </w:tcPr>
          <w:p w14:paraId="280344A4">
            <w:pPr>
              <w:pStyle w:val="12"/>
              <w:jc w:val="center"/>
              <w:rPr>
                <w:rFonts w:ascii="宋体" w:hAnsi="宋体"/>
              </w:rPr>
            </w:pPr>
            <w:r>
              <w:rPr>
                <w:rFonts w:ascii="宋体" w:hAnsi="宋体"/>
              </w:rPr>
              <w:t>5.27</w:t>
            </w:r>
          </w:p>
        </w:tc>
        <w:tc>
          <w:tcPr>
            <w:tcW w:w="556" w:type="pct"/>
            <w:vAlign w:val="center"/>
          </w:tcPr>
          <w:p w14:paraId="1BCEAC4F">
            <w:pPr>
              <w:pStyle w:val="12"/>
              <w:jc w:val="center"/>
              <w:rPr>
                <w:rFonts w:ascii="宋体" w:hAnsi="宋体"/>
              </w:rPr>
            </w:pPr>
            <w:r>
              <w:rPr>
                <w:rFonts w:ascii="宋体" w:hAnsi="宋体"/>
              </w:rPr>
              <w:t>34.66</w:t>
            </w:r>
          </w:p>
        </w:tc>
      </w:tr>
      <w:tr w14:paraId="50B34B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1D26AFCF">
            <w:pPr>
              <w:pStyle w:val="12"/>
              <w:jc w:val="center"/>
              <w:rPr>
                <w:rFonts w:ascii="宋体" w:hAnsi="宋体"/>
              </w:rPr>
            </w:pPr>
            <w:r>
              <w:rPr>
                <w:rFonts w:ascii="宋体" w:hAnsi="宋体"/>
              </w:rPr>
              <w:t>1995</w:t>
            </w:r>
          </w:p>
        </w:tc>
        <w:tc>
          <w:tcPr>
            <w:tcW w:w="555" w:type="pct"/>
            <w:vAlign w:val="center"/>
          </w:tcPr>
          <w:p w14:paraId="6FCC74DE">
            <w:pPr>
              <w:pStyle w:val="12"/>
              <w:jc w:val="center"/>
              <w:rPr>
                <w:rFonts w:ascii="宋体" w:hAnsi="宋体"/>
              </w:rPr>
            </w:pPr>
            <w:r>
              <w:rPr>
                <w:rFonts w:ascii="宋体" w:hAnsi="宋体"/>
              </w:rPr>
              <w:t>17.1</w:t>
            </w:r>
          </w:p>
        </w:tc>
        <w:tc>
          <w:tcPr>
            <w:tcW w:w="556" w:type="pct"/>
            <w:vAlign w:val="center"/>
          </w:tcPr>
          <w:p w14:paraId="3FA8F78A">
            <w:pPr>
              <w:pStyle w:val="12"/>
              <w:jc w:val="center"/>
              <w:rPr>
                <w:rFonts w:ascii="宋体" w:hAnsi="宋体"/>
              </w:rPr>
            </w:pPr>
            <w:r>
              <w:rPr>
                <w:rFonts w:ascii="宋体" w:hAnsi="宋体"/>
              </w:rPr>
              <w:t>311.08</w:t>
            </w:r>
          </w:p>
        </w:tc>
        <w:tc>
          <w:tcPr>
            <w:tcW w:w="556" w:type="pct"/>
            <w:vAlign w:val="center"/>
          </w:tcPr>
          <w:p w14:paraId="5C097DF2">
            <w:pPr>
              <w:pStyle w:val="12"/>
              <w:jc w:val="center"/>
              <w:rPr>
                <w:rFonts w:ascii="宋体" w:hAnsi="宋体"/>
              </w:rPr>
            </w:pPr>
            <w:r>
              <w:rPr>
                <w:rFonts w:ascii="宋体" w:hAnsi="宋体"/>
              </w:rPr>
              <w:t>100</w:t>
            </w:r>
          </w:p>
        </w:tc>
        <w:tc>
          <w:tcPr>
            <w:tcW w:w="556" w:type="pct"/>
            <w:vAlign w:val="center"/>
          </w:tcPr>
          <w:p w14:paraId="08676822">
            <w:pPr>
              <w:pStyle w:val="12"/>
              <w:jc w:val="center"/>
              <w:rPr>
                <w:rFonts w:ascii="宋体" w:hAnsi="宋体"/>
              </w:rPr>
            </w:pPr>
            <w:r>
              <w:rPr>
                <w:rFonts w:ascii="宋体" w:hAnsi="宋体"/>
              </w:rPr>
              <w:t>11</w:t>
            </w:r>
          </w:p>
        </w:tc>
        <w:tc>
          <w:tcPr>
            <w:tcW w:w="556" w:type="pct"/>
            <w:vAlign w:val="center"/>
          </w:tcPr>
          <w:p w14:paraId="5AC66F6C">
            <w:pPr>
              <w:pStyle w:val="12"/>
              <w:jc w:val="center"/>
              <w:rPr>
                <w:rFonts w:ascii="宋体" w:hAnsi="宋体"/>
              </w:rPr>
            </w:pPr>
            <w:r>
              <w:rPr>
                <w:rFonts w:ascii="宋体" w:hAnsi="宋体"/>
              </w:rPr>
              <w:t>83.58</w:t>
            </w:r>
          </w:p>
        </w:tc>
        <w:tc>
          <w:tcPr>
            <w:tcW w:w="556" w:type="pct"/>
            <w:vAlign w:val="center"/>
          </w:tcPr>
          <w:p w14:paraId="0764C022">
            <w:pPr>
              <w:pStyle w:val="12"/>
              <w:jc w:val="center"/>
              <w:rPr>
                <w:rFonts w:ascii="宋体" w:hAnsi="宋体"/>
              </w:rPr>
            </w:pPr>
            <w:r>
              <w:rPr>
                <w:rFonts w:ascii="宋体" w:hAnsi="宋体"/>
              </w:rPr>
              <w:t>116.5</w:t>
            </w:r>
          </w:p>
        </w:tc>
        <w:tc>
          <w:tcPr>
            <w:tcW w:w="556" w:type="pct"/>
            <w:vAlign w:val="center"/>
          </w:tcPr>
          <w:p w14:paraId="6BD42B9E">
            <w:pPr>
              <w:pStyle w:val="12"/>
              <w:jc w:val="center"/>
              <w:rPr>
                <w:rFonts w:ascii="宋体" w:hAnsi="宋体"/>
              </w:rPr>
            </w:pPr>
            <w:r>
              <w:rPr>
                <w:rFonts w:ascii="宋体" w:hAnsi="宋体"/>
              </w:rPr>
              <w:t>4.85</w:t>
            </w:r>
          </w:p>
        </w:tc>
        <w:tc>
          <w:tcPr>
            <w:tcW w:w="556" w:type="pct"/>
            <w:vAlign w:val="center"/>
          </w:tcPr>
          <w:p w14:paraId="6C3A5943">
            <w:pPr>
              <w:pStyle w:val="12"/>
              <w:jc w:val="center"/>
              <w:rPr>
                <w:rFonts w:ascii="宋体" w:hAnsi="宋体"/>
              </w:rPr>
            </w:pPr>
            <w:r>
              <w:rPr>
                <w:rFonts w:ascii="宋体" w:hAnsi="宋体"/>
              </w:rPr>
              <w:t>34.36</w:t>
            </w:r>
          </w:p>
        </w:tc>
      </w:tr>
      <w:tr w14:paraId="26E31D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37CC0D02">
            <w:pPr>
              <w:pStyle w:val="12"/>
              <w:jc w:val="center"/>
              <w:rPr>
                <w:rFonts w:ascii="宋体" w:hAnsi="宋体"/>
              </w:rPr>
            </w:pPr>
            <w:r>
              <w:rPr>
                <w:rFonts w:ascii="宋体" w:hAnsi="宋体"/>
              </w:rPr>
              <w:t>1996</w:t>
            </w:r>
          </w:p>
        </w:tc>
        <w:tc>
          <w:tcPr>
            <w:tcW w:w="555" w:type="pct"/>
            <w:vAlign w:val="center"/>
          </w:tcPr>
          <w:p w14:paraId="529F7C9B">
            <w:pPr>
              <w:pStyle w:val="12"/>
              <w:jc w:val="center"/>
              <w:rPr>
                <w:rFonts w:ascii="宋体" w:hAnsi="宋体"/>
              </w:rPr>
            </w:pPr>
            <w:r>
              <w:rPr>
                <w:rFonts w:ascii="宋体" w:hAnsi="宋体"/>
              </w:rPr>
              <w:t>12</w:t>
            </w:r>
          </w:p>
        </w:tc>
        <w:tc>
          <w:tcPr>
            <w:tcW w:w="556" w:type="pct"/>
            <w:vAlign w:val="center"/>
          </w:tcPr>
          <w:p w14:paraId="3847A164">
            <w:pPr>
              <w:pStyle w:val="12"/>
              <w:jc w:val="center"/>
              <w:rPr>
                <w:rFonts w:ascii="宋体" w:hAnsi="宋体"/>
              </w:rPr>
            </w:pPr>
            <w:r>
              <w:rPr>
                <w:rFonts w:ascii="宋体" w:hAnsi="宋体"/>
              </w:rPr>
              <w:t>573</w:t>
            </w:r>
          </w:p>
        </w:tc>
        <w:tc>
          <w:tcPr>
            <w:tcW w:w="556" w:type="pct"/>
            <w:vAlign w:val="center"/>
          </w:tcPr>
          <w:p w14:paraId="44CFC8E5">
            <w:pPr>
              <w:pStyle w:val="12"/>
              <w:jc w:val="center"/>
              <w:rPr>
                <w:rFonts w:ascii="宋体" w:hAnsi="宋体"/>
              </w:rPr>
            </w:pPr>
            <w:r>
              <w:rPr>
                <w:rFonts w:ascii="宋体" w:hAnsi="宋体"/>
              </w:rPr>
              <w:t>117.4</w:t>
            </w:r>
          </w:p>
        </w:tc>
        <w:tc>
          <w:tcPr>
            <w:tcW w:w="556" w:type="pct"/>
            <w:vAlign w:val="center"/>
          </w:tcPr>
          <w:p w14:paraId="44968F05">
            <w:pPr>
              <w:pStyle w:val="12"/>
              <w:jc w:val="center"/>
              <w:rPr>
                <w:rFonts w:ascii="宋体" w:hAnsi="宋体"/>
              </w:rPr>
            </w:pPr>
            <w:r>
              <w:rPr>
                <w:rFonts w:ascii="宋体" w:hAnsi="宋体"/>
              </w:rPr>
              <w:t>10</w:t>
            </w:r>
          </w:p>
        </w:tc>
        <w:tc>
          <w:tcPr>
            <w:tcW w:w="556" w:type="pct"/>
            <w:vAlign w:val="center"/>
          </w:tcPr>
          <w:p w14:paraId="0B4D6E7B">
            <w:pPr>
              <w:pStyle w:val="12"/>
              <w:jc w:val="center"/>
              <w:rPr>
                <w:rFonts w:ascii="宋体" w:hAnsi="宋体"/>
              </w:rPr>
            </w:pPr>
            <w:r>
              <w:rPr>
                <w:rFonts w:ascii="宋体" w:hAnsi="宋体"/>
              </w:rPr>
              <w:t>102.01</w:t>
            </w:r>
          </w:p>
        </w:tc>
        <w:tc>
          <w:tcPr>
            <w:tcW w:w="556" w:type="pct"/>
            <w:vAlign w:val="center"/>
          </w:tcPr>
          <w:p w14:paraId="72175C85">
            <w:pPr>
              <w:pStyle w:val="12"/>
              <w:jc w:val="center"/>
              <w:rPr>
                <w:rFonts w:ascii="宋体" w:hAnsi="宋体"/>
              </w:rPr>
            </w:pPr>
            <w:r>
              <w:rPr>
                <w:rFonts w:ascii="宋体" w:hAnsi="宋体"/>
              </w:rPr>
              <w:t>342.67</w:t>
            </w:r>
          </w:p>
        </w:tc>
        <w:tc>
          <w:tcPr>
            <w:tcW w:w="556" w:type="pct"/>
            <w:vAlign w:val="center"/>
          </w:tcPr>
          <w:p w14:paraId="480D9FEF">
            <w:pPr>
              <w:pStyle w:val="12"/>
              <w:jc w:val="center"/>
              <w:rPr>
                <w:rFonts w:ascii="宋体" w:hAnsi="宋体"/>
              </w:rPr>
            </w:pPr>
            <w:r>
              <w:rPr>
                <w:rFonts w:ascii="宋体" w:hAnsi="宋体"/>
              </w:rPr>
              <w:t>40.46</w:t>
            </w:r>
          </w:p>
        </w:tc>
        <w:tc>
          <w:tcPr>
            <w:tcW w:w="556" w:type="pct"/>
            <w:vAlign w:val="center"/>
          </w:tcPr>
          <w:p w14:paraId="64401E60">
            <w:pPr>
              <w:pStyle w:val="12"/>
              <w:jc w:val="center"/>
              <w:rPr>
                <w:rFonts w:ascii="宋体" w:hAnsi="宋体"/>
              </w:rPr>
            </w:pPr>
            <w:r>
              <w:rPr>
                <w:rFonts w:ascii="宋体" w:hAnsi="宋体"/>
              </w:rPr>
              <w:t>79.5</w:t>
            </w:r>
          </w:p>
        </w:tc>
      </w:tr>
      <w:tr w14:paraId="4DFB2D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36D8F295">
            <w:pPr>
              <w:pStyle w:val="12"/>
              <w:jc w:val="center"/>
              <w:rPr>
                <w:rFonts w:ascii="宋体" w:hAnsi="宋体"/>
              </w:rPr>
            </w:pPr>
            <w:r>
              <w:rPr>
                <w:rFonts w:ascii="宋体" w:hAnsi="宋体"/>
              </w:rPr>
              <w:t>1997</w:t>
            </w:r>
          </w:p>
        </w:tc>
        <w:tc>
          <w:tcPr>
            <w:tcW w:w="555" w:type="pct"/>
            <w:vAlign w:val="center"/>
          </w:tcPr>
          <w:p w14:paraId="4EC81FC0">
            <w:pPr>
              <w:pStyle w:val="12"/>
              <w:jc w:val="center"/>
              <w:rPr>
                <w:rFonts w:ascii="宋体" w:hAnsi="宋体"/>
              </w:rPr>
            </w:pPr>
            <w:r>
              <w:rPr>
                <w:rFonts w:ascii="宋体" w:hAnsi="宋体"/>
              </w:rPr>
              <w:t>14.5</w:t>
            </w:r>
          </w:p>
        </w:tc>
        <w:tc>
          <w:tcPr>
            <w:tcW w:w="556" w:type="pct"/>
            <w:vAlign w:val="center"/>
          </w:tcPr>
          <w:p w14:paraId="4250C819">
            <w:pPr>
              <w:pStyle w:val="12"/>
              <w:jc w:val="center"/>
              <w:rPr>
                <w:rFonts w:ascii="宋体" w:hAnsi="宋体"/>
              </w:rPr>
            </w:pPr>
            <w:r>
              <w:rPr>
                <w:rFonts w:ascii="宋体" w:hAnsi="宋体"/>
              </w:rPr>
              <w:t>565.05</w:t>
            </w:r>
          </w:p>
        </w:tc>
        <w:tc>
          <w:tcPr>
            <w:tcW w:w="556" w:type="pct"/>
            <w:vAlign w:val="center"/>
          </w:tcPr>
          <w:p w14:paraId="2DFCBE92">
            <w:pPr>
              <w:pStyle w:val="12"/>
              <w:jc w:val="center"/>
              <w:rPr>
                <w:rFonts w:ascii="宋体" w:hAnsi="宋体"/>
              </w:rPr>
            </w:pPr>
            <w:r>
              <w:rPr>
                <w:rFonts w:ascii="宋体" w:hAnsi="宋体"/>
              </w:rPr>
              <w:t>126.8</w:t>
            </w:r>
          </w:p>
        </w:tc>
        <w:tc>
          <w:tcPr>
            <w:tcW w:w="556" w:type="pct"/>
            <w:vAlign w:val="center"/>
          </w:tcPr>
          <w:p w14:paraId="664EBC84">
            <w:pPr>
              <w:pStyle w:val="12"/>
              <w:jc w:val="center"/>
              <w:rPr>
                <w:rFonts w:ascii="宋体" w:hAnsi="宋体"/>
              </w:rPr>
            </w:pPr>
            <w:r>
              <w:rPr>
                <w:rFonts w:ascii="宋体" w:hAnsi="宋体"/>
              </w:rPr>
              <w:t>—</w:t>
            </w:r>
          </w:p>
        </w:tc>
        <w:tc>
          <w:tcPr>
            <w:tcW w:w="556" w:type="pct"/>
            <w:vAlign w:val="center"/>
          </w:tcPr>
          <w:p w14:paraId="18BF9C6C">
            <w:pPr>
              <w:pStyle w:val="12"/>
              <w:jc w:val="center"/>
              <w:rPr>
                <w:rFonts w:ascii="宋体" w:hAnsi="宋体"/>
              </w:rPr>
            </w:pPr>
            <w:r>
              <w:rPr>
                <w:rFonts w:ascii="宋体" w:hAnsi="宋体"/>
              </w:rPr>
              <w:t>112.8</w:t>
            </w:r>
          </w:p>
        </w:tc>
        <w:tc>
          <w:tcPr>
            <w:tcW w:w="556" w:type="pct"/>
            <w:vAlign w:val="center"/>
          </w:tcPr>
          <w:p w14:paraId="0A5DECA3">
            <w:pPr>
              <w:pStyle w:val="12"/>
              <w:jc w:val="center"/>
              <w:rPr>
                <w:rFonts w:ascii="宋体" w:hAnsi="宋体"/>
              </w:rPr>
            </w:pPr>
            <w:r>
              <w:rPr>
                <w:rFonts w:ascii="宋体" w:hAnsi="宋体"/>
              </w:rPr>
              <w:t>325.45</w:t>
            </w:r>
          </w:p>
        </w:tc>
        <w:tc>
          <w:tcPr>
            <w:tcW w:w="556" w:type="pct"/>
            <w:vAlign w:val="center"/>
          </w:tcPr>
          <w:p w14:paraId="749DBB52">
            <w:pPr>
              <w:pStyle w:val="12"/>
              <w:jc w:val="center"/>
              <w:rPr>
                <w:rFonts w:ascii="宋体" w:hAnsi="宋体"/>
              </w:rPr>
            </w:pPr>
            <w:r>
              <w:rPr>
                <w:rFonts w:ascii="宋体" w:hAnsi="宋体"/>
              </w:rPr>
              <w:t>168.53</w:t>
            </w:r>
          </w:p>
        </w:tc>
        <w:tc>
          <w:tcPr>
            <w:tcW w:w="556" w:type="pct"/>
            <w:vAlign w:val="center"/>
          </w:tcPr>
          <w:p w14:paraId="313ABF15">
            <w:pPr>
              <w:pStyle w:val="12"/>
              <w:jc w:val="center"/>
              <w:rPr>
                <w:rFonts w:ascii="宋体" w:hAnsi="宋体"/>
              </w:rPr>
            </w:pPr>
            <w:r>
              <w:rPr>
                <w:rFonts w:ascii="宋体" w:hAnsi="宋体"/>
              </w:rPr>
              <w:t>74.83</w:t>
            </w:r>
          </w:p>
        </w:tc>
      </w:tr>
      <w:tr w14:paraId="535AB5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4172B640">
            <w:pPr>
              <w:pStyle w:val="12"/>
              <w:jc w:val="center"/>
              <w:rPr>
                <w:rFonts w:ascii="宋体" w:hAnsi="宋体"/>
              </w:rPr>
            </w:pPr>
            <w:r>
              <w:rPr>
                <w:rFonts w:ascii="宋体" w:hAnsi="宋体"/>
              </w:rPr>
              <w:t>1998</w:t>
            </w:r>
          </w:p>
        </w:tc>
        <w:tc>
          <w:tcPr>
            <w:tcW w:w="555" w:type="pct"/>
            <w:vAlign w:val="center"/>
          </w:tcPr>
          <w:p w14:paraId="36072041">
            <w:pPr>
              <w:pStyle w:val="12"/>
              <w:jc w:val="center"/>
              <w:rPr>
                <w:rFonts w:ascii="宋体" w:hAnsi="宋体"/>
              </w:rPr>
            </w:pPr>
            <w:r>
              <w:rPr>
                <w:rFonts w:ascii="宋体" w:hAnsi="宋体"/>
              </w:rPr>
              <w:t>11.5</w:t>
            </w:r>
          </w:p>
        </w:tc>
        <w:tc>
          <w:tcPr>
            <w:tcW w:w="556" w:type="pct"/>
            <w:vAlign w:val="center"/>
          </w:tcPr>
          <w:p w14:paraId="757981CA">
            <w:pPr>
              <w:pStyle w:val="12"/>
              <w:jc w:val="center"/>
              <w:rPr>
                <w:rFonts w:ascii="宋体" w:hAnsi="宋体"/>
              </w:rPr>
            </w:pPr>
            <w:r>
              <w:rPr>
                <w:rFonts w:ascii="宋体" w:hAnsi="宋体"/>
              </w:rPr>
              <w:t>558.78</w:t>
            </w:r>
          </w:p>
        </w:tc>
        <w:tc>
          <w:tcPr>
            <w:tcW w:w="556" w:type="pct"/>
            <w:vAlign w:val="center"/>
          </w:tcPr>
          <w:p w14:paraId="46BF43F5">
            <w:pPr>
              <w:pStyle w:val="12"/>
              <w:jc w:val="center"/>
              <w:rPr>
                <w:rFonts w:ascii="宋体" w:hAnsi="宋体"/>
              </w:rPr>
            </w:pPr>
            <w:r>
              <w:rPr>
                <w:rFonts w:ascii="宋体" w:hAnsi="宋体"/>
              </w:rPr>
              <w:t>129</w:t>
            </w:r>
          </w:p>
        </w:tc>
        <w:tc>
          <w:tcPr>
            <w:tcW w:w="556" w:type="pct"/>
            <w:vAlign w:val="center"/>
          </w:tcPr>
          <w:p w14:paraId="2E654831">
            <w:pPr>
              <w:pStyle w:val="12"/>
              <w:jc w:val="center"/>
              <w:rPr>
                <w:rFonts w:ascii="宋体" w:hAnsi="宋体"/>
              </w:rPr>
            </w:pPr>
            <w:r>
              <w:rPr>
                <w:rFonts w:ascii="宋体" w:hAnsi="宋体"/>
              </w:rPr>
              <w:t>10</w:t>
            </w:r>
          </w:p>
        </w:tc>
        <w:tc>
          <w:tcPr>
            <w:tcW w:w="556" w:type="pct"/>
            <w:vAlign w:val="center"/>
          </w:tcPr>
          <w:p w14:paraId="2BE418E4">
            <w:pPr>
              <w:pStyle w:val="12"/>
              <w:jc w:val="center"/>
              <w:rPr>
                <w:rFonts w:ascii="宋体" w:hAnsi="宋体"/>
              </w:rPr>
            </w:pPr>
            <w:r>
              <w:rPr>
                <w:rFonts w:ascii="宋体" w:hAnsi="宋体"/>
              </w:rPr>
              <w:t>88.5</w:t>
            </w:r>
          </w:p>
        </w:tc>
        <w:tc>
          <w:tcPr>
            <w:tcW w:w="556" w:type="pct"/>
            <w:vAlign w:val="center"/>
          </w:tcPr>
          <w:p w14:paraId="21BE76DE">
            <w:pPr>
              <w:pStyle w:val="12"/>
              <w:jc w:val="center"/>
              <w:rPr>
                <w:rFonts w:ascii="宋体" w:hAnsi="宋体"/>
              </w:rPr>
            </w:pPr>
            <w:r>
              <w:rPr>
                <w:rFonts w:ascii="宋体" w:hAnsi="宋体"/>
              </w:rPr>
              <w:t>331.18</w:t>
            </w:r>
          </w:p>
        </w:tc>
        <w:tc>
          <w:tcPr>
            <w:tcW w:w="556" w:type="pct"/>
            <w:vAlign w:val="center"/>
          </w:tcPr>
          <w:p w14:paraId="02A03F34">
            <w:pPr>
              <w:pStyle w:val="12"/>
              <w:jc w:val="center"/>
              <w:rPr>
                <w:rFonts w:ascii="宋体" w:hAnsi="宋体"/>
              </w:rPr>
            </w:pPr>
            <w:r>
              <w:rPr>
                <w:rFonts w:ascii="宋体" w:hAnsi="宋体"/>
              </w:rPr>
              <w:t>45.6</w:t>
            </w:r>
          </w:p>
        </w:tc>
        <w:tc>
          <w:tcPr>
            <w:tcW w:w="556" w:type="pct"/>
            <w:vAlign w:val="center"/>
          </w:tcPr>
          <w:p w14:paraId="4D15B26A">
            <w:pPr>
              <w:pStyle w:val="12"/>
              <w:jc w:val="center"/>
              <w:rPr>
                <w:rFonts w:ascii="宋体" w:hAnsi="宋体"/>
              </w:rPr>
            </w:pPr>
            <w:r>
              <w:rPr>
                <w:rFonts w:ascii="宋体" w:hAnsi="宋体"/>
              </w:rPr>
              <w:t>88.4</w:t>
            </w:r>
          </w:p>
        </w:tc>
      </w:tr>
      <w:tr w14:paraId="1C4AE3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01C3A16F">
            <w:pPr>
              <w:pStyle w:val="12"/>
              <w:jc w:val="center"/>
              <w:rPr>
                <w:rFonts w:ascii="宋体" w:hAnsi="宋体"/>
              </w:rPr>
            </w:pPr>
            <w:r>
              <w:rPr>
                <w:rFonts w:ascii="宋体" w:hAnsi="宋体"/>
              </w:rPr>
              <w:t>1999</w:t>
            </w:r>
          </w:p>
        </w:tc>
        <w:tc>
          <w:tcPr>
            <w:tcW w:w="555" w:type="pct"/>
            <w:vAlign w:val="center"/>
          </w:tcPr>
          <w:p w14:paraId="5FC14C17">
            <w:pPr>
              <w:pStyle w:val="12"/>
              <w:jc w:val="center"/>
              <w:rPr>
                <w:rFonts w:ascii="宋体" w:hAnsi="宋体"/>
              </w:rPr>
            </w:pPr>
            <w:r>
              <w:rPr>
                <w:rFonts w:ascii="宋体" w:hAnsi="宋体"/>
              </w:rPr>
              <w:t>11.5</w:t>
            </w:r>
          </w:p>
        </w:tc>
        <w:tc>
          <w:tcPr>
            <w:tcW w:w="556" w:type="pct"/>
            <w:vAlign w:val="center"/>
          </w:tcPr>
          <w:p w14:paraId="6FE77332">
            <w:pPr>
              <w:pStyle w:val="12"/>
              <w:jc w:val="center"/>
              <w:rPr>
                <w:rFonts w:ascii="宋体" w:hAnsi="宋体"/>
              </w:rPr>
            </w:pPr>
            <w:r>
              <w:rPr>
                <w:rFonts w:ascii="宋体" w:hAnsi="宋体"/>
              </w:rPr>
              <w:t>494.59</w:t>
            </w:r>
          </w:p>
        </w:tc>
        <w:tc>
          <w:tcPr>
            <w:tcW w:w="556" w:type="pct"/>
            <w:vAlign w:val="center"/>
          </w:tcPr>
          <w:p w14:paraId="14AE6311">
            <w:pPr>
              <w:pStyle w:val="12"/>
              <w:jc w:val="center"/>
              <w:rPr>
                <w:rFonts w:ascii="宋体" w:hAnsi="宋体"/>
              </w:rPr>
            </w:pPr>
            <w:r>
              <w:rPr>
                <w:rFonts w:ascii="宋体" w:hAnsi="宋体"/>
              </w:rPr>
              <w:t>98.35</w:t>
            </w:r>
          </w:p>
        </w:tc>
        <w:tc>
          <w:tcPr>
            <w:tcW w:w="556" w:type="pct"/>
            <w:vAlign w:val="center"/>
          </w:tcPr>
          <w:p w14:paraId="68582D97">
            <w:pPr>
              <w:pStyle w:val="12"/>
              <w:jc w:val="center"/>
              <w:rPr>
                <w:rFonts w:ascii="宋体" w:hAnsi="宋体"/>
              </w:rPr>
            </w:pPr>
            <w:r>
              <w:rPr>
                <w:rFonts w:ascii="宋体" w:hAnsi="宋体"/>
              </w:rPr>
              <w:t>10</w:t>
            </w:r>
          </w:p>
        </w:tc>
        <w:tc>
          <w:tcPr>
            <w:tcW w:w="556" w:type="pct"/>
            <w:vAlign w:val="center"/>
          </w:tcPr>
          <w:p w14:paraId="3600E97E">
            <w:pPr>
              <w:pStyle w:val="12"/>
              <w:jc w:val="center"/>
              <w:rPr>
                <w:rFonts w:ascii="宋体" w:hAnsi="宋体"/>
              </w:rPr>
            </w:pPr>
            <w:r>
              <w:rPr>
                <w:rFonts w:ascii="宋体" w:hAnsi="宋体"/>
              </w:rPr>
              <w:t>95.64</w:t>
            </w:r>
          </w:p>
        </w:tc>
        <w:tc>
          <w:tcPr>
            <w:tcW w:w="556" w:type="pct"/>
            <w:vAlign w:val="center"/>
          </w:tcPr>
          <w:p w14:paraId="6E585BFF">
            <w:pPr>
              <w:pStyle w:val="12"/>
              <w:jc w:val="center"/>
              <w:rPr>
                <w:rFonts w:ascii="宋体" w:hAnsi="宋体"/>
              </w:rPr>
            </w:pPr>
            <w:r>
              <w:rPr>
                <w:rFonts w:ascii="宋体" w:hAnsi="宋体"/>
              </w:rPr>
              <w:t>290.6</w:t>
            </w:r>
          </w:p>
        </w:tc>
        <w:tc>
          <w:tcPr>
            <w:tcW w:w="556" w:type="pct"/>
            <w:vAlign w:val="center"/>
          </w:tcPr>
          <w:p w14:paraId="1B7ABB9B">
            <w:pPr>
              <w:pStyle w:val="12"/>
              <w:jc w:val="center"/>
              <w:rPr>
                <w:rFonts w:ascii="宋体" w:hAnsi="宋体"/>
              </w:rPr>
            </w:pPr>
            <w:r>
              <w:rPr>
                <w:rFonts w:ascii="宋体" w:hAnsi="宋体"/>
              </w:rPr>
              <w:t>59.07</w:t>
            </w:r>
          </w:p>
        </w:tc>
        <w:tc>
          <w:tcPr>
            <w:tcW w:w="556" w:type="pct"/>
            <w:vAlign w:val="center"/>
          </w:tcPr>
          <w:p w14:paraId="5008A93A">
            <w:pPr>
              <w:pStyle w:val="12"/>
              <w:jc w:val="center"/>
              <w:rPr>
                <w:rFonts w:ascii="宋体" w:hAnsi="宋体"/>
              </w:rPr>
            </w:pPr>
            <w:r>
              <w:rPr>
                <w:rFonts w:ascii="宋体" w:hAnsi="宋体"/>
              </w:rPr>
              <w:t>72.58</w:t>
            </w:r>
          </w:p>
        </w:tc>
      </w:tr>
      <w:tr w14:paraId="0F3A9D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22C2B092">
            <w:pPr>
              <w:pStyle w:val="12"/>
              <w:jc w:val="center"/>
              <w:rPr>
                <w:rFonts w:ascii="宋体" w:hAnsi="宋体"/>
              </w:rPr>
            </w:pPr>
            <w:r>
              <w:rPr>
                <w:rFonts w:ascii="宋体" w:hAnsi="宋体"/>
              </w:rPr>
              <w:t>2000</w:t>
            </w:r>
          </w:p>
        </w:tc>
        <w:tc>
          <w:tcPr>
            <w:tcW w:w="555" w:type="pct"/>
            <w:vAlign w:val="center"/>
          </w:tcPr>
          <w:p w14:paraId="56918306">
            <w:pPr>
              <w:pStyle w:val="12"/>
              <w:jc w:val="center"/>
              <w:rPr>
                <w:rFonts w:ascii="宋体" w:hAnsi="宋体"/>
              </w:rPr>
            </w:pPr>
            <w:r>
              <w:rPr>
                <w:rFonts w:ascii="宋体" w:hAnsi="宋体"/>
              </w:rPr>
              <w:t>10..6</w:t>
            </w:r>
          </w:p>
        </w:tc>
        <w:tc>
          <w:tcPr>
            <w:tcW w:w="556" w:type="pct"/>
            <w:vAlign w:val="center"/>
          </w:tcPr>
          <w:p w14:paraId="3258184D">
            <w:pPr>
              <w:pStyle w:val="12"/>
              <w:jc w:val="center"/>
              <w:rPr>
                <w:rFonts w:ascii="宋体" w:hAnsi="宋体"/>
              </w:rPr>
            </w:pPr>
            <w:r>
              <w:rPr>
                <w:rFonts w:ascii="宋体" w:hAnsi="宋体"/>
              </w:rPr>
              <w:t>466.57</w:t>
            </w:r>
          </w:p>
        </w:tc>
        <w:tc>
          <w:tcPr>
            <w:tcW w:w="556" w:type="pct"/>
            <w:vAlign w:val="center"/>
          </w:tcPr>
          <w:p w14:paraId="72FD5BC6">
            <w:pPr>
              <w:pStyle w:val="12"/>
              <w:jc w:val="center"/>
              <w:rPr>
                <w:rFonts w:ascii="宋体" w:hAnsi="宋体"/>
              </w:rPr>
            </w:pPr>
            <w:r>
              <w:rPr>
                <w:rFonts w:ascii="宋体" w:hAnsi="宋体"/>
              </w:rPr>
              <w:t>132</w:t>
            </w:r>
          </w:p>
        </w:tc>
        <w:tc>
          <w:tcPr>
            <w:tcW w:w="556" w:type="pct"/>
            <w:vAlign w:val="center"/>
          </w:tcPr>
          <w:p w14:paraId="3DDBD8E1">
            <w:pPr>
              <w:pStyle w:val="12"/>
              <w:jc w:val="center"/>
              <w:rPr>
                <w:rFonts w:ascii="宋体" w:hAnsi="宋体"/>
              </w:rPr>
            </w:pPr>
            <w:r>
              <w:rPr>
                <w:rFonts w:ascii="宋体" w:hAnsi="宋体"/>
              </w:rPr>
              <w:t>5</w:t>
            </w:r>
          </w:p>
        </w:tc>
        <w:tc>
          <w:tcPr>
            <w:tcW w:w="556" w:type="pct"/>
            <w:vAlign w:val="center"/>
          </w:tcPr>
          <w:p w14:paraId="525090E8">
            <w:pPr>
              <w:pStyle w:val="12"/>
              <w:jc w:val="center"/>
              <w:rPr>
                <w:rFonts w:ascii="宋体" w:hAnsi="宋体"/>
              </w:rPr>
            </w:pPr>
            <w:r>
              <w:rPr>
                <w:rFonts w:ascii="宋体" w:hAnsi="宋体"/>
              </w:rPr>
              <w:t>82.97</w:t>
            </w:r>
          </w:p>
        </w:tc>
        <w:tc>
          <w:tcPr>
            <w:tcW w:w="556" w:type="pct"/>
            <w:vAlign w:val="center"/>
          </w:tcPr>
          <w:p w14:paraId="7A44E8EF">
            <w:pPr>
              <w:pStyle w:val="12"/>
              <w:jc w:val="center"/>
              <w:rPr>
                <w:rFonts w:ascii="宋体" w:hAnsi="宋体"/>
              </w:rPr>
            </w:pPr>
            <w:r>
              <w:rPr>
                <w:rFonts w:ascii="宋体" w:hAnsi="宋体"/>
              </w:rPr>
              <w:t>246.6</w:t>
            </w:r>
          </w:p>
        </w:tc>
        <w:tc>
          <w:tcPr>
            <w:tcW w:w="556" w:type="pct"/>
            <w:vAlign w:val="center"/>
          </w:tcPr>
          <w:p w14:paraId="388332B3">
            <w:pPr>
              <w:pStyle w:val="12"/>
              <w:jc w:val="center"/>
              <w:rPr>
                <w:rFonts w:ascii="宋体" w:hAnsi="宋体"/>
              </w:rPr>
            </w:pPr>
            <w:r>
              <w:rPr>
                <w:rFonts w:ascii="宋体" w:hAnsi="宋体"/>
              </w:rPr>
              <w:t>23.66</w:t>
            </w:r>
          </w:p>
        </w:tc>
        <w:tc>
          <w:tcPr>
            <w:tcW w:w="556" w:type="pct"/>
            <w:vAlign w:val="center"/>
          </w:tcPr>
          <w:p w14:paraId="2BB67A2E">
            <w:pPr>
              <w:pStyle w:val="12"/>
              <w:jc w:val="center"/>
              <w:rPr>
                <w:rFonts w:ascii="宋体" w:hAnsi="宋体"/>
              </w:rPr>
            </w:pPr>
            <w:r>
              <w:rPr>
                <w:rFonts w:ascii="宋体" w:hAnsi="宋体"/>
              </w:rPr>
              <w:t>94.14</w:t>
            </w:r>
          </w:p>
        </w:tc>
      </w:tr>
      <w:tr w14:paraId="7A89F5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5AA617B0">
            <w:pPr>
              <w:pStyle w:val="12"/>
              <w:jc w:val="center"/>
              <w:rPr>
                <w:rFonts w:ascii="宋体" w:hAnsi="宋体"/>
              </w:rPr>
            </w:pPr>
            <w:r>
              <w:rPr>
                <w:rFonts w:ascii="宋体" w:hAnsi="宋体"/>
              </w:rPr>
              <w:t>2001</w:t>
            </w:r>
          </w:p>
        </w:tc>
        <w:tc>
          <w:tcPr>
            <w:tcW w:w="555" w:type="pct"/>
            <w:vAlign w:val="center"/>
          </w:tcPr>
          <w:p w14:paraId="7916DD7D">
            <w:pPr>
              <w:pStyle w:val="12"/>
              <w:jc w:val="center"/>
              <w:rPr>
                <w:rFonts w:ascii="宋体" w:hAnsi="宋体"/>
              </w:rPr>
            </w:pPr>
            <w:r>
              <w:rPr>
                <w:rFonts w:ascii="宋体" w:hAnsi="宋体"/>
              </w:rPr>
              <w:t>—</w:t>
            </w:r>
          </w:p>
        </w:tc>
        <w:tc>
          <w:tcPr>
            <w:tcW w:w="556" w:type="pct"/>
            <w:vAlign w:val="center"/>
          </w:tcPr>
          <w:p w14:paraId="68C57A5C">
            <w:pPr>
              <w:pStyle w:val="12"/>
              <w:jc w:val="center"/>
              <w:rPr>
                <w:rFonts w:ascii="宋体" w:hAnsi="宋体"/>
              </w:rPr>
            </w:pPr>
            <w:r>
              <w:rPr>
                <w:rFonts w:ascii="宋体" w:hAnsi="宋体"/>
              </w:rPr>
              <w:t>—</w:t>
            </w:r>
          </w:p>
        </w:tc>
        <w:tc>
          <w:tcPr>
            <w:tcW w:w="556" w:type="pct"/>
            <w:vAlign w:val="center"/>
          </w:tcPr>
          <w:p w14:paraId="6A799B9C">
            <w:pPr>
              <w:pStyle w:val="12"/>
              <w:jc w:val="center"/>
              <w:rPr>
                <w:rFonts w:ascii="宋体" w:hAnsi="宋体"/>
              </w:rPr>
            </w:pPr>
            <w:r>
              <w:rPr>
                <w:rFonts w:ascii="宋体" w:hAnsi="宋体"/>
              </w:rPr>
              <w:t>—</w:t>
            </w:r>
          </w:p>
        </w:tc>
        <w:tc>
          <w:tcPr>
            <w:tcW w:w="556" w:type="pct"/>
            <w:vAlign w:val="center"/>
          </w:tcPr>
          <w:p w14:paraId="19FB3264">
            <w:pPr>
              <w:pStyle w:val="12"/>
              <w:jc w:val="center"/>
              <w:rPr>
                <w:rFonts w:ascii="宋体" w:hAnsi="宋体"/>
              </w:rPr>
            </w:pPr>
            <w:r>
              <w:rPr>
                <w:rFonts w:ascii="宋体" w:hAnsi="宋体"/>
              </w:rPr>
              <w:t>—</w:t>
            </w:r>
          </w:p>
        </w:tc>
        <w:tc>
          <w:tcPr>
            <w:tcW w:w="556" w:type="pct"/>
            <w:vAlign w:val="center"/>
          </w:tcPr>
          <w:p w14:paraId="7BE0CE45">
            <w:pPr>
              <w:pStyle w:val="12"/>
              <w:jc w:val="center"/>
              <w:rPr>
                <w:rFonts w:ascii="宋体" w:hAnsi="宋体"/>
              </w:rPr>
            </w:pPr>
            <w:r>
              <w:rPr>
                <w:rFonts w:ascii="宋体" w:hAnsi="宋体"/>
              </w:rPr>
              <w:t>—</w:t>
            </w:r>
          </w:p>
        </w:tc>
        <w:tc>
          <w:tcPr>
            <w:tcW w:w="556" w:type="pct"/>
            <w:vAlign w:val="center"/>
          </w:tcPr>
          <w:p w14:paraId="23EB913C">
            <w:pPr>
              <w:pStyle w:val="12"/>
              <w:jc w:val="center"/>
              <w:rPr>
                <w:rFonts w:ascii="宋体" w:hAnsi="宋体"/>
              </w:rPr>
            </w:pPr>
            <w:r>
              <w:rPr>
                <w:rFonts w:ascii="宋体" w:hAnsi="宋体"/>
              </w:rPr>
              <w:t>—</w:t>
            </w:r>
          </w:p>
        </w:tc>
        <w:tc>
          <w:tcPr>
            <w:tcW w:w="556" w:type="pct"/>
            <w:vAlign w:val="center"/>
          </w:tcPr>
          <w:p w14:paraId="61E3B738">
            <w:pPr>
              <w:pStyle w:val="12"/>
              <w:jc w:val="center"/>
              <w:rPr>
                <w:rFonts w:ascii="宋体" w:hAnsi="宋体"/>
              </w:rPr>
            </w:pPr>
            <w:r>
              <w:rPr>
                <w:rFonts w:ascii="宋体" w:hAnsi="宋体"/>
              </w:rPr>
              <w:t>—</w:t>
            </w:r>
          </w:p>
        </w:tc>
        <w:tc>
          <w:tcPr>
            <w:tcW w:w="556" w:type="pct"/>
            <w:vAlign w:val="center"/>
          </w:tcPr>
          <w:p w14:paraId="3DB835D7">
            <w:pPr>
              <w:pStyle w:val="12"/>
              <w:jc w:val="center"/>
              <w:rPr>
                <w:rFonts w:ascii="宋体" w:hAnsi="宋体"/>
              </w:rPr>
            </w:pPr>
            <w:r>
              <w:rPr>
                <w:rFonts w:ascii="宋体" w:hAnsi="宋体"/>
              </w:rPr>
              <w:t>—</w:t>
            </w:r>
          </w:p>
        </w:tc>
      </w:tr>
      <w:tr w14:paraId="2E9078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339A9A26">
            <w:pPr>
              <w:pStyle w:val="12"/>
              <w:jc w:val="center"/>
              <w:rPr>
                <w:rFonts w:ascii="宋体" w:hAnsi="宋体"/>
              </w:rPr>
            </w:pPr>
            <w:r>
              <w:rPr>
                <w:rFonts w:ascii="宋体" w:hAnsi="宋体"/>
              </w:rPr>
              <w:t>2002</w:t>
            </w:r>
          </w:p>
        </w:tc>
        <w:tc>
          <w:tcPr>
            <w:tcW w:w="555" w:type="pct"/>
            <w:vAlign w:val="center"/>
          </w:tcPr>
          <w:p w14:paraId="0F47923A">
            <w:pPr>
              <w:pStyle w:val="12"/>
              <w:jc w:val="center"/>
              <w:rPr>
                <w:rFonts w:ascii="宋体" w:hAnsi="宋体"/>
              </w:rPr>
            </w:pPr>
            <w:r>
              <w:rPr>
                <w:rFonts w:ascii="宋体" w:hAnsi="宋体"/>
              </w:rPr>
              <w:t>5.3</w:t>
            </w:r>
          </w:p>
        </w:tc>
        <w:tc>
          <w:tcPr>
            <w:tcW w:w="556" w:type="pct"/>
            <w:vAlign w:val="center"/>
          </w:tcPr>
          <w:p w14:paraId="78B51C61">
            <w:pPr>
              <w:pStyle w:val="12"/>
              <w:jc w:val="center"/>
              <w:rPr>
                <w:rFonts w:ascii="宋体" w:hAnsi="宋体"/>
              </w:rPr>
            </w:pPr>
            <w:r>
              <w:rPr>
                <w:rFonts w:ascii="宋体" w:hAnsi="宋体"/>
              </w:rPr>
              <w:t>127.5</w:t>
            </w:r>
          </w:p>
        </w:tc>
        <w:tc>
          <w:tcPr>
            <w:tcW w:w="556" w:type="pct"/>
            <w:vAlign w:val="center"/>
          </w:tcPr>
          <w:p w14:paraId="0D0DE535">
            <w:pPr>
              <w:pStyle w:val="12"/>
              <w:jc w:val="center"/>
              <w:rPr>
                <w:rFonts w:ascii="宋体" w:hAnsi="宋体"/>
              </w:rPr>
            </w:pPr>
            <w:r>
              <w:rPr>
                <w:rFonts w:ascii="宋体" w:hAnsi="宋体"/>
              </w:rPr>
              <w:t>10</w:t>
            </w:r>
          </w:p>
        </w:tc>
        <w:tc>
          <w:tcPr>
            <w:tcW w:w="556" w:type="pct"/>
            <w:vAlign w:val="center"/>
          </w:tcPr>
          <w:p w14:paraId="36CD79A2">
            <w:pPr>
              <w:pStyle w:val="12"/>
              <w:jc w:val="center"/>
              <w:rPr>
                <w:rFonts w:ascii="宋体" w:hAnsi="宋体"/>
              </w:rPr>
            </w:pPr>
            <w:r>
              <w:rPr>
                <w:rFonts w:ascii="宋体" w:hAnsi="宋体"/>
              </w:rPr>
              <w:t>—</w:t>
            </w:r>
          </w:p>
        </w:tc>
        <w:tc>
          <w:tcPr>
            <w:tcW w:w="556" w:type="pct"/>
            <w:vAlign w:val="center"/>
          </w:tcPr>
          <w:p w14:paraId="1B78255F">
            <w:pPr>
              <w:pStyle w:val="12"/>
              <w:jc w:val="center"/>
              <w:rPr>
                <w:rFonts w:ascii="宋体" w:hAnsi="宋体"/>
              </w:rPr>
            </w:pPr>
            <w:r>
              <w:rPr>
                <w:rFonts w:ascii="宋体" w:hAnsi="宋体"/>
              </w:rPr>
              <w:t>70.03</w:t>
            </w:r>
          </w:p>
        </w:tc>
        <w:tc>
          <w:tcPr>
            <w:tcW w:w="556" w:type="pct"/>
            <w:vAlign w:val="center"/>
          </w:tcPr>
          <w:p w14:paraId="75EA6583">
            <w:pPr>
              <w:pStyle w:val="12"/>
              <w:jc w:val="center"/>
              <w:rPr>
                <w:rFonts w:ascii="宋体" w:hAnsi="宋体"/>
              </w:rPr>
            </w:pPr>
            <w:r>
              <w:rPr>
                <w:rFonts w:ascii="宋体" w:hAnsi="宋体"/>
              </w:rPr>
              <w:t>47.47</w:t>
            </w:r>
          </w:p>
        </w:tc>
        <w:tc>
          <w:tcPr>
            <w:tcW w:w="556" w:type="pct"/>
            <w:vAlign w:val="center"/>
          </w:tcPr>
          <w:p w14:paraId="456D32FD">
            <w:pPr>
              <w:pStyle w:val="12"/>
              <w:jc w:val="center"/>
              <w:rPr>
                <w:rFonts w:ascii="宋体" w:hAnsi="宋体"/>
              </w:rPr>
            </w:pPr>
            <w:r>
              <w:rPr>
                <w:rFonts w:ascii="宋体" w:hAnsi="宋体"/>
              </w:rPr>
              <w:t>6.7</w:t>
            </w:r>
          </w:p>
        </w:tc>
        <w:tc>
          <w:tcPr>
            <w:tcW w:w="556" w:type="pct"/>
            <w:vAlign w:val="center"/>
          </w:tcPr>
          <w:p w14:paraId="27BBA127">
            <w:pPr>
              <w:pStyle w:val="12"/>
              <w:jc w:val="center"/>
              <w:rPr>
                <w:rFonts w:ascii="宋体" w:hAnsi="宋体"/>
              </w:rPr>
            </w:pPr>
            <w:r>
              <w:rPr>
                <w:rFonts w:ascii="宋体" w:hAnsi="宋体"/>
              </w:rPr>
              <w:t>24.16</w:t>
            </w:r>
          </w:p>
        </w:tc>
      </w:tr>
    </w:tbl>
    <w:p w14:paraId="52745E96">
      <w:pPr>
        <w:pStyle w:val="4"/>
        <w:rPr>
          <w:rFonts w:ascii="宋体" w:hAnsi="宋体"/>
        </w:rPr>
      </w:pPr>
      <w:r>
        <w:rPr>
          <w:rFonts w:hint="eastAsia" w:ascii="宋体" w:hAnsi="宋体"/>
        </w:rPr>
        <w:t>第二节  环境保护</w:t>
      </w:r>
    </w:p>
    <w:p w14:paraId="6EBDE880">
      <w:pPr>
        <w:ind w:firstLine="420"/>
        <w:rPr>
          <w:rFonts w:ascii="宋体" w:hAnsi="宋体"/>
          <w:szCs w:val="21"/>
        </w:rPr>
      </w:pPr>
      <w:r>
        <w:rPr>
          <w:rFonts w:ascii="宋体" w:hAnsi="宋体"/>
          <w:szCs w:val="21"/>
        </w:rPr>
        <w:t>20世纪七八十年代，南雄工业污染比较严重，主要有3家企业，第一污染源为</w:t>
      </w:r>
      <w:r>
        <w:rPr>
          <w:rFonts w:hint="eastAsia" w:ascii="宋体" w:hAnsi="宋体"/>
          <w:szCs w:val="21"/>
        </w:rPr>
        <w:t>国营七四三矿，是隶属核工业部广东矿冶局的一个铀矿选冶中型联合企业，</w:t>
      </w:r>
      <w:r>
        <w:rPr>
          <w:rFonts w:ascii="宋体" w:hAnsi="宋体"/>
          <w:szCs w:val="21"/>
        </w:rPr>
        <w:t>1964年</w:t>
      </w:r>
      <w:r>
        <w:rPr>
          <w:rFonts w:hint="eastAsia" w:ascii="宋体" w:hAnsi="宋体"/>
          <w:szCs w:val="21"/>
        </w:rPr>
        <w:t>建成投产，一天不定期排入凌江的废水</w:t>
      </w:r>
      <w:r>
        <w:rPr>
          <w:rFonts w:ascii="宋体" w:hAnsi="宋体"/>
          <w:szCs w:val="21"/>
        </w:rPr>
        <w:t>5000吨以上，每年进入水体的放射性铀折算0.65吨～2.1吨，还有大量的锰、氟、磺化煤油等有害物质倾注凌江，致使凌江水不</w:t>
      </w:r>
      <w:r>
        <w:rPr>
          <w:rFonts w:hint="eastAsia" w:ascii="宋体" w:hAnsi="宋体"/>
          <w:szCs w:val="21"/>
        </w:rPr>
        <w:t>能食用，鱼蝦绝迹，且造成河泥污染。</w:t>
      </w:r>
      <w:r>
        <w:rPr>
          <w:rFonts w:ascii="宋体" w:hAnsi="宋体"/>
          <w:szCs w:val="21"/>
        </w:rPr>
        <w:t>1979年至1987年投资1300多万元兴建处理废</w:t>
      </w:r>
      <w:r>
        <w:rPr>
          <w:rFonts w:hint="eastAsia" w:ascii="宋体" w:hAnsi="宋体"/>
          <w:szCs w:val="21"/>
        </w:rPr>
        <w:t>水设施，并为凌江两岸居民建井解决饮用水问题。</w:t>
      </w:r>
      <w:r>
        <w:rPr>
          <w:rFonts w:ascii="宋体" w:hAnsi="宋体"/>
          <w:szCs w:val="21"/>
        </w:rPr>
        <w:t>1994年该矿停产后，实施残矿堆</w:t>
      </w:r>
      <w:r>
        <w:rPr>
          <w:rFonts w:hint="eastAsia" w:ascii="宋体" w:hAnsi="宋体"/>
          <w:szCs w:val="21"/>
        </w:rPr>
        <w:t>浸回收铀金属工程。从此，除去这一污染源，凌江水质已逐步好转。第二污染源是棉土窝钨矿，年排放废水</w:t>
      </w:r>
      <w:r>
        <w:rPr>
          <w:rFonts w:ascii="宋体" w:hAnsi="宋体"/>
          <w:szCs w:val="21"/>
        </w:rPr>
        <w:t>76万吨，废渣8万吨，废水中含铜1.4毫克／升，比国家标准</w:t>
      </w:r>
      <w:r>
        <w:rPr>
          <w:rFonts w:hint="eastAsia" w:ascii="宋体" w:hAnsi="宋体"/>
          <w:szCs w:val="21"/>
        </w:rPr>
        <w:t>超过</w:t>
      </w:r>
      <w:r>
        <w:rPr>
          <w:rFonts w:ascii="宋体" w:hAnsi="宋体"/>
          <w:szCs w:val="21"/>
        </w:rPr>
        <w:t>0.4毫克／升，悬浮物596毫克／升，比国家标准超过6</w:t>
      </w:r>
      <w:r>
        <w:rPr>
          <w:rFonts w:hint="eastAsia" w:ascii="宋体" w:hAnsi="宋体"/>
          <w:szCs w:val="21"/>
        </w:rPr>
        <w:t>9</w:t>
      </w:r>
      <w:r>
        <w:rPr>
          <w:rFonts w:ascii="宋体" w:hAnsi="宋体"/>
          <w:szCs w:val="21"/>
        </w:rPr>
        <w:t>毫克</w:t>
      </w:r>
      <w:r>
        <w:rPr>
          <w:rFonts w:hint="eastAsia" w:ascii="宋体" w:hAnsi="宋体"/>
          <w:szCs w:val="21"/>
        </w:rPr>
        <w:t>／</w:t>
      </w:r>
      <w:r>
        <w:rPr>
          <w:rFonts w:ascii="宋体" w:hAnsi="宋体"/>
          <w:szCs w:val="21"/>
        </w:rPr>
        <w:t>升。1982年至1987年，投资40多万元，兴建废水处理设施，保证了废水不直接流入河流、农田。</w:t>
      </w:r>
      <w:r>
        <w:rPr>
          <w:rFonts w:hint="eastAsia" w:ascii="宋体" w:hAnsi="宋体"/>
          <w:szCs w:val="21"/>
        </w:rPr>
        <w:t>第三污染源为县氮肥厂，</w:t>
      </w:r>
      <w:r>
        <w:rPr>
          <w:rFonts w:ascii="宋体" w:hAnsi="宋体"/>
          <w:szCs w:val="21"/>
        </w:rPr>
        <w:t>1978年建成投产，年排放废水500万吨以上，废气8500万</w:t>
      </w:r>
      <w:r>
        <w:rPr>
          <w:rFonts w:hint="eastAsia" w:ascii="宋体" w:hAnsi="宋体"/>
          <w:szCs w:val="21"/>
        </w:rPr>
        <w:t>标准立方米，废渣五六千吨。</w:t>
      </w:r>
      <w:r>
        <w:rPr>
          <w:rFonts w:ascii="宋体" w:hAnsi="宋体"/>
          <w:szCs w:val="21"/>
        </w:rPr>
        <w:t>1984年采取处理措施后，情况好转。1989年该厂停产。</w:t>
      </w:r>
      <w:r>
        <w:rPr>
          <w:rFonts w:hint="eastAsia" w:ascii="宋体" w:hAnsi="宋体"/>
          <w:szCs w:val="21"/>
        </w:rPr>
        <w:t>自</w:t>
      </w:r>
      <w:r>
        <w:rPr>
          <w:rFonts w:ascii="宋体" w:hAnsi="宋体"/>
          <w:szCs w:val="21"/>
        </w:rPr>
        <w:t>20世纪90年代以来，由于主要污染源的清除，南雄环境质量大为改观，近10多</w:t>
      </w:r>
      <w:r>
        <w:rPr>
          <w:rFonts w:hint="eastAsia" w:ascii="宋体" w:hAnsi="宋体"/>
          <w:szCs w:val="21"/>
        </w:rPr>
        <w:t>年来治理效果显著。</w:t>
      </w:r>
    </w:p>
    <w:p w14:paraId="62F7F6CE">
      <w:pPr>
        <w:pStyle w:val="5"/>
        <w:rPr>
          <w:rFonts w:ascii="宋体" w:hAnsi="宋体"/>
        </w:rPr>
      </w:pPr>
      <w:r>
        <w:rPr>
          <w:rFonts w:hint="eastAsia" w:ascii="宋体" w:hAnsi="宋体"/>
        </w:rPr>
        <w:t>一、水环境保护</w:t>
      </w:r>
    </w:p>
    <w:p w14:paraId="44A602BA">
      <w:pPr>
        <w:ind w:firstLine="420"/>
        <w:rPr>
          <w:rFonts w:ascii="宋体" w:hAnsi="宋体"/>
          <w:szCs w:val="21"/>
        </w:rPr>
      </w:pPr>
      <w:r>
        <w:rPr>
          <w:rFonts w:hint="eastAsia" w:ascii="宋体" w:hAnsi="宋体"/>
          <w:szCs w:val="21"/>
        </w:rPr>
        <w:t>对江河水系水质的保护，采取了多项措施。自</w:t>
      </w:r>
      <w:r>
        <w:rPr>
          <w:rFonts w:ascii="宋体" w:hAnsi="宋体"/>
          <w:szCs w:val="21"/>
        </w:rPr>
        <w:t>20世纪80年代中后期开始，经过</w:t>
      </w:r>
      <w:r>
        <w:rPr>
          <w:rFonts w:hint="eastAsia" w:ascii="宋体" w:hAnsi="宋体"/>
          <w:szCs w:val="21"/>
        </w:rPr>
        <w:t>消灭荒山，加强水土保持，使浈凌两江水质逐步免除水土流失污染。狠抓企业事业单位的废水排放达标工作，重点抓好废水排放占全市排量</w:t>
      </w:r>
      <w:r>
        <w:rPr>
          <w:rFonts w:ascii="宋体" w:hAnsi="宋体"/>
          <w:szCs w:val="21"/>
        </w:rPr>
        <w:t>95%以上的第一造纸厂，实</w:t>
      </w:r>
      <w:r>
        <w:rPr>
          <w:rFonts w:hint="eastAsia" w:ascii="宋体" w:hAnsi="宋体"/>
          <w:szCs w:val="21"/>
        </w:rPr>
        <w:t>现了减少废水外排和废水排放基本达标的目的。据统计，该厂的循环重复用水量近</w:t>
      </w:r>
      <w:r>
        <w:rPr>
          <w:rFonts w:ascii="宋体" w:hAnsi="宋体"/>
          <w:szCs w:val="21"/>
        </w:rPr>
        <w:t>30%，废水全部处理达标后外排。据近年来对浈凌两江水系每年18频次（分枯水期</w:t>
      </w:r>
      <w:r>
        <w:rPr>
          <w:rFonts w:hint="eastAsia" w:ascii="宋体" w:hAnsi="宋体"/>
          <w:szCs w:val="21"/>
        </w:rPr>
        <w:t>、平水期、丰水期各</w:t>
      </w:r>
      <w:r>
        <w:rPr>
          <w:rFonts w:ascii="宋体" w:hAnsi="宋体"/>
          <w:szCs w:val="21"/>
        </w:rPr>
        <w:t>6频次）的监测结果显示，主要的监测指数如pH值、溶解氧、非</w:t>
      </w:r>
      <w:r>
        <w:rPr>
          <w:rFonts w:hint="eastAsia" w:ascii="宋体" w:hAnsi="宋体"/>
          <w:szCs w:val="21"/>
        </w:rPr>
        <w:t>离子氨、石油类、生化需氧量、化学需氧等均达到广东省地方二类排放标准，水质达标率达</w:t>
      </w:r>
      <w:r>
        <w:rPr>
          <w:rFonts w:ascii="宋体" w:hAnsi="宋体"/>
          <w:szCs w:val="21"/>
        </w:rPr>
        <w:t>100%</w:t>
      </w:r>
      <w:r>
        <w:rPr>
          <w:rFonts w:hint="eastAsia" w:ascii="宋体" w:hAnsi="宋体"/>
          <w:szCs w:val="21"/>
        </w:rPr>
        <w:t>。</w:t>
      </w:r>
    </w:p>
    <w:p w14:paraId="6738F507">
      <w:pPr>
        <w:ind w:firstLine="420"/>
        <w:rPr>
          <w:rFonts w:ascii="宋体" w:hAnsi="宋体"/>
          <w:szCs w:val="21"/>
        </w:rPr>
      </w:pPr>
      <w:r>
        <w:rPr>
          <w:rFonts w:hint="eastAsia" w:ascii="宋体" w:hAnsi="宋体"/>
          <w:szCs w:val="21"/>
        </w:rPr>
        <w:t>饮用水源一瀑布水库的保护是全市水环境保护的重中之重，于</w:t>
      </w:r>
      <w:r>
        <w:rPr>
          <w:rFonts w:ascii="宋体" w:hAnsi="宋体"/>
          <w:szCs w:val="21"/>
        </w:rPr>
        <w:t>1998年9月提请</w:t>
      </w:r>
      <w:r>
        <w:rPr>
          <w:rFonts w:hint="eastAsia" w:ascii="宋体" w:hAnsi="宋体"/>
          <w:szCs w:val="21"/>
        </w:rPr>
        <w:t>省政府批准，将瀑布水库全部水域划定为饮用水源一级保护区，并按照一级保护区标准，对水库周围</w:t>
      </w:r>
      <w:r>
        <w:rPr>
          <w:rFonts w:ascii="宋体" w:hAnsi="宋体"/>
          <w:szCs w:val="21"/>
        </w:rPr>
        <w:t>5公里范围和水库出水口至市区供水的引水水渠两侧500米内的污染</w:t>
      </w:r>
      <w:r>
        <w:rPr>
          <w:rFonts w:hint="eastAsia" w:ascii="宋体" w:hAnsi="宋体"/>
          <w:szCs w:val="21"/>
        </w:rPr>
        <w:t>源全部取缔，树立了保护标志牌，完成了瀑布水库入城引入渠道封闭工程，确保市区居民饮水质量。经历年监测（每年</w:t>
      </w:r>
      <w:r>
        <w:rPr>
          <w:rFonts w:ascii="宋体" w:hAnsi="宋体"/>
          <w:szCs w:val="21"/>
        </w:rPr>
        <w:t>12次）数据表明，瀑布水库水质均达到国家地面</w:t>
      </w:r>
      <w:r>
        <w:rPr>
          <w:rFonts w:hint="eastAsia" w:ascii="宋体" w:hAnsi="宋体"/>
          <w:szCs w:val="21"/>
        </w:rPr>
        <w:t>环境质量一类标准。全市水环境多年来未发生化肥农药或生产开发性污染的事故，水环境质量基本稳定。</w:t>
      </w:r>
    </w:p>
    <w:p w14:paraId="30A3E7EE">
      <w:pPr>
        <w:pStyle w:val="5"/>
        <w:rPr>
          <w:rFonts w:ascii="宋体" w:hAnsi="宋体"/>
        </w:rPr>
      </w:pPr>
      <w:r>
        <w:rPr>
          <w:rFonts w:hint="eastAsia" w:ascii="宋体" w:hAnsi="宋体"/>
        </w:rPr>
        <w:t>二、大气环境保护</w:t>
      </w:r>
    </w:p>
    <w:p w14:paraId="13F6CBC3">
      <w:pPr>
        <w:ind w:firstLine="420"/>
        <w:rPr>
          <w:rFonts w:ascii="宋体" w:hAnsi="宋体"/>
          <w:szCs w:val="21"/>
        </w:rPr>
      </w:pPr>
      <w:r>
        <w:rPr>
          <w:rFonts w:hint="eastAsia" w:ascii="宋体" w:hAnsi="宋体"/>
          <w:szCs w:val="21"/>
        </w:rPr>
        <w:t>全市的大气环境质量总体是属清洁良好水平。据市区</w:t>
      </w:r>
      <w:r>
        <w:rPr>
          <w:rFonts w:ascii="宋体" w:hAnsi="宋体"/>
          <w:szCs w:val="21"/>
        </w:rPr>
        <w:t>2个空气质量自动监测亭每</w:t>
      </w:r>
      <w:r>
        <w:rPr>
          <w:rFonts w:hint="eastAsia" w:ascii="宋体" w:hAnsi="宋体"/>
          <w:szCs w:val="21"/>
        </w:rPr>
        <w:t>年</w:t>
      </w:r>
      <w:r>
        <w:rPr>
          <w:rFonts w:ascii="宋体" w:hAnsi="宋体"/>
          <w:szCs w:val="21"/>
        </w:rPr>
        <w:t>52周监测结果表明：全市的空气质量达到一级，空气污染指数优级占92%，良好</w:t>
      </w:r>
      <w:r>
        <w:rPr>
          <w:rFonts w:hint="eastAsia" w:ascii="宋体" w:hAnsi="宋体"/>
          <w:szCs w:val="21"/>
        </w:rPr>
        <w:t>占</w:t>
      </w:r>
      <w:r>
        <w:rPr>
          <w:rFonts w:ascii="宋体" w:hAnsi="宋体"/>
          <w:szCs w:val="21"/>
        </w:rPr>
        <w:t>8%，没有出现轻度污染以上情况。市第一造纸厂，先后投入400多万元对生产工</w:t>
      </w:r>
      <w:r>
        <w:rPr>
          <w:rFonts w:hint="eastAsia" w:ascii="宋体" w:hAnsi="宋体"/>
          <w:szCs w:val="21"/>
        </w:rPr>
        <w:t>艺和燃烧过程中的废气进行治理，经验收测定为基本达标。改善城市能源结构，城市居民气化率达到</w:t>
      </w:r>
      <w:r>
        <w:rPr>
          <w:rFonts w:ascii="宋体" w:hAnsi="宋体"/>
          <w:szCs w:val="21"/>
        </w:rPr>
        <w:t>80%以上。经每年一次的全面测定，全市8.4平方公里的烟尘控制</w:t>
      </w:r>
      <w:r>
        <w:rPr>
          <w:rFonts w:hint="eastAsia" w:ascii="宋体" w:hAnsi="宋体"/>
          <w:szCs w:val="21"/>
        </w:rPr>
        <w:t>区内，所有锅炉、炉窑、大灶的烟气黑度，</w:t>
      </w:r>
      <w:r>
        <w:rPr>
          <w:rFonts w:ascii="宋体" w:hAnsi="宋体"/>
          <w:szCs w:val="21"/>
        </w:rPr>
        <w:t>100%达到规定标准，烟尘浓度全部达</w:t>
      </w:r>
      <w:r>
        <w:rPr>
          <w:rFonts w:hint="eastAsia" w:ascii="宋体" w:hAnsi="宋体"/>
          <w:szCs w:val="21"/>
        </w:rPr>
        <w:t>标排放。随着全市创卫与创文明城市活动的开展，一些促进改善大气环境质量的城市基础性工作得到落实，如撤销市区的垃圾桶，实行定时定点收集垃圾，减少了垃圾粉尘的产生；城市街道树木的不断增加，特别是新城河边公园的建成，烈士陵园的专门保护，使城市绿化覆盖率由</w:t>
      </w:r>
      <w:r>
        <w:rPr>
          <w:rFonts w:ascii="宋体" w:hAnsi="宋体"/>
          <w:szCs w:val="21"/>
        </w:rPr>
        <w:t>1990年的4%提高到2000年的35%。2000年3月，投资近10万元，在老城环保局楼上和新城文化局楼上各建立了1个空气质量自动监测亭，</w:t>
      </w:r>
      <w:r>
        <w:rPr>
          <w:rFonts w:hint="eastAsia" w:ascii="宋体" w:hAnsi="宋体"/>
          <w:szCs w:val="21"/>
        </w:rPr>
        <w:t>实现了每周定期发布城市空气质量周报的目标。</w:t>
      </w:r>
    </w:p>
    <w:p w14:paraId="6657966F">
      <w:pPr>
        <w:pStyle w:val="5"/>
        <w:rPr>
          <w:rFonts w:ascii="宋体" w:hAnsi="宋体"/>
        </w:rPr>
      </w:pPr>
      <w:r>
        <w:rPr>
          <w:rFonts w:hint="eastAsia" w:ascii="宋体" w:hAnsi="宋体"/>
        </w:rPr>
        <w:t>三、声环境保护</w:t>
      </w:r>
    </w:p>
    <w:p w14:paraId="78CDBD95">
      <w:pPr>
        <w:ind w:firstLine="420"/>
        <w:rPr>
          <w:rFonts w:ascii="宋体" w:hAnsi="宋体"/>
          <w:szCs w:val="21"/>
        </w:rPr>
      </w:pPr>
      <w:r>
        <w:rPr>
          <w:rFonts w:ascii="宋体" w:hAnsi="宋体"/>
          <w:szCs w:val="21"/>
        </w:rPr>
        <w:t>20世纪90年代以来，随着第三产业发展迅速，加强了对建筑噪声、商业娱乐噪</w:t>
      </w:r>
      <w:r>
        <w:rPr>
          <w:rFonts w:hint="eastAsia" w:ascii="宋体" w:hAnsi="宋体"/>
          <w:szCs w:val="21"/>
        </w:rPr>
        <w:t>声和交通噪声的防治。从</w:t>
      </w:r>
      <w:r>
        <w:rPr>
          <w:rFonts w:ascii="宋体" w:hAnsi="宋体"/>
          <w:szCs w:val="21"/>
        </w:rPr>
        <w:t>1995年开始，全市所有在建工地实现了排污申报登记，凭</w:t>
      </w:r>
      <w:r>
        <w:rPr>
          <w:rFonts w:hint="eastAsia" w:ascii="宋体" w:hAnsi="宋体"/>
          <w:szCs w:val="21"/>
        </w:rPr>
        <w:t>许可证规定的时间、方式进行建设，有效地消除了建筑施工噪声影响环境的现象。对不符合环保要求的饮服娱乐单位不予批准营业，对噪声超标单位严格执行“三同时”规定，对被投诉噪声扰民的项目，予以取缔。自</w:t>
      </w:r>
      <w:r>
        <w:rPr>
          <w:rFonts w:ascii="宋体" w:hAnsi="宋体"/>
          <w:szCs w:val="21"/>
        </w:rPr>
        <w:t>20世纪90年代以来，有16个噪声</w:t>
      </w:r>
      <w:r>
        <w:rPr>
          <w:rFonts w:hint="eastAsia" w:ascii="宋体" w:hAnsi="宋体"/>
          <w:szCs w:val="21"/>
        </w:rPr>
        <w:t>扰民项目被取缔，</w:t>
      </w:r>
      <w:r>
        <w:rPr>
          <w:rFonts w:ascii="宋体" w:hAnsi="宋体"/>
          <w:szCs w:val="21"/>
        </w:rPr>
        <w:t>39个饮服娱乐单位没有得到批准，45个噪声项目列入“三同时”</w:t>
      </w:r>
      <w:r>
        <w:rPr>
          <w:rFonts w:hint="eastAsia" w:ascii="宋体" w:hAnsi="宋体"/>
          <w:szCs w:val="21"/>
        </w:rPr>
        <w:t>管理。此外，对交通噪声的控制，对工业企业厂界噪声的防治都采取了措施。由于全方位控制噪声污染，市区内声环境昼夜</w:t>
      </w:r>
      <w:r>
        <w:rPr>
          <w:rFonts w:ascii="宋体" w:hAnsi="宋体"/>
          <w:szCs w:val="21"/>
        </w:rPr>
        <w:t>99%以上达标</w:t>
      </w:r>
      <w:r>
        <w:rPr>
          <w:rFonts w:hint="eastAsia" w:ascii="宋体" w:hAnsi="宋体"/>
          <w:szCs w:val="21"/>
        </w:rPr>
        <w:t>。</w:t>
      </w:r>
    </w:p>
    <w:p w14:paraId="1831648B">
      <w:pPr>
        <w:pStyle w:val="5"/>
        <w:rPr>
          <w:rFonts w:ascii="宋体" w:hAnsi="宋体"/>
        </w:rPr>
      </w:pPr>
      <w:r>
        <w:rPr>
          <w:rFonts w:hint="eastAsia" w:ascii="宋体" w:hAnsi="宋体"/>
        </w:rPr>
        <w:t>四、固体废物与辐射环境防治</w:t>
      </w:r>
    </w:p>
    <w:p w14:paraId="5F4CE1CD">
      <w:pPr>
        <w:ind w:firstLine="420"/>
        <w:rPr>
          <w:rFonts w:ascii="宋体" w:hAnsi="宋体"/>
          <w:szCs w:val="21"/>
        </w:rPr>
      </w:pPr>
      <w:r>
        <w:rPr>
          <w:rFonts w:hint="eastAsia" w:ascii="宋体" w:hAnsi="宋体"/>
          <w:szCs w:val="21"/>
        </w:rPr>
        <w:t>严格执行国家、省有关固体废物污染环境防治的法律、法规，对产生固体废物的污染单位如棉土窝钨矿，要求综合利用，凡不能综合利用的固体废物要集中处理，严禁外排。特别是对原七四三矿（现在为凌江有限责任公司）含辐射污染的固体废物和放射性污染设备，严格按照国家法规进行重点监管，确保废物不外流污染环境。对私自开采或偷采的单位和个人，一经发现，严肃处理。经多年的监测结果表明，浈凌江水系的辐射物质属未检出水平。此外，会同有关部门坚决控制境外废物向南雄市转移，坚决打击擅自进口不符合环保要求的固体废物在南雄市加工生产。对化学危险物品实行经营许可证制度，转移危险废物实行报告联单环境管理规定。多年来，南雄未发生过固体废物污染环境的情况。</w:t>
      </w:r>
    </w:p>
    <w:p w14:paraId="5B89623E">
      <w:pPr>
        <w:pStyle w:val="2"/>
        <w:rPr>
          <w:rFonts w:ascii="宋体" w:hAnsi="宋体"/>
        </w:rPr>
      </w:pPr>
      <w:r>
        <w:rPr>
          <w:rFonts w:hint="eastAsia" w:ascii="宋体" w:hAnsi="宋体"/>
        </w:rPr>
        <w:t>第二编  经济</w:t>
      </w:r>
    </w:p>
    <w:p w14:paraId="2CD81B87">
      <w:pPr>
        <w:pStyle w:val="3"/>
        <w:rPr>
          <w:rFonts w:ascii="宋体" w:hAnsi="宋体"/>
        </w:rPr>
      </w:pPr>
      <w:r>
        <w:rPr>
          <w:rFonts w:hint="eastAsia" w:ascii="宋体" w:hAnsi="宋体"/>
        </w:rPr>
        <w:t>第一章  经济开放体制改革</w:t>
      </w:r>
    </w:p>
    <w:p w14:paraId="3E61F571">
      <w:pPr>
        <w:pStyle w:val="4"/>
        <w:rPr>
          <w:rFonts w:ascii="宋体" w:hAnsi="宋体"/>
        </w:rPr>
      </w:pPr>
      <w:r>
        <w:rPr>
          <w:rFonts w:hint="eastAsia" w:ascii="宋体" w:hAnsi="宋体"/>
        </w:rPr>
        <w:t>第一节  改革开放前经济发展简述</w:t>
      </w:r>
    </w:p>
    <w:p w14:paraId="13BCE748">
      <w:pPr>
        <w:ind w:firstLine="420"/>
        <w:rPr>
          <w:rFonts w:ascii="宋体" w:hAnsi="宋体"/>
          <w:szCs w:val="21"/>
        </w:rPr>
      </w:pPr>
      <w:r>
        <w:rPr>
          <w:rFonts w:hint="eastAsia" w:ascii="宋体" w:hAnsi="宋体"/>
          <w:szCs w:val="21"/>
        </w:rPr>
        <w:t>中华人民共和国成立后至</w:t>
      </w:r>
      <w:r>
        <w:rPr>
          <w:rFonts w:ascii="宋体" w:hAnsi="宋体"/>
          <w:szCs w:val="21"/>
        </w:rPr>
        <w:t>1979年实行改革开放前的30年间，南雄经济经历了恢</w:t>
      </w:r>
      <w:r>
        <w:rPr>
          <w:rFonts w:hint="eastAsia" w:ascii="宋体" w:hAnsi="宋体"/>
          <w:szCs w:val="21"/>
        </w:rPr>
        <w:t>复发展、曲折前进的历程。</w:t>
      </w:r>
      <w:r>
        <w:rPr>
          <w:rFonts w:ascii="宋体" w:hAnsi="宋体"/>
          <w:szCs w:val="21"/>
        </w:rPr>
        <w:t>1953年至1957年，在土地改革基础上实现社会主义改</w:t>
      </w:r>
      <w:r>
        <w:rPr>
          <w:rFonts w:hint="eastAsia" w:ascii="宋体" w:hAnsi="宋体"/>
          <w:szCs w:val="21"/>
        </w:rPr>
        <w:t>造，广大工人、农民以极大的热情恢复发展生产，工业、农业及其他各行各业都得到了较大发展。全县社会总产值，</w:t>
      </w:r>
      <w:r>
        <w:rPr>
          <w:rFonts w:ascii="宋体" w:hAnsi="宋体"/>
          <w:szCs w:val="21"/>
        </w:rPr>
        <w:t>1952年为2827万元，1957年为4267万元，1957年</w:t>
      </w:r>
      <w:r>
        <w:rPr>
          <w:rFonts w:hint="eastAsia" w:ascii="宋体" w:hAnsi="宋体"/>
          <w:szCs w:val="21"/>
        </w:rPr>
        <w:t>比</w:t>
      </w:r>
      <w:r>
        <w:rPr>
          <w:rFonts w:ascii="宋体" w:hAnsi="宋体"/>
          <w:szCs w:val="21"/>
        </w:rPr>
        <w:t>1952年增长63.4%，按可比价计算，5年平均年递增10.3%。其中工业产值1957</w:t>
      </w:r>
      <w:r>
        <w:rPr>
          <w:rFonts w:hint="eastAsia" w:ascii="宋体" w:hAnsi="宋体"/>
          <w:szCs w:val="21"/>
        </w:rPr>
        <w:t>年比</w:t>
      </w:r>
      <w:r>
        <w:rPr>
          <w:rFonts w:ascii="宋体" w:hAnsi="宋体"/>
          <w:szCs w:val="21"/>
        </w:rPr>
        <w:t>1952年增长1.34倍，年递增18.6%。全县国民收入1952年为1735万元，1957</w:t>
      </w:r>
      <w:r>
        <w:rPr>
          <w:rFonts w:hint="eastAsia" w:ascii="宋体" w:hAnsi="宋体"/>
          <w:szCs w:val="21"/>
        </w:rPr>
        <w:t>年为</w:t>
      </w:r>
      <w:r>
        <w:rPr>
          <w:rFonts w:ascii="宋体" w:hAnsi="宋体"/>
          <w:szCs w:val="21"/>
        </w:rPr>
        <w:t>2416万元，1957年比1952年增长54.1%，5年平均递增9%。</w:t>
      </w:r>
    </w:p>
    <w:p w14:paraId="553110C2">
      <w:pPr>
        <w:ind w:firstLine="420"/>
        <w:rPr>
          <w:rFonts w:ascii="宋体" w:hAnsi="宋体"/>
          <w:szCs w:val="21"/>
        </w:rPr>
      </w:pPr>
      <w:r>
        <w:rPr>
          <w:rFonts w:ascii="宋体" w:hAnsi="宋体"/>
          <w:szCs w:val="21"/>
        </w:rPr>
        <w:t>1958年至1978年，由于</w:t>
      </w:r>
      <w:r>
        <w:rPr>
          <w:rFonts w:hint="eastAsia" w:ascii="宋体" w:hAnsi="宋体"/>
          <w:szCs w:val="21"/>
        </w:rPr>
        <w:t>“</w:t>
      </w:r>
      <w:r>
        <w:rPr>
          <w:rFonts w:ascii="宋体" w:hAnsi="宋体"/>
          <w:szCs w:val="21"/>
        </w:rPr>
        <w:t>左</w:t>
      </w:r>
      <w:r>
        <w:rPr>
          <w:rFonts w:hint="eastAsia" w:ascii="宋体" w:hAnsi="宋体"/>
          <w:szCs w:val="21"/>
        </w:rPr>
        <w:t>”</w:t>
      </w:r>
      <w:r>
        <w:rPr>
          <w:rFonts w:ascii="宋体" w:hAnsi="宋体"/>
          <w:szCs w:val="21"/>
        </w:rPr>
        <w:t>的路线影响，先是出现1958年至1960年</w:t>
      </w:r>
      <w:r>
        <w:rPr>
          <w:rFonts w:hint="eastAsia" w:ascii="宋体" w:hAnsi="宋体"/>
          <w:szCs w:val="21"/>
        </w:rPr>
        <w:t>“</w:t>
      </w:r>
      <w:r>
        <w:rPr>
          <w:rFonts w:ascii="宋体" w:hAnsi="宋体"/>
          <w:szCs w:val="21"/>
        </w:rPr>
        <w:t>大跃</w:t>
      </w:r>
      <w:r>
        <w:rPr>
          <w:rFonts w:hint="eastAsia" w:ascii="宋体" w:hAnsi="宋体"/>
          <w:szCs w:val="21"/>
        </w:rPr>
        <w:t>进”的失误，在经济发展上急于求成，盲目冒进，搞高指标，瞎指挥，分配上又刮起“一平二调”共产风，严重挫伤了人民群众积极性，破坏了社会生产力。</w:t>
      </w:r>
      <w:r>
        <w:rPr>
          <w:rFonts w:ascii="宋体" w:hAnsi="宋体"/>
          <w:szCs w:val="21"/>
        </w:rPr>
        <w:t>1959年</w:t>
      </w:r>
      <w:r>
        <w:rPr>
          <w:rFonts w:hint="eastAsia" w:ascii="宋体" w:hAnsi="宋体"/>
          <w:szCs w:val="21"/>
        </w:rPr>
        <w:t>起农业生产连年下降，</w:t>
      </w:r>
      <w:r>
        <w:rPr>
          <w:rFonts w:ascii="宋体" w:hAnsi="宋体"/>
          <w:szCs w:val="21"/>
        </w:rPr>
        <w:t>1961年产值不及10年前1952年的水平。工业虽然办起了一批</w:t>
      </w:r>
      <w:r>
        <w:rPr>
          <w:rFonts w:hint="eastAsia" w:ascii="宋体" w:hAnsi="宋体"/>
          <w:szCs w:val="21"/>
        </w:rPr>
        <w:t>企业，但效益很低。</w:t>
      </w:r>
      <w:r>
        <w:rPr>
          <w:rFonts w:ascii="宋体" w:hAnsi="宋体"/>
          <w:szCs w:val="21"/>
        </w:rPr>
        <w:t>1961年后贯彻“调整、巩固、充实、提高”方针，农业体制下</w:t>
      </w:r>
      <w:r>
        <w:rPr>
          <w:rFonts w:hint="eastAsia" w:ascii="宋体" w:hAnsi="宋体"/>
          <w:szCs w:val="21"/>
        </w:rPr>
        <w:t>放，工业企业恢复正常管理，实行按劳分配，生产得以恢复发展。</w:t>
      </w:r>
      <w:r>
        <w:rPr>
          <w:rFonts w:ascii="宋体" w:hAnsi="宋体"/>
          <w:szCs w:val="21"/>
        </w:rPr>
        <w:t>1966年至1976</w:t>
      </w:r>
      <w:r>
        <w:rPr>
          <w:rFonts w:hint="eastAsia" w:ascii="宋体" w:hAnsi="宋体"/>
          <w:szCs w:val="21"/>
        </w:rPr>
        <w:t>年，又出现“文化大革命”，贯彻以“阶级斗争为纲”，忽视经济建设，在经济管理上实行高度集中统一，批判商品经济，排斥市场调节，忽视科学技术，不讲经济效益，又一次严重破坏社会生产力。</w:t>
      </w:r>
      <w:r>
        <w:rPr>
          <w:rFonts w:ascii="宋体" w:hAnsi="宋体"/>
          <w:szCs w:val="21"/>
        </w:rPr>
        <w:t>10年内工农业总产值有2年下降，5年徘徊不前。1978年全县社会总产值为12715万元，比1957年增长140.3%，按可比价计算，21</w:t>
      </w:r>
      <w:r>
        <w:rPr>
          <w:rFonts w:hint="eastAsia" w:ascii="宋体" w:hAnsi="宋体"/>
          <w:szCs w:val="21"/>
        </w:rPr>
        <w:t>年平均年递增仅</w:t>
      </w:r>
      <w:r>
        <w:rPr>
          <w:rFonts w:ascii="宋体" w:hAnsi="宋体"/>
          <w:szCs w:val="21"/>
        </w:rPr>
        <w:t>4.1%。工商企业所有制结构形成单一化。1957年工业企业产值中，</w:t>
      </w:r>
      <w:r>
        <w:rPr>
          <w:rFonts w:hint="eastAsia" w:ascii="宋体" w:hAnsi="宋体"/>
          <w:szCs w:val="21"/>
        </w:rPr>
        <w:t>国营企业占</w:t>
      </w:r>
      <w:r>
        <w:rPr>
          <w:rFonts w:ascii="宋体" w:hAnsi="宋体"/>
          <w:szCs w:val="21"/>
        </w:rPr>
        <w:t>44.6%，集体企业占14%，个体企业占23.4%，公私合营企业占18%</w:t>
      </w:r>
      <w:r>
        <w:rPr>
          <w:rFonts w:hint="eastAsia" w:ascii="宋体" w:hAnsi="宋体"/>
          <w:szCs w:val="21"/>
        </w:rPr>
        <w:t>。商业企业产值中，国营企业占</w:t>
      </w:r>
      <w:r>
        <w:rPr>
          <w:rFonts w:ascii="宋体" w:hAnsi="宋体"/>
          <w:szCs w:val="21"/>
        </w:rPr>
        <w:t>28.9%，集体企业占27.73%，个体企业占7.18%，私</w:t>
      </w:r>
      <w:r>
        <w:rPr>
          <w:rFonts w:hint="eastAsia" w:ascii="宋体" w:hAnsi="宋体"/>
          <w:szCs w:val="21"/>
        </w:rPr>
        <w:t>营企业占</w:t>
      </w:r>
      <w:r>
        <w:rPr>
          <w:rFonts w:ascii="宋体" w:hAnsi="宋体"/>
          <w:szCs w:val="21"/>
        </w:rPr>
        <w:t>14.75%，公私合营企业占21.51%</w:t>
      </w:r>
      <w:r>
        <w:rPr>
          <w:rFonts w:hint="eastAsia" w:ascii="宋体" w:hAnsi="宋体"/>
          <w:szCs w:val="21"/>
        </w:rPr>
        <w:t>。</w:t>
      </w:r>
      <w:r>
        <w:rPr>
          <w:rFonts w:ascii="宋体" w:hAnsi="宋体"/>
          <w:szCs w:val="21"/>
        </w:rPr>
        <w:t>至1978年，工业企业产值中国营企业</w:t>
      </w:r>
      <w:r>
        <w:rPr>
          <w:rFonts w:hint="eastAsia" w:ascii="宋体" w:hAnsi="宋体"/>
          <w:szCs w:val="21"/>
        </w:rPr>
        <w:t>占</w:t>
      </w:r>
      <w:r>
        <w:rPr>
          <w:rFonts w:ascii="宋体" w:hAnsi="宋体"/>
          <w:szCs w:val="21"/>
        </w:rPr>
        <w:t>57.9%，集体企业占42.1%，其他所有制形式不存在了。商业企业产值中，国营</w:t>
      </w:r>
      <w:r>
        <w:rPr>
          <w:rFonts w:hint="eastAsia" w:ascii="宋体" w:hAnsi="宋体"/>
          <w:szCs w:val="21"/>
        </w:rPr>
        <w:t>企业占</w:t>
      </w:r>
      <w:r>
        <w:rPr>
          <w:rFonts w:ascii="宋体" w:hAnsi="宋体"/>
          <w:szCs w:val="21"/>
        </w:rPr>
        <w:t>45.6%，集体企业占52.4%，个体企业仅占2%。</w:t>
      </w:r>
    </w:p>
    <w:p w14:paraId="40EDDC43">
      <w:pPr>
        <w:pStyle w:val="4"/>
        <w:rPr>
          <w:rFonts w:ascii="宋体" w:hAnsi="宋体"/>
        </w:rPr>
      </w:pPr>
      <w:r>
        <w:rPr>
          <w:rFonts w:hint="eastAsia" w:ascii="宋体" w:hAnsi="宋体"/>
        </w:rPr>
        <w:t>第二节  经济体制改革概况</w:t>
      </w:r>
    </w:p>
    <w:p w14:paraId="5609D3F1">
      <w:pPr>
        <w:ind w:firstLine="420"/>
        <w:rPr>
          <w:rFonts w:ascii="宋体" w:hAnsi="宋体"/>
          <w:szCs w:val="21"/>
        </w:rPr>
      </w:pPr>
      <w:r>
        <w:rPr>
          <w:rFonts w:ascii="宋体" w:hAnsi="宋体"/>
          <w:szCs w:val="21"/>
        </w:rPr>
        <w:t>1978年12月，中共十一届三中全会以后，解放思想，拨乱反正，坚持以经济建</w:t>
      </w:r>
      <w:r>
        <w:rPr>
          <w:rFonts w:hint="eastAsia" w:ascii="宋体" w:hAnsi="宋体"/>
          <w:szCs w:val="21"/>
        </w:rPr>
        <w:t>设为中心，采取一系列改革开放措施。在经济体制改革方面，以农业为突破口，继而在工商企业、计划体制、流通体制、社会保障等方面进行改革。</w:t>
      </w:r>
    </w:p>
    <w:p w14:paraId="00C31D76">
      <w:pPr>
        <w:pStyle w:val="5"/>
        <w:rPr>
          <w:rFonts w:ascii="宋体" w:hAnsi="宋体"/>
        </w:rPr>
      </w:pPr>
      <w:r>
        <w:rPr>
          <w:rFonts w:hint="eastAsia" w:ascii="宋体" w:hAnsi="宋体"/>
        </w:rPr>
        <w:t>一、改革农村经营体制</w:t>
      </w:r>
    </w:p>
    <w:p w14:paraId="3809ACE7">
      <w:pPr>
        <w:ind w:firstLine="420"/>
        <w:rPr>
          <w:rFonts w:ascii="宋体" w:hAnsi="宋体"/>
          <w:szCs w:val="21"/>
        </w:rPr>
      </w:pPr>
      <w:r>
        <w:rPr>
          <w:rFonts w:hint="eastAsia" w:ascii="宋体" w:hAnsi="宋体"/>
          <w:szCs w:val="21"/>
        </w:rPr>
        <w:t>农村经营体制改革始于</w:t>
      </w:r>
      <w:r>
        <w:rPr>
          <w:rFonts w:ascii="宋体" w:hAnsi="宋体"/>
          <w:szCs w:val="21"/>
        </w:rPr>
        <w:t>1979年，浆田等地生产队农民自发实行包产到户。1980</w:t>
      </w:r>
      <w:r>
        <w:rPr>
          <w:rFonts w:hint="eastAsia" w:ascii="宋体" w:hAnsi="宋体"/>
          <w:szCs w:val="21"/>
        </w:rPr>
        <w:t>年贯彻中共中央通知精神，允许少数地区实行包产到户。</w:t>
      </w:r>
      <w:r>
        <w:rPr>
          <w:rFonts w:ascii="宋体" w:hAnsi="宋体"/>
          <w:szCs w:val="21"/>
        </w:rPr>
        <w:t>1981年，全县实行家庭联</w:t>
      </w:r>
      <w:r>
        <w:rPr>
          <w:rFonts w:hint="eastAsia" w:ascii="宋体" w:hAnsi="宋体"/>
          <w:szCs w:val="21"/>
        </w:rPr>
        <w:t>产承包责任制。</w:t>
      </w:r>
      <w:r>
        <w:rPr>
          <w:rFonts w:ascii="宋体" w:hAnsi="宋体"/>
          <w:szCs w:val="21"/>
        </w:rPr>
        <w:t>1983年又实行政社分开，建立区乡政权机构，撤销人民公社、大队</w:t>
      </w:r>
      <w:r>
        <w:rPr>
          <w:rFonts w:hint="eastAsia" w:ascii="宋体" w:hAnsi="宋体"/>
          <w:szCs w:val="21"/>
        </w:rPr>
        <w:t>、生产队，从而结束了政社合一的人民公社化体制。此后，在不断完善家庭联产承包责任制基础上，建立新的农村经营体制，逐步推行农业产业化，即推行公司</w:t>
      </w:r>
      <w:r>
        <w:rPr>
          <w:rFonts w:ascii="宋体" w:hAnsi="宋体"/>
          <w:szCs w:val="21"/>
        </w:rPr>
        <w:t>＋基地＋农</w:t>
      </w:r>
      <w:r>
        <w:rPr>
          <w:rFonts w:hint="eastAsia" w:ascii="宋体" w:hAnsi="宋体"/>
          <w:szCs w:val="21"/>
        </w:rPr>
        <w:t>户，产供销一体化的经营模式。以烟草公司为龙头的烟叶产业化、以金友公司为龙头的优质米产业化以及以甜玉米专业合作社为龙头的甜玉米产业化都取得了成效，烟草公司建立了</w:t>
      </w:r>
      <w:r>
        <w:rPr>
          <w:rFonts w:ascii="宋体" w:hAnsi="宋体"/>
          <w:szCs w:val="21"/>
        </w:rPr>
        <w:t>8000公顷相对稳定的烤烟生产基地，金友公司优质稻种植面积也发展到10</w:t>
      </w:r>
      <w:r>
        <w:rPr>
          <w:rFonts w:hint="eastAsia" w:ascii="宋体" w:hAnsi="宋体"/>
          <w:szCs w:val="21"/>
        </w:rPr>
        <w:t>6</w:t>
      </w:r>
      <w:r>
        <w:rPr>
          <w:rFonts w:ascii="宋体" w:hAnsi="宋体"/>
          <w:szCs w:val="21"/>
        </w:rPr>
        <w:t>66.67公顷。（详见本编农业章）</w:t>
      </w:r>
    </w:p>
    <w:p w14:paraId="473A5F4A">
      <w:pPr>
        <w:pStyle w:val="5"/>
        <w:rPr>
          <w:rFonts w:ascii="宋体" w:hAnsi="宋体"/>
        </w:rPr>
      </w:pPr>
      <w:r>
        <w:rPr>
          <w:rFonts w:hint="eastAsia" w:ascii="宋体" w:hAnsi="宋体"/>
        </w:rPr>
        <w:t>二、改革企业体制</w:t>
      </w:r>
    </w:p>
    <w:p w14:paraId="5A10D00A">
      <w:pPr>
        <w:ind w:firstLine="420"/>
        <w:rPr>
          <w:rFonts w:ascii="宋体" w:hAnsi="宋体"/>
          <w:szCs w:val="21"/>
        </w:rPr>
      </w:pPr>
      <w:r>
        <w:rPr>
          <w:rFonts w:hint="eastAsia" w:ascii="宋体" w:hAnsi="宋体"/>
          <w:szCs w:val="21"/>
        </w:rPr>
        <w:t>企业制度改革从实行各种承包责任制等形式的经营体制改革起步，收效甚微，继而实行产权制度改革。</w:t>
      </w:r>
      <w:r>
        <w:rPr>
          <w:rFonts w:ascii="宋体" w:hAnsi="宋体"/>
          <w:szCs w:val="21"/>
        </w:rPr>
        <w:t>1</w:t>
      </w:r>
      <w:r>
        <w:rPr>
          <w:rFonts w:hint="eastAsia" w:ascii="宋体" w:hAnsi="宋体"/>
          <w:szCs w:val="21"/>
        </w:rPr>
        <w:t>9</w:t>
      </w:r>
      <w:r>
        <w:rPr>
          <w:rFonts w:ascii="宋体" w:hAnsi="宋体"/>
          <w:szCs w:val="21"/>
        </w:rPr>
        <w:t>97年，市通用机械厂拍卖成功。1998年4月，市委、市政</w:t>
      </w:r>
      <w:r>
        <w:rPr>
          <w:rFonts w:hint="eastAsia" w:ascii="宋体" w:hAnsi="宋体"/>
          <w:szCs w:val="21"/>
        </w:rPr>
        <w:t>府作出了《关于大力发展私营经济的决定》以及《鼓励外商来雄投资的若干规定》。大胆引入多元化投资主体，改革企业所有制结构。采取整体规划，分类治理；从易到难，稳步前进；重点突破，立见成效的办法，对原国有工业企业分别不同情况，采取转制措施。先后对水泥厂、陶瓷厂、南方烟化集团公司实施破产。对电池厂、机械维修安装公司、印刷厂、皮革厂、纸箱厂等，则采取在安置好职工基础上，把企业租给私营企业主经营。</w:t>
      </w:r>
    </w:p>
    <w:p w14:paraId="2D06F1B1">
      <w:pPr>
        <w:ind w:firstLine="420"/>
        <w:rPr>
          <w:rFonts w:ascii="宋体" w:hAnsi="宋体"/>
          <w:szCs w:val="21"/>
        </w:rPr>
      </w:pPr>
      <w:r>
        <w:rPr>
          <w:rFonts w:hint="eastAsia" w:ascii="宋体" w:hAnsi="宋体"/>
          <w:szCs w:val="21"/>
        </w:rPr>
        <w:t>二轻集体企业由总公司统一组织，对原有企业职工解除劳动关系，给予一次性经济补偿，企业转制民营。</w:t>
      </w:r>
    </w:p>
    <w:p w14:paraId="2CEF0305">
      <w:pPr>
        <w:ind w:firstLine="420"/>
        <w:rPr>
          <w:rFonts w:ascii="宋体" w:hAnsi="宋体"/>
          <w:szCs w:val="21"/>
        </w:rPr>
      </w:pPr>
      <w:r>
        <w:rPr>
          <w:rFonts w:hint="eastAsia" w:ascii="宋体" w:hAnsi="宋体"/>
          <w:szCs w:val="21"/>
        </w:rPr>
        <w:t>至</w:t>
      </w:r>
      <w:r>
        <w:rPr>
          <w:rFonts w:ascii="宋体" w:hAnsi="宋体"/>
          <w:szCs w:val="21"/>
        </w:rPr>
        <w:t>200</w:t>
      </w:r>
      <w:r>
        <w:rPr>
          <w:rFonts w:hint="eastAsia" w:ascii="宋体" w:hAnsi="宋体"/>
          <w:szCs w:val="21"/>
        </w:rPr>
        <w:t>2</w:t>
      </w:r>
      <w:r>
        <w:rPr>
          <w:rFonts w:ascii="宋体" w:hAnsi="宋体"/>
          <w:szCs w:val="21"/>
        </w:rPr>
        <w:t>年，企业转制基本完成，原来国有、集体一统天下的产权体制改变为多种经</w:t>
      </w:r>
      <w:r>
        <w:rPr>
          <w:rFonts w:hint="eastAsia" w:ascii="宋体" w:hAnsi="宋体"/>
          <w:szCs w:val="21"/>
        </w:rPr>
        <w:t>济成分共存、以民营经济为主体的产权结构。全市工业企业</w:t>
      </w:r>
      <w:r>
        <w:rPr>
          <w:rFonts w:ascii="宋体" w:hAnsi="宋体"/>
          <w:szCs w:val="21"/>
        </w:rPr>
        <w:t>5155个，其中国有工业28个；</w:t>
      </w:r>
      <w:r>
        <w:rPr>
          <w:rFonts w:hint="eastAsia" w:ascii="宋体" w:hAnsi="宋体"/>
          <w:szCs w:val="21"/>
        </w:rPr>
        <w:t>工业产值</w:t>
      </w:r>
      <w:r>
        <w:rPr>
          <w:rFonts w:ascii="宋体" w:hAnsi="宋体"/>
          <w:szCs w:val="21"/>
        </w:rPr>
        <w:t>119937万元，其中国有工业19511万元，仅占16.3%。（详见本编工业章）</w:t>
      </w:r>
    </w:p>
    <w:p w14:paraId="5584084F">
      <w:pPr>
        <w:ind w:firstLine="420"/>
        <w:rPr>
          <w:rFonts w:ascii="宋体" w:hAnsi="宋体"/>
          <w:szCs w:val="21"/>
        </w:rPr>
      </w:pPr>
      <w:r>
        <w:rPr>
          <w:rFonts w:hint="eastAsia" w:ascii="宋体" w:hAnsi="宋体"/>
          <w:szCs w:val="21"/>
        </w:rPr>
        <w:t>商业系统对原有职工实行解除劳动合同，给予一次性经济补偿，全盘实现民营化。（详见本编国内贸易章）</w:t>
      </w:r>
    </w:p>
    <w:p w14:paraId="5D06C1ED">
      <w:pPr>
        <w:ind w:firstLine="420"/>
        <w:rPr>
          <w:rFonts w:ascii="宋体" w:hAnsi="宋体"/>
          <w:szCs w:val="21"/>
        </w:rPr>
      </w:pPr>
      <w:r>
        <w:rPr>
          <w:rFonts w:hint="eastAsia" w:ascii="宋体" w:hAnsi="宋体"/>
          <w:szCs w:val="21"/>
        </w:rPr>
        <w:t>镇办村办企业</w:t>
      </w:r>
      <w:r>
        <w:rPr>
          <w:rFonts w:ascii="宋体" w:hAnsi="宋体"/>
          <w:szCs w:val="21"/>
        </w:rPr>
        <w:t>1356家，通过合并、承包、出租、合股、拍卖等形式实现转制。2002年，全市乡镇企业18606个，其中个体和私营企业16430个，占88.3%。（详见</w:t>
      </w:r>
      <w:r>
        <w:rPr>
          <w:rFonts w:hint="eastAsia" w:ascii="宋体" w:hAnsi="宋体"/>
          <w:szCs w:val="21"/>
        </w:rPr>
        <w:t>本编乡镇企业章）</w:t>
      </w:r>
    </w:p>
    <w:p w14:paraId="1FE02C06">
      <w:pPr>
        <w:pStyle w:val="5"/>
        <w:rPr>
          <w:rFonts w:ascii="宋体" w:hAnsi="宋体"/>
        </w:rPr>
      </w:pPr>
      <w:r>
        <w:rPr>
          <w:rFonts w:hint="eastAsia" w:ascii="宋体" w:hAnsi="宋体"/>
        </w:rPr>
        <w:t>三、改革计划管理体制</w:t>
      </w:r>
    </w:p>
    <w:p w14:paraId="7A73802F">
      <w:pPr>
        <w:ind w:firstLine="420"/>
        <w:rPr>
          <w:rFonts w:ascii="宋体" w:hAnsi="宋体"/>
          <w:szCs w:val="21"/>
        </w:rPr>
      </w:pPr>
      <w:r>
        <w:rPr>
          <w:rFonts w:ascii="宋体" w:hAnsi="宋体"/>
          <w:szCs w:val="21"/>
        </w:rPr>
        <w:t>1955年，南雄县计划委员会成立，对国民经济计划发展进行调</w:t>
      </w:r>
      <w:r>
        <w:rPr>
          <w:rFonts w:hint="eastAsia" w:ascii="宋体" w:hAnsi="宋体"/>
          <w:szCs w:val="21"/>
        </w:rPr>
        <w:t>查</w:t>
      </w:r>
      <w:r>
        <w:rPr>
          <w:rFonts w:ascii="宋体" w:hAnsi="宋体"/>
          <w:szCs w:val="21"/>
        </w:rPr>
        <w:t>研究，实施综</w:t>
      </w:r>
      <w:r>
        <w:rPr>
          <w:rFonts w:hint="eastAsia" w:ascii="宋体" w:hAnsi="宋体"/>
          <w:szCs w:val="21"/>
        </w:rPr>
        <w:t>合平衡，检查计划执行情况，推动国民经济发展。</w:t>
      </w:r>
      <w:r>
        <w:rPr>
          <w:rFonts w:ascii="宋体" w:hAnsi="宋体"/>
          <w:szCs w:val="21"/>
        </w:rPr>
        <w:t>1997年县计划委员会更名为南雄</w:t>
      </w:r>
      <w:r>
        <w:rPr>
          <w:rFonts w:hint="eastAsia" w:ascii="宋体" w:hAnsi="宋体"/>
          <w:szCs w:val="21"/>
        </w:rPr>
        <w:t>市计划局。</w:t>
      </w:r>
    </w:p>
    <w:p w14:paraId="7866732A">
      <w:pPr>
        <w:ind w:firstLine="420"/>
        <w:rPr>
          <w:rFonts w:ascii="宋体" w:hAnsi="宋体"/>
          <w:szCs w:val="21"/>
        </w:rPr>
      </w:pPr>
      <w:r>
        <w:rPr>
          <w:rFonts w:ascii="宋体" w:hAnsi="宋体"/>
          <w:szCs w:val="21"/>
        </w:rPr>
        <w:t>1984年《中共中央关于经济体制改革的决定》实施前，计划管理以指令性计划</w:t>
      </w:r>
      <w:r>
        <w:rPr>
          <w:rFonts w:hint="eastAsia" w:ascii="宋体" w:hAnsi="宋体"/>
          <w:szCs w:val="21"/>
        </w:rPr>
        <w:t>为主，集中过多，统得过死。《中共中央关于经济体制改革的决定》实施后，进行较大的改革，缩小指令性计划范围，扩大指导性计划和市场调节，计划工作重点转到经济发展战略性研究上来，由以年度计划为主转向中长期计划为主，由抓单一的指令性计划平衡转向着重抓好人力、物力、财力的综合平衡，发挥统筹、协调、服务、监督作用。年度计划编制项目主要是：国内生产总值、工农业总产值、外贸出口总值、外商直接投资、地方财政收入、社会消费品零售总额、全社会固定资产投资、农村人平年纯收入、人口自然增长率及工农业产品产量和中小学招生计划等。五年计划编制的主要项目为：全市经济增长速度、各项重要生产指标、固定资产投资规模、科学技术重点项目、居民平均生活水平、专门人才培养、人口自然增长率、实现计划的重大措施等。</w:t>
      </w:r>
    </w:p>
    <w:p w14:paraId="29A0190A">
      <w:pPr>
        <w:ind w:firstLine="420"/>
        <w:rPr>
          <w:rFonts w:ascii="宋体" w:hAnsi="宋体"/>
          <w:szCs w:val="21"/>
        </w:rPr>
      </w:pPr>
      <w:r>
        <w:rPr>
          <w:rFonts w:hint="eastAsia" w:ascii="宋体" w:hAnsi="宋体"/>
          <w:szCs w:val="21"/>
        </w:rPr>
        <w:t>计划管理体制改革以后，计划部门在编制好中长期计划的同时，加强固定资产投资项目的调整研究，积极报批项目，争取资金。</w:t>
      </w:r>
      <w:r>
        <w:rPr>
          <w:rFonts w:ascii="宋体" w:hAnsi="宋体"/>
          <w:szCs w:val="21"/>
        </w:rPr>
        <w:t>1993年至1997年，计划口上报获批</w:t>
      </w:r>
      <w:r>
        <w:rPr>
          <w:rFonts w:hint="eastAsia" w:ascii="宋体" w:hAnsi="宋体"/>
          <w:szCs w:val="21"/>
        </w:rPr>
        <w:t>项目</w:t>
      </w:r>
      <w:r>
        <w:rPr>
          <w:rFonts w:ascii="宋体" w:hAnsi="宋体"/>
          <w:szCs w:val="21"/>
        </w:rPr>
        <w:t>13项，引进资金8003.5万元。1998年至2004年，上报获批项目30项，争取资</w:t>
      </w:r>
      <w:r>
        <w:rPr>
          <w:rFonts w:hint="eastAsia" w:ascii="宋体" w:hAnsi="宋体"/>
          <w:szCs w:val="21"/>
        </w:rPr>
        <w:t>金</w:t>
      </w:r>
      <w:r>
        <w:rPr>
          <w:rFonts w:ascii="宋体" w:hAnsi="宋体"/>
          <w:szCs w:val="21"/>
        </w:rPr>
        <w:t>11204万元。</w:t>
      </w:r>
    </w:p>
    <w:p w14:paraId="3E8217D4">
      <w:pPr>
        <w:ind w:firstLine="420"/>
        <w:rPr>
          <w:rFonts w:ascii="宋体" w:hAnsi="宋体"/>
          <w:szCs w:val="21"/>
        </w:rPr>
      </w:pPr>
      <w:r>
        <w:rPr>
          <w:rFonts w:hint="eastAsia" w:ascii="宋体" w:hAnsi="宋体"/>
          <w:szCs w:val="21"/>
        </w:rPr>
        <w:t>为适应计划管理体制改革新要求，</w:t>
      </w:r>
      <w:r>
        <w:rPr>
          <w:rFonts w:ascii="宋体" w:hAnsi="宋体"/>
          <w:szCs w:val="21"/>
        </w:rPr>
        <w:t>2001年市计划局改组为发展计划局，原物价</w:t>
      </w:r>
      <w:r>
        <w:rPr>
          <w:rFonts w:hint="eastAsia" w:ascii="宋体" w:hAnsi="宋体"/>
          <w:szCs w:val="21"/>
        </w:rPr>
        <w:t>局和粮食管理储备局职能并入发展计划局。</w:t>
      </w:r>
      <w:r>
        <w:rPr>
          <w:rFonts w:ascii="宋体" w:hAnsi="宋体"/>
          <w:szCs w:val="21"/>
        </w:rPr>
        <w:t>2004年11月，市发展计划局改组为市发</w:t>
      </w:r>
      <w:r>
        <w:rPr>
          <w:rFonts w:hint="eastAsia" w:ascii="宋体" w:hAnsi="宋体"/>
          <w:szCs w:val="21"/>
        </w:rPr>
        <w:t>展和改革局。</w:t>
      </w:r>
    </w:p>
    <w:p w14:paraId="487242FE">
      <w:pPr>
        <w:pStyle w:val="5"/>
        <w:rPr>
          <w:rFonts w:ascii="宋体" w:hAnsi="宋体"/>
        </w:rPr>
      </w:pPr>
      <w:r>
        <w:rPr>
          <w:rFonts w:hint="eastAsia" w:ascii="宋体" w:hAnsi="宋体"/>
        </w:rPr>
        <w:t>四、改革流通体制</w:t>
      </w:r>
    </w:p>
    <w:p w14:paraId="322CCF6A">
      <w:pPr>
        <w:ind w:firstLine="420"/>
        <w:rPr>
          <w:rFonts w:ascii="宋体" w:hAnsi="宋体"/>
          <w:szCs w:val="21"/>
        </w:rPr>
      </w:pPr>
      <w:r>
        <w:rPr>
          <w:rFonts w:hint="eastAsia" w:ascii="宋体" w:hAnsi="宋体"/>
          <w:szCs w:val="21"/>
        </w:rPr>
        <w:t>粮油流通体制改革。自</w:t>
      </w:r>
      <w:r>
        <w:rPr>
          <w:rFonts w:ascii="宋体" w:hAnsi="宋体"/>
          <w:szCs w:val="21"/>
        </w:rPr>
        <w:t>1953年实行统购统销，一统32年。1985年改为粮食合同</w:t>
      </w:r>
      <w:r>
        <w:rPr>
          <w:rFonts w:hint="eastAsia" w:ascii="宋体" w:hAnsi="宋体"/>
          <w:szCs w:val="21"/>
        </w:rPr>
        <w:t>定购。</w:t>
      </w:r>
      <w:r>
        <w:rPr>
          <w:rFonts w:ascii="宋体" w:hAnsi="宋体"/>
          <w:szCs w:val="21"/>
        </w:rPr>
        <w:t>1988年取消食油统购统销，开放食油经营。2001年，国家对粮食流通体制作</w:t>
      </w:r>
      <w:r>
        <w:rPr>
          <w:rFonts w:hint="eastAsia" w:ascii="宋体" w:hAnsi="宋体"/>
          <w:szCs w:val="21"/>
        </w:rPr>
        <w:t>重大改革，取消国家粮食定购任务，粮食购销全面市场化。南雄市粮食部门实行政企分开，成立南雄市粮食购销有限公司，原有粮食企业按照全员解除劳动关系，实行经济补偿的安置政策，各自创办新的民营粮食流通企业。（详见本编粮油购销章）</w:t>
      </w:r>
    </w:p>
    <w:p w14:paraId="4C220BD0">
      <w:pPr>
        <w:ind w:firstLine="420"/>
        <w:rPr>
          <w:rFonts w:ascii="宋体" w:hAnsi="宋体"/>
          <w:szCs w:val="21"/>
        </w:rPr>
      </w:pPr>
      <w:r>
        <w:rPr>
          <w:rFonts w:hint="eastAsia" w:ascii="宋体" w:hAnsi="宋体"/>
          <w:szCs w:val="21"/>
        </w:rPr>
        <w:t>工业生产资料流通体制改革。</w:t>
      </w:r>
      <w:r>
        <w:rPr>
          <w:rFonts w:ascii="宋体" w:hAnsi="宋体"/>
          <w:szCs w:val="21"/>
        </w:rPr>
        <w:t>1979年以后，计划内分配物资逐步减少，市场调</w:t>
      </w:r>
      <w:r>
        <w:rPr>
          <w:rFonts w:hint="eastAsia" w:ascii="宋体" w:hAnsi="宋体"/>
          <w:szCs w:val="21"/>
        </w:rPr>
        <w:t>节物资逐步增多。物资放开经营后，市场竞争激烈，国有物资企业亏损严重。</w:t>
      </w:r>
      <w:r>
        <w:rPr>
          <w:rFonts w:ascii="宋体" w:hAnsi="宋体"/>
          <w:szCs w:val="21"/>
        </w:rPr>
        <w:t>1995</w:t>
      </w:r>
      <w:r>
        <w:rPr>
          <w:rFonts w:hint="eastAsia" w:ascii="宋体" w:hAnsi="宋体"/>
          <w:szCs w:val="21"/>
        </w:rPr>
        <w:t>年至</w:t>
      </w:r>
      <w:r>
        <w:rPr>
          <w:rFonts w:ascii="宋体" w:hAnsi="宋体"/>
          <w:szCs w:val="21"/>
        </w:rPr>
        <w:t>1997年，实行“借本经营”改革措施，即总公司借给职工部分资金，企业由职</w:t>
      </w:r>
      <w:r>
        <w:rPr>
          <w:rFonts w:hint="eastAsia" w:ascii="宋体" w:hAnsi="宋体"/>
          <w:szCs w:val="21"/>
        </w:rPr>
        <w:t>工承包，自主经营，自负盈亏，取得一定效果。</w:t>
      </w:r>
      <w:r>
        <w:rPr>
          <w:rFonts w:ascii="宋体" w:hAnsi="宋体"/>
          <w:szCs w:val="21"/>
        </w:rPr>
        <w:t>2002年，总公司又进一步采取改革</w:t>
      </w:r>
      <w:r>
        <w:rPr>
          <w:rFonts w:hint="eastAsia" w:ascii="宋体" w:hAnsi="宋体"/>
          <w:szCs w:val="21"/>
        </w:rPr>
        <w:t>措施，对职工给予一次性经济补偿，企业全盘转制，实现民营化。（详见本编国内贸易章）</w:t>
      </w:r>
    </w:p>
    <w:p w14:paraId="2C0FD1F0">
      <w:pPr>
        <w:pStyle w:val="5"/>
        <w:rPr>
          <w:rFonts w:ascii="宋体" w:hAnsi="宋体"/>
        </w:rPr>
      </w:pPr>
      <w:r>
        <w:rPr>
          <w:rFonts w:hint="eastAsia" w:ascii="宋体" w:hAnsi="宋体"/>
        </w:rPr>
        <w:t>五、建立社会保障制度</w:t>
      </w:r>
    </w:p>
    <w:p w14:paraId="5D138D4C">
      <w:pPr>
        <w:ind w:firstLine="420"/>
        <w:rPr>
          <w:rFonts w:ascii="宋体" w:hAnsi="宋体"/>
          <w:szCs w:val="21"/>
        </w:rPr>
      </w:pPr>
      <w:r>
        <w:rPr>
          <w:rFonts w:hint="eastAsia" w:ascii="宋体" w:hAnsi="宋体"/>
          <w:szCs w:val="21"/>
        </w:rPr>
        <w:t>城镇职工基本医疗保险改革，于</w:t>
      </w:r>
      <w:r>
        <w:rPr>
          <w:rFonts w:ascii="宋体" w:hAnsi="宋体"/>
          <w:szCs w:val="21"/>
        </w:rPr>
        <w:t>2001年12月1日正式启动，初步建立社会统筹</w:t>
      </w:r>
      <w:r>
        <w:rPr>
          <w:rFonts w:hint="eastAsia" w:ascii="宋体" w:hAnsi="宋体"/>
          <w:szCs w:val="21"/>
        </w:rPr>
        <w:t>基金与个人医疗账户相结合的职工医疗保险制度。</w:t>
      </w:r>
      <w:r>
        <w:rPr>
          <w:rFonts w:ascii="宋体" w:hAnsi="宋体"/>
          <w:szCs w:val="21"/>
        </w:rPr>
        <w:t>2005年，全市参加医疗保险职工21299人，医保费收缴率为83%。</w:t>
      </w:r>
    </w:p>
    <w:p w14:paraId="4A96F055">
      <w:pPr>
        <w:ind w:firstLine="420"/>
        <w:rPr>
          <w:rFonts w:ascii="宋体" w:hAnsi="宋体"/>
          <w:szCs w:val="21"/>
        </w:rPr>
      </w:pPr>
      <w:r>
        <w:rPr>
          <w:rFonts w:hint="eastAsia" w:ascii="宋体" w:hAnsi="宋体"/>
          <w:szCs w:val="21"/>
        </w:rPr>
        <w:t>社会养老保险体制逐步健全完善。</w:t>
      </w:r>
      <w:r>
        <w:rPr>
          <w:rFonts w:ascii="宋体" w:hAnsi="宋体"/>
          <w:szCs w:val="21"/>
        </w:rPr>
        <w:t>2005年，全市参加养老保险单位435个，参</w:t>
      </w:r>
      <w:r>
        <w:rPr>
          <w:rFonts w:hint="eastAsia" w:ascii="宋体" w:hAnsi="宋体"/>
          <w:szCs w:val="21"/>
        </w:rPr>
        <w:t>保职工</w:t>
      </w:r>
      <w:r>
        <w:rPr>
          <w:rFonts w:ascii="宋体" w:hAnsi="宋体"/>
          <w:szCs w:val="21"/>
        </w:rPr>
        <w:t>22366人（含机关8260人），参加工伤保险单位215个，13179人。</w:t>
      </w:r>
    </w:p>
    <w:p w14:paraId="0E053781">
      <w:pPr>
        <w:ind w:firstLine="420"/>
        <w:rPr>
          <w:rFonts w:ascii="宋体" w:hAnsi="宋体"/>
          <w:szCs w:val="21"/>
        </w:rPr>
      </w:pPr>
      <w:r>
        <w:rPr>
          <w:rFonts w:hint="eastAsia" w:ascii="宋体" w:hAnsi="宋体"/>
          <w:szCs w:val="21"/>
        </w:rPr>
        <w:t>农村合作医疗保障制度于</w:t>
      </w:r>
      <w:r>
        <w:rPr>
          <w:rFonts w:ascii="宋体" w:hAnsi="宋体"/>
          <w:szCs w:val="21"/>
        </w:rPr>
        <w:t>1997年在澜河镇试点后全面铺开。2004年末，全市已</w:t>
      </w:r>
      <w:r>
        <w:rPr>
          <w:rFonts w:hint="eastAsia" w:ascii="宋体" w:hAnsi="宋体"/>
          <w:szCs w:val="21"/>
        </w:rPr>
        <w:t>有</w:t>
      </w:r>
      <w:r>
        <w:rPr>
          <w:rFonts w:ascii="宋体" w:hAnsi="宋体"/>
          <w:szCs w:val="21"/>
        </w:rPr>
        <w:t>18万农民参加了医保，占全市农业人口的50%。（详见本编劳动和社会保障章</w:t>
      </w:r>
      <w:r>
        <w:rPr>
          <w:rFonts w:hint="eastAsia" w:ascii="宋体" w:hAnsi="宋体"/>
          <w:szCs w:val="21"/>
        </w:rPr>
        <w:t>、卫生章）</w:t>
      </w:r>
    </w:p>
    <w:p w14:paraId="7BDEC5AD">
      <w:pPr>
        <w:pStyle w:val="4"/>
        <w:rPr>
          <w:rFonts w:ascii="宋体" w:hAnsi="宋体"/>
        </w:rPr>
      </w:pPr>
      <w:r>
        <w:rPr>
          <w:rFonts w:hint="eastAsia" w:ascii="宋体" w:hAnsi="宋体"/>
        </w:rPr>
        <w:t>第三节  改革效果</w:t>
      </w:r>
    </w:p>
    <w:p w14:paraId="78D2C89F">
      <w:pPr>
        <w:ind w:firstLine="420"/>
        <w:rPr>
          <w:rFonts w:ascii="宋体" w:hAnsi="宋体"/>
          <w:szCs w:val="21"/>
        </w:rPr>
      </w:pPr>
      <w:r>
        <w:rPr>
          <w:rFonts w:hint="eastAsia" w:ascii="宋体" w:hAnsi="宋体"/>
          <w:szCs w:val="21"/>
        </w:rPr>
        <w:t>经济体制改革后带来了经济结构较大变化，生产较大幅度增长，效益显著提高。详见表</w:t>
      </w:r>
      <w:r>
        <w:rPr>
          <w:rFonts w:ascii="宋体" w:hAnsi="宋体"/>
          <w:szCs w:val="21"/>
        </w:rPr>
        <w:t>2-1</w:t>
      </w:r>
      <w:r>
        <w:rPr>
          <w:rFonts w:hint="eastAsia" w:ascii="宋体" w:hAnsi="宋体"/>
          <w:szCs w:val="21"/>
        </w:rPr>
        <w:t>～</w:t>
      </w:r>
      <w:r>
        <w:rPr>
          <w:rFonts w:ascii="宋体" w:hAnsi="宋体"/>
          <w:szCs w:val="21"/>
        </w:rPr>
        <w:t>2-5：</w:t>
      </w:r>
    </w:p>
    <w:p w14:paraId="04F05830">
      <w:pPr>
        <w:pStyle w:val="5"/>
        <w:rPr>
          <w:rFonts w:ascii="宋体" w:hAnsi="宋体"/>
        </w:rPr>
      </w:pPr>
      <w:r>
        <w:rPr>
          <w:rFonts w:hint="eastAsia" w:ascii="宋体" w:hAnsi="宋体"/>
        </w:rPr>
        <w:t>一、社会总产出、国内生产总值、固定资产投资较大增长</w:t>
      </w:r>
    </w:p>
    <w:p w14:paraId="44A30B9F">
      <w:pPr>
        <w:ind w:firstLine="0" w:firstLineChars="0"/>
        <w:jc w:val="center"/>
        <w:rPr>
          <w:rFonts w:ascii="宋体" w:hAnsi="宋体"/>
          <w:b/>
          <w:szCs w:val="21"/>
        </w:rPr>
      </w:pPr>
      <w:r>
        <w:rPr>
          <w:rFonts w:hint="eastAsia" w:ascii="宋体" w:hAnsi="宋体"/>
          <w:b/>
          <w:szCs w:val="21"/>
        </w:rPr>
        <w:t>南雄市社会总产出、国内生产总值、全社会固定资产投资情况</w:t>
      </w:r>
    </w:p>
    <w:p w14:paraId="3007A15A">
      <w:pPr>
        <w:ind w:firstLine="0" w:firstLineChars="0"/>
        <w:rPr>
          <w:rFonts w:ascii="宋体" w:hAnsi="宋体"/>
          <w:b/>
          <w:szCs w:val="21"/>
        </w:rPr>
      </w:pPr>
      <w:r>
        <w:rPr>
          <w:rFonts w:hint="eastAsia" w:ascii="宋体" w:hAnsi="宋体"/>
          <w:b/>
          <w:szCs w:val="21"/>
        </w:rPr>
        <w:t>表</w:t>
      </w:r>
      <w:r>
        <w:rPr>
          <w:rFonts w:ascii="宋体" w:hAnsi="宋体"/>
          <w:b/>
          <w:szCs w:val="21"/>
        </w:rPr>
        <w:t>2-1</w:t>
      </w:r>
    </w:p>
    <w:p w14:paraId="1E5C2D26">
      <w:pPr>
        <w:ind w:firstLine="422"/>
        <w:jc w:val="right"/>
        <w:rPr>
          <w:rFonts w:ascii="宋体" w:hAnsi="宋体"/>
          <w:b/>
          <w:szCs w:val="21"/>
        </w:rPr>
      </w:pPr>
      <w:r>
        <w:rPr>
          <w:rFonts w:ascii="宋体" w:hAnsi="宋体"/>
          <w:b/>
          <w:szCs w:val="21"/>
        </w:rPr>
        <w:t>单位：万元</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2490"/>
        <w:gridCol w:w="2491"/>
        <w:gridCol w:w="2491"/>
      </w:tblGrid>
      <w:tr w14:paraId="5F7793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2E4701E">
            <w:pPr>
              <w:pStyle w:val="12"/>
              <w:jc w:val="center"/>
              <w:rPr>
                <w:rFonts w:ascii="宋体" w:hAnsi="宋体"/>
                <w:b/>
              </w:rPr>
            </w:pPr>
            <w:r>
              <w:rPr>
                <w:rFonts w:hint="eastAsia" w:ascii="宋体" w:hAnsi="宋体"/>
                <w:b/>
              </w:rPr>
              <w:t>年份</w:t>
            </w:r>
          </w:p>
        </w:tc>
        <w:tc>
          <w:tcPr>
            <w:tcW w:w="1250" w:type="pct"/>
            <w:vAlign w:val="center"/>
          </w:tcPr>
          <w:p w14:paraId="4DB65980">
            <w:pPr>
              <w:pStyle w:val="12"/>
              <w:jc w:val="center"/>
              <w:rPr>
                <w:rFonts w:ascii="宋体" w:hAnsi="宋体"/>
                <w:b/>
              </w:rPr>
            </w:pPr>
            <w:r>
              <w:rPr>
                <w:rFonts w:hint="eastAsia" w:ascii="宋体" w:hAnsi="宋体"/>
                <w:b/>
              </w:rPr>
              <w:t>社会总产出</w:t>
            </w:r>
          </w:p>
        </w:tc>
        <w:tc>
          <w:tcPr>
            <w:tcW w:w="1250" w:type="pct"/>
            <w:vAlign w:val="center"/>
          </w:tcPr>
          <w:p w14:paraId="2C241E69">
            <w:pPr>
              <w:pStyle w:val="12"/>
              <w:jc w:val="center"/>
              <w:rPr>
                <w:rFonts w:ascii="宋体" w:hAnsi="宋体"/>
                <w:b/>
              </w:rPr>
            </w:pPr>
            <w:r>
              <w:rPr>
                <w:rFonts w:hint="eastAsia" w:ascii="宋体" w:hAnsi="宋体"/>
                <w:b/>
              </w:rPr>
              <w:t>国内生产总值</w:t>
            </w:r>
          </w:p>
        </w:tc>
        <w:tc>
          <w:tcPr>
            <w:tcW w:w="1250" w:type="pct"/>
            <w:vAlign w:val="center"/>
          </w:tcPr>
          <w:p w14:paraId="76899CEC">
            <w:pPr>
              <w:pStyle w:val="12"/>
              <w:jc w:val="center"/>
              <w:rPr>
                <w:rFonts w:ascii="宋体" w:hAnsi="宋体"/>
                <w:b/>
              </w:rPr>
            </w:pPr>
            <w:r>
              <w:rPr>
                <w:rFonts w:hint="eastAsia" w:ascii="宋体" w:hAnsi="宋体"/>
                <w:b/>
              </w:rPr>
              <w:t>全社会固定资产投资</w:t>
            </w:r>
          </w:p>
        </w:tc>
      </w:tr>
      <w:tr w14:paraId="12CE22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DA53BEB">
            <w:pPr>
              <w:pStyle w:val="12"/>
              <w:jc w:val="center"/>
              <w:rPr>
                <w:rFonts w:ascii="宋体" w:hAnsi="宋体"/>
              </w:rPr>
            </w:pPr>
            <w:r>
              <w:rPr>
                <w:rFonts w:ascii="宋体" w:hAnsi="宋体"/>
              </w:rPr>
              <w:t>1980</w:t>
            </w:r>
          </w:p>
        </w:tc>
        <w:tc>
          <w:tcPr>
            <w:tcW w:w="1250" w:type="pct"/>
            <w:vAlign w:val="center"/>
          </w:tcPr>
          <w:p w14:paraId="608EF5F9">
            <w:pPr>
              <w:pStyle w:val="12"/>
              <w:jc w:val="center"/>
              <w:rPr>
                <w:rFonts w:ascii="宋体" w:hAnsi="宋体"/>
              </w:rPr>
            </w:pPr>
            <w:r>
              <w:rPr>
                <w:rFonts w:ascii="宋体" w:hAnsi="宋体"/>
              </w:rPr>
              <w:t>17697</w:t>
            </w:r>
          </w:p>
        </w:tc>
        <w:tc>
          <w:tcPr>
            <w:tcW w:w="1250" w:type="pct"/>
            <w:vAlign w:val="center"/>
          </w:tcPr>
          <w:p w14:paraId="68CD4634">
            <w:pPr>
              <w:pStyle w:val="12"/>
              <w:jc w:val="center"/>
              <w:rPr>
                <w:rFonts w:ascii="宋体" w:hAnsi="宋体"/>
              </w:rPr>
            </w:pPr>
            <w:r>
              <w:rPr>
                <w:rFonts w:ascii="宋体" w:hAnsi="宋体"/>
              </w:rPr>
              <w:t>11519</w:t>
            </w:r>
          </w:p>
        </w:tc>
        <w:tc>
          <w:tcPr>
            <w:tcW w:w="1250" w:type="pct"/>
            <w:vAlign w:val="center"/>
          </w:tcPr>
          <w:p w14:paraId="795E0E13">
            <w:pPr>
              <w:pStyle w:val="12"/>
              <w:jc w:val="center"/>
              <w:rPr>
                <w:rFonts w:ascii="宋体" w:hAnsi="宋体"/>
              </w:rPr>
            </w:pPr>
            <w:r>
              <w:rPr>
                <w:rFonts w:ascii="宋体" w:hAnsi="宋体"/>
              </w:rPr>
              <w:t>1073</w:t>
            </w:r>
          </w:p>
        </w:tc>
      </w:tr>
      <w:tr w14:paraId="7545DA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0BAF0E4A">
            <w:pPr>
              <w:pStyle w:val="12"/>
              <w:jc w:val="center"/>
              <w:rPr>
                <w:rFonts w:ascii="宋体" w:hAnsi="宋体"/>
              </w:rPr>
            </w:pPr>
            <w:r>
              <w:rPr>
                <w:rFonts w:ascii="宋体" w:hAnsi="宋体"/>
              </w:rPr>
              <w:t>1989</w:t>
            </w:r>
          </w:p>
        </w:tc>
        <w:tc>
          <w:tcPr>
            <w:tcW w:w="1250" w:type="pct"/>
            <w:vAlign w:val="center"/>
          </w:tcPr>
          <w:p w14:paraId="45630DC5">
            <w:pPr>
              <w:pStyle w:val="12"/>
              <w:jc w:val="center"/>
              <w:rPr>
                <w:rFonts w:ascii="宋体" w:hAnsi="宋体"/>
              </w:rPr>
            </w:pPr>
            <w:r>
              <w:rPr>
                <w:rFonts w:ascii="宋体" w:hAnsi="宋体"/>
              </w:rPr>
              <w:t>46793</w:t>
            </w:r>
          </w:p>
        </w:tc>
        <w:tc>
          <w:tcPr>
            <w:tcW w:w="1250" w:type="pct"/>
            <w:vAlign w:val="center"/>
          </w:tcPr>
          <w:p w14:paraId="1C4D3D74">
            <w:pPr>
              <w:pStyle w:val="12"/>
              <w:jc w:val="center"/>
              <w:rPr>
                <w:rFonts w:ascii="宋体" w:hAnsi="宋体"/>
              </w:rPr>
            </w:pPr>
            <w:r>
              <w:rPr>
                <w:rFonts w:ascii="宋体" w:hAnsi="宋体"/>
              </w:rPr>
              <w:t>29148</w:t>
            </w:r>
          </w:p>
        </w:tc>
        <w:tc>
          <w:tcPr>
            <w:tcW w:w="1250" w:type="pct"/>
            <w:vAlign w:val="center"/>
          </w:tcPr>
          <w:p w14:paraId="1AFCD78E">
            <w:pPr>
              <w:pStyle w:val="12"/>
              <w:jc w:val="center"/>
              <w:rPr>
                <w:rFonts w:ascii="宋体" w:hAnsi="宋体"/>
              </w:rPr>
            </w:pPr>
            <w:r>
              <w:rPr>
                <w:rFonts w:ascii="宋体" w:hAnsi="宋体"/>
              </w:rPr>
              <w:t>4997</w:t>
            </w:r>
          </w:p>
        </w:tc>
      </w:tr>
      <w:tr w14:paraId="3C6A8B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ACC3E8C">
            <w:pPr>
              <w:pStyle w:val="12"/>
              <w:jc w:val="center"/>
              <w:rPr>
                <w:rFonts w:ascii="宋体" w:hAnsi="宋体"/>
              </w:rPr>
            </w:pPr>
            <w:r>
              <w:rPr>
                <w:rFonts w:hint="eastAsia" w:ascii="宋体" w:hAnsi="宋体"/>
              </w:rPr>
              <w:t>1989年比1980年增长</w:t>
            </w:r>
          </w:p>
        </w:tc>
        <w:tc>
          <w:tcPr>
            <w:tcW w:w="1250" w:type="pct"/>
            <w:vAlign w:val="center"/>
          </w:tcPr>
          <w:p w14:paraId="58A57801">
            <w:pPr>
              <w:pStyle w:val="12"/>
              <w:jc w:val="center"/>
              <w:rPr>
                <w:rFonts w:ascii="宋体" w:hAnsi="宋体"/>
              </w:rPr>
            </w:pPr>
            <w:r>
              <w:rPr>
                <w:rFonts w:hint="eastAsia" w:ascii="宋体" w:hAnsi="宋体"/>
              </w:rPr>
              <w:t>29096</w:t>
            </w:r>
          </w:p>
        </w:tc>
        <w:tc>
          <w:tcPr>
            <w:tcW w:w="1250" w:type="pct"/>
            <w:vAlign w:val="center"/>
          </w:tcPr>
          <w:p w14:paraId="10E0B760">
            <w:pPr>
              <w:pStyle w:val="12"/>
              <w:jc w:val="center"/>
              <w:rPr>
                <w:rFonts w:ascii="宋体" w:hAnsi="宋体"/>
              </w:rPr>
            </w:pPr>
            <w:r>
              <w:rPr>
                <w:rFonts w:hint="eastAsia" w:ascii="宋体" w:hAnsi="宋体"/>
              </w:rPr>
              <w:t>17629</w:t>
            </w:r>
          </w:p>
        </w:tc>
        <w:tc>
          <w:tcPr>
            <w:tcW w:w="1250" w:type="pct"/>
            <w:vAlign w:val="center"/>
          </w:tcPr>
          <w:p w14:paraId="22C6D5E0">
            <w:pPr>
              <w:pStyle w:val="12"/>
              <w:jc w:val="center"/>
              <w:rPr>
                <w:rFonts w:ascii="宋体" w:hAnsi="宋体"/>
              </w:rPr>
            </w:pPr>
            <w:r>
              <w:rPr>
                <w:rFonts w:hint="eastAsia" w:ascii="宋体" w:hAnsi="宋体"/>
              </w:rPr>
              <w:t>3924</w:t>
            </w:r>
          </w:p>
        </w:tc>
      </w:tr>
      <w:tr w14:paraId="167CD9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6C9FDB8">
            <w:pPr>
              <w:pStyle w:val="12"/>
              <w:jc w:val="center"/>
              <w:rPr>
                <w:rFonts w:ascii="宋体" w:hAnsi="宋体"/>
              </w:rPr>
            </w:pPr>
            <w:r>
              <w:rPr>
                <w:rFonts w:hint="eastAsia" w:ascii="宋体" w:hAnsi="宋体"/>
              </w:rPr>
              <w:t>年均递增（%）</w:t>
            </w:r>
          </w:p>
        </w:tc>
        <w:tc>
          <w:tcPr>
            <w:tcW w:w="1250" w:type="pct"/>
            <w:vAlign w:val="center"/>
          </w:tcPr>
          <w:p w14:paraId="5EA60731">
            <w:pPr>
              <w:pStyle w:val="12"/>
              <w:jc w:val="center"/>
              <w:rPr>
                <w:rFonts w:ascii="宋体" w:hAnsi="宋体"/>
              </w:rPr>
            </w:pPr>
            <w:r>
              <w:rPr>
                <w:rFonts w:hint="eastAsia" w:ascii="宋体" w:hAnsi="宋体"/>
              </w:rPr>
              <w:t>11.4</w:t>
            </w:r>
          </w:p>
        </w:tc>
        <w:tc>
          <w:tcPr>
            <w:tcW w:w="1250" w:type="pct"/>
            <w:vAlign w:val="center"/>
          </w:tcPr>
          <w:p w14:paraId="7029BE78">
            <w:pPr>
              <w:pStyle w:val="12"/>
              <w:jc w:val="center"/>
              <w:rPr>
                <w:rFonts w:ascii="宋体" w:hAnsi="宋体"/>
              </w:rPr>
            </w:pPr>
            <w:r>
              <w:rPr>
                <w:rFonts w:hint="eastAsia" w:ascii="宋体" w:hAnsi="宋体"/>
              </w:rPr>
              <w:t>10.9</w:t>
            </w:r>
          </w:p>
        </w:tc>
        <w:tc>
          <w:tcPr>
            <w:tcW w:w="1250" w:type="pct"/>
            <w:vAlign w:val="center"/>
          </w:tcPr>
          <w:p w14:paraId="43E13B68">
            <w:pPr>
              <w:pStyle w:val="12"/>
              <w:jc w:val="center"/>
              <w:rPr>
                <w:rFonts w:ascii="宋体" w:hAnsi="宋体"/>
              </w:rPr>
            </w:pPr>
            <w:r>
              <w:rPr>
                <w:rFonts w:hint="eastAsia" w:ascii="宋体" w:hAnsi="宋体"/>
              </w:rPr>
              <w:t>18.6</w:t>
            </w:r>
          </w:p>
        </w:tc>
      </w:tr>
      <w:tr w14:paraId="7A53588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5344A3E2">
            <w:pPr>
              <w:pStyle w:val="12"/>
              <w:jc w:val="center"/>
              <w:rPr>
                <w:rFonts w:ascii="宋体" w:hAnsi="宋体"/>
              </w:rPr>
            </w:pPr>
            <w:r>
              <w:rPr>
                <w:rFonts w:ascii="宋体" w:hAnsi="宋体"/>
              </w:rPr>
              <w:t>1990</w:t>
            </w:r>
          </w:p>
        </w:tc>
        <w:tc>
          <w:tcPr>
            <w:tcW w:w="1250" w:type="pct"/>
            <w:vAlign w:val="center"/>
          </w:tcPr>
          <w:p w14:paraId="163ABD3D">
            <w:pPr>
              <w:pStyle w:val="12"/>
              <w:jc w:val="center"/>
              <w:rPr>
                <w:rFonts w:ascii="宋体" w:hAnsi="宋体"/>
              </w:rPr>
            </w:pPr>
            <w:r>
              <w:rPr>
                <w:rFonts w:ascii="宋体" w:hAnsi="宋体"/>
              </w:rPr>
              <w:t>99753</w:t>
            </w:r>
          </w:p>
        </w:tc>
        <w:tc>
          <w:tcPr>
            <w:tcW w:w="1250" w:type="pct"/>
            <w:vAlign w:val="center"/>
          </w:tcPr>
          <w:p w14:paraId="7229001D">
            <w:pPr>
              <w:pStyle w:val="12"/>
              <w:jc w:val="center"/>
              <w:rPr>
                <w:rFonts w:ascii="宋体" w:hAnsi="宋体"/>
              </w:rPr>
            </w:pPr>
            <w:r>
              <w:rPr>
                <w:rFonts w:ascii="宋体" w:hAnsi="宋体"/>
              </w:rPr>
              <w:t>65020</w:t>
            </w:r>
          </w:p>
        </w:tc>
        <w:tc>
          <w:tcPr>
            <w:tcW w:w="1250" w:type="pct"/>
            <w:vAlign w:val="center"/>
          </w:tcPr>
          <w:p w14:paraId="6A33B851">
            <w:pPr>
              <w:pStyle w:val="12"/>
              <w:jc w:val="center"/>
              <w:rPr>
                <w:rFonts w:ascii="宋体" w:hAnsi="宋体"/>
              </w:rPr>
            </w:pPr>
            <w:r>
              <w:rPr>
                <w:rFonts w:ascii="宋体" w:hAnsi="宋体"/>
              </w:rPr>
              <w:t>6141</w:t>
            </w:r>
          </w:p>
        </w:tc>
      </w:tr>
      <w:tr w14:paraId="6CB179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50D2B0A">
            <w:pPr>
              <w:pStyle w:val="12"/>
              <w:jc w:val="center"/>
              <w:rPr>
                <w:rFonts w:ascii="宋体" w:hAnsi="宋体"/>
              </w:rPr>
            </w:pPr>
            <w:r>
              <w:rPr>
                <w:rFonts w:hint="eastAsia" w:ascii="宋体" w:hAnsi="宋体"/>
              </w:rPr>
              <w:t>2000</w:t>
            </w:r>
            <w:r>
              <w:rPr>
                <w:rFonts w:hint="eastAsia" w:ascii="宋体" w:hAnsi="宋体" w:cs="宋体"/>
              </w:rPr>
              <w:t>（</w:t>
            </w:r>
            <w:r>
              <w:rPr>
                <w:rFonts w:hint="eastAsia" w:ascii="宋体" w:hAnsi="宋体"/>
              </w:rPr>
              <w:t>1990年不变价）</w:t>
            </w:r>
          </w:p>
        </w:tc>
        <w:tc>
          <w:tcPr>
            <w:tcW w:w="1250" w:type="pct"/>
            <w:vAlign w:val="center"/>
          </w:tcPr>
          <w:p w14:paraId="7AE50992">
            <w:pPr>
              <w:pStyle w:val="12"/>
              <w:jc w:val="center"/>
              <w:rPr>
                <w:rFonts w:ascii="宋体" w:hAnsi="宋体"/>
              </w:rPr>
            </w:pPr>
            <w:r>
              <w:rPr>
                <w:rFonts w:hint="eastAsia" w:ascii="宋体" w:hAnsi="宋体"/>
              </w:rPr>
              <w:t>314706</w:t>
            </w:r>
          </w:p>
        </w:tc>
        <w:tc>
          <w:tcPr>
            <w:tcW w:w="1250" w:type="pct"/>
            <w:vAlign w:val="center"/>
          </w:tcPr>
          <w:p w14:paraId="3949B02D">
            <w:pPr>
              <w:pStyle w:val="12"/>
              <w:jc w:val="center"/>
              <w:rPr>
                <w:rFonts w:ascii="宋体" w:hAnsi="宋体"/>
              </w:rPr>
            </w:pPr>
            <w:r>
              <w:rPr>
                <w:rFonts w:hint="eastAsia" w:ascii="宋体" w:hAnsi="宋体"/>
              </w:rPr>
              <w:t>138178</w:t>
            </w:r>
          </w:p>
        </w:tc>
        <w:tc>
          <w:tcPr>
            <w:tcW w:w="1250" w:type="pct"/>
            <w:vAlign w:val="center"/>
          </w:tcPr>
          <w:p w14:paraId="4800906E">
            <w:pPr>
              <w:pStyle w:val="12"/>
              <w:jc w:val="center"/>
              <w:rPr>
                <w:rFonts w:ascii="宋体" w:hAnsi="宋体"/>
              </w:rPr>
            </w:pPr>
            <w:r>
              <w:rPr>
                <w:rFonts w:hint="eastAsia" w:ascii="宋体" w:hAnsi="宋体"/>
              </w:rPr>
              <w:t>56904</w:t>
            </w:r>
          </w:p>
        </w:tc>
      </w:tr>
      <w:tr w14:paraId="6AAE6B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6279DCEA">
            <w:pPr>
              <w:pStyle w:val="12"/>
              <w:jc w:val="center"/>
              <w:rPr>
                <w:rFonts w:ascii="宋体" w:hAnsi="宋体"/>
              </w:rPr>
            </w:pPr>
            <w:r>
              <w:rPr>
                <w:rFonts w:hint="eastAsia" w:ascii="宋体" w:hAnsi="宋体"/>
              </w:rPr>
              <w:t>2000年比1990年增长</w:t>
            </w:r>
          </w:p>
        </w:tc>
        <w:tc>
          <w:tcPr>
            <w:tcW w:w="1250" w:type="pct"/>
            <w:vAlign w:val="center"/>
          </w:tcPr>
          <w:p w14:paraId="442CCD2B">
            <w:pPr>
              <w:pStyle w:val="12"/>
              <w:jc w:val="center"/>
              <w:rPr>
                <w:rFonts w:ascii="宋体" w:hAnsi="宋体"/>
              </w:rPr>
            </w:pPr>
            <w:r>
              <w:rPr>
                <w:rFonts w:hint="eastAsia" w:ascii="宋体" w:hAnsi="宋体"/>
              </w:rPr>
              <w:t>214953</w:t>
            </w:r>
          </w:p>
        </w:tc>
        <w:tc>
          <w:tcPr>
            <w:tcW w:w="1250" w:type="pct"/>
            <w:vAlign w:val="center"/>
          </w:tcPr>
          <w:p w14:paraId="09705AE8">
            <w:pPr>
              <w:pStyle w:val="12"/>
              <w:jc w:val="center"/>
              <w:rPr>
                <w:rFonts w:ascii="宋体" w:hAnsi="宋体"/>
              </w:rPr>
            </w:pPr>
            <w:r>
              <w:rPr>
                <w:rFonts w:hint="eastAsia" w:ascii="宋体" w:hAnsi="宋体"/>
              </w:rPr>
              <w:t>73158</w:t>
            </w:r>
          </w:p>
        </w:tc>
        <w:tc>
          <w:tcPr>
            <w:tcW w:w="1250" w:type="pct"/>
            <w:vAlign w:val="center"/>
          </w:tcPr>
          <w:p w14:paraId="0572D56F">
            <w:pPr>
              <w:pStyle w:val="12"/>
              <w:jc w:val="center"/>
              <w:rPr>
                <w:rFonts w:ascii="宋体" w:hAnsi="宋体"/>
              </w:rPr>
            </w:pPr>
            <w:r>
              <w:rPr>
                <w:rFonts w:hint="eastAsia" w:ascii="宋体" w:hAnsi="宋体"/>
              </w:rPr>
              <w:t>50763</w:t>
            </w:r>
          </w:p>
        </w:tc>
      </w:tr>
      <w:tr w14:paraId="1CAC8F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E7319D3">
            <w:pPr>
              <w:pStyle w:val="12"/>
              <w:jc w:val="center"/>
              <w:rPr>
                <w:rFonts w:ascii="宋体" w:hAnsi="宋体"/>
              </w:rPr>
            </w:pPr>
            <w:r>
              <w:rPr>
                <w:rFonts w:hint="eastAsia" w:ascii="宋体" w:hAnsi="宋体"/>
              </w:rPr>
              <w:t>年均递增（%）</w:t>
            </w:r>
          </w:p>
        </w:tc>
        <w:tc>
          <w:tcPr>
            <w:tcW w:w="1250" w:type="pct"/>
            <w:vAlign w:val="center"/>
          </w:tcPr>
          <w:p w14:paraId="265A9AD0">
            <w:pPr>
              <w:pStyle w:val="12"/>
              <w:jc w:val="center"/>
              <w:rPr>
                <w:rFonts w:ascii="宋体" w:hAnsi="宋体"/>
              </w:rPr>
            </w:pPr>
            <w:r>
              <w:rPr>
                <w:rFonts w:hint="eastAsia" w:ascii="宋体" w:hAnsi="宋体"/>
              </w:rPr>
              <w:t>12.2</w:t>
            </w:r>
          </w:p>
        </w:tc>
        <w:tc>
          <w:tcPr>
            <w:tcW w:w="1250" w:type="pct"/>
            <w:vAlign w:val="center"/>
          </w:tcPr>
          <w:p w14:paraId="00C4C50D">
            <w:pPr>
              <w:pStyle w:val="12"/>
              <w:jc w:val="center"/>
              <w:rPr>
                <w:rFonts w:ascii="宋体" w:hAnsi="宋体"/>
              </w:rPr>
            </w:pPr>
            <w:r>
              <w:rPr>
                <w:rFonts w:hint="eastAsia" w:ascii="宋体" w:hAnsi="宋体"/>
              </w:rPr>
              <w:t>7.8</w:t>
            </w:r>
          </w:p>
        </w:tc>
        <w:tc>
          <w:tcPr>
            <w:tcW w:w="1250" w:type="pct"/>
            <w:vAlign w:val="center"/>
          </w:tcPr>
          <w:p w14:paraId="3A70B386">
            <w:pPr>
              <w:pStyle w:val="12"/>
              <w:jc w:val="center"/>
              <w:rPr>
                <w:rFonts w:ascii="宋体" w:hAnsi="宋体"/>
              </w:rPr>
            </w:pPr>
            <w:r>
              <w:rPr>
                <w:rFonts w:hint="eastAsia" w:ascii="宋体" w:hAnsi="宋体"/>
              </w:rPr>
              <w:t>24.9</w:t>
            </w:r>
          </w:p>
        </w:tc>
      </w:tr>
      <w:tr w14:paraId="1A1AF8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B3874A0">
            <w:pPr>
              <w:pStyle w:val="12"/>
              <w:jc w:val="center"/>
              <w:rPr>
                <w:rFonts w:ascii="宋体" w:hAnsi="宋体"/>
              </w:rPr>
            </w:pPr>
            <w:r>
              <w:rPr>
                <w:rFonts w:ascii="宋体" w:hAnsi="宋体"/>
              </w:rPr>
              <w:t>2000</w:t>
            </w:r>
          </w:p>
        </w:tc>
        <w:tc>
          <w:tcPr>
            <w:tcW w:w="1250" w:type="pct"/>
            <w:vAlign w:val="center"/>
          </w:tcPr>
          <w:p w14:paraId="4C405A6A">
            <w:pPr>
              <w:pStyle w:val="12"/>
              <w:jc w:val="center"/>
              <w:rPr>
                <w:rFonts w:ascii="宋体" w:hAnsi="宋体"/>
              </w:rPr>
            </w:pPr>
            <w:r>
              <w:rPr>
                <w:rFonts w:ascii="宋体" w:hAnsi="宋体"/>
              </w:rPr>
              <w:t>457757</w:t>
            </w:r>
          </w:p>
        </w:tc>
        <w:tc>
          <w:tcPr>
            <w:tcW w:w="1250" w:type="pct"/>
            <w:vAlign w:val="center"/>
          </w:tcPr>
          <w:p w14:paraId="3AD9A7A1">
            <w:pPr>
              <w:pStyle w:val="12"/>
              <w:jc w:val="center"/>
              <w:rPr>
                <w:rFonts w:ascii="宋体" w:hAnsi="宋体"/>
              </w:rPr>
            </w:pPr>
            <w:r>
              <w:rPr>
                <w:rFonts w:ascii="宋体" w:hAnsi="宋体"/>
              </w:rPr>
              <w:t>215097</w:t>
            </w:r>
          </w:p>
        </w:tc>
        <w:tc>
          <w:tcPr>
            <w:tcW w:w="1250" w:type="pct"/>
            <w:vAlign w:val="center"/>
          </w:tcPr>
          <w:p w14:paraId="77A87089">
            <w:pPr>
              <w:pStyle w:val="12"/>
              <w:jc w:val="center"/>
              <w:rPr>
                <w:rFonts w:ascii="宋体" w:hAnsi="宋体"/>
              </w:rPr>
            </w:pPr>
            <w:r>
              <w:rPr>
                <w:rFonts w:ascii="宋体" w:hAnsi="宋体"/>
              </w:rPr>
              <w:t>56904</w:t>
            </w:r>
          </w:p>
        </w:tc>
      </w:tr>
      <w:tr w14:paraId="231DCB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0E63250F">
            <w:pPr>
              <w:pStyle w:val="12"/>
              <w:jc w:val="center"/>
              <w:rPr>
                <w:rFonts w:ascii="宋体" w:hAnsi="宋体"/>
              </w:rPr>
            </w:pPr>
            <w:r>
              <w:rPr>
                <w:rFonts w:ascii="宋体" w:hAnsi="宋体"/>
              </w:rPr>
              <w:t>2001</w:t>
            </w:r>
          </w:p>
        </w:tc>
        <w:tc>
          <w:tcPr>
            <w:tcW w:w="1250" w:type="pct"/>
            <w:vAlign w:val="center"/>
          </w:tcPr>
          <w:p w14:paraId="04E7654E">
            <w:pPr>
              <w:pStyle w:val="12"/>
              <w:jc w:val="center"/>
              <w:rPr>
                <w:rFonts w:ascii="宋体" w:hAnsi="宋体"/>
              </w:rPr>
            </w:pPr>
            <w:r>
              <w:rPr>
                <w:rFonts w:ascii="宋体" w:hAnsi="宋体"/>
              </w:rPr>
              <w:t>488456</w:t>
            </w:r>
          </w:p>
        </w:tc>
        <w:tc>
          <w:tcPr>
            <w:tcW w:w="1250" w:type="pct"/>
            <w:vAlign w:val="center"/>
          </w:tcPr>
          <w:p w14:paraId="4892CA6A">
            <w:pPr>
              <w:pStyle w:val="12"/>
              <w:jc w:val="center"/>
              <w:rPr>
                <w:rFonts w:ascii="宋体" w:hAnsi="宋体"/>
              </w:rPr>
            </w:pPr>
            <w:r>
              <w:rPr>
                <w:rFonts w:ascii="宋体" w:hAnsi="宋体"/>
              </w:rPr>
              <w:t>228028</w:t>
            </w:r>
          </w:p>
        </w:tc>
        <w:tc>
          <w:tcPr>
            <w:tcW w:w="1250" w:type="pct"/>
            <w:vAlign w:val="center"/>
          </w:tcPr>
          <w:p w14:paraId="787CF4B2">
            <w:pPr>
              <w:pStyle w:val="12"/>
              <w:jc w:val="center"/>
              <w:rPr>
                <w:rFonts w:ascii="宋体" w:hAnsi="宋体"/>
              </w:rPr>
            </w:pPr>
            <w:r>
              <w:rPr>
                <w:rFonts w:ascii="宋体" w:hAnsi="宋体"/>
              </w:rPr>
              <w:t>55497</w:t>
            </w:r>
          </w:p>
        </w:tc>
      </w:tr>
      <w:tr w14:paraId="54BE54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24A1B55">
            <w:pPr>
              <w:pStyle w:val="12"/>
              <w:jc w:val="center"/>
              <w:rPr>
                <w:rFonts w:ascii="宋体" w:hAnsi="宋体"/>
              </w:rPr>
            </w:pPr>
            <w:r>
              <w:rPr>
                <w:rFonts w:ascii="宋体" w:hAnsi="宋体"/>
              </w:rPr>
              <w:t>2002</w:t>
            </w:r>
          </w:p>
        </w:tc>
        <w:tc>
          <w:tcPr>
            <w:tcW w:w="1250" w:type="pct"/>
            <w:vAlign w:val="center"/>
          </w:tcPr>
          <w:p w14:paraId="49892E75">
            <w:pPr>
              <w:pStyle w:val="12"/>
              <w:jc w:val="center"/>
              <w:rPr>
                <w:rFonts w:ascii="宋体" w:hAnsi="宋体"/>
              </w:rPr>
            </w:pPr>
            <w:r>
              <w:rPr>
                <w:rFonts w:ascii="宋体" w:hAnsi="宋体"/>
              </w:rPr>
              <w:t>512314</w:t>
            </w:r>
          </w:p>
        </w:tc>
        <w:tc>
          <w:tcPr>
            <w:tcW w:w="1250" w:type="pct"/>
            <w:vAlign w:val="center"/>
          </w:tcPr>
          <w:p w14:paraId="32240FD0">
            <w:pPr>
              <w:pStyle w:val="12"/>
              <w:jc w:val="center"/>
              <w:rPr>
                <w:rFonts w:ascii="宋体" w:hAnsi="宋体"/>
              </w:rPr>
            </w:pPr>
            <w:r>
              <w:rPr>
                <w:rFonts w:ascii="宋体" w:hAnsi="宋体"/>
              </w:rPr>
              <w:t>237207</w:t>
            </w:r>
          </w:p>
        </w:tc>
        <w:tc>
          <w:tcPr>
            <w:tcW w:w="1250" w:type="pct"/>
            <w:vAlign w:val="center"/>
          </w:tcPr>
          <w:p w14:paraId="54DE4F2B">
            <w:pPr>
              <w:pStyle w:val="12"/>
              <w:jc w:val="center"/>
              <w:rPr>
                <w:rFonts w:ascii="宋体" w:hAnsi="宋体"/>
              </w:rPr>
            </w:pPr>
            <w:r>
              <w:rPr>
                <w:rFonts w:ascii="宋体" w:hAnsi="宋体"/>
              </w:rPr>
              <w:t>58970</w:t>
            </w:r>
          </w:p>
        </w:tc>
      </w:tr>
      <w:tr w14:paraId="2F435D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8365488">
            <w:pPr>
              <w:pStyle w:val="12"/>
              <w:jc w:val="center"/>
              <w:rPr>
                <w:rFonts w:ascii="宋体" w:hAnsi="宋体"/>
              </w:rPr>
            </w:pPr>
            <w:r>
              <w:rPr>
                <w:rFonts w:ascii="宋体" w:hAnsi="宋体"/>
              </w:rPr>
              <w:t>2003</w:t>
            </w:r>
          </w:p>
        </w:tc>
        <w:tc>
          <w:tcPr>
            <w:tcW w:w="1250" w:type="pct"/>
            <w:vAlign w:val="center"/>
          </w:tcPr>
          <w:p w14:paraId="01986BCD">
            <w:pPr>
              <w:pStyle w:val="12"/>
              <w:jc w:val="center"/>
              <w:rPr>
                <w:rFonts w:ascii="宋体" w:hAnsi="宋体"/>
              </w:rPr>
            </w:pPr>
            <w:r>
              <w:rPr>
                <w:rFonts w:ascii="宋体" w:hAnsi="宋体"/>
              </w:rPr>
              <w:t>575428</w:t>
            </w:r>
          </w:p>
        </w:tc>
        <w:tc>
          <w:tcPr>
            <w:tcW w:w="1250" w:type="pct"/>
            <w:vAlign w:val="center"/>
          </w:tcPr>
          <w:p w14:paraId="0B7E5CC1">
            <w:pPr>
              <w:pStyle w:val="12"/>
              <w:jc w:val="center"/>
              <w:rPr>
                <w:rFonts w:ascii="宋体" w:hAnsi="宋体"/>
              </w:rPr>
            </w:pPr>
            <w:r>
              <w:rPr>
                <w:rFonts w:ascii="宋体" w:hAnsi="宋体"/>
              </w:rPr>
              <w:t>262440</w:t>
            </w:r>
          </w:p>
        </w:tc>
        <w:tc>
          <w:tcPr>
            <w:tcW w:w="1250" w:type="pct"/>
            <w:vAlign w:val="center"/>
          </w:tcPr>
          <w:p w14:paraId="29E95236">
            <w:pPr>
              <w:pStyle w:val="12"/>
              <w:jc w:val="center"/>
              <w:rPr>
                <w:rFonts w:ascii="宋体" w:hAnsi="宋体"/>
              </w:rPr>
            </w:pPr>
            <w:r>
              <w:rPr>
                <w:rFonts w:ascii="宋体" w:hAnsi="宋体"/>
              </w:rPr>
              <w:t>77138</w:t>
            </w:r>
          </w:p>
        </w:tc>
      </w:tr>
      <w:tr w14:paraId="726160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489BCA8">
            <w:pPr>
              <w:pStyle w:val="12"/>
              <w:jc w:val="center"/>
              <w:rPr>
                <w:rFonts w:ascii="宋体" w:hAnsi="宋体"/>
              </w:rPr>
            </w:pPr>
            <w:r>
              <w:rPr>
                <w:rFonts w:ascii="宋体" w:hAnsi="宋体"/>
              </w:rPr>
              <w:t>2004</w:t>
            </w:r>
          </w:p>
        </w:tc>
        <w:tc>
          <w:tcPr>
            <w:tcW w:w="1250" w:type="pct"/>
            <w:vAlign w:val="center"/>
          </w:tcPr>
          <w:p w14:paraId="255A50EA">
            <w:pPr>
              <w:pStyle w:val="12"/>
              <w:jc w:val="center"/>
              <w:rPr>
                <w:rFonts w:ascii="宋体" w:hAnsi="宋体"/>
              </w:rPr>
            </w:pPr>
            <w:r>
              <w:rPr>
                <w:rFonts w:ascii="宋体" w:hAnsi="宋体"/>
              </w:rPr>
              <w:t>638579</w:t>
            </w:r>
          </w:p>
        </w:tc>
        <w:tc>
          <w:tcPr>
            <w:tcW w:w="1250" w:type="pct"/>
            <w:vAlign w:val="center"/>
          </w:tcPr>
          <w:p w14:paraId="17696326">
            <w:pPr>
              <w:pStyle w:val="12"/>
              <w:jc w:val="center"/>
              <w:rPr>
                <w:rFonts w:ascii="宋体" w:hAnsi="宋体"/>
              </w:rPr>
            </w:pPr>
            <w:r>
              <w:rPr>
                <w:rFonts w:ascii="宋体" w:hAnsi="宋体"/>
              </w:rPr>
              <w:t>289017</w:t>
            </w:r>
          </w:p>
        </w:tc>
        <w:tc>
          <w:tcPr>
            <w:tcW w:w="1250" w:type="pct"/>
            <w:vAlign w:val="center"/>
          </w:tcPr>
          <w:p w14:paraId="62DB556E">
            <w:pPr>
              <w:pStyle w:val="12"/>
              <w:jc w:val="center"/>
              <w:rPr>
                <w:rFonts w:ascii="宋体" w:hAnsi="宋体"/>
              </w:rPr>
            </w:pPr>
            <w:r>
              <w:rPr>
                <w:rFonts w:ascii="宋体" w:hAnsi="宋体"/>
              </w:rPr>
              <w:t>78305</w:t>
            </w:r>
          </w:p>
        </w:tc>
      </w:tr>
    </w:tbl>
    <w:p w14:paraId="2F9868A3">
      <w:pPr>
        <w:ind w:firstLine="422"/>
        <w:rPr>
          <w:rFonts w:ascii="宋体" w:hAnsi="宋体"/>
          <w:b/>
          <w:szCs w:val="21"/>
        </w:rPr>
      </w:pPr>
      <w:r>
        <w:rPr>
          <w:rFonts w:hint="eastAsia" w:ascii="宋体" w:hAnsi="宋体"/>
          <w:b/>
          <w:szCs w:val="21"/>
        </w:rPr>
        <w:t>说明：</w:t>
      </w:r>
      <w:r>
        <w:rPr>
          <w:rFonts w:ascii="宋体" w:hAnsi="宋体"/>
          <w:b/>
          <w:szCs w:val="21"/>
        </w:rPr>
        <w:t>1980年、1989年按1980年不变价，1990年、2000年按1990年不变价，2001年后为2000年不变价。</w:t>
      </w:r>
    </w:p>
    <w:p w14:paraId="0CB9613D">
      <w:pPr>
        <w:pStyle w:val="5"/>
        <w:rPr>
          <w:rFonts w:ascii="宋体" w:hAnsi="宋体"/>
        </w:rPr>
      </w:pPr>
      <w:r>
        <w:rPr>
          <w:rFonts w:hint="eastAsia" w:ascii="宋体" w:hAnsi="宋体"/>
        </w:rPr>
        <w:t>二、财政收入和农民、职工收入大幅增加</w:t>
      </w:r>
    </w:p>
    <w:p w14:paraId="0116D351">
      <w:pPr>
        <w:ind w:firstLine="0" w:firstLineChars="0"/>
        <w:jc w:val="center"/>
        <w:rPr>
          <w:rFonts w:ascii="宋体" w:hAnsi="宋体"/>
          <w:b/>
          <w:szCs w:val="21"/>
        </w:rPr>
      </w:pPr>
      <w:r>
        <w:rPr>
          <w:rFonts w:hint="eastAsia" w:ascii="宋体" w:hAnsi="宋体"/>
          <w:b/>
          <w:szCs w:val="21"/>
        </w:rPr>
        <w:t>南雄市财政收入及农民、职工人均收入情况</w:t>
      </w:r>
    </w:p>
    <w:p w14:paraId="3B156557">
      <w:pPr>
        <w:ind w:firstLine="0" w:firstLineChars="0"/>
        <w:rPr>
          <w:rFonts w:ascii="宋体" w:hAnsi="宋体"/>
          <w:b/>
          <w:szCs w:val="21"/>
        </w:rPr>
      </w:pPr>
      <w:r>
        <w:rPr>
          <w:rFonts w:hint="eastAsia" w:ascii="宋体" w:hAnsi="宋体"/>
          <w:b/>
          <w:szCs w:val="21"/>
        </w:rPr>
        <w:t>表</w:t>
      </w:r>
      <w:r>
        <w:rPr>
          <w:rFonts w:ascii="宋体" w:hAnsi="宋体"/>
          <w:b/>
          <w:szCs w:val="21"/>
        </w:rPr>
        <w:t>2-2</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013"/>
        <w:gridCol w:w="2317"/>
        <w:gridCol w:w="2317"/>
        <w:gridCol w:w="2315"/>
      </w:tblGrid>
      <w:tr w14:paraId="17E711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2" w:type="pct"/>
            <w:vAlign w:val="center"/>
          </w:tcPr>
          <w:p w14:paraId="336024D2">
            <w:pPr>
              <w:pStyle w:val="12"/>
              <w:jc w:val="center"/>
              <w:rPr>
                <w:rFonts w:ascii="宋体" w:hAnsi="宋体"/>
                <w:b/>
              </w:rPr>
            </w:pPr>
            <w:r>
              <w:rPr>
                <w:rFonts w:hint="eastAsia" w:ascii="宋体" w:hAnsi="宋体"/>
                <w:b/>
              </w:rPr>
              <w:t>年份</w:t>
            </w:r>
          </w:p>
        </w:tc>
        <w:tc>
          <w:tcPr>
            <w:tcW w:w="1163" w:type="pct"/>
            <w:vAlign w:val="center"/>
          </w:tcPr>
          <w:p w14:paraId="218DF143">
            <w:pPr>
              <w:pStyle w:val="12"/>
              <w:jc w:val="center"/>
              <w:rPr>
                <w:rFonts w:ascii="宋体" w:hAnsi="宋体"/>
                <w:b/>
              </w:rPr>
            </w:pPr>
            <w:r>
              <w:rPr>
                <w:rFonts w:hint="eastAsia" w:ascii="宋体" w:hAnsi="宋体"/>
                <w:b/>
              </w:rPr>
              <w:t>财政收入（万元）</w:t>
            </w:r>
          </w:p>
        </w:tc>
        <w:tc>
          <w:tcPr>
            <w:tcW w:w="1163" w:type="pct"/>
            <w:vAlign w:val="center"/>
          </w:tcPr>
          <w:p w14:paraId="2CA7CD2E">
            <w:pPr>
              <w:pStyle w:val="12"/>
              <w:jc w:val="center"/>
              <w:rPr>
                <w:rFonts w:ascii="宋体" w:hAnsi="宋体"/>
                <w:b/>
              </w:rPr>
            </w:pPr>
            <w:r>
              <w:rPr>
                <w:rFonts w:hint="eastAsia" w:ascii="宋体" w:hAnsi="宋体"/>
                <w:b/>
              </w:rPr>
              <w:t>农民人均收入（元）</w:t>
            </w:r>
          </w:p>
        </w:tc>
        <w:tc>
          <w:tcPr>
            <w:tcW w:w="1163" w:type="pct"/>
            <w:vAlign w:val="center"/>
          </w:tcPr>
          <w:p w14:paraId="5B4BB731">
            <w:pPr>
              <w:pStyle w:val="12"/>
              <w:jc w:val="center"/>
              <w:rPr>
                <w:rFonts w:ascii="宋体" w:hAnsi="宋体"/>
                <w:b/>
              </w:rPr>
            </w:pPr>
            <w:r>
              <w:rPr>
                <w:rFonts w:hint="eastAsia" w:ascii="宋体" w:hAnsi="宋体"/>
                <w:b/>
              </w:rPr>
              <w:t>职工人均收入（元）</w:t>
            </w:r>
          </w:p>
        </w:tc>
      </w:tr>
      <w:tr w14:paraId="146D78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2" w:type="pct"/>
            <w:vAlign w:val="center"/>
          </w:tcPr>
          <w:p w14:paraId="34B65257">
            <w:pPr>
              <w:pStyle w:val="12"/>
              <w:jc w:val="center"/>
              <w:rPr>
                <w:rFonts w:ascii="宋体" w:hAnsi="宋体"/>
              </w:rPr>
            </w:pPr>
            <w:r>
              <w:rPr>
                <w:rFonts w:ascii="宋体" w:hAnsi="宋体"/>
              </w:rPr>
              <w:t>1978</w:t>
            </w:r>
          </w:p>
        </w:tc>
        <w:tc>
          <w:tcPr>
            <w:tcW w:w="1163" w:type="pct"/>
            <w:vAlign w:val="center"/>
          </w:tcPr>
          <w:p w14:paraId="71219501">
            <w:pPr>
              <w:pStyle w:val="12"/>
              <w:jc w:val="center"/>
              <w:rPr>
                <w:rFonts w:ascii="宋体" w:hAnsi="宋体"/>
              </w:rPr>
            </w:pPr>
            <w:r>
              <w:rPr>
                <w:rFonts w:ascii="宋体" w:hAnsi="宋体"/>
              </w:rPr>
              <w:t>909</w:t>
            </w:r>
          </w:p>
        </w:tc>
        <w:tc>
          <w:tcPr>
            <w:tcW w:w="1163" w:type="pct"/>
            <w:vAlign w:val="center"/>
          </w:tcPr>
          <w:p w14:paraId="4687384F">
            <w:pPr>
              <w:pStyle w:val="12"/>
              <w:jc w:val="center"/>
              <w:rPr>
                <w:rFonts w:ascii="宋体" w:hAnsi="宋体"/>
              </w:rPr>
            </w:pPr>
            <w:r>
              <w:rPr>
                <w:rFonts w:ascii="宋体" w:hAnsi="宋体"/>
              </w:rPr>
              <w:t>105.38</w:t>
            </w:r>
          </w:p>
        </w:tc>
        <w:tc>
          <w:tcPr>
            <w:tcW w:w="1163" w:type="pct"/>
            <w:vAlign w:val="center"/>
          </w:tcPr>
          <w:p w14:paraId="058537D7">
            <w:pPr>
              <w:pStyle w:val="12"/>
              <w:jc w:val="center"/>
              <w:rPr>
                <w:rFonts w:ascii="宋体" w:hAnsi="宋体"/>
              </w:rPr>
            </w:pPr>
            <w:r>
              <w:rPr>
                <w:rFonts w:ascii="宋体" w:hAnsi="宋体"/>
              </w:rPr>
              <w:t>597.4</w:t>
            </w:r>
          </w:p>
        </w:tc>
      </w:tr>
      <w:tr w14:paraId="09FCB0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2" w:type="pct"/>
            <w:vAlign w:val="center"/>
          </w:tcPr>
          <w:p w14:paraId="5D5F0F80">
            <w:pPr>
              <w:pStyle w:val="12"/>
              <w:jc w:val="center"/>
              <w:rPr>
                <w:rFonts w:ascii="宋体" w:hAnsi="宋体"/>
              </w:rPr>
            </w:pPr>
            <w:r>
              <w:rPr>
                <w:rFonts w:ascii="宋体" w:hAnsi="宋体"/>
              </w:rPr>
              <w:t>1996</w:t>
            </w:r>
          </w:p>
        </w:tc>
        <w:tc>
          <w:tcPr>
            <w:tcW w:w="1163" w:type="pct"/>
            <w:vAlign w:val="center"/>
          </w:tcPr>
          <w:p w14:paraId="40C0E874">
            <w:pPr>
              <w:pStyle w:val="12"/>
              <w:jc w:val="center"/>
              <w:rPr>
                <w:rFonts w:ascii="宋体" w:hAnsi="宋体"/>
              </w:rPr>
            </w:pPr>
            <w:r>
              <w:rPr>
                <w:rFonts w:ascii="宋体" w:hAnsi="宋体"/>
              </w:rPr>
              <w:t>15541</w:t>
            </w:r>
          </w:p>
        </w:tc>
        <w:tc>
          <w:tcPr>
            <w:tcW w:w="1163" w:type="pct"/>
            <w:vAlign w:val="center"/>
          </w:tcPr>
          <w:p w14:paraId="5A7E57C2">
            <w:pPr>
              <w:pStyle w:val="12"/>
              <w:jc w:val="center"/>
              <w:rPr>
                <w:rFonts w:ascii="宋体" w:hAnsi="宋体"/>
              </w:rPr>
            </w:pPr>
            <w:r>
              <w:rPr>
                <w:rFonts w:ascii="宋体" w:hAnsi="宋体"/>
              </w:rPr>
              <w:t>2587</w:t>
            </w:r>
          </w:p>
        </w:tc>
        <w:tc>
          <w:tcPr>
            <w:tcW w:w="1163" w:type="pct"/>
            <w:vAlign w:val="center"/>
          </w:tcPr>
          <w:p w14:paraId="26B7FF8C">
            <w:pPr>
              <w:pStyle w:val="12"/>
              <w:jc w:val="center"/>
              <w:rPr>
                <w:rFonts w:ascii="宋体" w:hAnsi="宋体"/>
              </w:rPr>
            </w:pPr>
            <w:r>
              <w:rPr>
                <w:rFonts w:ascii="宋体" w:hAnsi="宋体"/>
              </w:rPr>
              <w:t>6164</w:t>
            </w:r>
          </w:p>
        </w:tc>
      </w:tr>
      <w:tr w14:paraId="09E51A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2" w:type="pct"/>
            <w:vAlign w:val="center"/>
          </w:tcPr>
          <w:p w14:paraId="483E5576">
            <w:pPr>
              <w:pStyle w:val="12"/>
              <w:jc w:val="center"/>
              <w:rPr>
                <w:rFonts w:ascii="宋体" w:hAnsi="宋体"/>
              </w:rPr>
            </w:pPr>
            <w:r>
              <w:rPr>
                <w:rFonts w:hint="eastAsia" w:ascii="宋体" w:hAnsi="宋体"/>
              </w:rPr>
              <w:t>1996年比1978年增长</w:t>
            </w:r>
          </w:p>
        </w:tc>
        <w:tc>
          <w:tcPr>
            <w:tcW w:w="1163" w:type="pct"/>
            <w:vAlign w:val="center"/>
          </w:tcPr>
          <w:p w14:paraId="5E3653E6">
            <w:pPr>
              <w:pStyle w:val="12"/>
              <w:jc w:val="center"/>
              <w:rPr>
                <w:rFonts w:ascii="宋体" w:hAnsi="宋体"/>
              </w:rPr>
            </w:pPr>
            <w:r>
              <w:rPr>
                <w:rFonts w:hint="eastAsia" w:ascii="宋体" w:hAnsi="宋体"/>
              </w:rPr>
              <w:t>17.09倍</w:t>
            </w:r>
          </w:p>
        </w:tc>
        <w:tc>
          <w:tcPr>
            <w:tcW w:w="1163" w:type="pct"/>
            <w:vAlign w:val="center"/>
          </w:tcPr>
          <w:p w14:paraId="43C96CC3">
            <w:pPr>
              <w:pStyle w:val="12"/>
              <w:jc w:val="center"/>
              <w:rPr>
                <w:rFonts w:ascii="宋体" w:hAnsi="宋体"/>
              </w:rPr>
            </w:pPr>
            <w:r>
              <w:rPr>
                <w:rFonts w:hint="eastAsia" w:ascii="宋体" w:hAnsi="宋体"/>
              </w:rPr>
              <w:t>24.55倍</w:t>
            </w:r>
          </w:p>
        </w:tc>
        <w:tc>
          <w:tcPr>
            <w:tcW w:w="1163" w:type="pct"/>
            <w:vAlign w:val="center"/>
          </w:tcPr>
          <w:p w14:paraId="7A0E045B">
            <w:pPr>
              <w:pStyle w:val="12"/>
              <w:jc w:val="center"/>
              <w:rPr>
                <w:rFonts w:ascii="宋体" w:hAnsi="宋体"/>
              </w:rPr>
            </w:pPr>
            <w:r>
              <w:rPr>
                <w:rFonts w:hint="eastAsia" w:ascii="宋体" w:hAnsi="宋体"/>
              </w:rPr>
              <w:t>10.32倍</w:t>
            </w:r>
          </w:p>
        </w:tc>
      </w:tr>
      <w:tr w14:paraId="382EAA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2" w:type="pct"/>
            <w:vAlign w:val="center"/>
          </w:tcPr>
          <w:p w14:paraId="7B7CA5B7">
            <w:pPr>
              <w:pStyle w:val="12"/>
              <w:jc w:val="center"/>
              <w:rPr>
                <w:rFonts w:ascii="宋体" w:hAnsi="宋体"/>
              </w:rPr>
            </w:pPr>
            <w:r>
              <w:rPr>
                <w:rFonts w:hint="eastAsia" w:ascii="宋体" w:hAnsi="宋体"/>
              </w:rPr>
              <w:t>年均递增%</w:t>
            </w:r>
          </w:p>
        </w:tc>
        <w:tc>
          <w:tcPr>
            <w:tcW w:w="1163" w:type="pct"/>
            <w:vAlign w:val="center"/>
          </w:tcPr>
          <w:p w14:paraId="361B6260">
            <w:pPr>
              <w:pStyle w:val="12"/>
              <w:jc w:val="center"/>
              <w:rPr>
                <w:rFonts w:ascii="宋体" w:hAnsi="宋体"/>
              </w:rPr>
            </w:pPr>
            <w:r>
              <w:rPr>
                <w:rFonts w:hint="eastAsia" w:ascii="宋体" w:hAnsi="宋体"/>
              </w:rPr>
              <w:t>17.08</w:t>
            </w:r>
          </w:p>
        </w:tc>
        <w:tc>
          <w:tcPr>
            <w:tcW w:w="1163" w:type="pct"/>
            <w:vAlign w:val="center"/>
          </w:tcPr>
          <w:p w14:paraId="733B660E">
            <w:pPr>
              <w:pStyle w:val="12"/>
              <w:jc w:val="center"/>
              <w:rPr>
                <w:rFonts w:ascii="宋体" w:hAnsi="宋体"/>
              </w:rPr>
            </w:pPr>
            <w:r>
              <w:rPr>
                <w:rFonts w:hint="eastAsia" w:ascii="宋体" w:hAnsi="宋体"/>
              </w:rPr>
              <w:t>20.82</w:t>
            </w:r>
          </w:p>
        </w:tc>
        <w:tc>
          <w:tcPr>
            <w:tcW w:w="1163" w:type="pct"/>
            <w:vAlign w:val="center"/>
          </w:tcPr>
          <w:p w14:paraId="07DB9E51">
            <w:pPr>
              <w:pStyle w:val="12"/>
              <w:jc w:val="center"/>
              <w:rPr>
                <w:rFonts w:ascii="宋体" w:hAnsi="宋体"/>
              </w:rPr>
            </w:pPr>
            <w:r>
              <w:rPr>
                <w:rFonts w:hint="eastAsia" w:ascii="宋体" w:hAnsi="宋体"/>
              </w:rPr>
              <w:t>13.84</w:t>
            </w:r>
          </w:p>
        </w:tc>
      </w:tr>
      <w:tr w14:paraId="4B64544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2" w:type="pct"/>
            <w:vAlign w:val="center"/>
          </w:tcPr>
          <w:p w14:paraId="56AF24E1">
            <w:pPr>
              <w:pStyle w:val="12"/>
              <w:jc w:val="center"/>
              <w:rPr>
                <w:rFonts w:ascii="宋体" w:hAnsi="宋体"/>
              </w:rPr>
            </w:pPr>
            <w:r>
              <w:rPr>
                <w:rFonts w:ascii="宋体" w:hAnsi="宋体"/>
              </w:rPr>
              <w:t>2004</w:t>
            </w:r>
          </w:p>
        </w:tc>
        <w:tc>
          <w:tcPr>
            <w:tcW w:w="1163" w:type="pct"/>
            <w:vAlign w:val="center"/>
          </w:tcPr>
          <w:p w14:paraId="28A5BA35">
            <w:pPr>
              <w:pStyle w:val="12"/>
              <w:jc w:val="center"/>
              <w:rPr>
                <w:rFonts w:ascii="宋体" w:hAnsi="宋体"/>
              </w:rPr>
            </w:pPr>
            <w:r>
              <w:rPr>
                <w:rFonts w:ascii="宋体" w:hAnsi="宋体"/>
              </w:rPr>
              <w:t>32572</w:t>
            </w:r>
          </w:p>
        </w:tc>
        <w:tc>
          <w:tcPr>
            <w:tcW w:w="1163" w:type="pct"/>
            <w:vAlign w:val="center"/>
          </w:tcPr>
          <w:p w14:paraId="43500D2D">
            <w:pPr>
              <w:pStyle w:val="12"/>
              <w:jc w:val="center"/>
              <w:rPr>
                <w:rFonts w:ascii="宋体" w:hAnsi="宋体"/>
              </w:rPr>
            </w:pPr>
            <w:r>
              <w:rPr>
                <w:rFonts w:ascii="宋体" w:hAnsi="宋体"/>
              </w:rPr>
              <w:t>3165</w:t>
            </w:r>
          </w:p>
        </w:tc>
        <w:tc>
          <w:tcPr>
            <w:tcW w:w="1163" w:type="pct"/>
            <w:vAlign w:val="center"/>
          </w:tcPr>
          <w:p w14:paraId="15B4D6E3">
            <w:pPr>
              <w:pStyle w:val="12"/>
              <w:jc w:val="center"/>
              <w:rPr>
                <w:rFonts w:ascii="宋体" w:hAnsi="宋体"/>
              </w:rPr>
            </w:pPr>
            <w:r>
              <w:rPr>
                <w:rFonts w:ascii="宋体" w:hAnsi="宋体"/>
              </w:rPr>
              <w:t>14364</w:t>
            </w:r>
          </w:p>
        </w:tc>
      </w:tr>
      <w:tr w14:paraId="548E75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2" w:type="pct"/>
            <w:vAlign w:val="center"/>
          </w:tcPr>
          <w:p w14:paraId="10B264FF">
            <w:pPr>
              <w:pStyle w:val="12"/>
              <w:jc w:val="center"/>
              <w:rPr>
                <w:rFonts w:ascii="宋体" w:hAnsi="宋体"/>
              </w:rPr>
            </w:pPr>
            <w:r>
              <w:rPr>
                <w:rFonts w:hint="eastAsia" w:ascii="宋体" w:hAnsi="宋体"/>
              </w:rPr>
              <w:t>2004年比1996年增长</w:t>
            </w:r>
          </w:p>
        </w:tc>
        <w:tc>
          <w:tcPr>
            <w:tcW w:w="1163" w:type="pct"/>
            <w:vAlign w:val="center"/>
          </w:tcPr>
          <w:p w14:paraId="3318C682">
            <w:pPr>
              <w:pStyle w:val="12"/>
              <w:jc w:val="center"/>
              <w:rPr>
                <w:rFonts w:ascii="宋体" w:hAnsi="宋体"/>
              </w:rPr>
            </w:pPr>
            <w:r>
              <w:rPr>
                <w:rFonts w:hint="eastAsia" w:ascii="宋体" w:hAnsi="宋体"/>
              </w:rPr>
              <w:t>2.09倍</w:t>
            </w:r>
          </w:p>
        </w:tc>
        <w:tc>
          <w:tcPr>
            <w:tcW w:w="1163" w:type="pct"/>
            <w:vAlign w:val="center"/>
          </w:tcPr>
          <w:p w14:paraId="0A979878">
            <w:pPr>
              <w:pStyle w:val="12"/>
              <w:jc w:val="center"/>
              <w:rPr>
                <w:rFonts w:ascii="宋体" w:hAnsi="宋体"/>
              </w:rPr>
            </w:pPr>
            <w:r>
              <w:rPr>
                <w:rFonts w:hint="eastAsia" w:ascii="宋体" w:hAnsi="宋体"/>
              </w:rPr>
              <w:t>1.22倍</w:t>
            </w:r>
          </w:p>
        </w:tc>
        <w:tc>
          <w:tcPr>
            <w:tcW w:w="1163" w:type="pct"/>
            <w:vAlign w:val="center"/>
          </w:tcPr>
          <w:p w14:paraId="2FAEEBED">
            <w:pPr>
              <w:pStyle w:val="12"/>
              <w:jc w:val="center"/>
              <w:rPr>
                <w:rFonts w:ascii="宋体" w:hAnsi="宋体"/>
              </w:rPr>
            </w:pPr>
            <w:r>
              <w:rPr>
                <w:rFonts w:hint="eastAsia" w:ascii="宋体" w:hAnsi="宋体"/>
              </w:rPr>
              <w:t>2.33倍</w:t>
            </w:r>
          </w:p>
        </w:tc>
      </w:tr>
      <w:tr w14:paraId="4C3DAF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2" w:type="pct"/>
            <w:vAlign w:val="center"/>
          </w:tcPr>
          <w:p w14:paraId="1096AD8F">
            <w:pPr>
              <w:pStyle w:val="12"/>
              <w:jc w:val="center"/>
              <w:rPr>
                <w:rFonts w:ascii="宋体" w:hAnsi="宋体"/>
              </w:rPr>
            </w:pPr>
            <w:r>
              <w:rPr>
                <w:rFonts w:hint="eastAsia" w:ascii="宋体" w:hAnsi="宋体"/>
              </w:rPr>
              <w:t>年均递增%</w:t>
            </w:r>
          </w:p>
        </w:tc>
        <w:tc>
          <w:tcPr>
            <w:tcW w:w="1163" w:type="pct"/>
            <w:vAlign w:val="center"/>
          </w:tcPr>
          <w:p w14:paraId="4C7F5D7C">
            <w:pPr>
              <w:pStyle w:val="12"/>
              <w:jc w:val="center"/>
              <w:rPr>
                <w:rFonts w:ascii="宋体" w:hAnsi="宋体"/>
              </w:rPr>
            </w:pPr>
            <w:r>
              <w:rPr>
                <w:rFonts w:hint="eastAsia" w:ascii="宋体" w:hAnsi="宋体"/>
              </w:rPr>
              <w:t>9.7</w:t>
            </w:r>
          </w:p>
        </w:tc>
        <w:tc>
          <w:tcPr>
            <w:tcW w:w="1163" w:type="pct"/>
            <w:vAlign w:val="center"/>
          </w:tcPr>
          <w:p w14:paraId="0F6DB776">
            <w:pPr>
              <w:pStyle w:val="12"/>
              <w:jc w:val="center"/>
              <w:rPr>
                <w:rFonts w:ascii="宋体" w:hAnsi="宋体"/>
              </w:rPr>
            </w:pPr>
            <w:r>
              <w:rPr>
                <w:rFonts w:hint="eastAsia" w:ascii="宋体" w:hAnsi="宋体"/>
              </w:rPr>
              <w:t>2.6</w:t>
            </w:r>
          </w:p>
        </w:tc>
        <w:tc>
          <w:tcPr>
            <w:tcW w:w="1163" w:type="pct"/>
            <w:vAlign w:val="center"/>
          </w:tcPr>
          <w:p w14:paraId="2FAF8289">
            <w:pPr>
              <w:pStyle w:val="12"/>
              <w:jc w:val="center"/>
              <w:rPr>
                <w:rFonts w:ascii="宋体" w:hAnsi="宋体"/>
              </w:rPr>
            </w:pPr>
            <w:r>
              <w:rPr>
                <w:rFonts w:hint="eastAsia" w:ascii="宋体" w:hAnsi="宋体"/>
              </w:rPr>
              <w:t>11.2</w:t>
            </w:r>
          </w:p>
        </w:tc>
      </w:tr>
    </w:tbl>
    <w:p w14:paraId="0031F684">
      <w:pPr>
        <w:pStyle w:val="5"/>
        <w:rPr>
          <w:rFonts w:ascii="宋体" w:hAnsi="宋体"/>
        </w:rPr>
      </w:pPr>
      <w:r>
        <w:rPr>
          <w:rFonts w:hint="eastAsia" w:ascii="宋体" w:hAnsi="宋体"/>
        </w:rPr>
        <w:t>三、产业结构有较大变化</w:t>
      </w:r>
    </w:p>
    <w:p w14:paraId="35ACA293">
      <w:pPr>
        <w:ind w:firstLine="0" w:firstLineChars="0"/>
        <w:jc w:val="center"/>
        <w:rPr>
          <w:rFonts w:ascii="宋体" w:hAnsi="宋体"/>
          <w:b/>
          <w:szCs w:val="21"/>
        </w:rPr>
      </w:pPr>
      <w:r>
        <w:rPr>
          <w:rFonts w:hint="eastAsia" w:ascii="宋体" w:hAnsi="宋体"/>
          <w:b/>
          <w:szCs w:val="21"/>
        </w:rPr>
        <w:t>南雄市产业结构情况</w:t>
      </w:r>
    </w:p>
    <w:p w14:paraId="663C4816">
      <w:pPr>
        <w:ind w:firstLine="0" w:firstLineChars="0"/>
        <w:rPr>
          <w:rFonts w:ascii="宋体" w:hAnsi="宋体"/>
          <w:b/>
          <w:szCs w:val="21"/>
        </w:rPr>
      </w:pPr>
      <w:r>
        <w:rPr>
          <w:rFonts w:hint="eastAsia" w:ascii="宋体" w:hAnsi="宋体"/>
          <w:b/>
          <w:szCs w:val="21"/>
        </w:rPr>
        <w:t>表</w:t>
      </w:r>
      <w:r>
        <w:rPr>
          <w:rFonts w:ascii="宋体" w:hAnsi="宋体"/>
          <w:b/>
          <w:szCs w:val="21"/>
        </w:rPr>
        <w:t>2-3</w:t>
      </w:r>
    </w:p>
    <w:p w14:paraId="0677811A">
      <w:pPr>
        <w:ind w:firstLine="422"/>
        <w:jc w:val="right"/>
        <w:rPr>
          <w:rFonts w:ascii="宋体" w:hAnsi="宋体"/>
          <w:b/>
          <w:szCs w:val="21"/>
        </w:rPr>
      </w:pPr>
      <w:r>
        <w:rPr>
          <w:rFonts w:ascii="宋体" w:hAnsi="宋体"/>
          <w:b/>
          <w:szCs w:val="21"/>
        </w:rPr>
        <w:t>单位：万元、%</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5"/>
        <w:gridCol w:w="1245"/>
        <w:gridCol w:w="1245"/>
        <w:gridCol w:w="1245"/>
        <w:gridCol w:w="1245"/>
        <w:gridCol w:w="1245"/>
        <w:gridCol w:w="1246"/>
        <w:gridCol w:w="1246"/>
      </w:tblGrid>
      <w:tr w14:paraId="61959AE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625" w:type="pct"/>
            <w:vMerge w:val="restart"/>
            <w:vAlign w:val="center"/>
          </w:tcPr>
          <w:p w14:paraId="4AEAB33E">
            <w:pPr>
              <w:pStyle w:val="12"/>
              <w:jc w:val="center"/>
              <w:rPr>
                <w:rFonts w:ascii="宋体" w:hAnsi="宋体"/>
                <w:b/>
              </w:rPr>
            </w:pPr>
            <w:r>
              <w:rPr>
                <w:rFonts w:hint="eastAsia" w:ascii="宋体" w:hAnsi="宋体"/>
                <w:b/>
              </w:rPr>
              <w:t>年份</w:t>
            </w:r>
          </w:p>
        </w:tc>
        <w:tc>
          <w:tcPr>
            <w:tcW w:w="625" w:type="pct"/>
            <w:vMerge w:val="restart"/>
            <w:vAlign w:val="center"/>
          </w:tcPr>
          <w:p w14:paraId="14C8F697">
            <w:pPr>
              <w:pStyle w:val="12"/>
              <w:jc w:val="center"/>
              <w:rPr>
                <w:rFonts w:ascii="宋体" w:hAnsi="宋体"/>
                <w:b/>
              </w:rPr>
            </w:pPr>
            <w:r>
              <w:rPr>
                <w:rFonts w:hint="eastAsia" w:ascii="宋体" w:hAnsi="宋体"/>
                <w:b/>
              </w:rPr>
              <w:t>社会</w:t>
            </w:r>
          </w:p>
          <w:p w14:paraId="099E0EBC">
            <w:pPr>
              <w:pStyle w:val="12"/>
              <w:jc w:val="center"/>
              <w:rPr>
                <w:rFonts w:ascii="宋体" w:hAnsi="宋体"/>
                <w:b/>
              </w:rPr>
            </w:pPr>
            <w:r>
              <w:rPr>
                <w:rFonts w:hint="eastAsia" w:ascii="宋体" w:hAnsi="宋体"/>
                <w:b/>
              </w:rPr>
              <w:t>总产出</w:t>
            </w:r>
          </w:p>
        </w:tc>
        <w:tc>
          <w:tcPr>
            <w:tcW w:w="1250" w:type="pct"/>
            <w:gridSpan w:val="2"/>
            <w:vAlign w:val="center"/>
          </w:tcPr>
          <w:p w14:paraId="19670583">
            <w:pPr>
              <w:pStyle w:val="12"/>
              <w:jc w:val="center"/>
              <w:rPr>
                <w:rFonts w:ascii="宋体" w:hAnsi="宋体"/>
                <w:b/>
              </w:rPr>
            </w:pPr>
            <w:r>
              <w:rPr>
                <w:rFonts w:hint="eastAsia" w:ascii="宋体" w:hAnsi="宋体"/>
                <w:b/>
              </w:rPr>
              <w:t>第一产业</w:t>
            </w:r>
          </w:p>
        </w:tc>
        <w:tc>
          <w:tcPr>
            <w:tcW w:w="1250" w:type="pct"/>
            <w:gridSpan w:val="2"/>
            <w:vAlign w:val="center"/>
          </w:tcPr>
          <w:p w14:paraId="7D6CD28F">
            <w:pPr>
              <w:pStyle w:val="12"/>
              <w:jc w:val="center"/>
              <w:rPr>
                <w:rFonts w:ascii="宋体" w:hAnsi="宋体"/>
                <w:b/>
              </w:rPr>
            </w:pPr>
            <w:r>
              <w:rPr>
                <w:rFonts w:hint="eastAsia" w:ascii="宋体" w:hAnsi="宋体"/>
                <w:b/>
              </w:rPr>
              <w:t>第二产业</w:t>
            </w:r>
          </w:p>
        </w:tc>
        <w:tc>
          <w:tcPr>
            <w:tcW w:w="1250" w:type="pct"/>
            <w:gridSpan w:val="2"/>
            <w:vAlign w:val="center"/>
          </w:tcPr>
          <w:p w14:paraId="49CCAF1C">
            <w:pPr>
              <w:pStyle w:val="12"/>
              <w:jc w:val="center"/>
              <w:rPr>
                <w:rFonts w:ascii="宋体" w:hAnsi="宋体"/>
                <w:b/>
              </w:rPr>
            </w:pPr>
            <w:r>
              <w:rPr>
                <w:rFonts w:hint="eastAsia" w:ascii="宋体" w:hAnsi="宋体"/>
                <w:b/>
              </w:rPr>
              <w:t>第三产业</w:t>
            </w:r>
          </w:p>
        </w:tc>
      </w:tr>
      <w:tr w14:paraId="0DC38F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25" w:type="pct"/>
            <w:vMerge w:val="continue"/>
            <w:vAlign w:val="center"/>
          </w:tcPr>
          <w:p w14:paraId="78D816F5">
            <w:pPr>
              <w:pStyle w:val="12"/>
              <w:jc w:val="center"/>
              <w:rPr>
                <w:rFonts w:ascii="宋体" w:hAnsi="宋体"/>
                <w:b/>
              </w:rPr>
            </w:pPr>
          </w:p>
        </w:tc>
        <w:tc>
          <w:tcPr>
            <w:tcW w:w="625" w:type="pct"/>
            <w:vMerge w:val="continue"/>
            <w:vAlign w:val="center"/>
          </w:tcPr>
          <w:p w14:paraId="06907164">
            <w:pPr>
              <w:pStyle w:val="12"/>
              <w:jc w:val="center"/>
              <w:rPr>
                <w:rFonts w:ascii="宋体" w:hAnsi="宋体"/>
                <w:b/>
              </w:rPr>
            </w:pPr>
          </w:p>
        </w:tc>
        <w:tc>
          <w:tcPr>
            <w:tcW w:w="625" w:type="pct"/>
            <w:vAlign w:val="center"/>
          </w:tcPr>
          <w:p w14:paraId="06EEE6D3">
            <w:pPr>
              <w:pStyle w:val="12"/>
              <w:jc w:val="center"/>
              <w:rPr>
                <w:rFonts w:ascii="宋体" w:hAnsi="宋体"/>
                <w:b/>
              </w:rPr>
            </w:pPr>
            <w:r>
              <w:rPr>
                <w:rFonts w:hint="eastAsia" w:ascii="宋体" w:hAnsi="宋体"/>
                <w:b/>
              </w:rPr>
              <w:t>产值</w:t>
            </w:r>
          </w:p>
        </w:tc>
        <w:tc>
          <w:tcPr>
            <w:tcW w:w="625" w:type="pct"/>
            <w:vAlign w:val="center"/>
          </w:tcPr>
          <w:p w14:paraId="0926C3E8">
            <w:pPr>
              <w:pStyle w:val="12"/>
              <w:jc w:val="center"/>
              <w:rPr>
                <w:rFonts w:ascii="宋体" w:hAnsi="宋体"/>
                <w:b/>
              </w:rPr>
            </w:pPr>
            <w:r>
              <w:rPr>
                <w:rFonts w:hint="eastAsia" w:ascii="宋体" w:hAnsi="宋体"/>
                <w:b/>
              </w:rPr>
              <w:t>占总产值比</w:t>
            </w:r>
          </w:p>
        </w:tc>
        <w:tc>
          <w:tcPr>
            <w:tcW w:w="625" w:type="pct"/>
            <w:vAlign w:val="center"/>
          </w:tcPr>
          <w:p w14:paraId="143E1C01">
            <w:pPr>
              <w:pStyle w:val="12"/>
              <w:jc w:val="center"/>
              <w:rPr>
                <w:rFonts w:ascii="宋体" w:hAnsi="宋体"/>
                <w:b/>
              </w:rPr>
            </w:pPr>
            <w:r>
              <w:rPr>
                <w:rFonts w:hint="eastAsia" w:ascii="宋体" w:hAnsi="宋体"/>
                <w:b/>
              </w:rPr>
              <w:t>产值</w:t>
            </w:r>
          </w:p>
        </w:tc>
        <w:tc>
          <w:tcPr>
            <w:tcW w:w="625" w:type="pct"/>
            <w:vAlign w:val="center"/>
          </w:tcPr>
          <w:p w14:paraId="43A8A558">
            <w:pPr>
              <w:pStyle w:val="12"/>
              <w:jc w:val="center"/>
              <w:rPr>
                <w:rFonts w:ascii="宋体" w:hAnsi="宋体"/>
                <w:b/>
              </w:rPr>
            </w:pPr>
            <w:r>
              <w:rPr>
                <w:rFonts w:hint="eastAsia" w:ascii="宋体" w:hAnsi="宋体"/>
                <w:b/>
              </w:rPr>
              <w:t>占总产值比</w:t>
            </w:r>
          </w:p>
        </w:tc>
        <w:tc>
          <w:tcPr>
            <w:tcW w:w="625" w:type="pct"/>
            <w:vAlign w:val="center"/>
          </w:tcPr>
          <w:p w14:paraId="6887DDF6">
            <w:pPr>
              <w:pStyle w:val="12"/>
              <w:jc w:val="center"/>
              <w:rPr>
                <w:rFonts w:ascii="宋体" w:hAnsi="宋体"/>
                <w:b/>
              </w:rPr>
            </w:pPr>
            <w:r>
              <w:rPr>
                <w:rFonts w:hint="eastAsia" w:ascii="宋体" w:hAnsi="宋体"/>
                <w:b/>
              </w:rPr>
              <w:t>产值</w:t>
            </w:r>
          </w:p>
        </w:tc>
        <w:tc>
          <w:tcPr>
            <w:tcW w:w="625" w:type="pct"/>
            <w:vAlign w:val="center"/>
          </w:tcPr>
          <w:p w14:paraId="6D37A5C7">
            <w:pPr>
              <w:pStyle w:val="12"/>
              <w:jc w:val="center"/>
              <w:rPr>
                <w:rFonts w:ascii="宋体" w:hAnsi="宋体"/>
                <w:b/>
              </w:rPr>
            </w:pPr>
            <w:r>
              <w:rPr>
                <w:rFonts w:hint="eastAsia" w:ascii="宋体" w:hAnsi="宋体"/>
                <w:b/>
              </w:rPr>
              <w:t>占总产值比</w:t>
            </w:r>
          </w:p>
        </w:tc>
      </w:tr>
      <w:tr w14:paraId="286955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7B9DECCC">
            <w:pPr>
              <w:pStyle w:val="12"/>
              <w:jc w:val="center"/>
              <w:rPr>
                <w:rFonts w:ascii="宋体" w:hAnsi="宋体"/>
              </w:rPr>
            </w:pPr>
            <w:r>
              <w:rPr>
                <w:rFonts w:ascii="宋体" w:hAnsi="宋体"/>
              </w:rPr>
              <w:t>1978</w:t>
            </w:r>
          </w:p>
        </w:tc>
        <w:tc>
          <w:tcPr>
            <w:tcW w:w="625" w:type="pct"/>
            <w:vAlign w:val="center"/>
          </w:tcPr>
          <w:p w14:paraId="63ACF2B6">
            <w:pPr>
              <w:pStyle w:val="12"/>
              <w:jc w:val="center"/>
              <w:rPr>
                <w:rFonts w:ascii="宋体" w:hAnsi="宋体"/>
              </w:rPr>
            </w:pPr>
            <w:r>
              <w:rPr>
                <w:rFonts w:ascii="宋体" w:hAnsi="宋体"/>
              </w:rPr>
              <w:t>12715</w:t>
            </w:r>
          </w:p>
        </w:tc>
        <w:tc>
          <w:tcPr>
            <w:tcW w:w="625" w:type="pct"/>
            <w:vAlign w:val="center"/>
          </w:tcPr>
          <w:p w14:paraId="12971104">
            <w:pPr>
              <w:pStyle w:val="12"/>
              <w:jc w:val="center"/>
              <w:rPr>
                <w:rFonts w:ascii="宋体" w:hAnsi="宋体"/>
              </w:rPr>
            </w:pPr>
            <w:r>
              <w:rPr>
                <w:rFonts w:ascii="宋体" w:hAnsi="宋体"/>
              </w:rPr>
              <w:t>6385</w:t>
            </w:r>
          </w:p>
        </w:tc>
        <w:tc>
          <w:tcPr>
            <w:tcW w:w="625" w:type="pct"/>
            <w:vAlign w:val="center"/>
          </w:tcPr>
          <w:p w14:paraId="3F641822">
            <w:pPr>
              <w:pStyle w:val="12"/>
              <w:jc w:val="center"/>
              <w:rPr>
                <w:rFonts w:ascii="宋体" w:hAnsi="宋体"/>
              </w:rPr>
            </w:pPr>
            <w:r>
              <w:rPr>
                <w:rFonts w:ascii="宋体" w:hAnsi="宋体"/>
              </w:rPr>
              <w:t>50.2</w:t>
            </w:r>
          </w:p>
        </w:tc>
        <w:tc>
          <w:tcPr>
            <w:tcW w:w="625" w:type="pct"/>
            <w:vAlign w:val="center"/>
          </w:tcPr>
          <w:p w14:paraId="4E553C58">
            <w:pPr>
              <w:pStyle w:val="12"/>
              <w:jc w:val="center"/>
              <w:rPr>
                <w:rFonts w:ascii="宋体" w:hAnsi="宋体"/>
              </w:rPr>
            </w:pPr>
            <w:r>
              <w:rPr>
                <w:rFonts w:ascii="宋体" w:hAnsi="宋体"/>
              </w:rPr>
              <w:t>4783</w:t>
            </w:r>
          </w:p>
        </w:tc>
        <w:tc>
          <w:tcPr>
            <w:tcW w:w="625" w:type="pct"/>
            <w:vAlign w:val="center"/>
          </w:tcPr>
          <w:p w14:paraId="37459C40">
            <w:pPr>
              <w:pStyle w:val="12"/>
              <w:jc w:val="center"/>
              <w:rPr>
                <w:rFonts w:ascii="宋体" w:hAnsi="宋体"/>
              </w:rPr>
            </w:pPr>
            <w:r>
              <w:rPr>
                <w:rFonts w:ascii="宋体" w:hAnsi="宋体"/>
              </w:rPr>
              <w:t>37.8</w:t>
            </w:r>
          </w:p>
        </w:tc>
        <w:tc>
          <w:tcPr>
            <w:tcW w:w="625" w:type="pct"/>
            <w:vAlign w:val="center"/>
          </w:tcPr>
          <w:p w14:paraId="7F83A54E">
            <w:pPr>
              <w:pStyle w:val="12"/>
              <w:jc w:val="center"/>
              <w:rPr>
                <w:rFonts w:ascii="宋体" w:hAnsi="宋体"/>
              </w:rPr>
            </w:pPr>
            <w:r>
              <w:rPr>
                <w:rFonts w:ascii="宋体" w:hAnsi="宋体"/>
              </w:rPr>
              <w:t>1547</w:t>
            </w:r>
          </w:p>
        </w:tc>
        <w:tc>
          <w:tcPr>
            <w:tcW w:w="625" w:type="pct"/>
            <w:vAlign w:val="center"/>
          </w:tcPr>
          <w:p w14:paraId="4FBF8ACE">
            <w:pPr>
              <w:pStyle w:val="12"/>
              <w:jc w:val="center"/>
              <w:rPr>
                <w:rFonts w:ascii="宋体" w:hAnsi="宋体"/>
              </w:rPr>
            </w:pPr>
            <w:r>
              <w:rPr>
                <w:rFonts w:ascii="宋体" w:hAnsi="宋体"/>
              </w:rPr>
              <w:t>12.2</w:t>
            </w:r>
          </w:p>
        </w:tc>
      </w:tr>
      <w:tr w14:paraId="137AD03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3A4D9B4F">
            <w:pPr>
              <w:pStyle w:val="12"/>
              <w:jc w:val="center"/>
              <w:rPr>
                <w:rFonts w:ascii="宋体" w:hAnsi="宋体"/>
              </w:rPr>
            </w:pPr>
            <w:r>
              <w:rPr>
                <w:rFonts w:ascii="宋体" w:hAnsi="宋体"/>
              </w:rPr>
              <w:t>1992</w:t>
            </w:r>
          </w:p>
        </w:tc>
        <w:tc>
          <w:tcPr>
            <w:tcW w:w="625" w:type="pct"/>
            <w:vAlign w:val="center"/>
          </w:tcPr>
          <w:p w14:paraId="30B817E7">
            <w:pPr>
              <w:pStyle w:val="12"/>
              <w:jc w:val="center"/>
              <w:rPr>
                <w:rFonts w:ascii="宋体" w:hAnsi="宋体"/>
              </w:rPr>
            </w:pPr>
            <w:r>
              <w:rPr>
                <w:rFonts w:ascii="宋体" w:hAnsi="宋体"/>
              </w:rPr>
              <w:t>127311</w:t>
            </w:r>
          </w:p>
        </w:tc>
        <w:tc>
          <w:tcPr>
            <w:tcW w:w="625" w:type="pct"/>
            <w:vAlign w:val="center"/>
          </w:tcPr>
          <w:p w14:paraId="3843DEBE">
            <w:pPr>
              <w:pStyle w:val="12"/>
              <w:jc w:val="center"/>
              <w:rPr>
                <w:rFonts w:ascii="宋体" w:hAnsi="宋体"/>
              </w:rPr>
            </w:pPr>
            <w:r>
              <w:rPr>
                <w:rFonts w:ascii="宋体" w:hAnsi="宋体"/>
              </w:rPr>
              <w:t>61685</w:t>
            </w:r>
          </w:p>
        </w:tc>
        <w:tc>
          <w:tcPr>
            <w:tcW w:w="625" w:type="pct"/>
            <w:vAlign w:val="center"/>
          </w:tcPr>
          <w:p w14:paraId="631E006E">
            <w:pPr>
              <w:pStyle w:val="12"/>
              <w:jc w:val="center"/>
              <w:rPr>
                <w:rFonts w:ascii="宋体" w:hAnsi="宋体"/>
              </w:rPr>
            </w:pPr>
            <w:r>
              <w:rPr>
                <w:rFonts w:ascii="宋体" w:hAnsi="宋体"/>
              </w:rPr>
              <w:t>48.45</w:t>
            </w:r>
          </w:p>
        </w:tc>
        <w:tc>
          <w:tcPr>
            <w:tcW w:w="625" w:type="pct"/>
            <w:vAlign w:val="center"/>
          </w:tcPr>
          <w:p w14:paraId="0B84F6AC">
            <w:pPr>
              <w:pStyle w:val="12"/>
              <w:jc w:val="center"/>
              <w:rPr>
                <w:rFonts w:ascii="宋体" w:hAnsi="宋体"/>
              </w:rPr>
            </w:pPr>
            <w:r>
              <w:rPr>
                <w:rFonts w:ascii="宋体" w:hAnsi="宋体"/>
              </w:rPr>
              <w:t>52272</w:t>
            </w:r>
          </w:p>
        </w:tc>
        <w:tc>
          <w:tcPr>
            <w:tcW w:w="625" w:type="pct"/>
            <w:vAlign w:val="center"/>
          </w:tcPr>
          <w:p w14:paraId="6986EF36">
            <w:pPr>
              <w:pStyle w:val="12"/>
              <w:jc w:val="center"/>
              <w:rPr>
                <w:rFonts w:ascii="宋体" w:hAnsi="宋体"/>
              </w:rPr>
            </w:pPr>
            <w:r>
              <w:rPr>
                <w:rFonts w:ascii="宋体" w:hAnsi="宋体"/>
              </w:rPr>
              <w:t>41.05</w:t>
            </w:r>
          </w:p>
        </w:tc>
        <w:tc>
          <w:tcPr>
            <w:tcW w:w="625" w:type="pct"/>
            <w:vAlign w:val="center"/>
          </w:tcPr>
          <w:p w14:paraId="4B970CE6">
            <w:pPr>
              <w:pStyle w:val="12"/>
              <w:jc w:val="center"/>
              <w:rPr>
                <w:rFonts w:ascii="宋体" w:hAnsi="宋体"/>
              </w:rPr>
            </w:pPr>
            <w:r>
              <w:rPr>
                <w:rFonts w:ascii="宋体" w:hAnsi="宋体"/>
              </w:rPr>
              <w:t>13354</w:t>
            </w:r>
          </w:p>
        </w:tc>
        <w:tc>
          <w:tcPr>
            <w:tcW w:w="625" w:type="pct"/>
            <w:vAlign w:val="center"/>
          </w:tcPr>
          <w:p w14:paraId="38BE0529">
            <w:pPr>
              <w:pStyle w:val="12"/>
              <w:jc w:val="center"/>
              <w:rPr>
                <w:rFonts w:ascii="宋体" w:hAnsi="宋体"/>
              </w:rPr>
            </w:pPr>
            <w:r>
              <w:rPr>
                <w:rFonts w:ascii="宋体" w:hAnsi="宋体"/>
              </w:rPr>
              <w:t>10.48</w:t>
            </w:r>
          </w:p>
        </w:tc>
      </w:tr>
      <w:tr w14:paraId="206C06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2BB6E114">
            <w:pPr>
              <w:pStyle w:val="12"/>
              <w:jc w:val="center"/>
              <w:rPr>
                <w:rFonts w:ascii="宋体" w:hAnsi="宋体"/>
              </w:rPr>
            </w:pPr>
            <w:r>
              <w:rPr>
                <w:rFonts w:ascii="宋体" w:hAnsi="宋体"/>
              </w:rPr>
              <w:t>1993</w:t>
            </w:r>
          </w:p>
        </w:tc>
        <w:tc>
          <w:tcPr>
            <w:tcW w:w="625" w:type="pct"/>
            <w:vAlign w:val="center"/>
          </w:tcPr>
          <w:p w14:paraId="0F5F9AE1">
            <w:pPr>
              <w:pStyle w:val="12"/>
              <w:jc w:val="center"/>
              <w:rPr>
                <w:rFonts w:ascii="宋体" w:hAnsi="宋体"/>
              </w:rPr>
            </w:pPr>
            <w:r>
              <w:rPr>
                <w:rFonts w:ascii="宋体" w:hAnsi="宋体"/>
              </w:rPr>
              <w:t>236546</w:t>
            </w:r>
          </w:p>
        </w:tc>
        <w:tc>
          <w:tcPr>
            <w:tcW w:w="625" w:type="pct"/>
            <w:vAlign w:val="center"/>
          </w:tcPr>
          <w:p w14:paraId="2B78AA80">
            <w:pPr>
              <w:pStyle w:val="12"/>
              <w:jc w:val="center"/>
              <w:rPr>
                <w:rFonts w:ascii="宋体" w:hAnsi="宋体"/>
              </w:rPr>
            </w:pPr>
            <w:r>
              <w:rPr>
                <w:rFonts w:ascii="宋体" w:hAnsi="宋体"/>
              </w:rPr>
              <w:t>67005</w:t>
            </w:r>
          </w:p>
        </w:tc>
        <w:tc>
          <w:tcPr>
            <w:tcW w:w="625" w:type="pct"/>
            <w:vAlign w:val="center"/>
          </w:tcPr>
          <w:p w14:paraId="1A8736A3">
            <w:pPr>
              <w:pStyle w:val="12"/>
              <w:jc w:val="center"/>
              <w:rPr>
                <w:rFonts w:ascii="宋体" w:hAnsi="宋体"/>
              </w:rPr>
            </w:pPr>
            <w:r>
              <w:rPr>
                <w:rFonts w:ascii="宋体" w:hAnsi="宋体"/>
              </w:rPr>
              <w:t>28.33</w:t>
            </w:r>
          </w:p>
        </w:tc>
        <w:tc>
          <w:tcPr>
            <w:tcW w:w="625" w:type="pct"/>
            <w:vAlign w:val="center"/>
          </w:tcPr>
          <w:p w14:paraId="44A2886A">
            <w:pPr>
              <w:pStyle w:val="12"/>
              <w:jc w:val="center"/>
              <w:rPr>
                <w:rFonts w:ascii="宋体" w:hAnsi="宋体"/>
              </w:rPr>
            </w:pPr>
            <w:r>
              <w:rPr>
                <w:rFonts w:ascii="宋体" w:hAnsi="宋体"/>
              </w:rPr>
              <w:t>151065</w:t>
            </w:r>
          </w:p>
        </w:tc>
        <w:tc>
          <w:tcPr>
            <w:tcW w:w="625" w:type="pct"/>
            <w:vAlign w:val="center"/>
          </w:tcPr>
          <w:p w14:paraId="005D9014">
            <w:pPr>
              <w:pStyle w:val="12"/>
              <w:jc w:val="center"/>
              <w:rPr>
                <w:rFonts w:ascii="宋体" w:hAnsi="宋体"/>
              </w:rPr>
            </w:pPr>
            <w:r>
              <w:rPr>
                <w:rFonts w:ascii="宋体" w:hAnsi="宋体"/>
              </w:rPr>
              <w:t>63.86</w:t>
            </w:r>
          </w:p>
        </w:tc>
        <w:tc>
          <w:tcPr>
            <w:tcW w:w="625" w:type="pct"/>
            <w:vAlign w:val="center"/>
          </w:tcPr>
          <w:p w14:paraId="6FA123BC">
            <w:pPr>
              <w:pStyle w:val="12"/>
              <w:jc w:val="center"/>
              <w:rPr>
                <w:rFonts w:ascii="宋体" w:hAnsi="宋体"/>
              </w:rPr>
            </w:pPr>
            <w:r>
              <w:rPr>
                <w:rFonts w:ascii="宋体" w:hAnsi="宋体"/>
              </w:rPr>
              <w:t>18476</w:t>
            </w:r>
          </w:p>
        </w:tc>
        <w:tc>
          <w:tcPr>
            <w:tcW w:w="625" w:type="pct"/>
            <w:vAlign w:val="center"/>
          </w:tcPr>
          <w:p w14:paraId="403CFFE4">
            <w:pPr>
              <w:pStyle w:val="12"/>
              <w:jc w:val="center"/>
              <w:rPr>
                <w:rFonts w:ascii="宋体" w:hAnsi="宋体"/>
              </w:rPr>
            </w:pPr>
            <w:r>
              <w:rPr>
                <w:rFonts w:ascii="宋体" w:hAnsi="宋体"/>
              </w:rPr>
              <w:t>7.8</w:t>
            </w:r>
          </w:p>
        </w:tc>
      </w:tr>
      <w:tr w14:paraId="016CC7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28382BDB">
            <w:pPr>
              <w:pStyle w:val="12"/>
              <w:jc w:val="center"/>
              <w:rPr>
                <w:rFonts w:ascii="宋体" w:hAnsi="宋体"/>
              </w:rPr>
            </w:pPr>
            <w:r>
              <w:rPr>
                <w:rFonts w:ascii="宋体" w:hAnsi="宋体"/>
              </w:rPr>
              <w:t>1996</w:t>
            </w:r>
          </w:p>
        </w:tc>
        <w:tc>
          <w:tcPr>
            <w:tcW w:w="625" w:type="pct"/>
            <w:vAlign w:val="center"/>
          </w:tcPr>
          <w:p w14:paraId="521C2E03">
            <w:pPr>
              <w:pStyle w:val="12"/>
              <w:jc w:val="center"/>
              <w:rPr>
                <w:rFonts w:ascii="宋体" w:hAnsi="宋体"/>
              </w:rPr>
            </w:pPr>
            <w:r>
              <w:rPr>
                <w:rFonts w:ascii="宋体" w:hAnsi="宋体"/>
              </w:rPr>
              <w:t>379658</w:t>
            </w:r>
          </w:p>
        </w:tc>
        <w:tc>
          <w:tcPr>
            <w:tcW w:w="625" w:type="pct"/>
            <w:vAlign w:val="center"/>
          </w:tcPr>
          <w:p w14:paraId="66D0E482">
            <w:pPr>
              <w:pStyle w:val="12"/>
              <w:jc w:val="center"/>
              <w:rPr>
                <w:rFonts w:ascii="宋体" w:hAnsi="宋体"/>
              </w:rPr>
            </w:pPr>
            <w:r>
              <w:rPr>
                <w:rFonts w:ascii="宋体" w:hAnsi="宋体"/>
              </w:rPr>
              <w:t>129444</w:t>
            </w:r>
          </w:p>
        </w:tc>
        <w:tc>
          <w:tcPr>
            <w:tcW w:w="625" w:type="pct"/>
            <w:vAlign w:val="center"/>
          </w:tcPr>
          <w:p w14:paraId="31083C70">
            <w:pPr>
              <w:pStyle w:val="12"/>
              <w:jc w:val="center"/>
              <w:rPr>
                <w:rFonts w:ascii="宋体" w:hAnsi="宋体"/>
              </w:rPr>
            </w:pPr>
            <w:r>
              <w:rPr>
                <w:rFonts w:ascii="宋体" w:hAnsi="宋体"/>
              </w:rPr>
              <w:t>34.1</w:t>
            </w:r>
          </w:p>
        </w:tc>
        <w:tc>
          <w:tcPr>
            <w:tcW w:w="625" w:type="pct"/>
            <w:vAlign w:val="center"/>
          </w:tcPr>
          <w:p w14:paraId="0539DE3E">
            <w:pPr>
              <w:pStyle w:val="12"/>
              <w:jc w:val="center"/>
              <w:rPr>
                <w:rFonts w:ascii="宋体" w:hAnsi="宋体"/>
              </w:rPr>
            </w:pPr>
            <w:r>
              <w:rPr>
                <w:rFonts w:ascii="宋体" w:hAnsi="宋体"/>
              </w:rPr>
              <w:t>167593</w:t>
            </w:r>
          </w:p>
        </w:tc>
        <w:tc>
          <w:tcPr>
            <w:tcW w:w="625" w:type="pct"/>
            <w:vAlign w:val="center"/>
          </w:tcPr>
          <w:p w14:paraId="74F8EEC9">
            <w:pPr>
              <w:pStyle w:val="12"/>
              <w:jc w:val="center"/>
              <w:rPr>
                <w:rFonts w:ascii="宋体" w:hAnsi="宋体"/>
              </w:rPr>
            </w:pPr>
            <w:r>
              <w:rPr>
                <w:rFonts w:ascii="宋体" w:hAnsi="宋体"/>
              </w:rPr>
              <w:t>44.14</w:t>
            </w:r>
          </w:p>
        </w:tc>
        <w:tc>
          <w:tcPr>
            <w:tcW w:w="625" w:type="pct"/>
            <w:vAlign w:val="center"/>
          </w:tcPr>
          <w:p w14:paraId="05D98D43">
            <w:pPr>
              <w:pStyle w:val="12"/>
              <w:jc w:val="center"/>
              <w:rPr>
                <w:rFonts w:ascii="宋体" w:hAnsi="宋体"/>
              </w:rPr>
            </w:pPr>
            <w:r>
              <w:rPr>
                <w:rFonts w:ascii="宋体" w:hAnsi="宋体"/>
              </w:rPr>
              <w:t>82621</w:t>
            </w:r>
          </w:p>
        </w:tc>
        <w:tc>
          <w:tcPr>
            <w:tcW w:w="625" w:type="pct"/>
            <w:vAlign w:val="center"/>
          </w:tcPr>
          <w:p w14:paraId="0FB9942A">
            <w:pPr>
              <w:pStyle w:val="12"/>
              <w:jc w:val="center"/>
              <w:rPr>
                <w:rFonts w:ascii="宋体" w:hAnsi="宋体"/>
              </w:rPr>
            </w:pPr>
            <w:r>
              <w:rPr>
                <w:rFonts w:ascii="宋体" w:hAnsi="宋体"/>
              </w:rPr>
              <w:t>21.76</w:t>
            </w:r>
          </w:p>
        </w:tc>
      </w:tr>
      <w:tr w14:paraId="6733AA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20D03596">
            <w:pPr>
              <w:pStyle w:val="12"/>
              <w:jc w:val="center"/>
              <w:rPr>
                <w:rFonts w:ascii="宋体" w:hAnsi="宋体"/>
              </w:rPr>
            </w:pPr>
            <w:r>
              <w:rPr>
                <w:rFonts w:ascii="宋体" w:hAnsi="宋体"/>
              </w:rPr>
              <w:t>2000</w:t>
            </w:r>
          </w:p>
        </w:tc>
        <w:tc>
          <w:tcPr>
            <w:tcW w:w="625" w:type="pct"/>
            <w:vAlign w:val="center"/>
          </w:tcPr>
          <w:p w14:paraId="017DA521">
            <w:pPr>
              <w:pStyle w:val="12"/>
              <w:jc w:val="center"/>
              <w:rPr>
                <w:rFonts w:ascii="宋体" w:hAnsi="宋体"/>
              </w:rPr>
            </w:pPr>
            <w:r>
              <w:rPr>
                <w:rFonts w:ascii="宋体" w:hAnsi="宋体"/>
              </w:rPr>
              <w:t>457757</w:t>
            </w:r>
          </w:p>
        </w:tc>
        <w:tc>
          <w:tcPr>
            <w:tcW w:w="625" w:type="pct"/>
            <w:vAlign w:val="center"/>
          </w:tcPr>
          <w:p w14:paraId="7236D66E">
            <w:pPr>
              <w:pStyle w:val="12"/>
              <w:jc w:val="center"/>
              <w:rPr>
                <w:rFonts w:ascii="宋体" w:hAnsi="宋体"/>
              </w:rPr>
            </w:pPr>
            <w:r>
              <w:rPr>
                <w:rFonts w:ascii="宋体" w:hAnsi="宋体"/>
              </w:rPr>
              <w:t>137781</w:t>
            </w:r>
          </w:p>
        </w:tc>
        <w:tc>
          <w:tcPr>
            <w:tcW w:w="625" w:type="pct"/>
            <w:vAlign w:val="center"/>
          </w:tcPr>
          <w:p w14:paraId="78A0A380">
            <w:pPr>
              <w:pStyle w:val="12"/>
              <w:jc w:val="center"/>
              <w:rPr>
                <w:rFonts w:ascii="宋体" w:hAnsi="宋体"/>
              </w:rPr>
            </w:pPr>
            <w:r>
              <w:rPr>
                <w:rFonts w:ascii="宋体" w:hAnsi="宋体"/>
              </w:rPr>
              <w:t>30.1</w:t>
            </w:r>
          </w:p>
        </w:tc>
        <w:tc>
          <w:tcPr>
            <w:tcW w:w="625" w:type="pct"/>
            <w:vAlign w:val="center"/>
          </w:tcPr>
          <w:p w14:paraId="7C77B7B5">
            <w:pPr>
              <w:pStyle w:val="12"/>
              <w:jc w:val="center"/>
              <w:rPr>
                <w:rFonts w:ascii="宋体" w:hAnsi="宋体"/>
              </w:rPr>
            </w:pPr>
            <w:r>
              <w:rPr>
                <w:rFonts w:ascii="宋体" w:hAnsi="宋体"/>
              </w:rPr>
              <w:t>203001</w:t>
            </w:r>
          </w:p>
        </w:tc>
        <w:tc>
          <w:tcPr>
            <w:tcW w:w="625" w:type="pct"/>
            <w:vAlign w:val="center"/>
          </w:tcPr>
          <w:p w14:paraId="28BA5093">
            <w:pPr>
              <w:pStyle w:val="12"/>
              <w:jc w:val="center"/>
              <w:rPr>
                <w:rFonts w:ascii="宋体" w:hAnsi="宋体"/>
              </w:rPr>
            </w:pPr>
            <w:r>
              <w:rPr>
                <w:rFonts w:ascii="宋体" w:hAnsi="宋体"/>
              </w:rPr>
              <w:t>44.35</w:t>
            </w:r>
          </w:p>
        </w:tc>
        <w:tc>
          <w:tcPr>
            <w:tcW w:w="625" w:type="pct"/>
            <w:vAlign w:val="center"/>
          </w:tcPr>
          <w:p w14:paraId="1107C18F">
            <w:pPr>
              <w:pStyle w:val="12"/>
              <w:jc w:val="center"/>
              <w:rPr>
                <w:rFonts w:ascii="宋体" w:hAnsi="宋体"/>
              </w:rPr>
            </w:pPr>
            <w:r>
              <w:rPr>
                <w:rFonts w:ascii="宋体" w:hAnsi="宋体"/>
              </w:rPr>
              <w:t>116975</w:t>
            </w:r>
          </w:p>
        </w:tc>
        <w:tc>
          <w:tcPr>
            <w:tcW w:w="625" w:type="pct"/>
            <w:vAlign w:val="center"/>
          </w:tcPr>
          <w:p w14:paraId="6E9884B5">
            <w:pPr>
              <w:pStyle w:val="12"/>
              <w:jc w:val="center"/>
              <w:rPr>
                <w:rFonts w:ascii="宋体" w:hAnsi="宋体"/>
              </w:rPr>
            </w:pPr>
            <w:r>
              <w:rPr>
                <w:rFonts w:ascii="宋体" w:hAnsi="宋体"/>
              </w:rPr>
              <w:t>25.55</w:t>
            </w:r>
          </w:p>
        </w:tc>
      </w:tr>
      <w:tr w14:paraId="401A7C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4E070C66">
            <w:pPr>
              <w:pStyle w:val="12"/>
              <w:jc w:val="center"/>
              <w:rPr>
                <w:rFonts w:ascii="宋体" w:hAnsi="宋体"/>
              </w:rPr>
            </w:pPr>
            <w:r>
              <w:rPr>
                <w:rFonts w:ascii="宋体" w:hAnsi="宋体"/>
              </w:rPr>
              <w:t>2001</w:t>
            </w:r>
          </w:p>
        </w:tc>
        <w:tc>
          <w:tcPr>
            <w:tcW w:w="625" w:type="pct"/>
            <w:vAlign w:val="center"/>
          </w:tcPr>
          <w:p w14:paraId="599F258B">
            <w:pPr>
              <w:pStyle w:val="12"/>
              <w:jc w:val="center"/>
              <w:rPr>
                <w:rFonts w:ascii="宋体" w:hAnsi="宋体"/>
              </w:rPr>
            </w:pPr>
            <w:r>
              <w:rPr>
                <w:rFonts w:ascii="宋体" w:hAnsi="宋体"/>
              </w:rPr>
              <w:t>485087</w:t>
            </w:r>
          </w:p>
        </w:tc>
        <w:tc>
          <w:tcPr>
            <w:tcW w:w="625" w:type="pct"/>
            <w:vAlign w:val="center"/>
          </w:tcPr>
          <w:p w14:paraId="63F6F1F6">
            <w:pPr>
              <w:pStyle w:val="12"/>
              <w:jc w:val="center"/>
              <w:rPr>
                <w:rFonts w:ascii="宋体" w:hAnsi="宋体"/>
              </w:rPr>
            </w:pPr>
            <w:r>
              <w:rPr>
                <w:rFonts w:ascii="宋体" w:hAnsi="宋体"/>
              </w:rPr>
              <w:t>143544</w:t>
            </w:r>
          </w:p>
        </w:tc>
        <w:tc>
          <w:tcPr>
            <w:tcW w:w="625" w:type="pct"/>
            <w:vAlign w:val="center"/>
          </w:tcPr>
          <w:p w14:paraId="20C15F80">
            <w:pPr>
              <w:pStyle w:val="12"/>
              <w:jc w:val="center"/>
              <w:rPr>
                <w:rFonts w:ascii="宋体" w:hAnsi="宋体"/>
              </w:rPr>
            </w:pPr>
            <w:r>
              <w:rPr>
                <w:rFonts w:ascii="宋体" w:hAnsi="宋体"/>
              </w:rPr>
              <w:t>29.59</w:t>
            </w:r>
          </w:p>
        </w:tc>
        <w:tc>
          <w:tcPr>
            <w:tcW w:w="625" w:type="pct"/>
            <w:vAlign w:val="center"/>
          </w:tcPr>
          <w:p w14:paraId="214BA666">
            <w:pPr>
              <w:pStyle w:val="12"/>
              <w:jc w:val="center"/>
              <w:rPr>
                <w:rFonts w:ascii="宋体" w:hAnsi="宋体"/>
              </w:rPr>
            </w:pPr>
            <w:r>
              <w:rPr>
                <w:rFonts w:ascii="宋体" w:hAnsi="宋体"/>
              </w:rPr>
              <w:t>209595</w:t>
            </w:r>
          </w:p>
        </w:tc>
        <w:tc>
          <w:tcPr>
            <w:tcW w:w="625" w:type="pct"/>
            <w:vAlign w:val="center"/>
          </w:tcPr>
          <w:p w14:paraId="20FD0114">
            <w:pPr>
              <w:pStyle w:val="12"/>
              <w:jc w:val="center"/>
              <w:rPr>
                <w:rFonts w:ascii="宋体" w:hAnsi="宋体"/>
              </w:rPr>
            </w:pPr>
            <w:r>
              <w:rPr>
                <w:rFonts w:ascii="宋体" w:hAnsi="宋体"/>
              </w:rPr>
              <w:t>43.21</w:t>
            </w:r>
          </w:p>
        </w:tc>
        <w:tc>
          <w:tcPr>
            <w:tcW w:w="625" w:type="pct"/>
            <w:vAlign w:val="center"/>
          </w:tcPr>
          <w:p w14:paraId="6AB02656">
            <w:pPr>
              <w:pStyle w:val="12"/>
              <w:jc w:val="center"/>
              <w:rPr>
                <w:rFonts w:ascii="宋体" w:hAnsi="宋体"/>
              </w:rPr>
            </w:pPr>
            <w:r>
              <w:rPr>
                <w:rFonts w:ascii="宋体" w:hAnsi="宋体"/>
              </w:rPr>
              <w:t>131948</w:t>
            </w:r>
          </w:p>
        </w:tc>
        <w:tc>
          <w:tcPr>
            <w:tcW w:w="625" w:type="pct"/>
            <w:vAlign w:val="center"/>
          </w:tcPr>
          <w:p w14:paraId="5771D7CF">
            <w:pPr>
              <w:pStyle w:val="12"/>
              <w:jc w:val="center"/>
              <w:rPr>
                <w:rFonts w:ascii="宋体" w:hAnsi="宋体"/>
              </w:rPr>
            </w:pPr>
            <w:r>
              <w:rPr>
                <w:rFonts w:ascii="宋体" w:hAnsi="宋体"/>
              </w:rPr>
              <w:t>27.2</w:t>
            </w:r>
          </w:p>
        </w:tc>
      </w:tr>
      <w:tr w14:paraId="36A69C3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43D4742E">
            <w:pPr>
              <w:pStyle w:val="12"/>
              <w:jc w:val="center"/>
              <w:rPr>
                <w:rFonts w:ascii="宋体" w:hAnsi="宋体"/>
              </w:rPr>
            </w:pPr>
            <w:r>
              <w:rPr>
                <w:rFonts w:ascii="宋体" w:hAnsi="宋体"/>
              </w:rPr>
              <w:t>2002</w:t>
            </w:r>
          </w:p>
        </w:tc>
        <w:tc>
          <w:tcPr>
            <w:tcW w:w="625" w:type="pct"/>
            <w:vAlign w:val="center"/>
          </w:tcPr>
          <w:p w14:paraId="78F3F37B">
            <w:pPr>
              <w:pStyle w:val="12"/>
              <w:jc w:val="center"/>
              <w:rPr>
                <w:rFonts w:ascii="宋体" w:hAnsi="宋体"/>
              </w:rPr>
            </w:pPr>
            <w:r>
              <w:rPr>
                <w:rFonts w:ascii="宋体" w:hAnsi="宋体"/>
              </w:rPr>
              <w:t>500829</w:t>
            </w:r>
          </w:p>
        </w:tc>
        <w:tc>
          <w:tcPr>
            <w:tcW w:w="625" w:type="pct"/>
            <w:vAlign w:val="center"/>
          </w:tcPr>
          <w:p w14:paraId="3261E2F5">
            <w:pPr>
              <w:pStyle w:val="12"/>
              <w:jc w:val="center"/>
              <w:rPr>
                <w:rFonts w:ascii="宋体" w:hAnsi="宋体"/>
              </w:rPr>
            </w:pPr>
            <w:r>
              <w:rPr>
                <w:rFonts w:ascii="宋体" w:hAnsi="宋体"/>
              </w:rPr>
              <w:t>145036</w:t>
            </w:r>
          </w:p>
        </w:tc>
        <w:tc>
          <w:tcPr>
            <w:tcW w:w="625" w:type="pct"/>
            <w:vAlign w:val="center"/>
          </w:tcPr>
          <w:p w14:paraId="0AB6943C">
            <w:pPr>
              <w:pStyle w:val="12"/>
              <w:jc w:val="center"/>
              <w:rPr>
                <w:rFonts w:ascii="宋体" w:hAnsi="宋体"/>
              </w:rPr>
            </w:pPr>
            <w:r>
              <w:rPr>
                <w:rFonts w:ascii="宋体" w:hAnsi="宋体"/>
              </w:rPr>
              <w:t>28.95</w:t>
            </w:r>
          </w:p>
        </w:tc>
        <w:tc>
          <w:tcPr>
            <w:tcW w:w="625" w:type="pct"/>
            <w:vAlign w:val="center"/>
          </w:tcPr>
          <w:p w14:paraId="7CD41B89">
            <w:pPr>
              <w:pStyle w:val="12"/>
              <w:jc w:val="center"/>
              <w:rPr>
                <w:rFonts w:ascii="宋体" w:hAnsi="宋体"/>
              </w:rPr>
            </w:pPr>
            <w:r>
              <w:rPr>
                <w:rFonts w:ascii="宋体" w:hAnsi="宋体"/>
              </w:rPr>
              <w:t>209255</w:t>
            </w:r>
          </w:p>
        </w:tc>
        <w:tc>
          <w:tcPr>
            <w:tcW w:w="625" w:type="pct"/>
            <w:vAlign w:val="center"/>
          </w:tcPr>
          <w:p w14:paraId="68032A31">
            <w:pPr>
              <w:pStyle w:val="12"/>
              <w:jc w:val="center"/>
              <w:rPr>
                <w:rFonts w:ascii="宋体" w:hAnsi="宋体"/>
              </w:rPr>
            </w:pPr>
            <w:r>
              <w:rPr>
                <w:rFonts w:ascii="宋体" w:hAnsi="宋体"/>
              </w:rPr>
              <w:t>41.78</w:t>
            </w:r>
          </w:p>
        </w:tc>
        <w:tc>
          <w:tcPr>
            <w:tcW w:w="625" w:type="pct"/>
            <w:vAlign w:val="center"/>
          </w:tcPr>
          <w:p w14:paraId="6B6A1E27">
            <w:pPr>
              <w:pStyle w:val="12"/>
              <w:jc w:val="center"/>
              <w:rPr>
                <w:rFonts w:ascii="宋体" w:hAnsi="宋体"/>
              </w:rPr>
            </w:pPr>
            <w:r>
              <w:rPr>
                <w:rFonts w:ascii="宋体" w:hAnsi="宋体"/>
              </w:rPr>
              <w:t>146538</w:t>
            </w:r>
          </w:p>
        </w:tc>
        <w:tc>
          <w:tcPr>
            <w:tcW w:w="625" w:type="pct"/>
            <w:vAlign w:val="center"/>
          </w:tcPr>
          <w:p w14:paraId="0FF08912">
            <w:pPr>
              <w:pStyle w:val="12"/>
              <w:jc w:val="center"/>
              <w:rPr>
                <w:rFonts w:ascii="宋体" w:hAnsi="宋体"/>
              </w:rPr>
            </w:pPr>
            <w:r>
              <w:rPr>
                <w:rFonts w:ascii="宋体" w:hAnsi="宋体"/>
              </w:rPr>
              <w:t>29.26</w:t>
            </w:r>
          </w:p>
        </w:tc>
      </w:tr>
      <w:tr w14:paraId="36E658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1A2BB2B0">
            <w:pPr>
              <w:pStyle w:val="12"/>
              <w:jc w:val="center"/>
              <w:rPr>
                <w:rFonts w:ascii="宋体" w:hAnsi="宋体"/>
              </w:rPr>
            </w:pPr>
            <w:r>
              <w:rPr>
                <w:rFonts w:ascii="宋体" w:hAnsi="宋体"/>
              </w:rPr>
              <w:t>2003</w:t>
            </w:r>
          </w:p>
        </w:tc>
        <w:tc>
          <w:tcPr>
            <w:tcW w:w="625" w:type="pct"/>
            <w:vAlign w:val="center"/>
          </w:tcPr>
          <w:p w14:paraId="1976FB4C">
            <w:pPr>
              <w:pStyle w:val="12"/>
              <w:jc w:val="center"/>
              <w:rPr>
                <w:rFonts w:ascii="宋体" w:hAnsi="宋体"/>
              </w:rPr>
            </w:pPr>
            <w:r>
              <w:rPr>
                <w:rFonts w:ascii="宋体" w:hAnsi="宋体"/>
              </w:rPr>
              <w:t>568036</w:t>
            </w:r>
          </w:p>
        </w:tc>
        <w:tc>
          <w:tcPr>
            <w:tcW w:w="625" w:type="pct"/>
            <w:vAlign w:val="center"/>
          </w:tcPr>
          <w:p w14:paraId="68304F7A">
            <w:pPr>
              <w:pStyle w:val="12"/>
              <w:jc w:val="center"/>
              <w:rPr>
                <w:rFonts w:ascii="宋体" w:hAnsi="宋体"/>
              </w:rPr>
            </w:pPr>
            <w:r>
              <w:rPr>
                <w:rFonts w:ascii="宋体" w:hAnsi="宋体"/>
              </w:rPr>
              <w:t>153951</w:t>
            </w:r>
          </w:p>
        </w:tc>
        <w:tc>
          <w:tcPr>
            <w:tcW w:w="625" w:type="pct"/>
            <w:vAlign w:val="center"/>
          </w:tcPr>
          <w:p w14:paraId="645E6FA6">
            <w:pPr>
              <w:pStyle w:val="12"/>
              <w:jc w:val="center"/>
              <w:rPr>
                <w:rFonts w:ascii="宋体" w:hAnsi="宋体"/>
              </w:rPr>
            </w:pPr>
            <w:r>
              <w:rPr>
                <w:rFonts w:ascii="宋体" w:hAnsi="宋体"/>
              </w:rPr>
              <w:t>27.10</w:t>
            </w:r>
          </w:p>
        </w:tc>
        <w:tc>
          <w:tcPr>
            <w:tcW w:w="625" w:type="pct"/>
            <w:vAlign w:val="center"/>
          </w:tcPr>
          <w:p w14:paraId="727D02C4">
            <w:pPr>
              <w:pStyle w:val="12"/>
              <w:jc w:val="center"/>
              <w:rPr>
                <w:rFonts w:ascii="宋体" w:hAnsi="宋体"/>
              </w:rPr>
            </w:pPr>
            <w:r>
              <w:rPr>
                <w:rFonts w:ascii="宋体" w:hAnsi="宋体"/>
              </w:rPr>
              <w:t>246458</w:t>
            </w:r>
          </w:p>
        </w:tc>
        <w:tc>
          <w:tcPr>
            <w:tcW w:w="625" w:type="pct"/>
            <w:vAlign w:val="center"/>
          </w:tcPr>
          <w:p w14:paraId="104E2213">
            <w:pPr>
              <w:pStyle w:val="12"/>
              <w:jc w:val="center"/>
              <w:rPr>
                <w:rFonts w:ascii="宋体" w:hAnsi="宋体"/>
              </w:rPr>
            </w:pPr>
            <w:r>
              <w:rPr>
                <w:rFonts w:ascii="宋体" w:hAnsi="宋体"/>
              </w:rPr>
              <w:t>43.39</w:t>
            </w:r>
          </w:p>
        </w:tc>
        <w:tc>
          <w:tcPr>
            <w:tcW w:w="625" w:type="pct"/>
            <w:vAlign w:val="center"/>
          </w:tcPr>
          <w:p w14:paraId="6C536F91">
            <w:pPr>
              <w:pStyle w:val="12"/>
              <w:jc w:val="center"/>
              <w:rPr>
                <w:rFonts w:ascii="宋体" w:hAnsi="宋体"/>
              </w:rPr>
            </w:pPr>
            <w:r>
              <w:rPr>
                <w:rFonts w:ascii="宋体" w:hAnsi="宋体"/>
              </w:rPr>
              <w:t>167627</w:t>
            </w:r>
          </w:p>
        </w:tc>
        <w:tc>
          <w:tcPr>
            <w:tcW w:w="625" w:type="pct"/>
            <w:vAlign w:val="center"/>
          </w:tcPr>
          <w:p w14:paraId="713D5031">
            <w:pPr>
              <w:pStyle w:val="12"/>
              <w:jc w:val="center"/>
              <w:rPr>
                <w:rFonts w:ascii="宋体" w:hAnsi="宋体"/>
              </w:rPr>
            </w:pPr>
            <w:r>
              <w:rPr>
                <w:rFonts w:ascii="宋体" w:hAnsi="宋体"/>
              </w:rPr>
              <w:t>29.51</w:t>
            </w:r>
          </w:p>
        </w:tc>
      </w:tr>
      <w:tr w14:paraId="787710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108491CB">
            <w:pPr>
              <w:pStyle w:val="12"/>
              <w:jc w:val="center"/>
              <w:rPr>
                <w:rFonts w:ascii="宋体" w:hAnsi="宋体"/>
              </w:rPr>
            </w:pPr>
            <w:r>
              <w:rPr>
                <w:rFonts w:ascii="宋体" w:hAnsi="宋体"/>
              </w:rPr>
              <w:t>2004</w:t>
            </w:r>
          </w:p>
        </w:tc>
        <w:tc>
          <w:tcPr>
            <w:tcW w:w="625" w:type="pct"/>
            <w:vAlign w:val="center"/>
          </w:tcPr>
          <w:p w14:paraId="6E79178D">
            <w:pPr>
              <w:pStyle w:val="12"/>
              <w:jc w:val="center"/>
              <w:rPr>
                <w:rFonts w:ascii="宋体" w:hAnsi="宋体"/>
              </w:rPr>
            </w:pPr>
            <w:r>
              <w:rPr>
                <w:rFonts w:ascii="宋体" w:hAnsi="宋体"/>
              </w:rPr>
              <w:t>661104</w:t>
            </w:r>
          </w:p>
        </w:tc>
        <w:tc>
          <w:tcPr>
            <w:tcW w:w="625" w:type="pct"/>
            <w:vAlign w:val="center"/>
          </w:tcPr>
          <w:p w14:paraId="6954AFCD">
            <w:pPr>
              <w:pStyle w:val="12"/>
              <w:jc w:val="center"/>
              <w:rPr>
                <w:rFonts w:ascii="宋体" w:hAnsi="宋体"/>
              </w:rPr>
            </w:pPr>
            <w:r>
              <w:rPr>
                <w:rFonts w:ascii="宋体" w:hAnsi="宋体"/>
              </w:rPr>
              <w:t>173470</w:t>
            </w:r>
          </w:p>
        </w:tc>
        <w:tc>
          <w:tcPr>
            <w:tcW w:w="625" w:type="pct"/>
            <w:vAlign w:val="center"/>
          </w:tcPr>
          <w:p w14:paraId="4B37E851">
            <w:pPr>
              <w:pStyle w:val="12"/>
              <w:jc w:val="center"/>
              <w:rPr>
                <w:rFonts w:ascii="宋体" w:hAnsi="宋体"/>
              </w:rPr>
            </w:pPr>
            <w:r>
              <w:rPr>
                <w:rFonts w:ascii="宋体" w:hAnsi="宋体"/>
              </w:rPr>
              <w:t>26.23</w:t>
            </w:r>
          </w:p>
        </w:tc>
        <w:tc>
          <w:tcPr>
            <w:tcW w:w="625" w:type="pct"/>
            <w:vAlign w:val="center"/>
          </w:tcPr>
          <w:p w14:paraId="17BFAB17">
            <w:pPr>
              <w:pStyle w:val="12"/>
              <w:jc w:val="center"/>
              <w:rPr>
                <w:rFonts w:ascii="宋体" w:hAnsi="宋体"/>
              </w:rPr>
            </w:pPr>
            <w:r>
              <w:rPr>
                <w:rFonts w:ascii="宋体" w:hAnsi="宋体"/>
              </w:rPr>
              <w:t>290131</w:t>
            </w:r>
          </w:p>
        </w:tc>
        <w:tc>
          <w:tcPr>
            <w:tcW w:w="625" w:type="pct"/>
            <w:vAlign w:val="center"/>
          </w:tcPr>
          <w:p w14:paraId="01A53327">
            <w:pPr>
              <w:pStyle w:val="12"/>
              <w:jc w:val="center"/>
              <w:rPr>
                <w:rFonts w:ascii="宋体" w:hAnsi="宋体"/>
              </w:rPr>
            </w:pPr>
            <w:r>
              <w:rPr>
                <w:rFonts w:ascii="宋体" w:hAnsi="宋体"/>
              </w:rPr>
              <w:t>43.88</w:t>
            </w:r>
          </w:p>
        </w:tc>
        <w:tc>
          <w:tcPr>
            <w:tcW w:w="625" w:type="pct"/>
            <w:vAlign w:val="center"/>
          </w:tcPr>
          <w:p w14:paraId="75EE6DB7">
            <w:pPr>
              <w:pStyle w:val="12"/>
              <w:jc w:val="center"/>
              <w:rPr>
                <w:rFonts w:ascii="宋体" w:hAnsi="宋体"/>
              </w:rPr>
            </w:pPr>
            <w:r>
              <w:rPr>
                <w:rFonts w:ascii="宋体" w:hAnsi="宋体"/>
              </w:rPr>
              <w:t>197503</w:t>
            </w:r>
          </w:p>
        </w:tc>
        <w:tc>
          <w:tcPr>
            <w:tcW w:w="625" w:type="pct"/>
            <w:vAlign w:val="center"/>
          </w:tcPr>
          <w:p w14:paraId="05A5942A">
            <w:pPr>
              <w:pStyle w:val="12"/>
              <w:jc w:val="center"/>
              <w:rPr>
                <w:rFonts w:ascii="宋体" w:hAnsi="宋体"/>
              </w:rPr>
            </w:pPr>
            <w:r>
              <w:rPr>
                <w:rFonts w:ascii="宋体" w:hAnsi="宋体"/>
              </w:rPr>
              <w:t>29.87</w:t>
            </w:r>
          </w:p>
        </w:tc>
      </w:tr>
    </w:tbl>
    <w:p w14:paraId="7BF3AFC3">
      <w:pPr>
        <w:ind w:firstLine="422"/>
        <w:rPr>
          <w:rFonts w:ascii="宋体" w:hAnsi="宋体"/>
          <w:b/>
          <w:szCs w:val="21"/>
        </w:rPr>
      </w:pPr>
      <w:r>
        <w:rPr>
          <w:rFonts w:hint="eastAsia" w:ascii="宋体" w:hAnsi="宋体"/>
          <w:b/>
          <w:szCs w:val="21"/>
        </w:rPr>
        <w:t>说明：产值均按当年价。</w:t>
      </w:r>
    </w:p>
    <w:p w14:paraId="73FF21EE">
      <w:pPr>
        <w:pStyle w:val="5"/>
        <w:rPr>
          <w:rFonts w:ascii="宋体" w:hAnsi="宋体"/>
        </w:rPr>
      </w:pPr>
      <w:r>
        <w:rPr>
          <w:rFonts w:hint="eastAsia" w:ascii="宋体" w:hAnsi="宋体"/>
        </w:rPr>
        <w:t>四、工商企业形成以民营为主体的多种经济成分结构</w:t>
      </w:r>
    </w:p>
    <w:p w14:paraId="4E161C78">
      <w:pPr>
        <w:ind w:firstLine="0" w:firstLineChars="0"/>
        <w:jc w:val="center"/>
        <w:rPr>
          <w:rFonts w:ascii="宋体" w:hAnsi="宋体"/>
          <w:b/>
          <w:szCs w:val="21"/>
        </w:rPr>
      </w:pPr>
      <w:r>
        <w:rPr>
          <w:rFonts w:hint="eastAsia" w:ascii="宋体" w:hAnsi="宋体"/>
          <w:b/>
          <w:szCs w:val="21"/>
        </w:rPr>
        <w:t>南雄市工商企业各种经济成分结构情况</w:t>
      </w:r>
    </w:p>
    <w:p w14:paraId="2828A620">
      <w:pPr>
        <w:ind w:firstLine="0" w:firstLineChars="0"/>
        <w:rPr>
          <w:rFonts w:ascii="宋体" w:hAnsi="宋体"/>
          <w:b/>
          <w:szCs w:val="21"/>
        </w:rPr>
      </w:pPr>
      <w:r>
        <w:rPr>
          <w:rFonts w:hint="eastAsia" w:ascii="宋体" w:hAnsi="宋体"/>
          <w:b/>
          <w:szCs w:val="21"/>
        </w:rPr>
        <w:t>表</w:t>
      </w:r>
      <w:r>
        <w:rPr>
          <w:rFonts w:ascii="宋体" w:hAnsi="宋体"/>
          <w:b/>
          <w:szCs w:val="21"/>
        </w:rPr>
        <w:t>2-4</w:t>
      </w:r>
    </w:p>
    <w:p w14:paraId="3D4AF8AB">
      <w:pPr>
        <w:ind w:firstLine="422"/>
        <w:jc w:val="right"/>
        <w:rPr>
          <w:rFonts w:ascii="宋体" w:hAnsi="宋体"/>
          <w:b/>
          <w:szCs w:val="21"/>
        </w:rPr>
      </w:pPr>
      <w:r>
        <w:rPr>
          <w:rFonts w:ascii="宋体" w:hAnsi="宋体"/>
          <w:b/>
          <w:szCs w:val="21"/>
        </w:rPr>
        <w:t>单位：万元、%</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5"/>
        <w:gridCol w:w="1105"/>
        <w:gridCol w:w="1108"/>
        <w:gridCol w:w="1108"/>
        <w:gridCol w:w="1108"/>
        <w:gridCol w:w="1108"/>
        <w:gridCol w:w="1108"/>
        <w:gridCol w:w="1108"/>
        <w:gridCol w:w="1104"/>
      </w:tblGrid>
      <w:tr w14:paraId="47DE5A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restart"/>
            <w:vAlign w:val="center"/>
          </w:tcPr>
          <w:p w14:paraId="34FC9C16">
            <w:pPr>
              <w:pStyle w:val="12"/>
              <w:jc w:val="center"/>
              <w:rPr>
                <w:rFonts w:ascii="宋体" w:hAnsi="宋体"/>
                <w:b/>
              </w:rPr>
            </w:pPr>
            <w:r>
              <w:rPr>
                <w:rFonts w:hint="eastAsia" w:ascii="宋体" w:hAnsi="宋体"/>
                <w:b/>
              </w:rPr>
              <w:t>经济成分</w:t>
            </w:r>
          </w:p>
        </w:tc>
        <w:tc>
          <w:tcPr>
            <w:tcW w:w="1111" w:type="pct"/>
            <w:gridSpan w:val="2"/>
            <w:vAlign w:val="center"/>
          </w:tcPr>
          <w:p w14:paraId="6ABAD128">
            <w:pPr>
              <w:pStyle w:val="12"/>
              <w:jc w:val="center"/>
              <w:rPr>
                <w:rFonts w:ascii="宋体" w:hAnsi="宋体"/>
                <w:b/>
              </w:rPr>
            </w:pPr>
            <w:r>
              <w:rPr>
                <w:rFonts w:hint="eastAsia" w:ascii="宋体" w:hAnsi="宋体"/>
                <w:b/>
              </w:rPr>
              <w:t>1978年</w:t>
            </w:r>
          </w:p>
        </w:tc>
        <w:tc>
          <w:tcPr>
            <w:tcW w:w="1111" w:type="pct"/>
            <w:gridSpan w:val="2"/>
            <w:vAlign w:val="center"/>
          </w:tcPr>
          <w:p w14:paraId="13C0043D">
            <w:pPr>
              <w:pStyle w:val="12"/>
              <w:jc w:val="center"/>
              <w:rPr>
                <w:rFonts w:ascii="宋体" w:hAnsi="宋体"/>
                <w:b/>
              </w:rPr>
            </w:pPr>
            <w:r>
              <w:rPr>
                <w:rFonts w:hint="eastAsia" w:ascii="宋体" w:hAnsi="宋体"/>
                <w:b/>
              </w:rPr>
              <w:t>1996年</w:t>
            </w:r>
          </w:p>
        </w:tc>
        <w:tc>
          <w:tcPr>
            <w:tcW w:w="1111" w:type="pct"/>
            <w:gridSpan w:val="2"/>
            <w:vAlign w:val="center"/>
          </w:tcPr>
          <w:p w14:paraId="1E120F21">
            <w:pPr>
              <w:pStyle w:val="12"/>
              <w:jc w:val="center"/>
              <w:rPr>
                <w:rFonts w:ascii="宋体" w:hAnsi="宋体"/>
                <w:b/>
              </w:rPr>
            </w:pPr>
            <w:r>
              <w:rPr>
                <w:rFonts w:hint="eastAsia" w:ascii="宋体" w:hAnsi="宋体"/>
                <w:b/>
              </w:rPr>
              <w:t>2000年</w:t>
            </w:r>
          </w:p>
        </w:tc>
        <w:tc>
          <w:tcPr>
            <w:tcW w:w="1111" w:type="pct"/>
            <w:gridSpan w:val="2"/>
            <w:vAlign w:val="center"/>
          </w:tcPr>
          <w:p w14:paraId="1E7F16D9">
            <w:pPr>
              <w:pStyle w:val="12"/>
              <w:jc w:val="center"/>
              <w:rPr>
                <w:rFonts w:ascii="宋体" w:hAnsi="宋体"/>
                <w:b/>
              </w:rPr>
            </w:pPr>
            <w:r>
              <w:rPr>
                <w:rFonts w:hint="eastAsia" w:ascii="宋体" w:hAnsi="宋体"/>
                <w:b/>
              </w:rPr>
              <w:t>2004年</w:t>
            </w:r>
          </w:p>
        </w:tc>
      </w:tr>
      <w:tr w14:paraId="21D8C6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2BA847DC">
            <w:pPr>
              <w:pStyle w:val="12"/>
              <w:jc w:val="center"/>
              <w:rPr>
                <w:rFonts w:ascii="宋体" w:hAnsi="宋体"/>
                <w:b/>
              </w:rPr>
            </w:pPr>
          </w:p>
        </w:tc>
        <w:tc>
          <w:tcPr>
            <w:tcW w:w="555" w:type="pct"/>
            <w:vAlign w:val="center"/>
          </w:tcPr>
          <w:p w14:paraId="205B7C5F">
            <w:pPr>
              <w:pStyle w:val="12"/>
              <w:jc w:val="center"/>
              <w:rPr>
                <w:rFonts w:ascii="宋体" w:hAnsi="宋体"/>
                <w:b/>
              </w:rPr>
            </w:pPr>
            <w:r>
              <w:rPr>
                <w:rFonts w:hint="eastAsia" w:ascii="宋体" w:hAnsi="宋体"/>
                <w:b/>
              </w:rPr>
              <w:t>工业总产值</w:t>
            </w:r>
          </w:p>
        </w:tc>
        <w:tc>
          <w:tcPr>
            <w:tcW w:w="556" w:type="pct"/>
            <w:vAlign w:val="center"/>
          </w:tcPr>
          <w:p w14:paraId="5BE9298E">
            <w:pPr>
              <w:pStyle w:val="12"/>
              <w:jc w:val="center"/>
              <w:rPr>
                <w:rFonts w:ascii="宋体" w:hAnsi="宋体"/>
                <w:b/>
              </w:rPr>
            </w:pPr>
            <w:r>
              <w:rPr>
                <w:rFonts w:hint="eastAsia" w:ascii="宋体" w:hAnsi="宋体"/>
                <w:b/>
              </w:rPr>
              <w:t>社会消费品零售总额</w:t>
            </w:r>
          </w:p>
        </w:tc>
        <w:tc>
          <w:tcPr>
            <w:tcW w:w="556" w:type="pct"/>
            <w:vAlign w:val="center"/>
          </w:tcPr>
          <w:p w14:paraId="13382D98">
            <w:pPr>
              <w:pStyle w:val="12"/>
              <w:jc w:val="center"/>
              <w:rPr>
                <w:rFonts w:ascii="宋体" w:hAnsi="宋体"/>
                <w:b/>
              </w:rPr>
            </w:pPr>
            <w:r>
              <w:rPr>
                <w:rFonts w:hint="eastAsia" w:ascii="宋体" w:hAnsi="宋体"/>
                <w:b/>
              </w:rPr>
              <w:t>工业总产值</w:t>
            </w:r>
          </w:p>
        </w:tc>
        <w:tc>
          <w:tcPr>
            <w:tcW w:w="556" w:type="pct"/>
            <w:vAlign w:val="center"/>
          </w:tcPr>
          <w:p w14:paraId="4B665A9D">
            <w:pPr>
              <w:pStyle w:val="12"/>
              <w:jc w:val="center"/>
              <w:rPr>
                <w:rFonts w:ascii="宋体" w:hAnsi="宋体"/>
                <w:b/>
              </w:rPr>
            </w:pPr>
            <w:r>
              <w:rPr>
                <w:rFonts w:hint="eastAsia" w:ascii="宋体" w:hAnsi="宋体"/>
                <w:b/>
              </w:rPr>
              <w:t>社会消费品零售总额</w:t>
            </w:r>
          </w:p>
        </w:tc>
        <w:tc>
          <w:tcPr>
            <w:tcW w:w="556" w:type="pct"/>
            <w:vAlign w:val="center"/>
          </w:tcPr>
          <w:p w14:paraId="60A0282D">
            <w:pPr>
              <w:pStyle w:val="12"/>
              <w:jc w:val="center"/>
              <w:rPr>
                <w:rFonts w:ascii="宋体" w:hAnsi="宋体"/>
                <w:b/>
              </w:rPr>
            </w:pPr>
            <w:r>
              <w:rPr>
                <w:rFonts w:hint="eastAsia" w:ascii="宋体" w:hAnsi="宋体"/>
                <w:b/>
              </w:rPr>
              <w:t>工业总产值</w:t>
            </w:r>
          </w:p>
        </w:tc>
        <w:tc>
          <w:tcPr>
            <w:tcW w:w="556" w:type="pct"/>
            <w:vAlign w:val="center"/>
          </w:tcPr>
          <w:p w14:paraId="0AE77F17">
            <w:pPr>
              <w:pStyle w:val="12"/>
              <w:jc w:val="center"/>
              <w:rPr>
                <w:rFonts w:ascii="宋体" w:hAnsi="宋体"/>
                <w:b/>
              </w:rPr>
            </w:pPr>
            <w:r>
              <w:rPr>
                <w:rFonts w:hint="eastAsia" w:ascii="宋体" w:hAnsi="宋体"/>
                <w:b/>
              </w:rPr>
              <w:t>社会消费品零售总额</w:t>
            </w:r>
          </w:p>
        </w:tc>
        <w:tc>
          <w:tcPr>
            <w:tcW w:w="556" w:type="pct"/>
            <w:vAlign w:val="center"/>
          </w:tcPr>
          <w:p w14:paraId="6D701594">
            <w:pPr>
              <w:pStyle w:val="12"/>
              <w:jc w:val="center"/>
              <w:rPr>
                <w:rFonts w:ascii="宋体" w:hAnsi="宋体"/>
                <w:b/>
              </w:rPr>
            </w:pPr>
            <w:r>
              <w:rPr>
                <w:rFonts w:hint="eastAsia" w:ascii="宋体" w:hAnsi="宋体"/>
                <w:b/>
              </w:rPr>
              <w:t>工业总产值</w:t>
            </w:r>
          </w:p>
        </w:tc>
        <w:tc>
          <w:tcPr>
            <w:tcW w:w="556" w:type="pct"/>
            <w:vAlign w:val="center"/>
          </w:tcPr>
          <w:p w14:paraId="02FA42E0">
            <w:pPr>
              <w:pStyle w:val="12"/>
              <w:jc w:val="center"/>
              <w:rPr>
                <w:rFonts w:ascii="宋体" w:hAnsi="宋体"/>
                <w:b/>
              </w:rPr>
            </w:pPr>
            <w:r>
              <w:rPr>
                <w:rFonts w:hint="eastAsia" w:ascii="宋体" w:hAnsi="宋体"/>
                <w:b/>
              </w:rPr>
              <w:t>社会消费品零售总额</w:t>
            </w:r>
          </w:p>
        </w:tc>
      </w:tr>
      <w:tr w14:paraId="4619A5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3D1DAF3B">
            <w:pPr>
              <w:pStyle w:val="12"/>
              <w:jc w:val="center"/>
              <w:rPr>
                <w:rFonts w:ascii="宋体" w:hAnsi="宋体"/>
              </w:rPr>
            </w:pPr>
            <w:r>
              <w:rPr>
                <w:rFonts w:hint="eastAsia" w:ascii="宋体" w:hAnsi="宋体"/>
              </w:rPr>
              <w:t>国有</w:t>
            </w:r>
          </w:p>
        </w:tc>
        <w:tc>
          <w:tcPr>
            <w:tcW w:w="555" w:type="pct"/>
            <w:vAlign w:val="center"/>
          </w:tcPr>
          <w:p w14:paraId="62BC79F4">
            <w:pPr>
              <w:pStyle w:val="12"/>
              <w:jc w:val="center"/>
              <w:rPr>
                <w:rFonts w:ascii="宋体" w:hAnsi="宋体"/>
              </w:rPr>
            </w:pPr>
            <w:r>
              <w:rPr>
                <w:rFonts w:hint="eastAsia" w:ascii="宋体" w:hAnsi="宋体"/>
              </w:rPr>
              <w:t>2849</w:t>
            </w:r>
          </w:p>
        </w:tc>
        <w:tc>
          <w:tcPr>
            <w:tcW w:w="556" w:type="pct"/>
            <w:vAlign w:val="center"/>
          </w:tcPr>
          <w:p w14:paraId="26075D87">
            <w:pPr>
              <w:pStyle w:val="12"/>
              <w:jc w:val="center"/>
              <w:rPr>
                <w:rFonts w:ascii="宋体" w:hAnsi="宋体"/>
              </w:rPr>
            </w:pPr>
            <w:r>
              <w:rPr>
                <w:rFonts w:hint="eastAsia" w:ascii="宋体" w:hAnsi="宋体"/>
              </w:rPr>
              <w:t>2206</w:t>
            </w:r>
          </w:p>
        </w:tc>
        <w:tc>
          <w:tcPr>
            <w:tcW w:w="556" w:type="pct"/>
            <w:vAlign w:val="center"/>
          </w:tcPr>
          <w:p w14:paraId="594129E4">
            <w:pPr>
              <w:pStyle w:val="12"/>
              <w:jc w:val="center"/>
              <w:rPr>
                <w:rFonts w:ascii="宋体" w:hAnsi="宋体"/>
              </w:rPr>
            </w:pPr>
            <w:r>
              <w:rPr>
                <w:rFonts w:hint="eastAsia" w:ascii="宋体" w:hAnsi="宋体"/>
              </w:rPr>
              <w:t>37771</w:t>
            </w:r>
          </w:p>
        </w:tc>
        <w:tc>
          <w:tcPr>
            <w:tcW w:w="556" w:type="pct"/>
            <w:vAlign w:val="center"/>
          </w:tcPr>
          <w:p w14:paraId="5F66F1EE">
            <w:pPr>
              <w:pStyle w:val="12"/>
              <w:jc w:val="center"/>
              <w:rPr>
                <w:rFonts w:ascii="宋体" w:hAnsi="宋体"/>
              </w:rPr>
            </w:pPr>
            <w:r>
              <w:rPr>
                <w:rFonts w:hint="eastAsia" w:ascii="宋体" w:hAnsi="宋体"/>
              </w:rPr>
              <w:t>13078</w:t>
            </w:r>
          </w:p>
        </w:tc>
        <w:tc>
          <w:tcPr>
            <w:tcW w:w="556" w:type="pct"/>
            <w:vAlign w:val="center"/>
          </w:tcPr>
          <w:p w14:paraId="7E26A83F">
            <w:pPr>
              <w:pStyle w:val="12"/>
              <w:jc w:val="center"/>
              <w:rPr>
                <w:rFonts w:ascii="宋体" w:hAnsi="宋体"/>
              </w:rPr>
            </w:pPr>
            <w:r>
              <w:rPr>
                <w:rFonts w:hint="eastAsia" w:ascii="宋体" w:hAnsi="宋体"/>
              </w:rPr>
              <w:t>34140</w:t>
            </w:r>
          </w:p>
        </w:tc>
        <w:tc>
          <w:tcPr>
            <w:tcW w:w="556" w:type="pct"/>
            <w:vAlign w:val="center"/>
          </w:tcPr>
          <w:p w14:paraId="69109C82">
            <w:pPr>
              <w:pStyle w:val="12"/>
              <w:jc w:val="center"/>
              <w:rPr>
                <w:rFonts w:ascii="宋体" w:hAnsi="宋体"/>
              </w:rPr>
            </w:pPr>
            <w:r>
              <w:rPr>
                <w:rFonts w:hint="eastAsia" w:ascii="宋体" w:hAnsi="宋体"/>
              </w:rPr>
              <w:t>6018</w:t>
            </w:r>
          </w:p>
        </w:tc>
        <w:tc>
          <w:tcPr>
            <w:tcW w:w="556" w:type="pct"/>
            <w:vAlign w:val="center"/>
          </w:tcPr>
          <w:p w14:paraId="75F1B6C0">
            <w:pPr>
              <w:pStyle w:val="12"/>
              <w:jc w:val="center"/>
              <w:rPr>
                <w:rFonts w:ascii="宋体" w:hAnsi="宋体"/>
              </w:rPr>
            </w:pPr>
            <w:r>
              <w:rPr>
                <w:rFonts w:hint="eastAsia" w:ascii="宋体" w:hAnsi="宋体"/>
              </w:rPr>
              <w:t>10868</w:t>
            </w:r>
          </w:p>
        </w:tc>
        <w:tc>
          <w:tcPr>
            <w:tcW w:w="556" w:type="pct"/>
            <w:vAlign w:val="center"/>
          </w:tcPr>
          <w:p w14:paraId="15585D4B">
            <w:pPr>
              <w:pStyle w:val="12"/>
              <w:jc w:val="center"/>
              <w:rPr>
                <w:rFonts w:ascii="宋体" w:hAnsi="宋体"/>
              </w:rPr>
            </w:pPr>
            <w:r>
              <w:rPr>
                <w:rFonts w:hint="eastAsia" w:ascii="宋体" w:hAnsi="宋体"/>
              </w:rPr>
              <w:t>9125</w:t>
            </w:r>
          </w:p>
        </w:tc>
      </w:tr>
      <w:tr w14:paraId="3C79C4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08820AF4">
            <w:pPr>
              <w:pStyle w:val="12"/>
              <w:jc w:val="center"/>
              <w:rPr>
                <w:rFonts w:ascii="宋体" w:hAnsi="宋体"/>
              </w:rPr>
            </w:pPr>
            <w:r>
              <w:rPr>
                <w:rFonts w:hint="eastAsia" w:ascii="宋体" w:hAnsi="宋体"/>
              </w:rPr>
              <w:t>占比</w:t>
            </w:r>
          </w:p>
        </w:tc>
        <w:tc>
          <w:tcPr>
            <w:tcW w:w="555" w:type="pct"/>
            <w:vAlign w:val="center"/>
          </w:tcPr>
          <w:p w14:paraId="5B307372">
            <w:pPr>
              <w:pStyle w:val="12"/>
              <w:jc w:val="center"/>
              <w:rPr>
                <w:rFonts w:ascii="宋体" w:hAnsi="宋体"/>
              </w:rPr>
            </w:pPr>
            <w:r>
              <w:rPr>
                <w:rFonts w:hint="eastAsia" w:ascii="宋体" w:hAnsi="宋体"/>
              </w:rPr>
              <w:t>57.9</w:t>
            </w:r>
          </w:p>
        </w:tc>
        <w:tc>
          <w:tcPr>
            <w:tcW w:w="556" w:type="pct"/>
            <w:vAlign w:val="center"/>
          </w:tcPr>
          <w:p w14:paraId="2A4563A9">
            <w:pPr>
              <w:pStyle w:val="12"/>
              <w:jc w:val="center"/>
              <w:rPr>
                <w:rFonts w:ascii="宋体" w:hAnsi="宋体"/>
              </w:rPr>
            </w:pPr>
            <w:r>
              <w:rPr>
                <w:rFonts w:hint="eastAsia" w:ascii="宋体" w:hAnsi="宋体"/>
              </w:rPr>
              <w:t>45.6</w:t>
            </w:r>
          </w:p>
        </w:tc>
        <w:tc>
          <w:tcPr>
            <w:tcW w:w="556" w:type="pct"/>
            <w:vAlign w:val="center"/>
          </w:tcPr>
          <w:p w14:paraId="433AFCED">
            <w:pPr>
              <w:pStyle w:val="12"/>
              <w:jc w:val="center"/>
              <w:rPr>
                <w:rFonts w:ascii="宋体" w:hAnsi="宋体"/>
              </w:rPr>
            </w:pPr>
            <w:r>
              <w:rPr>
                <w:rFonts w:hint="eastAsia" w:ascii="宋体" w:hAnsi="宋体"/>
              </w:rPr>
              <w:t>27</w:t>
            </w:r>
          </w:p>
        </w:tc>
        <w:tc>
          <w:tcPr>
            <w:tcW w:w="556" w:type="pct"/>
            <w:vAlign w:val="center"/>
          </w:tcPr>
          <w:p w14:paraId="7E9B804B">
            <w:pPr>
              <w:pStyle w:val="12"/>
              <w:jc w:val="center"/>
              <w:rPr>
                <w:rFonts w:ascii="宋体" w:hAnsi="宋体"/>
              </w:rPr>
            </w:pPr>
            <w:r>
              <w:rPr>
                <w:rFonts w:hint="eastAsia" w:ascii="宋体" w:hAnsi="宋体"/>
              </w:rPr>
              <w:t>23.8</w:t>
            </w:r>
          </w:p>
        </w:tc>
        <w:tc>
          <w:tcPr>
            <w:tcW w:w="556" w:type="pct"/>
            <w:vAlign w:val="center"/>
          </w:tcPr>
          <w:p w14:paraId="2A900639">
            <w:pPr>
              <w:pStyle w:val="12"/>
              <w:jc w:val="center"/>
              <w:rPr>
                <w:rFonts w:ascii="宋体" w:hAnsi="宋体"/>
              </w:rPr>
            </w:pPr>
            <w:r>
              <w:rPr>
                <w:rFonts w:hint="eastAsia" w:ascii="宋体" w:hAnsi="宋体"/>
              </w:rPr>
              <w:t>24.4</w:t>
            </w:r>
          </w:p>
        </w:tc>
        <w:tc>
          <w:tcPr>
            <w:tcW w:w="556" w:type="pct"/>
            <w:vAlign w:val="center"/>
          </w:tcPr>
          <w:p w14:paraId="74CCF216">
            <w:pPr>
              <w:pStyle w:val="12"/>
              <w:jc w:val="center"/>
              <w:rPr>
                <w:rFonts w:ascii="宋体" w:hAnsi="宋体"/>
              </w:rPr>
            </w:pPr>
            <w:r>
              <w:rPr>
                <w:rFonts w:hint="eastAsia" w:ascii="宋体" w:hAnsi="宋体"/>
              </w:rPr>
              <w:t>8.2</w:t>
            </w:r>
          </w:p>
        </w:tc>
        <w:tc>
          <w:tcPr>
            <w:tcW w:w="556" w:type="pct"/>
            <w:vAlign w:val="center"/>
          </w:tcPr>
          <w:p w14:paraId="08DD395F">
            <w:pPr>
              <w:pStyle w:val="12"/>
              <w:jc w:val="center"/>
              <w:rPr>
                <w:rFonts w:ascii="宋体" w:hAnsi="宋体"/>
              </w:rPr>
            </w:pPr>
            <w:r>
              <w:rPr>
                <w:rFonts w:hint="eastAsia" w:ascii="宋体" w:hAnsi="宋体"/>
              </w:rPr>
              <w:t>5.7</w:t>
            </w:r>
          </w:p>
        </w:tc>
        <w:tc>
          <w:tcPr>
            <w:tcW w:w="556" w:type="pct"/>
            <w:vAlign w:val="center"/>
          </w:tcPr>
          <w:p w14:paraId="0AE193E7">
            <w:pPr>
              <w:pStyle w:val="12"/>
              <w:jc w:val="center"/>
              <w:rPr>
                <w:rFonts w:ascii="宋体" w:hAnsi="宋体"/>
              </w:rPr>
            </w:pPr>
            <w:r>
              <w:rPr>
                <w:rFonts w:hint="eastAsia" w:ascii="宋体" w:hAnsi="宋体"/>
              </w:rPr>
              <w:t>8</w:t>
            </w:r>
          </w:p>
        </w:tc>
      </w:tr>
      <w:tr w14:paraId="71A332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1038248F">
            <w:pPr>
              <w:pStyle w:val="12"/>
              <w:jc w:val="center"/>
              <w:rPr>
                <w:rFonts w:ascii="宋体" w:hAnsi="宋体"/>
              </w:rPr>
            </w:pPr>
            <w:r>
              <w:rPr>
                <w:rFonts w:hint="eastAsia" w:ascii="宋体" w:hAnsi="宋体"/>
              </w:rPr>
              <w:t>集体</w:t>
            </w:r>
          </w:p>
        </w:tc>
        <w:tc>
          <w:tcPr>
            <w:tcW w:w="555" w:type="pct"/>
            <w:vAlign w:val="center"/>
          </w:tcPr>
          <w:p w14:paraId="64DE5C28">
            <w:pPr>
              <w:pStyle w:val="12"/>
              <w:jc w:val="center"/>
              <w:rPr>
                <w:rFonts w:ascii="宋体" w:hAnsi="宋体"/>
              </w:rPr>
            </w:pPr>
            <w:r>
              <w:rPr>
                <w:rFonts w:hint="eastAsia" w:ascii="宋体" w:hAnsi="宋体"/>
              </w:rPr>
              <w:t>2075</w:t>
            </w:r>
          </w:p>
        </w:tc>
        <w:tc>
          <w:tcPr>
            <w:tcW w:w="556" w:type="pct"/>
            <w:vAlign w:val="center"/>
          </w:tcPr>
          <w:p w14:paraId="70DCBFA0">
            <w:pPr>
              <w:pStyle w:val="12"/>
              <w:jc w:val="center"/>
              <w:rPr>
                <w:rFonts w:ascii="宋体" w:hAnsi="宋体"/>
              </w:rPr>
            </w:pPr>
            <w:r>
              <w:rPr>
                <w:rFonts w:hint="eastAsia" w:ascii="宋体" w:hAnsi="宋体"/>
              </w:rPr>
              <w:t>2543</w:t>
            </w:r>
          </w:p>
        </w:tc>
        <w:tc>
          <w:tcPr>
            <w:tcW w:w="556" w:type="pct"/>
            <w:vAlign w:val="center"/>
          </w:tcPr>
          <w:p w14:paraId="12C0AEA8">
            <w:pPr>
              <w:pStyle w:val="12"/>
              <w:jc w:val="center"/>
              <w:rPr>
                <w:rFonts w:ascii="宋体" w:hAnsi="宋体"/>
              </w:rPr>
            </w:pPr>
            <w:r>
              <w:rPr>
                <w:rFonts w:hint="eastAsia" w:ascii="宋体" w:hAnsi="宋体"/>
              </w:rPr>
              <w:t>47004</w:t>
            </w:r>
          </w:p>
        </w:tc>
        <w:tc>
          <w:tcPr>
            <w:tcW w:w="556" w:type="pct"/>
            <w:vAlign w:val="center"/>
          </w:tcPr>
          <w:p w14:paraId="7487FFC6">
            <w:pPr>
              <w:pStyle w:val="12"/>
              <w:jc w:val="center"/>
              <w:rPr>
                <w:rFonts w:ascii="宋体" w:hAnsi="宋体"/>
              </w:rPr>
            </w:pPr>
            <w:r>
              <w:rPr>
                <w:rFonts w:hint="eastAsia" w:ascii="宋体" w:hAnsi="宋体"/>
              </w:rPr>
              <w:t>3664</w:t>
            </w:r>
          </w:p>
        </w:tc>
        <w:tc>
          <w:tcPr>
            <w:tcW w:w="556" w:type="pct"/>
            <w:vAlign w:val="center"/>
          </w:tcPr>
          <w:p w14:paraId="4FCB9B6F">
            <w:pPr>
              <w:pStyle w:val="12"/>
              <w:jc w:val="center"/>
              <w:rPr>
                <w:rFonts w:ascii="宋体" w:hAnsi="宋体"/>
              </w:rPr>
            </w:pPr>
            <w:r>
              <w:rPr>
                <w:rFonts w:hint="eastAsia" w:ascii="宋体" w:hAnsi="宋体"/>
              </w:rPr>
              <w:t>24155</w:t>
            </w:r>
          </w:p>
        </w:tc>
        <w:tc>
          <w:tcPr>
            <w:tcW w:w="556" w:type="pct"/>
            <w:vAlign w:val="center"/>
          </w:tcPr>
          <w:p w14:paraId="578535F4">
            <w:pPr>
              <w:pStyle w:val="12"/>
              <w:jc w:val="center"/>
              <w:rPr>
                <w:rFonts w:ascii="宋体" w:hAnsi="宋体"/>
              </w:rPr>
            </w:pPr>
            <w:r>
              <w:rPr>
                <w:rFonts w:hint="eastAsia" w:ascii="宋体" w:hAnsi="宋体"/>
              </w:rPr>
              <w:t>1564</w:t>
            </w:r>
          </w:p>
        </w:tc>
        <w:tc>
          <w:tcPr>
            <w:tcW w:w="556" w:type="pct"/>
            <w:vAlign w:val="center"/>
          </w:tcPr>
          <w:p w14:paraId="40057DDC">
            <w:pPr>
              <w:pStyle w:val="12"/>
              <w:jc w:val="center"/>
              <w:rPr>
                <w:rFonts w:ascii="宋体" w:hAnsi="宋体"/>
              </w:rPr>
            </w:pPr>
            <w:r>
              <w:rPr>
                <w:rFonts w:hint="eastAsia" w:ascii="宋体" w:hAnsi="宋体"/>
              </w:rPr>
              <w:t>—</w:t>
            </w:r>
          </w:p>
        </w:tc>
        <w:tc>
          <w:tcPr>
            <w:tcW w:w="556" w:type="pct"/>
            <w:vAlign w:val="center"/>
          </w:tcPr>
          <w:p w14:paraId="40E5A46A">
            <w:pPr>
              <w:pStyle w:val="12"/>
              <w:jc w:val="center"/>
              <w:rPr>
                <w:rFonts w:ascii="宋体" w:hAnsi="宋体"/>
              </w:rPr>
            </w:pPr>
            <w:r>
              <w:rPr>
                <w:rFonts w:hint="eastAsia" w:ascii="宋体" w:hAnsi="宋体"/>
              </w:rPr>
              <w:t>2120</w:t>
            </w:r>
          </w:p>
        </w:tc>
      </w:tr>
      <w:tr w14:paraId="7B30F4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22263DF3">
            <w:pPr>
              <w:pStyle w:val="12"/>
              <w:jc w:val="center"/>
              <w:rPr>
                <w:rFonts w:ascii="宋体" w:hAnsi="宋体"/>
              </w:rPr>
            </w:pPr>
            <w:r>
              <w:rPr>
                <w:rFonts w:hint="eastAsia" w:ascii="宋体" w:hAnsi="宋体"/>
              </w:rPr>
              <w:t>占比</w:t>
            </w:r>
          </w:p>
        </w:tc>
        <w:tc>
          <w:tcPr>
            <w:tcW w:w="555" w:type="pct"/>
            <w:vAlign w:val="center"/>
          </w:tcPr>
          <w:p w14:paraId="79E578A5">
            <w:pPr>
              <w:pStyle w:val="12"/>
              <w:jc w:val="center"/>
              <w:rPr>
                <w:rFonts w:ascii="宋体" w:hAnsi="宋体"/>
              </w:rPr>
            </w:pPr>
            <w:r>
              <w:rPr>
                <w:rFonts w:hint="eastAsia" w:ascii="宋体" w:hAnsi="宋体"/>
              </w:rPr>
              <w:t>42.1</w:t>
            </w:r>
          </w:p>
        </w:tc>
        <w:tc>
          <w:tcPr>
            <w:tcW w:w="556" w:type="pct"/>
            <w:vAlign w:val="center"/>
          </w:tcPr>
          <w:p w14:paraId="7889F267">
            <w:pPr>
              <w:pStyle w:val="12"/>
              <w:jc w:val="center"/>
              <w:rPr>
                <w:rFonts w:ascii="宋体" w:hAnsi="宋体"/>
              </w:rPr>
            </w:pPr>
            <w:r>
              <w:rPr>
                <w:rFonts w:hint="eastAsia" w:ascii="宋体" w:hAnsi="宋体"/>
              </w:rPr>
              <w:t>52.4</w:t>
            </w:r>
          </w:p>
        </w:tc>
        <w:tc>
          <w:tcPr>
            <w:tcW w:w="556" w:type="pct"/>
            <w:vAlign w:val="center"/>
          </w:tcPr>
          <w:p w14:paraId="596846AB">
            <w:pPr>
              <w:pStyle w:val="12"/>
              <w:jc w:val="center"/>
              <w:rPr>
                <w:rFonts w:ascii="宋体" w:hAnsi="宋体"/>
              </w:rPr>
            </w:pPr>
            <w:r>
              <w:rPr>
                <w:rFonts w:hint="eastAsia" w:ascii="宋体" w:hAnsi="宋体"/>
              </w:rPr>
              <w:t>33.6</w:t>
            </w:r>
          </w:p>
        </w:tc>
        <w:tc>
          <w:tcPr>
            <w:tcW w:w="556" w:type="pct"/>
            <w:vAlign w:val="center"/>
          </w:tcPr>
          <w:p w14:paraId="1D61E725">
            <w:pPr>
              <w:pStyle w:val="12"/>
              <w:jc w:val="center"/>
              <w:rPr>
                <w:rFonts w:ascii="宋体" w:hAnsi="宋体"/>
              </w:rPr>
            </w:pPr>
            <w:r>
              <w:rPr>
                <w:rFonts w:hint="eastAsia" w:ascii="宋体" w:hAnsi="宋体"/>
              </w:rPr>
              <w:t>6.68</w:t>
            </w:r>
          </w:p>
        </w:tc>
        <w:tc>
          <w:tcPr>
            <w:tcW w:w="556" w:type="pct"/>
            <w:vAlign w:val="center"/>
          </w:tcPr>
          <w:p w14:paraId="1B984CE2">
            <w:pPr>
              <w:pStyle w:val="12"/>
              <w:jc w:val="center"/>
              <w:rPr>
                <w:rFonts w:ascii="宋体" w:hAnsi="宋体"/>
              </w:rPr>
            </w:pPr>
            <w:r>
              <w:rPr>
                <w:rFonts w:hint="eastAsia" w:ascii="宋体" w:hAnsi="宋体"/>
              </w:rPr>
              <w:t>17.2</w:t>
            </w:r>
          </w:p>
        </w:tc>
        <w:tc>
          <w:tcPr>
            <w:tcW w:w="556" w:type="pct"/>
            <w:vAlign w:val="center"/>
          </w:tcPr>
          <w:p w14:paraId="4E7C9FAB">
            <w:pPr>
              <w:pStyle w:val="12"/>
              <w:jc w:val="center"/>
              <w:rPr>
                <w:rFonts w:ascii="宋体" w:hAnsi="宋体"/>
              </w:rPr>
            </w:pPr>
            <w:r>
              <w:rPr>
                <w:rFonts w:hint="eastAsia" w:ascii="宋体" w:hAnsi="宋体"/>
              </w:rPr>
              <w:t>2.1</w:t>
            </w:r>
          </w:p>
        </w:tc>
        <w:tc>
          <w:tcPr>
            <w:tcW w:w="556" w:type="pct"/>
            <w:vAlign w:val="center"/>
          </w:tcPr>
          <w:p w14:paraId="6A4E7B2A">
            <w:pPr>
              <w:pStyle w:val="12"/>
              <w:jc w:val="center"/>
              <w:rPr>
                <w:rFonts w:ascii="宋体" w:hAnsi="宋体"/>
              </w:rPr>
            </w:pPr>
            <w:r>
              <w:rPr>
                <w:rFonts w:hint="eastAsia" w:ascii="宋体" w:hAnsi="宋体"/>
              </w:rPr>
              <w:t>—</w:t>
            </w:r>
          </w:p>
        </w:tc>
        <w:tc>
          <w:tcPr>
            <w:tcW w:w="556" w:type="pct"/>
            <w:vAlign w:val="center"/>
          </w:tcPr>
          <w:p w14:paraId="0020D0EC">
            <w:pPr>
              <w:pStyle w:val="12"/>
              <w:jc w:val="center"/>
              <w:rPr>
                <w:rFonts w:ascii="宋体" w:hAnsi="宋体"/>
              </w:rPr>
            </w:pPr>
            <w:r>
              <w:rPr>
                <w:rFonts w:hint="eastAsia" w:ascii="宋体" w:hAnsi="宋体"/>
              </w:rPr>
              <w:t>1.9</w:t>
            </w:r>
          </w:p>
        </w:tc>
      </w:tr>
      <w:tr w14:paraId="757C81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308CF2CA">
            <w:pPr>
              <w:pStyle w:val="12"/>
              <w:jc w:val="center"/>
              <w:rPr>
                <w:rFonts w:ascii="宋体" w:hAnsi="宋体"/>
              </w:rPr>
            </w:pPr>
            <w:r>
              <w:rPr>
                <w:rFonts w:hint="eastAsia" w:ascii="宋体" w:hAnsi="宋体"/>
              </w:rPr>
              <w:t>私有（个</w:t>
            </w:r>
            <w:r>
              <w:rPr>
                <w:rFonts w:hint="eastAsia" w:ascii="宋体" w:hAnsi="宋体" w:cs="宋体"/>
              </w:rPr>
              <w:t>体与私营）</w:t>
            </w:r>
          </w:p>
        </w:tc>
        <w:tc>
          <w:tcPr>
            <w:tcW w:w="555" w:type="pct"/>
            <w:vAlign w:val="center"/>
          </w:tcPr>
          <w:p w14:paraId="1B7CBCC7">
            <w:pPr>
              <w:pStyle w:val="12"/>
              <w:jc w:val="center"/>
              <w:rPr>
                <w:rFonts w:ascii="宋体" w:hAnsi="宋体"/>
              </w:rPr>
            </w:pPr>
            <w:r>
              <w:rPr>
                <w:rFonts w:hint="eastAsia" w:ascii="宋体" w:hAnsi="宋体"/>
              </w:rPr>
              <w:t>—</w:t>
            </w:r>
          </w:p>
        </w:tc>
        <w:tc>
          <w:tcPr>
            <w:tcW w:w="556" w:type="pct"/>
            <w:vAlign w:val="center"/>
          </w:tcPr>
          <w:p w14:paraId="125C2401">
            <w:pPr>
              <w:pStyle w:val="12"/>
              <w:jc w:val="center"/>
              <w:rPr>
                <w:rFonts w:ascii="宋体" w:hAnsi="宋体"/>
              </w:rPr>
            </w:pPr>
            <w:r>
              <w:rPr>
                <w:rFonts w:hint="eastAsia" w:ascii="宋体" w:hAnsi="宋体"/>
              </w:rPr>
              <w:t>97</w:t>
            </w:r>
          </w:p>
        </w:tc>
        <w:tc>
          <w:tcPr>
            <w:tcW w:w="556" w:type="pct"/>
            <w:vAlign w:val="center"/>
          </w:tcPr>
          <w:p w14:paraId="3B6FE373">
            <w:pPr>
              <w:pStyle w:val="12"/>
              <w:jc w:val="center"/>
              <w:rPr>
                <w:rFonts w:ascii="宋体" w:hAnsi="宋体"/>
              </w:rPr>
            </w:pPr>
            <w:r>
              <w:rPr>
                <w:rFonts w:hint="eastAsia" w:ascii="宋体" w:hAnsi="宋体"/>
              </w:rPr>
              <w:t>55118</w:t>
            </w:r>
          </w:p>
        </w:tc>
        <w:tc>
          <w:tcPr>
            <w:tcW w:w="556" w:type="pct"/>
            <w:vAlign w:val="center"/>
          </w:tcPr>
          <w:p w14:paraId="4993EF1A">
            <w:pPr>
              <w:pStyle w:val="12"/>
              <w:jc w:val="center"/>
              <w:rPr>
                <w:rFonts w:ascii="宋体" w:hAnsi="宋体"/>
              </w:rPr>
            </w:pPr>
            <w:r>
              <w:rPr>
                <w:rFonts w:hint="eastAsia" w:ascii="宋体" w:hAnsi="宋体"/>
              </w:rPr>
              <w:t>27620</w:t>
            </w:r>
          </w:p>
        </w:tc>
        <w:tc>
          <w:tcPr>
            <w:tcW w:w="556" w:type="pct"/>
            <w:vAlign w:val="center"/>
          </w:tcPr>
          <w:p w14:paraId="40EE739B">
            <w:pPr>
              <w:pStyle w:val="12"/>
              <w:jc w:val="center"/>
              <w:rPr>
                <w:rFonts w:ascii="宋体" w:hAnsi="宋体"/>
              </w:rPr>
            </w:pPr>
            <w:r>
              <w:rPr>
                <w:rFonts w:hint="eastAsia" w:ascii="宋体" w:hAnsi="宋体"/>
              </w:rPr>
              <w:t>81907</w:t>
            </w:r>
          </w:p>
        </w:tc>
        <w:tc>
          <w:tcPr>
            <w:tcW w:w="556" w:type="pct"/>
            <w:vAlign w:val="center"/>
          </w:tcPr>
          <w:p w14:paraId="62E3D293">
            <w:pPr>
              <w:pStyle w:val="12"/>
              <w:jc w:val="center"/>
              <w:rPr>
                <w:rFonts w:ascii="宋体" w:hAnsi="宋体"/>
              </w:rPr>
            </w:pPr>
            <w:r>
              <w:rPr>
                <w:rFonts w:hint="eastAsia" w:ascii="宋体" w:hAnsi="宋体"/>
              </w:rPr>
              <w:t>66066</w:t>
            </w:r>
          </w:p>
        </w:tc>
        <w:tc>
          <w:tcPr>
            <w:tcW w:w="556" w:type="pct"/>
            <w:vAlign w:val="center"/>
          </w:tcPr>
          <w:p w14:paraId="7C49E398">
            <w:pPr>
              <w:pStyle w:val="12"/>
              <w:jc w:val="center"/>
              <w:rPr>
                <w:rFonts w:ascii="宋体" w:hAnsi="宋体"/>
              </w:rPr>
            </w:pPr>
            <w:r>
              <w:rPr>
                <w:rFonts w:hint="eastAsia" w:ascii="宋体" w:hAnsi="宋体"/>
              </w:rPr>
              <w:t>127990</w:t>
            </w:r>
          </w:p>
        </w:tc>
        <w:tc>
          <w:tcPr>
            <w:tcW w:w="556" w:type="pct"/>
            <w:vAlign w:val="center"/>
          </w:tcPr>
          <w:p w14:paraId="6F5DD43E">
            <w:pPr>
              <w:pStyle w:val="12"/>
              <w:jc w:val="center"/>
              <w:rPr>
                <w:rFonts w:ascii="宋体" w:hAnsi="宋体"/>
              </w:rPr>
            </w:pPr>
            <w:r>
              <w:rPr>
                <w:rFonts w:hint="eastAsia" w:ascii="宋体" w:hAnsi="宋体"/>
              </w:rPr>
              <w:t>102880</w:t>
            </w:r>
          </w:p>
        </w:tc>
      </w:tr>
      <w:tr w14:paraId="4672C3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59BBDBB7">
            <w:pPr>
              <w:pStyle w:val="12"/>
              <w:jc w:val="center"/>
              <w:rPr>
                <w:rFonts w:ascii="宋体" w:hAnsi="宋体"/>
              </w:rPr>
            </w:pPr>
            <w:r>
              <w:rPr>
                <w:rFonts w:hint="eastAsia" w:ascii="宋体" w:hAnsi="宋体"/>
              </w:rPr>
              <w:t>占比</w:t>
            </w:r>
          </w:p>
        </w:tc>
        <w:tc>
          <w:tcPr>
            <w:tcW w:w="555" w:type="pct"/>
            <w:vAlign w:val="center"/>
          </w:tcPr>
          <w:p w14:paraId="29AEE61C">
            <w:pPr>
              <w:pStyle w:val="12"/>
              <w:jc w:val="center"/>
              <w:rPr>
                <w:rFonts w:ascii="宋体" w:hAnsi="宋体"/>
              </w:rPr>
            </w:pPr>
            <w:r>
              <w:rPr>
                <w:rFonts w:hint="eastAsia" w:ascii="宋体" w:hAnsi="宋体"/>
              </w:rPr>
              <w:t>—</w:t>
            </w:r>
          </w:p>
        </w:tc>
        <w:tc>
          <w:tcPr>
            <w:tcW w:w="556" w:type="pct"/>
            <w:vAlign w:val="center"/>
          </w:tcPr>
          <w:p w14:paraId="4810BAE3">
            <w:pPr>
              <w:pStyle w:val="12"/>
              <w:jc w:val="center"/>
              <w:rPr>
                <w:rFonts w:ascii="宋体" w:hAnsi="宋体"/>
              </w:rPr>
            </w:pPr>
            <w:r>
              <w:rPr>
                <w:rFonts w:hint="eastAsia" w:ascii="宋体" w:hAnsi="宋体"/>
              </w:rPr>
              <w:t>2</w:t>
            </w:r>
          </w:p>
        </w:tc>
        <w:tc>
          <w:tcPr>
            <w:tcW w:w="556" w:type="pct"/>
            <w:vAlign w:val="center"/>
          </w:tcPr>
          <w:p w14:paraId="3D639763">
            <w:pPr>
              <w:pStyle w:val="12"/>
              <w:jc w:val="center"/>
              <w:rPr>
                <w:rFonts w:ascii="宋体" w:hAnsi="宋体"/>
              </w:rPr>
            </w:pPr>
            <w:r>
              <w:rPr>
                <w:rFonts w:hint="eastAsia" w:ascii="宋体" w:hAnsi="宋体"/>
              </w:rPr>
              <w:t>39.4</w:t>
            </w:r>
          </w:p>
        </w:tc>
        <w:tc>
          <w:tcPr>
            <w:tcW w:w="556" w:type="pct"/>
            <w:vAlign w:val="center"/>
          </w:tcPr>
          <w:p w14:paraId="682E6156">
            <w:pPr>
              <w:pStyle w:val="12"/>
              <w:jc w:val="center"/>
              <w:rPr>
                <w:rFonts w:ascii="宋体" w:hAnsi="宋体"/>
              </w:rPr>
            </w:pPr>
            <w:r>
              <w:rPr>
                <w:rFonts w:hint="eastAsia" w:ascii="宋体" w:hAnsi="宋体"/>
              </w:rPr>
              <w:t>50.30</w:t>
            </w:r>
          </w:p>
        </w:tc>
        <w:tc>
          <w:tcPr>
            <w:tcW w:w="556" w:type="pct"/>
            <w:vAlign w:val="center"/>
          </w:tcPr>
          <w:p w14:paraId="04A1F2EB">
            <w:pPr>
              <w:pStyle w:val="12"/>
              <w:jc w:val="center"/>
              <w:rPr>
                <w:rFonts w:ascii="宋体" w:hAnsi="宋体"/>
              </w:rPr>
            </w:pPr>
            <w:r>
              <w:rPr>
                <w:rFonts w:hint="eastAsia" w:ascii="宋体" w:hAnsi="宋体"/>
              </w:rPr>
              <w:t>58.4</w:t>
            </w:r>
          </w:p>
        </w:tc>
        <w:tc>
          <w:tcPr>
            <w:tcW w:w="556" w:type="pct"/>
            <w:vAlign w:val="center"/>
          </w:tcPr>
          <w:p w14:paraId="071CC836">
            <w:pPr>
              <w:pStyle w:val="12"/>
              <w:jc w:val="center"/>
              <w:rPr>
                <w:rFonts w:ascii="宋体" w:hAnsi="宋体"/>
              </w:rPr>
            </w:pPr>
            <w:r>
              <w:rPr>
                <w:rFonts w:hint="eastAsia" w:ascii="宋体" w:hAnsi="宋体"/>
              </w:rPr>
              <w:t>89.7</w:t>
            </w:r>
          </w:p>
        </w:tc>
        <w:tc>
          <w:tcPr>
            <w:tcW w:w="556" w:type="pct"/>
            <w:vAlign w:val="center"/>
          </w:tcPr>
          <w:p w14:paraId="2BEBB67C">
            <w:pPr>
              <w:pStyle w:val="12"/>
              <w:jc w:val="center"/>
              <w:rPr>
                <w:rFonts w:ascii="宋体" w:hAnsi="宋体"/>
              </w:rPr>
            </w:pPr>
            <w:r>
              <w:rPr>
                <w:rFonts w:hint="eastAsia" w:ascii="宋体" w:hAnsi="宋体"/>
              </w:rPr>
              <w:t>67.2</w:t>
            </w:r>
          </w:p>
        </w:tc>
        <w:tc>
          <w:tcPr>
            <w:tcW w:w="556" w:type="pct"/>
            <w:vAlign w:val="center"/>
          </w:tcPr>
          <w:p w14:paraId="214BD851">
            <w:pPr>
              <w:pStyle w:val="12"/>
              <w:jc w:val="center"/>
              <w:rPr>
                <w:rFonts w:ascii="宋体" w:hAnsi="宋体"/>
              </w:rPr>
            </w:pPr>
            <w:r>
              <w:rPr>
                <w:rFonts w:hint="eastAsia" w:ascii="宋体" w:hAnsi="宋体"/>
              </w:rPr>
              <w:t>90.0</w:t>
            </w:r>
          </w:p>
        </w:tc>
      </w:tr>
      <w:tr w14:paraId="0E8D68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065EE8DE">
            <w:pPr>
              <w:pStyle w:val="12"/>
              <w:jc w:val="center"/>
              <w:rPr>
                <w:rFonts w:ascii="宋体" w:hAnsi="宋体"/>
              </w:rPr>
            </w:pPr>
            <w:r>
              <w:rPr>
                <w:rFonts w:hint="eastAsia" w:ascii="宋体" w:hAnsi="宋体"/>
              </w:rPr>
              <w:t>股份制</w:t>
            </w:r>
          </w:p>
        </w:tc>
        <w:tc>
          <w:tcPr>
            <w:tcW w:w="555" w:type="pct"/>
            <w:vAlign w:val="center"/>
          </w:tcPr>
          <w:p w14:paraId="756CDB47">
            <w:pPr>
              <w:pStyle w:val="12"/>
              <w:jc w:val="center"/>
              <w:rPr>
                <w:rFonts w:ascii="宋体" w:hAnsi="宋体"/>
              </w:rPr>
            </w:pPr>
            <w:r>
              <w:rPr>
                <w:rFonts w:hint="eastAsia" w:ascii="宋体" w:hAnsi="宋体"/>
              </w:rPr>
              <w:t>—</w:t>
            </w:r>
          </w:p>
        </w:tc>
        <w:tc>
          <w:tcPr>
            <w:tcW w:w="556" w:type="pct"/>
            <w:vAlign w:val="center"/>
          </w:tcPr>
          <w:p w14:paraId="24E2C3F6">
            <w:pPr>
              <w:pStyle w:val="12"/>
              <w:jc w:val="center"/>
              <w:rPr>
                <w:rFonts w:ascii="宋体" w:hAnsi="宋体"/>
              </w:rPr>
            </w:pPr>
            <w:r>
              <w:rPr>
                <w:rFonts w:hint="eastAsia" w:ascii="宋体" w:hAnsi="宋体"/>
              </w:rPr>
              <w:t>—</w:t>
            </w:r>
          </w:p>
        </w:tc>
        <w:tc>
          <w:tcPr>
            <w:tcW w:w="556" w:type="pct"/>
            <w:vAlign w:val="center"/>
          </w:tcPr>
          <w:p w14:paraId="55FB8899">
            <w:pPr>
              <w:pStyle w:val="12"/>
              <w:jc w:val="center"/>
              <w:rPr>
                <w:rFonts w:ascii="宋体" w:hAnsi="宋体"/>
              </w:rPr>
            </w:pPr>
            <w:r>
              <w:rPr>
                <w:rFonts w:hint="eastAsia" w:ascii="宋体" w:hAnsi="宋体"/>
              </w:rPr>
              <w:t>—</w:t>
            </w:r>
          </w:p>
        </w:tc>
        <w:tc>
          <w:tcPr>
            <w:tcW w:w="556" w:type="pct"/>
            <w:vAlign w:val="center"/>
          </w:tcPr>
          <w:p w14:paraId="3416B34A">
            <w:pPr>
              <w:pStyle w:val="12"/>
              <w:jc w:val="center"/>
              <w:rPr>
                <w:rFonts w:ascii="宋体" w:hAnsi="宋体"/>
              </w:rPr>
            </w:pPr>
            <w:r>
              <w:rPr>
                <w:rFonts w:hint="eastAsia" w:ascii="宋体" w:hAnsi="宋体"/>
              </w:rPr>
              <w:t>1027</w:t>
            </w:r>
          </w:p>
        </w:tc>
        <w:tc>
          <w:tcPr>
            <w:tcW w:w="556" w:type="pct"/>
            <w:vAlign w:val="center"/>
          </w:tcPr>
          <w:p w14:paraId="355F0750">
            <w:pPr>
              <w:pStyle w:val="12"/>
              <w:jc w:val="center"/>
              <w:rPr>
                <w:rFonts w:ascii="宋体" w:hAnsi="宋体"/>
              </w:rPr>
            </w:pPr>
            <w:r>
              <w:rPr>
                <w:rFonts w:hint="eastAsia" w:ascii="宋体" w:hAnsi="宋体"/>
              </w:rPr>
              <w:t>—</w:t>
            </w:r>
          </w:p>
        </w:tc>
        <w:tc>
          <w:tcPr>
            <w:tcW w:w="556" w:type="pct"/>
            <w:vAlign w:val="center"/>
          </w:tcPr>
          <w:p w14:paraId="69624132">
            <w:pPr>
              <w:pStyle w:val="12"/>
              <w:jc w:val="center"/>
              <w:rPr>
                <w:rFonts w:ascii="宋体" w:hAnsi="宋体"/>
              </w:rPr>
            </w:pPr>
            <w:r>
              <w:rPr>
                <w:rFonts w:hint="eastAsia" w:ascii="宋体" w:hAnsi="宋体"/>
              </w:rPr>
              <w:t>—</w:t>
            </w:r>
          </w:p>
        </w:tc>
        <w:tc>
          <w:tcPr>
            <w:tcW w:w="556" w:type="pct"/>
            <w:vAlign w:val="center"/>
          </w:tcPr>
          <w:p w14:paraId="34D2248D">
            <w:pPr>
              <w:pStyle w:val="12"/>
              <w:jc w:val="center"/>
              <w:rPr>
                <w:rFonts w:ascii="宋体" w:hAnsi="宋体"/>
              </w:rPr>
            </w:pPr>
            <w:r>
              <w:rPr>
                <w:rFonts w:hint="eastAsia" w:ascii="宋体" w:hAnsi="宋体"/>
              </w:rPr>
              <w:t>26512</w:t>
            </w:r>
          </w:p>
        </w:tc>
        <w:tc>
          <w:tcPr>
            <w:tcW w:w="556" w:type="pct"/>
            <w:vAlign w:val="center"/>
          </w:tcPr>
          <w:p w14:paraId="6EAAFED6">
            <w:pPr>
              <w:pStyle w:val="12"/>
              <w:jc w:val="center"/>
              <w:rPr>
                <w:rFonts w:ascii="宋体" w:hAnsi="宋体"/>
              </w:rPr>
            </w:pPr>
            <w:r>
              <w:rPr>
                <w:rFonts w:hint="eastAsia" w:ascii="宋体" w:hAnsi="宋体"/>
              </w:rPr>
              <w:t>—</w:t>
            </w:r>
          </w:p>
        </w:tc>
      </w:tr>
      <w:tr w14:paraId="7933A5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56983747">
            <w:pPr>
              <w:pStyle w:val="12"/>
              <w:jc w:val="center"/>
              <w:rPr>
                <w:rFonts w:ascii="宋体" w:hAnsi="宋体"/>
              </w:rPr>
            </w:pPr>
            <w:r>
              <w:rPr>
                <w:rFonts w:hint="eastAsia" w:ascii="宋体" w:hAnsi="宋体"/>
              </w:rPr>
              <w:t>占比</w:t>
            </w:r>
          </w:p>
        </w:tc>
        <w:tc>
          <w:tcPr>
            <w:tcW w:w="555" w:type="pct"/>
            <w:vAlign w:val="center"/>
          </w:tcPr>
          <w:p w14:paraId="4CC1BCB0">
            <w:pPr>
              <w:pStyle w:val="12"/>
              <w:jc w:val="center"/>
              <w:rPr>
                <w:rFonts w:ascii="宋体" w:hAnsi="宋体"/>
              </w:rPr>
            </w:pPr>
            <w:r>
              <w:rPr>
                <w:rFonts w:hint="eastAsia" w:ascii="宋体" w:hAnsi="宋体"/>
              </w:rPr>
              <w:t>—</w:t>
            </w:r>
          </w:p>
        </w:tc>
        <w:tc>
          <w:tcPr>
            <w:tcW w:w="556" w:type="pct"/>
            <w:vAlign w:val="center"/>
          </w:tcPr>
          <w:p w14:paraId="64F8F628">
            <w:pPr>
              <w:pStyle w:val="12"/>
              <w:jc w:val="center"/>
              <w:rPr>
                <w:rFonts w:ascii="宋体" w:hAnsi="宋体"/>
              </w:rPr>
            </w:pPr>
            <w:r>
              <w:rPr>
                <w:rFonts w:hint="eastAsia" w:ascii="宋体" w:hAnsi="宋体"/>
              </w:rPr>
              <w:t>—</w:t>
            </w:r>
          </w:p>
        </w:tc>
        <w:tc>
          <w:tcPr>
            <w:tcW w:w="556" w:type="pct"/>
            <w:vAlign w:val="center"/>
          </w:tcPr>
          <w:p w14:paraId="3371765E">
            <w:pPr>
              <w:pStyle w:val="12"/>
              <w:jc w:val="center"/>
              <w:rPr>
                <w:rFonts w:ascii="宋体" w:hAnsi="宋体"/>
              </w:rPr>
            </w:pPr>
            <w:r>
              <w:rPr>
                <w:rFonts w:hint="eastAsia" w:ascii="宋体" w:hAnsi="宋体"/>
              </w:rPr>
              <w:t>—</w:t>
            </w:r>
          </w:p>
        </w:tc>
        <w:tc>
          <w:tcPr>
            <w:tcW w:w="556" w:type="pct"/>
            <w:vAlign w:val="center"/>
          </w:tcPr>
          <w:p w14:paraId="2061D525">
            <w:pPr>
              <w:pStyle w:val="12"/>
              <w:jc w:val="center"/>
              <w:rPr>
                <w:rFonts w:ascii="宋体" w:hAnsi="宋体"/>
              </w:rPr>
            </w:pPr>
            <w:r>
              <w:rPr>
                <w:rFonts w:hint="eastAsia" w:ascii="宋体" w:hAnsi="宋体"/>
              </w:rPr>
              <w:t>1.87</w:t>
            </w:r>
          </w:p>
        </w:tc>
        <w:tc>
          <w:tcPr>
            <w:tcW w:w="556" w:type="pct"/>
            <w:vAlign w:val="center"/>
          </w:tcPr>
          <w:p w14:paraId="35896D23">
            <w:pPr>
              <w:pStyle w:val="12"/>
              <w:jc w:val="center"/>
              <w:rPr>
                <w:rFonts w:ascii="宋体" w:hAnsi="宋体"/>
              </w:rPr>
            </w:pPr>
            <w:r>
              <w:rPr>
                <w:rFonts w:hint="eastAsia" w:ascii="宋体" w:hAnsi="宋体"/>
              </w:rPr>
              <w:t>—</w:t>
            </w:r>
          </w:p>
        </w:tc>
        <w:tc>
          <w:tcPr>
            <w:tcW w:w="556" w:type="pct"/>
            <w:vAlign w:val="center"/>
          </w:tcPr>
          <w:p w14:paraId="3154EBDD">
            <w:pPr>
              <w:pStyle w:val="12"/>
              <w:jc w:val="center"/>
              <w:rPr>
                <w:rFonts w:ascii="宋体" w:hAnsi="宋体"/>
              </w:rPr>
            </w:pPr>
            <w:r>
              <w:rPr>
                <w:rFonts w:hint="eastAsia" w:ascii="宋体" w:hAnsi="宋体"/>
              </w:rPr>
              <w:t>—</w:t>
            </w:r>
          </w:p>
        </w:tc>
        <w:tc>
          <w:tcPr>
            <w:tcW w:w="556" w:type="pct"/>
            <w:vAlign w:val="center"/>
          </w:tcPr>
          <w:p w14:paraId="0C549A7D">
            <w:pPr>
              <w:pStyle w:val="12"/>
              <w:jc w:val="center"/>
              <w:rPr>
                <w:rFonts w:ascii="宋体" w:hAnsi="宋体"/>
              </w:rPr>
            </w:pPr>
            <w:r>
              <w:rPr>
                <w:rFonts w:hint="eastAsia" w:ascii="宋体" w:hAnsi="宋体"/>
              </w:rPr>
              <w:t>13.9</w:t>
            </w:r>
          </w:p>
        </w:tc>
        <w:tc>
          <w:tcPr>
            <w:tcW w:w="556" w:type="pct"/>
            <w:vAlign w:val="center"/>
          </w:tcPr>
          <w:p w14:paraId="051A5F5B">
            <w:pPr>
              <w:pStyle w:val="12"/>
              <w:jc w:val="center"/>
              <w:rPr>
                <w:rFonts w:ascii="宋体" w:hAnsi="宋体"/>
              </w:rPr>
            </w:pPr>
          </w:p>
        </w:tc>
      </w:tr>
      <w:tr w14:paraId="6301FD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4B97829D">
            <w:pPr>
              <w:pStyle w:val="12"/>
              <w:jc w:val="center"/>
              <w:rPr>
                <w:rFonts w:ascii="宋体" w:hAnsi="宋体"/>
              </w:rPr>
            </w:pPr>
            <w:r>
              <w:rPr>
                <w:rFonts w:hint="eastAsia" w:ascii="宋体" w:hAnsi="宋体"/>
              </w:rPr>
              <w:t>其他</w:t>
            </w:r>
          </w:p>
        </w:tc>
        <w:tc>
          <w:tcPr>
            <w:tcW w:w="555" w:type="pct"/>
            <w:vAlign w:val="center"/>
          </w:tcPr>
          <w:p w14:paraId="40D378EC">
            <w:pPr>
              <w:pStyle w:val="12"/>
              <w:jc w:val="center"/>
              <w:rPr>
                <w:rFonts w:ascii="宋体" w:hAnsi="宋体"/>
              </w:rPr>
            </w:pPr>
            <w:r>
              <w:rPr>
                <w:rFonts w:hint="eastAsia" w:ascii="宋体" w:hAnsi="宋体"/>
              </w:rPr>
              <w:t>—</w:t>
            </w:r>
          </w:p>
        </w:tc>
        <w:tc>
          <w:tcPr>
            <w:tcW w:w="556" w:type="pct"/>
            <w:vAlign w:val="center"/>
          </w:tcPr>
          <w:p w14:paraId="383C2F5E">
            <w:pPr>
              <w:pStyle w:val="12"/>
              <w:jc w:val="center"/>
              <w:rPr>
                <w:rFonts w:ascii="宋体" w:hAnsi="宋体"/>
              </w:rPr>
            </w:pPr>
            <w:r>
              <w:rPr>
                <w:rFonts w:hint="eastAsia" w:ascii="宋体" w:hAnsi="宋体"/>
              </w:rPr>
              <w:t>—</w:t>
            </w:r>
          </w:p>
        </w:tc>
        <w:tc>
          <w:tcPr>
            <w:tcW w:w="556" w:type="pct"/>
            <w:vAlign w:val="center"/>
          </w:tcPr>
          <w:p w14:paraId="43346519">
            <w:pPr>
              <w:pStyle w:val="12"/>
              <w:jc w:val="center"/>
              <w:rPr>
                <w:rFonts w:ascii="宋体" w:hAnsi="宋体"/>
              </w:rPr>
            </w:pPr>
            <w:r>
              <w:rPr>
                <w:rFonts w:hint="eastAsia" w:ascii="宋体" w:hAnsi="宋体"/>
              </w:rPr>
              <w:t>—</w:t>
            </w:r>
          </w:p>
        </w:tc>
        <w:tc>
          <w:tcPr>
            <w:tcW w:w="556" w:type="pct"/>
            <w:vAlign w:val="center"/>
          </w:tcPr>
          <w:p w14:paraId="569DE861">
            <w:pPr>
              <w:pStyle w:val="12"/>
              <w:jc w:val="center"/>
              <w:rPr>
                <w:rFonts w:ascii="宋体" w:hAnsi="宋体"/>
              </w:rPr>
            </w:pPr>
            <w:r>
              <w:rPr>
                <w:rFonts w:hint="eastAsia" w:ascii="宋体" w:hAnsi="宋体"/>
              </w:rPr>
              <w:t>9517</w:t>
            </w:r>
          </w:p>
        </w:tc>
        <w:tc>
          <w:tcPr>
            <w:tcW w:w="556" w:type="pct"/>
            <w:vAlign w:val="center"/>
          </w:tcPr>
          <w:p w14:paraId="72F92F8D">
            <w:pPr>
              <w:pStyle w:val="12"/>
              <w:jc w:val="center"/>
              <w:rPr>
                <w:rFonts w:ascii="宋体" w:hAnsi="宋体"/>
              </w:rPr>
            </w:pPr>
            <w:r>
              <w:rPr>
                <w:rFonts w:hint="eastAsia" w:ascii="宋体" w:hAnsi="宋体"/>
              </w:rPr>
              <w:t>—</w:t>
            </w:r>
          </w:p>
        </w:tc>
        <w:tc>
          <w:tcPr>
            <w:tcW w:w="556" w:type="pct"/>
            <w:vAlign w:val="center"/>
          </w:tcPr>
          <w:p w14:paraId="6E695831">
            <w:pPr>
              <w:pStyle w:val="12"/>
              <w:jc w:val="center"/>
              <w:rPr>
                <w:rFonts w:ascii="宋体" w:hAnsi="宋体"/>
              </w:rPr>
            </w:pPr>
            <w:r>
              <w:rPr>
                <w:rFonts w:hint="eastAsia" w:ascii="宋体" w:hAnsi="宋体"/>
              </w:rPr>
              <w:t>—</w:t>
            </w:r>
          </w:p>
        </w:tc>
        <w:tc>
          <w:tcPr>
            <w:tcW w:w="556" w:type="pct"/>
            <w:vAlign w:val="center"/>
          </w:tcPr>
          <w:p w14:paraId="1D2E621C">
            <w:pPr>
              <w:pStyle w:val="12"/>
              <w:jc w:val="center"/>
              <w:rPr>
                <w:rFonts w:ascii="宋体" w:hAnsi="宋体"/>
              </w:rPr>
            </w:pPr>
            <w:r>
              <w:rPr>
                <w:rFonts w:hint="eastAsia" w:ascii="宋体" w:hAnsi="宋体"/>
              </w:rPr>
              <w:t>25062</w:t>
            </w:r>
          </w:p>
        </w:tc>
        <w:tc>
          <w:tcPr>
            <w:tcW w:w="556" w:type="pct"/>
            <w:vAlign w:val="center"/>
          </w:tcPr>
          <w:p w14:paraId="05121DD8">
            <w:pPr>
              <w:pStyle w:val="12"/>
              <w:jc w:val="center"/>
              <w:rPr>
                <w:rFonts w:ascii="宋体" w:hAnsi="宋体"/>
              </w:rPr>
            </w:pPr>
            <w:r>
              <w:rPr>
                <w:rFonts w:hint="eastAsia" w:ascii="宋体" w:hAnsi="宋体"/>
              </w:rPr>
              <w:t>136</w:t>
            </w:r>
          </w:p>
        </w:tc>
      </w:tr>
      <w:tr w14:paraId="76BE8B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4D56661C">
            <w:pPr>
              <w:pStyle w:val="12"/>
              <w:jc w:val="center"/>
              <w:rPr>
                <w:rFonts w:ascii="宋体" w:hAnsi="宋体"/>
              </w:rPr>
            </w:pPr>
            <w:r>
              <w:rPr>
                <w:rFonts w:hint="eastAsia" w:ascii="宋体" w:hAnsi="宋体"/>
              </w:rPr>
              <w:t>占比</w:t>
            </w:r>
          </w:p>
        </w:tc>
        <w:tc>
          <w:tcPr>
            <w:tcW w:w="555" w:type="pct"/>
            <w:vAlign w:val="center"/>
          </w:tcPr>
          <w:p w14:paraId="0D7CC4FD">
            <w:pPr>
              <w:pStyle w:val="12"/>
              <w:jc w:val="center"/>
              <w:rPr>
                <w:rFonts w:ascii="宋体" w:hAnsi="宋体"/>
              </w:rPr>
            </w:pPr>
            <w:r>
              <w:rPr>
                <w:rFonts w:hint="eastAsia" w:ascii="宋体" w:hAnsi="宋体"/>
              </w:rPr>
              <w:t>—</w:t>
            </w:r>
          </w:p>
        </w:tc>
        <w:tc>
          <w:tcPr>
            <w:tcW w:w="556" w:type="pct"/>
            <w:vAlign w:val="center"/>
          </w:tcPr>
          <w:p w14:paraId="3ECE3DD0">
            <w:pPr>
              <w:pStyle w:val="12"/>
              <w:jc w:val="center"/>
              <w:rPr>
                <w:rFonts w:ascii="宋体" w:hAnsi="宋体"/>
              </w:rPr>
            </w:pPr>
            <w:r>
              <w:rPr>
                <w:rFonts w:hint="eastAsia" w:ascii="宋体" w:hAnsi="宋体"/>
              </w:rPr>
              <w:t>—</w:t>
            </w:r>
          </w:p>
        </w:tc>
        <w:tc>
          <w:tcPr>
            <w:tcW w:w="556" w:type="pct"/>
            <w:vAlign w:val="center"/>
          </w:tcPr>
          <w:p w14:paraId="2B1E630F">
            <w:pPr>
              <w:pStyle w:val="12"/>
              <w:jc w:val="center"/>
              <w:rPr>
                <w:rFonts w:ascii="宋体" w:hAnsi="宋体"/>
              </w:rPr>
            </w:pPr>
            <w:r>
              <w:rPr>
                <w:rFonts w:hint="eastAsia" w:ascii="宋体" w:hAnsi="宋体"/>
              </w:rPr>
              <w:t>—</w:t>
            </w:r>
          </w:p>
        </w:tc>
        <w:tc>
          <w:tcPr>
            <w:tcW w:w="556" w:type="pct"/>
            <w:vAlign w:val="center"/>
          </w:tcPr>
          <w:p w14:paraId="07C4EEBE">
            <w:pPr>
              <w:pStyle w:val="12"/>
              <w:jc w:val="center"/>
              <w:rPr>
                <w:rFonts w:ascii="宋体" w:hAnsi="宋体"/>
              </w:rPr>
            </w:pPr>
            <w:r>
              <w:rPr>
                <w:rFonts w:hint="eastAsia" w:ascii="宋体" w:hAnsi="宋体"/>
              </w:rPr>
              <w:t>17.33</w:t>
            </w:r>
          </w:p>
        </w:tc>
        <w:tc>
          <w:tcPr>
            <w:tcW w:w="556" w:type="pct"/>
            <w:vAlign w:val="center"/>
          </w:tcPr>
          <w:p w14:paraId="68127D92">
            <w:pPr>
              <w:pStyle w:val="12"/>
              <w:jc w:val="center"/>
              <w:rPr>
                <w:rFonts w:ascii="宋体" w:hAnsi="宋体"/>
              </w:rPr>
            </w:pPr>
            <w:r>
              <w:rPr>
                <w:rFonts w:hint="eastAsia" w:ascii="宋体" w:hAnsi="宋体"/>
              </w:rPr>
              <w:t>—</w:t>
            </w:r>
          </w:p>
        </w:tc>
        <w:tc>
          <w:tcPr>
            <w:tcW w:w="556" w:type="pct"/>
            <w:vAlign w:val="center"/>
          </w:tcPr>
          <w:p w14:paraId="5116FB6F">
            <w:pPr>
              <w:pStyle w:val="12"/>
              <w:jc w:val="center"/>
              <w:rPr>
                <w:rFonts w:ascii="宋体" w:hAnsi="宋体"/>
              </w:rPr>
            </w:pPr>
            <w:r>
              <w:rPr>
                <w:rFonts w:hint="eastAsia" w:ascii="宋体" w:hAnsi="宋体"/>
              </w:rPr>
              <w:t>—</w:t>
            </w:r>
          </w:p>
        </w:tc>
        <w:tc>
          <w:tcPr>
            <w:tcW w:w="556" w:type="pct"/>
            <w:vAlign w:val="center"/>
          </w:tcPr>
          <w:p w14:paraId="6A0C0576">
            <w:pPr>
              <w:pStyle w:val="12"/>
              <w:jc w:val="center"/>
              <w:rPr>
                <w:rFonts w:ascii="宋体" w:hAnsi="宋体"/>
              </w:rPr>
            </w:pPr>
            <w:r>
              <w:rPr>
                <w:rFonts w:hint="eastAsia" w:ascii="宋体" w:hAnsi="宋体"/>
              </w:rPr>
              <w:t>13.2</w:t>
            </w:r>
          </w:p>
        </w:tc>
        <w:tc>
          <w:tcPr>
            <w:tcW w:w="556" w:type="pct"/>
            <w:vAlign w:val="center"/>
          </w:tcPr>
          <w:p w14:paraId="641EB1BE">
            <w:pPr>
              <w:pStyle w:val="12"/>
              <w:jc w:val="center"/>
              <w:rPr>
                <w:rFonts w:ascii="宋体" w:hAnsi="宋体"/>
              </w:rPr>
            </w:pPr>
            <w:r>
              <w:rPr>
                <w:rFonts w:hint="eastAsia" w:ascii="宋体" w:hAnsi="宋体"/>
              </w:rPr>
              <w:t>0.1</w:t>
            </w:r>
          </w:p>
        </w:tc>
      </w:tr>
      <w:tr w14:paraId="7163D9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43DB6D1D">
            <w:pPr>
              <w:pStyle w:val="12"/>
              <w:jc w:val="center"/>
              <w:rPr>
                <w:rFonts w:ascii="宋体" w:hAnsi="宋体"/>
              </w:rPr>
            </w:pPr>
            <w:r>
              <w:rPr>
                <w:rFonts w:hint="eastAsia" w:ascii="宋体" w:hAnsi="宋体"/>
              </w:rPr>
              <w:t>合计</w:t>
            </w:r>
          </w:p>
        </w:tc>
        <w:tc>
          <w:tcPr>
            <w:tcW w:w="555" w:type="pct"/>
            <w:vAlign w:val="center"/>
          </w:tcPr>
          <w:p w14:paraId="37C8D83F">
            <w:pPr>
              <w:pStyle w:val="12"/>
              <w:jc w:val="center"/>
              <w:rPr>
                <w:rFonts w:ascii="宋体" w:hAnsi="宋体"/>
              </w:rPr>
            </w:pPr>
            <w:r>
              <w:rPr>
                <w:rFonts w:hint="eastAsia" w:ascii="宋体" w:hAnsi="宋体"/>
              </w:rPr>
              <w:t>4924</w:t>
            </w:r>
          </w:p>
        </w:tc>
        <w:tc>
          <w:tcPr>
            <w:tcW w:w="556" w:type="pct"/>
            <w:vAlign w:val="center"/>
          </w:tcPr>
          <w:p w14:paraId="170FC1CD">
            <w:pPr>
              <w:pStyle w:val="12"/>
              <w:jc w:val="center"/>
              <w:rPr>
                <w:rFonts w:ascii="宋体" w:hAnsi="宋体"/>
              </w:rPr>
            </w:pPr>
            <w:r>
              <w:rPr>
                <w:rFonts w:hint="eastAsia" w:ascii="宋体" w:hAnsi="宋体"/>
              </w:rPr>
              <w:t>4846</w:t>
            </w:r>
          </w:p>
        </w:tc>
        <w:tc>
          <w:tcPr>
            <w:tcW w:w="556" w:type="pct"/>
            <w:vAlign w:val="center"/>
          </w:tcPr>
          <w:p w14:paraId="237170AA">
            <w:pPr>
              <w:pStyle w:val="12"/>
              <w:jc w:val="center"/>
              <w:rPr>
                <w:rFonts w:ascii="宋体" w:hAnsi="宋体"/>
              </w:rPr>
            </w:pPr>
            <w:r>
              <w:rPr>
                <w:rFonts w:hint="eastAsia" w:ascii="宋体" w:hAnsi="宋体"/>
              </w:rPr>
              <w:t>139893</w:t>
            </w:r>
          </w:p>
        </w:tc>
        <w:tc>
          <w:tcPr>
            <w:tcW w:w="556" w:type="pct"/>
            <w:vAlign w:val="center"/>
          </w:tcPr>
          <w:p w14:paraId="6D696F59">
            <w:pPr>
              <w:pStyle w:val="12"/>
              <w:jc w:val="center"/>
              <w:rPr>
                <w:rFonts w:ascii="宋体" w:hAnsi="宋体"/>
              </w:rPr>
            </w:pPr>
            <w:r>
              <w:rPr>
                <w:rFonts w:hint="eastAsia" w:ascii="宋体" w:hAnsi="宋体"/>
              </w:rPr>
              <w:t>54906</w:t>
            </w:r>
          </w:p>
        </w:tc>
        <w:tc>
          <w:tcPr>
            <w:tcW w:w="556" w:type="pct"/>
            <w:vAlign w:val="center"/>
          </w:tcPr>
          <w:p w14:paraId="75F53AE0">
            <w:pPr>
              <w:pStyle w:val="12"/>
              <w:jc w:val="center"/>
              <w:rPr>
                <w:rFonts w:ascii="宋体" w:hAnsi="宋体"/>
              </w:rPr>
            </w:pPr>
            <w:r>
              <w:rPr>
                <w:rFonts w:hint="eastAsia" w:ascii="宋体" w:hAnsi="宋体"/>
              </w:rPr>
              <w:t>140202</w:t>
            </w:r>
          </w:p>
        </w:tc>
        <w:tc>
          <w:tcPr>
            <w:tcW w:w="556" w:type="pct"/>
            <w:vAlign w:val="center"/>
          </w:tcPr>
          <w:p w14:paraId="47FE65F8">
            <w:pPr>
              <w:pStyle w:val="12"/>
              <w:jc w:val="center"/>
              <w:rPr>
                <w:rFonts w:ascii="宋体" w:hAnsi="宋体"/>
              </w:rPr>
            </w:pPr>
            <w:r>
              <w:rPr>
                <w:rFonts w:hint="eastAsia" w:ascii="宋体" w:hAnsi="宋体"/>
              </w:rPr>
              <w:t>73648</w:t>
            </w:r>
          </w:p>
        </w:tc>
        <w:tc>
          <w:tcPr>
            <w:tcW w:w="556" w:type="pct"/>
            <w:vAlign w:val="center"/>
          </w:tcPr>
          <w:p w14:paraId="38B06F0B">
            <w:pPr>
              <w:pStyle w:val="12"/>
              <w:jc w:val="center"/>
              <w:rPr>
                <w:rFonts w:ascii="宋体" w:hAnsi="宋体"/>
              </w:rPr>
            </w:pPr>
            <w:r>
              <w:rPr>
                <w:rFonts w:hint="eastAsia" w:ascii="宋体" w:hAnsi="宋体"/>
              </w:rPr>
              <w:t>190432</w:t>
            </w:r>
          </w:p>
        </w:tc>
        <w:tc>
          <w:tcPr>
            <w:tcW w:w="556" w:type="pct"/>
            <w:vAlign w:val="center"/>
          </w:tcPr>
          <w:p w14:paraId="48C0ADEE">
            <w:pPr>
              <w:pStyle w:val="12"/>
              <w:jc w:val="center"/>
              <w:rPr>
                <w:rFonts w:ascii="宋体" w:hAnsi="宋体"/>
              </w:rPr>
            </w:pPr>
            <w:r>
              <w:rPr>
                <w:rFonts w:hint="eastAsia" w:ascii="宋体" w:hAnsi="宋体"/>
              </w:rPr>
              <w:t>114261</w:t>
            </w:r>
          </w:p>
        </w:tc>
      </w:tr>
    </w:tbl>
    <w:p w14:paraId="4B57C50A">
      <w:pPr>
        <w:ind w:firstLine="422"/>
        <w:rPr>
          <w:rFonts w:ascii="宋体" w:hAnsi="宋体"/>
          <w:b/>
          <w:szCs w:val="21"/>
        </w:rPr>
      </w:pPr>
      <w:r>
        <w:rPr>
          <w:rFonts w:hint="eastAsia" w:ascii="宋体" w:hAnsi="宋体"/>
          <w:b/>
          <w:szCs w:val="21"/>
        </w:rPr>
        <w:t>说明：</w:t>
      </w:r>
      <w:r>
        <w:rPr>
          <w:rFonts w:ascii="宋体" w:hAnsi="宋体"/>
          <w:b/>
          <w:szCs w:val="21"/>
        </w:rPr>
        <w:t>1978年工业产值为1980年不变价，1996年工业产值为1990年不变价，2000年、2004年工业产值为当年价</w:t>
      </w:r>
      <w:r>
        <w:rPr>
          <w:rFonts w:hint="eastAsia" w:ascii="宋体" w:hAnsi="宋体"/>
          <w:b/>
          <w:szCs w:val="21"/>
        </w:rPr>
        <w:t>。</w:t>
      </w:r>
    </w:p>
    <w:p w14:paraId="3FE391DF">
      <w:pPr>
        <w:ind w:firstLine="0" w:firstLineChars="0"/>
        <w:jc w:val="center"/>
        <w:rPr>
          <w:rFonts w:ascii="宋体" w:hAnsi="宋体"/>
          <w:b/>
          <w:szCs w:val="21"/>
        </w:rPr>
      </w:pPr>
      <w:r>
        <w:rPr>
          <w:rFonts w:hint="eastAsia" w:ascii="宋体" w:hAnsi="宋体"/>
          <w:b/>
          <w:szCs w:val="21"/>
        </w:rPr>
        <w:t>南雄市1996至2004年经济发展基本情况</w:t>
      </w:r>
    </w:p>
    <w:p w14:paraId="2B494704">
      <w:pPr>
        <w:ind w:firstLine="0" w:firstLineChars="0"/>
        <w:rPr>
          <w:rFonts w:ascii="宋体" w:hAnsi="宋体"/>
          <w:b/>
        </w:rPr>
      </w:pPr>
      <w:r>
        <w:rPr>
          <w:rFonts w:hint="eastAsia" w:ascii="宋体" w:hAnsi="宋体"/>
          <w:b/>
        </w:rPr>
        <w:t>表2-5</w:t>
      </w:r>
    </w:p>
    <w:p w14:paraId="3B9572CE">
      <w:pPr>
        <w:ind w:firstLine="0" w:firstLineChars="0"/>
        <w:jc w:val="right"/>
        <w:rPr>
          <w:rFonts w:ascii="宋体" w:hAnsi="宋体"/>
          <w:b/>
        </w:rPr>
      </w:pPr>
      <w:r>
        <w:rPr>
          <w:rFonts w:hint="eastAsia" w:ascii="宋体" w:hAnsi="宋体"/>
          <w:b/>
        </w:rPr>
        <w:t>单位：万元</w:t>
      </w:r>
    </w:p>
    <w:tbl>
      <w:tblPr>
        <w:tblStyle w:val="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83"/>
        <w:gridCol w:w="960"/>
        <w:gridCol w:w="962"/>
        <w:gridCol w:w="962"/>
        <w:gridCol w:w="962"/>
        <w:gridCol w:w="961"/>
        <w:gridCol w:w="963"/>
        <w:gridCol w:w="963"/>
        <w:gridCol w:w="963"/>
        <w:gridCol w:w="957"/>
      </w:tblGrid>
      <w:tr w14:paraId="34C47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0" w:type="pct"/>
            <w:gridSpan w:val="2"/>
            <w:tcBorders>
              <w:left w:val="nil"/>
              <w:tl2br w:val="single" w:color="auto" w:sz="4" w:space="0"/>
            </w:tcBorders>
            <w:vAlign w:val="center"/>
          </w:tcPr>
          <w:p w14:paraId="7A3B09BA">
            <w:pPr>
              <w:pStyle w:val="12"/>
              <w:jc w:val="right"/>
              <w:rPr>
                <w:rFonts w:ascii="宋体" w:hAnsi="宋体"/>
                <w:b/>
              </w:rPr>
            </w:pPr>
            <w:r>
              <w:rPr>
                <w:rFonts w:hint="eastAsia" w:ascii="宋体" w:hAnsi="宋体"/>
                <w:b/>
              </w:rPr>
              <w:t>年份</w:t>
            </w:r>
          </w:p>
          <w:p w14:paraId="73B41FA4">
            <w:pPr>
              <w:pStyle w:val="12"/>
              <w:jc w:val="left"/>
              <w:rPr>
                <w:rFonts w:ascii="宋体" w:hAnsi="宋体"/>
                <w:b/>
              </w:rPr>
            </w:pPr>
            <w:r>
              <w:rPr>
                <w:rFonts w:hint="eastAsia" w:ascii="宋体" w:hAnsi="宋体"/>
                <w:b/>
              </w:rPr>
              <w:t>项目</w:t>
            </w:r>
          </w:p>
        </w:tc>
        <w:tc>
          <w:tcPr>
            <w:tcW w:w="484" w:type="pct"/>
            <w:vAlign w:val="center"/>
          </w:tcPr>
          <w:p w14:paraId="0DC5B948">
            <w:pPr>
              <w:pStyle w:val="12"/>
              <w:jc w:val="center"/>
              <w:rPr>
                <w:rFonts w:ascii="宋体" w:hAnsi="宋体"/>
                <w:b/>
              </w:rPr>
            </w:pPr>
            <w:r>
              <w:rPr>
                <w:rFonts w:ascii="宋体" w:hAnsi="宋体"/>
                <w:b/>
              </w:rPr>
              <w:t>1996</w:t>
            </w:r>
          </w:p>
        </w:tc>
        <w:tc>
          <w:tcPr>
            <w:tcW w:w="485" w:type="pct"/>
            <w:vAlign w:val="center"/>
          </w:tcPr>
          <w:p w14:paraId="6F159961">
            <w:pPr>
              <w:pStyle w:val="12"/>
              <w:jc w:val="center"/>
              <w:rPr>
                <w:rFonts w:ascii="宋体" w:hAnsi="宋体"/>
                <w:b/>
              </w:rPr>
            </w:pPr>
            <w:r>
              <w:rPr>
                <w:rFonts w:ascii="宋体" w:hAnsi="宋体"/>
                <w:b/>
              </w:rPr>
              <w:t>1997</w:t>
            </w:r>
          </w:p>
        </w:tc>
        <w:tc>
          <w:tcPr>
            <w:tcW w:w="485" w:type="pct"/>
            <w:vAlign w:val="center"/>
          </w:tcPr>
          <w:p w14:paraId="3C43B5EB">
            <w:pPr>
              <w:pStyle w:val="12"/>
              <w:jc w:val="center"/>
              <w:rPr>
                <w:rFonts w:ascii="宋体" w:hAnsi="宋体"/>
                <w:b/>
              </w:rPr>
            </w:pPr>
            <w:r>
              <w:rPr>
                <w:rFonts w:ascii="宋体" w:hAnsi="宋体"/>
                <w:b/>
              </w:rPr>
              <w:t>1998</w:t>
            </w:r>
          </w:p>
        </w:tc>
        <w:tc>
          <w:tcPr>
            <w:tcW w:w="485" w:type="pct"/>
            <w:vAlign w:val="center"/>
          </w:tcPr>
          <w:p w14:paraId="2E4DEA69">
            <w:pPr>
              <w:pStyle w:val="12"/>
              <w:jc w:val="center"/>
              <w:rPr>
                <w:rFonts w:ascii="宋体" w:hAnsi="宋体"/>
                <w:b/>
              </w:rPr>
            </w:pPr>
            <w:r>
              <w:rPr>
                <w:rFonts w:ascii="宋体" w:hAnsi="宋体"/>
                <w:b/>
              </w:rPr>
              <w:t>1999</w:t>
            </w:r>
          </w:p>
        </w:tc>
        <w:tc>
          <w:tcPr>
            <w:tcW w:w="484" w:type="pct"/>
            <w:vAlign w:val="center"/>
          </w:tcPr>
          <w:p w14:paraId="45DF35C8">
            <w:pPr>
              <w:pStyle w:val="12"/>
              <w:jc w:val="center"/>
              <w:rPr>
                <w:rFonts w:ascii="宋体" w:hAnsi="宋体"/>
                <w:b/>
              </w:rPr>
            </w:pPr>
            <w:r>
              <w:rPr>
                <w:rFonts w:ascii="宋体" w:hAnsi="宋体"/>
                <w:b/>
              </w:rPr>
              <w:t>2000</w:t>
            </w:r>
          </w:p>
        </w:tc>
        <w:tc>
          <w:tcPr>
            <w:tcW w:w="485" w:type="pct"/>
            <w:vAlign w:val="center"/>
          </w:tcPr>
          <w:p w14:paraId="0D64CBF8">
            <w:pPr>
              <w:pStyle w:val="12"/>
              <w:jc w:val="center"/>
              <w:rPr>
                <w:rFonts w:ascii="宋体" w:hAnsi="宋体"/>
                <w:b/>
              </w:rPr>
            </w:pPr>
            <w:r>
              <w:rPr>
                <w:rFonts w:ascii="宋体" w:hAnsi="宋体"/>
                <w:b/>
              </w:rPr>
              <w:t>2001</w:t>
            </w:r>
          </w:p>
        </w:tc>
        <w:tc>
          <w:tcPr>
            <w:tcW w:w="485" w:type="pct"/>
            <w:vAlign w:val="center"/>
          </w:tcPr>
          <w:p w14:paraId="36133A6C">
            <w:pPr>
              <w:pStyle w:val="12"/>
              <w:jc w:val="center"/>
              <w:rPr>
                <w:rFonts w:ascii="宋体" w:hAnsi="宋体"/>
                <w:b/>
              </w:rPr>
            </w:pPr>
            <w:r>
              <w:rPr>
                <w:rFonts w:ascii="宋体" w:hAnsi="宋体"/>
                <w:b/>
              </w:rPr>
              <w:t>2002</w:t>
            </w:r>
          </w:p>
        </w:tc>
        <w:tc>
          <w:tcPr>
            <w:tcW w:w="485" w:type="pct"/>
            <w:vAlign w:val="center"/>
          </w:tcPr>
          <w:p w14:paraId="385CCCF7">
            <w:pPr>
              <w:pStyle w:val="12"/>
              <w:jc w:val="center"/>
              <w:rPr>
                <w:rFonts w:ascii="宋体" w:hAnsi="宋体"/>
                <w:b/>
              </w:rPr>
            </w:pPr>
            <w:r>
              <w:rPr>
                <w:rFonts w:ascii="宋体" w:hAnsi="宋体"/>
                <w:b/>
              </w:rPr>
              <w:t>2003</w:t>
            </w:r>
          </w:p>
        </w:tc>
        <w:tc>
          <w:tcPr>
            <w:tcW w:w="485" w:type="pct"/>
            <w:tcBorders>
              <w:right w:val="nil"/>
            </w:tcBorders>
            <w:vAlign w:val="center"/>
          </w:tcPr>
          <w:p w14:paraId="7687B42F">
            <w:pPr>
              <w:pStyle w:val="12"/>
              <w:jc w:val="center"/>
              <w:rPr>
                <w:rFonts w:ascii="宋体" w:hAnsi="宋体"/>
                <w:b/>
              </w:rPr>
            </w:pPr>
            <w:r>
              <w:rPr>
                <w:rFonts w:ascii="宋体" w:hAnsi="宋体"/>
                <w:b/>
              </w:rPr>
              <w:t>2004</w:t>
            </w:r>
          </w:p>
        </w:tc>
      </w:tr>
      <w:tr w14:paraId="4AA8F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trPr>
        <w:tc>
          <w:tcPr>
            <w:tcW w:w="195" w:type="pct"/>
            <w:vMerge w:val="restart"/>
            <w:tcBorders>
              <w:left w:val="nil"/>
            </w:tcBorders>
            <w:vAlign w:val="center"/>
          </w:tcPr>
          <w:p w14:paraId="1B5E1002">
            <w:pPr>
              <w:pStyle w:val="12"/>
              <w:jc w:val="center"/>
              <w:rPr>
                <w:rFonts w:ascii="宋体" w:hAnsi="宋体"/>
              </w:rPr>
            </w:pPr>
            <w:r>
              <w:rPr>
                <w:rFonts w:hint="eastAsia" w:ascii="宋体" w:hAnsi="宋体"/>
              </w:rPr>
              <w:t>社会总产出</w:t>
            </w:r>
          </w:p>
        </w:tc>
        <w:tc>
          <w:tcPr>
            <w:tcW w:w="444" w:type="pct"/>
            <w:vAlign w:val="center"/>
          </w:tcPr>
          <w:p w14:paraId="1FFF08A5">
            <w:pPr>
              <w:pStyle w:val="12"/>
              <w:jc w:val="center"/>
              <w:rPr>
                <w:rFonts w:ascii="宋体" w:hAnsi="宋体"/>
              </w:rPr>
            </w:pPr>
            <w:r>
              <w:rPr>
                <w:rFonts w:hint="eastAsia" w:ascii="宋体" w:hAnsi="宋体"/>
              </w:rPr>
              <w:t>总  额</w:t>
            </w:r>
          </w:p>
        </w:tc>
        <w:tc>
          <w:tcPr>
            <w:tcW w:w="484" w:type="pct"/>
            <w:vAlign w:val="center"/>
          </w:tcPr>
          <w:p w14:paraId="5FECFF8E">
            <w:pPr>
              <w:pStyle w:val="12"/>
              <w:jc w:val="center"/>
              <w:rPr>
                <w:rFonts w:ascii="宋体" w:hAnsi="宋体"/>
              </w:rPr>
            </w:pPr>
            <w:r>
              <w:rPr>
                <w:rFonts w:hint="eastAsia" w:ascii="宋体" w:hAnsi="宋体"/>
              </w:rPr>
              <w:t>379658</w:t>
            </w:r>
          </w:p>
        </w:tc>
        <w:tc>
          <w:tcPr>
            <w:tcW w:w="485" w:type="pct"/>
            <w:vAlign w:val="center"/>
          </w:tcPr>
          <w:p w14:paraId="665CE45E">
            <w:pPr>
              <w:pStyle w:val="12"/>
              <w:jc w:val="center"/>
              <w:rPr>
                <w:rFonts w:ascii="宋体" w:hAnsi="宋体"/>
              </w:rPr>
            </w:pPr>
            <w:r>
              <w:rPr>
                <w:rFonts w:hint="eastAsia" w:ascii="宋体" w:hAnsi="宋体"/>
              </w:rPr>
              <w:t>396744</w:t>
            </w:r>
          </w:p>
        </w:tc>
        <w:tc>
          <w:tcPr>
            <w:tcW w:w="485" w:type="pct"/>
            <w:vAlign w:val="center"/>
          </w:tcPr>
          <w:p w14:paraId="37715971">
            <w:pPr>
              <w:pStyle w:val="12"/>
              <w:jc w:val="center"/>
              <w:rPr>
                <w:rFonts w:ascii="宋体" w:hAnsi="宋体"/>
              </w:rPr>
            </w:pPr>
            <w:r>
              <w:rPr>
                <w:rFonts w:hint="eastAsia" w:ascii="宋体" w:hAnsi="宋体"/>
              </w:rPr>
              <w:t>414673</w:t>
            </w:r>
          </w:p>
        </w:tc>
        <w:tc>
          <w:tcPr>
            <w:tcW w:w="485" w:type="pct"/>
            <w:vAlign w:val="center"/>
          </w:tcPr>
          <w:p w14:paraId="431A33F3">
            <w:pPr>
              <w:pStyle w:val="12"/>
              <w:jc w:val="center"/>
              <w:rPr>
                <w:rFonts w:ascii="宋体" w:hAnsi="宋体"/>
              </w:rPr>
            </w:pPr>
            <w:r>
              <w:rPr>
                <w:rFonts w:hint="eastAsia" w:ascii="宋体" w:hAnsi="宋体"/>
              </w:rPr>
              <w:t>447373</w:t>
            </w:r>
          </w:p>
        </w:tc>
        <w:tc>
          <w:tcPr>
            <w:tcW w:w="484" w:type="pct"/>
            <w:vAlign w:val="center"/>
          </w:tcPr>
          <w:p w14:paraId="205D9C24">
            <w:pPr>
              <w:pStyle w:val="12"/>
              <w:jc w:val="center"/>
              <w:rPr>
                <w:rFonts w:ascii="宋体" w:hAnsi="宋体"/>
              </w:rPr>
            </w:pPr>
            <w:r>
              <w:rPr>
                <w:rFonts w:hint="eastAsia" w:ascii="宋体" w:hAnsi="宋体"/>
              </w:rPr>
              <w:t>457757</w:t>
            </w:r>
          </w:p>
        </w:tc>
        <w:tc>
          <w:tcPr>
            <w:tcW w:w="485" w:type="pct"/>
            <w:vAlign w:val="center"/>
          </w:tcPr>
          <w:p w14:paraId="5B5B6DD3">
            <w:pPr>
              <w:pStyle w:val="12"/>
              <w:jc w:val="center"/>
              <w:rPr>
                <w:rFonts w:ascii="宋体" w:hAnsi="宋体"/>
              </w:rPr>
            </w:pPr>
            <w:r>
              <w:rPr>
                <w:rFonts w:hint="eastAsia" w:ascii="宋体" w:hAnsi="宋体"/>
              </w:rPr>
              <w:t>485087</w:t>
            </w:r>
          </w:p>
        </w:tc>
        <w:tc>
          <w:tcPr>
            <w:tcW w:w="485" w:type="pct"/>
            <w:vAlign w:val="center"/>
          </w:tcPr>
          <w:p w14:paraId="01883599">
            <w:pPr>
              <w:pStyle w:val="12"/>
              <w:jc w:val="center"/>
              <w:rPr>
                <w:rFonts w:ascii="宋体" w:hAnsi="宋体"/>
              </w:rPr>
            </w:pPr>
            <w:r>
              <w:rPr>
                <w:rFonts w:hint="eastAsia" w:ascii="宋体" w:hAnsi="宋体"/>
              </w:rPr>
              <w:t>500829</w:t>
            </w:r>
          </w:p>
        </w:tc>
        <w:tc>
          <w:tcPr>
            <w:tcW w:w="485" w:type="pct"/>
            <w:vAlign w:val="center"/>
          </w:tcPr>
          <w:p w14:paraId="48C35F8C">
            <w:pPr>
              <w:pStyle w:val="12"/>
              <w:jc w:val="center"/>
              <w:rPr>
                <w:rFonts w:ascii="宋体" w:hAnsi="宋体"/>
              </w:rPr>
            </w:pPr>
            <w:r>
              <w:rPr>
                <w:rFonts w:hint="eastAsia" w:ascii="宋体" w:hAnsi="宋体"/>
              </w:rPr>
              <w:t>568036</w:t>
            </w:r>
          </w:p>
        </w:tc>
        <w:tc>
          <w:tcPr>
            <w:tcW w:w="485" w:type="pct"/>
            <w:tcBorders>
              <w:right w:val="nil"/>
            </w:tcBorders>
            <w:vAlign w:val="center"/>
          </w:tcPr>
          <w:p w14:paraId="03C8594D">
            <w:pPr>
              <w:pStyle w:val="12"/>
              <w:jc w:val="center"/>
              <w:rPr>
                <w:rFonts w:ascii="宋体" w:hAnsi="宋体"/>
              </w:rPr>
            </w:pPr>
            <w:r>
              <w:rPr>
                <w:rFonts w:hint="eastAsia" w:ascii="宋体" w:hAnsi="宋体"/>
              </w:rPr>
              <w:t>661104</w:t>
            </w:r>
          </w:p>
        </w:tc>
      </w:tr>
      <w:tr w14:paraId="06B4C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trPr>
        <w:tc>
          <w:tcPr>
            <w:tcW w:w="195" w:type="pct"/>
            <w:vMerge w:val="continue"/>
            <w:tcBorders>
              <w:left w:val="nil"/>
            </w:tcBorders>
            <w:vAlign w:val="center"/>
          </w:tcPr>
          <w:p w14:paraId="4EA4EC11">
            <w:pPr>
              <w:pStyle w:val="12"/>
              <w:jc w:val="center"/>
              <w:rPr>
                <w:rFonts w:ascii="宋体" w:hAnsi="宋体"/>
              </w:rPr>
            </w:pPr>
          </w:p>
        </w:tc>
        <w:tc>
          <w:tcPr>
            <w:tcW w:w="444" w:type="pct"/>
            <w:vAlign w:val="center"/>
          </w:tcPr>
          <w:p w14:paraId="6F231ABA">
            <w:pPr>
              <w:pStyle w:val="12"/>
              <w:jc w:val="center"/>
              <w:rPr>
                <w:rFonts w:ascii="宋体" w:hAnsi="宋体"/>
              </w:rPr>
            </w:pPr>
            <w:r>
              <w:rPr>
                <w:rFonts w:hint="eastAsia" w:ascii="宋体" w:hAnsi="宋体"/>
              </w:rPr>
              <w:t>第一</w:t>
            </w:r>
          </w:p>
          <w:p w14:paraId="51C55120">
            <w:pPr>
              <w:pStyle w:val="12"/>
              <w:jc w:val="center"/>
              <w:rPr>
                <w:rFonts w:ascii="宋体" w:hAnsi="宋体"/>
              </w:rPr>
            </w:pPr>
            <w:r>
              <w:rPr>
                <w:rFonts w:hint="eastAsia" w:ascii="宋体" w:hAnsi="宋体"/>
              </w:rPr>
              <w:t>产业</w:t>
            </w:r>
          </w:p>
        </w:tc>
        <w:tc>
          <w:tcPr>
            <w:tcW w:w="484" w:type="pct"/>
            <w:vAlign w:val="center"/>
          </w:tcPr>
          <w:p w14:paraId="4ADBFA97">
            <w:pPr>
              <w:pStyle w:val="12"/>
              <w:jc w:val="center"/>
              <w:rPr>
                <w:rFonts w:ascii="宋体" w:hAnsi="宋体"/>
              </w:rPr>
            </w:pPr>
            <w:r>
              <w:rPr>
                <w:rFonts w:hint="eastAsia" w:ascii="宋体" w:hAnsi="宋体"/>
              </w:rPr>
              <w:t>129444</w:t>
            </w:r>
          </w:p>
        </w:tc>
        <w:tc>
          <w:tcPr>
            <w:tcW w:w="485" w:type="pct"/>
            <w:vAlign w:val="center"/>
          </w:tcPr>
          <w:p w14:paraId="546F15A1">
            <w:pPr>
              <w:pStyle w:val="12"/>
              <w:jc w:val="center"/>
              <w:rPr>
                <w:rFonts w:ascii="宋体" w:hAnsi="宋体"/>
              </w:rPr>
            </w:pPr>
            <w:r>
              <w:rPr>
                <w:rFonts w:hint="eastAsia" w:ascii="宋体" w:hAnsi="宋体"/>
              </w:rPr>
              <w:t>136320</w:t>
            </w:r>
          </w:p>
        </w:tc>
        <w:tc>
          <w:tcPr>
            <w:tcW w:w="485" w:type="pct"/>
            <w:vAlign w:val="center"/>
          </w:tcPr>
          <w:p w14:paraId="66059E85">
            <w:pPr>
              <w:pStyle w:val="12"/>
              <w:jc w:val="center"/>
              <w:rPr>
                <w:rFonts w:ascii="宋体" w:hAnsi="宋体"/>
              </w:rPr>
            </w:pPr>
            <w:r>
              <w:rPr>
                <w:rFonts w:hint="eastAsia" w:ascii="宋体" w:hAnsi="宋体"/>
              </w:rPr>
              <w:t>130726</w:t>
            </w:r>
          </w:p>
        </w:tc>
        <w:tc>
          <w:tcPr>
            <w:tcW w:w="485" w:type="pct"/>
            <w:vAlign w:val="center"/>
          </w:tcPr>
          <w:p w14:paraId="59BBD097">
            <w:pPr>
              <w:pStyle w:val="12"/>
              <w:jc w:val="center"/>
              <w:rPr>
                <w:rFonts w:ascii="宋体" w:hAnsi="宋体"/>
              </w:rPr>
            </w:pPr>
            <w:r>
              <w:rPr>
                <w:rFonts w:hint="eastAsia" w:ascii="宋体" w:hAnsi="宋体"/>
              </w:rPr>
              <w:t>136137</w:t>
            </w:r>
          </w:p>
        </w:tc>
        <w:tc>
          <w:tcPr>
            <w:tcW w:w="484" w:type="pct"/>
            <w:vAlign w:val="center"/>
          </w:tcPr>
          <w:p w14:paraId="28414683">
            <w:pPr>
              <w:pStyle w:val="12"/>
              <w:jc w:val="center"/>
              <w:rPr>
                <w:rFonts w:ascii="宋体" w:hAnsi="宋体"/>
              </w:rPr>
            </w:pPr>
            <w:r>
              <w:rPr>
                <w:rFonts w:hint="eastAsia" w:ascii="宋体" w:hAnsi="宋体"/>
              </w:rPr>
              <w:t>137781</w:t>
            </w:r>
          </w:p>
        </w:tc>
        <w:tc>
          <w:tcPr>
            <w:tcW w:w="485" w:type="pct"/>
            <w:vAlign w:val="center"/>
          </w:tcPr>
          <w:p w14:paraId="7370BADE">
            <w:pPr>
              <w:pStyle w:val="12"/>
              <w:jc w:val="center"/>
              <w:rPr>
                <w:rFonts w:ascii="宋体" w:hAnsi="宋体"/>
              </w:rPr>
            </w:pPr>
            <w:r>
              <w:rPr>
                <w:rFonts w:hint="eastAsia" w:ascii="宋体" w:hAnsi="宋体"/>
              </w:rPr>
              <w:t>143544</w:t>
            </w:r>
          </w:p>
        </w:tc>
        <w:tc>
          <w:tcPr>
            <w:tcW w:w="485" w:type="pct"/>
            <w:vAlign w:val="center"/>
          </w:tcPr>
          <w:p w14:paraId="6AA1C158">
            <w:pPr>
              <w:pStyle w:val="12"/>
              <w:jc w:val="center"/>
              <w:rPr>
                <w:rFonts w:ascii="宋体" w:hAnsi="宋体"/>
              </w:rPr>
            </w:pPr>
            <w:r>
              <w:rPr>
                <w:rFonts w:hint="eastAsia" w:ascii="宋体" w:hAnsi="宋体"/>
              </w:rPr>
              <w:t>145036</w:t>
            </w:r>
          </w:p>
        </w:tc>
        <w:tc>
          <w:tcPr>
            <w:tcW w:w="485" w:type="pct"/>
            <w:vAlign w:val="center"/>
          </w:tcPr>
          <w:p w14:paraId="4E0AC241">
            <w:pPr>
              <w:pStyle w:val="12"/>
              <w:jc w:val="center"/>
              <w:rPr>
                <w:rFonts w:ascii="宋体" w:hAnsi="宋体"/>
              </w:rPr>
            </w:pPr>
            <w:r>
              <w:rPr>
                <w:rFonts w:hint="eastAsia" w:ascii="宋体" w:hAnsi="宋体"/>
              </w:rPr>
              <w:t>153951</w:t>
            </w:r>
          </w:p>
        </w:tc>
        <w:tc>
          <w:tcPr>
            <w:tcW w:w="485" w:type="pct"/>
            <w:tcBorders>
              <w:right w:val="nil"/>
            </w:tcBorders>
            <w:vAlign w:val="center"/>
          </w:tcPr>
          <w:p w14:paraId="710C686B">
            <w:pPr>
              <w:pStyle w:val="12"/>
              <w:jc w:val="center"/>
              <w:rPr>
                <w:rFonts w:ascii="宋体" w:hAnsi="宋体"/>
              </w:rPr>
            </w:pPr>
            <w:r>
              <w:rPr>
                <w:rFonts w:hint="eastAsia" w:ascii="宋体" w:hAnsi="宋体"/>
              </w:rPr>
              <w:t>173470</w:t>
            </w:r>
          </w:p>
        </w:tc>
      </w:tr>
      <w:tr w14:paraId="2AB60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trPr>
        <w:tc>
          <w:tcPr>
            <w:tcW w:w="195" w:type="pct"/>
            <w:vMerge w:val="continue"/>
            <w:tcBorders>
              <w:left w:val="nil"/>
            </w:tcBorders>
            <w:vAlign w:val="center"/>
          </w:tcPr>
          <w:p w14:paraId="5EE4E658">
            <w:pPr>
              <w:pStyle w:val="12"/>
              <w:jc w:val="center"/>
              <w:rPr>
                <w:rFonts w:ascii="宋体" w:hAnsi="宋体"/>
              </w:rPr>
            </w:pPr>
          </w:p>
        </w:tc>
        <w:tc>
          <w:tcPr>
            <w:tcW w:w="444" w:type="pct"/>
            <w:vAlign w:val="center"/>
          </w:tcPr>
          <w:p w14:paraId="14A398B0">
            <w:pPr>
              <w:pStyle w:val="12"/>
              <w:jc w:val="center"/>
              <w:rPr>
                <w:rFonts w:ascii="宋体" w:hAnsi="宋体"/>
              </w:rPr>
            </w:pPr>
            <w:r>
              <w:rPr>
                <w:rFonts w:hint="eastAsia" w:ascii="宋体" w:hAnsi="宋体"/>
              </w:rPr>
              <w:t>第二</w:t>
            </w:r>
          </w:p>
          <w:p w14:paraId="70341C58">
            <w:pPr>
              <w:pStyle w:val="12"/>
              <w:jc w:val="center"/>
              <w:rPr>
                <w:rFonts w:ascii="宋体" w:hAnsi="宋体"/>
              </w:rPr>
            </w:pPr>
            <w:r>
              <w:rPr>
                <w:rFonts w:hint="eastAsia" w:ascii="宋体" w:hAnsi="宋体"/>
              </w:rPr>
              <w:t>产业</w:t>
            </w:r>
          </w:p>
        </w:tc>
        <w:tc>
          <w:tcPr>
            <w:tcW w:w="484" w:type="pct"/>
            <w:vAlign w:val="center"/>
          </w:tcPr>
          <w:p w14:paraId="346D0959">
            <w:pPr>
              <w:pStyle w:val="12"/>
              <w:jc w:val="center"/>
              <w:rPr>
                <w:rFonts w:ascii="宋体" w:hAnsi="宋体"/>
              </w:rPr>
            </w:pPr>
            <w:r>
              <w:rPr>
                <w:rFonts w:hint="eastAsia" w:ascii="宋体" w:hAnsi="宋体"/>
              </w:rPr>
              <w:t>167593</w:t>
            </w:r>
          </w:p>
        </w:tc>
        <w:tc>
          <w:tcPr>
            <w:tcW w:w="485" w:type="pct"/>
            <w:vAlign w:val="center"/>
          </w:tcPr>
          <w:p w14:paraId="0EA4218E">
            <w:pPr>
              <w:pStyle w:val="12"/>
              <w:jc w:val="center"/>
              <w:rPr>
                <w:rFonts w:ascii="宋体" w:hAnsi="宋体"/>
              </w:rPr>
            </w:pPr>
            <w:r>
              <w:rPr>
                <w:rFonts w:hint="eastAsia" w:ascii="宋体" w:hAnsi="宋体"/>
              </w:rPr>
              <w:t>171249</w:t>
            </w:r>
          </w:p>
        </w:tc>
        <w:tc>
          <w:tcPr>
            <w:tcW w:w="485" w:type="pct"/>
            <w:vAlign w:val="center"/>
          </w:tcPr>
          <w:p w14:paraId="5C14A3A6">
            <w:pPr>
              <w:pStyle w:val="12"/>
              <w:jc w:val="center"/>
              <w:rPr>
                <w:rFonts w:ascii="宋体" w:hAnsi="宋体"/>
              </w:rPr>
            </w:pPr>
            <w:r>
              <w:rPr>
                <w:rFonts w:hint="eastAsia" w:ascii="宋体" w:hAnsi="宋体"/>
              </w:rPr>
              <w:t>187108</w:t>
            </w:r>
          </w:p>
        </w:tc>
        <w:tc>
          <w:tcPr>
            <w:tcW w:w="485" w:type="pct"/>
            <w:vAlign w:val="center"/>
          </w:tcPr>
          <w:p w14:paraId="539CBA93">
            <w:pPr>
              <w:pStyle w:val="12"/>
              <w:jc w:val="center"/>
              <w:rPr>
                <w:rFonts w:ascii="宋体" w:hAnsi="宋体"/>
              </w:rPr>
            </w:pPr>
            <w:r>
              <w:rPr>
                <w:rFonts w:hint="eastAsia" w:ascii="宋体" w:hAnsi="宋体"/>
              </w:rPr>
              <w:t>207714</w:t>
            </w:r>
          </w:p>
        </w:tc>
        <w:tc>
          <w:tcPr>
            <w:tcW w:w="484" w:type="pct"/>
            <w:vAlign w:val="center"/>
          </w:tcPr>
          <w:p w14:paraId="39B2AA02">
            <w:pPr>
              <w:pStyle w:val="12"/>
              <w:jc w:val="center"/>
              <w:rPr>
                <w:rFonts w:ascii="宋体" w:hAnsi="宋体"/>
              </w:rPr>
            </w:pPr>
            <w:r>
              <w:rPr>
                <w:rFonts w:hint="eastAsia" w:ascii="宋体" w:hAnsi="宋体"/>
              </w:rPr>
              <w:t>203001</w:t>
            </w:r>
          </w:p>
        </w:tc>
        <w:tc>
          <w:tcPr>
            <w:tcW w:w="485" w:type="pct"/>
            <w:vAlign w:val="center"/>
          </w:tcPr>
          <w:p w14:paraId="3217ECB2">
            <w:pPr>
              <w:pStyle w:val="12"/>
              <w:jc w:val="center"/>
              <w:rPr>
                <w:rFonts w:ascii="宋体" w:hAnsi="宋体"/>
              </w:rPr>
            </w:pPr>
            <w:r>
              <w:rPr>
                <w:rFonts w:hint="eastAsia" w:ascii="宋体" w:hAnsi="宋体"/>
              </w:rPr>
              <w:t>209595</w:t>
            </w:r>
          </w:p>
        </w:tc>
        <w:tc>
          <w:tcPr>
            <w:tcW w:w="485" w:type="pct"/>
            <w:vAlign w:val="center"/>
          </w:tcPr>
          <w:p w14:paraId="3704DFB2">
            <w:pPr>
              <w:pStyle w:val="12"/>
              <w:jc w:val="center"/>
              <w:rPr>
                <w:rFonts w:ascii="宋体" w:hAnsi="宋体"/>
              </w:rPr>
            </w:pPr>
            <w:r>
              <w:rPr>
                <w:rFonts w:hint="eastAsia" w:ascii="宋体" w:hAnsi="宋体"/>
              </w:rPr>
              <w:t>209255</w:t>
            </w:r>
          </w:p>
        </w:tc>
        <w:tc>
          <w:tcPr>
            <w:tcW w:w="485" w:type="pct"/>
            <w:vAlign w:val="center"/>
          </w:tcPr>
          <w:p w14:paraId="78761712">
            <w:pPr>
              <w:pStyle w:val="12"/>
              <w:jc w:val="center"/>
              <w:rPr>
                <w:rFonts w:ascii="宋体" w:hAnsi="宋体"/>
              </w:rPr>
            </w:pPr>
            <w:r>
              <w:rPr>
                <w:rFonts w:hint="eastAsia" w:ascii="宋体" w:hAnsi="宋体"/>
              </w:rPr>
              <w:t>246458</w:t>
            </w:r>
          </w:p>
        </w:tc>
        <w:tc>
          <w:tcPr>
            <w:tcW w:w="485" w:type="pct"/>
            <w:tcBorders>
              <w:right w:val="nil"/>
            </w:tcBorders>
            <w:vAlign w:val="center"/>
          </w:tcPr>
          <w:p w14:paraId="4D461332">
            <w:pPr>
              <w:pStyle w:val="12"/>
              <w:jc w:val="center"/>
              <w:rPr>
                <w:rFonts w:ascii="宋体" w:hAnsi="宋体"/>
              </w:rPr>
            </w:pPr>
            <w:r>
              <w:rPr>
                <w:rFonts w:hint="eastAsia" w:ascii="宋体" w:hAnsi="宋体"/>
              </w:rPr>
              <w:t>290131</w:t>
            </w:r>
          </w:p>
        </w:tc>
      </w:tr>
      <w:tr w14:paraId="3EA2B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trPr>
        <w:tc>
          <w:tcPr>
            <w:tcW w:w="195" w:type="pct"/>
            <w:vMerge w:val="continue"/>
            <w:tcBorders>
              <w:left w:val="nil"/>
            </w:tcBorders>
            <w:vAlign w:val="center"/>
          </w:tcPr>
          <w:p w14:paraId="173FAA6B">
            <w:pPr>
              <w:pStyle w:val="12"/>
              <w:jc w:val="center"/>
              <w:rPr>
                <w:rFonts w:ascii="宋体" w:hAnsi="宋体"/>
              </w:rPr>
            </w:pPr>
          </w:p>
        </w:tc>
        <w:tc>
          <w:tcPr>
            <w:tcW w:w="444" w:type="pct"/>
            <w:vAlign w:val="center"/>
          </w:tcPr>
          <w:p w14:paraId="413F099C">
            <w:pPr>
              <w:pStyle w:val="12"/>
              <w:jc w:val="center"/>
              <w:rPr>
                <w:rFonts w:ascii="宋体" w:hAnsi="宋体"/>
              </w:rPr>
            </w:pPr>
            <w:r>
              <w:rPr>
                <w:rFonts w:hint="eastAsia" w:ascii="宋体" w:hAnsi="宋体"/>
              </w:rPr>
              <w:t>第三</w:t>
            </w:r>
          </w:p>
          <w:p w14:paraId="5729AE4C">
            <w:pPr>
              <w:pStyle w:val="12"/>
              <w:jc w:val="center"/>
              <w:rPr>
                <w:rFonts w:ascii="宋体" w:hAnsi="宋体"/>
              </w:rPr>
            </w:pPr>
            <w:r>
              <w:rPr>
                <w:rFonts w:hint="eastAsia" w:ascii="宋体" w:hAnsi="宋体"/>
              </w:rPr>
              <w:t>产业</w:t>
            </w:r>
          </w:p>
        </w:tc>
        <w:tc>
          <w:tcPr>
            <w:tcW w:w="484" w:type="pct"/>
            <w:vAlign w:val="center"/>
          </w:tcPr>
          <w:p w14:paraId="044E4827">
            <w:pPr>
              <w:pStyle w:val="12"/>
              <w:jc w:val="center"/>
              <w:rPr>
                <w:rFonts w:ascii="宋体" w:hAnsi="宋体"/>
              </w:rPr>
            </w:pPr>
            <w:r>
              <w:rPr>
                <w:rFonts w:hint="eastAsia" w:ascii="宋体" w:hAnsi="宋体"/>
              </w:rPr>
              <w:t>82621</w:t>
            </w:r>
          </w:p>
        </w:tc>
        <w:tc>
          <w:tcPr>
            <w:tcW w:w="485" w:type="pct"/>
            <w:vAlign w:val="center"/>
          </w:tcPr>
          <w:p w14:paraId="0A7019AA">
            <w:pPr>
              <w:pStyle w:val="12"/>
              <w:jc w:val="center"/>
              <w:rPr>
                <w:rFonts w:ascii="宋体" w:hAnsi="宋体"/>
              </w:rPr>
            </w:pPr>
            <w:r>
              <w:rPr>
                <w:rFonts w:hint="eastAsia" w:ascii="宋体" w:hAnsi="宋体"/>
              </w:rPr>
              <w:t>89175</w:t>
            </w:r>
          </w:p>
        </w:tc>
        <w:tc>
          <w:tcPr>
            <w:tcW w:w="485" w:type="pct"/>
            <w:vAlign w:val="center"/>
          </w:tcPr>
          <w:p w14:paraId="11497A0B">
            <w:pPr>
              <w:pStyle w:val="12"/>
              <w:jc w:val="center"/>
              <w:rPr>
                <w:rFonts w:ascii="宋体" w:hAnsi="宋体"/>
              </w:rPr>
            </w:pPr>
            <w:r>
              <w:rPr>
                <w:rFonts w:hint="eastAsia" w:ascii="宋体" w:hAnsi="宋体"/>
              </w:rPr>
              <w:t>96839</w:t>
            </w:r>
          </w:p>
        </w:tc>
        <w:tc>
          <w:tcPr>
            <w:tcW w:w="485" w:type="pct"/>
            <w:vAlign w:val="center"/>
          </w:tcPr>
          <w:p w14:paraId="7CE09EF1">
            <w:pPr>
              <w:pStyle w:val="12"/>
              <w:jc w:val="center"/>
              <w:rPr>
                <w:rFonts w:ascii="宋体" w:hAnsi="宋体"/>
              </w:rPr>
            </w:pPr>
            <w:r>
              <w:rPr>
                <w:rFonts w:hint="eastAsia" w:ascii="宋体" w:hAnsi="宋体"/>
              </w:rPr>
              <w:t>103522</w:t>
            </w:r>
          </w:p>
        </w:tc>
        <w:tc>
          <w:tcPr>
            <w:tcW w:w="484" w:type="pct"/>
            <w:vAlign w:val="center"/>
          </w:tcPr>
          <w:p w14:paraId="0F311838">
            <w:pPr>
              <w:pStyle w:val="12"/>
              <w:jc w:val="center"/>
              <w:rPr>
                <w:rFonts w:ascii="宋体" w:hAnsi="宋体"/>
              </w:rPr>
            </w:pPr>
            <w:r>
              <w:rPr>
                <w:rFonts w:hint="eastAsia" w:ascii="宋体" w:hAnsi="宋体"/>
              </w:rPr>
              <w:t>116975</w:t>
            </w:r>
          </w:p>
        </w:tc>
        <w:tc>
          <w:tcPr>
            <w:tcW w:w="485" w:type="pct"/>
            <w:vAlign w:val="center"/>
          </w:tcPr>
          <w:p w14:paraId="460DC95E">
            <w:pPr>
              <w:pStyle w:val="12"/>
              <w:jc w:val="center"/>
              <w:rPr>
                <w:rFonts w:ascii="宋体" w:hAnsi="宋体"/>
              </w:rPr>
            </w:pPr>
            <w:r>
              <w:rPr>
                <w:rFonts w:hint="eastAsia" w:ascii="宋体" w:hAnsi="宋体"/>
              </w:rPr>
              <w:t>131948</w:t>
            </w:r>
          </w:p>
        </w:tc>
        <w:tc>
          <w:tcPr>
            <w:tcW w:w="485" w:type="pct"/>
            <w:vAlign w:val="center"/>
          </w:tcPr>
          <w:p w14:paraId="1D148C17">
            <w:pPr>
              <w:pStyle w:val="12"/>
              <w:jc w:val="center"/>
              <w:rPr>
                <w:rFonts w:ascii="宋体" w:hAnsi="宋体"/>
              </w:rPr>
            </w:pPr>
            <w:r>
              <w:rPr>
                <w:rFonts w:hint="eastAsia" w:ascii="宋体" w:hAnsi="宋体"/>
              </w:rPr>
              <w:t>146538</w:t>
            </w:r>
          </w:p>
        </w:tc>
        <w:tc>
          <w:tcPr>
            <w:tcW w:w="485" w:type="pct"/>
            <w:vAlign w:val="center"/>
          </w:tcPr>
          <w:p w14:paraId="5448CC4F">
            <w:pPr>
              <w:pStyle w:val="12"/>
              <w:jc w:val="center"/>
              <w:rPr>
                <w:rFonts w:ascii="宋体" w:hAnsi="宋体"/>
              </w:rPr>
            </w:pPr>
            <w:r>
              <w:rPr>
                <w:rFonts w:hint="eastAsia" w:ascii="宋体" w:hAnsi="宋体"/>
              </w:rPr>
              <w:t>167627</w:t>
            </w:r>
          </w:p>
        </w:tc>
        <w:tc>
          <w:tcPr>
            <w:tcW w:w="485" w:type="pct"/>
            <w:tcBorders>
              <w:right w:val="nil"/>
            </w:tcBorders>
            <w:vAlign w:val="center"/>
          </w:tcPr>
          <w:p w14:paraId="7DBD8318">
            <w:pPr>
              <w:pStyle w:val="12"/>
              <w:jc w:val="center"/>
              <w:rPr>
                <w:rFonts w:ascii="宋体" w:hAnsi="宋体"/>
              </w:rPr>
            </w:pPr>
            <w:r>
              <w:rPr>
                <w:rFonts w:hint="eastAsia" w:ascii="宋体" w:hAnsi="宋体"/>
              </w:rPr>
              <w:t>197503</w:t>
            </w:r>
          </w:p>
        </w:tc>
      </w:tr>
      <w:tr w14:paraId="78FFE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trPr>
        <w:tc>
          <w:tcPr>
            <w:tcW w:w="195" w:type="pct"/>
            <w:vMerge w:val="restart"/>
            <w:tcBorders>
              <w:left w:val="nil"/>
            </w:tcBorders>
            <w:vAlign w:val="center"/>
          </w:tcPr>
          <w:p w14:paraId="3BA17862">
            <w:pPr>
              <w:pStyle w:val="12"/>
              <w:jc w:val="center"/>
              <w:rPr>
                <w:rFonts w:ascii="宋体" w:hAnsi="宋体"/>
              </w:rPr>
            </w:pPr>
            <w:r>
              <w:rPr>
                <w:rFonts w:hint="eastAsia" w:ascii="宋体" w:hAnsi="宋体"/>
              </w:rPr>
              <w:t>国内生产总值</w:t>
            </w:r>
          </w:p>
        </w:tc>
        <w:tc>
          <w:tcPr>
            <w:tcW w:w="444" w:type="pct"/>
            <w:vAlign w:val="center"/>
          </w:tcPr>
          <w:p w14:paraId="281BCC17">
            <w:pPr>
              <w:pStyle w:val="12"/>
              <w:jc w:val="center"/>
              <w:rPr>
                <w:rFonts w:ascii="宋体" w:hAnsi="宋体"/>
              </w:rPr>
            </w:pPr>
            <w:r>
              <w:rPr>
                <w:rFonts w:hint="eastAsia" w:ascii="宋体" w:hAnsi="宋体"/>
              </w:rPr>
              <w:t>总  额</w:t>
            </w:r>
          </w:p>
        </w:tc>
        <w:tc>
          <w:tcPr>
            <w:tcW w:w="484" w:type="pct"/>
            <w:vAlign w:val="center"/>
          </w:tcPr>
          <w:p w14:paraId="227E1147">
            <w:pPr>
              <w:pStyle w:val="12"/>
              <w:jc w:val="center"/>
              <w:rPr>
                <w:rFonts w:ascii="宋体" w:hAnsi="宋体"/>
              </w:rPr>
            </w:pPr>
            <w:r>
              <w:rPr>
                <w:rFonts w:hint="eastAsia" w:ascii="宋体" w:hAnsi="宋体"/>
              </w:rPr>
              <w:t>179579</w:t>
            </w:r>
          </w:p>
        </w:tc>
        <w:tc>
          <w:tcPr>
            <w:tcW w:w="485" w:type="pct"/>
            <w:vAlign w:val="center"/>
          </w:tcPr>
          <w:p w14:paraId="6AA61237">
            <w:pPr>
              <w:pStyle w:val="12"/>
              <w:jc w:val="center"/>
              <w:rPr>
                <w:rFonts w:ascii="宋体" w:hAnsi="宋体"/>
              </w:rPr>
            </w:pPr>
            <w:r>
              <w:rPr>
                <w:rFonts w:hint="eastAsia" w:ascii="宋体" w:hAnsi="宋体"/>
              </w:rPr>
              <w:t>188124</w:t>
            </w:r>
          </w:p>
        </w:tc>
        <w:tc>
          <w:tcPr>
            <w:tcW w:w="485" w:type="pct"/>
            <w:vAlign w:val="center"/>
          </w:tcPr>
          <w:p w14:paraId="24B51D95">
            <w:pPr>
              <w:pStyle w:val="12"/>
              <w:jc w:val="center"/>
              <w:rPr>
                <w:rFonts w:ascii="宋体" w:hAnsi="宋体"/>
              </w:rPr>
            </w:pPr>
            <w:r>
              <w:rPr>
                <w:rFonts w:hint="eastAsia" w:ascii="宋体" w:hAnsi="宋体"/>
              </w:rPr>
              <w:t>194303</w:t>
            </w:r>
          </w:p>
        </w:tc>
        <w:tc>
          <w:tcPr>
            <w:tcW w:w="485" w:type="pct"/>
            <w:vAlign w:val="center"/>
          </w:tcPr>
          <w:p w14:paraId="333FD3C2">
            <w:pPr>
              <w:pStyle w:val="12"/>
              <w:jc w:val="center"/>
              <w:rPr>
                <w:rFonts w:ascii="宋体" w:hAnsi="宋体"/>
              </w:rPr>
            </w:pPr>
            <w:r>
              <w:rPr>
                <w:rFonts w:hint="eastAsia" w:ascii="宋体" w:hAnsi="宋体"/>
              </w:rPr>
              <w:t>208458</w:t>
            </w:r>
          </w:p>
        </w:tc>
        <w:tc>
          <w:tcPr>
            <w:tcW w:w="484" w:type="pct"/>
            <w:vAlign w:val="center"/>
          </w:tcPr>
          <w:p w14:paraId="1009227E">
            <w:pPr>
              <w:pStyle w:val="12"/>
              <w:jc w:val="center"/>
              <w:rPr>
                <w:rFonts w:ascii="宋体" w:hAnsi="宋体"/>
              </w:rPr>
            </w:pPr>
            <w:r>
              <w:rPr>
                <w:rFonts w:hint="eastAsia" w:ascii="宋体" w:hAnsi="宋体"/>
              </w:rPr>
              <w:t>215097</w:t>
            </w:r>
          </w:p>
        </w:tc>
        <w:tc>
          <w:tcPr>
            <w:tcW w:w="485" w:type="pct"/>
            <w:vAlign w:val="center"/>
          </w:tcPr>
          <w:p w14:paraId="4176C71C">
            <w:pPr>
              <w:pStyle w:val="12"/>
              <w:jc w:val="center"/>
              <w:rPr>
                <w:rFonts w:ascii="宋体" w:hAnsi="宋体"/>
              </w:rPr>
            </w:pPr>
            <w:r>
              <w:rPr>
                <w:rFonts w:hint="eastAsia" w:ascii="宋体" w:hAnsi="宋体"/>
              </w:rPr>
              <w:t>227242</w:t>
            </w:r>
          </w:p>
        </w:tc>
        <w:tc>
          <w:tcPr>
            <w:tcW w:w="485" w:type="pct"/>
            <w:vAlign w:val="center"/>
          </w:tcPr>
          <w:p w14:paraId="401CAB1F">
            <w:pPr>
              <w:pStyle w:val="12"/>
              <w:jc w:val="center"/>
              <w:rPr>
                <w:rFonts w:ascii="宋体" w:hAnsi="宋体"/>
              </w:rPr>
            </w:pPr>
            <w:r>
              <w:rPr>
                <w:rFonts w:hint="eastAsia" w:ascii="宋体" w:hAnsi="宋体"/>
              </w:rPr>
              <w:t>232921</w:t>
            </w:r>
          </w:p>
        </w:tc>
        <w:tc>
          <w:tcPr>
            <w:tcW w:w="485" w:type="pct"/>
            <w:vAlign w:val="center"/>
          </w:tcPr>
          <w:p w14:paraId="6679FE17">
            <w:pPr>
              <w:pStyle w:val="12"/>
              <w:jc w:val="center"/>
              <w:rPr>
                <w:rFonts w:ascii="宋体" w:hAnsi="宋体"/>
              </w:rPr>
            </w:pPr>
            <w:r>
              <w:rPr>
                <w:rFonts w:hint="eastAsia" w:ascii="宋体" w:hAnsi="宋体"/>
              </w:rPr>
              <w:t>259653</w:t>
            </w:r>
          </w:p>
        </w:tc>
        <w:tc>
          <w:tcPr>
            <w:tcW w:w="485" w:type="pct"/>
            <w:tcBorders>
              <w:right w:val="nil"/>
            </w:tcBorders>
            <w:vAlign w:val="center"/>
          </w:tcPr>
          <w:p w14:paraId="61390334">
            <w:pPr>
              <w:pStyle w:val="12"/>
              <w:jc w:val="center"/>
              <w:rPr>
                <w:rFonts w:ascii="宋体" w:hAnsi="宋体"/>
              </w:rPr>
            </w:pPr>
            <w:r>
              <w:rPr>
                <w:rFonts w:hint="eastAsia" w:ascii="宋体" w:hAnsi="宋体"/>
              </w:rPr>
              <w:t>301640</w:t>
            </w:r>
          </w:p>
        </w:tc>
      </w:tr>
      <w:tr w14:paraId="1A1AD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trPr>
        <w:tc>
          <w:tcPr>
            <w:tcW w:w="195" w:type="pct"/>
            <w:vMerge w:val="continue"/>
            <w:tcBorders>
              <w:left w:val="nil"/>
            </w:tcBorders>
            <w:vAlign w:val="center"/>
          </w:tcPr>
          <w:p w14:paraId="14BF5399">
            <w:pPr>
              <w:pStyle w:val="12"/>
              <w:jc w:val="center"/>
              <w:rPr>
                <w:rFonts w:ascii="宋体" w:hAnsi="宋体"/>
              </w:rPr>
            </w:pPr>
          </w:p>
        </w:tc>
        <w:tc>
          <w:tcPr>
            <w:tcW w:w="444" w:type="pct"/>
            <w:vAlign w:val="center"/>
          </w:tcPr>
          <w:p w14:paraId="1F8D4807">
            <w:pPr>
              <w:pStyle w:val="12"/>
              <w:jc w:val="center"/>
              <w:rPr>
                <w:rFonts w:ascii="宋体" w:hAnsi="宋体"/>
              </w:rPr>
            </w:pPr>
            <w:r>
              <w:rPr>
                <w:rFonts w:hint="eastAsia" w:ascii="宋体" w:hAnsi="宋体"/>
              </w:rPr>
              <w:t>第一</w:t>
            </w:r>
          </w:p>
          <w:p w14:paraId="5412DDBD">
            <w:pPr>
              <w:pStyle w:val="12"/>
              <w:jc w:val="center"/>
              <w:rPr>
                <w:rFonts w:ascii="宋体" w:hAnsi="宋体"/>
              </w:rPr>
            </w:pPr>
            <w:r>
              <w:rPr>
                <w:rFonts w:hint="eastAsia" w:ascii="宋体" w:hAnsi="宋体"/>
              </w:rPr>
              <w:t>产业</w:t>
            </w:r>
          </w:p>
        </w:tc>
        <w:tc>
          <w:tcPr>
            <w:tcW w:w="484" w:type="pct"/>
            <w:vAlign w:val="center"/>
          </w:tcPr>
          <w:p w14:paraId="72F9982C">
            <w:pPr>
              <w:pStyle w:val="12"/>
              <w:jc w:val="center"/>
              <w:rPr>
                <w:rFonts w:ascii="宋体" w:hAnsi="宋体"/>
              </w:rPr>
            </w:pPr>
            <w:r>
              <w:rPr>
                <w:rFonts w:hint="eastAsia" w:ascii="宋体" w:hAnsi="宋体"/>
              </w:rPr>
              <w:t>80442</w:t>
            </w:r>
          </w:p>
        </w:tc>
        <w:tc>
          <w:tcPr>
            <w:tcW w:w="485" w:type="pct"/>
            <w:vAlign w:val="center"/>
          </w:tcPr>
          <w:p w14:paraId="4C474CC5">
            <w:pPr>
              <w:pStyle w:val="12"/>
              <w:jc w:val="center"/>
              <w:rPr>
                <w:rFonts w:ascii="宋体" w:hAnsi="宋体"/>
              </w:rPr>
            </w:pPr>
            <w:r>
              <w:rPr>
                <w:rFonts w:hint="eastAsia" w:ascii="宋体" w:hAnsi="宋体"/>
              </w:rPr>
              <w:t>84700</w:t>
            </w:r>
          </w:p>
        </w:tc>
        <w:tc>
          <w:tcPr>
            <w:tcW w:w="485" w:type="pct"/>
            <w:vAlign w:val="center"/>
          </w:tcPr>
          <w:p w14:paraId="4099B0AB">
            <w:pPr>
              <w:pStyle w:val="12"/>
              <w:jc w:val="center"/>
              <w:rPr>
                <w:rFonts w:ascii="宋体" w:hAnsi="宋体"/>
              </w:rPr>
            </w:pPr>
            <w:r>
              <w:rPr>
                <w:rFonts w:hint="eastAsia" w:ascii="宋体" w:hAnsi="宋体"/>
              </w:rPr>
              <w:t>81320</w:t>
            </w:r>
          </w:p>
        </w:tc>
        <w:tc>
          <w:tcPr>
            <w:tcW w:w="485" w:type="pct"/>
            <w:vAlign w:val="center"/>
          </w:tcPr>
          <w:p w14:paraId="4246E6F6">
            <w:pPr>
              <w:pStyle w:val="12"/>
              <w:jc w:val="center"/>
              <w:rPr>
                <w:rFonts w:ascii="宋体" w:hAnsi="宋体"/>
              </w:rPr>
            </w:pPr>
            <w:r>
              <w:rPr>
                <w:rFonts w:hint="eastAsia" w:ascii="宋体" w:hAnsi="宋体"/>
              </w:rPr>
              <w:t>84456</w:t>
            </w:r>
          </w:p>
        </w:tc>
        <w:tc>
          <w:tcPr>
            <w:tcW w:w="484" w:type="pct"/>
            <w:vAlign w:val="center"/>
          </w:tcPr>
          <w:p w14:paraId="66D9FDDC">
            <w:pPr>
              <w:pStyle w:val="12"/>
              <w:jc w:val="center"/>
              <w:rPr>
                <w:rFonts w:ascii="宋体" w:hAnsi="宋体"/>
              </w:rPr>
            </w:pPr>
            <w:r>
              <w:rPr>
                <w:rFonts w:hint="eastAsia" w:ascii="宋体" w:hAnsi="宋体"/>
              </w:rPr>
              <w:t>84758</w:t>
            </w:r>
          </w:p>
        </w:tc>
        <w:tc>
          <w:tcPr>
            <w:tcW w:w="485" w:type="pct"/>
            <w:vAlign w:val="center"/>
          </w:tcPr>
          <w:p w14:paraId="1F4B7715">
            <w:pPr>
              <w:pStyle w:val="12"/>
              <w:jc w:val="center"/>
              <w:rPr>
                <w:rFonts w:ascii="宋体" w:hAnsi="宋体"/>
              </w:rPr>
            </w:pPr>
            <w:r>
              <w:rPr>
                <w:rFonts w:hint="eastAsia" w:ascii="宋体" w:hAnsi="宋体"/>
              </w:rPr>
              <w:t>88284</w:t>
            </w:r>
          </w:p>
        </w:tc>
        <w:tc>
          <w:tcPr>
            <w:tcW w:w="485" w:type="pct"/>
            <w:vAlign w:val="center"/>
          </w:tcPr>
          <w:p w14:paraId="58930D25">
            <w:pPr>
              <w:pStyle w:val="12"/>
              <w:jc w:val="center"/>
              <w:rPr>
                <w:rFonts w:ascii="宋体" w:hAnsi="宋体"/>
              </w:rPr>
            </w:pPr>
            <w:r>
              <w:rPr>
                <w:rFonts w:hint="eastAsia" w:ascii="宋体" w:hAnsi="宋体"/>
              </w:rPr>
              <w:t>89068</w:t>
            </w:r>
          </w:p>
        </w:tc>
        <w:tc>
          <w:tcPr>
            <w:tcW w:w="485" w:type="pct"/>
            <w:vAlign w:val="center"/>
          </w:tcPr>
          <w:p w14:paraId="7C27B465">
            <w:pPr>
              <w:pStyle w:val="12"/>
              <w:jc w:val="center"/>
              <w:rPr>
                <w:rFonts w:ascii="宋体" w:hAnsi="宋体"/>
              </w:rPr>
            </w:pPr>
            <w:r>
              <w:rPr>
                <w:rFonts w:hint="eastAsia" w:ascii="宋体" w:hAnsi="宋体"/>
              </w:rPr>
              <w:t>93982</w:t>
            </w:r>
          </w:p>
        </w:tc>
        <w:tc>
          <w:tcPr>
            <w:tcW w:w="485" w:type="pct"/>
            <w:tcBorders>
              <w:right w:val="nil"/>
            </w:tcBorders>
            <w:vAlign w:val="center"/>
          </w:tcPr>
          <w:p w14:paraId="49EDEFB7">
            <w:pPr>
              <w:pStyle w:val="12"/>
              <w:jc w:val="center"/>
              <w:rPr>
                <w:rFonts w:ascii="宋体" w:hAnsi="宋体"/>
              </w:rPr>
            </w:pPr>
            <w:r>
              <w:rPr>
                <w:rFonts w:hint="eastAsia" w:ascii="宋体" w:hAnsi="宋体"/>
              </w:rPr>
              <w:t>107004</w:t>
            </w:r>
          </w:p>
        </w:tc>
      </w:tr>
      <w:tr w14:paraId="52688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trPr>
        <w:tc>
          <w:tcPr>
            <w:tcW w:w="195" w:type="pct"/>
            <w:vMerge w:val="continue"/>
            <w:tcBorders>
              <w:left w:val="nil"/>
            </w:tcBorders>
            <w:vAlign w:val="center"/>
          </w:tcPr>
          <w:p w14:paraId="116C71D7">
            <w:pPr>
              <w:pStyle w:val="12"/>
              <w:jc w:val="center"/>
              <w:rPr>
                <w:rFonts w:ascii="宋体" w:hAnsi="宋体"/>
              </w:rPr>
            </w:pPr>
          </w:p>
        </w:tc>
        <w:tc>
          <w:tcPr>
            <w:tcW w:w="444" w:type="pct"/>
            <w:vAlign w:val="center"/>
          </w:tcPr>
          <w:p w14:paraId="0100E514">
            <w:pPr>
              <w:pStyle w:val="12"/>
              <w:jc w:val="center"/>
              <w:rPr>
                <w:rFonts w:ascii="宋体" w:hAnsi="宋体"/>
              </w:rPr>
            </w:pPr>
            <w:r>
              <w:rPr>
                <w:rFonts w:hint="eastAsia" w:ascii="宋体" w:hAnsi="宋体"/>
              </w:rPr>
              <w:t>第二</w:t>
            </w:r>
          </w:p>
          <w:p w14:paraId="789020B3">
            <w:pPr>
              <w:pStyle w:val="12"/>
              <w:jc w:val="center"/>
              <w:rPr>
                <w:rFonts w:ascii="宋体" w:hAnsi="宋体"/>
              </w:rPr>
            </w:pPr>
            <w:r>
              <w:rPr>
                <w:rFonts w:hint="eastAsia" w:ascii="宋体" w:hAnsi="宋体"/>
              </w:rPr>
              <w:t>产业</w:t>
            </w:r>
          </w:p>
        </w:tc>
        <w:tc>
          <w:tcPr>
            <w:tcW w:w="484" w:type="pct"/>
            <w:vAlign w:val="center"/>
          </w:tcPr>
          <w:p w14:paraId="4AB9998C">
            <w:pPr>
              <w:pStyle w:val="12"/>
              <w:jc w:val="center"/>
              <w:rPr>
                <w:rFonts w:ascii="宋体" w:hAnsi="宋体"/>
              </w:rPr>
            </w:pPr>
            <w:r>
              <w:rPr>
                <w:rFonts w:hint="eastAsia" w:ascii="宋体" w:hAnsi="宋体"/>
              </w:rPr>
              <w:t>51062</w:t>
            </w:r>
          </w:p>
        </w:tc>
        <w:tc>
          <w:tcPr>
            <w:tcW w:w="485" w:type="pct"/>
            <w:vAlign w:val="center"/>
          </w:tcPr>
          <w:p w14:paraId="1230D24F">
            <w:pPr>
              <w:pStyle w:val="12"/>
              <w:jc w:val="center"/>
              <w:rPr>
                <w:rFonts w:ascii="宋体" w:hAnsi="宋体"/>
              </w:rPr>
            </w:pPr>
            <w:r>
              <w:rPr>
                <w:rFonts w:hint="eastAsia" w:ascii="宋体" w:hAnsi="宋体"/>
              </w:rPr>
              <w:t>52594</w:t>
            </w:r>
          </w:p>
        </w:tc>
        <w:tc>
          <w:tcPr>
            <w:tcW w:w="485" w:type="pct"/>
            <w:vAlign w:val="center"/>
          </w:tcPr>
          <w:p w14:paraId="0ED41787">
            <w:pPr>
              <w:pStyle w:val="12"/>
              <w:jc w:val="center"/>
              <w:rPr>
                <w:rFonts w:ascii="宋体" w:hAnsi="宋体"/>
              </w:rPr>
            </w:pPr>
            <w:r>
              <w:rPr>
                <w:rFonts w:hint="eastAsia" w:ascii="宋体" w:hAnsi="宋体"/>
              </w:rPr>
              <w:t>59331</w:t>
            </w:r>
          </w:p>
        </w:tc>
        <w:tc>
          <w:tcPr>
            <w:tcW w:w="485" w:type="pct"/>
            <w:vAlign w:val="center"/>
          </w:tcPr>
          <w:p w14:paraId="45B551C1">
            <w:pPr>
              <w:pStyle w:val="12"/>
              <w:jc w:val="center"/>
              <w:rPr>
                <w:rFonts w:ascii="宋体" w:hAnsi="宋体"/>
              </w:rPr>
            </w:pPr>
            <w:r>
              <w:rPr>
                <w:rFonts w:hint="eastAsia" w:ascii="宋体" w:hAnsi="宋体"/>
              </w:rPr>
              <w:t>65896</w:t>
            </w:r>
          </w:p>
        </w:tc>
        <w:tc>
          <w:tcPr>
            <w:tcW w:w="484" w:type="pct"/>
            <w:vAlign w:val="center"/>
          </w:tcPr>
          <w:p w14:paraId="7F409ADD">
            <w:pPr>
              <w:pStyle w:val="12"/>
              <w:jc w:val="center"/>
              <w:rPr>
                <w:rFonts w:ascii="宋体" w:hAnsi="宋体"/>
              </w:rPr>
            </w:pPr>
            <w:r>
              <w:rPr>
                <w:rFonts w:hint="eastAsia" w:ascii="宋体" w:hAnsi="宋体"/>
              </w:rPr>
              <w:t>64583</w:t>
            </w:r>
          </w:p>
        </w:tc>
        <w:tc>
          <w:tcPr>
            <w:tcW w:w="485" w:type="pct"/>
            <w:vAlign w:val="center"/>
          </w:tcPr>
          <w:p w14:paraId="11D6784F">
            <w:pPr>
              <w:pStyle w:val="12"/>
              <w:jc w:val="center"/>
              <w:rPr>
                <w:rFonts w:ascii="宋体" w:hAnsi="宋体"/>
              </w:rPr>
            </w:pPr>
            <w:r>
              <w:rPr>
                <w:rFonts w:hint="eastAsia" w:ascii="宋体" w:hAnsi="宋体"/>
              </w:rPr>
              <w:t>64612</w:t>
            </w:r>
          </w:p>
        </w:tc>
        <w:tc>
          <w:tcPr>
            <w:tcW w:w="485" w:type="pct"/>
            <w:vAlign w:val="center"/>
          </w:tcPr>
          <w:p w14:paraId="3ABE9F5F">
            <w:pPr>
              <w:pStyle w:val="12"/>
              <w:jc w:val="center"/>
              <w:rPr>
                <w:rFonts w:ascii="宋体" w:hAnsi="宋体"/>
              </w:rPr>
            </w:pPr>
            <w:r>
              <w:rPr>
                <w:rFonts w:hint="eastAsia" w:ascii="宋体" w:hAnsi="宋体"/>
              </w:rPr>
              <w:t>61346</w:t>
            </w:r>
          </w:p>
        </w:tc>
        <w:tc>
          <w:tcPr>
            <w:tcW w:w="485" w:type="pct"/>
            <w:vAlign w:val="center"/>
          </w:tcPr>
          <w:p w14:paraId="25AD3C7E">
            <w:pPr>
              <w:pStyle w:val="12"/>
              <w:jc w:val="center"/>
              <w:rPr>
                <w:rFonts w:ascii="宋体" w:hAnsi="宋体"/>
              </w:rPr>
            </w:pPr>
            <w:r>
              <w:rPr>
                <w:rFonts w:hint="eastAsia" w:ascii="宋体" w:hAnsi="宋体"/>
              </w:rPr>
              <w:t>72450</w:t>
            </w:r>
          </w:p>
        </w:tc>
        <w:tc>
          <w:tcPr>
            <w:tcW w:w="485" w:type="pct"/>
            <w:tcBorders>
              <w:right w:val="nil"/>
            </w:tcBorders>
            <w:vAlign w:val="center"/>
          </w:tcPr>
          <w:p w14:paraId="13FF1E73">
            <w:pPr>
              <w:pStyle w:val="12"/>
              <w:jc w:val="center"/>
              <w:rPr>
                <w:rFonts w:ascii="宋体" w:hAnsi="宋体"/>
              </w:rPr>
            </w:pPr>
            <w:r>
              <w:rPr>
                <w:rFonts w:hint="eastAsia" w:ascii="宋体" w:hAnsi="宋体"/>
              </w:rPr>
              <w:t>85053</w:t>
            </w:r>
          </w:p>
        </w:tc>
      </w:tr>
      <w:tr w14:paraId="12126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trPr>
        <w:tc>
          <w:tcPr>
            <w:tcW w:w="195" w:type="pct"/>
            <w:vMerge w:val="continue"/>
            <w:tcBorders>
              <w:left w:val="nil"/>
            </w:tcBorders>
            <w:vAlign w:val="center"/>
          </w:tcPr>
          <w:p w14:paraId="21FB85AF">
            <w:pPr>
              <w:pStyle w:val="12"/>
              <w:jc w:val="center"/>
              <w:rPr>
                <w:rFonts w:ascii="宋体" w:hAnsi="宋体"/>
              </w:rPr>
            </w:pPr>
          </w:p>
        </w:tc>
        <w:tc>
          <w:tcPr>
            <w:tcW w:w="444" w:type="pct"/>
            <w:vAlign w:val="center"/>
          </w:tcPr>
          <w:p w14:paraId="5B2694C2">
            <w:pPr>
              <w:pStyle w:val="12"/>
              <w:jc w:val="center"/>
              <w:rPr>
                <w:rFonts w:ascii="宋体" w:hAnsi="宋体"/>
              </w:rPr>
            </w:pPr>
            <w:r>
              <w:rPr>
                <w:rFonts w:hint="eastAsia" w:ascii="宋体" w:hAnsi="宋体"/>
              </w:rPr>
              <w:t>第三</w:t>
            </w:r>
          </w:p>
          <w:p w14:paraId="26AEACA8">
            <w:pPr>
              <w:pStyle w:val="12"/>
              <w:jc w:val="center"/>
              <w:rPr>
                <w:rFonts w:ascii="宋体" w:hAnsi="宋体"/>
              </w:rPr>
            </w:pPr>
            <w:r>
              <w:rPr>
                <w:rFonts w:hint="eastAsia" w:ascii="宋体" w:hAnsi="宋体"/>
              </w:rPr>
              <w:t>产业</w:t>
            </w:r>
          </w:p>
        </w:tc>
        <w:tc>
          <w:tcPr>
            <w:tcW w:w="484" w:type="pct"/>
            <w:vAlign w:val="center"/>
          </w:tcPr>
          <w:p w14:paraId="23FAB299">
            <w:pPr>
              <w:pStyle w:val="12"/>
              <w:jc w:val="center"/>
              <w:rPr>
                <w:rFonts w:ascii="宋体" w:hAnsi="宋体"/>
              </w:rPr>
            </w:pPr>
            <w:r>
              <w:rPr>
                <w:rFonts w:hint="eastAsia" w:ascii="宋体" w:hAnsi="宋体"/>
              </w:rPr>
              <w:t>48075</w:t>
            </w:r>
          </w:p>
        </w:tc>
        <w:tc>
          <w:tcPr>
            <w:tcW w:w="485" w:type="pct"/>
            <w:vAlign w:val="center"/>
          </w:tcPr>
          <w:p w14:paraId="3376F5C8">
            <w:pPr>
              <w:pStyle w:val="12"/>
              <w:jc w:val="center"/>
              <w:rPr>
                <w:rFonts w:ascii="宋体" w:hAnsi="宋体"/>
              </w:rPr>
            </w:pPr>
            <w:r>
              <w:rPr>
                <w:rFonts w:hint="eastAsia" w:ascii="宋体" w:hAnsi="宋体"/>
              </w:rPr>
              <w:t>50830</w:t>
            </w:r>
          </w:p>
        </w:tc>
        <w:tc>
          <w:tcPr>
            <w:tcW w:w="485" w:type="pct"/>
            <w:vAlign w:val="center"/>
          </w:tcPr>
          <w:p w14:paraId="7BBD3C10">
            <w:pPr>
              <w:pStyle w:val="12"/>
              <w:jc w:val="center"/>
              <w:rPr>
                <w:rFonts w:ascii="宋体" w:hAnsi="宋体"/>
              </w:rPr>
            </w:pPr>
            <w:r>
              <w:rPr>
                <w:rFonts w:hint="eastAsia" w:ascii="宋体" w:hAnsi="宋体"/>
              </w:rPr>
              <w:t>53653</w:t>
            </w:r>
          </w:p>
        </w:tc>
        <w:tc>
          <w:tcPr>
            <w:tcW w:w="485" w:type="pct"/>
            <w:vAlign w:val="center"/>
          </w:tcPr>
          <w:p w14:paraId="3CFDC724">
            <w:pPr>
              <w:pStyle w:val="12"/>
              <w:jc w:val="center"/>
              <w:rPr>
                <w:rFonts w:ascii="宋体" w:hAnsi="宋体"/>
              </w:rPr>
            </w:pPr>
            <w:r>
              <w:rPr>
                <w:rFonts w:hint="eastAsia" w:ascii="宋体" w:hAnsi="宋体"/>
              </w:rPr>
              <w:t>58106</w:t>
            </w:r>
          </w:p>
        </w:tc>
        <w:tc>
          <w:tcPr>
            <w:tcW w:w="484" w:type="pct"/>
            <w:vAlign w:val="center"/>
          </w:tcPr>
          <w:p w14:paraId="509D647C">
            <w:pPr>
              <w:pStyle w:val="12"/>
              <w:jc w:val="center"/>
              <w:rPr>
                <w:rFonts w:ascii="宋体" w:hAnsi="宋体"/>
              </w:rPr>
            </w:pPr>
            <w:r>
              <w:rPr>
                <w:rFonts w:hint="eastAsia" w:ascii="宋体" w:hAnsi="宋体"/>
              </w:rPr>
              <w:t>65756</w:t>
            </w:r>
          </w:p>
        </w:tc>
        <w:tc>
          <w:tcPr>
            <w:tcW w:w="485" w:type="pct"/>
            <w:vAlign w:val="center"/>
          </w:tcPr>
          <w:p w14:paraId="2484D132">
            <w:pPr>
              <w:pStyle w:val="12"/>
              <w:jc w:val="center"/>
              <w:rPr>
                <w:rFonts w:ascii="宋体" w:hAnsi="宋体"/>
              </w:rPr>
            </w:pPr>
            <w:r>
              <w:rPr>
                <w:rFonts w:hint="eastAsia" w:ascii="宋体" w:hAnsi="宋体"/>
              </w:rPr>
              <w:t>74346</w:t>
            </w:r>
          </w:p>
        </w:tc>
        <w:tc>
          <w:tcPr>
            <w:tcW w:w="485" w:type="pct"/>
            <w:vAlign w:val="center"/>
          </w:tcPr>
          <w:p w14:paraId="5D9C9AE3">
            <w:pPr>
              <w:pStyle w:val="12"/>
              <w:jc w:val="center"/>
              <w:rPr>
                <w:rFonts w:ascii="宋体" w:hAnsi="宋体"/>
              </w:rPr>
            </w:pPr>
            <w:r>
              <w:rPr>
                <w:rFonts w:hint="eastAsia" w:ascii="宋体" w:hAnsi="宋体"/>
              </w:rPr>
              <w:t>82507</w:t>
            </w:r>
          </w:p>
        </w:tc>
        <w:tc>
          <w:tcPr>
            <w:tcW w:w="485" w:type="pct"/>
            <w:vAlign w:val="center"/>
          </w:tcPr>
          <w:p w14:paraId="74A2AFC9">
            <w:pPr>
              <w:pStyle w:val="12"/>
              <w:jc w:val="center"/>
              <w:rPr>
                <w:rFonts w:ascii="宋体" w:hAnsi="宋体"/>
              </w:rPr>
            </w:pPr>
            <w:r>
              <w:rPr>
                <w:rFonts w:hint="eastAsia" w:ascii="宋体" w:hAnsi="宋体"/>
              </w:rPr>
              <w:t>93221</w:t>
            </w:r>
          </w:p>
        </w:tc>
        <w:tc>
          <w:tcPr>
            <w:tcW w:w="485" w:type="pct"/>
            <w:tcBorders>
              <w:right w:val="nil"/>
            </w:tcBorders>
            <w:vAlign w:val="center"/>
          </w:tcPr>
          <w:p w14:paraId="7E6407A1">
            <w:pPr>
              <w:pStyle w:val="12"/>
              <w:jc w:val="center"/>
              <w:rPr>
                <w:rFonts w:ascii="宋体" w:hAnsi="宋体"/>
              </w:rPr>
            </w:pPr>
            <w:r>
              <w:rPr>
                <w:rFonts w:hint="eastAsia" w:ascii="宋体" w:hAnsi="宋体"/>
              </w:rPr>
              <w:t>109583</w:t>
            </w:r>
          </w:p>
        </w:tc>
      </w:tr>
      <w:tr w14:paraId="1BDFB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trPr>
        <w:tc>
          <w:tcPr>
            <w:tcW w:w="195" w:type="pct"/>
            <w:vMerge w:val="restart"/>
            <w:tcBorders>
              <w:left w:val="nil"/>
            </w:tcBorders>
            <w:vAlign w:val="center"/>
          </w:tcPr>
          <w:p w14:paraId="474E6D59">
            <w:pPr>
              <w:pStyle w:val="12"/>
              <w:jc w:val="center"/>
              <w:rPr>
                <w:rFonts w:ascii="宋体" w:hAnsi="宋体"/>
              </w:rPr>
            </w:pPr>
            <w:r>
              <w:rPr>
                <w:rFonts w:hint="eastAsia" w:ascii="宋体" w:hAnsi="宋体"/>
              </w:rPr>
              <w:t>全社会固定资产投资</w:t>
            </w:r>
          </w:p>
        </w:tc>
        <w:tc>
          <w:tcPr>
            <w:tcW w:w="444" w:type="pct"/>
            <w:vAlign w:val="center"/>
          </w:tcPr>
          <w:p w14:paraId="1975C262">
            <w:pPr>
              <w:pStyle w:val="12"/>
              <w:jc w:val="center"/>
              <w:rPr>
                <w:rFonts w:ascii="宋体" w:hAnsi="宋体"/>
              </w:rPr>
            </w:pPr>
            <w:r>
              <w:rPr>
                <w:rFonts w:hint="eastAsia" w:ascii="宋体" w:hAnsi="宋体"/>
              </w:rPr>
              <w:t>总  额</w:t>
            </w:r>
          </w:p>
        </w:tc>
        <w:tc>
          <w:tcPr>
            <w:tcW w:w="484" w:type="pct"/>
            <w:vAlign w:val="center"/>
          </w:tcPr>
          <w:p w14:paraId="799EA32E">
            <w:pPr>
              <w:pStyle w:val="12"/>
              <w:jc w:val="center"/>
              <w:rPr>
                <w:rFonts w:ascii="宋体" w:hAnsi="宋体"/>
              </w:rPr>
            </w:pPr>
            <w:r>
              <w:rPr>
                <w:rFonts w:hint="eastAsia" w:ascii="宋体" w:hAnsi="宋体"/>
              </w:rPr>
              <w:t>13775</w:t>
            </w:r>
          </w:p>
        </w:tc>
        <w:tc>
          <w:tcPr>
            <w:tcW w:w="485" w:type="pct"/>
            <w:vAlign w:val="center"/>
          </w:tcPr>
          <w:p w14:paraId="7A722C0A">
            <w:pPr>
              <w:pStyle w:val="12"/>
              <w:jc w:val="center"/>
              <w:rPr>
                <w:rFonts w:ascii="宋体" w:hAnsi="宋体"/>
              </w:rPr>
            </w:pPr>
            <w:r>
              <w:rPr>
                <w:rFonts w:hint="eastAsia" w:ascii="宋体" w:hAnsi="宋体"/>
              </w:rPr>
              <w:t>19816</w:t>
            </w:r>
          </w:p>
        </w:tc>
        <w:tc>
          <w:tcPr>
            <w:tcW w:w="485" w:type="pct"/>
            <w:vAlign w:val="center"/>
          </w:tcPr>
          <w:p w14:paraId="4C028CA1">
            <w:pPr>
              <w:pStyle w:val="12"/>
              <w:jc w:val="center"/>
              <w:rPr>
                <w:rFonts w:ascii="宋体" w:hAnsi="宋体"/>
              </w:rPr>
            </w:pPr>
            <w:r>
              <w:rPr>
                <w:rFonts w:hint="eastAsia" w:ascii="宋体" w:hAnsi="宋体"/>
              </w:rPr>
              <w:t>45823</w:t>
            </w:r>
          </w:p>
        </w:tc>
        <w:tc>
          <w:tcPr>
            <w:tcW w:w="485" w:type="pct"/>
            <w:vAlign w:val="center"/>
          </w:tcPr>
          <w:p w14:paraId="5954CA7F">
            <w:pPr>
              <w:pStyle w:val="12"/>
              <w:jc w:val="center"/>
              <w:rPr>
                <w:rFonts w:ascii="宋体" w:hAnsi="宋体"/>
              </w:rPr>
            </w:pPr>
            <w:r>
              <w:rPr>
                <w:rFonts w:hint="eastAsia" w:ascii="宋体" w:hAnsi="宋体"/>
              </w:rPr>
              <w:t>68620</w:t>
            </w:r>
          </w:p>
        </w:tc>
        <w:tc>
          <w:tcPr>
            <w:tcW w:w="484" w:type="pct"/>
            <w:vAlign w:val="center"/>
          </w:tcPr>
          <w:p w14:paraId="141C6621">
            <w:pPr>
              <w:pStyle w:val="12"/>
              <w:jc w:val="center"/>
              <w:rPr>
                <w:rFonts w:ascii="宋体" w:hAnsi="宋体"/>
              </w:rPr>
            </w:pPr>
            <w:r>
              <w:rPr>
                <w:rFonts w:hint="eastAsia" w:ascii="宋体" w:hAnsi="宋体"/>
              </w:rPr>
              <w:t>56904</w:t>
            </w:r>
          </w:p>
        </w:tc>
        <w:tc>
          <w:tcPr>
            <w:tcW w:w="485" w:type="pct"/>
            <w:vAlign w:val="center"/>
          </w:tcPr>
          <w:p w14:paraId="57D870C3">
            <w:pPr>
              <w:pStyle w:val="12"/>
              <w:jc w:val="center"/>
              <w:rPr>
                <w:rFonts w:ascii="宋体" w:hAnsi="宋体"/>
              </w:rPr>
            </w:pPr>
            <w:r>
              <w:rPr>
                <w:rFonts w:hint="eastAsia" w:ascii="宋体" w:hAnsi="宋体"/>
              </w:rPr>
              <w:t>55497</w:t>
            </w:r>
          </w:p>
        </w:tc>
        <w:tc>
          <w:tcPr>
            <w:tcW w:w="485" w:type="pct"/>
            <w:vAlign w:val="center"/>
          </w:tcPr>
          <w:p w14:paraId="2D044508">
            <w:pPr>
              <w:pStyle w:val="12"/>
              <w:jc w:val="center"/>
              <w:rPr>
                <w:rFonts w:ascii="宋体" w:hAnsi="宋体"/>
              </w:rPr>
            </w:pPr>
            <w:r>
              <w:rPr>
                <w:rFonts w:hint="eastAsia" w:ascii="宋体" w:hAnsi="宋体"/>
              </w:rPr>
              <w:t>58970</w:t>
            </w:r>
          </w:p>
        </w:tc>
        <w:tc>
          <w:tcPr>
            <w:tcW w:w="485" w:type="pct"/>
            <w:vAlign w:val="center"/>
          </w:tcPr>
          <w:p w14:paraId="24F1DC24">
            <w:pPr>
              <w:pStyle w:val="12"/>
              <w:jc w:val="center"/>
              <w:rPr>
                <w:rFonts w:ascii="宋体" w:hAnsi="宋体"/>
              </w:rPr>
            </w:pPr>
            <w:r>
              <w:rPr>
                <w:rFonts w:hint="eastAsia" w:ascii="宋体" w:hAnsi="宋体"/>
              </w:rPr>
              <w:t>77138</w:t>
            </w:r>
          </w:p>
        </w:tc>
        <w:tc>
          <w:tcPr>
            <w:tcW w:w="485" w:type="pct"/>
            <w:tcBorders>
              <w:right w:val="nil"/>
            </w:tcBorders>
            <w:vAlign w:val="center"/>
          </w:tcPr>
          <w:p w14:paraId="5F22EE43">
            <w:pPr>
              <w:pStyle w:val="12"/>
              <w:jc w:val="center"/>
              <w:rPr>
                <w:rFonts w:ascii="宋体" w:hAnsi="宋体"/>
              </w:rPr>
            </w:pPr>
            <w:r>
              <w:rPr>
                <w:rFonts w:hint="eastAsia" w:ascii="宋体" w:hAnsi="宋体"/>
              </w:rPr>
              <w:t>78305</w:t>
            </w:r>
          </w:p>
        </w:tc>
      </w:tr>
      <w:tr w14:paraId="2533F8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trPr>
        <w:tc>
          <w:tcPr>
            <w:tcW w:w="195" w:type="pct"/>
            <w:vMerge w:val="continue"/>
            <w:tcBorders>
              <w:left w:val="nil"/>
            </w:tcBorders>
            <w:vAlign w:val="center"/>
          </w:tcPr>
          <w:p w14:paraId="1B28EA56">
            <w:pPr>
              <w:pStyle w:val="12"/>
              <w:jc w:val="center"/>
              <w:rPr>
                <w:rFonts w:ascii="宋体" w:hAnsi="宋体"/>
              </w:rPr>
            </w:pPr>
          </w:p>
        </w:tc>
        <w:tc>
          <w:tcPr>
            <w:tcW w:w="444" w:type="pct"/>
            <w:vAlign w:val="center"/>
          </w:tcPr>
          <w:p w14:paraId="6243C55F">
            <w:pPr>
              <w:pStyle w:val="12"/>
              <w:jc w:val="center"/>
              <w:rPr>
                <w:rFonts w:ascii="宋体" w:hAnsi="宋体"/>
              </w:rPr>
            </w:pPr>
            <w:r>
              <w:rPr>
                <w:rFonts w:hint="eastAsia" w:ascii="宋体" w:hAnsi="宋体"/>
              </w:rPr>
              <w:t>国有制</w:t>
            </w:r>
          </w:p>
          <w:p w14:paraId="50C72BE4">
            <w:pPr>
              <w:pStyle w:val="12"/>
              <w:jc w:val="center"/>
              <w:rPr>
                <w:rFonts w:ascii="宋体" w:hAnsi="宋体"/>
              </w:rPr>
            </w:pPr>
            <w:r>
              <w:rPr>
                <w:rFonts w:hint="eastAsia" w:ascii="宋体" w:hAnsi="宋体"/>
              </w:rPr>
              <w:t>单位</w:t>
            </w:r>
          </w:p>
        </w:tc>
        <w:tc>
          <w:tcPr>
            <w:tcW w:w="484" w:type="pct"/>
            <w:vAlign w:val="center"/>
          </w:tcPr>
          <w:p w14:paraId="5D36BAC8">
            <w:pPr>
              <w:pStyle w:val="12"/>
              <w:jc w:val="center"/>
              <w:rPr>
                <w:rFonts w:ascii="宋体" w:hAnsi="宋体"/>
              </w:rPr>
            </w:pPr>
            <w:r>
              <w:rPr>
                <w:rFonts w:hint="eastAsia" w:ascii="宋体" w:hAnsi="宋体"/>
              </w:rPr>
              <w:t>8152</w:t>
            </w:r>
          </w:p>
        </w:tc>
        <w:tc>
          <w:tcPr>
            <w:tcW w:w="485" w:type="pct"/>
            <w:vAlign w:val="center"/>
          </w:tcPr>
          <w:p w14:paraId="7C0733AB">
            <w:pPr>
              <w:pStyle w:val="12"/>
              <w:jc w:val="center"/>
              <w:rPr>
                <w:rFonts w:ascii="宋体" w:hAnsi="宋体"/>
              </w:rPr>
            </w:pPr>
            <w:r>
              <w:rPr>
                <w:rFonts w:hint="eastAsia" w:ascii="宋体" w:hAnsi="宋体"/>
              </w:rPr>
              <w:t>11660</w:t>
            </w:r>
          </w:p>
        </w:tc>
        <w:tc>
          <w:tcPr>
            <w:tcW w:w="485" w:type="pct"/>
            <w:vAlign w:val="center"/>
          </w:tcPr>
          <w:p w14:paraId="3C1E9991">
            <w:pPr>
              <w:pStyle w:val="12"/>
              <w:jc w:val="center"/>
              <w:rPr>
                <w:rFonts w:ascii="宋体" w:hAnsi="宋体"/>
              </w:rPr>
            </w:pPr>
            <w:r>
              <w:rPr>
                <w:rFonts w:hint="eastAsia" w:ascii="宋体" w:hAnsi="宋体"/>
              </w:rPr>
              <w:t>14730</w:t>
            </w:r>
          </w:p>
        </w:tc>
        <w:tc>
          <w:tcPr>
            <w:tcW w:w="485" w:type="pct"/>
            <w:vAlign w:val="center"/>
          </w:tcPr>
          <w:p w14:paraId="03424B80">
            <w:pPr>
              <w:pStyle w:val="12"/>
              <w:jc w:val="center"/>
              <w:rPr>
                <w:rFonts w:ascii="宋体" w:hAnsi="宋体"/>
              </w:rPr>
            </w:pPr>
            <w:r>
              <w:rPr>
                <w:rFonts w:hint="eastAsia" w:ascii="宋体" w:hAnsi="宋体"/>
              </w:rPr>
              <w:t>23644</w:t>
            </w:r>
          </w:p>
        </w:tc>
        <w:tc>
          <w:tcPr>
            <w:tcW w:w="484" w:type="pct"/>
            <w:vAlign w:val="center"/>
          </w:tcPr>
          <w:p w14:paraId="5209E9E7">
            <w:pPr>
              <w:pStyle w:val="12"/>
              <w:jc w:val="center"/>
              <w:rPr>
                <w:rFonts w:ascii="宋体" w:hAnsi="宋体"/>
              </w:rPr>
            </w:pPr>
            <w:r>
              <w:rPr>
                <w:rFonts w:hint="eastAsia" w:ascii="宋体" w:hAnsi="宋体"/>
              </w:rPr>
              <w:t>23916</w:t>
            </w:r>
          </w:p>
        </w:tc>
        <w:tc>
          <w:tcPr>
            <w:tcW w:w="485" w:type="pct"/>
            <w:vAlign w:val="center"/>
          </w:tcPr>
          <w:p w14:paraId="0F67AE28">
            <w:pPr>
              <w:pStyle w:val="12"/>
              <w:jc w:val="center"/>
              <w:rPr>
                <w:rFonts w:ascii="宋体" w:hAnsi="宋体"/>
              </w:rPr>
            </w:pPr>
            <w:r>
              <w:rPr>
                <w:rFonts w:hint="eastAsia" w:ascii="宋体" w:hAnsi="宋体"/>
              </w:rPr>
              <w:t>28636</w:t>
            </w:r>
          </w:p>
        </w:tc>
        <w:tc>
          <w:tcPr>
            <w:tcW w:w="485" w:type="pct"/>
            <w:vAlign w:val="center"/>
          </w:tcPr>
          <w:p w14:paraId="42030277">
            <w:pPr>
              <w:pStyle w:val="12"/>
              <w:jc w:val="center"/>
              <w:rPr>
                <w:rFonts w:ascii="宋体" w:hAnsi="宋体"/>
              </w:rPr>
            </w:pPr>
            <w:r>
              <w:rPr>
                <w:rFonts w:hint="eastAsia" w:ascii="宋体" w:hAnsi="宋体"/>
              </w:rPr>
              <w:t>31918</w:t>
            </w:r>
          </w:p>
        </w:tc>
        <w:tc>
          <w:tcPr>
            <w:tcW w:w="485" w:type="pct"/>
            <w:vAlign w:val="center"/>
          </w:tcPr>
          <w:p w14:paraId="51913615">
            <w:pPr>
              <w:pStyle w:val="12"/>
              <w:jc w:val="center"/>
              <w:rPr>
                <w:rFonts w:ascii="宋体" w:hAnsi="宋体"/>
              </w:rPr>
            </w:pPr>
            <w:r>
              <w:rPr>
                <w:rFonts w:hint="eastAsia" w:ascii="宋体" w:hAnsi="宋体"/>
              </w:rPr>
              <w:t>32954</w:t>
            </w:r>
          </w:p>
        </w:tc>
        <w:tc>
          <w:tcPr>
            <w:tcW w:w="485" w:type="pct"/>
            <w:tcBorders>
              <w:right w:val="nil"/>
            </w:tcBorders>
            <w:vAlign w:val="center"/>
          </w:tcPr>
          <w:p w14:paraId="3799BFCB">
            <w:pPr>
              <w:pStyle w:val="12"/>
              <w:jc w:val="center"/>
              <w:rPr>
                <w:rFonts w:ascii="宋体" w:hAnsi="宋体"/>
              </w:rPr>
            </w:pPr>
            <w:r>
              <w:rPr>
                <w:rFonts w:hint="eastAsia" w:ascii="宋体" w:hAnsi="宋体"/>
              </w:rPr>
              <w:t>34791</w:t>
            </w:r>
          </w:p>
        </w:tc>
      </w:tr>
      <w:tr w14:paraId="6049C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trPr>
        <w:tc>
          <w:tcPr>
            <w:tcW w:w="195" w:type="pct"/>
            <w:vMerge w:val="continue"/>
            <w:tcBorders>
              <w:left w:val="nil"/>
            </w:tcBorders>
            <w:vAlign w:val="center"/>
          </w:tcPr>
          <w:p w14:paraId="76EC76E2">
            <w:pPr>
              <w:pStyle w:val="12"/>
              <w:jc w:val="center"/>
              <w:rPr>
                <w:rFonts w:ascii="宋体" w:hAnsi="宋体"/>
              </w:rPr>
            </w:pPr>
          </w:p>
        </w:tc>
        <w:tc>
          <w:tcPr>
            <w:tcW w:w="444" w:type="pct"/>
            <w:vAlign w:val="center"/>
          </w:tcPr>
          <w:p w14:paraId="39557303">
            <w:pPr>
              <w:pStyle w:val="12"/>
              <w:jc w:val="center"/>
              <w:rPr>
                <w:rFonts w:ascii="宋体" w:hAnsi="宋体"/>
              </w:rPr>
            </w:pPr>
            <w:r>
              <w:rPr>
                <w:rFonts w:hint="eastAsia" w:ascii="宋体" w:hAnsi="宋体"/>
              </w:rPr>
              <w:t>集体所</w:t>
            </w:r>
          </w:p>
          <w:p w14:paraId="6854A87B">
            <w:pPr>
              <w:pStyle w:val="12"/>
              <w:jc w:val="center"/>
              <w:rPr>
                <w:rFonts w:ascii="宋体" w:hAnsi="宋体"/>
              </w:rPr>
            </w:pPr>
            <w:r>
              <w:rPr>
                <w:rFonts w:hint="eastAsia" w:ascii="宋体" w:hAnsi="宋体"/>
              </w:rPr>
              <w:t>有制</w:t>
            </w:r>
          </w:p>
        </w:tc>
        <w:tc>
          <w:tcPr>
            <w:tcW w:w="484" w:type="pct"/>
            <w:vAlign w:val="center"/>
          </w:tcPr>
          <w:p w14:paraId="553A2FB3">
            <w:pPr>
              <w:pStyle w:val="12"/>
              <w:jc w:val="center"/>
              <w:rPr>
                <w:rFonts w:ascii="宋体" w:hAnsi="宋体"/>
              </w:rPr>
            </w:pPr>
            <w:r>
              <w:rPr>
                <w:rFonts w:hint="eastAsia" w:ascii="宋体" w:hAnsi="宋体"/>
              </w:rPr>
              <w:t>1057</w:t>
            </w:r>
          </w:p>
        </w:tc>
        <w:tc>
          <w:tcPr>
            <w:tcW w:w="485" w:type="pct"/>
            <w:vAlign w:val="center"/>
          </w:tcPr>
          <w:p w14:paraId="5AA75CBB">
            <w:pPr>
              <w:pStyle w:val="12"/>
              <w:jc w:val="center"/>
              <w:rPr>
                <w:rFonts w:ascii="宋体" w:hAnsi="宋体"/>
              </w:rPr>
            </w:pPr>
            <w:r>
              <w:rPr>
                <w:rFonts w:hint="eastAsia" w:ascii="宋体" w:hAnsi="宋体"/>
              </w:rPr>
              <w:t>997</w:t>
            </w:r>
          </w:p>
        </w:tc>
        <w:tc>
          <w:tcPr>
            <w:tcW w:w="485" w:type="pct"/>
            <w:vAlign w:val="center"/>
          </w:tcPr>
          <w:p w14:paraId="07C54E65">
            <w:pPr>
              <w:pStyle w:val="12"/>
              <w:jc w:val="center"/>
              <w:rPr>
                <w:rFonts w:ascii="宋体" w:hAnsi="宋体"/>
              </w:rPr>
            </w:pPr>
            <w:r>
              <w:rPr>
                <w:rFonts w:hint="eastAsia" w:ascii="宋体" w:hAnsi="宋体"/>
              </w:rPr>
              <w:t>2238</w:t>
            </w:r>
          </w:p>
        </w:tc>
        <w:tc>
          <w:tcPr>
            <w:tcW w:w="485" w:type="pct"/>
            <w:vAlign w:val="center"/>
          </w:tcPr>
          <w:p w14:paraId="238F3485">
            <w:pPr>
              <w:pStyle w:val="12"/>
              <w:jc w:val="center"/>
              <w:rPr>
                <w:rFonts w:ascii="宋体" w:hAnsi="宋体"/>
              </w:rPr>
            </w:pPr>
            <w:r>
              <w:rPr>
                <w:rFonts w:hint="eastAsia" w:ascii="宋体" w:hAnsi="宋体"/>
              </w:rPr>
              <w:t>2217</w:t>
            </w:r>
          </w:p>
        </w:tc>
        <w:tc>
          <w:tcPr>
            <w:tcW w:w="484" w:type="pct"/>
            <w:vAlign w:val="center"/>
          </w:tcPr>
          <w:p w14:paraId="16DF3F28">
            <w:pPr>
              <w:pStyle w:val="12"/>
              <w:jc w:val="center"/>
              <w:rPr>
                <w:rFonts w:ascii="宋体" w:hAnsi="宋体"/>
              </w:rPr>
            </w:pPr>
            <w:r>
              <w:rPr>
                <w:rFonts w:hint="eastAsia" w:ascii="宋体" w:hAnsi="宋体"/>
              </w:rPr>
              <w:t>2109</w:t>
            </w:r>
          </w:p>
        </w:tc>
        <w:tc>
          <w:tcPr>
            <w:tcW w:w="485" w:type="pct"/>
            <w:vAlign w:val="center"/>
          </w:tcPr>
          <w:p w14:paraId="1A44D33C">
            <w:pPr>
              <w:pStyle w:val="12"/>
              <w:jc w:val="center"/>
              <w:rPr>
                <w:rFonts w:ascii="宋体" w:hAnsi="宋体"/>
              </w:rPr>
            </w:pPr>
            <w:r>
              <w:rPr>
                <w:rFonts w:hint="eastAsia" w:ascii="宋体" w:hAnsi="宋体"/>
              </w:rPr>
              <w:t>2278</w:t>
            </w:r>
          </w:p>
        </w:tc>
        <w:tc>
          <w:tcPr>
            <w:tcW w:w="485" w:type="pct"/>
            <w:vAlign w:val="center"/>
          </w:tcPr>
          <w:p w14:paraId="52F448F0">
            <w:pPr>
              <w:pStyle w:val="12"/>
              <w:jc w:val="center"/>
              <w:rPr>
                <w:rFonts w:ascii="宋体" w:hAnsi="宋体"/>
              </w:rPr>
            </w:pPr>
            <w:r>
              <w:rPr>
                <w:rFonts w:hint="eastAsia" w:ascii="宋体" w:hAnsi="宋体"/>
              </w:rPr>
              <w:t>2737</w:t>
            </w:r>
          </w:p>
        </w:tc>
        <w:tc>
          <w:tcPr>
            <w:tcW w:w="485" w:type="pct"/>
            <w:vAlign w:val="center"/>
          </w:tcPr>
          <w:p w14:paraId="4C9FE089">
            <w:pPr>
              <w:pStyle w:val="12"/>
              <w:jc w:val="center"/>
              <w:rPr>
                <w:rFonts w:ascii="宋体" w:hAnsi="宋体"/>
              </w:rPr>
            </w:pPr>
            <w:r>
              <w:rPr>
                <w:rFonts w:hint="eastAsia" w:ascii="宋体" w:hAnsi="宋体"/>
              </w:rPr>
              <w:t>1650</w:t>
            </w:r>
          </w:p>
        </w:tc>
        <w:tc>
          <w:tcPr>
            <w:tcW w:w="485" w:type="pct"/>
            <w:tcBorders>
              <w:right w:val="nil"/>
            </w:tcBorders>
            <w:vAlign w:val="center"/>
          </w:tcPr>
          <w:p w14:paraId="7B22DFB7">
            <w:pPr>
              <w:pStyle w:val="12"/>
              <w:jc w:val="center"/>
              <w:rPr>
                <w:rFonts w:ascii="宋体" w:hAnsi="宋体"/>
              </w:rPr>
            </w:pPr>
            <w:r>
              <w:rPr>
                <w:rFonts w:hint="eastAsia" w:ascii="宋体" w:hAnsi="宋体"/>
              </w:rPr>
              <w:t>393</w:t>
            </w:r>
          </w:p>
        </w:tc>
      </w:tr>
      <w:tr w14:paraId="23BDDE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trPr>
        <w:tc>
          <w:tcPr>
            <w:tcW w:w="195" w:type="pct"/>
            <w:vMerge w:val="continue"/>
            <w:tcBorders>
              <w:left w:val="nil"/>
            </w:tcBorders>
            <w:vAlign w:val="center"/>
          </w:tcPr>
          <w:p w14:paraId="5078483E">
            <w:pPr>
              <w:pStyle w:val="12"/>
              <w:jc w:val="center"/>
              <w:rPr>
                <w:rFonts w:ascii="宋体" w:hAnsi="宋体"/>
              </w:rPr>
            </w:pPr>
          </w:p>
        </w:tc>
        <w:tc>
          <w:tcPr>
            <w:tcW w:w="444" w:type="pct"/>
            <w:vAlign w:val="center"/>
          </w:tcPr>
          <w:p w14:paraId="22775B2C">
            <w:pPr>
              <w:pStyle w:val="12"/>
              <w:jc w:val="center"/>
              <w:rPr>
                <w:rFonts w:ascii="宋体" w:hAnsi="宋体"/>
              </w:rPr>
            </w:pPr>
            <w:r>
              <w:rPr>
                <w:rFonts w:hint="eastAsia" w:ascii="宋体" w:hAnsi="宋体"/>
              </w:rPr>
              <w:t>私人</w:t>
            </w:r>
          </w:p>
          <w:p w14:paraId="1D7B20B9">
            <w:pPr>
              <w:pStyle w:val="12"/>
              <w:jc w:val="center"/>
              <w:rPr>
                <w:rFonts w:ascii="宋体" w:hAnsi="宋体"/>
              </w:rPr>
            </w:pPr>
            <w:r>
              <w:rPr>
                <w:rFonts w:hint="eastAsia" w:ascii="宋体" w:hAnsi="宋体"/>
              </w:rPr>
              <w:t>投资</w:t>
            </w:r>
          </w:p>
        </w:tc>
        <w:tc>
          <w:tcPr>
            <w:tcW w:w="484" w:type="pct"/>
            <w:vAlign w:val="center"/>
          </w:tcPr>
          <w:p w14:paraId="1B96F261">
            <w:pPr>
              <w:pStyle w:val="12"/>
              <w:jc w:val="center"/>
              <w:rPr>
                <w:rFonts w:ascii="宋体" w:hAnsi="宋体"/>
              </w:rPr>
            </w:pPr>
            <w:r>
              <w:rPr>
                <w:rFonts w:hint="eastAsia" w:ascii="宋体" w:hAnsi="宋体"/>
              </w:rPr>
              <w:t>4566</w:t>
            </w:r>
          </w:p>
        </w:tc>
        <w:tc>
          <w:tcPr>
            <w:tcW w:w="485" w:type="pct"/>
            <w:vAlign w:val="center"/>
          </w:tcPr>
          <w:p w14:paraId="52B8C8DF">
            <w:pPr>
              <w:pStyle w:val="12"/>
              <w:jc w:val="center"/>
              <w:rPr>
                <w:rFonts w:ascii="宋体" w:hAnsi="宋体"/>
              </w:rPr>
            </w:pPr>
            <w:r>
              <w:rPr>
                <w:rFonts w:hint="eastAsia" w:ascii="宋体" w:hAnsi="宋体"/>
              </w:rPr>
              <w:t>6454</w:t>
            </w:r>
          </w:p>
        </w:tc>
        <w:tc>
          <w:tcPr>
            <w:tcW w:w="485" w:type="pct"/>
            <w:vAlign w:val="center"/>
          </w:tcPr>
          <w:p w14:paraId="092755F7">
            <w:pPr>
              <w:pStyle w:val="12"/>
              <w:jc w:val="center"/>
              <w:rPr>
                <w:rFonts w:ascii="宋体" w:hAnsi="宋体"/>
              </w:rPr>
            </w:pPr>
            <w:r>
              <w:rPr>
                <w:rFonts w:hint="eastAsia" w:ascii="宋体" w:hAnsi="宋体"/>
              </w:rPr>
              <w:t>27787</w:t>
            </w:r>
          </w:p>
        </w:tc>
        <w:tc>
          <w:tcPr>
            <w:tcW w:w="485" w:type="pct"/>
            <w:vAlign w:val="center"/>
          </w:tcPr>
          <w:p w14:paraId="0B7E2D5A">
            <w:pPr>
              <w:pStyle w:val="12"/>
              <w:jc w:val="center"/>
              <w:rPr>
                <w:rFonts w:ascii="宋体" w:hAnsi="宋体"/>
              </w:rPr>
            </w:pPr>
            <w:r>
              <w:rPr>
                <w:rFonts w:hint="eastAsia" w:ascii="宋体" w:hAnsi="宋体"/>
              </w:rPr>
              <w:t>41417</w:t>
            </w:r>
          </w:p>
        </w:tc>
        <w:tc>
          <w:tcPr>
            <w:tcW w:w="484" w:type="pct"/>
            <w:vAlign w:val="center"/>
          </w:tcPr>
          <w:p w14:paraId="240EE3E8">
            <w:pPr>
              <w:pStyle w:val="12"/>
              <w:jc w:val="center"/>
              <w:rPr>
                <w:rFonts w:ascii="宋体" w:hAnsi="宋体"/>
              </w:rPr>
            </w:pPr>
            <w:r>
              <w:rPr>
                <w:rFonts w:hint="eastAsia" w:ascii="宋体" w:hAnsi="宋体"/>
              </w:rPr>
              <w:t>28480</w:t>
            </w:r>
          </w:p>
        </w:tc>
        <w:tc>
          <w:tcPr>
            <w:tcW w:w="485" w:type="pct"/>
            <w:vAlign w:val="center"/>
          </w:tcPr>
          <w:p w14:paraId="37A6C414">
            <w:pPr>
              <w:pStyle w:val="12"/>
              <w:jc w:val="center"/>
              <w:rPr>
                <w:rFonts w:ascii="宋体" w:hAnsi="宋体"/>
              </w:rPr>
            </w:pPr>
            <w:r>
              <w:rPr>
                <w:rFonts w:hint="eastAsia" w:ascii="宋体" w:hAnsi="宋体"/>
              </w:rPr>
              <w:t>20239</w:t>
            </w:r>
          </w:p>
        </w:tc>
        <w:tc>
          <w:tcPr>
            <w:tcW w:w="485" w:type="pct"/>
            <w:vAlign w:val="center"/>
          </w:tcPr>
          <w:p w14:paraId="2DCE3AE5">
            <w:pPr>
              <w:pStyle w:val="12"/>
              <w:jc w:val="center"/>
              <w:rPr>
                <w:rFonts w:ascii="宋体" w:hAnsi="宋体"/>
              </w:rPr>
            </w:pPr>
            <w:r>
              <w:rPr>
                <w:rFonts w:hint="eastAsia" w:ascii="宋体" w:hAnsi="宋体"/>
              </w:rPr>
              <w:t>10982</w:t>
            </w:r>
          </w:p>
        </w:tc>
        <w:tc>
          <w:tcPr>
            <w:tcW w:w="485" w:type="pct"/>
            <w:vAlign w:val="center"/>
          </w:tcPr>
          <w:p w14:paraId="250903BD">
            <w:pPr>
              <w:pStyle w:val="12"/>
              <w:jc w:val="center"/>
              <w:rPr>
                <w:rFonts w:ascii="宋体" w:hAnsi="宋体"/>
              </w:rPr>
            </w:pPr>
            <w:r>
              <w:rPr>
                <w:rFonts w:hint="eastAsia" w:ascii="宋体" w:hAnsi="宋体"/>
              </w:rPr>
              <w:t>4159</w:t>
            </w:r>
          </w:p>
        </w:tc>
        <w:tc>
          <w:tcPr>
            <w:tcW w:w="485" w:type="pct"/>
            <w:tcBorders>
              <w:right w:val="nil"/>
            </w:tcBorders>
            <w:vAlign w:val="center"/>
          </w:tcPr>
          <w:p w14:paraId="5B21F2E2">
            <w:pPr>
              <w:pStyle w:val="12"/>
              <w:jc w:val="center"/>
              <w:rPr>
                <w:rFonts w:ascii="宋体" w:hAnsi="宋体"/>
              </w:rPr>
            </w:pPr>
            <w:r>
              <w:rPr>
                <w:rFonts w:hint="eastAsia" w:ascii="宋体" w:hAnsi="宋体"/>
              </w:rPr>
              <w:t>6380</w:t>
            </w:r>
          </w:p>
        </w:tc>
      </w:tr>
      <w:tr w14:paraId="57944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trPr>
        <w:tc>
          <w:tcPr>
            <w:tcW w:w="195" w:type="pct"/>
            <w:vMerge w:val="restart"/>
            <w:tcBorders>
              <w:left w:val="nil"/>
            </w:tcBorders>
            <w:vAlign w:val="center"/>
          </w:tcPr>
          <w:p w14:paraId="4B7278E8">
            <w:pPr>
              <w:pStyle w:val="12"/>
              <w:jc w:val="center"/>
              <w:rPr>
                <w:rFonts w:ascii="宋体" w:hAnsi="宋体"/>
              </w:rPr>
            </w:pPr>
            <w:r>
              <w:rPr>
                <w:rFonts w:hint="eastAsia" w:ascii="宋体" w:hAnsi="宋体"/>
              </w:rPr>
              <w:t>社会消费品零售</w:t>
            </w:r>
          </w:p>
        </w:tc>
        <w:tc>
          <w:tcPr>
            <w:tcW w:w="444" w:type="pct"/>
            <w:vAlign w:val="center"/>
          </w:tcPr>
          <w:p w14:paraId="6429784F">
            <w:pPr>
              <w:pStyle w:val="12"/>
              <w:jc w:val="center"/>
              <w:rPr>
                <w:rFonts w:ascii="宋体" w:hAnsi="宋体"/>
              </w:rPr>
            </w:pPr>
            <w:r>
              <w:rPr>
                <w:rFonts w:hint="eastAsia" w:ascii="宋体" w:hAnsi="宋体"/>
              </w:rPr>
              <w:t>总  额</w:t>
            </w:r>
          </w:p>
        </w:tc>
        <w:tc>
          <w:tcPr>
            <w:tcW w:w="484" w:type="pct"/>
            <w:vAlign w:val="center"/>
          </w:tcPr>
          <w:p w14:paraId="2C5DD68A">
            <w:pPr>
              <w:pStyle w:val="12"/>
              <w:jc w:val="center"/>
              <w:rPr>
                <w:rFonts w:ascii="宋体" w:hAnsi="宋体"/>
              </w:rPr>
            </w:pPr>
            <w:r>
              <w:rPr>
                <w:rFonts w:hint="eastAsia" w:ascii="宋体" w:hAnsi="宋体"/>
              </w:rPr>
              <w:t>54906</w:t>
            </w:r>
          </w:p>
        </w:tc>
        <w:tc>
          <w:tcPr>
            <w:tcW w:w="485" w:type="pct"/>
            <w:vAlign w:val="center"/>
          </w:tcPr>
          <w:p w14:paraId="7D8D4420">
            <w:pPr>
              <w:pStyle w:val="12"/>
              <w:jc w:val="center"/>
              <w:rPr>
                <w:rFonts w:ascii="宋体" w:hAnsi="宋体"/>
              </w:rPr>
            </w:pPr>
            <w:r>
              <w:rPr>
                <w:rFonts w:hint="eastAsia" w:ascii="宋体" w:hAnsi="宋体"/>
              </w:rPr>
              <w:t>59031</w:t>
            </w:r>
          </w:p>
        </w:tc>
        <w:tc>
          <w:tcPr>
            <w:tcW w:w="485" w:type="pct"/>
            <w:vAlign w:val="center"/>
          </w:tcPr>
          <w:p w14:paraId="066DC51B">
            <w:pPr>
              <w:pStyle w:val="12"/>
              <w:jc w:val="center"/>
              <w:rPr>
                <w:rFonts w:ascii="宋体" w:hAnsi="宋体"/>
              </w:rPr>
            </w:pPr>
            <w:r>
              <w:rPr>
                <w:rFonts w:hint="eastAsia" w:ascii="宋体" w:hAnsi="宋体"/>
              </w:rPr>
              <w:t>63200</w:t>
            </w:r>
          </w:p>
        </w:tc>
        <w:tc>
          <w:tcPr>
            <w:tcW w:w="485" w:type="pct"/>
            <w:vAlign w:val="center"/>
          </w:tcPr>
          <w:p w14:paraId="74A8BEB7">
            <w:pPr>
              <w:pStyle w:val="12"/>
              <w:jc w:val="center"/>
              <w:rPr>
                <w:rFonts w:ascii="宋体" w:hAnsi="宋体"/>
              </w:rPr>
            </w:pPr>
            <w:r>
              <w:rPr>
                <w:rFonts w:hint="eastAsia" w:ascii="宋体" w:hAnsi="宋体"/>
              </w:rPr>
              <w:t>68193</w:t>
            </w:r>
          </w:p>
        </w:tc>
        <w:tc>
          <w:tcPr>
            <w:tcW w:w="484" w:type="pct"/>
            <w:vAlign w:val="center"/>
          </w:tcPr>
          <w:p w14:paraId="78671255">
            <w:pPr>
              <w:pStyle w:val="12"/>
              <w:jc w:val="center"/>
              <w:rPr>
                <w:rFonts w:ascii="宋体" w:hAnsi="宋体"/>
              </w:rPr>
            </w:pPr>
            <w:r>
              <w:rPr>
                <w:rFonts w:hint="eastAsia" w:ascii="宋体" w:hAnsi="宋体"/>
              </w:rPr>
              <w:t>73648</w:t>
            </w:r>
          </w:p>
        </w:tc>
        <w:tc>
          <w:tcPr>
            <w:tcW w:w="485" w:type="pct"/>
            <w:vAlign w:val="center"/>
          </w:tcPr>
          <w:p w14:paraId="6FAC54BB">
            <w:pPr>
              <w:pStyle w:val="12"/>
              <w:jc w:val="center"/>
              <w:rPr>
                <w:rFonts w:ascii="宋体" w:hAnsi="宋体"/>
              </w:rPr>
            </w:pPr>
            <w:r>
              <w:rPr>
                <w:rFonts w:hint="eastAsia" w:ascii="宋体" w:hAnsi="宋体"/>
              </w:rPr>
              <w:t>80718</w:t>
            </w:r>
          </w:p>
        </w:tc>
        <w:tc>
          <w:tcPr>
            <w:tcW w:w="485" w:type="pct"/>
            <w:vAlign w:val="center"/>
          </w:tcPr>
          <w:p w14:paraId="55D89A78">
            <w:pPr>
              <w:pStyle w:val="12"/>
              <w:jc w:val="center"/>
              <w:rPr>
                <w:rFonts w:ascii="宋体" w:hAnsi="宋体"/>
              </w:rPr>
            </w:pPr>
            <w:r>
              <w:rPr>
                <w:rFonts w:hint="eastAsia" w:ascii="宋体" w:hAnsi="宋体"/>
              </w:rPr>
              <w:t>88466</w:t>
            </w:r>
          </w:p>
        </w:tc>
        <w:tc>
          <w:tcPr>
            <w:tcW w:w="485" w:type="pct"/>
            <w:vAlign w:val="center"/>
          </w:tcPr>
          <w:p w14:paraId="1788BDDE">
            <w:pPr>
              <w:pStyle w:val="12"/>
              <w:jc w:val="center"/>
              <w:rPr>
                <w:rFonts w:ascii="宋体" w:hAnsi="宋体"/>
              </w:rPr>
            </w:pPr>
            <w:r>
              <w:rPr>
                <w:rFonts w:hint="eastAsia" w:ascii="宋体" w:hAnsi="宋体"/>
              </w:rPr>
              <w:t>97878</w:t>
            </w:r>
          </w:p>
        </w:tc>
        <w:tc>
          <w:tcPr>
            <w:tcW w:w="485" w:type="pct"/>
            <w:tcBorders>
              <w:right w:val="nil"/>
            </w:tcBorders>
            <w:vAlign w:val="center"/>
          </w:tcPr>
          <w:p w14:paraId="7397672D">
            <w:pPr>
              <w:pStyle w:val="12"/>
              <w:jc w:val="center"/>
              <w:rPr>
                <w:rFonts w:ascii="宋体" w:hAnsi="宋体"/>
              </w:rPr>
            </w:pPr>
            <w:r>
              <w:rPr>
                <w:rFonts w:hint="eastAsia" w:ascii="宋体" w:hAnsi="宋体"/>
              </w:rPr>
              <w:t>114261</w:t>
            </w:r>
          </w:p>
        </w:tc>
      </w:tr>
      <w:tr w14:paraId="77EDE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trPr>
        <w:tc>
          <w:tcPr>
            <w:tcW w:w="195" w:type="pct"/>
            <w:vMerge w:val="continue"/>
            <w:tcBorders>
              <w:left w:val="nil"/>
            </w:tcBorders>
            <w:vAlign w:val="center"/>
          </w:tcPr>
          <w:p w14:paraId="484FFA23">
            <w:pPr>
              <w:pStyle w:val="12"/>
              <w:jc w:val="center"/>
              <w:rPr>
                <w:rFonts w:ascii="宋体" w:hAnsi="宋体"/>
              </w:rPr>
            </w:pPr>
          </w:p>
        </w:tc>
        <w:tc>
          <w:tcPr>
            <w:tcW w:w="444" w:type="pct"/>
            <w:vAlign w:val="center"/>
          </w:tcPr>
          <w:p w14:paraId="17CC3D98">
            <w:pPr>
              <w:pStyle w:val="12"/>
              <w:jc w:val="center"/>
              <w:rPr>
                <w:rFonts w:ascii="宋体" w:hAnsi="宋体"/>
              </w:rPr>
            </w:pPr>
            <w:r>
              <w:rPr>
                <w:rFonts w:hint="eastAsia" w:ascii="宋体" w:hAnsi="宋体"/>
              </w:rPr>
              <w:t>批发零售贸</w:t>
            </w:r>
          </w:p>
          <w:p w14:paraId="658F720C">
            <w:pPr>
              <w:pStyle w:val="12"/>
              <w:jc w:val="center"/>
              <w:rPr>
                <w:rFonts w:ascii="宋体" w:hAnsi="宋体"/>
              </w:rPr>
            </w:pPr>
            <w:r>
              <w:rPr>
                <w:rFonts w:hint="eastAsia" w:ascii="宋体" w:hAnsi="宋体"/>
              </w:rPr>
              <w:t>易业</w:t>
            </w:r>
          </w:p>
        </w:tc>
        <w:tc>
          <w:tcPr>
            <w:tcW w:w="484" w:type="pct"/>
            <w:vAlign w:val="center"/>
          </w:tcPr>
          <w:p w14:paraId="500B9744">
            <w:pPr>
              <w:pStyle w:val="12"/>
              <w:jc w:val="center"/>
              <w:rPr>
                <w:rFonts w:ascii="宋体" w:hAnsi="宋体"/>
              </w:rPr>
            </w:pPr>
            <w:r>
              <w:rPr>
                <w:rFonts w:hint="eastAsia" w:ascii="宋体" w:hAnsi="宋体"/>
              </w:rPr>
              <w:t>40199</w:t>
            </w:r>
          </w:p>
        </w:tc>
        <w:tc>
          <w:tcPr>
            <w:tcW w:w="485" w:type="pct"/>
            <w:vAlign w:val="center"/>
          </w:tcPr>
          <w:p w14:paraId="673E31AF">
            <w:pPr>
              <w:pStyle w:val="12"/>
              <w:jc w:val="center"/>
              <w:rPr>
                <w:rFonts w:ascii="宋体" w:hAnsi="宋体"/>
              </w:rPr>
            </w:pPr>
            <w:r>
              <w:rPr>
                <w:rFonts w:hint="eastAsia" w:ascii="宋体" w:hAnsi="宋体"/>
              </w:rPr>
              <w:t>43021</w:t>
            </w:r>
          </w:p>
        </w:tc>
        <w:tc>
          <w:tcPr>
            <w:tcW w:w="485" w:type="pct"/>
            <w:vAlign w:val="center"/>
          </w:tcPr>
          <w:p w14:paraId="68E12DA8">
            <w:pPr>
              <w:pStyle w:val="12"/>
              <w:jc w:val="center"/>
              <w:rPr>
                <w:rFonts w:ascii="宋体" w:hAnsi="宋体"/>
              </w:rPr>
            </w:pPr>
            <w:r>
              <w:rPr>
                <w:rFonts w:hint="eastAsia" w:ascii="宋体" w:hAnsi="宋体"/>
              </w:rPr>
              <w:t>45848</w:t>
            </w:r>
          </w:p>
        </w:tc>
        <w:tc>
          <w:tcPr>
            <w:tcW w:w="485" w:type="pct"/>
            <w:vAlign w:val="center"/>
          </w:tcPr>
          <w:p w14:paraId="4D279AFA">
            <w:pPr>
              <w:pStyle w:val="12"/>
              <w:jc w:val="center"/>
              <w:rPr>
                <w:rFonts w:ascii="宋体" w:hAnsi="宋体"/>
              </w:rPr>
            </w:pPr>
            <w:r>
              <w:rPr>
                <w:rFonts w:hint="eastAsia" w:ascii="宋体" w:hAnsi="宋体"/>
              </w:rPr>
              <w:t>50150</w:t>
            </w:r>
          </w:p>
        </w:tc>
        <w:tc>
          <w:tcPr>
            <w:tcW w:w="484" w:type="pct"/>
            <w:vAlign w:val="center"/>
          </w:tcPr>
          <w:p w14:paraId="1615770F">
            <w:pPr>
              <w:pStyle w:val="12"/>
              <w:jc w:val="center"/>
              <w:rPr>
                <w:rFonts w:ascii="宋体" w:hAnsi="宋体"/>
              </w:rPr>
            </w:pPr>
            <w:r>
              <w:rPr>
                <w:rFonts w:hint="eastAsia" w:ascii="宋体" w:hAnsi="宋体"/>
              </w:rPr>
              <w:t>64283</w:t>
            </w:r>
          </w:p>
        </w:tc>
        <w:tc>
          <w:tcPr>
            <w:tcW w:w="485" w:type="pct"/>
            <w:vAlign w:val="center"/>
          </w:tcPr>
          <w:p w14:paraId="01763D47">
            <w:pPr>
              <w:pStyle w:val="12"/>
              <w:jc w:val="center"/>
              <w:rPr>
                <w:rFonts w:ascii="宋体" w:hAnsi="宋体"/>
              </w:rPr>
            </w:pPr>
            <w:r>
              <w:rPr>
                <w:rFonts w:hint="eastAsia" w:ascii="宋体" w:hAnsi="宋体"/>
              </w:rPr>
              <w:t>69598</w:t>
            </w:r>
          </w:p>
        </w:tc>
        <w:tc>
          <w:tcPr>
            <w:tcW w:w="485" w:type="pct"/>
            <w:vAlign w:val="center"/>
          </w:tcPr>
          <w:p w14:paraId="7707E0A4">
            <w:pPr>
              <w:pStyle w:val="12"/>
              <w:jc w:val="center"/>
              <w:rPr>
                <w:rFonts w:ascii="宋体" w:hAnsi="宋体"/>
              </w:rPr>
            </w:pPr>
            <w:r>
              <w:rPr>
                <w:rFonts w:hint="eastAsia" w:ascii="宋体" w:hAnsi="宋体"/>
              </w:rPr>
              <w:t>77938</w:t>
            </w:r>
          </w:p>
        </w:tc>
        <w:tc>
          <w:tcPr>
            <w:tcW w:w="485" w:type="pct"/>
            <w:vAlign w:val="center"/>
          </w:tcPr>
          <w:p w14:paraId="1613ECCF">
            <w:pPr>
              <w:pStyle w:val="12"/>
              <w:jc w:val="center"/>
              <w:rPr>
                <w:rFonts w:ascii="宋体" w:hAnsi="宋体"/>
              </w:rPr>
            </w:pPr>
            <w:r>
              <w:rPr>
                <w:rFonts w:hint="eastAsia" w:ascii="宋体" w:hAnsi="宋体"/>
              </w:rPr>
              <w:t>86770</w:t>
            </w:r>
          </w:p>
        </w:tc>
        <w:tc>
          <w:tcPr>
            <w:tcW w:w="485" w:type="pct"/>
            <w:tcBorders>
              <w:right w:val="nil"/>
            </w:tcBorders>
            <w:vAlign w:val="center"/>
          </w:tcPr>
          <w:p w14:paraId="1157C154">
            <w:pPr>
              <w:pStyle w:val="12"/>
              <w:jc w:val="center"/>
              <w:rPr>
                <w:rFonts w:ascii="宋体" w:hAnsi="宋体"/>
              </w:rPr>
            </w:pPr>
            <w:r>
              <w:rPr>
                <w:rFonts w:hint="eastAsia" w:ascii="宋体" w:hAnsi="宋体"/>
              </w:rPr>
              <w:t>94787</w:t>
            </w:r>
          </w:p>
        </w:tc>
      </w:tr>
      <w:tr w14:paraId="74A7B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trPr>
        <w:tc>
          <w:tcPr>
            <w:tcW w:w="195" w:type="pct"/>
            <w:vMerge w:val="continue"/>
            <w:tcBorders>
              <w:left w:val="nil"/>
            </w:tcBorders>
            <w:vAlign w:val="center"/>
          </w:tcPr>
          <w:p w14:paraId="2FD29782">
            <w:pPr>
              <w:pStyle w:val="12"/>
              <w:jc w:val="center"/>
              <w:rPr>
                <w:rFonts w:ascii="宋体" w:hAnsi="宋体"/>
              </w:rPr>
            </w:pPr>
          </w:p>
        </w:tc>
        <w:tc>
          <w:tcPr>
            <w:tcW w:w="444" w:type="pct"/>
            <w:vAlign w:val="center"/>
          </w:tcPr>
          <w:p w14:paraId="4C240427">
            <w:pPr>
              <w:pStyle w:val="12"/>
              <w:jc w:val="center"/>
              <w:rPr>
                <w:rFonts w:ascii="宋体" w:hAnsi="宋体"/>
              </w:rPr>
            </w:pPr>
            <w:r>
              <w:rPr>
                <w:rFonts w:hint="eastAsia" w:ascii="宋体" w:hAnsi="宋体"/>
              </w:rPr>
              <w:t>餐饮业</w:t>
            </w:r>
          </w:p>
        </w:tc>
        <w:tc>
          <w:tcPr>
            <w:tcW w:w="484" w:type="pct"/>
            <w:vAlign w:val="center"/>
          </w:tcPr>
          <w:p w14:paraId="7B5033F7">
            <w:pPr>
              <w:pStyle w:val="12"/>
              <w:jc w:val="center"/>
              <w:rPr>
                <w:rFonts w:ascii="宋体" w:hAnsi="宋体"/>
              </w:rPr>
            </w:pPr>
            <w:r>
              <w:rPr>
                <w:rFonts w:hint="eastAsia" w:ascii="宋体" w:hAnsi="宋体"/>
              </w:rPr>
              <w:t>2840</w:t>
            </w:r>
          </w:p>
        </w:tc>
        <w:tc>
          <w:tcPr>
            <w:tcW w:w="485" w:type="pct"/>
            <w:vAlign w:val="center"/>
          </w:tcPr>
          <w:p w14:paraId="163C9D35">
            <w:pPr>
              <w:pStyle w:val="12"/>
              <w:jc w:val="center"/>
              <w:rPr>
                <w:rFonts w:ascii="宋体" w:hAnsi="宋体"/>
              </w:rPr>
            </w:pPr>
            <w:r>
              <w:rPr>
                <w:rFonts w:hint="eastAsia" w:ascii="宋体" w:hAnsi="宋体"/>
              </w:rPr>
              <w:t>3078</w:t>
            </w:r>
          </w:p>
        </w:tc>
        <w:tc>
          <w:tcPr>
            <w:tcW w:w="485" w:type="pct"/>
            <w:vAlign w:val="center"/>
          </w:tcPr>
          <w:p w14:paraId="44FE3209">
            <w:pPr>
              <w:pStyle w:val="12"/>
              <w:jc w:val="center"/>
              <w:rPr>
                <w:rFonts w:ascii="宋体" w:hAnsi="宋体"/>
              </w:rPr>
            </w:pPr>
            <w:r>
              <w:rPr>
                <w:rFonts w:hint="eastAsia" w:ascii="宋体" w:hAnsi="宋体"/>
              </w:rPr>
              <w:t>3386</w:t>
            </w:r>
          </w:p>
        </w:tc>
        <w:tc>
          <w:tcPr>
            <w:tcW w:w="485" w:type="pct"/>
            <w:vAlign w:val="center"/>
          </w:tcPr>
          <w:p w14:paraId="176601E0">
            <w:pPr>
              <w:pStyle w:val="12"/>
              <w:jc w:val="center"/>
              <w:rPr>
                <w:rFonts w:ascii="宋体" w:hAnsi="宋体"/>
              </w:rPr>
            </w:pPr>
            <w:r>
              <w:rPr>
                <w:rFonts w:hint="eastAsia" w:ascii="宋体" w:hAnsi="宋体"/>
              </w:rPr>
              <w:t>3826</w:t>
            </w:r>
          </w:p>
        </w:tc>
        <w:tc>
          <w:tcPr>
            <w:tcW w:w="484" w:type="pct"/>
            <w:vAlign w:val="center"/>
          </w:tcPr>
          <w:p w14:paraId="63EC5FDD">
            <w:pPr>
              <w:pStyle w:val="12"/>
              <w:jc w:val="center"/>
              <w:rPr>
                <w:rFonts w:ascii="宋体" w:hAnsi="宋体"/>
              </w:rPr>
            </w:pPr>
            <w:r>
              <w:rPr>
                <w:rFonts w:hint="eastAsia" w:ascii="宋体" w:hAnsi="宋体"/>
              </w:rPr>
              <w:t>7882</w:t>
            </w:r>
          </w:p>
        </w:tc>
        <w:tc>
          <w:tcPr>
            <w:tcW w:w="485" w:type="pct"/>
            <w:vAlign w:val="center"/>
          </w:tcPr>
          <w:p w14:paraId="60B22677">
            <w:pPr>
              <w:pStyle w:val="12"/>
              <w:jc w:val="center"/>
              <w:rPr>
                <w:rFonts w:ascii="宋体" w:hAnsi="宋体"/>
              </w:rPr>
            </w:pPr>
            <w:r>
              <w:rPr>
                <w:rFonts w:hint="eastAsia" w:ascii="宋体" w:hAnsi="宋体"/>
              </w:rPr>
              <w:t>9153</w:t>
            </w:r>
          </w:p>
        </w:tc>
        <w:tc>
          <w:tcPr>
            <w:tcW w:w="485" w:type="pct"/>
            <w:vAlign w:val="center"/>
          </w:tcPr>
          <w:p w14:paraId="12126D4E">
            <w:pPr>
              <w:pStyle w:val="12"/>
              <w:jc w:val="center"/>
              <w:rPr>
                <w:rFonts w:ascii="宋体" w:hAnsi="宋体"/>
              </w:rPr>
            </w:pPr>
            <w:r>
              <w:rPr>
                <w:rFonts w:hint="eastAsia" w:ascii="宋体" w:hAnsi="宋体"/>
              </w:rPr>
              <w:t>9468</w:t>
            </w:r>
          </w:p>
        </w:tc>
        <w:tc>
          <w:tcPr>
            <w:tcW w:w="485" w:type="pct"/>
            <w:vAlign w:val="center"/>
          </w:tcPr>
          <w:p w14:paraId="739AAAA2">
            <w:pPr>
              <w:pStyle w:val="12"/>
              <w:jc w:val="center"/>
              <w:rPr>
                <w:rFonts w:ascii="宋体" w:hAnsi="宋体"/>
              </w:rPr>
            </w:pPr>
            <w:r>
              <w:rPr>
                <w:rFonts w:hint="eastAsia" w:ascii="宋体" w:hAnsi="宋体"/>
              </w:rPr>
              <w:t>10970</w:t>
            </w:r>
          </w:p>
        </w:tc>
        <w:tc>
          <w:tcPr>
            <w:tcW w:w="485" w:type="pct"/>
            <w:tcBorders>
              <w:right w:val="nil"/>
            </w:tcBorders>
            <w:vAlign w:val="center"/>
          </w:tcPr>
          <w:p w14:paraId="758163CD">
            <w:pPr>
              <w:pStyle w:val="12"/>
              <w:jc w:val="center"/>
              <w:rPr>
                <w:rFonts w:ascii="宋体" w:hAnsi="宋体"/>
              </w:rPr>
            </w:pPr>
            <w:r>
              <w:rPr>
                <w:rFonts w:hint="eastAsia" w:ascii="宋体" w:hAnsi="宋体"/>
              </w:rPr>
              <w:t>19338</w:t>
            </w:r>
          </w:p>
        </w:tc>
      </w:tr>
      <w:tr w14:paraId="072B83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trPr>
        <w:tc>
          <w:tcPr>
            <w:tcW w:w="195" w:type="pct"/>
            <w:vMerge w:val="continue"/>
            <w:tcBorders>
              <w:left w:val="nil"/>
            </w:tcBorders>
            <w:vAlign w:val="center"/>
          </w:tcPr>
          <w:p w14:paraId="048792FE">
            <w:pPr>
              <w:pStyle w:val="12"/>
              <w:jc w:val="center"/>
              <w:rPr>
                <w:rFonts w:ascii="宋体" w:hAnsi="宋体"/>
              </w:rPr>
            </w:pPr>
          </w:p>
        </w:tc>
        <w:tc>
          <w:tcPr>
            <w:tcW w:w="444" w:type="pct"/>
            <w:vAlign w:val="center"/>
          </w:tcPr>
          <w:p w14:paraId="259FDBBB">
            <w:pPr>
              <w:pStyle w:val="12"/>
              <w:jc w:val="center"/>
              <w:rPr>
                <w:rFonts w:ascii="宋体" w:hAnsi="宋体"/>
              </w:rPr>
            </w:pPr>
            <w:r>
              <w:rPr>
                <w:rFonts w:hint="eastAsia" w:ascii="宋体" w:hAnsi="宋体"/>
              </w:rPr>
              <w:t>制造业</w:t>
            </w:r>
          </w:p>
        </w:tc>
        <w:tc>
          <w:tcPr>
            <w:tcW w:w="484" w:type="pct"/>
            <w:vAlign w:val="center"/>
          </w:tcPr>
          <w:p w14:paraId="6FA55321">
            <w:pPr>
              <w:pStyle w:val="12"/>
              <w:jc w:val="center"/>
              <w:rPr>
                <w:rFonts w:ascii="宋体" w:hAnsi="宋体"/>
              </w:rPr>
            </w:pPr>
            <w:r>
              <w:rPr>
                <w:rFonts w:hint="eastAsia" w:ascii="宋体" w:hAnsi="宋体"/>
              </w:rPr>
              <w:t>2498</w:t>
            </w:r>
          </w:p>
        </w:tc>
        <w:tc>
          <w:tcPr>
            <w:tcW w:w="485" w:type="pct"/>
            <w:vAlign w:val="center"/>
          </w:tcPr>
          <w:p w14:paraId="627E8956">
            <w:pPr>
              <w:pStyle w:val="12"/>
              <w:jc w:val="center"/>
              <w:rPr>
                <w:rFonts w:ascii="宋体" w:hAnsi="宋体"/>
              </w:rPr>
            </w:pPr>
            <w:r>
              <w:rPr>
                <w:rFonts w:hint="eastAsia" w:ascii="宋体" w:hAnsi="宋体"/>
              </w:rPr>
              <w:t>2886</w:t>
            </w:r>
          </w:p>
        </w:tc>
        <w:tc>
          <w:tcPr>
            <w:tcW w:w="485" w:type="pct"/>
            <w:vAlign w:val="center"/>
          </w:tcPr>
          <w:p w14:paraId="56BB5ACD">
            <w:pPr>
              <w:pStyle w:val="12"/>
              <w:jc w:val="center"/>
              <w:rPr>
                <w:rFonts w:ascii="宋体" w:hAnsi="宋体"/>
              </w:rPr>
            </w:pPr>
            <w:r>
              <w:rPr>
                <w:rFonts w:hint="eastAsia" w:ascii="宋体" w:hAnsi="宋体"/>
              </w:rPr>
              <w:t>3061</w:t>
            </w:r>
          </w:p>
        </w:tc>
        <w:tc>
          <w:tcPr>
            <w:tcW w:w="485" w:type="pct"/>
            <w:vAlign w:val="center"/>
          </w:tcPr>
          <w:p w14:paraId="5A4BE82E">
            <w:pPr>
              <w:pStyle w:val="12"/>
              <w:jc w:val="center"/>
              <w:rPr>
                <w:rFonts w:ascii="宋体" w:hAnsi="宋体"/>
              </w:rPr>
            </w:pPr>
            <w:r>
              <w:rPr>
                <w:rFonts w:hint="eastAsia" w:ascii="宋体" w:hAnsi="宋体"/>
              </w:rPr>
              <w:t>3130</w:t>
            </w:r>
          </w:p>
        </w:tc>
        <w:tc>
          <w:tcPr>
            <w:tcW w:w="484" w:type="pct"/>
            <w:vAlign w:val="center"/>
          </w:tcPr>
          <w:p w14:paraId="33165A6A">
            <w:pPr>
              <w:pStyle w:val="12"/>
              <w:jc w:val="center"/>
              <w:rPr>
                <w:rFonts w:ascii="宋体" w:hAnsi="宋体"/>
              </w:rPr>
            </w:pPr>
            <w:r>
              <w:rPr>
                <w:rFonts w:hint="eastAsia" w:ascii="宋体" w:hAnsi="宋体"/>
              </w:rPr>
              <w:t>—</w:t>
            </w:r>
          </w:p>
        </w:tc>
        <w:tc>
          <w:tcPr>
            <w:tcW w:w="485" w:type="pct"/>
            <w:vAlign w:val="center"/>
          </w:tcPr>
          <w:p w14:paraId="3FE71205">
            <w:pPr>
              <w:pStyle w:val="12"/>
              <w:jc w:val="center"/>
              <w:rPr>
                <w:rFonts w:ascii="宋体" w:hAnsi="宋体"/>
              </w:rPr>
            </w:pPr>
            <w:r>
              <w:rPr>
                <w:rFonts w:hint="eastAsia" w:ascii="宋体" w:hAnsi="宋体"/>
              </w:rPr>
              <w:t>—</w:t>
            </w:r>
          </w:p>
        </w:tc>
        <w:tc>
          <w:tcPr>
            <w:tcW w:w="485" w:type="pct"/>
            <w:vAlign w:val="center"/>
          </w:tcPr>
          <w:p w14:paraId="000C8C7D">
            <w:pPr>
              <w:pStyle w:val="12"/>
              <w:jc w:val="center"/>
              <w:rPr>
                <w:rFonts w:ascii="宋体" w:hAnsi="宋体"/>
              </w:rPr>
            </w:pPr>
            <w:r>
              <w:rPr>
                <w:rFonts w:hint="eastAsia" w:ascii="宋体" w:hAnsi="宋体"/>
              </w:rPr>
              <w:t>—</w:t>
            </w:r>
          </w:p>
        </w:tc>
        <w:tc>
          <w:tcPr>
            <w:tcW w:w="485" w:type="pct"/>
            <w:vAlign w:val="center"/>
          </w:tcPr>
          <w:p w14:paraId="264ED378">
            <w:pPr>
              <w:pStyle w:val="12"/>
              <w:jc w:val="center"/>
              <w:rPr>
                <w:rFonts w:ascii="宋体" w:hAnsi="宋体"/>
              </w:rPr>
            </w:pPr>
            <w:r>
              <w:rPr>
                <w:rFonts w:hint="eastAsia" w:ascii="宋体" w:hAnsi="宋体"/>
              </w:rPr>
              <w:t>—</w:t>
            </w:r>
          </w:p>
        </w:tc>
        <w:tc>
          <w:tcPr>
            <w:tcW w:w="485" w:type="pct"/>
            <w:tcBorders>
              <w:right w:val="nil"/>
            </w:tcBorders>
            <w:vAlign w:val="center"/>
          </w:tcPr>
          <w:p w14:paraId="5DEB320D">
            <w:pPr>
              <w:pStyle w:val="12"/>
              <w:jc w:val="center"/>
              <w:rPr>
                <w:rFonts w:ascii="宋体" w:hAnsi="宋体"/>
              </w:rPr>
            </w:pPr>
            <w:r>
              <w:rPr>
                <w:rFonts w:hint="eastAsia" w:ascii="宋体" w:hAnsi="宋体"/>
              </w:rPr>
              <w:t>—</w:t>
            </w:r>
          </w:p>
        </w:tc>
      </w:tr>
      <w:tr w14:paraId="45FA4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trPr>
        <w:tc>
          <w:tcPr>
            <w:tcW w:w="195" w:type="pct"/>
            <w:vMerge w:val="continue"/>
            <w:tcBorders>
              <w:left w:val="nil"/>
            </w:tcBorders>
            <w:vAlign w:val="center"/>
          </w:tcPr>
          <w:p w14:paraId="7601F576">
            <w:pPr>
              <w:pStyle w:val="12"/>
              <w:jc w:val="center"/>
              <w:rPr>
                <w:rFonts w:ascii="宋体" w:hAnsi="宋体"/>
              </w:rPr>
            </w:pPr>
          </w:p>
        </w:tc>
        <w:tc>
          <w:tcPr>
            <w:tcW w:w="444" w:type="pct"/>
            <w:vAlign w:val="center"/>
          </w:tcPr>
          <w:p w14:paraId="3A91558E">
            <w:pPr>
              <w:pStyle w:val="12"/>
              <w:jc w:val="center"/>
              <w:rPr>
                <w:rFonts w:ascii="宋体" w:hAnsi="宋体"/>
              </w:rPr>
            </w:pPr>
            <w:r>
              <w:rPr>
                <w:rFonts w:hint="eastAsia" w:ascii="宋体" w:hAnsi="宋体"/>
              </w:rPr>
              <w:t>其  他</w:t>
            </w:r>
          </w:p>
        </w:tc>
        <w:tc>
          <w:tcPr>
            <w:tcW w:w="484" w:type="pct"/>
            <w:vAlign w:val="center"/>
          </w:tcPr>
          <w:p w14:paraId="28DCD572">
            <w:pPr>
              <w:pStyle w:val="12"/>
              <w:jc w:val="center"/>
              <w:rPr>
                <w:rFonts w:ascii="宋体" w:hAnsi="宋体"/>
              </w:rPr>
            </w:pPr>
            <w:r>
              <w:rPr>
                <w:rFonts w:hint="eastAsia" w:ascii="宋体" w:hAnsi="宋体"/>
              </w:rPr>
              <w:t>9369</w:t>
            </w:r>
          </w:p>
        </w:tc>
        <w:tc>
          <w:tcPr>
            <w:tcW w:w="485" w:type="pct"/>
            <w:vAlign w:val="center"/>
          </w:tcPr>
          <w:p w14:paraId="64585C58">
            <w:pPr>
              <w:pStyle w:val="12"/>
              <w:jc w:val="center"/>
              <w:rPr>
                <w:rFonts w:ascii="宋体" w:hAnsi="宋体"/>
              </w:rPr>
            </w:pPr>
            <w:r>
              <w:rPr>
                <w:rFonts w:hint="eastAsia" w:ascii="宋体" w:hAnsi="宋体"/>
              </w:rPr>
              <w:t>10046</w:t>
            </w:r>
          </w:p>
        </w:tc>
        <w:tc>
          <w:tcPr>
            <w:tcW w:w="485" w:type="pct"/>
            <w:vAlign w:val="center"/>
          </w:tcPr>
          <w:p w14:paraId="04B4BD9F">
            <w:pPr>
              <w:pStyle w:val="12"/>
              <w:jc w:val="center"/>
              <w:rPr>
                <w:rFonts w:ascii="宋体" w:hAnsi="宋体"/>
              </w:rPr>
            </w:pPr>
            <w:r>
              <w:rPr>
                <w:rFonts w:hint="eastAsia" w:ascii="宋体" w:hAnsi="宋体"/>
              </w:rPr>
              <w:t>10905</w:t>
            </w:r>
          </w:p>
        </w:tc>
        <w:tc>
          <w:tcPr>
            <w:tcW w:w="485" w:type="pct"/>
            <w:vAlign w:val="center"/>
          </w:tcPr>
          <w:p w14:paraId="12BBB476">
            <w:pPr>
              <w:pStyle w:val="12"/>
              <w:jc w:val="center"/>
              <w:rPr>
                <w:rFonts w:ascii="宋体" w:hAnsi="宋体"/>
              </w:rPr>
            </w:pPr>
            <w:r>
              <w:rPr>
                <w:rFonts w:hint="eastAsia" w:ascii="宋体" w:hAnsi="宋体"/>
              </w:rPr>
              <w:t>11087</w:t>
            </w:r>
          </w:p>
        </w:tc>
        <w:tc>
          <w:tcPr>
            <w:tcW w:w="484" w:type="pct"/>
            <w:vAlign w:val="center"/>
          </w:tcPr>
          <w:p w14:paraId="5FF637E7">
            <w:pPr>
              <w:pStyle w:val="12"/>
              <w:jc w:val="center"/>
              <w:rPr>
                <w:rFonts w:ascii="宋体" w:hAnsi="宋体"/>
              </w:rPr>
            </w:pPr>
            <w:r>
              <w:rPr>
                <w:rFonts w:hint="eastAsia" w:ascii="宋体" w:hAnsi="宋体"/>
              </w:rPr>
              <w:t>1483</w:t>
            </w:r>
          </w:p>
        </w:tc>
        <w:tc>
          <w:tcPr>
            <w:tcW w:w="485" w:type="pct"/>
            <w:vAlign w:val="center"/>
          </w:tcPr>
          <w:p w14:paraId="6DEFE0DE">
            <w:pPr>
              <w:pStyle w:val="12"/>
              <w:jc w:val="center"/>
              <w:rPr>
                <w:rFonts w:ascii="宋体" w:hAnsi="宋体"/>
              </w:rPr>
            </w:pPr>
            <w:r>
              <w:rPr>
                <w:rFonts w:hint="eastAsia" w:ascii="宋体" w:hAnsi="宋体"/>
              </w:rPr>
              <w:t>1967</w:t>
            </w:r>
          </w:p>
        </w:tc>
        <w:tc>
          <w:tcPr>
            <w:tcW w:w="485" w:type="pct"/>
            <w:vAlign w:val="center"/>
          </w:tcPr>
          <w:p w14:paraId="21D0D2A1">
            <w:pPr>
              <w:pStyle w:val="12"/>
              <w:jc w:val="center"/>
              <w:rPr>
                <w:rFonts w:ascii="宋体" w:hAnsi="宋体"/>
              </w:rPr>
            </w:pPr>
            <w:r>
              <w:rPr>
                <w:rFonts w:hint="eastAsia" w:ascii="宋体" w:hAnsi="宋体"/>
              </w:rPr>
              <w:t>1060</w:t>
            </w:r>
          </w:p>
        </w:tc>
        <w:tc>
          <w:tcPr>
            <w:tcW w:w="485" w:type="pct"/>
            <w:vAlign w:val="center"/>
          </w:tcPr>
          <w:p w14:paraId="4762AD56">
            <w:pPr>
              <w:pStyle w:val="12"/>
              <w:jc w:val="center"/>
              <w:rPr>
                <w:rFonts w:ascii="宋体" w:hAnsi="宋体"/>
              </w:rPr>
            </w:pPr>
            <w:r>
              <w:rPr>
                <w:rFonts w:hint="eastAsia" w:ascii="宋体" w:hAnsi="宋体"/>
              </w:rPr>
              <w:t>103</w:t>
            </w:r>
          </w:p>
        </w:tc>
        <w:tc>
          <w:tcPr>
            <w:tcW w:w="485" w:type="pct"/>
            <w:tcBorders>
              <w:right w:val="nil"/>
            </w:tcBorders>
            <w:vAlign w:val="center"/>
          </w:tcPr>
          <w:p w14:paraId="3D7791F0">
            <w:pPr>
              <w:pStyle w:val="12"/>
              <w:jc w:val="center"/>
              <w:rPr>
                <w:rFonts w:ascii="宋体" w:hAnsi="宋体"/>
              </w:rPr>
            </w:pPr>
            <w:r>
              <w:rPr>
                <w:rFonts w:hint="eastAsia" w:ascii="宋体" w:hAnsi="宋体"/>
              </w:rPr>
              <w:t>136</w:t>
            </w:r>
          </w:p>
        </w:tc>
      </w:tr>
      <w:tr w14:paraId="216AC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trPr>
        <w:tc>
          <w:tcPr>
            <w:tcW w:w="195" w:type="pct"/>
            <w:vMerge w:val="restart"/>
            <w:tcBorders>
              <w:left w:val="nil"/>
            </w:tcBorders>
            <w:vAlign w:val="center"/>
          </w:tcPr>
          <w:p w14:paraId="4929A6BC">
            <w:pPr>
              <w:pStyle w:val="12"/>
              <w:jc w:val="center"/>
              <w:rPr>
                <w:rFonts w:ascii="宋体" w:hAnsi="宋体"/>
              </w:rPr>
            </w:pPr>
            <w:r>
              <w:rPr>
                <w:rFonts w:hint="eastAsia" w:ascii="宋体" w:hAnsi="宋体"/>
              </w:rPr>
              <w:t>财政收支</w:t>
            </w:r>
          </w:p>
        </w:tc>
        <w:tc>
          <w:tcPr>
            <w:tcW w:w="444" w:type="pct"/>
            <w:vAlign w:val="center"/>
          </w:tcPr>
          <w:p w14:paraId="474679E5">
            <w:pPr>
              <w:pStyle w:val="12"/>
              <w:jc w:val="center"/>
              <w:rPr>
                <w:rFonts w:ascii="宋体" w:hAnsi="宋体"/>
              </w:rPr>
            </w:pPr>
            <w:r>
              <w:rPr>
                <w:rFonts w:hint="eastAsia" w:ascii="宋体" w:hAnsi="宋体"/>
              </w:rPr>
              <w:t>收  入</w:t>
            </w:r>
          </w:p>
        </w:tc>
        <w:tc>
          <w:tcPr>
            <w:tcW w:w="484" w:type="pct"/>
            <w:vAlign w:val="center"/>
          </w:tcPr>
          <w:p w14:paraId="15EE14CA">
            <w:pPr>
              <w:pStyle w:val="12"/>
              <w:jc w:val="center"/>
              <w:rPr>
                <w:rFonts w:ascii="宋体" w:hAnsi="宋体"/>
              </w:rPr>
            </w:pPr>
            <w:r>
              <w:rPr>
                <w:rFonts w:hint="eastAsia" w:ascii="宋体" w:hAnsi="宋体"/>
              </w:rPr>
              <w:t>15541</w:t>
            </w:r>
          </w:p>
        </w:tc>
        <w:tc>
          <w:tcPr>
            <w:tcW w:w="485" w:type="pct"/>
            <w:vAlign w:val="center"/>
          </w:tcPr>
          <w:p w14:paraId="5D204F87">
            <w:pPr>
              <w:pStyle w:val="12"/>
              <w:jc w:val="center"/>
              <w:rPr>
                <w:rFonts w:ascii="宋体" w:hAnsi="宋体"/>
              </w:rPr>
            </w:pPr>
            <w:r>
              <w:rPr>
                <w:rFonts w:hint="eastAsia" w:ascii="宋体" w:hAnsi="宋体"/>
              </w:rPr>
              <w:t>14722</w:t>
            </w:r>
          </w:p>
        </w:tc>
        <w:tc>
          <w:tcPr>
            <w:tcW w:w="485" w:type="pct"/>
            <w:vAlign w:val="center"/>
          </w:tcPr>
          <w:p w14:paraId="38671190">
            <w:pPr>
              <w:pStyle w:val="12"/>
              <w:jc w:val="center"/>
              <w:rPr>
                <w:rFonts w:ascii="宋体" w:hAnsi="宋体"/>
              </w:rPr>
            </w:pPr>
            <w:r>
              <w:rPr>
                <w:rFonts w:hint="eastAsia" w:ascii="宋体" w:hAnsi="宋体"/>
              </w:rPr>
              <w:t>16498</w:t>
            </w:r>
          </w:p>
        </w:tc>
        <w:tc>
          <w:tcPr>
            <w:tcW w:w="485" w:type="pct"/>
            <w:vAlign w:val="center"/>
          </w:tcPr>
          <w:p w14:paraId="7586F707">
            <w:pPr>
              <w:pStyle w:val="12"/>
              <w:jc w:val="center"/>
              <w:rPr>
                <w:rFonts w:ascii="宋体" w:hAnsi="宋体"/>
              </w:rPr>
            </w:pPr>
            <w:r>
              <w:rPr>
                <w:rFonts w:hint="eastAsia" w:ascii="宋体" w:hAnsi="宋体"/>
              </w:rPr>
              <w:t>17166</w:t>
            </w:r>
          </w:p>
        </w:tc>
        <w:tc>
          <w:tcPr>
            <w:tcW w:w="484" w:type="pct"/>
            <w:vAlign w:val="center"/>
          </w:tcPr>
          <w:p w14:paraId="318A3996">
            <w:pPr>
              <w:pStyle w:val="12"/>
              <w:jc w:val="center"/>
              <w:rPr>
                <w:rFonts w:ascii="宋体" w:hAnsi="宋体"/>
              </w:rPr>
            </w:pPr>
            <w:r>
              <w:rPr>
                <w:rFonts w:hint="eastAsia" w:ascii="宋体" w:hAnsi="宋体"/>
              </w:rPr>
              <w:t>18009</w:t>
            </w:r>
          </w:p>
        </w:tc>
        <w:tc>
          <w:tcPr>
            <w:tcW w:w="485" w:type="pct"/>
            <w:vAlign w:val="center"/>
          </w:tcPr>
          <w:p w14:paraId="7AC40973">
            <w:pPr>
              <w:pStyle w:val="12"/>
              <w:jc w:val="center"/>
              <w:rPr>
                <w:rFonts w:ascii="宋体" w:hAnsi="宋体"/>
              </w:rPr>
            </w:pPr>
            <w:r>
              <w:rPr>
                <w:rFonts w:hint="eastAsia" w:ascii="宋体" w:hAnsi="宋体"/>
              </w:rPr>
              <w:t>20091</w:t>
            </w:r>
          </w:p>
        </w:tc>
        <w:tc>
          <w:tcPr>
            <w:tcW w:w="485" w:type="pct"/>
            <w:vAlign w:val="center"/>
          </w:tcPr>
          <w:p w14:paraId="1814E595">
            <w:pPr>
              <w:pStyle w:val="12"/>
              <w:jc w:val="center"/>
              <w:rPr>
                <w:rFonts w:ascii="宋体" w:hAnsi="宋体"/>
              </w:rPr>
            </w:pPr>
            <w:r>
              <w:rPr>
                <w:rFonts w:hint="eastAsia" w:ascii="宋体" w:hAnsi="宋体"/>
              </w:rPr>
              <w:t>24765</w:t>
            </w:r>
          </w:p>
        </w:tc>
        <w:tc>
          <w:tcPr>
            <w:tcW w:w="485" w:type="pct"/>
            <w:vAlign w:val="center"/>
          </w:tcPr>
          <w:p w14:paraId="6730D9DE">
            <w:pPr>
              <w:pStyle w:val="12"/>
              <w:jc w:val="center"/>
              <w:rPr>
                <w:rFonts w:ascii="宋体" w:hAnsi="宋体"/>
              </w:rPr>
            </w:pPr>
            <w:r>
              <w:rPr>
                <w:rFonts w:hint="eastAsia" w:ascii="宋体" w:hAnsi="宋体"/>
              </w:rPr>
              <w:t>28243</w:t>
            </w:r>
          </w:p>
        </w:tc>
        <w:tc>
          <w:tcPr>
            <w:tcW w:w="485" w:type="pct"/>
            <w:tcBorders>
              <w:right w:val="nil"/>
            </w:tcBorders>
            <w:vAlign w:val="center"/>
          </w:tcPr>
          <w:p w14:paraId="470BFABB">
            <w:pPr>
              <w:pStyle w:val="12"/>
              <w:jc w:val="center"/>
              <w:rPr>
                <w:rFonts w:ascii="宋体" w:hAnsi="宋体"/>
              </w:rPr>
            </w:pPr>
            <w:r>
              <w:rPr>
                <w:rFonts w:hint="eastAsia" w:ascii="宋体" w:hAnsi="宋体"/>
              </w:rPr>
              <w:t>32572</w:t>
            </w:r>
          </w:p>
        </w:tc>
      </w:tr>
      <w:tr w14:paraId="28ACD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trPr>
        <w:tc>
          <w:tcPr>
            <w:tcW w:w="195" w:type="pct"/>
            <w:vMerge w:val="continue"/>
            <w:tcBorders>
              <w:left w:val="nil"/>
            </w:tcBorders>
            <w:vAlign w:val="center"/>
          </w:tcPr>
          <w:p w14:paraId="4786DFF9">
            <w:pPr>
              <w:pStyle w:val="12"/>
              <w:jc w:val="center"/>
              <w:rPr>
                <w:rFonts w:ascii="宋体" w:hAnsi="宋体"/>
              </w:rPr>
            </w:pPr>
          </w:p>
        </w:tc>
        <w:tc>
          <w:tcPr>
            <w:tcW w:w="444" w:type="pct"/>
            <w:vAlign w:val="center"/>
          </w:tcPr>
          <w:p w14:paraId="6B7C11A9">
            <w:pPr>
              <w:pStyle w:val="12"/>
              <w:jc w:val="center"/>
              <w:rPr>
                <w:rFonts w:ascii="宋体" w:hAnsi="宋体"/>
              </w:rPr>
            </w:pPr>
            <w:r>
              <w:rPr>
                <w:rFonts w:hint="eastAsia" w:ascii="宋体" w:hAnsi="宋体"/>
              </w:rPr>
              <w:t>支  出</w:t>
            </w:r>
          </w:p>
        </w:tc>
        <w:tc>
          <w:tcPr>
            <w:tcW w:w="484" w:type="pct"/>
            <w:vAlign w:val="center"/>
          </w:tcPr>
          <w:p w14:paraId="291DB5B6">
            <w:pPr>
              <w:pStyle w:val="12"/>
              <w:jc w:val="center"/>
              <w:rPr>
                <w:rFonts w:ascii="宋体" w:hAnsi="宋体"/>
              </w:rPr>
            </w:pPr>
            <w:r>
              <w:rPr>
                <w:rFonts w:hint="eastAsia" w:ascii="宋体" w:hAnsi="宋体"/>
              </w:rPr>
              <w:t>13418</w:t>
            </w:r>
          </w:p>
        </w:tc>
        <w:tc>
          <w:tcPr>
            <w:tcW w:w="485" w:type="pct"/>
            <w:vAlign w:val="center"/>
          </w:tcPr>
          <w:p w14:paraId="13219FC7">
            <w:pPr>
              <w:pStyle w:val="12"/>
              <w:jc w:val="center"/>
              <w:rPr>
                <w:rFonts w:ascii="宋体" w:hAnsi="宋体"/>
              </w:rPr>
            </w:pPr>
            <w:r>
              <w:rPr>
                <w:rFonts w:hint="eastAsia" w:ascii="宋体" w:hAnsi="宋体"/>
              </w:rPr>
              <w:t>14566</w:t>
            </w:r>
          </w:p>
        </w:tc>
        <w:tc>
          <w:tcPr>
            <w:tcW w:w="485" w:type="pct"/>
            <w:vAlign w:val="center"/>
          </w:tcPr>
          <w:p w14:paraId="187A4C6B">
            <w:pPr>
              <w:pStyle w:val="12"/>
              <w:jc w:val="center"/>
              <w:rPr>
                <w:rFonts w:ascii="宋体" w:hAnsi="宋体"/>
              </w:rPr>
            </w:pPr>
            <w:r>
              <w:rPr>
                <w:rFonts w:hint="eastAsia" w:ascii="宋体" w:hAnsi="宋体"/>
              </w:rPr>
              <w:t>15592</w:t>
            </w:r>
          </w:p>
        </w:tc>
        <w:tc>
          <w:tcPr>
            <w:tcW w:w="485" w:type="pct"/>
            <w:vAlign w:val="center"/>
          </w:tcPr>
          <w:p w14:paraId="1D8CC06E">
            <w:pPr>
              <w:pStyle w:val="12"/>
              <w:jc w:val="center"/>
              <w:rPr>
                <w:rFonts w:ascii="宋体" w:hAnsi="宋体"/>
              </w:rPr>
            </w:pPr>
            <w:r>
              <w:rPr>
                <w:rFonts w:hint="eastAsia" w:ascii="宋体" w:hAnsi="宋体"/>
              </w:rPr>
              <w:t>16215</w:t>
            </w:r>
          </w:p>
        </w:tc>
        <w:tc>
          <w:tcPr>
            <w:tcW w:w="484" w:type="pct"/>
            <w:vAlign w:val="center"/>
          </w:tcPr>
          <w:p w14:paraId="7D31BE87">
            <w:pPr>
              <w:pStyle w:val="12"/>
              <w:jc w:val="center"/>
              <w:rPr>
                <w:rFonts w:ascii="宋体" w:hAnsi="宋体"/>
              </w:rPr>
            </w:pPr>
            <w:r>
              <w:rPr>
                <w:rFonts w:hint="eastAsia" w:ascii="宋体" w:hAnsi="宋体"/>
              </w:rPr>
              <w:t>17899</w:t>
            </w:r>
          </w:p>
        </w:tc>
        <w:tc>
          <w:tcPr>
            <w:tcW w:w="485" w:type="pct"/>
            <w:vAlign w:val="center"/>
          </w:tcPr>
          <w:p w14:paraId="742F17BF">
            <w:pPr>
              <w:pStyle w:val="12"/>
              <w:jc w:val="center"/>
              <w:rPr>
                <w:rFonts w:ascii="宋体" w:hAnsi="宋体"/>
              </w:rPr>
            </w:pPr>
            <w:r>
              <w:rPr>
                <w:rFonts w:hint="eastAsia" w:ascii="宋体" w:hAnsi="宋体"/>
              </w:rPr>
              <w:t>19096</w:t>
            </w:r>
          </w:p>
        </w:tc>
        <w:tc>
          <w:tcPr>
            <w:tcW w:w="485" w:type="pct"/>
            <w:vAlign w:val="center"/>
          </w:tcPr>
          <w:p w14:paraId="52EE924A">
            <w:pPr>
              <w:pStyle w:val="12"/>
              <w:jc w:val="center"/>
              <w:rPr>
                <w:rFonts w:ascii="宋体" w:hAnsi="宋体"/>
              </w:rPr>
            </w:pPr>
            <w:r>
              <w:rPr>
                <w:rFonts w:hint="eastAsia" w:ascii="宋体" w:hAnsi="宋体"/>
              </w:rPr>
              <w:t>24642</w:t>
            </w:r>
          </w:p>
        </w:tc>
        <w:tc>
          <w:tcPr>
            <w:tcW w:w="485" w:type="pct"/>
            <w:vAlign w:val="center"/>
          </w:tcPr>
          <w:p w14:paraId="519EA9A7">
            <w:pPr>
              <w:pStyle w:val="12"/>
              <w:jc w:val="center"/>
              <w:rPr>
                <w:rFonts w:ascii="宋体" w:hAnsi="宋体"/>
              </w:rPr>
            </w:pPr>
            <w:r>
              <w:rPr>
                <w:rFonts w:hint="eastAsia" w:ascii="宋体" w:hAnsi="宋体"/>
              </w:rPr>
              <w:t>28115</w:t>
            </w:r>
          </w:p>
        </w:tc>
        <w:tc>
          <w:tcPr>
            <w:tcW w:w="485" w:type="pct"/>
            <w:tcBorders>
              <w:right w:val="nil"/>
            </w:tcBorders>
            <w:vAlign w:val="center"/>
          </w:tcPr>
          <w:p w14:paraId="477DE2CD">
            <w:pPr>
              <w:pStyle w:val="12"/>
              <w:jc w:val="center"/>
              <w:rPr>
                <w:rFonts w:ascii="宋体" w:hAnsi="宋体"/>
              </w:rPr>
            </w:pPr>
            <w:r>
              <w:rPr>
                <w:rFonts w:hint="eastAsia" w:ascii="宋体" w:hAnsi="宋体"/>
              </w:rPr>
              <w:t>32572</w:t>
            </w:r>
          </w:p>
        </w:tc>
      </w:tr>
      <w:tr w14:paraId="00FA7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trPr>
        <w:tc>
          <w:tcPr>
            <w:tcW w:w="195" w:type="pct"/>
            <w:vMerge w:val="restart"/>
            <w:tcBorders>
              <w:left w:val="nil"/>
            </w:tcBorders>
            <w:vAlign w:val="center"/>
          </w:tcPr>
          <w:p w14:paraId="3A3DA068">
            <w:pPr>
              <w:pStyle w:val="12"/>
              <w:jc w:val="center"/>
              <w:rPr>
                <w:rFonts w:ascii="宋体" w:hAnsi="宋体"/>
              </w:rPr>
            </w:pPr>
            <w:r>
              <w:rPr>
                <w:rFonts w:hint="eastAsia" w:ascii="宋体" w:hAnsi="宋体"/>
              </w:rPr>
              <w:t>居民人均收入</w:t>
            </w:r>
          </w:p>
        </w:tc>
        <w:tc>
          <w:tcPr>
            <w:tcW w:w="444" w:type="pct"/>
            <w:vAlign w:val="center"/>
          </w:tcPr>
          <w:p w14:paraId="38EAA4A1">
            <w:pPr>
              <w:pStyle w:val="12"/>
              <w:jc w:val="center"/>
              <w:rPr>
                <w:rFonts w:ascii="宋体" w:hAnsi="宋体"/>
              </w:rPr>
            </w:pPr>
            <w:r>
              <w:rPr>
                <w:rFonts w:hint="eastAsia" w:ascii="宋体" w:hAnsi="宋体"/>
              </w:rPr>
              <w:t>农民人</w:t>
            </w:r>
          </w:p>
          <w:p w14:paraId="0F685BA5">
            <w:pPr>
              <w:pStyle w:val="12"/>
              <w:jc w:val="center"/>
              <w:rPr>
                <w:rFonts w:ascii="宋体" w:hAnsi="宋体"/>
              </w:rPr>
            </w:pPr>
            <w:r>
              <w:rPr>
                <w:rFonts w:hint="eastAsia" w:ascii="宋体" w:hAnsi="宋体"/>
              </w:rPr>
              <w:t>均收入</w:t>
            </w:r>
          </w:p>
        </w:tc>
        <w:tc>
          <w:tcPr>
            <w:tcW w:w="484" w:type="pct"/>
            <w:vAlign w:val="center"/>
          </w:tcPr>
          <w:p w14:paraId="55C35FBE">
            <w:pPr>
              <w:pStyle w:val="12"/>
              <w:jc w:val="center"/>
              <w:rPr>
                <w:rFonts w:ascii="宋体" w:hAnsi="宋体"/>
              </w:rPr>
            </w:pPr>
            <w:r>
              <w:rPr>
                <w:rFonts w:hint="eastAsia" w:ascii="宋体" w:hAnsi="宋体"/>
              </w:rPr>
              <w:t>1751</w:t>
            </w:r>
          </w:p>
        </w:tc>
        <w:tc>
          <w:tcPr>
            <w:tcW w:w="485" w:type="pct"/>
            <w:vAlign w:val="center"/>
          </w:tcPr>
          <w:p w14:paraId="4E6F6901">
            <w:pPr>
              <w:pStyle w:val="12"/>
              <w:jc w:val="center"/>
              <w:rPr>
                <w:rFonts w:ascii="宋体" w:hAnsi="宋体"/>
              </w:rPr>
            </w:pPr>
            <w:r>
              <w:rPr>
                <w:rFonts w:hint="eastAsia" w:ascii="宋体" w:hAnsi="宋体"/>
              </w:rPr>
              <w:t>2023</w:t>
            </w:r>
          </w:p>
        </w:tc>
        <w:tc>
          <w:tcPr>
            <w:tcW w:w="485" w:type="pct"/>
            <w:vAlign w:val="center"/>
          </w:tcPr>
          <w:p w14:paraId="0FD086CE">
            <w:pPr>
              <w:pStyle w:val="12"/>
              <w:jc w:val="center"/>
              <w:rPr>
                <w:rFonts w:ascii="宋体" w:hAnsi="宋体"/>
              </w:rPr>
            </w:pPr>
            <w:r>
              <w:rPr>
                <w:rFonts w:hint="eastAsia" w:ascii="宋体" w:hAnsi="宋体"/>
              </w:rPr>
              <w:t>2298</w:t>
            </w:r>
          </w:p>
        </w:tc>
        <w:tc>
          <w:tcPr>
            <w:tcW w:w="485" w:type="pct"/>
            <w:vAlign w:val="center"/>
          </w:tcPr>
          <w:p w14:paraId="68195696">
            <w:pPr>
              <w:pStyle w:val="12"/>
              <w:jc w:val="center"/>
              <w:rPr>
                <w:rFonts w:ascii="宋体" w:hAnsi="宋体"/>
              </w:rPr>
            </w:pPr>
            <w:r>
              <w:rPr>
                <w:rFonts w:hint="eastAsia" w:ascii="宋体" w:hAnsi="宋体"/>
              </w:rPr>
              <w:t>2610</w:t>
            </w:r>
          </w:p>
        </w:tc>
        <w:tc>
          <w:tcPr>
            <w:tcW w:w="484" w:type="pct"/>
            <w:vAlign w:val="center"/>
          </w:tcPr>
          <w:p w14:paraId="0793B65C">
            <w:pPr>
              <w:pStyle w:val="12"/>
              <w:jc w:val="center"/>
              <w:rPr>
                <w:rFonts w:ascii="宋体" w:hAnsi="宋体"/>
              </w:rPr>
            </w:pPr>
            <w:r>
              <w:rPr>
                <w:rFonts w:hint="eastAsia" w:ascii="宋体" w:hAnsi="宋体"/>
              </w:rPr>
              <w:t>2921</w:t>
            </w:r>
          </w:p>
        </w:tc>
        <w:tc>
          <w:tcPr>
            <w:tcW w:w="485" w:type="pct"/>
            <w:vAlign w:val="center"/>
          </w:tcPr>
          <w:p w14:paraId="56595AD9">
            <w:pPr>
              <w:pStyle w:val="12"/>
              <w:jc w:val="center"/>
              <w:rPr>
                <w:rFonts w:ascii="宋体" w:hAnsi="宋体"/>
              </w:rPr>
            </w:pPr>
            <w:r>
              <w:rPr>
                <w:rFonts w:hint="eastAsia" w:ascii="宋体" w:hAnsi="宋体"/>
              </w:rPr>
              <w:t>3156</w:t>
            </w:r>
          </w:p>
        </w:tc>
        <w:tc>
          <w:tcPr>
            <w:tcW w:w="485" w:type="pct"/>
            <w:vAlign w:val="center"/>
          </w:tcPr>
          <w:p w14:paraId="23910651">
            <w:pPr>
              <w:pStyle w:val="12"/>
              <w:jc w:val="center"/>
              <w:rPr>
                <w:rFonts w:ascii="宋体" w:hAnsi="宋体"/>
              </w:rPr>
            </w:pPr>
            <w:r>
              <w:rPr>
                <w:rFonts w:hint="eastAsia" w:ascii="宋体" w:hAnsi="宋体"/>
              </w:rPr>
              <w:t>3370</w:t>
            </w:r>
          </w:p>
        </w:tc>
        <w:tc>
          <w:tcPr>
            <w:tcW w:w="485" w:type="pct"/>
            <w:vAlign w:val="center"/>
          </w:tcPr>
          <w:p w14:paraId="51CD0F5F">
            <w:pPr>
              <w:pStyle w:val="12"/>
              <w:jc w:val="center"/>
              <w:rPr>
                <w:rFonts w:ascii="宋体" w:hAnsi="宋体"/>
              </w:rPr>
            </w:pPr>
            <w:r>
              <w:rPr>
                <w:rFonts w:hint="eastAsia" w:ascii="宋体" w:hAnsi="宋体"/>
              </w:rPr>
              <w:t>3478</w:t>
            </w:r>
          </w:p>
        </w:tc>
        <w:tc>
          <w:tcPr>
            <w:tcW w:w="485" w:type="pct"/>
            <w:tcBorders>
              <w:right w:val="nil"/>
            </w:tcBorders>
            <w:vAlign w:val="center"/>
          </w:tcPr>
          <w:p w14:paraId="1E116556">
            <w:pPr>
              <w:pStyle w:val="12"/>
              <w:jc w:val="center"/>
              <w:rPr>
                <w:rFonts w:ascii="宋体" w:hAnsi="宋体"/>
              </w:rPr>
            </w:pPr>
            <w:r>
              <w:rPr>
                <w:rFonts w:hint="eastAsia" w:ascii="宋体" w:hAnsi="宋体"/>
              </w:rPr>
              <w:t>3165</w:t>
            </w:r>
          </w:p>
        </w:tc>
      </w:tr>
      <w:tr w14:paraId="49B0D6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trPr>
        <w:tc>
          <w:tcPr>
            <w:tcW w:w="195" w:type="pct"/>
            <w:vMerge w:val="continue"/>
            <w:tcBorders>
              <w:left w:val="nil"/>
            </w:tcBorders>
            <w:vAlign w:val="center"/>
          </w:tcPr>
          <w:p w14:paraId="6395E178">
            <w:pPr>
              <w:pStyle w:val="12"/>
              <w:jc w:val="center"/>
              <w:rPr>
                <w:rFonts w:ascii="宋体" w:hAnsi="宋体"/>
              </w:rPr>
            </w:pPr>
          </w:p>
        </w:tc>
        <w:tc>
          <w:tcPr>
            <w:tcW w:w="444" w:type="pct"/>
            <w:vAlign w:val="center"/>
          </w:tcPr>
          <w:p w14:paraId="6B815884">
            <w:pPr>
              <w:pStyle w:val="12"/>
              <w:jc w:val="center"/>
              <w:rPr>
                <w:rFonts w:ascii="宋体" w:hAnsi="宋体"/>
              </w:rPr>
            </w:pPr>
            <w:r>
              <w:rPr>
                <w:rFonts w:hint="eastAsia" w:ascii="宋体" w:hAnsi="宋体"/>
              </w:rPr>
              <w:t>职工人</w:t>
            </w:r>
          </w:p>
          <w:p w14:paraId="4ACEB067">
            <w:pPr>
              <w:pStyle w:val="12"/>
              <w:jc w:val="center"/>
              <w:rPr>
                <w:rFonts w:ascii="宋体" w:hAnsi="宋体"/>
              </w:rPr>
            </w:pPr>
            <w:r>
              <w:rPr>
                <w:rFonts w:hint="eastAsia" w:ascii="宋体" w:hAnsi="宋体"/>
              </w:rPr>
              <w:t>均收入</w:t>
            </w:r>
          </w:p>
        </w:tc>
        <w:tc>
          <w:tcPr>
            <w:tcW w:w="484" w:type="pct"/>
            <w:vAlign w:val="center"/>
          </w:tcPr>
          <w:p w14:paraId="16482EE0">
            <w:pPr>
              <w:pStyle w:val="12"/>
              <w:jc w:val="center"/>
              <w:rPr>
                <w:rFonts w:ascii="宋体" w:hAnsi="宋体"/>
              </w:rPr>
            </w:pPr>
            <w:r>
              <w:rPr>
                <w:rFonts w:hint="eastAsia" w:ascii="宋体" w:hAnsi="宋体"/>
              </w:rPr>
              <w:t>6164</w:t>
            </w:r>
          </w:p>
        </w:tc>
        <w:tc>
          <w:tcPr>
            <w:tcW w:w="485" w:type="pct"/>
            <w:vAlign w:val="center"/>
          </w:tcPr>
          <w:p w14:paraId="64A28438">
            <w:pPr>
              <w:pStyle w:val="12"/>
              <w:jc w:val="center"/>
              <w:rPr>
                <w:rFonts w:ascii="宋体" w:hAnsi="宋体"/>
              </w:rPr>
            </w:pPr>
            <w:r>
              <w:rPr>
                <w:rFonts w:hint="eastAsia" w:ascii="宋体" w:hAnsi="宋体"/>
              </w:rPr>
              <w:t>6079</w:t>
            </w:r>
          </w:p>
        </w:tc>
        <w:tc>
          <w:tcPr>
            <w:tcW w:w="485" w:type="pct"/>
            <w:vAlign w:val="center"/>
          </w:tcPr>
          <w:p w14:paraId="30D8687D">
            <w:pPr>
              <w:pStyle w:val="12"/>
              <w:jc w:val="center"/>
              <w:rPr>
                <w:rFonts w:ascii="宋体" w:hAnsi="宋体"/>
              </w:rPr>
            </w:pPr>
            <w:r>
              <w:rPr>
                <w:rFonts w:hint="eastAsia" w:ascii="宋体" w:hAnsi="宋体"/>
              </w:rPr>
              <w:t>6915</w:t>
            </w:r>
          </w:p>
        </w:tc>
        <w:tc>
          <w:tcPr>
            <w:tcW w:w="485" w:type="pct"/>
            <w:vAlign w:val="center"/>
          </w:tcPr>
          <w:p w14:paraId="48CD5956">
            <w:pPr>
              <w:pStyle w:val="12"/>
              <w:jc w:val="center"/>
              <w:rPr>
                <w:rFonts w:ascii="宋体" w:hAnsi="宋体"/>
              </w:rPr>
            </w:pPr>
            <w:r>
              <w:rPr>
                <w:rFonts w:hint="eastAsia" w:ascii="宋体" w:hAnsi="宋体"/>
              </w:rPr>
              <w:t>7505</w:t>
            </w:r>
          </w:p>
        </w:tc>
        <w:tc>
          <w:tcPr>
            <w:tcW w:w="484" w:type="pct"/>
            <w:vAlign w:val="center"/>
          </w:tcPr>
          <w:p w14:paraId="3D1B7179">
            <w:pPr>
              <w:pStyle w:val="12"/>
              <w:jc w:val="center"/>
              <w:rPr>
                <w:rFonts w:ascii="宋体" w:hAnsi="宋体"/>
              </w:rPr>
            </w:pPr>
            <w:r>
              <w:rPr>
                <w:rFonts w:hint="eastAsia" w:ascii="宋体" w:hAnsi="宋体"/>
              </w:rPr>
              <w:t>8488</w:t>
            </w:r>
          </w:p>
        </w:tc>
        <w:tc>
          <w:tcPr>
            <w:tcW w:w="485" w:type="pct"/>
            <w:vAlign w:val="center"/>
          </w:tcPr>
          <w:p w14:paraId="6220BE6B">
            <w:pPr>
              <w:pStyle w:val="12"/>
              <w:jc w:val="center"/>
              <w:rPr>
                <w:rFonts w:ascii="宋体" w:hAnsi="宋体"/>
              </w:rPr>
            </w:pPr>
            <w:r>
              <w:rPr>
                <w:rFonts w:hint="eastAsia" w:ascii="宋体" w:hAnsi="宋体"/>
              </w:rPr>
              <w:t>9857</w:t>
            </w:r>
          </w:p>
        </w:tc>
        <w:tc>
          <w:tcPr>
            <w:tcW w:w="485" w:type="pct"/>
            <w:vAlign w:val="center"/>
          </w:tcPr>
          <w:p w14:paraId="790AB2AB">
            <w:pPr>
              <w:pStyle w:val="12"/>
              <w:jc w:val="center"/>
              <w:rPr>
                <w:rFonts w:ascii="宋体" w:hAnsi="宋体"/>
              </w:rPr>
            </w:pPr>
            <w:r>
              <w:rPr>
                <w:rFonts w:hint="eastAsia" w:ascii="宋体" w:hAnsi="宋体"/>
              </w:rPr>
              <w:t>11333</w:t>
            </w:r>
          </w:p>
        </w:tc>
        <w:tc>
          <w:tcPr>
            <w:tcW w:w="485" w:type="pct"/>
            <w:vAlign w:val="center"/>
          </w:tcPr>
          <w:p w14:paraId="5B030298">
            <w:pPr>
              <w:pStyle w:val="12"/>
              <w:jc w:val="center"/>
              <w:rPr>
                <w:rFonts w:ascii="宋体" w:hAnsi="宋体"/>
              </w:rPr>
            </w:pPr>
            <w:r>
              <w:rPr>
                <w:rFonts w:hint="eastAsia" w:ascii="宋体" w:hAnsi="宋体"/>
              </w:rPr>
              <w:t>12350</w:t>
            </w:r>
          </w:p>
        </w:tc>
        <w:tc>
          <w:tcPr>
            <w:tcW w:w="485" w:type="pct"/>
            <w:tcBorders>
              <w:right w:val="nil"/>
            </w:tcBorders>
            <w:vAlign w:val="center"/>
          </w:tcPr>
          <w:p w14:paraId="112E9ED1">
            <w:pPr>
              <w:pStyle w:val="12"/>
              <w:jc w:val="center"/>
              <w:rPr>
                <w:rFonts w:ascii="宋体" w:hAnsi="宋体"/>
              </w:rPr>
            </w:pPr>
            <w:r>
              <w:rPr>
                <w:rFonts w:hint="eastAsia" w:ascii="宋体" w:hAnsi="宋体"/>
              </w:rPr>
              <w:t>14364</w:t>
            </w:r>
          </w:p>
        </w:tc>
      </w:tr>
      <w:tr w14:paraId="0B887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trPr>
        <w:tc>
          <w:tcPr>
            <w:tcW w:w="195" w:type="pct"/>
            <w:vMerge w:val="restart"/>
            <w:tcBorders>
              <w:left w:val="nil"/>
            </w:tcBorders>
            <w:vAlign w:val="center"/>
          </w:tcPr>
          <w:p w14:paraId="7D943CBD">
            <w:pPr>
              <w:pStyle w:val="12"/>
              <w:jc w:val="center"/>
              <w:rPr>
                <w:rFonts w:ascii="宋体" w:hAnsi="宋体"/>
              </w:rPr>
            </w:pPr>
            <w:r>
              <w:rPr>
                <w:rFonts w:hint="eastAsia" w:ascii="宋体" w:hAnsi="宋体"/>
              </w:rPr>
              <w:t>城乡居民储蓄</w:t>
            </w:r>
          </w:p>
        </w:tc>
        <w:tc>
          <w:tcPr>
            <w:tcW w:w="444" w:type="pct"/>
            <w:vAlign w:val="center"/>
          </w:tcPr>
          <w:p w14:paraId="252ACDD3">
            <w:pPr>
              <w:pStyle w:val="12"/>
              <w:jc w:val="center"/>
              <w:rPr>
                <w:rFonts w:ascii="宋体" w:hAnsi="宋体"/>
              </w:rPr>
            </w:pPr>
            <w:r>
              <w:rPr>
                <w:rFonts w:hint="eastAsia" w:ascii="宋体" w:hAnsi="宋体"/>
              </w:rPr>
              <w:t>总  额</w:t>
            </w:r>
          </w:p>
        </w:tc>
        <w:tc>
          <w:tcPr>
            <w:tcW w:w="484" w:type="pct"/>
            <w:vAlign w:val="center"/>
          </w:tcPr>
          <w:p w14:paraId="3E981343">
            <w:pPr>
              <w:pStyle w:val="12"/>
              <w:jc w:val="center"/>
              <w:rPr>
                <w:rFonts w:ascii="宋体" w:hAnsi="宋体"/>
              </w:rPr>
            </w:pPr>
            <w:r>
              <w:rPr>
                <w:rFonts w:hint="eastAsia" w:ascii="宋体" w:hAnsi="宋体"/>
              </w:rPr>
              <w:t>86383</w:t>
            </w:r>
          </w:p>
        </w:tc>
        <w:tc>
          <w:tcPr>
            <w:tcW w:w="485" w:type="pct"/>
            <w:vAlign w:val="center"/>
          </w:tcPr>
          <w:p w14:paraId="0A96C91B">
            <w:pPr>
              <w:pStyle w:val="12"/>
              <w:jc w:val="center"/>
              <w:rPr>
                <w:rFonts w:ascii="宋体" w:hAnsi="宋体"/>
              </w:rPr>
            </w:pPr>
            <w:r>
              <w:rPr>
                <w:rFonts w:hint="eastAsia" w:ascii="宋体" w:hAnsi="宋体"/>
              </w:rPr>
              <w:t>93536</w:t>
            </w:r>
          </w:p>
        </w:tc>
        <w:tc>
          <w:tcPr>
            <w:tcW w:w="485" w:type="pct"/>
            <w:vAlign w:val="center"/>
          </w:tcPr>
          <w:p w14:paraId="1AF53CBD">
            <w:pPr>
              <w:pStyle w:val="12"/>
              <w:jc w:val="center"/>
              <w:rPr>
                <w:rFonts w:ascii="宋体" w:hAnsi="宋体"/>
              </w:rPr>
            </w:pPr>
            <w:r>
              <w:rPr>
                <w:rFonts w:hint="eastAsia" w:ascii="宋体" w:hAnsi="宋体"/>
              </w:rPr>
              <w:t>101341</w:t>
            </w:r>
          </w:p>
        </w:tc>
        <w:tc>
          <w:tcPr>
            <w:tcW w:w="485" w:type="pct"/>
            <w:vAlign w:val="center"/>
          </w:tcPr>
          <w:p w14:paraId="697F5C5C">
            <w:pPr>
              <w:pStyle w:val="12"/>
              <w:jc w:val="center"/>
              <w:rPr>
                <w:rFonts w:ascii="宋体" w:hAnsi="宋体"/>
              </w:rPr>
            </w:pPr>
            <w:r>
              <w:rPr>
                <w:rFonts w:hint="eastAsia" w:ascii="宋体" w:hAnsi="宋体"/>
              </w:rPr>
              <w:t>98730</w:t>
            </w:r>
          </w:p>
        </w:tc>
        <w:tc>
          <w:tcPr>
            <w:tcW w:w="484" w:type="pct"/>
            <w:vAlign w:val="center"/>
          </w:tcPr>
          <w:p w14:paraId="77E91D71">
            <w:pPr>
              <w:pStyle w:val="12"/>
              <w:jc w:val="center"/>
              <w:rPr>
                <w:rFonts w:ascii="宋体" w:hAnsi="宋体"/>
              </w:rPr>
            </w:pPr>
            <w:r>
              <w:rPr>
                <w:rFonts w:hint="eastAsia" w:ascii="宋体" w:hAnsi="宋体"/>
              </w:rPr>
              <w:t>111314</w:t>
            </w:r>
          </w:p>
        </w:tc>
        <w:tc>
          <w:tcPr>
            <w:tcW w:w="485" w:type="pct"/>
            <w:vAlign w:val="center"/>
          </w:tcPr>
          <w:p w14:paraId="2854F956">
            <w:pPr>
              <w:pStyle w:val="12"/>
              <w:jc w:val="center"/>
              <w:rPr>
                <w:rFonts w:ascii="宋体" w:hAnsi="宋体"/>
              </w:rPr>
            </w:pPr>
            <w:r>
              <w:rPr>
                <w:rFonts w:hint="eastAsia" w:ascii="宋体" w:hAnsi="宋体"/>
              </w:rPr>
              <w:t>126661</w:t>
            </w:r>
          </w:p>
        </w:tc>
        <w:tc>
          <w:tcPr>
            <w:tcW w:w="485" w:type="pct"/>
            <w:vAlign w:val="center"/>
          </w:tcPr>
          <w:p w14:paraId="5181C290">
            <w:pPr>
              <w:pStyle w:val="12"/>
              <w:jc w:val="center"/>
              <w:rPr>
                <w:rFonts w:ascii="宋体" w:hAnsi="宋体"/>
              </w:rPr>
            </w:pPr>
            <w:r>
              <w:rPr>
                <w:rFonts w:hint="eastAsia" w:ascii="宋体" w:hAnsi="宋体"/>
              </w:rPr>
              <w:t>150165</w:t>
            </w:r>
          </w:p>
        </w:tc>
        <w:tc>
          <w:tcPr>
            <w:tcW w:w="485" w:type="pct"/>
            <w:vAlign w:val="center"/>
          </w:tcPr>
          <w:p w14:paraId="59668D6D">
            <w:pPr>
              <w:pStyle w:val="12"/>
              <w:jc w:val="center"/>
              <w:rPr>
                <w:rFonts w:ascii="宋体" w:hAnsi="宋体"/>
              </w:rPr>
            </w:pPr>
            <w:r>
              <w:rPr>
                <w:rFonts w:hint="eastAsia" w:ascii="宋体" w:hAnsi="宋体"/>
              </w:rPr>
              <w:t>171359</w:t>
            </w:r>
          </w:p>
        </w:tc>
        <w:tc>
          <w:tcPr>
            <w:tcW w:w="485" w:type="pct"/>
            <w:tcBorders>
              <w:right w:val="nil"/>
            </w:tcBorders>
            <w:vAlign w:val="center"/>
          </w:tcPr>
          <w:p w14:paraId="2769397F">
            <w:pPr>
              <w:pStyle w:val="12"/>
              <w:jc w:val="center"/>
              <w:rPr>
                <w:rFonts w:ascii="宋体" w:hAnsi="宋体"/>
              </w:rPr>
            </w:pPr>
            <w:r>
              <w:rPr>
                <w:rFonts w:hint="eastAsia" w:ascii="宋体" w:hAnsi="宋体"/>
              </w:rPr>
              <w:t>191984</w:t>
            </w:r>
          </w:p>
        </w:tc>
      </w:tr>
      <w:tr w14:paraId="2E2D9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trPr>
        <w:tc>
          <w:tcPr>
            <w:tcW w:w="195" w:type="pct"/>
            <w:vMerge w:val="continue"/>
            <w:tcBorders>
              <w:left w:val="nil"/>
            </w:tcBorders>
            <w:vAlign w:val="center"/>
          </w:tcPr>
          <w:p w14:paraId="37CFF894">
            <w:pPr>
              <w:pStyle w:val="12"/>
              <w:jc w:val="center"/>
              <w:rPr>
                <w:rFonts w:ascii="宋体" w:hAnsi="宋体"/>
              </w:rPr>
            </w:pPr>
          </w:p>
        </w:tc>
        <w:tc>
          <w:tcPr>
            <w:tcW w:w="444" w:type="pct"/>
            <w:vAlign w:val="center"/>
          </w:tcPr>
          <w:p w14:paraId="2B6F247F">
            <w:pPr>
              <w:pStyle w:val="12"/>
              <w:jc w:val="center"/>
              <w:rPr>
                <w:rFonts w:ascii="宋体" w:hAnsi="宋体"/>
              </w:rPr>
            </w:pPr>
            <w:r>
              <w:rPr>
                <w:rFonts w:hint="eastAsia" w:ascii="宋体" w:hAnsi="宋体"/>
              </w:rPr>
              <w:t>城市居</w:t>
            </w:r>
          </w:p>
          <w:p w14:paraId="06B3433B">
            <w:pPr>
              <w:pStyle w:val="12"/>
              <w:jc w:val="center"/>
              <w:rPr>
                <w:rFonts w:ascii="宋体" w:hAnsi="宋体"/>
              </w:rPr>
            </w:pPr>
            <w:r>
              <w:rPr>
                <w:rFonts w:hint="eastAsia" w:ascii="宋体" w:hAnsi="宋体"/>
              </w:rPr>
              <w:t>民储蓄</w:t>
            </w:r>
          </w:p>
        </w:tc>
        <w:tc>
          <w:tcPr>
            <w:tcW w:w="484" w:type="pct"/>
            <w:vAlign w:val="center"/>
          </w:tcPr>
          <w:p w14:paraId="4E07BAF6">
            <w:pPr>
              <w:pStyle w:val="12"/>
              <w:jc w:val="center"/>
              <w:rPr>
                <w:rFonts w:ascii="宋体" w:hAnsi="宋体"/>
              </w:rPr>
            </w:pPr>
            <w:r>
              <w:rPr>
                <w:rFonts w:hint="eastAsia" w:ascii="宋体" w:hAnsi="宋体"/>
              </w:rPr>
              <w:t>64871</w:t>
            </w:r>
          </w:p>
        </w:tc>
        <w:tc>
          <w:tcPr>
            <w:tcW w:w="485" w:type="pct"/>
            <w:vAlign w:val="center"/>
          </w:tcPr>
          <w:p w14:paraId="539D9502">
            <w:pPr>
              <w:pStyle w:val="12"/>
              <w:jc w:val="center"/>
              <w:rPr>
                <w:rFonts w:ascii="宋体" w:hAnsi="宋体"/>
              </w:rPr>
            </w:pPr>
            <w:r>
              <w:rPr>
                <w:rFonts w:hint="eastAsia" w:ascii="宋体" w:hAnsi="宋体"/>
              </w:rPr>
              <w:t>67573</w:t>
            </w:r>
          </w:p>
        </w:tc>
        <w:tc>
          <w:tcPr>
            <w:tcW w:w="485" w:type="pct"/>
            <w:vAlign w:val="center"/>
          </w:tcPr>
          <w:p w14:paraId="45D4B093">
            <w:pPr>
              <w:pStyle w:val="12"/>
              <w:jc w:val="center"/>
              <w:rPr>
                <w:rFonts w:ascii="宋体" w:hAnsi="宋体"/>
              </w:rPr>
            </w:pPr>
            <w:r>
              <w:rPr>
                <w:rFonts w:hint="eastAsia" w:ascii="宋体" w:hAnsi="宋体"/>
              </w:rPr>
              <w:t>74199</w:t>
            </w:r>
          </w:p>
        </w:tc>
        <w:tc>
          <w:tcPr>
            <w:tcW w:w="485" w:type="pct"/>
            <w:vAlign w:val="center"/>
          </w:tcPr>
          <w:p w14:paraId="433B3F2B">
            <w:pPr>
              <w:pStyle w:val="12"/>
              <w:jc w:val="center"/>
              <w:rPr>
                <w:rFonts w:ascii="宋体" w:hAnsi="宋体"/>
              </w:rPr>
            </w:pPr>
            <w:r>
              <w:rPr>
                <w:rFonts w:hint="eastAsia" w:ascii="宋体" w:hAnsi="宋体"/>
              </w:rPr>
              <w:t>72120</w:t>
            </w:r>
          </w:p>
        </w:tc>
        <w:tc>
          <w:tcPr>
            <w:tcW w:w="484" w:type="pct"/>
            <w:vAlign w:val="center"/>
          </w:tcPr>
          <w:p w14:paraId="4995863E">
            <w:pPr>
              <w:pStyle w:val="12"/>
              <w:jc w:val="center"/>
              <w:rPr>
                <w:rFonts w:ascii="宋体" w:hAnsi="宋体"/>
              </w:rPr>
            </w:pPr>
            <w:r>
              <w:rPr>
                <w:rFonts w:hint="eastAsia" w:ascii="宋体" w:hAnsi="宋体"/>
              </w:rPr>
              <w:t>79312</w:t>
            </w:r>
          </w:p>
        </w:tc>
        <w:tc>
          <w:tcPr>
            <w:tcW w:w="485" w:type="pct"/>
            <w:vAlign w:val="center"/>
          </w:tcPr>
          <w:p w14:paraId="16A9810D">
            <w:pPr>
              <w:pStyle w:val="12"/>
              <w:jc w:val="center"/>
              <w:rPr>
                <w:rFonts w:ascii="宋体" w:hAnsi="宋体"/>
              </w:rPr>
            </w:pPr>
            <w:r>
              <w:rPr>
                <w:rFonts w:hint="eastAsia" w:ascii="宋体" w:hAnsi="宋体"/>
              </w:rPr>
              <w:t>92132</w:t>
            </w:r>
          </w:p>
        </w:tc>
        <w:tc>
          <w:tcPr>
            <w:tcW w:w="485" w:type="pct"/>
            <w:vAlign w:val="center"/>
          </w:tcPr>
          <w:p w14:paraId="1FCD6C73">
            <w:pPr>
              <w:pStyle w:val="12"/>
              <w:jc w:val="center"/>
              <w:rPr>
                <w:rFonts w:ascii="宋体" w:hAnsi="宋体"/>
              </w:rPr>
            </w:pPr>
            <w:r>
              <w:rPr>
                <w:rFonts w:hint="eastAsia" w:ascii="宋体" w:hAnsi="宋体"/>
              </w:rPr>
              <w:t>112335</w:t>
            </w:r>
          </w:p>
        </w:tc>
        <w:tc>
          <w:tcPr>
            <w:tcW w:w="485" w:type="pct"/>
            <w:vAlign w:val="center"/>
          </w:tcPr>
          <w:p w14:paraId="4C0FEE7C">
            <w:pPr>
              <w:pStyle w:val="12"/>
              <w:jc w:val="center"/>
              <w:rPr>
                <w:rFonts w:ascii="宋体" w:hAnsi="宋体"/>
              </w:rPr>
            </w:pPr>
            <w:r>
              <w:rPr>
                <w:rFonts w:hint="eastAsia" w:ascii="宋体" w:hAnsi="宋体"/>
              </w:rPr>
              <w:t>129922</w:t>
            </w:r>
          </w:p>
        </w:tc>
        <w:tc>
          <w:tcPr>
            <w:tcW w:w="485" w:type="pct"/>
            <w:tcBorders>
              <w:right w:val="nil"/>
            </w:tcBorders>
            <w:vAlign w:val="center"/>
          </w:tcPr>
          <w:p w14:paraId="307291E7">
            <w:pPr>
              <w:pStyle w:val="12"/>
              <w:jc w:val="center"/>
              <w:rPr>
                <w:rFonts w:ascii="宋体" w:hAnsi="宋体"/>
              </w:rPr>
            </w:pPr>
            <w:r>
              <w:rPr>
                <w:rFonts w:hint="eastAsia" w:ascii="宋体" w:hAnsi="宋体"/>
              </w:rPr>
              <w:t>—</w:t>
            </w:r>
          </w:p>
        </w:tc>
      </w:tr>
      <w:tr w14:paraId="38913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trPr>
        <w:tc>
          <w:tcPr>
            <w:tcW w:w="195" w:type="pct"/>
            <w:vMerge w:val="continue"/>
            <w:tcBorders>
              <w:left w:val="nil"/>
            </w:tcBorders>
            <w:vAlign w:val="center"/>
          </w:tcPr>
          <w:p w14:paraId="327A26A1">
            <w:pPr>
              <w:pStyle w:val="12"/>
              <w:jc w:val="center"/>
              <w:rPr>
                <w:rFonts w:ascii="宋体" w:hAnsi="宋体"/>
              </w:rPr>
            </w:pPr>
          </w:p>
        </w:tc>
        <w:tc>
          <w:tcPr>
            <w:tcW w:w="444" w:type="pct"/>
            <w:vAlign w:val="center"/>
          </w:tcPr>
          <w:p w14:paraId="002A9B93">
            <w:pPr>
              <w:pStyle w:val="12"/>
              <w:jc w:val="center"/>
              <w:rPr>
                <w:rFonts w:ascii="宋体" w:hAnsi="宋体"/>
              </w:rPr>
            </w:pPr>
            <w:r>
              <w:rPr>
                <w:rFonts w:hint="eastAsia" w:ascii="宋体" w:hAnsi="宋体"/>
              </w:rPr>
              <w:t>农村居</w:t>
            </w:r>
          </w:p>
          <w:p w14:paraId="12EA2D28">
            <w:pPr>
              <w:pStyle w:val="12"/>
              <w:jc w:val="center"/>
              <w:rPr>
                <w:rFonts w:ascii="宋体" w:hAnsi="宋体"/>
              </w:rPr>
            </w:pPr>
            <w:r>
              <w:rPr>
                <w:rFonts w:hint="eastAsia" w:ascii="宋体" w:hAnsi="宋体"/>
              </w:rPr>
              <w:t>民储蓄</w:t>
            </w:r>
          </w:p>
        </w:tc>
        <w:tc>
          <w:tcPr>
            <w:tcW w:w="484" w:type="pct"/>
            <w:vAlign w:val="center"/>
          </w:tcPr>
          <w:p w14:paraId="4444827F">
            <w:pPr>
              <w:pStyle w:val="12"/>
              <w:jc w:val="center"/>
              <w:rPr>
                <w:rFonts w:ascii="宋体" w:hAnsi="宋体"/>
              </w:rPr>
            </w:pPr>
            <w:r>
              <w:rPr>
                <w:rFonts w:hint="eastAsia" w:ascii="宋体" w:hAnsi="宋体"/>
              </w:rPr>
              <w:t>21512</w:t>
            </w:r>
          </w:p>
        </w:tc>
        <w:tc>
          <w:tcPr>
            <w:tcW w:w="485" w:type="pct"/>
            <w:vAlign w:val="center"/>
          </w:tcPr>
          <w:p w14:paraId="6BC068E1">
            <w:pPr>
              <w:pStyle w:val="12"/>
              <w:jc w:val="center"/>
              <w:rPr>
                <w:rFonts w:ascii="宋体" w:hAnsi="宋体"/>
              </w:rPr>
            </w:pPr>
            <w:r>
              <w:rPr>
                <w:rFonts w:hint="eastAsia" w:ascii="宋体" w:hAnsi="宋体"/>
              </w:rPr>
              <w:t>25963</w:t>
            </w:r>
          </w:p>
        </w:tc>
        <w:tc>
          <w:tcPr>
            <w:tcW w:w="485" w:type="pct"/>
            <w:vAlign w:val="center"/>
          </w:tcPr>
          <w:p w14:paraId="6C5B33EC">
            <w:pPr>
              <w:pStyle w:val="12"/>
              <w:jc w:val="center"/>
              <w:rPr>
                <w:rFonts w:ascii="宋体" w:hAnsi="宋体"/>
              </w:rPr>
            </w:pPr>
            <w:r>
              <w:rPr>
                <w:rFonts w:hint="eastAsia" w:ascii="宋体" w:hAnsi="宋体"/>
              </w:rPr>
              <w:t>27142</w:t>
            </w:r>
          </w:p>
        </w:tc>
        <w:tc>
          <w:tcPr>
            <w:tcW w:w="485" w:type="pct"/>
            <w:vAlign w:val="center"/>
          </w:tcPr>
          <w:p w14:paraId="325D3629">
            <w:pPr>
              <w:pStyle w:val="12"/>
              <w:jc w:val="center"/>
              <w:rPr>
                <w:rFonts w:ascii="宋体" w:hAnsi="宋体"/>
              </w:rPr>
            </w:pPr>
            <w:r>
              <w:rPr>
                <w:rFonts w:hint="eastAsia" w:ascii="宋体" w:hAnsi="宋体"/>
              </w:rPr>
              <w:t>26610</w:t>
            </w:r>
          </w:p>
        </w:tc>
        <w:tc>
          <w:tcPr>
            <w:tcW w:w="484" w:type="pct"/>
            <w:vAlign w:val="center"/>
          </w:tcPr>
          <w:p w14:paraId="10BECA69">
            <w:pPr>
              <w:pStyle w:val="12"/>
              <w:jc w:val="center"/>
              <w:rPr>
                <w:rFonts w:ascii="宋体" w:hAnsi="宋体"/>
              </w:rPr>
            </w:pPr>
            <w:r>
              <w:rPr>
                <w:rFonts w:hint="eastAsia" w:ascii="宋体" w:hAnsi="宋体"/>
              </w:rPr>
              <w:t>32002</w:t>
            </w:r>
          </w:p>
        </w:tc>
        <w:tc>
          <w:tcPr>
            <w:tcW w:w="485" w:type="pct"/>
            <w:vAlign w:val="center"/>
          </w:tcPr>
          <w:p w14:paraId="2107ED2D">
            <w:pPr>
              <w:pStyle w:val="12"/>
              <w:jc w:val="center"/>
              <w:rPr>
                <w:rFonts w:ascii="宋体" w:hAnsi="宋体"/>
              </w:rPr>
            </w:pPr>
            <w:r>
              <w:rPr>
                <w:rFonts w:hint="eastAsia" w:ascii="宋体" w:hAnsi="宋体"/>
              </w:rPr>
              <w:t>34529</w:t>
            </w:r>
          </w:p>
        </w:tc>
        <w:tc>
          <w:tcPr>
            <w:tcW w:w="485" w:type="pct"/>
            <w:vAlign w:val="center"/>
          </w:tcPr>
          <w:p w14:paraId="72CF17C8">
            <w:pPr>
              <w:pStyle w:val="12"/>
              <w:jc w:val="center"/>
              <w:rPr>
                <w:rFonts w:ascii="宋体" w:hAnsi="宋体"/>
              </w:rPr>
            </w:pPr>
            <w:r>
              <w:rPr>
                <w:rFonts w:hint="eastAsia" w:ascii="宋体" w:hAnsi="宋体"/>
              </w:rPr>
              <w:t>37830</w:t>
            </w:r>
          </w:p>
        </w:tc>
        <w:tc>
          <w:tcPr>
            <w:tcW w:w="485" w:type="pct"/>
            <w:vAlign w:val="center"/>
          </w:tcPr>
          <w:p w14:paraId="64D9C2CB">
            <w:pPr>
              <w:pStyle w:val="12"/>
              <w:jc w:val="center"/>
              <w:rPr>
                <w:rFonts w:ascii="宋体" w:hAnsi="宋体"/>
              </w:rPr>
            </w:pPr>
            <w:r>
              <w:rPr>
                <w:rFonts w:hint="eastAsia" w:ascii="宋体" w:hAnsi="宋体"/>
              </w:rPr>
              <w:t>41437</w:t>
            </w:r>
          </w:p>
        </w:tc>
        <w:tc>
          <w:tcPr>
            <w:tcW w:w="485" w:type="pct"/>
            <w:tcBorders>
              <w:right w:val="nil"/>
            </w:tcBorders>
            <w:vAlign w:val="center"/>
          </w:tcPr>
          <w:p w14:paraId="4C18BFDD">
            <w:pPr>
              <w:pStyle w:val="12"/>
              <w:jc w:val="center"/>
              <w:rPr>
                <w:rFonts w:ascii="宋体" w:hAnsi="宋体"/>
              </w:rPr>
            </w:pPr>
            <w:r>
              <w:rPr>
                <w:rFonts w:hint="eastAsia" w:ascii="宋体" w:hAnsi="宋体"/>
              </w:rPr>
              <w:t>—</w:t>
            </w:r>
          </w:p>
        </w:tc>
      </w:tr>
    </w:tbl>
    <w:p w14:paraId="490B02CF">
      <w:pPr>
        <w:ind w:firstLine="422"/>
        <w:rPr>
          <w:rFonts w:ascii="宋体" w:hAnsi="宋体"/>
          <w:b/>
          <w:szCs w:val="21"/>
        </w:rPr>
      </w:pPr>
      <w:r>
        <w:rPr>
          <w:rFonts w:hint="eastAsia" w:ascii="宋体" w:hAnsi="宋体"/>
          <w:b/>
          <w:szCs w:val="21"/>
        </w:rPr>
        <w:t>说明：产值均按当年价，</w:t>
      </w:r>
      <w:r>
        <w:rPr>
          <w:rFonts w:ascii="宋体" w:hAnsi="宋体"/>
          <w:b/>
          <w:szCs w:val="21"/>
        </w:rPr>
        <w:t>1993年至2003年农民人均纯收入按评估调整计算数，2</w:t>
      </w:r>
      <w:r>
        <w:rPr>
          <w:rFonts w:hint="eastAsia" w:ascii="宋体" w:hAnsi="宋体"/>
          <w:b/>
          <w:szCs w:val="21"/>
        </w:rPr>
        <w:t>0</w:t>
      </w:r>
      <w:r>
        <w:rPr>
          <w:rFonts w:ascii="宋体" w:hAnsi="宋体"/>
          <w:b/>
          <w:szCs w:val="21"/>
        </w:rPr>
        <w:t>04年农民人均纯收入按MPPS调查数。</w:t>
      </w:r>
    </w:p>
    <w:p w14:paraId="3ABF9395">
      <w:pPr>
        <w:pStyle w:val="3"/>
        <w:rPr>
          <w:rFonts w:ascii="宋体" w:hAnsi="宋体"/>
        </w:rPr>
      </w:pPr>
      <w:r>
        <w:rPr>
          <w:rFonts w:hint="eastAsia" w:ascii="宋体" w:hAnsi="宋体"/>
        </w:rPr>
        <w:t>第二章  农业</w:t>
      </w:r>
    </w:p>
    <w:p w14:paraId="73158911">
      <w:pPr>
        <w:ind w:firstLine="420"/>
        <w:rPr>
          <w:rFonts w:ascii="宋体" w:hAnsi="宋体"/>
          <w:szCs w:val="21"/>
        </w:rPr>
      </w:pPr>
      <w:r>
        <w:rPr>
          <w:rFonts w:hint="eastAsia" w:ascii="宋体" w:hAnsi="宋体"/>
          <w:szCs w:val="21"/>
        </w:rPr>
        <w:t>南雄农业在社会总产值中，</w:t>
      </w:r>
      <w:r>
        <w:rPr>
          <w:rFonts w:ascii="宋体" w:hAnsi="宋体"/>
          <w:szCs w:val="21"/>
        </w:rPr>
        <w:t>1952年占70.4%，1987年占49%，2004年占29.87%。在农、林、畜、副、渔五业中，种植业占基础地位。在农业总产值中，2004年种植业占49.8%，畜牧业占27.9%，渔业占15.1%。其中粮食面积最大，黄</w:t>
      </w:r>
      <w:r>
        <w:rPr>
          <w:rFonts w:hint="eastAsia" w:ascii="宋体" w:hAnsi="宋体"/>
          <w:szCs w:val="21"/>
        </w:rPr>
        <w:t>烟则商品率最高。稻谷</w:t>
      </w:r>
      <w:r>
        <w:rPr>
          <w:rFonts w:ascii="宋体" w:hAnsi="宋体"/>
          <w:szCs w:val="21"/>
        </w:rPr>
        <w:t>1950年总产56199.6吨、亩产92.5公斤，至1972年总产112235.6吨，对比1950年增长近1倍，亩产202公斤，按种植面积计算，达全国农</w:t>
      </w:r>
      <w:r>
        <w:rPr>
          <w:rFonts w:hint="eastAsia" w:ascii="宋体" w:hAnsi="宋体"/>
          <w:szCs w:val="21"/>
        </w:rPr>
        <w:t>业发展纲要亩产</w:t>
      </w:r>
      <w:r>
        <w:rPr>
          <w:rFonts w:ascii="宋体" w:hAnsi="宋体"/>
          <w:szCs w:val="21"/>
        </w:rPr>
        <w:t>400公斤。1979年总产150656.7吨，比1972年增长34%，亩产256.7公斤，按种植面积计算实现亩产千斤（市斤）县。1996年总产235169吨，比1979年增长56%，亩产500公斤，实现吨谷市，即按种植面积计算，亩产稻谷1000</w:t>
      </w:r>
      <w:r>
        <w:rPr>
          <w:rFonts w:hint="eastAsia" w:ascii="宋体" w:hAnsi="宋体"/>
          <w:szCs w:val="21"/>
        </w:rPr>
        <w:t>公斤。</w:t>
      </w:r>
      <w:r>
        <w:rPr>
          <w:rFonts w:ascii="宋体" w:hAnsi="宋体"/>
          <w:szCs w:val="21"/>
        </w:rPr>
        <w:t>1999年总产238707吨，为迄今历史最高水平。黄烟总产1950年1514吨，亩</w:t>
      </w:r>
      <w:r>
        <w:rPr>
          <w:rFonts w:hint="eastAsia" w:ascii="宋体" w:hAnsi="宋体"/>
          <w:szCs w:val="21"/>
        </w:rPr>
        <w:t>产</w:t>
      </w:r>
      <w:r>
        <w:rPr>
          <w:rFonts w:ascii="宋体" w:hAnsi="宋体"/>
          <w:szCs w:val="21"/>
        </w:rPr>
        <w:t>34.2公斤。至1992年总产达31623吨，比1950年增长近20倍，为迄今历史最高</w:t>
      </w:r>
      <w:r>
        <w:rPr>
          <w:rFonts w:hint="eastAsia" w:ascii="宋体" w:hAnsi="宋体"/>
          <w:szCs w:val="21"/>
        </w:rPr>
        <w:t>水平。</w:t>
      </w:r>
    </w:p>
    <w:p w14:paraId="74D7A2D5">
      <w:pPr>
        <w:pStyle w:val="4"/>
        <w:rPr>
          <w:rFonts w:ascii="宋体" w:hAnsi="宋体"/>
        </w:rPr>
      </w:pPr>
      <w:r>
        <w:rPr>
          <w:rFonts w:hint="eastAsia" w:ascii="宋体" w:hAnsi="宋体"/>
        </w:rPr>
        <w:t>第一节  经营体制改革</w:t>
      </w:r>
    </w:p>
    <w:p w14:paraId="09B67547">
      <w:pPr>
        <w:pStyle w:val="5"/>
        <w:rPr>
          <w:rFonts w:ascii="宋体" w:hAnsi="宋体"/>
        </w:rPr>
      </w:pPr>
      <w:r>
        <w:rPr>
          <w:rFonts w:hint="eastAsia" w:ascii="宋体" w:hAnsi="宋体"/>
        </w:rPr>
        <w:t>一、实行家庭联产承包责任制</w:t>
      </w:r>
    </w:p>
    <w:p w14:paraId="26558701">
      <w:pPr>
        <w:ind w:firstLine="420"/>
        <w:rPr>
          <w:rFonts w:ascii="宋体" w:hAnsi="宋体"/>
          <w:szCs w:val="21"/>
        </w:rPr>
      </w:pPr>
      <w:r>
        <w:rPr>
          <w:rFonts w:ascii="宋体" w:hAnsi="宋体"/>
          <w:szCs w:val="21"/>
        </w:rPr>
        <w:t>1978年12月，中共十一届三中全会后，冲破“左”的思想束缚，逐步实行包产</w:t>
      </w:r>
      <w:r>
        <w:rPr>
          <w:rFonts w:hint="eastAsia" w:ascii="宋体" w:hAnsi="宋体"/>
          <w:szCs w:val="21"/>
        </w:rPr>
        <w:t>到户，并把生产队土地按人口和劳动力适当比例分给各户经营，各户包完成国家征派购任务和上调公社、大队任务，剩余产品由各户自行处理，生产队不再记工分，不搞统一分配，名为家庭联产承包责任制。这一制度，充分发挥社员劳动积极性，增产显著。</w:t>
      </w:r>
      <w:r>
        <w:rPr>
          <w:rFonts w:ascii="宋体" w:hAnsi="宋体"/>
          <w:szCs w:val="21"/>
        </w:rPr>
        <w:t>1981年2月，县委、县政府发出《关于加强和完善包干到户农业生产责任制的</w:t>
      </w:r>
      <w:r>
        <w:rPr>
          <w:rFonts w:hint="eastAsia" w:ascii="宋体" w:hAnsi="宋体"/>
          <w:szCs w:val="21"/>
        </w:rPr>
        <w:t>十项规定》，全县绝大部分生产队按此规定把利于分户经营管理的生产资料分给社员，把不利于分割到户的水利设施、农机、鱼塘、粮油加工厂等企业继续由集体经营管理。由此形成了集体与农户双层经营的体制。实行包产到户后，农业连年大增产，</w:t>
      </w:r>
      <w:r>
        <w:rPr>
          <w:rFonts w:ascii="宋体" w:hAnsi="宋体"/>
          <w:szCs w:val="21"/>
        </w:rPr>
        <w:t>1984年全县出现卖粮难，粮、油、肉紧缺的历史随即结束</w:t>
      </w:r>
      <w:r>
        <w:rPr>
          <w:rFonts w:hint="eastAsia" w:ascii="宋体" w:hAnsi="宋体"/>
          <w:szCs w:val="21"/>
        </w:rPr>
        <w:t>。</w:t>
      </w:r>
    </w:p>
    <w:p w14:paraId="70BDFB98">
      <w:pPr>
        <w:ind w:firstLine="420"/>
        <w:rPr>
          <w:rFonts w:ascii="宋体" w:hAnsi="宋体"/>
          <w:szCs w:val="21"/>
        </w:rPr>
      </w:pPr>
      <w:r>
        <w:rPr>
          <w:rFonts w:ascii="宋体" w:hAnsi="宋体"/>
          <w:szCs w:val="21"/>
        </w:rPr>
        <w:t>1988年2月，县委批转县委农村工作部《完善农村合作经济组织意见》，要求按</w:t>
      </w:r>
      <w:r>
        <w:rPr>
          <w:rFonts w:hint="eastAsia" w:ascii="宋体" w:hAnsi="宋体"/>
          <w:szCs w:val="21"/>
        </w:rPr>
        <w:t>省的部署：乡镇设经济合作总社，村设联社，原生产队设经济社。</w:t>
      </w:r>
      <w:r>
        <w:rPr>
          <w:rFonts w:ascii="宋体" w:hAnsi="宋体"/>
          <w:szCs w:val="21"/>
        </w:rPr>
        <w:t>1991年至1992</w:t>
      </w:r>
      <w:r>
        <w:rPr>
          <w:rFonts w:hint="eastAsia" w:ascii="宋体" w:hAnsi="宋体"/>
          <w:szCs w:val="21"/>
        </w:rPr>
        <w:t>年，县委农村工作部分二批对全县</w:t>
      </w:r>
      <w:r>
        <w:rPr>
          <w:rFonts w:ascii="宋体" w:hAnsi="宋体"/>
          <w:szCs w:val="21"/>
        </w:rPr>
        <w:t>24个乡镇的221个经济联合社、2187个经济合作</w:t>
      </w:r>
      <w:r>
        <w:rPr>
          <w:rFonts w:hint="eastAsia" w:ascii="宋体" w:hAnsi="宋体"/>
          <w:szCs w:val="21"/>
        </w:rPr>
        <w:t>社进行了验收、发证。确认了这些合作经济组织的法人地位。但这些集体经济组织的经营效益大多欠佳。</w:t>
      </w:r>
      <w:r>
        <w:rPr>
          <w:rFonts w:ascii="宋体" w:hAnsi="宋体"/>
          <w:szCs w:val="21"/>
        </w:rPr>
        <w:t>1994年县委、县政府组织500多人的工作队下乡，开展基层组</w:t>
      </w:r>
      <w:r>
        <w:rPr>
          <w:rFonts w:hint="eastAsia" w:ascii="宋体" w:hAnsi="宋体"/>
          <w:szCs w:val="21"/>
        </w:rPr>
        <w:t>织建设，促进集体经济发展。至</w:t>
      </w:r>
      <w:r>
        <w:rPr>
          <w:rFonts w:ascii="宋体" w:hAnsi="宋体"/>
          <w:szCs w:val="21"/>
        </w:rPr>
        <w:t>1997年，联社和经济社收入6.9亿元，占农村经济</w:t>
      </w:r>
      <w:r>
        <w:rPr>
          <w:rFonts w:hint="eastAsia" w:ascii="宋体" w:hAnsi="宋体"/>
          <w:szCs w:val="21"/>
        </w:rPr>
        <w:t>总收入的</w:t>
      </w:r>
      <w:r>
        <w:rPr>
          <w:rFonts w:ascii="宋体" w:hAnsi="宋体"/>
          <w:szCs w:val="21"/>
        </w:rPr>
        <w:t>27.7%，每社平均收入28750元</w:t>
      </w:r>
      <w:r>
        <w:rPr>
          <w:rFonts w:hint="eastAsia" w:ascii="宋体" w:hAnsi="宋体"/>
          <w:szCs w:val="21"/>
        </w:rPr>
        <w:t>。</w:t>
      </w:r>
    </w:p>
    <w:p w14:paraId="74BB3C8C">
      <w:pPr>
        <w:ind w:firstLine="420"/>
        <w:rPr>
          <w:rFonts w:ascii="宋体" w:hAnsi="宋体"/>
          <w:szCs w:val="21"/>
        </w:rPr>
      </w:pPr>
      <w:r>
        <w:rPr>
          <w:rFonts w:ascii="宋体" w:hAnsi="宋体"/>
          <w:szCs w:val="21"/>
        </w:rPr>
        <w:t>1999年9月，市委、市政府又抽调500多人的工作队下乡，进驻24个镇221个</w:t>
      </w:r>
      <w:r>
        <w:rPr>
          <w:rFonts w:hint="eastAsia" w:ascii="宋体" w:hAnsi="宋体"/>
          <w:szCs w:val="21"/>
        </w:rPr>
        <w:t>村委会指导落实上级关于土地延包</w:t>
      </w:r>
      <w:r>
        <w:rPr>
          <w:rFonts w:ascii="宋体" w:hAnsi="宋体"/>
          <w:szCs w:val="21"/>
        </w:rPr>
        <w:t>30年的政策。</w:t>
      </w:r>
    </w:p>
    <w:p w14:paraId="67324983">
      <w:pPr>
        <w:pStyle w:val="5"/>
        <w:rPr>
          <w:rFonts w:ascii="宋体" w:hAnsi="宋体"/>
        </w:rPr>
      </w:pPr>
      <w:r>
        <w:rPr>
          <w:rFonts w:hint="eastAsia" w:ascii="宋体" w:hAnsi="宋体"/>
        </w:rPr>
        <w:t>二、推行农业产业化</w:t>
      </w:r>
    </w:p>
    <w:p w14:paraId="462CCA3B">
      <w:pPr>
        <w:ind w:firstLine="420"/>
        <w:rPr>
          <w:rFonts w:ascii="宋体" w:hAnsi="宋体"/>
          <w:szCs w:val="21"/>
        </w:rPr>
      </w:pPr>
      <w:r>
        <w:rPr>
          <w:rFonts w:hint="eastAsia" w:ascii="宋体" w:hAnsi="宋体"/>
          <w:szCs w:val="21"/>
        </w:rPr>
        <w:t>在市场经济条件下，逐步推行农业产业化。</w:t>
      </w:r>
      <w:r>
        <w:rPr>
          <w:rFonts w:ascii="宋体" w:hAnsi="宋体"/>
          <w:szCs w:val="21"/>
        </w:rPr>
        <w:t>1984年，南雄烟草公司首先实行产</w:t>
      </w:r>
      <w:r>
        <w:rPr>
          <w:rFonts w:hint="eastAsia" w:ascii="宋体" w:hAnsi="宋体"/>
          <w:szCs w:val="21"/>
        </w:rPr>
        <w:t>供销一体化经营。以烟草公司为龙头，与</w:t>
      </w:r>
      <w:r>
        <w:rPr>
          <w:rFonts w:ascii="宋体" w:hAnsi="宋体"/>
          <w:szCs w:val="21"/>
        </w:rPr>
        <w:t>4万多农户签订种烟合同，建立了10多万</w:t>
      </w:r>
      <w:r>
        <w:rPr>
          <w:rFonts w:hint="eastAsia" w:ascii="宋体" w:hAnsi="宋体"/>
          <w:szCs w:val="21"/>
        </w:rPr>
        <w:t>亩相对稳定的烤烟生产基地。</w:t>
      </w:r>
      <w:r>
        <w:rPr>
          <w:rFonts w:ascii="宋体" w:hAnsi="宋体"/>
          <w:szCs w:val="21"/>
        </w:rPr>
        <w:t>1995年，又建立了以金友公司为龙头的优质米生产产</w:t>
      </w:r>
      <w:r>
        <w:rPr>
          <w:rFonts w:hint="eastAsia" w:ascii="宋体" w:hAnsi="宋体"/>
          <w:szCs w:val="21"/>
        </w:rPr>
        <w:t>业化，实施“公司</w:t>
      </w:r>
      <w:r>
        <w:rPr>
          <w:rFonts w:ascii="宋体" w:hAnsi="宋体"/>
          <w:szCs w:val="21"/>
        </w:rPr>
        <w:t>＋农户＋基地＋客户”的经营模式，每年优质稻种植面积达</w:t>
      </w:r>
      <w:r>
        <w:rPr>
          <w:rFonts w:hint="eastAsia" w:ascii="宋体" w:hAnsi="宋体"/>
          <w:szCs w:val="21"/>
        </w:rPr>
        <w:t>66</w:t>
      </w:r>
      <w:r>
        <w:rPr>
          <w:rFonts w:ascii="宋体" w:hAnsi="宋体"/>
          <w:szCs w:val="21"/>
        </w:rPr>
        <w:t>666.66公顷以上。1998年，市供销社建立了以甜玉米专业合作社为龙头的甜玉米</w:t>
      </w:r>
      <w:r>
        <w:rPr>
          <w:rFonts w:hint="eastAsia" w:ascii="宋体" w:hAnsi="宋体"/>
          <w:szCs w:val="21"/>
        </w:rPr>
        <w:t>生产产业化。合作社以订单农业方式向农民提供种子、技术指导，包收购产品。种植基地农民则以经济社或联社为单位，以入会形式作为专业合作社集体成员，承担权利义务。种植基地分布在：邓坊镇兰田村、珠玑镇角湾、衹芜村、坪田镇官陂村、水口镇弱过村、澜河镇上澜村、帽子峰镇坪山村、南亩镇南亩村。近年种植面积约</w:t>
      </w:r>
      <w:r>
        <w:rPr>
          <w:rFonts w:ascii="宋体" w:hAnsi="宋体"/>
          <w:szCs w:val="21"/>
        </w:rPr>
        <w:t>100公</w:t>
      </w:r>
      <w:r>
        <w:rPr>
          <w:rFonts w:hint="eastAsia" w:ascii="宋体" w:hAnsi="宋体"/>
          <w:szCs w:val="21"/>
        </w:rPr>
        <w:t>顷。</w:t>
      </w:r>
    </w:p>
    <w:p w14:paraId="0A451C66">
      <w:pPr>
        <w:pStyle w:val="4"/>
        <w:rPr>
          <w:rFonts w:ascii="宋体" w:hAnsi="宋体"/>
        </w:rPr>
      </w:pPr>
      <w:r>
        <w:rPr>
          <w:rFonts w:hint="eastAsia" w:ascii="宋体" w:hAnsi="宋体"/>
        </w:rPr>
        <w:t>第二节  种植业</w:t>
      </w:r>
    </w:p>
    <w:p w14:paraId="1F76B127">
      <w:pPr>
        <w:ind w:firstLine="420"/>
        <w:rPr>
          <w:rFonts w:ascii="宋体" w:hAnsi="宋体"/>
          <w:szCs w:val="21"/>
        </w:rPr>
      </w:pPr>
      <w:r>
        <w:rPr>
          <w:rFonts w:hint="eastAsia" w:ascii="宋体" w:hAnsi="宋体"/>
          <w:szCs w:val="21"/>
        </w:rPr>
        <w:t>南雄种植业以水稻、黄烟、花生为主。尤其黄烟久负盛名，近年烟叶产量位居全省首位，是全国六大烤烟基地之一（详见本编黄烟章）。中华人民共和国成立以后，中共南雄县委、县人民政府坚持以农业为基础的方针，大兴农田水利建设，改变生产条件，改革耕作制度，推广优良品种和先进栽培技术，在耕地面积减少的情况下，不断提高单位面积产量，使主要农作物人均产量不断提高。</w:t>
      </w:r>
      <w:r>
        <w:rPr>
          <w:rFonts w:ascii="宋体" w:hAnsi="宋体"/>
          <w:szCs w:val="21"/>
        </w:rPr>
        <w:t>1950年人均生产粮食312.6</w:t>
      </w:r>
      <w:r>
        <w:rPr>
          <w:rFonts w:hint="eastAsia" w:ascii="宋体" w:hAnsi="宋体"/>
          <w:szCs w:val="21"/>
        </w:rPr>
        <w:t>公斤，烟叶</w:t>
      </w:r>
      <w:r>
        <w:rPr>
          <w:rFonts w:ascii="宋体" w:hAnsi="宋体"/>
          <w:szCs w:val="21"/>
        </w:rPr>
        <w:t>8.2公斤，花生7.8公斤。1987年分别提高到566.6公斤、42公斤</w:t>
      </w:r>
      <w:r>
        <w:rPr>
          <w:rFonts w:hint="eastAsia" w:ascii="宋体" w:hAnsi="宋体"/>
          <w:szCs w:val="21"/>
        </w:rPr>
        <w:t>、</w:t>
      </w:r>
      <w:r>
        <w:rPr>
          <w:rFonts w:ascii="宋体" w:hAnsi="宋体"/>
          <w:szCs w:val="21"/>
        </w:rPr>
        <w:t>31.6公斤，即比1950年分别增长2.42倍、18.65倍、6.6倍。2004年人均生产粮食656.7公斤、烟叶57.8公斤、花生50.8公斤，又比1987年份别增长15.9%</w:t>
      </w:r>
      <w:r>
        <w:rPr>
          <w:rFonts w:hint="eastAsia" w:ascii="宋体" w:hAnsi="宋体"/>
          <w:szCs w:val="21"/>
        </w:rPr>
        <w:t>、</w:t>
      </w:r>
      <w:r>
        <w:rPr>
          <w:rFonts w:ascii="宋体" w:hAnsi="宋体"/>
          <w:szCs w:val="21"/>
        </w:rPr>
        <w:t>37.6%、60.8%。</w:t>
      </w:r>
    </w:p>
    <w:p w14:paraId="4049C2BA">
      <w:pPr>
        <w:pStyle w:val="5"/>
        <w:rPr>
          <w:rFonts w:ascii="宋体" w:hAnsi="宋体"/>
        </w:rPr>
      </w:pPr>
      <w:r>
        <w:rPr>
          <w:rFonts w:hint="eastAsia" w:ascii="宋体" w:hAnsi="宋体"/>
        </w:rPr>
        <w:t>一、农业用地</w:t>
      </w:r>
    </w:p>
    <w:p w14:paraId="6DB05F4E">
      <w:pPr>
        <w:ind w:firstLine="422"/>
        <w:rPr>
          <w:rFonts w:ascii="宋体" w:hAnsi="宋体"/>
          <w:b/>
          <w:szCs w:val="21"/>
        </w:rPr>
      </w:pPr>
      <w:r>
        <w:rPr>
          <w:rFonts w:hint="eastAsia" w:ascii="宋体" w:hAnsi="宋体"/>
          <w:b/>
          <w:szCs w:val="21"/>
        </w:rPr>
        <w:t>（一）耕地面积</w:t>
      </w:r>
    </w:p>
    <w:p w14:paraId="0C5C92D8">
      <w:pPr>
        <w:ind w:firstLine="420"/>
        <w:rPr>
          <w:rFonts w:ascii="宋体" w:hAnsi="宋体"/>
          <w:szCs w:val="21"/>
        </w:rPr>
      </w:pPr>
      <w:r>
        <w:rPr>
          <w:rFonts w:hint="eastAsia" w:ascii="宋体" w:hAnsi="宋体"/>
          <w:szCs w:val="21"/>
        </w:rPr>
        <w:t>南雄农用耕地本来不多，新中国成立后，由于经济发展，人口增长，住宅占地、交通占地、工矿占地和水灾毁地等因素，耕地减少数量总是大于垦荒增加的数量。</w:t>
      </w:r>
      <w:r>
        <w:rPr>
          <w:rFonts w:ascii="宋体" w:hAnsi="宋体"/>
          <w:szCs w:val="21"/>
        </w:rPr>
        <w:t>1953年查田定产时，总人口224512人，耕地面积36457.8公顷，人均0.16公顷</w:t>
      </w:r>
      <w:r>
        <w:rPr>
          <w:rFonts w:hint="eastAsia" w:ascii="宋体" w:hAnsi="宋体"/>
          <w:szCs w:val="21"/>
        </w:rPr>
        <w:t>。</w:t>
      </w:r>
      <w:r>
        <w:rPr>
          <w:rFonts w:ascii="宋体" w:hAnsi="宋体"/>
          <w:szCs w:val="21"/>
        </w:rPr>
        <w:t>1987年总人口418629人，耕地面积29520.33公顷，比1953年减少了19%，人均耕</w:t>
      </w:r>
      <w:r>
        <w:rPr>
          <w:rFonts w:hint="eastAsia" w:ascii="宋体" w:hAnsi="宋体"/>
          <w:szCs w:val="21"/>
        </w:rPr>
        <w:t>地下降至</w:t>
      </w:r>
      <w:r>
        <w:rPr>
          <w:rFonts w:ascii="宋体" w:hAnsi="宋体"/>
          <w:szCs w:val="21"/>
        </w:rPr>
        <w:t>0.07公顷。1997年总人口449614人，耕地面积29267公顷，人均0.065公</w:t>
      </w:r>
      <w:r>
        <w:rPr>
          <w:rFonts w:hint="eastAsia" w:ascii="宋体" w:hAnsi="宋体"/>
          <w:szCs w:val="21"/>
        </w:rPr>
        <w:t>顷。</w:t>
      </w:r>
      <w:r>
        <w:rPr>
          <w:rFonts w:ascii="宋体" w:hAnsi="宋体"/>
          <w:szCs w:val="21"/>
        </w:rPr>
        <w:t>2004年总人口457883人，耕地面积29073.07公顷，人均0.063公顷。2002年</w:t>
      </w:r>
      <w:r>
        <w:rPr>
          <w:rFonts w:hint="eastAsia" w:ascii="宋体" w:hAnsi="宋体"/>
          <w:szCs w:val="21"/>
        </w:rPr>
        <w:t>省国土资源厅在乌迳镇安排</w:t>
      </w:r>
      <w:r>
        <w:rPr>
          <w:rFonts w:ascii="宋体" w:hAnsi="宋体"/>
          <w:szCs w:val="21"/>
        </w:rPr>
        <w:t>66.67公顷易地开发补充耕地项目，分布在该镇新田、高</w:t>
      </w:r>
      <w:r>
        <w:rPr>
          <w:rFonts w:hint="eastAsia" w:ascii="宋体" w:hAnsi="宋体"/>
          <w:szCs w:val="21"/>
        </w:rPr>
        <w:t>溯、鱼塘</w:t>
      </w:r>
      <w:r>
        <w:rPr>
          <w:rFonts w:ascii="宋体" w:hAnsi="宋体"/>
          <w:szCs w:val="21"/>
        </w:rPr>
        <w:t>3个村委会内，开垦区域面积98.01公顷，实际开发梯田、梯土共67.48公</w:t>
      </w:r>
      <w:r>
        <w:rPr>
          <w:rFonts w:hint="eastAsia" w:ascii="宋体" w:hAnsi="宋体"/>
          <w:szCs w:val="21"/>
        </w:rPr>
        <w:t>顷，工程总投资</w:t>
      </w:r>
      <w:r>
        <w:rPr>
          <w:rFonts w:ascii="宋体" w:hAnsi="宋体"/>
          <w:szCs w:val="21"/>
        </w:rPr>
        <w:t>919.75万元，其中水利工程设施占420.41万元。但就全市而言，亦</w:t>
      </w:r>
      <w:r>
        <w:rPr>
          <w:rFonts w:hint="eastAsia" w:ascii="宋体" w:hAnsi="宋体"/>
          <w:szCs w:val="21"/>
        </w:rPr>
        <w:t>未能遏止耕地数量减少的趋势。全市</w:t>
      </w:r>
      <w:r>
        <w:rPr>
          <w:rFonts w:ascii="宋体" w:hAnsi="宋体"/>
          <w:szCs w:val="21"/>
        </w:rPr>
        <w:t>1987年至2004年耕地统计见表2-6：</w:t>
      </w:r>
    </w:p>
    <w:p w14:paraId="017E6CF2">
      <w:pPr>
        <w:ind w:firstLine="0" w:firstLineChars="0"/>
        <w:jc w:val="center"/>
        <w:rPr>
          <w:rFonts w:ascii="宋体" w:hAnsi="宋体"/>
          <w:b/>
          <w:szCs w:val="21"/>
        </w:rPr>
      </w:pPr>
      <w:r>
        <w:rPr>
          <w:rFonts w:hint="eastAsia" w:ascii="宋体" w:hAnsi="宋体"/>
          <w:b/>
          <w:szCs w:val="21"/>
        </w:rPr>
        <w:t>南雄市</w:t>
      </w:r>
      <w:r>
        <w:rPr>
          <w:rFonts w:ascii="宋体" w:hAnsi="宋体"/>
          <w:b/>
          <w:szCs w:val="21"/>
        </w:rPr>
        <w:t>1987年至2004年耕地面积统计</w:t>
      </w:r>
    </w:p>
    <w:p w14:paraId="619532A7">
      <w:pPr>
        <w:ind w:firstLine="0" w:firstLineChars="0"/>
        <w:rPr>
          <w:rFonts w:ascii="宋体" w:hAnsi="宋体"/>
          <w:b/>
          <w:szCs w:val="21"/>
        </w:rPr>
      </w:pPr>
      <w:r>
        <w:rPr>
          <w:rFonts w:hint="eastAsia" w:ascii="宋体" w:hAnsi="宋体"/>
          <w:b/>
          <w:szCs w:val="21"/>
        </w:rPr>
        <w:t>表</w:t>
      </w:r>
      <w:r>
        <w:rPr>
          <w:rFonts w:ascii="宋体" w:hAnsi="宋体"/>
          <w:b/>
          <w:szCs w:val="21"/>
        </w:rPr>
        <w:t>2-6</w:t>
      </w:r>
    </w:p>
    <w:p w14:paraId="04026682">
      <w:pPr>
        <w:ind w:firstLine="422"/>
        <w:jc w:val="right"/>
        <w:rPr>
          <w:rFonts w:ascii="宋体" w:hAnsi="宋体"/>
          <w:b/>
          <w:szCs w:val="21"/>
        </w:rPr>
      </w:pPr>
      <w:r>
        <w:rPr>
          <w:rFonts w:ascii="宋体" w:hAnsi="宋体"/>
          <w:b/>
          <w:szCs w:val="21"/>
        </w:rPr>
        <w:t>单位：人、亩</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88"/>
        <w:gridCol w:w="988"/>
        <w:gridCol w:w="1056"/>
        <w:gridCol w:w="988"/>
        <w:gridCol w:w="990"/>
        <w:gridCol w:w="990"/>
        <w:gridCol w:w="990"/>
        <w:gridCol w:w="990"/>
        <w:gridCol w:w="991"/>
        <w:gridCol w:w="991"/>
      </w:tblGrid>
      <w:tr w14:paraId="6D4F0F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6" w:type="pct"/>
            <w:vMerge w:val="restart"/>
            <w:vAlign w:val="center"/>
          </w:tcPr>
          <w:p w14:paraId="0DB3FC28">
            <w:pPr>
              <w:pStyle w:val="12"/>
              <w:jc w:val="center"/>
              <w:rPr>
                <w:rFonts w:ascii="宋体" w:hAnsi="宋体"/>
                <w:b/>
              </w:rPr>
            </w:pPr>
            <w:r>
              <w:rPr>
                <w:rFonts w:hint="eastAsia" w:ascii="宋体" w:hAnsi="宋体"/>
                <w:b/>
              </w:rPr>
              <w:t>年份</w:t>
            </w:r>
          </w:p>
        </w:tc>
        <w:tc>
          <w:tcPr>
            <w:tcW w:w="496" w:type="pct"/>
            <w:vMerge w:val="restart"/>
            <w:vAlign w:val="center"/>
          </w:tcPr>
          <w:p w14:paraId="04DBA55F">
            <w:pPr>
              <w:pStyle w:val="12"/>
              <w:jc w:val="center"/>
              <w:rPr>
                <w:rFonts w:ascii="宋体" w:hAnsi="宋体"/>
                <w:b/>
              </w:rPr>
            </w:pPr>
            <w:r>
              <w:rPr>
                <w:rFonts w:hint="eastAsia" w:ascii="宋体" w:hAnsi="宋体"/>
                <w:b/>
              </w:rPr>
              <w:t>总人口（人）</w:t>
            </w:r>
          </w:p>
        </w:tc>
        <w:tc>
          <w:tcPr>
            <w:tcW w:w="1523" w:type="pct"/>
            <w:gridSpan w:val="3"/>
            <w:vAlign w:val="center"/>
          </w:tcPr>
          <w:p w14:paraId="28121155">
            <w:pPr>
              <w:pStyle w:val="12"/>
              <w:jc w:val="center"/>
              <w:rPr>
                <w:rFonts w:ascii="宋体" w:hAnsi="宋体"/>
                <w:b/>
              </w:rPr>
            </w:pPr>
            <w:r>
              <w:rPr>
                <w:rFonts w:hint="eastAsia" w:ascii="宋体" w:hAnsi="宋体"/>
                <w:b/>
              </w:rPr>
              <w:t>耕地面积（亩）</w:t>
            </w:r>
          </w:p>
        </w:tc>
        <w:tc>
          <w:tcPr>
            <w:tcW w:w="497" w:type="pct"/>
            <w:vMerge w:val="restart"/>
            <w:vAlign w:val="center"/>
          </w:tcPr>
          <w:p w14:paraId="7CB90AFC">
            <w:pPr>
              <w:pStyle w:val="12"/>
              <w:jc w:val="center"/>
              <w:rPr>
                <w:rFonts w:ascii="宋体" w:hAnsi="宋体"/>
                <w:b/>
              </w:rPr>
            </w:pPr>
            <w:r>
              <w:rPr>
                <w:rFonts w:hint="eastAsia" w:ascii="宋体" w:hAnsi="宋体"/>
                <w:b/>
              </w:rPr>
              <w:t>年份</w:t>
            </w:r>
          </w:p>
        </w:tc>
        <w:tc>
          <w:tcPr>
            <w:tcW w:w="497" w:type="pct"/>
            <w:vMerge w:val="restart"/>
            <w:vAlign w:val="center"/>
          </w:tcPr>
          <w:p w14:paraId="4F0A60F2">
            <w:pPr>
              <w:pStyle w:val="12"/>
              <w:jc w:val="center"/>
              <w:rPr>
                <w:rFonts w:ascii="宋体" w:hAnsi="宋体"/>
                <w:b/>
              </w:rPr>
            </w:pPr>
            <w:r>
              <w:rPr>
                <w:rFonts w:hint="eastAsia" w:ascii="宋体" w:hAnsi="宋体"/>
                <w:b/>
              </w:rPr>
              <w:t>总人口（人）</w:t>
            </w:r>
          </w:p>
        </w:tc>
        <w:tc>
          <w:tcPr>
            <w:tcW w:w="1491" w:type="pct"/>
            <w:gridSpan w:val="3"/>
            <w:vAlign w:val="center"/>
          </w:tcPr>
          <w:p w14:paraId="21C0A05A">
            <w:pPr>
              <w:pStyle w:val="12"/>
              <w:jc w:val="center"/>
              <w:rPr>
                <w:rFonts w:ascii="宋体" w:hAnsi="宋体"/>
                <w:b/>
              </w:rPr>
            </w:pPr>
            <w:r>
              <w:rPr>
                <w:rFonts w:hint="eastAsia" w:ascii="宋体" w:hAnsi="宋体"/>
                <w:b/>
              </w:rPr>
              <w:t>耕地面积（亩）</w:t>
            </w:r>
          </w:p>
        </w:tc>
      </w:tr>
      <w:tr w14:paraId="6D57A0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6" w:type="pct"/>
            <w:vMerge w:val="continue"/>
            <w:vAlign w:val="center"/>
          </w:tcPr>
          <w:p w14:paraId="58146FBC">
            <w:pPr>
              <w:pStyle w:val="12"/>
              <w:jc w:val="center"/>
              <w:rPr>
                <w:rFonts w:ascii="宋体" w:hAnsi="宋体"/>
                <w:b/>
              </w:rPr>
            </w:pPr>
          </w:p>
        </w:tc>
        <w:tc>
          <w:tcPr>
            <w:tcW w:w="496" w:type="pct"/>
            <w:vMerge w:val="continue"/>
            <w:vAlign w:val="center"/>
          </w:tcPr>
          <w:p w14:paraId="02E29C18">
            <w:pPr>
              <w:pStyle w:val="12"/>
              <w:jc w:val="center"/>
              <w:rPr>
                <w:rFonts w:ascii="宋体" w:hAnsi="宋体"/>
                <w:b/>
              </w:rPr>
            </w:pPr>
          </w:p>
        </w:tc>
        <w:tc>
          <w:tcPr>
            <w:tcW w:w="530" w:type="pct"/>
            <w:vAlign w:val="center"/>
          </w:tcPr>
          <w:p w14:paraId="4940B357">
            <w:pPr>
              <w:pStyle w:val="12"/>
              <w:jc w:val="center"/>
              <w:rPr>
                <w:rFonts w:ascii="宋体" w:hAnsi="宋体"/>
                <w:b/>
              </w:rPr>
            </w:pPr>
            <w:r>
              <w:rPr>
                <w:rFonts w:hint="eastAsia" w:ascii="宋体" w:hAnsi="宋体"/>
                <w:b/>
              </w:rPr>
              <w:t>合计</w:t>
            </w:r>
          </w:p>
        </w:tc>
        <w:tc>
          <w:tcPr>
            <w:tcW w:w="496" w:type="pct"/>
            <w:vAlign w:val="center"/>
          </w:tcPr>
          <w:p w14:paraId="266CE8FC">
            <w:pPr>
              <w:pStyle w:val="12"/>
              <w:jc w:val="center"/>
              <w:rPr>
                <w:rFonts w:ascii="宋体" w:hAnsi="宋体"/>
                <w:b/>
              </w:rPr>
            </w:pPr>
            <w:r>
              <w:rPr>
                <w:rFonts w:hint="eastAsia" w:ascii="宋体" w:hAnsi="宋体"/>
                <w:b/>
              </w:rPr>
              <w:t>比上年增减</w:t>
            </w:r>
          </w:p>
        </w:tc>
        <w:tc>
          <w:tcPr>
            <w:tcW w:w="497" w:type="pct"/>
            <w:vAlign w:val="center"/>
          </w:tcPr>
          <w:p w14:paraId="12D06BD5">
            <w:pPr>
              <w:pStyle w:val="12"/>
              <w:jc w:val="center"/>
              <w:rPr>
                <w:rFonts w:ascii="宋体" w:hAnsi="宋体"/>
                <w:b/>
              </w:rPr>
            </w:pPr>
            <w:r>
              <w:rPr>
                <w:rFonts w:hint="eastAsia" w:ascii="宋体" w:hAnsi="宋体"/>
                <w:b/>
              </w:rPr>
              <w:t>人均</w:t>
            </w:r>
          </w:p>
        </w:tc>
        <w:tc>
          <w:tcPr>
            <w:tcW w:w="497" w:type="pct"/>
            <w:vMerge w:val="continue"/>
            <w:vAlign w:val="center"/>
          </w:tcPr>
          <w:p w14:paraId="4184F7AA">
            <w:pPr>
              <w:pStyle w:val="12"/>
              <w:jc w:val="center"/>
              <w:rPr>
                <w:rFonts w:ascii="宋体" w:hAnsi="宋体"/>
                <w:b/>
              </w:rPr>
            </w:pPr>
          </w:p>
        </w:tc>
        <w:tc>
          <w:tcPr>
            <w:tcW w:w="497" w:type="pct"/>
            <w:vMerge w:val="continue"/>
            <w:vAlign w:val="center"/>
          </w:tcPr>
          <w:p w14:paraId="2B5CF98C">
            <w:pPr>
              <w:pStyle w:val="12"/>
              <w:jc w:val="center"/>
              <w:rPr>
                <w:rFonts w:ascii="宋体" w:hAnsi="宋体"/>
                <w:b/>
              </w:rPr>
            </w:pPr>
          </w:p>
        </w:tc>
        <w:tc>
          <w:tcPr>
            <w:tcW w:w="497" w:type="pct"/>
            <w:vAlign w:val="center"/>
          </w:tcPr>
          <w:p w14:paraId="0C7BCD45">
            <w:pPr>
              <w:pStyle w:val="12"/>
              <w:jc w:val="center"/>
              <w:rPr>
                <w:rFonts w:ascii="宋体" w:hAnsi="宋体"/>
                <w:b/>
              </w:rPr>
            </w:pPr>
            <w:r>
              <w:rPr>
                <w:rFonts w:hint="eastAsia" w:ascii="宋体" w:hAnsi="宋体"/>
                <w:b/>
              </w:rPr>
              <w:t>合计</w:t>
            </w:r>
          </w:p>
        </w:tc>
        <w:tc>
          <w:tcPr>
            <w:tcW w:w="497" w:type="pct"/>
            <w:vAlign w:val="center"/>
          </w:tcPr>
          <w:p w14:paraId="41357AFB">
            <w:pPr>
              <w:pStyle w:val="12"/>
              <w:jc w:val="center"/>
              <w:rPr>
                <w:rFonts w:ascii="宋体" w:hAnsi="宋体"/>
                <w:b/>
              </w:rPr>
            </w:pPr>
            <w:r>
              <w:rPr>
                <w:rFonts w:hint="eastAsia" w:ascii="宋体" w:hAnsi="宋体"/>
                <w:b/>
              </w:rPr>
              <w:t>比上年增减</w:t>
            </w:r>
          </w:p>
        </w:tc>
        <w:tc>
          <w:tcPr>
            <w:tcW w:w="497" w:type="pct"/>
            <w:vAlign w:val="center"/>
          </w:tcPr>
          <w:p w14:paraId="5348858F">
            <w:pPr>
              <w:pStyle w:val="12"/>
              <w:jc w:val="center"/>
              <w:rPr>
                <w:rFonts w:ascii="宋体" w:hAnsi="宋体"/>
                <w:b/>
              </w:rPr>
            </w:pPr>
            <w:r>
              <w:rPr>
                <w:rFonts w:hint="eastAsia" w:ascii="宋体" w:hAnsi="宋体"/>
                <w:b/>
              </w:rPr>
              <w:t>人均</w:t>
            </w:r>
          </w:p>
        </w:tc>
      </w:tr>
      <w:tr w14:paraId="7949A3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6" w:type="pct"/>
            <w:vAlign w:val="center"/>
          </w:tcPr>
          <w:p w14:paraId="63C6665E">
            <w:pPr>
              <w:pStyle w:val="12"/>
              <w:jc w:val="center"/>
              <w:rPr>
                <w:rFonts w:ascii="宋体" w:hAnsi="宋体"/>
              </w:rPr>
            </w:pPr>
            <w:r>
              <w:rPr>
                <w:rFonts w:ascii="宋体" w:hAnsi="宋体"/>
              </w:rPr>
              <w:t>1987</w:t>
            </w:r>
          </w:p>
        </w:tc>
        <w:tc>
          <w:tcPr>
            <w:tcW w:w="496" w:type="pct"/>
            <w:vAlign w:val="center"/>
          </w:tcPr>
          <w:p w14:paraId="7FA85B63">
            <w:pPr>
              <w:pStyle w:val="12"/>
              <w:jc w:val="center"/>
              <w:rPr>
                <w:rFonts w:ascii="宋体" w:hAnsi="宋体"/>
              </w:rPr>
            </w:pPr>
            <w:r>
              <w:rPr>
                <w:rFonts w:ascii="宋体" w:hAnsi="宋体"/>
              </w:rPr>
              <w:t>418629</w:t>
            </w:r>
          </w:p>
        </w:tc>
        <w:tc>
          <w:tcPr>
            <w:tcW w:w="530" w:type="pct"/>
            <w:vAlign w:val="center"/>
          </w:tcPr>
          <w:p w14:paraId="14331706">
            <w:pPr>
              <w:pStyle w:val="12"/>
              <w:jc w:val="center"/>
              <w:rPr>
                <w:rFonts w:ascii="宋体" w:hAnsi="宋体"/>
              </w:rPr>
            </w:pPr>
            <w:r>
              <w:rPr>
                <w:rFonts w:ascii="宋体" w:hAnsi="宋体"/>
              </w:rPr>
              <w:t>442805</w:t>
            </w:r>
          </w:p>
        </w:tc>
        <w:tc>
          <w:tcPr>
            <w:tcW w:w="496" w:type="pct"/>
            <w:vAlign w:val="center"/>
          </w:tcPr>
          <w:p w14:paraId="5EC7A165">
            <w:pPr>
              <w:pStyle w:val="12"/>
              <w:jc w:val="center"/>
              <w:rPr>
                <w:rFonts w:ascii="宋体" w:hAnsi="宋体"/>
              </w:rPr>
            </w:pPr>
            <w:r>
              <w:rPr>
                <w:rFonts w:ascii="宋体" w:hAnsi="宋体"/>
              </w:rPr>
              <w:t>-1076</w:t>
            </w:r>
          </w:p>
        </w:tc>
        <w:tc>
          <w:tcPr>
            <w:tcW w:w="497" w:type="pct"/>
            <w:vAlign w:val="center"/>
          </w:tcPr>
          <w:p w14:paraId="714EDCF2">
            <w:pPr>
              <w:pStyle w:val="12"/>
              <w:jc w:val="center"/>
              <w:rPr>
                <w:rFonts w:ascii="宋体" w:hAnsi="宋体"/>
              </w:rPr>
            </w:pPr>
            <w:r>
              <w:rPr>
                <w:rFonts w:ascii="宋体" w:hAnsi="宋体"/>
              </w:rPr>
              <w:t>1.06</w:t>
            </w:r>
          </w:p>
        </w:tc>
        <w:tc>
          <w:tcPr>
            <w:tcW w:w="497" w:type="pct"/>
            <w:vAlign w:val="center"/>
          </w:tcPr>
          <w:p w14:paraId="25297A65">
            <w:pPr>
              <w:pStyle w:val="12"/>
              <w:jc w:val="center"/>
              <w:rPr>
                <w:rFonts w:ascii="宋体" w:hAnsi="宋体"/>
              </w:rPr>
            </w:pPr>
            <w:r>
              <w:rPr>
                <w:rFonts w:ascii="宋体" w:hAnsi="宋体"/>
              </w:rPr>
              <w:t>1996</w:t>
            </w:r>
          </w:p>
        </w:tc>
        <w:tc>
          <w:tcPr>
            <w:tcW w:w="497" w:type="pct"/>
            <w:vAlign w:val="center"/>
          </w:tcPr>
          <w:p w14:paraId="57C03784">
            <w:pPr>
              <w:pStyle w:val="12"/>
              <w:jc w:val="center"/>
              <w:rPr>
                <w:rFonts w:ascii="宋体" w:hAnsi="宋体"/>
              </w:rPr>
            </w:pPr>
            <w:r>
              <w:rPr>
                <w:rFonts w:ascii="宋体" w:hAnsi="宋体"/>
              </w:rPr>
              <w:t>447885</w:t>
            </w:r>
          </w:p>
        </w:tc>
        <w:tc>
          <w:tcPr>
            <w:tcW w:w="497" w:type="pct"/>
            <w:vAlign w:val="center"/>
          </w:tcPr>
          <w:p w14:paraId="0A970715">
            <w:pPr>
              <w:pStyle w:val="12"/>
              <w:jc w:val="center"/>
              <w:rPr>
                <w:rFonts w:ascii="宋体" w:hAnsi="宋体"/>
              </w:rPr>
            </w:pPr>
            <w:r>
              <w:rPr>
                <w:rFonts w:ascii="宋体" w:hAnsi="宋体"/>
              </w:rPr>
              <w:t>439602</w:t>
            </w:r>
          </w:p>
        </w:tc>
        <w:tc>
          <w:tcPr>
            <w:tcW w:w="497" w:type="pct"/>
            <w:vAlign w:val="center"/>
          </w:tcPr>
          <w:p w14:paraId="0E212950">
            <w:pPr>
              <w:pStyle w:val="12"/>
              <w:jc w:val="center"/>
              <w:rPr>
                <w:rFonts w:ascii="宋体" w:hAnsi="宋体"/>
              </w:rPr>
            </w:pPr>
            <w:r>
              <w:rPr>
                <w:rFonts w:ascii="宋体" w:hAnsi="宋体"/>
              </w:rPr>
              <w:t>+26</w:t>
            </w:r>
          </w:p>
        </w:tc>
        <w:tc>
          <w:tcPr>
            <w:tcW w:w="497" w:type="pct"/>
            <w:vAlign w:val="center"/>
          </w:tcPr>
          <w:p w14:paraId="02621C93">
            <w:pPr>
              <w:pStyle w:val="12"/>
              <w:jc w:val="center"/>
              <w:rPr>
                <w:rFonts w:ascii="宋体" w:hAnsi="宋体"/>
              </w:rPr>
            </w:pPr>
            <w:r>
              <w:rPr>
                <w:rFonts w:ascii="宋体" w:hAnsi="宋体"/>
              </w:rPr>
              <w:t>0.98</w:t>
            </w:r>
          </w:p>
        </w:tc>
      </w:tr>
      <w:tr w14:paraId="193E86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6" w:type="pct"/>
            <w:vAlign w:val="center"/>
          </w:tcPr>
          <w:p w14:paraId="5BB46D5A">
            <w:pPr>
              <w:pStyle w:val="12"/>
              <w:jc w:val="center"/>
              <w:rPr>
                <w:rFonts w:ascii="宋体" w:hAnsi="宋体"/>
              </w:rPr>
            </w:pPr>
            <w:r>
              <w:rPr>
                <w:rFonts w:ascii="宋体" w:hAnsi="宋体"/>
              </w:rPr>
              <w:t>1988</w:t>
            </w:r>
          </w:p>
        </w:tc>
        <w:tc>
          <w:tcPr>
            <w:tcW w:w="496" w:type="pct"/>
            <w:vAlign w:val="center"/>
          </w:tcPr>
          <w:p w14:paraId="660D4C63">
            <w:pPr>
              <w:pStyle w:val="12"/>
              <w:jc w:val="center"/>
              <w:rPr>
                <w:rFonts w:ascii="宋体" w:hAnsi="宋体"/>
              </w:rPr>
            </w:pPr>
            <w:r>
              <w:rPr>
                <w:rFonts w:ascii="宋体" w:hAnsi="宋体"/>
              </w:rPr>
              <w:t>421865</w:t>
            </w:r>
          </w:p>
        </w:tc>
        <w:tc>
          <w:tcPr>
            <w:tcW w:w="530" w:type="pct"/>
            <w:vAlign w:val="center"/>
          </w:tcPr>
          <w:p w14:paraId="7914E7A6">
            <w:pPr>
              <w:pStyle w:val="12"/>
              <w:jc w:val="center"/>
              <w:rPr>
                <w:rFonts w:ascii="宋体" w:hAnsi="宋体"/>
              </w:rPr>
            </w:pPr>
            <w:r>
              <w:rPr>
                <w:rFonts w:ascii="宋体" w:hAnsi="宋体"/>
              </w:rPr>
              <w:t>442615</w:t>
            </w:r>
          </w:p>
        </w:tc>
        <w:tc>
          <w:tcPr>
            <w:tcW w:w="496" w:type="pct"/>
            <w:vAlign w:val="center"/>
          </w:tcPr>
          <w:p w14:paraId="2DD5884B">
            <w:pPr>
              <w:pStyle w:val="12"/>
              <w:jc w:val="center"/>
              <w:rPr>
                <w:rFonts w:ascii="宋体" w:hAnsi="宋体"/>
              </w:rPr>
            </w:pPr>
            <w:r>
              <w:rPr>
                <w:rFonts w:ascii="宋体" w:hAnsi="宋体"/>
              </w:rPr>
              <w:t>-190</w:t>
            </w:r>
          </w:p>
        </w:tc>
        <w:tc>
          <w:tcPr>
            <w:tcW w:w="497" w:type="pct"/>
            <w:vAlign w:val="center"/>
          </w:tcPr>
          <w:p w14:paraId="05292747">
            <w:pPr>
              <w:pStyle w:val="12"/>
              <w:jc w:val="center"/>
              <w:rPr>
                <w:rFonts w:ascii="宋体" w:hAnsi="宋体"/>
              </w:rPr>
            </w:pPr>
            <w:r>
              <w:rPr>
                <w:rFonts w:ascii="宋体" w:hAnsi="宋体"/>
              </w:rPr>
              <w:t>1.04</w:t>
            </w:r>
          </w:p>
        </w:tc>
        <w:tc>
          <w:tcPr>
            <w:tcW w:w="497" w:type="pct"/>
            <w:vAlign w:val="center"/>
          </w:tcPr>
          <w:p w14:paraId="30A0C08C">
            <w:pPr>
              <w:pStyle w:val="12"/>
              <w:jc w:val="center"/>
              <w:rPr>
                <w:rFonts w:ascii="宋体" w:hAnsi="宋体"/>
              </w:rPr>
            </w:pPr>
            <w:r>
              <w:rPr>
                <w:rFonts w:ascii="宋体" w:hAnsi="宋体"/>
              </w:rPr>
              <w:t>1997</w:t>
            </w:r>
          </w:p>
        </w:tc>
        <w:tc>
          <w:tcPr>
            <w:tcW w:w="497" w:type="pct"/>
            <w:vAlign w:val="center"/>
          </w:tcPr>
          <w:p w14:paraId="3045C2FF">
            <w:pPr>
              <w:pStyle w:val="12"/>
              <w:jc w:val="center"/>
              <w:rPr>
                <w:rFonts w:ascii="宋体" w:hAnsi="宋体"/>
              </w:rPr>
            </w:pPr>
            <w:r>
              <w:rPr>
                <w:rFonts w:ascii="宋体" w:hAnsi="宋体"/>
              </w:rPr>
              <w:t>449614</w:t>
            </w:r>
          </w:p>
        </w:tc>
        <w:tc>
          <w:tcPr>
            <w:tcW w:w="497" w:type="pct"/>
            <w:vAlign w:val="center"/>
          </w:tcPr>
          <w:p w14:paraId="793EA600">
            <w:pPr>
              <w:pStyle w:val="12"/>
              <w:jc w:val="center"/>
              <w:rPr>
                <w:rFonts w:ascii="宋体" w:hAnsi="宋体"/>
              </w:rPr>
            </w:pPr>
            <w:r>
              <w:rPr>
                <w:rFonts w:ascii="宋体" w:hAnsi="宋体"/>
              </w:rPr>
              <w:t>439005</w:t>
            </w:r>
          </w:p>
        </w:tc>
        <w:tc>
          <w:tcPr>
            <w:tcW w:w="497" w:type="pct"/>
            <w:vAlign w:val="center"/>
          </w:tcPr>
          <w:p w14:paraId="749EFC85">
            <w:pPr>
              <w:pStyle w:val="12"/>
              <w:jc w:val="center"/>
              <w:rPr>
                <w:rFonts w:ascii="宋体" w:hAnsi="宋体"/>
              </w:rPr>
            </w:pPr>
            <w:r>
              <w:rPr>
                <w:rFonts w:ascii="宋体" w:hAnsi="宋体"/>
              </w:rPr>
              <w:t>-597</w:t>
            </w:r>
          </w:p>
        </w:tc>
        <w:tc>
          <w:tcPr>
            <w:tcW w:w="497" w:type="pct"/>
            <w:vAlign w:val="center"/>
          </w:tcPr>
          <w:p w14:paraId="06F1F299">
            <w:pPr>
              <w:pStyle w:val="12"/>
              <w:jc w:val="center"/>
              <w:rPr>
                <w:rFonts w:ascii="宋体" w:hAnsi="宋体"/>
              </w:rPr>
            </w:pPr>
            <w:r>
              <w:rPr>
                <w:rFonts w:ascii="宋体" w:hAnsi="宋体"/>
              </w:rPr>
              <w:t>0.97</w:t>
            </w:r>
          </w:p>
        </w:tc>
      </w:tr>
      <w:tr w14:paraId="6AED80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6" w:type="pct"/>
            <w:vAlign w:val="center"/>
          </w:tcPr>
          <w:p w14:paraId="1F316600">
            <w:pPr>
              <w:pStyle w:val="12"/>
              <w:jc w:val="center"/>
              <w:rPr>
                <w:rFonts w:ascii="宋体" w:hAnsi="宋体"/>
              </w:rPr>
            </w:pPr>
            <w:r>
              <w:rPr>
                <w:rFonts w:ascii="宋体" w:hAnsi="宋体"/>
              </w:rPr>
              <w:t>1989</w:t>
            </w:r>
          </w:p>
        </w:tc>
        <w:tc>
          <w:tcPr>
            <w:tcW w:w="496" w:type="pct"/>
            <w:vAlign w:val="center"/>
          </w:tcPr>
          <w:p w14:paraId="4744C714">
            <w:pPr>
              <w:pStyle w:val="12"/>
              <w:jc w:val="center"/>
              <w:rPr>
                <w:rFonts w:ascii="宋体" w:hAnsi="宋体"/>
              </w:rPr>
            </w:pPr>
            <w:r>
              <w:rPr>
                <w:rFonts w:ascii="宋体" w:hAnsi="宋体"/>
              </w:rPr>
              <w:t>429587</w:t>
            </w:r>
          </w:p>
        </w:tc>
        <w:tc>
          <w:tcPr>
            <w:tcW w:w="530" w:type="pct"/>
            <w:vAlign w:val="center"/>
          </w:tcPr>
          <w:p w14:paraId="74A1F75E">
            <w:pPr>
              <w:pStyle w:val="12"/>
              <w:jc w:val="center"/>
              <w:rPr>
                <w:rFonts w:ascii="宋体" w:hAnsi="宋体"/>
              </w:rPr>
            </w:pPr>
            <w:r>
              <w:rPr>
                <w:rFonts w:ascii="宋体" w:hAnsi="宋体"/>
              </w:rPr>
              <w:t>442417</w:t>
            </w:r>
          </w:p>
        </w:tc>
        <w:tc>
          <w:tcPr>
            <w:tcW w:w="496" w:type="pct"/>
            <w:vAlign w:val="center"/>
          </w:tcPr>
          <w:p w14:paraId="481D0F76">
            <w:pPr>
              <w:pStyle w:val="12"/>
              <w:jc w:val="center"/>
              <w:rPr>
                <w:rFonts w:ascii="宋体" w:hAnsi="宋体"/>
              </w:rPr>
            </w:pPr>
            <w:r>
              <w:rPr>
                <w:rFonts w:ascii="宋体" w:hAnsi="宋体"/>
              </w:rPr>
              <w:t>-198</w:t>
            </w:r>
          </w:p>
        </w:tc>
        <w:tc>
          <w:tcPr>
            <w:tcW w:w="497" w:type="pct"/>
            <w:vAlign w:val="center"/>
          </w:tcPr>
          <w:p w14:paraId="6124E08C">
            <w:pPr>
              <w:pStyle w:val="12"/>
              <w:jc w:val="center"/>
              <w:rPr>
                <w:rFonts w:ascii="宋体" w:hAnsi="宋体"/>
              </w:rPr>
            </w:pPr>
            <w:r>
              <w:rPr>
                <w:rFonts w:ascii="宋体" w:hAnsi="宋体"/>
              </w:rPr>
              <w:t>1.02</w:t>
            </w:r>
          </w:p>
        </w:tc>
        <w:tc>
          <w:tcPr>
            <w:tcW w:w="497" w:type="pct"/>
            <w:vAlign w:val="center"/>
          </w:tcPr>
          <w:p w14:paraId="2E900002">
            <w:pPr>
              <w:pStyle w:val="12"/>
              <w:jc w:val="center"/>
              <w:rPr>
                <w:rFonts w:ascii="宋体" w:hAnsi="宋体"/>
              </w:rPr>
            </w:pPr>
            <w:r>
              <w:rPr>
                <w:rFonts w:ascii="宋体" w:hAnsi="宋体"/>
              </w:rPr>
              <w:t>1998</w:t>
            </w:r>
          </w:p>
        </w:tc>
        <w:tc>
          <w:tcPr>
            <w:tcW w:w="497" w:type="pct"/>
            <w:vAlign w:val="center"/>
          </w:tcPr>
          <w:p w14:paraId="1A65801D">
            <w:pPr>
              <w:pStyle w:val="12"/>
              <w:jc w:val="center"/>
              <w:rPr>
                <w:rFonts w:ascii="宋体" w:hAnsi="宋体"/>
              </w:rPr>
            </w:pPr>
            <w:r>
              <w:rPr>
                <w:rFonts w:ascii="宋体" w:hAnsi="宋体"/>
              </w:rPr>
              <w:t>450828</w:t>
            </w:r>
          </w:p>
        </w:tc>
        <w:tc>
          <w:tcPr>
            <w:tcW w:w="497" w:type="pct"/>
            <w:vAlign w:val="center"/>
          </w:tcPr>
          <w:p w14:paraId="653344CC">
            <w:pPr>
              <w:pStyle w:val="12"/>
              <w:jc w:val="center"/>
              <w:rPr>
                <w:rFonts w:ascii="宋体" w:hAnsi="宋体"/>
              </w:rPr>
            </w:pPr>
            <w:r>
              <w:rPr>
                <w:rFonts w:ascii="宋体" w:hAnsi="宋体"/>
              </w:rPr>
              <w:t>438730</w:t>
            </w:r>
          </w:p>
        </w:tc>
        <w:tc>
          <w:tcPr>
            <w:tcW w:w="497" w:type="pct"/>
            <w:vAlign w:val="center"/>
          </w:tcPr>
          <w:p w14:paraId="622616E4">
            <w:pPr>
              <w:pStyle w:val="12"/>
              <w:jc w:val="center"/>
              <w:rPr>
                <w:rFonts w:ascii="宋体" w:hAnsi="宋体"/>
              </w:rPr>
            </w:pPr>
            <w:r>
              <w:rPr>
                <w:rFonts w:ascii="宋体" w:hAnsi="宋体"/>
              </w:rPr>
              <w:t>-275</w:t>
            </w:r>
          </w:p>
        </w:tc>
        <w:tc>
          <w:tcPr>
            <w:tcW w:w="497" w:type="pct"/>
            <w:vAlign w:val="center"/>
          </w:tcPr>
          <w:p w14:paraId="37246840">
            <w:pPr>
              <w:pStyle w:val="12"/>
              <w:jc w:val="center"/>
              <w:rPr>
                <w:rFonts w:ascii="宋体" w:hAnsi="宋体"/>
              </w:rPr>
            </w:pPr>
            <w:r>
              <w:rPr>
                <w:rFonts w:ascii="宋体" w:hAnsi="宋体"/>
              </w:rPr>
              <w:t>0.97</w:t>
            </w:r>
          </w:p>
        </w:tc>
      </w:tr>
      <w:tr w14:paraId="0570F7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6" w:type="pct"/>
            <w:vAlign w:val="center"/>
          </w:tcPr>
          <w:p w14:paraId="3B0CA091">
            <w:pPr>
              <w:pStyle w:val="12"/>
              <w:jc w:val="center"/>
              <w:rPr>
                <w:rFonts w:ascii="宋体" w:hAnsi="宋体"/>
              </w:rPr>
            </w:pPr>
            <w:r>
              <w:rPr>
                <w:rFonts w:ascii="宋体" w:hAnsi="宋体"/>
              </w:rPr>
              <w:t>1990</w:t>
            </w:r>
          </w:p>
        </w:tc>
        <w:tc>
          <w:tcPr>
            <w:tcW w:w="496" w:type="pct"/>
            <w:vAlign w:val="center"/>
          </w:tcPr>
          <w:p w14:paraId="3CFB5D6F">
            <w:pPr>
              <w:pStyle w:val="12"/>
              <w:jc w:val="center"/>
              <w:rPr>
                <w:rFonts w:ascii="宋体" w:hAnsi="宋体"/>
              </w:rPr>
            </w:pPr>
            <w:r>
              <w:rPr>
                <w:rFonts w:ascii="宋体" w:hAnsi="宋体"/>
              </w:rPr>
              <w:t>436017</w:t>
            </w:r>
          </w:p>
        </w:tc>
        <w:tc>
          <w:tcPr>
            <w:tcW w:w="530" w:type="pct"/>
            <w:vAlign w:val="center"/>
          </w:tcPr>
          <w:p w14:paraId="618C0314">
            <w:pPr>
              <w:pStyle w:val="12"/>
              <w:jc w:val="center"/>
              <w:rPr>
                <w:rFonts w:ascii="宋体" w:hAnsi="宋体"/>
              </w:rPr>
            </w:pPr>
            <w:r>
              <w:rPr>
                <w:rFonts w:ascii="宋体" w:hAnsi="宋体"/>
              </w:rPr>
              <w:t>442387</w:t>
            </w:r>
          </w:p>
        </w:tc>
        <w:tc>
          <w:tcPr>
            <w:tcW w:w="496" w:type="pct"/>
            <w:vAlign w:val="center"/>
          </w:tcPr>
          <w:p w14:paraId="56BFFFDF">
            <w:pPr>
              <w:pStyle w:val="12"/>
              <w:jc w:val="center"/>
              <w:rPr>
                <w:rFonts w:ascii="宋体" w:hAnsi="宋体"/>
              </w:rPr>
            </w:pPr>
            <w:r>
              <w:rPr>
                <w:rFonts w:ascii="宋体" w:hAnsi="宋体"/>
              </w:rPr>
              <w:t>-30</w:t>
            </w:r>
          </w:p>
        </w:tc>
        <w:tc>
          <w:tcPr>
            <w:tcW w:w="497" w:type="pct"/>
            <w:vAlign w:val="center"/>
          </w:tcPr>
          <w:p w14:paraId="2DAC1459">
            <w:pPr>
              <w:pStyle w:val="12"/>
              <w:jc w:val="center"/>
              <w:rPr>
                <w:rFonts w:ascii="宋体" w:hAnsi="宋体"/>
              </w:rPr>
            </w:pPr>
            <w:r>
              <w:rPr>
                <w:rFonts w:ascii="宋体" w:hAnsi="宋体"/>
              </w:rPr>
              <w:t>1.01</w:t>
            </w:r>
          </w:p>
        </w:tc>
        <w:tc>
          <w:tcPr>
            <w:tcW w:w="497" w:type="pct"/>
            <w:vAlign w:val="center"/>
          </w:tcPr>
          <w:p w14:paraId="1CEB1E4B">
            <w:pPr>
              <w:pStyle w:val="12"/>
              <w:jc w:val="center"/>
              <w:rPr>
                <w:rFonts w:ascii="宋体" w:hAnsi="宋体"/>
              </w:rPr>
            </w:pPr>
            <w:r>
              <w:rPr>
                <w:rFonts w:ascii="宋体" w:hAnsi="宋体"/>
              </w:rPr>
              <w:t>1999</w:t>
            </w:r>
          </w:p>
        </w:tc>
        <w:tc>
          <w:tcPr>
            <w:tcW w:w="497" w:type="pct"/>
            <w:vAlign w:val="center"/>
          </w:tcPr>
          <w:p w14:paraId="2A44FAFC">
            <w:pPr>
              <w:pStyle w:val="12"/>
              <w:jc w:val="center"/>
              <w:rPr>
                <w:rFonts w:ascii="宋体" w:hAnsi="宋体"/>
              </w:rPr>
            </w:pPr>
            <w:r>
              <w:rPr>
                <w:rFonts w:ascii="宋体" w:hAnsi="宋体"/>
              </w:rPr>
              <w:t>451268</w:t>
            </w:r>
          </w:p>
        </w:tc>
        <w:tc>
          <w:tcPr>
            <w:tcW w:w="497" w:type="pct"/>
            <w:vAlign w:val="center"/>
          </w:tcPr>
          <w:p w14:paraId="4EDD1B16">
            <w:pPr>
              <w:pStyle w:val="12"/>
              <w:jc w:val="center"/>
              <w:rPr>
                <w:rFonts w:ascii="宋体" w:hAnsi="宋体"/>
              </w:rPr>
            </w:pPr>
            <w:r>
              <w:rPr>
                <w:rFonts w:ascii="宋体" w:hAnsi="宋体"/>
              </w:rPr>
              <w:t>437956</w:t>
            </w:r>
          </w:p>
        </w:tc>
        <w:tc>
          <w:tcPr>
            <w:tcW w:w="497" w:type="pct"/>
            <w:vAlign w:val="center"/>
          </w:tcPr>
          <w:p w14:paraId="79671790">
            <w:pPr>
              <w:pStyle w:val="12"/>
              <w:jc w:val="center"/>
              <w:rPr>
                <w:rFonts w:ascii="宋体" w:hAnsi="宋体"/>
              </w:rPr>
            </w:pPr>
            <w:r>
              <w:rPr>
                <w:rFonts w:ascii="宋体" w:hAnsi="宋体"/>
              </w:rPr>
              <w:t>-774</w:t>
            </w:r>
          </w:p>
        </w:tc>
        <w:tc>
          <w:tcPr>
            <w:tcW w:w="497" w:type="pct"/>
            <w:vAlign w:val="center"/>
          </w:tcPr>
          <w:p w14:paraId="4601F83C">
            <w:pPr>
              <w:pStyle w:val="12"/>
              <w:jc w:val="center"/>
              <w:rPr>
                <w:rFonts w:ascii="宋体" w:hAnsi="宋体"/>
              </w:rPr>
            </w:pPr>
            <w:r>
              <w:rPr>
                <w:rFonts w:ascii="宋体" w:hAnsi="宋体"/>
              </w:rPr>
              <w:t>0.97</w:t>
            </w:r>
          </w:p>
        </w:tc>
      </w:tr>
      <w:tr w14:paraId="05A671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6" w:type="pct"/>
            <w:vAlign w:val="center"/>
          </w:tcPr>
          <w:p w14:paraId="0B84F3DD">
            <w:pPr>
              <w:pStyle w:val="12"/>
              <w:jc w:val="center"/>
              <w:rPr>
                <w:rFonts w:ascii="宋体" w:hAnsi="宋体"/>
              </w:rPr>
            </w:pPr>
            <w:r>
              <w:rPr>
                <w:rFonts w:ascii="宋体" w:hAnsi="宋体"/>
              </w:rPr>
              <w:t>1991</w:t>
            </w:r>
          </w:p>
        </w:tc>
        <w:tc>
          <w:tcPr>
            <w:tcW w:w="496" w:type="pct"/>
            <w:vAlign w:val="center"/>
          </w:tcPr>
          <w:p w14:paraId="475926B5">
            <w:pPr>
              <w:pStyle w:val="12"/>
              <w:jc w:val="center"/>
              <w:rPr>
                <w:rFonts w:ascii="宋体" w:hAnsi="宋体"/>
              </w:rPr>
            </w:pPr>
            <w:r>
              <w:rPr>
                <w:rFonts w:ascii="宋体" w:hAnsi="宋体"/>
              </w:rPr>
              <w:t>440218</w:t>
            </w:r>
          </w:p>
        </w:tc>
        <w:tc>
          <w:tcPr>
            <w:tcW w:w="530" w:type="pct"/>
            <w:vAlign w:val="center"/>
          </w:tcPr>
          <w:p w14:paraId="54EC9DFF">
            <w:pPr>
              <w:pStyle w:val="12"/>
              <w:jc w:val="center"/>
              <w:rPr>
                <w:rFonts w:ascii="宋体" w:hAnsi="宋体"/>
              </w:rPr>
            </w:pPr>
            <w:r>
              <w:rPr>
                <w:rFonts w:ascii="宋体" w:hAnsi="宋体"/>
              </w:rPr>
              <w:t>441362</w:t>
            </w:r>
          </w:p>
        </w:tc>
        <w:tc>
          <w:tcPr>
            <w:tcW w:w="496" w:type="pct"/>
            <w:vAlign w:val="center"/>
          </w:tcPr>
          <w:p w14:paraId="5531ADAA">
            <w:pPr>
              <w:pStyle w:val="12"/>
              <w:jc w:val="center"/>
              <w:rPr>
                <w:rFonts w:ascii="宋体" w:hAnsi="宋体"/>
              </w:rPr>
            </w:pPr>
            <w:r>
              <w:rPr>
                <w:rFonts w:ascii="宋体" w:hAnsi="宋体"/>
              </w:rPr>
              <w:t>-1025</w:t>
            </w:r>
          </w:p>
        </w:tc>
        <w:tc>
          <w:tcPr>
            <w:tcW w:w="497" w:type="pct"/>
            <w:vAlign w:val="center"/>
          </w:tcPr>
          <w:p w14:paraId="2F96FE05">
            <w:pPr>
              <w:pStyle w:val="12"/>
              <w:jc w:val="center"/>
              <w:rPr>
                <w:rFonts w:ascii="宋体" w:hAnsi="宋体"/>
              </w:rPr>
            </w:pPr>
            <w:r>
              <w:rPr>
                <w:rFonts w:ascii="宋体" w:hAnsi="宋体"/>
              </w:rPr>
              <w:t>1.00</w:t>
            </w:r>
          </w:p>
        </w:tc>
        <w:tc>
          <w:tcPr>
            <w:tcW w:w="497" w:type="pct"/>
            <w:vAlign w:val="center"/>
          </w:tcPr>
          <w:p w14:paraId="3348BBBD">
            <w:pPr>
              <w:pStyle w:val="12"/>
              <w:jc w:val="center"/>
              <w:rPr>
                <w:rFonts w:ascii="宋体" w:hAnsi="宋体"/>
              </w:rPr>
            </w:pPr>
            <w:r>
              <w:rPr>
                <w:rFonts w:ascii="宋体" w:hAnsi="宋体"/>
              </w:rPr>
              <w:t>2000</w:t>
            </w:r>
          </w:p>
        </w:tc>
        <w:tc>
          <w:tcPr>
            <w:tcW w:w="497" w:type="pct"/>
            <w:vAlign w:val="center"/>
          </w:tcPr>
          <w:p w14:paraId="5358C9A2">
            <w:pPr>
              <w:pStyle w:val="12"/>
              <w:jc w:val="center"/>
              <w:rPr>
                <w:rFonts w:ascii="宋体" w:hAnsi="宋体"/>
              </w:rPr>
            </w:pPr>
            <w:r>
              <w:rPr>
                <w:rFonts w:ascii="宋体" w:hAnsi="宋体"/>
              </w:rPr>
              <w:t>453097</w:t>
            </w:r>
          </w:p>
        </w:tc>
        <w:tc>
          <w:tcPr>
            <w:tcW w:w="497" w:type="pct"/>
            <w:vAlign w:val="center"/>
          </w:tcPr>
          <w:p w14:paraId="44A8DCCC">
            <w:pPr>
              <w:pStyle w:val="12"/>
              <w:jc w:val="center"/>
              <w:rPr>
                <w:rFonts w:ascii="宋体" w:hAnsi="宋体"/>
              </w:rPr>
            </w:pPr>
            <w:r>
              <w:rPr>
                <w:rFonts w:ascii="宋体" w:hAnsi="宋体"/>
              </w:rPr>
              <w:t>437412</w:t>
            </w:r>
          </w:p>
        </w:tc>
        <w:tc>
          <w:tcPr>
            <w:tcW w:w="497" w:type="pct"/>
            <w:vAlign w:val="center"/>
          </w:tcPr>
          <w:p w14:paraId="36BA80D9">
            <w:pPr>
              <w:pStyle w:val="12"/>
              <w:jc w:val="center"/>
              <w:rPr>
                <w:rFonts w:ascii="宋体" w:hAnsi="宋体"/>
              </w:rPr>
            </w:pPr>
            <w:r>
              <w:rPr>
                <w:rFonts w:ascii="宋体" w:hAnsi="宋体"/>
              </w:rPr>
              <w:t>-544</w:t>
            </w:r>
          </w:p>
        </w:tc>
        <w:tc>
          <w:tcPr>
            <w:tcW w:w="497" w:type="pct"/>
            <w:vAlign w:val="center"/>
          </w:tcPr>
          <w:p w14:paraId="23B387B1">
            <w:pPr>
              <w:pStyle w:val="12"/>
              <w:jc w:val="center"/>
              <w:rPr>
                <w:rFonts w:ascii="宋体" w:hAnsi="宋体"/>
              </w:rPr>
            </w:pPr>
            <w:r>
              <w:rPr>
                <w:rFonts w:ascii="宋体" w:hAnsi="宋体"/>
              </w:rPr>
              <w:t>0.96</w:t>
            </w:r>
          </w:p>
        </w:tc>
      </w:tr>
      <w:tr w14:paraId="48B67D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6" w:type="pct"/>
            <w:vAlign w:val="center"/>
          </w:tcPr>
          <w:p w14:paraId="3A788EFA">
            <w:pPr>
              <w:pStyle w:val="12"/>
              <w:jc w:val="center"/>
              <w:rPr>
                <w:rFonts w:ascii="宋体" w:hAnsi="宋体"/>
              </w:rPr>
            </w:pPr>
            <w:r>
              <w:rPr>
                <w:rFonts w:ascii="宋体" w:hAnsi="宋体"/>
              </w:rPr>
              <w:t>1992</w:t>
            </w:r>
          </w:p>
        </w:tc>
        <w:tc>
          <w:tcPr>
            <w:tcW w:w="496" w:type="pct"/>
            <w:vAlign w:val="center"/>
          </w:tcPr>
          <w:p w14:paraId="275CBB48">
            <w:pPr>
              <w:pStyle w:val="12"/>
              <w:jc w:val="center"/>
              <w:rPr>
                <w:rFonts w:ascii="宋体" w:hAnsi="宋体"/>
              </w:rPr>
            </w:pPr>
            <w:r>
              <w:rPr>
                <w:rFonts w:ascii="宋体" w:hAnsi="宋体"/>
              </w:rPr>
              <w:t>443315</w:t>
            </w:r>
          </w:p>
        </w:tc>
        <w:tc>
          <w:tcPr>
            <w:tcW w:w="530" w:type="pct"/>
            <w:vAlign w:val="center"/>
          </w:tcPr>
          <w:p w14:paraId="693BE334">
            <w:pPr>
              <w:pStyle w:val="12"/>
              <w:jc w:val="center"/>
              <w:rPr>
                <w:rFonts w:ascii="宋体" w:hAnsi="宋体"/>
              </w:rPr>
            </w:pPr>
            <w:r>
              <w:rPr>
                <w:rFonts w:ascii="宋体" w:hAnsi="宋体"/>
              </w:rPr>
              <w:t>440945</w:t>
            </w:r>
          </w:p>
        </w:tc>
        <w:tc>
          <w:tcPr>
            <w:tcW w:w="496" w:type="pct"/>
            <w:vAlign w:val="center"/>
          </w:tcPr>
          <w:p w14:paraId="74B89C25">
            <w:pPr>
              <w:pStyle w:val="12"/>
              <w:jc w:val="center"/>
              <w:rPr>
                <w:rFonts w:ascii="宋体" w:hAnsi="宋体"/>
              </w:rPr>
            </w:pPr>
            <w:r>
              <w:rPr>
                <w:rFonts w:ascii="宋体" w:hAnsi="宋体"/>
              </w:rPr>
              <w:t>-417</w:t>
            </w:r>
          </w:p>
        </w:tc>
        <w:tc>
          <w:tcPr>
            <w:tcW w:w="497" w:type="pct"/>
            <w:vAlign w:val="center"/>
          </w:tcPr>
          <w:p w14:paraId="33386949">
            <w:pPr>
              <w:pStyle w:val="12"/>
              <w:jc w:val="center"/>
              <w:rPr>
                <w:rFonts w:ascii="宋体" w:hAnsi="宋体"/>
              </w:rPr>
            </w:pPr>
            <w:r>
              <w:rPr>
                <w:rFonts w:ascii="宋体" w:hAnsi="宋体"/>
              </w:rPr>
              <w:t>0.99</w:t>
            </w:r>
          </w:p>
        </w:tc>
        <w:tc>
          <w:tcPr>
            <w:tcW w:w="497" w:type="pct"/>
            <w:vAlign w:val="center"/>
          </w:tcPr>
          <w:p w14:paraId="74A6AE20">
            <w:pPr>
              <w:pStyle w:val="12"/>
              <w:jc w:val="center"/>
              <w:rPr>
                <w:rFonts w:ascii="宋体" w:hAnsi="宋体"/>
              </w:rPr>
            </w:pPr>
            <w:r>
              <w:rPr>
                <w:rFonts w:ascii="宋体" w:hAnsi="宋体"/>
              </w:rPr>
              <w:t>2001</w:t>
            </w:r>
          </w:p>
        </w:tc>
        <w:tc>
          <w:tcPr>
            <w:tcW w:w="497" w:type="pct"/>
            <w:vAlign w:val="center"/>
          </w:tcPr>
          <w:p w14:paraId="30ECB2EC">
            <w:pPr>
              <w:pStyle w:val="12"/>
              <w:jc w:val="center"/>
              <w:rPr>
                <w:rFonts w:ascii="宋体" w:hAnsi="宋体"/>
              </w:rPr>
            </w:pPr>
            <w:r>
              <w:rPr>
                <w:rFonts w:ascii="宋体" w:hAnsi="宋体"/>
              </w:rPr>
              <w:t>454384</w:t>
            </w:r>
          </w:p>
        </w:tc>
        <w:tc>
          <w:tcPr>
            <w:tcW w:w="497" w:type="pct"/>
            <w:vAlign w:val="center"/>
          </w:tcPr>
          <w:p w14:paraId="45AC6377">
            <w:pPr>
              <w:pStyle w:val="12"/>
              <w:jc w:val="center"/>
              <w:rPr>
                <w:rFonts w:ascii="宋体" w:hAnsi="宋体"/>
              </w:rPr>
            </w:pPr>
            <w:r>
              <w:rPr>
                <w:rFonts w:ascii="宋体" w:hAnsi="宋体"/>
              </w:rPr>
              <w:t>437411</w:t>
            </w:r>
          </w:p>
        </w:tc>
        <w:tc>
          <w:tcPr>
            <w:tcW w:w="497" w:type="pct"/>
            <w:vAlign w:val="center"/>
          </w:tcPr>
          <w:p w14:paraId="7081E091">
            <w:pPr>
              <w:pStyle w:val="12"/>
              <w:jc w:val="center"/>
              <w:rPr>
                <w:rFonts w:ascii="宋体" w:hAnsi="宋体"/>
              </w:rPr>
            </w:pPr>
            <w:r>
              <w:rPr>
                <w:rFonts w:ascii="宋体" w:hAnsi="宋体"/>
              </w:rPr>
              <w:t>-1</w:t>
            </w:r>
          </w:p>
        </w:tc>
        <w:tc>
          <w:tcPr>
            <w:tcW w:w="497" w:type="pct"/>
            <w:vAlign w:val="center"/>
          </w:tcPr>
          <w:p w14:paraId="023832FE">
            <w:pPr>
              <w:pStyle w:val="12"/>
              <w:jc w:val="center"/>
              <w:rPr>
                <w:rFonts w:ascii="宋体" w:hAnsi="宋体"/>
              </w:rPr>
            </w:pPr>
            <w:r>
              <w:rPr>
                <w:rFonts w:ascii="宋体" w:hAnsi="宋体"/>
              </w:rPr>
              <w:t>0.96</w:t>
            </w:r>
          </w:p>
        </w:tc>
      </w:tr>
      <w:tr w14:paraId="33B873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6" w:type="pct"/>
            <w:vAlign w:val="center"/>
          </w:tcPr>
          <w:p w14:paraId="15D69A59">
            <w:pPr>
              <w:pStyle w:val="12"/>
              <w:jc w:val="center"/>
              <w:rPr>
                <w:rFonts w:ascii="宋体" w:hAnsi="宋体"/>
              </w:rPr>
            </w:pPr>
            <w:r>
              <w:rPr>
                <w:rFonts w:ascii="宋体" w:hAnsi="宋体"/>
              </w:rPr>
              <w:t>1993</w:t>
            </w:r>
          </w:p>
        </w:tc>
        <w:tc>
          <w:tcPr>
            <w:tcW w:w="496" w:type="pct"/>
            <w:vAlign w:val="center"/>
          </w:tcPr>
          <w:p w14:paraId="40C9344C">
            <w:pPr>
              <w:pStyle w:val="12"/>
              <w:jc w:val="center"/>
              <w:rPr>
                <w:rFonts w:ascii="宋体" w:hAnsi="宋体"/>
              </w:rPr>
            </w:pPr>
            <w:r>
              <w:rPr>
                <w:rFonts w:ascii="宋体" w:hAnsi="宋体"/>
              </w:rPr>
              <w:t>444166</w:t>
            </w:r>
          </w:p>
        </w:tc>
        <w:tc>
          <w:tcPr>
            <w:tcW w:w="530" w:type="pct"/>
            <w:vAlign w:val="center"/>
          </w:tcPr>
          <w:p w14:paraId="49886193">
            <w:pPr>
              <w:pStyle w:val="12"/>
              <w:jc w:val="center"/>
              <w:rPr>
                <w:rFonts w:ascii="宋体" w:hAnsi="宋体"/>
              </w:rPr>
            </w:pPr>
            <w:r>
              <w:rPr>
                <w:rFonts w:ascii="宋体" w:hAnsi="宋体"/>
              </w:rPr>
              <w:t>4440409</w:t>
            </w:r>
          </w:p>
        </w:tc>
        <w:tc>
          <w:tcPr>
            <w:tcW w:w="496" w:type="pct"/>
            <w:vAlign w:val="center"/>
          </w:tcPr>
          <w:p w14:paraId="23526A43">
            <w:pPr>
              <w:pStyle w:val="12"/>
              <w:jc w:val="center"/>
              <w:rPr>
                <w:rFonts w:ascii="宋体" w:hAnsi="宋体"/>
              </w:rPr>
            </w:pPr>
            <w:r>
              <w:rPr>
                <w:rFonts w:ascii="宋体" w:hAnsi="宋体"/>
              </w:rPr>
              <w:t>-536</w:t>
            </w:r>
          </w:p>
        </w:tc>
        <w:tc>
          <w:tcPr>
            <w:tcW w:w="497" w:type="pct"/>
            <w:vAlign w:val="center"/>
          </w:tcPr>
          <w:p w14:paraId="656189F6">
            <w:pPr>
              <w:pStyle w:val="12"/>
              <w:jc w:val="center"/>
              <w:rPr>
                <w:rFonts w:ascii="宋体" w:hAnsi="宋体"/>
              </w:rPr>
            </w:pPr>
            <w:r>
              <w:rPr>
                <w:rFonts w:ascii="宋体" w:hAnsi="宋体"/>
              </w:rPr>
              <w:t>0.99</w:t>
            </w:r>
          </w:p>
        </w:tc>
        <w:tc>
          <w:tcPr>
            <w:tcW w:w="497" w:type="pct"/>
            <w:vAlign w:val="center"/>
          </w:tcPr>
          <w:p w14:paraId="573B30AF">
            <w:pPr>
              <w:pStyle w:val="12"/>
              <w:jc w:val="center"/>
              <w:rPr>
                <w:rFonts w:ascii="宋体" w:hAnsi="宋体"/>
              </w:rPr>
            </w:pPr>
            <w:r>
              <w:rPr>
                <w:rFonts w:ascii="宋体" w:hAnsi="宋体"/>
              </w:rPr>
              <w:t>2002</w:t>
            </w:r>
          </w:p>
        </w:tc>
        <w:tc>
          <w:tcPr>
            <w:tcW w:w="497" w:type="pct"/>
            <w:vAlign w:val="center"/>
          </w:tcPr>
          <w:p w14:paraId="141B7BCC">
            <w:pPr>
              <w:pStyle w:val="12"/>
              <w:jc w:val="center"/>
              <w:rPr>
                <w:rFonts w:ascii="宋体" w:hAnsi="宋体"/>
              </w:rPr>
            </w:pPr>
            <w:r>
              <w:rPr>
                <w:rFonts w:ascii="宋体" w:hAnsi="宋体"/>
              </w:rPr>
              <w:t>455715</w:t>
            </w:r>
          </w:p>
        </w:tc>
        <w:tc>
          <w:tcPr>
            <w:tcW w:w="497" w:type="pct"/>
            <w:vAlign w:val="center"/>
          </w:tcPr>
          <w:p w14:paraId="37600446">
            <w:pPr>
              <w:pStyle w:val="12"/>
              <w:jc w:val="center"/>
              <w:rPr>
                <w:rFonts w:ascii="宋体" w:hAnsi="宋体"/>
              </w:rPr>
            </w:pPr>
            <w:r>
              <w:rPr>
                <w:rFonts w:ascii="宋体" w:hAnsi="宋体"/>
              </w:rPr>
              <w:t>437411</w:t>
            </w:r>
          </w:p>
        </w:tc>
        <w:tc>
          <w:tcPr>
            <w:tcW w:w="497" w:type="pct"/>
            <w:vAlign w:val="center"/>
          </w:tcPr>
          <w:p w14:paraId="4C5348C5">
            <w:pPr>
              <w:pStyle w:val="12"/>
              <w:jc w:val="center"/>
              <w:rPr>
                <w:rFonts w:ascii="宋体" w:hAnsi="宋体"/>
              </w:rPr>
            </w:pPr>
            <w:r>
              <w:rPr>
                <w:rFonts w:ascii="宋体" w:hAnsi="宋体"/>
              </w:rPr>
              <w:t>0</w:t>
            </w:r>
          </w:p>
        </w:tc>
        <w:tc>
          <w:tcPr>
            <w:tcW w:w="497" w:type="pct"/>
            <w:vAlign w:val="center"/>
          </w:tcPr>
          <w:p w14:paraId="09F13D3C">
            <w:pPr>
              <w:pStyle w:val="12"/>
              <w:jc w:val="center"/>
              <w:rPr>
                <w:rFonts w:ascii="宋体" w:hAnsi="宋体"/>
              </w:rPr>
            </w:pPr>
            <w:r>
              <w:rPr>
                <w:rFonts w:ascii="宋体" w:hAnsi="宋体"/>
              </w:rPr>
              <w:t>0.96</w:t>
            </w:r>
          </w:p>
        </w:tc>
      </w:tr>
      <w:tr w14:paraId="65BD80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6" w:type="pct"/>
            <w:vAlign w:val="center"/>
          </w:tcPr>
          <w:p w14:paraId="2DF3D105">
            <w:pPr>
              <w:pStyle w:val="12"/>
              <w:jc w:val="center"/>
              <w:rPr>
                <w:rFonts w:ascii="宋体" w:hAnsi="宋体"/>
              </w:rPr>
            </w:pPr>
            <w:r>
              <w:rPr>
                <w:rFonts w:ascii="宋体" w:hAnsi="宋体"/>
              </w:rPr>
              <w:t>1994</w:t>
            </w:r>
          </w:p>
        </w:tc>
        <w:tc>
          <w:tcPr>
            <w:tcW w:w="496" w:type="pct"/>
            <w:vAlign w:val="center"/>
          </w:tcPr>
          <w:p w14:paraId="01F87824">
            <w:pPr>
              <w:pStyle w:val="12"/>
              <w:jc w:val="center"/>
              <w:rPr>
                <w:rFonts w:ascii="宋体" w:hAnsi="宋体"/>
              </w:rPr>
            </w:pPr>
            <w:r>
              <w:rPr>
                <w:rFonts w:ascii="宋体" w:hAnsi="宋体"/>
              </w:rPr>
              <w:t>445914</w:t>
            </w:r>
          </w:p>
        </w:tc>
        <w:tc>
          <w:tcPr>
            <w:tcW w:w="530" w:type="pct"/>
            <w:vAlign w:val="center"/>
          </w:tcPr>
          <w:p w14:paraId="319F811B">
            <w:pPr>
              <w:pStyle w:val="12"/>
              <w:jc w:val="center"/>
              <w:rPr>
                <w:rFonts w:ascii="宋体" w:hAnsi="宋体"/>
              </w:rPr>
            </w:pPr>
            <w:r>
              <w:rPr>
                <w:rFonts w:ascii="宋体" w:hAnsi="宋体"/>
              </w:rPr>
              <w:t>440298</w:t>
            </w:r>
          </w:p>
        </w:tc>
        <w:tc>
          <w:tcPr>
            <w:tcW w:w="496" w:type="pct"/>
            <w:vAlign w:val="center"/>
          </w:tcPr>
          <w:p w14:paraId="0E8176EF">
            <w:pPr>
              <w:pStyle w:val="12"/>
              <w:jc w:val="center"/>
              <w:rPr>
                <w:rFonts w:ascii="宋体" w:hAnsi="宋体"/>
              </w:rPr>
            </w:pPr>
            <w:r>
              <w:rPr>
                <w:rFonts w:ascii="宋体" w:hAnsi="宋体"/>
              </w:rPr>
              <w:t>-111</w:t>
            </w:r>
          </w:p>
        </w:tc>
        <w:tc>
          <w:tcPr>
            <w:tcW w:w="497" w:type="pct"/>
            <w:vAlign w:val="center"/>
          </w:tcPr>
          <w:p w14:paraId="7089923A">
            <w:pPr>
              <w:pStyle w:val="12"/>
              <w:jc w:val="center"/>
              <w:rPr>
                <w:rFonts w:ascii="宋体" w:hAnsi="宋体"/>
              </w:rPr>
            </w:pPr>
            <w:r>
              <w:rPr>
                <w:rFonts w:ascii="宋体" w:hAnsi="宋体"/>
              </w:rPr>
              <w:t>0.98</w:t>
            </w:r>
          </w:p>
        </w:tc>
        <w:tc>
          <w:tcPr>
            <w:tcW w:w="497" w:type="pct"/>
            <w:vAlign w:val="center"/>
          </w:tcPr>
          <w:p w14:paraId="5FA03618">
            <w:pPr>
              <w:pStyle w:val="12"/>
              <w:jc w:val="center"/>
              <w:rPr>
                <w:rFonts w:ascii="宋体" w:hAnsi="宋体"/>
              </w:rPr>
            </w:pPr>
            <w:r>
              <w:rPr>
                <w:rFonts w:ascii="宋体" w:hAnsi="宋体"/>
              </w:rPr>
              <w:t>2003</w:t>
            </w:r>
          </w:p>
        </w:tc>
        <w:tc>
          <w:tcPr>
            <w:tcW w:w="497" w:type="pct"/>
            <w:vAlign w:val="center"/>
          </w:tcPr>
          <w:p w14:paraId="0868F9C5">
            <w:pPr>
              <w:pStyle w:val="12"/>
              <w:jc w:val="center"/>
              <w:rPr>
                <w:rFonts w:ascii="宋体" w:hAnsi="宋体"/>
              </w:rPr>
            </w:pPr>
            <w:r>
              <w:rPr>
                <w:rFonts w:ascii="宋体" w:hAnsi="宋体"/>
              </w:rPr>
              <w:t>456800</w:t>
            </w:r>
          </w:p>
        </w:tc>
        <w:tc>
          <w:tcPr>
            <w:tcW w:w="497" w:type="pct"/>
            <w:vAlign w:val="center"/>
          </w:tcPr>
          <w:p w14:paraId="447E5CAC">
            <w:pPr>
              <w:pStyle w:val="12"/>
              <w:jc w:val="center"/>
              <w:rPr>
                <w:rFonts w:ascii="宋体" w:hAnsi="宋体"/>
              </w:rPr>
            </w:pPr>
            <w:r>
              <w:rPr>
                <w:rFonts w:ascii="宋体" w:hAnsi="宋体"/>
              </w:rPr>
              <w:t>436096</w:t>
            </w:r>
          </w:p>
        </w:tc>
        <w:tc>
          <w:tcPr>
            <w:tcW w:w="497" w:type="pct"/>
            <w:vAlign w:val="center"/>
          </w:tcPr>
          <w:p w14:paraId="534BFE32">
            <w:pPr>
              <w:pStyle w:val="12"/>
              <w:jc w:val="center"/>
              <w:rPr>
                <w:rFonts w:ascii="宋体" w:hAnsi="宋体"/>
              </w:rPr>
            </w:pPr>
            <w:r>
              <w:rPr>
                <w:rFonts w:ascii="宋体" w:hAnsi="宋体"/>
              </w:rPr>
              <w:t>-1315</w:t>
            </w:r>
          </w:p>
        </w:tc>
        <w:tc>
          <w:tcPr>
            <w:tcW w:w="497" w:type="pct"/>
            <w:vAlign w:val="center"/>
          </w:tcPr>
          <w:p w14:paraId="0946C2A1">
            <w:pPr>
              <w:pStyle w:val="12"/>
              <w:jc w:val="center"/>
              <w:rPr>
                <w:rFonts w:ascii="宋体" w:hAnsi="宋体"/>
              </w:rPr>
            </w:pPr>
            <w:r>
              <w:rPr>
                <w:rFonts w:ascii="宋体" w:hAnsi="宋体"/>
              </w:rPr>
              <w:t>0.95</w:t>
            </w:r>
          </w:p>
        </w:tc>
      </w:tr>
      <w:tr w14:paraId="30BB53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6" w:type="pct"/>
            <w:vAlign w:val="center"/>
          </w:tcPr>
          <w:p w14:paraId="235AE97F">
            <w:pPr>
              <w:pStyle w:val="12"/>
              <w:jc w:val="center"/>
              <w:rPr>
                <w:rFonts w:ascii="宋体" w:hAnsi="宋体"/>
              </w:rPr>
            </w:pPr>
            <w:r>
              <w:rPr>
                <w:rFonts w:ascii="宋体" w:hAnsi="宋体"/>
              </w:rPr>
              <w:t>1995</w:t>
            </w:r>
          </w:p>
        </w:tc>
        <w:tc>
          <w:tcPr>
            <w:tcW w:w="496" w:type="pct"/>
            <w:vAlign w:val="center"/>
          </w:tcPr>
          <w:p w14:paraId="00D9955E">
            <w:pPr>
              <w:pStyle w:val="12"/>
              <w:jc w:val="center"/>
              <w:rPr>
                <w:rFonts w:ascii="宋体" w:hAnsi="宋体"/>
              </w:rPr>
            </w:pPr>
            <w:r>
              <w:rPr>
                <w:rFonts w:ascii="宋体" w:hAnsi="宋体"/>
              </w:rPr>
              <w:t>446241</w:t>
            </w:r>
          </w:p>
        </w:tc>
        <w:tc>
          <w:tcPr>
            <w:tcW w:w="530" w:type="pct"/>
            <w:vAlign w:val="center"/>
          </w:tcPr>
          <w:p w14:paraId="15CBB13F">
            <w:pPr>
              <w:pStyle w:val="12"/>
              <w:jc w:val="center"/>
              <w:rPr>
                <w:rFonts w:ascii="宋体" w:hAnsi="宋体"/>
              </w:rPr>
            </w:pPr>
            <w:r>
              <w:rPr>
                <w:rFonts w:ascii="宋体" w:hAnsi="宋体"/>
              </w:rPr>
              <w:t>439576</w:t>
            </w:r>
          </w:p>
        </w:tc>
        <w:tc>
          <w:tcPr>
            <w:tcW w:w="496" w:type="pct"/>
            <w:vAlign w:val="center"/>
          </w:tcPr>
          <w:p w14:paraId="24B721B9">
            <w:pPr>
              <w:pStyle w:val="12"/>
              <w:jc w:val="center"/>
              <w:rPr>
                <w:rFonts w:ascii="宋体" w:hAnsi="宋体"/>
              </w:rPr>
            </w:pPr>
            <w:r>
              <w:rPr>
                <w:rFonts w:ascii="宋体" w:hAnsi="宋体"/>
              </w:rPr>
              <w:t>-722</w:t>
            </w:r>
          </w:p>
        </w:tc>
        <w:tc>
          <w:tcPr>
            <w:tcW w:w="497" w:type="pct"/>
            <w:vAlign w:val="center"/>
          </w:tcPr>
          <w:p w14:paraId="6E32EFAA">
            <w:pPr>
              <w:pStyle w:val="12"/>
              <w:jc w:val="center"/>
              <w:rPr>
                <w:rFonts w:ascii="宋体" w:hAnsi="宋体"/>
              </w:rPr>
            </w:pPr>
            <w:r>
              <w:rPr>
                <w:rFonts w:ascii="宋体" w:hAnsi="宋体"/>
              </w:rPr>
              <w:t>0.98</w:t>
            </w:r>
          </w:p>
        </w:tc>
        <w:tc>
          <w:tcPr>
            <w:tcW w:w="497" w:type="pct"/>
            <w:vAlign w:val="center"/>
          </w:tcPr>
          <w:p w14:paraId="18044960">
            <w:pPr>
              <w:pStyle w:val="12"/>
              <w:jc w:val="center"/>
              <w:rPr>
                <w:rFonts w:ascii="宋体" w:hAnsi="宋体"/>
              </w:rPr>
            </w:pPr>
            <w:r>
              <w:rPr>
                <w:rFonts w:ascii="宋体" w:hAnsi="宋体"/>
              </w:rPr>
              <w:t>2004</w:t>
            </w:r>
          </w:p>
        </w:tc>
        <w:tc>
          <w:tcPr>
            <w:tcW w:w="497" w:type="pct"/>
            <w:vAlign w:val="center"/>
          </w:tcPr>
          <w:p w14:paraId="56B91596">
            <w:pPr>
              <w:pStyle w:val="12"/>
              <w:jc w:val="center"/>
              <w:rPr>
                <w:rFonts w:ascii="宋体" w:hAnsi="宋体"/>
              </w:rPr>
            </w:pPr>
            <w:r>
              <w:rPr>
                <w:rFonts w:ascii="宋体" w:hAnsi="宋体"/>
              </w:rPr>
              <w:t>457883</w:t>
            </w:r>
          </w:p>
        </w:tc>
        <w:tc>
          <w:tcPr>
            <w:tcW w:w="497" w:type="pct"/>
            <w:vAlign w:val="center"/>
          </w:tcPr>
          <w:p w14:paraId="68535047">
            <w:pPr>
              <w:pStyle w:val="12"/>
              <w:jc w:val="center"/>
              <w:rPr>
                <w:rFonts w:ascii="宋体" w:hAnsi="宋体"/>
              </w:rPr>
            </w:pPr>
            <w:r>
              <w:rPr>
                <w:rFonts w:ascii="宋体" w:hAnsi="宋体"/>
              </w:rPr>
              <w:t>436096</w:t>
            </w:r>
          </w:p>
        </w:tc>
        <w:tc>
          <w:tcPr>
            <w:tcW w:w="497" w:type="pct"/>
            <w:vAlign w:val="center"/>
          </w:tcPr>
          <w:p w14:paraId="6DF8F9AE">
            <w:pPr>
              <w:pStyle w:val="12"/>
              <w:jc w:val="center"/>
              <w:rPr>
                <w:rFonts w:ascii="宋体" w:hAnsi="宋体"/>
              </w:rPr>
            </w:pPr>
            <w:r>
              <w:rPr>
                <w:rFonts w:ascii="宋体" w:hAnsi="宋体"/>
              </w:rPr>
              <w:t>0</w:t>
            </w:r>
          </w:p>
        </w:tc>
        <w:tc>
          <w:tcPr>
            <w:tcW w:w="497" w:type="pct"/>
            <w:vAlign w:val="center"/>
          </w:tcPr>
          <w:p w14:paraId="1540C514">
            <w:pPr>
              <w:pStyle w:val="12"/>
              <w:jc w:val="center"/>
              <w:rPr>
                <w:rFonts w:ascii="宋体" w:hAnsi="宋体"/>
              </w:rPr>
            </w:pPr>
            <w:r>
              <w:rPr>
                <w:rFonts w:ascii="宋体" w:hAnsi="宋体"/>
              </w:rPr>
              <w:t>0.95</w:t>
            </w:r>
          </w:p>
        </w:tc>
      </w:tr>
    </w:tbl>
    <w:p w14:paraId="2063A81B">
      <w:pPr>
        <w:ind w:firstLine="422"/>
        <w:rPr>
          <w:rFonts w:ascii="宋体" w:hAnsi="宋体"/>
          <w:b/>
          <w:szCs w:val="21"/>
        </w:rPr>
      </w:pPr>
      <w:r>
        <w:rPr>
          <w:rFonts w:hint="eastAsia" w:ascii="宋体" w:hAnsi="宋体"/>
          <w:b/>
          <w:szCs w:val="21"/>
        </w:rPr>
        <w:t>（二）耕地改造</w:t>
      </w:r>
    </w:p>
    <w:p w14:paraId="7C07CF3E">
      <w:pPr>
        <w:ind w:firstLine="420"/>
        <w:rPr>
          <w:rFonts w:ascii="宋体" w:hAnsi="宋体"/>
          <w:szCs w:val="21"/>
        </w:rPr>
      </w:pPr>
      <w:r>
        <w:rPr>
          <w:rFonts w:ascii="宋体" w:hAnsi="宋体"/>
          <w:szCs w:val="21"/>
        </w:rPr>
        <w:t>1953年查田定产，按耕地的水利、土质、阳光，核定全县水田30009.67公顷，</w:t>
      </w:r>
      <w:r>
        <w:rPr>
          <w:rFonts w:hint="eastAsia" w:ascii="宋体" w:hAnsi="宋体"/>
          <w:szCs w:val="21"/>
        </w:rPr>
        <w:t>定为</w:t>
      </w:r>
      <w:r>
        <w:rPr>
          <w:rFonts w:ascii="宋体" w:hAnsi="宋体"/>
          <w:szCs w:val="21"/>
        </w:rPr>
        <w:t>17个等，旱地6451.46公顷，定为6个等。水田年亩产250公斤以上的1～6等</w:t>
      </w:r>
      <w:r>
        <w:rPr>
          <w:rFonts w:hint="eastAsia" w:ascii="宋体" w:hAnsi="宋体"/>
          <w:szCs w:val="21"/>
        </w:rPr>
        <w:t>田面积为</w:t>
      </w:r>
      <w:r>
        <w:rPr>
          <w:rFonts w:ascii="宋体" w:hAnsi="宋体"/>
          <w:szCs w:val="21"/>
        </w:rPr>
        <w:t>7195.13公顷，占水田总面积的23.97%；亩产80公斤以下的14～17等田</w:t>
      </w:r>
      <w:r>
        <w:rPr>
          <w:rFonts w:hint="eastAsia" w:ascii="宋体" w:hAnsi="宋体"/>
          <w:szCs w:val="21"/>
        </w:rPr>
        <w:t>面积为</w:t>
      </w:r>
      <w:r>
        <w:rPr>
          <w:rFonts w:ascii="宋体" w:hAnsi="宋体"/>
          <w:szCs w:val="21"/>
        </w:rPr>
        <w:t>6307.93公顷，占总面积的21%。旱地年亩产100公斤以上的1、2等面积为1955.53公顷，占总面积的30.32%；亩产60公斤以下的4、5、6等面积为1445.67</w:t>
      </w:r>
      <w:r>
        <w:rPr>
          <w:rFonts w:hint="eastAsia" w:ascii="宋体" w:hAnsi="宋体"/>
          <w:szCs w:val="21"/>
        </w:rPr>
        <w:t>公顷，占旱地总面积的</w:t>
      </w:r>
      <w:r>
        <w:rPr>
          <w:rFonts w:ascii="宋体" w:hAnsi="宋体"/>
          <w:szCs w:val="21"/>
        </w:rPr>
        <w:t>22.29%。</w:t>
      </w:r>
    </w:p>
    <w:p w14:paraId="34B6F133">
      <w:pPr>
        <w:ind w:firstLine="420"/>
        <w:rPr>
          <w:rFonts w:ascii="宋体" w:hAnsi="宋体"/>
          <w:szCs w:val="21"/>
        </w:rPr>
      </w:pPr>
      <w:r>
        <w:rPr>
          <w:rFonts w:ascii="宋体" w:hAnsi="宋体"/>
          <w:szCs w:val="21"/>
        </w:rPr>
        <w:t>1958年冬至1964年冬，连续7个冬春大搞农田水利建设，平整土地，使部分稻</w:t>
      </w:r>
      <w:r>
        <w:rPr>
          <w:rFonts w:hint="eastAsia" w:ascii="宋体" w:hAnsi="宋体"/>
          <w:szCs w:val="21"/>
        </w:rPr>
        <w:t>田成为稳产高产农田。</w:t>
      </w:r>
      <w:r>
        <w:rPr>
          <w:rFonts w:ascii="宋体" w:hAnsi="宋体"/>
          <w:szCs w:val="21"/>
        </w:rPr>
        <w:t>1977年起又连续4个冬春进行农田基本建设大会战，进行山、</w:t>
      </w:r>
      <w:r>
        <w:rPr>
          <w:rFonts w:hint="eastAsia" w:ascii="宋体" w:hAnsi="宋体"/>
          <w:szCs w:val="21"/>
        </w:rPr>
        <w:t>水、田、林、路综合治理，使大部分耕地的生产水平大为提高。</w:t>
      </w:r>
      <w:r>
        <w:rPr>
          <w:rFonts w:ascii="宋体" w:hAnsi="宋体"/>
          <w:szCs w:val="21"/>
        </w:rPr>
        <w:t>1984年土壤普查统</w:t>
      </w:r>
      <w:r>
        <w:rPr>
          <w:rFonts w:hint="eastAsia" w:ascii="宋体" w:hAnsi="宋体"/>
          <w:szCs w:val="21"/>
        </w:rPr>
        <w:t>计，年亩产稻谷</w:t>
      </w:r>
      <w:r>
        <w:rPr>
          <w:rFonts w:ascii="宋体" w:hAnsi="宋体"/>
          <w:szCs w:val="21"/>
        </w:rPr>
        <w:t>600公斤以上的上等田13261.73公顷，占59.2%；400公斤～600公</w:t>
      </w:r>
      <w:r>
        <w:rPr>
          <w:rFonts w:hint="eastAsia" w:ascii="宋体" w:hAnsi="宋体"/>
          <w:szCs w:val="21"/>
        </w:rPr>
        <w:t>斤的中等田</w:t>
      </w:r>
      <w:r>
        <w:rPr>
          <w:rFonts w:ascii="宋体" w:hAnsi="宋体"/>
          <w:szCs w:val="21"/>
        </w:rPr>
        <w:t>6751.8公顷，占30.1%；不足400公斤的下等田2408.33公顷，占10.7%。旱地一等462.8公顷占6.2%；二等5007.67公顷，占66.9%；三等201.06</w:t>
      </w:r>
      <w:r>
        <w:rPr>
          <w:rFonts w:hint="eastAsia" w:ascii="宋体" w:hAnsi="宋体"/>
          <w:szCs w:val="21"/>
        </w:rPr>
        <w:t>公顷，占</w:t>
      </w:r>
      <w:r>
        <w:rPr>
          <w:rFonts w:ascii="宋体" w:hAnsi="宋体"/>
          <w:szCs w:val="21"/>
        </w:rPr>
        <w:t>26.9%。</w:t>
      </w:r>
    </w:p>
    <w:p w14:paraId="7FB78613">
      <w:pPr>
        <w:ind w:firstLine="420"/>
        <w:rPr>
          <w:rFonts w:ascii="宋体" w:hAnsi="宋体"/>
          <w:szCs w:val="21"/>
        </w:rPr>
      </w:pPr>
      <w:r>
        <w:rPr>
          <w:rFonts w:ascii="宋体" w:hAnsi="宋体"/>
          <w:szCs w:val="21"/>
        </w:rPr>
        <w:t>1988年以后，以建设“高质、高产、高效”农业为目标，继续在冬春期间改造</w:t>
      </w:r>
      <w:r>
        <w:rPr>
          <w:rFonts w:hint="eastAsia" w:ascii="宋体" w:hAnsi="宋体"/>
          <w:szCs w:val="21"/>
        </w:rPr>
        <w:t>中低产田。以排灌渠道的防渗维修加固为重点，实施水泥“三面光”硬化改造。</w:t>
      </w:r>
      <w:r>
        <w:rPr>
          <w:rFonts w:ascii="宋体" w:hAnsi="宋体"/>
          <w:szCs w:val="21"/>
        </w:rPr>
        <w:t>1996年止，县直接抓的重点项目有：全安镇河塘洞、五岭洞各80公顷、湖口镇矿岭</w:t>
      </w:r>
      <w:r>
        <w:rPr>
          <w:rFonts w:hint="eastAsia" w:ascii="宋体" w:hAnsi="宋体"/>
          <w:szCs w:val="21"/>
        </w:rPr>
        <w:t>洞</w:t>
      </w:r>
      <w:r>
        <w:rPr>
          <w:rFonts w:ascii="宋体" w:hAnsi="宋体"/>
          <w:szCs w:val="21"/>
        </w:rPr>
        <w:t>20公顷，珠玑镇叟里元洞53.33公顷，雄州镇铺背洞26.67公顷，界址镇马芫洞53.33公顷，市农科所10公顷，共计323.33公顷。1997年冬至1998年春，改造中</w:t>
      </w:r>
      <w:r>
        <w:rPr>
          <w:rFonts w:hint="eastAsia" w:ascii="宋体" w:hAnsi="宋体"/>
          <w:szCs w:val="21"/>
        </w:rPr>
        <w:t>低产田</w:t>
      </w:r>
      <w:r>
        <w:rPr>
          <w:rFonts w:ascii="宋体" w:hAnsi="宋体"/>
          <w:szCs w:val="21"/>
        </w:rPr>
        <w:t>1866.67公顷，分别在全安镇五岭洞500公顷，雄州镇飞机场100公顷、黎口</w:t>
      </w:r>
      <w:r>
        <w:rPr>
          <w:rFonts w:hint="eastAsia" w:ascii="宋体" w:hAnsi="宋体"/>
          <w:szCs w:val="21"/>
        </w:rPr>
        <w:t>镇五洲洞</w:t>
      </w:r>
      <w:r>
        <w:rPr>
          <w:rFonts w:ascii="宋体" w:hAnsi="宋体"/>
          <w:szCs w:val="21"/>
        </w:rPr>
        <w:t>4</w:t>
      </w:r>
      <w:r>
        <w:rPr>
          <w:rFonts w:hint="eastAsia" w:ascii="宋体" w:hAnsi="宋体"/>
          <w:szCs w:val="21"/>
        </w:rPr>
        <w:t>3</w:t>
      </w:r>
      <w:r>
        <w:rPr>
          <w:rFonts w:ascii="宋体" w:hAnsi="宋体"/>
          <w:szCs w:val="21"/>
        </w:rPr>
        <w:t>3.33公顷，主田镇主田洞、城门洞466.67公顷，邓坊镇赤马、马战洞3</w:t>
      </w:r>
      <w:r>
        <w:rPr>
          <w:rFonts w:hint="eastAsia" w:ascii="宋体" w:hAnsi="宋体"/>
          <w:szCs w:val="21"/>
        </w:rPr>
        <w:t>6</w:t>
      </w:r>
      <w:r>
        <w:rPr>
          <w:rFonts w:ascii="宋体" w:hAnsi="宋体"/>
          <w:szCs w:val="21"/>
        </w:rPr>
        <w:t>6.67公顷。改造措施以增肥改土为主，生物措施与工程措施相结合。共投入资金77万元。其中，省地拨款5万元、县财政51.5万元，镇以下自筹20.5万元。2004</w:t>
      </w:r>
      <w:r>
        <w:rPr>
          <w:rFonts w:hint="eastAsia" w:ascii="宋体" w:hAnsi="宋体"/>
          <w:szCs w:val="21"/>
        </w:rPr>
        <w:t>年冬首个国家农业综合开发项目在全安五岭洞实施，总投资</w:t>
      </w:r>
      <w:r>
        <w:rPr>
          <w:rFonts w:ascii="宋体" w:hAnsi="宋体"/>
          <w:szCs w:val="21"/>
        </w:rPr>
        <w:t>810万元，治理土地面积933.33公顷，2005年冬完成</w:t>
      </w:r>
      <w:r>
        <w:rPr>
          <w:rFonts w:hint="eastAsia" w:ascii="宋体" w:hAnsi="宋体"/>
          <w:szCs w:val="21"/>
        </w:rPr>
        <w:t>。</w:t>
      </w:r>
    </w:p>
    <w:p w14:paraId="1586C8AE">
      <w:pPr>
        <w:ind w:firstLine="422"/>
        <w:rPr>
          <w:rFonts w:ascii="宋体" w:hAnsi="宋体"/>
          <w:b/>
          <w:szCs w:val="21"/>
        </w:rPr>
      </w:pPr>
      <w:r>
        <w:rPr>
          <w:rFonts w:hint="eastAsia" w:ascii="宋体" w:hAnsi="宋体"/>
          <w:b/>
          <w:szCs w:val="21"/>
        </w:rPr>
        <w:t>（三）耕地利用</w:t>
      </w:r>
    </w:p>
    <w:p w14:paraId="63AB1C62">
      <w:pPr>
        <w:ind w:firstLine="420"/>
        <w:rPr>
          <w:rFonts w:ascii="宋体" w:hAnsi="宋体"/>
          <w:szCs w:val="21"/>
        </w:rPr>
      </w:pPr>
      <w:r>
        <w:rPr>
          <w:rFonts w:hint="eastAsia" w:ascii="宋体" w:hAnsi="宋体"/>
          <w:szCs w:val="21"/>
        </w:rPr>
        <w:t>中部盆地农业区耕地利用率较高，水田多为一年两造种稻，或早造种黄烟、花生、大豆，晚造种水稻。晚稻收割后少数种绿肥、油菜、豌豆、蔬菜，多数犁冬晒白、休闲。旱地是早造种黄烟或花生、大豆，晚造种番薯、蔬菜。</w:t>
      </w:r>
    </w:p>
    <w:p w14:paraId="6E5525FA">
      <w:pPr>
        <w:ind w:firstLine="420"/>
        <w:rPr>
          <w:rFonts w:ascii="宋体" w:hAnsi="宋体"/>
          <w:szCs w:val="21"/>
        </w:rPr>
      </w:pPr>
      <w:r>
        <w:rPr>
          <w:rFonts w:hint="eastAsia" w:ascii="宋体" w:hAnsi="宋体"/>
          <w:szCs w:val="21"/>
        </w:rPr>
        <w:t>南山、北山林区，</w:t>
      </w:r>
      <w:r>
        <w:rPr>
          <w:rFonts w:ascii="宋体" w:hAnsi="宋体"/>
          <w:szCs w:val="21"/>
        </w:rPr>
        <w:t>1974年前多数耕地一年种一造水稻，双季稻面积较少。1974</w:t>
      </w:r>
      <w:r>
        <w:rPr>
          <w:rFonts w:hint="eastAsia" w:ascii="宋体" w:hAnsi="宋体"/>
          <w:szCs w:val="21"/>
        </w:rPr>
        <w:t>年后，相继引种丛生型花生及试种黄烟成功，使一部分排水良好、阳光充足的单造稻田改为早造种黄烟或花生，晚造种水稻。</w:t>
      </w:r>
    </w:p>
    <w:p w14:paraId="283CD9DE">
      <w:pPr>
        <w:ind w:firstLine="420"/>
        <w:rPr>
          <w:rFonts w:ascii="宋体" w:hAnsi="宋体"/>
          <w:szCs w:val="21"/>
        </w:rPr>
      </w:pPr>
      <w:r>
        <w:rPr>
          <w:rFonts w:hint="eastAsia" w:ascii="宋体" w:hAnsi="宋体"/>
          <w:szCs w:val="21"/>
        </w:rPr>
        <w:t>全市耕地复种指数，</w:t>
      </w:r>
      <w:r>
        <w:rPr>
          <w:rFonts w:ascii="宋体" w:hAnsi="宋体"/>
          <w:szCs w:val="21"/>
        </w:rPr>
        <w:t>1950年为145.8，1957年上升到198，1974年达219，1987</w:t>
      </w:r>
      <w:r>
        <w:rPr>
          <w:rFonts w:hint="eastAsia" w:ascii="宋体" w:hAnsi="宋体"/>
          <w:szCs w:val="21"/>
        </w:rPr>
        <w:t>年</w:t>
      </w:r>
      <w:r>
        <w:rPr>
          <w:rFonts w:ascii="宋体" w:hAnsi="宋体"/>
          <w:szCs w:val="21"/>
        </w:rPr>
        <w:t>210.3。1988年至2004年最低年为216.5，最高年227.1。差异视秋旱程度而定，</w:t>
      </w:r>
      <w:r>
        <w:rPr>
          <w:rFonts w:hint="eastAsia" w:ascii="宋体" w:hAnsi="宋体"/>
          <w:szCs w:val="21"/>
        </w:rPr>
        <w:t>秋旱来日早，秋种面积减少。</w:t>
      </w:r>
    </w:p>
    <w:p w14:paraId="4CFAF587">
      <w:pPr>
        <w:ind w:firstLine="420"/>
        <w:rPr>
          <w:rFonts w:ascii="宋体" w:hAnsi="宋体"/>
          <w:szCs w:val="21"/>
        </w:rPr>
      </w:pPr>
      <w:r>
        <w:rPr>
          <w:rFonts w:hint="eastAsia" w:ascii="宋体" w:hAnsi="宋体"/>
          <w:szCs w:val="21"/>
        </w:rPr>
        <w:t>种植作物历来以稻谷为主，次为黄烟、花生、番薯，俗称四大作物。</w:t>
      </w:r>
      <w:r>
        <w:rPr>
          <w:rFonts w:ascii="宋体" w:hAnsi="宋体"/>
          <w:szCs w:val="21"/>
        </w:rPr>
        <w:t>1980年后，</w:t>
      </w:r>
      <w:r>
        <w:rPr>
          <w:rFonts w:hint="eastAsia" w:ascii="宋体" w:hAnsi="宋体"/>
          <w:szCs w:val="21"/>
        </w:rPr>
        <w:t>为适应杂交稻育秧规范，形成豆一秧一稻轮作模式。大豆面积渐增，成为第五大种植作物。</w:t>
      </w:r>
      <w:r>
        <w:rPr>
          <w:rFonts w:ascii="宋体" w:hAnsi="宋体"/>
          <w:szCs w:val="21"/>
        </w:rPr>
        <w:t>1990年以后，随着城镇人口增加，交通条件改善，蔬菜需求量日增，年种植</w:t>
      </w:r>
      <w:r>
        <w:rPr>
          <w:rFonts w:hint="eastAsia" w:ascii="宋体" w:hAnsi="宋体"/>
          <w:szCs w:val="21"/>
        </w:rPr>
        <w:t>面积增加到</w:t>
      </w:r>
      <w:r>
        <w:rPr>
          <w:rFonts w:ascii="宋体" w:hAnsi="宋体"/>
          <w:szCs w:val="21"/>
        </w:rPr>
        <w:t>8000多公顷，超过花生种植面积成为第三大作物。</w:t>
      </w:r>
    </w:p>
    <w:p w14:paraId="6CE10414">
      <w:pPr>
        <w:pStyle w:val="5"/>
        <w:rPr>
          <w:rFonts w:ascii="宋体" w:hAnsi="宋体"/>
        </w:rPr>
      </w:pPr>
      <w:r>
        <w:rPr>
          <w:rFonts w:hint="eastAsia" w:ascii="宋体" w:hAnsi="宋体"/>
        </w:rPr>
        <w:t>二、粮食作物</w:t>
      </w:r>
    </w:p>
    <w:p w14:paraId="389E3AE5">
      <w:pPr>
        <w:ind w:firstLine="422"/>
        <w:rPr>
          <w:rFonts w:ascii="宋体" w:hAnsi="宋体"/>
          <w:b/>
          <w:szCs w:val="21"/>
        </w:rPr>
      </w:pPr>
      <w:r>
        <w:rPr>
          <w:rFonts w:hint="eastAsia" w:ascii="宋体" w:hAnsi="宋体"/>
          <w:b/>
          <w:szCs w:val="21"/>
        </w:rPr>
        <w:t>（一）粮产区分布</w:t>
      </w:r>
    </w:p>
    <w:p w14:paraId="766A77B9">
      <w:pPr>
        <w:ind w:firstLine="420"/>
        <w:rPr>
          <w:rFonts w:ascii="宋体" w:hAnsi="宋体"/>
          <w:szCs w:val="21"/>
        </w:rPr>
      </w:pPr>
      <w:r>
        <w:rPr>
          <w:rFonts w:hint="eastAsia" w:ascii="宋体" w:hAnsi="宋体"/>
          <w:szCs w:val="21"/>
        </w:rPr>
        <w:t>南雄粮产区主要分布于盆地周边，有全安、帽子峰、邓坊、主田、坪田、南亩、江头等镇。这些镇人口占全市</w:t>
      </w:r>
      <w:r>
        <w:rPr>
          <w:rFonts w:ascii="宋体" w:hAnsi="宋体"/>
          <w:szCs w:val="21"/>
        </w:rPr>
        <w:t>1/3，水稻播种面积占全市45%左右，1996年至2004</w:t>
      </w:r>
      <w:r>
        <w:rPr>
          <w:rFonts w:hint="eastAsia" w:ascii="宋体" w:hAnsi="宋体"/>
          <w:szCs w:val="21"/>
        </w:rPr>
        <w:t>年</w:t>
      </w:r>
      <w:r>
        <w:rPr>
          <w:rFonts w:ascii="宋体" w:hAnsi="宋体"/>
          <w:szCs w:val="21"/>
        </w:rPr>
        <w:t>8年间，人均年生产粮食600公斤以上。其中人均生产稻谷最多且提供商品粮最多</w:t>
      </w:r>
      <w:r>
        <w:rPr>
          <w:rFonts w:hint="eastAsia" w:ascii="宋体" w:hAnsi="宋体"/>
          <w:szCs w:val="21"/>
        </w:rPr>
        <w:t>的首推帽子峰镇。该镇</w:t>
      </w:r>
      <w:r>
        <w:rPr>
          <w:rFonts w:ascii="宋体" w:hAnsi="宋体"/>
          <w:szCs w:val="21"/>
        </w:rPr>
        <w:t>1988年至2004年中人均生产稻谷最少的年份1989年为907</w:t>
      </w:r>
      <w:r>
        <w:rPr>
          <w:rFonts w:hint="eastAsia" w:ascii="宋体" w:hAnsi="宋体"/>
          <w:szCs w:val="21"/>
        </w:rPr>
        <w:t>公斤，最高的</w:t>
      </w:r>
      <w:r>
        <w:rPr>
          <w:rFonts w:ascii="宋体" w:hAnsi="宋体"/>
          <w:szCs w:val="21"/>
        </w:rPr>
        <w:t>1999年为1103公斤。次为全安镇，1988年至2004年人均生产稻谷最</w:t>
      </w:r>
      <w:r>
        <w:rPr>
          <w:rFonts w:hint="eastAsia" w:ascii="宋体" w:hAnsi="宋体"/>
          <w:szCs w:val="21"/>
        </w:rPr>
        <w:t>少的年份</w:t>
      </w:r>
      <w:r>
        <w:rPr>
          <w:rFonts w:ascii="宋体" w:hAnsi="宋体"/>
          <w:szCs w:val="21"/>
        </w:rPr>
        <w:t>1988年为663公斤，最高的1999年为949公斤</w:t>
      </w:r>
      <w:r>
        <w:rPr>
          <w:rFonts w:hint="eastAsia" w:ascii="宋体" w:hAnsi="宋体"/>
          <w:szCs w:val="21"/>
        </w:rPr>
        <w:t>。</w:t>
      </w:r>
    </w:p>
    <w:p w14:paraId="56CC262E">
      <w:pPr>
        <w:ind w:firstLine="422"/>
        <w:rPr>
          <w:rFonts w:ascii="宋体" w:hAnsi="宋体"/>
          <w:b/>
          <w:szCs w:val="21"/>
        </w:rPr>
      </w:pPr>
      <w:r>
        <w:rPr>
          <w:rFonts w:hint="eastAsia" w:ascii="宋体" w:hAnsi="宋体"/>
          <w:b/>
          <w:szCs w:val="21"/>
        </w:rPr>
        <w:t>（二）粮食作物栽培</w:t>
      </w:r>
    </w:p>
    <w:p w14:paraId="14334BBE">
      <w:pPr>
        <w:ind w:firstLine="420"/>
        <w:rPr>
          <w:rFonts w:ascii="宋体" w:hAnsi="宋体"/>
          <w:szCs w:val="21"/>
        </w:rPr>
      </w:pPr>
      <w:r>
        <w:rPr>
          <w:rFonts w:hint="eastAsia" w:ascii="宋体" w:hAnsi="宋体"/>
          <w:szCs w:val="21"/>
        </w:rPr>
        <w:t>粮食作物以水稻为主。</w:t>
      </w:r>
      <w:r>
        <w:rPr>
          <w:rFonts w:ascii="宋体" w:hAnsi="宋体"/>
          <w:szCs w:val="21"/>
        </w:rPr>
        <w:t>1950年至1987年，全县粮食总产中稻谷占96.4%，其他</w:t>
      </w:r>
      <w:r>
        <w:rPr>
          <w:rFonts w:hint="eastAsia" w:ascii="宋体" w:hAnsi="宋体"/>
          <w:szCs w:val="21"/>
        </w:rPr>
        <w:t>杂粮（薯类按</w:t>
      </w:r>
      <w:r>
        <w:rPr>
          <w:rFonts w:ascii="宋体" w:hAnsi="宋体"/>
          <w:szCs w:val="21"/>
        </w:rPr>
        <w:t>5：1折谷计，下同）只占3.6%。1988年至2004年，累计粮食播种面</w:t>
      </w:r>
      <w:r>
        <w:rPr>
          <w:rFonts w:hint="eastAsia" w:ascii="宋体" w:hAnsi="宋体"/>
          <w:szCs w:val="21"/>
        </w:rPr>
        <w:t>积</w:t>
      </w:r>
      <w:r>
        <w:rPr>
          <w:rFonts w:ascii="宋体" w:hAnsi="宋体"/>
          <w:szCs w:val="21"/>
        </w:rPr>
        <w:t>615542.87公顷，其中水稻占521327.33公顷，占84.7%。17年粮食总产量3869692吨，其中稻谷产量3639936吨，占94.1%。杂粮产量比重最低是1989年占3.7%，最高是2004年占9.2%。</w:t>
      </w:r>
    </w:p>
    <w:p w14:paraId="2D92C103">
      <w:pPr>
        <w:ind w:firstLine="422"/>
        <w:rPr>
          <w:rFonts w:ascii="宋体" w:hAnsi="宋体"/>
          <w:b/>
          <w:szCs w:val="21"/>
        </w:rPr>
      </w:pPr>
      <w:r>
        <w:rPr>
          <w:rFonts w:ascii="宋体" w:hAnsi="宋体"/>
          <w:b/>
          <w:szCs w:val="21"/>
        </w:rPr>
        <w:t>1.水稻</w:t>
      </w:r>
    </w:p>
    <w:p w14:paraId="4A1C5EF6">
      <w:pPr>
        <w:ind w:firstLine="420"/>
        <w:rPr>
          <w:rFonts w:ascii="宋体" w:hAnsi="宋体"/>
          <w:szCs w:val="21"/>
        </w:rPr>
      </w:pPr>
      <w:r>
        <w:rPr>
          <w:rFonts w:hint="eastAsia" w:ascii="宋体" w:hAnsi="宋体"/>
          <w:szCs w:val="21"/>
        </w:rPr>
        <w:t>从</w:t>
      </w:r>
      <w:r>
        <w:rPr>
          <w:rFonts w:ascii="宋体" w:hAnsi="宋体"/>
          <w:szCs w:val="21"/>
        </w:rPr>
        <w:t>1954年起至2004年半个世纪，南雄市水稻生产总的趋势是播种面积大幅减</w:t>
      </w:r>
      <w:r>
        <w:rPr>
          <w:rFonts w:hint="eastAsia" w:ascii="宋体" w:hAnsi="宋体"/>
          <w:szCs w:val="21"/>
        </w:rPr>
        <w:t>少，亩产量几倍增长，总产量相应大幅增加。</w:t>
      </w:r>
      <w:r>
        <w:rPr>
          <w:rFonts w:ascii="宋体" w:hAnsi="宋体"/>
          <w:szCs w:val="21"/>
        </w:rPr>
        <w:t>1954年播种面积47868.2公顷，亩产92.8公斤，总产66632.5吨。2004年播种面积30058.2公顷，亩产497公斤，总产224032吨。对比1954年，播种面积减少了37.2%，亩产增长了4.35倍，总产增加</w:t>
      </w:r>
      <w:r>
        <w:rPr>
          <w:rFonts w:hint="eastAsia" w:ascii="宋体" w:hAnsi="宋体"/>
          <w:szCs w:val="21"/>
        </w:rPr>
        <w:t>了</w:t>
      </w:r>
      <w:r>
        <w:rPr>
          <w:rFonts w:ascii="宋体" w:hAnsi="宋体"/>
          <w:szCs w:val="21"/>
        </w:rPr>
        <w:t>2.36倍。主要依靠在不断改良生产条件的情况下，采取了一系列技术改革措施</w:t>
      </w:r>
      <w:r>
        <w:rPr>
          <w:rFonts w:hint="eastAsia" w:ascii="宋体" w:hAnsi="宋体"/>
          <w:szCs w:val="21"/>
        </w:rPr>
        <w:t>。</w:t>
      </w:r>
    </w:p>
    <w:p w14:paraId="691009F7">
      <w:pPr>
        <w:ind w:firstLine="420"/>
        <w:rPr>
          <w:rFonts w:ascii="宋体" w:hAnsi="宋体"/>
          <w:szCs w:val="21"/>
        </w:rPr>
      </w:pPr>
      <w:r>
        <w:rPr>
          <w:rFonts w:hint="eastAsia" w:ascii="宋体" w:hAnsi="宋体"/>
          <w:szCs w:val="21"/>
        </w:rPr>
        <w:t>（</w:t>
      </w:r>
      <w:r>
        <w:rPr>
          <w:rFonts w:ascii="宋体" w:hAnsi="宋体"/>
          <w:szCs w:val="21"/>
        </w:rPr>
        <w:t>1）不断更新良种。1977年晚造大面积推广杂交水稻成功，亩产比上年增加48.5公斤。1979年早造也用杂交稻，早晚两造亩产达1000公斤。1980年以后，早中</w:t>
      </w:r>
      <w:r>
        <w:rPr>
          <w:rFonts w:hint="eastAsia" w:ascii="宋体" w:hAnsi="宋体"/>
          <w:szCs w:val="21"/>
        </w:rPr>
        <w:t>晚造均以杂交稻为主要品种。县农科所每年从引进试种的杂交稻新组合中选出适应当地环境条件的新组合代替以前使用的组合。</w:t>
      </w:r>
      <w:r>
        <w:rPr>
          <w:rFonts w:ascii="宋体" w:hAnsi="宋体"/>
          <w:szCs w:val="21"/>
        </w:rPr>
        <w:t>1988年以后，先后引进的“三系”杂交</w:t>
      </w:r>
      <w:r>
        <w:rPr>
          <w:rFonts w:hint="eastAsia" w:ascii="宋体" w:hAnsi="宋体"/>
          <w:szCs w:val="21"/>
        </w:rPr>
        <w:t>稻组合有：早造“汕优</w:t>
      </w:r>
      <w:r>
        <w:rPr>
          <w:rFonts w:ascii="宋体" w:hAnsi="宋体"/>
          <w:szCs w:val="21"/>
        </w:rPr>
        <w:t>77</w:t>
      </w:r>
      <w:r>
        <w:rPr>
          <w:rFonts w:hint="eastAsia" w:ascii="宋体" w:hAnsi="宋体"/>
          <w:szCs w:val="21"/>
        </w:rPr>
        <w:t>”</w:t>
      </w:r>
      <w:r>
        <w:rPr>
          <w:rFonts w:ascii="宋体" w:hAnsi="宋体"/>
          <w:szCs w:val="21"/>
        </w:rPr>
        <w:t>、</w:t>
      </w:r>
      <w:r>
        <w:rPr>
          <w:rFonts w:hint="eastAsia" w:ascii="宋体" w:hAnsi="宋体"/>
          <w:szCs w:val="21"/>
        </w:rPr>
        <w:t>“</w:t>
      </w:r>
      <w:r>
        <w:rPr>
          <w:rFonts w:ascii="宋体" w:hAnsi="宋体"/>
          <w:szCs w:val="21"/>
        </w:rPr>
        <w:t>D优162</w:t>
      </w:r>
      <w:r>
        <w:rPr>
          <w:rFonts w:hint="eastAsia" w:ascii="宋体" w:hAnsi="宋体"/>
          <w:szCs w:val="21"/>
        </w:rPr>
        <w:t>”</w:t>
      </w:r>
      <w:r>
        <w:rPr>
          <w:rFonts w:ascii="宋体" w:hAnsi="宋体"/>
          <w:szCs w:val="21"/>
        </w:rPr>
        <w:t>、</w:t>
      </w:r>
      <w:r>
        <w:rPr>
          <w:rFonts w:hint="eastAsia" w:ascii="宋体" w:hAnsi="宋体"/>
          <w:szCs w:val="21"/>
        </w:rPr>
        <w:t>“</w:t>
      </w:r>
      <w:r>
        <w:rPr>
          <w:rFonts w:ascii="宋体" w:hAnsi="宋体"/>
          <w:szCs w:val="21"/>
        </w:rPr>
        <w:t>汕优4480</w:t>
      </w:r>
      <w:r>
        <w:rPr>
          <w:rFonts w:hint="eastAsia" w:ascii="宋体" w:hAnsi="宋体"/>
          <w:szCs w:val="21"/>
        </w:rPr>
        <w:t>”</w:t>
      </w:r>
      <w:r>
        <w:rPr>
          <w:rFonts w:ascii="宋体" w:hAnsi="宋体"/>
          <w:szCs w:val="21"/>
        </w:rPr>
        <w:t>、</w:t>
      </w:r>
      <w:r>
        <w:rPr>
          <w:rFonts w:hint="eastAsia" w:ascii="宋体" w:hAnsi="宋体"/>
          <w:szCs w:val="21"/>
        </w:rPr>
        <w:t>“</w:t>
      </w:r>
      <w:r>
        <w:rPr>
          <w:rFonts w:ascii="宋体" w:hAnsi="宋体"/>
          <w:szCs w:val="21"/>
        </w:rPr>
        <w:t>温优3号</w:t>
      </w:r>
      <w:r>
        <w:rPr>
          <w:rFonts w:hint="eastAsia" w:ascii="宋体" w:hAnsi="宋体"/>
          <w:szCs w:val="21"/>
        </w:rPr>
        <w:t>”</w:t>
      </w:r>
      <w:r>
        <w:rPr>
          <w:rFonts w:ascii="宋体" w:hAnsi="宋体"/>
          <w:szCs w:val="21"/>
        </w:rPr>
        <w:t>；中晚造</w:t>
      </w:r>
      <w:r>
        <w:rPr>
          <w:rFonts w:hint="eastAsia" w:ascii="宋体" w:hAnsi="宋体"/>
          <w:szCs w:val="21"/>
        </w:rPr>
        <w:t>“</w:t>
      </w:r>
      <w:r>
        <w:rPr>
          <w:rFonts w:ascii="宋体" w:hAnsi="宋体"/>
          <w:szCs w:val="21"/>
        </w:rPr>
        <w:t>汕</w:t>
      </w:r>
      <w:r>
        <w:rPr>
          <w:rFonts w:hint="eastAsia" w:ascii="宋体" w:hAnsi="宋体"/>
          <w:szCs w:val="21"/>
        </w:rPr>
        <w:t>优桂</w:t>
      </w:r>
      <w:r>
        <w:rPr>
          <w:rFonts w:ascii="宋体" w:hAnsi="宋体"/>
          <w:szCs w:val="21"/>
        </w:rPr>
        <w:t>34</w:t>
      </w:r>
      <w:r>
        <w:rPr>
          <w:rFonts w:hint="eastAsia" w:ascii="宋体" w:hAnsi="宋体"/>
          <w:szCs w:val="21"/>
        </w:rPr>
        <w:t>”</w:t>
      </w:r>
      <w:r>
        <w:rPr>
          <w:rFonts w:ascii="宋体" w:hAnsi="宋体"/>
          <w:szCs w:val="21"/>
        </w:rPr>
        <w:t>、</w:t>
      </w:r>
      <w:r>
        <w:rPr>
          <w:rFonts w:hint="eastAsia" w:ascii="宋体" w:hAnsi="宋体"/>
          <w:szCs w:val="21"/>
        </w:rPr>
        <w:t>“</w:t>
      </w:r>
      <w:r>
        <w:rPr>
          <w:rFonts w:ascii="宋体" w:hAnsi="宋体"/>
          <w:szCs w:val="21"/>
        </w:rPr>
        <w:t>汕优桂</w:t>
      </w:r>
      <w:r>
        <w:rPr>
          <w:rFonts w:hint="eastAsia" w:ascii="宋体" w:hAnsi="宋体"/>
          <w:szCs w:val="21"/>
        </w:rPr>
        <w:t>9</w:t>
      </w:r>
      <w:r>
        <w:rPr>
          <w:rFonts w:ascii="宋体" w:hAnsi="宋体"/>
          <w:szCs w:val="21"/>
        </w:rPr>
        <w:t>9</w:t>
      </w:r>
      <w:r>
        <w:rPr>
          <w:rFonts w:hint="eastAsia" w:ascii="宋体" w:hAnsi="宋体"/>
          <w:szCs w:val="21"/>
        </w:rPr>
        <w:t>”</w:t>
      </w:r>
      <w:r>
        <w:rPr>
          <w:rFonts w:ascii="宋体" w:hAnsi="宋体"/>
          <w:szCs w:val="21"/>
        </w:rPr>
        <w:t>、</w:t>
      </w:r>
      <w:r>
        <w:rPr>
          <w:rFonts w:hint="eastAsia" w:ascii="宋体" w:hAnsi="宋体"/>
          <w:szCs w:val="21"/>
        </w:rPr>
        <w:t>“</w:t>
      </w:r>
      <w:r>
        <w:rPr>
          <w:rFonts w:ascii="宋体" w:hAnsi="宋体"/>
          <w:szCs w:val="21"/>
        </w:rPr>
        <w:t>汕优63</w:t>
      </w:r>
      <w:r>
        <w:rPr>
          <w:rFonts w:hint="eastAsia" w:ascii="宋体" w:hAnsi="宋体"/>
          <w:szCs w:val="21"/>
        </w:rPr>
        <w:t>”</w:t>
      </w:r>
      <w:r>
        <w:rPr>
          <w:rFonts w:ascii="宋体" w:hAnsi="宋体"/>
          <w:szCs w:val="21"/>
        </w:rPr>
        <w:t>、</w:t>
      </w:r>
      <w:r>
        <w:rPr>
          <w:rFonts w:hint="eastAsia" w:ascii="宋体" w:hAnsi="宋体"/>
          <w:szCs w:val="21"/>
        </w:rPr>
        <w:t>“</w:t>
      </w:r>
      <w:r>
        <w:rPr>
          <w:rFonts w:ascii="宋体" w:hAnsi="宋体"/>
          <w:szCs w:val="21"/>
        </w:rPr>
        <w:t>金优桂</w:t>
      </w:r>
      <w:r>
        <w:rPr>
          <w:rFonts w:hint="eastAsia" w:ascii="宋体" w:hAnsi="宋体"/>
          <w:szCs w:val="21"/>
        </w:rPr>
        <w:t>9</w:t>
      </w:r>
      <w:r>
        <w:rPr>
          <w:rFonts w:ascii="宋体" w:hAnsi="宋体"/>
          <w:szCs w:val="21"/>
        </w:rPr>
        <w:t>9</w:t>
      </w:r>
      <w:r>
        <w:rPr>
          <w:rFonts w:hint="eastAsia" w:ascii="宋体" w:hAnsi="宋体"/>
          <w:szCs w:val="21"/>
        </w:rPr>
        <w:t>”</w:t>
      </w:r>
      <w:r>
        <w:rPr>
          <w:rFonts w:ascii="宋体" w:hAnsi="宋体"/>
          <w:szCs w:val="21"/>
        </w:rPr>
        <w:t>、</w:t>
      </w:r>
      <w:r>
        <w:rPr>
          <w:rFonts w:hint="eastAsia" w:ascii="宋体" w:hAnsi="宋体"/>
          <w:szCs w:val="21"/>
        </w:rPr>
        <w:t>“</w:t>
      </w:r>
      <w:r>
        <w:rPr>
          <w:rFonts w:ascii="宋体" w:hAnsi="宋体"/>
          <w:szCs w:val="21"/>
        </w:rPr>
        <w:t>Ⅱ优63</w:t>
      </w:r>
      <w:r>
        <w:rPr>
          <w:rFonts w:hint="eastAsia" w:ascii="宋体" w:hAnsi="宋体"/>
          <w:szCs w:val="21"/>
        </w:rPr>
        <w:t>”</w:t>
      </w:r>
      <w:r>
        <w:rPr>
          <w:rFonts w:ascii="宋体" w:hAnsi="宋体"/>
          <w:szCs w:val="21"/>
        </w:rPr>
        <w:t>、</w:t>
      </w:r>
      <w:r>
        <w:rPr>
          <w:rFonts w:hint="eastAsia" w:ascii="宋体" w:hAnsi="宋体"/>
          <w:szCs w:val="21"/>
        </w:rPr>
        <w:t>“</w:t>
      </w:r>
      <w:r>
        <w:rPr>
          <w:rFonts w:ascii="宋体" w:hAnsi="宋体"/>
          <w:szCs w:val="21"/>
        </w:rPr>
        <w:t>刚优22</w:t>
      </w:r>
      <w:r>
        <w:rPr>
          <w:rFonts w:hint="eastAsia" w:ascii="宋体" w:hAnsi="宋体"/>
          <w:szCs w:val="21"/>
        </w:rPr>
        <w:t>”</w:t>
      </w:r>
      <w:r>
        <w:rPr>
          <w:rFonts w:ascii="宋体" w:hAnsi="宋体"/>
          <w:szCs w:val="21"/>
        </w:rPr>
        <w:t>、</w:t>
      </w:r>
      <w:r>
        <w:rPr>
          <w:rFonts w:hint="eastAsia" w:ascii="宋体" w:hAnsi="宋体"/>
          <w:szCs w:val="21"/>
        </w:rPr>
        <w:t>“</w:t>
      </w:r>
      <w:r>
        <w:rPr>
          <w:rFonts w:ascii="宋体" w:hAnsi="宋体"/>
          <w:szCs w:val="21"/>
        </w:rPr>
        <w:t>金优725</w:t>
      </w:r>
      <w:r>
        <w:rPr>
          <w:rFonts w:hint="eastAsia" w:ascii="宋体" w:hAnsi="宋体"/>
          <w:szCs w:val="21"/>
        </w:rPr>
        <w:t>”</w:t>
      </w:r>
      <w:r>
        <w:rPr>
          <w:rFonts w:ascii="宋体" w:hAnsi="宋体"/>
          <w:szCs w:val="21"/>
        </w:rPr>
        <w:t>、</w:t>
      </w:r>
      <w:r>
        <w:rPr>
          <w:rFonts w:hint="eastAsia" w:ascii="宋体" w:hAnsi="宋体"/>
          <w:szCs w:val="21"/>
        </w:rPr>
        <w:t>“</w:t>
      </w:r>
      <w:r>
        <w:rPr>
          <w:rFonts w:ascii="宋体" w:hAnsi="宋体"/>
          <w:szCs w:val="21"/>
        </w:rPr>
        <w:t>金优117</w:t>
      </w:r>
      <w:r>
        <w:rPr>
          <w:rFonts w:hint="eastAsia" w:ascii="宋体" w:hAnsi="宋体"/>
          <w:szCs w:val="21"/>
        </w:rPr>
        <w:t>”</w:t>
      </w:r>
      <w:r>
        <w:rPr>
          <w:rFonts w:ascii="宋体" w:hAnsi="宋体"/>
          <w:szCs w:val="21"/>
        </w:rPr>
        <w:t>等</w:t>
      </w:r>
      <w:r>
        <w:rPr>
          <w:rFonts w:hint="eastAsia" w:ascii="宋体" w:hAnsi="宋体"/>
          <w:szCs w:val="21"/>
        </w:rPr>
        <w:t>。</w:t>
      </w:r>
    </w:p>
    <w:p w14:paraId="4FB7D95C">
      <w:pPr>
        <w:ind w:firstLine="420"/>
        <w:rPr>
          <w:rFonts w:ascii="宋体" w:hAnsi="宋体"/>
          <w:szCs w:val="21"/>
        </w:rPr>
      </w:pPr>
      <w:r>
        <w:rPr>
          <w:rFonts w:hint="eastAsia" w:ascii="宋体" w:hAnsi="宋体"/>
          <w:szCs w:val="21"/>
        </w:rPr>
        <w:t>为确保杂交稻种子的供应，农业技术部门不断提高杂交稻制种的技术水平。</w:t>
      </w:r>
      <w:r>
        <w:rPr>
          <w:rFonts w:ascii="宋体" w:hAnsi="宋体"/>
          <w:szCs w:val="21"/>
        </w:rPr>
        <w:t>1997</w:t>
      </w:r>
      <w:r>
        <w:rPr>
          <w:rFonts w:hint="eastAsia" w:ascii="宋体" w:hAnsi="宋体"/>
          <w:szCs w:val="21"/>
        </w:rPr>
        <w:t>年早造“温优</w:t>
      </w:r>
      <w:r>
        <w:rPr>
          <w:rFonts w:ascii="宋体" w:hAnsi="宋体"/>
          <w:szCs w:val="21"/>
        </w:rPr>
        <w:t>3号”、晚造“汕优桂99”、“汕优46”共制种33.07公顷，平均亩产191公斤，创历史最高水平</w:t>
      </w:r>
      <w:r>
        <w:rPr>
          <w:rFonts w:hint="eastAsia" w:ascii="宋体" w:hAnsi="宋体"/>
          <w:szCs w:val="21"/>
        </w:rPr>
        <w:t>。</w:t>
      </w:r>
    </w:p>
    <w:p w14:paraId="14389AE4">
      <w:pPr>
        <w:ind w:firstLine="420"/>
        <w:rPr>
          <w:rFonts w:ascii="宋体" w:hAnsi="宋体"/>
          <w:szCs w:val="21"/>
        </w:rPr>
      </w:pPr>
      <w:r>
        <w:rPr>
          <w:rFonts w:hint="eastAsia" w:ascii="宋体" w:hAnsi="宋体"/>
          <w:szCs w:val="21"/>
        </w:rPr>
        <w:t>（</w:t>
      </w:r>
      <w:r>
        <w:rPr>
          <w:rFonts w:ascii="宋体" w:hAnsi="宋体"/>
          <w:szCs w:val="21"/>
        </w:rPr>
        <w:t>2）水旱轮作。稻田早造种黄烟或花生，</w:t>
      </w:r>
      <w:r>
        <w:rPr>
          <w:rFonts w:hint="eastAsia" w:ascii="宋体" w:hAnsi="宋体"/>
          <w:szCs w:val="21"/>
        </w:rPr>
        <w:t>晚</w:t>
      </w:r>
      <w:r>
        <w:rPr>
          <w:rFonts w:ascii="宋体" w:hAnsi="宋体"/>
          <w:szCs w:val="21"/>
        </w:rPr>
        <w:t>造种水稻。既使黄烟、花生避过天</w:t>
      </w:r>
      <w:r>
        <w:rPr>
          <w:rFonts w:hint="eastAsia" w:ascii="宋体" w:hAnsi="宋体"/>
          <w:szCs w:val="21"/>
        </w:rPr>
        <w:t>旱的威胁，又改良了土壤，使晚稻亩产比早稻高出一成以上。</w:t>
      </w:r>
    </w:p>
    <w:p w14:paraId="49447DB7">
      <w:pPr>
        <w:ind w:firstLine="420"/>
        <w:rPr>
          <w:rFonts w:ascii="宋体" w:hAnsi="宋体"/>
          <w:szCs w:val="21"/>
        </w:rPr>
      </w:pPr>
      <w:r>
        <w:rPr>
          <w:rFonts w:hint="eastAsia" w:ascii="宋体" w:hAnsi="宋体"/>
          <w:szCs w:val="21"/>
        </w:rPr>
        <w:t>（</w:t>
      </w:r>
      <w:r>
        <w:rPr>
          <w:rFonts w:ascii="宋体" w:hAnsi="宋体"/>
          <w:szCs w:val="21"/>
        </w:rPr>
        <w:t>3）推广旱育稀植栽培技术。1992年早造在县农科所和24个农技站进行旱育稀</w:t>
      </w:r>
      <w:r>
        <w:rPr>
          <w:rFonts w:hint="eastAsia" w:ascii="宋体" w:hAnsi="宋体"/>
          <w:szCs w:val="21"/>
        </w:rPr>
        <w:t>植技术的试验、示范，共</w:t>
      </w:r>
      <w:r>
        <w:rPr>
          <w:rFonts w:ascii="宋体" w:hAnsi="宋体"/>
          <w:szCs w:val="21"/>
        </w:rPr>
        <w:t>3.35公顷，平均亩产569.8公斤，比当地习惯栽培法亩增121公斤，增率27%。1993年早造推广1133.33公顷，经抽样测产面积49.1公顷，</w:t>
      </w:r>
      <w:r>
        <w:rPr>
          <w:rFonts w:hint="eastAsia" w:ascii="宋体" w:hAnsi="宋体"/>
          <w:szCs w:val="21"/>
        </w:rPr>
        <w:t>平均亩产</w:t>
      </w:r>
      <w:r>
        <w:rPr>
          <w:rFonts w:ascii="宋体" w:hAnsi="宋体"/>
          <w:szCs w:val="21"/>
        </w:rPr>
        <w:t>570.2公斤，比对照田亩增117.9公斤，增率26%。1994年早造推广3600</w:t>
      </w:r>
      <w:r>
        <w:rPr>
          <w:rFonts w:hint="eastAsia" w:ascii="宋体" w:hAnsi="宋体"/>
          <w:szCs w:val="21"/>
        </w:rPr>
        <w:t>公顷，占全市早稻面积</w:t>
      </w:r>
      <w:r>
        <w:rPr>
          <w:rFonts w:ascii="宋体" w:hAnsi="宋体"/>
          <w:szCs w:val="21"/>
        </w:rPr>
        <w:t>36%。1996年推广到7000公顷</w:t>
      </w:r>
      <w:r>
        <w:rPr>
          <w:rFonts w:hint="eastAsia" w:ascii="宋体" w:hAnsi="宋体"/>
          <w:szCs w:val="21"/>
        </w:rPr>
        <w:t>。</w:t>
      </w:r>
    </w:p>
    <w:p w14:paraId="5D8C6FB8">
      <w:pPr>
        <w:ind w:firstLine="420"/>
        <w:rPr>
          <w:rFonts w:ascii="宋体" w:hAnsi="宋体"/>
          <w:szCs w:val="21"/>
        </w:rPr>
      </w:pPr>
      <w:r>
        <w:rPr>
          <w:rFonts w:hint="eastAsia" w:ascii="宋体" w:hAnsi="宋体"/>
          <w:szCs w:val="21"/>
        </w:rPr>
        <w:t>（</w:t>
      </w:r>
      <w:r>
        <w:rPr>
          <w:rFonts w:ascii="宋体" w:hAnsi="宋体"/>
          <w:szCs w:val="21"/>
        </w:rPr>
        <w:t>4）推广抛秧移植技术。1992年至1994年连续3年进行应用研究示范。1995年</w:t>
      </w:r>
      <w:r>
        <w:rPr>
          <w:rFonts w:hint="eastAsia" w:ascii="宋体" w:hAnsi="宋体"/>
          <w:szCs w:val="21"/>
        </w:rPr>
        <w:t>在烟田晚稻推广</w:t>
      </w:r>
      <w:r>
        <w:rPr>
          <w:rFonts w:ascii="宋体" w:hAnsi="宋体"/>
          <w:szCs w:val="21"/>
        </w:rPr>
        <w:t>40公顷，并在24个镇53个点进行对比试验，结果抛秧田平均亩产487.2公斤，手插大秧田平均亩产436.7公斤。抛秧增产率11.6%。1996年推广1666.67公顷，1997年早稻推广2</w:t>
      </w:r>
      <w:r>
        <w:rPr>
          <w:rFonts w:hint="eastAsia" w:ascii="宋体" w:hAnsi="宋体"/>
          <w:szCs w:val="21"/>
        </w:rPr>
        <w:t>66</w:t>
      </w:r>
      <w:r>
        <w:rPr>
          <w:rFonts w:ascii="宋体" w:hAnsi="宋体"/>
          <w:szCs w:val="21"/>
        </w:rPr>
        <w:t>6.67公顷，中、晚造推广7000公顷。</w:t>
      </w:r>
    </w:p>
    <w:p w14:paraId="568A0C82">
      <w:pPr>
        <w:ind w:firstLine="420"/>
        <w:rPr>
          <w:rFonts w:ascii="宋体" w:hAnsi="宋体"/>
          <w:szCs w:val="21"/>
        </w:rPr>
      </w:pPr>
      <w:r>
        <w:rPr>
          <w:rFonts w:hint="eastAsia" w:ascii="宋体" w:hAnsi="宋体"/>
          <w:szCs w:val="21"/>
        </w:rPr>
        <w:t>此外，做好稻瘟病、纹枯病、三化螟、稻飞虱等病虫害防治。</w:t>
      </w:r>
    </w:p>
    <w:p w14:paraId="2AB65245">
      <w:pPr>
        <w:ind w:firstLine="422"/>
        <w:rPr>
          <w:rFonts w:ascii="宋体" w:hAnsi="宋体"/>
          <w:b/>
          <w:szCs w:val="21"/>
        </w:rPr>
      </w:pPr>
      <w:r>
        <w:rPr>
          <w:rFonts w:ascii="宋体" w:hAnsi="宋体"/>
          <w:b/>
          <w:szCs w:val="21"/>
        </w:rPr>
        <w:t>2.薯类</w:t>
      </w:r>
    </w:p>
    <w:p w14:paraId="11864D41">
      <w:pPr>
        <w:ind w:firstLine="420"/>
        <w:rPr>
          <w:rFonts w:ascii="宋体" w:hAnsi="宋体"/>
          <w:szCs w:val="21"/>
        </w:rPr>
      </w:pPr>
      <w:r>
        <w:rPr>
          <w:rFonts w:hint="eastAsia" w:ascii="宋体" w:hAnsi="宋体"/>
          <w:szCs w:val="21"/>
        </w:rPr>
        <w:t>番薯。是南雄主要杂粮，多利用旱地黄烟收完后接茬种植。种植面积受立秋前雨水状况制约，单位面积产量依秋冬干旱程度而定。最多的</w:t>
      </w:r>
      <w:r>
        <w:rPr>
          <w:rFonts w:ascii="宋体" w:hAnsi="宋体"/>
          <w:szCs w:val="21"/>
        </w:rPr>
        <w:t>1955年种植面积7325.53</w:t>
      </w:r>
      <w:r>
        <w:rPr>
          <w:rFonts w:hint="eastAsia" w:ascii="宋体" w:hAnsi="宋体"/>
          <w:szCs w:val="21"/>
        </w:rPr>
        <w:t>公顷，总产（折谷，下同）</w:t>
      </w:r>
      <w:r>
        <w:rPr>
          <w:rFonts w:ascii="宋体" w:hAnsi="宋体"/>
          <w:szCs w:val="21"/>
        </w:rPr>
        <w:t>26957吨，亩均245公斤，种植面积最少的是1978年，</w:t>
      </w:r>
      <w:r>
        <w:rPr>
          <w:rFonts w:hint="eastAsia" w:ascii="宋体" w:hAnsi="宋体"/>
          <w:szCs w:val="21"/>
        </w:rPr>
        <w:t>只有</w:t>
      </w:r>
      <w:r>
        <w:rPr>
          <w:rFonts w:ascii="宋体" w:hAnsi="宋体"/>
          <w:szCs w:val="21"/>
        </w:rPr>
        <w:t>1645.33公顷，亩均产量42公斤。</w:t>
      </w:r>
    </w:p>
    <w:p w14:paraId="2DF4924F">
      <w:pPr>
        <w:ind w:firstLine="420"/>
        <w:rPr>
          <w:rFonts w:ascii="宋体" w:hAnsi="宋体"/>
          <w:szCs w:val="21"/>
        </w:rPr>
      </w:pPr>
      <w:r>
        <w:rPr>
          <w:rFonts w:ascii="宋体" w:hAnsi="宋体"/>
          <w:szCs w:val="21"/>
        </w:rPr>
        <w:t>1988年至2004年种植面积在3333.33公顷～4666.67公顷之间，因水利设施有</w:t>
      </w:r>
      <w:r>
        <w:rPr>
          <w:rFonts w:hint="eastAsia" w:ascii="宋体" w:hAnsi="宋体"/>
          <w:szCs w:val="21"/>
        </w:rPr>
        <w:t>所改善，品种亦有更新，产量比较稳定。</w:t>
      </w:r>
      <w:r>
        <w:rPr>
          <w:rFonts w:ascii="宋体" w:hAnsi="宋体"/>
          <w:szCs w:val="21"/>
        </w:rPr>
        <w:t>2004年种植面积4426.6公顷，亩产193公</w:t>
      </w:r>
      <w:r>
        <w:rPr>
          <w:rFonts w:hint="eastAsia" w:ascii="宋体" w:hAnsi="宋体"/>
          <w:szCs w:val="21"/>
        </w:rPr>
        <w:t>斤。</w:t>
      </w:r>
    </w:p>
    <w:p w14:paraId="5F90294C">
      <w:pPr>
        <w:ind w:firstLine="420"/>
        <w:rPr>
          <w:rFonts w:ascii="宋体" w:hAnsi="宋体"/>
          <w:szCs w:val="21"/>
        </w:rPr>
      </w:pPr>
      <w:r>
        <w:rPr>
          <w:rFonts w:hint="eastAsia" w:ascii="宋体" w:hAnsi="宋体"/>
          <w:szCs w:val="21"/>
        </w:rPr>
        <w:t>芋头。历史习惯用作蔬菜自产自吃，每户均少量生产。茄叶芋浆是农家的秋季常菜。</w:t>
      </w:r>
      <w:r>
        <w:rPr>
          <w:rFonts w:ascii="宋体" w:hAnsi="宋体"/>
          <w:szCs w:val="21"/>
        </w:rPr>
        <w:t>1980年以后，为适应市场需要，改种香芋者增多，产品供应当地蔬菜市场，仍</w:t>
      </w:r>
      <w:r>
        <w:rPr>
          <w:rFonts w:hint="eastAsia" w:ascii="宋体" w:hAnsi="宋体"/>
          <w:szCs w:val="21"/>
        </w:rPr>
        <w:t>属小量种植。</w:t>
      </w:r>
    </w:p>
    <w:p w14:paraId="546CA530">
      <w:pPr>
        <w:ind w:firstLine="420"/>
        <w:rPr>
          <w:rFonts w:ascii="宋体" w:hAnsi="宋体"/>
          <w:szCs w:val="21"/>
        </w:rPr>
      </w:pPr>
      <w:r>
        <w:rPr>
          <w:rFonts w:hint="eastAsia" w:ascii="宋体" w:hAnsi="宋体"/>
          <w:szCs w:val="21"/>
        </w:rPr>
        <w:t>木薯。</w:t>
      </w:r>
      <w:r>
        <w:rPr>
          <w:rFonts w:ascii="宋体" w:hAnsi="宋体"/>
          <w:szCs w:val="21"/>
        </w:rPr>
        <w:t>1958年推广种植27.13公顷，主要用作猪饲料。今已无人种植。</w:t>
      </w:r>
    </w:p>
    <w:p w14:paraId="0793979F">
      <w:pPr>
        <w:ind w:firstLine="420"/>
        <w:rPr>
          <w:rFonts w:ascii="宋体" w:hAnsi="宋体"/>
          <w:szCs w:val="21"/>
        </w:rPr>
      </w:pPr>
      <w:r>
        <w:rPr>
          <w:rFonts w:hint="eastAsia" w:ascii="宋体" w:hAnsi="宋体"/>
          <w:szCs w:val="21"/>
        </w:rPr>
        <w:t>马铃薯。</w:t>
      </w:r>
      <w:r>
        <w:rPr>
          <w:rFonts w:ascii="宋体" w:hAnsi="宋体"/>
          <w:szCs w:val="21"/>
        </w:rPr>
        <w:t>1980年以前，曾作为救灾作物，从北方调入种薯，号召生产队种植</w:t>
      </w:r>
      <w:r>
        <w:rPr>
          <w:rFonts w:hint="eastAsia" w:ascii="宋体" w:hAnsi="宋体"/>
          <w:szCs w:val="21"/>
        </w:rPr>
        <w:t>。</w:t>
      </w:r>
      <w:r>
        <w:rPr>
          <w:rFonts w:ascii="宋体" w:hAnsi="宋体"/>
          <w:szCs w:val="21"/>
        </w:rPr>
        <w:t>1981年以后，没有种植。2004年又引进种植3.33多公顷，亩产1000公斤左右</w:t>
      </w:r>
      <w:r>
        <w:rPr>
          <w:rFonts w:hint="eastAsia" w:ascii="宋体" w:hAnsi="宋体"/>
          <w:szCs w:val="21"/>
        </w:rPr>
        <w:t>。</w:t>
      </w:r>
    </w:p>
    <w:p w14:paraId="2CBDC454">
      <w:pPr>
        <w:ind w:firstLine="422"/>
        <w:rPr>
          <w:rFonts w:ascii="宋体" w:hAnsi="宋体"/>
          <w:b/>
          <w:szCs w:val="21"/>
        </w:rPr>
      </w:pPr>
      <w:r>
        <w:rPr>
          <w:rFonts w:ascii="宋体" w:hAnsi="宋体"/>
          <w:b/>
          <w:szCs w:val="21"/>
        </w:rPr>
        <w:t>3.旱粮</w:t>
      </w:r>
    </w:p>
    <w:p w14:paraId="4ABDD511">
      <w:pPr>
        <w:ind w:firstLine="420"/>
        <w:rPr>
          <w:rFonts w:ascii="宋体" w:hAnsi="宋体"/>
          <w:szCs w:val="21"/>
        </w:rPr>
      </w:pPr>
      <w:r>
        <w:rPr>
          <w:rFonts w:hint="eastAsia" w:ascii="宋体" w:hAnsi="宋体"/>
          <w:szCs w:val="21"/>
        </w:rPr>
        <w:t>小麦。历史习惯是黄烟收后种番薯，番薯收后种小麦，翌年在麦行间套种花生（蔓生种）。</w:t>
      </w:r>
      <w:r>
        <w:rPr>
          <w:rFonts w:ascii="宋体" w:hAnsi="宋体"/>
          <w:szCs w:val="21"/>
        </w:rPr>
        <w:t>1957年种植面积曾达2000余公顷，因对花生产量影响大，加上小麦锈病</w:t>
      </w:r>
      <w:r>
        <w:rPr>
          <w:rFonts w:hint="eastAsia" w:ascii="宋体" w:hAnsi="宋体"/>
          <w:szCs w:val="21"/>
        </w:rPr>
        <w:t>严重，产量不高，</w:t>
      </w:r>
      <w:r>
        <w:rPr>
          <w:rFonts w:ascii="宋体" w:hAnsi="宋体"/>
          <w:szCs w:val="21"/>
        </w:rPr>
        <w:t>1986年起停种</w:t>
      </w:r>
      <w:r>
        <w:rPr>
          <w:rFonts w:hint="eastAsia" w:ascii="宋体" w:hAnsi="宋体"/>
          <w:szCs w:val="21"/>
        </w:rPr>
        <w:t>。</w:t>
      </w:r>
    </w:p>
    <w:p w14:paraId="5489A69A">
      <w:pPr>
        <w:ind w:firstLine="420"/>
        <w:rPr>
          <w:rFonts w:ascii="宋体" w:hAnsi="宋体"/>
          <w:szCs w:val="21"/>
        </w:rPr>
      </w:pPr>
      <w:r>
        <w:rPr>
          <w:rFonts w:hint="eastAsia" w:ascii="宋体" w:hAnsi="宋体"/>
          <w:szCs w:val="21"/>
        </w:rPr>
        <w:t>豌豆。烟区有种植习惯，品种为白花白粒种。种植方式如小麦，翌年春花生在豌豆行间套种，产量低，有的在稻田种植又影响早稻季节，故种植面积渐少。</w:t>
      </w:r>
      <w:r>
        <w:rPr>
          <w:rFonts w:ascii="宋体" w:hAnsi="宋体"/>
          <w:szCs w:val="21"/>
        </w:rPr>
        <w:t>1955年</w:t>
      </w:r>
      <w:r>
        <w:rPr>
          <w:rFonts w:hint="eastAsia" w:ascii="宋体" w:hAnsi="宋体"/>
          <w:szCs w:val="21"/>
        </w:rPr>
        <w:t>种植面积曾达</w:t>
      </w:r>
      <w:r>
        <w:rPr>
          <w:rFonts w:ascii="宋体" w:hAnsi="宋体"/>
          <w:szCs w:val="21"/>
        </w:rPr>
        <w:t>2103.93公顷，至1987年只有93.53公顷，亩产93公斤。1994年仅12</w:t>
      </w:r>
      <w:r>
        <w:rPr>
          <w:rFonts w:hint="eastAsia" w:ascii="宋体" w:hAnsi="宋体"/>
          <w:szCs w:val="21"/>
        </w:rPr>
        <w:t>公顷，亩产</w:t>
      </w:r>
      <w:r>
        <w:rPr>
          <w:rFonts w:ascii="宋体" w:hAnsi="宋体"/>
          <w:szCs w:val="21"/>
        </w:rPr>
        <w:t>116公斤。以后引进红花麻粒种（又称荷兰眉）作为蔬菜供应市场。近</w:t>
      </w:r>
      <w:r>
        <w:rPr>
          <w:rFonts w:hint="eastAsia" w:ascii="宋体" w:hAnsi="宋体"/>
          <w:szCs w:val="21"/>
        </w:rPr>
        <w:t>年种植面积</w:t>
      </w:r>
      <w:r>
        <w:rPr>
          <w:rFonts w:ascii="宋体" w:hAnsi="宋体"/>
          <w:szCs w:val="21"/>
        </w:rPr>
        <w:t>200公顷左右。2004年种植227.47公顷，亩均产量135公斤</w:t>
      </w:r>
      <w:r>
        <w:rPr>
          <w:rFonts w:hint="eastAsia" w:ascii="宋体" w:hAnsi="宋体"/>
          <w:szCs w:val="21"/>
        </w:rPr>
        <w:t>。</w:t>
      </w:r>
    </w:p>
    <w:p w14:paraId="4E7CDB10">
      <w:pPr>
        <w:ind w:firstLine="420"/>
        <w:rPr>
          <w:rFonts w:ascii="宋体" w:hAnsi="宋体"/>
          <w:szCs w:val="21"/>
        </w:rPr>
      </w:pPr>
      <w:r>
        <w:rPr>
          <w:rFonts w:hint="eastAsia" w:ascii="宋体" w:hAnsi="宋体"/>
          <w:szCs w:val="21"/>
        </w:rPr>
        <w:t>高粱。历史习惯采用育苗移植法，在春花生除草追肥后定植于花生地块边缘，产量很低，主要用作岁时节日做糍粑的原料。</w:t>
      </w:r>
      <w:r>
        <w:rPr>
          <w:rFonts w:ascii="宋体" w:hAnsi="宋体"/>
          <w:szCs w:val="21"/>
        </w:rPr>
        <w:t>1987年后花生品种多改丛生型早熟种，</w:t>
      </w:r>
      <w:r>
        <w:rPr>
          <w:rFonts w:hint="eastAsia" w:ascii="宋体" w:hAnsi="宋体"/>
          <w:szCs w:val="21"/>
        </w:rPr>
        <w:t>不适应套种高梁，面积渐减。近年只有零星种植。</w:t>
      </w:r>
    </w:p>
    <w:p w14:paraId="291AE185">
      <w:pPr>
        <w:ind w:firstLine="420"/>
        <w:rPr>
          <w:rFonts w:ascii="宋体" w:hAnsi="宋体"/>
          <w:szCs w:val="21"/>
        </w:rPr>
      </w:pPr>
      <w:r>
        <w:rPr>
          <w:rFonts w:hint="eastAsia" w:ascii="宋体" w:hAnsi="宋体"/>
          <w:szCs w:val="21"/>
        </w:rPr>
        <w:t>玉米。历史习惯在菜地少量间种，供小孩零食用。人民公社时期，曾引种北方玉米品种，因不适合本地气候土壤，没有推广。</w:t>
      </w:r>
      <w:r>
        <w:rPr>
          <w:rFonts w:ascii="宋体" w:hAnsi="宋体"/>
          <w:szCs w:val="21"/>
        </w:rPr>
        <w:t>1984年又引进杂交玉米试种，1990年</w:t>
      </w:r>
      <w:r>
        <w:rPr>
          <w:rFonts w:hint="eastAsia" w:ascii="宋体" w:hAnsi="宋体"/>
          <w:szCs w:val="21"/>
        </w:rPr>
        <w:t>扩种至</w:t>
      </w:r>
      <w:r>
        <w:rPr>
          <w:rFonts w:ascii="宋体" w:hAnsi="宋体"/>
          <w:szCs w:val="21"/>
        </w:rPr>
        <w:t>394.67公顷，亩产156公斤，主要用作养猪精饲料。1995年引进甜玉米品种，</w:t>
      </w:r>
      <w:r>
        <w:rPr>
          <w:rFonts w:hint="eastAsia" w:ascii="宋体" w:hAnsi="宋体"/>
          <w:szCs w:val="21"/>
        </w:rPr>
        <w:t>作为果菜供应市场。</w:t>
      </w:r>
      <w:r>
        <w:rPr>
          <w:rFonts w:ascii="宋体" w:hAnsi="宋体"/>
          <w:szCs w:val="21"/>
        </w:rPr>
        <w:t>2000年扩种至1623.33公顷，亩产197公斤。近年受市场制约，</w:t>
      </w:r>
      <w:r>
        <w:rPr>
          <w:rFonts w:hint="eastAsia" w:ascii="宋体" w:hAnsi="宋体"/>
          <w:szCs w:val="21"/>
        </w:rPr>
        <w:t>面积有所减少。</w:t>
      </w:r>
      <w:r>
        <w:rPr>
          <w:rFonts w:ascii="宋体" w:hAnsi="宋体"/>
          <w:szCs w:val="21"/>
        </w:rPr>
        <w:t>2004年仍有1044.33公顷，总产3326吨，亩均212公斤</w:t>
      </w:r>
      <w:r>
        <w:rPr>
          <w:rFonts w:hint="eastAsia" w:ascii="宋体" w:hAnsi="宋体"/>
          <w:szCs w:val="21"/>
        </w:rPr>
        <w:t>。</w:t>
      </w:r>
    </w:p>
    <w:p w14:paraId="0789D4F5">
      <w:pPr>
        <w:ind w:firstLine="420"/>
        <w:rPr>
          <w:rFonts w:ascii="宋体" w:hAnsi="宋体"/>
          <w:szCs w:val="21"/>
        </w:rPr>
      </w:pPr>
      <w:r>
        <w:rPr>
          <w:rFonts w:hint="eastAsia" w:ascii="宋体" w:hAnsi="宋体"/>
          <w:szCs w:val="21"/>
        </w:rPr>
        <w:t>其他旱粮（饭豆、绿豆、狗尾粟等）。除山区外，均有少量种植。多在黄烟、花生地边间种，整块地种植者少。近年种植面积只有</w:t>
      </w:r>
      <w:r>
        <w:rPr>
          <w:rFonts w:ascii="宋体" w:hAnsi="宋体"/>
          <w:szCs w:val="21"/>
        </w:rPr>
        <w:t>66.67公顷～133.33公顷。</w:t>
      </w:r>
    </w:p>
    <w:p w14:paraId="732DB338">
      <w:pPr>
        <w:ind w:firstLine="422"/>
        <w:rPr>
          <w:rFonts w:ascii="宋体" w:hAnsi="宋体"/>
          <w:b/>
          <w:szCs w:val="21"/>
        </w:rPr>
      </w:pPr>
      <w:r>
        <w:rPr>
          <w:rFonts w:hint="eastAsia" w:ascii="宋体" w:hAnsi="宋体"/>
          <w:b/>
          <w:szCs w:val="21"/>
        </w:rPr>
        <w:t>（三）粮食作物产量</w:t>
      </w:r>
    </w:p>
    <w:p w14:paraId="093773C5">
      <w:pPr>
        <w:ind w:firstLine="420"/>
        <w:rPr>
          <w:rFonts w:ascii="宋体" w:hAnsi="宋体"/>
          <w:szCs w:val="21"/>
        </w:rPr>
      </w:pPr>
      <w:r>
        <w:rPr>
          <w:rFonts w:hint="eastAsia" w:ascii="宋体" w:hAnsi="宋体"/>
          <w:szCs w:val="21"/>
        </w:rPr>
        <w:t>南雄粮食作物产量，民国时期一般年成三四万吨。较低的民国</w:t>
      </w:r>
      <w:r>
        <w:rPr>
          <w:rFonts w:ascii="宋体" w:hAnsi="宋体"/>
          <w:szCs w:val="21"/>
        </w:rPr>
        <w:t>17年（1926年）</w:t>
      </w:r>
      <w:r>
        <w:rPr>
          <w:rFonts w:hint="eastAsia" w:ascii="宋体" w:hAnsi="宋体"/>
          <w:szCs w:val="21"/>
        </w:rPr>
        <w:t>主杂粮合计</w:t>
      </w:r>
      <w:r>
        <w:rPr>
          <w:rFonts w:ascii="宋体" w:hAnsi="宋体"/>
          <w:szCs w:val="21"/>
        </w:rPr>
        <w:t>3.66万吨，较高的民国28年总产5.238万吨。新中国成立后，历年粮食</w:t>
      </w:r>
      <w:r>
        <w:rPr>
          <w:rFonts w:hint="eastAsia" w:ascii="宋体" w:hAnsi="宋体"/>
          <w:szCs w:val="21"/>
        </w:rPr>
        <w:t>产量详见表</w:t>
      </w:r>
      <w:r>
        <w:rPr>
          <w:rFonts w:ascii="宋体" w:hAnsi="宋体"/>
          <w:szCs w:val="21"/>
        </w:rPr>
        <w:t>2-7</w:t>
      </w:r>
      <w:r>
        <w:rPr>
          <w:rFonts w:hint="eastAsia" w:ascii="宋体" w:hAnsi="宋体"/>
          <w:szCs w:val="21"/>
        </w:rPr>
        <w:t>：</w:t>
      </w:r>
    </w:p>
    <w:p w14:paraId="2AF0046C">
      <w:pPr>
        <w:ind w:firstLine="0" w:firstLineChars="0"/>
        <w:jc w:val="center"/>
        <w:rPr>
          <w:rFonts w:ascii="宋体" w:hAnsi="宋体"/>
          <w:b/>
          <w:szCs w:val="21"/>
        </w:rPr>
      </w:pPr>
      <w:r>
        <w:rPr>
          <w:rFonts w:hint="eastAsia" w:ascii="宋体" w:hAnsi="宋体"/>
          <w:b/>
          <w:szCs w:val="21"/>
        </w:rPr>
        <w:t>南雄市</w:t>
      </w:r>
      <w:r>
        <w:rPr>
          <w:rFonts w:ascii="宋体" w:hAnsi="宋体"/>
          <w:b/>
          <w:szCs w:val="21"/>
        </w:rPr>
        <w:t>1978年至2004年粮食产量统计</w:t>
      </w:r>
    </w:p>
    <w:p w14:paraId="343F1985">
      <w:pPr>
        <w:ind w:firstLine="0" w:firstLineChars="0"/>
        <w:rPr>
          <w:rFonts w:ascii="宋体" w:hAnsi="宋体"/>
          <w:b/>
          <w:szCs w:val="21"/>
        </w:rPr>
      </w:pPr>
      <w:r>
        <w:rPr>
          <w:rFonts w:ascii="宋体" w:hAnsi="宋体"/>
          <w:b/>
          <w:szCs w:val="21"/>
        </w:rPr>
        <w:t>表2-7</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22"/>
        <w:gridCol w:w="1422"/>
        <w:gridCol w:w="1422"/>
        <w:gridCol w:w="1425"/>
        <w:gridCol w:w="1425"/>
        <w:gridCol w:w="1425"/>
        <w:gridCol w:w="1421"/>
      </w:tblGrid>
      <w:tr w14:paraId="0C8E5F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Merge w:val="restart"/>
            <w:vAlign w:val="center"/>
          </w:tcPr>
          <w:p w14:paraId="34621FAB">
            <w:pPr>
              <w:pStyle w:val="12"/>
              <w:jc w:val="center"/>
              <w:rPr>
                <w:rFonts w:ascii="宋体" w:hAnsi="宋体"/>
                <w:b/>
              </w:rPr>
            </w:pPr>
            <w:r>
              <w:rPr>
                <w:rFonts w:hint="eastAsia" w:ascii="宋体" w:hAnsi="宋体"/>
                <w:b/>
              </w:rPr>
              <w:t>年份</w:t>
            </w:r>
          </w:p>
        </w:tc>
        <w:tc>
          <w:tcPr>
            <w:tcW w:w="714" w:type="pct"/>
            <w:vMerge w:val="restart"/>
            <w:vAlign w:val="center"/>
          </w:tcPr>
          <w:p w14:paraId="146B6C80">
            <w:pPr>
              <w:pStyle w:val="12"/>
              <w:jc w:val="center"/>
              <w:rPr>
                <w:rFonts w:ascii="宋体" w:hAnsi="宋体"/>
                <w:b/>
              </w:rPr>
            </w:pPr>
            <w:r>
              <w:rPr>
                <w:rFonts w:hint="eastAsia" w:ascii="宋体" w:hAnsi="宋体"/>
                <w:b/>
              </w:rPr>
              <w:t>粮食播种面积（亩）</w:t>
            </w:r>
          </w:p>
        </w:tc>
        <w:tc>
          <w:tcPr>
            <w:tcW w:w="714" w:type="pct"/>
            <w:vMerge w:val="restart"/>
            <w:vAlign w:val="center"/>
          </w:tcPr>
          <w:p w14:paraId="5F26702A">
            <w:pPr>
              <w:pStyle w:val="12"/>
              <w:jc w:val="center"/>
              <w:rPr>
                <w:rFonts w:ascii="宋体" w:hAnsi="宋体"/>
                <w:b/>
              </w:rPr>
            </w:pPr>
            <w:r>
              <w:rPr>
                <w:rFonts w:hint="eastAsia" w:ascii="宋体" w:hAnsi="宋体"/>
                <w:b/>
              </w:rPr>
              <w:t>粮食总产量（吨）</w:t>
            </w:r>
          </w:p>
        </w:tc>
        <w:tc>
          <w:tcPr>
            <w:tcW w:w="715" w:type="pct"/>
            <w:vMerge w:val="restart"/>
            <w:vAlign w:val="center"/>
          </w:tcPr>
          <w:p w14:paraId="35AB35BA">
            <w:pPr>
              <w:pStyle w:val="12"/>
              <w:jc w:val="center"/>
              <w:rPr>
                <w:rFonts w:ascii="宋体" w:hAnsi="宋体"/>
                <w:b/>
              </w:rPr>
            </w:pPr>
            <w:r>
              <w:rPr>
                <w:rFonts w:hint="eastAsia" w:ascii="宋体" w:hAnsi="宋体"/>
                <w:b/>
              </w:rPr>
              <w:t>粮食平均亩产（公斤）</w:t>
            </w:r>
          </w:p>
        </w:tc>
        <w:tc>
          <w:tcPr>
            <w:tcW w:w="2144" w:type="pct"/>
            <w:gridSpan w:val="3"/>
            <w:vAlign w:val="center"/>
          </w:tcPr>
          <w:p w14:paraId="438EB66B">
            <w:pPr>
              <w:pStyle w:val="12"/>
              <w:jc w:val="center"/>
              <w:rPr>
                <w:rFonts w:ascii="宋体" w:hAnsi="宋体"/>
                <w:b/>
              </w:rPr>
            </w:pPr>
            <w:r>
              <w:rPr>
                <w:rFonts w:hint="eastAsia" w:ascii="宋体" w:hAnsi="宋体"/>
                <w:b/>
              </w:rPr>
              <w:t>其  中</w:t>
            </w:r>
          </w:p>
        </w:tc>
      </w:tr>
      <w:tr w14:paraId="19AB3A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14:paraId="25E31BD1">
            <w:pPr>
              <w:pStyle w:val="12"/>
              <w:jc w:val="center"/>
              <w:rPr>
                <w:rFonts w:ascii="宋体" w:hAnsi="宋体"/>
                <w:b/>
              </w:rPr>
            </w:pPr>
          </w:p>
        </w:tc>
        <w:tc>
          <w:tcPr>
            <w:tcW w:w="714" w:type="pct"/>
            <w:vMerge w:val="continue"/>
            <w:vAlign w:val="center"/>
          </w:tcPr>
          <w:p w14:paraId="3C2C30EF">
            <w:pPr>
              <w:pStyle w:val="12"/>
              <w:jc w:val="center"/>
              <w:rPr>
                <w:rFonts w:ascii="宋体" w:hAnsi="宋体"/>
                <w:b/>
              </w:rPr>
            </w:pPr>
          </w:p>
        </w:tc>
        <w:tc>
          <w:tcPr>
            <w:tcW w:w="714" w:type="pct"/>
            <w:vMerge w:val="continue"/>
            <w:vAlign w:val="center"/>
          </w:tcPr>
          <w:p w14:paraId="6C75BF26">
            <w:pPr>
              <w:pStyle w:val="12"/>
              <w:jc w:val="center"/>
              <w:rPr>
                <w:rFonts w:ascii="宋体" w:hAnsi="宋体"/>
                <w:b/>
              </w:rPr>
            </w:pPr>
          </w:p>
        </w:tc>
        <w:tc>
          <w:tcPr>
            <w:tcW w:w="715" w:type="pct"/>
            <w:vMerge w:val="continue"/>
            <w:vAlign w:val="center"/>
          </w:tcPr>
          <w:p w14:paraId="1B634B77">
            <w:pPr>
              <w:pStyle w:val="12"/>
              <w:jc w:val="center"/>
              <w:rPr>
                <w:rFonts w:ascii="宋体" w:hAnsi="宋体"/>
                <w:b/>
              </w:rPr>
            </w:pPr>
          </w:p>
        </w:tc>
        <w:tc>
          <w:tcPr>
            <w:tcW w:w="715" w:type="pct"/>
            <w:vAlign w:val="center"/>
          </w:tcPr>
          <w:p w14:paraId="5D633FB0">
            <w:pPr>
              <w:pStyle w:val="12"/>
              <w:jc w:val="center"/>
              <w:rPr>
                <w:rFonts w:ascii="宋体" w:hAnsi="宋体"/>
                <w:b/>
              </w:rPr>
            </w:pPr>
            <w:r>
              <w:rPr>
                <w:rFonts w:hint="eastAsia" w:ascii="宋体" w:hAnsi="宋体"/>
                <w:b/>
              </w:rPr>
              <w:t>水稻播种面积（亩）</w:t>
            </w:r>
          </w:p>
        </w:tc>
        <w:tc>
          <w:tcPr>
            <w:tcW w:w="715" w:type="pct"/>
            <w:vAlign w:val="center"/>
          </w:tcPr>
          <w:p w14:paraId="5CC496EE">
            <w:pPr>
              <w:pStyle w:val="12"/>
              <w:jc w:val="center"/>
              <w:rPr>
                <w:rFonts w:ascii="宋体" w:hAnsi="宋体"/>
                <w:b/>
              </w:rPr>
            </w:pPr>
            <w:r>
              <w:rPr>
                <w:rFonts w:hint="eastAsia" w:ascii="宋体" w:hAnsi="宋体"/>
                <w:b/>
              </w:rPr>
              <w:t>稻谷总产量（吨）</w:t>
            </w:r>
          </w:p>
        </w:tc>
        <w:tc>
          <w:tcPr>
            <w:tcW w:w="715" w:type="pct"/>
            <w:vAlign w:val="center"/>
          </w:tcPr>
          <w:p w14:paraId="204E88E6">
            <w:pPr>
              <w:pStyle w:val="12"/>
              <w:jc w:val="center"/>
              <w:rPr>
                <w:rFonts w:ascii="宋体" w:hAnsi="宋体"/>
                <w:b/>
              </w:rPr>
            </w:pPr>
            <w:r>
              <w:rPr>
                <w:rFonts w:hint="eastAsia" w:ascii="宋体" w:hAnsi="宋体"/>
                <w:b/>
              </w:rPr>
              <w:t>水稻平均亩产（公斤）</w:t>
            </w:r>
          </w:p>
        </w:tc>
      </w:tr>
      <w:tr w14:paraId="12DB65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9DE2E53">
            <w:pPr>
              <w:pStyle w:val="12"/>
              <w:jc w:val="center"/>
              <w:rPr>
                <w:rFonts w:ascii="宋体" w:hAnsi="宋体"/>
              </w:rPr>
            </w:pPr>
            <w:r>
              <w:rPr>
                <w:rFonts w:ascii="宋体" w:hAnsi="宋体"/>
              </w:rPr>
              <w:t>1978</w:t>
            </w:r>
          </w:p>
        </w:tc>
        <w:tc>
          <w:tcPr>
            <w:tcW w:w="714" w:type="pct"/>
            <w:vAlign w:val="center"/>
          </w:tcPr>
          <w:p w14:paraId="303A114E">
            <w:pPr>
              <w:pStyle w:val="12"/>
              <w:jc w:val="center"/>
              <w:rPr>
                <w:rFonts w:ascii="宋体" w:hAnsi="宋体"/>
              </w:rPr>
            </w:pPr>
            <w:r>
              <w:rPr>
                <w:rFonts w:ascii="宋体" w:hAnsi="宋体"/>
              </w:rPr>
              <w:t>649125</w:t>
            </w:r>
          </w:p>
        </w:tc>
        <w:tc>
          <w:tcPr>
            <w:tcW w:w="714" w:type="pct"/>
            <w:vAlign w:val="center"/>
          </w:tcPr>
          <w:p w14:paraId="2B1412D3">
            <w:pPr>
              <w:pStyle w:val="12"/>
              <w:jc w:val="center"/>
              <w:rPr>
                <w:rFonts w:ascii="宋体" w:hAnsi="宋体"/>
              </w:rPr>
            </w:pPr>
            <w:r>
              <w:rPr>
                <w:rFonts w:ascii="宋体" w:hAnsi="宋体"/>
              </w:rPr>
              <w:t>134592.4</w:t>
            </w:r>
          </w:p>
        </w:tc>
        <w:tc>
          <w:tcPr>
            <w:tcW w:w="715" w:type="pct"/>
            <w:vAlign w:val="center"/>
          </w:tcPr>
          <w:p w14:paraId="3E74C499">
            <w:pPr>
              <w:pStyle w:val="12"/>
              <w:jc w:val="center"/>
              <w:rPr>
                <w:rFonts w:ascii="宋体" w:hAnsi="宋体"/>
              </w:rPr>
            </w:pPr>
            <w:r>
              <w:rPr>
                <w:rFonts w:ascii="宋体" w:hAnsi="宋体"/>
              </w:rPr>
              <w:t>207.3</w:t>
            </w:r>
          </w:p>
        </w:tc>
        <w:tc>
          <w:tcPr>
            <w:tcW w:w="715" w:type="pct"/>
            <w:vAlign w:val="center"/>
          </w:tcPr>
          <w:p w14:paraId="44E2784E">
            <w:pPr>
              <w:pStyle w:val="12"/>
              <w:jc w:val="center"/>
              <w:rPr>
                <w:rFonts w:ascii="宋体" w:hAnsi="宋体"/>
              </w:rPr>
            </w:pPr>
            <w:r>
              <w:rPr>
                <w:rFonts w:ascii="宋体" w:hAnsi="宋体"/>
              </w:rPr>
              <w:t>596041</w:t>
            </w:r>
          </w:p>
        </w:tc>
        <w:tc>
          <w:tcPr>
            <w:tcW w:w="715" w:type="pct"/>
            <w:vAlign w:val="center"/>
          </w:tcPr>
          <w:p w14:paraId="56387437">
            <w:pPr>
              <w:pStyle w:val="12"/>
              <w:jc w:val="center"/>
              <w:rPr>
                <w:rFonts w:ascii="宋体" w:hAnsi="宋体"/>
              </w:rPr>
            </w:pPr>
            <w:r>
              <w:rPr>
                <w:rFonts w:ascii="宋体" w:hAnsi="宋体"/>
              </w:rPr>
              <w:t>131639</w:t>
            </w:r>
          </w:p>
        </w:tc>
        <w:tc>
          <w:tcPr>
            <w:tcW w:w="715" w:type="pct"/>
            <w:vAlign w:val="center"/>
          </w:tcPr>
          <w:p w14:paraId="07196BA6">
            <w:pPr>
              <w:pStyle w:val="12"/>
              <w:jc w:val="center"/>
              <w:rPr>
                <w:rFonts w:ascii="宋体" w:hAnsi="宋体"/>
              </w:rPr>
            </w:pPr>
            <w:r>
              <w:rPr>
                <w:rFonts w:ascii="宋体" w:hAnsi="宋体"/>
              </w:rPr>
              <w:t>220.8</w:t>
            </w:r>
          </w:p>
        </w:tc>
      </w:tr>
      <w:tr w14:paraId="7FE347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4E3C8884">
            <w:pPr>
              <w:pStyle w:val="12"/>
              <w:jc w:val="center"/>
              <w:rPr>
                <w:rFonts w:ascii="宋体" w:hAnsi="宋体"/>
              </w:rPr>
            </w:pPr>
            <w:r>
              <w:rPr>
                <w:rFonts w:ascii="宋体" w:hAnsi="宋体"/>
              </w:rPr>
              <w:t>1979</w:t>
            </w:r>
          </w:p>
        </w:tc>
        <w:tc>
          <w:tcPr>
            <w:tcW w:w="714" w:type="pct"/>
            <w:vAlign w:val="center"/>
          </w:tcPr>
          <w:p w14:paraId="4E693829">
            <w:pPr>
              <w:pStyle w:val="12"/>
              <w:jc w:val="center"/>
              <w:rPr>
                <w:rFonts w:ascii="宋体" w:hAnsi="宋体"/>
              </w:rPr>
            </w:pPr>
            <w:r>
              <w:rPr>
                <w:rFonts w:ascii="宋体" w:hAnsi="宋体"/>
              </w:rPr>
              <w:t>653504</w:t>
            </w:r>
          </w:p>
        </w:tc>
        <w:tc>
          <w:tcPr>
            <w:tcW w:w="714" w:type="pct"/>
            <w:vAlign w:val="center"/>
          </w:tcPr>
          <w:p w14:paraId="412F9DE4">
            <w:pPr>
              <w:pStyle w:val="12"/>
              <w:jc w:val="center"/>
              <w:rPr>
                <w:rFonts w:ascii="宋体" w:hAnsi="宋体"/>
              </w:rPr>
            </w:pPr>
            <w:r>
              <w:rPr>
                <w:rFonts w:ascii="宋体" w:hAnsi="宋体"/>
              </w:rPr>
              <w:t>154639.9</w:t>
            </w:r>
          </w:p>
        </w:tc>
        <w:tc>
          <w:tcPr>
            <w:tcW w:w="715" w:type="pct"/>
            <w:vAlign w:val="center"/>
          </w:tcPr>
          <w:p w14:paraId="7A0111FB">
            <w:pPr>
              <w:pStyle w:val="12"/>
              <w:jc w:val="center"/>
              <w:rPr>
                <w:rFonts w:ascii="宋体" w:hAnsi="宋体"/>
              </w:rPr>
            </w:pPr>
            <w:r>
              <w:rPr>
                <w:rFonts w:ascii="宋体" w:hAnsi="宋体"/>
              </w:rPr>
              <w:t>236.6</w:t>
            </w:r>
          </w:p>
        </w:tc>
        <w:tc>
          <w:tcPr>
            <w:tcW w:w="715" w:type="pct"/>
            <w:vAlign w:val="center"/>
          </w:tcPr>
          <w:p w14:paraId="7409A6AA">
            <w:pPr>
              <w:pStyle w:val="12"/>
              <w:jc w:val="center"/>
              <w:rPr>
                <w:rFonts w:ascii="宋体" w:hAnsi="宋体"/>
              </w:rPr>
            </w:pPr>
            <w:r>
              <w:rPr>
                <w:rFonts w:ascii="宋体" w:hAnsi="宋体"/>
              </w:rPr>
              <w:t>586898</w:t>
            </w:r>
          </w:p>
        </w:tc>
        <w:tc>
          <w:tcPr>
            <w:tcW w:w="715" w:type="pct"/>
            <w:vAlign w:val="center"/>
          </w:tcPr>
          <w:p w14:paraId="6E17E6FC">
            <w:pPr>
              <w:pStyle w:val="12"/>
              <w:jc w:val="center"/>
              <w:rPr>
                <w:rFonts w:ascii="宋体" w:hAnsi="宋体"/>
              </w:rPr>
            </w:pPr>
            <w:r>
              <w:rPr>
                <w:rFonts w:ascii="宋体" w:hAnsi="宋体"/>
              </w:rPr>
              <w:t>150643.35</w:t>
            </w:r>
          </w:p>
        </w:tc>
        <w:tc>
          <w:tcPr>
            <w:tcW w:w="715" w:type="pct"/>
            <w:vAlign w:val="center"/>
          </w:tcPr>
          <w:p w14:paraId="6977D7D2">
            <w:pPr>
              <w:pStyle w:val="12"/>
              <w:jc w:val="center"/>
              <w:rPr>
                <w:rFonts w:ascii="宋体" w:hAnsi="宋体"/>
              </w:rPr>
            </w:pPr>
            <w:r>
              <w:rPr>
                <w:rFonts w:ascii="宋体" w:hAnsi="宋体"/>
              </w:rPr>
              <w:t>256.7</w:t>
            </w:r>
          </w:p>
        </w:tc>
      </w:tr>
      <w:tr w14:paraId="601E39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4683D01">
            <w:pPr>
              <w:pStyle w:val="12"/>
              <w:jc w:val="center"/>
              <w:rPr>
                <w:rFonts w:ascii="宋体" w:hAnsi="宋体"/>
              </w:rPr>
            </w:pPr>
            <w:r>
              <w:rPr>
                <w:rFonts w:ascii="宋体" w:hAnsi="宋体"/>
              </w:rPr>
              <w:t>1980</w:t>
            </w:r>
          </w:p>
        </w:tc>
        <w:tc>
          <w:tcPr>
            <w:tcW w:w="714" w:type="pct"/>
            <w:vAlign w:val="center"/>
          </w:tcPr>
          <w:p w14:paraId="63834628">
            <w:pPr>
              <w:pStyle w:val="12"/>
              <w:jc w:val="center"/>
              <w:rPr>
                <w:rFonts w:ascii="宋体" w:hAnsi="宋体"/>
              </w:rPr>
            </w:pPr>
            <w:r>
              <w:rPr>
                <w:rFonts w:ascii="宋体" w:hAnsi="宋体"/>
              </w:rPr>
              <w:t>647636</w:t>
            </w:r>
          </w:p>
        </w:tc>
        <w:tc>
          <w:tcPr>
            <w:tcW w:w="714" w:type="pct"/>
            <w:vAlign w:val="center"/>
          </w:tcPr>
          <w:p w14:paraId="0EAB4507">
            <w:pPr>
              <w:pStyle w:val="12"/>
              <w:jc w:val="center"/>
              <w:rPr>
                <w:rFonts w:ascii="宋体" w:hAnsi="宋体"/>
              </w:rPr>
            </w:pPr>
            <w:r>
              <w:rPr>
                <w:rFonts w:ascii="宋体" w:hAnsi="宋体"/>
              </w:rPr>
              <w:t>162753.7</w:t>
            </w:r>
          </w:p>
        </w:tc>
        <w:tc>
          <w:tcPr>
            <w:tcW w:w="715" w:type="pct"/>
            <w:vAlign w:val="center"/>
          </w:tcPr>
          <w:p w14:paraId="0E75D0F3">
            <w:pPr>
              <w:pStyle w:val="12"/>
              <w:jc w:val="center"/>
              <w:rPr>
                <w:rFonts w:ascii="宋体" w:hAnsi="宋体"/>
              </w:rPr>
            </w:pPr>
            <w:r>
              <w:rPr>
                <w:rFonts w:ascii="宋体" w:hAnsi="宋体"/>
              </w:rPr>
              <w:t>251.3</w:t>
            </w:r>
          </w:p>
        </w:tc>
        <w:tc>
          <w:tcPr>
            <w:tcW w:w="715" w:type="pct"/>
            <w:vAlign w:val="center"/>
          </w:tcPr>
          <w:p w14:paraId="20CBD85F">
            <w:pPr>
              <w:pStyle w:val="12"/>
              <w:jc w:val="center"/>
              <w:rPr>
                <w:rFonts w:ascii="宋体" w:hAnsi="宋体"/>
              </w:rPr>
            </w:pPr>
            <w:r>
              <w:rPr>
                <w:rFonts w:ascii="宋体" w:hAnsi="宋体"/>
              </w:rPr>
              <w:t>592627</w:t>
            </w:r>
          </w:p>
        </w:tc>
        <w:tc>
          <w:tcPr>
            <w:tcW w:w="715" w:type="pct"/>
            <w:vAlign w:val="center"/>
          </w:tcPr>
          <w:p w14:paraId="2F568EE2">
            <w:pPr>
              <w:pStyle w:val="12"/>
              <w:jc w:val="center"/>
              <w:rPr>
                <w:rFonts w:ascii="宋体" w:hAnsi="宋体"/>
              </w:rPr>
            </w:pPr>
            <w:r>
              <w:rPr>
                <w:rFonts w:ascii="宋体" w:hAnsi="宋体"/>
              </w:rPr>
              <w:t>158708.1</w:t>
            </w:r>
          </w:p>
        </w:tc>
        <w:tc>
          <w:tcPr>
            <w:tcW w:w="715" w:type="pct"/>
            <w:vAlign w:val="center"/>
          </w:tcPr>
          <w:p w14:paraId="2AEE5162">
            <w:pPr>
              <w:pStyle w:val="12"/>
              <w:jc w:val="center"/>
              <w:rPr>
                <w:rFonts w:ascii="宋体" w:hAnsi="宋体"/>
              </w:rPr>
            </w:pPr>
            <w:r>
              <w:rPr>
                <w:rFonts w:ascii="宋体" w:hAnsi="宋体"/>
              </w:rPr>
              <w:t>267.8</w:t>
            </w:r>
          </w:p>
        </w:tc>
      </w:tr>
      <w:tr w14:paraId="4D58FD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CE94CCC">
            <w:pPr>
              <w:pStyle w:val="12"/>
              <w:jc w:val="center"/>
              <w:rPr>
                <w:rFonts w:ascii="宋体" w:hAnsi="宋体"/>
              </w:rPr>
            </w:pPr>
            <w:r>
              <w:rPr>
                <w:rFonts w:ascii="宋体" w:hAnsi="宋体"/>
              </w:rPr>
              <w:t>1981</w:t>
            </w:r>
          </w:p>
        </w:tc>
        <w:tc>
          <w:tcPr>
            <w:tcW w:w="714" w:type="pct"/>
            <w:vAlign w:val="center"/>
          </w:tcPr>
          <w:p w14:paraId="10991485">
            <w:pPr>
              <w:pStyle w:val="12"/>
              <w:jc w:val="center"/>
              <w:rPr>
                <w:rFonts w:ascii="宋体" w:hAnsi="宋体"/>
              </w:rPr>
            </w:pPr>
            <w:r>
              <w:rPr>
                <w:rFonts w:ascii="宋体" w:hAnsi="宋体"/>
              </w:rPr>
              <w:t>654641</w:t>
            </w:r>
          </w:p>
        </w:tc>
        <w:tc>
          <w:tcPr>
            <w:tcW w:w="714" w:type="pct"/>
            <w:vAlign w:val="center"/>
          </w:tcPr>
          <w:p w14:paraId="7421F583">
            <w:pPr>
              <w:pStyle w:val="12"/>
              <w:jc w:val="center"/>
              <w:rPr>
                <w:rFonts w:ascii="宋体" w:hAnsi="宋体"/>
              </w:rPr>
            </w:pPr>
            <w:r>
              <w:rPr>
                <w:rFonts w:ascii="宋体" w:hAnsi="宋体"/>
              </w:rPr>
              <w:t>168997.1</w:t>
            </w:r>
          </w:p>
        </w:tc>
        <w:tc>
          <w:tcPr>
            <w:tcW w:w="715" w:type="pct"/>
            <w:vAlign w:val="center"/>
          </w:tcPr>
          <w:p w14:paraId="63F4EB72">
            <w:pPr>
              <w:pStyle w:val="12"/>
              <w:jc w:val="center"/>
              <w:rPr>
                <w:rFonts w:ascii="宋体" w:hAnsi="宋体"/>
              </w:rPr>
            </w:pPr>
            <w:r>
              <w:rPr>
                <w:rFonts w:ascii="宋体" w:hAnsi="宋体"/>
              </w:rPr>
              <w:t>258.2</w:t>
            </w:r>
          </w:p>
        </w:tc>
        <w:tc>
          <w:tcPr>
            <w:tcW w:w="715" w:type="pct"/>
            <w:vAlign w:val="center"/>
          </w:tcPr>
          <w:p w14:paraId="57DC1922">
            <w:pPr>
              <w:pStyle w:val="12"/>
              <w:jc w:val="center"/>
              <w:rPr>
                <w:rFonts w:ascii="宋体" w:hAnsi="宋体"/>
              </w:rPr>
            </w:pPr>
            <w:r>
              <w:rPr>
                <w:rFonts w:ascii="宋体" w:hAnsi="宋体"/>
              </w:rPr>
              <w:t>593145</w:t>
            </w:r>
          </w:p>
        </w:tc>
        <w:tc>
          <w:tcPr>
            <w:tcW w:w="715" w:type="pct"/>
            <w:vAlign w:val="center"/>
          </w:tcPr>
          <w:p w14:paraId="4475A117">
            <w:pPr>
              <w:pStyle w:val="12"/>
              <w:jc w:val="center"/>
              <w:rPr>
                <w:rFonts w:ascii="宋体" w:hAnsi="宋体"/>
              </w:rPr>
            </w:pPr>
            <w:r>
              <w:rPr>
                <w:rFonts w:ascii="宋体" w:hAnsi="宋体"/>
              </w:rPr>
              <w:t>163868.15</w:t>
            </w:r>
          </w:p>
        </w:tc>
        <w:tc>
          <w:tcPr>
            <w:tcW w:w="715" w:type="pct"/>
            <w:vAlign w:val="center"/>
          </w:tcPr>
          <w:p w14:paraId="7B892C1D">
            <w:pPr>
              <w:pStyle w:val="12"/>
              <w:jc w:val="center"/>
              <w:rPr>
                <w:rFonts w:ascii="宋体" w:hAnsi="宋体"/>
              </w:rPr>
            </w:pPr>
            <w:r>
              <w:rPr>
                <w:rFonts w:ascii="宋体" w:hAnsi="宋体"/>
              </w:rPr>
              <w:t>276.3</w:t>
            </w:r>
          </w:p>
        </w:tc>
      </w:tr>
      <w:tr w14:paraId="4A5914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93D8068">
            <w:pPr>
              <w:pStyle w:val="12"/>
              <w:jc w:val="center"/>
              <w:rPr>
                <w:rFonts w:ascii="宋体" w:hAnsi="宋体"/>
              </w:rPr>
            </w:pPr>
            <w:r>
              <w:rPr>
                <w:rFonts w:ascii="宋体" w:hAnsi="宋体"/>
              </w:rPr>
              <w:t>1982</w:t>
            </w:r>
          </w:p>
        </w:tc>
        <w:tc>
          <w:tcPr>
            <w:tcW w:w="714" w:type="pct"/>
            <w:vAlign w:val="center"/>
          </w:tcPr>
          <w:p w14:paraId="18EA94C8">
            <w:pPr>
              <w:pStyle w:val="12"/>
              <w:jc w:val="center"/>
              <w:rPr>
                <w:rFonts w:ascii="宋体" w:hAnsi="宋体"/>
              </w:rPr>
            </w:pPr>
            <w:r>
              <w:rPr>
                <w:rFonts w:ascii="宋体" w:hAnsi="宋体"/>
              </w:rPr>
              <w:t>657128</w:t>
            </w:r>
          </w:p>
        </w:tc>
        <w:tc>
          <w:tcPr>
            <w:tcW w:w="714" w:type="pct"/>
            <w:vAlign w:val="center"/>
          </w:tcPr>
          <w:p w14:paraId="40180672">
            <w:pPr>
              <w:pStyle w:val="12"/>
              <w:jc w:val="center"/>
              <w:rPr>
                <w:rFonts w:ascii="宋体" w:hAnsi="宋体"/>
              </w:rPr>
            </w:pPr>
            <w:r>
              <w:rPr>
                <w:rFonts w:ascii="宋体" w:hAnsi="宋体"/>
              </w:rPr>
              <w:t>190307.8</w:t>
            </w:r>
          </w:p>
        </w:tc>
        <w:tc>
          <w:tcPr>
            <w:tcW w:w="715" w:type="pct"/>
            <w:vAlign w:val="center"/>
          </w:tcPr>
          <w:p w14:paraId="59C76244">
            <w:pPr>
              <w:pStyle w:val="12"/>
              <w:jc w:val="center"/>
              <w:rPr>
                <w:rFonts w:ascii="宋体" w:hAnsi="宋体"/>
              </w:rPr>
            </w:pPr>
            <w:r>
              <w:rPr>
                <w:rFonts w:ascii="宋体" w:hAnsi="宋体"/>
              </w:rPr>
              <w:t>289.6</w:t>
            </w:r>
          </w:p>
        </w:tc>
        <w:tc>
          <w:tcPr>
            <w:tcW w:w="715" w:type="pct"/>
            <w:vAlign w:val="center"/>
          </w:tcPr>
          <w:p w14:paraId="752595D3">
            <w:pPr>
              <w:pStyle w:val="12"/>
              <w:jc w:val="center"/>
              <w:rPr>
                <w:rFonts w:ascii="宋体" w:hAnsi="宋体"/>
              </w:rPr>
            </w:pPr>
            <w:r>
              <w:rPr>
                <w:rFonts w:ascii="宋体" w:hAnsi="宋体"/>
              </w:rPr>
              <w:t>589945</w:t>
            </w:r>
          </w:p>
        </w:tc>
        <w:tc>
          <w:tcPr>
            <w:tcW w:w="715" w:type="pct"/>
            <w:vAlign w:val="center"/>
          </w:tcPr>
          <w:p w14:paraId="6BC1FF44">
            <w:pPr>
              <w:pStyle w:val="12"/>
              <w:jc w:val="center"/>
              <w:rPr>
                <w:rFonts w:ascii="宋体" w:hAnsi="宋体"/>
              </w:rPr>
            </w:pPr>
            <w:r>
              <w:rPr>
                <w:rFonts w:ascii="宋体" w:hAnsi="宋体"/>
              </w:rPr>
              <w:t>184503.4</w:t>
            </w:r>
          </w:p>
        </w:tc>
        <w:tc>
          <w:tcPr>
            <w:tcW w:w="715" w:type="pct"/>
            <w:vAlign w:val="center"/>
          </w:tcPr>
          <w:p w14:paraId="789F342B">
            <w:pPr>
              <w:pStyle w:val="12"/>
              <w:jc w:val="center"/>
              <w:rPr>
                <w:rFonts w:ascii="宋体" w:hAnsi="宋体"/>
              </w:rPr>
            </w:pPr>
            <w:r>
              <w:rPr>
                <w:rFonts w:ascii="宋体" w:hAnsi="宋体"/>
              </w:rPr>
              <w:t>312.7</w:t>
            </w:r>
          </w:p>
        </w:tc>
      </w:tr>
      <w:tr w14:paraId="39571C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06CE251">
            <w:pPr>
              <w:pStyle w:val="12"/>
              <w:jc w:val="center"/>
              <w:rPr>
                <w:rFonts w:ascii="宋体" w:hAnsi="宋体"/>
              </w:rPr>
            </w:pPr>
            <w:r>
              <w:rPr>
                <w:rFonts w:ascii="宋体" w:hAnsi="宋体"/>
              </w:rPr>
              <w:t>1983</w:t>
            </w:r>
          </w:p>
        </w:tc>
        <w:tc>
          <w:tcPr>
            <w:tcW w:w="714" w:type="pct"/>
            <w:vAlign w:val="center"/>
          </w:tcPr>
          <w:p w14:paraId="10058344">
            <w:pPr>
              <w:pStyle w:val="12"/>
              <w:jc w:val="center"/>
              <w:rPr>
                <w:rFonts w:ascii="宋体" w:hAnsi="宋体"/>
              </w:rPr>
            </w:pPr>
            <w:r>
              <w:rPr>
                <w:rFonts w:ascii="宋体" w:hAnsi="宋体"/>
              </w:rPr>
              <w:t>641741</w:t>
            </w:r>
          </w:p>
        </w:tc>
        <w:tc>
          <w:tcPr>
            <w:tcW w:w="714" w:type="pct"/>
            <w:vAlign w:val="center"/>
          </w:tcPr>
          <w:p w14:paraId="5E5ED262">
            <w:pPr>
              <w:pStyle w:val="12"/>
              <w:jc w:val="center"/>
              <w:rPr>
                <w:rFonts w:ascii="宋体" w:hAnsi="宋体"/>
              </w:rPr>
            </w:pPr>
            <w:r>
              <w:rPr>
                <w:rFonts w:ascii="宋体" w:hAnsi="宋体"/>
              </w:rPr>
              <w:t>203391.3</w:t>
            </w:r>
          </w:p>
        </w:tc>
        <w:tc>
          <w:tcPr>
            <w:tcW w:w="715" w:type="pct"/>
            <w:vAlign w:val="center"/>
          </w:tcPr>
          <w:p w14:paraId="04C43453">
            <w:pPr>
              <w:pStyle w:val="12"/>
              <w:jc w:val="center"/>
              <w:rPr>
                <w:rFonts w:ascii="宋体" w:hAnsi="宋体"/>
              </w:rPr>
            </w:pPr>
            <w:r>
              <w:rPr>
                <w:rFonts w:ascii="宋体" w:hAnsi="宋体"/>
              </w:rPr>
              <w:t>316.9</w:t>
            </w:r>
          </w:p>
        </w:tc>
        <w:tc>
          <w:tcPr>
            <w:tcW w:w="715" w:type="pct"/>
            <w:vAlign w:val="center"/>
          </w:tcPr>
          <w:p w14:paraId="357C8FE3">
            <w:pPr>
              <w:pStyle w:val="12"/>
              <w:jc w:val="center"/>
              <w:rPr>
                <w:rFonts w:ascii="宋体" w:hAnsi="宋体"/>
              </w:rPr>
            </w:pPr>
            <w:r>
              <w:rPr>
                <w:rFonts w:ascii="宋体" w:hAnsi="宋体"/>
              </w:rPr>
              <w:t>587705</w:t>
            </w:r>
          </w:p>
        </w:tc>
        <w:tc>
          <w:tcPr>
            <w:tcW w:w="715" w:type="pct"/>
            <w:vAlign w:val="center"/>
          </w:tcPr>
          <w:p w14:paraId="7F2F9715">
            <w:pPr>
              <w:pStyle w:val="12"/>
              <w:jc w:val="center"/>
              <w:rPr>
                <w:rFonts w:ascii="宋体" w:hAnsi="宋体"/>
              </w:rPr>
            </w:pPr>
            <w:r>
              <w:rPr>
                <w:rFonts w:ascii="宋体" w:hAnsi="宋体"/>
              </w:rPr>
              <w:t>199646.05</w:t>
            </w:r>
          </w:p>
        </w:tc>
        <w:tc>
          <w:tcPr>
            <w:tcW w:w="715" w:type="pct"/>
            <w:vAlign w:val="center"/>
          </w:tcPr>
          <w:p w14:paraId="20901958">
            <w:pPr>
              <w:pStyle w:val="12"/>
              <w:jc w:val="center"/>
              <w:rPr>
                <w:rFonts w:ascii="宋体" w:hAnsi="宋体"/>
              </w:rPr>
            </w:pPr>
            <w:r>
              <w:rPr>
                <w:rFonts w:ascii="宋体" w:hAnsi="宋体"/>
              </w:rPr>
              <w:t>339.7</w:t>
            </w:r>
          </w:p>
        </w:tc>
      </w:tr>
      <w:tr w14:paraId="7B1E9C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68D2CD8">
            <w:pPr>
              <w:pStyle w:val="12"/>
              <w:jc w:val="center"/>
              <w:rPr>
                <w:rFonts w:ascii="宋体" w:hAnsi="宋体"/>
              </w:rPr>
            </w:pPr>
            <w:r>
              <w:rPr>
                <w:rFonts w:ascii="宋体" w:hAnsi="宋体"/>
              </w:rPr>
              <w:t>1984</w:t>
            </w:r>
          </w:p>
        </w:tc>
        <w:tc>
          <w:tcPr>
            <w:tcW w:w="714" w:type="pct"/>
            <w:vAlign w:val="center"/>
          </w:tcPr>
          <w:p w14:paraId="4B129EB8">
            <w:pPr>
              <w:pStyle w:val="12"/>
              <w:jc w:val="center"/>
              <w:rPr>
                <w:rFonts w:ascii="宋体" w:hAnsi="宋体"/>
              </w:rPr>
            </w:pPr>
            <w:r>
              <w:rPr>
                <w:rFonts w:ascii="宋体" w:hAnsi="宋体"/>
              </w:rPr>
              <w:t>632570</w:t>
            </w:r>
          </w:p>
        </w:tc>
        <w:tc>
          <w:tcPr>
            <w:tcW w:w="714" w:type="pct"/>
            <w:vAlign w:val="center"/>
          </w:tcPr>
          <w:p w14:paraId="6F16E0A3">
            <w:pPr>
              <w:pStyle w:val="12"/>
              <w:jc w:val="center"/>
              <w:rPr>
                <w:rFonts w:ascii="宋体" w:hAnsi="宋体"/>
              </w:rPr>
            </w:pPr>
            <w:r>
              <w:rPr>
                <w:rFonts w:ascii="宋体" w:hAnsi="宋体"/>
              </w:rPr>
              <w:t>196872.9</w:t>
            </w:r>
          </w:p>
        </w:tc>
        <w:tc>
          <w:tcPr>
            <w:tcW w:w="715" w:type="pct"/>
            <w:vAlign w:val="center"/>
          </w:tcPr>
          <w:p w14:paraId="53C6BFB2">
            <w:pPr>
              <w:pStyle w:val="12"/>
              <w:jc w:val="center"/>
              <w:rPr>
                <w:rFonts w:ascii="宋体" w:hAnsi="宋体"/>
              </w:rPr>
            </w:pPr>
            <w:r>
              <w:rPr>
                <w:rFonts w:ascii="宋体" w:hAnsi="宋体"/>
              </w:rPr>
              <w:t>311.2</w:t>
            </w:r>
          </w:p>
        </w:tc>
        <w:tc>
          <w:tcPr>
            <w:tcW w:w="715" w:type="pct"/>
            <w:vAlign w:val="center"/>
          </w:tcPr>
          <w:p w14:paraId="5E0D2CCB">
            <w:pPr>
              <w:pStyle w:val="12"/>
              <w:jc w:val="center"/>
              <w:rPr>
                <w:rFonts w:ascii="宋体" w:hAnsi="宋体"/>
              </w:rPr>
            </w:pPr>
            <w:r>
              <w:rPr>
                <w:rFonts w:ascii="宋体" w:hAnsi="宋体"/>
              </w:rPr>
              <w:t>577368</w:t>
            </w:r>
          </w:p>
        </w:tc>
        <w:tc>
          <w:tcPr>
            <w:tcW w:w="715" w:type="pct"/>
            <w:vAlign w:val="center"/>
          </w:tcPr>
          <w:p w14:paraId="654E1859">
            <w:pPr>
              <w:pStyle w:val="12"/>
              <w:jc w:val="center"/>
              <w:rPr>
                <w:rFonts w:ascii="宋体" w:hAnsi="宋体"/>
              </w:rPr>
            </w:pPr>
            <w:r>
              <w:rPr>
                <w:rFonts w:ascii="宋体" w:hAnsi="宋体"/>
              </w:rPr>
              <w:t>192202.1</w:t>
            </w:r>
          </w:p>
        </w:tc>
        <w:tc>
          <w:tcPr>
            <w:tcW w:w="715" w:type="pct"/>
            <w:vAlign w:val="center"/>
          </w:tcPr>
          <w:p w14:paraId="770BB547">
            <w:pPr>
              <w:pStyle w:val="12"/>
              <w:jc w:val="center"/>
              <w:rPr>
                <w:rFonts w:ascii="宋体" w:hAnsi="宋体"/>
              </w:rPr>
            </w:pPr>
            <w:r>
              <w:rPr>
                <w:rFonts w:ascii="宋体" w:hAnsi="宋体"/>
              </w:rPr>
              <w:t>332.9</w:t>
            </w:r>
          </w:p>
        </w:tc>
      </w:tr>
      <w:tr w14:paraId="30C633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D8D45FF">
            <w:pPr>
              <w:pStyle w:val="12"/>
              <w:jc w:val="center"/>
              <w:rPr>
                <w:rFonts w:ascii="宋体" w:hAnsi="宋体"/>
              </w:rPr>
            </w:pPr>
            <w:r>
              <w:rPr>
                <w:rFonts w:ascii="宋体" w:hAnsi="宋体"/>
              </w:rPr>
              <w:t>1985</w:t>
            </w:r>
          </w:p>
        </w:tc>
        <w:tc>
          <w:tcPr>
            <w:tcW w:w="714" w:type="pct"/>
            <w:vAlign w:val="center"/>
          </w:tcPr>
          <w:p w14:paraId="234AEC91">
            <w:pPr>
              <w:pStyle w:val="12"/>
              <w:jc w:val="center"/>
              <w:rPr>
                <w:rFonts w:ascii="宋体" w:hAnsi="宋体"/>
              </w:rPr>
            </w:pPr>
            <w:r>
              <w:rPr>
                <w:rFonts w:ascii="宋体" w:hAnsi="宋体"/>
              </w:rPr>
              <w:t>579457</w:t>
            </w:r>
          </w:p>
        </w:tc>
        <w:tc>
          <w:tcPr>
            <w:tcW w:w="714" w:type="pct"/>
            <w:vAlign w:val="center"/>
          </w:tcPr>
          <w:p w14:paraId="3DAD9B91">
            <w:pPr>
              <w:pStyle w:val="12"/>
              <w:jc w:val="center"/>
              <w:rPr>
                <w:rFonts w:ascii="宋体" w:hAnsi="宋体"/>
              </w:rPr>
            </w:pPr>
            <w:r>
              <w:rPr>
                <w:rFonts w:ascii="宋体" w:hAnsi="宋体"/>
              </w:rPr>
              <w:t>189801.1</w:t>
            </w:r>
          </w:p>
        </w:tc>
        <w:tc>
          <w:tcPr>
            <w:tcW w:w="715" w:type="pct"/>
            <w:vAlign w:val="center"/>
          </w:tcPr>
          <w:p w14:paraId="5BE2CE69">
            <w:pPr>
              <w:pStyle w:val="12"/>
              <w:jc w:val="center"/>
              <w:rPr>
                <w:rFonts w:ascii="宋体" w:hAnsi="宋体"/>
              </w:rPr>
            </w:pPr>
            <w:r>
              <w:rPr>
                <w:rFonts w:ascii="宋体" w:hAnsi="宋体"/>
              </w:rPr>
              <w:t>327.5</w:t>
            </w:r>
          </w:p>
        </w:tc>
        <w:tc>
          <w:tcPr>
            <w:tcW w:w="715" w:type="pct"/>
            <w:vAlign w:val="center"/>
          </w:tcPr>
          <w:p w14:paraId="3E272EF1">
            <w:pPr>
              <w:pStyle w:val="12"/>
              <w:jc w:val="center"/>
              <w:rPr>
                <w:rFonts w:ascii="宋体" w:hAnsi="宋体"/>
              </w:rPr>
            </w:pPr>
            <w:r>
              <w:rPr>
                <w:rFonts w:ascii="宋体" w:hAnsi="宋体"/>
              </w:rPr>
              <w:t>519225</w:t>
            </w:r>
          </w:p>
        </w:tc>
        <w:tc>
          <w:tcPr>
            <w:tcW w:w="715" w:type="pct"/>
            <w:vAlign w:val="center"/>
          </w:tcPr>
          <w:p w14:paraId="32604C44">
            <w:pPr>
              <w:pStyle w:val="12"/>
              <w:jc w:val="center"/>
              <w:rPr>
                <w:rFonts w:ascii="宋体" w:hAnsi="宋体"/>
              </w:rPr>
            </w:pPr>
            <w:r>
              <w:rPr>
                <w:rFonts w:ascii="宋体" w:hAnsi="宋体"/>
              </w:rPr>
              <w:t>184099</w:t>
            </w:r>
          </w:p>
        </w:tc>
        <w:tc>
          <w:tcPr>
            <w:tcW w:w="715" w:type="pct"/>
            <w:vAlign w:val="center"/>
          </w:tcPr>
          <w:p w14:paraId="4E3A8C9A">
            <w:pPr>
              <w:pStyle w:val="12"/>
              <w:jc w:val="center"/>
              <w:rPr>
                <w:rFonts w:ascii="宋体" w:hAnsi="宋体"/>
              </w:rPr>
            </w:pPr>
            <w:r>
              <w:rPr>
                <w:rFonts w:ascii="宋体" w:hAnsi="宋体"/>
              </w:rPr>
              <w:t>354.6</w:t>
            </w:r>
          </w:p>
        </w:tc>
      </w:tr>
      <w:tr w14:paraId="641662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BE1B58E">
            <w:pPr>
              <w:pStyle w:val="12"/>
              <w:jc w:val="center"/>
              <w:rPr>
                <w:rFonts w:ascii="宋体" w:hAnsi="宋体"/>
              </w:rPr>
            </w:pPr>
            <w:r>
              <w:rPr>
                <w:rFonts w:ascii="宋体" w:hAnsi="宋体"/>
              </w:rPr>
              <w:t>1986</w:t>
            </w:r>
          </w:p>
        </w:tc>
        <w:tc>
          <w:tcPr>
            <w:tcW w:w="714" w:type="pct"/>
            <w:vAlign w:val="center"/>
          </w:tcPr>
          <w:p w14:paraId="322DF47C">
            <w:pPr>
              <w:pStyle w:val="12"/>
              <w:jc w:val="center"/>
              <w:rPr>
                <w:rFonts w:ascii="宋体" w:hAnsi="宋体"/>
              </w:rPr>
            </w:pPr>
            <w:r>
              <w:rPr>
                <w:rFonts w:ascii="宋体" w:hAnsi="宋体"/>
              </w:rPr>
              <w:t>585898</w:t>
            </w:r>
          </w:p>
        </w:tc>
        <w:tc>
          <w:tcPr>
            <w:tcW w:w="714" w:type="pct"/>
            <w:vAlign w:val="center"/>
          </w:tcPr>
          <w:p w14:paraId="7DB3A089">
            <w:pPr>
              <w:pStyle w:val="12"/>
              <w:jc w:val="center"/>
              <w:rPr>
                <w:rFonts w:ascii="宋体" w:hAnsi="宋体"/>
              </w:rPr>
            </w:pPr>
            <w:r>
              <w:rPr>
                <w:rFonts w:ascii="宋体" w:hAnsi="宋体"/>
              </w:rPr>
              <w:t>169192</w:t>
            </w:r>
          </w:p>
        </w:tc>
        <w:tc>
          <w:tcPr>
            <w:tcW w:w="715" w:type="pct"/>
            <w:vAlign w:val="center"/>
          </w:tcPr>
          <w:p w14:paraId="194D324B">
            <w:pPr>
              <w:pStyle w:val="12"/>
              <w:jc w:val="center"/>
              <w:rPr>
                <w:rFonts w:ascii="宋体" w:hAnsi="宋体"/>
              </w:rPr>
            </w:pPr>
            <w:r>
              <w:rPr>
                <w:rFonts w:ascii="宋体" w:hAnsi="宋体"/>
              </w:rPr>
              <w:t>288.8</w:t>
            </w:r>
          </w:p>
        </w:tc>
        <w:tc>
          <w:tcPr>
            <w:tcW w:w="715" w:type="pct"/>
            <w:vAlign w:val="center"/>
          </w:tcPr>
          <w:p w14:paraId="681213AF">
            <w:pPr>
              <w:pStyle w:val="12"/>
              <w:jc w:val="center"/>
              <w:rPr>
                <w:rFonts w:ascii="宋体" w:hAnsi="宋体"/>
              </w:rPr>
            </w:pPr>
            <w:r>
              <w:rPr>
                <w:rFonts w:ascii="宋体" w:hAnsi="宋体"/>
              </w:rPr>
              <w:t>526306</w:t>
            </w:r>
          </w:p>
        </w:tc>
        <w:tc>
          <w:tcPr>
            <w:tcW w:w="715" w:type="pct"/>
            <w:vAlign w:val="center"/>
          </w:tcPr>
          <w:p w14:paraId="578473FE">
            <w:pPr>
              <w:pStyle w:val="12"/>
              <w:jc w:val="center"/>
              <w:rPr>
                <w:rFonts w:ascii="宋体" w:hAnsi="宋体"/>
              </w:rPr>
            </w:pPr>
            <w:r>
              <w:rPr>
                <w:rFonts w:ascii="宋体" w:hAnsi="宋体"/>
              </w:rPr>
              <w:t>164876</w:t>
            </w:r>
          </w:p>
        </w:tc>
        <w:tc>
          <w:tcPr>
            <w:tcW w:w="715" w:type="pct"/>
            <w:vAlign w:val="center"/>
          </w:tcPr>
          <w:p w14:paraId="522378CC">
            <w:pPr>
              <w:pStyle w:val="12"/>
              <w:jc w:val="center"/>
              <w:rPr>
                <w:rFonts w:ascii="宋体" w:hAnsi="宋体"/>
              </w:rPr>
            </w:pPr>
            <w:r>
              <w:rPr>
                <w:rFonts w:ascii="宋体" w:hAnsi="宋体"/>
              </w:rPr>
              <w:t>313</w:t>
            </w:r>
          </w:p>
        </w:tc>
      </w:tr>
      <w:tr w14:paraId="2A2B91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1A1B6EB">
            <w:pPr>
              <w:pStyle w:val="12"/>
              <w:jc w:val="center"/>
              <w:rPr>
                <w:rFonts w:ascii="宋体" w:hAnsi="宋体"/>
              </w:rPr>
            </w:pPr>
            <w:r>
              <w:rPr>
                <w:rFonts w:ascii="宋体" w:hAnsi="宋体"/>
              </w:rPr>
              <w:t>1987</w:t>
            </w:r>
          </w:p>
        </w:tc>
        <w:tc>
          <w:tcPr>
            <w:tcW w:w="714" w:type="pct"/>
            <w:vAlign w:val="center"/>
          </w:tcPr>
          <w:p w14:paraId="2EBACD61">
            <w:pPr>
              <w:pStyle w:val="12"/>
              <w:jc w:val="center"/>
              <w:rPr>
                <w:rFonts w:ascii="宋体" w:hAnsi="宋体"/>
              </w:rPr>
            </w:pPr>
            <w:r>
              <w:rPr>
                <w:rFonts w:ascii="宋体" w:hAnsi="宋体"/>
              </w:rPr>
              <w:t>583811</w:t>
            </w:r>
          </w:p>
        </w:tc>
        <w:tc>
          <w:tcPr>
            <w:tcW w:w="714" w:type="pct"/>
            <w:vAlign w:val="center"/>
          </w:tcPr>
          <w:p w14:paraId="0974B210">
            <w:pPr>
              <w:pStyle w:val="12"/>
              <w:jc w:val="center"/>
              <w:rPr>
                <w:rFonts w:ascii="宋体" w:hAnsi="宋体"/>
              </w:rPr>
            </w:pPr>
            <w:r>
              <w:rPr>
                <w:rFonts w:ascii="宋体" w:hAnsi="宋体"/>
              </w:rPr>
              <w:t>196959</w:t>
            </w:r>
          </w:p>
        </w:tc>
        <w:tc>
          <w:tcPr>
            <w:tcW w:w="715" w:type="pct"/>
            <w:vAlign w:val="center"/>
          </w:tcPr>
          <w:p w14:paraId="5D459FA1">
            <w:pPr>
              <w:pStyle w:val="12"/>
              <w:jc w:val="center"/>
              <w:rPr>
                <w:rFonts w:ascii="宋体" w:hAnsi="宋体"/>
              </w:rPr>
            </w:pPr>
            <w:r>
              <w:rPr>
                <w:rFonts w:ascii="宋体" w:hAnsi="宋体"/>
              </w:rPr>
              <w:t>337.4</w:t>
            </w:r>
          </w:p>
        </w:tc>
        <w:tc>
          <w:tcPr>
            <w:tcW w:w="715" w:type="pct"/>
            <w:vAlign w:val="center"/>
          </w:tcPr>
          <w:p w14:paraId="323F84E5">
            <w:pPr>
              <w:pStyle w:val="12"/>
              <w:jc w:val="center"/>
              <w:rPr>
                <w:rFonts w:ascii="宋体" w:hAnsi="宋体"/>
              </w:rPr>
            </w:pPr>
            <w:r>
              <w:rPr>
                <w:rFonts w:ascii="宋体" w:hAnsi="宋体"/>
              </w:rPr>
              <w:t>513177</w:t>
            </w:r>
          </w:p>
        </w:tc>
        <w:tc>
          <w:tcPr>
            <w:tcW w:w="715" w:type="pct"/>
            <w:vAlign w:val="center"/>
          </w:tcPr>
          <w:p w14:paraId="42EF1AE4">
            <w:pPr>
              <w:pStyle w:val="12"/>
              <w:jc w:val="center"/>
              <w:rPr>
                <w:rFonts w:ascii="宋体" w:hAnsi="宋体"/>
              </w:rPr>
            </w:pPr>
            <w:r>
              <w:rPr>
                <w:rFonts w:ascii="宋体" w:hAnsi="宋体"/>
              </w:rPr>
              <w:t>188033</w:t>
            </w:r>
          </w:p>
        </w:tc>
        <w:tc>
          <w:tcPr>
            <w:tcW w:w="715" w:type="pct"/>
            <w:vAlign w:val="center"/>
          </w:tcPr>
          <w:p w14:paraId="5F76AB45">
            <w:pPr>
              <w:pStyle w:val="12"/>
              <w:jc w:val="center"/>
              <w:rPr>
                <w:rFonts w:ascii="宋体" w:hAnsi="宋体"/>
              </w:rPr>
            </w:pPr>
            <w:r>
              <w:rPr>
                <w:rFonts w:ascii="宋体" w:hAnsi="宋体"/>
              </w:rPr>
              <w:t>366</w:t>
            </w:r>
          </w:p>
        </w:tc>
      </w:tr>
      <w:tr w14:paraId="40C002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7ED1210">
            <w:pPr>
              <w:pStyle w:val="12"/>
              <w:jc w:val="center"/>
              <w:rPr>
                <w:rFonts w:ascii="宋体" w:hAnsi="宋体"/>
              </w:rPr>
            </w:pPr>
            <w:r>
              <w:rPr>
                <w:rFonts w:ascii="宋体" w:hAnsi="宋体"/>
              </w:rPr>
              <w:t>1988</w:t>
            </w:r>
          </w:p>
        </w:tc>
        <w:tc>
          <w:tcPr>
            <w:tcW w:w="714" w:type="pct"/>
            <w:vAlign w:val="center"/>
          </w:tcPr>
          <w:p w14:paraId="6E29E024">
            <w:pPr>
              <w:pStyle w:val="12"/>
              <w:jc w:val="center"/>
              <w:rPr>
                <w:rFonts w:ascii="宋体" w:hAnsi="宋体"/>
              </w:rPr>
            </w:pPr>
            <w:r>
              <w:rPr>
                <w:rFonts w:ascii="宋体" w:hAnsi="宋体"/>
              </w:rPr>
              <w:t>551758</w:t>
            </w:r>
          </w:p>
        </w:tc>
        <w:tc>
          <w:tcPr>
            <w:tcW w:w="714" w:type="pct"/>
            <w:vAlign w:val="center"/>
          </w:tcPr>
          <w:p w14:paraId="4DE67793">
            <w:pPr>
              <w:pStyle w:val="12"/>
              <w:jc w:val="center"/>
              <w:rPr>
                <w:rFonts w:ascii="宋体" w:hAnsi="宋体"/>
              </w:rPr>
            </w:pPr>
            <w:r>
              <w:rPr>
                <w:rFonts w:ascii="宋体" w:hAnsi="宋体"/>
              </w:rPr>
              <w:t>189531</w:t>
            </w:r>
          </w:p>
        </w:tc>
        <w:tc>
          <w:tcPr>
            <w:tcW w:w="715" w:type="pct"/>
            <w:vAlign w:val="center"/>
          </w:tcPr>
          <w:p w14:paraId="02C86C32">
            <w:pPr>
              <w:pStyle w:val="12"/>
              <w:jc w:val="center"/>
              <w:rPr>
                <w:rFonts w:ascii="宋体" w:hAnsi="宋体"/>
              </w:rPr>
            </w:pPr>
            <w:r>
              <w:rPr>
                <w:rFonts w:ascii="宋体" w:hAnsi="宋体"/>
              </w:rPr>
              <w:t>343</w:t>
            </w:r>
          </w:p>
        </w:tc>
        <w:tc>
          <w:tcPr>
            <w:tcW w:w="715" w:type="pct"/>
            <w:vAlign w:val="center"/>
          </w:tcPr>
          <w:p w14:paraId="1515DF5C">
            <w:pPr>
              <w:pStyle w:val="12"/>
              <w:jc w:val="center"/>
              <w:rPr>
                <w:rFonts w:ascii="宋体" w:hAnsi="宋体"/>
              </w:rPr>
            </w:pPr>
            <w:r>
              <w:rPr>
                <w:rFonts w:ascii="宋体" w:hAnsi="宋体"/>
              </w:rPr>
              <w:t>457433</w:t>
            </w:r>
          </w:p>
        </w:tc>
        <w:tc>
          <w:tcPr>
            <w:tcW w:w="715" w:type="pct"/>
            <w:vAlign w:val="center"/>
          </w:tcPr>
          <w:p w14:paraId="612D4ACD">
            <w:pPr>
              <w:pStyle w:val="12"/>
              <w:jc w:val="center"/>
              <w:rPr>
                <w:rFonts w:ascii="宋体" w:hAnsi="宋体"/>
              </w:rPr>
            </w:pPr>
            <w:r>
              <w:rPr>
                <w:rFonts w:ascii="宋体" w:hAnsi="宋体"/>
              </w:rPr>
              <w:t>181140</w:t>
            </w:r>
          </w:p>
        </w:tc>
        <w:tc>
          <w:tcPr>
            <w:tcW w:w="715" w:type="pct"/>
            <w:vAlign w:val="center"/>
          </w:tcPr>
          <w:p w14:paraId="233AB99F">
            <w:pPr>
              <w:pStyle w:val="12"/>
              <w:jc w:val="center"/>
              <w:rPr>
                <w:rFonts w:ascii="宋体" w:hAnsi="宋体"/>
              </w:rPr>
            </w:pPr>
            <w:r>
              <w:rPr>
                <w:rFonts w:ascii="宋体" w:hAnsi="宋体"/>
              </w:rPr>
              <w:t>381</w:t>
            </w:r>
          </w:p>
        </w:tc>
      </w:tr>
      <w:tr w14:paraId="4F0581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8C67569">
            <w:pPr>
              <w:pStyle w:val="12"/>
              <w:jc w:val="center"/>
              <w:rPr>
                <w:rFonts w:ascii="宋体" w:hAnsi="宋体"/>
              </w:rPr>
            </w:pPr>
            <w:r>
              <w:rPr>
                <w:rFonts w:ascii="宋体" w:hAnsi="宋体"/>
              </w:rPr>
              <w:t>1989</w:t>
            </w:r>
          </w:p>
        </w:tc>
        <w:tc>
          <w:tcPr>
            <w:tcW w:w="714" w:type="pct"/>
            <w:vAlign w:val="center"/>
          </w:tcPr>
          <w:p w14:paraId="667A77E9">
            <w:pPr>
              <w:pStyle w:val="12"/>
              <w:jc w:val="center"/>
              <w:rPr>
                <w:rFonts w:ascii="宋体" w:hAnsi="宋体"/>
              </w:rPr>
            </w:pPr>
            <w:r>
              <w:rPr>
                <w:rFonts w:ascii="宋体" w:hAnsi="宋体"/>
              </w:rPr>
              <w:t>518844</w:t>
            </w:r>
          </w:p>
        </w:tc>
        <w:tc>
          <w:tcPr>
            <w:tcW w:w="714" w:type="pct"/>
            <w:vAlign w:val="center"/>
          </w:tcPr>
          <w:p w14:paraId="38109655">
            <w:pPr>
              <w:pStyle w:val="12"/>
              <w:jc w:val="center"/>
              <w:rPr>
                <w:rFonts w:ascii="宋体" w:hAnsi="宋体"/>
              </w:rPr>
            </w:pPr>
            <w:r>
              <w:rPr>
                <w:rFonts w:ascii="宋体" w:hAnsi="宋体"/>
              </w:rPr>
              <w:t>188178</w:t>
            </w:r>
          </w:p>
        </w:tc>
        <w:tc>
          <w:tcPr>
            <w:tcW w:w="715" w:type="pct"/>
            <w:vAlign w:val="center"/>
          </w:tcPr>
          <w:p w14:paraId="641FD4D9">
            <w:pPr>
              <w:pStyle w:val="12"/>
              <w:jc w:val="center"/>
              <w:rPr>
                <w:rFonts w:ascii="宋体" w:hAnsi="宋体"/>
              </w:rPr>
            </w:pPr>
            <w:r>
              <w:rPr>
                <w:rFonts w:ascii="宋体" w:hAnsi="宋体"/>
              </w:rPr>
              <w:t>363</w:t>
            </w:r>
          </w:p>
        </w:tc>
        <w:tc>
          <w:tcPr>
            <w:tcW w:w="715" w:type="pct"/>
            <w:vAlign w:val="center"/>
          </w:tcPr>
          <w:p w14:paraId="243E1607">
            <w:pPr>
              <w:pStyle w:val="12"/>
              <w:jc w:val="center"/>
              <w:rPr>
                <w:rFonts w:ascii="宋体" w:hAnsi="宋体"/>
              </w:rPr>
            </w:pPr>
            <w:r>
              <w:rPr>
                <w:rFonts w:ascii="宋体" w:hAnsi="宋体"/>
              </w:rPr>
              <w:t>454266</w:t>
            </w:r>
          </w:p>
        </w:tc>
        <w:tc>
          <w:tcPr>
            <w:tcW w:w="715" w:type="pct"/>
            <w:vAlign w:val="center"/>
          </w:tcPr>
          <w:p w14:paraId="526E072B">
            <w:pPr>
              <w:pStyle w:val="12"/>
              <w:jc w:val="center"/>
              <w:rPr>
                <w:rFonts w:ascii="宋体" w:hAnsi="宋体"/>
              </w:rPr>
            </w:pPr>
            <w:r>
              <w:rPr>
                <w:rFonts w:ascii="宋体" w:hAnsi="宋体"/>
              </w:rPr>
              <w:t>181236</w:t>
            </w:r>
          </w:p>
        </w:tc>
        <w:tc>
          <w:tcPr>
            <w:tcW w:w="715" w:type="pct"/>
            <w:vAlign w:val="center"/>
          </w:tcPr>
          <w:p w14:paraId="54D43F0F">
            <w:pPr>
              <w:pStyle w:val="12"/>
              <w:jc w:val="center"/>
              <w:rPr>
                <w:rFonts w:ascii="宋体" w:hAnsi="宋体"/>
              </w:rPr>
            </w:pPr>
            <w:r>
              <w:rPr>
                <w:rFonts w:ascii="宋体" w:hAnsi="宋体"/>
              </w:rPr>
              <w:t>399</w:t>
            </w:r>
          </w:p>
        </w:tc>
      </w:tr>
      <w:tr w14:paraId="7E04A6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1504C21">
            <w:pPr>
              <w:pStyle w:val="12"/>
              <w:jc w:val="center"/>
              <w:rPr>
                <w:rFonts w:ascii="宋体" w:hAnsi="宋体"/>
              </w:rPr>
            </w:pPr>
            <w:r>
              <w:rPr>
                <w:rFonts w:ascii="宋体" w:hAnsi="宋体"/>
              </w:rPr>
              <w:t>1990</w:t>
            </w:r>
          </w:p>
        </w:tc>
        <w:tc>
          <w:tcPr>
            <w:tcW w:w="714" w:type="pct"/>
            <w:vAlign w:val="center"/>
          </w:tcPr>
          <w:p w14:paraId="6FBB2E85">
            <w:pPr>
              <w:pStyle w:val="12"/>
              <w:jc w:val="center"/>
              <w:rPr>
                <w:rFonts w:ascii="宋体" w:hAnsi="宋体"/>
              </w:rPr>
            </w:pPr>
            <w:r>
              <w:rPr>
                <w:rFonts w:ascii="宋体" w:hAnsi="宋体"/>
              </w:rPr>
              <w:t>537278</w:t>
            </w:r>
          </w:p>
        </w:tc>
        <w:tc>
          <w:tcPr>
            <w:tcW w:w="714" w:type="pct"/>
            <w:vAlign w:val="center"/>
          </w:tcPr>
          <w:p w14:paraId="3D4C8E8F">
            <w:pPr>
              <w:pStyle w:val="12"/>
              <w:jc w:val="center"/>
              <w:rPr>
                <w:rFonts w:ascii="宋体" w:hAnsi="宋体"/>
              </w:rPr>
            </w:pPr>
            <w:r>
              <w:rPr>
                <w:rFonts w:ascii="宋体" w:hAnsi="宋体"/>
              </w:rPr>
              <w:t>201851</w:t>
            </w:r>
          </w:p>
        </w:tc>
        <w:tc>
          <w:tcPr>
            <w:tcW w:w="715" w:type="pct"/>
            <w:vAlign w:val="center"/>
          </w:tcPr>
          <w:p w14:paraId="7D496F2F">
            <w:pPr>
              <w:pStyle w:val="12"/>
              <w:jc w:val="center"/>
              <w:rPr>
                <w:rFonts w:ascii="宋体" w:hAnsi="宋体"/>
              </w:rPr>
            </w:pPr>
            <w:r>
              <w:rPr>
                <w:rFonts w:ascii="宋体" w:hAnsi="宋体"/>
              </w:rPr>
              <w:t>376</w:t>
            </w:r>
          </w:p>
        </w:tc>
        <w:tc>
          <w:tcPr>
            <w:tcW w:w="715" w:type="pct"/>
            <w:vAlign w:val="center"/>
          </w:tcPr>
          <w:p w14:paraId="1F4EE7B8">
            <w:pPr>
              <w:pStyle w:val="12"/>
              <w:jc w:val="center"/>
              <w:rPr>
                <w:rFonts w:ascii="宋体" w:hAnsi="宋体"/>
              </w:rPr>
            </w:pPr>
            <w:r>
              <w:rPr>
                <w:rFonts w:ascii="宋体" w:hAnsi="宋体"/>
              </w:rPr>
              <w:t>465766</w:t>
            </w:r>
          </w:p>
        </w:tc>
        <w:tc>
          <w:tcPr>
            <w:tcW w:w="715" w:type="pct"/>
            <w:vAlign w:val="center"/>
          </w:tcPr>
          <w:p w14:paraId="10B7C264">
            <w:pPr>
              <w:pStyle w:val="12"/>
              <w:jc w:val="center"/>
              <w:rPr>
                <w:rFonts w:ascii="宋体" w:hAnsi="宋体"/>
              </w:rPr>
            </w:pPr>
            <w:r>
              <w:rPr>
                <w:rFonts w:ascii="宋体" w:hAnsi="宋体"/>
              </w:rPr>
              <w:t>192361</w:t>
            </w:r>
          </w:p>
        </w:tc>
        <w:tc>
          <w:tcPr>
            <w:tcW w:w="715" w:type="pct"/>
            <w:vAlign w:val="center"/>
          </w:tcPr>
          <w:p w14:paraId="5F94CB46">
            <w:pPr>
              <w:pStyle w:val="12"/>
              <w:jc w:val="center"/>
              <w:rPr>
                <w:rFonts w:ascii="宋体" w:hAnsi="宋体"/>
              </w:rPr>
            </w:pPr>
            <w:r>
              <w:rPr>
                <w:rFonts w:ascii="宋体" w:hAnsi="宋体"/>
              </w:rPr>
              <w:t>413</w:t>
            </w:r>
          </w:p>
        </w:tc>
      </w:tr>
      <w:tr w14:paraId="05DDAB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E9D4103">
            <w:pPr>
              <w:pStyle w:val="12"/>
              <w:jc w:val="center"/>
              <w:rPr>
                <w:rFonts w:ascii="宋体" w:hAnsi="宋体"/>
              </w:rPr>
            </w:pPr>
            <w:r>
              <w:rPr>
                <w:rFonts w:ascii="宋体" w:hAnsi="宋体"/>
              </w:rPr>
              <w:t>1991</w:t>
            </w:r>
          </w:p>
        </w:tc>
        <w:tc>
          <w:tcPr>
            <w:tcW w:w="714" w:type="pct"/>
            <w:vAlign w:val="center"/>
          </w:tcPr>
          <w:p w14:paraId="307FBF01">
            <w:pPr>
              <w:pStyle w:val="12"/>
              <w:jc w:val="center"/>
              <w:rPr>
                <w:rFonts w:ascii="宋体" w:hAnsi="宋体"/>
              </w:rPr>
            </w:pPr>
            <w:r>
              <w:rPr>
                <w:rFonts w:ascii="宋体" w:hAnsi="宋体"/>
              </w:rPr>
              <w:t>524628</w:t>
            </w:r>
          </w:p>
        </w:tc>
        <w:tc>
          <w:tcPr>
            <w:tcW w:w="714" w:type="pct"/>
            <w:vAlign w:val="center"/>
          </w:tcPr>
          <w:p w14:paraId="34B8E98C">
            <w:pPr>
              <w:pStyle w:val="12"/>
              <w:jc w:val="center"/>
              <w:rPr>
                <w:rFonts w:ascii="宋体" w:hAnsi="宋体"/>
              </w:rPr>
            </w:pPr>
            <w:r>
              <w:rPr>
                <w:rFonts w:ascii="宋体" w:hAnsi="宋体"/>
              </w:rPr>
              <w:t>203983</w:t>
            </w:r>
          </w:p>
        </w:tc>
        <w:tc>
          <w:tcPr>
            <w:tcW w:w="715" w:type="pct"/>
            <w:vAlign w:val="center"/>
          </w:tcPr>
          <w:p w14:paraId="2597E695">
            <w:pPr>
              <w:pStyle w:val="12"/>
              <w:jc w:val="center"/>
              <w:rPr>
                <w:rFonts w:ascii="宋体" w:hAnsi="宋体"/>
              </w:rPr>
            </w:pPr>
            <w:r>
              <w:rPr>
                <w:rFonts w:ascii="宋体" w:hAnsi="宋体"/>
              </w:rPr>
              <w:t>389</w:t>
            </w:r>
          </w:p>
        </w:tc>
        <w:tc>
          <w:tcPr>
            <w:tcW w:w="715" w:type="pct"/>
            <w:vAlign w:val="center"/>
          </w:tcPr>
          <w:p w14:paraId="42C7A873">
            <w:pPr>
              <w:pStyle w:val="12"/>
              <w:jc w:val="center"/>
              <w:rPr>
                <w:rFonts w:ascii="宋体" w:hAnsi="宋体"/>
              </w:rPr>
            </w:pPr>
            <w:r>
              <w:rPr>
                <w:rFonts w:ascii="宋体" w:hAnsi="宋体"/>
              </w:rPr>
              <w:t>457674</w:t>
            </w:r>
          </w:p>
        </w:tc>
        <w:tc>
          <w:tcPr>
            <w:tcW w:w="715" w:type="pct"/>
            <w:vAlign w:val="center"/>
          </w:tcPr>
          <w:p w14:paraId="30B39EEB">
            <w:pPr>
              <w:pStyle w:val="12"/>
              <w:jc w:val="center"/>
              <w:rPr>
                <w:rFonts w:ascii="宋体" w:hAnsi="宋体"/>
              </w:rPr>
            </w:pPr>
            <w:r>
              <w:rPr>
                <w:rFonts w:ascii="宋体" w:hAnsi="宋体"/>
              </w:rPr>
              <w:t>195427</w:t>
            </w:r>
          </w:p>
        </w:tc>
        <w:tc>
          <w:tcPr>
            <w:tcW w:w="715" w:type="pct"/>
            <w:vAlign w:val="center"/>
          </w:tcPr>
          <w:p w14:paraId="1B675E04">
            <w:pPr>
              <w:pStyle w:val="12"/>
              <w:jc w:val="center"/>
              <w:rPr>
                <w:rFonts w:ascii="宋体" w:hAnsi="宋体"/>
              </w:rPr>
            </w:pPr>
            <w:r>
              <w:rPr>
                <w:rFonts w:ascii="宋体" w:hAnsi="宋体"/>
              </w:rPr>
              <w:t>427</w:t>
            </w:r>
          </w:p>
        </w:tc>
      </w:tr>
      <w:tr w14:paraId="11FAE4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405910F">
            <w:pPr>
              <w:pStyle w:val="12"/>
              <w:jc w:val="center"/>
              <w:rPr>
                <w:rFonts w:ascii="宋体" w:hAnsi="宋体"/>
              </w:rPr>
            </w:pPr>
            <w:r>
              <w:rPr>
                <w:rFonts w:ascii="宋体" w:hAnsi="宋体"/>
              </w:rPr>
              <w:t>1992</w:t>
            </w:r>
          </w:p>
        </w:tc>
        <w:tc>
          <w:tcPr>
            <w:tcW w:w="714" w:type="pct"/>
            <w:vAlign w:val="center"/>
          </w:tcPr>
          <w:p w14:paraId="0789E7A7">
            <w:pPr>
              <w:pStyle w:val="12"/>
              <w:jc w:val="center"/>
              <w:rPr>
                <w:rFonts w:ascii="宋体" w:hAnsi="宋体"/>
              </w:rPr>
            </w:pPr>
            <w:r>
              <w:rPr>
                <w:rFonts w:ascii="宋体" w:hAnsi="宋体"/>
              </w:rPr>
              <w:t>511690</w:t>
            </w:r>
          </w:p>
        </w:tc>
        <w:tc>
          <w:tcPr>
            <w:tcW w:w="714" w:type="pct"/>
            <w:vAlign w:val="center"/>
          </w:tcPr>
          <w:p w14:paraId="1ACBF2C9">
            <w:pPr>
              <w:pStyle w:val="12"/>
              <w:jc w:val="center"/>
              <w:rPr>
                <w:rFonts w:ascii="宋体" w:hAnsi="宋体"/>
              </w:rPr>
            </w:pPr>
            <w:r>
              <w:rPr>
                <w:rFonts w:ascii="宋体" w:hAnsi="宋体"/>
              </w:rPr>
              <w:t>204299</w:t>
            </w:r>
          </w:p>
        </w:tc>
        <w:tc>
          <w:tcPr>
            <w:tcW w:w="715" w:type="pct"/>
            <w:vAlign w:val="center"/>
          </w:tcPr>
          <w:p w14:paraId="67EF6785">
            <w:pPr>
              <w:pStyle w:val="12"/>
              <w:jc w:val="center"/>
              <w:rPr>
                <w:rFonts w:ascii="宋体" w:hAnsi="宋体"/>
              </w:rPr>
            </w:pPr>
            <w:r>
              <w:rPr>
                <w:rFonts w:ascii="宋体" w:hAnsi="宋体"/>
              </w:rPr>
              <w:t>399</w:t>
            </w:r>
          </w:p>
        </w:tc>
        <w:tc>
          <w:tcPr>
            <w:tcW w:w="715" w:type="pct"/>
            <w:vAlign w:val="center"/>
          </w:tcPr>
          <w:p w14:paraId="706420B8">
            <w:pPr>
              <w:pStyle w:val="12"/>
              <w:jc w:val="center"/>
              <w:rPr>
                <w:rFonts w:ascii="宋体" w:hAnsi="宋体"/>
              </w:rPr>
            </w:pPr>
            <w:r>
              <w:rPr>
                <w:rFonts w:ascii="宋体" w:hAnsi="宋体"/>
              </w:rPr>
              <w:t>444945</w:t>
            </w:r>
          </w:p>
        </w:tc>
        <w:tc>
          <w:tcPr>
            <w:tcW w:w="715" w:type="pct"/>
            <w:vAlign w:val="center"/>
          </w:tcPr>
          <w:p w14:paraId="06A4E600">
            <w:pPr>
              <w:pStyle w:val="12"/>
              <w:jc w:val="center"/>
              <w:rPr>
                <w:rFonts w:ascii="宋体" w:hAnsi="宋体"/>
              </w:rPr>
            </w:pPr>
            <w:r>
              <w:rPr>
                <w:rFonts w:ascii="宋体" w:hAnsi="宋体"/>
              </w:rPr>
              <w:t>194886</w:t>
            </w:r>
          </w:p>
        </w:tc>
        <w:tc>
          <w:tcPr>
            <w:tcW w:w="715" w:type="pct"/>
            <w:vAlign w:val="center"/>
          </w:tcPr>
          <w:p w14:paraId="68B4B1EC">
            <w:pPr>
              <w:pStyle w:val="12"/>
              <w:jc w:val="center"/>
              <w:rPr>
                <w:rFonts w:ascii="宋体" w:hAnsi="宋体"/>
              </w:rPr>
            </w:pPr>
            <w:r>
              <w:rPr>
                <w:rFonts w:ascii="宋体" w:hAnsi="宋体"/>
              </w:rPr>
              <w:t>438</w:t>
            </w:r>
          </w:p>
        </w:tc>
      </w:tr>
      <w:tr w14:paraId="281EDE6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4A575AB">
            <w:pPr>
              <w:pStyle w:val="12"/>
              <w:jc w:val="center"/>
              <w:rPr>
                <w:rFonts w:ascii="宋体" w:hAnsi="宋体"/>
              </w:rPr>
            </w:pPr>
            <w:r>
              <w:rPr>
                <w:rFonts w:ascii="宋体" w:hAnsi="宋体"/>
              </w:rPr>
              <w:t>1993</w:t>
            </w:r>
          </w:p>
        </w:tc>
        <w:tc>
          <w:tcPr>
            <w:tcW w:w="714" w:type="pct"/>
            <w:vAlign w:val="center"/>
          </w:tcPr>
          <w:p w14:paraId="2664D93D">
            <w:pPr>
              <w:pStyle w:val="12"/>
              <w:jc w:val="center"/>
              <w:rPr>
                <w:rFonts w:ascii="宋体" w:hAnsi="宋体"/>
              </w:rPr>
            </w:pPr>
            <w:r>
              <w:rPr>
                <w:rFonts w:ascii="宋体" w:hAnsi="宋体"/>
              </w:rPr>
              <w:t>496616</w:t>
            </w:r>
          </w:p>
        </w:tc>
        <w:tc>
          <w:tcPr>
            <w:tcW w:w="714" w:type="pct"/>
            <w:vAlign w:val="center"/>
          </w:tcPr>
          <w:p w14:paraId="6E7C5DCF">
            <w:pPr>
              <w:pStyle w:val="12"/>
              <w:jc w:val="center"/>
              <w:rPr>
                <w:rFonts w:ascii="宋体" w:hAnsi="宋体"/>
              </w:rPr>
            </w:pPr>
            <w:r>
              <w:rPr>
                <w:rFonts w:ascii="宋体" w:hAnsi="宋体"/>
              </w:rPr>
              <w:t>205798</w:t>
            </w:r>
          </w:p>
        </w:tc>
        <w:tc>
          <w:tcPr>
            <w:tcW w:w="715" w:type="pct"/>
            <w:vAlign w:val="center"/>
          </w:tcPr>
          <w:p w14:paraId="4B8AD1EB">
            <w:pPr>
              <w:pStyle w:val="12"/>
              <w:jc w:val="center"/>
              <w:rPr>
                <w:rFonts w:ascii="宋体" w:hAnsi="宋体"/>
              </w:rPr>
            </w:pPr>
            <w:r>
              <w:rPr>
                <w:rFonts w:ascii="宋体" w:hAnsi="宋体"/>
              </w:rPr>
              <w:t>414</w:t>
            </w:r>
          </w:p>
        </w:tc>
        <w:tc>
          <w:tcPr>
            <w:tcW w:w="715" w:type="pct"/>
            <w:vAlign w:val="center"/>
          </w:tcPr>
          <w:p w14:paraId="4565B525">
            <w:pPr>
              <w:pStyle w:val="12"/>
              <w:jc w:val="center"/>
              <w:rPr>
                <w:rFonts w:ascii="宋体" w:hAnsi="宋体"/>
              </w:rPr>
            </w:pPr>
            <w:r>
              <w:rPr>
                <w:rFonts w:ascii="宋体" w:hAnsi="宋体"/>
              </w:rPr>
              <w:t>428806</w:t>
            </w:r>
          </w:p>
        </w:tc>
        <w:tc>
          <w:tcPr>
            <w:tcW w:w="715" w:type="pct"/>
            <w:vAlign w:val="center"/>
          </w:tcPr>
          <w:p w14:paraId="1664BE7C">
            <w:pPr>
              <w:pStyle w:val="12"/>
              <w:jc w:val="center"/>
              <w:rPr>
                <w:rFonts w:ascii="宋体" w:hAnsi="宋体"/>
              </w:rPr>
            </w:pPr>
            <w:r>
              <w:rPr>
                <w:rFonts w:ascii="宋体" w:hAnsi="宋体"/>
              </w:rPr>
              <w:t>190818</w:t>
            </w:r>
          </w:p>
        </w:tc>
        <w:tc>
          <w:tcPr>
            <w:tcW w:w="715" w:type="pct"/>
            <w:vAlign w:val="center"/>
          </w:tcPr>
          <w:p w14:paraId="3B473E35">
            <w:pPr>
              <w:pStyle w:val="12"/>
              <w:jc w:val="center"/>
              <w:rPr>
                <w:rFonts w:ascii="宋体" w:hAnsi="宋体"/>
              </w:rPr>
            </w:pPr>
            <w:r>
              <w:rPr>
                <w:rFonts w:ascii="宋体" w:hAnsi="宋体"/>
              </w:rPr>
              <w:t>445</w:t>
            </w:r>
          </w:p>
        </w:tc>
      </w:tr>
      <w:tr w14:paraId="2DB4A2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CD55DA2">
            <w:pPr>
              <w:pStyle w:val="12"/>
              <w:jc w:val="center"/>
              <w:rPr>
                <w:rFonts w:ascii="宋体" w:hAnsi="宋体"/>
              </w:rPr>
            </w:pPr>
            <w:r>
              <w:rPr>
                <w:rFonts w:ascii="宋体" w:hAnsi="宋体"/>
              </w:rPr>
              <w:t>1994</w:t>
            </w:r>
          </w:p>
        </w:tc>
        <w:tc>
          <w:tcPr>
            <w:tcW w:w="714" w:type="pct"/>
            <w:vAlign w:val="center"/>
          </w:tcPr>
          <w:p w14:paraId="2D3212B5">
            <w:pPr>
              <w:pStyle w:val="12"/>
              <w:jc w:val="center"/>
              <w:rPr>
                <w:rFonts w:ascii="宋体" w:hAnsi="宋体"/>
              </w:rPr>
            </w:pPr>
            <w:r>
              <w:rPr>
                <w:rFonts w:ascii="宋体" w:hAnsi="宋体"/>
              </w:rPr>
              <w:t>533495</w:t>
            </w:r>
          </w:p>
        </w:tc>
        <w:tc>
          <w:tcPr>
            <w:tcW w:w="714" w:type="pct"/>
            <w:vAlign w:val="center"/>
          </w:tcPr>
          <w:p w14:paraId="0670FC17">
            <w:pPr>
              <w:pStyle w:val="12"/>
              <w:jc w:val="center"/>
              <w:rPr>
                <w:rFonts w:ascii="宋体" w:hAnsi="宋体"/>
              </w:rPr>
            </w:pPr>
            <w:r>
              <w:rPr>
                <w:rFonts w:ascii="宋体" w:hAnsi="宋体"/>
              </w:rPr>
              <w:t>212162</w:t>
            </w:r>
          </w:p>
        </w:tc>
        <w:tc>
          <w:tcPr>
            <w:tcW w:w="715" w:type="pct"/>
            <w:vAlign w:val="center"/>
          </w:tcPr>
          <w:p w14:paraId="5C7CC59D">
            <w:pPr>
              <w:pStyle w:val="12"/>
              <w:jc w:val="center"/>
              <w:rPr>
                <w:rFonts w:ascii="宋体" w:hAnsi="宋体"/>
              </w:rPr>
            </w:pPr>
            <w:r>
              <w:rPr>
                <w:rFonts w:ascii="宋体" w:hAnsi="宋体"/>
              </w:rPr>
              <w:t>398</w:t>
            </w:r>
          </w:p>
        </w:tc>
        <w:tc>
          <w:tcPr>
            <w:tcW w:w="715" w:type="pct"/>
            <w:vAlign w:val="center"/>
          </w:tcPr>
          <w:p w14:paraId="00EA3553">
            <w:pPr>
              <w:pStyle w:val="12"/>
              <w:jc w:val="center"/>
              <w:rPr>
                <w:rFonts w:ascii="宋体" w:hAnsi="宋体"/>
              </w:rPr>
            </w:pPr>
            <w:r>
              <w:rPr>
                <w:rFonts w:ascii="宋体" w:hAnsi="宋体"/>
              </w:rPr>
              <w:t>458250</w:t>
            </w:r>
          </w:p>
        </w:tc>
        <w:tc>
          <w:tcPr>
            <w:tcW w:w="715" w:type="pct"/>
            <w:vAlign w:val="center"/>
          </w:tcPr>
          <w:p w14:paraId="6E6C1F28">
            <w:pPr>
              <w:pStyle w:val="12"/>
              <w:jc w:val="center"/>
              <w:rPr>
                <w:rFonts w:ascii="宋体" w:hAnsi="宋体"/>
              </w:rPr>
            </w:pPr>
            <w:r>
              <w:rPr>
                <w:rFonts w:ascii="宋体" w:hAnsi="宋体"/>
              </w:rPr>
              <w:t>200255</w:t>
            </w:r>
          </w:p>
        </w:tc>
        <w:tc>
          <w:tcPr>
            <w:tcW w:w="715" w:type="pct"/>
            <w:vAlign w:val="center"/>
          </w:tcPr>
          <w:p w14:paraId="44FC5F79">
            <w:pPr>
              <w:pStyle w:val="12"/>
              <w:jc w:val="center"/>
              <w:rPr>
                <w:rFonts w:ascii="宋体" w:hAnsi="宋体"/>
              </w:rPr>
            </w:pPr>
            <w:r>
              <w:rPr>
                <w:rFonts w:ascii="宋体" w:hAnsi="宋体"/>
              </w:rPr>
              <w:t>437</w:t>
            </w:r>
          </w:p>
        </w:tc>
      </w:tr>
      <w:tr w14:paraId="4988AB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7145143">
            <w:pPr>
              <w:pStyle w:val="12"/>
              <w:jc w:val="center"/>
              <w:rPr>
                <w:rFonts w:ascii="宋体" w:hAnsi="宋体"/>
              </w:rPr>
            </w:pPr>
            <w:r>
              <w:rPr>
                <w:rFonts w:ascii="宋体" w:hAnsi="宋体"/>
              </w:rPr>
              <w:t>1995</w:t>
            </w:r>
          </w:p>
        </w:tc>
        <w:tc>
          <w:tcPr>
            <w:tcW w:w="714" w:type="pct"/>
            <w:vAlign w:val="center"/>
          </w:tcPr>
          <w:p w14:paraId="6018E3A3">
            <w:pPr>
              <w:pStyle w:val="12"/>
              <w:jc w:val="center"/>
              <w:rPr>
                <w:rFonts w:ascii="宋体" w:hAnsi="宋体"/>
              </w:rPr>
            </w:pPr>
            <w:r>
              <w:rPr>
                <w:rFonts w:ascii="宋体" w:hAnsi="宋体"/>
              </w:rPr>
              <w:t>540645</w:t>
            </w:r>
          </w:p>
        </w:tc>
        <w:tc>
          <w:tcPr>
            <w:tcW w:w="714" w:type="pct"/>
            <w:vAlign w:val="center"/>
          </w:tcPr>
          <w:p w14:paraId="06BC79BC">
            <w:pPr>
              <w:pStyle w:val="12"/>
              <w:jc w:val="center"/>
              <w:rPr>
                <w:rFonts w:ascii="宋体" w:hAnsi="宋体"/>
              </w:rPr>
            </w:pPr>
            <w:r>
              <w:rPr>
                <w:rFonts w:ascii="宋体" w:hAnsi="宋体"/>
              </w:rPr>
              <w:t>222349</w:t>
            </w:r>
          </w:p>
        </w:tc>
        <w:tc>
          <w:tcPr>
            <w:tcW w:w="715" w:type="pct"/>
            <w:vAlign w:val="center"/>
          </w:tcPr>
          <w:p w14:paraId="6B5EFD14">
            <w:pPr>
              <w:pStyle w:val="12"/>
              <w:jc w:val="center"/>
              <w:rPr>
                <w:rFonts w:ascii="宋体" w:hAnsi="宋体"/>
              </w:rPr>
            </w:pPr>
            <w:r>
              <w:rPr>
                <w:rFonts w:ascii="宋体" w:hAnsi="宋体"/>
              </w:rPr>
              <w:t>411</w:t>
            </w:r>
          </w:p>
        </w:tc>
        <w:tc>
          <w:tcPr>
            <w:tcW w:w="715" w:type="pct"/>
            <w:vAlign w:val="center"/>
          </w:tcPr>
          <w:p w14:paraId="676DE0BF">
            <w:pPr>
              <w:pStyle w:val="12"/>
              <w:jc w:val="center"/>
              <w:rPr>
                <w:rFonts w:ascii="宋体" w:hAnsi="宋体"/>
              </w:rPr>
            </w:pPr>
            <w:r>
              <w:rPr>
                <w:rFonts w:ascii="宋体" w:hAnsi="宋体"/>
              </w:rPr>
              <w:t>461963</w:t>
            </w:r>
          </w:p>
        </w:tc>
        <w:tc>
          <w:tcPr>
            <w:tcW w:w="715" w:type="pct"/>
            <w:vAlign w:val="center"/>
          </w:tcPr>
          <w:p w14:paraId="6966A51C">
            <w:pPr>
              <w:pStyle w:val="12"/>
              <w:jc w:val="center"/>
              <w:rPr>
                <w:rFonts w:ascii="宋体" w:hAnsi="宋体"/>
              </w:rPr>
            </w:pPr>
            <w:r>
              <w:rPr>
                <w:rFonts w:ascii="宋体" w:hAnsi="宋体"/>
              </w:rPr>
              <w:t>207481</w:t>
            </w:r>
          </w:p>
        </w:tc>
        <w:tc>
          <w:tcPr>
            <w:tcW w:w="715" w:type="pct"/>
            <w:vAlign w:val="center"/>
          </w:tcPr>
          <w:p w14:paraId="144BEADC">
            <w:pPr>
              <w:pStyle w:val="12"/>
              <w:jc w:val="center"/>
              <w:rPr>
                <w:rFonts w:ascii="宋体" w:hAnsi="宋体"/>
              </w:rPr>
            </w:pPr>
            <w:r>
              <w:rPr>
                <w:rFonts w:ascii="宋体" w:hAnsi="宋体"/>
              </w:rPr>
              <w:t>457</w:t>
            </w:r>
          </w:p>
        </w:tc>
      </w:tr>
      <w:tr w14:paraId="36F1DA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2DE495EB">
            <w:pPr>
              <w:pStyle w:val="12"/>
              <w:jc w:val="center"/>
              <w:rPr>
                <w:rFonts w:ascii="宋体" w:hAnsi="宋体"/>
              </w:rPr>
            </w:pPr>
            <w:r>
              <w:rPr>
                <w:rFonts w:ascii="宋体" w:hAnsi="宋体"/>
              </w:rPr>
              <w:t>1996</w:t>
            </w:r>
          </w:p>
        </w:tc>
        <w:tc>
          <w:tcPr>
            <w:tcW w:w="714" w:type="pct"/>
            <w:vAlign w:val="center"/>
          </w:tcPr>
          <w:p w14:paraId="27E07F24">
            <w:pPr>
              <w:pStyle w:val="12"/>
              <w:jc w:val="center"/>
              <w:rPr>
                <w:rFonts w:ascii="宋体" w:hAnsi="宋体"/>
              </w:rPr>
            </w:pPr>
            <w:r>
              <w:rPr>
                <w:rFonts w:ascii="宋体" w:hAnsi="宋体"/>
              </w:rPr>
              <w:t>560898</w:t>
            </w:r>
          </w:p>
        </w:tc>
        <w:tc>
          <w:tcPr>
            <w:tcW w:w="714" w:type="pct"/>
            <w:vAlign w:val="center"/>
          </w:tcPr>
          <w:p w14:paraId="10E67B54">
            <w:pPr>
              <w:pStyle w:val="12"/>
              <w:jc w:val="center"/>
              <w:rPr>
                <w:rFonts w:ascii="宋体" w:hAnsi="宋体"/>
              </w:rPr>
            </w:pPr>
            <w:r>
              <w:rPr>
                <w:rFonts w:ascii="宋体" w:hAnsi="宋体"/>
              </w:rPr>
              <w:t>247468</w:t>
            </w:r>
          </w:p>
        </w:tc>
        <w:tc>
          <w:tcPr>
            <w:tcW w:w="715" w:type="pct"/>
            <w:vAlign w:val="center"/>
          </w:tcPr>
          <w:p w14:paraId="51B61FD1">
            <w:pPr>
              <w:pStyle w:val="12"/>
              <w:jc w:val="center"/>
              <w:rPr>
                <w:rFonts w:ascii="宋体" w:hAnsi="宋体"/>
              </w:rPr>
            </w:pPr>
            <w:r>
              <w:rPr>
                <w:rFonts w:ascii="宋体" w:hAnsi="宋体"/>
              </w:rPr>
              <w:t>441</w:t>
            </w:r>
          </w:p>
        </w:tc>
        <w:tc>
          <w:tcPr>
            <w:tcW w:w="715" w:type="pct"/>
            <w:vAlign w:val="center"/>
          </w:tcPr>
          <w:p w14:paraId="1CE6E203">
            <w:pPr>
              <w:pStyle w:val="12"/>
              <w:jc w:val="center"/>
              <w:rPr>
                <w:rFonts w:ascii="宋体" w:hAnsi="宋体"/>
              </w:rPr>
            </w:pPr>
            <w:r>
              <w:rPr>
                <w:rFonts w:ascii="宋体" w:hAnsi="宋体"/>
              </w:rPr>
              <w:t>470478</w:t>
            </w:r>
          </w:p>
        </w:tc>
        <w:tc>
          <w:tcPr>
            <w:tcW w:w="715" w:type="pct"/>
            <w:vAlign w:val="center"/>
          </w:tcPr>
          <w:p w14:paraId="19F67749">
            <w:pPr>
              <w:pStyle w:val="12"/>
              <w:jc w:val="center"/>
              <w:rPr>
                <w:rFonts w:ascii="宋体" w:hAnsi="宋体"/>
              </w:rPr>
            </w:pPr>
            <w:r>
              <w:rPr>
                <w:rFonts w:ascii="宋体" w:hAnsi="宋体"/>
              </w:rPr>
              <w:t>235169</w:t>
            </w:r>
          </w:p>
        </w:tc>
        <w:tc>
          <w:tcPr>
            <w:tcW w:w="715" w:type="pct"/>
            <w:vAlign w:val="center"/>
          </w:tcPr>
          <w:p w14:paraId="36845B19">
            <w:pPr>
              <w:pStyle w:val="12"/>
              <w:jc w:val="center"/>
              <w:rPr>
                <w:rFonts w:ascii="宋体" w:hAnsi="宋体"/>
              </w:rPr>
            </w:pPr>
            <w:r>
              <w:rPr>
                <w:rFonts w:ascii="宋体" w:hAnsi="宋体"/>
              </w:rPr>
              <w:t>500</w:t>
            </w:r>
          </w:p>
        </w:tc>
      </w:tr>
      <w:tr w14:paraId="361B0A0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25AF0FAD">
            <w:pPr>
              <w:pStyle w:val="12"/>
              <w:jc w:val="center"/>
              <w:rPr>
                <w:rFonts w:ascii="宋体" w:hAnsi="宋体"/>
              </w:rPr>
            </w:pPr>
            <w:r>
              <w:rPr>
                <w:rFonts w:ascii="宋体" w:hAnsi="宋体"/>
              </w:rPr>
              <w:t>1997</w:t>
            </w:r>
          </w:p>
        </w:tc>
        <w:tc>
          <w:tcPr>
            <w:tcW w:w="714" w:type="pct"/>
            <w:vAlign w:val="center"/>
          </w:tcPr>
          <w:p w14:paraId="60794F4A">
            <w:pPr>
              <w:pStyle w:val="12"/>
              <w:jc w:val="center"/>
              <w:rPr>
                <w:rFonts w:ascii="宋体" w:hAnsi="宋体"/>
              </w:rPr>
            </w:pPr>
            <w:r>
              <w:rPr>
                <w:rFonts w:ascii="宋体" w:hAnsi="宋体"/>
              </w:rPr>
              <w:t>553813</w:t>
            </w:r>
          </w:p>
        </w:tc>
        <w:tc>
          <w:tcPr>
            <w:tcW w:w="714" w:type="pct"/>
            <w:vAlign w:val="center"/>
          </w:tcPr>
          <w:p w14:paraId="5EFD3C33">
            <w:pPr>
              <w:pStyle w:val="12"/>
              <w:jc w:val="center"/>
              <w:rPr>
                <w:rFonts w:ascii="宋体" w:hAnsi="宋体"/>
              </w:rPr>
            </w:pPr>
            <w:r>
              <w:rPr>
                <w:rFonts w:ascii="宋体" w:hAnsi="宋体"/>
              </w:rPr>
              <w:t>249568</w:t>
            </w:r>
          </w:p>
        </w:tc>
        <w:tc>
          <w:tcPr>
            <w:tcW w:w="715" w:type="pct"/>
            <w:vAlign w:val="center"/>
          </w:tcPr>
          <w:p w14:paraId="4EBFC75A">
            <w:pPr>
              <w:pStyle w:val="12"/>
              <w:jc w:val="center"/>
              <w:rPr>
                <w:rFonts w:ascii="宋体" w:hAnsi="宋体"/>
              </w:rPr>
            </w:pPr>
            <w:r>
              <w:rPr>
                <w:rFonts w:ascii="宋体" w:hAnsi="宋体"/>
              </w:rPr>
              <w:t>451</w:t>
            </w:r>
          </w:p>
        </w:tc>
        <w:tc>
          <w:tcPr>
            <w:tcW w:w="715" w:type="pct"/>
            <w:vAlign w:val="center"/>
          </w:tcPr>
          <w:p w14:paraId="3DFD942E">
            <w:pPr>
              <w:pStyle w:val="12"/>
              <w:jc w:val="center"/>
              <w:rPr>
                <w:rFonts w:ascii="宋体" w:hAnsi="宋体"/>
              </w:rPr>
            </w:pPr>
            <w:r>
              <w:rPr>
                <w:rFonts w:ascii="宋体" w:hAnsi="宋体"/>
              </w:rPr>
              <w:t>471418</w:t>
            </w:r>
          </w:p>
        </w:tc>
        <w:tc>
          <w:tcPr>
            <w:tcW w:w="715" w:type="pct"/>
            <w:vAlign w:val="center"/>
          </w:tcPr>
          <w:p w14:paraId="4087E104">
            <w:pPr>
              <w:pStyle w:val="12"/>
              <w:jc w:val="center"/>
              <w:rPr>
                <w:rFonts w:ascii="宋体" w:hAnsi="宋体"/>
              </w:rPr>
            </w:pPr>
            <w:r>
              <w:rPr>
                <w:rFonts w:ascii="宋体" w:hAnsi="宋体"/>
              </w:rPr>
              <w:t>236829</w:t>
            </w:r>
          </w:p>
        </w:tc>
        <w:tc>
          <w:tcPr>
            <w:tcW w:w="715" w:type="pct"/>
            <w:vAlign w:val="center"/>
          </w:tcPr>
          <w:p w14:paraId="0BED51B0">
            <w:pPr>
              <w:pStyle w:val="12"/>
              <w:jc w:val="center"/>
              <w:rPr>
                <w:rFonts w:ascii="宋体" w:hAnsi="宋体"/>
              </w:rPr>
            </w:pPr>
            <w:r>
              <w:rPr>
                <w:rFonts w:ascii="宋体" w:hAnsi="宋体"/>
              </w:rPr>
              <w:t>502</w:t>
            </w:r>
          </w:p>
        </w:tc>
      </w:tr>
      <w:tr w14:paraId="5D3074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6D6DE53">
            <w:pPr>
              <w:pStyle w:val="12"/>
              <w:jc w:val="center"/>
              <w:rPr>
                <w:rFonts w:ascii="宋体" w:hAnsi="宋体"/>
              </w:rPr>
            </w:pPr>
            <w:r>
              <w:rPr>
                <w:rFonts w:ascii="宋体" w:hAnsi="宋体"/>
              </w:rPr>
              <w:t>1998</w:t>
            </w:r>
          </w:p>
        </w:tc>
        <w:tc>
          <w:tcPr>
            <w:tcW w:w="714" w:type="pct"/>
            <w:vAlign w:val="center"/>
          </w:tcPr>
          <w:p w14:paraId="1487B311">
            <w:pPr>
              <w:pStyle w:val="12"/>
              <w:jc w:val="center"/>
              <w:rPr>
                <w:rFonts w:ascii="宋体" w:hAnsi="宋体"/>
              </w:rPr>
            </w:pPr>
            <w:r>
              <w:rPr>
                <w:rFonts w:ascii="宋体" w:hAnsi="宋体"/>
              </w:rPr>
              <w:t>551686</w:t>
            </w:r>
          </w:p>
        </w:tc>
        <w:tc>
          <w:tcPr>
            <w:tcW w:w="714" w:type="pct"/>
            <w:vAlign w:val="center"/>
          </w:tcPr>
          <w:p w14:paraId="3A665AD5">
            <w:pPr>
              <w:pStyle w:val="12"/>
              <w:jc w:val="center"/>
              <w:rPr>
                <w:rFonts w:ascii="宋体" w:hAnsi="宋体"/>
              </w:rPr>
            </w:pPr>
            <w:r>
              <w:rPr>
                <w:rFonts w:ascii="宋体" w:hAnsi="宋体"/>
              </w:rPr>
              <w:t>251407</w:t>
            </w:r>
          </w:p>
        </w:tc>
        <w:tc>
          <w:tcPr>
            <w:tcW w:w="715" w:type="pct"/>
            <w:vAlign w:val="center"/>
          </w:tcPr>
          <w:p w14:paraId="5491A097">
            <w:pPr>
              <w:pStyle w:val="12"/>
              <w:jc w:val="center"/>
              <w:rPr>
                <w:rFonts w:ascii="宋体" w:hAnsi="宋体"/>
              </w:rPr>
            </w:pPr>
            <w:r>
              <w:rPr>
                <w:rFonts w:ascii="宋体" w:hAnsi="宋体"/>
              </w:rPr>
              <w:t>456</w:t>
            </w:r>
          </w:p>
        </w:tc>
        <w:tc>
          <w:tcPr>
            <w:tcW w:w="715" w:type="pct"/>
            <w:vAlign w:val="center"/>
          </w:tcPr>
          <w:p w14:paraId="61A7E617">
            <w:pPr>
              <w:pStyle w:val="12"/>
              <w:jc w:val="center"/>
              <w:rPr>
                <w:rFonts w:ascii="宋体" w:hAnsi="宋体"/>
              </w:rPr>
            </w:pPr>
            <w:r>
              <w:rPr>
                <w:rFonts w:ascii="宋体" w:hAnsi="宋体"/>
              </w:rPr>
              <w:t>467586</w:t>
            </w:r>
          </w:p>
        </w:tc>
        <w:tc>
          <w:tcPr>
            <w:tcW w:w="715" w:type="pct"/>
            <w:vAlign w:val="center"/>
          </w:tcPr>
          <w:p w14:paraId="6D2F2533">
            <w:pPr>
              <w:pStyle w:val="12"/>
              <w:jc w:val="center"/>
              <w:rPr>
                <w:rFonts w:ascii="宋体" w:hAnsi="宋体"/>
              </w:rPr>
            </w:pPr>
            <w:r>
              <w:rPr>
                <w:rFonts w:ascii="宋体" w:hAnsi="宋体"/>
              </w:rPr>
              <w:t>236119</w:t>
            </w:r>
          </w:p>
        </w:tc>
        <w:tc>
          <w:tcPr>
            <w:tcW w:w="715" w:type="pct"/>
            <w:vAlign w:val="center"/>
          </w:tcPr>
          <w:p w14:paraId="36303CDD">
            <w:pPr>
              <w:pStyle w:val="12"/>
              <w:jc w:val="center"/>
              <w:rPr>
                <w:rFonts w:ascii="宋体" w:hAnsi="宋体"/>
              </w:rPr>
            </w:pPr>
            <w:r>
              <w:rPr>
                <w:rFonts w:ascii="宋体" w:hAnsi="宋体"/>
              </w:rPr>
              <w:t>505</w:t>
            </w:r>
          </w:p>
        </w:tc>
      </w:tr>
      <w:tr w14:paraId="3CF4141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79536F3">
            <w:pPr>
              <w:pStyle w:val="12"/>
              <w:jc w:val="center"/>
              <w:rPr>
                <w:rFonts w:ascii="宋体" w:hAnsi="宋体"/>
              </w:rPr>
            </w:pPr>
            <w:r>
              <w:rPr>
                <w:rFonts w:ascii="宋体" w:hAnsi="宋体"/>
              </w:rPr>
              <w:t>1999</w:t>
            </w:r>
          </w:p>
        </w:tc>
        <w:tc>
          <w:tcPr>
            <w:tcW w:w="714" w:type="pct"/>
            <w:vAlign w:val="center"/>
          </w:tcPr>
          <w:p w14:paraId="09E0A47B">
            <w:pPr>
              <w:pStyle w:val="12"/>
              <w:jc w:val="center"/>
              <w:rPr>
                <w:rFonts w:ascii="宋体" w:hAnsi="宋体"/>
              </w:rPr>
            </w:pPr>
            <w:r>
              <w:rPr>
                <w:rFonts w:ascii="宋体" w:hAnsi="宋体"/>
              </w:rPr>
              <w:t>572093</w:t>
            </w:r>
          </w:p>
        </w:tc>
        <w:tc>
          <w:tcPr>
            <w:tcW w:w="714" w:type="pct"/>
            <w:vAlign w:val="center"/>
          </w:tcPr>
          <w:p w14:paraId="778D9AC8">
            <w:pPr>
              <w:pStyle w:val="12"/>
              <w:jc w:val="center"/>
              <w:rPr>
                <w:rFonts w:ascii="宋体" w:hAnsi="宋体"/>
              </w:rPr>
            </w:pPr>
            <w:r>
              <w:rPr>
                <w:rFonts w:ascii="宋体" w:hAnsi="宋体"/>
              </w:rPr>
              <w:t>254354</w:t>
            </w:r>
          </w:p>
        </w:tc>
        <w:tc>
          <w:tcPr>
            <w:tcW w:w="715" w:type="pct"/>
            <w:vAlign w:val="center"/>
          </w:tcPr>
          <w:p w14:paraId="5685AEC9">
            <w:pPr>
              <w:pStyle w:val="12"/>
              <w:jc w:val="center"/>
              <w:rPr>
                <w:rFonts w:ascii="宋体" w:hAnsi="宋体"/>
              </w:rPr>
            </w:pPr>
            <w:r>
              <w:rPr>
                <w:rFonts w:ascii="宋体" w:hAnsi="宋体"/>
              </w:rPr>
              <w:t>445</w:t>
            </w:r>
          </w:p>
        </w:tc>
        <w:tc>
          <w:tcPr>
            <w:tcW w:w="715" w:type="pct"/>
            <w:vAlign w:val="center"/>
          </w:tcPr>
          <w:p w14:paraId="73111F63">
            <w:pPr>
              <w:pStyle w:val="12"/>
              <w:jc w:val="center"/>
              <w:rPr>
                <w:rFonts w:ascii="宋体" w:hAnsi="宋体"/>
              </w:rPr>
            </w:pPr>
            <w:r>
              <w:rPr>
                <w:rFonts w:ascii="宋体" w:hAnsi="宋体"/>
              </w:rPr>
              <w:t>475805</w:t>
            </w:r>
          </w:p>
        </w:tc>
        <w:tc>
          <w:tcPr>
            <w:tcW w:w="715" w:type="pct"/>
            <w:vAlign w:val="center"/>
          </w:tcPr>
          <w:p w14:paraId="470333E6">
            <w:pPr>
              <w:pStyle w:val="12"/>
              <w:jc w:val="center"/>
              <w:rPr>
                <w:rFonts w:ascii="宋体" w:hAnsi="宋体"/>
              </w:rPr>
            </w:pPr>
            <w:r>
              <w:rPr>
                <w:rFonts w:ascii="宋体" w:hAnsi="宋体"/>
              </w:rPr>
              <w:t>238707</w:t>
            </w:r>
          </w:p>
        </w:tc>
        <w:tc>
          <w:tcPr>
            <w:tcW w:w="715" w:type="pct"/>
            <w:vAlign w:val="center"/>
          </w:tcPr>
          <w:p w14:paraId="3B152C6F">
            <w:pPr>
              <w:pStyle w:val="12"/>
              <w:jc w:val="center"/>
              <w:rPr>
                <w:rFonts w:ascii="宋体" w:hAnsi="宋体"/>
              </w:rPr>
            </w:pPr>
            <w:r>
              <w:rPr>
                <w:rFonts w:ascii="宋体" w:hAnsi="宋体"/>
              </w:rPr>
              <w:t>502</w:t>
            </w:r>
          </w:p>
        </w:tc>
      </w:tr>
      <w:tr w14:paraId="46C4FA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26385C66">
            <w:pPr>
              <w:pStyle w:val="12"/>
              <w:jc w:val="center"/>
              <w:rPr>
                <w:rFonts w:ascii="宋体" w:hAnsi="宋体"/>
              </w:rPr>
            </w:pPr>
            <w:r>
              <w:rPr>
                <w:rFonts w:ascii="宋体" w:hAnsi="宋体"/>
              </w:rPr>
              <w:t>2000</w:t>
            </w:r>
          </w:p>
        </w:tc>
        <w:tc>
          <w:tcPr>
            <w:tcW w:w="714" w:type="pct"/>
            <w:vAlign w:val="center"/>
          </w:tcPr>
          <w:p w14:paraId="37F7538C">
            <w:pPr>
              <w:pStyle w:val="12"/>
              <w:jc w:val="center"/>
              <w:rPr>
                <w:rFonts w:ascii="宋体" w:hAnsi="宋体"/>
              </w:rPr>
            </w:pPr>
            <w:r>
              <w:rPr>
                <w:rFonts w:ascii="宋体" w:hAnsi="宋体"/>
              </w:rPr>
              <w:t>571598</w:t>
            </w:r>
          </w:p>
        </w:tc>
        <w:tc>
          <w:tcPr>
            <w:tcW w:w="714" w:type="pct"/>
            <w:vAlign w:val="center"/>
          </w:tcPr>
          <w:p w14:paraId="2CD4A704">
            <w:pPr>
              <w:pStyle w:val="12"/>
              <w:jc w:val="center"/>
              <w:rPr>
                <w:rFonts w:ascii="宋体" w:hAnsi="宋体"/>
              </w:rPr>
            </w:pPr>
            <w:r>
              <w:rPr>
                <w:rFonts w:ascii="宋体" w:hAnsi="宋体"/>
              </w:rPr>
              <w:t>255707</w:t>
            </w:r>
          </w:p>
        </w:tc>
        <w:tc>
          <w:tcPr>
            <w:tcW w:w="715" w:type="pct"/>
            <w:vAlign w:val="center"/>
          </w:tcPr>
          <w:p w14:paraId="15521954">
            <w:pPr>
              <w:pStyle w:val="12"/>
              <w:jc w:val="center"/>
              <w:rPr>
                <w:rFonts w:ascii="宋体" w:hAnsi="宋体"/>
              </w:rPr>
            </w:pPr>
            <w:r>
              <w:rPr>
                <w:rFonts w:ascii="宋体" w:hAnsi="宋体"/>
              </w:rPr>
              <w:t>447</w:t>
            </w:r>
          </w:p>
        </w:tc>
        <w:tc>
          <w:tcPr>
            <w:tcW w:w="715" w:type="pct"/>
            <w:vAlign w:val="center"/>
          </w:tcPr>
          <w:p w14:paraId="77B471D1">
            <w:pPr>
              <w:pStyle w:val="12"/>
              <w:jc w:val="center"/>
              <w:rPr>
                <w:rFonts w:ascii="宋体" w:hAnsi="宋体"/>
              </w:rPr>
            </w:pPr>
            <w:r>
              <w:rPr>
                <w:rFonts w:ascii="宋体" w:hAnsi="宋体"/>
              </w:rPr>
              <w:t>473267</w:t>
            </w:r>
          </w:p>
        </w:tc>
        <w:tc>
          <w:tcPr>
            <w:tcW w:w="715" w:type="pct"/>
            <w:vAlign w:val="center"/>
          </w:tcPr>
          <w:p w14:paraId="565C4876">
            <w:pPr>
              <w:pStyle w:val="12"/>
              <w:jc w:val="center"/>
              <w:rPr>
                <w:rFonts w:ascii="宋体" w:hAnsi="宋体"/>
              </w:rPr>
            </w:pPr>
            <w:r>
              <w:rPr>
                <w:rFonts w:ascii="宋体" w:hAnsi="宋体"/>
              </w:rPr>
              <w:t>237655</w:t>
            </w:r>
          </w:p>
        </w:tc>
        <w:tc>
          <w:tcPr>
            <w:tcW w:w="715" w:type="pct"/>
            <w:vAlign w:val="center"/>
          </w:tcPr>
          <w:p w14:paraId="104431CA">
            <w:pPr>
              <w:pStyle w:val="12"/>
              <w:jc w:val="center"/>
              <w:rPr>
                <w:rFonts w:ascii="宋体" w:hAnsi="宋体"/>
              </w:rPr>
            </w:pPr>
            <w:r>
              <w:rPr>
                <w:rFonts w:ascii="宋体" w:hAnsi="宋体"/>
              </w:rPr>
              <w:t>502</w:t>
            </w:r>
          </w:p>
        </w:tc>
      </w:tr>
      <w:tr w14:paraId="0684455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3E6B52B">
            <w:pPr>
              <w:pStyle w:val="12"/>
              <w:jc w:val="center"/>
              <w:rPr>
                <w:rFonts w:ascii="宋体" w:hAnsi="宋体"/>
              </w:rPr>
            </w:pPr>
            <w:r>
              <w:rPr>
                <w:rFonts w:ascii="宋体" w:hAnsi="宋体"/>
              </w:rPr>
              <w:t>2001</w:t>
            </w:r>
          </w:p>
        </w:tc>
        <w:tc>
          <w:tcPr>
            <w:tcW w:w="714" w:type="pct"/>
            <w:vAlign w:val="center"/>
          </w:tcPr>
          <w:p w14:paraId="61F73F34">
            <w:pPr>
              <w:pStyle w:val="12"/>
              <w:jc w:val="center"/>
              <w:rPr>
                <w:rFonts w:ascii="宋体" w:hAnsi="宋体"/>
              </w:rPr>
            </w:pPr>
            <w:r>
              <w:rPr>
                <w:rFonts w:ascii="宋体" w:hAnsi="宋体"/>
              </w:rPr>
              <w:t>546756</w:t>
            </w:r>
          </w:p>
        </w:tc>
        <w:tc>
          <w:tcPr>
            <w:tcW w:w="714" w:type="pct"/>
            <w:vAlign w:val="center"/>
          </w:tcPr>
          <w:p w14:paraId="69424D51">
            <w:pPr>
              <w:pStyle w:val="12"/>
              <w:jc w:val="center"/>
              <w:rPr>
                <w:rFonts w:ascii="宋体" w:hAnsi="宋体"/>
              </w:rPr>
            </w:pPr>
            <w:r>
              <w:rPr>
                <w:rFonts w:ascii="宋体" w:hAnsi="宋体"/>
              </w:rPr>
              <w:t>246011</w:t>
            </w:r>
          </w:p>
        </w:tc>
        <w:tc>
          <w:tcPr>
            <w:tcW w:w="715" w:type="pct"/>
            <w:vAlign w:val="center"/>
          </w:tcPr>
          <w:p w14:paraId="31A5329A">
            <w:pPr>
              <w:pStyle w:val="12"/>
              <w:jc w:val="center"/>
              <w:rPr>
                <w:rFonts w:ascii="宋体" w:hAnsi="宋体"/>
              </w:rPr>
            </w:pPr>
            <w:r>
              <w:rPr>
                <w:rFonts w:ascii="宋体" w:hAnsi="宋体"/>
              </w:rPr>
              <w:t>450</w:t>
            </w:r>
          </w:p>
        </w:tc>
        <w:tc>
          <w:tcPr>
            <w:tcW w:w="715" w:type="pct"/>
            <w:vAlign w:val="center"/>
          </w:tcPr>
          <w:p w14:paraId="1630192B">
            <w:pPr>
              <w:pStyle w:val="12"/>
              <w:jc w:val="center"/>
              <w:rPr>
                <w:rFonts w:ascii="宋体" w:hAnsi="宋体"/>
              </w:rPr>
            </w:pPr>
            <w:r>
              <w:rPr>
                <w:rFonts w:ascii="宋体" w:hAnsi="宋体"/>
              </w:rPr>
              <w:t>457779</w:t>
            </w:r>
          </w:p>
        </w:tc>
        <w:tc>
          <w:tcPr>
            <w:tcW w:w="715" w:type="pct"/>
            <w:vAlign w:val="center"/>
          </w:tcPr>
          <w:p w14:paraId="6C0083A1">
            <w:pPr>
              <w:pStyle w:val="12"/>
              <w:jc w:val="center"/>
              <w:rPr>
                <w:rFonts w:ascii="宋体" w:hAnsi="宋体"/>
              </w:rPr>
            </w:pPr>
            <w:r>
              <w:rPr>
                <w:rFonts w:ascii="宋体" w:hAnsi="宋体"/>
              </w:rPr>
              <w:t>230401</w:t>
            </w:r>
          </w:p>
        </w:tc>
        <w:tc>
          <w:tcPr>
            <w:tcW w:w="715" w:type="pct"/>
            <w:vAlign w:val="center"/>
          </w:tcPr>
          <w:p w14:paraId="094E235F">
            <w:pPr>
              <w:pStyle w:val="12"/>
              <w:jc w:val="center"/>
              <w:rPr>
                <w:rFonts w:ascii="宋体" w:hAnsi="宋体"/>
              </w:rPr>
            </w:pPr>
            <w:r>
              <w:rPr>
                <w:rFonts w:ascii="宋体" w:hAnsi="宋体"/>
              </w:rPr>
              <w:t>503</w:t>
            </w:r>
          </w:p>
        </w:tc>
      </w:tr>
      <w:tr w14:paraId="679FE2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29F1B9AC">
            <w:pPr>
              <w:pStyle w:val="12"/>
              <w:jc w:val="center"/>
              <w:rPr>
                <w:rFonts w:ascii="宋体" w:hAnsi="宋体"/>
              </w:rPr>
            </w:pPr>
            <w:r>
              <w:rPr>
                <w:rFonts w:ascii="宋体" w:hAnsi="宋体"/>
              </w:rPr>
              <w:t>2002</w:t>
            </w:r>
          </w:p>
        </w:tc>
        <w:tc>
          <w:tcPr>
            <w:tcW w:w="714" w:type="pct"/>
            <w:vAlign w:val="center"/>
          </w:tcPr>
          <w:p w14:paraId="5D49A85A">
            <w:pPr>
              <w:pStyle w:val="12"/>
              <w:jc w:val="center"/>
              <w:rPr>
                <w:rFonts w:ascii="宋体" w:hAnsi="宋体"/>
              </w:rPr>
            </w:pPr>
            <w:r>
              <w:rPr>
                <w:rFonts w:ascii="宋体" w:hAnsi="宋体"/>
              </w:rPr>
              <w:t>548381</w:t>
            </w:r>
          </w:p>
        </w:tc>
        <w:tc>
          <w:tcPr>
            <w:tcW w:w="714" w:type="pct"/>
            <w:vAlign w:val="center"/>
          </w:tcPr>
          <w:p w14:paraId="3A1511FA">
            <w:pPr>
              <w:pStyle w:val="12"/>
              <w:jc w:val="center"/>
              <w:rPr>
                <w:rFonts w:ascii="宋体" w:hAnsi="宋体"/>
              </w:rPr>
            </w:pPr>
            <w:r>
              <w:rPr>
                <w:rFonts w:ascii="宋体" w:hAnsi="宋体"/>
              </w:rPr>
              <w:t>246134</w:t>
            </w:r>
          </w:p>
        </w:tc>
        <w:tc>
          <w:tcPr>
            <w:tcW w:w="715" w:type="pct"/>
            <w:vAlign w:val="center"/>
          </w:tcPr>
          <w:p w14:paraId="0012C5C6">
            <w:pPr>
              <w:pStyle w:val="12"/>
              <w:jc w:val="center"/>
              <w:rPr>
                <w:rFonts w:ascii="宋体" w:hAnsi="宋体"/>
              </w:rPr>
            </w:pPr>
            <w:r>
              <w:rPr>
                <w:rFonts w:ascii="宋体" w:hAnsi="宋体"/>
              </w:rPr>
              <w:t>449</w:t>
            </w:r>
          </w:p>
        </w:tc>
        <w:tc>
          <w:tcPr>
            <w:tcW w:w="715" w:type="pct"/>
            <w:vAlign w:val="center"/>
          </w:tcPr>
          <w:p w14:paraId="6258A3E1">
            <w:pPr>
              <w:pStyle w:val="12"/>
              <w:jc w:val="center"/>
              <w:rPr>
                <w:rFonts w:ascii="宋体" w:hAnsi="宋体"/>
              </w:rPr>
            </w:pPr>
            <w:r>
              <w:rPr>
                <w:rFonts w:ascii="宋体" w:hAnsi="宋体"/>
              </w:rPr>
              <w:t>455638</w:t>
            </w:r>
          </w:p>
        </w:tc>
        <w:tc>
          <w:tcPr>
            <w:tcW w:w="715" w:type="pct"/>
            <w:vAlign w:val="center"/>
          </w:tcPr>
          <w:p w14:paraId="13327143">
            <w:pPr>
              <w:pStyle w:val="12"/>
              <w:jc w:val="center"/>
              <w:rPr>
                <w:rFonts w:ascii="宋体" w:hAnsi="宋体"/>
              </w:rPr>
            </w:pPr>
            <w:r>
              <w:rPr>
                <w:rFonts w:ascii="宋体" w:hAnsi="宋体"/>
              </w:rPr>
              <w:t>229539</w:t>
            </w:r>
          </w:p>
        </w:tc>
        <w:tc>
          <w:tcPr>
            <w:tcW w:w="715" w:type="pct"/>
            <w:vAlign w:val="center"/>
          </w:tcPr>
          <w:p w14:paraId="4B769B8F">
            <w:pPr>
              <w:pStyle w:val="12"/>
              <w:jc w:val="center"/>
              <w:rPr>
                <w:rFonts w:ascii="宋体" w:hAnsi="宋体"/>
              </w:rPr>
            </w:pPr>
            <w:r>
              <w:rPr>
                <w:rFonts w:ascii="宋体" w:hAnsi="宋体"/>
              </w:rPr>
              <w:t>504</w:t>
            </w:r>
          </w:p>
        </w:tc>
      </w:tr>
      <w:tr w14:paraId="657543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3B0618F">
            <w:pPr>
              <w:pStyle w:val="12"/>
              <w:jc w:val="center"/>
              <w:rPr>
                <w:rFonts w:ascii="宋体" w:hAnsi="宋体"/>
              </w:rPr>
            </w:pPr>
            <w:r>
              <w:rPr>
                <w:rFonts w:ascii="宋体" w:hAnsi="宋体"/>
              </w:rPr>
              <w:t>2003</w:t>
            </w:r>
          </w:p>
        </w:tc>
        <w:tc>
          <w:tcPr>
            <w:tcW w:w="714" w:type="pct"/>
            <w:vAlign w:val="center"/>
          </w:tcPr>
          <w:p w14:paraId="1404FC57">
            <w:pPr>
              <w:pStyle w:val="12"/>
              <w:jc w:val="center"/>
              <w:rPr>
                <w:rFonts w:ascii="宋体" w:hAnsi="宋体"/>
              </w:rPr>
            </w:pPr>
            <w:r>
              <w:rPr>
                <w:rFonts w:ascii="宋体" w:hAnsi="宋体"/>
              </w:rPr>
              <w:t>540884</w:t>
            </w:r>
          </w:p>
        </w:tc>
        <w:tc>
          <w:tcPr>
            <w:tcW w:w="714" w:type="pct"/>
            <w:vAlign w:val="center"/>
          </w:tcPr>
          <w:p w14:paraId="6DBAF8D2">
            <w:pPr>
              <w:pStyle w:val="12"/>
              <w:jc w:val="center"/>
              <w:rPr>
                <w:rFonts w:ascii="宋体" w:hAnsi="宋体"/>
              </w:rPr>
            </w:pPr>
            <w:r>
              <w:rPr>
                <w:rFonts w:ascii="宋体" w:hAnsi="宋体"/>
              </w:rPr>
              <w:t>244040</w:t>
            </w:r>
          </w:p>
        </w:tc>
        <w:tc>
          <w:tcPr>
            <w:tcW w:w="715" w:type="pct"/>
            <w:vAlign w:val="center"/>
          </w:tcPr>
          <w:p w14:paraId="3D1BADC0">
            <w:pPr>
              <w:pStyle w:val="12"/>
              <w:jc w:val="center"/>
              <w:rPr>
                <w:rFonts w:ascii="宋体" w:hAnsi="宋体"/>
              </w:rPr>
            </w:pPr>
            <w:r>
              <w:rPr>
                <w:rFonts w:ascii="宋体" w:hAnsi="宋体"/>
              </w:rPr>
              <w:t>451</w:t>
            </w:r>
          </w:p>
        </w:tc>
        <w:tc>
          <w:tcPr>
            <w:tcW w:w="715" w:type="pct"/>
            <w:vAlign w:val="center"/>
          </w:tcPr>
          <w:p w14:paraId="04308CD9">
            <w:pPr>
              <w:pStyle w:val="12"/>
              <w:jc w:val="center"/>
              <w:rPr>
                <w:rFonts w:ascii="宋体" w:hAnsi="宋体"/>
              </w:rPr>
            </w:pPr>
            <w:r>
              <w:rPr>
                <w:rFonts w:ascii="宋体" w:hAnsi="宋体"/>
              </w:rPr>
              <w:t>450003</w:t>
            </w:r>
          </w:p>
        </w:tc>
        <w:tc>
          <w:tcPr>
            <w:tcW w:w="715" w:type="pct"/>
            <w:vAlign w:val="center"/>
          </w:tcPr>
          <w:p w14:paraId="15CD4E55">
            <w:pPr>
              <w:pStyle w:val="12"/>
              <w:jc w:val="center"/>
              <w:rPr>
                <w:rFonts w:ascii="宋体" w:hAnsi="宋体"/>
              </w:rPr>
            </w:pPr>
            <w:r>
              <w:rPr>
                <w:rFonts w:ascii="宋体" w:hAnsi="宋体"/>
              </w:rPr>
              <w:t>226881</w:t>
            </w:r>
          </w:p>
        </w:tc>
        <w:tc>
          <w:tcPr>
            <w:tcW w:w="715" w:type="pct"/>
            <w:vAlign w:val="center"/>
          </w:tcPr>
          <w:p w14:paraId="4BF6EC3D">
            <w:pPr>
              <w:pStyle w:val="12"/>
              <w:jc w:val="center"/>
              <w:rPr>
                <w:rFonts w:ascii="宋体" w:hAnsi="宋体"/>
              </w:rPr>
            </w:pPr>
            <w:r>
              <w:rPr>
                <w:rFonts w:ascii="宋体" w:hAnsi="宋体"/>
              </w:rPr>
              <w:t>504</w:t>
            </w:r>
          </w:p>
        </w:tc>
      </w:tr>
      <w:tr w14:paraId="25855F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422F0BD0">
            <w:pPr>
              <w:pStyle w:val="12"/>
              <w:jc w:val="center"/>
              <w:rPr>
                <w:rFonts w:ascii="宋体" w:hAnsi="宋体"/>
              </w:rPr>
            </w:pPr>
            <w:r>
              <w:rPr>
                <w:rFonts w:ascii="宋体" w:hAnsi="宋体"/>
              </w:rPr>
              <w:t>2004</w:t>
            </w:r>
          </w:p>
        </w:tc>
        <w:tc>
          <w:tcPr>
            <w:tcW w:w="714" w:type="pct"/>
            <w:vAlign w:val="center"/>
          </w:tcPr>
          <w:p w14:paraId="7ACD07AD">
            <w:pPr>
              <w:pStyle w:val="12"/>
              <w:jc w:val="center"/>
              <w:rPr>
                <w:rFonts w:ascii="宋体" w:hAnsi="宋体"/>
              </w:rPr>
            </w:pPr>
            <w:r>
              <w:rPr>
                <w:rFonts w:ascii="宋体" w:hAnsi="宋体"/>
              </w:rPr>
              <w:t>572080</w:t>
            </w:r>
          </w:p>
        </w:tc>
        <w:tc>
          <w:tcPr>
            <w:tcW w:w="714" w:type="pct"/>
            <w:vAlign w:val="center"/>
          </w:tcPr>
          <w:p w14:paraId="21DD120D">
            <w:pPr>
              <w:pStyle w:val="12"/>
              <w:jc w:val="center"/>
              <w:rPr>
                <w:rFonts w:ascii="宋体" w:hAnsi="宋体"/>
              </w:rPr>
            </w:pPr>
            <w:r>
              <w:rPr>
                <w:rFonts w:ascii="宋体" w:hAnsi="宋体"/>
              </w:rPr>
              <w:t>246852</w:t>
            </w:r>
          </w:p>
        </w:tc>
        <w:tc>
          <w:tcPr>
            <w:tcW w:w="715" w:type="pct"/>
            <w:vAlign w:val="center"/>
          </w:tcPr>
          <w:p w14:paraId="65B071EC">
            <w:pPr>
              <w:pStyle w:val="12"/>
              <w:jc w:val="center"/>
              <w:rPr>
                <w:rFonts w:ascii="宋体" w:hAnsi="宋体"/>
              </w:rPr>
            </w:pPr>
            <w:r>
              <w:rPr>
                <w:rFonts w:ascii="宋体" w:hAnsi="宋体"/>
              </w:rPr>
              <w:t>431</w:t>
            </w:r>
          </w:p>
        </w:tc>
        <w:tc>
          <w:tcPr>
            <w:tcW w:w="715" w:type="pct"/>
            <w:vAlign w:val="center"/>
          </w:tcPr>
          <w:p w14:paraId="324DF5CE">
            <w:pPr>
              <w:pStyle w:val="12"/>
              <w:jc w:val="center"/>
              <w:rPr>
                <w:rFonts w:ascii="宋体" w:hAnsi="宋体"/>
              </w:rPr>
            </w:pPr>
            <w:r>
              <w:rPr>
                <w:rFonts w:ascii="宋体" w:hAnsi="宋体"/>
              </w:rPr>
              <w:t>450873</w:t>
            </w:r>
          </w:p>
        </w:tc>
        <w:tc>
          <w:tcPr>
            <w:tcW w:w="715" w:type="pct"/>
            <w:vAlign w:val="center"/>
          </w:tcPr>
          <w:p w14:paraId="4F36A0C2">
            <w:pPr>
              <w:pStyle w:val="12"/>
              <w:jc w:val="center"/>
              <w:rPr>
                <w:rFonts w:ascii="宋体" w:hAnsi="宋体"/>
              </w:rPr>
            </w:pPr>
            <w:r>
              <w:rPr>
                <w:rFonts w:ascii="宋体" w:hAnsi="宋体"/>
              </w:rPr>
              <w:t>224032</w:t>
            </w:r>
          </w:p>
        </w:tc>
        <w:tc>
          <w:tcPr>
            <w:tcW w:w="715" w:type="pct"/>
            <w:vAlign w:val="center"/>
          </w:tcPr>
          <w:p w14:paraId="2FF55151">
            <w:pPr>
              <w:pStyle w:val="12"/>
              <w:jc w:val="center"/>
              <w:rPr>
                <w:rFonts w:ascii="宋体" w:hAnsi="宋体"/>
              </w:rPr>
            </w:pPr>
            <w:r>
              <w:rPr>
                <w:rFonts w:ascii="宋体" w:hAnsi="宋体"/>
              </w:rPr>
              <w:t>497</w:t>
            </w:r>
          </w:p>
        </w:tc>
      </w:tr>
    </w:tbl>
    <w:p w14:paraId="5C21A9DB">
      <w:pPr>
        <w:pStyle w:val="5"/>
        <w:rPr>
          <w:rFonts w:ascii="宋体" w:hAnsi="宋体"/>
        </w:rPr>
      </w:pPr>
      <w:r>
        <w:rPr>
          <w:rFonts w:hint="eastAsia" w:ascii="宋体" w:hAnsi="宋体"/>
        </w:rPr>
        <w:t>三、油料作物</w:t>
      </w:r>
    </w:p>
    <w:p w14:paraId="63B1AF64">
      <w:pPr>
        <w:ind w:firstLine="420"/>
        <w:rPr>
          <w:rFonts w:ascii="宋体" w:hAnsi="宋体"/>
          <w:szCs w:val="21"/>
        </w:rPr>
      </w:pPr>
      <w:r>
        <w:rPr>
          <w:rFonts w:hint="eastAsia" w:ascii="宋体" w:hAnsi="宋体"/>
          <w:szCs w:val="21"/>
        </w:rPr>
        <w:t>油料作物向以花生为大宗，次为大豆，小量栽培油菜、芝麻。</w:t>
      </w:r>
    </w:p>
    <w:p w14:paraId="6FFBE26C">
      <w:pPr>
        <w:ind w:firstLine="422"/>
        <w:rPr>
          <w:rFonts w:ascii="宋体" w:hAnsi="宋体"/>
          <w:b/>
          <w:szCs w:val="21"/>
        </w:rPr>
      </w:pPr>
      <w:r>
        <w:rPr>
          <w:rFonts w:hint="eastAsia" w:ascii="宋体" w:hAnsi="宋体"/>
          <w:b/>
          <w:szCs w:val="21"/>
        </w:rPr>
        <w:t>（一）花生</w:t>
      </w:r>
    </w:p>
    <w:p w14:paraId="128A7945">
      <w:pPr>
        <w:ind w:firstLine="420"/>
        <w:rPr>
          <w:rFonts w:ascii="宋体" w:hAnsi="宋体"/>
          <w:szCs w:val="21"/>
        </w:rPr>
      </w:pPr>
      <w:r>
        <w:rPr>
          <w:rFonts w:hint="eastAsia" w:ascii="宋体" w:hAnsi="宋体"/>
          <w:szCs w:val="21"/>
        </w:rPr>
        <w:t>花生是南雄的主要食油原料，习惯与黄烟隔年轮作。</w:t>
      </w:r>
      <w:r>
        <w:rPr>
          <w:rFonts w:ascii="宋体" w:hAnsi="宋体"/>
          <w:szCs w:val="21"/>
        </w:rPr>
        <w:t>1974年以前种植蔓生型品</w:t>
      </w:r>
      <w:r>
        <w:rPr>
          <w:rFonts w:hint="eastAsia" w:ascii="宋体" w:hAnsi="宋体"/>
          <w:szCs w:val="21"/>
        </w:rPr>
        <w:t>种，春分种秋分收，易受秋旱影响，产量低而不稳。一般年份年亩产五六十公斤，最高</w:t>
      </w:r>
      <w:r>
        <w:rPr>
          <w:rFonts w:ascii="宋体" w:hAnsi="宋体"/>
          <w:szCs w:val="21"/>
        </w:rPr>
        <w:t>1971年为83.5公斤。1974年起，推广丛生型品种，用稻田种植，立秋前收获后插</w:t>
      </w:r>
      <w:r>
        <w:rPr>
          <w:rFonts w:hint="eastAsia" w:ascii="宋体" w:hAnsi="宋体"/>
          <w:szCs w:val="21"/>
        </w:rPr>
        <w:t>晚稻，产量较高而稳定，年亩产七八十公斤。此后，花生栽培区域由烟区扩展至粮区、山区。</w:t>
      </w:r>
      <w:r>
        <w:rPr>
          <w:rFonts w:ascii="宋体" w:hAnsi="宋体"/>
          <w:szCs w:val="21"/>
        </w:rPr>
        <w:t>1980年以后，相继引进粤油、湛油、汕油系列高产良种，推广增产菌、</w:t>
      </w:r>
      <w:r>
        <w:rPr>
          <w:rFonts w:hint="eastAsia" w:ascii="宋体" w:hAnsi="宋体"/>
          <w:szCs w:val="21"/>
        </w:rPr>
        <w:t>除草剂、杀虫杀菌剂和矮壮素等，近年更推广地膜覆盖栽培技术，使花生亩产量提高到近</w:t>
      </w:r>
      <w:r>
        <w:rPr>
          <w:rFonts w:ascii="宋体" w:hAnsi="宋体"/>
          <w:szCs w:val="21"/>
        </w:rPr>
        <w:t>200公斤。1988年至2004年产量详见表2-8：</w:t>
      </w:r>
    </w:p>
    <w:p w14:paraId="5FA0183C">
      <w:pPr>
        <w:ind w:firstLine="0" w:firstLineChars="0"/>
        <w:jc w:val="center"/>
        <w:rPr>
          <w:rFonts w:ascii="宋体" w:hAnsi="宋体"/>
          <w:b/>
          <w:szCs w:val="21"/>
        </w:rPr>
      </w:pPr>
      <w:r>
        <w:rPr>
          <w:rFonts w:hint="eastAsia" w:ascii="宋体" w:hAnsi="宋体"/>
          <w:b/>
          <w:szCs w:val="21"/>
        </w:rPr>
        <w:t>南雄市1988年至2004年花生产量统表2-8</w:t>
      </w:r>
    </w:p>
    <w:p w14:paraId="4269118C">
      <w:pPr>
        <w:ind w:firstLine="0" w:firstLineChars="0"/>
        <w:rPr>
          <w:rFonts w:ascii="宋体" w:hAnsi="宋体"/>
          <w:b/>
        </w:rPr>
      </w:pPr>
      <w:r>
        <w:rPr>
          <w:rFonts w:hint="eastAsia" w:ascii="宋体" w:hAnsi="宋体"/>
          <w:b/>
        </w:rPr>
        <w:t>表2-8</w:t>
      </w:r>
    </w:p>
    <w:p w14:paraId="48E0FF59">
      <w:pPr>
        <w:ind w:firstLine="0" w:firstLineChars="0"/>
        <w:jc w:val="right"/>
        <w:rPr>
          <w:rFonts w:ascii="宋体" w:hAnsi="宋体"/>
          <w:b/>
        </w:rPr>
      </w:pPr>
      <w:r>
        <w:rPr>
          <w:rFonts w:hint="eastAsia" w:ascii="宋体" w:hAnsi="宋体"/>
          <w:b/>
        </w:rPr>
        <w:t>单位：亩、吨、公斤</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5"/>
        <w:gridCol w:w="1130"/>
        <w:gridCol w:w="1361"/>
        <w:gridCol w:w="1245"/>
        <w:gridCol w:w="1245"/>
        <w:gridCol w:w="1112"/>
        <w:gridCol w:w="1379"/>
        <w:gridCol w:w="1245"/>
      </w:tblGrid>
      <w:tr w14:paraId="0E0E36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0963C3F7">
            <w:pPr>
              <w:pStyle w:val="12"/>
              <w:jc w:val="center"/>
              <w:rPr>
                <w:rFonts w:ascii="宋体" w:hAnsi="宋体"/>
                <w:b/>
              </w:rPr>
            </w:pPr>
            <w:r>
              <w:rPr>
                <w:rFonts w:hint="eastAsia" w:ascii="宋体" w:hAnsi="宋体"/>
                <w:b/>
              </w:rPr>
              <w:t>年份</w:t>
            </w:r>
          </w:p>
        </w:tc>
        <w:tc>
          <w:tcPr>
            <w:tcW w:w="567" w:type="pct"/>
            <w:vAlign w:val="center"/>
          </w:tcPr>
          <w:p w14:paraId="4EA39E67">
            <w:pPr>
              <w:pStyle w:val="12"/>
              <w:jc w:val="center"/>
              <w:rPr>
                <w:rFonts w:ascii="宋体" w:hAnsi="宋体"/>
                <w:b/>
              </w:rPr>
            </w:pPr>
            <w:r>
              <w:rPr>
                <w:rFonts w:hint="eastAsia" w:ascii="宋体" w:hAnsi="宋体"/>
                <w:b/>
              </w:rPr>
              <w:t>播种面积</w:t>
            </w:r>
          </w:p>
        </w:tc>
        <w:tc>
          <w:tcPr>
            <w:tcW w:w="683" w:type="pct"/>
            <w:vAlign w:val="center"/>
          </w:tcPr>
          <w:p w14:paraId="79A12922">
            <w:pPr>
              <w:pStyle w:val="12"/>
              <w:jc w:val="center"/>
              <w:rPr>
                <w:rFonts w:ascii="宋体" w:hAnsi="宋体"/>
                <w:b/>
              </w:rPr>
            </w:pPr>
            <w:r>
              <w:rPr>
                <w:rFonts w:hint="eastAsia" w:ascii="宋体" w:hAnsi="宋体"/>
                <w:b/>
              </w:rPr>
              <w:t>干荚果总产</w:t>
            </w:r>
          </w:p>
        </w:tc>
        <w:tc>
          <w:tcPr>
            <w:tcW w:w="625" w:type="pct"/>
            <w:vAlign w:val="center"/>
          </w:tcPr>
          <w:p w14:paraId="39C310F2">
            <w:pPr>
              <w:pStyle w:val="12"/>
              <w:jc w:val="center"/>
              <w:rPr>
                <w:rFonts w:ascii="宋体" w:hAnsi="宋体"/>
                <w:b/>
              </w:rPr>
            </w:pPr>
            <w:r>
              <w:rPr>
                <w:rFonts w:hint="eastAsia" w:ascii="宋体" w:hAnsi="宋体"/>
                <w:b/>
              </w:rPr>
              <w:t>亩均</w:t>
            </w:r>
          </w:p>
        </w:tc>
        <w:tc>
          <w:tcPr>
            <w:tcW w:w="625" w:type="pct"/>
            <w:vAlign w:val="center"/>
          </w:tcPr>
          <w:p w14:paraId="103BD74E">
            <w:pPr>
              <w:pStyle w:val="12"/>
              <w:jc w:val="center"/>
              <w:rPr>
                <w:rFonts w:ascii="宋体" w:hAnsi="宋体"/>
                <w:b/>
              </w:rPr>
            </w:pPr>
            <w:r>
              <w:rPr>
                <w:rFonts w:hint="eastAsia" w:ascii="宋体" w:hAnsi="宋体"/>
                <w:b/>
              </w:rPr>
              <w:t>年份</w:t>
            </w:r>
          </w:p>
        </w:tc>
        <w:tc>
          <w:tcPr>
            <w:tcW w:w="558" w:type="pct"/>
            <w:vAlign w:val="center"/>
          </w:tcPr>
          <w:p w14:paraId="0BE7788B">
            <w:pPr>
              <w:pStyle w:val="12"/>
              <w:jc w:val="center"/>
              <w:rPr>
                <w:rFonts w:ascii="宋体" w:hAnsi="宋体"/>
                <w:b/>
              </w:rPr>
            </w:pPr>
            <w:r>
              <w:rPr>
                <w:rFonts w:hint="eastAsia" w:ascii="宋体" w:hAnsi="宋体"/>
                <w:b/>
              </w:rPr>
              <w:t>播种面积</w:t>
            </w:r>
          </w:p>
        </w:tc>
        <w:tc>
          <w:tcPr>
            <w:tcW w:w="692" w:type="pct"/>
            <w:vAlign w:val="center"/>
          </w:tcPr>
          <w:p w14:paraId="1EA5FB04">
            <w:pPr>
              <w:pStyle w:val="12"/>
              <w:jc w:val="center"/>
              <w:rPr>
                <w:rFonts w:ascii="宋体" w:hAnsi="宋体"/>
                <w:b/>
              </w:rPr>
            </w:pPr>
            <w:r>
              <w:rPr>
                <w:rFonts w:hint="eastAsia" w:ascii="宋体" w:hAnsi="宋体"/>
                <w:b/>
              </w:rPr>
              <w:t>干荚果总产</w:t>
            </w:r>
          </w:p>
        </w:tc>
        <w:tc>
          <w:tcPr>
            <w:tcW w:w="625" w:type="pct"/>
            <w:vAlign w:val="center"/>
          </w:tcPr>
          <w:p w14:paraId="3DC5C597">
            <w:pPr>
              <w:pStyle w:val="12"/>
              <w:jc w:val="center"/>
              <w:rPr>
                <w:rFonts w:ascii="宋体" w:hAnsi="宋体"/>
                <w:b/>
              </w:rPr>
            </w:pPr>
            <w:r>
              <w:rPr>
                <w:rFonts w:hint="eastAsia" w:ascii="宋体" w:hAnsi="宋体"/>
                <w:b/>
              </w:rPr>
              <w:t>亩均</w:t>
            </w:r>
          </w:p>
        </w:tc>
      </w:tr>
      <w:tr w14:paraId="2F5E9A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196CBBFE">
            <w:pPr>
              <w:pStyle w:val="12"/>
              <w:jc w:val="center"/>
              <w:rPr>
                <w:rFonts w:ascii="宋体" w:hAnsi="宋体"/>
              </w:rPr>
            </w:pPr>
            <w:r>
              <w:rPr>
                <w:rFonts w:ascii="宋体" w:hAnsi="宋体"/>
              </w:rPr>
              <w:t>1988</w:t>
            </w:r>
          </w:p>
        </w:tc>
        <w:tc>
          <w:tcPr>
            <w:tcW w:w="567" w:type="pct"/>
            <w:vAlign w:val="center"/>
          </w:tcPr>
          <w:p w14:paraId="51DE1A56">
            <w:pPr>
              <w:pStyle w:val="12"/>
              <w:jc w:val="center"/>
              <w:rPr>
                <w:rFonts w:ascii="宋体" w:hAnsi="宋体"/>
              </w:rPr>
            </w:pPr>
            <w:r>
              <w:rPr>
                <w:rFonts w:ascii="宋体" w:hAnsi="宋体"/>
              </w:rPr>
              <w:t>58451</w:t>
            </w:r>
          </w:p>
        </w:tc>
        <w:tc>
          <w:tcPr>
            <w:tcW w:w="683" w:type="pct"/>
            <w:vAlign w:val="center"/>
          </w:tcPr>
          <w:p w14:paraId="2C2E57B8">
            <w:pPr>
              <w:pStyle w:val="12"/>
              <w:jc w:val="center"/>
              <w:rPr>
                <w:rFonts w:ascii="宋体" w:hAnsi="宋体"/>
              </w:rPr>
            </w:pPr>
            <w:r>
              <w:rPr>
                <w:rFonts w:ascii="宋体" w:hAnsi="宋体"/>
              </w:rPr>
              <w:t>7073</w:t>
            </w:r>
          </w:p>
        </w:tc>
        <w:tc>
          <w:tcPr>
            <w:tcW w:w="625" w:type="pct"/>
            <w:vAlign w:val="center"/>
          </w:tcPr>
          <w:p w14:paraId="2A123773">
            <w:pPr>
              <w:pStyle w:val="12"/>
              <w:jc w:val="center"/>
              <w:rPr>
                <w:rFonts w:ascii="宋体" w:hAnsi="宋体"/>
              </w:rPr>
            </w:pPr>
            <w:r>
              <w:rPr>
                <w:rFonts w:ascii="宋体" w:hAnsi="宋体"/>
              </w:rPr>
              <w:t>121</w:t>
            </w:r>
          </w:p>
        </w:tc>
        <w:tc>
          <w:tcPr>
            <w:tcW w:w="625" w:type="pct"/>
            <w:vAlign w:val="center"/>
          </w:tcPr>
          <w:p w14:paraId="4697EA54">
            <w:pPr>
              <w:pStyle w:val="12"/>
              <w:jc w:val="center"/>
              <w:rPr>
                <w:rFonts w:ascii="宋体" w:hAnsi="宋体"/>
              </w:rPr>
            </w:pPr>
            <w:r>
              <w:rPr>
                <w:rFonts w:ascii="宋体" w:hAnsi="宋体"/>
              </w:rPr>
              <w:t>1997</w:t>
            </w:r>
          </w:p>
        </w:tc>
        <w:tc>
          <w:tcPr>
            <w:tcW w:w="558" w:type="pct"/>
            <w:vAlign w:val="center"/>
          </w:tcPr>
          <w:p w14:paraId="41B2F5E5">
            <w:pPr>
              <w:pStyle w:val="12"/>
              <w:jc w:val="center"/>
              <w:rPr>
                <w:rFonts w:ascii="宋体" w:hAnsi="宋体"/>
              </w:rPr>
            </w:pPr>
            <w:r>
              <w:rPr>
                <w:rFonts w:ascii="宋体" w:hAnsi="宋体"/>
              </w:rPr>
              <w:t>90349</w:t>
            </w:r>
          </w:p>
        </w:tc>
        <w:tc>
          <w:tcPr>
            <w:tcW w:w="692" w:type="pct"/>
            <w:vAlign w:val="center"/>
          </w:tcPr>
          <w:p w14:paraId="72AC254F">
            <w:pPr>
              <w:pStyle w:val="12"/>
              <w:jc w:val="center"/>
              <w:rPr>
                <w:rFonts w:ascii="宋体" w:hAnsi="宋体"/>
              </w:rPr>
            </w:pPr>
            <w:r>
              <w:rPr>
                <w:rFonts w:ascii="宋体" w:hAnsi="宋体"/>
              </w:rPr>
              <w:t>16263</w:t>
            </w:r>
          </w:p>
        </w:tc>
        <w:tc>
          <w:tcPr>
            <w:tcW w:w="625" w:type="pct"/>
            <w:vAlign w:val="center"/>
          </w:tcPr>
          <w:p w14:paraId="1CF6D117">
            <w:pPr>
              <w:pStyle w:val="12"/>
              <w:jc w:val="center"/>
              <w:rPr>
                <w:rFonts w:ascii="宋体" w:hAnsi="宋体"/>
              </w:rPr>
            </w:pPr>
            <w:r>
              <w:rPr>
                <w:rFonts w:ascii="宋体" w:hAnsi="宋体"/>
              </w:rPr>
              <w:t>180</w:t>
            </w:r>
          </w:p>
        </w:tc>
      </w:tr>
      <w:tr w14:paraId="46507F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3922F92A">
            <w:pPr>
              <w:pStyle w:val="12"/>
              <w:jc w:val="center"/>
              <w:rPr>
                <w:rFonts w:ascii="宋体" w:hAnsi="宋体"/>
              </w:rPr>
            </w:pPr>
            <w:r>
              <w:rPr>
                <w:rFonts w:ascii="宋体" w:hAnsi="宋体"/>
              </w:rPr>
              <w:t>1989</w:t>
            </w:r>
          </w:p>
        </w:tc>
        <w:tc>
          <w:tcPr>
            <w:tcW w:w="567" w:type="pct"/>
            <w:vAlign w:val="center"/>
          </w:tcPr>
          <w:p w14:paraId="6AD58FF0">
            <w:pPr>
              <w:pStyle w:val="12"/>
              <w:jc w:val="center"/>
              <w:rPr>
                <w:rFonts w:ascii="宋体" w:hAnsi="宋体"/>
              </w:rPr>
            </w:pPr>
            <w:r>
              <w:rPr>
                <w:rFonts w:ascii="宋体" w:hAnsi="宋体"/>
              </w:rPr>
              <w:t>50817</w:t>
            </w:r>
          </w:p>
        </w:tc>
        <w:tc>
          <w:tcPr>
            <w:tcW w:w="683" w:type="pct"/>
            <w:vAlign w:val="center"/>
          </w:tcPr>
          <w:p w14:paraId="0DAB307B">
            <w:pPr>
              <w:pStyle w:val="12"/>
              <w:jc w:val="center"/>
              <w:rPr>
                <w:rFonts w:ascii="宋体" w:hAnsi="宋体"/>
              </w:rPr>
            </w:pPr>
            <w:r>
              <w:rPr>
                <w:rFonts w:ascii="宋体" w:hAnsi="宋体"/>
              </w:rPr>
              <w:t>6454</w:t>
            </w:r>
          </w:p>
        </w:tc>
        <w:tc>
          <w:tcPr>
            <w:tcW w:w="625" w:type="pct"/>
            <w:vAlign w:val="center"/>
          </w:tcPr>
          <w:p w14:paraId="3DBA276B">
            <w:pPr>
              <w:pStyle w:val="12"/>
              <w:jc w:val="center"/>
              <w:rPr>
                <w:rFonts w:ascii="宋体" w:hAnsi="宋体"/>
              </w:rPr>
            </w:pPr>
            <w:r>
              <w:rPr>
                <w:rFonts w:ascii="宋体" w:hAnsi="宋体"/>
              </w:rPr>
              <w:t>127</w:t>
            </w:r>
          </w:p>
        </w:tc>
        <w:tc>
          <w:tcPr>
            <w:tcW w:w="625" w:type="pct"/>
            <w:vAlign w:val="center"/>
          </w:tcPr>
          <w:p w14:paraId="017A9193">
            <w:pPr>
              <w:pStyle w:val="12"/>
              <w:jc w:val="center"/>
              <w:rPr>
                <w:rFonts w:ascii="宋体" w:hAnsi="宋体"/>
              </w:rPr>
            </w:pPr>
            <w:r>
              <w:rPr>
                <w:rFonts w:ascii="宋体" w:hAnsi="宋体"/>
              </w:rPr>
              <w:t>1998</w:t>
            </w:r>
          </w:p>
        </w:tc>
        <w:tc>
          <w:tcPr>
            <w:tcW w:w="558" w:type="pct"/>
            <w:vAlign w:val="center"/>
          </w:tcPr>
          <w:p w14:paraId="0070EA7D">
            <w:pPr>
              <w:pStyle w:val="12"/>
              <w:jc w:val="center"/>
              <w:rPr>
                <w:rFonts w:ascii="宋体" w:hAnsi="宋体"/>
              </w:rPr>
            </w:pPr>
            <w:r>
              <w:rPr>
                <w:rFonts w:ascii="宋体" w:hAnsi="宋体"/>
              </w:rPr>
              <w:t>90020</w:t>
            </w:r>
          </w:p>
        </w:tc>
        <w:tc>
          <w:tcPr>
            <w:tcW w:w="692" w:type="pct"/>
            <w:vAlign w:val="center"/>
          </w:tcPr>
          <w:p w14:paraId="6CF0A67C">
            <w:pPr>
              <w:pStyle w:val="12"/>
              <w:jc w:val="center"/>
              <w:rPr>
                <w:rFonts w:ascii="宋体" w:hAnsi="宋体"/>
              </w:rPr>
            </w:pPr>
            <w:r>
              <w:rPr>
                <w:rFonts w:ascii="宋体" w:hAnsi="宋体"/>
              </w:rPr>
              <w:t>16257</w:t>
            </w:r>
          </w:p>
        </w:tc>
        <w:tc>
          <w:tcPr>
            <w:tcW w:w="625" w:type="pct"/>
            <w:vAlign w:val="center"/>
          </w:tcPr>
          <w:p w14:paraId="4D6B2348">
            <w:pPr>
              <w:pStyle w:val="12"/>
              <w:jc w:val="center"/>
              <w:rPr>
                <w:rFonts w:ascii="宋体" w:hAnsi="宋体"/>
              </w:rPr>
            </w:pPr>
            <w:r>
              <w:rPr>
                <w:rFonts w:ascii="宋体" w:hAnsi="宋体"/>
              </w:rPr>
              <w:t>181</w:t>
            </w:r>
          </w:p>
        </w:tc>
      </w:tr>
      <w:tr w14:paraId="506FFF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0D2E1A78">
            <w:pPr>
              <w:pStyle w:val="12"/>
              <w:jc w:val="center"/>
              <w:rPr>
                <w:rFonts w:ascii="宋体" w:hAnsi="宋体"/>
              </w:rPr>
            </w:pPr>
            <w:r>
              <w:rPr>
                <w:rFonts w:ascii="宋体" w:hAnsi="宋体"/>
              </w:rPr>
              <w:t>1990</w:t>
            </w:r>
          </w:p>
        </w:tc>
        <w:tc>
          <w:tcPr>
            <w:tcW w:w="567" w:type="pct"/>
            <w:vAlign w:val="center"/>
          </w:tcPr>
          <w:p w14:paraId="6E0E9F9D">
            <w:pPr>
              <w:pStyle w:val="12"/>
              <w:jc w:val="center"/>
              <w:rPr>
                <w:rFonts w:ascii="宋体" w:hAnsi="宋体"/>
              </w:rPr>
            </w:pPr>
            <w:r>
              <w:rPr>
                <w:rFonts w:ascii="宋体" w:hAnsi="宋体"/>
              </w:rPr>
              <w:t>49824</w:t>
            </w:r>
          </w:p>
        </w:tc>
        <w:tc>
          <w:tcPr>
            <w:tcW w:w="683" w:type="pct"/>
            <w:vAlign w:val="center"/>
          </w:tcPr>
          <w:p w14:paraId="3F54FDDC">
            <w:pPr>
              <w:pStyle w:val="12"/>
              <w:jc w:val="center"/>
              <w:rPr>
                <w:rFonts w:ascii="宋体" w:hAnsi="宋体"/>
              </w:rPr>
            </w:pPr>
            <w:r>
              <w:rPr>
                <w:rFonts w:ascii="宋体" w:hAnsi="宋体"/>
              </w:rPr>
              <w:t>6975</w:t>
            </w:r>
          </w:p>
        </w:tc>
        <w:tc>
          <w:tcPr>
            <w:tcW w:w="625" w:type="pct"/>
            <w:vAlign w:val="center"/>
          </w:tcPr>
          <w:p w14:paraId="135197CD">
            <w:pPr>
              <w:pStyle w:val="12"/>
              <w:jc w:val="center"/>
              <w:rPr>
                <w:rFonts w:ascii="宋体" w:hAnsi="宋体"/>
              </w:rPr>
            </w:pPr>
            <w:r>
              <w:rPr>
                <w:rFonts w:ascii="宋体" w:hAnsi="宋体"/>
              </w:rPr>
              <w:t>140</w:t>
            </w:r>
          </w:p>
        </w:tc>
        <w:tc>
          <w:tcPr>
            <w:tcW w:w="625" w:type="pct"/>
            <w:vAlign w:val="center"/>
          </w:tcPr>
          <w:p w14:paraId="5FF5E259">
            <w:pPr>
              <w:pStyle w:val="12"/>
              <w:jc w:val="center"/>
              <w:rPr>
                <w:rFonts w:ascii="宋体" w:hAnsi="宋体"/>
              </w:rPr>
            </w:pPr>
            <w:r>
              <w:rPr>
                <w:rFonts w:ascii="宋体" w:hAnsi="宋体"/>
              </w:rPr>
              <w:t>1999</w:t>
            </w:r>
          </w:p>
        </w:tc>
        <w:tc>
          <w:tcPr>
            <w:tcW w:w="558" w:type="pct"/>
            <w:vAlign w:val="center"/>
          </w:tcPr>
          <w:p w14:paraId="65309653">
            <w:pPr>
              <w:pStyle w:val="12"/>
              <w:jc w:val="center"/>
              <w:rPr>
                <w:rFonts w:ascii="宋体" w:hAnsi="宋体"/>
              </w:rPr>
            </w:pPr>
            <w:r>
              <w:rPr>
                <w:rFonts w:ascii="宋体" w:hAnsi="宋体"/>
              </w:rPr>
              <w:t>92895</w:t>
            </w:r>
          </w:p>
        </w:tc>
        <w:tc>
          <w:tcPr>
            <w:tcW w:w="692" w:type="pct"/>
            <w:vAlign w:val="center"/>
          </w:tcPr>
          <w:p w14:paraId="52D6BE9E">
            <w:pPr>
              <w:pStyle w:val="12"/>
              <w:jc w:val="center"/>
              <w:rPr>
                <w:rFonts w:ascii="宋体" w:hAnsi="宋体"/>
              </w:rPr>
            </w:pPr>
            <w:r>
              <w:rPr>
                <w:rFonts w:ascii="宋体" w:hAnsi="宋体"/>
              </w:rPr>
              <w:t>17412</w:t>
            </w:r>
          </w:p>
        </w:tc>
        <w:tc>
          <w:tcPr>
            <w:tcW w:w="625" w:type="pct"/>
            <w:vAlign w:val="center"/>
          </w:tcPr>
          <w:p w14:paraId="2A7600E3">
            <w:pPr>
              <w:pStyle w:val="12"/>
              <w:jc w:val="center"/>
              <w:rPr>
                <w:rFonts w:ascii="宋体" w:hAnsi="宋体"/>
              </w:rPr>
            </w:pPr>
            <w:r>
              <w:rPr>
                <w:rFonts w:ascii="宋体" w:hAnsi="宋体"/>
              </w:rPr>
              <w:t>187</w:t>
            </w:r>
          </w:p>
        </w:tc>
      </w:tr>
      <w:tr w14:paraId="7DCAA0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1B1ADAB1">
            <w:pPr>
              <w:pStyle w:val="12"/>
              <w:jc w:val="center"/>
              <w:rPr>
                <w:rFonts w:ascii="宋体" w:hAnsi="宋体"/>
              </w:rPr>
            </w:pPr>
            <w:r>
              <w:rPr>
                <w:rFonts w:ascii="宋体" w:hAnsi="宋体"/>
              </w:rPr>
              <w:t>1991</w:t>
            </w:r>
          </w:p>
        </w:tc>
        <w:tc>
          <w:tcPr>
            <w:tcW w:w="567" w:type="pct"/>
            <w:vAlign w:val="center"/>
          </w:tcPr>
          <w:p w14:paraId="228B4153">
            <w:pPr>
              <w:pStyle w:val="12"/>
              <w:jc w:val="center"/>
              <w:rPr>
                <w:rFonts w:ascii="宋体" w:hAnsi="宋体"/>
              </w:rPr>
            </w:pPr>
            <w:r>
              <w:rPr>
                <w:rFonts w:ascii="宋体" w:hAnsi="宋体"/>
              </w:rPr>
              <w:t>46577</w:t>
            </w:r>
          </w:p>
        </w:tc>
        <w:tc>
          <w:tcPr>
            <w:tcW w:w="683" w:type="pct"/>
            <w:vAlign w:val="center"/>
          </w:tcPr>
          <w:p w14:paraId="099439D3">
            <w:pPr>
              <w:pStyle w:val="12"/>
              <w:jc w:val="center"/>
              <w:rPr>
                <w:rFonts w:ascii="宋体" w:hAnsi="宋体"/>
              </w:rPr>
            </w:pPr>
            <w:r>
              <w:rPr>
                <w:rFonts w:ascii="宋体" w:hAnsi="宋体"/>
              </w:rPr>
              <w:t>6542</w:t>
            </w:r>
          </w:p>
        </w:tc>
        <w:tc>
          <w:tcPr>
            <w:tcW w:w="625" w:type="pct"/>
            <w:vAlign w:val="center"/>
          </w:tcPr>
          <w:p w14:paraId="2B0A505C">
            <w:pPr>
              <w:pStyle w:val="12"/>
              <w:jc w:val="center"/>
              <w:rPr>
                <w:rFonts w:ascii="宋体" w:hAnsi="宋体"/>
              </w:rPr>
            </w:pPr>
            <w:r>
              <w:rPr>
                <w:rFonts w:ascii="宋体" w:hAnsi="宋体"/>
              </w:rPr>
              <w:t>140</w:t>
            </w:r>
          </w:p>
        </w:tc>
        <w:tc>
          <w:tcPr>
            <w:tcW w:w="625" w:type="pct"/>
            <w:vAlign w:val="center"/>
          </w:tcPr>
          <w:p w14:paraId="5EB7A144">
            <w:pPr>
              <w:pStyle w:val="12"/>
              <w:jc w:val="center"/>
              <w:rPr>
                <w:rFonts w:ascii="宋体" w:hAnsi="宋体"/>
              </w:rPr>
            </w:pPr>
            <w:r>
              <w:rPr>
                <w:rFonts w:ascii="宋体" w:hAnsi="宋体"/>
              </w:rPr>
              <w:t>2000</w:t>
            </w:r>
          </w:p>
        </w:tc>
        <w:tc>
          <w:tcPr>
            <w:tcW w:w="558" w:type="pct"/>
            <w:vAlign w:val="center"/>
          </w:tcPr>
          <w:p w14:paraId="2B17359A">
            <w:pPr>
              <w:pStyle w:val="12"/>
              <w:jc w:val="center"/>
              <w:rPr>
                <w:rFonts w:ascii="宋体" w:hAnsi="宋体"/>
              </w:rPr>
            </w:pPr>
            <w:r>
              <w:rPr>
                <w:rFonts w:ascii="宋体" w:hAnsi="宋体"/>
              </w:rPr>
              <w:t>90756</w:t>
            </w:r>
          </w:p>
        </w:tc>
        <w:tc>
          <w:tcPr>
            <w:tcW w:w="692" w:type="pct"/>
            <w:vAlign w:val="center"/>
          </w:tcPr>
          <w:p w14:paraId="7977F000">
            <w:pPr>
              <w:pStyle w:val="12"/>
              <w:jc w:val="center"/>
              <w:rPr>
                <w:rFonts w:ascii="宋体" w:hAnsi="宋体"/>
              </w:rPr>
            </w:pPr>
            <w:r>
              <w:rPr>
                <w:rFonts w:ascii="宋体" w:hAnsi="宋体"/>
              </w:rPr>
              <w:t>16760</w:t>
            </w:r>
          </w:p>
        </w:tc>
        <w:tc>
          <w:tcPr>
            <w:tcW w:w="625" w:type="pct"/>
            <w:vAlign w:val="center"/>
          </w:tcPr>
          <w:p w14:paraId="4F008078">
            <w:pPr>
              <w:pStyle w:val="12"/>
              <w:jc w:val="center"/>
              <w:rPr>
                <w:rFonts w:ascii="宋体" w:hAnsi="宋体"/>
              </w:rPr>
            </w:pPr>
            <w:r>
              <w:rPr>
                <w:rFonts w:ascii="宋体" w:hAnsi="宋体"/>
              </w:rPr>
              <w:t>185</w:t>
            </w:r>
          </w:p>
        </w:tc>
      </w:tr>
      <w:tr w14:paraId="014B3DE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145D90F3">
            <w:pPr>
              <w:pStyle w:val="12"/>
              <w:jc w:val="center"/>
              <w:rPr>
                <w:rFonts w:ascii="宋体" w:hAnsi="宋体"/>
              </w:rPr>
            </w:pPr>
            <w:r>
              <w:rPr>
                <w:rFonts w:ascii="宋体" w:hAnsi="宋体"/>
              </w:rPr>
              <w:t>1992</w:t>
            </w:r>
          </w:p>
        </w:tc>
        <w:tc>
          <w:tcPr>
            <w:tcW w:w="567" w:type="pct"/>
            <w:vAlign w:val="center"/>
          </w:tcPr>
          <w:p w14:paraId="68864731">
            <w:pPr>
              <w:pStyle w:val="12"/>
              <w:jc w:val="center"/>
              <w:rPr>
                <w:rFonts w:ascii="宋体" w:hAnsi="宋体"/>
              </w:rPr>
            </w:pPr>
            <w:r>
              <w:rPr>
                <w:rFonts w:ascii="宋体" w:hAnsi="宋体"/>
              </w:rPr>
              <w:t>46482</w:t>
            </w:r>
          </w:p>
        </w:tc>
        <w:tc>
          <w:tcPr>
            <w:tcW w:w="683" w:type="pct"/>
            <w:vAlign w:val="center"/>
          </w:tcPr>
          <w:p w14:paraId="20895BA4">
            <w:pPr>
              <w:pStyle w:val="12"/>
              <w:jc w:val="center"/>
              <w:rPr>
                <w:rFonts w:ascii="宋体" w:hAnsi="宋体"/>
              </w:rPr>
            </w:pPr>
            <w:r>
              <w:rPr>
                <w:rFonts w:ascii="宋体" w:hAnsi="宋体"/>
              </w:rPr>
              <w:t>7109</w:t>
            </w:r>
          </w:p>
        </w:tc>
        <w:tc>
          <w:tcPr>
            <w:tcW w:w="625" w:type="pct"/>
            <w:vAlign w:val="center"/>
          </w:tcPr>
          <w:p w14:paraId="10B491E5">
            <w:pPr>
              <w:pStyle w:val="12"/>
              <w:jc w:val="center"/>
              <w:rPr>
                <w:rFonts w:ascii="宋体" w:hAnsi="宋体"/>
              </w:rPr>
            </w:pPr>
            <w:r>
              <w:rPr>
                <w:rFonts w:ascii="宋体" w:hAnsi="宋体"/>
              </w:rPr>
              <w:t>153</w:t>
            </w:r>
          </w:p>
        </w:tc>
        <w:tc>
          <w:tcPr>
            <w:tcW w:w="625" w:type="pct"/>
            <w:vAlign w:val="center"/>
          </w:tcPr>
          <w:p w14:paraId="01A4FF9B">
            <w:pPr>
              <w:pStyle w:val="12"/>
              <w:jc w:val="center"/>
              <w:rPr>
                <w:rFonts w:ascii="宋体" w:hAnsi="宋体"/>
              </w:rPr>
            </w:pPr>
            <w:r>
              <w:rPr>
                <w:rFonts w:ascii="宋体" w:hAnsi="宋体"/>
              </w:rPr>
              <w:t>2001</w:t>
            </w:r>
          </w:p>
        </w:tc>
        <w:tc>
          <w:tcPr>
            <w:tcW w:w="558" w:type="pct"/>
            <w:vAlign w:val="center"/>
          </w:tcPr>
          <w:p w14:paraId="084B51FD">
            <w:pPr>
              <w:pStyle w:val="12"/>
              <w:jc w:val="center"/>
              <w:rPr>
                <w:rFonts w:ascii="宋体" w:hAnsi="宋体"/>
              </w:rPr>
            </w:pPr>
            <w:r>
              <w:rPr>
                <w:rFonts w:ascii="宋体" w:hAnsi="宋体"/>
              </w:rPr>
              <w:t>94003</w:t>
            </w:r>
          </w:p>
        </w:tc>
        <w:tc>
          <w:tcPr>
            <w:tcW w:w="692" w:type="pct"/>
            <w:vAlign w:val="center"/>
          </w:tcPr>
          <w:p w14:paraId="5CCEBB11">
            <w:pPr>
              <w:pStyle w:val="12"/>
              <w:jc w:val="center"/>
              <w:rPr>
                <w:rFonts w:ascii="宋体" w:hAnsi="宋体"/>
              </w:rPr>
            </w:pPr>
            <w:r>
              <w:rPr>
                <w:rFonts w:ascii="宋体" w:hAnsi="宋体"/>
              </w:rPr>
              <w:t>18259</w:t>
            </w:r>
          </w:p>
        </w:tc>
        <w:tc>
          <w:tcPr>
            <w:tcW w:w="625" w:type="pct"/>
            <w:vAlign w:val="center"/>
          </w:tcPr>
          <w:p w14:paraId="2EB3593C">
            <w:pPr>
              <w:pStyle w:val="12"/>
              <w:jc w:val="center"/>
              <w:rPr>
                <w:rFonts w:ascii="宋体" w:hAnsi="宋体"/>
              </w:rPr>
            </w:pPr>
            <w:r>
              <w:rPr>
                <w:rFonts w:ascii="宋体" w:hAnsi="宋体"/>
              </w:rPr>
              <w:t>194</w:t>
            </w:r>
          </w:p>
        </w:tc>
      </w:tr>
      <w:tr w14:paraId="6A9073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4FDF8F66">
            <w:pPr>
              <w:pStyle w:val="12"/>
              <w:jc w:val="center"/>
              <w:rPr>
                <w:rFonts w:ascii="宋体" w:hAnsi="宋体"/>
              </w:rPr>
            </w:pPr>
            <w:r>
              <w:rPr>
                <w:rFonts w:ascii="宋体" w:hAnsi="宋体"/>
              </w:rPr>
              <w:t>1993</w:t>
            </w:r>
          </w:p>
        </w:tc>
        <w:tc>
          <w:tcPr>
            <w:tcW w:w="567" w:type="pct"/>
            <w:vAlign w:val="center"/>
          </w:tcPr>
          <w:p w14:paraId="4EF951CA">
            <w:pPr>
              <w:pStyle w:val="12"/>
              <w:jc w:val="center"/>
              <w:rPr>
                <w:rFonts w:ascii="宋体" w:hAnsi="宋体"/>
              </w:rPr>
            </w:pPr>
            <w:r>
              <w:rPr>
                <w:rFonts w:ascii="宋体" w:hAnsi="宋体"/>
              </w:rPr>
              <w:t>76054</w:t>
            </w:r>
          </w:p>
        </w:tc>
        <w:tc>
          <w:tcPr>
            <w:tcW w:w="683" w:type="pct"/>
            <w:vAlign w:val="center"/>
          </w:tcPr>
          <w:p w14:paraId="27F76851">
            <w:pPr>
              <w:pStyle w:val="12"/>
              <w:jc w:val="center"/>
              <w:rPr>
                <w:rFonts w:ascii="宋体" w:hAnsi="宋体"/>
              </w:rPr>
            </w:pPr>
            <w:r>
              <w:rPr>
                <w:rFonts w:ascii="宋体" w:hAnsi="宋体"/>
              </w:rPr>
              <w:t>12026</w:t>
            </w:r>
          </w:p>
        </w:tc>
        <w:tc>
          <w:tcPr>
            <w:tcW w:w="625" w:type="pct"/>
            <w:vAlign w:val="center"/>
          </w:tcPr>
          <w:p w14:paraId="5971AF44">
            <w:pPr>
              <w:pStyle w:val="12"/>
              <w:jc w:val="center"/>
              <w:rPr>
                <w:rFonts w:ascii="宋体" w:hAnsi="宋体"/>
              </w:rPr>
            </w:pPr>
            <w:r>
              <w:rPr>
                <w:rFonts w:ascii="宋体" w:hAnsi="宋体"/>
              </w:rPr>
              <w:t>158</w:t>
            </w:r>
          </w:p>
        </w:tc>
        <w:tc>
          <w:tcPr>
            <w:tcW w:w="625" w:type="pct"/>
            <w:vAlign w:val="center"/>
          </w:tcPr>
          <w:p w14:paraId="265EDB5D">
            <w:pPr>
              <w:pStyle w:val="12"/>
              <w:jc w:val="center"/>
              <w:rPr>
                <w:rFonts w:ascii="宋体" w:hAnsi="宋体"/>
              </w:rPr>
            </w:pPr>
            <w:r>
              <w:rPr>
                <w:rFonts w:ascii="宋体" w:hAnsi="宋体"/>
              </w:rPr>
              <w:t>2002</w:t>
            </w:r>
          </w:p>
        </w:tc>
        <w:tc>
          <w:tcPr>
            <w:tcW w:w="558" w:type="pct"/>
            <w:vAlign w:val="center"/>
          </w:tcPr>
          <w:p w14:paraId="5223B1AE">
            <w:pPr>
              <w:pStyle w:val="12"/>
              <w:jc w:val="center"/>
              <w:rPr>
                <w:rFonts w:ascii="宋体" w:hAnsi="宋体"/>
              </w:rPr>
            </w:pPr>
            <w:r>
              <w:rPr>
                <w:rFonts w:ascii="宋体" w:hAnsi="宋体"/>
              </w:rPr>
              <w:t>91934</w:t>
            </w:r>
          </w:p>
        </w:tc>
        <w:tc>
          <w:tcPr>
            <w:tcW w:w="692" w:type="pct"/>
            <w:vAlign w:val="center"/>
          </w:tcPr>
          <w:p w14:paraId="4DB028C3">
            <w:pPr>
              <w:pStyle w:val="12"/>
              <w:jc w:val="center"/>
              <w:rPr>
                <w:rFonts w:ascii="宋体" w:hAnsi="宋体"/>
              </w:rPr>
            </w:pPr>
            <w:r>
              <w:rPr>
                <w:rFonts w:ascii="宋体" w:hAnsi="宋体"/>
              </w:rPr>
              <w:t>17586</w:t>
            </w:r>
          </w:p>
        </w:tc>
        <w:tc>
          <w:tcPr>
            <w:tcW w:w="625" w:type="pct"/>
            <w:vAlign w:val="center"/>
          </w:tcPr>
          <w:p w14:paraId="7088BABF">
            <w:pPr>
              <w:pStyle w:val="12"/>
              <w:jc w:val="center"/>
              <w:rPr>
                <w:rFonts w:ascii="宋体" w:hAnsi="宋体"/>
              </w:rPr>
            </w:pPr>
            <w:r>
              <w:rPr>
                <w:rFonts w:ascii="宋体" w:hAnsi="宋体"/>
              </w:rPr>
              <w:t>191</w:t>
            </w:r>
          </w:p>
        </w:tc>
      </w:tr>
      <w:tr w14:paraId="312162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3527412C">
            <w:pPr>
              <w:pStyle w:val="12"/>
              <w:jc w:val="center"/>
              <w:rPr>
                <w:rFonts w:ascii="宋体" w:hAnsi="宋体"/>
              </w:rPr>
            </w:pPr>
            <w:r>
              <w:rPr>
                <w:rFonts w:ascii="宋体" w:hAnsi="宋体"/>
              </w:rPr>
              <w:t>1994</w:t>
            </w:r>
          </w:p>
        </w:tc>
        <w:tc>
          <w:tcPr>
            <w:tcW w:w="567" w:type="pct"/>
            <w:vAlign w:val="center"/>
          </w:tcPr>
          <w:p w14:paraId="01817C13">
            <w:pPr>
              <w:pStyle w:val="12"/>
              <w:jc w:val="center"/>
              <w:rPr>
                <w:rFonts w:ascii="宋体" w:hAnsi="宋体"/>
              </w:rPr>
            </w:pPr>
            <w:r>
              <w:rPr>
                <w:rFonts w:ascii="宋体" w:hAnsi="宋体"/>
              </w:rPr>
              <w:t>98335</w:t>
            </w:r>
          </w:p>
        </w:tc>
        <w:tc>
          <w:tcPr>
            <w:tcW w:w="683" w:type="pct"/>
            <w:vAlign w:val="center"/>
          </w:tcPr>
          <w:p w14:paraId="28EA3289">
            <w:pPr>
              <w:pStyle w:val="12"/>
              <w:jc w:val="center"/>
              <w:rPr>
                <w:rFonts w:ascii="宋体" w:hAnsi="宋体"/>
              </w:rPr>
            </w:pPr>
            <w:r>
              <w:rPr>
                <w:rFonts w:ascii="宋体" w:hAnsi="宋体"/>
              </w:rPr>
              <w:t>16289</w:t>
            </w:r>
          </w:p>
        </w:tc>
        <w:tc>
          <w:tcPr>
            <w:tcW w:w="625" w:type="pct"/>
            <w:vAlign w:val="center"/>
          </w:tcPr>
          <w:p w14:paraId="4BE00AD9">
            <w:pPr>
              <w:pStyle w:val="12"/>
              <w:jc w:val="center"/>
              <w:rPr>
                <w:rFonts w:ascii="宋体" w:hAnsi="宋体"/>
              </w:rPr>
            </w:pPr>
            <w:r>
              <w:rPr>
                <w:rFonts w:ascii="宋体" w:hAnsi="宋体"/>
              </w:rPr>
              <w:t>166</w:t>
            </w:r>
          </w:p>
        </w:tc>
        <w:tc>
          <w:tcPr>
            <w:tcW w:w="625" w:type="pct"/>
            <w:vAlign w:val="center"/>
          </w:tcPr>
          <w:p w14:paraId="7B080EA2">
            <w:pPr>
              <w:pStyle w:val="12"/>
              <w:jc w:val="center"/>
              <w:rPr>
                <w:rFonts w:ascii="宋体" w:hAnsi="宋体"/>
              </w:rPr>
            </w:pPr>
            <w:r>
              <w:rPr>
                <w:rFonts w:ascii="宋体" w:hAnsi="宋体"/>
              </w:rPr>
              <w:t>2003</w:t>
            </w:r>
          </w:p>
        </w:tc>
        <w:tc>
          <w:tcPr>
            <w:tcW w:w="558" w:type="pct"/>
            <w:vAlign w:val="center"/>
          </w:tcPr>
          <w:p w14:paraId="11501A34">
            <w:pPr>
              <w:pStyle w:val="12"/>
              <w:jc w:val="center"/>
              <w:rPr>
                <w:rFonts w:ascii="宋体" w:hAnsi="宋体"/>
              </w:rPr>
            </w:pPr>
            <w:r>
              <w:rPr>
                <w:rFonts w:ascii="宋体" w:hAnsi="宋体"/>
              </w:rPr>
              <w:t>94447</w:t>
            </w:r>
          </w:p>
        </w:tc>
        <w:tc>
          <w:tcPr>
            <w:tcW w:w="692" w:type="pct"/>
            <w:vAlign w:val="center"/>
          </w:tcPr>
          <w:p w14:paraId="23BC5628">
            <w:pPr>
              <w:pStyle w:val="12"/>
              <w:jc w:val="center"/>
              <w:rPr>
                <w:rFonts w:ascii="宋体" w:hAnsi="宋体"/>
              </w:rPr>
            </w:pPr>
            <w:r>
              <w:rPr>
                <w:rFonts w:ascii="宋体" w:hAnsi="宋体"/>
              </w:rPr>
              <w:t>18455</w:t>
            </w:r>
          </w:p>
        </w:tc>
        <w:tc>
          <w:tcPr>
            <w:tcW w:w="625" w:type="pct"/>
            <w:vAlign w:val="center"/>
          </w:tcPr>
          <w:p w14:paraId="0B934803">
            <w:pPr>
              <w:pStyle w:val="12"/>
              <w:jc w:val="center"/>
              <w:rPr>
                <w:rFonts w:ascii="宋体" w:hAnsi="宋体"/>
              </w:rPr>
            </w:pPr>
            <w:r>
              <w:rPr>
                <w:rFonts w:ascii="宋体" w:hAnsi="宋体"/>
              </w:rPr>
              <w:t>195</w:t>
            </w:r>
          </w:p>
        </w:tc>
      </w:tr>
      <w:tr w14:paraId="4905E7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695591BD">
            <w:pPr>
              <w:pStyle w:val="12"/>
              <w:jc w:val="center"/>
              <w:rPr>
                <w:rFonts w:ascii="宋体" w:hAnsi="宋体"/>
              </w:rPr>
            </w:pPr>
            <w:r>
              <w:rPr>
                <w:rFonts w:ascii="宋体" w:hAnsi="宋体"/>
              </w:rPr>
              <w:t>1995</w:t>
            </w:r>
          </w:p>
        </w:tc>
        <w:tc>
          <w:tcPr>
            <w:tcW w:w="567" w:type="pct"/>
            <w:vAlign w:val="center"/>
          </w:tcPr>
          <w:p w14:paraId="51CF7804">
            <w:pPr>
              <w:pStyle w:val="12"/>
              <w:jc w:val="center"/>
              <w:rPr>
                <w:rFonts w:ascii="宋体" w:hAnsi="宋体"/>
              </w:rPr>
            </w:pPr>
            <w:r>
              <w:rPr>
                <w:rFonts w:ascii="宋体" w:hAnsi="宋体"/>
              </w:rPr>
              <w:t>89472</w:t>
            </w:r>
          </w:p>
        </w:tc>
        <w:tc>
          <w:tcPr>
            <w:tcW w:w="683" w:type="pct"/>
            <w:vAlign w:val="center"/>
          </w:tcPr>
          <w:p w14:paraId="505CCD13">
            <w:pPr>
              <w:pStyle w:val="12"/>
              <w:jc w:val="center"/>
              <w:rPr>
                <w:rFonts w:ascii="宋体" w:hAnsi="宋体"/>
              </w:rPr>
            </w:pPr>
            <w:r>
              <w:rPr>
                <w:rFonts w:ascii="宋体" w:hAnsi="宋体"/>
              </w:rPr>
              <w:t>15182</w:t>
            </w:r>
          </w:p>
        </w:tc>
        <w:tc>
          <w:tcPr>
            <w:tcW w:w="625" w:type="pct"/>
            <w:vAlign w:val="center"/>
          </w:tcPr>
          <w:p w14:paraId="33FF53DA">
            <w:pPr>
              <w:pStyle w:val="12"/>
              <w:jc w:val="center"/>
              <w:rPr>
                <w:rFonts w:ascii="宋体" w:hAnsi="宋体"/>
              </w:rPr>
            </w:pPr>
            <w:r>
              <w:rPr>
                <w:rFonts w:ascii="宋体" w:hAnsi="宋体"/>
              </w:rPr>
              <w:t>170</w:t>
            </w:r>
          </w:p>
        </w:tc>
        <w:tc>
          <w:tcPr>
            <w:tcW w:w="625" w:type="pct"/>
            <w:vAlign w:val="center"/>
          </w:tcPr>
          <w:p w14:paraId="7D2B157A">
            <w:pPr>
              <w:pStyle w:val="12"/>
              <w:jc w:val="center"/>
              <w:rPr>
                <w:rFonts w:ascii="宋体" w:hAnsi="宋体"/>
              </w:rPr>
            </w:pPr>
            <w:r>
              <w:rPr>
                <w:rFonts w:ascii="宋体" w:hAnsi="宋体"/>
              </w:rPr>
              <w:t>2004</w:t>
            </w:r>
          </w:p>
        </w:tc>
        <w:tc>
          <w:tcPr>
            <w:tcW w:w="558" w:type="pct"/>
            <w:vAlign w:val="center"/>
          </w:tcPr>
          <w:p w14:paraId="78D1E1CF">
            <w:pPr>
              <w:pStyle w:val="12"/>
              <w:jc w:val="center"/>
              <w:rPr>
                <w:rFonts w:ascii="宋体" w:hAnsi="宋体"/>
              </w:rPr>
            </w:pPr>
            <w:r>
              <w:rPr>
                <w:rFonts w:ascii="宋体" w:hAnsi="宋体"/>
              </w:rPr>
              <w:t>95890</w:t>
            </w:r>
          </w:p>
        </w:tc>
        <w:tc>
          <w:tcPr>
            <w:tcW w:w="692" w:type="pct"/>
            <w:vAlign w:val="center"/>
          </w:tcPr>
          <w:p w14:paraId="5D25F309">
            <w:pPr>
              <w:pStyle w:val="12"/>
              <w:jc w:val="center"/>
              <w:rPr>
                <w:rFonts w:ascii="宋体" w:hAnsi="宋体"/>
              </w:rPr>
            </w:pPr>
            <w:r>
              <w:rPr>
                <w:rFonts w:ascii="宋体" w:hAnsi="宋体"/>
              </w:rPr>
              <w:t>19099</w:t>
            </w:r>
          </w:p>
        </w:tc>
        <w:tc>
          <w:tcPr>
            <w:tcW w:w="625" w:type="pct"/>
            <w:vAlign w:val="center"/>
          </w:tcPr>
          <w:p w14:paraId="07E86EC1">
            <w:pPr>
              <w:pStyle w:val="12"/>
              <w:jc w:val="center"/>
              <w:rPr>
                <w:rFonts w:ascii="宋体" w:hAnsi="宋体"/>
              </w:rPr>
            </w:pPr>
            <w:r>
              <w:rPr>
                <w:rFonts w:ascii="宋体" w:hAnsi="宋体"/>
              </w:rPr>
              <w:t>199</w:t>
            </w:r>
          </w:p>
        </w:tc>
      </w:tr>
      <w:tr w14:paraId="304797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79E6F983">
            <w:pPr>
              <w:pStyle w:val="12"/>
              <w:jc w:val="center"/>
              <w:rPr>
                <w:rFonts w:ascii="宋体" w:hAnsi="宋体"/>
              </w:rPr>
            </w:pPr>
            <w:r>
              <w:rPr>
                <w:rFonts w:ascii="宋体" w:hAnsi="宋体"/>
              </w:rPr>
              <w:t>1996</w:t>
            </w:r>
          </w:p>
        </w:tc>
        <w:tc>
          <w:tcPr>
            <w:tcW w:w="567" w:type="pct"/>
            <w:vAlign w:val="center"/>
          </w:tcPr>
          <w:p w14:paraId="1F62C7EF">
            <w:pPr>
              <w:pStyle w:val="12"/>
              <w:jc w:val="center"/>
              <w:rPr>
                <w:rFonts w:ascii="宋体" w:hAnsi="宋体"/>
              </w:rPr>
            </w:pPr>
            <w:r>
              <w:rPr>
                <w:rFonts w:ascii="宋体" w:hAnsi="宋体"/>
              </w:rPr>
              <w:t>87871</w:t>
            </w:r>
          </w:p>
        </w:tc>
        <w:tc>
          <w:tcPr>
            <w:tcW w:w="683" w:type="pct"/>
            <w:vAlign w:val="center"/>
          </w:tcPr>
          <w:p w14:paraId="2A39D3F3">
            <w:pPr>
              <w:pStyle w:val="12"/>
              <w:jc w:val="center"/>
              <w:rPr>
                <w:rFonts w:ascii="宋体" w:hAnsi="宋体"/>
              </w:rPr>
            </w:pPr>
            <w:r>
              <w:rPr>
                <w:rFonts w:ascii="宋体" w:hAnsi="宋体"/>
              </w:rPr>
              <w:t>15339</w:t>
            </w:r>
          </w:p>
        </w:tc>
        <w:tc>
          <w:tcPr>
            <w:tcW w:w="625" w:type="pct"/>
            <w:vAlign w:val="center"/>
          </w:tcPr>
          <w:p w14:paraId="01BBA628">
            <w:pPr>
              <w:pStyle w:val="12"/>
              <w:jc w:val="center"/>
              <w:rPr>
                <w:rFonts w:ascii="宋体" w:hAnsi="宋体"/>
              </w:rPr>
            </w:pPr>
            <w:r>
              <w:rPr>
                <w:rFonts w:ascii="宋体" w:hAnsi="宋体"/>
              </w:rPr>
              <w:t>175</w:t>
            </w:r>
          </w:p>
        </w:tc>
        <w:tc>
          <w:tcPr>
            <w:tcW w:w="625" w:type="pct"/>
            <w:vAlign w:val="center"/>
          </w:tcPr>
          <w:p w14:paraId="1989E129">
            <w:pPr>
              <w:pStyle w:val="12"/>
              <w:jc w:val="center"/>
              <w:rPr>
                <w:rFonts w:ascii="宋体" w:hAnsi="宋体"/>
              </w:rPr>
            </w:pPr>
            <w:r>
              <w:rPr>
                <w:rFonts w:ascii="宋体" w:hAnsi="宋体"/>
              </w:rPr>
              <w:t>—</w:t>
            </w:r>
          </w:p>
        </w:tc>
        <w:tc>
          <w:tcPr>
            <w:tcW w:w="558" w:type="pct"/>
            <w:vAlign w:val="center"/>
          </w:tcPr>
          <w:p w14:paraId="2455D7CA">
            <w:pPr>
              <w:pStyle w:val="12"/>
              <w:jc w:val="center"/>
              <w:rPr>
                <w:rFonts w:ascii="宋体" w:hAnsi="宋体"/>
              </w:rPr>
            </w:pPr>
            <w:r>
              <w:rPr>
                <w:rFonts w:ascii="宋体" w:hAnsi="宋体"/>
              </w:rPr>
              <w:t>—</w:t>
            </w:r>
          </w:p>
        </w:tc>
        <w:tc>
          <w:tcPr>
            <w:tcW w:w="692" w:type="pct"/>
            <w:vAlign w:val="center"/>
          </w:tcPr>
          <w:p w14:paraId="5E1FF314">
            <w:pPr>
              <w:pStyle w:val="12"/>
              <w:jc w:val="center"/>
              <w:rPr>
                <w:rFonts w:ascii="宋体" w:hAnsi="宋体"/>
              </w:rPr>
            </w:pPr>
            <w:r>
              <w:rPr>
                <w:rFonts w:ascii="宋体" w:hAnsi="宋体"/>
              </w:rPr>
              <w:t>—</w:t>
            </w:r>
          </w:p>
        </w:tc>
        <w:tc>
          <w:tcPr>
            <w:tcW w:w="625" w:type="pct"/>
            <w:vAlign w:val="center"/>
          </w:tcPr>
          <w:p w14:paraId="18EF8918">
            <w:pPr>
              <w:pStyle w:val="12"/>
              <w:jc w:val="center"/>
              <w:rPr>
                <w:rFonts w:ascii="宋体" w:hAnsi="宋体"/>
              </w:rPr>
            </w:pPr>
            <w:r>
              <w:rPr>
                <w:rFonts w:ascii="宋体" w:hAnsi="宋体"/>
              </w:rPr>
              <w:t>—</w:t>
            </w:r>
          </w:p>
        </w:tc>
      </w:tr>
    </w:tbl>
    <w:p w14:paraId="1617EAE7">
      <w:pPr>
        <w:ind w:firstLine="422"/>
        <w:rPr>
          <w:rFonts w:ascii="宋体" w:hAnsi="宋体"/>
          <w:b/>
          <w:szCs w:val="21"/>
        </w:rPr>
      </w:pPr>
      <w:r>
        <w:rPr>
          <w:rFonts w:hint="eastAsia" w:ascii="宋体" w:hAnsi="宋体"/>
          <w:b/>
          <w:szCs w:val="21"/>
        </w:rPr>
        <w:t>（二）大豆</w:t>
      </w:r>
    </w:p>
    <w:p w14:paraId="05D917F1">
      <w:pPr>
        <w:ind w:firstLine="420"/>
        <w:rPr>
          <w:rFonts w:ascii="宋体" w:hAnsi="宋体"/>
          <w:szCs w:val="21"/>
        </w:rPr>
      </w:pPr>
      <w:r>
        <w:rPr>
          <w:rFonts w:hint="eastAsia" w:ascii="宋体" w:hAnsi="宋体"/>
          <w:szCs w:val="21"/>
        </w:rPr>
        <w:t>大豆栽培原习惯在花生地块四周间种或在稻田田基点播，产量少。品种分早、晚两类。早大豆俗称六月黄，惊蛰前种，小暑前收；晚大豆俗称八月黄、霜降豆，夏至前后种，霜降收。豆粒有大、有小，粒色有黄、青、黑、花。主要用作制豆腐原料，而非用于榨油。民国</w:t>
      </w:r>
      <w:r>
        <w:rPr>
          <w:rFonts w:ascii="宋体" w:hAnsi="宋体"/>
          <w:szCs w:val="21"/>
        </w:rPr>
        <w:t>17年（1928年），县政府农产调查：全县大豆年产4万斤（20</w:t>
      </w:r>
      <w:r>
        <w:rPr>
          <w:rFonts w:hint="eastAsia" w:ascii="宋体" w:hAnsi="宋体"/>
          <w:szCs w:val="21"/>
        </w:rPr>
        <w:t>吨），年消费量</w:t>
      </w:r>
      <w:r>
        <w:rPr>
          <w:rFonts w:ascii="宋体" w:hAnsi="宋体"/>
          <w:szCs w:val="21"/>
        </w:rPr>
        <w:t>12万斤（60吨）。1954年前种植面积不足万亩，合作化后，逐步扩</w:t>
      </w:r>
      <w:r>
        <w:rPr>
          <w:rFonts w:hint="eastAsia" w:ascii="宋体" w:hAnsi="宋体"/>
          <w:szCs w:val="21"/>
        </w:rPr>
        <w:t>大。</w:t>
      </w:r>
      <w:r>
        <w:rPr>
          <w:rFonts w:ascii="宋体" w:hAnsi="宋体"/>
          <w:szCs w:val="21"/>
        </w:rPr>
        <w:t>1957年达1826.2公顷。杂交水稻在晚造推广以后，秧苗期缩短，利用晚造秧田</w:t>
      </w:r>
      <w:r>
        <w:rPr>
          <w:rFonts w:hint="eastAsia" w:ascii="宋体" w:hAnsi="宋体"/>
          <w:szCs w:val="21"/>
        </w:rPr>
        <w:t>先种一造大豆再播种、插晚稻的轮作模式，使大豆面积进一步增加。</w:t>
      </w:r>
      <w:r>
        <w:rPr>
          <w:rFonts w:ascii="宋体" w:hAnsi="宋体"/>
          <w:szCs w:val="21"/>
        </w:rPr>
        <w:t>1987年增至2810.93公顷，总产4594吨，亩均109公斤。1994年以后，由于市场供求变化，大</w:t>
      </w:r>
      <w:r>
        <w:rPr>
          <w:rFonts w:hint="eastAsia" w:ascii="宋体" w:hAnsi="宋体"/>
          <w:szCs w:val="21"/>
        </w:rPr>
        <w:t>豆生产有所下降，每年种植</w:t>
      </w:r>
      <w:r>
        <w:rPr>
          <w:rFonts w:ascii="宋体" w:hAnsi="宋体"/>
          <w:szCs w:val="21"/>
        </w:rPr>
        <w:t>2000公顷左右。2004年为2146.4公顷，总产5737吨，</w:t>
      </w:r>
      <w:r>
        <w:rPr>
          <w:rFonts w:hint="eastAsia" w:ascii="宋体" w:hAnsi="宋体"/>
          <w:szCs w:val="21"/>
        </w:rPr>
        <w:t>亩均</w:t>
      </w:r>
      <w:r>
        <w:rPr>
          <w:rFonts w:ascii="宋体" w:hAnsi="宋体"/>
          <w:szCs w:val="21"/>
        </w:rPr>
        <w:t>178公斤。</w:t>
      </w:r>
    </w:p>
    <w:p w14:paraId="34ADF2AF">
      <w:pPr>
        <w:ind w:firstLine="422"/>
        <w:rPr>
          <w:rFonts w:ascii="宋体" w:hAnsi="宋体"/>
          <w:b/>
          <w:szCs w:val="21"/>
        </w:rPr>
      </w:pPr>
      <w:r>
        <w:rPr>
          <w:rFonts w:hint="eastAsia" w:ascii="宋体" w:hAnsi="宋体"/>
          <w:b/>
          <w:szCs w:val="21"/>
        </w:rPr>
        <w:t>（三）油菜子</w:t>
      </w:r>
    </w:p>
    <w:p w14:paraId="5D1B147E">
      <w:pPr>
        <w:ind w:firstLine="420"/>
        <w:rPr>
          <w:rFonts w:ascii="宋体" w:hAnsi="宋体"/>
          <w:szCs w:val="21"/>
        </w:rPr>
      </w:pPr>
      <w:r>
        <w:rPr>
          <w:rFonts w:hint="eastAsia" w:ascii="宋体" w:hAnsi="宋体"/>
          <w:szCs w:val="21"/>
        </w:rPr>
        <w:t>在少数粮产区有冬种油菜子习惯。民国</w:t>
      </w:r>
      <w:r>
        <w:rPr>
          <w:rFonts w:ascii="宋体" w:hAnsi="宋体"/>
          <w:szCs w:val="21"/>
        </w:rPr>
        <w:t>30年（1941年）县政府推行冬种，种油</w:t>
      </w:r>
      <w:r>
        <w:rPr>
          <w:rFonts w:hint="eastAsia" w:ascii="宋体" w:hAnsi="宋体"/>
          <w:szCs w:val="21"/>
        </w:rPr>
        <w:t>菜子</w:t>
      </w:r>
      <w:r>
        <w:rPr>
          <w:rFonts w:ascii="宋体" w:hAnsi="宋体"/>
          <w:szCs w:val="21"/>
        </w:rPr>
        <w:t>1189.73公顷，总产642吨，亩产36公斤。新中国成立后，仍沿袭种植，1956</w:t>
      </w:r>
      <w:r>
        <w:rPr>
          <w:rFonts w:hint="eastAsia" w:ascii="宋体" w:hAnsi="宋体"/>
          <w:szCs w:val="21"/>
        </w:rPr>
        <w:t>年冬种油菜</w:t>
      </w:r>
      <w:r>
        <w:rPr>
          <w:rFonts w:ascii="宋体" w:hAnsi="宋体"/>
          <w:szCs w:val="21"/>
        </w:rPr>
        <w:t>724.2公顷，总产157.5吨，亩产14.5公斤。1968年以后，种植面积在73.33公顷～366.67公顷之间。1980年以后，随着花生产量的提高，油菜生产趋于</w:t>
      </w:r>
      <w:r>
        <w:rPr>
          <w:rFonts w:hint="eastAsia" w:ascii="宋体" w:hAnsi="宋体"/>
          <w:szCs w:val="21"/>
        </w:rPr>
        <w:t>萎缩。</w:t>
      </w:r>
      <w:r>
        <w:rPr>
          <w:rFonts w:ascii="宋体" w:hAnsi="宋体"/>
          <w:szCs w:val="21"/>
        </w:rPr>
        <w:t>2004年种植面积140公顷，总产151吨，亩产72公斤</w:t>
      </w:r>
      <w:r>
        <w:rPr>
          <w:rFonts w:hint="eastAsia" w:ascii="宋体" w:hAnsi="宋体"/>
          <w:szCs w:val="21"/>
        </w:rPr>
        <w:t>。</w:t>
      </w:r>
    </w:p>
    <w:p w14:paraId="23E6D28C">
      <w:pPr>
        <w:pStyle w:val="5"/>
        <w:rPr>
          <w:rFonts w:ascii="宋体" w:hAnsi="宋体"/>
        </w:rPr>
      </w:pPr>
      <w:r>
        <w:rPr>
          <w:rFonts w:hint="eastAsia" w:ascii="宋体" w:hAnsi="宋体"/>
        </w:rPr>
        <w:t>四、茶果蔬菜</w:t>
      </w:r>
    </w:p>
    <w:p w14:paraId="214EA505">
      <w:pPr>
        <w:ind w:firstLine="422"/>
        <w:rPr>
          <w:rFonts w:ascii="宋体" w:hAnsi="宋体"/>
          <w:b/>
          <w:szCs w:val="21"/>
        </w:rPr>
      </w:pPr>
      <w:r>
        <w:rPr>
          <w:rFonts w:hint="eastAsia" w:ascii="宋体" w:hAnsi="宋体"/>
          <w:b/>
          <w:szCs w:val="21"/>
        </w:rPr>
        <w:t>（一）茶叶</w:t>
      </w:r>
    </w:p>
    <w:p w14:paraId="58962251">
      <w:pPr>
        <w:ind w:firstLine="420"/>
        <w:rPr>
          <w:rFonts w:ascii="宋体" w:hAnsi="宋体"/>
          <w:szCs w:val="21"/>
        </w:rPr>
      </w:pPr>
      <w:r>
        <w:rPr>
          <w:rFonts w:hint="eastAsia" w:ascii="宋体" w:hAnsi="宋体"/>
          <w:szCs w:val="21"/>
        </w:rPr>
        <w:t>南雄原无茶园，仅有少数山区农民挖取野生茶苗植于村边宅旁，采叶自制自用。位于梅岭古道的梅岭村，种植较多，自制绿茶颇有特色，名梅山茶，除自用外，有少量出售。</w:t>
      </w:r>
      <w:r>
        <w:rPr>
          <w:rFonts w:ascii="宋体" w:hAnsi="宋体"/>
          <w:szCs w:val="21"/>
        </w:rPr>
        <w:t>1952年全县茶叶产量仅65公斤。1958年在钟古岩兴办国营茶果场，种植梅</w:t>
      </w:r>
      <w:r>
        <w:rPr>
          <w:rFonts w:hint="eastAsia" w:ascii="宋体" w:hAnsi="宋体"/>
          <w:szCs w:val="21"/>
        </w:rPr>
        <w:t>山茶和柑橘。</w:t>
      </w:r>
      <w:r>
        <w:rPr>
          <w:rFonts w:ascii="宋体" w:hAnsi="宋体"/>
          <w:szCs w:val="21"/>
        </w:rPr>
        <w:t>1965年后，南亩、界址公社垦辟茶园，引进外地茶叶品种。1970年全</w:t>
      </w:r>
      <w:r>
        <w:rPr>
          <w:rFonts w:hint="eastAsia" w:ascii="宋体" w:hAnsi="宋体"/>
          <w:szCs w:val="21"/>
        </w:rPr>
        <w:t>县茶叶产量</w:t>
      </w:r>
      <w:r>
        <w:rPr>
          <w:rFonts w:ascii="宋体" w:hAnsi="宋体"/>
          <w:szCs w:val="21"/>
        </w:rPr>
        <w:t>1350公斤，1977年增至10吨。1987年有17个乡镇种茶叶93公顷，投</w:t>
      </w:r>
      <w:r>
        <w:rPr>
          <w:rFonts w:hint="eastAsia" w:ascii="宋体" w:hAnsi="宋体"/>
          <w:szCs w:val="21"/>
        </w:rPr>
        <w:t>产面积</w:t>
      </w:r>
      <w:r>
        <w:rPr>
          <w:rFonts w:ascii="宋体" w:hAnsi="宋体"/>
          <w:szCs w:val="21"/>
        </w:rPr>
        <w:t>79.07公顷，产茶叶29吨，均为绿茶。1990年以后，全市茶叶面积保持在106.67公顷左右，年产</w:t>
      </w:r>
      <w:r>
        <w:rPr>
          <w:rFonts w:hint="eastAsia" w:ascii="宋体" w:hAnsi="宋体"/>
          <w:szCs w:val="21"/>
        </w:rPr>
        <w:t>茶</w:t>
      </w:r>
      <w:r>
        <w:rPr>
          <w:rFonts w:ascii="宋体" w:hAnsi="宋体"/>
          <w:szCs w:val="21"/>
        </w:rPr>
        <w:t>叶50吨～60吨。在市场竞争环境下，2002年起，面积降</w:t>
      </w:r>
      <w:r>
        <w:rPr>
          <w:rFonts w:hint="eastAsia" w:ascii="宋体" w:hAnsi="宋体"/>
          <w:szCs w:val="21"/>
        </w:rPr>
        <w:t>至千亩以下。</w:t>
      </w:r>
      <w:r>
        <w:rPr>
          <w:rFonts w:ascii="宋体" w:hAnsi="宋体"/>
          <w:szCs w:val="21"/>
        </w:rPr>
        <w:t>2004年全市茶叶面积55.4公顷，总产52吨，亩均62.6公斤</w:t>
      </w:r>
      <w:r>
        <w:rPr>
          <w:rFonts w:hint="eastAsia" w:ascii="宋体" w:hAnsi="宋体"/>
          <w:szCs w:val="21"/>
        </w:rPr>
        <w:t>。</w:t>
      </w:r>
    </w:p>
    <w:p w14:paraId="4C155778">
      <w:pPr>
        <w:ind w:firstLine="422"/>
        <w:rPr>
          <w:rFonts w:ascii="宋体" w:hAnsi="宋体"/>
          <w:b/>
          <w:szCs w:val="21"/>
        </w:rPr>
      </w:pPr>
      <w:r>
        <w:rPr>
          <w:rFonts w:hint="eastAsia" w:ascii="宋体" w:hAnsi="宋体"/>
          <w:b/>
          <w:szCs w:val="21"/>
        </w:rPr>
        <w:t>（二）水果</w:t>
      </w:r>
    </w:p>
    <w:p w14:paraId="7E83A29B">
      <w:pPr>
        <w:ind w:firstLine="420"/>
        <w:rPr>
          <w:rFonts w:ascii="宋体" w:hAnsi="宋体"/>
          <w:szCs w:val="21"/>
        </w:rPr>
      </w:pPr>
      <w:r>
        <w:rPr>
          <w:rFonts w:hint="eastAsia" w:ascii="宋体" w:hAnsi="宋体"/>
          <w:szCs w:val="21"/>
        </w:rPr>
        <w:t>南雄传统水果有梅、李、桃、梨、柿、柚、橘等，但面积不大，品质欠佳。民国</w:t>
      </w:r>
      <w:r>
        <w:rPr>
          <w:rFonts w:ascii="宋体" w:hAnsi="宋体"/>
          <w:szCs w:val="21"/>
        </w:rPr>
        <w:t>28年（1939年）全县有各种果树8.33公顷，产量9.06吨。新中国成立后，果树有</w:t>
      </w:r>
      <w:r>
        <w:rPr>
          <w:rFonts w:hint="eastAsia" w:ascii="宋体" w:hAnsi="宋体"/>
          <w:szCs w:val="21"/>
        </w:rPr>
        <w:t>所发展。政府号召公社大队办果园。</w:t>
      </w:r>
      <w:r>
        <w:rPr>
          <w:rFonts w:ascii="宋体" w:hAnsi="宋体"/>
          <w:szCs w:val="21"/>
        </w:rPr>
        <w:t>1973年县果菜公司从浙江省调入温州柑果苗，</w:t>
      </w:r>
      <w:r>
        <w:rPr>
          <w:rFonts w:hint="eastAsia" w:ascii="宋体" w:hAnsi="宋体"/>
          <w:szCs w:val="21"/>
        </w:rPr>
        <w:t>聘请了</w:t>
      </w:r>
      <w:r>
        <w:rPr>
          <w:rFonts w:ascii="宋体" w:hAnsi="宋体"/>
          <w:szCs w:val="21"/>
        </w:rPr>
        <w:t>3名果农作技术指导，推广种植温州柑。至1980年共办起社队果场323个，</w:t>
      </w:r>
      <w:r>
        <w:rPr>
          <w:rFonts w:hint="eastAsia" w:ascii="宋体" w:hAnsi="宋体"/>
          <w:szCs w:val="21"/>
        </w:rPr>
        <w:t>种柑苗</w:t>
      </w:r>
      <w:r>
        <w:rPr>
          <w:rFonts w:ascii="宋体" w:hAnsi="宋体"/>
          <w:szCs w:val="21"/>
        </w:rPr>
        <w:t>53万株。因管理不善，至次年8月，只剩下果场199个，柑树31万株。1985</w:t>
      </w:r>
      <w:r>
        <w:rPr>
          <w:rFonts w:hint="eastAsia" w:ascii="宋体" w:hAnsi="宋体"/>
          <w:szCs w:val="21"/>
        </w:rPr>
        <w:t>年，县政府成立种果办公室，全程为农民种果提供技术指导，使水果生产迅速发展。</w:t>
      </w:r>
      <w:r>
        <w:rPr>
          <w:rFonts w:ascii="宋体" w:hAnsi="宋体"/>
          <w:szCs w:val="21"/>
        </w:rPr>
        <w:t>1987年全县水果面积3218.4公顷，产量3187吨。其中柑橘橙2582公顷，投产面积229.53公顷，总产1862吨</w:t>
      </w:r>
      <w:r>
        <w:rPr>
          <w:rFonts w:hint="eastAsia" w:ascii="宋体" w:hAnsi="宋体"/>
          <w:szCs w:val="21"/>
        </w:rPr>
        <w:t>。</w:t>
      </w:r>
    </w:p>
    <w:p w14:paraId="499C0B42">
      <w:pPr>
        <w:ind w:firstLine="420"/>
        <w:rPr>
          <w:rFonts w:ascii="宋体" w:hAnsi="宋体"/>
          <w:szCs w:val="21"/>
        </w:rPr>
      </w:pPr>
      <w:r>
        <w:rPr>
          <w:rFonts w:ascii="宋体" w:hAnsi="宋体"/>
          <w:szCs w:val="21"/>
        </w:rPr>
        <w:t>1988年以后，户办果场如雨后春笋。1997年全市水果面积3551.6公顷，投产面</w:t>
      </w:r>
      <w:r>
        <w:rPr>
          <w:rFonts w:hint="eastAsia" w:ascii="宋体" w:hAnsi="宋体"/>
          <w:szCs w:val="21"/>
        </w:rPr>
        <w:t>积</w:t>
      </w:r>
      <w:r>
        <w:rPr>
          <w:rFonts w:ascii="宋体" w:hAnsi="宋体"/>
          <w:szCs w:val="21"/>
        </w:rPr>
        <w:t>2810.</w:t>
      </w:r>
      <w:r>
        <w:rPr>
          <w:rFonts w:hint="eastAsia" w:ascii="宋体" w:hAnsi="宋体"/>
          <w:szCs w:val="21"/>
        </w:rPr>
        <w:t>3</w:t>
      </w:r>
      <w:r>
        <w:rPr>
          <w:rFonts w:ascii="宋体" w:hAnsi="宋体"/>
          <w:szCs w:val="21"/>
        </w:rPr>
        <w:t>3公顷，总产17141吨。其中柑橘橙面积2587.73公顷，投产面积2095.53</w:t>
      </w:r>
      <w:r>
        <w:rPr>
          <w:rFonts w:hint="eastAsia" w:ascii="宋体" w:hAnsi="宋体"/>
          <w:szCs w:val="21"/>
        </w:rPr>
        <w:t>公顷，总产</w:t>
      </w:r>
      <w:r>
        <w:rPr>
          <w:rFonts w:ascii="宋体" w:hAnsi="宋体"/>
          <w:szCs w:val="21"/>
        </w:rPr>
        <w:t>12837吨。户办果场中，年产值超万元的有285个。黎口镇迳口村有17</w:t>
      </w:r>
      <w:r>
        <w:rPr>
          <w:rFonts w:hint="eastAsia" w:ascii="宋体" w:hAnsi="宋体"/>
          <w:szCs w:val="21"/>
        </w:rPr>
        <w:t>个户办果园，从</w:t>
      </w:r>
      <w:r>
        <w:rPr>
          <w:rFonts w:ascii="宋体" w:hAnsi="宋体"/>
          <w:szCs w:val="21"/>
        </w:rPr>
        <w:t>1988年至1997年，连续10年水果产值在万元以上。</w:t>
      </w:r>
    </w:p>
    <w:p w14:paraId="62C2E831">
      <w:pPr>
        <w:ind w:firstLine="420"/>
        <w:rPr>
          <w:rFonts w:ascii="宋体" w:hAnsi="宋体"/>
          <w:szCs w:val="21"/>
        </w:rPr>
      </w:pPr>
      <w:r>
        <w:rPr>
          <w:rFonts w:ascii="宋体" w:hAnsi="宋体"/>
          <w:szCs w:val="21"/>
        </w:rPr>
        <w:t>1998年以后，水果市场竞争趋于剧烈，水果面积逐渐减少。2004年全市水果面</w:t>
      </w:r>
      <w:r>
        <w:rPr>
          <w:rFonts w:hint="eastAsia" w:ascii="宋体" w:hAnsi="宋体"/>
          <w:szCs w:val="21"/>
        </w:rPr>
        <w:t>积降至</w:t>
      </w:r>
      <w:r>
        <w:rPr>
          <w:rFonts w:ascii="宋体" w:hAnsi="宋体"/>
          <w:szCs w:val="21"/>
        </w:rPr>
        <w:t>2624.13公顷，总产15786吨。其中柑橘橙1823.53公顷，总产8794吨。投</w:t>
      </w:r>
      <w:r>
        <w:rPr>
          <w:rFonts w:hint="eastAsia" w:ascii="宋体" w:hAnsi="宋体"/>
          <w:szCs w:val="21"/>
        </w:rPr>
        <w:t>产的品种有：温州柑、年橘、夏橙、雪橙、脐橙、椪柑、三华李、蜜桃、青梅、蜜梨、枇杷、柿、沙田柚、文旦柚、茶李、火烧李、红枣、葡萄、猕猴桃、山楂李、白果、板栗、杨梅、黄皮、本地桃、青榄、大蕉共</w:t>
      </w:r>
      <w:r>
        <w:rPr>
          <w:rFonts w:ascii="宋体" w:hAnsi="宋体"/>
          <w:szCs w:val="21"/>
        </w:rPr>
        <w:t>27个</w:t>
      </w:r>
      <w:r>
        <w:rPr>
          <w:rFonts w:hint="eastAsia" w:ascii="宋体" w:hAnsi="宋体"/>
          <w:szCs w:val="21"/>
        </w:rPr>
        <w:t>。</w:t>
      </w:r>
    </w:p>
    <w:p w14:paraId="1A251002">
      <w:pPr>
        <w:ind w:firstLine="420"/>
        <w:rPr>
          <w:rFonts w:ascii="宋体" w:hAnsi="宋体"/>
          <w:szCs w:val="21"/>
        </w:rPr>
      </w:pPr>
      <w:r>
        <w:rPr>
          <w:rFonts w:hint="eastAsia" w:ascii="宋体" w:hAnsi="宋体"/>
          <w:szCs w:val="21"/>
        </w:rPr>
        <w:t>南雄传统栽培的还有香瓜、红瓜子。香瓜主产于城南的三洲、五渡村。</w:t>
      </w:r>
      <w:r>
        <w:rPr>
          <w:rFonts w:ascii="宋体" w:hAnsi="宋体"/>
          <w:szCs w:val="21"/>
        </w:rPr>
        <w:t>1970年</w:t>
      </w:r>
      <w:r>
        <w:rPr>
          <w:rFonts w:hint="eastAsia" w:ascii="宋体" w:hAnsi="宋体"/>
          <w:szCs w:val="21"/>
        </w:rPr>
        <w:t>以后，有些农民推广种植西瓜。均属零星种植。</w:t>
      </w:r>
      <w:r>
        <w:rPr>
          <w:rFonts w:ascii="宋体" w:hAnsi="宋体"/>
          <w:szCs w:val="21"/>
        </w:rPr>
        <w:t>2004年种植286.67公顷，产量7000</w:t>
      </w:r>
      <w:r>
        <w:rPr>
          <w:rFonts w:hint="eastAsia" w:ascii="宋体" w:hAnsi="宋体"/>
          <w:szCs w:val="21"/>
        </w:rPr>
        <w:t>吨。民国时期，浈江河沿岸农民有种植红瓜子习惯。民国</w:t>
      </w:r>
      <w:r>
        <w:rPr>
          <w:rFonts w:ascii="宋体" w:hAnsi="宋体"/>
          <w:szCs w:val="21"/>
        </w:rPr>
        <w:t>28年（1939年），全县种</w:t>
      </w:r>
      <w:r>
        <w:rPr>
          <w:rFonts w:hint="eastAsia" w:ascii="宋体" w:hAnsi="宋体"/>
          <w:szCs w:val="21"/>
        </w:rPr>
        <w:t>植面积</w:t>
      </w:r>
      <w:r>
        <w:rPr>
          <w:rFonts w:ascii="宋体" w:hAnsi="宋体"/>
          <w:szCs w:val="21"/>
        </w:rPr>
        <w:t>28公顷，产量4.94吨。1968年引进江西信丰红瓜子品种，种植面积曾达518.47公顷，后因品质差，经济效益不高，近年只有部分农民少量种植自用</w:t>
      </w:r>
      <w:r>
        <w:rPr>
          <w:rFonts w:hint="eastAsia" w:ascii="宋体" w:hAnsi="宋体"/>
          <w:szCs w:val="21"/>
        </w:rPr>
        <w:t>。</w:t>
      </w:r>
    </w:p>
    <w:p w14:paraId="430797AC">
      <w:pPr>
        <w:ind w:firstLine="422"/>
        <w:rPr>
          <w:rFonts w:ascii="宋体" w:hAnsi="宋体"/>
          <w:b/>
          <w:szCs w:val="21"/>
        </w:rPr>
      </w:pPr>
      <w:r>
        <w:rPr>
          <w:rFonts w:hint="eastAsia" w:ascii="宋体" w:hAnsi="宋体"/>
          <w:b/>
          <w:szCs w:val="21"/>
        </w:rPr>
        <w:t>（三）蔬菜</w:t>
      </w:r>
    </w:p>
    <w:p w14:paraId="0035EC60">
      <w:pPr>
        <w:ind w:firstLine="420"/>
        <w:rPr>
          <w:rFonts w:ascii="宋体" w:hAnsi="宋体"/>
          <w:szCs w:val="21"/>
        </w:rPr>
      </w:pPr>
      <w:r>
        <w:rPr>
          <w:rFonts w:hint="eastAsia" w:ascii="宋体" w:hAnsi="宋体"/>
          <w:szCs w:val="21"/>
        </w:rPr>
        <w:t>农民种植蔬菜多为自给。城区及圩镇近郊农户则有生产商品菜供应市场习惯。合作化以后，近城农业社把蔬菜作为副业经营，县果菜公司曾在城郊五联大队、湖口午田大队办蔬菜基地，因经营效益欠佳而停办。市场蔬菜仍靠社员自留地提供，年种植面积约</w:t>
      </w:r>
      <w:r>
        <w:rPr>
          <w:rFonts w:ascii="宋体" w:hAnsi="宋体"/>
          <w:szCs w:val="21"/>
        </w:rPr>
        <w:t>2000公顷～3333.</w:t>
      </w:r>
      <w:r>
        <w:rPr>
          <w:rFonts w:hint="eastAsia" w:ascii="宋体" w:hAnsi="宋体"/>
          <w:szCs w:val="21"/>
        </w:rPr>
        <w:t>3</w:t>
      </w:r>
      <w:r>
        <w:rPr>
          <w:rFonts w:ascii="宋体" w:hAnsi="宋体"/>
          <w:szCs w:val="21"/>
        </w:rPr>
        <w:t>3公顷。</w:t>
      </w:r>
    </w:p>
    <w:p w14:paraId="6EA94F4C">
      <w:pPr>
        <w:ind w:firstLine="420"/>
        <w:rPr>
          <w:rFonts w:ascii="宋体" w:hAnsi="宋体"/>
          <w:szCs w:val="21"/>
        </w:rPr>
      </w:pPr>
      <w:r>
        <w:rPr>
          <w:rFonts w:ascii="宋体" w:hAnsi="宋体"/>
          <w:szCs w:val="21"/>
        </w:rPr>
        <w:t>1980年实行家庭联产承包责任制后，蔬菜生产由市场需求调节，种植面积增加。1987年全县种植面积4266.67公顷，总产6.8万吨，品种有30多个。1988年以后，</w:t>
      </w:r>
      <w:r>
        <w:rPr>
          <w:rFonts w:hint="eastAsia" w:ascii="宋体" w:hAnsi="宋体"/>
          <w:szCs w:val="21"/>
        </w:rPr>
        <w:t>随着城镇人口的增加，蔬菜生产随着发展，出现了蔬菜生产专业户，引进外地良种和反季节蔬菜。一些易于运输、加工的辣椒、荞头在远离城市的山区亦有大面积种植，且外销大中城市。引进的蔬菜良种有：上海青、黑叶白菜、湖南园椒、台湾苦瓜、山东大葱、西红柿、油菜心、芥菜心、花椰菜、西芹、西蕹、莴笋等。蔬菜种植面积，</w:t>
      </w:r>
      <w:r>
        <w:rPr>
          <w:rFonts w:ascii="宋体" w:hAnsi="宋体"/>
          <w:szCs w:val="21"/>
        </w:rPr>
        <w:t>1997年为6497.13公顷，总产90497吨。2002年增至8000公顷，总产134287吨</w:t>
      </w:r>
      <w:r>
        <w:rPr>
          <w:rFonts w:hint="eastAsia" w:ascii="宋体" w:hAnsi="宋体"/>
          <w:szCs w:val="21"/>
        </w:rPr>
        <w:t>。</w:t>
      </w:r>
      <w:r>
        <w:rPr>
          <w:rFonts w:ascii="宋体" w:hAnsi="宋体"/>
          <w:szCs w:val="21"/>
        </w:rPr>
        <w:t>2004年达8482.07公顷，总产153365吨</w:t>
      </w:r>
      <w:r>
        <w:rPr>
          <w:rFonts w:hint="eastAsia" w:ascii="宋体" w:hAnsi="宋体"/>
          <w:szCs w:val="21"/>
        </w:rPr>
        <w:t>。</w:t>
      </w:r>
    </w:p>
    <w:p w14:paraId="1CB9DCFF">
      <w:pPr>
        <w:pStyle w:val="5"/>
        <w:rPr>
          <w:rFonts w:ascii="宋体" w:hAnsi="宋体"/>
        </w:rPr>
      </w:pPr>
      <w:r>
        <w:rPr>
          <w:rFonts w:hint="eastAsia" w:ascii="宋体" w:hAnsi="宋体"/>
        </w:rPr>
        <w:t>五、绿肥作物</w:t>
      </w:r>
    </w:p>
    <w:p w14:paraId="5D2A6117">
      <w:pPr>
        <w:ind w:firstLine="420"/>
        <w:rPr>
          <w:rFonts w:ascii="宋体" w:hAnsi="宋体"/>
          <w:szCs w:val="21"/>
        </w:rPr>
      </w:pPr>
      <w:r>
        <w:rPr>
          <w:rFonts w:hint="eastAsia" w:ascii="宋体" w:hAnsi="宋体"/>
          <w:szCs w:val="21"/>
        </w:rPr>
        <w:t>冬种绿肥。传统习惯在晚稻收获后进行犁冬晒白时，趁泥土潮湿，撒播萝葡青（俗称肥田子）种子，花工少，成本低，农民愿意种植。民国</w:t>
      </w:r>
      <w:r>
        <w:rPr>
          <w:rFonts w:ascii="宋体" w:hAnsi="宋体"/>
          <w:szCs w:val="21"/>
        </w:rPr>
        <w:t>30年（1941年）县政</w:t>
      </w:r>
      <w:r>
        <w:rPr>
          <w:rFonts w:hint="eastAsia" w:ascii="宋体" w:hAnsi="宋体"/>
          <w:szCs w:val="21"/>
        </w:rPr>
        <w:t>府推行冬种，播种萝葡青面积</w:t>
      </w:r>
      <w:r>
        <w:rPr>
          <w:rFonts w:ascii="宋体" w:hAnsi="宋体"/>
          <w:szCs w:val="21"/>
        </w:rPr>
        <w:t>22</w:t>
      </w:r>
      <w:r>
        <w:rPr>
          <w:rFonts w:hint="eastAsia" w:ascii="宋体" w:hAnsi="宋体"/>
          <w:szCs w:val="21"/>
        </w:rPr>
        <w:t>3</w:t>
      </w:r>
      <w:r>
        <w:rPr>
          <w:rFonts w:ascii="宋体" w:hAnsi="宋体"/>
          <w:szCs w:val="21"/>
        </w:rPr>
        <w:t>33.</w:t>
      </w:r>
      <w:r>
        <w:rPr>
          <w:rFonts w:hint="eastAsia" w:ascii="宋体" w:hAnsi="宋体"/>
          <w:szCs w:val="21"/>
        </w:rPr>
        <w:t>3</w:t>
      </w:r>
      <w:r>
        <w:rPr>
          <w:rFonts w:ascii="宋体" w:hAnsi="宋体"/>
          <w:szCs w:val="21"/>
        </w:rPr>
        <w:t>3公顷，占耕地总面积50.7%。1964年为提高</w:t>
      </w:r>
      <w:r>
        <w:rPr>
          <w:rFonts w:hint="eastAsia" w:ascii="宋体" w:hAnsi="宋体"/>
          <w:szCs w:val="21"/>
        </w:rPr>
        <w:t>绿肥产量和肥效，引进豆科绿肥紫云英（红花子）、苕子、黄花苜蓿，试种结果以红花子生长最好，此后大力推广。</w:t>
      </w:r>
      <w:r>
        <w:rPr>
          <w:rFonts w:ascii="宋体" w:hAnsi="宋体"/>
          <w:szCs w:val="21"/>
        </w:rPr>
        <w:t>1974年达9</w:t>
      </w:r>
      <w:r>
        <w:rPr>
          <w:rFonts w:hint="eastAsia" w:ascii="宋体" w:hAnsi="宋体"/>
          <w:szCs w:val="21"/>
        </w:rPr>
        <w:t>3</w:t>
      </w:r>
      <w:r>
        <w:rPr>
          <w:rFonts w:ascii="宋体" w:hAnsi="宋体"/>
          <w:szCs w:val="21"/>
        </w:rPr>
        <w:t>33.33公顷。1978年南雄氮肥厂投产后</w:t>
      </w:r>
      <w:r>
        <w:rPr>
          <w:rFonts w:hint="eastAsia" w:ascii="宋体" w:hAnsi="宋体"/>
          <w:szCs w:val="21"/>
        </w:rPr>
        <w:t>，不重视绿肥生产。</w:t>
      </w:r>
      <w:r>
        <w:rPr>
          <w:rFonts w:ascii="宋体" w:hAnsi="宋体"/>
          <w:szCs w:val="21"/>
        </w:rPr>
        <w:t>1980年实行家庭联产承包制后，鸡鸭饲养量大增，秋收后放牧于</w:t>
      </w:r>
      <w:r>
        <w:rPr>
          <w:rFonts w:hint="eastAsia" w:ascii="宋体" w:hAnsi="宋体"/>
          <w:szCs w:val="21"/>
        </w:rPr>
        <w:t>田间，冬种绿肥多被吃掉。</w:t>
      </w:r>
      <w:r>
        <w:rPr>
          <w:rFonts w:ascii="宋体" w:hAnsi="宋体"/>
          <w:szCs w:val="21"/>
        </w:rPr>
        <w:t>1984年后冬种绿肥大大减少。1990年以后，尿素、复合</w:t>
      </w:r>
      <w:r>
        <w:rPr>
          <w:rFonts w:hint="eastAsia" w:ascii="宋体" w:hAnsi="宋体"/>
          <w:szCs w:val="21"/>
        </w:rPr>
        <w:t>肥供应日渐充裕，绿肥只有零星种植。</w:t>
      </w:r>
      <w:r>
        <w:rPr>
          <w:rFonts w:ascii="宋体" w:hAnsi="宋体"/>
          <w:szCs w:val="21"/>
        </w:rPr>
        <w:t>2004年仅有200.67公顷</w:t>
      </w:r>
      <w:r>
        <w:rPr>
          <w:rFonts w:hint="eastAsia" w:ascii="宋体" w:hAnsi="宋体"/>
          <w:szCs w:val="21"/>
        </w:rPr>
        <w:t>。</w:t>
      </w:r>
    </w:p>
    <w:p w14:paraId="29FE6F82">
      <w:pPr>
        <w:ind w:firstLine="420"/>
        <w:rPr>
          <w:rFonts w:ascii="宋体" w:hAnsi="宋体"/>
          <w:szCs w:val="21"/>
        </w:rPr>
      </w:pPr>
      <w:r>
        <w:rPr>
          <w:rFonts w:hint="eastAsia" w:ascii="宋体" w:hAnsi="宋体"/>
          <w:szCs w:val="21"/>
        </w:rPr>
        <w:t>夏种绿肥。</w:t>
      </w:r>
      <w:r>
        <w:rPr>
          <w:rFonts w:ascii="宋体" w:hAnsi="宋体"/>
          <w:szCs w:val="21"/>
        </w:rPr>
        <w:t>1960年后，曾聘请外地老农进行养殖红萍试验示范。1968年引进田</w:t>
      </w:r>
      <w:r>
        <w:rPr>
          <w:rFonts w:hint="eastAsia" w:ascii="宋体" w:hAnsi="宋体"/>
          <w:szCs w:val="21"/>
        </w:rPr>
        <w:t>菁试种。皆因不适应南雄水稻耕作习惯未能推广。晚稻基肥多采用稻草、花生苗、豆苗、烟笋、烟梗回田。</w:t>
      </w:r>
    </w:p>
    <w:p w14:paraId="501767A9">
      <w:pPr>
        <w:pStyle w:val="5"/>
        <w:rPr>
          <w:rFonts w:ascii="宋体" w:hAnsi="宋体"/>
        </w:rPr>
      </w:pPr>
      <w:r>
        <w:rPr>
          <w:rFonts w:hint="eastAsia" w:ascii="宋体" w:hAnsi="宋体"/>
        </w:rPr>
        <w:t>六、其他作物</w:t>
      </w:r>
    </w:p>
    <w:p w14:paraId="38A1FE60">
      <w:pPr>
        <w:ind w:firstLine="422"/>
        <w:rPr>
          <w:rFonts w:ascii="宋体" w:hAnsi="宋体"/>
          <w:b/>
          <w:szCs w:val="21"/>
        </w:rPr>
      </w:pPr>
      <w:r>
        <w:rPr>
          <w:rFonts w:hint="eastAsia" w:ascii="宋体" w:hAnsi="宋体"/>
          <w:b/>
          <w:szCs w:val="21"/>
        </w:rPr>
        <w:t>（一）甘蔗</w:t>
      </w:r>
    </w:p>
    <w:p w14:paraId="6AC3D1BD">
      <w:pPr>
        <w:ind w:firstLine="420"/>
        <w:rPr>
          <w:rFonts w:ascii="宋体" w:hAnsi="宋体"/>
          <w:szCs w:val="21"/>
        </w:rPr>
      </w:pPr>
      <w:r>
        <w:rPr>
          <w:rFonts w:hint="eastAsia" w:ascii="宋体" w:hAnsi="宋体"/>
          <w:szCs w:val="21"/>
        </w:rPr>
        <w:t>果蔗。城郊农民有少量种植习惯。</w:t>
      </w:r>
      <w:r>
        <w:rPr>
          <w:rFonts w:ascii="宋体" w:hAnsi="宋体"/>
          <w:szCs w:val="21"/>
        </w:rPr>
        <w:t>1982年以后，种植面积逐年增多。1987年有11个乡镇的农民种植了50公顷，总产1828吨。亩均2437公斤。此后因当地市场销</w:t>
      </w:r>
      <w:r>
        <w:rPr>
          <w:rFonts w:hint="eastAsia" w:ascii="宋体" w:hAnsi="宋体"/>
          <w:szCs w:val="21"/>
        </w:rPr>
        <w:t>售不旺，外销困难，种者渐减。</w:t>
      </w:r>
      <w:r>
        <w:rPr>
          <w:rFonts w:ascii="宋体" w:hAnsi="宋体"/>
          <w:szCs w:val="21"/>
        </w:rPr>
        <w:t>2004年种植面积仅5.33公顷。</w:t>
      </w:r>
    </w:p>
    <w:p w14:paraId="03579306">
      <w:pPr>
        <w:ind w:firstLine="420"/>
        <w:rPr>
          <w:rFonts w:ascii="宋体" w:hAnsi="宋体"/>
          <w:szCs w:val="21"/>
        </w:rPr>
      </w:pPr>
      <w:r>
        <w:rPr>
          <w:rFonts w:hint="eastAsia" w:ascii="宋体" w:hAnsi="宋体"/>
          <w:szCs w:val="21"/>
        </w:rPr>
        <w:t>糖蔗。始于</w:t>
      </w:r>
      <w:r>
        <w:rPr>
          <w:rFonts w:ascii="宋体" w:hAnsi="宋体"/>
          <w:szCs w:val="21"/>
        </w:rPr>
        <w:t>1961年，少数生产队试种53.33多公顷，试图自力更生解决社员食</w:t>
      </w:r>
      <w:r>
        <w:rPr>
          <w:rFonts w:hint="eastAsia" w:ascii="宋体" w:hAnsi="宋体"/>
          <w:szCs w:val="21"/>
        </w:rPr>
        <w:t>糖需要。</w:t>
      </w:r>
      <w:r>
        <w:rPr>
          <w:rFonts w:ascii="宋体" w:hAnsi="宋体"/>
          <w:szCs w:val="21"/>
        </w:rPr>
        <w:t>1971年有12个公社种植133.33多公顷，且办起了土糖厂。但税务部门要征</w:t>
      </w:r>
      <w:r>
        <w:rPr>
          <w:rFonts w:hint="eastAsia" w:ascii="宋体" w:hAnsi="宋体"/>
          <w:szCs w:val="21"/>
        </w:rPr>
        <w:t>食糖产品税，后因自产食糖纳税后无利可图，糖蔗种植迅速萎缩，</w:t>
      </w:r>
      <w:r>
        <w:rPr>
          <w:rFonts w:ascii="宋体" w:hAnsi="宋体"/>
          <w:szCs w:val="21"/>
        </w:rPr>
        <w:t>1980年绝产</w:t>
      </w:r>
      <w:r>
        <w:rPr>
          <w:rFonts w:hint="eastAsia" w:ascii="宋体" w:hAnsi="宋体"/>
          <w:szCs w:val="21"/>
        </w:rPr>
        <w:t>。</w:t>
      </w:r>
    </w:p>
    <w:p w14:paraId="79D529DE">
      <w:pPr>
        <w:ind w:firstLine="422"/>
        <w:rPr>
          <w:rFonts w:ascii="宋体" w:hAnsi="宋体"/>
          <w:b/>
          <w:szCs w:val="21"/>
        </w:rPr>
      </w:pPr>
      <w:r>
        <w:rPr>
          <w:rFonts w:hint="eastAsia" w:ascii="宋体" w:hAnsi="宋体"/>
          <w:b/>
          <w:szCs w:val="21"/>
        </w:rPr>
        <w:t>（二）蚕桑</w:t>
      </w:r>
    </w:p>
    <w:p w14:paraId="495F83EF">
      <w:pPr>
        <w:ind w:firstLine="420"/>
        <w:rPr>
          <w:rFonts w:ascii="宋体" w:hAnsi="宋体"/>
          <w:szCs w:val="21"/>
        </w:rPr>
      </w:pPr>
      <w:r>
        <w:rPr>
          <w:rFonts w:hint="eastAsia" w:ascii="宋体" w:hAnsi="宋体"/>
          <w:szCs w:val="21"/>
        </w:rPr>
        <w:t>明洪武中，南雄知府左孟诚曾建桑园，教民种桑。清康熙九年（</w:t>
      </w:r>
      <w:r>
        <w:rPr>
          <w:rFonts w:ascii="宋体" w:hAnsi="宋体"/>
          <w:szCs w:val="21"/>
        </w:rPr>
        <w:t>1670年）</w:t>
      </w:r>
      <w:r>
        <w:rPr>
          <w:rFonts w:hint="eastAsia" w:ascii="宋体" w:hAnsi="宋体"/>
          <w:szCs w:val="21"/>
        </w:rPr>
        <w:t>乌</w:t>
      </w:r>
      <w:r>
        <w:rPr>
          <w:rFonts w:ascii="宋体" w:hAnsi="宋体"/>
          <w:szCs w:val="21"/>
        </w:rPr>
        <w:t>迳</w:t>
      </w:r>
      <w:r>
        <w:rPr>
          <w:rFonts w:hint="eastAsia" w:ascii="宋体" w:hAnsi="宋体"/>
          <w:szCs w:val="21"/>
        </w:rPr>
        <w:t>巡检倡导种桑养蚕未见流传。</w:t>
      </w:r>
      <w:r>
        <w:rPr>
          <w:rFonts w:ascii="宋体" w:hAnsi="宋体"/>
          <w:szCs w:val="21"/>
        </w:rPr>
        <w:t>1976年，县外贸局创办蚕丝出口基地。1984年蚕茧产</w:t>
      </w:r>
      <w:r>
        <w:rPr>
          <w:rFonts w:hint="eastAsia" w:ascii="宋体" w:hAnsi="宋体"/>
          <w:szCs w:val="21"/>
        </w:rPr>
        <w:t>量</w:t>
      </w:r>
      <w:r>
        <w:rPr>
          <w:rFonts w:ascii="宋体" w:hAnsi="宋体"/>
          <w:szCs w:val="21"/>
        </w:rPr>
        <w:t>22984公斤，县先后设立蚕茧收购站和丝绸公司。1985年有20个乡镇种桑333.33</w:t>
      </w:r>
      <w:r>
        <w:rPr>
          <w:rFonts w:hint="eastAsia" w:ascii="宋体" w:hAnsi="宋体"/>
          <w:szCs w:val="21"/>
        </w:rPr>
        <w:t>公顷，养蚕</w:t>
      </w:r>
      <w:r>
        <w:rPr>
          <w:rFonts w:ascii="宋体" w:hAnsi="宋体"/>
          <w:szCs w:val="21"/>
        </w:rPr>
        <w:t>10017张，产茧121586公斤。次年茧价下调，种桑养蚕大减。2004年，</w:t>
      </w:r>
      <w:r>
        <w:rPr>
          <w:rFonts w:hint="eastAsia" w:ascii="宋体" w:hAnsi="宋体"/>
          <w:szCs w:val="21"/>
        </w:rPr>
        <w:t>种桑面积</w:t>
      </w:r>
      <w:r>
        <w:rPr>
          <w:rFonts w:ascii="宋体" w:hAnsi="宋体"/>
          <w:szCs w:val="21"/>
        </w:rPr>
        <w:t>60公顷，产茧35吨</w:t>
      </w:r>
      <w:r>
        <w:rPr>
          <w:rFonts w:hint="eastAsia" w:ascii="宋体" w:hAnsi="宋体"/>
          <w:szCs w:val="21"/>
        </w:rPr>
        <w:t>。</w:t>
      </w:r>
    </w:p>
    <w:p w14:paraId="739EF511">
      <w:pPr>
        <w:ind w:firstLine="422"/>
        <w:rPr>
          <w:rFonts w:ascii="宋体" w:hAnsi="宋体"/>
          <w:b/>
          <w:szCs w:val="21"/>
        </w:rPr>
      </w:pPr>
      <w:r>
        <w:rPr>
          <w:rFonts w:hint="eastAsia" w:ascii="宋体" w:hAnsi="宋体"/>
          <w:b/>
          <w:szCs w:val="21"/>
        </w:rPr>
        <w:t>（三）黄麻、苎麻</w:t>
      </w:r>
    </w:p>
    <w:p w14:paraId="2F53B256">
      <w:pPr>
        <w:ind w:firstLine="420"/>
        <w:rPr>
          <w:rFonts w:ascii="宋体" w:hAnsi="宋体"/>
          <w:szCs w:val="21"/>
        </w:rPr>
      </w:pPr>
      <w:r>
        <w:rPr>
          <w:rFonts w:hint="eastAsia" w:ascii="宋体" w:hAnsi="宋体"/>
          <w:szCs w:val="21"/>
        </w:rPr>
        <w:t>南雄农民历来有种植黄麻自用习惯，作为自制草鞋、加工绳索的原料。民国</w:t>
      </w:r>
      <w:r>
        <w:rPr>
          <w:rFonts w:ascii="宋体" w:hAnsi="宋体"/>
          <w:szCs w:val="21"/>
        </w:rPr>
        <w:t>28</w:t>
      </w:r>
      <w:r>
        <w:rPr>
          <w:rFonts w:hint="eastAsia" w:ascii="宋体" w:hAnsi="宋体"/>
          <w:szCs w:val="21"/>
        </w:rPr>
        <w:t>年（</w:t>
      </w:r>
      <w:r>
        <w:rPr>
          <w:rFonts w:ascii="宋体" w:hAnsi="宋体"/>
          <w:szCs w:val="21"/>
        </w:rPr>
        <w:t>1939年）全县种黄麻54.33公顷，产量26吨。1955年发展到142.4公顷。以</w:t>
      </w:r>
      <w:r>
        <w:rPr>
          <w:rFonts w:hint="eastAsia" w:ascii="宋体" w:hAnsi="宋体"/>
          <w:szCs w:val="21"/>
        </w:rPr>
        <w:t>后，供销社从外地购入黄麻供应市场，且尼龙绳索日益增多，价廉物美，黄麻停种。</w:t>
      </w:r>
    </w:p>
    <w:p w14:paraId="437FE1A1">
      <w:pPr>
        <w:ind w:firstLine="420"/>
        <w:rPr>
          <w:rFonts w:ascii="宋体" w:hAnsi="宋体"/>
          <w:szCs w:val="21"/>
        </w:rPr>
      </w:pPr>
      <w:r>
        <w:rPr>
          <w:rFonts w:hint="eastAsia" w:ascii="宋体" w:hAnsi="宋体"/>
          <w:szCs w:val="21"/>
        </w:rPr>
        <w:t>苎麻，原为妇女自制布鞋之用，历来有少量种植。</w:t>
      </w:r>
      <w:r>
        <w:rPr>
          <w:rFonts w:ascii="宋体" w:hAnsi="宋体"/>
          <w:szCs w:val="21"/>
        </w:rPr>
        <w:t>1960年以后，工业制造的鞋</w:t>
      </w:r>
      <w:r>
        <w:rPr>
          <w:rFonts w:hint="eastAsia" w:ascii="宋体" w:hAnsi="宋体"/>
          <w:szCs w:val="21"/>
        </w:rPr>
        <w:t>类日益丰富，妇女做鞋自用者日少，苎麻停种。</w:t>
      </w:r>
    </w:p>
    <w:p w14:paraId="027593E9">
      <w:pPr>
        <w:pStyle w:val="4"/>
        <w:rPr>
          <w:rFonts w:ascii="宋体" w:hAnsi="宋体"/>
        </w:rPr>
      </w:pPr>
      <w:r>
        <w:rPr>
          <w:rFonts w:hint="eastAsia" w:ascii="宋体" w:hAnsi="宋体"/>
        </w:rPr>
        <w:t>第三节  畜牧业</w:t>
      </w:r>
    </w:p>
    <w:p w14:paraId="7889F3EA">
      <w:pPr>
        <w:ind w:firstLine="420"/>
        <w:rPr>
          <w:rFonts w:ascii="宋体" w:hAnsi="宋体"/>
          <w:szCs w:val="21"/>
        </w:rPr>
      </w:pPr>
      <w:r>
        <w:rPr>
          <w:rFonts w:hint="eastAsia" w:ascii="宋体" w:hAnsi="宋体"/>
          <w:szCs w:val="21"/>
        </w:rPr>
        <w:t>南雄畜牧业向以牛、猪、鸡、鸭、鹅为主，亦有饲养山羊、狗、兔、鸽、鹌鹑等。</w:t>
      </w:r>
    </w:p>
    <w:p w14:paraId="774F7B80">
      <w:pPr>
        <w:pStyle w:val="5"/>
        <w:rPr>
          <w:rFonts w:ascii="宋体" w:hAnsi="宋体"/>
        </w:rPr>
      </w:pPr>
      <w:r>
        <w:rPr>
          <w:rFonts w:hint="eastAsia" w:ascii="宋体" w:hAnsi="宋体"/>
        </w:rPr>
        <w:t>一、家畜饲养</w:t>
      </w:r>
    </w:p>
    <w:p w14:paraId="4C6105E4">
      <w:pPr>
        <w:ind w:firstLine="422"/>
        <w:rPr>
          <w:rFonts w:ascii="宋体" w:hAnsi="宋体"/>
          <w:b/>
          <w:szCs w:val="21"/>
        </w:rPr>
      </w:pPr>
      <w:r>
        <w:rPr>
          <w:rFonts w:hint="eastAsia" w:ascii="宋体" w:hAnsi="宋体"/>
          <w:b/>
          <w:szCs w:val="21"/>
        </w:rPr>
        <w:t>（一）牛</w:t>
      </w:r>
    </w:p>
    <w:p w14:paraId="28E02824">
      <w:pPr>
        <w:ind w:firstLine="420"/>
        <w:rPr>
          <w:rFonts w:ascii="宋体" w:hAnsi="宋体"/>
          <w:szCs w:val="21"/>
        </w:rPr>
      </w:pPr>
      <w:r>
        <w:rPr>
          <w:rFonts w:hint="eastAsia" w:ascii="宋体" w:hAnsi="宋体"/>
          <w:szCs w:val="21"/>
        </w:rPr>
        <w:t>耕牛品种。南雄农民养牛皆为役用，有水牛、黄牛。品种良莠不齐，大小不一。水牛成年体重</w:t>
      </w:r>
      <w:r>
        <w:rPr>
          <w:rFonts w:ascii="宋体" w:hAnsi="宋体"/>
          <w:szCs w:val="21"/>
        </w:rPr>
        <w:t>250公斤～300公斤，挽力500公斤～700公斤；黄牛成年体重120公</w:t>
      </w:r>
      <w:r>
        <w:rPr>
          <w:rFonts w:hint="eastAsia" w:ascii="宋体" w:hAnsi="宋体"/>
          <w:szCs w:val="21"/>
        </w:rPr>
        <w:t>斤</w:t>
      </w:r>
      <w:r>
        <w:rPr>
          <w:rFonts w:ascii="宋体" w:hAnsi="宋体"/>
          <w:szCs w:val="21"/>
        </w:rPr>
        <w:t>～200公斤，挽力比水牛小。1953年以后，曾采取二项措施改良品种：一是阉割劣</w:t>
      </w:r>
      <w:r>
        <w:rPr>
          <w:rFonts w:hint="eastAsia" w:ascii="宋体" w:hAnsi="宋体"/>
          <w:szCs w:val="21"/>
        </w:rPr>
        <w:t>种公牛，保留体大强壮公牛；二是采用良种牛冷冻精液授精。</w:t>
      </w:r>
      <w:r>
        <w:rPr>
          <w:rFonts w:ascii="宋体" w:hAnsi="宋体"/>
          <w:szCs w:val="21"/>
        </w:rPr>
        <w:t>1975年至1983年先后</w:t>
      </w:r>
      <w:r>
        <w:rPr>
          <w:rFonts w:hint="eastAsia" w:ascii="宋体" w:hAnsi="宋体"/>
          <w:szCs w:val="21"/>
        </w:rPr>
        <w:t>用么拉、海福特、夏洛来、尼里、抗旱王等良种牛精液人工授精</w:t>
      </w:r>
      <w:r>
        <w:rPr>
          <w:rFonts w:ascii="宋体" w:hAnsi="宋体"/>
          <w:szCs w:val="21"/>
        </w:rPr>
        <w:t>209头，产仔71头</w:t>
      </w:r>
      <w:r>
        <w:rPr>
          <w:rFonts w:hint="eastAsia" w:ascii="宋体" w:hAnsi="宋体"/>
          <w:szCs w:val="21"/>
        </w:rPr>
        <w:t>。后因人工授精技术要求高，成功率太低，造成改良成本高，而效益不大，以致计划停止实施。</w:t>
      </w:r>
    </w:p>
    <w:p w14:paraId="465DD154">
      <w:pPr>
        <w:ind w:firstLine="420"/>
        <w:rPr>
          <w:rFonts w:ascii="宋体" w:hAnsi="宋体"/>
          <w:szCs w:val="21"/>
        </w:rPr>
      </w:pPr>
      <w:r>
        <w:rPr>
          <w:rFonts w:hint="eastAsia" w:ascii="宋体" w:hAnsi="宋体"/>
          <w:szCs w:val="21"/>
        </w:rPr>
        <w:t>耕牛饲养量。民国</w:t>
      </w:r>
      <w:r>
        <w:rPr>
          <w:rFonts w:ascii="宋体" w:hAnsi="宋体"/>
          <w:szCs w:val="21"/>
        </w:rPr>
        <w:t>33年（1944年）全县耕牛24480头，1949年29754头。1957</w:t>
      </w:r>
      <w:r>
        <w:rPr>
          <w:rFonts w:hint="eastAsia" w:ascii="宋体" w:hAnsi="宋体"/>
          <w:szCs w:val="21"/>
        </w:rPr>
        <w:t>年增至</w:t>
      </w:r>
      <w:r>
        <w:rPr>
          <w:rFonts w:ascii="宋体" w:hAnsi="宋体"/>
          <w:szCs w:val="21"/>
        </w:rPr>
        <w:t>34392头。1958年公社化后，实行耕牛公有公养，因饲养管理不善，冻饿病</w:t>
      </w:r>
      <w:r>
        <w:rPr>
          <w:rFonts w:hint="eastAsia" w:ascii="宋体" w:hAnsi="宋体"/>
          <w:szCs w:val="21"/>
        </w:rPr>
        <w:t>死多。</w:t>
      </w:r>
      <w:r>
        <w:rPr>
          <w:rFonts w:ascii="宋体" w:hAnsi="宋体"/>
          <w:szCs w:val="21"/>
        </w:rPr>
        <w:t>1962年降至24206头。体制下放后，实行公有户养，责任到人，情况有所好</w:t>
      </w:r>
      <w:r>
        <w:rPr>
          <w:rFonts w:hint="eastAsia" w:ascii="宋体" w:hAnsi="宋体"/>
          <w:szCs w:val="21"/>
        </w:rPr>
        <w:t>转。实行家庭联产承包责任制后，耕牛私有私养，饲养量有新增加。</w:t>
      </w:r>
      <w:r>
        <w:rPr>
          <w:rFonts w:ascii="宋体" w:hAnsi="宋体"/>
          <w:szCs w:val="21"/>
        </w:rPr>
        <w:t>1997年末存栏69387头，每户平均0.8头，基本适应农村耕作需要。以后，耕牛饲养量基本稳定。2004年为68863头</w:t>
      </w:r>
      <w:r>
        <w:rPr>
          <w:rFonts w:hint="eastAsia" w:ascii="宋体" w:hAnsi="宋体"/>
          <w:szCs w:val="21"/>
        </w:rPr>
        <w:t>。</w:t>
      </w:r>
    </w:p>
    <w:p w14:paraId="649D87A9">
      <w:pPr>
        <w:ind w:firstLine="420"/>
        <w:rPr>
          <w:rFonts w:ascii="宋体" w:hAnsi="宋体"/>
          <w:szCs w:val="21"/>
        </w:rPr>
      </w:pPr>
      <w:r>
        <w:rPr>
          <w:rFonts w:hint="eastAsia" w:ascii="宋体" w:hAnsi="宋体"/>
          <w:szCs w:val="21"/>
        </w:rPr>
        <w:t>牛病防治。民国以前，牛瘟为害最烈。民国</w:t>
      </w:r>
      <w:r>
        <w:rPr>
          <w:rFonts w:ascii="宋体" w:hAnsi="宋体"/>
          <w:szCs w:val="21"/>
        </w:rPr>
        <w:t>31年（1942年）起注射牛瘟疫苗，1949年以后没有发生。而出血性败血病、锥虫病、肝片吸虫病、喘气病等则在局部</w:t>
      </w:r>
      <w:r>
        <w:rPr>
          <w:rFonts w:hint="eastAsia" w:ascii="宋体" w:hAnsi="宋体"/>
          <w:szCs w:val="21"/>
        </w:rPr>
        <w:t>地区呈散发性流行。</w:t>
      </w:r>
      <w:r>
        <w:rPr>
          <w:rFonts w:ascii="宋体" w:hAnsi="宋体"/>
          <w:szCs w:val="21"/>
        </w:rPr>
        <w:t>1963年起注射牛出血性败血病疫苗，至1979年基本控制了此</w:t>
      </w:r>
      <w:r>
        <w:rPr>
          <w:rFonts w:hint="eastAsia" w:ascii="宋体" w:hAnsi="宋体"/>
          <w:szCs w:val="21"/>
        </w:rPr>
        <w:t>病。</w:t>
      </w:r>
      <w:r>
        <w:rPr>
          <w:rFonts w:ascii="宋体" w:hAnsi="宋体"/>
          <w:szCs w:val="21"/>
        </w:rPr>
        <w:t>1987年出现口蹄疫。以后，每年春秋二季进行注射牛口蹄疫、牛出败疫苗预防</w:t>
      </w:r>
      <w:r>
        <w:rPr>
          <w:rFonts w:hint="eastAsia" w:ascii="宋体" w:hAnsi="宋体"/>
          <w:szCs w:val="21"/>
        </w:rPr>
        <w:t>。</w:t>
      </w:r>
    </w:p>
    <w:p w14:paraId="06BDDAA5">
      <w:pPr>
        <w:ind w:firstLine="422"/>
        <w:rPr>
          <w:rFonts w:ascii="宋体" w:hAnsi="宋体"/>
          <w:b/>
          <w:szCs w:val="21"/>
        </w:rPr>
      </w:pPr>
      <w:r>
        <w:rPr>
          <w:rFonts w:hint="eastAsia" w:ascii="宋体" w:hAnsi="宋体"/>
          <w:b/>
          <w:szCs w:val="21"/>
        </w:rPr>
        <w:t>（二）猪</w:t>
      </w:r>
    </w:p>
    <w:p w14:paraId="2AD5AA09">
      <w:pPr>
        <w:ind w:firstLine="420"/>
        <w:rPr>
          <w:rFonts w:ascii="宋体" w:hAnsi="宋体"/>
          <w:szCs w:val="21"/>
        </w:rPr>
      </w:pPr>
      <w:r>
        <w:rPr>
          <w:rFonts w:hint="eastAsia" w:ascii="宋体" w:hAnsi="宋体"/>
          <w:szCs w:val="21"/>
        </w:rPr>
        <w:t>养猪是南雄农户传统家庭副业。饲养量受粮食、疫病和养猪政策制约。</w:t>
      </w:r>
      <w:r>
        <w:rPr>
          <w:rFonts w:ascii="宋体" w:hAnsi="宋体"/>
          <w:szCs w:val="21"/>
        </w:rPr>
        <w:t>1954年</w:t>
      </w:r>
      <w:r>
        <w:rPr>
          <w:rFonts w:hint="eastAsia" w:ascii="宋体" w:hAnsi="宋体"/>
          <w:szCs w:val="21"/>
        </w:rPr>
        <w:t>至</w:t>
      </w:r>
      <w:r>
        <w:rPr>
          <w:rFonts w:ascii="宋体" w:hAnsi="宋体"/>
          <w:szCs w:val="21"/>
        </w:rPr>
        <w:t>1958年，生猪年饲养量为六七万头。1958年至1979年，极“左”路线干扰，养</w:t>
      </w:r>
      <w:r>
        <w:rPr>
          <w:rFonts w:hint="eastAsia" w:ascii="宋体" w:hAnsi="宋体"/>
          <w:szCs w:val="21"/>
        </w:rPr>
        <w:t>猪政策多变，</w:t>
      </w:r>
      <w:r>
        <w:rPr>
          <w:rFonts w:ascii="宋体" w:hAnsi="宋体"/>
          <w:szCs w:val="21"/>
        </w:rPr>
        <w:t>1958年人民公社化，取消自留地，不准私人养猪，社社队队办猪场，</w:t>
      </w:r>
      <w:r>
        <w:rPr>
          <w:rFonts w:hint="eastAsia" w:ascii="宋体" w:hAnsi="宋体"/>
          <w:szCs w:val="21"/>
        </w:rPr>
        <w:t>结果饲养大幅下降。</w:t>
      </w:r>
      <w:r>
        <w:rPr>
          <w:rFonts w:ascii="宋体" w:hAnsi="宋体"/>
          <w:szCs w:val="21"/>
        </w:rPr>
        <w:t>1959年，实行“见猪派购，购六留四”政策，即养猪户生猪出</w:t>
      </w:r>
      <w:r>
        <w:rPr>
          <w:rFonts w:hint="eastAsia" w:ascii="宋体" w:hAnsi="宋体"/>
          <w:szCs w:val="21"/>
        </w:rPr>
        <w:t>栏，按猪肉重量，</w:t>
      </w:r>
      <w:r>
        <w:rPr>
          <w:rFonts w:ascii="宋体" w:hAnsi="宋体"/>
          <w:szCs w:val="21"/>
        </w:rPr>
        <w:t>6成按牌价卖给国家，4成留给养猪户，1962年又实行派购任务到</w:t>
      </w:r>
      <w:r>
        <w:rPr>
          <w:rFonts w:hint="eastAsia" w:ascii="宋体" w:hAnsi="宋体"/>
          <w:szCs w:val="21"/>
        </w:rPr>
        <w:t>生产队，私养为主，公私并举。这一时期，生猪饲养量很不稳定，发展缓慢。</w:t>
      </w:r>
      <w:r>
        <w:rPr>
          <w:rFonts w:ascii="宋体" w:hAnsi="宋体"/>
          <w:szCs w:val="21"/>
        </w:rPr>
        <w:t>1958</w:t>
      </w:r>
      <w:r>
        <w:rPr>
          <w:rFonts w:hint="eastAsia" w:ascii="宋体" w:hAnsi="宋体"/>
          <w:szCs w:val="21"/>
        </w:rPr>
        <w:t>年</w:t>
      </w:r>
      <w:r>
        <w:rPr>
          <w:rFonts w:ascii="宋体" w:hAnsi="宋体"/>
          <w:szCs w:val="21"/>
        </w:rPr>
        <w:t>72350头，1978年为141993头，20年平均年增3.6%。1980年以后，贯彻改革开</w:t>
      </w:r>
      <w:r>
        <w:rPr>
          <w:rFonts w:hint="eastAsia" w:ascii="宋体" w:hAnsi="宋体"/>
          <w:szCs w:val="21"/>
        </w:rPr>
        <w:t>放方针政策，</w:t>
      </w:r>
      <w:r>
        <w:rPr>
          <w:rFonts w:ascii="宋体" w:hAnsi="宋体"/>
          <w:szCs w:val="21"/>
        </w:rPr>
        <w:t>1985年取消生猪派购，加上粮食增产，促进了养猪业发展。1987年全</w:t>
      </w:r>
      <w:r>
        <w:rPr>
          <w:rFonts w:hint="eastAsia" w:ascii="宋体" w:hAnsi="宋体"/>
          <w:szCs w:val="21"/>
        </w:rPr>
        <w:t>县养猪</w:t>
      </w:r>
      <w:r>
        <w:rPr>
          <w:rFonts w:ascii="宋体" w:hAnsi="宋体"/>
          <w:szCs w:val="21"/>
        </w:rPr>
        <w:t>267303头，人均0.73头。比1980年143398头，年平均增长12.3%。1988年</w:t>
      </w:r>
      <w:r>
        <w:rPr>
          <w:rFonts w:hint="eastAsia" w:ascii="宋体" w:hAnsi="宋体"/>
          <w:szCs w:val="21"/>
        </w:rPr>
        <w:t>以后，进一步健全兽医队伍，提高疫病防治效果，饲料供应充足，生猪生产主要由市场供需调节，连年稳步增长。专业养猪户逐年增多，</w:t>
      </w:r>
      <w:r>
        <w:rPr>
          <w:rFonts w:ascii="宋体" w:hAnsi="宋体"/>
          <w:szCs w:val="21"/>
        </w:rPr>
        <w:t>1993年256户，生猪出栏量12569头，占全市出栏量的6.4%；200</w:t>
      </w:r>
      <w:r>
        <w:rPr>
          <w:rFonts w:hint="eastAsia" w:ascii="宋体" w:hAnsi="宋体"/>
          <w:szCs w:val="21"/>
        </w:rPr>
        <w:t>2</w:t>
      </w:r>
      <w:r>
        <w:rPr>
          <w:rFonts w:ascii="宋体" w:hAnsi="宋体"/>
          <w:szCs w:val="21"/>
        </w:rPr>
        <w:t>年546户，生猪出栏量46093头，占全市出</w:t>
      </w:r>
      <w:r>
        <w:rPr>
          <w:rFonts w:hint="eastAsia" w:ascii="宋体" w:hAnsi="宋体"/>
          <w:szCs w:val="21"/>
        </w:rPr>
        <w:t>栏量的</w:t>
      </w:r>
      <w:r>
        <w:rPr>
          <w:rFonts w:ascii="宋体" w:hAnsi="宋体"/>
          <w:szCs w:val="21"/>
        </w:rPr>
        <w:t>12.9%</w:t>
      </w:r>
    </w:p>
    <w:p w14:paraId="38F19DAE">
      <w:pPr>
        <w:ind w:firstLine="420"/>
        <w:rPr>
          <w:rFonts w:ascii="宋体" w:hAnsi="宋体"/>
          <w:szCs w:val="21"/>
        </w:rPr>
      </w:pPr>
      <w:r>
        <w:rPr>
          <w:rFonts w:ascii="宋体" w:hAnsi="宋体"/>
          <w:szCs w:val="21"/>
        </w:rPr>
        <w:t>1987年至2004年牛猪生产情况见表2-9：</w:t>
      </w:r>
    </w:p>
    <w:p w14:paraId="06F7F64D">
      <w:pPr>
        <w:ind w:firstLine="0" w:firstLineChars="0"/>
        <w:jc w:val="center"/>
        <w:rPr>
          <w:rFonts w:ascii="宋体" w:hAnsi="宋体"/>
          <w:b/>
          <w:szCs w:val="21"/>
        </w:rPr>
      </w:pPr>
      <w:r>
        <w:rPr>
          <w:rFonts w:hint="eastAsia" w:ascii="宋体" w:hAnsi="宋体"/>
          <w:b/>
          <w:szCs w:val="21"/>
        </w:rPr>
        <w:t>南雄市</w:t>
      </w:r>
      <w:r>
        <w:rPr>
          <w:rFonts w:ascii="宋体" w:hAnsi="宋体"/>
          <w:b/>
          <w:szCs w:val="21"/>
        </w:rPr>
        <w:t>1987年至2004年牛、猪生产统计</w:t>
      </w:r>
    </w:p>
    <w:p w14:paraId="1B6DE895">
      <w:pPr>
        <w:ind w:firstLine="0" w:firstLineChars="0"/>
        <w:rPr>
          <w:rFonts w:ascii="宋体" w:hAnsi="宋体"/>
          <w:b/>
          <w:szCs w:val="21"/>
        </w:rPr>
      </w:pPr>
      <w:r>
        <w:rPr>
          <w:rFonts w:hint="eastAsia" w:ascii="宋体" w:hAnsi="宋体"/>
          <w:b/>
          <w:szCs w:val="21"/>
        </w:rPr>
        <w:t>表</w:t>
      </w:r>
      <w:r>
        <w:rPr>
          <w:rFonts w:ascii="宋体" w:hAnsi="宋体"/>
          <w:b/>
          <w:szCs w:val="21"/>
        </w:rPr>
        <w:t>2-9</w:t>
      </w:r>
    </w:p>
    <w:p w14:paraId="4A9E31BF">
      <w:pPr>
        <w:ind w:firstLine="422"/>
        <w:jc w:val="right"/>
        <w:rPr>
          <w:rFonts w:ascii="宋体" w:hAnsi="宋体"/>
          <w:b/>
          <w:szCs w:val="21"/>
        </w:rPr>
      </w:pPr>
      <w:r>
        <w:rPr>
          <w:rFonts w:ascii="宋体" w:hAnsi="宋体"/>
          <w:b/>
          <w:szCs w:val="21"/>
        </w:rPr>
        <w:t>单位：头、%</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5"/>
        <w:gridCol w:w="1105"/>
        <w:gridCol w:w="1108"/>
        <w:gridCol w:w="1108"/>
        <w:gridCol w:w="1108"/>
        <w:gridCol w:w="1108"/>
        <w:gridCol w:w="1108"/>
        <w:gridCol w:w="1108"/>
        <w:gridCol w:w="1104"/>
      </w:tblGrid>
      <w:tr w14:paraId="0DF170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restart"/>
            <w:vAlign w:val="center"/>
          </w:tcPr>
          <w:p w14:paraId="4C534BE1">
            <w:pPr>
              <w:pStyle w:val="12"/>
              <w:jc w:val="center"/>
              <w:rPr>
                <w:rFonts w:ascii="宋体" w:hAnsi="宋体"/>
                <w:b/>
              </w:rPr>
            </w:pPr>
            <w:r>
              <w:rPr>
                <w:rFonts w:hint="eastAsia" w:ascii="宋体" w:hAnsi="宋体"/>
                <w:b/>
              </w:rPr>
              <w:t>年份</w:t>
            </w:r>
          </w:p>
        </w:tc>
        <w:tc>
          <w:tcPr>
            <w:tcW w:w="3334" w:type="pct"/>
            <w:gridSpan w:val="6"/>
            <w:vAlign w:val="center"/>
          </w:tcPr>
          <w:p w14:paraId="2C94A8A0">
            <w:pPr>
              <w:pStyle w:val="12"/>
              <w:jc w:val="center"/>
              <w:rPr>
                <w:rFonts w:ascii="宋体" w:hAnsi="宋体"/>
                <w:b/>
              </w:rPr>
            </w:pPr>
            <w:r>
              <w:rPr>
                <w:rFonts w:hint="eastAsia" w:ascii="宋体" w:hAnsi="宋体"/>
                <w:b/>
              </w:rPr>
              <w:t>生猪</w:t>
            </w:r>
          </w:p>
        </w:tc>
        <w:tc>
          <w:tcPr>
            <w:tcW w:w="1111" w:type="pct"/>
            <w:gridSpan w:val="2"/>
            <w:vAlign w:val="center"/>
          </w:tcPr>
          <w:p w14:paraId="7B3104C1">
            <w:pPr>
              <w:pStyle w:val="12"/>
              <w:jc w:val="center"/>
              <w:rPr>
                <w:rFonts w:ascii="宋体" w:hAnsi="宋体"/>
                <w:b/>
              </w:rPr>
            </w:pPr>
            <w:r>
              <w:rPr>
                <w:rFonts w:hint="eastAsia" w:ascii="宋体" w:hAnsi="宋体"/>
                <w:b/>
              </w:rPr>
              <w:t>耕牛</w:t>
            </w:r>
          </w:p>
        </w:tc>
      </w:tr>
      <w:tr w14:paraId="03800D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170CE918">
            <w:pPr>
              <w:pStyle w:val="12"/>
              <w:jc w:val="center"/>
              <w:rPr>
                <w:rFonts w:ascii="宋体" w:hAnsi="宋体"/>
                <w:b/>
              </w:rPr>
            </w:pPr>
          </w:p>
        </w:tc>
        <w:tc>
          <w:tcPr>
            <w:tcW w:w="1111" w:type="pct"/>
            <w:gridSpan w:val="2"/>
            <w:vAlign w:val="center"/>
          </w:tcPr>
          <w:p w14:paraId="1A5B68FB">
            <w:pPr>
              <w:pStyle w:val="12"/>
              <w:jc w:val="center"/>
              <w:rPr>
                <w:rFonts w:ascii="宋体" w:hAnsi="宋体"/>
                <w:b/>
              </w:rPr>
            </w:pPr>
            <w:r>
              <w:rPr>
                <w:rFonts w:hint="eastAsia" w:ascii="宋体" w:hAnsi="宋体"/>
                <w:b/>
              </w:rPr>
              <w:t>饲养量</w:t>
            </w:r>
          </w:p>
        </w:tc>
        <w:tc>
          <w:tcPr>
            <w:tcW w:w="1111" w:type="pct"/>
            <w:gridSpan w:val="2"/>
            <w:vAlign w:val="center"/>
          </w:tcPr>
          <w:p w14:paraId="4E096585">
            <w:pPr>
              <w:pStyle w:val="12"/>
              <w:jc w:val="center"/>
              <w:rPr>
                <w:rFonts w:ascii="宋体" w:hAnsi="宋体"/>
                <w:b/>
              </w:rPr>
            </w:pPr>
            <w:r>
              <w:rPr>
                <w:rFonts w:hint="eastAsia" w:ascii="宋体" w:hAnsi="宋体"/>
                <w:b/>
              </w:rPr>
              <w:t>出栏量</w:t>
            </w:r>
          </w:p>
        </w:tc>
        <w:tc>
          <w:tcPr>
            <w:tcW w:w="1111" w:type="pct"/>
            <w:gridSpan w:val="2"/>
            <w:vAlign w:val="center"/>
          </w:tcPr>
          <w:p w14:paraId="235EC79D">
            <w:pPr>
              <w:pStyle w:val="12"/>
              <w:jc w:val="center"/>
              <w:rPr>
                <w:rFonts w:ascii="宋体" w:hAnsi="宋体"/>
                <w:b/>
              </w:rPr>
            </w:pPr>
            <w:r>
              <w:rPr>
                <w:rFonts w:hint="eastAsia" w:ascii="宋体" w:hAnsi="宋体"/>
                <w:b/>
              </w:rPr>
              <w:t>存栏量</w:t>
            </w:r>
          </w:p>
        </w:tc>
        <w:tc>
          <w:tcPr>
            <w:tcW w:w="556" w:type="pct"/>
            <w:vMerge w:val="restart"/>
            <w:vAlign w:val="center"/>
          </w:tcPr>
          <w:p w14:paraId="11120C2D">
            <w:pPr>
              <w:pStyle w:val="12"/>
              <w:jc w:val="center"/>
              <w:rPr>
                <w:rFonts w:ascii="宋体" w:hAnsi="宋体"/>
                <w:b/>
              </w:rPr>
            </w:pPr>
            <w:r>
              <w:rPr>
                <w:rFonts w:hint="eastAsia" w:ascii="宋体" w:hAnsi="宋体"/>
                <w:b/>
              </w:rPr>
              <w:t>年末数</w:t>
            </w:r>
          </w:p>
        </w:tc>
        <w:tc>
          <w:tcPr>
            <w:tcW w:w="556" w:type="pct"/>
            <w:vMerge w:val="restart"/>
            <w:vAlign w:val="center"/>
          </w:tcPr>
          <w:p w14:paraId="0E1C807C">
            <w:pPr>
              <w:pStyle w:val="12"/>
              <w:jc w:val="center"/>
              <w:rPr>
                <w:rFonts w:ascii="宋体" w:hAnsi="宋体"/>
                <w:b/>
              </w:rPr>
            </w:pPr>
            <w:r>
              <w:rPr>
                <w:rFonts w:hint="eastAsia" w:ascii="宋体" w:hAnsi="宋体"/>
                <w:b/>
              </w:rPr>
              <w:t>比上年增减比</w:t>
            </w:r>
          </w:p>
        </w:tc>
      </w:tr>
      <w:tr w14:paraId="6A9B2A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55A8B927">
            <w:pPr>
              <w:pStyle w:val="12"/>
              <w:jc w:val="center"/>
              <w:rPr>
                <w:rFonts w:ascii="宋体" w:hAnsi="宋体"/>
              </w:rPr>
            </w:pPr>
          </w:p>
        </w:tc>
        <w:tc>
          <w:tcPr>
            <w:tcW w:w="555" w:type="pct"/>
            <w:vAlign w:val="center"/>
          </w:tcPr>
          <w:p w14:paraId="6F947E51">
            <w:pPr>
              <w:pStyle w:val="12"/>
              <w:jc w:val="center"/>
              <w:rPr>
                <w:rFonts w:ascii="宋体" w:hAnsi="宋体"/>
                <w:b/>
              </w:rPr>
            </w:pPr>
            <w:r>
              <w:rPr>
                <w:rFonts w:hint="eastAsia" w:ascii="宋体" w:hAnsi="宋体"/>
                <w:b/>
              </w:rPr>
              <w:t>总数</w:t>
            </w:r>
          </w:p>
        </w:tc>
        <w:tc>
          <w:tcPr>
            <w:tcW w:w="556" w:type="pct"/>
            <w:vAlign w:val="center"/>
          </w:tcPr>
          <w:p w14:paraId="7E059278">
            <w:pPr>
              <w:pStyle w:val="12"/>
              <w:jc w:val="center"/>
              <w:rPr>
                <w:rFonts w:ascii="宋体" w:hAnsi="宋体"/>
                <w:b/>
              </w:rPr>
            </w:pPr>
            <w:r>
              <w:rPr>
                <w:rFonts w:hint="eastAsia" w:ascii="宋体" w:hAnsi="宋体"/>
                <w:b/>
              </w:rPr>
              <w:t>比上年增减比</w:t>
            </w:r>
          </w:p>
        </w:tc>
        <w:tc>
          <w:tcPr>
            <w:tcW w:w="556" w:type="pct"/>
            <w:vAlign w:val="center"/>
          </w:tcPr>
          <w:p w14:paraId="103CCA6F">
            <w:pPr>
              <w:pStyle w:val="12"/>
              <w:jc w:val="center"/>
              <w:rPr>
                <w:rFonts w:ascii="宋体" w:hAnsi="宋体"/>
                <w:b/>
              </w:rPr>
            </w:pPr>
            <w:r>
              <w:rPr>
                <w:rFonts w:hint="eastAsia" w:ascii="宋体" w:hAnsi="宋体"/>
                <w:b/>
              </w:rPr>
              <w:t>总数</w:t>
            </w:r>
          </w:p>
        </w:tc>
        <w:tc>
          <w:tcPr>
            <w:tcW w:w="556" w:type="pct"/>
            <w:vAlign w:val="center"/>
          </w:tcPr>
          <w:p w14:paraId="2B72B86A">
            <w:pPr>
              <w:pStyle w:val="12"/>
              <w:jc w:val="center"/>
              <w:rPr>
                <w:rFonts w:ascii="宋体" w:hAnsi="宋体"/>
                <w:b/>
              </w:rPr>
            </w:pPr>
            <w:r>
              <w:rPr>
                <w:rFonts w:hint="eastAsia" w:ascii="宋体" w:hAnsi="宋体"/>
                <w:b/>
              </w:rPr>
              <w:t>占饲养量比</w:t>
            </w:r>
          </w:p>
        </w:tc>
        <w:tc>
          <w:tcPr>
            <w:tcW w:w="556" w:type="pct"/>
            <w:vAlign w:val="center"/>
          </w:tcPr>
          <w:p w14:paraId="4B5AFE43">
            <w:pPr>
              <w:pStyle w:val="12"/>
              <w:jc w:val="center"/>
              <w:rPr>
                <w:rFonts w:ascii="宋体" w:hAnsi="宋体"/>
                <w:b/>
              </w:rPr>
            </w:pPr>
            <w:r>
              <w:rPr>
                <w:rFonts w:hint="eastAsia" w:ascii="宋体" w:hAnsi="宋体"/>
                <w:b/>
              </w:rPr>
              <w:t>总数</w:t>
            </w:r>
          </w:p>
        </w:tc>
        <w:tc>
          <w:tcPr>
            <w:tcW w:w="556" w:type="pct"/>
            <w:vAlign w:val="center"/>
          </w:tcPr>
          <w:p w14:paraId="669E2932">
            <w:pPr>
              <w:pStyle w:val="12"/>
              <w:jc w:val="center"/>
              <w:rPr>
                <w:rFonts w:ascii="宋体" w:hAnsi="宋体"/>
                <w:b/>
              </w:rPr>
            </w:pPr>
            <w:r>
              <w:rPr>
                <w:rFonts w:hint="eastAsia" w:ascii="宋体" w:hAnsi="宋体"/>
                <w:b/>
              </w:rPr>
              <w:t>其中母猪</w:t>
            </w:r>
          </w:p>
        </w:tc>
        <w:tc>
          <w:tcPr>
            <w:tcW w:w="556" w:type="pct"/>
            <w:vMerge w:val="continue"/>
            <w:vAlign w:val="center"/>
          </w:tcPr>
          <w:p w14:paraId="1C029CC7">
            <w:pPr>
              <w:pStyle w:val="12"/>
              <w:jc w:val="center"/>
              <w:rPr>
                <w:rFonts w:ascii="宋体" w:hAnsi="宋体"/>
              </w:rPr>
            </w:pPr>
          </w:p>
        </w:tc>
        <w:tc>
          <w:tcPr>
            <w:tcW w:w="556" w:type="pct"/>
            <w:vMerge w:val="continue"/>
            <w:vAlign w:val="center"/>
          </w:tcPr>
          <w:p w14:paraId="706007F1">
            <w:pPr>
              <w:pStyle w:val="12"/>
              <w:jc w:val="center"/>
              <w:rPr>
                <w:rFonts w:ascii="宋体" w:hAnsi="宋体"/>
              </w:rPr>
            </w:pPr>
          </w:p>
        </w:tc>
      </w:tr>
      <w:tr w14:paraId="13678B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19160603">
            <w:pPr>
              <w:pStyle w:val="12"/>
              <w:jc w:val="center"/>
              <w:rPr>
                <w:rFonts w:ascii="宋体" w:hAnsi="宋体"/>
              </w:rPr>
            </w:pPr>
            <w:r>
              <w:rPr>
                <w:rFonts w:ascii="宋体" w:hAnsi="宋体"/>
              </w:rPr>
              <w:t>1987</w:t>
            </w:r>
          </w:p>
        </w:tc>
        <w:tc>
          <w:tcPr>
            <w:tcW w:w="555" w:type="pct"/>
            <w:vAlign w:val="center"/>
          </w:tcPr>
          <w:p w14:paraId="3EFF44C8">
            <w:pPr>
              <w:pStyle w:val="12"/>
              <w:jc w:val="center"/>
              <w:rPr>
                <w:rFonts w:ascii="宋体" w:hAnsi="宋体"/>
              </w:rPr>
            </w:pPr>
            <w:r>
              <w:rPr>
                <w:rFonts w:ascii="宋体" w:hAnsi="宋体"/>
              </w:rPr>
              <w:t>267303</w:t>
            </w:r>
          </w:p>
        </w:tc>
        <w:tc>
          <w:tcPr>
            <w:tcW w:w="556" w:type="pct"/>
            <w:vAlign w:val="center"/>
          </w:tcPr>
          <w:p w14:paraId="6AF46B69">
            <w:pPr>
              <w:pStyle w:val="12"/>
              <w:jc w:val="center"/>
              <w:rPr>
                <w:rFonts w:ascii="宋体" w:hAnsi="宋体"/>
              </w:rPr>
            </w:pPr>
            <w:r>
              <w:rPr>
                <w:rFonts w:ascii="宋体" w:hAnsi="宋体"/>
              </w:rPr>
              <w:t>6.2</w:t>
            </w:r>
          </w:p>
        </w:tc>
        <w:tc>
          <w:tcPr>
            <w:tcW w:w="556" w:type="pct"/>
            <w:vAlign w:val="center"/>
          </w:tcPr>
          <w:p w14:paraId="317ED27C">
            <w:pPr>
              <w:pStyle w:val="12"/>
              <w:jc w:val="center"/>
              <w:rPr>
                <w:rFonts w:ascii="宋体" w:hAnsi="宋体"/>
              </w:rPr>
            </w:pPr>
            <w:r>
              <w:rPr>
                <w:rFonts w:ascii="宋体" w:hAnsi="宋体"/>
              </w:rPr>
              <w:t>145067</w:t>
            </w:r>
          </w:p>
        </w:tc>
        <w:tc>
          <w:tcPr>
            <w:tcW w:w="556" w:type="pct"/>
            <w:vAlign w:val="center"/>
          </w:tcPr>
          <w:p w14:paraId="06F921B2">
            <w:pPr>
              <w:pStyle w:val="12"/>
              <w:jc w:val="center"/>
              <w:rPr>
                <w:rFonts w:ascii="宋体" w:hAnsi="宋体"/>
              </w:rPr>
            </w:pPr>
            <w:r>
              <w:rPr>
                <w:rFonts w:ascii="宋体" w:hAnsi="宋体"/>
              </w:rPr>
              <w:t>54.3</w:t>
            </w:r>
          </w:p>
        </w:tc>
        <w:tc>
          <w:tcPr>
            <w:tcW w:w="556" w:type="pct"/>
            <w:vAlign w:val="center"/>
          </w:tcPr>
          <w:p w14:paraId="1A271639">
            <w:pPr>
              <w:pStyle w:val="12"/>
              <w:jc w:val="center"/>
              <w:rPr>
                <w:rFonts w:ascii="宋体" w:hAnsi="宋体"/>
              </w:rPr>
            </w:pPr>
            <w:r>
              <w:rPr>
                <w:rFonts w:ascii="宋体" w:hAnsi="宋体"/>
              </w:rPr>
              <w:t>122236</w:t>
            </w:r>
          </w:p>
        </w:tc>
        <w:tc>
          <w:tcPr>
            <w:tcW w:w="556" w:type="pct"/>
            <w:vAlign w:val="center"/>
          </w:tcPr>
          <w:p w14:paraId="60BFC366">
            <w:pPr>
              <w:pStyle w:val="12"/>
              <w:jc w:val="center"/>
              <w:rPr>
                <w:rFonts w:ascii="宋体" w:hAnsi="宋体"/>
              </w:rPr>
            </w:pPr>
            <w:r>
              <w:rPr>
                <w:rFonts w:ascii="宋体" w:hAnsi="宋体"/>
              </w:rPr>
              <w:t>12688</w:t>
            </w:r>
          </w:p>
        </w:tc>
        <w:tc>
          <w:tcPr>
            <w:tcW w:w="556" w:type="pct"/>
            <w:vAlign w:val="center"/>
          </w:tcPr>
          <w:p w14:paraId="09DCE69D">
            <w:pPr>
              <w:pStyle w:val="12"/>
              <w:jc w:val="center"/>
              <w:rPr>
                <w:rFonts w:ascii="宋体" w:hAnsi="宋体"/>
              </w:rPr>
            </w:pPr>
            <w:r>
              <w:rPr>
                <w:rFonts w:ascii="宋体" w:hAnsi="宋体"/>
              </w:rPr>
              <w:t>46498</w:t>
            </w:r>
          </w:p>
        </w:tc>
        <w:tc>
          <w:tcPr>
            <w:tcW w:w="556" w:type="pct"/>
            <w:vAlign w:val="center"/>
          </w:tcPr>
          <w:p w14:paraId="1279D71F">
            <w:pPr>
              <w:pStyle w:val="12"/>
              <w:jc w:val="center"/>
              <w:rPr>
                <w:rFonts w:ascii="宋体" w:hAnsi="宋体"/>
              </w:rPr>
            </w:pPr>
            <w:r>
              <w:rPr>
                <w:rFonts w:ascii="宋体" w:hAnsi="宋体"/>
              </w:rPr>
              <w:t>10.2</w:t>
            </w:r>
          </w:p>
        </w:tc>
      </w:tr>
      <w:tr w14:paraId="085021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119E31D5">
            <w:pPr>
              <w:pStyle w:val="12"/>
              <w:jc w:val="center"/>
              <w:rPr>
                <w:rFonts w:ascii="宋体" w:hAnsi="宋体"/>
              </w:rPr>
            </w:pPr>
            <w:r>
              <w:rPr>
                <w:rFonts w:ascii="宋体" w:hAnsi="宋体"/>
              </w:rPr>
              <w:t>1988</w:t>
            </w:r>
          </w:p>
        </w:tc>
        <w:tc>
          <w:tcPr>
            <w:tcW w:w="555" w:type="pct"/>
            <w:vAlign w:val="center"/>
          </w:tcPr>
          <w:p w14:paraId="421F6EA5">
            <w:pPr>
              <w:pStyle w:val="12"/>
              <w:jc w:val="center"/>
              <w:rPr>
                <w:rFonts w:ascii="宋体" w:hAnsi="宋体"/>
              </w:rPr>
            </w:pPr>
            <w:r>
              <w:rPr>
                <w:rFonts w:ascii="宋体" w:hAnsi="宋体"/>
              </w:rPr>
              <w:t>303131</w:t>
            </w:r>
          </w:p>
        </w:tc>
        <w:tc>
          <w:tcPr>
            <w:tcW w:w="556" w:type="pct"/>
            <w:vAlign w:val="center"/>
          </w:tcPr>
          <w:p w14:paraId="4C98D9CE">
            <w:pPr>
              <w:pStyle w:val="12"/>
              <w:jc w:val="center"/>
              <w:rPr>
                <w:rFonts w:ascii="宋体" w:hAnsi="宋体"/>
              </w:rPr>
            </w:pPr>
            <w:r>
              <w:rPr>
                <w:rFonts w:ascii="宋体" w:hAnsi="宋体"/>
              </w:rPr>
              <w:t>13.4</w:t>
            </w:r>
          </w:p>
        </w:tc>
        <w:tc>
          <w:tcPr>
            <w:tcW w:w="556" w:type="pct"/>
            <w:vAlign w:val="center"/>
          </w:tcPr>
          <w:p w14:paraId="2154D6D7">
            <w:pPr>
              <w:pStyle w:val="12"/>
              <w:jc w:val="center"/>
              <w:rPr>
                <w:rFonts w:ascii="宋体" w:hAnsi="宋体"/>
              </w:rPr>
            </w:pPr>
            <w:r>
              <w:rPr>
                <w:rFonts w:ascii="宋体" w:hAnsi="宋体"/>
              </w:rPr>
              <w:t>160168</w:t>
            </w:r>
          </w:p>
        </w:tc>
        <w:tc>
          <w:tcPr>
            <w:tcW w:w="556" w:type="pct"/>
            <w:vAlign w:val="center"/>
          </w:tcPr>
          <w:p w14:paraId="62DC7C9B">
            <w:pPr>
              <w:pStyle w:val="12"/>
              <w:jc w:val="center"/>
              <w:rPr>
                <w:rFonts w:ascii="宋体" w:hAnsi="宋体"/>
              </w:rPr>
            </w:pPr>
            <w:r>
              <w:rPr>
                <w:rFonts w:ascii="宋体" w:hAnsi="宋体"/>
              </w:rPr>
              <w:t>52.8</w:t>
            </w:r>
          </w:p>
        </w:tc>
        <w:tc>
          <w:tcPr>
            <w:tcW w:w="556" w:type="pct"/>
            <w:vAlign w:val="center"/>
          </w:tcPr>
          <w:p w14:paraId="43680553">
            <w:pPr>
              <w:pStyle w:val="12"/>
              <w:jc w:val="center"/>
              <w:rPr>
                <w:rFonts w:ascii="宋体" w:hAnsi="宋体"/>
              </w:rPr>
            </w:pPr>
            <w:r>
              <w:rPr>
                <w:rFonts w:ascii="宋体" w:hAnsi="宋体"/>
              </w:rPr>
              <w:t>142963</w:t>
            </w:r>
          </w:p>
        </w:tc>
        <w:tc>
          <w:tcPr>
            <w:tcW w:w="556" w:type="pct"/>
            <w:vAlign w:val="center"/>
          </w:tcPr>
          <w:p w14:paraId="7BB3CBD6">
            <w:pPr>
              <w:pStyle w:val="12"/>
              <w:jc w:val="center"/>
              <w:rPr>
                <w:rFonts w:ascii="宋体" w:hAnsi="宋体"/>
              </w:rPr>
            </w:pPr>
            <w:r>
              <w:rPr>
                <w:rFonts w:ascii="宋体" w:hAnsi="宋体"/>
              </w:rPr>
              <w:t>13147</w:t>
            </w:r>
          </w:p>
        </w:tc>
        <w:tc>
          <w:tcPr>
            <w:tcW w:w="556" w:type="pct"/>
            <w:vAlign w:val="center"/>
          </w:tcPr>
          <w:p w14:paraId="4A6D0980">
            <w:pPr>
              <w:pStyle w:val="12"/>
              <w:jc w:val="center"/>
              <w:rPr>
                <w:rFonts w:ascii="宋体" w:hAnsi="宋体"/>
              </w:rPr>
            </w:pPr>
            <w:r>
              <w:rPr>
                <w:rFonts w:ascii="宋体" w:hAnsi="宋体"/>
              </w:rPr>
              <w:t>48640</w:t>
            </w:r>
          </w:p>
        </w:tc>
        <w:tc>
          <w:tcPr>
            <w:tcW w:w="556" w:type="pct"/>
            <w:vAlign w:val="center"/>
          </w:tcPr>
          <w:p w14:paraId="1B84A9BD">
            <w:pPr>
              <w:pStyle w:val="12"/>
              <w:jc w:val="center"/>
              <w:rPr>
                <w:rFonts w:ascii="宋体" w:hAnsi="宋体"/>
              </w:rPr>
            </w:pPr>
            <w:r>
              <w:rPr>
                <w:rFonts w:ascii="宋体" w:hAnsi="宋体"/>
              </w:rPr>
              <w:t>4.6</w:t>
            </w:r>
          </w:p>
        </w:tc>
      </w:tr>
      <w:tr w14:paraId="29787D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4828A4E2">
            <w:pPr>
              <w:pStyle w:val="12"/>
              <w:jc w:val="center"/>
              <w:rPr>
                <w:rFonts w:ascii="宋体" w:hAnsi="宋体"/>
              </w:rPr>
            </w:pPr>
            <w:r>
              <w:rPr>
                <w:rFonts w:ascii="宋体" w:hAnsi="宋体"/>
              </w:rPr>
              <w:t>1989</w:t>
            </w:r>
          </w:p>
        </w:tc>
        <w:tc>
          <w:tcPr>
            <w:tcW w:w="555" w:type="pct"/>
            <w:vAlign w:val="center"/>
          </w:tcPr>
          <w:p w14:paraId="6E171EAC">
            <w:pPr>
              <w:pStyle w:val="12"/>
              <w:jc w:val="center"/>
              <w:rPr>
                <w:rFonts w:ascii="宋体" w:hAnsi="宋体"/>
              </w:rPr>
            </w:pPr>
            <w:r>
              <w:rPr>
                <w:rFonts w:ascii="宋体" w:hAnsi="宋体"/>
              </w:rPr>
              <w:t>310731</w:t>
            </w:r>
          </w:p>
        </w:tc>
        <w:tc>
          <w:tcPr>
            <w:tcW w:w="556" w:type="pct"/>
            <w:vAlign w:val="center"/>
          </w:tcPr>
          <w:p w14:paraId="4A1D1F82">
            <w:pPr>
              <w:pStyle w:val="12"/>
              <w:jc w:val="center"/>
              <w:rPr>
                <w:rFonts w:ascii="宋体" w:hAnsi="宋体"/>
              </w:rPr>
            </w:pPr>
            <w:r>
              <w:rPr>
                <w:rFonts w:ascii="宋体" w:hAnsi="宋体"/>
              </w:rPr>
              <w:t>2.5</w:t>
            </w:r>
          </w:p>
        </w:tc>
        <w:tc>
          <w:tcPr>
            <w:tcW w:w="556" w:type="pct"/>
            <w:vAlign w:val="center"/>
          </w:tcPr>
          <w:p w14:paraId="6D6DB0F6">
            <w:pPr>
              <w:pStyle w:val="12"/>
              <w:jc w:val="center"/>
              <w:rPr>
                <w:rFonts w:ascii="宋体" w:hAnsi="宋体"/>
              </w:rPr>
            </w:pPr>
            <w:r>
              <w:rPr>
                <w:rFonts w:ascii="宋体" w:hAnsi="宋体"/>
              </w:rPr>
              <w:t>161391</w:t>
            </w:r>
          </w:p>
        </w:tc>
        <w:tc>
          <w:tcPr>
            <w:tcW w:w="556" w:type="pct"/>
            <w:vAlign w:val="center"/>
          </w:tcPr>
          <w:p w14:paraId="1E9E0209">
            <w:pPr>
              <w:pStyle w:val="12"/>
              <w:jc w:val="center"/>
              <w:rPr>
                <w:rFonts w:ascii="宋体" w:hAnsi="宋体"/>
              </w:rPr>
            </w:pPr>
            <w:r>
              <w:rPr>
                <w:rFonts w:ascii="宋体" w:hAnsi="宋体"/>
              </w:rPr>
              <w:t>51.9</w:t>
            </w:r>
          </w:p>
        </w:tc>
        <w:tc>
          <w:tcPr>
            <w:tcW w:w="556" w:type="pct"/>
            <w:vAlign w:val="center"/>
          </w:tcPr>
          <w:p w14:paraId="3D70DA74">
            <w:pPr>
              <w:pStyle w:val="12"/>
              <w:jc w:val="center"/>
              <w:rPr>
                <w:rFonts w:ascii="宋体" w:hAnsi="宋体"/>
              </w:rPr>
            </w:pPr>
            <w:r>
              <w:rPr>
                <w:rFonts w:ascii="宋体" w:hAnsi="宋体"/>
              </w:rPr>
              <w:t>149340</w:t>
            </w:r>
          </w:p>
        </w:tc>
        <w:tc>
          <w:tcPr>
            <w:tcW w:w="556" w:type="pct"/>
            <w:vAlign w:val="center"/>
          </w:tcPr>
          <w:p w14:paraId="31196161">
            <w:pPr>
              <w:pStyle w:val="12"/>
              <w:jc w:val="center"/>
              <w:rPr>
                <w:rFonts w:ascii="宋体" w:hAnsi="宋体"/>
              </w:rPr>
            </w:pPr>
            <w:r>
              <w:rPr>
                <w:rFonts w:ascii="宋体" w:hAnsi="宋体"/>
              </w:rPr>
              <w:t>13610</w:t>
            </w:r>
          </w:p>
        </w:tc>
        <w:tc>
          <w:tcPr>
            <w:tcW w:w="556" w:type="pct"/>
            <w:vAlign w:val="center"/>
          </w:tcPr>
          <w:p w14:paraId="4B1B3DB2">
            <w:pPr>
              <w:pStyle w:val="12"/>
              <w:jc w:val="center"/>
              <w:rPr>
                <w:rFonts w:ascii="宋体" w:hAnsi="宋体"/>
              </w:rPr>
            </w:pPr>
            <w:r>
              <w:rPr>
                <w:rFonts w:ascii="宋体" w:hAnsi="宋体"/>
              </w:rPr>
              <w:t>51968</w:t>
            </w:r>
          </w:p>
        </w:tc>
        <w:tc>
          <w:tcPr>
            <w:tcW w:w="556" w:type="pct"/>
            <w:vAlign w:val="center"/>
          </w:tcPr>
          <w:p w14:paraId="5963A631">
            <w:pPr>
              <w:pStyle w:val="12"/>
              <w:jc w:val="center"/>
              <w:rPr>
                <w:rFonts w:ascii="宋体" w:hAnsi="宋体"/>
              </w:rPr>
            </w:pPr>
            <w:r>
              <w:rPr>
                <w:rFonts w:ascii="宋体" w:hAnsi="宋体"/>
              </w:rPr>
              <w:t>6.8</w:t>
            </w:r>
          </w:p>
        </w:tc>
      </w:tr>
      <w:tr w14:paraId="3879FF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64E6F24F">
            <w:pPr>
              <w:pStyle w:val="12"/>
              <w:jc w:val="center"/>
              <w:rPr>
                <w:rFonts w:ascii="宋体" w:hAnsi="宋体"/>
              </w:rPr>
            </w:pPr>
            <w:r>
              <w:rPr>
                <w:rFonts w:ascii="宋体" w:hAnsi="宋体"/>
              </w:rPr>
              <w:t>1990</w:t>
            </w:r>
          </w:p>
        </w:tc>
        <w:tc>
          <w:tcPr>
            <w:tcW w:w="555" w:type="pct"/>
            <w:vAlign w:val="center"/>
          </w:tcPr>
          <w:p w14:paraId="72E1EBE1">
            <w:pPr>
              <w:pStyle w:val="12"/>
              <w:jc w:val="center"/>
              <w:rPr>
                <w:rFonts w:ascii="宋体" w:hAnsi="宋体"/>
              </w:rPr>
            </w:pPr>
            <w:r>
              <w:rPr>
                <w:rFonts w:ascii="宋体" w:hAnsi="宋体"/>
              </w:rPr>
              <w:t>347064</w:t>
            </w:r>
          </w:p>
        </w:tc>
        <w:tc>
          <w:tcPr>
            <w:tcW w:w="556" w:type="pct"/>
            <w:vAlign w:val="center"/>
          </w:tcPr>
          <w:p w14:paraId="0FB68AA1">
            <w:pPr>
              <w:pStyle w:val="12"/>
              <w:jc w:val="center"/>
              <w:rPr>
                <w:rFonts w:ascii="宋体" w:hAnsi="宋体"/>
              </w:rPr>
            </w:pPr>
            <w:r>
              <w:rPr>
                <w:rFonts w:ascii="宋体" w:hAnsi="宋体"/>
              </w:rPr>
              <w:t>11.7</w:t>
            </w:r>
          </w:p>
        </w:tc>
        <w:tc>
          <w:tcPr>
            <w:tcW w:w="556" w:type="pct"/>
            <w:vAlign w:val="center"/>
          </w:tcPr>
          <w:p w14:paraId="4D5F1DEC">
            <w:pPr>
              <w:pStyle w:val="12"/>
              <w:jc w:val="center"/>
              <w:rPr>
                <w:rFonts w:ascii="宋体" w:hAnsi="宋体"/>
              </w:rPr>
            </w:pPr>
            <w:r>
              <w:rPr>
                <w:rFonts w:ascii="宋体" w:hAnsi="宋体"/>
              </w:rPr>
              <w:t>170126</w:t>
            </w:r>
          </w:p>
        </w:tc>
        <w:tc>
          <w:tcPr>
            <w:tcW w:w="556" w:type="pct"/>
            <w:vAlign w:val="center"/>
          </w:tcPr>
          <w:p w14:paraId="1776B764">
            <w:pPr>
              <w:pStyle w:val="12"/>
              <w:jc w:val="center"/>
              <w:rPr>
                <w:rFonts w:ascii="宋体" w:hAnsi="宋体"/>
              </w:rPr>
            </w:pPr>
            <w:r>
              <w:rPr>
                <w:rFonts w:ascii="宋体" w:hAnsi="宋体"/>
              </w:rPr>
              <w:t>49.0</w:t>
            </w:r>
          </w:p>
        </w:tc>
        <w:tc>
          <w:tcPr>
            <w:tcW w:w="556" w:type="pct"/>
            <w:vAlign w:val="center"/>
          </w:tcPr>
          <w:p w14:paraId="351FBCE0">
            <w:pPr>
              <w:pStyle w:val="12"/>
              <w:jc w:val="center"/>
              <w:rPr>
                <w:rFonts w:ascii="宋体" w:hAnsi="宋体"/>
              </w:rPr>
            </w:pPr>
            <w:r>
              <w:rPr>
                <w:rFonts w:ascii="宋体" w:hAnsi="宋体"/>
              </w:rPr>
              <w:t>176938</w:t>
            </w:r>
          </w:p>
        </w:tc>
        <w:tc>
          <w:tcPr>
            <w:tcW w:w="556" w:type="pct"/>
            <w:vAlign w:val="center"/>
          </w:tcPr>
          <w:p w14:paraId="09A5C079">
            <w:pPr>
              <w:pStyle w:val="12"/>
              <w:jc w:val="center"/>
              <w:rPr>
                <w:rFonts w:ascii="宋体" w:hAnsi="宋体"/>
              </w:rPr>
            </w:pPr>
            <w:r>
              <w:rPr>
                <w:rFonts w:ascii="宋体" w:hAnsi="宋体"/>
              </w:rPr>
              <w:t>13407</w:t>
            </w:r>
          </w:p>
        </w:tc>
        <w:tc>
          <w:tcPr>
            <w:tcW w:w="556" w:type="pct"/>
            <w:vAlign w:val="center"/>
          </w:tcPr>
          <w:p w14:paraId="03280622">
            <w:pPr>
              <w:pStyle w:val="12"/>
              <w:jc w:val="center"/>
              <w:rPr>
                <w:rFonts w:ascii="宋体" w:hAnsi="宋体"/>
              </w:rPr>
            </w:pPr>
            <w:r>
              <w:rPr>
                <w:rFonts w:ascii="宋体" w:hAnsi="宋体"/>
              </w:rPr>
              <w:t>54503</w:t>
            </w:r>
          </w:p>
        </w:tc>
        <w:tc>
          <w:tcPr>
            <w:tcW w:w="556" w:type="pct"/>
            <w:vAlign w:val="center"/>
          </w:tcPr>
          <w:p w14:paraId="5830DEB3">
            <w:pPr>
              <w:pStyle w:val="12"/>
              <w:jc w:val="center"/>
              <w:rPr>
                <w:rFonts w:ascii="宋体" w:hAnsi="宋体"/>
              </w:rPr>
            </w:pPr>
            <w:r>
              <w:rPr>
                <w:rFonts w:ascii="宋体" w:hAnsi="宋体"/>
              </w:rPr>
              <w:t>4.9</w:t>
            </w:r>
          </w:p>
        </w:tc>
      </w:tr>
      <w:tr w14:paraId="522AA9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7437383C">
            <w:pPr>
              <w:pStyle w:val="12"/>
              <w:jc w:val="center"/>
              <w:rPr>
                <w:rFonts w:ascii="宋体" w:hAnsi="宋体"/>
              </w:rPr>
            </w:pPr>
            <w:r>
              <w:rPr>
                <w:rFonts w:ascii="宋体" w:hAnsi="宋体"/>
              </w:rPr>
              <w:t>1991</w:t>
            </w:r>
          </w:p>
        </w:tc>
        <w:tc>
          <w:tcPr>
            <w:tcW w:w="555" w:type="pct"/>
            <w:vAlign w:val="center"/>
          </w:tcPr>
          <w:p w14:paraId="362CB587">
            <w:pPr>
              <w:pStyle w:val="12"/>
              <w:jc w:val="center"/>
              <w:rPr>
                <w:rFonts w:ascii="宋体" w:hAnsi="宋体"/>
              </w:rPr>
            </w:pPr>
            <w:r>
              <w:rPr>
                <w:rFonts w:ascii="宋体" w:hAnsi="宋体"/>
              </w:rPr>
              <w:t>347060</w:t>
            </w:r>
          </w:p>
        </w:tc>
        <w:tc>
          <w:tcPr>
            <w:tcW w:w="556" w:type="pct"/>
            <w:vAlign w:val="center"/>
          </w:tcPr>
          <w:p w14:paraId="67AF5909">
            <w:pPr>
              <w:pStyle w:val="12"/>
              <w:jc w:val="center"/>
              <w:rPr>
                <w:rFonts w:ascii="宋体" w:hAnsi="宋体"/>
              </w:rPr>
            </w:pPr>
            <w:r>
              <w:rPr>
                <w:rFonts w:ascii="宋体" w:hAnsi="宋体"/>
              </w:rPr>
              <w:t>0</w:t>
            </w:r>
          </w:p>
        </w:tc>
        <w:tc>
          <w:tcPr>
            <w:tcW w:w="556" w:type="pct"/>
            <w:vAlign w:val="center"/>
          </w:tcPr>
          <w:p w14:paraId="34D58762">
            <w:pPr>
              <w:pStyle w:val="12"/>
              <w:jc w:val="center"/>
              <w:rPr>
                <w:rFonts w:ascii="宋体" w:hAnsi="宋体"/>
              </w:rPr>
            </w:pPr>
            <w:r>
              <w:rPr>
                <w:rFonts w:ascii="宋体" w:hAnsi="宋体"/>
              </w:rPr>
              <w:t>178354</w:t>
            </w:r>
          </w:p>
        </w:tc>
        <w:tc>
          <w:tcPr>
            <w:tcW w:w="556" w:type="pct"/>
            <w:vAlign w:val="center"/>
          </w:tcPr>
          <w:p w14:paraId="58B65C05">
            <w:pPr>
              <w:pStyle w:val="12"/>
              <w:jc w:val="center"/>
              <w:rPr>
                <w:rFonts w:ascii="宋体" w:hAnsi="宋体"/>
              </w:rPr>
            </w:pPr>
            <w:r>
              <w:rPr>
                <w:rFonts w:ascii="宋体" w:hAnsi="宋体"/>
              </w:rPr>
              <w:t>51.4</w:t>
            </w:r>
          </w:p>
        </w:tc>
        <w:tc>
          <w:tcPr>
            <w:tcW w:w="556" w:type="pct"/>
            <w:vAlign w:val="center"/>
          </w:tcPr>
          <w:p w14:paraId="7C361B73">
            <w:pPr>
              <w:pStyle w:val="12"/>
              <w:jc w:val="center"/>
              <w:rPr>
                <w:rFonts w:ascii="宋体" w:hAnsi="宋体"/>
              </w:rPr>
            </w:pPr>
            <w:r>
              <w:rPr>
                <w:rFonts w:ascii="宋体" w:hAnsi="宋体"/>
              </w:rPr>
              <w:t>168716</w:t>
            </w:r>
          </w:p>
        </w:tc>
        <w:tc>
          <w:tcPr>
            <w:tcW w:w="556" w:type="pct"/>
            <w:vAlign w:val="center"/>
          </w:tcPr>
          <w:p w14:paraId="04456791">
            <w:pPr>
              <w:pStyle w:val="12"/>
              <w:jc w:val="center"/>
              <w:rPr>
                <w:rFonts w:ascii="宋体" w:hAnsi="宋体"/>
              </w:rPr>
            </w:pPr>
            <w:r>
              <w:rPr>
                <w:rFonts w:ascii="宋体" w:hAnsi="宋体"/>
              </w:rPr>
              <w:t>13166</w:t>
            </w:r>
          </w:p>
        </w:tc>
        <w:tc>
          <w:tcPr>
            <w:tcW w:w="556" w:type="pct"/>
            <w:vAlign w:val="center"/>
          </w:tcPr>
          <w:p w14:paraId="00DEC1EE">
            <w:pPr>
              <w:pStyle w:val="12"/>
              <w:jc w:val="center"/>
              <w:rPr>
                <w:rFonts w:ascii="宋体" w:hAnsi="宋体"/>
              </w:rPr>
            </w:pPr>
            <w:r>
              <w:rPr>
                <w:rFonts w:ascii="宋体" w:hAnsi="宋体"/>
              </w:rPr>
              <w:t>56690</w:t>
            </w:r>
          </w:p>
        </w:tc>
        <w:tc>
          <w:tcPr>
            <w:tcW w:w="556" w:type="pct"/>
            <w:vAlign w:val="center"/>
          </w:tcPr>
          <w:p w14:paraId="4F8D71A3">
            <w:pPr>
              <w:pStyle w:val="12"/>
              <w:jc w:val="center"/>
              <w:rPr>
                <w:rFonts w:ascii="宋体" w:hAnsi="宋体"/>
              </w:rPr>
            </w:pPr>
            <w:r>
              <w:rPr>
                <w:rFonts w:ascii="宋体" w:hAnsi="宋体"/>
              </w:rPr>
              <w:t>4.0</w:t>
            </w:r>
          </w:p>
        </w:tc>
      </w:tr>
      <w:tr w14:paraId="559BC5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7EAC8549">
            <w:pPr>
              <w:pStyle w:val="12"/>
              <w:jc w:val="center"/>
              <w:rPr>
                <w:rFonts w:ascii="宋体" w:hAnsi="宋体"/>
              </w:rPr>
            </w:pPr>
            <w:r>
              <w:rPr>
                <w:rFonts w:ascii="宋体" w:hAnsi="宋体"/>
              </w:rPr>
              <w:t>1992</w:t>
            </w:r>
          </w:p>
        </w:tc>
        <w:tc>
          <w:tcPr>
            <w:tcW w:w="555" w:type="pct"/>
            <w:vAlign w:val="center"/>
          </w:tcPr>
          <w:p w14:paraId="6F999B67">
            <w:pPr>
              <w:pStyle w:val="12"/>
              <w:jc w:val="center"/>
              <w:rPr>
                <w:rFonts w:ascii="宋体" w:hAnsi="宋体"/>
              </w:rPr>
            </w:pPr>
            <w:r>
              <w:rPr>
                <w:rFonts w:ascii="宋体" w:hAnsi="宋体"/>
              </w:rPr>
              <w:t>36395</w:t>
            </w:r>
          </w:p>
        </w:tc>
        <w:tc>
          <w:tcPr>
            <w:tcW w:w="556" w:type="pct"/>
            <w:vAlign w:val="center"/>
          </w:tcPr>
          <w:p w14:paraId="3D051E97">
            <w:pPr>
              <w:pStyle w:val="12"/>
              <w:jc w:val="center"/>
              <w:rPr>
                <w:rFonts w:ascii="宋体" w:hAnsi="宋体"/>
              </w:rPr>
            </w:pPr>
            <w:r>
              <w:rPr>
                <w:rFonts w:ascii="宋体" w:hAnsi="宋体"/>
              </w:rPr>
              <w:t>4.9</w:t>
            </w:r>
          </w:p>
        </w:tc>
        <w:tc>
          <w:tcPr>
            <w:tcW w:w="556" w:type="pct"/>
            <w:vAlign w:val="center"/>
          </w:tcPr>
          <w:p w14:paraId="4C97A162">
            <w:pPr>
              <w:pStyle w:val="12"/>
              <w:jc w:val="center"/>
              <w:rPr>
                <w:rFonts w:ascii="宋体" w:hAnsi="宋体"/>
              </w:rPr>
            </w:pPr>
            <w:r>
              <w:rPr>
                <w:rFonts w:ascii="宋体" w:hAnsi="宋体"/>
              </w:rPr>
              <w:t>187457</w:t>
            </w:r>
          </w:p>
        </w:tc>
        <w:tc>
          <w:tcPr>
            <w:tcW w:w="556" w:type="pct"/>
            <w:vAlign w:val="center"/>
          </w:tcPr>
          <w:p w14:paraId="0ADE72D0">
            <w:pPr>
              <w:pStyle w:val="12"/>
              <w:jc w:val="center"/>
              <w:rPr>
                <w:rFonts w:ascii="宋体" w:hAnsi="宋体"/>
              </w:rPr>
            </w:pPr>
            <w:r>
              <w:rPr>
                <w:rFonts w:ascii="宋体" w:hAnsi="宋体"/>
              </w:rPr>
              <w:t>51.5</w:t>
            </w:r>
          </w:p>
        </w:tc>
        <w:tc>
          <w:tcPr>
            <w:tcW w:w="556" w:type="pct"/>
            <w:vAlign w:val="center"/>
          </w:tcPr>
          <w:p w14:paraId="43929188">
            <w:pPr>
              <w:pStyle w:val="12"/>
              <w:jc w:val="center"/>
              <w:rPr>
                <w:rFonts w:ascii="宋体" w:hAnsi="宋体"/>
              </w:rPr>
            </w:pPr>
            <w:r>
              <w:rPr>
                <w:rFonts w:ascii="宋体" w:hAnsi="宋体"/>
              </w:rPr>
              <w:t>176478</w:t>
            </w:r>
          </w:p>
        </w:tc>
        <w:tc>
          <w:tcPr>
            <w:tcW w:w="556" w:type="pct"/>
            <w:vAlign w:val="center"/>
          </w:tcPr>
          <w:p w14:paraId="05E62974">
            <w:pPr>
              <w:pStyle w:val="12"/>
              <w:jc w:val="center"/>
              <w:rPr>
                <w:rFonts w:ascii="宋体" w:hAnsi="宋体"/>
              </w:rPr>
            </w:pPr>
            <w:r>
              <w:rPr>
                <w:rFonts w:ascii="宋体" w:hAnsi="宋体"/>
              </w:rPr>
              <w:t>14247</w:t>
            </w:r>
          </w:p>
        </w:tc>
        <w:tc>
          <w:tcPr>
            <w:tcW w:w="556" w:type="pct"/>
            <w:vAlign w:val="center"/>
          </w:tcPr>
          <w:p w14:paraId="71185DCA">
            <w:pPr>
              <w:pStyle w:val="12"/>
              <w:jc w:val="center"/>
              <w:rPr>
                <w:rFonts w:ascii="宋体" w:hAnsi="宋体"/>
              </w:rPr>
            </w:pPr>
            <w:r>
              <w:rPr>
                <w:rFonts w:ascii="宋体" w:hAnsi="宋体"/>
              </w:rPr>
              <w:t>59581</w:t>
            </w:r>
          </w:p>
        </w:tc>
        <w:tc>
          <w:tcPr>
            <w:tcW w:w="556" w:type="pct"/>
            <w:vAlign w:val="center"/>
          </w:tcPr>
          <w:p w14:paraId="6058CCC0">
            <w:pPr>
              <w:pStyle w:val="12"/>
              <w:jc w:val="center"/>
              <w:rPr>
                <w:rFonts w:ascii="宋体" w:hAnsi="宋体"/>
              </w:rPr>
            </w:pPr>
            <w:r>
              <w:rPr>
                <w:rFonts w:ascii="宋体" w:hAnsi="宋体"/>
              </w:rPr>
              <w:t>5.1</w:t>
            </w:r>
          </w:p>
        </w:tc>
      </w:tr>
      <w:tr w14:paraId="418157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39A8F810">
            <w:pPr>
              <w:pStyle w:val="12"/>
              <w:jc w:val="center"/>
              <w:rPr>
                <w:rFonts w:ascii="宋体" w:hAnsi="宋体"/>
              </w:rPr>
            </w:pPr>
            <w:r>
              <w:rPr>
                <w:rFonts w:ascii="宋体" w:hAnsi="宋体"/>
              </w:rPr>
              <w:t>1993</w:t>
            </w:r>
          </w:p>
        </w:tc>
        <w:tc>
          <w:tcPr>
            <w:tcW w:w="555" w:type="pct"/>
            <w:vAlign w:val="center"/>
          </w:tcPr>
          <w:p w14:paraId="59D7F8F4">
            <w:pPr>
              <w:pStyle w:val="12"/>
              <w:jc w:val="center"/>
              <w:rPr>
                <w:rFonts w:ascii="宋体" w:hAnsi="宋体"/>
              </w:rPr>
            </w:pPr>
            <w:r>
              <w:rPr>
                <w:rFonts w:ascii="宋体" w:hAnsi="宋体"/>
              </w:rPr>
              <w:t>387769</w:t>
            </w:r>
          </w:p>
        </w:tc>
        <w:tc>
          <w:tcPr>
            <w:tcW w:w="556" w:type="pct"/>
            <w:vAlign w:val="center"/>
          </w:tcPr>
          <w:p w14:paraId="338237B2">
            <w:pPr>
              <w:pStyle w:val="12"/>
              <w:jc w:val="center"/>
              <w:rPr>
                <w:rFonts w:ascii="宋体" w:hAnsi="宋体"/>
              </w:rPr>
            </w:pPr>
            <w:r>
              <w:rPr>
                <w:rFonts w:ascii="宋体" w:hAnsi="宋体"/>
              </w:rPr>
              <w:t>6.6</w:t>
            </w:r>
          </w:p>
        </w:tc>
        <w:tc>
          <w:tcPr>
            <w:tcW w:w="556" w:type="pct"/>
            <w:vAlign w:val="center"/>
          </w:tcPr>
          <w:p w14:paraId="39F990BA">
            <w:pPr>
              <w:pStyle w:val="12"/>
              <w:jc w:val="center"/>
              <w:rPr>
                <w:rFonts w:ascii="宋体" w:hAnsi="宋体"/>
              </w:rPr>
            </w:pPr>
            <w:r>
              <w:rPr>
                <w:rFonts w:ascii="宋体" w:hAnsi="宋体"/>
              </w:rPr>
              <w:t>197635</w:t>
            </w:r>
          </w:p>
        </w:tc>
        <w:tc>
          <w:tcPr>
            <w:tcW w:w="556" w:type="pct"/>
            <w:vAlign w:val="center"/>
          </w:tcPr>
          <w:p w14:paraId="4B1240A7">
            <w:pPr>
              <w:pStyle w:val="12"/>
              <w:jc w:val="center"/>
              <w:rPr>
                <w:rFonts w:ascii="宋体" w:hAnsi="宋体"/>
              </w:rPr>
            </w:pPr>
            <w:r>
              <w:rPr>
                <w:rFonts w:ascii="宋体" w:hAnsi="宋体"/>
              </w:rPr>
              <w:t>51.0</w:t>
            </w:r>
          </w:p>
        </w:tc>
        <w:tc>
          <w:tcPr>
            <w:tcW w:w="556" w:type="pct"/>
            <w:vAlign w:val="center"/>
          </w:tcPr>
          <w:p w14:paraId="2B1D75BD">
            <w:pPr>
              <w:pStyle w:val="12"/>
              <w:jc w:val="center"/>
              <w:rPr>
                <w:rFonts w:ascii="宋体" w:hAnsi="宋体"/>
              </w:rPr>
            </w:pPr>
            <w:r>
              <w:rPr>
                <w:rFonts w:ascii="宋体" w:hAnsi="宋体"/>
              </w:rPr>
              <w:t>190134</w:t>
            </w:r>
          </w:p>
        </w:tc>
        <w:tc>
          <w:tcPr>
            <w:tcW w:w="556" w:type="pct"/>
            <w:vAlign w:val="center"/>
          </w:tcPr>
          <w:p w14:paraId="5DF505F6">
            <w:pPr>
              <w:pStyle w:val="12"/>
              <w:jc w:val="center"/>
              <w:rPr>
                <w:rFonts w:ascii="宋体" w:hAnsi="宋体"/>
              </w:rPr>
            </w:pPr>
            <w:r>
              <w:rPr>
                <w:rFonts w:ascii="宋体" w:hAnsi="宋体"/>
              </w:rPr>
              <w:t>15114</w:t>
            </w:r>
          </w:p>
        </w:tc>
        <w:tc>
          <w:tcPr>
            <w:tcW w:w="556" w:type="pct"/>
            <w:vAlign w:val="center"/>
          </w:tcPr>
          <w:p w14:paraId="357E32F0">
            <w:pPr>
              <w:pStyle w:val="12"/>
              <w:jc w:val="center"/>
              <w:rPr>
                <w:rFonts w:ascii="宋体" w:hAnsi="宋体"/>
              </w:rPr>
            </w:pPr>
            <w:r>
              <w:rPr>
                <w:rFonts w:ascii="宋体" w:hAnsi="宋体"/>
              </w:rPr>
              <w:t>61806</w:t>
            </w:r>
          </w:p>
        </w:tc>
        <w:tc>
          <w:tcPr>
            <w:tcW w:w="556" w:type="pct"/>
            <w:vAlign w:val="center"/>
          </w:tcPr>
          <w:p w14:paraId="78DCAC61">
            <w:pPr>
              <w:pStyle w:val="12"/>
              <w:jc w:val="center"/>
              <w:rPr>
                <w:rFonts w:ascii="宋体" w:hAnsi="宋体"/>
              </w:rPr>
            </w:pPr>
            <w:r>
              <w:rPr>
                <w:rFonts w:ascii="宋体" w:hAnsi="宋体"/>
              </w:rPr>
              <w:t>3.7</w:t>
            </w:r>
          </w:p>
        </w:tc>
      </w:tr>
      <w:tr w14:paraId="330600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1243125A">
            <w:pPr>
              <w:pStyle w:val="12"/>
              <w:jc w:val="center"/>
              <w:rPr>
                <w:rFonts w:ascii="宋体" w:hAnsi="宋体"/>
              </w:rPr>
            </w:pPr>
            <w:r>
              <w:rPr>
                <w:rFonts w:ascii="宋体" w:hAnsi="宋体"/>
              </w:rPr>
              <w:t>1994</w:t>
            </w:r>
          </w:p>
        </w:tc>
        <w:tc>
          <w:tcPr>
            <w:tcW w:w="555" w:type="pct"/>
            <w:vAlign w:val="center"/>
          </w:tcPr>
          <w:p w14:paraId="1A6E2C82">
            <w:pPr>
              <w:pStyle w:val="12"/>
              <w:jc w:val="center"/>
              <w:rPr>
                <w:rFonts w:ascii="宋体" w:hAnsi="宋体"/>
              </w:rPr>
            </w:pPr>
            <w:r>
              <w:rPr>
                <w:rFonts w:ascii="宋体" w:hAnsi="宋体"/>
              </w:rPr>
              <w:t>404823</w:t>
            </w:r>
          </w:p>
        </w:tc>
        <w:tc>
          <w:tcPr>
            <w:tcW w:w="556" w:type="pct"/>
            <w:vAlign w:val="center"/>
          </w:tcPr>
          <w:p w14:paraId="40CF38B8">
            <w:pPr>
              <w:pStyle w:val="12"/>
              <w:jc w:val="center"/>
              <w:rPr>
                <w:rFonts w:ascii="宋体" w:hAnsi="宋体"/>
              </w:rPr>
            </w:pPr>
            <w:r>
              <w:rPr>
                <w:rFonts w:ascii="宋体" w:hAnsi="宋体"/>
              </w:rPr>
              <w:t>4.4</w:t>
            </w:r>
          </w:p>
        </w:tc>
        <w:tc>
          <w:tcPr>
            <w:tcW w:w="556" w:type="pct"/>
            <w:vAlign w:val="center"/>
          </w:tcPr>
          <w:p w14:paraId="03CB65AB">
            <w:pPr>
              <w:pStyle w:val="12"/>
              <w:jc w:val="center"/>
              <w:rPr>
                <w:rFonts w:ascii="宋体" w:hAnsi="宋体"/>
              </w:rPr>
            </w:pPr>
            <w:r>
              <w:rPr>
                <w:rFonts w:ascii="宋体" w:hAnsi="宋体"/>
              </w:rPr>
              <w:t>207279</w:t>
            </w:r>
          </w:p>
        </w:tc>
        <w:tc>
          <w:tcPr>
            <w:tcW w:w="556" w:type="pct"/>
            <w:vAlign w:val="center"/>
          </w:tcPr>
          <w:p w14:paraId="5490EDC7">
            <w:pPr>
              <w:pStyle w:val="12"/>
              <w:jc w:val="center"/>
              <w:rPr>
                <w:rFonts w:ascii="宋体" w:hAnsi="宋体"/>
              </w:rPr>
            </w:pPr>
            <w:r>
              <w:rPr>
                <w:rFonts w:ascii="宋体" w:hAnsi="宋体"/>
              </w:rPr>
              <w:t>51.2</w:t>
            </w:r>
          </w:p>
        </w:tc>
        <w:tc>
          <w:tcPr>
            <w:tcW w:w="556" w:type="pct"/>
            <w:vAlign w:val="center"/>
          </w:tcPr>
          <w:p w14:paraId="10E1C636">
            <w:pPr>
              <w:pStyle w:val="12"/>
              <w:jc w:val="center"/>
              <w:rPr>
                <w:rFonts w:ascii="宋体" w:hAnsi="宋体"/>
              </w:rPr>
            </w:pPr>
            <w:r>
              <w:rPr>
                <w:rFonts w:ascii="宋体" w:hAnsi="宋体"/>
              </w:rPr>
              <w:t>197544</w:t>
            </w:r>
          </w:p>
        </w:tc>
        <w:tc>
          <w:tcPr>
            <w:tcW w:w="556" w:type="pct"/>
            <w:vAlign w:val="center"/>
          </w:tcPr>
          <w:p w14:paraId="1DA1E499">
            <w:pPr>
              <w:pStyle w:val="12"/>
              <w:jc w:val="center"/>
              <w:rPr>
                <w:rFonts w:ascii="宋体" w:hAnsi="宋体"/>
              </w:rPr>
            </w:pPr>
            <w:r>
              <w:rPr>
                <w:rFonts w:ascii="宋体" w:hAnsi="宋体"/>
              </w:rPr>
              <w:t>16067</w:t>
            </w:r>
          </w:p>
        </w:tc>
        <w:tc>
          <w:tcPr>
            <w:tcW w:w="556" w:type="pct"/>
            <w:vAlign w:val="center"/>
          </w:tcPr>
          <w:p w14:paraId="331192AA">
            <w:pPr>
              <w:pStyle w:val="12"/>
              <w:jc w:val="center"/>
              <w:rPr>
                <w:rFonts w:ascii="宋体" w:hAnsi="宋体"/>
              </w:rPr>
            </w:pPr>
            <w:r>
              <w:rPr>
                <w:rFonts w:ascii="宋体" w:hAnsi="宋体"/>
              </w:rPr>
              <w:t>64628</w:t>
            </w:r>
          </w:p>
        </w:tc>
        <w:tc>
          <w:tcPr>
            <w:tcW w:w="556" w:type="pct"/>
            <w:vAlign w:val="center"/>
          </w:tcPr>
          <w:p w14:paraId="54F8C160">
            <w:pPr>
              <w:pStyle w:val="12"/>
              <w:jc w:val="center"/>
              <w:rPr>
                <w:rFonts w:ascii="宋体" w:hAnsi="宋体"/>
              </w:rPr>
            </w:pPr>
            <w:r>
              <w:rPr>
                <w:rFonts w:ascii="宋体" w:hAnsi="宋体"/>
              </w:rPr>
              <w:t>4.6</w:t>
            </w:r>
          </w:p>
        </w:tc>
      </w:tr>
      <w:tr w14:paraId="7DADA9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131C741F">
            <w:pPr>
              <w:pStyle w:val="12"/>
              <w:jc w:val="center"/>
              <w:rPr>
                <w:rFonts w:ascii="宋体" w:hAnsi="宋体"/>
              </w:rPr>
            </w:pPr>
            <w:r>
              <w:rPr>
                <w:rFonts w:ascii="宋体" w:hAnsi="宋体"/>
              </w:rPr>
              <w:t>1995</w:t>
            </w:r>
          </w:p>
        </w:tc>
        <w:tc>
          <w:tcPr>
            <w:tcW w:w="555" w:type="pct"/>
            <w:vAlign w:val="center"/>
          </w:tcPr>
          <w:p w14:paraId="388BAB98">
            <w:pPr>
              <w:pStyle w:val="12"/>
              <w:jc w:val="center"/>
              <w:rPr>
                <w:rFonts w:ascii="宋体" w:hAnsi="宋体"/>
              </w:rPr>
            </w:pPr>
            <w:r>
              <w:rPr>
                <w:rFonts w:ascii="宋体" w:hAnsi="宋体"/>
              </w:rPr>
              <w:t>529615</w:t>
            </w:r>
          </w:p>
        </w:tc>
        <w:tc>
          <w:tcPr>
            <w:tcW w:w="556" w:type="pct"/>
            <w:vAlign w:val="center"/>
          </w:tcPr>
          <w:p w14:paraId="515332FB">
            <w:pPr>
              <w:pStyle w:val="12"/>
              <w:jc w:val="center"/>
              <w:rPr>
                <w:rFonts w:ascii="宋体" w:hAnsi="宋体"/>
              </w:rPr>
            </w:pPr>
            <w:r>
              <w:rPr>
                <w:rFonts w:ascii="宋体" w:hAnsi="宋体"/>
              </w:rPr>
              <w:t>30.8</w:t>
            </w:r>
          </w:p>
        </w:tc>
        <w:tc>
          <w:tcPr>
            <w:tcW w:w="556" w:type="pct"/>
            <w:vAlign w:val="center"/>
          </w:tcPr>
          <w:p w14:paraId="2EF4A0D6">
            <w:pPr>
              <w:pStyle w:val="12"/>
              <w:jc w:val="center"/>
              <w:rPr>
                <w:rFonts w:ascii="宋体" w:hAnsi="宋体"/>
              </w:rPr>
            </w:pPr>
            <w:r>
              <w:rPr>
                <w:rFonts w:ascii="宋体" w:hAnsi="宋体"/>
              </w:rPr>
              <w:t>257930</w:t>
            </w:r>
          </w:p>
        </w:tc>
        <w:tc>
          <w:tcPr>
            <w:tcW w:w="556" w:type="pct"/>
            <w:vAlign w:val="center"/>
          </w:tcPr>
          <w:p w14:paraId="0A0CB4F2">
            <w:pPr>
              <w:pStyle w:val="12"/>
              <w:jc w:val="center"/>
              <w:rPr>
                <w:rFonts w:ascii="宋体" w:hAnsi="宋体"/>
              </w:rPr>
            </w:pPr>
            <w:r>
              <w:rPr>
                <w:rFonts w:ascii="宋体" w:hAnsi="宋体"/>
              </w:rPr>
              <w:t>48.7</w:t>
            </w:r>
          </w:p>
        </w:tc>
        <w:tc>
          <w:tcPr>
            <w:tcW w:w="556" w:type="pct"/>
            <w:vAlign w:val="center"/>
          </w:tcPr>
          <w:p w14:paraId="009BE868">
            <w:pPr>
              <w:pStyle w:val="12"/>
              <w:jc w:val="center"/>
              <w:rPr>
                <w:rFonts w:ascii="宋体" w:hAnsi="宋体"/>
              </w:rPr>
            </w:pPr>
            <w:r>
              <w:rPr>
                <w:rFonts w:ascii="宋体" w:hAnsi="宋体"/>
              </w:rPr>
              <w:t>271685</w:t>
            </w:r>
          </w:p>
        </w:tc>
        <w:tc>
          <w:tcPr>
            <w:tcW w:w="556" w:type="pct"/>
            <w:vAlign w:val="center"/>
          </w:tcPr>
          <w:p w14:paraId="082717E2">
            <w:pPr>
              <w:pStyle w:val="12"/>
              <w:jc w:val="center"/>
              <w:rPr>
                <w:rFonts w:ascii="宋体" w:hAnsi="宋体"/>
              </w:rPr>
            </w:pPr>
            <w:r>
              <w:rPr>
                <w:rFonts w:ascii="宋体" w:hAnsi="宋体"/>
              </w:rPr>
              <w:t>20141</w:t>
            </w:r>
          </w:p>
        </w:tc>
        <w:tc>
          <w:tcPr>
            <w:tcW w:w="556" w:type="pct"/>
            <w:vAlign w:val="center"/>
          </w:tcPr>
          <w:p w14:paraId="2275CE12">
            <w:pPr>
              <w:pStyle w:val="12"/>
              <w:jc w:val="center"/>
              <w:rPr>
                <w:rFonts w:ascii="宋体" w:hAnsi="宋体"/>
              </w:rPr>
            </w:pPr>
            <w:r>
              <w:rPr>
                <w:rFonts w:ascii="宋体" w:hAnsi="宋体"/>
              </w:rPr>
              <w:t>67797</w:t>
            </w:r>
          </w:p>
        </w:tc>
        <w:tc>
          <w:tcPr>
            <w:tcW w:w="556" w:type="pct"/>
            <w:vAlign w:val="center"/>
          </w:tcPr>
          <w:p w14:paraId="721793CE">
            <w:pPr>
              <w:pStyle w:val="12"/>
              <w:jc w:val="center"/>
              <w:rPr>
                <w:rFonts w:ascii="宋体" w:hAnsi="宋体"/>
              </w:rPr>
            </w:pPr>
            <w:r>
              <w:rPr>
                <w:rFonts w:ascii="宋体" w:hAnsi="宋体"/>
              </w:rPr>
              <w:t>4.9</w:t>
            </w:r>
          </w:p>
        </w:tc>
      </w:tr>
      <w:tr w14:paraId="245ED6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0C6A7E64">
            <w:pPr>
              <w:pStyle w:val="12"/>
              <w:jc w:val="center"/>
              <w:rPr>
                <w:rFonts w:ascii="宋体" w:hAnsi="宋体"/>
              </w:rPr>
            </w:pPr>
            <w:r>
              <w:rPr>
                <w:rFonts w:ascii="宋体" w:hAnsi="宋体"/>
              </w:rPr>
              <w:t>1996</w:t>
            </w:r>
          </w:p>
        </w:tc>
        <w:tc>
          <w:tcPr>
            <w:tcW w:w="555" w:type="pct"/>
            <w:vAlign w:val="center"/>
          </w:tcPr>
          <w:p w14:paraId="422A8045">
            <w:pPr>
              <w:pStyle w:val="12"/>
              <w:jc w:val="center"/>
              <w:rPr>
                <w:rFonts w:ascii="宋体" w:hAnsi="宋体"/>
              </w:rPr>
            </w:pPr>
            <w:r>
              <w:rPr>
                <w:rFonts w:ascii="宋体" w:hAnsi="宋体"/>
              </w:rPr>
              <w:t>569962</w:t>
            </w:r>
          </w:p>
        </w:tc>
        <w:tc>
          <w:tcPr>
            <w:tcW w:w="556" w:type="pct"/>
            <w:vAlign w:val="center"/>
          </w:tcPr>
          <w:p w14:paraId="13E98B80">
            <w:pPr>
              <w:pStyle w:val="12"/>
              <w:jc w:val="center"/>
              <w:rPr>
                <w:rFonts w:ascii="宋体" w:hAnsi="宋体"/>
              </w:rPr>
            </w:pPr>
            <w:r>
              <w:rPr>
                <w:rFonts w:ascii="宋体" w:hAnsi="宋体"/>
              </w:rPr>
              <w:t>7.6</w:t>
            </w:r>
          </w:p>
        </w:tc>
        <w:tc>
          <w:tcPr>
            <w:tcW w:w="556" w:type="pct"/>
            <w:vAlign w:val="center"/>
          </w:tcPr>
          <w:p w14:paraId="49814046">
            <w:pPr>
              <w:pStyle w:val="12"/>
              <w:jc w:val="center"/>
              <w:rPr>
                <w:rFonts w:ascii="宋体" w:hAnsi="宋体"/>
              </w:rPr>
            </w:pPr>
            <w:r>
              <w:rPr>
                <w:rFonts w:ascii="宋体" w:hAnsi="宋体"/>
              </w:rPr>
              <w:t>280091</w:t>
            </w:r>
          </w:p>
        </w:tc>
        <w:tc>
          <w:tcPr>
            <w:tcW w:w="556" w:type="pct"/>
            <w:vAlign w:val="center"/>
          </w:tcPr>
          <w:p w14:paraId="6BDF6CA6">
            <w:pPr>
              <w:pStyle w:val="12"/>
              <w:jc w:val="center"/>
              <w:rPr>
                <w:rFonts w:ascii="宋体" w:hAnsi="宋体"/>
              </w:rPr>
            </w:pPr>
            <w:r>
              <w:rPr>
                <w:rFonts w:ascii="宋体" w:hAnsi="宋体"/>
              </w:rPr>
              <w:t>49.1</w:t>
            </w:r>
          </w:p>
        </w:tc>
        <w:tc>
          <w:tcPr>
            <w:tcW w:w="556" w:type="pct"/>
            <w:vAlign w:val="center"/>
          </w:tcPr>
          <w:p w14:paraId="010B2BB1">
            <w:pPr>
              <w:pStyle w:val="12"/>
              <w:jc w:val="center"/>
              <w:rPr>
                <w:rFonts w:ascii="宋体" w:hAnsi="宋体"/>
              </w:rPr>
            </w:pPr>
            <w:r>
              <w:rPr>
                <w:rFonts w:ascii="宋体" w:hAnsi="宋体"/>
              </w:rPr>
              <w:t>289871</w:t>
            </w:r>
          </w:p>
        </w:tc>
        <w:tc>
          <w:tcPr>
            <w:tcW w:w="556" w:type="pct"/>
            <w:vAlign w:val="center"/>
          </w:tcPr>
          <w:p w14:paraId="73E2D5BF">
            <w:pPr>
              <w:pStyle w:val="12"/>
              <w:jc w:val="center"/>
              <w:rPr>
                <w:rFonts w:ascii="宋体" w:hAnsi="宋体"/>
              </w:rPr>
            </w:pPr>
            <w:r>
              <w:rPr>
                <w:rFonts w:ascii="宋体" w:hAnsi="宋体"/>
              </w:rPr>
              <w:t>21643</w:t>
            </w:r>
          </w:p>
        </w:tc>
        <w:tc>
          <w:tcPr>
            <w:tcW w:w="556" w:type="pct"/>
            <w:vAlign w:val="center"/>
          </w:tcPr>
          <w:p w14:paraId="5D669BE1">
            <w:pPr>
              <w:pStyle w:val="12"/>
              <w:jc w:val="center"/>
              <w:rPr>
                <w:rFonts w:ascii="宋体" w:hAnsi="宋体"/>
              </w:rPr>
            </w:pPr>
            <w:r>
              <w:rPr>
                <w:rFonts w:ascii="宋体" w:hAnsi="宋体"/>
              </w:rPr>
              <w:t>68052</w:t>
            </w:r>
          </w:p>
        </w:tc>
        <w:tc>
          <w:tcPr>
            <w:tcW w:w="556" w:type="pct"/>
            <w:vAlign w:val="center"/>
          </w:tcPr>
          <w:p w14:paraId="7986A945">
            <w:pPr>
              <w:pStyle w:val="12"/>
              <w:jc w:val="center"/>
              <w:rPr>
                <w:rFonts w:ascii="宋体" w:hAnsi="宋体"/>
              </w:rPr>
            </w:pPr>
            <w:r>
              <w:rPr>
                <w:rFonts w:ascii="宋体" w:hAnsi="宋体"/>
              </w:rPr>
              <w:t>0.4</w:t>
            </w:r>
          </w:p>
        </w:tc>
      </w:tr>
      <w:tr w14:paraId="7E99C9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52B032AC">
            <w:pPr>
              <w:pStyle w:val="12"/>
              <w:jc w:val="center"/>
              <w:rPr>
                <w:rFonts w:ascii="宋体" w:hAnsi="宋体"/>
              </w:rPr>
            </w:pPr>
            <w:r>
              <w:rPr>
                <w:rFonts w:ascii="宋体" w:hAnsi="宋体"/>
              </w:rPr>
              <w:t>1997</w:t>
            </w:r>
          </w:p>
        </w:tc>
        <w:tc>
          <w:tcPr>
            <w:tcW w:w="555" w:type="pct"/>
            <w:vAlign w:val="center"/>
          </w:tcPr>
          <w:p w14:paraId="136AD8C3">
            <w:pPr>
              <w:pStyle w:val="12"/>
              <w:jc w:val="center"/>
              <w:rPr>
                <w:rFonts w:ascii="宋体" w:hAnsi="宋体"/>
              </w:rPr>
            </w:pPr>
            <w:r>
              <w:rPr>
                <w:rFonts w:ascii="宋体" w:hAnsi="宋体"/>
              </w:rPr>
              <w:t>576284</w:t>
            </w:r>
          </w:p>
        </w:tc>
        <w:tc>
          <w:tcPr>
            <w:tcW w:w="556" w:type="pct"/>
            <w:vAlign w:val="center"/>
          </w:tcPr>
          <w:p w14:paraId="73B9C989">
            <w:pPr>
              <w:pStyle w:val="12"/>
              <w:jc w:val="center"/>
              <w:rPr>
                <w:rFonts w:ascii="宋体" w:hAnsi="宋体"/>
              </w:rPr>
            </w:pPr>
            <w:r>
              <w:rPr>
                <w:rFonts w:ascii="宋体" w:hAnsi="宋体"/>
              </w:rPr>
              <w:t>1.1</w:t>
            </w:r>
          </w:p>
        </w:tc>
        <w:tc>
          <w:tcPr>
            <w:tcW w:w="556" w:type="pct"/>
            <w:vAlign w:val="center"/>
          </w:tcPr>
          <w:p w14:paraId="4624E7EF">
            <w:pPr>
              <w:pStyle w:val="12"/>
              <w:jc w:val="center"/>
              <w:rPr>
                <w:rFonts w:ascii="宋体" w:hAnsi="宋体"/>
              </w:rPr>
            </w:pPr>
            <w:r>
              <w:rPr>
                <w:rFonts w:ascii="宋体" w:hAnsi="宋体"/>
              </w:rPr>
              <w:t>285485</w:t>
            </w:r>
          </w:p>
        </w:tc>
        <w:tc>
          <w:tcPr>
            <w:tcW w:w="556" w:type="pct"/>
            <w:vAlign w:val="center"/>
          </w:tcPr>
          <w:p w14:paraId="1EC24A68">
            <w:pPr>
              <w:pStyle w:val="12"/>
              <w:jc w:val="center"/>
              <w:rPr>
                <w:rFonts w:ascii="宋体" w:hAnsi="宋体"/>
              </w:rPr>
            </w:pPr>
            <w:r>
              <w:rPr>
                <w:rFonts w:ascii="宋体" w:hAnsi="宋体"/>
              </w:rPr>
              <w:t>49.5</w:t>
            </w:r>
          </w:p>
        </w:tc>
        <w:tc>
          <w:tcPr>
            <w:tcW w:w="556" w:type="pct"/>
            <w:vAlign w:val="center"/>
          </w:tcPr>
          <w:p w14:paraId="045D312F">
            <w:pPr>
              <w:pStyle w:val="12"/>
              <w:jc w:val="center"/>
              <w:rPr>
                <w:rFonts w:ascii="宋体" w:hAnsi="宋体"/>
              </w:rPr>
            </w:pPr>
            <w:r>
              <w:rPr>
                <w:rFonts w:ascii="宋体" w:hAnsi="宋体"/>
              </w:rPr>
              <w:t>290799</w:t>
            </w:r>
          </w:p>
        </w:tc>
        <w:tc>
          <w:tcPr>
            <w:tcW w:w="556" w:type="pct"/>
            <w:vAlign w:val="center"/>
          </w:tcPr>
          <w:p w14:paraId="5A87DD84">
            <w:pPr>
              <w:pStyle w:val="12"/>
              <w:jc w:val="center"/>
              <w:rPr>
                <w:rFonts w:ascii="宋体" w:hAnsi="宋体"/>
              </w:rPr>
            </w:pPr>
            <w:r>
              <w:rPr>
                <w:rFonts w:ascii="宋体" w:hAnsi="宋体"/>
              </w:rPr>
              <w:t>24707</w:t>
            </w:r>
          </w:p>
        </w:tc>
        <w:tc>
          <w:tcPr>
            <w:tcW w:w="556" w:type="pct"/>
            <w:vAlign w:val="center"/>
          </w:tcPr>
          <w:p w14:paraId="3BF5E230">
            <w:pPr>
              <w:pStyle w:val="12"/>
              <w:jc w:val="center"/>
              <w:rPr>
                <w:rFonts w:ascii="宋体" w:hAnsi="宋体"/>
              </w:rPr>
            </w:pPr>
            <w:r>
              <w:rPr>
                <w:rFonts w:ascii="宋体" w:hAnsi="宋体"/>
              </w:rPr>
              <w:t>69387</w:t>
            </w:r>
          </w:p>
        </w:tc>
        <w:tc>
          <w:tcPr>
            <w:tcW w:w="556" w:type="pct"/>
            <w:vAlign w:val="center"/>
          </w:tcPr>
          <w:p w14:paraId="6A1C7FAE">
            <w:pPr>
              <w:pStyle w:val="12"/>
              <w:jc w:val="center"/>
              <w:rPr>
                <w:rFonts w:ascii="宋体" w:hAnsi="宋体"/>
              </w:rPr>
            </w:pPr>
            <w:r>
              <w:rPr>
                <w:rFonts w:ascii="宋体" w:hAnsi="宋体"/>
              </w:rPr>
              <w:t>2.0</w:t>
            </w:r>
          </w:p>
        </w:tc>
      </w:tr>
      <w:tr w14:paraId="74D993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0D72DF43">
            <w:pPr>
              <w:pStyle w:val="12"/>
              <w:jc w:val="center"/>
              <w:rPr>
                <w:rFonts w:ascii="宋体" w:hAnsi="宋体"/>
              </w:rPr>
            </w:pPr>
            <w:r>
              <w:rPr>
                <w:rFonts w:ascii="宋体" w:hAnsi="宋体"/>
              </w:rPr>
              <w:t>1998</w:t>
            </w:r>
          </w:p>
        </w:tc>
        <w:tc>
          <w:tcPr>
            <w:tcW w:w="555" w:type="pct"/>
            <w:vAlign w:val="center"/>
          </w:tcPr>
          <w:p w14:paraId="23290643">
            <w:pPr>
              <w:pStyle w:val="12"/>
              <w:jc w:val="center"/>
              <w:rPr>
                <w:rFonts w:ascii="宋体" w:hAnsi="宋体"/>
              </w:rPr>
            </w:pPr>
            <w:r>
              <w:rPr>
                <w:rFonts w:ascii="宋体" w:hAnsi="宋体"/>
              </w:rPr>
              <w:t>546977</w:t>
            </w:r>
          </w:p>
        </w:tc>
        <w:tc>
          <w:tcPr>
            <w:tcW w:w="556" w:type="pct"/>
            <w:vAlign w:val="center"/>
          </w:tcPr>
          <w:p w14:paraId="78337900">
            <w:pPr>
              <w:pStyle w:val="12"/>
              <w:jc w:val="center"/>
              <w:rPr>
                <w:rFonts w:ascii="宋体" w:hAnsi="宋体"/>
              </w:rPr>
            </w:pPr>
            <w:r>
              <w:rPr>
                <w:rFonts w:ascii="宋体" w:hAnsi="宋体"/>
              </w:rPr>
              <w:t>-5.2</w:t>
            </w:r>
          </w:p>
        </w:tc>
        <w:tc>
          <w:tcPr>
            <w:tcW w:w="556" w:type="pct"/>
            <w:vAlign w:val="center"/>
          </w:tcPr>
          <w:p w14:paraId="56EBB30A">
            <w:pPr>
              <w:pStyle w:val="12"/>
              <w:jc w:val="center"/>
              <w:rPr>
                <w:rFonts w:ascii="宋体" w:hAnsi="宋体"/>
              </w:rPr>
            </w:pPr>
            <w:r>
              <w:rPr>
                <w:rFonts w:ascii="宋体" w:hAnsi="宋体"/>
              </w:rPr>
              <w:t>292962</w:t>
            </w:r>
          </w:p>
        </w:tc>
        <w:tc>
          <w:tcPr>
            <w:tcW w:w="556" w:type="pct"/>
            <w:vAlign w:val="center"/>
          </w:tcPr>
          <w:p w14:paraId="6C51BC05">
            <w:pPr>
              <w:pStyle w:val="12"/>
              <w:jc w:val="center"/>
              <w:rPr>
                <w:rFonts w:ascii="宋体" w:hAnsi="宋体"/>
              </w:rPr>
            </w:pPr>
            <w:r>
              <w:rPr>
                <w:rFonts w:ascii="宋体" w:hAnsi="宋体"/>
              </w:rPr>
              <w:t>53.6</w:t>
            </w:r>
          </w:p>
        </w:tc>
        <w:tc>
          <w:tcPr>
            <w:tcW w:w="556" w:type="pct"/>
            <w:vAlign w:val="center"/>
          </w:tcPr>
          <w:p w14:paraId="7B6FE403">
            <w:pPr>
              <w:pStyle w:val="12"/>
              <w:jc w:val="center"/>
              <w:rPr>
                <w:rFonts w:ascii="宋体" w:hAnsi="宋体"/>
              </w:rPr>
            </w:pPr>
            <w:r>
              <w:rPr>
                <w:rFonts w:ascii="宋体" w:hAnsi="宋体"/>
              </w:rPr>
              <w:t>254012</w:t>
            </w:r>
          </w:p>
        </w:tc>
        <w:tc>
          <w:tcPr>
            <w:tcW w:w="556" w:type="pct"/>
            <w:vAlign w:val="center"/>
          </w:tcPr>
          <w:p w14:paraId="07722542">
            <w:pPr>
              <w:pStyle w:val="12"/>
              <w:jc w:val="center"/>
              <w:rPr>
                <w:rFonts w:ascii="宋体" w:hAnsi="宋体"/>
              </w:rPr>
            </w:pPr>
            <w:r>
              <w:rPr>
                <w:rFonts w:ascii="宋体" w:hAnsi="宋体"/>
              </w:rPr>
              <w:t>20650</w:t>
            </w:r>
          </w:p>
        </w:tc>
        <w:tc>
          <w:tcPr>
            <w:tcW w:w="556" w:type="pct"/>
            <w:vAlign w:val="center"/>
          </w:tcPr>
          <w:p w14:paraId="1E595C51">
            <w:pPr>
              <w:pStyle w:val="12"/>
              <w:jc w:val="center"/>
              <w:rPr>
                <w:rFonts w:ascii="宋体" w:hAnsi="宋体"/>
              </w:rPr>
            </w:pPr>
            <w:r>
              <w:rPr>
                <w:rFonts w:ascii="宋体" w:hAnsi="宋体"/>
              </w:rPr>
              <w:t>67359</w:t>
            </w:r>
          </w:p>
        </w:tc>
        <w:tc>
          <w:tcPr>
            <w:tcW w:w="556" w:type="pct"/>
            <w:vAlign w:val="center"/>
          </w:tcPr>
          <w:p w14:paraId="0693698B">
            <w:pPr>
              <w:pStyle w:val="12"/>
              <w:jc w:val="center"/>
              <w:rPr>
                <w:rFonts w:ascii="宋体" w:hAnsi="宋体"/>
              </w:rPr>
            </w:pPr>
            <w:r>
              <w:rPr>
                <w:rFonts w:ascii="宋体" w:hAnsi="宋体"/>
              </w:rPr>
              <w:t>-2.9</w:t>
            </w:r>
          </w:p>
        </w:tc>
      </w:tr>
      <w:tr w14:paraId="339D6F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28D5019A">
            <w:pPr>
              <w:pStyle w:val="12"/>
              <w:jc w:val="center"/>
              <w:rPr>
                <w:rFonts w:ascii="宋体" w:hAnsi="宋体"/>
              </w:rPr>
            </w:pPr>
            <w:r>
              <w:rPr>
                <w:rFonts w:ascii="宋体" w:hAnsi="宋体"/>
              </w:rPr>
              <w:t>1999</w:t>
            </w:r>
          </w:p>
        </w:tc>
        <w:tc>
          <w:tcPr>
            <w:tcW w:w="555" w:type="pct"/>
            <w:vAlign w:val="center"/>
          </w:tcPr>
          <w:p w14:paraId="124BF137">
            <w:pPr>
              <w:pStyle w:val="12"/>
              <w:jc w:val="center"/>
              <w:rPr>
                <w:rFonts w:ascii="宋体" w:hAnsi="宋体"/>
              </w:rPr>
            </w:pPr>
            <w:r>
              <w:rPr>
                <w:rFonts w:ascii="宋体" w:hAnsi="宋体"/>
              </w:rPr>
              <w:t>556867</w:t>
            </w:r>
          </w:p>
        </w:tc>
        <w:tc>
          <w:tcPr>
            <w:tcW w:w="556" w:type="pct"/>
            <w:vAlign w:val="center"/>
          </w:tcPr>
          <w:p w14:paraId="3AAE2F58">
            <w:pPr>
              <w:pStyle w:val="12"/>
              <w:jc w:val="center"/>
              <w:rPr>
                <w:rFonts w:ascii="宋体" w:hAnsi="宋体"/>
              </w:rPr>
            </w:pPr>
            <w:r>
              <w:rPr>
                <w:rFonts w:ascii="宋体" w:hAnsi="宋体"/>
              </w:rPr>
              <w:t>1.8</w:t>
            </w:r>
          </w:p>
        </w:tc>
        <w:tc>
          <w:tcPr>
            <w:tcW w:w="556" w:type="pct"/>
            <w:vAlign w:val="center"/>
          </w:tcPr>
          <w:p w14:paraId="6139978D">
            <w:pPr>
              <w:pStyle w:val="12"/>
              <w:jc w:val="center"/>
              <w:rPr>
                <w:rFonts w:ascii="宋体" w:hAnsi="宋体"/>
              </w:rPr>
            </w:pPr>
            <w:r>
              <w:rPr>
                <w:rFonts w:ascii="宋体" w:hAnsi="宋体"/>
              </w:rPr>
              <w:t>313055</w:t>
            </w:r>
          </w:p>
        </w:tc>
        <w:tc>
          <w:tcPr>
            <w:tcW w:w="556" w:type="pct"/>
            <w:vAlign w:val="center"/>
          </w:tcPr>
          <w:p w14:paraId="6441B0A3">
            <w:pPr>
              <w:pStyle w:val="12"/>
              <w:jc w:val="center"/>
              <w:rPr>
                <w:rFonts w:ascii="宋体" w:hAnsi="宋体"/>
              </w:rPr>
            </w:pPr>
            <w:r>
              <w:rPr>
                <w:rFonts w:ascii="宋体" w:hAnsi="宋体"/>
              </w:rPr>
              <w:t>56.2</w:t>
            </w:r>
          </w:p>
        </w:tc>
        <w:tc>
          <w:tcPr>
            <w:tcW w:w="556" w:type="pct"/>
            <w:vAlign w:val="center"/>
          </w:tcPr>
          <w:p w14:paraId="2B5E7914">
            <w:pPr>
              <w:pStyle w:val="12"/>
              <w:jc w:val="center"/>
              <w:rPr>
                <w:rFonts w:ascii="宋体" w:hAnsi="宋体"/>
              </w:rPr>
            </w:pPr>
            <w:r>
              <w:rPr>
                <w:rFonts w:ascii="宋体" w:hAnsi="宋体"/>
              </w:rPr>
              <w:t>243812</w:t>
            </w:r>
          </w:p>
        </w:tc>
        <w:tc>
          <w:tcPr>
            <w:tcW w:w="556" w:type="pct"/>
            <w:vAlign w:val="center"/>
          </w:tcPr>
          <w:p w14:paraId="63F8A848">
            <w:pPr>
              <w:pStyle w:val="12"/>
              <w:jc w:val="center"/>
              <w:rPr>
                <w:rFonts w:ascii="宋体" w:hAnsi="宋体"/>
              </w:rPr>
            </w:pPr>
            <w:r>
              <w:rPr>
                <w:rFonts w:ascii="宋体" w:hAnsi="宋体"/>
              </w:rPr>
              <w:t>21366</w:t>
            </w:r>
          </w:p>
        </w:tc>
        <w:tc>
          <w:tcPr>
            <w:tcW w:w="556" w:type="pct"/>
            <w:vAlign w:val="center"/>
          </w:tcPr>
          <w:p w14:paraId="076FC55F">
            <w:pPr>
              <w:pStyle w:val="12"/>
              <w:jc w:val="center"/>
              <w:rPr>
                <w:rFonts w:ascii="宋体" w:hAnsi="宋体"/>
              </w:rPr>
            </w:pPr>
            <w:r>
              <w:rPr>
                <w:rFonts w:ascii="宋体" w:hAnsi="宋体"/>
              </w:rPr>
              <w:t>66111</w:t>
            </w:r>
          </w:p>
        </w:tc>
        <w:tc>
          <w:tcPr>
            <w:tcW w:w="556" w:type="pct"/>
            <w:vAlign w:val="center"/>
          </w:tcPr>
          <w:p w14:paraId="4B577530">
            <w:pPr>
              <w:pStyle w:val="12"/>
              <w:jc w:val="center"/>
              <w:rPr>
                <w:rFonts w:ascii="宋体" w:hAnsi="宋体"/>
              </w:rPr>
            </w:pPr>
            <w:r>
              <w:rPr>
                <w:rFonts w:ascii="宋体" w:hAnsi="宋体"/>
              </w:rPr>
              <w:t>-1.9</w:t>
            </w:r>
          </w:p>
        </w:tc>
      </w:tr>
      <w:tr w14:paraId="467C23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620DC68B">
            <w:pPr>
              <w:pStyle w:val="12"/>
              <w:jc w:val="center"/>
              <w:rPr>
                <w:rFonts w:ascii="宋体" w:hAnsi="宋体"/>
              </w:rPr>
            </w:pPr>
            <w:r>
              <w:rPr>
                <w:rFonts w:ascii="宋体" w:hAnsi="宋体"/>
              </w:rPr>
              <w:t>2000</w:t>
            </w:r>
          </w:p>
        </w:tc>
        <w:tc>
          <w:tcPr>
            <w:tcW w:w="555" w:type="pct"/>
            <w:vAlign w:val="center"/>
          </w:tcPr>
          <w:p w14:paraId="6A632569">
            <w:pPr>
              <w:pStyle w:val="12"/>
              <w:jc w:val="center"/>
              <w:rPr>
                <w:rFonts w:ascii="宋体" w:hAnsi="宋体"/>
              </w:rPr>
            </w:pPr>
            <w:r>
              <w:rPr>
                <w:rFonts w:ascii="宋体" w:hAnsi="宋体"/>
              </w:rPr>
              <w:t>551117</w:t>
            </w:r>
          </w:p>
        </w:tc>
        <w:tc>
          <w:tcPr>
            <w:tcW w:w="556" w:type="pct"/>
            <w:vAlign w:val="center"/>
          </w:tcPr>
          <w:p w14:paraId="413B4375">
            <w:pPr>
              <w:pStyle w:val="12"/>
              <w:jc w:val="center"/>
              <w:rPr>
                <w:rFonts w:ascii="宋体" w:hAnsi="宋体"/>
              </w:rPr>
            </w:pPr>
            <w:r>
              <w:rPr>
                <w:rFonts w:ascii="宋体" w:hAnsi="宋体"/>
              </w:rPr>
              <w:t>-1.0</w:t>
            </w:r>
          </w:p>
        </w:tc>
        <w:tc>
          <w:tcPr>
            <w:tcW w:w="556" w:type="pct"/>
            <w:vAlign w:val="center"/>
          </w:tcPr>
          <w:p w14:paraId="0F6CFA17">
            <w:pPr>
              <w:pStyle w:val="12"/>
              <w:jc w:val="center"/>
              <w:rPr>
                <w:rFonts w:ascii="宋体" w:hAnsi="宋体"/>
              </w:rPr>
            </w:pPr>
            <w:r>
              <w:rPr>
                <w:rFonts w:ascii="宋体" w:hAnsi="宋体"/>
              </w:rPr>
              <w:t>319970</w:t>
            </w:r>
          </w:p>
        </w:tc>
        <w:tc>
          <w:tcPr>
            <w:tcW w:w="556" w:type="pct"/>
            <w:vAlign w:val="center"/>
          </w:tcPr>
          <w:p w14:paraId="472777F5">
            <w:pPr>
              <w:pStyle w:val="12"/>
              <w:jc w:val="center"/>
              <w:rPr>
                <w:rFonts w:ascii="宋体" w:hAnsi="宋体"/>
              </w:rPr>
            </w:pPr>
            <w:r>
              <w:rPr>
                <w:rFonts w:ascii="宋体" w:hAnsi="宋体"/>
              </w:rPr>
              <w:t>58.1</w:t>
            </w:r>
          </w:p>
        </w:tc>
        <w:tc>
          <w:tcPr>
            <w:tcW w:w="556" w:type="pct"/>
            <w:vAlign w:val="center"/>
          </w:tcPr>
          <w:p w14:paraId="0D5B65B0">
            <w:pPr>
              <w:pStyle w:val="12"/>
              <w:jc w:val="center"/>
              <w:rPr>
                <w:rFonts w:ascii="宋体" w:hAnsi="宋体"/>
              </w:rPr>
            </w:pPr>
            <w:r>
              <w:rPr>
                <w:rFonts w:ascii="宋体" w:hAnsi="宋体"/>
              </w:rPr>
              <w:t>231147</w:t>
            </w:r>
          </w:p>
        </w:tc>
        <w:tc>
          <w:tcPr>
            <w:tcW w:w="556" w:type="pct"/>
            <w:vAlign w:val="center"/>
          </w:tcPr>
          <w:p w14:paraId="350514F3">
            <w:pPr>
              <w:pStyle w:val="12"/>
              <w:jc w:val="center"/>
              <w:rPr>
                <w:rFonts w:ascii="宋体" w:hAnsi="宋体"/>
              </w:rPr>
            </w:pPr>
            <w:r>
              <w:rPr>
                <w:rFonts w:ascii="宋体" w:hAnsi="宋体"/>
              </w:rPr>
              <w:t>21307</w:t>
            </w:r>
          </w:p>
        </w:tc>
        <w:tc>
          <w:tcPr>
            <w:tcW w:w="556" w:type="pct"/>
            <w:vAlign w:val="center"/>
          </w:tcPr>
          <w:p w14:paraId="75F0BCF8">
            <w:pPr>
              <w:pStyle w:val="12"/>
              <w:jc w:val="center"/>
              <w:rPr>
                <w:rFonts w:ascii="宋体" w:hAnsi="宋体"/>
              </w:rPr>
            </w:pPr>
            <w:r>
              <w:rPr>
                <w:rFonts w:ascii="宋体" w:hAnsi="宋体"/>
              </w:rPr>
              <w:t>65950</w:t>
            </w:r>
          </w:p>
        </w:tc>
        <w:tc>
          <w:tcPr>
            <w:tcW w:w="556" w:type="pct"/>
            <w:vAlign w:val="center"/>
          </w:tcPr>
          <w:p w14:paraId="1F821526">
            <w:pPr>
              <w:pStyle w:val="12"/>
              <w:jc w:val="center"/>
              <w:rPr>
                <w:rFonts w:ascii="宋体" w:hAnsi="宋体"/>
              </w:rPr>
            </w:pPr>
            <w:r>
              <w:rPr>
                <w:rFonts w:ascii="宋体" w:hAnsi="宋体"/>
              </w:rPr>
              <w:t>-0.2</w:t>
            </w:r>
          </w:p>
        </w:tc>
      </w:tr>
      <w:tr w14:paraId="5B1CEE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6E742156">
            <w:pPr>
              <w:pStyle w:val="12"/>
              <w:jc w:val="center"/>
              <w:rPr>
                <w:rFonts w:ascii="宋体" w:hAnsi="宋体"/>
              </w:rPr>
            </w:pPr>
            <w:r>
              <w:rPr>
                <w:rFonts w:ascii="宋体" w:hAnsi="宋体"/>
              </w:rPr>
              <w:t>2001</w:t>
            </w:r>
          </w:p>
        </w:tc>
        <w:tc>
          <w:tcPr>
            <w:tcW w:w="555" w:type="pct"/>
            <w:vAlign w:val="center"/>
          </w:tcPr>
          <w:p w14:paraId="3EAC3585">
            <w:pPr>
              <w:pStyle w:val="12"/>
              <w:jc w:val="center"/>
              <w:rPr>
                <w:rFonts w:ascii="宋体" w:hAnsi="宋体"/>
              </w:rPr>
            </w:pPr>
            <w:r>
              <w:rPr>
                <w:rFonts w:ascii="宋体" w:hAnsi="宋体"/>
              </w:rPr>
              <w:t>585269</w:t>
            </w:r>
          </w:p>
        </w:tc>
        <w:tc>
          <w:tcPr>
            <w:tcW w:w="556" w:type="pct"/>
            <w:vAlign w:val="center"/>
          </w:tcPr>
          <w:p w14:paraId="0D5C4633">
            <w:pPr>
              <w:pStyle w:val="12"/>
              <w:jc w:val="center"/>
              <w:rPr>
                <w:rFonts w:ascii="宋体" w:hAnsi="宋体"/>
              </w:rPr>
            </w:pPr>
            <w:r>
              <w:rPr>
                <w:rFonts w:ascii="宋体" w:hAnsi="宋体"/>
              </w:rPr>
              <w:t>6.2</w:t>
            </w:r>
          </w:p>
        </w:tc>
        <w:tc>
          <w:tcPr>
            <w:tcW w:w="556" w:type="pct"/>
            <w:vAlign w:val="center"/>
          </w:tcPr>
          <w:p w14:paraId="783883F9">
            <w:pPr>
              <w:pStyle w:val="12"/>
              <w:jc w:val="center"/>
              <w:rPr>
                <w:rFonts w:ascii="宋体" w:hAnsi="宋体"/>
              </w:rPr>
            </w:pPr>
            <w:r>
              <w:rPr>
                <w:rFonts w:ascii="宋体" w:hAnsi="宋体"/>
              </w:rPr>
              <w:t>342435</w:t>
            </w:r>
          </w:p>
        </w:tc>
        <w:tc>
          <w:tcPr>
            <w:tcW w:w="556" w:type="pct"/>
            <w:vAlign w:val="center"/>
          </w:tcPr>
          <w:p w14:paraId="464E963D">
            <w:pPr>
              <w:pStyle w:val="12"/>
              <w:jc w:val="center"/>
              <w:rPr>
                <w:rFonts w:ascii="宋体" w:hAnsi="宋体"/>
              </w:rPr>
            </w:pPr>
            <w:r>
              <w:rPr>
                <w:rFonts w:ascii="宋体" w:hAnsi="宋体"/>
              </w:rPr>
              <w:t>58.5</w:t>
            </w:r>
          </w:p>
        </w:tc>
        <w:tc>
          <w:tcPr>
            <w:tcW w:w="556" w:type="pct"/>
            <w:vAlign w:val="center"/>
          </w:tcPr>
          <w:p w14:paraId="0F21416B">
            <w:pPr>
              <w:pStyle w:val="12"/>
              <w:jc w:val="center"/>
              <w:rPr>
                <w:rFonts w:ascii="宋体" w:hAnsi="宋体"/>
              </w:rPr>
            </w:pPr>
            <w:r>
              <w:rPr>
                <w:rFonts w:ascii="宋体" w:hAnsi="宋体"/>
              </w:rPr>
              <w:t>242834</w:t>
            </w:r>
          </w:p>
        </w:tc>
        <w:tc>
          <w:tcPr>
            <w:tcW w:w="556" w:type="pct"/>
            <w:vAlign w:val="center"/>
          </w:tcPr>
          <w:p w14:paraId="3EB2B46E">
            <w:pPr>
              <w:pStyle w:val="12"/>
              <w:jc w:val="center"/>
              <w:rPr>
                <w:rFonts w:ascii="宋体" w:hAnsi="宋体"/>
              </w:rPr>
            </w:pPr>
            <w:r>
              <w:rPr>
                <w:rFonts w:ascii="宋体" w:hAnsi="宋体"/>
              </w:rPr>
              <w:t>21798</w:t>
            </w:r>
          </w:p>
        </w:tc>
        <w:tc>
          <w:tcPr>
            <w:tcW w:w="556" w:type="pct"/>
            <w:vAlign w:val="center"/>
          </w:tcPr>
          <w:p w14:paraId="52D83A92">
            <w:pPr>
              <w:pStyle w:val="12"/>
              <w:jc w:val="center"/>
              <w:rPr>
                <w:rFonts w:ascii="宋体" w:hAnsi="宋体"/>
              </w:rPr>
            </w:pPr>
            <w:r>
              <w:rPr>
                <w:rFonts w:ascii="宋体" w:hAnsi="宋体"/>
              </w:rPr>
              <w:t>67133</w:t>
            </w:r>
          </w:p>
        </w:tc>
        <w:tc>
          <w:tcPr>
            <w:tcW w:w="556" w:type="pct"/>
            <w:vAlign w:val="center"/>
          </w:tcPr>
          <w:p w14:paraId="49C92F51">
            <w:pPr>
              <w:pStyle w:val="12"/>
              <w:jc w:val="center"/>
              <w:rPr>
                <w:rFonts w:ascii="宋体" w:hAnsi="宋体"/>
              </w:rPr>
            </w:pPr>
            <w:r>
              <w:rPr>
                <w:rFonts w:ascii="宋体" w:hAnsi="宋体"/>
              </w:rPr>
              <w:t>1.8</w:t>
            </w:r>
          </w:p>
        </w:tc>
      </w:tr>
      <w:tr w14:paraId="53AD51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0BC36AB9">
            <w:pPr>
              <w:pStyle w:val="12"/>
              <w:jc w:val="center"/>
              <w:rPr>
                <w:rFonts w:ascii="宋体" w:hAnsi="宋体"/>
              </w:rPr>
            </w:pPr>
            <w:r>
              <w:rPr>
                <w:rFonts w:ascii="宋体" w:hAnsi="宋体"/>
              </w:rPr>
              <w:t>2002</w:t>
            </w:r>
          </w:p>
        </w:tc>
        <w:tc>
          <w:tcPr>
            <w:tcW w:w="555" w:type="pct"/>
            <w:vAlign w:val="center"/>
          </w:tcPr>
          <w:p w14:paraId="1E9FAB41">
            <w:pPr>
              <w:pStyle w:val="12"/>
              <w:jc w:val="center"/>
              <w:rPr>
                <w:rFonts w:ascii="宋体" w:hAnsi="宋体"/>
              </w:rPr>
            </w:pPr>
            <w:r>
              <w:rPr>
                <w:rFonts w:ascii="宋体" w:hAnsi="宋体"/>
              </w:rPr>
              <w:t>588912</w:t>
            </w:r>
          </w:p>
        </w:tc>
        <w:tc>
          <w:tcPr>
            <w:tcW w:w="556" w:type="pct"/>
            <w:vAlign w:val="center"/>
          </w:tcPr>
          <w:p w14:paraId="2CC685C5">
            <w:pPr>
              <w:pStyle w:val="12"/>
              <w:jc w:val="center"/>
              <w:rPr>
                <w:rFonts w:ascii="宋体" w:hAnsi="宋体"/>
              </w:rPr>
            </w:pPr>
            <w:r>
              <w:rPr>
                <w:rFonts w:ascii="宋体" w:hAnsi="宋体"/>
              </w:rPr>
              <w:t>0.6</w:t>
            </w:r>
          </w:p>
        </w:tc>
        <w:tc>
          <w:tcPr>
            <w:tcW w:w="556" w:type="pct"/>
            <w:vAlign w:val="center"/>
          </w:tcPr>
          <w:p w14:paraId="2BBD02DB">
            <w:pPr>
              <w:pStyle w:val="12"/>
              <w:jc w:val="center"/>
              <w:rPr>
                <w:rFonts w:ascii="宋体" w:hAnsi="宋体"/>
              </w:rPr>
            </w:pPr>
            <w:r>
              <w:rPr>
                <w:rFonts w:ascii="宋体" w:hAnsi="宋体"/>
              </w:rPr>
              <w:t>357380</w:t>
            </w:r>
          </w:p>
        </w:tc>
        <w:tc>
          <w:tcPr>
            <w:tcW w:w="556" w:type="pct"/>
            <w:vAlign w:val="center"/>
          </w:tcPr>
          <w:p w14:paraId="38F10E22">
            <w:pPr>
              <w:pStyle w:val="12"/>
              <w:jc w:val="center"/>
              <w:rPr>
                <w:rFonts w:ascii="宋体" w:hAnsi="宋体"/>
              </w:rPr>
            </w:pPr>
            <w:r>
              <w:rPr>
                <w:rFonts w:ascii="宋体" w:hAnsi="宋体"/>
              </w:rPr>
              <w:t>60.7</w:t>
            </w:r>
          </w:p>
        </w:tc>
        <w:tc>
          <w:tcPr>
            <w:tcW w:w="556" w:type="pct"/>
            <w:vAlign w:val="center"/>
          </w:tcPr>
          <w:p w14:paraId="5EC7A3C6">
            <w:pPr>
              <w:pStyle w:val="12"/>
              <w:jc w:val="center"/>
              <w:rPr>
                <w:rFonts w:ascii="宋体" w:hAnsi="宋体"/>
              </w:rPr>
            </w:pPr>
            <w:r>
              <w:rPr>
                <w:rFonts w:ascii="宋体" w:hAnsi="宋体"/>
              </w:rPr>
              <w:t>231532</w:t>
            </w:r>
          </w:p>
        </w:tc>
        <w:tc>
          <w:tcPr>
            <w:tcW w:w="556" w:type="pct"/>
            <w:vAlign w:val="center"/>
          </w:tcPr>
          <w:p w14:paraId="1EF8CAEC">
            <w:pPr>
              <w:pStyle w:val="12"/>
              <w:jc w:val="center"/>
              <w:rPr>
                <w:rFonts w:ascii="宋体" w:hAnsi="宋体"/>
              </w:rPr>
            </w:pPr>
            <w:r>
              <w:rPr>
                <w:rFonts w:ascii="宋体" w:hAnsi="宋体"/>
              </w:rPr>
              <w:t>19141</w:t>
            </w:r>
          </w:p>
        </w:tc>
        <w:tc>
          <w:tcPr>
            <w:tcW w:w="556" w:type="pct"/>
            <w:vAlign w:val="center"/>
          </w:tcPr>
          <w:p w14:paraId="7A53AD0C">
            <w:pPr>
              <w:pStyle w:val="12"/>
              <w:jc w:val="center"/>
              <w:rPr>
                <w:rFonts w:ascii="宋体" w:hAnsi="宋体"/>
              </w:rPr>
            </w:pPr>
            <w:r>
              <w:rPr>
                <w:rFonts w:ascii="宋体" w:hAnsi="宋体"/>
              </w:rPr>
              <w:t>66801</w:t>
            </w:r>
          </w:p>
        </w:tc>
        <w:tc>
          <w:tcPr>
            <w:tcW w:w="556" w:type="pct"/>
            <w:vAlign w:val="center"/>
          </w:tcPr>
          <w:p w14:paraId="621D8B08">
            <w:pPr>
              <w:pStyle w:val="12"/>
              <w:jc w:val="center"/>
              <w:rPr>
                <w:rFonts w:ascii="宋体" w:hAnsi="宋体"/>
              </w:rPr>
            </w:pPr>
            <w:r>
              <w:rPr>
                <w:rFonts w:ascii="宋体" w:hAnsi="宋体"/>
              </w:rPr>
              <w:t>-0.5</w:t>
            </w:r>
          </w:p>
        </w:tc>
      </w:tr>
      <w:tr w14:paraId="7386CD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28BC44A0">
            <w:pPr>
              <w:pStyle w:val="12"/>
              <w:jc w:val="center"/>
              <w:rPr>
                <w:rFonts w:ascii="宋体" w:hAnsi="宋体"/>
              </w:rPr>
            </w:pPr>
            <w:r>
              <w:rPr>
                <w:rFonts w:ascii="宋体" w:hAnsi="宋体"/>
              </w:rPr>
              <w:t>2003</w:t>
            </w:r>
          </w:p>
        </w:tc>
        <w:tc>
          <w:tcPr>
            <w:tcW w:w="555" w:type="pct"/>
            <w:vAlign w:val="center"/>
          </w:tcPr>
          <w:p w14:paraId="1CA844F3">
            <w:pPr>
              <w:pStyle w:val="12"/>
              <w:jc w:val="center"/>
              <w:rPr>
                <w:rFonts w:ascii="宋体" w:hAnsi="宋体"/>
              </w:rPr>
            </w:pPr>
            <w:r>
              <w:rPr>
                <w:rFonts w:ascii="宋体" w:hAnsi="宋体"/>
              </w:rPr>
              <w:t>638786</w:t>
            </w:r>
          </w:p>
        </w:tc>
        <w:tc>
          <w:tcPr>
            <w:tcW w:w="556" w:type="pct"/>
            <w:vAlign w:val="center"/>
          </w:tcPr>
          <w:p w14:paraId="0B6A86DA">
            <w:pPr>
              <w:pStyle w:val="12"/>
              <w:jc w:val="center"/>
              <w:rPr>
                <w:rFonts w:ascii="宋体" w:hAnsi="宋体"/>
              </w:rPr>
            </w:pPr>
            <w:r>
              <w:rPr>
                <w:rFonts w:ascii="宋体" w:hAnsi="宋体"/>
              </w:rPr>
              <w:t>8.5</w:t>
            </w:r>
          </w:p>
        </w:tc>
        <w:tc>
          <w:tcPr>
            <w:tcW w:w="556" w:type="pct"/>
            <w:vAlign w:val="center"/>
          </w:tcPr>
          <w:p w14:paraId="21A1B67A">
            <w:pPr>
              <w:pStyle w:val="12"/>
              <w:jc w:val="center"/>
              <w:rPr>
                <w:rFonts w:ascii="宋体" w:hAnsi="宋体"/>
              </w:rPr>
            </w:pPr>
            <w:r>
              <w:rPr>
                <w:rFonts w:ascii="宋体" w:hAnsi="宋体"/>
              </w:rPr>
              <w:t>398391</w:t>
            </w:r>
          </w:p>
        </w:tc>
        <w:tc>
          <w:tcPr>
            <w:tcW w:w="556" w:type="pct"/>
            <w:vAlign w:val="center"/>
          </w:tcPr>
          <w:p w14:paraId="15E51957">
            <w:pPr>
              <w:pStyle w:val="12"/>
              <w:jc w:val="center"/>
              <w:rPr>
                <w:rFonts w:ascii="宋体" w:hAnsi="宋体"/>
              </w:rPr>
            </w:pPr>
            <w:r>
              <w:rPr>
                <w:rFonts w:ascii="宋体" w:hAnsi="宋体"/>
              </w:rPr>
              <w:t>62.4</w:t>
            </w:r>
          </w:p>
        </w:tc>
        <w:tc>
          <w:tcPr>
            <w:tcW w:w="556" w:type="pct"/>
            <w:vAlign w:val="center"/>
          </w:tcPr>
          <w:p w14:paraId="517E7439">
            <w:pPr>
              <w:pStyle w:val="12"/>
              <w:jc w:val="center"/>
              <w:rPr>
                <w:rFonts w:ascii="宋体" w:hAnsi="宋体"/>
              </w:rPr>
            </w:pPr>
            <w:r>
              <w:rPr>
                <w:rFonts w:ascii="宋体" w:hAnsi="宋体"/>
              </w:rPr>
              <w:t>240395</w:t>
            </w:r>
          </w:p>
        </w:tc>
        <w:tc>
          <w:tcPr>
            <w:tcW w:w="556" w:type="pct"/>
            <w:vAlign w:val="center"/>
          </w:tcPr>
          <w:p w14:paraId="67907BB2">
            <w:pPr>
              <w:pStyle w:val="12"/>
              <w:jc w:val="center"/>
              <w:rPr>
                <w:rFonts w:ascii="宋体" w:hAnsi="宋体"/>
              </w:rPr>
            </w:pPr>
            <w:r>
              <w:rPr>
                <w:rFonts w:ascii="宋体" w:hAnsi="宋体"/>
              </w:rPr>
              <w:t>19763</w:t>
            </w:r>
          </w:p>
        </w:tc>
        <w:tc>
          <w:tcPr>
            <w:tcW w:w="556" w:type="pct"/>
            <w:vAlign w:val="center"/>
          </w:tcPr>
          <w:p w14:paraId="13BFA98A">
            <w:pPr>
              <w:pStyle w:val="12"/>
              <w:jc w:val="center"/>
              <w:rPr>
                <w:rFonts w:ascii="宋体" w:hAnsi="宋体"/>
              </w:rPr>
            </w:pPr>
            <w:r>
              <w:rPr>
                <w:rFonts w:ascii="宋体" w:hAnsi="宋体"/>
              </w:rPr>
              <w:t>67946</w:t>
            </w:r>
          </w:p>
        </w:tc>
        <w:tc>
          <w:tcPr>
            <w:tcW w:w="556" w:type="pct"/>
            <w:vAlign w:val="center"/>
          </w:tcPr>
          <w:p w14:paraId="6B0A39C4">
            <w:pPr>
              <w:pStyle w:val="12"/>
              <w:jc w:val="center"/>
              <w:rPr>
                <w:rFonts w:ascii="宋体" w:hAnsi="宋体"/>
              </w:rPr>
            </w:pPr>
            <w:r>
              <w:rPr>
                <w:rFonts w:ascii="宋体" w:hAnsi="宋体"/>
              </w:rPr>
              <w:t>1.7</w:t>
            </w:r>
          </w:p>
        </w:tc>
      </w:tr>
      <w:tr w14:paraId="060C23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69690760">
            <w:pPr>
              <w:pStyle w:val="12"/>
              <w:jc w:val="center"/>
              <w:rPr>
                <w:rFonts w:ascii="宋体" w:hAnsi="宋体"/>
              </w:rPr>
            </w:pPr>
            <w:r>
              <w:rPr>
                <w:rFonts w:ascii="宋体" w:hAnsi="宋体"/>
              </w:rPr>
              <w:t>2004</w:t>
            </w:r>
          </w:p>
        </w:tc>
        <w:tc>
          <w:tcPr>
            <w:tcW w:w="555" w:type="pct"/>
            <w:vAlign w:val="center"/>
          </w:tcPr>
          <w:p w14:paraId="1E48DCC4">
            <w:pPr>
              <w:pStyle w:val="12"/>
              <w:jc w:val="center"/>
              <w:rPr>
                <w:rFonts w:ascii="宋体" w:hAnsi="宋体"/>
              </w:rPr>
            </w:pPr>
            <w:r>
              <w:rPr>
                <w:rFonts w:ascii="宋体" w:hAnsi="宋体"/>
              </w:rPr>
              <w:t>643370</w:t>
            </w:r>
          </w:p>
        </w:tc>
        <w:tc>
          <w:tcPr>
            <w:tcW w:w="556" w:type="pct"/>
            <w:vAlign w:val="center"/>
          </w:tcPr>
          <w:p w14:paraId="73F5160D">
            <w:pPr>
              <w:pStyle w:val="12"/>
              <w:jc w:val="center"/>
              <w:rPr>
                <w:rFonts w:ascii="宋体" w:hAnsi="宋体"/>
              </w:rPr>
            </w:pPr>
            <w:r>
              <w:rPr>
                <w:rFonts w:ascii="宋体" w:hAnsi="宋体"/>
              </w:rPr>
              <w:t>0.7</w:t>
            </w:r>
          </w:p>
        </w:tc>
        <w:tc>
          <w:tcPr>
            <w:tcW w:w="556" w:type="pct"/>
            <w:vAlign w:val="center"/>
          </w:tcPr>
          <w:p w14:paraId="420236F4">
            <w:pPr>
              <w:pStyle w:val="12"/>
              <w:jc w:val="center"/>
              <w:rPr>
                <w:rFonts w:ascii="宋体" w:hAnsi="宋体"/>
              </w:rPr>
            </w:pPr>
            <w:r>
              <w:rPr>
                <w:rFonts w:ascii="宋体" w:hAnsi="宋体"/>
              </w:rPr>
              <w:t>416256</w:t>
            </w:r>
          </w:p>
        </w:tc>
        <w:tc>
          <w:tcPr>
            <w:tcW w:w="556" w:type="pct"/>
            <w:vAlign w:val="center"/>
          </w:tcPr>
          <w:p w14:paraId="36C283EA">
            <w:pPr>
              <w:pStyle w:val="12"/>
              <w:jc w:val="center"/>
              <w:rPr>
                <w:rFonts w:ascii="宋体" w:hAnsi="宋体"/>
              </w:rPr>
            </w:pPr>
            <w:r>
              <w:rPr>
                <w:rFonts w:ascii="宋体" w:hAnsi="宋体"/>
              </w:rPr>
              <w:t>64.7</w:t>
            </w:r>
          </w:p>
        </w:tc>
        <w:tc>
          <w:tcPr>
            <w:tcW w:w="556" w:type="pct"/>
            <w:vAlign w:val="center"/>
          </w:tcPr>
          <w:p w14:paraId="32549E3F">
            <w:pPr>
              <w:pStyle w:val="12"/>
              <w:jc w:val="center"/>
              <w:rPr>
                <w:rFonts w:ascii="宋体" w:hAnsi="宋体"/>
              </w:rPr>
            </w:pPr>
            <w:r>
              <w:rPr>
                <w:rFonts w:ascii="宋体" w:hAnsi="宋体"/>
              </w:rPr>
              <w:t>227114</w:t>
            </w:r>
          </w:p>
        </w:tc>
        <w:tc>
          <w:tcPr>
            <w:tcW w:w="556" w:type="pct"/>
            <w:vAlign w:val="center"/>
          </w:tcPr>
          <w:p w14:paraId="2F1D438C">
            <w:pPr>
              <w:pStyle w:val="12"/>
              <w:jc w:val="center"/>
              <w:rPr>
                <w:rFonts w:ascii="宋体" w:hAnsi="宋体"/>
              </w:rPr>
            </w:pPr>
            <w:r>
              <w:rPr>
                <w:rFonts w:ascii="宋体" w:hAnsi="宋体"/>
              </w:rPr>
              <w:t>22201</w:t>
            </w:r>
          </w:p>
        </w:tc>
        <w:tc>
          <w:tcPr>
            <w:tcW w:w="556" w:type="pct"/>
            <w:vAlign w:val="center"/>
          </w:tcPr>
          <w:p w14:paraId="6C0565EB">
            <w:pPr>
              <w:pStyle w:val="12"/>
              <w:jc w:val="center"/>
              <w:rPr>
                <w:rFonts w:ascii="宋体" w:hAnsi="宋体"/>
              </w:rPr>
            </w:pPr>
            <w:r>
              <w:rPr>
                <w:rFonts w:ascii="宋体" w:hAnsi="宋体"/>
              </w:rPr>
              <w:t>68863</w:t>
            </w:r>
          </w:p>
        </w:tc>
        <w:tc>
          <w:tcPr>
            <w:tcW w:w="556" w:type="pct"/>
            <w:vAlign w:val="center"/>
          </w:tcPr>
          <w:p w14:paraId="4714CDAB">
            <w:pPr>
              <w:pStyle w:val="12"/>
              <w:jc w:val="center"/>
              <w:rPr>
                <w:rFonts w:ascii="宋体" w:hAnsi="宋体"/>
              </w:rPr>
            </w:pPr>
            <w:r>
              <w:rPr>
                <w:rFonts w:ascii="宋体" w:hAnsi="宋体"/>
              </w:rPr>
              <w:t>1.3</w:t>
            </w:r>
          </w:p>
        </w:tc>
      </w:tr>
    </w:tbl>
    <w:p w14:paraId="136E069C">
      <w:pPr>
        <w:ind w:firstLine="420"/>
        <w:rPr>
          <w:rFonts w:ascii="宋体" w:hAnsi="宋体"/>
          <w:szCs w:val="21"/>
        </w:rPr>
      </w:pPr>
      <w:r>
        <w:rPr>
          <w:rFonts w:hint="eastAsia" w:ascii="宋体" w:hAnsi="宋体"/>
          <w:szCs w:val="21"/>
        </w:rPr>
        <w:t>生猪品种。乌迳猪是南雄当地良种，外观为黑白花，成年母猪体长</w:t>
      </w:r>
      <w:r>
        <w:rPr>
          <w:rFonts w:ascii="宋体" w:hAnsi="宋体"/>
          <w:szCs w:val="21"/>
        </w:rPr>
        <w:t>129.3厘米，</w:t>
      </w:r>
      <w:r>
        <w:rPr>
          <w:rFonts w:hint="eastAsia" w:ascii="宋体" w:hAnsi="宋体"/>
          <w:szCs w:val="21"/>
        </w:rPr>
        <w:t>体高</w:t>
      </w:r>
      <w:r>
        <w:rPr>
          <w:rFonts w:ascii="宋体" w:hAnsi="宋体"/>
          <w:szCs w:val="21"/>
        </w:rPr>
        <w:t>68.5厘米，公猪体长134.5厘米，体高67.7厘米。1956年从韶关专区农科所购</w:t>
      </w:r>
      <w:r>
        <w:rPr>
          <w:rFonts w:hint="eastAsia" w:ascii="宋体" w:hAnsi="宋体"/>
          <w:szCs w:val="21"/>
        </w:rPr>
        <w:t>入约克公猪</w:t>
      </w:r>
      <w:r>
        <w:rPr>
          <w:rFonts w:ascii="宋体" w:hAnsi="宋体"/>
          <w:szCs w:val="21"/>
        </w:rPr>
        <w:t>1头，开始繁殖杂交猪苗。至1985年全县共引进外国良种公猪40头，品</w:t>
      </w:r>
      <w:r>
        <w:rPr>
          <w:rFonts w:hint="eastAsia" w:ascii="宋体" w:hAnsi="宋体"/>
          <w:szCs w:val="21"/>
        </w:rPr>
        <w:t>种有约克、长白、盘克、杜洛克、斯格</w:t>
      </w:r>
      <w:r>
        <w:rPr>
          <w:rFonts w:ascii="宋体" w:hAnsi="宋体"/>
          <w:szCs w:val="21"/>
        </w:rPr>
        <w:t>5个。与本地母猪杂交的后代均有体大、耐粗</w:t>
      </w:r>
      <w:r>
        <w:rPr>
          <w:rFonts w:hint="eastAsia" w:ascii="宋体" w:hAnsi="宋体"/>
          <w:szCs w:val="21"/>
        </w:rPr>
        <w:t>饲、生长快、抗病力强、瘦肉率高的优点。</w:t>
      </w:r>
      <w:r>
        <w:rPr>
          <w:rFonts w:ascii="宋体" w:hAnsi="宋体"/>
          <w:szCs w:val="21"/>
        </w:rPr>
        <w:t>1985年，杂交面达70%。开始选育以约</w:t>
      </w:r>
      <w:r>
        <w:rPr>
          <w:rFonts w:hint="eastAsia" w:ascii="宋体" w:hAnsi="宋体"/>
          <w:szCs w:val="21"/>
        </w:rPr>
        <w:t>克、长白公猪为父本的纯白毛母猪，再用杜洛克或迪卡公猪配种所产的三元杂交猪，抗病力更强，饲料报酬高，瘦肉率更高。</w:t>
      </w:r>
      <w:r>
        <w:rPr>
          <w:rFonts w:ascii="宋体" w:hAnsi="宋体"/>
          <w:szCs w:val="21"/>
        </w:rPr>
        <w:t>1998年以后，选育二元杂母猪近2万头，</w:t>
      </w:r>
      <w:r>
        <w:rPr>
          <w:rFonts w:hint="eastAsia" w:ascii="宋体" w:hAnsi="宋体"/>
          <w:szCs w:val="21"/>
        </w:rPr>
        <w:t>本地公、母猪已基本被淘汰，二元杂肉猪已基本普及，三元杂肉猪饲养量约</w:t>
      </w:r>
      <w:r>
        <w:rPr>
          <w:rFonts w:ascii="宋体" w:hAnsi="宋体"/>
          <w:szCs w:val="21"/>
        </w:rPr>
        <w:t>28万头，</w:t>
      </w:r>
      <w:r>
        <w:rPr>
          <w:rFonts w:hint="eastAsia" w:ascii="宋体" w:hAnsi="宋体"/>
          <w:szCs w:val="21"/>
        </w:rPr>
        <w:t>占总饲养量</w:t>
      </w:r>
      <w:r>
        <w:rPr>
          <w:rFonts w:ascii="宋体" w:hAnsi="宋体"/>
          <w:szCs w:val="21"/>
        </w:rPr>
        <w:t>4成多。翠屏公司主田种猪场，于1997年3月创办，饲养种猪1500头，</w:t>
      </w:r>
      <w:r>
        <w:rPr>
          <w:rFonts w:hint="eastAsia" w:ascii="宋体" w:hAnsi="宋体"/>
          <w:szCs w:val="21"/>
        </w:rPr>
        <w:t>年产三元杂猪苗</w:t>
      </w:r>
      <w:r>
        <w:rPr>
          <w:rFonts w:ascii="宋体" w:hAnsi="宋体"/>
          <w:szCs w:val="21"/>
        </w:rPr>
        <w:t>3万头。近年番灵公司在黄坑镇围背水库创办的种猪场亦饲养种猪1000多头。所产杂交猪苗，除满足本地所需外，大量外销。</w:t>
      </w:r>
    </w:p>
    <w:p w14:paraId="054C35D2">
      <w:pPr>
        <w:ind w:firstLine="420"/>
        <w:rPr>
          <w:rFonts w:ascii="宋体" w:hAnsi="宋体"/>
          <w:szCs w:val="21"/>
        </w:rPr>
      </w:pPr>
      <w:r>
        <w:rPr>
          <w:rFonts w:hint="eastAsia" w:ascii="宋体" w:hAnsi="宋体"/>
          <w:szCs w:val="21"/>
        </w:rPr>
        <w:t>疫病防治。猪的疫病，以猪瘟、猪丹毒、猪肺疫危害最大，</w:t>
      </w:r>
      <w:r>
        <w:rPr>
          <w:rFonts w:ascii="宋体" w:hAnsi="宋体"/>
          <w:szCs w:val="21"/>
        </w:rPr>
        <w:t>1964年起连年全面</w:t>
      </w:r>
      <w:r>
        <w:rPr>
          <w:rFonts w:hint="eastAsia" w:ascii="宋体" w:hAnsi="宋体"/>
          <w:szCs w:val="21"/>
        </w:rPr>
        <w:t>注射防病疫苗。</w:t>
      </w:r>
      <w:r>
        <w:rPr>
          <w:rFonts w:ascii="宋体" w:hAnsi="宋体"/>
          <w:szCs w:val="21"/>
        </w:rPr>
        <w:t>1988年以后没有暴发流行。2002年全安镇发生猪瘟病180多头，经</w:t>
      </w:r>
      <w:r>
        <w:rPr>
          <w:rFonts w:hint="eastAsia" w:ascii="宋体" w:hAnsi="宋体"/>
          <w:szCs w:val="21"/>
        </w:rPr>
        <w:t>扑杀处理后没有扩散。</w:t>
      </w:r>
      <w:r>
        <w:rPr>
          <w:rFonts w:ascii="宋体" w:hAnsi="宋体"/>
          <w:szCs w:val="21"/>
        </w:rPr>
        <w:t>1977年3月至1984年2月，由于从外地购入带病猪肉、猪苗</w:t>
      </w:r>
      <w:r>
        <w:rPr>
          <w:rFonts w:hint="eastAsia" w:ascii="宋体" w:hAnsi="宋体"/>
          <w:szCs w:val="21"/>
        </w:rPr>
        <w:t>引发的五号病，经及时封锁疫区，扑杀病畜，紧急接种疫苗后，至今没有再出现。</w:t>
      </w:r>
    </w:p>
    <w:p w14:paraId="47D2937F">
      <w:pPr>
        <w:ind w:firstLine="422"/>
        <w:rPr>
          <w:rFonts w:ascii="宋体" w:hAnsi="宋体"/>
          <w:b/>
          <w:szCs w:val="21"/>
        </w:rPr>
      </w:pPr>
      <w:r>
        <w:rPr>
          <w:rFonts w:hint="eastAsia" w:ascii="宋体" w:hAnsi="宋体"/>
          <w:b/>
          <w:szCs w:val="21"/>
        </w:rPr>
        <w:t>（三）其他家畜</w:t>
      </w:r>
    </w:p>
    <w:p w14:paraId="4DE8386F">
      <w:pPr>
        <w:ind w:firstLine="420"/>
        <w:rPr>
          <w:rFonts w:ascii="宋体" w:hAnsi="宋体"/>
          <w:szCs w:val="21"/>
        </w:rPr>
      </w:pPr>
      <w:r>
        <w:rPr>
          <w:rFonts w:hint="eastAsia" w:ascii="宋体" w:hAnsi="宋体"/>
          <w:szCs w:val="21"/>
        </w:rPr>
        <w:t>山羊。</w:t>
      </w:r>
      <w:r>
        <w:rPr>
          <w:rFonts w:ascii="宋体" w:hAnsi="宋体"/>
          <w:szCs w:val="21"/>
        </w:rPr>
        <w:t>2002年以前，仅有零星伺养。是年底，市政府倡导发展山羊养殖业，从</w:t>
      </w:r>
      <w:r>
        <w:rPr>
          <w:rFonts w:hint="eastAsia" w:ascii="宋体" w:hAnsi="宋体"/>
          <w:szCs w:val="21"/>
        </w:rPr>
        <w:t>湖南浏阳市引进黑山羊种</w:t>
      </w:r>
      <w:r>
        <w:rPr>
          <w:rFonts w:ascii="宋体" w:hAnsi="宋体"/>
          <w:szCs w:val="21"/>
        </w:rPr>
        <w:t>767头，分布在江头、全安、帽子峰、百顺、澜河、</w:t>
      </w:r>
      <w:r>
        <w:rPr>
          <w:rFonts w:hint="eastAsia" w:ascii="宋体" w:hAnsi="宋体"/>
          <w:szCs w:val="21"/>
        </w:rPr>
        <w:t>乌</w:t>
      </w:r>
      <w:r>
        <w:rPr>
          <w:rFonts w:ascii="宋体" w:hAnsi="宋体"/>
          <w:szCs w:val="21"/>
        </w:rPr>
        <w:t>迳、</w:t>
      </w:r>
      <w:r>
        <w:rPr>
          <w:rFonts w:hint="eastAsia" w:ascii="宋体" w:hAnsi="宋体"/>
          <w:szCs w:val="21"/>
        </w:rPr>
        <w:t>主田、邓坊等镇饲养。</w:t>
      </w:r>
      <w:r>
        <w:rPr>
          <w:rFonts w:ascii="宋体" w:hAnsi="宋体"/>
          <w:szCs w:val="21"/>
        </w:rPr>
        <w:t>2004年又引进种羊430头。全市山羊饲养量已达万头。其中</w:t>
      </w:r>
      <w:r>
        <w:rPr>
          <w:rFonts w:hint="eastAsia" w:ascii="宋体" w:hAnsi="宋体"/>
          <w:szCs w:val="21"/>
        </w:rPr>
        <w:t>黑山羊</w:t>
      </w:r>
      <w:r>
        <w:rPr>
          <w:rFonts w:ascii="宋体" w:hAnsi="宋体"/>
          <w:szCs w:val="21"/>
        </w:rPr>
        <w:t>6000多头，主要供应酒楼饭馆。</w:t>
      </w:r>
    </w:p>
    <w:p w14:paraId="6205E370">
      <w:pPr>
        <w:ind w:firstLine="420"/>
        <w:rPr>
          <w:rFonts w:ascii="宋体" w:hAnsi="宋体"/>
          <w:szCs w:val="21"/>
        </w:rPr>
      </w:pPr>
      <w:r>
        <w:rPr>
          <w:rFonts w:hint="eastAsia" w:ascii="宋体" w:hAnsi="宋体"/>
          <w:szCs w:val="21"/>
        </w:rPr>
        <w:t>狗。农村饲养较多。为预防狂犬病，政府曾出告示灭狗。但在农村，狗可看门防盗、也可卖钱、少数还可打猎，且狗肉为南雄名菜之一，故饲养者众，但饲养数量不多，没有养群狗者。近年在城镇居民中有少数富裕家庭饲养宠物狗。</w:t>
      </w:r>
    </w:p>
    <w:p w14:paraId="6F16FDE8">
      <w:pPr>
        <w:pStyle w:val="5"/>
        <w:rPr>
          <w:rFonts w:ascii="宋体" w:hAnsi="宋体"/>
        </w:rPr>
      </w:pPr>
      <w:r>
        <w:rPr>
          <w:rFonts w:hint="eastAsia" w:ascii="宋体" w:hAnsi="宋体"/>
        </w:rPr>
        <w:t>二、家禽饲养</w:t>
      </w:r>
    </w:p>
    <w:p w14:paraId="243BD234">
      <w:pPr>
        <w:ind w:firstLine="420"/>
        <w:rPr>
          <w:rFonts w:ascii="宋体" w:hAnsi="宋体"/>
          <w:szCs w:val="21"/>
        </w:rPr>
      </w:pPr>
      <w:r>
        <w:rPr>
          <w:rFonts w:hint="eastAsia" w:ascii="宋体" w:hAnsi="宋体"/>
          <w:szCs w:val="21"/>
        </w:rPr>
        <w:t>南雄农村有饲养鸡、鸭、鹅习惯，俗称“三鸟”，均由家庭分散饲养，年产六七十万只。</w:t>
      </w:r>
      <w:r>
        <w:rPr>
          <w:rFonts w:ascii="宋体" w:hAnsi="宋体"/>
          <w:szCs w:val="21"/>
        </w:rPr>
        <w:t>1958年人民公社化，统归集体饲养，大批饲养。1962年实行体制下放，复</w:t>
      </w:r>
      <w:r>
        <w:rPr>
          <w:rFonts w:hint="eastAsia" w:ascii="宋体" w:hAnsi="宋体"/>
          <w:szCs w:val="21"/>
        </w:rPr>
        <w:t>准私人饲养，但限制饲养量，不准养群鸡群鸭；且实行三鸟派购，规定农户每年派购数量。全县三鸟生产发展缓慢，</w:t>
      </w:r>
      <w:r>
        <w:rPr>
          <w:rFonts w:ascii="宋体" w:hAnsi="宋体"/>
          <w:szCs w:val="21"/>
        </w:rPr>
        <w:t>1958年至1978年20年间，三鸟饲养量由70多万只</w:t>
      </w:r>
      <w:r>
        <w:rPr>
          <w:rFonts w:hint="eastAsia" w:ascii="宋体" w:hAnsi="宋体"/>
          <w:szCs w:val="21"/>
        </w:rPr>
        <w:t>增加到</w:t>
      </w:r>
      <w:r>
        <w:rPr>
          <w:rFonts w:ascii="宋体" w:hAnsi="宋体"/>
          <w:szCs w:val="21"/>
        </w:rPr>
        <w:t>143万只，年均增长5%。1980年实行改革开放，鼓励农户饲养，1983年取消</w:t>
      </w:r>
      <w:r>
        <w:rPr>
          <w:rFonts w:hint="eastAsia" w:ascii="宋体" w:hAnsi="宋体"/>
          <w:szCs w:val="21"/>
        </w:rPr>
        <w:t>三鸟派购，三鸟生产有较大发展。从</w:t>
      </w:r>
      <w:r>
        <w:rPr>
          <w:rFonts w:ascii="宋体" w:hAnsi="宋体"/>
          <w:szCs w:val="21"/>
        </w:rPr>
        <w:t>1981年至1988年，由146万只增加到289万</w:t>
      </w:r>
      <w:r>
        <w:rPr>
          <w:rFonts w:hint="eastAsia" w:ascii="宋体" w:hAnsi="宋体"/>
          <w:szCs w:val="21"/>
        </w:rPr>
        <w:t>只，</w:t>
      </w:r>
      <w:r>
        <w:rPr>
          <w:rFonts w:ascii="宋体" w:hAnsi="宋体"/>
          <w:szCs w:val="21"/>
        </w:rPr>
        <w:t>7年翻了近一番。20世纪90年代，逐步出现饲养专业户。1993年专业养禽户212户，三鸟出栏量351200只，占全市出栏量12.8%。1998年有332户，三鸟出栏</w:t>
      </w:r>
      <w:r>
        <w:rPr>
          <w:rFonts w:hint="eastAsia" w:ascii="宋体" w:hAnsi="宋体"/>
          <w:szCs w:val="21"/>
        </w:rPr>
        <w:t>量</w:t>
      </w:r>
      <w:r>
        <w:rPr>
          <w:rFonts w:ascii="宋体" w:hAnsi="宋体"/>
          <w:szCs w:val="21"/>
        </w:rPr>
        <w:t>453250只，占全市18.7%。2002年299户，三鸟出栏量545675只，占全市</w:t>
      </w:r>
      <w:r>
        <w:rPr>
          <w:rFonts w:hint="eastAsia" w:ascii="宋体" w:hAnsi="宋体"/>
          <w:szCs w:val="21"/>
        </w:rPr>
        <w:t>1</w:t>
      </w:r>
      <w:r>
        <w:rPr>
          <w:rFonts w:ascii="宋体" w:hAnsi="宋体"/>
          <w:szCs w:val="21"/>
        </w:rPr>
        <w:t>6.8%。</w:t>
      </w:r>
    </w:p>
    <w:p w14:paraId="68AAB73D">
      <w:pPr>
        <w:ind w:firstLine="422"/>
        <w:rPr>
          <w:rFonts w:ascii="宋体" w:hAnsi="宋体"/>
          <w:b/>
          <w:szCs w:val="21"/>
        </w:rPr>
      </w:pPr>
      <w:r>
        <w:rPr>
          <w:rFonts w:hint="eastAsia" w:ascii="宋体" w:hAnsi="宋体"/>
          <w:b/>
          <w:szCs w:val="21"/>
        </w:rPr>
        <w:t>（一）鸡</w:t>
      </w:r>
    </w:p>
    <w:p w14:paraId="5538158D">
      <w:pPr>
        <w:ind w:firstLine="420"/>
        <w:rPr>
          <w:rFonts w:ascii="宋体" w:hAnsi="宋体"/>
          <w:szCs w:val="21"/>
        </w:rPr>
      </w:pPr>
      <w:r>
        <w:rPr>
          <w:rFonts w:hint="eastAsia" w:ascii="宋体" w:hAnsi="宋体"/>
          <w:szCs w:val="21"/>
        </w:rPr>
        <w:t>鸡的品种，可概分本地鸡和外来鸡</w:t>
      </w:r>
      <w:r>
        <w:rPr>
          <w:rFonts w:ascii="宋体" w:hAnsi="宋体"/>
          <w:szCs w:val="21"/>
        </w:rPr>
        <w:t>2种。本地鸡体形小、毛色杂、生长慢，成年</w:t>
      </w:r>
      <w:r>
        <w:rPr>
          <w:rFonts w:hint="eastAsia" w:ascii="宋体" w:hAnsi="宋体"/>
          <w:szCs w:val="21"/>
        </w:rPr>
        <w:t>鸡体重</w:t>
      </w:r>
      <w:r>
        <w:rPr>
          <w:rFonts w:ascii="宋体" w:hAnsi="宋体"/>
          <w:szCs w:val="21"/>
        </w:rPr>
        <w:t>1.3公斤～2公斤，产蛋日龄155天左右，母鸡就巢性强，能孵化带养小鸡，</w:t>
      </w:r>
      <w:r>
        <w:rPr>
          <w:rFonts w:hint="eastAsia" w:ascii="宋体" w:hAnsi="宋体"/>
          <w:szCs w:val="21"/>
        </w:rPr>
        <w:t>饲养管理方便，且体质结实，行动灵活，觅食力强，肉质嫩滑醇香，市售价高于外来品种，多由农户野外放养。</w:t>
      </w:r>
      <w:r>
        <w:rPr>
          <w:rFonts w:ascii="宋体" w:hAnsi="宋体"/>
          <w:szCs w:val="21"/>
        </w:rPr>
        <w:t>1955年以后，陆续引进外地近20个品种，其特点是体形</w:t>
      </w:r>
      <w:r>
        <w:rPr>
          <w:rFonts w:hint="eastAsia" w:ascii="宋体" w:hAnsi="宋体"/>
          <w:szCs w:val="21"/>
        </w:rPr>
        <w:t>大、生长快，但自行觅食能力不如本地鸡，母鸡大多不就巢，不会孵化带养小鸡。人工饲养管理技术要求较高，多为专业户饲养。</w:t>
      </w:r>
    </w:p>
    <w:p w14:paraId="29425347">
      <w:pPr>
        <w:ind w:firstLine="420"/>
        <w:rPr>
          <w:rFonts w:ascii="宋体" w:hAnsi="宋体"/>
          <w:szCs w:val="21"/>
        </w:rPr>
      </w:pPr>
      <w:r>
        <w:rPr>
          <w:rFonts w:hint="eastAsia" w:ascii="宋体" w:hAnsi="宋体"/>
          <w:szCs w:val="21"/>
        </w:rPr>
        <w:t>鸡的疫病以鸡瘟和鸡出血性败血病为害最大。</w:t>
      </w:r>
      <w:r>
        <w:rPr>
          <w:rFonts w:ascii="宋体" w:hAnsi="宋体"/>
          <w:szCs w:val="21"/>
        </w:rPr>
        <w:t>1981年以来，每年预防注射疫苗</w:t>
      </w:r>
      <w:r>
        <w:rPr>
          <w:rFonts w:hint="eastAsia" w:ascii="宋体" w:hAnsi="宋体"/>
          <w:szCs w:val="21"/>
        </w:rPr>
        <w:t>占饲养量</w:t>
      </w:r>
      <w:r>
        <w:rPr>
          <w:rFonts w:ascii="宋体" w:hAnsi="宋体"/>
          <w:szCs w:val="21"/>
        </w:rPr>
        <w:t>70%以上，没有出现大面积发生和流行。2004年5月2日，黄坑镇许村专</w:t>
      </w:r>
      <w:r>
        <w:rPr>
          <w:rFonts w:hint="eastAsia" w:ascii="宋体" w:hAnsi="宋体"/>
          <w:szCs w:val="21"/>
        </w:rPr>
        <w:t>业养鸡户李德军鸡场发生</w:t>
      </w:r>
      <w:r>
        <w:rPr>
          <w:rFonts w:ascii="宋体" w:hAnsi="宋体"/>
          <w:szCs w:val="21"/>
        </w:rPr>
        <w:t>H5N1高致病性禽流感，疫点扑杀病鸡3.5万只，疫区扑杀</w:t>
      </w:r>
      <w:r>
        <w:rPr>
          <w:rFonts w:hint="eastAsia" w:ascii="宋体" w:hAnsi="宋体"/>
          <w:szCs w:val="21"/>
        </w:rPr>
        <w:t>活鸡</w:t>
      </w:r>
      <w:r>
        <w:rPr>
          <w:rFonts w:ascii="宋体" w:hAnsi="宋体"/>
          <w:szCs w:val="21"/>
        </w:rPr>
        <w:t>12.2万只。经彻底消毒处理，及时控制，未蔓延。</w:t>
      </w:r>
    </w:p>
    <w:p w14:paraId="2E80ADFB">
      <w:pPr>
        <w:ind w:firstLine="422"/>
        <w:rPr>
          <w:rFonts w:ascii="宋体" w:hAnsi="宋体"/>
          <w:b/>
          <w:szCs w:val="21"/>
        </w:rPr>
      </w:pPr>
      <w:r>
        <w:rPr>
          <w:rFonts w:hint="eastAsia" w:ascii="宋体" w:hAnsi="宋体"/>
          <w:b/>
          <w:szCs w:val="21"/>
        </w:rPr>
        <w:t>（二）鸭</w:t>
      </w:r>
    </w:p>
    <w:p w14:paraId="3031367B">
      <w:pPr>
        <w:ind w:firstLine="420"/>
        <w:rPr>
          <w:rFonts w:ascii="宋体" w:hAnsi="宋体"/>
          <w:szCs w:val="21"/>
        </w:rPr>
      </w:pPr>
      <w:r>
        <w:rPr>
          <w:rFonts w:hint="eastAsia" w:ascii="宋体" w:hAnsi="宋体"/>
          <w:szCs w:val="21"/>
        </w:rPr>
        <w:t>平原地区部分农民有饲养群鸭习惯，一年饲养二批。春季饲养的称“早禾鸭”，于早稻收割前后出售。第二批称“迟禾鸭”，于晚稻收割后出售，或加工板鸭。也有少量农户常年饲养母鸭产蛋。</w:t>
      </w:r>
      <w:r>
        <w:rPr>
          <w:rFonts w:ascii="宋体" w:hAnsi="宋体"/>
          <w:szCs w:val="21"/>
        </w:rPr>
        <w:t>1953年全县饲养23万只。合作化后，社队作为副业饲</w:t>
      </w:r>
      <w:r>
        <w:rPr>
          <w:rFonts w:hint="eastAsia" w:ascii="宋体" w:hAnsi="宋体"/>
          <w:szCs w:val="21"/>
        </w:rPr>
        <w:t>养群鸭。</w:t>
      </w:r>
      <w:r>
        <w:rPr>
          <w:rFonts w:ascii="宋体" w:hAnsi="宋体"/>
          <w:szCs w:val="21"/>
        </w:rPr>
        <w:t>1957年增至69.5万只，1981年后，随着市场需求，有较大发展，年饲养量</w:t>
      </w:r>
      <w:r>
        <w:rPr>
          <w:rFonts w:hint="eastAsia" w:ascii="宋体" w:hAnsi="宋体"/>
          <w:szCs w:val="21"/>
        </w:rPr>
        <w:t>达一二百万只。</w:t>
      </w:r>
    </w:p>
    <w:p w14:paraId="2166F8B4">
      <w:pPr>
        <w:ind w:firstLine="420"/>
        <w:rPr>
          <w:rFonts w:ascii="宋体" w:hAnsi="宋体"/>
          <w:szCs w:val="21"/>
        </w:rPr>
      </w:pPr>
      <w:r>
        <w:rPr>
          <w:rFonts w:hint="eastAsia" w:ascii="宋体" w:hAnsi="宋体"/>
          <w:szCs w:val="21"/>
        </w:rPr>
        <w:t>鸭的品种原为麻鸭，</w:t>
      </w:r>
      <w:r>
        <w:rPr>
          <w:rFonts w:ascii="宋体" w:hAnsi="宋体"/>
          <w:szCs w:val="21"/>
        </w:rPr>
        <w:t>1950年以后引进北京鸭，1960年以后引进江苏鸭，1980年</w:t>
      </w:r>
      <w:r>
        <w:rPr>
          <w:rFonts w:hint="eastAsia" w:ascii="宋体" w:hAnsi="宋体"/>
          <w:szCs w:val="21"/>
        </w:rPr>
        <w:t>以后引进狄高鸭、樱桃鸭、胡鸭，均能适应本市环境，且经自然杂交出现有杂交鸭。本地麻鸭特点是颈较长、肥瘦适中，是加工板鸭最佳品种，</w:t>
      </w:r>
    </w:p>
    <w:p w14:paraId="22ABC2C0">
      <w:pPr>
        <w:ind w:firstLine="422"/>
        <w:rPr>
          <w:rFonts w:ascii="宋体" w:hAnsi="宋体"/>
          <w:b/>
          <w:szCs w:val="21"/>
        </w:rPr>
      </w:pPr>
      <w:r>
        <w:rPr>
          <w:rFonts w:hint="eastAsia" w:ascii="宋体" w:hAnsi="宋体"/>
          <w:b/>
          <w:szCs w:val="21"/>
        </w:rPr>
        <w:t>（三）鹅</w:t>
      </w:r>
    </w:p>
    <w:p w14:paraId="0149ED80">
      <w:pPr>
        <w:ind w:firstLine="420"/>
        <w:rPr>
          <w:rFonts w:ascii="宋体" w:hAnsi="宋体"/>
          <w:szCs w:val="21"/>
        </w:rPr>
      </w:pPr>
      <w:r>
        <w:rPr>
          <w:rFonts w:hint="eastAsia" w:ascii="宋体" w:hAnsi="宋体"/>
          <w:szCs w:val="21"/>
        </w:rPr>
        <w:t>鹅。少数农户饲养。本地鹅有灰白二色，体重</w:t>
      </w:r>
      <w:r>
        <w:rPr>
          <w:rFonts w:ascii="宋体" w:hAnsi="宋体"/>
          <w:szCs w:val="21"/>
        </w:rPr>
        <w:t>3.5公斤～4.5公斤。由于繁殖</w:t>
      </w:r>
      <w:r>
        <w:rPr>
          <w:rFonts w:hint="eastAsia" w:ascii="宋体" w:hAnsi="宋体"/>
          <w:szCs w:val="21"/>
        </w:rPr>
        <w:t>慢，售价低，饲养者日少。</w:t>
      </w:r>
      <w:r>
        <w:rPr>
          <w:rFonts w:ascii="宋体" w:hAnsi="宋体"/>
          <w:szCs w:val="21"/>
        </w:rPr>
        <w:t>1950年后引进狮头鹅，1970年后引进清远鹅，逐步替代</w:t>
      </w:r>
      <w:r>
        <w:rPr>
          <w:rFonts w:hint="eastAsia" w:ascii="宋体" w:hAnsi="宋体"/>
          <w:szCs w:val="21"/>
        </w:rPr>
        <w:t>本地品种，近年饲养量四五万只。</w:t>
      </w:r>
    </w:p>
    <w:p w14:paraId="646CF18A">
      <w:pPr>
        <w:ind w:firstLine="420"/>
        <w:rPr>
          <w:rFonts w:ascii="宋体" w:hAnsi="宋体"/>
          <w:szCs w:val="21"/>
        </w:rPr>
      </w:pPr>
      <w:r>
        <w:rPr>
          <w:rFonts w:ascii="宋体" w:hAnsi="宋体"/>
          <w:szCs w:val="21"/>
        </w:rPr>
        <w:t>1988年至2004年三鸟饲养量，详见表2-10：</w:t>
      </w:r>
    </w:p>
    <w:p w14:paraId="60F218B6">
      <w:pPr>
        <w:ind w:firstLine="0" w:firstLineChars="0"/>
        <w:jc w:val="center"/>
        <w:rPr>
          <w:rFonts w:ascii="宋体" w:hAnsi="宋体"/>
          <w:b/>
          <w:szCs w:val="21"/>
        </w:rPr>
      </w:pPr>
      <w:r>
        <w:rPr>
          <w:rFonts w:hint="eastAsia" w:ascii="宋体" w:hAnsi="宋体"/>
          <w:b/>
          <w:szCs w:val="21"/>
        </w:rPr>
        <w:t>南雄市</w:t>
      </w:r>
      <w:r>
        <w:rPr>
          <w:rFonts w:ascii="宋体" w:hAnsi="宋体"/>
          <w:b/>
          <w:szCs w:val="21"/>
        </w:rPr>
        <w:t>1988年至2004年三鸟饲养量</w:t>
      </w:r>
    </w:p>
    <w:p w14:paraId="437B22E3">
      <w:pPr>
        <w:ind w:firstLine="0" w:firstLineChars="0"/>
        <w:rPr>
          <w:rFonts w:ascii="宋体" w:hAnsi="宋体"/>
          <w:b/>
          <w:szCs w:val="21"/>
        </w:rPr>
      </w:pPr>
      <w:r>
        <w:rPr>
          <w:rFonts w:hint="eastAsia" w:ascii="宋体" w:hAnsi="宋体"/>
          <w:b/>
          <w:szCs w:val="21"/>
        </w:rPr>
        <w:t>表</w:t>
      </w:r>
      <w:r>
        <w:rPr>
          <w:rFonts w:ascii="宋体" w:hAnsi="宋体"/>
          <w:b/>
          <w:szCs w:val="21"/>
        </w:rPr>
        <w:t>2-10</w:t>
      </w:r>
    </w:p>
    <w:p w14:paraId="62A7AE93">
      <w:pPr>
        <w:ind w:firstLine="422"/>
        <w:jc w:val="right"/>
        <w:rPr>
          <w:rFonts w:ascii="宋体" w:hAnsi="宋体"/>
          <w:b/>
          <w:szCs w:val="21"/>
        </w:rPr>
      </w:pPr>
      <w:r>
        <w:rPr>
          <w:rFonts w:ascii="宋体" w:hAnsi="宋体"/>
          <w:b/>
          <w:szCs w:val="21"/>
        </w:rPr>
        <w:t>单位：只、%</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5"/>
        <w:gridCol w:w="1245"/>
        <w:gridCol w:w="1245"/>
        <w:gridCol w:w="1245"/>
        <w:gridCol w:w="1245"/>
        <w:gridCol w:w="1245"/>
        <w:gridCol w:w="1246"/>
        <w:gridCol w:w="1246"/>
      </w:tblGrid>
      <w:tr w14:paraId="1CFDA0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restart"/>
            <w:vAlign w:val="center"/>
          </w:tcPr>
          <w:p w14:paraId="06BCEFFB">
            <w:pPr>
              <w:pStyle w:val="12"/>
              <w:jc w:val="center"/>
              <w:rPr>
                <w:rFonts w:ascii="宋体" w:hAnsi="宋体"/>
                <w:b/>
              </w:rPr>
            </w:pPr>
            <w:r>
              <w:rPr>
                <w:rFonts w:hint="eastAsia" w:ascii="宋体" w:hAnsi="宋体"/>
                <w:b/>
              </w:rPr>
              <w:t>年份</w:t>
            </w:r>
          </w:p>
        </w:tc>
        <w:tc>
          <w:tcPr>
            <w:tcW w:w="625" w:type="pct"/>
            <w:vMerge w:val="restart"/>
            <w:vAlign w:val="center"/>
          </w:tcPr>
          <w:p w14:paraId="420A997E">
            <w:pPr>
              <w:pStyle w:val="12"/>
              <w:jc w:val="center"/>
              <w:rPr>
                <w:rFonts w:ascii="宋体" w:hAnsi="宋体"/>
                <w:b/>
              </w:rPr>
            </w:pPr>
            <w:r>
              <w:rPr>
                <w:rFonts w:hint="eastAsia" w:ascii="宋体" w:hAnsi="宋体"/>
                <w:b/>
              </w:rPr>
              <w:t>三鸟饲养量（只）</w:t>
            </w:r>
          </w:p>
        </w:tc>
        <w:tc>
          <w:tcPr>
            <w:tcW w:w="3751" w:type="pct"/>
            <w:gridSpan w:val="6"/>
            <w:vAlign w:val="center"/>
          </w:tcPr>
          <w:p w14:paraId="67801BF8">
            <w:pPr>
              <w:pStyle w:val="12"/>
              <w:jc w:val="center"/>
              <w:rPr>
                <w:rFonts w:ascii="宋体" w:hAnsi="宋体"/>
                <w:b/>
              </w:rPr>
            </w:pPr>
            <w:r>
              <w:rPr>
                <w:rFonts w:hint="eastAsia" w:ascii="宋体" w:hAnsi="宋体"/>
                <w:b/>
              </w:rPr>
              <w:t>其中</w:t>
            </w:r>
          </w:p>
        </w:tc>
      </w:tr>
      <w:tr w14:paraId="56D8E4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14:paraId="26C29E43">
            <w:pPr>
              <w:pStyle w:val="12"/>
              <w:jc w:val="center"/>
              <w:rPr>
                <w:rFonts w:ascii="宋体" w:hAnsi="宋体"/>
                <w:b/>
              </w:rPr>
            </w:pPr>
          </w:p>
        </w:tc>
        <w:tc>
          <w:tcPr>
            <w:tcW w:w="625" w:type="pct"/>
            <w:vMerge w:val="continue"/>
            <w:vAlign w:val="center"/>
          </w:tcPr>
          <w:p w14:paraId="79DB5E45">
            <w:pPr>
              <w:pStyle w:val="12"/>
              <w:jc w:val="center"/>
              <w:rPr>
                <w:rFonts w:ascii="宋体" w:hAnsi="宋体"/>
                <w:b/>
              </w:rPr>
            </w:pPr>
          </w:p>
        </w:tc>
        <w:tc>
          <w:tcPr>
            <w:tcW w:w="1250" w:type="pct"/>
            <w:gridSpan w:val="2"/>
            <w:vAlign w:val="center"/>
          </w:tcPr>
          <w:p w14:paraId="55A0827C">
            <w:pPr>
              <w:pStyle w:val="12"/>
              <w:jc w:val="center"/>
              <w:rPr>
                <w:rFonts w:ascii="宋体" w:hAnsi="宋体"/>
                <w:b/>
              </w:rPr>
            </w:pPr>
            <w:r>
              <w:rPr>
                <w:rFonts w:hint="eastAsia" w:ascii="宋体" w:hAnsi="宋体"/>
                <w:b/>
              </w:rPr>
              <w:t>鸡</w:t>
            </w:r>
          </w:p>
        </w:tc>
        <w:tc>
          <w:tcPr>
            <w:tcW w:w="1250" w:type="pct"/>
            <w:gridSpan w:val="2"/>
            <w:vAlign w:val="center"/>
          </w:tcPr>
          <w:p w14:paraId="4127D217">
            <w:pPr>
              <w:pStyle w:val="12"/>
              <w:jc w:val="center"/>
              <w:rPr>
                <w:rFonts w:ascii="宋体" w:hAnsi="宋体"/>
                <w:b/>
              </w:rPr>
            </w:pPr>
            <w:r>
              <w:rPr>
                <w:rFonts w:hint="eastAsia" w:ascii="宋体" w:hAnsi="宋体"/>
                <w:b/>
              </w:rPr>
              <w:t>鸭</w:t>
            </w:r>
          </w:p>
        </w:tc>
        <w:tc>
          <w:tcPr>
            <w:tcW w:w="1250" w:type="pct"/>
            <w:gridSpan w:val="2"/>
            <w:vAlign w:val="center"/>
          </w:tcPr>
          <w:p w14:paraId="6CDC8671">
            <w:pPr>
              <w:pStyle w:val="12"/>
              <w:jc w:val="center"/>
              <w:rPr>
                <w:rFonts w:ascii="宋体" w:hAnsi="宋体"/>
                <w:b/>
              </w:rPr>
            </w:pPr>
            <w:r>
              <w:rPr>
                <w:rFonts w:hint="eastAsia" w:ascii="宋体" w:hAnsi="宋体"/>
                <w:b/>
              </w:rPr>
              <w:t>鹅</w:t>
            </w:r>
          </w:p>
        </w:tc>
      </w:tr>
      <w:tr w14:paraId="0AF960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14:paraId="0899C695">
            <w:pPr>
              <w:pStyle w:val="12"/>
              <w:jc w:val="center"/>
              <w:rPr>
                <w:rFonts w:ascii="宋体" w:hAnsi="宋体"/>
                <w:b/>
              </w:rPr>
            </w:pPr>
          </w:p>
        </w:tc>
        <w:tc>
          <w:tcPr>
            <w:tcW w:w="625" w:type="pct"/>
            <w:vMerge w:val="continue"/>
            <w:vAlign w:val="center"/>
          </w:tcPr>
          <w:p w14:paraId="37530D0D">
            <w:pPr>
              <w:pStyle w:val="12"/>
              <w:jc w:val="center"/>
              <w:rPr>
                <w:rFonts w:ascii="宋体" w:hAnsi="宋体"/>
                <w:b/>
              </w:rPr>
            </w:pPr>
          </w:p>
        </w:tc>
        <w:tc>
          <w:tcPr>
            <w:tcW w:w="625" w:type="pct"/>
            <w:vAlign w:val="center"/>
          </w:tcPr>
          <w:p w14:paraId="30223419">
            <w:pPr>
              <w:pStyle w:val="12"/>
              <w:jc w:val="center"/>
              <w:rPr>
                <w:rFonts w:ascii="宋体" w:hAnsi="宋体"/>
                <w:b/>
              </w:rPr>
            </w:pPr>
            <w:r>
              <w:rPr>
                <w:rFonts w:hint="eastAsia" w:ascii="宋体" w:hAnsi="宋体"/>
                <w:b/>
              </w:rPr>
              <w:t>饲养量</w:t>
            </w:r>
          </w:p>
        </w:tc>
        <w:tc>
          <w:tcPr>
            <w:tcW w:w="625" w:type="pct"/>
            <w:vAlign w:val="center"/>
          </w:tcPr>
          <w:p w14:paraId="2339F6CD">
            <w:pPr>
              <w:pStyle w:val="12"/>
              <w:jc w:val="center"/>
              <w:rPr>
                <w:rFonts w:ascii="宋体" w:hAnsi="宋体"/>
                <w:b/>
              </w:rPr>
            </w:pPr>
            <w:r>
              <w:rPr>
                <w:rFonts w:hint="eastAsia" w:ascii="宋体" w:hAnsi="宋体"/>
                <w:b/>
              </w:rPr>
              <w:t>占比</w:t>
            </w:r>
          </w:p>
        </w:tc>
        <w:tc>
          <w:tcPr>
            <w:tcW w:w="625" w:type="pct"/>
            <w:vAlign w:val="center"/>
          </w:tcPr>
          <w:p w14:paraId="3721EC5C">
            <w:pPr>
              <w:pStyle w:val="12"/>
              <w:jc w:val="center"/>
              <w:rPr>
                <w:rFonts w:ascii="宋体" w:hAnsi="宋体"/>
                <w:b/>
              </w:rPr>
            </w:pPr>
            <w:r>
              <w:rPr>
                <w:rFonts w:hint="eastAsia" w:ascii="宋体" w:hAnsi="宋体"/>
                <w:b/>
              </w:rPr>
              <w:t>饲养量</w:t>
            </w:r>
          </w:p>
        </w:tc>
        <w:tc>
          <w:tcPr>
            <w:tcW w:w="625" w:type="pct"/>
            <w:vAlign w:val="center"/>
          </w:tcPr>
          <w:p w14:paraId="1BF2F568">
            <w:pPr>
              <w:pStyle w:val="12"/>
              <w:jc w:val="center"/>
              <w:rPr>
                <w:rFonts w:ascii="宋体" w:hAnsi="宋体"/>
                <w:b/>
              </w:rPr>
            </w:pPr>
            <w:r>
              <w:rPr>
                <w:rFonts w:hint="eastAsia" w:ascii="宋体" w:hAnsi="宋体"/>
                <w:b/>
              </w:rPr>
              <w:t>占比</w:t>
            </w:r>
          </w:p>
        </w:tc>
        <w:tc>
          <w:tcPr>
            <w:tcW w:w="625" w:type="pct"/>
            <w:vAlign w:val="center"/>
          </w:tcPr>
          <w:p w14:paraId="6C9E9C99">
            <w:pPr>
              <w:pStyle w:val="12"/>
              <w:jc w:val="center"/>
              <w:rPr>
                <w:rFonts w:ascii="宋体" w:hAnsi="宋体"/>
                <w:b/>
              </w:rPr>
            </w:pPr>
            <w:r>
              <w:rPr>
                <w:rFonts w:hint="eastAsia" w:ascii="宋体" w:hAnsi="宋体"/>
                <w:b/>
              </w:rPr>
              <w:t>饲养量</w:t>
            </w:r>
          </w:p>
        </w:tc>
        <w:tc>
          <w:tcPr>
            <w:tcW w:w="625" w:type="pct"/>
            <w:vAlign w:val="center"/>
          </w:tcPr>
          <w:p w14:paraId="102D0BBE">
            <w:pPr>
              <w:pStyle w:val="12"/>
              <w:jc w:val="center"/>
              <w:rPr>
                <w:rFonts w:ascii="宋体" w:hAnsi="宋体"/>
                <w:b/>
              </w:rPr>
            </w:pPr>
            <w:r>
              <w:rPr>
                <w:rFonts w:hint="eastAsia" w:ascii="宋体" w:hAnsi="宋体"/>
                <w:b/>
              </w:rPr>
              <w:t>占比</w:t>
            </w:r>
          </w:p>
        </w:tc>
      </w:tr>
      <w:tr w14:paraId="6CBE6B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6F6B91AA">
            <w:pPr>
              <w:pStyle w:val="12"/>
              <w:jc w:val="center"/>
              <w:rPr>
                <w:rFonts w:ascii="宋体" w:hAnsi="宋体"/>
              </w:rPr>
            </w:pPr>
            <w:r>
              <w:rPr>
                <w:rFonts w:ascii="宋体" w:hAnsi="宋体"/>
              </w:rPr>
              <w:t>1988</w:t>
            </w:r>
          </w:p>
        </w:tc>
        <w:tc>
          <w:tcPr>
            <w:tcW w:w="625" w:type="pct"/>
            <w:vAlign w:val="center"/>
          </w:tcPr>
          <w:p w14:paraId="3CDEAA94">
            <w:pPr>
              <w:pStyle w:val="12"/>
              <w:jc w:val="center"/>
              <w:rPr>
                <w:rFonts w:ascii="宋体" w:hAnsi="宋体"/>
              </w:rPr>
            </w:pPr>
            <w:r>
              <w:rPr>
                <w:rFonts w:ascii="宋体" w:hAnsi="宋体"/>
              </w:rPr>
              <w:t>2890676</w:t>
            </w:r>
          </w:p>
        </w:tc>
        <w:tc>
          <w:tcPr>
            <w:tcW w:w="625" w:type="pct"/>
            <w:vAlign w:val="center"/>
          </w:tcPr>
          <w:p w14:paraId="7F3D2150">
            <w:pPr>
              <w:pStyle w:val="12"/>
              <w:jc w:val="center"/>
              <w:rPr>
                <w:rFonts w:ascii="宋体" w:hAnsi="宋体"/>
              </w:rPr>
            </w:pPr>
            <w:r>
              <w:rPr>
                <w:rFonts w:ascii="宋体" w:hAnsi="宋体"/>
              </w:rPr>
              <w:t>1452101</w:t>
            </w:r>
          </w:p>
        </w:tc>
        <w:tc>
          <w:tcPr>
            <w:tcW w:w="625" w:type="pct"/>
            <w:vAlign w:val="center"/>
          </w:tcPr>
          <w:p w14:paraId="3EB23FBD">
            <w:pPr>
              <w:pStyle w:val="12"/>
              <w:jc w:val="center"/>
              <w:rPr>
                <w:rFonts w:ascii="宋体" w:hAnsi="宋体"/>
              </w:rPr>
            </w:pPr>
            <w:r>
              <w:rPr>
                <w:rFonts w:ascii="宋体" w:hAnsi="宋体"/>
              </w:rPr>
              <w:t>50.2</w:t>
            </w:r>
          </w:p>
        </w:tc>
        <w:tc>
          <w:tcPr>
            <w:tcW w:w="625" w:type="pct"/>
            <w:vAlign w:val="center"/>
          </w:tcPr>
          <w:p w14:paraId="1003059E">
            <w:pPr>
              <w:pStyle w:val="12"/>
              <w:jc w:val="center"/>
              <w:rPr>
                <w:rFonts w:ascii="宋体" w:hAnsi="宋体"/>
              </w:rPr>
            </w:pPr>
            <w:r>
              <w:rPr>
                <w:rFonts w:ascii="宋体" w:hAnsi="宋体"/>
              </w:rPr>
              <w:t>1363317</w:t>
            </w:r>
          </w:p>
        </w:tc>
        <w:tc>
          <w:tcPr>
            <w:tcW w:w="625" w:type="pct"/>
            <w:vAlign w:val="center"/>
          </w:tcPr>
          <w:p w14:paraId="1053D261">
            <w:pPr>
              <w:pStyle w:val="12"/>
              <w:jc w:val="center"/>
              <w:rPr>
                <w:rFonts w:ascii="宋体" w:hAnsi="宋体"/>
              </w:rPr>
            </w:pPr>
            <w:r>
              <w:rPr>
                <w:rFonts w:ascii="宋体" w:hAnsi="宋体"/>
              </w:rPr>
              <w:t>47.2</w:t>
            </w:r>
          </w:p>
        </w:tc>
        <w:tc>
          <w:tcPr>
            <w:tcW w:w="625" w:type="pct"/>
            <w:vAlign w:val="center"/>
          </w:tcPr>
          <w:p w14:paraId="750B25C3">
            <w:pPr>
              <w:pStyle w:val="12"/>
              <w:jc w:val="center"/>
              <w:rPr>
                <w:rFonts w:ascii="宋体" w:hAnsi="宋体"/>
              </w:rPr>
            </w:pPr>
            <w:r>
              <w:rPr>
                <w:rFonts w:ascii="宋体" w:hAnsi="宋体"/>
              </w:rPr>
              <w:t>75258</w:t>
            </w:r>
          </w:p>
        </w:tc>
        <w:tc>
          <w:tcPr>
            <w:tcW w:w="625" w:type="pct"/>
            <w:vAlign w:val="center"/>
          </w:tcPr>
          <w:p w14:paraId="599AA80E">
            <w:pPr>
              <w:pStyle w:val="12"/>
              <w:jc w:val="center"/>
              <w:rPr>
                <w:rFonts w:ascii="宋体" w:hAnsi="宋体"/>
              </w:rPr>
            </w:pPr>
            <w:r>
              <w:rPr>
                <w:rFonts w:ascii="宋体" w:hAnsi="宋体"/>
              </w:rPr>
              <w:t>2.6</w:t>
            </w:r>
          </w:p>
        </w:tc>
      </w:tr>
      <w:tr w14:paraId="7CD4000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39E4A99A">
            <w:pPr>
              <w:pStyle w:val="12"/>
              <w:jc w:val="center"/>
              <w:rPr>
                <w:rFonts w:ascii="宋体" w:hAnsi="宋体"/>
              </w:rPr>
            </w:pPr>
            <w:r>
              <w:rPr>
                <w:rFonts w:ascii="宋体" w:hAnsi="宋体"/>
              </w:rPr>
              <w:t>1989</w:t>
            </w:r>
          </w:p>
        </w:tc>
        <w:tc>
          <w:tcPr>
            <w:tcW w:w="625" w:type="pct"/>
            <w:vAlign w:val="center"/>
          </w:tcPr>
          <w:p w14:paraId="3A89DCE9">
            <w:pPr>
              <w:pStyle w:val="12"/>
              <w:jc w:val="center"/>
              <w:rPr>
                <w:rFonts w:ascii="宋体" w:hAnsi="宋体"/>
              </w:rPr>
            </w:pPr>
            <w:r>
              <w:rPr>
                <w:rFonts w:ascii="宋体" w:hAnsi="宋体"/>
              </w:rPr>
              <w:t>2847141</w:t>
            </w:r>
          </w:p>
        </w:tc>
        <w:tc>
          <w:tcPr>
            <w:tcW w:w="625" w:type="pct"/>
            <w:vAlign w:val="center"/>
          </w:tcPr>
          <w:p w14:paraId="3D0964EA">
            <w:pPr>
              <w:pStyle w:val="12"/>
              <w:jc w:val="center"/>
              <w:rPr>
                <w:rFonts w:ascii="宋体" w:hAnsi="宋体"/>
              </w:rPr>
            </w:pPr>
            <w:r>
              <w:rPr>
                <w:rFonts w:ascii="宋体" w:hAnsi="宋体"/>
              </w:rPr>
              <w:t>1497158</w:t>
            </w:r>
          </w:p>
        </w:tc>
        <w:tc>
          <w:tcPr>
            <w:tcW w:w="625" w:type="pct"/>
            <w:vAlign w:val="center"/>
          </w:tcPr>
          <w:p w14:paraId="49BD08AD">
            <w:pPr>
              <w:pStyle w:val="12"/>
              <w:jc w:val="center"/>
              <w:rPr>
                <w:rFonts w:ascii="宋体" w:hAnsi="宋体"/>
              </w:rPr>
            </w:pPr>
            <w:r>
              <w:rPr>
                <w:rFonts w:ascii="宋体" w:hAnsi="宋体"/>
              </w:rPr>
              <w:t>52.6</w:t>
            </w:r>
          </w:p>
        </w:tc>
        <w:tc>
          <w:tcPr>
            <w:tcW w:w="625" w:type="pct"/>
            <w:vAlign w:val="center"/>
          </w:tcPr>
          <w:p w14:paraId="0B589095">
            <w:pPr>
              <w:pStyle w:val="12"/>
              <w:jc w:val="center"/>
              <w:rPr>
                <w:rFonts w:ascii="宋体" w:hAnsi="宋体"/>
              </w:rPr>
            </w:pPr>
            <w:r>
              <w:rPr>
                <w:rFonts w:ascii="宋体" w:hAnsi="宋体"/>
              </w:rPr>
              <w:t>1289195</w:t>
            </w:r>
          </w:p>
        </w:tc>
        <w:tc>
          <w:tcPr>
            <w:tcW w:w="625" w:type="pct"/>
            <w:vAlign w:val="center"/>
          </w:tcPr>
          <w:p w14:paraId="012D0DFD">
            <w:pPr>
              <w:pStyle w:val="12"/>
              <w:jc w:val="center"/>
              <w:rPr>
                <w:rFonts w:ascii="宋体" w:hAnsi="宋体"/>
              </w:rPr>
            </w:pPr>
            <w:r>
              <w:rPr>
                <w:rFonts w:ascii="宋体" w:hAnsi="宋体"/>
              </w:rPr>
              <w:t>45.3</w:t>
            </w:r>
          </w:p>
        </w:tc>
        <w:tc>
          <w:tcPr>
            <w:tcW w:w="625" w:type="pct"/>
            <w:vAlign w:val="center"/>
          </w:tcPr>
          <w:p w14:paraId="61D100D8">
            <w:pPr>
              <w:pStyle w:val="12"/>
              <w:jc w:val="center"/>
              <w:rPr>
                <w:rFonts w:ascii="宋体" w:hAnsi="宋体"/>
              </w:rPr>
            </w:pPr>
            <w:r>
              <w:rPr>
                <w:rFonts w:ascii="宋体" w:hAnsi="宋体"/>
              </w:rPr>
              <w:t>60788</w:t>
            </w:r>
          </w:p>
        </w:tc>
        <w:tc>
          <w:tcPr>
            <w:tcW w:w="625" w:type="pct"/>
            <w:vAlign w:val="center"/>
          </w:tcPr>
          <w:p w14:paraId="484F6A16">
            <w:pPr>
              <w:pStyle w:val="12"/>
              <w:jc w:val="center"/>
              <w:rPr>
                <w:rFonts w:ascii="宋体" w:hAnsi="宋体"/>
              </w:rPr>
            </w:pPr>
            <w:r>
              <w:rPr>
                <w:rFonts w:ascii="宋体" w:hAnsi="宋体"/>
              </w:rPr>
              <w:t>2.1</w:t>
            </w:r>
          </w:p>
        </w:tc>
      </w:tr>
      <w:tr w14:paraId="3A3B3D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1CA2662C">
            <w:pPr>
              <w:pStyle w:val="12"/>
              <w:jc w:val="center"/>
              <w:rPr>
                <w:rFonts w:ascii="宋体" w:hAnsi="宋体"/>
              </w:rPr>
            </w:pPr>
            <w:r>
              <w:rPr>
                <w:rFonts w:ascii="宋体" w:hAnsi="宋体"/>
              </w:rPr>
              <w:t>1990</w:t>
            </w:r>
          </w:p>
        </w:tc>
        <w:tc>
          <w:tcPr>
            <w:tcW w:w="625" w:type="pct"/>
            <w:vAlign w:val="center"/>
          </w:tcPr>
          <w:p w14:paraId="765152A0">
            <w:pPr>
              <w:pStyle w:val="12"/>
              <w:jc w:val="center"/>
              <w:rPr>
                <w:rFonts w:ascii="宋体" w:hAnsi="宋体"/>
              </w:rPr>
            </w:pPr>
            <w:r>
              <w:rPr>
                <w:rFonts w:ascii="宋体" w:hAnsi="宋体"/>
              </w:rPr>
              <w:t>3056734</w:t>
            </w:r>
          </w:p>
        </w:tc>
        <w:tc>
          <w:tcPr>
            <w:tcW w:w="625" w:type="pct"/>
            <w:vAlign w:val="center"/>
          </w:tcPr>
          <w:p w14:paraId="71169E70">
            <w:pPr>
              <w:pStyle w:val="12"/>
              <w:jc w:val="center"/>
              <w:rPr>
                <w:rFonts w:ascii="宋体" w:hAnsi="宋体"/>
              </w:rPr>
            </w:pPr>
            <w:r>
              <w:rPr>
                <w:rFonts w:ascii="宋体" w:hAnsi="宋体"/>
              </w:rPr>
              <w:t>1532609</w:t>
            </w:r>
          </w:p>
        </w:tc>
        <w:tc>
          <w:tcPr>
            <w:tcW w:w="625" w:type="pct"/>
            <w:vAlign w:val="center"/>
          </w:tcPr>
          <w:p w14:paraId="65A21A7F">
            <w:pPr>
              <w:pStyle w:val="12"/>
              <w:jc w:val="center"/>
              <w:rPr>
                <w:rFonts w:ascii="宋体" w:hAnsi="宋体"/>
              </w:rPr>
            </w:pPr>
            <w:r>
              <w:rPr>
                <w:rFonts w:ascii="宋体" w:hAnsi="宋体"/>
              </w:rPr>
              <w:t>50.2</w:t>
            </w:r>
          </w:p>
        </w:tc>
        <w:tc>
          <w:tcPr>
            <w:tcW w:w="625" w:type="pct"/>
            <w:vAlign w:val="center"/>
          </w:tcPr>
          <w:p w14:paraId="637FDC09">
            <w:pPr>
              <w:pStyle w:val="12"/>
              <w:jc w:val="center"/>
              <w:rPr>
                <w:rFonts w:ascii="宋体" w:hAnsi="宋体"/>
              </w:rPr>
            </w:pPr>
            <w:r>
              <w:rPr>
                <w:rFonts w:ascii="宋体" w:hAnsi="宋体"/>
              </w:rPr>
              <w:t>1462259</w:t>
            </w:r>
          </w:p>
        </w:tc>
        <w:tc>
          <w:tcPr>
            <w:tcW w:w="625" w:type="pct"/>
            <w:vAlign w:val="center"/>
          </w:tcPr>
          <w:p w14:paraId="4C50FCD6">
            <w:pPr>
              <w:pStyle w:val="12"/>
              <w:jc w:val="center"/>
              <w:rPr>
                <w:rFonts w:ascii="宋体" w:hAnsi="宋体"/>
              </w:rPr>
            </w:pPr>
            <w:r>
              <w:rPr>
                <w:rFonts w:ascii="宋体" w:hAnsi="宋体"/>
              </w:rPr>
              <w:t>47.8</w:t>
            </w:r>
          </w:p>
        </w:tc>
        <w:tc>
          <w:tcPr>
            <w:tcW w:w="625" w:type="pct"/>
            <w:vAlign w:val="center"/>
          </w:tcPr>
          <w:p w14:paraId="75473217">
            <w:pPr>
              <w:pStyle w:val="12"/>
              <w:jc w:val="center"/>
              <w:rPr>
                <w:rFonts w:ascii="宋体" w:hAnsi="宋体"/>
              </w:rPr>
            </w:pPr>
            <w:r>
              <w:rPr>
                <w:rFonts w:ascii="宋体" w:hAnsi="宋体"/>
              </w:rPr>
              <w:t>61866</w:t>
            </w:r>
          </w:p>
        </w:tc>
        <w:tc>
          <w:tcPr>
            <w:tcW w:w="625" w:type="pct"/>
            <w:vAlign w:val="center"/>
          </w:tcPr>
          <w:p w14:paraId="0F76B01A">
            <w:pPr>
              <w:pStyle w:val="12"/>
              <w:jc w:val="center"/>
              <w:rPr>
                <w:rFonts w:ascii="宋体" w:hAnsi="宋体"/>
              </w:rPr>
            </w:pPr>
            <w:r>
              <w:rPr>
                <w:rFonts w:ascii="宋体" w:hAnsi="宋体"/>
              </w:rPr>
              <w:t>2.0</w:t>
            </w:r>
          </w:p>
        </w:tc>
      </w:tr>
      <w:tr w14:paraId="60635B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6E0C5100">
            <w:pPr>
              <w:pStyle w:val="12"/>
              <w:jc w:val="center"/>
              <w:rPr>
                <w:rFonts w:ascii="宋体" w:hAnsi="宋体"/>
              </w:rPr>
            </w:pPr>
            <w:r>
              <w:rPr>
                <w:rFonts w:ascii="宋体" w:hAnsi="宋体"/>
              </w:rPr>
              <w:t>1991</w:t>
            </w:r>
          </w:p>
        </w:tc>
        <w:tc>
          <w:tcPr>
            <w:tcW w:w="625" w:type="pct"/>
            <w:vAlign w:val="center"/>
          </w:tcPr>
          <w:p w14:paraId="6D3E02D4">
            <w:pPr>
              <w:pStyle w:val="12"/>
              <w:jc w:val="center"/>
              <w:rPr>
                <w:rFonts w:ascii="宋体" w:hAnsi="宋体"/>
              </w:rPr>
            </w:pPr>
            <w:r>
              <w:rPr>
                <w:rFonts w:ascii="宋体" w:hAnsi="宋体"/>
              </w:rPr>
              <w:t>3104744</w:t>
            </w:r>
          </w:p>
        </w:tc>
        <w:tc>
          <w:tcPr>
            <w:tcW w:w="625" w:type="pct"/>
            <w:vAlign w:val="center"/>
          </w:tcPr>
          <w:p w14:paraId="60FD342D">
            <w:pPr>
              <w:pStyle w:val="12"/>
              <w:jc w:val="center"/>
              <w:rPr>
                <w:rFonts w:ascii="宋体" w:hAnsi="宋体"/>
              </w:rPr>
            </w:pPr>
            <w:r>
              <w:rPr>
                <w:rFonts w:ascii="宋体" w:hAnsi="宋体"/>
              </w:rPr>
              <w:t>1560094</w:t>
            </w:r>
          </w:p>
        </w:tc>
        <w:tc>
          <w:tcPr>
            <w:tcW w:w="625" w:type="pct"/>
            <w:vAlign w:val="center"/>
          </w:tcPr>
          <w:p w14:paraId="6A01EAF1">
            <w:pPr>
              <w:pStyle w:val="12"/>
              <w:jc w:val="center"/>
              <w:rPr>
                <w:rFonts w:ascii="宋体" w:hAnsi="宋体"/>
              </w:rPr>
            </w:pPr>
            <w:r>
              <w:rPr>
                <w:rFonts w:ascii="宋体" w:hAnsi="宋体"/>
              </w:rPr>
              <w:t>50.3</w:t>
            </w:r>
          </w:p>
        </w:tc>
        <w:tc>
          <w:tcPr>
            <w:tcW w:w="625" w:type="pct"/>
            <w:vAlign w:val="center"/>
          </w:tcPr>
          <w:p w14:paraId="08BFFCD5">
            <w:pPr>
              <w:pStyle w:val="12"/>
              <w:jc w:val="center"/>
              <w:rPr>
                <w:rFonts w:ascii="宋体" w:hAnsi="宋体"/>
              </w:rPr>
            </w:pPr>
            <w:r>
              <w:rPr>
                <w:rFonts w:ascii="宋体" w:hAnsi="宋体"/>
              </w:rPr>
              <w:t>1487386</w:t>
            </w:r>
          </w:p>
        </w:tc>
        <w:tc>
          <w:tcPr>
            <w:tcW w:w="625" w:type="pct"/>
            <w:vAlign w:val="center"/>
          </w:tcPr>
          <w:p w14:paraId="400BAA98">
            <w:pPr>
              <w:pStyle w:val="12"/>
              <w:jc w:val="center"/>
              <w:rPr>
                <w:rFonts w:ascii="宋体" w:hAnsi="宋体"/>
              </w:rPr>
            </w:pPr>
            <w:r>
              <w:rPr>
                <w:rFonts w:ascii="宋体" w:hAnsi="宋体"/>
              </w:rPr>
              <w:t>47.9</w:t>
            </w:r>
          </w:p>
        </w:tc>
        <w:tc>
          <w:tcPr>
            <w:tcW w:w="625" w:type="pct"/>
            <w:vAlign w:val="center"/>
          </w:tcPr>
          <w:p w14:paraId="04996C1E">
            <w:pPr>
              <w:pStyle w:val="12"/>
              <w:jc w:val="center"/>
              <w:rPr>
                <w:rFonts w:ascii="宋体" w:hAnsi="宋体"/>
              </w:rPr>
            </w:pPr>
            <w:r>
              <w:rPr>
                <w:rFonts w:ascii="宋体" w:hAnsi="宋体"/>
              </w:rPr>
              <w:t>57264</w:t>
            </w:r>
          </w:p>
        </w:tc>
        <w:tc>
          <w:tcPr>
            <w:tcW w:w="625" w:type="pct"/>
            <w:vAlign w:val="center"/>
          </w:tcPr>
          <w:p w14:paraId="58ADBE6B">
            <w:pPr>
              <w:pStyle w:val="12"/>
              <w:jc w:val="center"/>
              <w:rPr>
                <w:rFonts w:ascii="宋体" w:hAnsi="宋体"/>
              </w:rPr>
            </w:pPr>
            <w:r>
              <w:rPr>
                <w:rFonts w:ascii="宋体" w:hAnsi="宋体"/>
              </w:rPr>
              <w:t>1.8</w:t>
            </w:r>
          </w:p>
        </w:tc>
      </w:tr>
      <w:tr w14:paraId="3FC765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791D9196">
            <w:pPr>
              <w:pStyle w:val="12"/>
              <w:jc w:val="center"/>
              <w:rPr>
                <w:rFonts w:ascii="宋体" w:hAnsi="宋体"/>
              </w:rPr>
            </w:pPr>
            <w:r>
              <w:rPr>
                <w:rFonts w:ascii="宋体" w:hAnsi="宋体"/>
              </w:rPr>
              <w:t>1992</w:t>
            </w:r>
          </w:p>
        </w:tc>
        <w:tc>
          <w:tcPr>
            <w:tcW w:w="625" w:type="pct"/>
            <w:vAlign w:val="center"/>
          </w:tcPr>
          <w:p w14:paraId="7AA00C90">
            <w:pPr>
              <w:pStyle w:val="12"/>
              <w:jc w:val="center"/>
              <w:rPr>
                <w:rFonts w:ascii="宋体" w:hAnsi="宋体"/>
              </w:rPr>
            </w:pPr>
            <w:r>
              <w:rPr>
                <w:rFonts w:ascii="宋体" w:hAnsi="宋体"/>
              </w:rPr>
              <w:t>3343950</w:t>
            </w:r>
          </w:p>
        </w:tc>
        <w:tc>
          <w:tcPr>
            <w:tcW w:w="625" w:type="pct"/>
            <w:vAlign w:val="center"/>
          </w:tcPr>
          <w:p w14:paraId="7DAAA78D">
            <w:pPr>
              <w:pStyle w:val="12"/>
              <w:jc w:val="center"/>
              <w:rPr>
                <w:rFonts w:ascii="宋体" w:hAnsi="宋体"/>
              </w:rPr>
            </w:pPr>
            <w:r>
              <w:rPr>
                <w:rFonts w:ascii="宋体" w:hAnsi="宋体"/>
              </w:rPr>
              <w:t>1633240</w:t>
            </w:r>
          </w:p>
        </w:tc>
        <w:tc>
          <w:tcPr>
            <w:tcW w:w="625" w:type="pct"/>
            <w:vAlign w:val="center"/>
          </w:tcPr>
          <w:p w14:paraId="3A2C0544">
            <w:pPr>
              <w:pStyle w:val="12"/>
              <w:jc w:val="center"/>
              <w:rPr>
                <w:rFonts w:ascii="宋体" w:hAnsi="宋体"/>
              </w:rPr>
            </w:pPr>
            <w:r>
              <w:rPr>
                <w:rFonts w:ascii="宋体" w:hAnsi="宋体"/>
              </w:rPr>
              <w:t>48.8</w:t>
            </w:r>
          </w:p>
        </w:tc>
        <w:tc>
          <w:tcPr>
            <w:tcW w:w="625" w:type="pct"/>
            <w:vAlign w:val="center"/>
          </w:tcPr>
          <w:p w14:paraId="5F76CA76">
            <w:pPr>
              <w:pStyle w:val="12"/>
              <w:jc w:val="center"/>
              <w:rPr>
                <w:rFonts w:ascii="宋体" w:hAnsi="宋体"/>
              </w:rPr>
            </w:pPr>
            <w:r>
              <w:rPr>
                <w:rFonts w:ascii="宋体" w:hAnsi="宋体"/>
              </w:rPr>
              <w:t>1647956</w:t>
            </w:r>
          </w:p>
        </w:tc>
        <w:tc>
          <w:tcPr>
            <w:tcW w:w="625" w:type="pct"/>
            <w:vAlign w:val="center"/>
          </w:tcPr>
          <w:p w14:paraId="18928D77">
            <w:pPr>
              <w:pStyle w:val="12"/>
              <w:jc w:val="center"/>
              <w:rPr>
                <w:rFonts w:ascii="宋体" w:hAnsi="宋体"/>
              </w:rPr>
            </w:pPr>
            <w:r>
              <w:rPr>
                <w:rFonts w:ascii="宋体" w:hAnsi="宋体"/>
              </w:rPr>
              <w:t>49.3</w:t>
            </w:r>
          </w:p>
        </w:tc>
        <w:tc>
          <w:tcPr>
            <w:tcW w:w="625" w:type="pct"/>
            <w:vAlign w:val="center"/>
          </w:tcPr>
          <w:p w14:paraId="51A9F9DB">
            <w:pPr>
              <w:pStyle w:val="12"/>
              <w:jc w:val="center"/>
              <w:rPr>
                <w:rFonts w:ascii="宋体" w:hAnsi="宋体"/>
              </w:rPr>
            </w:pPr>
            <w:r>
              <w:rPr>
                <w:rFonts w:ascii="宋体" w:hAnsi="宋体"/>
              </w:rPr>
              <w:t>62754</w:t>
            </w:r>
          </w:p>
        </w:tc>
        <w:tc>
          <w:tcPr>
            <w:tcW w:w="625" w:type="pct"/>
            <w:vAlign w:val="center"/>
          </w:tcPr>
          <w:p w14:paraId="1C97E1A0">
            <w:pPr>
              <w:pStyle w:val="12"/>
              <w:jc w:val="center"/>
              <w:rPr>
                <w:rFonts w:ascii="宋体" w:hAnsi="宋体"/>
              </w:rPr>
            </w:pPr>
            <w:r>
              <w:rPr>
                <w:rFonts w:ascii="宋体" w:hAnsi="宋体"/>
              </w:rPr>
              <w:t>1.9</w:t>
            </w:r>
          </w:p>
        </w:tc>
      </w:tr>
      <w:tr w14:paraId="6C411D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391505B5">
            <w:pPr>
              <w:pStyle w:val="12"/>
              <w:jc w:val="center"/>
              <w:rPr>
                <w:rFonts w:ascii="宋体" w:hAnsi="宋体"/>
              </w:rPr>
            </w:pPr>
            <w:r>
              <w:rPr>
                <w:rFonts w:ascii="宋体" w:hAnsi="宋体"/>
              </w:rPr>
              <w:t>1993</w:t>
            </w:r>
          </w:p>
        </w:tc>
        <w:tc>
          <w:tcPr>
            <w:tcW w:w="625" w:type="pct"/>
            <w:vAlign w:val="center"/>
          </w:tcPr>
          <w:p w14:paraId="6AD3D693">
            <w:pPr>
              <w:pStyle w:val="12"/>
              <w:jc w:val="center"/>
              <w:rPr>
                <w:rFonts w:ascii="宋体" w:hAnsi="宋体"/>
              </w:rPr>
            </w:pPr>
            <w:r>
              <w:rPr>
                <w:rFonts w:ascii="宋体" w:hAnsi="宋体"/>
              </w:rPr>
              <w:t>3504642</w:t>
            </w:r>
          </w:p>
        </w:tc>
        <w:tc>
          <w:tcPr>
            <w:tcW w:w="625" w:type="pct"/>
            <w:vAlign w:val="center"/>
          </w:tcPr>
          <w:p w14:paraId="2424CC65">
            <w:pPr>
              <w:pStyle w:val="12"/>
              <w:jc w:val="center"/>
              <w:rPr>
                <w:rFonts w:ascii="宋体" w:hAnsi="宋体"/>
              </w:rPr>
            </w:pPr>
            <w:r>
              <w:rPr>
                <w:rFonts w:ascii="宋体" w:hAnsi="宋体"/>
              </w:rPr>
              <w:t>1764714</w:t>
            </w:r>
          </w:p>
        </w:tc>
        <w:tc>
          <w:tcPr>
            <w:tcW w:w="625" w:type="pct"/>
            <w:vAlign w:val="center"/>
          </w:tcPr>
          <w:p w14:paraId="768E5FBD">
            <w:pPr>
              <w:pStyle w:val="12"/>
              <w:jc w:val="center"/>
              <w:rPr>
                <w:rFonts w:ascii="宋体" w:hAnsi="宋体"/>
              </w:rPr>
            </w:pPr>
            <w:r>
              <w:rPr>
                <w:rFonts w:ascii="宋体" w:hAnsi="宋体"/>
              </w:rPr>
              <w:t>50.3</w:t>
            </w:r>
          </w:p>
        </w:tc>
        <w:tc>
          <w:tcPr>
            <w:tcW w:w="625" w:type="pct"/>
            <w:vAlign w:val="center"/>
          </w:tcPr>
          <w:p w14:paraId="1B68DB15">
            <w:pPr>
              <w:pStyle w:val="12"/>
              <w:jc w:val="center"/>
              <w:rPr>
                <w:rFonts w:ascii="宋体" w:hAnsi="宋体"/>
              </w:rPr>
            </w:pPr>
            <w:r>
              <w:rPr>
                <w:rFonts w:ascii="宋体" w:hAnsi="宋体"/>
              </w:rPr>
              <w:t>1681958</w:t>
            </w:r>
          </w:p>
        </w:tc>
        <w:tc>
          <w:tcPr>
            <w:tcW w:w="625" w:type="pct"/>
            <w:vAlign w:val="center"/>
          </w:tcPr>
          <w:p w14:paraId="4C86CF78">
            <w:pPr>
              <w:pStyle w:val="12"/>
              <w:jc w:val="center"/>
              <w:rPr>
                <w:rFonts w:ascii="宋体" w:hAnsi="宋体"/>
              </w:rPr>
            </w:pPr>
            <w:r>
              <w:rPr>
                <w:rFonts w:ascii="宋体" w:hAnsi="宋体"/>
              </w:rPr>
              <w:t>48.0</w:t>
            </w:r>
          </w:p>
        </w:tc>
        <w:tc>
          <w:tcPr>
            <w:tcW w:w="625" w:type="pct"/>
            <w:vAlign w:val="center"/>
          </w:tcPr>
          <w:p w14:paraId="6E5D9CE2">
            <w:pPr>
              <w:pStyle w:val="12"/>
              <w:jc w:val="center"/>
              <w:rPr>
                <w:rFonts w:ascii="宋体" w:hAnsi="宋体"/>
              </w:rPr>
            </w:pPr>
            <w:r>
              <w:rPr>
                <w:rFonts w:ascii="宋体" w:hAnsi="宋体"/>
              </w:rPr>
              <w:t>57970</w:t>
            </w:r>
          </w:p>
        </w:tc>
        <w:tc>
          <w:tcPr>
            <w:tcW w:w="625" w:type="pct"/>
            <w:vAlign w:val="center"/>
          </w:tcPr>
          <w:p w14:paraId="39CFDF82">
            <w:pPr>
              <w:pStyle w:val="12"/>
              <w:jc w:val="center"/>
              <w:rPr>
                <w:rFonts w:ascii="宋体" w:hAnsi="宋体"/>
              </w:rPr>
            </w:pPr>
            <w:r>
              <w:rPr>
                <w:rFonts w:ascii="宋体" w:hAnsi="宋体"/>
              </w:rPr>
              <w:t>1.7</w:t>
            </w:r>
          </w:p>
        </w:tc>
      </w:tr>
      <w:tr w14:paraId="346784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1677DCD2">
            <w:pPr>
              <w:pStyle w:val="12"/>
              <w:jc w:val="center"/>
              <w:rPr>
                <w:rFonts w:ascii="宋体" w:hAnsi="宋体"/>
              </w:rPr>
            </w:pPr>
            <w:r>
              <w:rPr>
                <w:rFonts w:ascii="宋体" w:hAnsi="宋体"/>
              </w:rPr>
              <w:t>1994</w:t>
            </w:r>
          </w:p>
        </w:tc>
        <w:tc>
          <w:tcPr>
            <w:tcW w:w="625" w:type="pct"/>
            <w:vAlign w:val="center"/>
          </w:tcPr>
          <w:p w14:paraId="5D53EF22">
            <w:pPr>
              <w:pStyle w:val="12"/>
              <w:jc w:val="center"/>
              <w:rPr>
                <w:rFonts w:ascii="宋体" w:hAnsi="宋体"/>
              </w:rPr>
            </w:pPr>
            <w:r>
              <w:rPr>
                <w:rFonts w:ascii="宋体" w:hAnsi="宋体"/>
              </w:rPr>
              <w:t>3591798</w:t>
            </w:r>
          </w:p>
        </w:tc>
        <w:tc>
          <w:tcPr>
            <w:tcW w:w="625" w:type="pct"/>
            <w:vAlign w:val="center"/>
          </w:tcPr>
          <w:p w14:paraId="310C3B56">
            <w:pPr>
              <w:pStyle w:val="12"/>
              <w:jc w:val="center"/>
              <w:rPr>
                <w:rFonts w:ascii="宋体" w:hAnsi="宋体"/>
              </w:rPr>
            </w:pPr>
            <w:r>
              <w:rPr>
                <w:rFonts w:ascii="宋体" w:hAnsi="宋体"/>
              </w:rPr>
              <w:t>1844809</w:t>
            </w:r>
          </w:p>
        </w:tc>
        <w:tc>
          <w:tcPr>
            <w:tcW w:w="625" w:type="pct"/>
            <w:vAlign w:val="center"/>
          </w:tcPr>
          <w:p w14:paraId="0C615820">
            <w:pPr>
              <w:pStyle w:val="12"/>
              <w:jc w:val="center"/>
              <w:rPr>
                <w:rFonts w:ascii="宋体" w:hAnsi="宋体"/>
              </w:rPr>
            </w:pPr>
            <w:r>
              <w:rPr>
                <w:rFonts w:ascii="宋体" w:hAnsi="宋体"/>
              </w:rPr>
              <w:t>51.4</w:t>
            </w:r>
          </w:p>
        </w:tc>
        <w:tc>
          <w:tcPr>
            <w:tcW w:w="625" w:type="pct"/>
            <w:vAlign w:val="center"/>
          </w:tcPr>
          <w:p w14:paraId="79B8C618">
            <w:pPr>
              <w:pStyle w:val="12"/>
              <w:jc w:val="center"/>
              <w:rPr>
                <w:rFonts w:ascii="宋体" w:hAnsi="宋体"/>
              </w:rPr>
            </w:pPr>
            <w:r>
              <w:rPr>
                <w:rFonts w:ascii="宋体" w:hAnsi="宋体"/>
              </w:rPr>
              <w:t>1703195</w:t>
            </w:r>
          </w:p>
        </w:tc>
        <w:tc>
          <w:tcPr>
            <w:tcW w:w="625" w:type="pct"/>
            <w:vAlign w:val="center"/>
          </w:tcPr>
          <w:p w14:paraId="06018BF2">
            <w:pPr>
              <w:pStyle w:val="12"/>
              <w:jc w:val="center"/>
              <w:rPr>
                <w:rFonts w:ascii="宋体" w:hAnsi="宋体"/>
              </w:rPr>
            </w:pPr>
            <w:r>
              <w:rPr>
                <w:rFonts w:ascii="宋体" w:hAnsi="宋体"/>
              </w:rPr>
              <w:t>47.4</w:t>
            </w:r>
          </w:p>
        </w:tc>
        <w:tc>
          <w:tcPr>
            <w:tcW w:w="625" w:type="pct"/>
            <w:vAlign w:val="center"/>
          </w:tcPr>
          <w:p w14:paraId="31639B28">
            <w:pPr>
              <w:pStyle w:val="12"/>
              <w:jc w:val="center"/>
              <w:rPr>
                <w:rFonts w:ascii="宋体" w:hAnsi="宋体"/>
              </w:rPr>
            </w:pPr>
            <w:r>
              <w:rPr>
                <w:rFonts w:ascii="宋体" w:hAnsi="宋体"/>
              </w:rPr>
              <w:t>43794</w:t>
            </w:r>
          </w:p>
        </w:tc>
        <w:tc>
          <w:tcPr>
            <w:tcW w:w="625" w:type="pct"/>
            <w:vAlign w:val="center"/>
          </w:tcPr>
          <w:p w14:paraId="6FAA4403">
            <w:pPr>
              <w:pStyle w:val="12"/>
              <w:jc w:val="center"/>
              <w:rPr>
                <w:rFonts w:ascii="宋体" w:hAnsi="宋体"/>
              </w:rPr>
            </w:pPr>
            <w:r>
              <w:rPr>
                <w:rFonts w:ascii="宋体" w:hAnsi="宋体"/>
              </w:rPr>
              <w:t>1.2</w:t>
            </w:r>
          </w:p>
        </w:tc>
      </w:tr>
      <w:tr w14:paraId="4020D9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6DEC95CF">
            <w:pPr>
              <w:pStyle w:val="12"/>
              <w:jc w:val="center"/>
              <w:rPr>
                <w:rFonts w:ascii="宋体" w:hAnsi="宋体"/>
              </w:rPr>
            </w:pPr>
            <w:r>
              <w:rPr>
                <w:rFonts w:ascii="宋体" w:hAnsi="宋体"/>
              </w:rPr>
              <w:t>1995</w:t>
            </w:r>
          </w:p>
        </w:tc>
        <w:tc>
          <w:tcPr>
            <w:tcW w:w="625" w:type="pct"/>
            <w:vAlign w:val="center"/>
          </w:tcPr>
          <w:p w14:paraId="18E66CD1">
            <w:pPr>
              <w:pStyle w:val="12"/>
              <w:jc w:val="center"/>
              <w:rPr>
                <w:rFonts w:ascii="宋体" w:hAnsi="宋体"/>
              </w:rPr>
            </w:pPr>
            <w:r>
              <w:rPr>
                <w:rFonts w:ascii="宋体" w:hAnsi="宋体"/>
              </w:rPr>
              <w:t>4081510</w:t>
            </w:r>
          </w:p>
        </w:tc>
        <w:tc>
          <w:tcPr>
            <w:tcW w:w="625" w:type="pct"/>
            <w:vAlign w:val="center"/>
          </w:tcPr>
          <w:p w14:paraId="2F8D429B">
            <w:pPr>
              <w:pStyle w:val="12"/>
              <w:jc w:val="center"/>
              <w:rPr>
                <w:rFonts w:ascii="宋体" w:hAnsi="宋体"/>
              </w:rPr>
            </w:pPr>
            <w:r>
              <w:rPr>
                <w:rFonts w:ascii="宋体" w:hAnsi="宋体"/>
              </w:rPr>
              <w:t>1908322</w:t>
            </w:r>
          </w:p>
        </w:tc>
        <w:tc>
          <w:tcPr>
            <w:tcW w:w="625" w:type="pct"/>
            <w:vAlign w:val="center"/>
          </w:tcPr>
          <w:p w14:paraId="01C9587F">
            <w:pPr>
              <w:pStyle w:val="12"/>
              <w:jc w:val="center"/>
              <w:rPr>
                <w:rFonts w:ascii="宋体" w:hAnsi="宋体"/>
              </w:rPr>
            </w:pPr>
            <w:r>
              <w:rPr>
                <w:rFonts w:ascii="宋体" w:hAnsi="宋体"/>
              </w:rPr>
              <w:t>46.8</w:t>
            </w:r>
          </w:p>
        </w:tc>
        <w:tc>
          <w:tcPr>
            <w:tcW w:w="625" w:type="pct"/>
            <w:vAlign w:val="center"/>
          </w:tcPr>
          <w:p w14:paraId="003BDB2C">
            <w:pPr>
              <w:pStyle w:val="12"/>
              <w:jc w:val="center"/>
              <w:rPr>
                <w:rFonts w:ascii="宋体" w:hAnsi="宋体"/>
              </w:rPr>
            </w:pPr>
            <w:r>
              <w:rPr>
                <w:rFonts w:ascii="宋体" w:hAnsi="宋体"/>
              </w:rPr>
              <w:t>2131092</w:t>
            </w:r>
          </w:p>
        </w:tc>
        <w:tc>
          <w:tcPr>
            <w:tcW w:w="625" w:type="pct"/>
            <w:vAlign w:val="center"/>
          </w:tcPr>
          <w:p w14:paraId="51AA7DAB">
            <w:pPr>
              <w:pStyle w:val="12"/>
              <w:jc w:val="center"/>
              <w:rPr>
                <w:rFonts w:ascii="宋体" w:hAnsi="宋体"/>
              </w:rPr>
            </w:pPr>
            <w:r>
              <w:rPr>
                <w:rFonts w:ascii="宋体" w:hAnsi="宋体"/>
              </w:rPr>
              <w:t>52.2</w:t>
            </w:r>
          </w:p>
        </w:tc>
        <w:tc>
          <w:tcPr>
            <w:tcW w:w="625" w:type="pct"/>
            <w:vAlign w:val="center"/>
          </w:tcPr>
          <w:p w14:paraId="4B0273CC">
            <w:pPr>
              <w:pStyle w:val="12"/>
              <w:jc w:val="center"/>
              <w:rPr>
                <w:rFonts w:ascii="宋体" w:hAnsi="宋体"/>
              </w:rPr>
            </w:pPr>
            <w:r>
              <w:rPr>
                <w:rFonts w:ascii="宋体" w:hAnsi="宋体"/>
              </w:rPr>
              <w:t>42096</w:t>
            </w:r>
          </w:p>
        </w:tc>
        <w:tc>
          <w:tcPr>
            <w:tcW w:w="625" w:type="pct"/>
            <w:vAlign w:val="center"/>
          </w:tcPr>
          <w:p w14:paraId="00FC1173">
            <w:pPr>
              <w:pStyle w:val="12"/>
              <w:jc w:val="center"/>
              <w:rPr>
                <w:rFonts w:ascii="宋体" w:hAnsi="宋体"/>
              </w:rPr>
            </w:pPr>
            <w:r>
              <w:rPr>
                <w:rFonts w:ascii="宋体" w:hAnsi="宋体"/>
              </w:rPr>
              <w:t>1.0</w:t>
            </w:r>
          </w:p>
        </w:tc>
      </w:tr>
      <w:tr w14:paraId="320157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4BC0822E">
            <w:pPr>
              <w:pStyle w:val="12"/>
              <w:jc w:val="center"/>
              <w:rPr>
                <w:rFonts w:ascii="宋体" w:hAnsi="宋体"/>
              </w:rPr>
            </w:pPr>
            <w:r>
              <w:rPr>
                <w:rFonts w:ascii="宋体" w:hAnsi="宋体"/>
              </w:rPr>
              <w:t>1996</w:t>
            </w:r>
          </w:p>
        </w:tc>
        <w:tc>
          <w:tcPr>
            <w:tcW w:w="625" w:type="pct"/>
            <w:vAlign w:val="center"/>
          </w:tcPr>
          <w:p w14:paraId="522B6814">
            <w:pPr>
              <w:pStyle w:val="12"/>
              <w:jc w:val="center"/>
              <w:rPr>
                <w:rFonts w:ascii="宋体" w:hAnsi="宋体"/>
              </w:rPr>
            </w:pPr>
            <w:r>
              <w:rPr>
                <w:rFonts w:ascii="宋体" w:hAnsi="宋体"/>
              </w:rPr>
              <w:t>4443477</w:t>
            </w:r>
          </w:p>
        </w:tc>
        <w:tc>
          <w:tcPr>
            <w:tcW w:w="625" w:type="pct"/>
            <w:vAlign w:val="center"/>
          </w:tcPr>
          <w:p w14:paraId="39C74B1B">
            <w:pPr>
              <w:pStyle w:val="12"/>
              <w:jc w:val="center"/>
              <w:rPr>
                <w:rFonts w:ascii="宋体" w:hAnsi="宋体"/>
              </w:rPr>
            </w:pPr>
            <w:r>
              <w:rPr>
                <w:rFonts w:ascii="宋体" w:hAnsi="宋体"/>
              </w:rPr>
              <w:t>2176301</w:t>
            </w:r>
          </w:p>
        </w:tc>
        <w:tc>
          <w:tcPr>
            <w:tcW w:w="625" w:type="pct"/>
            <w:vAlign w:val="center"/>
          </w:tcPr>
          <w:p w14:paraId="1D4A88A9">
            <w:pPr>
              <w:pStyle w:val="12"/>
              <w:jc w:val="center"/>
              <w:rPr>
                <w:rFonts w:ascii="宋体" w:hAnsi="宋体"/>
              </w:rPr>
            </w:pPr>
            <w:r>
              <w:rPr>
                <w:rFonts w:ascii="宋体" w:hAnsi="宋体"/>
              </w:rPr>
              <w:t>49.0</w:t>
            </w:r>
          </w:p>
        </w:tc>
        <w:tc>
          <w:tcPr>
            <w:tcW w:w="625" w:type="pct"/>
            <w:vAlign w:val="center"/>
          </w:tcPr>
          <w:p w14:paraId="2FD0FE36">
            <w:pPr>
              <w:pStyle w:val="12"/>
              <w:jc w:val="center"/>
              <w:rPr>
                <w:rFonts w:ascii="宋体" w:hAnsi="宋体"/>
              </w:rPr>
            </w:pPr>
            <w:r>
              <w:rPr>
                <w:rFonts w:ascii="宋体" w:hAnsi="宋体"/>
              </w:rPr>
              <w:t>2224393</w:t>
            </w:r>
          </w:p>
        </w:tc>
        <w:tc>
          <w:tcPr>
            <w:tcW w:w="625" w:type="pct"/>
            <w:vAlign w:val="center"/>
          </w:tcPr>
          <w:p w14:paraId="25CF7BD9">
            <w:pPr>
              <w:pStyle w:val="12"/>
              <w:jc w:val="center"/>
              <w:rPr>
                <w:rFonts w:ascii="宋体" w:hAnsi="宋体"/>
              </w:rPr>
            </w:pPr>
            <w:r>
              <w:rPr>
                <w:rFonts w:ascii="宋体" w:hAnsi="宋体"/>
              </w:rPr>
              <w:t>50.1</w:t>
            </w:r>
          </w:p>
        </w:tc>
        <w:tc>
          <w:tcPr>
            <w:tcW w:w="625" w:type="pct"/>
            <w:vAlign w:val="center"/>
          </w:tcPr>
          <w:p w14:paraId="4547E14D">
            <w:pPr>
              <w:pStyle w:val="12"/>
              <w:jc w:val="center"/>
              <w:rPr>
                <w:rFonts w:ascii="宋体" w:hAnsi="宋体"/>
              </w:rPr>
            </w:pPr>
            <w:r>
              <w:rPr>
                <w:rFonts w:ascii="宋体" w:hAnsi="宋体"/>
              </w:rPr>
              <w:t>42783</w:t>
            </w:r>
          </w:p>
        </w:tc>
        <w:tc>
          <w:tcPr>
            <w:tcW w:w="625" w:type="pct"/>
            <w:vAlign w:val="center"/>
          </w:tcPr>
          <w:p w14:paraId="239FB08C">
            <w:pPr>
              <w:pStyle w:val="12"/>
              <w:jc w:val="center"/>
              <w:rPr>
                <w:rFonts w:ascii="宋体" w:hAnsi="宋体"/>
              </w:rPr>
            </w:pPr>
            <w:r>
              <w:rPr>
                <w:rFonts w:ascii="宋体" w:hAnsi="宋体"/>
              </w:rPr>
              <w:t>0.9</w:t>
            </w:r>
          </w:p>
        </w:tc>
      </w:tr>
      <w:tr w14:paraId="18607C3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28FE253E">
            <w:pPr>
              <w:pStyle w:val="12"/>
              <w:jc w:val="center"/>
              <w:rPr>
                <w:rFonts w:ascii="宋体" w:hAnsi="宋体"/>
              </w:rPr>
            </w:pPr>
            <w:r>
              <w:rPr>
                <w:rFonts w:ascii="宋体" w:hAnsi="宋体"/>
              </w:rPr>
              <w:t>1997</w:t>
            </w:r>
          </w:p>
        </w:tc>
        <w:tc>
          <w:tcPr>
            <w:tcW w:w="625" w:type="pct"/>
            <w:vAlign w:val="center"/>
          </w:tcPr>
          <w:p w14:paraId="7EF3D496">
            <w:pPr>
              <w:pStyle w:val="12"/>
              <w:jc w:val="center"/>
              <w:rPr>
                <w:rFonts w:ascii="宋体" w:hAnsi="宋体"/>
              </w:rPr>
            </w:pPr>
            <w:r>
              <w:rPr>
                <w:rFonts w:ascii="宋体" w:hAnsi="宋体"/>
              </w:rPr>
              <w:t>4390100</w:t>
            </w:r>
          </w:p>
        </w:tc>
        <w:tc>
          <w:tcPr>
            <w:tcW w:w="625" w:type="pct"/>
            <w:vAlign w:val="center"/>
          </w:tcPr>
          <w:p w14:paraId="35A56FA2">
            <w:pPr>
              <w:pStyle w:val="12"/>
              <w:jc w:val="center"/>
              <w:rPr>
                <w:rFonts w:ascii="宋体" w:hAnsi="宋体"/>
              </w:rPr>
            </w:pPr>
            <w:r>
              <w:rPr>
                <w:rFonts w:ascii="宋体" w:hAnsi="宋体"/>
              </w:rPr>
              <w:t>2144776</w:t>
            </w:r>
          </w:p>
        </w:tc>
        <w:tc>
          <w:tcPr>
            <w:tcW w:w="625" w:type="pct"/>
            <w:vAlign w:val="center"/>
          </w:tcPr>
          <w:p w14:paraId="323DAF28">
            <w:pPr>
              <w:pStyle w:val="12"/>
              <w:jc w:val="center"/>
              <w:rPr>
                <w:rFonts w:ascii="宋体" w:hAnsi="宋体"/>
              </w:rPr>
            </w:pPr>
            <w:r>
              <w:rPr>
                <w:rFonts w:ascii="宋体" w:hAnsi="宋体"/>
              </w:rPr>
              <w:t>48.9</w:t>
            </w:r>
          </w:p>
        </w:tc>
        <w:tc>
          <w:tcPr>
            <w:tcW w:w="625" w:type="pct"/>
            <w:vAlign w:val="center"/>
          </w:tcPr>
          <w:p w14:paraId="7D12DDD4">
            <w:pPr>
              <w:pStyle w:val="12"/>
              <w:jc w:val="center"/>
              <w:rPr>
                <w:rFonts w:ascii="宋体" w:hAnsi="宋体"/>
              </w:rPr>
            </w:pPr>
            <w:r>
              <w:rPr>
                <w:rFonts w:ascii="宋体" w:hAnsi="宋体"/>
              </w:rPr>
              <w:t>2209375</w:t>
            </w:r>
          </w:p>
        </w:tc>
        <w:tc>
          <w:tcPr>
            <w:tcW w:w="625" w:type="pct"/>
            <w:vAlign w:val="center"/>
          </w:tcPr>
          <w:p w14:paraId="383A8BF6">
            <w:pPr>
              <w:pStyle w:val="12"/>
              <w:jc w:val="center"/>
              <w:rPr>
                <w:rFonts w:ascii="宋体" w:hAnsi="宋体"/>
              </w:rPr>
            </w:pPr>
            <w:r>
              <w:rPr>
                <w:rFonts w:ascii="宋体" w:hAnsi="宋体"/>
              </w:rPr>
              <w:t>50.3</w:t>
            </w:r>
          </w:p>
        </w:tc>
        <w:tc>
          <w:tcPr>
            <w:tcW w:w="625" w:type="pct"/>
            <w:vAlign w:val="center"/>
          </w:tcPr>
          <w:p w14:paraId="191FD15E">
            <w:pPr>
              <w:pStyle w:val="12"/>
              <w:jc w:val="center"/>
              <w:rPr>
                <w:rFonts w:ascii="宋体" w:hAnsi="宋体"/>
              </w:rPr>
            </w:pPr>
            <w:r>
              <w:rPr>
                <w:rFonts w:ascii="宋体" w:hAnsi="宋体"/>
              </w:rPr>
              <w:t>35949</w:t>
            </w:r>
          </w:p>
        </w:tc>
        <w:tc>
          <w:tcPr>
            <w:tcW w:w="625" w:type="pct"/>
            <w:vAlign w:val="center"/>
          </w:tcPr>
          <w:p w14:paraId="4EE6DA52">
            <w:pPr>
              <w:pStyle w:val="12"/>
              <w:jc w:val="center"/>
              <w:rPr>
                <w:rFonts w:ascii="宋体" w:hAnsi="宋体"/>
              </w:rPr>
            </w:pPr>
            <w:r>
              <w:rPr>
                <w:rFonts w:ascii="宋体" w:hAnsi="宋体"/>
              </w:rPr>
              <w:t>0.8</w:t>
            </w:r>
          </w:p>
        </w:tc>
      </w:tr>
      <w:tr w14:paraId="5EF255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1A6F72F9">
            <w:pPr>
              <w:pStyle w:val="12"/>
              <w:jc w:val="center"/>
              <w:rPr>
                <w:rFonts w:ascii="宋体" w:hAnsi="宋体"/>
              </w:rPr>
            </w:pPr>
            <w:r>
              <w:rPr>
                <w:rFonts w:ascii="宋体" w:hAnsi="宋体"/>
              </w:rPr>
              <w:t>1998</w:t>
            </w:r>
          </w:p>
        </w:tc>
        <w:tc>
          <w:tcPr>
            <w:tcW w:w="625" w:type="pct"/>
            <w:vAlign w:val="center"/>
          </w:tcPr>
          <w:p w14:paraId="75035D65">
            <w:pPr>
              <w:pStyle w:val="12"/>
              <w:jc w:val="center"/>
              <w:rPr>
                <w:rFonts w:ascii="宋体" w:hAnsi="宋体"/>
              </w:rPr>
            </w:pPr>
            <w:r>
              <w:rPr>
                <w:rFonts w:ascii="宋体" w:hAnsi="宋体"/>
              </w:rPr>
              <w:t>4023140</w:t>
            </w:r>
          </w:p>
        </w:tc>
        <w:tc>
          <w:tcPr>
            <w:tcW w:w="625" w:type="pct"/>
            <w:vAlign w:val="center"/>
          </w:tcPr>
          <w:p w14:paraId="54A02162">
            <w:pPr>
              <w:pStyle w:val="12"/>
              <w:jc w:val="center"/>
              <w:rPr>
                <w:rFonts w:ascii="宋体" w:hAnsi="宋体"/>
              </w:rPr>
            </w:pPr>
            <w:r>
              <w:rPr>
                <w:rFonts w:ascii="宋体" w:hAnsi="宋体"/>
              </w:rPr>
              <w:t>1965239</w:t>
            </w:r>
          </w:p>
        </w:tc>
        <w:tc>
          <w:tcPr>
            <w:tcW w:w="625" w:type="pct"/>
            <w:vAlign w:val="center"/>
          </w:tcPr>
          <w:p w14:paraId="11B74BF0">
            <w:pPr>
              <w:pStyle w:val="12"/>
              <w:jc w:val="center"/>
              <w:rPr>
                <w:rFonts w:ascii="宋体" w:hAnsi="宋体"/>
              </w:rPr>
            </w:pPr>
            <w:r>
              <w:rPr>
                <w:rFonts w:ascii="宋体" w:hAnsi="宋体"/>
              </w:rPr>
              <w:t>48.8</w:t>
            </w:r>
          </w:p>
        </w:tc>
        <w:tc>
          <w:tcPr>
            <w:tcW w:w="625" w:type="pct"/>
            <w:vAlign w:val="center"/>
          </w:tcPr>
          <w:p w14:paraId="16F3DD51">
            <w:pPr>
              <w:pStyle w:val="12"/>
              <w:jc w:val="center"/>
              <w:rPr>
                <w:rFonts w:ascii="宋体" w:hAnsi="宋体"/>
              </w:rPr>
            </w:pPr>
            <w:r>
              <w:rPr>
                <w:rFonts w:ascii="宋体" w:hAnsi="宋体"/>
              </w:rPr>
              <w:t>2039452</w:t>
            </w:r>
          </w:p>
        </w:tc>
        <w:tc>
          <w:tcPr>
            <w:tcW w:w="625" w:type="pct"/>
            <w:vAlign w:val="center"/>
          </w:tcPr>
          <w:p w14:paraId="294A1C76">
            <w:pPr>
              <w:pStyle w:val="12"/>
              <w:jc w:val="center"/>
              <w:rPr>
                <w:rFonts w:ascii="宋体" w:hAnsi="宋体"/>
              </w:rPr>
            </w:pPr>
            <w:r>
              <w:rPr>
                <w:rFonts w:ascii="宋体" w:hAnsi="宋体"/>
              </w:rPr>
              <w:t>50.7</w:t>
            </w:r>
          </w:p>
        </w:tc>
        <w:tc>
          <w:tcPr>
            <w:tcW w:w="625" w:type="pct"/>
            <w:vAlign w:val="center"/>
          </w:tcPr>
          <w:p w14:paraId="23C7E9C8">
            <w:pPr>
              <w:pStyle w:val="12"/>
              <w:jc w:val="center"/>
              <w:rPr>
                <w:rFonts w:ascii="宋体" w:hAnsi="宋体"/>
              </w:rPr>
            </w:pPr>
            <w:r>
              <w:rPr>
                <w:rFonts w:ascii="宋体" w:hAnsi="宋体"/>
              </w:rPr>
              <w:t>18449</w:t>
            </w:r>
          </w:p>
        </w:tc>
        <w:tc>
          <w:tcPr>
            <w:tcW w:w="625" w:type="pct"/>
            <w:vAlign w:val="center"/>
          </w:tcPr>
          <w:p w14:paraId="38D6490E">
            <w:pPr>
              <w:pStyle w:val="12"/>
              <w:jc w:val="center"/>
              <w:rPr>
                <w:rFonts w:ascii="宋体" w:hAnsi="宋体"/>
              </w:rPr>
            </w:pPr>
            <w:r>
              <w:rPr>
                <w:rFonts w:ascii="宋体" w:hAnsi="宋体"/>
              </w:rPr>
              <w:t>0.5</w:t>
            </w:r>
          </w:p>
        </w:tc>
      </w:tr>
      <w:tr w14:paraId="755C7A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04D024FD">
            <w:pPr>
              <w:pStyle w:val="12"/>
              <w:jc w:val="center"/>
              <w:rPr>
                <w:rFonts w:ascii="宋体" w:hAnsi="宋体"/>
              </w:rPr>
            </w:pPr>
            <w:r>
              <w:rPr>
                <w:rFonts w:ascii="宋体" w:hAnsi="宋体"/>
              </w:rPr>
              <w:t>1999</w:t>
            </w:r>
          </w:p>
        </w:tc>
        <w:tc>
          <w:tcPr>
            <w:tcW w:w="625" w:type="pct"/>
            <w:vAlign w:val="center"/>
          </w:tcPr>
          <w:p w14:paraId="0340B494">
            <w:pPr>
              <w:pStyle w:val="12"/>
              <w:jc w:val="center"/>
              <w:rPr>
                <w:rFonts w:ascii="宋体" w:hAnsi="宋体"/>
              </w:rPr>
            </w:pPr>
            <w:r>
              <w:rPr>
                <w:rFonts w:ascii="宋体" w:hAnsi="宋体"/>
              </w:rPr>
              <w:t>3752404</w:t>
            </w:r>
          </w:p>
        </w:tc>
        <w:tc>
          <w:tcPr>
            <w:tcW w:w="625" w:type="pct"/>
            <w:vAlign w:val="center"/>
          </w:tcPr>
          <w:p w14:paraId="6FA17D8E">
            <w:pPr>
              <w:pStyle w:val="12"/>
              <w:jc w:val="center"/>
              <w:rPr>
                <w:rFonts w:ascii="宋体" w:hAnsi="宋体"/>
              </w:rPr>
            </w:pPr>
            <w:r>
              <w:rPr>
                <w:rFonts w:ascii="宋体" w:hAnsi="宋体"/>
              </w:rPr>
              <w:t>1937376</w:t>
            </w:r>
          </w:p>
        </w:tc>
        <w:tc>
          <w:tcPr>
            <w:tcW w:w="625" w:type="pct"/>
            <w:vAlign w:val="center"/>
          </w:tcPr>
          <w:p w14:paraId="04E38BF0">
            <w:pPr>
              <w:pStyle w:val="12"/>
              <w:jc w:val="center"/>
              <w:rPr>
                <w:rFonts w:ascii="宋体" w:hAnsi="宋体"/>
              </w:rPr>
            </w:pPr>
            <w:r>
              <w:rPr>
                <w:rFonts w:ascii="宋体" w:hAnsi="宋体"/>
              </w:rPr>
              <w:t>51.7</w:t>
            </w:r>
          </w:p>
        </w:tc>
        <w:tc>
          <w:tcPr>
            <w:tcW w:w="625" w:type="pct"/>
            <w:vAlign w:val="center"/>
          </w:tcPr>
          <w:p w14:paraId="3B902B19">
            <w:pPr>
              <w:pStyle w:val="12"/>
              <w:jc w:val="center"/>
              <w:rPr>
                <w:rFonts w:ascii="宋体" w:hAnsi="宋体"/>
              </w:rPr>
            </w:pPr>
            <w:r>
              <w:rPr>
                <w:rFonts w:ascii="宋体" w:hAnsi="宋体"/>
              </w:rPr>
              <w:t>1792954</w:t>
            </w:r>
          </w:p>
        </w:tc>
        <w:tc>
          <w:tcPr>
            <w:tcW w:w="625" w:type="pct"/>
            <w:vAlign w:val="center"/>
          </w:tcPr>
          <w:p w14:paraId="467D57B8">
            <w:pPr>
              <w:pStyle w:val="12"/>
              <w:jc w:val="center"/>
              <w:rPr>
                <w:rFonts w:ascii="宋体" w:hAnsi="宋体"/>
              </w:rPr>
            </w:pPr>
            <w:r>
              <w:rPr>
                <w:rFonts w:ascii="宋体" w:hAnsi="宋体"/>
              </w:rPr>
              <w:t>47.7</w:t>
            </w:r>
          </w:p>
        </w:tc>
        <w:tc>
          <w:tcPr>
            <w:tcW w:w="625" w:type="pct"/>
            <w:vAlign w:val="center"/>
          </w:tcPr>
          <w:p w14:paraId="673BEEE5">
            <w:pPr>
              <w:pStyle w:val="12"/>
              <w:jc w:val="center"/>
              <w:rPr>
                <w:rFonts w:ascii="宋体" w:hAnsi="宋体"/>
              </w:rPr>
            </w:pPr>
            <w:r>
              <w:rPr>
                <w:rFonts w:ascii="宋体" w:hAnsi="宋体"/>
              </w:rPr>
              <w:t>22074</w:t>
            </w:r>
          </w:p>
        </w:tc>
        <w:tc>
          <w:tcPr>
            <w:tcW w:w="625" w:type="pct"/>
            <w:vAlign w:val="center"/>
          </w:tcPr>
          <w:p w14:paraId="494E3456">
            <w:pPr>
              <w:pStyle w:val="12"/>
              <w:jc w:val="center"/>
              <w:rPr>
                <w:rFonts w:ascii="宋体" w:hAnsi="宋体"/>
              </w:rPr>
            </w:pPr>
            <w:r>
              <w:rPr>
                <w:rFonts w:ascii="宋体" w:hAnsi="宋体"/>
              </w:rPr>
              <w:t>0.6</w:t>
            </w:r>
          </w:p>
        </w:tc>
      </w:tr>
      <w:tr w14:paraId="3C81E8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4DA65E7A">
            <w:pPr>
              <w:pStyle w:val="12"/>
              <w:jc w:val="center"/>
              <w:rPr>
                <w:rFonts w:ascii="宋体" w:hAnsi="宋体"/>
              </w:rPr>
            </w:pPr>
            <w:r>
              <w:rPr>
                <w:rFonts w:ascii="宋体" w:hAnsi="宋体"/>
              </w:rPr>
              <w:t>2000</w:t>
            </w:r>
          </w:p>
        </w:tc>
        <w:tc>
          <w:tcPr>
            <w:tcW w:w="625" w:type="pct"/>
            <w:vAlign w:val="center"/>
          </w:tcPr>
          <w:p w14:paraId="01B20232">
            <w:pPr>
              <w:pStyle w:val="12"/>
              <w:jc w:val="center"/>
              <w:rPr>
                <w:rFonts w:ascii="宋体" w:hAnsi="宋体"/>
              </w:rPr>
            </w:pPr>
            <w:r>
              <w:rPr>
                <w:rFonts w:ascii="宋体" w:hAnsi="宋体"/>
              </w:rPr>
              <w:t>4013522</w:t>
            </w:r>
          </w:p>
        </w:tc>
        <w:tc>
          <w:tcPr>
            <w:tcW w:w="625" w:type="pct"/>
            <w:vAlign w:val="center"/>
          </w:tcPr>
          <w:p w14:paraId="62E69169">
            <w:pPr>
              <w:pStyle w:val="12"/>
              <w:jc w:val="center"/>
              <w:rPr>
                <w:rFonts w:ascii="宋体" w:hAnsi="宋体"/>
              </w:rPr>
            </w:pPr>
            <w:r>
              <w:rPr>
                <w:rFonts w:ascii="宋体" w:hAnsi="宋体"/>
              </w:rPr>
              <w:t>2049822</w:t>
            </w:r>
          </w:p>
        </w:tc>
        <w:tc>
          <w:tcPr>
            <w:tcW w:w="625" w:type="pct"/>
            <w:vAlign w:val="center"/>
          </w:tcPr>
          <w:p w14:paraId="0B46159B">
            <w:pPr>
              <w:pStyle w:val="12"/>
              <w:jc w:val="center"/>
              <w:rPr>
                <w:rFonts w:ascii="宋体" w:hAnsi="宋体"/>
              </w:rPr>
            </w:pPr>
            <w:r>
              <w:rPr>
                <w:rFonts w:ascii="宋体" w:hAnsi="宋体"/>
              </w:rPr>
              <w:t>51.1</w:t>
            </w:r>
          </w:p>
        </w:tc>
        <w:tc>
          <w:tcPr>
            <w:tcW w:w="625" w:type="pct"/>
            <w:vAlign w:val="center"/>
          </w:tcPr>
          <w:p w14:paraId="3E890474">
            <w:pPr>
              <w:pStyle w:val="12"/>
              <w:jc w:val="center"/>
              <w:rPr>
                <w:rFonts w:ascii="宋体" w:hAnsi="宋体"/>
              </w:rPr>
            </w:pPr>
            <w:r>
              <w:rPr>
                <w:rFonts w:ascii="宋体" w:hAnsi="宋体"/>
              </w:rPr>
              <w:t>1934386</w:t>
            </w:r>
          </w:p>
        </w:tc>
        <w:tc>
          <w:tcPr>
            <w:tcW w:w="625" w:type="pct"/>
            <w:vAlign w:val="center"/>
          </w:tcPr>
          <w:p w14:paraId="3AE83829">
            <w:pPr>
              <w:pStyle w:val="12"/>
              <w:jc w:val="center"/>
              <w:rPr>
                <w:rFonts w:ascii="宋体" w:hAnsi="宋体"/>
              </w:rPr>
            </w:pPr>
            <w:r>
              <w:rPr>
                <w:rFonts w:ascii="宋体" w:hAnsi="宋体"/>
              </w:rPr>
              <w:t>48.2</w:t>
            </w:r>
          </w:p>
        </w:tc>
        <w:tc>
          <w:tcPr>
            <w:tcW w:w="625" w:type="pct"/>
            <w:vAlign w:val="center"/>
          </w:tcPr>
          <w:p w14:paraId="38CD5EED">
            <w:pPr>
              <w:pStyle w:val="12"/>
              <w:jc w:val="center"/>
              <w:rPr>
                <w:rFonts w:ascii="宋体" w:hAnsi="宋体"/>
              </w:rPr>
            </w:pPr>
            <w:r>
              <w:rPr>
                <w:rFonts w:ascii="宋体" w:hAnsi="宋体"/>
              </w:rPr>
              <w:t>29314</w:t>
            </w:r>
          </w:p>
        </w:tc>
        <w:tc>
          <w:tcPr>
            <w:tcW w:w="625" w:type="pct"/>
            <w:vAlign w:val="center"/>
          </w:tcPr>
          <w:p w14:paraId="2CC32E75">
            <w:pPr>
              <w:pStyle w:val="12"/>
              <w:jc w:val="center"/>
              <w:rPr>
                <w:rFonts w:ascii="宋体" w:hAnsi="宋体"/>
              </w:rPr>
            </w:pPr>
            <w:r>
              <w:rPr>
                <w:rFonts w:ascii="宋体" w:hAnsi="宋体"/>
              </w:rPr>
              <w:t>0.7</w:t>
            </w:r>
          </w:p>
        </w:tc>
      </w:tr>
      <w:tr w14:paraId="0180D2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7AE86857">
            <w:pPr>
              <w:pStyle w:val="12"/>
              <w:jc w:val="center"/>
              <w:rPr>
                <w:rFonts w:ascii="宋体" w:hAnsi="宋体"/>
              </w:rPr>
            </w:pPr>
            <w:r>
              <w:rPr>
                <w:rFonts w:ascii="宋体" w:hAnsi="宋体"/>
              </w:rPr>
              <w:t>2001</w:t>
            </w:r>
          </w:p>
        </w:tc>
        <w:tc>
          <w:tcPr>
            <w:tcW w:w="625" w:type="pct"/>
            <w:vAlign w:val="center"/>
          </w:tcPr>
          <w:p w14:paraId="68B8F448">
            <w:pPr>
              <w:pStyle w:val="12"/>
              <w:jc w:val="center"/>
              <w:rPr>
                <w:rFonts w:ascii="宋体" w:hAnsi="宋体"/>
              </w:rPr>
            </w:pPr>
            <w:r>
              <w:rPr>
                <w:rFonts w:ascii="宋体" w:hAnsi="宋体"/>
              </w:rPr>
              <w:t>4425920</w:t>
            </w:r>
          </w:p>
        </w:tc>
        <w:tc>
          <w:tcPr>
            <w:tcW w:w="625" w:type="pct"/>
            <w:vAlign w:val="center"/>
          </w:tcPr>
          <w:p w14:paraId="49252FAF">
            <w:pPr>
              <w:pStyle w:val="12"/>
              <w:jc w:val="center"/>
              <w:rPr>
                <w:rFonts w:ascii="宋体" w:hAnsi="宋体"/>
              </w:rPr>
            </w:pPr>
            <w:r>
              <w:rPr>
                <w:rFonts w:ascii="宋体" w:hAnsi="宋体"/>
              </w:rPr>
              <w:t>2457178</w:t>
            </w:r>
          </w:p>
        </w:tc>
        <w:tc>
          <w:tcPr>
            <w:tcW w:w="625" w:type="pct"/>
            <w:vAlign w:val="center"/>
          </w:tcPr>
          <w:p w14:paraId="276B6D74">
            <w:pPr>
              <w:pStyle w:val="12"/>
              <w:jc w:val="center"/>
              <w:rPr>
                <w:rFonts w:ascii="宋体" w:hAnsi="宋体"/>
              </w:rPr>
            </w:pPr>
            <w:r>
              <w:rPr>
                <w:rFonts w:ascii="宋体" w:hAnsi="宋体"/>
              </w:rPr>
              <w:t>55.5</w:t>
            </w:r>
          </w:p>
        </w:tc>
        <w:tc>
          <w:tcPr>
            <w:tcW w:w="625" w:type="pct"/>
            <w:vAlign w:val="center"/>
          </w:tcPr>
          <w:p w14:paraId="1B2537EC">
            <w:pPr>
              <w:pStyle w:val="12"/>
              <w:jc w:val="center"/>
              <w:rPr>
                <w:rFonts w:ascii="宋体" w:hAnsi="宋体"/>
              </w:rPr>
            </w:pPr>
            <w:r>
              <w:rPr>
                <w:rFonts w:ascii="宋体" w:hAnsi="宋体"/>
              </w:rPr>
              <w:t>1916439</w:t>
            </w:r>
          </w:p>
        </w:tc>
        <w:tc>
          <w:tcPr>
            <w:tcW w:w="625" w:type="pct"/>
            <w:vAlign w:val="center"/>
          </w:tcPr>
          <w:p w14:paraId="4E45E02D">
            <w:pPr>
              <w:pStyle w:val="12"/>
              <w:jc w:val="center"/>
              <w:rPr>
                <w:rFonts w:ascii="宋体" w:hAnsi="宋体"/>
              </w:rPr>
            </w:pPr>
            <w:r>
              <w:rPr>
                <w:rFonts w:ascii="宋体" w:hAnsi="宋体"/>
              </w:rPr>
              <w:t>43.3</w:t>
            </w:r>
          </w:p>
        </w:tc>
        <w:tc>
          <w:tcPr>
            <w:tcW w:w="625" w:type="pct"/>
            <w:vAlign w:val="center"/>
          </w:tcPr>
          <w:p w14:paraId="7EAA41E2">
            <w:pPr>
              <w:pStyle w:val="12"/>
              <w:jc w:val="center"/>
              <w:rPr>
                <w:rFonts w:ascii="宋体" w:hAnsi="宋体"/>
              </w:rPr>
            </w:pPr>
            <w:r>
              <w:rPr>
                <w:rFonts w:ascii="宋体" w:hAnsi="宋体"/>
              </w:rPr>
              <w:t>52302</w:t>
            </w:r>
          </w:p>
        </w:tc>
        <w:tc>
          <w:tcPr>
            <w:tcW w:w="625" w:type="pct"/>
            <w:vAlign w:val="center"/>
          </w:tcPr>
          <w:p w14:paraId="501A227D">
            <w:pPr>
              <w:pStyle w:val="12"/>
              <w:jc w:val="center"/>
              <w:rPr>
                <w:rFonts w:ascii="宋体" w:hAnsi="宋体"/>
              </w:rPr>
            </w:pPr>
            <w:r>
              <w:rPr>
                <w:rFonts w:ascii="宋体" w:hAnsi="宋体"/>
              </w:rPr>
              <w:t>1.2</w:t>
            </w:r>
          </w:p>
        </w:tc>
      </w:tr>
      <w:tr w14:paraId="232ABD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13D86129">
            <w:pPr>
              <w:pStyle w:val="12"/>
              <w:jc w:val="center"/>
              <w:rPr>
                <w:rFonts w:ascii="宋体" w:hAnsi="宋体"/>
              </w:rPr>
            </w:pPr>
            <w:r>
              <w:rPr>
                <w:rFonts w:ascii="宋体" w:hAnsi="宋体"/>
              </w:rPr>
              <w:t>2002</w:t>
            </w:r>
          </w:p>
        </w:tc>
        <w:tc>
          <w:tcPr>
            <w:tcW w:w="625" w:type="pct"/>
            <w:vAlign w:val="center"/>
          </w:tcPr>
          <w:p w14:paraId="0DB022A8">
            <w:pPr>
              <w:pStyle w:val="12"/>
              <w:jc w:val="center"/>
              <w:rPr>
                <w:rFonts w:ascii="宋体" w:hAnsi="宋体"/>
              </w:rPr>
            </w:pPr>
            <w:r>
              <w:rPr>
                <w:rFonts w:ascii="宋体" w:hAnsi="宋体"/>
              </w:rPr>
              <w:t>4804949</w:t>
            </w:r>
          </w:p>
        </w:tc>
        <w:tc>
          <w:tcPr>
            <w:tcW w:w="625" w:type="pct"/>
            <w:vAlign w:val="center"/>
          </w:tcPr>
          <w:p w14:paraId="0F74FF75">
            <w:pPr>
              <w:pStyle w:val="12"/>
              <w:jc w:val="center"/>
              <w:rPr>
                <w:rFonts w:ascii="宋体" w:hAnsi="宋体"/>
              </w:rPr>
            </w:pPr>
            <w:r>
              <w:rPr>
                <w:rFonts w:ascii="宋体" w:hAnsi="宋体"/>
              </w:rPr>
              <w:t>2659519</w:t>
            </w:r>
          </w:p>
        </w:tc>
        <w:tc>
          <w:tcPr>
            <w:tcW w:w="625" w:type="pct"/>
            <w:vAlign w:val="center"/>
          </w:tcPr>
          <w:p w14:paraId="275CDBBD">
            <w:pPr>
              <w:pStyle w:val="12"/>
              <w:jc w:val="center"/>
              <w:rPr>
                <w:rFonts w:ascii="宋体" w:hAnsi="宋体"/>
              </w:rPr>
            </w:pPr>
            <w:r>
              <w:rPr>
                <w:rFonts w:ascii="宋体" w:hAnsi="宋体"/>
              </w:rPr>
              <w:t>55.4</w:t>
            </w:r>
          </w:p>
        </w:tc>
        <w:tc>
          <w:tcPr>
            <w:tcW w:w="625" w:type="pct"/>
            <w:vAlign w:val="center"/>
          </w:tcPr>
          <w:p w14:paraId="0C8EEFD2">
            <w:pPr>
              <w:pStyle w:val="12"/>
              <w:jc w:val="center"/>
              <w:rPr>
                <w:rFonts w:ascii="宋体" w:hAnsi="宋体"/>
              </w:rPr>
            </w:pPr>
            <w:r>
              <w:rPr>
                <w:rFonts w:ascii="宋体" w:hAnsi="宋体"/>
              </w:rPr>
              <w:t>2091974</w:t>
            </w:r>
          </w:p>
        </w:tc>
        <w:tc>
          <w:tcPr>
            <w:tcW w:w="625" w:type="pct"/>
            <w:vAlign w:val="center"/>
          </w:tcPr>
          <w:p w14:paraId="71B03700">
            <w:pPr>
              <w:pStyle w:val="12"/>
              <w:jc w:val="center"/>
              <w:rPr>
                <w:rFonts w:ascii="宋体" w:hAnsi="宋体"/>
              </w:rPr>
            </w:pPr>
            <w:r>
              <w:rPr>
                <w:rFonts w:ascii="宋体" w:hAnsi="宋体"/>
              </w:rPr>
              <w:t>43.5</w:t>
            </w:r>
          </w:p>
        </w:tc>
        <w:tc>
          <w:tcPr>
            <w:tcW w:w="625" w:type="pct"/>
            <w:vAlign w:val="center"/>
          </w:tcPr>
          <w:p w14:paraId="61A7EF37">
            <w:pPr>
              <w:pStyle w:val="12"/>
              <w:jc w:val="center"/>
              <w:rPr>
                <w:rFonts w:ascii="宋体" w:hAnsi="宋体"/>
              </w:rPr>
            </w:pPr>
            <w:r>
              <w:rPr>
                <w:rFonts w:ascii="宋体" w:hAnsi="宋体"/>
              </w:rPr>
              <w:t>53456</w:t>
            </w:r>
          </w:p>
        </w:tc>
        <w:tc>
          <w:tcPr>
            <w:tcW w:w="625" w:type="pct"/>
            <w:vAlign w:val="center"/>
          </w:tcPr>
          <w:p w14:paraId="14924552">
            <w:pPr>
              <w:pStyle w:val="12"/>
              <w:jc w:val="center"/>
              <w:rPr>
                <w:rFonts w:ascii="宋体" w:hAnsi="宋体"/>
              </w:rPr>
            </w:pPr>
            <w:r>
              <w:rPr>
                <w:rFonts w:ascii="宋体" w:hAnsi="宋体"/>
              </w:rPr>
              <w:t>1.1</w:t>
            </w:r>
          </w:p>
        </w:tc>
      </w:tr>
      <w:tr w14:paraId="70ECC53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40985B66">
            <w:pPr>
              <w:pStyle w:val="12"/>
              <w:jc w:val="center"/>
              <w:rPr>
                <w:rFonts w:ascii="宋体" w:hAnsi="宋体"/>
              </w:rPr>
            </w:pPr>
            <w:r>
              <w:rPr>
                <w:rFonts w:ascii="宋体" w:hAnsi="宋体"/>
              </w:rPr>
              <w:t>2003</w:t>
            </w:r>
          </w:p>
        </w:tc>
        <w:tc>
          <w:tcPr>
            <w:tcW w:w="625" w:type="pct"/>
            <w:vAlign w:val="center"/>
          </w:tcPr>
          <w:p w14:paraId="02F668E7">
            <w:pPr>
              <w:pStyle w:val="12"/>
              <w:jc w:val="center"/>
              <w:rPr>
                <w:rFonts w:ascii="宋体" w:hAnsi="宋体"/>
              </w:rPr>
            </w:pPr>
            <w:r>
              <w:rPr>
                <w:rFonts w:ascii="宋体" w:hAnsi="宋体"/>
              </w:rPr>
              <w:t>6110526</w:t>
            </w:r>
          </w:p>
        </w:tc>
        <w:tc>
          <w:tcPr>
            <w:tcW w:w="625" w:type="pct"/>
            <w:vAlign w:val="center"/>
          </w:tcPr>
          <w:p w14:paraId="47765D3F">
            <w:pPr>
              <w:pStyle w:val="12"/>
              <w:jc w:val="center"/>
              <w:rPr>
                <w:rFonts w:ascii="宋体" w:hAnsi="宋体"/>
              </w:rPr>
            </w:pPr>
            <w:r>
              <w:rPr>
                <w:rFonts w:ascii="宋体" w:hAnsi="宋体"/>
              </w:rPr>
              <w:t>3521069</w:t>
            </w:r>
          </w:p>
        </w:tc>
        <w:tc>
          <w:tcPr>
            <w:tcW w:w="625" w:type="pct"/>
            <w:vAlign w:val="center"/>
          </w:tcPr>
          <w:p w14:paraId="1AA11189">
            <w:pPr>
              <w:pStyle w:val="12"/>
              <w:jc w:val="center"/>
              <w:rPr>
                <w:rFonts w:ascii="宋体" w:hAnsi="宋体"/>
              </w:rPr>
            </w:pPr>
            <w:r>
              <w:rPr>
                <w:rFonts w:ascii="宋体" w:hAnsi="宋体"/>
              </w:rPr>
              <w:t>57.6</w:t>
            </w:r>
          </w:p>
        </w:tc>
        <w:tc>
          <w:tcPr>
            <w:tcW w:w="625" w:type="pct"/>
            <w:vAlign w:val="center"/>
          </w:tcPr>
          <w:p w14:paraId="74020E68">
            <w:pPr>
              <w:pStyle w:val="12"/>
              <w:jc w:val="center"/>
              <w:rPr>
                <w:rFonts w:ascii="宋体" w:hAnsi="宋体"/>
              </w:rPr>
            </w:pPr>
            <w:r>
              <w:rPr>
                <w:rFonts w:ascii="宋体" w:hAnsi="宋体"/>
              </w:rPr>
              <w:t>2539557</w:t>
            </w:r>
          </w:p>
        </w:tc>
        <w:tc>
          <w:tcPr>
            <w:tcW w:w="625" w:type="pct"/>
            <w:vAlign w:val="center"/>
          </w:tcPr>
          <w:p w14:paraId="6614A969">
            <w:pPr>
              <w:pStyle w:val="12"/>
              <w:jc w:val="center"/>
              <w:rPr>
                <w:rFonts w:ascii="宋体" w:hAnsi="宋体"/>
              </w:rPr>
            </w:pPr>
            <w:r>
              <w:rPr>
                <w:rFonts w:ascii="宋体" w:hAnsi="宋体"/>
              </w:rPr>
              <w:t>41.6</w:t>
            </w:r>
          </w:p>
        </w:tc>
        <w:tc>
          <w:tcPr>
            <w:tcW w:w="625" w:type="pct"/>
            <w:vAlign w:val="center"/>
          </w:tcPr>
          <w:p w14:paraId="66363774">
            <w:pPr>
              <w:pStyle w:val="12"/>
              <w:jc w:val="center"/>
              <w:rPr>
                <w:rFonts w:ascii="宋体" w:hAnsi="宋体"/>
              </w:rPr>
            </w:pPr>
            <w:r>
              <w:rPr>
                <w:rFonts w:ascii="宋体" w:hAnsi="宋体"/>
              </w:rPr>
              <w:t>49900</w:t>
            </w:r>
          </w:p>
        </w:tc>
        <w:tc>
          <w:tcPr>
            <w:tcW w:w="625" w:type="pct"/>
            <w:vAlign w:val="center"/>
          </w:tcPr>
          <w:p w14:paraId="33276E99">
            <w:pPr>
              <w:pStyle w:val="12"/>
              <w:jc w:val="center"/>
              <w:rPr>
                <w:rFonts w:ascii="宋体" w:hAnsi="宋体"/>
              </w:rPr>
            </w:pPr>
            <w:r>
              <w:rPr>
                <w:rFonts w:ascii="宋体" w:hAnsi="宋体"/>
              </w:rPr>
              <w:t>0.8</w:t>
            </w:r>
          </w:p>
        </w:tc>
      </w:tr>
      <w:tr w14:paraId="7816EC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306C123A">
            <w:pPr>
              <w:pStyle w:val="12"/>
              <w:jc w:val="center"/>
              <w:rPr>
                <w:rFonts w:ascii="宋体" w:hAnsi="宋体"/>
              </w:rPr>
            </w:pPr>
            <w:r>
              <w:rPr>
                <w:rFonts w:ascii="宋体" w:hAnsi="宋体"/>
              </w:rPr>
              <w:t>2004</w:t>
            </w:r>
          </w:p>
        </w:tc>
        <w:tc>
          <w:tcPr>
            <w:tcW w:w="625" w:type="pct"/>
            <w:vAlign w:val="center"/>
          </w:tcPr>
          <w:p w14:paraId="0781DF38">
            <w:pPr>
              <w:pStyle w:val="12"/>
              <w:jc w:val="center"/>
              <w:rPr>
                <w:rFonts w:ascii="宋体" w:hAnsi="宋体"/>
              </w:rPr>
            </w:pPr>
            <w:r>
              <w:rPr>
                <w:rFonts w:ascii="宋体" w:hAnsi="宋体"/>
              </w:rPr>
              <w:t>6347121</w:t>
            </w:r>
          </w:p>
        </w:tc>
        <w:tc>
          <w:tcPr>
            <w:tcW w:w="625" w:type="pct"/>
            <w:vAlign w:val="center"/>
          </w:tcPr>
          <w:p w14:paraId="1FBC4666">
            <w:pPr>
              <w:pStyle w:val="12"/>
              <w:jc w:val="center"/>
              <w:rPr>
                <w:rFonts w:ascii="宋体" w:hAnsi="宋体"/>
              </w:rPr>
            </w:pPr>
            <w:r>
              <w:rPr>
                <w:rFonts w:ascii="宋体" w:hAnsi="宋体"/>
              </w:rPr>
              <w:t>3886085</w:t>
            </w:r>
          </w:p>
        </w:tc>
        <w:tc>
          <w:tcPr>
            <w:tcW w:w="625" w:type="pct"/>
            <w:vAlign w:val="center"/>
          </w:tcPr>
          <w:p w14:paraId="591C3E02">
            <w:pPr>
              <w:pStyle w:val="12"/>
              <w:jc w:val="center"/>
              <w:rPr>
                <w:rFonts w:ascii="宋体" w:hAnsi="宋体"/>
              </w:rPr>
            </w:pPr>
            <w:r>
              <w:rPr>
                <w:rFonts w:ascii="宋体" w:hAnsi="宋体"/>
              </w:rPr>
              <w:t>61.2</w:t>
            </w:r>
          </w:p>
        </w:tc>
        <w:tc>
          <w:tcPr>
            <w:tcW w:w="625" w:type="pct"/>
            <w:vAlign w:val="center"/>
          </w:tcPr>
          <w:p w14:paraId="14F42909">
            <w:pPr>
              <w:pStyle w:val="12"/>
              <w:jc w:val="center"/>
              <w:rPr>
                <w:rFonts w:ascii="宋体" w:hAnsi="宋体"/>
              </w:rPr>
            </w:pPr>
            <w:r>
              <w:rPr>
                <w:rFonts w:ascii="宋体" w:hAnsi="宋体"/>
              </w:rPr>
              <w:t>2417658</w:t>
            </w:r>
          </w:p>
        </w:tc>
        <w:tc>
          <w:tcPr>
            <w:tcW w:w="625" w:type="pct"/>
            <w:vAlign w:val="center"/>
          </w:tcPr>
          <w:p w14:paraId="6DC9EBF9">
            <w:pPr>
              <w:pStyle w:val="12"/>
              <w:jc w:val="center"/>
              <w:rPr>
                <w:rFonts w:ascii="宋体" w:hAnsi="宋体"/>
              </w:rPr>
            </w:pPr>
            <w:r>
              <w:rPr>
                <w:rFonts w:ascii="宋体" w:hAnsi="宋体"/>
              </w:rPr>
              <w:t>38.1</w:t>
            </w:r>
          </w:p>
        </w:tc>
        <w:tc>
          <w:tcPr>
            <w:tcW w:w="625" w:type="pct"/>
            <w:vAlign w:val="center"/>
          </w:tcPr>
          <w:p w14:paraId="74851568">
            <w:pPr>
              <w:pStyle w:val="12"/>
              <w:jc w:val="center"/>
              <w:rPr>
                <w:rFonts w:ascii="宋体" w:hAnsi="宋体"/>
              </w:rPr>
            </w:pPr>
            <w:r>
              <w:rPr>
                <w:rFonts w:ascii="宋体" w:hAnsi="宋体"/>
              </w:rPr>
              <w:t>43378</w:t>
            </w:r>
          </w:p>
        </w:tc>
        <w:tc>
          <w:tcPr>
            <w:tcW w:w="625" w:type="pct"/>
            <w:vAlign w:val="center"/>
          </w:tcPr>
          <w:p w14:paraId="24DBF929">
            <w:pPr>
              <w:pStyle w:val="12"/>
              <w:jc w:val="center"/>
              <w:rPr>
                <w:rFonts w:ascii="宋体" w:hAnsi="宋体"/>
              </w:rPr>
            </w:pPr>
            <w:r>
              <w:rPr>
                <w:rFonts w:ascii="宋体" w:hAnsi="宋体"/>
              </w:rPr>
              <w:t>0.7</w:t>
            </w:r>
          </w:p>
        </w:tc>
      </w:tr>
    </w:tbl>
    <w:p w14:paraId="6157E673">
      <w:pPr>
        <w:pStyle w:val="5"/>
        <w:rPr>
          <w:rFonts w:ascii="宋体" w:hAnsi="宋体"/>
        </w:rPr>
      </w:pPr>
      <w:r>
        <w:rPr>
          <w:rFonts w:hint="eastAsia" w:ascii="宋体" w:hAnsi="宋体"/>
        </w:rPr>
        <w:t>三、其他经济动物饲养</w:t>
      </w:r>
    </w:p>
    <w:p w14:paraId="1124B9D1">
      <w:pPr>
        <w:ind w:firstLine="422"/>
        <w:rPr>
          <w:rFonts w:ascii="宋体" w:hAnsi="宋体"/>
          <w:b/>
          <w:szCs w:val="21"/>
        </w:rPr>
      </w:pPr>
      <w:r>
        <w:rPr>
          <w:rFonts w:hint="eastAsia" w:ascii="宋体" w:hAnsi="宋体"/>
          <w:b/>
          <w:szCs w:val="21"/>
        </w:rPr>
        <w:t>（一）兔</w:t>
      </w:r>
    </w:p>
    <w:p w14:paraId="2A8C4995">
      <w:pPr>
        <w:ind w:firstLine="420"/>
        <w:rPr>
          <w:rFonts w:ascii="宋体" w:hAnsi="宋体"/>
          <w:szCs w:val="21"/>
        </w:rPr>
      </w:pPr>
      <w:r>
        <w:rPr>
          <w:rFonts w:hint="eastAsia" w:ascii="宋体" w:hAnsi="宋体"/>
          <w:szCs w:val="21"/>
        </w:rPr>
        <w:t>历来有少数农户零星饲养本地草兔，</w:t>
      </w:r>
      <w:r>
        <w:rPr>
          <w:rFonts w:ascii="宋体" w:hAnsi="宋体"/>
          <w:szCs w:val="21"/>
        </w:rPr>
        <w:t>1959年引进勒克斯兔，1966年引进安哥拉</w:t>
      </w:r>
      <w:r>
        <w:rPr>
          <w:rFonts w:hint="eastAsia" w:ascii="宋体" w:hAnsi="宋体"/>
          <w:szCs w:val="21"/>
        </w:rPr>
        <w:t>兔，均饲养不多。</w:t>
      </w:r>
      <w:r>
        <w:rPr>
          <w:rFonts w:ascii="宋体" w:hAnsi="宋体"/>
          <w:szCs w:val="21"/>
        </w:rPr>
        <w:t>1980年后，兔毛价格上涨，引进西德长毛兔，1985年饲养毛兔14784只。1986年增至35000只，而兔毛价格大跌，销售困难。1987年全县大杀毛</w:t>
      </w:r>
      <w:r>
        <w:rPr>
          <w:rFonts w:hint="eastAsia" w:ascii="宋体" w:hAnsi="宋体"/>
          <w:szCs w:val="21"/>
        </w:rPr>
        <w:t>兔。此后又回到零散饲养肉用草兔状态。</w:t>
      </w:r>
    </w:p>
    <w:p w14:paraId="50F4CDE8">
      <w:pPr>
        <w:ind w:firstLine="422"/>
        <w:rPr>
          <w:rFonts w:ascii="宋体" w:hAnsi="宋体"/>
          <w:b/>
          <w:szCs w:val="21"/>
        </w:rPr>
      </w:pPr>
      <w:r>
        <w:rPr>
          <w:rFonts w:hint="eastAsia" w:ascii="宋体" w:hAnsi="宋体"/>
          <w:b/>
          <w:szCs w:val="21"/>
        </w:rPr>
        <w:t>（二）鸽</w:t>
      </w:r>
    </w:p>
    <w:p w14:paraId="144CC2DA">
      <w:pPr>
        <w:ind w:firstLine="420"/>
        <w:rPr>
          <w:rFonts w:ascii="宋体" w:hAnsi="宋体"/>
          <w:szCs w:val="21"/>
        </w:rPr>
      </w:pPr>
      <w:r>
        <w:rPr>
          <w:rFonts w:hint="eastAsia" w:ascii="宋体" w:hAnsi="宋体"/>
          <w:szCs w:val="21"/>
        </w:rPr>
        <w:t>少数农户有饲养本地飞鸽习惯。</w:t>
      </w:r>
      <w:r>
        <w:rPr>
          <w:rFonts w:ascii="宋体" w:hAnsi="宋体"/>
          <w:szCs w:val="21"/>
        </w:rPr>
        <w:t>1980年以后有人引进美国皇鸽，因当地销路不</w:t>
      </w:r>
      <w:r>
        <w:rPr>
          <w:rFonts w:hint="eastAsia" w:ascii="宋体" w:hAnsi="宋体"/>
          <w:szCs w:val="21"/>
        </w:rPr>
        <w:t>旺，获利少，饲养者不多。</w:t>
      </w:r>
    </w:p>
    <w:p w14:paraId="0B6D0269">
      <w:pPr>
        <w:ind w:firstLine="422"/>
        <w:rPr>
          <w:rFonts w:ascii="宋体" w:hAnsi="宋体"/>
          <w:b/>
          <w:szCs w:val="21"/>
        </w:rPr>
      </w:pPr>
      <w:r>
        <w:rPr>
          <w:rFonts w:hint="eastAsia" w:ascii="宋体" w:hAnsi="宋体"/>
          <w:b/>
          <w:szCs w:val="21"/>
        </w:rPr>
        <w:t>（三）鹌鹑</w:t>
      </w:r>
    </w:p>
    <w:p w14:paraId="5A4EFEC1">
      <w:pPr>
        <w:ind w:firstLine="420"/>
        <w:rPr>
          <w:rFonts w:ascii="宋体" w:hAnsi="宋体"/>
          <w:szCs w:val="21"/>
        </w:rPr>
      </w:pPr>
      <w:r>
        <w:rPr>
          <w:rFonts w:ascii="宋体" w:hAnsi="宋体"/>
          <w:szCs w:val="21"/>
        </w:rPr>
        <w:t>1980年后引进饲养，以产蛋出售获利，主要供应酒楼筵宴之用，饲养量不多</w:t>
      </w:r>
      <w:r>
        <w:rPr>
          <w:rFonts w:hint="eastAsia" w:ascii="宋体" w:hAnsi="宋体"/>
          <w:szCs w:val="21"/>
        </w:rPr>
        <w:t>。</w:t>
      </w:r>
    </w:p>
    <w:p w14:paraId="11832666">
      <w:pPr>
        <w:ind w:firstLine="422"/>
        <w:rPr>
          <w:rFonts w:ascii="宋体" w:hAnsi="宋体"/>
          <w:b/>
          <w:szCs w:val="21"/>
        </w:rPr>
      </w:pPr>
      <w:r>
        <w:rPr>
          <w:rFonts w:hint="eastAsia" w:ascii="宋体" w:hAnsi="宋体"/>
          <w:b/>
          <w:szCs w:val="21"/>
        </w:rPr>
        <w:t>（四）鹿、鸵鸟</w:t>
      </w:r>
    </w:p>
    <w:p w14:paraId="60CA6CC4">
      <w:pPr>
        <w:ind w:firstLine="420"/>
        <w:rPr>
          <w:rFonts w:ascii="宋体" w:hAnsi="宋体"/>
          <w:szCs w:val="21"/>
        </w:rPr>
      </w:pPr>
      <w:r>
        <w:rPr>
          <w:rFonts w:ascii="宋体" w:hAnsi="宋体"/>
          <w:szCs w:val="21"/>
        </w:rPr>
        <w:t>1972年12月，县药品公司从吉林省购入梅花鹿16头，在钟鼓岩办鹿场。1980</w:t>
      </w:r>
      <w:r>
        <w:rPr>
          <w:rFonts w:hint="eastAsia" w:ascii="宋体" w:hAnsi="宋体"/>
          <w:szCs w:val="21"/>
        </w:rPr>
        <w:t>年存栏</w:t>
      </w:r>
      <w:r>
        <w:rPr>
          <w:rFonts w:ascii="宋体" w:hAnsi="宋体"/>
          <w:szCs w:val="21"/>
        </w:rPr>
        <w:t>45头，产茸7.5公斤。因鹿茸销路不旺，饲养量不断减少，2002年存栏14</w:t>
      </w:r>
      <w:r>
        <w:rPr>
          <w:rFonts w:hint="eastAsia" w:ascii="宋体" w:hAnsi="宋体"/>
          <w:szCs w:val="21"/>
        </w:rPr>
        <w:t>头。</w:t>
      </w:r>
    </w:p>
    <w:p w14:paraId="0FF937D1">
      <w:pPr>
        <w:ind w:firstLine="420"/>
        <w:rPr>
          <w:rFonts w:ascii="宋体" w:hAnsi="宋体"/>
          <w:szCs w:val="21"/>
        </w:rPr>
      </w:pPr>
      <w:r>
        <w:rPr>
          <w:rFonts w:hint="eastAsia" w:ascii="宋体" w:hAnsi="宋体"/>
          <w:szCs w:val="21"/>
        </w:rPr>
        <w:t>翠屏公司</w:t>
      </w:r>
      <w:r>
        <w:rPr>
          <w:rFonts w:ascii="宋体" w:hAnsi="宋体"/>
          <w:szCs w:val="21"/>
        </w:rPr>
        <w:t>1995年从三水引进6只鸵鸟，1997年发展至200只。后因销售不旺</w:t>
      </w:r>
      <w:r>
        <w:rPr>
          <w:rFonts w:hint="eastAsia" w:ascii="宋体" w:hAnsi="宋体"/>
          <w:szCs w:val="21"/>
        </w:rPr>
        <w:t>，</w:t>
      </w:r>
      <w:r>
        <w:rPr>
          <w:rFonts w:ascii="宋体" w:hAnsi="宋体"/>
          <w:szCs w:val="21"/>
        </w:rPr>
        <w:t>2002年存栏仅9只，供观赏</w:t>
      </w:r>
      <w:r>
        <w:rPr>
          <w:rFonts w:hint="eastAsia" w:ascii="宋体" w:hAnsi="宋体"/>
          <w:szCs w:val="21"/>
        </w:rPr>
        <w:t>。</w:t>
      </w:r>
    </w:p>
    <w:p w14:paraId="4A7D1814">
      <w:pPr>
        <w:ind w:firstLine="422"/>
        <w:rPr>
          <w:rFonts w:ascii="宋体" w:hAnsi="宋体"/>
          <w:b/>
          <w:szCs w:val="21"/>
        </w:rPr>
      </w:pPr>
      <w:r>
        <w:rPr>
          <w:rFonts w:hint="eastAsia" w:ascii="宋体" w:hAnsi="宋体"/>
          <w:b/>
          <w:szCs w:val="21"/>
        </w:rPr>
        <w:t>（五）蜜蜂</w:t>
      </w:r>
    </w:p>
    <w:p w14:paraId="4310CF95">
      <w:pPr>
        <w:ind w:firstLine="420"/>
        <w:rPr>
          <w:rFonts w:ascii="宋体" w:hAnsi="宋体"/>
          <w:szCs w:val="21"/>
        </w:rPr>
      </w:pPr>
      <w:r>
        <w:rPr>
          <w:rFonts w:hint="eastAsia" w:ascii="宋体" w:hAnsi="宋体"/>
          <w:szCs w:val="21"/>
        </w:rPr>
        <w:t>南雄历来有少数农民捕捉野生蜂群饲养习惯，俗称中华蜜蜂、本地蜂，飞翔能力强，视觉敏锐，能在半径</w:t>
      </w:r>
      <w:r>
        <w:rPr>
          <w:rFonts w:ascii="宋体" w:hAnsi="宋体"/>
          <w:szCs w:val="21"/>
        </w:rPr>
        <w:t>5公里内寻觅花源，故山区饲养较多。在阔叶林为主的山</w:t>
      </w:r>
      <w:r>
        <w:rPr>
          <w:rFonts w:hint="eastAsia" w:ascii="宋体" w:hAnsi="宋体"/>
          <w:szCs w:val="21"/>
        </w:rPr>
        <w:t>区，有自行繁殖</w:t>
      </w:r>
      <w:r>
        <w:rPr>
          <w:rFonts w:ascii="宋体" w:hAnsi="宋体"/>
          <w:szCs w:val="21"/>
        </w:rPr>
        <w:t>10多群的养蜂户。平原农业区因花源少且常受农药毒害，养蜂较少</w:t>
      </w:r>
      <w:r>
        <w:rPr>
          <w:rFonts w:hint="eastAsia" w:ascii="宋体" w:hAnsi="宋体"/>
          <w:szCs w:val="21"/>
        </w:rPr>
        <w:t>。</w:t>
      </w:r>
      <w:r>
        <w:rPr>
          <w:rFonts w:ascii="宋体" w:hAnsi="宋体"/>
          <w:szCs w:val="21"/>
        </w:rPr>
        <w:t>1980年梅岭镇南岭村青年刘志煌引进意大利蜂饲养成功，1986年发展到27箱。该蜂</w:t>
      </w:r>
      <w:r>
        <w:rPr>
          <w:rFonts w:hint="eastAsia" w:ascii="宋体" w:hAnsi="宋体"/>
          <w:szCs w:val="21"/>
        </w:rPr>
        <w:t>个体较大，产蜜量较多，但飞翔觅食能力不如本地蜂。</w:t>
      </w:r>
      <w:r>
        <w:rPr>
          <w:rFonts w:ascii="宋体" w:hAnsi="宋体"/>
          <w:szCs w:val="21"/>
        </w:rPr>
        <w:t>2002年，全市养蜂户640户</w:t>
      </w:r>
      <w:r>
        <w:rPr>
          <w:rFonts w:hint="eastAsia" w:ascii="宋体" w:hAnsi="宋体"/>
          <w:szCs w:val="21"/>
        </w:rPr>
        <w:t>，饲养量</w:t>
      </w:r>
      <w:r>
        <w:rPr>
          <w:rFonts w:ascii="宋体" w:hAnsi="宋体"/>
          <w:szCs w:val="21"/>
        </w:rPr>
        <w:t>3800多箱（群）</w:t>
      </w:r>
      <w:r>
        <w:rPr>
          <w:rFonts w:hint="eastAsia" w:ascii="宋体" w:hAnsi="宋体"/>
          <w:szCs w:val="21"/>
        </w:rPr>
        <w:t>。</w:t>
      </w:r>
    </w:p>
    <w:p w14:paraId="22B3953E">
      <w:pPr>
        <w:ind w:firstLine="420"/>
        <w:rPr>
          <w:rFonts w:ascii="宋体" w:hAnsi="宋体"/>
          <w:szCs w:val="21"/>
        </w:rPr>
      </w:pPr>
      <w:r>
        <w:rPr>
          <w:rFonts w:hint="eastAsia" w:ascii="宋体" w:hAnsi="宋体"/>
          <w:szCs w:val="21"/>
        </w:rPr>
        <w:t>此外，县畜牧局</w:t>
      </w:r>
      <w:r>
        <w:rPr>
          <w:rFonts w:ascii="宋体" w:hAnsi="宋体"/>
          <w:szCs w:val="21"/>
        </w:rPr>
        <w:t>1992年饲养白鹇88只，1997年发展到200只，产仔苗1000余</w:t>
      </w:r>
      <w:r>
        <w:rPr>
          <w:rFonts w:hint="eastAsia" w:ascii="宋体" w:hAnsi="宋体"/>
          <w:szCs w:val="21"/>
        </w:rPr>
        <w:t>只，后因销路不旺，经济效益不佳，转让给个体户，加养孔雀、七彩山鸡、贵妃鸡等珍禽，亦因经济效益差而经营失败。</w:t>
      </w:r>
    </w:p>
    <w:p w14:paraId="1586C023">
      <w:pPr>
        <w:pStyle w:val="4"/>
        <w:rPr>
          <w:rFonts w:ascii="宋体" w:hAnsi="宋体"/>
        </w:rPr>
      </w:pPr>
      <w:r>
        <w:rPr>
          <w:rFonts w:hint="eastAsia" w:ascii="宋体" w:hAnsi="宋体"/>
        </w:rPr>
        <w:t>第四节  渔业</w:t>
      </w:r>
    </w:p>
    <w:p w14:paraId="43656600">
      <w:pPr>
        <w:ind w:firstLine="420"/>
        <w:rPr>
          <w:rFonts w:ascii="宋体" w:hAnsi="宋体"/>
          <w:szCs w:val="21"/>
        </w:rPr>
      </w:pPr>
      <w:r>
        <w:rPr>
          <w:rFonts w:hint="eastAsia" w:ascii="宋体" w:hAnsi="宋体"/>
          <w:szCs w:val="21"/>
        </w:rPr>
        <w:t>南雄人工养鱼以鲢、鳙、鲩为主，称三大家鱼，种苗从外地输入。</w:t>
      </w:r>
      <w:r>
        <w:rPr>
          <w:rFonts w:ascii="宋体" w:hAnsi="宋体"/>
          <w:szCs w:val="21"/>
        </w:rPr>
        <w:t>1959年至1963年相继攻克三大家鱼人工孵化关后，种苗自给有余，渔业生产发展较快。1987</w:t>
      </w:r>
      <w:r>
        <w:rPr>
          <w:rFonts w:hint="eastAsia" w:ascii="宋体" w:hAnsi="宋体"/>
          <w:szCs w:val="21"/>
        </w:rPr>
        <w:t>年全县鱼产量</w:t>
      </w:r>
      <w:r>
        <w:rPr>
          <w:rFonts w:ascii="宋体" w:hAnsi="宋体"/>
          <w:szCs w:val="21"/>
        </w:rPr>
        <w:t>3633吨，比1952年产量1</w:t>
      </w:r>
      <w:r>
        <w:rPr>
          <w:rFonts w:hint="eastAsia" w:ascii="宋体" w:hAnsi="宋体"/>
          <w:szCs w:val="21"/>
        </w:rPr>
        <w:t>7</w:t>
      </w:r>
      <w:r>
        <w:rPr>
          <w:rFonts w:ascii="宋体" w:hAnsi="宋体"/>
          <w:szCs w:val="21"/>
        </w:rPr>
        <w:t>7.5吨增长19.5倍。人均鱼产量从1952年0.8公斤提高到9.7公斤。渔业产值在农业产值中的比重从1952年的0.6%上升到3.3%。1984年出现卖粮难后，用低洼田改鱼塘增多，养鱼业持续发展。2004年全市</w:t>
      </w:r>
      <w:r>
        <w:rPr>
          <w:rFonts w:hint="eastAsia" w:ascii="宋体" w:hAnsi="宋体"/>
          <w:szCs w:val="21"/>
        </w:rPr>
        <w:t>鱼产量</w:t>
      </w:r>
      <w:r>
        <w:rPr>
          <w:rFonts w:ascii="宋体" w:hAnsi="宋体"/>
          <w:szCs w:val="21"/>
        </w:rPr>
        <w:t>16299吨，比1987年增长3.5倍。农业人口平均产鱼43.4公斤，渔业产值在</w:t>
      </w:r>
      <w:r>
        <w:rPr>
          <w:rFonts w:hint="eastAsia" w:ascii="宋体" w:hAnsi="宋体"/>
          <w:szCs w:val="21"/>
        </w:rPr>
        <w:t>农业产值中比重从</w:t>
      </w:r>
      <w:r>
        <w:rPr>
          <w:rFonts w:ascii="宋体" w:hAnsi="宋体"/>
          <w:szCs w:val="21"/>
        </w:rPr>
        <w:t>1987年的3.3%上升到15.1%</w:t>
      </w:r>
      <w:r>
        <w:rPr>
          <w:rFonts w:hint="eastAsia" w:ascii="宋体" w:hAnsi="宋体"/>
          <w:szCs w:val="21"/>
        </w:rPr>
        <w:t>。</w:t>
      </w:r>
    </w:p>
    <w:p w14:paraId="3367DC7F">
      <w:pPr>
        <w:pStyle w:val="5"/>
        <w:rPr>
          <w:rFonts w:ascii="宋体" w:hAnsi="宋体"/>
        </w:rPr>
      </w:pPr>
      <w:r>
        <w:rPr>
          <w:rFonts w:hint="eastAsia" w:ascii="宋体" w:hAnsi="宋体"/>
        </w:rPr>
        <w:t>一、养殖面积</w:t>
      </w:r>
    </w:p>
    <w:p w14:paraId="3881580B">
      <w:pPr>
        <w:ind w:firstLine="420"/>
        <w:rPr>
          <w:rFonts w:ascii="宋体" w:hAnsi="宋体"/>
          <w:szCs w:val="21"/>
        </w:rPr>
      </w:pPr>
      <w:r>
        <w:rPr>
          <w:rFonts w:hint="eastAsia" w:ascii="宋体" w:hAnsi="宋体"/>
          <w:szCs w:val="21"/>
        </w:rPr>
        <w:t>南雄境内集雨面积</w:t>
      </w:r>
      <w:r>
        <w:rPr>
          <w:rFonts w:ascii="宋体" w:hAnsi="宋体"/>
          <w:szCs w:val="21"/>
        </w:rPr>
        <w:t>100平方公里以上的河流6条，面积约767.67公顷，均适合</w:t>
      </w:r>
      <w:r>
        <w:rPr>
          <w:rFonts w:hint="eastAsia" w:ascii="宋体" w:hAnsi="宋体"/>
          <w:szCs w:val="21"/>
        </w:rPr>
        <w:t>鱼类生长和繁殖，但水量不稳定，丰水期与枯水期相差</w:t>
      </w:r>
      <w:r>
        <w:rPr>
          <w:rFonts w:ascii="宋体" w:hAnsi="宋体"/>
          <w:szCs w:val="21"/>
        </w:rPr>
        <w:t>5倍，故产鱼少又不稳定。故</w:t>
      </w:r>
      <w:r>
        <w:rPr>
          <w:rFonts w:hint="eastAsia" w:ascii="宋体" w:hAnsi="宋体"/>
          <w:szCs w:val="21"/>
        </w:rPr>
        <w:t>渔业主要利用池塘、山塘、水库人工养殖。</w:t>
      </w:r>
      <w:r>
        <w:rPr>
          <w:rFonts w:ascii="宋体" w:hAnsi="宋体"/>
          <w:szCs w:val="21"/>
        </w:rPr>
        <w:t>2004年全市有鱼塘面积1036公顷、山塘603公顷、水库999公顷，合计可养鱼水面2638公顷</w:t>
      </w:r>
      <w:r>
        <w:rPr>
          <w:rFonts w:hint="eastAsia" w:ascii="宋体" w:hAnsi="宋体"/>
          <w:szCs w:val="21"/>
        </w:rPr>
        <w:t>。</w:t>
      </w:r>
    </w:p>
    <w:p w14:paraId="31A626CF">
      <w:pPr>
        <w:pStyle w:val="5"/>
        <w:rPr>
          <w:rFonts w:ascii="宋体" w:hAnsi="宋体"/>
        </w:rPr>
      </w:pPr>
      <w:r>
        <w:rPr>
          <w:rFonts w:hint="eastAsia" w:ascii="宋体" w:hAnsi="宋体"/>
        </w:rPr>
        <w:t>二、鱼苗生产</w:t>
      </w:r>
    </w:p>
    <w:p w14:paraId="0F3CEDFB">
      <w:pPr>
        <w:ind w:firstLine="420"/>
        <w:rPr>
          <w:rFonts w:ascii="宋体" w:hAnsi="宋体"/>
          <w:szCs w:val="21"/>
        </w:rPr>
      </w:pPr>
      <w:r>
        <w:rPr>
          <w:rFonts w:ascii="宋体" w:hAnsi="宋体"/>
          <w:szCs w:val="21"/>
        </w:rPr>
        <w:t>1951年以前，南雄鱼苗由私商从肇庆购</w:t>
      </w:r>
      <w:r>
        <w:rPr>
          <w:rFonts w:hint="eastAsia" w:ascii="宋体" w:hAnsi="宋体"/>
          <w:szCs w:val="21"/>
        </w:rPr>
        <w:t>入</w:t>
      </w:r>
      <w:r>
        <w:rPr>
          <w:rFonts w:ascii="宋体" w:hAnsi="宋体"/>
          <w:szCs w:val="21"/>
        </w:rPr>
        <w:t>鳙、鲢、鲩鱼花，标粗后供应养鱼户</w:t>
      </w:r>
      <w:r>
        <w:rPr>
          <w:rFonts w:hint="eastAsia" w:ascii="宋体" w:hAnsi="宋体"/>
          <w:szCs w:val="21"/>
        </w:rPr>
        <w:t>。</w:t>
      </w:r>
      <w:r>
        <w:rPr>
          <w:rFonts w:ascii="宋体" w:hAnsi="宋体"/>
          <w:szCs w:val="21"/>
        </w:rPr>
        <w:t>1951年建立国营南雄鱼苗场，有鱼塘5.73公顷，所需鱼种（鱼花）从肇庆、南海</w:t>
      </w:r>
      <w:r>
        <w:rPr>
          <w:rFonts w:hint="eastAsia" w:ascii="宋体" w:hAnsi="宋体"/>
          <w:szCs w:val="21"/>
        </w:rPr>
        <w:t>、衡阳等地购入，标粗后向全县供应鱼苗，年销售</w:t>
      </w:r>
      <w:r>
        <w:rPr>
          <w:rFonts w:ascii="宋体" w:hAnsi="宋体"/>
          <w:szCs w:val="21"/>
        </w:rPr>
        <w:t>30多万尾。1959年4月至1963年4</w:t>
      </w:r>
      <w:r>
        <w:rPr>
          <w:rFonts w:hint="eastAsia" w:ascii="宋体" w:hAnsi="宋体"/>
          <w:szCs w:val="21"/>
        </w:rPr>
        <w:t>月，相继孵化鳙、鲢、鲩鱼成功。</w:t>
      </w:r>
      <w:r>
        <w:rPr>
          <w:rFonts w:ascii="宋体" w:hAnsi="宋体"/>
          <w:szCs w:val="21"/>
        </w:rPr>
        <w:t>1964年以后，部分公社、大队和生产队相继兴办</w:t>
      </w:r>
      <w:r>
        <w:rPr>
          <w:rFonts w:hint="eastAsia" w:ascii="宋体" w:hAnsi="宋体"/>
          <w:szCs w:val="21"/>
        </w:rPr>
        <w:t>鱼苗场，全县面积</w:t>
      </w:r>
      <w:r>
        <w:rPr>
          <w:rFonts w:ascii="宋体" w:hAnsi="宋体"/>
          <w:szCs w:val="21"/>
        </w:rPr>
        <w:t>125.47公顷。并有少数场掌握了三大家鱼繁殖技术。1967年全县</w:t>
      </w:r>
      <w:r>
        <w:rPr>
          <w:rFonts w:hint="eastAsia" w:ascii="宋体" w:hAnsi="宋体"/>
          <w:szCs w:val="21"/>
        </w:rPr>
        <w:t>鱼花孵化量</w:t>
      </w:r>
      <w:r>
        <w:rPr>
          <w:rFonts w:ascii="宋体" w:hAnsi="宋体"/>
          <w:szCs w:val="21"/>
        </w:rPr>
        <w:t>1480万尾，鱼苗生产自给有余。此后，继续改进繁殖技术，由人工催情</w:t>
      </w:r>
      <w:r>
        <w:rPr>
          <w:rFonts w:hint="eastAsia" w:ascii="宋体" w:hAnsi="宋体"/>
          <w:szCs w:val="21"/>
        </w:rPr>
        <w:t>过渡到自然产卵，提高了生产效率。</w:t>
      </w:r>
      <w:r>
        <w:rPr>
          <w:rFonts w:ascii="宋体" w:hAnsi="宋体"/>
          <w:szCs w:val="21"/>
        </w:rPr>
        <w:t>1987年，全县鱼花产量8000万尾，自给有余</w:t>
      </w:r>
      <w:r>
        <w:rPr>
          <w:rFonts w:hint="eastAsia" w:ascii="宋体" w:hAnsi="宋体"/>
          <w:szCs w:val="21"/>
        </w:rPr>
        <w:t>（详见《南雄县志》经济编第二章）。</w:t>
      </w:r>
      <w:r>
        <w:rPr>
          <w:rFonts w:ascii="宋体" w:hAnsi="宋体"/>
          <w:szCs w:val="21"/>
        </w:rPr>
        <w:t>2003年，大部分生产队鱼苗场停办，全市鱼苗</w:t>
      </w:r>
      <w:r>
        <w:rPr>
          <w:rFonts w:hint="eastAsia" w:ascii="宋体" w:hAnsi="宋体"/>
          <w:szCs w:val="21"/>
        </w:rPr>
        <w:t>场剩下</w:t>
      </w:r>
      <w:r>
        <w:rPr>
          <w:rFonts w:ascii="宋体" w:hAnsi="宋体"/>
          <w:szCs w:val="21"/>
        </w:rPr>
        <w:t>35个，经营面积94公顷，鱼种产量5374万尾，投放鱼种数量3750万尾，鱼</w:t>
      </w:r>
      <w:r>
        <w:rPr>
          <w:rFonts w:hint="eastAsia" w:ascii="宋体" w:hAnsi="宋体"/>
          <w:szCs w:val="21"/>
        </w:rPr>
        <w:t>苗产量</w:t>
      </w:r>
      <w:r>
        <w:rPr>
          <w:rFonts w:ascii="宋体" w:hAnsi="宋体"/>
          <w:szCs w:val="21"/>
        </w:rPr>
        <w:t>11475万尾，基本能满足本市需求</w:t>
      </w:r>
      <w:r>
        <w:rPr>
          <w:rFonts w:hint="eastAsia" w:ascii="宋体" w:hAnsi="宋体"/>
          <w:szCs w:val="21"/>
        </w:rPr>
        <w:t>。</w:t>
      </w:r>
    </w:p>
    <w:p w14:paraId="40A5A68E">
      <w:pPr>
        <w:ind w:firstLine="420"/>
        <w:rPr>
          <w:rFonts w:ascii="宋体" w:hAnsi="宋体"/>
          <w:szCs w:val="21"/>
        </w:rPr>
      </w:pPr>
      <w:r>
        <w:rPr>
          <w:rFonts w:ascii="宋体" w:hAnsi="宋体"/>
          <w:szCs w:val="21"/>
        </w:rPr>
        <w:t>1986年起，先后引进了福寿鱼、异育银鲫、东北鲫、尼罗非鱼、白鲳、彭泽鲫、</w:t>
      </w:r>
      <w:r>
        <w:rPr>
          <w:rFonts w:hint="eastAsia" w:ascii="宋体" w:hAnsi="宋体"/>
          <w:szCs w:val="21"/>
        </w:rPr>
        <w:t>加州鲈鱼、白鲫、叉尾鲴、三角鲂等</w:t>
      </w:r>
      <w:r>
        <w:rPr>
          <w:rFonts w:ascii="宋体" w:hAnsi="宋体"/>
          <w:szCs w:val="21"/>
        </w:rPr>
        <w:t>10多个优质鱼种，增加中下层鱼类放养品种，</w:t>
      </w:r>
      <w:r>
        <w:rPr>
          <w:rFonts w:hint="eastAsia" w:ascii="宋体" w:hAnsi="宋体"/>
          <w:szCs w:val="21"/>
        </w:rPr>
        <w:t>提高了水体利用率。这些新品种均适应南雄环境，</w:t>
      </w:r>
      <w:r>
        <w:rPr>
          <w:rFonts w:ascii="宋体" w:hAnsi="宋体"/>
          <w:szCs w:val="21"/>
        </w:rPr>
        <w:t>2003年的放养量已占40%。1997</w:t>
      </w:r>
      <w:r>
        <w:rPr>
          <w:rFonts w:hint="eastAsia" w:ascii="宋体" w:hAnsi="宋体"/>
          <w:szCs w:val="21"/>
        </w:rPr>
        <w:t>年从江苏太湖引进适宜大水面养殖的新银鱼受精卵</w:t>
      </w:r>
      <w:r>
        <w:rPr>
          <w:rFonts w:ascii="宋体" w:hAnsi="宋体"/>
          <w:szCs w:val="21"/>
        </w:rPr>
        <w:t>300万粒，1998年从河南省白龟</w:t>
      </w:r>
      <w:r>
        <w:rPr>
          <w:rFonts w:hint="eastAsia" w:ascii="宋体" w:hAnsi="宋体"/>
          <w:szCs w:val="21"/>
        </w:rPr>
        <w:t>山水库引进新银鱼受精卵</w:t>
      </w:r>
      <w:r>
        <w:rPr>
          <w:rFonts w:ascii="宋体" w:hAnsi="宋体"/>
          <w:szCs w:val="21"/>
        </w:rPr>
        <w:t>500万粒，2001年从新疆博斯腾湖引进池昭公鱼受精卵6</w:t>
      </w:r>
      <w:r>
        <w:rPr>
          <w:rFonts w:hint="eastAsia" w:ascii="宋体" w:hAnsi="宋体"/>
          <w:szCs w:val="21"/>
        </w:rPr>
        <w:t>0</w:t>
      </w:r>
      <w:r>
        <w:rPr>
          <w:rFonts w:ascii="宋体" w:hAnsi="宋体"/>
          <w:szCs w:val="21"/>
        </w:rPr>
        <w:t>00万粒，进行移殖试验。2001年12月，在宝江、横江两水库捕获银鱼81.5公斤</w:t>
      </w:r>
      <w:r>
        <w:rPr>
          <w:rFonts w:hint="eastAsia" w:ascii="宋体" w:hAnsi="宋体"/>
          <w:szCs w:val="21"/>
        </w:rPr>
        <w:t>。在孔江、苍石两水库共捕获池昭公鱼</w:t>
      </w:r>
      <w:r>
        <w:rPr>
          <w:rFonts w:ascii="宋体" w:hAnsi="宋体"/>
          <w:szCs w:val="21"/>
        </w:rPr>
        <w:t>30尾。</w:t>
      </w:r>
    </w:p>
    <w:p w14:paraId="3170DFA2">
      <w:pPr>
        <w:pStyle w:val="5"/>
        <w:rPr>
          <w:rFonts w:ascii="宋体" w:hAnsi="宋体"/>
        </w:rPr>
      </w:pPr>
      <w:r>
        <w:rPr>
          <w:rFonts w:hint="eastAsia" w:ascii="宋体" w:hAnsi="宋体"/>
        </w:rPr>
        <w:t>三、家鱼养殖</w:t>
      </w:r>
    </w:p>
    <w:p w14:paraId="2D14257A">
      <w:pPr>
        <w:ind w:firstLine="420"/>
        <w:rPr>
          <w:rFonts w:ascii="宋体" w:hAnsi="宋体"/>
          <w:szCs w:val="21"/>
        </w:rPr>
      </w:pPr>
      <w:r>
        <w:rPr>
          <w:rFonts w:ascii="宋体" w:hAnsi="宋体"/>
          <w:szCs w:val="21"/>
        </w:rPr>
        <w:t>1987年，全县养鱼面积2327.2公顷（鱼塘740.33公顷、鱼苗塘125.47公顷、</w:t>
      </w:r>
      <w:r>
        <w:rPr>
          <w:rFonts w:hint="eastAsia" w:ascii="宋体" w:hAnsi="宋体"/>
          <w:szCs w:val="21"/>
        </w:rPr>
        <w:t>山塘</w:t>
      </w:r>
      <w:r>
        <w:rPr>
          <w:rFonts w:ascii="宋体" w:hAnsi="宋体"/>
          <w:szCs w:val="21"/>
        </w:rPr>
        <w:t>518.2公顷、水库943.2公顷），比1955年903.</w:t>
      </w:r>
      <w:r>
        <w:rPr>
          <w:rFonts w:hint="eastAsia" w:ascii="宋体" w:hAnsi="宋体"/>
          <w:szCs w:val="21"/>
        </w:rPr>
        <w:t>3</w:t>
      </w:r>
      <w:r>
        <w:rPr>
          <w:rFonts w:ascii="宋体" w:hAnsi="宋体"/>
          <w:szCs w:val="21"/>
        </w:rPr>
        <w:t>3公顷增加2.5倍。养殖起水</w:t>
      </w:r>
      <w:r>
        <w:rPr>
          <w:rFonts w:hint="eastAsia" w:ascii="宋体" w:hAnsi="宋体"/>
          <w:szCs w:val="21"/>
        </w:rPr>
        <w:t>量</w:t>
      </w:r>
      <w:r>
        <w:rPr>
          <w:rFonts w:ascii="宋体" w:hAnsi="宋体"/>
          <w:szCs w:val="21"/>
        </w:rPr>
        <w:t>3345吨，比1955年总产212.5吨，增长14倍。社会捕捞量288吨，合计水产品产</w:t>
      </w:r>
      <w:r>
        <w:rPr>
          <w:rFonts w:hint="eastAsia" w:ascii="宋体" w:hAnsi="宋体"/>
          <w:szCs w:val="21"/>
        </w:rPr>
        <w:t>量</w:t>
      </w:r>
      <w:r>
        <w:rPr>
          <w:rFonts w:ascii="宋体" w:hAnsi="宋体"/>
          <w:szCs w:val="21"/>
        </w:rPr>
        <w:t>3633吨。1988年以后持续发展，2</w:t>
      </w:r>
      <w:r>
        <w:rPr>
          <w:rFonts w:hint="eastAsia" w:ascii="宋体" w:hAnsi="宋体"/>
          <w:szCs w:val="21"/>
        </w:rPr>
        <w:t>0</w:t>
      </w:r>
      <w:r>
        <w:rPr>
          <w:rFonts w:ascii="宋体" w:hAnsi="宋体"/>
          <w:szCs w:val="21"/>
        </w:rPr>
        <w:t>04年养殖面积2749.93公顷（鱼塘1036公顷、</w:t>
      </w:r>
      <w:r>
        <w:rPr>
          <w:rFonts w:hint="eastAsia" w:ascii="宋体" w:hAnsi="宋体"/>
          <w:szCs w:val="21"/>
        </w:rPr>
        <w:t>山塘</w:t>
      </w:r>
      <w:r>
        <w:rPr>
          <w:rFonts w:ascii="宋体" w:hAnsi="宋体"/>
          <w:szCs w:val="21"/>
        </w:rPr>
        <w:t>603公顷、水库1110.93公顷），比1987年增长18%，水产品总产量16299吨，</w:t>
      </w:r>
      <w:r>
        <w:rPr>
          <w:rFonts w:hint="eastAsia" w:ascii="宋体" w:hAnsi="宋体"/>
          <w:szCs w:val="21"/>
        </w:rPr>
        <w:t>比</w:t>
      </w:r>
      <w:r>
        <w:rPr>
          <w:rFonts w:ascii="宋体" w:hAnsi="宋体"/>
          <w:szCs w:val="21"/>
        </w:rPr>
        <w:t>1987年增长4.5倍</w:t>
      </w:r>
      <w:r>
        <w:rPr>
          <w:rFonts w:hint="eastAsia" w:ascii="宋体" w:hAnsi="宋体"/>
          <w:szCs w:val="21"/>
        </w:rPr>
        <w:t>。</w:t>
      </w:r>
    </w:p>
    <w:p w14:paraId="376525E7">
      <w:pPr>
        <w:ind w:firstLine="422"/>
        <w:rPr>
          <w:rFonts w:ascii="宋体" w:hAnsi="宋体"/>
          <w:b/>
          <w:szCs w:val="21"/>
        </w:rPr>
      </w:pPr>
      <w:r>
        <w:rPr>
          <w:rFonts w:hint="eastAsia" w:ascii="宋体" w:hAnsi="宋体"/>
          <w:b/>
          <w:szCs w:val="21"/>
        </w:rPr>
        <w:t>（一）池塘养鱼</w:t>
      </w:r>
    </w:p>
    <w:p w14:paraId="2B4D0C90">
      <w:pPr>
        <w:ind w:firstLine="420"/>
        <w:rPr>
          <w:rFonts w:ascii="宋体" w:hAnsi="宋体"/>
          <w:szCs w:val="21"/>
        </w:rPr>
      </w:pPr>
      <w:r>
        <w:rPr>
          <w:rFonts w:ascii="宋体" w:hAnsi="宋体"/>
          <w:szCs w:val="21"/>
        </w:rPr>
        <w:t>1949年203.33公顷，1981年427.67公顷。改革开放，农民粮食丰足之后的求</w:t>
      </w:r>
      <w:r>
        <w:rPr>
          <w:rFonts w:hint="eastAsia" w:ascii="宋体" w:hAnsi="宋体"/>
          <w:szCs w:val="21"/>
        </w:rPr>
        <w:t>富心理，促使稻田改鱼塘。</w:t>
      </w:r>
      <w:r>
        <w:rPr>
          <w:rFonts w:ascii="宋体" w:hAnsi="宋体"/>
          <w:szCs w:val="21"/>
        </w:rPr>
        <w:t>1988年鱼塘面积901.67公顷，比1981年增加1.1倍</w:t>
      </w:r>
      <w:r>
        <w:rPr>
          <w:rFonts w:hint="eastAsia" w:ascii="宋体" w:hAnsi="宋体"/>
          <w:szCs w:val="21"/>
        </w:rPr>
        <w:t>。</w:t>
      </w:r>
      <w:r>
        <w:rPr>
          <w:rFonts w:ascii="宋体" w:hAnsi="宋体"/>
          <w:szCs w:val="21"/>
        </w:rPr>
        <w:t>1998年1036公顷，又比1988年增加14.9%。随着中底层鱼品种的推广普及，鱼的</w:t>
      </w:r>
      <w:r>
        <w:rPr>
          <w:rFonts w:hint="eastAsia" w:ascii="宋体" w:hAnsi="宋体"/>
          <w:szCs w:val="21"/>
        </w:rPr>
        <w:t>配合饲料和水体增氧机推广应用，鱼塘的养鱼密度大为提高，单位面积产量从</w:t>
      </w:r>
      <w:r>
        <w:rPr>
          <w:rFonts w:ascii="宋体" w:hAnsi="宋体"/>
          <w:szCs w:val="21"/>
        </w:rPr>
        <w:t>1988</w:t>
      </w:r>
      <w:r>
        <w:rPr>
          <w:rFonts w:hint="eastAsia" w:ascii="宋体" w:hAnsi="宋体"/>
          <w:szCs w:val="21"/>
        </w:rPr>
        <w:t>年</w:t>
      </w:r>
      <w:r>
        <w:rPr>
          <w:rFonts w:ascii="宋体" w:hAnsi="宋体"/>
          <w:szCs w:val="21"/>
        </w:rPr>
        <w:t>218公斤增加到2002年482公斤，增长了1.2倍，鱼塘产鱼量占水产品总量58%。</w:t>
      </w:r>
    </w:p>
    <w:p w14:paraId="4FD56597">
      <w:pPr>
        <w:ind w:firstLine="422"/>
        <w:rPr>
          <w:rFonts w:ascii="宋体" w:hAnsi="宋体"/>
          <w:b/>
          <w:szCs w:val="21"/>
        </w:rPr>
      </w:pPr>
      <w:r>
        <w:rPr>
          <w:rFonts w:hint="eastAsia" w:ascii="宋体" w:hAnsi="宋体"/>
          <w:b/>
          <w:szCs w:val="21"/>
        </w:rPr>
        <w:t>（二）山塘养鱼</w:t>
      </w:r>
    </w:p>
    <w:p w14:paraId="1EB56D5A">
      <w:pPr>
        <w:ind w:firstLine="420"/>
        <w:rPr>
          <w:rFonts w:ascii="宋体" w:hAnsi="宋体"/>
          <w:szCs w:val="21"/>
        </w:rPr>
      </w:pPr>
      <w:r>
        <w:rPr>
          <w:rFonts w:ascii="宋体" w:hAnsi="宋体"/>
          <w:szCs w:val="21"/>
        </w:rPr>
        <w:t>1980年以前，生产队利用灌溉农田的山塘养鱼。由于山塘管水员与鱼产量没直</w:t>
      </w:r>
      <w:r>
        <w:rPr>
          <w:rFonts w:hint="eastAsia" w:ascii="宋体" w:hAnsi="宋体"/>
          <w:szCs w:val="21"/>
        </w:rPr>
        <w:t>接关系，鱼苗投放后无饲料投放，亩均产量仅</w:t>
      </w:r>
      <w:r>
        <w:rPr>
          <w:rFonts w:ascii="宋体" w:hAnsi="宋体"/>
          <w:szCs w:val="21"/>
        </w:rPr>
        <w:t>6公斤～24公斤。1980年实行家庭联</w:t>
      </w:r>
      <w:r>
        <w:rPr>
          <w:rFonts w:hint="eastAsia" w:ascii="宋体" w:hAnsi="宋体"/>
          <w:szCs w:val="21"/>
        </w:rPr>
        <w:t>产承包责任制后，山塘始由社员投标承包养鱼，放养密度和管理水平随之提高。</w:t>
      </w:r>
      <w:r>
        <w:rPr>
          <w:rFonts w:ascii="宋体" w:hAnsi="宋体"/>
          <w:szCs w:val="21"/>
        </w:rPr>
        <w:t>1981</w:t>
      </w:r>
      <w:r>
        <w:rPr>
          <w:rFonts w:hint="eastAsia" w:ascii="宋体" w:hAnsi="宋体"/>
          <w:szCs w:val="21"/>
        </w:rPr>
        <w:t>年放养面积</w:t>
      </w:r>
      <w:r>
        <w:rPr>
          <w:rFonts w:ascii="宋体" w:hAnsi="宋体"/>
          <w:szCs w:val="21"/>
        </w:rPr>
        <w:t>330.33公顷，产鱼137吨，亩均28公斤。1987年放养面积518.2公顷，</w:t>
      </w:r>
      <w:r>
        <w:rPr>
          <w:rFonts w:hint="eastAsia" w:ascii="宋体" w:hAnsi="宋体"/>
          <w:szCs w:val="21"/>
        </w:rPr>
        <w:t>产鱼</w:t>
      </w:r>
      <w:r>
        <w:rPr>
          <w:rFonts w:ascii="宋体" w:hAnsi="宋体"/>
          <w:szCs w:val="21"/>
        </w:rPr>
        <w:t>811吨，亩均104公斤。1986年，县政府投入水面综合开发资金46万元，实施</w:t>
      </w:r>
      <w:r>
        <w:rPr>
          <w:rFonts w:hint="eastAsia" w:ascii="宋体" w:hAnsi="宋体"/>
          <w:szCs w:val="21"/>
        </w:rPr>
        <w:t>水中养鱼，水面养鸭，塘边种果种饲草，塘头养猪的综合生产项目。此后，山塘养鱼产量迅速上升。</w:t>
      </w:r>
      <w:r>
        <w:rPr>
          <w:rFonts w:ascii="宋体" w:hAnsi="宋体"/>
          <w:szCs w:val="21"/>
        </w:rPr>
        <w:t>2003年养鱼面积603公顷，亩均产鱼447公斤。</w:t>
      </w:r>
    </w:p>
    <w:p w14:paraId="22985DEA">
      <w:pPr>
        <w:ind w:firstLine="422"/>
        <w:rPr>
          <w:rFonts w:ascii="宋体" w:hAnsi="宋体"/>
          <w:b/>
          <w:szCs w:val="21"/>
        </w:rPr>
      </w:pPr>
      <w:r>
        <w:rPr>
          <w:rFonts w:hint="eastAsia" w:ascii="宋体" w:hAnsi="宋体"/>
          <w:b/>
          <w:szCs w:val="21"/>
        </w:rPr>
        <w:t>（三）水库养鱼</w:t>
      </w:r>
    </w:p>
    <w:p w14:paraId="43D0762E">
      <w:pPr>
        <w:ind w:firstLine="420"/>
        <w:rPr>
          <w:rFonts w:ascii="宋体" w:hAnsi="宋体"/>
          <w:szCs w:val="21"/>
        </w:rPr>
      </w:pPr>
      <w:r>
        <w:rPr>
          <w:rFonts w:ascii="宋体" w:hAnsi="宋体"/>
          <w:szCs w:val="21"/>
        </w:rPr>
        <w:t>1955年至1959年，全县新建百万立方米以上库容水库10宗。因管理和捕捞困</w:t>
      </w:r>
      <w:r>
        <w:rPr>
          <w:rFonts w:hint="eastAsia" w:ascii="宋体" w:hAnsi="宋体"/>
          <w:szCs w:val="21"/>
        </w:rPr>
        <w:t>难，</w:t>
      </w:r>
      <w:r>
        <w:rPr>
          <w:rFonts w:ascii="宋体" w:hAnsi="宋体"/>
          <w:szCs w:val="21"/>
        </w:rPr>
        <w:t>1962年以前不敢大量放鱼苗。1964年使用围网捕鱼，捕鱼难问题初步得到解决，</w:t>
      </w:r>
      <w:r>
        <w:rPr>
          <w:rFonts w:hint="eastAsia" w:ascii="宋体" w:hAnsi="宋体"/>
          <w:szCs w:val="21"/>
        </w:rPr>
        <w:t>水库养鱼量逐渐增多。</w:t>
      </w:r>
      <w:r>
        <w:rPr>
          <w:rFonts w:ascii="宋体" w:hAnsi="宋体"/>
          <w:szCs w:val="21"/>
        </w:rPr>
        <w:t>1971年请浙江捕捞队用赶拦刺张网捕鱼，在孔江水库一次捕</w:t>
      </w:r>
      <w:r>
        <w:rPr>
          <w:rFonts w:hint="eastAsia" w:ascii="宋体" w:hAnsi="宋体"/>
          <w:szCs w:val="21"/>
        </w:rPr>
        <w:t>获</w:t>
      </w:r>
      <w:r>
        <w:rPr>
          <w:rFonts w:ascii="宋体" w:hAnsi="宋体"/>
          <w:szCs w:val="21"/>
        </w:rPr>
        <w:t>50吨。1975年县水产局购置赶拦刺张网，使水库捕鱼难问题进一步解决。1987年</w:t>
      </w:r>
      <w:r>
        <w:rPr>
          <w:rFonts w:hint="eastAsia" w:ascii="宋体" w:hAnsi="宋体"/>
          <w:szCs w:val="21"/>
        </w:rPr>
        <w:t>水库养鱼面积</w:t>
      </w:r>
      <w:r>
        <w:rPr>
          <w:rFonts w:ascii="宋体" w:hAnsi="宋体"/>
          <w:szCs w:val="21"/>
        </w:rPr>
        <w:t>943.2公顷，捕鱼量165吨，亩均11.7公斤。1992年以后，小（二）</w:t>
      </w:r>
      <w:r>
        <w:rPr>
          <w:rFonts w:hint="eastAsia" w:ascii="宋体" w:hAnsi="宋体"/>
          <w:szCs w:val="21"/>
        </w:rPr>
        <w:t>型水库养鱼开始由个人承包，并推广笼式张网捕鱼，管理问题有所改善，鱼产量连年上升。</w:t>
      </w:r>
      <w:r>
        <w:rPr>
          <w:rFonts w:ascii="宋体" w:hAnsi="宋体"/>
          <w:szCs w:val="21"/>
        </w:rPr>
        <w:t>2002年，水库养鱼面积999公顷，捕鱼量644吨，亩均43公斤</w:t>
      </w:r>
      <w:r>
        <w:rPr>
          <w:rFonts w:hint="eastAsia" w:ascii="宋体" w:hAnsi="宋体"/>
          <w:szCs w:val="21"/>
        </w:rPr>
        <w:t>。</w:t>
      </w:r>
    </w:p>
    <w:p w14:paraId="63E9AFBD">
      <w:pPr>
        <w:ind w:firstLine="422"/>
        <w:rPr>
          <w:rFonts w:ascii="宋体" w:hAnsi="宋体"/>
          <w:b/>
          <w:szCs w:val="21"/>
        </w:rPr>
      </w:pPr>
      <w:r>
        <w:rPr>
          <w:rFonts w:hint="eastAsia" w:ascii="宋体" w:hAnsi="宋体"/>
          <w:b/>
          <w:szCs w:val="21"/>
        </w:rPr>
        <w:t>（四）稻田养鱼</w:t>
      </w:r>
    </w:p>
    <w:p w14:paraId="3E4738EA">
      <w:pPr>
        <w:ind w:firstLine="420"/>
        <w:rPr>
          <w:rFonts w:ascii="宋体" w:hAnsi="宋体"/>
          <w:szCs w:val="21"/>
        </w:rPr>
      </w:pPr>
      <w:r>
        <w:rPr>
          <w:rFonts w:ascii="宋体" w:hAnsi="宋体"/>
          <w:szCs w:val="21"/>
        </w:rPr>
        <w:t>1984年以前，有少数农户利用稻田标粗鱼苗出售。1985年曾推广稻田养成鱼技</w:t>
      </w:r>
      <w:r>
        <w:rPr>
          <w:rFonts w:hint="eastAsia" w:ascii="宋体" w:hAnsi="宋体"/>
          <w:szCs w:val="21"/>
        </w:rPr>
        <w:t>术，推广面积</w:t>
      </w:r>
      <w:r>
        <w:rPr>
          <w:rFonts w:ascii="宋体" w:hAnsi="宋体"/>
          <w:szCs w:val="21"/>
        </w:rPr>
        <w:t>73.33公顷，每亩产鱼12.5公斤，稻谷可增产10%左右。1987年增至140公顷，产鱼29.4吨，亩均14公斤。此后，因实施早造种烟下造种稻的轮作面积</w:t>
      </w:r>
      <w:r>
        <w:rPr>
          <w:rFonts w:hint="eastAsia" w:ascii="宋体" w:hAnsi="宋体"/>
          <w:szCs w:val="21"/>
        </w:rPr>
        <w:t>增加，加上推广抛秧技术，除草剂、杀虫剂的施用频繁，稻田养鱼终于停止了。</w:t>
      </w:r>
    </w:p>
    <w:p w14:paraId="33C99987">
      <w:pPr>
        <w:pStyle w:val="5"/>
        <w:rPr>
          <w:rFonts w:ascii="宋体" w:hAnsi="宋体"/>
        </w:rPr>
      </w:pPr>
      <w:r>
        <w:rPr>
          <w:rFonts w:hint="eastAsia" w:ascii="宋体" w:hAnsi="宋体"/>
        </w:rPr>
        <w:t>四、野生鱼捕捞</w:t>
      </w:r>
    </w:p>
    <w:p w14:paraId="4632E246">
      <w:pPr>
        <w:ind w:firstLine="420"/>
        <w:rPr>
          <w:rFonts w:ascii="宋体" w:hAnsi="宋体"/>
          <w:szCs w:val="21"/>
        </w:rPr>
      </w:pPr>
      <w:r>
        <w:rPr>
          <w:rFonts w:hint="eastAsia" w:ascii="宋体" w:hAnsi="宋体"/>
          <w:szCs w:val="21"/>
        </w:rPr>
        <w:t>南雄野生鱼有：鲤、鲫、鲶、鳝、鳗、鳅、鳜、虾等。因河流水量少且不稳定，产鱼量不多，故无专捕野生鱼为业的渔户。江河捕鱼主要是船民和少数农民业余所为。传统捕捞工具为抛网、鱼叉、貉、捞海等。现代多用胶丝拦刺网。</w:t>
      </w:r>
      <w:r>
        <w:rPr>
          <w:rFonts w:ascii="宋体" w:hAnsi="宋体"/>
          <w:szCs w:val="21"/>
        </w:rPr>
        <w:t>1940年前，</w:t>
      </w:r>
      <w:r>
        <w:rPr>
          <w:rFonts w:hint="eastAsia" w:ascii="宋体" w:hAnsi="宋体"/>
          <w:szCs w:val="21"/>
        </w:rPr>
        <w:t>年捕鱼量百吨左右，</w:t>
      </w:r>
      <w:r>
        <w:rPr>
          <w:rFonts w:ascii="宋体" w:hAnsi="宋体"/>
          <w:szCs w:val="21"/>
        </w:rPr>
        <w:t>1949年降至15吨。1980年以后，水利设施增多，灌排渠道完</w:t>
      </w:r>
      <w:r>
        <w:rPr>
          <w:rFonts w:hint="eastAsia" w:ascii="宋体" w:hAnsi="宋体"/>
          <w:szCs w:val="21"/>
        </w:rPr>
        <w:t>善，有利于鲫、鳅、鳝等鱼类繁衍。</w:t>
      </w:r>
      <w:r>
        <w:rPr>
          <w:rFonts w:ascii="宋体" w:hAnsi="宋体"/>
          <w:szCs w:val="21"/>
        </w:rPr>
        <w:t>1988年至2004年，捕获量在70吨～265吨之</w:t>
      </w:r>
      <w:r>
        <w:rPr>
          <w:rFonts w:hint="eastAsia" w:ascii="宋体" w:hAnsi="宋体"/>
          <w:szCs w:val="21"/>
        </w:rPr>
        <w:t>间。各年渔业生产统计见表</w:t>
      </w:r>
      <w:r>
        <w:rPr>
          <w:rFonts w:ascii="宋体" w:hAnsi="宋体"/>
          <w:szCs w:val="21"/>
        </w:rPr>
        <w:t>2-11：</w:t>
      </w:r>
    </w:p>
    <w:p w14:paraId="4822B994">
      <w:pPr>
        <w:ind w:firstLine="0" w:firstLineChars="0"/>
        <w:jc w:val="center"/>
        <w:rPr>
          <w:rFonts w:ascii="宋体" w:hAnsi="宋体"/>
          <w:b/>
          <w:szCs w:val="21"/>
        </w:rPr>
      </w:pPr>
      <w:r>
        <w:rPr>
          <w:rFonts w:ascii="宋体" w:hAnsi="宋体"/>
          <w:b/>
          <w:szCs w:val="21"/>
        </w:rPr>
        <w:t>1988年至2004年渔业生产统计</w:t>
      </w:r>
    </w:p>
    <w:p w14:paraId="254D1AEB">
      <w:pPr>
        <w:ind w:firstLine="0" w:firstLineChars="0"/>
        <w:rPr>
          <w:rFonts w:ascii="宋体" w:hAnsi="宋体"/>
          <w:b/>
          <w:szCs w:val="21"/>
        </w:rPr>
      </w:pPr>
      <w:r>
        <w:rPr>
          <w:rFonts w:hint="eastAsia" w:ascii="宋体" w:hAnsi="宋体"/>
          <w:b/>
          <w:szCs w:val="21"/>
        </w:rPr>
        <w:t>表</w:t>
      </w:r>
      <w:r>
        <w:rPr>
          <w:rFonts w:ascii="宋体" w:hAnsi="宋体"/>
          <w:b/>
          <w:szCs w:val="21"/>
        </w:rPr>
        <w:t>2-11</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4"/>
        <w:gridCol w:w="827"/>
        <w:gridCol w:w="845"/>
        <w:gridCol w:w="638"/>
        <w:gridCol w:w="845"/>
        <w:gridCol w:w="845"/>
        <w:gridCol w:w="636"/>
        <w:gridCol w:w="845"/>
        <w:gridCol w:w="845"/>
        <w:gridCol w:w="636"/>
        <w:gridCol w:w="845"/>
        <w:gridCol w:w="845"/>
        <w:gridCol w:w="636"/>
      </w:tblGrid>
      <w:tr w14:paraId="7DA7A9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9" w:type="pct"/>
            <w:vMerge w:val="restart"/>
            <w:vAlign w:val="center"/>
          </w:tcPr>
          <w:p w14:paraId="38862E5D">
            <w:pPr>
              <w:pStyle w:val="12"/>
              <w:jc w:val="center"/>
              <w:rPr>
                <w:rFonts w:ascii="宋体" w:hAnsi="宋体"/>
                <w:b/>
              </w:rPr>
            </w:pPr>
            <w:r>
              <w:rPr>
                <w:rFonts w:hint="eastAsia" w:ascii="宋体" w:hAnsi="宋体"/>
                <w:b/>
              </w:rPr>
              <w:t>年份</w:t>
            </w:r>
          </w:p>
        </w:tc>
        <w:tc>
          <w:tcPr>
            <w:tcW w:w="1159" w:type="pct"/>
            <w:gridSpan w:val="3"/>
            <w:vAlign w:val="center"/>
          </w:tcPr>
          <w:p w14:paraId="12233C19">
            <w:pPr>
              <w:pStyle w:val="12"/>
              <w:jc w:val="center"/>
              <w:rPr>
                <w:rFonts w:ascii="宋体" w:hAnsi="宋体"/>
                <w:b/>
              </w:rPr>
            </w:pPr>
            <w:r>
              <w:rPr>
                <w:rFonts w:hint="eastAsia" w:ascii="宋体" w:hAnsi="宋体"/>
                <w:b/>
              </w:rPr>
              <w:t>鱼塘养鱼</w:t>
            </w:r>
          </w:p>
        </w:tc>
        <w:tc>
          <w:tcPr>
            <w:tcW w:w="1167" w:type="pct"/>
            <w:gridSpan w:val="3"/>
            <w:vAlign w:val="center"/>
          </w:tcPr>
          <w:p w14:paraId="23E10D70">
            <w:pPr>
              <w:pStyle w:val="12"/>
              <w:jc w:val="center"/>
              <w:rPr>
                <w:rFonts w:ascii="宋体" w:hAnsi="宋体"/>
                <w:b/>
              </w:rPr>
            </w:pPr>
            <w:r>
              <w:rPr>
                <w:rFonts w:hint="eastAsia" w:ascii="宋体" w:hAnsi="宋体"/>
                <w:b/>
              </w:rPr>
              <w:t>山塘养鱼</w:t>
            </w:r>
          </w:p>
        </w:tc>
        <w:tc>
          <w:tcPr>
            <w:tcW w:w="1167" w:type="pct"/>
            <w:gridSpan w:val="3"/>
            <w:vAlign w:val="center"/>
          </w:tcPr>
          <w:p w14:paraId="522FB96C">
            <w:pPr>
              <w:pStyle w:val="12"/>
              <w:jc w:val="center"/>
              <w:rPr>
                <w:rFonts w:ascii="宋体" w:hAnsi="宋体"/>
                <w:b/>
              </w:rPr>
            </w:pPr>
            <w:r>
              <w:rPr>
                <w:rFonts w:hint="eastAsia" w:ascii="宋体" w:hAnsi="宋体"/>
                <w:b/>
              </w:rPr>
              <w:t>水库养鱼</w:t>
            </w:r>
          </w:p>
        </w:tc>
        <w:tc>
          <w:tcPr>
            <w:tcW w:w="424" w:type="pct"/>
            <w:vMerge w:val="restart"/>
            <w:vAlign w:val="center"/>
          </w:tcPr>
          <w:p w14:paraId="6DC4B79B">
            <w:pPr>
              <w:pStyle w:val="12"/>
              <w:jc w:val="center"/>
              <w:rPr>
                <w:rFonts w:ascii="宋体" w:hAnsi="宋体"/>
                <w:b/>
              </w:rPr>
            </w:pPr>
            <w:r>
              <w:rPr>
                <w:rFonts w:hint="eastAsia" w:ascii="宋体" w:hAnsi="宋体"/>
                <w:b/>
              </w:rPr>
              <w:t>江河捕鱼（吨）</w:t>
            </w:r>
          </w:p>
        </w:tc>
        <w:tc>
          <w:tcPr>
            <w:tcW w:w="424" w:type="pct"/>
            <w:vMerge w:val="restart"/>
            <w:vAlign w:val="center"/>
          </w:tcPr>
          <w:p w14:paraId="571FCFFD">
            <w:pPr>
              <w:pStyle w:val="12"/>
              <w:jc w:val="center"/>
              <w:rPr>
                <w:rFonts w:ascii="宋体" w:hAnsi="宋体"/>
                <w:b/>
              </w:rPr>
            </w:pPr>
            <w:r>
              <w:rPr>
                <w:rFonts w:hint="eastAsia" w:ascii="宋体" w:hAnsi="宋体"/>
                <w:b/>
              </w:rPr>
              <w:t>渔业总产量（吨）</w:t>
            </w:r>
          </w:p>
        </w:tc>
        <w:tc>
          <w:tcPr>
            <w:tcW w:w="319" w:type="pct"/>
            <w:vMerge w:val="restart"/>
            <w:vAlign w:val="center"/>
          </w:tcPr>
          <w:p w14:paraId="296BFA4F">
            <w:pPr>
              <w:pStyle w:val="12"/>
              <w:jc w:val="center"/>
              <w:rPr>
                <w:rFonts w:ascii="宋体" w:hAnsi="宋体"/>
                <w:b/>
              </w:rPr>
            </w:pPr>
            <w:r>
              <w:rPr>
                <w:rFonts w:hint="eastAsia" w:ascii="宋体" w:hAnsi="宋体"/>
                <w:b/>
              </w:rPr>
              <w:t>全人口平均（公斤）</w:t>
            </w:r>
          </w:p>
        </w:tc>
      </w:tr>
      <w:tr w14:paraId="5D2A11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9" w:type="pct"/>
            <w:vMerge w:val="continue"/>
            <w:vAlign w:val="center"/>
          </w:tcPr>
          <w:p w14:paraId="3DA741F6">
            <w:pPr>
              <w:pStyle w:val="12"/>
              <w:jc w:val="center"/>
              <w:rPr>
                <w:rFonts w:ascii="宋体" w:hAnsi="宋体"/>
              </w:rPr>
            </w:pPr>
          </w:p>
        </w:tc>
        <w:tc>
          <w:tcPr>
            <w:tcW w:w="415" w:type="pct"/>
            <w:vAlign w:val="center"/>
          </w:tcPr>
          <w:p w14:paraId="15E7B26A">
            <w:pPr>
              <w:pStyle w:val="12"/>
              <w:jc w:val="center"/>
              <w:rPr>
                <w:rFonts w:ascii="宋体" w:hAnsi="宋体"/>
                <w:b/>
              </w:rPr>
            </w:pPr>
            <w:r>
              <w:rPr>
                <w:rFonts w:hint="eastAsia" w:ascii="宋体" w:hAnsi="宋体"/>
                <w:b/>
              </w:rPr>
              <w:t>面积（亩）</w:t>
            </w:r>
          </w:p>
        </w:tc>
        <w:tc>
          <w:tcPr>
            <w:tcW w:w="424" w:type="pct"/>
            <w:vAlign w:val="center"/>
          </w:tcPr>
          <w:p w14:paraId="2FFBA65C">
            <w:pPr>
              <w:pStyle w:val="12"/>
              <w:jc w:val="center"/>
              <w:rPr>
                <w:rFonts w:ascii="宋体" w:hAnsi="宋体"/>
                <w:b/>
              </w:rPr>
            </w:pPr>
            <w:r>
              <w:rPr>
                <w:rFonts w:hint="eastAsia" w:ascii="宋体" w:hAnsi="宋体"/>
                <w:b/>
              </w:rPr>
              <w:t>总产（吨）</w:t>
            </w:r>
          </w:p>
        </w:tc>
        <w:tc>
          <w:tcPr>
            <w:tcW w:w="320" w:type="pct"/>
            <w:vAlign w:val="center"/>
          </w:tcPr>
          <w:p w14:paraId="6BE8CB10">
            <w:pPr>
              <w:pStyle w:val="12"/>
              <w:jc w:val="center"/>
              <w:rPr>
                <w:rFonts w:ascii="宋体" w:hAnsi="宋体"/>
                <w:b/>
              </w:rPr>
            </w:pPr>
            <w:r>
              <w:rPr>
                <w:rFonts w:hint="eastAsia" w:ascii="宋体" w:hAnsi="宋体"/>
                <w:b/>
              </w:rPr>
              <w:t>亩产（公斤）</w:t>
            </w:r>
          </w:p>
        </w:tc>
        <w:tc>
          <w:tcPr>
            <w:tcW w:w="424" w:type="pct"/>
            <w:vAlign w:val="center"/>
          </w:tcPr>
          <w:p w14:paraId="01FA4FAD">
            <w:pPr>
              <w:pStyle w:val="12"/>
              <w:jc w:val="center"/>
              <w:rPr>
                <w:rFonts w:ascii="宋体" w:hAnsi="宋体"/>
                <w:b/>
              </w:rPr>
            </w:pPr>
            <w:r>
              <w:rPr>
                <w:rFonts w:hint="eastAsia" w:ascii="宋体" w:hAnsi="宋体"/>
                <w:b/>
              </w:rPr>
              <w:t>面积（亩）</w:t>
            </w:r>
          </w:p>
        </w:tc>
        <w:tc>
          <w:tcPr>
            <w:tcW w:w="424" w:type="pct"/>
            <w:vAlign w:val="center"/>
          </w:tcPr>
          <w:p w14:paraId="36B29BB1">
            <w:pPr>
              <w:pStyle w:val="12"/>
              <w:jc w:val="center"/>
              <w:rPr>
                <w:rFonts w:ascii="宋体" w:hAnsi="宋体"/>
                <w:b/>
              </w:rPr>
            </w:pPr>
            <w:r>
              <w:rPr>
                <w:rFonts w:hint="eastAsia" w:ascii="宋体" w:hAnsi="宋体"/>
                <w:b/>
              </w:rPr>
              <w:t>总产（吨）</w:t>
            </w:r>
          </w:p>
        </w:tc>
        <w:tc>
          <w:tcPr>
            <w:tcW w:w="319" w:type="pct"/>
            <w:vAlign w:val="center"/>
          </w:tcPr>
          <w:p w14:paraId="4A3EF12A">
            <w:pPr>
              <w:pStyle w:val="12"/>
              <w:jc w:val="center"/>
              <w:rPr>
                <w:rFonts w:ascii="宋体" w:hAnsi="宋体"/>
                <w:b/>
              </w:rPr>
            </w:pPr>
            <w:r>
              <w:rPr>
                <w:rFonts w:hint="eastAsia" w:ascii="宋体" w:hAnsi="宋体"/>
                <w:b/>
              </w:rPr>
              <w:t>亩产（公斤）</w:t>
            </w:r>
          </w:p>
        </w:tc>
        <w:tc>
          <w:tcPr>
            <w:tcW w:w="424" w:type="pct"/>
            <w:vAlign w:val="center"/>
          </w:tcPr>
          <w:p w14:paraId="5FA53B34">
            <w:pPr>
              <w:pStyle w:val="12"/>
              <w:jc w:val="center"/>
              <w:rPr>
                <w:rFonts w:ascii="宋体" w:hAnsi="宋体"/>
                <w:b/>
              </w:rPr>
            </w:pPr>
            <w:r>
              <w:rPr>
                <w:rFonts w:hint="eastAsia" w:ascii="宋体" w:hAnsi="宋体"/>
                <w:b/>
              </w:rPr>
              <w:t>面积（亩）</w:t>
            </w:r>
          </w:p>
        </w:tc>
        <w:tc>
          <w:tcPr>
            <w:tcW w:w="424" w:type="pct"/>
            <w:vAlign w:val="center"/>
          </w:tcPr>
          <w:p w14:paraId="13CE00BE">
            <w:pPr>
              <w:pStyle w:val="12"/>
              <w:jc w:val="center"/>
              <w:rPr>
                <w:rFonts w:ascii="宋体" w:hAnsi="宋体"/>
                <w:b/>
              </w:rPr>
            </w:pPr>
            <w:r>
              <w:rPr>
                <w:rFonts w:hint="eastAsia" w:ascii="宋体" w:hAnsi="宋体"/>
                <w:b/>
              </w:rPr>
              <w:t>总产（吨）</w:t>
            </w:r>
          </w:p>
        </w:tc>
        <w:tc>
          <w:tcPr>
            <w:tcW w:w="319" w:type="pct"/>
            <w:vAlign w:val="center"/>
          </w:tcPr>
          <w:p w14:paraId="24AC7B9A">
            <w:pPr>
              <w:pStyle w:val="12"/>
              <w:jc w:val="center"/>
              <w:rPr>
                <w:rFonts w:ascii="宋体" w:hAnsi="宋体"/>
                <w:b/>
              </w:rPr>
            </w:pPr>
            <w:r>
              <w:rPr>
                <w:rFonts w:hint="eastAsia" w:ascii="宋体" w:hAnsi="宋体"/>
                <w:b/>
              </w:rPr>
              <w:t>亩产（公斤）</w:t>
            </w:r>
          </w:p>
        </w:tc>
        <w:tc>
          <w:tcPr>
            <w:tcW w:w="424" w:type="pct"/>
            <w:vMerge w:val="continue"/>
            <w:vAlign w:val="center"/>
          </w:tcPr>
          <w:p w14:paraId="1407D733">
            <w:pPr>
              <w:pStyle w:val="12"/>
              <w:jc w:val="center"/>
              <w:rPr>
                <w:rFonts w:ascii="宋体" w:hAnsi="宋体"/>
              </w:rPr>
            </w:pPr>
          </w:p>
        </w:tc>
        <w:tc>
          <w:tcPr>
            <w:tcW w:w="424" w:type="pct"/>
            <w:vMerge w:val="continue"/>
            <w:vAlign w:val="center"/>
          </w:tcPr>
          <w:p w14:paraId="72839CD1">
            <w:pPr>
              <w:pStyle w:val="12"/>
              <w:jc w:val="center"/>
              <w:rPr>
                <w:rFonts w:ascii="宋体" w:hAnsi="宋体"/>
              </w:rPr>
            </w:pPr>
          </w:p>
        </w:tc>
        <w:tc>
          <w:tcPr>
            <w:tcW w:w="319" w:type="pct"/>
            <w:vMerge w:val="continue"/>
            <w:vAlign w:val="center"/>
          </w:tcPr>
          <w:p w14:paraId="41608875">
            <w:pPr>
              <w:pStyle w:val="12"/>
              <w:jc w:val="center"/>
              <w:rPr>
                <w:rFonts w:ascii="宋体" w:hAnsi="宋体"/>
              </w:rPr>
            </w:pPr>
          </w:p>
        </w:tc>
      </w:tr>
      <w:tr w14:paraId="4D4A0D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14:paraId="1AD51D68">
            <w:pPr>
              <w:pStyle w:val="12"/>
              <w:jc w:val="center"/>
              <w:rPr>
                <w:rFonts w:ascii="宋体" w:hAnsi="宋体"/>
              </w:rPr>
            </w:pPr>
            <w:r>
              <w:rPr>
                <w:rFonts w:ascii="宋体" w:hAnsi="宋体"/>
              </w:rPr>
              <w:t>1988</w:t>
            </w:r>
          </w:p>
        </w:tc>
        <w:tc>
          <w:tcPr>
            <w:tcW w:w="415" w:type="pct"/>
            <w:vAlign w:val="center"/>
          </w:tcPr>
          <w:p w14:paraId="171E6EA0">
            <w:pPr>
              <w:pStyle w:val="12"/>
              <w:jc w:val="center"/>
              <w:rPr>
                <w:rFonts w:ascii="宋体" w:hAnsi="宋体"/>
              </w:rPr>
            </w:pPr>
            <w:r>
              <w:rPr>
                <w:rFonts w:ascii="宋体" w:hAnsi="宋体"/>
              </w:rPr>
              <w:t>13525</w:t>
            </w:r>
          </w:p>
        </w:tc>
        <w:tc>
          <w:tcPr>
            <w:tcW w:w="424" w:type="pct"/>
            <w:vAlign w:val="center"/>
          </w:tcPr>
          <w:p w14:paraId="6A51EC56">
            <w:pPr>
              <w:pStyle w:val="12"/>
              <w:jc w:val="center"/>
              <w:rPr>
                <w:rFonts w:ascii="宋体" w:hAnsi="宋体"/>
              </w:rPr>
            </w:pPr>
            <w:r>
              <w:rPr>
                <w:rFonts w:ascii="宋体" w:hAnsi="宋体"/>
              </w:rPr>
              <w:t>2946</w:t>
            </w:r>
          </w:p>
        </w:tc>
        <w:tc>
          <w:tcPr>
            <w:tcW w:w="320" w:type="pct"/>
            <w:vAlign w:val="center"/>
          </w:tcPr>
          <w:p w14:paraId="70413B5F">
            <w:pPr>
              <w:pStyle w:val="12"/>
              <w:jc w:val="center"/>
              <w:rPr>
                <w:rFonts w:ascii="宋体" w:hAnsi="宋体"/>
              </w:rPr>
            </w:pPr>
            <w:r>
              <w:rPr>
                <w:rFonts w:ascii="宋体" w:hAnsi="宋体"/>
              </w:rPr>
              <w:t>218</w:t>
            </w:r>
          </w:p>
        </w:tc>
        <w:tc>
          <w:tcPr>
            <w:tcW w:w="424" w:type="pct"/>
            <w:vAlign w:val="center"/>
          </w:tcPr>
          <w:p w14:paraId="49212641">
            <w:pPr>
              <w:pStyle w:val="12"/>
              <w:jc w:val="center"/>
              <w:rPr>
                <w:rFonts w:ascii="宋体" w:hAnsi="宋体"/>
              </w:rPr>
            </w:pPr>
            <w:r>
              <w:rPr>
                <w:rFonts w:ascii="宋体" w:hAnsi="宋体"/>
              </w:rPr>
              <w:t>7851</w:t>
            </w:r>
          </w:p>
        </w:tc>
        <w:tc>
          <w:tcPr>
            <w:tcW w:w="424" w:type="pct"/>
            <w:vAlign w:val="center"/>
          </w:tcPr>
          <w:p w14:paraId="713F3D04">
            <w:pPr>
              <w:pStyle w:val="12"/>
              <w:jc w:val="center"/>
              <w:rPr>
                <w:rFonts w:ascii="宋体" w:hAnsi="宋体"/>
              </w:rPr>
            </w:pPr>
            <w:r>
              <w:rPr>
                <w:rFonts w:ascii="宋体" w:hAnsi="宋体"/>
              </w:rPr>
              <w:t>965</w:t>
            </w:r>
          </w:p>
        </w:tc>
        <w:tc>
          <w:tcPr>
            <w:tcW w:w="319" w:type="pct"/>
            <w:vAlign w:val="center"/>
          </w:tcPr>
          <w:p w14:paraId="019BCF6A">
            <w:pPr>
              <w:pStyle w:val="12"/>
              <w:jc w:val="center"/>
              <w:rPr>
                <w:rFonts w:ascii="宋体" w:hAnsi="宋体"/>
              </w:rPr>
            </w:pPr>
            <w:r>
              <w:rPr>
                <w:rFonts w:ascii="宋体" w:hAnsi="宋体"/>
              </w:rPr>
              <w:t>123</w:t>
            </w:r>
          </w:p>
        </w:tc>
        <w:tc>
          <w:tcPr>
            <w:tcW w:w="424" w:type="pct"/>
            <w:vAlign w:val="center"/>
          </w:tcPr>
          <w:p w14:paraId="6660633C">
            <w:pPr>
              <w:pStyle w:val="12"/>
              <w:jc w:val="center"/>
              <w:rPr>
                <w:rFonts w:ascii="宋体" w:hAnsi="宋体"/>
              </w:rPr>
            </w:pPr>
            <w:r>
              <w:rPr>
                <w:rFonts w:ascii="宋体" w:hAnsi="宋体"/>
              </w:rPr>
              <w:t>14149</w:t>
            </w:r>
          </w:p>
        </w:tc>
        <w:tc>
          <w:tcPr>
            <w:tcW w:w="424" w:type="pct"/>
            <w:vAlign w:val="center"/>
          </w:tcPr>
          <w:p w14:paraId="3EB11DEC">
            <w:pPr>
              <w:pStyle w:val="12"/>
              <w:jc w:val="center"/>
              <w:rPr>
                <w:rFonts w:ascii="宋体" w:hAnsi="宋体"/>
              </w:rPr>
            </w:pPr>
            <w:r>
              <w:rPr>
                <w:rFonts w:ascii="宋体" w:hAnsi="宋体"/>
              </w:rPr>
              <w:t>167</w:t>
            </w:r>
          </w:p>
        </w:tc>
        <w:tc>
          <w:tcPr>
            <w:tcW w:w="319" w:type="pct"/>
            <w:vAlign w:val="center"/>
          </w:tcPr>
          <w:p w14:paraId="121E5DB8">
            <w:pPr>
              <w:pStyle w:val="12"/>
              <w:jc w:val="center"/>
              <w:rPr>
                <w:rFonts w:ascii="宋体" w:hAnsi="宋体"/>
              </w:rPr>
            </w:pPr>
            <w:r>
              <w:rPr>
                <w:rFonts w:ascii="宋体" w:hAnsi="宋体"/>
              </w:rPr>
              <w:t>12</w:t>
            </w:r>
          </w:p>
        </w:tc>
        <w:tc>
          <w:tcPr>
            <w:tcW w:w="424" w:type="pct"/>
            <w:vAlign w:val="center"/>
          </w:tcPr>
          <w:p w14:paraId="47FEA0C6">
            <w:pPr>
              <w:pStyle w:val="12"/>
              <w:jc w:val="center"/>
              <w:rPr>
                <w:rFonts w:ascii="宋体" w:hAnsi="宋体"/>
              </w:rPr>
            </w:pPr>
            <w:r>
              <w:rPr>
                <w:rFonts w:ascii="宋体" w:hAnsi="宋体"/>
              </w:rPr>
              <w:t>83</w:t>
            </w:r>
          </w:p>
        </w:tc>
        <w:tc>
          <w:tcPr>
            <w:tcW w:w="424" w:type="pct"/>
            <w:vAlign w:val="center"/>
          </w:tcPr>
          <w:p w14:paraId="47D41812">
            <w:pPr>
              <w:pStyle w:val="12"/>
              <w:jc w:val="center"/>
              <w:rPr>
                <w:rFonts w:ascii="宋体" w:hAnsi="宋体"/>
              </w:rPr>
            </w:pPr>
            <w:r>
              <w:rPr>
                <w:rFonts w:ascii="宋体" w:hAnsi="宋体"/>
              </w:rPr>
              <w:t>4161</w:t>
            </w:r>
          </w:p>
        </w:tc>
        <w:tc>
          <w:tcPr>
            <w:tcW w:w="319" w:type="pct"/>
            <w:vAlign w:val="center"/>
          </w:tcPr>
          <w:p w14:paraId="7E57434B">
            <w:pPr>
              <w:pStyle w:val="12"/>
              <w:jc w:val="center"/>
              <w:rPr>
                <w:rFonts w:ascii="宋体" w:hAnsi="宋体"/>
              </w:rPr>
            </w:pPr>
            <w:r>
              <w:rPr>
                <w:rFonts w:ascii="宋体" w:hAnsi="宋体"/>
              </w:rPr>
              <w:t>9.9</w:t>
            </w:r>
          </w:p>
        </w:tc>
      </w:tr>
      <w:tr w14:paraId="3B4EC1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14:paraId="5D713ED6">
            <w:pPr>
              <w:pStyle w:val="12"/>
              <w:jc w:val="center"/>
              <w:rPr>
                <w:rFonts w:ascii="宋体" w:hAnsi="宋体"/>
              </w:rPr>
            </w:pPr>
            <w:r>
              <w:rPr>
                <w:rFonts w:ascii="宋体" w:hAnsi="宋体"/>
              </w:rPr>
              <w:t>1989</w:t>
            </w:r>
          </w:p>
        </w:tc>
        <w:tc>
          <w:tcPr>
            <w:tcW w:w="415" w:type="pct"/>
            <w:vAlign w:val="center"/>
          </w:tcPr>
          <w:p w14:paraId="36D71CAE">
            <w:pPr>
              <w:pStyle w:val="12"/>
              <w:jc w:val="center"/>
              <w:rPr>
                <w:rFonts w:ascii="宋体" w:hAnsi="宋体"/>
              </w:rPr>
            </w:pPr>
            <w:r>
              <w:rPr>
                <w:rFonts w:ascii="宋体" w:hAnsi="宋体"/>
              </w:rPr>
              <w:t>13036</w:t>
            </w:r>
          </w:p>
        </w:tc>
        <w:tc>
          <w:tcPr>
            <w:tcW w:w="424" w:type="pct"/>
            <w:vAlign w:val="center"/>
          </w:tcPr>
          <w:p w14:paraId="5A5BD757">
            <w:pPr>
              <w:pStyle w:val="12"/>
              <w:jc w:val="center"/>
              <w:rPr>
                <w:rFonts w:ascii="宋体" w:hAnsi="宋体"/>
              </w:rPr>
            </w:pPr>
            <w:r>
              <w:rPr>
                <w:rFonts w:ascii="宋体" w:hAnsi="宋体"/>
              </w:rPr>
              <w:t>2922</w:t>
            </w:r>
          </w:p>
        </w:tc>
        <w:tc>
          <w:tcPr>
            <w:tcW w:w="320" w:type="pct"/>
            <w:vAlign w:val="center"/>
          </w:tcPr>
          <w:p w14:paraId="0DCD0310">
            <w:pPr>
              <w:pStyle w:val="12"/>
              <w:jc w:val="center"/>
              <w:rPr>
                <w:rFonts w:ascii="宋体" w:hAnsi="宋体"/>
              </w:rPr>
            </w:pPr>
            <w:r>
              <w:rPr>
                <w:rFonts w:ascii="宋体" w:hAnsi="宋体"/>
              </w:rPr>
              <w:t>224</w:t>
            </w:r>
          </w:p>
        </w:tc>
        <w:tc>
          <w:tcPr>
            <w:tcW w:w="424" w:type="pct"/>
            <w:vAlign w:val="center"/>
          </w:tcPr>
          <w:p w14:paraId="75D3027F">
            <w:pPr>
              <w:pStyle w:val="12"/>
              <w:jc w:val="center"/>
              <w:rPr>
                <w:rFonts w:ascii="宋体" w:hAnsi="宋体"/>
              </w:rPr>
            </w:pPr>
            <w:r>
              <w:rPr>
                <w:rFonts w:ascii="宋体" w:hAnsi="宋体"/>
              </w:rPr>
              <w:t>8114</w:t>
            </w:r>
          </w:p>
        </w:tc>
        <w:tc>
          <w:tcPr>
            <w:tcW w:w="424" w:type="pct"/>
            <w:vAlign w:val="center"/>
          </w:tcPr>
          <w:p w14:paraId="0EDEE135">
            <w:pPr>
              <w:pStyle w:val="12"/>
              <w:jc w:val="center"/>
              <w:rPr>
                <w:rFonts w:ascii="宋体" w:hAnsi="宋体"/>
              </w:rPr>
            </w:pPr>
            <w:r>
              <w:rPr>
                <w:rFonts w:ascii="宋体" w:hAnsi="宋体"/>
              </w:rPr>
              <w:t>1005</w:t>
            </w:r>
          </w:p>
        </w:tc>
        <w:tc>
          <w:tcPr>
            <w:tcW w:w="319" w:type="pct"/>
            <w:vAlign w:val="center"/>
          </w:tcPr>
          <w:p w14:paraId="79557CE9">
            <w:pPr>
              <w:pStyle w:val="12"/>
              <w:jc w:val="center"/>
              <w:rPr>
                <w:rFonts w:ascii="宋体" w:hAnsi="宋体"/>
              </w:rPr>
            </w:pPr>
            <w:r>
              <w:rPr>
                <w:rFonts w:ascii="宋体" w:hAnsi="宋体"/>
              </w:rPr>
              <w:t>124</w:t>
            </w:r>
          </w:p>
        </w:tc>
        <w:tc>
          <w:tcPr>
            <w:tcW w:w="424" w:type="pct"/>
            <w:vAlign w:val="center"/>
          </w:tcPr>
          <w:p w14:paraId="744E5CE5">
            <w:pPr>
              <w:pStyle w:val="12"/>
              <w:jc w:val="center"/>
              <w:rPr>
                <w:rFonts w:ascii="宋体" w:hAnsi="宋体"/>
              </w:rPr>
            </w:pPr>
            <w:r>
              <w:rPr>
                <w:rFonts w:ascii="宋体" w:hAnsi="宋体"/>
              </w:rPr>
              <w:t>14324</w:t>
            </w:r>
          </w:p>
        </w:tc>
        <w:tc>
          <w:tcPr>
            <w:tcW w:w="424" w:type="pct"/>
            <w:vAlign w:val="center"/>
          </w:tcPr>
          <w:p w14:paraId="0977CA5E">
            <w:pPr>
              <w:pStyle w:val="12"/>
              <w:jc w:val="center"/>
              <w:rPr>
                <w:rFonts w:ascii="宋体" w:hAnsi="宋体"/>
              </w:rPr>
            </w:pPr>
            <w:r>
              <w:rPr>
                <w:rFonts w:ascii="宋体" w:hAnsi="宋体"/>
              </w:rPr>
              <w:t>198</w:t>
            </w:r>
          </w:p>
        </w:tc>
        <w:tc>
          <w:tcPr>
            <w:tcW w:w="319" w:type="pct"/>
            <w:vAlign w:val="center"/>
          </w:tcPr>
          <w:p w14:paraId="59F5AF3E">
            <w:pPr>
              <w:pStyle w:val="12"/>
              <w:jc w:val="center"/>
              <w:rPr>
                <w:rFonts w:ascii="宋体" w:hAnsi="宋体"/>
              </w:rPr>
            </w:pPr>
            <w:r>
              <w:rPr>
                <w:rFonts w:ascii="宋体" w:hAnsi="宋体"/>
              </w:rPr>
              <w:t>14</w:t>
            </w:r>
          </w:p>
        </w:tc>
        <w:tc>
          <w:tcPr>
            <w:tcW w:w="424" w:type="pct"/>
            <w:vAlign w:val="center"/>
          </w:tcPr>
          <w:p w14:paraId="74D351C9">
            <w:pPr>
              <w:pStyle w:val="12"/>
              <w:jc w:val="center"/>
              <w:rPr>
                <w:rFonts w:ascii="宋体" w:hAnsi="宋体"/>
              </w:rPr>
            </w:pPr>
            <w:r>
              <w:rPr>
                <w:rFonts w:ascii="宋体" w:hAnsi="宋体"/>
              </w:rPr>
              <w:t>96</w:t>
            </w:r>
          </w:p>
        </w:tc>
        <w:tc>
          <w:tcPr>
            <w:tcW w:w="424" w:type="pct"/>
            <w:vAlign w:val="center"/>
          </w:tcPr>
          <w:p w14:paraId="4209329B">
            <w:pPr>
              <w:pStyle w:val="12"/>
              <w:jc w:val="center"/>
              <w:rPr>
                <w:rFonts w:ascii="宋体" w:hAnsi="宋体"/>
              </w:rPr>
            </w:pPr>
            <w:r>
              <w:rPr>
                <w:rFonts w:ascii="宋体" w:hAnsi="宋体"/>
              </w:rPr>
              <w:t>4221</w:t>
            </w:r>
          </w:p>
        </w:tc>
        <w:tc>
          <w:tcPr>
            <w:tcW w:w="319" w:type="pct"/>
            <w:vAlign w:val="center"/>
          </w:tcPr>
          <w:p w14:paraId="6F80E2B8">
            <w:pPr>
              <w:pStyle w:val="12"/>
              <w:jc w:val="center"/>
              <w:rPr>
                <w:rFonts w:ascii="宋体" w:hAnsi="宋体"/>
              </w:rPr>
            </w:pPr>
            <w:r>
              <w:rPr>
                <w:rFonts w:ascii="宋体" w:hAnsi="宋体"/>
              </w:rPr>
              <w:t>9.8</w:t>
            </w:r>
          </w:p>
        </w:tc>
      </w:tr>
      <w:tr w14:paraId="73576C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14:paraId="246B04F3">
            <w:pPr>
              <w:pStyle w:val="12"/>
              <w:jc w:val="center"/>
              <w:rPr>
                <w:rFonts w:ascii="宋体" w:hAnsi="宋体"/>
              </w:rPr>
            </w:pPr>
            <w:r>
              <w:rPr>
                <w:rFonts w:ascii="宋体" w:hAnsi="宋体"/>
              </w:rPr>
              <w:t>1990</w:t>
            </w:r>
          </w:p>
        </w:tc>
        <w:tc>
          <w:tcPr>
            <w:tcW w:w="415" w:type="pct"/>
            <w:vAlign w:val="center"/>
          </w:tcPr>
          <w:p w14:paraId="2A7F28A1">
            <w:pPr>
              <w:pStyle w:val="12"/>
              <w:jc w:val="center"/>
              <w:rPr>
                <w:rFonts w:ascii="宋体" w:hAnsi="宋体"/>
              </w:rPr>
            </w:pPr>
            <w:r>
              <w:rPr>
                <w:rFonts w:ascii="宋体" w:hAnsi="宋体"/>
              </w:rPr>
              <w:t>13184</w:t>
            </w:r>
          </w:p>
        </w:tc>
        <w:tc>
          <w:tcPr>
            <w:tcW w:w="424" w:type="pct"/>
            <w:vAlign w:val="center"/>
          </w:tcPr>
          <w:p w14:paraId="2DE29B94">
            <w:pPr>
              <w:pStyle w:val="12"/>
              <w:jc w:val="center"/>
              <w:rPr>
                <w:rFonts w:ascii="宋体" w:hAnsi="宋体"/>
              </w:rPr>
            </w:pPr>
            <w:r>
              <w:rPr>
                <w:rFonts w:ascii="宋体" w:hAnsi="宋体"/>
              </w:rPr>
              <w:t>3483</w:t>
            </w:r>
          </w:p>
        </w:tc>
        <w:tc>
          <w:tcPr>
            <w:tcW w:w="320" w:type="pct"/>
            <w:vAlign w:val="center"/>
          </w:tcPr>
          <w:p w14:paraId="6C28E233">
            <w:pPr>
              <w:pStyle w:val="12"/>
              <w:jc w:val="center"/>
              <w:rPr>
                <w:rFonts w:ascii="宋体" w:hAnsi="宋体"/>
              </w:rPr>
            </w:pPr>
            <w:r>
              <w:rPr>
                <w:rFonts w:ascii="宋体" w:hAnsi="宋体"/>
              </w:rPr>
              <w:t>264</w:t>
            </w:r>
          </w:p>
        </w:tc>
        <w:tc>
          <w:tcPr>
            <w:tcW w:w="424" w:type="pct"/>
            <w:vAlign w:val="center"/>
          </w:tcPr>
          <w:p w14:paraId="70FBFA67">
            <w:pPr>
              <w:pStyle w:val="12"/>
              <w:jc w:val="center"/>
              <w:rPr>
                <w:rFonts w:ascii="宋体" w:hAnsi="宋体"/>
              </w:rPr>
            </w:pPr>
            <w:r>
              <w:rPr>
                <w:rFonts w:ascii="宋体" w:hAnsi="宋体"/>
              </w:rPr>
              <w:t>8114</w:t>
            </w:r>
          </w:p>
        </w:tc>
        <w:tc>
          <w:tcPr>
            <w:tcW w:w="424" w:type="pct"/>
            <w:vAlign w:val="center"/>
          </w:tcPr>
          <w:p w14:paraId="0F68805A">
            <w:pPr>
              <w:pStyle w:val="12"/>
              <w:jc w:val="center"/>
              <w:rPr>
                <w:rFonts w:ascii="宋体" w:hAnsi="宋体"/>
              </w:rPr>
            </w:pPr>
            <w:r>
              <w:rPr>
                <w:rFonts w:ascii="宋体" w:hAnsi="宋体"/>
              </w:rPr>
              <w:t>1182</w:t>
            </w:r>
          </w:p>
        </w:tc>
        <w:tc>
          <w:tcPr>
            <w:tcW w:w="319" w:type="pct"/>
            <w:vAlign w:val="center"/>
          </w:tcPr>
          <w:p w14:paraId="67AD746E">
            <w:pPr>
              <w:pStyle w:val="12"/>
              <w:jc w:val="center"/>
              <w:rPr>
                <w:rFonts w:ascii="宋体" w:hAnsi="宋体"/>
              </w:rPr>
            </w:pPr>
            <w:r>
              <w:rPr>
                <w:rFonts w:ascii="宋体" w:hAnsi="宋体"/>
              </w:rPr>
              <w:t>145</w:t>
            </w:r>
          </w:p>
        </w:tc>
        <w:tc>
          <w:tcPr>
            <w:tcW w:w="424" w:type="pct"/>
            <w:vAlign w:val="center"/>
          </w:tcPr>
          <w:p w14:paraId="0DFD29FB">
            <w:pPr>
              <w:pStyle w:val="12"/>
              <w:jc w:val="center"/>
              <w:rPr>
                <w:rFonts w:ascii="宋体" w:hAnsi="宋体"/>
              </w:rPr>
            </w:pPr>
            <w:r>
              <w:rPr>
                <w:rFonts w:ascii="宋体" w:hAnsi="宋体"/>
              </w:rPr>
              <w:t>14297</w:t>
            </w:r>
          </w:p>
        </w:tc>
        <w:tc>
          <w:tcPr>
            <w:tcW w:w="424" w:type="pct"/>
            <w:vAlign w:val="center"/>
          </w:tcPr>
          <w:p w14:paraId="6D51F4C7">
            <w:pPr>
              <w:pStyle w:val="12"/>
              <w:jc w:val="center"/>
              <w:rPr>
                <w:rFonts w:ascii="宋体" w:hAnsi="宋体"/>
              </w:rPr>
            </w:pPr>
            <w:r>
              <w:rPr>
                <w:rFonts w:ascii="宋体" w:hAnsi="宋体"/>
              </w:rPr>
              <w:t>149</w:t>
            </w:r>
          </w:p>
        </w:tc>
        <w:tc>
          <w:tcPr>
            <w:tcW w:w="319" w:type="pct"/>
            <w:vAlign w:val="center"/>
          </w:tcPr>
          <w:p w14:paraId="63F69D23">
            <w:pPr>
              <w:pStyle w:val="12"/>
              <w:jc w:val="center"/>
              <w:rPr>
                <w:rFonts w:ascii="宋体" w:hAnsi="宋体"/>
              </w:rPr>
            </w:pPr>
            <w:r>
              <w:rPr>
                <w:rFonts w:ascii="宋体" w:hAnsi="宋体"/>
              </w:rPr>
              <w:t>10</w:t>
            </w:r>
          </w:p>
        </w:tc>
        <w:tc>
          <w:tcPr>
            <w:tcW w:w="424" w:type="pct"/>
            <w:vAlign w:val="center"/>
          </w:tcPr>
          <w:p w14:paraId="226E842C">
            <w:pPr>
              <w:pStyle w:val="12"/>
              <w:jc w:val="center"/>
              <w:rPr>
                <w:rFonts w:ascii="宋体" w:hAnsi="宋体"/>
              </w:rPr>
            </w:pPr>
            <w:r>
              <w:rPr>
                <w:rFonts w:ascii="宋体" w:hAnsi="宋体"/>
              </w:rPr>
              <w:t>89</w:t>
            </w:r>
          </w:p>
        </w:tc>
        <w:tc>
          <w:tcPr>
            <w:tcW w:w="424" w:type="pct"/>
            <w:vAlign w:val="center"/>
          </w:tcPr>
          <w:p w14:paraId="69E508C4">
            <w:pPr>
              <w:pStyle w:val="12"/>
              <w:jc w:val="center"/>
              <w:rPr>
                <w:rFonts w:ascii="宋体" w:hAnsi="宋体"/>
              </w:rPr>
            </w:pPr>
            <w:r>
              <w:rPr>
                <w:rFonts w:ascii="宋体" w:hAnsi="宋体"/>
              </w:rPr>
              <w:t>4903</w:t>
            </w:r>
          </w:p>
        </w:tc>
        <w:tc>
          <w:tcPr>
            <w:tcW w:w="319" w:type="pct"/>
            <w:vAlign w:val="center"/>
          </w:tcPr>
          <w:p w14:paraId="7C3A64B3">
            <w:pPr>
              <w:pStyle w:val="12"/>
              <w:jc w:val="center"/>
              <w:rPr>
                <w:rFonts w:ascii="宋体" w:hAnsi="宋体"/>
              </w:rPr>
            </w:pPr>
            <w:r>
              <w:rPr>
                <w:rFonts w:ascii="宋体" w:hAnsi="宋体"/>
              </w:rPr>
              <w:t>11</w:t>
            </w:r>
          </w:p>
        </w:tc>
      </w:tr>
      <w:tr w14:paraId="35A658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14:paraId="020CCF28">
            <w:pPr>
              <w:pStyle w:val="12"/>
              <w:jc w:val="center"/>
              <w:rPr>
                <w:rFonts w:ascii="宋体" w:hAnsi="宋体"/>
              </w:rPr>
            </w:pPr>
            <w:r>
              <w:rPr>
                <w:rFonts w:ascii="宋体" w:hAnsi="宋体"/>
              </w:rPr>
              <w:t>1991</w:t>
            </w:r>
          </w:p>
        </w:tc>
        <w:tc>
          <w:tcPr>
            <w:tcW w:w="415" w:type="pct"/>
            <w:vAlign w:val="center"/>
          </w:tcPr>
          <w:p w14:paraId="4C214660">
            <w:pPr>
              <w:pStyle w:val="12"/>
              <w:jc w:val="center"/>
              <w:rPr>
                <w:rFonts w:ascii="宋体" w:hAnsi="宋体"/>
              </w:rPr>
            </w:pPr>
            <w:r>
              <w:rPr>
                <w:rFonts w:ascii="宋体" w:hAnsi="宋体"/>
              </w:rPr>
              <w:t>12937</w:t>
            </w:r>
          </w:p>
        </w:tc>
        <w:tc>
          <w:tcPr>
            <w:tcW w:w="424" w:type="pct"/>
            <w:vAlign w:val="center"/>
          </w:tcPr>
          <w:p w14:paraId="6D4047F1">
            <w:pPr>
              <w:pStyle w:val="12"/>
              <w:jc w:val="center"/>
              <w:rPr>
                <w:rFonts w:ascii="宋体" w:hAnsi="宋体"/>
              </w:rPr>
            </w:pPr>
            <w:r>
              <w:rPr>
                <w:rFonts w:ascii="宋体" w:hAnsi="宋体"/>
              </w:rPr>
              <w:t>3687</w:t>
            </w:r>
          </w:p>
        </w:tc>
        <w:tc>
          <w:tcPr>
            <w:tcW w:w="320" w:type="pct"/>
            <w:vAlign w:val="center"/>
          </w:tcPr>
          <w:p w14:paraId="10337D2C">
            <w:pPr>
              <w:pStyle w:val="12"/>
              <w:jc w:val="center"/>
              <w:rPr>
                <w:rFonts w:ascii="宋体" w:hAnsi="宋体"/>
              </w:rPr>
            </w:pPr>
            <w:r>
              <w:rPr>
                <w:rFonts w:ascii="宋体" w:hAnsi="宋体"/>
              </w:rPr>
              <w:t>285</w:t>
            </w:r>
          </w:p>
        </w:tc>
        <w:tc>
          <w:tcPr>
            <w:tcW w:w="424" w:type="pct"/>
            <w:vAlign w:val="center"/>
          </w:tcPr>
          <w:p w14:paraId="39CBB642">
            <w:pPr>
              <w:pStyle w:val="12"/>
              <w:jc w:val="center"/>
              <w:rPr>
                <w:rFonts w:ascii="宋体" w:hAnsi="宋体"/>
              </w:rPr>
            </w:pPr>
            <w:r>
              <w:rPr>
                <w:rFonts w:ascii="宋体" w:hAnsi="宋体"/>
              </w:rPr>
              <w:t>8614</w:t>
            </w:r>
          </w:p>
        </w:tc>
        <w:tc>
          <w:tcPr>
            <w:tcW w:w="424" w:type="pct"/>
            <w:vAlign w:val="center"/>
          </w:tcPr>
          <w:p w14:paraId="21D30E37">
            <w:pPr>
              <w:pStyle w:val="12"/>
              <w:jc w:val="center"/>
              <w:rPr>
                <w:rFonts w:ascii="宋体" w:hAnsi="宋体"/>
              </w:rPr>
            </w:pPr>
            <w:r>
              <w:rPr>
                <w:rFonts w:ascii="宋体" w:hAnsi="宋体"/>
              </w:rPr>
              <w:t>1402</w:t>
            </w:r>
          </w:p>
        </w:tc>
        <w:tc>
          <w:tcPr>
            <w:tcW w:w="319" w:type="pct"/>
            <w:vAlign w:val="center"/>
          </w:tcPr>
          <w:p w14:paraId="52CCA9B2">
            <w:pPr>
              <w:pStyle w:val="12"/>
              <w:jc w:val="center"/>
              <w:rPr>
                <w:rFonts w:ascii="宋体" w:hAnsi="宋体"/>
              </w:rPr>
            </w:pPr>
            <w:r>
              <w:rPr>
                <w:rFonts w:ascii="宋体" w:hAnsi="宋体"/>
              </w:rPr>
              <w:t>163</w:t>
            </w:r>
          </w:p>
        </w:tc>
        <w:tc>
          <w:tcPr>
            <w:tcW w:w="424" w:type="pct"/>
            <w:vAlign w:val="center"/>
          </w:tcPr>
          <w:p w14:paraId="7C84B2B1">
            <w:pPr>
              <w:pStyle w:val="12"/>
              <w:jc w:val="center"/>
              <w:rPr>
                <w:rFonts w:ascii="宋体" w:hAnsi="宋体"/>
              </w:rPr>
            </w:pPr>
            <w:r>
              <w:rPr>
                <w:rFonts w:ascii="宋体" w:hAnsi="宋体"/>
              </w:rPr>
              <w:t>14229</w:t>
            </w:r>
          </w:p>
        </w:tc>
        <w:tc>
          <w:tcPr>
            <w:tcW w:w="424" w:type="pct"/>
            <w:vAlign w:val="center"/>
          </w:tcPr>
          <w:p w14:paraId="216D5879">
            <w:pPr>
              <w:pStyle w:val="12"/>
              <w:jc w:val="center"/>
              <w:rPr>
                <w:rFonts w:ascii="宋体" w:hAnsi="宋体"/>
              </w:rPr>
            </w:pPr>
            <w:r>
              <w:rPr>
                <w:rFonts w:ascii="宋体" w:hAnsi="宋体"/>
              </w:rPr>
              <w:t>157</w:t>
            </w:r>
          </w:p>
        </w:tc>
        <w:tc>
          <w:tcPr>
            <w:tcW w:w="319" w:type="pct"/>
            <w:vAlign w:val="center"/>
          </w:tcPr>
          <w:p w14:paraId="128C6F60">
            <w:pPr>
              <w:pStyle w:val="12"/>
              <w:jc w:val="center"/>
              <w:rPr>
                <w:rFonts w:ascii="宋体" w:hAnsi="宋体"/>
              </w:rPr>
            </w:pPr>
            <w:r>
              <w:rPr>
                <w:rFonts w:ascii="宋体" w:hAnsi="宋体"/>
              </w:rPr>
              <w:t>11</w:t>
            </w:r>
          </w:p>
        </w:tc>
        <w:tc>
          <w:tcPr>
            <w:tcW w:w="424" w:type="pct"/>
            <w:vAlign w:val="center"/>
          </w:tcPr>
          <w:p w14:paraId="7BFEA31F">
            <w:pPr>
              <w:pStyle w:val="12"/>
              <w:jc w:val="center"/>
              <w:rPr>
                <w:rFonts w:ascii="宋体" w:hAnsi="宋体"/>
              </w:rPr>
            </w:pPr>
            <w:r>
              <w:rPr>
                <w:rFonts w:ascii="宋体" w:hAnsi="宋体"/>
              </w:rPr>
              <w:t>70</w:t>
            </w:r>
          </w:p>
        </w:tc>
        <w:tc>
          <w:tcPr>
            <w:tcW w:w="424" w:type="pct"/>
            <w:vAlign w:val="center"/>
          </w:tcPr>
          <w:p w14:paraId="728B132D">
            <w:pPr>
              <w:pStyle w:val="12"/>
              <w:jc w:val="center"/>
              <w:rPr>
                <w:rFonts w:ascii="宋体" w:hAnsi="宋体"/>
              </w:rPr>
            </w:pPr>
            <w:r>
              <w:rPr>
                <w:rFonts w:ascii="宋体" w:hAnsi="宋体"/>
              </w:rPr>
              <w:t>5316</w:t>
            </w:r>
          </w:p>
        </w:tc>
        <w:tc>
          <w:tcPr>
            <w:tcW w:w="319" w:type="pct"/>
            <w:vAlign w:val="center"/>
          </w:tcPr>
          <w:p w14:paraId="480CD279">
            <w:pPr>
              <w:pStyle w:val="12"/>
              <w:jc w:val="center"/>
              <w:rPr>
                <w:rFonts w:ascii="宋体" w:hAnsi="宋体"/>
              </w:rPr>
            </w:pPr>
            <w:r>
              <w:rPr>
                <w:rFonts w:ascii="宋体" w:hAnsi="宋体"/>
              </w:rPr>
              <w:t>12</w:t>
            </w:r>
          </w:p>
        </w:tc>
      </w:tr>
      <w:tr w14:paraId="480DEC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14:paraId="37E3258D">
            <w:pPr>
              <w:pStyle w:val="12"/>
              <w:jc w:val="center"/>
              <w:rPr>
                <w:rFonts w:ascii="宋体" w:hAnsi="宋体"/>
              </w:rPr>
            </w:pPr>
            <w:r>
              <w:rPr>
                <w:rFonts w:ascii="宋体" w:hAnsi="宋体"/>
              </w:rPr>
              <w:t>1992</w:t>
            </w:r>
          </w:p>
        </w:tc>
        <w:tc>
          <w:tcPr>
            <w:tcW w:w="415" w:type="pct"/>
            <w:vAlign w:val="center"/>
          </w:tcPr>
          <w:p w14:paraId="10125AA4">
            <w:pPr>
              <w:pStyle w:val="12"/>
              <w:jc w:val="center"/>
              <w:rPr>
                <w:rFonts w:ascii="宋体" w:hAnsi="宋体"/>
              </w:rPr>
            </w:pPr>
            <w:r>
              <w:rPr>
                <w:rFonts w:ascii="宋体" w:hAnsi="宋体"/>
              </w:rPr>
              <w:t>13051</w:t>
            </w:r>
          </w:p>
        </w:tc>
        <w:tc>
          <w:tcPr>
            <w:tcW w:w="424" w:type="pct"/>
            <w:vAlign w:val="center"/>
          </w:tcPr>
          <w:p w14:paraId="2E24CF28">
            <w:pPr>
              <w:pStyle w:val="12"/>
              <w:jc w:val="center"/>
              <w:rPr>
                <w:rFonts w:ascii="宋体" w:hAnsi="宋体"/>
              </w:rPr>
            </w:pPr>
            <w:r>
              <w:rPr>
                <w:rFonts w:ascii="宋体" w:hAnsi="宋体"/>
              </w:rPr>
              <w:t>4131</w:t>
            </w:r>
          </w:p>
        </w:tc>
        <w:tc>
          <w:tcPr>
            <w:tcW w:w="320" w:type="pct"/>
            <w:vAlign w:val="center"/>
          </w:tcPr>
          <w:p w14:paraId="49D7B487">
            <w:pPr>
              <w:pStyle w:val="12"/>
              <w:jc w:val="center"/>
              <w:rPr>
                <w:rFonts w:ascii="宋体" w:hAnsi="宋体"/>
              </w:rPr>
            </w:pPr>
            <w:r>
              <w:rPr>
                <w:rFonts w:ascii="宋体" w:hAnsi="宋体"/>
              </w:rPr>
              <w:t>317</w:t>
            </w:r>
          </w:p>
        </w:tc>
        <w:tc>
          <w:tcPr>
            <w:tcW w:w="424" w:type="pct"/>
            <w:vAlign w:val="center"/>
          </w:tcPr>
          <w:p w14:paraId="5A9EAAAC">
            <w:pPr>
              <w:pStyle w:val="12"/>
              <w:jc w:val="center"/>
              <w:rPr>
                <w:rFonts w:ascii="宋体" w:hAnsi="宋体"/>
              </w:rPr>
            </w:pPr>
            <w:r>
              <w:rPr>
                <w:rFonts w:ascii="宋体" w:hAnsi="宋体"/>
              </w:rPr>
              <w:t>8890</w:t>
            </w:r>
          </w:p>
        </w:tc>
        <w:tc>
          <w:tcPr>
            <w:tcW w:w="424" w:type="pct"/>
            <w:vAlign w:val="center"/>
          </w:tcPr>
          <w:p w14:paraId="1CBCF0D7">
            <w:pPr>
              <w:pStyle w:val="12"/>
              <w:jc w:val="center"/>
              <w:rPr>
                <w:rFonts w:ascii="宋体" w:hAnsi="宋体"/>
              </w:rPr>
            </w:pPr>
            <w:r>
              <w:rPr>
                <w:rFonts w:ascii="宋体" w:hAnsi="宋体"/>
              </w:rPr>
              <w:t>1758</w:t>
            </w:r>
          </w:p>
        </w:tc>
        <w:tc>
          <w:tcPr>
            <w:tcW w:w="319" w:type="pct"/>
            <w:vAlign w:val="center"/>
          </w:tcPr>
          <w:p w14:paraId="04F26498">
            <w:pPr>
              <w:pStyle w:val="12"/>
              <w:jc w:val="center"/>
              <w:rPr>
                <w:rFonts w:ascii="宋体" w:hAnsi="宋体"/>
              </w:rPr>
            </w:pPr>
            <w:r>
              <w:rPr>
                <w:rFonts w:ascii="宋体" w:hAnsi="宋体"/>
              </w:rPr>
              <w:t>198</w:t>
            </w:r>
          </w:p>
        </w:tc>
        <w:tc>
          <w:tcPr>
            <w:tcW w:w="424" w:type="pct"/>
            <w:vAlign w:val="center"/>
          </w:tcPr>
          <w:p w14:paraId="22C4D3BC">
            <w:pPr>
              <w:pStyle w:val="12"/>
              <w:jc w:val="center"/>
              <w:rPr>
                <w:rFonts w:ascii="宋体" w:hAnsi="宋体"/>
              </w:rPr>
            </w:pPr>
            <w:r>
              <w:rPr>
                <w:rFonts w:ascii="宋体" w:hAnsi="宋体"/>
              </w:rPr>
              <w:t>14419</w:t>
            </w:r>
          </w:p>
        </w:tc>
        <w:tc>
          <w:tcPr>
            <w:tcW w:w="424" w:type="pct"/>
            <w:vAlign w:val="center"/>
          </w:tcPr>
          <w:p w14:paraId="36C076F2">
            <w:pPr>
              <w:pStyle w:val="12"/>
              <w:jc w:val="center"/>
              <w:rPr>
                <w:rFonts w:ascii="宋体" w:hAnsi="宋体"/>
              </w:rPr>
            </w:pPr>
            <w:r>
              <w:rPr>
                <w:rFonts w:ascii="宋体" w:hAnsi="宋体"/>
              </w:rPr>
              <w:t>203</w:t>
            </w:r>
          </w:p>
        </w:tc>
        <w:tc>
          <w:tcPr>
            <w:tcW w:w="319" w:type="pct"/>
            <w:vAlign w:val="center"/>
          </w:tcPr>
          <w:p w14:paraId="3535BB9F">
            <w:pPr>
              <w:pStyle w:val="12"/>
              <w:jc w:val="center"/>
              <w:rPr>
                <w:rFonts w:ascii="宋体" w:hAnsi="宋体"/>
              </w:rPr>
            </w:pPr>
            <w:r>
              <w:rPr>
                <w:rFonts w:ascii="宋体" w:hAnsi="宋体"/>
              </w:rPr>
              <w:t>14</w:t>
            </w:r>
          </w:p>
        </w:tc>
        <w:tc>
          <w:tcPr>
            <w:tcW w:w="424" w:type="pct"/>
            <w:vAlign w:val="center"/>
          </w:tcPr>
          <w:p w14:paraId="636FDAA7">
            <w:pPr>
              <w:pStyle w:val="12"/>
              <w:jc w:val="center"/>
              <w:rPr>
                <w:rFonts w:ascii="宋体" w:hAnsi="宋体"/>
              </w:rPr>
            </w:pPr>
            <w:r>
              <w:rPr>
                <w:rFonts w:ascii="宋体" w:hAnsi="宋体"/>
              </w:rPr>
              <w:t>158</w:t>
            </w:r>
          </w:p>
        </w:tc>
        <w:tc>
          <w:tcPr>
            <w:tcW w:w="424" w:type="pct"/>
            <w:vAlign w:val="center"/>
          </w:tcPr>
          <w:p w14:paraId="134F0852">
            <w:pPr>
              <w:pStyle w:val="12"/>
              <w:jc w:val="center"/>
              <w:rPr>
                <w:rFonts w:ascii="宋体" w:hAnsi="宋体"/>
              </w:rPr>
            </w:pPr>
            <w:r>
              <w:rPr>
                <w:rFonts w:ascii="宋体" w:hAnsi="宋体"/>
              </w:rPr>
              <w:t>6250</w:t>
            </w:r>
          </w:p>
        </w:tc>
        <w:tc>
          <w:tcPr>
            <w:tcW w:w="319" w:type="pct"/>
            <w:vAlign w:val="center"/>
          </w:tcPr>
          <w:p w14:paraId="2333D89B">
            <w:pPr>
              <w:pStyle w:val="12"/>
              <w:jc w:val="center"/>
              <w:rPr>
                <w:rFonts w:ascii="宋体" w:hAnsi="宋体"/>
              </w:rPr>
            </w:pPr>
            <w:r>
              <w:rPr>
                <w:rFonts w:ascii="宋体" w:hAnsi="宋体"/>
              </w:rPr>
              <w:t>14</w:t>
            </w:r>
          </w:p>
        </w:tc>
      </w:tr>
      <w:tr w14:paraId="1DB019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14:paraId="3390266D">
            <w:pPr>
              <w:pStyle w:val="12"/>
              <w:jc w:val="center"/>
              <w:rPr>
                <w:rFonts w:ascii="宋体" w:hAnsi="宋体"/>
              </w:rPr>
            </w:pPr>
            <w:r>
              <w:rPr>
                <w:rFonts w:ascii="宋体" w:hAnsi="宋体"/>
              </w:rPr>
              <w:t>1993</w:t>
            </w:r>
          </w:p>
        </w:tc>
        <w:tc>
          <w:tcPr>
            <w:tcW w:w="415" w:type="pct"/>
            <w:vAlign w:val="center"/>
          </w:tcPr>
          <w:p w14:paraId="6471F4C6">
            <w:pPr>
              <w:pStyle w:val="12"/>
              <w:jc w:val="center"/>
              <w:rPr>
                <w:rFonts w:ascii="宋体" w:hAnsi="宋体"/>
              </w:rPr>
            </w:pPr>
            <w:r>
              <w:rPr>
                <w:rFonts w:ascii="宋体" w:hAnsi="宋体"/>
              </w:rPr>
              <w:t>14050</w:t>
            </w:r>
          </w:p>
        </w:tc>
        <w:tc>
          <w:tcPr>
            <w:tcW w:w="424" w:type="pct"/>
            <w:vAlign w:val="center"/>
          </w:tcPr>
          <w:p w14:paraId="2EF2E139">
            <w:pPr>
              <w:pStyle w:val="12"/>
              <w:jc w:val="center"/>
              <w:rPr>
                <w:rFonts w:ascii="宋体" w:hAnsi="宋体"/>
              </w:rPr>
            </w:pPr>
            <w:r>
              <w:rPr>
                <w:rFonts w:ascii="宋体" w:hAnsi="宋体"/>
              </w:rPr>
              <w:t>4205</w:t>
            </w:r>
          </w:p>
        </w:tc>
        <w:tc>
          <w:tcPr>
            <w:tcW w:w="320" w:type="pct"/>
            <w:vAlign w:val="center"/>
          </w:tcPr>
          <w:p w14:paraId="6EB4AD11">
            <w:pPr>
              <w:pStyle w:val="12"/>
              <w:jc w:val="center"/>
              <w:rPr>
                <w:rFonts w:ascii="宋体" w:hAnsi="宋体"/>
              </w:rPr>
            </w:pPr>
            <w:r>
              <w:rPr>
                <w:rFonts w:ascii="宋体" w:hAnsi="宋体"/>
              </w:rPr>
              <w:t>299</w:t>
            </w:r>
          </w:p>
        </w:tc>
        <w:tc>
          <w:tcPr>
            <w:tcW w:w="424" w:type="pct"/>
            <w:vAlign w:val="center"/>
          </w:tcPr>
          <w:p w14:paraId="7DB6060C">
            <w:pPr>
              <w:pStyle w:val="12"/>
              <w:jc w:val="center"/>
              <w:rPr>
                <w:rFonts w:ascii="宋体" w:hAnsi="宋体"/>
              </w:rPr>
            </w:pPr>
            <w:r>
              <w:rPr>
                <w:rFonts w:ascii="宋体" w:hAnsi="宋体"/>
              </w:rPr>
              <w:t>9140</w:t>
            </w:r>
          </w:p>
        </w:tc>
        <w:tc>
          <w:tcPr>
            <w:tcW w:w="424" w:type="pct"/>
            <w:vAlign w:val="center"/>
          </w:tcPr>
          <w:p w14:paraId="5830208D">
            <w:pPr>
              <w:pStyle w:val="12"/>
              <w:jc w:val="center"/>
              <w:rPr>
                <w:rFonts w:ascii="宋体" w:hAnsi="宋体"/>
              </w:rPr>
            </w:pPr>
            <w:r>
              <w:rPr>
                <w:rFonts w:ascii="宋体" w:hAnsi="宋体"/>
              </w:rPr>
              <w:t>1969</w:t>
            </w:r>
          </w:p>
        </w:tc>
        <w:tc>
          <w:tcPr>
            <w:tcW w:w="319" w:type="pct"/>
            <w:vAlign w:val="center"/>
          </w:tcPr>
          <w:p w14:paraId="374B9D6F">
            <w:pPr>
              <w:pStyle w:val="12"/>
              <w:jc w:val="center"/>
              <w:rPr>
                <w:rFonts w:ascii="宋体" w:hAnsi="宋体"/>
              </w:rPr>
            </w:pPr>
            <w:r>
              <w:rPr>
                <w:rFonts w:ascii="宋体" w:hAnsi="宋体"/>
              </w:rPr>
              <w:t>215</w:t>
            </w:r>
          </w:p>
        </w:tc>
        <w:tc>
          <w:tcPr>
            <w:tcW w:w="424" w:type="pct"/>
            <w:vAlign w:val="center"/>
          </w:tcPr>
          <w:p w14:paraId="2A4985D3">
            <w:pPr>
              <w:pStyle w:val="12"/>
              <w:jc w:val="center"/>
              <w:rPr>
                <w:rFonts w:ascii="宋体" w:hAnsi="宋体"/>
              </w:rPr>
            </w:pPr>
            <w:r>
              <w:rPr>
                <w:rFonts w:ascii="宋体" w:hAnsi="宋体"/>
              </w:rPr>
              <w:t>14685</w:t>
            </w:r>
          </w:p>
        </w:tc>
        <w:tc>
          <w:tcPr>
            <w:tcW w:w="424" w:type="pct"/>
            <w:vAlign w:val="center"/>
          </w:tcPr>
          <w:p w14:paraId="4B341B65">
            <w:pPr>
              <w:pStyle w:val="12"/>
              <w:jc w:val="center"/>
              <w:rPr>
                <w:rFonts w:ascii="宋体" w:hAnsi="宋体"/>
              </w:rPr>
            </w:pPr>
            <w:r>
              <w:rPr>
                <w:rFonts w:ascii="宋体" w:hAnsi="宋体"/>
              </w:rPr>
              <w:t>366</w:t>
            </w:r>
          </w:p>
        </w:tc>
        <w:tc>
          <w:tcPr>
            <w:tcW w:w="319" w:type="pct"/>
            <w:vAlign w:val="center"/>
          </w:tcPr>
          <w:p w14:paraId="1DE2DC79">
            <w:pPr>
              <w:pStyle w:val="12"/>
              <w:jc w:val="center"/>
              <w:rPr>
                <w:rFonts w:ascii="宋体" w:hAnsi="宋体"/>
              </w:rPr>
            </w:pPr>
            <w:r>
              <w:rPr>
                <w:rFonts w:ascii="宋体" w:hAnsi="宋体"/>
              </w:rPr>
              <w:t>25</w:t>
            </w:r>
          </w:p>
        </w:tc>
        <w:tc>
          <w:tcPr>
            <w:tcW w:w="424" w:type="pct"/>
            <w:vAlign w:val="center"/>
          </w:tcPr>
          <w:p w14:paraId="67C7A7A3">
            <w:pPr>
              <w:pStyle w:val="12"/>
              <w:jc w:val="center"/>
              <w:rPr>
                <w:rFonts w:ascii="宋体" w:hAnsi="宋体"/>
              </w:rPr>
            </w:pPr>
            <w:r>
              <w:rPr>
                <w:rFonts w:ascii="宋体" w:hAnsi="宋体"/>
              </w:rPr>
              <w:t>188</w:t>
            </w:r>
          </w:p>
        </w:tc>
        <w:tc>
          <w:tcPr>
            <w:tcW w:w="424" w:type="pct"/>
            <w:vAlign w:val="center"/>
          </w:tcPr>
          <w:p w14:paraId="23B2F1FC">
            <w:pPr>
              <w:pStyle w:val="12"/>
              <w:jc w:val="center"/>
              <w:rPr>
                <w:rFonts w:ascii="宋体" w:hAnsi="宋体"/>
              </w:rPr>
            </w:pPr>
            <w:r>
              <w:rPr>
                <w:rFonts w:ascii="宋体" w:hAnsi="宋体"/>
              </w:rPr>
              <w:t>6728</w:t>
            </w:r>
          </w:p>
        </w:tc>
        <w:tc>
          <w:tcPr>
            <w:tcW w:w="319" w:type="pct"/>
            <w:vAlign w:val="center"/>
          </w:tcPr>
          <w:p w14:paraId="29BE7990">
            <w:pPr>
              <w:pStyle w:val="12"/>
              <w:jc w:val="center"/>
              <w:rPr>
                <w:rFonts w:ascii="宋体" w:hAnsi="宋体"/>
              </w:rPr>
            </w:pPr>
            <w:r>
              <w:rPr>
                <w:rFonts w:ascii="宋体" w:hAnsi="宋体"/>
              </w:rPr>
              <w:t>15</w:t>
            </w:r>
          </w:p>
        </w:tc>
      </w:tr>
      <w:tr w14:paraId="4E3B95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14:paraId="3BB7E1E2">
            <w:pPr>
              <w:pStyle w:val="12"/>
              <w:jc w:val="center"/>
              <w:rPr>
                <w:rFonts w:ascii="宋体" w:hAnsi="宋体"/>
              </w:rPr>
            </w:pPr>
            <w:r>
              <w:rPr>
                <w:rFonts w:ascii="宋体" w:hAnsi="宋体"/>
              </w:rPr>
              <w:t>1994</w:t>
            </w:r>
          </w:p>
        </w:tc>
        <w:tc>
          <w:tcPr>
            <w:tcW w:w="415" w:type="pct"/>
            <w:vAlign w:val="center"/>
          </w:tcPr>
          <w:p w14:paraId="08381C29">
            <w:pPr>
              <w:pStyle w:val="12"/>
              <w:jc w:val="center"/>
              <w:rPr>
                <w:rFonts w:ascii="宋体" w:hAnsi="宋体"/>
              </w:rPr>
            </w:pPr>
            <w:r>
              <w:rPr>
                <w:rFonts w:ascii="宋体" w:hAnsi="宋体"/>
              </w:rPr>
              <w:t>15775</w:t>
            </w:r>
          </w:p>
        </w:tc>
        <w:tc>
          <w:tcPr>
            <w:tcW w:w="424" w:type="pct"/>
            <w:vAlign w:val="center"/>
          </w:tcPr>
          <w:p w14:paraId="085AE171">
            <w:pPr>
              <w:pStyle w:val="12"/>
              <w:jc w:val="center"/>
              <w:rPr>
                <w:rFonts w:ascii="宋体" w:hAnsi="宋体"/>
              </w:rPr>
            </w:pPr>
            <w:r>
              <w:rPr>
                <w:rFonts w:ascii="宋体" w:hAnsi="宋体"/>
              </w:rPr>
              <w:t>4536</w:t>
            </w:r>
          </w:p>
        </w:tc>
        <w:tc>
          <w:tcPr>
            <w:tcW w:w="320" w:type="pct"/>
            <w:vAlign w:val="center"/>
          </w:tcPr>
          <w:p w14:paraId="460C066F">
            <w:pPr>
              <w:pStyle w:val="12"/>
              <w:jc w:val="center"/>
              <w:rPr>
                <w:rFonts w:ascii="宋体" w:hAnsi="宋体"/>
              </w:rPr>
            </w:pPr>
            <w:r>
              <w:rPr>
                <w:rFonts w:ascii="宋体" w:hAnsi="宋体"/>
              </w:rPr>
              <w:t>307</w:t>
            </w:r>
          </w:p>
        </w:tc>
        <w:tc>
          <w:tcPr>
            <w:tcW w:w="424" w:type="pct"/>
            <w:vAlign w:val="center"/>
          </w:tcPr>
          <w:p w14:paraId="22D29653">
            <w:pPr>
              <w:pStyle w:val="12"/>
              <w:jc w:val="center"/>
              <w:rPr>
                <w:rFonts w:ascii="宋体" w:hAnsi="宋体"/>
              </w:rPr>
            </w:pPr>
            <w:r>
              <w:rPr>
                <w:rFonts w:ascii="宋体" w:hAnsi="宋体"/>
              </w:rPr>
              <w:t>9190</w:t>
            </w:r>
          </w:p>
        </w:tc>
        <w:tc>
          <w:tcPr>
            <w:tcW w:w="424" w:type="pct"/>
            <w:vAlign w:val="center"/>
          </w:tcPr>
          <w:p w14:paraId="0FAFB0BD">
            <w:pPr>
              <w:pStyle w:val="12"/>
              <w:jc w:val="center"/>
              <w:rPr>
                <w:rFonts w:ascii="宋体" w:hAnsi="宋体"/>
              </w:rPr>
            </w:pPr>
            <w:r>
              <w:rPr>
                <w:rFonts w:ascii="宋体" w:hAnsi="宋体"/>
              </w:rPr>
              <w:t>2170</w:t>
            </w:r>
          </w:p>
        </w:tc>
        <w:tc>
          <w:tcPr>
            <w:tcW w:w="319" w:type="pct"/>
            <w:vAlign w:val="center"/>
          </w:tcPr>
          <w:p w14:paraId="493D4E4F">
            <w:pPr>
              <w:pStyle w:val="12"/>
              <w:jc w:val="center"/>
              <w:rPr>
                <w:rFonts w:ascii="宋体" w:hAnsi="宋体"/>
              </w:rPr>
            </w:pPr>
            <w:r>
              <w:rPr>
                <w:rFonts w:ascii="宋体" w:hAnsi="宋体"/>
              </w:rPr>
              <w:t>235</w:t>
            </w:r>
          </w:p>
        </w:tc>
        <w:tc>
          <w:tcPr>
            <w:tcW w:w="424" w:type="pct"/>
            <w:vAlign w:val="center"/>
          </w:tcPr>
          <w:p w14:paraId="212FC345">
            <w:pPr>
              <w:pStyle w:val="12"/>
              <w:jc w:val="center"/>
              <w:rPr>
                <w:rFonts w:ascii="宋体" w:hAnsi="宋体"/>
              </w:rPr>
            </w:pPr>
            <w:r>
              <w:rPr>
                <w:rFonts w:ascii="宋体" w:hAnsi="宋体"/>
              </w:rPr>
              <w:t>14700</w:t>
            </w:r>
          </w:p>
        </w:tc>
        <w:tc>
          <w:tcPr>
            <w:tcW w:w="424" w:type="pct"/>
            <w:vAlign w:val="center"/>
          </w:tcPr>
          <w:p w14:paraId="722D469E">
            <w:pPr>
              <w:pStyle w:val="12"/>
              <w:jc w:val="center"/>
              <w:rPr>
                <w:rFonts w:ascii="宋体" w:hAnsi="宋体"/>
              </w:rPr>
            </w:pPr>
            <w:r>
              <w:rPr>
                <w:rFonts w:ascii="宋体" w:hAnsi="宋体"/>
              </w:rPr>
              <w:t>381</w:t>
            </w:r>
          </w:p>
        </w:tc>
        <w:tc>
          <w:tcPr>
            <w:tcW w:w="319" w:type="pct"/>
            <w:vAlign w:val="center"/>
          </w:tcPr>
          <w:p w14:paraId="5BB643A2">
            <w:pPr>
              <w:pStyle w:val="12"/>
              <w:jc w:val="center"/>
              <w:rPr>
                <w:rFonts w:ascii="宋体" w:hAnsi="宋体"/>
              </w:rPr>
            </w:pPr>
            <w:r>
              <w:rPr>
                <w:rFonts w:ascii="宋体" w:hAnsi="宋体"/>
              </w:rPr>
              <w:t>26</w:t>
            </w:r>
          </w:p>
        </w:tc>
        <w:tc>
          <w:tcPr>
            <w:tcW w:w="424" w:type="pct"/>
            <w:vAlign w:val="center"/>
          </w:tcPr>
          <w:p w14:paraId="75F3F28D">
            <w:pPr>
              <w:pStyle w:val="12"/>
              <w:jc w:val="center"/>
              <w:rPr>
                <w:rFonts w:ascii="宋体" w:hAnsi="宋体"/>
              </w:rPr>
            </w:pPr>
            <w:r>
              <w:rPr>
                <w:rFonts w:ascii="宋体" w:hAnsi="宋体"/>
              </w:rPr>
              <w:t>265</w:t>
            </w:r>
          </w:p>
        </w:tc>
        <w:tc>
          <w:tcPr>
            <w:tcW w:w="424" w:type="pct"/>
            <w:vAlign w:val="center"/>
          </w:tcPr>
          <w:p w14:paraId="2C2A47F8">
            <w:pPr>
              <w:pStyle w:val="12"/>
              <w:jc w:val="center"/>
              <w:rPr>
                <w:rFonts w:ascii="宋体" w:hAnsi="宋体"/>
              </w:rPr>
            </w:pPr>
            <w:r>
              <w:rPr>
                <w:rFonts w:ascii="宋体" w:hAnsi="宋体"/>
              </w:rPr>
              <w:t>7352</w:t>
            </w:r>
          </w:p>
        </w:tc>
        <w:tc>
          <w:tcPr>
            <w:tcW w:w="319" w:type="pct"/>
            <w:vAlign w:val="center"/>
          </w:tcPr>
          <w:p w14:paraId="15AB1964">
            <w:pPr>
              <w:pStyle w:val="12"/>
              <w:jc w:val="center"/>
              <w:rPr>
                <w:rFonts w:ascii="宋体" w:hAnsi="宋体"/>
              </w:rPr>
            </w:pPr>
            <w:r>
              <w:rPr>
                <w:rFonts w:ascii="宋体" w:hAnsi="宋体"/>
              </w:rPr>
              <w:t>16</w:t>
            </w:r>
          </w:p>
        </w:tc>
      </w:tr>
      <w:tr w14:paraId="51532D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14:paraId="50CE64E3">
            <w:pPr>
              <w:pStyle w:val="12"/>
              <w:jc w:val="center"/>
              <w:rPr>
                <w:rFonts w:ascii="宋体" w:hAnsi="宋体"/>
              </w:rPr>
            </w:pPr>
            <w:r>
              <w:rPr>
                <w:rFonts w:ascii="宋体" w:hAnsi="宋体"/>
              </w:rPr>
              <w:t>1995</w:t>
            </w:r>
          </w:p>
        </w:tc>
        <w:tc>
          <w:tcPr>
            <w:tcW w:w="415" w:type="pct"/>
            <w:vAlign w:val="center"/>
          </w:tcPr>
          <w:p w14:paraId="183D09F8">
            <w:pPr>
              <w:pStyle w:val="12"/>
              <w:jc w:val="center"/>
              <w:rPr>
                <w:rFonts w:ascii="宋体" w:hAnsi="宋体"/>
              </w:rPr>
            </w:pPr>
            <w:r>
              <w:rPr>
                <w:rFonts w:ascii="宋体" w:hAnsi="宋体"/>
              </w:rPr>
              <w:t>15405</w:t>
            </w:r>
          </w:p>
        </w:tc>
        <w:tc>
          <w:tcPr>
            <w:tcW w:w="424" w:type="pct"/>
            <w:vAlign w:val="center"/>
          </w:tcPr>
          <w:p w14:paraId="5B0FC6F3">
            <w:pPr>
              <w:pStyle w:val="12"/>
              <w:jc w:val="center"/>
              <w:rPr>
                <w:rFonts w:ascii="宋体" w:hAnsi="宋体"/>
              </w:rPr>
            </w:pPr>
            <w:r>
              <w:rPr>
                <w:rFonts w:ascii="宋体" w:hAnsi="宋体"/>
              </w:rPr>
              <w:t>4954</w:t>
            </w:r>
          </w:p>
        </w:tc>
        <w:tc>
          <w:tcPr>
            <w:tcW w:w="320" w:type="pct"/>
            <w:vAlign w:val="center"/>
          </w:tcPr>
          <w:p w14:paraId="52AC871D">
            <w:pPr>
              <w:pStyle w:val="12"/>
              <w:jc w:val="center"/>
              <w:rPr>
                <w:rFonts w:ascii="宋体" w:hAnsi="宋体"/>
              </w:rPr>
            </w:pPr>
            <w:r>
              <w:rPr>
                <w:rFonts w:ascii="宋体" w:hAnsi="宋体"/>
              </w:rPr>
              <w:t>322</w:t>
            </w:r>
          </w:p>
        </w:tc>
        <w:tc>
          <w:tcPr>
            <w:tcW w:w="424" w:type="pct"/>
            <w:vAlign w:val="center"/>
          </w:tcPr>
          <w:p w14:paraId="7BC1660A">
            <w:pPr>
              <w:pStyle w:val="12"/>
              <w:jc w:val="center"/>
              <w:rPr>
                <w:rFonts w:ascii="宋体" w:hAnsi="宋体"/>
              </w:rPr>
            </w:pPr>
            <w:r>
              <w:rPr>
                <w:rFonts w:ascii="宋体" w:hAnsi="宋体"/>
              </w:rPr>
              <w:t>9195</w:t>
            </w:r>
          </w:p>
        </w:tc>
        <w:tc>
          <w:tcPr>
            <w:tcW w:w="424" w:type="pct"/>
            <w:vAlign w:val="center"/>
          </w:tcPr>
          <w:p w14:paraId="1E2B72FA">
            <w:pPr>
              <w:pStyle w:val="12"/>
              <w:jc w:val="center"/>
              <w:rPr>
                <w:rFonts w:ascii="宋体" w:hAnsi="宋体"/>
              </w:rPr>
            </w:pPr>
            <w:r>
              <w:rPr>
                <w:rFonts w:ascii="宋体" w:hAnsi="宋体"/>
              </w:rPr>
              <w:t>2944</w:t>
            </w:r>
          </w:p>
        </w:tc>
        <w:tc>
          <w:tcPr>
            <w:tcW w:w="319" w:type="pct"/>
            <w:vAlign w:val="center"/>
          </w:tcPr>
          <w:p w14:paraId="234F67EF">
            <w:pPr>
              <w:pStyle w:val="12"/>
              <w:jc w:val="center"/>
              <w:rPr>
                <w:rFonts w:ascii="宋体" w:hAnsi="宋体"/>
              </w:rPr>
            </w:pPr>
            <w:r>
              <w:rPr>
                <w:rFonts w:ascii="宋体" w:hAnsi="宋体"/>
              </w:rPr>
              <w:t>320</w:t>
            </w:r>
          </w:p>
        </w:tc>
        <w:tc>
          <w:tcPr>
            <w:tcW w:w="424" w:type="pct"/>
            <w:vAlign w:val="center"/>
          </w:tcPr>
          <w:p w14:paraId="58EF4709">
            <w:pPr>
              <w:pStyle w:val="12"/>
              <w:jc w:val="center"/>
              <w:rPr>
                <w:rFonts w:ascii="宋体" w:hAnsi="宋体"/>
              </w:rPr>
            </w:pPr>
            <w:r>
              <w:rPr>
                <w:rFonts w:ascii="宋体" w:hAnsi="宋体"/>
              </w:rPr>
              <w:t>14715</w:t>
            </w:r>
          </w:p>
        </w:tc>
        <w:tc>
          <w:tcPr>
            <w:tcW w:w="424" w:type="pct"/>
            <w:vAlign w:val="center"/>
          </w:tcPr>
          <w:p w14:paraId="01633FA6">
            <w:pPr>
              <w:pStyle w:val="12"/>
              <w:jc w:val="center"/>
              <w:rPr>
                <w:rFonts w:ascii="宋体" w:hAnsi="宋体"/>
              </w:rPr>
            </w:pPr>
            <w:r>
              <w:rPr>
                <w:rFonts w:ascii="宋体" w:hAnsi="宋体"/>
              </w:rPr>
              <w:t>393</w:t>
            </w:r>
          </w:p>
        </w:tc>
        <w:tc>
          <w:tcPr>
            <w:tcW w:w="319" w:type="pct"/>
            <w:vAlign w:val="center"/>
          </w:tcPr>
          <w:p w14:paraId="6B079FC0">
            <w:pPr>
              <w:pStyle w:val="12"/>
              <w:jc w:val="center"/>
              <w:rPr>
                <w:rFonts w:ascii="宋体" w:hAnsi="宋体"/>
              </w:rPr>
            </w:pPr>
            <w:r>
              <w:rPr>
                <w:rFonts w:ascii="宋体" w:hAnsi="宋体"/>
              </w:rPr>
              <w:t>27</w:t>
            </w:r>
          </w:p>
        </w:tc>
        <w:tc>
          <w:tcPr>
            <w:tcW w:w="424" w:type="pct"/>
            <w:vAlign w:val="center"/>
          </w:tcPr>
          <w:p w14:paraId="4AA26854">
            <w:pPr>
              <w:pStyle w:val="12"/>
              <w:jc w:val="center"/>
              <w:rPr>
                <w:rFonts w:ascii="宋体" w:hAnsi="宋体"/>
              </w:rPr>
            </w:pPr>
            <w:r>
              <w:rPr>
                <w:rFonts w:ascii="宋体" w:hAnsi="宋体"/>
              </w:rPr>
              <w:t>265</w:t>
            </w:r>
          </w:p>
        </w:tc>
        <w:tc>
          <w:tcPr>
            <w:tcW w:w="424" w:type="pct"/>
            <w:vAlign w:val="center"/>
          </w:tcPr>
          <w:p w14:paraId="5164C292">
            <w:pPr>
              <w:pStyle w:val="12"/>
              <w:jc w:val="center"/>
              <w:rPr>
                <w:rFonts w:ascii="宋体" w:hAnsi="宋体"/>
              </w:rPr>
            </w:pPr>
            <w:r>
              <w:rPr>
                <w:rFonts w:ascii="宋体" w:hAnsi="宋体"/>
              </w:rPr>
              <w:t>8556</w:t>
            </w:r>
          </w:p>
        </w:tc>
        <w:tc>
          <w:tcPr>
            <w:tcW w:w="319" w:type="pct"/>
            <w:vAlign w:val="center"/>
          </w:tcPr>
          <w:p w14:paraId="3FC8AE82">
            <w:pPr>
              <w:pStyle w:val="12"/>
              <w:jc w:val="center"/>
              <w:rPr>
                <w:rFonts w:ascii="宋体" w:hAnsi="宋体"/>
              </w:rPr>
            </w:pPr>
            <w:r>
              <w:rPr>
                <w:rFonts w:ascii="宋体" w:hAnsi="宋体"/>
              </w:rPr>
              <w:t>19</w:t>
            </w:r>
          </w:p>
        </w:tc>
      </w:tr>
      <w:tr w14:paraId="6C9B20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14:paraId="608F2836">
            <w:pPr>
              <w:pStyle w:val="12"/>
              <w:jc w:val="center"/>
              <w:rPr>
                <w:rFonts w:ascii="宋体" w:hAnsi="宋体"/>
              </w:rPr>
            </w:pPr>
            <w:r>
              <w:rPr>
                <w:rFonts w:ascii="宋体" w:hAnsi="宋体"/>
              </w:rPr>
              <w:t>1996</w:t>
            </w:r>
          </w:p>
        </w:tc>
        <w:tc>
          <w:tcPr>
            <w:tcW w:w="415" w:type="pct"/>
            <w:vAlign w:val="center"/>
          </w:tcPr>
          <w:p w14:paraId="0EF3D5EA">
            <w:pPr>
              <w:pStyle w:val="12"/>
              <w:jc w:val="center"/>
              <w:rPr>
                <w:rFonts w:ascii="宋体" w:hAnsi="宋体"/>
              </w:rPr>
            </w:pPr>
            <w:r>
              <w:rPr>
                <w:rFonts w:ascii="宋体" w:hAnsi="宋体"/>
              </w:rPr>
              <w:t>15405</w:t>
            </w:r>
          </w:p>
        </w:tc>
        <w:tc>
          <w:tcPr>
            <w:tcW w:w="424" w:type="pct"/>
            <w:vAlign w:val="center"/>
          </w:tcPr>
          <w:p w14:paraId="6657C2EA">
            <w:pPr>
              <w:pStyle w:val="12"/>
              <w:jc w:val="center"/>
              <w:rPr>
                <w:rFonts w:ascii="宋体" w:hAnsi="宋体"/>
              </w:rPr>
            </w:pPr>
            <w:r>
              <w:rPr>
                <w:rFonts w:ascii="宋体" w:hAnsi="宋体"/>
              </w:rPr>
              <w:t>5428</w:t>
            </w:r>
          </w:p>
        </w:tc>
        <w:tc>
          <w:tcPr>
            <w:tcW w:w="320" w:type="pct"/>
            <w:vAlign w:val="center"/>
          </w:tcPr>
          <w:p w14:paraId="0C0EBA22">
            <w:pPr>
              <w:pStyle w:val="12"/>
              <w:jc w:val="center"/>
              <w:rPr>
                <w:rFonts w:ascii="宋体" w:hAnsi="宋体"/>
              </w:rPr>
            </w:pPr>
            <w:r>
              <w:rPr>
                <w:rFonts w:ascii="宋体" w:hAnsi="宋体"/>
              </w:rPr>
              <w:t>352</w:t>
            </w:r>
          </w:p>
        </w:tc>
        <w:tc>
          <w:tcPr>
            <w:tcW w:w="424" w:type="pct"/>
            <w:vAlign w:val="center"/>
          </w:tcPr>
          <w:p w14:paraId="120E99EA">
            <w:pPr>
              <w:pStyle w:val="12"/>
              <w:jc w:val="center"/>
              <w:rPr>
                <w:rFonts w:ascii="宋体" w:hAnsi="宋体"/>
              </w:rPr>
            </w:pPr>
            <w:r>
              <w:rPr>
                <w:rFonts w:ascii="宋体" w:hAnsi="宋体"/>
              </w:rPr>
              <w:t>9195</w:t>
            </w:r>
          </w:p>
        </w:tc>
        <w:tc>
          <w:tcPr>
            <w:tcW w:w="424" w:type="pct"/>
            <w:vAlign w:val="center"/>
          </w:tcPr>
          <w:p w14:paraId="28FF61DB">
            <w:pPr>
              <w:pStyle w:val="12"/>
              <w:jc w:val="center"/>
              <w:rPr>
                <w:rFonts w:ascii="宋体" w:hAnsi="宋体"/>
              </w:rPr>
            </w:pPr>
            <w:r>
              <w:rPr>
                <w:rFonts w:ascii="宋体" w:hAnsi="宋体"/>
              </w:rPr>
              <w:t>3121</w:t>
            </w:r>
          </w:p>
        </w:tc>
        <w:tc>
          <w:tcPr>
            <w:tcW w:w="319" w:type="pct"/>
            <w:vAlign w:val="center"/>
          </w:tcPr>
          <w:p w14:paraId="01B8CB88">
            <w:pPr>
              <w:pStyle w:val="12"/>
              <w:jc w:val="center"/>
              <w:rPr>
                <w:rFonts w:ascii="宋体" w:hAnsi="宋体"/>
              </w:rPr>
            </w:pPr>
            <w:r>
              <w:rPr>
                <w:rFonts w:ascii="宋体" w:hAnsi="宋体"/>
              </w:rPr>
              <w:t>339</w:t>
            </w:r>
          </w:p>
        </w:tc>
        <w:tc>
          <w:tcPr>
            <w:tcW w:w="424" w:type="pct"/>
            <w:vAlign w:val="center"/>
          </w:tcPr>
          <w:p w14:paraId="43C5B2F4">
            <w:pPr>
              <w:pStyle w:val="12"/>
              <w:jc w:val="center"/>
              <w:rPr>
                <w:rFonts w:ascii="宋体" w:hAnsi="宋体"/>
              </w:rPr>
            </w:pPr>
            <w:r>
              <w:rPr>
                <w:rFonts w:ascii="宋体" w:hAnsi="宋体"/>
              </w:rPr>
              <w:t>14715</w:t>
            </w:r>
          </w:p>
        </w:tc>
        <w:tc>
          <w:tcPr>
            <w:tcW w:w="424" w:type="pct"/>
            <w:vAlign w:val="center"/>
          </w:tcPr>
          <w:p w14:paraId="1472CB34">
            <w:pPr>
              <w:pStyle w:val="12"/>
              <w:jc w:val="center"/>
              <w:rPr>
                <w:rFonts w:ascii="宋体" w:hAnsi="宋体"/>
              </w:rPr>
            </w:pPr>
            <w:r>
              <w:rPr>
                <w:rFonts w:ascii="宋体" w:hAnsi="宋体"/>
              </w:rPr>
              <w:t>405</w:t>
            </w:r>
          </w:p>
        </w:tc>
        <w:tc>
          <w:tcPr>
            <w:tcW w:w="319" w:type="pct"/>
            <w:vAlign w:val="center"/>
          </w:tcPr>
          <w:p w14:paraId="2F26E296">
            <w:pPr>
              <w:pStyle w:val="12"/>
              <w:jc w:val="center"/>
              <w:rPr>
                <w:rFonts w:ascii="宋体" w:hAnsi="宋体"/>
              </w:rPr>
            </w:pPr>
            <w:r>
              <w:rPr>
                <w:rFonts w:ascii="宋体" w:hAnsi="宋体"/>
              </w:rPr>
              <w:t>27</w:t>
            </w:r>
          </w:p>
        </w:tc>
        <w:tc>
          <w:tcPr>
            <w:tcW w:w="424" w:type="pct"/>
            <w:vAlign w:val="center"/>
          </w:tcPr>
          <w:p w14:paraId="5B680892">
            <w:pPr>
              <w:pStyle w:val="12"/>
              <w:jc w:val="center"/>
              <w:rPr>
                <w:rFonts w:ascii="宋体" w:hAnsi="宋体"/>
              </w:rPr>
            </w:pPr>
            <w:r>
              <w:rPr>
                <w:rFonts w:ascii="宋体" w:hAnsi="宋体"/>
              </w:rPr>
              <w:t>265</w:t>
            </w:r>
          </w:p>
        </w:tc>
        <w:tc>
          <w:tcPr>
            <w:tcW w:w="424" w:type="pct"/>
            <w:vAlign w:val="center"/>
          </w:tcPr>
          <w:p w14:paraId="6F8E4B72">
            <w:pPr>
              <w:pStyle w:val="12"/>
              <w:jc w:val="center"/>
              <w:rPr>
                <w:rFonts w:ascii="宋体" w:hAnsi="宋体"/>
              </w:rPr>
            </w:pPr>
            <w:r>
              <w:rPr>
                <w:rFonts w:ascii="宋体" w:hAnsi="宋体"/>
              </w:rPr>
              <w:t>9219</w:t>
            </w:r>
          </w:p>
        </w:tc>
        <w:tc>
          <w:tcPr>
            <w:tcW w:w="319" w:type="pct"/>
            <w:vAlign w:val="center"/>
          </w:tcPr>
          <w:p w14:paraId="6D9D706C">
            <w:pPr>
              <w:pStyle w:val="12"/>
              <w:jc w:val="center"/>
              <w:rPr>
                <w:rFonts w:ascii="宋体" w:hAnsi="宋体"/>
              </w:rPr>
            </w:pPr>
            <w:r>
              <w:rPr>
                <w:rFonts w:ascii="宋体" w:hAnsi="宋体"/>
              </w:rPr>
              <w:t>20</w:t>
            </w:r>
          </w:p>
        </w:tc>
      </w:tr>
      <w:tr w14:paraId="27B00F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14:paraId="10F08B24">
            <w:pPr>
              <w:pStyle w:val="12"/>
              <w:jc w:val="center"/>
              <w:rPr>
                <w:rFonts w:ascii="宋体" w:hAnsi="宋体"/>
              </w:rPr>
            </w:pPr>
            <w:r>
              <w:rPr>
                <w:rFonts w:ascii="宋体" w:hAnsi="宋体"/>
              </w:rPr>
              <w:t>1997</w:t>
            </w:r>
          </w:p>
        </w:tc>
        <w:tc>
          <w:tcPr>
            <w:tcW w:w="415" w:type="pct"/>
            <w:vAlign w:val="center"/>
          </w:tcPr>
          <w:p w14:paraId="7AEAAB22">
            <w:pPr>
              <w:pStyle w:val="12"/>
              <w:jc w:val="center"/>
              <w:rPr>
                <w:rFonts w:ascii="宋体" w:hAnsi="宋体"/>
              </w:rPr>
            </w:pPr>
            <w:r>
              <w:rPr>
                <w:rFonts w:ascii="宋体" w:hAnsi="宋体"/>
              </w:rPr>
              <w:t>15362</w:t>
            </w:r>
          </w:p>
        </w:tc>
        <w:tc>
          <w:tcPr>
            <w:tcW w:w="424" w:type="pct"/>
            <w:vAlign w:val="center"/>
          </w:tcPr>
          <w:p w14:paraId="5017551B">
            <w:pPr>
              <w:pStyle w:val="12"/>
              <w:jc w:val="center"/>
              <w:rPr>
                <w:rFonts w:ascii="宋体" w:hAnsi="宋体"/>
              </w:rPr>
            </w:pPr>
            <w:r>
              <w:rPr>
                <w:rFonts w:ascii="宋体" w:hAnsi="宋体"/>
              </w:rPr>
              <w:t>5726</w:t>
            </w:r>
          </w:p>
        </w:tc>
        <w:tc>
          <w:tcPr>
            <w:tcW w:w="320" w:type="pct"/>
            <w:vAlign w:val="center"/>
          </w:tcPr>
          <w:p w14:paraId="55A34B07">
            <w:pPr>
              <w:pStyle w:val="12"/>
              <w:jc w:val="center"/>
              <w:rPr>
                <w:rFonts w:ascii="宋体" w:hAnsi="宋体"/>
              </w:rPr>
            </w:pPr>
            <w:r>
              <w:rPr>
                <w:rFonts w:ascii="宋体" w:hAnsi="宋体"/>
              </w:rPr>
              <w:t>373</w:t>
            </w:r>
          </w:p>
        </w:tc>
        <w:tc>
          <w:tcPr>
            <w:tcW w:w="424" w:type="pct"/>
            <w:vAlign w:val="center"/>
          </w:tcPr>
          <w:p w14:paraId="0BEF4840">
            <w:pPr>
              <w:pStyle w:val="12"/>
              <w:jc w:val="center"/>
              <w:rPr>
                <w:rFonts w:ascii="宋体" w:hAnsi="宋体"/>
              </w:rPr>
            </w:pPr>
            <w:r>
              <w:rPr>
                <w:rFonts w:ascii="宋体" w:hAnsi="宋体"/>
              </w:rPr>
              <w:t>9450</w:t>
            </w:r>
          </w:p>
        </w:tc>
        <w:tc>
          <w:tcPr>
            <w:tcW w:w="424" w:type="pct"/>
            <w:vAlign w:val="center"/>
          </w:tcPr>
          <w:p w14:paraId="5332AF09">
            <w:pPr>
              <w:pStyle w:val="12"/>
              <w:jc w:val="center"/>
              <w:rPr>
                <w:rFonts w:ascii="宋体" w:hAnsi="宋体"/>
              </w:rPr>
            </w:pPr>
            <w:r>
              <w:rPr>
                <w:rFonts w:ascii="宋体" w:hAnsi="宋体"/>
              </w:rPr>
              <w:t>3282</w:t>
            </w:r>
          </w:p>
        </w:tc>
        <w:tc>
          <w:tcPr>
            <w:tcW w:w="319" w:type="pct"/>
            <w:vAlign w:val="center"/>
          </w:tcPr>
          <w:p w14:paraId="24BF39FE">
            <w:pPr>
              <w:pStyle w:val="12"/>
              <w:jc w:val="center"/>
              <w:rPr>
                <w:rFonts w:ascii="宋体" w:hAnsi="宋体"/>
              </w:rPr>
            </w:pPr>
            <w:r>
              <w:rPr>
                <w:rFonts w:ascii="宋体" w:hAnsi="宋体"/>
              </w:rPr>
              <w:t>347</w:t>
            </w:r>
          </w:p>
        </w:tc>
        <w:tc>
          <w:tcPr>
            <w:tcW w:w="424" w:type="pct"/>
            <w:vAlign w:val="center"/>
          </w:tcPr>
          <w:p w14:paraId="63BC63E4">
            <w:pPr>
              <w:pStyle w:val="12"/>
              <w:jc w:val="center"/>
              <w:rPr>
                <w:rFonts w:ascii="宋体" w:hAnsi="宋体"/>
              </w:rPr>
            </w:pPr>
            <w:r>
              <w:rPr>
                <w:rFonts w:ascii="宋体" w:hAnsi="宋体"/>
              </w:rPr>
              <w:t>14674</w:t>
            </w:r>
          </w:p>
        </w:tc>
        <w:tc>
          <w:tcPr>
            <w:tcW w:w="424" w:type="pct"/>
            <w:vAlign w:val="center"/>
          </w:tcPr>
          <w:p w14:paraId="6EAA262D">
            <w:pPr>
              <w:pStyle w:val="12"/>
              <w:jc w:val="center"/>
              <w:rPr>
                <w:rFonts w:ascii="宋体" w:hAnsi="宋体"/>
              </w:rPr>
            </w:pPr>
            <w:r>
              <w:rPr>
                <w:rFonts w:ascii="宋体" w:hAnsi="宋体"/>
              </w:rPr>
              <w:t>513</w:t>
            </w:r>
          </w:p>
        </w:tc>
        <w:tc>
          <w:tcPr>
            <w:tcW w:w="319" w:type="pct"/>
            <w:vAlign w:val="center"/>
          </w:tcPr>
          <w:p w14:paraId="79AFE744">
            <w:pPr>
              <w:pStyle w:val="12"/>
              <w:jc w:val="center"/>
              <w:rPr>
                <w:rFonts w:ascii="宋体" w:hAnsi="宋体"/>
              </w:rPr>
            </w:pPr>
            <w:r>
              <w:rPr>
                <w:rFonts w:ascii="宋体" w:hAnsi="宋体"/>
              </w:rPr>
              <w:t>35</w:t>
            </w:r>
          </w:p>
        </w:tc>
        <w:tc>
          <w:tcPr>
            <w:tcW w:w="424" w:type="pct"/>
            <w:vAlign w:val="center"/>
          </w:tcPr>
          <w:p w14:paraId="4CF0E67E">
            <w:pPr>
              <w:pStyle w:val="12"/>
              <w:jc w:val="center"/>
              <w:rPr>
                <w:rFonts w:ascii="宋体" w:hAnsi="宋体"/>
              </w:rPr>
            </w:pPr>
            <w:r>
              <w:rPr>
                <w:rFonts w:ascii="宋体" w:hAnsi="宋体"/>
              </w:rPr>
              <w:t>204</w:t>
            </w:r>
          </w:p>
        </w:tc>
        <w:tc>
          <w:tcPr>
            <w:tcW w:w="424" w:type="pct"/>
            <w:vAlign w:val="center"/>
          </w:tcPr>
          <w:p w14:paraId="221AED98">
            <w:pPr>
              <w:pStyle w:val="12"/>
              <w:jc w:val="center"/>
              <w:rPr>
                <w:rFonts w:ascii="宋体" w:hAnsi="宋体"/>
              </w:rPr>
            </w:pPr>
            <w:r>
              <w:rPr>
                <w:rFonts w:ascii="宋体" w:hAnsi="宋体"/>
              </w:rPr>
              <w:t>9725</w:t>
            </w:r>
          </w:p>
        </w:tc>
        <w:tc>
          <w:tcPr>
            <w:tcW w:w="319" w:type="pct"/>
            <w:vAlign w:val="center"/>
          </w:tcPr>
          <w:p w14:paraId="43C61565">
            <w:pPr>
              <w:pStyle w:val="12"/>
              <w:jc w:val="center"/>
              <w:rPr>
                <w:rFonts w:ascii="宋体" w:hAnsi="宋体"/>
              </w:rPr>
            </w:pPr>
            <w:r>
              <w:rPr>
                <w:rFonts w:ascii="宋体" w:hAnsi="宋体"/>
              </w:rPr>
              <w:t>22</w:t>
            </w:r>
          </w:p>
        </w:tc>
      </w:tr>
      <w:tr w14:paraId="4D5E39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14:paraId="1F6F6D36">
            <w:pPr>
              <w:pStyle w:val="12"/>
              <w:jc w:val="center"/>
              <w:rPr>
                <w:rFonts w:ascii="宋体" w:hAnsi="宋体"/>
              </w:rPr>
            </w:pPr>
            <w:r>
              <w:rPr>
                <w:rFonts w:ascii="宋体" w:hAnsi="宋体"/>
              </w:rPr>
              <w:t>1998</w:t>
            </w:r>
          </w:p>
        </w:tc>
        <w:tc>
          <w:tcPr>
            <w:tcW w:w="415" w:type="pct"/>
            <w:vAlign w:val="center"/>
          </w:tcPr>
          <w:p w14:paraId="3C20D7F5">
            <w:pPr>
              <w:pStyle w:val="12"/>
              <w:jc w:val="center"/>
              <w:rPr>
                <w:rFonts w:ascii="宋体" w:hAnsi="宋体"/>
              </w:rPr>
            </w:pPr>
            <w:r>
              <w:rPr>
                <w:rFonts w:ascii="宋体" w:hAnsi="宋体"/>
              </w:rPr>
              <w:t>15509</w:t>
            </w:r>
          </w:p>
        </w:tc>
        <w:tc>
          <w:tcPr>
            <w:tcW w:w="424" w:type="pct"/>
            <w:vAlign w:val="center"/>
          </w:tcPr>
          <w:p w14:paraId="5D3547C0">
            <w:pPr>
              <w:pStyle w:val="12"/>
              <w:jc w:val="center"/>
              <w:rPr>
                <w:rFonts w:ascii="宋体" w:hAnsi="宋体"/>
              </w:rPr>
            </w:pPr>
            <w:r>
              <w:rPr>
                <w:rFonts w:ascii="宋体" w:hAnsi="宋体"/>
              </w:rPr>
              <w:t>6363</w:t>
            </w:r>
          </w:p>
        </w:tc>
        <w:tc>
          <w:tcPr>
            <w:tcW w:w="320" w:type="pct"/>
            <w:vAlign w:val="center"/>
          </w:tcPr>
          <w:p w14:paraId="152AEC55">
            <w:pPr>
              <w:pStyle w:val="12"/>
              <w:jc w:val="center"/>
              <w:rPr>
                <w:rFonts w:ascii="宋体" w:hAnsi="宋体"/>
              </w:rPr>
            </w:pPr>
            <w:r>
              <w:rPr>
                <w:rFonts w:ascii="宋体" w:hAnsi="宋体"/>
              </w:rPr>
              <w:t>410</w:t>
            </w:r>
          </w:p>
        </w:tc>
        <w:tc>
          <w:tcPr>
            <w:tcW w:w="424" w:type="pct"/>
            <w:vAlign w:val="center"/>
          </w:tcPr>
          <w:p w14:paraId="1DE6CF12">
            <w:pPr>
              <w:pStyle w:val="12"/>
              <w:jc w:val="center"/>
              <w:rPr>
                <w:rFonts w:ascii="宋体" w:hAnsi="宋体"/>
              </w:rPr>
            </w:pPr>
            <w:r>
              <w:rPr>
                <w:rFonts w:ascii="宋体" w:hAnsi="宋体"/>
              </w:rPr>
              <w:t>9045</w:t>
            </w:r>
          </w:p>
        </w:tc>
        <w:tc>
          <w:tcPr>
            <w:tcW w:w="424" w:type="pct"/>
            <w:vAlign w:val="center"/>
          </w:tcPr>
          <w:p w14:paraId="3C54EB6F">
            <w:pPr>
              <w:pStyle w:val="12"/>
              <w:jc w:val="center"/>
              <w:rPr>
                <w:rFonts w:ascii="宋体" w:hAnsi="宋体"/>
              </w:rPr>
            </w:pPr>
            <w:r>
              <w:rPr>
                <w:rFonts w:ascii="宋体" w:hAnsi="宋体"/>
              </w:rPr>
              <w:t>3408</w:t>
            </w:r>
          </w:p>
        </w:tc>
        <w:tc>
          <w:tcPr>
            <w:tcW w:w="319" w:type="pct"/>
            <w:vAlign w:val="center"/>
          </w:tcPr>
          <w:p w14:paraId="098A2C6C">
            <w:pPr>
              <w:pStyle w:val="12"/>
              <w:jc w:val="center"/>
              <w:rPr>
                <w:rFonts w:ascii="宋体" w:hAnsi="宋体"/>
              </w:rPr>
            </w:pPr>
            <w:r>
              <w:rPr>
                <w:rFonts w:ascii="宋体" w:hAnsi="宋体"/>
              </w:rPr>
              <w:t>377</w:t>
            </w:r>
          </w:p>
        </w:tc>
        <w:tc>
          <w:tcPr>
            <w:tcW w:w="424" w:type="pct"/>
            <w:vAlign w:val="center"/>
          </w:tcPr>
          <w:p w14:paraId="432C8AE7">
            <w:pPr>
              <w:pStyle w:val="12"/>
              <w:jc w:val="center"/>
              <w:rPr>
                <w:rFonts w:ascii="宋体" w:hAnsi="宋体"/>
              </w:rPr>
            </w:pPr>
            <w:r>
              <w:rPr>
                <w:rFonts w:ascii="宋体" w:hAnsi="宋体"/>
              </w:rPr>
              <w:t>14985</w:t>
            </w:r>
          </w:p>
        </w:tc>
        <w:tc>
          <w:tcPr>
            <w:tcW w:w="424" w:type="pct"/>
            <w:vAlign w:val="center"/>
          </w:tcPr>
          <w:p w14:paraId="626EC54F">
            <w:pPr>
              <w:pStyle w:val="12"/>
              <w:jc w:val="center"/>
              <w:rPr>
                <w:rFonts w:ascii="宋体" w:hAnsi="宋体"/>
              </w:rPr>
            </w:pPr>
            <w:r>
              <w:rPr>
                <w:rFonts w:ascii="宋体" w:hAnsi="宋体"/>
              </w:rPr>
              <w:t>565</w:t>
            </w:r>
          </w:p>
        </w:tc>
        <w:tc>
          <w:tcPr>
            <w:tcW w:w="319" w:type="pct"/>
            <w:vAlign w:val="center"/>
          </w:tcPr>
          <w:p w14:paraId="225A11FE">
            <w:pPr>
              <w:pStyle w:val="12"/>
              <w:jc w:val="center"/>
              <w:rPr>
                <w:rFonts w:ascii="宋体" w:hAnsi="宋体"/>
              </w:rPr>
            </w:pPr>
            <w:r>
              <w:rPr>
                <w:rFonts w:ascii="宋体" w:hAnsi="宋体"/>
              </w:rPr>
              <w:t>38</w:t>
            </w:r>
          </w:p>
        </w:tc>
        <w:tc>
          <w:tcPr>
            <w:tcW w:w="424" w:type="pct"/>
            <w:vAlign w:val="center"/>
          </w:tcPr>
          <w:p w14:paraId="4A3E32E3">
            <w:pPr>
              <w:pStyle w:val="12"/>
              <w:jc w:val="center"/>
              <w:rPr>
                <w:rFonts w:ascii="宋体" w:hAnsi="宋体"/>
              </w:rPr>
            </w:pPr>
            <w:r>
              <w:rPr>
                <w:rFonts w:ascii="宋体" w:hAnsi="宋体"/>
              </w:rPr>
              <w:t>191</w:t>
            </w:r>
          </w:p>
        </w:tc>
        <w:tc>
          <w:tcPr>
            <w:tcW w:w="424" w:type="pct"/>
            <w:vAlign w:val="center"/>
          </w:tcPr>
          <w:p w14:paraId="71C47F89">
            <w:pPr>
              <w:pStyle w:val="12"/>
              <w:jc w:val="center"/>
              <w:rPr>
                <w:rFonts w:ascii="宋体" w:hAnsi="宋体"/>
              </w:rPr>
            </w:pPr>
            <w:r>
              <w:rPr>
                <w:rFonts w:ascii="宋体" w:hAnsi="宋体"/>
              </w:rPr>
              <w:t>10527</w:t>
            </w:r>
          </w:p>
        </w:tc>
        <w:tc>
          <w:tcPr>
            <w:tcW w:w="319" w:type="pct"/>
            <w:vAlign w:val="center"/>
          </w:tcPr>
          <w:p w14:paraId="5A2BB599">
            <w:pPr>
              <w:pStyle w:val="12"/>
              <w:jc w:val="center"/>
              <w:rPr>
                <w:rFonts w:ascii="宋体" w:hAnsi="宋体"/>
              </w:rPr>
            </w:pPr>
            <w:r>
              <w:rPr>
                <w:rFonts w:ascii="宋体" w:hAnsi="宋体"/>
              </w:rPr>
              <w:t>23</w:t>
            </w:r>
          </w:p>
        </w:tc>
      </w:tr>
      <w:tr w14:paraId="26CF15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14:paraId="4F4D6068">
            <w:pPr>
              <w:pStyle w:val="12"/>
              <w:jc w:val="center"/>
              <w:rPr>
                <w:rFonts w:ascii="宋体" w:hAnsi="宋体"/>
              </w:rPr>
            </w:pPr>
            <w:r>
              <w:rPr>
                <w:rFonts w:ascii="宋体" w:hAnsi="宋体"/>
              </w:rPr>
              <w:t>1999</w:t>
            </w:r>
          </w:p>
        </w:tc>
        <w:tc>
          <w:tcPr>
            <w:tcW w:w="415" w:type="pct"/>
            <w:vAlign w:val="center"/>
          </w:tcPr>
          <w:p w14:paraId="3B6BF3EC">
            <w:pPr>
              <w:pStyle w:val="12"/>
              <w:jc w:val="center"/>
              <w:rPr>
                <w:rFonts w:ascii="宋体" w:hAnsi="宋体"/>
              </w:rPr>
            </w:pPr>
            <w:r>
              <w:rPr>
                <w:rFonts w:ascii="宋体" w:hAnsi="宋体"/>
              </w:rPr>
              <w:t>15540</w:t>
            </w:r>
          </w:p>
        </w:tc>
        <w:tc>
          <w:tcPr>
            <w:tcW w:w="424" w:type="pct"/>
            <w:vAlign w:val="center"/>
          </w:tcPr>
          <w:p w14:paraId="1D4914F3">
            <w:pPr>
              <w:pStyle w:val="12"/>
              <w:jc w:val="center"/>
              <w:rPr>
                <w:rFonts w:ascii="宋体" w:hAnsi="宋体"/>
              </w:rPr>
            </w:pPr>
            <w:r>
              <w:rPr>
                <w:rFonts w:ascii="宋体" w:hAnsi="宋体"/>
              </w:rPr>
              <w:t>6806</w:t>
            </w:r>
          </w:p>
        </w:tc>
        <w:tc>
          <w:tcPr>
            <w:tcW w:w="320" w:type="pct"/>
            <w:vAlign w:val="center"/>
          </w:tcPr>
          <w:p w14:paraId="5E746DBD">
            <w:pPr>
              <w:pStyle w:val="12"/>
              <w:jc w:val="center"/>
              <w:rPr>
                <w:rFonts w:ascii="宋体" w:hAnsi="宋体"/>
              </w:rPr>
            </w:pPr>
            <w:r>
              <w:rPr>
                <w:rFonts w:ascii="宋体" w:hAnsi="宋体"/>
              </w:rPr>
              <w:t>438</w:t>
            </w:r>
          </w:p>
        </w:tc>
        <w:tc>
          <w:tcPr>
            <w:tcW w:w="424" w:type="pct"/>
            <w:vAlign w:val="center"/>
          </w:tcPr>
          <w:p w14:paraId="4C75FFE9">
            <w:pPr>
              <w:pStyle w:val="12"/>
              <w:jc w:val="center"/>
              <w:rPr>
                <w:rFonts w:ascii="宋体" w:hAnsi="宋体"/>
              </w:rPr>
            </w:pPr>
            <w:r>
              <w:rPr>
                <w:rFonts w:ascii="宋体" w:hAnsi="宋体"/>
              </w:rPr>
              <w:t>9045</w:t>
            </w:r>
          </w:p>
        </w:tc>
        <w:tc>
          <w:tcPr>
            <w:tcW w:w="424" w:type="pct"/>
            <w:vAlign w:val="center"/>
          </w:tcPr>
          <w:p w14:paraId="05BF4E37">
            <w:pPr>
              <w:pStyle w:val="12"/>
              <w:jc w:val="center"/>
              <w:rPr>
                <w:rFonts w:ascii="宋体" w:hAnsi="宋体"/>
              </w:rPr>
            </w:pPr>
            <w:r>
              <w:rPr>
                <w:rFonts w:ascii="宋体" w:hAnsi="宋体"/>
              </w:rPr>
              <w:t>3498</w:t>
            </w:r>
          </w:p>
        </w:tc>
        <w:tc>
          <w:tcPr>
            <w:tcW w:w="319" w:type="pct"/>
            <w:vAlign w:val="center"/>
          </w:tcPr>
          <w:p w14:paraId="66A11260">
            <w:pPr>
              <w:pStyle w:val="12"/>
              <w:jc w:val="center"/>
              <w:rPr>
                <w:rFonts w:ascii="宋体" w:hAnsi="宋体"/>
              </w:rPr>
            </w:pPr>
            <w:r>
              <w:rPr>
                <w:rFonts w:ascii="宋体" w:hAnsi="宋体"/>
              </w:rPr>
              <w:t>387</w:t>
            </w:r>
          </w:p>
        </w:tc>
        <w:tc>
          <w:tcPr>
            <w:tcW w:w="424" w:type="pct"/>
            <w:vAlign w:val="center"/>
          </w:tcPr>
          <w:p w14:paraId="7E8BFD10">
            <w:pPr>
              <w:pStyle w:val="12"/>
              <w:jc w:val="center"/>
              <w:rPr>
                <w:rFonts w:ascii="宋体" w:hAnsi="宋体"/>
              </w:rPr>
            </w:pPr>
            <w:r>
              <w:rPr>
                <w:rFonts w:ascii="宋体" w:hAnsi="宋体"/>
              </w:rPr>
              <w:t>14985</w:t>
            </w:r>
          </w:p>
        </w:tc>
        <w:tc>
          <w:tcPr>
            <w:tcW w:w="424" w:type="pct"/>
            <w:vAlign w:val="center"/>
          </w:tcPr>
          <w:p w14:paraId="7AC9E9B8">
            <w:pPr>
              <w:pStyle w:val="12"/>
              <w:jc w:val="center"/>
              <w:rPr>
                <w:rFonts w:ascii="宋体" w:hAnsi="宋体"/>
              </w:rPr>
            </w:pPr>
            <w:r>
              <w:rPr>
                <w:rFonts w:ascii="宋体" w:hAnsi="宋体"/>
              </w:rPr>
              <w:t>567</w:t>
            </w:r>
          </w:p>
        </w:tc>
        <w:tc>
          <w:tcPr>
            <w:tcW w:w="319" w:type="pct"/>
            <w:vAlign w:val="center"/>
          </w:tcPr>
          <w:p w14:paraId="6918F36F">
            <w:pPr>
              <w:pStyle w:val="12"/>
              <w:jc w:val="center"/>
              <w:rPr>
                <w:rFonts w:ascii="宋体" w:hAnsi="宋体"/>
              </w:rPr>
            </w:pPr>
            <w:r>
              <w:rPr>
                <w:rFonts w:ascii="宋体" w:hAnsi="宋体"/>
              </w:rPr>
              <w:t>38</w:t>
            </w:r>
          </w:p>
        </w:tc>
        <w:tc>
          <w:tcPr>
            <w:tcW w:w="424" w:type="pct"/>
            <w:vAlign w:val="center"/>
          </w:tcPr>
          <w:p w14:paraId="17BF1ED4">
            <w:pPr>
              <w:pStyle w:val="12"/>
              <w:jc w:val="center"/>
              <w:rPr>
                <w:rFonts w:ascii="宋体" w:hAnsi="宋体"/>
              </w:rPr>
            </w:pPr>
            <w:r>
              <w:rPr>
                <w:rFonts w:ascii="宋体" w:hAnsi="宋体"/>
              </w:rPr>
              <w:t>193</w:t>
            </w:r>
          </w:p>
        </w:tc>
        <w:tc>
          <w:tcPr>
            <w:tcW w:w="424" w:type="pct"/>
            <w:vAlign w:val="center"/>
          </w:tcPr>
          <w:p w14:paraId="623AD87A">
            <w:pPr>
              <w:pStyle w:val="12"/>
              <w:jc w:val="center"/>
              <w:rPr>
                <w:rFonts w:ascii="宋体" w:hAnsi="宋体"/>
              </w:rPr>
            </w:pPr>
            <w:r>
              <w:rPr>
                <w:rFonts w:ascii="宋体" w:hAnsi="宋体"/>
              </w:rPr>
              <w:t>11064</w:t>
            </w:r>
          </w:p>
        </w:tc>
        <w:tc>
          <w:tcPr>
            <w:tcW w:w="319" w:type="pct"/>
            <w:vAlign w:val="center"/>
          </w:tcPr>
          <w:p w14:paraId="3F210F9E">
            <w:pPr>
              <w:pStyle w:val="12"/>
              <w:jc w:val="center"/>
              <w:rPr>
                <w:rFonts w:ascii="宋体" w:hAnsi="宋体"/>
              </w:rPr>
            </w:pPr>
            <w:r>
              <w:rPr>
                <w:rFonts w:ascii="宋体" w:hAnsi="宋体"/>
              </w:rPr>
              <w:t>24</w:t>
            </w:r>
          </w:p>
        </w:tc>
      </w:tr>
      <w:tr w14:paraId="144797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14:paraId="5C4923FA">
            <w:pPr>
              <w:pStyle w:val="12"/>
              <w:jc w:val="center"/>
              <w:rPr>
                <w:rFonts w:ascii="宋体" w:hAnsi="宋体"/>
              </w:rPr>
            </w:pPr>
            <w:r>
              <w:rPr>
                <w:rFonts w:ascii="宋体" w:hAnsi="宋体"/>
              </w:rPr>
              <w:t>2000</w:t>
            </w:r>
          </w:p>
        </w:tc>
        <w:tc>
          <w:tcPr>
            <w:tcW w:w="415" w:type="pct"/>
            <w:vAlign w:val="center"/>
          </w:tcPr>
          <w:p w14:paraId="174078B2">
            <w:pPr>
              <w:pStyle w:val="12"/>
              <w:jc w:val="center"/>
              <w:rPr>
                <w:rFonts w:ascii="宋体" w:hAnsi="宋体"/>
              </w:rPr>
            </w:pPr>
            <w:r>
              <w:rPr>
                <w:rFonts w:ascii="宋体" w:hAnsi="宋体"/>
              </w:rPr>
              <w:t>15540</w:t>
            </w:r>
          </w:p>
        </w:tc>
        <w:tc>
          <w:tcPr>
            <w:tcW w:w="424" w:type="pct"/>
            <w:vAlign w:val="center"/>
          </w:tcPr>
          <w:p w14:paraId="7D5F47D6">
            <w:pPr>
              <w:pStyle w:val="12"/>
              <w:jc w:val="center"/>
              <w:rPr>
                <w:rFonts w:ascii="宋体" w:hAnsi="宋体"/>
              </w:rPr>
            </w:pPr>
            <w:r>
              <w:rPr>
                <w:rFonts w:ascii="宋体" w:hAnsi="宋体"/>
              </w:rPr>
              <w:t>7229</w:t>
            </w:r>
          </w:p>
        </w:tc>
        <w:tc>
          <w:tcPr>
            <w:tcW w:w="320" w:type="pct"/>
            <w:vAlign w:val="center"/>
          </w:tcPr>
          <w:p w14:paraId="02A36A65">
            <w:pPr>
              <w:pStyle w:val="12"/>
              <w:jc w:val="center"/>
              <w:rPr>
                <w:rFonts w:ascii="宋体" w:hAnsi="宋体"/>
              </w:rPr>
            </w:pPr>
            <w:r>
              <w:rPr>
                <w:rFonts w:ascii="宋体" w:hAnsi="宋体"/>
              </w:rPr>
              <w:t>465</w:t>
            </w:r>
          </w:p>
        </w:tc>
        <w:tc>
          <w:tcPr>
            <w:tcW w:w="424" w:type="pct"/>
            <w:vAlign w:val="center"/>
          </w:tcPr>
          <w:p w14:paraId="75C52440">
            <w:pPr>
              <w:pStyle w:val="12"/>
              <w:jc w:val="center"/>
              <w:rPr>
                <w:rFonts w:ascii="宋体" w:hAnsi="宋体"/>
              </w:rPr>
            </w:pPr>
            <w:r>
              <w:rPr>
                <w:rFonts w:ascii="宋体" w:hAnsi="宋体"/>
              </w:rPr>
              <w:t>9045</w:t>
            </w:r>
          </w:p>
        </w:tc>
        <w:tc>
          <w:tcPr>
            <w:tcW w:w="424" w:type="pct"/>
            <w:vAlign w:val="center"/>
          </w:tcPr>
          <w:p w14:paraId="602BD802">
            <w:pPr>
              <w:pStyle w:val="12"/>
              <w:jc w:val="center"/>
              <w:rPr>
                <w:rFonts w:ascii="宋体" w:hAnsi="宋体"/>
              </w:rPr>
            </w:pPr>
            <w:r>
              <w:rPr>
                <w:rFonts w:ascii="宋体" w:hAnsi="宋体"/>
              </w:rPr>
              <w:t>3574</w:t>
            </w:r>
          </w:p>
        </w:tc>
        <w:tc>
          <w:tcPr>
            <w:tcW w:w="319" w:type="pct"/>
            <w:vAlign w:val="center"/>
          </w:tcPr>
          <w:p w14:paraId="11763876">
            <w:pPr>
              <w:pStyle w:val="12"/>
              <w:jc w:val="center"/>
              <w:rPr>
                <w:rFonts w:ascii="宋体" w:hAnsi="宋体"/>
              </w:rPr>
            </w:pPr>
            <w:r>
              <w:rPr>
                <w:rFonts w:ascii="宋体" w:hAnsi="宋体"/>
              </w:rPr>
              <w:t>395</w:t>
            </w:r>
          </w:p>
        </w:tc>
        <w:tc>
          <w:tcPr>
            <w:tcW w:w="424" w:type="pct"/>
            <w:vAlign w:val="center"/>
          </w:tcPr>
          <w:p w14:paraId="58E89A94">
            <w:pPr>
              <w:pStyle w:val="12"/>
              <w:jc w:val="center"/>
              <w:rPr>
                <w:rFonts w:ascii="宋体" w:hAnsi="宋体"/>
              </w:rPr>
            </w:pPr>
            <w:r>
              <w:rPr>
                <w:rFonts w:ascii="宋体" w:hAnsi="宋体"/>
              </w:rPr>
              <w:t>14985</w:t>
            </w:r>
          </w:p>
        </w:tc>
        <w:tc>
          <w:tcPr>
            <w:tcW w:w="424" w:type="pct"/>
            <w:vAlign w:val="center"/>
          </w:tcPr>
          <w:p w14:paraId="61117075">
            <w:pPr>
              <w:pStyle w:val="12"/>
              <w:jc w:val="center"/>
              <w:rPr>
                <w:rFonts w:ascii="宋体" w:hAnsi="宋体"/>
              </w:rPr>
            </w:pPr>
            <w:r>
              <w:rPr>
                <w:rFonts w:ascii="宋体" w:hAnsi="宋体"/>
              </w:rPr>
              <w:t>567</w:t>
            </w:r>
          </w:p>
        </w:tc>
        <w:tc>
          <w:tcPr>
            <w:tcW w:w="319" w:type="pct"/>
            <w:vAlign w:val="center"/>
          </w:tcPr>
          <w:p w14:paraId="3492F0B5">
            <w:pPr>
              <w:pStyle w:val="12"/>
              <w:jc w:val="center"/>
              <w:rPr>
                <w:rFonts w:ascii="宋体" w:hAnsi="宋体"/>
              </w:rPr>
            </w:pPr>
            <w:r>
              <w:rPr>
                <w:rFonts w:ascii="宋体" w:hAnsi="宋体"/>
              </w:rPr>
              <w:t>38</w:t>
            </w:r>
          </w:p>
        </w:tc>
        <w:tc>
          <w:tcPr>
            <w:tcW w:w="424" w:type="pct"/>
            <w:vAlign w:val="center"/>
          </w:tcPr>
          <w:p w14:paraId="4C9AE955">
            <w:pPr>
              <w:pStyle w:val="12"/>
              <w:jc w:val="center"/>
              <w:rPr>
                <w:rFonts w:ascii="宋体" w:hAnsi="宋体"/>
              </w:rPr>
            </w:pPr>
            <w:r>
              <w:rPr>
                <w:rFonts w:ascii="宋体" w:hAnsi="宋体"/>
              </w:rPr>
              <w:t>193</w:t>
            </w:r>
          </w:p>
        </w:tc>
        <w:tc>
          <w:tcPr>
            <w:tcW w:w="424" w:type="pct"/>
            <w:vAlign w:val="center"/>
          </w:tcPr>
          <w:p w14:paraId="740E1851">
            <w:pPr>
              <w:pStyle w:val="12"/>
              <w:jc w:val="center"/>
              <w:rPr>
                <w:rFonts w:ascii="宋体" w:hAnsi="宋体"/>
              </w:rPr>
            </w:pPr>
            <w:r>
              <w:rPr>
                <w:rFonts w:ascii="宋体" w:hAnsi="宋体"/>
              </w:rPr>
              <w:t>11563</w:t>
            </w:r>
          </w:p>
        </w:tc>
        <w:tc>
          <w:tcPr>
            <w:tcW w:w="319" w:type="pct"/>
            <w:vAlign w:val="center"/>
          </w:tcPr>
          <w:p w14:paraId="1BF92985">
            <w:pPr>
              <w:pStyle w:val="12"/>
              <w:jc w:val="center"/>
              <w:rPr>
                <w:rFonts w:ascii="宋体" w:hAnsi="宋体"/>
              </w:rPr>
            </w:pPr>
            <w:r>
              <w:rPr>
                <w:rFonts w:ascii="宋体" w:hAnsi="宋体"/>
              </w:rPr>
              <w:t>25</w:t>
            </w:r>
          </w:p>
        </w:tc>
      </w:tr>
      <w:tr w14:paraId="71901E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14:paraId="55E6A52B">
            <w:pPr>
              <w:pStyle w:val="12"/>
              <w:jc w:val="center"/>
              <w:rPr>
                <w:rFonts w:ascii="宋体" w:hAnsi="宋体"/>
              </w:rPr>
            </w:pPr>
            <w:r>
              <w:rPr>
                <w:rFonts w:ascii="宋体" w:hAnsi="宋体"/>
              </w:rPr>
              <w:t>2001</w:t>
            </w:r>
          </w:p>
        </w:tc>
        <w:tc>
          <w:tcPr>
            <w:tcW w:w="415" w:type="pct"/>
            <w:vAlign w:val="center"/>
          </w:tcPr>
          <w:p w14:paraId="4BCD216F">
            <w:pPr>
              <w:pStyle w:val="12"/>
              <w:jc w:val="center"/>
              <w:rPr>
                <w:rFonts w:ascii="宋体" w:hAnsi="宋体"/>
              </w:rPr>
            </w:pPr>
            <w:r>
              <w:rPr>
                <w:rFonts w:ascii="宋体" w:hAnsi="宋体"/>
              </w:rPr>
              <w:t>15540</w:t>
            </w:r>
          </w:p>
        </w:tc>
        <w:tc>
          <w:tcPr>
            <w:tcW w:w="424" w:type="pct"/>
            <w:vAlign w:val="center"/>
          </w:tcPr>
          <w:p w14:paraId="63A6FF9B">
            <w:pPr>
              <w:pStyle w:val="12"/>
              <w:jc w:val="center"/>
              <w:rPr>
                <w:rFonts w:ascii="宋体" w:hAnsi="宋体"/>
              </w:rPr>
            </w:pPr>
            <w:r>
              <w:rPr>
                <w:rFonts w:ascii="宋体" w:hAnsi="宋体"/>
              </w:rPr>
              <w:t>7479</w:t>
            </w:r>
          </w:p>
        </w:tc>
        <w:tc>
          <w:tcPr>
            <w:tcW w:w="320" w:type="pct"/>
            <w:vAlign w:val="center"/>
          </w:tcPr>
          <w:p w14:paraId="76D9DBC2">
            <w:pPr>
              <w:pStyle w:val="12"/>
              <w:jc w:val="center"/>
              <w:rPr>
                <w:rFonts w:ascii="宋体" w:hAnsi="宋体"/>
              </w:rPr>
            </w:pPr>
            <w:r>
              <w:rPr>
                <w:rFonts w:ascii="宋体" w:hAnsi="宋体"/>
              </w:rPr>
              <w:t>481</w:t>
            </w:r>
          </w:p>
        </w:tc>
        <w:tc>
          <w:tcPr>
            <w:tcW w:w="424" w:type="pct"/>
            <w:vAlign w:val="center"/>
          </w:tcPr>
          <w:p w14:paraId="33B7BE4D">
            <w:pPr>
              <w:pStyle w:val="12"/>
              <w:jc w:val="center"/>
              <w:rPr>
                <w:rFonts w:ascii="宋体" w:hAnsi="宋体"/>
              </w:rPr>
            </w:pPr>
            <w:r>
              <w:rPr>
                <w:rFonts w:ascii="宋体" w:hAnsi="宋体"/>
              </w:rPr>
              <w:t>9045</w:t>
            </w:r>
          </w:p>
        </w:tc>
        <w:tc>
          <w:tcPr>
            <w:tcW w:w="424" w:type="pct"/>
            <w:vAlign w:val="center"/>
          </w:tcPr>
          <w:p w14:paraId="21C1832B">
            <w:pPr>
              <w:pStyle w:val="12"/>
              <w:jc w:val="center"/>
              <w:rPr>
                <w:rFonts w:ascii="宋体" w:hAnsi="宋体"/>
              </w:rPr>
            </w:pPr>
            <w:r>
              <w:rPr>
                <w:rFonts w:ascii="宋体" w:hAnsi="宋体"/>
              </w:rPr>
              <w:t>4040</w:t>
            </w:r>
          </w:p>
        </w:tc>
        <w:tc>
          <w:tcPr>
            <w:tcW w:w="319" w:type="pct"/>
            <w:vAlign w:val="center"/>
          </w:tcPr>
          <w:p w14:paraId="184A64C1">
            <w:pPr>
              <w:pStyle w:val="12"/>
              <w:jc w:val="center"/>
              <w:rPr>
                <w:rFonts w:ascii="宋体" w:hAnsi="宋体"/>
              </w:rPr>
            </w:pPr>
            <w:r>
              <w:rPr>
                <w:rFonts w:ascii="宋体" w:hAnsi="宋体"/>
              </w:rPr>
              <w:t>447</w:t>
            </w:r>
          </w:p>
        </w:tc>
        <w:tc>
          <w:tcPr>
            <w:tcW w:w="424" w:type="pct"/>
            <w:vAlign w:val="center"/>
          </w:tcPr>
          <w:p w14:paraId="13DC558B">
            <w:pPr>
              <w:pStyle w:val="12"/>
              <w:jc w:val="center"/>
              <w:rPr>
                <w:rFonts w:ascii="宋体" w:hAnsi="宋体"/>
              </w:rPr>
            </w:pPr>
            <w:r>
              <w:rPr>
                <w:rFonts w:ascii="宋体" w:hAnsi="宋体"/>
              </w:rPr>
              <w:t>14985</w:t>
            </w:r>
          </w:p>
        </w:tc>
        <w:tc>
          <w:tcPr>
            <w:tcW w:w="424" w:type="pct"/>
            <w:vAlign w:val="center"/>
          </w:tcPr>
          <w:p w14:paraId="58EEEF3B">
            <w:pPr>
              <w:pStyle w:val="12"/>
              <w:jc w:val="center"/>
              <w:rPr>
                <w:rFonts w:ascii="宋体" w:hAnsi="宋体"/>
              </w:rPr>
            </w:pPr>
            <w:r>
              <w:rPr>
                <w:rFonts w:ascii="宋体" w:hAnsi="宋体"/>
              </w:rPr>
              <w:t>575</w:t>
            </w:r>
          </w:p>
        </w:tc>
        <w:tc>
          <w:tcPr>
            <w:tcW w:w="319" w:type="pct"/>
            <w:vAlign w:val="center"/>
          </w:tcPr>
          <w:p w14:paraId="3EDE014C">
            <w:pPr>
              <w:pStyle w:val="12"/>
              <w:jc w:val="center"/>
              <w:rPr>
                <w:rFonts w:ascii="宋体" w:hAnsi="宋体"/>
              </w:rPr>
            </w:pPr>
            <w:r>
              <w:rPr>
                <w:rFonts w:ascii="宋体" w:hAnsi="宋体"/>
              </w:rPr>
              <w:t>38</w:t>
            </w:r>
          </w:p>
        </w:tc>
        <w:tc>
          <w:tcPr>
            <w:tcW w:w="424" w:type="pct"/>
            <w:vAlign w:val="center"/>
          </w:tcPr>
          <w:p w14:paraId="6A5D46CB">
            <w:pPr>
              <w:pStyle w:val="12"/>
              <w:jc w:val="center"/>
              <w:rPr>
                <w:rFonts w:ascii="宋体" w:hAnsi="宋体"/>
              </w:rPr>
            </w:pPr>
            <w:r>
              <w:rPr>
                <w:rFonts w:ascii="宋体" w:hAnsi="宋体"/>
              </w:rPr>
              <w:t>263</w:t>
            </w:r>
          </w:p>
        </w:tc>
        <w:tc>
          <w:tcPr>
            <w:tcW w:w="424" w:type="pct"/>
            <w:vAlign w:val="center"/>
          </w:tcPr>
          <w:p w14:paraId="1D035B55">
            <w:pPr>
              <w:pStyle w:val="12"/>
              <w:jc w:val="center"/>
              <w:rPr>
                <w:rFonts w:ascii="宋体" w:hAnsi="宋体"/>
              </w:rPr>
            </w:pPr>
            <w:r>
              <w:rPr>
                <w:rFonts w:ascii="宋体" w:hAnsi="宋体"/>
              </w:rPr>
              <w:t>12357</w:t>
            </w:r>
          </w:p>
        </w:tc>
        <w:tc>
          <w:tcPr>
            <w:tcW w:w="319" w:type="pct"/>
            <w:vAlign w:val="center"/>
          </w:tcPr>
          <w:p w14:paraId="76C1AD38">
            <w:pPr>
              <w:pStyle w:val="12"/>
              <w:jc w:val="center"/>
              <w:rPr>
                <w:rFonts w:ascii="宋体" w:hAnsi="宋体"/>
              </w:rPr>
            </w:pPr>
            <w:r>
              <w:rPr>
                <w:rFonts w:ascii="宋体" w:hAnsi="宋体"/>
              </w:rPr>
              <w:t>27</w:t>
            </w:r>
          </w:p>
        </w:tc>
      </w:tr>
      <w:tr w14:paraId="4D116F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14:paraId="13FBAEE4">
            <w:pPr>
              <w:pStyle w:val="12"/>
              <w:jc w:val="center"/>
              <w:rPr>
                <w:rFonts w:ascii="宋体" w:hAnsi="宋体"/>
              </w:rPr>
            </w:pPr>
            <w:r>
              <w:rPr>
                <w:rFonts w:ascii="宋体" w:hAnsi="宋体"/>
              </w:rPr>
              <w:t>2002</w:t>
            </w:r>
          </w:p>
        </w:tc>
        <w:tc>
          <w:tcPr>
            <w:tcW w:w="415" w:type="pct"/>
            <w:vAlign w:val="center"/>
          </w:tcPr>
          <w:p w14:paraId="6B6DBE17">
            <w:pPr>
              <w:pStyle w:val="12"/>
              <w:jc w:val="center"/>
              <w:rPr>
                <w:rFonts w:ascii="宋体" w:hAnsi="宋体"/>
              </w:rPr>
            </w:pPr>
            <w:r>
              <w:rPr>
                <w:rFonts w:ascii="宋体" w:hAnsi="宋体"/>
              </w:rPr>
              <w:t>15540</w:t>
            </w:r>
          </w:p>
        </w:tc>
        <w:tc>
          <w:tcPr>
            <w:tcW w:w="424" w:type="pct"/>
            <w:vAlign w:val="center"/>
          </w:tcPr>
          <w:p w14:paraId="342296FF">
            <w:pPr>
              <w:pStyle w:val="12"/>
              <w:jc w:val="center"/>
              <w:rPr>
                <w:rFonts w:ascii="宋体" w:hAnsi="宋体"/>
              </w:rPr>
            </w:pPr>
            <w:r>
              <w:rPr>
                <w:rFonts w:ascii="宋体" w:hAnsi="宋体"/>
              </w:rPr>
              <w:t>7496</w:t>
            </w:r>
          </w:p>
        </w:tc>
        <w:tc>
          <w:tcPr>
            <w:tcW w:w="320" w:type="pct"/>
            <w:vAlign w:val="center"/>
          </w:tcPr>
          <w:p w14:paraId="3DAB7E2B">
            <w:pPr>
              <w:pStyle w:val="12"/>
              <w:jc w:val="center"/>
              <w:rPr>
                <w:rFonts w:ascii="宋体" w:hAnsi="宋体"/>
              </w:rPr>
            </w:pPr>
            <w:r>
              <w:rPr>
                <w:rFonts w:ascii="宋体" w:hAnsi="宋体"/>
              </w:rPr>
              <w:t>482</w:t>
            </w:r>
          </w:p>
        </w:tc>
        <w:tc>
          <w:tcPr>
            <w:tcW w:w="424" w:type="pct"/>
            <w:vAlign w:val="center"/>
          </w:tcPr>
          <w:p w14:paraId="6D69CB11">
            <w:pPr>
              <w:pStyle w:val="12"/>
              <w:jc w:val="center"/>
              <w:rPr>
                <w:rFonts w:ascii="宋体" w:hAnsi="宋体"/>
              </w:rPr>
            </w:pPr>
            <w:r>
              <w:rPr>
                <w:rFonts w:ascii="宋体" w:hAnsi="宋体"/>
              </w:rPr>
              <w:t>9045</w:t>
            </w:r>
          </w:p>
        </w:tc>
        <w:tc>
          <w:tcPr>
            <w:tcW w:w="424" w:type="pct"/>
            <w:vAlign w:val="center"/>
          </w:tcPr>
          <w:p w14:paraId="4C639198">
            <w:pPr>
              <w:pStyle w:val="12"/>
              <w:jc w:val="center"/>
              <w:rPr>
                <w:rFonts w:ascii="宋体" w:hAnsi="宋体"/>
              </w:rPr>
            </w:pPr>
            <w:r>
              <w:rPr>
                <w:rFonts w:ascii="宋体" w:hAnsi="宋体"/>
              </w:rPr>
              <w:t>3976</w:t>
            </w:r>
          </w:p>
        </w:tc>
        <w:tc>
          <w:tcPr>
            <w:tcW w:w="319" w:type="pct"/>
            <w:vAlign w:val="center"/>
          </w:tcPr>
          <w:p w14:paraId="6F9B79F9">
            <w:pPr>
              <w:pStyle w:val="12"/>
              <w:jc w:val="center"/>
              <w:rPr>
                <w:rFonts w:ascii="宋体" w:hAnsi="宋体"/>
              </w:rPr>
            </w:pPr>
            <w:r>
              <w:rPr>
                <w:rFonts w:ascii="宋体" w:hAnsi="宋体"/>
              </w:rPr>
              <w:t>440</w:t>
            </w:r>
          </w:p>
        </w:tc>
        <w:tc>
          <w:tcPr>
            <w:tcW w:w="424" w:type="pct"/>
            <w:vAlign w:val="center"/>
          </w:tcPr>
          <w:p w14:paraId="35FAEE8B">
            <w:pPr>
              <w:pStyle w:val="12"/>
              <w:jc w:val="center"/>
              <w:rPr>
                <w:rFonts w:ascii="宋体" w:hAnsi="宋体"/>
              </w:rPr>
            </w:pPr>
            <w:r>
              <w:rPr>
                <w:rFonts w:ascii="宋体" w:hAnsi="宋体"/>
              </w:rPr>
              <w:t>14985</w:t>
            </w:r>
          </w:p>
        </w:tc>
        <w:tc>
          <w:tcPr>
            <w:tcW w:w="424" w:type="pct"/>
            <w:vAlign w:val="center"/>
          </w:tcPr>
          <w:p w14:paraId="0E1C54C4">
            <w:pPr>
              <w:pStyle w:val="12"/>
              <w:jc w:val="center"/>
              <w:rPr>
                <w:rFonts w:ascii="宋体" w:hAnsi="宋体"/>
              </w:rPr>
            </w:pPr>
            <w:r>
              <w:rPr>
                <w:rFonts w:ascii="宋体" w:hAnsi="宋体"/>
              </w:rPr>
              <w:t>644</w:t>
            </w:r>
          </w:p>
        </w:tc>
        <w:tc>
          <w:tcPr>
            <w:tcW w:w="319" w:type="pct"/>
            <w:vAlign w:val="center"/>
          </w:tcPr>
          <w:p w14:paraId="1688D28F">
            <w:pPr>
              <w:pStyle w:val="12"/>
              <w:jc w:val="center"/>
              <w:rPr>
                <w:rFonts w:ascii="宋体" w:hAnsi="宋体"/>
              </w:rPr>
            </w:pPr>
            <w:r>
              <w:rPr>
                <w:rFonts w:ascii="宋体" w:hAnsi="宋体"/>
              </w:rPr>
              <w:t>43</w:t>
            </w:r>
          </w:p>
        </w:tc>
        <w:tc>
          <w:tcPr>
            <w:tcW w:w="424" w:type="pct"/>
            <w:vAlign w:val="center"/>
          </w:tcPr>
          <w:p w14:paraId="26B0A3A1">
            <w:pPr>
              <w:pStyle w:val="12"/>
              <w:jc w:val="center"/>
              <w:rPr>
                <w:rFonts w:ascii="宋体" w:hAnsi="宋体"/>
              </w:rPr>
            </w:pPr>
            <w:r>
              <w:rPr>
                <w:rFonts w:ascii="宋体" w:hAnsi="宋体"/>
              </w:rPr>
              <w:t>184</w:t>
            </w:r>
          </w:p>
        </w:tc>
        <w:tc>
          <w:tcPr>
            <w:tcW w:w="424" w:type="pct"/>
            <w:vAlign w:val="center"/>
          </w:tcPr>
          <w:p w14:paraId="18C6F41E">
            <w:pPr>
              <w:pStyle w:val="12"/>
              <w:jc w:val="center"/>
              <w:rPr>
                <w:rFonts w:ascii="宋体" w:hAnsi="宋体"/>
              </w:rPr>
            </w:pPr>
            <w:r>
              <w:rPr>
                <w:rFonts w:ascii="宋体" w:hAnsi="宋体"/>
              </w:rPr>
              <w:t>12400</w:t>
            </w:r>
          </w:p>
        </w:tc>
        <w:tc>
          <w:tcPr>
            <w:tcW w:w="319" w:type="pct"/>
            <w:vAlign w:val="center"/>
          </w:tcPr>
          <w:p w14:paraId="4CAC656D">
            <w:pPr>
              <w:pStyle w:val="12"/>
              <w:jc w:val="center"/>
              <w:rPr>
                <w:rFonts w:ascii="宋体" w:hAnsi="宋体"/>
              </w:rPr>
            </w:pPr>
            <w:r>
              <w:rPr>
                <w:rFonts w:ascii="宋体" w:hAnsi="宋体"/>
              </w:rPr>
              <w:t>27</w:t>
            </w:r>
          </w:p>
        </w:tc>
      </w:tr>
      <w:tr w14:paraId="477E59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14:paraId="25157E53">
            <w:pPr>
              <w:pStyle w:val="12"/>
              <w:jc w:val="center"/>
              <w:rPr>
                <w:rFonts w:ascii="宋体" w:hAnsi="宋体"/>
              </w:rPr>
            </w:pPr>
            <w:r>
              <w:rPr>
                <w:rFonts w:ascii="宋体" w:hAnsi="宋体"/>
              </w:rPr>
              <w:t>2003</w:t>
            </w:r>
          </w:p>
        </w:tc>
        <w:tc>
          <w:tcPr>
            <w:tcW w:w="415" w:type="pct"/>
            <w:vAlign w:val="center"/>
          </w:tcPr>
          <w:p w14:paraId="44108F98">
            <w:pPr>
              <w:pStyle w:val="12"/>
              <w:jc w:val="center"/>
              <w:rPr>
                <w:rFonts w:ascii="宋体" w:hAnsi="宋体"/>
              </w:rPr>
            </w:pPr>
            <w:r>
              <w:rPr>
                <w:rFonts w:ascii="宋体" w:hAnsi="宋体"/>
              </w:rPr>
              <w:t>15540</w:t>
            </w:r>
          </w:p>
        </w:tc>
        <w:tc>
          <w:tcPr>
            <w:tcW w:w="424" w:type="pct"/>
            <w:vAlign w:val="center"/>
          </w:tcPr>
          <w:p w14:paraId="6EB9C9E8">
            <w:pPr>
              <w:pStyle w:val="12"/>
              <w:jc w:val="center"/>
              <w:rPr>
                <w:rFonts w:ascii="宋体" w:hAnsi="宋体"/>
              </w:rPr>
            </w:pPr>
            <w:r>
              <w:rPr>
                <w:rFonts w:ascii="宋体" w:hAnsi="宋体"/>
              </w:rPr>
              <w:t>7590</w:t>
            </w:r>
          </w:p>
        </w:tc>
        <w:tc>
          <w:tcPr>
            <w:tcW w:w="320" w:type="pct"/>
            <w:vAlign w:val="center"/>
          </w:tcPr>
          <w:p w14:paraId="3A424EB1">
            <w:pPr>
              <w:pStyle w:val="12"/>
              <w:jc w:val="center"/>
              <w:rPr>
                <w:rFonts w:ascii="宋体" w:hAnsi="宋体"/>
              </w:rPr>
            </w:pPr>
            <w:r>
              <w:rPr>
                <w:rFonts w:ascii="宋体" w:hAnsi="宋体"/>
              </w:rPr>
              <w:t>488</w:t>
            </w:r>
          </w:p>
        </w:tc>
        <w:tc>
          <w:tcPr>
            <w:tcW w:w="424" w:type="pct"/>
            <w:vAlign w:val="center"/>
          </w:tcPr>
          <w:p w14:paraId="58968230">
            <w:pPr>
              <w:pStyle w:val="12"/>
              <w:jc w:val="center"/>
              <w:rPr>
                <w:rFonts w:ascii="宋体" w:hAnsi="宋体"/>
              </w:rPr>
            </w:pPr>
            <w:r>
              <w:rPr>
                <w:rFonts w:ascii="宋体" w:hAnsi="宋体"/>
              </w:rPr>
              <w:t>9045</w:t>
            </w:r>
          </w:p>
        </w:tc>
        <w:tc>
          <w:tcPr>
            <w:tcW w:w="424" w:type="pct"/>
            <w:vAlign w:val="center"/>
          </w:tcPr>
          <w:p w14:paraId="360FE552">
            <w:pPr>
              <w:pStyle w:val="12"/>
              <w:jc w:val="center"/>
              <w:rPr>
                <w:rFonts w:ascii="宋体" w:hAnsi="宋体"/>
              </w:rPr>
            </w:pPr>
            <w:r>
              <w:rPr>
                <w:rFonts w:ascii="宋体" w:hAnsi="宋体"/>
              </w:rPr>
              <w:t>3982</w:t>
            </w:r>
          </w:p>
        </w:tc>
        <w:tc>
          <w:tcPr>
            <w:tcW w:w="319" w:type="pct"/>
            <w:vAlign w:val="center"/>
          </w:tcPr>
          <w:p w14:paraId="3C36761A">
            <w:pPr>
              <w:pStyle w:val="12"/>
              <w:jc w:val="center"/>
              <w:rPr>
                <w:rFonts w:ascii="宋体" w:hAnsi="宋体"/>
              </w:rPr>
            </w:pPr>
            <w:r>
              <w:rPr>
                <w:rFonts w:ascii="宋体" w:hAnsi="宋体"/>
              </w:rPr>
              <w:t>440</w:t>
            </w:r>
          </w:p>
        </w:tc>
        <w:tc>
          <w:tcPr>
            <w:tcW w:w="424" w:type="pct"/>
            <w:vAlign w:val="center"/>
          </w:tcPr>
          <w:p w14:paraId="2526946E">
            <w:pPr>
              <w:pStyle w:val="12"/>
              <w:jc w:val="center"/>
              <w:rPr>
                <w:rFonts w:ascii="宋体" w:hAnsi="宋体"/>
              </w:rPr>
            </w:pPr>
            <w:r>
              <w:rPr>
                <w:rFonts w:ascii="宋体" w:hAnsi="宋体"/>
              </w:rPr>
              <w:t>14985</w:t>
            </w:r>
          </w:p>
        </w:tc>
        <w:tc>
          <w:tcPr>
            <w:tcW w:w="424" w:type="pct"/>
            <w:vAlign w:val="center"/>
          </w:tcPr>
          <w:p w14:paraId="118CB3B7">
            <w:pPr>
              <w:pStyle w:val="12"/>
              <w:jc w:val="center"/>
              <w:rPr>
                <w:rFonts w:ascii="宋体" w:hAnsi="宋体"/>
              </w:rPr>
            </w:pPr>
            <w:r>
              <w:rPr>
                <w:rFonts w:ascii="宋体" w:hAnsi="宋体"/>
              </w:rPr>
              <w:t>753</w:t>
            </w:r>
          </w:p>
        </w:tc>
        <w:tc>
          <w:tcPr>
            <w:tcW w:w="319" w:type="pct"/>
            <w:vAlign w:val="center"/>
          </w:tcPr>
          <w:p w14:paraId="28F61446">
            <w:pPr>
              <w:pStyle w:val="12"/>
              <w:jc w:val="center"/>
              <w:rPr>
                <w:rFonts w:ascii="宋体" w:hAnsi="宋体"/>
              </w:rPr>
            </w:pPr>
            <w:r>
              <w:rPr>
                <w:rFonts w:ascii="宋体" w:hAnsi="宋体"/>
              </w:rPr>
              <w:t>50</w:t>
            </w:r>
          </w:p>
        </w:tc>
        <w:tc>
          <w:tcPr>
            <w:tcW w:w="424" w:type="pct"/>
            <w:vAlign w:val="center"/>
          </w:tcPr>
          <w:p w14:paraId="7A201BF8">
            <w:pPr>
              <w:pStyle w:val="12"/>
              <w:jc w:val="center"/>
              <w:rPr>
                <w:rFonts w:ascii="宋体" w:hAnsi="宋体"/>
              </w:rPr>
            </w:pPr>
            <w:r>
              <w:rPr>
                <w:rFonts w:ascii="宋体" w:hAnsi="宋体"/>
              </w:rPr>
              <w:t>187</w:t>
            </w:r>
          </w:p>
        </w:tc>
        <w:tc>
          <w:tcPr>
            <w:tcW w:w="424" w:type="pct"/>
            <w:vAlign w:val="center"/>
          </w:tcPr>
          <w:p w14:paraId="3C87E4E5">
            <w:pPr>
              <w:pStyle w:val="12"/>
              <w:jc w:val="center"/>
              <w:rPr>
                <w:rFonts w:ascii="宋体" w:hAnsi="宋体"/>
              </w:rPr>
            </w:pPr>
            <w:r>
              <w:rPr>
                <w:rFonts w:ascii="宋体" w:hAnsi="宋体"/>
              </w:rPr>
              <w:t>12512</w:t>
            </w:r>
          </w:p>
        </w:tc>
        <w:tc>
          <w:tcPr>
            <w:tcW w:w="319" w:type="pct"/>
            <w:vAlign w:val="center"/>
          </w:tcPr>
          <w:p w14:paraId="60DB98CE">
            <w:pPr>
              <w:pStyle w:val="12"/>
              <w:jc w:val="center"/>
              <w:rPr>
                <w:rFonts w:ascii="宋体" w:hAnsi="宋体"/>
              </w:rPr>
            </w:pPr>
            <w:r>
              <w:rPr>
                <w:rFonts w:ascii="宋体" w:hAnsi="宋体"/>
              </w:rPr>
              <w:t>27</w:t>
            </w:r>
          </w:p>
        </w:tc>
      </w:tr>
      <w:tr w14:paraId="4451E7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14:paraId="1450A216">
            <w:pPr>
              <w:pStyle w:val="12"/>
              <w:jc w:val="center"/>
              <w:rPr>
                <w:rFonts w:ascii="宋体" w:hAnsi="宋体"/>
              </w:rPr>
            </w:pPr>
            <w:r>
              <w:rPr>
                <w:rFonts w:ascii="宋体" w:hAnsi="宋体"/>
              </w:rPr>
              <w:t>2004</w:t>
            </w:r>
          </w:p>
        </w:tc>
        <w:tc>
          <w:tcPr>
            <w:tcW w:w="415" w:type="pct"/>
            <w:vAlign w:val="center"/>
          </w:tcPr>
          <w:p w14:paraId="192D40C7">
            <w:pPr>
              <w:pStyle w:val="12"/>
              <w:jc w:val="center"/>
              <w:rPr>
                <w:rFonts w:ascii="宋体" w:hAnsi="宋体"/>
              </w:rPr>
            </w:pPr>
            <w:r>
              <w:rPr>
                <w:rFonts w:ascii="宋体" w:hAnsi="宋体"/>
              </w:rPr>
              <w:t>15540</w:t>
            </w:r>
          </w:p>
        </w:tc>
        <w:tc>
          <w:tcPr>
            <w:tcW w:w="424" w:type="pct"/>
            <w:vAlign w:val="center"/>
          </w:tcPr>
          <w:p w14:paraId="32FD7B72">
            <w:pPr>
              <w:pStyle w:val="12"/>
              <w:jc w:val="center"/>
              <w:rPr>
                <w:rFonts w:ascii="宋体" w:hAnsi="宋体"/>
              </w:rPr>
            </w:pPr>
            <w:r>
              <w:rPr>
                <w:rFonts w:ascii="宋体" w:hAnsi="宋体"/>
              </w:rPr>
              <w:t>6752</w:t>
            </w:r>
          </w:p>
        </w:tc>
        <w:tc>
          <w:tcPr>
            <w:tcW w:w="320" w:type="pct"/>
            <w:vAlign w:val="center"/>
          </w:tcPr>
          <w:p w14:paraId="39863F83">
            <w:pPr>
              <w:pStyle w:val="12"/>
              <w:jc w:val="center"/>
              <w:rPr>
                <w:rFonts w:ascii="宋体" w:hAnsi="宋体"/>
              </w:rPr>
            </w:pPr>
            <w:r>
              <w:rPr>
                <w:rFonts w:ascii="宋体" w:hAnsi="宋体"/>
              </w:rPr>
              <w:t>434</w:t>
            </w:r>
          </w:p>
        </w:tc>
        <w:tc>
          <w:tcPr>
            <w:tcW w:w="424" w:type="pct"/>
            <w:vAlign w:val="center"/>
          </w:tcPr>
          <w:p w14:paraId="31E01477">
            <w:pPr>
              <w:pStyle w:val="12"/>
              <w:jc w:val="center"/>
              <w:rPr>
                <w:rFonts w:ascii="宋体" w:hAnsi="宋体"/>
              </w:rPr>
            </w:pPr>
            <w:r>
              <w:rPr>
                <w:rFonts w:ascii="宋体" w:hAnsi="宋体"/>
              </w:rPr>
              <w:t>9045</w:t>
            </w:r>
          </w:p>
        </w:tc>
        <w:tc>
          <w:tcPr>
            <w:tcW w:w="424" w:type="pct"/>
            <w:vAlign w:val="center"/>
          </w:tcPr>
          <w:p w14:paraId="5C3A304B">
            <w:pPr>
              <w:pStyle w:val="12"/>
              <w:jc w:val="center"/>
              <w:rPr>
                <w:rFonts w:ascii="宋体" w:hAnsi="宋体"/>
              </w:rPr>
            </w:pPr>
            <w:r>
              <w:rPr>
                <w:rFonts w:ascii="宋体" w:hAnsi="宋体"/>
              </w:rPr>
              <w:t>2874</w:t>
            </w:r>
          </w:p>
        </w:tc>
        <w:tc>
          <w:tcPr>
            <w:tcW w:w="319" w:type="pct"/>
            <w:vAlign w:val="center"/>
          </w:tcPr>
          <w:p w14:paraId="5D7DA79C">
            <w:pPr>
              <w:pStyle w:val="12"/>
              <w:jc w:val="center"/>
              <w:rPr>
                <w:rFonts w:ascii="宋体" w:hAnsi="宋体"/>
              </w:rPr>
            </w:pPr>
            <w:r>
              <w:rPr>
                <w:rFonts w:ascii="宋体" w:hAnsi="宋体"/>
              </w:rPr>
              <w:t>329</w:t>
            </w:r>
          </w:p>
        </w:tc>
        <w:tc>
          <w:tcPr>
            <w:tcW w:w="424" w:type="pct"/>
            <w:vAlign w:val="center"/>
          </w:tcPr>
          <w:p w14:paraId="2984E5A0">
            <w:pPr>
              <w:pStyle w:val="12"/>
              <w:jc w:val="center"/>
              <w:rPr>
                <w:rFonts w:ascii="宋体" w:hAnsi="宋体"/>
              </w:rPr>
            </w:pPr>
            <w:r>
              <w:rPr>
                <w:rFonts w:ascii="宋体" w:hAnsi="宋体"/>
              </w:rPr>
              <w:t>14985</w:t>
            </w:r>
          </w:p>
        </w:tc>
        <w:tc>
          <w:tcPr>
            <w:tcW w:w="424" w:type="pct"/>
            <w:vAlign w:val="center"/>
          </w:tcPr>
          <w:p w14:paraId="30C0E1FD">
            <w:pPr>
              <w:pStyle w:val="12"/>
              <w:jc w:val="center"/>
              <w:rPr>
                <w:rFonts w:ascii="宋体" w:hAnsi="宋体"/>
              </w:rPr>
            </w:pPr>
            <w:r>
              <w:rPr>
                <w:rFonts w:ascii="宋体" w:hAnsi="宋体"/>
              </w:rPr>
              <w:t>1089</w:t>
            </w:r>
          </w:p>
        </w:tc>
        <w:tc>
          <w:tcPr>
            <w:tcW w:w="319" w:type="pct"/>
            <w:vAlign w:val="center"/>
          </w:tcPr>
          <w:p w14:paraId="43803FF2">
            <w:pPr>
              <w:pStyle w:val="12"/>
              <w:jc w:val="center"/>
              <w:rPr>
                <w:rFonts w:ascii="宋体" w:hAnsi="宋体"/>
              </w:rPr>
            </w:pPr>
            <w:r>
              <w:rPr>
                <w:rFonts w:ascii="宋体" w:hAnsi="宋体"/>
              </w:rPr>
              <w:t>73</w:t>
            </w:r>
          </w:p>
        </w:tc>
        <w:tc>
          <w:tcPr>
            <w:tcW w:w="424" w:type="pct"/>
            <w:vAlign w:val="center"/>
          </w:tcPr>
          <w:p w14:paraId="5D1994EB">
            <w:pPr>
              <w:pStyle w:val="12"/>
              <w:jc w:val="center"/>
              <w:rPr>
                <w:rFonts w:ascii="宋体" w:hAnsi="宋体"/>
              </w:rPr>
            </w:pPr>
            <w:r>
              <w:rPr>
                <w:rFonts w:ascii="宋体" w:hAnsi="宋体"/>
              </w:rPr>
              <w:t>168</w:t>
            </w:r>
          </w:p>
        </w:tc>
        <w:tc>
          <w:tcPr>
            <w:tcW w:w="424" w:type="pct"/>
            <w:vAlign w:val="center"/>
          </w:tcPr>
          <w:p w14:paraId="095F2455">
            <w:pPr>
              <w:pStyle w:val="12"/>
              <w:jc w:val="center"/>
              <w:rPr>
                <w:rFonts w:ascii="宋体" w:hAnsi="宋体"/>
              </w:rPr>
            </w:pPr>
            <w:r>
              <w:rPr>
                <w:rFonts w:ascii="宋体" w:hAnsi="宋体"/>
              </w:rPr>
              <w:t>9921</w:t>
            </w:r>
          </w:p>
        </w:tc>
        <w:tc>
          <w:tcPr>
            <w:tcW w:w="319" w:type="pct"/>
            <w:vAlign w:val="center"/>
          </w:tcPr>
          <w:p w14:paraId="12F14220">
            <w:pPr>
              <w:pStyle w:val="12"/>
              <w:jc w:val="center"/>
              <w:rPr>
                <w:rFonts w:ascii="宋体" w:hAnsi="宋体"/>
              </w:rPr>
            </w:pPr>
            <w:r>
              <w:rPr>
                <w:rFonts w:ascii="宋体" w:hAnsi="宋体"/>
              </w:rPr>
              <w:t>22</w:t>
            </w:r>
          </w:p>
        </w:tc>
      </w:tr>
    </w:tbl>
    <w:p w14:paraId="2A76C519">
      <w:pPr>
        <w:pStyle w:val="3"/>
        <w:rPr>
          <w:rFonts w:ascii="宋体" w:hAnsi="宋体"/>
        </w:rPr>
      </w:pPr>
      <w:r>
        <w:rPr>
          <w:rFonts w:hint="eastAsia" w:ascii="宋体" w:hAnsi="宋体"/>
        </w:rPr>
        <w:t>第三章  黄烟</w:t>
      </w:r>
    </w:p>
    <w:p w14:paraId="5B819E0A">
      <w:pPr>
        <w:ind w:firstLine="420"/>
        <w:rPr>
          <w:rFonts w:ascii="宋体" w:hAnsi="宋体"/>
          <w:szCs w:val="21"/>
        </w:rPr>
      </w:pPr>
      <w:r>
        <w:rPr>
          <w:rFonts w:hint="eastAsia" w:ascii="宋体" w:hAnsi="宋体"/>
          <w:szCs w:val="21"/>
        </w:rPr>
        <w:t>南雄烟草叶色金黄，俗称黄烟。清初自闽南传入，乾嘉年间日渐增植。清道光四年《直隶南雄州志·物产》载：“烟叶，旧志未载，近四五十年日渐增植，每年货银约百万两，其利几与禾稻等。”民国</w:t>
      </w:r>
      <w:r>
        <w:rPr>
          <w:rFonts w:ascii="宋体" w:hAnsi="宋体"/>
          <w:szCs w:val="21"/>
        </w:rPr>
        <w:t>22年（1933年）广东省建设厅农林局调查，南</w:t>
      </w:r>
      <w:r>
        <w:rPr>
          <w:rFonts w:hint="eastAsia" w:ascii="宋体" w:hAnsi="宋体"/>
          <w:szCs w:val="21"/>
        </w:rPr>
        <w:t>雄烟叶产量为</w:t>
      </w:r>
      <w:r>
        <w:rPr>
          <w:rFonts w:ascii="宋体" w:hAnsi="宋体"/>
          <w:szCs w:val="21"/>
        </w:rPr>
        <w:t>3000吨，仅次于年产5000吨的鹤山县。新中国成立后，黄烟生产在起</w:t>
      </w:r>
      <w:r>
        <w:rPr>
          <w:rFonts w:hint="eastAsia" w:ascii="宋体" w:hAnsi="宋体"/>
          <w:szCs w:val="21"/>
        </w:rPr>
        <w:t>伏中逐步发展，烟叶成为最大宗的农业商品，地方财政收入的支柱。</w:t>
      </w:r>
      <w:r>
        <w:rPr>
          <w:rFonts w:ascii="宋体" w:hAnsi="宋体"/>
          <w:szCs w:val="21"/>
        </w:rPr>
        <w:t>1986年，中国</w:t>
      </w:r>
      <w:r>
        <w:rPr>
          <w:rFonts w:hint="eastAsia" w:ascii="宋体" w:hAnsi="宋体"/>
          <w:szCs w:val="21"/>
        </w:rPr>
        <w:t>烟草总公司确定南雄为出口晒烟基地。</w:t>
      </w:r>
      <w:r>
        <w:rPr>
          <w:rFonts w:ascii="宋体" w:hAnsi="宋体"/>
          <w:szCs w:val="21"/>
        </w:rPr>
        <w:t>1996年10月，在农业部中国优质农产品开发</w:t>
      </w:r>
      <w:r>
        <w:rPr>
          <w:rFonts w:hint="eastAsia" w:ascii="宋体" w:hAnsi="宋体"/>
          <w:szCs w:val="21"/>
        </w:rPr>
        <w:t>服务协会主办的中国特产之乡命名活动中，南雄市被命名为“中国黄烟之乡”。</w:t>
      </w:r>
      <w:r>
        <w:rPr>
          <w:rFonts w:ascii="宋体" w:hAnsi="宋体"/>
          <w:szCs w:val="21"/>
        </w:rPr>
        <w:t>1999</w:t>
      </w:r>
      <w:r>
        <w:rPr>
          <w:rFonts w:hint="eastAsia" w:ascii="宋体" w:hAnsi="宋体"/>
          <w:szCs w:val="21"/>
        </w:rPr>
        <w:t>年，国家烟草专卖局把南雄市列为全国六大国际型优质烤烟生产基地之一和全国名优晒黄烟基地。</w:t>
      </w:r>
    </w:p>
    <w:p w14:paraId="36ABBA7B">
      <w:pPr>
        <w:pStyle w:val="4"/>
        <w:rPr>
          <w:rFonts w:ascii="宋体" w:hAnsi="宋体"/>
        </w:rPr>
      </w:pPr>
      <w:r>
        <w:rPr>
          <w:rFonts w:hint="eastAsia" w:ascii="宋体" w:hAnsi="宋体"/>
        </w:rPr>
        <w:t>第一节  烟区分布</w:t>
      </w:r>
    </w:p>
    <w:p w14:paraId="5B7E1AD2">
      <w:pPr>
        <w:pStyle w:val="5"/>
        <w:rPr>
          <w:rFonts w:ascii="宋体" w:hAnsi="宋体"/>
        </w:rPr>
      </w:pPr>
      <w:r>
        <w:rPr>
          <w:rFonts w:hint="eastAsia" w:ascii="宋体" w:hAnsi="宋体"/>
        </w:rPr>
        <w:t>一、主产烟区</w:t>
      </w:r>
    </w:p>
    <w:p w14:paraId="3C995902">
      <w:pPr>
        <w:ind w:firstLine="420"/>
        <w:rPr>
          <w:rFonts w:ascii="宋体" w:hAnsi="宋体"/>
          <w:szCs w:val="21"/>
        </w:rPr>
      </w:pPr>
      <w:r>
        <w:rPr>
          <w:rFonts w:hint="eastAsia" w:ascii="宋体" w:hAnsi="宋体"/>
          <w:szCs w:val="21"/>
        </w:rPr>
        <w:t>在全国烟叶生产</w:t>
      </w:r>
      <w:r>
        <w:rPr>
          <w:rFonts w:ascii="宋体" w:hAnsi="宋体"/>
          <w:szCs w:val="21"/>
        </w:rPr>
        <w:t>7个一级区域中，南雄属于（V5）南岭丘陵烤烟、晒黄烟区，</w:t>
      </w:r>
      <w:r>
        <w:rPr>
          <w:rFonts w:hint="eastAsia" w:ascii="宋体" w:hAnsi="宋体"/>
          <w:szCs w:val="21"/>
        </w:rPr>
        <w:t>列入优质烟生产的“最适宜类型”。南雄境内，传统烟区在南雄盆地中部狭长的紫色土地带，海拔高度</w:t>
      </w:r>
      <w:r>
        <w:rPr>
          <w:rFonts w:ascii="宋体" w:hAnsi="宋体"/>
          <w:szCs w:val="21"/>
        </w:rPr>
        <w:t>200米以下地区。20世纪80年代中期起，种烟区域逐渐扩至盆地</w:t>
      </w:r>
      <w:r>
        <w:rPr>
          <w:rFonts w:hint="eastAsia" w:ascii="宋体" w:hAnsi="宋体"/>
          <w:szCs w:val="21"/>
        </w:rPr>
        <w:t>周围海拔</w:t>
      </w:r>
      <w:r>
        <w:rPr>
          <w:rFonts w:ascii="宋体" w:hAnsi="宋体"/>
          <w:szCs w:val="21"/>
        </w:rPr>
        <w:t>200米～400米地区。1987年种烟乡镇16个，占全县2</w:t>
      </w:r>
      <w:r>
        <w:rPr>
          <w:rFonts w:hint="eastAsia" w:ascii="宋体" w:hAnsi="宋体"/>
          <w:szCs w:val="21"/>
        </w:rPr>
        <w:t>/</w:t>
      </w:r>
      <w:r>
        <w:rPr>
          <w:rFonts w:ascii="宋体" w:hAnsi="宋体"/>
          <w:szCs w:val="21"/>
        </w:rPr>
        <w:t>3地区。1988年起，</w:t>
      </w:r>
      <w:r>
        <w:rPr>
          <w:rFonts w:hint="eastAsia" w:ascii="宋体" w:hAnsi="宋体"/>
          <w:szCs w:val="21"/>
        </w:rPr>
        <w:t>全县</w:t>
      </w:r>
      <w:r>
        <w:rPr>
          <w:rFonts w:ascii="宋体" w:hAnsi="宋体"/>
          <w:szCs w:val="21"/>
        </w:rPr>
        <w:t>24个乡镇都种烟，种植1</w:t>
      </w:r>
      <w:r>
        <w:rPr>
          <w:rFonts w:hint="eastAsia" w:ascii="宋体" w:hAnsi="宋体"/>
          <w:szCs w:val="21"/>
        </w:rPr>
        <w:t>3</w:t>
      </w:r>
      <w:r>
        <w:rPr>
          <w:rFonts w:ascii="宋体" w:hAnsi="宋体"/>
          <w:szCs w:val="21"/>
        </w:rPr>
        <w:t>33.33公顷的有乌迳、黄坑、湖口3个镇；666.67公</w:t>
      </w:r>
      <w:r>
        <w:rPr>
          <w:rFonts w:hint="eastAsia" w:ascii="宋体" w:hAnsi="宋体"/>
          <w:szCs w:val="21"/>
        </w:rPr>
        <w:t>顷以上的有新龙、大塘、水口、珠玑、主田、古市、黎口</w:t>
      </w:r>
      <w:r>
        <w:rPr>
          <w:rFonts w:ascii="宋体" w:hAnsi="宋体"/>
          <w:szCs w:val="21"/>
        </w:rPr>
        <w:t>7个镇。2004年全市20个</w:t>
      </w:r>
      <w:r>
        <w:rPr>
          <w:rFonts w:hint="eastAsia" w:ascii="宋体" w:hAnsi="宋体"/>
          <w:szCs w:val="21"/>
        </w:rPr>
        <w:t>镇，有</w:t>
      </w:r>
      <w:r>
        <w:rPr>
          <w:rFonts w:ascii="宋体" w:hAnsi="宋体"/>
          <w:szCs w:val="21"/>
        </w:rPr>
        <w:t>16个镇种烟，占80%。其中种植</w:t>
      </w:r>
      <w:r>
        <w:rPr>
          <w:rFonts w:hint="eastAsia" w:ascii="宋体" w:hAnsi="宋体"/>
          <w:szCs w:val="21"/>
        </w:rPr>
        <w:t>6</w:t>
      </w:r>
      <w:r>
        <w:rPr>
          <w:rFonts w:ascii="宋体" w:hAnsi="宋体"/>
          <w:szCs w:val="21"/>
        </w:rPr>
        <w:t>66.</w:t>
      </w:r>
      <w:r>
        <w:rPr>
          <w:rFonts w:hint="eastAsia" w:ascii="宋体" w:hAnsi="宋体"/>
          <w:szCs w:val="21"/>
        </w:rPr>
        <w:t>6</w:t>
      </w:r>
      <w:r>
        <w:rPr>
          <w:rFonts w:ascii="宋体" w:hAnsi="宋体"/>
          <w:szCs w:val="21"/>
        </w:rPr>
        <w:t>7公顷以上的有乌迳、黄坑、油山、水</w:t>
      </w:r>
      <w:r>
        <w:rPr>
          <w:rFonts w:hint="eastAsia" w:ascii="宋体" w:hAnsi="宋体"/>
          <w:szCs w:val="21"/>
        </w:rPr>
        <w:t>口、湖口、珠玑、主田、古市、黎口</w:t>
      </w:r>
      <w:r>
        <w:rPr>
          <w:rFonts w:ascii="宋体" w:hAnsi="宋体"/>
          <w:szCs w:val="21"/>
        </w:rPr>
        <w:t>9个镇，共种植烟9241公顷，占全市当年面积</w:t>
      </w:r>
      <w:r>
        <w:rPr>
          <w:rFonts w:hint="eastAsia" w:ascii="宋体" w:hAnsi="宋体"/>
          <w:szCs w:val="21"/>
        </w:rPr>
        <w:t>的</w:t>
      </w:r>
      <w:r>
        <w:rPr>
          <w:rFonts w:ascii="宋体" w:hAnsi="宋体"/>
          <w:szCs w:val="21"/>
        </w:rPr>
        <w:t>83.9%。</w:t>
      </w:r>
    </w:p>
    <w:p w14:paraId="490C41C7">
      <w:pPr>
        <w:pStyle w:val="5"/>
        <w:rPr>
          <w:rFonts w:ascii="宋体" w:hAnsi="宋体"/>
        </w:rPr>
      </w:pPr>
      <w:r>
        <w:rPr>
          <w:rFonts w:hint="eastAsia" w:ascii="宋体" w:hAnsi="宋体"/>
        </w:rPr>
        <w:t>二、最适宜烟区</w:t>
      </w:r>
    </w:p>
    <w:p w14:paraId="258207E2">
      <w:pPr>
        <w:ind w:firstLine="420"/>
        <w:rPr>
          <w:rFonts w:ascii="宋体" w:hAnsi="宋体"/>
          <w:szCs w:val="21"/>
        </w:rPr>
      </w:pPr>
      <w:r>
        <w:rPr>
          <w:rFonts w:hint="eastAsia" w:ascii="宋体" w:hAnsi="宋体"/>
          <w:szCs w:val="21"/>
        </w:rPr>
        <w:t>主要分布于市境国道</w:t>
      </w:r>
      <w:r>
        <w:rPr>
          <w:rFonts w:ascii="宋体" w:hAnsi="宋体"/>
          <w:szCs w:val="21"/>
        </w:rPr>
        <w:t>323线及南雄至信丰公路两旁狭长地带。土壤为紫色沙壤土</w:t>
      </w:r>
      <w:r>
        <w:rPr>
          <w:rFonts w:hint="eastAsia" w:ascii="宋体" w:hAnsi="宋体"/>
          <w:szCs w:val="21"/>
        </w:rPr>
        <w:t>和紫色泥田为主，呈微碱性（</w:t>
      </w:r>
      <w:r>
        <w:rPr>
          <w:rFonts w:ascii="宋体" w:hAnsi="宋体"/>
          <w:szCs w:val="21"/>
        </w:rPr>
        <w:t>pH7.5~8.2），富含钾、镁，含氮适中，有机质较少。</w:t>
      </w:r>
      <w:r>
        <w:rPr>
          <w:rFonts w:hint="eastAsia" w:ascii="宋体" w:hAnsi="宋体"/>
          <w:szCs w:val="21"/>
        </w:rPr>
        <w:t>在烟株生长前中期（</w:t>
      </w:r>
      <w:r>
        <w:rPr>
          <w:rFonts w:ascii="宋体" w:hAnsi="宋体"/>
          <w:szCs w:val="21"/>
        </w:rPr>
        <w:t>3月至5月）气候温和，阳光充足，利于烟株正常生长。后期</w:t>
      </w:r>
      <w:r>
        <w:rPr>
          <w:rFonts w:hint="eastAsia" w:ascii="宋体" w:hAnsi="宋体"/>
          <w:szCs w:val="21"/>
        </w:rPr>
        <w:t>（</w:t>
      </w:r>
      <w:r>
        <w:rPr>
          <w:rFonts w:ascii="宋体" w:hAnsi="宋体"/>
          <w:szCs w:val="21"/>
        </w:rPr>
        <w:t>6月至7月）气温较高、光照强，利于烟叶正常成熟落黄和</w:t>
      </w:r>
      <w:r>
        <w:rPr>
          <w:rFonts w:hint="eastAsia" w:ascii="宋体" w:hAnsi="宋体"/>
          <w:szCs w:val="21"/>
        </w:rPr>
        <w:t>内</w:t>
      </w:r>
      <w:r>
        <w:rPr>
          <w:rFonts w:ascii="宋体" w:hAnsi="宋体"/>
          <w:szCs w:val="21"/>
        </w:rPr>
        <w:t>在品质的改善。</w:t>
      </w:r>
    </w:p>
    <w:p w14:paraId="7FD8C881">
      <w:pPr>
        <w:ind w:firstLine="420"/>
        <w:rPr>
          <w:rFonts w:ascii="宋体" w:hAnsi="宋体"/>
          <w:szCs w:val="21"/>
        </w:rPr>
      </w:pPr>
      <w:r>
        <w:rPr>
          <w:rFonts w:hint="eastAsia" w:ascii="宋体" w:hAnsi="宋体"/>
          <w:szCs w:val="21"/>
        </w:rPr>
        <w:t>烟区土壤主要有</w:t>
      </w:r>
      <w:r>
        <w:rPr>
          <w:rFonts w:ascii="宋体" w:hAnsi="宋体"/>
          <w:szCs w:val="21"/>
        </w:rPr>
        <w:t>3类：一是紫色土（旱地）；二是紫色泥田（可种水旱作物）；</w:t>
      </w:r>
      <w:r>
        <w:rPr>
          <w:rFonts w:hint="eastAsia" w:ascii="宋体" w:hAnsi="宋体"/>
          <w:szCs w:val="21"/>
        </w:rPr>
        <w:t>三是砂泥田（非紫色土类耕地）。理化性质状况见表</w:t>
      </w:r>
      <w:r>
        <w:rPr>
          <w:rFonts w:ascii="宋体" w:hAnsi="宋体"/>
          <w:szCs w:val="21"/>
        </w:rPr>
        <w:t>2-12：</w:t>
      </w:r>
    </w:p>
    <w:p w14:paraId="5B259B8F">
      <w:pPr>
        <w:ind w:firstLine="0" w:firstLineChars="0"/>
        <w:jc w:val="center"/>
        <w:rPr>
          <w:rFonts w:ascii="宋体" w:hAnsi="宋体"/>
          <w:b/>
          <w:szCs w:val="21"/>
        </w:rPr>
      </w:pPr>
      <w:r>
        <w:rPr>
          <w:rFonts w:hint="eastAsia" w:ascii="宋体" w:hAnsi="宋体"/>
          <w:b/>
          <w:szCs w:val="21"/>
        </w:rPr>
        <w:t>南雄烟区3种主要土壤理化性质检测结果</w:t>
      </w:r>
    </w:p>
    <w:p w14:paraId="177C2E2C">
      <w:pPr>
        <w:ind w:firstLine="0" w:firstLineChars="0"/>
        <w:rPr>
          <w:rFonts w:ascii="宋体" w:hAnsi="宋体"/>
          <w:b/>
        </w:rPr>
      </w:pPr>
      <w:r>
        <w:rPr>
          <w:rFonts w:ascii="宋体" w:hAnsi="宋体"/>
          <w:b/>
        </w:rPr>
        <w:t>表</w:t>
      </w:r>
      <w:r>
        <w:rPr>
          <w:rFonts w:hint="eastAsia" w:ascii="宋体" w:hAnsi="宋体"/>
          <w:b/>
        </w:rPr>
        <w:t>2-12</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2490"/>
        <w:gridCol w:w="2491"/>
        <w:gridCol w:w="2491"/>
      </w:tblGrid>
      <w:tr w14:paraId="309F3C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870DD58">
            <w:pPr>
              <w:pStyle w:val="12"/>
              <w:jc w:val="center"/>
              <w:rPr>
                <w:rFonts w:ascii="宋体" w:hAnsi="宋体"/>
              </w:rPr>
            </w:pPr>
          </w:p>
        </w:tc>
        <w:tc>
          <w:tcPr>
            <w:tcW w:w="1250" w:type="pct"/>
            <w:vAlign w:val="center"/>
          </w:tcPr>
          <w:p w14:paraId="18913EE1">
            <w:pPr>
              <w:pStyle w:val="12"/>
              <w:jc w:val="center"/>
              <w:rPr>
                <w:rFonts w:ascii="宋体" w:hAnsi="宋体"/>
                <w:b/>
              </w:rPr>
            </w:pPr>
            <w:r>
              <w:rPr>
                <w:rFonts w:hint="eastAsia" w:ascii="宋体" w:hAnsi="宋体"/>
                <w:b/>
              </w:rPr>
              <w:t>紫色土（一类）</w:t>
            </w:r>
          </w:p>
        </w:tc>
        <w:tc>
          <w:tcPr>
            <w:tcW w:w="1250" w:type="pct"/>
            <w:vAlign w:val="center"/>
          </w:tcPr>
          <w:p w14:paraId="4C032C9D">
            <w:pPr>
              <w:pStyle w:val="12"/>
              <w:jc w:val="center"/>
              <w:rPr>
                <w:rFonts w:ascii="宋体" w:hAnsi="宋体"/>
                <w:b/>
              </w:rPr>
            </w:pPr>
            <w:r>
              <w:rPr>
                <w:rFonts w:hint="eastAsia" w:ascii="宋体" w:hAnsi="宋体"/>
                <w:b/>
              </w:rPr>
              <w:t>紫色泥田（二类）</w:t>
            </w:r>
          </w:p>
        </w:tc>
        <w:tc>
          <w:tcPr>
            <w:tcW w:w="1250" w:type="pct"/>
            <w:vAlign w:val="center"/>
          </w:tcPr>
          <w:p w14:paraId="22E3CAB8">
            <w:pPr>
              <w:pStyle w:val="12"/>
              <w:jc w:val="center"/>
              <w:rPr>
                <w:rFonts w:ascii="宋体" w:hAnsi="宋体"/>
                <w:b/>
              </w:rPr>
            </w:pPr>
            <w:r>
              <w:rPr>
                <w:rFonts w:hint="eastAsia" w:ascii="宋体" w:hAnsi="宋体"/>
                <w:b/>
              </w:rPr>
              <w:t>沙泥田（三类）</w:t>
            </w:r>
          </w:p>
        </w:tc>
      </w:tr>
      <w:tr w14:paraId="685DAD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07D8B6B6">
            <w:pPr>
              <w:pStyle w:val="12"/>
              <w:jc w:val="center"/>
              <w:rPr>
                <w:rFonts w:ascii="宋体" w:hAnsi="宋体"/>
              </w:rPr>
            </w:pPr>
            <w:r>
              <w:rPr>
                <w:rFonts w:hint="eastAsia" w:ascii="宋体" w:hAnsi="宋体"/>
              </w:rPr>
              <w:t>质地</w:t>
            </w:r>
          </w:p>
        </w:tc>
        <w:tc>
          <w:tcPr>
            <w:tcW w:w="1250" w:type="pct"/>
            <w:vAlign w:val="center"/>
          </w:tcPr>
          <w:p w14:paraId="016616BB">
            <w:pPr>
              <w:pStyle w:val="12"/>
              <w:jc w:val="center"/>
              <w:rPr>
                <w:rFonts w:ascii="宋体" w:hAnsi="宋体"/>
              </w:rPr>
            </w:pPr>
            <w:r>
              <w:rPr>
                <w:rFonts w:hint="eastAsia" w:ascii="宋体" w:hAnsi="宋体"/>
              </w:rPr>
              <w:t>轻壤至轻黏</w:t>
            </w:r>
          </w:p>
        </w:tc>
        <w:tc>
          <w:tcPr>
            <w:tcW w:w="1250" w:type="pct"/>
            <w:vAlign w:val="center"/>
          </w:tcPr>
          <w:p w14:paraId="0AA1A401">
            <w:pPr>
              <w:pStyle w:val="12"/>
              <w:jc w:val="center"/>
              <w:rPr>
                <w:rFonts w:ascii="宋体" w:hAnsi="宋体"/>
              </w:rPr>
            </w:pPr>
            <w:r>
              <w:rPr>
                <w:rFonts w:hint="eastAsia" w:ascii="宋体" w:hAnsi="宋体"/>
              </w:rPr>
              <w:t>中壤至中黏</w:t>
            </w:r>
          </w:p>
        </w:tc>
        <w:tc>
          <w:tcPr>
            <w:tcW w:w="1250" w:type="pct"/>
            <w:vAlign w:val="center"/>
          </w:tcPr>
          <w:p w14:paraId="7BC67841">
            <w:pPr>
              <w:pStyle w:val="12"/>
              <w:jc w:val="center"/>
              <w:rPr>
                <w:rFonts w:ascii="宋体" w:hAnsi="宋体"/>
              </w:rPr>
            </w:pPr>
            <w:r>
              <w:rPr>
                <w:rFonts w:hint="eastAsia" w:ascii="宋体" w:hAnsi="宋体"/>
              </w:rPr>
              <w:t>砂壤至中黏</w:t>
            </w:r>
          </w:p>
        </w:tc>
      </w:tr>
      <w:tr w14:paraId="66A4E1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93AB2A7">
            <w:pPr>
              <w:pStyle w:val="12"/>
              <w:jc w:val="center"/>
              <w:rPr>
                <w:rFonts w:ascii="宋体" w:hAnsi="宋体"/>
              </w:rPr>
            </w:pPr>
            <w:r>
              <w:rPr>
                <w:rFonts w:hint="eastAsia" w:ascii="宋体" w:hAnsi="宋体"/>
              </w:rPr>
              <w:t>土壤结构</w:t>
            </w:r>
          </w:p>
        </w:tc>
        <w:tc>
          <w:tcPr>
            <w:tcW w:w="1250" w:type="pct"/>
            <w:vAlign w:val="center"/>
          </w:tcPr>
          <w:p w14:paraId="5FD9721A">
            <w:pPr>
              <w:pStyle w:val="12"/>
              <w:jc w:val="center"/>
              <w:rPr>
                <w:rFonts w:ascii="宋体" w:hAnsi="宋体"/>
              </w:rPr>
            </w:pPr>
            <w:r>
              <w:rPr>
                <w:rFonts w:hint="eastAsia" w:ascii="宋体" w:hAnsi="宋体"/>
              </w:rPr>
              <w:t>粒状</w:t>
            </w:r>
          </w:p>
        </w:tc>
        <w:tc>
          <w:tcPr>
            <w:tcW w:w="1250" w:type="pct"/>
            <w:vAlign w:val="center"/>
          </w:tcPr>
          <w:p w14:paraId="7AE6F7B5">
            <w:pPr>
              <w:pStyle w:val="12"/>
              <w:jc w:val="center"/>
              <w:rPr>
                <w:rFonts w:ascii="宋体" w:hAnsi="宋体"/>
              </w:rPr>
            </w:pPr>
            <w:r>
              <w:rPr>
                <w:rFonts w:hint="eastAsia" w:ascii="宋体" w:hAnsi="宋体"/>
              </w:rPr>
              <w:t>块状</w:t>
            </w:r>
          </w:p>
        </w:tc>
        <w:tc>
          <w:tcPr>
            <w:tcW w:w="1250" w:type="pct"/>
            <w:vAlign w:val="center"/>
          </w:tcPr>
          <w:p w14:paraId="2A2B7ABE">
            <w:pPr>
              <w:pStyle w:val="12"/>
              <w:jc w:val="center"/>
              <w:rPr>
                <w:rFonts w:ascii="宋体" w:hAnsi="宋体"/>
              </w:rPr>
            </w:pPr>
            <w:r>
              <w:rPr>
                <w:rFonts w:hint="eastAsia" w:ascii="宋体" w:hAnsi="宋体"/>
              </w:rPr>
              <w:t>碎状</w:t>
            </w:r>
          </w:p>
        </w:tc>
      </w:tr>
      <w:tr w14:paraId="5F2922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61A9228">
            <w:pPr>
              <w:pStyle w:val="12"/>
              <w:jc w:val="center"/>
              <w:rPr>
                <w:rFonts w:ascii="宋体" w:hAnsi="宋体"/>
              </w:rPr>
            </w:pPr>
            <w:r>
              <w:rPr>
                <w:rFonts w:hint="eastAsia" w:ascii="宋体" w:hAnsi="宋体"/>
              </w:rPr>
              <w:t>酸碱度（pH值）</w:t>
            </w:r>
          </w:p>
        </w:tc>
        <w:tc>
          <w:tcPr>
            <w:tcW w:w="1250" w:type="pct"/>
            <w:vAlign w:val="center"/>
          </w:tcPr>
          <w:p w14:paraId="471B49E4">
            <w:pPr>
              <w:pStyle w:val="12"/>
              <w:jc w:val="center"/>
              <w:rPr>
                <w:rFonts w:ascii="宋体" w:hAnsi="宋体"/>
              </w:rPr>
            </w:pPr>
            <w:r>
              <w:rPr>
                <w:rFonts w:hint="eastAsia" w:ascii="宋体" w:hAnsi="宋体"/>
              </w:rPr>
              <w:t>8.1</w:t>
            </w:r>
          </w:p>
        </w:tc>
        <w:tc>
          <w:tcPr>
            <w:tcW w:w="1250" w:type="pct"/>
            <w:vAlign w:val="center"/>
          </w:tcPr>
          <w:p w14:paraId="14F3BD40">
            <w:pPr>
              <w:pStyle w:val="12"/>
              <w:jc w:val="center"/>
              <w:rPr>
                <w:rFonts w:ascii="宋体" w:hAnsi="宋体"/>
              </w:rPr>
            </w:pPr>
            <w:r>
              <w:rPr>
                <w:rFonts w:hint="eastAsia" w:ascii="宋体" w:hAnsi="宋体"/>
              </w:rPr>
              <w:t>6.9</w:t>
            </w:r>
          </w:p>
        </w:tc>
        <w:tc>
          <w:tcPr>
            <w:tcW w:w="1250" w:type="pct"/>
            <w:vAlign w:val="center"/>
          </w:tcPr>
          <w:p w14:paraId="0771D0E9">
            <w:pPr>
              <w:pStyle w:val="12"/>
              <w:jc w:val="center"/>
              <w:rPr>
                <w:rFonts w:ascii="宋体" w:hAnsi="宋体"/>
              </w:rPr>
            </w:pPr>
            <w:r>
              <w:rPr>
                <w:rFonts w:hint="eastAsia" w:ascii="宋体" w:hAnsi="宋体"/>
              </w:rPr>
              <w:t>5.4</w:t>
            </w:r>
          </w:p>
        </w:tc>
      </w:tr>
      <w:tr w14:paraId="092098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486E810">
            <w:pPr>
              <w:pStyle w:val="12"/>
              <w:jc w:val="center"/>
              <w:rPr>
                <w:rFonts w:ascii="宋体" w:hAnsi="宋体"/>
              </w:rPr>
            </w:pPr>
            <w:r>
              <w:rPr>
                <w:rFonts w:hint="eastAsia" w:ascii="宋体" w:hAnsi="宋体"/>
              </w:rPr>
              <w:t>有机质（%）</w:t>
            </w:r>
          </w:p>
        </w:tc>
        <w:tc>
          <w:tcPr>
            <w:tcW w:w="1250" w:type="pct"/>
            <w:vAlign w:val="center"/>
          </w:tcPr>
          <w:p w14:paraId="1EFB0A71">
            <w:pPr>
              <w:pStyle w:val="12"/>
              <w:jc w:val="center"/>
              <w:rPr>
                <w:rFonts w:ascii="宋体" w:hAnsi="宋体"/>
              </w:rPr>
            </w:pPr>
            <w:r>
              <w:rPr>
                <w:rFonts w:hint="eastAsia" w:ascii="宋体" w:hAnsi="宋体"/>
              </w:rPr>
              <w:t>0.687</w:t>
            </w:r>
          </w:p>
        </w:tc>
        <w:tc>
          <w:tcPr>
            <w:tcW w:w="1250" w:type="pct"/>
            <w:vAlign w:val="center"/>
          </w:tcPr>
          <w:p w14:paraId="02690E68">
            <w:pPr>
              <w:pStyle w:val="12"/>
              <w:jc w:val="center"/>
              <w:rPr>
                <w:rFonts w:ascii="宋体" w:hAnsi="宋体"/>
              </w:rPr>
            </w:pPr>
            <w:r>
              <w:rPr>
                <w:rFonts w:hint="eastAsia" w:ascii="宋体" w:hAnsi="宋体"/>
              </w:rPr>
              <w:t>2.3</w:t>
            </w:r>
          </w:p>
        </w:tc>
        <w:tc>
          <w:tcPr>
            <w:tcW w:w="1250" w:type="pct"/>
            <w:vAlign w:val="center"/>
          </w:tcPr>
          <w:p w14:paraId="01F329C3">
            <w:pPr>
              <w:pStyle w:val="12"/>
              <w:jc w:val="center"/>
              <w:rPr>
                <w:rFonts w:ascii="宋体" w:hAnsi="宋体"/>
              </w:rPr>
            </w:pPr>
            <w:r>
              <w:rPr>
                <w:rFonts w:hint="eastAsia" w:ascii="宋体" w:hAnsi="宋体"/>
              </w:rPr>
              <w:t>3.16</w:t>
            </w:r>
          </w:p>
        </w:tc>
      </w:tr>
      <w:tr w14:paraId="60B0F9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6DD4EDD">
            <w:pPr>
              <w:pStyle w:val="12"/>
              <w:jc w:val="center"/>
              <w:rPr>
                <w:rFonts w:ascii="宋体" w:hAnsi="宋体"/>
              </w:rPr>
            </w:pPr>
            <w:r>
              <w:rPr>
                <w:rFonts w:hint="eastAsia" w:ascii="宋体" w:hAnsi="宋体"/>
              </w:rPr>
              <w:t>全氮（%）</w:t>
            </w:r>
          </w:p>
        </w:tc>
        <w:tc>
          <w:tcPr>
            <w:tcW w:w="1250" w:type="pct"/>
            <w:vAlign w:val="center"/>
          </w:tcPr>
          <w:p w14:paraId="5C13551F">
            <w:pPr>
              <w:pStyle w:val="12"/>
              <w:jc w:val="center"/>
              <w:rPr>
                <w:rFonts w:ascii="宋体" w:hAnsi="宋体"/>
              </w:rPr>
            </w:pPr>
            <w:r>
              <w:rPr>
                <w:rFonts w:hint="eastAsia" w:ascii="宋体" w:hAnsi="宋体"/>
              </w:rPr>
              <w:t>0.053</w:t>
            </w:r>
          </w:p>
        </w:tc>
        <w:tc>
          <w:tcPr>
            <w:tcW w:w="1250" w:type="pct"/>
            <w:vAlign w:val="center"/>
          </w:tcPr>
          <w:p w14:paraId="224DC081">
            <w:pPr>
              <w:pStyle w:val="12"/>
              <w:jc w:val="center"/>
              <w:rPr>
                <w:rFonts w:ascii="宋体" w:hAnsi="宋体"/>
              </w:rPr>
            </w:pPr>
            <w:r>
              <w:rPr>
                <w:rFonts w:hint="eastAsia" w:ascii="宋体" w:hAnsi="宋体"/>
              </w:rPr>
              <w:t>0.174</w:t>
            </w:r>
          </w:p>
        </w:tc>
        <w:tc>
          <w:tcPr>
            <w:tcW w:w="1250" w:type="pct"/>
            <w:vAlign w:val="center"/>
          </w:tcPr>
          <w:p w14:paraId="04744189">
            <w:pPr>
              <w:pStyle w:val="12"/>
              <w:jc w:val="center"/>
              <w:rPr>
                <w:rFonts w:ascii="宋体" w:hAnsi="宋体"/>
              </w:rPr>
            </w:pPr>
            <w:r>
              <w:rPr>
                <w:rFonts w:hint="eastAsia" w:ascii="宋体" w:hAnsi="宋体"/>
              </w:rPr>
              <w:t>0.178</w:t>
            </w:r>
          </w:p>
        </w:tc>
      </w:tr>
      <w:tr w14:paraId="39998C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E54A051">
            <w:pPr>
              <w:pStyle w:val="12"/>
              <w:jc w:val="center"/>
              <w:rPr>
                <w:rFonts w:ascii="宋体" w:hAnsi="宋体"/>
              </w:rPr>
            </w:pPr>
            <w:r>
              <w:rPr>
                <w:rFonts w:hint="eastAsia" w:ascii="宋体" w:hAnsi="宋体"/>
              </w:rPr>
              <w:t>全磷（%）</w:t>
            </w:r>
          </w:p>
        </w:tc>
        <w:tc>
          <w:tcPr>
            <w:tcW w:w="1250" w:type="pct"/>
            <w:vAlign w:val="center"/>
          </w:tcPr>
          <w:p w14:paraId="61500576">
            <w:pPr>
              <w:pStyle w:val="12"/>
              <w:jc w:val="center"/>
              <w:rPr>
                <w:rFonts w:ascii="宋体" w:hAnsi="宋体"/>
              </w:rPr>
            </w:pPr>
            <w:r>
              <w:rPr>
                <w:rFonts w:hint="eastAsia" w:ascii="宋体" w:hAnsi="宋体"/>
              </w:rPr>
              <w:t>0.19</w:t>
            </w:r>
          </w:p>
        </w:tc>
        <w:tc>
          <w:tcPr>
            <w:tcW w:w="1250" w:type="pct"/>
            <w:vAlign w:val="center"/>
          </w:tcPr>
          <w:p w14:paraId="4C8641E2">
            <w:pPr>
              <w:pStyle w:val="12"/>
              <w:jc w:val="center"/>
              <w:rPr>
                <w:rFonts w:ascii="宋体" w:hAnsi="宋体"/>
              </w:rPr>
            </w:pPr>
            <w:r>
              <w:rPr>
                <w:rFonts w:hint="eastAsia" w:ascii="宋体" w:hAnsi="宋体"/>
              </w:rPr>
              <w:t>0.137</w:t>
            </w:r>
          </w:p>
        </w:tc>
        <w:tc>
          <w:tcPr>
            <w:tcW w:w="1250" w:type="pct"/>
            <w:vAlign w:val="center"/>
          </w:tcPr>
          <w:p w14:paraId="236031A2">
            <w:pPr>
              <w:pStyle w:val="12"/>
              <w:jc w:val="center"/>
              <w:rPr>
                <w:rFonts w:ascii="宋体" w:hAnsi="宋体"/>
              </w:rPr>
            </w:pPr>
            <w:r>
              <w:rPr>
                <w:rFonts w:hint="eastAsia" w:ascii="宋体" w:hAnsi="宋体"/>
              </w:rPr>
              <w:t>0.115</w:t>
            </w:r>
          </w:p>
        </w:tc>
      </w:tr>
      <w:tr w14:paraId="2E0D38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51607F5">
            <w:pPr>
              <w:pStyle w:val="12"/>
              <w:jc w:val="center"/>
              <w:rPr>
                <w:rFonts w:ascii="宋体" w:hAnsi="宋体"/>
              </w:rPr>
            </w:pPr>
            <w:r>
              <w:rPr>
                <w:rFonts w:hint="eastAsia" w:ascii="宋体" w:hAnsi="宋体"/>
              </w:rPr>
              <w:t>全钾（%）</w:t>
            </w:r>
          </w:p>
        </w:tc>
        <w:tc>
          <w:tcPr>
            <w:tcW w:w="1250" w:type="pct"/>
            <w:vAlign w:val="center"/>
          </w:tcPr>
          <w:p w14:paraId="7F94380E">
            <w:pPr>
              <w:pStyle w:val="12"/>
              <w:jc w:val="center"/>
              <w:rPr>
                <w:rFonts w:ascii="宋体" w:hAnsi="宋体"/>
              </w:rPr>
            </w:pPr>
            <w:r>
              <w:rPr>
                <w:rFonts w:hint="eastAsia" w:ascii="宋体" w:hAnsi="宋体"/>
              </w:rPr>
              <w:t>3.51</w:t>
            </w:r>
          </w:p>
        </w:tc>
        <w:tc>
          <w:tcPr>
            <w:tcW w:w="1250" w:type="pct"/>
            <w:vAlign w:val="center"/>
          </w:tcPr>
          <w:p w14:paraId="30CF128D">
            <w:pPr>
              <w:pStyle w:val="12"/>
              <w:jc w:val="center"/>
              <w:rPr>
                <w:rFonts w:ascii="宋体" w:hAnsi="宋体"/>
              </w:rPr>
            </w:pPr>
            <w:r>
              <w:rPr>
                <w:rFonts w:hint="eastAsia" w:ascii="宋体" w:hAnsi="宋体"/>
              </w:rPr>
              <w:t>2.968</w:t>
            </w:r>
          </w:p>
        </w:tc>
        <w:tc>
          <w:tcPr>
            <w:tcW w:w="1250" w:type="pct"/>
            <w:vAlign w:val="center"/>
          </w:tcPr>
          <w:p w14:paraId="17614521">
            <w:pPr>
              <w:pStyle w:val="12"/>
              <w:jc w:val="center"/>
              <w:rPr>
                <w:rFonts w:ascii="宋体" w:hAnsi="宋体"/>
              </w:rPr>
            </w:pPr>
            <w:r>
              <w:rPr>
                <w:rFonts w:hint="eastAsia" w:ascii="宋体" w:hAnsi="宋体"/>
              </w:rPr>
              <w:t>2.66</w:t>
            </w:r>
          </w:p>
        </w:tc>
      </w:tr>
      <w:tr w14:paraId="66729F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51F63620">
            <w:pPr>
              <w:pStyle w:val="12"/>
              <w:jc w:val="center"/>
              <w:rPr>
                <w:rFonts w:ascii="宋体" w:hAnsi="宋体"/>
              </w:rPr>
            </w:pPr>
            <w:r>
              <w:rPr>
                <w:rFonts w:hint="eastAsia" w:ascii="宋体" w:hAnsi="宋体"/>
              </w:rPr>
              <w:t>速效氮（PPM）</w:t>
            </w:r>
          </w:p>
        </w:tc>
        <w:tc>
          <w:tcPr>
            <w:tcW w:w="1250" w:type="pct"/>
            <w:vAlign w:val="center"/>
          </w:tcPr>
          <w:p w14:paraId="19AB0138">
            <w:pPr>
              <w:pStyle w:val="12"/>
              <w:jc w:val="center"/>
              <w:rPr>
                <w:rFonts w:ascii="宋体" w:hAnsi="宋体"/>
              </w:rPr>
            </w:pPr>
            <w:r>
              <w:rPr>
                <w:rFonts w:hint="eastAsia" w:ascii="宋体" w:hAnsi="宋体"/>
              </w:rPr>
              <w:t>33.77</w:t>
            </w:r>
          </w:p>
        </w:tc>
        <w:tc>
          <w:tcPr>
            <w:tcW w:w="1250" w:type="pct"/>
            <w:vAlign w:val="center"/>
          </w:tcPr>
          <w:p w14:paraId="1C87E704">
            <w:pPr>
              <w:pStyle w:val="12"/>
              <w:jc w:val="center"/>
              <w:rPr>
                <w:rFonts w:ascii="宋体" w:hAnsi="宋体"/>
              </w:rPr>
            </w:pPr>
            <w:r>
              <w:rPr>
                <w:rFonts w:hint="eastAsia" w:ascii="宋体" w:hAnsi="宋体"/>
              </w:rPr>
              <w:t>124.95</w:t>
            </w:r>
          </w:p>
        </w:tc>
        <w:tc>
          <w:tcPr>
            <w:tcW w:w="1250" w:type="pct"/>
            <w:vAlign w:val="center"/>
          </w:tcPr>
          <w:p w14:paraId="31EE3563">
            <w:pPr>
              <w:pStyle w:val="12"/>
              <w:jc w:val="center"/>
              <w:rPr>
                <w:rFonts w:ascii="宋体" w:hAnsi="宋体"/>
              </w:rPr>
            </w:pPr>
            <w:r>
              <w:rPr>
                <w:rFonts w:hint="eastAsia" w:ascii="宋体" w:hAnsi="宋体"/>
              </w:rPr>
              <w:t>141.2</w:t>
            </w:r>
          </w:p>
        </w:tc>
      </w:tr>
      <w:tr w14:paraId="695997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FDB3D38">
            <w:pPr>
              <w:pStyle w:val="12"/>
              <w:jc w:val="center"/>
              <w:rPr>
                <w:rFonts w:ascii="宋体" w:hAnsi="宋体"/>
              </w:rPr>
            </w:pPr>
            <w:r>
              <w:rPr>
                <w:rFonts w:hint="eastAsia" w:ascii="宋体" w:hAnsi="宋体"/>
              </w:rPr>
              <w:t>速效磷（PPM）</w:t>
            </w:r>
          </w:p>
        </w:tc>
        <w:tc>
          <w:tcPr>
            <w:tcW w:w="1250" w:type="pct"/>
            <w:vAlign w:val="center"/>
          </w:tcPr>
          <w:p w14:paraId="5C70CEFA">
            <w:pPr>
              <w:pStyle w:val="12"/>
              <w:jc w:val="center"/>
              <w:rPr>
                <w:rFonts w:ascii="宋体" w:hAnsi="宋体"/>
              </w:rPr>
            </w:pPr>
            <w:r>
              <w:rPr>
                <w:rFonts w:hint="eastAsia" w:ascii="宋体" w:hAnsi="宋体"/>
              </w:rPr>
              <w:t>14.09</w:t>
            </w:r>
          </w:p>
        </w:tc>
        <w:tc>
          <w:tcPr>
            <w:tcW w:w="1250" w:type="pct"/>
            <w:vAlign w:val="center"/>
          </w:tcPr>
          <w:p w14:paraId="6AFC3737">
            <w:pPr>
              <w:pStyle w:val="12"/>
              <w:jc w:val="center"/>
              <w:rPr>
                <w:rFonts w:ascii="宋体" w:hAnsi="宋体"/>
              </w:rPr>
            </w:pPr>
            <w:r>
              <w:rPr>
                <w:rFonts w:hint="eastAsia" w:ascii="宋体" w:hAnsi="宋体"/>
              </w:rPr>
              <w:t>17.78</w:t>
            </w:r>
          </w:p>
        </w:tc>
        <w:tc>
          <w:tcPr>
            <w:tcW w:w="1250" w:type="pct"/>
            <w:vAlign w:val="center"/>
          </w:tcPr>
          <w:p w14:paraId="6F558747">
            <w:pPr>
              <w:pStyle w:val="12"/>
              <w:jc w:val="center"/>
              <w:rPr>
                <w:rFonts w:ascii="宋体" w:hAnsi="宋体"/>
              </w:rPr>
            </w:pPr>
            <w:r>
              <w:rPr>
                <w:rFonts w:hint="eastAsia" w:ascii="宋体" w:hAnsi="宋体"/>
              </w:rPr>
              <w:t>18.45</w:t>
            </w:r>
          </w:p>
        </w:tc>
      </w:tr>
      <w:tr w14:paraId="042106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0FC8579B">
            <w:pPr>
              <w:pStyle w:val="12"/>
              <w:jc w:val="center"/>
              <w:rPr>
                <w:rFonts w:ascii="宋体" w:hAnsi="宋体"/>
              </w:rPr>
            </w:pPr>
            <w:r>
              <w:rPr>
                <w:rFonts w:hint="eastAsia" w:ascii="宋体" w:hAnsi="宋体"/>
              </w:rPr>
              <w:t>速效钾（PPM）</w:t>
            </w:r>
          </w:p>
        </w:tc>
        <w:tc>
          <w:tcPr>
            <w:tcW w:w="1250" w:type="pct"/>
            <w:vAlign w:val="center"/>
          </w:tcPr>
          <w:p w14:paraId="13FADBF3">
            <w:pPr>
              <w:pStyle w:val="12"/>
              <w:jc w:val="center"/>
              <w:rPr>
                <w:rFonts w:ascii="宋体" w:hAnsi="宋体"/>
              </w:rPr>
            </w:pPr>
            <w:r>
              <w:rPr>
                <w:rFonts w:hint="eastAsia" w:ascii="宋体" w:hAnsi="宋体"/>
              </w:rPr>
              <w:t>230.12</w:t>
            </w:r>
          </w:p>
        </w:tc>
        <w:tc>
          <w:tcPr>
            <w:tcW w:w="1250" w:type="pct"/>
            <w:vAlign w:val="center"/>
          </w:tcPr>
          <w:p w14:paraId="473C7C79">
            <w:pPr>
              <w:pStyle w:val="12"/>
              <w:jc w:val="center"/>
              <w:rPr>
                <w:rFonts w:ascii="宋体" w:hAnsi="宋体"/>
              </w:rPr>
            </w:pPr>
            <w:r>
              <w:rPr>
                <w:rFonts w:hint="eastAsia" w:ascii="宋体" w:hAnsi="宋体"/>
              </w:rPr>
              <w:t>96.49</w:t>
            </w:r>
          </w:p>
        </w:tc>
        <w:tc>
          <w:tcPr>
            <w:tcW w:w="1250" w:type="pct"/>
            <w:vAlign w:val="center"/>
          </w:tcPr>
          <w:p w14:paraId="03969719">
            <w:pPr>
              <w:pStyle w:val="12"/>
              <w:jc w:val="center"/>
              <w:rPr>
                <w:rFonts w:ascii="宋体" w:hAnsi="宋体"/>
              </w:rPr>
            </w:pPr>
            <w:r>
              <w:rPr>
                <w:rFonts w:hint="eastAsia" w:ascii="宋体" w:hAnsi="宋体"/>
              </w:rPr>
              <w:t>59.2</w:t>
            </w:r>
          </w:p>
        </w:tc>
      </w:tr>
    </w:tbl>
    <w:p w14:paraId="0450424F">
      <w:pPr>
        <w:ind w:firstLine="420"/>
        <w:rPr>
          <w:rFonts w:ascii="宋体" w:hAnsi="宋体"/>
          <w:szCs w:val="21"/>
        </w:rPr>
      </w:pPr>
      <w:r>
        <w:rPr>
          <w:rFonts w:hint="eastAsia" w:ascii="宋体" w:hAnsi="宋体"/>
          <w:szCs w:val="21"/>
        </w:rPr>
        <w:t>表</w:t>
      </w:r>
      <w:r>
        <w:rPr>
          <w:rFonts w:ascii="宋体" w:hAnsi="宋体"/>
          <w:szCs w:val="21"/>
        </w:rPr>
        <w:t>2-12中一、二类耕地集中在南雄盆地国道323线和雄信公路两侧。种烟面积</w:t>
      </w:r>
      <w:r>
        <w:rPr>
          <w:rFonts w:hint="eastAsia" w:ascii="宋体" w:hAnsi="宋体"/>
          <w:szCs w:val="21"/>
        </w:rPr>
        <w:t>万亩以上的</w:t>
      </w:r>
      <w:r>
        <w:rPr>
          <w:rFonts w:ascii="宋体" w:hAnsi="宋体"/>
          <w:szCs w:val="21"/>
        </w:rPr>
        <w:t>9个镇也在这一区域。其中东端的乌迳、坪田、油山3个镇，仍依老习惯</w:t>
      </w:r>
      <w:r>
        <w:rPr>
          <w:rFonts w:hint="eastAsia" w:ascii="宋体" w:hAnsi="宋体"/>
          <w:szCs w:val="21"/>
        </w:rPr>
        <w:t>主要生产晒烟，其余中部至西端各镇，绝大部分生产烤烟。适宜生产浓香型烟叶。</w:t>
      </w:r>
    </w:p>
    <w:p w14:paraId="74966B34">
      <w:pPr>
        <w:pStyle w:val="5"/>
        <w:rPr>
          <w:rFonts w:ascii="宋体" w:hAnsi="宋体"/>
        </w:rPr>
      </w:pPr>
      <w:r>
        <w:rPr>
          <w:rFonts w:hint="eastAsia" w:ascii="宋体" w:hAnsi="宋体"/>
        </w:rPr>
        <w:t>三、新开发适宜烟区</w:t>
      </w:r>
    </w:p>
    <w:p w14:paraId="6480C9DB">
      <w:pPr>
        <w:ind w:firstLine="420"/>
        <w:rPr>
          <w:rFonts w:ascii="宋体" w:hAnsi="宋体"/>
          <w:szCs w:val="21"/>
        </w:rPr>
      </w:pPr>
      <w:r>
        <w:rPr>
          <w:rFonts w:hint="eastAsia" w:ascii="宋体" w:hAnsi="宋体"/>
          <w:szCs w:val="21"/>
        </w:rPr>
        <w:t>此类烟区，海拔高度在</w:t>
      </w:r>
      <w:r>
        <w:rPr>
          <w:rFonts w:ascii="宋体" w:hAnsi="宋体"/>
          <w:szCs w:val="21"/>
        </w:rPr>
        <w:t>200米～400米之间，土类为麻沙泥田，烟株生长期日均</w:t>
      </w:r>
      <w:r>
        <w:rPr>
          <w:rFonts w:hint="eastAsia" w:ascii="宋体" w:hAnsi="宋体"/>
          <w:szCs w:val="21"/>
        </w:rPr>
        <w:t>气温</w:t>
      </w:r>
      <w:r>
        <w:rPr>
          <w:rFonts w:ascii="宋体" w:hAnsi="宋体"/>
          <w:szCs w:val="21"/>
        </w:rPr>
        <w:t>15℃～22℃，成熟期为25℃～28℃，昼夜温差比最适宜区大2.1℃～3.5℃。空</w:t>
      </w:r>
      <w:r>
        <w:rPr>
          <w:rFonts w:hint="eastAsia" w:ascii="宋体" w:hAnsi="宋体"/>
          <w:szCs w:val="21"/>
        </w:rPr>
        <w:t>气相对湿度较大。土壤呈微酸性（</w:t>
      </w:r>
      <w:r>
        <w:rPr>
          <w:rFonts w:ascii="宋体" w:hAnsi="宋体"/>
          <w:szCs w:val="21"/>
        </w:rPr>
        <w:t>pH5.2～6.5），富含磷、钙、镁，含氮中等，有机</w:t>
      </w:r>
      <w:r>
        <w:rPr>
          <w:rFonts w:hint="eastAsia" w:ascii="宋体" w:hAnsi="宋体"/>
          <w:szCs w:val="21"/>
        </w:rPr>
        <w:t>质较丰富。所产烟叶介于清香型与浓香型之间。该区种植面积占全市种烟面积</w:t>
      </w:r>
      <w:r>
        <w:rPr>
          <w:rFonts w:ascii="宋体" w:hAnsi="宋体"/>
          <w:szCs w:val="21"/>
        </w:rPr>
        <w:t>20%</w:t>
      </w:r>
      <w:r>
        <w:rPr>
          <w:rFonts w:hint="eastAsia" w:ascii="宋体" w:hAnsi="宋体"/>
          <w:szCs w:val="21"/>
        </w:rPr>
        <w:t>左右。</w:t>
      </w:r>
      <w:r>
        <w:rPr>
          <w:rFonts w:ascii="宋体" w:hAnsi="宋体"/>
          <w:szCs w:val="21"/>
        </w:rPr>
        <w:t>2004年种植较多的全安镇、帽子峰镇各200公顷，南亩镇86.67公顷</w:t>
      </w:r>
      <w:r>
        <w:rPr>
          <w:rFonts w:hint="eastAsia" w:ascii="宋体" w:hAnsi="宋体"/>
          <w:szCs w:val="21"/>
        </w:rPr>
        <w:t>。</w:t>
      </w:r>
    </w:p>
    <w:p w14:paraId="6DA30742">
      <w:pPr>
        <w:pStyle w:val="4"/>
        <w:rPr>
          <w:rFonts w:ascii="宋体" w:hAnsi="宋体"/>
        </w:rPr>
      </w:pPr>
      <w:r>
        <w:rPr>
          <w:rFonts w:hint="eastAsia" w:ascii="宋体" w:hAnsi="宋体"/>
        </w:rPr>
        <w:t>第二节  面积和产量</w:t>
      </w:r>
    </w:p>
    <w:p w14:paraId="79B17AB0">
      <w:pPr>
        <w:ind w:firstLine="420"/>
        <w:rPr>
          <w:rFonts w:ascii="宋体" w:hAnsi="宋体"/>
          <w:szCs w:val="21"/>
        </w:rPr>
      </w:pPr>
      <w:r>
        <w:rPr>
          <w:rFonts w:hint="eastAsia" w:ascii="宋体" w:hAnsi="宋体"/>
          <w:szCs w:val="21"/>
        </w:rPr>
        <w:t>南雄黄烟是商品性生产，种植面积和产量随销路而定，而销路又与烟叶质量呈正相关。新中国成立前，黄烟生产由市场调节，有起有伏。抗日战争期间，由于沿海口岸被封锁，舶来卷烟断绝，内地卷烟工业兴起，烟叶需求量大增，且主要烟叶产地多已沦陷，南雄烟叶顿成奇货，畅销韶关、衡阳、长沙、贵阳、重庆、成都等地，黄烟生产得到一定的发展。</w:t>
      </w:r>
      <w:r>
        <w:rPr>
          <w:rFonts w:ascii="宋体" w:hAnsi="宋体"/>
          <w:szCs w:val="21"/>
        </w:rPr>
        <w:t>1943年烟叶总产达2921.4吨。抗</w:t>
      </w:r>
      <w:r>
        <w:rPr>
          <w:rFonts w:hint="eastAsia" w:ascii="宋体" w:hAnsi="宋体"/>
          <w:szCs w:val="21"/>
        </w:rPr>
        <w:t>日</w:t>
      </w:r>
      <w:r>
        <w:rPr>
          <w:rFonts w:ascii="宋体" w:hAnsi="宋体"/>
          <w:szCs w:val="21"/>
        </w:rPr>
        <w:t>战争胜利后，国民政府禁</w:t>
      </w:r>
      <w:r>
        <w:rPr>
          <w:rFonts w:hint="eastAsia" w:ascii="宋体" w:hAnsi="宋体"/>
          <w:szCs w:val="21"/>
        </w:rPr>
        <w:t>止洋烟进口，严格限制烟叶输入，国内烟叶价格暴涨。民国</w:t>
      </w:r>
      <w:r>
        <w:rPr>
          <w:rFonts w:ascii="宋体" w:hAnsi="宋体"/>
          <w:szCs w:val="21"/>
        </w:rPr>
        <w:t>35年（1946年），每百</w:t>
      </w:r>
      <w:r>
        <w:rPr>
          <w:rFonts w:hint="eastAsia" w:ascii="宋体" w:hAnsi="宋体"/>
          <w:szCs w:val="21"/>
        </w:rPr>
        <w:t>斤烟叶价格竟相当于</w:t>
      </w:r>
      <w:r>
        <w:rPr>
          <w:rFonts w:ascii="宋体" w:hAnsi="宋体"/>
          <w:szCs w:val="21"/>
        </w:rPr>
        <w:t>1750公斤稻谷的价格。是年，南雄烟叶产量达5000吨。民国36</w:t>
      </w:r>
      <w:r>
        <w:rPr>
          <w:rFonts w:hint="eastAsia" w:ascii="宋体" w:hAnsi="宋体"/>
          <w:szCs w:val="21"/>
        </w:rPr>
        <w:t>年，由于国内各主产烟区的烟叶生产陆续恢复发展，加上南雄烟草品种久未改良，市场销路转淡，黄烟生产随之衰退。</w:t>
      </w:r>
      <w:r>
        <w:rPr>
          <w:rFonts w:ascii="宋体" w:hAnsi="宋体"/>
          <w:szCs w:val="21"/>
        </w:rPr>
        <w:t>1949年种烟面积3000公顷，产量2500吨。新中国</w:t>
      </w:r>
      <w:r>
        <w:rPr>
          <w:rFonts w:hint="eastAsia" w:ascii="宋体" w:hAnsi="宋体"/>
          <w:szCs w:val="21"/>
        </w:rPr>
        <w:t>成立后，实行计划经济，黄烟生产受政策制约，出现几起几落。</w:t>
      </w:r>
      <w:r>
        <w:rPr>
          <w:rFonts w:ascii="宋体" w:hAnsi="宋体"/>
          <w:szCs w:val="21"/>
        </w:rPr>
        <w:t>1956年县政府根据</w:t>
      </w:r>
      <w:r>
        <w:rPr>
          <w:rFonts w:hint="eastAsia" w:ascii="宋体" w:hAnsi="宋体"/>
          <w:szCs w:val="21"/>
        </w:rPr>
        <w:t>烟叶俏销时机，提出“建设黄烟县”口号，规定稻田种烟，公粮可折代金，购粮任务可减免。是年种烟面积</w:t>
      </w:r>
      <w:r>
        <w:rPr>
          <w:rFonts w:ascii="宋体" w:hAnsi="宋体"/>
          <w:szCs w:val="21"/>
        </w:rPr>
        <w:t>7433.33公顷，总产6344.45吨。1958年“大跃进”片面</w:t>
      </w:r>
      <w:r>
        <w:rPr>
          <w:rFonts w:hint="eastAsia" w:ascii="宋体" w:hAnsi="宋体"/>
          <w:szCs w:val="21"/>
        </w:rPr>
        <w:t>强调“以粮为纲”，加上粮食紧张，种烟面积逐年下降。</w:t>
      </w:r>
      <w:r>
        <w:rPr>
          <w:rFonts w:ascii="宋体" w:hAnsi="宋体"/>
          <w:szCs w:val="21"/>
        </w:rPr>
        <w:t>1961年种烟2917.4公顷，</w:t>
      </w:r>
      <w:r>
        <w:rPr>
          <w:rFonts w:hint="eastAsia" w:ascii="宋体" w:hAnsi="宋体"/>
          <w:szCs w:val="21"/>
        </w:rPr>
        <w:t>总产</w:t>
      </w:r>
      <w:r>
        <w:rPr>
          <w:rFonts w:ascii="宋体" w:hAnsi="宋体"/>
          <w:szCs w:val="21"/>
        </w:rPr>
        <w:t>1404.4吨。1962年后，粮食形势好转，政府调整粮烟生产计划，1966年种烟面</w:t>
      </w:r>
      <w:r>
        <w:rPr>
          <w:rFonts w:hint="eastAsia" w:ascii="宋体" w:hAnsi="宋体"/>
          <w:szCs w:val="21"/>
        </w:rPr>
        <w:t>积恢复到</w:t>
      </w:r>
      <w:r>
        <w:rPr>
          <w:rFonts w:ascii="宋体" w:hAnsi="宋体"/>
          <w:szCs w:val="21"/>
        </w:rPr>
        <w:t>4210.8公顷，总产5327吨。1967年至1976年“文化大革命”期间，批判</w:t>
      </w:r>
      <w:r>
        <w:rPr>
          <w:rFonts w:hint="eastAsia" w:ascii="宋体" w:hAnsi="宋体"/>
          <w:szCs w:val="21"/>
        </w:rPr>
        <w:t>“以钱为纲”，反对商品生产，种烟技术停滞，质量下降，烟叶销路不畅，烟叶年产量在三四千吨之间徘徊。</w:t>
      </w:r>
    </w:p>
    <w:p w14:paraId="356D1741">
      <w:pPr>
        <w:ind w:firstLine="420"/>
        <w:rPr>
          <w:rFonts w:ascii="宋体" w:hAnsi="宋体"/>
          <w:szCs w:val="21"/>
        </w:rPr>
      </w:pPr>
      <w:r>
        <w:rPr>
          <w:rFonts w:ascii="宋体" w:hAnsi="宋体"/>
          <w:szCs w:val="21"/>
        </w:rPr>
        <w:t>1979年中共十一届三中全会后，南雄县正确贯彻“以粮为纲，全面发展”方针，</w:t>
      </w:r>
      <w:r>
        <w:rPr>
          <w:rFonts w:hint="eastAsia" w:ascii="宋体" w:hAnsi="宋体"/>
          <w:szCs w:val="21"/>
        </w:rPr>
        <w:t>黄烟生产又逐年发展。</w:t>
      </w:r>
      <w:r>
        <w:rPr>
          <w:rFonts w:ascii="宋体" w:hAnsi="宋体"/>
          <w:szCs w:val="21"/>
        </w:rPr>
        <w:t>1982年种烟面积4677.87公顷，总产7066吨。1984年引进美</w:t>
      </w:r>
      <w:r>
        <w:rPr>
          <w:rFonts w:hint="eastAsia" w:ascii="宋体" w:hAnsi="宋体"/>
          <w:szCs w:val="21"/>
        </w:rPr>
        <w:t>国烤烟</w:t>
      </w:r>
      <w:r>
        <w:rPr>
          <w:rFonts w:ascii="宋体" w:hAnsi="宋体"/>
          <w:szCs w:val="21"/>
        </w:rPr>
        <w:t>G28品种成功，提高了烟叶品质，使之在卷烟生产中从“配料烟”升为“主</w:t>
      </w:r>
      <w:r>
        <w:rPr>
          <w:rFonts w:hint="eastAsia" w:ascii="宋体" w:hAnsi="宋体"/>
          <w:szCs w:val="21"/>
        </w:rPr>
        <w:t>料烟”，扩大了南雄烟的销路。</w:t>
      </w:r>
      <w:r>
        <w:rPr>
          <w:rFonts w:ascii="宋体" w:hAnsi="宋体"/>
          <w:szCs w:val="21"/>
        </w:rPr>
        <w:t>1985年</w:t>
      </w:r>
      <w:r>
        <w:rPr>
          <w:rFonts w:hint="eastAsia" w:ascii="宋体" w:hAnsi="宋体"/>
          <w:szCs w:val="21"/>
        </w:rPr>
        <w:t>，</w:t>
      </w:r>
      <w:r>
        <w:rPr>
          <w:rFonts w:ascii="宋体" w:hAnsi="宋体"/>
          <w:szCs w:val="21"/>
        </w:rPr>
        <w:t>创建烟叶复烤厂，提高了烟叶质量。1987年</w:t>
      </w:r>
      <w:r>
        <w:rPr>
          <w:rFonts w:hint="eastAsia" w:ascii="宋体" w:hAnsi="宋体"/>
          <w:szCs w:val="21"/>
        </w:rPr>
        <w:t>种烟区域扩展至全市</w:t>
      </w:r>
      <w:r>
        <w:rPr>
          <w:rFonts w:ascii="宋体" w:hAnsi="宋体"/>
          <w:szCs w:val="21"/>
        </w:rPr>
        <w:t>24个镇，种烟面积8</w:t>
      </w:r>
      <w:r>
        <w:rPr>
          <w:rFonts w:hint="eastAsia" w:ascii="宋体" w:hAnsi="宋体"/>
          <w:szCs w:val="21"/>
        </w:rPr>
        <w:t>6</w:t>
      </w:r>
      <w:r>
        <w:rPr>
          <w:rFonts w:ascii="宋体" w:hAnsi="宋体"/>
          <w:szCs w:val="21"/>
        </w:rPr>
        <w:t>66.67公顷，总产14609吨。1990年种烟</w:t>
      </w:r>
      <w:r>
        <w:rPr>
          <w:rFonts w:hint="eastAsia" w:ascii="宋体" w:hAnsi="宋体"/>
          <w:szCs w:val="21"/>
        </w:rPr>
        <w:t>面积增至</w:t>
      </w:r>
      <w:r>
        <w:rPr>
          <w:rFonts w:ascii="宋体" w:hAnsi="宋体"/>
          <w:szCs w:val="21"/>
        </w:rPr>
        <w:t>15693.13公顷，总产25921吨，亩均产量升至110公斤。1992年种烟面积</w:t>
      </w:r>
      <w:r>
        <w:rPr>
          <w:rFonts w:hint="eastAsia" w:ascii="宋体" w:hAnsi="宋体"/>
          <w:szCs w:val="21"/>
        </w:rPr>
        <w:t>又增至</w:t>
      </w:r>
      <w:r>
        <w:rPr>
          <w:rFonts w:ascii="宋体" w:hAnsi="宋体"/>
          <w:szCs w:val="21"/>
        </w:rPr>
        <w:t>17</w:t>
      </w:r>
      <w:r>
        <w:rPr>
          <w:rFonts w:hint="eastAsia" w:ascii="宋体" w:hAnsi="宋体"/>
          <w:szCs w:val="21"/>
        </w:rPr>
        <w:t>3</w:t>
      </w:r>
      <w:r>
        <w:rPr>
          <w:rFonts w:ascii="宋体" w:hAnsi="宋体"/>
          <w:szCs w:val="21"/>
        </w:rPr>
        <w:t>32.67公顷，总产31623吨，亩均122公斤，均是新的历史纪录，收购量31623吨，产量和收购量均居全省之首，为全国六大产烟县之一。</w:t>
      </w:r>
    </w:p>
    <w:p w14:paraId="0856F494">
      <w:pPr>
        <w:ind w:firstLine="420"/>
        <w:rPr>
          <w:rFonts w:ascii="宋体" w:hAnsi="宋体"/>
          <w:szCs w:val="21"/>
        </w:rPr>
      </w:pPr>
      <w:r>
        <w:rPr>
          <w:rFonts w:ascii="宋体" w:hAnsi="宋体"/>
          <w:szCs w:val="21"/>
        </w:rPr>
        <w:t>1998年，国家烟草专卖局实行双控（控制总量、控制规模），全国实行计划种</w:t>
      </w:r>
      <w:r>
        <w:rPr>
          <w:rFonts w:hint="eastAsia" w:ascii="宋体" w:hAnsi="宋体"/>
          <w:szCs w:val="21"/>
        </w:rPr>
        <w:t>植。南雄种烟区域从</w:t>
      </w:r>
      <w:r>
        <w:rPr>
          <w:rFonts w:ascii="宋体" w:hAnsi="宋体"/>
          <w:szCs w:val="21"/>
        </w:rPr>
        <w:t>24个镇缩减为16个镇（</w:t>
      </w:r>
      <w:r>
        <w:rPr>
          <w:rFonts w:hint="eastAsia" w:ascii="宋体" w:hAnsi="宋体"/>
          <w:szCs w:val="21"/>
        </w:rPr>
        <w:t>乌</w:t>
      </w:r>
      <w:r>
        <w:rPr>
          <w:rFonts w:ascii="宋体" w:hAnsi="宋体"/>
          <w:szCs w:val="21"/>
        </w:rPr>
        <w:t>迳、坪田、油山、邓坊、黄坑、南</w:t>
      </w:r>
      <w:r>
        <w:rPr>
          <w:rFonts w:hint="eastAsia" w:ascii="宋体" w:hAnsi="宋体"/>
          <w:szCs w:val="21"/>
        </w:rPr>
        <w:t>亩、水口、江头、湖口、珠玑、黎口、雄州、主田、古市、全安、帽子峰），此后种烟面积控制在</w:t>
      </w:r>
      <w:r>
        <w:rPr>
          <w:rFonts w:ascii="宋体" w:hAnsi="宋体"/>
          <w:szCs w:val="21"/>
        </w:rPr>
        <w:t>10000公顷～12000公顷，总产1.8万吨～2.2万吨。2004年，种烟面</w:t>
      </w:r>
      <w:r>
        <w:rPr>
          <w:rFonts w:hint="eastAsia" w:ascii="宋体" w:hAnsi="宋体"/>
          <w:szCs w:val="21"/>
        </w:rPr>
        <w:t>积</w:t>
      </w:r>
      <w:r>
        <w:rPr>
          <w:rFonts w:ascii="宋体" w:hAnsi="宋体"/>
          <w:szCs w:val="21"/>
        </w:rPr>
        <w:t>11010.33公顷，总产21742吨，亩产132公斤。亩产创历史新高。2005年，出现</w:t>
      </w:r>
      <w:r>
        <w:rPr>
          <w:rFonts w:hint="eastAsia" w:ascii="宋体" w:hAnsi="宋体"/>
          <w:szCs w:val="21"/>
        </w:rPr>
        <w:t>两个烟叶生产、收购“万担村”：一为主田镇城门村，种烟</w:t>
      </w:r>
      <w:r>
        <w:rPr>
          <w:rFonts w:ascii="宋体" w:hAnsi="宋体"/>
          <w:szCs w:val="21"/>
        </w:rPr>
        <w:t>280公顷，烟叶总产607.5吨，收购601.5吨；二为古市镇溪口村，种烟273.</w:t>
      </w:r>
      <w:r>
        <w:rPr>
          <w:rFonts w:hint="eastAsia" w:ascii="宋体" w:hAnsi="宋体"/>
          <w:szCs w:val="21"/>
        </w:rPr>
        <w:t>3</w:t>
      </w:r>
      <w:r>
        <w:rPr>
          <w:rFonts w:ascii="宋体" w:hAnsi="宋体"/>
          <w:szCs w:val="21"/>
        </w:rPr>
        <w:t>3公顷，烟叶总产533.5</w:t>
      </w:r>
      <w:r>
        <w:rPr>
          <w:rFonts w:hint="eastAsia" w:ascii="宋体" w:hAnsi="宋体"/>
          <w:szCs w:val="21"/>
        </w:rPr>
        <w:t>吨，收购</w:t>
      </w:r>
      <w:r>
        <w:rPr>
          <w:rFonts w:ascii="宋体" w:hAnsi="宋体"/>
          <w:szCs w:val="21"/>
        </w:rPr>
        <w:t>523吨</w:t>
      </w:r>
      <w:r>
        <w:rPr>
          <w:rFonts w:hint="eastAsia" w:ascii="宋体" w:hAnsi="宋体"/>
          <w:szCs w:val="21"/>
        </w:rPr>
        <w:t>。</w:t>
      </w:r>
    </w:p>
    <w:p w14:paraId="475C3132">
      <w:pPr>
        <w:ind w:firstLine="0" w:firstLineChars="0"/>
        <w:jc w:val="center"/>
        <w:rPr>
          <w:rFonts w:ascii="宋体" w:hAnsi="宋体"/>
          <w:b/>
          <w:szCs w:val="21"/>
        </w:rPr>
      </w:pPr>
      <w:r>
        <w:rPr>
          <w:rFonts w:hint="eastAsia" w:ascii="宋体" w:hAnsi="宋体"/>
          <w:b/>
          <w:szCs w:val="21"/>
        </w:rPr>
        <w:t>南雄市1983年至2004年黄烟种植面积、产量统计</w:t>
      </w:r>
    </w:p>
    <w:p w14:paraId="422A26B8">
      <w:pPr>
        <w:ind w:firstLine="0" w:firstLineChars="0"/>
        <w:rPr>
          <w:rFonts w:ascii="宋体" w:hAnsi="宋体"/>
          <w:b/>
        </w:rPr>
      </w:pPr>
      <w:r>
        <w:rPr>
          <w:rFonts w:hint="eastAsia" w:ascii="宋体" w:hAnsi="宋体"/>
          <w:b/>
        </w:rPr>
        <w:t>表2-13</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5"/>
        <w:gridCol w:w="1245"/>
        <w:gridCol w:w="1245"/>
        <w:gridCol w:w="1245"/>
        <w:gridCol w:w="1245"/>
        <w:gridCol w:w="1245"/>
        <w:gridCol w:w="1246"/>
        <w:gridCol w:w="1246"/>
      </w:tblGrid>
      <w:tr w14:paraId="4F07B2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3BA2E4C0">
            <w:pPr>
              <w:pStyle w:val="12"/>
              <w:jc w:val="center"/>
              <w:rPr>
                <w:rFonts w:ascii="宋体" w:hAnsi="宋体"/>
                <w:b/>
              </w:rPr>
            </w:pPr>
            <w:r>
              <w:rPr>
                <w:rFonts w:hint="eastAsia" w:ascii="宋体" w:hAnsi="宋体"/>
                <w:b/>
              </w:rPr>
              <w:t>年份</w:t>
            </w:r>
          </w:p>
        </w:tc>
        <w:tc>
          <w:tcPr>
            <w:tcW w:w="625" w:type="pct"/>
            <w:vAlign w:val="center"/>
          </w:tcPr>
          <w:p w14:paraId="709000EC">
            <w:pPr>
              <w:pStyle w:val="12"/>
              <w:jc w:val="center"/>
              <w:rPr>
                <w:rFonts w:ascii="宋体" w:hAnsi="宋体"/>
                <w:b/>
              </w:rPr>
            </w:pPr>
            <w:r>
              <w:rPr>
                <w:rFonts w:hint="eastAsia" w:ascii="宋体" w:hAnsi="宋体"/>
                <w:b/>
              </w:rPr>
              <w:t>种植面积（亩）</w:t>
            </w:r>
          </w:p>
        </w:tc>
        <w:tc>
          <w:tcPr>
            <w:tcW w:w="625" w:type="pct"/>
            <w:vAlign w:val="center"/>
          </w:tcPr>
          <w:p w14:paraId="10530712">
            <w:pPr>
              <w:pStyle w:val="12"/>
              <w:jc w:val="center"/>
              <w:rPr>
                <w:rFonts w:ascii="宋体" w:hAnsi="宋体"/>
                <w:b/>
              </w:rPr>
            </w:pPr>
            <w:r>
              <w:rPr>
                <w:rFonts w:hint="eastAsia" w:ascii="宋体" w:hAnsi="宋体"/>
                <w:b/>
              </w:rPr>
              <w:t>亩产量（公斤）</w:t>
            </w:r>
          </w:p>
        </w:tc>
        <w:tc>
          <w:tcPr>
            <w:tcW w:w="625" w:type="pct"/>
            <w:vAlign w:val="center"/>
          </w:tcPr>
          <w:p w14:paraId="451BB427">
            <w:pPr>
              <w:pStyle w:val="12"/>
              <w:jc w:val="center"/>
              <w:rPr>
                <w:rFonts w:ascii="宋体" w:hAnsi="宋体"/>
                <w:b/>
              </w:rPr>
            </w:pPr>
            <w:r>
              <w:rPr>
                <w:rFonts w:hint="eastAsia" w:ascii="宋体" w:hAnsi="宋体"/>
                <w:b/>
              </w:rPr>
              <w:t>总产量（吨）</w:t>
            </w:r>
          </w:p>
        </w:tc>
        <w:tc>
          <w:tcPr>
            <w:tcW w:w="625" w:type="pct"/>
            <w:vAlign w:val="center"/>
          </w:tcPr>
          <w:p w14:paraId="0E6F2D55">
            <w:pPr>
              <w:pStyle w:val="12"/>
              <w:jc w:val="center"/>
              <w:rPr>
                <w:rFonts w:ascii="宋体" w:hAnsi="宋体"/>
                <w:b/>
              </w:rPr>
            </w:pPr>
            <w:r>
              <w:rPr>
                <w:rFonts w:hint="eastAsia" w:ascii="宋体" w:hAnsi="宋体"/>
                <w:b/>
              </w:rPr>
              <w:t>年份</w:t>
            </w:r>
          </w:p>
        </w:tc>
        <w:tc>
          <w:tcPr>
            <w:tcW w:w="625" w:type="pct"/>
            <w:vAlign w:val="center"/>
          </w:tcPr>
          <w:p w14:paraId="45C3ADAC">
            <w:pPr>
              <w:pStyle w:val="12"/>
              <w:jc w:val="center"/>
              <w:rPr>
                <w:rFonts w:ascii="宋体" w:hAnsi="宋体"/>
                <w:b/>
              </w:rPr>
            </w:pPr>
            <w:r>
              <w:rPr>
                <w:rFonts w:hint="eastAsia" w:ascii="宋体" w:hAnsi="宋体"/>
                <w:b/>
              </w:rPr>
              <w:t>种植面积（亩）</w:t>
            </w:r>
          </w:p>
        </w:tc>
        <w:tc>
          <w:tcPr>
            <w:tcW w:w="625" w:type="pct"/>
            <w:vAlign w:val="center"/>
          </w:tcPr>
          <w:p w14:paraId="5B7B5651">
            <w:pPr>
              <w:pStyle w:val="12"/>
              <w:jc w:val="center"/>
              <w:rPr>
                <w:rFonts w:ascii="宋体" w:hAnsi="宋体"/>
                <w:b/>
              </w:rPr>
            </w:pPr>
            <w:r>
              <w:rPr>
                <w:rFonts w:hint="eastAsia" w:ascii="宋体" w:hAnsi="宋体"/>
                <w:b/>
              </w:rPr>
              <w:t>亩产量（公斤）</w:t>
            </w:r>
          </w:p>
        </w:tc>
        <w:tc>
          <w:tcPr>
            <w:tcW w:w="625" w:type="pct"/>
            <w:vAlign w:val="center"/>
          </w:tcPr>
          <w:p w14:paraId="65EBC9E1">
            <w:pPr>
              <w:pStyle w:val="12"/>
              <w:jc w:val="center"/>
              <w:rPr>
                <w:rFonts w:ascii="宋体" w:hAnsi="宋体"/>
                <w:b/>
              </w:rPr>
            </w:pPr>
            <w:r>
              <w:rPr>
                <w:rFonts w:hint="eastAsia" w:ascii="宋体" w:hAnsi="宋体"/>
                <w:b/>
              </w:rPr>
              <w:t>总产量（吨）</w:t>
            </w:r>
          </w:p>
        </w:tc>
      </w:tr>
      <w:tr w14:paraId="4CFC51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2CCC93C5">
            <w:pPr>
              <w:pStyle w:val="12"/>
              <w:jc w:val="center"/>
              <w:rPr>
                <w:rFonts w:ascii="宋体" w:hAnsi="宋体"/>
              </w:rPr>
            </w:pPr>
            <w:r>
              <w:rPr>
                <w:rFonts w:hint="eastAsia" w:ascii="宋体" w:hAnsi="宋体"/>
              </w:rPr>
              <w:t>1983</w:t>
            </w:r>
          </w:p>
        </w:tc>
        <w:tc>
          <w:tcPr>
            <w:tcW w:w="625" w:type="pct"/>
            <w:vAlign w:val="center"/>
          </w:tcPr>
          <w:p w14:paraId="3F3A7093">
            <w:pPr>
              <w:pStyle w:val="12"/>
              <w:jc w:val="center"/>
              <w:rPr>
                <w:rFonts w:ascii="宋体" w:hAnsi="宋体"/>
              </w:rPr>
            </w:pPr>
            <w:r>
              <w:rPr>
                <w:rFonts w:hint="eastAsia" w:ascii="宋体" w:hAnsi="宋体"/>
              </w:rPr>
              <w:t>67247</w:t>
            </w:r>
          </w:p>
        </w:tc>
        <w:tc>
          <w:tcPr>
            <w:tcW w:w="625" w:type="pct"/>
            <w:vAlign w:val="center"/>
          </w:tcPr>
          <w:p w14:paraId="34C52417">
            <w:pPr>
              <w:pStyle w:val="12"/>
              <w:jc w:val="center"/>
              <w:rPr>
                <w:rFonts w:ascii="宋体" w:hAnsi="宋体"/>
              </w:rPr>
            </w:pPr>
            <w:r>
              <w:rPr>
                <w:rFonts w:hint="eastAsia" w:ascii="宋体" w:hAnsi="宋体"/>
              </w:rPr>
              <w:t>89</w:t>
            </w:r>
          </w:p>
        </w:tc>
        <w:tc>
          <w:tcPr>
            <w:tcW w:w="625" w:type="pct"/>
            <w:vAlign w:val="center"/>
          </w:tcPr>
          <w:p w14:paraId="1BE14880">
            <w:pPr>
              <w:pStyle w:val="12"/>
              <w:jc w:val="center"/>
              <w:rPr>
                <w:rFonts w:ascii="宋体" w:hAnsi="宋体"/>
              </w:rPr>
            </w:pPr>
            <w:r>
              <w:rPr>
                <w:rFonts w:hint="eastAsia" w:ascii="宋体" w:hAnsi="宋体"/>
              </w:rPr>
              <w:t>5958</w:t>
            </w:r>
            <w:r>
              <w:rPr>
                <w:rFonts w:hint="eastAsia" w:ascii="宋体" w:hAnsi="宋体" w:cs="宋体"/>
              </w:rPr>
              <w:t>.</w:t>
            </w:r>
            <w:r>
              <w:rPr>
                <w:rFonts w:hint="eastAsia" w:ascii="宋体" w:hAnsi="宋体"/>
              </w:rPr>
              <w:t>3</w:t>
            </w:r>
          </w:p>
        </w:tc>
        <w:tc>
          <w:tcPr>
            <w:tcW w:w="625" w:type="pct"/>
            <w:vAlign w:val="center"/>
          </w:tcPr>
          <w:p w14:paraId="5BAC43A7">
            <w:pPr>
              <w:pStyle w:val="12"/>
              <w:jc w:val="center"/>
              <w:rPr>
                <w:rFonts w:ascii="宋体" w:hAnsi="宋体"/>
              </w:rPr>
            </w:pPr>
            <w:r>
              <w:rPr>
                <w:rFonts w:hint="eastAsia" w:ascii="宋体" w:hAnsi="宋体"/>
              </w:rPr>
              <w:t>1985</w:t>
            </w:r>
          </w:p>
        </w:tc>
        <w:tc>
          <w:tcPr>
            <w:tcW w:w="625" w:type="pct"/>
            <w:vAlign w:val="center"/>
          </w:tcPr>
          <w:p w14:paraId="5DAE4A44">
            <w:pPr>
              <w:pStyle w:val="12"/>
              <w:jc w:val="center"/>
              <w:rPr>
                <w:rFonts w:ascii="宋体" w:hAnsi="宋体"/>
              </w:rPr>
            </w:pPr>
            <w:r>
              <w:rPr>
                <w:rFonts w:hint="eastAsia" w:ascii="宋体" w:hAnsi="宋体"/>
              </w:rPr>
              <w:t>105330</w:t>
            </w:r>
          </w:p>
        </w:tc>
        <w:tc>
          <w:tcPr>
            <w:tcW w:w="625" w:type="pct"/>
            <w:vAlign w:val="center"/>
          </w:tcPr>
          <w:p w14:paraId="59B4B71A">
            <w:pPr>
              <w:pStyle w:val="12"/>
              <w:jc w:val="center"/>
              <w:rPr>
                <w:rFonts w:ascii="宋体" w:hAnsi="宋体"/>
              </w:rPr>
            </w:pPr>
            <w:r>
              <w:rPr>
                <w:rFonts w:hint="eastAsia" w:ascii="宋体" w:hAnsi="宋体"/>
              </w:rPr>
              <w:t>96</w:t>
            </w:r>
          </w:p>
        </w:tc>
        <w:tc>
          <w:tcPr>
            <w:tcW w:w="625" w:type="pct"/>
            <w:vAlign w:val="center"/>
          </w:tcPr>
          <w:p w14:paraId="4B4A6683">
            <w:pPr>
              <w:pStyle w:val="12"/>
              <w:jc w:val="center"/>
              <w:rPr>
                <w:rFonts w:ascii="宋体" w:hAnsi="宋体"/>
              </w:rPr>
            </w:pPr>
            <w:r>
              <w:rPr>
                <w:rFonts w:hint="eastAsia" w:ascii="宋体" w:hAnsi="宋体"/>
              </w:rPr>
              <w:t>10112</w:t>
            </w:r>
            <w:r>
              <w:rPr>
                <w:rFonts w:hint="eastAsia" w:ascii="宋体" w:hAnsi="宋体" w:cs="宋体"/>
              </w:rPr>
              <w:t>.</w:t>
            </w:r>
            <w:r>
              <w:rPr>
                <w:rFonts w:hint="eastAsia" w:ascii="宋体" w:hAnsi="宋体"/>
              </w:rPr>
              <w:t>85</w:t>
            </w:r>
          </w:p>
        </w:tc>
      </w:tr>
      <w:tr w14:paraId="75C09B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74AF517D">
            <w:pPr>
              <w:pStyle w:val="12"/>
              <w:jc w:val="center"/>
              <w:rPr>
                <w:rFonts w:ascii="宋体" w:hAnsi="宋体"/>
              </w:rPr>
            </w:pPr>
            <w:r>
              <w:rPr>
                <w:rFonts w:hint="eastAsia" w:ascii="宋体" w:hAnsi="宋体"/>
              </w:rPr>
              <w:t>1984</w:t>
            </w:r>
          </w:p>
        </w:tc>
        <w:tc>
          <w:tcPr>
            <w:tcW w:w="625" w:type="pct"/>
            <w:vAlign w:val="center"/>
          </w:tcPr>
          <w:p w14:paraId="1F2684CE">
            <w:pPr>
              <w:pStyle w:val="12"/>
              <w:jc w:val="center"/>
              <w:rPr>
                <w:rFonts w:ascii="宋体" w:hAnsi="宋体"/>
              </w:rPr>
            </w:pPr>
            <w:r>
              <w:rPr>
                <w:rFonts w:hint="eastAsia" w:ascii="宋体" w:hAnsi="宋体"/>
              </w:rPr>
              <w:t>70945</w:t>
            </w:r>
          </w:p>
        </w:tc>
        <w:tc>
          <w:tcPr>
            <w:tcW w:w="625" w:type="pct"/>
            <w:vAlign w:val="center"/>
          </w:tcPr>
          <w:p w14:paraId="1A046062">
            <w:pPr>
              <w:pStyle w:val="12"/>
              <w:jc w:val="center"/>
              <w:rPr>
                <w:rFonts w:ascii="宋体" w:hAnsi="宋体"/>
              </w:rPr>
            </w:pPr>
            <w:r>
              <w:rPr>
                <w:rFonts w:hint="eastAsia" w:ascii="宋体" w:hAnsi="宋体"/>
              </w:rPr>
              <w:t>101</w:t>
            </w:r>
          </w:p>
        </w:tc>
        <w:tc>
          <w:tcPr>
            <w:tcW w:w="625" w:type="pct"/>
            <w:vAlign w:val="center"/>
          </w:tcPr>
          <w:p w14:paraId="7318B605">
            <w:pPr>
              <w:pStyle w:val="12"/>
              <w:jc w:val="center"/>
              <w:rPr>
                <w:rFonts w:ascii="宋体" w:hAnsi="宋体"/>
              </w:rPr>
            </w:pPr>
            <w:r>
              <w:rPr>
                <w:rFonts w:hint="eastAsia" w:ascii="宋体" w:hAnsi="宋体"/>
              </w:rPr>
              <w:t>7134</w:t>
            </w:r>
            <w:r>
              <w:rPr>
                <w:rFonts w:hint="eastAsia" w:ascii="宋体" w:hAnsi="宋体" w:cs="宋体"/>
              </w:rPr>
              <w:t>.</w:t>
            </w:r>
            <w:r>
              <w:rPr>
                <w:rFonts w:hint="eastAsia" w:ascii="宋体" w:hAnsi="宋体"/>
              </w:rPr>
              <w:t>35</w:t>
            </w:r>
          </w:p>
        </w:tc>
        <w:tc>
          <w:tcPr>
            <w:tcW w:w="625" w:type="pct"/>
            <w:vAlign w:val="center"/>
          </w:tcPr>
          <w:p w14:paraId="245542F7">
            <w:pPr>
              <w:pStyle w:val="12"/>
              <w:jc w:val="center"/>
              <w:rPr>
                <w:rFonts w:ascii="宋体" w:hAnsi="宋体"/>
              </w:rPr>
            </w:pPr>
            <w:r>
              <w:rPr>
                <w:rFonts w:hint="eastAsia" w:ascii="宋体" w:hAnsi="宋体"/>
              </w:rPr>
              <w:t>1986</w:t>
            </w:r>
          </w:p>
        </w:tc>
        <w:tc>
          <w:tcPr>
            <w:tcW w:w="625" w:type="pct"/>
            <w:vAlign w:val="center"/>
          </w:tcPr>
          <w:p w14:paraId="7476E270">
            <w:pPr>
              <w:pStyle w:val="12"/>
              <w:jc w:val="center"/>
              <w:rPr>
                <w:rFonts w:ascii="宋体" w:hAnsi="宋体"/>
              </w:rPr>
            </w:pPr>
            <w:r>
              <w:rPr>
                <w:rFonts w:hint="eastAsia" w:ascii="宋体" w:hAnsi="宋体"/>
              </w:rPr>
              <w:t>107881</w:t>
            </w:r>
          </w:p>
        </w:tc>
        <w:tc>
          <w:tcPr>
            <w:tcW w:w="625" w:type="pct"/>
            <w:vAlign w:val="center"/>
          </w:tcPr>
          <w:p w14:paraId="245A32D0">
            <w:pPr>
              <w:pStyle w:val="12"/>
              <w:jc w:val="center"/>
              <w:rPr>
                <w:rFonts w:ascii="宋体" w:hAnsi="宋体"/>
              </w:rPr>
            </w:pPr>
            <w:r>
              <w:rPr>
                <w:rFonts w:hint="eastAsia" w:ascii="宋体" w:hAnsi="宋体"/>
              </w:rPr>
              <w:t>103</w:t>
            </w:r>
          </w:p>
        </w:tc>
        <w:tc>
          <w:tcPr>
            <w:tcW w:w="625" w:type="pct"/>
            <w:vAlign w:val="center"/>
          </w:tcPr>
          <w:p w14:paraId="616352B7">
            <w:pPr>
              <w:pStyle w:val="12"/>
              <w:jc w:val="center"/>
              <w:rPr>
                <w:rFonts w:ascii="宋体" w:hAnsi="宋体"/>
              </w:rPr>
            </w:pPr>
            <w:r>
              <w:rPr>
                <w:rFonts w:hint="eastAsia" w:ascii="宋体" w:hAnsi="宋体"/>
              </w:rPr>
              <w:t>11130</w:t>
            </w:r>
            <w:r>
              <w:rPr>
                <w:rFonts w:hint="eastAsia" w:ascii="宋体" w:hAnsi="宋体" w:cs="宋体"/>
              </w:rPr>
              <w:t>.</w:t>
            </w:r>
            <w:r>
              <w:rPr>
                <w:rFonts w:hint="eastAsia" w:ascii="宋体" w:hAnsi="宋体"/>
              </w:rPr>
              <w:t>25</w:t>
            </w:r>
          </w:p>
        </w:tc>
      </w:tr>
      <w:tr w14:paraId="4C7C31E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37EA6ED3">
            <w:pPr>
              <w:pStyle w:val="12"/>
              <w:jc w:val="center"/>
              <w:rPr>
                <w:rFonts w:ascii="宋体" w:hAnsi="宋体"/>
              </w:rPr>
            </w:pPr>
            <w:r>
              <w:rPr>
                <w:rFonts w:ascii="宋体" w:hAnsi="宋体"/>
              </w:rPr>
              <w:t>1987</w:t>
            </w:r>
          </w:p>
        </w:tc>
        <w:tc>
          <w:tcPr>
            <w:tcW w:w="625" w:type="pct"/>
            <w:vAlign w:val="center"/>
          </w:tcPr>
          <w:p w14:paraId="08E0143F">
            <w:pPr>
              <w:pStyle w:val="12"/>
              <w:jc w:val="center"/>
              <w:rPr>
                <w:rFonts w:ascii="宋体" w:hAnsi="宋体"/>
              </w:rPr>
            </w:pPr>
            <w:r>
              <w:rPr>
                <w:rFonts w:ascii="宋体" w:hAnsi="宋体"/>
              </w:rPr>
              <w:t>134059</w:t>
            </w:r>
          </w:p>
        </w:tc>
        <w:tc>
          <w:tcPr>
            <w:tcW w:w="625" w:type="pct"/>
            <w:vAlign w:val="center"/>
          </w:tcPr>
          <w:p w14:paraId="1E8F0871">
            <w:pPr>
              <w:pStyle w:val="12"/>
              <w:jc w:val="center"/>
              <w:rPr>
                <w:rFonts w:ascii="宋体" w:hAnsi="宋体"/>
              </w:rPr>
            </w:pPr>
            <w:r>
              <w:rPr>
                <w:rFonts w:ascii="宋体" w:hAnsi="宋体"/>
              </w:rPr>
              <w:t>109</w:t>
            </w:r>
          </w:p>
        </w:tc>
        <w:tc>
          <w:tcPr>
            <w:tcW w:w="625" w:type="pct"/>
            <w:vAlign w:val="center"/>
          </w:tcPr>
          <w:p w14:paraId="4F6A7202">
            <w:pPr>
              <w:pStyle w:val="12"/>
              <w:jc w:val="center"/>
              <w:rPr>
                <w:rFonts w:ascii="宋体" w:hAnsi="宋体"/>
              </w:rPr>
            </w:pPr>
            <w:r>
              <w:rPr>
                <w:rFonts w:ascii="宋体" w:hAnsi="宋体"/>
              </w:rPr>
              <w:t>14609</w:t>
            </w:r>
          </w:p>
        </w:tc>
        <w:tc>
          <w:tcPr>
            <w:tcW w:w="625" w:type="pct"/>
            <w:vAlign w:val="center"/>
          </w:tcPr>
          <w:p w14:paraId="71F64A3E">
            <w:pPr>
              <w:pStyle w:val="12"/>
              <w:jc w:val="center"/>
              <w:rPr>
                <w:rFonts w:ascii="宋体" w:hAnsi="宋体"/>
              </w:rPr>
            </w:pPr>
            <w:r>
              <w:rPr>
                <w:rFonts w:ascii="宋体" w:hAnsi="宋体"/>
              </w:rPr>
              <w:t>1996</w:t>
            </w:r>
          </w:p>
        </w:tc>
        <w:tc>
          <w:tcPr>
            <w:tcW w:w="625" w:type="pct"/>
            <w:vAlign w:val="center"/>
          </w:tcPr>
          <w:p w14:paraId="35496A46">
            <w:pPr>
              <w:pStyle w:val="12"/>
              <w:jc w:val="center"/>
              <w:rPr>
                <w:rFonts w:ascii="宋体" w:hAnsi="宋体"/>
              </w:rPr>
            </w:pPr>
            <w:r>
              <w:rPr>
                <w:rFonts w:ascii="宋体" w:hAnsi="宋体"/>
              </w:rPr>
              <w:t>206602</w:t>
            </w:r>
          </w:p>
        </w:tc>
        <w:tc>
          <w:tcPr>
            <w:tcW w:w="625" w:type="pct"/>
            <w:vAlign w:val="center"/>
          </w:tcPr>
          <w:p w14:paraId="5D662F7C">
            <w:pPr>
              <w:pStyle w:val="12"/>
              <w:jc w:val="center"/>
              <w:rPr>
                <w:rFonts w:ascii="宋体" w:hAnsi="宋体"/>
              </w:rPr>
            </w:pPr>
            <w:r>
              <w:rPr>
                <w:rFonts w:ascii="宋体" w:hAnsi="宋体"/>
              </w:rPr>
              <w:t>110</w:t>
            </w:r>
          </w:p>
        </w:tc>
        <w:tc>
          <w:tcPr>
            <w:tcW w:w="625" w:type="pct"/>
            <w:vAlign w:val="center"/>
          </w:tcPr>
          <w:p w14:paraId="17A0B39A">
            <w:pPr>
              <w:pStyle w:val="12"/>
              <w:jc w:val="center"/>
              <w:rPr>
                <w:rFonts w:ascii="宋体" w:hAnsi="宋体"/>
              </w:rPr>
            </w:pPr>
            <w:r>
              <w:rPr>
                <w:rFonts w:ascii="宋体" w:hAnsi="宋体"/>
              </w:rPr>
              <w:t>22726</w:t>
            </w:r>
          </w:p>
        </w:tc>
      </w:tr>
      <w:tr w14:paraId="0B99C4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475751C1">
            <w:pPr>
              <w:pStyle w:val="12"/>
              <w:jc w:val="center"/>
              <w:rPr>
                <w:rFonts w:ascii="宋体" w:hAnsi="宋体"/>
              </w:rPr>
            </w:pPr>
            <w:r>
              <w:rPr>
                <w:rFonts w:ascii="宋体" w:hAnsi="宋体"/>
              </w:rPr>
              <w:t>1988</w:t>
            </w:r>
          </w:p>
        </w:tc>
        <w:tc>
          <w:tcPr>
            <w:tcW w:w="625" w:type="pct"/>
            <w:vAlign w:val="center"/>
          </w:tcPr>
          <w:p w14:paraId="33AF3733">
            <w:pPr>
              <w:pStyle w:val="12"/>
              <w:jc w:val="center"/>
              <w:rPr>
                <w:rFonts w:ascii="宋体" w:hAnsi="宋体"/>
              </w:rPr>
            </w:pPr>
            <w:r>
              <w:rPr>
                <w:rFonts w:ascii="宋体" w:hAnsi="宋体"/>
              </w:rPr>
              <w:t>248878</w:t>
            </w:r>
          </w:p>
        </w:tc>
        <w:tc>
          <w:tcPr>
            <w:tcW w:w="625" w:type="pct"/>
            <w:vAlign w:val="center"/>
          </w:tcPr>
          <w:p w14:paraId="723D115D">
            <w:pPr>
              <w:pStyle w:val="12"/>
              <w:jc w:val="center"/>
              <w:rPr>
                <w:rFonts w:ascii="宋体" w:hAnsi="宋体"/>
              </w:rPr>
            </w:pPr>
            <w:r>
              <w:rPr>
                <w:rFonts w:ascii="宋体" w:hAnsi="宋体"/>
              </w:rPr>
              <w:t>96</w:t>
            </w:r>
          </w:p>
        </w:tc>
        <w:tc>
          <w:tcPr>
            <w:tcW w:w="625" w:type="pct"/>
            <w:vAlign w:val="center"/>
          </w:tcPr>
          <w:p w14:paraId="1B1C1914">
            <w:pPr>
              <w:pStyle w:val="12"/>
              <w:jc w:val="center"/>
              <w:rPr>
                <w:rFonts w:ascii="宋体" w:hAnsi="宋体"/>
              </w:rPr>
            </w:pPr>
            <w:r>
              <w:rPr>
                <w:rFonts w:ascii="宋体" w:hAnsi="宋体"/>
              </w:rPr>
              <w:t>21005</w:t>
            </w:r>
          </w:p>
        </w:tc>
        <w:tc>
          <w:tcPr>
            <w:tcW w:w="625" w:type="pct"/>
            <w:vAlign w:val="center"/>
          </w:tcPr>
          <w:p w14:paraId="5607EA22">
            <w:pPr>
              <w:pStyle w:val="12"/>
              <w:jc w:val="center"/>
              <w:rPr>
                <w:rFonts w:ascii="宋体" w:hAnsi="宋体"/>
              </w:rPr>
            </w:pPr>
            <w:r>
              <w:rPr>
                <w:rFonts w:ascii="宋体" w:hAnsi="宋体"/>
              </w:rPr>
              <w:t>1997</w:t>
            </w:r>
          </w:p>
        </w:tc>
        <w:tc>
          <w:tcPr>
            <w:tcW w:w="625" w:type="pct"/>
            <w:vAlign w:val="center"/>
          </w:tcPr>
          <w:p w14:paraId="05ECB90B">
            <w:pPr>
              <w:pStyle w:val="12"/>
              <w:jc w:val="center"/>
              <w:rPr>
                <w:rFonts w:ascii="宋体" w:hAnsi="宋体"/>
              </w:rPr>
            </w:pPr>
            <w:r>
              <w:rPr>
                <w:rFonts w:ascii="宋体" w:hAnsi="宋体"/>
              </w:rPr>
              <w:t>185309</w:t>
            </w:r>
          </w:p>
        </w:tc>
        <w:tc>
          <w:tcPr>
            <w:tcW w:w="625" w:type="pct"/>
            <w:vAlign w:val="center"/>
          </w:tcPr>
          <w:p w14:paraId="620B4C73">
            <w:pPr>
              <w:pStyle w:val="12"/>
              <w:jc w:val="center"/>
              <w:rPr>
                <w:rFonts w:ascii="宋体" w:hAnsi="宋体"/>
              </w:rPr>
            </w:pPr>
            <w:r>
              <w:rPr>
                <w:rFonts w:ascii="宋体" w:hAnsi="宋体"/>
              </w:rPr>
              <w:t>120</w:t>
            </w:r>
          </w:p>
        </w:tc>
        <w:tc>
          <w:tcPr>
            <w:tcW w:w="625" w:type="pct"/>
            <w:vAlign w:val="center"/>
          </w:tcPr>
          <w:p w14:paraId="33222D16">
            <w:pPr>
              <w:pStyle w:val="12"/>
              <w:jc w:val="center"/>
              <w:rPr>
                <w:rFonts w:ascii="宋体" w:hAnsi="宋体"/>
              </w:rPr>
            </w:pPr>
            <w:r>
              <w:rPr>
                <w:rFonts w:ascii="宋体" w:hAnsi="宋体"/>
              </w:rPr>
              <w:t>22194</w:t>
            </w:r>
          </w:p>
        </w:tc>
      </w:tr>
      <w:tr w14:paraId="74DCAB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1058C3B6">
            <w:pPr>
              <w:pStyle w:val="12"/>
              <w:jc w:val="center"/>
              <w:rPr>
                <w:rFonts w:ascii="宋体" w:hAnsi="宋体"/>
              </w:rPr>
            </w:pPr>
            <w:r>
              <w:rPr>
                <w:rFonts w:ascii="宋体" w:hAnsi="宋体"/>
              </w:rPr>
              <w:t>1989</w:t>
            </w:r>
          </w:p>
        </w:tc>
        <w:tc>
          <w:tcPr>
            <w:tcW w:w="625" w:type="pct"/>
            <w:vAlign w:val="center"/>
          </w:tcPr>
          <w:p w14:paraId="372E3C8C">
            <w:pPr>
              <w:pStyle w:val="12"/>
              <w:jc w:val="center"/>
              <w:rPr>
                <w:rFonts w:ascii="宋体" w:hAnsi="宋体"/>
              </w:rPr>
            </w:pPr>
            <w:r>
              <w:rPr>
                <w:rFonts w:ascii="宋体" w:hAnsi="宋体"/>
              </w:rPr>
              <w:t>248947</w:t>
            </w:r>
          </w:p>
        </w:tc>
        <w:tc>
          <w:tcPr>
            <w:tcW w:w="625" w:type="pct"/>
            <w:vAlign w:val="center"/>
          </w:tcPr>
          <w:p w14:paraId="2A43D9DD">
            <w:pPr>
              <w:pStyle w:val="12"/>
              <w:jc w:val="center"/>
              <w:rPr>
                <w:rFonts w:ascii="宋体" w:hAnsi="宋体"/>
              </w:rPr>
            </w:pPr>
            <w:r>
              <w:rPr>
                <w:rFonts w:ascii="宋体" w:hAnsi="宋体"/>
              </w:rPr>
              <w:t>107</w:t>
            </w:r>
          </w:p>
        </w:tc>
        <w:tc>
          <w:tcPr>
            <w:tcW w:w="625" w:type="pct"/>
            <w:vAlign w:val="center"/>
          </w:tcPr>
          <w:p w14:paraId="788B9357">
            <w:pPr>
              <w:pStyle w:val="12"/>
              <w:jc w:val="center"/>
              <w:rPr>
                <w:rFonts w:ascii="宋体" w:hAnsi="宋体"/>
              </w:rPr>
            </w:pPr>
            <w:r>
              <w:rPr>
                <w:rFonts w:ascii="宋体" w:hAnsi="宋体"/>
              </w:rPr>
              <w:t>26538</w:t>
            </w:r>
          </w:p>
        </w:tc>
        <w:tc>
          <w:tcPr>
            <w:tcW w:w="625" w:type="pct"/>
            <w:vAlign w:val="center"/>
          </w:tcPr>
          <w:p w14:paraId="05049A43">
            <w:pPr>
              <w:pStyle w:val="12"/>
              <w:jc w:val="center"/>
              <w:rPr>
                <w:rFonts w:ascii="宋体" w:hAnsi="宋体"/>
              </w:rPr>
            </w:pPr>
            <w:r>
              <w:rPr>
                <w:rFonts w:ascii="宋体" w:hAnsi="宋体"/>
              </w:rPr>
              <w:t>1998</w:t>
            </w:r>
          </w:p>
        </w:tc>
        <w:tc>
          <w:tcPr>
            <w:tcW w:w="625" w:type="pct"/>
            <w:vAlign w:val="center"/>
          </w:tcPr>
          <w:p w14:paraId="2A11F3E6">
            <w:pPr>
              <w:pStyle w:val="12"/>
              <w:jc w:val="center"/>
              <w:rPr>
                <w:rFonts w:ascii="宋体" w:hAnsi="宋体"/>
              </w:rPr>
            </w:pPr>
            <w:r>
              <w:rPr>
                <w:rFonts w:ascii="宋体" w:hAnsi="宋体"/>
              </w:rPr>
              <w:t>173109</w:t>
            </w:r>
          </w:p>
        </w:tc>
        <w:tc>
          <w:tcPr>
            <w:tcW w:w="625" w:type="pct"/>
            <w:vAlign w:val="center"/>
          </w:tcPr>
          <w:p w14:paraId="0D29F308">
            <w:pPr>
              <w:pStyle w:val="12"/>
              <w:jc w:val="center"/>
              <w:rPr>
                <w:rFonts w:ascii="宋体" w:hAnsi="宋体"/>
              </w:rPr>
            </w:pPr>
            <w:r>
              <w:rPr>
                <w:rFonts w:ascii="宋体" w:hAnsi="宋体"/>
              </w:rPr>
              <w:t>118</w:t>
            </w:r>
          </w:p>
        </w:tc>
        <w:tc>
          <w:tcPr>
            <w:tcW w:w="625" w:type="pct"/>
            <w:vAlign w:val="center"/>
          </w:tcPr>
          <w:p w14:paraId="16AC80CB">
            <w:pPr>
              <w:pStyle w:val="12"/>
              <w:jc w:val="center"/>
              <w:rPr>
                <w:rFonts w:ascii="宋体" w:hAnsi="宋体"/>
              </w:rPr>
            </w:pPr>
            <w:r>
              <w:rPr>
                <w:rFonts w:ascii="宋体" w:hAnsi="宋体"/>
              </w:rPr>
              <w:t>20408</w:t>
            </w:r>
          </w:p>
        </w:tc>
      </w:tr>
      <w:tr w14:paraId="5A7108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35F68314">
            <w:pPr>
              <w:pStyle w:val="12"/>
              <w:jc w:val="center"/>
              <w:rPr>
                <w:rFonts w:ascii="宋体" w:hAnsi="宋体"/>
              </w:rPr>
            </w:pPr>
            <w:r>
              <w:rPr>
                <w:rFonts w:ascii="宋体" w:hAnsi="宋体"/>
              </w:rPr>
              <w:t>1990</w:t>
            </w:r>
          </w:p>
        </w:tc>
        <w:tc>
          <w:tcPr>
            <w:tcW w:w="625" w:type="pct"/>
            <w:vAlign w:val="center"/>
          </w:tcPr>
          <w:p w14:paraId="0110FB17">
            <w:pPr>
              <w:pStyle w:val="12"/>
              <w:jc w:val="center"/>
              <w:rPr>
                <w:rFonts w:ascii="宋体" w:hAnsi="宋体"/>
              </w:rPr>
            </w:pPr>
            <w:r>
              <w:rPr>
                <w:rFonts w:ascii="宋体" w:hAnsi="宋体"/>
              </w:rPr>
              <w:t>235397</w:t>
            </w:r>
          </w:p>
        </w:tc>
        <w:tc>
          <w:tcPr>
            <w:tcW w:w="625" w:type="pct"/>
            <w:vAlign w:val="center"/>
          </w:tcPr>
          <w:p w14:paraId="3E337341">
            <w:pPr>
              <w:pStyle w:val="12"/>
              <w:jc w:val="center"/>
              <w:rPr>
                <w:rFonts w:ascii="宋体" w:hAnsi="宋体"/>
              </w:rPr>
            </w:pPr>
            <w:r>
              <w:rPr>
                <w:rFonts w:ascii="宋体" w:hAnsi="宋体"/>
              </w:rPr>
              <w:t>110</w:t>
            </w:r>
          </w:p>
        </w:tc>
        <w:tc>
          <w:tcPr>
            <w:tcW w:w="625" w:type="pct"/>
            <w:vAlign w:val="center"/>
          </w:tcPr>
          <w:p w14:paraId="5B421014">
            <w:pPr>
              <w:pStyle w:val="12"/>
              <w:jc w:val="center"/>
              <w:rPr>
                <w:rFonts w:ascii="宋体" w:hAnsi="宋体"/>
              </w:rPr>
            </w:pPr>
            <w:r>
              <w:rPr>
                <w:rFonts w:ascii="宋体" w:hAnsi="宋体"/>
              </w:rPr>
              <w:t>25921</w:t>
            </w:r>
          </w:p>
        </w:tc>
        <w:tc>
          <w:tcPr>
            <w:tcW w:w="625" w:type="pct"/>
            <w:vAlign w:val="center"/>
          </w:tcPr>
          <w:p w14:paraId="74E31E3B">
            <w:pPr>
              <w:pStyle w:val="12"/>
              <w:jc w:val="center"/>
              <w:rPr>
                <w:rFonts w:ascii="宋体" w:hAnsi="宋体"/>
              </w:rPr>
            </w:pPr>
            <w:r>
              <w:rPr>
                <w:rFonts w:ascii="宋体" w:hAnsi="宋体"/>
              </w:rPr>
              <w:t>1999</w:t>
            </w:r>
          </w:p>
        </w:tc>
        <w:tc>
          <w:tcPr>
            <w:tcW w:w="625" w:type="pct"/>
            <w:vAlign w:val="center"/>
          </w:tcPr>
          <w:p w14:paraId="7DE81AB0">
            <w:pPr>
              <w:pStyle w:val="12"/>
              <w:jc w:val="center"/>
              <w:rPr>
                <w:rFonts w:ascii="宋体" w:hAnsi="宋体"/>
              </w:rPr>
            </w:pPr>
            <w:r>
              <w:rPr>
                <w:rFonts w:ascii="宋体" w:hAnsi="宋体"/>
              </w:rPr>
              <w:t>151973</w:t>
            </w:r>
          </w:p>
        </w:tc>
        <w:tc>
          <w:tcPr>
            <w:tcW w:w="625" w:type="pct"/>
            <w:vAlign w:val="center"/>
          </w:tcPr>
          <w:p w14:paraId="0E626487">
            <w:pPr>
              <w:pStyle w:val="12"/>
              <w:jc w:val="center"/>
              <w:rPr>
                <w:rFonts w:ascii="宋体" w:hAnsi="宋体"/>
              </w:rPr>
            </w:pPr>
            <w:r>
              <w:rPr>
                <w:rFonts w:ascii="宋体" w:hAnsi="宋体"/>
              </w:rPr>
              <w:t>127</w:t>
            </w:r>
          </w:p>
        </w:tc>
        <w:tc>
          <w:tcPr>
            <w:tcW w:w="625" w:type="pct"/>
            <w:vAlign w:val="center"/>
          </w:tcPr>
          <w:p w14:paraId="71690896">
            <w:pPr>
              <w:pStyle w:val="12"/>
              <w:jc w:val="center"/>
              <w:rPr>
                <w:rFonts w:ascii="宋体" w:hAnsi="宋体"/>
              </w:rPr>
            </w:pPr>
            <w:r>
              <w:rPr>
                <w:rFonts w:ascii="宋体" w:hAnsi="宋体"/>
              </w:rPr>
              <w:t>19248</w:t>
            </w:r>
          </w:p>
        </w:tc>
      </w:tr>
      <w:tr w14:paraId="0A285F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1AD1CE5C">
            <w:pPr>
              <w:pStyle w:val="12"/>
              <w:jc w:val="center"/>
              <w:rPr>
                <w:rFonts w:ascii="宋体" w:hAnsi="宋体"/>
              </w:rPr>
            </w:pPr>
            <w:r>
              <w:rPr>
                <w:rFonts w:ascii="宋体" w:hAnsi="宋体"/>
              </w:rPr>
              <w:t>1991</w:t>
            </w:r>
          </w:p>
        </w:tc>
        <w:tc>
          <w:tcPr>
            <w:tcW w:w="625" w:type="pct"/>
            <w:vAlign w:val="center"/>
          </w:tcPr>
          <w:p w14:paraId="5E60B536">
            <w:pPr>
              <w:pStyle w:val="12"/>
              <w:jc w:val="center"/>
              <w:rPr>
                <w:rFonts w:ascii="宋体" w:hAnsi="宋体"/>
              </w:rPr>
            </w:pPr>
            <w:r>
              <w:rPr>
                <w:rFonts w:ascii="宋体" w:hAnsi="宋体"/>
              </w:rPr>
              <w:t>248202</w:t>
            </w:r>
          </w:p>
        </w:tc>
        <w:tc>
          <w:tcPr>
            <w:tcW w:w="625" w:type="pct"/>
            <w:vAlign w:val="center"/>
          </w:tcPr>
          <w:p w14:paraId="367CE155">
            <w:pPr>
              <w:pStyle w:val="12"/>
              <w:jc w:val="center"/>
              <w:rPr>
                <w:rFonts w:ascii="宋体" w:hAnsi="宋体"/>
              </w:rPr>
            </w:pPr>
            <w:r>
              <w:rPr>
                <w:rFonts w:ascii="宋体" w:hAnsi="宋体"/>
              </w:rPr>
              <w:t>113</w:t>
            </w:r>
          </w:p>
        </w:tc>
        <w:tc>
          <w:tcPr>
            <w:tcW w:w="625" w:type="pct"/>
            <w:vAlign w:val="center"/>
          </w:tcPr>
          <w:p w14:paraId="21FC63EF">
            <w:pPr>
              <w:pStyle w:val="12"/>
              <w:jc w:val="center"/>
              <w:rPr>
                <w:rFonts w:ascii="宋体" w:hAnsi="宋体"/>
              </w:rPr>
            </w:pPr>
            <w:r>
              <w:rPr>
                <w:rFonts w:ascii="宋体" w:hAnsi="宋体"/>
              </w:rPr>
              <w:t>28242</w:t>
            </w:r>
          </w:p>
        </w:tc>
        <w:tc>
          <w:tcPr>
            <w:tcW w:w="625" w:type="pct"/>
            <w:vAlign w:val="center"/>
          </w:tcPr>
          <w:p w14:paraId="51D4F84E">
            <w:pPr>
              <w:pStyle w:val="12"/>
              <w:jc w:val="center"/>
              <w:rPr>
                <w:rFonts w:ascii="宋体" w:hAnsi="宋体"/>
              </w:rPr>
            </w:pPr>
            <w:r>
              <w:rPr>
                <w:rFonts w:ascii="宋体" w:hAnsi="宋体"/>
              </w:rPr>
              <w:t>2000</w:t>
            </w:r>
          </w:p>
        </w:tc>
        <w:tc>
          <w:tcPr>
            <w:tcW w:w="625" w:type="pct"/>
            <w:vAlign w:val="center"/>
          </w:tcPr>
          <w:p w14:paraId="49DD134A">
            <w:pPr>
              <w:pStyle w:val="12"/>
              <w:jc w:val="center"/>
              <w:rPr>
                <w:rFonts w:ascii="宋体" w:hAnsi="宋体"/>
              </w:rPr>
            </w:pPr>
            <w:r>
              <w:rPr>
                <w:rFonts w:ascii="宋体" w:hAnsi="宋体"/>
              </w:rPr>
              <w:t>153719</w:t>
            </w:r>
          </w:p>
        </w:tc>
        <w:tc>
          <w:tcPr>
            <w:tcW w:w="625" w:type="pct"/>
            <w:vAlign w:val="center"/>
          </w:tcPr>
          <w:p w14:paraId="696CA281">
            <w:pPr>
              <w:pStyle w:val="12"/>
              <w:jc w:val="center"/>
              <w:rPr>
                <w:rFonts w:ascii="宋体" w:hAnsi="宋体"/>
              </w:rPr>
            </w:pPr>
            <w:r>
              <w:rPr>
                <w:rFonts w:ascii="宋体" w:hAnsi="宋体"/>
              </w:rPr>
              <w:t>118</w:t>
            </w:r>
          </w:p>
        </w:tc>
        <w:tc>
          <w:tcPr>
            <w:tcW w:w="625" w:type="pct"/>
            <w:vAlign w:val="center"/>
          </w:tcPr>
          <w:p w14:paraId="27C58BEB">
            <w:pPr>
              <w:pStyle w:val="12"/>
              <w:jc w:val="center"/>
              <w:rPr>
                <w:rFonts w:ascii="宋体" w:hAnsi="宋体"/>
              </w:rPr>
            </w:pPr>
            <w:r>
              <w:rPr>
                <w:rFonts w:ascii="宋体" w:hAnsi="宋体"/>
              </w:rPr>
              <w:t>18197</w:t>
            </w:r>
          </w:p>
        </w:tc>
      </w:tr>
      <w:tr w14:paraId="6816A1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5210B982">
            <w:pPr>
              <w:pStyle w:val="12"/>
              <w:jc w:val="center"/>
              <w:rPr>
                <w:rFonts w:ascii="宋体" w:hAnsi="宋体"/>
              </w:rPr>
            </w:pPr>
            <w:r>
              <w:rPr>
                <w:rFonts w:ascii="宋体" w:hAnsi="宋体"/>
              </w:rPr>
              <w:t>1992</w:t>
            </w:r>
          </w:p>
        </w:tc>
        <w:tc>
          <w:tcPr>
            <w:tcW w:w="625" w:type="pct"/>
            <w:vAlign w:val="center"/>
          </w:tcPr>
          <w:p w14:paraId="784A0AE4">
            <w:pPr>
              <w:pStyle w:val="12"/>
              <w:jc w:val="center"/>
              <w:rPr>
                <w:rFonts w:ascii="宋体" w:hAnsi="宋体"/>
              </w:rPr>
            </w:pPr>
            <w:r>
              <w:rPr>
                <w:rFonts w:ascii="宋体" w:hAnsi="宋体"/>
              </w:rPr>
              <w:t>259900</w:t>
            </w:r>
          </w:p>
        </w:tc>
        <w:tc>
          <w:tcPr>
            <w:tcW w:w="625" w:type="pct"/>
            <w:vAlign w:val="center"/>
          </w:tcPr>
          <w:p w14:paraId="7CE4278E">
            <w:pPr>
              <w:pStyle w:val="12"/>
              <w:jc w:val="center"/>
              <w:rPr>
                <w:rFonts w:ascii="宋体" w:hAnsi="宋体"/>
              </w:rPr>
            </w:pPr>
            <w:r>
              <w:rPr>
                <w:rFonts w:ascii="宋体" w:hAnsi="宋体"/>
              </w:rPr>
              <w:t>122</w:t>
            </w:r>
          </w:p>
        </w:tc>
        <w:tc>
          <w:tcPr>
            <w:tcW w:w="625" w:type="pct"/>
            <w:vAlign w:val="center"/>
          </w:tcPr>
          <w:p w14:paraId="68F26044">
            <w:pPr>
              <w:pStyle w:val="12"/>
              <w:jc w:val="center"/>
              <w:rPr>
                <w:rFonts w:ascii="宋体" w:hAnsi="宋体"/>
              </w:rPr>
            </w:pPr>
            <w:r>
              <w:rPr>
                <w:rFonts w:ascii="宋体" w:hAnsi="宋体"/>
              </w:rPr>
              <w:t>31623</w:t>
            </w:r>
          </w:p>
        </w:tc>
        <w:tc>
          <w:tcPr>
            <w:tcW w:w="625" w:type="pct"/>
            <w:vAlign w:val="center"/>
          </w:tcPr>
          <w:p w14:paraId="63F54EC8">
            <w:pPr>
              <w:pStyle w:val="12"/>
              <w:jc w:val="center"/>
              <w:rPr>
                <w:rFonts w:ascii="宋体" w:hAnsi="宋体"/>
              </w:rPr>
            </w:pPr>
            <w:r>
              <w:rPr>
                <w:rFonts w:ascii="宋体" w:hAnsi="宋体"/>
              </w:rPr>
              <w:t>2001</w:t>
            </w:r>
          </w:p>
        </w:tc>
        <w:tc>
          <w:tcPr>
            <w:tcW w:w="625" w:type="pct"/>
            <w:vAlign w:val="center"/>
          </w:tcPr>
          <w:p w14:paraId="0FC9BD59">
            <w:pPr>
              <w:pStyle w:val="12"/>
              <w:jc w:val="center"/>
              <w:rPr>
                <w:rFonts w:ascii="宋体" w:hAnsi="宋体"/>
              </w:rPr>
            </w:pPr>
            <w:r>
              <w:rPr>
                <w:rFonts w:ascii="宋体" w:hAnsi="宋体"/>
              </w:rPr>
              <w:t>169199</w:t>
            </w:r>
          </w:p>
        </w:tc>
        <w:tc>
          <w:tcPr>
            <w:tcW w:w="625" w:type="pct"/>
            <w:vAlign w:val="center"/>
          </w:tcPr>
          <w:p w14:paraId="46BAE843">
            <w:pPr>
              <w:pStyle w:val="12"/>
              <w:jc w:val="center"/>
              <w:rPr>
                <w:rFonts w:ascii="宋体" w:hAnsi="宋体"/>
              </w:rPr>
            </w:pPr>
            <w:r>
              <w:rPr>
                <w:rFonts w:ascii="宋体" w:hAnsi="宋体"/>
              </w:rPr>
              <w:t>126</w:t>
            </w:r>
          </w:p>
        </w:tc>
        <w:tc>
          <w:tcPr>
            <w:tcW w:w="625" w:type="pct"/>
            <w:vAlign w:val="center"/>
          </w:tcPr>
          <w:p w14:paraId="616BB0CA">
            <w:pPr>
              <w:pStyle w:val="12"/>
              <w:jc w:val="center"/>
              <w:rPr>
                <w:rFonts w:ascii="宋体" w:hAnsi="宋体"/>
              </w:rPr>
            </w:pPr>
            <w:r>
              <w:rPr>
                <w:rFonts w:ascii="宋体" w:hAnsi="宋体"/>
              </w:rPr>
              <w:t>21319</w:t>
            </w:r>
          </w:p>
        </w:tc>
      </w:tr>
      <w:tr w14:paraId="52300A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5889C518">
            <w:pPr>
              <w:pStyle w:val="12"/>
              <w:jc w:val="center"/>
              <w:rPr>
                <w:rFonts w:ascii="宋体" w:hAnsi="宋体"/>
              </w:rPr>
            </w:pPr>
            <w:r>
              <w:rPr>
                <w:rFonts w:ascii="宋体" w:hAnsi="宋体"/>
              </w:rPr>
              <w:t>1993</w:t>
            </w:r>
          </w:p>
        </w:tc>
        <w:tc>
          <w:tcPr>
            <w:tcW w:w="625" w:type="pct"/>
            <w:vAlign w:val="center"/>
          </w:tcPr>
          <w:p w14:paraId="22EA61E1">
            <w:pPr>
              <w:pStyle w:val="12"/>
              <w:jc w:val="center"/>
              <w:rPr>
                <w:rFonts w:ascii="宋体" w:hAnsi="宋体"/>
              </w:rPr>
            </w:pPr>
            <w:r>
              <w:rPr>
                <w:rFonts w:ascii="宋体" w:hAnsi="宋体"/>
              </w:rPr>
              <w:t>246578</w:t>
            </w:r>
          </w:p>
        </w:tc>
        <w:tc>
          <w:tcPr>
            <w:tcW w:w="625" w:type="pct"/>
            <w:vAlign w:val="center"/>
          </w:tcPr>
          <w:p w14:paraId="3CA31929">
            <w:pPr>
              <w:pStyle w:val="12"/>
              <w:jc w:val="center"/>
              <w:rPr>
                <w:rFonts w:ascii="宋体" w:hAnsi="宋体"/>
              </w:rPr>
            </w:pPr>
            <w:r>
              <w:rPr>
                <w:rFonts w:ascii="宋体" w:hAnsi="宋体"/>
              </w:rPr>
              <w:t>102</w:t>
            </w:r>
          </w:p>
        </w:tc>
        <w:tc>
          <w:tcPr>
            <w:tcW w:w="625" w:type="pct"/>
            <w:vAlign w:val="center"/>
          </w:tcPr>
          <w:p w14:paraId="531391AD">
            <w:pPr>
              <w:pStyle w:val="12"/>
              <w:jc w:val="center"/>
              <w:rPr>
                <w:rFonts w:ascii="宋体" w:hAnsi="宋体"/>
              </w:rPr>
            </w:pPr>
            <w:r>
              <w:rPr>
                <w:rFonts w:ascii="宋体" w:hAnsi="宋体"/>
              </w:rPr>
              <w:t>25044</w:t>
            </w:r>
          </w:p>
        </w:tc>
        <w:tc>
          <w:tcPr>
            <w:tcW w:w="625" w:type="pct"/>
            <w:vAlign w:val="center"/>
          </w:tcPr>
          <w:p w14:paraId="14F143B6">
            <w:pPr>
              <w:pStyle w:val="12"/>
              <w:jc w:val="center"/>
              <w:rPr>
                <w:rFonts w:ascii="宋体" w:hAnsi="宋体"/>
              </w:rPr>
            </w:pPr>
            <w:r>
              <w:rPr>
                <w:rFonts w:ascii="宋体" w:hAnsi="宋体"/>
              </w:rPr>
              <w:t>2002</w:t>
            </w:r>
          </w:p>
        </w:tc>
        <w:tc>
          <w:tcPr>
            <w:tcW w:w="625" w:type="pct"/>
            <w:vAlign w:val="center"/>
          </w:tcPr>
          <w:p w14:paraId="0433B0DF">
            <w:pPr>
              <w:pStyle w:val="12"/>
              <w:jc w:val="center"/>
              <w:rPr>
                <w:rFonts w:ascii="宋体" w:hAnsi="宋体"/>
              </w:rPr>
            </w:pPr>
            <w:r>
              <w:rPr>
                <w:rFonts w:ascii="宋体" w:hAnsi="宋体"/>
              </w:rPr>
              <w:t>171065</w:t>
            </w:r>
          </w:p>
        </w:tc>
        <w:tc>
          <w:tcPr>
            <w:tcW w:w="625" w:type="pct"/>
            <w:vAlign w:val="center"/>
          </w:tcPr>
          <w:p w14:paraId="605E68AF">
            <w:pPr>
              <w:pStyle w:val="12"/>
              <w:jc w:val="center"/>
              <w:rPr>
                <w:rFonts w:ascii="宋体" w:hAnsi="宋体"/>
              </w:rPr>
            </w:pPr>
            <w:r>
              <w:rPr>
                <w:rFonts w:ascii="宋体" w:hAnsi="宋体"/>
              </w:rPr>
              <w:t>126</w:t>
            </w:r>
          </w:p>
        </w:tc>
        <w:tc>
          <w:tcPr>
            <w:tcW w:w="625" w:type="pct"/>
            <w:vAlign w:val="center"/>
          </w:tcPr>
          <w:p w14:paraId="4CD5D72B">
            <w:pPr>
              <w:pStyle w:val="12"/>
              <w:jc w:val="center"/>
              <w:rPr>
                <w:rFonts w:ascii="宋体" w:hAnsi="宋体"/>
              </w:rPr>
            </w:pPr>
            <w:r>
              <w:rPr>
                <w:rFonts w:ascii="宋体" w:hAnsi="宋体"/>
              </w:rPr>
              <w:t>21474</w:t>
            </w:r>
          </w:p>
        </w:tc>
      </w:tr>
      <w:tr w14:paraId="237C62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2CC6320B">
            <w:pPr>
              <w:pStyle w:val="12"/>
              <w:jc w:val="center"/>
              <w:rPr>
                <w:rFonts w:ascii="宋体" w:hAnsi="宋体"/>
              </w:rPr>
            </w:pPr>
            <w:r>
              <w:rPr>
                <w:rFonts w:ascii="宋体" w:hAnsi="宋体"/>
              </w:rPr>
              <w:t>1994</w:t>
            </w:r>
          </w:p>
        </w:tc>
        <w:tc>
          <w:tcPr>
            <w:tcW w:w="625" w:type="pct"/>
            <w:vAlign w:val="center"/>
          </w:tcPr>
          <w:p w14:paraId="623991BD">
            <w:pPr>
              <w:pStyle w:val="12"/>
              <w:jc w:val="center"/>
              <w:rPr>
                <w:rFonts w:ascii="宋体" w:hAnsi="宋体"/>
              </w:rPr>
            </w:pPr>
            <w:r>
              <w:rPr>
                <w:rFonts w:ascii="宋体" w:hAnsi="宋体"/>
              </w:rPr>
              <w:t>193797</w:t>
            </w:r>
          </w:p>
        </w:tc>
        <w:tc>
          <w:tcPr>
            <w:tcW w:w="625" w:type="pct"/>
            <w:vAlign w:val="center"/>
          </w:tcPr>
          <w:p w14:paraId="68ED7A3F">
            <w:pPr>
              <w:pStyle w:val="12"/>
              <w:jc w:val="center"/>
              <w:rPr>
                <w:rFonts w:ascii="宋体" w:hAnsi="宋体"/>
              </w:rPr>
            </w:pPr>
            <w:r>
              <w:rPr>
                <w:rFonts w:ascii="宋体" w:hAnsi="宋体"/>
              </w:rPr>
              <w:t>91</w:t>
            </w:r>
          </w:p>
        </w:tc>
        <w:tc>
          <w:tcPr>
            <w:tcW w:w="625" w:type="pct"/>
            <w:vAlign w:val="center"/>
          </w:tcPr>
          <w:p w14:paraId="5DD1BF49">
            <w:pPr>
              <w:pStyle w:val="12"/>
              <w:jc w:val="center"/>
              <w:rPr>
                <w:rFonts w:ascii="宋体" w:hAnsi="宋体"/>
              </w:rPr>
            </w:pPr>
            <w:r>
              <w:rPr>
                <w:rFonts w:ascii="宋体" w:hAnsi="宋体"/>
              </w:rPr>
              <w:t>17636</w:t>
            </w:r>
          </w:p>
        </w:tc>
        <w:tc>
          <w:tcPr>
            <w:tcW w:w="625" w:type="pct"/>
            <w:vAlign w:val="center"/>
          </w:tcPr>
          <w:p w14:paraId="5407F3D7">
            <w:pPr>
              <w:pStyle w:val="12"/>
              <w:jc w:val="center"/>
              <w:rPr>
                <w:rFonts w:ascii="宋体" w:hAnsi="宋体"/>
              </w:rPr>
            </w:pPr>
            <w:r>
              <w:rPr>
                <w:rFonts w:ascii="宋体" w:hAnsi="宋体"/>
              </w:rPr>
              <w:t>2003</w:t>
            </w:r>
          </w:p>
        </w:tc>
        <w:tc>
          <w:tcPr>
            <w:tcW w:w="625" w:type="pct"/>
            <w:vAlign w:val="center"/>
          </w:tcPr>
          <w:p w14:paraId="64A4E967">
            <w:pPr>
              <w:pStyle w:val="12"/>
              <w:jc w:val="center"/>
              <w:rPr>
                <w:rFonts w:ascii="宋体" w:hAnsi="宋体"/>
              </w:rPr>
            </w:pPr>
            <w:r>
              <w:rPr>
                <w:rFonts w:ascii="宋体" w:hAnsi="宋体"/>
              </w:rPr>
              <w:t>165397</w:t>
            </w:r>
          </w:p>
        </w:tc>
        <w:tc>
          <w:tcPr>
            <w:tcW w:w="625" w:type="pct"/>
            <w:vAlign w:val="center"/>
          </w:tcPr>
          <w:p w14:paraId="39DCE69D">
            <w:pPr>
              <w:pStyle w:val="12"/>
              <w:jc w:val="center"/>
              <w:rPr>
                <w:rFonts w:ascii="宋体" w:hAnsi="宋体"/>
              </w:rPr>
            </w:pPr>
            <w:r>
              <w:rPr>
                <w:rFonts w:ascii="宋体" w:hAnsi="宋体"/>
              </w:rPr>
              <w:t>130</w:t>
            </w:r>
          </w:p>
        </w:tc>
        <w:tc>
          <w:tcPr>
            <w:tcW w:w="625" w:type="pct"/>
            <w:vAlign w:val="center"/>
          </w:tcPr>
          <w:p w14:paraId="2B94BF8B">
            <w:pPr>
              <w:pStyle w:val="12"/>
              <w:jc w:val="center"/>
              <w:rPr>
                <w:rFonts w:ascii="宋体" w:hAnsi="宋体"/>
              </w:rPr>
            </w:pPr>
            <w:r>
              <w:rPr>
                <w:rFonts w:ascii="宋体" w:hAnsi="宋体"/>
              </w:rPr>
              <w:t>21532</w:t>
            </w:r>
          </w:p>
        </w:tc>
      </w:tr>
      <w:tr w14:paraId="7B60456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14EB404F">
            <w:pPr>
              <w:pStyle w:val="12"/>
              <w:jc w:val="center"/>
              <w:rPr>
                <w:rFonts w:ascii="宋体" w:hAnsi="宋体"/>
              </w:rPr>
            </w:pPr>
            <w:r>
              <w:rPr>
                <w:rFonts w:ascii="宋体" w:hAnsi="宋体"/>
              </w:rPr>
              <w:t>1995</w:t>
            </w:r>
          </w:p>
        </w:tc>
        <w:tc>
          <w:tcPr>
            <w:tcW w:w="625" w:type="pct"/>
            <w:vAlign w:val="center"/>
          </w:tcPr>
          <w:p w14:paraId="40237EA3">
            <w:pPr>
              <w:pStyle w:val="12"/>
              <w:jc w:val="center"/>
              <w:rPr>
                <w:rFonts w:ascii="宋体" w:hAnsi="宋体"/>
              </w:rPr>
            </w:pPr>
            <w:r>
              <w:rPr>
                <w:rFonts w:ascii="宋体" w:hAnsi="宋体"/>
              </w:rPr>
              <w:t>205917</w:t>
            </w:r>
          </w:p>
        </w:tc>
        <w:tc>
          <w:tcPr>
            <w:tcW w:w="625" w:type="pct"/>
            <w:vAlign w:val="center"/>
          </w:tcPr>
          <w:p w14:paraId="2E8EEEED">
            <w:pPr>
              <w:pStyle w:val="12"/>
              <w:jc w:val="center"/>
              <w:rPr>
                <w:rFonts w:ascii="宋体" w:hAnsi="宋体"/>
              </w:rPr>
            </w:pPr>
            <w:r>
              <w:rPr>
                <w:rFonts w:ascii="宋体" w:hAnsi="宋体"/>
              </w:rPr>
              <w:t>107</w:t>
            </w:r>
          </w:p>
        </w:tc>
        <w:tc>
          <w:tcPr>
            <w:tcW w:w="625" w:type="pct"/>
            <w:vAlign w:val="center"/>
          </w:tcPr>
          <w:p w14:paraId="7E6DC164">
            <w:pPr>
              <w:pStyle w:val="12"/>
              <w:jc w:val="center"/>
              <w:rPr>
                <w:rFonts w:ascii="宋体" w:hAnsi="宋体"/>
              </w:rPr>
            </w:pPr>
            <w:r>
              <w:rPr>
                <w:rFonts w:ascii="宋体" w:hAnsi="宋体"/>
              </w:rPr>
              <w:t>21942</w:t>
            </w:r>
          </w:p>
        </w:tc>
        <w:tc>
          <w:tcPr>
            <w:tcW w:w="625" w:type="pct"/>
            <w:vAlign w:val="center"/>
          </w:tcPr>
          <w:p w14:paraId="06E0560D">
            <w:pPr>
              <w:pStyle w:val="12"/>
              <w:jc w:val="center"/>
              <w:rPr>
                <w:rFonts w:ascii="宋体" w:hAnsi="宋体"/>
              </w:rPr>
            </w:pPr>
            <w:r>
              <w:rPr>
                <w:rFonts w:ascii="宋体" w:hAnsi="宋体"/>
              </w:rPr>
              <w:t>2004</w:t>
            </w:r>
          </w:p>
        </w:tc>
        <w:tc>
          <w:tcPr>
            <w:tcW w:w="625" w:type="pct"/>
            <w:vAlign w:val="center"/>
          </w:tcPr>
          <w:p w14:paraId="102CBA96">
            <w:pPr>
              <w:pStyle w:val="12"/>
              <w:jc w:val="center"/>
              <w:rPr>
                <w:rFonts w:ascii="宋体" w:hAnsi="宋体"/>
              </w:rPr>
            </w:pPr>
            <w:r>
              <w:rPr>
                <w:rFonts w:ascii="宋体" w:hAnsi="宋体"/>
              </w:rPr>
              <w:t>165155</w:t>
            </w:r>
          </w:p>
        </w:tc>
        <w:tc>
          <w:tcPr>
            <w:tcW w:w="625" w:type="pct"/>
            <w:vAlign w:val="center"/>
          </w:tcPr>
          <w:p w14:paraId="081F899F">
            <w:pPr>
              <w:pStyle w:val="12"/>
              <w:jc w:val="center"/>
              <w:rPr>
                <w:rFonts w:ascii="宋体" w:hAnsi="宋体"/>
              </w:rPr>
            </w:pPr>
            <w:r>
              <w:rPr>
                <w:rFonts w:ascii="宋体" w:hAnsi="宋体"/>
              </w:rPr>
              <w:t>132</w:t>
            </w:r>
          </w:p>
        </w:tc>
        <w:tc>
          <w:tcPr>
            <w:tcW w:w="625" w:type="pct"/>
            <w:vAlign w:val="center"/>
          </w:tcPr>
          <w:p w14:paraId="7B1A7D26">
            <w:pPr>
              <w:pStyle w:val="12"/>
              <w:jc w:val="center"/>
              <w:rPr>
                <w:rFonts w:ascii="宋体" w:hAnsi="宋体"/>
              </w:rPr>
            </w:pPr>
            <w:r>
              <w:rPr>
                <w:rFonts w:ascii="宋体" w:hAnsi="宋体"/>
              </w:rPr>
              <w:t>21742</w:t>
            </w:r>
          </w:p>
        </w:tc>
      </w:tr>
    </w:tbl>
    <w:p w14:paraId="554986CF">
      <w:pPr>
        <w:pStyle w:val="4"/>
        <w:rPr>
          <w:rFonts w:ascii="宋体" w:hAnsi="宋体"/>
        </w:rPr>
      </w:pPr>
      <w:r>
        <w:rPr>
          <w:rFonts w:hint="eastAsia" w:ascii="宋体" w:hAnsi="宋体"/>
        </w:rPr>
        <w:t>第三节  种植技术</w:t>
      </w:r>
    </w:p>
    <w:p w14:paraId="50EBAF80">
      <w:pPr>
        <w:pStyle w:val="5"/>
        <w:rPr>
          <w:rFonts w:ascii="宋体" w:hAnsi="宋体"/>
        </w:rPr>
      </w:pPr>
      <w:r>
        <w:rPr>
          <w:rFonts w:hint="eastAsia" w:ascii="宋体" w:hAnsi="宋体"/>
        </w:rPr>
        <w:t>一、选种育苗</w:t>
      </w:r>
    </w:p>
    <w:p w14:paraId="6A5E9969">
      <w:pPr>
        <w:ind w:firstLine="420"/>
        <w:rPr>
          <w:rFonts w:ascii="宋体" w:hAnsi="宋体"/>
          <w:szCs w:val="21"/>
        </w:rPr>
      </w:pPr>
      <w:r>
        <w:rPr>
          <w:rFonts w:hint="eastAsia" w:ascii="宋体" w:hAnsi="宋体"/>
          <w:szCs w:val="21"/>
        </w:rPr>
        <w:t>南雄黄烟品种，</w:t>
      </w:r>
      <w:r>
        <w:rPr>
          <w:rFonts w:ascii="宋体" w:hAnsi="宋体"/>
          <w:szCs w:val="21"/>
        </w:rPr>
        <w:t>20世纪50年代以前是青梗、黄壳2个品种为主。1964年引种烤</w:t>
      </w:r>
      <w:r>
        <w:rPr>
          <w:rFonts w:hint="eastAsia" w:ascii="宋体" w:hAnsi="宋体"/>
          <w:szCs w:val="21"/>
        </w:rPr>
        <w:t>烟良种“许金一号”。</w:t>
      </w:r>
      <w:r>
        <w:rPr>
          <w:rFonts w:ascii="宋体" w:hAnsi="宋体"/>
          <w:szCs w:val="21"/>
        </w:rPr>
        <w:t>70年代后期引进烤烟良种</w:t>
      </w:r>
      <w:r>
        <w:rPr>
          <w:rFonts w:hint="eastAsia" w:ascii="宋体" w:hAnsi="宋体"/>
          <w:szCs w:val="21"/>
        </w:rPr>
        <w:t>G</w:t>
      </w:r>
      <w:r>
        <w:rPr>
          <w:rFonts w:ascii="宋体" w:hAnsi="宋体"/>
          <w:szCs w:val="21"/>
        </w:rPr>
        <w:t>28和K326，80年代在全县普遍推</w:t>
      </w:r>
      <w:r>
        <w:rPr>
          <w:rFonts w:hint="eastAsia" w:ascii="宋体" w:hAnsi="宋体"/>
          <w:szCs w:val="21"/>
        </w:rPr>
        <w:t>广。此后南雄以种植烤烟为主。</w:t>
      </w:r>
      <w:r>
        <w:rPr>
          <w:rFonts w:ascii="宋体" w:hAnsi="宋体"/>
          <w:szCs w:val="21"/>
        </w:rPr>
        <w:t>1991年至1996年，仍以K326为主，岩烟97、K358、</w:t>
      </w:r>
      <w:r>
        <w:rPr>
          <w:rFonts w:hint="eastAsia" w:ascii="宋体" w:hAnsi="宋体"/>
          <w:szCs w:val="21"/>
        </w:rPr>
        <w:t>翠碧一号为辅。</w:t>
      </w:r>
      <w:r>
        <w:rPr>
          <w:rFonts w:ascii="宋体" w:hAnsi="宋体"/>
          <w:szCs w:val="21"/>
        </w:rPr>
        <w:t>1997年以后，实行种植品种区域化。烟草公司根据卷烟工业生产的</w:t>
      </w:r>
      <w:r>
        <w:rPr>
          <w:rFonts w:hint="eastAsia" w:ascii="宋体" w:hAnsi="宋体"/>
          <w:szCs w:val="21"/>
        </w:rPr>
        <w:t>需要，全市统一制种，分别不同地区无代价供应种子。在紫色土烟区采用</w:t>
      </w:r>
      <w:r>
        <w:rPr>
          <w:rFonts w:ascii="宋体" w:hAnsi="宋体"/>
          <w:szCs w:val="21"/>
        </w:rPr>
        <w:t>K326</w:t>
      </w:r>
      <w:r>
        <w:rPr>
          <w:rFonts w:hint="eastAsia" w:ascii="宋体" w:hAnsi="宋体"/>
          <w:szCs w:val="21"/>
        </w:rPr>
        <w:t>、“</w:t>
      </w:r>
      <w:r>
        <w:rPr>
          <w:rFonts w:ascii="宋体" w:hAnsi="宋体"/>
          <w:szCs w:val="21"/>
        </w:rPr>
        <w:t>9601”、“9032”，在山区半山区非紫色土烟区采用RG17，实现良种规格化，不许烟</w:t>
      </w:r>
      <w:r>
        <w:rPr>
          <w:rFonts w:hint="eastAsia" w:ascii="宋体" w:hAnsi="宋体"/>
          <w:szCs w:val="21"/>
        </w:rPr>
        <w:t>农自行留种、引种。</w:t>
      </w:r>
    </w:p>
    <w:p w14:paraId="7679DEC0">
      <w:pPr>
        <w:ind w:firstLine="420"/>
        <w:rPr>
          <w:rFonts w:ascii="宋体" w:hAnsi="宋体"/>
          <w:szCs w:val="21"/>
        </w:rPr>
      </w:pPr>
      <w:r>
        <w:rPr>
          <w:rFonts w:hint="eastAsia" w:ascii="宋体" w:hAnsi="宋体"/>
          <w:szCs w:val="21"/>
        </w:rPr>
        <w:t>传统育亩是一段法，冬季播种后直至次年春天定植时，均在苗床内培育。</w:t>
      </w:r>
      <w:r>
        <w:rPr>
          <w:rFonts w:ascii="宋体" w:hAnsi="宋体"/>
          <w:szCs w:val="21"/>
        </w:rPr>
        <w:t>80年</w:t>
      </w:r>
      <w:r>
        <w:rPr>
          <w:rFonts w:hint="eastAsia" w:ascii="宋体" w:hAnsi="宋体"/>
          <w:szCs w:val="21"/>
        </w:rPr>
        <w:t>代后期推广二段育苗。在播种后</w:t>
      </w:r>
      <w:r>
        <w:rPr>
          <w:rFonts w:ascii="宋体" w:hAnsi="宋体"/>
          <w:szCs w:val="21"/>
        </w:rPr>
        <w:t>50天左右，选壮苗移植于营养袋内，进行第二阶段</w:t>
      </w:r>
      <w:r>
        <w:rPr>
          <w:rFonts w:hint="eastAsia" w:ascii="宋体" w:hAnsi="宋体"/>
          <w:szCs w:val="21"/>
        </w:rPr>
        <w:t>培育。</w:t>
      </w:r>
      <w:r>
        <w:rPr>
          <w:rFonts w:ascii="宋体" w:hAnsi="宋体"/>
          <w:szCs w:val="21"/>
        </w:rPr>
        <w:t>90年代，应用包衣种子技术，改营养袋为塑料托盘育苗。2000年后发展漂浮</w:t>
      </w:r>
      <w:r>
        <w:rPr>
          <w:rFonts w:hint="eastAsia" w:ascii="宋体" w:hAnsi="宋体"/>
          <w:szCs w:val="21"/>
        </w:rPr>
        <w:t>育苗，育成的烟苗更粗壮，根系发达，病害少，定植时伤根少，生长快。</w:t>
      </w:r>
    </w:p>
    <w:p w14:paraId="652D97D1">
      <w:pPr>
        <w:pStyle w:val="5"/>
        <w:rPr>
          <w:rFonts w:ascii="宋体" w:hAnsi="宋体"/>
        </w:rPr>
      </w:pPr>
      <w:r>
        <w:rPr>
          <w:rFonts w:hint="eastAsia" w:ascii="宋体" w:hAnsi="宋体"/>
        </w:rPr>
        <w:t>二、烟地整治</w:t>
      </w:r>
    </w:p>
    <w:p w14:paraId="566CF54A">
      <w:pPr>
        <w:ind w:firstLine="420"/>
        <w:rPr>
          <w:rFonts w:ascii="宋体" w:hAnsi="宋体"/>
          <w:szCs w:val="21"/>
        </w:rPr>
      </w:pPr>
      <w:r>
        <w:rPr>
          <w:rFonts w:hint="eastAsia" w:ascii="宋体" w:hAnsi="宋体"/>
          <w:szCs w:val="21"/>
        </w:rPr>
        <w:t>坚持合理轮作。黄烟忌连作，历来有轮作习惯，近年更为严格规范：紫色土（旱地）二年一作（一年花生，一年黄烟）；紫色田（水田）一年一作（上造黄烟、下造水稻）；红黄沙泥田二年一作（三年二头种烟）；麻砂白砂泥田三年一作（即四年二头种烟）。河边潮砂泥田、浸水田、潮砂土、菜园土皆不宜种烟。</w:t>
      </w:r>
    </w:p>
    <w:p w14:paraId="31995363">
      <w:pPr>
        <w:ind w:firstLine="420"/>
        <w:rPr>
          <w:rFonts w:ascii="宋体" w:hAnsi="宋体"/>
          <w:szCs w:val="21"/>
        </w:rPr>
      </w:pPr>
      <w:r>
        <w:rPr>
          <w:rFonts w:hint="eastAsia" w:ascii="宋体" w:hAnsi="宋体"/>
          <w:szCs w:val="21"/>
        </w:rPr>
        <w:t>重视整地挖沟。烟地要求犁冬晒白，耕作层</w:t>
      </w:r>
      <w:r>
        <w:rPr>
          <w:rFonts w:ascii="宋体" w:hAnsi="宋体"/>
          <w:szCs w:val="21"/>
        </w:rPr>
        <w:t>25厘米以上，土壤要细碎、疏松。</w:t>
      </w:r>
      <w:r>
        <w:rPr>
          <w:rFonts w:hint="eastAsia" w:ascii="宋体" w:hAnsi="宋体"/>
          <w:szCs w:val="21"/>
        </w:rPr>
        <w:t>水田用单行种植，行距</w:t>
      </w:r>
      <w:r>
        <w:rPr>
          <w:rFonts w:ascii="宋体" w:hAnsi="宋体"/>
          <w:szCs w:val="21"/>
        </w:rPr>
        <w:t>1.2米，株距0.5米。并开好环田沟、破心沟，以利排灌水</w:t>
      </w:r>
      <w:r>
        <w:rPr>
          <w:rFonts w:hint="eastAsia" w:ascii="宋体" w:hAnsi="宋体"/>
          <w:szCs w:val="21"/>
        </w:rPr>
        <w:t>。旱坡地采用宽窄行种植，行距</w:t>
      </w:r>
      <w:r>
        <w:rPr>
          <w:rFonts w:ascii="宋体" w:hAnsi="宋体"/>
          <w:szCs w:val="21"/>
        </w:rPr>
        <w:t>2.2米，株距0.5米。在靠高处一侧挖深沟，俗称改土</w:t>
      </w:r>
      <w:r>
        <w:rPr>
          <w:rFonts w:hint="eastAsia" w:ascii="宋体" w:hAnsi="宋体"/>
          <w:szCs w:val="21"/>
        </w:rPr>
        <w:t>沟，以蓄雨水防旱。</w:t>
      </w:r>
    </w:p>
    <w:p w14:paraId="1BED9047">
      <w:pPr>
        <w:ind w:firstLine="420"/>
        <w:rPr>
          <w:rFonts w:ascii="宋体" w:hAnsi="宋体"/>
          <w:szCs w:val="21"/>
        </w:rPr>
      </w:pPr>
      <w:r>
        <w:rPr>
          <w:rFonts w:hint="eastAsia" w:ascii="宋体" w:hAnsi="宋体"/>
          <w:szCs w:val="21"/>
        </w:rPr>
        <w:t>改善烟地灌溉。从</w:t>
      </w:r>
      <w:r>
        <w:rPr>
          <w:rFonts w:ascii="宋体" w:hAnsi="宋体"/>
          <w:szCs w:val="21"/>
        </w:rPr>
        <w:t>1997年冬开始实施旱坡地水利改造工程，投资1000万元，建</w:t>
      </w:r>
      <w:r>
        <w:rPr>
          <w:rFonts w:hint="eastAsia" w:ascii="宋体" w:hAnsi="宋体"/>
          <w:szCs w:val="21"/>
        </w:rPr>
        <w:t>电灌站</w:t>
      </w:r>
      <w:r>
        <w:rPr>
          <w:rFonts w:ascii="宋体" w:hAnsi="宋体"/>
          <w:szCs w:val="21"/>
        </w:rPr>
        <w:t>2座，挖水圳12.5公里，建三面光水圳24.5公里，新增灌溉面积241.33公</w:t>
      </w:r>
      <w:r>
        <w:rPr>
          <w:rFonts w:hint="eastAsia" w:ascii="宋体" w:hAnsi="宋体"/>
          <w:szCs w:val="21"/>
        </w:rPr>
        <w:t>顷，改善灌溉面积</w:t>
      </w:r>
      <w:r>
        <w:rPr>
          <w:rFonts w:ascii="宋体" w:hAnsi="宋体"/>
          <w:szCs w:val="21"/>
        </w:rPr>
        <w:t>420公顷</w:t>
      </w:r>
      <w:r>
        <w:rPr>
          <w:rFonts w:hint="eastAsia" w:ascii="宋体" w:hAnsi="宋体"/>
          <w:szCs w:val="21"/>
        </w:rPr>
        <w:t>。</w:t>
      </w:r>
    </w:p>
    <w:p w14:paraId="75F510D0">
      <w:pPr>
        <w:pStyle w:val="5"/>
        <w:rPr>
          <w:rFonts w:ascii="宋体" w:hAnsi="宋体"/>
        </w:rPr>
      </w:pPr>
      <w:r>
        <w:rPr>
          <w:rFonts w:hint="eastAsia" w:ascii="宋体" w:hAnsi="宋体"/>
        </w:rPr>
        <w:t>三、科学栽培</w:t>
      </w:r>
    </w:p>
    <w:p w14:paraId="5000EE21">
      <w:pPr>
        <w:ind w:firstLine="420"/>
        <w:rPr>
          <w:rFonts w:ascii="宋体" w:hAnsi="宋体"/>
          <w:szCs w:val="21"/>
        </w:rPr>
      </w:pPr>
      <w:r>
        <w:rPr>
          <w:rFonts w:hint="eastAsia" w:ascii="宋体" w:hAnsi="宋体"/>
          <w:szCs w:val="21"/>
        </w:rPr>
        <w:t>南雄烟农积累了一套科学而精细的黄烟栽培方法。传统种烟，重施麩肥，精于上烟行。黄烟栽后</w:t>
      </w:r>
      <w:r>
        <w:rPr>
          <w:rFonts w:ascii="宋体" w:hAnsi="宋体"/>
          <w:szCs w:val="21"/>
        </w:rPr>
        <w:t>30天～40天上行，工序有七，其过程是：摘脚叶</w:t>
      </w:r>
      <w:r>
        <w:rPr>
          <w:rFonts w:hint="eastAsia" w:ascii="宋体" w:hAnsi="宋体"/>
          <w:szCs w:val="21"/>
        </w:rPr>
        <w:t>—</w:t>
      </w:r>
      <w:r>
        <w:rPr>
          <w:rFonts w:ascii="宋体" w:hAnsi="宋体"/>
          <w:szCs w:val="21"/>
        </w:rPr>
        <w:t>松土一施肥（下</w:t>
      </w:r>
      <w:r>
        <w:rPr>
          <w:rFonts w:hint="eastAsia" w:ascii="宋体" w:hAnsi="宋体"/>
          <w:szCs w:val="21"/>
        </w:rPr>
        <w:t>麩、淋粪水）一铲土边塞烟头（把畦边削平，逐株培土）一锄坑上行束叶一拍边固畦—平畦面。做到：烟株，株株过关；烟行，行行平整。进入</w:t>
      </w:r>
      <w:r>
        <w:rPr>
          <w:rFonts w:ascii="宋体" w:hAnsi="宋体"/>
          <w:szCs w:val="21"/>
        </w:rPr>
        <w:t>21世纪，推广地膜覆</w:t>
      </w:r>
      <w:r>
        <w:rPr>
          <w:rFonts w:hint="eastAsia" w:ascii="宋体" w:hAnsi="宋体"/>
          <w:szCs w:val="21"/>
        </w:rPr>
        <w:t>盖。定植前</w:t>
      </w:r>
      <w:r>
        <w:rPr>
          <w:rFonts w:ascii="宋体" w:hAnsi="宋体"/>
          <w:szCs w:val="21"/>
        </w:rPr>
        <w:t>15天～20天，用芽前除草剂喷洒于烟行表土。定植后浇足溶有保持土壤</w:t>
      </w:r>
      <w:r>
        <w:rPr>
          <w:rFonts w:hint="eastAsia" w:ascii="宋体" w:hAnsi="宋体"/>
          <w:szCs w:val="21"/>
        </w:rPr>
        <w:t>接种剂的定根水，然后覆盖地膜，并且四周封严压实，隔</w:t>
      </w:r>
      <w:r>
        <w:rPr>
          <w:rFonts w:ascii="宋体" w:hAnsi="宋体"/>
          <w:szCs w:val="21"/>
        </w:rPr>
        <w:t>1天～2天开通气孔。至4</w:t>
      </w:r>
      <w:r>
        <w:rPr>
          <w:rFonts w:hint="eastAsia" w:ascii="宋体" w:hAnsi="宋体"/>
          <w:szCs w:val="21"/>
        </w:rPr>
        <w:t>月初或中旬，揭去地膜，进行松土、除草、追肥、培土。按不同土壤要求的氮磷钾比例平衡施肥。</w:t>
      </w:r>
    </w:p>
    <w:p w14:paraId="4ECC6A0C">
      <w:pPr>
        <w:ind w:firstLine="420"/>
        <w:rPr>
          <w:rFonts w:ascii="宋体" w:hAnsi="宋体"/>
          <w:szCs w:val="21"/>
        </w:rPr>
      </w:pPr>
      <w:r>
        <w:rPr>
          <w:rFonts w:hint="eastAsia" w:ascii="宋体" w:hAnsi="宋体"/>
          <w:szCs w:val="21"/>
        </w:rPr>
        <w:t>及时打顶留叶。传统方法是“窝心打顶”，提前在花蕾出现前，用针尖或指甲将生长点剔除。</w:t>
      </w:r>
      <w:r>
        <w:rPr>
          <w:rFonts w:ascii="宋体" w:hAnsi="宋体"/>
          <w:szCs w:val="21"/>
        </w:rPr>
        <w:t>20世纪80年代至90年代中推行“现蕾打顶”。90年代中，推行“初</w:t>
      </w:r>
      <w:r>
        <w:rPr>
          <w:rFonts w:hint="eastAsia" w:ascii="宋体" w:hAnsi="宋体"/>
          <w:szCs w:val="21"/>
        </w:rPr>
        <w:t>花至中心花开打顶”，使留叶片数在</w:t>
      </w:r>
      <w:r>
        <w:rPr>
          <w:rFonts w:ascii="宋体" w:hAnsi="宋体"/>
          <w:szCs w:val="21"/>
        </w:rPr>
        <w:t>20片～24片之间，使每株烟的顶叶既能充分展</w:t>
      </w:r>
      <w:r>
        <w:rPr>
          <w:rFonts w:hint="eastAsia" w:ascii="宋体" w:hAnsi="宋体"/>
          <w:szCs w:val="21"/>
        </w:rPr>
        <w:t>开，又不致过厚、过长，下中上部叶片长宽相近，长相如桶形。此后，使用“除芽通”进行化学除芽，全面打掉下部</w:t>
      </w:r>
      <w:r>
        <w:rPr>
          <w:rFonts w:ascii="宋体" w:hAnsi="宋体"/>
          <w:szCs w:val="21"/>
        </w:rPr>
        <w:t>2片～3片脚叶，以改善下二棚烟叶的生长环境，</w:t>
      </w:r>
      <w:r>
        <w:rPr>
          <w:rFonts w:hint="eastAsia" w:ascii="宋体" w:hAnsi="宋体"/>
          <w:szCs w:val="21"/>
        </w:rPr>
        <w:t>提高其质量。</w:t>
      </w:r>
    </w:p>
    <w:p w14:paraId="285480C0">
      <w:pPr>
        <w:ind w:firstLine="420"/>
        <w:rPr>
          <w:rFonts w:ascii="宋体" w:hAnsi="宋体"/>
          <w:szCs w:val="21"/>
        </w:rPr>
      </w:pPr>
      <w:r>
        <w:rPr>
          <w:rFonts w:ascii="宋体" w:hAnsi="宋体"/>
          <w:szCs w:val="21"/>
        </w:rPr>
        <w:t>1988年起，推行品种良种化、种植区域化、技术规范化“三化”生产措施。1990年6月至1997年建立“三化”示范户3900多户，1840多公顷，“三化”示范片85个，12</w:t>
      </w:r>
      <w:r>
        <w:rPr>
          <w:rFonts w:hint="eastAsia" w:ascii="宋体" w:hAnsi="宋体"/>
          <w:szCs w:val="21"/>
        </w:rPr>
        <w:t>6</w:t>
      </w:r>
      <w:r>
        <w:rPr>
          <w:rFonts w:ascii="宋体" w:hAnsi="宋体"/>
          <w:szCs w:val="21"/>
        </w:rPr>
        <w:t>6.67多公顷。全国烤烟“三化”生产现场观摩会在南雄召开，一致认为</w:t>
      </w:r>
      <w:r>
        <w:rPr>
          <w:rFonts w:hint="eastAsia" w:ascii="宋体" w:hAnsi="宋体"/>
          <w:szCs w:val="21"/>
        </w:rPr>
        <w:t>南雄烤烟“三化”水平居全国前列。“三化”技术措施的推广应用，使南雄烟叶的单位面积产量和质量稳步提高。</w:t>
      </w:r>
      <w:r>
        <w:rPr>
          <w:rFonts w:ascii="宋体" w:hAnsi="宋体"/>
          <w:szCs w:val="21"/>
        </w:rPr>
        <w:t>2000年检测，南雄烟叶的物理特性和化学成分已与外</w:t>
      </w:r>
      <w:r>
        <w:rPr>
          <w:rFonts w:hint="eastAsia" w:ascii="宋体" w:hAnsi="宋体"/>
          <w:szCs w:val="21"/>
        </w:rPr>
        <w:t>国烟叶相近，详见表</w:t>
      </w:r>
      <w:r>
        <w:rPr>
          <w:rFonts w:ascii="宋体" w:hAnsi="宋体"/>
          <w:szCs w:val="21"/>
        </w:rPr>
        <w:t>2-14～2-15：</w:t>
      </w:r>
    </w:p>
    <w:p w14:paraId="55E2C481">
      <w:pPr>
        <w:ind w:firstLine="0" w:firstLineChars="0"/>
        <w:jc w:val="center"/>
        <w:rPr>
          <w:rFonts w:ascii="宋体" w:hAnsi="宋体"/>
          <w:b/>
          <w:szCs w:val="21"/>
        </w:rPr>
      </w:pPr>
      <w:r>
        <w:rPr>
          <w:rFonts w:ascii="宋体" w:hAnsi="宋体"/>
          <w:b/>
          <w:szCs w:val="21"/>
        </w:rPr>
        <w:t>2000年南雄烤烟物理特性与外国烟叶比较</w:t>
      </w:r>
    </w:p>
    <w:p w14:paraId="39444351">
      <w:pPr>
        <w:ind w:firstLine="0" w:firstLineChars="0"/>
        <w:rPr>
          <w:rFonts w:ascii="宋体" w:hAnsi="宋体"/>
          <w:b/>
          <w:szCs w:val="21"/>
        </w:rPr>
      </w:pPr>
      <w:r>
        <w:rPr>
          <w:rFonts w:hint="eastAsia" w:ascii="宋体" w:hAnsi="宋体"/>
          <w:b/>
          <w:szCs w:val="21"/>
        </w:rPr>
        <w:t>表</w:t>
      </w:r>
      <w:r>
        <w:rPr>
          <w:rFonts w:ascii="宋体" w:hAnsi="宋体"/>
          <w:b/>
          <w:szCs w:val="21"/>
        </w:rPr>
        <w:t>2-14</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61"/>
        <w:gridCol w:w="513"/>
        <w:gridCol w:w="513"/>
        <w:gridCol w:w="513"/>
        <w:gridCol w:w="513"/>
        <w:gridCol w:w="513"/>
        <w:gridCol w:w="513"/>
        <w:gridCol w:w="513"/>
        <w:gridCol w:w="513"/>
        <w:gridCol w:w="513"/>
        <w:gridCol w:w="454"/>
        <w:gridCol w:w="454"/>
        <w:gridCol w:w="454"/>
        <w:gridCol w:w="513"/>
        <w:gridCol w:w="513"/>
        <w:gridCol w:w="513"/>
        <w:gridCol w:w="455"/>
        <w:gridCol w:w="514"/>
        <w:gridCol w:w="514"/>
      </w:tblGrid>
      <w:tr w14:paraId="0B030E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4" w:hRule="atLeast"/>
        </w:trPr>
        <w:tc>
          <w:tcPr>
            <w:tcW w:w="284" w:type="pct"/>
            <w:vMerge w:val="restart"/>
            <w:vAlign w:val="center"/>
          </w:tcPr>
          <w:p w14:paraId="00EE0BF5">
            <w:pPr>
              <w:pStyle w:val="12"/>
              <w:rPr>
                <w:rFonts w:ascii="宋体" w:hAnsi="宋体"/>
                <w:w w:val="66"/>
              </w:rPr>
            </w:pPr>
            <w:r>
              <w:rPr>
                <w:rFonts w:hint="eastAsia" w:ascii="宋体" w:hAnsi="宋体"/>
                <w:w w:val="66"/>
              </w:rPr>
              <w:drawing>
                <wp:inline distT="0" distB="0" distL="0" distR="0">
                  <wp:extent cx="544830" cy="1045845"/>
                  <wp:effectExtent l="0" t="0" r="7620" b="1905"/>
                  <wp:docPr id="15"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82"/>
                          <pic:cNvPicPr>
                            <a:picLocks noChangeAspect="1" noChangeArrowheads="1"/>
                          </pic:cNvPicPr>
                        </pic:nvPicPr>
                        <pic:blipFill>
                          <a:blip r:embed="rId194" cstate="print"/>
                          <a:srcRect/>
                          <a:stretch>
                            <a:fillRect/>
                          </a:stretch>
                        </pic:blipFill>
                        <pic:spPr>
                          <a:xfrm>
                            <a:off x="0" y="0"/>
                            <a:ext cx="544830" cy="1046074"/>
                          </a:xfrm>
                          <a:prstGeom prst="rect">
                            <a:avLst/>
                          </a:prstGeom>
                          <a:noFill/>
                          <a:ln w="9525">
                            <a:noFill/>
                            <a:miter lim="800000"/>
                            <a:headEnd/>
                            <a:tailEnd/>
                          </a:ln>
                        </pic:spPr>
                      </pic:pic>
                    </a:graphicData>
                  </a:graphic>
                </wp:inline>
              </w:drawing>
            </w:r>
          </w:p>
        </w:tc>
        <w:tc>
          <w:tcPr>
            <w:tcW w:w="810" w:type="pct"/>
            <w:gridSpan w:val="3"/>
            <w:vAlign w:val="center"/>
          </w:tcPr>
          <w:p w14:paraId="4107A4A7">
            <w:pPr>
              <w:pStyle w:val="12"/>
              <w:jc w:val="center"/>
              <w:rPr>
                <w:rFonts w:ascii="宋体" w:hAnsi="宋体"/>
                <w:b/>
                <w:w w:val="66"/>
              </w:rPr>
            </w:pPr>
            <w:r>
              <w:rPr>
                <w:rFonts w:hint="eastAsia" w:ascii="宋体" w:hAnsi="宋体"/>
                <w:b/>
                <w:w w:val="66"/>
              </w:rPr>
              <w:t>厚度（毫米）</w:t>
            </w:r>
          </w:p>
        </w:tc>
        <w:tc>
          <w:tcPr>
            <w:tcW w:w="810" w:type="pct"/>
            <w:gridSpan w:val="3"/>
            <w:vAlign w:val="center"/>
          </w:tcPr>
          <w:p w14:paraId="474F799C">
            <w:pPr>
              <w:pStyle w:val="12"/>
              <w:jc w:val="center"/>
              <w:rPr>
                <w:rFonts w:ascii="宋体" w:hAnsi="宋体"/>
                <w:b/>
                <w:w w:val="66"/>
              </w:rPr>
            </w:pPr>
            <w:r>
              <w:rPr>
                <w:rFonts w:hint="eastAsia" w:ascii="宋体" w:hAnsi="宋体"/>
                <w:b/>
                <w:w w:val="66"/>
              </w:rPr>
              <w:t>叶面密度（克/平方米）</w:t>
            </w:r>
          </w:p>
        </w:tc>
        <w:tc>
          <w:tcPr>
            <w:tcW w:w="810" w:type="pct"/>
            <w:gridSpan w:val="3"/>
            <w:vAlign w:val="center"/>
          </w:tcPr>
          <w:p w14:paraId="403FF8EE">
            <w:pPr>
              <w:pStyle w:val="12"/>
              <w:jc w:val="center"/>
              <w:rPr>
                <w:rFonts w:ascii="宋体" w:hAnsi="宋体"/>
                <w:b/>
                <w:w w:val="66"/>
              </w:rPr>
            </w:pPr>
            <w:r>
              <w:rPr>
                <w:rFonts w:hint="eastAsia" w:ascii="宋体" w:hAnsi="宋体"/>
                <w:b/>
                <w:w w:val="66"/>
              </w:rPr>
              <w:t>平衡水分（%）</w:t>
            </w:r>
          </w:p>
        </w:tc>
        <w:tc>
          <w:tcPr>
            <w:tcW w:w="702" w:type="pct"/>
            <w:gridSpan w:val="3"/>
            <w:vAlign w:val="center"/>
          </w:tcPr>
          <w:p w14:paraId="3C83D433">
            <w:pPr>
              <w:pStyle w:val="12"/>
              <w:jc w:val="center"/>
              <w:rPr>
                <w:rFonts w:ascii="宋体" w:hAnsi="宋体"/>
                <w:b/>
                <w:w w:val="66"/>
              </w:rPr>
            </w:pPr>
            <w:r>
              <w:rPr>
                <w:rFonts w:hint="eastAsia" w:ascii="宋体" w:hAnsi="宋体"/>
                <w:b/>
                <w:w w:val="66"/>
              </w:rPr>
              <w:t>填充值（立方厘米/克）</w:t>
            </w:r>
          </w:p>
        </w:tc>
        <w:tc>
          <w:tcPr>
            <w:tcW w:w="810" w:type="pct"/>
            <w:gridSpan w:val="3"/>
            <w:vAlign w:val="center"/>
          </w:tcPr>
          <w:p w14:paraId="3E58590E">
            <w:pPr>
              <w:pStyle w:val="12"/>
              <w:jc w:val="center"/>
              <w:rPr>
                <w:rFonts w:ascii="宋体" w:hAnsi="宋体"/>
                <w:b/>
                <w:w w:val="66"/>
              </w:rPr>
            </w:pPr>
            <w:r>
              <w:rPr>
                <w:rFonts w:hint="eastAsia" w:ascii="宋体" w:hAnsi="宋体"/>
                <w:b/>
                <w:w w:val="66"/>
              </w:rPr>
              <w:t>含梗率（%）</w:t>
            </w:r>
          </w:p>
        </w:tc>
        <w:tc>
          <w:tcPr>
            <w:tcW w:w="774" w:type="pct"/>
            <w:gridSpan w:val="3"/>
            <w:vAlign w:val="center"/>
          </w:tcPr>
          <w:p w14:paraId="2FED3EB0">
            <w:pPr>
              <w:pStyle w:val="12"/>
              <w:jc w:val="center"/>
              <w:rPr>
                <w:rFonts w:ascii="宋体" w:hAnsi="宋体"/>
                <w:b/>
                <w:w w:val="66"/>
              </w:rPr>
            </w:pPr>
            <w:r>
              <w:rPr>
                <w:rFonts w:hint="eastAsia" w:ascii="宋体" w:hAnsi="宋体"/>
                <w:b/>
                <w:w w:val="66"/>
              </w:rPr>
              <w:t>单叶重（克）</w:t>
            </w:r>
          </w:p>
        </w:tc>
      </w:tr>
      <w:tr w14:paraId="44EEBB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0" w:hRule="atLeast"/>
        </w:trPr>
        <w:tc>
          <w:tcPr>
            <w:tcW w:w="284" w:type="pct"/>
            <w:vMerge w:val="continue"/>
            <w:vAlign w:val="center"/>
          </w:tcPr>
          <w:p w14:paraId="3A436D5A">
            <w:pPr>
              <w:pStyle w:val="12"/>
              <w:jc w:val="center"/>
              <w:rPr>
                <w:rFonts w:ascii="宋体" w:hAnsi="宋体"/>
                <w:w w:val="66"/>
              </w:rPr>
            </w:pPr>
          </w:p>
        </w:tc>
        <w:tc>
          <w:tcPr>
            <w:tcW w:w="270" w:type="pct"/>
            <w:vAlign w:val="center"/>
          </w:tcPr>
          <w:p w14:paraId="14DFDB5D">
            <w:pPr>
              <w:pStyle w:val="12"/>
              <w:jc w:val="center"/>
              <w:rPr>
                <w:rFonts w:ascii="宋体" w:hAnsi="宋体"/>
                <w:b/>
                <w:w w:val="66"/>
              </w:rPr>
            </w:pPr>
            <w:r>
              <w:rPr>
                <w:rFonts w:hint="eastAsia" w:ascii="宋体" w:hAnsi="宋体"/>
                <w:b/>
                <w:w w:val="66"/>
              </w:rPr>
              <w:t>下</w:t>
            </w:r>
          </w:p>
        </w:tc>
        <w:tc>
          <w:tcPr>
            <w:tcW w:w="270" w:type="pct"/>
            <w:vAlign w:val="center"/>
          </w:tcPr>
          <w:p w14:paraId="59750660">
            <w:pPr>
              <w:pStyle w:val="12"/>
              <w:jc w:val="center"/>
              <w:rPr>
                <w:rFonts w:ascii="宋体" w:hAnsi="宋体"/>
                <w:b/>
                <w:w w:val="66"/>
              </w:rPr>
            </w:pPr>
            <w:r>
              <w:rPr>
                <w:rFonts w:hint="eastAsia" w:ascii="宋体" w:hAnsi="宋体"/>
                <w:b/>
                <w:w w:val="66"/>
              </w:rPr>
              <w:t>中</w:t>
            </w:r>
          </w:p>
        </w:tc>
        <w:tc>
          <w:tcPr>
            <w:tcW w:w="270" w:type="pct"/>
            <w:vAlign w:val="center"/>
          </w:tcPr>
          <w:p w14:paraId="696DA9EA">
            <w:pPr>
              <w:pStyle w:val="12"/>
              <w:jc w:val="center"/>
              <w:rPr>
                <w:rFonts w:ascii="宋体" w:hAnsi="宋体"/>
                <w:b/>
                <w:w w:val="66"/>
              </w:rPr>
            </w:pPr>
            <w:r>
              <w:rPr>
                <w:rFonts w:hint="eastAsia" w:ascii="宋体" w:hAnsi="宋体"/>
                <w:b/>
                <w:w w:val="66"/>
              </w:rPr>
              <w:t>上</w:t>
            </w:r>
          </w:p>
        </w:tc>
        <w:tc>
          <w:tcPr>
            <w:tcW w:w="270" w:type="pct"/>
            <w:vAlign w:val="center"/>
          </w:tcPr>
          <w:p w14:paraId="3D40A6A5">
            <w:pPr>
              <w:pStyle w:val="12"/>
              <w:jc w:val="center"/>
              <w:rPr>
                <w:rFonts w:ascii="宋体" w:hAnsi="宋体"/>
                <w:b/>
                <w:w w:val="66"/>
              </w:rPr>
            </w:pPr>
            <w:r>
              <w:rPr>
                <w:rFonts w:hint="eastAsia" w:ascii="宋体" w:hAnsi="宋体"/>
                <w:b/>
                <w:w w:val="66"/>
              </w:rPr>
              <w:t>下</w:t>
            </w:r>
          </w:p>
        </w:tc>
        <w:tc>
          <w:tcPr>
            <w:tcW w:w="270" w:type="pct"/>
            <w:vAlign w:val="center"/>
          </w:tcPr>
          <w:p w14:paraId="2F2955B8">
            <w:pPr>
              <w:pStyle w:val="12"/>
              <w:jc w:val="center"/>
              <w:rPr>
                <w:rFonts w:ascii="宋体" w:hAnsi="宋体"/>
                <w:b/>
                <w:w w:val="66"/>
              </w:rPr>
            </w:pPr>
            <w:r>
              <w:rPr>
                <w:rFonts w:hint="eastAsia" w:ascii="宋体" w:hAnsi="宋体"/>
                <w:b/>
                <w:w w:val="66"/>
              </w:rPr>
              <w:t>中</w:t>
            </w:r>
          </w:p>
        </w:tc>
        <w:tc>
          <w:tcPr>
            <w:tcW w:w="270" w:type="pct"/>
            <w:vAlign w:val="center"/>
          </w:tcPr>
          <w:p w14:paraId="74326644">
            <w:pPr>
              <w:pStyle w:val="12"/>
              <w:jc w:val="center"/>
              <w:rPr>
                <w:rFonts w:ascii="宋体" w:hAnsi="宋体"/>
                <w:b/>
                <w:w w:val="66"/>
              </w:rPr>
            </w:pPr>
            <w:r>
              <w:rPr>
                <w:rFonts w:hint="eastAsia" w:ascii="宋体" w:hAnsi="宋体"/>
                <w:b/>
                <w:w w:val="66"/>
              </w:rPr>
              <w:t>上</w:t>
            </w:r>
          </w:p>
        </w:tc>
        <w:tc>
          <w:tcPr>
            <w:tcW w:w="270" w:type="pct"/>
            <w:vAlign w:val="center"/>
          </w:tcPr>
          <w:p w14:paraId="395E593F">
            <w:pPr>
              <w:pStyle w:val="12"/>
              <w:jc w:val="center"/>
              <w:rPr>
                <w:rFonts w:ascii="宋体" w:hAnsi="宋体"/>
                <w:b/>
                <w:w w:val="66"/>
              </w:rPr>
            </w:pPr>
            <w:r>
              <w:rPr>
                <w:rFonts w:hint="eastAsia" w:ascii="宋体" w:hAnsi="宋体"/>
                <w:b/>
                <w:w w:val="66"/>
              </w:rPr>
              <w:t>下</w:t>
            </w:r>
          </w:p>
        </w:tc>
        <w:tc>
          <w:tcPr>
            <w:tcW w:w="270" w:type="pct"/>
            <w:vAlign w:val="center"/>
          </w:tcPr>
          <w:p w14:paraId="5BAA70C8">
            <w:pPr>
              <w:pStyle w:val="12"/>
              <w:jc w:val="center"/>
              <w:rPr>
                <w:rFonts w:ascii="宋体" w:hAnsi="宋体"/>
                <w:b/>
                <w:w w:val="66"/>
              </w:rPr>
            </w:pPr>
            <w:r>
              <w:rPr>
                <w:rFonts w:hint="eastAsia" w:ascii="宋体" w:hAnsi="宋体"/>
                <w:b/>
                <w:w w:val="66"/>
              </w:rPr>
              <w:t>中</w:t>
            </w:r>
          </w:p>
        </w:tc>
        <w:tc>
          <w:tcPr>
            <w:tcW w:w="270" w:type="pct"/>
            <w:vAlign w:val="center"/>
          </w:tcPr>
          <w:p w14:paraId="7F72D0D5">
            <w:pPr>
              <w:pStyle w:val="12"/>
              <w:jc w:val="center"/>
              <w:rPr>
                <w:rFonts w:ascii="宋体" w:hAnsi="宋体"/>
                <w:b/>
                <w:w w:val="66"/>
              </w:rPr>
            </w:pPr>
            <w:r>
              <w:rPr>
                <w:rFonts w:hint="eastAsia" w:ascii="宋体" w:hAnsi="宋体"/>
                <w:b/>
                <w:w w:val="66"/>
              </w:rPr>
              <w:t>上</w:t>
            </w:r>
          </w:p>
        </w:tc>
        <w:tc>
          <w:tcPr>
            <w:tcW w:w="234" w:type="pct"/>
            <w:vAlign w:val="center"/>
          </w:tcPr>
          <w:p w14:paraId="645F2026">
            <w:pPr>
              <w:pStyle w:val="12"/>
              <w:jc w:val="center"/>
              <w:rPr>
                <w:rFonts w:ascii="宋体" w:hAnsi="宋体"/>
                <w:b/>
                <w:w w:val="66"/>
              </w:rPr>
            </w:pPr>
            <w:r>
              <w:rPr>
                <w:rFonts w:hint="eastAsia" w:ascii="宋体" w:hAnsi="宋体"/>
                <w:b/>
                <w:w w:val="66"/>
              </w:rPr>
              <w:t>下</w:t>
            </w:r>
          </w:p>
        </w:tc>
        <w:tc>
          <w:tcPr>
            <w:tcW w:w="234" w:type="pct"/>
            <w:vAlign w:val="center"/>
          </w:tcPr>
          <w:p w14:paraId="31AE44DF">
            <w:pPr>
              <w:pStyle w:val="12"/>
              <w:jc w:val="center"/>
              <w:rPr>
                <w:rFonts w:ascii="宋体" w:hAnsi="宋体"/>
                <w:b/>
                <w:w w:val="66"/>
              </w:rPr>
            </w:pPr>
            <w:r>
              <w:rPr>
                <w:rFonts w:hint="eastAsia" w:ascii="宋体" w:hAnsi="宋体"/>
                <w:b/>
                <w:w w:val="66"/>
              </w:rPr>
              <w:t>中</w:t>
            </w:r>
          </w:p>
        </w:tc>
        <w:tc>
          <w:tcPr>
            <w:tcW w:w="234" w:type="pct"/>
            <w:vAlign w:val="center"/>
          </w:tcPr>
          <w:p w14:paraId="09ED9EEE">
            <w:pPr>
              <w:pStyle w:val="12"/>
              <w:jc w:val="center"/>
              <w:rPr>
                <w:rFonts w:ascii="宋体" w:hAnsi="宋体"/>
                <w:b/>
                <w:w w:val="66"/>
              </w:rPr>
            </w:pPr>
            <w:r>
              <w:rPr>
                <w:rFonts w:hint="eastAsia" w:ascii="宋体" w:hAnsi="宋体"/>
                <w:b/>
                <w:w w:val="66"/>
              </w:rPr>
              <w:t>上</w:t>
            </w:r>
          </w:p>
        </w:tc>
        <w:tc>
          <w:tcPr>
            <w:tcW w:w="270" w:type="pct"/>
            <w:vAlign w:val="center"/>
          </w:tcPr>
          <w:p w14:paraId="425114DE">
            <w:pPr>
              <w:pStyle w:val="12"/>
              <w:jc w:val="center"/>
              <w:rPr>
                <w:rFonts w:ascii="宋体" w:hAnsi="宋体"/>
                <w:b/>
                <w:w w:val="66"/>
              </w:rPr>
            </w:pPr>
            <w:r>
              <w:rPr>
                <w:rFonts w:hint="eastAsia" w:ascii="宋体" w:hAnsi="宋体"/>
                <w:b/>
                <w:w w:val="66"/>
              </w:rPr>
              <w:t>下</w:t>
            </w:r>
          </w:p>
        </w:tc>
        <w:tc>
          <w:tcPr>
            <w:tcW w:w="270" w:type="pct"/>
            <w:vAlign w:val="center"/>
          </w:tcPr>
          <w:p w14:paraId="7EB4D249">
            <w:pPr>
              <w:pStyle w:val="12"/>
              <w:jc w:val="center"/>
              <w:rPr>
                <w:rFonts w:ascii="宋体" w:hAnsi="宋体"/>
                <w:b/>
                <w:w w:val="66"/>
              </w:rPr>
            </w:pPr>
            <w:r>
              <w:rPr>
                <w:rFonts w:hint="eastAsia" w:ascii="宋体" w:hAnsi="宋体"/>
                <w:b/>
                <w:w w:val="66"/>
              </w:rPr>
              <w:t>中</w:t>
            </w:r>
          </w:p>
        </w:tc>
        <w:tc>
          <w:tcPr>
            <w:tcW w:w="270" w:type="pct"/>
            <w:vAlign w:val="center"/>
          </w:tcPr>
          <w:p w14:paraId="23AFB3B8">
            <w:pPr>
              <w:pStyle w:val="12"/>
              <w:jc w:val="center"/>
              <w:rPr>
                <w:rFonts w:ascii="宋体" w:hAnsi="宋体"/>
                <w:b/>
                <w:w w:val="66"/>
              </w:rPr>
            </w:pPr>
            <w:r>
              <w:rPr>
                <w:rFonts w:hint="eastAsia" w:ascii="宋体" w:hAnsi="宋体"/>
                <w:b/>
                <w:w w:val="66"/>
              </w:rPr>
              <w:t>上</w:t>
            </w:r>
          </w:p>
        </w:tc>
        <w:tc>
          <w:tcPr>
            <w:tcW w:w="234" w:type="pct"/>
            <w:vAlign w:val="center"/>
          </w:tcPr>
          <w:p w14:paraId="1CA564AA">
            <w:pPr>
              <w:pStyle w:val="12"/>
              <w:jc w:val="center"/>
              <w:rPr>
                <w:rFonts w:ascii="宋体" w:hAnsi="宋体"/>
                <w:b/>
                <w:w w:val="66"/>
              </w:rPr>
            </w:pPr>
            <w:r>
              <w:rPr>
                <w:rFonts w:hint="eastAsia" w:ascii="宋体" w:hAnsi="宋体"/>
                <w:b/>
                <w:w w:val="66"/>
              </w:rPr>
              <w:t>下</w:t>
            </w:r>
          </w:p>
        </w:tc>
        <w:tc>
          <w:tcPr>
            <w:tcW w:w="270" w:type="pct"/>
            <w:vAlign w:val="center"/>
          </w:tcPr>
          <w:p w14:paraId="47501F9E">
            <w:pPr>
              <w:pStyle w:val="12"/>
              <w:jc w:val="center"/>
              <w:rPr>
                <w:rFonts w:ascii="宋体" w:hAnsi="宋体"/>
                <w:b/>
                <w:w w:val="66"/>
              </w:rPr>
            </w:pPr>
            <w:r>
              <w:rPr>
                <w:rFonts w:hint="eastAsia" w:ascii="宋体" w:hAnsi="宋体"/>
                <w:b/>
                <w:w w:val="66"/>
              </w:rPr>
              <w:t>中</w:t>
            </w:r>
          </w:p>
        </w:tc>
        <w:tc>
          <w:tcPr>
            <w:tcW w:w="270" w:type="pct"/>
            <w:vAlign w:val="center"/>
          </w:tcPr>
          <w:p w14:paraId="45AEFE03">
            <w:pPr>
              <w:pStyle w:val="12"/>
              <w:jc w:val="center"/>
              <w:rPr>
                <w:rFonts w:ascii="宋体" w:hAnsi="宋体"/>
                <w:b/>
                <w:w w:val="66"/>
              </w:rPr>
            </w:pPr>
            <w:r>
              <w:rPr>
                <w:rFonts w:hint="eastAsia" w:ascii="宋体" w:hAnsi="宋体"/>
                <w:b/>
                <w:w w:val="66"/>
              </w:rPr>
              <w:t>上</w:t>
            </w:r>
          </w:p>
        </w:tc>
      </w:tr>
      <w:tr w14:paraId="267FB5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 w:type="pct"/>
            <w:vAlign w:val="center"/>
          </w:tcPr>
          <w:p w14:paraId="61C64FC3">
            <w:pPr>
              <w:pStyle w:val="12"/>
              <w:jc w:val="center"/>
              <w:rPr>
                <w:rFonts w:ascii="宋体" w:hAnsi="宋体"/>
                <w:w w:val="66"/>
              </w:rPr>
            </w:pPr>
            <w:r>
              <w:rPr>
                <w:rFonts w:hint="eastAsia" w:ascii="宋体" w:hAnsi="宋体"/>
                <w:w w:val="66"/>
              </w:rPr>
              <w:t>津巴布韦</w:t>
            </w:r>
          </w:p>
        </w:tc>
        <w:tc>
          <w:tcPr>
            <w:tcW w:w="270" w:type="pct"/>
            <w:vAlign w:val="center"/>
          </w:tcPr>
          <w:p w14:paraId="0DBC0895">
            <w:pPr>
              <w:pStyle w:val="12"/>
              <w:jc w:val="center"/>
              <w:rPr>
                <w:rFonts w:ascii="宋体" w:hAnsi="宋体"/>
                <w:w w:val="66"/>
              </w:rPr>
            </w:pPr>
            <w:r>
              <w:rPr>
                <w:rFonts w:hint="eastAsia" w:ascii="宋体" w:hAnsi="宋体"/>
                <w:w w:val="66"/>
              </w:rPr>
              <w:t>0.115</w:t>
            </w:r>
          </w:p>
        </w:tc>
        <w:tc>
          <w:tcPr>
            <w:tcW w:w="270" w:type="pct"/>
            <w:vAlign w:val="center"/>
          </w:tcPr>
          <w:p w14:paraId="12E7C063">
            <w:pPr>
              <w:pStyle w:val="12"/>
              <w:jc w:val="center"/>
              <w:rPr>
                <w:rFonts w:ascii="宋体" w:hAnsi="宋体"/>
                <w:w w:val="66"/>
              </w:rPr>
            </w:pPr>
            <w:r>
              <w:rPr>
                <w:rFonts w:hint="eastAsia" w:ascii="宋体" w:hAnsi="宋体"/>
                <w:w w:val="66"/>
              </w:rPr>
              <w:t>0.130</w:t>
            </w:r>
          </w:p>
        </w:tc>
        <w:tc>
          <w:tcPr>
            <w:tcW w:w="270" w:type="pct"/>
            <w:vAlign w:val="center"/>
          </w:tcPr>
          <w:p w14:paraId="5EB60511">
            <w:pPr>
              <w:pStyle w:val="12"/>
              <w:jc w:val="center"/>
              <w:rPr>
                <w:rFonts w:ascii="宋体" w:hAnsi="宋体"/>
                <w:w w:val="66"/>
              </w:rPr>
            </w:pPr>
            <w:r>
              <w:rPr>
                <w:rFonts w:hint="eastAsia" w:ascii="宋体" w:hAnsi="宋体"/>
                <w:w w:val="66"/>
              </w:rPr>
              <w:t>0.141</w:t>
            </w:r>
          </w:p>
        </w:tc>
        <w:tc>
          <w:tcPr>
            <w:tcW w:w="270" w:type="pct"/>
            <w:vAlign w:val="center"/>
          </w:tcPr>
          <w:p w14:paraId="37B5FA17">
            <w:pPr>
              <w:pStyle w:val="12"/>
              <w:jc w:val="center"/>
              <w:rPr>
                <w:rFonts w:ascii="宋体" w:hAnsi="宋体"/>
                <w:w w:val="66"/>
              </w:rPr>
            </w:pPr>
            <w:r>
              <w:rPr>
                <w:rFonts w:hint="eastAsia" w:ascii="宋体" w:hAnsi="宋体"/>
                <w:w w:val="66"/>
              </w:rPr>
              <w:t>71.32</w:t>
            </w:r>
          </w:p>
        </w:tc>
        <w:tc>
          <w:tcPr>
            <w:tcW w:w="270" w:type="pct"/>
            <w:vAlign w:val="center"/>
          </w:tcPr>
          <w:p w14:paraId="711D8C82">
            <w:pPr>
              <w:pStyle w:val="12"/>
              <w:jc w:val="center"/>
              <w:rPr>
                <w:rFonts w:ascii="宋体" w:hAnsi="宋体"/>
                <w:w w:val="66"/>
              </w:rPr>
            </w:pPr>
            <w:r>
              <w:rPr>
                <w:rFonts w:hint="eastAsia" w:ascii="宋体" w:hAnsi="宋体"/>
                <w:w w:val="66"/>
              </w:rPr>
              <w:t>82.44</w:t>
            </w:r>
          </w:p>
        </w:tc>
        <w:tc>
          <w:tcPr>
            <w:tcW w:w="270" w:type="pct"/>
            <w:vAlign w:val="center"/>
          </w:tcPr>
          <w:p w14:paraId="6F574A9E">
            <w:pPr>
              <w:pStyle w:val="12"/>
              <w:jc w:val="center"/>
              <w:rPr>
                <w:rFonts w:ascii="宋体" w:hAnsi="宋体"/>
                <w:w w:val="66"/>
              </w:rPr>
            </w:pPr>
            <w:r>
              <w:rPr>
                <w:rFonts w:hint="eastAsia" w:ascii="宋体" w:hAnsi="宋体"/>
                <w:w w:val="66"/>
              </w:rPr>
              <w:t>99.18</w:t>
            </w:r>
          </w:p>
        </w:tc>
        <w:tc>
          <w:tcPr>
            <w:tcW w:w="270" w:type="pct"/>
            <w:vAlign w:val="center"/>
          </w:tcPr>
          <w:p w14:paraId="56311F91">
            <w:pPr>
              <w:pStyle w:val="12"/>
              <w:jc w:val="center"/>
              <w:rPr>
                <w:rFonts w:ascii="宋体" w:hAnsi="宋体"/>
                <w:w w:val="66"/>
              </w:rPr>
            </w:pPr>
            <w:r>
              <w:rPr>
                <w:rFonts w:hint="eastAsia" w:ascii="宋体" w:hAnsi="宋体"/>
                <w:w w:val="66"/>
              </w:rPr>
              <w:t>14.53</w:t>
            </w:r>
          </w:p>
        </w:tc>
        <w:tc>
          <w:tcPr>
            <w:tcW w:w="270" w:type="pct"/>
            <w:vAlign w:val="center"/>
          </w:tcPr>
          <w:p w14:paraId="555B7C23">
            <w:pPr>
              <w:pStyle w:val="12"/>
              <w:jc w:val="center"/>
              <w:rPr>
                <w:rFonts w:ascii="宋体" w:hAnsi="宋体"/>
                <w:w w:val="66"/>
              </w:rPr>
            </w:pPr>
            <w:r>
              <w:rPr>
                <w:rFonts w:hint="eastAsia" w:ascii="宋体" w:hAnsi="宋体"/>
                <w:w w:val="66"/>
              </w:rPr>
              <w:t>12.76</w:t>
            </w:r>
          </w:p>
        </w:tc>
        <w:tc>
          <w:tcPr>
            <w:tcW w:w="270" w:type="pct"/>
            <w:vAlign w:val="center"/>
          </w:tcPr>
          <w:p w14:paraId="6C5D0D72">
            <w:pPr>
              <w:pStyle w:val="12"/>
              <w:jc w:val="center"/>
              <w:rPr>
                <w:rFonts w:ascii="宋体" w:hAnsi="宋体"/>
                <w:w w:val="66"/>
              </w:rPr>
            </w:pPr>
            <w:r>
              <w:rPr>
                <w:rFonts w:hint="eastAsia" w:ascii="宋体" w:hAnsi="宋体"/>
                <w:w w:val="66"/>
              </w:rPr>
              <w:t>12.48</w:t>
            </w:r>
          </w:p>
        </w:tc>
        <w:tc>
          <w:tcPr>
            <w:tcW w:w="234" w:type="pct"/>
            <w:vAlign w:val="center"/>
          </w:tcPr>
          <w:p w14:paraId="2AE419A9">
            <w:pPr>
              <w:pStyle w:val="12"/>
              <w:jc w:val="center"/>
              <w:rPr>
                <w:rFonts w:ascii="宋体" w:hAnsi="宋体"/>
                <w:w w:val="66"/>
              </w:rPr>
            </w:pPr>
            <w:r>
              <w:rPr>
                <w:rFonts w:hint="eastAsia" w:ascii="宋体" w:hAnsi="宋体"/>
                <w:w w:val="66"/>
              </w:rPr>
              <w:t>3.99</w:t>
            </w:r>
          </w:p>
        </w:tc>
        <w:tc>
          <w:tcPr>
            <w:tcW w:w="234" w:type="pct"/>
            <w:vAlign w:val="center"/>
          </w:tcPr>
          <w:p w14:paraId="6A492043">
            <w:pPr>
              <w:pStyle w:val="12"/>
              <w:jc w:val="center"/>
              <w:rPr>
                <w:rFonts w:ascii="宋体" w:hAnsi="宋体"/>
                <w:w w:val="66"/>
              </w:rPr>
            </w:pPr>
            <w:r>
              <w:rPr>
                <w:rFonts w:hint="eastAsia" w:ascii="宋体" w:hAnsi="宋体"/>
                <w:w w:val="66"/>
              </w:rPr>
              <w:t>3.81</w:t>
            </w:r>
          </w:p>
        </w:tc>
        <w:tc>
          <w:tcPr>
            <w:tcW w:w="234" w:type="pct"/>
            <w:vAlign w:val="center"/>
          </w:tcPr>
          <w:p w14:paraId="36925F14">
            <w:pPr>
              <w:pStyle w:val="12"/>
              <w:jc w:val="center"/>
              <w:rPr>
                <w:rFonts w:ascii="宋体" w:hAnsi="宋体"/>
                <w:w w:val="66"/>
              </w:rPr>
            </w:pPr>
            <w:r>
              <w:rPr>
                <w:rFonts w:hint="eastAsia" w:ascii="宋体" w:hAnsi="宋体"/>
                <w:w w:val="66"/>
              </w:rPr>
              <w:t>3.78</w:t>
            </w:r>
          </w:p>
        </w:tc>
        <w:tc>
          <w:tcPr>
            <w:tcW w:w="270" w:type="pct"/>
            <w:vAlign w:val="center"/>
          </w:tcPr>
          <w:p w14:paraId="2540BA97">
            <w:pPr>
              <w:pStyle w:val="12"/>
              <w:jc w:val="center"/>
              <w:rPr>
                <w:rFonts w:ascii="宋体" w:hAnsi="宋体"/>
                <w:w w:val="66"/>
              </w:rPr>
            </w:pPr>
            <w:r>
              <w:rPr>
                <w:rFonts w:hint="eastAsia" w:ascii="宋体" w:hAnsi="宋体"/>
                <w:w w:val="66"/>
              </w:rPr>
              <w:t>29.7</w:t>
            </w:r>
          </w:p>
        </w:tc>
        <w:tc>
          <w:tcPr>
            <w:tcW w:w="270" w:type="pct"/>
            <w:vAlign w:val="center"/>
          </w:tcPr>
          <w:p w14:paraId="0E465DE5">
            <w:pPr>
              <w:pStyle w:val="12"/>
              <w:jc w:val="center"/>
              <w:rPr>
                <w:rFonts w:ascii="宋体" w:hAnsi="宋体"/>
                <w:w w:val="66"/>
              </w:rPr>
            </w:pPr>
            <w:r>
              <w:rPr>
                <w:rFonts w:hint="eastAsia" w:ascii="宋体" w:hAnsi="宋体"/>
                <w:w w:val="66"/>
              </w:rPr>
              <w:t>28.5</w:t>
            </w:r>
          </w:p>
        </w:tc>
        <w:tc>
          <w:tcPr>
            <w:tcW w:w="270" w:type="pct"/>
            <w:vAlign w:val="center"/>
          </w:tcPr>
          <w:p w14:paraId="6428008F">
            <w:pPr>
              <w:pStyle w:val="12"/>
              <w:jc w:val="center"/>
              <w:rPr>
                <w:rFonts w:ascii="宋体" w:hAnsi="宋体"/>
                <w:w w:val="66"/>
              </w:rPr>
            </w:pPr>
            <w:r>
              <w:rPr>
                <w:rFonts w:hint="eastAsia" w:ascii="宋体" w:hAnsi="宋体"/>
                <w:w w:val="66"/>
              </w:rPr>
              <w:t>24.5</w:t>
            </w:r>
          </w:p>
        </w:tc>
        <w:tc>
          <w:tcPr>
            <w:tcW w:w="234" w:type="pct"/>
            <w:vAlign w:val="center"/>
          </w:tcPr>
          <w:p w14:paraId="3DB1F4DA">
            <w:pPr>
              <w:pStyle w:val="12"/>
              <w:jc w:val="center"/>
              <w:rPr>
                <w:rFonts w:ascii="宋体" w:hAnsi="宋体"/>
                <w:w w:val="66"/>
              </w:rPr>
            </w:pPr>
            <w:r>
              <w:rPr>
                <w:rFonts w:hint="eastAsia" w:ascii="宋体" w:hAnsi="宋体"/>
                <w:w w:val="66"/>
              </w:rPr>
              <w:t>13.1</w:t>
            </w:r>
          </w:p>
        </w:tc>
        <w:tc>
          <w:tcPr>
            <w:tcW w:w="270" w:type="pct"/>
            <w:vAlign w:val="center"/>
          </w:tcPr>
          <w:p w14:paraId="52607D66">
            <w:pPr>
              <w:pStyle w:val="12"/>
              <w:jc w:val="center"/>
              <w:rPr>
                <w:rFonts w:ascii="宋体" w:hAnsi="宋体"/>
                <w:w w:val="66"/>
              </w:rPr>
            </w:pPr>
            <w:r>
              <w:rPr>
                <w:rFonts w:hint="eastAsia" w:ascii="宋体" w:hAnsi="宋体"/>
                <w:w w:val="66"/>
              </w:rPr>
              <w:t>14.5</w:t>
            </w:r>
          </w:p>
        </w:tc>
        <w:tc>
          <w:tcPr>
            <w:tcW w:w="270" w:type="pct"/>
            <w:vAlign w:val="center"/>
          </w:tcPr>
          <w:p w14:paraId="37CCC2D2">
            <w:pPr>
              <w:pStyle w:val="12"/>
              <w:jc w:val="center"/>
              <w:rPr>
                <w:rFonts w:ascii="宋体" w:hAnsi="宋体"/>
                <w:w w:val="66"/>
              </w:rPr>
            </w:pPr>
            <w:r>
              <w:rPr>
                <w:rFonts w:hint="eastAsia" w:ascii="宋体" w:hAnsi="宋体"/>
                <w:w w:val="66"/>
              </w:rPr>
              <w:t>17.8</w:t>
            </w:r>
          </w:p>
        </w:tc>
      </w:tr>
      <w:tr w14:paraId="739C32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 w:type="pct"/>
            <w:vAlign w:val="center"/>
          </w:tcPr>
          <w:p w14:paraId="43ECAAB6">
            <w:pPr>
              <w:pStyle w:val="12"/>
              <w:jc w:val="center"/>
              <w:rPr>
                <w:rFonts w:ascii="宋体" w:hAnsi="宋体"/>
                <w:w w:val="66"/>
              </w:rPr>
            </w:pPr>
            <w:r>
              <w:rPr>
                <w:rFonts w:hint="eastAsia" w:ascii="宋体" w:hAnsi="宋体"/>
                <w:w w:val="66"/>
              </w:rPr>
              <w:t>巴西</w:t>
            </w:r>
          </w:p>
        </w:tc>
        <w:tc>
          <w:tcPr>
            <w:tcW w:w="270" w:type="pct"/>
            <w:vAlign w:val="center"/>
          </w:tcPr>
          <w:p w14:paraId="7260E653">
            <w:pPr>
              <w:pStyle w:val="12"/>
              <w:jc w:val="center"/>
              <w:rPr>
                <w:rFonts w:ascii="宋体" w:hAnsi="宋体"/>
                <w:w w:val="66"/>
              </w:rPr>
            </w:pPr>
            <w:r>
              <w:rPr>
                <w:rFonts w:hint="eastAsia" w:ascii="宋体" w:hAnsi="宋体"/>
                <w:w w:val="66"/>
              </w:rPr>
              <w:t>0.100</w:t>
            </w:r>
          </w:p>
        </w:tc>
        <w:tc>
          <w:tcPr>
            <w:tcW w:w="270" w:type="pct"/>
            <w:vAlign w:val="center"/>
          </w:tcPr>
          <w:p w14:paraId="3FD6A297">
            <w:pPr>
              <w:pStyle w:val="12"/>
              <w:jc w:val="center"/>
              <w:rPr>
                <w:rFonts w:ascii="宋体" w:hAnsi="宋体"/>
                <w:w w:val="66"/>
              </w:rPr>
            </w:pPr>
            <w:r>
              <w:rPr>
                <w:rFonts w:hint="eastAsia" w:ascii="宋体" w:hAnsi="宋体"/>
                <w:w w:val="66"/>
              </w:rPr>
              <w:t>0.104</w:t>
            </w:r>
          </w:p>
        </w:tc>
        <w:tc>
          <w:tcPr>
            <w:tcW w:w="270" w:type="pct"/>
            <w:vAlign w:val="center"/>
          </w:tcPr>
          <w:p w14:paraId="321ACAD1">
            <w:pPr>
              <w:pStyle w:val="12"/>
              <w:jc w:val="center"/>
              <w:rPr>
                <w:rFonts w:ascii="宋体" w:hAnsi="宋体"/>
                <w:w w:val="66"/>
              </w:rPr>
            </w:pPr>
            <w:r>
              <w:rPr>
                <w:rFonts w:hint="eastAsia" w:ascii="宋体" w:hAnsi="宋体"/>
                <w:w w:val="66"/>
              </w:rPr>
              <w:t>0.146</w:t>
            </w:r>
          </w:p>
        </w:tc>
        <w:tc>
          <w:tcPr>
            <w:tcW w:w="270" w:type="pct"/>
            <w:vAlign w:val="center"/>
          </w:tcPr>
          <w:p w14:paraId="68282B08">
            <w:pPr>
              <w:pStyle w:val="12"/>
              <w:jc w:val="center"/>
              <w:rPr>
                <w:rFonts w:ascii="宋体" w:hAnsi="宋体"/>
                <w:w w:val="66"/>
              </w:rPr>
            </w:pPr>
            <w:r>
              <w:rPr>
                <w:rFonts w:hint="eastAsia" w:ascii="宋体" w:hAnsi="宋体"/>
                <w:w w:val="66"/>
              </w:rPr>
              <w:t>66.60</w:t>
            </w:r>
          </w:p>
        </w:tc>
        <w:tc>
          <w:tcPr>
            <w:tcW w:w="270" w:type="pct"/>
            <w:vAlign w:val="center"/>
          </w:tcPr>
          <w:p w14:paraId="78418DE2">
            <w:pPr>
              <w:pStyle w:val="12"/>
              <w:jc w:val="center"/>
              <w:rPr>
                <w:rFonts w:ascii="宋体" w:hAnsi="宋体"/>
                <w:w w:val="66"/>
              </w:rPr>
            </w:pPr>
            <w:r>
              <w:rPr>
                <w:rFonts w:hint="eastAsia" w:ascii="宋体" w:hAnsi="宋体"/>
                <w:w w:val="66"/>
              </w:rPr>
              <w:t>79.10</w:t>
            </w:r>
          </w:p>
        </w:tc>
        <w:tc>
          <w:tcPr>
            <w:tcW w:w="270" w:type="pct"/>
            <w:vAlign w:val="center"/>
          </w:tcPr>
          <w:p w14:paraId="2EC792CB">
            <w:pPr>
              <w:pStyle w:val="12"/>
              <w:jc w:val="center"/>
              <w:rPr>
                <w:rFonts w:ascii="宋体" w:hAnsi="宋体"/>
                <w:w w:val="66"/>
              </w:rPr>
            </w:pPr>
            <w:r>
              <w:rPr>
                <w:rFonts w:hint="eastAsia" w:ascii="宋体" w:hAnsi="宋体"/>
                <w:w w:val="66"/>
              </w:rPr>
              <w:t>90.23</w:t>
            </w:r>
          </w:p>
        </w:tc>
        <w:tc>
          <w:tcPr>
            <w:tcW w:w="270" w:type="pct"/>
            <w:vAlign w:val="center"/>
          </w:tcPr>
          <w:p w14:paraId="13C7C92A">
            <w:pPr>
              <w:pStyle w:val="12"/>
              <w:jc w:val="center"/>
              <w:rPr>
                <w:rFonts w:ascii="宋体" w:hAnsi="宋体"/>
                <w:w w:val="66"/>
              </w:rPr>
            </w:pPr>
            <w:r>
              <w:rPr>
                <w:rFonts w:hint="eastAsia" w:ascii="宋体" w:hAnsi="宋体"/>
                <w:w w:val="66"/>
              </w:rPr>
              <w:t>12.30</w:t>
            </w:r>
          </w:p>
        </w:tc>
        <w:tc>
          <w:tcPr>
            <w:tcW w:w="270" w:type="pct"/>
            <w:vAlign w:val="center"/>
          </w:tcPr>
          <w:p w14:paraId="1B5CE9EA">
            <w:pPr>
              <w:pStyle w:val="12"/>
              <w:jc w:val="center"/>
              <w:rPr>
                <w:rFonts w:ascii="宋体" w:hAnsi="宋体"/>
                <w:w w:val="66"/>
              </w:rPr>
            </w:pPr>
            <w:r>
              <w:rPr>
                <w:rFonts w:hint="eastAsia" w:ascii="宋体" w:hAnsi="宋体"/>
                <w:w w:val="66"/>
              </w:rPr>
              <w:t>12.43</w:t>
            </w:r>
          </w:p>
        </w:tc>
        <w:tc>
          <w:tcPr>
            <w:tcW w:w="270" w:type="pct"/>
            <w:vAlign w:val="center"/>
          </w:tcPr>
          <w:p w14:paraId="706AA931">
            <w:pPr>
              <w:pStyle w:val="12"/>
              <w:jc w:val="center"/>
              <w:rPr>
                <w:rFonts w:ascii="宋体" w:hAnsi="宋体"/>
                <w:w w:val="66"/>
              </w:rPr>
            </w:pPr>
            <w:r>
              <w:rPr>
                <w:rFonts w:hint="eastAsia" w:ascii="宋体" w:hAnsi="宋体"/>
                <w:w w:val="66"/>
              </w:rPr>
              <w:t>12.10</w:t>
            </w:r>
          </w:p>
        </w:tc>
        <w:tc>
          <w:tcPr>
            <w:tcW w:w="234" w:type="pct"/>
            <w:vAlign w:val="center"/>
          </w:tcPr>
          <w:p w14:paraId="1E13EA51">
            <w:pPr>
              <w:pStyle w:val="12"/>
              <w:jc w:val="center"/>
              <w:rPr>
                <w:rFonts w:ascii="宋体" w:hAnsi="宋体"/>
                <w:w w:val="66"/>
              </w:rPr>
            </w:pPr>
            <w:r>
              <w:rPr>
                <w:rFonts w:hint="eastAsia" w:ascii="宋体" w:hAnsi="宋体"/>
                <w:w w:val="66"/>
              </w:rPr>
              <w:t>4.34</w:t>
            </w:r>
          </w:p>
        </w:tc>
        <w:tc>
          <w:tcPr>
            <w:tcW w:w="234" w:type="pct"/>
            <w:vAlign w:val="center"/>
          </w:tcPr>
          <w:p w14:paraId="3D4C55DE">
            <w:pPr>
              <w:pStyle w:val="12"/>
              <w:jc w:val="center"/>
              <w:rPr>
                <w:rFonts w:ascii="宋体" w:hAnsi="宋体"/>
                <w:w w:val="66"/>
              </w:rPr>
            </w:pPr>
            <w:r>
              <w:rPr>
                <w:rFonts w:hint="eastAsia" w:ascii="宋体" w:hAnsi="宋体"/>
                <w:w w:val="66"/>
              </w:rPr>
              <w:t>3.62</w:t>
            </w:r>
          </w:p>
        </w:tc>
        <w:tc>
          <w:tcPr>
            <w:tcW w:w="234" w:type="pct"/>
            <w:vAlign w:val="center"/>
          </w:tcPr>
          <w:p w14:paraId="2A6DA88C">
            <w:pPr>
              <w:pStyle w:val="12"/>
              <w:jc w:val="center"/>
              <w:rPr>
                <w:rFonts w:ascii="宋体" w:hAnsi="宋体"/>
                <w:w w:val="66"/>
              </w:rPr>
            </w:pPr>
            <w:r>
              <w:rPr>
                <w:rFonts w:hint="eastAsia" w:ascii="宋体" w:hAnsi="宋体"/>
                <w:w w:val="66"/>
              </w:rPr>
              <w:t>4.31</w:t>
            </w:r>
          </w:p>
        </w:tc>
        <w:tc>
          <w:tcPr>
            <w:tcW w:w="270" w:type="pct"/>
            <w:vAlign w:val="center"/>
          </w:tcPr>
          <w:p w14:paraId="1435DB76">
            <w:pPr>
              <w:pStyle w:val="12"/>
              <w:jc w:val="center"/>
              <w:rPr>
                <w:rFonts w:ascii="宋体" w:hAnsi="宋体"/>
                <w:w w:val="66"/>
              </w:rPr>
            </w:pPr>
            <w:r>
              <w:rPr>
                <w:rFonts w:hint="eastAsia" w:ascii="宋体" w:hAnsi="宋体"/>
                <w:w w:val="66"/>
              </w:rPr>
              <w:t>30.75</w:t>
            </w:r>
          </w:p>
        </w:tc>
        <w:tc>
          <w:tcPr>
            <w:tcW w:w="270" w:type="pct"/>
            <w:vAlign w:val="center"/>
          </w:tcPr>
          <w:p w14:paraId="7299291B">
            <w:pPr>
              <w:pStyle w:val="12"/>
              <w:jc w:val="center"/>
              <w:rPr>
                <w:rFonts w:ascii="宋体" w:hAnsi="宋体"/>
                <w:w w:val="66"/>
              </w:rPr>
            </w:pPr>
            <w:r>
              <w:rPr>
                <w:rFonts w:hint="eastAsia" w:ascii="宋体" w:hAnsi="宋体"/>
                <w:w w:val="66"/>
              </w:rPr>
              <w:t>27.6</w:t>
            </w:r>
          </w:p>
        </w:tc>
        <w:tc>
          <w:tcPr>
            <w:tcW w:w="270" w:type="pct"/>
            <w:vAlign w:val="center"/>
          </w:tcPr>
          <w:p w14:paraId="4F277ACE">
            <w:pPr>
              <w:pStyle w:val="12"/>
              <w:jc w:val="center"/>
              <w:rPr>
                <w:rFonts w:ascii="宋体" w:hAnsi="宋体"/>
                <w:w w:val="66"/>
              </w:rPr>
            </w:pPr>
            <w:r>
              <w:rPr>
                <w:rFonts w:hint="eastAsia" w:ascii="宋体" w:hAnsi="宋体"/>
                <w:w w:val="66"/>
              </w:rPr>
              <w:t>26.25</w:t>
            </w:r>
          </w:p>
        </w:tc>
        <w:tc>
          <w:tcPr>
            <w:tcW w:w="234" w:type="pct"/>
            <w:vAlign w:val="center"/>
          </w:tcPr>
          <w:p w14:paraId="50D15DC7">
            <w:pPr>
              <w:pStyle w:val="12"/>
              <w:jc w:val="center"/>
              <w:rPr>
                <w:rFonts w:ascii="宋体" w:hAnsi="宋体"/>
                <w:w w:val="66"/>
              </w:rPr>
            </w:pPr>
            <w:r>
              <w:rPr>
                <w:rFonts w:hint="eastAsia" w:ascii="宋体" w:hAnsi="宋体"/>
                <w:w w:val="66"/>
              </w:rPr>
              <w:t>7.4</w:t>
            </w:r>
          </w:p>
        </w:tc>
        <w:tc>
          <w:tcPr>
            <w:tcW w:w="270" w:type="pct"/>
            <w:vAlign w:val="center"/>
          </w:tcPr>
          <w:p w14:paraId="396CC729">
            <w:pPr>
              <w:pStyle w:val="12"/>
              <w:jc w:val="center"/>
              <w:rPr>
                <w:rFonts w:ascii="宋体" w:hAnsi="宋体"/>
                <w:w w:val="66"/>
              </w:rPr>
            </w:pPr>
            <w:r>
              <w:rPr>
                <w:rFonts w:hint="eastAsia" w:ascii="宋体" w:hAnsi="宋体"/>
                <w:w w:val="66"/>
              </w:rPr>
              <w:t>9.3</w:t>
            </w:r>
          </w:p>
        </w:tc>
        <w:tc>
          <w:tcPr>
            <w:tcW w:w="270" w:type="pct"/>
            <w:vAlign w:val="center"/>
          </w:tcPr>
          <w:p w14:paraId="66D0FB9C">
            <w:pPr>
              <w:pStyle w:val="12"/>
              <w:jc w:val="center"/>
              <w:rPr>
                <w:rFonts w:ascii="宋体" w:hAnsi="宋体"/>
                <w:w w:val="66"/>
              </w:rPr>
            </w:pPr>
            <w:r>
              <w:rPr>
                <w:rFonts w:hint="eastAsia" w:ascii="宋体" w:hAnsi="宋体"/>
                <w:w w:val="66"/>
              </w:rPr>
              <w:t>11.2</w:t>
            </w:r>
          </w:p>
        </w:tc>
      </w:tr>
      <w:tr w14:paraId="5E842E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 w:type="pct"/>
            <w:vAlign w:val="center"/>
          </w:tcPr>
          <w:p w14:paraId="2EC04523">
            <w:pPr>
              <w:pStyle w:val="12"/>
              <w:jc w:val="center"/>
              <w:rPr>
                <w:rFonts w:ascii="宋体" w:hAnsi="宋体"/>
                <w:w w:val="66"/>
              </w:rPr>
            </w:pPr>
            <w:r>
              <w:rPr>
                <w:rFonts w:hint="eastAsia" w:ascii="宋体" w:hAnsi="宋体"/>
                <w:w w:val="66"/>
              </w:rPr>
              <w:t>南雄</w:t>
            </w:r>
          </w:p>
        </w:tc>
        <w:tc>
          <w:tcPr>
            <w:tcW w:w="270" w:type="pct"/>
            <w:vAlign w:val="center"/>
          </w:tcPr>
          <w:p w14:paraId="3DB457CD">
            <w:pPr>
              <w:pStyle w:val="12"/>
              <w:jc w:val="center"/>
              <w:rPr>
                <w:rFonts w:ascii="宋体" w:hAnsi="宋体"/>
                <w:w w:val="66"/>
              </w:rPr>
            </w:pPr>
            <w:r>
              <w:rPr>
                <w:rFonts w:hint="eastAsia" w:ascii="宋体" w:hAnsi="宋体"/>
                <w:w w:val="66"/>
              </w:rPr>
              <w:t>0.105</w:t>
            </w:r>
          </w:p>
        </w:tc>
        <w:tc>
          <w:tcPr>
            <w:tcW w:w="270" w:type="pct"/>
            <w:vAlign w:val="center"/>
          </w:tcPr>
          <w:p w14:paraId="0368F5A2">
            <w:pPr>
              <w:pStyle w:val="12"/>
              <w:jc w:val="center"/>
              <w:rPr>
                <w:rFonts w:ascii="宋体" w:hAnsi="宋体"/>
                <w:w w:val="66"/>
              </w:rPr>
            </w:pPr>
            <w:r>
              <w:rPr>
                <w:rFonts w:hint="eastAsia" w:ascii="宋体" w:hAnsi="宋体"/>
                <w:w w:val="66"/>
              </w:rPr>
              <w:t>0.116</w:t>
            </w:r>
          </w:p>
        </w:tc>
        <w:tc>
          <w:tcPr>
            <w:tcW w:w="270" w:type="pct"/>
            <w:vAlign w:val="center"/>
          </w:tcPr>
          <w:p w14:paraId="2CBF2DEF">
            <w:pPr>
              <w:pStyle w:val="12"/>
              <w:jc w:val="center"/>
              <w:rPr>
                <w:rFonts w:ascii="宋体" w:hAnsi="宋体"/>
                <w:w w:val="66"/>
              </w:rPr>
            </w:pPr>
            <w:r>
              <w:rPr>
                <w:rFonts w:hint="eastAsia" w:ascii="宋体" w:hAnsi="宋体"/>
                <w:w w:val="66"/>
              </w:rPr>
              <w:t>0.140</w:t>
            </w:r>
          </w:p>
        </w:tc>
        <w:tc>
          <w:tcPr>
            <w:tcW w:w="270" w:type="pct"/>
            <w:vAlign w:val="center"/>
          </w:tcPr>
          <w:p w14:paraId="34E9BDA0">
            <w:pPr>
              <w:pStyle w:val="12"/>
              <w:jc w:val="center"/>
              <w:rPr>
                <w:rFonts w:ascii="宋体" w:hAnsi="宋体"/>
                <w:w w:val="66"/>
              </w:rPr>
            </w:pPr>
            <w:r>
              <w:rPr>
                <w:rFonts w:hint="eastAsia" w:ascii="宋体" w:hAnsi="宋体"/>
                <w:w w:val="66"/>
              </w:rPr>
              <w:t>55.94</w:t>
            </w:r>
          </w:p>
        </w:tc>
        <w:tc>
          <w:tcPr>
            <w:tcW w:w="270" w:type="pct"/>
            <w:vAlign w:val="center"/>
          </w:tcPr>
          <w:p w14:paraId="2A77FDED">
            <w:pPr>
              <w:pStyle w:val="12"/>
              <w:jc w:val="center"/>
              <w:rPr>
                <w:rFonts w:ascii="宋体" w:hAnsi="宋体"/>
                <w:w w:val="66"/>
              </w:rPr>
            </w:pPr>
            <w:r>
              <w:rPr>
                <w:rFonts w:hint="eastAsia" w:ascii="宋体" w:hAnsi="宋体"/>
                <w:w w:val="66"/>
              </w:rPr>
              <w:t>69.90</w:t>
            </w:r>
          </w:p>
        </w:tc>
        <w:tc>
          <w:tcPr>
            <w:tcW w:w="270" w:type="pct"/>
            <w:vAlign w:val="center"/>
          </w:tcPr>
          <w:p w14:paraId="35B69B13">
            <w:pPr>
              <w:pStyle w:val="12"/>
              <w:jc w:val="center"/>
              <w:rPr>
                <w:rFonts w:ascii="宋体" w:hAnsi="宋体"/>
                <w:w w:val="66"/>
              </w:rPr>
            </w:pPr>
            <w:r>
              <w:rPr>
                <w:rFonts w:hint="eastAsia" w:ascii="宋体" w:hAnsi="宋体"/>
                <w:w w:val="66"/>
              </w:rPr>
              <w:t>85.52</w:t>
            </w:r>
          </w:p>
        </w:tc>
        <w:tc>
          <w:tcPr>
            <w:tcW w:w="270" w:type="pct"/>
            <w:vAlign w:val="center"/>
          </w:tcPr>
          <w:p w14:paraId="575E9BC0">
            <w:pPr>
              <w:pStyle w:val="12"/>
              <w:jc w:val="center"/>
              <w:rPr>
                <w:rFonts w:ascii="宋体" w:hAnsi="宋体"/>
                <w:w w:val="66"/>
              </w:rPr>
            </w:pPr>
            <w:r>
              <w:rPr>
                <w:rFonts w:hint="eastAsia" w:ascii="宋体" w:hAnsi="宋体"/>
                <w:w w:val="66"/>
              </w:rPr>
              <w:t>12.01</w:t>
            </w:r>
          </w:p>
        </w:tc>
        <w:tc>
          <w:tcPr>
            <w:tcW w:w="270" w:type="pct"/>
            <w:vAlign w:val="center"/>
          </w:tcPr>
          <w:p w14:paraId="63C2210F">
            <w:pPr>
              <w:pStyle w:val="12"/>
              <w:jc w:val="center"/>
              <w:rPr>
                <w:rFonts w:ascii="宋体" w:hAnsi="宋体"/>
                <w:w w:val="66"/>
              </w:rPr>
            </w:pPr>
            <w:r>
              <w:rPr>
                <w:rFonts w:hint="eastAsia" w:ascii="宋体" w:hAnsi="宋体"/>
                <w:w w:val="66"/>
              </w:rPr>
              <w:t>11.88</w:t>
            </w:r>
          </w:p>
        </w:tc>
        <w:tc>
          <w:tcPr>
            <w:tcW w:w="270" w:type="pct"/>
            <w:vAlign w:val="center"/>
          </w:tcPr>
          <w:p w14:paraId="73A6C929">
            <w:pPr>
              <w:pStyle w:val="12"/>
              <w:jc w:val="center"/>
              <w:rPr>
                <w:rFonts w:ascii="宋体" w:hAnsi="宋体"/>
                <w:w w:val="66"/>
              </w:rPr>
            </w:pPr>
            <w:r>
              <w:rPr>
                <w:rFonts w:hint="eastAsia" w:ascii="宋体" w:hAnsi="宋体"/>
                <w:w w:val="66"/>
              </w:rPr>
              <w:t>11.63</w:t>
            </w:r>
          </w:p>
        </w:tc>
        <w:tc>
          <w:tcPr>
            <w:tcW w:w="234" w:type="pct"/>
            <w:vAlign w:val="center"/>
          </w:tcPr>
          <w:p w14:paraId="14C8367F">
            <w:pPr>
              <w:pStyle w:val="12"/>
              <w:jc w:val="center"/>
              <w:rPr>
                <w:rFonts w:ascii="宋体" w:hAnsi="宋体"/>
                <w:w w:val="66"/>
              </w:rPr>
            </w:pPr>
            <w:r>
              <w:rPr>
                <w:rFonts w:hint="eastAsia" w:ascii="宋体" w:hAnsi="宋体"/>
                <w:w w:val="66"/>
              </w:rPr>
              <w:t>4.34</w:t>
            </w:r>
          </w:p>
        </w:tc>
        <w:tc>
          <w:tcPr>
            <w:tcW w:w="234" w:type="pct"/>
            <w:vAlign w:val="center"/>
          </w:tcPr>
          <w:p w14:paraId="10867F6E">
            <w:pPr>
              <w:pStyle w:val="12"/>
              <w:jc w:val="center"/>
              <w:rPr>
                <w:rFonts w:ascii="宋体" w:hAnsi="宋体"/>
                <w:w w:val="66"/>
              </w:rPr>
            </w:pPr>
            <w:r>
              <w:rPr>
                <w:rFonts w:hint="eastAsia" w:ascii="宋体" w:hAnsi="宋体"/>
                <w:w w:val="66"/>
              </w:rPr>
              <w:t>4.54</w:t>
            </w:r>
          </w:p>
        </w:tc>
        <w:tc>
          <w:tcPr>
            <w:tcW w:w="234" w:type="pct"/>
            <w:vAlign w:val="center"/>
          </w:tcPr>
          <w:p w14:paraId="6659AADC">
            <w:pPr>
              <w:pStyle w:val="12"/>
              <w:jc w:val="center"/>
              <w:rPr>
                <w:rFonts w:ascii="宋体" w:hAnsi="宋体"/>
                <w:w w:val="66"/>
              </w:rPr>
            </w:pPr>
            <w:r>
              <w:rPr>
                <w:rFonts w:hint="eastAsia" w:ascii="宋体" w:hAnsi="宋体"/>
                <w:w w:val="66"/>
              </w:rPr>
              <w:t>4.84</w:t>
            </w:r>
          </w:p>
        </w:tc>
        <w:tc>
          <w:tcPr>
            <w:tcW w:w="270" w:type="pct"/>
            <w:vAlign w:val="center"/>
          </w:tcPr>
          <w:p w14:paraId="2BF4115C">
            <w:pPr>
              <w:pStyle w:val="12"/>
              <w:jc w:val="center"/>
              <w:rPr>
                <w:rFonts w:ascii="宋体" w:hAnsi="宋体"/>
                <w:w w:val="66"/>
              </w:rPr>
            </w:pPr>
            <w:r>
              <w:rPr>
                <w:rFonts w:hint="eastAsia" w:ascii="宋体" w:hAnsi="宋体"/>
                <w:w w:val="66"/>
              </w:rPr>
              <w:t>32.50</w:t>
            </w:r>
          </w:p>
        </w:tc>
        <w:tc>
          <w:tcPr>
            <w:tcW w:w="270" w:type="pct"/>
            <w:vAlign w:val="center"/>
          </w:tcPr>
          <w:p w14:paraId="7B86FF7C">
            <w:pPr>
              <w:pStyle w:val="12"/>
              <w:jc w:val="center"/>
              <w:rPr>
                <w:rFonts w:ascii="宋体" w:hAnsi="宋体"/>
                <w:w w:val="66"/>
              </w:rPr>
            </w:pPr>
            <w:r>
              <w:rPr>
                <w:rFonts w:hint="eastAsia" w:ascii="宋体" w:hAnsi="宋体"/>
                <w:w w:val="66"/>
              </w:rPr>
              <w:t>30.60</w:t>
            </w:r>
          </w:p>
        </w:tc>
        <w:tc>
          <w:tcPr>
            <w:tcW w:w="270" w:type="pct"/>
            <w:vAlign w:val="center"/>
          </w:tcPr>
          <w:p w14:paraId="29D0C744">
            <w:pPr>
              <w:pStyle w:val="12"/>
              <w:jc w:val="center"/>
              <w:rPr>
                <w:rFonts w:ascii="宋体" w:hAnsi="宋体"/>
                <w:w w:val="66"/>
              </w:rPr>
            </w:pPr>
            <w:r>
              <w:rPr>
                <w:rFonts w:hint="eastAsia" w:ascii="宋体" w:hAnsi="宋体"/>
                <w:w w:val="66"/>
              </w:rPr>
              <w:t>28.30</w:t>
            </w:r>
          </w:p>
        </w:tc>
        <w:tc>
          <w:tcPr>
            <w:tcW w:w="234" w:type="pct"/>
            <w:vAlign w:val="center"/>
          </w:tcPr>
          <w:p w14:paraId="3148576C">
            <w:pPr>
              <w:pStyle w:val="12"/>
              <w:jc w:val="center"/>
              <w:rPr>
                <w:rFonts w:ascii="宋体" w:hAnsi="宋体"/>
                <w:w w:val="66"/>
              </w:rPr>
            </w:pPr>
            <w:r>
              <w:rPr>
                <w:rFonts w:hint="eastAsia" w:ascii="宋体" w:hAnsi="宋体"/>
                <w:w w:val="66"/>
              </w:rPr>
              <w:t>8.30</w:t>
            </w:r>
          </w:p>
        </w:tc>
        <w:tc>
          <w:tcPr>
            <w:tcW w:w="270" w:type="pct"/>
            <w:vAlign w:val="center"/>
          </w:tcPr>
          <w:p w14:paraId="6F1990A5">
            <w:pPr>
              <w:pStyle w:val="12"/>
              <w:jc w:val="center"/>
              <w:rPr>
                <w:rFonts w:ascii="宋体" w:hAnsi="宋体"/>
                <w:w w:val="66"/>
              </w:rPr>
            </w:pPr>
            <w:r>
              <w:rPr>
                <w:rFonts w:hint="eastAsia" w:ascii="宋体" w:hAnsi="宋体"/>
                <w:w w:val="66"/>
              </w:rPr>
              <w:t>11.30</w:t>
            </w:r>
          </w:p>
        </w:tc>
        <w:tc>
          <w:tcPr>
            <w:tcW w:w="270" w:type="pct"/>
            <w:vAlign w:val="center"/>
          </w:tcPr>
          <w:p w14:paraId="1D4F06FD">
            <w:pPr>
              <w:pStyle w:val="12"/>
              <w:jc w:val="center"/>
              <w:rPr>
                <w:rFonts w:ascii="宋体" w:hAnsi="宋体"/>
                <w:w w:val="66"/>
              </w:rPr>
            </w:pPr>
            <w:r>
              <w:rPr>
                <w:rFonts w:hint="eastAsia" w:ascii="宋体" w:hAnsi="宋体"/>
                <w:w w:val="66"/>
              </w:rPr>
              <w:t>14.90</w:t>
            </w:r>
          </w:p>
        </w:tc>
      </w:tr>
    </w:tbl>
    <w:p w14:paraId="1826C92D">
      <w:pPr>
        <w:ind w:firstLine="0" w:firstLineChars="0"/>
        <w:jc w:val="center"/>
        <w:rPr>
          <w:rFonts w:ascii="宋体" w:hAnsi="宋体"/>
          <w:b/>
          <w:szCs w:val="21"/>
        </w:rPr>
      </w:pPr>
      <w:r>
        <w:rPr>
          <w:rFonts w:ascii="宋体" w:hAnsi="宋体"/>
          <w:b/>
          <w:szCs w:val="21"/>
        </w:rPr>
        <w:t>2000年南雄烤烟样品化学成分与进口烟叶比较</w:t>
      </w:r>
    </w:p>
    <w:p w14:paraId="5841649D">
      <w:pPr>
        <w:ind w:firstLine="0" w:firstLineChars="0"/>
        <w:rPr>
          <w:rFonts w:ascii="宋体" w:hAnsi="宋体"/>
          <w:b/>
          <w:szCs w:val="21"/>
        </w:rPr>
      </w:pPr>
      <w:r>
        <w:rPr>
          <w:rFonts w:hint="eastAsia" w:ascii="宋体" w:hAnsi="宋体"/>
          <w:b/>
          <w:szCs w:val="21"/>
        </w:rPr>
        <w:t>表</w:t>
      </w:r>
      <w:r>
        <w:rPr>
          <w:rFonts w:ascii="宋体" w:hAnsi="宋体"/>
          <w:b/>
          <w:szCs w:val="21"/>
        </w:rPr>
        <w:t>2-15</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66"/>
        <w:gridCol w:w="700"/>
        <w:gridCol w:w="700"/>
        <w:gridCol w:w="700"/>
        <w:gridCol w:w="700"/>
        <w:gridCol w:w="700"/>
        <w:gridCol w:w="700"/>
        <w:gridCol w:w="701"/>
        <w:gridCol w:w="701"/>
        <w:gridCol w:w="701"/>
        <w:gridCol w:w="701"/>
        <w:gridCol w:w="701"/>
        <w:gridCol w:w="691"/>
      </w:tblGrid>
      <w:tr w14:paraId="1397B04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457" w:type="pct"/>
            <w:vMerge w:val="restart"/>
            <w:vAlign w:val="center"/>
          </w:tcPr>
          <w:p w14:paraId="5C042B0F">
            <w:pPr>
              <w:pStyle w:val="12"/>
              <w:rPr>
                <w:rFonts w:ascii="宋体" w:hAnsi="宋体"/>
              </w:rPr>
            </w:pPr>
            <w:r>
              <w:rPr>
                <w:rFonts w:hint="eastAsia" w:ascii="宋体" w:hAnsi="宋体"/>
              </w:rPr>
              <w:drawing>
                <wp:inline distT="0" distB="0" distL="0" distR="0">
                  <wp:extent cx="843915" cy="848360"/>
                  <wp:effectExtent l="0" t="0" r="13335" b="8890"/>
                  <wp:docPr id="18"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5"/>
                          <pic:cNvPicPr>
                            <a:picLocks noChangeAspect="1" noChangeArrowheads="1"/>
                          </pic:cNvPicPr>
                        </pic:nvPicPr>
                        <pic:blipFill>
                          <a:blip r:embed="rId195" cstate="print"/>
                          <a:srcRect/>
                          <a:stretch>
                            <a:fillRect/>
                          </a:stretch>
                        </pic:blipFill>
                        <pic:spPr>
                          <a:xfrm>
                            <a:off x="0" y="0"/>
                            <a:ext cx="843941" cy="848360"/>
                          </a:xfrm>
                          <a:prstGeom prst="rect">
                            <a:avLst/>
                          </a:prstGeom>
                          <a:noFill/>
                          <a:ln w="9525">
                            <a:noFill/>
                            <a:miter lim="800000"/>
                            <a:headEnd/>
                            <a:tailEnd/>
                          </a:ln>
                        </pic:spPr>
                      </pic:pic>
                    </a:graphicData>
                  </a:graphic>
                </wp:inline>
              </w:drawing>
            </w:r>
          </w:p>
        </w:tc>
        <w:tc>
          <w:tcPr>
            <w:tcW w:w="1137" w:type="pct"/>
            <w:gridSpan w:val="3"/>
            <w:vAlign w:val="center"/>
          </w:tcPr>
          <w:p w14:paraId="3E2C6871">
            <w:pPr>
              <w:pStyle w:val="12"/>
              <w:jc w:val="center"/>
              <w:rPr>
                <w:rFonts w:ascii="宋体" w:hAnsi="宋体"/>
                <w:b/>
              </w:rPr>
            </w:pPr>
            <w:r>
              <w:rPr>
                <w:rFonts w:hint="eastAsia" w:ascii="宋体" w:hAnsi="宋体"/>
                <w:b/>
              </w:rPr>
              <w:t>烟碱（%）</w:t>
            </w:r>
          </w:p>
        </w:tc>
        <w:tc>
          <w:tcPr>
            <w:tcW w:w="1137" w:type="pct"/>
            <w:gridSpan w:val="3"/>
            <w:vAlign w:val="center"/>
          </w:tcPr>
          <w:p w14:paraId="013F2B1C">
            <w:pPr>
              <w:pStyle w:val="12"/>
              <w:jc w:val="center"/>
              <w:rPr>
                <w:rFonts w:ascii="宋体" w:hAnsi="宋体"/>
                <w:b/>
              </w:rPr>
            </w:pPr>
            <w:r>
              <w:rPr>
                <w:rFonts w:hint="eastAsia" w:ascii="宋体" w:hAnsi="宋体"/>
                <w:b/>
              </w:rPr>
              <w:t>总氮（%）</w:t>
            </w:r>
          </w:p>
        </w:tc>
        <w:tc>
          <w:tcPr>
            <w:tcW w:w="1137" w:type="pct"/>
            <w:gridSpan w:val="3"/>
            <w:vAlign w:val="center"/>
          </w:tcPr>
          <w:p w14:paraId="753B44DA">
            <w:pPr>
              <w:pStyle w:val="12"/>
              <w:jc w:val="center"/>
              <w:rPr>
                <w:rFonts w:ascii="宋体" w:hAnsi="宋体"/>
                <w:b/>
              </w:rPr>
            </w:pPr>
            <w:r>
              <w:rPr>
                <w:rFonts w:hint="eastAsia" w:ascii="宋体" w:hAnsi="宋体"/>
                <w:b/>
              </w:rPr>
              <w:t>还原糖（%）</w:t>
            </w:r>
          </w:p>
        </w:tc>
        <w:tc>
          <w:tcPr>
            <w:tcW w:w="1133" w:type="pct"/>
            <w:gridSpan w:val="3"/>
            <w:vAlign w:val="center"/>
          </w:tcPr>
          <w:p w14:paraId="4A8A2975">
            <w:pPr>
              <w:pStyle w:val="12"/>
              <w:jc w:val="center"/>
              <w:rPr>
                <w:rFonts w:ascii="宋体" w:hAnsi="宋体"/>
                <w:b/>
              </w:rPr>
            </w:pPr>
            <w:r>
              <w:rPr>
                <w:rFonts w:hint="eastAsia" w:ascii="宋体" w:hAnsi="宋体"/>
                <w:b/>
              </w:rPr>
              <w:t>淀粉（%）</w:t>
            </w:r>
          </w:p>
        </w:tc>
      </w:tr>
      <w:tr w14:paraId="5AC3FE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7" w:type="pct"/>
            <w:vMerge w:val="continue"/>
            <w:vAlign w:val="center"/>
          </w:tcPr>
          <w:p w14:paraId="2A65245B">
            <w:pPr>
              <w:pStyle w:val="12"/>
              <w:jc w:val="center"/>
              <w:rPr>
                <w:rFonts w:ascii="宋体" w:hAnsi="宋体"/>
              </w:rPr>
            </w:pPr>
          </w:p>
        </w:tc>
        <w:tc>
          <w:tcPr>
            <w:tcW w:w="379" w:type="pct"/>
            <w:vAlign w:val="center"/>
          </w:tcPr>
          <w:p w14:paraId="6B7D9C31">
            <w:pPr>
              <w:pStyle w:val="12"/>
              <w:jc w:val="center"/>
              <w:rPr>
                <w:rFonts w:ascii="宋体" w:hAnsi="宋体"/>
                <w:b/>
              </w:rPr>
            </w:pPr>
            <w:r>
              <w:rPr>
                <w:rFonts w:hint="eastAsia" w:ascii="宋体" w:hAnsi="宋体"/>
                <w:b/>
              </w:rPr>
              <w:t>下</w:t>
            </w:r>
          </w:p>
        </w:tc>
        <w:tc>
          <w:tcPr>
            <w:tcW w:w="379" w:type="pct"/>
            <w:vAlign w:val="center"/>
          </w:tcPr>
          <w:p w14:paraId="107ED570">
            <w:pPr>
              <w:pStyle w:val="12"/>
              <w:jc w:val="center"/>
              <w:rPr>
                <w:rFonts w:ascii="宋体" w:hAnsi="宋体"/>
                <w:b/>
              </w:rPr>
            </w:pPr>
            <w:r>
              <w:rPr>
                <w:rFonts w:hint="eastAsia" w:ascii="宋体" w:hAnsi="宋体"/>
                <w:b/>
              </w:rPr>
              <w:t>中</w:t>
            </w:r>
          </w:p>
        </w:tc>
        <w:tc>
          <w:tcPr>
            <w:tcW w:w="379" w:type="pct"/>
            <w:vAlign w:val="center"/>
          </w:tcPr>
          <w:p w14:paraId="5AA40385">
            <w:pPr>
              <w:pStyle w:val="12"/>
              <w:jc w:val="center"/>
              <w:rPr>
                <w:rFonts w:ascii="宋体" w:hAnsi="宋体"/>
                <w:b/>
              </w:rPr>
            </w:pPr>
            <w:r>
              <w:rPr>
                <w:rFonts w:hint="eastAsia" w:ascii="宋体" w:hAnsi="宋体"/>
                <w:b/>
              </w:rPr>
              <w:t>上</w:t>
            </w:r>
          </w:p>
        </w:tc>
        <w:tc>
          <w:tcPr>
            <w:tcW w:w="379" w:type="pct"/>
            <w:vAlign w:val="center"/>
          </w:tcPr>
          <w:p w14:paraId="5E92A0D5">
            <w:pPr>
              <w:pStyle w:val="12"/>
              <w:jc w:val="center"/>
              <w:rPr>
                <w:rFonts w:ascii="宋体" w:hAnsi="宋体"/>
                <w:b/>
              </w:rPr>
            </w:pPr>
            <w:r>
              <w:rPr>
                <w:rFonts w:hint="eastAsia" w:ascii="宋体" w:hAnsi="宋体"/>
                <w:b/>
              </w:rPr>
              <w:t>下</w:t>
            </w:r>
          </w:p>
        </w:tc>
        <w:tc>
          <w:tcPr>
            <w:tcW w:w="379" w:type="pct"/>
            <w:vAlign w:val="center"/>
          </w:tcPr>
          <w:p w14:paraId="06D82DBC">
            <w:pPr>
              <w:pStyle w:val="12"/>
              <w:jc w:val="center"/>
              <w:rPr>
                <w:rFonts w:ascii="宋体" w:hAnsi="宋体"/>
                <w:b/>
              </w:rPr>
            </w:pPr>
            <w:r>
              <w:rPr>
                <w:rFonts w:hint="eastAsia" w:ascii="宋体" w:hAnsi="宋体"/>
                <w:b/>
              </w:rPr>
              <w:t>中</w:t>
            </w:r>
          </w:p>
        </w:tc>
        <w:tc>
          <w:tcPr>
            <w:tcW w:w="379" w:type="pct"/>
            <w:vAlign w:val="center"/>
          </w:tcPr>
          <w:p w14:paraId="65B73D0E">
            <w:pPr>
              <w:pStyle w:val="12"/>
              <w:jc w:val="center"/>
              <w:rPr>
                <w:rFonts w:ascii="宋体" w:hAnsi="宋体"/>
                <w:b/>
              </w:rPr>
            </w:pPr>
            <w:r>
              <w:rPr>
                <w:rFonts w:hint="eastAsia" w:ascii="宋体" w:hAnsi="宋体"/>
                <w:b/>
              </w:rPr>
              <w:t>上</w:t>
            </w:r>
          </w:p>
        </w:tc>
        <w:tc>
          <w:tcPr>
            <w:tcW w:w="379" w:type="pct"/>
            <w:vAlign w:val="center"/>
          </w:tcPr>
          <w:p w14:paraId="40ADE208">
            <w:pPr>
              <w:pStyle w:val="12"/>
              <w:jc w:val="center"/>
              <w:rPr>
                <w:rFonts w:ascii="宋体" w:hAnsi="宋体"/>
                <w:b/>
              </w:rPr>
            </w:pPr>
            <w:r>
              <w:rPr>
                <w:rFonts w:hint="eastAsia" w:ascii="宋体" w:hAnsi="宋体"/>
                <w:b/>
              </w:rPr>
              <w:t>下</w:t>
            </w:r>
          </w:p>
        </w:tc>
        <w:tc>
          <w:tcPr>
            <w:tcW w:w="379" w:type="pct"/>
            <w:vAlign w:val="center"/>
          </w:tcPr>
          <w:p w14:paraId="78E69DA0">
            <w:pPr>
              <w:pStyle w:val="12"/>
              <w:jc w:val="center"/>
              <w:rPr>
                <w:rFonts w:ascii="宋体" w:hAnsi="宋体"/>
                <w:b/>
              </w:rPr>
            </w:pPr>
            <w:r>
              <w:rPr>
                <w:rFonts w:hint="eastAsia" w:ascii="宋体" w:hAnsi="宋体"/>
                <w:b/>
              </w:rPr>
              <w:t>中</w:t>
            </w:r>
          </w:p>
        </w:tc>
        <w:tc>
          <w:tcPr>
            <w:tcW w:w="379" w:type="pct"/>
            <w:vAlign w:val="center"/>
          </w:tcPr>
          <w:p w14:paraId="76386F40">
            <w:pPr>
              <w:pStyle w:val="12"/>
              <w:jc w:val="center"/>
              <w:rPr>
                <w:rFonts w:ascii="宋体" w:hAnsi="宋体"/>
                <w:b/>
              </w:rPr>
            </w:pPr>
            <w:r>
              <w:rPr>
                <w:rFonts w:hint="eastAsia" w:ascii="宋体" w:hAnsi="宋体"/>
                <w:b/>
              </w:rPr>
              <w:t>上</w:t>
            </w:r>
          </w:p>
        </w:tc>
        <w:tc>
          <w:tcPr>
            <w:tcW w:w="379" w:type="pct"/>
            <w:vAlign w:val="center"/>
          </w:tcPr>
          <w:p w14:paraId="33BC67A1">
            <w:pPr>
              <w:pStyle w:val="12"/>
              <w:jc w:val="center"/>
              <w:rPr>
                <w:rFonts w:ascii="宋体" w:hAnsi="宋体"/>
                <w:b/>
              </w:rPr>
            </w:pPr>
            <w:r>
              <w:rPr>
                <w:rFonts w:hint="eastAsia" w:ascii="宋体" w:hAnsi="宋体"/>
                <w:b/>
              </w:rPr>
              <w:t>下</w:t>
            </w:r>
          </w:p>
        </w:tc>
        <w:tc>
          <w:tcPr>
            <w:tcW w:w="379" w:type="pct"/>
            <w:vAlign w:val="center"/>
          </w:tcPr>
          <w:p w14:paraId="0D01059D">
            <w:pPr>
              <w:pStyle w:val="12"/>
              <w:jc w:val="center"/>
              <w:rPr>
                <w:rFonts w:ascii="宋体" w:hAnsi="宋体"/>
                <w:b/>
              </w:rPr>
            </w:pPr>
            <w:r>
              <w:rPr>
                <w:rFonts w:hint="eastAsia" w:ascii="宋体" w:hAnsi="宋体"/>
                <w:b/>
              </w:rPr>
              <w:t>中</w:t>
            </w:r>
          </w:p>
        </w:tc>
        <w:tc>
          <w:tcPr>
            <w:tcW w:w="375" w:type="pct"/>
            <w:vAlign w:val="center"/>
          </w:tcPr>
          <w:p w14:paraId="3FA62DC4">
            <w:pPr>
              <w:pStyle w:val="12"/>
              <w:jc w:val="center"/>
              <w:rPr>
                <w:rFonts w:ascii="宋体" w:hAnsi="宋体"/>
                <w:b/>
              </w:rPr>
            </w:pPr>
            <w:r>
              <w:rPr>
                <w:rFonts w:hint="eastAsia" w:ascii="宋体" w:hAnsi="宋体"/>
                <w:b/>
              </w:rPr>
              <w:t>上</w:t>
            </w:r>
          </w:p>
        </w:tc>
      </w:tr>
      <w:tr w14:paraId="274A4B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7" w:type="pct"/>
            <w:vAlign w:val="center"/>
          </w:tcPr>
          <w:p w14:paraId="2F78413E">
            <w:pPr>
              <w:pStyle w:val="12"/>
              <w:jc w:val="center"/>
              <w:rPr>
                <w:rFonts w:ascii="宋体" w:hAnsi="宋体"/>
              </w:rPr>
            </w:pPr>
            <w:r>
              <w:rPr>
                <w:rFonts w:hint="eastAsia" w:ascii="宋体" w:hAnsi="宋体"/>
              </w:rPr>
              <w:t>进口</w:t>
            </w:r>
          </w:p>
        </w:tc>
        <w:tc>
          <w:tcPr>
            <w:tcW w:w="379" w:type="pct"/>
            <w:vAlign w:val="center"/>
          </w:tcPr>
          <w:p w14:paraId="1BA7145E">
            <w:pPr>
              <w:pStyle w:val="12"/>
              <w:jc w:val="center"/>
              <w:rPr>
                <w:rFonts w:ascii="宋体" w:hAnsi="宋体"/>
              </w:rPr>
            </w:pPr>
            <w:r>
              <w:rPr>
                <w:rFonts w:hint="eastAsia" w:ascii="宋体" w:hAnsi="宋体"/>
              </w:rPr>
              <w:t>1.98</w:t>
            </w:r>
          </w:p>
        </w:tc>
        <w:tc>
          <w:tcPr>
            <w:tcW w:w="379" w:type="pct"/>
            <w:vAlign w:val="center"/>
          </w:tcPr>
          <w:p w14:paraId="6ED34BC7">
            <w:pPr>
              <w:pStyle w:val="12"/>
              <w:jc w:val="center"/>
              <w:rPr>
                <w:rFonts w:ascii="宋体" w:hAnsi="宋体"/>
              </w:rPr>
            </w:pPr>
            <w:r>
              <w:rPr>
                <w:rFonts w:hint="eastAsia" w:ascii="宋体" w:hAnsi="宋体"/>
              </w:rPr>
              <w:t>2.14</w:t>
            </w:r>
          </w:p>
        </w:tc>
        <w:tc>
          <w:tcPr>
            <w:tcW w:w="379" w:type="pct"/>
            <w:vAlign w:val="center"/>
          </w:tcPr>
          <w:p w14:paraId="12A935B9">
            <w:pPr>
              <w:pStyle w:val="12"/>
              <w:jc w:val="center"/>
              <w:rPr>
                <w:rFonts w:ascii="宋体" w:hAnsi="宋体"/>
              </w:rPr>
            </w:pPr>
            <w:r>
              <w:rPr>
                <w:rFonts w:hint="eastAsia" w:ascii="宋体" w:hAnsi="宋体"/>
              </w:rPr>
              <w:t>3.04</w:t>
            </w:r>
          </w:p>
        </w:tc>
        <w:tc>
          <w:tcPr>
            <w:tcW w:w="379" w:type="pct"/>
            <w:vAlign w:val="center"/>
          </w:tcPr>
          <w:p w14:paraId="4D232B05">
            <w:pPr>
              <w:pStyle w:val="12"/>
              <w:jc w:val="center"/>
              <w:rPr>
                <w:rFonts w:ascii="宋体" w:hAnsi="宋体"/>
              </w:rPr>
            </w:pPr>
            <w:r>
              <w:rPr>
                <w:rFonts w:hint="eastAsia" w:ascii="宋体" w:hAnsi="宋体"/>
              </w:rPr>
              <w:t>1.17</w:t>
            </w:r>
          </w:p>
        </w:tc>
        <w:tc>
          <w:tcPr>
            <w:tcW w:w="379" w:type="pct"/>
            <w:vAlign w:val="center"/>
          </w:tcPr>
          <w:p w14:paraId="711F39EA">
            <w:pPr>
              <w:pStyle w:val="12"/>
              <w:jc w:val="center"/>
              <w:rPr>
                <w:rFonts w:ascii="宋体" w:hAnsi="宋体"/>
              </w:rPr>
            </w:pPr>
            <w:r>
              <w:rPr>
                <w:rFonts w:hint="eastAsia" w:ascii="宋体" w:hAnsi="宋体"/>
              </w:rPr>
              <w:t>1.02</w:t>
            </w:r>
          </w:p>
        </w:tc>
        <w:tc>
          <w:tcPr>
            <w:tcW w:w="379" w:type="pct"/>
            <w:vAlign w:val="center"/>
          </w:tcPr>
          <w:p w14:paraId="22210AEF">
            <w:pPr>
              <w:pStyle w:val="12"/>
              <w:jc w:val="center"/>
              <w:rPr>
                <w:rFonts w:ascii="宋体" w:hAnsi="宋体"/>
              </w:rPr>
            </w:pPr>
            <w:r>
              <w:rPr>
                <w:rFonts w:hint="eastAsia" w:ascii="宋体" w:hAnsi="宋体"/>
              </w:rPr>
              <w:t>1.22</w:t>
            </w:r>
          </w:p>
        </w:tc>
        <w:tc>
          <w:tcPr>
            <w:tcW w:w="379" w:type="pct"/>
            <w:vAlign w:val="center"/>
          </w:tcPr>
          <w:p w14:paraId="3E600906">
            <w:pPr>
              <w:pStyle w:val="12"/>
              <w:jc w:val="center"/>
              <w:rPr>
                <w:rFonts w:ascii="宋体" w:hAnsi="宋体"/>
              </w:rPr>
            </w:pPr>
            <w:r>
              <w:rPr>
                <w:rFonts w:hint="eastAsia" w:ascii="宋体" w:hAnsi="宋体"/>
              </w:rPr>
              <w:t>19.0</w:t>
            </w:r>
          </w:p>
        </w:tc>
        <w:tc>
          <w:tcPr>
            <w:tcW w:w="379" w:type="pct"/>
            <w:vAlign w:val="center"/>
          </w:tcPr>
          <w:p w14:paraId="20B62258">
            <w:pPr>
              <w:pStyle w:val="12"/>
              <w:jc w:val="center"/>
              <w:rPr>
                <w:rFonts w:ascii="宋体" w:hAnsi="宋体"/>
              </w:rPr>
            </w:pPr>
            <w:r>
              <w:rPr>
                <w:rFonts w:hint="eastAsia" w:ascii="宋体" w:hAnsi="宋体"/>
              </w:rPr>
              <w:t>23.6</w:t>
            </w:r>
          </w:p>
        </w:tc>
        <w:tc>
          <w:tcPr>
            <w:tcW w:w="379" w:type="pct"/>
            <w:vAlign w:val="center"/>
          </w:tcPr>
          <w:p w14:paraId="79F28D8C">
            <w:pPr>
              <w:pStyle w:val="12"/>
              <w:jc w:val="center"/>
              <w:rPr>
                <w:rFonts w:ascii="宋体" w:hAnsi="宋体"/>
              </w:rPr>
            </w:pPr>
            <w:r>
              <w:rPr>
                <w:rFonts w:hint="eastAsia" w:ascii="宋体" w:hAnsi="宋体"/>
              </w:rPr>
              <w:t>22.0</w:t>
            </w:r>
          </w:p>
        </w:tc>
        <w:tc>
          <w:tcPr>
            <w:tcW w:w="379" w:type="pct"/>
            <w:vAlign w:val="center"/>
          </w:tcPr>
          <w:p w14:paraId="3665E14F">
            <w:pPr>
              <w:pStyle w:val="12"/>
              <w:jc w:val="center"/>
              <w:rPr>
                <w:rFonts w:ascii="宋体" w:hAnsi="宋体"/>
              </w:rPr>
            </w:pPr>
            <w:r>
              <w:rPr>
                <w:rFonts w:hint="eastAsia" w:ascii="宋体" w:hAnsi="宋体"/>
              </w:rPr>
              <w:t>4.01</w:t>
            </w:r>
          </w:p>
        </w:tc>
        <w:tc>
          <w:tcPr>
            <w:tcW w:w="379" w:type="pct"/>
            <w:vAlign w:val="center"/>
          </w:tcPr>
          <w:p w14:paraId="219A4D00">
            <w:pPr>
              <w:pStyle w:val="12"/>
              <w:jc w:val="center"/>
              <w:rPr>
                <w:rFonts w:ascii="宋体" w:hAnsi="宋体"/>
              </w:rPr>
            </w:pPr>
            <w:r>
              <w:rPr>
                <w:rFonts w:hint="eastAsia" w:ascii="宋体" w:hAnsi="宋体"/>
              </w:rPr>
              <w:t>3.82</w:t>
            </w:r>
          </w:p>
        </w:tc>
        <w:tc>
          <w:tcPr>
            <w:tcW w:w="375" w:type="pct"/>
            <w:vAlign w:val="center"/>
          </w:tcPr>
          <w:p w14:paraId="71125718">
            <w:pPr>
              <w:pStyle w:val="12"/>
              <w:jc w:val="center"/>
              <w:rPr>
                <w:rFonts w:ascii="宋体" w:hAnsi="宋体"/>
              </w:rPr>
            </w:pPr>
            <w:r>
              <w:rPr>
                <w:rFonts w:hint="eastAsia" w:ascii="宋体" w:hAnsi="宋体"/>
              </w:rPr>
              <w:t>4.02</w:t>
            </w:r>
          </w:p>
        </w:tc>
      </w:tr>
      <w:tr w14:paraId="1CE48A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7" w:type="pct"/>
            <w:vAlign w:val="center"/>
          </w:tcPr>
          <w:p w14:paraId="02651A7E">
            <w:pPr>
              <w:pStyle w:val="12"/>
              <w:jc w:val="center"/>
              <w:rPr>
                <w:rFonts w:ascii="宋体" w:hAnsi="宋体"/>
              </w:rPr>
            </w:pPr>
            <w:r>
              <w:rPr>
                <w:rFonts w:hint="eastAsia" w:ascii="宋体" w:hAnsi="宋体"/>
              </w:rPr>
              <w:t>南雄</w:t>
            </w:r>
          </w:p>
        </w:tc>
        <w:tc>
          <w:tcPr>
            <w:tcW w:w="379" w:type="pct"/>
            <w:vAlign w:val="center"/>
          </w:tcPr>
          <w:p w14:paraId="3631E9E4">
            <w:pPr>
              <w:pStyle w:val="12"/>
              <w:jc w:val="center"/>
              <w:rPr>
                <w:rFonts w:ascii="宋体" w:hAnsi="宋体"/>
              </w:rPr>
            </w:pPr>
            <w:r>
              <w:rPr>
                <w:rFonts w:hint="eastAsia" w:ascii="宋体" w:hAnsi="宋体"/>
              </w:rPr>
              <w:t>2.74</w:t>
            </w:r>
          </w:p>
        </w:tc>
        <w:tc>
          <w:tcPr>
            <w:tcW w:w="379" w:type="pct"/>
            <w:vAlign w:val="center"/>
          </w:tcPr>
          <w:p w14:paraId="3C07730F">
            <w:pPr>
              <w:pStyle w:val="12"/>
              <w:jc w:val="center"/>
              <w:rPr>
                <w:rFonts w:ascii="宋体" w:hAnsi="宋体"/>
              </w:rPr>
            </w:pPr>
            <w:r>
              <w:rPr>
                <w:rFonts w:hint="eastAsia" w:ascii="宋体" w:hAnsi="宋体"/>
              </w:rPr>
              <w:t>3.25</w:t>
            </w:r>
          </w:p>
        </w:tc>
        <w:tc>
          <w:tcPr>
            <w:tcW w:w="379" w:type="pct"/>
            <w:vAlign w:val="center"/>
          </w:tcPr>
          <w:p w14:paraId="2F4F1656">
            <w:pPr>
              <w:pStyle w:val="12"/>
              <w:jc w:val="center"/>
              <w:rPr>
                <w:rFonts w:ascii="宋体" w:hAnsi="宋体"/>
              </w:rPr>
            </w:pPr>
            <w:r>
              <w:rPr>
                <w:rFonts w:hint="eastAsia" w:ascii="宋体" w:hAnsi="宋体"/>
              </w:rPr>
              <w:t>3.90</w:t>
            </w:r>
          </w:p>
        </w:tc>
        <w:tc>
          <w:tcPr>
            <w:tcW w:w="379" w:type="pct"/>
            <w:vAlign w:val="center"/>
          </w:tcPr>
          <w:p w14:paraId="25EA5CFB">
            <w:pPr>
              <w:pStyle w:val="12"/>
              <w:jc w:val="center"/>
              <w:rPr>
                <w:rFonts w:ascii="宋体" w:hAnsi="宋体"/>
              </w:rPr>
            </w:pPr>
            <w:r>
              <w:rPr>
                <w:rFonts w:hint="eastAsia" w:ascii="宋体" w:hAnsi="宋体"/>
              </w:rPr>
              <w:t>1.34</w:t>
            </w:r>
          </w:p>
        </w:tc>
        <w:tc>
          <w:tcPr>
            <w:tcW w:w="379" w:type="pct"/>
            <w:vAlign w:val="center"/>
          </w:tcPr>
          <w:p w14:paraId="77F223F6">
            <w:pPr>
              <w:pStyle w:val="12"/>
              <w:jc w:val="center"/>
              <w:rPr>
                <w:rFonts w:ascii="宋体" w:hAnsi="宋体"/>
              </w:rPr>
            </w:pPr>
            <w:r>
              <w:rPr>
                <w:rFonts w:hint="eastAsia" w:ascii="宋体" w:hAnsi="宋体"/>
              </w:rPr>
              <w:t>1.56</w:t>
            </w:r>
          </w:p>
        </w:tc>
        <w:tc>
          <w:tcPr>
            <w:tcW w:w="379" w:type="pct"/>
            <w:vAlign w:val="center"/>
          </w:tcPr>
          <w:p w14:paraId="6EC662F7">
            <w:pPr>
              <w:pStyle w:val="12"/>
              <w:jc w:val="center"/>
              <w:rPr>
                <w:rFonts w:ascii="宋体" w:hAnsi="宋体"/>
              </w:rPr>
            </w:pPr>
            <w:r>
              <w:rPr>
                <w:rFonts w:hint="eastAsia" w:ascii="宋体" w:hAnsi="宋体"/>
              </w:rPr>
              <w:t>1.58</w:t>
            </w:r>
          </w:p>
        </w:tc>
        <w:tc>
          <w:tcPr>
            <w:tcW w:w="379" w:type="pct"/>
            <w:vAlign w:val="center"/>
          </w:tcPr>
          <w:p w14:paraId="19DC1F87">
            <w:pPr>
              <w:pStyle w:val="12"/>
              <w:jc w:val="center"/>
              <w:rPr>
                <w:rFonts w:ascii="宋体" w:hAnsi="宋体"/>
              </w:rPr>
            </w:pPr>
            <w:r>
              <w:rPr>
                <w:rFonts w:hint="eastAsia" w:ascii="宋体" w:hAnsi="宋体"/>
              </w:rPr>
              <w:t>19.6</w:t>
            </w:r>
          </w:p>
        </w:tc>
        <w:tc>
          <w:tcPr>
            <w:tcW w:w="379" w:type="pct"/>
            <w:vAlign w:val="center"/>
          </w:tcPr>
          <w:p w14:paraId="415A8976">
            <w:pPr>
              <w:pStyle w:val="12"/>
              <w:jc w:val="center"/>
              <w:rPr>
                <w:rFonts w:ascii="宋体" w:hAnsi="宋体"/>
              </w:rPr>
            </w:pPr>
            <w:r>
              <w:rPr>
                <w:rFonts w:hint="eastAsia" w:ascii="宋体" w:hAnsi="宋体"/>
              </w:rPr>
              <w:t>17.5</w:t>
            </w:r>
          </w:p>
        </w:tc>
        <w:tc>
          <w:tcPr>
            <w:tcW w:w="379" w:type="pct"/>
            <w:vAlign w:val="center"/>
          </w:tcPr>
          <w:p w14:paraId="654326C9">
            <w:pPr>
              <w:pStyle w:val="12"/>
              <w:jc w:val="center"/>
              <w:rPr>
                <w:rFonts w:ascii="宋体" w:hAnsi="宋体"/>
              </w:rPr>
            </w:pPr>
            <w:r>
              <w:rPr>
                <w:rFonts w:hint="eastAsia" w:ascii="宋体" w:hAnsi="宋体"/>
              </w:rPr>
              <w:t>18.2</w:t>
            </w:r>
          </w:p>
        </w:tc>
        <w:tc>
          <w:tcPr>
            <w:tcW w:w="379" w:type="pct"/>
            <w:vAlign w:val="center"/>
          </w:tcPr>
          <w:p w14:paraId="3CC2956F">
            <w:pPr>
              <w:pStyle w:val="12"/>
              <w:jc w:val="center"/>
              <w:rPr>
                <w:rFonts w:ascii="宋体" w:hAnsi="宋体"/>
              </w:rPr>
            </w:pPr>
            <w:r>
              <w:rPr>
                <w:rFonts w:hint="eastAsia" w:ascii="宋体" w:hAnsi="宋体"/>
              </w:rPr>
              <w:t>4.45</w:t>
            </w:r>
          </w:p>
        </w:tc>
        <w:tc>
          <w:tcPr>
            <w:tcW w:w="379" w:type="pct"/>
            <w:vAlign w:val="center"/>
          </w:tcPr>
          <w:p w14:paraId="442C8680">
            <w:pPr>
              <w:pStyle w:val="12"/>
              <w:jc w:val="center"/>
              <w:rPr>
                <w:rFonts w:ascii="宋体" w:hAnsi="宋体"/>
              </w:rPr>
            </w:pPr>
            <w:r>
              <w:rPr>
                <w:rFonts w:hint="eastAsia" w:ascii="宋体" w:hAnsi="宋体"/>
              </w:rPr>
              <w:t>4.76</w:t>
            </w:r>
          </w:p>
        </w:tc>
        <w:tc>
          <w:tcPr>
            <w:tcW w:w="375" w:type="pct"/>
            <w:vAlign w:val="center"/>
          </w:tcPr>
          <w:p w14:paraId="7FE75F82">
            <w:pPr>
              <w:pStyle w:val="12"/>
              <w:jc w:val="center"/>
              <w:rPr>
                <w:rFonts w:ascii="宋体" w:hAnsi="宋体"/>
              </w:rPr>
            </w:pPr>
            <w:r>
              <w:rPr>
                <w:rFonts w:hint="eastAsia" w:ascii="宋体" w:hAnsi="宋体"/>
              </w:rPr>
              <w:t>4.66</w:t>
            </w:r>
          </w:p>
        </w:tc>
      </w:tr>
    </w:tbl>
    <w:p w14:paraId="24030272">
      <w:pPr>
        <w:pStyle w:val="4"/>
        <w:rPr>
          <w:rFonts w:ascii="宋体" w:hAnsi="宋体"/>
        </w:rPr>
      </w:pPr>
      <w:r>
        <w:rPr>
          <w:rFonts w:hint="eastAsia" w:ascii="宋体" w:hAnsi="宋体"/>
        </w:rPr>
        <w:t>第四节  烟叶调制</w:t>
      </w:r>
    </w:p>
    <w:p w14:paraId="5558B63F">
      <w:pPr>
        <w:pStyle w:val="5"/>
        <w:rPr>
          <w:rFonts w:ascii="宋体" w:hAnsi="宋体"/>
        </w:rPr>
      </w:pPr>
      <w:r>
        <w:rPr>
          <w:rFonts w:hint="eastAsia" w:ascii="宋体" w:hAnsi="宋体"/>
        </w:rPr>
        <w:t>一、晒制</w:t>
      </w:r>
    </w:p>
    <w:p w14:paraId="00C12994">
      <w:pPr>
        <w:ind w:firstLine="420"/>
        <w:rPr>
          <w:rFonts w:ascii="宋体" w:hAnsi="宋体"/>
          <w:szCs w:val="21"/>
        </w:rPr>
      </w:pPr>
      <w:r>
        <w:rPr>
          <w:rFonts w:hint="eastAsia" w:ascii="宋体" w:hAnsi="宋体"/>
          <w:szCs w:val="21"/>
        </w:rPr>
        <w:t>晒制是南雄传统调制工艺。晒烟具有叶色金黄、烟味醇香、易燃灰白三大特色，为名牌卷烟之重要辅料，故素负盛名，曾畅销海内外。晒制工艺独特，顺序有：摘烟、划骨、上笪、晒企棚、室内堆积、晒二棚、晒大棚、上炕烘烤、倒地晒白、下笪上朴等</w:t>
      </w:r>
      <w:r>
        <w:rPr>
          <w:rFonts w:ascii="宋体" w:hAnsi="宋体"/>
          <w:szCs w:val="21"/>
        </w:rPr>
        <w:t>10个工序。晒烟技术经验来自家传。</w:t>
      </w:r>
    </w:p>
    <w:p w14:paraId="6AFF292B">
      <w:pPr>
        <w:ind w:firstLine="420"/>
        <w:rPr>
          <w:rFonts w:ascii="宋体" w:hAnsi="宋体"/>
          <w:szCs w:val="21"/>
        </w:rPr>
      </w:pPr>
      <w:r>
        <w:rPr>
          <w:rFonts w:hint="eastAsia" w:ascii="宋体" w:hAnsi="宋体"/>
          <w:szCs w:val="21"/>
        </w:rPr>
        <w:t>推广烤烟后，晒烟日减。唯乌迳、油山、坪田等镇保留晒烟，年产六七万担。</w:t>
      </w:r>
    </w:p>
    <w:p w14:paraId="2EF3A0D7">
      <w:pPr>
        <w:pStyle w:val="5"/>
        <w:rPr>
          <w:rFonts w:ascii="宋体" w:hAnsi="宋体"/>
        </w:rPr>
      </w:pPr>
      <w:r>
        <w:rPr>
          <w:rFonts w:hint="eastAsia" w:ascii="宋体" w:hAnsi="宋体"/>
        </w:rPr>
        <w:t>二、烤制</w:t>
      </w:r>
    </w:p>
    <w:p w14:paraId="160A3132">
      <w:pPr>
        <w:ind w:firstLine="420"/>
        <w:rPr>
          <w:rFonts w:ascii="宋体" w:hAnsi="宋体"/>
          <w:szCs w:val="21"/>
        </w:rPr>
      </w:pPr>
      <w:r>
        <w:rPr>
          <w:rFonts w:hint="eastAsia" w:ascii="宋体" w:hAnsi="宋体"/>
          <w:szCs w:val="21"/>
        </w:rPr>
        <w:t>南雄烤烟始于</w:t>
      </w:r>
      <w:r>
        <w:rPr>
          <w:rFonts w:ascii="宋体" w:hAnsi="宋体"/>
          <w:szCs w:val="21"/>
        </w:rPr>
        <w:t>20世纪50年代。因其不受雨天限制，避免田间烂烟损失，技术上</w:t>
      </w:r>
      <w:r>
        <w:rPr>
          <w:rFonts w:hint="eastAsia" w:ascii="宋体" w:hAnsi="宋体"/>
          <w:szCs w:val="21"/>
        </w:rPr>
        <w:t>比晒烟更易掌握，每间烤房一次可调制干烟</w:t>
      </w:r>
      <w:r>
        <w:rPr>
          <w:rFonts w:ascii="宋体" w:hAnsi="宋体"/>
          <w:szCs w:val="21"/>
        </w:rPr>
        <w:t>400公斤～500公斤，烟区农业社普遍兴</w:t>
      </w:r>
      <w:r>
        <w:rPr>
          <w:rFonts w:hint="eastAsia" w:ascii="宋体" w:hAnsi="宋体"/>
          <w:szCs w:val="21"/>
        </w:rPr>
        <w:t>建烤烟房，试行烤烟。</w:t>
      </w:r>
      <w:r>
        <w:rPr>
          <w:rFonts w:ascii="宋体" w:hAnsi="宋体"/>
          <w:szCs w:val="21"/>
        </w:rPr>
        <w:t>1956年全县烤烟产量1253.85吨，占总产的19.08%。因收购</w:t>
      </w:r>
      <w:r>
        <w:rPr>
          <w:rFonts w:hint="eastAsia" w:ascii="宋体" w:hAnsi="宋体"/>
          <w:szCs w:val="21"/>
        </w:rPr>
        <w:t>部门无复烤设备，烤烟久贮易霉坏，以降低收购价格办法压制烤烟。</w:t>
      </w:r>
      <w:r>
        <w:rPr>
          <w:rFonts w:ascii="宋体" w:hAnsi="宋体"/>
          <w:szCs w:val="21"/>
        </w:rPr>
        <w:t>1961年全县烤</w:t>
      </w:r>
      <w:r>
        <w:rPr>
          <w:rFonts w:hint="eastAsia" w:ascii="宋体" w:hAnsi="宋体"/>
          <w:szCs w:val="21"/>
        </w:rPr>
        <w:t>烟降至</w:t>
      </w:r>
      <w:r>
        <w:rPr>
          <w:rFonts w:ascii="宋体" w:hAnsi="宋体"/>
          <w:szCs w:val="21"/>
        </w:rPr>
        <w:t>18吨，占总产1.2%。1985年</w:t>
      </w:r>
      <w:r>
        <w:rPr>
          <w:rFonts w:hint="eastAsia" w:ascii="宋体" w:hAnsi="宋体"/>
          <w:szCs w:val="21"/>
        </w:rPr>
        <w:t>创</w:t>
      </w:r>
      <w:r>
        <w:rPr>
          <w:rFonts w:ascii="宋体" w:hAnsi="宋体"/>
          <w:szCs w:val="21"/>
        </w:rPr>
        <w:t>建烟叶复烤厂以后，烤烟再次掀起。1987年</w:t>
      </w:r>
      <w:r>
        <w:rPr>
          <w:rFonts w:hint="eastAsia" w:ascii="宋体" w:hAnsi="宋体"/>
          <w:szCs w:val="21"/>
        </w:rPr>
        <w:t>全县有烤烟房</w:t>
      </w:r>
      <w:r>
        <w:rPr>
          <w:rFonts w:ascii="宋体" w:hAnsi="宋体"/>
          <w:szCs w:val="21"/>
        </w:rPr>
        <w:t>30702间，烤烟产量12500吨，占总产86%</w:t>
      </w:r>
      <w:r>
        <w:rPr>
          <w:rFonts w:hint="eastAsia" w:ascii="宋体" w:hAnsi="宋体"/>
          <w:szCs w:val="21"/>
        </w:rPr>
        <w:t>。</w:t>
      </w:r>
    </w:p>
    <w:p w14:paraId="56057C85">
      <w:pPr>
        <w:ind w:firstLine="420"/>
        <w:rPr>
          <w:rFonts w:ascii="宋体" w:hAnsi="宋体"/>
          <w:szCs w:val="21"/>
        </w:rPr>
      </w:pPr>
      <w:r>
        <w:rPr>
          <w:rFonts w:ascii="宋体" w:hAnsi="宋体"/>
          <w:szCs w:val="21"/>
        </w:rPr>
        <w:t>1979年“改进式”烧煤烤房试验成功。1986年全县烤烟房均改为烧煤，从而减</w:t>
      </w:r>
      <w:r>
        <w:rPr>
          <w:rFonts w:hint="eastAsia" w:ascii="宋体" w:hAnsi="宋体"/>
          <w:szCs w:val="21"/>
        </w:rPr>
        <w:t>少了森林资源的消耗。</w:t>
      </w:r>
    </w:p>
    <w:p w14:paraId="28D2F811">
      <w:pPr>
        <w:ind w:firstLine="420"/>
        <w:rPr>
          <w:rFonts w:ascii="宋体" w:hAnsi="宋体"/>
          <w:szCs w:val="21"/>
        </w:rPr>
      </w:pPr>
      <w:r>
        <w:rPr>
          <w:rFonts w:hint="eastAsia" w:ascii="宋体" w:hAnsi="宋体"/>
          <w:szCs w:val="21"/>
        </w:rPr>
        <w:t>烘烤技术，应用变黄阶段、定色阶段、干筋阶段“三段式”烘烤法。根据各阶段不同要求调控温度、湿度。</w:t>
      </w:r>
      <w:r>
        <w:rPr>
          <w:rFonts w:ascii="宋体" w:hAnsi="宋体"/>
          <w:szCs w:val="21"/>
        </w:rPr>
        <w:t>1999年引进和改良热风循环式烤房，至2000年已改建16600座。还引进了半堆积式烤房和烤霸等先进烘烤设备。</w:t>
      </w:r>
    </w:p>
    <w:p w14:paraId="7136D055">
      <w:pPr>
        <w:pStyle w:val="4"/>
        <w:rPr>
          <w:rFonts w:ascii="宋体" w:hAnsi="宋体"/>
        </w:rPr>
      </w:pPr>
      <w:r>
        <w:rPr>
          <w:rFonts w:hint="eastAsia" w:ascii="宋体" w:hAnsi="宋体"/>
        </w:rPr>
        <w:t>第五节  烟叶经营</w:t>
      </w:r>
    </w:p>
    <w:p w14:paraId="42ED1014">
      <w:pPr>
        <w:pStyle w:val="5"/>
        <w:rPr>
          <w:rFonts w:ascii="宋体" w:hAnsi="宋体"/>
        </w:rPr>
      </w:pPr>
      <w:r>
        <w:rPr>
          <w:rFonts w:hint="eastAsia" w:ascii="宋体" w:hAnsi="宋体"/>
        </w:rPr>
        <w:t>一、经营体制</w:t>
      </w:r>
    </w:p>
    <w:p w14:paraId="5C8988BA">
      <w:pPr>
        <w:ind w:firstLine="420"/>
        <w:rPr>
          <w:rFonts w:ascii="宋体" w:hAnsi="宋体"/>
          <w:szCs w:val="21"/>
        </w:rPr>
      </w:pPr>
      <w:r>
        <w:rPr>
          <w:rFonts w:hint="eastAsia" w:ascii="宋体" w:hAnsi="宋体"/>
          <w:szCs w:val="21"/>
        </w:rPr>
        <w:t>新中国成立前，烟叶由私商经营，全县有烟行、烟庄</w:t>
      </w:r>
      <w:r>
        <w:rPr>
          <w:rFonts w:ascii="宋体" w:hAnsi="宋体"/>
          <w:szCs w:val="21"/>
        </w:rPr>
        <w:t>94家，其中有24家为英美</w:t>
      </w:r>
      <w:r>
        <w:rPr>
          <w:rFonts w:hint="eastAsia" w:ascii="宋体" w:hAnsi="宋体"/>
          <w:szCs w:val="21"/>
        </w:rPr>
        <w:t>烟草公司代理商。</w:t>
      </w:r>
    </w:p>
    <w:p w14:paraId="3D007DD5">
      <w:pPr>
        <w:ind w:firstLine="420"/>
        <w:rPr>
          <w:rFonts w:ascii="宋体" w:hAnsi="宋体"/>
          <w:szCs w:val="21"/>
        </w:rPr>
      </w:pPr>
      <w:r>
        <w:rPr>
          <w:rFonts w:ascii="宋体" w:hAnsi="宋体"/>
          <w:szCs w:val="21"/>
        </w:rPr>
        <w:t>1954年7月，烟叶实行国家统一收购，禁止私商经营。1983年以前，主要由供</w:t>
      </w:r>
      <w:r>
        <w:rPr>
          <w:rFonts w:hint="eastAsia" w:ascii="宋体" w:hAnsi="宋体"/>
          <w:szCs w:val="21"/>
        </w:rPr>
        <w:t>销社负责烟叶购销及肥料、柴炭、烟笪等物资供应，并发放预购定金，鼓励黄烟生产。大田生产和调制技术，仍由农业局负责。</w:t>
      </w:r>
      <w:r>
        <w:rPr>
          <w:rFonts w:ascii="宋体" w:hAnsi="宋体"/>
          <w:szCs w:val="21"/>
        </w:rPr>
        <w:t>1983年10月，成立广东省烟草公司南</w:t>
      </w:r>
      <w:r>
        <w:rPr>
          <w:rFonts w:hint="eastAsia" w:ascii="宋体" w:hAnsi="宋体"/>
          <w:szCs w:val="21"/>
        </w:rPr>
        <w:t>雄县公司，</w:t>
      </w:r>
      <w:r>
        <w:rPr>
          <w:rFonts w:ascii="宋体" w:hAnsi="宋体"/>
          <w:szCs w:val="21"/>
        </w:rPr>
        <w:t>1984年1月成立南雄县烟草专卖局，两块牌子，一套人马。供销社、农</w:t>
      </w:r>
      <w:r>
        <w:rPr>
          <w:rFonts w:hint="eastAsia" w:ascii="宋体" w:hAnsi="宋体"/>
          <w:szCs w:val="21"/>
        </w:rPr>
        <w:t>业局、烟草试验站原有涉烟工作，均划归烟草公司统一管理。</w:t>
      </w:r>
      <w:r>
        <w:rPr>
          <w:rFonts w:ascii="宋体" w:hAnsi="宋体"/>
          <w:szCs w:val="21"/>
        </w:rPr>
        <w:t>1987年8月，县烟草</w:t>
      </w:r>
      <w:r>
        <w:rPr>
          <w:rFonts w:hint="eastAsia" w:ascii="宋体" w:hAnsi="宋体"/>
          <w:szCs w:val="21"/>
        </w:rPr>
        <w:t>公司、烟草研究所划归省烟草公司。</w:t>
      </w:r>
      <w:r>
        <w:rPr>
          <w:rFonts w:ascii="宋体" w:hAnsi="宋体"/>
          <w:szCs w:val="21"/>
        </w:rPr>
        <w:t>2001年12月，改制为广东烟草南雄市有限公</w:t>
      </w:r>
      <w:r>
        <w:rPr>
          <w:rFonts w:hint="eastAsia" w:ascii="宋体" w:hAnsi="宋体"/>
          <w:szCs w:val="21"/>
        </w:rPr>
        <w:t>司。烟草公司实行产供销、人财物、内外贸一体化经营，公司下设</w:t>
      </w:r>
      <w:r>
        <w:rPr>
          <w:rFonts w:ascii="宋体" w:hAnsi="宋体"/>
          <w:szCs w:val="21"/>
        </w:rPr>
        <w:t>11个烟叶收购服</w:t>
      </w:r>
      <w:r>
        <w:rPr>
          <w:rFonts w:hint="eastAsia" w:ascii="宋体" w:hAnsi="宋体"/>
          <w:szCs w:val="21"/>
        </w:rPr>
        <w:t>务站，</w:t>
      </w:r>
      <w:r>
        <w:rPr>
          <w:rFonts w:ascii="宋体" w:hAnsi="宋体"/>
          <w:szCs w:val="21"/>
        </w:rPr>
        <w:t>1个烟草研究所，1间烟叶复烤厂。有职工600多人。</w:t>
      </w:r>
    </w:p>
    <w:p w14:paraId="1FC5F5AB">
      <w:pPr>
        <w:ind w:firstLine="420"/>
        <w:rPr>
          <w:rFonts w:ascii="宋体" w:hAnsi="宋体"/>
          <w:szCs w:val="21"/>
        </w:rPr>
      </w:pPr>
      <w:r>
        <w:rPr>
          <w:rFonts w:hint="eastAsia" w:ascii="宋体" w:hAnsi="宋体"/>
          <w:szCs w:val="21"/>
        </w:rPr>
        <w:t>烟叶复烤厂，始建于</w:t>
      </w:r>
      <w:r>
        <w:rPr>
          <w:rFonts w:ascii="宋体" w:hAnsi="宋体"/>
          <w:szCs w:val="21"/>
        </w:rPr>
        <w:t>1985年，1992年迁新址东厢铺重建，占地面积14.5万平方</w:t>
      </w:r>
      <w:r>
        <w:rPr>
          <w:rFonts w:hint="eastAsia" w:ascii="宋体" w:hAnsi="宋体"/>
          <w:szCs w:val="21"/>
        </w:rPr>
        <w:t>米，建筑面积</w:t>
      </w:r>
      <w:r>
        <w:rPr>
          <w:rFonts w:ascii="宋体" w:hAnsi="宋体"/>
          <w:szCs w:val="21"/>
        </w:rPr>
        <w:t>2.2万平方米，其中仓库面积4.82万平方米，可储存烟叶2万吨以上。</w:t>
      </w:r>
      <w:r>
        <w:rPr>
          <w:rFonts w:hint="eastAsia" w:ascii="宋体" w:hAnsi="宋体"/>
          <w:szCs w:val="21"/>
        </w:rPr>
        <w:t>建成了全电脑控制的先进打叶生产线，每小时生产能力</w:t>
      </w:r>
      <w:r>
        <w:rPr>
          <w:rFonts w:ascii="宋体" w:hAnsi="宋体"/>
          <w:szCs w:val="21"/>
        </w:rPr>
        <w:t>6吨，年打叶复烤能力1.5万</w:t>
      </w:r>
      <w:r>
        <w:rPr>
          <w:rFonts w:hint="eastAsia" w:ascii="宋体" w:hAnsi="宋体"/>
          <w:szCs w:val="21"/>
        </w:rPr>
        <w:t>吨以上。各项工艺指标均达到或超过了国家标准。</w:t>
      </w:r>
    </w:p>
    <w:p w14:paraId="4B46611A">
      <w:pPr>
        <w:ind w:firstLine="420"/>
        <w:rPr>
          <w:rFonts w:ascii="宋体" w:hAnsi="宋体"/>
          <w:szCs w:val="21"/>
        </w:rPr>
      </w:pPr>
      <w:r>
        <w:rPr>
          <w:rFonts w:hint="eastAsia" w:ascii="宋体" w:hAnsi="宋体"/>
          <w:szCs w:val="21"/>
        </w:rPr>
        <w:t>烟草研究所，是广东省烟草行业唯一的科研机构。研究所立足南雄，面向全省，开展烟草良种繁育、新技术研究推广、人才培训等工作。详见本编科学技术章。</w:t>
      </w:r>
    </w:p>
    <w:p w14:paraId="5564079D">
      <w:pPr>
        <w:ind w:firstLine="420"/>
        <w:rPr>
          <w:rFonts w:ascii="宋体" w:hAnsi="宋体"/>
          <w:szCs w:val="21"/>
        </w:rPr>
      </w:pPr>
      <w:r>
        <w:rPr>
          <w:rFonts w:hint="eastAsia" w:ascii="宋体" w:hAnsi="宋体"/>
          <w:szCs w:val="21"/>
        </w:rPr>
        <w:t>烟叶收购服务站。担负烟叶生产技术指导、生产资料供应和烟叶收购工作。</w:t>
      </w:r>
      <w:r>
        <w:rPr>
          <w:rFonts w:ascii="宋体" w:hAnsi="宋体"/>
          <w:szCs w:val="21"/>
        </w:rPr>
        <w:t>1993</w:t>
      </w:r>
      <w:r>
        <w:rPr>
          <w:rFonts w:hint="eastAsia" w:ascii="宋体" w:hAnsi="宋体"/>
          <w:szCs w:val="21"/>
        </w:rPr>
        <w:t>年至</w:t>
      </w:r>
      <w:r>
        <w:rPr>
          <w:rFonts w:ascii="宋体" w:hAnsi="宋体"/>
          <w:szCs w:val="21"/>
        </w:rPr>
        <w:t>1994年，引进“烟草收购微机系统”，1997年至1999年先后完成了3次系统的</w:t>
      </w:r>
      <w:r>
        <w:rPr>
          <w:rFonts w:hint="eastAsia" w:ascii="宋体" w:hAnsi="宋体"/>
          <w:szCs w:val="21"/>
        </w:rPr>
        <w:t>升级改造，全面实现微机化烟叶收购。</w:t>
      </w:r>
    </w:p>
    <w:p w14:paraId="16BC6585">
      <w:pPr>
        <w:pStyle w:val="5"/>
        <w:rPr>
          <w:rFonts w:ascii="宋体" w:hAnsi="宋体"/>
        </w:rPr>
      </w:pPr>
      <w:r>
        <w:rPr>
          <w:rFonts w:hint="eastAsia" w:ascii="宋体" w:hAnsi="宋体"/>
        </w:rPr>
        <w:t>二、烟叶收购</w:t>
      </w:r>
    </w:p>
    <w:p w14:paraId="703676E3">
      <w:pPr>
        <w:ind w:firstLine="422"/>
        <w:rPr>
          <w:rFonts w:ascii="宋体" w:hAnsi="宋体"/>
          <w:b/>
          <w:szCs w:val="21"/>
        </w:rPr>
      </w:pPr>
      <w:r>
        <w:rPr>
          <w:rFonts w:hint="eastAsia" w:ascii="宋体" w:hAnsi="宋体"/>
          <w:b/>
          <w:szCs w:val="21"/>
        </w:rPr>
        <w:t>（一）收购政策</w:t>
      </w:r>
    </w:p>
    <w:p w14:paraId="0B27C585">
      <w:pPr>
        <w:ind w:firstLine="420"/>
        <w:rPr>
          <w:rFonts w:ascii="宋体" w:hAnsi="宋体"/>
          <w:szCs w:val="21"/>
        </w:rPr>
      </w:pPr>
      <w:r>
        <w:rPr>
          <w:rFonts w:ascii="宋体" w:hAnsi="宋体"/>
          <w:szCs w:val="21"/>
        </w:rPr>
        <w:t>1954年起实行预购制，国家按商定的预购数量发放定金，提供贷款，供应肥料</w:t>
      </w:r>
      <w:r>
        <w:rPr>
          <w:rFonts w:hint="eastAsia" w:ascii="宋体" w:hAnsi="宋体"/>
          <w:szCs w:val="21"/>
        </w:rPr>
        <w:t>、烟笪、木炭等生产资料。收获后交售烟叶。</w:t>
      </w:r>
      <w:r>
        <w:rPr>
          <w:rFonts w:ascii="宋体" w:hAnsi="宋体"/>
          <w:szCs w:val="21"/>
        </w:rPr>
        <w:t>1963年起实行派购，按国家计划，把烟</w:t>
      </w:r>
      <w:r>
        <w:rPr>
          <w:rFonts w:hint="eastAsia" w:ascii="宋体" w:hAnsi="宋体"/>
          <w:szCs w:val="21"/>
        </w:rPr>
        <w:t>叶生产任务分配给生产队，生产资料和贷款按派购数提供。超额交售部分奖励物资或加价收购。</w:t>
      </w:r>
      <w:r>
        <w:rPr>
          <w:rFonts w:ascii="宋体" w:hAnsi="宋体"/>
          <w:szCs w:val="21"/>
        </w:rPr>
        <w:t>1983年起实行合同定购。收购部门与烟农签订各等级烟叶的交售数量和</w:t>
      </w:r>
      <w:r>
        <w:rPr>
          <w:rFonts w:hint="eastAsia" w:ascii="宋体" w:hAnsi="宋体"/>
          <w:szCs w:val="21"/>
        </w:rPr>
        <w:t>供应生产资料数量。超额交售部分议价收购。</w:t>
      </w:r>
      <w:r>
        <w:rPr>
          <w:rFonts w:ascii="宋体" w:hAnsi="宋体"/>
          <w:szCs w:val="21"/>
        </w:rPr>
        <w:t>1994年起实行全等级全部收购合同内</w:t>
      </w:r>
      <w:r>
        <w:rPr>
          <w:rFonts w:hint="eastAsia" w:ascii="宋体" w:hAnsi="宋体"/>
          <w:szCs w:val="21"/>
        </w:rPr>
        <w:t>烟叶，按国家的烟叶分级标准和价格执行，去除了议价部分。</w:t>
      </w:r>
      <w:r>
        <w:rPr>
          <w:rFonts w:ascii="宋体" w:hAnsi="宋体"/>
          <w:szCs w:val="21"/>
        </w:rPr>
        <w:t>1997年起，收购方式</w:t>
      </w:r>
      <w:r>
        <w:rPr>
          <w:rFonts w:hint="eastAsia" w:ascii="宋体" w:hAnsi="宋体"/>
          <w:szCs w:val="21"/>
        </w:rPr>
        <w:t>改为半封闭式密码收购。</w:t>
      </w:r>
      <w:r>
        <w:rPr>
          <w:rFonts w:ascii="宋体" w:hAnsi="宋体"/>
          <w:szCs w:val="21"/>
        </w:rPr>
        <w:t>1999年起改为全封闭式密码收购，对烟农送售烟叶先进行</w:t>
      </w:r>
      <w:r>
        <w:rPr>
          <w:rFonts w:hint="eastAsia" w:ascii="宋体" w:hAnsi="宋体"/>
          <w:szCs w:val="21"/>
        </w:rPr>
        <w:t>编码，后由工作人员送入密室检级，烟农凭密码单结算价款。其程序是：烟农轮候区一候检室一初检室一密室存放一封闭式验级室一唱级一监磅和电脑司磅一进仓一电脑结算。此法使评级员与烟农分离，避免了评人情烟弊病。对合同双方有利。</w:t>
      </w:r>
    </w:p>
    <w:p w14:paraId="6C123AF9">
      <w:pPr>
        <w:ind w:firstLine="422"/>
        <w:rPr>
          <w:rFonts w:ascii="宋体" w:hAnsi="宋体"/>
          <w:b/>
          <w:szCs w:val="21"/>
        </w:rPr>
      </w:pPr>
      <w:r>
        <w:rPr>
          <w:rFonts w:hint="eastAsia" w:ascii="宋体" w:hAnsi="宋体"/>
          <w:b/>
          <w:szCs w:val="21"/>
        </w:rPr>
        <w:t>（二）收购价格</w:t>
      </w:r>
    </w:p>
    <w:p w14:paraId="74B06F69">
      <w:pPr>
        <w:ind w:firstLine="420"/>
        <w:rPr>
          <w:rFonts w:ascii="宋体" w:hAnsi="宋体"/>
          <w:szCs w:val="21"/>
        </w:rPr>
      </w:pPr>
      <w:r>
        <w:rPr>
          <w:rFonts w:ascii="宋体" w:hAnsi="宋体"/>
          <w:szCs w:val="21"/>
        </w:rPr>
        <w:t>1952年国家收购部门实行4级收购价，1954年改为5级，因等差大，难于掌握，</w:t>
      </w:r>
      <w:r>
        <w:rPr>
          <w:rFonts w:hint="eastAsia" w:ascii="宋体" w:hAnsi="宋体"/>
          <w:szCs w:val="21"/>
        </w:rPr>
        <w:t>在各级中又加一副级。</w:t>
      </w:r>
      <w:r>
        <w:rPr>
          <w:rFonts w:ascii="宋体" w:hAnsi="宋体"/>
          <w:szCs w:val="21"/>
        </w:rPr>
        <w:t>1978年至1982年执行省企业标准9级制收购价。1983年改为</w:t>
      </w:r>
      <w:r>
        <w:rPr>
          <w:rFonts w:hint="eastAsia" w:ascii="宋体" w:hAnsi="宋体"/>
          <w:szCs w:val="21"/>
        </w:rPr>
        <w:t>国标</w:t>
      </w:r>
      <w:r>
        <w:rPr>
          <w:rFonts w:ascii="宋体" w:hAnsi="宋体"/>
          <w:szCs w:val="21"/>
        </w:rPr>
        <w:t>10级制。1986年烤烟改为15级制，1992年又改为42级收购价，强调提高烟叶</w:t>
      </w:r>
      <w:r>
        <w:rPr>
          <w:rFonts w:hint="eastAsia" w:ascii="宋体" w:hAnsi="宋体"/>
          <w:szCs w:val="21"/>
        </w:rPr>
        <w:t>质量。烟叶质量受自然灾害和人为因素影响，每年有差异。加上受市场需求影响，价格升降更大。</w:t>
      </w:r>
      <w:r>
        <w:rPr>
          <w:rFonts w:ascii="宋体" w:hAnsi="宋体"/>
          <w:szCs w:val="21"/>
        </w:rPr>
        <w:t>1987年，烤烟收购价平均每百公斤551.9元，晒烟498.5元；1990年</w:t>
      </w:r>
      <w:r>
        <w:rPr>
          <w:rFonts w:hint="eastAsia" w:ascii="宋体" w:hAnsi="宋体"/>
          <w:szCs w:val="21"/>
        </w:rPr>
        <w:t>降至烤烟</w:t>
      </w:r>
      <w:r>
        <w:rPr>
          <w:rFonts w:ascii="宋体" w:hAnsi="宋体"/>
          <w:szCs w:val="21"/>
        </w:rPr>
        <w:t>496.88元，晒烟355.46元；1994年为烤烟375.66元，晒烟357.93元</w:t>
      </w:r>
      <w:r>
        <w:rPr>
          <w:rFonts w:hint="eastAsia" w:ascii="宋体" w:hAnsi="宋体"/>
          <w:szCs w:val="21"/>
        </w:rPr>
        <w:t>：</w:t>
      </w:r>
      <w:r>
        <w:rPr>
          <w:rFonts w:ascii="宋体" w:hAnsi="宋体"/>
          <w:szCs w:val="21"/>
        </w:rPr>
        <w:t>1995年烤、晒烟分别跃升至907.</w:t>
      </w:r>
      <w:r>
        <w:rPr>
          <w:rFonts w:hint="eastAsia" w:ascii="宋体" w:hAnsi="宋体"/>
          <w:szCs w:val="21"/>
        </w:rPr>
        <w:t>7</w:t>
      </w:r>
      <w:r>
        <w:rPr>
          <w:rFonts w:ascii="宋体" w:hAnsi="宋体"/>
          <w:szCs w:val="21"/>
        </w:rPr>
        <w:t>3元、844.25元。1999年，烟草收购微机系统完善</w:t>
      </w:r>
      <w:r>
        <w:rPr>
          <w:rFonts w:hint="eastAsia" w:ascii="宋体" w:hAnsi="宋体"/>
          <w:szCs w:val="21"/>
        </w:rPr>
        <w:t>之后，收购价格趋于平稳。</w:t>
      </w:r>
      <w:r>
        <w:rPr>
          <w:rFonts w:ascii="宋体" w:hAnsi="宋体"/>
          <w:szCs w:val="21"/>
        </w:rPr>
        <w:t>1988年至2004年收购价格见表2-16：</w:t>
      </w:r>
    </w:p>
    <w:p w14:paraId="7AA54D92">
      <w:pPr>
        <w:ind w:firstLine="0" w:firstLineChars="0"/>
        <w:jc w:val="center"/>
        <w:rPr>
          <w:rFonts w:ascii="宋体" w:hAnsi="宋体"/>
          <w:szCs w:val="21"/>
        </w:rPr>
      </w:pPr>
      <w:r>
        <w:rPr>
          <w:rFonts w:hint="eastAsia" w:ascii="宋体" w:hAnsi="宋体"/>
          <w:b/>
          <w:szCs w:val="21"/>
        </w:rPr>
        <w:t>1988年至2004年烟叶收购数量、均价统计</w:t>
      </w:r>
    </w:p>
    <w:p w14:paraId="1F3BB3D6">
      <w:pPr>
        <w:ind w:firstLine="0" w:firstLineChars="0"/>
        <w:rPr>
          <w:rFonts w:ascii="宋体" w:hAnsi="宋体"/>
          <w:b/>
        </w:rPr>
      </w:pPr>
      <w:r>
        <w:rPr>
          <w:rFonts w:hint="eastAsia" w:ascii="宋体" w:hAnsi="宋体"/>
          <w:b/>
        </w:rPr>
        <w:t>表2-16</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22"/>
        <w:gridCol w:w="1422"/>
        <w:gridCol w:w="1422"/>
        <w:gridCol w:w="1425"/>
        <w:gridCol w:w="1425"/>
        <w:gridCol w:w="1425"/>
        <w:gridCol w:w="1421"/>
      </w:tblGrid>
      <w:tr w14:paraId="580D5A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Merge w:val="restart"/>
            <w:vAlign w:val="center"/>
          </w:tcPr>
          <w:p w14:paraId="4A3EFAA5">
            <w:pPr>
              <w:pStyle w:val="12"/>
              <w:jc w:val="center"/>
              <w:rPr>
                <w:rFonts w:ascii="宋体" w:hAnsi="宋体"/>
                <w:b/>
              </w:rPr>
            </w:pPr>
            <w:r>
              <w:rPr>
                <w:rFonts w:hint="eastAsia" w:ascii="宋体" w:hAnsi="宋体"/>
                <w:b/>
              </w:rPr>
              <w:t>年份</w:t>
            </w:r>
          </w:p>
        </w:tc>
        <w:tc>
          <w:tcPr>
            <w:tcW w:w="2142" w:type="pct"/>
            <w:gridSpan w:val="3"/>
            <w:vAlign w:val="center"/>
          </w:tcPr>
          <w:p w14:paraId="0E2723D9">
            <w:pPr>
              <w:pStyle w:val="12"/>
              <w:jc w:val="center"/>
              <w:rPr>
                <w:rFonts w:ascii="宋体" w:hAnsi="宋体"/>
                <w:b/>
              </w:rPr>
            </w:pPr>
            <w:r>
              <w:rPr>
                <w:rFonts w:hint="eastAsia" w:ascii="宋体" w:hAnsi="宋体"/>
                <w:b/>
              </w:rPr>
              <w:t>烤烟</w:t>
            </w:r>
          </w:p>
        </w:tc>
        <w:tc>
          <w:tcPr>
            <w:tcW w:w="2144" w:type="pct"/>
            <w:gridSpan w:val="3"/>
            <w:vAlign w:val="center"/>
          </w:tcPr>
          <w:p w14:paraId="4F6C9D5D">
            <w:pPr>
              <w:pStyle w:val="12"/>
              <w:jc w:val="center"/>
              <w:rPr>
                <w:rFonts w:ascii="宋体" w:hAnsi="宋体"/>
                <w:b/>
              </w:rPr>
            </w:pPr>
            <w:r>
              <w:rPr>
                <w:rFonts w:hint="eastAsia" w:ascii="宋体" w:hAnsi="宋体"/>
                <w:b/>
              </w:rPr>
              <w:t>晒烟</w:t>
            </w:r>
          </w:p>
        </w:tc>
      </w:tr>
      <w:tr w14:paraId="2E960F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14:paraId="67AB7800">
            <w:pPr>
              <w:pStyle w:val="12"/>
              <w:jc w:val="center"/>
              <w:rPr>
                <w:rFonts w:ascii="宋体" w:hAnsi="宋体"/>
                <w:b/>
              </w:rPr>
            </w:pPr>
          </w:p>
        </w:tc>
        <w:tc>
          <w:tcPr>
            <w:tcW w:w="714" w:type="pct"/>
            <w:vAlign w:val="center"/>
          </w:tcPr>
          <w:p w14:paraId="52E6AE36">
            <w:pPr>
              <w:pStyle w:val="12"/>
              <w:jc w:val="center"/>
              <w:rPr>
                <w:rFonts w:ascii="宋体" w:hAnsi="宋体"/>
                <w:b/>
              </w:rPr>
            </w:pPr>
            <w:r>
              <w:rPr>
                <w:rFonts w:hint="eastAsia" w:ascii="宋体" w:hAnsi="宋体"/>
                <w:b/>
              </w:rPr>
              <w:t>收购量（吨）</w:t>
            </w:r>
          </w:p>
        </w:tc>
        <w:tc>
          <w:tcPr>
            <w:tcW w:w="714" w:type="pct"/>
            <w:vAlign w:val="center"/>
          </w:tcPr>
          <w:p w14:paraId="0D0F0D45">
            <w:pPr>
              <w:pStyle w:val="12"/>
              <w:jc w:val="center"/>
              <w:rPr>
                <w:rFonts w:ascii="宋体" w:hAnsi="宋体"/>
                <w:b/>
              </w:rPr>
            </w:pPr>
            <w:r>
              <w:rPr>
                <w:rFonts w:hint="eastAsia" w:ascii="宋体" w:hAnsi="宋体"/>
                <w:b/>
              </w:rPr>
              <w:t>收购金额（元）</w:t>
            </w:r>
          </w:p>
        </w:tc>
        <w:tc>
          <w:tcPr>
            <w:tcW w:w="715" w:type="pct"/>
            <w:vAlign w:val="center"/>
          </w:tcPr>
          <w:p w14:paraId="726538D7">
            <w:pPr>
              <w:pStyle w:val="12"/>
              <w:jc w:val="center"/>
              <w:rPr>
                <w:rFonts w:ascii="宋体" w:hAnsi="宋体"/>
                <w:b/>
              </w:rPr>
            </w:pPr>
            <w:r>
              <w:rPr>
                <w:rFonts w:hint="eastAsia" w:ascii="宋体" w:hAnsi="宋体"/>
                <w:b/>
              </w:rPr>
              <w:t>平均价（元/吨）</w:t>
            </w:r>
          </w:p>
        </w:tc>
        <w:tc>
          <w:tcPr>
            <w:tcW w:w="715" w:type="pct"/>
            <w:vAlign w:val="center"/>
          </w:tcPr>
          <w:p w14:paraId="052A0649">
            <w:pPr>
              <w:pStyle w:val="12"/>
              <w:jc w:val="center"/>
              <w:rPr>
                <w:rFonts w:ascii="宋体" w:hAnsi="宋体"/>
                <w:b/>
              </w:rPr>
            </w:pPr>
            <w:r>
              <w:rPr>
                <w:rFonts w:hint="eastAsia" w:ascii="宋体" w:hAnsi="宋体"/>
                <w:b/>
              </w:rPr>
              <w:t>收购量（吨）</w:t>
            </w:r>
          </w:p>
        </w:tc>
        <w:tc>
          <w:tcPr>
            <w:tcW w:w="715" w:type="pct"/>
            <w:vAlign w:val="center"/>
          </w:tcPr>
          <w:p w14:paraId="33551C51">
            <w:pPr>
              <w:pStyle w:val="12"/>
              <w:jc w:val="center"/>
              <w:rPr>
                <w:rFonts w:ascii="宋体" w:hAnsi="宋体"/>
                <w:b/>
              </w:rPr>
            </w:pPr>
            <w:r>
              <w:rPr>
                <w:rFonts w:hint="eastAsia" w:ascii="宋体" w:hAnsi="宋体"/>
                <w:b/>
              </w:rPr>
              <w:t>收购金额（元）</w:t>
            </w:r>
          </w:p>
        </w:tc>
        <w:tc>
          <w:tcPr>
            <w:tcW w:w="715" w:type="pct"/>
            <w:vAlign w:val="center"/>
          </w:tcPr>
          <w:p w14:paraId="1F9FB0C4">
            <w:pPr>
              <w:pStyle w:val="12"/>
              <w:jc w:val="center"/>
              <w:rPr>
                <w:rFonts w:ascii="宋体" w:hAnsi="宋体"/>
                <w:b/>
              </w:rPr>
            </w:pPr>
            <w:r>
              <w:rPr>
                <w:rFonts w:hint="eastAsia" w:ascii="宋体" w:hAnsi="宋体"/>
                <w:b/>
              </w:rPr>
              <w:t>平均价（元/吨）</w:t>
            </w:r>
          </w:p>
        </w:tc>
      </w:tr>
      <w:tr w14:paraId="373BB6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A29EC52">
            <w:pPr>
              <w:pStyle w:val="12"/>
              <w:jc w:val="center"/>
              <w:rPr>
                <w:rFonts w:ascii="宋体" w:hAnsi="宋体"/>
              </w:rPr>
            </w:pPr>
            <w:r>
              <w:rPr>
                <w:rFonts w:ascii="宋体" w:hAnsi="宋体"/>
              </w:rPr>
              <w:t>1987</w:t>
            </w:r>
          </w:p>
        </w:tc>
        <w:tc>
          <w:tcPr>
            <w:tcW w:w="714" w:type="pct"/>
            <w:vAlign w:val="center"/>
          </w:tcPr>
          <w:p w14:paraId="672E3B3B">
            <w:pPr>
              <w:pStyle w:val="12"/>
              <w:jc w:val="center"/>
              <w:rPr>
                <w:rFonts w:ascii="宋体" w:hAnsi="宋体"/>
              </w:rPr>
            </w:pPr>
            <w:r>
              <w:rPr>
                <w:rFonts w:ascii="宋体" w:hAnsi="宋体"/>
              </w:rPr>
              <w:t>—</w:t>
            </w:r>
          </w:p>
        </w:tc>
        <w:tc>
          <w:tcPr>
            <w:tcW w:w="714" w:type="pct"/>
            <w:vAlign w:val="center"/>
          </w:tcPr>
          <w:p w14:paraId="1A7D74CC">
            <w:pPr>
              <w:pStyle w:val="12"/>
              <w:jc w:val="center"/>
              <w:rPr>
                <w:rFonts w:ascii="宋体" w:hAnsi="宋体"/>
              </w:rPr>
            </w:pPr>
            <w:r>
              <w:rPr>
                <w:rFonts w:ascii="宋体" w:hAnsi="宋体"/>
              </w:rPr>
              <w:t>—</w:t>
            </w:r>
          </w:p>
        </w:tc>
        <w:tc>
          <w:tcPr>
            <w:tcW w:w="715" w:type="pct"/>
            <w:vAlign w:val="center"/>
          </w:tcPr>
          <w:p w14:paraId="5160BA41">
            <w:pPr>
              <w:pStyle w:val="12"/>
              <w:jc w:val="center"/>
              <w:rPr>
                <w:rFonts w:ascii="宋体" w:hAnsi="宋体"/>
              </w:rPr>
            </w:pPr>
            <w:r>
              <w:rPr>
                <w:rFonts w:ascii="宋体" w:hAnsi="宋体"/>
              </w:rPr>
              <w:t>5519</w:t>
            </w:r>
          </w:p>
        </w:tc>
        <w:tc>
          <w:tcPr>
            <w:tcW w:w="715" w:type="pct"/>
            <w:vAlign w:val="center"/>
          </w:tcPr>
          <w:p w14:paraId="166761C2">
            <w:pPr>
              <w:pStyle w:val="12"/>
              <w:jc w:val="center"/>
              <w:rPr>
                <w:rFonts w:ascii="宋体" w:hAnsi="宋体"/>
              </w:rPr>
            </w:pPr>
            <w:r>
              <w:rPr>
                <w:rFonts w:ascii="宋体" w:hAnsi="宋体"/>
              </w:rPr>
              <w:t>—</w:t>
            </w:r>
          </w:p>
        </w:tc>
        <w:tc>
          <w:tcPr>
            <w:tcW w:w="715" w:type="pct"/>
            <w:vAlign w:val="center"/>
          </w:tcPr>
          <w:p w14:paraId="1AAFBD50">
            <w:pPr>
              <w:pStyle w:val="12"/>
              <w:jc w:val="center"/>
              <w:rPr>
                <w:rFonts w:ascii="宋体" w:hAnsi="宋体"/>
              </w:rPr>
            </w:pPr>
            <w:r>
              <w:rPr>
                <w:rFonts w:ascii="宋体" w:hAnsi="宋体"/>
              </w:rPr>
              <w:t>—</w:t>
            </w:r>
          </w:p>
        </w:tc>
        <w:tc>
          <w:tcPr>
            <w:tcW w:w="715" w:type="pct"/>
            <w:vAlign w:val="center"/>
          </w:tcPr>
          <w:p w14:paraId="6A001B2F">
            <w:pPr>
              <w:pStyle w:val="12"/>
              <w:jc w:val="center"/>
              <w:rPr>
                <w:rFonts w:ascii="宋体" w:hAnsi="宋体"/>
              </w:rPr>
            </w:pPr>
            <w:r>
              <w:rPr>
                <w:rFonts w:ascii="宋体" w:hAnsi="宋体"/>
              </w:rPr>
              <w:t>4985</w:t>
            </w:r>
          </w:p>
        </w:tc>
      </w:tr>
      <w:tr w14:paraId="49049B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A3159C5">
            <w:pPr>
              <w:pStyle w:val="12"/>
              <w:jc w:val="center"/>
              <w:rPr>
                <w:rFonts w:ascii="宋体" w:hAnsi="宋体"/>
              </w:rPr>
            </w:pPr>
            <w:r>
              <w:rPr>
                <w:rFonts w:ascii="宋体" w:hAnsi="宋体"/>
              </w:rPr>
              <w:t>1988</w:t>
            </w:r>
          </w:p>
        </w:tc>
        <w:tc>
          <w:tcPr>
            <w:tcW w:w="714" w:type="pct"/>
            <w:vAlign w:val="center"/>
          </w:tcPr>
          <w:p w14:paraId="1219AAF3">
            <w:pPr>
              <w:pStyle w:val="12"/>
              <w:jc w:val="center"/>
              <w:rPr>
                <w:rFonts w:ascii="宋体" w:hAnsi="宋体"/>
              </w:rPr>
            </w:pPr>
            <w:r>
              <w:rPr>
                <w:rFonts w:ascii="宋体" w:hAnsi="宋体"/>
              </w:rPr>
              <w:t>9840.6</w:t>
            </w:r>
          </w:p>
        </w:tc>
        <w:tc>
          <w:tcPr>
            <w:tcW w:w="714" w:type="pct"/>
            <w:vAlign w:val="center"/>
          </w:tcPr>
          <w:p w14:paraId="69C38D36">
            <w:pPr>
              <w:pStyle w:val="12"/>
              <w:jc w:val="center"/>
              <w:rPr>
                <w:rFonts w:ascii="宋体" w:hAnsi="宋体"/>
              </w:rPr>
            </w:pPr>
            <w:r>
              <w:rPr>
                <w:rFonts w:ascii="宋体" w:hAnsi="宋体"/>
              </w:rPr>
              <w:t>48706427</w:t>
            </w:r>
          </w:p>
        </w:tc>
        <w:tc>
          <w:tcPr>
            <w:tcW w:w="715" w:type="pct"/>
            <w:vAlign w:val="center"/>
          </w:tcPr>
          <w:p w14:paraId="6D9F329D">
            <w:pPr>
              <w:pStyle w:val="12"/>
              <w:jc w:val="center"/>
              <w:rPr>
                <w:rFonts w:ascii="宋体" w:hAnsi="宋体"/>
              </w:rPr>
            </w:pPr>
            <w:r>
              <w:rPr>
                <w:rFonts w:ascii="宋体" w:hAnsi="宋体"/>
              </w:rPr>
              <w:t>4949.5</w:t>
            </w:r>
          </w:p>
        </w:tc>
        <w:tc>
          <w:tcPr>
            <w:tcW w:w="715" w:type="pct"/>
            <w:vAlign w:val="center"/>
          </w:tcPr>
          <w:p w14:paraId="103ADC80">
            <w:pPr>
              <w:pStyle w:val="12"/>
              <w:jc w:val="center"/>
              <w:rPr>
                <w:rFonts w:ascii="宋体" w:hAnsi="宋体"/>
              </w:rPr>
            </w:pPr>
            <w:r>
              <w:rPr>
                <w:rFonts w:ascii="宋体" w:hAnsi="宋体"/>
              </w:rPr>
              <w:t>4436.3</w:t>
            </w:r>
          </w:p>
        </w:tc>
        <w:tc>
          <w:tcPr>
            <w:tcW w:w="715" w:type="pct"/>
            <w:vAlign w:val="center"/>
          </w:tcPr>
          <w:p w14:paraId="73EE4C32">
            <w:pPr>
              <w:pStyle w:val="12"/>
              <w:jc w:val="center"/>
              <w:rPr>
                <w:rFonts w:ascii="宋体" w:hAnsi="宋体"/>
              </w:rPr>
            </w:pPr>
            <w:r>
              <w:rPr>
                <w:rFonts w:ascii="宋体" w:hAnsi="宋体"/>
              </w:rPr>
              <w:t>23952348</w:t>
            </w:r>
          </w:p>
        </w:tc>
        <w:tc>
          <w:tcPr>
            <w:tcW w:w="715" w:type="pct"/>
            <w:vAlign w:val="center"/>
          </w:tcPr>
          <w:p w14:paraId="7A045EE9">
            <w:pPr>
              <w:pStyle w:val="12"/>
              <w:jc w:val="center"/>
              <w:rPr>
                <w:rFonts w:ascii="宋体" w:hAnsi="宋体"/>
              </w:rPr>
            </w:pPr>
            <w:r>
              <w:rPr>
                <w:rFonts w:ascii="宋体" w:hAnsi="宋体"/>
              </w:rPr>
              <w:t>5399.2</w:t>
            </w:r>
          </w:p>
        </w:tc>
      </w:tr>
      <w:tr w14:paraId="4791860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6BD0E01">
            <w:pPr>
              <w:pStyle w:val="12"/>
              <w:jc w:val="center"/>
              <w:rPr>
                <w:rFonts w:ascii="宋体" w:hAnsi="宋体"/>
              </w:rPr>
            </w:pPr>
            <w:r>
              <w:rPr>
                <w:rFonts w:ascii="宋体" w:hAnsi="宋体"/>
              </w:rPr>
              <w:t>1989</w:t>
            </w:r>
          </w:p>
        </w:tc>
        <w:tc>
          <w:tcPr>
            <w:tcW w:w="714" w:type="pct"/>
            <w:vAlign w:val="center"/>
          </w:tcPr>
          <w:p w14:paraId="05F5EDBC">
            <w:pPr>
              <w:pStyle w:val="12"/>
              <w:jc w:val="center"/>
              <w:rPr>
                <w:rFonts w:ascii="宋体" w:hAnsi="宋体"/>
              </w:rPr>
            </w:pPr>
            <w:r>
              <w:rPr>
                <w:rFonts w:ascii="宋体" w:hAnsi="宋体"/>
              </w:rPr>
              <w:t>13290.9</w:t>
            </w:r>
          </w:p>
        </w:tc>
        <w:tc>
          <w:tcPr>
            <w:tcW w:w="714" w:type="pct"/>
            <w:vAlign w:val="center"/>
          </w:tcPr>
          <w:p w14:paraId="29BB3B74">
            <w:pPr>
              <w:pStyle w:val="12"/>
              <w:jc w:val="center"/>
              <w:rPr>
                <w:rFonts w:ascii="宋体" w:hAnsi="宋体"/>
              </w:rPr>
            </w:pPr>
            <w:r>
              <w:rPr>
                <w:rFonts w:ascii="宋体" w:hAnsi="宋体"/>
              </w:rPr>
              <w:t>70948769</w:t>
            </w:r>
          </w:p>
        </w:tc>
        <w:tc>
          <w:tcPr>
            <w:tcW w:w="715" w:type="pct"/>
            <w:vAlign w:val="center"/>
          </w:tcPr>
          <w:p w14:paraId="7AA46F70">
            <w:pPr>
              <w:pStyle w:val="12"/>
              <w:jc w:val="center"/>
              <w:rPr>
                <w:rFonts w:ascii="宋体" w:hAnsi="宋体"/>
              </w:rPr>
            </w:pPr>
            <w:r>
              <w:rPr>
                <w:rFonts w:ascii="宋体" w:hAnsi="宋体"/>
              </w:rPr>
              <w:t>5338.1</w:t>
            </w:r>
          </w:p>
        </w:tc>
        <w:tc>
          <w:tcPr>
            <w:tcW w:w="715" w:type="pct"/>
            <w:vAlign w:val="center"/>
          </w:tcPr>
          <w:p w14:paraId="6FA6F2AE">
            <w:pPr>
              <w:pStyle w:val="12"/>
              <w:jc w:val="center"/>
              <w:rPr>
                <w:rFonts w:ascii="宋体" w:hAnsi="宋体"/>
              </w:rPr>
            </w:pPr>
            <w:r>
              <w:rPr>
                <w:rFonts w:ascii="宋体" w:hAnsi="宋体"/>
              </w:rPr>
              <w:t>5555.5</w:t>
            </w:r>
          </w:p>
        </w:tc>
        <w:tc>
          <w:tcPr>
            <w:tcW w:w="715" w:type="pct"/>
            <w:vAlign w:val="center"/>
          </w:tcPr>
          <w:p w14:paraId="09D39A21">
            <w:pPr>
              <w:pStyle w:val="12"/>
              <w:jc w:val="center"/>
              <w:rPr>
                <w:rFonts w:ascii="宋体" w:hAnsi="宋体"/>
              </w:rPr>
            </w:pPr>
            <w:r>
              <w:rPr>
                <w:rFonts w:ascii="宋体" w:hAnsi="宋体"/>
              </w:rPr>
              <w:t>25086891</w:t>
            </w:r>
          </w:p>
        </w:tc>
        <w:tc>
          <w:tcPr>
            <w:tcW w:w="715" w:type="pct"/>
            <w:vAlign w:val="center"/>
          </w:tcPr>
          <w:p w14:paraId="3825229D">
            <w:pPr>
              <w:pStyle w:val="12"/>
              <w:jc w:val="center"/>
              <w:rPr>
                <w:rFonts w:ascii="宋体" w:hAnsi="宋体"/>
              </w:rPr>
            </w:pPr>
            <w:r>
              <w:rPr>
                <w:rFonts w:ascii="宋体" w:hAnsi="宋体"/>
              </w:rPr>
              <w:t>4515.7</w:t>
            </w:r>
          </w:p>
        </w:tc>
      </w:tr>
      <w:tr w14:paraId="7E6787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AEA5B8A">
            <w:pPr>
              <w:pStyle w:val="12"/>
              <w:jc w:val="center"/>
              <w:rPr>
                <w:rFonts w:ascii="宋体" w:hAnsi="宋体"/>
              </w:rPr>
            </w:pPr>
            <w:r>
              <w:rPr>
                <w:rFonts w:ascii="宋体" w:hAnsi="宋体"/>
              </w:rPr>
              <w:t>1990</w:t>
            </w:r>
          </w:p>
        </w:tc>
        <w:tc>
          <w:tcPr>
            <w:tcW w:w="714" w:type="pct"/>
            <w:vAlign w:val="center"/>
          </w:tcPr>
          <w:p w14:paraId="356E95A3">
            <w:pPr>
              <w:pStyle w:val="12"/>
              <w:jc w:val="center"/>
              <w:rPr>
                <w:rFonts w:ascii="宋体" w:hAnsi="宋体"/>
              </w:rPr>
            </w:pPr>
            <w:r>
              <w:rPr>
                <w:rFonts w:ascii="宋体" w:hAnsi="宋体"/>
              </w:rPr>
              <w:t>16494.7</w:t>
            </w:r>
          </w:p>
        </w:tc>
        <w:tc>
          <w:tcPr>
            <w:tcW w:w="714" w:type="pct"/>
            <w:vAlign w:val="center"/>
          </w:tcPr>
          <w:p w14:paraId="4E5B9E87">
            <w:pPr>
              <w:pStyle w:val="12"/>
              <w:jc w:val="center"/>
              <w:rPr>
                <w:rFonts w:ascii="宋体" w:hAnsi="宋体"/>
              </w:rPr>
            </w:pPr>
            <w:r>
              <w:rPr>
                <w:rFonts w:ascii="宋体" w:hAnsi="宋体"/>
              </w:rPr>
              <w:t>81958936</w:t>
            </w:r>
          </w:p>
        </w:tc>
        <w:tc>
          <w:tcPr>
            <w:tcW w:w="715" w:type="pct"/>
            <w:vAlign w:val="center"/>
          </w:tcPr>
          <w:p w14:paraId="12ECEC87">
            <w:pPr>
              <w:pStyle w:val="12"/>
              <w:jc w:val="center"/>
              <w:rPr>
                <w:rFonts w:ascii="宋体" w:hAnsi="宋体"/>
              </w:rPr>
            </w:pPr>
            <w:r>
              <w:rPr>
                <w:rFonts w:ascii="宋体" w:hAnsi="宋体"/>
              </w:rPr>
              <w:t>4968.8</w:t>
            </w:r>
          </w:p>
        </w:tc>
        <w:tc>
          <w:tcPr>
            <w:tcW w:w="715" w:type="pct"/>
            <w:vAlign w:val="center"/>
          </w:tcPr>
          <w:p w14:paraId="6E74CB9B">
            <w:pPr>
              <w:pStyle w:val="12"/>
              <w:jc w:val="center"/>
              <w:rPr>
                <w:rFonts w:ascii="宋体" w:hAnsi="宋体"/>
              </w:rPr>
            </w:pPr>
            <w:r>
              <w:rPr>
                <w:rFonts w:ascii="宋体" w:hAnsi="宋体"/>
              </w:rPr>
              <w:t>2317.6</w:t>
            </w:r>
          </w:p>
        </w:tc>
        <w:tc>
          <w:tcPr>
            <w:tcW w:w="715" w:type="pct"/>
            <w:vAlign w:val="center"/>
          </w:tcPr>
          <w:p w14:paraId="678D56BE">
            <w:pPr>
              <w:pStyle w:val="12"/>
              <w:jc w:val="center"/>
              <w:rPr>
                <w:rFonts w:ascii="宋体" w:hAnsi="宋体"/>
              </w:rPr>
            </w:pPr>
            <w:r>
              <w:rPr>
                <w:rFonts w:ascii="宋体" w:hAnsi="宋体"/>
              </w:rPr>
              <w:t>8238031</w:t>
            </w:r>
          </w:p>
        </w:tc>
        <w:tc>
          <w:tcPr>
            <w:tcW w:w="715" w:type="pct"/>
            <w:vAlign w:val="center"/>
          </w:tcPr>
          <w:p w14:paraId="5488B590">
            <w:pPr>
              <w:pStyle w:val="12"/>
              <w:jc w:val="center"/>
              <w:rPr>
                <w:rFonts w:ascii="宋体" w:hAnsi="宋体"/>
              </w:rPr>
            </w:pPr>
            <w:r>
              <w:rPr>
                <w:rFonts w:ascii="宋体" w:hAnsi="宋体"/>
              </w:rPr>
              <w:t>3554.6</w:t>
            </w:r>
          </w:p>
        </w:tc>
      </w:tr>
      <w:tr w14:paraId="6405B0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8047753">
            <w:pPr>
              <w:pStyle w:val="12"/>
              <w:jc w:val="center"/>
              <w:rPr>
                <w:rFonts w:ascii="宋体" w:hAnsi="宋体"/>
              </w:rPr>
            </w:pPr>
            <w:r>
              <w:rPr>
                <w:rFonts w:ascii="宋体" w:hAnsi="宋体"/>
              </w:rPr>
              <w:t>1991</w:t>
            </w:r>
          </w:p>
        </w:tc>
        <w:tc>
          <w:tcPr>
            <w:tcW w:w="714" w:type="pct"/>
            <w:vAlign w:val="center"/>
          </w:tcPr>
          <w:p w14:paraId="776F65E1">
            <w:pPr>
              <w:pStyle w:val="12"/>
              <w:jc w:val="center"/>
              <w:rPr>
                <w:rFonts w:ascii="宋体" w:hAnsi="宋体"/>
              </w:rPr>
            </w:pPr>
            <w:r>
              <w:rPr>
                <w:rFonts w:ascii="宋体" w:hAnsi="宋体"/>
              </w:rPr>
              <w:t>24081.8</w:t>
            </w:r>
          </w:p>
        </w:tc>
        <w:tc>
          <w:tcPr>
            <w:tcW w:w="714" w:type="pct"/>
            <w:vAlign w:val="center"/>
          </w:tcPr>
          <w:p w14:paraId="661EA6DB">
            <w:pPr>
              <w:pStyle w:val="12"/>
              <w:jc w:val="center"/>
              <w:rPr>
                <w:rFonts w:ascii="宋体" w:hAnsi="宋体"/>
              </w:rPr>
            </w:pPr>
            <w:r>
              <w:rPr>
                <w:rFonts w:ascii="宋体" w:hAnsi="宋体"/>
              </w:rPr>
              <w:t>118270794</w:t>
            </w:r>
          </w:p>
        </w:tc>
        <w:tc>
          <w:tcPr>
            <w:tcW w:w="715" w:type="pct"/>
            <w:vAlign w:val="center"/>
          </w:tcPr>
          <w:p w14:paraId="737A6842">
            <w:pPr>
              <w:pStyle w:val="12"/>
              <w:jc w:val="center"/>
              <w:rPr>
                <w:rFonts w:ascii="宋体" w:hAnsi="宋体"/>
              </w:rPr>
            </w:pPr>
            <w:r>
              <w:rPr>
                <w:rFonts w:ascii="宋体" w:hAnsi="宋体"/>
              </w:rPr>
              <w:t>4911.2</w:t>
            </w:r>
          </w:p>
        </w:tc>
        <w:tc>
          <w:tcPr>
            <w:tcW w:w="715" w:type="pct"/>
            <w:vAlign w:val="center"/>
          </w:tcPr>
          <w:p w14:paraId="05C77CF8">
            <w:pPr>
              <w:pStyle w:val="12"/>
              <w:jc w:val="center"/>
              <w:rPr>
                <w:rFonts w:ascii="宋体" w:hAnsi="宋体"/>
              </w:rPr>
            </w:pPr>
            <w:r>
              <w:rPr>
                <w:rFonts w:ascii="宋体" w:hAnsi="宋体"/>
              </w:rPr>
              <w:t>2048</w:t>
            </w:r>
          </w:p>
        </w:tc>
        <w:tc>
          <w:tcPr>
            <w:tcW w:w="715" w:type="pct"/>
            <w:vAlign w:val="center"/>
          </w:tcPr>
          <w:p w14:paraId="6D6700C0">
            <w:pPr>
              <w:pStyle w:val="12"/>
              <w:jc w:val="center"/>
              <w:rPr>
                <w:rFonts w:ascii="宋体" w:hAnsi="宋体"/>
              </w:rPr>
            </w:pPr>
            <w:r>
              <w:rPr>
                <w:rFonts w:ascii="宋体" w:hAnsi="宋体"/>
              </w:rPr>
              <w:t>9745333</w:t>
            </w:r>
          </w:p>
        </w:tc>
        <w:tc>
          <w:tcPr>
            <w:tcW w:w="715" w:type="pct"/>
            <w:vAlign w:val="center"/>
          </w:tcPr>
          <w:p w14:paraId="227E491B">
            <w:pPr>
              <w:pStyle w:val="12"/>
              <w:jc w:val="center"/>
              <w:rPr>
                <w:rFonts w:ascii="宋体" w:hAnsi="宋体"/>
              </w:rPr>
            </w:pPr>
            <w:r>
              <w:rPr>
                <w:rFonts w:ascii="宋体" w:hAnsi="宋体"/>
              </w:rPr>
              <w:t>4758.5</w:t>
            </w:r>
          </w:p>
        </w:tc>
      </w:tr>
      <w:tr w14:paraId="2488BE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EE2DCAD">
            <w:pPr>
              <w:pStyle w:val="12"/>
              <w:jc w:val="center"/>
              <w:rPr>
                <w:rFonts w:ascii="宋体" w:hAnsi="宋体"/>
              </w:rPr>
            </w:pPr>
            <w:r>
              <w:rPr>
                <w:rFonts w:ascii="宋体" w:hAnsi="宋体"/>
              </w:rPr>
              <w:t>1992</w:t>
            </w:r>
          </w:p>
        </w:tc>
        <w:tc>
          <w:tcPr>
            <w:tcW w:w="714" w:type="pct"/>
            <w:vAlign w:val="center"/>
          </w:tcPr>
          <w:p w14:paraId="0103A19E">
            <w:pPr>
              <w:pStyle w:val="12"/>
              <w:jc w:val="center"/>
              <w:rPr>
                <w:rFonts w:ascii="宋体" w:hAnsi="宋体"/>
              </w:rPr>
            </w:pPr>
            <w:r>
              <w:rPr>
                <w:rFonts w:ascii="宋体" w:hAnsi="宋体"/>
              </w:rPr>
              <w:t>25254.7</w:t>
            </w:r>
          </w:p>
        </w:tc>
        <w:tc>
          <w:tcPr>
            <w:tcW w:w="714" w:type="pct"/>
            <w:vAlign w:val="center"/>
          </w:tcPr>
          <w:p w14:paraId="3AF38D93">
            <w:pPr>
              <w:pStyle w:val="12"/>
              <w:jc w:val="center"/>
              <w:rPr>
                <w:rFonts w:ascii="宋体" w:hAnsi="宋体"/>
              </w:rPr>
            </w:pPr>
            <w:r>
              <w:rPr>
                <w:rFonts w:ascii="宋体" w:hAnsi="宋体"/>
              </w:rPr>
              <w:t>129920933</w:t>
            </w:r>
          </w:p>
        </w:tc>
        <w:tc>
          <w:tcPr>
            <w:tcW w:w="715" w:type="pct"/>
            <w:vAlign w:val="center"/>
          </w:tcPr>
          <w:p w14:paraId="754DA852">
            <w:pPr>
              <w:pStyle w:val="12"/>
              <w:jc w:val="center"/>
              <w:rPr>
                <w:rFonts w:ascii="宋体" w:hAnsi="宋体"/>
              </w:rPr>
            </w:pPr>
            <w:r>
              <w:rPr>
                <w:rFonts w:ascii="宋体" w:hAnsi="宋体"/>
              </w:rPr>
              <w:t>5144.4</w:t>
            </w:r>
          </w:p>
        </w:tc>
        <w:tc>
          <w:tcPr>
            <w:tcW w:w="715" w:type="pct"/>
            <w:vAlign w:val="center"/>
          </w:tcPr>
          <w:p w14:paraId="31438A37">
            <w:pPr>
              <w:pStyle w:val="12"/>
              <w:jc w:val="center"/>
              <w:rPr>
                <w:rFonts w:ascii="宋体" w:hAnsi="宋体"/>
              </w:rPr>
            </w:pPr>
            <w:r>
              <w:rPr>
                <w:rFonts w:ascii="宋体" w:hAnsi="宋体"/>
              </w:rPr>
              <w:t>4839.3</w:t>
            </w:r>
          </w:p>
        </w:tc>
        <w:tc>
          <w:tcPr>
            <w:tcW w:w="715" w:type="pct"/>
            <w:vAlign w:val="center"/>
          </w:tcPr>
          <w:p w14:paraId="5276D64C">
            <w:pPr>
              <w:pStyle w:val="12"/>
              <w:jc w:val="center"/>
              <w:rPr>
                <w:rFonts w:ascii="宋体" w:hAnsi="宋体"/>
              </w:rPr>
            </w:pPr>
            <w:r>
              <w:rPr>
                <w:rFonts w:ascii="宋体" w:hAnsi="宋体"/>
              </w:rPr>
              <w:t>24645008</w:t>
            </w:r>
          </w:p>
        </w:tc>
        <w:tc>
          <w:tcPr>
            <w:tcW w:w="715" w:type="pct"/>
            <w:vAlign w:val="center"/>
          </w:tcPr>
          <w:p w14:paraId="645C80AD">
            <w:pPr>
              <w:pStyle w:val="12"/>
              <w:jc w:val="center"/>
              <w:rPr>
                <w:rFonts w:ascii="宋体" w:hAnsi="宋体"/>
              </w:rPr>
            </w:pPr>
            <w:r>
              <w:rPr>
                <w:rFonts w:ascii="宋体" w:hAnsi="宋体"/>
              </w:rPr>
              <w:t>5092.7</w:t>
            </w:r>
          </w:p>
        </w:tc>
      </w:tr>
      <w:tr w14:paraId="0B8C46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0158F38">
            <w:pPr>
              <w:pStyle w:val="12"/>
              <w:jc w:val="center"/>
              <w:rPr>
                <w:rFonts w:ascii="宋体" w:hAnsi="宋体"/>
              </w:rPr>
            </w:pPr>
            <w:r>
              <w:rPr>
                <w:rFonts w:ascii="宋体" w:hAnsi="宋体"/>
              </w:rPr>
              <w:t>1993</w:t>
            </w:r>
          </w:p>
        </w:tc>
        <w:tc>
          <w:tcPr>
            <w:tcW w:w="714" w:type="pct"/>
            <w:vAlign w:val="center"/>
          </w:tcPr>
          <w:p w14:paraId="57E21D35">
            <w:pPr>
              <w:pStyle w:val="12"/>
              <w:jc w:val="center"/>
              <w:rPr>
                <w:rFonts w:ascii="宋体" w:hAnsi="宋体"/>
              </w:rPr>
            </w:pPr>
            <w:r>
              <w:rPr>
                <w:rFonts w:ascii="宋体" w:hAnsi="宋体"/>
              </w:rPr>
              <w:t>15810</w:t>
            </w:r>
          </w:p>
        </w:tc>
        <w:tc>
          <w:tcPr>
            <w:tcW w:w="714" w:type="pct"/>
            <w:vAlign w:val="center"/>
          </w:tcPr>
          <w:p w14:paraId="0B825EBB">
            <w:pPr>
              <w:pStyle w:val="12"/>
              <w:jc w:val="center"/>
              <w:rPr>
                <w:rFonts w:ascii="宋体" w:hAnsi="宋体"/>
              </w:rPr>
            </w:pPr>
            <w:r>
              <w:rPr>
                <w:rFonts w:ascii="宋体" w:hAnsi="宋体"/>
              </w:rPr>
              <w:t>97141371</w:t>
            </w:r>
          </w:p>
        </w:tc>
        <w:tc>
          <w:tcPr>
            <w:tcW w:w="715" w:type="pct"/>
            <w:vAlign w:val="center"/>
          </w:tcPr>
          <w:p w14:paraId="2C49D402">
            <w:pPr>
              <w:pStyle w:val="12"/>
              <w:jc w:val="center"/>
              <w:rPr>
                <w:rFonts w:ascii="宋体" w:hAnsi="宋体"/>
              </w:rPr>
            </w:pPr>
            <w:r>
              <w:rPr>
                <w:rFonts w:ascii="宋体" w:hAnsi="宋体"/>
              </w:rPr>
              <w:t>6144.3</w:t>
            </w:r>
          </w:p>
        </w:tc>
        <w:tc>
          <w:tcPr>
            <w:tcW w:w="715" w:type="pct"/>
            <w:vAlign w:val="center"/>
          </w:tcPr>
          <w:p w14:paraId="67EF21AD">
            <w:pPr>
              <w:pStyle w:val="12"/>
              <w:jc w:val="center"/>
              <w:rPr>
                <w:rFonts w:ascii="宋体" w:hAnsi="宋体"/>
              </w:rPr>
            </w:pPr>
            <w:r>
              <w:rPr>
                <w:rFonts w:ascii="宋体" w:hAnsi="宋体"/>
              </w:rPr>
              <w:t>2248.8</w:t>
            </w:r>
          </w:p>
        </w:tc>
        <w:tc>
          <w:tcPr>
            <w:tcW w:w="715" w:type="pct"/>
            <w:vAlign w:val="center"/>
          </w:tcPr>
          <w:p w14:paraId="6626D5B7">
            <w:pPr>
              <w:pStyle w:val="12"/>
              <w:jc w:val="center"/>
              <w:rPr>
                <w:rFonts w:ascii="宋体" w:hAnsi="宋体"/>
              </w:rPr>
            </w:pPr>
            <w:r>
              <w:rPr>
                <w:rFonts w:ascii="宋体" w:hAnsi="宋体"/>
              </w:rPr>
              <w:t>9495794</w:t>
            </w:r>
          </w:p>
        </w:tc>
        <w:tc>
          <w:tcPr>
            <w:tcW w:w="715" w:type="pct"/>
            <w:vAlign w:val="center"/>
          </w:tcPr>
          <w:p w14:paraId="3CE58F0A">
            <w:pPr>
              <w:pStyle w:val="12"/>
              <w:jc w:val="center"/>
              <w:rPr>
                <w:rFonts w:ascii="宋体" w:hAnsi="宋体"/>
              </w:rPr>
            </w:pPr>
            <w:r>
              <w:rPr>
                <w:rFonts w:ascii="宋体" w:hAnsi="宋体"/>
              </w:rPr>
              <w:t>4222.6</w:t>
            </w:r>
          </w:p>
        </w:tc>
      </w:tr>
      <w:tr w14:paraId="3454C2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E4ACEA8">
            <w:pPr>
              <w:pStyle w:val="12"/>
              <w:jc w:val="center"/>
              <w:rPr>
                <w:rFonts w:ascii="宋体" w:hAnsi="宋体"/>
              </w:rPr>
            </w:pPr>
            <w:r>
              <w:rPr>
                <w:rFonts w:ascii="宋体" w:hAnsi="宋体"/>
              </w:rPr>
              <w:t>1994</w:t>
            </w:r>
          </w:p>
        </w:tc>
        <w:tc>
          <w:tcPr>
            <w:tcW w:w="714" w:type="pct"/>
            <w:vAlign w:val="center"/>
          </w:tcPr>
          <w:p w14:paraId="5512E8D0">
            <w:pPr>
              <w:pStyle w:val="12"/>
              <w:jc w:val="center"/>
              <w:rPr>
                <w:rFonts w:ascii="宋体" w:hAnsi="宋体"/>
              </w:rPr>
            </w:pPr>
            <w:r>
              <w:rPr>
                <w:rFonts w:ascii="宋体" w:hAnsi="宋体"/>
              </w:rPr>
              <w:t>8920.5</w:t>
            </w:r>
          </w:p>
        </w:tc>
        <w:tc>
          <w:tcPr>
            <w:tcW w:w="714" w:type="pct"/>
            <w:vAlign w:val="center"/>
          </w:tcPr>
          <w:p w14:paraId="60823F3E">
            <w:pPr>
              <w:pStyle w:val="12"/>
              <w:jc w:val="center"/>
              <w:rPr>
                <w:rFonts w:ascii="宋体" w:hAnsi="宋体"/>
              </w:rPr>
            </w:pPr>
            <w:r>
              <w:rPr>
                <w:rFonts w:ascii="宋体" w:hAnsi="宋体"/>
              </w:rPr>
              <w:t>33510979</w:t>
            </w:r>
          </w:p>
        </w:tc>
        <w:tc>
          <w:tcPr>
            <w:tcW w:w="715" w:type="pct"/>
            <w:vAlign w:val="center"/>
          </w:tcPr>
          <w:p w14:paraId="6CF60C3F">
            <w:pPr>
              <w:pStyle w:val="12"/>
              <w:jc w:val="center"/>
              <w:rPr>
                <w:rFonts w:ascii="宋体" w:hAnsi="宋体"/>
              </w:rPr>
            </w:pPr>
            <w:r>
              <w:rPr>
                <w:rFonts w:ascii="宋体" w:hAnsi="宋体"/>
              </w:rPr>
              <w:t>3756.6</w:t>
            </w:r>
          </w:p>
        </w:tc>
        <w:tc>
          <w:tcPr>
            <w:tcW w:w="715" w:type="pct"/>
            <w:vAlign w:val="center"/>
          </w:tcPr>
          <w:p w14:paraId="34396A60">
            <w:pPr>
              <w:pStyle w:val="12"/>
              <w:jc w:val="center"/>
              <w:rPr>
                <w:rFonts w:ascii="宋体" w:hAnsi="宋体"/>
              </w:rPr>
            </w:pPr>
            <w:r>
              <w:rPr>
                <w:rFonts w:ascii="宋体" w:hAnsi="宋体"/>
              </w:rPr>
              <w:t>1855.1</w:t>
            </w:r>
          </w:p>
        </w:tc>
        <w:tc>
          <w:tcPr>
            <w:tcW w:w="715" w:type="pct"/>
            <w:vAlign w:val="center"/>
          </w:tcPr>
          <w:p w14:paraId="0A4F5189">
            <w:pPr>
              <w:pStyle w:val="12"/>
              <w:jc w:val="center"/>
              <w:rPr>
                <w:rFonts w:ascii="宋体" w:hAnsi="宋体"/>
              </w:rPr>
            </w:pPr>
            <w:r>
              <w:rPr>
                <w:rFonts w:ascii="宋体" w:hAnsi="宋体"/>
              </w:rPr>
              <w:t>6640024</w:t>
            </w:r>
          </w:p>
        </w:tc>
        <w:tc>
          <w:tcPr>
            <w:tcW w:w="715" w:type="pct"/>
            <w:vAlign w:val="center"/>
          </w:tcPr>
          <w:p w14:paraId="25343F3B">
            <w:pPr>
              <w:pStyle w:val="12"/>
              <w:jc w:val="center"/>
              <w:rPr>
                <w:rFonts w:ascii="宋体" w:hAnsi="宋体"/>
              </w:rPr>
            </w:pPr>
            <w:r>
              <w:rPr>
                <w:rFonts w:ascii="宋体" w:hAnsi="宋体"/>
              </w:rPr>
              <w:t>3579.3</w:t>
            </w:r>
          </w:p>
        </w:tc>
      </w:tr>
      <w:tr w14:paraId="78CE4C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712AB68">
            <w:pPr>
              <w:pStyle w:val="12"/>
              <w:jc w:val="center"/>
              <w:rPr>
                <w:rFonts w:ascii="宋体" w:hAnsi="宋体"/>
              </w:rPr>
            </w:pPr>
            <w:r>
              <w:rPr>
                <w:rFonts w:ascii="宋体" w:hAnsi="宋体"/>
              </w:rPr>
              <w:t>1995</w:t>
            </w:r>
          </w:p>
        </w:tc>
        <w:tc>
          <w:tcPr>
            <w:tcW w:w="714" w:type="pct"/>
            <w:vAlign w:val="center"/>
          </w:tcPr>
          <w:p w14:paraId="1883EB37">
            <w:pPr>
              <w:pStyle w:val="12"/>
              <w:jc w:val="center"/>
              <w:rPr>
                <w:rFonts w:ascii="宋体" w:hAnsi="宋体"/>
              </w:rPr>
            </w:pPr>
            <w:r>
              <w:rPr>
                <w:rFonts w:ascii="宋体" w:hAnsi="宋体"/>
              </w:rPr>
              <w:t>8174.8</w:t>
            </w:r>
          </w:p>
        </w:tc>
        <w:tc>
          <w:tcPr>
            <w:tcW w:w="714" w:type="pct"/>
            <w:vAlign w:val="center"/>
          </w:tcPr>
          <w:p w14:paraId="3E719D70">
            <w:pPr>
              <w:pStyle w:val="12"/>
              <w:jc w:val="center"/>
              <w:rPr>
                <w:rFonts w:ascii="宋体" w:hAnsi="宋体"/>
              </w:rPr>
            </w:pPr>
            <w:r>
              <w:rPr>
                <w:rFonts w:ascii="宋体" w:hAnsi="宋体"/>
              </w:rPr>
              <w:t>74204917</w:t>
            </w:r>
          </w:p>
        </w:tc>
        <w:tc>
          <w:tcPr>
            <w:tcW w:w="715" w:type="pct"/>
            <w:vAlign w:val="center"/>
          </w:tcPr>
          <w:p w14:paraId="1E4323CD">
            <w:pPr>
              <w:pStyle w:val="12"/>
              <w:jc w:val="center"/>
              <w:rPr>
                <w:rFonts w:ascii="宋体" w:hAnsi="宋体"/>
              </w:rPr>
            </w:pPr>
            <w:r>
              <w:rPr>
                <w:rFonts w:ascii="宋体" w:hAnsi="宋体"/>
              </w:rPr>
              <w:t>9077.3</w:t>
            </w:r>
          </w:p>
        </w:tc>
        <w:tc>
          <w:tcPr>
            <w:tcW w:w="715" w:type="pct"/>
            <w:vAlign w:val="center"/>
          </w:tcPr>
          <w:p w14:paraId="0DFE1F25">
            <w:pPr>
              <w:pStyle w:val="12"/>
              <w:jc w:val="center"/>
              <w:rPr>
                <w:rFonts w:ascii="宋体" w:hAnsi="宋体"/>
              </w:rPr>
            </w:pPr>
            <w:r>
              <w:rPr>
                <w:rFonts w:ascii="宋体" w:hAnsi="宋体"/>
              </w:rPr>
              <w:t>1913.6</w:t>
            </w:r>
          </w:p>
        </w:tc>
        <w:tc>
          <w:tcPr>
            <w:tcW w:w="715" w:type="pct"/>
            <w:vAlign w:val="center"/>
          </w:tcPr>
          <w:p w14:paraId="4F2586AC">
            <w:pPr>
              <w:pStyle w:val="12"/>
              <w:jc w:val="center"/>
              <w:rPr>
                <w:rFonts w:ascii="宋体" w:hAnsi="宋体"/>
              </w:rPr>
            </w:pPr>
            <w:r>
              <w:rPr>
                <w:rFonts w:ascii="宋体" w:hAnsi="宋体"/>
              </w:rPr>
              <w:t>16155598</w:t>
            </w:r>
          </w:p>
        </w:tc>
        <w:tc>
          <w:tcPr>
            <w:tcW w:w="715" w:type="pct"/>
            <w:vAlign w:val="center"/>
          </w:tcPr>
          <w:p w14:paraId="654E6B27">
            <w:pPr>
              <w:pStyle w:val="12"/>
              <w:jc w:val="center"/>
              <w:rPr>
                <w:rFonts w:ascii="宋体" w:hAnsi="宋体"/>
              </w:rPr>
            </w:pPr>
            <w:r>
              <w:rPr>
                <w:rFonts w:ascii="宋体" w:hAnsi="宋体"/>
              </w:rPr>
              <w:t>8442.5</w:t>
            </w:r>
          </w:p>
        </w:tc>
      </w:tr>
      <w:tr w14:paraId="0751A8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4801BAC0">
            <w:pPr>
              <w:pStyle w:val="12"/>
              <w:jc w:val="center"/>
              <w:rPr>
                <w:rFonts w:ascii="宋体" w:hAnsi="宋体"/>
              </w:rPr>
            </w:pPr>
            <w:r>
              <w:rPr>
                <w:rFonts w:ascii="宋体" w:hAnsi="宋体"/>
              </w:rPr>
              <w:t>1996</w:t>
            </w:r>
          </w:p>
        </w:tc>
        <w:tc>
          <w:tcPr>
            <w:tcW w:w="714" w:type="pct"/>
            <w:vAlign w:val="center"/>
          </w:tcPr>
          <w:p w14:paraId="06ABCBA5">
            <w:pPr>
              <w:pStyle w:val="12"/>
              <w:jc w:val="center"/>
              <w:rPr>
                <w:rFonts w:ascii="宋体" w:hAnsi="宋体"/>
              </w:rPr>
            </w:pPr>
            <w:r>
              <w:rPr>
                <w:rFonts w:ascii="宋体" w:hAnsi="宋体"/>
              </w:rPr>
              <w:t>17020.8</w:t>
            </w:r>
          </w:p>
        </w:tc>
        <w:tc>
          <w:tcPr>
            <w:tcW w:w="714" w:type="pct"/>
            <w:vAlign w:val="center"/>
          </w:tcPr>
          <w:p w14:paraId="20AF438D">
            <w:pPr>
              <w:pStyle w:val="12"/>
              <w:jc w:val="center"/>
              <w:rPr>
                <w:rFonts w:ascii="宋体" w:hAnsi="宋体"/>
              </w:rPr>
            </w:pPr>
            <w:r>
              <w:rPr>
                <w:rFonts w:ascii="宋体" w:hAnsi="宋体"/>
              </w:rPr>
              <w:t>143897327</w:t>
            </w:r>
          </w:p>
        </w:tc>
        <w:tc>
          <w:tcPr>
            <w:tcW w:w="715" w:type="pct"/>
            <w:vAlign w:val="center"/>
          </w:tcPr>
          <w:p w14:paraId="1C1721CA">
            <w:pPr>
              <w:pStyle w:val="12"/>
              <w:jc w:val="center"/>
              <w:rPr>
                <w:rFonts w:ascii="宋体" w:hAnsi="宋体"/>
              </w:rPr>
            </w:pPr>
            <w:r>
              <w:rPr>
                <w:rFonts w:ascii="宋体" w:hAnsi="宋体"/>
              </w:rPr>
              <w:t>8454.2</w:t>
            </w:r>
          </w:p>
        </w:tc>
        <w:tc>
          <w:tcPr>
            <w:tcW w:w="715" w:type="pct"/>
            <w:vAlign w:val="center"/>
          </w:tcPr>
          <w:p w14:paraId="6B0EFCEF">
            <w:pPr>
              <w:pStyle w:val="12"/>
              <w:jc w:val="center"/>
              <w:rPr>
                <w:rFonts w:ascii="宋体" w:hAnsi="宋体"/>
              </w:rPr>
            </w:pPr>
            <w:r>
              <w:rPr>
                <w:rFonts w:ascii="宋体" w:hAnsi="宋体"/>
              </w:rPr>
              <w:t>0</w:t>
            </w:r>
          </w:p>
        </w:tc>
        <w:tc>
          <w:tcPr>
            <w:tcW w:w="715" w:type="pct"/>
            <w:vAlign w:val="center"/>
          </w:tcPr>
          <w:p w14:paraId="2DE8F540">
            <w:pPr>
              <w:pStyle w:val="12"/>
              <w:jc w:val="center"/>
              <w:rPr>
                <w:rFonts w:ascii="宋体" w:hAnsi="宋体"/>
              </w:rPr>
            </w:pPr>
            <w:r>
              <w:rPr>
                <w:rFonts w:ascii="宋体" w:hAnsi="宋体"/>
              </w:rPr>
              <w:t>0</w:t>
            </w:r>
          </w:p>
        </w:tc>
        <w:tc>
          <w:tcPr>
            <w:tcW w:w="715" w:type="pct"/>
            <w:vAlign w:val="center"/>
          </w:tcPr>
          <w:p w14:paraId="78AF400B">
            <w:pPr>
              <w:pStyle w:val="12"/>
              <w:jc w:val="center"/>
              <w:rPr>
                <w:rFonts w:ascii="宋体" w:hAnsi="宋体"/>
              </w:rPr>
            </w:pPr>
            <w:r>
              <w:rPr>
                <w:rFonts w:ascii="宋体" w:hAnsi="宋体"/>
              </w:rPr>
              <w:t>0</w:t>
            </w:r>
          </w:p>
        </w:tc>
      </w:tr>
      <w:tr w14:paraId="178DC7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1D7B9AD">
            <w:pPr>
              <w:pStyle w:val="12"/>
              <w:jc w:val="center"/>
              <w:rPr>
                <w:rFonts w:ascii="宋体" w:hAnsi="宋体"/>
              </w:rPr>
            </w:pPr>
            <w:r>
              <w:rPr>
                <w:rFonts w:ascii="宋体" w:hAnsi="宋体"/>
              </w:rPr>
              <w:t>1997</w:t>
            </w:r>
          </w:p>
        </w:tc>
        <w:tc>
          <w:tcPr>
            <w:tcW w:w="714" w:type="pct"/>
            <w:vAlign w:val="center"/>
          </w:tcPr>
          <w:p w14:paraId="3BC5376F">
            <w:pPr>
              <w:pStyle w:val="12"/>
              <w:jc w:val="center"/>
              <w:rPr>
                <w:rFonts w:ascii="宋体" w:hAnsi="宋体"/>
              </w:rPr>
            </w:pPr>
            <w:r>
              <w:rPr>
                <w:rFonts w:ascii="宋体" w:hAnsi="宋体"/>
              </w:rPr>
              <w:t>21224.9</w:t>
            </w:r>
          </w:p>
        </w:tc>
        <w:tc>
          <w:tcPr>
            <w:tcW w:w="714" w:type="pct"/>
            <w:vAlign w:val="center"/>
          </w:tcPr>
          <w:p w14:paraId="6700ECEE">
            <w:pPr>
              <w:pStyle w:val="12"/>
              <w:jc w:val="center"/>
              <w:rPr>
                <w:rFonts w:ascii="宋体" w:hAnsi="宋体"/>
              </w:rPr>
            </w:pPr>
            <w:r>
              <w:rPr>
                <w:rFonts w:ascii="宋体" w:hAnsi="宋体"/>
              </w:rPr>
              <w:t>207395039</w:t>
            </w:r>
          </w:p>
        </w:tc>
        <w:tc>
          <w:tcPr>
            <w:tcW w:w="715" w:type="pct"/>
            <w:vAlign w:val="center"/>
          </w:tcPr>
          <w:p w14:paraId="52269A4D">
            <w:pPr>
              <w:pStyle w:val="12"/>
              <w:jc w:val="center"/>
              <w:rPr>
                <w:rFonts w:ascii="宋体" w:hAnsi="宋体"/>
              </w:rPr>
            </w:pPr>
            <w:r>
              <w:rPr>
                <w:rFonts w:ascii="宋体" w:hAnsi="宋体"/>
              </w:rPr>
              <w:t>9771.3</w:t>
            </w:r>
          </w:p>
        </w:tc>
        <w:tc>
          <w:tcPr>
            <w:tcW w:w="715" w:type="pct"/>
            <w:vAlign w:val="center"/>
          </w:tcPr>
          <w:p w14:paraId="60D84776">
            <w:pPr>
              <w:pStyle w:val="12"/>
              <w:jc w:val="center"/>
              <w:rPr>
                <w:rFonts w:ascii="宋体" w:hAnsi="宋体"/>
              </w:rPr>
            </w:pPr>
            <w:r>
              <w:rPr>
                <w:rFonts w:ascii="宋体" w:hAnsi="宋体"/>
              </w:rPr>
              <w:t>0</w:t>
            </w:r>
          </w:p>
        </w:tc>
        <w:tc>
          <w:tcPr>
            <w:tcW w:w="715" w:type="pct"/>
            <w:vAlign w:val="center"/>
          </w:tcPr>
          <w:p w14:paraId="734874A1">
            <w:pPr>
              <w:pStyle w:val="12"/>
              <w:jc w:val="center"/>
              <w:rPr>
                <w:rFonts w:ascii="宋体" w:hAnsi="宋体"/>
              </w:rPr>
            </w:pPr>
            <w:r>
              <w:rPr>
                <w:rFonts w:ascii="宋体" w:hAnsi="宋体"/>
              </w:rPr>
              <w:t>0</w:t>
            </w:r>
          </w:p>
        </w:tc>
        <w:tc>
          <w:tcPr>
            <w:tcW w:w="715" w:type="pct"/>
            <w:vAlign w:val="center"/>
          </w:tcPr>
          <w:p w14:paraId="471D632B">
            <w:pPr>
              <w:pStyle w:val="12"/>
              <w:jc w:val="center"/>
              <w:rPr>
                <w:rFonts w:ascii="宋体" w:hAnsi="宋体"/>
              </w:rPr>
            </w:pPr>
            <w:r>
              <w:rPr>
                <w:rFonts w:ascii="宋体" w:hAnsi="宋体"/>
              </w:rPr>
              <w:t>0</w:t>
            </w:r>
          </w:p>
        </w:tc>
      </w:tr>
      <w:tr w14:paraId="41B0DC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2FC85D5">
            <w:pPr>
              <w:pStyle w:val="12"/>
              <w:jc w:val="center"/>
              <w:rPr>
                <w:rFonts w:ascii="宋体" w:hAnsi="宋体"/>
              </w:rPr>
            </w:pPr>
            <w:r>
              <w:rPr>
                <w:rFonts w:ascii="宋体" w:hAnsi="宋体"/>
              </w:rPr>
              <w:t>1998</w:t>
            </w:r>
          </w:p>
        </w:tc>
        <w:tc>
          <w:tcPr>
            <w:tcW w:w="714" w:type="pct"/>
            <w:vAlign w:val="center"/>
          </w:tcPr>
          <w:p w14:paraId="23123A86">
            <w:pPr>
              <w:pStyle w:val="12"/>
              <w:jc w:val="center"/>
              <w:rPr>
                <w:rFonts w:ascii="宋体" w:hAnsi="宋体"/>
              </w:rPr>
            </w:pPr>
            <w:r>
              <w:rPr>
                <w:rFonts w:ascii="宋体" w:hAnsi="宋体"/>
              </w:rPr>
              <w:t>14558.3</w:t>
            </w:r>
          </w:p>
        </w:tc>
        <w:tc>
          <w:tcPr>
            <w:tcW w:w="714" w:type="pct"/>
            <w:vAlign w:val="center"/>
          </w:tcPr>
          <w:p w14:paraId="2BEAB82D">
            <w:pPr>
              <w:pStyle w:val="12"/>
              <w:jc w:val="center"/>
              <w:rPr>
                <w:rFonts w:ascii="宋体" w:hAnsi="宋体"/>
              </w:rPr>
            </w:pPr>
            <w:r>
              <w:rPr>
                <w:rFonts w:ascii="宋体" w:hAnsi="宋体"/>
              </w:rPr>
              <w:t>71554376</w:t>
            </w:r>
          </w:p>
        </w:tc>
        <w:tc>
          <w:tcPr>
            <w:tcW w:w="715" w:type="pct"/>
            <w:vAlign w:val="center"/>
          </w:tcPr>
          <w:p w14:paraId="7C59CC4E">
            <w:pPr>
              <w:pStyle w:val="12"/>
              <w:jc w:val="center"/>
              <w:rPr>
                <w:rFonts w:ascii="宋体" w:hAnsi="宋体"/>
              </w:rPr>
            </w:pPr>
            <w:r>
              <w:rPr>
                <w:rFonts w:ascii="宋体" w:hAnsi="宋体"/>
              </w:rPr>
              <w:t>4915</w:t>
            </w:r>
          </w:p>
        </w:tc>
        <w:tc>
          <w:tcPr>
            <w:tcW w:w="715" w:type="pct"/>
            <w:vAlign w:val="center"/>
          </w:tcPr>
          <w:p w14:paraId="61425CF8">
            <w:pPr>
              <w:pStyle w:val="12"/>
              <w:jc w:val="center"/>
              <w:rPr>
                <w:rFonts w:ascii="宋体" w:hAnsi="宋体"/>
              </w:rPr>
            </w:pPr>
            <w:r>
              <w:rPr>
                <w:rFonts w:ascii="宋体" w:hAnsi="宋体"/>
              </w:rPr>
              <w:t>0</w:t>
            </w:r>
          </w:p>
        </w:tc>
        <w:tc>
          <w:tcPr>
            <w:tcW w:w="715" w:type="pct"/>
            <w:vAlign w:val="center"/>
          </w:tcPr>
          <w:p w14:paraId="38CD57FF">
            <w:pPr>
              <w:pStyle w:val="12"/>
              <w:jc w:val="center"/>
              <w:rPr>
                <w:rFonts w:ascii="宋体" w:hAnsi="宋体"/>
              </w:rPr>
            </w:pPr>
            <w:r>
              <w:rPr>
                <w:rFonts w:ascii="宋体" w:hAnsi="宋体"/>
              </w:rPr>
              <w:t>0</w:t>
            </w:r>
          </w:p>
        </w:tc>
        <w:tc>
          <w:tcPr>
            <w:tcW w:w="715" w:type="pct"/>
            <w:vAlign w:val="center"/>
          </w:tcPr>
          <w:p w14:paraId="136B1F25">
            <w:pPr>
              <w:pStyle w:val="12"/>
              <w:jc w:val="center"/>
              <w:rPr>
                <w:rFonts w:ascii="宋体" w:hAnsi="宋体"/>
              </w:rPr>
            </w:pPr>
            <w:r>
              <w:rPr>
                <w:rFonts w:ascii="宋体" w:hAnsi="宋体"/>
              </w:rPr>
              <w:t>0</w:t>
            </w:r>
          </w:p>
        </w:tc>
      </w:tr>
      <w:tr w14:paraId="3B03EA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FC92AEE">
            <w:pPr>
              <w:pStyle w:val="12"/>
              <w:jc w:val="center"/>
              <w:rPr>
                <w:rFonts w:ascii="宋体" w:hAnsi="宋体"/>
              </w:rPr>
            </w:pPr>
            <w:r>
              <w:rPr>
                <w:rFonts w:ascii="宋体" w:hAnsi="宋体"/>
              </w:rPr>
              <w:t>1999</w:t>
            </w:r>
          </w:p>
        </w:tc>
        <w:tc>
          <w:tcPr>
            <w:tcW w:w="714" w:type="pct"/>
            <w:vAlign w:val="center"/>
          </w:tcPr>
          <w:p w14:paraId="169DEAAE">
            <w:pPr>
              <w:pStyle w:val="12"/>
              <w:jc w:val="center"/>
              <w:rPr>
                <w:rFonts w:ascii="宋体" w:hAnsi="宋体"/>
              </w:rPr>
            </w:pPr>
            <w:r>
              <w:rPr>
                <w:rFonts w:ascii="宋体" w:hAnsi="宋体"/>
              </w:rPr>
              <w:t>10431.6</w:t>
            </w:r>
          </w:p>
        </w:tc>
        <w:tc>
          <w:tcPr>
            <w:tcW w:w="714" w:type="pct"/>
            <w:vAlign w:val="center"/>
          </w:tcPr>
          <w:p w14:paraId="212B57D8">
            <w:pPr>
              <w:pStyle w:val="12"/>
              <w:jc w:val="center"/>
              <w:rPr>
                <w:rFonts w:ascii="宋体" w:hAnsi="宋体"/>
              </w:rPr>
            </w:pPr>
            <w:r>
              <w:rPr>
                <w:rFonts w:ascii="宋体" w:hAnsi="宋体"/>
              </w:rPr>
              <w:t>81122984</w:t>
            </w:r>
          </w:p>
        </w:tc>
        <w:tc>
          <w:tcPr>
            <w:tcW w:w="715" w:type="pct"/>
            <w:vAlign w:val="center"/>
          </w:tcPr>
          <w:p w14:paraId="09A60503">
            <w:pPr>
              <w:pStyle w:val="12"/>
              <w:jc w:val="center"/>
              <w:rPr>
                <w:rFonts w:ascii="宋体" w:hAnsi="宋体"/>
              </w:rPr>
            </w:pPr>
            <w:r>
              <w:rPr>
                <w:rFonts w:ascii="宋体" w:hAnsi="宋体"/>
              </w:rPr>
              <w:t>7774.4</w:t>
            </w:r>
          </w:p>
        </w:tc>
        <w:tc>
          <w:tcPr>
            <w:tcW w:w="715" w:type="pct"/>
            <w:vAlign w:val="center"/>
          </w:tcPr>
          <w:p w14:paraId="09E1C40C">
            <w:pPr>
              <w:pStyle w:val="12"/>
              <w:jc w:val="center"/>
              <w:rPr>
                <w:rFonts w:ascii="宋体" w:hAnsi="宋体"/>
              </w:rPr>
            </w:pPr>
            <w:r>
              <w:rPr>
                <w:rFonts w:ascii="宋体" w:hAnsi="宋体"/>
              </w:rPr>
              <w:t>555.7</w:t>
            </w:r>
          </w:p>
        </w:tc>
        <w:tc>
          <w:tcPr>
            <w:tcW w:w="715" w:type="pct"/>
            <w:vAlign w:val="center"/>
          </w:tcPr>
          <w:p w14:paraId="6B03CA25">
            <w:pPr>
              <w:pStyle w:val="12"/>
              <w:jc w:val="center"/>
              <w:rPr>
                <w:rFonts w:ascii="宋体" w:hAnsi="宋体"/>
              </w:rPr>
            </w:pPr>
            <w:r>
              <w:rPr>
                <w:rFonts w:ascii="宋体" w:hAnsi="宋体"/>
              </w:rPr>
              <w:t>3266905</w:t>
            </w:r>
          </w:p>
        </w:tc>
        <w:tc>
          <w:tcPr>
            <w:tcW w:w="715" w:type="pct"/>
            <w:vAlign w:val="center"/>
          </w:tcPr>
          <w:p w14:paraId="59C7BFBB">
            <w:pPr>
              <w:pStyle w:val="12"/>
              <w:jc w:val="center"/>
              <w:rPr>
                <w:rFonts w:ascii="宋体" w:hAnsi="宋体"/>
              </w:rPr>
            </w:pPr>
            <w:r>
              <w:rPr>
                <w:rFonts w:ascii="宋体" w:hAnsi="宋体"/>
              </w:rPr>
              <w:t>5878.9</w:t>
            </w:r>
          </w:p>
        </w:tc>
      </w:tr>
      <w:tr w14:paraId="653CB4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67B73BA">
            <w:pPr>
              <w:pStyle w:val="12"/>
              <w:jc w:val="center"/>
              <w:rPr>
                <w:rFonts w:ascii="宋体" w:hAnsi="宋体"/>
              </w:rPr>
            </w:pPr>
            <w:r>
              <w:rPr>
                <w:rFonts w:ascii="宋体" w:hAnsi="宋体"/>
              </w:rPr>
              <w:t>2000</w:t>
            </w:r>
          </w:p>
        </w:tc>
        <w:tc>
          <w:tcPr>
            <w:tcW w:w="714" w:type="pct"/>
            <w:vAlign w:val="center"/>
          </w:tcPr>
          <w:p w14:paraId="20166FD6">
            <w:pPr>
              <w:pStyle w:val="12"/>
              <w:jc w:val="center"/>
              <w:rPr>
                <w:rFonts w:ascii="宋体" w:hAnsi="宋体"/>
              </w:rPr>
            </w:pPr>
            <w:r>
              <w:rPr>
                <w:rFonts w:ascii="宋体" w:hAnsi="宋体"/>
              </w:rPr>
              <w:t>11352.8</w:t>
            </w:r>
          </w:p>
        </w:tc>
        <w:tc>
          <w:tcPr>
            <w:tcW w:w="714" w:type="pct"/>
            <w:vAlign w:val="center"/>
          </w:tcPr>
          <w:p w14:paraId="5EEEFB3C">
            <w:pPr>
              <w:pStyle w:val="12"/>
              <w:jc w:val="center"/>
              <w:rPr>
                <w:rFonts w:ascii="宋体" w:hAnsi="宋体"/>
              </w:rPr>
            </w:pPr>
            <w:r>
              <w:rPr>
                <w:rFonts w:ascii="宋体" w:hAnsi="宋体"/>
              </w:rPr>
              <w:t>99783685</w:t>
            </w:r>
          </w:p>
        </w:tc>
        <w:tc>
          <w:tcPr>
            <w:tcW w:w="715" w:type="pct"/>
            <w:vAlign w:val="center"/>
          </w:tcPr>
          <w:p w14:paraId="5B02712A">
            <w:pPr>
              <w:pStyle w:val="12"/>
              <w:jc w:val="center"/>
              <w:rPr>
                <w:rFonts w:ascii="宋体" w:hAnsi="宋体"/>
              </w:rPr>
            </w:pPr>
            <w:r>
              <w:rPr>
                <w:rFonts w:ascii="宋体" w:hAnsi="宋体"/>
              </w:rPr>
              <w:t>8789.3</w:t>
            </w:r>
          </w:p>
        </w:tc>
        <w:tc>
          <w:tcPr>
            <w:tcW w:w="715" w:type="pct"/>
            <w:vAlign w:val="center"/>
          </w:tcPr>
          <w:p w14:paraId="6285C5F7">
            <w:pPr>
              <w:pStyle w:val="12"/>
              <w:jc w:val="center"/>
              <w:rPr>
                <w:rFonts w:ascii="宋体" w:hAnsi="宋体"/>
              </w:rPr>
            </w:pPr>
            <w:r>
              <w:rPr>
                <w:rFonts w:ascii="宋体" w:hAnsi="宋体"/>
              </w:rPr>
              <w:t>886</w:t>
            </w:r>
          </w:p>
        </w:tc>
        <w:tc>
          <w:tcPr>
            <w:tcW w:w="715" w:type="pct"/>
            <w:vAlign w:val="center"/>
          </w:tcPr>
          <w:p w14:paraId="2896B72F">
            <w:pPr>
              <w:pStyle w:val="12"/>
              <w:jc w:val="center"/>
              <w:rPr>
                <w:rFonts w:ascii="宋体" w:hAnsi="宋体"/>
              </w:rPr>
            </w:pPr>
            <w:r>
              <w:rPr>
                <w:rFonts w:ascii="宋体" w:hAnsi="宋体"/>
              </w:rPr>
              <w:t>6381201</w:t>
            </w:r>
          </w:p>
        </w:tc>
        <w:tc>
          <w:tcPr>
            <w:tcW w:w="715" w:type="pct"/>
            <w:vAlign w:val="center"/>
          </w:tcPr>
          <w:p w14:paraId="3DF92436">
            <w:pPr>
              <w:pStyle w:val="12"/>
              <w:jc w:val="center"/>
              <w:rPr>
                <w:rFonts w:ascii="宋体" w:hAnsi="宋体"/>
              </w:rPr>
            </w:pPr>
            <w:r>
              <w:rPr>
                <w:rFonts w:ascii="宋体" w:hAnsi="宋体"/>
              </w:rPr>
              <w:t>7202.3</w:t>
            </w:r>
          </w:p>
        </w:tc>
      </w:tr>
      <w:tr w14:paraId="1D104C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2DE55AE8">
            <w:pPr>
              <w:pStyle w:val="12"/>
              <w:jc w:val="center"/>
              <w:rPr>
                <w:rFonts w:ascii="宋体" w:hAnsi="宋体"/>
              </w:rPr>
            </w:pPr>
            <w:r>
              <w:rPr>
                <w:rFonts w:ascii="宋体" w:hAnsi="宋体"/>
              </w:rPr>
              <w:t>2001</w:t>
            </w:r>
          </w:p>
        </w:tc>
        <w:tc>
          <w:tcPr>
            <w:tcW w:w="714" w:type="pct"/>
            <w:vAlign w:val="center"/>
          </w:tcPr>
          <w:p w14:paraId="76977910">
            <w:pPr>
              <w:pStyle w:val="12"/>
              <w:jc w:val="center"/>
              <w:rPr>
                <w:rFonts w:ascii="宋体" w:hAnsi="宋体"/>
              </w:rPr>
            </w:pPr>
            <w:r>
              <w:rPr>
                <w:rFonts w:ascii="宋体" w:hAnsi="宋体"/>
              </w:rPr>
              <w:t>12199.4</w:t>
            </w:r>
          </w:p>
        </w:tc>
        <w:tc>
          <w:tcPr>
            <w:tcW w:w="714" w:type="pct"/>
            <w:vAlign w:val="center"/>
          </w:tcPr>
          <w:p w14:paraId="15D08BC5">
            <w:pPr>
              <w:pStyle w:val="12"/>
              <w:jc w:val="center"/>
              <w:rPr>
                <w:rFonts w:ascii="宋体" w:hAnsi="宋体"/>
              </w:rPr>
            </w:pPr>
            <w:r>
              <w:rPr>
                <w:rFonts w:ascii="宋体" w:hAnsi="宋体"/>
              </w:rPr>
              <w:t>121750012</w:t>
            </w:r>
          </w:p>
        </w:tc>
        <w:tc>
          <w:tcPr>
            <w:tcW w:w="715" w:type="pct"/>
            <w:vAlign w:val="center"/>
          </w:tcPr>
          <w:p w14:paraId="357AD8F9">
            <w:pPr>
              <w:pStyle w:val="12"/>
              <w:jc w:val="center"/>
              <w:rPr>
                <w:rFonts w:ascii="宋体" w:hAnsi="宋体"/>
              </w:rPr>
            </w:pPr>
            <w:r>
              <w:rPr>
                <w:rFonts w:ascii="宋体" w:hAnsi="宋体"/>
              </w:rPr>
              <w:t>9980</w:t>
            </w:r>
          </w:p>
        </w:tc>
        <w:tc>
          <w:tcPr>
            <w:tcW w:w="715" w:type="pct"/>
            <w:vAlign w:val="center"/>
          </w:tcPr>
          <w:p w14:paraId="3CD0F10A">
            <w:pPr>
              <w:pStyle w:val="12"/>
              <w:jc w:val="center"/>
              <w:rPr>
                <w:rFonts w:ascii="宋体" w:hAnsi="宋体"/>
              </w:rPr>
            </w:pPr>
            <w:r>
              <w:rPr>
                <w:rFonts w:ascii="宋体" w:hAnsi="宋体"/>
              </w:rPr>
              <w:t>280.5</w:t>
            </w:r>
          </w:p>
        </w:tc>
        <w:tc>
          <w:tcPr>
            <w:tcW w:w="715" w:type="pct"/>
            <w:vAlign w:val="center"/>
          </w:tcPr>
          <w:p w14:paraId="4F5B6BA7">
            <w:pPr>
              <w:pStyle w:val="12"/>
              <w:jc w:val="center"/>
              <w:rPr>
                <w:rFonts w:ascii="宋体" w:hAnsi="宋体"/>
              </w:rPr>
            </w:pPr>
            <w:r>
              <w:rPr>
                <w:rFonts w:ascii="宋体" w:hAnsi="宋体"/>
              </w:rPr>
              <w:t>2434740</w:t>
            </w:r>
          </w:p>
        </w:tc>
        <w:tc>
          <w:tcPr>
            <w:tcW w:w="715" w:type="pct"/>
            <w:vAlign w:val="center"/>
          </w:tcPr>
          <w:p w14:paraId="733A32BD">
            <w:pPr>
              <w:pStyle w:val="12"/>
              <w:jc w:val="center"/>
              <w:rPr>
                <w:rFonts w:ascii="宋体" w:hAnsi="宋体"/>
              </w:rPr>
            </w:pPr>
            <w:r>
              <w:rPr>
                <w:rFonts w:ascii="宋体" w:hAnsi="宋体"/>
              </w:rPr>
              <w:t>8680</w:t>
            </w:r>
          </w:p>
        </w:tc>
      </w:tr>
      <w:tr w14:paraId="57E53B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48A6D20">
            <w:pPr>
              <w:pStyle w:val="12"/>
              <w:jc w:val="center"/>
              <w:rPr>
                <w:rFonts w:ascii="宋体" w:hAnsi="宋体"/>
              </w:rPr>
            </w:pPr>
            <w:r>
              <w:rPr>
                <w:rFonts w:ascii="宋体" w:hAnsi="宋体"/>
              </w:rPr>
              <w:t>2002</w:t>
            </w:r>
          </w:p>
        </w:tc>
        <w:tc>
          <w:tcPr>
            <w:tcW w:w="714" w:type="pct"/>
            <w:vAlign w:val="center"/>
          </w:tcPr>
          <w:p w14:paraId="2D646C15">
            <w:pPr>
              <w:pStyle w:val="12"/>
              <w:jc w:val="center"/>
              <w:rPr>
                <w:rFonts w:ascii="宋体" w:hAnsi="宋体"/>
              </w:rPr>
            </w:pPr>
            <w:r>
              <w:rPr>
                <w:rFonts w:ascii="宋体" w:hAnsi="宋体"/>
              </w:rPr>
              <w:t>13539.5</w:t>
            </w:r>
          </w:p>
        </w:tc>
        <w:tc>
          <w:tcPr>
            <w:tcW w:w="714" w:type="pct"/>
            <w:vAlign w:val="center"/>
          </w:tcPr>
          <w:p w14:paraId="2621597C">
            <w:pPr>
              <w:pStyle w:val="12"/>
              <w:jc w:val="center"/>
              <w:rPr>
                <w:rFonts w:ascii="宋体" w:hAnsi="宋体"/>
              </w:rPr>
            </w:pPr>
            <w:r>
              <w:rPr>
                <w:rFonts w:ascii="宋体" w:hAnsi="宋体"/>
              </w:rPr>
              <w:t>130791570</w:t>
            </w:r>
          </w:p>
        </w:tc>
        <w:tc>
          <w:tcPr>
            <w:tcW w:w="715" w:type="pct"/>
            <w:vAlign w:val="center"/>
          </w:tcPr>
          <w:p w14:paraId="029B015C">
            <w:pPr>
              <w:pStyle w:val="12"/>
              <w:jc w:val="center"/>
              <w:rPr>
                <w:rFonts w:ascii="宋体" w:hAnsi="宋体"/>
              </w:rPr>
            </w:pPr>
            <w:r>
              <w:rPr>
                <w:rFonts w:ascii="宋体" w:hAnsi="宋体"/>
              </w:rPr>
              <w:t>9660</w:t>
            </w:r>
          </w:p>
        </w:tc>
        <w:tc>
          <w:tcPr>
            <w:tcW w:w="715" w:type="pct"/>
            <w:vAlign w:val="center"/>
          </w:tcPr>
          <w:p w14:paraId="4D77C3F6">
            <w:pPr>
              <w:pStyle w:val="12"/>
              <w:jc w:val="center"/>
              <w:rPr>
                <w:rFonts w:ascii="宋体" w:hAnsi="宋体"/>
              </w:rPr>
            </w:pPr>
            <w:r>
              <w:rPr>
                <w:rFonts w:ascii="宋体" w:hAnsi="宋体"/>
              </w:rPr>
              <w:t>240.5</w:t>
            </w:r>
          </w:p>
        </w:tc>
        <w:tc>
          <w:tcPr>
            <w:tcW w:w="715" w:type="pct"/>
            <w:vAlign w:val="center"/>
          </w:tcPr>
          <w:p w14:paraId="4DE44221">
            <w:pPr>
              <w:pStyle w:val="12"/>
              <w:jc w:val="center"/>
              <w:rPr>
                <w:rFonts w:ascii="宋体" w:hAnsi="宋体"/>
              </w:rPr>
            </w:pPr>
            <w:r>
              <w:rPr>
                <w:rFonts w:ascii="宋体" w:hAnsi="宋体"/>
              </w:rPr>
              <w:t>1909570</w:t>
            </w:r>
          </w:p>
        </w:tc>
        <w:tc>
          <w:tcPr>
            <w:tcW w:w="715" w:type="pct"/>
            <w:vAlign w:val="center"/>
          </w:tcPr>
          <w:p w14:paraId="17964988">
            <w:pPr>
              <w:pStyle w:val="12"/>
              <w:jc w:val="center"/>
              <w:rPr>
                <w:rFonts w:ascii="宋体" w:hAnsi="宋体"/>
              </w:rPr>
            </w:pPr>
            <w:r>
              <w:rPr>
                <w:rFonts w:ascii="宋体" w:hAnsi="宋体"/>
              </w:rPr>
              <w:t>7940</w:t>
            </w:r>
          </w:p>
        </w:tc>
      </w:tr>
      <w:tr w14:paraId="3CC1403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55E2A24">
            <w:pPr>
              <w:pStyle w:val="12"/>
              <w:jc w:val="center"/>
              <w:rPr>
                <w:rFonts w:ascii="宋体" w:hAnsi="宋体"/>
              </w:rPr>
            </w:pPr>
            <w:r>
              <w:rPr>
                <w:rFonts w:ascii="宋体" w:hAnsi="宋体"/>
              </w:rPr>
              <w:t>2003</w:t>
            </w:r>
          </w:p>
        </w:tc>
        <w:tc>
          <w:tcPr>
            <w:tcW w:w="714" w:type="pct"/>
            <w:vAlign w:val="center"/>
          </w:tcPr>
          <w:p w14:paraId="5E600E7B">
            <w:pPr>
              <w:pStyle w:val="12"/>
              <w:jc w:val="center"/>
              <w:rPr>
                <w:rFonts w:ascii="宋体" w:hAnsi="宋体"/>
              </w:rPr>
            </w:pPr>
            <w:r>
              <w:rPr>
                <w:rFonts w:ascii="宋体" w:hAnsi="宋体"/>
              </w:rPr>
              <w:t>10858.3</w:t>
            </w:r>
          </w:p>
        </w:tc>
        <w:tc>
          <w:tcPr>
            <w:tcW w:w="714" w:type="pct"/>
            <w:vAlign w:val="center"/>
          </w:tcPr>
          <w:p w14:paraId="23ECBFA6">
            <w:pPr>
              <w:pStyle w:val="12"/>
              <w:jc w:val="center"/>
              <w:rPr>
                <w:rFonts w:ascii="宋体" w:hAnsi="宋体"/>
              </w:rPr>
            </w:pPr>
            <w:r>
              <w:rPr>
                <w:rFonts w:ascii="宋体" w:hAnsi="宋体"/>
              </w:rPr>
              <w:t>96204538</w:t>
            </w:r>
          </w:p>
        </w:tc>
        <w:tc>
          <w:tcPr>
            <w:tcW w:w="715" w:type="pct"/>
            <w:vAlign w:val="center"/>
          </w:tcPr>
          <w:p w14:paraId="05789FA0">
            <w:pPr>
              <w:pStyle w:val="12"/>
              <w:jc w:val="center"/>
              <w:rPr>
                <w:rFonts w:ascii="宋体" w:hAnsi="宋体"/>
              </w:rPr>
            </w:pPr>
            <w:r>
              <w:rPr>
                <w:rFonts w:ascii="宋体" w:hAnsi="宋体"/>
              </w:rPr>
              <w:t>8860</w:t>
            </w:r>
          </w:p>
        </w:tc>
        <w:tc>
          <w:tcPr>
            <w:tcW w:w="715" w:type="pct"/>
            <w:vAlign w:val="center"/>
          </w:tcPr>
          <w:p w14:paraId="0462F45D">
            <w:pPr>
              <w:pStyle w:val="12"/>
              <w:jc w:val="center"/>
              <w:rPr>
                <w:rFonts w:ascii="宋体" w:hAnsi="宋体"/>
              </w:rPr>
            </w:pPr>
            <w:r>
              <w:rPr>
                <w:rFonts w:ascii="宋体" w:hAnsi="宋体"/>
              </w:rPr>
              <w:t>201.6</w:t>
            </w:r>
          </w:p>
        </w:tc>
        <w:tc>
          <w:tcPr>
            <w:tcW w:w="715" w:type="pct"/>
            <w:vAlign w:val="center"/>
          </w:tcPr>
          <w:p w14:paraId="7827AA64">
            <w:pPr>
              <w:pStyle w:val="12"/>
              <w:jc w:val="center"/>
              <w:rPr>
                <w:rFonts w:ascii="宋体" w:hAnsi="宋体"/>
              </w:rPr>
            </w:pPr>
            <w:r>
              <w:rPr>
                <w:rFonts w:ascii="宋体" w:hAnsi="宋体"/>
              </w:rPr>
              <w:t>1580544</w:t>
            </w:r>
          </w:p>
        </w:tc>
        <w:tc>
          <w:tcPr>
            <w:tcW w:w="715" w:type="pct"/>
            <w:vAlign w:val="center"/>
          </w:tcPr>
          <w:p w14:paraId="6CC76C1F">
            <w:pPr>
              <w:pStyle w:val="12"/>
              <w:jc w:val="center"/>
              <w:rPr>
                <w:rFonts w:ascii="宋体" w:hAnsi="宋体"/>
              </w:rPr>
            </w:pPr>
            <w:r>
              <w:rPr>
                <w:rFonts w:ascii="宋体" w:hAnsi="宋体"/>
              </w:rPr>
              <w:t>7840</w:t>
            </w:r>
          </w:p>
        </w:tc>
      </w:tr>
      <w:tr w14:paraId="5D4DCB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C478E0E">
            <w:pPr>
              <w:pStyle w:val="12"/>
              <w:jc w:val="center"/>
              <w:rPr>
                <w:rFonts w:ascii="宋体" w:hAnsi="宋体"/>
              </w:rPr>
            </w:pPr>
            <w:r>
              <w:rPr>
                <w:rFonts w:ascii="宋体" w:hAnsi="宋体"/>
              </w:rPr>
              <w:t>2004</w:t>
            </w:r>
          </w:p>
        </w:tc>
        <w:tc>
          <w:tcPr>
            <w:tcW w:w="714" w:type="pct"/>
            <w:vAlign w:val="center"/>
          </w:tcPr>
          <w:p w14:paraId="5168483A">
            <w:pPr>
              <w:pStyle w:val="12"/>
              <w:jc w:val="center"/>
              <w:rPr>
                <w:rFonts w:ascii="宋体" w:hAnsi="宋体"/>
              </w:rPr>
            </w:pPr>
            <w:r>
              <w:rPr>
                <w:rFonts w:ascii="宋体" w:hAnsi="宋体"/>
              </w:rPr>
              <w:t>11556.6</w:t>
            </w:r>
          </w:p>
        </w:tc>
        <w:tc>
          <w:tcPr>
            <w:tcW w:w="714" w:type="pct"/>
            <w:vAlign w:val="center"/>
          </w:tcPr>
          <w:p w14:paraId="455325E5">
            <w:pPr>
              <w:pStyle w:val="12"/>
              <w:jc w:val="center"/>
              <w:rPr>
                <w:rFonts w:ascii="宋体" w:hAnsi="宋体"/>
              </w:rPr>
            </w:pPr>
            <w:r>
              <w:rPr>
                <w:rFonts w:ascii="宋体" w:hAnsi="宋体"/>
              </w:rPr>
              <w:t>128278260</w:t>
            </w:r>
          </w:p>
        </w:tc>
        <w:tc>
          <w:tcPr>
            <w:tcW w:w="715" w:type="pct"/>
            <w:vAlign w:val="center"/>
          </w:tcPr>
          <w:p w14:paraId="762267F8">
            <w:pPr>
              <w:pStyle w:val="12"/>
              <w:jc w:val="center"/>
              <w:rPr>
                <w:rFonts w:ascii="宋体" w:hAnsi="宋体"/>
              </w:rPr>
            </w:pPr>
            <w:r>
              <w:rPr>
                <w:rFonts w:ascii="宋体" w:hAnsi="宋体"/>
              </w:rPr>
              <w:t>11100</w:t>
            </w:r>
          </w:p>
        </w:tc>
        <w:tc>
          <w:tcPr>
            <w:tcW w:w="715" w:type="pct"/>
            <w:vAlign w:val="center"/>
          </w:tcPr>
          <w:p w14:paraId="39D27F02">
            <w:pPr>
              <w:pStyle w:val="12"/>
              <w:jc w:val="center"/>
              <w:rPr>
                <w:rFonts w:ascii="宋体" w:hAnsi="宋体"/>
              </w:rPr>
            </w:pPr>
            <w:r>
              <w:rPr>
                <w:rFonts w:ascii="宋体" w:hAnsi="宋体"/>
              </w:rPr>
              <w:t>194.15</w:t>
            </w:r>
          </w:p>
        </w:tc>
        <w:tc>
          <w:tcPr>
            <w:tcW w:w="715" w:type="pct"/>
            <w:vAlign w:val="center"/>
          </w:tcPr>
          <w:p w14:paraId="5657AD15">
            <w:pPr>
              <w:pStyle w:val="12"/>
              <w:jc w:val="center"/>
              <w:rPr>
                <w:rFonts w:ascii="宋体" w:hAnsi="宋体"/>
              </w:rPr>
            </w:pPr>
            <w:r>
              <w:rPr>
                <w:rFonts w:ascii="宋体" w:hAnsi="宋体"/>
              </w:rPr>
              <w:t>1720169</w:t>
            </w:r>
          </w:p>
        </w:tc>
        <w:tc>
          <w:tcPr>
            <w:tcW w:w="715" w:type="pct"/>
            <w:vAlign w:val="center"/>
          </w:tcPr>
          <w:p w14:paraId="5947CA07">
            <w:pPr>
              <w:pStyle w:val="12"/>
              <w:jc w:val="center"/>
              <w:rPr>
                <w:rFonts w:ascii="宋体" w:hAnsi="宋体"/>
              </w:rPr>
            </w:pPr>
            <w:r>
              <w:rPr>
                <w:rFonts w:ascii="宋体" w:hAnsi="宋体"/>
              </w:rPr>
              <w:t>8860</w:t>
            </w:r>
          </w:p>
        </w:tc>
      </w:tr>
    </w:tbl>
    <w:p w14:paraId="13FAC2FF">
      <w:pPr>
        <w:ind w:firstLine="0" w:firstLineChars="0"/>
        <w:jc w:val="center"/>
        <w:rPr>
          <w:rFonts w:ascii="宋体" w:hAnsi="宋体"/>
          <w:b/>
        </w:rPr>
      </w:pPr>
      <w:r>
        <w:rPr>
          <w:rFonts w:hint="eastAsia" w:ascii="宋体" w:hAnsi="宋体"/>
          <w:b/>
        </w:rPr>
        <w:t>南雄（县）市1988年至2004年烟粮比价</w:t>
      </w:r>
    </w:p>
    <w:p w14:paraId="6CAD6B4A">
      <w:pPr>
        <w:ind w:firstLine="0" w:firstLineChars="0"/>
        <w:rPr>
          <w:rFonts w:ascii="宋体" w:hAnsi="宋体"/>
          <w:b/>
        </w:rPr>
      </w:pPr>
      <w:r>
        <w:rPr>
          <w:rFonts w:hint="eastAsia" w:ascii="宋体" w:hAnsi="宋体"/>
          <w:b/>
        </w:rPr>
        <w:t>表2-17</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92"/>
        <w:gridCol w:w="1992"/>
        <w:gridCol w:w="1992"/>
        <w:gridCol w:w="1993"/>
        <w:gridCol w:w="1993"/>
      </w:tblGrid>
      <w:tr w14:paraId="526CAB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Align w:val="center"/>
          </w:tcPr>
          <w:p w14:paraId="00F6C859">
            <w:pPr>
              <w:pStyle w:val="12"/>
              <w:jc w:val="center"/>
              <w:rPr>
                <w:rFonts w:ascii="宋体" w:hAnsi="宋体"/>
                <w:b/>
              </w:rPr>
            </w:pPr>
            <w:r>
              <w:rPr>
                <w:rFonts w:hint="eastAsia" w:ascii="宋体" w:hAnsi="宋体"/>
                <w:b/>
              </w:rPr>
              <w:t>年份</w:t>
            </w:r>
          </w:p>
        </w:tc>
        <w:tc>
          <w:tcPr>
            <w:tcW w:w="2000" w:type="pct"/>
            <w:gridSpan w:val="2"/>
            <w:vAlign w:val="center"/>
          </w:tcPr>
          <w:p w14:paraId="2FCA4FA9">
            <w:pPr>
              <w:pStyle w:val="12"/>
              <w:jc w:val="center"/>
              <w:rPr>
                <w:rFonts w:ascii="宋体" w:hAnsi="宋体"/>
                <w:b/>
              </w:rPr>
            </w:pPr>
            <w:r>
              <w:rPr>
                <w:rFonts w:hint="eastAsia" w:ascii="宋体" w:hAnsi="宋体"/>
                <w:b/>
              </w:rPr>
              <w:t>烟叶收购平均价（元/50公斤）</w:t>
            </w:r>
          </w:p>
        </w:tc>
        <w:tc>
          <w:tcPr>
            <w:tcW w:w="1000" w:type="pct"/>
            <w:vAlign w:val="center"/>
          </w:tcPr>
          <w:p w14:paraId="28308D2C">
            <w:pPr>
              <w:pStyle w:val="12"/>
              <w:jc w:val="center"/>
              <w:rPr>
                <w:rFonts w:ascii="宋体" w:hAnsi="宋体"/>
                <w:b/>
              </w:rPr>
            </w:pPr>
            <w:r>
              <w:rPr>
                <w:rFonts w:hint="eastAsia" w:ascii="宋体" w:hAnsi="宋体"/>
                <w:b/>
              </w:rPr>
              <w:t>稻谷收购价格（元/50公斤）</w:t>
            </w:r>
          </w:p>
        </w:tc>
        <w:tc>
          <w:tcPr>
            <w:tcW w:w="1000" w:type="pct"/>
            <w:vAlign w:val="center"/>
          </w:tcPr>
          <w:p w14:paraId="52FADA20">
            <w:pPr>
              <w:pStyle w:val="12"/>
              <w:jc w:val="center"/>
              <w:rPr>
                <w:rFonts w:ascii="宋体" w:hAnsi="宋体"/>
                <w:b/>
              </w:rPr>
            </w:pPr>
            <w:r>
              <w:rPr>
                <w:rFonts w:hint="eastAsia" w:ascii="宋体" w:hAnsi="宋体"/>
                <w:b/>
              </w:rPr>
              <w:t>粮烟比价</w:t>
            </w:r>
          </w:p>
        </w:tc>
      </w:tr>
      <w:tr w14:paraId="43AD3A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Merge w:val="restart"/>
            <w:vAlign w:val="center"/>
          </w:tcPr>
          <w:p w14:paraId="356804F6">
            <w:pPr>
              <w:pStyle w:val="12"/>
              <w:jc w:val="center"/>
              <w:rPr>
                <w:rFonts w:ascii="宋体" w:hAnsi="宋体"/>
              </w:rPr>
            </w:pPr>
            <w:r>
              <w:rPr>
                <w:rFonts w:hint="eastAsia" w:ascii="宋体" w:hAnsi="宋体"/>
              </w:rPr>
              <w:t>1988</w:t>
            </w:r>
          </w:p>
        </w:tc>
        <w:tc>
          <w:tcPr>
            <w:tcW w:w="1000" w:type="pct"/>
            <w:vAlign w:val="center"/>
          </w:tcPr>
          <w:p w14:paraId="735194D9">
            <w:pPr>
              <w:pStyle w:val="12"/>
              <w:jc w:val="center"/>
              <w:rPr>
                <w:rFonts w:ascii="宋体" w:hAnsi="宋体"/>
              </w:rPr>
            </w:pPr>
            <w:r>
              <w:rPr>
                <w:rFonts w:hint="eastAsia" w:ascii="宋体" w:hAnsi="宋体"/>
              </w:rPr>
              <w:t>晒烟</w:t>
            </w:r>
          </w:p>
        </w:tc>
        <w:tc>
          <w:tcPr>
            <w:tcW w:w="1000" w:type="pct"/>
            <w:vAlign w:val="center"/>
          </w:tcPr>
          <w:p w14:paraId="36AC1D33">
            <w:pPr>
              <w:pStyle w:val="12"/>
              <w:jc w:val="center"/>
              <w:rPr>
                <w:rFonts w:ascii="宋体" w:hAnsi="宋体"/>
              </w:rPr>
            </w:pPr>
            <w:r>
              <w:rPr>
                <w:rFonts w:hint="eastAsia" w:ascii="宋体" w:hAnsi="宋体"/>
              </w:rPr>
              <w:t>269.96</w:t>
            </w:r>
          </w:p>
        </w:tc>
        <w:tc>
          <w:tcPr>
            <w:tcW w:w="1000" w:type="pct"/>
            <w:vAlign w:val="center"/>
          </w:tcPr>
          <w:p w14:paraId="270F5C6A">
            <w:pPr>
              <w:pStyle w:val="12"/>
              <w:jc w:val="center"/>
              <w:rPr>
                <w:rFonts w:ascii="宋体" w:hAnsi="宋体"/>
              </w:rPr>
            </w:pPr>
            <w:r>
              <w:rPr>
                <w:rFonts w:hint="eastAsia" w:ascii="宋体" w:hAnsi="宋体"/>
              </w:rPr>
              <w:t>25</w:t>
            </w:r>
          </w:p>
        </w:tc>
        <w:tc>
          <w:tcPr>
            <w:tcW w:w="1000" w:type="pct"/>
            <w:vAlign w:val="center"/>
          </w:tcPr>
          <w:p w14:paraId="4B5E64DE">
            <w:pPr>
              <w:pStyle w:val="12"/>
              <w:jc w:val="center"/>
              <w:rPr>
                <w:rFonts w:ascii="宋体" w:hAnsi="宋体"/>
              </w:rPr>
            </w:pPr>
            <w:r>
              <w:rPr>
                <w:rFonts w:hint="eastAsia" w:ascii="宋体" w:hAnsi="宋体"/>
              </w:rPr>
              <w:t>1：10.8</w:t>
            </w:r>
          </w:p>
        </w:tc>
      </w:tr>
      <w:tr w14:paraId="61090C7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Merge w:val="continue"/>
            <w:vAlign w:val="center"/>
          </w:tcPr>
          <w:p w14:paraId="0F399214">
            <w:pPr>
              <w:pStyle w:val="12"/>
              <w:jc w:val="center"/>
              <w:rPr>
                <w:rFonts w:ascii="宋体" w:hAnsi="宋体"/>
              </w:rPr>
            </w:pPr>
          </w:p>
        </w:tc>
        <w:tc>
          <w:tcPr>
            <w:tcW w:w="1000" w:type="pct"/>
            <w:vAlign w:val="center"/>
          </w:tcPr>
          <w:p w14:paraId="58640189">
            <w:pPr>
              <w:pStyle w:val="12"/>
              <w:jc w:val="center"/>
              <w:rPr>
                <w:rFonts w:ascii="宋体" w:hAnsi="宋体"/>
              </w:rPr>
            </w:pPr>
            <w:r>
              <w:rPr>
                <w:rFonts w:hint="eastAsia" w:ascii="宋体" w:hAnsi="宋体"/>
              </w:rPr>
              <w:t>烤烟</w:t>
            </w:r>
          </w:p>
        </w:tc>
        <w:tc>
          <w:tcPr>
            <w:tcW w:w="1000" w:type="pct"/>
            <w:vAlign w:val="center"/>
          </w:tcPr>
          <w:p w14:paraId="61CB15CE">
            <w:pPr>
              <w:pStyle w:val="12"/>
              <w:jc w:val="center"/>
              <w:rPr>
                <w:rFonts w:ascii="宋体" w:hAnsi="宋体"/>
              </w:rPr>
            </w:pPr>
            <w:r>
              <w:rPr>
                <w:rFonts w:hint="eastAsia" w:ascii="宋体" w:hAnsi="宋体"/>
              </w:rPr>
              <w:t>247.48</w:t>
            </w:r>
          </w:p>
        </w:tc>
        <w:tc>
          <w:tcPr>
            <w:tcW w:w="1000" w:type="pct"/>
            <w:vAlign w:val="center"/>
          </w:tcPr>
          <w:p w14:paraId="44778DC1">
            <w:pPr>
              <w:pStyle w:val="12"/>
              <w:jc w:val="center"/>
              <w:rPr>
                <w:rFonts w:ascii="宋体" w:hAnsi="宋体"/>
              </w:rPr>
            </w:pPr>
            <w:r>
              <w:rPr>
                <w:rFonts w:hint="eastAsia" w:ascii="宋体" w:hAnsi="宋体"/>
              </w:rPr>
              <w:t>25</w:t>
            </w:r>
          </w:p>
        </w:tc>
        <w:tc>
          <w:tcPr>
            <w:tcW w:w="1000" w:type="pct"/>
            <w:vAlign w:val="center"/>
          </w:tcPr>
          <w:p w14:paraId="0CDA87BA">
            <w:pPr>
              <w:pStyle w:val="12"/>
              <w:jc w:val="center"/>
              <w:rPr>
                <w:rFonts w:ascii="宋体" w:hAnsi="宋体"/>
              </w:rPr>
            </w:pPr>
            <w:r>
              <w:rPr>
                <w:rFonts w:hint="eastAsia" w:ascii="宋体" w:hAnsi="宋体"/>
              </w:rPr>
              <w:t>1∶9.90</w:t>
            </w:r>
          </w:p>
        </w:tc>
      </w:tr>
      <w:tr w14:paraId="01447D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Merge w:val="restart"/>
            <w:vAlign w:val="center"/>
          </w:tcPr>
          <w:p w14:paraId="0B96294C">
            <w:pPr>
              <w:pStyle w:val="12"/>
              <w:jc w:val="center"/>
              <w:rPr>
                <w:rFonts w:ascii="宋体" w:hAnsi="宋体"/>
              </w:rPr>
            </w:pPr>
            <w:r>
              <w:rPr>
                <w:rFonts w:hint="eastAsia" w:ascii="宋体" w:hAnsi="宋体"/>
              </w:rPr>
              <w:t>1989</w:t>
            </w:r>
          </w:p>
        </w:tc>
        <w:tc>
          <w:tcPr>
            <w:tcW w:w="1000" w:type="pct"/>
            <w:vAlign w:val="center"/>
          </w:tcPr>
          <w:p w14:paraId="7737DFCE">
            <w:pPr>
              <w:pStyle w:val="12"/>
              <w:jc w:val="center"/>
              <w:rPr>
                <w:rFonts w:ascii="宋体" w:hAnsi="宋体"/>
              </w:rPr>
            </w:pPr>
            <w:r>
              <w:rPr>
                <w:rFonts w:hint="eastAsia" w:ascii="宋体" w:hAnsi="宋体"/>
              </w:rPr>
              <w:t>晒烟</w:t>
            </w:r>
          </w:p>
        </w:tc>
        <w:tc>
          <w:tcPr>
            <w:tcW w:w="1000" w:type="pct"/>
            <w:vAlign w:val="center"/>
          </w:tcPr>
          <w:p w14:paraId="572620ED">
            <w:pPr>
              <w:pStyle w:val="12"/>
              <w:jc w:val="center"/>
              <w:rPr>
                <w:rFonts w:ascii="宋体" w:hAnsi="宋体"/>
              </w:rPr>
            </w:pPr>
            <w:r>
              <w:rPr>
                <w:rFonts w:hint="eastAsia" w:ascii="宋体" w:hAnsi="宋体"/>
              </w:rPr>
              <w:t>225.79</w:t>
            </w:r>
          </w:p>
        </w:tc>
        <w:tc>
          <w:tcPr>
            <w:tcW w:w="1000" w:type="pct"/>
            <w:vAlign w:val="center"/>
          </w:tcPr>
          <w:p w14:paraId="1D734883">
            <w:pPr>
              <w:pStyle w:val="12"/>
              <w:jc w:val="center"/>
              <w:rPr>
                <w:rFonts w:ascii="宋体" w:hAnsi="宋体"/>
              </w:rPr>
            </w:pPr>
            <w:r>
              <w:rPr>
                <w:rFonts w:hint="eastAsia" w:ascii="宋体" w:hAnsi="宋体"/>
              </w:rPr>
              <w:t>25</w:t>
            </w:r>
          </w:p>
        </w:tc>
        <w:tc>
          <w:tcPr>
            <w:tcW w:w="1000" w:type="pct"/>
            <w:vAlign w:val="center"/>
          </w:tcPr>
          <w:p w14:paraId="761AB83A">
            <w:pPr>
              <w:pStyle w:val="12"/>
              <w:jc w:val="center"/>
              <w:rPr>
                <w:rFonts w:ascii="宋体" w:hAnsi="宋体"/>
              </w:rPr>
            </w:pPr>
            <w:r>
              <w:rPr>
                <w:rFonts w:hint="eastAsia" w:ascii="宋体" w:hAnsi="宋体"/>
              </w:rPr>
              <w:t>1∶9.03</w:t>
            </w:r>
          </w:p>
        </w:tc>
      </w:tr>
      <w:tr w14:paraId="44CD13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Merge w:val="continue"/>
            <w:vAlign w:val="center"/>
          </w:tcPr>
          <w:p w14:paraId="074BDAF1">
            <w:pPr>
              <w:pStyle w:val="12"/>
              <w:jc w:val="center"/>
              <w:rPr>
                <w:rFonts w:ascii="宋体" w:hAnsi="宋体"/>
              </w:rPr>
            </w:pPr>
          </w:p>
        </w:tc>
        <w:tc>
          <w:tcPr>
            <w:tcW w:w="1000" w:type="pct"/>
            <w:vAlign w:val="center"/>
          </w:tcPr>
          <w:p w14:paraId="4B8061F4">
            <w:pPr>
              <w:pStyle w:val="12"/>
              <w:jc w:val="center"/>
              <w:rPr>
                <w:rFonts w:ascii="宋体" w:hAnsi="宋体"/>
              </w:rPr>
            </w:pPr>
            <w:r>
              <w:rPr>
                <w:rFonts w:hint="eastAsia" w:ascii="宋体" w:hAnsi="宋体"/>
              </w:rPr>
              <w:t>烤烟</w:t>
            </w:r>
          </w:p>
        </w:tc>
        <w:tc>
          <w:tcPr>
            <w:tcW w:w="1000" w:type="pct"/>
            <w:vAlign w:val="center"/>
          </w:tcPr>
          <w:p w14:paraId="7EBEB168">
            <w:pPr>
              <w:pStyle w:val="12"/>
              <w:jc w:val="center"/>
              <w:rPr>
                <w:rFonts w:ascii="宋体" w:hAnsi="宋体"/>
              </w:rPr>
            </w:pPr>
            <w:r>
              <w:rPr>
                <w:rFonts w:hint="eastAsia" w:ascii="宋体" w:hAnsi="宋体"/>
              </w:rPr>
              <w:t>266.91</w:t>
            </w:r>
          </w:p>
        </w:tc>
        <w:tc>
          <w:tcPr>
            <w:tcW w:w="1000" w:type="pct"/>
            <w:vAlign w:val="center"/>
          </w:tcPr>
          <w:p w14:paraId="189B97F1">
            <w:pPr>
              <w:pStyle w:val="12"/>
              <w:jc w:val="center"/>
              <w:rPr>
                <w:rFonts w:ascii="宋体" w:hAnsi="宋体"/>
              </w:rPr>
            </w:pPr>
            <w:r>
              <w:rPr>
                <w:rFonts w:hint="eastAsia" w:ascii="宋体" w:hAnsi="宋体"/>
              </w:rPr>
              <w:t>25</w:t>
            </w:r>
          </w:p>
        </w:tc>
        <w:tc>
          <w:tcPr>
            <w:tcW w:w="1000" w:type="pct"/>
            <w:vAlign w:val="center"/>
          </w:tcPr>
          <w:p w14:paraId="32FCEA13">
            <w:pPr>
              <w:pStyle w:val="12"/>
              <w:jc w:val="center"/>
              <w:rPr>
                <w:rFonts w:ascii="宋体" w:hAnsi="宋体"/>
              </w:rPr>
            </w:pPr>
            <w:r>
              <w:rPr>
                <w:rFonts w:hint="eastAsia" w:ascii="宋体" w:hAnsi="宋体"/>
              </w:rPr>
              <w:t>1∶10.68</w:t>
            </w:r>
          </w:p>
        </w:tc>
      </w:tr>
      <w:tr w14:paraId="18C8C9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Align w:val="center"/>
          </w:tcPr>
          <w:p w14:paraId="238D9C91">
            <w:pPr>
              <w:pStyle w:val="12"/>
              <w:jc w:val="center"/>
              <w:rPr>
                <w:rFonts w:ascii="宋体" w:hAnsi="宋体"/>
              </w:rPr>
            </w:pPr>
            <w:r>
              <w:rPr>
                <w:rFonts w:hint="eastAsia" w:ascii="宋体" w:hAnsi="宋体"/>
              </w:rPr>
              <w:t>1990</w:t>
            </w:r>
          </w:p>
        </w:tc>
        <w:tc>
          <w:tcPr>
            <w:tcW w:w="1000" w:type="pct"/>
            <w:vAlign w:val="center"/>
          </w:tcPr>
          <w:p w14:paraId="2B20891E">
            <w:pPr>
              <w:pStyle w:val="12"/>
              <w:jc w:val="center"/>
              <w:rPr>
                <w:rFonts w:ascii="宋体" w:hAnsi="宋体"/>
              </w:rPr>
            </w:pPr>
            <w:r>
              <w:rPr>
                <w:rFonts w:hint="eastAsia" w:ascii="宋体" w:hAnsi="宋体"/>
              </w:rPr>
              <w:t>烤烟</w:t>
            </w:r>
          </w:p>
        </w:tc>
        <w:tc>
          <w:tcPr>
            <w:tcW w:w="1000" w:type="pct"/>
            <w:vAlign w:val="center"/>
          </w:tcPr>
          <w:p w14:paraId="28D641D3">
            <w:pPr>
              <w:pStyle w:val="12"/>
              <w:jc w:val="center"/>
              <w:rPr>
                <w:rFonts w:ascii="宋体" w:hAnsi="宋体"/>
              </w:rPr>
            </w:pPr>
            <w:r>
              <w:rPr>
                <w:rFonts w:hint="eastAsia" w:ascii="宋体" w:hAnsi="宋体"/>
              </w:rPr>
              <w:t>248.44</w:t>
            </w:r>
          </w:p>
        </w:tc>
        <w:tc>
          <w:tcPr>
            <w:tcW w:w="1000" w:type="pct"/>
            <w:vAlign w:val="center"/>
          </w:tcPr>
          <w:p w14:paraId="1E1AB7BA">
            <w:pPr>
              <w:pStyle w:val="12"/>
              <w:jc w:val="center"/>
              <w:rPr>
                <w:rFonts w:ascii="宋体" w:hAnsi="宋体"/>
              </w:rPr>
            </w:pPr>
            <w:r>
              <w:rPr>
                <w:rFonts w:hint="eastAsia" w:ascii="宋体" w:hAnsi="宋体"/>
              </w:rPr>
              <w:t>38</w:t>
            </w:r>
          </w:p>
        </w:tc>
        <w:tc>
          <w:tcPr>
            <w:tcW w:w="1000" w:type="pct"/>
            <w:vAlign w:val="center"/>
          </w:tcPr>
          <w:p w14:paraId="51C2F00E">
            <w:pPr>
              <w:pStyle w:val="12"/>
              <w:jc w:val="center"/>
              <w:rPr>
                <w:rFonts w:ascii="宋体" w:hAnsi="宋体"/>
              </w:rPr>
            </w:pPr>
            <w:r>
              <w:rPr>
                <w:rFonts w:hint="eastAsia" w:ascii="宋体" w:hAnsi="宋体"/>
              </w:rPr>
              <w:t>1∶6.54</w:t>
            </w:r>
          </w:p>
        </w:tc>
      </w:tr>
      <w:tr w14:paraId="68E2DD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Align w:val="center"/>
          </w:tcPr>
          <w:p w14:paraId="52E8B611">
            <w:pPr>
              <w:pStyle w:val="12"/>
              <w:jc w:val="center"/>
              <w:rPr>
                <w:rFonts w:ascii="宋体" w:hAnsi="宋体"/>
              </w:rPr>
            </w:pPr>
            <w:r>
              <w:rPr>
                <w:rFonts w:hint="eastAsia" w:ascii="宋体" w:hAnsi="宋体"/>
              </w:rPr>
              <w:t>1991</w:t>
            </w:r>
          </w:p>
        </w:tc>
        <w:tc>
          <w:tcPr>
            <w:tcW w:w="1000" w:type="pct"/>
            <w:vAlign w:val="center"/>
          </w:tcPr>
          <w:p w14:paraId="54461478">
            <w:pPr>
              <w:pStyle w:val="12"/>
              <w:jc w:val="center"/>
              <w:rPr>
                <w:rFonts w:ascii="宋体" w:hAnsi="宋体"/>
              </w:rPr>
            </w:pPr>
            <w:r>
              <w:rPr>
                <w:rFonts w:hint="eastAsia" w:ascii="宋体" w:hAnsi="宋体"/>
              </w:rPr>
              <w:t>烤烟</w:t>
            </w:r>
          </w:p>
        </w:tc>
        <w:tc>
          <w:tcPr>
            <w:tcW w:w="1000" w:type="pct"/>
            <w:vAlign w:val="center"/>
          </w:tcPr>
          <w:p w14:paraId="7B4D50A3">
            <w:pPr>
              <w:pStyle w:val="12"/>
              <w:jc w:val="center"/>
              <w:rPr>
                <w:rFonts w:ascii="宋体" w:hAnsi="宋体"/>
              </w:rPr>
            </w:pPr>
            <w:r>
              <w:rPr>
                <w:rFonts w:hint="eastAsia" w:ascii="宋体" w:hAnsi="宋体"/>
              </w:rPr>
              <w:t>245.56</w:t>
            </w:r>
          </w:p>
        </w:tc>
        <w:tc>
          <w:tcPr>
            <w:tcW w:w="1000" w:type="pct"/>
            <w:vAlign w:val="center"/>
          </w:tcPr>
          <w:p w14:paraId="02CE3417">
            <w:pPr>
              <w:pStyle w:val="12"/>
              <w:jc w:val="center"/>
              <w:rPr>
                <w:rFonts w:ascii="宋体" w:hAnsi="宋体"/>
              </w:rPr>
            </w:pPr>
            <w:r>
              <w:rPr>
                <w:rFonts w:hint="eastAsia" w:ascii="宋体" w:hAnsi="宋体"/>
              </w:rPr>
              <w:t>38</w:t>
            </w:r>
          </w:p>
        </w:tc>
        <w:tc>
          <w:tcPr>
            <w:tcW w:w="1000" w:type="pct"/>
            <w:vAlign w:val="center"/>
          </w:tcPr>
          <w:p w14:paraId="10D05BAE">
            <w:pPr>
              <w:pStyle w:val="12"/>
              <w:jc w:val="center"/>
              <w:rPr>
                <w:rFonts w:ascii="宋体" w:hAnsi="宋体"/>
              </w:rPr>
            </w:pPr>
            <w:r>
              <w:rPr>
                <w:rFonts w:hint="eastAsia" w:ascii="宋体" w:hAnsi="宋体"/>
              </w:rPr>
              <w:t>1∶6.46</w:t>
            </w:r>
          </w:p>
        </w:tc>
      </w:tr>
      <w:tr w14:paraId="0096D8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Align w:val="center"/>
          </w:tcPr>
          <w:p w14:paraId="3EBCA353">
            <w:pPr>
              <w:pStyle w:val="12"/>
              <w:jc w:val="center"/>
              <w:rPr>
                <w:rFonts w:ascii="宋体" w:hAnsi="宋体"/>
              </w:rPr>
            </w:pPr>
            <w:r>
              <w:rPr>
                <w:rFonts w:hint="eastAsia" w:ascii="宋体" w:hAnsi="宋体"/>
              </w:rPr>
              <w:t>1992</w:t>
            </w:r>
          </w:p>
        </w:tc>
        <w:tc>
          <w:tcPr>
            <w:tcW w:w="1000" w:type="pct"/>
            <w:vAlign w:val="center"/>
          </w:tcPr>
          <w:p w14:paraId="38CDDCA0">
            <w:pPr>
              <w:pStyle w:val="12"/>
              <w:jc w:val="center"/>
              <w:rPr>
                <w:rFonts w:ascii="宋体" w:hAnsi="宋体"/>
              </w:rPr>
            </w:pPr>
            <w:r>
              <w:rPr>
                <w:rFonts w:hint="eastAsia" w:ascii="宋体" w:hAnsi="宋体"/>
              </w:rPr>
              <w:t>烤烟</w:t>
            </w:r>
          </w:p>
        </w:tc>
        <w:tc>
          <w:tcPr>
            <w:tcW w:w="1000" w:type="pct"/>
            <w:vAlign w:val="center"/>
          </w:tcPr>
          <w:p w14:paraId="536F3308">
            <w:pPr>
              <w:pStyle w:val="12"/>
              <w:jc w:val="center"/>
              <w:rPr>
                <w:rFonts w:ascii="宋体" w:hAnsi="宋体"/>
              </w:rPr>
            </w:pPr>
            <w:r>
              <w:rPr>
                <w:rFonts w:hint="eastAsia" w:ascii="宋体" w:hAnsi="宋体"/>
              </w:rPr>
              <w:t>257.22</w:t>
            </w:r>
          </w:p>
        </w:tc>
        <w:tc>
          <w:tcPr>
            <w:tcW w:w="1000" w:type="pct"/>
            <w:vAlign w:val="center"/>
          </w:tcPr>
          <w:p w14:paraId="1A30975D">
            <w:pPr>
              <w:pStyle w:val="12"/>
              <w:jc w:val="center"/>
              <w:rPr>
                <w:rFonts w:ascii="宋体" w:hAnsi="宋体"/>
              </w:rPr>
            </w:pPr>
            <w:r>
              <w:rPr>
                <w:rFonts w:hint="eastAsia" w:ascii="宋体" w:hAnsi="宋体"/>
              </w:rPr>
              <w:t>33</w:t>
            </w:r>
          </w:p>
        </w:tc>
        <w:tc>
          <w:tcPr>
            <w:tcW w:w="1000" w:type="pct"/>
            <w:vAlign w:val="center"/>
          </w:tcPr>
          <w:p w14:paraId="1FDF8B97">
            <w:pPr>
              <w:pStyle w:val="12"/>
              <w:jc w:val="center"/>
              <w:rPr>
                <w:rFonts w:ascii="宋体" w:hAnsi="宋体"/>
              </w:rPr>
            </w:pPr>
            <w:r>
              <w:rPr>
                <w:rFonts w:hint="eastAsia" w:ascii="宋体" w:hAnsi="宋体"/>
              </w:rPr>
              <w:t>1∶7.79</w:t>
            </w:r>
          </w:p>
        </w:tc>
      </w:tr>
      <w:tr w14:paraId="58FC79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Align w:val="center"/>
          </w:tcPr>
          <w:p w14:paraId="2E40B04A">
            <w:pPr>
              <w:pStyle w:val="12"/>
              <w:jc w:val="center"/>
              <w:rPr>
                <w:rFonts w:ascii="宋体" w:hAnsi="宋体"/>
              </w:rPr>
            </w:pPr>
            <w:r>
              <w:rPr>
                <w:rFonts w:hint="eastAsia" w:ascii="宋体" w:hAnsi="宋体"/>
              </w:rPr>
              <w:t>1993</w:t>
            </w:r>
          </w:p>
        </w:tc>
        <w:tc>
          <w:tcPr>
            <w:tcW w:w="1000" w:type="pct"/>
            <w:vAlign w:val="center"/>
          </w:tcPr>
          <w:p w14:paraId="28033685">
            <w:pPr>
              <w:pStyle w:val="12"/>
              <w:jc w:val="center"/>
              <w:rPr>
                <w:rFonts w:ascii="宋体" w:hAnsi="宋体"/>
              </w:rPr>
            </w:pPr>
            <w:r>
              <w:rPr>
                <w:rFonts w:hint="eastAsia" w:ascii="宋体" w:hAnsi="宋体"/>
              </w:rPr>
              <w:t>烤烟</w:t>
            </w:r>
          </w:p>
        </w:tc>
        <w:tc>
          <w:tcPr>
            <w:tcW w:w="1000" w:type="pct"/>
            <w:vAlign w:val="center"/>
          </w:tcPr>
          <w:p w14:paraId="4304C190">
            <w:pPr>
              <w:pStyle w:val="12"/>
              <w:jc w:val="center"/>
              <w:rPr>
                <w:rFonts w:ascii="宋体" w:hAnsi="宋体"/>
              </w:rPr>
            </w:pPr>
            <w:r>
              <w:rPr>
                <w:rFonts w:hint="eastAsia" w:ascii="宋体" w:hAnsi="宋体"/>
              </w:rPr>
              <w:t>307.22</w:t>
            </w:r>
          </w:p>
        </w:tc>
        <w:tc>
          <w:tcPr>
            <w:tcW w:w="1000" w:type="pct"/>
            <w:vAlign w:val="center"/>
          </w:tcPr>
          <w:p w14:paraId="21900CA9">
            <w:pPr>
              <w:pStyle w:val="12"/>
              <w:jc w:val="center"/>
              <w:rPr>
                <w:rFonts w:ascii="宋体" w:hAnsi="宋体"/>
              </w:rPr>
            </w:pPr>
            <w:r>
              <w:rPr>
                <w:rFonts w:hint="eastAsia" w:ascii="宋体" w:hAnsi="宋体"/>
              </w:rPr>
              <w:t>33</w:t>
            </w:r>
          </w:p>
        </w:tc>
        <w:tc>
          <w:tcPr>
            <w:tcW w:w="1000" w:type="pct"/>
            <w:vAlign w:val="center"/>
          </w:tcPr>
          <w:p w14:paraId="65281ABA">
            <w:pPr>
              <w:pStyle w:val="12"/>
              <w:jc w:val="center"/>
              <w:rPr>
                <w:rFonts w:ascii="宋体" w:hAnsi="宋体"/>
              </w:rPr>
            </w:pPr>
            <w:r>
              <w:rPr>
                <w:rFonts w:hint="eastAsia" w:ascii="宋体" w:hAnsi="宋体"/>
              </w:rPr>
              <w:t>1∶9.31</w:t>
            </w:r>
          </w:p>
        </w:tc>
      </w:tr>
      <w:tr w14:paraId="54A88C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Align w:val="center"/>
          </w:tcPr>
          <w:p w14:paraId="6AB3A3BA">
            <w:pPr>
              <w:pStyle w:val="12"/>
              <w:jc w:val="center"/>
              <w:rPr>
                <w:rFonts w:ascii="宋体" w:hAnsi="宋体"/>
              </w:rPr>
            </w:pPr>
            <w:r>
              <w:rPr>
                <w:rFonts w:hint="eastAsia" w:ascii="宋体" w:hAnsi="宋体"/>
              </w:rPr>
              <w:t>1994</w:t>
            </w:r>
          </w:p>
        </w:tc>
        <w:tc>
          <w:tcPr>
            <w:tcW w:w="1000" w:type="pct"/>
            <w:vAlign w:val="center"/>
          </w:tcPr>
          <w:p w14:paraId="7A8AB0EC">
            <w:pPr>
              <w:pStyle w:val="12"/>
              <w:jc w:val="center"/>
              <w:rPr>
                <w:rFonts w:ascii="宋体" w:hAnsi="宋体"/>
              </w:rPr>
            </w:pPr>
            <w:r>
              <w:rPr>
                <w:rFonts w:hint="eastAsia" w:ascii="宋体" w:hAnsi="宋体"/>
              </w:rPr>
              <w:t>烤烟</w:t>
            </w:r>
          </w:p>
        </w:tc>
        <w:tc>
          <w:tcPr>
            <w:tcW w:w="1000" w:type="pct"/>
            <w:vAlign w:val="center"/>
          </w:tcPr>
          <w:p w14:paraId="4C4B3B46">
            <w:pPr>
              <w:pStyle w:val="12"/>
              <w:jc w:val="center"/>
              <w:rPr>
                <w:rFonts w:ascii="宋体" w:hAnsi="宋体"/>
              </w:rPr>
            </w:pPr>
            <w:r>
              <w:rPr>
                <w:rFonts w:hint="eastAsia" w:ascii="宋体" w:hAnsi="宋体"/>
              </w:rPr>
              <w:t>187.83</w:t>
            </w:r>
          </w:p>
        </w:tc>
        <w:tc>
          <w:tcPr>
            <w:tcW w:w="1000" w:type="pct"/>
            <w:vAlign w:val="center"/>
          </w:tcPr>
          <w:p w14:paraId="03A50386">
            <w:pPr>
              <w:pStyle w:val="12"/>
              <w:jc w:val="center"/>
              <w:rPr>
                <w:rFonts w:ascii="宋体" w:hAnsi="宋体"/>
              </w:rPr>
            </w:pPr>
            <w:r>
              <w:rPr>
                <w:rFonts w:hint="eastAsia" w:ascii="宋体" w:hAnsi="宋体"/>
              </w:rPr>
              <w:t>70</w:t>
            </w:r>
          </w:p>
        </w:tc>
        <w:tc>
          <w:tcPr>
            <w:tcW w:w="1000" w:type="pct"/>
            <w:vAlign w:val="center"/>
          </w:tcPr>
          <w:p w14:paraId="5DB00125">
            <w:pPr>
              <w:pStyle w:val="12"/>
              <w:jc w:val="center"/>
              <w:rPr>
                <w:rFonts w:ascii="宋体" w:hAnsi="宋体"/>
              </w:rPr>
            </w:pPr>
            <w:r>
              <w:rPr>
                <w:rFonts w:hint="eastAsia" w:ascii="宋体" w:hAnsi="宋体"/>
              </w:rPr>
              <w:t>1∶2.68</w:t>
            </w:r>
          </w:p>
        </w:tc>
      </w:tr>
      <w:tr w14:paraId="30515E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Align w:val="center"/>
          </w:tcPr>
          <w:p w14:paraId="6D145A4C">
            <w:pPr>
              <w:pStyle w:val="12"/>
              <w:jc w:val="center"/>
              <w:rPr>
                <w:rFonts w:ascii="宋体" w:hAnsi="宋体"/>
              </w:rPr>
            </w:pPr>
            <w:r>
              <w:rPr>
                <w:rFonts w:hint="eastAsia" w:ascii="宋体" w:hAnsi="宋体"/>
              </w:rPr>
              <w:t>1995</w:t>
            </w:r>
          </w:p>
        </w:tc>
        <w:tc>
          <w:tcPr>
            <w:tcW w:w="1000" w:type="pct"/>
            <w:vAlign w:val="center"/>
          </w:tcPr>
          <w:p w14:paraId="77D01068">
            <w:pPr>
              <w:pStyle w:val="12"/>
              <w:jc w:val="center"/>
              <w:rPr>
                <w:rFonts w:ascii="宋体" w:hAnsi="宋体"/>
              </w:rPr>
            </w:pPr>
            <w:r>
              <w:rPr>
                <w:rFonts w:hint="eastAsia" w:ascii="宋体" w:hAnsi="宋体"/>
              </w:rPr>
              <w:t>烤烟</w:t>
            </w:r>
          </w:p>
        </w:tc>
        <w:tc>
          <w:tcPr>
            <w:tcW w:w="1000" w:type="pct"/>
            <w:vAlign w:val="center"/>
          </w:tcPr>
          <w:p w14:paraId="5416F838">
            <w:pPr>
              <w:pStyle w:val="12"/>
              <w:jc w:val="center"/>
              <w:rPr>
                <w:rFonts w:ascii="宋体" w:hAnsi="宋体"/>
              </w:rPr>
            </w:pPr>
            <w:r>
              <w:rPr>
                <w:rFonts w:hint="eastAsia" w:ascii="宋体" w:hAnsi="宋体"/>
              </w:rPr>
              <w:t>453.87</w:t>
            </w:r>
          </w:p>
        </w:tc>
        <w:tc>
          <w:tcPr>
            <w:tcW w:w="1000" w:type="pct"/>
            <w:vAlign w:val="center"/>
          </w:tcPr>
          <w:p w14:paraId="6B9DB941">
            <w:pPr>
              <w:pStyle w:val="12"/>
              <w:jc w:val="center"/>
              <w:rPr>
                <w:rFonts w:ascii="宋体" w:hAnsi="宋体"/>
              </w:rPr>
            </w:pPr>
            <w:r>
              <w:rPr>
                <w:rFonts w:hint="eastAsia" w:ascii="宋体" w:hAnsi="宋体"/>
              </w:rPr>
              <w:t>70</w:t>
            </w:r>
          </w:p>
        </w:tc>
        <w:tc>
          <w:tcPr>
            <w:tcW w:w="1000" w:type="pct"/>
            <w:vAlign w:val="center"/>
          </w:tcPr>
          <w:p w14:paraId="50763127">
            <w:pPr>
              <w:pStyle w:val="12"/>
              <w:jc w:val="center"/>
              <w:rPr>
                <w:rFonts w:ascii="宋体" w:hAnsi="宋体"/>
              </w:rPr>
            </w:pPr>
            <w:r>
              <w:rPr>
                <w:rFonts w:hint="eastAsia" w:ascii="宋体" w:hAnsi="宋体"/>
              </w:rPr>
              <w:t>1∶6.48</w:t>
            </w:r>
          </w:p>
        </w:tc>
      </w:tr>
      <w:tr w14:paraId="579623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Align w:val="center"/>
          </w:tcPr>
          <w:p w14:paraId="482068B6">
            <w:pPr>
              <w:pStyle w:val="12"/>
              <w:jc w:val="center"/>
              <w:rPr>
                <w:rFonts w:ascii="宋体" w:hAnsi="宋体"/>
              </w:rPr>
            </w:pPr>
            <w:r>
              <w:rPr>
                <w:rFonts w:hint="eastAsia" w:ascii="宋体" w:hAnsi="宋体"/>
              </w:rPr>
              <w:t>1996</w:t>
            </w:r>
          </w:p>
        </w:tc>
        <w:tc>
          <w:tcPr>
            <w:tcW w:w="1000" w:type="pct"/>
            <w:vAlign w:val="center"/>
          </w:tcPr>
          <w:p w14:paraId="4F1C679F">
            <w:pPr>
              <w:pStyle w:val="12"/>
              <w:jc w:val="center"/>
              <w:rPr>
                <w:rFonts w:ascii="宋体" w:hAnsi="宋体"/>
              </w:rPr>
            </w:pPr>
            <w:r>
              <w:rPr>
                <w:rFonts w:hint="eastAsia" w:ascii="宋体" w:hAnsi="宋体"/>
              </w:rPr>
              <w:t>烤烟</w:t>
            </w:r>
          </w:p>
        </w:tc>
        <w:tc>
          <w:tcPr>
            <w:tcW w:w="1000" w:type="pct"/>
            <w:vAlign w:val="center"/>
          </w:tcPr>
          <w:p w14:paraId="6A3B18CC">
            <w:pPr>
              <w:pStyle w:val="12"/>
              <w:jc w:val="center"/>
              <w:rPr>
                <w:rFonts w:ascii="宋体" w:hAnsi="宋体"/>
              </w:rPr>
            </w:pPr>
            <w:r>
              <w:rPr>
                <w:rFonts w:hint="eastAsia" w:ascii="宋体" w:hAnsi="宋体"/>
              </w:rPr>
              <w:t>422.71</w:t>
            </w:r>
          </w:p>
        </w:tc>
        <w:tc>
          <w:tcPr>
            <w:tcW w:w="1000" w:type="pct"/>
            <w:vAlign w:val="center"/>
          </w:tcPr>
          <w:p w14:paraId="2616506D">
            <w:pPr>
              <w:pStyle w:val="12"/>
              <w:jc w:val="center"/>
              <w:rPr>
                <w:rFonts w:ascii="宋体" w:hAnsi="宋体"/>
              </w:rPr>
            </w:pPr>
            <w:r>
              <w:rPr>
                <w:rFonts w:hint="eastAsia" w:ascii="宋体" w:hAnsi="宋体"/>
              </w:rPr>
              <w:t>74</w:t>
            </w:r>
          </w:p>
        </w:tc>
        <w:tc>
          <w:tcPr>
            <w:tcW w:w="1000" w:type="pct"/>
            <w:vAlign w:val="center"/>
          </w:tcPr>
          <w:p w14:paraId="12493D29">
            <w:pPr>
              <w:pStyle w:val="12"/>
              <w:jc w:val="center"/>
              <w:rPr>
                <w:rFonts w:ascii="宋体" w:hAnsi="宋体"/>
              </w:rPr>
            </w:pPr>
            <w:r>
              <w:rPr>
                <w:rFonts w:hint="eastAsia" w:ascii="宋体" w:hAnsi="宋体"/>
              </w:rPr>
              <w:t>1∶5.71</w:t>
            </w:r>
          </w:p>
        </w:tc>
      </w:tr>
      <w:tr w14:paraId="0C990E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Align w:val="center"/>
          </w:tcPr>
          <w:p w14:paraId="416D5368">
            <w:pPr>
              <w:pStyle w:val="12"/>
              <w:jc w:val="center"/>
              <w:rPr>
                <w:rFonts w:ascii="宋体" w:hAnsi="宋体"/>
              </w:rPr>
            </w:pPr>
            <w:r>
              <w:rPr>
                <w:rFonts w:hint="eastAsia" w:ascii="宋体" w:hAnsi="宋体"/>
              </w:rPr>
              <w:t>1997</w:t>
            </w:r>
          </w:p>
        </w:tc>
        <w:tc>
          <w:tcPr>
            <w:tcW w:w="1000" w:type="pct"/>
            <w:vAlign w:val="center"/>
          </w:tcPr>
          <w:p w14:paraId="080B5C4F">
            <w:pPr>
              <w:pStyle w:val="12"/>
              <w:jc w:val="center"/>
              <w:rPr>
                <w:rFonts w:ascii="宋体" w:hAnsi="宋体"/>
              </w:rPr>
            </w:pPr>
            <w:r>
              <w:rPr>
                <w:rFonts w:hint="eastAsia" w:ascii="宋体" w:hAnsi="宋体"/>
              </w:rPr>
              <w:t>烤烟</w:t>
            </w:r>
          </w:p>
        </w:tc>
        <w:tc>
          <w:tcPr>
            <w:tcW w:w="1000" w:type="pct"/>
            <w:vAlign w:val="center"/>
          </w:tcPr>
          <w:p w14:paraId="171DDBAB">
            <w:pPr>
              <w:pStyle w:val="12"/>
              <w:jc w:val="center"/>
              <w:rPr>
                <w:rFonts w:ascii="宋体" w:hAnsi="宋体"/>
              </w:rPr>
            </w:pPr>
            <w:r>
              <w:rPr>
                <w:rFonts w:hint="eastAsia" w:ascii="宋体" w:hAnsi="宋体"/>
              </w:rPr>
              <w:t>488.57</w:t>
            </w:r>
          </w:p>
        </w:tc>
        <w:tc>
          <w:tcPr>
            <w:tcW w:w="1000" w:type="pct"/>
            <w:vAlign w:val="center"/>
          </w:tcPr>
          <w:p w14:paraId="250FD702">
            <w:pPr>
              <w:pStyle w:val="12"/>
              <w:jc w:val="center"/>
              <w:rPr>
                <w:rFonts w:ascii="宋体" w:hAnsi="宋体"/>
              </w:rPr>
            </w:pPr>
            <w:r>
              <w:rPr>
                <w:rFonts w:hint="eastAsia" w:ascii="宋体" w:hAnsi="宋体"/>
              </w:rPr>
              <w:t>70</w:t>
            </w:r>
          </w:p>
        </w:tc>
        <w:tc>
          <w:tcPr>
            <w:tcW w:w="1000" w:type="pct"/>
            <w:vAlign w:val="center"/>
          </w:tcPr>
          <w:p w14:paraId="17B5DD19">
            <w:pPr>
              <w:pStyle w:val="12"/>
              <w:jc w:val="center"/>
              <w:rPr>
                <w:rFonts w:ascii="宋体" w:hAnsi="宋体"/>
              </w:rPr>
            </w:pPr>
            <w:r>
              <w:rPr>
                <w:rFonts w:hint="eastAsia" w:ascii="宋体" w:hAnsi="宋体"/>
              </w:rPr>
              <w:t>1∶6.98</w:t>
            </w:r>
          </w:p>
        </w:tc>
      </w:tr>
      <w:tr w14:paraId="12CC06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Align w:val="center"/>
          </w:tcPr>
          <w:p w14:paraId="2BA749F2">
            <w:pPr>
              <w:pStyle w:val="12"/>
              <w:jc w:val="center"/>
              <w:rPr>
                <w:rFonts w:ascii="宋体" w:hAnsi="宋体"/>
              </w:rPr>
            </w:pPr>
            <w:r>
              <w:rPr>
                <w:rFonts w:hint="eastAsia" w:ascii="宋体" w:hAnsi="宋体"/>
              </w:rPr>
              <w:t>1998</w:t>
            </w:r>
          </w:p>
        </w:tc>
        <w:tc>
          <w:tcPr>
            <w:tcW w:w="1000" w:type="pct"/>
            <w:vAlign w:val="center"/>
          </w:tcPr>
          <w:p w14:paraId="7DDA3C12">
            <w:pPr>
              <w:pStyle w:val="12"/>
              <w:jc w:val="center"/>
              <w:rPr>
                <w:rFonts w:ascii="宋体" w:hAnsi="宋体"/>
              </w:rPr>
            </w:pPr>
            <w:r>
              <w:rPr>
                <w:rFonts w:hint="eastAsia" w:ascii="宋体" w:hAnsi="宋体"/>
              </w:rPr>
              <w:t>烤烟</w:t>
            </w:r>
          </w:p>
        </w:tc>
        <w:tc>
          <w:tcPr>
            <w:tcW w:w="1000" w:type="pct"/>
            <w:vAlign w:val="center"/>
          </w:tcPr>
          <w:p w14:paraId="1FFAC9CB">
            <w:pPr>
              <w:pStyle w:val="12"/>
              <w:jc w:val="center"/>
              <w:rPr>
                <w:rFonts w:ascii="宋体" w:hAnsi="宋体"/>
              </w:rPr>
            </w:pPr>
            <w:r>
              <w:rPr>
                <w:rFonts w:hint="eastAsia" w:ascii="宋体" w:hAnsi="宋体"/>
              </w:rPr>
              <w:t>245.75</w:t>
            </w:r>
          </w:p>
        </w:tc>
        <w:tc>
          <w:tcPr>
            <w:tcW w:w="1000" w:type="pct"/>
            <w:vAlign w:val="center"/>
          </w:tcPr>
          <w:p w14:paraId="22129C68">
            <w:pPr>
              <w:pStyle w:val="12"/>
              <w:jc w:val="center"/>
              <w:rPr>
                <w:rFonts w:ascii="宋体" w:hAnsi="宋体"/>
              </w:rPr>
            </w:pPr>
            <w:r>
              <w:rPr>
                <w:rFonts w:hint="eastAsia" w:ascii="宋体" w:hAnsi="宋体"/>
              </w:rPr>
              <w:t>60</w:t>
            </w:r>
          </w:p>
        </w:tc>
        <w:tc>
          <w:tcPr>
            <w:tcW w:w="1000" w:type="pct"/>
            <w:vAlign w:val="center"/>
          </w:tcPr>
          <w:p w14:paraId="01F4746D">
            <w:pPr>
              <w:pStyle w:val="12"/>
              <w:jc w:val="center"/>
              <w:rPr>
                <w:rFonts w:ascii="宋体" w:hAnsi="宋体"/>
              </w:rPr>
            </w:pPr>
            <w:r>
              <w:rPr>
                <w:rFonts w:hint="eastAsia" w:ascii="宋体" w:hAnsi="宋体"/>
              </w:rPr>
              <w:t>1∶4.10</w:t>
            </w:r>
          </w:p>
        </w:tc>
      </w:tr>
      <w:tr w14:paraId="274D36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Align w:val="center"/>
          </w:tcPr>
          <w:p w14:paraId="1D22F892">
            <w:pPr>
              <w:pStyle w:val="12"/>
              <w:jc w:val="center"/>
              <w:rPr>
                <w:rFonts w:ascii="宋体" w:hAnsi="宋体"/>
              </w:rPr>
            </w:pPr>
            <w:r>
              <w:rPr>
                <w:rFonts w:hint="eastAsia" w:ascii="宋体" w:hAnsi="宋体"/>
              </w:rPr>
              <w:t>1999</w:t>
            </w:r>
          </w:p>
        </w:tc>
        <w:tc>
          <w:tcPr>
            <w:tcW w:w="1000" w:type="pct"/>
            <w:vAlign w:val="center"/>
          </w:tcPr>
          <w:p w14:paraId="66D41B13">
            <w:pPr>
              <w:pStyle w:val="12"/>
              <w:jc w:val="center"/>
              <w:rPr>
                <w:rFonts w:ascii="宋体" w:hAnsi="宋体"/>
              </w:rPr>
            </w:pPr>
            <w:r>
              <w:rPr>
                <w:rFonts w:hint="eastAsia" w:ascii="宋体" w:hAnsi="宋体"/>
              </w:rPr>
              <w:t>烤烟</w:t>
            </w:r>
          </w:p>
        </w:tc>
        <w:tc>
          <w:tcPr>
            <w:tcW w:w="1000" w:type="pct"/>
            <w:vAlign w:val="center"/>
          </w:tcPr>
          <w:p w14:paraId="490B8FEB">
            <w:pPr>
              <w:pStyle w:val="12"/>
              <w:jc w:val="center"/>
              <w:rPr>
                <w:rFonts w:ascii="宋体" w:hAnsi="宋体"/>
              </w:rPr>
            </w:pPr>
            <w:r>
              <w:rPr>
                <w:rFonts w:hint="eastAsia" w:ascii="宋体" w:hAnsi="宋体"/>
              </w:rPr>
              <w:t>388.72</w:t>
            </w:r>
          </w:p>
        </w:tc>
        <w:tc>
          <w:tcPr>
            <w:tcW w:w="1000" w:type="pct"/>
            <w:vAlign w:val="center"/>
          </w:tcPr>
          <w:p w14:paraId="6ED40553">
            <w:pPr>
              <w:pStyle w:val="12"/>
              <w:jc w:val="center"/>
              <w:rPr>
                <w:rFonts w:ascii="宋体" w:hAnsi="宋体"/>
              </w:rPr>
            </w:pPr>
            <w:r>
              <w:rPr>
                <w:rFonts w:hint="eastAsia" w:ascii="宋体" w:hAnsi="宋体"/>
              </w:rPr>
              <w:t>60</w:t>
            </w:r>
          </w:p>
        </w:tc>
        <w:tc>
          <w:tcPr>
            <w:tcW w:w="1000" w:type="pct"/>
            <w:vAlign w:val="center"/>
          </w:tcPr>
          <w:p w14:paraId="6A93E458">
            <w:pPr>
              <w:pStyle w:val="12"/>
              <w:jc w:val="center"/>
              <w:rPr>
                <w:rFonts w:ascii="宋体" w:hAnsi="宋体"/>
              </w:rPr>
            </w:pPr>
            <w:r>
              <w:rPr>
                <w:rFonts w:hint="eastAsia" w:ascii="宋体" w:hAnsi="宋体"/>
              </w:rPr>
              <w:t>1∶6.48</w:t>
            </w:r>
          </w:p>
        </w:tc>
      </w:tr>
      <w:tr w14:paraId="6A76DA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Merge w:val="restart"/>
            <w:vAlign w:val="center"/>
          </w:tcPr>
          <w:p w14:paraId="24F260C6">
            <w:pPr>
              <w:pStyle w:val="12"/>
              <w:jc w:val="center"/>
              <w:rPr>
                <w:rFonts w:ascii="宋体" w:hAnsi="宋体"/>
              </w:rPr>
            </w:pPr>
            <w:r>
              <w:rPr>
                <w:rFonts w:hint="eastAsia" w:ascii="宋体" w:hAnsi="宋体"/>
              </w:rPr>
              <w:t>2000</w:t>
            </w:r>
          </w:p>
        </w:tc>
        <w:tc>
          <w:tcPr>
            <w:tcW w:w="1000" w:type="pct"/>
            <w:vAlign w:val="center"/>
          </w:tcPr>
          <w:p w14:paraId="6E88C77E">
            <w:pPr>
              <w:pStyle w:val="12"/>
              <w:jc w:val="center"/>
              <w:rPr>
                <w:rFonts w:ascii="宋体" w:hAnsi="宋体"/>
              </w:rPr>
            </w:pPr>
            <w:r>
              <w:rPr>
                <w:rFonts w:hint="eastAsia" w:ascii="宋体" w:hAnsi="宋体"/>
              </w:rPr>
              <w:t>晒烟</w:t>
            </w:r>
          </w:p>
        </w:tc>
        <w:tc>
          <w:tcPr>
            <w:tcW w:w="1000" w:type="pct"/>
            <w:vAlign w:val="center"/>
          </w:tcPr>
          <w:p w14:paraId="095B75F6">
            <w:pPr>
              <w:pStyle w:val="12"/>
              <w:jc w:val="center"/>
              <w:rPr>
                <w:rFonts w:ascii="宋体" w:hAnsi="宋体"/>
              </w:rPr>
            </w:pPr>
            <w:r>
              <w:rPr>
                <w:rFonts w:hint="eastAsia" w:ascii="宋体" w:hAnsi="宋体"/>
              </w:rPr>
              <w:t>360.0</w:t>
            </w:r>
          </w:p>
        </w:tc>
        <w:tc>
          <w:tcPr>
            <w:tcW w:w="1000" w:type="pct"/>
            <w:vAlign w:val="center"/>
          </w:tcPr>
          <w:p w14:paraId="57E4A9A9">
            <w:pPr>
              <w:pStyle w:val="12"/>
              <w:jc w:val="center"/>
              <w:rPr>
                <w:rFonts w:ascii="宋体" w:hAnsi="宋体"/>
              </w:rPr>
            </w:pPr>
            <w:r>
              <w:rPr>
                <w:rFonts w:hint="eastAsia" w:ascii="宋体" w:hAnsi="宋体"/>
              </w:rPr>
              <w:t>60</w:t>
            </w:r>
          </w:p>
        </w:tc>
        <w:tc>
          <w:tcPr>
            <w:tcW w:w="1000" w:type="pct"/>
            <w:vAlign w:val="center"/>
          </w:tcPr>
          <w:p w14:paraId="1292DFCE">
            <w:pPr>
              <w:pStyle w:val="12"/>
              <w:jc w:val="center"/>
              <w:rPr>
                <w:rFonts w:ascii="宋体" w:hAnsi="宋体"/>
              </w:rPr>
            </w:pPr>
            <w:r>
              <w:rPr>
                <w:rFonts w:hint="eastAsia" w:ascii="宋体" w:hAnsi="宋体"/>
              </w:rPr>
              <w:t>1∶6.00</w:t>
            </w:r>
          </w:p>
        </w:tc>
      </w:tr>
      <w:tr w14:paraId="2FE744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Merge w:val="continue"/>
            <w:vAlign w:val="center"/>
          </w:tcPr>
          <w:p w14:paraId="7C0358FE">
            <w:pPr>
              <w:pStyle w:val="12"/>
              <w:jc w:val="center"/>
              <w:rPr>
                <w:rFonts w:ascii="宋体" w:hAnsi="宋体"/>
              </w:rPr>
            </w:pPr>
          </w:p>
        </w:tc>
        <w:tc>
          <w:tcPr>
            <w:tcW w:w="1000" w:type="pct"/>
            <w:vAlign w:val="center"/>
          </w:tcPr>
          <w:p w14:paraId="2C192CAF">
            <w:pPr>
              <w:pStyle w:val="12"/>
              <w:jc w:val="center"/>
              <w:rPr>
                <w:rFonts w:ascii="宋体" w:hAnsi="宋体"/>
              </w:rPr>
            </w:pPr>
            <w:r>
              <w:rPr>
                <w:rFonts w:hint="eastAsia" w:ascii="宋体" w:hAnsi="宋体"/>
              </w:rPr>
              <w:t>烤烟</w:t>
            </w:r>
          </w:p>
        </w:tc>
        <w:tc>
          <w:tcPr>
            <w:tcW w:w="1000" w:type="pct"/>
            <w:vAlign w:val="center"/>
          </w:tcPr>
          <w:p w14:paraId="1F37047D">
            <w:pPr>
              <w:pStyle w:val="12"/>
              <w:jc w:val="center"/>
              <w:rPr>
                <w:rFonts w:ascii="宋体" w:hAnsi="宋体"/>
              </w:rPr>
            </w:pPr>
            <w:r>
              <w:rPr>
                <w:rFonts w:hint="eastAsia" w:ascii="宋体" w:hAnsi="宋体"/>
              </w:rPr>
              <w:t>439.47</w:t>
            </w:r>
          </w:p>
        </w:tc>
        <w:tc>
          <w:tcPr>
            <w:tcW w:w="1000" w:type="pct"/>
            <w:vAlign w:val="center"/>
          </w:tcPr>
          <w:p w14:paraId="5E6F3D6A">
            <w:pPr>
              <w:pStyle w:val="12"/>
              <w:jc w:val="center"/>
              <w:rPr>
                <w:rFonts w:ascii="宋体" w:hAnsi="宋体"/>
              </w:rPr>
            </w:pPr>
            <w:r>
              <w:rPr>
                <w:rFonts w:hint="eastAsia" w:ascii="宋体" w:hAnsi="宋体"/>
              </w:rPr>
              <w:t>60</w:t>
            </w:r>
          </w:p>
        </w:tc>
        <w:tc>
          <w:tcPr>
            <w:tcW w:w="1000" w:type="pct"/>
            <w:vAlign w:val="center"/>
          </w:tcPr>
          <w:p w14:paraId="06E0D35C">
            <w:pPr>
              <w:pStyle w:val="12"/>
              <w:jc w:val="center"/>
              <w:rPr>
                <w:rFonts w:ascii="宋体" w:hAnsi="宋体"/>
              </w:rPr>
            </w:pPr>
            <w:r>
              <w:rPr>
                <w:rFonts w:hint="eastAsia" w:ascii="宋体" w:hAnsi="宋体"/>
              </w:rPr>
              <w:t>1∶7.32</w:t>
            </w:r>
          </w:p>
        </w:tc>
      </w:tr>
      <w:tr w14:paraId="455DA2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Merge w:val="restart"/>
            <w:vAlign w:val="center"/>
          </w:tcPr>
          <w:p w14:paraId="534713C5">
            <w:pPr>
              <w:pStyle w:val="12"/>
              <w:jc w:val="center"/>
              <w:rPr>
                <w:rFonts w:ascii="宋体" w:hAnsi="宋体"/>
              </w:rPr>
            </w:pPr>
            <w:r>
              <w:rPr>
                <w:rFonts w:hint="eastAsia" w:ascii="宋体" w:hAnsi="宋体"/>
              </w:rPr>
              <w:t>2001</w:t>
            </w:r>
          </w:p>
        </w:tc>
        <w:tc>
          <w:tcPr>
            <w:tcW w:w="1000" w:type="pct"/>
            <w:vAlign w:val="center"/>
          </w:tcPr>
          <w:p w14:paraId="1931E1C7">
            <w:pPr>
              <w:pStyle w:val="12"/>
              <w:jc w:val="center"/>
              <w:rPr>
                <w:rFonts w:ascii="宋体" w:hAnsi="宋体"/>
              </w:rPr>
            </w:pPr>
            <w:r>
              <w:rPr>
                <w:rFonts w:hint="eastAsia" w:ascii="宋体" w:hAnsi="宋体"/>
              </w:rPr>
              <w:t>晒烟</w:t>
            </w:r>
          </w:p>
        </w:tc>
        <w:tc>
          <w:tcPr>
            <w:tcW w:w="1000" w:type="pct"/>
            <w:vAlign w:val="center"/>
          </w:tcPr>
          <w:p w14:paraId="7FB99E17">
            <w:pPr>
              <w:pStyle w:val="12"/>
              <w:jc w:val="center"/>
              <w:rPr>
                <w:rFonts w:ascii="宋体" w:hAnsi="宋体"/>
              </w:rPr>
            </w:pPr>
            <w:r>
              <w:rPr>
                <w:rFonts w:hint="eastAsia" w:ascii="宋体" w:hAnsi="宋体"/>
              </w:rPr>
              <w:t>434.0</w:t>
            </w:r>
          </w:p>
        </w:tc>
        <w:tc>
          <w:tcPr>
            <w:tcW w:w="1000" w:type="pct"/>
            <w:vAlign w:val="center"/>
          </w:tcPr>
          <w:p w14:paraId="3D841F55">
            <w:pPr>
              <w:pStyle w:val="12"/>
              <w:jc w:val="center"/>
              <w:rPr>
                <w:rFonts w:ascii="宋体" w:hAnsi="宋体"/>
              </w:rPr>
            </w:pPr>
            <w:r>
              <w:rPr>
                <w:rFonts w:hint="eastAsia" w:ascii="宋体" w:hAnsi="宋体"/>
              </w:rPr>
              <w:t>69</w:t>
            </w:r>
          </w:p>
        </w:tc>
        <w:tc>
          <w:tcPr>
            <w:tcW w:w="1000" w:type="pct"/>
            <w:vAlign w:val="center"/>
          </w:tcPr>
          <w:p w14:paraId="0C06D892">
            <w:pPr>
              <w:pStyle w:val="12"/>
              <w:jc w:val="center"/>
              <w:rPr>
                <w:rFonts w:ascii="宋体" w:hAnsi="宋体"/>
              </w:rPr>
            </w:pPr>
            <w:r>
              <w:rPr>
                <w:rFonts w:hint="eastAsia" w:ascii="宋体" w:hAnsi="宋体"/>
              </w:rPr>
              <w:t>1∶6.29</w:t>
            </w:r>
          </w:p>
        </w:tc>
      </w:tr>
      <w:tr w14:paraId="77D7B7E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Merge w:val="continue"/>
            <w:vAlign w:val="center"/>
          </w:tcPr>
          <w:p w14:paraId="36E2D09A">
            <w:pPr>
              <w:pStyle w:val="12"/>
              <w:jc w:val="center"/>
              <w:rPr>
                <w:rFonts w:ascii="宋体" w:hAnsi="宋体"/>
              </w:rPr>
            </w:pPr>
          </w:p>
        </w:tc>
        <w:tc>
          <w:tcPr>
            <w:tcW w:w="1000" w:type="pct"/>
            <w:vAlign w:val="center"/>
          </w:tcPr>
          <w:p w14:paraId="727E21F6">
            <w:pPr>
              <w:pStyle w:val="12"/>
              <w:jc w:val="center"/>
              <w:rPr>
                <w:rFonts w:ascii="宋体" w:hAnsi="宋体"/>
              </w:rPr>
            </w:pPr>
            <w:r>
              <w:rPr>
                <w:rFonts w:hint="eastAsia" w:ascii="宋体" w:hAnsi="宋体"/>
              </w:rPr>
              <w:t>烤烟</w:t>
            </w:r>
          </w:p>
        </w:tc>
        <w:tc>
          <w:tcPr>
            <w:tcW w:w="1000" w:type="pct"/>
            <w:vAlign w:val="center"/>
          </w:tcPr>
          <w:p w14:paraId="3972202B">
            <w:pPr>
              <w:pStyle w:val="12"/>
              <w:jc w:val="center"/>
              <w:rPr>
                <w:rFonts w:ascii="宋体" w:hAnsi="宋体"/>
              </w:rPr>
            </w:pPr>
            <w:r>
              <w:rPr>
                <w:rFonts w:hint="eastAsia" w:ascii="宋体" w:hAnsi="宋体"/>
              </w:rPr>
              <w:t>499.0</w:t>
            </w:r>
          </w:p>
        </w:tc>
        <w:tc>
          <w:tcPr>
            <w:tcW w:w="1000" w:type="pct"/>
            <w:vAlign w:val="center"/>
          </w:tcPr>
          <w:p w14:paraId="036AE4C1">
            <w:pPr>
              <w:pStyle w:val="12"/>
              <w:jc w:val="center"/>
              <w:rPr>
                <w:rFonts w:ascii="宋体" w:hAnsi="宋体"/>
              </w:rPr>
            </w:pPr>
            <w:r>
              <w:rPr>
                <w:rFonts w:hint="eastAsia" w:ascii="宋体" w:hAnsi="宋体"/>
              </w:rPr>
              <w:t>69</w:t>
            </w:r>
          </w:p>
        </w:tc>
        <w:tc>
          <w:tcPr>
            <w:tcW w:w="1000" w:type="pct"/>
            <w:vAlign w:val="center"/>
          </w:tcPr>
          <w:p w14:paraId="183FBCBA">
            <w:pPr>
              <w:pStyle w:val="12"/>
              <w:jc w:val="center"/>
              <w:rPr>
                <w:rFonts w:ascii="宋体" w:hAnsi="宋体"/>
              </w:rPr>
            </w:pPr>
            <w:r>
              <w:rPr>
                <w:rFonts w:hint="eastAsia" w:ascii="宋体" w:hAnsi="宋体"/>
              </w:rPr>
              <w:t>1∶7.23</w:t>
            </w:r>
          </w:p>
        </w:tc>
      </w:tr>
      <w:tr w14:paraId="6A8EB0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Merge w:val="restart"/>
            <w:vAlign w:val="center"/>
          </w:tcPr>
          <w:p w14:paraId="0D5C9CB8">
            <w:pPr>
              <w:pStyle w:val="12"/>
              <w:jc w:val="center"/>
              <w:rPr>
                <w:rFonts w:ascii="宋体" w:hAnsi="宋体"/>
              </w:rPr>
            </w:pPr>
            <w:r>
              <w:rPr>
                <w:rFonts w:hint="eastAsia" w:ascii="宋体" w:hAnsi="宋体"/>
              </w:rPr>
              <w:t>2002</w:t>
            </w:r>
          </w:p>
        </w:tc>
        <w:tc>
          <w:tcPr>
            <w:tcW w:w="1000" w:type="pct"/>
            <w:vAlign w:val="center"/>
          </w:tcPr>
          <w:p w14:paraId="70C9C339">
            <w:pPr>
              <w:pStyle w:val="12"/>
              <w:jc w:val="center"/>
              <w:rPr>
                <w:rFonts w:ascii="宋体" w:hAnsi="宋体"/>
              </w:rPr>
            </w:pPr>
            <w:r>
              <w:rPr>
                <w:rFonts w:hint="eastAsia" w:ascii="宋体" w:hAnsi="宋体"/>
              </w:rPr>
              <w:t>晒烟</w:t>
            </w:r>
          </w:p>
        </w:tc>
        <w:tc>
          <w:tcPr>
            <w:tcW w:w="1000" w:type="pct"/>
            <w:vAlign w:val="center"/>
          </w:tcPr>
          <w:p w14:paraId="57468A1D">
            <w:pPr>
              <w:pStyle w:val="12"/>
              <w:jc w:val="center"/>
              <w:rPr>
                <w:rFonts w:ascii="宋体" w:hAnsi="宋体"/>
              </w:rPr>
            </w:pPr>
            <w:r>
              <w:rPr>
                <w:rFonts w:hint="eastAsia" w:ascii="宋体" w:hAnsi="宋体"/>
              </w:rPr>
              <w:t>397.0</w:t>
            </w:r>
          </w:p>
        </w:tc>
        <w:tc>
          <w:tcPr>
            <w:tcW w:w="1000" w:type="pct"/>
            <w:vAlign w:val="center"/>
          </w:tcPr>
          <w:p w14:paraId="7E9FD034">
            <w:pPr>
              <w:pStyle w:val="12"/>
              <w:jc w:val="center"/>
              <w:rPr>
                <w:rFonts w:ascii="宋体" w:hAnsi="宋体"/>
              </w:rPr>
            </w:pPr>
            <w:r>
              <w:rPr>
                <w:rFonts w:hint="eastAsia" w:ascii="宋体" w:hAnsi="宋体"/>
              </w:rPr>
              <w:t>69</w:t>
            </w:r>
          </w:p>
        </w:tc>
        <w:tc>
          <w:tcPr>
            <w:tcW w:w="1000" w:type="pct"/>
            <w:vAlign w:val="center"/>
          </w:tcPr>
          <w:p w14:paraId="6CF2ABAA">
            <w:pPr>
              <w:pStyle w:val="12"/>
              <w:jc w:val="center"/>
              <w:rPr>
                <w:rFonts w:ascii="宋体" w:hAnsi="宋体"/>
              </w:rPr>
            </w:pPr>
            <w:r>
              <w:rPr>
                <w:rFonts w:hint="eastAsia" w:ascii="宋体" w:hAnsi="宋体"/>
              </w:rPr>
              <w:t>1∶5.75</w:t>
            </w:r>
          </w:p>
        </w:tc>
      </w:tr>
      <w:tr w14:paraId="532B62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Merge w:val="continue"/>
            <w:vAlign w:val="center"/>
          </w:tcPr>
          <w:p w14:paraId="47606B27">
            <w:pPr>
              <w:pStyle w:val="12"/>
              <w:jc w:val="center"/>
              <w:rPr>
                <w:rFonts w:ascii="宋体" w:hAnsi="宋体"/>
              </w:rPr>
            </w:pPr>
          </w:p>
        </w:tc>
        <w:tc>
          <w:tcPr>
            <w:tcW w:w="1000" w:type="pct"/>
            <w:vAlign w:val="center"/>
          </w:tcPr>
          <w:p w14:paraId="563637AB">
            <w:pPr>
              <w:pStyle w:val="12"/>
              <w:jc w:val="center"/>
              <w:rPr>
                <w:rFonts w:ascii="宋体" w:hAnsi="宋体"/>
              </w:rPr>
            </w:pPr>
            <w:r>
              <w:rPr>
                <w:rFonts w:hint="eastAsia" w:ascii="宋体" w:hAnsi="宋体"/>
              </w:rPr>
              <w:t>烤烟</w:t>
            </w:r>
          </w:p>
        </w:tc>
        <w:tc>
          <w:tcPr>
            <w:tcW w:w="1000" w:type="pct"/>
            <w:vAlign w:val="center"/>
          </w:tcPr>
          <w:p w14:paraId="30E9E3A2">
            <w:pPr>
              <w:pStyle w:val="12"/>
              <w:jc w:val="center"/>
              <w:rPr>
                <w:rFonts w:ascii="宋体" w:hAnsi="宋体"/>
              </w:rPr>
            </w:pPr>
            <w:r>
              <w:rPr>
                <w:rFonts w:hint="eastAsia" w:ascii="宋体" w:hAnsi="宋体"/>
              </w:rPr>
              <w:t>483.0</w:t>
            </w:r>
          </w:p>
        </w:tc>
        <w:tc>
          <w:tcPr>
            <w:tcW w:w="1000" w:type="pct"/>
            <w:vAlign w:val="center"/>
          </w:tcPr>
          <w:p w14:paraId="1ADD2F95">
            <w:pPr>
              <w:pStyle w:val="12"/>
              <w:jc w:val="center"/>
              <w:rPr>
                <w:rFonts w:ascii="宋体" w:hAnsi="宋体"/>
              </w:rPr>
            </w:pPr>
            <w:r>
              <w:rPr>
                <w:rFonts w:hint="eastAsia" w:ascii="宋体" w:hAnsi="宋体"/>
              </w:rPr>
              <w:t>69</w:t>
            </w:r>
          </w:p>
        </w:tc>
        <w:tc>
          <w:tcPr>
            <w:tcW w:w="1000" w:type="pct"/>
            <w:vAlign w:val="center"/>
          </w:tcPr>
          <w:p w14:paraId="5595E5C5">
            <w:pPr>
              <w:pStyle w:val="12"/>
              <w:jc w:val="center"/>
              <w:rPr>
                <w:rFonts w:ascii="宋体" w:hAnsi="宋体"/>
              </w:rPr>
            </w:pPr>
            <w:r>
              <w:rPr>
                <w:rFonts w:hint="eastAsia" w:ascii="宋体" w:hAnsi="宋体"/>
              </w:rPr>
              <w:t>1∶7.00</w:t>
            </w:r>
          </w:p>
        </w:tc>
      </w:tr>
      <w:tr w14:paraId="1D8489E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Align w:val="center"/>
          </w:tcPr>
          <w:p w14:paraId="2A78B715">
            <w:pPr>
              <w:pStyle w:val="12"/>
              <w:jc w:val="center"/>
              <w:rPr>
                <w:rFonts w:ascii="宋体" w:hAnsi="宋体"/>
              </w:rPr>
            </w:pPr>
            <w:r>
              <w:rPr>
                <w:rFonts w:hint="eastAsia" w:ascii="宋体" w:hAnsi="宋体"/>
              </w:rPr>
              <w:t>2003</w:t>
            </w:r>
          </w:p>
        </w:tc>
        <w:tc>
          <w:tcPr>
            <w:tcW w:w="1000" w:type="pct"/>
            <w:vAlign w:val="center"/>
          </w:tcPr>
          <w:p w14:paraId="6DF5C9AC">
            <w:pPr>
              <w:pStyle w:val="12"/>
              <w:jc w:val="center"/>
              <w:rPr>
                <w:rFonts w:ascii="宋体" w:hAnsi="宋体"/>
              </w:rPr>
            </w:pPr>
            <w:r>
              <w:rPr>
                <w:rFonts w:hint="eastAsia" w:ascii="宋体" w:hAnsi="宋体"/>
              </w:rPr>
              <w:t>晒烟</w:t>
            </w:r>
          </w:p>
        </w:tc>
        <w:tc>
          <w:tcPr>
            <w:tcW w:w="1000" w:type="pct"/>
            <w:vAlign w:val="center"/>
          </w:tcPr>
          <w:p w14:paraId="14C956E1">
            <w:pPr>
              <w:pStyle w:val="12"/>
              <w:jc w:val="center"/>
              <w:rPr>
                <w:rFonts w:ascii="宋体" w:hAnsi="宋体"/>
              </w:rPr>
            </w:pPr>
            <w:r>
              <w:rPr>
                <w:rFonts w:hint="eastAsia" w:ascii="宋体" w:hAnsi="宋体"/>
              </w:rPr>
              <w:t>392</w:t>
            </w:r>
          </w:p>
        </w:tc>
        <w:tc>
          <w:tcPr>
            <w:tcW w:w="1000" w:type="pct"/>
            <w:vAlign w:val="center"/>
          </w:tcPr>
          <w:p w14:paraId="08329AFE">
            <w:pPr>
              <w:pStyle w:val="12"/>
              <w:jc w:val="center"/>
              <w:rPr>
                <w:rFonts w:ascii="宋体" w:hAnsi="宋体"/>
              </w:rPr>
            </w:pPr>
            <w:r>
              <w:rPr>
                <w:rFonts w:hint="eastAsia" w:ascii="宋体" w:hAnsi="宋体"/>
              </w:rPr>
              <w:t>70</w:t>
            </w:r>
          </w:p>
        </w:tc>
        <w:tc>
          <w:tcPr>
            <w:tcW w:w="1000" w:type="pct"/>
            <w:vAlign w:val="center"/>
          </w:tcPr>
          <w:p w14:paraId="06CF2FEF">
            <w:pPr>
              <w:pStyle w:val="12"/>
              <w:jc w:val="center"/>
              <w:rPr>
                <w:rFonts w:ascii="宋体" w:hAnsi="宋体"/>
              </w:rPr>
            </w:pPr>
            <w:r>
              <w:rPr>
                <w:rFonts w:hint="eastAsia" w:ascii="宋体" w:hAnsi="宋体"/>
              </w:rPr>
              <w:t>1∶5.6</w:t>
            </w:r>
          </w:p>
        </w:tc>
      </w:tr>
      <w:tr w14:paraId="0C7B7E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Align w:val="center"/>
          </w:tcPr>
          <w:p w14:paraId="64902D11">
            <w:pPr>
              <w:pStyle w:val="12"/>
              <w:jc w:val="center"/>
              <w:rPr>
                <w:rFonts w:ascii="宋体" w:hAnsi="宋体"/>
              </w:rPr>
            </w:pPr>
            <w:r>
              <w:rPr>
                <w:rFonts w:hint="eastAsia" w:ascii="宋体" w:hAnsi="宋体"/>
              </w:rPr>
              <w:t>2003</w:t>
            </w:r>
          </w:p>
        </w:tc>
        <w:tc>
          <w:tcPr>
            <w:tcW w:w="1000" w:type="pct"/>
            <w:vAlign w:val="center"/>
          </w:tcPr>
          <w:p w14:paraId="780EC0C7">
            <w:pPr>
              <w:pStyle w:val="12"/>
              <w:jc w:val="center"/>
              <w:rPr>
                <w:rFonts w:ascii="宋体" w:hAnsi="宋体"/>
              </w:rPr>
            </w:pPr>
            <w:r>
              <w:rPr>
                <w:rFonts w:hint="eastAsia" w:ascii="宋体" w:hAnsi="宋体"/>
              </w:rPr>
              <w:t>烤烟</w:t>
            </w:r>
          </w:p>
        </w:tc>
        <w:tc>
          <w:tcPr>
            <w:tcW w:w="1000" w:type="pct"/>
            <w:vAlign w:val="center"/>
          </w:tcPr>
          <w:p w14:paraId="589F812B">
            <w:pPr>
              <w:pStyle w:val="12"/>
              <w:jc w:val="center"/>
              <w:rPr>
                <w:rFonts w:ascii="宋体" w:hAnsi="宋体"/>
              </w:rPr>
            </w:pPr>
            <w:r>
              <w:rPr>
                <w:rFonts w:hint="eastAsia" w:ascii="宋体" w:hAnsi="宋体"/>
              </w:rPr>
              <w:t>443</w:t>
            </w:r>
          </w:p>
        </w:tc>
        <w:tc>
          <w:tcPr>
            <w:tcW w:w="1000" w:type="pct"/>
            <w:vAlign w:val="center"/>
          </w:tcPr>
          <w:p w14:paraId="61D410F5">
            <w:pPr>
              <w:pStyle w:val="12"/>
              <w:jc w:val="center"/>
              <w:rPr>
                <w:rFonts w:ascii="宋体" w:hAnsi="宋体"/>
              </w:rPr>
            </w:pPr>
            <w:r>
              <w:rPr>
                <w:rFonts w:hint="eastAsia" w:ascii="宋体" w:hAnsi="宋体"/>
              </w:rPr>
              <w:t>70</w:t>
            </w:r>
          </w:p>
        </w:tc>
        <w:tc>
          <w:tcPr>
            <w:tcW w:w="1000" w:type="pct"/>
            <w:vAlign w:val="center"/>
          </w:tcPr>
          <w:p w14:paraId="0EC9190E">
            <w:pPr>
              <w:pStyle w:val="12"/>
              <w:jc w:val="center"/>
              <w:rPr>
                <w:rFonts w:ascii="宋体" w:hAnsi="宋体"/>
              </w:rPr>
            </w:pPr>
            <w:r>
              <w:rPr>
                <w:rFonts w:hint="eastAsia" w:ascii="宋体" w:hAnsi="宋体"/>
              </w:rPr>
              <w:t>1∶6.33</w:t>
            </w:r>
          </w:p>
        </w:tc>
      </w:tr>
      <w:tr w14:paraId="7EB7D4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Merge w:val="restart"/>
            <w:vAlign w:val="center"/>
          </w:tcPr>
          <w:p w14:paraId="0207E6B3">
            <w:pPr>
              <w:pStyle w:val="12"/>
              <w:jc w:val="center"/>
              <w:rPr>
                <w:rFonts w:ascii="宋体" w:hAnsi="宋体"/>
              </w:rPr>
            </w:pPr>
            <w:r>
              <w:rPr>
                <w:rFonts w:hint="eastAsia" w:ascii="宋体" w:hAnsi="宋体"/>
              </w:rPr>
              <w:t>2004</w:t>
            </w:r>
          </w:p>
        </w:tc>
        <w:tc>
          <w:tcPr>
            <w:tcW w:w="1000" w:type="pct"/>
            <w:vAlign w:val="center"/>
          </w:tcPr>
          <w:p w14:paraId="00091C2E">
            <w:pPr>
              <w:pStyle w:val="12"/>
              <w:jc w:val="center"/>
              <w:rPr>
                <w:rFonts w:ascii="宋体" w:hAnsi="宋体"/>
              </w:rPr>
            </w:pPr>
            <w:r>
              <w:rPr>
                <w:rFonts w:hint="eastAsia" w:ascii="宋体" w:hAnsi="宋体"/>
              </w:rPr>
              <w:t>晒烟</w:t>
            </w:r>
          </w:p>
        </w:tc>
        <w:tc>
          <w:tcPr>
            <w:tcW w:w="1000" w:type="pct"/>
            <w:vAlign w:val="center"/>
          </w:tcPr>
          <w:p w14:paraId="2A7733FF">
            <w:pPr>
              <w:pStyle w:val="12"/>
              <w:jc w:val="center"/>
              <w:rPr>
                <w:rFonts w:ascii="宋体" w:hAnsi="宋体"/>
              </w:rPr>
            </w:pPr>
            <w:r>
              <w:rPr>
                <w:rFonts w:hint="eastAsia" w:ascii="宋体" w:hAnsi="宋体"/>
              </w:rPr>
              <w:t>443</w:t>
            </w:r>
          </w:p>
        </w:tc>
        <w:tc>
          <w:tcPr>
            <w:tcW w:w="1000" w:type="pct"/>
            <w:vAlign w:val="center"/>
          </w:tcPr>
          <w:p w14:paraId="65886780">
            <w:pPr>
              <w:pStyle w:val="12"/>
              <w:jc w:val="center"/>
              <w:rPr>
                <w:rFonts w:ascii="宋体" w:hAnsi="宋体"/>
              </w:rPr>
            </w:pPr>
            <w:r>
              <w:rPr>
                <w:rFonts w:hint="eastAsia" w:ascii="宋体" w:hAnsi="宋体"/>
              </w:rPr>
              <w:t>70</w:t>
            </w:r>
          </w:p>
        </w:tc>
        <w:tc>
          <w:tcPr>
            <w:tcW w:w="1000" w:type="pct"/>
            <w:vAlign w:val="center"/>
          </w:tcPr>
          <w:p w14:paraId="3381F1FD">
            <w:pPr>
              <w:pStyle w:val="12"/>
              <w:jc w:val="center"/>
              <w:rPr>
                <w:rFonts w:ascii="宋体" w:hAnsi="宋体"/>
              </w:rPr>
            </w:pPr>
            <w:r>
              <w:rPr>
                <w:rFonts w:hint="eastAsia" w:ascii="宋体" w:hAnsi="宋体"/>
              </w:rPr>
              <w:t>1∶6.33</w:t>
            </w:r>
          </w:p>
        </w:tc>
      </w:tr>
      <w:tr w14:paraId="27A6CE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Merge w:val="continue"/>
            <w:vAlign w:val="center"/>
          </w:tcPr>
          <w:p w14:paraId="0EC7F439">
            <w:pPr>
              <w:pStyle w:val="12"/>
              <w:jc w:val="center"/>
              <w:rPr>
                <w:rFonts w:ascii="宋体" w:hAnsi="宋体"/>
              </w:rPr>
            </w:pPr>
          </w:p>
        </w:tc>
        <w:tc>
          <w:tcPr>
            <w:tcW w:w="1000" w:type="pct"/>
            <w:vAlign w:val="center"/>
          </w:tcPr>
          <w:p w14:paraId="4FD499D1">
            <w:pPr>
              <w:pStyle w:val="12"/>
              <w:jc w:val="center"/>
              <w:rPr>
                <w:rFonts w:ascii="宋体" w:hAnsi="宋体"/>
              </w:rPr>
            </w:pPr>
            <w:r>
              <w:rPr>
                <w:rFonts w:hint="eastAsia" w:ascii="宋体" w:hAnsi="宋体"/>
              </w:rPr>
              <w:t>烤烟</w:t>
            </w:r>
          </w:p>
        </w:tc>
        <w:tc>
          <w:tcPr>
            <w:tcW w:w="1000" w:type="pct"/>
            <w:vAlign w:val="center"/>
          </w:tcPr>
          <w:p w14:paraId="4C024958">
            <w:pPr>
              <w:pStyle w:val="12"/>
              <w:jc w:val="center"/>
              <w:rPr>
                <w:rFonts w:ascii="宋体" w:hAnsi="宋体"/>
              </w:rPr>
            </w:pPr>
            <w:r>
              <w:rPr>
                <w:rFonts w:hint="eastAsia" w:ascii="宋体" w:hAnsi="宋体"/>
              </w:rPr>
              <w:t>555</w:t>
            </w:r>
          </w:p>
        </w:tc>
        <w:tc>
          <w:tcPr>
            <w:tcW w:w="1000" w:type="pct"/>
            <w:vAlign w:val="center"/>
          </w:tcPr>
          <w:p w14:paraId="40C6F4FB">
            <w:pPr>
              <w:pStyle w:val="12"/>
              <w:jc w:val="center"/>
              <w:rPr>
                <w:rFonts w:ascii="宋体" w:hAnsi="宋体"/>
              </w:rPr>
            </w:pPr>
            <w:r>
              <w:rPr>
                <w:rFonts w:hint="eastAsia" w:ascii="宋体" w:hAnsi="宋体"/>
              </w:rPr>
              <w:t>70</w:t>
            </w:r>
          </w:p>
        </w:tc>
        <w:tc>
          <w:tcPr>
            <w:tcW w:w="1000" w:type="pct"/>
            <w:vAlign w:val="center"/>
          </w:tcPr>
          <w:p w14:paraId="76E75D29">
            <w:pPr>
              <w:pStyle w:val="12"/>
              <w:jc w:val="center"/>
              <w:rPr>
                <w:rFonts w:ascii="宋体" w:hAnsi="宋体"/>
              </w:rPr>
            </w:pPr>
            <w:r>
              <w:rPr>
                <w:rFonts w:hint="eastAsia" w:ascii="宋体" w:hAnsi="宋体"/>
              </w:rPr>
              <w:t>1∶7.93</w:t>
            </w:r>
          </w:p>
        </w:tc>
      </w:tr>
    </w:tbl>
    <w:p w14:paraId="188D2DA6">
      <w:pPr>
        <w:ind w:firstLine="422"/>
        <w:rPr>
          <w:rFonts w:ascii="宋体" w:hAnsi="宋体"/>
          <w:b/>
          <w:szCs w:val="21"/>
        </w:rPr>
      </w:pPr>
      <w:r>
        <w:rPr>
          <w:rFonts w:hint="eastAsia" w:ascii="宋体" w:hAnsi="宋体"/>
          <w:b/>
          <w:szCs w:val="21"/>
        </w:rPr>
        <w:t>（三）收购数量</w:t>
      </w:r>
    </w:p>
    <w:p w14:paraId="1FFA1C1C">
      <w:pPr>
        <w:ind w:firstLine="420"/>
        <w:rPr>
          <w:rFonts w:ascii="宋体" w:hAnsi="宋体"/>
          <w:szCs w:val="21"/>
        </w:rPr>
      </w:pPr>
      <w:r>
        <w:rPr>
          <w:rFonts w:hint="eastAsia" w:ascii="宋体" w:hAnsi="宋体"/>
          <w:szCs w:val="21"/>
        </w:rPr>
        <w:t>计划经济时期，烟叶由生产队交售，收购量占总产量的</w:t>
      </w:r>
      <w:r>
        <w:rPr>
          <w:rFonts w:ascii="宋体" w:hAnsi="宋体"/>
          <w:szCs w:val="21"/>
        </w:rPr>
        <w:t>80%～90%。改革开放</w:t>
      </w:r>
      <w:r>
        <w:rPr>
          <w:rFonts w:hint="eastAsia" w:ascii="宋体" w:hAnsi="宋体"/>
          <w:szCs w:val="21"/>
        </w:rPr>
        <w:t>以后，在市场经济作用下，收购量占总产量比例起伏较大。</w:t>
      </w:r>
      <w:r>
        <w:rPr>
          <w:rFonts w:ascii="宋体" w:hAnsi="宋体"/>
          <w:szCs w:val="21"/>
        </w:rPr>
        <w:t>1983年至2004年历年收</w:t>
      </w:r>
      <w:r>
        <w:rPr>
          <w:rFonts w:hint="eastAsia" w:ascii="宋体" w:hAnsi="宋体"/>
          <w:szCs w:val="21"/>
        </w:rPr>
        <w:t>购情况详见表</w:t>
      </w:r>
      <w:r>
        <w:rPr>
          <w:rFonts w:ascii="宋体" w:hAnsi="宋体"/>
          <w:szCs w:val="21"/>
        </w:rPr>
        <w:t>2-18：</w:t>
      </w:r>
    </w:p>
    <w:p w14:paraId="79F502F3">
      <w:pPr>
        <w:ind w:firstLine="0" w:firstLineChars="0"/>
        <w:jc w:val="center"/>
        <w:rPr>
          <w:rFonts w:ascii="宋体" w:hAnsi="宋体"/>
          <w:b/>
          <w:szCs w:val="21"/>
        </w:rPr>
      </w:pPr>
      <w:r>
        <w:rPr>
          <w:rFonts w:hint="eastAsia" w:ascii="宋体" w:hAnsi="宋体"/>
          <w:b/>
          <w:szCs w:val="21"/>
        </w:rPr>
        <w:t>南雄市</w:t>
      </w:r>
      <w:r>
        <w:rPr>
          <w:rFonts w:ascii="宋体" w:hAnsi="宋体"/>
          <w:b/>
          <w:szCs w:val="21"/>
        </w:rPr>
        <w:t>1983年至2004年烟叶收购情况</w:t>
      </w:r>
    </w:p>
    <w:p w14:paraId="6FD446FE">
      <w:pPr>
        <w:ind w:firstLine="0" w:firstLineChars="0"/>
        <w:rPr>
          <w:rFonts w:ascii="宋体" w:hAnsi="宋体"/>
          <w:b/>
          <w:szCs w:val="21"/>
        </w:rPr>
      </w:pPr>
      <w:r>
        <w:rPr>
          <w:rFonts w:hint="eastAsia" w:ascii="宋体" w:hAnsi="宋体"/>
          <w:b/>
          <w:szCs w:val="21"/>
        </w:rPr>
        <w:t>表</w:t>
      </w:r>
      <w:r>
        <w:rPr>
          <w:rFonts w:ascii="宋体" w:hAnsi="宋体"/>
          <w:b/>
          <w:szCs w:val="21"/>
        </w:rPr>
        <w:t>2</w:t>
      </w:r>
      <w:r>
        <w:rPr>
          <w:rFonts w:hint="eastAsia" w:ascii="宋体" w:hAnsi="宋体"/>
          <w:b/>
          <w:szCs w:val="21"/>
        </w:rPr>
        <w:t>-</w:t>
      </w:r>
      <w:r>
        <w:rPr>
          <w:rFonts w:ascii="宋体" w:hAnsi="宋体"/>
          <w:b/>
          <w:szCs w:val="21"/>
        </w:rPr>
        <w:t>18</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2490"/>
        <w:gridCol w:w="2491"/>
        <w:gridCol w:w="2491"/>
      </w:tblGrid>
      <w:tr w14:paraId="2CE03E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67822187">
            <w:pPr>
              <w:pStyle w:val="12"/>
              <w:jc w:val="center"/>
              <w:rPr>
                <w:rFonts w:ascii="宋体" w:hAnsi="宋体"/>
                <w:b/>
              </w:rPr>
            </w:pPr>
            <w:r>
              <w:rPr>
                <w:rFonts w:hint="eastAsia" w:ascii="宋体" w:hAnsi="宋体"/>
                <w:b/>
              </w:rPr>
              <w:t>年份</w:t>
            </w:r>
          </w:p>
        </w:tc>
        <w:tc>
          <w:tcPr>
            <w:tcW w:w="1250" w:type="pct"/>
            <w:vAlign w:val="center"/>
          </w:tcPr>
          <w:p w14:paraId="13C80A52">
            <w:pPr>
              <w:pStyle w:val="12"/>
              <w:jc w:val="center"/>
              <w:rPr>
                <w:rFonts w:ascii="宋体" w:hAnsi="宋体"/>
                <w:b/>
              </w:rPr>
            </w:pPr>
            <w:r>
              <w:rPr>
                <w:rFonts w:hint="eastAsia" w:ascii="宋体" w:hAnsi="宋体"/>
                <w:b/>
              </w:rPr>
              <w:t>烟叶总产（吨）</w:t>
            </w:r>
          </w:p>
        </w:tc>
        <w:tc>
          <w:tcPr>
            <w:tcW w:w="1250" w:type="pct"/>
            <w:vAlign w:val="center"/>
          </w:tcPr>
          <w:p w14:paraId="6D49FE53">
            <w:pPr>
              <w:pStyle w:val="12"/>
              <w:jc w:val="center"/>
              <w:rPr>
                <w:rFonts w:ascii="宋体" w:hAnsi="宋体"/>
                <w:b/>
              </w:rPr>
            </w:pPr>
            <w:r>
              <w:rPr>
                <w:rFonts w:hint="eastAsia" w:ascii="宋体" w:hAnsi="宋体"/>
                <w:b/>
              </w:rPr>
              <w:t>烟叶收购量（吨）</w:t>
            </w:r>
          </w:p>
        </w:tc>
        <w:tc>
          <w:tcPr>
            <w:tcW w:w="1250" w:type="pct"/>
            <w:vAlign w:val="center"/>
          </w:tcPr>
          <w:p w14:paraId="5E5ECC35">
            <w:pPr>
              <w:pStyle w:val="12"/>
              <w:jc w:val="center"/>
              <w:rPr>
                <w:rFonts w:ascii="宋体" w:hAnsi="宋体"/>
                <w:b/>
              </w:rPr>
            </w:pPr>
            <w:r>
              <w:rPr>
                <w:rFonts w:hint="eastAsia" w:ascii="宋体" w:hAnsi="宋体"/>
                <w:b/>
              </w:rPr>
              <w:t>占总产比（%）</w:t>
            </w:r>
          </w:p>
        </w:tc>
      </w:tr>
      <w:tr w14:paraId="515FB2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488137D">
            <w:pPr>
              <w:pStyle w:val="12"/>
              <w:jc w:val="center"/>
              <w:rPr>
                <w:rFonts w:ascii="宋体" w:hAnsi="宋体"/>
              </w:rPr>
            </w:pPr>
            <w:r>
              <w:rPr>
                <w:rFonts w:ascii="宋体" w:hAnsi="宋体"/>
              </w:rPr>
              <w:t>1983</w:t>
            </w:r>
          </w:p>
        </w:tc>
        <w:tc>
          <w:tcPr>
            <w:tcW w:w="1250" w:type="pct"/>
            <w:vAlign w:val="center"/>
          </w:tcPr>
          <w:p w14:paraId="406CECD5">
            <w:pPr>
              <w:pStyle w:val="12"/>
              <w:jc w:val="center"/>
              <w:rPr>
                <w:rFonts w:ascii="宋体" w:hAnsi="宋体"/>
              </w:rPr>
            </w:pPr>
            <w:r>
              <w:rPr>
                <w:rFonts w:ascii="宋体" w:hAnsi="宋体"/>
              </w:rPr>
              <w:t>5958.3</w:t>
            </w:r>
          </w:p>
        </w:tc>
        <w:tc>
          <w:tcPr>
            <w:tcW w:w="1250" w:type="pct"/>
            <w:vAlign w:val="center"/>
          </w:tcPr>
          <w:p w14:paraId="2EFFD5F1">
            <w:pPr>
              <w:pStyle w:val="12"/>
              <w:jc w:val="center"/>
              <w:rPr>
                <w:rFonts w:ascii="宋体" w:hAnsi="宋体"/>
              </w:rPr>
            </w:pPr>
            <w:r>
              <w:rPr>
                <w:rFonts w:ascii="宋体" w:hAnsi="宋体"/>
              </w:rPr>
              <w:t>2676.8</w:t>
            </w:r>
          </w:p>
        </w:tc>
        <w:tc>
          <w:tcPr>
            <w:tcW w:w="1250" w:type="pct"/>
            <w:vAlign w:val="center"/>
          </w:tcPr>
          <w:p w14:paraId="1FA4701A">
            <w:pPr>
              <w:pStyle w:val="12"/>
              <w:jc w:val="center"/>
              <w:rPr>
                <w:rFonts w:ascii="宋体" w:hAnsi="宋体"/>
              </w:rPr>
            </w:pPr>
            <w:r>
              <w:rPr>
                <w:rFonts w:ascii="宋体" w:hAnsi="宋体"/>
              </w:rPr>
              <w:t>44.90</w:t>
            </w:r>
          </w:p>
        </w:tc>
      </w:tr>
      <w:tr w14:paraId="77598B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874A0F1">
            <w:pPr>
              <w:pStyle w:val="12"/>
              <w:jc w:val="center"/>
              <w:rPr>
                <w:rFonts w:ascii="宋体" w:hAnsi="宋体"/>
              </w:rPr>
            </w:pPr>
            <w:r>
              <w:rPr>
                <w:rFonts w:ascii="宋体" w:hAnsi="宋体"/>
              </w:rPr>
              <w:t>1984</w:t>
            </w:r>
          </w:p>
        </w:tc>
        <w:tc>
          <w:tcPr>
            <w:tcW w:w="1250" w:type="pct"/>
            <w:vAlign w:val="center"/>
          </w:tcPr>
          <w:p w14:paraId="0D27C639">
            <w:pPr>
              <w:pStyle w:val="12"/>
              <w:jc w:val="center"/>
              <w:rPr>
                <w:rFonts w:ascii="宋体" w:hAnsi="宋体"/>
              </w:rPr>
            </w:pPr>
            <w:r>
              <w:rPr>
                <w:rFonts w:ascii="宋体" w:hAnsi="宋体"/>
              </w:rPr>
              <w:t>7134.35</w:t>
            </w:r>
          </w:p>
        </w:tc>
        <w:tc>
          <w:tcPr>
            <w:tcW w:w="1250" w:type="pct"/>
            <w:vAlign w:val="center"/>
          </w:tcPr>
          <w:p w14:paraId="5BFE8135">
            <w:pPr>
              <w:pStyle w:val="12"/>
              <w:jc w:val="center"/>
              <w:rPr>
                <w:rFonts w:ascii="宋体" w:hAnsi="宋体"/>
              </w:rPr>
            </w:pPr>
            <w:r>
              <w:rPr>
                <w:rFonts w:ascii="宋体" w:hAnsi="宋体"/>
              </w:rPr>
              <w:t>3574.3</w:t>
            </w:r>
          </w:p>
        </w:tc>
        <w:tc>
          <w:tcPr>
            <w:tcW w:w="1250" w:type="pct"/>
            <w:vAlign w:val="center"/>
          </w:tcPr>
          <w:p w14:paraId="125EDDE1">
            <w:pPr>
              <w:pStyle w:val="12"/>
              <w:jc w:val="center"/>
              <w:rPr>
                <w:rFonts w:ascii="宋体" w:hAnsi="宋体"/>
              </w:rPr>
            </w:pPr>
            <w:r>
              <w:rPr>
                <w:rFonts w:ascii="宋体" w:hAnsi="宋体"/>
              </w:rPr>
              <w:t>50.10</w:t>
            </w:r>
          </w:p>
        </w:tc>
      </w:tr>
      <w:tr w14:paraId="10DFE6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0CF169B7">
            <w:pPr>
              <w:pStyle w:val="12"/>
              <w:jc w:val="center"/>
              <w:rPr>
                <w:rFonts w:ascii="宋体" w:hAnsi="宋体"/>
              </w:rPr>
            </w:pPr>
            <w:r>
              <w:rPr>
                <w:rFonts w:ascii="宋体" w:hAnsi="宋体"/>
              </w:rPr>
              <w:t>1985</w:t>
            </w:r>
          </w:p>
        </w:tc>
        <w:tc>
          <w:tcPr>
            <w:tcW w:w="1250" w:type="pct"/>
            <w:vAlign w:val="center"/>
          </w:tcPr>
          <w:p w14:paraId="5B7714C1">
            <w:pPr>
              <w:pStyle w:val="12"/>
              <w:jc w:val="center"/>
              <w:rPr>
                <w:rFonts w:ascii="宋体" w:hAnsi="宋体"/>
              </w:rPr>
            </w:pPr>
            <w:r>
              <w:rPr>
                <w:rFonts w:ascii="宋体" w:hAnsi="宋体"/>
              </w:rPr>
              <w:t>10112.85</w:t>
            </w:r>
          </w:p>
        </w:tc>
        <w:tc>
          <w:tcPr>
            <w:tcW w:w="1250" w:type="pct"/>
            <w:vAlign w:val="center"/>
          </w:tcPr>
          <w:p w14:paraId="7D50A148">
            <w:pPr>
              <w:pStyle w:val="12"/>
              <w:jc w:val="center"/>
              <w:rPr>
                <w:rFonts w:ascii="宋体" w:hAnsi="宋体"/>
              </w:rPr>
            </w:pPr>
            <w:r>
              <w:rPr>
                <w:rFonts w:ascii="宋体" w:hAnsi="宋体"/>
              </w:rPr>
              <w:t>4677.8</w:t>
            </w:r>
          </w:p>
        </w:tc>
        <w:tc>
          <w:tcPr>
            <w:tcW w:w="1250" w:type="pct"/>
            <w:vAlign w:val="center"/>
          </w:tcPr>
          <w:p w14:paraId="4D2A0005">
            <w:pPr>
              <w:pStyle w:val="12"/>
              <w:jc w:val="center"/>
              <w:rPr>
                <w:rFonts w:ascii="宋体" w:hAnsi="宋体"/>
              </w:rPr>
            </w:pPr>
            <w:r>
              <w:rPr>
                <w:rFonts w:ascii="宋体" w:hAnsi="宋体"/>
              </w:rPr>
              <w:t>46.30</w:t>
            </w:r>
          </w:p>
        </w:tc>
      </w:tr>
      <w:tr w14:paraId="7ADA5E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08C9C290">
            <w:pPr>
              <w:pStyle w:val="12"/>
              <w:jc w:val="center"/>
              <w:rPr>
                <w:rFonts w:ascii="宋体" w:hAnsi="宋体"/>
              </w:rPr>
            </w:pPr>
            <w:r>
              <w:rPr>
                <w:rFonts w:ascii="宋体" w:hAnsi="宋体"/>
              </w:rPr>
              <w:t>1986</w:t>
            </w:r>
          </w:p>
        </w:tc>
        <w:tc>
          <w:tcPr>
            <w:tcW w:w="1250" w:type="pct"/>
            <w:vAlign w:val="center"/>
          </w:tcPr>
          <w:p w14:paraId="28C92823">
            <w:pPr>
              <w:pStyle w:val="12"/>
              <w:jc w:val="center"/>
              <w:rPr>
                <w:rFonts w:ascii="宋体" w:hAnsi="宋体"/>
              </w:rPr>
            </w:pPr>
            <w:r>
              <w:rPr>
                <w:rFonts w:ascii="宋体" w:hAnsi="宋体"/>
              </w:rPr>
              <w:t>11130.25</w:t>
            </w:r>
          </w:p>
        </w:tc>
        <w:tc>
          <w:tcPr>
            <w:tcW w:w="1250" w:type="pct"/>
            <w:vAlign w:val="center"/>
          </w:tcPr>
          <w:p w14:paraId="640A44B9">
            <w:pPr>
              <w:pStyle w:val="12"/>
              <w:jc w:val="center"/>
              <w:rPr>
                <w:rFonts w:ascii="宋体" w:hAnsi="宋体"/>
              </w:rPr>
            </w:pPr>
            <w:r>
              <w:rPr>
                <w:rFonts w:ascii="宋体" w:hAnsi="宋体"/>
              </w:rPr>
              <w:t>4744</w:t>
            </w:r>
          </w:p>
        </w:tc>
        <w:tc>
          <w:tcPr>
            <w:tcW w:w="1250" w:type="pct"/>
            <w:vAlign w:val="center"/>
          </w:tcPr>
          <w:p w14:paraId="39D776AA">
            <w:pPr>
              <w:pStyle w:val="12"/>
              <w:jc w:val="center"/>
              <w:rPr>
                <w:rFonts w:ascii="宋体" w:hAnsi="宋体"/>
              </w:rPr>
            </w:pPr>
            <w:r>
              <w:rPr>
                <w:rFonts w:ascii="宋体" w:hAnsi="宋体"/>
              </w:rPr>
              <w:t>42.60</w:t>
            </w:r>
          </w:p>
        </w:tc>
      </w:tr>
      <w:tr w14:paraId="7C97C4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E1A6CB2">
            <w:pPr>
              <w:pStyle w:val="12"/>
              <w:jc w:val="center"/>
              <w:rPr>
                <w:rFonts w:ascii="宋体" w:hAnsi="宋体"/>
              </w:rPr>
            </w:pPr>
            <w:r>
              <w:rPr>
                <w:rFonts w:ascii="宋体" w:hAnsi="宋体"/>
              </w:rPr>
              <w:t>1987</w:t>
            </w:r>
          </w:p>
        </w:tc>
        <w:tc>
          <w:tcPr>
            <w:tcW w:w="1250" w:type="pct"/>
            <w:vAlign w:val="center"/>
          </w:tcPr>
          <w:p w14:paraId="4605063A">
            <w:pPr>
              <w:pStyle w:val="12"/>
              <w:jc w:val="center"/>
              <w:rPr>
                <w:rFonts w:ascii="宋体" w:hAnsi="宋体"/>
              </w:rPr>
            </w:pPr>
            <w:r>
              <w:rPr>
                <w:rFonts w:ascii="宋体" w:hAnsi="宋体"/>
              </w:rPr>
              <w:t>14609</w:t>
            </w:r>
          </w:p>
        </w:tc>
        <w:tc>
          <w:tcPr>
            <w:tcW w:w="1250" w:type="pct"/>
            <w:vAlign w:val="center"/>
          </w:tcPr>
          <w:p w14:paraId="75EA1176">
            <w:pPr>
              <w:pStyle w:val="12"/>
              <w:jc w:val="center"/>
              <w:rPr>
                <w:rFonts w:ascii="宋体" w:hAnsi="宋体"/>
              </w:rPr>
            </w:pPr>
            <w:r>
              <w:rPr>
                <w:rFonts w:ascii="宋体" w:hAnsi="宋体"/>
              </w:rPr>
              <w:t>10346</w:t>
            </w:r>
          </w:p>
        </w:tc>
        <w:tc>
          <w:tcPr>
            <w:tcW w:w="1250" w:type="pct"/>
            <w:vAlign w:val="center"/>
          </w:tcPr>
          <w:p w14:paraId="47028A7D">
            <w:pPr>
              <w:pStyle w:val="12"/>
              <w:jc w:val="center"/>
              <w:rPr>
                <w:rFonts w:ascii="宋体" w:hAnsi="宋体"/>
              </w:rPr>
            </w:pPr>
            <w:r>
              <w:rPr>
                <w:rFonts w:ascii="宋体" w:hAnsi="宋体"/>
              </w:rPr>
              <w:t>70.82</w:t>
            </w:r>
          </w:p>
        </w:tc>
      </w:tr>
      <w:tr w14:paraId="4ADD7B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020C35CC">
            <w:pPr>
              <w:pStyle w:val="12"/>
              <w:jc w:val="center"/>
              <w:rPr>
                <w:rFonts w:ascii="宋体" w:hAnsi="宋体"/>
              </w:rPr>
            </w:pPr>
            <w:r>
              <w:rPr>
                <w:rFonts w:ascii="宋体" w:hAnsi="宋体"/>
              </w:rPr>
              <w:t>1988</w:t>
            </w:r>
          </w:p>
        </w:tc>
        <w:tc>
          <w:tcPr>
            <w:tcW w:w="1250" w:type="pct"/>
            <w:vAlign w:val="center"/>
          </w:tcPr>
          <w:p w14:paraId="2D38C30E">
            <w:pPr>
              <w:pStyle w:val="12"/>
              <w:jc w:val="center"/>
              <w:rPr>
                <w:rFonts w:ascii="宋体" w:hAnsi="宋体"/>
              </w:rPr>
            </w:pPr>
            <w:r>
              <w:rPr>
                <w:rFonts w:ascii="宋体" w:hAnsi="宋体"/>
              </w:rPr>
              <w:t>21005</w:t>
            </w:r>
          </w:p>
        </w:tc>
        <w:tc>
          <w:tcPr>
            <w:tcW w:w="1250" w:type="pct"/>
            <w:vAlign w:val="center"/>
          </w:tcPr>
          <w:p w14:paraId="6C2F6A9D">
            <w:pPr>
              <w:pStyle w:val="12"/>
              <w:jc w:val="center"/>
              <w:rPr>
                <w:rFonts w:ascii="宋体" w:hAnsi="宋体"/>
              </w:rPr>
            </w:pPr>
            <w:r>
              <w:rPr>
                <w:rFonts w:ascii="宋体" w:hAnsi="宋体"/>
              </w:rPr>
              <w:t>14242</w:t>
            </w:r>
          </w:p>
        </w:tc>
        <w:tc>
          <w:tcPr>
            <w:tcW w:w="1250" w:type="pct"/>
            <w:vAlign w:val="center"/>
          </w:tcPr>
          <w:p w14:paraId="4380D84A">
            <w:pPr>
              <w:pStyle w:val="12"/>
              <w:jc w:val="center"/>
              <w:rPr>
                <w:rFonts w:ascii="宋体" w:hAnsi="宋体"/>
              </w:rPr>
            </w:pPr>
            <w:r>
              <w:rPr>
                <w:rFonts w:ascii="宋体" w:hAnsi="宋体"/>
              </w:rPr>
              <w:t>67.80</w:t>
            </w:r>
          </w:p>
        </w:tc>
      </w:tr>
      <w:tr w14:paraId="4F6333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5C182399">
            <w:pPr>
              <w:pStyle w:val="12"/>
              <w:jc w:val="center"/>
              <w:rPr>
                <w:rFonts w:ascii="宋体" w:hAnsi="宋体"/>
              </w:rPr>
            </w:pPr>
            <w:r>
              <w:rPr>
                <w:rFonts w:ascii="宋体" w:hAnsi="宋体"/>
              </w:rPr>
              <w:t>1989</w:t>
            </w:r>
          </w:p>
        </w:tc>
        <w:tc>
          <w:tcPr>
            <w:tcW w:w="1250" w:type="pct"/>
            <w:vAlign w:val="center"/>
          </w:tcPr>
          <w:p w14:paraId="230967F3">
            <w:pPr>
              <w:pStyle w:val="12"/>
              <w:jc w:val="center"/>
              <w:rPr>
                <w:rFonts w:ascii="宋体" w:hAnsi="宋体"/>
              </w:rPr>
            </w:pPr>
            <w:r>
              <w:rPr>
                <w:rFonts w:ascii="宋体" w:hAnsi="宋体"/>
              </w:rPr>
              <w:t>26558</w:t>
            </w:r>
          </w:p>
        </w:tc>
        <w:tc>
          <w:tcPr>
            <w:tcW w:w="1250" w:type="pct"/>
            <w:vAlign w:val="center"/>
          </w:tcPr>
          <w:p w14:paraId="43930D03">
            <w:pPr>
              <w:pStyle w:val="12"/>
              <w:jc w:val="center"/>
              <w:rPr>
                <w:rFonts w:ascii="宋体" w:hAnsi="宋体"/>
              </w:rPr>
            </w:pPr>
            <w:r>
              <w:rPr>
                <w:rFonts w:ascii="宋体" w:hAnsi="宋体"/>
              </w:rPr>
              <w:t>18073</w:t>
            </w:r>
          </w:p>
        </w:tc>
        <w:tc>
          <w:tcPr>
            <w:tcW w:w="1250" w:type="pct"/>
            <w:vAlign w:val="center"/>
          </w:tcPr>
          <w:p w14:paraId="22908697">
            <w:pPr>
              <w:pStyle w:val="12"/>
              <w:jc w:val="center"/>
              <w:rPr>
                <w:rFonts w:ascii="宋体" w:hAnsi="宋体"/>
              </w:rPr>
            </w:pPr>
            <w:r>
              <w:rPr>
                <w:rFonts w:ascii="宋体" w:hAnsi="宋体"/>
              </w:rPr>
              <w:t>68.10</w:t>
            </w:r>
          </w:p>
        </w:tc>
      </w:tr>
      <w:tr w14:paraId="39C1C7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D0D54F1">
            <w:pPr>
              <w:pStyle w:val="12"/>
              <w:jc w:val="center"/>
              <w:rPr>
                <w:rFonts w:ascii="宋体" w:hAnsi="宋体"/>
              </w:rPr>
            </w:pPr>
            <w:r>
              <w:rPr>
                <w:rFonts w:ascii="宋体" w:hAnsi="宋体"/>
              </w:rPr>
              <w:t>1990</w:t>
            </w:r>
          </w:p>
        </w:tc>
        <w:tc>
          <w:tcPr>
            <w:tcW w:w="1250" w:type="pct"/>
            <w:vAlign w:val="center"/>
          </w:tcPr>
          <w:p w14:paraId="4B27B8CB">
            <w:pPr>
              <w:pStyle w:val="12"/>
              <w:jc w:val="center"/>
              <w:rPr>
                <w:rFonts w:ascii="宋体" w:hAnsi="宋体"/>
              </w:rPr>
            </w:pPr>
            <w:r>
              <w:rPr>
                <w:rFonts w:ascii="宋体" w:hAnsi="宋体"/>
              </w:rPr>
              <w:t>25921</w:t>
            </w:r>
          </w:p>
        </w:tc>
        <w:tc>
          <w:tcPr>
            <w:tcW w:w="1250" w:type="pct"/>
            <w:vAlign w:val="center"/>
          </w:tcPr>
          <w:p w14:paraId="7EAE9F3A">
            <w:pPr>
              <w:pStyle w:val="12"/>
              <w:jc w:val="center"/>
              <w:rPr>
                <w:rFonts w:ascii="宋体" w:hAnsi="宋体"/>
              </w:rPr>
            </w:pPr>
            <w:r>
              <w:rPr>
                <w:rFonts w:ascii="宋体" w:hAnsi="宋体"/>
              </w:rPr>
              <w:t>18172</w:t>
            </w:r>
          </w:p>
        </w:tc>
        <w:tc>
          <w:tcPr>
            <w:tcW w:w="1250" w:type="pct"/>
            <w:vAlign w:val="center"/>
          </w:tcPr>
          <w:p w14:paraId="1A3C24AE">
            <w:pPr>
              <w:pStyle w:val="12"/>
              <w:jc w:val="center"/>
              <w:rPr>
                <w:rFonts w:ascii="宋体" w:hAnsi="宋体"/>
              </w:rPr>
            </w:pPr>
            <w:r>
              <w:rPr>
                <w:rFonts w:ascii="宋体" w:hAnsi="宋体"/>
              </w:rPr>
              <w:t>70.39</w:t>
            </w:r>
          </w:p>
        </w:tc>
      </w:tr>
      <w:tr w14:paraId="7A1E41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9ADD227">
            <w:pPr>
              <w:pStyle w:val="12"/>
              <w:jc w:val="center"/>
              <w:rPr>
                <w:rFonts w:ascii="宋体" w:hAnsi="宋体"/>
              </w:rPr>
            </w:pPr>
            <w:r>
              <w:rPr>
                <w:rFonts w:ascii="宋体" w:hAnsi="宋体"/>
              </w:rPr>
              <w:t>1991</w:t>
            </w:r>
          </w:p>
        </w:tc>
        <w:tc>
          <w:tcPr>
            <w:tcW w:w="1250" w:type="pct"/>
            <w:vAlign w:val="center"/>
          </w:tcPr>
          <w:p w14:paraId="76EC170A">
            <w:pPr>
              <w:pStyle w:val="12"/>
              <w:jc w:val="center"/>
              <w:rPr>
                <w:rFonts w:ascii="宋体" w:hAnsi="宋体"/>
              </w:rPr>
            </w:pPr>
            <w:r>
              <w:rPr>
                <w:rFonts w:ascii="宋体" w:hAnsi="宋体"/>
              </w:rPr>
              <w:t>28242</w:t>
            </w:r>
          </w:p>
        </w:tc>
        <w:tc>
          <w:tcPr>
            <w:tcW w:w="1250" w:type="pct"/>
            <w:vAlign w:val="center"/>
          </w:tcPr>
          <w:p w14:paraId="49AEEBC1">
            <w:pPr>
              <w:pStyle w:val="12"/>
              <w:jc w:val="center"/>
              <w:rPr>
                <w:rFonts w:ascii="宋体" w:hAnsi="宋体"/>
              </w:rPr>
            </w:pPr>
            <w:r>
              <w:rPr>
                <w:rFonts w:ascii="宋体" w:hAnsi="宋体"/>
              </w:rPr>
              <w:t>25903</w:t>
            </w:r>
          </w:p>
        </w:tc>
        <w:tc>
          <w:tcPr>
            <w:tcW w:w="1250" w:type="pct"/>
            <w:vAlign w:val="center"/>
          </w:tcPr>
          <w:p w14:paraId="7E2D6C12">
            <w:pPr>
              <w:pStyle w:val="12"/>
              <w:jc w:val="center"/>
              <w:rPr>
                <w:rFonts w:ascii="宋体" w:hAnsi="宋体"/>
              </w:rPr>
            </w:pPr>
            <w:r>
              <w:rPr>
                <w:rFonts w:ascii="宋体" w:hAnsi="宋体"/>
              </w:rPr>
              <w:t>91.72</w:t>
            </w:r>
          </w:p>
        </w:tc>
      </w:tr>
      <w:tr w14:paraId="6764EB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783EB85">
            <w:pPr>
              <w:pStyle w:val="12"/>
              <w:jc w:val="center"/>
              <w:rPr>
                <w:rFonts w:ascii="宋体" w:hAnsi="宋体"/>
              </w:rPr>
            </w:pPr>
            <w:r>
              <w:rPr>
                <w:rFonts w:ascii="宋体" w:hAnsi="宋体"/>
              </w:rPr>
              <w:t>1992</w:t>
            </w:r>
          </w:p>
        </w:tc>
        <w:tc>
          <w:tcPr>
            <w:tcW w:w="1250" w:type="pct"/>
            <w:vAlign w:val="center"/>
          </w:tcPr>
          <w:p w14:paraId="38DCE10C">
            <w:pPr>
              <w:pStyle w:val="12"/>
              <w:jc w:val="center"/>
              <w:rPr>
                <w:rFonts w:ascii="宋体" w:hAnsi="宋体"/>
              </w:rPr>
            </w:pPr>
            <w:r>
              <w:rPr>
                <w:rFonts w:ascii="宋体" w:hAnsi="宋体"/>
              </w:rPr>
              <w:t>31623</w:t>
            </w:r>
          </w:p>
        </w:tc>
        <w:tc>
          <w:tcPr>
            <w:tcW w:w="1250" w:type="pct"/>
            <w:vAlign w:val="center"/>
          </w:tcPr>
          <w:p w14:paraId="52E05F7B">
            <w:pPr>
              <w:pStyle w:val="12"/>
              <w:jc w:val="center"/>
              <w:rPr>
                <w:rFonts w:ascii="宋体" w:hAnsi="宋体"/>
              </w:rPr>
            </w:pPr>
            <w:r>
              <w:rPr>
                <w:rFonts w:ascii="宋体" w:hAnsi="宋体"/>
              </w:rPr>
              <w:t>28753</w:t>
            </w:r>
          </w:p>
        </w:tc>
        <w:tc>
          <w:tcPr>
            <w:tcW w:w="1250" w:type="pct"/>
            <w:vAlign w:val="center"/>
          </w:tcPr>
          <w:p w14:paraId="4128A89F">
            <w:pPr>
              <w:pStyle w:val="12"/>
              <w:jc w:val="center"/>
              <w:rPr>
                <w:rFonts w:ascii="宋体" w:hAnsi="宋体"/>
              </w:rPr>
            </w:pPr>
            <w:r>
              <w:rPr>
                <w:rFonts w:ascii="宋体" w:hAnsi="宋体"/>
              </w:rPr>
              <w:t>90.92</w:t>
            </w:r>
          </w:p>
        </w:tc>
      </w:tr>
      <w:tr w14:paraId="450F1F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6ED1AFAB">
            <w:pPr>
              <w:pStyle w:val="12"/>
              <w:jc w:val="center"/>
              <w:rPr>
                <w:rFonts w:ascii="宋体" w:hAnsi="宋体"/>
              </w:rPr>
            </w:pPr>
            <w:r>
              <w:rPr>
                <w:rFonts w:ascii="宋体" w:hAnsi="宋体"/>
              </w:rPr>
              <w:t>1993</w:t>
            </w:r>
          </w:p>
        </w:tc>
        <w:tc>
          <w:tcPr>
            <w:tcW w:w="1250" w:type="pct"/>
            <w:vAlign w:val="center"/>
          </w:tcPr>
          <w:p w14:paraId="73F6AC0B">
            <w:pPr>
              <w:pStyle w:val="12"/>
              <w:jc w:val="center"/>
              <w:rPr>
                <w:rFonts w:ascii="宋体" w:hAnsi="宋体"/>
              </w:rPr>
            </w:pPr>
            <w:r>
              <w:rPr>
                <w:rFonts w:ascii="宋体" w:hAnsi="宋体"/>
              </w:rPr>
              <w:t>25004</w:t>
            </w:r>
          </w:p>
        </w:tc>
        <w:tc>
          <w:tcPr>
            <w:tcW w:w="1250" w:type="pct"/>
            <w:vAlign w:val="center"/>
          </w:tcPr>
          <w:p w14:paraId="0FF2411E">
            <w:pPr>
              <w:pStyle w:val="12"/>
              <w:jc w:val="center"/>
              <w:rPr>
                <w:rFonts w:ascii="宋体" w:hAnsi="宋体"/>
              </w:rPr>
            </w:pPr>
            <w:r>
              <w:rPr>
                <w:rFonts w:ascii="宋体" w:hAnsi="宋体"/>
              </w:rPr>
              <w:t>17806</w:t>
            </w:r>
          </w:p>
        </w:tc>
        <w:tc>
          <w:tcPr>
            <w:tcW w:w="1250" w:type="pct"/>
            <w:vAlign w:val="center"/>
          </w:tcPr>
          <w:p w14:paraId="5B47209C">
            <w:pPr>
              <w:pStyle w:val="12"/>
              <w:jc w:val="center"/>
              <w:rPr>
                <w:rFonts w:ascii="宋体" w:hAnsi="宋体"/>
              </w:rPr>
            </w:pPr>
            <w:r>
              <w:rPr>
                <w:rFonts w:ascii="宋体" w:hAnsi="宋体"/>
              </w:rPr>
              <w:t>71.10</w:t>
            </w:r>
          </w:p>
        </w:tc>
      </w:tr>
      <w:tr w14:paraId="6885F4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C3D36FF">
            <w:pPr>
              <w:pStyle w:val="12"/>
              <w:jc w:val="center"/>
              <w:rPr>
                <w:rFonts w:ascii="宋体" w:hAnsi="宋体"/>
              </w:rPr>
            </w:pPr>
            <w:r>
              <w:rPr>
                <w:rFonts w:ascii="宋体" w:hAnsi="宋体"/>
              </w:rPr>
              <w:t>1994</w:t>
            </w:r>
          </w:p>
        </w:tc>
        <w:tc>
          <w:tcPr>
            <w:tcW w:w="1250" w:type="pct"/>
            <w:vAlign w:val="center"/>
          </w:tcPr>
          <w:p w14:paraId="61CC7A05">
            <w:pPr>
              <w:pStyle w:val="12"/>
              <w:jc w:val="center"/>
              <w:rPr>
                <w:rFonts w:ascii="宋体" w:hAnsi="宋体"/>
              </w:rPr>
            </w:pPr>
            <w:r>
              <w:rPr>
                <w:rFonts w:ascii="宋体" w:hAnsi="宋体"/>
              </w:rPr>
              <w:t>17636</w:t>
            </w:r>
          </w:p>
        </w:tc>
        <w:tc>
          <w:tcPr>
            <w:tcW w:w="1250" w:type="pct"/>
            <w:vAlign w:val="center"/>
          </w:tcPr>
          <w:p w14:paraId="4476FBD8">
            <w:pPr>
              <w:pStyle w:val="12"/>
              <w:jc w:val="center"/>
              <w:rPr>
                <w:rFonts w:ascii="宋体" w:hAnsi="宋体"/>
              </w:rPr>
            </w:pPr>
            <w:r>
              <w:rPr>
                <w:rFonts w:ascii="宋体" w:hAnsi="宋体"/>
              </w:rPr>
              <w:t>10052</w:t>
            </w:r>
          </w:p>
        </w:tc>
        <w:tc>
          <w:tcPr>
            <w:tcW w:w="1250" w:type="pct"/>
            <w:vAlign w:val="center"/>
          </w:tcPr>
          <w:p w14:paraId="0C86B1E8">
            <w:pPr>
              <w:pStyle w:val="12"/>
              <w:jc w:val="center"/>
              <w:rPr>
                <w:rFonts w:ascii="宋体" w:hAnsi="宋体"/>
              </w:rPr>
            </w:pPr>
            <w:r>
              <w:rPr>
                <w:rFonts w:ascii="宋体" w:hAnsi="宋体"/>
              </w:rPr>
              <w:t>57.00</w:t>
            </w:r>
          </w:p>
        </w:tc>
      </w:tr>
      <w:tr w14:paraId="1D95B3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60CDBDDC">
            <w:pPr>
              <w:pStyle w:val="12"/>
              <w:jc w:val="center"/>
              <w:rPr>
                <w:rFonts w:ascii="宋体" w:hAnsi="宋体"/>
              </w:rPr>
            </w:pPr>
            <w:r>
              <w:rPr>
                <w:rFonts w:ascii="宋体" w:hAnsi="宋体"/>
              </w:rPr>
              <w:t>1995</w:t>
            </w:r>
          </w:p>
        </w:tc>
        <w:tc>
          <w:tcPr>
            <w:tcW w:w="1250" w:type="pct"/>
            <w:vAlign w:val="center"/>
          </w:tcPr>
          <w:p w14:paraId="37DAB0F7">
            <w:pPr>
              <w:pStyle w:val="12"/>
              <w:jc w:val="center"/>
              <w:rPr>
                <w:rFonts w:ascii="宋体" w:hAnsi="宋体"/>
              </w:rPr>
            </w:pPr>
            <w:r>
              <w:rPr>
                <w:rFonts w:ascii="宋体" w:hAnsi="宋体"/>
              </w:rPr>
              <w:t>21942</w:t>
            </w:r>
          </w:p>
        </w:tc>
        <w:tc>
          <w:tcPr>
            <w:tcW w:w="1250" w:type="pct"/>
            <w:vAlign w:val="center"/>
          </w:tcPr>
          <w:p w14:paraId="2ABF2548">
            <w:pPr>
              <w:pStyle w:val="12"/>
              <w:jc w:val="center"/>
              <w:rPr>
                <w:rFonts w:ascii="宋体" w:hAnsi="宋体"/>
              </w:rPr>
            </w:pPr>
            <w:r>
              <w:rPr>
                <w:rFonts w:ascii="宋体" w:hAnsi="宋体"/>
              </w:rPr>
              <w:t>10110</w:t>
            </w:r>
          </w:p>
        </w:tc>
        <w:tc>
          <w:tcPr>
            <w:tcW w:w="1250" w:type="pct"/>
            <w:vAlign w:val="center"/>
          </w:tcPr>
          <w:p w14:paraId="12512E5D">
            <w:pPr>
              <w:pStyle w:val="12"/>
              <w:jc w:val="center"/>
              <w:rPr>
                <w:rFonts w:ascii="宋体" w:hAnsi="宋体"/>
              </w:rPr>
            </w:pPr>
            <w:r>
              <w:rPr>
                <w:rFonts w:ascii="宋体" w:hAnsi="宋体"/>
              </w:rPr>
              <w:t>46.08</w:t>
            </w:r>
          </w:p>
        </w:tc>
      </w:tr>
      <w:tr w14:paraId="73C849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A220210">
            <w:pPr>
              <w:pStyle w:val="12"/>
              <w:jc w:val="center"/>
              <w:rPr>
                <w:rFonts w:ascii="宋体" w:hAnsi="宋体"/>
              </w:rPr>
            </w:pPr>
            <w:r>
              <w:rPr>
                <w:rFonts w:ascii="宋体" w:hAnsi="宋体"/>
              </w:rPr>
              <w:t>1996</w:t>
            </w:r>
          </w:p>
        </w:tc>
        <w:tc>
          <w:tcPr>
            <w:tcW w:w="1250" w:type="pct"/>
            <w:vAlign w:val="center"/>
          </w:tcPr>
          <w:p w14:paraId="007730C3">
            <w:pPr>
              <w:pStyle w:val="12"/>
              <w:jc w:val="center"/>
              <w:rPr>
                <w:rFonts w:ascii="宋体" w:hAnsi="宋体"/>
              </w:rPr>
            </w:pPr>
            <w:r>
              <w:rPr>
                <w:rFonts w:ascii="宋体" w:hAnsi="宋体"/>
              </w:rPr>
              <w:t>22726</w:t>
            </w:r>
          </w:p>
        </w:tc>
        <w:tc>
          <w:tcPr>
            <w:tcW w:w="1250" w:type="pct"/>
            <w:vAlign w:val="center"/>
          </w:tcPr>
          <w:p w14:paraId="608C3287">
            <w:pPr>
              <w:pStyle w:val="12"/>
              <w:jc w:val="center"/>
              <w:rPr>
                <w:rFonts w:ascii="宋体" w:hAnsi="宋体"/>
              </w:rPr>
            </w:pPr>
            <w:r>
              <w:rPr>
                <w:rFonts w:ascii="宋体" w:hAnsi="宋体"/>
              </w:rPr>
              <w:t>13369</w:t>
            </w:r>
          </w:p>
        </w:tc>
        <w:tc>
          <w:tcPr>
            <w:tcW w:w="1250" w:type="pct"/>
            <w:vAlign w:val="center"/>
          </w:tcPr>
          <w:p w14:paraId="703AF40D">
            <w:pPr>
              <w:pStyle w:val="12"/>
              <w:jc w:val="center"/>
              <w:rPr>
                <w:rFonts w:ascii="宋体" w:hAnsi="宋体"/>
              </w:rPr>
            </w:pPr>
            <w:r>
              <w:rPr>
                <w:rFonts w:ascii="宋体" w:hAnsi="宋体"/>
              </w:rPr>
              <w:t>58.83</w:t>
            </w:r>
          </w:p>
        </w:tc>
      </w:tr>
      <w:tr w14:paraId="62AEED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45EDF4F">
            <w:pPr>
              <w:pStyle w:val="12"/>
              <w:jc w:val="center"/>
              <w:rPr>
                <w:rFonts w:ascii="宋体" w:hAnsi="宋体"/>
              </w:rPr>
            </w:pPr>
            <w:r>
              <w:rPr>
                <w:rFonts w:ascii="宋体" w:hAnsi="宋体"/>
              </w:rPr>
              <w:t>1997</w:t>
            </w:r>
          </w:p>
        </w:tc>
        <w:tc>
          <w:tcPr>
            <w:tcW w:w="1250" w:type="pct"/>
            <w:vAlign w:val="center"/>
          </w:tcPr>
          <w:p w14:paraId="102B3C52">
            <w:pPr>
              <w:pStyle w:val="12"/>
              <w:jc w:val="center"/>
              <w:rPr>
                <w:rFonts w:ascii="宋体" w:hAnsi="宋体"/>
              </w:rPr>
            </w:pPr>
            <w:r>
              <w:rPr>
                <w:rFonts w:ascii="宋体" w:hAnsi="宋体"/>
              </w:rPr>
              <w:t>22194</w:t>
            </w:r>
          </w:p>
        </w:tc>
        <w:tc>
          <w:tcPr>
            <w:tcW w:w="1250" w:type="pct"/>
            <w:vAlign w:val="center"/>
          </w:tcPr>
          <w:p w14:paraId="115E94BA">
            <w:pPr>
              <w:pStyle w:val="12"/>
              <w:jc w:val="center"/>
              <w:rPr>
                <w:rFonts w:ascii="宋体" w:hAnsi="宋体"/>
              </w:rPr>
            </w:pPr>
            <w:r>
              <w:rPr>
                <w:rFonts w:ascii="宋体" w:hAnsi="宋体"/>
              </w:rPr>
              <w:t>20615</w:t>
            </w:r>
          </w:p>
        </w:tc>
        <w:tc>
          <w:tcPr>
            <w:tcW w:w="1250" w:type="pct"/>
            <w:vAlign w:val="center"/>
          </w:tcPr>
          <w:p w14:paraId="3F59F982">
            <w:pPr>
              <w:pStyle w:val="12"/>
              <w:jc w:val="center"/>
              <w:rPr>
                <w:rFonts w:ascii="宋体" w:hAnsi="宋体"/>
              </w:rPr>
            </w:pPr>
            <w:r>
              <w:rPr>
                <w:rFonts w:ascii="宋体" w:hAnsi="宋体"/>
              </w:rPr>
              <w:t>92.89</w:t>
            </w:r>
          </w:p>
        </w:tc>
      </w:tr>
      <w:tr w14:paraId="1A9ACA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2F20F07">
            <w:pPr>
              <w:pStyle w:val="12"/>
              <w:jc w:val="center"/>
              <w:rPr>
                <w:rFonts w:ascii="宋体" w:hAnsi="宋体"/>
              </w:rPr>
            </w:pPr>
            <w:r>
              <w:rPr>
                <w:rFonts w:ascii="宋体" w:hAnsi="宋体"/>
              </w:rPr>
              <w:t>1998</w:t>
            </w:r>
          </w:p>
        </w:tc>
        <w:tc>
          <w:tcPr>
            <w:tcW w:w="1250" w:type="pct"/>
            <w:vAlign w:val="center"/>
          </w:tcPr>
          <w:p w14:paraId="0F5F26A2">
            <w:pPr>
              <w:pStyle w:val="12"/>
              <w:jc w:val="center"/>
              <w:rPr>
                <w:rFonts w:ascii="宋体" w:hAnsi="宋体"/>
              </w:rPr>
            </w:pPr>
            <w:r>
              <w:rPr>
                <w:rFonts w:ascii="宋体" w:hAnsi="宋体"/>
              </w:rPr>
              <w:t>20408</w:t>
            </w:r>
          </w:p>
        </w:tc>
        <w:tc>
          <w:tcPr>
            <w:tcW w:w="1250" w:type="pct"/>
            <w:vAlign w:val="center"/>
          </w:tcPr>
          <w:p w14:paraId="67B31E3B">
            <w:pPr>
              <w:pStyle w:val="12"/>
              <w:jc w:val="center"/>
              <w:rPr>
                <w:rFonts w:ascii="宋体" w:hAnsi="宋体"/>
              </w:rPr>
            </w:pPr>
            <w:r>
              <w:rPr>
                <w:rFonts w:ascii="宋体" w:hAnsi="宋体"/>
              </w:rPr>
              <w:t>12739</w:t>
            </w:r>
          </w:p>
        </w:tc>
        <w:tc>
          <w:tcPr>
            <w:tcW w:w="1250" w:type="pct"/>
            <w:vAlign w:val="center"/>
          </w:tcPr>
          <w:p w14:paraId="2EE08876">
            <w:pPr>
              <w:pStyle w:val="12"/>
              <w:jc w:val="center"/>
              <w:rPr>
                <w:rFonts w:ascii="宋体" w:hAnsi="宋体"/>
              </w:rPr>
            </w:pPr>
            <w:r>
              <w:rPr>
                <w:rFonts w:ascii="宋体" w:hAnsi="宋体"/>
              </w:rPr>
              <w:t>62.42</w:t>
            </w:r>
          </w:p>
        </w:tc>
      </w:tr>
      <w:tr w14:paraId="58B1253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365AFC0">
            <w:pPr>
              <w:pStyle w:val="12"/>
              <w:jc w:val="center"/>
              <w:rPr>
                <w:rFonts w:ascii="宋体" w:hAnsi="宋体"/>
              </w:rPr>
            </w:pPr>
            <w:r>
              <w:rPr>
                <w:rFonts w:ascii="宋体" w:hAnsi="宋体"/>
              </w:rPr>
              <w:t>1999</w:t>
            </w:r>
          </w:p>
        </w:tc>
        <w:tc>
          <w:tcPr>
            <w:tcW w:w="1250" w:type="pct"/>
            <w:vAlign w:val="center"/>
          </w:tcPr>
          <w:p w14:paraId="3B52F85E">
            <w:pPr>
              <w:pStyle w:val="12"/>
              <w:jc w:val="center"/>
              <w:rPr>
                <w:rFonts w:ascii="宋体" w:hAnsi="宋体"/>
              </w:rPr>
            </w:pPr>
            <w:r>
              <w:rPr>
                <w:rFonts w:ascii="宋体" w:hAnsi="宋体"/>
              </w:rPr>
              <w:t>19248</w:t>
            </w:r>
          </w:p>
        </w:tc>
        <w:tc>
          <w:tcPr>
            <w:tcW w:w="1250" w:type="pct"/>
            <w:vAlign w:val="center"/>
          </w:tcPr>
          <w:p w14:paraId="6CCB034F">
            <w:pPr>
              <w:pStyle w:val="12"/>
              <w:jc w:val="center"/>
              <w:rPr>
                <w:rFonts w:ascii="宋体" w:hAnsi="宋体"/>
              </w:rPr>
            </w:pPr>
            <w:r>
              <w:rPr>
                <w:rFonts w:ascii="宋体" w:hAnsi="宋体"/>
              </w:rPr>
              <w:t>9736</w:t>
            </w:r>
          </w:p>
        </w:tc>
        <w:tc>
          <w:tcPr>
            <w:tcW w:w="1250" w:type="pct"/>
            <w:vAlign w:val="center"/>
          </w:tcPr>
          <w:p w14:paraId="08A82F9F">
            <w:pPr>
              <w:pStyle w:val="12"/>
              <w:jc w:val="center"/>
              <w:rPr>
                <w:rFonts w:ascii="宋体" w:hAnsi="宋体"/>
              </w:rPr>
            </w:pPr>
            <w:r>
              <w:rPr>
                <w:rFonts w:ascii="宋体" w:hAnsi="宋体"/>
              </w:rPr>
              <w:t>50.58</w:t>
            </w:r>
          </w:p>
        </w:tc>
      </w:tr>
      <w:tr w14:paraId="565AE2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58945700">
            <w:pPr>
              <w:pStyle w:val="12"/>
              <w:jc w:val="center"/>
              <w:rPr>
                <w:rFonts w:ascii="宋体" w:hAnsi="宋体"/>
              </w:rPr>
            </w:pPr>
            <w:r>
              <w:rPr>
                <w:rFonts w:ascii="宋体" w:hAnsi="宋体"/>
              </w:rPr>
              <w:t>2000</w:t>
            </w:r>
          </w:p>
        </w:tc>
        <w:tc>
          <w:tcPr>
            <w:tcW w:w="1250" w:type="pct"/>
            <w:vAlign w:val="center"/>
          </w:tcPr>
          <w:p w14:paraId="0B300EE8">
            <w:pPr>
              <w:pStyle w:val="12"/>
              <w:jc w:val="center"/>
              <w:rPr>
                <w:rFonts w:ascii="宋体" w:hAnsi="宋体"/>
              </w:rPr>
            </w:pPr>
            <w:r>
              <w:rPr>
                <w:rFonts w:ascii="宋体" w:hAnsi="宋体"/>
              </w:rPr>
              <w:t>18197</w:t>
            </w:r>
          </w:p>
        </w:tc>
        <w:tc>
          <w:tcPr>
            <w:tcW w:w="1250" w:type="pct"/>
            <w:vAlign w:val="center"/>
          </w:tcPr>
          <w:p w14:paraId="06D7AC79">
            <w:pPr>
              <w:pStyle w:val="12"/>
              <w:jc w:val="center"/>
              <w:rPr>
                <w:rFonts w:ascii="宋体" w:hAnsi="宋体"/>
              </w:rPr>
            </w:pPr>
            <w:r>
              <w:rPr>
                <w:rFonts w:ascii="宋体" w:hAnsi="宋体"/>
              </w:rPr>
              <w:t>11869</w:t>
            </w:r>
          </w:p>
        </w:tc>
        <w:tc>
          <w:tcPr>
            <w:tcW w:w="1250" w:type="pct"/>
            <w:vAlign w:val="center"/>
          </w:tcPr>
          <w:p w14:paraId="37A6A3AF">
            <w:pPr>
              <w:pStyle w:val="12"/>
              <w:jc w:val="center"/>
              <w:rPr>
                <w:rFonts w:ascii="宋体" w:hAnsi="宋体"/>
              </w:rPr>
            </w:pPr>
            <w:r>
              <w:rPr>
                <w:rFonts w:ascii="宋体" w:hAnsi="宋体"/>
              </w:rPr>
              <w:t>65.23</w:t>
            </w:r>
          </w:p>
        </w:tc>
      </w:tr>
      <w:tr w14:paraId="4AFE7D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7A12640">
            <w:pPr>
              <w:pStyle w:val="12"/>
              <w:jc w:val="center"/>
              <w:rPr>
                <w:rFonts w:ascii="宋体" w:hAnsi="宋体"/>
              </w:rPr>
            </w:pPr>
            <w:r>
              <w:rPr>
                <w:rFonts w:ascii="宋体" w:hAnsi="宋体"/>
              </w:rPr>
              <w:t>2001</w:t>
            </w:r>
          </w:p>
        </w:tc>
        <w:tc>
          <w:tcPr>
            <w:tcW w:w="1250" w:type="pct"/>
            <w:vAlign w:val="center"/>
          </w:tcPr>
          <w:p w14:paraId="4BB0DDB4">
            <w:pPr>
              <w:pStyle w:val="12"/>
              <w:jc w:val="center"/>
              <w:rPr>
                <w:rFonts w:ascii="宋体" w:hAnsi="宋体"/>
              </w:rPr>
            </w:pPr>
            <w:r>
              <w:rPr>
                <w:rFonts w:ascii="宋体" w:hAnsi="宋体"/>
              </w:rPr>
              <w:t>21319</w:t>
            </w:r>
          </w:p>
        </w:tc>
        <w:tc>
          <w:tcPr>
            <w:tcW w:w="1250" w:type="pct"/>
            <w:vAlign w:val="center"/>
          </w:tcPr>
          <w:p w14:paraId="772EF9C9">
            <w:pPr>
              <w:pStyle w:val="12"/>
              <w:jc w:val="center"/>
              <w:rPr>
                <w:rFonts w:ascii="宋体" w:hAnsi="宋体"/>
              </w:rPr>
            </w:pPr>
            <w:r>
              <w:rPr>
                <w:rFonts w:ascii="宋体" w:hAnsi="宋体"/>
              </w:rPr>
              <w:t>12469</w:t>
            </w:r>
          </w:p>
        </w:tc>
        <w:tc>
          <w:tcPr>
            <w:tcW w:w="1250" w:type="pct"/>
            <w:vAlign w:val="center"/>
          </w:tcPr>
          <w:p w14:paraId="6E6B279F">
            <w:pPr>
              <w:pStyle w:val="12"/>
              <w:jc w:val="center"/>
              <w:rPr>
                <w:rFonts w:ascii="宋体" w:hAnsi="宋体"/>
              </w:rPr>
            </w:pPr>
            <w:r>
              <w:rPr>
                <w:rFonts w:ascii="宋体" w:hAnsi="宋体"/>
              </w:rPr>
              <w:t>58.49</w:t>
            </w:r>
          </w:p>
        </w:tc>
      </w:tr>
      <w:tr w14:paraId="31BE68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00298AC6">
            <w:pPr>
              <w:pStyle w:val="12"/>
              <w:jc w:val="center"/>
              <w:rPr>
                <w:rFonts w:ascii="宋体" w:hAnsi="宋体"/>
              </w:rPr>
            </w:pPr>
            <w:r>
              <w:rPr>
                <w:rFonts w:ascii="宋体" w:hAnsi="宋体"/>
              </w:rPr>
              <w:t>2002</w:t>
            </w:r>
          </w:p>
        </w:tc>
        <w:tc>
          <w:tcPr>
            <w:tcW w:w="1250" w:type="pct"/>
            <w:vAlign w:val="center"/>
          </w:tcPr>
          <w:p w14:paraId="191F6EFB">
            <w:pPr>
              <w:pStyle w:val="12"/>
              <w:jc w:val="center"/>
              <w:rPr>
                <w:rFonts w:ascii="宋体" w:hAnsi="宋体"/>
              </w:rPr>
            </w:pPr>
            <w:r>
              <w:rPr>
                <w:rFonts w:ascii="宋体" w:hAnsi="宋体"/>
              </w:rPr>
              <w:t>21474</w:t>
            </w:r>
          </w:p>
        </w:tc>
        <w:tc>
          <w:tcPr>
            <w:tcW w:w="1250" w:type="pct"/>
            <w:vAlign w:val="center"/>
          </w:tcPr>
          <w:p w14:paraId="51F2FA0A">
            <w:pPr>
              <w:pStyle w:val="12"/>
              <w:jc w:val="center"/>
              <w:rPr>
                <w:rFonts w:ascii="宋体" w:hAnsi="宋体"/>
              </w:rPr>
            </w:pPr>
            <w:r>
              <w:rPr>
                <w:rFonts w:ascii="宋体" w:hAnsi="宋体"/>
              </w:rPr>
              <w:t>13349</w:t>
            </w:r>
          </w:p>
        </w:tc>
        <w:tc>
          <w:tcPr>
            <w:tcW w:w="1250" w:type="pct"/>
            <w:vAlign w:val="center"/>
          </w:tcPr>
          <w:p w14:paraId="337F33FC">
            <w:pPr>
              <w:pStyle w:val="12"/>
              <w:jc w:val="center"/>
              <w:rPr>
                <w:rFonts w:ascii="宋体" w:hAnsi="宋体"/>
              </w:rPr>
            </w:pPr>
            <w:r>
              <w:rPr>
                <w:rFonts w:ascii="宋体" w:hAnsi="宋体"/>
              </w:rPr>
              <w:t>62.16</w:t>
            </w:r>
          </w:p>
        </w:tc>
      </w:tr>
      <w:tr w14:paraId="77F6D4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3D8FECA">
            <w:pPr>
              <w:pStyle w:val="12"/>
              <w:jc w:val="center"/>
              <w:rPr>
                <w:rFonts w:ascii="宋体" w:hAnsi="宋体"/>
              </w:rPr>
            </w:pPr>
            <w:r>
              <w:rPr>
                <w:rFonts w:ascii="宋体" w:hAnsi="宋体"/>
              </w:rPr>
              <w:t>2003</w:t>
            </w:r>
          </w:p>
        </w:tc>
        <w:tc>
          <w:tcPr>
            <w:tcW w:w="1250" w:type="pct"/>
            <w:vAlign w:val="center"/>
          </w:tcPr>
          <w:p w14:paraId="5F93E7D9">
            <w:pPr>
              <w:pStyle w:val="12"/>
              <w:jc w:val="center"/>
              <w:rPr>
                <w:rFonts w:ascii="宋体" w:hAnsi="宋体"/>
              </w:rPr>
            </w:pPr>
            <w:r>
              <w:rPr>
                <w:rFonts w:ascii="宋体" w:hAnsi="宋体"/>
              </w:rPr>
              <w:t>21532</w:t>
            </w:r>
          </w:p>
        </w:tc>
        <w:tc>
          <w:tcPr>
            <w:tcW w:w="1250" w:type="pct"/>
            <w:vAlign w:val="center"/>
          </w:tcPr>
          <w:p w14:paraId="65197252">
            <w:pPr>
              <w:pStyle w:val="12"/>
              <w:jc w:val="center"/>
              <w:rPr>
                <w:rFonts w:ascii="宋体" w:hAnsi="宋体"/>
              </w:rPr>
            </w:pPr>
            <w:r>
              <w:rPr>
                <w:rFonts w:ascii="宋体" w:hAnsi="宋体"/>
              </w:rPr>
              <w:t>11060</w:t>
            </w:r>
          </w:p>
        </w:tc>
        <w:tc>
          <w:tcPr>
            <w:tcW w:w="1250" w:type="pct"/>
            <w:vAlign w:val="center"/>
          </w:tcPr>
          <w:p w14:paraId="7B786443">
            <w:pPr>
              <w:pStyle w:val="12"/>
              <w:jc w:val="center"/>
              <w:rPr>
                <w:rFonts w:ascii="宋体" w:hAnsi="宋体"/>
              </w:rPr>
            </w:pPr>
            <w:r>
              <w:rPr>
                <w:rFonts w:ascii="宋体" w:hAnsi="宋体"/>
              </w:rPr>
              <w:t>51.37</w:t>
            </w:r>
          </w:p>
        </w:tc>
      </w:tr>
      <w:tr w14:paraId="186B69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DA5AD29">
            <w:pPr>
              <w:pStyle w:val="12"/>
              <w:jc w:val="center"/>
              <w:rPr>
                <w:rFonts w:ascii="宋体" w:hAnsi="宋体"/>
              </w:rPr>
            </w:pPr>
            <w:r>
              <w:rPr>
                <w:rFonts w:ascii="宋体" w:hAnsi="宋体"/>
              </w:rPr>
              <w:t>2004</w:t>
            </w:r>
          </w:p>
        </w:tc>
        <w:tc>
          <w:tcPr>
            <w:tcW w:w="1250" w:type="pct"/>
            <w:vAlign w:val="center"/>
          </w:tcPr>
          <w:p w14:paraId="72556481">
            <w:pPr>
              <w:pStyle w:val="12"/>
              <w:jc w:val="center"/>
              <w:rPr>
                <w:rFonts w:ascii="宋体" w:hAnsi="宋体"/>
              </w:rPr>
            </w:pPr>
            <w:r>
              <w:rPr>
                <w:rFonts w:ascii="宋体" w:hAnsi="宋体"/>
              </w:rPr>
              <w:t>21742</w:t>
            </w:r>
          </w:p>
        </w:tc>
        <w:tc>
          <w:tcPr>
            <w:tcW w:w="1250" w:type="pct"/>
            <w:vAlign w:val="center"/>
          </w:tcPr>
          <w:p w14:paraId="7E706F0D">
            <w:pPr>
              <w:pStyle w:val="12"/>
              <w:jc w:val="center"/>
              <w:rPr>
                <w:rFonts w:ascii="宋体" w:hAnsi="宋体"/>
              </w:rPr>
            </w:pPr>
            <w:r>
              <w:rPr>
                <w:rFonts w:ascii="宋体" w:hAnsi="宋体"/>
              </w:rPr>
              <w:t>11557</w:t>
            </w:r>
          </w:p>
        </w:tc>
        <w:tc>
          <w:tcPr>
            <w:tcW w:w="1250" w:type="pct"/>
            <w:vAlign w:val="center"/>
          </w:tcPr>
          <w:p w14:paraId="5857CB7C">
            <w:pPr>
              <w:pStyle w:val="12"/>
              <w:jc w:val="center"/>
              <w:rPr>
                <w:rFonts w:ascii="宋体" w:hAnsi="宋体"/>
              </w:rPr>
            </w:pPr>
            <w:r>
              <w:rPr>
                <w:rFonts w:ascii="宋体" w:hAnsi="宋体"/>
              </w:rPr>
              <w:t>53.16</w:t>
            </w:r>
          </w:p>
        </w:tc>
      </w:tr>
    </w:tbl>
    <w:p w14:paraId="71BCB549">
      <w:pPr>
        <w:pStyle w:val="5"/>
        <w:rPr>
          <w:rFonts w:ascii="宋体" w:hAnsi="宋体"/>
        </w:rPr>
      </w:pPr>
      <w:r>
        <w:rPr>
          <w:rFonts w:hint="eastAsia" w:ascii="宋体" w:hAnsi="宋体"/>
        </w:rPr>
        <w:t>三、烟叶出口</w:t>
      </w:r>
    </w:p>
    <w:p w14:paraId="2FC36F89">
      <w:pPr>
        <w:ind w:firstLine="420"/>
        <w:rPr>
          <w:rFonts w:ascii="宋体" w:hAnsi="宋体"/>
          <w:szCs w:val="21"/>
        </w:rPr>
      </w:pPr>
      <w:r>
        <w:rPr>
          <w:rFonts w:hint="eastAsia" w:ascii="宋体" w:hAnsi="宋体"/>
          <w:szCs w:val="21"/>
        </w:rPr>
        <w:t>南雄晒烟历来颇受外商欢迎。</w:t>
      </w:r>
      <w:r>
        <w:rPr>
          <w:rFonts w:ascii="宋体" w:hAnsi="宋体"/>
          <w:szCs w:val="21"/>
        </w:rPr>
        <w:t>1953年至1979年，年出口量在百吨以上，1958年</w:t>
      </w:r>
      <w:r>
        <w:rPr>
          <w:rFonts w:hint="eastAsia" w:ascii="宋体" w:hAnsi="宋体"/>
          <w:szCs w:val="21"/>
        </w:rPr>
        <w:t>多达</w:t>
      </w:r>
      <w:r>
        <w:rPr>
          <w:rFonts w:ascii="宋体" w:hAnsi="宋体"/>
          <w:szCs w:val="21"/>
        </w:rPr>
        <w:t>1368吨。1980年，国外消费习惯由清香型转为浓香型，南雄烟叶香型未改变而</w:t>
      </w:r>
      <w:r>
        <w:rPr>
          <w:rFonts w:hint="eastAsia" w:ascii="宋体" w:hAnsi="宋体"/>
          <w:szCs w:val="21"/>
        </w:rPr>
        <w:t>停止外销。</w:t>
      </w:r>
      <w:r>
        <w:rPr>
          <w:rFonts w:ascii="宋体" w:hAnsi="宋体"/>
          <w:szCs w:val="21"/>
        </w:rPr>
        <w:t>1987年收购的晒烟只外销了4吨，其余内销。1991年至1999年共出口烤</w:t>
      </w:r>
      <w:r>
        <w:rPr>
          <w:rFonts w:hint="eastAsia" w:ascii="宋体" w:hAnsi="宋体"/>
          <w:szCs w:val="21"/>
        </w:rPr>
        <w:t>烟</w:t>
      </w:r>
      <w:r>
        <w:rPr>
          <w:rFonts w:ascii="宋体" w:hAnsi="宋体"/>
          <w:szCs w:val="21"/>
        </w:rPr>
        <w:t>1500多吨，晒烟1800多吨。各占该期收购量的1.03%、13.37%。主要销往东南</w:t>
      </w:r>
      <w:r>
        <w:rPr>
          <w:rFonts w:hint="eastAsia" w:ascii="宋体" w:hAnsi="宋体"/>
          <w:szCs w:val="21"/>
        </w:rPr>
        <w:t>亚地区。</w:t>
      </w:r>
    </w:p>
    <w:p w14:paraId="687DD5DA">
      <w:pPr>
        <w:pStyle w:val="3"/>
        <w:rPr>
          <w:rFonts w:ascii="宋体" w:hAnsi="宋体"/>
        </w:rPr>
      </w:pPr>
      <w:r>
        <w:rPr>
          <w:rFonts w:hint="eastAsia" w:ascii="宋体" w:hAnsi="宋体"/>
        </w:rPr>
        <w:t>第四章  林业</w:t>
      </w:r>
    </w:p>
    <w:p w14:paraId="36D52D9A">
      <w:pPr>
        <w:ind w:firstLine="420"/>
        <w:rPr>
          <w:rFonts w:ascii="宋体" w:hAnsi="宋体"/>
          <w:szCs w:val="21"/>
        </w:rPr>
      </w:pPr>
      <w:r>
        <w:rPr>
          <w:rFonts w:hint="eastAsia" w:ascii="宋体" w:hAnsi="宋体"/>
          <w:szCs w:val="21"/>
        </w:rPr>
        <w:t>南雄林业用地</w:t>
      </w:r>
      <w:r>
        <w:rPr>
          <w:rFonts w:ascii="宋体" w:hAnsi="宋体"/>
          <w:szCs w:val="21"/>
        </w:rPr>
        <w:t>155522公顷，占土地总面积的66.8%，是北江水源林区之一。全</w:t>
      </w:r>
      <w:r>
        <w:rPr>
          <w:rFonts w:hint="eastAsia" w:ascii="宋体" w:hAnsi="宋体"/>
          <w:szCs w:val="21"/>
        </w:rPr>
        <w:t>市林地分为南山、北山两大林区。南山所产之杉木，木质坚实，干后无裂纹，水运不变色；北山所产之毛竹，粗且长，为扎棚搭架及竹制家具、工艺品之优质原材料，又是制造土纸的原料。故有“南山木、北山竹”之誉。</w:t>
      </w:r>
    </w:p>
    <w:p w14:paraId="71A8B304">
      <w:pPr>
        <w:ind w:firstLine="420"/>
        <w:rPr>
          <w:rFonts w:ascii="宋体" w:hAnsi="宋体"/>
          <w:szCs w:val="21"/>
        </w:rPr>
      </w:pPr>
      <w:r>
        <w:rPr>
          <w:rFonts w:hint="eastAsia" w:ascii="宋体" w:hAnsi="宋体"/>
          <w:szCs w:val="21"/>
        </w:rPr>
        <w:t>在古代，因交通不便，木材多为当地自用。清末始有外销。民国</w:t>
      </w:r>
      <w:r>
        <w:rPr>
          <w:rFonts w:ascii="宋体" w:hAnsi="宋体"/>
          <w:szCs w:val="21"/>
        </w:rPr>
        <w:t>23年（1934</w:t>
      </w:r>
      <w:r>
        <w:rPr>
          <w:rFonts w:hint="eastAsia" w:ascii="宋体" w:hAnsi="宋体"/>
          <w:szCs w:val="21"/>
        </w:rPr>
        <w:t>年）广东西北区《绥靖月刊》记载，南雄年产杉木</w:t>
      </w:r>
      <w:r>
        <w:rPr>
          <w:rFonts w:ascii="宋体" w:hAnsi="宋体"/>
          <w:szCs w:val="21"/>
        </w:rPr>
        <w:t>10万条，产值10万余银元</w:t>
      </w:r>
      <w:r>
        <w:rPr>
          <w:rFonts w:hint="eastAsia" w:ascii="宋体" w:hAnsi="宋体"/>
          <w:szCs w:val="21"/>
        </w:rPr>
        <w:t>。</w:t>
      </w:r>
      <w:r>
        <w:rPr>
          <w:rFonts w:ascii="宋体" w:hAnsi="宋体"/>
          <w:szCs w:val="21"/>
        </w:rPr>
        <w:t>1949年以后，逐步建设山区公路，开发森林资源，发展林业生产。1950年至1956</w:t>
      </w:r>
      <w:r>
        <w:rPr>
          <w:rFonts w:hint="eastAsia" w:ascii="宋体" w:hAnsi="宋体"/>
          <w:szCs w:val="21"/>
        </w:rPr>
        <w:t>年，共生产木材</w:t>
      </w:r>
      <w:r>
        <w:rPr>
          <w:rFonts w:ascii="宋体" w:hAnsi="宋体"/>
          <w:szCs w:val="21"/>
        </w:rPr>
        <w:t>10万余立方米，造林4</w:t>
      </w:r>
      <w:r>
        <w:rPr>
          <w:rFonts w:hint="eastAsia" w:ascii="宋体" w:hAnsi="宋体"/>
          <w:szCs w:val="21"/>
        </w:rPr>
        <w:t>0</w:t>
      </w:r>
      <w:r>
        <w:rPr>
          <w:rFonts w:ascii="宋体" w:hAnsi="宋体"/>
          <w:szCs w:val="21"/>
        </w:rPr>
        <w:t>00余公顷，森林蓄积量年均增长30万立方</w:t>
      </w:r>
      <w:r>
        <w:rPr>
          <w:rFonts w:hint="eastAsia" w:ascii="宋体" w:hAnsi="宋体"/>
          <w:szCs w:val="21"/>
        </w:rPr>
        <w:t>米。</w:t>
      </w:r>
      <w:r>
        <w:rPr>
          <w:rFonts w:ascii="宋体" w:hAnsi="宋体"/>
          <w:szCs w:val="21"/>
        </w:rPr>
        <w:t>1958年“大跃进”，人民公社化之后，山林权属频变，“共产风”盛行，为放</w:t>
      </w:r>
      <w:r>
        <w:rPr>
          <w:rFonts w:hint="eastAsia" w:ascii="宋体" w:hAnsi="宋体"/>
          <w:szCs w:val="21"/>
        </w:rPr>
        <w:t>“财经卫星”，滥伐森林成风。“文化大革命”期间，无政府主义思潮泛滥，盗砍滥伐无法制止，使荒山残林逐年增加。</w:t>
      </w:r>
      <w:r>
        <w:rPr>
          <w:rFonts w:ascii="宋体" w:hAnsi="宋体"/>
          <w:szCs w:val="21"/>
        </w:rPr>
        <w:t>1981年，森林蓄积量下降至289万立方米，比1957年少61.2%，荒山残林则多达3万余公顷</w:t>
      </w:r>
      <w:r>
        <w:rPr>
          <w:rFonts w:hint="eastAsia" w:ascii="宋体" w:hAnsi="宋体"/>
          <w:szCs w:val="21"/>
        </w:rPr>
        <w:t>。</w:t>
      </w:r>
    </w:p>
    <w:p w14:paraId="5B0FCED9">
      <w:pPr>
        <w:ind w:firstLine="420"/>
        <w:rPr>
          <w:rFonts w:ascii="宋体" w:hAnsi="宋体"/>
          <w:szCs w:val="21"/>
        </w:rPr>
      </w:pPr>
      <w:r>
        <w:rPr>
          <w:rFonts w:ascii="宋体" w:hAnsi="宋体"/>
          <w:szCs w:val="21"/>
        </w:rPr>
        <w:t>1982年完成了山林发证，稳定了山林权属。2003年又进行林地林权登记换发证。1985年实行“改燃节柴”措施，严格实行封山育林，减少木柴消耗量，扭转了森林</w:t>
      </w:r>
      <w:r>
        <w:rPr>
          <w:rFonts w:hint="eastAsia" w:ascii="宋体" w:hAnsi="宋体"/>
          <w:szCs w:val="21"/>
        </w:rPr>
        <w:t>蓄积量下降趋势。</w:t>
      </w:r>
      <w:r>
        <w:rPr>
          <w:rFonts w:ascii="宋体" w:hAnsi="宋体"/>
          <w:szCs w:val="21"/>
        </w:rPr>
        <w:t>1992年实现绿化达标后，林业生产向扩大经济林、生态林比例转</w:t>
      </w:r>
      <w:r>
        <w:rPr>
          <w:rFonts w:hint="eastAsia" w:ascii="宋体" w:hAnsi="宋体"/>
          <w:szCs w:val="21"/>
        </w:rPr>
        <w:t>变。</w:t>
      </w:r>
      <w:r>
        <w:rPr>
          <w:rFonts w:ascii="宋体" w:hAnsi="宋体"/>
          <w:szCs w:val="21"/>
        </w:rPr>
        <w:t>2004年，全市有林地面积145397.7公顷，占林业用地面积92.8%，森林蓄积量724.8万立方米，森林覆盖率64.2%。</w:t>
      </w:r>
    </w:p>
    <w:p w14:paraId="03A909AC">
      <w:pPr>
        <w:pStyle w:val="4"/>
        <w:rPr>
          <w:rFonts w:ascii="宋体" w:hAnsi="宋体"/>
        </w:rPr>
      </w:pPr>
      <w:r>
        <w:rPr>
          <w:rFonts w:hint="eastAsia" w:ascii="宋体" w:hAnsi="宋体"/>
        </w:rPr>
        <w:t>第一节  林区环境</w:t>
      </w:r>
    </w:p>
    <w:p w14:paraId="3FCCBD9D">
      <w:pPr>
        <w:ind w:firstLine="422"/>
        <w:rPr>
          <w:rFonts w:ascii="宋体" w:hAnsi="宋体"/>
          <w:szCs w:val="21"/>
        </w:rPr>
      </w:pPr>
      <w:r>
        <w:rPr>
          <w:rFonts w:hint="eastAsia" w:ascii="宋体" w:hAnsi="宋体"/>
          <w:b/>
          <w:szCs w:val="21"/>
        </w:rPr>
        <w:t>林区气候</w:t>
      </w:r>
      <w:r>
        <w:rPr>
          <w:rFonts w:hint="eastAsia" w:ascii="宋体" w:hAnsi="宋体"/>
          <w:szCs w:val="21"/>
        </w:rPr>
        <w:t xml:space="preserve">  南雄林地的海拔高度在</w:t>
      </w:r>
      <w:r>
        <w:rPr>
          <w:rFonts w:ascii="宋体" w:hAnsi="宋体"/>
          <w:szCs w:val="21"/>
        </w:rPr>
        <w:t>300米～1429米之间。南山林区稍低，在300</w:t>
      </w:r>
      <w:r>
        <w:rPr>
          <w:rFonts w:hint="eastAsia" w:ascii="宋体" w:hAnsi="宋体"/>
          <w:szCs w:val="21"/>
        </w:rPr>
        <w:t>米</w:t>
      </w:r>
      <w:r>
        <w:rPr>
          <w:rFonts w:ascii="宋体" w:hAnsi="宋体"/>
          <w:szCs w:val="21"/>
        </w:rPr>
        <w:t>～916米之间。300米以下则为盆地丘陵农业区，一般相对高度15米的山丘属林</w:t>
      </w:r>
      <w:r>
        <w:rPr>
          <w:rFonts w:hint="eastAsia" w:ascii="宋体" w:hAnsi="宋体"/>
          <w:szCs w:val="21"/>
        </w:rPr>
        <w:t>地。降雨量以北山林区最高。百顺雨量站（北纬</w:t>
      </w:r>
      <w:r>
        <w:rPr>
          <w:rFonts w:ascii="宋体" w:hAnsi="宋体"/>
          <w:szCs w:val="21"/>
        </w:rPr>
        <w:t>25°11</w:t>
      </w:r>
      <w:r>
        <w:rPr>
          <w:rFonts w:hint="eastAsia" w:ascii="宋体" w:hAnsi="宋体"/>
          <w:szCs w:val="21"/>
        </w:rPr>
        <w:t>’</w:t>
      </w:r>
      <w:r>
        <w:rPr>
          <w:rFonts w:ascii="宋体" w:hAnsi="宋体"/>
          <w:szCs w:val="21"/>
        </w:rPr>
        <w:t>，东经114°1</w:t>
      </w:r>
      <w:r>
        <w:rPr>
          <w:rFonts w:hint="eastAsia" w:ascii="宋体" w:hAnsi="宋体"/>
          <w:szCs w:val="21"/>
        </w:rPr>
        <w:t>’</w:t>
      </w:r>
      <w:r>
        <w:rPr>
          <w:rFonts w:ascii="宋体" w:hAnsi="宋体"/>
          <w:szCs w:val="21"/>
        </w:rPr>
        <w:t>）1955年至1979年实测年均降雨量1621.5毫米，最大年2482毫米，最小年1173.9毫米。南山</w:t>
      </w:r>
      <w:r>
        <w:rPr>
          <w:rFonts w:hint="eastAsia" w:ascii="宋体" w:hAnsi="宋体"/>
          <w:szCs w:val="21"/>
        </w:rPr>
        <w:t>林区降雨量较少，南甫雨量站（北纬</w:t>
      </w:r>
      <w:r>
        <w:rPr>
          <w:rFonts w:ascii="宋体" w:hAnsi="宋体"/>
          <w:szCs w:val="21"/>
        </w:rPr>
        <w:t>25°2</w:t>
      </w:r>
      <w:r>
        <w:rPr>
          <w:rFonts w:hint="eastAsia" w:ascii="宋体" w:hAnsi="宋体"/>
          <w:szCs w:val="21"/>
        </w:rPr>
        <w:t>’</w:t>
      </w:r>
      <w:r>
        <w:rPr>
          <w:rFonts w:ascii="宋体" w:hAnsi="宋体"/>
          <w:szCs w:val="21"/>
        </w:rPr>
        <w:t>，东经114°30</w:t>
      </w:r>
      <w:r>
        <w:rPr>
          <w:rFonts w:hint="eastAsia" w:ascii="宋体" w:hAnsi="宋体"/>
          <w:szCs w:val="21"/>
        </w:rPr>
        <w:t>’</w:t>
      </w:r>
      <w:r>
        <w:rPr>
          <w:rFonts w:ascii="宋体" w:hAnsi="宋体"/>
          <w:szCs w:val="21"/>
        </w:rPr>
        <w:t>）1958年至1979年实测年</w:t>
      </w:r>
      <w:r>
        <w:rPr>
          <w:rFonts w:hint="eastAsia" w:ascii="宋体" w:hAnsi="宋体"/>
          <w:szCs w:val="21"/>
        </w:rPr>
        <w:t>均降雨量</w:t>
      </w:r>
      <w:r>
        <w:rPr>
          <w:rFonts w:ascii="宋体" w:hAnsi="宋体"/>
          <w:szCs w:val="21"/>
        </w:rPr>
        <w:t>1273.4毫米。1988年至2000年全市日照时间年均1527.5小时，太阳辐射</w:t>
      </w:r>
      <w:r>
        <w:rPr>
          <w:rFonts w:hint="eastAsia" w:ascii="宋体" w:hAnsi="宋体"/>
          <w:szCs w:val="21"/>
        </w:rPr>
        <w:t>量年均每平方厘米1</w:t>
      </w:r>
      <w:r>
        <w:rPr>
          <w:rFonts w:ascii="宋体" w:hAnsi="宋体"/>
          <w:szCs w:val="21"/>
        </w:rPr>
        <w:t>11.</w:t>
      </w:r>
      <w:r>
        <w:rPr>
          <w:rFonts w:hint="eastAsia" w:ascii="宋体" w:hAnsi="宋体"/>
          <w:szCs w:val="21"/>
        </w:rPr>
        <w:t>66</w:t>
      </w:r>
      <w:r>
        <w:rPr>
          <w:rFonts w:ascii="宋体" w:hAnsi="宋体"/>
          <w:szCs w:val="21"/>
        </w:rPr>
        <w:t>67千卡。全年无霜期平均293天，最长334天，最短256</w:t>
      </w:r>
      <w:r>
        <w:rPr>
          <w:rFonts w:hint="eastAsia" w:ascii="宋体" w:hAnsi="宋体"/>
          <w:szCs w:val="21"/>
        </w:rPr>
        <w:t>天，相对湿度</w:t>
      </w:r>
      <w:r>
        <w:rPr>
          <w:rFonts w:ascii="宋体" w:hAnsi="宋体"/>
          <w:szCs w:val="21"/>
        </w:rPr>
        <w:t>70%以上。</w:t>
      </w:r>
    </w:p>
    <w:p w14:paraId="506773E1">
      <w:pPr>
        <w:ind w:firstLine="422"/>
        <w:rPr>
          <w:rFonts w:ascii="宋体" w:hAnsi="宋体"/>
          <w:szCs w:val="21"/>
        </w:rPr>
      </w:pPr>
      <w:r>
        <w:rPr>
          <w:rFonts w:hint="eastAsia" w:ascii="宋体" w:hAnsi="宋体"/>
          <w:b/>
          <w:szCs w:val="21"/>
        </w:rPr>
        <w:t>林地土壤</w:t>
      </w:r>
      <w:r>
        <w:rPr>
          <w:rFonts w:hint="eastAsia" w:ascii="宋体" w:hAnsi="宋体"/>
          <w:szCs w:val="21"/>
        </w:rPr>
        <w:t xml:space="preserve">  林地土壤多为花岗岩、砂岩、页岩风化而成的红壤和黄壤，呈酸性反应的占</w:t>
      </w:r>
      <w:r>
        <w:rPr>
          <w:rFonts w:ascii="宋体" w:hAnsi="宋体"/>
          <w:szCs w:val="21"/>
        </w:rPr>
        <w:t>94.6%，pH值在4.5～5.5之间，呈现中性至碱性反应的占5.4%。黄壤主要</w:t>
      </w:r>
      <w:r>
        <w:rPr>
          <w:rFonts w:hint="eastAsia" w:ascii="宋体" w:hAnsi="宋体"/>
          <w:szCs w:val="21"/>
        </w:rPr>
        <w:t>分布于海拔</w:t>
      </w:r>
      <w:r>
        <w:rPr>
          <w:rFonts w:ascii="宋体" w:hAnsi="宋体"/>
          <w:szCs w:val="21"/>
        </w:rPr>
        <w:t>700米以上的高山，面积28146.67公顷，占林业用地的18.1%。红壤分</w:t>
      </w:r>
      <w:r>
        <w:rPr>
          <w:rFonts w:hint="eastAsia" w:ascii="宋体" w:hAnsi="宋体"/>
          <w:szCs w:val="21"/>
        </w:rPr>
        <w:t>布于海拔</w:t>
      </w:r>
      <w:r>
        <w:rPr>
          <w:rFonts w:ascii="宋体" w:hAnsi="宋体"/>
          <w:szCs w:val="21"/>
        </w:rPr>
        <w:t>300米～700米的低山，面积123326.67公顷，占林业用地面积的79.3%</w:t>
      </w:r>
      <w:r>
        <w:rPr>
          <w:rFonts w:hint="eastAsia" w:ascii="宋体" w:hAnsi="宋体"/>
          <w:szCs w:val="21"/>
        </w:rPr>
        <w:t>。其他土壤分布于海拔</w:t>
      </w:r>
      <w:r>
        <w:rPr>
          <w:rFonts w:ascii="宋体" w:hAnsi="宋体"/>
          <w:szCs w:val="21"/>
        </w:rPr>
        <w:t>300米以下的丘陵盆地，面积4046.67公顷，占林业用地面积的2.6%。在林业用地中，土层深度40厘米以上的占76.4%，海拔愈高，则土层愈薄</w:t>
      </w:r>
      <w:r>
        <w:rPr>
          <w:rFonts w:hint="eastAsia" w:ascii="宋体" w:hAnsi="宋体"/>
          <w:szCs w:val="21"/>
        </w:rPr>
        <w:t>。土壤偏沙的面积占</w:t>
      </w:r>
      <w:r>
        <w:rPr>
          <w:rFonts w:ascii="宋体" w:hAnsi="宋体"/>
          <w:szCs w:val="21"/>
        </w:rPr>
        <w:t>83.4%。土壤的有机质、全氮、速效钾含量中等偏低，速效磷缺</w:t>
      </w:r>
      <w:r>
        <w:rPr>
          <w:rFonts w:hint="eastAsia" w:ascii="宋体" w:hAnsi="宋体"/>
          <w:szCs w:val="21"/>
        </w:rPr>
        <w:t>乏。</w:t>
      </w:r>
    </w:p>
    <w:p w14:paraId="3FF2A412">
      <w:pPr>
        <w:ind w:firstLine="422"/>
        <w:rPr>
          <w:rFonts w:ascii="宋体" w:hAnsi="宋体"/>
          <w:szCs w:val="21"/>
        </w:rPr>
      </w:pPr>
      <w:r>
        <w:rPr>
          <w:rFonts w:hint="eastAsia" w:ascii="宋体" w:hAnsi="宋体"/>
          <w:b/>
          <w:szCs w:val="21"/>
        </w:rPr>
        <w:t>林地植被</w:t>
      </w:r>
      <w:r>
        <w:rPr>
          <w:rFonts w:hint="eastAsia" w:ascii="宋体" w:hAnsi="宋体"/>
          <w:szCs w:val="21"/>
        </w:rPr>
        <w:t xml:space="preserve">  原始植被为亚热带常绿阔叶林，历经山火和砍伐之后，除少数林区仍保留杂、竹、松、杉为主要树种组成的混交林植被外，近村庄河流的山岭，多为马尾松、老杉头萌芽条、芒箕、桃金娘等。在海拔千米以上的高山，植被以杜鹃、硬骨草、芒箕为主的群丛，没有乔木。在千米以下的低山、高丘、中丘地方和山谷阳坡部位，主要植被是芒箕、小芒、继木、枫木、松木组成的群落；在阴坡部位，主要植被以芒箕、大芒、乌毛蕨、杉、松组成的群落。在山谷和溪沟两旁，主要是地稔、芒箕、金刚藤、罗伞与杂木组成的群落。低丘紫色土坡地主要植被为白茅、鹧鸪草、画眉草与夹竹桃、相思、松组成的群落。</w:t>
      </w:r>
    </w:p>
    <w:p w14:paraId="258BCCC9">
      <w:pPr>
        <w:ind w:firstLine="422"/>
        <w:rPr>
          <w:rFonts w:ascii="宋体" w:hAnsi="宋体"/>
          <w:szCs w:val="21"/>
        </w:rPr>
      </w:pPr>
      <w:r>
        <w:rPr>
          <w:rFonts w:hint="eastAsia" w:ascii="宋体" w:hAnsi="宋体"/>
          <w:b/>
          <w:szCs w:val="21"/>
        </w:rPr>
        <w:t>林区交通</w:t>
      </w:r>
      <w:r>
        <w:rPr>
          <w:rFonts w:hint="eastAsia" w:ascii="宋体" w:hAnsi="宋体"/>
          <w:szCs w:val="21"/>
        </w:rPr>
        <w:t xml:space="preserve">  </w:t>
      </w:r>
      <w:r>
        <w:rPr>
          <w:rFonts w:ascii="宋体" w:hAnsi="宋体"/>
          <w:szCs w:val="21"/>
        </w:rPr>
        <w:t>1955年以前，林区没有公路。自1956年县政府开辟雄百公路，至1958年12月，帽子峰、澜河、百顺、坪田4个林区公社驻地始通汽车。此后，通往</w:t>
      </w:r>
      <w:r>
        <w:rPr>
          <w:rFonts w:hint="eastAsia" w:ascii="宋体" w:hAnsi="宋体"/>
          <w:szCs w:val="21"/>
        </w:rPr>
        <w:t>木、竹产地的公路，由经营木材和毛竹的林业森工区、供销社负责开辟。至</w:t>
      </w:r>
      <w:r>
        <w:rPr>
          <w:rFonts w:ascii="宋体" w:hAnsi="宋体"/>
          <w:szCs w:val="21"/>
        </w:rPr>
        <w:t>1987年</w:t>
      </w:r>
      <w:r>
        <w:rPr>
          <w:rFonts w:hint="eastAsia" w:ascii="宋体" w:hAnsi="宋体"/>
          <w:szCs w:val="21"/>
        </w:rPr>
        <w:t>，全县共开辟林区公路</w:t>
      </w:r>
      <w:r>
        <w:rPr>
          <w:rFonts w:ascii="宋体" w:hAnsi="宋体"/>
          <w:szCs w:val="21"/>
        </w:rPr>
        <w:t>241.2公里，投资430.5万元</w:t>
      </w:r>
      <w:r>
        <w:rPr>
          <w:rFonts w:hint="eastAsia" w:ascii="宋体" w:hAnsi="宋体"/>
          <w:szCs w:val="21"/>
        </w:rPr>
        <w:t>。</w:t>
      </w:r>
    </w:p>
    <w:p w14:paraId="44CF453F">
      <w:pPr>
        <w:ind w:firstLine="420"/>
        <w:rPr>
          <w:rFonts w:ascii="宋体" w:hAnsi="宋体"/>
          <w:szCs w:val="21"/>
        </w:rPr>
      </w:pPr>
      <w:r>
        <w:rPr>
          <w:rFonts w:hint="eastAsia" w:ascii="宋体" w:hAnsi="宋体"/>
          <w:szCs w:val="21"/>
        </w:rPr>
        <w:t>随着改革开放形势的发展，政府加大了地方公路建设力度，许多林区公路划归地方公路局管辖，发展成为地方公路或乡村公路。全市</w:t>
      </w:r>
      <w:r>
        <w:rPr>
          <w:rFonts w:ascii="宋体" w:hAnsi="宋体"/>
          <w:szCs w:val="21"/>
        </w:rPr>
        <w:t>221个行政村，2000年实现了</w:t>
      </w:r>
      <w:r>
        <w:rPr>
          <w:rFonts w:hint="eastAsia" w:ascii="宋体" w:hAnsi="宋体"/>
          <w:szCs w:val="21"/>
        </w:rPr>
        <w:t>村村通汽车。林产品运输更为方便了。至</w:t>
      </w:r>
      <w:r>
        <w:rPr>
          <w:rFonts w:ascii="宋体" w:hAnsi="宋体"/>
          <w:szCs w:val="21"/>
        </w:rPr>
        <w:t>2004年，林区公路站管辖公路剩下155公</w:t>
      </w:r>
      <w:r>
        <w:rPr>
          <w:rFonts w:hint="eastAsia" w:ascii="宋体" w:hAnsi="宋体"/>
          <w:szCs w:val="21"/>
        </w:rPr>
        <w:t>里（其中山门林场</w:t>
      </w:r>
      <w:r>
        <w:rPr>
          <w:rFonts w:ascii="宋体" w:hAnsi="宋体"/>
          <w:szCs w:val="21"/>
        </w:rPr>
        <w:t>38公里、泷头林场15公里、帽子峰林场17公里），并早于1991</w:t>
      </w:r>
      <w:r>
        <w:rPr>
          <w:rFonts w:hint="eastAsia" w:ascii="宋体" w:hAnsi="宋体"/>
          <w:szCs w:val="21"/>
        </w:rPr>
        <w:t>年办了林区公路路产登记。林区公路专责养护的道班有洞头、鱼生坑、大步前、山门、大段、水口、泷头</w:t>
      </w:r>
      <w:r>
        <w:rPr>
          <w:rFonts w:ascii="宋体" w:hAnsi="宋体"/>
          <w:szCs w:val="21"/>
        </w:rPr>
        <w:t>7个道班，员工34人，其中管理员4人，技术员4人。水口</w:t>
      </w:r>
      <w:r>
        <w:rPr>
          <w:rFonts w:hint="eastAsia" w:ascii="宋体" w:hAnsi="宋体"/>
          <w:szCs w:val="21"/>
        </w:rPr>
        <w:t>道班</w:t>
      </w:r>
      <w:r>
        <w:rPr>
          <w:rFonts w:ascii="宋体" w:hAnsi="宋体"/>
          <w:szCs w:val="21"/>
        </w:rPr>
        <w:t>1996年至2004年连续9年被广东省公路局评为</w:t>
      </w:r>
      <w:r>
        <w:rPr>
          <w:rFonts w:hint="eastAsia" w:ascii="宋体" w:hAnsi="宋体"/>
          <w:szCs w:val="21"/>
        </w:rPr>
        <w:t>“</w:t>
      </w:r>
      <w:r>
        <w:rPr>
          <w:rFonts w:ascii="宋体" w:hAnsi="宋体"/>
          <w:szCs w:val="21"/>
        </w:rPr>
        <w:t>双文明</w:t>
      </w:r>
      <w:r>
        <w:rPr>
          <w:rFonts w:hint="eastAsia" w:ascii="宋体" w:hAnsi="宋体"/>
          <w:szCs w:val="21"/>
        </w:rPr>
        <w:t>”</w:t>
      </w:r>
      <w:r>
        <w:rPr>
          <w:rFonts w:ascii="宋体" w:hAnsi="宋体"/>
          <w:szCs w:val="21"/>
        </w:rPr>
        <w:t>道班</w:t>
      </w:r>
      <w:r>
        <w:rPr>
          <w:rFonts w:hint="eastAsia" w:ascii="宋体" w:hAnsi="宋体"/>
          <w:szCs w:val="21"/>
        </w:rPr>
        <w:t>。</w:t>
      </w:r>
    </w:p>
    <w:p w14:paraId="51521014">
      <w:pPr>
        <w:ind w:firstLine="422"/>
        <w:rPr>
          <w:rFonts w:ascii="宋体" w:hAnsi="宋体"/>
          <w:szCs w:val="21"/>
        </w:rPr>
      </w:pPr>
      <w:r>
        <w:rPr>
          <w:rFonts w:hint="eastAsia" w:ascii="宋体" w:hAnsi="宋体"/>
          <w:b/>
          <w:szCs w:val="21"/>
        </w:rPr>
        <w:t>林区经济</w:t>
      </w:r>
      <w:r>
        <w:rPr>
          <w:rFonts w:hint="eastAsia" w:ascii="宋体" w:hAnsi="宋体"/>
          <w:szCs w:val="21"/>
        </w:rPr>
        <w:t xml:space="preserve">  </w:t>
      </w:r>
      <w:r>
        <w:rPr>
          <w:rFonts w:ascii="宋体" w:hAnsi="宋体"/>
          <w:szCs w:val="21"/>
        </w:rPr>
        <w:t>2004年，北山林区农业人口59886人，林业用地面积65893.8公顷</w:t>
      </w:r>
      <w:r>
        <w:rPr>
          <w:rFonts w:hint="eastAsia" w:ascii="宋体" w:hAnsi="宋体"/>
          <w:szCs w:val="21"/>
        </w:rPr>
        <w:t>，占全市林业用地面积的</w:t>
      </w:r>
      <w:r>
        <w:rPr>
          <w:rFonts w:ascii="宋体" w:hAnsi="宋体"/>
          <w:szCs w:val="21"/>
        </w:rPr>
        <w:t>42.4%，人均林地面积1.10公顷；活立木蓄积量266.47万立</w:t>
      </w:r>
      <w:r>
        <w:rPr>
          <w:rFonts w:hint="eastAsia" w:ascii="宋体" w:hAnsi="宋体"/>
          <w:szCs w:val="21"/>
        </w:rPr>
        <w:t>方米，平均每公顷</w:t>
      </w:r>
      <w:r>
        <w:rPr>
          <w:rFonts w:ascii="宋体" w:hAnsi="宋体"/>
          <w:szCs w:val="21"/>
        </w:rPr>
        <w:t>40.44立方米；人均生产稻谷616.2公斤，花生45.9公斤。南山</w:t>
      </w:r>
      <w:r>
        <w:rPr>
          <w:rFonts w:hint="eastAsia" w:ascii="宋体" w:hAnsi="宋体"/>
          <w:szCs w:val="21"/>
        </w:rPr>
        <w:t>林区农业人口</w:t>
      </w:r>
      <w:r>
        <w:rPr>
          <w:rFonts w:ascii="宋体" w:hAnsi="宋体"/>
          <w:szCs w:val="21"/>
        </w:rPr>
        <w:t>48109人，林业用地面积41069.5公顷，占全市林业用地面积26.4%，</w:t>
      </w:r>
      <w:r>
        <w:rPr>
          <w:rFonts w:hint="eastAsia" w:ascii="宋体" w:hAnsi="宋体"/>
          <w:szCs w:val="21"/>
        </w:rPr>
        <w:t>人均林地面积</w:t>
      </w:r>
      <w:r>
        <w:rPr>
          <w:rFonts w:ascii="宋体" w:hAnsi="宋体"/>
          <w:szCs w:val="21"/>
        </w:rPr>
        <w:t>0.85公顷；活立木蓄积量191.5万立方米，平均每公顷46.63立方米；</w:t>
      </w:r>
      <w:r>
        <w:rPr>
          <w:rFonts w:hint="eastAsia" w:ascii="宋体" w:hAnsi="宋体"/>
          <w:szCs w:val="21"/>
        </w:rPr>
        <w:t>人均生产稻谷</w:t>
      </w:r>
      <w:r>
        <w:rPr>
          <w:rFonts w:ascii="宋体" w:hAnsi="宋体"/>
          <w:szCs w:val="21"/>
        </w:rPr>
        <w:t>699.9公斤，花生55.5公斤。2004年农民人均收入：全市为3174元，</w:t>
      </w:r>
      <w:r>
        <w:rPr>
          <w:rFonts w:hint="eastAsia" w:ascii="宋体" w:hAnsi="宋体"/>
          <w:szCs w:val="21"/>
        </w:rPr>
        <w:t>北山林区</w:t>
      </w:r>
      <w:r>
        <w:rPr>
          <w:rFonts w:ascii="宋体" w:hAnsi="宋体"/>
          <w:szCs w:val="21"/>
        </w:rPr>
        <w:t>7个镇为2944元，最低2374元，最高3195元；南山林区4个镇为3112元，</w:t>
      </w:r>
      <w:r>
        <w:rPr>
          <w:rFonts w:hint="eastAsia" w:ascii="宋体" w:hAnsi="宋体"/>
          <w:szCs w:val="21"/>
        </w:rPr>
        <w:t>最低</w:t>
      </w:r>
      <w:r>
        <w:rPr>
          <w:rFonts w:ascii="宋体" w:hAnsi="宋体"/>
          <w:szCs w:val="21"/>
        </w:rPr>
        <w:t>2975元，最高3365元。</w:t>
      </w:r>
    </w:p>
    <w:p w14:paraId="559A1D4E">
      <w:pPr>
        <w:pStyle w:val="4"/>
        <w:rPr>
          <w:rFonts w:ascii="宋体" w:hAnsi="宋体"/>
        </w:rPr>
      </w:pPr>
      <w:r>
        <w:rPr>
          <w:rFonts w:hint="eastAsia" w:ascii="宋体" w:hAnsi="宋体"/>
        </w:rPr>
        <w:t>第二节  资源调查</w:t>
      </w:r>
    </w:p>
    <w:p w14:paraId="262267F2">
      <w:pPr>
        <w:ind w:firstLine="420"/>
        <w:rPr>
          <w:rFonts w:ascii="宋体" w:hAnsi="宋体"/>
          <w:szCs w:val="21"/>
        </w:rPr>
      </w:pPr>
      <w:r>
        <w:rPr>
          <w:rFonts w:ascii="宋体" w:hAnsi="宋体"/>
          <w:szCs w:val="21"/>
        </w:rPr>
        <w:t>1957年，广东省林业勘查队对南雄全境166126.66公顷林业用地面积进行了勘</w:t>
      </w:r>
      <w:r>
        <w:rPr>
          <w:rFonts w:hint="eastAsia" w:ascii="宋体" w:hAnsi="宋体"/>
          <w:szCs w:val="21"/>
        </w:rPr>
        <w:t>查，其中有林地</w:t>
      </w:r>
      <w:r>
        <w:rPr>
          <w:rFonts w:ascii="宋体" w:hAnsi="宋体"/>
          <w:szCs w:val="21"/>
        </w:rPr>
        <w:t>112566.67公顷，占林业用地74.3%，疏林地10126.67公顷，宜林</w:t>
      </w:r>
      <w:r>
        <w:rPr>
          <w:rFonts w:hint="eastAsia" w:ascii="宋体" w:hAnsi="宋体"/>
          <w:szCs w:val="21"/>
        </w:rPr>
        <w:t>荒山</w:t>
      </w:r>
      <w:r>
        <w:rPr>
          <w:rFonts w:ascii="宋体" w:hAnsi="宋体"/>
          <w:szCs w:val="21"/>
        </w:rPr>
        <w:t>20593.33公顷。林木总蓄积886.06万立方米，毛竹16408.14万株。除去划给</w:t>
      </w:r>
      <w:r>
        <w:rPr>
          <w:rFonts w:hint="eastAsia" w:ascii="宋体" w:hAnsi="宋体"/>
          <w:szCs w:val="21"/>
        </w:rPr>
        <w:t>始兴、仁化的武岗、侯陂、闻韶、凌溪四个乡有林地</w:t>
      </w:r>
      <w:r>
        <w:rPr>
          <w:rFonts w:ascii="宋体" w:hAnsi="宋体"/>
          <w:szCs w:val="21"/>
        </w:rPr>
        <w:t>30260公顷，蓄积量140.6万立</w:t>
      </w:r>
      <w:r>
        <w:rPr>
          <w:rFonts w:hint="eastAsia" w:ascii="宋体" w:hAnsi="宋体"/>
          <w:szCs w:val="21"/>
        </w:rPr>
        <w:t>方米外，南雄实有林地面积</w:t>
      </w:r>
      <w:r>
        <w:rPr>
          <w:rFonts w:ascii="宋体" w:hAnsi="宋体"/>
          <w:szCs w:val="21"/>
        </w:rPr>
        <w:t>95186.67公顷，活立木蓄积量745.46万立方米，毛竹12547.4万株。每亩平均活立木蓄积量4.31立方米、毛竹72.6株。（1957年《广东</w:t>
      </w:r>
      <w:r>
        <w:rPr>
          <w:rFonts w:hint="eastAsia" w:ascii="宋体" w:hAnsi="宋体"/>
          <w:szCs w:val="21"/>
        </w:rPr>
        <w:t>省林业资源汇编》则载南雄县活立木蓄积量为</w:t>
      </w:r>
      <w:r>
        <w:rPr>
          <w:rFonts w:ascii="宋体" w:hAnsi="宋体"/>
          <w:szCs w:val="21"/>
        </w:rPr>
        <w:t>573.66万立方米。）</w:t>
      </w:r>
    </w:p>
    <w:p w14:paraId="2179DE6E">
      <w:pPr>
        <w:ind w:firstLine="420"/>
        <w:rPr>
          <w:rFonts w:ascii="宋体" w:hAnsi="宋体"/>
          <w:szCs w:val="21"/>
        </w:rPr>
      </w:pPr>
      <w:r>
        <w:rPr>
          <w:rFonts w:ascii="宋体" w:hAnsi="宋体"/>
          <w:szCs w:val="21"/>
        </w:rPr>
        <w:t>1971年，由广东省林业勘察设计院与华南师范学院进行调查，结果是：全县林</w:t>
      </w:r>
      <w:r>
        <w:rPr>
          <w:rFonts w:hint="eastAsia" w:ascii="宋体" w:hAnsi="宋体"/>
          <w:szCs w:val="21"/>
        </w:rPr>
        <w:t>业用地</w:t>
      </w:r>
      <w:r>
        <w:rPr>
          <w:rFonts w:ascii="宋体" w:hAnsi="宋体"/>
          <w:szCs w:val="21"/>
        </w:rPr>
        <w:t>171953.33公顷，非林地62506.67公顷。林业用地中，有林地121813.33公</w:t>
      </w:r>
      <w:r>
        <w:rPr>
          <w:rFonts w:hint="eastAsia" w:ascii="宋体" w:hAnsi="宋体"/>
          <w:szCs w:val="21"/>
        </w:rPr>
        <w:t>顷，占</w:t>
      </w:r>
      <w:r>
        <w:rPr>
          <w:rFonts w:ascii="宋体" w:hAnsi="宋体"/>
          <w:szCs w:val="21"/>
        </w:rPr>
        <w:t>70.8%，其中成林54900公顷，幼林32613.</w:t>
      </w:r>
      <w:r>
        <w:rPr>
          <w:rFonts w:hint="eastAsia" w:ascii="宋体" w:hAnsi="宋体"/>
          <w:szCs w:val="21"/>
        </w:rPr>
        <w:t>3</w:t>
      </w:r>
      <w:r>
        <w:rPr>
          <w:rFonts w:ascii="宋体" w:hAnsi="宋体"/>
          <w:szCs w:val="21"/>
        </w:rPr>
        <w:t>3公顷，毛竹19160公顷，油茶1333.33公顷，其他经济林11公顷，水保林13553.</w:t>
      </w:r>
      <w:r>
        <w:rPr>
          <w:rFonts w:hint="eastAsia" w:ascii="宋体" w:hAnsi="宋体"/>
          <w:szCs w:val="21"/>
        </w:rPr>
        <w:t>3</w:t>
      </w:r>
      <w:r>
        <w:rPr>
          <w:rFonts w:ascii="宋体" w:hAnsi="宋体"/>
          <w:szCs w:val="21"/>
        </w:rPr>
        <w:t>3公顷，疏林地240公顷。活立</w:t>
      </w:r>
      <w:r>
        <w:rPr>
          <w:rFonts w:hint="eastAsia" w:ascii="宋体" w:hAnsi="宋体"/>
          <w:szCs w:val="21"/>
        </w:rPr>
        <w:t>木蓄积量</w:t>
      </w:r>
      <w:r>
        <w:rPr>
          <w:rFonts w:ascii="宋体" w:hAnsi="宋体"/>
          <w:szCs w:val="21"/>
        </w:rPr>
        <w:t>288</w:t>
      </w:r>
      <w:r>
        <w:rPr>
          <w:rFonts w:hint="eastAsia" w:ascii="宋体" w:hAnsi="宋体"/>
          <w:szCs w:val="21"/>
        </w:rPr>
        <w:t>.</w:t>
      </w:r>
      <w:r>
        <w:rPr>
          <w:rFonts w:ascii="宋体" w:hAnsi="宋体"/>
          <w:szCs w:val="21"/>
        </w:rPr>
        <w:t>51万立方米～323.67万立方米，毛竹2</w:t>
      </w:r>
      <w:r>
        <w:rPr>
          <w:rFonts w:hint="eastAsia" w:ascii="宋体" w:hAnsi="宋体"/>
          <w:szCs w:val="21"/>
        </w:rPr>
        <w:t>5</w:t>
      </w:r>
      <w:r>
        <w:rPr>
          <w:rFonts w:ascii="宋体" w:hAnsi="宋体"/>
          <w:szCs w:val="21"/>
        </w:rPr>
        <w:t>58万株。每亩平均活立木蓄积</w:t>
      </w:r>
      <w:r>
        <w:rPr>
          <w:rFonts w:hint="eastAsia" w:ascii="宋体" w:hAnsi="宋体"/>
          <w:szCs w:val="21"/>
        </w:rPr>
        <w:t>量</w:t>
      </w:r>
      <w:r>
        <w:rPr>
          <w:rFonts w:ascii="宋体" w:hAnsi="宋体"/>
          <w:szCs w:val="21"/>
        </w:rPr>
        <w:t>1.12立方米～1.25立方米，毛竹9.92株。</w:t>
      </w:r>
    </w:p>
    <w:p w14:paraId="0A1C3D7E">
      <w:pPr>
        <w:ind w:firstLine="420"/>
        <w:rPr>
          <w:rFonts w:ascii="宋体" w:hAnsi="宋体"/>
          <w:szCs w:val="21"/>
        </w:rPr>
      </w:pPr>
      <w:r>
        <w:rPr>
          <w:rFonts w:ascii="宋体" w:hAnsi="宋体"/>
          <w:szCs w:val="21"/>
        </w:rPr>
        <w:t>1984年进行二类调查。按省、市林业部门统一安排，由省林业勘察设计院和市</w:t>
      </w:r>
      <w:r>
        <w:rPr>
          <w:rFonts w:hint="eastAsia" w:ascii="宋体" w:hAnsi="宋体"/>
          <w:szCs w:val="21"/>
        </w:rPr>
        <w:t>、县科技人员、广州林校毕业生共</w:t>
      </w:r>
      <w:r>
        <w:rPr>
          <w:rFonts w:ascii="宋体" w:hAnsi="宋体"/>
          <w:szCs w:val="21"/>
        </w:rPr>
        <w:t>103人，野外作业6个月，抽样调</w:t>
      </w:r>
      <w:r>
        <w:rPr>
          <w:rFonts w:hint="eastAsia" w:ascii="宋体" w:hAnsi="宋体"/>
          <w:szCs w:val="21"/>
        </w:rPr>
        <w:t>查</w:t>
      </w:r>
      <w:r>
        <w:rPr>
          <w:rFonts w:ascii="宋体" w:hAnsi="宋体"/>
          <w:szCs w:val="21"/>
        </w:rPr>
        <w:t>了290个样群，2320个样点，593个林班，10907个小班。调查结果是：全县总面积232113.</w:t>
      </w:r>
      <w:r>
        <w:rPr>
          <w:rFonts w:hint="eastAsia" w:ascii="宋体" w:hAnsi="宋体"/>
          <w:szCs w:val="21"/>
        </w:rPr>
        <w:t>3</w:t>
      </w:r>
      <w:r>
        <w:rPr>
          <w:rFonts w:ascii="宋体" w:hAnsi="宋体"/>
          <w:szCs w:val="21"/>
        </w:rPr>
        <w:t>3公顷，</w:t>
      </w:r>
      <w:r>
        <w:rPr>
          <w:rFonts w:hint="eastAsia" w:ascii="宋体" w:hAnsi="宋体"/>
          <w:szCs w:val="21"/>
        </w:rPr>
        <w:t>林业用地面积</w:t>
      </w:r>
      <w:r>
        <w:rPr>
          <w:rFonts w:ascii="宋体" w:hAnsi="宋体"/>
          <w:szCs w:val="21"/>
        </w:rPr>
        <w:t>150746.67公顷，占总面积64.95%；非林业用地面积81366.67公顷，</w:t>
      </w:r>
      <w:r>
        <w:rPr>
          <w:rFonts w:hint="eastAsia" w:ascii="宋体" w:hAnsi="宋体"/>
          <w:szCs w:val="21"/>
        </w:rPr>
        <w:t>占总面积</w:t>
      </w:r>
      <w:r>
        <w:rPr>
          <w:rFonts w:ascii="宋体" w:hAnsi="宋体"/>
          <w:szCs w:val="21"/>
        </w:rPr>
        <w:t>35.05%。林业用地中，有林地119046.67公顷，占51.29%；疏林地4086.67公顷，占1.76%；灌木林地1213.</w:t>
      </w:r>
      <w:r>
        <w:rPr>
          <w:rFonts w:hint="eastAsia" w:ascii="宋体" w:hAnsi="宋体"/>
          <w:szCs w:val="21"/>
        </w:rPr>
        <w:t>3</w:t>
      </w:r>
      <w:r>
        <w:rPr>
          <w:rFonts w:ascii="宋体" w:hAnsi="宋体"/>
          <w:szCs w:val="21"/>
        </w:rPr>
        <w:t>3公顷，占0.52%；新造林地3826.67公</w:t>
      </w:r>
      <w:r>
        <w:rPr>
          <w:rFonts w:hint="eastAsia" w:ascii="宋体" w:hAnsi="宋体"/>
          <w:szCs w:val="21"/>
        </w:rPr>
        <w:t>顷，占</w:t>
      </w:r>
      <w:r>
        <w:rPr>
          <w:rFonts w:ascii="宋体" w:hAnsi="宋体"/>
          <w:szCs w:val="21"/>
        </w:rPr>
        <w:t>1.65%；无林地22</w:t>
      </w:r>
      <w:r>
        <w:rPr>
          <w:rFonts w:hint="eastAsia" w:ascii="宋体" w:hAnsi="宋体"/>
          <w:szCs w:val="21"/>
        </w:rPr>
        <w:t>5</w:t>
      </w:r>
      <w:r>
        <w:rPr>
          <w:rFonts w:ascii="宋体" w:hAnsi="宋体"/>
          <w:szCs w:val="21"/>
        </w:rPr>
        <w:t>53.33公顷，占9</w:t>
      </w:r>
      <w:r>
        <w:rPr>
          <w:rFonts w:hint="eastAsia" w:ascii="宋体" w:hAnsi="宋体"/>
          <w:szCs w:val="21"/>
        </w:rPr>
        <w:t>.</w:t>
      </w:r>
      <w:r>
        <w:rPr>
          <w:rFonts w:ascii="宋体" w:hAnsi="宋体"/>
          <w:szCs w:val="21"/>
        </w:rPr>
        <w:t>72%。活立木蓄积量305.15万立方米。</w:t>
      </w:r>
      <w:r>
        <w:rPr>
          <w:rFonts w:hint="eastAsia" w:ascii="宋体" w:hAnsi="宋体"/>
          <w:szCs w:val="21"/>
        </w:rPr>
        <w:t>森林覆盖率</w:t>
      </w:r>
      <w:r>
        <w:rPr>
          <w:rFonts w:ascii="宋体" w:hAnsi="宋体"/>
          <w:szCs w:val="21"/>
        </w:rPr>
        <w:t>51.3%。杉林13846.67公顷，松林51460公顷，阔叶林8466.67公顷，</w:t>
      </w:r>
      <w:r>
        <w:rPr>
          <w:rFonts w:hint="eastAsia" w:ascii="宋体" w:hAnsi="宋体"/>
          <w:szCs w:val="21"/>
        </w:rPr>
        <w:t>混交林</w:t>
      </w:r>
      <w:r>
        <w:rPr>
          <w:rFonts w:ascii="宋体" w:hAnsi="宋体"/>
          <w:szCs w:val="21"/>
        </w:rPr>
        <w:t>21</w:t>
      </w:r>
      <w:r>
        <w:rPr>
          <w:rFonts w:hint="eastAsia" w:ascii="宋体" w:hAnsi="宋体"/>
          <w:szCs w:val="21"/>
        </w:rPr>
        <w:t>6</w:t>
      </w:r>
      <w:r>
        <w:rPr>
          <w:rFonts w:ascii="宋体" w:hAnsi="宋体"/>
          <w:szCs w:val="21"/>
        </w:rPr>
        <w:t>66.67公顷，竹林18713.33公顷，经济林1826.67公顷</w:t>
      </w:r>
      <w:r>
        <w:rPr>
          <w:rFonts w:hint="eastAsia" w:ascii="宋体" w:hAnsi="宋体"/>
          <w:szCs w:val="21"/>
        </w:rPr>
        <w:t>。</w:t>
      </w:r>
    </w:p>
    <w:p w14:paraId="57E0C680">
      <w:pPr>
        <w:ind w:firstLine="420"/>
        <w:rPr>
          <w:rFonts w:ascii="宋体" w:hAnsi="宋体"/>
          <w:szCs w:val="21"/>
        </w:rPr>
      </w:pPr>
      <w:r>
        <w:rPr>
          <w:rFonts w:ascii="宋体" w:hAnsi="宋体"/>
          <w:szCs w:val="21"/>
        </w:rPr>
        <w:t>1987年第四季度，县林业局组织县、乡镇林业资源档案管理人员，按全省统</w:t>
      </w:r>
      <w:r>
        <w:rPr>
          <w:rFonts w:hint="eastAsia" w:ascii="宋体" w:hAnsi="宋体"/>
          <w:szCs w:val="21"/>
        </w:rPr>
        <w:t>一的调查方法，对</w:t>
      </w:r>
      <w:r>
        <w:rPr>
          <w:rFonts w:ascii="宋体" w:hAnsi="宋体"/>
          <w:szCs w:val="21"/>
        </w:rPr>
        <w:t>1984年普查数据进行复查、核算，作为该年度的林业资源数据。结</w:t>
      </w:r>
      <w:r>
        <w:rPr>
          <w:rFonts w:hint="eastAsia" w:ascii="宋体" w:hAnsi="宋体"/>
          <w:szCs w:val="21"/>
        </w:rPr>
        <w:t>果是：有林地</w:t>
      </w:r>
      <w:r>
        <w:rPr>
          <w:rFonts w:ascii="宋体" w:hAnsi="宋体"/>
          <w:szCs w:val="21"/>
        </w:rPr>
        <w:t>128566.67公顷，占林业用地150760公顷的85.28%，疏林地面积3646.67公顷，灌木林面积1346.67公顷，新造林地11260公顷，无林地面积5946.67公顷。活立木蓄积量314.03万立方米。</w:t>
      </w:r>
    </w:p>
    <w:p w14:paraId="59E6E779">
      <w:pPr>
        <w:ind w:firstLine="420"/>
        <w:rPr>
          <w:rFonts w:ascii="宋体" w:hAnsi="宋体"/>
          <w:szCs w:val="21"/>
        </w:rPr>
      </w:pPr>
      <w:r>
        <w:rPr>
          <w:rFonts w:ascii="宋体" w:hAnsi="宋体"/>
          <w:szCs w:val="21"/>
        </w:rPr>
        <w:t>1993年，按国家林业局、省林业厅统一布置的十年一次的二类调查，于1993年8月至1994年1月，组织了103人，进行野外调查，结果是：全县总面积232818公</w:t>
      </w:r>
      <w:r>
        <w:rPr>
          <w:rFonts w:hint="eastAsia" w:ascii="宋体" w:hAnsi="宋体"/>
          <w:szCs w:val="21"/>
        </w:rPr>
        <w:t>顷，林业用地面积</w:t>
      </w:r>
      <w:r>
        <w:rPr>
          <w:rFonts w:ascii="宋体" w:hAnsi="宋体"/>
          <w:szCs w:val="21"/>
        </w:rPr>
        <w:t>155451公顷，占总面积66.77%。有林地面积141089公顷，比1984年增加18.5%。活力木蓄积量433</w:t>
      </w:r>
      <w:r>
        <w:rPr>
          <w:rFonts w:hint="eastAsia" w:ascii="宋体" w:hAnsi="宋体"/>
          <w:szCs w:val="21"/>
        </w:rPr>
        <w:t>3</w:t>
      </w:r>
      <w:r>
        <w:rPr>
          <w:rFonts w:ascii="宋体" w:hAnsi="宋体"/>
          <w:szCs w:val="21"/>
        </w:rPr>
        <w:t>9</w:t>
      </w:r>
      <w:r>
        <w:rPr>
          <w:rFonts w:hint="eastAsia" w:ascii="宋体" w:hAnsi="宋体"/>
          <w:szCs w:val="21"/>
        </w:rPr>
        <w:t>96</w:t>
      </w:r>
      <w:r>
        <w:rPr>
          <w:rFonts w:ascii="宋体" w:hAnsi="宋体"/>
          <w:szCs w:val="21"/>
        </w:rPr>
        <w:t>立方米。</w:t>
      </w:r>
    </w:p>
    <w:p w14:paraId="6E8CAF1C">
      <w:pPr>
        <w:ind w:firstLine="420"/>
        <w:rPr>
          <w:rFonts w:ascii="宋体" w:hAnsi="宋体"/>
          <w:szCs w:val="21"/>
        </w:rPr>
      </w:pPr>
      <w:r>
        <w:rPr>
          <w:rFonts w:ascii="宋体" w:hAnsi="宋体"/>
          <w:szCs w:val="21"/>
        </w:rPr>
        <w:t>1999年12月，按省林业厅部署进行了林业资源数据库更新，结果数据是：全市</w:t>
      </w:r>
      <w:r>
        <w:rPr>
          <w:rFonts w:hint="eastAsia" w:ascii="宋体" w:hAnsi="宋体"/>
          <w:szCs w:val="21"/>
        </w:rPr>
        <w:t>林业用地面积</w:t>
      </w:r>
      <w:r>
        <w:rPr>
          <w:rFonts w:ascii="宋体" w:hAnsi="宋体"/>
          <w:szCs w:val="21"/>
        </w:rPr>
        <w:t>155526.3公顷，有林地面积118847.9公顷，森林覆盖率63.6%，活立</w:t>
      </w:r>
      <w:r>
        <w:rPr>
          <w:rFonts w:hint="eastAsia" w:ascii="宋体" w:hAnsi="宋体"/>
          <w:szCs w:val="21"/>
        </w:rPr>
        <w:t>木蓄积量</w:t>
      </w:r>
      <w:r>
        <w:rPr>
          <w:rFonts w:ascii="宋体" w:hAnsi="宋体"/>
          <w:szCs w:val="21"/>
        </w:rPr>
        <w:t>5624943立方米</w:t>
      </w:r>
      <w:r>
        <w:rPr>
          <w:rFonts w:hint="eastAsia" w:ascii="宋体" w:hAnsi="宋体"/>
          <w:szCs w:val="21"/>
        </w:rPr>
        <w:t>。</w:t>
      </w:r>
    </w:p>
    <w:p w14:paraId="4698D1D0">
      <w:pPr>
        <w:ind w:firstLine="420"/>
        <w:rPr>
          <w:rFonts w:ascii="宋体" w:hAnsi="宋体"/>
          <w:szCs w:val="21"/>
        </w:rPr>
      </w:pPr>
      <w:r>
        <w:rPr>
          <w:rFonts w:ascii="宋体" w:hAnsi="宋体"/>
          <w:szCs w:val="21"/>
        </w:rPr>
        <w:t>2004年第三次林业二类调查，由省林业厅统一组织林业院校师生进行，2006年3月得出统计结果：全市林业用地面积159654.4公顷，有林地面积145397.7公顷，</w:t>
      </w:r>
      <w:r>
        <w:rPr>
          <w:rFonts w:hint="eastAsia" w:ascii="宋体" w:hAnsi="宋体"/>
          <w:szCs w:val="21"/>
        </w:rPr>
        <w:t>比</w:t>
      </w:r>
      <w:r>
        <w:rPr>
          <w:rFonts w:ascii="宋体" w:hAnsi="宋体"/>
          <w:szCs w:val="21"/>
        </w:rPr>
        <w:t>1999年底增加</w:t>
      </w:r>
      <w:r>
        <w:rPr>
          <w:rFonts w:hint="eastAsia" w:ascii="宋体" w:hAnsi="宋体"/>
          <w:szCs w:val="21"/>
        </w:rPr>
        <w:t>2</w:t>
      </w:r>
      <w:r>
        <w:rPr>
          <w:rFonts w:ascii="宋体" w:hAnsi="宋体"/>
          <w:szCs w:val="21"/>
        </w:rPr>
        <w:t>2.3%；森林覆盖率64.2%，比1999年增加0.6个百分点；活立木</w:t>
      </w:r>
      <w:r>
        <w:rPr>
          <w:rFonts w:hint="eastAsia" w:ascii="宋体" w:hAnsi="宋体"/>
          <w:szCs w:val="21"/>
        </w:rPr>
        <w:t>蓄积量</w:t>
      </w:r>
      <w:r>
        <w:rPr>
          <w:rFonts w:ascii="宋体" w:hAnsi="宋体"/>
          <w:szCs w:val="21"/>
        </w:rPr>
        <w:t>7248037立方米，比1999年增加28.86%。</w:t>
      </w:r>
    </w:p>
    <w:p w14:paraId="44522B0B">
      <w:pPr>
        <w:ind w:firstLine="0" w:firstLineChars="0"/>
        <w:jc w:val="center"/>
        <w:rPr>
          <w:rFonts w:ascii="宋体" w:hAnsi="宋体"/>
          <w:b/>
          <w:szCs w:val="21"/>
        </w:rPr>
      </w:pPr>
      <w:r>
        <w:rPr>
          <w:rFonts w:hint="eastAsia" w:ascii="宋体" w:hAnsi="宋体"/>
          <w:b/>
          <w:szCs w:val="21"/>
        </w:rPr>
        <w:t>南雄市2004年林地利用调查统计</w:t>
      </w:r>
    </w:p>
    <w:p w14:paraId="532CF26B">
      <w:pPr>
        <w:ind w:firstLine="0" w:firstLineChars="0"/>
        <w:rPr>
          <w:rFonts w:ascii="宋体" w:hAnsi="宋体"/>
          <w:b/>
        </w:rPr>
      </w:pPr>
      <w:r>
        <w:rPr>
          <w:rFonts w:hint="eastAsia" w:ascii="宋体" w:hAnsi="宋体"/>
          <w:b/>
        </w:rPr>
        <w:t>表2-19</w:t>
      </w:r>
    </w:p>
    <w:p w14:paraId="5AE76E0E">
      <w:pPr>
        <w:ind w:left="420" w:hanging="420" w:firstLineChars="0"/>
        <w:jc w:val="right"/>
        <w:rPr>
          <w:rFonts w:ascii="宋体" w:hAnsi="宋体"/>
          <w:b/>
        </w:rPr>
      </w:pPr>
      <w:r>
        <w:rPr>
          <w:rFonts w:hint="eastAsia" w:ascii="宋体" w:hAnsi="宋体"/>
          <w:b/>
        </w:rPr>
        <w:t>单位：公顷</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49"/>
        <w:gridCol w:w="972"/>
        <w:gridCol w:w="972"/>
        <w:gridCol w:w="856"/>
        <w:gridCol w:w="972"/>
        <w:gridCol w:w="856"/>
        <w:gridCol w:w="854"/>
        <w:gridCol w:w="858"/>
        <w:gridCol w:w="812"/>
        <w:gridCol w:w="904"/>
        <w:gridCol w:w="857"/>
      </w:tblGrid>
      <w:tr w14:paraId="393E5B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530" w:type="pct"/>
            <w:vMerge w:val="restart"/>
            <w:tcBorders>
              <w:tl2br w:val="single" w:color="auto" w:sz="4" w:space="0"/>
            </w:tcBorders>
            <w:vAlign w:val="center"/>
          </w:tcPr>
          <w:p w14:paraId="7385A41E">
            <w:pPr>
              <w:pStyle w:val="12"/>
              <w:jc w:val="right"/>
              <w:rPr>
                <w:rFonts w:ascii="宋体" w:hAnsi="宋体"/>
                <w:b/>
                <w:w w:val="90"/>
              </w:rPr>
            </w:pPr>
            <w:r>
              <w:rPr>
                <w:rFonts w:hint="eastAsia" w:ascii="宋体" w:hAnsi="宋体"/>
                <w:b/>
                <w:w w:val="90"/>
              </w:rPr>
              <w:t>统计</w:t>
            </w:r>
          </w:p>
          <w:p w14:paraId="10DFED69">
            <w:pPr>
              <w:pStyle w:val="12"/>
              <w:jc w:val="right"/>
              <w:rPr>
                <w:rFonts w:ascii="宋体" w:hAnsi="宋体"/>
                <w:b/>
                <w:w w:val="90"/>
              </w:rPr>
            </w:pPr>
            <w:r>
              <w:rPr>
                <w:rFonts w:hint="eastAsia" w:ascii="宋体" w:hAnsi="宋体"/>
                <w:b/>
                <w:w w:val="90"/>
              </w:rPr>
              <w:t>项目</w:t>
            </w:r>
          </w:p>
          <w:p w14:paraId="7728BE7A">
            <w:pPr>
              <w:pStyle w:val="12"/>
              <w:jc w:val="left"/>
              <w:rPr>
                <w:rFonts w:ascii="宋体" w:hAnsi="宋体"/>
                <w:b/>
                <w:w w:val="90"/>
              </w:rPr>
            </w:pPr>
            <w:r>
              <w:rPr>
                <w:rFonts w:hint="eastAsia" w:ascii="宋体" w:hAnsi="宋体"/>
                <w:b/>
                <w:w w:val="90"/>
              </w:rPr>
              <w:t>调查</w:t>
            </w:r>
          </w:p>
          <w:p w14:paraId="5C67C210">
            <w:pPr>
              <w:pStyle w:val="12"/>
              <w:jc w:val="left"/>
              <w:rPr>
                <w:rFonts w:ascii="宋体" w:hAnsi="宋体"/>
                <w:b/>
                <w:w w:val="90"/>
              </w:rPr>
            </w:pPr>
            <w:r>
              <w:rPr>
                <w:rFonts w:hint="eastAsia" w:ascii="宋体" w:hAnsi="宋体"/>
                <w:b/>
                <w:w w:val="90"/>
              </w:rPr>
              <w:t>单位</w:t>
            </w:r>
          </w:p>
        </w:tc>
        <w:tc>
          <w:tcPr>
            <w:tcW w:w="479" w:type="pct"/>
            <w:vMerge w:val="restart"/>
            <w:vAlign w:val="center"/>
          </w:tcPr>
          <w:p w14:paraId="6995F579">
            <w:pPr>
              <w:pStyle w:val="12"/>
              <w:jc w:val="center"/>
              <w:rPr>
                <w:rFonts w:ascii="宋体" w:hAnsi="宋体"/>
                <w:b/>
                <w:w w:val="90"/>
              </w:rPr>
            </w:pPr>
            <w:r>
              <w:rPr>
                <w:rFonts w:hint="eastAsia" w:ascii="宋体" w:hAnsi="宋体"/>
                <w:b/>
                <w:w w:val="90"/>
              </w:rPr>
              <w:t>总面积</w:t>
            </w:r>
          </w:p>
        </w:tc>
        <w:tc>
          <w:tcPr>
            <w:tcW w:w="479" w:type="pct"/>
            <w:vMerge w:val="restart"/>
            <w:vAlign w:val="center"/>
          </w:tcPr>
          <w:p w14:paraId="15ABCB66">
            <w:pPr>
              <w:pStyle w:val="12"/>
              <w:jc w:val="center"/>
              <w:rPr>
                <w:rFonts w:ascii="宋体" w:hAnsi="宋体"/>
                <w:b/>
                <w:w w:val="90"/>
              </w:rPr>
            </w:pPr>
            <w:r>
              <w:rPr>
                <w:rFonts w:hint="eastAsia" w:ascii="宋体" w:hAnsi="宋体"/>
                <w:b/>
                <w:w w:val="90"/>
              </w:rPr>
              <w:t>林业用地面积</w:t>
            </w:r>
          </w:p>
        </w:tc>
        <w:tc>
          <w:tcPr>
            <w:tcW w:w="433" w:type="pct"/>
            <w:vMerge w:val="restart"/>
            <w:vAlign w:val="center"/>
          </w:tcPr>
          <w:p w14:paraId="5FBE525A">
            <w:pPr>
              <w:pStyle w:val="12"/>
              <w:jc w:val="center"/>
              <w:rPr>
                <w:rFonts w:ascii="宋体" w:hAnsi="宋体"/>
                <w:b/>
                <w:w w:val="90"/>
              </w:rPr>
            </w:pPr>
            <w:r>
              <w:rPr>
                <w:rFonts w:hint="eastAsia" w:ascii="宋体" w:hAnsi="宋体"/>
                <w:b/>
                <w:w w:val="90"/>
              </w:rPr>
              <w:t>占总面积比（%）</w:t>
            </w:r>
          </w:p>
        </w:tc>
        <w:tc>
          <w:tcPr>
            <w:tcW w:w="2646" w:type="pct"/>
            <w:gridSpan w:val="6"/>
            <w:vAlign w:val="center"/>
          </w:tcPr>
          <w:p w14:paraId="696BC03F">
            <w:pPr>
              <w:pStyle w:val="12"/>
              <w:jc w:val="center"/>
              <w:rPr>
                <w:rFonts w:ascii="宋体" w:hAnsi="宋体"/>
                <w:b/>
                <w:w w:val="90"/>
              </w:rPr>
            </w:pPr>
            <w:r>
              <w:rPr>
                <w:rFonts w:hint="eastAsia" w:ascii="宋体" w:hAnsi="宋体"/>
                <w:b/>
                <w:w w:val="90"/>
              </w:rPr>
              <w:t>其中</w:t>
            </w:r>
          </w:p>
        </w:tc>
        <w:tc>
          <w:tcPr>
            <w:tcW w:w="433" w:type="pct"/>
            <w:vMerge w:val="restart"/>
            <w:vAlign w:val="center"/>
          </w:tcPr>
          <w:p w14:paraId="32B046D5">
            <w:pPr>
              <w:pStyle w:val="12"/>
              <w:jc w:val="center"/>
              <w:rPr>
                <w:rFonts w:ascii="宋体" w:hAnsi="宋体"/>
                <w:b/>
                <w:w w:val="90"/>
              </w:rPr>
            </w:pPr>
            <w:r>
              <w:rPr>
                <w:rFonts w:hint="eastAsia" w:ascii="宋体" w:hAnsi="宋体"/>
                <w:b/>
                <w:w w:val="90"/>
              </w:rPr>
              <w:t>森林覆盖率（%）</w:t>
            </w:r>
          </w:p>
        </w:tc>
      </w:tr>
      <w:tr w14:paraId="33B63B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530" w:type="pct"/>
            <w:vMerge w:val="continue"/>
            <w:tcBorders>
              <w:tl2br w:val="single" w:color="auto" w:sz="4" w:space="0"/>
            </w:tcBorders>
            <w:vAlign w:val="center"/>
          </w:tcPr>
          <w:p w14:paraId="057AD174">
            <w:pPr>
              <w:pStyle w:val="12"/>
              <w:jc w:val="center"/>
              <w:rPr>
                <w:rFonts w:ascii="宋体" w:hAnsi="宋体"/>
                <w:w w:val="90"/>
              </w:rPr>
            </w:pPr>
          </w:p>
        </w:tc>
        <w:tc>
          <w:tcPr>
            <w:tcW w:w="479" w:type="pct"/>
            <w:vMerge w:val="continue"/>
            <w:vAlign w:val="center"/>
          </w:tcPr>
          <w:p w14:paraId="7FACABA8">
            <w:pPr>
              <w:pStyle w:val="12"/>
              <w:jc w:val="center"/>
              <w:rPr>
                <w:rFonts w:ascii="宋体" w:hAnsi="宋体"/>
                <w:w w:val="90"/>
              </w:rPr>
            </w:pPr>
          </w:p>
        </w:tc>
        <w:tc>
          <w:tcPr>
            <w:tcW w:w="479" w:type="pct"/>
            <w:vMerge w:val="continue"/>
            <w:vAlign w:val="center"/>
          </w:tcPr>
          <w:p w14:paraId="0674FB21">
            <w:pPr>
              <w:pStyle w:val="12"/>
              <w:jc w:val="center"/>
              <w:rPr>
                <w:rFonts w:ascii="宋体" w:hAnsi="宋体"/>
                <w:w w:val="90"/>
              </w:rPr>
            </w:pPr>
          </w:p>
        </w:tc>
        <w:tc>
          <w:tcPr>
            <w:tcW w:w="433" w:type="pct"/>
            <w:vMerge w:val="continue"/>
            <w:vAlign w:val="center"/>
          </w:tcPr>
          <w:p w14:paraId="165C426D">
            <w:pPr>
              <w:pStyle w:val="12"/>
              <w:jc w:val="center"/>
              <w:rPr>
                <w:rFonts w:ascii="宋体" w:hAnsi="宋体"/>
                <w:w w:val="90"/>
              </w:rPr>
            </w:pPr>
          </w:p>
        </w:tc>
        <w:tc>
          <w:tcPr>
            <w:tcW w:w="479" w:type="pct"/>
            <w:vAlign w:val="center"/>
          </w:tcPr>
          <w:p w14:paraId="0B9A116F">
            <w:pPr>
              <w:pStyle w:val="12"/>
              <w:jc w:val="center"/>
              <w:rPr>
                <w:rFonts w:ascii="宋体" w:hAnsi="宋体"/>
                <w:b/>
                <w:w w:val="90"/>
              </w:rPr>
            </w:pPr>
            <w:r>
              <w:rPr>
                <w:rFonts w:hint="eastAsia" w:ascii="宋体" w:hAnsi="宋体"/>
                <w:b/>
                <w:w w:val="90"/>
              </w:rPr>
              <w:t>有林地</w:t>
            </w:r>
          </w:p>
        </w:tc>
        <w:tc>
          <w:tcPr>
            <w:tcW w:w="433" w:type="pct"/>
            <w:vAlign w:val="center"/>
          </w:tcPr>
          <w:p w14:paraId="310C6E8F">
            <w:pPr>
              <w:pStyle w:val="12"/>
              <w:jc w:val="center"/>
              <w:rPr>
                <w:rFonts w:ascii="宋体" w:hAnsi="宋体"/>
                <w:b/>
                <w:w w:val="90"/>
              </w:rPr>
            </w:pPr>
            <w:r>
              <w:rPr>
                <w:rFonts w:hint="eastAsia" w:ascii="宋体" w:hAnsi="宋体"/>
                <w:b/>
                <w:w w:val="90"/>
              </w:rPr>
              <w:t>疏林地</w:t>
            </w:r>
          </w:p>
        </w:tc>
        <w:tc>
          <w:tcPr>
            <w:tcW w:w="432" w:type="pct"/>
            <w:vAlign w:val="center"/>
          </w:tcPr>
          <w:p w14:paraId="4DA8AFA0">
            <w:pPr>
              <w:pStyle w:val="12"/>
              <w:jc w:val="center"/>
              <w:rPr>
                <w:rFonts w:ascii="宋体" w:hAnsi="宋体"/>
                <w:b/>
                <w:w w:val="90"/>
              </w:rPr>
            </w:pPr>
            <w:r>
              <w:rPr>
                <w:rFonts w:hint="eastAsia" w:ascii="宋体" w:hAnsi="宋体"/>
                <w:b/>
                <w:w w:val="90"/>
              </w:rPr>
              <w:t>灌木林地</w:t>
            </w:r>
          </w:p>
        </w:tc>
        <w:tc>
          <w:tcPr>
            <w:tcW w:w="434" w:type="pct"/>
            <w:vAlign w:val="center"/>
          </w:tcPr>
          <w:p w14:paraId="11428713">
            <w:pPr>
              <w:pStyle w:val="12"/>
              <w:jc w:val="center"/>
              <w:rPr>
                <w:rFonts w:ascii="宋体" w:hAnsi="宋体"/>
                <w:b/>
                <w:w w:val="90"/>
              </w:rPr>
            </w:pPr>
            <w:r>
              <w:rPr>
                <w:rFonts w:hint="eastAsia" w:ascii="宋体" w:hAnsi="宋体"/>
                <w:b/>
                <w:w w:val="90"/>
              </w:rPr>
              <w:t>未成林地</w:t>
            </w:r>
          </w:p>
        </w:tc>
        <w:tc>
          <w:tcPr>
            <w:tcW w:w="411" w:type="pct"/>
            <w:vAlign w:val="center"/>
          </w:tcPr>
          <w:p w14:paraId="119271B1">
            <w:pPr>
              <w:pStyle w:val="12"/>
              <w:jc w:val="center"/>
              <w:rPr>
                <w:rFonts w:ascii="宋体" w:hAnsi="宋体"/>
                <w:b/>
                <w:w w:val="90"/>
              </w:rPr>
            </w:pPr>
            <w:r>
              <w:rPr>
                <w:rFonts w:hint="eastAsia" w:ascii="宋体" w:hAnsi="宋体"/>
                <w:b/>
                <w:w w:val="90"/>
              </w:rPr>
              <w:t>无林地</w:t>
            </w:r>
          </w:p>
        </w:tc>
        <w:tc>
          <w:tcPr>
            <w:tcW w:w="457" w:type="pct"/>
            <w:vAlign w:val="center"/>
          </w:tcPr>
          <w:p w14:paraId="19DC6FB8">
            <w:pPr>
              <w:pStyle w:val="12"/>
              <w:jc w:val="center"/>
              <w:rPr>
                <w:rFonts w:ascii="宋体" w:hAnsi="宋体"/>
                <w:b/>
                <w:w w:val="90"/>
              </w:rPr>
            </w:pPr>
            <w:r>
              <w:rPr>
                <w:rFonts w:hint="eastAsia" w:ascii="宋体" w:hAnsi="宋体"/>
                <w:b/>
                <w:w w:val="90"/>
              </w:rPr>
              <w:t>苗圃地</w:t>
            </w:r>
          </w:p>
        </w:tc>
        <w:tc>
          <w:tcPr>
            <w:tcW w:w="433" w:type="pct"/>
            <w:vMerge w:val="continue"/>
            <w:vAlign w:val="center"/>
          </w:tcPr>
          <w:p w14:paraId="7468296B">
            <w:pPr>
              <w:pStyle w:val="12"/>
              <w:jc w:val="center"/>
              <w:rPr>
                <w:rFonts w:ascii="宋体" w:hAnsi="宋体"/>
                <w:w w:val="90"/>
              </w:rPr>
            </w:pPr>
          </w:p>
        </w:tc>
      </w:tr>
      <w:tr w14:paraId="1823E9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0" w:type="pct"/>
            <w:vAlign w:val="center"/>
          </w:tcPr>
          <w:p w14:paraId="0839ED6B">
            <w:pPr>
              <w:pStyle w:val="12"/>
              <w:jc w:val="center"/>
              <w:rPr>
                <w:rFonts w:ascii="宋体" w:hAnsi="宋体"/>
                <w:w w:val="90"/>
              </w:rPr>
            </w:pPr>
            <w:r>
              <w:rPr>
                <w:rFonts w:hint="eastAsia" w:ascii="宋体" w:hAnsi="宋体"/>
                <w:w w:val="90"/>
              </w:rPr>
              <w:t>南雄市</w:t>
            </w:r>
          </w:p>
        </w:tc>
        <w:tc>
          <w:tcPr>
            <w:tcW w:w="479" w:type="pct"/>
            <w:vAlign w:val="center"/>
          </w:tcPr>
          <w:p w14:paraId="324FA290">
            <w:pPr>
              <w:pStyle w:val="12"/>
              <w:jc w:val="center"/>
              <w:rPr>
                <w:rFonts w:ascii="宋体" w:hAnsi="宋体"/>
                <w:w w:val="90"/>
              </w:rPr>
            </w:pPr>
            <w:r>
              <w:rPr>
                <w:rFonts w:hint="eastAsia" w:ascii="宋体" w:hAnsi="宋体"/>
                <w:w w:val="90"/>
              </w:rPr>
              <w:t>233001.0</w:t>
            </w:r>
          </w:p>
        </w:tc>
        <w:tc>
          <w:tcPr>
            <w:tcW w:w="479" w:type="pct"/>
            <w:vAlign w:val="center"/>
          </w:tcPr>
          <w:p w14:paraId="08D7C2EE">
            <w:pPr>
              <w:pStyle w:val="12"/>
              <w:jc w:val="center"/>
              <w:rPr>
                <w:rFonts w:ascii="宋体" w:hAnsi="宋体"/>
                <w:w w:val="90"/>
              </w:rPr>
            </w:pPr>
            <w:r>
              <w:rPr>
                <w:rFonts w:hint="eastAsia" w:ascii="宋体" w:hAnsi="宋体"/>
                <w:w w:val="90"/>
              </w:rPr>
              <w:t>159654.4</w:t>
            </w:r>
          </w:p>
        </w:tc>
        <w:tc>
          <w:tcPr>
            <w:tcW w:w="433" w:type="pct"/>
            <w:vAlign w:val="center"/>
          </w:tcPr>
          <w:p w14:paraId="6F9FF386">
            <w:pPr>
              <w:pStyle w:val="12"/>
              <w:jc w:val="center"/>
              <w:rPr>
                <w:rFonts w:ascii="宋体" w:hAnsi="宋体"/>
                <w:w w:val="90"/>
              </w:rPr>
            </w:pPr>
            <w:r>
              <w:rPr>
                <w:rFonts w:hint="eastAsia" w:ascii="宋体" w:hAnsi="宋体"/>
                <w:w w:val="90"/>
              </w:rPr>
              <w:t>68.5</w:t>
            </w:r>
          </w:p>
        </w:tc>
        <w:tc>
          <w:tcPr>
            <w:tcW w:w="479" w:type="pct"/>
            <w:vAlign w:val="center"/>
          </w:tcPr>
          <w:p w14:paraId="645DC9A0">
            <w:pPr>
              <w:pStyle w:val="12"/>
              <w:jc w:val="center"/>
              <w:rPr>
                <w:rFonts w:ascii="宋体" w:hAnsi="宋体"/>
                <w:w w:val="90"/>
              </w:rPr>
            </w:pPr>
            <w:r>
              <w:rPr>
                <w:rFonts w:hint="eastAsia" w:ascii="宋体" w:hAnsi="宋体"/>
                <w:w w:val="90"/>
              </w:rPr>
              <w:t>145397.7</w:t>
            </w:r>
          </w:p>
        </w:tc>
        <w:tc>
          <w:tcPr>
            <w:tcW w:w="433" w:type="pct"/>
            <w:vAlign w:val="center"/>
          </w:tcPr>
          <w:p w14:paraId="601A2994">
            <w:pPr>
              <w:pStyle w:val="12"/>
              <w:jc w:val="center"/>
              <w:rPr>
                <w:rFonts w:ascii="宋体" w:hAnsi="宋体"/>
                <w:w w:val="90"/>
              </w:rPr>
            </w:pPr>
            <w:r>
              <w:rPr>
                <w:rFonts w:hint="eastAsia" w:ascii="宋体" w:hAnsi="宋体"/>
                <w:w w:val="90"/>
              </w:rPr>
              <w:t>297.3</w:t>
            </w:r>
          </w:p>
        </w:tc>
        <w:tc>
          <w:tcPr>
            <w:tcW w:w="432" w:type="pct"/>
            <w:vAlign w:val="center"/>
          </w:tcPr>
          <w:p w14:paraId="78ED37C8">
            <w:pPr>
              <w:pStyle w:val="12"/>
              <w:jc w:val="center"/>
              <w:rPr>
                <w:rFonts w:ascii="宋体" w:hAnsi="宋体"/>
                <w:w w:val="90"/>
              </w:rPr>
            </w:pPr>
            <w:r>
              <w:rPr>
                <w:rFonts w:hint="eastAsia" w:ascii="宋体" w:hAnsi="宋体"/>
                <w:w w:val="90"/>
              </w:rPr>
              <w:t>4040.2</w:t>
            </w:r>
          </w:p>
        </w:tc>
        <w:tc>
          <w:tcPr>
            <w:tcW w:w="434" w:type="pct"/>
            <w:vAlign w:val="center"/>
          </w:tcPr>
          <w:p w14:paraId="5A5D7DFF">
            <w:pPr>
              <w:pStyle w:val="12"/>
              <w:jc w:val="center"/>
              <w:rPr>
                <w:rFonts w:ascii="宋体" w:hAnsi="宋体"/>
                <w:w w:val="90"/>
              </w:rPr>
            </w:pPr>
            <w:r>
              <w:rPr>
                <w:rFonts w:hint="eastAsia" w:ascii="宋体" w:hAnsi="宋体"/>
                <w:w w:val="90"/>
              </w:rPr>
              <w:t>3588.4</w:t>
            </w:r>
          </w:p>
        </w:tc>
        <w:tc>
          <w:tcPr>
            <w:tcW w:w="411" w:type="pct"/>
            <w:vAlign w:val="center"/>
          </w:tcPr>
          <w:p w14:paraId="28FC6C5C">
            <w:pPr>
              <w:pStyle w:val="12"/>
              <w:jc w:val="center"/>
              <w:rPr>
                <w:rFonts w:ascii="宋体" w:hAnsi="宋体"/>
                <w:w w:val="90"/>
              </w:rPr>
            </w:pPr>
            <w:r>
              <w:rPr>
                <w:rFonts w:hint="eastAsia" w:ascii="宋体" w:hAnsi="宋体"/>
                <w:w w:val="90"/>
              </w:rPr>
              <w:t>6321.2</w:t>
            </w:r>
          </w:p>
        </w:tc>
        <w:tc>
          <w:tcPr>
            <w:tcW w:w="457" w:type="pct"/>
            <w:vAlign w:val="center"/>
          </w:tcPr>
          <w:p w14:paraId="1D7E7AC1">
            <w:pPr>
              <w:pStyle w:val="12"/>
              <w:jc w:val="center"/>
              <w:rPr>
                <w:rFonts w:ascii="宋体" w:hAnsi="宋体"/>
                <w:w w:val="90"/>
              </w:rPr>
            </w:pPr>
            <w:r>
              <w:rPr>
                <w:rFonts w:hint="eastAsia" w:ascii="宋体" w:hAnsi="宋体"/>
                <w:w w:val="90"/>
              </w:rPr>
              <w:t>9.6</w:t>
            </w:r>
          </w:p>
        </w:tc>
        <w:tc>
          <w:tcPr>
            <w:tcW w:w="433" w:type="pct"/>
            <w:vAlign w:val="center"/>
          </w:tcPr>
          <w:p w14:paraId="187D7A52">
            <w:pPr>
              <w:pStyle w:val="12"/>
              <w:jc w:val="center"/>
              <w:rPr>
                <w:rFonts w:ascii="宋体" w:hAnsi="宋体"/>
                <w:w w:val="90"/>
              </w:rPr>
            </w:pPr>
            <w:r>
              <w:rPr>
                <w:rFonts w:hint="eastAsia" w:ascii="宋体" w:hAnsi="宋体"/>
                <w:w w:val="90"/>
              </w:rPr>
              <w:t>64.2</w:t>
            </w:r>
          </w:p>
        </w:tc>
      </w:tr>
      <w:tr w14:paraId="6626D7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0" w:type="pct"/>
            <w:vAlign w:val="center"/>
          </w:tcPr>
          <w:p w14:paraId="31016C11">
            <w:pPr>
              <w:pStyle w:val="12"/>
              <w:jc w:val="center"/>
              <w:rPr>
                <w:rFonts w:ascii="宋体" w:hAnsi="宋体"/>
                <w:w w:val="90"/>
              </w:rPr>
            </w:pPr>
            <w:r>
              <w:rPr>
                <w:rFonts w:hint="eastAsia" w:ascii="宋体" w:hAnsi="宋体"/>
                <w:w w:val="90"/>
              </w:rPr>
              <w:t>百顺镇</w:t>
            </w:r>
          </w:p>
        </w:tc>
        <w:tc>
          <w:tcPr>
            <w:tcW w:w="479" w:type="pct"/>
            <w:vAlign w:val="center"/>
          </w:tcPr>
          <w:p w14:paraId="4050B0D3">
            <w:pPr>
              <w:pStyle w:val="12"/>
              <w:jc w:val="center"/>
              <w:rPr>
                <w:rFonts w:ascii="宋体" w:hAnsi="宋体"/>
                <w:w w:val="90"/>
              </w:rPr>
            </w:pPr>
            <w:r>
              <w:rPr>
                <w:rFonts w:hint="eastAsia" w:ascii="宋体" w:hAnsi="宋体"/>
                <w:w w:val="90"/>
              </w:rPr>
              <w:t>19689.5</w:t>
            </w:r>
          </w:p>
        </w:tc>
        <w:tc>
          <w:tcPr>
            <w:tcW w:w="479" w:type="pct"/>
            <w:vAlign w:val="center"/>
          </w:tcPr>
          <w:p w14:paraId="1AA3CD19">
            <w:pPr>
              <w:pStyle w:val="12"/>
              <w:jc w:val="center"/>
              <w:rPr>
                <w:rFonts w:ascii="宋体" w:hAnsi="宋体"/>
                <w:w w:val="90"/>
              </w:rPr>
            </w:pPr>
            <w:r>
              <w:rPr>
                <w:rFonts w:hint="eastAsia" w:ascii="宋体" w:hAnsi="宋体"/>
                <w:w w:val="90"/>
              </w:rPr>
              <w:t>17471.4</w:t>
            </w:r>
          </w:p>
        </w:tc>
        <w:tc>
          <w:tcPr>
            <w:tcW w:w="433" w:type="pct"/>
            <w:vAlign w:val="center"/>
          </w:tcPr>
          <w:p w14:paraId="72C0AAC9">
            <w:pPr>
              <w:pStyle w:val="12"/>
              <w:jc w:val="center"/>
              <w:rPr>
                <w:rFonts w:ascii="宋体" w:hAnsi="宋体"/>
                <w:w w:val="90"/>
              </w:rPr>
            </w:pPr>
            <w:r>
              <w:rPr>
                <w:rFonts w:hint="eastAsia" w:ascii="宋体" w:hAnsi="宋体"/>
                <w:w w:val="90"/>
              </w:rPr>
              <w:t>88.7</w:t>
            </w:r>
          </w:p>
        </w:tc>
        <w:tc>
          <w:tcPr>
            <w:tcW w:w="479" w:type="pct"/>
            <w:vAlign w:val="center"/>
          </w:tcPr>
          <w:p w14:paraId="7870F839">
            <w:pPr>
              <w:pStyle w:val="12"/>
              <w:jc w:val="center"/>
              <w:rPr>
                <w:rFonts w:ascii="宋体" w:hAnsi="宋体"/>
                <w:w w:val="90"/>
              </w:rPr>
            </w:pPr>
            <w:r>
              <w:rPr>
                <w:rFonts w:hint="eastAsia" w:ascii="宋体" w:hAnsi="宋体"/>
                <w:w w:val="90"/>
              </w:rPr>
              <w:t>17130.4</w:t>
            </w:r>
          </w:p>
        </w:tc>
        <w:tc>
          <w:tcPr>
            <w:tcW w:w="433" w:type="pct"/>
            <w:vAlign w:val="center"/>
          </w:tcPr>
          <w:p w14:paraId="68581872">
            <w:pPr>
              <w:pStyle w:val="12"/>
              <w:jc w:val="center"/>
              <w:rPr>
                <w:rFonts w:ascii="宋体" w:hAnsi="宋体"/>
                <w:w w:val="90"/>
              </w:rPr>
            </w:pPr>
            <w:r>
              <w:rPr>
                <w:rFonts w:hint="eastAsia" w:ascii="宋体" w:hAnsi="宋体"/>
                <w:w w:val="90"/>
              </w:rPr>
              <w:t>5.6</w:t>
            </w:r>
          </w:p>
        </w:tc>
        <w:tc>
          <w:tcPr>
            <w:tcW w:w="432" w:type="pct"/>
            <w:vAlign w:val="center"/>
          </w:tcPr>
          <w:p w14:paraId="1DA496E2">
            <w:pPr>
              <w:pStyle w:val="12"/>
              <w:jc w:val="center"/>
              <w:rPr>
                <w:rFonts w:ascii="宋体" w:hAnsi="宋体"/>
                <w:w w:val="90"/>
              </w:rPr>
            </w:pPr>
            <w:r>
              <w:rPr>
                <w:rFonts w:hint="eastAsia" w:ascii="宋体" w:hAnsi="宋体"/>
                <w:w w:val="90"/>
              </w:rPr>
              <w:t>78.6</w:t>
            </w:r>
          </w:p>
        </w:tc>
        <w:tc>
          <w:tcPr>
            <w:tcW w:w="434" w:type="pct"/>
            <w:vAlign w:val="center"/>
          </w:tcPr>
          <w:p w14:paraId="718E7D37">
            <w:pPr>
              <w:pStyle w:val="12"/>
              <w:jc w:val="center"/>
              <w:rPr>
                <w:rFonts w:ascii="宋体" w:hAnsi="宋体"/>
                <w:w w:val="90"/>
              </w:rPr>
            </w:pPr>
            <w:r>
              <w:rPr>
                <w:rFonts w:hint="eastAsia" w:ascii="宋体" w:hAnsi="宋体"/>
                <w:w w:val="90"/>
              </w:rPr>
              <w:t>52.5</w:t>
            </w:r>
          </w:p>
        </w:tc>
        <w:tc>
          <w:tcPr>
            <w:tcW w:w="411" w:type="pct"/>
            <w:vAlign w:val="center"/>
          </w:tcPr>
          <w:p w14:paraId="550DAB53">
            <w:pPr>
              <w:pStyle w:val="12"/>
              <w:jc w:val="center"/>
              <w:rPr>
                <w:rFonts w:ascii="宋体" w:hAnsi="宋体"/>
                <w:w w:val="90"/>
              </w:rPr>
            </w:pPr>
            <w:r>
              <w:rPr>
                <w:rFonts w:hint="eastAsia" w:ascii="宋体" w:hAnsi="宋体"/>
                <w:w w:val="90"/>
              </w:rPr>
              <w:t>204.3</w:t>
            </w:r>
          </w:p>
        </w:tc>
        <w:tc>
          <w:tcPr>
            <w:tcW w:w="457" w:type="pct"/>
            <w:vAlign w:val="center"/>
          </w:tcPr>
          <w:p w14:paraId="5B60C9A5">
            <w:pPr>
              <w:pStyle w:val="12"/>
              <w:jc w:val="center"/>
              <w:rPr>
                <w:rFonts w:ascii="宋体" w:hAnsi="宋体"/>
                <w:w w:val="90"/>
              </w:rPr>
            </w:pPr>
            <w:r>
              <w:rPr>
                <w:rFonts w:hint="eastAsia" w:ascii="宋体" w:hAnsi="宋体"/>
                <w:w w:val="90"/>
              </w:rPr>
              <w:t>—</w:t>
            </w:r>
          </w:p>
        </w:tc>
        <w:tc>
          <w:tcPr>
            <w:tcW w:w="433" w:type="pct"/>
            <w:vAlign w:val="center"/>
          </w:tcPr>
          <w:p w14:paraId="77F6618A">
            <w:pPr>
              <w:pStyle w:val="12"/>
              <w:jc w:val="center"/>
              <w:rPr>
                <w:rFonts w:ascii="宋体" w:hAnsi="宋体"/>
                <w:w w:val="90"/>
              </w:rPr>
            </w:pPr>
            <w:r>
              <w:rPr>
                <w:rFonts w:hint="eastAsia" w:ascii="宋体" w:hAnsi="宋体"/>
                <w:w w:val="90"/>
              </w:rPr>
              <w:t>87.4</w:t>
            </w:r>
          </w:p>
        </w:tc>
      </w:tr>
      <w:tr w14:paraId="1C91DE7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0" w:type="pct"/>
            <w:vAlign w:val="center"/>
          </w:tcPr>
          <w:p w14:paraId="452AD978">
            <w:pPr>
              <w:pStyle w:val="12"/>
              <w:jc w:val="center"/>
              <w:rPr>
                <w:rFonts w:ascii="宋体" w:hAnsi="宋体"/>
                <w:w w:val="90"/>
              </w:rPr>
            </w:pPr>
            <w:r>
              <w:rPr>
                <w:rFonts w:hint="eastAsia" w:ascii="宋体" w:hAnsi="宋体"/>
                <w:w w:val="90"/>
              </w:rPr>
              <w:t>澜河镇</w:t>
            </w:r>
          </w:p>
        </w:tc>
        <w:tc>
          <w:tcPr>
            <w:tcW w:w="479" w:type="pct"/>
            <w:vAlign w:val="center"/>
          </w:tcPr>
          <w:p w14:paraId="1DA6F643">
            <w:pPr>
              <w:pStyle w:val="12"/>
              <w:jc w:val="center"/>
              <w:rPr>
                <w:rFonts w:ascii="宋体" w:hAnsi="宋体"/>
                <w:w w:val="90"/>
              </w:rPr>
            </w:pPr>
            <w:r>
              <w:rPr>
                <w:rFonts w:hint="eastAsia" w:ascii="宋体" w:hAnsi="宋体"/>
                <w:w w:val="90"/>
              </w:rPr>
              <w:t>14452.2</w:t>
            </w:r>
          </w:p>
        </w:tc>
        <w:tc>
          <w:tcPr>
            <w:tcW w:w="479" w:type="pct"/>
            <w:vAlign w:val="center"/>
          </w:tcPr>
          <w:p w14:paraId="7F9802FA">
            <w:pPr>
              <w:pStyle w:val="12"/>
              <w:jc w:val="center"/>
              <w:rPr>
                <w:rFonts w:ascii="宋体" w:hAnsi="宋体"/>
                <w:w w:val="90"/>
              </w:rPr>
            </w:pPr>
            <w:r>
              <w:rPr>
                <w:rFonts w:hint="eastAsia" w:ascii="宋体" w:hAnsi="宋体"/>
                <w:w w:val="90"/>
              </w:rPr>
              <w:t>12990.1</w:t>
            </w:r>
          </w:p>
        </w:tc>
        <w:tc>
          <w:tcPr>
            <w:tcW w:w="433" w:type="pct"/>
            <w:vAlign w:val="center"/>
          </w:tcPr>
          <w:p w14:paraId="6A4758E9">
            <w:pPr>
              <w:pStyle w:val="12"/>
              <w:jc w:val="center"/>
              <w:rPr>
                <w:rFonts w:ascii="宋体" w:hAnsi="宋体"/>
                <w:w w:val="90"/>
              </w:rPr>
            </w:pPr>
            <w:r>
              <w:rPr>
                <w:rFonts w:hint="eastAsia" w:ascii="宋体" w:hAnsi="宋体"/>
                <w:w w:val="90"/>
              </w:rPr>
              <w:t>89.9</w:t>
            </w:r>
          </w:p>
        </w:tc>
        <w:tc>
          <w:tcPr>
            <w:tcW w:w="479" w:type="pct"/>
            <w:vAlign w:val="center"/>
          </w:tcPr>
          <w:p w14:paraId="13BFF7B6">
            <w:pPr>
              <w:pStyle w:val="12"/>
              <w:jc w:val="center"/>
              <w:rPr>
                <w:rFonts w:ascii="宋体" w:hAnsi="宋体"/>
                <w:w w:val="90"/>
              </w:rPr>
            </w:pPr>
            <w:r>
              <w:rPr>
                <w:rFonts w:hint="eastAsia" w:ascii="宋体" w:hAnsi="宋体"/>
                <w:w w:val="90"/>
              </w:rPr>
              <w:t>12693.8</w:t>
            </w:r>
          </w:p>
        </w:tc>
        <w:tc>
          <w:tcPr>
            <w:tcW w:w="433" w:type="pct"/>
            <w:vAlign w:val="center"/>
          </w:tcPr>
          <w:p w14:paraId="3438249C">
            <w:pPr>
              <w:pStyle w:val="12"/>
              <w:jc w:val="center"/>
              <w:rPr>
                <w:rFonts w:ascii="宋体" w:hAnsi="宋体"/>
                <w:w w:val="90"/>
              </w:rPr>
            </w:pPr>
            <w:r>
              <w:rPr>
                <w:rFonts w:hint="eastAsia" w:ascii="宋体" w:hAnsi="宋体"/>
                <w:w w:val="90"/>
              </w:rPr>
              <w:t>—</w:t>
            </w:r>
          </w:p>
        </w:tc>
        <w:tc>
          <w:tcPr>
            <w:tcW w:w="432" w:type="pct"/>
            <w:vAlign w:val="center"/>
          </w:tcPr>
          <w:p w14:paraId="1F4503B3">
            <w:pPr>
              <w:pStyle w:val="12"/>
              <w:jc w:val="center"/>
              <w:rPr>
                <w:rFonts w:ascii="宋体" w:hAnsi="宋体"/>
                <w:w w:val="90"/>
              </w:rPr>
            </w:pPr>
            <w:r>
              <w:rPr>
                <w:rFonts w:hint="eastAsia" w:ascii="宋体" w:hAnsi="宋体"/>
                <w:w w:val="90"/>
              </w:rPr>
              <w:t>67.3</w:t>
            </w:r>
          </w:p>
        </w:tc>
        <w:tc>
          <w:tcPr>
            <w:tcW w:w="434" w:type="pct"/>
            <w:vAlign w:val="center"/>
          </w:tcPr>
          <w:p w14:paraId="62CCECA1">
            <w:pPr>
              <w:pStyle w:val="12"/>
              <w:jc w:val="center"/>
              <w:rPr>
                <w:rFonts w:ascii="宋体" w:hAnsi="宋体"/>
                <w:w w:val="90"/>
              </w:rPr>
            </w:pPr>
            <w:r>
              <w:rPr>
                <w:rFonts w:hint="eastAsia" w:ascii="宋体" w:hAnsi="宋体"/>
                <w:w w:val="90"/>
              </w:rPr>
              <w:t>131.1</w:t>
            </w:r>
          </w:p>
        </w:tc>
        <w:tc>
          <w:tcPr>
            <w:tcW w:w="411" w:type="pct"/>
            <w:vAlign w:val="center"/>
          </w:tcPr>
          <w:p w14:paraId="358EF34B">
            <w:pPr>
              <w:pStyle w:val="12"/>
              <w:jc w:val="center"/>
              <w:rPr>
                <w:rFonts w:ascii="宋体" w:hAnsi="宋体"/>
                <w:w w:val="90"/>
              </w:rPr>
            </w:pPr>
            <w:r>
              <w:rPr>
                <w:rFonts w:hint="eastAsia" w:ascii="宋体" w:hAnsi="宋体"/>
                <w:w w:val="90"/>
              </w:rPr>
              <w:t>97.9</w:t>
            </w:r>
          </w:p>
        </w:tc>
        <w:tc>
          <w:tcPr>
            <w:tcW w:w="457" w:type="pct"/>
            <w:vAlign w:val="center"/>
          </w:tcPr>
          <w:p w14:paraId="16378D41">
            <w:pPr>
              <w:pStyle w:val="12"/>
              <w:jc w:val="center"/>
              <w:rPr>
                <w:rFonts w:ascii="宋体" w:hAnsi="宋体"/>
                <w:w w:val="90"/>
              </w:rPr>
            </w:pPr>
            <w:r>
              <w:rPr>
                <w:rFonts w:hint="eastAsia" w:ascii="宋体" w:hAnsi="宋体"/>
                <w:w w:val="90"/>
              </w:rPr>
              <w:t>—</w:t>
            </w:r>
          </w:p>
        </w:tc>
        <w:tc>
          <w:tcPr>
            <w:tcW w:w="433" w:type="pct"/>
            <w:vAlign w:val="center"/>
          </w:tcPr>
          <w:p w14:paraId="68A04E16">
            <w:pPr>
              <w:pStyle w:val="12"/>
              <w:jc w:val="center"/>
              <w:rPr>
                <w:rFonts w:ascii="宋体" w:hAnsi="宋体"/>
                <w:w w:val="90"/>
              </w:rPr>
            </w:pPr>
            <w:r>
              <w:rPr>
                <w:rFonts w:hint="eastAsia" w:ascii="宋体" w:hAnsi="宋体"/>
                <w:w w:val="90"/>
              </w:rPr>
              <w:t>88.2</w:t>
            </w:r>
          </w:p>
        </w:tc>
      </w:tr>
      <w:tr w14:paraId="55AA1E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0" w:type="pct"/>
            <w:vAlign w:val="center"/>
          </w:tcPr>
          <w:p w14:paraId="6DB850D8">
            <w:pPr>
              <w:pStyle w:val="12"/>
              <w:jc w:val="center"/>
              <w:rPr>
                <w:rFonts w:ascii="宋体" w:hAnsi="宋体"/>
                <w:w w:val="90"/>
              </w:rPr>
            </w:pPr>
            <w:r>
              <w:rPr>
                <w:rFonts w:hint="eastAsia" w:ascii="宋体" w:hAnsi="宋体"/>
                <w:w w:val="90"/>
              </w:rPr>
              <w:t>帽子峰镇</w:t>
            </w:r>
          </w:p>
        </w:tc>
        <w:tc>
          <w:tcPr>
            <w:tcW w:w="479" w:type="pct"/>
            <w:vAlign w:val="center"/>
          </w:tcPr>
          <w:p w14:paraId="4E69058E">
            <w:pPr>
              <w:pStyle w:val="12"/>
              <w:jc w:val="center"/>
              <w:rPr>
                <w:rFonts w:ascii="宋体" w:hAnsi="宋体"/>
                <w:w w:val="90"/>
              </w:rPr>
            </w:pPr>
            <w:r>
              <w:rPr>
                <w:rFonts w:hint="eastAsia" w:ascii="宋体" w:hAnsi="宋体"/>
                <w:w w:val="90"/>
              </w:rPr>
              <w:t>9931.8</w:t>
            </w:r>
          </w:p>
        </w:tc>
        <w:tc>
          <w:tcPr>
            <w:tcW w:w="479" w:type="pct"/>
            <w:vAlign w:val="center"/>
          </w:tcPr>
          <w:p w14:paraId="02A99575">
            <w:pPr>
              <w:pStyle w:val="12"/>
              <w:jc w:val="center"/>
              <w:rPr>
                <w:rFonts w:ascii="宋体" w:hAnsi="宋体"/>
                <w:w w:val="90"/>
              </w:rPr>
            </w:pPr>
            <w:r>
              <w:rPr>
                <w:rFonts w:hint="eastAsia" w:ascii="宋体" w:hAnsi="宋体"/>
                <w:w w:val="90"/>
              </w:rPr>
              <w:t>8190.5</w:t>
            </w:r>
          </w:p>
        </w:tc>
        <w:tc>
          <w:tcPr>
            <w:tcW w:w="433" w:type="pct"/>
            <w:vAlign w:val="center"/>
          </w:tcPr>
          <w:p w14:paraId="4A892CF8">
            <w:pPr>
              <w:pStyle w:val="12"/>
              <w:jc w:val="center"/>
              <w:rPr>
                <w:rFonts w:ascii="宋体" w:hAnsi="宋体"/>
                <w:w w:val="90"/>
              </w:rPr>
            </w:pPr>
            <w:r>
              <w:rPr>
                <w:rFonts w:hint="eastAsia" w:ascii="宋体" w:hAnsi="宋体"/>
                <w:w w:val="90"/>
              </w:rPr>
              <w:t>82.5</w:t>
            </w:r>
          </w:p>
        </w:tc>
        <w:tc>
          <w:tcPr>
            <w:tcW w:w="479" w:type="pct"/>
            <w:vAlign w:val="center"/>
          </w:tcPr>
          <w:p w14:paraId="3ED85BA5">
            <w:pPr>
              <w:pStyle w:val="12"/>
              <w:jc w:val="center"/>
              <w:rPr>
                <w:rFonts w:ascii="宋体" w:hAnsi="宋体"/>
                <w:w w:val="90"/>
              </w:rPr>
            </w:pPr>
            <w:r>
              <w:rPr>
                <w:rFonts w:hint="eastAsia" w:ascii="宋体" w:hAnsi="宋体"/>
                <w:w w:val="90"/>
              </w:rPr>
              <w:t>7261.7</w:t>
            </w:r>
          </w:p>
        </w:tc>
        <w:tc>
          <w:tcPr>
            <w:tcW w:w="433" w:type="pct"/>
            <w:vAlign w:val="center"/>
          </w:tcPr>
          <w:p w14:paraId="52B8286B">
            <w:pPr>
              <w:pStyle w:val="12"/>
              <w:jc w:val="center"/>
              <w:rPr>
                <w:rFonts w:ascii="宋体" w:hAnsi="宋体"/>
                <w:w w:val="90"/>
              </w:rPr>
            </w:pPr>
            <w:r>
              <w:rPr>
                <w:rFonts w:hint="eastAsia" w:ascii="宋体" w:hAnsi="宋体"/>
                <w:w w:val="90"/>
              </w:rPr>
              <w:t>—</w:t>
            </w:r>
          </w:p>
        </w:tc>
        <w:tc>
          <w:tcPr>
            <w:tcW w:w="432" w:type="pct"/>
            <w:vAlign w:val="center"/>
          </w:tcPr>
          <w:p w14:paraId="295B4D73">
            <w:pPr>
              <w:pStyle w:val="12"/>
              <w:jc w:val="center"/>
              <w:rPr>
                <w:rFonts w:ascii="宋体" w:hAnsi="宋体"/>
                <w:w w:val="90"/>
              </w:rPr>
            </w:pPr>
            <w:r>
              <w:rPr>
                <w:rFonts w:hint="eastAsia" w:ascii="宋体" w:hAnsi="宋体"/>
                <w:w w:val="90"/>
              </w:rPr>
              <w:t>17.4</w:t>
            </w:r>
          </w:p>
        </w:tc>
        <w:tc>
          <w:tcPr>
            <w:tcW w:w="434" w:type="pct"/>
            <w:vAlign w:val="center"/>
          </w:tcPr>
          <w:p w14:paraId="16FC6286">
            <w:pPr>
              <w:pStyle w:val="12"/>
              <w:jc w:val="center"/>
              <w:rPr>
                <w:rFonts w:ascii="宋体" w:hAnsi="宋体"/>
                <w:w w:val="90"/>
              </w:rPr>
            </w:pPr>
            <w:r>
              <w:rPr>
                <w:rFonts w:hint="eastAsia" w:ascii="宋体" w:hAnsi="宋体"/>
                <w:w w:val="90"/>
              </w:rPr>
              <w:t>562.3</w:t>
            </w:r>
          </w:p>
        </w:tc>
        <w:tc>
          <w:tcPr>
            <w:tcW w:w="411" w:type="pct"/>
            <w:vAlign w:val="center"/>
          </w:tcPr>
          <w:p w14:paraId="7386C56A">
            <w:pPr>
              <w:pStyle w:val="12"/>
              <w:jc w:val="center"/>
              <w:rPr>
                <w:rFonts w:ascii="宋体" w:hAnsi="宋体"/>
                <w:w w:val="90"/>
              </w:rPr>
            </w:pPr>
            <w:r>
              <w:rPr>
                <w:rFonts w:hint="eastAsia" w:ascii="宋体" w:hAnsi="宋体"/>
                <w:w w:val="90"/>
              </w:rPr>
              <w:t>349.1</w:t>
            </w:r>
          </w:p>
        </w:tc>
        <w:tc>
          <w:tcPr>
            <w:tcW w:w="457" w:type="pct"/>
            <w:vAlign w:val="center"/>
          </w:tcPr>
          <w:p w14:paraId="1CD85F1F">
            <w:pPr>
              <w:pStyle w:val="12"/>
              <w:jc w:val="center"/>
              <w:rPr>
                <w:rFonts w:ascii="宋体" w:hAnsi="宋体"/>
                <w:w w:val="90"/>
              </w:rPr>
            </w:pPr>
            <w:r>
              <w:rPr>
                <w:rFonts w:hint="eastAsia" w:ascii="宋体" w:hAnsi="宋体"/>
                <w:w w:val="90"/>
              </w:rPr>
              <w:t>—</w:t>
            </w:r>
          </w:p>
        </w:tc>
        <w:tc>
          <w:tcPr>
            <w:tcW w:w="433" w:type="pct"/>
            <w:vAlign w:val="center"/>
          </w:tcPr>
          <w:p w14:paraId="220D0970">
            <w:pPr>
              <w:pStyle w:val="12"/>
              <w:jc w:val="center"/>
              <w:rPr>
                <w:rFonts w:ascii="宋体" w:hAnsi="宋体"/>
                <w:w w:val="90"/>
              </w:rPr>
            </w:pPr>
            <w:r>
              <w:rPr>
                <w:rFonts w:hint="eastAsia" w:ascii="宋体" w:hAnsi="宋体"/>
                <w:w w:val="90"/>
              </w:rPr>
              <w:t>73.3</w:t>
            </w:r>
          </w:p>
        </w:tc>
      </w:tr>
      <w:tr w14:paraId="1FC0FCB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0" w:type="pct"/>
            <w:vAlign w:val="center"/>
          </w:tcPr>
          <w:p w14:paraId="76688ACF">
            <w:pPr>
              <w:pStyle w:val="12"/>
              <w:jc w:val="center"/>
              <w:rPr>
                <w:rFonts w:ascii="宋体" w:hAnsi="宋体"/>
                <w:w w:val="90"/>
              </w:rPr>
            </w:pPr>
            <w:r>
              <w:rPr>
                <w:rFonts w:hint="eastAsia" w:ascii="宋体" w:hAnsi="宋体"/>
                <w:w w:val="90"/>
              </w:rPr>
              <w:t>帽子峰</w:t>
            </w:r>
          </w:p>
          <w:p w14:paraId="72AC2369">
            <w:pPr>
              <w:pStyle w:val="12"/>
              <w:jc w:val="center"/>
              <w:rPr>
                <w:rFonts w:ascii="宋体" w:hAnsi="宋体"/>
                <w:w w:val="90"/>
              </w:rPr>
            </w:pPr>
            <w:r>
              <w:rPr>
                <w:rFonts w:hint="eastAsia" w:ascii="宋体" w:hAnsi="宋体"/>
                <w:w w:val="90"/>
              </w:rPr>
              <w:t>林场</w:t>
            </w:r>
          </w:p>
        </w:tc>
        <w:tc>
          <w:tcPr>
            <w:tcW w:w="479" w:type="pct"/>
            <w:vAlign w:val="center"/>
          </w:tcPr>
          <w:p w14:paraId="7B43D4A7">
            <w:pPr>
              <w:pStyle w:val="12"/>
              <w:jc w:val="center"/>
              <w:rPr>
                <w:rFonts w:ascii="宋体" w:hAnsi="宋体"/>
                <w:w w:val="90"/>
              </w:rPr>
            </w:pPr>
            <w:r>
              <w:rPr>
                <w:rFonts w:hint="eastAsia" w:ascii="宋体" w:hAnsi="宋体"/>
                <w:w w:val="90"/>
              </w:rPr>
              <w:t>2919.9</w:t>
            </w:r>
          </w:p>
        </w:tc>
        <w:tc>
          <w:tcPr>
            <w:tcW w:w="479" w:type="pct"/>
            <w:vAlign w:val="center"/>
          </w:tcPr>
          <w:p w14:paraId="18BF021F">
            <w:pPr>
              <w:pStyle w:val="12"/>
              <w:jc w:val="center"/>
              <w:rPr>
                <w:rFonts w:ascii="宋体" w:hAnsi="宋体"/>
                <w:w w:val="90"/>
              </w:rPr>
            </w:pPr>
            <w:r>
              <w:rPr>
                <w:rFonts w:hint="eastAsia" w:ascii="宋体" w:hAnsi="宋体"/>
                <w:w w:val="90"/>
              </w:rPr>
              <w:t>2851.5</w:t>
            </w:r>
          </w:p>
        </w:tc>
        <w:tc>
          <w:tcPr>
            <w:tcW w:w="433" w:type="pct"/>
            <w:vAlign w:val="center"/>
          </w:tcPr>
          <w:p w14:paraId="788E0914">
            <w:pPr>
              <w:pStyle w:val="12"/>
              <w:jc w:val="center"/>
              <w:rPr>
                <w:rFonts w:ascii="宋体" w:hAnsi="宋体"/>
                <w:w w:val="90"/>
              </w:rPr>
            </w:pPr>
            <w:r>
              <w:rPr>
                <w:rFonts w:hint="eastAsia" w:ascii="宋体" w:hAnsi="宋体"/>
                <w:w w:val="90"/>
              </w:rPr>
              <w:t>97.7</w:t>
            </w:r>
          </w:p>
        </w:tc>
        <w:tc>
          <w:tcPr>
            <w:tcW w:w="479" w:type="pct"/>
            <w:vAlign w:val="center"/>
          </w:tcPr>
          <w:p w14:paraId="1B75F7EF">
            <w:pPr>
              <w:pStyle w:val="12"/>
              <w:jc w:val="center"/>
              <w:rPr>
                <w:rFonts w:ascii="宋体" w:hAnsi="宋体"/>
                <w:w w:val="90"/>
              </w:rPr>
            </w:pPr>
            <w:r>
              <w:rPr>
                <w:rFonts w:hint="eastAsia" w:ascii="宋体" w:hAnsi="宋体"/>
                <w:w w:val="90"/>
              </w:rPr>
              <w:t>2536.0</w:t>
            </w:r>
          </w:p>
        </w:tc>
        <w:tc>
          <w:tcPr>
            <w:tcW w:w="433" w:type="pct"/>
            <w:vAlign w:val="center"/>
          </w:tcPr>
          <w:p w14:paraId="126E4E45">
            <w:pPr>
              <w:pStyle w:val="12"/>
              <w:jc w:val="center"/>
              <w:rPr>
                <w:rFonts w:ascii="宋体" w:hAnsi="宋体"/>
                <w:w w:val="90"/>
              </w:rPr>
            </w:pPr>
            <w:r>
              <w:rPr>
                <w:rFonts w:hint="eastAsia" w:ascii="宋体" w:hAnsi="宋体"/>
                <w:w w:val="90"/>
              </w:rPr>
              <w:t>—</w:t>
            </w:r>
          </w:p>
        </w:tc>
        <w:tc>
          <w:tcPr>
            <w:tcW w:w="432" w:type="pct"/>
            <w:vAlign w:val="center"/>
          </w:tcPr>
          <w:p w14:paraId="339DAAD2">
            <w:pPr>
              <w:pStyle w:val="12"/>
              <w:jc w:val="center"/>
              <w:rPr>
                <w:rFonts w:ascii="宋体" w:hAnsi="宋体"/>
                <w:w w:val="90"/>
              </w:rPr>
            </w:pPr>
            <w:r>
              <w:rPr>
                <w:rFonts w:hint="eastAsia" w:ascii="宋体" w:hAnsi="宋体"/>
                <w:w w:val="90"/>
              </w:rPr>
              <w:t>2.5</w:t>
            </w:r>
          </w:p>
        </w:tc>
        <w:tc>
          <w:tcPr>
            <w:tcW w:w="434" w:type="pct"/>
            <w:vAlign w:val="center"/>
          </w:tcPr>
          <w:p w14:paraId="312DFD76">
            <w:pPr>
              <w:pStyle w:val="12"/>
              <w:jc w:val="center"/>
              <w:rPr>
                <w:rFonts w:ascii="宋体" w:hAnsi="宋体"/>
                <w:w w:val="90"/>
              </w:rPr>
            </w:pPr>
            <w:r>
              <w:rPr>
                <w:rFonts w:hint="eastAsia" w:ascii="宋体" w:hAnsi="宋体"/>
                <w:w w:val="90"/>
              </w:rPr>
              <w:t>276.4</w:t>
            </w:r>
          </w:p>
        </w:tc>
        <w:tc>
          <w:tcPr>
            <w:tcW w:w="411" w:type="pct"/>
            <w:vAlign w:val="center"/>
          </w:tcPr>
          <w:p w14:paraId="281025E5">
            <w:pPr>
              <w:pStyle w:val="12"/>
              <w:jc w:val="center"/>
              <w:rPr>
                <w:rFonts w:ascii="宋体" w:hAnsi="宋体"/>
                <w:w w:val="90"/>
              </w:rPr>
            </w:pPr>
            <w:r>
              <w:rPr>
                <w:rFonts w:hint="eastAsia" w:ascii="宋体" w:hAnsi="宋体"/>
                <w:w w:val="90"/>
              </w:rPr>
              <w:t>36.6</w:t>
            </w:r>
          </w:p>
        </w:tc>
        <w:tc>
          <w:tcPr>
            <w:tcW w:w="457" w:type="pct"/>
            <w:vAlign w:val="center"/>
          </w:tcPr>
          <w:p w14:paraId="47AAE50C">
            <w:pPr>
              <w:pStyle w:val="12"/>
              <w:jc w:val="center"/>
              <w:rPr>
                <w:rFonts w:ascii="宋体" w:hAnsi="宋体"/>
                <w:w w:val="90"/>
              </w:rPr>
            </w:pPr>
            <w:r>
              <w:rPr>
                <w:rFonts w:hint="eastAsia" w:ascii="宋体" w:hAnsi="宋体"/>
                <w:w w:val="90"/>
              </w:rPr>
              <w:t>—</w:t>
            </w:r>
          </w:p>
        </w:tc>
        <w:tc>
          <w:tcPr>
            <w:tcW w:w="433" w:type="pct"/>
            <w:vAlign w:val="center"/>
          </w:tcPr>
          <w:p w14:paraId="046808B1">
            <w:pPr>
              <w:pStyle w:val="12"/>
              <w:jc w:val="center"/>
              <w:rPr>
                <w:rFonts w:ascii="宋体" w:hAnsi="宋体"/>
                <w:w w:val="90"/>
              </w:rPr>
            </w:pPr>
            <w:r>
              <w:rPr>
                <w:rFonts w:hint="eastAsia" w:ascii="宋体" w:hAnsi="宋体"/>
                <w:w w:val="90"/>
              </w:rPr>
              <w:t>86.98</w:t>
            </w:r>
          </w:p>
        </w:tc>
      </w:tr>
      <w:tr w14:paraId="609BD6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0" w:type="pct"/>
            <w:vAlign w:val="center"/>
          </w:tcPr>
          <w:p w14:paraId="1967CF99">
            <w:pPr>
              <w:pStyle w:val="12"/>
              <w:jc w:val="center"/>
              <w:rPr>
                <w:rFonts w:ascii="宋体" w:hAnsi="宋体"/>
                <w:w w:val="90"/>
              </w:rPr>
            </w:pPr>
            <w:r>
              <w:rPr>
                <w:rFonts w:hint="eastAsia" w:ascii="宋体" w:hAnsi="宋体"/>
                <w:w w:val="90"/>
              </w:rPr>
              <w:t>山门林场</w:t>
            </w:r>
          </w:p>
        </w:tc>
        <w:tc>
          <w:tcPr>
            <w:tcW w:w="479" w:type="pct"/>
            <w:vAlign w:val="center"/>
          </w:tcPr>
          <w:p w14:paraId="087E60C3">
            <w:pPr>
              <w:pStyle w:val="12"/>
              <w:jc w:val="center"/>
              <w:rPr>
                <w:rFonts w:ascii="宋体" w:hAnsi="宋体"/>
                <w:w w:val="90"/>
              </w:rPr>
            </w:pPr>
            <w:r>
              <w:rPr>
                <w:rFonts w:hint="eastAsia" w:ascii="宋体" w:hAnsi="宋体"/>
                <w:w w:val="90"/>
              </w:rPr>
              <w:t>1749.2</w:t>
            </w:r>
          </w:p>
        </w:tc>
        <w:tc>
          <w:tcPr>
            <w:tcW w:w="479" w:type="pct"/>
            <w:vAlign w:val="center"/>
          </w:tcPr>
          <w:p w14:paraId="345DB32C">
            <w:pPr>
              <w:pStyle w:val="12"/>
              <w:jc w:val="center"/>
              <w:rPr>
                <w:rFonts w:ascii="宋体" w:hAnsi="宋体"/>
                <w:w w:val="90"/>
              </w:rPr>
            </w:pPr>
            <w:r>
              <w:rPr>
                <w:rFonts w:hint="eastAsia" w:ascii="宋体" w:hAnsi="宋体"/>
                <w:w w:val="90"/>
              </w:rPr>
              <w:t>1735.9</w:t>
            </w:r>
          </w:p>
        </w:tc>
        <w:tc>
          <w:tcPr>
            <w:tcW w:w="433" w:type="pct"/>
            <w:vAlign w:val="center"/>
          </w:tcPr>
          <w:p w14:paraId="2806979A">
            <w:pPr>
              <w:pStyle w:val="12"/>
              <w:jc w:val="center"/>
              <w:rPr>
                <w:rFonts w:ascii="宋体" w:hAnsi="宋体"/>
                <w:w w:val="90"/>
              </w:rPr>
            </w:pPr>
            <w:r>
              <w:rPr>
                <w:rFonts w:hint="eastAsia" w:ascii="宋体" w:hAnsi="宋体"/>
                <w:w w:val="90"/>
              </w:rPr>
              <w:t>99.2</w:t>
            </w:r>
          </w:p>
        </w:tc>
        <w:tc>
          <w:tcPr>
            <w:tcW w:w="479" w:type="pct"/>
            <w:vAlign w:val="center"/>
          </w:tcPr>
          <w:p w14:paraId="6923B4A0">
            <w:pPr>
              <w:pStyle w:val="12"/>
              <w:jc w:val="center"/>
              <w:rPr>
                <w:rFonts w:ascii="宋体" w:hAnsi="宋体"/>
                <w:w w:val="90"/>
              </w:rPr>
            </w:pPr>
            <w:r>
              <w:rPr>
                <w:rFonts w:hint="eastAsia" w:ascii="宋体" w:hAnsi="宋体"/>
                <w:w w:val="90"/>
              </w:rPr>
              <w:t>1653.8</w:t>
            </w:r>
          </w:p>
        </w:tc>
        <w:tc>
          <w:tcPr>
            <w:tcW w:w="433" w:type="pct"/>
            <w:vAlign w:val="center"/>
          </w:tcPr>
          <w:p w14:paraId="21BF80A9">
            <w:pPr>
              <w:pStyle w:val="12"/>
              <w:jc w:val="center"/>
              <w:rPr>
                <w:rFonts w:ascii="宋体" w:hAnsi="宋体"/>
                <w:w w:val="90"/>
              </w:rPr>
            </w:pPr>
            <w:r>
              <w:rPr>
                <w:rFonts w:hint="eastAsia" w:ascii="宋体" w:hAnsi="宋体"/>
                <w:w w:val="90"/>
              </w:rPr>
              <w:t>7.4</w:t>
            </w:r>
          </w:p>
        </w:tc>
        <w:tc>
          <w:tcPr>
            <w:tcW w:w="432" w:type="pct"/>
            <w:vAlign w:val="center"/>
          </w:tcPr>
          <w:p w14:paraId="78DD8608">
            <w:pPr>
              <w:pStyle w:val="12"/>
              <w:jc w:val="center"/>
              <w:rPr>
                <w:rFonts w:ascii="宋体" w:hAnsi="宋体"/>
                <w:w w:val="90"/>
              </w:rPr>
            </w:pPr>
            <w:r>
              <w:rPr>
                <w:rFonts w:hint="eastAsia" w:ascii="宋体" w:hAnsi="宋体"/>
                <w:w w:val="90"/>
              </w:rPr>
              <w:t>3.6</w:t>
            </w:r>
          </w:p>
        </w:tc>
        <w:tc>
          <w:tcPr>
            <w:tcW w:w="434" w:type="pct"/>
            <w:vAlign w:val="center"/>
          </w:tcPr>
          <w:p w14:paraId="7F56C4E7">
            <w:pPr>
              <w:pStyle w:val="12"/>
              <w:jc w:val="center"/>
              <w:rPr>
                <w:rFonts w:ascii="宋体" w:hAnsi="宋体"/>
                <w:w w:val="90"/>
              </w:rPr>
            </w:pPr>
            <w:r>
              <w:rPr>
                <w:rFonts w:hint="eastAsia" w:ascii="宋体" w:hAnsi="宋体"/>
                <w:w w:val="90"/>
              </w:rPr>
              <w:t>61.1</w:t>
            </w:r>
          </w:p>
        </w:tc>
        <w:tc>
          <w:tcPr>
            <w:tcW w:w="411" w:type="pct"/>
            <w:vAlign w:val="center"/>
          </w:tcPr>
          <w:p w14:paraId="0C615319">
            <w:pPr>
              <w:pStyle w:val="12"/>
              <w:jc w:val="center"/>
              <w:rPr>
                <w:rFonts w:ascii="宋体" w:hAnsi="宋体"/>
                <w:w w:val="90"/>
              </w:rPr>
            </w:pPr>
            <w:r>
              <w:rPr>
                <w:rFonts w:hint="eastAsia" w:ascii="宋体" w:hAnsi="宋体"/>
                <w:w w:val="90"/>
              </w:rPr>
              <w:t>10.0</w:t>
            </w:r>
          </w:p>
        </w:tc>
        <w:tc>
          <w:tcPr>
            <w:tcW w:w="457" w:type="pct"/>
            <w:vAlign w:val="center"/>
          </w:tcPr>
          <w:p w14:paraId="6EDA4812">
            <w:pPr>
              <w:pStyle w:val="12"/>
              <w:jc w:val="center"/>
              <w:rPr>
                <w:rFonts w:ascii="宋体" w:hAnsi="宋体"/>
                <w:w w:val="90"/>
              </w:rPr>
            </w:pPr>
            <w:r>
              <w:rPr>
                <w:rFonts w:hint="eastAsia" w:ascii="宋体" w:hAnsi="宋体"/>
                <w:w w:val="90"/>
              </w:rPr>
              <w:t>—</w:t>
            </w:r>
          </w:p>
        </w:tc>
        <w:tc>
          <w:tcPr>
            <w:tcW w:w="433" w:type="pct"/>
            <w:vAlign w:val="center"/>
          </w:tcPr>
          <w:p w14:paraId="0BFD1ABC">
            <w:pPr>
              <w:pStyle w:val="12"/>
              <w:jc w:val="center"/>
              <w:rPr>
                <w:rFonts w:ascii="宋体" w:hAnsi="宋体"/>
                <w:w w:val="90"/>
              </w:rPr>
            </w:pPr>
            <w:r>
              <w:rPr>
                <w:rFonts w:hint="eastAsia" w:ascii="宋体" w:hAnsi="宋体"/>
                <w:w w:val="90"/>
              </w:rPr>
              <w:t>94.8</w:t>
            </w:r>
          </w:p>
        </w:tc>
      </w:tr>
      <w:tr w14:paraId="2146F1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0" w:type="pct"/>
            <w:vAlign w:val="center"/>
          </w:tcPr>
          <w:p w14:paraId="08327542">
            <w:pPr>
              <w:pStyle w:val="12"/>
              <w:jc w:val="center"/>
              <w:rPr>
                <w:rFonts w:ascii="宋体" w:hAnsi="宋体"/>
                <w:w w:val="90"/>
              </w:rPr>
            </w:pPr>
            <w:r>
              <w:rPr>
                <w:rFonts w:hint="eastAsia" w:ascii="宋体" w:hAnsi="宋体"/>
                <w:w w:val="90"/>
              </w:rPr>
              <w:t>泷头林场</w:t>
            </w:r>
          </w:p>
        </w:tc>
        <w:tc>
          <w:tcPr>
            <w:tcW w:w="479" w:type="pct"/>
            <w:vAlign w:val="center"/>
          </w:tcPr>
          <w:p w14:paraId="7F2B9115">
            <w:pPr>
              <w:pStyle w:val="12"/>
              <w:jc w:val="center"/>
              <w:rPr>
                <w:rFonts w:ascii="宋体" w:hAnsi="宋体"/>
                <w:w w:val="90"/>
              </w:rPr>
            </w:pPr>
            <w:r>
              <w:rPr>
                <w:rFonts w:hint="eastAsia" w:ascii="宋体" w:hAnsi="宋体"/>
                <w:w w:val="90"/>
              </w:rPr>
              <w:t>940.9</w:t>
            </w:r>
          </w:p>
        </w:tc>
        <w:tc>
          <w:tcPr>
            <w:tcW w:w="479" w:type="pct"/>
            <w:vAlign w:val="center"/>
          </w:tcPr>
          <w:p w14:paraId="225DD4D1">
            <w:pPr>
              <w:pStyle w:val="12"/>
              <w:jc w:val="center"/>
              <w:rPr>
                <w:rFonts w:ascii="宋体" w:hAnsi="宋体"/>
                <w:w w:val="90"/>
              </w:rPr>
            </w:pPr>
            <w:r>
              <w:rPr>
                <w:rFonts w:hint="eastAsia" w:ascii="宋体" w:hAnsi="宋体"/>
                <w:w w:val="90"/>
              </w:rPr>
              <w:t>921.5</w:t>
            </w:r>
          </w:p>
        </w:tc>
        <w:tc>
          <w:tcPr>
            <w:tcW w:w="433" w:type="pct"/>
            <w:vAlign w:val="center"/>
          </w:tcPr>
          <w:p w14:paraId="360CDBC2">
            <w:pPr>
              <w:pStyle w:val="12"/>
              <w:jc w:val="center"/>
              <w:rPr>
                <w:rFonts w:ascii="宋体" w:hAnsi="宋体"/>
                <w:w w:val="90"/>
              </w:rPr>
            </w:pPr>
            <w:r>
              <w:rPr>
                <w:rFonts w:hint="eastAsia" w:ascii="宋体" w:hAnsi="宋体"/>
                <w:w w:val="90"/>
              </w:rPr>
              <w:t>97.9</w:t>
            </w:r>
          </w:p>
        </w:tc>
        <w:tc>
          <w:tcPr>
            <w:tcW w:w="479" w:type="pct"/>
            <w:vAlign w:val="center"/>
          </w:tcPr>
          <w:p w14:paraId="2EE6222A">
            <w:pPr>
              <w:pStyle w:val="12"/>
              <w:jc w:val="center"/>
              <w:rPr>
                <w:rFonts w:ascii="宋体" w:hAnsi="宋体"/>
                <w:w w:val="90"/>
              </w:rPr>
            </w:pPr>
            <w:r>
              <w:rPr>
                <w:rFonts w:hint="eastAsia" w:ascii="宋体" w:hAnsi="宋体"/>
                <w:w w:val="90"/>
              </w:rPr>
              <w:t>729.4</w:t>
            </w:r>
          </w:p>
        </w:tc>
        <w:tc>
          <w:tcPr>
            <w:tcW w:w="433" w:type="pct"/>
            <w:vAlign w:val="center"/>
          </w:tcPr>
          <w:p w14:paraId="6511A207">
            <w:pPr>
              <w:pStyle w:val="12"/>
              <w:jc w:val="center"/>
              <w:rPr>
                <w:rFonts w:ascii="宋体" w:hAnsi="宋体"/>
                <w:w w:val="90"/>
              </w:rPr>
            </w:pPr>
            <w:r>
              <w:rPr>
                <w:rFonts w:hint="eastAsia" w:ascii="宋体" w:hAnsi="宋体"/>
                <w:w w:val="90"/>
              </w:rPr>
              <w:t>—</w:t>
            </w:r>
          </w:p>
        </w:tc>
        <w:tc>
          <w:tcPr>
            <w:tcW w:w="432" w:type="pct"/>
            <w:vAlign w:val="center"/>
          </w:tcPr>
          <w:p w14:paraId="3BAD133E">
            <w:pPr>
              <w:pStyle w:val="12"/>
              <w:jc w:val="center"/>
              <w:rPr>
                <w:rFonts w:ascii="宋体" w:hAnsi="宋体"/>
                <w:w w:val="90"/>
              </w:rPr>
            </w:pPr>
            <w:r>
              <w:rPr>
                <w:rFonts w:hint="eastAsia" w:ascii="宋体" w:hAnsi="宋体"/>
                <w:w w:val="90"/>
              </w:rPr>
              <w:t>1.5</w:t>
            </w:r>
          </w:p>
        </w:tc>
        <w:tc>
          <w:tcPr>
            <w:tcW w:w="434" w:type="pct"/>
            <w:vAlign w:val="center"/>
          </w:tcPr>
          <w:p w14:paraId="7D6785FE">
            <w:pPr>
              <w:pStyle w:val="12"/>
              <w:jc w:val="center"/>
              <w:rPr>
                <w:rFonts w:ascii="宋体" w:hAnsi="宋体"/>
                <w:w w:val="90"/>
              </w:rPr>
            </w:pPr>
            <w:r>
              <w:rPr>
                <w:rFonts w:hint="eastAsia" w:ascii="宋体" w:hAnsi="宋体"/>
                <w:w w:val="90"/>
              </w:rPr>
              <w:t>154.1</w:t>
            </w:r>
          </w:p>
        </w:tc>
        <w:tc>
          <w:tcPr>
            <w:tcW w:w="411" w:type="pct"/>
            <w:vAlign w:val="center"/>
          </w:tcPr>
          <w:p w14:paraId="7CE71E0B">
            <w:pPr>
              <w:pStyle w:val="12"/>
              <w:jc w:val="center"/>
              <w:rPr>
                <w:rFonts w:ascii="宋体" w:hAnsi="宋体"/>
                <w:w w:val="90"/>
              </w:rPr>
            </w:pPr>
            <w:r>
              <w:rPr>
                <w:rFonts w:hint="eastAsia" w:ascii="宋体" w:hAnsi="宋体"/>
                <w:w w:val="90"/>
              </w:rPr>
              <w:t>36.5</w:t>
            </w:r>
          </w:p>
        </w:tc>
        <w:tc>
          <w:tcPr>
            <w:tcW w:w="457" w:type="pct"/>
            <w:vAlign w:val="center"/>
          </w:tcPr>
          <w:p w14:paraId="515F8BE7">
            <w:pPr>
              <w:pStyle w:val="12"/>
              <w:jc w:val="center"/>
              <w:rPr>
                <w:rFonts w:ascii="宋体" w:hAnsi="宋体"/>
                <w:w w:val="90"/>
              </w:rPr>
            </w:pPr>
            <w:r>
              <w:rPr>
                <w:rFonts w:hint="eastAsia" w:ascii="宋体" w:hAnsi="宋体"/>
                <w:w w:val="90"/>
              </w:rPr>
              <w:t>—</w:t>
            </w:r>
          </w:p>
        </w:tc>
        <w:tc>
          <w:tcPr>
            <w:tcW w:w="433" w:type="pct"/>
            <w:vAlign w:val="center"/>
          </w:tcPr>
          <w:p w14:paraId="3A0EC0C7">
            <w:pPr>
              <w:pStyle w:val="12"/>
              <w:jc w:val="center"/>
              <w:rPr>
                <w:rFonts w:ascii="宋体" w:hAnsi="宋体"/>
                <w:w w:val="90"/>
              </w:rPr>
            </w:pPr>
            <w:r>
              <w:rPr>
                <w:rFonts w:hint="eastAsia" w:ascii="宋体" w:hAnsi="宋体"/>
                <w:w w:val="90"/>
              </w:rPr>
              <w:t>77.7</w:t>
            </w:r>
          </w:p>
        </w:tc>
      </w:tr>
      <w:tr w14:paraId="767F58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0" w:type="pct"/>
            <w:vAlign w:val="center"/>
          </w:tcPr>
          <w:p w14:paraId="661823A0">
            <w:pPr>
              <w:pStyle w:val="12"/>
              <w:jc w:val="center"/>
              <w:rPr>
                <w:rFonts w:ascii="宋体" w:hAnsi="宋体"/>
                <w:w w:val="90"/>
              </w:rPr>
            </w:pPr>
            <w:r>
              <w:rPr>
                <w:rFonts w:hint="eastAsia" w:ascii="宋体" w:hAnsi="宋体"/>
                <w:w w:val="90"/>
              </w:rPr>
              <w:t>全安镇</w:t>
            </w:r>
          </w:p>
        </w:tc>
        <w:tc>
          <w:tcPr>
            <w:tcW w:w="479" w:type="pct"/>
            <w:vAlign w:val="center"/>
          </w:tcPr>
          <w:p w14:paraId="13062325">
            <w:pPr>
              <w:pStyle w:val="12"/>
              <w:jc w:val="center"/>
              <w:rPr>
                <w:rFonts w:ascii="宋体" w:hAnsi="宋体"/>
                <w:w w:val="90"/>
              </w:rPr>
            </w:pPr>
            <w:r>
              <w:rPr>
                <w:rFonts w:hint="eastAsia" w:ascii="宋体" w:hAnsi="宋体"/>
                <w:w w:val="90"/>
              </w:rPr>
              <w:t>18279.2</w:t>
            </w:r>
          </w:p>
        </w:tc>
        <w:tc>
          <w:tcPr>
            <w:tcW w:w="479" w:type="pct"/>
            <w:vAlign w:val="center"/>
          </w:tcPr>
          <w:p w14:paraId="028A5286">
            <w:pPr>
              <w:pStyle w:val="12"/>
              <w:jc w:val="center"/>
              <w:rPr>
                <w:rFonts w:ascii="宋体" w:hAnsi="宋体"/>
                <w:w w:val="90"/>
              </w:rPr>
            </w:pPr>
            <w:r>
              <w:rPr>
                <w:rFonts w:hint="eastAsia" w:ascii="宋体" w:hAnsi="宋体"/>
                <w:w w:val="90"/>
              </w:rPr>
              <w:t>14187.1</w:t>
            </w:r>
          </w:p>
        </w:tc>
        <w:tc>
          <w:tcPr>
            <w:tcW w:w="433" w:type="pct"/>
            <w:vAlign w:val="center"/>
          </w:tcPr>
          <w:p w14:paraId="0199A48E">
            <w:pPr>
              <w:pStyle w:val="12"/>
              <w:jc w:val="center"/>
              <w:rPr>
                <w:rFonts w:ascii="宋体" w:hAnsi="宋体"/>
                <w:w w:val="90"/>
              </w:rPr>
            </w:pPr>
            <w:r>
              <w:rPr>
                <w:rFonts w:hint="eastAsia" w:ascii="宋体" w:hAnsi="宋体"/>
                <w:w w:val="90"/>
              </w:rPr>
              <w:t>75.7</w:t>
            </w:r>
          </w:p>
        </w:tc>
        <w:tc>
          <w:tcPr>
            <w:tcW w:w="479" w:type="pct"/>
            <w:vAlign w:val="center"/>
          </w:tcPr>
          <w:p w14:paraId="5BCB31B4">
            <w:pPr>
              <w:pStyle w:val="12"/>
              <w:jc w:val="center"/>
              <w:rPr>
                <w:rFonts w:ascii="宋体" w:hAnsi="宋体"/>
                <w:w w:val="90"/>
              </w:rPr>
            </w:pPr>
            <w:r>
              <w:rPr>
                <w:rFonts w:hint="eastAsia" w:ascii="宋体" w:hAnsi="宋体"/>
                <w:w w:val="90"/>
              </w:rPr>
              <w:t>13527.7</w:t>
            </w:r>
          </w:p>
        </w:tc>
        <w:tc>
          <w:tcPr>
            <w:tcW w:w="433" w:type="pct"/>
            <w:vAlign w:val="center"/>
          </w:tcPr>
          <w:p w14:paraId="6531B439">
            <w:pPr>
              <w:pStyle w:val="12"/>
              <w:jc w:val="center"/>
              <w:rPr>
                <w:rFonts w:ascii="宋体" w:hAnsi="宋体"/>
                <w:w w:val="90"/>
              </w:rPr>
            </w:pPr>
            <w:r>
              <w:rPr>
                <w:rFonts w:hint="eastAsia" w:ascii="宋体" w:hAnsi="宋体"/>
                <w:w w:val="90"/>
              </w:rPr>
              <w:t>—</w:t>
            </w:r>
          </w:p>
        </w:tc>
        <w:tc>
          <w:tcPr>
            <w:tcW w:w="432" w:type="pct"/>
            <w:vAlign w:val="center"/>
          </w:tcPr>
          <w:p w14:paraId="7157192E">
            <w:pPr>
              <w:pStyle w:val="12"/>
              <w:jc w:val="center"/>
              <w:rPr>
                <w:rFonts w:ascii="宋体" w:hAnsi="宋体"/>
                <w:w w:val="90"/>
              </w:rPr>
            </w:pPr>
            <w:r>
              <w:rPr>
                <w:rFonts w:hint="eastAsia" w:ascii="宋体" w:hAnsi="宋体"/>
                <w:w w:val="90"/>
              </w:rPr>
              <w:t>92.2</w:t>
            </w:r>
          </w:p>
        </w:tc>
        <w:tc>
          <w:tcPr>
            <w:tcW w:w="434" w:type="pct"/>
            <w:vAlign w:val="center"/>
          </w:tcPr>
          <w:p w14:paraId="3E021CC5">
            <w:pPr>
              <w:pStyle w:val="12"/>
              <w:jc w:val="center"/>
              <w:rPr>
                <w:rFonts w:ascii="宋体" w:hAnsi="宋体"/>
                <w:w w:val="90"/>
              </w:rPr>
            </w:pPr>
            <w:r>
              <w:rPr>
                <w:rFonts w:hint="eastAsia" w:ascii="宋体" w:hAnsi="宋体"/>
                <w:w w:val="90"/>
              </w:rPr>
              <w:t>—</w:t>
            </w:r>
          </w:p>
        </w:tc>
        <w:tc>
          <w:tcPr>
            <w:tcW w:w="411" w:type="pct"/>
            <w:vAlign w:val="center"/>
          </w:tcPr>
          <w:p w14:paraId="10609C11">
            <w:pPr>
              <w:pStyle w:val="12"/>
              <w:jc w:val="center"/>
              <w:rPr>
                <w:rFonts w:ascii="宋体" w:hAnsi="宋体"/>
                <w:w w:val="90"/>
              </w:rPr>
            </w:pPr>
            <w:r>
              <w:rPr>
                <w:rFonts w:hint="eastAsia" w:ascii="宋体" w:hAnsi="宋体"/>
                <w:w w:val="90"/>
              </w:rPr>
              <w:t>567.2</w:t>
            </w:r>
          </w:p>
        </w:tc>
        <w:tc>
          <w:tcPr>
            <w:tcW w:w="457" w:type="pct"/>
            <w:vAlign w:val="center"/>
          </w:tcPr>
          <w:p w14:paraId="5C32D9F8">
            <w:pPr>
              <w:pStyle w:val="12"/>
              <w:jc w:val="center"/>
              <w:rPr>
                <w:rFonts w:ascii="宋体" w:hAnsi="宋体"/>
                <w:w w:val="90"/>
              </w:rPr>
            </w:pPr>
            <w:r>
              <w:rPr>
                <w:rFonts w:hint="eastAsia" w:ascii="宋体" w:hAnsi="宋体"/>
                <w:w w:val="90"/>
              </w:rPr>
              <w:t>—</w:t>
            </w:r>
          </w:p>
        </w:tc>
        <w:tc>
          <w:tcPr>
            <w:tcW w:w="433" w:type="pct"/>
            <w:vAlign w:val="center"/>
          </w:tcPr>
          <w:p w14:paraId="7DE38660">
            <w:pPr>
              <w:pStyle w:val="12"/>
              <w:jc w:val="center"/>
              <w:rPr>
                <w:rFonts w:ascii="宋体" w:hAnsi="宋体"/>
                <w:w w:val="90"/>
              </w:rPr>
            </w:pPr>
            <w:r>
              <w:rPr>
                <w:rFonts w:hint="eastAsia" w:ascii="宋体" w:hAnsi="宋体"/>
                <w:w w:val="90"/>
              </w:rPr>
              <w:t>72.7</w:t>
            </w:r>
          </w:p>
        </w:tc>
      </w:tr>
      <w:tr w14:paraId="200507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0" w:type="pct"/>
            <w:vAlign w:val="center"/>
          </w:tcPr>
          <w:p w14:paraId="1C4BAF02">
            <w:pPr>
              <w:pStyle w:val="12"/>
              <w:jc w:val="center"/>
              <w:rPr>
                <w:rFonts w:ascii="宋体" w:hAnsi="宋体"/>
                <w:w w:val="90"/>
              </w:rPr>
            </w:pPr>
            <w:r>
              <w:rPr>
                <w:rFonts w:hint="eastAsia" w:ascii="宋体" w:hAnsi="宋体"/>
                <w:w w:val="90"/>
              </w:rPr>
              <w:t>古市镇</w:t>
            </w:r>
          </w:p>
        </w:tc>
        <w:tc>
          <w:tcPr>
            <w:tcW w:w="479" w:type="pct"/>
            <w:vAlign w:val="center"/>
          </w:tcPr>
          <w:p w14:paraId="18626ADA">
            <w:pPr>
              <w:pStyle w:val="12"/>
              <w:jc w:val="center"/>
              <w:rPr>
                <w:rFonts w:ascii="宋体" w:hAnsi="宋体"/>
                <w:w w:val="90"/>
              </w:rPr>
            </w:pPr>
            <w:r>
              <w:rPr>
                <w:rFonts w:hint="eastAsia" w:ascii="宋体" w:hAnsi="宋体"/>
                <w:w w:val="90"/>
              </w:rPr>
              <w:t>10014.1</w:t>
            </w:r>
          </w:p>
        </w:tc>
        <w:tc>
          <w:tcPr>
            <w:tcW w:w="479" w:type="pct"/>
            <w:vAlign w:val="center"/>
          </w:tcPr>
          <w:p w14:paraId="48AE2A55">
            <w:pPr>
              <w:pStyle w:val="12"/>
              <w:jc w:val="center"/>
              <w:rPr>
                <w:rFonts w:ascii="宋体" w:hAnsi="宋体"/>
                <w:w w:val="90"/>
              </w:rPr>
            </w:pPr>
            <w:r>
              <w:rPr>
                <w:rFonts w:hint="eastAsia" w:ascii="宋体" w:hAnsi="宋体"/>
                <w:w w:val="90"/>
              </w:rPr>
              <w:t>5626.4</w:t>
            </w:r>
          </w:p>
        </w:tc>
        <w:tc>
          <w:tcPr>
            <w:tcW w:w="433" w:type="pct"/>
            <w:vAlign w:val="center"/>
          </w:tcPr>
          <w:p w14:paraId="74F26444">
            <w:pPr>
              <w:pStyle w:val="12"/>
              <w:jc w:val="center"/>
              <w:rPr>
                <w:rFonts w:ascii="宋体" w:hAnsi="宋体"/>
                <w:w w:val="90"/>
              </w:rPr>
            </w:pPr>
            <w:r>
              <w:rPr>
                <w:rFonts w:hint="eastAsia" w:ascii="宋体" w:hAnsi="宋体"/>
                <w:w w:val="90"/>
              </w:rPr>
              <w:t>56.2</w:t>
            </w:r>
          </w:p>
        </w:tc>
        <w:tc>
          <w:tcPr>
            <w:tcW w:w="479" w:type="pct"/>
            <w:vAlign w:val="center"/>
          </w:tcPr>
          <w:p w14:paraId="5B5A594E">
            <w:pPr>
              <w:pStyle w:val="12"/>
              <w:jc w:val="center"/>
              <w:rPr>
                <w:rFonts w:ascii="宋体" w:hAnsi="宋体"/>
                <w:w w:val="90"/>
              </w:rPr>
            </w:pPr>
            <w:r>
              <w:rPr>
                <w:rFonts w:hint="eastAsia" w:ascii="宋体" w:hAnsi="宋体"/>
                <w:w w:val="90"/>
              </w:rPr>
              <w:t>4801.8</w:t>
            </w:r>
          </w:p>
        </w:tc>
        <w:tc>
          <w:tcPr>
            <w:tcW w:w="433" w:type="pct"/>
            <w:vAlign w:val="center"/>
          </w:tcPr>
          <w:p w14:paraId="47F03DB3">
            <w:pPr>
              <w:pStyle w:val="12"/>
              <w:jc w:val="center"/>
              <w:rPr>
                <w:rFonts w:ascii="宋体" w:hAnsi="宋体"/>
                <w:w w:val="90"/>
              </w:rPr>
            </w:pPr>
            <w:r>
              <w:rPr>
                <w:rFonts w:hint="eastAsia" w:ascii="宋体" w:hAnsi="宋体"/>
                <w:w w:val="90"/>
              </w:rPr>
              <w:t>156.2</w:t>
            </w:r>
          </w:p>
        </w:tc>
        <w:tc>
          <w:tcPr>
            <w:tcW w:w="432" w:type="pct"/>
            <w:vAlign w:val="center"/>
          </w:tcPr>
          <w:p w14:paraId="6AA16766">
            <w:pPr>
              <w:pStyle w:val="12"/>
              <w:jc w:val="center"/>
              <w:rPr>
                <w:rFonts w:ascii="宋体" w:hAnsi="宋体"/>
                <w:w w:val="90"/>
              </w:rPr>
            </w:pPr>
            <w:r>
              <w:rPr>
                <w:rFonts w:hint="eastAsia" w:ascii="宋体" w:hAnsi="宋体"/>
                <w:w w:val="90"/>
              </w:rPr>
              <w:t>71.6</w:t>
            </w:r>
          </w:p>
        </w:tc>
        <w:tc>
          <w:tcPr>
            <w:tcW w:w="434" w:type="pct"/>
            <w:vAlign w:val="center"/>
          </w:tcPr>
          <w:p w14:paraId="5732AC11">
            <w:pPr>
              <w:pStyle w:val="12"/>
              <w:jc w:val="center"/>
              <w:rPr>
                <w:rFonts w:ascii="宋体" w:hAnsi="宋体"/>
                <w:w w:val="90"/>
              </w:rPr>
            </w:pPr>
            <w:r>
              <w:rPr>
                <w:rFonts w:hint="eastAsia" w:ascii="宋体" w:hAnsi="宋体"/>
                <w:w w:val="90"/>
              </w:rPr>
              <w:t>14.3</w:t>
            </w:r>
          </w:p>
        </w:tc>
        <w:tc>
          <w:tcPr>
            <w:tcW w:w="411" w:type="pct"/>
            <w:vAlign w:val="center"/>
          </w:tcPr>
          <w:p w14:paraId="12DE107F">
            <w:pPr>
              <w:pStyle w:val="12"/>
              <w:jc w:val="center"/>
              <w:rPr>
                <w:rFonts w:ascii="宋体" w:hAnsi="宋体"/>
                <w:w w:val="90"/>
              </w:rPr>
            </w:pPr>
            <w:r>
              <w:rPr>
                <w:rFonts w:hint="eastAsia" w:ascii="宋体" w:hAnsi="宋体"/>
                <w:w w:val="90"/>
              </w:rPr>
              <w:t>582.5</w:t>
            </w:r>
          </w:p>
        </w:tc>
        <w:tc>
          <w:tcPr>
            <w:tcW w:w="457" w:type="pct"/>
            <w:vAlign w:val="center"/>
          </w:tcPr>
          <w:p w14:paraId="363875BE">
            <w:pPr>
              <w:pStyle w:val="12"/>
              <w:jc w:val="center"/>
              <w:rPr>
                <w:rFonts w:ascii="宋体" w:hAnsi="宋体"/>
                <w:w w:val="90"/>
              </w:rPr>
            </w:pPr>
            <w:r>
              <w:rPr>
                <w:rFonts w:hint="eastAsia" w:ascii="宋体" w:hAnsi="宋体"/>
                <w:w w:val="90"/>
              </w:rPr>
              <w:t>—</w:t>
            </w:r>
          </w:p>
        </w:tc>
        <w:tc>
          <w:tcPr>
            <w:tcW w:w="433" w:type="pct"/>
            <w:vAlign w:val="center"/>
          </w:tcPr>
          <w:p w14:paraId="21FDCB72">
            <w:pPr>
              <w:pStyle w:val="12"/>
              <w:jc w:val="center"/>
              <w:rPr>
                <w:rFonts w:ascii="宋体" w:hAnsi="宋体"/>
                <w:w w:val="90"/>
              </w:rPr>
            </w:pPr>
            <w:r>
              <w:rPr>
                <w:rFonts w:hint="eastAsia" w:ascii="宋体" w:hAnsi="宋体"/>
                <w:w w:val="90"/>
              </w:rPr>
              <w:t>48.7</w:t>
            </w:r>
          </w:p>
        </w:tc>
      </w:tr>
      <w:tr w14:paraId="4C2378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0" w:type="pct"/>
            <w:vAlign w:val="center"/>
          </w:tcPr>
          <w:p w14:paraId="03F282F7">
            <w:pPr>
              <w:pStyle w:val="12"/>
              <w:jc w:val="center"/>
              <w:rPr>
                <w:rFonts w:ascii="宋体" w:hAnsi="宋体"/>
                <w:w w:val="90"/>
              </w:rPr>
            </w:pPr>
            <w:r>
              <w:rPr>
                <w:rFonts w:hint="eastAsia" w:ascii="宋体" w:hAnsi="宋体"/>
                <w:w w:val="90"/>
              </w:rPr>
              <w:t>主田镇</w:t>
            </w:r>
          </w:p>
        </w:tc>
        <w:tc>
          <w:tcPr>
            <w:tcW w:w="479" w:type="pct"/>
            <w:vAlign w:val="center"/>
          </w:tcPr>
          <w:p w14:paraId="0C9D4599">
            <w:pPr>
              <w:pStyle w:val="12"/>
              <w:jc w:val="center"/>
              <w:rPr>
                <w:rFonts w:ascii="宋体" w:hAnsi="宋体"/>
                <w:w w:val="90"/>
              </w:rPr>
            </w:pPr>
            <w:r>
              <w:rPr>
                <w:rFonts w:hint="eastAsia" w:ascii="宋体" w:hAnsi="宋体"/>
                <w:w w:val="90"/>
              </w:rPr>
              <w:t>16424.5</w:t>
            </w:r>
          </w:p>
        </w:tc>
        <w:tc>
          <w:tcPr>
            <w:tcW w:w="479" w:type="pct"/>
            <w:vAlign w:val="center"/>
          </w:tcPr>
          <w:p w14:paraId="42BF7764">
            <w:pPr>
              <w:pStyle w:val="12"/>
              <w:jc w:val="center"/>
              <w:rPr>
                <w:rFonts w:ascii="宋体" w:hAnsi="宋体"/>
                <w:w w:val="90"/>
              </w:rPr>
            </w:pPr>
            <w:r>
              <w:rPr>
                <w:rFonts w:hint="eastAsia" w:ascii="宋体" w:hAnsi="宋体"/>
                <w:w w:val="90"/>
              </w:rPr>
              <w:t>12922.1</w:t>
            </w:r>
          </w:p>
        </w:tc>
        <w:tc>
          <w:tcPr>
            <w:tcW w:w="433" w:type="pct"/>
            <w:vAlign w:val="center"/>
          </w:tcPr>
          <w:p w14:paraId="3FF717F5">
            <w:pPr>
              <w:pStyle w:val="12"/>
              <w:jc w:val="center"/>
              <w:rPr>
                <w:rFonts w:ascii="宋体" w:hAnsi="宋体"/>
                <w:w w:val="90"/>
              </w:rPr>
            </w:pPr>
            <w:r>
              <w:rPr>
                <w:rFonts w:hint="eastAsia" w:ascii="宋体" w:hAnsi="宋体"/>
                <w:w w:val="90"/>
              </w:rPr>
              <w:t>78.7</w:t>
            </w:r>
          </w:p>
        </w:tc>
        <w:tc>
          <w:tcPr>
            <w:tcW w:w="479" w:type="pct"/>
            <w:vAlign w:val="center"/>
          </w:tcPr>
          <w:p w14:paraId="3BE36F76">
            <w:pPr>
              <w:pStyle w:val="12"/>
              <w:jc w:val="center"/>
              <w:rPr>
                <w:rFonts w:ascii="宋体" w:hAnsi="宋体"/>
                <w:w w:val="90"/>
              </w:rPr>
            </w:pPr>
            <w:r>
              <w:rPr>
                <w:rFonts w:hint="eastAsia" w:ascii="宋体" w:hAnsi="宋体"/>
                <w:w w:val="90"/>
              </w:rPr>
              <w:t>12321.5</w:t>
            </w:r>
          </w:p>
        </w:tc>
        <w:tc>
          <w:tcPr>
            <w:tcW w:w="433" w:type="pct"/>
            <w:vAlign w:val="center"/>
          </w:tcPr>
          <w:p w14:paraId="28A551E4">
            <w:pPr>
              <w:pStyle w:val="12"/>
              <w:jc w:val="center"/>
              <w:rPr>
                <w:rFonts w:ascii="宋体" w:hAnsi="宋体"/>
                <w:w w:val="90"/>
              </w:rPr>
            </w:pPr>
            <w:r>
              <w:rPr>
                <w:rFonts w:hint="eastAsia" w:ascii="宋体" w:hAnsi="宋体"/>
                <w:w w:val="90"/>
              </w:rPr>
              <w:t>65.1</w:t>
            </w:r>
          </w:p>
        </w:tc>
        <w:tc>
          <w:tcPr>
            <w:tcW w:w="432" w:type="pct"/>
            <w:vAlign w:val="center"/>
          </w:tcPr>
          <w:p w14:paraId="5970843F">
            <w:pPr>
              <w:pStyle w:val="12"/>
              <w:jc w:val="center"/>
              <w:rPr>
                <w:rFonts w:ascii="宋体" w:hAnsi="宋体"/>
                <w:w w:val="90"/>
              </w:rPr>
            </w:pPr>
            <w:r>
              <w:rPr>
                <w:rFonts w:hint="eastAsia" w:ascii="宋体" w:hAnsi="宋体"/>
                <w:w w:val="90"/>
              </w:rPr>
              <w:t>417.3</w:t>
            </w:r>
          </w:p>
        </w:tc>
        <w:tc>
          <w:tcPr>
            <w:tcW w:w="434" w:type="pct"/>
            <w:vAlign w:val="center"/>
          </w:tcPr>
          <w:p w14:paraId="40E769E0">
            <w:pPr>
              <w:pStyle w:val="12"/>
              <w:jc w:val="center"/>
              <w:rPr>
                <w:rFonts w:ascii="宋体" w:hAnsi="宋体"/>
                <w:w w:val="90"/>
              </w:rPr>
            </w:pPr>
            <w:r>
              <w:rPr>
                <w:rFonts w:hint="eastAsia" w:ascii="宋体" w:hAnsi="宋体"/>
                <w:w w:val="90"/>
              </w:rPr>
              <w:t>72.1</w:t>
            </w:r>
          </w:p>
        </w:tc>
        <w:tc>
          <w:tcPr>
            <w:tcW w:w="411" w:type="pct"/>
            <w:vAlign w:val="center"/>
          </w:tcPr>
          <w:p w14:paraId="21705B3E">
            <w:pPr>
              <w:pStyle w:val="12"/>
              <w:jc w:val="center"/>
              <w:rPr>
                <w:rFonts w:ascii="宋体" w:hAnsi="宋体"/>
                <w:w w:val="90"/>
              </w:rPr>
            </w:pPr>
            <w:r>
              <w:rPr>
                <w:rFonts w:hint="eastAsia" w:ascii="宋体" w:hAnsi="宋体"/>
                <w:w w:val="90"/>
              </w:rPr>
              <w:t>46.1</w:t>
            </w:r>
          </w:p>
        </w:tc>
        <w:tc>
          <w:tcPr>
            <w:tcW w:w="457" w:type="pct"/>
            <w:vAlign w:val="center"/>
          </w:tcPr>
          <w:p w14:paraId="102B5C6D">
            <w:pPr>
              <w:pStyle w:val="12"/>
              <w:jc w:val="center"/>
              <w:rPr>
                <w:rFonts w:ascii="宋体" w:hAnsi="宋体"/>
                <w:w w:val="90"/>
              </w:rPr>
            </w:pPr>
            <w:r>
              <w:rPr>
                <w:rFonts w:hint="eastAsia" w:ascii="宋体" w:hAnsi="宋体"/>
                <w:w w:val="90"/>
              </w:rPr>
              <w:t>—</w:t>
            </w:r>
          </w:p>
        </w:tc>
        <w:tc>
          <w:tcPr>
            <w:tcW w:w="433" w:type="pct"/>
            <w:vAlign w:val="center"/>
          </w:tcPr>
          <w:p w14:paraId="1FF13C31">
            <w:pPr>
              <w:pStyle w:val="12"/>
              <w:jc w:val="center"/>
              <w:rPr>
                <w:rFonts w:ascii="宋体" w:hAnsi="宋体"/>
                <w:w w:val="90"/>
              </w:rPr>
            </w:pPr>
            <w:r>
              <w:rPr>
                <w:rFonts w:hint="eastAsia" w:ascii="宋体" w:hAnsi="宋体"/>
                <w:w w:val="90"/>
              </w:rPr>
              <w:t>77.6</w:t>
            </w:r>
          </w:p>
        </w:tc>
      </w:tr>
      <w:tr w14:paraId="7EF1AE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0" w:type="pct"/>
            <w:vAlign w:val="center"/>
          </w:tcPr>
          <w:p w14:paraId="77349CAC">
            <w:pPr>
              <w:pStyle w:val="12"/>
              <w:jc w:val="center"/>
              <w:rPr>
                <w:rFonts w:ascii="宋体" w:hAnsi="宋体"/>
                <w:w w:val="90"/>
              </w:rPr>
            </w:pPr>
            <w:r>
              <w:rPr>
                <w:rFonts w:hint="eastAsia" w:ascii="宋体" w:hAnsi="宋体"/>
                <w:w w:val="90"/>
              </w:rPr>
              <w:t>江头镇</w:t>
            </w:r>
          </w:p>
        </w:tc>
        <w:tc>
          <w:tcPr>
            <w:tcW w:w="479" w:type="pct"/>
            <w:vAlign w:val="center"/>
          </w:tcPr>
          <w:p w14:paraId="30109DB7">
            <w:pPr>
              <w:pStyle w:val="12"/>
              <w:jc w:val="center"/>
              <w:rPr>
                <w:rFonts w:ascii="宋体" w:hAnsi="宋体"/>
                <w:w w:val="90"/>
              </w:rPr>
            </w:pPr>
            <w:r>
              <w:rPr>
                <w:rFonts w:hint="eastAsia" w:ascii="宋体" w:hAnsi="宋体"/>
                <w:w w:val="90"/>
              </w:rPr>
              <w:t>13323.3</w:t>
            </w:r>
          </w:p>
        </w:tc>
        <w:tc>
          <w:tcPr>
            <w:tcW w:w="479" w:type="pct"/>
            <w:vAlign w:val="center"/>
          </w:tcPr>
          <w:p w14:paraId="480B9655">
            <w:pPr>
              <w:pStyle w:val="12"/>
              <w:jc w:val="center"/>
              <w:rPr>
                <w:rFonts w:ascii="宋体" w:hAnsi="宋体"/>
                <w:w w:val="90"/>
              </w:rPr>
            </w:pPr>
            <w:r>
              <w:rPr>
                <w:rFonts w:hint="eastAsia" w:ascii="宋体" w:hAnsi="宋体"/>
                <w:w w:val="90"/>
              </w:rPr>
              <w:t>10560.5</w:t>
            </w:r>
          </w:p>
        </w:tc>
        <w:tc>
          <w:tcPr>
            <w:tcW w:w="433" w:type="pct"/>
            <w:vAlign w:val="center"/>
          </w:tcPr>
          <w:p w14:paraId="655D74DB">
            <w:pPr>
              <w:pStyle w:val="12"/>
              <w:jc w:val="center"/>
              <w:rPr>
                <w:rFonts w:ascii="宋体" w:hAnsi="宋体"/>
                <w:w w:val="90"/>
              </w:rPr>
            </w:pPr>
            <w:r>
              <w:rPr>
                <w:rFonts w:hint="eastAsia" w:ascii="宋体" w:hAnsi="宋体"/>
                <w:w w:val="90"/>
              </w:rPr>
              <w:t>79.3</w:t>
            </w:r>
          </w:p>
        </w:tc>
        <w:tc>
          <w:tcPr>
            <w:tcW w:w="479" w:type="pct"/>
            <w:vAlign w:val="center"/>
          </w:tcPr>
          <w:p w14:paraId="48B38D13">
            <w:pPr>
              <w:pStyle w:val="12"/>
              <w:jc w:val="center"/>
              <w:rPr>
                <w:rFonts w:ascii="宋体" w:hAnsi="宋体"/>
                <w:w w:val="90"/>
              </w:rPr>
            </w:pPr>
            <w:r>
              <w:rPr>
                <w:rFonts w:hint="eastAsia" w:ascii="宋体" w:hAnsi="宋体"/>
                <w:w w:val="90"/>
              </w:rPr>
              <w:t>10255.0</w:t>
            </w:r>
          </w:p>
        </w:tc>
        <w:tc>
          <w:tcPr>
            <w:tcW w:w="433" w:type="pct"/>
            <w:vAlign w:val="center"/>
          </w:tcPr>
          <w:p w14:paraId="013769A9">
            <w:pPr>
              <w:pStyle w:val="12"/>
              <w:jc w:val="center"/>
              <w:rPr>
                <w:rFonts w:ascii="宋体" w:hAnsi="宋体"/>
                <w:w w:val="90"/>
              </w:rPr>
            </w:pPr>
            <w:r>
              <w:rPr>
                <w:rFonts w:hint="eastAsia" w:ascii="宋体" w:hAnsi="宋体"/>
                <w:w w:val="90"/>
              </w:rPr>
              <w:t>—</w:t>
            </w:r>
          </w:p>
        </w:tc>
        <w:tc>
          <w:tcPr>
            <w:tcW w:w="432" w:type="pct"/>
            <w:vAlign w:val="center"/>
          </w:tcPr>
          <w:p w14:paraId="4FFAA630">
            <w:pPr>
              <w:pStyle w:val="12"/>
              <w:jc w:val="center"/>
              <w:rPr>
                <w:rFonts w:ascii="宋体" w:hAnsi="宋体"/>
                <w:w w:val="90"/>
              </w:rPr>
            </w:pPr>
            <w:r>
              <w:rPr>
                <w:rFonts w:hint="eastAsia" w:ascii="宋体" w:hAnsi="宋体"/>
                <w:w w:val="90"/>
              </w:rPr>
              <w:t>55.6</w:t>
            </w:r>
          </w:p>
        </w:tc>
        <w:tc>
          <w:tcPr>
            <w:tcW w:w="434" w:type="pct"/>
            <w:vAlign w:val="center"/>
          </w:tcPr>
          <w:p w14:paraId="6F33D3A5">
            <w:pPr>
              <w:pStyle w:val="12"/>
              <w:jc w:val="center"/>
              <w:rPr>
                <w:rFonts w:ascii="宋体" w:hAnsi="宋体"/>
                <w:w w:val="90"/>
              </w:rPr>
            </w:pPr>
            <w:r>
              <w:rPr>
                <w:rFonts w:hint="eastAsia" w:ascii="宋体" w:hAnsi="宋体"/>
                <w:w w:val="90"/>
              </w:rPr>
              <w:t>183.3</w:t>
            </w:r>
          </w:p>
        </w:tc>
        <w:tc>
          <w:tcPr>
            <w:tcW w:w="411" w:type="pct"/>
            <w:vAlign w:val="center"/>
          </w:tcPr>
          <w:p w14:paraId="7A5C8236">
            <w:pPr>
              <w:pStyle w:val="12"/>
              <w:jc w:val="center"/>
              <w:rPr>
                <w:rFonts w:ascii="宋体" w:hAnsi="宋体"/>
                <w:w w:val="90"/>
              </w:rPr>
            </w:pPr>
            <w:r>
              <w:rPr>
                <w:rFonts w:hint="eastAsia" w:ascii="宋体" w:hAnsi="宋体"/>
                <w:w w:val="90"/>
              </w:rPr>
              <w:t>66.6</w:t>
            </w:r>
          </w:p>
        </w:tc>
        <w:tc>
          <w:tcPr>
            <w:tcW w:w="457" w:type="pct"/>
            <w:vAlign w:val="center"/>
          </w:tcPr>
          <w:p w14:paraId="474A6F48">
            <w:pPr>
              <w:pStyle w:val="12"/>
              <w:jc w:val="center"/>
              <w:rPr>
                <w:rFonts w:ascii="宋体" w:hAnsi="宋体"/>
                <w:w w:val="90"/>
              </w:rPr>
            </w:pPr>
            <w:r>
              <w:rPr>
                <w:rFonts w:hint="eastAsia" w:ascii="宋体" w:hAnsi="宋体"/>
                <w:w w:val="90"/>
              </w:rPr>
              <w:t>—</w:t>
            </w:r>
          </w:p>
        </w:tc>
        <w:tc>
          <w:tcPr>
            <w:tcW w:w="433" w:type="pct"/>
            <w:vAlign w:val="center"/>
          </w:tcPr>
          <w:p w14:paraId="67712A1E">
            <w:pPr>
              <w:pStyle w:val="12"/>
              <w:jc w:val="center"/>
              <w:rPr>
                <w:rFonts w:ascii="宋体" w:hAnsi="宋体"/>
                <w:w w:val="90"/>
              </w:rPr>
            </w:pPr>
            <w:r>
              <w:rPr>
                <w:rFonts w:hint="eastAsia" w:ascii="宋体" w:hAnsi="宋体"/>
                <w:w w:val="90"/>
              </w:rPr>
              <w:t>77.4</w:t>
            </w:r>
          </w:p>
        </w:tc>
      </w:tr>
      <w:tr w14:paraId="0E84D1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0" w:type="pct"/>
            <w:vAlign w:val="center"/>
          </w:tcPr>
          <w:p w14:paraId="3AF43EE2">
            <w:pPr>
              <w:pStyle w:val="12"/>
              <w:jc w:val="center"/>
              <w:rPr>
                <w:rFonts w:ascii="宋体" w:hAnsi="宋体"/>
                <w:w w:val="90"/>
              </w:rPr>
            </w:pPr>
            <w:r>
              <w:rPr>
                <w:rFonts w:hint="eastAsia" w:ascii="宋体" w:hAnsi="宋体"/>
                <w:w w:val="90"/>
              </w:rPr>
              <w:t>水口镇</w:t>
            </w:r>
          </w:p>
        </w:tc>
        <w:tc>
          <w:tcPr>
            <w:tcW w:w="479" w:type="pct"/>
            <w:vAlign w:val="center"/>
          </w:tcPr>
          <w:p w14:paraId="79148E53">
            <w:pPr>
              <w:pStyle w:val="12"/>
              <w:jc w:val="center"/>
              <w:rPr>
                <w:rFonts w:ascii="宋体" w:hAnsi="宋体"/>
                <w:w w:val="90"/>
              </w:rPr>
            </w:pPr>
            <w:r>
              <w:rPr>
                <w:rFonts w:hint="eastAsia" w:ascii="宋体" w:hAnsi="宋体"/>
                <w:w w:val="90"/>
              </w:rPr>
              <w:t>10629.8</w:t>
            </w:r>
          </w:p>
        </w:tc>
        <w:tc>
          <w:tcPr>
            <w:tcW w:w="479" w:type="pct"/>
            <w:vAlign w:val="center"/>
          </w:tcPr>
          <w:p w14:paraId="00AD216E">
            <w:pPr>
              <w:pStyle w:val="12"/>
              <w:jc w:val="center"/>
              <w:rPr>
                <w:rFonts w:ascii="宋体" w:hAnsi="宋体"/>
                <w:w w:val="90"/>
              </w:rPr>
            </w:pPr>
            <w:r>
              <w:rPr>
                <w:rFonts w:hint="eastAsia" w:ascii="宋体" w:hAnsi="宋体"/>
                <w:w w:val="90"/>
              </w:rPr>
              <w:t>6046.0</w:t>
            </w:r>
          </w:p>
        </w:tc>
        <w:tc>
          <w:tcPr>
            <w:tcW w:w="433" w:type="pct"/>
            <w:vAlign w:val="center"/>
          </w:tcPr>
          <w:p w14:paraId="6186A4CB">
            <w:pPr>
              <w:pStyle w:val="12"/>
              <w:jc w:val="center"/>
              <w:rPr>
                <w:rFonts w:ascii="宋体" w:hAnsi="宋体"/>
                <w:w w:val="90"/>
              </w:rPr>
            </w:pPr>
            <w:r>
              <w:rPr>
                <w:rFonts w:hint="eastAsia" w:ascii="宋体" w:hAnsi="宋体"/>
                <w:w w:val="90"/>
              </w:rPr>
              <w:t>56.9</w:t>
            </w:r>
          </w:p>
        </w:tc>
        <w:tc>
          <w:tcPr>
            <w:tcW w:w="479" w:type="pct"/>
            <w:vAlign w:val="center"/>
          </w:tcPr>
          <w:p w14:paraId="168A709C">
            <w:pPr>
              <w:pStyle w:val="12"/>
              <w:jc w:val="center"/>
              <w:rPr>
                <w:rFonts w:ascii="宋体" w:hAnsi="宋体"/>
                <w:w w:val="90"/>
              </w:rPr>
            </w:pPr>
            <w:r>
              <w:rPr>
                <w:rFonts w:hint="eastAsia" w:ascii="宋体" w:hAnsi="宋体"/>
                <w:w w:val="90"/>
              </w:rPr>
              <w:t>5931.6</w:t>
            </w:r>
          </w:p>
        </w:tc>
        <w:tc>
          <w:tcPr>
            <w:tcW w:w="433" w:type="pct"/>
            <w:vAlign w:val="center"/>
          </w:tcPr>
          <w:p w14:paraId="0BE7E220">
            <w:pPr>
              <w:pStyle w:val="12"/>
              <w:jc w:val="center"/>
              <w:rPr>
                <w:rFonts w:ascii="宋体" w:hAnsi="宋体"/>
                <w:w w:val="90"/>
              </w:rPr>
            </w:pPr>
            <w:r>
              <w:rPr>
                <w:rFonts w:hint="eastAsia" w:ascii="宋体" w:hAnsi="宋体"/>
                <w:w w:val="90"/>
              </w:rPr>
              <w:t>—</w:t>
            </w:r>
          </w:p>
        </w:tc>
        <w:tc>
          <w:tcPr>
            <w:tcW w:w="432" w:type="pct"/>
            <w:vAlign w:val="center"/>
          </w:tcPr>
          <w:p w14:paraId="1308703A">
            <w:pPr>
              <w:pStyle w:val="12"/>
              <w:jc w:val="center"/>
              <w:rPr>
                <w:rFonts w:ascii="宋体" w:hAnsi="宋体"/>
                <w:w w:val="90"/>
              </w:rPr>
            </w:pPr>
            <w:r>
              <w:rPr>
                <w:rFonts w:hint="eastAsia" w:ascii="宋体" w:hAnsi="宋体"/>
                <w:w w:val="90"/>
              </w:rPr>
              <w:t>42.9</w:t>
            </w:r>
          </w:p>
        </w:tc>
        <w:tc>
          <w:tcPr>
            <w:tcW w:w="434" w:type="pct"/>
            <w:vAlign w:val="center"/>
          </w:tcPr>
          <w:p w14:paraId="218B065E">
            <w:pPr>
              <w:pStyle w:val="12"/>
              <w:jc w:val="center"/>
              <w:rPr>
                <w:rFonts w:ascii="宋体" w:hAnsi="宋体"/>
                <w:w w:val="90"/>
              </w:rPr>
            </w:pPr>
            <w:r>
              <w:rPr>
                <w:rFonts w:hint="eastAsia" w:ascii="宋体" w:hAnsi="宋体"/>
                <w:w w:val="90"/>
              </w:rPr>
              <w:t>—</w:t>
            </w:r>
          </w:p>
        </w:tc>
        <w:tc>
          <w:tcPr>
            <w:tcW w:w="411" w:type="pct"/>
            <w:vAlign w:val="center"/>
          </w:tcPr>
          <w:p w14:paraId="34331B90">
            <w:pPr>
              <w:pStyle w:val="12"/>
              <w:jc w:val="center"/>
              <w:rPr>
                <w:rFonts w:ascii="宋体" w:hAnsi="宋体"/>
                <w:w w:val="90"/>
              </w:rPr>
            </w:pPr>
            <w:r>
              <w:rPr>
                <w:rFonts w:hint="eastAsia" w:ascii="宋体" w:hAnsi="宋体"/>
                <w:w w:val="90"/>
              </w:rPr>
              <w:t>71.5</w:t>
            </w:r>
          </w:p>
        </w:tc>
        <w:tc>
          <w:tcPr>
            <w:tcW w:w="457" w:type="pct"/>
            <w:vAlign w:val="center"/>
          </w:tcPr>
          <w:p w14:paraId="26E2D50B">
            <w:pPr>
              <w:pStyle w:val="12"/>
              <w:jc w:val="center"/>
              <w:rPr>
                <w:rFonts w:ascii="宋体" w:hAnsi="宋体"/>
                <w:w w:val="90"/>
              </w:rPr>
            </w:pPr>
            <w:r>
              <w:rPr>
                <w:rFonts w:hint="eastAsia" w:ascii="宋体" w:hAnsi="宋体"/>
                <w:w w:val="90"/>
              </w:rPr>
              <w:t>—</w:t>
            </w:r>
          </w:p>
        </w:tc>
        <w:tc>
          <w:tcPr>
            <w:tcW w:w="433" w:type="pct"/>
            <w:vAlign w:val="center"/>
          </w:tcPr>
          <w:p w14:paraId="3AA4DE5B">
            <w:pPr>
              <w:pStyle w:val="12"/>
              <w:jc w:val="center"/>
              <w:rPr>
                <w:rFonts w:ascii="宋体" w:hAnsi="宋体"/>
                <w:w w:val="90"/>
              </w:rPr>
            </w:pPr>
            <w:r>
              <w:rPr>
                <w:rFonts w:hint="eastAsia" w:ascii="宋体" w:hAnsi="宋体"/>
                <w:w w:val="90"/>
              </w:rPr>
              <w:t>56.2</w:t>
            </w:r>
          </w:p>
        </w:tc>
      </w:tr>
      <w:tr w14:paraId="7DDD6D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0" w:type="pct"/>
            <w:vAlign w:val="center"/>
          </w:tcPr>
          <w:p w14:paraId="7FB11A9A">
            <w:pPr>
              <w:pStyle w:val="12"/>
              <w:jc w:val="center"/>
              <w:rPr>
                <w:rFonts w:ascii="宋体" w:hAnsi="宋体"/>
                <w:w w:val="90"/>
              </w:rPr>
            </w:pPr>
            <w:r>
              <w:rPr>
                <w:rFonts w:hint="eastAsia" w:ascii="宋体" w:hAnsi="宋体"/>
                <w:w w:val="90"/>
              </w:rPr>
              <w:t>南亩镇</w:t>
            </w:r>
          </w:p>
        </w:tc>
        <w:tc>
          <w:tcPr>
            <w:tcW w:w="479" w:type="pct"/>
            <w:vAlign w:val="center"/>
          </w:tcPr>
          <w:p w14:paraId="32E440A1">
            <w:pPr>
              <w:pStyle w:val="12"/>
              <w:jc w:val="center"/>
              <w:rPr>
                <w:rFonts w:ascii="宋体" w:hAnsi="宋体"/>
                <w:w w:val="90"/>
              </w:rPr>
            </w:pPr>
            <w:r>
              <w:rPr>
                <w:rFonts w:hint="eastAsia" w:ascii="宋体" w:hAnsi="宋体"/>
                <w:w w:val="90"/>
              </w:rPr>
              <w:t>11262.2</w:t>
            </w:r>
          </w:p>
        </w:tc>
        <w:tc>
          <w:tcPr>
            <w:tcW w:w="479" w:type="pct"/>
            <w:vAlign w:val="center"/>
          </w:tcPr>
          <w:p w14:paraId="0BC3C28A">
            <w:pPr>
              <w:pStyle w:val="12"/>
              <w:jc w:val="center"/>
              <w:rPr>
                <w:rFonts w:ascii="宋体" w:hAnsi="宋体"/>
                <w:w w:val="90"/>
              </w:rPr>
            </w:pPr>
            <w:r>
              <w:rPr>
                <w:rFonts w:hint="eastAsia" w:ascii="宋体" w:hAnsi="宋体"/>
                <w:w w:val="90"/>
              </w:rPr>
              <w:t>8663.4</w:t>
            </w:r>
          </w:p>
        </w:tc>
        <w:tc>
          <w:tcPr>
            <w:tcW w:w="433" w:type="pct"/>
            <w:vAlign w:val="center"/>
          </w:tcPr>
          <w:p w14:paraId="54911323">
            <w:pPr>
              <w:pStyle w:val="12"/>
              <w:jc w:val="center"/>
              <w:rPr>
                <w:rFonts w:ascii="宋体" w:hAnsi="宋体"/>
                <w:w w:val="90"/>
              </w:rPr>
            </w:pPr>
            <w:r>
              <w:rPr>
                <w:rFonts w:hint="eastAsia" w:ascii="宋体" w:hAnsi="宋体"/>
                <w:w w:val="90"/>
              </w:rPr>
              <w:t>76.9</w:t>
            </w:r>
          </w:p>
        </w:tc>
        <w:tc>
          <w:tcPr>
            <w:tcW w:w="479" w:type="pct"/>
            <w:vAlign w:val="center"/>
          </w:tcPr>
          <w:p w14:paraId="3196FABD">
            <w:pPr>
              <w:pStyle w:val="12"/>
              <w:jc w:val="center"/>
              <w:rPr>
                <w:rFonts w:ascii="宋体" w:hAnsi="宋体"/>
                <w:w w:val="90"/>
              </w:rPr>
            </w:pPr>
            <w:r>
              <w:rPr>
                <w:rFonts w:hint="eastAsia" w:ascii="宋体" w:hAnsi="宋体"/>
                <w:w w:val="90"/>
              </w:rPr>
              <w:t>7062.2</w:t>
            </w:r>
          </w:p>
        </w:tc>
        <w:tc>
          <w:tcPr>
            <w:tcW w:w="433" w:type="pct"/>
            <w:vAlign w:val="center"/>
          </w:tcPr>
          <w:p w14:paraId="2A3E4352">
            <w:pPr>
              <w:pStyle w:val="12"/>
              <w:jc w:val="center"/>
              <w:rPr>
                <w:rFonts w:ascii="宋体" w:hAnsi="宋体"/>
                <w:w w:val="90"/>
              </w:rPr>
            </w:pPr>
            <w:r>
              <w:rPr>
                <w:rFonts w:hint="eastAsia" w:ascii="宋体" w:hAnsi="宋体"/>
                <w:w w:val="90"/>
              </w:rPr>
              <w:t>28.1</w:t>
            </w:r>
          </w:p>
        </w:tc>
        <w:tc>
          <w:tcPr>
            <w:tcW w:w="432" w:type="pct"/>
            <w:vAlign w:val="center"/>
          </w:tcPr>
          <w:p w14:paraId="4B51F673">
            <w:pPr>
              <w:pStyle w:val="12"/>
              <w:jc w:val="center"/>
              <w:rPr>
                <w:rFonts w:ascii="宋体" w:hAnsi="宋体"/>
                <w:w w:val="90"/>
              </w:rPr>
            </w:pPr>
            <w:r>
              <w:rPr>
                <w:rFonts w:hint="eastAsia" w:ascii="宋体" w:hAnsi="宋体"/>
                <w:w w:val="90"/>
              </w:rPr>
              <w:t>1390.4</w:t>
            </w:r>
          </w:p>
        </w:tc>
        <w:tc>
          <w:tcPr>
            <w:tcW w:w="434" w:type="pct"/>
            <w:vAlign w:val="center"/>
          </w:tcPr>
          <w:p w14:paraId="505CF77A">
            <w:pPr>
              <w:pStyle w:val="12"/>
              <w:jc w:val="center"/>
              <w:rPr>
                <w:rFonts w:ascii="宋体" w:hAnsi="宋体"/>
                <w:w w:val="90"/>
              </w:rPr>
            </w:pPr>
            <w:r>
              <w:rPr>
                <w:rFonts w:hint="eastAsia" w:ascii="宋体" w:hAnsi="宋体"/>
                <w:w w:val="90"/>
              </w:rPr>
              <w:t>175.3</w:t>
            </w:r>
          </w:p>
        </w:tc>
        <w:tc>
          <w:tcPr>
            <w:tcW w:w="411" w:type="pct"/>
            <w:vAlign w:val="center"/>
          </w:tcPr>
          <w:p w14:paraId="2CB1A7DA">
            <w:pPr>
              <w:pStyle w:val="12"/>
              <w:jc w:val="center"/>
              <w:rPr>
                <w:rFonts w:ascii="宋体" w:hAnsi="宋体"/>
                <w:w w:val="90"/>
              </w:rPr>
            </w:pPr>
            <w:r>
              <w:rPr>
                <w:rFonts w:hint="eastAsia" w:ascii="宋体" w:hAnsi="宋体"/>
                <w:w w:val="90"/>
              </w:rPr>
              <w:t>7.3</w:t>
            </w:r>
          </w:p>
        </w:tc>
        <w:tc>
          <w:tcPr>
            <w:tcW w:w="457" w:type="pct"/>
            <w:vAlign w:val="center"/>
          </w:tcPr>
          <w:p w14:paraId="55502219">
            <w:pPr>
              <w:pStyle w:val="12"/>
              <w:jc w:val="center"/>
              <w:rPr>
                <w:rFonts w:ascii="宋体" w:hAnsi="宋体"/>
                <w:w w:val="90"/>
              </w:rPr>
            </w:pPr>
            <w:r>
              <w:rPr>
                <w:rFonts w:hint="eastAsia" w:ascii="宋体" w:hAnsi="宋体"/>
                <w:w w:val="90"/>
              </w:rPr>
              <w:t>—</w:t>
            </w:r>
          </w:p>
        </w:tc>
        <w:tc>
          <w:tcPr>
            <w:tcW w:w="433" w:type="pct"/>
            <w:vAlign w:val="center"/>
          </w:tcPr>
          <w:p w14:paraId="628B7F0F">
            <w:pPr>
              <w:pStyle w:val="12"/>
              <w:jc w:val="center"/>
              <w:rPr>
                <w:rFonts w:ascii="宋体" w:hAnsi="宋体"/>
                <w:w w:val="90"/>
              </w:rPr>
            </w:pPr>
            <w:r>
              <w:rPr>
                <w:rFonts w:hint="eastAsia" w:ascii="宋体" w:hAnsi="宋体"/>
                <w:w w:val="90"/>
              </w:rPr>
              <w:t>75.3</w:t>
            </w:r>
          </w:p>
        </w:tc>
      </w:tr>
      <w:tr w14:paraId="0F961F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0" w:type="pct"/>
            <w:vAlign w:val="center"/>
          </w:tcPr>
          <w:p w14:paraId="48D913D9">
            <w:pPr>
              <w:pStyle w:val="12"/>
              <w:jc w:val="center"/>
              <w:rPr>
                <w:rFonts w:ascii="宋体" w:hAnsi="宋体"/>
                <w:w w:val="90"/>
              </w:rPr>
            </w:pPr>
            <w:r>
              <w:rPr>
                <w:rFonts w:hint="eastAsia" w:ascii="宋体" w:hAnsi="宋体"/>
                <w:w w:val="90"/>
              </w:rPr>
              <w:t>坪田镇</w:t>
            </w:r>
          </w:p>
        </w:tc>
        <w:tc>
          <w:tcPr>
            <w:tcW w:w="479" w:type="pct"/>
            <w:vAlign w:val="center"/>
          </w:tcPr>
          <w:p w14:paraId="7880F926">
            <w:pPr>
              <w:pStyle w:val="12"/>
              <w:jc w:val="center"/>
              <w:rPr>
                <w:rFonts w:ascii="宋体" w:hAnsi="宋体"/>
                <w:w w:val="90"/>
              </w:rPr>
            </w:pPr>
            <w:r>
              <w:rPr>
                <w:rFonts w:hint="eastAsia" w:ascii="宋体" w:hAnsi="宋体"/>
                <w:w w:val="90"/>
              </w:rPr>
              <w:t>13842.0</w:t>
            </w:r>
          </w:p>
        </w:tc>
        <w:tc>
          <w:tcPr>
            <w:tcW w:w="479" w:type="pct"/>
            <w:vAlign w:val="center"/>
          </w:tcPr>
          <w:p w14:paraId="15A98D92">
            <w:pPr>
              <w:pStyle w:val="12"/>
              <w:jc w:val="center"/>
              <w:rPr>
                <w:rFonts w:ascii="宋体" w:hAnsi="宋体"/>
                <w:w w:val="90"/>
              </w:rPr>
            </w:pPr>
            <w:r>
              <w:rPr>
                <w:rFonts w:hint="eastAsia" w:ascii="宋体" w:hAnsi="宋体"/>
                <w:w w:val="90"/>
              </w:rPr>
              <w:t>9546.4</w:t>
            </w:r>
          </w:p>
        </w:tc>
        <w:tc>
          <w:tcPr>
            <w:tcW w:w="433" w:type="pct"/>
            <w:vAlign w:val="center"/>
          </w:tcPr>
          <w:p w14:paraId="44558FF5">
            <w:pPr>
              <w:pStyle w:val="12"/>
              <w:jc w:val="center"/>
              <w:rPr>
                <w:rFonts w:ascii="宋体" w:hAnsi="宋体"/>
                <w:w w:val="90"/>
              </w:rPr>
            </w:pPr>
            <w:r>
              <w:rPr>
                <w:rFonts w:hint="eastAsia" w:ascii="宋体" w:hAnsi="宋体"/>
                <w:w w:val="90"/>
              </w:rPr>
              <w:t>69.0</w:t>
            </w:r>
          </w:p>
        </w:tc>
        <w:tc>
          <w:tcPr>
            <w:tcW w:w="479" w:type="pct"/>
            <w:vAlign w:val="center"/>
          </w:tcPr>
          <w:p w14:paraId="7650BB5C">
            <w:pPr>
              <w:pStyle w:val="12"/>
              <w:jc w:val="center"/>
              <w:rPr>
                <w:rFonts w:ascii="宋体" w:hAnsi="宋体"/>
                <w:w w:val="90"/>
              </w:rPr>
            </w:pPr>
            <w:r>
              <w:rPr>
                <w:rFonts w:hint="eastAsia" w:ascii="宋体" w:hAnsi="宋体"/>
                <w:w w:val="90"/>
              </w:rPr>
              <w:t>7758.2</w:t>
            </w:r>
          </w:p>
        </w:tc>
        <w:tc>
          <w:tcPr>
            <w:tcW w:w="433" w:type="pct"/>
            <w:vAlign w:val="center"/>
          </w:tcPr>
          <w:p w14:paraId="18D627D0">
            <w:pPr>
              <w:pStyle w:val="12"/>
              <w:jc w:val="center"/>
              <w:rPr>
                <w:rFonts w:ascii="宋体" w:hAnsi="宋体"/>
                <w:w w:val="90"/>
              </w:rPr>
            </w:pPr>
            <w:r>
              <w:rPr>
                <w:rFonts w:hint="eastAsia" w:ascii="宋体" w:hAnsi="宋体"/>
                <w:w w:val="90"/>
              </w:rPr>
              <w:t>30.1</w:t>
            </w:r>
          </w:p>
        </w:tc>
        <w:tc>
          <w:tcPr>
            <w:tcW w:w="432" w:type="pct"/>
            <w:vAlign w:val="center"/>
          </w:tcPr>
          <w:p w14:paraId="04F583D6">
            <w:pPr>
              <w:pStyle w:val="12"/>
              <w:jc w:val="center"/>
              <w:rPr>
                <w:rFonts w:ascii="宋体" w:hAnsi="宋体"/>
                <w:w w:val="90"/>
              </w:rPr>
            </w:pPr>
            <w:r>
              <w:rPr>
                <w:rFonts w:hint="eastAsia" w:ascii="宋体" w:hAnsi="宋体"/>
                <w:w w:val="90"/>
              </w:rPr>
              <w:t>947.5</w:t>
            </w:r>
          </w:p>
        </w:tc>
        <w:tc>
          <w:tcPr>
            <w:tcW w:w="434" w:type="pct"/>
            <w:vAlign w:val="center"/>
          </w:tcPr>
          <w:p w14:paraId="140A5FA4">
            <w:pPr>
              <w:pStyle w:val="12"/>
              <w:jc w:val="center"/>
              <w:rPr>
                <w:rFonts w:ascii="宋体" w:hAnsi="宋体"/>
                <w:w w:val="90"/>
              </w:rPr>
            </w:pPr>
            <w:r>
              <w:rPr>
                <w:rFonts w:hint="eastAsia" w:ascii="宋体" w:hAnsi="宋体"/>
                <w:w w:val="90"/>
              </w:rPr>
              <w:t>92.9</w:t>
            </w:r>
          </w:p>
        </w:tc>
        <w:tc>
          <w:tcPr>
            <w:tcW w:w="411" w:type="pct"/>
            <w:vAlign w:val="center"/>
          </w:tcPr>
          <w:p w14:paraId="54B3C698">
            <w:pPr>
              <w:pStyle w:val="12"/>
              <w:jc w:val="center"/>
              <w:rPr>
                <w:rFonts w:ascii="宋体" w:hAnsi="宋体"/>
                <w:w w:val="90"/>
              </w:rPr>
            </w:pPr>
            <w:r>
              <w:rPr>
                <w:rFonts w:hint="eastAsia" w:ascii="宋体" w:hAnsi="宋体"/>
                <w:w w:val="90"/>
              </w:rPr>
              <w:t>717.7</w:t>
            </w:r>
          </w:p>
        </w:tc>
        <w:tc>
          <w:tcPr>
            <w:tcW w:w="457" w:type="pct"/>
            <w:vAlign w:val="center"/>
          </w:tcPr>
          <w:p w14:paraId="1D1A4DD6">
            <w:pPr>
              <w:pStyle w:val="12"/>
              <w:jc w:val="center"/>
              <w:rPr>
                <w:rFonts w:ascii="宋体" w:hAnsi="宋体"/>
                <w:w w:val="90"/>
              </w:rPr>
            </w:pPr>
            <w:r>
              <w:rPr>
                <w:rFonts w:hint="eastAsia" w:ascii="宋体" w:hAnsi="宋体"/>
                <w:w w:val="90"/>
              </w:rPr>
              <w:t>—</w:t>
            </w:r>
          </w:p>
        </w:tc>
        <w:tc>
          <w:tcPr>
            <w:tcW w:w="433" w:type="pct"/>
            <w:vAlign w:val="center"/>
          </w:tcPr>
          <w:p w14:paraId="17FDF51D">
            <w:pPr>
              <w:pStyle w:val="12"/>
              <w:jc w:val="center"/>
              <w:rPr>
                <w:rFonts w:ascii="宋体" w:hAnsi="宋体"/>
                <w:w w:val="90"/>
              </w:rPr>
            </w:pPr>
            <w:r>
              <w:rPr>
                <w:rFonts w:hint="eastAsia" w:ascii="宋体" w:hAnsi="宋体"/>
                <w:w w:val="90"/>
              </w:rPr>
              <w:t>62.9</w:t>
            </w:r>
          </w:p>
        </w:tc>
      </w:tr>
      <w:tr w14:paraId="294DA3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0" w:type="pct"/>
            <w:vAlign w:val="center"/>
          </w:tcPr>
          <w:p w14:paraId="1434BBA3">
            <w:pPr>
              <w:pStyle w:val="12"/>
              <w:jc w:val="center"/>
              <w:rPr>
                <w:rFonts w:ascii="宋体" w:hAnsi="宋体"/>
                <w:w w:val="90"/>
              </w:rPr>
            </w:pPr>
            <w:r>
              <w:rPr>
                <w:rFonts w:hint="eastAsia" w:ascii="宋体" w:hAnsi="宋体"/>
                <w:w w:val="90"/>
              </w:rPr>
              <w:t>界址镇</w:t>
            </w:r>
          </w:p>
        </w:tc>
        <w:tc>
          <w:tcPr>
            <w:tcW w:w="479" w:type="pct"/>
            <w:vAlign w:val="center"/>
          </w:tcPr>
          <w:p w14:paraId="3761F142">
            <w:pPr>
              <w:pStyle w:val="12"/>
              <w:jc w:val="center"/>
              <w:rPr>
                <w:rFonts w:ascii="宋体" w:hAnsi="宋体"/>
                <w:w w:val="90"/>
              </w:rPr>
            </w:pPr>
            <w:r>
              <w:rPr>
                <w:rFonts w:hint="eastAsia" w:ascii="宋体" w:hAnsi="宋体"/>
                <w:w w:val="90"/>
              </w:rPr>
              <w:t>6033.7</w:t>
            </w:r>
          </w:p>
        </w:tc>
        <w:tc>
          <w:tcPr>
            <w:tcW w:w="479" w:type="pct"/>
            <w:vAlign w:val="center"/>
          </w:tcPr>
          <w:p w14:paraId="74BF7DC8">
            <w:pPr>
              <w:pStyle w:val="12"/>
              <w:jc w:val="center"/>
              <w:rPr>
                <w:rFonts w:ascii="宋体" w:hAnsi="宋体"/>
                <w:w w:val="90"/>
              </w:rPr>
            </w:pPr>
            <w:r>
              <w:rPr>
                <w:rFonts w:hint="eastAsia" w:ascii="宋体" w:hAnsi="宋体"/>
                <w:w w:val="90"/>
              </w:rPr>
              <w:t>4043.2</w:t>
            </w:r>
          </w:p>
        </w:tc>
        <w:tc>
          <w:tcPr>
            <w:tcW w:w="433" w:type="pct"/>
            <w:vAlign w:val="center"/>
          </w:tcPr>
          <w:p w14:paraId="1D683608">
            <w:pPr>
              <w:pStyle w:val="12"/>
              <w:jc w:val="center"/>
              <w:rPr>
                <w:rFonts w:ascii="宋体" w:hAnsi="宋体"/>
                <w:w w:val="90"/>
              </w:rPr>
            </w:pPr>
            <w:r>
              <w:rPr>
                <w:rFonts w:hint="eastAsia" w:ascii="宋体" w:hAnsi="宋体"/>
                <w:w w:val="90"/>
              </w:rPr>
              <w:t>67.0</w:t>
            </w:r>
          </w:p>
        </w:tc>
        <w:tc>
          <w:tcPr>
            <w:tcW w:w="479" w:type="pct"/>
            <w:vAlign w:val="center"/>
          </w:tcPr>
          <w:p w14:paraId="0CC9326E">
            <w:pPr>
              <w:pStyle w:val="12"/>
              <w:jc w:val="center"/>
              <w:rPr>
                <w:rFonts w:ascii="宋体" w:hAnsi="宋体"/>
                <w:w w:val="90"/>
              </w:rPr>
            </w:pPr>
            <w:r>
              <w:rPr>
                <w:rFonts w:hint="eastAsia" w:ascii="宋体" w:hAnsi="宋体"/>
                <w:w w:val="90"/>
              </w:rPr>
              <w:t>3932.7</w:t>
            </w:r>
          </w:p>
        </w:tc>
        <w:tc>
          <w:tcPr>
            <w:tcW w:w="433" w:type="pct"/>
            <w:vAlign w:val="center"/>
          </w:tcPr>
          <w:p w14:paraId="720FC96B">
            <w:pPr>
              <w:pStyle w:val="12"/>
              <w:jc w:val="center"/>
              <w:rPr>
                <w:rFonts w:ascii="宋体" w:hAnsi="宋体"/>
                <w:w w:val="90"/>
              </w:rPr>
            </w:pPr>
            <w:r>
              <w:rPr>
                <w:rFonts w:hint="eastAsia" w:ascii="宋体" w:hAnsi="宋体"/>
                <w:w w:val="90"/>
              </w:rPr>
              <w:t>—</w:t>
            </w:r>
          </w:p>
        </w:tc>
        <w:tc>
          <w:tcPr>
            <w:tcW w:w="432" w:type="pct"/>
            <w:vAlign w:val="center"/>
          </w:tcPr>
          <w:p w14:paraId="2D2E3AB1">
            <w:pPr>
              <w:pStyle w:val="12"/>
              <w:jc w:val="center"/>
              <w:rPr>
                <w:rFonts w:ascii="宋体" w:hAnsi="宋体"/>
                <w:w w:val="90"/>
              </w:rPr>
            </w:pPr>
            <w:r>
              <w:rPr>
                <w:rFonts w:hint="eastAsia" w:ascii="宋体" w:hAnsi="宋体"/>
                <w:w w:val="90"/>
              </w:rPr>
              <w:t>5.1</w:t>
            </w:r>
          </w:p>
        </w:tc>
        <w:tc>
          <w:tcPr>
            <w:tcW w:w="434" w:type="pct"/>
            <w:vAlign w:val="center"/>
          </w:tcPr>
          <w:p w14:paraId="3DC2DBFD">
            <w:pPr>
              <w:pStyle w:val="12"/>
              <w:jc w:val="center"/>
              <w:rPr>
                <w:rFonts w:ascii="宋体" w:hAnsi="宋体"/>
                <w:w w:val="90"/>
              </w:rPr>
            </w:pPr>
            <w:r>
              <w:rPr>
                <w:rFonts w:hint="eastAsia" w:ascii="宋体" w:hAnsi="宋体"/>
                <w:w w:val="90"/>
              </w:rPr>
              <w:t>—</w:t>
            </w:r>
          </w:p>
        </w:tc>
        <w:tc>
          <w:tcPr>
            <w:tcW w:w="411" w:type="pct"/>
            <w:vAlign w:val="center"/>
          </w:tcPr>
          <w:p w14:paraId="205FF91E">
            <w:pPr>
              <w:pStyle w:val="12"/>
              <w:jc w:val="center"/>
              <w:rPr>
                <w:rFonts w:ascii="宋体" w:hAnsi="宋体"/>
                <w:w w:val="90"/>
              </w:rPr>
            </w:pPr>
            <w:r>
              <w:rPr>
                <w:rFonts w:hint="eastAsia" w:ascii="宋体" w:hAnsi="宋体"/>
                <w:w w:val="90"/>
              </w:rPr>
              <w:t>105.4</w:t>
            </w:r>
          </w:p>
        </w:tc>
        <w:tc>
          <w:tcPr>
            <w:tcW w:w="457" w:type="pct"/>
            <w:vAlign w:val="center"/>
          </w:tcPr>
          <w:p w14:paraId="3FEF51B7">
            <w:pPr>
              <w:pStyle w:val="12"/>
              <w:jc w:val="center"/>
              <w:rPr>
                <w:rFonts w:ascii="宋体" w:hAnsi="宋体"/>
                <w:w w:val="90"/>
              </w:rPr>
            </w:pPr>
            <w:r>
              <w:rPr>
                <w:rFonts w:hint="eastAsia" w:ascii="宋体" w:hAnsi="宋体"/>
                <w:w w:val="90"/>
              </w:rPr>
              <w:t>—</w:t>
            </w:r>
          </w:p>
        </w:tc>
        <w:tc>
          <w:tcPr>
            <w:tcW w:w="433" w:type="pct"/>
            <w:vAlign w:val="center"/>
          </w:tcPr>
          <w:p w14:paraId="21D59E07">
            <w:pPr>
              <w:pStyle w:val="12"/>
              <w:jc w:val="center"/>
              <w:rPr>
                <w:rFonts w:ascii="宋体" w:hAnsi="宋体"/>
                <w:w w:val="90"/>
              </w:rPr>
            </w:pPr>
            <w:r>
              <w:rPr>
                <w:rFonts w:hint="eastAsia" w:ascii="宋体" w:hAnsi="宋体"/>
                <w:w w:val="90"/>
              </w:rPr>
              <w:t>65.3</w:t>
            </w:r>
          </w:p>
        </w:tc>
      </w:tr>
      <w:tr w14:paraId="11ADDF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0" w:type="pct"/>
            <w:vAlign w:val="center"/>
          </w:tcPr>
          <w:p w14:paraId="1A91E62D">
            <w:pPr>
              <w:pStyle w:val="12"/>
              <w:jc w:val="center"/>
              <w:rPr>
                <w:rFonts w:ascii="宋体" w:hAnsi="宋体"/>
                <w:w w:val="90"/>
              </w:rPr>
            </w:pPr>
            <w:r>
              <w:rPr>
                <w:rFonts w:hint="eastAsia" w:ascii="宋体" w:hAnsi="宋体"/>
                <w:w w:val="90"/>
              </w:rPr>
              <w:t>乌迳镇</w:t>
            </w:r>
          </w:p>
        </w:tc>
        <w:tc>
          <w:tcPr>
            <w:tcW w:w="479" w:type="pct"/>
            <w:vAlign w:val="center"/>
          </w:tcPr>
          <w:p w14:paraId="68D4B3C8">
            <w:pPr>
              <w:pStyle w:val="12"/>
              <w:jc w:val="center"/>
              <w:rPr>
                <w:rFonts w:ascii="宋体" w:hAnsi="宋体"/>
                <w:w w:val="90"/>
              </w:rPr>
            </w:pPr>
            <w:r>
              <w:rPr>
                <w:rFonts w:hint="eastAsia" w:ascii="宋体" w:hAnsi="宋体"/>
                <w:w w:val="90"/>
              </w:rPr>
              <w:t>15406.6</w:t>
            </w:r>
          </w:p>
        </w:tc>
        <w:tc>
          <w:tcPr>
            <w:tcW w:w="479" w:type="pct"/>
            <w:vAlign w:val="center"/>
          </w:tcPr>
          <w:p w14:paraId="107CC717">
            <w:pPr>
              <w:pStyle w:val="12"/>
              <w:jc w:val="center"/>
              <w:rPr>
                <w:rFonts w:ascii="宋体" w:hAnsi="宋体"/>
                <w:w w:val="90"/>
              </w:rPr>
            </w:pPr>
            <w:r>
              <w:rPr>
                <w:rFonts w:hint="eastAsia" w:ascii="宋体" w:hAnsi="宋体"/>
                <w:w w:val="90"/>
              </w:rPr>
              <w:t>8067.5</w:t>
            </w:r>
          </w:p>
        </w:tc>
        <w:tc>
          <w:tcPr>
            <w:tcW w:w="433" w:type="pct"/>
            <w:vAlign w:val="center"/>
          </w:tcPr>
          <w:p w14:paraId="161140E3">
            <w:pPr>
              <w:pStyle w:val="12"/>
              <w:jc w:val="center"/>
              <w:rPr>
                <w:rFonts w:ascii="宋体" w:hAnsi="宋体"/>
                <w:w w:val="90"/>
              </w:rPr>
            </w:pPr>
            <w:r>
              <w:rPr>
                <w:rFonts w:hint="eastAsia" w:ascii="宋体" w:hAnsi="宋体"/>
                <w:w w:val="90"/>
              </w:rPr>
              <w:t>52.4</w:t>
            </w:r>
          </w:p>
        </w:tc>
        <w:tc>
          <w:tcPr>
            <w:tcW w:w="479" w:type="pct"/>
            <w:vAlign w:val="center"/>
          </w:tcPr>
          <w:p w14:paraId="6E8537D6">
            <w:pPr>
              <w:pStyle w:val="12"/>
              <w:jc w:val="center"/>
              <w:rPr>
                <w:rFonts w:ascii="宋体" w:hAnsi="宋体"/>
                <w:w w:val="90"/>
              </w:rPr>
            </w:pPr>
            <w:r>
              <w:rPr>
                <w:rFonts w:hint="eastAsia" w:ascii="宋体" w:hAnsi="宋体"/>
                <w:w w:val="90"/>
              </w:rPr>
              <w:t>7123.8</w:t>
            </w:r>
          </w:p>
        </w:tc>
        <w:tc>
          <w:tcPr>
            <w:tcW w:w="433" w:type="pct"/>
            <w:vAlign w:val="center"/>
          </w:tcPr>
          <w:p w14:paraId="68151619">
            <w:pPr>
              <w:pStyle w:val="12"/>
              <w:jc w:val="center"/>
              <w:rPr>
                <w:rFonts w:ascii="宋体" w:hAnsi="宋体"/>
                <w:w w:val="90"/>
              </w:rPr>
            </w:pPr>
            <w:r>
              <w:rPr>
                <w:rFonts w:hint="eastAsia" w:ascii="宋体" w:hAnsi="宋体"/>
                <w:w w:val="90"/>
              </w:rPr>
              <w:t>4.3</w:t>
            </w:r>
          </w:p>
        </w:tc>
        <w:tc>
          <w:tcPr>
            <w:tcW w:w="432" w:type="pct"/>
            <w:vAlign w:val="center"/>
          </w:tcPr>
          <w:p w14:paraId="1A2F4836">
            <w:pPr>
              <w:pStyle w:val="12"/>
              <w:jc w:val="center"/>
              <w:rPr>
                <w:rFonts w:ascii="宋体" w:hAnsi="宋体"/>
                <w:w w:val="90"/>
              </w:rPr>
            </w:pPr>
            <w:r>
              <w:rPr>
                <w:rFonts w:hint="eastAsia" w:ascii="宋体" w:hAnsi="宋体"/>
                <w:w w:val="90"/>
              </w:rPr>
              <w:t>57.8</w:t>
            </w:r>
          </w:p>
        </w:tc>
        <w:tc>
          <w:tcPr>
            <w:tcW w:w="434" w:type="pct"/>
            <w:vAlign w:val="center"/>
          </w:tcPr>
          <w:p w14:paraId="5B5B46AF">
            <w:pPr>
              <w:pStyle w:val="12"/>
              <w:jc w:val="center"/>
              <w:rPr>
                <w:rFonts w:ascii="宋体" w:hAnsi="宋体"/>
                <w:w w:val="90"/>
              </w:rPr>
            </w:pPr>
            <w:r>
              <w:rPr>
                <w:rFonts w:hint="eastAsia" w:ascii="宋体" w:hAnsi="宋体"/>
                <w:w w:val="90"/>
              </w:rPr>
              <w:t>371.1</w:t>
            </w:r>
          </w:p>
        </w:tc>
        <w:tc>
          <w:tcPr>
            <w:tcW w:w="411" w:type="pct"/>
            <w:vAlign w:val="center"/>
          </w:tcPr>
          <w:p w14:paraId="524907F3">
            <w:pPr>
              <w:pStyle w:val="12"/>
              <w:jc w:val="center"/>
              <w:rPr>
                <w:rFonts w:ascii="宋体" w:hAnsi="宋体"/>
                <w:w w:val="90"/>
              </w:rPr>
            </w:pPr>
            <w:r>
              <w:rPr>
                <w:rFonts w:hint="eastAsia" w:ascii="宋体" w:hAnsi="宋体"/>
                <w:w w:val="90"/>
              </w:rPr>
              <w:t>509.9</w:t>
            </w:r>
          </w:p>
        </w:tc>
        <w:tc>
          <w:tcPr>
            <w:tcW w:w="457" w:type="pct"/>
            <w:vAlign w:val="center"/>
          </w:tcPr>
          <w:p w14:paraId="5D44873F">
            <w:pPr>
              <w:pStyle w:val="12"/>
              <w:jc w:val="center"/>
              <w:rPr>
                <w:rFonts w:ascii="宋体" w:hAnsi="宋体"/>
                <w:w w:val="90"/>
              </w:rPr>
            </w:pPr>
            <w:r>
              <w:rPr>
                <w:rFonts w:hint="eastAsia" w:ascii="宋体" w:hAnsi="宋体"/>
                <w:w w:val="90"/>
              </w:rPr>
              <w:t>—</w:t>
            </w:r>
          </w:p>
        </w:tc>
        <w:tc>
          <w:tcPr>
            <w:tcW w:w="433" w:type="pct"/>
            <w:vAlign w:val="center"/>
          </w:tcPr>
          <w:p w14:paraId="5DA90930">
            <w:pPr>
              <w:pStyle w:val="12"/>
              <w:jc w:val="center"/>
              <w:rPr>
                <w:rFonts w:ascii="宋体" w:hAnsi="宋体"/>
                <w:w w:val="90"/>
              </w:rPr>
            </w:pPr>
            <w:r>
              <w:rPr>
                <w:rFonts w:hint="eastAsia" w:ascii="宋体" w:hAnsi="宋体"/>
                <w:w w:val="90"/>
              </w:rPr>
              <w:t>46.6</w:t>
            </w:r>
          </w:p>
        </w:tc>
      </w:tr>
      <w:tr w14:paraId="2D816E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0" w:type="pct"/>
            <w:vAlign w:val="center"/>
          </w:tcPr>
          <w:p w14:paraId="44A61B63">
            <w:pPr>
              <w:pStyle w:val="12"/>
              <w:jc w:val="center"/>
              <w:rPr>
                <w:rFonts w:ascii="宋体" w:hAnsi="宋体"/>
                <w:w w:val="90"/>
              </w:rPr>
            </w:pPr>
            <w:r>
              <w:rPr>
                <w:rFonts w:hint="eastAsia" w:ascii="宋体" w:hAnsi="宋体"/>
                <w:w w:val="90"/>
              </w:rPr>
              <w:t>油山镇</w:t>
            </w:r>
          </w:p>
        </w:tc>
        <w:tc>
          <w:tcPr>
            <w:tcW w:w="479" w:type="pct"/>
            <w:vAlign w:val="center"/>
          </w:tcPr>
          <w:p w14:paraId="59C37758">
            <w:pPr>
              <w:pStyle w:val="12"/>
              <w:jc w:val="center"/>
              <w:rPr>
                <w:rFonts w:ascii="宋体" w:hAnsi="宋体"/>
                <w:w w:val="90"/>
              </w:rPr>
            </w:pPr>
            <w:r>
              <w:rPr>
                <w:rFonts w:hint="eastAsia" w:ascii="宋体" w:hAnsi="宋体"/>
                <w:w w:val="90"/>
              </w:rPr>
              <w:t>14016.5</w:t>
            </w:r>
          </w:p>
        </w:tc>
        <w:tc>
          <w:tcPr>
            <w:tcW w:w="479" w:type="pct"/>
            <w:vAlign w:val="center"/>
          </w:tcPr>
          <w:p w14:paraId="05E1A525">
            <w:pPr>
              <w:pStyle w:val="12"/>
              <w:jc w:val="center"/>
              <w:rPr>
                <w:rFonts w:ascii="宋体" w:hAnsi="宋体"/>
                <w:w w:val="90"/>
              </w:rPr>
            </w:pPr>
            <w:r>
              <w:rPr>
                <w:rFonts w:hint="eastAsia" w:ascii="宋体" w:hAnsi="宋体"/>
                <w:w w:val="90"/>
              </w:rPr>
              <w:t>8586.5</w:t>
            </w:r>
          </w:p>
        </w:tc>
        <w:tc>
          <w:tcPr>
            <w:tcW w:w="433" w:type="pct"/>
            <w:vAlign w:val="center"/>
          </w:tcPr>
          <w:p w14:paraId="71BB1410">
            <w:pPr>
              <w:pStyle w:val="12"/>
              <w:jc w:val="center"/>
              <w:rPr>
                <w:rFonts w:ascii="宋体" w:hAnsi="宋体"/>
                <w:w w:val="90"/>
              </w:rPr>
            </w:pPr>
            <w:r>
              <w:rPr>
                <w:rFonts w:hint="eastAsia" w:ascii="宋体" w:hAnsi="宋体"/>
                <w:w w:val="90"/>
              </w:rPr>
              <w:t>61.3</w:t>
            </w:r>
          </w:p>
        </w:tc>
        <w:tc>
          <w:tcPr>
            <w:tcW w:w="479" w:type="pct"/>
            <w:vAlign w:val="center"/>
          </w:tcPr>
          <w:p w14:paraId="34CC4F74">
            <w:pPr>
              <w:pStyle w:val="12"/>
              <w:jc w:val="center"/>
              <w:rPr>
                <w:rFonts w:ascii="宋体" w:hAnsi="宋体"/>
                <w:w w:val="90"/>
              </w:rPr>
            </w:pPr>
            <w:r>
              <w:rPr>
                <w:rFonts w:hint="eastAsia" w:ascii="宋体" w:hAnsi="宋体"/>
                <w:w w:val="90"/>
              </w:rPr>
              <w:t>7324.5</w:t>
            </w:r>
          </w:p>
        </w:tc>
        <w:tc>
          <w:tcPr>
            <w:tcW w:w="433" w:type="pct"/>
            <w:vAlign w:val="center"/>
          </w:tcPr>
          <w:p w14:paraId="7279CB18">
            <w:pPr>
              <w:pStyle w:val="12"/>
              <w:jc w:val="center"/>
              <w:rPr>
                <w:rFonts w:ascii="宋体" w:hAnsi="宋体"/>
                <w:w w:val="90"/>
              </w:rPr>
            </w:pPr>
            <w:r>
              <w:rPr>
                <w:rFonts w:hint="eastAsia" w:ascii="宋体" w:hAnsi="宋体"/>
                <w:w w:val="90"/>
              </w:rPr>
              <w:t>—</w:t>
            </w:r>
          </w:p>
        </w:tc>
        <w:tc>
          <w:tcPr>
            <w:tcW w:w="432" w:type="pct"/>
            <w:vAlign w:val="center"/>
          </w:tcPr>
          <w:p w14:paraId="29A8AB61">
            <w:pPr>
              <w:pStyle w:val="12"/>
              <w:jc w:val="center"/>
              <w:rPr>
                <w:rFonts w:ascii="宋体" w:hAnsi="宋体"/>
                <w:w w:val="90"/>
              </w:rPr>
            </w:pPr>
            <w:r>
              <w:rPr>
                <w:rFonts w:hint="eastAsia" w:ascii="宋体" w:hAnsi="宋体"/>
                <w:w w:val="90"/>
              </w:rPr>
              <w:t>254.5</w:t>
            </w:r>
          </w:p>
        </w:tc>
        <w:tc>
          <w:tcPr>
            <w:tcW w:w="434" w:type="pct"/>
            <w:vAlign w:val="center"/>
          </w:tcPr>
          <w:p w14:paraId="431189D1">
            <w:pPr>
              <w:pStyle w:val="12"/>
              <w:jc w:val="center"/>
              <w:rPr>
                <w:rFonts w:ascii="宋体" w:hAnsi="宋体"/>
                <w:w w:val="90"/>
              </w:rPr>
            </w:pPr>
            <w:r>
              <w:rPr>
                <w:rFonts w:hint="eastAsia" w:ascii="宋体" w:hAnsi="宋体"/>
                <w:w w:val="90"/>
              </w:rPr>
              <w:t>383.2</w:t>
            </w:r>
          </w:p>
        </w:tc>
        <w:tc>
          <w:tcPr>
            <w:tcW w:w="411" w:type="pct"/>
            <w:vAlign w:val="center"/>
          </w:tcPr>
          <w:p w14:paraId="20FB8CEB">
            <w:pPr>
              <w:pStyle w:val="12"/>
              <w:jc w:val="center"/>
              <w:rPr>
                <w:rFonts w:ascii="宋体" w:hAnsi="宋体"/>
                <w:w w:val="90"/>
              </w:rPr>
            </w:pPr>
            <w:r>
              <w:rPr>
                <w:rFonts w:hint="eastAsia" w:ascii="宋体" w:hAnsi="宋体"/>
                <w:w w:val="90"/>
              </w:rPr>
              <w:t>624.3</w:t>
            </w:r>
          </w:p>
        </w:tc>
        <w:tc>
          <w:tcPr>
            <w:tcW w:w="457" w:type="pct"/>
            <w:vAlign w:val="center"/>
          </w:tcPr>
          <w:p w14:paraId="611235A5">
            <w:pPr>
              <w:pStyle w:val="12"/>
              <w:jc w:val="center"/>
              <w:rPr>
                <w:rFonts w:ascii="宋体" w:hAnsi="宋体"/>
                <w:w w:val="90"/>
              </w:rPr>
            </w:pPr>
            <w:r>
              <w:rPr>
                <w:rFonts w:hint="eastAsia" w:ascii="宋体" w:hAnsi="宋体"/>
                <w:w w:val="90"/>
              </w:rPr>
              <w:t>—</w:t>
            </w:r>
          </w:p>
        </w:tc>
        <w:tc>
          <w:tcPr>
            <w:tcW w:w="433" w:type="pct"/>
            <w:vAlign w:val="center"/>
          </w:tcPr>
          <w:p w14:paraId="1EF7AE9F">
            <w:pPr>
              <w:pStyle w:val="12"/>
              <w:jc w:val="center"/>
              <w:rPr>
                <w:rFonts w:ascii="宋体" w:hAnsi="宋体"/>
                <w:w w:val="90"/>
              </w:rPr>
            </w:pPr>
            <w:r>
              <w:rPr>
                <w:rFonts w:hint="eastAsia" w:ascii="宋体" w:hAnsi="宋体"/>
                <w:w w:val="90"/>
              </w:rPr>
              <w:t>53.2</w:t>
            </w:r>
          </w:p>
        </w:tc>
      </w:tr>
      <w:tr w14:paraId="412D9B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0" w:type="pct"/>
            <w:vAlign w:val="center"/>
          </w:tcPr>
          <w:p w14:paraId="202C6036">
            <w:pPr>
              <w:pStyle w:val="12"/>
              <w:jc w:val="center"/>
              <w:rPr>
                <w:rFonts w:ascii="宋体" w:hAnsi="宋体"/>
                <w:w w:val="90"/>
              </w:rPr>
            </w:pPr>
            <w:r>
              <w:rPr>
                <w:rFonts w:hint="eastAsia" w:ascii="宋体" w:hAnsi="宋体"/>
                <w:w w:val="90"/>
              </w:rPr>
              <w:t>邓坊镇</w:t>
            </w:r>
          </w:p>
        </w:tc>
        <w:tc>
          <w:tcPr>
            <w:tcW w:w="479" w:type="pct"/>
            <w:vAlign w:val="center"/>
          </w:tcPr>
          <w:p w14:paraId="23DF35E6">
            <w:pPr>
              <w:pStyle w:val="12"/>
              <w:jc w:val="center"/>
              <w:rPr>
                <w:rFonts w:ascii="宋体" w:hAnsi="宋体"/>
                <w:w w:val="90"/>
              </w:rPr>
            </w:pPr>
            <w:r>
              <w:rPr>
                <w:rFonts w:hint="eastAsia" w:ascii="宋体" w:hAnsi="宋体"/>
                <w:w w:val="90"/>
              </w:rPr>
              <w:t>10483.8</w:t>
            </w:r>
          </w:p>
        </w:tc>
        <w:tc>
          <w:tcPr>
            <w:tcW w:w="479" w:type="pct"/>
            <w:vAlign w:val="center"/>
          </w:tcPr>
          <w:p w14:paraId="3E70D0CC">
            <w:pPr>
              <w:pStyle w:val="12"/>
              <w:jc w:val="center"/>
              <w:rPr>
                <w:rFonts w:ascii="宋体" w:hAnsi="宋体"/>
                <w:w w:val="90"/>
              </w:rPr>
            </w:pPr>
            <w:r>
              <w:rPr>
                <w:rFonts w:hint="eastAsia" w:ascii="宋体" w:hAnsi="宋体"/>
                <w:w w:val="90"/>
              </w:rPr>
              <w:t>7396.5</w:t>
            </w:r>
          </w:p>
        </w:tc>
        <w:tc>
          <w:tcPr>
            <w:tcW w:w="433" w:type="pct"/>
            <w:vAlign w:val="center"/>
          </w:tcPr>
          <w:p w14:paraId="6B427FD5">
            <w:pPr>
              <w:pStyle w:val="12"/>
              <w:jc w:val="center"/>
              <w:rPr>
                <w:rFonts w:ascii="宋体" w:hAnsi="宋体"/>
                <w:w w:val="90"/>
              </w:rPr>
            </w:pPr>
            <w:r>
              <w:rPr>
                <w:rFonts w:hint="eastAsia" w:ascii="宋体" w:hAnsi="宋体"/>
                <w:w w:val="90"/>
              </w:rPr>
              <w:t>70.5</w:t>
            </w:r>
          </w:p>
        </w:tc>
        <w:tc>
          <w:tcPr>
            <w:tcW w:w="479" w:type="pct"/>
            <w:vAlign w:val="center"/>
          </w:tcPr>
          <w:p w14:paraId="00BEC740">
            <w:pPr>
              <w:pStyle w:val="12"/>
              <w:jc w:val="center"/>
              <w:rPr>
                <w:rFonts w:ascii="宋体" w:hAnsi="宋体"/>
                <w:w w:val="90"/>
              </w:rPr>
            </w:pPr>
            <w:r>
              <w:rPr>
                <w:rFonts w:hint="eastAsia" w:ascii="宋体" w:hAnsi="宋体"/>
                <w:w w:val="90"/>
              </w:rPr>
              <w:t>5674.2</w:t>
            </w:r>
          </w:p>
        </w:tc>
        <w:tc>
          <w:tcPr>
            <w:tcW w:w="433" w:type="pct"/>
            <w:vAlign w:val="center"/>
          </w:tcPr>
          <w:p w14:paraId="41983D7C">
            <w:pPr>
              <w:pStyle w:val="12"/>
              <w:jc w:val="center"/>
              <w:rPr>
                <w:rFonts w:ascii="宋体" w:hAnsi="宋体"/>
                <w:w w:val="90"/>
              </w:rPr>
            </w:pPr>
            <w:r>
              <w:rPr>
                <w:rFonts w:hint="eastAsia" w:ascii="宋体" w:hAnsi="宋体"/>
                <w:w w:val="90"/>
              </w:rPr>
              <w:t>—</w:t>
            </w:r>
          </w:p>
        </w:tc>
        <w:tc>
          <w:tcPr>
            <w:tcW w:w="432" w:type="pct"/>
            <w:vAlign w:val="center"/>
          </w:tcPr>
          <w:p w14:paraId="55733157">
            <w:pPr>
              <w:pStyle w:val="12"/>
              <w:jc w:val="center"/>
              <w:rPr>
                <w:rFonts w:ascii="宋体" w:hAnsi="宋体"/>
                <w:w w:val="90"/>
              </w:rPr>
            </w:pPr>
            <w:r>
              <w:rPr>
                <w:rFonts w:hint="eastAsia" w:ascii="宋体" w:hAnsi="宋体"/>
                <w:w w:val="90"/>
              </w:rPr>
              <w:t>167.3</w:t>
            </w:r>
          </w:p>
        </w:tc>
        <w:tc>
          <w:tcPr>
            <w:tcW w:w="434" w:type="pct"/>
            <w:vAlign w:val="center"/>
          </w:tcPr>
          <w:p w14:paraId="2224F568">
            <w:pPr>
              <w:pStyle w:val="12"/>
              <w:jc w:val="center"/>
              <w:rPr>
                <w:rFonts w:ascii="宋体" w:hAnsi="宋体"/>
                <w:w w:val="90"/>
              </w:rPr>
            </w:pPr>
            <w:r>
              <w:rPr>
                <w:rFonts w:hint="eastAsia" w:ascii="宋体" w:hAnsi="宋体"/>
                <w:w w:val="90"/>
              </w:rPr>
              <w:t>241.3</w:t>
            </w:r>
          </w:p>
        </w:tc>
        <w:tc>
          <w:tcPr>
            <w:tcW w:w="411" w:type="pct"/>
            <w:vAlign w:val="center"/>
          </w:tcPr>
          <w:p w14:paraId="67CDD18E">
            <w:pPr>
              <w:pStyle w:val="12"/>
              <w:jc w:val="center"/>
              <w:rPr>
                <w:rFonts w:ascii="宋体" w:hAnsi="宋体"/>
                <w:w w:val="90"/>
              </w:rPr>
            </w:pPr>
            <w:r>
              <w:rPr>
                <w:rFonts w:hint="eastAsia" w:ascii="宋体" w:hAnsi="宋体"/>
                <w:w w:val="90"/>
              </w:rPr>
              <w:t>1313.7</w:t>
            </w:r>
          </w:p>
        </w:tc>
        <w:tc>
          <w:tcPr>
            <w:tcW w:w="457" w:type="pct"/>
            <w:vAlign w:val="center"/>
          </w:tcPr>
          <w:p w14:paraId="120E9BEF">
            <w:pPr>
              <w:pStyle w:val="12"/>
              <w:jc w:val="center"/>
              <w:rPr>
                <w:rFonts w:ascii="宋体" w:hAnsi="宋体"/>
                <w:w w:val="90"/>
              </w:rPr>
            </w:pPr>
            <w:r>
              <w:rPr>
                <w:rFonts w:hint="eastAsia" w:ascii="宋体" w:hAnsi="宋体"/>
                <w:w w:val="90"/>
              </w:rPr>
              <w:t>—</w:t>
            </w:r>
          </w:p>
        </w:tc>
        <w:tc>
          <w:tcPr>
            <w:tcW w:w="433" w:type="pct"/>
            <w:vAlign w:val="center"/>
          </w:tcPr>
          <w:p w14:paraId="5236DEBC">
            <w:pPr>
              <w:pStyle w:val="12"/>
              <w:jc w:val="center"/>
              <w:rPr>
                <w:rFonts w:ascii="宋体" w:hAnsi="宋体"/>
                <w:w w:val="90"/>
              </w:rPr>
            </w:pPr>
            <w:r>
              <w:rPr>
                <w:rFonts w:hint="eastAsia" w:ascii="宋体" w:hAnsi="宋体"/>
                <w:w w:val="90"/>
              </w:rPr>
              <w:t>55.7</w:t>
            </w:r>
          </w:p>
        </w:tc>
      </w:tr>
      <w:tr w14:paraId="546A1D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0" w:type="pct"/>
            <w:vAlign w:val="center"/>
          </w:tcPr>
          <w:p w14:paraId="51679297">
            <w:pPr>
              <w:pStyle w:val="12"/>
              <w:jc w:val="center"/>
              <w:rPr>
                <w:rFonts w:ascii="宋体" w:hAnsi="宋体"/>
                <w:w w:val="90"/>
              </w:rPr>
            </w:pPr>
            <w:r>
              <w:rPr>
                <w:rFonts w:hint="eastAsia" w:ascii="宋体" w:hAnsi="宋体"/>
                <w:w w:val="90"/>
              </w:rPr>
              <w:t>珠玑镇</w:t>
            </w:r>
          </w:p>
        </w:tc>
        <w:tc>
          <w:tcPr>
            <w:tcW w:w="479" w:type="pct"/>
            <w:vAlign w:val="center"/>
          </w:tcPr>
          <w:p w14:paraId="0A2014DE">
            <w:pPr>
              <w:pStyle w:val="12"/>
              <w:jc w:val="center"/>
              <w:rPr>
                <w:rFonts w:ascii="宋体" w:hAnsi="宋体"/>
                <w:w w:val="90"/>
              </w:rPr>
            </w:pPr>
            <w:r>
              <w:rPr>
                <w:rFonts w:hint="eastAsia" w:ascii="宋体" w:hAnsi="宋体"/>
                <w:w w:val="90"/>
              </w:rPr>
              <w:t>20540.5</w:t>
            </w:r>
          </w:p>
        </w:tc>
        <w:tc>
          <w:tcPr>
            <w:tcW w:w="479" w:type="pct"/>
            <w:vAlign w:val="center"/>
          </w:tcPr>
          <w:p w14:paraId="15542833">
            <w:pPr>
              <w:pStyle w:val="12"/>
              <w:jc w:val="center"/>
              <w:rPr>
                <w:rFonts w:ascii="宋体" w:hAnsi="宋体"/>
                <w:w w:val="90"/>
              </w:rPr>
            </w:pPr>
            <w:r>
              <w:rPr>
                <w:rFonts w:hint="eastAsia" w:ascii="宋体" w:hAnsi="宋体"/>
                <w:w w:val="90"/>
              </w:rPr>
              <w:t>14278.8</w:t>
            </w:r>
          </w:p>
        </w:tc>
        <w:tc>
          <w:tcPr>
            <w:tcW w:w="433" w:type="pct"/>
            <w:vAlign w:val="center"/>
          </w:tcPr>
          <w:p w14:paraId="6671F9EF">
            <w:pPr>
              <w:pStyle w:val="12"/>
              <w:jc w:val="center"/>
              <w:rPr>
                <w:rFonts w:ascii="宋体" w:hAnsi="宋体"/>
                <w:w w:val="90"/>
              </w:rPr>
            </w:pPr>
            <w:r>
              <w:rPr>
                <w:rFonts w:hint="eastAsia" w:ascii="宋体" w:hAnsi="宋体"/>
                <w:w w:val="90"/>
              </w:rPr>
              <w:t>69.5</w:t>
            </w:r>
          </w:p>
        </w:tc>
        <w:tc>
          <w:tcPr>
            <w:tcW w:w="479" w:type="pct"/>
            <w:vAlign w:val="center"/>
          </w:tcPr>
          <w:p w14:paraId="686D6ADA">
            <w:pPr>
              <w:pStyle w:val="12"/>
              <w:jc w:val="center"/>
              <w:rPr>
                <w:rFonts w:ascii="宋体" w:hAnsi="宋体"/>
                <w:w w:val="90"/>
              </w:rPr>
            </w:pPr>
            <w:r>
              <w:rPr>
                <w:rFonts w:hint="eastAsia" w:ascii="宋体" w:hAnsi="宋体"/>
                <w:w w:val="90"/>
              </w:rPr>
              <w:t>13012.1</w:t>
            </w:r>
          </w:p>
        </w:tc>
        <w:tc>
          <w:tcPr>
            <w:tcW w:w="433" w:type="pct"/>
            <w:vAlign w:val="center"/>
          </w:tcPr>
          <w:p w14:paraId="065D6266">
            <w:pPr>
              <w:pStyle w:val="12"/>
              <w:jc w:val="center"/>
              <w:rPr>
                <w:rFonts w:ascii="宋体" w:hAnsi="宋体"/>
                <w:w w:val="90"/>
              </w:rPr>
            </w:pPr>
            <w:r>
              <w:rPr>
                <w:rFonts w:hint="eastAsia" w:ascii="宋体" w:hAnsi="宋体"/>
                <w:w w:val="90"/>
              </w:rPr>
              <w:t>—</w:t>
            </w:r>
          </w:p>
        </w:tc>
        <w:tc>
          <w:tcPr>
            <w:tcW w:w="432" w:type="pct"/>
            <w:vAlign w:val="center"/>
          </w:tcPr>
          <w:p w14:paraId="092AACA9">
            <w:pPr>
              <w:pStyle w:val="12"/>
              <w:jc w:val="center"/>
              <w:rPr>
                <w:rFonts w:ascii="宋体" w:hAnsi="宋体"/>
                <w:w w:val="90"/>
              </w:rPr>
            </w:pPr>
            <w:r>
              <w:rPr>
                <w:rFonts w:hint="eastAsia" w:ascii="宋体" w:hAnsi="宋体"/>
                <w:w w:val="90"/>
              </w:rPr>
              <w:t>251.9</w:t>
            </w:r>
          </w:p>
        </w:tc>
        <w:tc>
          <w:tcPr>
            <w:tcW w:w="434" w:type="pct"/>
            <w:vAlign w:val="center"/>
          </w:tcPr>
          <w:p w14:paraId="2825E683">
            <w:pPr>
              <w:pStyle w:val="12"/>
              <w:jc w:val="center"/>
              <w:rPr>
                <w:rFonts w:ascii="宋体" w:hAnsi="宋体"/>
                <w:w w:val="90"/>
              </w:rPr>
            </w:pPr>
            <w:r>
              <w:rPr>
                <w:rFonts w:hint="eastAsia" w:ascii="宋体" w:hAnsi="宋体"/>
                <w:w w:val="90"/>
              </w:rPr>
              <w:t>631.3</w:t>
            </w:r>
          </w:p>
        </w:tc>
        <w:tc>
          <w:tcPr>
            <w:tcW w:w="411" w:type="pct"/>
            <w:vAlign w:val="center"/>
          </w:tcPr>
          <w:p w14:paraId="6FEEEDB6">
            <w:pPr>
              <w:pStyle w:val="12"/>
              <w:jc w:val="center"/>
              <w:rPr>
                <w:rFonts w:ascii="宋体" w:hAnsi="宋体"/>
                <w:w w:val="90"/>
              </w:rPr>
            </w:pPr>
            <w:r>
              <w:rPr>
                <w:rFonts w:hint="eastAsia" w:ascii="宋体" w:hAnsi="宋体"/>
                <w:w w:val="90"/>
              </w:rPr>
              <w:t>242.7</w:t>
            </w:r>
          </w:p>
        </w:tc>
        <w:tc>
          <w:tcPr>
            <w:tcW w:w="457" w:type="pct"/>
            <w:vAlign w:val="center"/>
          </w:tcPr>
          <w:p w14:paraId="586FF38C">
            <w:pPr>
              <w:pStyle w:val="12"/>
              <w:jc w:val="center"/>
              <w:rPr>
                <w:rFonts w:ascii="宋体" w:hAnsi="宋体"/>
                <w:w w:val="90"/>
              </w:rPr>
            </w:pPr>
            <w:r>
              <w:rPr>
                <w:rFonts w:hint="eastAsia" w:ascii="宋体" w:hAnsi="宋体"/>
                <w:w w:val="90"/>
              </w:rPr>
              <w:t>8.1</w:t>
            </w:r>
          </w:p>
        </w:tc>
        <w:tc>
          <w:tcPr>
            <w:tcW w:w="433" w:type="pct"/>
            <w:vAlign w:val="center"/>
          </w:tcPr>
          <w:p w14:paraId="09E5C0A8">
            <w:pPr>
              <w:pStyle w:val="12"/>
              <w:jc w:val="center"/>
              <w:rPr>
                <w:rFonts w:ascii="宋体" w:hAnsi="宋体"/>
                <w:w w:val="90"/>
              </w:rPr>
            </w:pPr>
            <w:r>
              <w:rPr>
                <w:rFonts w:hint="eastAsia" w:ascii="宋体" w:hAnsi="宋体"/>
                <w:w w:val="90"/>
              </w:rPr>
              <w:t>64.6</w:t>
            </w:r>
          </w:p>
        </w:tc>
      </w:tr>
      <w:tr w14:paraId="7FB021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0" w:type="pct"/>
            <w:vAlign w:val="center"/>
          </w:tcPr>
          <w:p w14:paraId="6FE2A6D5">
            <w:pPr>
              <w:pStyle w:val="12"/>
              <w:jc w:val="center"/>
              <w:rPr>
                <w:rFonts w:ascii="宋体" w:hAnsi="宋体"/>
                <w:w w:val="90"/>
              </w:rPr>
            </w:pPr>
            <w:r>
              <w:rPr>
                <w:rFonts w:hint="eastAsia" w:ascii="宋体" w:hAnsi="宋体"/>
                <w:w w:val="90"/>
              </w:rPr>
              <w:t>黄坑镇</w:t>
            </w:r>
          </w:p>
        </w:tc>
        <w:tc>
          <w:tcPr>
            <w:tcW w:w="479" w:type="pct"/>
            <w:vAlign w:val="center"/>
          </w:tcPr>
          <w:p w14:paraId="4048742B">
            <w:pPr>
              <w:pStyle w:val="12"/>
              <w:jc w:val="center"/>
              <w:rPr>
                <w:rFonts w:ascii="宋体" w:hAnsi="宋体"/>
                <w:w w:val="90"/>
              </w:rPr>
            </w:pPr>
            <w:r>
              <w:rPr>
                <w:rFonts w:hint="eastAsia" w:ascii="宋体" w:hAnsi="宋体"/>
                <w:w w:val="90"/>
              </w:rPr>
              <w:t>5719.3</w:t>
            </w:r>
          </w:p>
        </w:tc>
        <w:tc>
          <w:tcPr>
            <w:tcW w:w="479" w:type="pct"/>
            <w:vAlign w:val="center"/>
          </w:tcPr>
          <w:p w14:paraId="15BE98ED">
            <w:pPr>
              <w:pStyle w:val="12"/>
              <w:jc w:val="center"/>
              <w:rPr>
                <w:rFonts w:ascii="宋体" w:hAnsi="宋体"/>
                <w:w w:val="90"/>
              </w:rPr>
            </w:pPr>
            <w:r>
              <w:rPr>
                <w:rFonts w:hint="eastAsia" w:ascii="宋体" w:hAnsi="宋体"/>
                <w:w w:val="90"/>
              </w:rPr>
              <w:t>1223.7</w:t>
            </w:r>
          </w:p>
        </w:tc>
        <w:tc>
          <w:tcPr>
            <w:tcW w:w="433" w:type="pct"/>
            <w:vAlign w:val="center"/>
          </w:tcPr>
          <w:p w14:paraId="6776E66B">
            <w:pPr>
              <w:pStyle w:val="12"/>
              <w:jc w:val="center"/>
              <w:rPr>
                <w:rFonts w:ascii="宋体" w:hAnsi="宋体"/>
                <w:w w:val="90"/>
              </w:rPr>
            </w:pPr>
            <w:r>
              <w:rPr>
                <w:rFonts w:hint="eastAsia" w:ascii="宋体" w:hAnsi="宋体"/>
                <w:w w:val="90"/>
              </w:rPr>
              <w:t>21.4</w:t>
            </w:r>
          </w:p>
        </w:tc>
        <w:tc>
          <w:tcPr>
            <w:tcW w:w="479" w:type="pct"/>
            <w:vAlign w:val="center"/>
          </w:tcPr>
          <w:p w14:paraId="26171E29">
            <w:pPr>
              <w:pStyle w:val="12"/>
              <w:jc w:val="center"/>
              <w:rPr>
                <w:rFonts w:ascii="宋体" w:hAnsi="宋体"/>
                <w:w w:val="90"/>
              </w:rPr>
            </w:pPr>
            <w:r>
              <w:rPr>
                <w:rFonts w:hint="eastAsia" w:ascii="宋体" w:hAnsi="宋体"/>
                <w:w w:val="90"/>
              </w:rPr>
              <w:t>958.2</w:t>
            </w:r>
          </w:p>
        </w:tc>
        <w:tc>
          <w:tcPr>
            <w:tcW w:w="433" w:type="pct"/>
            <w:vAlign w:val="center"/>
          </w:tcPr>
          <w:p w14:paraId="17A0CA14">
            <w:pPr>
              <w:pStyle w:val="12"/>
              <w:jc w:val="center"/>
              <w:rPr>
                <w:rFonts w:ascii="宋体" w:hAnsi="宋体"/>
                <w:w w:val="90"/>
              </w:rPr>
            </w:pPr>
            <w:r>
              <w:rPr>
                <w:rFonts w:hint="eastAsia" w:ascii="宋体" w:hAnsi="宋体"/>
                <w:w w:val="90"/>
              </w:rPr>
              <w:t>—</w:t>
            </w:r>
          </w:p>
        </w:tc>
        <w:tc>
          <w:tcPr>
            <w:tcW w:w="432" w:type="pct"/>
            <w:vAlign w:val="center"/>
          </w:tcPr>
          <w:p w14:paraId="3823680F">
            <w:pPr>
              <w:pStyle w:val="12"/>
              <w:jc w:val="center"/>
              <w:rPr>
                <w:rFonts w:ascii="宋体" w:hAnsi="宋体"/>
                <w:w w:val="90"/>
              </w:rPr>
            </w:pPr>
            <w:r>
              <w:rPr>
                <w:rFonts w:hint="eastAsia" w:ascii="宋体" w:hAnsi="宋体"/>
                <w:w w:val="90"/>
              </w:rPr>
              <w:t>21.1</w:t>
            </w:r>
          </w:p>
        </w:tc>
        <w:tc>
          <w:tcPr>
            <w:tcW w:w="434" w:type="pct"/>
            <w:vAlign w:val="center"/>
          </w:tcPr>
          <w:p w14:paraId="466DC009">
            <w:pPr>
              <w:pStyle w:val="12"/>
              <w:jc w:val="center"/>
              <w:rPr>
                <w:rFonts w:ascii="宋体" w:hAnsi="宋体"/>
                <w:w w:val="90"/>
              </w:rPr>
            </w:pPr>
            <w:r>
              <w:rPr>
                <w:rFonts w:hint="eastAsia" w:ascii="宋体" w:hAnsi="宋体"/>
                <w:w w:val="90"/>
              </w:rPr>
              <w:t>—</w:t>
            </w:r>
          </w:p>
        </w:tc>
        <w:tc>
          <w:tcPr>
            <w:tcW w:w="411" w:type="pct"/>
            <w:vAlign w:val="center"/>
          </w:tcPr>
          <w:p w14:paraId="623777AD">
            <w:pPr>
              <w:pStyle w:val="12"/>
              <w:jc w:val="center"/>
              <w:rPr>
                <w:rFonts w:ascii="宋体" w:hAnsi="宋体"/>
                <w:w w:val="90"/>
              </w:rPr>
            </w:pPr>
            <w:r>
              <w:rPr>
                <w:rFonts w:hint="eastAsia" w:ascii="宋体" w:hAnsi="宋体"/>
                <w:w w:val="90"/>
              </w:rPr>
              <w:t>244.4</w:t>
            </w:r>
          </w:p>
        </w:tc>
        <w:tc>
          <w:tcPr>
            <w:tcW w:w="457" w:type="pct"/>
            <w:vAlign w:val="center"/>
          </w:tcPr>
          <w:p w14:paraId="66AA9EF1">
            <w:pPr>
              <w:pStyle w:val="12"/>
              <w:jc w:val="center"/>
              <w:rPr>
                <w:rFonts w:ascii="宋体" w:hAnsi="宋体"/>
                <w:w w:val="90"/>
              </w:rPr>
            </w:pPr>
            <w:r>
              <w:rPr>
                <w:rFonts w:hint="eastAsia" w:ascii="宋体" w:hAnsi="宋体"/>
                <w:w w:val="90"/>
              </w:rPr>
              <w:t>—</w:t>
            </w:r>
          </w:p>
        </w:tc>
        <w:tc>
          <w:tcPr>
            <w:tcW w:w="433" w:type="pct"/>
            <w:vAlign w:val="center"/>
          </w:tcPr>
          <w:p w14:paraId="1DCAF960">
            <w:pPr>
              <w:pStyle w:val="12"/>
              <w:jc w:val="center"/>
              <w:rPr>
                <w:rFonts w:ascii="宋体" w:hAnsi="宋体"/>
                <w:w w:val="90"/>
              </w:rPr>
            </w:pPr>
            <w:r>
              <w:rPr>
                <w:rFonts w:hint="eastAsia" w:ascii="宋体" w:hAnsi="宋体"/>
                <w:w w:val="90"/>
              </w:rPr>
              <w:t>17.1</w:t>
            </w:r>
          </w:p>
        </w:tc>
      </w:tr>
      <w:tr w14:paraId="7420AD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0" w:type="pct"/>
            <w:vAlign w:val="center"/>
          </w:tcPr>
          <w:p w14:paraId="7DF83DA3">
            <w:pPr>
              <w:pStyle w:val="12"/>
              <w:jc w:val="center"/>
              <w:rPr>
                <w:rFonts w:ascii="宋体" w:hAnsi="宋体"/>
                <w:w w:val="90"/>
              </w:rPr>
            </w:pPr>
            <w:r>
              <w:rPr>
                <w:rFonts w:hint="eastAsia" w:ascii="宋体" w:hAnsi="宋体"/>
                <w:w w:val="90"/>
              </w:rPr>
              <w:t>湖口镇</w:t>
            </w:r>
          </w:p>
        </w:tc>
        <w:tc>
          <w:tcPr>
            <w:tcW w:w="479" w:type="pct"/>
            <w:vAlign w:val="center"/>
          </w:tcPr>
          <w:p w14:paraId="07416727">
            <w:pPr>
              <w:pStyle w:val="12"/>
              <w:jc w:val="center"/>
              <w:rPr>
                <w:rFonts w:ascii="宋体" w:hAnsi="宋体"/>
                <w:w w:val="90"/>
              </w:rPr>
            </w:pPr>
            <w:r>
              <w:rPr>
                <w:rFonts w:hint="eastAsia" w:ascii="宋体" w:hAnsi="宋体"/>
                <w:w w:val="90"/>
              </w:rPr>
              <w:t>7381.8</w:t>
            </w:r>
          </w:p>
        </w:tc>
        <w:tc>
          <w:tcPr>
            <w:tcW w:w="479" w:type="pct"/>
            <w:vAlign w:val="center"/>
          </w:tcPr>
          <w:p w14:paraId="13CA7865">
            <w:pPr>
              <w:pStyle w:val="12"/>
              <w:jc w:val="center"/>
              <w:rPr>
                <w:rFonts w:ascii="宋体" w:hAnsi="宋体"/>
                <w:w w:val="90"/>
              </w:rPr>
            </w:pPr>
            <w:r>
              <w:rPr>
                <w:rFonts w:hint="eastAsia" w:ascii="宋体" w:hAnsi="宋体"/>
                <w:w w:val="90"/>
              </w:rPr>
              <w:t>1545.1</w:t>
            </w:r>
          </w:p>
        </w:tc>
        <w:tc>
          <w:tcPr>
            <w:tcW w:w="433" w:type="pct"/>
            <w:vAlign w:val="center"/>
          </w:tcPr>
          <w:p w14:paraId="58461A2B">
            <w:pPr>
              <w:pStyle w:val="12"/>
              <w:jc w:val="center"/>
              <w:rPr>
                <w:rFonts w:ascii="宋体" w:hAnsi="宋体"/>
                <w:w w:val="90"/>
              </w:rPr>
            </w:pPr>
            <w:r>
              <w:rPr>
                <w:rFonts w:hint="eastAsia" w:ascii="宋体" w:hAnsi="宋体"/>
                <w:w w:val="90"/>
              </w:rPr>
              <w:t>20.9</w:t>
            </w:r>
          </w:p>
        </w:tc>
        <w:tc>
          <w:tcPr>
            <w:tcW w:w="479" w:type="pct"/>
            <w:vAlign w:val="center"/>
          </w:tcPr>
          <w:p w14:paraId="7B0BACBE">
            <w:pPr>
              <w:pStyle w:val="12"/>
              <w:jc w:val="center"/>
              <w:rPr>
                <w:rFonts w:ascii="宋体" w:hAnsi="宋体"/>
                <w:w w:val="90"/>
              </w:rPr>
            </w:pPr>
            <w:r>
              <w:rPr>
                <w:rFonts w:hint="eastAsia" w:ascii="宋体" w:hAnsi="宋体"/>
                <w:w w:val="90"/>
              </w:rPr>
              <w:t>1020.9</w:t>
            </w:r>
          </w:p>
        </w:tc>
        <w:tc>
          <w:tcPr>
            <w:tcW w:w="433" w:type="pct"/>
            <w:vAlign w:val="center"/>
          </w:tcPr>
          <w:p w14:paraId="186D680A">
            <w:pPr>
              <w:pStyle w:val="12"/>
              <w:jc w:val="center"/>
              <w:rPr>
                <w:rFonts w:ascii="宋体" w:hAnsi="宋体"/>
                <w:w w:val="90"/>
              </w:rPr>
            </w:pPr>
            <w:r>
              <w:rPr>
                <w:rFonts w:hint="eastAsia" w:ascii="宋体" w:hAnsi="宋体"/>
                <w:w w:val="90"/>
              </w:rPr>
              <w:t>—</w:t>
            </w:r>
          </w:p>
        </w:tc>
        <w:tc>
          <w:tcPr>
            <w:tcW w:w="432" w:type="pct"/>
            <w:vAlign w:val="center"/>
          </w:tcPr>
          <w:p w14:paraId="5895E8C0">
            <w:pPr>
              <w:pStyle w:val="12"/>
              <w:jc w:val="center"/>
              <w:rPr>
                <w:rFonts w:ascii="宋体" w:hAnsi="宋体"/>
                <w:w w:val="90"/>
              </w:rPr>
            </w:pPr>
            <w:r>
              <w:rPr>
                <w:rFonts w:hint="eastAsia" w:ascii="宋体" w:hAnsi="宋体"/>
                <w:w w:val="90"/>
              </w:rPr>
              <w:t>57.1</w:t>
            </w:r>
          </w:p>
        </w:tc>
        <w:tc>
          <w:tcPr>
            <w:tcW w:w="434" w:type="pct"/>
            <w:vAlign w:val="center"/>
          </w:tcPr>
          <w:p w14:paraId="7CDAF216">
            <w:pPr>
              <w:pStyle w:val="12"/>
              <w:jc w:val="center"/>
              <w:rPr>
                <w:rFonts w:ascii="宋体" w:hAnsi="宋体"/>
                <w:w w:val="90"/>
              </w:rPr>
            </w:pPr>
            <w:r>
              <w:rPr>
                <w:rFonts w:hint="eastAsia" w:ascii="宋体" w:hAnsi="宋体"/>
                <w:w w:val="90"/>
              </w:rPr>
              <w:t>—</w:t>
            </w:r>
          </w:p>
        </w:tc>
        <w:tc>
          <w:tcPr>
            <w:tcW w:w="411" w:type="pct"/>
            <w:vAlign w:val="center"/>
          </w:tcPr>
          <w:p w14:paraId="030F665F">
            <w:pPr>
              <w:pStyle w:val="12"/>
              <w:jc w:val="center"/>
              <w:rPr>
                <w:rFonts w:ascii="宋体" w:hAnsi="宋体"/>
                <w:w w:val="90"/>
              </w:rPr>
            </w:pPr>
            <w:r>
              <w:rPr>
                <w:rFonts w:hint="eastAsia" w:ascii="宋体" w:hAnsi="宋体"/>
                <w:w w:val="90"/>
              </w:rPr>
              <w:t>467.1</w:t>
            </w:r>
          </w:p>
        </w:tc>
        <w:tc>
          <w:tcPr>
            <w:tcW w:w="457" w:type="pct"/>
            <w:vAlign w:val="center"/>
          </w:tcPr>
          <w:p w14:paraId="4BB6BA5D">
            <w:pPr>
              <w:pStyle w:val="12"/>
              <w:jc w:val="center"/>
              <w:rPr>
                <w:rFonts w:ascii="宋体" w:hAnsi="宋体"/>
                <w:w w:val="90"/>
              </w:rPr>
            </w:pPr>
            <w:r>
              <w:rPr>
                <w:rFonts w:hint="eastAsia" w:ascii="宋体" w:hAnsi="宋体"/>
                <w:w w:val="90"/>
              </w:rPr>
              <w:t>14.6</w:t>
            </w:r>
          </w:p>
        </w:tc>
        <w:tc>
          <w:tcPr>
            <w:tcW w:w="433" w:type="pct"/>
            <w:vAlign w:val="center"/>
          </w:tcPr>
          <w:p w14:paraId="41747F2C">
            <w:pPr>
              <w:pStyle w:val="12"/>
              <w:jc w:val="center"/>
              <w:rPr>
                <w:rFonts w:ascii="宋体" w:hAnsi="宋体"/>
                <w:w w:val="90"/>
              </w:rPr>
            </w:pPr>
            <w:r>
              <w:rPr>
                <w:rFonts w:hint="eastAsia" w:ascii="宋体" w:hAnsi="宋体"/>
                <w:w w:val="90"/>
              </w:rPr>
              <w:t>—</w:t>
            </w:r>
          </w:p>
        </w:tc>
      </w:tr>
      <w:tr w14:paraId="2AD8B4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0" w:type="pct"/>
            <w:vAlign w:val="center"/>
          </w:tcPr>
          <w:p w14:paraId="03B21A45">
            <w:pPr>
              <w:pStyle w:val="12"/>
              <w:jc w:val="center"/>
              <w:rPr>
                <w:rFonts w:ascii="宋体" w:hAnsi="宋体"/>
                <w:w w:val="90"/>
              </w:rPr>
            </w:pPr>
            <w:r>
              <w:rPr>
                <w:rFonts w:hint="eastAsia" w:ascii="宋体" w:hAnsi="宋体"/>
                <w:w w:val="90"/>
              </w:rPr>
              <w:t>雄州镇</w:t>
            </w:r>
          </w:p>
        </w:tc>
        <w:tc>
          <w:tcPr>
            <w:tcW w:w="479" w:type="pct"/>
            <w:vAlign w:val="center"/>
          </w:tcPr>
          <w:p w14:paraId="2E6A5C07">
            <w:pPr>
              <w:pStyle w:val="12"/>
              <w:jc w:val="center"/>
              <w:rPr>
                <w:rFonts w:ascii="宋体" w:hAnsi="宋体"/>
                <w:w w:val="90"/>
              </w:rPr>
            </w:pPr>
            <w:r>
              <w:rPr>
                <w:rFonts w:hint="eastAsia" w:ascii="宋体" w:hAnsi="宋体"/>
                <w:w w:val="90"/>
              </w:rPr>
              <w:t>9510.6</w:t>
            </w:r>
          </w:p>
        </w:tc>
        <w:tc>
          <w:tcPr>
            <w:tcW w:w="479" w:type="pct"/>
            <w:vAlign w:val="center"/>
          </w:tcPr>
          <w:p w14:paraId="1B920AA3">
            <w:pPr>
              <w:pStyle w:val="12"/>
              <w:jc w:val="center"/>
              <w:rPr>
                <w:rFonts w:ascii="宋体" w:hAnsi="宋体"/>
                <w:w w:val="90"/>
              </w:rPr>
            </w:pPr>
            <w:r>
              <w:rPr>
                <w:rFonts w:hint="eastAsia" w:ascii="宋体" w:hAnsi="宋体"/>
                <w:w w:val="90"/>
              </w:rPr>
              <w:t>2800.3</w:t>
            </w:r>
          </w:p>
        </w:tc>
        <w:tc>
          <w:tcPr>
            <w:tcW w:w="433" w:type="pct"/>
            <w:vAlign w:val="center"/>
          </w:tcPr>
          <w:p w14:paraId="3C817AA2">
            <w:pPr>
              <w:pStyle w:val="12"/>
              <w:jc w:val="center"/>
              <w:rPr>
                <w:rFonts w:ascii="宋体" w:hAnsi="宋体"/>
                <w:w w:val="90"/>
              </w:rPr>
            </w:pPr>
            <w:r>
              <w:rPr>
                <w:rFonts w:hint="eastAsia" w:ascii="宋体" w:hAnsi="宋体"/>
                <w:w w:val="90"/>
              </w:rPr>
              <w:t>29.4</w:t>
            </w:r>
          </w:p>
        </w:tc>
        <w:tc>
          <w:tcPr>
            <w:tcW w:w="479" w:type="pct"/>
            <w:vAlign w:val="center"/>
          </w:tcPr>
          <w:p w14:paraId="682C83AC">
            <w:pPr>
              <w:pStyle w:val="12"/>
              <w:jc w:val="center"/>
              <w:rPr>
                <w:rFonts w:ascii="宋体" w:hAnsi="宋体"/>
                <w:w w:val="90"/>
              </w:rPr>
            </w:pPr>
            <w:r>
              <w:rPr>
                <w:rFonts w:hint="eastAsia" w:ascii="宋体" w:hAnsi="宋体"/>
                <w:w w:val="90"/>
              </w:rPr>
              <w:t>2688.2</w:t>
            </w:r>
          </w:p>
        </w:tc>
        <w:tc>
          <w:tcPr>
            <w:tcW w:w="433" w:type="pct"/>
            <w:vAlign w:val="center"/>
          </w:tcPr>
          <w:p w14:paraId="0535893A">
            <w:pPr>
              <w:pStyle w:val="12"/>
              <w:jc w:val="center"/>
              <w:rPr>
                <w:rFonts w:ascii="宋体" w:hAnsi="宋体"/>
                <w:w w:val="90"/>
              </w:rPr>
            </w:pPr>
            <w:r>
              <w:rPr>
                <w:rFonts w:hint="eastAsia" w:ascii="宋体" w:hAnsi="宋体"/>
                <w:w w:val="90"/>
              </w:rPr>
              <w:t>0.4</w:t>
            </w:r>
          </w:p>
        </w:tc>
        <w:tc>
          <w:tcPr>
            <w:tcW w:w="432" w:type="pct"/>
            <w:vAlign w:val="center"/>
          </w:tcPr>
          <w:p w14:paraId="04555215">
            <w:pPr>
              <w:pStyle w:val="12"/>
              <w:jc w:val="center"/>
              <w:rPr>
                <w:rFonts w:ascii="宋体" w:hAnsi="宋体"/>
                <w:w w:val="90"/>
              </w:rPr>
            </w:pPr>
            <w:r>
              <w:rPr>
                <w:rFonts w:hint="eastAsia" w:ascii="宋体" w:hAnsi="宋体"/>
                <w:w w:val="90"/>
              </w:rPr>
              <w:t>37.0</w:t>
            </w:r>
          </w:p>
        </w:tc>
        <w:tc>
          <w:tcPr>
            <w:tcW w:w="434" w:type="pct"/>
            <w:vAlign w:val="center"/>
          </w:tcPr>
          <w:p w14:paraId="2D29CDCB">
            <w:pPr>
              <w:pStyle w:val="12"/>
              <w:jc w:val="center"/>
              <w:rPr>
                <w:rFonts w:ascii="宋体" w:hAnsi="宋体"/>
                <w:w w:val="90"/>
              </w:rPr>
            </w:pPr>
            <w:r>
              <w:rPr>
                <w:rFonts w:hint="eastAsia" w:ascii="宋体" w:hAnsi="宋体"/>
                <w:w w:val="90"/>
              </w:rPr>
              <w:t>52.8</w:t>
            </w:r>
          </w:p>
        </w:tc>
        <w:tc>
          <w:tcPr>
            <w:tcW w:w="411" w:type="pct"/>
            <w:vAlign w:val="center"/>
          </w:tcPr>
          <w:p w14:paraId="525F96BD">
            <w:pPr>
              <w:pStyle w:val="12"/>
              <w:jc w:val="center"/>
              <w:rPr>
                <w:rFonts w:ascii="宋体" w:hAnsi="宋体"/>
                <w:w w:val="90"/>
              </w:rPr>
            </w:pPr>
            <w:r>
              <w:rPr>
                <w:rFonts w:hint="eastAsia" w:ascii="宋体" w:hAnsi="宋体"/>
                <w:w w:val="90"/>
              </w:rPr>
              <w:t>20.4</w:t>
            </w:r>
          </w:p>
        </w:tc>
        <w:tc>
          <w:tcPr>
            <w:tcW w:w="457" w:type="pct"/>
            <w:vAlign w:val="center"/>
          </w:tcPr>
          <w:p w14:paraId="455590B7">
            <w:pPr>
              <w:pStyle w:val="12"/>
              <w:jc w:val="center"/>
              <w:rPr>
                <w:rFonts w:ascii="宋体" w:hAnsi="宋体"/>
                <w:w w:val="90"/>
              </w:rPr>
            </w:pPr>
            <w:r>
              <w:rPr>
                <w:rFonts w:hint="eastAsia" w:ascii="宋体" w:hAnsi="宋体"/>
                <w:w w:val="90"/>
              </w:rPr>
              <w:t>1.5</w:t>
            </w:r>
          </w:p>
        </w:tc>
        <w:tc>
          <w:tcPr>
            <w:tcW w:w="433" w:type="pct"/>
            <w:vAlign w:val="center"/>
          </w:tcPr>
          <w:p w14:paraId="76E1BC2B">
            <w:pPr>
              <w:pStyle w:val="12"/>
              <w:jc w:val="center"/>
              <w:rPr>
                <w:rFonts w:ascii="宋体" w:hAnsi="宋体"/>
                <w:w w:val="90"/>
              </w:rPr>
            </w:pPr>
            <w:r>
              <w:rPr>
                <w:rFonts w:hint="eastAsia" w:ascii="宋体" w:hAnsi="宋体"/>
                <w:w w:val="90"/>
              </w:rPr>
              <w:t>28.7</w:t>
            </w:r>
          </w:p>
        </w:tc>
      </w:tr>
    </w:tbl>
    <w:p w14:paraId="5A829F71">
      <w:pPr>
        <w:ind w:firstLine="0" w:firstLineChars="0"/>
        <w:jc w:val="center"/>
        <w:rPr>
          <w:rFonts w:ascii="宋体" w:hAnsi="宋体"/>
          <w:b/>
        </w:rPr>
      </w:pPr>
      <w:r>
        <w:rPr>
          <w:rFonts w:hint="eastAsia" w:ascii="宋体" w:hAnsi="宋体"/>
          <w:b/>
        </w:rPr>
        <w:t>南雄市2004年林业区划面积和林种面积统计</w:t>
      </w:r>
    </w:p>
    <w:p w14:paraId="4D3C19CB">
      <w:pPr>
        <w:ind w:firstLine="0" w:firstLineChars="0"/>
        <w:rPr>
          <w:rFonts w:ascii="宋体" w:hAnsi="宋体"/>
          <w:b/>
        </w:rPr>
      </w:pPr>
      <w:r>
        <w:rPr>
          <w:rFonts w:hint="eastAsia" w:ascii="宋体" w:hAnsi="宋体"/>
          <w:b/>
        </w:rPr>
        <w:t>表2-20</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6"/>
        <w:gridCol w:w="466"/>
        <w:gridCol w:w="1490"/>
        <w:gridCol w:w="1072"/>
        <w:gridCol w:w="1072"/>
        <w:gridCol w:w="1128"/>
        <w:gridCol w:w="1056"/>
        <w:gridCol w:w="1072"/>
        <w:gridCol w:w="1072"/>
        <w:gridCol w:w="1068"/>
      </w:tblGrid>
      <w:tr w14:paraId="3520E2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21" w:type="pct"/>
            <w:gridSpan w:val="3"/>
            <w:vMerge w:val="restart"/>
            <w:vAlign w:val="center"/>
          </w:tcPr>
          <w:p w14:paraId="7E35B725">
            <w:pPr>
              <w:pStyle w:val="12"/>
              <w:jc w:val="center"/>
              <w:rPr>
                <w:rFonts w:ascii="宋体" w:hAnsi="宋体"/>
                <w:b/>
              </w:rPr>
            </w:pPr>
            <w:r>
              <w:rPr>
                <w:rFonts w:hint="eastAsia" w:ascii="宋体" w:hAnsi="宋体"/>
                <w:b/>
              </w:rPr>
              <w:t>区划类别</w:t>
            </w:r>
          </w:p>
        </w:tc>
        <w:tc>
          <w:tcPr>
            <w:tcW w:w="1648" w:type="pct"/>
            <w:gridSpan w:val="3"/>
            <w:vAlign w:val="center"/>
          </w:tcPr>
          <w:p w14:paraId="683D0130">
            <w:pPr>
              <w:pStyle w:val="12"/>
              <w:jc w:val="center"/>
              <w:rPr>
                <w:rFonts w:ascii="宋体" w:hAnsi="宋体"/>
                <w:b/>
              </w:rPr>
            </w:pPr>
            <w:r>
              <w:rPr>
                <w:rFonts w:hint="eastAsia" w:ascii="宋体" w:hAnsi="宋体"/>
                <w:b/>
              </w:rPr>
              <w:t>区划面积</w:t>
            </w:r>
          </w:p>
        </w:tc>
        <w:tc>
          <w:tcPr>
            <w:tcW w:w="2131" w:type="pct"/>
            <w:gridSpan w:val="4"/>
            <w:vAlign w:val="center"/>
          </w:tcPr>
          <w:p w14:paraId="26D4C460">
            <w:pPr>
              <w:pStyle w:val="12"/>
              <w:jc w:val="center"/>
              <w:rPr>
                <w:rFonts w:ascii="宋体" w:hAnsi="宋体"/>
                <w:b/>
              </w:rPr>
            </w:pPr>
            <w:r>
              <w:rPr>
                <w:rFonts w:hint="eastAsia" w:ascii="宋体" w:hAnsi="宋体"/>
                <w:b/>
              </w:rPr>
              <w:t>林种面积（公顷）</w:t>
            </w:r>
          </w:p>
        </w:tc>
      </w:tr>
      <w:tr w14:paraId="5BC2D1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21" w:type="pct"/>
            <w:gridSpan w:val="3"/>
            <w:vMerge w:val="continue"/>
            <w:vAlign w:val="center"/>
          </w:tcPr>
          <w:p w14:paraId="7DC1FA4D">
            <w:pPr>
              <w:pStyle w:val="12"/>
              <w:jc w:val="center"/>
              <w:rPr>
                <w:rFonts w:ascii="宋体" w:hAnsi="宋体"/>
                <w:b/>
              </w:rPr>
            </w:pPr>
          </w:p>
        </w:tc>
        <w:tc>
          <w:tcPr>
            <w:tcW w:w="540" w:type="pct"/>
            <w:vAlign w:val="center"/>
          </w:tcPr>
          <w:p w14:paraId="3CDD9E29">
            <w:pPr>
              <w:pStyle w:val="12"/>
              <w:jc w:val="center"/>
              <w:rPr>
                <w:rFonts w:ascii="宋体" w:hAnsi="宋体"/>
                <w:b/>
              </w:rPr>
            </w:pPr>
            <w:r>
              <w:rPr>
                <w:rFonts w:hint="eastAsia" w:ascii="宋体" w:hAnsi="宋体"/>
                <w:b/>
              </w:rPr>
              <w:t>面积（公顷）</w:t>
            </w:r>
          </w:p>
        </w:tc>
        <w:tc>
          <w:tcPr>
            <w:tcW w:w="540" w:type="pct"/>
            <w:vAlign w:val="center"/>
          </w:tcPr>
          <w:p w14:paraId="27743507">
            <w:pPr>
              <w:pStyle w:val="12"/>
              <w:jc w:val="center"/>
              <w:rPr>
                <w:rFonts w:ascii="宋体" w:hAnsi="宋体"/>
                <w:b/>
              </w:rPr>
            </w:pPr>
            <w:r>
              <w:rPr>
                <w:rFonts w:hint="eastAsia" w:ascii="宋体" w:hAnsi="宋体"/>
                <w:b/>
              </w:rPr>
              <w:t>占比（%）</w:t>
            </w:r>
          </w:p>
        </w:tc>
        <w:tc>
          <w:tcPr>
            <w:tcW w:w="568" w:type="pct"/>
            <w:vAlign w:val="center"/>
          </w:tcPr>
          <w:p w14:paraId="0267F708">
            <w:pPr>
              <w:pStyle w:val="12"/>
              <w:jc w:val="center"/>
              <w:rPr>
                <w:rFonts w:ascii="宋体" w:hAnsi="宋体"/>
                <w:b/>
              </w:rPr>
            </w:pPr>
            <w:r>
              <w:rPr>
                <w:rFonts w:hint="eastAsia" w:ascii="宋体" w:hAnsi="宋体"/>
                <w:b/>
              </w:rPr>
              <w:t>活立木蓄积量（立方米）</w:t>
            </w:r>
          </w:p>
        </w:tc>
        <w:tc>
          <w:tcPr>
            <w:tcW w:w="512" w:type="pct"/>
            <w:vAlign w:val="center"/>
          </w:tcPr>
          <w:p w14:paraId="3A479A32">
            <w:pPr>
              <w:pStyle w:val="12"/>
              <w:jc w:val="center"/>
              <w:rPr>
                <w:rFonts w:ascii="宋体" w:hAnsi="宋体"/>
                <w:b/>
              </w:rPr>
            </w:pPr>
            <w:r>
              <w:rPr>
                <w:rFonts w:hint="eastAsia" w:ascii="宋体" w:hAnsi="宋体"/>
                <w:b/>
              </w:rPr>
              <w:t>乔木林</w:t>
            </w:r>
          </w:p>
        </w:tc>
        <w:tc>
          <w:tcPr>
            <w:tcW w:w="540" w:type="pct"/>
            <w:vAlign w:val="center"/>
          </w:tcPr>
          <w:p w14:paraId="73F8D614">
            <w:pPr>
              <w:pStyle w:val="12"/>
              <w:jc w:val="center"/>
              <w:rPr>
                <w:rFonts w:ascii="宋体" w:hAnsi="宋体"/>
                <w:b/>
              </w:rPr>
            </w:pPr>
            <w:r>
              <w:rPr>
                <w:rFonts w:hint="eastAsia" w:ascii="宋体" w:hAnsi="宋体"/>
                <w:b/>
              </w:rPr>
              <w:t>竹林</w:t>
            </w:r>
          </w:p>
        </w:tc>
        <w:tc>
          <w:tcPr>
            <w:tcW w:w="540" w:type="pct"/>
            <w:vAlign w:val="center"/>
          </w:tcPr>
          <w:p w14:paraId="4B2F1DA6">
            <w:pPr>
              <w:pStyle w:val="12"/>
              <w:jc w:val="center"/>
              <w:rPr>
                <w:rFonts w:ascii="宋体" w:hAnsi="宋体"/>
                <w:b/>
              </w:rPr>
            </w:pPr>
            <w:r>
              <w:rPr>
                <w:rFonts w:hint="eastAsia" w:ascii="宋体" w:hAnsi="宋体"/>
                <w:b/>
              </w:rPr>
              <w:t>灌木林</w:t>
            </w:r>
          </w:p>
        </w:tc>
        <w:tc>
          <w:tcPr>
            <w:tcW w:w="540" w:type="pct"/>
            <w:vAlign w:val="center"/>
          </w:tcPr>
          <w:p w14:paraId="427F1EDD">
            <w:pPr>
              <w:pStyle w:val="12"/>
              <w:jc w:val="center"/>
              <w:rPr>
                <w:rFonts w:ascii="宋体" w:hAnsi="宋体"/>
                <w:b/>
              </w:rPr>
            </w:pPr>
            <w:r>
              <w:rPr>
                <w:rFonts w:hint="eastAsia" w:ascii="宋体" w:hAnsi="宋体"/>
                <w:b/>
              </w:rPr>
              <w:t>其他林</w:t>
            </w:r>
          </w:p>
        </w:tc>
      </w:tr>
      <w:tr w14:paraId="21818D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21" w:type="pct"/>
            <w:gridSpan w:val="3"/>
            <w:vAlign w:val="center"/>
          </w:tcPr>
          <w:p w14:paraId="495BF49C">
            <w:pPr>
              <w:pStyle w:val="12"/>
              <w:jc w:val="center"/>
              <w:rPr>
                <w:rFonts w:ascii="宋体" w:hAnsi="宋体"/>
              </w:rPr>
            </w:pPr>
            <w:r>
              <w:rPr>
                <w:rFonts w:hint="eastAsia" w:ascii="宋体" w:hAnsi="宋体"/>
              </w:rPr>
              <w:t>全市总计</w:t>
            </w:r>
          </w:p>
        </w:tc>
        <w:tc>
          <w:tcPr>
            <w:tcW w:w="540" w:type="pct"/>
            <w:vAlign w:val="center"/>
          </w:tcPr>
          <w:p w14:paraId="3B50DEFD">
            <w:pPr>
              <w:pStyle w:val="12"/>
              <w:jc w:val="center"/>
              <w:rPr>
                <w:rFonts w:ascii="宋体" w:hAnsi="宋体"/>
              </w:rPr>
            </w:pPr>
            <w:r>
              <w:rPr>
                <w:rFonts w:hint="eastAsia" w:ascii="宋体" w:hAnsi="宋体"/>
              </w:rPr>
              <w:t>159654.4</w:t>
            </w:r>
          </w:p>
        </w:tc>
        <w:tc>
          <w:tcPr>
            <w:tcW w:w="540" w:type="pct"/>
            <w:vAlign w:val="center"/>
          </w:tcPr>
          <w:p w14:paraId="2B017A5C">
            <w:pPr>
              <w:pStyle w:val="12"/>
              <w:jc w:val="center"/>
              <w:rPr>
                <w:rFonts w:ascii="宋体" w:hAnsi="宋体"/>
              </w:rPr>
            </w:pPr>
            <w:r>
              <w:rPr>
                <w:rFonts w:hint="eastAsia" w:ascii="宋体" w:hAnsi="宋体"/>
              </w:rPr>
              <w:t>100</w:t>
            </w:r>
          </w:p>
        </w:tc>
        <w:tc>
          <w:tcPr>
            <w:tcW w:w="568" w:type="pct"/>
            <w:vAlign w:val="center"/>
          </w:tcPr>
          <w:p w14:paraId="76B1723A">
            <w:pPr>
              <w:pStyle w:val="12"/>
              <w:jc w:val="center"/>
              <w:rPr>
                <w:rFonts w:ascii="宋体" w:hAnsi="宋体"/>
              </w:rPr>
            </w:pPr>
            <w:r>
              <w:rPr>
                <w:rFonts w:hint="eastAsia" w:ascii="宋体" w:hAnsi="宋体"/>
              </w:rPr>
              <w:t>7045047</w:t>
            </w:r>
          </w:p>
        </w:tc>
        <w:tc>
          <w:tcPr>
            <w:tcW w:w="512" w:type="pct"/>
            <w:vAlign w:val="center"/>
          </w:tcPr>
          <w:p w14:paraId="12ABA337">
            <w:pPr>
              <w:pStyle w:val="12"/>
              <w:jc w:val="center"/>
              <w:rPr>
                <w:rFonts w:ascii="宋体" w:hAnsi="宋体"/>
              </w:rPr>
            </w:pPr>
            <w:r>
              <w:rPr>
                <w:rFonts w:hint="eastAsia" w:ascii="宋体" w:hAnsi="宋体"/>
              </w:rPr>
              <w:t>109380.4</w:t>
            </w:r>
          </w:p>
        </w:tc>
        <w:tc>
          <w:tcPr>
            <w:tcW w:w="540" w:type="pct"/>
            <w:vAlign w:val="center"/>
          </w:tcPr>
          <w:p w14:paraId="1FF2B3C0">
            <w:pPr>
              <w:pStyle w:val="12"/>
              <w:jc w:val="center"/>
              <w:rPr>
                <w:rFonts w:ascii="宋体" w:hAnsi="宋体"/>
              </w:rPr>
            </w:pPr>
            <w:r>
              <w:rPr>
                <w:rFonts w:hint="eastAsia" w:ascii="宋体" w:hAnsi="宋体"/>
              </w:rPr>
              <w:t>26282.9</w:t>
            </w:r>
          </w:p>
        </w:tc>
        <w:tc>
          <w:tcPr>
            <w:tcW w:w="540" w:type="pct"/>
            <w:vAlign w:val="center"/>
          </w:tcPr>
          <w:p w14:paraId="1FB9FCA5">
            <w:pPr>
              <w:pStyle w:val="12"/>
              <w:jc w:val="center"/>
              <w:rPr>
                <w:rFonts w:ascii="宋体" w:hAnsi="宋体"/>
              </w:rPr>
            </w:pPr>
            <w:r>
              <w:rPr>
                <w:rFonts w:hint="eastAsia" w:ascii="宋体" w:hAnsi="宋体"/>
              </w:rPr>
              <w:t>4040.2</w:t>
            </w:r>
          </w:p>
        </w:tc>
        <w:tc>
          <w:tcPr>
            <w:tcW w:w="540" w:type="pct"/>
            <w:vAlign w:val="center"/>
          </w:tcPr>
          <w:p w14:paraId="0F9172B2">
            <w:pPr>
              <w:pStyle w:val="12"/>
              <w:jc w:val="center"/>
              <w:rPr>
                <w:rFonts w:ascii="宋体" w:hAnsi="宋体"/>
              </w:rPr>
            </w:pPr>
            <w:r>
              <w:rPr>
                <w:rFonts w:hint="eastAsia" w:ascii="宋体" w:hAnsi="宋体"/>
              </w:rPr>
              <w:t>9950.9</w:t>
            </w:r>
          </w:p>
        </w:tc>
      </w:tr>
      <w:tr w14:paraId="5A311A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6" w:type="pct"/>
            <w:vMerge w:val="restart"/>
            <w:vAlign w:val="center"/>
          </w:tcPr>
          <w:p w14:paraId="56D9993B">
            <w:pPr>
              <w:pStyle w:val="12"/>
              <w:jc w:val="center"/>
              <w:rPr>
                <w:rFonts w:ascii="宋体" w:hAnsi="宋体"/>
              </w:rPr>
            </w:pPr>
            <w:r>
              <w:rPr>
                <w:rFonts w:hint="eastAsia" w:ascii="宋体" w:hAnsi="宋体"/>
              </w:rPr>
              <w:t>生态公益林</w:t>
            </w:r>
          </w:p>
        </w:tc>
        <w:tc>
          <w:tcPr>
            <w:tcW w:w="985" w:type="pct"/>
            <w:gridSpan w:val="2"/>
            <w:vAlign w:val="center"/>
          </w:tcPr>
          <w:p w14:paraId="437B0E3A">
            <w:pPr>
              <w:pStyle w:val="12"/>
              <w:jc w:val="center"/>
              <w:rPr>
                <w:rFonts w:ascii="宋体" w:hAnsi="宋体"/>
              </w:rPr>
            </w:pPr>
            <w:r>
              <w:rPr>
                <w:rFonts w:hint="eastAsia" w:ascii="宋体" w:hAnsi="宋体"/>
              </w:rPr>
              <w:t>合计</w:t>
            </w:r>
          </w:p>
        </w:tc>
        <w:tc>
          <w:tcPr>
            <w:tcW w:w="540" w:type="pct"/>
            <w:vAlign w:val="center"/>
          </w:tcPr>
          <w:p w14:paraId="3F14839B">
            <w:pPr>
              <w:pStyle w:val="12"/>
              <w:jc w:val="center"/>
              <w:rPr>
                <w:rFonts w:ascii="宋体" w:hAnsi="宋体"/>
              </w:rPr>
            </w:pPr>
            <w:r>
              <w:rPr>
                <w:rFonts w:hint="eastAsia" w:ascii="宋体" w:hAnsi="宋体"/>
              </w:rPr>
              <w:t>43217.9</w:t>
            </w:r>
          </w:p>
        </w:tc>
        <w:tc>
          <w:tcPr>
            <w:tcW w:w="540" w:type="pct"/>
            <w:vAlign w:val="center"/>
          </w:tcPr>
          <w:p w14:paraId="52B24D4A">
            <w:pPr>
              <w:pStyle w:val="12"/>
              <w:jc w:val="center"/>
              <w:rPr>
                <w:rFonts w:ascii="宋体" w:hAnsi="宋体"/>
              </w:rPr>
            </w:pPr>
            <w:r>
              <w:rPr>
                <w:rFonts w:hint="eastAsia" w:ascii="宋体" w:hAnsi="宋体"/>
              </w:rPr>
              <w:t>27.07</w:t>
            </w:r>
          </w:p>
        </w:tc>
        <w:tc>
          <w:tcPr>
            <w:tcW w:w="568" w:type="pct"/>
            <w:vAlign w:val="center"/>
          </w:tcPr>
          <w:p w14:paraId="40C24887">
            <w:pPr>
              <w:pStyle w:val="12"/>
              <w:jc w:val="center"/>
              <w:rPr>
                <w:rFonts w:ascii="宋体" w:hAnsi="宋体"/>
              </w:rPr>
            </w:pPr>
            <w:r>
              <w:rPr>
                <w:rFonts w:hint="eastAsia" w:ascii="宋体" w:hAnsi="宋体"/>
              </w:rPr>
              <w:t>2086723</w:t>
            </w:r>
          </w:p>
        </w:tc>
        <w:tc>
          <w:tcPr>
            <w:tcW w:w="512" w:type="pct"/>
            <w:vAlign w:val="center"/>
          </w:tcPr>
          <w:p w14:paraId="4CEE1A7E">
            <w:pPr>
              <w:pStyle w:val="12"/>
              <w:jc w:val="center"/>
              <w:rPr>
                <w:rFonts w:ascii="宋体" w:hAnsi="宋体"/>
              </w:rPr>
            </w:pPr>
            <w:r>
              <w:rPr>
                <w:rFonts w:hint="eastAsia" w:ascii="宋体" w:hAnsi="宋体"/>
              </w:rPr>
              <w:t>26938.5</w:t>
            </w:r>
          </w:p>
        </w:tc>
        <w:tc>
          <w:tcPr>
            <w:tcW w:w="540" w:type="pct"/>
            <w:vAlign w:val="center"/>
          </w:tcPr>
          <w:p w14:paraId="63251042">
            <w:pPr>
              <w:pStyle w:val="12"/>
              <w:jc w:val="center"/>
              <w:rPr>
                <w:rFonts w:ascii="宋体" w:hAnsi="宋体"/>
              </w:rPr>
            </w:pPr>
            <w:r>
              <w:rPr>
                <w:rFonts w:hint="eastAsia" w:ascii="宋体" w:hAnsi="宋体"/>
              </w:rPr>
              <w:t>2956.8</w:t>
            </w:r>
          </w:p>
        </w:tc>
        <w:tc>
          <w:tcPr>
            <w:tcW w:w="540" w:type="pct"/>
            <w:vAlign w:val="center"/>
          </w:tcPr>
          <w:p w14:paraId="373F6F12">
            <w:pPr>
              <w:pStyle w:val="12"/>
              <w:jc w:val="center"/>
              <w:rPr>
                <w:rFonts w:ascii="宋体" w:hAnsi="宋体"/>
              </w:rPr>
            </w:pPr>
            <w:r>
              <w:rPr>
                <w:rFonts w:hint="eastAsia" w:ascii="宋体" w:hAnsi="宋体"/>
              </w:rPr>
              <w:t>763.5</w:t>
            </w:r>
          </w:p>
        </w:tc>
        <w:tc>
          <w:tcPr>
            <w:tcW w:w="540" w:type="pct"/>
            <w:vAlign w:val="center"/>
          </w:tcPr>
          <w:p w14:paraId="2B8F5FA4">
            <w:pPr>
              <w:pStyle w:val="12"/>
              <w:jc w:val="center"/>
              <w:rPr>
                <w:rFonts w:ascii="宋体" w:hAnsi="宋体"/>
              </w:rPr>
            </w:pPr>
            <w:r>
              <w:rPr>
                <w:rFonts w:hint="eastAsia" w:ascii="宋体" w:hAnsi="宋体"/>
              </w:rPr>
              <w:t>2559.1</w:t>
            </w:r>
          </w:p>
        </w:tc>
      </w:tr>
      <w:tr w14:paraId="7D5CF1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6" w:type="pct"/>
            <w:vMerge w:val="continue"/>
            <w:vAlign w:val="center"/>
          </w:tcPr>
          <w:p w14:paraId="5B8CE22E">
            <w:pPr>
              <w:pStyle w:val="12"/>
              <w:jc w:val="center"/>
              <w:rPr>
                <w:rFonts w:ascii="宋体" w:hAnsi="宋体"/>
              </w:rPr>
            </w:pPr>
          </w:p>
        </w:tc>
        <w:tc>
          <w:tcPr>
            <w:tcW w:w="236" w:type="pct"/>
            <w:vMerge w:val="restart"/>
            <w:vAlign w:val="center"/>
          </w:tcPr>
          <w:p w14:paraId="3490E725">
            <w:pPr>
              <w:pStyle w:val="12"/>
              <w:jc w:val="center"/>
              <w:rPr>
                <w:rFonts w:ascii="宋体" w:hAnsi="宋体"/>
              </w:rPr>
            </w:pPr>
            <w:r>
              <w:rPr>
                <w:rFonts w:hint="eastAsia" w:ascii="宋体" w:hAnsi="宋体"/>
              </w:rPr>
              <w:t>特种用途林</w:t>
            </w:r>
          </w:p>
        </w:tc>
        <w:tc>
          <w:tcPr>
            <w:tcW w:w="750" w:type="pct"/>
            <w:vAlign w:val="center"/>
          </w:tcPr>
          <w:p w14:paraId="4B4E2218">
            <w:pPr>
              <w:pStyle w:val="12"/>
              <w:jc w:val="center"/>
              <w:rPr>
                <w:rFonts w:ascii="宋体" w:hAnsi="宋体"/>
              </w:rPr>
            </w:pPr>
            <w:r>
              <w:rPr>
                <w:rFonts w:hint="eastAsia" w:ascii="宋体" w:hAnsi="宋体"/>
              </w:rPr>
              <w:t>小计</w:t>
            </w:r>
          </w:p>
        </w:tc>
        <w:tc>
          <w:tcPr>
            <w:tcW w:w="540" w:type="pct"/>
            <w:vAlign w:val="center"/>
          </w:tcPr>
          <w:p w14:paraId="11E7FCEF">
            <w:pPr>
              <w:pStyle w:val="12"/>
              <w:jc w:val="center"/>
              <w:rPr>
                <w:rFonts w:ascii="宋体" w:hAnsi="宋体"/>
              </w:rPr>
            </w:pPr>
            <w:r>
              <w:rPr>
                <w:rFonts w:hint="eastAsia" w:ascii="宋体" w:hAnsi="宋体"/>
              </w:rPr>
              <w:t>3991.3</w:t>
            </w:r>
          </w:p>
        </w:tc>
        <w:tc>
          <w:tcPr>
            <w:tcW w:w="540" w:type="pct"/>
            <w:vAlign w:val="center"/>
          </w:tcPr>
          <w:p w14:paraId="779D6AAE">
            <w:pPr>
              <w:pStyle w:val="12"/>
              <w:jc w:val="center"/>
              <w:rPr>
                <w:rFonts w:ascii="宋体" w:hAnsi="宋体"/>
              </w:rPr>
            </w:pPr>
            <w:r>
              <w:rPr>
                <w:rFonts w:hint="eastAsia" w:ascii="宋体" w:hAnsi="宋体"/>
              </w:rPr>
              <w:t>2.5</w:t>
            </w:r>
          </w:p>
        </w:tc>
        <w:tc>
          <w:tcPr>
            <w:tcW w:w="568" w:type="pct"/>
            <w:vAlign w:val="center"/>
          </w:tcPr>
          <w:p w14:paraId="78C17507">
            <w:pPr>
              <w:pStyle w:val="12"/>
              <w:jc w:val="center"/>
              <w:rPr>
                <w:rFonts w:ascii="宋体" w:hAnsi="宋体"/>
              </w:rPr>
            </w:pPr>
            <w:r>
              <w:rPr>
                <w:rFonts w:hint="eastAsia" w:ascii="宋体" w:hAnsi="宋体"/>
              </w:rPr>
              <w:t>231135</w:t>
            </w:r>
          </w:p>
        </w:tc>
        <w:tc>
          <w:tcPr>
            <w:tcW w:w="512" w:type="pct"/>
            <w:vAlign w:val="center"/>
          </w:tcPr>
          <w:p w14:paraId="1EF2B49A">
            <w:pPr>
              <w:pStyle w:val="12"/>
              <w:jc w:val="center"/>
              <w:rPr>
                <w:rFonts w:ascii="宋体" w:hAnsi="宋体"/>
              </w:rPr>
            </w:pPr>
            <w:r>
              <w:rPr>
                <w:rFonts w:hint="eastAsia" w:ascii="宋体" w:hAnsi="宋体"/>
              </w:rPr>
              <w:t>3568.3</w:t>
            </w:r>
          </w:p>
        </w:tc>
        <w:tc>
          <w:tcPr>
            <w:tcW w:w="540" w:type="pct"/>
            <w:vAlign w:val="center"/>
          </w:tcPr>
          <w:p w14:paraId="1B4278F9">
            <w:pPr>
              <w:pStyle w:val="12"/>
              <w:jc w:val="center"/>
              <w:rPr>
                <w:rFonts w:ascii="宋体" w:hAnsi="宋体"/>
              </w:rPr>
            </w:pPr>
            <w:r>
              <w:rPr>
                <w:rFonts w:hint="eastAsia" w:ascii="宋体" w:hAnsi="宋体"/>
              </w:rPr>
              <w:t>103.9</w:t>
            </w:r>
          </w:p>
        </w:tc>
        <w:tc>
          <w:tcPr>
            <w:tcW w:w="540" w:type="pct"/>
            <w:vAlign w:val="center"/>
          </w:tcPr>
          <w:p w14:paraId="293D4098">
            <w:pPr>
              <w:pStyle w:val="12"/>
              <w:jc w:val="center"/>
              <w:rPr>
                <w:rFonts w:ascii="宋体" w:hAnsi="宋体"/>
              </w:rPr>
            </w:pPr>
            <w:r>
              <w:rPr>
                <w:rFonts w:hint="eastAsia" w:ascii="宋体" w:hAnsi="宋体"/>
              </w:rPr>
              <w:t>61.3</w:t>
            </w:r>
          </w:p>
        </w:tc>
        <w:tc>
          <w:tcPr>
            <w:tcW w:w="540" w:type="pct"/>
            <w:vAlign w:val="center"/>
          </w:tcPr>
          <w:p w14:paraId="4391E095">
            <w:pPr>
              <w:pStyle w:val="12"/>
              <w:jc w:val="center"/>
              <w:rPr>
                <w:rFonts w:ascii="宋体" w:hAnsi="宋体"/>
              </w:rPr>
            </w:pPr>
            <w:r>
              <w:rPr>
                <w:rFonts w:hint="eastAsia" w:ascii="宋体" w:hAnsi="宋体"/>
              </w:rPr>
              <w:t>257.8</w:t>
            </w:r>
          </w:p>
        </w:tc>
      </w:tr>
      <w:tr w14:paraId="6EA345A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6" w:type="pct"/>
            <w:vMerge w:val="continue"/>
            <w:vAlign w:val="center"/>
          </w:tcPr>
          <w:p w14:paraId="4A6B0238">
            <w:pPr>
              <w:pStyle w:val="12"/>
              <w:jc w:val="center"/>
              <w:rPr>
                <w:rFonts w:ascii="宋体" w:hAnsi="宋体"/>
              </w:rPr>
            </w:pPr>
          </w:p>
        </w:tc>
        <w:tc>
          <w:tcPr>
            <w:tcW w:w="236" w:type="pct"/>
            <w:vMerge w:val="continue"/>
            <w:vAlign w:val="center"/>
          </w:tcPr>
          <w:p w14:paraId="54929CF4">
            <w:pPr>
              <w:pStyle w:val="12"/>
              <w:jc w:val="center"/>
              <w:rPr>
                <w:rFonts w:ascii="宋体" w:hAnsi="宋体"/>
              </w:rPr>
            </w:pPr>
          </w:p>
        </w:tc>
        <w:tc>
          <w:tcPr>
            <w:tcW w:w="750" w:type="pct"/>
            <w:vAlign w:val="center"/>
          </w:tcPr>
          <w:p w14:paraId="605A01E4">
            <w:pPr>
              <w:pStyle w:val="12"/>
              <w:jc w:val="center"/>
              <w:rPr>
                <w:rFonts w:ascii="宋体" w:hAnsi="宋体"/>
              </w:rPr>
            </w:pPr>
            <w:r>
              <w:rPr>
                <w:rFonts w:hint="eastAsia" w:ascii="宋体" w:hAnsi="宋体"/>
              </w:rPr>
              <w:t>自然保护小区</w:t>
            </w:r>
          </w:p>
        </w:tc>
        <w:tc>
          <w:tcPr>
            <w:tcW w:w="540" w:type="pct"/>
            <w:vAlign w:val="center"/>
          </w:tcPr>
          <w:p w14:paraId="42D54569">
            <w:pPr>
              <w:pStyle w:val="12"/>
              <w:jc w:val="center"/>
              <w:rPr>
                <w:rFonts w:ascii="宋体" w:hAnsi="宋体"/>
              </w:rPr>
            </w:pPr>
            <w:r>
              <w:rPr>
                <w:rFonts w:hint="eastAsia" w:ascii="宋体" w:hAnsi="宋体"/>
              </w:rPr>
              <w:t>1003.7</w:t>
            </w:r>
          </w:p>
        </w:tc>
        <w:tc>
          <w:tcPr>
            <w:tcW w:w="540" w:type="pct"/>
            <w:vAlign w:val="center"/>
          </w:tcPr>
          <w:p w14:paraId="153F4B23">
            <w:pPr>
              <w:pStyle w:val="12"/>
              <w:jc w:val="center"/>
              <w:rPr>
                <w:rFonts w:ascii="宋体" w:hAnsi="宋体"/>
              </w:rPr>
            </w:pPr>
            <w:r>
              <w:rPr>
                <w:rFonts w:hint="eastAsia" w:ascii="宋体" w:hAnsi="宋体"/>
              </w:rPr>
              <w:t>0.6</w:t>
            </w:r>
          </w:p>
        </w:tc>
        <w:tc>
          <w:tcPr>
            <w:tcW w:w="568" w:type="pct"/>
            <w:vAlign w:val="center"/>
          </w:tcPr>
          <w:p w14:paraId="4401AFB8">
            <w:pPr>
              <w:pStyle w:val="12"/>
              <w:jc w:val="center"/>
              <w:rPr>
                <w:rFonts w:ascii="宋体" w:hAnsi="宋体"/>
              </w:rPr>
            </w:pPr>
            <w:r>
              <w:rPr>
                <w:rFonts w:hint="eastAsia" w:ascii="宋体" w:hAnsi="宋体"/>
              </w:rPr>
              <w:t>44918</w:t>
            </w:r>
          </w:p>
        </w:tc>
        <w:tc>
          <w:tcPr>
            <w:tcW w:w="512" w:type="pct"/>
            <w:vAlign w:val="center"/>
          </w:tcPr>
          <w:p w14:paraId="5489C30C">
            <w:pPr>
              <w:pStyle w:val="12"/>
              <w:jc w:val="center"/>
              <w:rPr>
                <w:rFonts w:ascii="宋体" w:hAnsi="宋体"/>
              </w:rPr>
            </w:pPr>
            <w:r>
              <w:rPr>
                <w:rFonts w:hint="eastAsia" w:ascii="宋体" w:hAnsi="宋体"/>
              </w:rPr>
              <w:t>933</w:t>
            </w:r>
          </w:p>
        </w:tc>
        <w:tc>
          <w:tcPr>
            <w:tcW w:w="540" w:type="pct"/>
            <w:vAlign w:val="center"/>
          </w:tcPr>
          <w:p w14:paraId="1C418622">
            <w:pPr>
              <w:pStyle w:val="12"/>
              <w:jc w:val="center"/>
              <w:rPr>
                <w:rFonts w:ascii="宋体" w:hAnsi="宋体"/>
              </w:rPr>
            </w:pPr>
            <w:r>
              <w:rPr>
                <w:rFonts w:hint="eastAsia" w:ascii="宋体" w:hAnsi="宋体"/>
              </w:rPr>
              <w:t>7.1</w:t>
            </w:r>
          </w:p>
        </w:tc>
        <w:tc>
          <w:tcPr>
            <w:tcW w:w="540" w:type="pct"/>
            <w:vAlign w:val="center"/>
          </w:tcPr>
          <w:p w14:paraId="35C882A5">
            <w:pPr>
              <w:pStyle w:val="12"/>
              <w:jc w:val="center"/>
              <w:rPr>
                <w:rFonts w:ascii="宋体" w:hAnsi="宋体"/>
              </w:rPr>
            </w:pPr>
            <w:r>
              <w:rPr>
                <w:rFonts w:hint="eastAsia" w:ascii="宋体" w:hAnsi="宋体"/>
              </w:rPr>
              <w:t>56.3</w:t>
            </w:r>
          </w:p>
        </w:tc>
        <w:tc>
          <w:tcPr>
            <w:tcW w:w="540" w:type="pct"/>
            <w:vAlign w:val="center"/>
          </w:tcPr>
          <w:p w14:paraId="2A19C66D">
            <w:pPr>
              <w:pStyle w:val="12"/>
              <w:jc w:val="center"/>
              <w:rPr>
                <w:rFonts w:ascii="宋体" w:hAnsi="宋体"/>
              </w:rPr>
            </w:pPr>
            <w:r>
              <w:rPr>
                <w:rFonts w:hint="eastAsia" w:ascii="宋体" w:hAnsi="宋体"/>
              </w:rPr>
              <w:t>7.3</w:t>
            </w:r>
          </w:p>
        </w:tc>
      </w:tr>
      <w:tr w14:paraId="68CC7C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6" w:type="pct"/>
            <w:vMerge w:val="continue"/>
            <w:vAlign w:val="center"/>
          </w:tcPr>
          <w:p w14:paraId="4AD6B541">
            <w:pPr>
              <w:pStyle w:val="12"/>
              <w:jc w:val="center"/>
              <w:rPr>
                <w:rFonts w:ascii="宋体" w:hAnsi="宋体"/>
              </w:rPr>
            </w:pPr>
          </w:p>
        </w:tc>
        <w:tc>
          <w:tcPr>
            <w:tcW w:w="236" w:type="pct"/>
            <w:vMerge w:val="continue"/>
            <w:vAlign w:val="center"/>
          </w:tcPr>
          <w:p w14:paraId="60CE5D30">
            <w:pPr>
              <w:pStyle w:val="12"/>
              <w:jc w:val="center"/>
              <w:rPr>
                <w:rFonts w:ascii="宋体" w:hAnsi="宋体"/>
              </w:rPr>
            </w:pPr>
          </w:p>
        </w:tc>
        <w:tc>
          <w:tcPr>
            <w:tcW w:w="750" w:type="pct"/>
            <w:vAlign w:val="center"/>
          </w:tcPr>
          <w:p w14:paraId="05BD8E1D">
            <w:pPr>
              <w:pStyle w:val="12"/>
              <w:jc w:val="center"/>
              <w:rPr>
                <w:rFonts w:ascii="宋体" w:hAnsi="宋体"/>
              </w:rPr>
            </w:pPr>
            <w:r>
              <w:rPr>
                <w:rFonts w:hint="eastAsia" w:ascii="宋体" w:hAnsi="宋体"/>
              </w:rPr>
              <w:t>风景林</w:t>
            </w:r>
          </w:p>
        </w:tc>
        <w:tc>
          <w:tcPr>
            <w:tcW w:w="540" w:type="pct"/>
            <w:vAlign w:val="center"/>
          </w:tcPr>
          <w:p w14:paraId="61B85F36">
            <w:pPr>
              <w:pStyle w:val="12"/>
              <w:jc w:val="center"/>
              <w:rPr>
                <w:rFonts w:ascii="宋体" w:hAnsi="宋体"/>
              </w:rPr>
            </w:pPr>
            <w:r>
              <w:rPr>
                <w:rFonts w:hint="eastAsia" w:ascii="宋体" w:hAnsi="宋体"/>
              </w:rPr>
              <w:t>2983.9</w:t>
            </w:r>
          </w:p>
        </w:tc>
        <w:tc>
          <w:tcPr>
            <w:tcW w:w="540" w:type="pct"/>
            <w:vAlign w:val="center"/>
          </w:tcPr>
          <w:p w14:paraId="0214723F">
            <w:pPr>
              <w:pStyle w:val="12"/>
              <w:jc w:val="center"/>
              <w:rPr>
                <w:rFonts w:ascii="宋体" w:hAnsi="宋体"/>
              </w:rPr>
            </w:pPr>
            <w:r>
              <w:rPr>
                <w:rFonts w:hint="eastAsia" w:ascii="宋体" w:hAnsi="宋体"/>
              </w:rPr>
              <w:t>1.9</w:t>
            </w:r>
          </w:p>
        </w:tc>
        <w:tc>
          <w:tcPr>
            <w:tcW w:w="568" w:type="pct"/>
            <w:vAlign w:val="center"/>
          </w:tcPr>
          <w:p w14:paraId="1293A4A6">
            <w:pPr>
              <w:pStyle w:val="12"/>
              <w:jc w:val="center"/>
              <w:rPr>
                <w:rFonts w:ascii="宋体" w:hAnsi="宋体"/>
              </w:rPr>
            </w:pPr>
            <w:r>
              <w:rPr>
                <w:rFonts w:hint="eastAsia" w:ascii="宋体" w:hAnsi="宋体"/>
              </w:rPr>
              <w:t>186217</w:t>
            </w:r>
          </w:p>
        </w:tc>
        <w:tc>
          <w:tcPr>
            <w:tcW w:w="512" w:type="pct"/>
            <w:vAlign w:val="center"/>
          </w:tcPr>
          <w:p w14:paraId="6068B68C">
            <w:pPr>
              <w:pStyle w:val="12"/>
              <w:jc w:val="center"/>
              <w:rPr>
                <w:rFonts w:ascii="宋体" w:hAnsi="宋体"/>
              </w:rPr>
            </w:pPr>
            <w:r>
              <w:rPr>
                <w:rFonts w:hint="eastAsia" w:ascii="宋体" w:hAnsi="宋体"/>
              </w:rPr>
              <w:t>2631.6</w:t>
            </w:r>
          </w:p>
        </w:tc>
        <w:tc>
          <w:tcPr>
            <w:tcW w:w="540" w:type="pct"/>
            <w:vAlign w:val="center"/>
          </w:tcPr>
          <w:p w14:paraId="0C815B49">
            <w:pPr>
              <w:pStyle w:val="12"/>
              <w:jc w:val="center"/>
              <w:rPr>
                <w:rFonts w:ascii="宋体" w:hAnsi="宋体"/>
              </w:rPr>
            </w:pPr>
            <w:r>
              <w:rPr>
                <w:rFonts w:hint="eastAsia" w:ascii="宋体" w:hAnsi="宋体"/>
              </w:rPr>
              <w:t>96.8</w:t>
            </w:r>
          </w:p>
        </w:tc>
        <w:tc>
          <w:tcPr>
            <w:tcW w:w="540" w:type="pct"/>
            <w:vAlign w:val="center"/>
          </w:tcPr>
          <w:p w14:paraId="3D3B6FE0">
            <w:pPr>
              <w:pStyle w:val="12"/>
              <w:jc w:val="center"/>
              <w:rPr>
                <w:rFonts w:ascii="宋体" w:hAnsi="宋体"/>
              </w:rPr>
            </w:pPr>
            <w:r>
              <w:rPr>
                <w:rFonts w:hint="eastAsia" w:ascii="宋体" w:hAnsi="宋体"/>
              </w:rPr>
              <w:t>5.0</w:t>
            </w:r>
          </w:p>
        </w:tc>
        <w:tc>
          <w:tcPr>
            <w:tcW w:w="540" w:type="pct"/>
            <w:vAlign w:val="center"/>
          </w:tcPr>
          <w:p w14:paraId="54F62212">
            <w:pPr>
              <w:pStyle w:val="12"/>
              <w:jc w:val="center"/>
              <w:rPr>
                <w:rFonts w:ascii="宋体" w:hAnsi="宋体"/>
              </w:rPr>
            </w:pPr>
            <w:r>
              <w:rPr>
                <w:rFonts w:hint="eastAsia" w:ascii="宋体" w:hAnsi="宋体"/>
              </w:rPr>
              <w:t>250.5</w:t>
            </w:r>
          </w:p>
        </w:tc>
      </w:tr>
      <w:tr w14:paraId="335009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6" w:type="pct"/>
            <w:vMerge w:val="continue"/>
            <w:vAlign w:val="center"/>
          </w:tcPr>
          <w:p w14:paraId="7D090CF4">
            <w:pPr>
              <w:pStyle w:val="12"/>
              <w:jc w:val="center"/>
              <w:rPr>
                <w:rFonts w:ascii="宋体" w:hAnsi="宋体"/>
              </w:rPr>
            </w:pPr>
          </w:p>
        </w:tc>
        <w:tc>
          <w:tcPr>
            <w:tcW w:w="236" w:type="pct"/>
            <w:vMerge w:val="continue"/>
            <w:vAlign w:val="center"/>
          </w:tcPr>
          <w:p w14:paraId="55F8E1C4">
            <w:pPr>
              <w:pStyle w:val="12"/>
              <w:jc w:val="center"/>
              <w:rPr>
                <w:rFonts w:ascii="宋体" w:hAnsi="宋体"/>
              </w:rPr>
            </w:pPr>
          </w:p>
        </w:tc>
        <w:tc>
          <w:tcPr>
            <w:tcW w:w="750" w:type="pct"/>
            <w:vAlign w:val="center"/>
          </w:tcPr>
          <w:p w14:paraId="2C3553AF">
            <w:pPr>
              <w:pStyle w:val="12"/>
              <w:jc w:val="center"/>
              <w:rPr>
                <w:rFonts w:ascii="宋体" w:hAnsi="宋体"/>
              </w:rPr>
            </w:pPr>
            <w:r>
              <w:rPr>
                <w:rFonts w:hint="eastAsia" w:ascii="宋体" w:hAnsi="宋体"/>
              </w:rPr>
              <w:t>国防林</w:t>
            </w:r>
          </w:p>
        </w:tc>
        <w:tc>
          <w:tcPr>
            <w:tcW w:w="540" w:type="pct"/>
            <w:vAlign w:val="center"/>
          </w:tcPr>
          <w:p w14:paraId="311584EC">
            <w:pPr>
              <w:pStyle w:val="12"/>
              <w:jc w:val="center"/>
              <w:rPr>
                <w:rFonts w:ascii="宋体" w:hAnsi="宋体"/>
              </w:rPr>
            </w:pPr>
            <w:r>
              <w:rPr>
                <w:rFonts w:hint="eastAsia" w:ascii="宋体" w:hAnsi="宋体"/>
              </w:rPr>
              <w:t>3.7</w:t>
            </w:r>
          </w:p>
        </w:tc>
        <w:tc>
          <w:tcPr>
            <w:tcW w:w="540" w:type="pct"/>
            <w:vAlign w:val="center"/>
          </w:tcPr>
          <w:p w14:paraId="75B3D0C2">
            <w:pPr>
              <w:pStyle w:val="12"/>
              <w:jc w:val="center"/>
              <w:rPr>
                <w:rFonts w:ascii="宋体" w:hAnsi="宋体"/>
              </w:rPr>
            </w:pPr>
            <w:r>
              <w:rPr>
                <w:rFonts w:hint="eastAsia" w:ascii="宋体" w:hAnsi="宋体"/>
              </w:rPr>
              <w:t>—</w:t>
            </w:r>
          </w:p>
        </w:tc>
        <w:tc>
          <w:tcPr>
            <w:tcW w:w="568" w:type="pct"/>
            <w:vAlign w:val="center"/>
          </w:tcPr>
          <w:p w14:paraId="696B4DAF">
            <w:pPr>
              <w:pStyle w:val="12"/>
              <w:jc w:val="center"/>
              <w:rPr>
                <w:rFonts w:ascii="宋体" w:hAnsi="宋体"/>
              </w:rPr>
            </w:pPr>
            <w:r>
              <w:rPr>
                <w:rFonts w:hint="eastAsia" w:ascii="宋体" w:hAnsi="宋体"/>
              </w:rPr>
              <w:t>—</w:t>
            </w:r>
          </w:p>
        </w:tc>
        <w:tc>
          <w:tcPr>
            <w:tcW w:w="512" w:type="pct"/>
            <w:vAlign w:val="center"/>
          </w:tcPr>
          <w:p w14:paraId="5696AFFB">
            <w:pPr>
              <w:pStyle w:val="12"/>
              <w:jc w:val="center"/>
              <w:rPr>
                <w:rFonts w:ascii="宋体" w:hAnsi="宋体"/>
              </w:rPr>
            </w:pPr>
            <w:r>
              <w:rPr>
                <w:rFonts w:hint="eastAsia" w:ascii="宋体" w:hAnsi="宋体"/>
              </w:rPr>
              <w:t>3.7</w:t>
            </w:r>
          </w:p>
        </w:tc>
        <w:tc>
          <w:tcPr>
            <w:tcW w:w="540" w:type="pct"/>
            <w:vAlign w:val="center"/>
          </w:tcPr>
          <w:p w14:paraId="39E89624">
            <w:pPr>
              <w:pStyle w:val="12"/>
              <w:jc w:val="center"/>
              <w:rPr>
                <w:rFonts w:ascii="宋体" w:hAnsi="宋体"/>
              </w:rPr>
            </w:pPr>
            <w:r>
              <w:rPr>
                <w:rFonts w:hint="eastAsia" w:ascii="宋体" w:hAnsi="宋体"/>
              </w:rPr>
              <w:t>—</w:t>
            </w:r>
          </w:p>
        </w:tc>
        <w:tc>
          <w:tcPr>
            <w:tcW w:w="540" w:type="pct"/>
            <w:vAlign w:val="center"/>
          </w:tcPr>
          <w:p w14:paraId="2BC3C9F5">
            <w:pPr>
              <w:pStyle w:val="12"/>
              <w:jc w:val="center"/>
              <w:rPr>
                <w:rFonts w:ascii="宋体" w:hAnsi="宋体"/>
              </w:rPr>
            </w:pPr>
            <w:r>
              <w:rPr>
                <w:rFonts w:hint="eastAsia" w:ascii="宋体" w:hAnsi="宋体"/>
              </w:rPr>
              <w:t>—</w:t>
            </w:r>
          </w:p>
        </w:tc>
        <w:tc>
          <w:tcPr>
            <w:tcW w:w="540" w:type="pct"/>
            <w:vAlign w:val="center"/>
          </w:tcPr>
          <w:p w14:paraId="7F71CA9F">
            <w:pPr>
              <w:pStyle w:val="12"/>
              <w:jc w:val="center"/>
              <w:rPr>
                <w:rFonts w:ascii="宋体" w:hAnsi="宋体"/>
              </w:rPr>
            </w:pPr>
            <w:r>
              <w:rPr>
                <w:rFonts w:hint="eastAsia" w:ascii="宋体" w:hAnsi="宋体"/>
              </w:rPr>
              <w:t>—</w:t>
            </w:r>
          </w:p>
        </w:tc>
      </w:tr>
      <w:tr w14:paraId="3BFA62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6" w:type="pct"/>
            <w:vMerge w:val="continue"/>
            <w:vAlign w:val="center"/>
          </w:tcPr>
          <w:p w14:paraId="75CD9F98">
            <w:pPr>
              <w:pStyle w:val="12"/>
              <w:jc w:val="center"/>
              <w:rPr>
                <w:rFonts w:ascii="宋体" w:hAnsi="宋体"/>
              </w:rPr>
            </w:pPr>
          </w:p>
        </w:tc>
        <w:tc>
          <w:tcPr>
            <w:tcW w:w="236" w:type="pct"/>
            <w:vMerge w:val="restart"/>
            <w:vAlign w:val="center"/>
          </w:tcPr>
          <w:p w14:paraId="7EBE4A0A">
            <w:pPr>
              <w:pStyle w:val="12"/>
              <w:jc w:val="center"/>
              <w:rPr>
                <w:rFonts w:ascii="宋体" w:hAnsi="宋体"/>
              </w:rPr>
            </w:pPr>
            <w:r>
              <w:rPr>
                <w:rFonts w:hint="eastAsia" w:ascii="宋体" w:hAnsi="宋体"/>
              </w:rPr>
              <w:t>防护林</w:t>
            </w:r>
          </w:p>
        </w:tc>
        <w:tc>
          <w:tcPr>
            <w:tcW w:w="750" w:type="pct"/>
            <w:vAlign w:val="center"/>
          </w:tcPr>
          <w:p w14:paraId="3F63620A">
            <w:pPr>
              <w:pStyle w:val="12"/>
              <w:jc w:val="center"/>
              <w:rPr>
                <w:rFonts w:ascii="宋体" w:hAnsi="宋体"/>
              </w:rPr>
            </w:pPr>
            <w:r>
              <w:rPr>
                <w:rFonts w:hint="eastAsia" w:ascii="宋体" w:hAnsi="宋体"/>
              </w:rPr>
              <w:t>小计</w:t>
            </w:r>
          </w:p>
        </w:tc>
        <w:tc>
          <w:tcPr>
            <w:tcW w:w="540" w:type="pct"/>
            <w:vAlign w:val="center"/>
          </w:tcPr>
          <w:p w14:paraId="0E1B17EC">
            <w:pPr>
              <w:pStyle w:val="12"/>
              <w:jc w:val="center"/>
              <w:rPr>
                <w:rFonts w:ascii="宋体" w:hAnsi="宋体"/>
              </w:rPr>
            </w:pPr>
            <w:r>
              <w:rPr>
                <w:rFonts w:hint="eastAsia" w:ascii="宋体" w:hAnsi="宋体"/>
              </w:rPr>
              <w:t>39226.6</w:t>
            </w:r>
          </w:p>
        </w:tc>
        <w:tc>
          <w:tcPr>
            <w:tcW w:w="540" w:type="pct"/>
            <w:vAlign w:val="center"/>
          </w:tcPr>
          <w:p w14:paraId="3504EF90">
            <w:pPr>
              <w:pStyle w:val="12"/>
              <w:jc w:val="center"/>
              <w:rPr>
                <w:rFonts w:ascii="宋体" w:hAnsi="宋体"/>
              </w:rPr>
            </w:pPr>
            <w:r>
              <w:rPr>
                <w:rFonts w:hint="eastAsia" w:ascii="宋体" w:hAnsi="宋体"/>
              </w:rPr>
              <w:t>24.57</w:t>
            </w:r>
          </w:p>
        </w:tc>
        <w:tc>
          <w:tcPr>
            <w:tcW w:w="568" w:type="pct"/>
            <w:vAlign w:val="center"/>
          </w:tcPr>
          <w:p w14:paraId="018C286A">
            <w:pPr>
              <w:pStyle w:val="12"/>
              <w:jc w:val="center"/>
              <w:rPr>
                <w:rFonts w:ascii="宋体" w:hAnsi="宋体"/>
              </w:rPr>
            </w:pPr>
            <w:r>
              <w:rPr>
                <w:rFonts w:hint="eastAsia" w:ascii="宋体" w:hAnsi="宋体"/>
              </w:rPr>
              <w:t>1855588</w:t>
            </w:r>
          </w:p>
        </w:tc>
        <w:tc>
          <w:tcPr>
            <w:tcW w:w="512" w:type="pct"/>
            <w:vAlign w:val="center"/>
          </w:tcPr>
          <w:p w14:paraId="7005196F">
            <w:pPr>
              <w:pStyle w:val="12"/>
              <w:jc w:val="center"/>
              <w:rPr>
                <w:rFonts w:ascii="宋体" w:hAnsi="宋体"/>
              </w:rPr>
            </w:pPr>
            <w:r>
              <w:rPr>
                <w:rFonts w:hint="eastAsia" w:ascii="宋体" w:hAnsi="宋体"/>
              </w:rPr>
              <w:t>33370.2</w:t>
            </w:r>
          </w:p>
        </w:tc>
        <w:tc>
          <w:tcPr>
            <w:tcW w:w="540" w:type="pct"/>
            <w:vAlign w:val="center"/>
          </w:tcPr>
          <w:p w14:paraId="0C88E60C">
            <w:pPr>
              <w:pStyle w:val="12"/>
              <w:jc w:val="center"/>
              <w:rPr>
                <w:rFonts w:ascii="宋体" w:hAnsi="宋体"/>
              </w:rPr>
            </w:pPr>
            <w:r>
              <w:rPr>
                <w:rFonts w:hint="eastAsia" w:ascii="宋体" w:hAnsi="宋体"/>
              </w:rPr>
              <w:t>2852.9</w:t>
            </w:r>
          </w:p>
        </w:tc>
        <w:tc>
          <w:tcPr>
            <w:tcW w:w="540" w:type="pct"/>
            <w:vAlign w:val="center"/>
          </w:tcPr>
          <w:p w14:paraId="622EE576">
            <w:pPr>
              <w:pStyle w:val="12"/>
              <w:jc w:val="center"/>
              <w:rPr>
                <w:rFonts w:ascii="宋体" w:hAnsi="宋体"/>
              </w:rPr>
            </w:pPr>
            <w:r>
              <w:rPr>
                <w:rFonts w:hint="eastAsia" w:ascii="宋体" w:hAnsi="宋体"/>
              </w:rPr>
              <w:t>702.2</w:t>
            </w:r>
          </w:p>
        </w:tc>
        <w:tc>
          <w:tcPr>
            <w:tcW w:w="540" w:type="pct"/>
            <w:vAlign w:val="center"/>
          </w:tcPr>
          <w:p w14:paraId="2955889C">
            <w:pPr>
              <w:pStyle w:val="12"/>
              <w:jc w:val="center"/>
              <w:rPr>
                <w:rFonts w:ascii="宋体" w:hAnsi="宋体"/>
              </w:rPr>
            </w:pPr>
            <w:r>
              <w:rPr>
                <w:rFonts w:hint="eastAsia" w:ascii="宋体" w:hAnsi="宋体"/>
              </w:rPr>
              <w:t>2301.3</w:t>
            </w:r>
          </w:p>
        </w:tc>
      </w:tr>
      <w:tr w14:paraId="0945A0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6" w:type="pct"/>
            <w:vMerge w:val="continue"/>
            <w:vAlign w:val="center"/>
          </w:tcPr>
          <w:p w14:paraId="424D5F92">
            <w:pPr>
              <w:pStyle w:val="12"/>
              <w:jc w:val="center"/>
              <w:rPr>
                <w:rFonts w:ascii="宋体" w:hAnsi="宋体"/>
              </w:rPr>
            </w:pPr>
          </w:p>
        </w:tc>
        <w:tc>
          <w:tcPr>
            <w:tcW w:w="236" w:type="pct"/>
            <w:vMerge w:val="continue"/>
            <w:vAlign w:val="center"/>
          </w:tcPr>
          <w:p w14:paraId="1FAC9DB2">
            <w:pPr>
              <w:pStyle w:val="12"/>
              <w:jc w:val="center"/>
              <w:rPr>
                <w:rFonts w:ascii="宋体" w:hAnsi="宋体"/>
              </w:rPr>
            </w:pPr>
          </w:p>
        </w:tc>
        <w:tc>
          <w:tcPr>
            <w:tcW w:w="750" w:type="pct"/>
            <w:vAlign w:val="center"/>
          </w:tcPr>
          <w:p w14:paraId="58EA351B">
            <w:pPr>
              <w:pStyle w:val="12"/>
              <w:jc w:val="center"/>
              <w:rPr>
                <w:rFonts w:ascii="宋体" w:hAnsi="宋体"/>
              </w:rPr>
            </w:pPr>
            <w:r>
              <w:rPr>
                <w:rFonts w:hint="eastAsia" w:ascii="宋体" w:hAnsi="宋体"/>
              </w:rPr>
              <w:t>水源涵养林</w:t>
            </w:r>
          </w:p>
        </w:tc>
        <w:tc>
          <w:tcPr>
            <w:tcW w:w="540" w:type="pct"/>
            <w:vAlign w:val="center"/>
          </w:tcPr>
          <w:p w14:paraId="6B95CA4D">
            <w:pPr>
              <w:pStyle w:val="12"/>
              <w:jc w:val="center"/>
              <w:rPr>
                <w:rFonts w:ascii="宋体" w:hAnsi="宋体"/>
              </w:rPr>
            </w:pPr>
            <w:r>
              <w:rPr>
                <w:rFonts w:hint="eastAsia" w:ascii="宋体" w:hAnsi="宋体"/>
              </w:rPr>
              <w:t>19597.9</w:t>
            </w:r>
          </w:p>
        </w:tc>
        <w:tc>
          <w:tcPr>
            <w:tcW w:w="540" w:type="pct"/>
            <w:vAlign w:val="center"/>
          </w:tcPr>
          <w:p w14:paraId="18D25453">
            <w:pPr>
              <w:pStyle w:val="12"/>
              <w:jc w:val="center"/>
              <w:rPr>
                <w:rFonts w:ascii="宋体" w:hAnsi="宋体"/>
              </w:rPr>
            </w:pPr>
            <w:r>
              <w:rPr>
                <w:rFonts w:hint="eastAsia" w:ascii="宋体" w:hAnsi="宋体"/>
              </w:rPr>
              <w:t>12.28</w:t>
            </w:r>
          </w:p>
        </w:tc>
        <w:tc>
          <w:tcPr>
            <w:tcW w:w="568" w:type="pct"/>
            <w:vAlign w:val="center"/>
          </w:tcPr>
          <w:p w14:paraId="19998274">
            <w:pPr>
              <w:pStyle w:val="12"/>
              <w:jc w:val="center"/>
              <w:rPr>
                <w:rFonts w:ascii="宋体" w:hAnsi="宋体"/>
              </w:rPr>
            </w:pPr>
            <w:r>
              <w:rPr>
                <w:rFonts w:hint="eastAsia" w:ascii="宋体" w:hAnsi="宋体"/>
              </w:rPr>
              <w:t>1046049</w:t>
            </w:r>
          </w:p>
        </w:tc>
        <w:tc>
          <w:tcPr>
            <w:tcW w:w="512" w:type="pct"/>
            <w:vAlign w:val="center"/>
          </w:tcPr>
          <w:p w14:paraId="7615AAF5">
            <w:pPr>
              <w:pStyle w:val="12"/>
              <w:jc w:val="center"/>
              <w:rPr>
                <w:rFonts w:ascii="宋体" w:hAnsi="宋体"/>
              </w:rPr>
            </w:pPr>
            <w:r>
              <w:rPr>
                <w:rFonts w:hint="eastAsia" w:ascii="宋体" w:hAnsi="宋体"/>
              </w:rPr>
              <w:t>16031.2</w:t>
            </w:r>
          </w:p>
        </w:tc>
        <w:tc>
          <w:tcPr>
            <w:tcW w:w="540" w:type="pct"/>
            <w:vAlign w:val="center"/>
          </w:tcPr>
          <w:p w14:paraId="270E762D">
            <w:pPr>
              <w:pStyle w:val="12"/>
              <w:jc w:val="center"/>
              <w:rPr>
                <w:rFonts w:ascii="宋体" w:hAnsi="宋体"/>
              </w:rPr>
            </w:pPr>
            <w:r>
              <w:rPr>
                <w:rFonts w:hint="eastAsia" w:ascii="宋体" w:hAnsi="宋体"/>
              </w:rPr>
              <w:t>2727.3</w:t>
            </w:r>
          </w:p>
        </w:tc>
        <w:tc>
          <w:tcPr>
            <w:tcW w:w="540" w:type="pct"/>
            <w:vAlign w:val="center"/>
          </w:tcPr>
          <w:p w14:paraId="1BC3082E">
            <w:pPr>
              <w:pStyle w:val="12"/>
              <w:jc w:val="center"/>
              <w:rPr>
                <w:rFonts w:ascii="宋体" w:hAnsi="宋体"/>
              </w:rPr>
            </w:pPr>
            <w:r>
              <w:rPr>
                <w:rFonts w:hint="eastAsia" w:ascii="宋体" w:hAnsi="宋体"/>
              </w:rPr>
              <w:t>233.8</w:t>
            </w:r>
          </w:p>
        </w:tc>
        <w:tc>
          <w:tcPr>
            <w:tcW w:w="540" w:type="pct"/>
            <w:vAlign w:val="center"/>
          </w:tcPr>
          <w:p w14:paraId="05E1B02E">
            <w:pPr>
              <w:pStyle w:val="12"/>
              <w:jc w:val="center"/>
              <w:rPr>
                <w:rFonts w:ascii="宋体" w:hAnsi="宋体"/>
              </w:rPr>
            </w:pPr>
            <w:r>
              <w:rPr>
                <w:rFonts w:hint="eastAsia" w:ascii="宋体" w:hAnsi="宋体"/>
              </w:rPr>
              <w:t>605.6</w:t>
            </w:r>
          </w:p>
        </w:tc>
      </w:tr>
      <w:tr w14:paraId="6F1EE0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6" w:type="pct"/>
            <w:vMerge w:val="continue"/>
            <w:vAlign w:val="center"/>
          </w:tcPr>
          <w:p w14:paraId="02D1D617">
            <w:pPr>
              <w:pStyle w:val="12"/>
              <w:jc w:val="center"/>
              <w:rPr>
                <w:rFonts w:ascii="宋体" w:hAnsi="宋体"/>
              </w:rPr>
            </w:pPr>
          </w:p>
        </w:tc>
        <w:tc>
          <w:tcPr>
            <w:tcW w:w="236" w:type="pct"/>
            <w:vMerge w:val="continue"/>
            <w:vAlign w:val="center"/>
          </w:tcPr>
          <w:p w14:paraId="5E0188EF">
            <w:pPr>
              <w:pStyle w:val="12"/>
              <w:jc w:val="center"/>
              <w:rPr>
                <w:rFonts w:ascii="宋体" w:hAnsi="宋体"/>
              </w:rPr>
            </w:pPr>
          </w:p>
        </w:tc>
        <w:tc>
          <w:tcPr>
            <w:tcW w:w="750" w:type="pct"/>
            <w:vAlign w:val="center"/>
          </w:tcPr>
          <w:p w14:paraId="2A6C037B">
            <w:pPr>
              <w:pStyle w:val="12"/>
              <w:jc w:val="center"/>
              <w:rPr>
                <w:rFonts w:ascii="宋体" w:hAnsi="宋体"/>
              </w:rPr>
            </w:pPr>
            <w:r>
              <w:rPr>
                <w:rFonts w:hint="eastAsia" w:ascii="宋体" w:hAnsi="宋体"/>
              </w:rPr>
              <w:t>水土保持林</w:t>
            </w:r>
          </w:p>
        </w:tc>
        <w:tc>
          <w:tcPr>
            <w:tcW w:w="540" w:type="pct"/>
            <w:vAlign w:val="center"/>
          </w:tcPr>
          <w:p w14:paraId="24106294">
            <w:pPr>
              <w:pStyle w:val="12"/>
              <w:jc w:val="center"/>
              <w:rPr>
                <w:rFonts w:ascii="宋体" w:hAnsi="宋体"/>
              </w:rPr>
            </w:pPr>
            <w:r>
              <w:rPr>
                <w:rFonts w:hint="eastAsia" w:ascii="宋体" w:hAnsi="宋体"/>
              </w:rPr>
              <w:t>19608.2</w:t>
            </w:r>
          </w:p>
        </w:tc>
        <w:tc>
          <w:tcPr>
            <w:tcW w:w="540" w:type="pct"/>
            <w:vAlign w:val="center"/>
          </w:tcPr>
          <w:p w14:paraId="46725839">
            <w:pPr>
              <w:pStyle w:val="12"/>
              <w:jc w:val="center"/>
              <w:rPr>
                <w:rFonts w:ascii="宋体" w:hAnsi="宋体"/>
              </w:rPr>
            </w:pPr>
            <w:r>
              <w:rPr>
                <w:rFonts w:hint="eastAsia" w:ascii="宋体" w:hAnsi="宋体"/>
              </w:rPr>
              <w:t>12.28</w:t>
            </w:r>
          </w:p>
        </w:tc>
        <w:tc>
          <w:tcPr>
            <w:tcW w:w="568" w:type="pct"/>
            <w:vAlign w:val="center"/>
          </w:tcPr>
          <w:p w14:paraId="3EB33742">
            <w:pPr>
              <w:pStyle w:val="12"/>
              <w:jc w:val="center"/>
              <w:rPr>
                <w:rFonts w:ascii="宋体" w:hAnsi="宋体"/>
              </w:rPr>
            </w:pPr>
            <w:r>
              <w:rPr>
                <w:rFonts w:hint="eastAsia" w:ascii="宋体" w:hAnsi="宋体"/>
              </w:rPr>
              <w:t>808918</w:t>
            </w:r>
          </w:p>
        </w:tc>
        <w:tc>
          <w:tcPr>
            <w:tcW w:w="512" w:type="pct"/>
            <w:vAlign w:val="center"/>
          </w:tcPr>
          <w:p w14:paraId="4913D9DD">
            <w:pPr>
              <w:pStyle w:val="12"/>
              <w:jc w:val="center"/>
              <w:rPr>
                <w:rFonts w:ascii="宋体" w:hAnsi="宋体"/>
              </w:rPr>
            </w:pPr>
            <w:r>
              <w:rPr>
                <w:rFonts w:hint="eastAsia" w:ascii="宋体" w:hAnsi="宋体"/>
              </w:rPr>
              <w:t>17325.7</w:t>
            </w:r>
          </w:p>
        </w:tc>
        <w:tc>
          <w:tcPr>
            <w:tcW w:w="540" w:type="pct"/>
            <w:vAlign w:val="center"/>
          </w:tcPr>
          <w:p w14:paraId="4A994700">
            <w:pPr>
              <w:pStyle w:val="12"/>
              <w:jc w:val="center"/>
              <w:rPr>
                <w:rFonts w:ascii="宋体" w:hAnsi="宋体"/>
              </w:rPr>
            </w:pPr>
            <w:r>
              <w:rPr>
                <w:rFonts w:hint="eastAsia" w:ascii="宋体" w:hAnsi="宋体"/>
              </w:rPr>
              <w:t>125.6</w:t>
            </w:r>
          </w:p>
        </w:tc>
        <w:tc>
          <w:tcPr>
            <w:tcW w:w="540" w:type="pct"/>
            <w:vAlign w:val="center"/>
          </w:tcPr>
          <w:p w14:paraId="0870331F">
            <w:pPr>
              <w:pStyle w:val="12"/>
              <w:jc w:val="center"/>
              <w:rPr>
                <w:rFonts w:ascii="宋体" w:hAnsi="宋体"/>
              </w:rPr>
            </w:pPr>
            <w:r>
              <w:rPr>
                <w:rFonts w:hint="eastAsia" w:ascii="宋体" w:hAnsi="宋体"/>
              </w:rPr>
              <w:t>468.4</w:t>
            </w:r>
          </w:p>
        </w:tc>
        <w:tc>
          <w:tcPr>
            <w:tcW w:w="540" w:type="pct"/>
            <w:vAlign w:val="center"/>
          </w:tcPr>
          <w:p w14:paraId="0C686BDA">
            <w:pPr>
              <w:pStyle w:val="12"/>
              <w:jc w:val="center"/>
              <w:rPr>
                <w:rFonts w:ascii="宋体" w:hAnsi="宋体"/>
              </w:rPr>
            </w:pPr>
            <w:r>
              <w:rPr>
                <w:rFonts w:hint="eastAsia" w:ascii="宋体" w:hAnsi="宋体"/>
              </w:rPr>
              <w:t>1688.5</w:t>
            </w:r>
          </w:p>
        </w:tc>
      </w:tr>
      <w:tr w14:paraId="2A82A0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6" w:type="pct"/>
            <w:vMerge w:val="continue"/>
            <w:vAlign w:val="center"/>
          </w:tcPr>
          <w:p w14:paraId="24D974AD">
            <w:pPr>
              <w:pStyle w:val="12"/>
              <w:jc w:val="center"/>
              <w:rPr>
                <w:rFonts w:ascii="宋体" w:hAnsi="宋体"/>
              </w:rPr>
            </w:pPr>
          </w:p>
        </w:tc>
        <w:tc>
          <w:tcPr>
            <w:tcW w:w="236" w:type="pct"/>
            <w:vMerge w:val="continue"/>
            <w:vAlign w:val="center"/>
          </w:tcPr>
          <w:p w14:paraId="623EC4E2">
            <w:pPr>
              <w:pStyle w:val="12"/>
              <w:jc w:val="center"/>
              <w:rPr>
                <w:rFonts w:ascii="宋体" w:hAnsi="宋体"/>
              </w:rPr>
            </w:pPr>
          </w:p>
        </w:tc>
        <w:tc>
          <w:tcPr>
            <w:tcW w:w="750" w:type="pct"/>
            <w:vAlign w:val="center"/>
          </w:tcPr>
          <w:p w14:paraId="79E8832B">
            <w:pPr>
              <w:pStyle w:val="12"/>
              <w:jc w:val="center"/>
              <w:rPr>
                <w:rFonts w:ascii="宋体" w:hAnsi="宋体"/>
              </w:rPr>
            </w:pPr>
            <w:r>
              <w:rPr>
                <w:rFonts w:hint="eastAsia" w:ascii="宋体" w:hAnsi="宋体"/>
              </w:rPr>
              <w:t>其他防护林</w:t>
            </w:r>
          </w:p>
        </w:tc>
        <w:tc>
          <w:tcPr>
            <w:tcW w:w="540" w:type="pct"/>
            <w:vAlign w:val="center"/>
          </w:tcPr>
          <w:p w14:paraId="64EA0952">
            <w:pPr>
              <w:pStyle w:val="12"/>
              <w:jc w:val="center"/>
              <w:rPr>
                <w:rFonts w:ascii="宋体" w:hAnsi="宋体"/>
              </w:rPr>
            </w:pPr>
            <w:r>
              <w:rPr>
                <w:rFonts w:hint="eastAsia" w:ascii="宋体" w:hAnsi="宋体"/>
              </w:rPr>
              <w:t>20.5</w:t>
            </w:r>
          </w:p>
        </w:tc>
        <w:tc>
          <w:tcPr>
            <w:tcW w:w="540" w:type="pct"/>
            <w:vAlign w:val="center"/>
          </w:tcPr>
          <w:p w14:paraId="72664EDC">
            <w:pPr>
              <w:pStyle w:val="12"/>
              <w:jc w:val="center"/>
              <w:rPr>
                <w:rFonts w:ascii="宋体" w:hAnsi="宋体"/>
              </w:rPr>
            </w:pPr>
            <w:r>
              <w:rPr>
                <w:rFonts w:hint="eastAsia" w:ascii="宋体" w:hAnsi="宋体"/>
              </w:rPr>
              <w:t>—</w:t>
            </w:r>
          </w:p>
        </w:tc>
        <w:tc>
          <w:tcPr>
            <w:tcW w:w="568" w:type="pct"/>
            <w:vAlign w:val="center"/>
          </w:tcPr>
          <w:p w14:paraId="50CC71BC">
            <w:pPr>
              <w:pStyle w:val="12"/>
              <w:jc w:val="center"/>
              <w:rPr>
                <w:rFonts w:ascii="宋体" w:hAnsi="宋体"/>
              </w:rPr>
            </w:pPr>
            <w:r>
              <w:rPr>
                <w:rFonts w:hint="eastAsia" w:ascii="宋体" w:hAnsi="宋体"/>
              </w:rPr>
              <w:t>621</w:t>
            </w:r>
          </w:p>
        </w:tc>
        <w:tc>
          <w:tcPr>
            <w:tcW w:w="512" w:type="pct"/>
            <w:vAlign w:val="center"/>
          </w:tcPr>
          <w:p w14:paraId="042DDCC4">
            <w:pPr>
              <w:pStyle w:val="12"/>
              <w:jc w:val="center"/>
              <w:rPr>
                <w:rFonts w:ascii="宋体" w:hAnsi="宋体"/>
              </w:rPr>
            </w:pPr>
            <w:r>
              <w:rPr>
                <w:rFonts w:hint="eastAsia" w:ascii="宋体" w:hAnsi="宋体"/>
              </w:rPr>
              <w:t>13.3</w:t>
            </w:r>
          </w:p>
        </w:tc>
        <w:tc>
          <w:tcPr>
            <w:tcW w:w="540" w:type="pct"/>
            <w:vAlign w:val="center"/>
          </w:tcPr>
          <w:p w14:paraId="7638360C">
            <w:pPr>
              <w:pStyle w:val="12"/>
              <w:jc w:val="center"/>
              <w:rPr>
                <w:rFonts w:ascii="宋体" w:hAnsi="宋体"/>
              </w:rPr>
            </w:pPr>
            <w:r>
              <w:rPr>
                <w:rFonts w:hint="eastAsia" w:ascii="宋体" w:hAnsi="宋体"/>
              </w:rPr>
              <w:t>—</w:t>
            </w:r>
          </w:p>
        </w:tc>
        <w:tc>
          <w:tcPr>
            <w:tcW w:w="540" w:type="pct"/>
            <w:vAlign w:val="center"/>
          </w:tcPr>
          <w:p w14:paraId="0DF1CAED">
            <w:pPr>
              <w:pStyle w:val="12"/>
              <w:jc w:val="center"/>
              <w:rPr>
                <w:rFonts w:ascii="宋体" w:hAnsi="宋体"/>
              </w:rPr>
            </w:pPr>
            <w:r>
              <w:rPr>
                <w:rFonts w:hint="eastAsia" w:ascii="宋体" w:hAnsi="宋体"/>
              </w:rPr>
              <w:t>—</w:t>
            </w:r>
          </w:p>
        </w:tc>
        <w:tc>
          <w:tcPr>
            <w:tcW w:w="540" w:type="pct"/>
            <w:vAlign w:val="center"/>
          </w:tcPr>
          <w:p w14:paraId="24915279">
            <w:pPr>
              <w:pStyle w:val="12"/>
              <w:jc w:val="center"/>
              <w:rPr>
                <w:rFonts w:ascii="宋体" w:hAnsi="宋体"/>
              </w:rPr>
            </w:pPr>
            <w:r>
              <w:rPr>
                <w:rFonts w:hint="eastAsia" w:ascii="宋体" w:hAnsi="宋体"/>
              </w:rPr>
              <w:t>7.2</w:t>
            </w:r>
          </w:p>
        </w:tc>
      </w:tr>
      <w:tr w14:paraId="5F8BCA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6" w:type="pct"/>
            <w:vMerge w:val="restart"/>
            <w:vAlign w:val="center"/>
          </w:tcPr>
          <w:p w14:paraId="6E93A459">
            <w:pPr>
              <w:pStyle w:val="12"/>
              <w:jc w:val="center"/>
              <w:rPr>
                <w:rFonts w:ascii="宋体" w:hAnsi="宋体"/>
              </w:rPr>
            </w:pPr>
            <w:r>
              <w:rPr>
                <w:rFonts w:hint="eastAsia" w:ascii="宋体" w:hAnsi="宋体"/>
              </w:rPr>
              <w:t>商品林</w:t>
            </w:r>
          </w:p>
        </w:tc>
        <w:tc>
          <w:tcPr>
            <w:tcW w:w="985" w:type="pct"/>
            <w:gridSpan w:val="2"/>
            <w:vAlign w:val="center"/>
          </w:tcPr>
          <w:p w14:paraId="14C8583B">
            <w:pPr>
              <w:pStyle w:val="12"/>
              <w:jc w:val="center"/>
              <w:rPr>
                <w:rFonts w:ascii="宋体" w:hAnsi="宋体"/>
              </w:rPr>
            </w:pPr>
            <w:r>
              <w:rPr>
                <w:rFonts w:hint="eastAsia" w:ascii="宋体" w:hAnsi="宋体"/>
              </w:rPr>
              <w:t>合计</w:t>
            </w:r>
          </w:p>
        </w:tc>
        <w:tc>
          <w:tcPr>
            <w:tcW w:w="540" w:type="pct"/>
            <w:vAlign w:val="center"/>
          </w:tcPr>
          <w:p w14:paraId="7B496D4D">
            <w:pPr>
              <w:pStyle w:val="12"/>
              <w:jc w:val="center"/>
              <w:rPr>
                <w:rFonts w:ascii="宋体" w:hAnsi="宋体"/>
              </w:rPr>
            </w:pPr>
            <w:r>
              <w:rPr>
                <w:rFonts w:hint="eastAsia" w:ascii="宋体" w:hAnsi="宋体"/>
              </w:rPr>
              <w:t>116436.5</w:t>
            </w:r>
          </w:p>
        </w:tc>
        <w:tc>
          <w:tcPr>
            <w:tcW w:w="540" w:type="pct"/>
            <w:vAlign w:val="center"/>
          </w:tcPr>
          <w:p w14:paraId="508046DE">
            <w:pPr>
              <w:pStyle w:val="12"/>
              <w:jc w:val="center"/>
              <w:rPr>
                <w:rFonts w:ascii="宋体" w:hAnsi="宋体"/>
              </w:rPr>
            </w:pPr>
            <w:r>
              <w:rPr>
                <w:rFonts w:hint="eastAsia" w:ascii="宋体" w:hAnsi="宋体"/>
              </w:rPr>
              <w:t>72.93</w:t>
            </w:r>
          </w:p>
        </w:tc>
        <w:tc>
          <w:tcPr>
            <w:tcW w:w="568" w:type="pct"/>
            <w:vAlign w:val="center"/>
          </w:tcPr>
          <w:p w14:paraId="0CA8BCA4">
            <w:pPr>
              <w:pStyle w:val="12"/>
              <w:jc w:val="center"/>
              <w:rPr>
                <w:rFonts w:ascii="宋体" w:hAnsi="宋体"/>
              </w:rPr>
            </w:pPr>
            <w:r>
              <w:rPr>
                <w:rFonts w:hint="eastAsia" w:ascii="宋体" w:hAnsi="宋体"/>
              </w:rPr>
              <w:t>4958324</w:t>
            </w:r>
          </w:p>
        </w:tc>
        <w:tc>
          <w:tcPr>
            <w:tcW w:w="512" w:type="pct"/>
            <w:vAlign w:val="center"/>
          </w:tcPr>
          <w:p w14:paraId="32DFBE95">
            <w:pPr>
              <w:pStyle w:val="12"/>
              <w:jc w:val="center"/>
              <w:rPr>
                <w:rFonts w:ascii="宋体" w:hAnsi="宋体"/>
              </w:rPr>
            </w:pPr>
            <w:r>
              <w:rPr>
                <w:rFonts w:hint="eastAsia" w:ascii="宋体" w:hAnsi="宋体"/>
              </w:rPr>
              <w:t>82441.9</w:t>
            </w:r>
          </w:p>
        </w:tc>
        <w:tc>
          <w:tcPr>
            <w:tcW w:w="540" w:type="pct"/>
            <w:vAlign w:val="center"/>
          </w:tcPr>
          <w:p w14:paraId="003EDBFA">
            <w:pPr>
              <w:pStyle w:val="12"/>
              <w:jc w:val="center"/>
              <w:rPr>
                <w:rFonts w:ascii="宋体" w:hAnsi="宋体"/>
              </w:rPr>
            </w:pPr>
            <w:r>
              <w:rPr>
                <w:rFonts w:hint="eastAsia" w:ascii="宋体" w:hAnsi="宋体"/>
              </w:rPr>
              <w:t>23326.1</w:t>
            </w:r>
          </w:p>
        </w:tc>
        <w:tc>
          <w:tcPr>
            <w:tcW w:w="540" w:type="pct"/>
            <w:vAlign w:val="center"/>
          </w:tcPr>
          <w:p w14:paraId="5403E62F">
            <w:pPr>
              <w:pStyle w:val="12"/>
              <w:jc w:val="center"/>
              <w:rPr>
                <w:rFonts w:ascii="宋体" w:hAnsi="宋体"/>
              </w:rPr>
            </w:pPr>
            <w:r>
              <w:rPr>
                <w:rFonts w:hint="eastAsia" w:ascii="宋体" w:hAnsi="宋体"/>
              </w:rPr>
              <w:t>3276.7</w:t>
            </w:r>
          </w:p>
        </w:tc>
        <w:tc>
          <w:tcPr>
            <w:tcW w:w="540" w:type="pct"/>
            <w:vAlign w:val="center"/>
          </w:tcPr>
          <w:p w14:paraId="332DF665">
            <w:pPr>
              <w:pStyle w:val="12"/>
              <w:jc w:val="center"/>
              <w:rPr>
                <w:rFonts w:ascii="宋体" w:hAnsi="宋体"/>
              </w:rPr>
            </w:pPr>
            <w:r>
              <w:rPr>
                <w:rFonts w:hint="eastAsia" w:ascii="宋体" w:hAnsi="宋体"/>
              </w:rPr>
              <w:t>7391.8</w:t>
            </w:r>
          </w:p>
        </w:tc>
      </w:tr>
      <w:tr w14:paraId="225FF8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6" w:type="pct"/>
            <w:vMerge w:val="continue"/>
            <w:vAlign w:val="center"/>
          </w:tcPr>
          <w:p w14:paraId="190ECC70">
            <w:pPr>
              <w:pStyle w:val="12"/>
              <w:jc w:val="center"/>
              <w:rPr>
                <w:rFonts w:ascii="宋体" w:hAnsi="宋体"/>
              </w:rPr>
            </w:pPr>
          </w:p>
        </w:tc>
        <w:tc>
          <w:tcPr>
            <w:tcW w:w="236" w:type="pct"/>
            <w:vMerge w:val="restart"/>
            <w:vAlign w:val="center"/>
          </w:tcPr>
          <w:p w14:paraId="05FD2176">
            <w:pPr>
              <w:pStyle w:val="12"/>
              <w:jc w:val="center"/>
              <w:rPr>
                <w:rFonts w:ascii="宋体" w:hAnsi="宋体"/>
              </w:rPr>
            </w:pPr>
            <w:r>
              <w:rPr>
                <w:rFonts w:hint="eastAsia" w:ascii="宋体" w:hAnsi="宋体"/>
              </w:rPr>
              <w:t>用材林</w:t>
            </w:r>
          </w:p>
        </w:tc>
        <w:tc>
          <w:tcPr>
            <w:tcW w:w="750" w:type="pct"/>
            <w:vAlign w:val="center"/>
          </w:tcPr>
          <w:p w14:paraId="75B45C64">
            <w:pPr>
              <w:pStyle w:val="12"/>
              <w:jc w:val="center"/>
              <w:rPr>
                <w:rFonts w:ascii="宋体" w:hAnsi="宋体"/>
              </w:rPr>
            </w:pPr>
            <w:r>
              <w:rPr>
                <w:rFonts w:hint="eastAsia" w:ascii="宋体" w:hAnsi="宋体"/>
              </w:rPr>
              <w:t>小计</w:t>
            </w:r>
          </w:p>
        </w:tc>
        <w:tc>
          <w:tcPr>
            <w:tcW w:w="540" w:type="pct"/>
            <w:vAlign w:val="center"/>
          </w:tcPr>
          <w:p w14:paraId="2DBBA80C">
            <w:pPr>
              <w:pStyle w:val="12"/>
              <w:jc w:val="center"/>
              <w:rPr>
                <w:rFonts w:ascii="宋体" w:hAnsi="宋体"/>
              </w:rPr>
            </w:pPr>
            <w:r>
              <w:rPr>
                <w:rFonts w:hint="eastAsia" w:ascii="宋体" w:hAnsi="宋体"/>
              </w:rPr>
              <w:t>113021.5</w:t>
            </w:r>
          </w:p>
        </w:tc>
        <w:tc>
          <w:tcPr>
            <w:tcW w:w="540" w:type="pct"/>
            <w:vAlign w:val="center"/>
          </w:tcPr>
          <w:p w14:paraId="33B21FC5">
            <w:pPr>
              <w:pStyle w:val="12"/>
              <w:jc w:val="center"/>
              <w:rPr>
                <w:rFonts w:ascii="宋体" w:hAnsi="宋体"/>
              </w:rPr>
            </w:pPr>
            <w:r>
              <w:rPr>
                <w:rFonts w:hint="eastAsia" w:ascii="宋体" w:hAnsi="宋体"/>
              </w:rPr>
              <w:t>70.79</w:t>
            </w:r>
          </w:p>
        </w:tc>
        <w:tc>
          <w:tcPr>
            <w:tcW w:w="568" w:type="pct"/>
            <w:vAlign w:val="center"/>
          </w:tcPr>
          <w:p w14:paraId="54777C8F">
            <w:pPr>
              <w:pStyle w:val="12"/>
              <w:jc w:val="center"/>
              <w:rPr>
                <w:rFonts w:ascii="宋体" w:hAnsi="宋体"/>
              </w:rPr>
            </w:pPr>
            <w:r>
              <w:rPr>
                <w:rFonts w:hint="eastAsia" w:ascii="宋体" w:hAnsi="宋体"/>
              </w:rPr>
              <w:t>4958132</w:t>
            </w:r>
          </w:p>
        </w:tc>
        <w:tc>
          <w:tcPr>
            <w:tcW w:w="512" w:type="pct"/>
            <w:vAlign w:val="center"/>
          </w:tcPr>
          <w:p w14:paraId="1EE0A6AA">
            <w:pPr>
              <w:pStyle w:val="12"/>
              <w:jc w:val="center"/>
              <w:rPr>
                <w:rFonts w:ascii="宋体" w:hAnsi="宋体"/>
              </w:rPr>
            </w:pPr>
            <w:r>
              <w:rPr>
                <w:rFonts w:hint="eastAsia" w:ascii="宋体" w:hAnsi="宋体"/>
              </w:rPr>
              <w:t>82305.2</w:t>
            </w:r>
          </w:p>
        </w:tc>
        <w:tc>
          <w:tcPr>
            <w:tcW w:w="540" w:type="pct"/>
            <w:vAlign w:val="center"/>
          </w:tcPr>
          <w:p w14:paraId="62CCDCB1">
            <w:pPr>
              <w:pStyle w:val="12"/>
              <w:jc w:val="center"/>
              <w:rPr>
                <w:rFonts w:ascii="宋体" w:hAnsi="宋体"/>
              </w:rPr>
            </w:pPr>
            <w:r>
              <w:rPr>
                <w:rFonts w:hint="eastAsia" w:ascii="宋体" w:hAnsi="宋体"/>
              </w:rPr>
              <w:t>23326.1</w:t>
            </w:r>
          </w:p>
        </w:tc>
        <w:tc>
          <w:tcPr>
            <w:tcW w:w="540" w:type="pct"/>
            <w:vAlign w:val="center"/>
          </w:tcPr>
          <w:p w14:paraId="17E0473E">
            <w:pPr>
              <w:pStyle w:val="12"/>
              <w:jc w:val="center"/>
              <w:rPr>
                <w:rFonts w:ascii="宋体" w:hAnsi="宋体"/>
              </w:rPr>
            </w:pPr>
            <w:r>
              <w:rPr>
                <w:rFonts w:hint="eastAsia" w:ascii="宋体" w:hAnsi="宋体"/>
              </w:rPr>
              <w:t>—</w:t>
            </w:r>
          </w:p>
        </w:tc>
        <w:tc>
          <w:tcPr>
            <w:tcW w:w="540" w:type="pct"/>
            <w:vAlign w:val="center"/>
          </w:tcPr>
          <w:p w14:paraId="66E168DF">
            <w:pPr>
              <w:pStyle w:val="12"/>
              <w:jc w:val="center"/>
              <w:rPr>
                <w:rFonts w:ascii="宋体" w:hAnsi="宋体"/>
              </w:rPr>
            </w:pPr>
            <w:r>
              <w:rPr>
                <w:rFonts w:hint="eastAsia" w:ascii="宋体" w:hAnsi="宋体"/>
              </w:rPr>
              <w:t>7390.2</w:t>
            </w:r>
          </w:p>
        </w:tc>
      </w:tr>
      <w:tr w14:paraId="7C1E8C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6" w:type="pct"/>
            <w:vMerge w:val="continue"/>
            <w:vAlign w:val="center"/>
          </w:tcPr>
          <w:p w14:paraId="0CA1B7BB">
            <w:pPr>
              <w:pStyle w:val="12"/>
              <w:jc w:val="center"/>
              <w:rPr>
                <w:rFonts w:ascii="宋体" w:hAnsi="宋体"/>
              </w:rPr>
            </w:pPr>
          </w:p>
        </w:tc>
        <w:tc>
          <w:tcPr>
            <w:tcW w:w="236" w:type="pct"/>
            <w:vMerge w:val="continue"/>
            <w:vAlign w:val="center"/>
          </w:tcPr>
          <w:p w14:paraId="028A3BFD">
            <w:pPr>
              <w:pStyle w:val="12"/>
              <w:jc w:val="center"/>
              <w:rPr>
                <w:rFonts w:ascii="宋体" w:hAnsi="宋体"/>
              </w:rPr>
            </w:pPr>
          </w:p>
        </w:tc>
        <w:tc>
          <w:tcPr>
            <w:tcW w:w="750" w:type="pct"/>
            <w:vAlign w:val="center"/>
          </w:tcPr>
          <w:p w14:paraId="0D1FFE20">
            <w:pPr>
              <w:pStyle w:val="12"/>
              <w:jc w:val="center"/>
              <w:rPr>
                <w:rFonts w:ascii="宋体" w:hAnsi="宋体"/>
              </w:rPr>
            </w:pPr>
            <w:r>
              <w:rPr>
                <w:rFonts w:hint="eastAsia" w:ascii="宋体" w:hAnsi="宋体"/>
              </w:rPr>
              <w:t>工业原料林</w:t>
            </w:r>
          </w:p>
        </w:tc>
        <w:tc>
          <w:tcPr>
            <w:tcW w:w="540" w:type="pct"/>
            <w:vAlign w:val="center"/>
          </w:tcPr>
          <w:p w14:paraId="18A18F17">
            <w:pPr>
              <w:pStyle w:val="12"/>
              <w:jc w:val="center"/>
              <w:rPr>
                <w:rFonts w:ascii="宋体" w:hAnsi="宋体"/>
              </w:rPr>
            </w:pPr>
            <w:r>
              <w:rPr>
                <w:rFonts w:hint="eastAsia" w:ascii="宋体" w:hAnsi="宋体"/>
              </w:rPr>
              <w:t>90.9</w:t>
            </w:r>
          </w:p>
        </w:tc>
        <w:tc>
          <w:tcPr>
            <w:tcW w:w="540" w:type="pct"/>
            <w:vAlign w:val="center"/>
          </w:tcPr>
          <w:p w14:paraId="413E6EE6">
            <w:pPr>
              <w:pStyle w:val="12"/>
              <w:jc w:val="center"/>
              <w:rPr>
                <w:rFonts w:ascii="宋体" w:hAnsi="宋体"/>
              </w:rPr>
            </w:pPr>
            <w:r>
              <w:rPr>
                <w:rFonts w:hint="eastAsia" w:ascii="宋体" w:hAnsi="宋体"/>
              </w:rPr>
              <w:t>0.05</w:t>
            </w:r>
          </w:p>
        </w:tc>
        <w:tc>
          <w:tcPr>
            <w:tcW w:w="568" w:type="pct"/>
            <w:vAlign w:val="center"/>
          </w:tcPr>
          <w:p w14:paraId="666ED779">
            <w:pPr>
              <w:pStyle w:val="12"/>
              <w:jc w:val="center"/>
              <w:rPr>
                <w:rFonts w:ascii="宋体" w:hAnsi="宋体"/>
              </w:rPr>
            </w:pPr>
            <w:r>
              <w:rPr>
                <w:rFonts w:hint="eastAsia" w:ascii="宋体" w:hAnsi="宋体"/>
              </w:rPr>
              <w:t>4392</w:t>
            </w:r>
          </w:p>
        </w:tc>
        <w:tc>
          <w:tcPr>
            <w:tcW w:w="512" w:type="pct"/>
            <w:vAlign w:val="center"/>
          </w:tcPr>
          <w:p w14:paraId="55447A5C">
            <w:pPr>
              <w:pStyle w:val="12"/>
              <w:jc w:val="center"/>
              <w:rPr>
                <w:rFonts w:ascii="宋体" w:hAnsi="宋体"/>
              </w:rPr>
            </w:pPr>
            <w:r>
              <w:rPr>
                <w:rFonts w:hint="eastAsia" w:ascii="宋体" w:hAnsi="宋体"/>
              </w:rPr>
              <w:t>77.7</w:t>
            </w:r>
          </w:p>
        </w:tc>
        <w:tc>
          <w:tcPr>
            <w:tcW w:w="540" w:type="pct"/>
            <w:vAlign w:val="center"/>
          </w:tcPr>
          <w:p w14:paraId="5CFC5B1F">
            <w:pPr>
              <w:pStyle w:val="12"/>
              <w:jc w:val="center"/>
              <w:rPr>
                <w:rFonts w:ascii="宋体" w:hAnsi="宋体"/>
              </w:rPr>
            </w:pPr>
            <w:r>
              <w:rPr>
                <w:rFonts w:hint="eastAsia" w:ascii="宋体" w:hAnsi="宋体"/>
              </w:rPr>
              <w:t>—</w:t>
            </w:r>
          </w:p>
        </w:tc>
        <w:tc>
          <w:tcPr>
            <w:tcW w:w="540" w:type="pct"/>
            <w:vAlign w:val="center"/>
          </w:tcPr>
          <w:p w14:paraId="496876F2">
            <w:pPr>
              <w:pStyle w:val="12"/>
              <w:jc w:val="center"/>
              <w:rPr>
                <w:rFonts w:ascii="宋体" w:hAnsi="宋体"/>
              </w:rPr>
            </w:pPr>
            <w:r>
              <w:rPr>
                <w:rFonts w:hint="eastAsia" w:ascii="宋体" w:hAnsi="宋体"/>
              </w:rPr>
              <w:t>—</w:t>
            </w:r>
          </w:p>
        </w:tc>
        <w:tc>
          <w:tcPr>
            <w:tcW w:w="540" w:type="pct"/>
            <w:vAlign w:val="center"/>
          </w:tcPr>
          <w:p w14:paraId="7BB7EF41">
            <w:pPr>
              <w:pStyle w:val="12"/>
              <w:jc w:val="center"/>
              <w:rPr>
                <w:rFonts w:ascii="宋体" w:hAnsi="宋体"/>
              </w:rPr>
            </w:pPr>
            <w:r>
              <w:rPr>
                <w:rFonts w:hint="eastAsia" w:ascii="宋体" w:hAnsi="宋体"/>
              </w:rPr>
              <w:t>13.2</w:t>
            </w:r>
          </w:p>
        </w:tc>
      </w:tr>
      <w:tr w14:paraId="035E4E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6" w:type="pct"/>
            <w:vMerge w:val="continue"/>
            <w:vAlign w:val="center"/>
          </w:tcPr>
          <w:p w14:paraId="5CA0AD59">
            <w:pPr>
              <w:pStyle w:val="12"/>
              <w:jc w:val="center"/>
              <w:rPr>
                <w:rFonts w:ascii="宋体" w:hAnsi="宋体"/>
              </w:rPr>
            </w:pPr>
          </w:p>
        </w:tc>
        <w:tc>
          <w:tcPr>
            <w:tcW w:w="236" w:type="pct"/>
            <w:vMerge w:val="continue"/>
            <w:vAlign w:val="center"/>
          </w:tcPr>
          <w:p w14:paraId="019BA397">
            <w:pPr>
              <w:pStyle w:val="12"/>
              <w:jc w:val="center"/>
              <w:rPr>
                <w:rFonts w:ascii="宋体" w:hAnsi="宋体"/>
              </w:rPr>
            </w:pPr>
          </w:p>
        </w:tc>
        <w:tc>
          <w:tcPr>
            <w:tcW w:w="750" w:type="pct"/>
            <w:vAlign w:val="center"/>
          </w:tcPr>
          <w:p w14:paraId="3509BA67">
            <w:pPr>
              <w:pStyle w:val="12"/>
              <w:jc w:val="center"/>
              <w:rPr>
                <w:rFonts w:ascii="宋体" w:hAnsi="宋体"/>
              </w:rPr>
            </w:pPr>
            <w:r>
              <w:rPr>
                <w:rFonts w:hint="eastAsia" w:ascii="宋体" w:hAnsi="宋体"/>
              </w:rPr>
              <w:t>其他用材林</w:t>
            </w:r>
          </w:p>
        </w:tc>
        <w:tc>
          <w:tcPr>
            <w:tcW w:w="540" w:type="pct"/>
            <w:vAlign w:val="center"/>
          </w:tcPr>
          <w:p w14:paraId="6792EA57">
            <w:pPr>
              <w:pStyle w:val="12"/>
              <w:jc w:val="center"/>
              <w:rPr>
                <w:rFonts w:ascii="宋体" w:hAnsi="宋体"/>
              </w:rPr>
            </w:pPr>
            <w:r>
              <w:rPr>
                <w:rFonts w:hint="eastAsia" w:ascii="宋体" w:hAnsi="宋体"/>
              </w:rPr>
              <w:t>112930.6</w:t>
            </w:r>
          </w:p>
        </w:tc>
        <w:tc>
          <w:tcPr>
            <w:tcW w:w="540" w:type="pct"/>
            <w:vAlign w:val="center"/>
          </w:tcPr>
          <w:p w14:paraId="676C38B5">
            <w:pPr>
              <w:pStyle w:val="12"/>
              <w:jc w:val="center"/>
              <w:rPr>
                <w:rFonts w:ascii="宋体" w:hAnsi="宋体"/>
              </w:rPr>
            </w:pPr>
            <w:r>
              <w:rPr>
                <w:rFonts w:hint="eastAsia" w:ascii="宋体" w:hAnsi="宋体"/>
              </w:rPr>
              <w:t>70.7</w:t>
            </w:r>
          </w:p>
        </w:tc>
        <w:tc>
          <w:tcPr>
            <w:tcW w:w="568" w:type="pct"/>
            <w:vAlign w:val="center"/>
          </w:tcPr>
          <w:p w14:paraId="2CE1C50A">
            <w:pPr>
              <w:pStyle w:val="12"/>
              <w:jc w:val="center"/>
              <w:rPr>
                <w:rFonts w:ascii="宋体" w:hAnsi="宋体"/>
              </w:rPr>
            </w:pPr>
            <w:r>
              <w:rPr>
                <w:rFonts w:hint="eastAsia" w:ascii="宋体" w:hAnsi="宋体"/>
              </w:rPr>
              <w:t>4953740</w:t>
            </w:r>
          </w:p>
        </w:tc>
        <w:tc>
          <w:tcPr>
            <w:tcW w:w="512" w:type="pct"/>
            <w:vAlign w:val="center"/>
          </w:tcPr>
          <w:p w14:paraId="36E9CC04">
            <w:pPr>
              <w:pStyle w:val="12"/>
              <w:jc w:val="center"/>
              <w:rPr>
                <w:rFonts w:ascii="宋体" w:hAnsi="宋体"/>
              </w:rPr>
            </w:pPr>
            <w:r>
              <w:rPr>
                <w:rFonts w:hint="eastAsia" w:ascii="宋体" w:hAnsi="宋体"/>
              </w:rPr>
              <w:t>82227.5</w:t>
            </w:r>
          </w:p>
        </w:tc>
        <w:tc>
          <w:tcPr>
            <w:tcW w:w="540" w:type="pct"/>
            <w:vAlign w:val="center"/>
          </w:tcPr>
          <w:p w14:paraId="5201E8B6">
            <w:pPr>
              <w:pStyle w:val="12"/>
              <w:jc w:val="center"/>
              <w:rPr>
                <w:rFonts w:ascii="宋体" w:hAnsi="宋体"/>
              </w:rPr>
            </w:pPr>
            <w:r>
              <w:rPr>
                <w:rFonts w:hint="eastAsia" w:ascii="宋体" w:hAnsi="宋体"/>
              </w:rPr>
              <w:t>23326.1</w:t>
            </w:r>
          </w:p>
        </w:tc>
        <w:tc>
          <w:tcPr>
            <w:tcW w:w="540" w:type="pct"/>
            <w:vAlign w:val="center"/>
          </w:tcPr>
          <w:p w14:paraId="71724317">
            <w:pPr>
              <w:pStyle w:val="12"/>
              <w:jc w:val="center"/>
              <w:rPr>
                <w:rFonts w:ascii="宋体" w:hAnsi="宋体"/>
              </w:rPr>
            </w:pPr>
            <w:r>
              <w:rPr>
                <w:rFonts w:hint="eastAsia" w:ascii="宋体" w:hAnsi="宋体"/>
              </w:rPr>
              <w:t>—</w:t>
            </w:r>
          </w:p>
        </w:tc>
        <w:tc>
          <w:tcPr>
            <w:tcW w:w="540" w:type="pct"/>
            <w:vAlign w:val="center"/>
          </w:tcPr>
          <w:p w14:paraId="02191AC4">
            <w:pPr>
              <w:pStyle w:val="12"/>
              <w:jc w:val="center"/>
              <w:rPr>
                <w:rFonts w:ascii="宋体" w:hAnsi="宋体"/>
              </w:rPr>
            </w:pPr>
            <w:r>
              <w:rPr>
                <w:rFonts w:hint="eastAsia" w:ascii="宋体" w:hAnsi="宋体"/>
              </w:rPr>
              <w:t>7377</w:t>
            </w:r>
          </w:p>
        </w:tc>
      </w:tr>
      <w:tr w14:paraId="2205E8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6" w:type="pct"/>
            <w:vMerge w:val="continue"/>
            <w:vAlign w:val="center"/>
          </w:tcPr>
          <w:p w14:paraId="1903B582">
            <w:pPr>
              <w:pStyle w:val="12"/>
              <w:jc w:val="center"/>
              <w:rPr>
                <w:rFonts w:ascii="宋体" w:hAnsi="宋体"/>
              </w:rPr>
            </w:pPr>
          </w:p>
        </w:tc>
        <w:tc>
          <w:tcPr>
            <w:tcW w:w="985" w:type="pct"/>
            <w:gridSpan w:val="2"/>
            <w:vAlign w:val="center"/>
          </w:tcPr>
          <w:p w14:paraId="5BAB0F7E">
            <w:pPr>
              <w:pStyle w:val="12"/>
              <w:jc w:val="center"/>
              <w:rPr>
                <w:rFonts w:ascii="宋体" w:hAnsi="宋体"/>
              </w:rPr>
            </w:pPr>
            <w:r>
              <w:rPr>
                <w:rFonts w:hint="eastAsia" w:ascii="宋体" w:hAnsi="宋体"/>
              </w:rPr>
              <w:t>薪炭林</w:t>
            </w:r>
          </w:p>
        </w:tc>
        <w:tc>
          <w:tcPr>
            <w:tcW w:w="540" w:type="pct"/>
            <w:vAlign w:val="center"/>
          </w:tcPr>
          <w:p w14:paraId="799FA0E2">
            <w:pPr>
              <w:pStyle w:val="12"/>
              <w:jc w:val="center"/>
              <w:rPr>
                <w:rFonts w:ascii="宋体" w:hAnsi="宋体"/>
              </w:rPr>
            </w:pPr>
            <w:r>
              <w:rPr>
                <w:rFonts w:hint="eastAsia" w:ascii="宋体" w:hAnsi="宋体"/>
              </w:rPr>
              <w:t>143.7</w:t>
            </w:r>
          </w:p>
        </w:tc>
        <w:tc>
          <w:tcPr>
            <w:tcW w:w="540" w:type="pct"/>
            <w:vAlign w:val="center"/>
          </w:tcPr>
          <w:p w14:paraId="5216A76E">
            <w:pPr>
              <w:pStyle w:val="12"/>
              <w:jc w:val="center"/>
              <w:rPr>
                <w:rFonts w:ascii="宋体" w:hAnsi="宋体"/>
              </w:rPr>
            </w:pPr>
            <w:r>
              <w:rPr>
                <w:rFonts w:hint="eastAsia" w:ascii="宋体" w:hAnsi="宋体"/>
              </w:rPr>
              <w:t>0.09</w:t>
            </w:r>
          </w:p>
        </w:tc>
        <w:tc>
          <w:tcPr>
            <w:tcW w:w="568" w:type="pct"/>
            <w:vAlign w:val="center"/>
          </w:tcPr>
          <w:p w14:paraId="30AD9293">
            <w:pPr>
              <w:pStyle w:val="12"/>
              <w:jc w:val="center"/>
              <w:rPr>
                <w:rFonts w:ascii="宋体" w:hAnsi="宋体"/>
              </w:rPr>
            </w:pPr>
            <w:r>
              <w:rPr>
                <w:rFonts w:hint="eastAsia" w:ascii="宋体" w:hAnsi="宋体"/>
              </w:rPr>
              <w:t>—</w:t>
            </w:r>
          </w:p>
        </w:tc>
        <w:tc>
          <w:tcPr>
            <w:tcW w:w="512" w:type="pct"/>
            <w:vAlign w:val="center"/>
          </w:tcPr>
          <w:p w14:paraId="67EEDCCB">
            <w:pPr>
              <w:pStyle w:val="12"/>
              <w:jc w:val="center"/>
              <w:rPr>
                <w:rFonts w:ascii="宋体" w:hAnsi="宋体"/>
              </w:rPr>
            </w:pPr>
            <w:r>
              <w:rPr>
                <w:rFonts w:hint="eastAsia" w:ascii="宋体" w:hAnsi="宋体"/>
              </w:rPr>
              <w:t>—</w:t>
            </w:r>
          </w:p>
        </w:tc>
        <w:tc>
          <w:tcPr>
            <w:tcW w:w="540" w:type="pct"/>
            <w:vAlign w:val="center"/>
          </w:tcPr>
          <w:p w14:paraId="201DE127">
            <w:pPr>
              <w:pStyle w:val="12"/>
              <w:jc w:val="center"/>
              <w:rPr>
                <w:rFonts w:ascii="宋体" w:hAnsi="宋体"/>
              </w:rPr>
            </w:pPr>
            <w:r>
              <w:rPr>
                <w:rFonts w:hint="eastAsia" w:ascii="宋体" w:hAnsi="宋体"/>
              </w:rPr>
              <w:t>—</w:t>
            </w:r>
          </w:p>
        </w:tc>
        <w:tc>
          <w:tcPr>
            <w:tcW w:w="540" w:type="pct"/>
            <w:vAlign w:val="center"/>
          </w:tcPr>
          <w:p w14:paraId="26794741">
            <w:pPr>
              <w:pStyle w:val="12"/>
              <w:jc w:val="center"/>
              <w:rPr>
                <w:rFonts w:ascii="宋体" w:hAnsi="宋体"/>
              </w:rPr>
            </w:pPr>
            <w:r>
              <w:rPr>
                <w:rFonts w:hint="eastAsia" w:ascii="宋体" w:hAnsi="宋体"/>
              </w:rPr>
              <w:t>142.1</w:t>
            </w:r>
          </w:p>
        </w:tc>
        <w:tc>
          <w:tcPr>
            <w:tcW w:w="540" w:type="pct"/>
            <w:vAlign w:val="center"/>
          </w:tcPr>
          <w:p w14:paraId="3310C485">
            <w:pPr>
              <w:pStyle w:val="12"/>
              <w:jc w:val="center"/>
              <w:rPr>
                <w:rFonts w:ascii="宋体" w:hAnsi="宋体"/>
              </w:rPr>
            </w:pPr>
            <w:r>
              <w:rPr>
                <w:rFonts w:hint="eastAsia" w:ascii="宋体" w:hAnsi="宋体"/>
              </w:rPr>
              <w:t>1.6</w:t>
            </w:r>
          </w:p>
        </w:tc>
      </w:tr>
      <w:tr w14:paraId="008F88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6" w:type="pct"/>
            <w:vMerge w:val="continue"/>
            <w:vAlign w:val="center"/>
          </w:tcPr>
          <w:p w14:paraId="393E6432">
            <w:pPr>
              <w:pStyle w:val="12"/>
              <w:jc w:val="center"/>
              <w:rPr>
                <w:rFonts w:ascii="宋体" w:hAnsi="宋体"/>
              </w:rPr>
            </w:pPr>
          </w:p>
        </w:tc>
        <w:tc>
          <w:tcPr>
            <w:tcW w:w="236" w:type="pct"/>
            <w:vMerge w:val="restart"/>
            <w:vAlign w:val="center"/>
          </w:tcPr>
          <w:p w14:paraId="54CDF5C5">
            <w:pPr>
              <w:pStyle w:val="12"/>
              <w:jc w:val="center"/>
              <w:rPr>
                <w:rFonts w:ascii="宋体" w:hAnsi="宋体"/>
              </w:rPr>
            </w:pPr>
            <w:r>
              <w:rPr>
                <w:rFonts w:ascii="宋体" w:hAnsi="宋体"/>
              </w:rPr>
              <w:t>X</w:t>
            </w:r>
            <w:r>
              <w:rPr>
                <w:rFonts w:hint="eastAsia" w:ascii="宋体" w:hAnsi="宋体"/>
              </w:rPr>
              <w:t>经济林</w:t>
            </w:r>
          </w:p>
        </w:tc>
        <w:tc>
          <w:tcPr>
            <w:tcW w:w="750" w:type="pct"/>
            <w:vAlign w:val="center"/>
          </w:tcPr>
          <w:p w14:paraId="262C0E99">
            <w:pPr>
              <w:pStyle w:val="12"/>
              <w:jc w:val="center"/>
              <w:rPr>
                <w:rFonts w:ascii="宋体" w:hAnsi="宋体"/>
              </w:rPr>
            </w:pPr>
            <w:r>
              <w:rPr>
                <w:rFonts w:hint="eastAsia" w:ascii="宋体" w:hAnsi="宋体"/>
              </w:rPr>
              <w:t>小计</w:t>
            </w:r>
          </w:p>
        </w:tc>
        <w:tc>
          <w:tcPr>
            <w:tcW w:w="540" w:type="pct"/>
            <w:vAlign w:val="center"/>
          </w:tcPr>
          <w:p w14:paraId="792A1888">
            <w:pPr>
              <w:pStyle w:val="12"/>
              <w:jc w:val="center"/>
              <w:rPr>
                <w:rFonts w:ascii="宋体" w:hAnsi="宋体"/>
              </w:rPr>
            </w:pPr>
            <w:r>
              <w:rPr>
                <w:rFonts w:hint="eastAsia" w:ascii="宋体" w:hAnsi="宋体"/>
              </w:rPr>
              <w:t>3271.3</w:t>
            </w:r>
          </w:p>
        </w:tc>
        <w:tc>
          <w:tcPr>
            <w:tcW w:w="540" w:type="pct"/>
            <w:vAlign w:val="center"/>
          </w:tcPr>
          <w:p w14:paraId="65CFD2CD">
            <w:pPr>
              <w:pStyle w:val="12"/>
              <w:jc w:val="center"/>
              <w:rPr>
                <w:rFonts w:ascii="宋体" w:hAnsi="宋体"/>
              </w:rPr>
            </w:pPr>
            <w:r>
              <w:rPr>
                <w:rFonts w:hint="eastAsia" w:ascii="宋体" w:hAnsi="宋体"/>
              </w:rPr>
              <w:t>2.04</w:t>
            </w:r>
          </w:p>
        </w:tc>
        <w:tc>
          <w:tcPr>
            <w:tcW w:w="568" w:type="pct"/>
            <w:vAlign w:val="center"/>
          </w:tcPr>
          <w:p w14:paraId="4B631D61">
            <w:pPr>
              <w:pStyle w:val="12"/>
              <w:jc w:val="center"/>
              <w:rPr>
                <w:rFonts w:ascii="宋体" w:hAnsi="宋体"/>
              </w:rPr>
            </w:pPr>
            <w:r>
              <w:rPr>
                <w:rFonts w:hint="eastAsia" w:ascii="宋体" w:hAnsi="宋体"/>
              </w:rPr>
              <w:t>192</w:t>
            </w:r>
          </w:p>
        </w:tc>
        <w:tc>
          <w:tcPr>
            <w:tcW w:w="512" w:type="pct"/>
            <w:vAlign w:val="center"/>
          </w:tcPr>
          <w:p w14:paraId="47C31CEF">
            <w:pPr>
              <w:pStyle w:val="12"/>
              <w:jc w:val="center"/>
              <w:rPr>
                <w:rFonts w:ascii="宋体" w:hAnsi="宋体"/>
              </w:rPr>
            </w:pPr>
            <w:r>
              <w:rPr>
                <w:rFonts w:hint="eastAsia" w:ascii="宋体" w:hAnsi="宋体"/>
              </w:rPr>
              <w:t>136.7</w:t>
            </w:r>
          </w:p>
        </w:tc>
        <w:tc>
          <w:tcPr>
            <w:tcW w:w="540" w:type="pct"/>
            <w:vAlign w:val="center"/>
          </w:tcPr>
          <w:p w14:paraId="551E3C05">
            <w:pPr>
              <w:pStyle w:val="12"/>
              <w:jc w:val="center"/>
              <w:rPr>
                <w:rFonts w:ascii="宋体" w:hAnsi="宋体"/>
              </w:rPr>
            </w:pPr>
            <w:r>
              <w:rPr>
                <w:rFonts w:hint="eastAsia" w:ascii="宋体" w:hAnsi="宋体"/>
              </w:rPr>
              <w:t>—</w:t>
            </w:r>
          </w:p>
        </w:tc>
        <w:tc>
          <w:tcPr>
            <w:tcW w:w="540" w:type="pct"/>
            <w:vAlign w:val="center"/>
          </w:tcPr>
          <w:p w14:paraId="123794E6">
            <w:pPr>
              <w:pStyle w:val="12"/>
              <w:jc w:val="center"/>
              <w:rPr>
                <w:rFonts w:ascii="宋体" w:hAnsi="宋体"/>
              </w:rPr>
            </w:pPr>
            <w:r>
              <w:rPr>
                <w:rFonts w:hint="eastAsia" w:ascii="宋体" w:hAnsi="宋体"/>
              </w:rPr>
              <w:t>3134.6</w:t>
            </w:r>
          </w:p>
        </w:tc>
        <w:tc>
          <w:tcPr>
            <w:tcW w:w="540" w:type="pct"/>
            <w:vAlign w:val="center"/>
          </w:tcPr>
          <w:p w14:paraId="183C1DF2">
            <w:pPr>
              <w:pStyle w:val="12"/>
              <w:jc w:val="center"/>
              <w:rPr>
                <w:rFonts w:ascii="宋体" w:hAnsi="宋体"/>
              </w:rPr>
            </w:pPr>
            <w:r>
              <w:rPr>
                <w:rFonts w:hint="eastAsia" w:ascii="宋体" w:hAnsi="宋体"/>
              </w:rPr>
              <w:t>—</w:t>
            </w:r>
          </w:p>
        </w:tc>
      </w:tr>
      <w:tr w14:paraId="33420C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6" w:type="pct"/>
            <w:vMerge w:val="continue"/>
            <w:vAlign w:val="center"/>
          </w:tcPr>
          <w:p w14:paraId="0F7B258C">
            <w:pPr>
              <w:pStyle w:val="12"/>
              <w:jc w:val="center"/>
              <w:rPr>
                <w:rFonts w:ascii="宋体" w:hAnsi="宋体"/>
              </w:rPr>
            </w:pPr>
          </w:p>
        </w:tc>
        <w:tc>
          <w:tcPr>
            <w:tcW w:w="236" w:type="pct"/>
            <w:vMerge w:val="continue"/>
            <w:vAlign w:val="center"/>
          </w:tcPr>
          <w:p w14:paraId="01E872D9">
            <w:pPr>
              <w:pStyle w:val="12"/>
              <w:jc w:val="center"/>
              <w:rPr>
                <w:rFonts w:ascii="宋体" w:hAnsi="宋体"/>
              </w:rPr>
            </w:pPr>
          </w:p>
        </w:tc>
        <w:tc>
          <w:tcPr>
            <w:tcW w:w="750" w:type="pct"/>
            <w:vAlign w:val="center"/>
          </w:tcPr>
          <w:p w14:paraId="5686C58C">
            <w:pPr>
              <w:pStyle w:val="12"/>
              <w:jc w:val="center"/>
              <w:rPr>
                <w:rFonts w:ascii="宋体" w:hAnsi="宋体"/>
              </w:rPr>
            </w:pPr>
            <w:r>
              <w:rPr>
                <w:rFonts w:hint="eastAsia" w:ascii="宋体" w:hAnsi="宋体"/>
              </w:rPr>
              <w:t>果树林</w:t>
            </w:r>
          </w:p>
        </w:tc>
        <w:tc>
          <w:tcPr>
            <w:tcW w:w="540" w:type="pct"/>
            <w:vAlign w:val="center"/>
          </w:tcPr>
          <w:p w14:paraId="66EE37CC">
            <w:pPr>
              <w:pStyle w:val="12"/>
              <w:jc w:val="center"/>
              <w:rPr>
                <w:rFonts w:ascii="宋体" w:hAnsi="宋体"/>
              </w:rPr>
            </w:pPr>
            <w:r>
              <w:rPr>
                <w:rFonts w:hint="eastAsia" w:ascii="宋体" w:hAnsi="宋体"/>
              </w:rPr>
              <w:t>868.7</w:t>
            </w:r>
          </w:p>
        </w:tc>
        <w:tc>
          <w:tcPr>
            <w:tcW w:w="540" w:type="pct"/>
            <w:vAlign w:val="center"/>
          </w:tcPr>
          <w:p w14:paraId="0E898E83">
            <w:pPr>
              <w:pStyle w:val="12"/>
              <w:jc w:val="center"/>
              <w:rPr>
                <w:rFonts w:ascii="宋体" w:hAnsi="宋体"/>
              </w:rPr>
            </w:pPr>
            <w:r>
              <w:rPr>
                <w:rFonts w:hint="eastAsia" w:ascii="宋体" w:hAnsi="宋体"/>
              </w:rPr>
              <w:t>0.5</w:t>
            </w:r>
          </w:p>
        </w:tc>
        <w:tc>
          <w:tcPr>
            <w:tcW w:w="568" w:type="pct"/>
            <w:vAlign w:val="center"/>
          </w:tcPr>
          <w:p w14:paraId="1B27863A">
            <w:pPr>
              <w:pStyle w:val="12"/>
              <w:jc w:val="center"/>
              <w:rPr>
                <w:rFonts w:ascii="宋体" w:hAnsi="宋体"/>
              </w:rPr>
            </w:pPr>
            <w:r>
              <w:rPr>
                <w:rFonts w:hint="eastAsia" w:ascii="宋体" w:hAnsi="宋体"/>
              </w:rPr>
              <w:t>152</w:t>
            </w:r>
          </w:p>
        </w:tc>
        <w:tc>
          <w:tcPr>
            <w:tcW w:w="512" w:type="pct"/>
            <w:vAlign w:val="center"/>
          </w:tcPr>
          <w:p w14:paraId="051AA18B">
            <w:pPr>
              <w:pStyle w:val="12"/>
              <w:jc w:val="center"/>
              <w:rPr>
                <w:rFonts w:ascii="宋体" w:hAnsi="宋体"/>
              </w:rPr>
            </w:pPr>
            <w:r>
              <w:rPr>
                <w:rFonts w:hint="eastAsia" w:ascii="宋体" w:hAnsi="宋体"/>
              </w:rPr>
              <w:t>64.2</w:t>
            </w:r>
          </w:p>
        </w:tc>
        <w:tc>
          <w:tcPr>
            <w:tcW w:w="540" w:type="pct"/>
            <w:vAlign w:val="center"/>
          </w:tcPr>
          <w:p w14:paraId="1CF2BBC5">
            <w:pPr>
              <w:pStyle w:val="12"/>
              <w:jc w:val="center"/>
              <w:rPr>
                <w:rFonts w:ascii="宋体" w:hAnsi="宋体"/>
              </w:rPr>
            </w:pPr>
            <w:r>
              <w:rPr>
                <w:rFonts w:hint="eastAsia" w:ascii="宋体" w:hAnsi="宋体"/>
              </w:rPr>
              <w:t>—</w:t>
            </w:r>
          </w:p>
        </w:tc>
        <w:tc>
          <w:tcPr>
            <w:tcW w:w="540" w:type="pct"/>
            <w:vAlign w:val="center"/>
          </w:tcPr>
          <w:p w14:paraId="13C2FA24">
            <w:pPr>
              <w:pStyle w:val="12"/>
              <w:jc w:val="center"/>
              <w:rPr>
                <w:rFonts w:ascii="宋体" w:hAnsi="宋体"/>
              </w:rPr>
            </w:pPr>
            <w:r>
              <w:rPr>
                <w:rFonts w:hint="eastAsia" w:ascii="宋体" w:hAnsi="宋体"/>
              </w:rPr>
              <w:t>804.5</w:t>
            </w:r>
          </w:p>
        </w:tc>
        <w:tc>
          <w:tcPr>
            <w:tcW w:w="540" w:type="pct"/>
            <w:vAlign w:val="center"/>
          </w:tcPr>
          <w:p w14:paraId="1E353986">
            <w:pPr>
              <w:pStyle w:val="12"/>
              <w:jc w:val="center"/>
              <w:rPr>
                <w:rFonts w:ascii="宋体" w:hAnsi="宋体"/>
              </w:rPr>
            </w:pPr>
            <w:r>
              <w:rPr>
                <w:rFonts w:hint="eastAsia" w:ascii="宋体" w:hAnsi="宋体"/>
              </w:rPr>
              <w:t>—</w:t>
            </w:r>
          </w:p>
        </w:tc>
      </w:tr>
      <w:tr w14:paraId="334269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6" w:type="pct"/>
            <w:vMerge w:val="continue"/>
            <w:vAlign w:val="center"/>
          </w:tcPr>
          <w:p w14:paraId="61055AB0">
            <w:pPr>
              <w:pStyle w:val="12"/>
              <w:jc w:val="center"/>
              <w:rPr>
                <w:rFonts w:ascii="宋体" w:hAnsi="宋体"/>
              </w:rPr>
            </w:pPr>
          </w:p>
        </w:tc>
        <w:tc>
          <w:tcPr>
            <w:tcW w:w="236" w:type="pct"/>
            <w:vMerge w:val="continue"/>
            <w:vAlign w:val="center"/>
          </w:tcPr>
          <w:p w14:paraId="3A8C1D46">
            <w:pPr>
              <w:pStyle w:val="12"/>
              <w:jc w:val="center"/>
              <w:rPr>
                <w:rFonts w:ascii="宋体" w:hAnsi="宋体"/>
              </w:rPr>
            </w:pPr>
          </w:p>
        </w:tc>
        <w:tc>
          <w:tcPr>
            <w:tcW w:w="750" w:type="pct"/>
            <w:vAlign w:val="center"/>
          </w:tcPr>
          <w:p w14:paraId="1FEB5B3D">
            <w:pPr>
              <w:pStyle w:val="12"/>
              <w:jc w:val="center"/>
              <w:rPr>
                <w:rFonts w:ascii="宋体" w:hAnsi="宋体"/>
              </w:rPr>
            </w:pPr>
            <w:r>
              <w:rPr>
                <w:rFonts w:hint="eastAsia" w:ascii="宋体" w:hAnsi="宋体"/>
              </w:rPr>
              <w:t>食用原料林</w:t>
            </w:r>
          </w:p>
        </w:tc>
        <w:tc>
          <w:tcPr>
            <w:tcW w:w="540" w:type="pct"/>
            <w:vAlign w:val="center"/>
          </w:tcPr>
          <w:p w14:paraId="08412B7F">
            <w:pPr>
              <w:pStyle w:val="12"/>
              <w:jc w:val="center"/>
              <w:rPr>
                <w:rFonts w:ascii="宋体" w:hAnsi="宋体"/>
              </w:rPr>
            </w:pPr>
            <w:r>
              <w:rPr>
                <w:rFonts w:hint="eastAsia" w:ascii="宋体" w:hAnsi="宋体"/>
              </w:rPr>
              <w:t>2188.3</w:t>
            </w:r>
          </w:p>
        </w:tc>
        <w:tc>
          <w:tcPr>
            <w:tcW w:w="540" w:type="pct"/>
            <w:vAlign w:val="center"/>
          </w:tcPr>
          <w:p w14:paraId="3B473E59">
            <w:pPr>
              <w:pStyle w:val="12"/>
              <w:jc w:val="center"/>
              <w:rPr>
                <w:rFonts w:ascii="宋体" w:hAnsi="宋体"/>
              </w:rPr>
            </w:pPr>
            <w:r>
              <w:rPr>
                <w:rFonts w:hint="eastAsia" w:ascii="宋体" w:hAnsi="宋体"/>
              </w:rPr>
              <w:t>1.4</w:t>
            </w:r>
          </w:p>
        </w:tc>
        <w:tc>
          <w:tcPr>
            <w:tcW w:w="568" w:type="pct"/>
            <w:vAlign w:val="center"/>
          </w:tcPr>
          <w:p w14:paraId="188FE781">
            <w:pPr>
              <w:pStyle w:val="12"/>
              <w:jc w:val="center"/>
              <w:rPr>
                <w:rFonts w:ascii="宋体" w:hAnsi="宋体"/>
              </w:rPr>
            </w:pPr>
            <w:r>
              <w:rPr>
                <w:rFonts w:hint="eastAsia" w:ascii="宋体" w:hAnsi="宋体"/>
              </w:rPr>
              <w:t>—</w:t>
            </w:r>
          </w:p>
        </w:tc>
        <w:tc>
          <w:tcPr>
            <w:tcW w:w="512" w:type="pct"/>
            <w:vAlign w:val="center"/>
          </w:tcPr>
          <w:p w14:paraId="7A01FB18">
            <w:pPr>
              <w:pStyle w:val="12"/>
              <w:jc w:val="center"/>
              <w:rPr>
                <w:rFonts w:ascii="宋体" w:hAnsi="宋体"/>
              </w:rPr>
            </w:pPr>
            <w:r>
              <w:rPr>
                <w:rFonts w:hint="eastAsia" w:ascii="宋体" w:hAnsi="宋体"/>
              </w:rPr>
              <w:t>0.6</w:t>
            </w:r>
          </w:p>
        </w:tc>
        <w:tc>
          <w:tcPr>
            <w:tcW w:w="540" w:type="pct"/>
            <w:vAlign w:val="center"/>
          </w:tcPr>
          <w:p w14:paraId="44DF4429">
            <w:pPr>
              <w:pStyle w:val="12"/>
              <w:jc w:val="center"/>
              <w:rPr>
                <w:rFonts w:ascii="宋体" w:hAnsi="宋体"/>
              </w:rPr>
            </w:pPr>
            <w:r>
              <w:rPr>
                <w:rFonts w:hint="eastAsia" w:ascii="宋体" w:hAnsi="宋体"/>
              </w:rPr>
              <w:t>—</w:t>
            </w:r>
          </w:p>
        </w:tc>
        <w:tc>
          <w:tcPr>
            <w:tcW w:w="540" w:type="pct"/>
            <w:vAlign w:val="center"/>
          </w:tcPr>
          <w:p w14:paraId="700E8E66">
            <w:pPr>
              <w:pStyle w:val="12"/>
              <w:jc w:val="center"/>
              <w:rPr>
                <w:rFonts w:ascii="宋体" w:hAnsi="宋体"/>
              </w:rPr>
            </w:pPr>
            <w:r>
              <w:rPr>
                <w:rFonts w:hint="eastAsia" w:ascii="宋体" w:hAnsi="宋体"/>
              </w:rPr>
              <w:t>2187.7</w:t>
            </w:r>
          </w:p>
        </w:tc>
        <w:tc>
          <w:tcPr>
            <w:tcW w:w="540" w:type="pct"/>
            <w:vAlign w:val="center"/>
          </w:tcPr>
          <w:p w14:paraId="03A2955F">
            <w:pPr>
              <w:pStyle w:val="12"/>
              <w:jc w:val="center"/>
              <w:rPr>
                <w:rFonts w:ascii="宋体" w:hAnsi="宋体"/>
              </w:rPr>
            </w:pPr>
            <w:r>
              <w:rPr>
                <w:rFonts w:hint="eastAsia" w:ascii="宋体" w:hAnsi="宋体"/>
              </w:rPr>
              <w:t>—</w:t>
            </w:r>
          </w:p>
        </w:tc>
      </w:tr>
      <w:tr w14:paraId="524949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6" w:type="pct"/>
            <w:vMerge w:val="continue"/>
            <w:vAlign w:val="center"/>
          </w:tcPr>
          <w:p w14:paraId="4CE71DD2">
            <w:pPr>
              <w:pStyle w:val="12"/>
              <w:jc w:val="center"/>
              <w:rPr>
                <w:rFonts w:ascii="宋体" w:hAnsi="宋体"/>
              </w:rPr>
            </w:pPr>
          </w:p>
        </w:tc>
        <w:tc>
          <w:tcPr>
            <w:tcW w:w="236" w:type="pct"/>
            <w:vMerge w:val="continue"/>
            <w:vAlign w:val="center"/>
          </w:tcPr>
          <w:p w14:paraId="10FB8715">
            <w:pPr>
              <w:pStyle w:val="12"/>
              <w:jc w:val="center"/>
              <w:rPr>
                <w:rFonts w:ascii="宋体" w:hAnsi="宋体"/>
              </w:rPr>
            </w:pPr>
          </w:p>
        </w:tc>
        <w:tc>
          <w:tcPr>
            <w:tcW w:w="750" w:type="pct"/>
            <w:vAlign w:val="center"/>
          </w:tcPr>
          <w:p w14:paraId="28F9C0A9">
            <w:pPr>
              <w:pStyle w:val="12"/>
              <w:jc w:val="center"/>
              <w:rPr>
                <w:rFonts w:ascii="宋体" w:hAnsi="宋体"/>
              </w:rPr>
            </w:pPr>
            <w:r>
              <w:rPr>
                <w:rFonts w:hint="eastAsia" w:ascii="宋体" w:hAnsi="宋体"/>
              </w:rPr>
              <w:t>药用林</w:t>
            </w:r>
          </w:p>
        </w:tc>
        <w:tc>
          <w:tcPr>
            <w:tcW w:w="540" w:type="pct"/>
            <w:vAlign w:val="center"/>
          </w:tcPr>
          <w:p w14:paraId="1AC1CB74">
            <w:pPr>
              <w:pStyle w:val="12"/>
              <w:jc w:val="center"/>
              <w:rPr>
                <w:rFonts w:ascii="宋体" w:hAnsi="宋体"/>
              </w:rPr>
            </w:pPr>
            <w:r>
              <w:rPr>
                <w:rFonts w:hint="eastAsia" w:ascii="宋体" w:hAnsi="宋体"/>
              </w:rPr>
              <w:t>123.1</w:t>
            </w:r>
          </w:p>
        </w:tc>
        <w:tc>
          <w:tcPr>
            <w:tcW w:w="540" w:type="pct"/>
            <w:vAlign w:val="center"/>
          </w:tcPr>
          <w:p w14:paraId="15209AE1">
            <w:pPr>
              <w:pStyle w:val="12"/>
              <w:jc w:val="center"/>
              <w:rPr>
                <w:rFonts w:ascii="宋体" w:hAnsi="宋体"/>
              </w:rPr>
            </w:pPr>
            <w:r>
              <w:rPr>
                <w:rFonts w:hint="eastAsia" w:ascii="宋体" w:hAnsi="宋体"/>
              </w:rPr>
              <w:t>0.07</w:t>
            </w:r>
          </w:p>
        </w:tc>
        <w:tc>
          <w:tcPr>
            <w:tcW w:w="568" w:type="pct"/>
            <w:vAlign w:val="center"/>
          </w:tcPr>
          <w:p w14:paraId="2EA2F29B">
            <w:pPr>
              <w:pStyle w:val="12"/>
              <w:jc w:val="center"/>
              <w:rPr>
                <w:rFonts w:ascii="宋体" w:hAnsi="宋体"/>
              </w:rPr>
            </w:pPr>
            <w:r>
              <w:rPr>
                <w:rFonts w:hint="eastAsia" w:ascii="宋体" w:hAnsi="宋体"/>
              </w:rPr>
              <w:t>40</w:t>
            </w:r>
          </w:p>
        </w:tc>
        <w:tc>
          <w:tcPr>
            <w:tcW w:w="512" w:type="pct"/>
            <w:vAlign w:val="center"/>
          </w:tcPr>
          <w:p w14:paraId="23D4DFFF">
            <w:pPr>
              <w:pStyle w:val="12"/>
              <w:jc w:val="center"/>
              <w:rPr>
                <w:rFonts w:ascii="宋体" w:hAnsi="宋体"/>
              </w:rPr>
            </w:pPr>
            <w:r>
              <w:rPr>
                <w:rFonts w:hint="eastAsia" w:ascii="宋体" w:hAnsi="宋体"/>
              </w:rPr>
              <w:t>53.5</w:t>
            </w:r>
          </w:p>
        </w:tc>
        <w:tc>
          <w:tcPr>
            <w:tcW w:w="540" w:type="pct"/>
            <w:vAlign w:val="center"/>
          </w:tcPr>
          <w:p w14:paraId="51A3F4C0">
            <w:pPr>
              <w:pStyle w:val="12"/>
              <w:jc w:val="center"/>
              <w:rPr>
                <w:rFonts w:ascii="宋体" w:hAnsi="宋体"/>
              </w:rPr>
            </w:pPr>
            <w:r>
              <w:rPr>
                <w:rFonts w:hint="eastAsia" w:ascii="宋体" w:hAnsi="宋体"/>
              </w:rPr>
              <w:t>—</w:t>
            </w:r>
          </w:p>
        </w:tc>
        <w:tc>
          <w:tcPr>
            <w:tcW w:w="540" w:type="pct"/>
            <w:vAlign w:val="center"/>
          </w:tcPr>
          <w:p w14:paraId="4D0B96A8">
            <w:pPr>
              <w:pStyle w:val="12"/>
              <w:jc w:val="center"/>
              <w:rPr>
                <w:rFonts w:ascii="宋体" w:hAnsi="宋体"/>
              </w:rPr>
            </w:pPr>
            <w:r>
              <w:rPr>
                <w:rFonts w:hint="eastAsia" w:ascii="宋体" w:hAnsi="宋体"/>
              </w:rPr>
              <w:t>69.6</w:t>
            </w:r>
          </w:p>
        </w:tc>
        <w:tc>
          <w:tcPr>
            <w:tcW w:w="540" w:type="pct"/>
            <w:vAlign w:val="center"/>
          </w:tcPr>
          <w:p w14:paraId="503BBD55">
            <w:pPr>
              <w:pStyle w:val="12"/>
              <w:jc w:val="center"/>
              <w:rPr>
                <w:rFonts w:ascii="宋体" w:hAnsi="宋体"/>
              </w:rPr>
            </w:pPr>
            <w:r>
              <w:rPr>
                <w:rFonts w:hint="eastAsia" w:ascii="宋体" w:hAnsi="宋体"/>
              </w:rPr>
              <w:t>—</w:t>
            </w:r>
          </w:p>
        </w:tc>
      </w:tr>
      <w:tr w14:paraId="4EAE67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6" w:type="pct"/>
            <w:vMerge w:val="continue"/>
            <w:vAlign w:val="center"/>
          </w:tcPr>
          <w:p w14:paraId="747F2F1A">
            <w:pPr>
              <w:pStyle w:val="12"/>
              <w:jc w:val="center"/>
              <w:rPr>
                <w:rFonts w:ascii="宋体" w:hAnsi="宋体"/>
              </w:rPr>
            </w:pPr>
          </w:p>
        </w:tc>
        <w:tc>
          <w:tcPr>
            <w:tcW w:w="236" w:type="pct"/>
            <w:vMerge w:val="continue"/>
            <w:vAlign w:val="center"/>
          </w:tcPr>
          <w:p w14:paraId="1A115125">
            <w:pPr>
              <w:pStyle w:val="12"/>
              <w:jc w:val="center"/>
              <w:rPr>
                <w:rFonts w:ascii="宋体" w:hAnsi="宋体"/>
              </w:rPr>
            </w:pPr>
          </w:p>
        </w:tc>
        <w:tc>
          <w:tcPr>
            <w:tcW w:w="750" w:type="pct"/>
            <w:vAlign w:val="center"/>
          </w:tcPr>
          <w:p w14:paraId="598E5737">
            <w:pPr>
              <w:pStyle w:val="12"/>
              <w:jc w:val="center"/>
              <w:rPr>
                <w:rFonts w:ascii="宋体" w:hAnsi="宋体"/>
              </w:rPr>
            </w:pPr>
            <w:r>
              <w:rPr>
                <w:rFonts w:hint="eastAsia" w:ascii="宋体" w:hAnsi="宋体"/>
              </w:rPr>
              <w:t>其他经济林</w:t>
            </w:r>
          </w:p>
        </w:tc>
        <w:tc>
          <w:tcPr>
            <w:tcW w:w="540" w:type="pct"/>
            <w:vAlign w:val="center"/>
          </w:tcPr>
          <w:p w14:paraId="3732CA2E">
            <w:pPr>
              <w:pStyle w:val="12"/>
              <w:jc w:val="center"/>
              <w:rPr>
                <w:rFonts w:ascii="宋体" w:hAnsi="宋体"/>
              </w:rPr>
            </w:pPr>
            <w:r>
              <w:rPr>
                <w:rFonts w:hint="eastAsia" w:ascii="宋体" w:hAnsi="宋体"/>
              </w:rPr>
              <w:t>91.2</w:t>
            </w:r>
          </w:p>
        </w:tc>
        <w:tc>
          <w:tcPr>
            <w:tcW w:w="540" w:type="pct"/>
            <w:vAlign w:val="center"/>
          </w:tcPr>
          <w:p w14:paraId="6B510886">
            <w:pPr>
              <w:pStyle w:val="12"/>
              <w:jc w:val="center"/>
              <w:rPr>
                <w:rFonts w:ascii="宋体" w:hAnsi="宋体"/>
              </w:rPr>
            </w:pPr>
            <w:r>
              <w:rPr>
                <w:rFonts w:hint="eastAsia" w:ascii="宋体" w:hAnsi="宋体"/>
              </w:rPr>
              <w:t>0.05</w:t>
            </w:r>
          </w:p>
        </w:tc>
        <w:tc>
          <w:tcPr>
            <w:tcW w:w="568" w:type="pct"/>
            <w:vAlign w:val="center"/>
          </w:tcPr>
          <w:p w14:paraId="3B82595D">
            <w:pPr>
              <w:pStyle w:val="12"/>
              <w:jc w:val="center"/>
              <w:rPr>
                <w:rFonts w:ascii="宋体" w:hAnsi="宋体"/>
              </w:rPr>
            </w:pPr>
            <w:r>
              <w:rPr>
                <w:rFonts w:hint="eastAsia" w:ascii="宋体" w:hAnsi="宋体"/>
              </w:rPr>
              <w:t>—</w:t>
            </w:r>
          </w:p>
        </w:tc>
        <w:tc>
          <w:tcPr>
            <w:tcW w:w="512" w:type="pct"/>
            <w:vAlign w:val="center"/>
          </w:tcPr>
          <w:p w14:paraId="3088C4C3">
            <w:pPr>
              <w:pStyle w:val="12"/>
              <w:jc w:val="center"/>
              <w:rPr>
                <w:rFonts w:ascii="宋体" w:hAnsi="宋体"/>
              </w:rPr>
            </w:pPr>
            <w:r>
              <w:rPr>
                <w:rFonts w:hint="eastAsia" w:ascii="宋体" w:hAnsi="宋体"/>
              </w:rPr>
              <w:t>18.4</w:t>
            </w:r>
          </w:p>
        </w:tc>
        <w:tc>
          <w:tcPr>
            <w:tcW w:w="540" w:type="pct"/>
            <w:vAlign w:val="center"/>
          </w:tcPr>
          <w:p w14:paraId="52AFD68D">
            <w:pPr>
              <w:pStyle w:val="12"/>
              <w:jc w:val="center"/>
              <w:rPr>
                <w:rFonts w:ascii="宋体" w:hAnsi="宋体"/>
              </w:rPr>
            </w:pPr>
            <w:r>
              <w:rPr>
                <w:rFonts w:hint="eastAsia" w:ascii="宋体" w:hAnsi="宋体"/>
              </w:rPr>
              <w:t>—</w:t>
            </w:r>
          </w:p>
        </w:tc>
        <w:tc>
          <w:tcPr>
            <w:tcW w:w="540" w:type="pct"/>
            <w:vAlign w:val="center"/>
          </w:tcPr>
          <w:p w14:paraId="30B324E5">
            <w:pPr>
              <w:pStyle w:val="12"/>
              <w:jc w:val="center"/>
              <w:rPr>
                <w:rFonts w:ascii="宋体" w:hAnsi="宋体"/>
              </w:rPr>
            </w:pPr>
            <w:r>
              <w:rPr>
                <w:rFonts w:hint="eastAsia" w:ascii="宋体" w:hAnsi="宋体"/>
              </w:rPr>
              <w:t>72.8</w:t>
            </w:r>
          </w:p>
        </w:tc>
        <w:tc>
          <w:tcPr>
            <w:tcW w:w="540" w:type="pct"/>
            <w:vAlign w:val="center"/>
          </w:tcPr>
          <w:p w14:paraId="432E8121">
            <w:pPr>
              <w:pStyle w:val="12"/>
              <w:jc w:val="center"/>
              <w:rPr>
                <w:rFonts w:ascii="宋体" w:hAnsi="宋体"/>
              </w:rPr>
            </w:pPr>
            <w:r>
              <w:rPr>
                <w:rFonts w:hint="eastAsia" w:ascii="宋体" w:hAnsi="宋体"/>
              </w:rPr>
              <w:t>—</w:t>
            </w:r>
          </w:p>
        </w:tc>
      </w:tr>
    </w:tbl>
    <w:p w14:paraId="676A66A4">
      <w:pPr>
        <w:ind w:firstLine="0" w:firstLineChars="0"/>
        <w:jc w:val="center"/>
        <w:rPr>
          <w:rFonts w:ascii="宋体" w:hAnsi="宋体"/>
          <w:b/>
        </w:rPr>
      </w:pPr>
      <w:r>
        <w:rPr>
          <w:rFonts w:hint="eastAsia" w:ascii="宋体" w:hAnsi="宋体"/>
          <w:b/>
        </w:rPr>
        <w:t>2004年南雄市商品林（地）优势树种统计</w:t>
      </w:r>
    </w:p>
    <w:p w14:paraId="3814A1F2">
      <w:pPr>
        <w:ind w:firstLine="0" w:firstLineChars="0"/>
        <w:rPr>
          <w:rFonts w:ascii="宋体" w:hAnsi="宋体"/>
          <w:b/>
        </w:rPr>
      </w:pPr>
      <w:r>
        <w:rPr>
          <w:rFonts w:hint="eastAsia" w:ascii="宋体" w:hAnsi="宋体"/>
          <w:b/>
        </w:rPr>
        <w:t>表2-21</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71"/>
        <w:gridCol w:w="846"/>
        <w:gridCol w:w="793"/>
        <w:gridCol w:w="891"/>
        <w:gridCol w:w="846"/>
        <w:gridCol w:w="756"/>
        <w:gridCol w:w="891"/>
        <w:gridCol w:w="666"/>
        <w:gridCol w:w="669"/>
        <w:gridCol w:w="666"/>
        <w:gridCol w:w="666"/>
        <w:gridCol w:w="608"/>
        <w:gridCol w:w="793"/>
      </w:tblGrid>
      <w:tr w14:paraId="380A22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2" w:type="pct"/>
            <w:vMerge w:val="restart"/>
            <w:vAlign w:val="center"/>
          </w:tcPr>
          <w:p w14:paraId="2E251DD4">
            <w:pPr>
              <w:ind w:firstLine="0" w:firstLineChars="0"/>
              <w:jc w:val="center"/>
              <w:rPr>
                <w:rFonts w:ascii="宋体" w:hAnsi="宋体"/>
                <w:b/>
                <w:sz w:val="18"/>
                <w:szCs w:val="18"/>
              </w:rPr>
            </w:pPr>
            <w:r>
              <w:rPr>
                <w:rFonts w:hint="eastAsia" w:ascii="宋体" w:hAnsi="宋体"/>
                <w:b/>
                <w:sz w:val="18"/>
                <w:szCs w:val="18"/>
              </w:rPr>
              <w:t>优势树种</w:t>
            </w:r>
          </w:p>
        </w:tc>
        <w:tc>
          <w:tcPr>
            <w:tcW w:w="414" w:type="pct"/>
            <w:vMerge w:val="restart"/>
            <w:vAlign w:val="center"/>
          </w:tcPr>
          <w:p w14:paraId="72DDE689">
            <w:pPr>
              <w:ind w:firstLine="0" w:firstLineChars="0"/>
              <w:jc w:val="center"/>
              <w:rPr>
                <w:rFonts w:ascii="宋体" w:hAnsi="宋体"/>
                <w:b/>
                <w:sz w:val="18"/>
                <w:szCs w:val="18"/>
              </w:rPr>
            </w:pPr>
            <w:r>
              <w:rPr>
                <w:rFonts w:hint="eastAsia" w:ascii="宋体" w:hAnsi="宋体"/>
                <w:b/>
                <w:sz w:val="18"/>
                <w:szCs w:val="18"/>
              </w:rPr>
              <w:t>面积（公顷）</w:t>
            </w:r>
          </w:p>
        </w:tc>
        <w:tc>
          <w:tcPr>
            <w:tcW w:w="403" w:type="pct"/>
            <w:vMerge w:val="restart"/>
            <w:vAlign w:val="center"/>
          </w:tcPr>
          <w:p w14:paraId="10C8ECCB">
            <w:pPr>
              <w:ind w:firstLine="0" w:firstLineChars="0"/>
              <w:jc w:val="center"/>
              <w:rPr>
                <w:rFonts w:ascii="宋体" w:hAnsi="宋体"/>
                <w:b/>
                <w:sz w:val="18"/>
                <w:szCs w:val="18"/>
              </w:rPr>
            </w:pPr>
            <w:r>
              <w:rPr>
                <w:rFonts w:hint="eastAsia" w:ascii="宋体" w:hAnsi="宋体"/>
                <w:b/>
                <w:sz w:val="18"/>
                <w:szCs w:val="18"/>
              </w:rPr>
              <w:t>占比（%）</w:t>
            </w:r>
          </w:p>
        </w:tc>
        <w:tc>
          <w:tcPr>
            <w:tcW w:w="452" w:type="pct"/>
            <w:vMerge w:val="restart"/>
            <w:vAlign w:val="center"/>
          </w:tcPr>
          <w:p w14:paraId="6D4D57EA">
            <w:pPr>
              <w:ind w:firstLine="0" w:firstLineChars="0"/>
              <w:jc w:val="center"/>
              <w:rPr>
                <w:rFonts w:ascii="宋体" w:hAnsi="宋体"/>
                <w:b/>
                <w:sz w:val="18"/>
                <w:szCs w:val="18"/>
              </w:rPr>
            </w:pPr>
            <w:r>
              <w:rPr>
                <w:rFonts w:hint="eastAsia" w:ascii="宋体" w:hAnsi="宋体"/>
                <w:b/>
                <w:sz w:val="18"/>
                <w:szCs w:val="18"/>
              </w:rPr>
              <w:t>活立木蓄积量（立方米）</w:t>
            </w:r>
          </w:p>
        </w:tc>
        <w:tc>
          <w:tcPr>
            <w:tcW w:w="1266" w:type="pct"/>
            <w:gridSpan w:val="3"/>
            <w:vAlign w:val="center"/>
          </w:tcPr>
          <w:p w14:paraId="4CEEEB26">
            <w:pPr>
              <w:ind w:firstLine="0" w:firstLineChars="0"/>
              <w:jc w:val="center"/>
              <w:rPr>
                <w:rFonts w:ascii="宋体" w:hAnsi="宋体"/>
                <w:b/>
                <w:sz w:val="18"/>
                <w:szCs w:val="18"/>
              </w:rPr>
            </w:pPr>
            <w:r>
              <w:rPr>
                <w:rFonts w:hint="eastAsia" w:ascii="宋体" w:hAnsi="宋体"/>
                <w:b/>
                <w:sz w:val="18"/>
                <w:szCs w:val="18"/>
              </w:rPr>
              <w:t>用材林</w:t>
            </w:r>
          </w:p>
        </w:tc>
        <w:tc>
          <w:tcPr>
            <w:tcW w:w="977" w:type="pct"/>
            <w:gridSpan w:val="3"/>
            <w:vAlign w:val="center"/>
          </w:tcPr>
          <w:p w14:paraId="28111074">
            <w:pPr>
              <w:ind w:firstLine="0" w:firstLineChars="0"/>
              <w:jc w:val="center"/>
              <w:rPr>
                <w:rFonts w:ascii="宋体" w:hAnsi="宋体"/>
                <w:b/>
                <w:sz w:val="18"/>
                <w:szCs w:val="18"/>
              </w:rPr>
            </w:pPr>
            <w:r>
              <w:rPr>
                <w:rFonts w:hint="eastAsia" w:ascii="宋体" w:hAnsi="宋体"/>
                <w:b/>
                <w:sz w:val="18"/>
                <w:szCs w:val="18"/>
              </w:rPr>
              <w:t>经济林</w:t>
            </w:r>
          </w:p>
        </w:tc>
        <w:tc>
          <w:tcPr>
            <w:tcW w:w="642" w:type="pct"/>
            <w:gridSpan w:val="2"/>
            <w:vAlign w:val="center"/>
          </w:tcPr>
          <w:p w14:paraId="65E05604">
            <w:pPr>
              <w:ind w:firstLine="0" w:firstLineChars="0"/>
              <w:jc w:val="center"/>
              <w:rPr>
                <w:rFonts w:ascii="宋体" w:hAnsi="宋体"/>
                <w:b/>
                <w:sz w:val="18"/>
                <w:szCs w:val="18"/>
              </w:rPr>
            </w:pPr>
            <w:r>
              <w:rPr>
                <w:rFonts w:hint="eastAsia" w:ascii="宋体" w:hAnsi="宋体"/>
                <w:b/>
                <w:sz w:val="18"/>
                <w:szCs w:val="18"/>
              </w:rPr>
              <w:t>疏林地</w:t>
            </w:r>
          </w:p>
        </w:tc>
        <w:tc>
          <w:tcPr>
            <w:tcW w:w="403" w:type="pct"/>
            <w:vAlign w:val="center"/>
          </w:tcPr>
          <w:p w14:paraId="41DC807F">
            <w:pPr>
              <w:ind w:firstLine="0" w:firstLineChars="0"/>
              <w:jc w:val="center"/>
              <w:rPr>
                <w:rFonts w:ascii="宋体" w:hAnsi="宋体"/>
                <w:b/>
                <w:sz w:val="18"/>
                <w:szCs w:val="18"/>
              </w:rPr>
            </w:pPr>
            <w:r>
              <w:rPr>
                <w:rFonts w:hint="eastAsia" w:ascii="宋体" w:hAnsi="宋体"/>
                <w:b/>
                <w:sz w:val="18"/>
                <w:szCs w:val="18"/>
              </w:rPr>
              <w:t>散生木</w:t>
            </w:r>
          </w:p>
        </w:tc>
      </w:tr>
      <w:tr w14:paraId="65D38F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2" w:type="pct"/>
            <w:vMerge w:val="continue"/>
            <w:vAlign w:val="center"/>
          </w:tcPr>
          <w:p w14:paraId="519A1E18">
            <w:pPr>
              <w:ind w:firstLine="0" w:firstLineChars="0"/>
              <w:jc w:val="center"/>
              <w:rPr>
                <w:rFonts w:ascii="宋体" w:hAnsi="宋体"/>
                <w:b/>
                <w:sz w:val="18"/>
                <w:szCs w:val="18"/>
              </w:rPr>
            </w:pPr>
          </w:p>
        </w:tc>
        <w:tc>
          <w:tcPr>
            <w:tcW w:w="414" w:type="pct"/>
            <w:vMerge w:val="continue"/>
            <w:vAlign w:val="center"/>
          </w:tcPr>
          <w:p w14:paraId="66646F53">
            <w:pPr>
              <w:ind w:firstLine="0" w:firstLineChars="0"/>
              <w:jc w:val="center"/>
              <w:rPr>
                <w:rFonts w:ascii="宋体" w:hAnsi="宋体"/>
                <w:b/>
                <w:sz w:val="18"/>
                <w:szCs w:val="18"/>
              </w:rPr>
            </w:pPr>
          </w:p>
        </w:tc>
        <w:tc>
          <w:tcPr>
            <w:tcW w:w="403" w:type="pct"/>
            <w:vMerge w:val="continue"/>
            <w:vAlign w:val="center"/>
          </w:tcPr>
          <w:p w14:paraId="08DEC33A">
            <w:pPr>
              <w:ind w:firstLine="0" w:firstLineChars="0"/>
              <w:jc w:val="center"/>
              <w:rPr>
                <w:rFonts w:ascii="宋体" w:hAnsi="宋体"/>
                <w:b/>
                <w:sz w:val="18"/>
                <w:szCs w:val="18"/>
              </w:rPr>
            </w:pPr>
          </w:p>
        </w:tc>
        <w:tc>
          <w:tcPr>
            <w:tcW w:w="452" w:type="pct"/>
            <w:vMerge w:val="continue"/>
            <w:vAlign w:val="center"/>
          </w:tcPr>
          <w:p w14:paraId="13B35088">
            <w:pPr>
              <w:ind w:firstLine="0" w:firstLineChars="0"/>
              <w:jc w:val="center"/>
              <w:rPr>
                <w:rFonts w:ascii="宋体" w:hAnsi="宋体"/>
                <w:b/>
                <w:sz w:val="18"/>
                <w:szCs w:val="18"/>
              </w:rPr>
            </w:pPr>
          </w:p>
        </w:tc>
        <w:tc>
          <w:tcPr>
            <w:tcW w:w="427" w:type="pct"/>
            <w:vAlign w:val="center"/>
          </w:tcPr>
          <w:p w14:paraId="768C448A">
            <w:pPr>
              <w:ind w:firstLine="0" w:firstLineChars="0"/>
              <w:jc w:val="center"/>
              <w:rPr>
                <w:rFonts w:ascii="宋体" w:hAnsi="宋体"/>
                <w:b/>
                <w:sz w:val="18"/>
                <w:szCs w:val="18"/>
              </w:rPr>
            </w:pPr>
            <w:r>
              <w:rPr>
                <w:rFonts w:hint="eastAsia" w:ascii="宋体" w:hAnsi="宋体"/>
                <w:b/>
                <w:sz w:val="18"/>
                <w:szCs w:val="18"/>
              </w:rPr>
              <w:t>面积（公顷）</w:t>
            </w:r>
          </w:p>
        </w:tc>
        <w:tc>
          <w:tcPr>
            <w:tcW w:w="387" w:type="pct"/>
            <w:vAlign w:val="center"/>
          </w:tcPr>
          <w:p w14:paraId="367E7BFA">
            <w:pPr>
              <w:ind w:firstLine="0" w:firstLineChars="0"/>
              <w:jc w:val="center"/>
              <w:rPr>
                <w:rFonts w:ascii="宋体" w:hAnsi="宋体"/>
                <w:b/>
                <w:sz w:val="18"/>
                <w:szCs w:val="18"/>
              </w:rPr>
            </w:pPr>
            <w:r>
              <w:rPr>
                <w:rFonts w:hint="eastAsia" w:ascii="宋体" w:hAnsi="宋体"/>
                <w:b/>
                <w:sz w:val="18"/>
                <w:szCs w:val="18"/>
              </w:rPr>
              <w:t>占比（%）</w:t>
            </w:r>
          </w:p>
        </w:tc>
        <w:tc>
          <w:tcPr>
            <w:tcW w:w="452" w:type="pct"/>
            <w:vAlign w:val="center"/>
          </w:tcPr>
          <w:p w14:paraId="6B6EB0CF">
            <w:pPr>
              <w:ind w:firstLine="0" w:firstLineChars="0"/>
              <w:jc w:val="center"/>
              <w:rPr>
                <w:rFonts w:ascii="宋体" w:hAnsi="宋体"/>
                <w:b/>
                <w:sz w:val="18"/>
                <w:szCs w:val="18"/>
              </w:rPr>
            </w:pPr>
            <w:r>
              <w:rPr>
                <w:rFonts w:hint="eastAsia" w:ascii="宋体" w:hAnsi="宋体"/>
                <w:b/>
                <w:sz w:val="18"/>
                <w:szCs w:val="18"/>
              </w:rPr>
              <w:t>蓄积量（立方米）</w:t>
            </w:r>
          </w:p>
        </w:tc>
        <w:tc>
          <w:tcPr>
            <w:tcW w:w="333" w:type="pct"/>
            <w:vAlign w:val="center"/>
          </w:tcPr>
          <w:p w14:paraId="452F4F3D">
            <w:pPr>
              <w:ind w:firstLine="0" w:firstLineChars="0"/>
              <w:jc w:val="center"/>
              <w:rPr>
                <w:rFonts w:ascii="宋体" w:hAnsi="宋体"/>
                <w:b/>
                <w:sz w:val="18"/>
                <w:szCs w:val="18"/>
              </w:rPr>
            </w:pPr>
            <w:r>
              <w:rPr>
                <w:rFonts w:hint="eastAsia" w:ascii="宋体" w:hAnsi="宋体"/>
                <w:b/>
                <w:sz w:val="18"/>
                <w:szCs w:val="18"/>
              </w:rPr>
              <w:t>面积（公顷）</w:t>
            </w:r>
          </w:p>
        </w:tc>
        <w:tc>
          <w:tcPr>
            <w:tcW w:w="335" w:type="pct"/>
            <w:vAlign w:val="center"/>
          </w:tcPr>
          <w:p w14:paraId="2C3903F9">
            <w:pPr>
              <w:ind w:firstLine="0" w:firstLineChars="0"/>
              <w:jc w:val="center"/>
              <w:rPr>
                <w:rFonts w:ascii="宋体" w:hAnsi="宋体"/>
                <w:b/>
                <w:sz w:val="18"/>
                <w:szCs w:val="18"/>
              </w:rPr>
            </w:pPr>
            <w:r>
              <w:rPr>
                <w:rFonts w:hint="eastAsia" w:ascii="宋体" w:hAnsi="宋体"/>
                <w:b/>
                <w:sz w:val="18"/>
                <w:szCs w:val="18"/>
              </w:rPr>
              <w:t>（占比）%</w:t>
            </w:r>
          </w:p>
        </w:tc>
        <w:tc>
          <w:tcPr>
            <w:tcW w:w="309" w:type="pct"/>
            <w:vAlign w:val="center"/>
          </w:tcPr>
          <w:p w14:paraId="38865A0A">
            <w:pPr>
              <w:ind w:firstLine="0" w:firstLineChars="0"/>
              <w:jc w:val="center"/>
              <w:rPr>
                <w:rFonts w:ascii="宋体" w:hAnsi="宋体"/>
                <w:b/>
                <w:sz w:val="18"/>
                <w:szCs w:val="18"/>
              </w:rPr>
            </w:pPr>
            <w:r>
              <w:rPr>
                <w:rFonts w:hint="eastAsia" w:ascii="宋体" w:hAnsi="宋体"/>
                <w:b/>
                <w:sz w:val="18"/>
                <w:szCs w:val="18"/>
              </w:rPr>
              <w:t>蓄积量（立方米）</w:t>
            </w:r>
          </w:p>
        </w:tc>
        <w:tc>
          <w:tcPr>
            <w:tcW w:w="333" w:type="pct"/>
            <w:vAlign w:val="center"/>
          </w:tcPr>
          <w:p w14:paraId="7242E876">
            <w:pPr>
              <w:ind w:firstLine="0" w:firstLineChars="0"/>
              <w:jc w:val="center"/>
              <w:rPr>
                <w:rFonts w:ascii="宋体" w:hAnsi="宋体"/>
                <w:b/>
                <w:sz w:val="18"/>
                <w:szCs w:val="18"/>
              </w:rPr>
            </w:pPr>
            <w:r>
              <w:rPr>
                <w:rFonts w:hint="eastAsia" w:ascii="宋体" w:hAnsi="宋体"/>
                <w:b/>
                <w:sz w:val="18"/>
                <w:szCs w:val="18"/>
              </w:rPr>
              <w:t>面积（公顷）</w:t>
            </w:r>
          </w:p>
        </w:tc>
        <w:tc>
          <w:tcPr>
            <w:tcW w:w="310" w:type="pct"/>
            <w:vAlign w:val="center"/>
          </w:tcPr>
          <w:p w14:paraId="307F2CF1">
            <w:pPr>
              <w:ind w:firstLine="0" w:firstLineChars="0"/>
              <w:jc w:val="center"/>
              <w:rPr>
                <w:rFonts w:ascii="宋体" w:hAnsi="宋体"/>
                <w:b/>
                <w:sz w:val="18"/>
                <w:szCs w:val="18"/>
              </w:rPr>
            </w:pPr>
            <w:r>
              <w:rPr>
                <w:rFonts w:hint="eastAsia" w:ascii="宋体" w:hAnsi="宋体"/>
                <w:b/>
                <w:sz w:val="18"/>
                <w:szCs w:val="18"/>
              </w:rPr>
              <w:t>蓄积量（立方米）</w:t>
            </w:r>
          </w:p>
        </w:tc>
        <w:tc>
          <w:tcPr>
            <w:tcW w:w="403" w:type="pct"/>
            <w:vAlign w:val="center"/>
          </w:tcPr>
          <w:p w14:paraId="08C91DEA">
            <w:pPr>
              <w:ind w:firstLine="0" w:firstLineChars="0"/>
              <w:jc w:val="center"/>
              <w:rPr>
                <w:rFonts w:ascii="宋体" w:hAnsi="宋体"/>
                <w:b/>
                <w:sz w:val="18"/>
                <w:szCs w:val="18"/>
              </w:rPr>
            </w:pPr>
            <w:r>
              <w:rPr>
                <w:rFonts w:hint="eastAsia" w:ascii="宋体" w:hAnsi="宋体"/>
                <w:b/>
                <w:sz w:val="18"/>
                <w:szCs w:val="18"/>
              </w:rPr>
              <w:t>蓄积量（立方米）</w:t>
            </w:r>
          </w:p>
        </w:tc>
      </w:tr>
      <w:tr w14:paraId="2AF9CF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2" w:type="pct"/>
            <w:vAlign w:val="center"/>
          </w:tcPr>
          <w:p w14:paraId="6EA18472">
            <w:pPr>
              <w:ind w:firstLine="0" w:firstLineChars="0"/>
              <w:jc w:val="center"/>
              <w:rPr>
                <w:rFonts w:ascii="宋体" w:hAnsi="宋体"/>
                <w:sz w:val="18"/>
                <w:szCs w:val="18"/>
              </w:rPr>
            </w:pPr>
            <w:r>
              <w:rPr>
                <w:rFonts w:hint="eastAsia" w:ascii="宋体" w:hAnsi="宋体"/>
                <w:sz w:val="18"/>
                <w:szCs w:val="18"/>
              </w:rPr>
              <w:t>合  计</w:t>
            </w:r>
          </w:p>
        </w:tc>
        <w:tc>
          <w:tcPr>
            <w:tcW w:w="414" w:type="pct"/>
            <w:vAlign w:val="center"/>
          </w:tcPr>
          <w:p w14:paraId="00685804">
            <w:pPr>
              <w:ind w:firstLine="0" w:firstLineChars="0"/>
              <w:jc w:val="center"/>
              <w:rPr>
                <w:rFonts w:ascii="宋体" w:hAnsi="宋体"/>
                <w:sz w:val="18"/>
                <w:szCs w:val="18"/>
              </w:rPr>
            </w:pPr>
            <w:r>
              <w:rPr>
                <w:rFonts w:hint="eastAsia" w:ascii="宋体" w:hAnsi="宋体"/>
                <w:sz w:val="18"/>
                <w:szCs w:val="18"/>
              </w:rPr>
              <w:t>82441.2</w:t>
            </w:r>
          </w:p>
        </w:tc>
        <w:tc>
          <w:tcPr>
            <w:tcW w:w="403" w:type="pct"/>
            <w:vAlign w:val="center"/>
          </w:tcPr>
          <w:p w14:paraId="6391C2DE">
            <w:pPr>
              <w:ind w:firstLine="0" w:firstLineChars="0"/>
              <w:jc w:val="center"/>
              <w:rPr>
                <w:rFonts w:ascii="宋体" w:hAnsi="宋体"/>
                <w:sz w:val="18"/>
                <w:szCs w:val="18"/>
              </w:rPr>
            </w:pPr>
            <w:r>
              <w:rPr>
                <w:rFonts w:hint="eastAsia" w:ascii="宋体" w:hAnsi="宋体"/>
                <w:sz w:val="18"/>
                <w:szCs w:val="18"/>
              </w:rPr>
              <w:t>100</w:t>
            </w:r>
          </w:p>
        </w:tc>
        <w:tc>
          <w:tcPr>
            <w:tcW w:w="452" w:type="pct"/>
            <w:vAlign w:val="center"/>
          </w:tcPr>
          <w:p w14:paraId="33EE950E">
            <w:pPr>
              <w:ind w:firstLine="0" w:firstLineChars="0"/>
              <w:jc w:val="center"/>
              <w:rPr>
                <w:rFonts w:ascii="宋体" w:hAnsi="宋体"/>
                <w:sz w:val="18"/>
                <w:szCs w:val="18"/>
              </w:rPr>
            </w:pPr>
            <w:r>
              <w:rPr>
                <w:rFonts w:hint="eastAsia" w:ascii="宋体" w:hAnsi="宋体"/>
                <w:sz w:val="18"/>
                <w:szCs w:val="18"/>
              </w:rPr>
              <w:t>5065744</w:t>
            </w:r>
          </w:p>
        </w:tc>
        <w:tc>
          <w:tcPr>
            <w:tcW w:w="427" w:type="pct"/>
            <w:vAlign w:val="center"/>
          </w:tcPr>
          <w:p w14:paraId="2E53B8E0">
            <w:pPr>
              <w:ind w:firstLine="0" w:firstLineChars="0"/>
              <w:jc w:val="center"/>
              <w:rPr>
                <w:rFonts w:ascii="宋体" w:hAnsi="宋体"/>
                <w:sz w:val="18"/>
                <w:szCs w:val="18"/>
              </w:rPr>
            </w:pPr>
            <w:r>
              <w:rPr>
                <w:rFonts w:hint="eastAsia" w:ascii="宋体" w:hAnsi="宋体"/>
                <w:sz w:val="18"/>
                <w:szCs w:val="18"/>
              </w:rPr>
              <w:t>82038.9</w:t>
            </w:r>
          </w:p>
        </w:tc>
        <w:tc>
          <w:tcPr>
            <w:tcW w:w="387" w:type="pct"/>
            <w:vAlign w:val="center"/>
          </w:tcPr>
          <w:p w14:paraId="16FBE682">
            <w:pPr>
              <w:ind w:firstLine="0" w:firstLineChars="0"/>
              <w:jc w:val="center"/>
              <w:rPr>
                <w:rFonts w:ascii="宋体" w:hAnsi="宋体"/>
                <w:sz w:val="18"/>
                <w:szCs w:val="18"/>
              </w:rPr>
            </w:pPr>
            <w:r>
              <w:rPr>
                <w:rFonts w:hint="eastAsia" w:ascii="宋体" w:hAnsi="宋体"/>
                <w:sz w:val="18"/>
                <w:szCs w:val="18"/>
              </w:rPr>
              <w:t>100</w:t>
            </w:r>
          </w:p>
        </w:tc>
        <w:tc>
          <w:tcPr>
            <w:tcW w:w="452" w:type="pct"/>
            <w:vAlign w:val="center"/>
          </w:tcPr>
          <w:p w14:paraId="4BD87426">
            <w:pPr>
              <w:ind w:firstLine="0" w:firstLineChars="0"/>
              <w:jc w:val="center"/>
              <w:rPr>
                <w:rFonts w:ascii="宋体" w:hAnsi="宋体"/>
                <w:sz w:val="18"/>
                <w:szCs w:val="18"/>
              </w:rPr>
            </w:pPr>
            <w:r>
              <w:rPr>
                <w:rFonts w:hint="eastAsia" w:ascii="宋体" w:hAnsi="宋体"/>
                <w:sz w:val="18"/>
                <w:szCs w:val="18"/>
              </w:rPr>
              <w:t>4956017</w:t>
            </w:r>
          </w:p>
        </w:tc>
        <w:tc>
          <w:tcPr>
            <w:tcW w:w="333" w:type="pct"/>
            <w:vAlign w:val="center"/>
          </w:tcPr>
          <w:p w14:paraId="0ABF6FAC">
            <w:pPr>
              <w:ind w:firstLine="0" w:firstLineChars="0"/>
              <w:jc w:val="center"/>
              <w:rPr>
                <w:rFonts w:ascii="宋体" w:hAnsi="宋体"/>
                <w:sz w:val="18"/>
                <w:szCs w:val="18"/>
              </w:rPr>
            </w:pPr>
            <w:r>
              <w:rPr>
                <w:rFonts w:hint="eastAsia" w:ascii="宋体" w:hAnsi="宋体"/>
                <w:sz w:val="18"/>
                <w:szCs w:val="18"/>
              </w:rPr>
              <w:t>136.7</w:t>
            </w:r>
          </w:p>
        </w:tc>
        <w:tc>
          <w:tcPr>
            <w:tcW w:w="335" w:type="pct"/>
            <w:vAlign w:val="center"/>
          </w:tcPr>
          <w:p w14:paraId="57FF8FAA">
            <w:pPr>
              <w:ind w:firstLine="0" w:firstLineChars="0"/>
              <w:jc w:val="center"/>
              <w:rPr>
                <w:rFonts w:ascii="宋体" w:hAnsi="宋体"/>
                <w:sz w:val="18"/>
                <w:szCs w:val="18"/>
              </w:rPr>
            </w:pPr>
            <w:r>
              <w:rPr>
                <w:rFonts w:hint="eastAsia" w:ascii="宋体" w:hAnsi="宋体"/>
                <w:sz w:val="18"/>
                <w:szCs w:val="18"/>
              </w:rPr>
              <w:t>100</w:t>
            </w:r>
          </w:p>
        </w:tc>
        <w:tc>
          <w:tcPr>
            <w:tcW w:w="309" w:type="pct"/>
            <w:vAlign w:val="center"/>
          </w:tcPr>
          <w:p w14:paraId="02AA79C8">
            <w:pPr>
              <w:ind w:firstLine="0" w:firstLineChars="0"/>
              <w:jc w:val="center"/>
              <w:rPr>
                <w:rFonts w:ascii="宋体" w:hAnsi="宋体"/>
                <w:sz w:val="18"/>
                <w:szCs w:val="18"/>
              </w:rPr>
            </w:pPr>
            <w:r>
              <w:rPr>
                <w:rFonts w:hint="eastAsia" w:ascii="宋体" w:hAnsi="宋体"/>
                <w:sz w:val="18"/>
                <w:szCs w:val="18"/>
              </w:rPr>
              <w:t>192</w:t>
            </w:r>
          </w:p>
        </w:tc>
        <w:tc>
          <w:tcPr>
            <w:tcW w:w="333" w:type="pct"/>
            <w:vAlign w:val="center"/>
          </w:tcPr>
          <w:p w14:paraId="49263F6F">
            <w:pPr>
              <w:ind w:firstLine="0" w:firstLineChars="0"/>
              <w:jc w:val="center"/>
              <w:rPr>
                <w:rFonts w:ascii="宋体" w:hAnsi="宋体"/>
                <w:sz w:val="18"/>
                <w:szCs w:val="18"/>
              </w:rPr>
            </w:pPr>
            <w:r>
              <w:rPr>
                <w:rFonts w:hint="eastAsia" w:ascii="宋体" w:hAnsi="宋体"/>
                <w:sz w:val="18"/>
                <w:szCs w:val="18"/>
              </w:rPr>
              <w:t>265.6</w:t>
            </w:r>
          </w:p>
        </w:tc>
        <w:tc>
          <w:tcPr>
            <w:tcW w:w="310" w:type="pct"/>
            <w:vAlign w:val="center"/>
          </w:tcPr>
          <w:p w14:paraId="3FAFEB9B">
            <w:pPr>
              <w:ind w:firstLine="0" w:firstLineChars="0"/>
              <w:jc w:val="center"/>
              <w:rPr>
                <w:rFonts w:ascii="宋体" w:hAnsi="宋体"/>
                <w:sz w:val="18"/>
                <w:szCs w:val="18"/>
              </w:rPr>
            </w:pPr>
            <w:r>
              <w:rPr>
                <w:rFonts w:hint="eastAsia" w:ascii="宋体" w:hAnsi="宋体"/>
                <w:sz w:val="18"/>
                <w:szCs w:val="18"/>
              </w:rPr>
              <w:t>2115</w:t>
            </w:r>
          </w:p>
        </w:tc>
        <w:tc>
          <w:tcPr>
            <w:tcW w:w="403" w:type="pct"/>
            <w:vAlign w:val="center"/>
          </w:tcPr>
          <w:p w14:paraId="37373AD9">
            <w:pPr>
              <w:ind w:firstLine="0" w:firstLineChars="0"/>
              <w:jc w:val="center"/>
              <w:rPr>
                <w:rFonts w:ascii="宋体" w:hAnsi="宋体"/>
                <w:sz w:val="18"/>
                <w:szCs w:val="18"/>
              </w:rPr>
            </w:pPr>
            <w:r>
              <w:rPr>
                <w:rFonts w:hint="eastAsia" w:ascii="宋体" w:hAnsi="宋体"/>
                <w:sz w:val="18"/>
                <w:szCs w:val="18"/>
              </w:rPr>
              <w:t>107420</w:t>
            </w:r>
          </w:p>
        </w:tc>
      </w:tr>
      <w:tr w14:paraId="10BD03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2" w:type="pct"/>
            <w:vAlign w:val="center"/>
          </w:tcPr>
          <w:p w14:paraId="01B4346E">
            <w:pPr>
              <w:ind w:firstLine="0" w:firstLineChars="0"/>
              <w:jc w:val="center"/>
              <w:rPr>
                <w:rFonts w:ascii="宋体" w:hAnsi="宋体"/>
                <w:sz w:val="18"/>
                <w:szCs w:val="18"/>
              </w:rPr>
            </w:pPr>
            <w:r>
              <w:rPr>
                <w:rFonts w:hint="eastAsia" w:ascii="宋体" w:hAnsi="宋体"/>
                <w:sz w:val="18"/>
                <w:szCs w:val="18"/>
              </w:rPr>
              <w:t>杉  木</w:t>
            </w:r>
          </w:p>
        </w:tc>
        <w:tc>
          <w:tcPr>
            <w:tcW w:w="414" w:type="pct"/>
            <w:vAlign w:val="center"/>
          </w:tcPr>
          <w:p w14:paraId="27E76558">
            <w:pPr>
              <w:ind w:firstLine="0" w:firstLineChars="0"/>
              <w:jc w:val="center"/>
              <w:rPr>
                <w:rFonts w:ascii="宋体" w:hAnsi="宋体"/>
                <w:sz w:val="18"/>
                <w:szCs w:val="18"/>
              </w:rPr>
            </w:pPr>
            <w:r>
              <w:rPr>
                <w:rFonts w:hint="eastAsia" w:ascii="宋体" w:hAnsi="宋体"/>
                <w:sz w:val="18"/>
                <w:szCs w:val="18"/>
              </w:rPr>
              <w:t>19017.2</w:t>
            </w:r>
          </w:p>
        </w:tc>
        <w:tc>
          <w:tcPr>
            <w:tcW w:w="403" w:type="pct"/>
            <w:vAlign w:val="center"/>
          </w:tcPr>
          <w:p w14:paraId="32A7A2D1">
            <w:pPr>
              <w:ind w:firstLine="0" w:firstLineChars="0"/>
              <w:jc w:val="center"/>
              <w:rPr>
                <w:rFonts w:ascii="宋体" w:hAnsi="宋体"/>
                <w:sz w:val="18"/>
                <w:szCs w:val="18"/>
              </w:rPr>
            </w:pPr>
            <w:r>
              <w:rPr>
                <w:rFonts w:hint="eastAsia" w:ascii="宋体" w:hAnsi="宋体"/>
                <w:sz w:val="18"/>
                <w:szCs w:val="18"/>
              </w:rPr>
              <w:t>23.1</w:t>
            </w:r>
          </w:p>
        </w:tc>
        <w:tc>
          <w:tcPr>
            <w:tcW w:w="452" w:type="pct"/>
            <w:vAlign w:val="center"/>
          </w:tcPr>
          <w:p w14:paraId="392D7E7D">
            <w:pPr>
              <w:ind w:firstLine="0" w:firstLineChars="0"/>
              <w:jc w:val="center"/>
              <w:rPr>
                <w:rFonts w:ascii="宋体" w:hAnsi="宋体"/>
                <w:sz w:val="18"/>
                <w:szCs w:val="18"/>
              </w:rPr>
            </w:pPr>
            <w:r>
              <w:rPr>
                <w:rFonts w:hint="eastAsia" w:ascii="宋体" w:hAnsi="宋体"/>
                <w:sz w:val="18"/>
                <w:szCs w:val="18"/>
              </w:rPr>
              <w:t>1131390</w:t>
            </w:r>
          </w:p>
        </w:tc>
        <w:tc>
          <w:tcPr>
            <w:tcW w:w="427" w:type="pct"/>
            <w:vAlign w:val="center"/>
          </w:tcPr>
          <w:p w14:paraId="268A5839">
            <w:pPr>
              <w:ind w:firstLine="0" w:firstLineChars="0"/>
              <w:jc w:val="center"/>
              <w:rPr>
                <w:rFonts w:ascii="宋体" w:hAnsi="宋体"/>
                <w:sz w:val="18"/>
                <w:szCs w:val="18"/>
              </w:rPr>
            </w:pPr>
            <w:r>
              <w:rPr>
                <w:rFonts w:hint="eastAsia" w:ascii="宋体" w:hAnsi="宋体"/>
                <w:sz w:val="18"/>
                <w:szCs w:val="18"/>
              </w:rPr>
              <w:t>18971.4</w:t>
            </w:r>
          </w:p>
        </w:tc>
        <w:tc>
          <w:tcPr>
            <w:tcW w:w="387" w:type="pct"/>
            <w:vAlign w:val="center"/>
          </w:tcPr>
          <w:p w14:paraId="24E78787">
            <w:pPr>
              <w:ind w:firstLine="0" w:firstLineChars="0"/>
              <w:jc w:val="center"/>
              <w:rPr>
                <w:rFonts w:ascii="宋体" w:hAnsi="宋体"/>
                <w:sz w:val="18"/>
                <w:szCs w:val="18"/>
              </w:rPr>
            </w:pPr>
            <w:r>
              <w:rPr>
                <w:rFonts w:hint="eastAsia" w:ascii="宋体" w:hAnsi="宋体"/>
                <w:sz w:val="18"/>
                <w:szCs w:val="18"/>
              </w:rPr>
              <w:t>23.1</w:t>
            </w:r>
          </w:p>
        </w:tc>
        <w:tc>
          <w:tcPr>
            <w:tcW w:w="452" w:type="pct"/>
            <w:vAlign w:val="center"/>
          </w:tcPr>
          <w:p w14:paraId="61213786">
            <w:pPr>
              <w:ind w:firstLine="0" w:firstLineChars="0"/>
              <w:jc w:val="center"/>
              <w:rPr>
                <w:rFonts w:ascii="宋体" w:hAnsi="宋体"/>
                <w:sz w:val="18"/>
                <w:szCs w:val="18"/>
              </w:rPr>
            </w:pPr>
            <w:r>
              <w:rPr>
                <w:rFonts w:hint="eastAsia" w:ascii="宋体" w:hAnsi="宋体"/>
                <w:sz w:val="18"/>
                <w:szCs w:val="18"/>
              </w:rPr>
              <w:t>1131073</w:t>
            </w:r>
          </w:p>
        </w:tc>
        <w:tc>
          <w:tcPr>
            <w:tcW w:w="333" w:type="pct"/>
            <w:vAlign w:val="center"/>
          </w:tcPr>
          <w:p w14:paraId="049195F2">
            <w:pPr>
              <w:ind w:firstLine="0" w:firstLineChars="0"/>
              <w:jc w:val="center"/>
              <w:rPr>
                <w:rFonts w:ascii="宋体" w:hAnsi="宋体"/>
                <w:sz w:val="18"/>
                <w:szCs w:val="18"/>
              </w:rPr>
            </w:pPr>
            <w:r>
              <w:rPr>
                <w:rFonts w:hint="eastAsia" w:ascii="宋体" w:hAnsi="宋体"/>
                <w:sz w:val="18"/>
                <w:szCs w:val="18"/>
              </w:rPr>
              <w:t>—</w:t>
            </w:r>
          </w:p>
        </w:tc>
        <w:tc>
          <w:tcPr>
            <w:tcW w:w="335" w:type="pct"/>
            <w:vAlign w:val="center"/>
          </w:tcPr>
          <w:p w14:paraId="01D38266">
            <w:pPr>
              <w:ind w:firstLine="0" w:firstLineChars="0"/>
              <w:jc w:val="center"/>
              <w:rPr>
                <w:rFonts w:ascii="宋体" w:hAnsi="宋体"/>
                <w:sz w:val="18"/>
                <w:szCs w:val="18"/>
              </w:rPr>
            </w:pPr>
            <w:r>
              <w:rPr>
                <w:rFonts w:hint="eastAsia" w:ascii="宋体" w:hAnsi="宋体"/>
                <w:sz w:val="18"/>
                <w:szCs w:val="18"/>
              </w:rPr>
              <w:t>—</w:t>
            </w:r>
          </w:p>
        </w:tc>
        <w:tc>
          <w:tcPr>
            <w:tcW w:w="309" w:type="pct"/>
            <w:vAlign w:val="center"/>
          </w:tcPr>
          <w:p w14:paraId="2540C42D">
            <w:pPr>
              <w:ind w:firstLine="0" w:firstLineChars="0"/>
              <w:jc w:val="center"/>
              <w:rPr>
                <w:rFonts w:ascii="宋体" w:hAnsi="宋体"/>
                <w:sz w:val="18"/>
                <w:szCs w:val="18"/>
              </w:rPr>
            </w:pPr>
            <w:r>
              <w:rPr>
                <w:rFonts w:hint="eastAsia" w:ascii="宋体" w:hAnsi="宋体"/>
                <w:sz w:val="18"/>
                <w:szCs w:val="18"/>
              </w:rPr>
              <w:t>—</w:t>
            </w:r>
          </w:p>
        </w:tc>
        <w:tc>
          <w:tcPr>
            <w:tcW w:w="333" w:type="pct"/>
            <w:vAlign w:val="center"/>
          </w:tcPr>
          <w:p w14:paraId="1F415C53">
            <w:pPr>
              <w:ind w:firstLine="0" w:firstLineChars="0"/>
              <w:jc w:val="center"/>
              <w:rPr>
                <w:rFonts w:ascii="宋体" w:hAnsi="宋体"/>
                <w:sz w:val="18"/>
                <w:szCs w:val="18"/>
              </w:rPr>
            </w:pPr>
            <w:r>
              <w:rPr>
                <w:rFonts w:hint="eastAsia" w:ascii="宋体" w:hAnsi="宋体"/>
                <w:sz w:val="18"/>
                <w:szCs w:val="18"/>
              </w:rPr>
              <w:t>45.8</w:t>
            </w:r>
          </w:p>
        </w:tc>
        <w:tc>
          <w:tcPr>
            <w:tcW w:w="310" w:type="pct"/>
            <w:vAlign w:val="center"/>
          </w:tcPr>
          <w:p w14:paraId="50C31760">
            <w:pPr>
              <w:ind w:firstLine="0" w:firstLineChars="0"/>
              <w:jc w:val="center"/>
              <w:rPr>
                <w:rFonts w:ascii="宋体" w:hAnsi="宋体"/>
                <w:sz w:val="18"/>
                <w:szCs w:val="18"/>
              </w:rPr>
            </w:pPr>
            <w:r>
              <w:rPr>
                <w:rFonts w:hint="eastAsia" w:ascii="宋体" w:hAnsi="宋体"/>
                <w:sz w:val="18"/>
                <w:szCs w:val="18"/>
              </w:rPr>
              <w:t>317</w:t>
            </w:r>
          </w:p>
        </w:tc>
        <w:tc>
          <w:tcPr>
            <w:tcW w:w="403" w:type="pct"/>
            <w:vAlign w:val="center"/>
          </w:tcPr>
          <w:p w14:paraId="112D39FA">
            <w:pPr>
              <w:ind w:firstLine="0" w:firstLineChars="0"/>
              <w:jc w:val="center"/>
              <w:rPr>
                <w:rFonts w:ascii="宋体" w:hAnsi="宋体"/>
                <w:sz w:val="18"/>
                <w:szCs w:val="18"/>
              </w:rPr>
            </w:pPr>
          </w:p>
        </w:tc>
      </w:tr>
      <w:tr w14:paraId="6B64D9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2" w:type="pct"/>
            <w:vAlign w:val="center"/>
          </w:tcPr>
          <w:p w14:paraId="093BADEB">
            <w:pPr>
              <w:ind w:firstLine="0" w:firstLineChars="0"/>
              <w:jc w:val="center"/>
              <w:rPr>
                <w:rFonts w:ascii="宋体" w:hAnsi="宋体"/>
                <w:sz w:val="18"/>
                <w:szCs w:val="18"/>
              </w:rPr>
            </w:pPr>
            <w:r>
              <w:rPr>
                <w:rFonts w:hint="eastAsia" w:ascii="宋体" w:hAnsi="宋体"/>
                <w:sz w:val="18"/>
                <w:szCs w:val="18"/>
              </w:rPr>
              <w:t>马尾松</w:t>
            </w:r>
          </w:p>
        </w:tc>
        <w:tc>
          <w:tcPr>
            <w:tcW w:w="414" w:type="pct"/>
            <w:vAlign w:val="center"/>
          </w:tcPr>
          <w:p w14:paraId="07344FC6">
            <w:pPr>
              <w:ind w:firstLine="0" w:firstLineChars="0"/>
              <w:jc w:val="center"/>
              <w:rPr>
                <w:rFonts w:ascii="宋体" w:hAnsi="宋体"/>
                <w:sz w:val="18"/>
                <w:szCs w:val="18"/>
              </w:rPr>
            </w:pPr>
            <w:r>
              <w:rPr>
                <w:rFonts w:hint="eastAsia" w:ascii="宋体" w:hAnsi="宋体"/>
                <w:sz w:val="18"/>
                <w:szCs w:val="18"/>
              </w:rPr>
              <w:t>28132.4</w:t>
            </w:r>
          </w:p>
        </w:tc>
        <w:tc>
          <w:tcPr>
            <w:tcW w:w="403" w:type="pct"/>
            <w:vAlign w:val="center"/>
          </w:tcPr>
          <w:p w14:paraId="676D1554">
            <w:pPr>
              <w:ind w:firstLine="0" w:firstLineChars="0"/>
              <w:jc w:val="center"/>
              <w:rPr>
                <w:rFonts w:ascii="宋体" w:hAnsi="宋体"/>
                <w:sz w:val="18"/>
                <w:szCs w:val="18"/>
              </w:rPr>
            </w:pPr>
            <w:r>
              <w:rPr>
                <w:rFonts w:hint="eastAsia" w:ascii="宋体" w:hAnsi="宋体"/>
                <w:sz w:val="18"/>
                <w:szCs w:val="18"/>
              </w:rPr>
              <w:t>34.1</w:t>
            </w:r>
          </w:p>
        </w:tc>
        <w:tc>
          <w:tcPr>
            <w:tcW w:w="452" w:type="pct"/>
            <w:vAlign w:val="center"/>
          </w:tcPr>
          <w:p w14:paraId="04B04BF4">
            <w:pPr>
              <w:ind w:firstLine="0" w:firstLineChars="0"/>
              <w:jc w:val="center"/>
              <w:rPr>
                <w:rFonts w:ascii="宋体" w:hAnsi="宋体"/>
                <w:sz w:val="18"/>
                <w:szCs w:val="18"/>
              </w:rPr>
            </w:pPr>
            <w:r>
              <w:rPr>
                <w:rFonts w:hint="eastAsia" w:ascii="宋体" w:hAnsi="宋体"/>
                <w:sz w:val="18"/>
                <w:szCs w:val="18"/>
              </w:rPr>
              <w:t>1572918</w:t>
            </w:r>
          </w:p>
        </w:tc>
        <w:tc>
          <w:tcPr>
            <w:tcW w:w="427" w:type="pct"/>
            <w:vAlign w:val="center"/>
          </w:tcPr>
          <w:p w14:paraId="347EB593">
            <w:pPr>
              <w:ind w:firstLine="0" w:firstLineChars="0"/>
              <w:jc w:val="center"/>
              <w:rPr>
                <w:rFonts w:ascii="宋体" w:hAnsi="宋体"/>
                <w:sz w:val="18"/>
                <w:szCs w:val="18"/>
              </w:rPr>
            </w:pPr>
            <w:r>
              <w:rPr>
                <w:rFonts w:hint="eastAsia" w:ascii="宋体" w:hAnsi="宋体"/>
                <w:sz w:val="18"/>
                <w:szCs w:val="18"/>
              </w:rPr>
              <w:t>27972</w:t>
            </w:r>
          </w:p>
        </w:tc>
        <w:tc>
          <w:tcPr>
            <w:tcW w:w="387" w:type="pct"/>
            <w:vAlign w:val="center"/>
          </w:tcPr>
          <w:p w14:paraId="13155940">
            <w:pPr>
              <w:ind w:firstLine="0" w:firstLineChars="0"/>
              <w:jc w:val="center"/>
              <w:rPr>
                <w:rFonts w:ascii="宋体" w:hAnsi="宋体"/>
                <w:sz w:val="18"/>
                <w:szCs w:val="18"/>
              </w:rPr>
            </w:pPr>
            <w:r>
              <w:rPr>
                <w:rFonts w:hint="eastAsia" w:ascii="宋体" w:hAnsi="宋体"/>
                <w:sz w:val="18"/>
                <w:szCs w:val="18"/>
              </w:rPr>
              <w:t>34.1</w:t>
            </w:r>
          </w:p>
        </w:tc>
        <w:tc>
          <w:tcPr>
            <w:tcW w:w="452" w:type="pct"/>
            <w:vAlign w:val="center"/>
          </w:tcPr>
          <w:p w14:paraId="6B4CEA9F">
            <w:pPr>
              <w:ind w:firstLine="0" w:firstLineChars="0"/>
              <w:jc w:val="center"/>
              <w:rPr>
                <w:rFonts w:ascii="宋体" w:hAnsi="宋体"/>
                <w:sz w:val="18"/>
                <w:szCs w:val="18"/>
              </w:rPr>
            </w:pPr>
            <w:r>
              <w:rPr>
                <w:rFonts w:hint="eastAsia" w:ascii="宋体" w:hAnsi="宋体"/>
                <w:sz w:val="18"/>
                <w:szCs w:val="18"/>
              </w:rPr>
              <w:t>1571641</w:t>
            </w:r>
          </w:p>
        </w:tc>
        <w:tc>
          <w:tcPr>
            <w:tcW w:w="333" w:type="pct"/>
            <w:vAlign w:val="center"/>
          </w:tcPr>
          <w:p w14:paraId="7E857EC7">
            <w:pPr>
              <w:ind w:firstLine="0" w:firstLineChars="0"/>
              <w:jc w:val="center"/>
              <w:rPr>
                <w:rFonts w:ascii="宋体" w:hAnsi="宋体"/>
                <w:sz w:val="18"/>
                <w:szCs w:val="18"/>
              </w:rPr>
            </w:pPr>
            <w:r>
              <w:rPr>
                <w:rFonts w:hint="eastAsia" w:ascii="宋体" w:hAnsi="宋体"/>
                <w:sz w:val="18"/>
                <w:szCs w:val="18"/>
              </w:rPr>
              <w:t>—</w:t>
            </w:r>
          </w:p>
        </w:tc>
        <w:tc>
          <w:tcPr>
            <w:tcW w:w="335" w:type="pct"/>
            <w:vAlign w:val="center"/>
          </w:tcPr>
          <w:p w14:paraId="408B051B">
            <w:pPr>
              <w:ind w:firstLine="0" w:firstLineChars="0"/>
              <w:jc w:val="center"/>
              <w:rPr>
                <w:rFonts w:ascii="宋体" w:hAnsi="宋体"/>
                <w:sz w:val="18"/>
                <w:szCs w:val="18"/>
              </w:rPr>
            </w:pPr>
            <w:r>
              <w:rPr>
                <w:rFonts w:hint="eastAsia" w:ascii="宋体" w:hAnsi="宋体"/>
                <w:sz w:val="18"/>
                <w:szCs w:val="18"/>
              </w:rPr>
              <w:t>—</w:t>
            </w:r>
          </w:p>
        </w:tc>
        <w:tc>
          <w:tcPr>
            <w:tcW w:w="309" w:type="pct"/>
            <w:vAlign w:val="center"/>
          </w:tcPr>
          <w:p w14:paraId="7C2AAB71">
            <w:pPr>
              <w:ind w:firstLine="0" w:firstLineChars="0"/>
              <w:jc w:val="center"/>
              <w:rPr>
                <w:rFonts w:ascii="宋体" w:hAnsi="宋体"/>
                <w:sz w:val="18"/>
                <w:szCs w:val="18"/>
              </w:rPr>
            </w:pPr>
            <w:r>
              <w:rPr>
                <w:rFonts w:hint="eastAsia" w:ascii="宋体" w:hAnsi="宋体"/>
                <w:sz w:val="18"/>
                <w:szCs w:val="18"/>
              </w:rPr>
              <w:t>—</w:t>
            </w:r>
          </w:p>
        </w:tc>
        <w:tc>
          <w:tcPr>
            <w:tcW w:w="333" w:type="pct"/>
            <w:vAlign w:val="center"/>
          </w:tcPr>
          <w:p w14:paraId="5FFB813E">
            <w:pPr>
              <w:ind w:firstLine="0" w:firstLineChars="0"/>
              <w:jc w:val="center"/>
              <w:rPr>
                <w:rFonts w:ascii="宋体" w:hAnsi="宋体"/>
                <w:sz w:val="18"/>
                <w:szCs w:val="18"/>
              </w:rPr>
            </w:pPr>
            <w:r>
              <w:rPr>
                <w:rFonts w:hint="eastAsia" w:ascii="宋体" w:hAnsi="宋体"/>
                <w:sz w:val="18"/>
                <w:szCs w:val="18"/>
              </w:rPr>
              <w:t>160.4</w:t>
            </w:r>
          </w:p>
        </w:tc>
        <w:tc>
          <w:tcPr>
            <w:tcW w:w="310" w:type="pct"/>
            <w:vAlign w:val="center"/>
          </w:tcPr>
          <w:p w14:paraId="6A157F79">
            <w:pPr>
              <w:ind w:firstLine="0" w:firstLineChars="0"/>
              <w:jc w:val="center"/>
              <w:rPr>
                <w:rFonts w:ascii="宋体" w:hAnsi="宋体"/>
                <w:sz w:val="18"/>
                <w:szCs w:val="18"/>
              </w:rPr>
            </w:pPr>
            <w:r>
              <w:rPr>
                <w:rFonts w:hint="eastAsia" w:ascii="宋体" w:hAnsi="宋体"/>
                <w:sz w:val="18"/>
                <w:szCs w:val="18"/>
              </w:rPr>
              <w:t>1277</w:t>
            </w:r>
          </w:p>
        </w:tc>
        <w:tc>
          <w:tcPr>
            <w:tcW w:w="403" w:type="pct"/>
            <w:vAlign w:val="center"/>
          </w:tcPr>
          <w:p w14:paraId="770F91DF">
            <w:pPr>
              <w:ind w:firstLine="0" w:firstLineChars="0"/>
              <w:jc w:val="center"/>
              <w:rPr>
                <w:rFonts w:ascii="宋体" w:hAnsi="宋体"/>
                <w:sz w:val="18"/>
                <w:szCs w:val="18"/>
              </w:rPr>
            </w:pPr>
          </w:p>
        </w:tc>
      </w:tr>
      <w:tr w14:paraId="47A277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2" w:type="pct"/>
            <w:vAlign w:val="center"/>
          </w:tcPr>
          <w:p w14:paraId="256B08A0">
            <w:pPr>
              <w:ind w:firstLine="0" w:firstLineChars="0"/>
              <w:jc w:val="center"/>
              <w:rPr>
                <w:rFonts w:ascii="宋体" w:hAnsi="宋体"/>
                <w:sz w:val="18"/>
                <w:szCs w:val="18"/>
              </w:rPr>
            </w:pPr>
            <w:r>
              <w:rPr>
                <w:rFonts w:hint="eastAsia" w:ascii="宋体" w:hAnsi="宋体"/>
                <w:sz w:val="18"/>
                <w:szCs w:val="18"/>
              </w:rPr>
              <w:t>湿地松</w:t>
            </w:r>
          </w:p>
        </w:tc>
        <w:tc>
          <w:tcPr>
            <w:tcW w:w="414" w:type="pct"/>
            <w:vAlign w:val="center"/>
          </w:tcPr>
          <w:p w14:paraId="29903A3B">
            <w:pPr>
              <w:ind w:firstLine="0" w:firstLineChars="0"/>
              <w:jc w:val="center"/>
              <w:rPr>
                <w:rFonts w:ascii="宋体" w:hAnsi="宋体"/>
                <w:sz w:val="18"/>
                <w:szCs w:val="18"/>
              </w:rPr>
            </w:pPr>
            <w:r>
              <w:rPr>
                <w:rFonts w:hint="eastAsia" w:ascii="宋体" w:hAnsi="宋体"/>
                <w:sz w:val="18"/>
                <w:szCs w:val="18"/>
              </w:rPr>
              <w:t>215.2</w:t>
            </w:r>
          </w:p>
        </w:tc>
        <w:tc>
          <w:tcPr>
            <w:tcW w:w="403" w:type="pct"/>
            <w:vAlign w:val="center"/>
          </w:tcPr>
          <w:p w14:paraId="60DDC8B4">
            <w:pPr>
              <w:ind w:firstLine="0" w:firstLineChars="0"/>
              <w:jc w:val="center"/>
              <w:rPr>
                <w:rFonts w:ascii="宋体" w:hAnsi="宋体"/>
                <w:sz w:val="18"/>
                <w:szCs w:val="18"/>
              </w:rPr>
            </w:pPr>
            <w:r>
              <w:rPr>
                <w:rFonts w:hint="eastAsia" w:ascii="宋体" w:hAnsi="宋体"/>
                <w:sz w:val="18"/>
                <w:szCs w:val="18"/>
              </w:rPr>
              <w:t>0.3</w:t>
            </w:r>
          </w:p>
        </w:tc>
        <w:tc>
          <w:tcPr>
            <w:tcW w:w="452" w:type="pct"/>
            <w:vAlign w:val="center"/>
          </w:tcPr>
          <w:p w14:paraId="2A8265B7">
            <w:pPr>
              <w:ind w:firstLine="0" w:firstLineChars="0"/>
              <w:jc w:val="center"/>
              <w:rPr>
                <w:rFonts w:ascii="宋体" w:hAnsi="宋体"/>
                <w:sz w:val="18"/>
                <w:szCs w:val="18"/>
              </w:rPr>
            </w:pPr>
            <w:r>
              <w:rPr>
                <w:rFonts w:hint="eastAsia" w:ascii="宋体" w:hAnsi="宋体"/>
                <w:sz w:val="18"/>
                <w:szCs w:val="18"/>
              </w:rPr>
              <w:t>13948</w:t>
            </w:r>
          </w:p>
        </w:tc>
        <w:tc>
          <w:tcPr>
            <w:tcW w:w="427" w:type="pct"/>
            <w:vAlign w:val="center"/>
          </w:tcPr>
          <w:p w14:paraId="56E335B1">
            <w:pPr>
              <w:ind w:firstLine="0" w:firstLineChars="0"/>
              <w:jc w:val="center"/>
              <w:rPr>
                <w:rFonts w:ascii="宋体" w:hAnsi="宋体"/>
                <w:sz w:val="18"/>
                <w:szCs w:val="18"/>
              </w:rPr>
            </w:pPr>
            <w:r>
              <w:rPr>
                <w:rFonts w:hint="eastAsia" w:ascii="宋体" w:hAnsi="宋体"/>
                <w:sz w:val="18"/>
                <w:szCs w:val="18"/>
              </w:rPr>
              <w:t>215.2</w:t>
            </w:r>
          </w:p>
        </w:tc>
        <w:tc>
          <w:tcPr>
            <w:tcW w:w="387" w:type="pct"/>
            <w:vAlign w:val="center"/>
          </w:tcPr>
          <w:p w14:paraId="618F36A3">
            <w:pPr>
              <w:ind w:firstLine="0" w:firstLineChars="0"/>
              <w:jc w:val="center"/>
              <w:rPr>
                <w:rFonts w:ascii="宋体" w:hAnsi="宋体"/>
                <w:sz w:val="18"/>
                <w:szCs w:val="18"/>
              </w:rPr>
            </w:pPr>
            <w:r>
              <w:rPr>
                <w:rFonts w:hint="eastAsia" w:ascii="宋体" w:hAnsi="宋体"/>
                <w:sz w:val="18"/>
                <w:szCs w:val="18"/>
              </w:rPr>
              <w:t>0.3</w:t>
            </w:r>
          </w:p>
        </w:tc>
        <w:tc>
          <w:tcPr>
            <w:tcW w:w="452" w:type="pct"/>
            <w:vAlign w:val="center"/>
          </w:tcPr>
          <w:p w14:paraId="06508D75">
            <w:pPr>
              <w:ind w:firstLine="0" w:firstLineChars="0"/>
              <w:jc w:val="center"/>
              <w:rPr>
                <w:rFonts w:ascii="宋体" w:hAnsi="宋体"/>
                <w:sz w:val="18"/>
                <w:szCs w:val="18"/>
              </w:rPr>
            </w:pPr>
            <w:r>
              <w:rPr>
                <w:rFonts w:hint="eastAsia" w:ascii="宋体" w:hAnsi="宋体"/>
                <w:sz w:val="18"/>
                <w:szCs w:val="18"/>
              </w:rPr>
              <w:t>13948</w:t>
            </w:r>
          </w:p>
        </w:tc>
        <w:tc>
          <w:tcPr>
            <w:tcW w:w="333" w:type="pct"/>
            <w:vAlign w:val="center"/>
          </w:tcPr>
          <w:p w14:paraId="6014C88B">
            <w:pPr>
              <w:ind w:firstLine="0" w:firstLineChars="0"/>
              <w:jc w:val="center"/>
              <w:rPr>
                <w:rFonts w:ascii="宋体" w:hAnsi="宋体"/>
                <w:sz w:val="18"/>
                <w:szCs w:val="18"/>
              </w:rPr>
            </w:pPr>
            <w:r>
              <w:rPr>
                <w:rFonts w:hint="eastAsia" w:ascii="宋体" w:hAnsi="宋体"/>
                <w:sz w:val="18"/>
                <w:szCs w:val="18"/>
              </w:rPr>
              <w:t>—</w:t>
            </w:r>
          </w:p>
        </w:tc>
        <w:tc>
          <w:tcPr>
            <w:tcW w:w="335" w:type="pct"/>
            <w:vAlign w:val="center"/>
          </w:tcPr>
          <w:p w14:paraId="28F11A32">
            <w:pPr>
              <w:ind w:firstLine="0" w:firstLineChars="0"/>
              <w:jc w:val="center"/>
              <w:rPr>
                <w:rFonts w:ascii="宋体" w:hAnsi="宋体"/>
                <w:sz w:val="18"/>
                <w:szCs w:val="18"/>
              </w:rPr>
            </w:pPr>
            <w:r>
              <w:rPr>
                <w:rFonts w:hint="eastAsia" w:ascii="宋体" w:hAnsi="宋体"/>
                <w:sz w:val="18"/>
                <w:szCs w:val="18"/>
              </w:rPr>
              <w:t>—</w:t>
            </w:r>
          </w:p>
        </w:tc>
        <w:tc>
          <w:tcPr>
            <w:tcW w:w="309" w:type="pct"/>
            <w:vAlign w:val="center"/>
          </w:tcPr>
          <w:p w14:paraId="7CCF5E46">
            <w:pPr>
              <w:ind w:firstLine="0" w:firstLineChars="0"/>
              <w:jc w:val="center"/>
              <w:rPr>
                <w:rFonts w:ascii="宋体" w:hAnsi="宋体"/>
                <w:sz w:val="18"/>
                <w:szCs w:val="18"/>
              </w:rPr>
            </w:pPr>
            <w:r>
              <w:rPr>
                <w:rFonts w:hint="eastAsia" w:ascii="宋体" w:hAnsi="宋体"/>
                <w:sz w:val="18"/>
                <w:szCs w:val="18"/>
              </w:rPr>
              <w:t>—</w:t>
            </w:r>
          </w:p>
        </w:tc>
        <w:tc>
          <w:tcPr>
            <w:tcW w:w="333" w:type="pct"/>
            <w:vAlign w:val="center"/>
          </w:tcPr>
          <w:p w14:paraId="377DC750">
            <w:pPr>
              <w:ind w:firstLine="0" w:firstLineChars="0"/>
              <w:jc w:val="center"/>
              <w:rPr>
                <w:rFonts w:ascii="宋体" w:hAnsi="宋体"/>
                <w:sz w:val="18"/>
                <w:szCs w:val="18"/>
              </w:rPr>
            </w:pPr>
            <w:r>
              <w:rPr>
                <w:rFonts w:hint="eastAsia" w:ascii="宋体" w:hAnsi="宋体"/>
                <w:sz w:val="18"/>
                <w:szCs w:val="18"/>
              </w:rPr>
              <w:t>—</w:t>
            </w:r>
          </w:p>
        </w:tc>
        <w:tc>
          <w:tcPr>
            <w:tcW w:w="310" w:type="pct"/>
            <w:vAlign w:val="center"/>
          </w:tcPr>
          <w:p w14:paraId="7B2C40CE">
            <w:pPr>
              <w:ind w:firstLine="0" w:firstLineChars="0"/>
              <w:jc w:val="center"/>
              <w:rPr>
                <w:rFonts w:ascii="宋体" w:hAnsi="宋体"/>
                <w:sz w:val="18"/>
                <w:szCs w:val="18"/>
              </w:rPr>
            </w:pPr>
            <w:r>
              <w:rPr>
                <w:rFonts w:hint="eastAsia" w:ascii="宋体" w:hAnsi="宋体"/>
                <w:sz w:val="18"/>
                <w:szCs w:val="18"/>
              </w:rPr>
              <w:t>—</w:t>
            </w:r>
          </w:p>
        </w:tc>
        <w:tc>
          <w:tcPr>
            <w:tcW w:w="403" w:type="pct"/>
            <w:vAlign w:val="center"/>
          </w:tcPr>
          <w:p w14:paraId="08DB291F">
            <w:pPr>
              <w:ind w:firstLine="0" w:firstLineChars="0"/>
              <w:jc w:val="center"/>
              <w:rPr>
                <w:rFonts w:ascii="宋体" w:hAnsi="宋体"/>
                <w:sz w:val="18"/>
                <w:szCs w:val="18"/>
              </w:rPr>
            </w:pPr>
            <w:r>
              <w:rPr>
                <w:rFonts w:hint="eastAsia" w:ascii="宋体" w:hAnsi="宋体"/>
                <w:sz w:val="18"/>
                <w:szCs w:val="18"/>
              </w:rPr>
              <w:t>—</w:t>
            </w:r>
          </w:p>
        </w:tc>
      </w:tr>
      <w:tr w14:paraId="63D97FC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2" w:type="pct"/>
            <w:vAlign w:val="center"/>
          </w:tcPr>
          <w:p w14:paraId="493F51CF">
            <w:pPr>
              <w:ind w:firstLine="0" w:firstLineChars="0"/>
              <w:jc w:val="center"/>
              <w:rPr>
                <w:rFonts w:ascii="宋体" w:hAnsi="宋体"/>
                <w:sz w:val="18"/>
                <w:szCs w:val="18"/>
              </w:rPr>
            </w:pPr>
            <w:r>
              <w:rPr>
                <w:rFonts w:hint="eastAsia" w:ascii="宋体" w:hAnsi="宋体"/>
                <w:sz w:val="18"/>
                <w:szCs w:val="18"/>
              </w:rPr>
              <w:t>国外松</w:t>
            </w:r>
          </w:p>
        </w:tc>
        <w:tc>
          <w:tcPr>
            <w:tcW w:w="414" w:type="pct"/>
            <w:vAlign w:val="center"/>
          </w:tcPr>
          <w:p w14:paraId="5A7F4CB8">
            <w:pPr>
              <w:ind w:firstLine="0" w:firstLineChars="0"/>
              <w:jc w:val="center"/>
              <w:rPr>
                <w:rFonts w:ascii="宋体" w:hAnsi="宋体"/>
                <w:sz w:val="18"/>
                <w:szCs w:val="18"/>
              </w:rPr>
            </w:pPr>
            <w:r>
              <w:rPr>
                <w:rFonts w:hint="eastAsia" w:ascii="宋体" w:hAnsi="宋体"/>
                <w:sz w:val="18"/>
                <w:szCs w:val="18"/>
              </w:rPr>
              <w:t>188.8</w:t>
            </w:r>
          </w:p>
        </w:tc>
        <w:tc>
          <w:tcPr>
            <w:tcW w:w="403" w:type="pct"/>
            <w:vAlign w:val="center"/>
          </w:tcPr>
          <w:p w14:paraId="03EF7827">
            <w:pPr>
              <w:ind w:firstLine="0" w:firstLineChars="0"/>
              <w:jc w:val="center"/>
              <w:rPr>
                <w:rFonts w:ascii="宋体" w:hAnsi="宋体"/>
                <w:sz w:val="18"/>
                <w:szCs w:val="18"/>
              </w:rPr>
            </w:pPr>
            <w:r>
              <w:rPr>
                <w:rFonts w:hint="eastAsia" w:ascii="宋体" w:hAnsi="宋体"/>
                <w:sz w:val="18"/>
                <w:szCs w:val="18"/>
              </w:rPr>
              <w:t>0.2</w:t>
            </w:r>
          </w:p>
        </w:tc>
        <w:tc>
          <w:tcPr>
            <w:tcW w:w="452" w:type="pct"/>
            <w:vAlign w:val="center"/>
          </w:tcPr>
          <w:p w14:paraId="36D3728C">
            <w:pPr>
              <w:ind w:firstLine="0" w:firstLineChars="0"/>
              <w:jc w:val="center"/>
              <w:rPr>
                <w:rFonts w:ascii="宋体" w:hAnsi="宋体"/>
                <w:sz w:val="18"/>
                <w:szCs w:val="18"/>
              </w:rPr>
            </w:pPr>
            <w:r>
              <w:rPr>
                <w:rFonts w:hint="eastAsia" w:ascii="宋体" w:hAnsi="宋体"/>
                <w:sz w:val="18"/>
                <w:szCs w:val="18"/>
              </w:rPr>
              <w:t>12993</w:t>
            </w:r>
          </w:p>
        </w:tc>
        <w:tc>
          <w:tcPr>
            <w:tcW w:w="427" w:type="pct"/>
            <w:vAlign w:val="center"/>
          </w:tcPr>
          <w:p w14:paraId="226A3954">
            <w:pPr>
              <w:ind w:firstLine="0" w:firstLineChars="0"/>
              <w:jc w:val="center"/>
              <w:rPr>
                <w:rFonts w:ascii="宋体" w:hAnsi="宋体"/>
                <w:sz w:val="18"/>
                <w:szCs w:val="18"/>
              </w:rPr>
            </w:pPr>
            <w:r>
              <w:rPr>
                <w:rFonts w:hint="eastAsia" w:ascii="宋体" w:hAnsi="宋体"/>
                <w:sz w:val="18"/>
                <w:szCs w:val="18"/>
              </w:rPr>
              <w:t>188.8</w:t>
            </w:r>
          </w:p>
        </w:tc>
        <w:tc>
          <w:tcPr>
            <w:tcW w:w="387" w:type="pct"/>
            <w:vAlign w:val="center"/>
          </w:tcPr>
          <w:p w14:paraId="52FD4024">
            <w:pPr>
              <w:ind w:firstLine="0" w:firstLineChars="0"/>
              <w:jc w:val="center"/>
              <w:rPr>
                <w:rFonts w:ascii="宋体" w:hAnsi="宋体"/>
                <w:sz w:val="18"/>
                <w:szCs w:val="18"/>
              </w:rPr>
            </w:pPr>
            <w:r>
              <w:rPr>
                <w:rFonts w:hint="eastAsia" w:ascii="宋体" w:hAnsi="宋体"/>
                <w:sz w:val="18"/>
                <w:szCs w:val="18"/>
              </w:rPr>
              <w:t>0.2</w:t>
            </w:r>
          </w:p>
        </w:tc>
        <w:tc>
          <w:tcPr>
            <w:tcW w:w="452" w:type="pct"/>
            <w:vAlign w:val="center"/>
          </w:tcPr>
          <w:p w14:paraId="395E88ED">
            <w:pPr>
              <w:ind w:firstLine="0" w:firstLineChars="0"/>
              <w:jc w:val="center"/>
              <w:rPr>
                <w:rFonts w:ascii="宋体" w:hAnsi="宋体"/>
                <w:sz w:val="18"/>
                <w:szCs w:val="18"/>
              </w:rPr>
            </w:pPr>
            <w:r>
              <w:rPr>
                <w:rFonts w:hint="eastAsia" w:ascii="宋体" w:hAnsi="宋体"/>
                <w:sz w:val="18"/>
                <w:szCs w:val="18"/>
              </w:rPr>
              <w:t>12993</w:t>
            </w:r>
          </w:p>
        </w:tc>
        <w:tc>
          <w:tcPr>
            <w:tcW w:w="333" w:type="pct"/>
            <w:vAlign w:val="center"/>
          </w:tcPr>
          <w:p w14:paraId="673C3740">
            <w:pPr>
              <w:ind w:firstLine="0" w:firstLineChars="0"/>
              <w:jc w:val="center"/>
              <w:rPr>
                <w:rFonts w:ascii="宋体" w:hAnsi="宋体"/>
                <w:sz w:val="18"/>
                <w:szCs w:val="18"/>
              </w:rPr>
            </w:pPr>
            <w:r>
              <w:rPr>
                <w:rFonts w:hint="eastAsia" w:ascii="宋体" w:hAnsi="宋体"/>
                <w:sz w:val="18"/>
                <w:szCs w:val="18"/>
              </w:rPr>
              <w:t>—</w:t>
            </w:r>
          </w:p>
        </w:tc>
        <w:tc>
          <w:tcPr>
            <w:tcW w:w="335" w:type="pct"/>
            <w:vAlign w:val="center"/>
          </w:tcPr>
          <w:p w14:paraId="04CC5594">
            <w:pPr>
              <w:ind w:firstLine="0" w:firstLineChars="0"/>
              <w:jc w:val="center"/>
              <w:rPr>
                <w:rFonts w:ascii="宋体" w:hAnsi="宋体"/>
                <w:sz w:val="18"/>
                <w:szCs w:val="18"/>
              </w:rPr>
            </w:pPr>
            <w:r>
              <w:rPr>
                <w:rFonts w:hint="eastAsia" w:ascii="宋体" w:hAnsi="宋体"/>
                <w:sz w:val="18"/>
                <w:szCs w:val="18"/>
              </w:rPr>
              <w:t>—</w:t>
            </w:r>
          </w:p>
        </w:tc>
        <w:tc>
          <w:tcPr>
            <w:tcW w:w="309" w:type="pct"/>
            <w:vAlign w:val="center"/>
          </w:tcPr>
          <w:p w14:paraId="792186BA">
            <w:pPr>
              <w:ind w:firstLine="0" w:firstLineChars="0"/>
              <w:jc w:val="center"/>
              <w:rPr>
                <w:rFonts w:ascii="宋体" w:hAnsi="宋体"/>
                <w:sz w:val="18"/>
                <w:szCs w:val="18"/>
              </w:rPr>
            </w:pPr>
            <w:r>
              <w:rPr>
                <w:rFonts w:hint="eastAsia" w:ascii="宋体" w:hAnsi="宋体"/>
                <w:sz w:val="18"/>
                <w:szCs w:val="18"/>
              </w:rPr>
              <w:t>—</w:t>
            </w:r>
          </w:p>
        </w:tc>
        <w:tc>
          <w:tcPr>
            <w:tcW w:w="333" w:type="pct"/>
            <w:vAlign w:val="center"/>
          </w:tcPr>
          <w:p w14:paraId="6A9C6B05">
            <w:pPr>
              <w:ind w:firstLine="0" w:firstLineChars="0"/>
              <w:jc w:val="center"/>
              <w:rPr>
                <w:rFonts w:ascii="宋体" w:hAnsi="宋体"/>
                <w:sz w:val="18"/>
                <w:szCs w:val="18"/>
              </w:rPr>
            </w:pPr>
            <w:r>
              <w:rPr>
                <w:rFonts w:hint="eastAsia" w:ascii="宋体" w:hAnsi="宋体"/>
                <w:sz w:val="18"/>
                <w:szCs w:val="18"/>
              </w:rPr>
              <w:t>—</w:t>
            </w:r>
          </w:p>
        </w:tc>
        <w:tc>
          <w:tcPr>
            <w:tcW w:w="310" w:type="pct"/>
            <w:vAlign w:val="center"/>
          </w:tcPr>
          <w:p w14:paraId="05E2A5E1">
            <w:pPr>
              <w:ind w:firstLine="0" w:firstLineChars="0"/>
              <w:jc w:val="center"/>
              <w:rPr>
                <w:rFonts w:ascii="宋体" w:hAnsi="宋体"/>
                <w:sz w:val="18"/>
                <w:szCs w:val="18"/>
              </w:rPr>
            </w:pPr>
            <w:r>
              <w:rPr>
                <w:rFonts w:hint="eastAsia" w:ascii="宋体" w:hAnsi="宋体"/>
                <w:sz w:val="18"/>
                <w:szCs w:val="18"/>
              </w:rPr>
              <w:t>—</w:t>
            </w:r>
          </w:p>
        </w:tc>
        <w:tc>
          <w:tcPr>
            <w:tcW w:w="403" w:type="pct"/>
            <w:vAlign w:val="center"/>
          </w:tcPr>
          <w:p w14:paraId="6F485954">
            <w:pPr>
              <w:ind w:firstLine="0" w:firstLineChars="0"/>
              <w:jc w:val="center"/>
              <w:rPr>
                <w:rFonts w:ascii="宋体" w:hAnsi="宋体"/>
                <w:sz w:val="18"/>
                <w:szCs w:val="18"/>
              </w:rPr>
            </w:pPr>
            <w:r>
              <w:rPr>
                <w:rFonts w:hint="eastAsia" w:ascii="宋体" w:hAnsi="宋体"/>
                <w:sz w:val="18"/>
                <w:szCs w:val="18"/>
              </w:rPr>
              <w:t>—</w:t>
            </w:r>
          </w:p>
        </w:tc>
      </w:tr>
      <w:tr w14:paraId="10427B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2" w:type="pct"/>
            <w:vAlign w:val="center"/>
          </w:tcPr>
          <w:p w14:paraId="67B375F5">
            <w:pPr>
              <w:ind w:firstLine="0" w:firstLineChars="0"/>
              <w:jc w:val="center"/>
              <w:rPr>
                <w:rFonts w:ascii="宋体" w:hAnsi="宋体"/>
                <w:sz w:val="18"/>
                <w:szCs w:val="18"/>
              </w:rPr>
            </w:pPr>
            <w:r>
              <w:rPr>
                <w:rFonts w:hint="eastAsia" w:ascii="宋体" w:hAnsi="宋体"/>
                <w:sz w:val="18"/>
                <w:szCs w:val="18"/>
              </w:rPr>
              <w:t>桉  树</w:t>
            </w:r>
          </w:p>
        </w:tc>
        <w:tc>
          <w:tcPr>
            <w:tcW w:w="414" w:type="pct"/>
            <w:vAlign w:val="center"/>
          </w:tcPr>
          <w:p w14:paraId="4EE04449">
            <w:pPr>
              <w:ind w:firstLine="0" w:firstLineChars="0"/>
              <w:jc w:val="center"/>
              <w:rPr>
                <w:rFonts w:ascii="宋体" w:hAnsi="宋体"/>
                <w:sz w:val="18"/>
                <w:szCs w:val="18"/>
              </w:rPr>
            </w:pPr>
            <w:r>
              <w:rPr>
                <w:rFonts w:hint="eastAsia" w:ascii="宋体" w:hAnsi="宋体"/>
                <w:sz w:val="18"/>
                <w:szCs w:val="18"/>
              </w:rPr>
              <w:t>4.3</w:t>
            </w:r>
          </w:p>
        </w:tc>
        <w:tc>
          <w:tcPr>
            <w:tcW w:w="403" w:type="pct"/>
            <w:vAlign w:val="center"/>
          </w:tcPr>
          <w:p w14:paraId="32082BEC">
            <w:pPr>
              <w:ind w:firstLine="0" w:firstLineChars="0"/>
              <w:jc w:val="center"/>
              <w:rPr>
                <w:rFonts w:ascii="宋体" w:hAnsi="宋体"/>
                <w:sz w:val="18"/>
                <w:szCs w:val="18"/>
              </w:rPr>
            </w:pPr>
            <w:r>
              <w:rPr>
                <w:rFonts w:hint="eastAsia" w:ascii="宋体" w:hAnsi="宋体"/>
                <w:sz w:val="18"/>
                <w:szCs w:val="18"/>
              </w:rPr>
              <w:t>—</w:t>
            </w:r>
          </w:p>
        </w:tc>
        <w:tc>
          <w:tcPr>
            <w:tcW w:w="452" w:type="pct"/>
            <w:vAlign w:val="center"/>
          </w:tcPr>
          <w:p w14:paraId="498E2236">
            <w:pPr>
              <w:ind w:firstLine="0" w:firstLineChars="0"/>
              <w:jc w:val="center"/>
              <w:rPr>
                <w:rFonts w:ascii="宋体" w:hAnsi="宋体"/>
                <w:sz w:val="18"/>
                <w:szCs w:val="18"/>
              </w:rPr>
            </w:pPr>
            <w:r>
              <w:rPr>
                <w:rFonts w:hint="eastAsia" w:ascii="宋体" w:hAnsi="宋体"/>
                <w:sz w:val="18"/>
                <w:szCs w:val="18"/>
              </w:rPr>
              <w:t>396</w:t>
            </w:r>
          </w:p>
        </w:tc>
        <w:tc>
          <w:tcPr>
            <w:tcW w:w="427" w:type="pct"/>
            <w:vAlign w:val="center"/>
          </w:tcPr>
          <w:p w14:paraId="4503650F">
            <w:pPr>
              <w:ind w:firstLine="0" w:firstLineChars="0"/>
              <w:jc w:val="center"/>
              <w:rPr>
                <w:rFonts w:ascii="宋体" w:hAnsi="宋体"/>
                <w:sz w:val="18"/>
                <w:szCs w:val="18"/>
              </w:rPr>
            </w:pPr>
            <w:r>
              <w:rPr>
                <w:rFonts w:hint="eastAsia" w:ascii="宋体" w:hAnsi="宋体"/>
                <w:sz w:val="18"/>
                <w:szCs w:val="18"/>
              </w:rPr>
              <w:t>4.3</w:t>
            </w:r>
          </w:p>
        </w:tc>
        <w:tc>
          <w:tcPr>
            <w:tcW w:w="387" w:type="pct"/>
            <w:vAlign w:val="center"/>
          </w:tcPr>
          <w:p w14:paraId="3B90133D">
            <w:pPr>
              <w:ind w:firstLine="0" w:firstLineChars="0"/>
              <w:jc w:val="center"/>
              <w:rPr>
                <w:rFonts w:ascii="宋体" w:hAnsi="宋体"/>
                <w:sz w:val="18"/>
                <w:szCs w:val="18"/>
              </w:rPr>
            </w:pPr>
            <w:r>
              <w:rPr>
                <w:rFonts w:hint="eastAsia" w:ascii="宋体" w:hAnsi="宋体"/>
                <w:sz w:val="18"/>
                <w:szCs w:val="18"/>
              </w:rPr>
              <w:t>—</w:t>
            </w:r>
          </w:p>
        </w:tc>
        <w:tc>
          <w:tcPr>
            <w:tcW w:w="452" w:type="pct"/>
            <w:vAlign w:val="center"/>
          </w:tcPr>
          <w:p w14:paraId="34BDD6D3">
            <w:pPr>
              <w:ind w:firstLine="0" w:firstLineChars="0"/>
              <w:jc w:val="center"/>
              <w:rPr>
                <w:rFonts w:ascii="宋体" w:hAnsi="宋体"/>
                <w:sz w:val="18"/>
                <w:szCs w:val="18"/>
              </w:rPr>
            </w:pPr>
            <w:r>
              <w:rPr>
                <w:rFonts w:hint="eastAsia" w:ascii="宋体" w:hAnsi="宋体"/>
                <w:sz w:val="18"/>
                <w:szCs w:val="18"/>
              </w:rPr>
              <w:t>396</w:t>
            </w:r>
          </w:p>
        </w:tc>
        <w:tc>
          <w:tcPr>
            <w:tcW w:w="333" w:type="pct"/>
            <w:vAlign w:val="center"/>
          </w:tcPr>
          <w:p w14:paraId="3538167E">
            <w:pPr>
              <w:ind w:firstLine="0" w:firstLineChars="0"/>
              <w:jc w:val="center"/>
              <w:rPr>
                <w:rFonts w:ascii="宋体" w:hAnsi="宋体"/>
                <w:sz w:val="18"/>
                <w:szCs w:val="18"/>
              </w:rPr>
            </w:pPr>
            <w:r>
              <w:rPr>
                <w:rFonts w:hint="eastAsia" w:ascii="宋体" w:hAnsi="宋体"/>
                <w:sz w:val="18"/>
                <w:szCs w:val="18"/>
              </w:rPr>
              <w:t>—</w:t>
            </w:r>
          </w:p>
        </w:tc>
        <w:tc>
          <w:tcPr>
            <w:tcW w:w="335" w:type="pct"/>
            <w:vAlign w:val="center"/>
          </w:tcPr>
          <w:p w14:paraId="1E1FDEB6">
            <w:pPr>
              <w:ind w:firstLine="0" w:firstLineChars="0"/>
              <w:jc w:val="center"/>
              <w:rPr>
                <w:rFonts w:ascii="宋体" w:hAnsi="宋体"/>
                <w:sz w:val="18"/>
                <w:szCs w:val="18"/>
              </w:rPr>
            </w:pPr>
            <w:r>
              <w:rPr>
                <w:rFonts w:hint="eastAsia" w:ascii="宋体" w:hAnsi="宋体"/>
                <w:sz w:val="18"/>
                <w:szCs w:val="18"/>
              </w:rPr>
              <w:t>—</w:t>
            </w:r>
          </w:p>
        </w:tc>
        <w:tc>
          <w:tcPr>
            <w:tcW w:w="309" w:type="pct"/>
            <w:vAlign w:val="center"/>
          </w:tcPr>
          <w:p w14:paraId="47C520CC">
            <w:pPr>
              <w:ind w:firstLine="0" w:firstLineChars="0"/>
              <w:jc w:val="center"/>
              <w:rPr>
                <w:rFonts w:ascii="宋体" w:hAnsi="宋体"/>
                <w:sz w:val="18"/>
                <w:szCs w:val="18"/>
              </w:rPr>
            </w:pPr>
            <w:r>
              <w:rPr>
                <w:rFonts w:hint="eastAsia" w:ascii="宋体" w:hAnsi="宋体"/>
                <w:sz w:val="18"/>
                <w:szCs w:val="18"/>
              </w:rPr>
              <w:t>—</w:t>
            </w:r>
          </w:p>
        </w:tc>
        <w:tc>
          <w:tcPr>
            <w:tcW w:w="333" w:type="pct"/>
            <w:vAlign w:val="center"/>
          </w:tcPr>
          <w:p w14:paraId="70EEC58E">
            <w:pPr>
              <w:ind w:firstLine="0" w:firstLineChars="0"/>
              <w:jc w:val="center"/>
              <w:rPr>
                <w:rFonts w:ascii="宋体" w:hAnsi="宋体"/>
                <w:sz w:val="18"/>
                <w:szCs w:val="18"/>
              </w:rPr>
            </w:pPr>
            <w:r>
              <w:rPr>
                <w:rFonts w:hint="eastAsia" w:ascii="宋体" w:hAnsi="宋体"/>
                <w:sz w:val="18"/>
                <w:szCs w:val="18"/>
              </w:rPr>
              <w:t>—</w:t>
            </w:r>
          </w:p>
        </w:tc>
        <w:tc>
          <w:tcPr>
            <w:tcW w:w="310" w:type="pct"/>
            <w:vAlign w:val="center"/>
          </w:tcPr>
          <w:p w14:paraId="018CE6DD">
            <w:pPr>
              <w:ind w:firstLine="0" w:firstLineChars="0"/>
              <w:jc w:val="center"/>
              <w:rPr>
                <w:rFonts w:ascii="宋体" w:hAnsi="宋体"/>
                <w:sz w:val="18"/>
                <w:szCs w:val="18"/>
              </w:rPr>
            </w:pPr>
            <w:r>
              <w:rPr>
                <w:rFonts w:hint="eastAsia" w:ascii="宋体" w:hAnsi="宋体"/>
                <w:sz w:val="18"/>
                <w:szCs w:val="18"/>
              </w:rPr>
              <w:t>—</w:t>
            </w:r>
          </w:p>
        </w:tc>
        <w:tc>
          <w:tcPr>
            <w:tcW w:w="403" w:type="pct"/>
            <w:vAlign w:val="center"/>
          </w:tcPr>
          <w:p w14:paraId="697C9CFF">
            <w:pPr>
              <w:ind w:firstLine="0" w:firstLineChars="0"/>
              <w:jc w:val="center"/>
              <w:rPr>
                <w:rFonts w:ascii="宋体" w:hAnsi="宋体"/>
                <w:sz w:val="18"/>
                <w:szCs w:val="18"/>
              </w:rPr>
            </w:pPr>
            <w:r>
              <w:rPr>
                <w:rFonts w:hint="eastAsia" w:ascii="宋体" w:hAnsi="宋体"/>
                <w:sz w:val="18"/>
                <w:szCs w:val="18"/>
              </w:rPr>
              <w:t>—</w:t>
            </w:r>
          </w:p>
        </w:tc>
      </w:tr>
      <w:tr w14:paraId="601FB2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2" w:type="pct"/>
            <w:vAlign w:val="center"/>
          </w:tcPr>
          <w:p w14:paraId="1DCDFF01">
            <w:pPr>
              <w:ind w:firstLine="0" w:firstLineChars="0"/>
              <w:jc w:val="center"/>
              <w:rPr>
                <w:rFonts w:ascii="宋体" w:hAnsi="宋体"/>
                <w:sz w:val="18"/>
                <w:szCs w:val="18"/>
              </w:rPr>
            </w:pPr>
            <w:r>
              <w:rPr>
                <w:rFonts w:hint="eastAsia" w:ascii="宋体" w:hAnsi="宋体"/>
                <w:sz w:val="18"/>
                <w:szCs w:val="18"/>
              </w:rPr>
              <w:t>荷  木</w:t>
            </w:r>
          </w:p>
        </w:tc>
        <w:tc>
          <w:tcPr>
            <w:tcW w:w="414" w:type="pct"/>
            <w:vAlign w:val="center"/>
          </w:tcPr>
          <w:p w14:paraId="7ECCF277">
            <w:pPr>
              <w:ind w:firstLine="0" w:firstLineChars="0"/>
              <w:jc w:val="center"/>
              <w:rPr>
                <w:rFonts w:ascii="宋体" w:hAnsi="宋体"/>
                <w:sz w:val="18"/>
                <w:szCs w:val="18"/>
              </w:rPr>
            </w:pPr>
            <w:r>
              <w:rPr>
                <w:rFonts w:hint="eastAsia" w:ascii="宋体" w:hAnsi="宋体"/>
                <w:sz w:val="18"/>
                <w:szCs w:val="18"/>
              </w:rPr>
              <w:t>36.3</w:t>
            </w:r>
          </w:p>
        </w:tc>
        <w:tc>
          <w:tcPr>
            <w:tcW w:w="403" w:type="pct"/>
            <w:vAlign w:val="center"/>
          </w:tcPr>
          <w:p w14:paraId="76948D97">
            <w:pPr>
              <w:ind w:firstLine="0" w:firstLineChars="0"/>
              <w:jc w:val="center"/>
              <w:rPr>
                <w:rFonts w:ascii="宋体" w:hAnsi="宋体"/>
                <w:sz w:val="18"/>
                <w:szCs w:val="18"/>
              </w:rPr>
            </w:pPr>
            <w:r>
              <w:rPr>
                <w:rFonts w:hint="eastAsia" w:ascii="宋体" w:hAnsi="宋体"/>
                <w:sz w:val="18"/>
                <w:szCs w:val="18"/>
              </w:rPr>
              <w:t>0.04</w:t>
            </w:r>
          </w:p>
        </w:tc>
        <w:tc>
          <w:tcPr>
            <w:tcW w:w="452" w:type="pct"/>
            <w:vAlign w:val="center"/>
          </w:tcPr>
          <w:p w14:paraId="34EB6322">
            <w:pPr>
              <w:ind w:firstLine="0" w:firstLineChars="0"/>
              <w:jc w:val="center"/>
              <w:rPr>
                <w:rFonts w:ascii="宋体" w:hAnsi="宋体"/>
                <w:sz w:val="18"/>
                <w:szCs w:val="18"/>
              </w:rPr>
            </w:pPr>
            <w:r>
              <w:rPr>
                <w:rFonts w:hint="eastAsia" w:ascii="宋体" w:hAnsi="宋体"/>
                <w:sz w:val="18"/>
                <w:szCs w:val="18"/>
              </w:rPr>
              <w:t>3893</w:t>
            </w:r>
          </w:p>
        </w:tc>
        <w:tc>
          <w:tcPr>
            <w:tcW w:w="427" w:type="pct"/>
            <w:vAlign w:val="center"/>
          </w:tcPr>
          <w:p w14:paraId="50448850">
            <w:pPr>
              <w:ind w:firstLine="0" w:firstLineChars="0"/>
              <w:jc w:val="center"/>
              <w:rPr>
                <w:rFonts w:ascii="宋体" w:hAnsi="宋体"/>
                <w:sz w:val="18"/>
                <w:szCs w:val="18"/>
              </w:rPr>
            </w:pPr>
            <w:r>
              <w:rPr>
                <w:rFonts w:hint="eastAsia" w:ascii="宋体" w:hAnsi="宋体"/>
                <w:sz w:val="18"/>
                <w:szCs w:val="18"/>
              </w:rPr>
              <w:t>36.3</w:t>
            </w:r>
          </w:p>
        </w:tc>
        <w:tc>
          <w:tcPr>
            <w:tcW w:w="387" w:type="pct"/>
            <w:vAlign w:val="center"/>
          </w:tcPr>
          <w:p w14:paraId="7568EB0F">
            <w:pPr>
              <w:ind w:firstLine="0" w:firstLineChars="0"/>
              <w:jc w:val="center"/>
              <w:rPr>
                <w:rFonts w:ascii="宋体" w:hAnsi="宋体"/>
                <w:sz w:val="18"/>
                <w:szCs w:val="18"/>
              </w:rPr>
            </w:pPr>
            <w:r>
              <w:rPr>
                <w:rFonts w:hint="eastAsia" w:ascii="宋体" w:hAnsi="宋体"/>
                <w:sz w:val="18"/>
                <w:szCs w:val="18"/>
              </w:rPr>
              <w:t>0.04</w:t>
            </w:r>
          </w:p>
        </w:tc>
        <w:tc>
          <w:tcPr>
            <w:tcW w:w="452" w:type="pct"/>
            <w:vAlign w:val="center"/>
          </w:tcPr>
          <w:p w14:paraId="6547C457">
            <w:pPr>
              <w:ind w:firstLine="0" w:firstLineChars="0"/>
              <w:jc w:val="center"/>
              <w:rPr>
                <w:rFonts w:ascii="宋体" w:hAnsi="宋体"/>
                <w:sz w:val="18"/>
                <w:szCs w:val="18"/>
              </w:rPr>
            </w:pPr>
            <w:r>
              <w:rPr>
                <w:rFonts w:hint="eastAsia" w:ascii="宋体" w:hAnsi="宋体"/>
                <w:sz w:val="18"/>
                <w:szCs w:val="18"/>
              </w:rPr>
              <w:t>3893</w:t>
            </w:r>
          </w:p>
        </w:tc>
        <w:tc>
          <w:tcPr>
            <w:tcW w:w="333" w:type="pct"/>
            <w:vAlign w:val="center"/>
          </w:tcPr>
          <w:p w14:paraId="121524B2">
            <w:pPr>
              <w:ind w:firstLine="0" w:firstLineChars="0"/>
              <w:jc w:val="center"/>
              <w:rPr>
                <w:rFonts w:ascii="宋体" w:hAnsi="宋体"/>
                <w:sz w:val="18"/>
                <w:szCs w:val="18"/>
              </w:rPr>
            </w:pPr>
            <w:r>
              <w:rPr>
                <w:rFonts w:hint="eastAsia" w:ascii="宋体" w:hAnsi="宋体"/>
                <w:sz w:val="18"/>
                <w:szCs w:val="18"/>
              </w:rPr>
              <w:t>—</w:t>
            </w:r>
          </w:p>
        </w:tc>
        <w:tc>
          <w:tcPr>
            <w:tcW w:w="335" w:type="pct"/>
            <w:vAlign w:val="center"/>
          </w:tcPr>
          <w:p w14:paraId="71894B59">
            <w:pPr>
              <w:ind w:firstLine="0" w:firstLineChars="0"/>
              <w:jc w:val="center"/>
              <w:rPr>
                <w:rFonts w:ascii="宋体" w:hAnsi="宋体"/>
                <w:sz w:val="18"/>
                <w:szCs w:val="18"/>
              </w:rPr>
            </w:pPr>
            <w:r>
              <w:rPr>
                <w:rFonts w:hint="eastAsia" w:ascii="宋体" w:hAnsi="宋体"/>
                <w:sz w:val="18"/>
                <w:szCs w:val="18"/>
              </w:rPr>
              <w:t>—</w:t>
            </w:r>
          </w:p>
        </w:tc>
        <w:tc>
          <w:tcPr>
            <w:tcW w:w="309" w:type="pct"/>
            <w:vAlign w:val="center"/>
          </w:tcPr>
          <w:p w14:paraId="43CF418A">
            <w:pPr>
              <w:ind w:firstLine="0" w:firstLineChars="0"/>
              <w:jc w:val="center"/>
              <w:rPr>
                <w:rFonts w:ascii="宋体" w:hAnsi="宋体"/>
                <w:sz w:val="18"/>
                <w:szCs w:val="18"/>
              </w:rPr>
            </w:pPr>
            <w:r>
              <w:rPr>
                <w:rFonts w:hint="eastAsia" w:ascii="宋体" w:hAnsi="宋体"/>
                <w:sz w:val="18"/>
                <w:szCs w:val="18"/>
              </w:rPr>
              <w:t>—</w:t>
            </w:r>
          </w:p>
        </w:tc>
        <w:tc>
          <w:tcPr>
            <w:tcW w:w="333" w:type="pct"/>
            <w:vAlign w:val="center"/>
          </w:tcPr>
          <w:p w14:paraId="55FB619C">
            <w:pPr>
              <w:ind w:firstLine="0" w:firstLineChars="0"/>
              <w:jc w:val="center"/>
              <w:rPr>
                <w:rFonts w:ascii="宋体" w:hAnsi="宋体"/>
                <w:sz w:val="18"/>
                <w:szCs w:val="18"/>
              </w:rPr>
            </w:pPr>
            <w:r>
              <w:rPr>
                <w:rFonts w:hint="eastAsia" w:ascii="宋体" w:hAnsi="宋体"/>
                <w:sz w:val="18"/>
                <w:szCs w:val="18"/>
              </w:rPr>
              <w:t>—</w:t>
            </w:r>
          </w:p>
        </w:tc>
        <w:tc>
          <w:tcPr>
            <w:tcW w:w="310" w:type="pct"/>
            <w:vAlign w:val="center"/>
          </w:tcPr>
          <w:p w14:paraId="241CA81A">
            <w:pPr>
              <w:ind w:firstLine="0" w:firstLineChars="0"/>
              <w:jc w:val="center"/>
              <w:rPr>
                <w:rFonts w:ascii="宋体" w:hAnsi="宋体"/>
                <w:sz w:val="18"/>
                <w:szCs w:val="18"/>
              </w:rPr>
            </w:pPr>
            <w:r>
              <w:rPr>
                <w:rFonts w:hint="eastAsia" w:ascii="宋体" w:hAnsi="宋体"/>
                <w:sz w:val="18"/>
                <w:szCs w:val="18"/>
              </w:rPr>
              <w:t>—</w:t>
            </w:r>
          </w:p>
        </w:tc>
        <w:tc>
          <w:tcPr>
            <w:tcW w:w="403" w:type="pct"/>
            <w:vAlign w:val="center"/>
          </w:tcPr>
          <w:p w14:paraId="5B76541E">
            <w:pPr>
              <w:ind w:firstLine="0" w:firstLineChars="0"/>
              <w:jc w:val="center"/>
              <w:rPr>
                <w:rFonts w:ascii="宋体" w:hAnsi="宋体"/>
                <w:sz w:val="18"/>
                <w:szCs w:val="18"/>
              </w:rPr>
            </w:pPr>
            <w:r>
              <w:rPr>
                <w:rFonts w:hint="eastAsia" w:ascii="宋体" w:hAnsi="宋体"/>
                <w:sz w:val="18"/>
                <w:szCs w:val="18"/>
              </w:rPr>
              <w:t>—</w:t>
            </w:r>
          </w:p>
        </w:tc>
      </w:tr>
      <w:tr w14:paraId="08B685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2" w:type="pct"/>
            <w:vAlign w:val="center"/>
          </w:tcPr>
          <w:p w14:paraId="2173DCB2">
            <w:pPr>
              <w:ind w:firstLine="0" w:firstLineChars="0"/>
              <w:jc w:val="center"/>
              <w:rPr>
                <w:rFonts w:ascii="宋体" w:hAnsi="宋体"/>
                <w:sz w:val="18"/>
                <w:szCs w:val="18"/>
              </w:rPr>
            </w:pPr>
            <w:r>
              <w:rPr>
                <w:rFonts w:hint="eastAsia" w:ascii="宋体" w:hAnsi="宋体"/>
                <w:sz w:val="18"/>
                <w:szCs w:val="18"/>
              </w:rPr>
              <w:t>其  他</w:t>
            </w:r>
          </w:p>
          <w:p w14:paraId="40059C94">
            <w:pPr>
              <w:ind w:firstLine="0" w:firstLineChars="0"/>
              <w:jc w:val="center"/>
              <w:rPr>
                <w:rFonts w:ascii="宋体" w:hAnsi="宋体"/>
                <w:sz w:val="18"/>
                <w:szCs w:val="18"/>
              </w:rPr>
            </w:pPr>
            <w:r>
              <w:rPr>
                <w:rFonts w:hint="eastAsia" w:ascii="宋体" w:hAnsi="宋体"/>
                <w:sz w:val="18"/>
                <w:szCs w:val="18"/>
              </w:rPr>
              <w:t>软  阔</w:t>
            </w:r>
          </w:p>
        </w:tc>
        <w:tc>
          <w:tcPr>
            <w:tcW w:w="414" w:type="pct"/>
            <w:vAlign w:val="center"/>
          </w:tcPr>
          <w:p w14:paraId="14146B39">
            <w:pPr>
              <w:ind w:firstLine="0" w:firstLineChars="0"/>
              <w:jc w:val="center"/>
              <w:rPr>
                <w:rFonts w:ascii="宋体" w:hAnsi="宋体"/>
                <w:sz w:val="18"/>
                <w:szCs w:val="18"/>
              </w:rPr>
            </w:pPr>
            <w:r>
              <w:rPr>
                <w:rFonts w:hint="eastAsia" w:ascii="宋体" w:hAnsi="宋体"/>
                <w:sz w:val="18"/>
                <w:szCs w:val="18"/>
              </w:rPr>
              <w:t>4241.4</w:t>
            </w:r>
          </w:p>
        </w:tc>
        <w:tc>
          <w:tcPr>
            <w:tcW w:w="403" w:type="pct"/>
            <w:vAlign w:val="center"/>
          </w:tcPr>
          <w:p w14:paraId="5EECA538">
            <w:pPr>
              <w:ind w:firstLine="0" w:firstLineChars="0"/>
              <w:jc w:val="center"/>
              <w:rPr>
                <w:rFonts w:ascii="宋体" w:hAnsi="宋体"/>
                <w:sz w:val="18"/>
                <w:szCs w:val="18"/>
              </w:rPr>
            </w:pPr>
            <w:r>
              <w:rPr>
                <w:rFonts w:hint="eastAsia" w:ascii="宋体" w:hAnsi="宋体"/>
                <w:sz w:val="18"/>
                <w:szCs w:val="18"/>
              </w:rPr>
              <w:t>5.1</w:t>
            </w:r>
          </w:p>
        </w:tc>
        <w:tc>
          <w:tcPr>
            <w:tcW w:w="452" w:type="pct"/>
            <w:vAlign w:val="center"/>
          </w:tcPr>
          <w:p w14:paraId="7A45A4D9">
            <w:pPr>
              <w:ind w:firstLine="0" w:firstLineChars="0"/>
              <w:jc w:val="center"/>
              <w:rPr>
                <w:rFonts w:ascii="宋体" w:hAnsi="宋体"/>
                <w:sz w:val="18"/>
                <w:szCs w:val="18"/>
              </w:rPr>
            </w:pPr>
            <w:r>
              <w:rPr>
                <w:rFonts w:hint="eastAsia" w:ascii="宋体" w:hAnsi="宋体"/>
                <w:sz w:val="18"/>
                <w:szCs w:val="18"/>
              </w:rPr>
              <w:t>230096</w:t>
            </w:r>
          </w:p>
        </w:tc>
        <w:tc>
          <w:tcPr>
            <w:tcW w:w="427" w:type="pct"/>
            <w:vAlign w:val="center"/>
          </w:tcPr>
          <w:p w14:paraId="763C1861">
            <w:pPr>
              <w:ind w:firstLine="0" w:firstLineChars="0"/>
              <w:jc w:val="center"/>
              <w:rPr>
                <w:rFonts w:ascii="宋体" w:hAnsi="宋体"/>
                <w:sz w:val="18"/>
                <w:szCs w:val="18"/>
              </w:rPr>
            </w:pPr>
            <w:r>
              <w:rPr>
                <w:rFonts w:hint="eastAsia" w:ascii="宋体" w:hAnsi="宋体"/>
                <w:sz w:val="18"/>
                <w:szCs w:val="18"/>
              </w:rPr>
              <w:t>4239.7</w:t>
            </w:r>
          </w:p>
        </w:tc>
        <w:tc>
          <w:tcPr>
            <w:tcW w:w="387" w:type="pct"/>
            <w:vAlign w:val="center"/>
          </w:tcPr>
          <w:p w14:paraId="6CA6663C">
            <w:pPr>
              <w:ind w:firstLine="0" w:firstLineChars="0"/>
              <w:jc w:val="center"/>
              <w:rPr>
                <w:rFonts w:ascii="宋体" w:hAnsi="宋体"/>
                <w:sz w:val="18"/>
                <w:szCs w:val="18"/>
              </w:rPr>
            </w:pPr>
            <w:r>
              <w:rPr>
                <w:rFonts w:hint="eastAsia" w:ascii="宋体" w:hAnsi="宋体"/>
                <w:sz w:val="18"/>
                <w:szCs w:val="18"/>
              </w:rPr>
              <w:t>5.2</w:t>
            </w:r>
          </w:p>
        </w:tc>
        <w:tc>
          <w:tcPr>
            <w:tcW w:w="452" w:type="pct"/>
            <w:vAlign w:val="center"/>
          </w:tcPr>
          <w:p w14:paraId="72AE8451">
            <w:pPr>
              <w:ind w:firstLine="0" w:firstLineChars="0"/>
              <w:jc w:val="center"/>
              <w:rPr>
                <w:rFonts w:ascii="宋体" w:hAnsi="宋体"/>
                <w:sz w:val="18"/>
                <w:szCs w:val="18"/>
              </w:rPr>
            </w:pPr>
            <w:r>
              <w:rPr>
                <w:rFonts w:hint="eastAsia" w:ascii="宋体" w:hAnsi="宋体"/>
                <w:sz w:val="18"/>
                <w:szCs w:val="18"/>
              </w:rPr>
              <w:t>230080</w:t>
            </w:r>
          </w:p>
        </w:tc>
        <w:tc>
          <w:tcPr>
            <w:tcW w:w="333" w:type="pct"/>
            <w:vAlign w:val="center"/>
          </w:tcPr>
          <w:p w14:paraId="4DB1464E">
            <w:pPr>
              <w:ind w:firstLine="0" w:firstLineChars="0"/>
              <w:jc w:val="center"/>
              <w:rPr>
                <w:rFonts w:ascii="宋体" w:hAnsi="宋体"/>
                <w:sz w:val="18"/>
                <w:szCs w:val="18"/>
              </w:rPr>
            </w:pPr>
            <w:r>
              <w:rPr>
                <w:rFonts w:hint="eastAsia" w:ascii="宋体" w:hAnsi="宋体"/>
                <w:sz w:val="18"/>
                <w:szCs w:val="18"/>
              </w:rPr>
              <w:t>—</w:t>
            </w:r>
          </w:p>
        </w:tc>
        <w:tc>
          <w:tcPr>
            <w:tcW w:w="335" w:type="pct"/>
            <w:vAlign w:val="center"/>
          </w:tcPr>
          <w:p w14:paraId="1C45E395">
            <w:pPr>
              <w:ind w:firstLine="0" w:firstLineChars="0"/>
              <w:jc w:val="center"/>
              <w:rPr>
                <w:rFonts w:ascii="宋体" w:hAnsi="宋体"/>
                <w:sz w:val="18"/>
                <w:szCs w:val="18"/>
              </w:rPr>
            </w:pPr>
            <w:r>
              <w:rPr>
                <w:rFonts w:hint="eastAsia" w:ascii="宋体" w:hAnsi="宋体"/>
                <w:sz w:val="18"/>
                <w:szCs w:val="18"/>
              </w:rPr>
              <w:t>—</w:t>
            </w:r>
          </w:p>
        </w:tc>
        <w:tc>
          <w:tcPr>
            <w:tcW w:w="309" w:type="pct"/>
            <w:vAlign w:val="center"/>
          </w:tcPr>
          <w:p w14:paraId="5189A555">
            <w:pPr>
              <w:ind w:firstLine="0" w:firstLineChars="0"/>
              <w:jc w:val="center"/>
              <w:rPr>
                <w:rFonts w:ascii="宋体" w:hAnsi="宋体"/>
                <w:sz w:val="18"/>
                <w:szCs w:val="18"/>
              </w:rPr>
            </w:pPr>
            <w:r>
              <w:rPr>
                <w:rFonts w:hint="eastAsia" w:ascii="宋体" w:hAnsi="宋体"/>
                <w:sz w:val="18"/>
                <w:szCs w:val="18"/>
              </w:rPr>
              <w:t>—</w:t>
            </w:r>
          </w:p>
        </w:tc>
        <w:tc>
          <w:tcPr>
            <w:tcW w:w="333" w:type="pct"/>
            <w:vAlign w:val="center"/>
          </w:tcPr>
          <w:p w14:paraId="67C1C443">
            <w:pPr>
              <w:ind w:firstLine="0" w:firstLineChars="0"/>
              <w:jc w:val="center"/>
              <w:rPr>
                <w:rFonts w:ascii="宋体" w:hAnsi="宋体"/>
                <w:sz w:val="18"/>
                <w:szCs w:val="18"/>
              </w:rPr>
            </w:pPr>
            <w:r>
              <w:rPr>
                <w:rFonts w:hint="eastAsia" w:ascii="宋体" w:hAnsi="宋体"/>
                <w:sz w:val="18"/>
                <w:szCs w:val="18"/>
              </w:rPr>
              <w:t>1.7</w:t>
            </w:r>
          </w:p>
        </w:tc>
        <w:tc>
          <w:tcPr>
            <w:tcW w:w="310" w:type="pct"/>
            <w:vAlign w:val="center"/>
          </w:tcPr>
          <w:p w14:paraId="57B45AA5">
            <w:pPr>
              <w:ind w:firstLine="0" w:firstLineChars="0"/>
              <w:jc w:val="center"/>
              <w:rPr>
                <w:rFonts w:ascii="宋体" w:hAnsi="宋体"/>
                <w:sz w:val="18"/>
                <w:szCs w:val="18"/>
              </w:rPr>
            </w:pPr>
            <w:r>
              <w:rPr>
                <w:rFonts w:hint="eastAsia" w:ascii="宋体" w:hAnsi="宋体"/>
                <w:sz w:val="18"/>
                <w:szCs w:val="18"/>
              </w:rPr>
              <w:t>16</w:t>
            </w:r>
          </w:p>
        </w:tc>
        <w:tc>
          <w:tcPr>
            <w:tcW w:w="403" w:type="pct"/>
            <w:vAlign w:val="center"/>
          </w:tcPr>
          <w:p w14:paraId="0781147B">
            <w:pPr>
              <w:ind w:firstLine="0" w:firstLineChars="0"/>
              <w:jc w:val="center"/>
              <w:rPr>
                <w:rFonts w:ascii="宋体" w:hAnsi="宋体"/>
                <w:sz w:val="18"/>
                <w:szCs w:val="18"/>
              </w:rPr>
            </w:pPr>
          </w:p>
        </w:tc>
      </w:tr>
      <w:tr w14:paraId="4A211A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2" w:type="pct"/>
            <w:vAlign w:val="center"/>
          </w:tcPr>
          <w:p w14:paraId="4A830EE8">
            <w:pPr>
              <w:ind w:firstLine="0" w:firstLineChars="0"/>
              <w:jc w:val="center"/>
              <w:rPr>
                <w:rFonts w:ascii="宋体" w:hAnsi="宋体"/>
                <w:sz w:val="18"/>
                <w:szCs w:val="18"/>
              </w:rPr>
            </w:pPr>
            <w:r>
              <w:rPr>
                <w:rFonts w:hint="eastAsia" w:ascii="宋体" w:hAnsi="宋体"/>
                <w:sz w:val="18"/>
                <w:szCs w:val="18"/>
              </w:rPr>
              <w:t>其  他</w:t>
            </w:r>
          </w:p>
          <w:p w14:paraId="0A36A7F0">
            <w:pPr>
              <w:ind w:firstLine="0" w:firstLineChars="0"/>
              <w:jc w:val="center"/>
              <w:rPr>
                <w:rFonts w:ascii="宋体" w:hAnsi="宋体"/>
                <w:sz w:val="18"/>
                <w:szCs w:val="18"/>
              </w:rPr>
            </w:pPr>
            <w:r>
              <w:rPr>
                <w:rFonts w:hint="eastAsia" w:ascii="宋体" w:hAnsi="宋体"/>
                <w:sz w:val="18"/>
                <w:szCs w:val="18"/>
              </w:rPr>
              <w:t>硬  阔</w:t>
            </w:r>
          </w:p>
        </w:tc>
        <w:tc>
          <w:tcPr>
            <w:tcW w:w="414" w:type="pct"/>
            <w:vAlign w:val="center"/>
          </w:tcPr>
          <w:p w14:paraId="67D17F04">
            <w:pPr>
              <w:ind w:firstLine="0" w:firstLineChars="0"/>
              <w:jc w:val="center"/>
              <w:rPr>
                <w:rFonts w:ascii="宋体" w:hAnsi="宋体"/>
                <w:sz w:val="18"/>
                <w:szCs w:val="18"/>
              </w:rPr>
            </w:pPr>
            <w:r>
              <w:rPr>
                <w:rFonts w:hint="eastAsia" w:ascii="宋体" w:hAnsi="宋体"/>
                <w:sz w:val="18"/>
                <w:szCs w:val="18"/>
              </w:rPr>
              <w:t>9894.3</w:t>
            </w:r>
          </w:p>
        </w:tc>
        <w:tc>
          <w:tcPr>
            <w:tcW w:w="403" w:type="pct"/>
            <w:vAlign w:val="center"/>
          </w:tcPr>
          <w:p w14:paraId="467BEBCD">
            <w:pPr>
              <w:ind w:firstLine="0" w:firstLineChars="0"/>
              <w:jc w:val="center"/>
              <w:rPr>
                <w:rFonts w:ascii="宋体" w:hAnsi="宋体"/>
                <w:sz w:val="18"/>
                <w:szCs w:val="18"/>
              </w:rPr>
            </w:pPr>
            <w:r>
              <w:rPr>
                <w:rFonts w:hint="eastAsia" w:ascii="宋体" w:hAnsi="宋体"/>
                <w:sz w:val="18"/>
                <w:szCs w:val="18"/>
              </w:rPr>
              <w:t>12.0</w:t>
            </w:r>
          </w:p>
        </w:tc>
        <w:tc>
          <w:tcPr>
            <w:tcW w:w="452" w:type="pct"/>
            <w:vAlign w:val="center"/>
          </w:tcPr>
          <w:p w14:paraId="69860137">
            <w:pPr>
              <w:ind w:firstLine="0" w:firstLineChars="0"/>
              <w:jc w:val="center"/>
              <w:rPr>
                <w:rFonts w:ascii="宋体" w:hAnsi="宋体"/>
                <w:sz w:val="18"/>
                <w:szCs w:val="18"/>
              </w:rPr>
            </w:pPr>
            <w:r>
              <w:rPr>
                <w:rFonts w:hint="eastAsia" w:ascii="宋体" w:hAnsi="宋体"/>
                <w:sz w:val="18"/>
                <w:szCs w:val="18"/>
              </w:rPr>
              <w:t>653558</w:t>
            </w:r>
          </w:p>
        </w:tc>
        <w:tc>
          <w:tcPr>
            <w:tcW w:w="427" w:type="pct"/>
            <w:vAlign w:val="center"/>
          </w:tcPr>
          <w:p w14:paraId="7A5E08BB">
            <w:pPr>
              <w:ind w:firstLine="0" w:firstLineChars="0"/>
              <w:jc w:val="center"/>
              <w:rPr>
                <w:rFonts w:ascii="宋体" w:hAnsi="宋体"/>
                <w:sz w:val="18"/>
                <w:szCs w:val="18"/>
              </w:rPr>
            </w:pPr>
            <w:r>
              <w:rPr>
                <w:rFonts w:hint="eastAsia" w:ascii="宋体" w:hAnsi="宋体"/>
                <w:sz w:val="18"/>
                <w:szCs w:val="18"/>
              </w:rPr>
              <w:t>9894.3</w:t>
            </w:r>
          </w:p>
        </w:tc>
        <w:tc>
          <w:tcPr>
            <w:tcW w:w="387" w:type="pct"/>
            <w:vAlign w:val="center"/>
          </w:tcPr>
          <w:p w14:paraId="55D11FA2">
            <w:pPr>
              <w:ind w:firstLine="0" w:firstLineChars="0"/>
              <w:jc w:val="center"/>
              <w:rPr>
                <w:rFonts w:ascii="宋体" w:hAnsi="宋体"/>
                <w:sz w:val="18"/>
                <w:szCs w:val="18"/>
              </w:rPr>
            </w:pPr>
            <w:r>
              <w:rPr>
                <w:rFonts w:hint="eastAsia" w:ascii="宋体" w:hAnsi="宋体"/>
                <w:sz w:val="18"/>
                <w:szCs w:val="18"/>
              </w:rPr>
              <w:t>12.1</w:t>
            </w:r>
          </w:p>
        </w:tc>
        <w:tc>
          <w:tcPr>
            <w:tcW w:w="452" w:type="pct"/>
            <w:vAlign w:val="center"/>
          </w:tcPr>
          <w:p w14:paraId="6D8C3011">
            <w:pPr>
              <w:ind w:firstLine="0" w:firstLineChars="0"/>
              <w:jc w:val="center"/>
              <w:rPr>
                <w:rFonts w:ascii="宋体" w:hAnsi="宋体"/>
                <w:sz w:val="18"/>
                <w:szCs w:val="18"/>
              </w:rPr>
            </w:pPr>
            <w:r>
              <w:rPr>
                <w:rFonts w:hint="eastAsia" w:ascii="宋体" w:hAnsi="宋体"/>
                <w:sz w:val="18"/>
                <w:szCs w:val="18"/>
              </w:rPr>
              <w:t>653558</w:t>
            </w:r>
          </w:p>
        </w:tc>
        <w:tc>
          <w:tcPr>
            <w:tcW w:w="333" w:type="pct"/>
            <w:vAlign w:val="center"/>
          </w:tcPr>
          <w:p w14:paraId="03B0A537">
            <w:pPr>
              <w:ind w:firstLine="0" w:firstLineChars="0"/>
              <w:jc w:val="center"/>
              <w:rPr>
                <w:rFonts w:ascii="宋体" w:hAnsi="宋体"/>
                <w:sz w:val="18"/>
                <w:szCs w:val="18"/>
              </w:rPr>
            </w:pPr>
            <w:r>
              <w:rPr>
                <w:rFonts w:hint="eastAsia" w:ascii="宋体" w:hAnsi="宋体"/>
                <w:sz w:val="18"/>
                <w:szCs w:val="18"/>
              </w:rPr>
              <w:t>—</w:t>
            </w:r>
          </w:p>
        </w:tc>
        <w:tc>
          <w:tcPr>
            <w:tcW w:w="335" w:type="pct"/>
            <w:vAlign w:val="center"/>
          </w:tcPr>
          <w:p w14:paraId="5C106BA7">
            <w:pPr>
              <w:ind w:firstLine="0" w:firstLineChars="0"/>
              <w:jc w:val="center"/>
              <w:rPr>
                <w:rFonts w:ascii="宋体" w:hAnsi="宋体"/>
                <w:sz w:val="18"/>
                <w:szCs w:val="18"/>
              </w:rPr>
            </w:pPr>
            <w:r>
              <w:rPr>
                <w:rFonts w:hint="eastAsia" w:ascii="宋体" w:hAnsi="宋体"/>
                <w:sz w:val="18"/>
                <w:szCs w:val="18"/>
              </w:rPr>
              <w:t>—</w:t>
            </w:r>
          </w:p>
        </w:tc>
        <w:tc>
          <w:tcPr>
            <w:tcW w:w="309" w:type="pct"/>
            <w:vAlign w:val="center"/>
          </w:tcPr>
          <w:p w14:paraId="09A6FEFF">
            <w:pPr>
              <w:ind w:firstLine="0" w:firstLineChars="0"/>
              <w:jc w:val="center"/>
              <w:rPr>
                <w:rFonts w:ascii="宋体" w:hAnsi="宋体"/>
                <w:sz w:val="18"/>
                <w:szCs w:val="18"/>
              </w:rPr>
            </w:pPr>
            <w:r>
              <w:rPr>
                <w:rFonts w:hint="eastAsia" w:ascii="宋体" w:hAnsi="宋体"/>
                <w:sz w:val="18"/>
                <w:szCs w:val="18"/>
              </w:rPr>
              <w:t>—</w:t>
            </w:r>
          </w:p>
        </w:tc>
        <w:tc>
          <w:tcPr>
            <w:tcW w:w="333" w:type="pct"/>
            <w:vAlign w:val="center"/>
          </w:tcPr>
          <w:p w14:paraId="05AFE6A3">
            <w:pPr>
              <w:ind w:firstLine="0" w:firstLineChars="0"/>
              <w:jc w:val="center"/>
              <w:rPr>
                <w:rFonts w:ascii="宋体" w:hAnsi="宋体"/>
                <w:sz w:val="18"/>
                <w:szCs w:val="18"/>
              </w:rPr>
            </w:pPr>
            <w:r>
              <w:rPr>
                <w:rFonts w:hint="eastAsia" w:ascii="宋体" w:hAnsi="宋体"/>
                <w:sz w:val="18"/>
                <w:szCs w:val="18"/>
              </w:rPr>
              <w:t>—</w:t>
            </w:r>
          </w:p>
        </w:tc>
        <w:tc>
          <w:tcPr>
            <w:tcW w:w="310" w:type="pct"/>
            <w:vAlign w:val="center"/>
          </w:tcPr>
          <w:p w14:paraId="27248447">
            <w:pPr>
              <w:ind w:firstLine="0" w:firstLineChars="0"/>
              <w:jc w:val="center"/>
              <w:rPr>
                <w:rFonts w:ascii="宋体" w:hAnsi="宋体"/>
                <w:sz w:val="18"/>
                <w:szCs w:val="18"/>
              </w:rPr>
            </w:pPr>
            <w:r>
              <w:rPr>
                <w:rFonts w:hint="eastAsia" w:ascii="宋体" w:hAnsi="宋体"/>
                <w:sz w:val="18"/>
                <w:szCs w:val="18"/>
              </w:rPr>
              <w:t>—</w:t>
            </w:r>
          </w:p>
        </w:tc>
        <w:tc>
          <w:tcPr>
            <w:tcW w:w="403" w:type="pct"/>
            <w:vAlign w:val="center"/>
          </w:tcPr>
          <w:p w14:paraId="18837D54">
            <w:pPr>
              <w:ind w:firstLine="0" w:firstLineChars="0"/>
              <w:jc w:val="center"/>
              <w:rPr>
                <w:rFonts w:ascii="宋体" w:hAnsi="宋体"/>
                <w:sz w:val="18"/>
                <w:szCs w:val="18"/>
              </w:rPr>
            </w:pPr>
            <w:r>
              <w:rPr>
                <w:rFonts w:hint="eastAsia" w:ascii="宋体" w:hAnsi="宋体"/>
                <w:sz w:val="18"/>
                <w:szCs w:val="18"/>
              </w:rPr>
              <w:t>—</w:t>
            </w:r>
          </w:p>
        </w:tc>
      </w:tr>
      <w:tr w14:paraId="2DDEDB3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2" w:type="pct"/>
            <w:vAlign w:val="center"/>
          </w:tcPr>
          <w:p w14:paraId="3E44109A">
            <w:pPr>
              <w:ind w:firstLine="0" w:firstLineChars="0"/>
              <w:jc w:val="center"/>
              <w:rPr>
                <w:rFonts w:ascii="宋体" w:hAnsi="宋体"/>
                <w:sz w:val="18"/>
                <w:szCs w:val="18"/>
              </w:rPr>
            </w:pPr>
            <w:r>
              <w:rPr>
                <w:rFonts w:hint="eastAsia" w:ascii="宋体" w:hAnsi="宋体"/>
                <w:sz w:val="18"/>
                <w:szCs w:val="18"/>
              </w:rPr>
              <w:t>针叶混</w:t>
            </w:r>
          </w:p>
        </w:tc>
        <w:tc>
          <w:tcPr>
            <w:tcW w:w="414" w:type="pct"/>
            <w:vAlign w:val="center"/>
          </w:tcPr>
          <w:p w14:paraId="7B65AF9D">
            <w:pPr>
              <w:ind w:firstLine="0" w:firstLineChars="0"/>
              <w:jc w:val="center"/>
              <w:rPr>
                <w:rFonts w:ascii="宋体" w:hAnsi="宋体"/>
                <w:sz w:val="18"/>
                <w:szCs w:val="18"/>
              </w:rPr>
            </w:pPr>
            <w:r>
              <w:rPr>
                <w:rFonts w:hint="eastAsia" w:ascii="宋体" w:hAnsi="宋体"/>
                <w:sz w:val="18"/>
                <w:szCs w:val="18"/>
              </w:rPr>
              <w:t>9827.0</w:t>
            </w:r>
          </w:p>
        </w:tc>
        <w:tc>
          <w:tcPr>
            <w:tcW w:w="403" w:type="pct"/>
            <w:vAlign w:val="center"/>
          </w:tcPr>
          <w:p w14:paraId="2CC9D8FF">
            <w:pPr>
              <w:ind w:firstLine="0" w:firstLineChars="0"/>
              <w:jc w:val="center"/>
              <w:rPr>
                <w:rFonts w:ascii="宋体" w:hAnsi="宋体"/>
                <w:sz w:val="18"/>
                <w:szCs w:val="18"/>
              </w:rPr>
            </w:pPr>
            <w:r>
              <w:rPr>
                <w:rFonts w:hint="eastAsia" w:ascii="宋体" w:hAnsi="宋体"/>
                <w:sz w:val="18"/>
                <w:szCs w:val="18"/>
              </w:rPr>
              <w:t>11.9</w:t>
            </w:r>
          </w:p>
        </w:tc>
        <w:tc>
          <w:tcPr>
            <w:tcW w:w="452" w:type="pct"/>
            <w:vAlign w:val="center"/>
          </w:tcPr>
          <w:p w14:paraId="40B1BECF">
            <w:pPr>
              <w:ind w:firstLine="0" w:firstLineChars="0"/>
              <w:jc w:val="center"/>
              <w:rPr>
                <w:rFonts w:ascii="宋体" w:hAnsi="宋体"/>
                <w:sz w:val="18"/>
                <w:szCs w:val="18"/>
              </w:rPr>
            </w:pPr>
            <w:r>
              <w:rPr>
                <w:rFonts w:hint="eastAsia" w:ascii="宋体" w:hAnsi="宋体"/>
                <w:sz w:val="18"/>
                <w:szCs w:val="18"/>
              </w:rPr>
              <w:t>684665</w:t>
            </w:r>
          </w:p>
        </w:tc>
        <w:tc>
          <w:tcPr>
            <w:tcW w:w="427" w:type="pct"/>
            <w:vAlign w:val="center"/>
          </w:tcPr>
          <w:p w14:paraId="13869406">
            <w:pPr>
              <w:ind w:firstLine="0" w:firstLineChars="0"/>
              <w:jc w:val="center"/>
              <w:rPr>
                <w:rFonts w:ascii="宋体" w:hAnsi="宋体"/>
                <w:sz w:val="18"/>
                <w:szCs w:val="18"/>
              </w:rPr>
            </w:pPr>
            <w:r>
              <w:rPr>
                <w:rFonts w:hint="eastAsia" w:ascii="宋体" w:hAnsi="宋体"/>
                <w:sz w:val="18"/>
                <w:szCs w:val="18"/>
              </w:rPr>
              <w:t>9769.3</w:t>
            </w:r>
          </w:p>
        </w:tc>
        <w:tc>
          <w:tcPr>
            <w:tcW w:w="387" w:type="pct"/>
            <w:vAlign w:val="center"/>
          </w:tcPr>
          <w:p w14:paraId="1CAE58C5">
            <w:pPr>
              <w:ind w:firstLine="0" w:firstLineChars="0"/>
              <w:jc w:val="center"/>
              <w:rPr>
                <w:rFonts w:ascii="宋体" w:hAnsi="宋体"/>
                <w:sz w:val="18"/>
                <w:szCs w:val="18"/>
              </w:rPr>
            </w:pPr>
            <w:r>
              <w:rPr>
                <w:rFonts w:hint="eastAsia" w:ascii="宋体" w:hAnsi="宋体"/>
                <w:sz w:val="18"/>
                <w:szCs w:val="18"/>
              </w:rPr>
              <w:t>11.9</w:t>
            </w:r>
          </w:p>
        </w:tc>
        <w:tc>
          <w:tcPr>
            <w:tcW w:w="452" w:type="pct"/>
            <w:vAlign w:val="center"/>
          </w:tcPr>
          <w:p w14:paraId="111C7A75">
            <w:pPr>
              <w:ind w:firstLine="0" w:firstLineChars="0"/>
              <w:jc w:val="center"/>
              <w:rPr>
                <w:rFonts w:ascii="宋体" w:hAnsi="宋体"/>
                <w:sz w:val="18"/>
                <w:szCs w:val="18"/>
              </w:rPr>
            </w:pPr>
            <w:r>
              <w:rPr>
                <w:rFonts w:hint="eastAsia" w:ascii="宋体" w:hAnsi="宋体"/>
                <w:sz w:val="18"/>
                <w:szCs w:val="18"/>
              </w:rPr>
              <w:t>684160</w:t>
            </w:r>
          </w:p>
        </w:tc>
        <w:tc>
          <w:tcPr>
            <w:tcW w:w="333" w:type="pct"/>
            <w:vAlign w:val="center"/>
          </w:tcPr>
          <w:p w14:paraId="2074BDF7">
            <w:pPr>
              <w:ind w:firstLine="0" w:firstLineChars="0"/>
              <w:jc w:val="center"/>
              <w:rPr>
                <w:rFonts w:ascii="宋体" w:hAnsi="宋体"/>
                <w:sz w:val="18"/>
                <w:szCs w:val="18"/>
              </w:rPr>
            </w:pPr>
            <w:r>
              <w:rPr>
                <w:rFonts w:hint="eastAsia" w:ascii="宋体" w:hAnsi="宋体"/>
                <w:sz w:val="18"/>
                <w:szCs w:val="18"/>
              </w:rPr>
              <w:t>—</w:t>
            </w:r>
          </w:p>
        </w:tc>
        <w:tc>
          <w:tcPr>
            <w:tcW w:w="335" w:type="pct"/>
            <w:vAlign w:val="center"/>
          </w:tcPr>
          <w:p w14:paraId="682D9D79">
            <w:pPr>
              <w:ind w:firstLine="0" w:firstLineChars="0"/>
              <w:jc w:val="center"/>
              <w:rPr>
                <w:rFonts w:ascii="宋体" w:hAnsi="宋体"/>
                <w:sz w:val="18"/>
                <w:szCs w:val="18"/>
              </w:rPr>
            </w:pPr>
            <w:r>
              <w:rPr>
                <w:rFonts w:hint="eastAsia" w:ascii="宋体" w:hAnsi="宋体"/>
                <w:sz w:val="18"/>
                <w:szCs w:val="18"/>
              </w:rPr>
              <w:t>—</w:t>
            </w:r>
          </w:p>
        </w:tc>
        <w:tc>
          <w:tcPr>
            <w:tcW w:w="309" w:type="pct"/>
            <w:vAlign w:val="center"/>
          </w:tcPr>
          <w:p w14:paraId="19239521">
            <w:pPr>
              <w:ind w:firstLine="0" w:firstLineChars="0"/>
              <w:jc w:val="center"/>
              <w:rPr>
                <w:rFonts w:ascii="宋体" w:hAnsi="宋体"/>
                <w:sz w:val="18"/>
                <w:szCs w:val="18"/>
              </w:rPr>
            </w:pPr>
            <w:r>
              <w:rPr>
                <w:rFonts w:hint="eastAsia" w:ascii="宋体" w:hAnsi="宋体"/>
                <w:sz w:val="18"/>
                <w:szCs w:val="18"/>
              </w:rPr>
              <w:t>—</w:t>
            </w:r>
          </w:p>
        </w:tc>
        <w:tc>
          <w:tcPr>
            <w:tcW w:w="333" w:type="pct"/>
            <w:vAlign w:val="center"/>
          </w:tcPr>
          <w:p w14:paraId="00EBBEFB">
            <w:pPr>
              <w:ind w:firstLine="0" w:firstLineChars="0"/>
              <w:jc w:val="center"/>
              <w:rPr>
                <w:rFonts w:ascii="宋体" w:hAnsi="宋体"/>
                <w:sz w:val="18"/>
                <w:szCs w:val="18"/>
              </w:rPr>
            </w:pPr>
            <w:r>
              <w:rPr>
                <w:rFonts w:hint="eastAsia" w:ascii="宋体" w:hAnsi="宋体"/>
                <w:sz w:val="18"/>
                <w:szCs w:val="18"/>
              </w:rPr>
              <w:t>57.7</w:t>
            </w:r>
          </w:p>
        </w:tc>
        <w:tc>
          <w:tcPr>
            <w:tcW w:w="310" w:type="pct"/>
            <w:vAlign w:val="center"/>
          </w:tcPr>
          <w:p w14:paraId="5E567866">
            <w:pPr>
              <w:ind w:firstLine="0" w:firstLineChars="0"/>
              <w:jc w:val="center"/>
              <w:rPr>
                <w:rFonts w:ascii="宋体" w:hAnsi="宋体"/>
                <w:sz w:val="18"/>
                <w:szCs w:val="18"/>
              </w:rPr>
            </w:pPr>
            <w:r>
              <w:rPr>
                <w:rFonts w:hint="eastAsia" w:ascii="宋体" w:hAnsi="宋体"/>
                <w:sz w:val="18"/>
                <w:szCs w:val="18"/>
              </w:rPr>
              <w:t>505</w:t>
            </w:r>
          </w:p>
        </w:tc>
        <w:tc>
          <w:tcPr>
            <w:tcW w:w="403" w:type="pct"/>
            <w:vAlign w:val="center"/>
          </w:tcPr>
          <w:p w14:paraId="3A16A9EA">
            <w:pPr>
              <w:ind w:firstLine="0" w:firstLineChars="0"/>
              <w:jc w:val="center"/>
              <w:rPr>
                <w:rFonts w:ascii="宋体" w:hAnsi="宋体"/>
                <w:sz w:val="18"/>
                <w:szCs w:val="18"/>
              </w:rPr>
            </w:pPr>
          </w:p>
        </w:tc>
      </w:tr>
      <w:tr w14:paraId="4A11D3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2" w:type="pct"/>
            <w:vAlign w:val="center"/>
          </w:tcPr>
          <w:p w14:paraId="70411413">
            <w:pPr>
              <w:ind w:firstLine="0" w:firstLineChars="0"/>
              <w:jc w:val="center"/>
              <w:rPr>
                <w:rFonts w:ascii="宋体" w:hAnsi="宋体"/>
                <w:sz w:val="18"/>
                <w:szCs w:val="18"/>
              </w:rPr>
            </w:pPr>
            <w:r>
              <w:rPr>
                <w:rFonts w:hint="eastAsia" w:ascii="宋体" w:hAnsi="宋体"/>
                <w:sz w:val="18"/>
                <w:szCs w:val="18"/>
              </w:rPr>
              <w:t>针阔混</w:t>
            </w:r>
          </w:p>
        </w:tc>
        <w:tc>
          <w:tcPr>
            <w:tcW w:w="414" w:type="pct"/>
            <w:vAlign w:val="center"/>
          </w:tcPr>
          <w:p w14:paraId="5079F719">
            <w:pPr>
              <w:ind w:firstLine="0" w:firstLineChars="0"/>
              <w:jc w:val="center"/>
              <w:rPr>
                <w:rFonts w:ascii="宋体" w:hAnsi="宋体"/>
                <w:sz w:val="18"/>
                <w:szCs w:val="18"/>
              </w:rPr>
            </w:pPr>
            <w:r>
              <w:rPr>
                <w:rFonts w:hint="eastAsia" w:ascii="宋体" w:hAnsi="宋体"/>
                <w:sz w:val="18"/>
                <w:szCs w:val="18"/>
              </w:rPr>
              <w:t>8045.7</w:t>
            </w:r>
          </w:p>
        </w:tc>
        <w:tc>
          <w:tcPr>
            <w:tcW w:w="403" w:type="pct"/>
            <w:vAlign w:val="center"/>
          </w:tcPr>
          <w:p w14:paraId="5705BC43">
            <w:pPr>
              <w:ind w:firstLine="0" w:firstLineChars="0"/>
              <w:jc w:val="center"/>
              <w:rPr>
                <w:rFonts w:ascii="宋体" w:hAnsi="宋体"/>
                <w:sz w:val="18"/>
                <w:szCs w:val="18"/>
              </w:rPr>
            </w:pPr>
            <w:r>
              <w:rPr>
                <w:rFonts w:hint="eastAsia" w:ascii="宋体" w:hAnsi="宋体"/>
                <w:sz w:val="18"/>
                <w:szCs w:val="18"/>
              </w:rPr>
              <w:t>9.8</w:t>
            </w:r>
          </w:p>
        </w:tc>
        <w:tc>
          <w:tcPr>
            <w:tcW w:w="452" w:type="pct"/>
            <w:vAlign w:val="center"/>
          </w:tcPr>
          <w:p w14:paraId="41450B7A">
            <w:pPr>
              <w:ind w:firstLine="0" w:firstLineChars="0"/>
              <w:jc w:val="center"/>
              <w:rPr>
                <w:rFonts w:ascii="宋体" w:hAnsi="宋体"/>
                <w:sz w:val="18"/>
                <w:szCs w:val="18"/>
              </w:rPr>
            </w:pPr>
            <w:r>
              <w:rPr>
                <w:rFonts w:hint="eastAsia" w:ascii="宋体" w:hAnsi="宋体"/>
                <w:sz w:val="18"/>
                <w:szCs w:val="18"/>
              </w:rPr>
              <w:t>469490</w:t>
            </w:r>
          </w:p>
        </w:tc>
        <w:tc>
          <w:tcPr>
            <w:tcW w:w="427" w:type="pct"/>
            <w:vAlign w:val="center"/>
          </w:tcPr>
          <w:p w14:paraId="756FC2BE">
            <w:pPr>
              <w:ind w:firstLine="0" w:firstLineChars="0"/>
              <w:jc w:val="center"/>
              <w:rPr>
                <w:rFonts w:ascii="宋体" w:hAnsi="宋体"/>
                <w:sz w:val="18"/>
                <w:szCs w:val="18"/>
              </w:rPr>
            </w:pPr>
            <w:r>
              <w:rPr>
                <w:rFonts w:hint="eastAsia" w:ascii="宋体" w:hAnsi="宋体"/>
                <w:sz w:val="18"/>
                <w:szCs w:val="18"/>
              </w:rPr>
              <w:t>8045.7</w:t>
            </w:r>
          </w:p>
        </w:tc>
        <w:tc>
          <w:tcPr>
            <w:tcW w:w="387" w:type="pct"/>
            <w:vAlign w:val="center"/>
          </w:tcPr>
          <w:p w14:paraId="6E371C48">
            <w:pPr>
              <w:ind w:firstLine="0" w:firstLineChars="0"/>
              <w:jc w:val="center"/>
              <w:rPr>
                <w:rFonts w:ascii="宋体" w:hAnsi="宋体"/>
                <w:sz w:val="18"/>
                <w:szCs w:val="18"/>
              </w:rPr>
            </w:pPr>
            <w:r>
              <w:rPr>
                <w:rFonts w:hint="eastAsia" w:ascii="宋体" w:hAnsi="宋体"/>
                <w:sz w:val="18"/>
                <w:szCs w:val="18"/>
              </w:rPr>
              <w:t>9.8</w:t>
            </w:r>
          </w:p>
        </w:tc>
        <w:tc>
          <w:tcPr>
            <w:tcW w:w="452" w:type="pct"/>
            <w:vAlign w:val="center"/>
          </w:tcPr>
          <w:p w14:paraId="5F7DE4FC">
            <w:pPr>
              <w:ind w:firstLine="0" w:firstLineChars="0"/>
              <w:jc w:val="center"/>
              <w:rPr>
                <w:rFonts w:ascii="宋体" w:hAnsi="宋体"/>
                <w:sz w:val="18"/>
                <w:szCs w:val="18"/>
              </w:rPr>
            </w:pPr>
            <w:r>
              <w:rPr>
                <w:rFonts w:hint="eastAsia" w:ascii="宋体" w:hAnsi="宋体"/>
                <w:sz w:val="18"/>
                <w:szCs w:val="18"/>
              </w:rPr>
              <w:t>469490</w:t>
            </w:r>
          </w:p>
        </w:tc>
        <w:tc>
          <w:tcPr>
            <w:tcW w:w="333" w:type="pct"/>
            <w:vAlign w:val="center"/>
          </w:tcPr>
          <w:p w14:paraId="77604D05">
            <w:pPr>
              <w:ind w:firstLine="0" w:firstLineChars="0"/>
              <w:jc w:val="center"/>
              <w:rPr>
                <w:rFonts w:ascii="宋体" w:hAnsi="宋体"/>
                <w:sz w:val="18"/>
                <w:szCs w:val="18"/>
              </w:rPr>
            </w:pPr>
            <w:r>
              <w:rPr>
                <w:rFonts w:hint="eastAsia" w:ascii="宋体" w:hAnsi="宋体"/>
                <w:sz w:val="18"/>
                <w:szCs w:val="18"/>
              </w:rPr>
              <w:t>—</w:t>
            </w:r>
          </w:p>
        </w:tc>
        <w:tc>
          <w:tcPr>
            <w:tcW w:w="335" w:type="pct"/>
            <w:vAlign w:val="center"/>
          </w:tcPr>
          <w:p w14:paraId="4399BA09">
            <w:pPr>
              <w:ind w:firstLine="0" w:firstLineChars="0"/>
              <w:jc w:val="center"/>
              <w:rPr>
                <w:rFonts w:ascii="宋体" w:hAnsi="宋体"/>
                <w:sz w:val="18"/>
                <w:szCs w:val="18"/>
              </w:rPr>
            </w:pPr>
            <w:r>
              <w:rPr>
                <w:rFonts w:hint="eastAsia" w:ascii="宋体" w:hAnsi="宋体"/>
                <w:sz w:val="18"/>
                <w:szCs w:val="18"/>
              </w:rPr>
              <w:t>—</w:t>
            </w:r>
          </w:p>
        </w:tc>
        <w:tc>
          <w:tcPr>
            <w:tcW w:w="309" w:type="pct"/>
            <w:vAlign w:val="center"/>
          </w:tcPr>
          <w:p w14:paraId="11D007A6">
            <w:pPr>
              <w:ind w:firstLine="0" w:firstLineChars="0"/>
              <w:jc w:val="center"/>
              <w:rPr>
                <w:rFonts w:ascii="宋体" w:hAnsi="宋体"/>
                <w:sz w:val="18"/>
                <w:szCs w:val="18"/>
              </w:rPr>
            </w:pPr>
            <w:r>
              <w:rPr>
                <w:rFonts w:hint="eastAsia" w:ascii="宋体" w:hAnsi="宋体"/>
                <w:sz w:val="18"/>
                <w:szCs w:val="18"/>
              </w:rPr>
              <w:t>—</w:t>
            </w:r>
          </w:p>
        </w:tc>
        <w:tc>
          <w:tcPr>
            <w:tcW w:w="333" w:type="pct"/>
            <w:vAlign w:val="center"/>
          </w:tcPr>
          <w:p w14:paraId="29E8EB6D">
            <w:pPr>
              <w:ind w:firstLine="0" w:firstLineChars="0"/>
              <w:jc w:val="center"/>
              <w:rPr>
                <w:rFonts w:ascii="宋体" w:hAnsi="宋体"/>
                <w:sz w:val="18"/>
                <w:szCs w:val="18"/>
              </w:rPr>
            </w:pPr>
            <w:r>
              <w:rPr>
                <w:rFonts w:hint="eastAsia" w:ascii="宋体" w:hAnsi="宋体"/>
                <w:sz w:val="18"/>
                <w:szCs w:val="18"/>
              </w:rPr>
              <w:t>—</w:t>
            </w:r>
          </w:p>
        </w:tc>
        <w:tc>
          <w:tcPr>
            <w:tcW w:w="310" w:type="pct"/>
            <w:vAlign w:val="center"/>
          </w:tcPr>
          <w:p w14:paraId="079A6354">
            <w:pPr>
              <w:ind w:firstLine="0" w:firstLineChars="0"/>
              <w:jc w:val="center"/>
              <w:rPr>
                <w:rFonts w:ascii="宋体" w:hAnsi="宋体"/>
                <w:sz w:val="18"/>
                <w:szCs w:val="18"/>
              </w:rPr>
            </w:pPr>
            <w:r>
              <w:rPr>
                <w:rFonts w:hint="eastAsia" w:ascii="宋体" w:hAnsi="宋体"/>
                <w:sz w:val="18"/>
                <w:szCs w:val="18"/>
              </w:rPr>
              <w:t>—</w:t>
            </w:r>
          </w:p>
        </w:tc>
        <w:tc>
          <w:tcPr>
            <w:tcW w:w="403" w:type="pct"/>
            <w:vAlign w:val="center"/>
          </w:tcPr>
          <w:p w14:paraId="137B3896">
            <w:pPr>
              <w:ind w:firstLine="0" w:firstLineChars="0"/>
              <w:jc w:val="center"/>
              <w:rPr>
                <w:rFonts w:ascii="宋体" w:hAnsi="宋体"/>
                <w:sz w:val="18"/>
                <w:szCs w:val="18"/>
              </w:rPr>
            </w:pPr>
            <w:r>
              <w:rPr>
                <w:rFonts w:hint="eastAsia" w:ascii="宋体" w:hAnsi="宋体"/>
                <w:sz w:val="18"/>
                <w:szCs w:val="18"/>
              </w:rPr>
              <w:t>—</w:t>
            </w:r>
          </w:p>
        </w:tc>
      </w:tr>
      <w:tr w14:paraId="0CA7AD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2" w:type="pct"/>
            <w:vAlign w:val="center"/>
          </w:tcPr>
          <w:p w14:paraId="41817783">
            <w:pPr>
              <w:ind w:firstLine="0" w:firstLineChars="0"/>
              <w:jc w:val="center"/>
              <w:rPr>
                <w:rFonts w:ascii="宋体" w:hAnsi="宋体"/>
                <w:sz w:val="18"/>
                <w:szCs w:val="18"/>
              </w:rPr>
            </w:pPr>
            <w:r>
              <w:rPr>
                <w:rFonts w:hint="eastAsia" w:ascii="宋体" w:hAnsi="宋体"/>
                <w:sz w:val="18"/>
                <w:szCs w:val="18"/>
              </w:rPr>
              <w:t>阔叶混</w:t>
            </w:r>
          </w:p>
        </w:tc>
        <w:tc>
          <w:tcPr>
            <w:tcW w:w="414" w:type="pct"/>
            <w:vAlign w:val="center"/>
          </w:tcPr>
          <w:p w14:paraId="7A9D2F7A">
            <w:pPr>
              <w:ind w:firstLine="0" w:firstLineChars="0"/>
              <w:jc w:val="center"/>
              <w:rPr>
                <w:rFonts w:ascii="宋体" w:hAnsi="宋体"/>
                <w:sz w:val="18"/>
                <w:szCs w:val="18"/>
              </w:rPr>
            </w:pPr>
            <w:r>
              <w:rPr>
                <w:rFonts w:hint="eastAsia" w:ascii="宋体" w:hAnsi="宋体"/>
                <w:sz w:val="18"/>
                <w:szCs w:val="18"/>
              </w:rPr>
              <w:t>2701.9</w:t>
            </w:r>
          </w:p>
        </w:tc>
        <w:tc>
          <w:tcPr>
            <w:tcW w:w="403" w:type="pct"/>
            <w:vAlign w:val="center"/>
          </w:tcPr>
          <w:p w14:paraId="099FC5D9">
            <w:pPr>
              <w:ind w:firstLine="0" w:firstLineChars="0"/>
              <w:jc w:val="center"/>
              <w:rPr>
                <w:rFonts w:ascii="宋体" w:hAnsi="宋体"/>
                <w:sz w:val="18"/>
                <w:szCs w:val="18"/>
              </w:rPr>
            </w:pPr>
            <w:r>
              <w:rPr>
                <w:rFonts w:hint="eastAsia" w:ascii="宋体" w:hAnsi="宋体"/>
                <w:sz w:val="18"/>
                <w:szCs w:val="18"/>
              </w:rPr>
              <w:t>3.3</w:t>
            </w:r>
          </w:p>
        </w:tc>
        <w:tc>
          <w:tcPr>
            <w:tcW w:w="452" w:type="pct"/>
            <w:vAlign w:val="center"/>
          </w:tcPr>
          <w:p w14:paraId="629B5305">
            <w:pPr>
              <w:ind w:firstLine="0" w:firstLineChars="0"/>
              <w:jc w:val="center"/>
              <w:rPr>
                <w:rFonts w:ascii="宋体" w:hAnsi="宋体"/>
                <w:sz w:val="18"/>
                <w:szCs w:val="18"/>
              </w:rPr>
            </w:pPr>
            <w:r>
              <w:rPr>
                <w:rFonts w:hint="eastAsia" w:ascii="宋体" w:hAnsi="宋体"/>
                <w:sz w:val="18"/>
                <w:szCs w:val="18"/>
              </w:rPr>
              <w:t>184785</w:t>
            </w:r>
          </w:p>
        </w:tc>
        <w:tc>
          <w:tcPr>
            <w:tcW w:w="427" w:type="pct"/>
            <w:vAlign w:val="center"/>
          </w:tcPr>
          <w:p w14:paraId="6964F341">
            <w:pPr>
              <w:ind w:firstLine="0" w:firstLineChars="0"/>
              <w:jc w:val="center"/>
              <w:rPr>
                <w:rFonts w:ascii="宋体" w:hAnsi="宋体"/>
                <w:sz w:val="18"/>
                <w:szCs w:val="18"/>
              </w:rPr>
            </w:pPr>
            <w:r>
              <w:rPr>
                <w:rFonts w:hint="eastAsia" w:ascii="宋体" w:hAnsi="宋体"/>
                <w:sz w:val="18"/>
                <w:szCs w:val="18"/>
              </w:rPr>
              <w:t>2701.9</w:t>
            </w:r>
          </w:p>
        </w:tc>
        <w:tc>
          <w:tcPr>
            <w:tcW w:w="387" w:type="pct"/>
            <w:vAlign w:val="center"/>
          </w:tcPr>
          <w:p w14:paraId="5F7EA395">
            <w:pPr>
              <w:ind w:firstLine="0" w:firstLineChars="0"/>
              <w:jc w:val="center"/>
              <w:rPr>
                <w:rFonts w:ascii="宋体" w:hAnsi="宋体"/>
                <w:sz w:val="18"/>
                <w:szCs w:val="18"/>
              </w:rPr>
            </w:pPr>
            <w:r>
              <w:rPr>
                <w:rFonts w:hint="eastAsia" w:ascii="宋体" w:hAnsi="宋体"/>
                <w:sz w:val="18"/>
                <w:szCs w:val="18"/>
              </w:rPr>
              <w:t>3.3</w:t>
            </w:r>
          </w:p>
        </w:tc>
        <w:tc>
          <w:tcPr>
            <w:tcW w:w="452" w:type="pct"/>
            <w:vAlign w:val="center"/>
          </w:tcPr>
          <w:p w14:paraId="4BA857AD">
            <w:pPr>
              <w:ind w:firstLine="0" w:firstLineChars="0"/>
              <w:jc w:val="center"/>
              <w:rPr>
                <w:rFonts w:ascii="宋体" w:hAnsi="宋体"/>
                <w:sz w:val="18"/>
                <w:szCs w:val="18"/>
              </w:rPr>
            </w:pPr>
            <w:r>
              <w:rPr>
                <w:rFonts w:hint="eastAsia" w:ascii="宋体" w:hAnsi="宋体"/>
                <w:sz w:val="18"/>
                <w:szCs w:val="18"/>
              </w:rPr>
              <w:t>184785</w:t>
            </w:r>
          </w:p>
        </w:tc>
        <w:tc>
          <w:tcPr>
            <w:tcW w:w="333" w:type="pct"/>
            <w:vAlign w:val="center"/>
          </w:tcPr>
          <w:p w14:paraId="2A8DDF05">
            <w:pPr>
              <w:ind w:firstLine="0" w:firstLineChars="0"/>
              <w:jc w:val="center"/>
              <w:rPr>
                <w:rFonts w:ascii="宋体" w:hAnsi="宋体"/>
                <w:sz w:val="18"/>
                <w:szCs w:val="18"/>
              </w:rPr>
            </w:pPr>
            <w:r>
              <w:rPr>
                <w:rFonts w:hint="eastAsia" w:ascii="宋体" w:hAnsi="宋体"/>
                <w:sz w:val="18"/>
                <w:szCs w:val="18"/>
              </w:rPr>
              <w:t>—</w:t>
            </w:r>
          </w:p>
        </w:tc>
        <w:tc>
          <w:tcPr>
            <w:tcW w:w="335" w:type="pct"/>
            <w:vAlign w:val="center"/>
          </w:tcPr>
          <w:p w14:paraId="581A2288">
            <w:pPr>
              <w:ind w:firstLine="0" w:firstLineChars="0"/>
              <w:jc w:val="center"/>
              <w:rPr>
                <w:rFonts w:ascii="宋体" w:hAnsi="宋体"/>
                <w:sz w:val="18"/>
                <w:szCs w:val="18"/>
              </w:rPr>
            </w:pPr>
            <w:r>
              <w:rPr>
                <w:rFonts w:hint="eastAsia" w:ascii="宋体" w:hAnsi="宋体"/>
                <w:sz w:val="18"/>
                <w:szCs w:val="18"/>
              </w:rPr>
              <w:t>—</w:t>
            </w:r>
          </w:p>
        </w:tc>
        <w:tc>
          <w:tcPr>
            <w:tcW w:w="309" w:type="pct"/>
            <w:vAlign w:val="center"/>
          </w:tcPr>
          <w:p w14:paraId="002A7B1D">
            <w:pPr>
              <w:ind w:firstLine="0" w:firstLineChars="0"/>
              <w:jc w:val="center"/>
              <w:rPr>
                <w:rFonts w:ascii="宋体" w:hAnsi="宋体"/>
                <w:sz w:val="18"/>
                <w:szCs w:val="18"/>
              </w:rPr>
            </w:pPr>
            <w:r>
              <w:rPr>
                <w:rFonts w:hint="eastAsia" w:ascii="宋体" w:hAnsi="宋体"/>
                <w:sz w:val="18"/>
                <w:szCs w:val="18"/>
              </w:rPr>
              <w:t>—</w:t>
            </w:r>
          </w:p>
        </w:tc>
        <w:tc>
          <w:tcPr>
            <w:tcW w:w="333" w:type="pct"/>
            <w:vAlign w:val="center"/>
          </w:tcPr>
          <w:p w14:paraId="50205176">
            <w:pPr>
              <w:ind w:firstLine="0" w:firstLineChars="0"/>
              <w:jc w:val="center"/>
              <w:rPr>
                <w:rFonts w:ascii="宋体" w:hAnsi="宋体"/>
                <w:sz w:val="18"/>
                <w:szCs w:val="18"/>
              </w:rPr>
            </w:pPr>
            <w:r>
              <w:rPr>
                <w:rFonts w:hint="eastAsia" w:ascii="宋体" w:hAnsi="宋体"/>
                <w:sz w:val="18"/>
                <w:szCs w:val="18"/>
              </w:rPr>
              <w:t>—</w:t>
            </w:r>
          </w:p>
        </w:tc>
        <w:tc>
          <w:tcPr>
            <w:tcW w:w="310" w:type="pct"/>
            <w:vAlign w:val="center"/>
          </w:tcPr>
          <w:p w14:paraId="1D81078C">
            <w:pPr>
              <w:ind w:firstLine="0" w:firstLineChars="0"/>
              <w:jc w:val="center"/>
              <w:rPr>
                <w:rFonts w:ascii="宋体" w:hAnsi="宋体"/>
                <w:sz w:val="18"/>
                <w:szCs w:val="18"/>
              </w:rPr>
            </w:pPr>
            <w:r>
              <w:rPr>
                <w:rFonts w:hint="eastAsia" w:ascii="宋体" w:hAnsi="宋体"/>
                <w:sz w:val="18"/>
                <w:szCs w:val="18"/>
              </w:rPr>
              <w:t>—</w:t>
            </w:r>
          </w:p>
        </w:tc>
        <w:tc>
          <w:tcPr>
            <w:tcW w:w="403" w:type="pct"/>
            <w:vAlign w:val="center"/>
          </w:tcPr>
          <w:p w14:paraId="1F32591F">
            <w:pPr>
              <w:ind w:firstLine="0" w:firstLineChars="0"/>
              <w:jc w:val="center"/>
              <w:rPr>
                <w:rFonts w:ascii="宋体" w:hAnsi="宋体"/>
                <w:sz w:val="18"/>
                <w:szCs w:val="18"/>
              </w:rPr>
            </w:pPr>
            <w:r>
              <w:rPr>
                <w:rFonts w:hint="eastAsia" w:ascii="宋体" w:hAnsi="宋体"/>
                <w:sz w:val="18"/>
                <w:szCs w:val="18"/>
              </w:rPr>
              <w:t>—</w:t>
            </w:r>
          </w:p>
        </w:tc>
      </w:tr>
      <w:tr w14:paraId="202F36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2" w:type="pct"/>
            <w:vAlign w:val="center"/>
          </w:tcPr>
          <w:p w14:paraId="4EFB887F">
            <w:pPr>
              <w:ind w:firstLine="0" w:firstLineChars="0"/>
              <w:jc w:val="center"/>
              <w:rPr>
                <w:rFonts w:ascii="宋体" w:hAnsi="宋体"/>
                <w:sz w:val="18"/>
                <w:szCs w:val="18"/>
              </w:rPr>
            </w:pPr>
            <w:r>
              <w:rPr>
                <w:rFonts w:hint="eastAsia" w:ascii="宋体" w:hAnsi="宋体"/>
                <w:sz w:val="18"/>
                <w:szCs w:val="18"/>
              </w:rPr>
              <w:t>木本果</w:t>
            </w:r>
          </w:p>
        </w:tc>
        <w:tc>
          <w:tcPr>
            <w:tcW w:w="414" w:type="pct"/>
            <w:vAlign w:val="center"/>
          </w:tcPr>
          <w:p w14:paraId="65FD26D8">
            <w:pPr>
              <w:ind w:firstLine="0" w:firstLineChars="0"/>
              <w:jc w:val="center"/>
              <w:rPr>
                <w:rFonts w:ascii="宋体" w:hAnsi="宋体"/>
                <w:sz w:val="18"/>
                <w:szCs w:val="18"/>
              </w:rPr>
            </w:pPr>
            <w:r>
              <w:rPr>
                <w:rFonts w:hint="eastAsia" w:ascii="宋体" w:hAnsi="宋体"/>
                <w:sz w:val="18"/>
                <w:szCs w:val="18"/>
              </w:rPr>
              <w:t>64.2</w:t>
            </w:r>
          </w:p>
        </w:tc>
        <w:tc>
          <w:tcPr>
            <w:tcW w:w="403" w:type="pct"/>
            <w:vAlign w:val="center"/>
          </w:tcPr>
          <w:p w14:paraId="1901EA8E">
            <w:pPr>
              <w:ind w:firstLine="0" w:firstLineChars="0"/>
              <w:jc w:val="center"/>
              <w:rPr>
                <w:rFonts w:ascii="宋体" w:hAnsi="宋体"/>
                <w:sz w:val="18"/>
                <w:szCs w:val="18"/>
              </w:rPr>
            </w:pPr>
            <w:r>
              <w:rPr>
                <w:rFonts w:hint="eastAsia" w:ascii="宋体" w:hAnsi="宋体"/>
                <w:sz w:val="18"/>
                <w:szCs w:val="18"/>
              </w:rPr>
              <w:t>0.1</w:t>
            </w:r>
          </w:p>
        </w:tc>
        <w:tc>
          <w:tcPr>
            <w:tcW w:w="452" w:type="pct"/>
            <w:vAlign w:val="center"/>
          </w:tcPr>
          <w:p w14:paraId="75AD7498">
            <w:pPr>
              <w:ind w:firstLine="0" w:firstLineChars="0"/>
              <w:jc w:val="center"/>
              <w:rPr>
                <w:rFonts w:ascii="宋体" w:hAnsi="宋体"/>
                <w:sz w:val="18"/>
                <w:szCs w:val="18"/>
              </w:rPr>
            </w:pPr>
            <w:r>
              <w:rPr>
                <w:rFonts w:hint="eastAsia" w:ascii="宋体" w:hAnsi="宋体"/>
                <w:sz w:val="18"/>
                <w:szCs w:val="18"/>
              </w:rPr>
              <w:t>152</w:t>
            </w:r>
          </w:p>
        </w:tc>
        <w:tc>
          <w:tcPr>
            <w:tcW w:w="427" w:type="pct"/>
            <w:vAlign w:val="center"/>
          </w:tcPr>
          <w:p w14:paraId="7BF425D9">
            <w:pPr>
              <w:ind w:firstLine="0" w:firstLineChars="0"/>
              <w:jc w:val="center"/>
              <w:rPr>
                <w:rFonts w:ascii="宋体" w:hAnsi="宋体"/>
                <w:sz w:val="18"/>
                <w:szCs w:val="18"/>
              </w:rPr>
            </w:pPr>
            <w:r>
              <w:rPr>
                <w:rFonts w:hint="eastAsia" w:ascii="宋体" w:hAnsi="宋体"/>
                <w:sz w:val="18"/>
                <w:szCs w:val="18"/>
              </w:rPr>
              <w:t>64.2</w:t>
            </w:r>
          </w:p>
        </w:tc>
        <w:tc>
          <w:tcPr>
            <w:tcW w:w="387" w:type="pct"/>
            <w:vAlign w:val="center"/>
          </w:tcPr>
          <w:p w14:paraId="00BE9BB5">
            <w:pPr>
              <w:ind w:firstLine="0" w:firstLineChars="0"/>
              <w:jc w:val="center"/>
              <w:rPr>
                <w:rFonts w:ascii="宋体" w:hAnsi="宋体"/>
                <w:sz w:val="18"/>
                <w:szCs w:val="18"/>
              </w:rPr>
            </w:pPr>
            <w:r>
              <w:rPr>
                <w:rFonts w:hint="eastAsia" w:ascii="宋体" w:hAnsi="宋体"/>
                <w:sz w:val="18"/>
                <w:szCs w:val="18"/>
              </w:rPr>
              <w:t>0.08</w:t>
            </w:r>
          </w:p>
        </w:tc>
        <w:tc>
          <w:tcPr>
            <w:tcW w:w="452" w:type="pct"/>
            <w:vAlign w:val="center"/>
          </w:tcPr>
          <w:p w14:paraId="3ED17E82">
            <w:pPr>
              <w:ind w:firstLine="0" w:firstLineChars="0"/>
              <w:jc w:val="center"/>
              <w:rPr>
                <w:rFonts w:ascii="宋体" w:hAnsi="宋体"/>
                <w:sz w:val="18"/>
                <w:szCs w:val="18"/>
              </w:rPr>
            </w:pPr>
            <w:r>
              <w:rPr>
                <w:rFonts w:hint="eastAsia" w:ascii="宋体" w:hAnsi="宋体"/>
                <w:sz w:val="18"/>
                <w:szCs w:val="18"/>
              </w:rPr>
              <w:t>152</w:t>
            </w:r>
          </w:p>
        </w:tc>
        <w:tc>
          <w:tcPr>
            <w:tcW w:w="333" w:type="pct"/>
            <w:vAlign w:val="center"/>
          </w:tcPr>
          <w:p w14:paraId="0FB6F8A7">
            <w:pPr>
              <w:ind w:firstLine="0" w:firstLineChars="0"/>
              <w:jc w:val="center"/>
              <w:rPr>
                <w:rFonts w:ascii="宋体" w:hAnsi="宋体"/>
                <w:sz w:val="18"/>
                <w:szCs w:val="18"/>
              </w:rPr>
            </w:pPr>
            <w:r>
              <w:rPr>
                <w:rFonts w:hint="eastAsia" w:ascii="宋体" w:hAnsi="宋体"/>
                <w:sz w:val="18"/>
                <w:szCs w:val="18"/>
              </w:rPr>
              <w:t>64.2</w:t>
            </w:r>
          </w:p>
        </w:tc>
        <w:tc>
          <w:tcPr>
            <w:tcW w:w="335" w:type="pct"/>
            <w:vAlign w:val="center"/>
          </w:tcPr>
          <w:p w14:paraId="38C603A9">
            <w:pPr>
              <w:ind w:firstLine="0" w:firstLineChars="0"/>
              <w:jc w:val="center"/>
              <w:rPr>
                <w:rFonts w:ascii="宋体" w:hAnsi="宋体"/>
                <w:sz w:val="18"/>
                <w:szCs w:val="18"/>
              </w:rPr>
            </w:pPr>
            <w:r>
              <w:rPr>
                <w:rFonts w:hint="eastAsia" w:ascii="宋体" w:hAnsi="宋体"/>
                <w:sz w:val="18"/>
                <w:szCs w:val="18"/>
              </w:rPr>
              <w:t>47</w:t>
            </w:r>
          </w:p>
        </w:tc>
        <w:tc>
          <w:tcPr>
            <w:tcW w:w="309" w:type="pct"/>
            <w:vAlign w:val="center"/>
          </w:tcPr>
          <w:p w14:paraId="78056E43">
            <w:pPr>
              <w:ind w:firstLine="0" w:firstLineChars="0"/>
              <w:jc w:val="center"/>
              <w:rPr>
                <w:rFonts w:ascii="宋体" w:hAnsi="宋体"/>
                <w:sz w:val="18"/>
                <w:szCs w:val="18"/>
              </w:rPr>
            </w:pPr>
            <w:r>
              <w:rPr>
                <w:rFonts w:hint="eastAsia" w:ascii="宋体" w:hAnsi="宋体"/>
                <w:sz w:val="18"/>
                <w:szCs w:val="18"/>
              </w:rPr>
              <w:t>152—</w:t>
            </w:r>
          </w:p>
        </w:tc>
        <w:tc>
          <w:tcPr>
            <w:tcW w:w="333" w:type="pct"/>
            <w:vAlign w:val="center"/>
          </w:tcPr>
          <w:p w14:paraId="54EC0EAB">
            <w:pPr>
              <w:ind w:firstLine="0" w:firstLineChars="0"/>
              <w:jc w:val="center"/>
              <w:rPr>
                <w:rFonts w:ascii="宋体" w:hAnsi="宋体"/>
                <w:sz w:val="18"/>
                <w:szCs w:val="18"/>
              </w:rPr>
            </w:pPr>
            <w:r>
              <w:rPr>
                <w:rFonts w:hint="eastAsia" w:ascii="宋体" w:hAnsi="宋体"/>
                <w:sz w:val="18"/>
                <w:szCs w:val="18"/>
              </w:rPr>
              <w:t>—</w:t>
            </w:r>
          </w:p>
        </w:tc>
        <w:tc>
          <w:tcPr>
            <w:tcW w:w="310" w:type="pct"/>
            <w:vAlign w:val="center"/>
          </w:tcPr>
          <w:p w14:paraId="3D82653C">
            <w:pPr>
              <w:ind w:firstLine="0" w:firstLineChars="0"/>
              <w:jc w:val="center"/>
              <w:rPr>
                <w:rFonts w:ascii="宋体" w:hAnsi="宋体"/>
                <w:sz w:val="18"/>
                <w:szCs w:val="18"/>
              </w:rPr>
            </w:pPr>
            <w:r>
              <w:rPr>
                <w:rFonts w:hint="eastAsia" w:ascii="宋体" w:hAnsi="宋体"/>
                <w:sz w:val="18"/>
                <w:szCs w:val="18"/>
              </w:rPr>
              <w:t>—</w:t>
            </w:r>
          </w:p>
        </w:tc>
        <w:tc>
          <w:tcPr>
            <w:tcW w:w="403" w:type="pct"/>
            <w:vAlign w:val="center"/>
          </w:tcPr>
          <w:p w14:paraId="553F4A63">
            <w:pPr>
              <w:ind w:firstLine="0" w:firstLineChars="0"/>
              <w:jc w:val="center"/>
              <w:rPr>
                <w:rFonts w:ascii="宋体" w:hAnsi="宋体"/>
                <w:sz w:val="18"/>
                <w:szCs w:val="18"/>
              </w:rPr>
            </w:pPr>
          </w:p>
        </w:tc>
      </w:tr>
      <w:tr w14:paraId="07E7EB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2" w:type="pct"/>
            <w:vAlign w:val="center"/>
          </w:tcPr>
          <w:p w14:paraId="42815196">
            <w:pPr>
              <w:ind w:firstLine="0" w:firstLineChars="0"/>
              <w:jc w:val="center"/>
              <w:rPr>
                <w:rFonts w:ascii="宋体" w:hAnsi="宋体"/>
                <w:sz w:val="18"/>
                <w:szCs w:val="18"/>
              </w:rPr>
            </w:pPr>
            <w:r>
              <w:rPr>
                <w:rFonts w:hint="eastAsia" w:ascii="宋体" w:hAnsi="宋体"/>
                <w:sz w:val="18"/>
                <w:szCs w:val="18"/>
              </w:rPr>
              <w:t>食用种</w:t>
            </w:r>
          </w:p>
        </w:tc>
        <w:tc>
          <w:tcPr>
            <w:tcW w:w="414" w:type="pct"/>
            <w:vAlign w:val="center"/>
          </w:tcPr>
          <w:p w14:paraId="28AD55A1">
            <w:pPr>
              <w:ind w:firstLine="0" w:firstLineChars="0"/>
              <w:jc w:val="center"/>
              <w:rPr>
                <w:rFonts w:ascii="宋体" w:hAnsi="宋体"/>
                <w:sz w:val="18"/>
                <w:szCs w:val="18"/>
              </w:rPr>
            </w:pPr>
            <w:r>
              <w:rPr>
                <w:rFonts w:hint="eastAsia" w:ascii="宋体" w:hAnsi="宋体"/>
                <w:sz w:val="18"/>
                <w:szCs w:val="18"/>
              </w:rPr>
              <w:t>0.6</w:t>
            </w:r>
          </w:p>
        </w:tc>
        <w:tc>
          <w:tcPr>
            <w:tcW w:w="403" w:type="pct"/>
            <w:vAlign w:val="center"/>
          </w:tcPr>
          <w:p w14:paraId="1C9F6398">
            <w:pPr>
              <w:ind w:firstLine="0" w:firstLineChars="0"/>
              <w:jc w:val="center"/>
              <w:rPr>
                <w:rFonts w:ascii="宋体" w:hAnsi="宋体"/>
                <w:sz w:val="18"/>
                <w:szCs w:val="18"/>
              </w:rPr>
            </w:pPr>
            <w:r>
              <w:rPr>
                <w:rFonts w:hint="eastAsia" w:ascii="宋体" w:hAnsi="宋体"/>
                <w:sz w:val="18"/>
                <w:szCs w:val="18"/>
              </w:rPr>
              <w:t>—</w:t>
            </w:r>
          </w:p>
        </w:tc>
        <w:tc>
          <w:tcPr>
            <w:tcW w:w="452" w:type="pct"/>
            <w:vAlign w:val="center"/>
          </w:tcPr>
          <w:p w14:paraId="2B528C3E">
            <w:pPr>
              <w:ind w:firstLine="0" w:firstLineChars="0"/>
              <w:jc w:val="center"/>
              <w:rPr>
                <w:rFonts w:ascii="宋体" w:hAnsi="宋体"/>
                <w:sz w:val="18"/>
                <w:szCs w:val="18"/>
              </w:rPr>
            </w:pPr>
            <w:r>
              <w:rPr>
                <w:rFonts w:hint="eastAsia" w:ascii="宋体" w:hAnsi="宋体"/>
                <w:sz w:val="18"/>
                <w:szCs w:val="18"/>
              </w:rPr>
              <w:t>—</w:t>
            </w:r>
          </w:p>
        </w:tc>
        <w:tc>
          <w:tcPr>
            <w:tcW w:w="427" w:type="pct"/>
            <w:vAlign w:val="center"/>
          </w:tcPr>
          <w:p w14:paraId="73FEC8CD">
            <w:pPr>
              <w:ind w:firstLine="0" w:firstLineChars="0"/>
              <w:jc w:val="center"/>
              <w:rPr>
                <w:rFonts w:ascii="宋体" w:hAnsi="宋体"/>
                <w:sz w:val="18"/>
                <w:szCs w:val="18"/>
              </w:rPr>
            </w:pPr>
            <w:r>
              <w:rPr>
                <w:rFonts w:hint="eastAsia" w:ascii="宋体" w:hAnsi="宋体"/>
                <w:sz w:val="18"/>
                <w:szCs w:val="18"/>
              </w:rPr>
              <w:t>0.6</w:t>
            </w:r>
          </w:p>
        </w:tc>
        <w:tc>
          <w:tcPr>
            <w:tcW w:w="387" w:type="pct"/>
            <w:vAlign w:val="center"/>
          </w:tcPr>
          <w:p w14:paraId="23EFEC75">
            <w:pPr>
              <w:ind w:firstLine="0" w:firstLineChars="0"/>
              <w:jc w:val="center"/>
              <w:rPr>
                <w:rFonts w:ascii="宋体" w:hAnsi="宋体"/>
                <w:sz w:val="18"/>
                <w:szCs w:val="18"/>
              </w:rPr>
            </w:pPr>
            <w:r>
              <w:rPr>
                <w:rFonts w:hint="eastAsia" w:ascii="宋体" w:hAnsi="宋体"/>
                <w:sz w:val="18"/>
                <w:szCs w:val="18"/>
              </w:rPr>
              <w:t>—</w:t>
            </w:r>
          </w:p>
        </w:tc>
        <w:tc>
          <w:tcPr>
            <w:tcW w:w="452" w:type="pct"/>
            <w:vAlign w:val="center"/>
          </w:tcPr>
          <w:p w14:paraId="2061107F">
            <w:pPr>
              <w:ind w:firstLine="0" w:firstLineChars="0"/>
              <w:jc w:val="center"/>
              <w:rPr>
                <w:rFonts w:ascii="宋体" w:hAnsi="宋体"/>
                <w:sz w:val="18"/>
                <w:szCs w:val="18"/>
              </w:rPr>
            </w:pPr>
            <w:r>
              <w:rPr>
                <w:rFonts w:hint="eastAsia" w:ascii="宋体" w:hAnsi="宋体"/>
                <w:sz w:val="18"/>
                <w:szCs w:val="18"/>
              </w:rPr>
              <w:t>—</w:t>
            </w:r>
          </w:p>
        </w:tc>
        <w:tc>
          <w:tcPr>
            <w:tcW w:w="333" w:type="pct"/>
            <w:vAlign w:val="center"/>
          </w:tcPr>
          <w:p w14:paraId="23A7EA27">
            <w:pPr>
              <w:ind w:firstLine="0" w:firstLineChars="0"/>
              <w:jc w:val="center"/>
              <w:rPr>
                <w:rFonts w:ascii="宋体" w:hAnsi="宋体"/>
                <w:sz w:val="18"/>
                <w:szCs w:val="18"/>
              </w:rPr>
            </w:pPr>
            <w:r>
              <w:rPr>
                <w:rFonts w:hint="eastAsia" w:ascii="宋体" w:hAnsi="宋体"/>
                <w:sz w:val="18"/>
                <w:szCs w:val="18"/>
              </w:rPr>
              <w:t>0.6</w:t>
            </w:r>
          </w:p>
        </w:tc>
        <w:tc>
          <w:tcPr>
            <w:tcW w:w="335" w:type="pct"/>
            <w:vAlign w:val="center"/>
          </w:tcPr>
          <w:p w14:paraId="5469A888">
            <w:pPr>
              <w:ind w:firstLine="0" w:firstLineChars="0"/>
              <w:jc w:val="center"/>
              <w:rPr>
                <w:rFonts w:ascii="宋体" w:hAnsi="宋体"/>
                <w:sz w:val="18"/>
                <w:szCs w:val="18"/>
              </w:rPr>
            </w:pPr>
            <w:r>
              <w:rPr>
                <w:rFonts w:hint="eastAsia" w:ascii="宋体" w:hAnsi="宋体"/>
                <w:sz w:val="18"/>
                <w:szCs w:val="18"/>
              </w:rPr>
              <w:t>0.4</w:t>
            </w:r>
          </w:p>
        </w:tc>
        <w:tc>
          <w:tcPr>
            <w:tcW w:w="309" w:type="pct"/>
            <w:vAlign w:val="center"/>
          </w:tcPr>
          <w:p w14:paraId="62C47B30">
            <w:pPr>
              <w:ind w:firstLine="0" w:firstLineChars="0"/>
              <w:jc w:val="center"/>
              <w:rPr>
                <w:rFonts w:ascii="宋体" w:hAnsi="宋体"/>
                <w:sz w:val="18"/>
                <w:szCs w:val="18"/>
              </w:rPr>
            </w:pPr>
            <w:r>
              <w:rPr>
                <w:rFonts w:hint="eastAsia" w:ascii="宋体" w:hAnsi="宋体"/>
                <w:sz w:val="18"/>
                <w:szCs w:val="18"/>
              </w:rPr>
              <w:t>—</w:t>
            </w:r>
          </w:p>
        </w:tc>
        <w:tc>
          <w:tcPr>
            <w:tcW w:w="333" w:type="pct"/>
            <w:vAlign w:val="center"/>
          </w:tcPr>
          <w:p w14:paraId="52A45C1C">
            <w:pPr>
              <w:ind w:firstLine="0" w:firstLineChars="0"/>
              <w:jc w:val="center"/>
              <w:rPr>
                <w:rFonts w:ascii="宋体" w:hAnsi="宋体"/>
                <w:sz w:val="18"/>
                <w:szCs w:val="18"/>
              </w:rPr>
            </w:pPr>
            <w:r>
              <w:rPr>
                <w:rFonts w:hint="eastAsia" w:ascii="宋体" w:hAnsi="宋体"/>
                <w:sz w:val="18"/>
                <w:szCs w:val="18"/>
              </w:rPr>
              <w:t>—</w:t>
            </w:r>
          </w:p>
        </w:tc>
        <w:tc>
          <w:tcPr>
            <w:tcW w:w="310" w:type="pct"/>
            <w:vAlign w:val="center"/>
          </w:tcPr>
          <w:p w14:paraId="35649B2D">
            <w:pPr>
              <w:ind w:firstLine="0" w:firstLineChars="0"/>
              <w:jc w:val="center"/>
              <w:rPr>
                <w:rFonts w:ascii="宋体" w:hAnsi="宋体"/>
                <w:sz w:val="18"/>
                <w:szCs w:val="18"/>
              </w:rPr>
            </w:pPr>
            <w:r>
              <w:rPr>
                <w:rFonts w:hint="eastAsia" w:ascii="宋体" w:hAnsi="宋体"/>
                <w:sz w:val="18"/>
                <w:szCs w:val="18"/>
              </w:rPr>
              <w:t>—</w:t>
            </w:r>
          </w:p>
        </w:tc>
        <w:tc>
          <w:tcPr>
            <w:tcW w:w="403" w:type="pct"/>
            <w:vAlign w:val="center"/>
          </w:tcPr>
          <w:p w14:paraId="5B4A115D">
            <w:pPr>
              <w:ind w:firstLine="0" w:firstLineChars="0"/>
              <w:jc w:val="center"/>
              <w:rPr>
                <w:rFonts w:ascii="宋体" w:hAnsi="宋体"/>
                <w:sz w:val="18"/>
                <w:szCs w:val="18"/>
              </w:rPr>
            </w:pPr>
            <w:r>
              <w:rPr>
                <w:rFonts w:hint="eastAsia" w:ascii="宋体" w:hAnsi="宋体"/>
                <w:sz w:val="18"/>
                <w:szCs w:val="18"/>
              </w:rPr>
              <w:t>—</w:t>
            </w:r>
          </w:p>
        </w:tc>
      </w:tr>
      <w:tr w14:paraId="0E5E31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2" w:type="pct"/>
            <w:vAlign w:val="center"/>
          </w:tcPr>
          <w:p w14:paraId="70C4C4AE">
            <w:pPr>
              <w:ind w:firstLine="0" w:firstLineChars="0"/>
              <w:jc w:val="center"/>
              <w:rPr>
                <w:rFonts w:ascii="宋体" w:hAnsi="宋体"/>
                <w:sz w:val="18"/>
                <w:szCs w:val="18"/>
              </w:rPr>
            </w:pPr>
            <w:r>
              <w:rPr>
                <w:rFonts w:hint="eastAsia" w:ascii="宋体" w:hAnsi="宋体"/>
                <w:sz w:val="18"/>
                <w:szCs w:val="18"/>
              </w:rPr>
              <w:t>药用种</w:t>
            </w:r>
          </w:p>
        </w:tc>
        <w:tc>
          <w:tcPr>
            <w:tcW w:w="414" w:type="pct"/>
            <w:vAlign w:val="center"/>
          </w:tcPr>
          <w:p w14:paraId="00A1357B">
            <w:pPr>
              <w:ind w:firstLine="0" w:firstLineChars="0"/>
              <w:jc w:val="center"/>
              <w:rPr>
                <w:rFonts w:ascii="宋体" w:hAnsi="宋体"/>
                <w:sz w:val="18"/>
                <w:szCs w:val="18"/>
              </w:rPr>
            </w:pPr>
            <w:r>
              <w:rPr>
                <w:rFonts w:hint="eastAsia" w:ascii="宋体" w:hAnsi="宋体"/>
                <w:sz w:val="18"/>
                <w:szCs w:val="18"/>
              </w:rPr>
              <w:t>53.5</w:t>
            </w:r>
          </w:p>
        </w:tc>
        <w:tc>
          <w:tcPr>
            <w:tcW w:w="403" w:type="pct"/>
            <w:vAlign w:val="center"/>
          </w:tcPr>
          <w:p w14:paraId="46482103">
            <w:pPr>
              <w:ind w:firstLine="0" w:firstLineChars="0"/>
              <w:jc w:val="center"/>
              <w:rPr>
                <w:rFonts w:ascii="宋体" w:hAnsi="宋体"/>
                <w:sz w:val="18"/>
                <w:szCs w:val="18"/>
              </w:rPr>
            </w:pPr>
            <w:r>
              <w:rPr>
                <w:rFonts w:hint="eastAsia" w:ascii="宋体" w:hAnsi="宋体"/>
                <w:sz w:val="18"/>
                <w:szCs w:val="18"/>
              </w:rPr>
              <w:t>0.06</w:t>
            </w:r>
          </w:p>
        </w:tc>
        <w:tc>
          <w:tcPr>
            <w:tcW w:w="452" w:type="pct"/>
            <w:vAlign w:val="center"/>
          </w:tcPr>
          <w:p w14:paraId="33DAAD61">
            <w:pPr>
              <w:ind w:firstLine="0" w:firstLineChars="0"/>
              <w:jc w:val="center"/>
              <w:rPr>
                <w:rFonts w:ascii="宋体" w:hAnsi="宋体"/>
                <w:sz w:val="18"/>
                <w:szCs w:val="18"/>
              </w:rPr>
            </w:pPr>
            <w:r>
              <w:rPr>
                <w:rFonts w:hint="eastAsia" w:ascii="宋体" w:hAnsi="宋体"/>
                <w:sz w:val="18"/>
                <w:szCs w:val="18"/>
              </w:rPr>
              <w:t>40</w:t>
            </w:r>
          </w:p>
        </w:tc>
        <w:tc>
          <w:tcPr>
            <w:tcW w:w="427" w:type="pct"/>
            <w:vAlign w:val="center"/>
          </w:tcPr>
          <w:p w14:paraId="5311262C">
            <w:pPr>
              <w:ind w:firstLine="0" w:firstLineChars="0"/>
              <w:jc w:val="center"/>
              <w:rPr>
                <w:rFonts w:ascii="宋体" w:hAnsi="宋体"/>
                <w:sz w:val="18"/>
                <w:szCs w:val="18"/>
              </w:rPr>
            </w:pPr>
            <w:r>
              <w:rPr>
                <w:rFonts w:hint="eastAsia" w:ascii="宋体" w:hAnsi="宋体"/>
                <w:sz w:val="18"/>
                <w:szCs w:val="18"/>
              </w:rPr>
              <w:t>53.5</w:t>
            </w:r>
          </w:p>
        </w:tc>
        <w:tc>
          <w:tcPr>
            <w:tcW w:w="387" w:type="pct"/>
            <w:vAlign w:val="center"/>
          </w:tcPr>
          <w:p w14:paraId="2AF3A5E9">
            <w:pPr>
              <w:ind w:firstLine="0" w:firstLineChars="0"/>
              <w:jc w:val="center"/>
              <w:rPr>
                <w:rFonts w:ascii="宋体" w:hAnsi="宋体"/>
                <w:sz w:val="18"/>
                <w:szCs w:val="18"/>
              </w:rPr>
            </w:pPr>
            <w:r>
              <w:rPr>
                <w:rFonts w:hint="eastAsia" w:ascii="宋体" w:hAnsi="宋体"/>
                <w:sz w:val="18"/>
                <w:szCs w:val="18"/>
              </w:rPr>
              <w:t>0.07</w:t>
            </w:r>
          </w:p>
        </w:tc>
        <w:tc>
          <w:tcPr>
            <w:tcW w:w="452" w:type="pct"/>
            <w:vAlign w:val="center"/>
          </w:tcPr>
          <w:p w14:paraId="5CFF197A">
            <w:pPr>
              <w:ind w:firstLine="0" w:firstLineChars="0"/>
              <w:jc w:val="center"/>
              <w:rPr>
                <w:rFonts w:ascii="宋体" w:hAnsi="宋体"/>
                <w:sz w:val="18"/>
                <w:szCs w:val="18"/>
              </w:rPr>
            </w:pPr>
            <w:r>
              <w:rPr>
                <w:rFonts w:hint="eastAsia" w:ascii="宋体" w:hAnsi="宋体"/>
                <w:sz w:val="18"/>
                <w:szCs w:val="18"/>
              </w:rPr>
              <w:t>40</w:t>
            </w:r>
          </w:p>
        </w:tc>
        <w:tc>
          <w:tcPr>
            <w:tcW w:w="333" w:type="pct"/>
            <w:vAlign w:val="center"/>
          </w:tcPr>
          <w:p w14:paraId="0A993E02">
            <w:pPr>
              <w:ind w:firstLine="0" w:firstLineChars="0"/>
              <w:jc w:val="center"/>
              <w:rPr>
                <w:rFonts w:ascii="宋体" w:hAnsi="宋体"/>
                <w:sz w:val="18"/>
                <w:szCs w:val="18"/>
              </w:rPr>
            </w:pPr>
            <w:r>
              <w:rPr>
                <w:rFonts w:hint="eastAsia" w:ascii="宋体" w:hAnsi="宋体"/>
                <w:sz w:val="18"/>
                <w:szCs w:val="18"/>
              </w:rPr>
              <w:t>53.5</w:t>
            </w:r>
          </w:p>
        </w:tc>
        <w:tc>
          <w:tcPr>
            <w:tcW w:w="335" w:type="pct"/>
            <w:vAlign w:val="center"/>
          </w:tcPr>
          <w:p w14:paraId="46BE80D1">
            <w:pPr>
              <w:ind w:firstLine="0" w:firstLineChars="0"/>
              <w:jc w:val="center"/>
              <w:rPr>
                <w:rFonts w:ascii="宋体" w:hAnsi="宋体"/>
                <w:sz w:val="18"/>
                <w:szCs w:val="18"/>
              </w:rPr>
            </w:pPr>
            <w:r>
              <w:rPr>
                <w:rFonts w:hint="eastAsia" w:ascii="宋体" w:hAnsi="宋体"/>
                <w:sz w:val="18"/>
                <w:szCs w:val="18"/>
              </w:rPr>
              <w:t>39.1</w:t>
            </w:r>
          </w:p>
        </w:tc>
        <w:tc>
          <w:tcPr>
            <w:tcW w:w="309" w:type="pct"/>
            <w:vAlign w:val="center"/>
          </w:tcPr>
          <w:p w14:paraId="5D76FD4F">
            <w:pPr>
              <w:ind w:firstLine="0" w:firstLineChars="0"/>
              <w:jc w:val="center"/>
              <w:rPr>
                <w:rFonts w:ascii="宋体" w:hAnsi="宋体"/>
                <w:sz w:val="18"/>
                <w:szCs w:val="18"/>
              </w:rPr>
            </w:pPr>
            <w:r>
              <w:rPr>
                <w:rFonts w:hint="eastAsia" w:ascii="宋体" w:hAnsi="宋体"/>
                <w:sz w:val="18"/>
                <w:szCs w:val="18"/>
              </w:rPr>
              <w:t>40</w:t>
            </w:r>
          </w:p>
        </w:tc>
        <w:tc>
          <w:tcPr>
            <w:tcW w:w="333" w:type="pct"/>
            <w:vAlign w:val="center"/>
          </w:tcPr>
          <w:p w14:paraId="2FB34E06">
            <w:pPr>
              <w:ind w:firstLine="0" w:firstLineChars="0"/>
              <w:jc w:val="center"/>
              <w:rPr>
                <w:rFonts w:ascii="宋体" w:hAnsi="宋体"/>
                <w:sz w:val="18"/>
                <w:szCs w:val="18"/>
              </w:rPr>
            </w:pPr>
            <w:r>
              <w:rPr>
                <w:rFonts w:hint="eastAsia" w:ascii="宋体" w:hAnsi="宋体"/>
                <w:sz w:val="18"/>
                <w:szCs w:val="18"/>
              </w:rPr>
              <w:t>—</w:t>
            </w:r>
          </w:p>
        </w:tc>
        <w:tc>
          <w:tcPr>
            <w:tcW w:w="310" w:type="pct"/>
            <w:vAlign w:val="center"/>
          </w:tcPr>
          <w:p w14:paraId="3EB84BF6">
            <w:pPr>
              <w:ind w:firstLine="0" w:firstLineChars="0"/>
              <w:jc w:val="center"/>
              <w:rPr>
                <w:rFonts w:ascii="宋体" w:hAnsi="宋体"/>
                <w:sz w:val="18"/>
                <w:szCs w:val="18"/>
              </w:rPr>
            </w:pPr>
            <w:r>
              <w:rPr>
                <w:rFonts w:hint="eastAsia" w:ascii="宋体" w:hAnsi="宋体"/>
                <w:sz w:val="18"/>
                <w:szCs w:val="18"/>
              </w:rPr>
              <w:t>—</w:t>
            </w:r>
          </w:p>
        </w:tc>
        <w:tc>
          <w:tcPr>
            <w:tcW w:w="403" w:type="pct"/>
            <w:vAlign w:val="center"/>
          </w:tcPr>
          <w:p w14:paraId="71968FBD">
            <w:pPr>
              <w:ind w:firstLine="0" w:firstLineChars="0"/>
              <w:jc w:val="center"/>
              <w:rPr>
                <w:rFonts w:ascii="宋体" w:hAnsi="宋体"/>
                <w:sz w:val="18"/>
                <w:szCs w:val="18"/>
              </w:rPr>
            </w:pPr>
            <w:r>
              <w:rPr>
                <w:rFonts w:hint="eastAsia" w:ascii="宋体" w:hAnsi="宋体"/>
                <w:sz w:val="18"/>
                <w:szCs w:val="18"/>
              </w:rPr>
              <w:t>—</w:t>
            </w:r>
          </w:p>
        </w:tc>
      </w:tr>
      <w:tr w14:paraId="0676A57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2" w:type="pct"/>
            <w:vAlign w:val="center"/>
          </w:tcPr>
          <w:p w14:paraId="383262E8">
            <w:pPr>
              <w:ind w:firstLine="0" w:firstLineChars="0"/>
              <w:jc w:val="center"/>
              <w:rPr>
                <w:rFonts w:ascii="宋体" w:hAnsi="宋体"/>
                <w:sz w:val="18"/>
                <w:szCs w:val="18"/>
              </w:rPr>
            </w:pPr>
            <w:r>
              <w:rPr>
                <w:rFonts w:hint="eastAsia" w:ascii="宋体" w:hAnsi="宋体"/>
                <w:sz w:val="18"/>
                <w:szCs w:val="18"/>
              </w:rPr>
              <w:t>其  他</w:t>
            </w:r>
          </w:p>
          <w:p w14:paraId="1CB3962F">
            <w:pPr>
              <w:ind w:firstLine="0" w:firstLineChars="0"/>
              <w:jc w:val="center"/>
              <w:rPr>
                <w:rFonts w:ascii="宋体" w:hAnsi="宋体"/>
                <w:sz w:val="18"/>
                <w:szCs w:val="18"/>
              </w:rPr>
            </w:pPr>
            <w:r>
              <w:rPr>
                <w:rFonts w:hint="eastAsia" w:ascii="宋体" w:hAnsi="宋体"/>
                <w:sz w:val="18"/>
                <w:szCs w:val="18"/>
              </w:rPr>
              <w:t>经济林</w:t>
            </w:r>
          </w:p>
        </w:tc>
        <w:tc>
          <w:tcPr>
            <w:tcW w:w="414" w:type="pct"/>
            <w:vAlign w:val="center"/>
          </w:tcPr>
          <w:p w14:paraId="15EBB79D">
            <w:pPr>
              <w:ind w:firstLine="0" w:firstLineChars="0"/>
              <w:jc w:val="center"/>
              <w:rPr>
                <w:rFonts w:ascii="宋体" w:hAnsi="宋体"/>
                <w:sz w:val="18"/>
                <w:szCs w:val="18"/>
              </w:rPr>
            </w:pPr>
            <w:r>
              <w:rPr>
                <w:rFonts w:hint="eastAsia" w:ascii="宋体" w:hAnsi="宋体"/>
                <w:sz w:val="18"/>
                <w:szCs w:val="18"/>
              </w:rPr>
              <w:t>18.4</w:t>
            </w:r>
          </w:p>
        </w:tc>
        <w:tc>
          <w:tcPr>
            <w:tcW w:w="403" w:type="pct"/>
            <w:vAlign w:val="center"/>
          </w:tcPr>
          <w:p w14:paraId="23847F7D">
            <w:pPr>
              <w:ind w:firstLine="0" w:firstLineChars="0"/>
              <w:jc w:val="center"/>
              <w:rPr>
                <w:rFonts w:ascii="宋体" w:hAnsi="宋体"/>
                <w:sz w:val="18"/>
                <w:szCs w:val="18"/>
              </w:rPr>
            </w:pPr>
            <w:r>
              <w:rPr>
                <w:rFonts w:hint="eastAsia" w:ascii="宋体" w:hAnsi="宋体"/>
                <w:sz w:val="18"/>
                <w:szCs w:val="18"/>
              </w:rPr>
              <w:t>0.02</w:t>
            </w:r>
          </w:p>
        </w:tc>
        <w:tc>
          <w:tcPr>
            <w:tcW w:w="452" w:type="pct"/>
            <w:vAlign w:val="center"/>
          </w:tcPr>
          <w:p w14:paraId="0B89465E">
            <w:pPr>
              <w:ind w:firstLine="0" w:firstLineChars="0"/>
              <w:jc w:val="center"/>
              <w:rPr>
                <w:rFonts w:ascii="宋体" w:hAnsi="宋体"/>
                <w:sz w:val="18"/>
                <w:szCs w:val="18"/>
              </w:rPr>
            </w:pPr>
            <w:r>
              <w:rPr>
                <w:rFonts w:hint="eastAsia" w:ascii="宋体" w:hAnsi="宋体"/>
                <w:sz w:val="18"/>
                <w:szCs w:val="18"/>
              </w:rPr>
              <w:t>—</w:t>
            </w:r>
          </w:p>
        </w:tc>
        <w:tc>
          <w:tcPr>
            <w:tcW w:w="427" w:type="pct"/>
            <w:vAlign w:val="center"/>
          </w:tcPr>
          <w:p w14:paraId="1545FC1B">
            <w:pPr>
              <w:ind w:firstLine="0" w:firstLineChars="0"/>
              <w:jc w:val="center"/>
              <w:rPr>
                <w:rFonts w:ascii="宋体" w:hAnsi="宋体"/>
                <w:sz w:val="18"/>
                <w:szCs w:val="18"/>
              </w:rPr>
            </w:pPr>
            <w:r>
              <w:rPr>
                <w:rFonts w:hint="eastAsia" w:ascii="宋体" w:hAnsi="宋体"/>
                <w:sz w:val="18"/>
                <w:szCs w:val="18"/>
              </w:rPr>
              <w:t>—</w:t>
            </w:r>
          </w:p>
        </w:tc>
        <w:tc>
          <w:tcPr>
            <w:tcW w:w="387" w:type="pct"/>
            <w:vAlign w:val="center"/>
          </w:tcPr>
          <w:p w14:paraId="2327DEE1">
            <w:pPr>
              <w:ind w:firstLine="0" w:firstLineChars="0"/>
              <w:jc w:val="center"/>
              <w:rPr>
                <w:rFonts w:ascii="宋体" w:hAnsi="宋体"/>
                <w:sz w:val="18"/>
                <w:szCs w:val="18"/>
              </w:rPr>
            </w:pPr>
            <w:r>
              <w:rPr>
                <w:rFonts w:hint="eastAsia" w:ascii="宋体" w:hAnsi="宋体"/>
                <w:sz w:val="18"/>
                <w:szCs w:val="18"/>
              </w:rPr>
              <w:t>—</w:t>
            </w:r>
          </w:p>
        </w:tc>
        <w:tc>
          <w:tcPr>
            <w:tcW w:w="452" w:type="pct"/>
            <w:vAlign w:val="center"/>
          </w:tcPr>
          <w:p w14:paraId="365910DC">
            <w:pPr>
              <w:ind w:firstLine="0" w:firstLineChars="0"/>
              <w:jc w:val="center"/>
              <w:rPr>
                <w:rFonts w:ascii="宋体" w:hAnsi="宋体"/>
                <w:sz w:val="18"/>
                <w:szCs w:val="18"/>
              </w:rPr>
            </w:pPr>
            <w:r>
              <w:rPr>
                <w:rFonts w:hint="eastAsia" w:ascii="宋体" w:hAnsi="宋体"/>
                <w:sz w:val="18"/>
                <w:szCs w:val="18"/>
              </w:rPr>
              <w:t>—</w:t>
            </w:r>
          </w:p>
        </w:tc>
        <w:tc>
          <w:tcPr>
            <w:tcW w:w="333" w:type="pct"/>
            <w:vAlign w:val="center"/>
          </w:tcPr>
          <w:p w14:paraId="479857CA">
            <w:pPr>
              <w:ind w:firstLine="0" w:firstLineChars="0"/>
              <w:jc w:val="center"/>
              <w:rPr>
                <w:rFonts w:ascii="宋体" w:hAnsi="宋体"/>
                <w:sz w:val="18"/>
                <w:szCs w:val="18"/>
              </w:rPr>
            </w:pPr>
            <w:r>
              <w:rPr>
                <w:rFonts w:hint="eastAsia" w:ascii="宋体" w:hAnsi="宋体"/>
                <w:sz w:val="18"/>
                <w:szCs w:val="18"/>
              </w:rPr>
              <w:t>18.4</w:t>
            </w:r>
          </w:p>
        </w:tc>
        <w:tc>
          <w:tcPr>
            <w:tcW w:w="335" w:type="pct"/>
            <w:vAlign w:val="center"/>
          </w:tcPr>
          <w:p w14:paraId="2FEE341F">
            <w:pPr>
              <w:ind w:firstLine="0" w:firstLineChars="0"/>
              <w:jc w:val="center"/>
              <w:rPr>
                <w:rFonts w:ascii="宋体" w:hAnsi="宋体"/>
                <w:sz w:val="18"/>
                <w:szCs w:val="18"/>
              </w:rPr>
            </w:pPr>
            <w:r>
              <w:rPr>
                <w:rFonts w:hint="eastAsia" w:ascii="宋体" w:hAnsi="宋体"/>
                <w:sz w:val="18"/>
                <w:szCs w:val="18"/>
              </w:rPr>
              <w:t>13.5</w:t>
            </w:r>
          </w:p>
        </w:tc>
        <w:tc>
          <w:tcPr>
            <w:tcW w:w="309" w:type="pct"/>
            <w:vAlign w:val="center"/>
          </w:tcPr>
          <w:p w14:paraId="56572532">
            <w:pPr>
              <w:ind w:firstLine="0" w:firstLineChars="0"/>
              <w:jc w:val="center"/>
              <w:rPr>
                <w:rFonts w:ascii="宋体" w:hAnsi="宋体"/>
                <w:sz w:val="18"/>
                <w:szCs w:val="18"/>
              </w:rPr>
            </w:pPr>
            <w:r>
              <w:rPr>
                <w:rFonts w:hint="eastAsia" w:ascii="宋体" w:hAnsi="宋体"/>
                <w:sz w:val="18"/>
                <w:szCs w:val="18"/>
              </w:rPr>
              <w:t>—</w:t>
            </w:r>
          </w:p>
        </w:tc>
        <w:tc>
          <w:tcPr>
            <w:tcW w:w="333" w:type="pct"/>
            <w:vAlign w:val="center"/>
          </w:tcPr>
          <w:p w14:paraId="552F2298">
            <w:pPr>
              <w:ind w:firstLine="0" w:firstLineChars="0"/>
              <w:jc w:val="center"/>
              <w:rPr>
                <w:rFonts w:ascii="宋体" w:hAnsi="宋体"/>
                <w:sz w:val="18"/>
                <w:szCs w:val="18"/>
              </w:rPr>
            </w:pPr>
            <w:r>
              <w:rPr>
                <w:rFonts w:hint="eastAsia" w:ascii="宋体" w:hAnsi="宋体"/>
                <w:sz w:val="18"/>
                <w:szCs w:val="18"/>
              </w:rPr>
              <w:t>—</w:t>
            </w:r>
          </w:p>
        </w:tc>
        <w:tc>
          <w:tcPr>
            <w:tcW w:w="310" w:type="pct"/>
            <w:vAlign w:val="center"/>
          </w:tcPr>
          <w:p w14:paraId="326B483E">
            <w:pPr>
              <w:ind w:firstLine="0" w:firstLineChars="0"/>
              <w:jc w:val="center"/>
              <w:rPr>
                <w:rFonts w:ascii="宋体" w:hAnsi="宋体"/>
                <w:sz w:val="18"/>
                <w:szCs w:val="18"/>
              </w:rPr>
            </w:pPr>
            <w:r>
              <w:rPr>
                <w:rFonts w:hint="eastAsia" w:ascii="宋体" w:hAnsi="宋体"/>
                <w:sz w:val="18"/>
                <w:szCs w:val="18"/>
              </w:rPr>
              <w:t>—</w:t>
            </w:r>
          </w:p>
        </w:tc>
        <w:tc>
          <w:tcPr>
            <w:tcW w:w="403" w:type="pct"/>
            <w:vAlign w:val="center"/>
          </w:tcPr>
          <w:p w14:paraId="45271D81">
            <w:pPr>
              <w:ind w:firstLine="0" w:firstLineChars="0"/>
              <w:jc w:val="center"/>
              <w:rPr>
                <w:rFonts w:ascii="宋体" w:hAnsi="宋体"/>
                <w:sz w:val="18"/>
                <w:szCs w:val="18"/>
              </w:rPr>
            </w:pPr>
            <w:r>
              <w:rPr>
                <w:rFonts w:hint="eastAsia" w:ascii="宋体" w:hAnsi="宋体"/>
                <w:sz w:val="18"/>
                <w:szCs w:val="18"/>
              </w:rPr>
              <w:t>—</w:t>
            </w:r>
          </w:p>
        </w:tc>
      </w:tr>
    </w:tbl>
    <w:p w14:paraId="51AEA833">
      <w:pPr>
        <w:pStyle w:val="4"/>
        <w:rPr>
          <w:rFonts w:ascii="宋体" w:hAnsi="宋体"/>
        </w:rPr>
      </w:pPr>
      <w:r>
        <w:rPr>
          <w:rFonts w:hint="eastAsia" w:ascii="宋体" w:hAnsi="宋体"/>
        </w:rPr>
        <w:t>第三节  造林育林</w:t>
      </w:r>
    </w:p>
    <w:p w14:paraId="79316495">
      <w:pPr>
        <w:ind w:firstLine="420"/>
        <w:rPr>
          <w:rFonts w:ascii="宋体" w:hAnsi="宋体"/>
          <w:szCs w:val="21"/>
        </w:rPr>
      </w:pPr>
      <w:r>
        <w:rPr>
          <w:rFonts w:hint="eastAsia" w:ascii="宋体" w:hAnsi="宋体"/>
          <w:szCs w:val="21"/>
        </w:rPr>
        <w:t>南雄山区农民在古代就有营造经济林习惯，尤以作为制造土纸原料的毛竹，营造面积更大。油茶、油桐、棕、果树等面积不多，大多作自给性生产经营。在少数具备水运木材条件的地区，亦有挖取野生杉苗营造用材林的习惯。在中部盆地农业区大多培育野生树木作为“后龙山”的“风水”林和河、圳、塘库的防护林。由政府倡导造林始于民国。</w:t>
      </w:r>
    </w:p>
    <w:p w14:paraId="2DB3A6C0">
      <w:pPr>
        <w:pStyle w:val="5"/>
        <w:rPr>
          <w:rFonts w:ascii="宋体" w:hAnsi="宋体"/>
        </w:rPr>
      </w:pPr>
      <w:r>
        <w:rPr>
          <w:rFonts w:hint="eastAsia" w:ascii="宋体" w:hAnsi="宋体"/>
        </w:rPr>
        <w:t>一、造林面积</w:t>
      </w:r>
    </w:p>
    <w:p w14:paraId="29C0C056">
      <w:pPr>
        <w:ind w:firstLine="420"/>
        <w:rPr>
          <w:rFonts w:ascii="宋体" w:hAnsi="宋体"/>
          <w:szCs w:val="21"/>
        </w:rPr>
      </w:pPr>
      <w:r>
        <w:rPr>
          <w:rFonts w:hint="eastAsia" w:ascii="宋体" w:hAnsi="宋体"/>
          <w:szCs w:val="21"/>
        </w:rPr>
        <w:t>中华人民共和国成立后，通过土地改革，把</w:t>
      </w:r>
      <w:r>
        <w:rPr>
          <w:rFonts w:ascii="宋体" w:hAnsi="宋体"/>
          <w:szCs w:val="21"/>
        </w:rPr>
        <w:t>1</w:t>
      </w:r>
      <w:r>
        <w:rPr>
          <w:rFonts w:hint="eastAsia" w:ascii="宋体" w:hAnsi="宋体"/>
          <w:szCs w:val="21"/>
        </w:rPr>
        <w:t>33</w:t>
      </w:r>
      <w:r>
        <w:rPr>
          <w:rFonts w:ascii="宋体" w:hAnsi="宋体"/>
          <w:szCs w:val="21"/>
        </w:rPr>
        <w:t>333.33公顷山林分给农民，家家</w:t>
      </w:r>
      <w:r>
        <w:rPr>
          <w:rFonts w:hint="eastAsia" w:ascii="宋体" w:hAnsi="宋体"/>
          <w:szCs w:val="21"/>
        </w:rPr>
        <w:t>户户开始自主造林。</w:t>
      </w:r>
      <w:r>
        <w:rPr>
          <w:rFonts w:ascii="宋体" w:hAnsi="宋体"/>
          <w:szCs w:val="21"/>
        </w:rPr>
        <w:t>1956年实现了农业合作化，山林和耕地归农业社集体所有，开</w:t>
      </w:r>
      <w:r>
        <w:rPr>
          <w:rFonts w:hint="eastAsia" w:ascii="宋体" w:hAnsi="宋体"/>
          <w:szCs w:val="21"/>
        </w:rPr>
        <w:t>始办社队林场，进行集体造林。改革开放以后，</w:t>
      </w:r>
      <w:r>
        <w:rPr>
          <w:rFonts w:ascii="宋体" w:hAnsi="宋体"/>
          <w:szCs w:val="21"/>
        </w:rPr>
        <w:t>1981年5月至1982年1月，进行山</w:t>
      </w:r>
      <w:r>
        <w:rPr>
          <w:rFonts w:hint="eastAsia" w:ascii="宋体" w:hAnsi="宋体"/>
          <w:szCs w:val="21"/>
        </w:rPr>
        <w:t>林发证，稳定山林权属，给社员划定自留山，余下的为责任山，由社员自愿承包经营，鼓励农民户办或联户承包责任山办林场。形成国营林场、乡（镇）、村办林场、户办联户办林场多种形式的营林育林体制。</w:t>
      </w:r>
      <w:r>
        <w:rPr>
          <w:rFonts w:ascii="宋体" w:hAnsi="宋体"/>
          <w:szCs w:val="21"/>
        </w:rPr>
        <w:t>1951年至1957年全县造林面积6321.4公</w:t>
      </w:r>
      <w:r>
        <w:rPr>
          <w:rFonts w:hint="eastAsia" w:ascii="宋体" w:hAnsi="宋体"/>
          <w:szCs w:val="21"/>
        </w:rPr>
        <w:t>顷，年平均</w:t>
      </w:r>
      <w:r>
        <w:rPr>
          <w:rFonts w:ascii="宋体" w:hAnsi="宋体"/>
          <w:szCs w:val="21"/>
        </w:rPr>
        <w:t>903公顷；1958年至1981年共造林41767.47公顷，年平均1740.33公</w:t>
      </w:r>
      <w:r>
        <w:rPr>
          <w:rFonts w:hint="eastAsia" w:ascii="宋体" w:hAnsi="宋体"/>
          <w:szCs w:val="21"/>
        </w:rPr>
        <w:t>顷；</w:t>
      </w:r>
      <w:r>
        <w:rPr>
          <w:rFonts w:ascii="宋体" w:hAnsi="宋体"/>
          <w:szCs w:val="21"/>
        </w:rPr>
        <w:t>1982年至1987年共造林28934.47公顷，年平均4822.4公顷，比人民公社化时</w:t>
      </w:r>
      <w:r>
        <w:rPr>
          <w:rFonts w:hint="eastAsia" w:ascii="宋体" w:hAnsi="宋体"/>
          <w:szCs w:val="21"/>
        </w:rPr>
        <w:t>期</w:t>
      </w:r>
      <w:r>
        <w:rPr>
          <w:rFonts w:ascii="宋体" w:hAnsi="宋体"/>
          <w:szCs w:val="21"/>
        </w:rPr>
        <w:t>24年平均数多1.77倍。1988年至2004年造林面积22489公顷，年平均1322.87</w:t>
      </w:r>
      <w:r>
        <w:rPr>
          <w:rFonts w:hint="eastAsia" w:ascii="宋体" w:hAnsi="宋体"/>
          <w:szCs w:val="21"/>
        </w:rPr>
        <w:t>公顷。</w:t>
      </w:r>
    </w:p>
    <w:p w14:paraId="7337AC3B">
      <w:pPr>
        <w:ind w:firstLine="0" w:firstLineChars="0"/>
        <w:jc w:val="center"/>
        <w:rPr>
          <w:rFonts w:ascii="宋体" w:hAnsi="宋体"/>
          <w:b/>
          <w:szCs w:val="21"/>
        </w:rPr>
      </w:pPr>
      <w:r>
        <w:rPr>
          <w:rFonts w:hint="eastAsia" w:ascii="宋体" w:hAnsi="宋体"/>
          <w:b/>
          <w:szCs w:val="21"/>
        </w:rPr>
        <w:t>南雄市</w:t>
      </w:r>
      <w:r>
        <w:rPr>
          <w:rFonts w:ascii="宋体" w:hAnsi="宋体"/>
          <w:b/>
          <w:szCs w:val="21"/>
        </w:rPr>
        <w:t>1988年至2004年造林、育苗、采种统计</w:t>
      </w:r>
    </w:p>
    <w:p w14:paraId="3DBFBEC8">
      <w:pPr>
        <w:ind w:firstLine="0" w:firstLineChars="0"/>
        <w:rPr>
          <w:rFonts w:ascii="宋体" w:hAnsi="宋体"/>
          <w:b/>
          <w:szCs w:val="21"/>
        </w:rPr>
      </w:pPr>
      <w:r>
        <w:rPr>
          <w:rFonts w:hint="eastAsia" w:ascii="宋体" w:hAnsi="宋体"/>
          <w:b/>
          <w:szCs w:val="21"/>
        </w:rPr>
        <w:t>表</w:t>
      </w:r>
      <w:r>
        <w:rPr>
          <w:rFonts w:ascii="宋体" w:hAnsi="宋体"/>
          <w:b/>
          <w:szCs w:val="21"/>
        </w:rPr>
        <w:t>2-22</w:t>
      </w:r>
    </w:p>
    <w:p w14:paraId="6B50C9B8">
      <w:pPr>
        <w:ind w:firstLine="422"/>
        <w:jc w:val="right"/>
        <w:rPr>
          <w:rFonts w:ascii="宋体" w:hAnsi="宋体"/>
          <w:b/>
          <w:szCs w:val="21"/>
        </w:rPr>
      </w:pPr>
      <w:r>
        <w:rPr>
          <w:rFonts w:ascii="宋体" w:hAnsi="宋体"/>
          <w:b/>
          <w:szCs w:val="21"/>
        </w:rPr>
        <w:t>单位：公顷、公斤</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53"/>
        <w:gridCol w:w="689"/>
        <w:gridCol w:w="968"/>
        <w:gridCol w:w="1106"/>
        <w:gridCol w:w="1106"/>
        <w:gridCol w:w="1108"/>
        <w:gridCol w:w="1108"/>
        <w:gridCol w:w="1108"/>
        <w:gridCol w:w="1108"/>
        <w:gridCol w:w="1108"/>
      </w:tblGrid>
      <w:tr w14:paraId="5E73F7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623" w:type="pct"/>
            <w:gridSpan w:val="2"/>
            <w:vMerge w:val="restart"/>
            <w:vAlign w:val="center"/>
          </w:tcPr>
          <w:p w14:paraId="40B61EDD">
            <w:pPr>
              <w:pStyle w:val="12"/>
              <w:jc w:val="center"/>
              <w:rPr>
                <w:rFonts w:ascii="宋体" w:hAnsi="宋体"/>
                <w:b/>
              </w:rPr>
            </w:pPr>
            <w:r>
              <w:rPr>
                <w:rFonts w:hint="eastAsia" w:ascii="宋体" w:hAnsi="宋体"/>
                <w:b/>
              </w:rPr>
              <w:t>年份</w:t>
            </w:r>
          </w:p>
        </w:tc>
        <w:tc>
          <w:tcPr>
            <w:tcW w:w="486" w:type="pct"/>
            <w:vMerge w:val="restart"/>
            <w:vAlign w:val="center"/>
          </w:tcPr>
          <w:p w14:paraId="1D816541">
            <w:pPr>
              <w:pStyle w:val="12"/>
              <w:jc w:val="center"/>
              <w:rPr>
                <w:rFonts w:ascii="宋体" w:hAnsi="宋体"/>
                <w:b/>
              </w:rPr>
            </w:pPr>
            <w:r>
              <w:rPr>
                <w:rFonts w:hint="eastAsia" w:ascii="宋体" w:hAnsi="宋体"/>
                <w:b/>
              </w:rPr>
              <w:t>造林面积</w:t>
            </w:r>
          </w:p>
        </w:tc>
        <w:tc>
          <w:tcPr>
            <w:tcW w:w="2222" w:type="pct"/>
            <w:gridSpan w:val="4"/>
            <w:vAlign w:val="center"/>
          </w:tcPr>
          <w:p w14:paraId="0B9BA45F">
            <w:pPr>
              <w:pStyle w:val="12"/>
              <w:jc w:val="center"/>
              <w:rPr>
                <w:rFonts w:ascii="宋体" w:hAnsi="宋体"/>
                <w:b/>
              </w:rPr>
            </w:pPr>
            <w:r>
              <w:rPr>
                <w:rFonts w:hint="eastAsia" w:ascii="宋体" w:hAnsi="宋体"/>
                <w:b/>
              </w:rPr>
              <w:t>其中</w:t>
            </w:r>
          </w:p>
        </w:tc>
        <w:tc>
          <w:tcPr>
            <w:tcW w:w="556" w:type="pct"/>
            <w:vMerge w:val="restart"/>
            <w:vAlign w:val="center"/>
          </w:tcPr>
          <w:p w14:paraId="59DC5511">
            <w:pPr>
              <w:pStyle w:val="12"/>
              <w:jc w:val="center"/>
              <w:rPr>
                <w:rFonts w:ascii="宋体" w:hAnsi="宋体"/>
                <w:b/>
              </w:rPr>
            </w:pPr>
            <w:r>
              <w:rPr>
                <w:rFonts w:hint="eastAsia" w:ascii="宋体" w:hAnsi="宋体"/>
                <w:b/>
              </w:rPr>
              <w:t>迹地更新</w:t>
            </w:r>
          </w:p>
        </w:tc>
        <w:tc>
          <w:tcPr>
            <w:tcW w:w="556" w:type="pct"/>
            <w:vMerge w:val="restart"/>
            <w:vAlign w:val="center"/>
          </w:tcPr>
          <w:p w14:paraId="3B9C8A1B">
            <w:pPr>
              <w:pStyle w:val="12"/>
              <w:jc w:val="center"/>
              <w:rPr>
                <w:rFonts w:ascii="宋体" w:hAnsi="宋体"/>
                <w:b/>
              </w:rPr>
            </w:pPr>
            <w:r>
              <w:rPr>
                <w:rFonts w:hint="eastAsia" w:ascii="宋体" w:hAnsi="宋体"/>
                <w:b/>
              </w:rPr>
              <w:t>育苗面积</w:t>
            </w:r>
          </w:p>
        </w:tc>
        <w:tc>
          <w:tcPr>
            <w:tcW w:w="556" w:type="pct"/>
            <w:vMerge w:val="restart"/>
            <w:vAlign w:val="center"/>
          </w:tcPr>
          <w:p w14:paraId="291835A7">
            <w:pPr>
              <w:pStyle w:val="12"/>
              <w:jc w:val="center"/>
              <w:rPr>
                <w:rFonts w:ascii="宋体" w:hAnsi="宋体"/>
                <w:b/>
              </w:rPr>
            </w:pPr>
            <w:r>
              <w:rPr>
                <w:rFonts w:hint="eastAsia" w:ascii="宋体" w:hAnsi="宋体"/>
                <w:b/>
              </w:rPr>
              <w:t>采（购）种子</w:t>
            </w:r>
          </w:p>
        </w:tc>
      </w:tr>
      <w:tr w14:paraId="01DD33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623" w:type="pct"/>
            <w:gridSpan w:val="2"/>
            <w:vMerge w:val="continue"/>
            <w:vAlign w:val="center"/>
          </w:tcPr>
          <w:p w14:paraId="41568439">
            <w:pPr>
              <w:pStyle w:val="12"/>
              <w:jc w:val="center"/>
              <w:rPr>
                <w:rFonts w:ascii="宋体" w:hAnsi="宋体"/>
              </w:rPr>
            </w:pPr>
          </w:p>
        </w:tc>
        <w:tc>
          <w:tcPr>
            <w:tcW w:w="486" w:type="pct"/>
            <w:vMerge w:val="continue"/>
            <w:vAlign w:val="center"/>
          </w:tcPr>
          <w:p w14:paraId="6F3ABADF">
            <w:pPr>
              <w:pStyle w:val="12"/>
              <w:jc w:val="center"/>
              <w:rPr>
                <w:rFonts w:ascii="宋体" w:hAnsi="宋体"/>
              </w:rPr>
            </w:pPr>
          </w:p>
        </w:tc>
        <w:tc>
          <w:tcPr>
            <w:tcW w:w="555" w:type="pct"/>
            <w:vAlign w:val="center"/>
          </w:tcPr>
          <w:p w14:paraId="64839591">
            <w:pPr>
              <w:pStyle w:val="12"/>
              <w:jc w:val="center"/>
              <w:rPr>
                <w:rFonts w:ascii="宋体" w:hAnsi="宋体"/>
                <w:b/>
              </w:rPr>
            </w:pPr>
            <w:r>
              <w:rPr>
                <w:rFonts w:hint="eastAsia" w:ascii="宋体" w:hAnsi="宋体"/>
                <w:b/>
              </w:rPr>
              <w:t>用材料</w:t>
            </w:r>
          </w:p>
        </w:tc>
        <w:tc>
          <w:tcPr>
            <w:tcW w:w="555" w:type="pct"/>
            <w:vAlign w:val="center"/>
          </w:tcPr>
          <w:p w14:paraId="3C005A25">
            <w:pPr>
              <w:pStyle w:val="12"/>
              <w:jc w:val="center"/>
              <w:rPr>
                <w:rFonts w:ascii="宋体" w:hAnsi="宋体"/>
                <w:b/>
              </w:rPr>
            </w:pPr>
            <w:r>
              <w:rPr>
                <w:rFonts w:hint="eastAsia" w:ascii="宋体" w:hAnsi="宋体"/>
                <w:b/>
              </w:rPr>
              <w:t>防护林</w:t>
            </w:r>
          </w:p>
        </w:tc>
        <w:tc>
          <w:tcPr>
            <w:tcW w:w="556" w:type="pct"/>
            <w:vAlign w:val="center"/>
          </w:tcPr>
          <w:p w14:paraId="1A5F4D29">
            <w:pPr>
              <w:pStyle w:val="12"/>
              <w:jc w:val="center"/>
              <w:rPr>
                <w:rFonts w:ascii="宋体" w:hAnsi="宋体"/>
                <w:b/>
              </w:rPr>
            </w:pPr>
            <w:r>
              <w:rPr>
                <w:rFonts w:hint="eastAsia" w:ascii="宋体" w:hAnsi="宋体"/>
                <w:b/>
              </w:rPr>
              <w:t>经济林</w:t>
            </w:r>
          </w:p>
        </w:tc>
        <w:tc>
          <w:tcPr>
            <w:tcW w:w="556" w:type="pct"/>
            <w:vAlign w:val="center"/>
          </w:tcPr>
          <w:p w14:paraId="1F4B5B97">
            <w:pPr>
              <w:pStyle w:val="12"/>
              <w:jc w:val="center"/>
              <w:rPr>
                <w:rFonts w:ascii="宋体" w:hAnsi="宋体"/>
                <w:b/>
              </w:rPr>
            </w:pPr>
            <w:r>
              <w:rPr>
                <w:rFonts w:hint="eastAsia" w:ascii="宋体" w:hAnsi="宋体"/>
                <w:b/>
              </w:rPr>
              <w:t>其他林</w:t>
            </w:r>
          </w:p>
        </w:tc>
        <w:tc>
          <w:tcPr>
            <w:tcW w:w="556" w:type="pct"/>
            <w:vMerge w:val="continue"/>
            <w:vAlign w:val="center"/>
          </w:tcPr>
          <w:p w14:paraId="2C2B08D6">
            <w:pPr>
              <w:pStyle w:val="12"/>
              <w:jc w:val="center"/>
              <w:rPr>
                <w:rFonts w:ascii="宋体" w:hAnsi="宋体"/>
              </w:rPr>
            </w:pPr>
          </w:p>
        </w:tc>
        <w:tc>
          <w:tcPr>
            <w:tcW w:w="556" w:type="pct"/>
            <w:vMerge w:val="continue"/>
            <w:vAlign w:val="center"/>
          </w:tcPr>
          <w:p w14:paraId="47465F6F">
            <w:pPr>
              <w:pStyle w:val="12"/>
              <w:jc w:val="center"/>
              <w:rPr>
                <w:rFonts w:ascii="宋体" w:hAnsi="宋体"/>
              </w:rPr>
            </w:pPr>
          </w:p>
        </w:tc>
        <w:tc>
          <w:tcPr>
            <w:tcW w:w="556" w:type="pct"/>
            <w:vMerge w:val="continue"/>
            <w:vAlign w:val="center"/>
          </w:tcPr>
          <w:p w14:paraId="1E4F9617">
            <w:pPr>
              <w:pStyle w:val="12"/>
              <w:jc w:val="center"/>
              <w:rPr>
                <w:rFonts w:ascii="宋体" w:hAnsi="宋体"/>
              </w:rPr>
            </w:pPr>
          </w:p>
        </w:tc>
      </w:tr>
      <w:tr w14:paraId="1E8044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623" w:type="pct"/>
            <w:gridSpan w:val="2"/>
            <w:vAlign w:val="center"/>
          </w:tcPr>
          <w:p w14:paraId="5BEAF2AE">
            <w:pPr>
              <w:pStyle w:val="12"/>
              <w:jc w:val="center"/>
              <w:rPr>
                <w:rFonts w:ascii="宋体" w:hAnsi="宋体"/>
              </w:rPr>
            </w:pPr>
            <w:r>
              <w:rPr>
                <w:rFonts w:ascii="宋体" w:hAnsi="宋体"/>
              </w:rPr>
              <w:t>1988</w:t>
            </w:r>
          </w:p>
        </w:tc>
        <w:tc>
          <w:tcPr>
            <w:tcW w:w="486" w:type="pct"/>
            <w:vAlign w:val="center"/>
          </w:tcPr>
          <w:p w14:paraId="2CDADE17">
            <w:pPr>
              <w:pStyle w:val="12"/>
              <w:jc w:val="center"/>
              <w:rPr>
                <w:rFonts w:ascii="宋体" w:hAnsi="宋体"/>
              </w:rPr>
            </w:pPr>
            <w:r>
              <w:rPr>
                <w:rFonts w:ascii="宋体" w:hAnsi="宋体"/>
              </w:rPr>
              <w:t>5500</w:t>
            </w:r>
          </w:p>
        </w:tc>
        <w:tc>
          <w:tcPr>
            <w:tcW w:w="555" w:type="pct"/>
            <w:vAlign w:val="center"/>
          </w:tcPr>
          <w:p w14:paraId="09B0EE31">
            <w:pPr>
              <w:pStyle w:val="12"/>
              <w:jc w:val="center"/>
              <w:rPr>
                <w:rFonts w:ascii="宋体" w:hAnsi="宋体"/>
              </w:rPr>
            </w:pPr>
            <w:r>
              <w:rPr>
                <w:rFonts w:ascii="宋体" w:hAnsi="宋体"/>
              </w:rPr>
              <w:t>2620</w:t>
            </w:r>
          </w:p>
        </w:tc>
        <w:tc>
          <w:tcPr>
            <w:tcW w:w="555" w:type="pct"/>
            <w:vAlign w:val="center"/>
          </w:tcPr>
          <w:p w14:paraId="030B92BC">
            <w:pPr>
              <w:pStyle w:val="12"/>
              <w:jc w:val="center"/>
              <w:rPr>
                <w:rFonts w:ascii="宋体" w:hAnsi="宋体"/>
              </w:rPr>
            </w:pPr>
            <w:r>
              <w:rPr>
                <w:rFonts w:ascii="宋体" w:hAnsi="宋体"/>
              </w:rPr>
              <w:t>2193</w:t>
            </w:r>
          </w:p>
        </w:tc>
        <w:tc>
          <w:tcPr>
            <w:tcW w:w="556" w:type="pct"/>
            <w:vAlign w:val="center"/>
          </w:tcPr>
          <w:p w14:paraId="4FD930D1">
            <w:pPr>
              <w:pStyle w:val="12"/>
              <w:jc w:val="center"/>
              <w:rPr>
                <w:rFonts w:ascii="宋体" w:hAnsi="宋体"/>
              </w:rPr>
            </w:pPr>
            <w:r>
              <w:rPr>
                <w:rFonts w:ascii="宋体" w:hAnsi="宋体"/>
              </w:rPr>
              <w:t>687</w:t>
            </w:r>
          </w:p>
        </w:tc>
        <w:tc>
          <w:tcPr>
            <w:tcW w:w="556" w:type="pct"/>
            <w:vAlign w:val="center"/>
          </w:tcPr>
          <w:p w14:paraId="4D77D91D">
            <w:pPr>
              <w:pStyle w:val="12"/>
              <w:jc w:val="center"/>
              <w:rPr>
                <w:rFonts w:ascii="宋体" w:hAnsi="宋体"/>
              </w:rPr>
            </w:pPr>
            <w:r>
              <w:rPr>
                <w:rFonts w:ascii="宋体" w:hAnsi="宋体"/>
              </w:rPr>
              <w:t>—</w:t>
            </w:r>
          </w:p>
        </w:tc>
        <w:tc>
          <w:tcPr>
            <w:tcW w:w="556" w:type="pct"/>
            <w:vAlign w:val="center"/>
          </w:tcPr>
          <w:p w14:paraId="63AA917A">
            <w:pPr>
              <w:pStyle w:val="12"/>
              <w:jc w:val="center"/>
              <w:rPr>
                <w:rFonts w:ascii="宋体" w:hAnsi="宋体"/>
              </w:rPr>
            </w:pPr>
            <w:r>
              <w:rPr>
                <w:rFonts w:ascii="宋体" w:hAnsi="宋体"/>
              </w:rPr>
              <w:t>860</w:t>
            </w:r>
          </w:p>
        </w:tc>
        <w:tc>
          <w:tcPr>
            <w:tcW w:w="556" w:type="pct"/>
            <w:vAlign w:val="center"/>
          </w:tcPr>
          <w:p w14:paraId="77432739">
            <w:pPr>
              <w:pStyle w:val="12"/>
              <w:jc w:val="center"/>
              <w:rPr>
                <w:rFonts w:ascii="宋体" w:hAnsi="宋体"/>
              </w:rPr>
            </w:pPr>
            <w:r>
              <w:rPr>
                <w:rFonts w:ascii="宋体" w:hAnsi="宋体"/>
              </w:rPr>
              <w:t>4.33</w:t>
            </w:r>
          </w:p>
        </w:tc>
        <w:tc>
          <w:tcPr>
            <w:tcW w:w="556" w:type="pct"/>
            <w:vAlign w:val="center"/>
          </w:tcPr>
          <w:p w14:paraId="5F37A4EE">
            <w:pPr>
              <w:pStyle w:val="12"/>
              <w:jc w:val="center"/>
              <w:rPr>
                <w:rFonts w:ascii="宋体" w:hAnsi="宋体"/>
              </w:rPr>
            </w:pPr>
            <w:r>
              <w:rPr>
                <w:rFonts w:ascii="宋体" w:hAnsi="宋体"/>
              </w:rPr>
              <w:t>—</w:t>
            </w:r>
          </w:p>
        </w:tc>
      </w:tr>
      <w:tr w14:paraId="7CE57CE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623" w:type="pct"/>
            <w:gridSpan w:val="2"/>
            <w:vAlign w:val="center"/>
          </w:tcPr>
          <w:p w14:paraId="6F29AD11">
            <w:pPr>
              <w:pStyle w:val="12"/>
              <w:jc w:val="center"/>
              <w:rPr>
                <w:rFonts w:ascii="宋体" w:hAnsi="宋体"/>
              </w:rPr>
            </w:pPr>
            <w:r>
              <w:rPr>
                <w:rFonts w:ascii="宋体" w:hAnsi="宋体"/>
              </w:rPr>
              <w:t>1989</w:t>
            </w:r>
          </w:p>
        </w:tc>
        <w:tc>
          <w:tcPr>
            <w:tcW w:w="486" w:type="pct"/>
            <w:vAlign w:val="center"/>
          </w:tcPr>
          <w:p w14:paraId="00CFF20B">
            <w:pPr>
              <w:pStyle w:val="12"/>
              <w:jc w:val="center"/>
              <w:rPr>
                <w:rFonts w:ascii="宋体" w:hAnsi="宋体"/>
              </w:rPr>
            </w:pPr>
            <w:r>
              <w:rPr>
                <w:rFonts w:ascii="宋体" w:hAnsi="宋体"/>
              </w:rPr>
              <w:t>3346</w:t>
            </w:r>
          </w:p>
        </w:tc>
        <w:tc>
          <w:tcPr>
            <w:tcW w:w="555" w:type="pct"/>
            <w:vAlign w:val="center"/>
          </w:tcPr>
          <w:p w14:paraId="4AF14913">
            <w:pPr>
              <w:pStyle w:val="12"/>
              <w:jc w:val="center"/>
              <w:rPr>
                <w:rFonts w:ascii="宋体" w:hAnsi="宋体"/>
              </w:rPr>
            </w:pPr>
            <w:r>
              <w:rPr>
                <w:rFonts w:ascii="宋体" w:hAnsi="宋体"/>
              </w:rPr>
              <w:t>1473</w:t>
            </w:r>
          </w:p>
        </w:tc>
        <w:tc>
          <w:tcPr>
            <w:tcW w:w="555" w:type="pct"/>
            <w:vAlign w:val="center"/>
          </w:tcPr>
          <w:p w14:paraId="768F725E">
            <w:pPr>
              <w:pStyle w:val="12"/>
              <w:jc w:val="center"/>
              <w:rPr>
                <w:rFonts w:ascii="宋体" w:hAnsi="宋体"/>
              </w:rPr>
            </w:pPr>
            <w:r>
              <w:rPr>
                <w:rFonts w:ascii="宋体" w:hAnsi="宋体"/>
              </w:rPr>
              <w:t>1341</w:t>
            </w:r>
          </w:p>
        </w:tc>
        <w:tc>
          <w:tcPr>
            <w:tcW w:w="556" w:type="pct"/>
            <w:vAlign w:val="center"/>
          </w:tcPr>
          <w:p w14:paraId="3E95A728">
            <w:pPr>
              <w:pStyle w:val="12"/>
              <w:jc w:val="center"/>
              <w:rPr>
                <w:rFonts w:ascii="宋体" w:hAnsi="宋体"/>
              </w:rPr>
            </w:pPr>
            <w:r>
              <w:rPr>
                <w:rFonts w:ascii="宋体" w:hAnsi="宋体"/>
              </w:rPr>
              <w:t>532</w:t>
            </w:r>
          </w:p>
        </w:tc>
        <w:tc>
          <w:tcPr>
            <w:tcW w:w="556" w:type="pct"/>
            <w:vAlign w:val="center"/>
          </w:tcPr>
          <w:p w14:paraId="71D35097">
            <w:pPr>
              <w:pStyle w:val="12"/>
              <w:jc w:val="center"/>
              <w:rPr>
                <w:rFonts w:ascii="宋体" w:hAnsi="宋体"/>
              </w:rPr>
            </w:pPr>
            <w:r>
              <w:rPr>
                <w:rFonts w:ascii="宋体" w:hAnsi="宋体"/>
              </w:rPr>
              <w:t>—</w:t>
            </w:r>
          </w:p>
        </w:tc>
        <w:tc>
          <w:tcPr>
            <w:tcW w:w="556" w:type="pct"/>
            <w:vAlign w:val="center"/>
          </w:tcPr>
          <w:p w14:paraId="52B2A804">
            <w:pPr>
              <w:pStyle w:val="12"/>
              <w:jc w:val="center"/>
              <w:rPr>
                <w:rFonts w:ascii="宋体" w:hAnsi="宋体"/>
              </w:rPr>
            </w:pPr>
            <w:r>
              <w:rPr>
                <w:rFonts w:ascii="宋体" w:hAnsi="宋体"/>
              </w:rPr>
              <w:t>1000</w:t>
            </w:r>
          </w:p>
        </w:tc>
        <w:tc>
          <w:tcPr>
            <w:tcW w:w="556" w:type="pct"/>
            <w:vAlign w:val="center"/>
          </w:tcPr>
          <w:p w14:paraId="4F70D2AC">
            <w:pPr>
              <w:pStyle w:val="12"/>
              <w:jc w:val="center"/>
              <w:rPr>
                <w:rFonts w:ascii="宋体" w:hAnsi="宋体"/>
              </w:rPr>
            </w:pPr>
            <w:r>
              <w:rPr>
                <w:rFonts w:ascii="宋体" w:hAnsi="宋体"/>
              </w:rPr>
              <w:t>1.87</w:t>
            </w:r>
          </w:p>
        </w:tc>
        <w:tc>
          <w:tcPr>
            <w:tcW w:w="556" w:type="pct"/>
            <w:vAlign w:val="center"/>
          </w:tcPr>
          <w:p w14:paraId="639A87C3">
            <w:pPr>
              <w:pStyle w:val="12"/>
              <w:jc w:val="center"/>
              <w:rPr>
                <w:rFonts w:ascii="宋体" w:hAnsi="宋体"/>
              </w:rPr>
            </w:pPr>
            <w:r>
              <w:rPr>
                <w:rFonts w:ascii="宋体" w:hAnsi="宋体"/>
              </w:rPr>
              <w:t>—</w:t>
            </w:r>
          </w:p>
        </w:tc>
      </w:tr>
      <w:tr w14:paraId="40BC0D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623" w:type="pct"/>
            <w:gridSpan w:val="2"/>
            <w:vAlign w:val="center"/>
          </w:tcPr>
          <w:p w14:paraId="678F2ADF">
            <w:pPr>
              <w:pStyle w:val="12"/>
              <w:jc w:val="center"/>
              <w:rPr>
                <w:rFonts w:ascii="宋体" w:hAnsi="宋体"/>
              </w:rPr>
            </w:pPr>
            <w:r>
              <w:rPr>
                <w:rFonts w:ascii="宋体" w:hAnsi="宋体"/>
              </w:rPr>
              <w:t>1990</w:t>
            </w:r>
          </w:p>
        </w:tc>
        <w:tc>
          <w:tcPr>
            <w:tcW w:w="486" w:type="pct"/>
            <w:vAlign w:val="center"/>
          </w:tcPr>
          <w:p w14:paraId="52F73F7E">
            <w:pPr>
              <w:pStyle w:val="12"/>
              <w:jc w:val="center"/>
              <w:rPr>
                <w:rFonts w:ascii="宋体" w:hAnsi="宋体"/>
              </w:rPr>
            </w:pPr>
            <w:r>
              <w:rPr>
                <w:rFonts w:ascii="宋体" w:hAnsi="宋体"/>
              </w:rPr>
              <w:t>327</w:t>
            </w:r>
          </w:p>
        </w:tc>
        <w:tc>
          <w:tcPr>
            <w:tcW w:w="555" w:type="pct"/>
            <w:vAlign w:val="center"/>
          </w:tcPr>
          <w:p w14:paraId="354CF8B7">
            <w:pPr>
              <w:pStyle w:val="12"/>
              <w:jc w:val="center"/>
              <w:rPr>
                <w:rFonts w:ascii="宋体" w:hAnsi="宋体"/>
              </w:rPr>
            </w:pPr>
            <w:r>
              <w:rPr>
                <w:rFonts w:ascii="宋体" w:hAnsi="宋体"/>
              </w:rPr>
              <w:t>247</w:t>
            </w:r>
          </w:p>
        </w:tc>
        <w:tc>
          <w:tcPr>
            <w:tcW w:w="555" w:type="pct"/>
            <w:vAlign w:val="center"/>
          </w:tcPr>
          <w:p w14:paraId="67895D96">
            <w:pPr>
              <w:pStyle w:val="12"/>
              <w:jc w:val="center"/>
              <w:rPr>
                <w:rFonts w:ascii="宋体" w:hAnsi="宋体"/>
              </w:rPr>
            </w:pPr>
            <w:r>
              <w:rPr>
                <w:rFonts w:ascii="宋体" w:hAnsi="宋体"/>
              </w:rPr>
              <w:t>20</w:t>
            </w:r>
          </w:p>
        </w:tc>
        <w:tc>
          <w:tcPr>
            <w:tcW w:w="556" w:type="pct"/>
            <w:vAlign w:val="center"/>
          </w:tcPr>
          <w:p w14:paraId="5E517B6A">
            <w:pPr>
              <w:pStyle w:val="12"/>
              <w:jc w:val="center"/>
              <w:rPr>
                <w:rFonts w:ascii="宋体" w:hAnsi="宋体"/>
              </w:rPr>
            </w:pPr>
            <w:r>
              <w:rPr>
                <w:rFonts w:ascii="宋体" w:hAnsi="宋体"/>
              </w:rPr>
              <w:t>60</w:t>
            </w:r>
          </w:p>
        </w:tc>
        <w:tc>
          <w:tcPr>
            <w:tcW w:w="556" w:type="pct"/>
            <w:vAlign w:val="center"/>
          </w:tcPr>
          <w:p w14:paraId="289D9C5D">
            <w:pPr>
              <w:pStyle w:val="12"/>
              <w:jc w:val="center"/>
              <w:rPr>
                <w:rFonts w:ascii="宋体" w:hAnsi="宋体"/>
              </w:rPr>
            </w:pPr>
            <w:r>
              <w:rPr>
                <w:rFonts w:ascii="宋体" w:hAnsi="宋体"/>
              </w:rPr>
              <w:t>—</w:t>
            </w:r>
          </w:p>
        </w:tc>
        <w:tc>
          <w:tcPr>
            <w:tcW w:w="556" w:type="pct"/>
            <w:vAlign w:val="center"/>
          </w:tcPr>
          <w:p w14:paraId="0B156EED">
            <w:pPr>
              <w:pStyle w:val="12"/>
              <w:jc w:val="center"/>
              <w:rPr>
                <w:rFonts w:ascii="宋体" w:hAnsi="宋体"/>
              </w:rPr>
            </w:pPr>
            <w:r>
              <w:rPr>
                <w:rFonts w:ascii="宋体" w:hAnsi="宋体"/>
              </w:rPr>
              <w:t>247</w:t>
            </w:r>
          </w:p>
        </w:tc>
        <w:tc>
          <w:tcPr>
            <w:tcW w:w="556" w:type="pct"/>
            <w:vAlign w:val="center"/>
          </w:tcPr>
          <w:p w14:paraId="6DF812E4">
            <w:pPr>
              <w:pStyle w:val="12"/>
              <w:jc w:val="center"/>
              <w:rPr>
                <w:rFonts w:ascii="宋体" w:hAnsi="宋体"/>
              </w:rPr>
            </w:pPr>
            <w:r>
              <w:rPr>
                <w:rFonts w:ascii="宋体" w:hAnsi="宋体"/>
              </w:rPr>
              <w:t>0.47</w:t>
            </w:r>
          </w:p>
        </w:tc>
        <w:tc>
          <w:tcPr>
            <w:tcW w:w="556" w:type="pct"/>
            <w:vAlign w:val="center"/>
          </w:tcPr>
          <w:p w14:paraId="3623F2A1">
            <w:pPr>
              <w:pStyle w:val="12"/>
              <w:jc w:val="center"/>
              <w:rPr>
                <w:rFonts w:ascii="宋体" w:hAnsi="宋体"/>
              </w:rPr>
            </w:pPr>
            <w:r>
              <w:rPr>
                <w:rFonts w:ascii="宋体" w:hAnsi="宋体"/>
              </w:rPr>
              <w:t>—</w:t>
            </w:r>
          </w:p>
        </w:tc>
      </w:tr>
      <w:tr w14:paraId="75E4B2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623" w:type="pct"/>
            <w:gridSpan w:val="2"/>
            <w:vAlign w:val="center"/>
          </w:tcPr>
          <w:p w14:paraId="6B35F522">
            <w:pPr>
              <w:pStyle w:val="12"/>
              <w:jc w:val="center"/>
              <w:rPr>
                <w:rFonts w:ascii="宋体" w:hAnsi="宋体"/>
              </w:rPr>
            </w:pPr>
            <w:r>
              <w:rPr>
                <w:rFonts w:ascii="宋体" w:hAnsi="宋体"/>
              </w:rPr>
              <w:t>1991</w:t>
            </w:r>
          </w:p>
        </w:tc>
        <w:tc>
          <w:tcPr>
            <w:tcW w:w="486" w:type="pct"/>
            <w:vAlign w:val="center"/>
          </w:tcPr>
          <w:p w14:paraId="7E9C3831">
            <w:pPr>
              <w:pStyle w:val="12"/>
              <w:jc w:val="center"/>
              <w:rPr>
                <w:rFonts w:ascii="宋体" w:hAnsi="宋体"/>
              </w:rPr>
            </w:pPr>
            <w:r>
              <w:rPr>
                <w:rFonts w:ascii="宋体" w:hAnsi="宋体"/>
              </w:rPr>
              <w:t>2073</w:t>
            </w:r>
          </w:p>
        </w:tc>
        <w:tc>
          <w:tcPr>
            <w:tcW w:w="555" w:type="pct"/>
            <w:vAlign w:val="center"/>
          </w:tcPr>
          <w:p w14:paraId="7E4986C4">
            <w:pPr>
              <w:pStyle w:val="12"/>
              <w:jc w:val="center"/>
              <w:rPr>
                <w:rFonts w:ascii="宋体" w:hAnsi="宋体"/>
              </w:rPr>
            </w:pPr>
            <w:r>
              <w:rPr>
                <w:rFonts w:ascii="宋体" w:hAnsi="宋体"/>
              </w:rPr>
              <w:t>750</w:t>
            </w:r>
          </w:p>
        </w:tc>
        <w:tc>
          <w:tcPr>
            <w:tcW w:w="555" w:type="pct"/>
            <w:vAlign w:val="center"/>
          </w:tcPr>
          <w:p w14:paraId="668C23B2">
            <w:pPr>
              <w:pStyle w:val="12"/>
              <w:jc w:val="center"/>
              <w:rPr>
                <w:rFonts w:ascii="宋体" w:hAnsi="宋体"/>
              </w:rPr>
            </w:pPr>
            <w:r>
              <w:rPr>
                <w:rFonts w:ascii="宋体" w:hAnsi="宋体"/>
              </w:rPr>
              <w:t>1293</w:t>
            </w:r>
          </w:p>
        </w:tc>
        <w:tc>
          <w:tcPr>
            <w:tcW w:w="556" w:type="pct"/>
            <w:vAlign w:val="center"/>
          </w:tcPr>
          <w:p w14:paraId="660BF690">
            <w:pPr>
              <w:pStyle w:val="12"/>
              <w:jc w:val="center"/>
              <w:rPr>
                <w:rFonts w:ascii="宋体" w:hAnsi="宋体"/>
              </w:rPr>
            </w:pPr>
            <w:r>
              <w:rPr>
                <w:rFonts w:ascii="宋体" w:hAnsi="宋体"/>
              </w:rPr>
              <w:t>30</w:t>
            </w:r>
          </w:p>
        </w:tc>
        <w:tc>
          <w:tcPr>
            <w:tcW w:w="556" w:type="pct"/>
            <w:vAlign w:val="center"/>
          </w:tcPr>
          <w:p w14:paraId="0B125DFF">
            <w:pPr>
              <w:pStyle w:val="12"/>
              <w:jc w:val="center"/>
              <w:rPr>
                <w:rFonts w:ascii="宋体" w:hAnsi="宋体"/>
              </w:rPr>
            </w:pPr>
            <w:r>
              <w:rPr>
                <w:rFonts w:ascii="宋体" w:hAnsi="宋体"/>
              </w:rPr>
              <w:t>—</w:t>
            </w:r>
          </w:p>
        </w:tc>
        <w:tc>
          <w:tcPr>
            <w:tcW w:w="556" w:type="pct"/>
            <w:vAlign w:val="center"/>
          </w:tcPr>
          <w:p w14:paraId="7FEAFE3F">
            <w:pPr>
              <w:pStyle w:val="12"/>
              <w:jc w:val="center"/>
              <w:rPr>
                <w:rFonts w:ascii="宋体" w:hAnsi="宋体"/>
              </w:rPr>
            </w:pPr>
            <w:r>
              <w:rPr>
                <w:rFonts w:ascii="宋体" w:hAnsi="宋体"/>
              </w:rPr>
              <w:t>453</w:t>
            </w:r>
          </w:p>
        </w:tc>
        <w:tc>
          <w:tcPr>
            <w:tcW w:w="556" w:type="pct"/>
            <w:vAlign w:val="center"/>
          </w:tcPr>
          <w:p w14:paraId="54DB1F57">
            <w:pPr>
              <w:pStyle w:val="12"/>
              <w:jc w:val="center"/>
              <w:rPr>
                <w:rFonts w:ascii="宋体" w:hAnsi="宋体"/>
              </w:rPr>
            </w:pPr>
            <w:r>
              <w:rPr>
                <w:rFonts w:ascii="宋体" w:hAnsi="宋体"/>
              </w:rPr>
              <w:t>4.00</w:t>
            </w:r>
          </w:p>
        </w:tc>
        <w:tc>
          <w:tcPr>
            <w:tcW w:w="556" w:type="pct"/>
            <w:vAlign w:val="center"/>
          </w:tcPr>
          <w:p w14:paraId="6512D56F">
            <w:pPr>
              <w:pStyle w:val="12"/>
              <w:jc w:val="center"/>
              <w:rPr>
                <w:rFonts w:ascii="宋体" w:hAnsi="宋体"/>
              </w:rPr>
            </w:pPr>
            <w:r>
              <w:rPr>
                <w:rFonts w:ascii="宋体" w:hAnsi="宋体"/>
              </w:rPr>
              <w:t>5</w:t>
            </w:r>
          </w:p>
        </w:tc>
      </w:tr>
      <w:tr w14:paraId="278AB17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623" w:type="pct"/>
            <w:gridSpan w:val="2"/>
            <w:vAlign w:val="center"/>
          </w:tcPr>
          <w:p w14:paraId="0B3537C9">
            <w:pPr>
              <w:pStyle w:val="12"/>
              <w:jc w:val="center"/>
              <w:rPr>
                <w:rFonts w:ascii="宋体" w:hAnsi="宋体"/>
              </w:rPr>
            </w:pPr>
            <w:r>
              <w:rPr>
                <w:rFonts w:ascii="宋体" w:hAnsi="宋体"/>
              </w:rPr>
              <w:t>1992</w:t>
            </w:r>
          </w:p>
        </w:tc>
        <w:tc>
          <w:tcPr>
            <w:tcW w:w="486" w:type="pct"/>
            <w:vAlign w:val="center"/>
          </w:tcPr>
          <w:p w14:paraId="56983352">
            <w:pPr>
              <w:pStyle w:val="12"/>
              <w:jc w:val="center"/>
              <w:rPr>
                <w:rFonts w:ascii="宋体" w:hAnsi="宋体"/>
              </w:rPr>
            </w:pPr>
            <w:r>
              <w:rPr>
                <w:rFonts w:ascii="宋体" w:hAnsi="宋体"/>
              </w:rPr>
              <w:t>1113</w:t>
            </w:r>
          </w:p>
        </w:tc>
        <w:tc>
          <w:tcPr>
            <w:tcW w:w="555" w:type="pct"/>
            <w:vAlign w:val="center"/>
          </w:tcPr>
          <w:p w14:paraId="42088A24">
            <w:pPr>
              <w:pStyle w:val="12"/>
              <w:jc w:val="center"/>
              <w:rPr>
                <w:rFonts w:ascii="宋体" w:hAnsi="宋体"/>
              </w:rPr>
            </w:pPr>
            <w:r>
              <w:rPr>
                <w:rFonts w:ascii="宋体" w:hAnsi="宋体"/>
              </w:rPr>
              <w:t>1113</w:t>
            </w:r>
          </w:p>
        </w:tc>
        <w:tc>
          <w:tcPr>
            <w:tcW w:w="555" w:type="pct"/>
            <w:vAlign w:val="center"/>
          </w:tcPr>
          <w:p w14:paraId="411B33CC">
            <w:pPr>
              <w:pStyle w:val="12"/>
              <w:jc w:val="center"/>
              <w:rPr>
                <w:rFonts w:ascii="宋体" w:hAnsi="宋体"/>
              </w:rPr>
            </w:pPr>
            <w:r>
              <w:rPr>
                <w:rFonts w:ascii="宋体" w:hAnsi="宋体"/>
              </w:rPr>
              <w:t>—</w:t>
            </w:r>
          </w:p>
        </w:tc>
        <w:tc>
          <w:tcPr>
            <w:tcW w:w="556" w:type="pct"/>
            <w:vAlign w:val="center"/>
          </w:tcPr>
          <w:p w14:paraId="0E46D839">
            <w:pPr>
              <w:pStyle w:val="12"/>
              <w:jc w:val="center"/>
              <w:rPr>
                <w:rFonts w:ascii="宋体" w:hAnsi="宋体"/>
              </w:rPr>
            </w:pPr>
            <w:r>
              <w:rPr>
                <w:rFonts w:ascii="宋体" w:hAnsi="宋体"/>
              </w:rPr>
              <w:t>—</w:t>
            </w:r>
          </w:p>
        </w:tc>
        <w:tc>
          <w:tcPr>
            <w:tcW w:w="556" w:type="pct"/>
            <w:vAlign w:val="center"/>
          </w:tcPr>
          <w:p w14:paraId="61F7FC22">
            <w:pPr>
              <w:pStyle w:val="12"/>
              <w:jc w:val="center"/>
              <w:rPr>
                <w:rFonts w:ascii="宋体" w:hAnsi="宋体"/>
              </w:rPr>
            </w:pPr>
            <w:r>
              <w:rPr>
                <w:rFonts w:ascii="宋体" w:hAnsi="宋体"/>
              </w:rPr>
              <w:t>—</w:t>
            </w:r>
          </w:p>
        </w:tc>
        <w:tc>
          <w:tcPr>
            <w:tcW w:w="556" w:type="pct"/>
            <w:vAlign w:val="center"/>
          </w:tcPr>
          <w:p w14:paraId="6594E398">
            <w:pPr>
              <w:pStyle w:val="12"/>
              <w:jc w:val="center"/>
              <w:rPr>
                <w:rFonts w:ascii="宋体" w:hAnsi="宋体"/>
              </w:rPr>
            </w:pPr>
            <w:r>
              <w:rPr>
                <w:rFonts w:ascii="宋体" w:hAnsi="宋体"/>
              </w:rPr>
              <w:t>413</w:t>
            </w:r>
          </w:p>
        </w:tc>
        <w:tc>
          <w:tcPr>
            <w:tcW w:w="556" w:type="pct"/>
            <w:vAlign w:val="center"/>
          </w:tcPr>
          <w:p w14:paraId="0993189C">
            <w:pPr>
              <w:pStyle w:val="12"/>
              <w:jc w:val="center"/>
              <w:rPr>
                <w:rFonts w:ascii="宋体" w:hAnsi="宋体"/>
              </w:rPr>
            </w:pPr>
            <w:r>
              <w:rPr>
                <w:rFonts w:ascii="宋体" w:hAnsi="宋体"/>
              </w:rPr>
              <w:t>2.33</w:t>
            </w:r>
          </w:p>
        </w:tc>
        <w:tc>
          <w:tcPr>
            <w:tcW w:w="556" w:type="pct"/>
            <w:vAlign w:val="center"/>
          </w:tcPr>
          <w:p w14:paraId="06F262B5">
            <w:pPr>
              <w:pStyle w:val="12"/>
              <w:jc w:val="center"/>
              <w:rPr>
                <w:rFonts w:ascii="宋体" w:hAnsi="宋体"/>
              </w:rPr>
            </w:pPr>
            <w:r>
              <w:rPr>
                <w:rFonts w:ascii="宋体" w:hAnsi="宋体"/>
              </w:rPr>
              <w:t>2.3</w:t>
            </w:r>
          </w:p>
        </w:tc>
      </w:tr>
      <w:tr w14:paraId="0AEF4A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623" w:type="pct"/>
            <w:gridSpan w:val="2"/>
            <w:vAlign w:val="center"/>
          </w:tcPr>
          <w:p w14:paraId="7483BFC3">
            <w:pPr>
              <w:pStyle w:val="12"/>
              <w:jc w:val="center"/>
              <w:rPr>
                <w:rFonts w:ascii="宋体" w:hAnsi="宋体"/>
              </w:rPr>
            </w:pPr>
            <w:r>
              <w:rPr>
                <w:rFonts w:ascii="宋体" w:hAnsi="宋体"/>
              </w:rPr>
              <w:t>1993</w:t>
            </w:r>
          </w:p>
        </w:tc>
        <w:tc>
          <w:tcPr>
            <w:tcW w:w="486" w:type="pct"/>
            <w:vAlign w:val="center"/>
          </w:tcPr>
          <w:p w14:paraId="032A69BF">
            <w:pPr>
              <w:pStyle w:val="12"/>
              <w:jc w:val="center"/>
              <w:rPr>
                <w:rFonts w:ascii="宋体" w:hAnsi="宋体"/>
              </w:rPr>
            </w:pPr>
            <w:r>
              <w:rPr>
                <w:rFonts w:ascii="宋体" w:hAnsi="宋体"/>
              </w:rPr>
              <w:t>1066</w:t>
            </w:r>
          </w:p>
        </w:tc>
        <w:tc>
          <w:tcPr>
            <w:tcW w:w="555" w:type="pct"/>
            <w:vAlign w:val="center"/>
          </w:tcPr>
          <w:p w14:paraId="18772D12">
            <w:pPr>
              <w:pStyle w:val="12"/>
              <w:jc w:val="center"/>
              <w:rPr>
                <w:rFonts w:ascii="宋体" w:hAnsi="宋体"/>
              </w:rPr>
            </w:pPr>
            <w:r>
              <w:rPr>
                <w:rFonts w:ascii="宋体" w:hAnsi="宋体"/>
              </w:rPr>
              <w:t>1066</w:t>
            </w:r>
          </w:p>
        </w:tc>
        <w:tc>
          <w:tcPr>
            <w:tcW w:w="555" w:type="pct"/>
            <w:vAlign w:val="center"/>
          </w:tcPr>
          <w:p w14:paraId="2581B910">
            <w:pPr>
              <w:pStyle w:val="12"/>
              <w:jc w:val="center"/>
              <w:rPr>
                <w:rFonts w:ascii="宋体" w:hAnsi="宋体"/>
              </w:rPr>
            </w:pPr>
            <w:r>
              <w:rPr>
                <w:rFonts w:ascii="宋体" w:hAnsi="宋体"/>
              </w:rPr>
              <w:t>—</w:t>
            </w:r>
          </w:p>
        </w:tc>
        <w:tc>
          <w:tcPr>
            <w:tcW w:w="556" w:type="pct"/>
            <w:vAlign w:val="center"/>
          </w:tcPr>
          <w:p w14:paraId="0E95E786">
            <w:pPr>
              <w:pStyle w:val="12"/>
              <w:jc w:val="center"/>
              <w:rPr>
                <w:rFonts w:ascii="宋体" w:hAnsi="宋体"/>
              </w:rPr>
            </w:pPr>
            <w:r>
              <w:rPr>
                <w:rFonts w:ascii="宋体" w:hAnsi="宋体"/>
              </w:rPr>
              <w:t>—</w:t>
            </w:r>
          </w:p>
        </w:tc>
        <w:tc>
          <w:tcPr>
            <w:tcW w:w="556" w:type="pct"/>
            <w:vAlign w:val="center"/>
          </w:tcPr>
          <w:p w14:paraId="75A47C3F">
            <w:pPr>
              <w:pStyle w:val="12"/>
              <w:jc w:val="center"/>
              <w:rPr>
                <w:rFonts w:ascii="宋体" w:hAnsi="宋体"/>
              </w:rPr>
            </w:pPr>
            <w:r>
              <w:rPr>
                <w:rFonts w:ascii="宋体" w:hAnsi="宋体"/>
              </w:rPr>
              <w:t>—</w:t>
            </w:r>
          </w:p>
        </w:tc>
        <w:tc>
          <w:tcPr>
            <w:tcW w:w="556" w:type="pct"/>
            <w:vAlign w:val="center"/>
          </w:tcPr>
          <w:p w14:paraId="49312E1F">
            <w:pPr>
              <w:pStyle w:val="12"/>
              <w:jc w:val="center"/>
              <w:rPr>
                <w:rFonts w:ascii="宋体" w:hAnsi="宋体"/>
              </w:rPr>
            </w:pPr>
            <w:r>
              <w:rPr>
                <w:rFonts w:ascii="宋体" w:hAnsi="宋体"/>
              </w:rPr>
              <w:t>529</w:t>
            </w:r>
          </w:p>
        </w:tc>
        <w:tc>
          <w:tcPr>
            <w:tcW w:w="556" w:type="pct"/>
            <w:vAlign w:val="center"/>
          </w:tcPr>
          <w:p w14:paraId="3023F284">
            <w:pPr>
              <w:pStyle w:val="12"/>
              <w:jc w:val="center"/>
              <w:rPr>
                <w:rFonts w:ascii="宋体" w:hAnsi="宋体"/>
              </w:rPr>
            </w:pPr>
            <w:r>
              <w:rPr>
                <w:rFonts w:ascii="宋体" w:hAnsi="宋体"/>
              </w:rPr>
              <w:t>0.67</w:t>
            </w:r>
          </w:p>
        </w:tc>
        <w:tc>
          <w:tcPr>
            <w:tcW w:w="556" w:type="pct"/>
            <w:vAlign w:val="center"/>
          </w:tcPr>
          <w:p w14:paraId="23062CB6">
            <w:pPr>
              <w:pStyle w:val="12"/>
              <w:jc w:val="center"/>
              <w:rPr>
                <w:rFonts w:ascii="宋体" w:hAnsi="宋体"/>
              </w:rPr>
            </w:pPr>
            <w:r>
              <w:rPr>
                <w:rFonts w:ascii="宋体" w:hAnsi="宋体"/>
              </w:rPr>
              <w:t>2</w:t>
            </w:r>
          </w:p>
        </w:tc>
      </w:tr>
      <w:tr w14:paraId="2E7A86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623" w:type="pct"/>
            <w:gridSpan w:val="2"/>
            <w:vAlign w:val="center"/>
          </w:tcPr>
          <w:p w14:paraId="3A0EC74C">
            <w:pPr>
              <w:pStyle w:val="12"/>
              <w:jc w:val="center"/>
              <w:rPr>
                <w:rFonts w:ascii="宋体" w:hAnsi="宋体"/>
              </w:rPr>
            </w:pPr>
            <w:r>
              <w:rPr>
                <w:rFonts w:ascii="宋体" w:hAnsi="宋体"/>
              </w:rPr>
              <w:t>1994</w:t>
            </w:r>
          </w:p>
        </w:tc>
        <w:tc>
          <w:tcPr>
            <w:tcW w:w="486" w:type="pct"/>
            <w:vAlign w:val="center"/>
          </w:tcPr>
          <w:p w14:paraId="52C34A41">
            <w:pPr>
              <w:pStyle w:val="12"/>
              <w:jc w:val="center"/>
              <w:rPr>
                <w:rFonts w:ascii="宋体" w:hAnsi="宋体"/>
              </w:rPr>
            </w:pPr>
            <w:r>
              <w:rPr>
                <w:rFonts w:ascii="宋体" w:hAnsi="宋体"/>
              </w:rPr>
              <w:t>1420</w:t>
            </w:r>
          </w:p>
        </w:tc>
        <w:tc>
          <w:tcPr>
            <w:tcW w:w="555" w:type="pct"/>
            <w:vAlign w:val="center"/>
          </w:tcPr>
          <w:p w14:paraId="707A5F47">
            <w:pPr>
              <w:pStyle w:val="12"/>
              <w:jc w:val="center"/>
              <w:rPr>
                <w:rFonts w:ascii="宋体" w:hAnsi="宋体"/>
              </w:rPr>
            </w:pPr>
            <w:r>
              <w:rPr>
                <w:rFonts w:ascii="宋体" w:hAnsi="宋体"/>
              </w:rPr>
              <w:t>726</w:t>
            </w:r>
          </w:p>
        </w:tc>
        <w:tc>
          <w:tcPr>
            <w:tcW w:w="555" w:type="pct"/>
            <w:vAlign w:val="center"/>
          </w:tcPr>
          <w:p w14:paraId="37001E55">
            <w:pPr>
              <w:pStyle w:val="12"/>
              <w:jc w:val="center"/>
              <w:rPr>
                <w:rFonts w:ascii="宋体" w:hAnsi="宋体"/>
              </w:rPr>
            </w:pPr>
            <w:r>
              <w:rPr>
                <w:rFonts w:ascii="宋体" w:hAnsi="宋体"/>
              </w:rPr>
              <w:t>610</w:t>
            </w:r>
          </w:p>
        </w:tc>
        <w:tc>
          <w:tcPr>
            <w:tcW w:w="556" w:type="pct"/>
            <w:vAlign w:val="center"/>
          </w:tcPr>
          <w:p w14:paraId="07E4155D">
            <w:pPr>
              <w:pStyle w:val="12"/>
              <w:jc w:val="center"/>
              <w:rPr>
                <w:rFonts w:ascii="宋体" w:hAnsi="宋体"/>
              </w:rPr>
            </w:pPr>
            <w:r>
              <w:rPr>
                <w:rFonts w:ascii="宋体" w:hAnsi="宋体"/>
              </w:rPr>
              <w:t>84</w:t>
            </w:r>
          </w:p>
        </w:tc>
        <w:tc>
          <w:tcPr>
            <w:tcW w:w="556" w:type="pct"/>
            <w:vAlign w:val="center"/>
          </w:tcPr>
          <w:p w14:paraId="2E943925">
            <w:pPr>
              <w:pStyle w:val="12"/>
              <w:jc w:val="center"/>
              <w:rPr>
                <w:rFonts w:ascii="宋体" w:hAnsi="宋体"/>
              </w:rPr>
            </w:pPr>
            <w:r>
              <w:rPr>
                <w:rFonts w:ascii="宋体" w:hAnsi="宋体"/>
              </w:rPr>
              <w:t>—</w:t>
            </w:r>
          </w:p>
        </w:tc>
        <w:tc>
          <w:tcPr>
            <w:tcW w:w="556" w:type="pct"/>
            <w:vAlign w:val="center"/>
          </w:tcPr>
          <w:p w14:paraId="4C471A16">
            <w:pPr>
              <w:pStyle w:val="12"/>
              <w:jc w:val="center"/>
              <w:rPr>
                <w:rFonts w:ascii="宋体" w:hAnsi="宋体"/>
              </w:rPr>
            </w:pPr>
            <w:r>
              <w:rPr>
                <w:rFonts w:ascii="宋体" w:hAnsi="宋体"/>
              </w:rPr>
              <w:t>586</w:t>
            </w:r>
          </w:p>
        </w:tc>
        <w:tc>
          <w:tcPr>
            <w:tcW w:w="556" w:type="pct"/>
            <w:vAlign w:val="center"/>
          </w:tcPr>
          <w:p w14:paraId="3DF721BF">
            <w:pPr>
              <w:pStyle w:val="12"/>
              <w:jc w:val="center"/>
              <w:rPr>
                <w:rFonts w:ascii="宋体" w:hAnsi="宋体"/>
              </w:rPr>
            </w:pPr>
            <w:r>
              <w:rPr>
                <w:rFonts w:ascii="宋体" w:hAnsi="宋体"/>
              </w:rPr>
              <w:t>0.53</w:t>
            </w:r>
          </w:p>
        </w:tc>
        <w:tc>
          <w:tcPr>
            <w:tcW w:w="556" w:type="pct"/>
            <w:vAlign w:val="center"/>
          </w:tcPr>
          <w:p w14:paraId="731483E4">
            <w:pPr>
              <w:pStyle w:val="12"/>
              <w:jc w:val="center"/>
              <w:rPr>
                <w:rFonts w:ascii="宋体" w:hAnsi="宋体"/>
              </w:rPr>
            </w:pPr>
            <w:r>
              <w:rPr>
                <w:rFonts w:ascii="宋体" w:hAnsi="宋体"/>
              </w:rPr>
              <w:t>—</w:t>
            </w:r>
          </w:p>
        </w:tc>
      </w:tr>
      <w:tr w14:paraId="23785A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623" w:type="pct"/>
            <w:gridSpan w:val="2"/>
            <w:vAlign w:val="center"/>
          </w:tcPr>
          <w:p w14:paraId="6953E1F7">
            <w:pPr>
              <w:pStyle w:val="12"/>
              <w:jc w:val="center"/>
              <w:rPr>
                <w:rFonts w:ascii="宋体" w:hAnsi="宋体"/>
              </w:rPr>
            </w:pPr>
            <w:r>
              <w:rPr>
                <w:rFonts w:ascii="宋体" w:hAnsi="宋体"/>
              </w:rPr>
              <w:t>1995</w:t>
            </w:r>
          </w:p>
        </w:tc>
        <w:tc>
          <w:tcPr>
            <w:tcW w:w="486" w:type="pct"/>
            <w:vAlign w:val="center"/>
          </w:tcPr>
          <w:p w14:paraId="1A2DA124">
            <w:pPr>
              <w:pStyle w:val="12"/>
              <w:jc w:val="center"/>
              <w:rPr>
                <w:rFonts w:ascii="宋体" w:hAnsi="宋体"/>
              </w:rPr>
            </w:pPr>
            <w:r>
              <w:rPr>
                <w:rFonts w:ascii="宋体" w:hAnsi="宋体"/>
              </w:rPr>
              <w:t>914</w:t>
            </w:r>
          </w:p>
        </w:tc>
        <w:tc>
          <w:tcPr>
            <w:tcW w:w="555" w:type="pct"/>
            <w:vAlign w:val="center"/>
          </w:tcPr>
          <w:p w14:paraId="29FC976C">
            <w:pPr>
              <w:pStyle w:val="12"/>
              <w:jc w:val="center"/>
              <w:rPr>
                <w:rFonts w:ascii="宋体" w:hAnsi="宋体"/>
              </w:rPr>
            </w:pPr>
            <w:r>
              <w:rPr>
                <w:rFonts w:ascii="宋体" w:hAnsi="宋体"/>
              </w:rPr>
              <w:t>411</w:t>
            </w:r>
          </w:p>
        </w:tc>
        <w:tc>
          <w:tcPr>
            <w:tcW w:w="555" w:type="pct"/>
            <w:vAlign w:val="center"/>
          </w:tcPr>
          <w:p w14:paraId="3947A4F3">
            <w:pPr>
              <w:pStyle w:val="12"/>
              <w:jc w:val="center"/>
              <w:rPr>
                <w:rFonts w:ascii="宋体" w:hAnsi="宋体"/>
              </w:rPr>
            </w:pPr>
            <w:r>
              <w:rPr>
                <w:rFonts w:ascii="宋体" w:hAnsi="宋体"/>
              </w:rPr>
              <w:t>453</w:t>
            </w:r>
          </w:p>
        </w:tc>
        <w:tc>
          <w:tcPr>
            <w:tcW w:w="556" w:type="pct"/>
            <w:vAlign w:val="center"/>
          </w:tcPr>
          <w:p w14:paraId="6A9EB2F1">
            <w:pPr>
              <w:pStyle w:val="12"/>
              <w:jc w:val="center"/>
              <w:rPr>
                <w:rFonts w:ascii="宋体" w:hAnsi="宋体"/>
              </w:rPr>
            </w:pPr>
            <w:r>
              <w:rPr>
                <w:rFonts w:ascii="宋体" w:hAnsi="宋体"/>
              </w:rPr>
              <w:t>50</w:t>
            </w:r>
          </w:p>
        </w:tc>
        <w:tc>
          <w:tcPr>
            <w:tcW w:w="556" w:type="pct"/>
            <w:vAlign w:val="center"/>
          </w:tcPr>
          <w:p w14:paraId="50ECB8BA">
            <w:pPr>
              <w:pStyle w:val="12"/>
              <w:jc w:val="center"/>
              <w:rPr>
                <w:rFonts w:ascii="宋体" w:hAnsi="宋体"/>
              </w:rPr>
            </w:pPr>
            <w:r>
              <w:rPr>
                <w:rFonts w:ascii="宋体" w:hAnsi="宋体"/>
              </w:rPr>
              <w:t>—</w:t>
            </w:r>
          </w:p>
        </w:tc>
        <w:tc>
          <w:tcPr>
            <w:tcW w:w="556" w:type="pct"/>
            <w:vAlign w:val="center"/>
          </w:tcPr>
          <w:p w14:paraId="11217652">
            <w:pPr>
              <w:pStyle w:val="12"/>
              <w:jc w:val="center"/>
              <w:rPr>
                <w:rFonts w:ascii="宋体" w:hAnsi="宋体"/>
              </w:rPr>
            </w:pPr>
            <w:r>
              <w:rPr>
                <w:rFonts w:ascii="宋体" w:hAnsi="宋体"/>
              </w:rPr>
              <w:t>360</w:t>
            </w:r>
          </w:p>
        </w:tc>
        <w:tc>
          <w:tcPr>
            <w:tcW w:w="556" w:type="pct"/>
            <w:vAlign w:val="center"/>
          </w:tcPr>
          <w:p w14:paraId="4DBD7EC1">
            <w:pPr>
              <w:pStyle w:val="12"/>
              <w:jc w:val="center"/>
              <w:rPr>
                <w:rFonts w:ascii="宋体" w:hAnsi="宋体"/>
              </w:rPr>
            </w:pPr>
            <w:r>
              <w:rPr>
                <w:rFonts w:ascii="宋体" w:hAnsi="宋体"/>
              </w:rPr>
              <w:t>0.16</w:t>
            </w:r>
          </w:p>
        </w:tc>
        <w:tc>
          <w:tcPr>
            <w:tcW w:w="556" w:type="pct"/>
            <w:vAlign w:val="center"/>
          </w:tcPr>
          <w:p w14:paraId="69A00789">
            <w:pPr>
              <w:pStyle w:val="12"/>
              <w:jc w:val="center"/>
              <w:rPr>
                <w:rFonts w:ascii="宋体" w:hAnsi="宋体"/>
              </w:rPr>
            </w:pPr>
            <w:r>
              <w:rPr>
                <w:rFonts w:ascii="宋体" w:hAnsi="宋体"/>
              </w:rPr>
              <w:t>—</w:t>
            </w:r>
          </w:p>
        </w:tc>
      </w:tr>
      <w:tr w14:paraId="69F8EA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623" w:type="pct"/>
            <w:gridSpan w:val="2"/>
            <w:vAlign w:val="center"/>
          </w:tcPr>
          <w:p w14:paraId="3B1D6878">
            <w:pPr>
              <w:pStyle w:val="12"/>
              <w:jc w:val="center"/>
              <w:rPr>
                <w:rFonts w:ascii="宋体" w:hAnsi="宋体"/>
              </w:rPr>
            </w:pPr>
            <w:r>
              <w:rPr>
                <w:rFonts w:ascii="宋体" w:hAnsi="宋体"/>
              </w:rPr>
              <w:t>1996</w:t>
            </w:r>
          </w:p>
        </w:tc>
        <w:tc>
          <w:tcPr>
            <w:tcW w:w="486" w:type="pct"/>
            <w:vAlign w:val="center"/>
          </w:tcPr>
          <w:p w14:paraId="136D8371">
            <w:pPr>
              <w:pStyle w:val="12"/>
              <w:jc w:val="center"/>
              <w:rPr>
                <w:rFonts w:ascii="宋体" w:hAnsi="宋体"/>
              </w:rPr>
            </w:pPr>
            <w:r>
              <w:rPr>
                <w:rFonts w:ascii="宋体" w:hAnsi="宋体"/>
              </w:rPr>
              <w:t>857</w:t>
            </w:r>
          </w:p>
        </w:tc>
        <w:tc>
          <w:tcPr>
            <w:tcW w:w="555" w:type="pct"/>
            <w:vAlign w:val="center"/>
          </w:tcPr>
          <w:p w14:paraId="507731F5">
            <w:pPr>
              <w:pStyle w:val="12"/>
              <w:jc w:val="center"/>
              <w:rPr>
                <w:rFonts w:ascii="宋体" w:hAnsi="宋体"/>
              </w:rPr>
            </w:pPr>
            <w:r>
              <w:rPr>
                <w:rFonts w:ascii="宋体" w:hAnsi="宋体"/>
              </w:rPr>
              <w:t>857</w:t>
            </w:r>
          </w:p>
        </w:tc>
        <w:tc>
          <w:tcPr>
            <w:tcW w:w="555" w:type="pct"/>
            <w:vAlign w:val="center"/>
          </w:tcPr>
          <w:p w14:paraId="2D86CCAE">
            <w:pPr>
              <w:pStyle w:val="12"/>
              <w:jc w:val="center"/>
              <w:rPr>
                <w:rFonts w:ascii="宋体" w:hAnsi="宋体"/>
              </w:rPr>
            </w:pPr>
            <w:r>
              <w:rPr>
                <w:rFonts w:ascii="宋体" w:hAnsi="宋体"/>
              </w:rPr>
              <w:t>—</w:t>
            </w:r>
          </w:p>
        </w:tc>
        <w:tc>
          <w:tcPr>
            <w:tcW w:w="556" w:type="pct"/>
            <w:vAlign w:val="center"/>
          </w:tcPr>
          <w:p w14:paraId="74DB1FB2">
            <w:pPr>
              <w:pStyle w:val="12"/>
              <w:jc w:val="center"/>
              <w:rPr>
                <w:rFonts w:ascii="宋体" w:hAnsi="宋体"/>
              </w:rPr>
            </w:pPr>
            <w:r>
              <w:rPr>
                <w:rFonts w:ascii="宋体" w:hAnsi="宋体"/>
              </w:rPr>
              <w:t>—</w:t>
            </w:r>
          </w:p>
        </w:tc>
        <w:tc>
          <w:tcPr>
            <w:tcW w:w="556" w:type="pct"/>
            <w:vAlign w:val="center"/>
          </w:tcPr>
          <w:p w14:paraId="5CDB91EC">
            <w:pPr>
              <w:pStyle w:val="12"/>
              <w:jc w:val="center"/>
              <w:rPr>
                <w:rFonts w:ascii="宋体" w:hAnsi="宋体"/>
              </w:rPr>
            </w:pPr>
            <w:r>
              <w:rPr>
                <w:rFonts w:ascii="宋体" w:hAnsi="宋体"/>
              </w:rPr>
              <w:t>—</w:t>
            </w:r>
          </w:p>
        </w:tc>
        <w:tc>
          <w:tcPr>
            <w:tcW w:w="556" w:type="pct"/>
            <w:vAlign w:val="center"/>
          </w:tcPr>
          <w:p w14:paraId="40AD76D4">
            <w:pPr>
              <w:pStyle w:val="12"/>
              <w:jc w:val="center"/>
              <w:rPr>
                <w:rFonts w:ascii="宋体" w:hAnsi="宋体"/>
              </w:rPr>
            </w:pPr>
            <w:r>
              <w:rPr>
                <w:rFonts w:ascii="宋体" w:hAnsi="宋体"/>
              </w:rPr>
              <w:t>857</w:t>
            </w:r>
          </w:p>
        </w:tc>
        <w:tc>
          <w:tcPr>
            <w:tcW w:w="556" w:type="pct"/>
            <w:vAlign w:val="center"/>
          </w:tcPr>
          <w:p w14:paraId="5AC63E61">
            <w:pPr>
              <w:pStyle w:val="12"/>
              <w:jc w:val="center"/>
              <w:rPr>
                <w:rFonts w:ascii="宋体" w:hAnsi="宋体"/>
              </w:rPr>
            </w:pPr>
            <w:r>
              <w:rPr>
                <w:rFonts w:ascii="宋体" w:hAnsi="宋体"/>
              </w:rPr>
              <w:t>0.50</w:t>
            </w:r>
          </w:p>
        </w:tc>
        <w:tc>
          <w:tcPr>
            <w:tcW w:w="556" w:type="pct"/>
            <w:vAlign w:val="center"/>
          </w:tcPr>
          <w:p w14:paraId="087971C1">
            <w:pPr>
              <w:pStyle w:val="12"/>
              <w:jc w:val="center"/>
              <w:rPr>
                <w:rFonts w:ascii="宋体" w:hAnsi="宋体"/>
              </w:rPr>
            </w:pPr>
            <w:r>
              <w:rPr>
                <w:rFonts w:ascii="宋体" w:hAnsi="宋体"/>
              </w:rPr>
              <w:t>—</w:t>
            </w:r>
          </w:p>
        </w:tc>
      </w:tr>
      <w:tr w14:paraId="6268BB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623" w:type="pct"/>
            <w:gridSpan w:val="2"/>
            <w:vAlign w:val="center"/>
          </w:tcPr>
          <w:p w14:paraId="5BC66D85">
            <w:pPr>
              <w:pStyle w:val="12"/>
              <w:jc w:val="center"/>
              <w:rPr>
                <w:rFonts w:ascii="宋体" w:hAnsi="宋体"/>
              </w:rPr>
            </w:pPr>
            <w:r>
              <w:rPr>
                <w:rFonts w:ascii="宋体" w:hAnsi="宋体"/>
              </w:rPr>
              <w:t>1997</w:t>
            </w:r>
          </w:p>
        </w:tc>
        <w:tc>
          <w:tcPr>
            <w:tcW w:w="486" w:type="pct"/>
            <w:vAlign w:val="center"/>
          </w:tcPr>
          <w:p w14:paraId="1AF9D56E">
            <w:pPr>
              <w:pStyle w:val="12"/>
              <w:jc w:val="center"/>
              <w:rPr>
                <w:rFonts w:ascii="宋体" w:hAnsi="宋体"/>
              </w:rPr>
            </w:pPr>
            <w:r>
              <w:rPr>
                <w:rFonts w:ascii="宋体" w:hAnsi="宋体"/>
              </w:rPr>
              <w:t>957</w:t>
            </w:r>
          </w:p>
        </w:tc>
        <w:tc>
          <w:tcPr>
            <w:tcW w:w="555" w:type="pct"/>
            <w:vAlign w:val="center"/>
          </w:tcPr>
          <w:p w14:paraId="74AD95DA">
            <w:pPr>
              <w:pStyle w:val="12"/>
              <w:jc w:val="center"/>
              <w:rPr>
                <w:rFonts w:ascii="宋体" w:hAnsi="宋体"/>
              </w:rPr>
            </w:pPr>
            <w:r>
              <w:rPr>
                <w:rFonts w:ascii="宋体" w:hAnsi="宋体"/>
              </w:rPr>
              <w:t>910</w:t>
            </w:r>
          </w:p>
        </w:tc>
        <w:tc>
          <w:tcPr>
            <w:tcW w:w="555" w:type="pct"/>
            <w:vAlign w:val="center"/>
          </w:tcPr>
          <w:p w14:paraId="1514E8B8">
            <w:pPr>
              <w:pStyle w:val="12"/>
              <w:jc w:val="center"/>
              <w:rPr>
                <w:rFonts w:ascii="宋体" w:hAnsi="宋体"/>
              </w:rPr>
            </w:pPr>
            <w:r>
              <w:rPr>
                <w:rFonts w:ascii="宋体" w:hAnsi="宋体"/>
              </w:rPr>
              <w:t>—</w:t>
            </w:r>
          </w:p>
        </w:tc>
        <w:tc>
          <w:tcPr>
            <w:tcW w:w="556" w:type="pct"/>
            <w:vAlign w:val="center"/>
          </w:tcPr>
          <w:p w14:paraId="0C504E92">
            <w:pPr>
              <w:pStyle w:val="12"/>
              <w:jc w:val="center"/>
              <w:rPr>
                <w:rFonts w:ascii="宋体" w:hAnsi="宋体"/>
              </w:rPr>
            </w:pPr>
            <w:r>
              <w:rPr>
                <w:rFonts w:ascii="宋体" w:hAnsi="宋体"/>
              </w:rPr>
              <w:t>47</w:t>
            </w:r>
          </w:p>
        </w:tc>
        <w:tc>
          <w:tcPr>
            <w:tcW w:w="556" w:type="pct"/>
            <w:vAlign w:val="center"/>
          </w:tcPr>
          <w:p w14:paraId="69B4A499">
            <w:pPr>
              <w:pStyle w:val="12"/>
              <w:jc w:val="center"/>
              <w:rPr>
                <w:rFonts w:ascii="宋体" w:hAnsi="宋体"/>
              </w:rPr>
            </w:pPr>
            <w:r>
              <w:rPr>
                <w:rFonts w:ascii="宋体" w:hAnsi="宋体"/>
              </w:rPr>
              <w:t>—</w:t>
            </w:r>
          </w:p>
        </w:tc>
        <w:tc>
          <w:tcPr>
            <w:tcW w:w="556" w:type="pct"/>
            <w:vAlign w:val="center"/>
          </w:tcPr>
          <w:p w14:paraId="3BAB56A3">
            <w:pPr>
              <w:pStyle w:val="12"/>
              <w:jc w:val="center"/>
              <w:rPr>
                <w:rFonts w:ascii="宋体" w:hAnsi="宋体"/>
              </w:rPr>
            </w:pPr>
            <w:r>
              <w:rPr>
                <w:rFonts w:ascii="宋体" w:hAnsi="宋体"/>
              </w:rPr>
              <w:t>493</w:t>
            </w:r>
          </w:p>
        </w:tc>
        <w:tc>
          <w:tcPr>
            <w:tcW w:w="556" w:type="pct"/>
            <w:vAlign w:val="center"/>
          </w:tcPr>
          <w:p w14:paraId="06863916">
            <w:pPr>
              <w:pStyle w:val="12"/>
              <w:jc w:val="center"/>
              <w:rPr>
                <w:rFonts w:ascii="宋体" w:hAnsi="宋体"/>
              </w:rPr>
            </w:pPr>
            <w:r>
              <w:rPr>
                <w:rFonts w:ascii="宋体" w:hAnsi="宋体"/>
              </w:rPr>
              <w:t>0.87</w:t>
            </w:r>
          </w:p>
        </w:tc>
        <w:tc>
          <w:tcPr>
            <w:tcW w:w="556" w:type="pct"/>
            <w:vAlign w:val="center"/>
          </w:tcPr>
          <w:p w14:paraId="1B7F7181">
            <w:pPr>
              <w:pStyle w:val="12"/>
              <w:jc w:val="center"/>
              <w:rPr>
                <w:rFonts w:ascii="宋体" w:hAnsi="宋体"/>
              </w:rPr>
            </w:pPr>
            <w:r>
              <w:rPr>
                <w:rFonts w:ascii="宋体" w:hAnsi="宋体"/>
              </w:rPr>
              <w:t>0.5</w:t>
            </w:r>
          </w:p>
        </w:tc>
      </w:tr>
      <w:tr w14:paraId="1853CB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623" w:type="pct"/>
            <w:gridSpan w:val="2"/>
            <w:vAlign w:val="center"/>
          </w:tcPr>
          <w:p w14:paraId="02F98003">
            <w:pPr>
              <w:pStyle w:val="12"/>
              <w:jc w:val="center"/>
              <w:rPr>
                <w:rFonts w:ascii="宋体" w:hAnsi="宋体"/>
              </w:rPr>
            </w:pPr>
            <w:r>
              <w:rPr>
                <w:rFonts w:ascii="宋体" w:hAnsi="宋体"/>
              </w:rPr>
              <w:t>1998</w:t>
            </w:r>
          </w:p>
        </w:tc>
        <w:tc>
          <w:tcPr>
            <w:tcW w:w="486" w:type="pct"/>
            <w:vAlign w:val="center"/>
          </w:tcPr>
          <w:p w14:paraId="16439836">
            <w:pPr>
              <w:pStyle w:val="12"/>
              <w:jc w:val="center"/>
              <w:rPr>
                <w:rFonts w:ascii="宋体" w:hAnsi="宋体"/>
              </w:rPr>
            </w:pPr>
            <w:r>
              <w:rPr>
                <w:rFonts w:ascii="宋体" w:hAnsi="宋体"/>
              </w:rPr>
              <w:t>469</w:t>
            </w:r>
          </w:p>
        </w:tc>
        <w:tc>
          <w:tcPr>
            <w:tcW w:w="555" w:type="pct"/>
            <w:vAlign w:val="center"/>
          </w:tcPr>
          <w:p w14:paraId="0ACD8C5C">
            <w:pPr>
              <w:pStyle w:val="12"/>
              <w:jc w:val="center"/>
              <w:rPr>
                <w:rFonts w:ascii="宋体" w:hAnsi="宋体"/>
              </w:rPr>
            </w:pPr>
            <w:r>
              <w:rPr>
                <w:rFonts w:ascii="宋体" w:hAnsi="宋体"/>
              </w:rPr>
              <w:t>421</w:t>
            </w:r>
          </w:p>
        </w:tc>
        <w:tc>
          <w:tcPr>
            <w:tcW w:w="555" w:type="pct"/>
            <w:vAlign w:val="center"/>
          </w:tcPr>
          <w:p w14:paraId="53F4C21B">
            <w:pPr>
              <w:pStyle w:val="12"/>
              <w:jc w:val="center"/>
              <w:rPr>
                <w:rFonts w:ascii="宋体" w:hAnsi="宋体"/>
              </w:rPr>
            </w:pPr>
            <w:r>
              <w:rPr>
                <w:rFonts w:ascii="宋体" w:hAnsi="宋体"/>
              </w:rPr>
              <w:t>—</w:t>
            </w:r>
          </w:p>
        </w:tc>
        <w:tc>
          <w:tcPr>
            <w:tcW w:w="556" w:type="pct"/>
            <w:vAlign w:val="center"/>
          </w:tcPr>
          <w:p w14:paraId="6212F8F7">
            <w:pPr>
              <w:pStyle w:val="12"/>
              <w:jc w:val="center"/>
              <w:rPr>
                <w:rFonts w:ascii="宋体" w:hAnsi="宋体"/>
              </w:rPr>
            </w:pPr>
            <w:r>
              <w:rPr>
                <w:rFonts w:ascii="宋体" w:hAnsi="宋体"/>
              </w:rPr>
              <w:t>48</w:t>
            </w:r>
          </w:p>
        </w:tc>
        <w:tc>
          <w:tcPr>
            <w:tcW w:w="556" w:type="pct"/>
            <w:vAlign w:val="center"/>
          </w:tcPr>
          <w:p w14:paraId="73EB270D">
            <w:pPr>
              <w:pStyle w:val="12"/>
              <w:jc w:val="center"/>
              <w:rPr>
                <w:rFonts w:ascii="宋体" w:hAnsi="宋体"/>
              </w:rPr>
            </w:pPr>
            <w:r>
              <w:rPr>
                <w:rFonts w:ascii="宋体" w:hAnsi="宋体"/>
              </w:rPr>
              <w:t>—</w:t>
            </w:r>
          </w:p>
        </w:tc>
        <w:tc>
          <w:tcPr>
            <w:tcW w:w="556" w:type="pct"/>
            <w:vAlign w:val="center"/>
          </w:tcPr>
          <w:p w14:paraId="1B17B8F9">
            <w:pPr>
              <w:pStyle w:val="12"/>
              <w:jc w:val="center"/>
              <w:rPr>
                <w:rFonts w:ascii="宋体" w:hAnsi="宋体"/>
              </w:rPr>
            </w:pPr>
            <w:r>
              <w:rPr>
                <w:rFonts w:ascii="宋体" w:hAnsi="宋体"/>
              </w:rPr>
              <w:t>419</w:t>
            </w:r>
          </w:p>
        </w:tc>
        <w:tc>
          <w:tcPr>
            <w:tcW w:w="556" w:type="pct"/>
            <w:vAlign w:val="center"/>
          </w:tcPr>
          <w:p w14:paraId="52A216A1">
            <w:pPr>
              <w:pStyle w:val="12"/>
              <w:jc w:val="center"/>
              <w:rPr>
                <w:rFonts w:ascii="宋体" w:hAnsi="宋体"/>
              </w:rPr>
            </w:pPr>
            <w:r>
              <w:rPr>
                <w:rFonts w:ascii="宋体" w:hAnsi="宋体"/>
              </w:rPr>
              <w:t>0.33</w:t>
            </w:r>
          </w:p>
        </w:tc>
        <w:tc>
          <w:tcPr>
            <w:tcW w:w="556" w:type="pct"/>
            <w:vAlign w:val="center"/>
          </w:tcPr>
          <w:p w14:paraId="4191E38F">
            <w:pPr>
              <w:pStyle w:val="12"/>
              <w:jc w:val="center"/>
              <w:rPr>
                <w:rFonts w:ascii="宋体" w:hAnsi="宋体"/>
              </w:rPr>
            </w:pPr>
            <w:r>
              <w:rPr>
                <w:rFonts w:ascii="宋体" w:hAnsi="宋体"/>
              </w:rPr>
              <w:t>—</w:t>
            </w:r>
          </w:p>
        </w:tc>
      </w:tr>
      <w:tr w14:paraId="223DE09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623" w:type="pct"/>
            <w:gridSpan w:val="2"/>
            <w:vAlign w:val="center"/>
          </w:tcPr>
          <w:p w14:paraId="55FBCF68">
            <w:pPr>
              <w:pStyle w:val="12"/>
              <w:jc w:val="center"/>
              <w:rPr>
                <w:rFonts w:ascii="宋体" w:hAnsi="宋体"/>
              </w:rPr>
            </w:pPr>
            <w:r>
              <w:rPr>
                <w:rFonts w:ascii="宋体" w:hAnsi="宋体"/>
              </w:rPr>
              <w:t>1999</w:t>
            </w:r>
          </w:p>
        </w:tc>
        <w:tc>
          <w:tcPr>
            <w:tcW w:w="486" w:type="pct"/>
            <w:vAlign w:val="center"/>
          </w:tcPr>
          <w:p w14:paraId="792DFF73">
            <w:pPr>
              <w:pStyle w:val="12"/>
              <w:jc w:val="center"/>
              <w:rPr>
                <w:rFonts w:ascii="宋体" w:hAnsi="宋体"/>
              </w:rPr>
            </w:pPr>
            <w:r>
              <w:rPr>
                <w:rFonts w:ascii="宋体" w:hAnsi="宋体"/>
              </w:rPr>
              <w:t>1155</w:t>
            </w:r>
          </w:p>
        </w:tc>
        <w:tc>
          <w:tcPr>
            <w:tcW w:w="555" w:type="pct"/>
            <w:vAlign w:val="center"/>
          </w:tcPr>
          <w:p w14:paraId="087EAABD">
            <w:pPr>
              <w:pStyle w:val="12"/>
              <w:jc w:val="center"/>
              <w:rPr>
                <w:rFonts w:ascii="宋体" w:hAnsi="宋体"/>
              </w:rPr>
            </w:pPr>
            <w:r>
              <w:rPr>
                <w:rFonts w:ascii="宋体" w:hAnsi="宋体"/>
              </w:rPr>
              <w:t>1001</w:t>
            </w:r>
          </w:p>
        </w:tc>
        <w:tc>
          <w:tcPr>
            <w:tcW w:w="555" w:type="pct"/>
            <w:vAlign w:val="center"/>
          </w:tcPr>
          <w:p w14:paraId="558CED67">
            <w:pPr>
              <w:pStyle w:val="12"/>
              <w:jc w:val="center"/>
              <w:rPr>
                <w:rFonts w:ascii="宋体" w:hAnsi="宋体"/>
              </w:rPr>
            </w:pPr>
            <w:r>
              <w:rPr>
                <w:rFonts w:ascii="宋体" w:hAnsi="宋体"/>
              </w:rPr>
              <w:t>—</w:t>
            </w:r>
          </w:p>
        </w:tc>
        <w:tc>
          <w:tcPr>
            <w:tcW w:w="556" w:type="pct"/>
            <w:vAlign w:val="center"/>
          </w:tcPr>
          <w:p w14:paraId="7EA66A22">
            <w:pPr>
              <w:pStyle w:val="12"/>
              <w:jc w:val="center"/>
              <w:rPr>
                <w:rFonts w:ascii="宋体" w:hAnsi="宋体"/>
              </w:rPr>
            </w:pPr>
            <w:r>
              <w:rPr>
                <w:rFonts w:ascii="宋体" w:hAnsi="宋体"/>
              </w:rPr>
              <w:t>154</w:t>
            </w:r>
          </w:p>
        </w:tc>
        <w:tc>
          <w:tcPr>
            <w:tcW w:w="556" w:type="pct"/>
            <w:vAlign w:val="center"/>
          </w:tcPr>
          <w:p w14:paraId="011BAE14">
            <w:pPr>
              <w:pStyle w:val="12"/>
              <w:jc w:val="center"/>
              <w:rPr>
                <w:rFonts w:ascii="宋体" w:hAnsi="宋体"/>
              </w:rPr>
            </w:pPr>
            <w:r>
              <w:rPr>
                <w:rFonts w:ascii="宋体" w:hAnsi="宋体"/>
              </w:rPr>
              <w:t>—</w:t>
            </w:r>
          </w:p>
        </w:tc>
        <w:tc>
          <w:tcPr>
            <w:tcW w:w="556" w:type="pct"/>
            <w:vAlign w:val="center"/>
          </w:tcPr>
          <w:p w14:paraId="547FEF43">
            <w:pPr>
              <w:pStyle w:val="12"/>
              <w:jc w:val="center"/>
              <w:rPr>
                <w:rFonts w:ascii="宋体" w:hAnsi="宋体"/>
              </w:rPr>
            </w:pPr>
            <w:r>
              <w:rPr>
                <w:rFonts w:ascii="宋体" w:hAnsi="宋体"/>
              </w:rPr>
              <w:t>765</w:t>
            </w:r>
          </w:p>
        </w:tc>
        <w:tc>
          <w:tcPr>
            <w:tcW w:w="556" w:type="pct"/>
            <w:vAlign w:val="center"/>
          </w:tcPr>
          <w:p w14:paraId="2A4EF430">
            <w:pPr>
              <w:pStyle w:val="12"/>
              <w:jc w:val="center"/>
              <w:rPr>
                <w:rFonts w:ascii="宋体" w:hAnsi="宋体"/>
              </w:rPr>
            </w:pPr>
            <w:r>
              <w:rPr>
                <w:rFonts w:ascii="宋体" w:hAnsi="宋体"/>
              </w:rPr>
              <w:t>1.20</w:t>
            </w:r>
          </w:p>
        </w:tc>
        <w:tc>
          <w:tcPr>
            <w:tcW w:w="556" w:type="pct"/>
            <w:vAlign w:val="center"/>
          </w:tcPr>
          <w:p w14:paraId="3D691A1A">
            <w:pPr>
              <w:pStyle w:val="12"/>
              <w:jc w:val="center"/>
              <w:rPr>
                <w:rFonts w:ascii="宋体" w:hAnsi="宋体"/>
              </w:rPr>
            </w:pPr>
            <w:r>
              <w:rPr>
                <w:rFonts w:ascii="宋体" w:hAnsi="宋体"/>
              </w:rPr>
              <w:t>—</w:t>
            </w:r>
          </w:p>
        </w:tc>
      </w:tr>
      <w:tr w14:paraId="1A6068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623" w:type="pct"/>
            <w:gridSpan w:val="2"/>
            <w:vAlign w:val="center"/>
          </w:tcPr>
          <w:p w14:paraId="0AE94EA6">
            <w:pPr>
              <w:pStyle w:val="12"/>
              <w:jc w:val="center"/>
              <w:rPr>
                <w:rFonts w:ascii="宋体" w:hAnsi="宋体"/>
              </w:rPr>
            </w:pPr>
            <w:r>
              <w:rPr>
                <w:rFonts w:ascii="宋体" w:hAnsi="宋体"/>
              </w:rPr>
              <w:t>2000</w:t>
            </w:r>
          </w:p>
        </w:tc>
        <w:tc>
          <w:tcPr>
            <w:tcW w:w="486" w:type="pct"/>
            <w:vAlign w:val="center"/>
          </w:tcPr>
          <w:p w14:paraId="029583FA">
            <w:pPr>
              <w:pStyle w:val="12"/>
              <w:jc w:val="center"/>
              <w:rPr>
                <w:rFonts w:ascii="宋体" w:hAnsi="宋体"/>
              </w:rPr>
            </w:pPr>
            <w:r>
              <w:rPr>
                <w:rFonts w:ascii="宋体" w:hAnsi="宋体"/>
              </w:rPr>
              <w:t>1347</w:t>
            </w:r>
          </w:p>
        </w:tc>
        <w:tc>
          <w:tcPr>
            <w:tcW w:w="555" w:type="pct"/>
            <w:vAlign w:val="center"/>
          </w:tcPr>
          <w:p w14:paraId="24A1194C">
            <w:pPr>
              <w:pStyle w:val="12"/>
              <w:jc w:val="center"/>
              <w:rPr>
                <w:rFonts w:ascii="宋体" w:hAnsi="宋体"/>
              </w:rPr>
            </w:pPr>
            <w:r>
              <w:rPr>
                <w:rFonts w:ascii="宋体" w:hAnsi="宋体"/>
              </w:rPr>
              <w:t>576</w:t>
            </w:r>
          </w:p>
        </w:tc>
        <w:tc>
          <w:tcPr>
            <w:tcW w:w="555" w:type="pct"/>
            <w:vAlign w:val="center"/>
          </w:tcPr>
          <w:p w14:paraId="10399794">
            <w:pPr>
              <w:pStyle w:val="12"/>
              <w:jc w:val="center"/>
              <w:rPr>
                <w:rFonts w:ascii="宋体" w:hAnsi="宋体"/>
              </w:rPr>
            </w:pPr>
            <w:r>
              <w:rPr>
                <w:rFonts w:ascii="宋体" w:hAnsi="宋体"/>
              </w:rPr>
              <w:t>—</w:t>
            </w:r>
          </w:p>
        </w:tc>
        <w:tc>
          <w:tcPr>
            <w:tcW w:w="556" w:type="pct"/>
            <w:vAlign w:val="center"/>
          </w:tcPr>
          <w:p w14:paraId="3AACE1FF">
            <w:pPr>
              <w:pStyle w:val="12"/>
              <w:jc w:val="center"/>
              <w:rPr>
                <w:rFonts w:ascii="宋体" w:hAnsi="宋体"/>
              </w:rPr>
            </w:pPr>
            <w:r>
              <w:rPr>
                <w:rFonts w:ascii="宋体" w:hAnsi="宋体"/>
              </w:rPr>
              <w:t>771</w:t>
            </w:r>
          </w:p>
        </w:tc>
        <w:tc>
          <w:tcPr>
            <w:tcW w:w="556" w:type="pct"/>
            <w:vAlign w:val="center"/>
          </w:tcPr>
          <w:p w14:paraId="769F69A5">
            <w:pPr>
              <w:pStyle w:val="12"/>
              <w:jc w:val="center"/>
              <w:rPr>
                <w:rFonts w:ascii="宋体" w:hAnsi="宋体"/>
              </w:rPr>
            </w:pPr>
            <w:r>
              <w:rPr>
                <w:rFonts w:ascii="宋体" w:hAnsi="宋体"/>
              </w:rPr>
              <w:t>—</w:t>
            </w:r>
          </w:p>
        </w:tc>
        <w:tc>
          <w:tcPr>
            <w:tcW w:w="556" w:type="pct"/>
            <w:vAlign w:val="center"/>
          </w:tcPr>
          <w:p w14:paraId="6D256DCB">
            <w:pPr>
              <w:pStyle w:val="12"/>
              <w:jc w:val="center"/>
              <w:rPr>
                <w:rFonts w:ascii="宋体" w:hAnsi="宋体"/>
              </w:rPr>
            </w:pPr>
            <w:r>
              <w:rPr>
                <w:rFonts w:ascii="宋体" w:hAnsi="宋体"/>
              </w:rPr>
              <w:t>937</w:t>
            </w:r>
          </w:p>
        </w:tc>
        <w:tc>
          <w:tcPr>
            <w:tcW w:w="556" w:type="pct"/>
            <w:vAlign w:val="center"/>
          </w:tcPr>
          <w:p w14:paraId="31FD1F6F">
            <w:pPr>
              <w:pStyle w:val="12"/>
              <w:jc w:val="center"/>
              <w:rPr>
                <w:rFonts w:ascii="宋体" w:hAnsi="宋体"/>
              </w:rPr>
            </w:pPr>
            <w:r>
              <w:rPr>
                <w:rFonts w:ascii="宋体" w:hAnsi="宋体"/>
              </w:rPr>
              <w:t>2.73</w:t>
            </w:r>
          </w:p>
        </w:tc>
        <w:tc>
          <w:tcPr>
            <w:tcW w:w="556" w:type="pct"/>
            <w:vAlign w:val="center"/>
          </w:tcPr>
          <w:p w14:paraId="3B4AB5C4">
            <w:pPr>
              <w:pStyle w:val="12"/>
              <w:jc w:val="center"/>
              <w:rPr>
                <w:rFonts w:ascii="宋体" w:hAnsi="宋体"/>
              </w:rPr>
            </w:pPr>
            <w:r>
              <w:rPr>
                <w:rFonts w:ascii="宋体" w:hAnsi="宋体"/>
              </w:rPr>
              <w:t>—</w:t>
            </w:r>
          </w:p>
        </w:tc>
      </w:tr>
      <w:tr w14:paraId="256BCA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623" w:type="pct"/>
            <w:gridSpan w:val="2"/>
            <w:vAlign w:val="center"/>
          </w:tcPr>
          <w:p w14:paraId="0F6D58F0">
            <w:pPr>
              <w:pStyle w:val="12"/>
              <w:jc w:val="center"/>
              <w:rPr>
                <w:rFonts w:ascii="宋体" w:hAnsi="宋体"/>
              </w:rPr>
            </w:pPr>
            <w:r>
              <w:rPr>
                <w:rFonts w:ascii="宋体" w:hAnsi="宋体"/>
              </w:rPr>
              <w:t>2001</w:t>
            </w:r>
          </w:p>
        </w:tc>
        <w:tc>
          <w:tcPr>
            <w:tcW w:w="486" w:type="pct"/>
            <w:vAlign w:val="center"/>
          </w:tcPr>
          <w:p w14:paraId="17895576">
            <w:pPr>
              <w:pStyle w:val="12"/>
              <w:jc w:val="center"/>
              <w:rPr>
                <w:rFonts w:ascii="宋体" w:hAnsi="宋体"/>
              </w:rPr>
            </w:pPr>
            <w:r>
              <w:rPr>
                <w:rFonts w:ascii="宋体" w:hAnsi="宋体"/>
              </w:rPr>
              <w:t>822</w:t>
            </w:r>
          </w:p>
        </w:tc>
        <w:tc>
          <w:tcPr>
            <w:tcW w:w="555" w:type="pct"/>
            <w:vAlign w:val="center"/>
          </w:tcPr>
          <w:p w14:paraId="3981025C">
            <w:pPr>
              <w:pStyle w:val="12"/>
              <w:jc w:val="center"/>
              <w:rPr>
                <w:rFonts w:ascii="宋体" w:hAnsi="宋体"/>
              </w:rPr>
            </w:pPr>
            <w:r>
              <w:rPr>
                <w:rFonts w:ascii="宋体" w:hAnsi="宋体"/>
              </w:rPr>
              <w:t>603</w:t>
            </w:r>
          </w:p>
        </w:tc>
        <w:tc>
          <w:tcPr>
            <w:tcW w:w="555" w:type="pct"/>
            <w:vAlign w:val="center"/>
          </w:tcPr>
          <w:p w14:paraId="2E70ED3A">
            <w:pPr>
              <w:pStyle w:val="12"/>
              <w:jc w:val="center"/>
              <w:rPr>
                <w:rFonts w:ascii="宋体" w:hAnsi="宋体"/>
              </w:rPr>
            </w:pPr>
            <w:r>
              <w:rPr>
                <w:rFonts w:ascii="宋体" w:hAnsi="宋体"/>
              </w:rPr>
              <w:t>—</w:t>
            </w:r>
          </w:p>
        </w:tc>
        <w:tc>
          <w:tcPr>
            <w:tcW w:w="556" w:type="pct"/>
            <w:vAlign w:val="center"/>
          </w:tcPr>
          <w:p w14:paraId="10D2EF3F">
            <w:pPr>
              <w:pStyle w:val="12"/>
              <w:jc w:val="center"/>
              <w:rPr>
                <w:rFonts w:ascii="宋体" w:hAnsi="宋体"/>
              </w:rPr>
            </w:pPr>
            <w:r>
              <w:rPr>
                <w:rFonts w:ascii="宋体" w:hAnsi="宋体"/>
              </w:rPr>
              <w:t>219</w:t>
            </w:r>
          </w:p>
        </w:tc>
        <w:tc>
          <w:tcPr>
            <w:tcW w:w="556" w:type="pct"/>
            <w:vAlign w:val="center"/>
          </w:tcPr>
          <w:p w14:paraId="40976EBA">
            <w:pPr>
              <w:pStyle w:val="12"/>
              <w:jc w:val="center"/>
              <w:rPr>
                <w:rFonts w:ascii="宋体" w:hAnsi="宋体"/>
              </w:rPr>
            </w:pPr>
            <w:r>
              <w:rPr>
                <w:rFonts w:ascii="宋体" w:hAnsi="宋体"/>
              </w:rPr>
              <w:t>—</w:t>
            </w:r>
          </w:p>
        </w:tc>
        <w:tc>
          <w:tcPr>
            <w:tcW w:w="556" w:type="pct"/>
            <w:vAlign w:val="center"/>
          </w:tcPr>
          <w:p w14:paraId="0AD833CC">
            <w:pPr>
              <w:pStyle w:val="12"/>
              <w:jc w:val="center"/>
              <w:rPr>
                <w:rFonts w:ascii="宋体" w:hAnsi="宋体"/>
              </w:rPr>
            </w:pPr>
            <w:r>
              <w:rPr>
                <w:rFonts w:ascii="宋体" w:hAnsi="宋体"/>
              </w:rPr>
              <w:t>633</w:t>
            </w:r>
          </w:p>
        </w:tc>
        <w:tc>
          <w:tcPr>
            <w:tcW w:w="556" w:type="pct"/>
            <w:vAlign w:val="center"/>
          </w:tcPr>
          <w:p w14:paraId="4BB1A0B6">
            <w:pPr>
              <w:pStyle w:val="12"/>
              <w:jc w:val="center"/>
              <w:rPr>
                <w:rFonts w:ascii="宋体" w:hAnsi="宋体"/>
              </w:rPr>
            </w:pPr>
            <w:r>
              <w:rPr>
                <w:rFonts w:ascii="宋体" w:hAnsi="宋体"/>
              </w:rPr>
              <w:t>6.80</w:t>
            </w:r>
          </w:p>
        </w:tc>
        <w:tc>
          <w:tcPr>
            <w:tcW w:w="556" w:type="pct"/>
            <w:vAlign w:val="center"/>
          </w:tcPr>
          <w:p w14:paraId="68240B30">
            <w:pPr>
              <w:pStyle w:val="12"/>
              <w:jc w:val="center"/>
              <w:rPr>
                <w:rFonts w:ascii="宋体" w:hAnsi="宋体"/>
              </w:rPr>
            </w:pPr>
            <w:r>
              <w:rPr>
                <w:rFonts w:ascii="宋体" w:hAnsi="宋体"/>
              </w:rPr>
              <w:t>2</w:t>
            </w:r>
          </w:p>
        </w:tc>
      </w:tr>
      <w:tr w14:paraId="042FAA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623" w:type="pct"/>
            <w:gridSpan w:val="2"/>
            <w:vAlign w:val="center"/>
          </w:tcPr>
          <w:p w14:paraId="42B0C2FC">
            <w:pPr>
              <w:pStyle w:val="12"/>
              <w:jc w:val="center"/>
              <w:rPr>
                <w:rFonts w:ascii="宋体" w:hAnsi="宋体"/>
              </w:rPr>
            </w:pPr>
            <w:r>
              <w:rPr>
                <w:rFonts w:ascii="宋体" w:hAnsi="宋体"/>
              </w:rPr>
              <w:t>2002</w:t>
            </w:r>
          </w:p>
        </w:tc>
        <w:tc>
          <w:tcPr>
            <w:tcW w:w="486" w:type="pct"/>
            <w:vAlign w:val="center"/>
          </w:tcPr>
          <w:p w14:paraId="570942CF">
            <w:pPr>
              <w:pStyle w:val="12"/>
              <w:jc w:val="center"/>
              <w:rPr>
                <w:rFonts w:ascii="宋体" w:hAnsi="宋体"/>
              </w:rPr>
            </w:pPr>
            <w:r>
              <w:rPr>
                <w:rFonts w:ascii="宋体" w:hAnsi="宋体"/>
              </w:rPr>
              <w:t>260</w:t>
            </w:r>
          </w:p>
        </w:tc>
        <w:tc>
          <w:tcPr>
            <w:tcW w:w="555" w:type="pct"/>
            <w:vAlign w:val="center"/>
          </w:tcPr>
          <w:p w14:paraId="16602E54">
            <w:pPr>
              <w:pStyle w:val="12"/>
              <w:jc w:val="center"/>
              <w:rPr>
                <w:rFonts w:ascii="宋体" w:hAnsi="宋体"/>
              </w:rPr>
            </w:pPr>
            <w:r>
              <w:rPr>
                <w:rFonts w:ascii="宋体" w:hAnsi="宋体"/>
              </w:rPr>
              <w:t>217</w:t>
            </w:r>
          </w:p>
        </w:tc>
        <w:tc>
          <w:tcPr>
            <w:tcW w:w="555" w:type="pct"/>
            <w:vAlign w:val="center"/>
          </w:tcPr>
          <w:p w14:paraId="2FF23113">
            <w:pPr>
              <w:pStyle w:val="12"/>
              <w:jc w:val="center"/>
              <w:rPr>
                <w:rFonts w:ascii="宋体" w:hAnsi="宋体"/>
              </w:rPr>
            </w:pPr>
            <w:r>
              <w:rPr>
                <w:rFonts w:ascii="宋体" w:hAnsi="宋体"/>
              </w:rPr>
              <w:t>43</w:t>
            </w:r>
          </w:p>
        </w:tc>
        <w:tc>
          <w:tcPr>
            <w:tcW w:w="556" w:type="pct"/>
            <w:vAlign w:val="center"/>
          </w:tcPr>
          <w:p w14:paraId="752D1ACF">
            <w:pPr>
              <w:pStyle w:val="12"/>
              <w:jc w:val="center"/>
              <w:rPr>
                <w:rFonts w:ascii="宋体" w:hAnsi="宋体"/>
              </w:rPr>
            </w:pPr>
            <w:r>
              <w:rPr>
                <w:rFonts w:ascii="宋体" w:hAnsi="宋体"/>
              </w:rPr>
              <w:t>—</w:t>
            </w:r>
          </w:p>
        </w:tc>
        <w:tc>
          <w:tcPr>
            <w:tcW w:w="556" w:type="pct"/>
            <w:vAlign w:val="center"/>
          </w:tcPr>
          <w:p w14:paraId="426D92A7">
            <w:pPr>
              <w:pStyle w:val="12"/>
              <w:jc w:val="center"/>
              <w:rPr>
                <w:rFonts w:ascii="宋体" w:hAnsi="宋体"/>
              </w:rPr>
            </w:pPr>
            <w:r>
              <w:rPr>
                <w:rFonts w:ascii="宋体" w:hAnsi="宋体"/>
              </w:rPr>
              <w:t>—</w:t>
            </w:r>
          </w:p>
        </w:tc>
        <w:tc>
          <w:tcPr>
            <w:tcW w:w="556" w:type="pct"/>
            <w:vAlign w:val="center"/>
          </w:tcPr>
          <w:p w14:paraId="2FF00C85">
            <w:pPr>
              <w:pStyle w:val="12"/>
              <w:jc w:val="center"/>
              <w:rPr>
                <w:rFonts w:ascii="宋体" w:hAnsi="宋体"/>
              </w:rPr>
            </w:pPr>
            <w:r>
              <w:rPr>
                <w:rFonts w:ascii="宋体" w:hAnsi="宋体"/>
              </w:rPr>
              <w:t>205</w:t>
            </w:r>
          </w:p>
        </w:tc>
        <w:tc>
          <w:tcPr>
            <w:tcW w:w="556" w:type="pct"/>
            <w:vAlign w:val="center"/>
          </w:tcPr>
          <w:p w14:paraId="4C7A6B1D">
            <w:pPr>
              <w:pStyle w:val="12"/>
              <w:jc w:val="center"/>
              <w:rPr>
                <w:rFonts w:ascii="宋体" w:hAnsi="宋体"/>
              </w:rPr>
            </w:pPr>
            <w:r>
              <w:rPr>
                <w:rFonts w:ascii="宋体" w:hAnsi="宋体"/>
              </w:rPr>
              <w:t>0.21</w:t>
            </w:r>
          </w:p>
        </w:tc>
        <w:tc>
          <w:tcPr>
            <w:tcW w:w="556" w:type="pct"/>
            <w:vAlign w:val="center"/>
          </w:tcPr>
          <w:p w14:paraId="1AFA1E68">
            <w:pPr>
              <w:pStyle w:val="12"/>
              <w:jc w:val="center"/>
              <w:rPr>
                <w:rFonts w:ascii="宋体" w:hAnsi="宋体"/>
              </w:rPr>
            </w:pPr>
            <w:r>
              <w:rPr>
                <w:rFonts w:ascii="宋体" w:hAnsi="宋体"/>
              </w:rPr>
              <w:t>1</w:t>
            </w:r>
          </w:p>
        </w:tc>
      </w:tr>
      <w:tr w14:paraId="21C301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623" w:type="pct"/>
            <w:gridSpan w:val="2"/>
            <w:vAlign w:val="center"/>
          </w:tcPr>
          <w:p w14:paraId="6A791F2F">
            <w:pPr>
              <w:pStyle w:val="12"/>
              <w:jc w:val="center"/>
              <w:rPr>
                <w:rFonts w:ascii="宋体" w:hAnsi="宋体"/>
              </w:rPr>
            </w:pPr>
            <w:r>
              <w:rPr>
                <w:rFonts w:ascii="宋体" w:hAnsi="宋体"/>
              </w:rPr>
              <w:t>2003</w:t>
            </w:r>
          </w:p>
        </w:tc>
        <w:tc>
          <w:tcPr>
            <w:tcW w:w="486" w:type="pct"/>
            <w:vAlign w:val="center"/>
          </w:tcPr>
          <w:p w14:paraId="09C0B20B">
            <w:pPr>
              <w:pStyle w:val="12"/>
              <w:jc w:val="center"/>
              <w:rPr>
                <w:rFonts w:ascii="宋体" w:hAnsi="宋体"/>
              </w:rPr>
            </w:pPr>
            <w:r>
              <w:rPr>
                <w:rFonts w:ascii="宋体" w:hAnsi="宋体"/>
              </w:rPr>
              <w:t>495</w:t>
            </w:r>
          </w:p>
        </w:tc>
        <w:tc>
          <w:tcPr>
            <w:tcW w:w="555" w:type="pct"/>
            <w:vAlign w:val="center"/>
          </w:tcPr>
          <w:p w14:paraId="646A3473">
            <w:pPr>
              <w:pStyle w:val="12"/>
              <w:jc w:val="center"/>
              <w:rPr>
                <w:rFonts w:ascii="宋体" w:hAnsi="宋体"/>
              </w:rPr>
            </w:pPr>
            <w:r>
              <w:rPr>
                <w:rFonts w:ascii="宋体" w:hAnsi="宋体"/>
              </w:rPr>
              <w:t>318</w:t>
            </w:r>
          </w:p>
        </w:tc>
        <w:tc>
          <w:tcPr>
            <w:tcW w:w="555" w:type="pct"/>
            <w:vAlign w:val="center"/>
          </w:tcPr>
          <w:p w14:paraId="021A3DF3">
            <w:pPr>
              <w:pStyle w:val="12"/>
              <w:jc w:val="center"/>
              <w:rPr>
                <w:rFonts w:ascii="宋体" w:hAnsi="宋体"/>
              </w:rPr>
            </w:pPr>
            <w:r>
              <w:rPr>
                <w:rFonts w:ascii="宋体" w:hAnsi="宋体"/>
              </w:rPr>
              <w:t>177</w:t>
            </w:r>
          </w:p>
        </w:tc>
        <w:tc>
          <w:tcPr>
            <w:tcW w:w="556" w:type="pct"/>
            <w:vAlign w:val="center"/>
          </w:tcPr>
          <w:p w14:paraId="61F474DF">
            <w:pPr>
              <w:pStyle w:val="12"/>
              <w:jc w:val="center"/>
              <w:rPr>
                <w:rFonts w:ascii="宋体" w:hAnsi="宋体"/>
              </w:rPr>
            </w:pPr>
            <w:r>
              <w:rPr>
                <w:rFonts w:ascii="宋体" w:hAnsi="宋体"/>
              </w:rPr>
              <w:t>—</w:t>
            </w:r>
          </w:p>
        </w:tc>
        <w:tc>
          <w:tcPr>
            <w:tcW w:w="556" w:type="pct"/>
            <w:vAlign w:val="center"/>
          </w:tcPr>
          <w:p w14:paraId="708A3718">
            <w:pPr>
              <w:pStyle w:val="12"/>
              <w:jc w:val="center"/>
              <w:rPr>
                <w:rFonts w:ascii="宋体" w:hAnsi="宋体"/>
              </w:rPr>
            </w:pPr>
            <w:r>
              <w:rPr>
                <w:rFonts w:ascii="宋体" w:hAnsi="宋体"/>
              </w:rPr>
              <w:t>—</w:t>
            </w:r>
          </w:p>
        </w:tc>
        <w:tc>
          <w:tcPr>
            <w:tcW w:w="556" w:type="pct"/>
            <w:vAlign w:val="center"/>
          </w:tcPr>
          <w:p w14:paraId="149D643F">
            <w:pPr>
              <w:pStyle w:val="12"/>
              <w:jc w:val="center"/>
              <w:rPr>
                <w:rFonts w:ascii="宋体" w:hAnsi="宋体"/>
              </w:rPr>
            </w:pPr>
            <w:r>
              <w:rPr>
                <w:rFonts w:ascii="宋体" w:hAnsi="宋体"/>
              </w:rPr>
              <w:t>318</w:t>
            </w:r>
          </w:p>
        </w:tc>
        <w:tc>
          <w:tcPr>
            <w:tcW w:w="556" w:type="pct"/>
            <w:vAlign w:val="center"/>
          </w:tcPr>
          <w:p w14:paraId="13B2F207">
            <w:pPr>
              <w:pStyle w:val="12"/>
              <w:jc w:val="center"/>
              <w:rPr>
                <w:rFonts w:ascii="宋体" w:hAnsi="宋体"/>
              </w:rPr>
            </w:pPr>
            <w:r>
              <w:rPr>
                <w:rFonts w:ascii="宋体" w:hAnsi="宋体"/>
              </w:rPr>
              <w:t>0.27</w:t>
            </w:r>
          </w:p>
        </w:tc>
        <w:tc>
          <w:tcPr>
            <w:tcW w:w="556" w:type="pct"/>
            <w:vAlign w:val="center"/>
          </w:tcPr>
          <w:p w14:paraId="6798E68A">
            <w:pPr>
              <w:pStyle w:val="12"/>
              <w:jc w:val="center"/>
              <w:rPr>
                <w:rFonts w:ascii="宋体" w:hAnsi="宋体"/>
              </w:rPr>
            </w:pPr>
            <w:r>
              <w:rPr>
                <w:rFonts w:ascii="宋体" w:hAnsi="宋体"/>
              </w:rPr>
              <w:t>8</w:t>
            </w:r>
          </w:p>
        </w:tc>
      </w:tr>
      <w:tr w14:paraId="676BE7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623" w:type="pct"/>
            <w:gridSpan w:val="2"/>
            <w:vAlign w:val="center"/>
          </w:tcPr>
          <w:p w14:paraId="6D77573D">
            <w:pPr>
              <w:pStyle w:val="12"/>
              <w:jc w:val="center"/>
              <w:rPr>
                <w:rFonts w:ascii="宋体" w:hAnsi="宋体"/>
              </w:rPr>
            </w:pPr>
            <w:r>
              <w:rPr>
                <w:rFonts w:ascii="宋体" w:hAnsi="宋体"/>
              </w:rPr>
              <w:t>2004</w:t>
            </w:r>
          </w:p>
        </w:tc>
        <w:tc>
          <w:tcPr>
            <w:tcW w:w="486" w:type="pct"/>
            <w:vAlign w:val="center"/>
          </w:tcPr>
          <w:p w14:paraId="3DE958C6">
            <w:pPr>
              <w:pStyle w:val="12"/>
              <w:jc w:val="center"/>
              <w:rPr>
                <w:rFonts w:ascii="宋体" w:hAnsi="宋体"/>
              </w:rPr>
            </w:pPr>
            <w:r>
              <w:rPr>
                <w:rFonts w:ascii="宋体" w:hAnsi="宋体"/>
              </w:rPr>
              <w:t>368</w:t>
            </w:r>
          </w:p>
        </w:tc>
        <w:tc>
          <w:tcPr>
            <w:tcW w:w="555" w:type="pct"/>
            <w:vAlign w:val="center"/>
          </w:tcPr>
          <w:p w14:paraId="21D1E0A4">
            <w:pPr>
              <w:pStyle w:val="12"/>
              <w:jc w:val="center"/>
              <w:rPr>
                <w:rFonts w:ascii="宋体" w:hAnsi="宋体"/>
              </w:rPr>
            </w:pPr>
            <w:r>
              <w:rPr>
                <w:rFonts w:ascii="宋体" w:hAnsi="宋体"/>
              </w:rPr>
              <w:t>262</w:t>
            </w:r>
          </w:p>
        </w:tc>
        <w:tc>
          <w:tcPr>
            <w:tcW w:w="555" w:type="pct"/>
            <w:vAlign w:val="center"/>
          </w:tcPr>
          <w:p w14:paraId="4DF3A9FE">
            <w:pPr>
              <w:pStyle w:val="12"/>
              <w:jc w:val="center"/>
              <w:rPr>
                <w:rFonts w:ascii="宋体" w:hAnsi="宋体"/>
              </w:rPr>
            </w:pPr>
            <w:r>
              <w:rPr>
                <w:rFonts w:ascii="宋体" w:hAnsi="宋体"/>
              </w:rPr>
              <w:t>106</w:t>
            </w:r>
          </w:p>
        </w:tc>
        <w:tc>
          <w:tcPr>
            <w:tcW w:w="556" w:type="pct"/>
            <w:vAlign w:val="center"/>
          </w:tcPr>
          <w:p w14:paraId="3FCDD654">
            <w:pPr>
              <w:pStyle w:val="12"/>
              <w:jc w:val="center"/>
              <w:rPr>
                <w:rFonts w:ascii="宋体" w:hAnsi="宋体"/>
              </w:rPr>
            </w:pPr>
            <w:r>
              <w:rPr>
                <w:rFonts w:ascii="宋体" w:hAnsi="宋体"/>
              </w:rPr>
              <w:t>—</w:t>
            </w:r>
          </w:p>
        </w:tc>
        <w:tc>
          <w:tcPr>
            <w:tcW w:w="556" w:type="pct"/>
            <w:vAlign w:val="center"/>
          </w:tcPr>
          <w:p w14:paraId="7D6884FA">
            <w:pPr>
              <w:pStyle w:val="12"/>
              <w:jc w:val="center"/>
              <w:rPr>
                <w:rFonts w:ascii="宋体" w:hAnsi="宋体"/>
              </w:rPr>
            </w:pPr>
            <w:r>
              <w:rPr>
                <w:rFonts w:ascii="宋体" w:hAnsi="宋体"/>
              </w:rPr>
              <w:t>—</w:t>
            </w:r>
          </w:p>
        </w:tc>
        <w:tc>
          <w:tcPr>
            <w:tcW w:w="556" w:type="pct"/>
            <w:vAlign w:val="center"/>
          </w:tcPr>
          <w:p w14:paraId="4E86ADBF">
            <w:pPr>
              <w:pStyle w:val="12"/>
              <w:jc w:val="center"/>
              <w:rPr>
                <w:rFonts w:ascii="宋体" w:hAnsi="宋体"/>
              </w:rPr>
            </w:pPr>
            <w:r>
              <w:rPr>
                <w:rFonts w:ascii="宋体" w:hAnsi="宋体"/>
              </w:rPr>
              <w:t>262</w:t>
            </w:r>
          </w:p>
        </w:tc>
        <w:tc>
          <w:tcPr>
            <w:tcW w:w="556" w:type="pct"/>
            <w:vAlign w:val="center"/>
          </w:tcPr>
          <w:p w14:paraId="60212551">
            <w:pPr>
              <w:pStyle w:val="12"/>
              <w:jc w:val="center"/>
              <w:rPr>
                <w:rFonts w:ascii="宋体" w:hAnsi="宋体"/>
              </w:rPr>
            </w:pPr>
            <w:r>
              <w:rPr>
                <w:rFonts w:ascii="宋体" w:hAnsi="宋体"/>
              </w:rPr>
              <w:t>0.33</w:t>
            </w:r>
          </w:p>
        </w:tc>
        <w:tc>
          <w:tcPr>
            <w:tcW w:w="556" w:type="pct"/>
            <w:vAlign w:val="center"/>
          </w:tcPr>
          <w:p w14:paraId="0B9AA621">
            <w:pPr>
              <w:pStyle w:val="12"/>
              <w:jc w:val="center"/>
              <w:rPr>
                <w:rFonts w:ascii="宋体" w:hAnsi="宋体"/>
              </w:rPr>
            </w:pPr>
            <w:r>
              <w:rPr>
                <w:rFonts w:ascii="宋体" w:hAnsi="宋体"/>
              </w:rPr>
              <w:t>32</w:t>
            </w:r>
          </w:p>
        </w:tc>
      </w:tr>
      <w:tr w14:paraId="4052D2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278" w:type="pct"/>
            <w:vMerge w:val="restart"/>
            <w:vAlign w:val="center"/>
          </w:tcPr>
          <w:p w14:paraId="0DE65A37">
            <w:pPr>
              <w:pStyle w:val="12"/>
              <w:jc w:val="center"/>
              <w:rPr>
                <w:rFonts w:ascii="宋体" w:hAnsi="宋体"/>
              </w:rPr>
            </w:pPr>
            <w:r>
              <w:rPr>
                <w:rFonts w:hint="eastAsia" w:ascii="宋体" w:hAnsi="宋体"/>
              </w:rPr>
              <w:t>17年</w:t>
            </w:r>
          </w:p>
        </w:tc>
        <w:tc>
          <w:tcPr>
            <w:tcW w:w="346" w:type="pct"/>
            <w:vAlign w:val="center"/>
          </w:tcPr>
          <w:p w14:paraId="0208CAB2">
            <w:pPr>
              <w:pStyle w:val="12"/>
              <w:jc w:val="center"/>
              <w:rPr>
                <w:rFonts w:ascii="宋体" w:hAnsi="宋体"/>
              </w:rPr>
            </w:pPr>
            <w:r>
              <w:rPr>
                <w:rFonts w:hint="eastAsia" w:ascii="宋体" w:hAnsi="宋体"/>
              </w:rPr>
              <w:t>合计</w:t>
            </w:r>
          </w:p>
        </w:tc>
        <w:tc>
          <w:tcPr>
            <w:tcW w:w="486" w:type="pct"/>
            <w:vAlign w:val="center"/>
          </w:tcPr>
          <w:p w14:paraId="7FE2EDF7">
            <w:pPr>
              <w:pStyle w:val="12"/>
              <w:jc w:val="center"/>
              <w:rPr>
                <w:rFonts w:ascii="宋体" w:hAnsi="宋体"/>
              </w:rPr>
            </w:pPr>
            <w:r>
              <w:rPr>
                <w:rFonts w:hint="eastAsia" w:ascii="宋体" w:hAnsi="宋体"/>
              </w:rPr>
              <w:t>22489</w:t>
            </w:r>
          </w:p>
        </w:tc>
        <w:tc>
          <w:tcPr>
            <w:tcW w:w="555" w:type="pct"/>
            <w:vAlign w:val="center"/>
          </w:tcPr>
          <w:p w14:paraId="0B89121F">
            <w:pPr>
              <w:pStyle w:val="12"/>
              <w:jc w:val="center"/>
              <w:rPr>
                <w:rFonts w:ascii="宋体" w:hAnsi="宋体"/>
              </w:rPr>
            </w:pPr>
            <w:r>
              <w:rPr>
                <w:rFonts w:hint="eastAsia" w:ascii="宋体" w:hAnsi="宋体"/>
              </w:rPr>
              <w:t>13571</w:t>
            </w:r>
          </w:p>
        </w:tc>
        <w:tc>
          <w:tcPr>
            <w:tcW w:w="555" w:type="pct"/>
            <w:vAlign w:val="center"/>
          </w:tcPr>
          <w:p w14:paraId="32D00463">
            <w:pPr>
              <w:pStyle w:val="12"/>
              <w:jc w:val="center"/>
              <w:rPr>
                <w:rFonts w:ascii="宋体" w:hAnsi="宋体"/>
              </w:rPr>
            </w:pPr>
            <w:r>
              <w:rPr>
                <w:rFonts w:hint="eastAsia" w:ascii="宋体" w:hAnsi="宋体"/>
              </w:rPr>
              <w:t>6236</w:t>
            </w:r>
          </w:p>
        </w:tc>
        <w:tc>
          <w:tcPr>
            <w:tcW w:w="556" w:type="pct"/>
            <w:vAlign w:val="center"/>
          </w:tcPr>
          <w:p w14:paraId="368FF847">
            <w:pPr>
              <w:pStyle w:val="12"/>
              <w:jc w:val="center"/>
              <w:rPr>
                <w:rFonts w:ascii="宋体" w:hAnsi="宋体"/>
              </w:rPr>
            </w:pPr>
            <w:r>
              <w:rPr>
                <w:rFonts w:hint="eastAsia" w:ascii="宋体" w:hAnsi="宋体"/>
              </w:rPr>
              <w:t>2682</w:t>
            </w:r>
          </w:p>
        </w:tc>
        <w:tc>
          <w:tcPr>
            <w:tcW w:w="556" w:type="pct"/>
            <w:vAlign w:val="center"/>
          </w:tcPr>
          <w:p w14:paraId="17406008">
            <w:pPr>
              <w:pStyle w:val="12"/>
              <w:jc w:val="center"/>
              <w:rPr>
                <w:rFonts w:ascii="宋体" w:hAnsi="宋体"/>
              </w:rPr>
            </w:pPr>
            <w:r>
              <w:rPr>
                <w:rFonts w:hint="eastAsia" w:ascii="宋体" w:hAnsi="宋体"/>
              </w:rPr>
              <w:t>—</w:t>
            </w:r>
          </w:p>
        </w:tc>
        <w:tc>
          <w:tcPr>
            <w:tcW w:w="556" w:type="pct"/>
            <w:vAlign w:val="center"/>
          </w:tcPr>
          <w:p w14:paraId="3A82CC82">
            <w:pPr>
              <w:pStyle w:val="12"/>
              <w:jc w:val="center"/>
              <w:rPr>
                <w:rFonts w:ascii="宋体" w:hAnsi="宋体"/>
              </w:rPr>
            </w:pPr>
            <w:r>
              <w:rPr>
                <w:rFonts w:hint="eastAsia" w:ascii="宋体" w:hAnsi="宋体"/>
              </w:rPr>
              <w:t>9337</w:t>
            </w:r>
          </w:p>
        </w:tc>
        <w:tc>
          <w:tcPr>
            <w:tcW w:w="556" w:type="pct"/>
            <w:vAlign w:val="center"/>
          </w:tcPr>
          <w:p w14:paraId="0F374AF5">
            <w:pPr>
              <w:pStyle w:val="12"/>
              <w:jc w:val="center"/>
              <w:rPr>
                <w:rFonts w:ascii="宋体" w:hAnsi="宋体"/>
              </w:rPr>
            </w:pPr>
            <w:r>
              <w:rPr>
                <w:rFonts w:hint="eastAsia" w:ascii="宋体" w:hAnsi="宋体"/>
              </w:rPr>
              <w:t>27.60</w:t>
            </w:r>
          </w:p>
        </w:tc>
        <w:tc>
          <w:tcPr>
            <w:tcW w:w="556" w:type="pct"/>
            <w:vAlign w:val="center"/>
          </w:tcPr>
          <w:p w14:paraId="48E7DA2F">
            <w:pPr>
              <w:pStyle w:val="12"/>
              <w:jc w:val="center"/>
              <w:rPr>
                <w:rFonts w:ascii="宋体" w:hAnsi="宋体"/>
              </w:rPr>
            </w:pPr>
            <w:r>
              <w:rPr>
                <w:rFonts w:hint="eastAsia" w:ascii="宋体" w:hAnsi="宋体"/>
              </w:rPr>
              <w:t>52.8</w:t>
            </w:r>
          </w:p>
        </w:tc>
      </w:tr>
      <w:tr w14:paraId="76B1E0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278" w:type="pct"/>
            <w:vMerge w:val="continue"/>
            <w:vAlign w:val="center"/>
          </w:tcPr>
          <w:p w14:paraId="3C1355E4">
            <w:pPr>
              <w:pStyle w:val="12"/>
              <w:jc w:val="center"/>
              <w:rPr>
                <w:rFonts w:ascii="宋体" w:hAnsi="宋体"/>
              </w:rPr>
            </w:pPr>
          </w:p>
        </w:tc>
        <w:tc>
          <w:tcPr>
            <w:tcW w:w="346" w:type="pct"/>
            <w:vAlign w:val="center"/>
          </w:tcPr>
          <w:p w14:paraId="57C18D8C">
            <w:pPr>
              <w:pStyle w:val="12"/>
              <w:jc w:val="center"/>
              <w:rPr>
                <w:rFonts w:ascii="宋体" w:hAnsi="宋体"/>
              </w:rPr>
            </w:pPr>
            <w:r>
              <w:rPr>
                <w:rFonts w:hint="eastAsia" w:ascii="宋体" w:hAnsi="宋体"/>
              </w:rPr>
              <w:t>平均</w:t>
            </w:r>
          </w:p>
        </w:tc>
        <w:tc>
          <w:tcPr>
            <w:tcW w:w="486" w:type="pct"/>
            <w:vAlign w:val="center"/>
          </w:tcPr>
          <w:p w14:paraId="1F495B99">
            <w:pPr>
              <w:pStyle w:val="12"/>
              <w:jc w:val="center"/>
              <w:rPr>
                <w:rFonts w:ascii="宋体" w:hAnsi="宋体"/>
              </w:rPr>
            </w:pPr>
            <w:r>
              <w:rPr>
                <w:rFonts w:hint="eastAsia" w:ascii="宋体" w:hAnsi="宋体"/>
              </w:rPr>
              <w:t>1322.9</w:t>
            </w:r>
          </w:p>
        </w:tc>
        <w:tc>
          <w:tcPr>
            <w:tcW w:w="555" w:type="pct"/>
            <w:vAlign w:val="center"/>
          </w:tcPr>
          <w:p w14:paraId="13CF0B42">
            <w:pPr>
              <w:pStyle w:val="12"/>
              <w:jc w:val="center"/>
              <w:rPr>
                <w:rFonts w:ascii="宋体" w:hAnsi="宋体"/>
              </w:rPr>
            </w:pPr>
            <w:r>
              <w:rPr>
                <w:rFonts w:hint="eastAsia" w:ascii="宋体" w:hAnsi="宋体"/>
              </w:rPr>
              <w:t>798.3</w:t>
            </w:r>
          </w:p>
        </w:tc>
        <w:tc>
          <w:tcPr>
            <w:tcW w:w="555" w:type="pct"/>
            <w:vAlign w:val="center"/>
          </w:tcPr>
          <w:p w14:paraId="479377BB">
            <w:pPr>
              <w:pStyle w:val="12"/>
              <w:jc w:val="center"/>
              <w:rPr>
                <w:rFonts w:ascii="宋体" w:hAnsi="宋体"/>
              </w:rPr>
            </w:pPr>
            <w:r>
              <w:rPr>
                <w:rFonts w:hint="eastAsia" w:ascii="宋体" w:hAnsi="宋体"/>
              </w:rPr>
              <w:t>366.8</w:t>
            </w:r>
          </w:p>
        </w:tc>
        <w:tc>
          <w:tcPr>
            <w:tcW w:w="556" w:type="pct"/>
            <w:vAlign w:val="center"/>
          </w:tcPr>
          <w:p w14:paraId="2A159155">
            <w:pPr>
              <w:pStyle w:val="12"/>
              <w:jc w:val="center"/>
              <w:rPr>
                <w:rFonts w:ascii="宋体" w:hAnsi="宋体"/>
              </w:rPr>
            </w:pPr>
            <w:r>
              <w:rPr>
                <w:rFonts w:hint="eastAsia" w:ascii="宋体" w:hAnsi="宋体"/>
              </w:rPr>
              <w:t>157.8</w:t>
            </w:r>
          </w:p>
        </w:tc>
        <w:tc>
          <w:tcPr>
            <w:tcW w:w="556" w:type="pct"/>
            <w:vAlign w:val="center"/>
          </w:tcPr>
          <w:p w14:paraId="621144AF">
            <w:pPr>
              <w:pStyle w:val="12"/>
              <w:jc w:val="center"/>
              <w:rPr>
                <w:rFonts w:ascii="宋体" w:hAnsi="宋体"/>
              </w:rPr>
            </w:pPr>
            <w:r>
              <w:rPr>
                <w:rFonts w:hint="eastAsia" w:ascii="宋体" w:hAnsi="宋体"/>
              </w:rPr>
              <w:t>—</w:t>
            </w:r>
          </w:p>
        </w:tc>
        <w:tc>
          <w:tcPr>
            <w:tcW w:w="556" w:type="pct"/>
            <w:vAlign w:val="center"/>
          </w:tcPr>
          <w:p w14:paraId="192DE097">
            <w:pPr>
              <w:pStyle w:val="12"/>
              <w:jc w:val="center"/>
              <w:rPr>
                <w:rFonts w:ascii="宋体" w:hAnsi="宋体"/>
              </w:rPr>
            </w:pPr>
            <w:r>
              <w:rPr>
                <w:rFonts w:hint="eastAsia" w:ascii="宋体" w:hAnsi="宋体"/>
              </w:rPr>
              <w:t>549.2</w:t>
            </w:r>
          </w:p>
        </w:tc>
        <w:tc>
          <w:tcPr>
            <w:tcW w:w="556" w:type="pct"/>
            <w:vAlign w:val="center"/>
          </w:tcPr>
          <w:p w14:paraId="45A3800B">
            <w:pPr>
              <w:pStyle w:val="12"/>
              <w:jc w:val="center"/>
              <w:rPr>
                <w:rFonts w:ascii="宋体" w:hAnsi="宋体"/>
              </w:rPr>
            </w:pPr>
            <w:r>
              <w:rPr>
                <w:rFonts w:hint="eastAsia" w:ascii="宋体" w:hAnsi="宋体"/>
              </w:rPr>
              <w:t>1.62</w:t>
            </w:r>
          </w:p>
        </w:tc>
        <w:tc>
          <w:tcPr>
            <w:tcW w:w="556" w:type="pct"/>
            <w:vAlign w:val="center"/>
          </w:tcPr>
          <w:p w14:paraId="4B4270E1">
            <w:pPr>
              <w:pStyle w:val="12"/>
              <w:jc w:val="center"/>
              <w:rPr>
                <w:rFonts w:ascii="宋体" w:hAnsi="宋体"/>
              </w:rPr>
            </w:pPr>
            <w:r>
              <w:rPr>
                <w:rFonts w:hint="eastAsia" w:ascii="宋体" w:hAnsi="宋体"/>
              </w:rPr>
              <w:t>3.11</w:t>
            </w:r>
          </w:p>
        </w:tc>
      </w:tr>
    </w:tbl>
    <w:p w14:paraId="46BBAC4E">
      <w:pPr>
        <w:pStyle w:val="5"/>
        <w:rPr>
          <w:rFonts w:ascii="宋体" w:hAnsi="宋体"/>
        </w:rPr>
      </w:pPr>
      <w:r>
        <w:rPr>
          <w:rFonts w:hint="eastAsia" w:ascii="宋体" w:hAnsi="宋体"/>
        </w:rPr>
        <w:t>二、营林补助</w:t>
      </w:r>
    </w:p>
    <w:p w14:paraId="250A5E8B">
      <w:pPr>
        <w:ind w:firstLine="420"/>
        <w:rPr>
          <w:rFonts w:ascii="宋体" w:hAnsi="宋体"/>
          <w:szCs w:val="21"/>
        </w:rPr>
      </w:pPr>
      <w:r>
        <w:rPr>
          <w:rFonts w:ascii="宋体" w:hAnsi="宋体"/>
          <w:szCs w:val="21"/>
        </w:rPr>
        <w:t>1952年起，县林业局按省政府规定，在收购木材时，收缴育林基金，用于补助</w:t>
      </w:r>
      <w:r>
        <w:rPr>
          <w:rFonts w:hint="eastAsia" w:ascii="宋体" w:hAnsi="宋体"/>
          <w:szCs w:val="21"/>
        </w:rPr>
        <w:t>营林育苗者。</w:t>
      </w:r>
      <w:r>
        <w:rPr>
          <w:rFonts w:ascii="宋体" w:hAnsi="宋体"/>
          <w:szCs w:val="21"/>
        </w:rPr>
        <w:t>1983年补助标准是：造杉树每亩补助人民币8元，育杉苗每亩补助300</w:t>
      </w:r>
      <w:r>
        <w:rPr>
          <w:rFonts w:hint="eastAsia" w:ascii="宋体" w:hAnsi="宋体"/>
          <w:szCs w:val="21"/>
        </w:rPr>
        <w:t>元，育松苗补助</w:t>
      </w:r>
      <w:r>
        <w:rPr>
          <w:rFonts w:ascii="宋体" w:hAnsi="宋体"/>
          <w:szCs w:val="21"/>
        </w:rPr>
        <w:t>200元，幼林抚育每亩补助2元，开防火线每公里补助120元。另</w:t>
      </w:r>
      <w:r>
        <w:rPr>
          <w:rFonts w:hint="eastAsia" w:ascii="宋体" w:hAnsi="宋体"/>
          <w:szCs w:val="21"/>
        </w:rPr>
        <w:t>外，供应不等的牌价大米、肥料、农药等。</w:t>
      </w:r>
      <w:r>
        <w:rPr>
          <w:rFonts w:ascii="宋体" w:hAnsi="宋体"/>
          <w:szCs w:val="21"/>
        </w:rPr>
        <w:t>1985年起，按各乡、镇林农缴交的育林</w:t>
      </w:r>
      <w:r>
        <w:rPr>
          <w:rFonts w:hint="eastAsia" w:ascii="宋体" w:hAnsi="宋体"/>
          <w:szCs w:val="21"/>
        </w:rPr>
        <w:t>基金总额，返还</w:t>
      </w:r>
      <w:r>
        <w:rPr>
          <w:rFonts w:ascii="宋体" w:hAnsi="宋体"/>
          <w:szCs w:val="21"/>
        </w:rPr>
        <w:t>50%给乡、镇政府掌握，用于常规造林、抚育和育苗补助。县林业</w:t>
      </w:r>
      <w:r>
        <w:rPr>
          <w:rFonts w:hint="eastAsia" w:ascii="宋体" w:hAnsi="宋体"/>
          <w:szCs w:val="21"/>
        </w:rPr>
        <w:t>局掌握的</w:t>
      </w:r>
      <w:r>
        <w:rPr>
          <w:rFonts w:ascii="宋体" w:hAnsi="宋体"/>
          <w:szCs w:val="21"/>
        </w:rPr>
        <w:t>50%主要用于营造速生丰产林和育苗。1973年至1987年县林业局共发放补</w:t>
      </w:r>
      <w:r>
        <w:rPr>
          <w:rFonts w:hint="eastAsia" w:ascii="宋体" w:hAnsi="宋体"/>
          <w:szCs w:val="21"/>
        </w:rPr>
        <w:t>助款</w:t>
      </w:r>
      <w:r>
        <w:rPr>
          <w:rFonts w:ascii="宋体" w:hAnsi="宋体"/>
          <w:szCs w:val="21"/>
        </w:rPr>
        <w:t>387.36万元，平均每年25.82万元，最多的1987年79.6万元，最少的1974年10.65万元。</w:t>
      </w:r>
    </w:p>
    <w:p w14:paraId="3DCC0C4C">
      <w:pPr>
        <w:ind w:firstLine="420"/>
        <w:rPr>
          <w:rFonts w:ascii="宋体" w:hAnsi="宋体"/>
          <w:szCs w:val="21"/>
        </w:rPr>
      </w:pPr>
      <w:r>
        <w:rPr>
          <w:rFonts w:ascii="宋体" w:hAnsi="宋体"/>
          <w:szCs w:val="21"/>
        </w:rPr>
        <w:t>1985年1月，中共中央颁布《关于进一步活跃农村经济十项政策》，取消木材统</w:t>
      </w:r>
      <w:r>
        <w:rPr>
          <w:rFonts w:hint="eastAsia" w:ascii="宋体" w:hAnsi="宋体"/>
          <w:szCs w:val="21"/>
        </w:rPr>
        <w:t>购统销，开放木材市场，允许林农和集体的木材上市。</w:t>
      </w:r>
    </w:p>
    <w:p w14:paraId="18AA191A">
      <w:pPr>
        <w:ind w:firstLine="420"/>
        <w:rPr>
          <w:rFonts w:ascii="宋体" w:hAnsi="宋体"/>
          <w:szCs w:val="21"/>
        </w:rPr>
      </w:pPr>
      <w:r>
        <w:rPr>
          <w:rFonts w:ascii="宋体" w:hAnsi="宋体"/>
          <w:szCs w:val="21"/>
        </w:rPr>
        <w:t>1986年开始试行“有偿投资，合同造林”。至1992年，由林业部门与1000户农</w:t>
      </w:r>
      <w:r>
        <w:rPr>
          <w:rFonts w:hint="eastAsia" w:ascii="宋体" w:hAnsi="宋体"/>
          <w:szCs w:val="21"/>
        </w:rPr>
        <w:t>户签订有偿投资造林合同。林业部门提供苗木、化肥和资金（每亩</w:t>
      </w:r>
      <w:r>
        <w:rPr>
          <w:rFonts w:ascii="宋体" w:hAnsi="宋体"/>
          <w:szCs w:val="21"/>
        </w:rPr>
        <w:t>100元～200元），</w:t>
      </w:r>
      <w:r>
        <w:rPr>
          <w:rFonts w:hint="eastAsia" w:ascii="宋体" w:hAnsi="宋体"/>
          <w:szCs w:val="21"/>
        </w:rPr>
        <w:t>到期由农户偿还木材。</w:t>
      </w:r>
      <w:r>
        <w:rPr>
          <w:rFonts w:ascii="宋体" w:hAnsi="宋体"/>
          <w:szCs w:val="21"/>
        </w:rPr>
        <w:t>1998年冬至1999年春，市林业局在坪田、南亩、油山、帽子</w:t>
      </w:r>
      <w:r>
        <w:rPr>
          <w:rFonts w:hint="eastAsia" w:ascii="宋体" w:hAnsi="宋体"/>
          <w:szCs w:val="21"/>
        </w:rPr>
        <w:t>峰等</w:t>
      </w:r>
      <w:r>
        <w:rPr>
          <w:rFonts w:ascii="宋体" w:hAnsi="宋体"/>
          <w:szCs w:val="21"/>
        </w:rPr>
        <w:t>7个镇与397户签订合同，投资237万元，营造速生丰产林1371.67公顷，平均</w:t>
      </w:r>
      <w:r>
        <w:rPr>
          <w:rFonts w:hint="eastAsia" w:ascii="宋体" w:hAnsi="宋体"/>
          <w:szCs w:val="21"/>
        </w:rPr>
        <w:t>每亩投资</w:t>
      </w:r>
      <w:r>
        <w:rPr>
          <w:rFonts w:ascii="宋体" w:hAnsi="宋体"/>
          <w:szCs w:val="21"/>
        </w:rPr>
        <w:t>115.19元。1992年冬，在帽子峰镇的新跃林场、洞头林场、澜河镇小流坑</w:t>
      </w:r>
      <w:r>
        <w:rPr>
          <w:rFonts w:hint="eastAsia" w:ascii="宋体" w:hAnsi="宋体"/>
          <w:szCs w:val="21"/>
        </w:rPr>
        <w:t>林场、梅岭镇三八林场、主田镇三广林场、南亩林场、登市林场、乌迳镇孔江林场</w:t>
      </w:r>
      <w:r>
        <w:rPr>
          <w:rFonts w:ascii="宋体" w:hAnsi="宋体"/>
          <w:szCs w:val="21"/>
        </w:rPr>
        <w:t>8</w:t>
      </w:r>
      <w:r>
        <w:rPr>
          <w:rFonts w:hint="eastAsia" w:ascii="宋体" w:hAnsi="宋体"/>
          <w:szCs w:val="21"/>
        </w:rPr>
        <w:t>个镇、村林场共投资</w:t>
      </w:r>
      <w:r>
        <w:rPr>
          <w:rFonts w:ascii="宋体" w:hAnsi="宋体"/>
          <w:szCs w:val="21"/>
        </w:rPr>
        <w:t>726309元，营造速生丰产林507.67公顷，平均每亩投资95.38</w:t>
      </w:r>
      <w:r>
        <w:rPr>
          <w:rFonts w:hint="eastAsia" w:ascii="宋体" w:hAnsi="宋体"/>
          <w:szCs w:val="21"/>
        </w:rPr>
        <w:t>元。</w:t>
      </w:r>
    </w:p>
    <w:p w14:paraId="781CE2CA">
      <w:pPr>
        <w:pStyle w:val="4"/>
        <w:rPr>
          <w:rFonts w:ascii="宋体" w:hAnsi="宋体"/>
        </w:rPr>
      </w:pPr>
      <w:r>
        <w:rPr>
          <w:rFonts w:hint="eastAsia" w:ascii="宋体" w:hAnsi="宋体"/>
        </w:rPr>
        <w:t>第四节  山林经营</w:t>
      </w:r>
    </w:p>
    <w:p w14:paraId="7B5069B1">
      <w:pPr>
        <w:pStyle w:val="5"/>
        <w:rPr>
          <w:rFonts w:ascii="宋体" w:hAnsi="宋体"/>
        </w:rPr>
      </w:pPr>
      <w:r>
        <w:rPr>
          <w:rFonts w:hint="eastAsia" w:ascii="宋体" w:hAnsi="宋体"/>
        </w:rPr>
        <w:t>一、山林发证</w:t>
      </w:r>
    </w:p>
    <w:p w14:paraId="6F04381E">
      <w:pPr>
        <w:ind w:firstLine="420"/>
        <w:rPr>
          <w:rFonts w:ascii="宋体" w:hAnsi="宋体"/>
          <w:szCs w:val="21"/>
        </w:rPr>
      </w:pPr>
      <w:r>
        <w:rPr>
          <w:rFonts w:ascii="宋体" w:hAnsi="宋体"/>
          <w:szCs w:val="21"/>
        </w:rPr>
        <w:t>1981年5月至1982年1月，根据国务院关于保护森林，发展林业的决定，分二</w:t>
      </w:r>
      <w:r>
        <w:rPr>
          <w:rFonts w:hint="eastAsia" w:ascii="宋体" w:hAnsi="宋体"/>
          <w:szCs w:val="21"/>
        </w:rPr>
        <w:t>批完成了全县的山林发证工作。经过调查、测量，划分各自的四至界限，处理山林纠纷，颁发了山林证。发证总面积为</w:t>
      </w:r>
      <w:r>
        <w:rPr>
          <w:rFonts w:ascii="宋体" w:hAnsi="宋体"/>
          <w:szCs w:val="21"/>
        </w:rPr>
        <w:t>137628.33公顷，其中自留山15349.33公顷，人</w:t>
      </w:r>
      <w:r>
        <w:rPr>
          <w:rFonts w:hint="eastAsia" w:ascii="宋体" w:hAnsi="宋体"/>
          <w:szCs w:val="21"/>
        </w:rPr>
        <w:t>均</w:t>
      </w:r>
      <w:r>
        <w:rPr>
          <w:rFonts w:ascii="宋体" w:hAnsi="宋体"/>
          <w:szCs w:val="21"/>
        </w:rPr>
        <w:t>0.04公顷，责任山122279公顷，人均0.36公顷。1984年，县政府根据中央、省、</w:t>
      </w:r>
      <w:r>
        <w:rPr>
          <w:rFonts w:hint="eastAsia" w:ascii="宋体" w:hAnsi="宋体"/>
          <w:szCs w:val="21"/>
        </w:rPr>
        <w:t>市的指示，又在全县</w:t>
      </w:r>
      <w:r>
        <w:rPr>
          <w:rFonts w:ascii="宋体" w:hAnsi="宋体"/>
          <w:szCs w:val="21"/>
        </w:rPr>
        <w:t>15个乡、镇中进行了自留山与责任山的合并工作。合并两山为</w:t>
      </w:r>
      <w:r>
        <w:rPr>
          <w:rFonts w:hint="eastAsia" w:ascii="宋体" w:hAnsi="宋体"/>
          <w:szCs w:val="21"/>
        </w:rPr>
        <w:t>自营山的有</w:t>
      </w:r>
      <w:r>
        <w:rPr>
          <w:rFonts w:ascii="宋体" w:hAnsi="宋体"/>
          <w:szCs w:val="21"/>
        </w:rPr>
        <w:t>20833户，90832公顷，户均4.36公顷。2003年11月10日，中共南雄</w:t>
      </w:r>
      <w:r>
        <w:rPr>
          <w:rFonts w:hint="eastAsia" w:ascii="宋体" w:hAnsi="宋体"/>
          <w:szCs w:val="21"/>
        </w:rPr>
        <w:t>市委根据国家林业局《林木和林地权属登记管理办法》、《广东省林地林权登记换发证工作方案》等法规，制订《南雄市林地林权登记换发证方案》，并组织</w:t>
      </w:r>
      <w:r>
        <w:rPr>
          <w:rFonts w:ascii="宋体" w:hAnsi="宋体"/>
          <w:szCs w:val="21"/>
        </w:rPr>
        <w:t>525人的工</w:t>
      </w:r>
      <w:r>
        <w:rPr>
          <w:rFonts w:hint="eastAsia" w:ascii="宋体" w:hAnsi="宋体"/>
          <w:szCs w:val="21"/>
        </w:rPr>
        <w:t>作队进行林地林权登记换发证工作。全市申请换发证的有</w:t>
      </w:r>
      <w:r>
        <w:rPr>
          <w:rFonts w:ascii="宋体" w:hAnsi="宋体"/>
          <w:szCs w:val="21"/>
        </w:rPr>
        <w:t>4</w:t>
      </w:r>
      <w:r>
        <w:rPr>
          <w:rFonts w:hint="eastAsia" w:ascii="宋体" w:hAnsi="宋体"/>
          <w:szCs w:val="21"/>
        </w:rPr>
        <w:t>6</w:t>
      </w:r>
      <w:r>
        <w:rPr>
          <w:rFonts w:ascii="宋体" w:hAnsi="宋体"/>
          <w:szCs w:val="21"/>
        </w:rPr>
        <w:t>656宗，面积155200公</w:t>
      </w:r>
      <w:r>
        <w:rPr>
          <w:rFonts w:hint="eastAsia" w:ascii="宋体" w:hAnsi="宋体"/>
          <w:szCs w:val="21"/>
        </w:rPr>
        <w:t>顷。经过测量、核实，解决山林纠纷</w:t>
      </w:r>
      <w:r>
        <w:rPr>
          <w:rFonts w:ascii="宋体" w:hAnsi="宋体"/>
          <w:szCs w:val="21"/>
        </w:rPr>
        <w:t>1784宗（面积10115.95公顷），共发出林地林</w:t>
      </w:r>
      <w:r>
        <w:rPr>
          <w:rFonts w:hint="eastAsia" w:ascii="宋体" w:hAnsi="宋体"/>
          <w:szCs w:val="21"/>
        </w:rPr>
        <w:t>权证</w:t>
      </w:r>
      <w:r>
        <w:rPr>
          <w:rFonts w:ascii="宋体" w:hAnsi="宋体"/>
          <w:szCs w:val="21"/>
        </w:rPr>
        <w:t>5000份，进一步稳定了山林权属，使山林经营一再突破体制局限，户办、联户</w:t>
      </w:r>
      <w:r>
        <w:rPr>
          <w:rFonts w:hint="eastAsia" w:ascii="宋体" w:hAnsi="宋体"/>
          <w:szCs w:val="21"/>
        </w:rPr>
        <w:t>合作办林场日益增多。</w:t>
      </w:r>
    </w:p>
    <w:p w14:paraId="50082695">
      <w:pPr>
        <w:pStyle w:val="5"/>
        <w:rPr>
          <w:rFonts w:ascii="宋体" w:hAnsi="宋体"/>
        </w:rPr>
      </w:pPr>
      <w:r>
        <w:rPr>
          <w:rFonts w:hint="eastAsia" w:ascii="宋体" w:hAnsi="宋体"/>
        </w:rPr>
        <w:t>二、商品林经营</w:t>
      </w:r>
    </w:p>
    <w:p w14:paraId="090D42E7">
      <w:pPr>
        <w:ind w:firstLine="422"/>
        <w:rPr>
          <w:rFonts w:ascii="宋体" w:hAnsi="宋体"/>
          <w:b/>
          <w:szCs w:val="21"/>
        </w:rPr>
      </w:pPr>
      <w:r>
        <w:rPr>
          <w:rFonts w:hint="eastAsia" w:ascii="宋体" w:hAnsi="宋体"/>
          <w:b/>
          <w:szCs w:val="21"/>
        </w:rPr>
        <w:t>（一）国有（营）林场</w:t>
      </w:r>
    </w:p>
    <w:p w14:paraId="2F29559F">
      <w:pPr>
        <w:ind w:firstLine="420"/>
        <w:rPr>
          <w:rFonts w:ascii="宋体" w:hAnsi="宋体"/>
          <w:szCs w:val="21"/>
        </w:rPr>
      </w:pPr>
      <w:r>
        <w:rPr>
          <w:rFonts w:hint="eastAsia" w:ascii="宋体" w:hAnsi="宋体"/>
          <w:szCs w:val="21"/>
        </w:rPr>
        <w:t>帽子峰林场。该场于</w:t>
      </w:r>
      <w:r>
        <w:rPr>
          <w:rFonts w:ascii="宋体" w:hAnsi="宋体"/>
          <w:szCs w:val="21"/>
        </w:rPr>
        <w:t>1957年创办，是广东省重要的商品林生产基地之一。坚持</w:t>
      </w:r>
      <w:r>
        <w:rPr>
          <w:rFonts w:hint="eastAsia" w:ascii="宋体" w:hAnsi="宋体"/>
          <w:szCs w:val="21"/>
        </w:rPr>
        <w:t>“以营林为基础，采育结合，青山常在”的方针，全面发展林场经济。至</w:t>
      </w:r>
      <w:r>
        <w:rPr>
          <w:rFonts w:ascii="宋体" w:hAnsi="宋体"/>
          <w:szCs w:val="21"/>
        </w:rPr>
        <w:t>1993年，</w:t>
      </w:r>
      <w:r>
        <w:rPr>
          <w:rFonts w:hint="eastAsia" w:ascii="宋体" w:hAnsi="宋体"/>
          <w:szCs w:val="21"/>
        </w:rPr>
        <w:t>林场经营面积</w:t>
      </w:r>
      <w:r>
        <w:rPr>
          <w:rFonts w:ascii="宋体" w:hAnsi="宋体"/>
          <w:szCs w:val="21"/>
        </w:rPr>
        <w:t>2924.62公顷，林业用地2555.02公顷，有林地2078.56公顷，活立木</w:t>
      </w:r>
      <w:r>
        <w:rPr>
          <w:rFonts w:hint="eastAsia" w:ascii="宋体" w:hAnsi="宋体"/>
          <w:szCs w:val="21"/>
        </w:rPr>
        <w:t>蓄积量</w:t>
      </w:r>
      <w:r>
        <w:rPr>
          <w:rFonts w:ascii="宋体" w:hAnsi="宋体"/>
          <w:szCs w:val="21"/>
        </w:rPr>
        <w:t>25.3万立方米，年木材生产控制在1.2万立方米。利用水资源建小水电站6</w:t>
      </w:r>
      <w:r>
        <w:rPr>
          <w:rFonts w:hint="eastAsia" w:ascii="宋体" w:hAnsi="宋体"/>
          <w:szCs w:val="21"/>
        </w:rPr>
        <w:t>座，装机容量</w:t>
      </w:r>
      <w:r>
        <w:rPr>
          <w:rFonts w:ascii="宋体" w:hAnsi="宋体"/>
          <w:szCs w:val="21"/>
        </w:rPr>
        <w:t>3080千瓦。职工615人。1992年，国家林业局授予“七五”期间更新</w:t>
      </w:r>
      <w:r>
        <w:rPr>
          <w:rFonts w:hint="eastAsia" w:ascii="宋体" w:hAnsi="宋体"/>
          <w:szCs w:val="21"/>
        </w:rPr>
        <w:t>造林先进单位。</w:t>
      </w:r>
    </w:p>
    <w:p w14:paraId="48BAFC8E">
      <w:pPr>
        <w:ind w:firstLine="420"/>
        <w:rPr>
          <w:rFonts w:ascii="宋体" w:hAnsi="宋体"/>
          <w:szCs w:val="21"/>
        </w:rPr>
      </w:pPr>
      <w:r>
        <w:rPr>
          <w:rFonts w:ascii="宋体" w:hAnsi="宋体"/>
          <w:szCs w:val="21"/>
        </w:rPr>
        <w:t>1994年6月，帽子峰林场全资改造为广东翠屏实业股份有限公司。2001年1月，</w:t>
      </w:r>
      <w:r>
        <w:rPr>
          <w:rFonts w:hint="eastAsia" w:ascii="宋体" w:hAnsi="宋体"/>
          <w:szCs w:val="21"/>
        </w:rPr>
        <w:t>帽子峰林场在市委、市政府的指示下，林业资产折价入股进入南粤竹业有限责任公司，</w:t>
      </w:r>
      <w:r>
        <w:rPr>
          <w:rFonts w:ascii="宋体" w:hAnsi="宋体"/>
          <w:szCs w:val="21"/>
        </w:rPr>
        <w:t>2002年4月，市委、市政府又决定把帽子峰林场林业资产划回翠屏公司经营。2004年，林场山林面积保存2907公顷，活立木蓄积量只存20.6万立方米，年产木材</w:t>
      </w:r>
      <w:r>
        <w:rPr>
          <w:rFonts w:hint="eastAsia" w:ascii="宋体" w:hAnsi="宋体"/>
          <w:szCs w:val="21"/>
        </w:rPr>
        <w:t>增至</w:t>
      </w:r>
      <w:r>
        <w:rPr>
          <w:rFonts w:ascii="宋体" w:hAnsi="宋体"/>
          <w:szCs w:val="21"/>
        </w:rPr>
        <w:t>2万立方米，全场管理员工110多人。造林抚育雇请临时工，青山包给木材商砍</w:t>
      </w:r>
      <w:r>
        <w:rPr>
          <w:rFonts w:hint="eastAsia" w:ascii="宋体" w:hAnsi="宋体"/>
          <w:szCs w:val="21"/>
        </w:rPr>
        <w:t>伐运销。</w:t>
      </w:r>
    </w:p>
    <w:p w14:paraId="0E44B6F0">
      <w:pPr>
        <w:ind w:firstLine="420"/>
        <w:rPr>
          <w:rFonts w:ascii="宋体" w:hAnsi="宋体"/>
          <w:szCs w:val="21"/>
        </w:rPr>
      </w:pPr>
      <w:r>
        <w:rPr>
          <w:rFonts w:hint="eastAsia" w:ascii="宋体" w:hAnsi="宋体"/>
          <w:szCs w:val="21"/>
        </w:rPr>
        <w:t>山门林场。该场位于古市镇与始兴县边界地段，创办于</w:t>
      </w:r>
      <w:r>
        <w:rPr>
          <w:rFonts w:ascii="宋体" w:hAnsi="宋体"/>
          <w:szCs w:val="21"/>
        </w:rPr>
        <w:t>1972年，为县（市）林</w:t>
      </w:r>
      <w:r>
        <w:rPr>
          <w:rFonts w:hint="eastAsia" w:ascii="宋体" w:hAnsi="宋体"/>
          <w:szCs w:val="21"/>
        </w:rPr>
        <w:t>业局直属的采育结合型生产林场。</w:t>
      </w:r>
      <w:r>
        <w:rPr>
          <w:rFonts w:ascii="宋体" w:hAnsi="宋体"/>
          <w:szCs w:val="21"/>
        </w:rPr>
        <w:t>1988年至2004年，相继建立4个生产工区、1个</w:t>
      </w:r>
      <w:r>
        <w:rPr>
          <w:rFonts w:hint="eastAsia" w:ascii="宋体" w:hAnsi="宋体"/>
          <w:szCs w:val="21"/>
        </w:rPr>
        <w:t>护林站、</w:t>
      </w:r>
      <w:r>
        <w:rPr>
          <w:rFonts w:ascii="宋体" w:hAnsi="宋体"/>
          <w:szCs w:val="21"/>
        </w:rPr>
        <w:t>1个护林防火哨所。2004年有职工120人，其中退休工人32人。经营面积1760公顷，其中有林地1680.6公顷，活立木蓄积量108647立方米，森林覆盖率88.1%</w:t>
      </w:r>
      <w:r>
        <w:rPr>
          <w:rFonts w:hint="eastAsia" w:ascii="宋体" w:hAnsi="宋体"/>
          <w:szCs w:val="21"/>
        </w:rPr>
        <w:t>。</w:t>
      </w:r>
    </w:p>
    <w:p w14:paraId="55DA4247">
      <w:pPr>
        <w:ind w:firstLine="420"/>
        <w:rPr>
          <w:rFonts w:ascii="宋体" w:hAnsi="宋体"/>
          <w:szCs w:val="21"/>
        </w:rPr>
      </w:pPr>
      <w:r>
        <w:rPr>
          <w:rFonts w:hint="eastAsia" w:ascii="宋体" w:hAnsi="宋体"/>
          <w:szCs w:val="21"/>
        </w:rPr>
        <w:t>泷头林场。该场位于水口镇与江西省全南县交界地段的泷头村，创办于</w:t>
      </w:r>
      <w:r>
        <w:rPr>
          <w:rFonts w:ascii="宋体" w:hAnsi="宋体"/>
          <w:szCs w:val="21"/>
        </w:rPr>
        <w:t>1972年，</w:t>
      </w:r>
      <w:r>
        <w:rPr>
          <w:rFonts w:hint="eastAsia" w:ascii="宋体" w:hAnsi="宋体"/>
          <w:szCs w:val="21"/>
        </w:rPr>
        <w:t>是市林业局直属的迹地更新型生产林场。</w:t>
      </w:r>
      <w:r>
        <w:rPr>
          <w:rFonts w:ascii="宋体" w:hAnsi="宋体"/>
          <w:szCs w:val="21"/>
        </w:rPr>
        <w:t>2004年有职工60人，经营面积970.2公顷，</w:t>
      </w:r>
      <w:r>
        <w:rPr>
          <w:rFonts w:hint="eastAsia" w:ascii="宋体" w:hAnsi="宋体"/>
          <w:szCs w:val="21"/>
        </w:rPr>
        <w:t>其中有林地</w:t>
      </w:r>
      <w:r>
        <w:rPr>
          <w:rFonts w:ascii="宋体" w:hAnsi="宋体"/>
          <w:szCs w:val="21"/>
        </w:rPr>
        <w:t>919.3公顷，活立木蓄积量38406立方米，毛竹立竹6万多株，森林覆盖</w:t>
      </w:r>
      <w:r>
        <w:rPr>
          <w:rFonts w:hint="eastAsia" w:ascii="宋体" w:hAnsi="宋体"/>
          <w:szCs w:val="21"/>
        </w:rPr>
        <w:t>率</w:t>
      </w:r>
      <w:r>
        <w:rPr>
          <w:rFonts w:ascii="宋体" w:hAnsi="宋体"/>
          <w:szCs w:val="21"/>
        </w:rPr>
        <w:t>86.7%。</w:t>
      </w:r>
    </w:p>
    <w:p w14:paraId="72FF11A5">
      <w:pPr>
        <w:ind w:firstLine="422"/>
        <w:rPr>
          <w:rFonts w:ascii="宋体" w:hAnsi="宋体"/>
          <w:b/>
          <w:szCs w:val="21"/>
        </w:rPr>
      </w:pPr>
      <w:r>
        <w:rPr>
          <w:rFonts w:hint="eastAsia" w:ascii="宋体" w:hAnsi="宋体"/>
          <w:b/>
          <w:szCs w:val="21"/>
        </w:rPr>
        <w:t>（二）联办林场</w:t>
      </w:r>
    </w:p>
    <w:p w14:paraId="12E6E8E9">
      <w:pPr>
        <w:ind w:firstLine="420"/>
        <w:rPr>
          <w:rFonts w:ascii="宋体" w:hAnsi="宋体"/>
          <w:szCs w:val="21"/>
        </w:rPr>
      </w:pPr>
      <w:r>
        <w:rPr>
          <w:rFonts w:hint="eastAsia" w:ascii="宋体" w:hAnsi="宋体"/>
          <w:szCs w:val="21"/>
        </w:rPr>
        <w:t>联办林场是由市林业部门提供资金、技术，由相关的镇、村、农户提供山林联合创办的林场。具体经营方式是：林场负责林木种植、管护、采伐、销售等全部经营活动，收入分配按合同规定，建场前原有林木的收入按</w:t>
      </w:r>
      <w:r>
        <w:rPr>
          <w:rFonts w:ascii="宋体" w:hAnsi="宋体"/>
          <w:szCs w:val="21"/>
        </w:rPr>
        <w:t>6.5与3.5分成，林场得6.5</w:t>
      </w:r>
      <w:r>
        <w:rPr>
          <w:rFonts w:hint="eastAsia" w:ascii="宋体" w:hAnsi="宋体"/>
          <w:szCs w:val="21"/>
        </w:rPr>
        <w:t>成，农户得</w:t>
      </w:r>
      <w:r>
        <w:rPr>
          <w:rFonts w:ascii="宋体" w:hAnsi="宋体"/>
          <w:szCs w:val="21"/>
        </w:rPr>
        <w:t>3.5成；建场后新种林木的收</w:t>
      </w:r>
      <w:r>
        <w:rPr>
          <w:rFonts w:hint="eastAsia" w:ascii="宋体" w:hAnsi="宋体"/>
          <w:szCs w:val="21"/>
        </w:rPr>
        <w:t>入</w:t>
      </w:r>
      <w:r>
        <w:rPr>
          <w:rFonts w:ascii="宋体" w:hAnsi="宋体"/>
          <w:szCs w:val="21"/>
        </w:rPr>
        <w:t>按8与2分成，林场得8成，农户得2</w:t>
      </w:r>
      <w:r>
        <w:rPr>
          <w:rFonts w:hint="eastAsia" w:ascii="宋体" w:hAnsi="宋体"/>
          <w:szCs w:val="21"/>
        </w:rPr>
        <w:t>成。此类林场共有</w:t>
      </w:r>
      <w:r>
        <w:rPr>
          <w:rFonts w:ascii="宋体" w:hAnsi="宋体"/>
          <w:szCs w:val="21"/>
        </w:rPr>
        <w:t>3个，经营面积5132.86公顷，活立木蓄积量256477立方米。规</w:t>
      </w:r>
      <w:r>
        <w:rPr>
          <w:rFonts w:hint="eastAsia" w:ascii="宋体" w:hAnsi="宋体"/>
          <w:szCs w:val="21"/>
        </w:rPr>
        <w:t>模较大的有：</w:t>
      </w:r>
    </w:p>
    <w:p w14:paraId="3E04BF5C">
      <w:pPr>
        <w:ind w:firstLine="420"/>
        <w:rPr>
          <w:rFonts w:ascii="宋体" w:hAnsi="宋体"/>
          <w:szCs w:val="21"/>
        </w:rPr>
      </w:pPr>
      <w:r>
        <w:rPr>
          <w:rFonts w:hint="eastAsia" w:ascii="宋体" w:hAnsi="宋体"/>
          <w:szCs w:val="21"/>
        </w:rPr>
        <w:t>角湾林场。该场创办于</w:t>
      </w:r>
      <w:r>
        <w:rPr>
          <w:rFonts w:ascii="宋体" w:hAnsi="宋体"/>
          <w:szCs w:val="21"/>
        </w:rPr>
        <w:t>1992年11月16日，由林业局与梅岭镇的角湾村、中站</w:t>
      </w:r>
      <w:r>
        <w:rPr>
          <w:rFonts w:hint="eastAsia" w:ascii="宋体" w:hAnsi="宋体"/>
          <w:szCs w:val="21"/>
        </w:rPr>
        <w:t>村、珠玑镇祇芫村及邓坊镇里元村联办。联办期限从</w:t>
      </w:r>
      <w:r>
        <w:rPr>
          <w:rFonts w:ascii="宋体" w:hAnsi="宋体"/>
          <w:szCs w:val="21"/>
        </w:rPr>
        <w:t>1992年11月16日至2052年1</w:t>
      </w:r>
      <w:r>
        <w:rPr>
          <w:rFonts w:hint="eastAsia" w:ascii="宋体" w:hAnsi="宋体"/>
          <w:szCs w:val="21"/>
        </w:rPr>
        <w:t>1月</w:t>
      </w:r>
      <w:r>
        <w:rPr>
          <w:rFonts w:ascii="宋体" w:hAnsi="宋体"/>
          <w:szCs w:val="21"/>
        </w:rPr>
        <w:t>15日，一定60年。现有场员40人，总面积1688公顷，其中有林地1608.9公顷</w:t>
      </w:r>
      <w:r>
        <w:rPr>
          <w:rFonts w:hint="eastAsia" w:ascii="宋体" w:hAnsi="宋体"/>
          <w:szCs w:val="21"/>
        </w:rPr>
        <w:t>，活立木蓄积量</w:t>
      </w:r>
      <w:r>
        <w:rPr>
          <w:rFonts w:ascii="宋体" w:hAnsi="宋体"/>
          <w:szCs w:val="21"/>
        </w:rPr>
        <w:t>9223.7立方米，森林覆盖率92.9%</w:t>
      </w:r>
      <w:r>
        <w:rPr>
          <w:rFonts w:hint="eastAsia" w:ascii="宋体" w:hAnsi="宋体"/>
          <w:szCs w:val="21"/>
        </w:rPr>
        <w:t>。</w:t>
      </w:r>
    </w:p>
    <w:p w14:paraId="3957DB21">
      <w:pPr>
        <w:ind w:firstLine="420"/>
        <w:rPr>
          <w:rFonts w:ascii="宋体" w:hAnsi="宋体"/>
          <w:szCs w:val="21"/>
        </w:rPr>
      </w:pPr>
      <w:r>
        <w:rPr>
          <w:rFonts w:hint="eastAsia" w:ascii="宋体" w:hAnsi="宋体"/>
          <w:szCs w:val="21"/>
        </w:rPr>
        <w:t>主田林场。该场创办于</w:t>
      </w:r>
      <w:r>
        <w:rPr>
          <w:rFonts w:ascii="宋体" w:hAnsi="宋体"/>
          <w:szCs w:val="21"/>
        </w:rPr>
        <w:t>1992年12月，林业局与主田镇和相关的村联办，坐落在</w:t>
      </w:r>
      <w:r>
        <w:rPr>
          <w:rFonts w:hint="eastAsia" w:ascii="宋体" w:hAnsi="宋体"/>
          <w:szCs w:val="21"/>
        </w:rPr>
        <w:t>主田镇辖区内，经营面积</w:t>
      </w:r>
      <w:r>
        <w:rPr>
          <w:rFonts w:ascii="宋体" w:hAnsi="宋体"/>
          <w:szCs w:val="21"/>
        </w:rPr>
        <w:t>3226公顷，其中有林地3208.9公顷。建场以来，始终坚持</w:t>
      </w:r>
      <w:r>
        <w:rPr>
          <w:rFonts w:hint="eastAsia" w:ascii="宋体" w:hAnsi="宋体"/>
          <w:szCs w:val="21"/>
        </w:rPr>
        <w:t>以营林为基础，采育结合的原则。至</w:t>
      </w:r>
      <w:r>
        <w:rPr>
          <w:rFonts w:ascii="宋体" w:hAnsi="宋体"/>
          <w:szCs w:val="21"/>
        </w:rPr>
        <w:t>2004年，职工49人，营造速生丰产林</w:t>
      </w:r>
      <w:r>
        <w:rPr>
          <w:rFonts w:hint="eastAsia" w:ascii="宋体" w:hAnsi="宋体"/>
          <w:szCs w:val="21"/>
        </w:rPr>
        <w:t>3</w:t>
      </w:r>
      <w:r>
        <w:rPr>
          <w:rFonts w:ascii="宋体" w:hAnsi="宋体"/>
          <w:szCs w:val="21"/>
        </w:rPr>
        <w:t>33.3公</w:t>
      </w:r>
      <w:r>
        <w:rPr>
          <w:rFonts w:hint="eastAsia" w:ascii="宋体" w:hAnsi="宋体"/>
          <w:szCs w:val="21"/>
        </w:rPr>
        <w:t>顷，森林蓄积量</w:t>
      </w:r>
      <w:r>
        <w:rPr>
          <w:rFonts w:ascii="宋体" w:hAnsi="宋体"/>
          <w:szCs w:val="21"/>
        </w:rPr>
        <w:t>121477立方米，森林覆盖率96.4%</w:t>
      </w:r>
      <w:r>
        <w:rPr>
          <w:rFonts w:hint="eastAsia" w:ascii="宋体" w:hAnsi="宋体"/>
          <w:szCs w:val="21"/>
        </w:rPr>
        <w:t>。</w:t>
      </w:r>
    </w:p>
    <w:p w14:paraId="635BD841">
      <w:pPr>
        <w:ind w:firstLine="422"/>
        <w:rPr>
          <w:rFonts w:ascii="宋体" w:hAnsi="宋体"/>
          <w:b/>
          <w:szCs w:val="21"/>
        </w:rPr>
      </w:pPr>
      <w:r>
        <w:rPr>
          <w:rFonts w:hint="eastAsia" w:ascii="宋体" w:hAnsi="宋体"/>
          <w:b/>
          <w:szCs w:val="21"/>
        </w:rPr>
        <w:t>（三）镇、村林场</w:t>
      </w:r>
    </w:p>
    <w:p w14:paraId="2C539CBB">
      <w:pPr>
        <w:ind w:firstLine="420"/>
        <w:rPr>
          <w:rFonts w:ascii="宋体" w:hAnsi="宋体"/>
          <w:szCs w:val="21"/>
        </w:rPr>
      </w:pPr>
      <w:r>
        <w:rPr>
          <w:rFonts w:hint="eastAsia" w:ascii="宋体" w:hAnsi="宋体"/>
          <w:szCs w:val="21"/>
        </w:rPr>
        <w:t>至</w:t>
      </w:r>
      <w:r>
        <w:rPr>
          <w:rFonts w:ascii="宋体" w:hAnsi="宋体"/>
          <w:szCs w:val="21"/>
        </w:rPr>
        <w:t>2004年，全市有镇、村林场58个，场员392人，经营面积17864.2公顷。林</w:t>
      </w:r>
      <w:r>
        <w:rPr>
          <w:rFonts w:hint="eastAsia" w:ascii="宋体" w:hAnsi="宋体"/>
          <w:szCs w:val="21"/>
        </w:rPr>
        <w:t>业局向其中</w:t>
      </w:r>
      <w:r>
        <w:rPr>
          <w:rFonts w:ascii="宋体" w:hAnsi="宋体"/>
          <w:szCs w:val="21"/>
        </w:rPr>
        <w:t>8个林场投资726309元营造速生丰产林527.67公顷</w:t>
      </w:r>
      <w:r>
        <w:rPr>
          <w:rFonts w:hint="eastAsia" w:ascii="宋体" w:hAnsi="宋体"/>
          <w:szCs w:val="21"/>
        </w:rPr>
        <w:t>。</w:t>
      </w:r>
    </w:p>
    <w:p w14:paraId="20DCEF37">
      <w:pPr>
        <w:ind w:firstLine="420"/>
        <w:rPr>
          <w:rFonts w:ascii="宋体" w:hAnsi="宋体"/>
          <w:szCs w:val="21"/>
        </w:rPr>
      </w:pPr>
      <w:r>
        <w:rPr>
          <w:rFonts w:hint="eastAsia" w:ascii="宋体" w:hAnsi="宋体"/>
          <w:szCs w:val="21"/>
        </w:rPr>
        <w:t>新跃林场。原帽子峰公社创办于</w:t>
      </w:r>
      <w:r>
        <w:rPr>
          <w:rFonts w:ascii="宋体" w:hAnsi="宋体"/>
          <w:szCs w:val="21"/>
        </w:rPr>
        <w:t>1971年冬的公社、大队、生产队三级所有制林</w:t>
      </w:r>
      <w:r>
        <w:rPr>
          <w:rFonts w:hint="eastAsia" w:ascii="宋体" w:hAnsi="宋体"/>
          <w:szCs w:val="21"/>
        </w:rPr>
        <w:t>场。现有场员</w:t>
      </w:r>
      <w:r>
        <w:rPr>
          <w:rFonts w:ascii="宋体" w:hAnsi="宋体"/>
          <w:szCs w:val="21"/>
        </w:rPr>
        <w:t>26人，经营面积1645公顷，其中人工营造杉树林533公顷，毛竹林94</w:t>
      </w:r>
      <w:r>
        <w:rPr>
          <w:rFonts w:hint="eastAsia" w:ascii="宋体" w:hAnsi="宋体"/>
          <w:szCs w:val="21"/>
        </w:rPr>
        <w:t>公顷，人工促进自然更新阔叶林</w:t>
      </w:r>
      <w:r>
        <w:rPr>
          <w:rFonts w:ascii="宋体" w:hAnsi="宋体"/>
          <w:szCs w:val="21"/>
        </w:rPr>
        <w:t>1000公顷，木材蓄积量12万立方米，森林覆盖率96%。1988年至2004年，平均每年生产木材2500立方米，缴纳税金8万元，上交镇</w:t>
      </w:r>
      <w:r>
        <w:rPr>
          <w:rFonts w:hint="eastAsia" w:ascii="宋体" w:hAnsi="宋体"/>
          <w:szCs w:val="21"/>
        </w:rPr>
        <w:t>政府</w:t>
      </w:r>
      <w:r>
        <w:rPr>
          <w:rFonts w:ascii="宋体" w:hAnsi="宋体"/>
          <w:szCs w:val="21"/>
        </w:rPr>
        <w:t>20万元，拥有固定资产90多万元。1989年被评为全国先进乡、村林场。</w:t>
      </w:r>
    </w:p>
    <w:p w14:paraId="5BE81B9C">
      <w:pPr>
        <w:ind w:firstLine="420"/>
        <w:rPr>
          <w:rFonts w:ascii="宋体" w:hAnsi="宋体"/>
          <w:szCs w:val="21"/>
        </w:rPr>
      </w:pPr>
      <w:r>
        <w:rPr>
          <w:rFonts w:hint="eastAsia" w:ascii="宋体" w:hAnsi="宋体"/>
          <w:szCs w:val="21"/>
        </w:rPr>
        <w:t>梅关三八林场。该场是</w:t>
      </w:r>
      <w:r>
        <w:rPr>
          <w:rFonts w:ascii="宋体" w:hAnsi="宋体"/>
          <w:szCs w:val="21"/>
        </w:rPr>
        <w:t>1972年创办的梅关大队林场，经营面积370.13公顷，由</w:t>
      </w:r>
      <w:r>
        <w:rPr>
          <w:rFonts w:hint="eastAsia" w:ascii="宋体" w:hAnsi="宋体"/>
          <w:szCs w:val="21"/>
        </w:rPr>
        <w:t>一个女民兵班</w:t>
      </w:r>
      <w:r>
        <w:rPr>
          <w:rFonts w:ascii="宋体" w:hAnsi="宋体"/>
          <w:szCs w:val="21"/>
        </w:rPr>
        <w:t>12人住场经营。建场以来，在荒山上营造杉林308公顷，种植油茶40</w:t>
      </w:r>
      <w:r>
        <w:rPr>
          <w:rFonts w:hint="eastAsia" w:ascii="宋体" w:hAnsi="宋体"/>
          <w:szCs w:val="21"/>
        </w:rPr>
        <w:t>公顷，各种果树</w:t>
      </w:r>
      <w:r>
        <w:rPr>
          <w:rFonts w:ascii="宋体" w:hAnsi="宋体"/>
          <w:szCs w:val="21"/>
        </w:rPr>
        <w:t>2000多株，活立木蓄积量11155立方米。该场（班）先后被中华全</w:t>
      </w:r>
      <w:r>
        <w:rPr>
          <w:rFonts w:hint="eastAsia" w:ascii="宋体" w:hAnsi="宋体"/>
          <w:szCs w:val="21"/>
        </w:rPr>
        <w:t>国妇女联合会评为“全国三八红旗集体”，中华人民共和国国防部授予“全国民兵、预备役工作先进单位”，广东省政府和省军区授予“艰苦创业模范民兵班”、“建设社会主义精神文明先进单位”，共青团省委授予“新长征突击手”，省林业厅授予“造林绿化标兵”等称号。</w:t>
      </w:r>
      <w:r>
        <w:rPr>
          <w:rFonts w:ascii="宋体" w:hAnsi="宋体"/>
          <w:szCs w:val="21"/>
        </w:rPr>
        <w:t>1993年7月，随着农村经营体制改革，三八林场由私人承包</w:t>
      </w:r>
      <w:r>
        <w:rPr>
          <w:rFonts w:hint="eastAsia" w:ascii="宋体" w:hAnsi="宋体"/>
          <w:szCs w:val="21"/>
        </w:rPr>
        <w:t>经营。</w:t>
      </w:r>
      <w:r>
        <w:rPr>
          <w:rFonts w:ascii="宋体" w:hAnsi="宋体"/>
          <w:szCs w:val="21"/>
        </w:rPr>
        <w:t>2004年，女民兵班整编为10人，驻在梅岭镇政府大院内，在完成军事、消防</w:t>
      </w:r>
      <w:r>
        <w:rPr>
          <w:rFonts w:hint="eastAsia" w:ascii="宋体" w:hAnsi="宋体"/>
          <w:szCs w:val="21"/>
        </w:rPr>
        <w:t>训练科目外，还开展育苗、护林工作。</w:t>
      </w:r>
    </w:p>
    <w:p w14:paraId="6550A2B6">
      <w:pPr>
        <w:ind w:firstLine="422"/>
        <w:rPr>
          <w:rFonts w:ascii="宋体" w:hAnsi="宋体"/>
          <w:b/>
          <w:szCs w:val="21"/>
        </w:rPr>
      </w:pPr>
      <w:r>
        <w:rPr>
          <w:rFonts w:hint="eastAsia" w:ascii="宋体" w:hAnsi="宋体"/>
          <w:b/>
          <w:szCs w:val="21"/>
        </w:rPr>
        <w:t>（四）股份合作制林场</w:t>
      </w:r>
    </w:p>
    <w:p w14:paraId="43F7BD4A">
      <w:pPr>
        <w:ind w:firstLine="420"/>
        <w:rPr>
          <w:rFonts w:ascii="宋体" w:hAnsi="宋体"/>
          <w:szCs w:val="21"/>
        </w:rPr>
      </w:pPr>
      <w:r>
        <w:rPr>
          <w:rFonts w:hint="eastAsia" w:ascii="宋体" w:hAnsi="宋体"/>
          <w:szCs w:val="21"/>
        </w:rPr>
        <w:t>由农户带山入股，由林业部门出资，按照“集约化、规范化、高标准”要求经营的林场，共有</w:t>
      </w:r>
      <w:r>
        <w:rPr>
          <w:rFonts w:ascii="宋体" w:hAnsi="宋体"/>
          <w:szCs w:val="21"/>
        </w:rPr>
        <w:t>6个，场员48人，经营面积17326.67公顷。如南亩林果场。该场创</w:t>
      </w:r>
      <w:r>
        <w:rPr>
          <w:rFonts w:hint="eastAsia" w:ascii="宋体" w:hAnsi="宋体"/>
          <w:szCs w:val="21"/>
        </w:rPr>
        <w:t>建于</w:t>
      </w:r>
      <w:r>
        <w:rPr>
          <w:rFonts w:ascii="宋体" w:hAnsi="宋体"/>
          <w:szCs w:val="21"/>
        </w:rPr>
        <w:t>1998年7月，由林业部门和南亩镇的南亩、芙蓉、水尾、中岭、岭下、长洞村</w:t>
      </w:r>
      <w:r>
        <w:rPr>
          <w:rFonts w:hint="eastAsia" w:ascii="宋体" w:hAnsi="宋体"/>
          <w:szCs w:val="21"/>
        </w:rPr>
        <w:t>委会的</w:t>
      </w:r>
      <w:r>
        <w:rPr>
          <w:rFonts w:ascii="宋体" w:hAnsi="宋体"/>
          <w:szCs w:val="21"/>
        </w:rPr>
        <w:t>1269户农户带山入股组成股份合作制林场。现有场员25人，总面积有4010</w:t>
      </w:r>
      <w:r>
        <w:rPr>
          <w:rFonts w:hint="eastAsia" w:ascii="宋体" w:hAnsi="宋体"/>
          <w:szCs w:val="21"/>
        </w:rPr>
        <w:t>公顷，其中有林地</w:t>
      </w:r>
      <w:r>
        <w:rPr>
          <w:rFonts w:ascii="宋体" w:hAnsi="宋体"/>
          <w:szCs w:val="21"/>
        </w:rPr>
        <w:t>3161.5公顷，内有油茶、果树等经济林476.6公顷，毛竹林253.7</w:t>
      </w:r>
      <w:r>
        <w:rPr>
          <w:rFonts w:hint="eastAsia" w:ascii="宋体" w:hAnsi="宋体"/>
          <w:szCs w:val="21"/>
        </w:rPr>
        <w:t>公顷，活立木蓄积</w:t>
      </w:r>
      <w:r>
        <w:rPr>
          <w:rFonts w:ascii="宋体" w:hAnsi="宋体"/>
          <w:szCs w:val="21"/>
        </w:rPr>
        <w:t>99639立方米。建场以来，已投资350万元，完成疏残林改造333.3公顷，种植果树1</w:t>
      </w:r>
      <w:r>
        <w:rPr>
          <w:rFonts w:hint="eastAsia" w:ascii="宋体" w:hAnsi="宋体"/>
          <w:szCs w:val="21"/>
        </w:rPr>
        <w:t>3</w:t>
      </w:r>
      <w:r>
        <w:rPr>
          <w:rFonts w:ascii="宋体" w:hAnsi="宋体"/>
          <w:szCs w:val="21"/>
        </w:rPr>
        <w:t>3.3公顷，4.3万株，其中白果2万株，大肉梅、杨梅、三</w:t>
      </w:r>
      <w:r>
        <w:rPr>
          <w:rFonts w:hint="eastAsia" w:ascii="宋体" w:hAnsi="宋体"/>
          <w:szCs w:val="21"/>
        </w:rPr>
        <w:t>华李、水晶梨等</w:t>
      </w:r>
      <w:r>
        <w:rPr>
          <w:rFonts w:ascii="宋体" w:hAnsi="宋体"/>
          <w:szCs w:val="21"/>
        </w:rPr>
        <w:t>2.3万株。营造阔叶林和松树速生丰产林93.3公顷，毛竹133.3公</w:t>
      </w:r>
      <w:r>
        <w:rPr>
          <w:rFonts w:hint="eastAsia" w:ascii="宋体" w:hAnsi="宋体"/>
          <w:szCs w:val="21"/>
        </w:rPr>
        <w:t>顷，抚育毛竹林</w:t>
      </w:r>
      <w:r>
        <w:rPr>
          <w:rFonts w:ascii="宋体" w:hAnsi="宋体"/>
          <w:szCs w:val="21"/>
        </w:rPr>
        <w:t>253.3公顷，生物防火林带8公里，新开防火线18公里，新开和维</w:t>
      </w:r>
      <w:r>
        <w:rPr>
          <w:rFonts w:hint="eastAsia" w:ascii="宋体" w:hAnsi="宋体"/>
          <w:szCs w:val="21"/>
        </w:rPr>
        <w:t>修公路</w:t>
      </w:r>
      <w:r>
        <w:rPr>
          <w:rFonts w:ascii="宋体" w:hAnsi="宋体"/>
          <w:szCs w:val="21"/>
        </w:rPr>
        <w:t>27公里。在首期开发种植的果树中，三华李、水晶梨、杨梅等，已在2001年</w:t>
      </w:r>
      <w:r>
        <w:rPr>
          <w:rFonts w:hint="eastAsia" w:ascii="宋体" w:hAnsi="宋体"/>
          <w:szCs w:val="21"/>
        </w:rPr>
        <w:t>开始挂果。</w:t>
      </w:r>
      <w:r>
        <w:rPr>
          <w:rFonts w:ascii="宋体" w:hAnsi="宋体"/>
          <w:szCs w:val="21"/>
        </w:rPr>
        <w:t>2004年又造林种果733.3公顷。</w:t>
      </w:r>
    </w:p>
    <w:p w14:paraId="64BC1A8E">
      <w:pPr>
        <w:ind w:firstLine="422"/>
        <w:rPr>
          <w:rFonts w:ascii="宋体" w:hAnsi="宋体"/>
          <w:b/>
          <w:szCs w:val="21"/>
        </w:rPr>
      </w:pPr>
      <w:r>
        <w:rPr>
          <w:rFonts w:ascii="宋体" w:hAnsi="宋体"/>
          <w:b/>
          <w:szCs w:val="21"/>
        </w:rPr>
        <w:t>(</w:t>
      </w:r>
      <w:r>
        <w:rPr>
          <w:rFonts w:hint="eastAsia" w:ascii="宋体" w:hAnsi="宋体"/>
          <w:b/>
          <w:szCs w:val="21"/>
        </w:rPr>
        <w:t>五）户办、联户合作办林场</w:t>
      </w:r>
    </w:p>
    <w:p w14:paraId="75A55489">
      <w:pPr>
        <w:ind w:firstLine="420"/>
        <w:rPr>
          <w:rFonts w:ascii="宋体" w:hAnsi="宋体"/>
          <w:szCs w:val="21"/>
        </w:rPr>
      </w:pPr>
      <w:r>
        <w:rPr>
          <w:rFonts w:ascii="宋体" w:hAnsi="宋体"/>
          <w:szCs w:val="21"/>
        </w:rPr>
        <w:t>1982年1月，完成山林发证，落实山权林权之后，山区农户单户或联户承包集</w:t>
      </w:r>
      <w:r>
        <w:rPr>
          <w:rFonts w:hint="eastAsia" w:ascii="宋体" w:hAnsi="宋体"/>
          <w:szCs w:val="21"/>
        </w:rPr>
        <w:t>体荒山办林场。</w:t>
      </w:r>
      <w:r>
        <w:rPr>
          <w:rFonts w:ascii="宋体" w:hAnsi="宋体"/>
          <w:szCs w:val="21"/>
        </w:rPr>
        <w:t>1987年全县共有此类林场80个，经营面积2480公顷。1988年至2004年，经营此类林场农户有1397户。其中与市林业局签订合同的397户，营造速</w:t>
      </w:r>
      <w:r>
        <w:rPr>
          <w:rFonts w:hint="eastAsia" w:ascii="宋体" w:hAnsi="宋体"/>
          <w:szCs w:val="21"/>
        </w:rPr>
        <w:t>生丰产林</w:t>
      </w:r>
      <w:r>
        <w:rPr>
          <w:rFonts w:ascii="宋体" w:hAnsi="宋体"/>
          <w:szCs w:val="21"/>
        </w:rPr>
        <w:t>1371.67公顷。由林业局分期分批投入资金，负责技术指导，出售木材时归</w:t>
      </w:r>
      <w:r>
        <w:rPr>
          <w:rFonts w:hint="eastAsia" w:ascii="宋体" w:hAnsi="宋体"/>
          <w:szCs w:val="21"/>
        </w:rPr>
        <w:t>还投资。首批户办林场已相继进入主伐期。帽子峰镇富竹村委会林农纪世安，</w:t>
      </w:r>
      <w:r>
        <w:rPr>
          <w:rFonts w:ascii="宋体" w:hAnsi="宋体"/>
          <w:szCs w:val="21"/>
        </w:rPr>
        <w:t>1985</w:t>
      </w:r>
      <w:r>
        <w:rPr>
          <w:rFonts w:hint="eastAsia" w:ascii="宋体" w:hAnsi="宋体"/>
          <w:szCs w:val="21"/>
        </w:rPr>
        <w:t>年承包生产队荒山</w:t>
      </w:r>
      <w:r>
        <w:rPr>
          <w:rFonts w:ascii="宋体" w:hAnsi="宋体"/>
          <w:szCs w:val="21"/>
        </w:rPr>
        <w:t>40公顷，连续2年造杉林共13.33公顷，1986年至2003年获得林</w:t>
      </w:r>
      <w:r>
        <w:rPr>
          <w:rFonts w:hint="eastAsia" w:ascii="宋体" w:hAnsi="宋体"/>
          <w:szCs w:val="21"/>
        </w:rPr>
        <w:t>业局有偿投资</w:t>
      </w:r>
      <w:r>
        <w:rPr>
          <w:rFonts w:ascii="宋体" w:hAnsi="宋体"/>
          <w:szCs w:val="21"/>
        </w:rPr>
        <w:t>20257元，营造速生丰产林19.23公顷，山上的林木资产已近百万元，</w:t>
      </w:r>
      <w:r>
        <w:rPr>
          <w:rFonts w:hint="eastAsia" w:ascii="宋体" w:hAnsi="宋体"/>
          <w:szCs w:val="21"/>
        </w:rPr>
        <w:t>并偿还了林业局的投资款。</w:t>
      </w:r>
    </w:p>
    <w:p w14:paraId="57D5375A">
      <w:pPr>
        <w:pStyle w:val="5"/>
        <w:rPr>
          <w:rFonts w:ascii="宋体" w:hAnsi="宋体"/>
        </w:rPr>
      </w:pPr>
      <w:r>
        <w:rPr>
          <w:rFonts w:hint="eastAsia" w:ascii="宋体" w:hAnsi="宋体"/>
        </w:rPr>
        <w:t>三、生态公益林管护</w:t>
      </w:r>
    </w:p>
    <w:p w14:paraId="4B736FB3">
      <w:pPr>
        <w:ind w:firstLine="420"/>
        <w:rPr>
          <w:rFonts w:ascii="宋体" w:hAnsi="宋体"/>
          <w:szCs w:val="21"/>
        </w:rPr>
      </w:pPr>
      <w:r>
        <w:rPr>
          <w:rFonts w:ascii="宋体" w:hAnsi="宋体"/>
          <w:szCs w:val="21"/>
        </w:rPr>
        <w:t>1994年冬至1995年春，南雄县完成了省林业厅下达生态公益林改造任务100公</w:t>
      </w:r>
      <w:r>
        <w:rPr>
          <w:rFonts w:hint="eastAsia" w:ascii="宋体" w:hAnsi="宋体"/>
          <w:szCs w:val="21"/>
        </w:rPr>
        <w:t>顷。</w:t>
      </w:r>
      <w:r>
        <w:rPr>
          <w:rFonts w:ascii="宋体" w:hAnsi="宋体"/>
          <w:szCs w:val="21"/>
        </w:rPr>
        <w:t>2001年南雄市政府颁布了《南雄市生态公益林建设管理和效益补偿办法》，将生</w:t>
      </w:r>
      <w:r>
        <w:rPr>
          <w:rFonts w:hint="eastAsia" w:ascii="宋体" w:hAnsi="宋体"/>
          <w:szCs w:val="21"/>
        </w:rPr>
        <w:t>态公益林重点规划在红沙岭地区、浈江、凌江河流两岸、大中型水库（电站）水源涵养范围内，由林业局统一规划、统一经营、统一建设。抚育管理严格执行“四有”（有专人管护、有护林公约、有四至界限和标志、有奖罚制度），“四无”（无山火、无偷砍伐和打树枝、无毁林开垦、无严重病虫害）。每年按此标准层层检查验收核实后，在生态公益林建设专项资金中，发给山权林权所有者补偿金。补助标准是：一类每年每亩补</w:t>
      </w:r>
      <w:r>
        <w:rPr>
          <w:rFonts w:ascii="宋体" w:hAnsi="宋体"/>
          <w:szCs w:val="21"/>
        </w:rPr>
        <w:t>1.5元；二类1.00元；三类0.50元。2000年，市林业局设立了生态公益</w:t>
      </w:r>
      <w:r>
        <w:rPr>
          <w:rFonts w:hint="eastAsia" w:ascii="宋体" w:hAnsi="宋体"/>
          <w:szCs w:val="21"/>
        </w:rPr>
        <w:t>林管理站，并建立了一支</w:t>
      </w:r>
      <w:r>
        <w:rPr>
          <w:rFonts w:ascii="宋体" w:hAnsi="宋体"/>
          <w:szCs w:val="21"/>
        </w:rPr>
        <w:t>200人的专业护林队伍。至2004年，全市共建立生态公益</w:t>
      </w:r>
      <w:r>
        <w:rPr>
          <w:rFonts w:hint="eastAsia" w:ascii="宋体" w:hAnsi="宋体"/>
          <w:szCs w:val="21"/>
        </w:rPr>
        <w:t>林面积</w:t>
      </w:r>
      <w:r>
        <w:rPr>
          <w:rFonts w:ascii="宋体" w:hAnsi="宋体"/>
          <w:szCs w:val="21"/>
        </w:rPr>
        <w:t>42980.4公顷。其中，水源涵养林25196.4公顷，水土保持林16149.3公顷，</w:t>
      </w:r>
      <w:r>
        <w:rPr>
          <w:rFonts w:hint="eastAsia" w:ascii="宋体" w:hAnsi="宋体"/>
          <w:szCs w:val="21"/>
        </w:rPr>
        <w:t>特种用途林</w:t>
      </w:r>
      <w:r>
        <w:rPr>
          <w:rFonts w:ascii="宋体" w:hAnsi="宋体"/>
          <w:szCs w:val="21"/>
        </w:rPr>
        <w:t>1634.7公顷（自然保护小区1516.1公顷、风景林68.7公顷、其他特用</w:t>
      </w:r>
      <w:r>
        <w:rPr>
          <w:rFonts w:hint="eastAsia" w:ascii="宋体" w:hAnsi="宋体"/>
          <w:szCs w:val="21"/>
        </w:rPr>
        <w:t>林</w:t>
      </w:r>
      <w:r>
        <w:rPr>
          <w:rFonts w:ascii="宋体" w:hAnsi="宋体"/>
          <w:szCs w:val="21"/>
        </w:rPr>
        <w:t>49.9公顷）。浈江河两岸的933.33公顷水源涵养林界定为国家级生态公益林。</w:t>
      </w:r>
    </w:p>
    <w:p w14:paraId="33191703">
      <w:pPr>
        <w:ind w:firstLine="420"/>
        <w:rPr>
          <w:rFonts w:ascii="宋体" w:hAnsi="宋体"/>
          <w:szCs w:val="21"/>
        </w:rPr>
      </w:pPr>
      <w:r>
        <w:rPr>
          <w:rFonts w:hint="eastAsia" w:ascii="宋体" w:hAnsi="宋体"/>
          <w:szCs w:val="21"/>
        </w:rPr>
        <w:t>生态公益林经过</w:t>
      </w:r>
      <w:r>
        <w:rPr>
          <w:rFonts w:ascii="宋体" w:hAnsi="宋体"/>
          <w:szCs w:val="21"/>
        </w:rPr>
        <w:t>10年的补植套种，由单一针叶树种逐步改变为针阔混交林，生</w:t>
      </w:r>
      <w:r>
        <w:rPr>
          <w:rFonts w:hint="eastAsia" w:ascii="宋体" w:hAnsi="宋体"/>
          <w:szCs w:val="21"/>
        </w:rPr>
        <w:t>态功能等级逐步提高。</w:t>
      </w:r>
      <w:r>
        <w:rPr>
          <w:rFonts w:ascii="宋体" w:hAnsi="宋体"/>
          <w:szCs w:val="21"/>
        </w:rPr>
        <w:t>2004年验收核定为一类3580.1公顷，二类9206公顷，其余为</w:t>
      </w:r>
      <w:r>
        <w:rPr>
          <w:rFonts w:hint="eastAsia" w:ascii="宋体" w:hAnsi="宋体"/>
          <w:szCs w:val="21"/>
        </w:rPr>
        <w:t>三类。</w:t>
      </w:r>
      <w:r>
        <w:rPr>
          <w:rFonts w:ascii="宋体" w:hAnsi="宋体"/>
          <w:szCs w:val="21"/>
        </w:rPr>
        <w:t>1999年至2002年，生态公益林效益补偿金支出907.9万元。</w:t>
      </w:r>
    </w:p>
    <w:p w14:paraId="4206009B">
      <w:pPr>
        <w:ind w:firstLine="420"/>
        <w:rPr>
          <w:rFonts w:ascii="宋体" w:hAnsi="宋体"/>
          <w:szCs w:val="21"/>
        </w:rPr>
      </w:pPr>
      <w:r>
        <w:rPr>
          <w:rFonts w:hint="eastAsia" w:ascii="宋体" w:hAnsi="宋体"/>
          <w:szCs w:val="21"/>
        </w:rPr>
        <w:t>从</w:t>
      </w:r>
      <w:r>
        <w:rPr>
          <w:rFonts w:ascii="宋体" w:hAnsi="宋体"/>
          <w:szCs w:val="21"/>
        </w:rPr>
        <w:t>1993年起，南雄市（县）政府认真贯彻全国绿化委员会（简称全国绿委</w:t>
      </w:r>
      <w:r>
        <w:rPr>
          <w:rFonts w:hint="eastAsia" w:ascii="宋体" w:hAnsi="宋体"/>
          <w:szCs w:val="21"/>
        </w:rPr>
        <w:t>）《关于在全国开展争创造林绿化千佳村、百佳乡、百佳县、十佳城市活动的决定》，</w:t>
      </w:r>
      <w:r>
        <w:rPr>
          <w:rFonts w:ascii="宋体" w:hAnsi="宋体"/>
          <w:szCs w:val="21"/>
        </w:rPr>
        <w:t>1995年3月，全国绿委授予古市镇丰源村委会为“全国造林绿化千佳村”称号。1996年3月，全国绿委授予南雄县为“全国造林绿化百佳县”称号。同月，全国绿</w:t>
      </w:r>
      <w:r>
        <w:rPr>
          <w:rFonts w:hint="eastAsia" w:ascii="宋体" w:hAnsi="宋体"/>
          <w:szCs w:val="21"/>
        </w:rPr>
        <w:t>委、林业部、人事部授予南雄县为“全国绿化先进单位”称号。同年</w:t>
      </w:r>
      <w:r>
        <w:rPr>
          <w:rFonts w:ascii="宋体" w:hAnsi="宋体"/>
          <w:szCs w:val="21"/>
        </w:rPr>
        <w:t>11月，广东省</w:t>
      </w:r>
      <w:r>
        <w:rPr>
          <w:rFonts w:hint="eastAsia" w:ascii="宋体" w:hAnsi="宋体"/>
          <w:szCs w:val="21"/>
        </w:rPr>
        <w:t>绿委授予南雄县为“广东省全民义务植树先进单位”称号。</w:t>
      </w:r>
    </w:p>
    <w:p w14:paraId="6D60B13A">
      <w:pPr>
        <w:ind w:firstLine="420"/>
        <w:rPr>
          <w:rFonts w:ascii="宋体" w:hAnsi="宋体"/>
          <w:szCs w:val="21"/>
        </w:rPr>
      </w:pPr>
      <w:r>
        <w:rPr>
          <w:rFonts w:ascii="宋体" w:hAnsi="宋体"/>
          <w:szCs w:val="21"/>
        </w:rPr>
        <w:t>1996年起，南雄绿委组织各镇林业技术人员对古树名木进行了调查，确认南雄</w:t>
      </w:r>
      <w:r>
        <w:rPr>
          <w:rFonts w:hint="eastAsia" w:ascii="宋体" w:hAnsi="宋体"/>
          <w:szCs w:val="21"/>
        </w:rPr>
        <w:t>古树名木有</w:t>
      </w:r>
      <w:r>
        <w:rPr>
          <w:rFonts w:ascii="宋体" w:hAnsi="宋体"/>
          <w:szCs w:val="21"/>
        </w:rPr>
        <w:t>1257棵，分12科属，树龄大多超百年。其中桑科的榕树占30%，达360</w:t>
      </w:r>
      <w:r>
        <w:rPr>
          <w:rFonts w:hint="eastAsia" w:ascii="宋体" w:hAnsi="宋体"/>
          <w:szCs w:val="21"/>
        </w:rPr>
        <w:t>棵。每株树都建立了档案，挂了标识牌，落实了管护责任单位。</w:t>
      </w:r>
      <w:r>
        <w:rPr>
          <w:rFonts w:ascii="宋体" w:hAnsi="宋体"/>
          <w:szCs w:val="21"/>
        </w:rPr>
        <w:t>2001年8月，绿委</w:t>
      </w:r>
      <w:r>
        <w:rPr>
          <w:rFonts w:hint="eastAsia" w:ascii="宋体" w:hAnsi="宋体"/>
          <w:szCs w:val="21"/>
        </w:rPr>
        <w:t>办公室编印了《南雄古树名木录》。</w:t>
      </w:r>
    </w:p>
    <w:p w14:paraId="6AD3CDDA">
      <w:pPr>
        <w:ind w:firstLine="420"/>
        <w:rPr>
          <w:rFonts w:ascii="宋体" w:hAnsi="宋体"/>
          <w:szCs w:val="21"/>
        </w:rPr>
      </w:pPr>
      <w:r>
        <w:rPr>
          <w:rFonts w:ascii="宋体" w:hAnsi="宋体"/>
          <w:szCs w:val="21"/>
        </w:rPr>
        <w:t>1997年10月，在南亩镇芙蓉管理区邓坑村发现古罗汉树1株。该村族谱记载，1500年前就有此树。今树高约5米，状似宝塔，树干周长约3.85米，内空心80厘</w:t>
      </w:r>
      <w:r>
        <w:rPr>
          <w:rFonts w:hint="eastAsia" w:ascii="宋体" w:hAnsi="宋体"/>
          <w:szCs w:val="21"/>
        </w:rPr>
        <w:t>米。树叶中长有大小连在一起的果实，大者如黄豆。果呈红色，可吃。</w:t>
      </w:r>
    </w:p>
    <w:p w14:paraId="0074765F">
      <w:pPr>
        <w:ind w:firstLine="420"/>
        <w:rPr>
          <w:rFonts w:ascii="宋体" w:hAnsi="宋体"/>
          <w:szCs w:val="21"/>
        </w:rPr>
      </w:pPr>
      <w:r>
        <w:rPr>
          <w:rFonts w:ascii="宋体" w:hAnsi="宋体"/>
          <w:szCs w:val="21"/>
        </w:rPr>
        <w:t>1998年11月6日，在</w:t>
      </w:r>
      <w:r>
        <w:rPr>
          <w:rFonts w:hint="eastAsia" w:ascii="宋体" w:hAnsi="宋体"/>
          <w:szCs w:val="21"/>
        </w:rPr>
        <w:t>澜</w:t>
      </w:r>
      <w:r>
        <w:rPr>
          <w:rFonts w:ascii="宋体" w:hAnsi="宋体"/>
          <w:szCs w:val="21"/>
        </w:rPr>
        <w:t>河镇鱼口坑、洞底、中洞3个自然村各发现1株珍稀树</w:t>
      </w:r>
      <w:r>
        <w:rPr>
          <w:rFonts w:hint="eastAsia" w:ascii="宋体" w:hAnsi="宋体"/>
          <w:szCs w:val="21"/>
        </w:rPr>
        <w:t>种红豆杉，</w:t>
      </w:r>
      <w:r>
        <w:rPr>
          <w:rFonts w:ascii="宋体" w:hAnsi="宋体"/>
          <w:szCs w:val="21"/>
        </w:rPr>
        <w:t>3株均结有黄豆大小的红果子</w:t>
      </w:r>
      <w:r>
        <w:rPr>
          <w:rFonts w:hint="eastAsia" w:ascii="宋体" w:hAnsi="宋体"/>
          <w:szCs w:val="21"/>
        </w:rPr>
        <w:t>。</w:t>
      </w:r>
    </w:p>
    <w:p w14:paraId="1998E579">
      <w:pPr>
        <w:ind w:firstLine="420"/>
        <w:rPr>
          <w:rFonts w:ascii="宋体" w:hAnsi="宋体"/>
          <w:szCs w:val="21"/>
        </w:rPr>
      </w:pPr>
      <w:r>
        <w:rPr>
          <w:rFonts w:hint="eastAsia" w:ascii="宋体" w:hAnsi="宋体"/>
          <w:szCs w:val="21"/>
        </w:rPr>
        <w:t>营造梅花长廊。</w:t>
      </w:r>
      <w:r>
        <w:rPr>
          <w:rFonts w:ascii="宋体" w:hAnsi="宋体"/>
          <w:szCs w:val="21"/>
        </w:rPr>
        <w:t>2003年至2004年，在国道323线自市区东三岔路口至梅关的公</w:t>
      </w:r>
      <w:r>
        <w:rPr>
          <w:rFonts w:hint="eastAsia" w:ascii="宋体" w:hAnsi="宋体"/>
          <w:szCs w:val="21"/>
        </w:rPr>
        <w:t>路两旁，种植各种梅树</w:t>
      </w:r>
      <w:r>
        <w:rPr>
          <w:rFonts w:ascii="宋体" w:hAnsi="宋体"/>
          <w:szCs w:val="21"/>
        </w:rPr>
        <w:t>1.2万株，长26.9公里。</w:t>
      </w:r>
    </w:p>
    <w:p w14:paraId="6E09DBDE">
      <w:pPr>
        <w:pStyle w:val="5"/>
        <w:rPr>
          <w:rFonts w:ascii="宋体" w:hAnsi="宋体"/>
        </w:rPr>
      </w:pPr>
      <w:r>
        <w:rPr>
          <w:rFonts w:hint="eastAsia" w:ascii="宋体" w:hAnsi="宋体"/>
        </w:rPr>
        <w:t>四、苗圃、林科所、绿化队、竹博园</w:t>
      </w:r>
    </w:p>
    <w:p w14:paraId="1D77EDF2">
      <w:pPr>
        <w:ind w:firstLine="422"/>
        <w:rPr>
          <w:rFonts w:ascii="宋体" w:hAnsi="宋体"/>
          <w:b/>
          <w:szCs w:val="21"/>
        </w:rPr>
      </w:pPr>
      <w:r>
        <w:rPr>
          <w:rFonts w:hint="eastAsia" w:ascii="宋体" w:hAnsi="宋体"/>
          <w:b/>
          <w:szCs w:val="21"/>
        </w:rPr>
        <w:t>（一）莲社庵苗圃</w:t>
      </w:r>
    </w:p>
    <w:p w14:paraId="6C83A866">
      <w:pPr>
        <w:ind w:firstLine="420"/>
        <w:rPr>
          <w:rFonts w:ascii="宋体" w:hAnsi="宋体"/>
          <w:szCs w:val="21"/>
        </w:rPr>
      </w:pPr>
      <w:r>
        <w:rPr>
          <w:rFonts w:hint="eastAsia" w:ascii="宋体" w:hAnsi="宋体"/>
          <w:szCs w:val="21"/>
        </w:rPr>
        <w:t>总面积</w:t>
      </w:r>
      <w:r>
        <w:rPr>
          <w:rFonts w:ascii="宋体" w:hAnsi="宋体"/>
          <w:szCs w:val="21"/>
        </w:rPr>
        <w:t>5.33公顷，1987年有员工30人。2000年，因新建莲开净寺，林业局以93万元整体转让给莲开净寺，员工并入铺背苗圃。</w:t>
      </w:r>
    </w:p>
    <w:p w14:paraId="64B08FB7">
      <w:pPr>
        <w:ind w:firstLine="422"/>
        <w:rPr>
          <w:rFonts w:ascii="宋体" w:hAnsi="宋体"/>
          <w:b/>
          <w:szCs w:val="21"/>
        </w:rPr>
      </w:pPr>
      <w:r>
        <w:rPr>
          <w:rFonts w:hint="eastAsia" w:ascii="宋体" w:hAnsi="宋体"/>
          <w:b/>
          <w:szCs w:val="21"/>
        </w:rPr>
        <w:t>（二）铺背苗圃</w:t>
      </w:r>
    </w:p>
    <w:p w14:paraId="2B334943">
      <w:pPr>
        <w:ind w:firstLine="420"/>
        <w:rPr>
          <w:rFonts w:ascii="宋体" w:hAnsi="宋体"/>
          <w:szCs w:val="21"/>
        </w:rPr>
      </w:pPr>
      <w:r>
        <w:rPr>
          <w:rFonts w:hint="eastAsia" w:ascii="宋体" w:hAnsi="宋体"/>
          <w:szCs w:val="21"/>
        </w:rPr>
        <w:t>原为</w:t>
      </w:r>
      <w:r>
        <w:rPr>
          <w:rFonts w:ascii="宋体" w:hAnsi="宋体"/>
          <w:szCs w:val="21"/>
        </w:rPr>
        <w:t>1959年成立的南雄林校实验基地，面积6.93公顷。1962年划归莲社庵苗圃</w:t>
      </w:r>
      <w:r>
        <w:rPr>
          <w:rFonts w:hint="eastAsia" w:ascii="宋体" w:hAnsi="宋体"/>
          <w:szCs w:val="21"/>
        </w:rPr>
        <w:t>使用。</w:t>
      </w:r>
      <w:r>
        <w:rPr>
          <w:rFonts w:ascii="宋体" w:hAnsi="宋体"/>
          <w:szCs w:val="21"/>
        </w:rPr>
        <w:t>1984年南雄林业科学研究所从莲社庵迁此。2004年有在册员工34人。因大部</w:t>
      </w:r>
      <w:r>
        <w:rPr>
          <w:rFonts w:hint="eastAsia" w:ascii="宋体" w:hAnsi="宋体"/>
          <w:szCs w:val="21"/>
        </w:rPr>
        <w:t>分林场都自行采种育苗，不再依赖苗圃供应树苗。近年只五六人从事良种苗木繁育工作，大部分承包果树或另谋职业。但林业科研工作继续进行。“毛竹低产林改造技术应用”获韶关市</w:t>
      </w:r>
      <w:r>
        <w:rPr>
          <w:rFonts w:ascii="宋体" w:hAnsi="宋体"/>
          <w:szCs w:val="21"/>
        </w:rPr>
        <w:t>1996年科技进步三等奖，毛竹实生苗造林丰产技术应用成功，使毛</w:t>
      </w:r>
      <w:r>
        <w:rPr>
          <w:rFonts w:hint="eastAsia" w:ascii="宋体" w:hAnsi="宋体"/>
          <w:szCs w:val="21"/>
        </w:rPr>
        <w:t>竹造林二年郁闭成林，亩立竹量</w:t>
      </w:r>
      <w:r>
        <w:rPr>
          <w:rFonts w:ascii="宋体" w:hAnsi="宋体"/>
          <w:szCs w:val="21"/>
        </w:rPr>
        <w:t>1000多株，新竹平均胸径2厘米～3厘米，年均增</w:t>
      </w:r>
      <w:r>
        <w:rPr>
          <w:rFonts w:hint="eastAsia" w:ascii="宋体" w:hAnsi="宋体"/>
          <w:szCs w:val="21"/>
        </w:rPr>
        <w:t>粗</w:t>
      </w:r>
      <w:r>
        <w:rPr>
          <w:rFonts w:ascii="宋体" w:hAnsi="宋体"/>
          <w:szCs w:val="21"/>
        </w:rPr>
        <w:t>1厘米～2厘米。与传统移竹造林相比，每亩降低造林成本40%。用此技术已造林1000公顷，共节省成本300万元。此技术获韶关市2000年科技进步三等奖</w:t>
      </w:r>
      <w:r>
        <w:rPr>
          <w:rFonts w:hint="eastAsia" w:ascii="宋体" w:hAnsi="宋体"/>
          <w:szCs w:val="21"/>
        </w:rPr>
        <w:t>。</w:t>
      </w:r>
    </w:p>
    <w:p w14:paraId="124313FF">
      <w:pPr>
        <w:ind w:firstLine="422"/>
        <w:rPr>
          <w:rFonts w:ascii="宋体" w:hAnsi="宋体"/>
          <w:b/>
          <w:szCs w:val="21"/>
        </w:rPr>
      </w:pPr>
      <w:r>
        <w:rPr>
          <w:rFonts w:hint="eastAsia" w:ascii="宋体" w:hAnsi="宋体"/>
          <w:b/>
          <w:szCs w:val="21"/>
        </w:rPr>
        <w:t>（三）园林所（绿化队）</w:t>
      </w:r>
    </w:p>
    <w:p w14:paraId="00CC1194">
      <w:pPr>
        <w:ind w:firstLine="420"/>
        <w:rPr>
          <w:rFonts w:ascii="宋体" w:hAnsi="宋体"/>
          <w:szCs w:val="21"/>
        </w:rPr>
      </w:pPr>
      <w:r>
        <w:rPr>
          <w:rFonts w:ascii="宋体" w:hAnsi="宋体"/>
          <w:szCs w:val="21"/>
        </w:rPr>
        <w:t>1959年创办，1966年裁撤，1985年恢复，为林业局下属事业单位，员工8人，</w:t>
      </w:r>
      <w:r>
        <w:rPr>
          <w:rFonts w:hint="eastAsia" w:ascii="宋体" w:hAnsi="宋体"/>
          <w:szCs w:val="21"/>
        </w:rPr>
        <w:t>主要任务是绿化、美化市区。</w:t>
      </w:r>
      <w:r>
        <w:rPr>
          <w:rFonts w:ascii="宋体" w:hAnsi="宋体"/>
          <w:szCs w:val="21"/>
        </w:rPr>
        <w:t>1989年园林所定编17人，隶属县建委。2002年4月划</w:t>
      </w:r>
      <w:r>
        <w:rPr>
          <w:rFonts w:hint="eastAsia" w:ascii="宋体" w:hAnsi="宋体"/>
          <w:szCs w:val="21"/>
        </w:rPr>
        <w:t>归市公用事业管理局，任务是培育优良绿化美化苗木，负责公用地的绿化美化。</w:t>
      </w:r>
    </w:p>
    <w:p w14:paraId="68C5B140">
      <w:pPr>
        <w:ind w:firstLine="422"/>
        <w:rPr>
          <w:rFonts w:ascii="宋体" w:hAnsi="宋体"/>
          <w:b/>
          <w:szCs w:val="21"/>
        </w:rPr>
      </w:pPr>
      <w:r>
        <w:rPr>
          <w:rFonts w:hint="eastAsia" w:ascii="宋体" w:hAnsi="宋体"/>
          <w:b/>
          <w:szCs w:val="21"/>
        </w:rPr>
        <w:t>（四）南雄竹博园</w:t>
      </w:r>
    </w:p>
    <w:p w14:paraId="007E27CE">
      <w:pPr>
        <w:ind w:firstLine="420"/>
        <w:rPr>
          <w:rFonts w:ascii="宋体" w:hAnsi="宋体"/>
          <w:szCs w:val="21"/>
        </w:rPr>
      </w:pPr>
      <w:r>
        <w:rPr>
          <w:rFonts w:hint="eastAsia" w:ascii="宋体" w:hAnsi="宋体"/>
          <w:szCs w:val="21"/>
        </w:rPr>
        <w:t>位于珠玑镇三驳桥，总面积</w:t>
      </w:r>
      <w:r>
        <w:rPr>
          <w:rFonts w:ascii="宋体" w:hAnsi="宋体"/>
          <w:szCs w:val="21"/>
        </w:rPr>
        <w:t>66.67公顷，其中主园区37.33公顷，引种丛生竹170种，散生竹112种，混生竹81种。开挖人工湖2.67公顷。2003年定为南雄林业</w:t>
      </w:r>
      <w:r>
        <w:rPr>
          <w:rFonts w:hint="eastAsia" w:ascii="宋体" w:hAnsi="宋体"/>
          <w:szCs w:val="21"/>
        </w:rPr>
        <w:t>局与中国林科院亚热带研究所的合作项目，并被亚林所列为竹类研究基因库。</w:t>
      </w:r>
    </w:p>
    <w:p w14:paraId="3AA64744">
      <w:pPr>
        <w:pStyle w:val="4"/>
        <w:rPr>
          <w:rFonts w:ascii="宋体" w:hAnsi="宋体"/>
        </w:rPr>
      </w:pPr>
      <w:r>
        <w:rPr>
          <w:rFonts w:hint="eastAsia" w:ascii="宋体" w:hAnsi="宋体"/>
        </w:rPr>
        <w:t>第五节  山林保护</w:t>
      </w:r>
    </w:p>
    <w:p w14:paraId="4A086555">
      <w:pPr>
        <w:pStyle w:val="5"/>
        <w:rPr>
          <w:rFonts w:ascii="宋体" w:hAnsi="宋体"/>
        </w:rPr>
      </w:pPr>
      <w:r>
        <w:rPr>
          <w:rFonts w:hint="eastAsia" w:ascii="宋体" w:hAnsi="宋体"/>
        </w:rPr>
        <w:t>一、护林机构与队伍</w:t>
      </w:r>
    </w:p>
    <w:p w14:paraId="3E39C0FD">
      <w:pPr>
        <w:ind w:firstLine="422"/>
        <w:rPr>
          <w:rFonts w:ascii="宋体" w:hAnsi="宋体"/>
          <w:b/>
          <w:szCs w:val="21"/>
        </w:rPr>
      </w:pPr>
      <w:r>
        <w:rPr>
          <w:rFonts w:hint="eastAsia" w:ascii="宋体" w:hAnsi="宋体"/>
          <w:b/>
          <w:szCs w:val="21"/>
        </w:rPr>
        <w:t>（一）南雄市森林防火指挥部</w:t>
      </w:r>
    </w:p>
    <w:p w14:paraId="7E151490">
      <w:pPr>
        <w:ind w:firstLine="420"/>
        <w:rPr>
          <w:rFonts w:ascii="宋体" w:hAnsi="宋体"/>
          <w:szCs w:val="21"/>
        </w:rPr>
      </w:pPr>
      <w:r>
        <w:rPr>
          <w:rFonts w:ascii="宋体" w:hAnsi="宋体"/>
          <w:szCs w:val="21"/>
        </w:rPr>
        <w:t>1962年冬，成立南雄县护林防火指挥部，1987年更名为森林防火指挥部。组成</w:t>
      </w:r>
      <w:r>
        <w:rPr>
          <w:rFonts w:hint="eastAsia" w:ascii="宋体" w:hAnsi="宋体"/>
          <w:szCs w:val="21"/>
        </w:rPr>
        <w:t>人员，历年不断调整充实，主要由武装部、公安局、法院、检察院、农业局、林业局、邮电局、交通局、卫生局、森林公安分局等单位的领导人员组成。分管农业的市委副书记或副市长任总指挥，下设办公室，办公地点设在林业局，由林业局分管森林防火工作的副局长兼任办公室主任。市委、市政府明确规定，市长是森林防火工作的主要责任人，主管农业农村工作的副书记和副市长是森林防火工作的直接责任人，各镇镇长和各村委会主任、林场场长是森林防火工作的主要负责人，分管防火工作的领导为直接责任人，全市上下形成了主要领导亲自抓，分管领导具体抓，党政领导一起抓的局面，而且层层签订责任状，落实责任。市政府与各镇签订森林防火工作责任书，各镇与村委会、村委会与农户签订责任书，全市各镇、村每年与农户签订责任书达</w:t>
      </w:r>
      <w:r>
        <w:rPr>
          <w:rFonts w:ascii="宋体" w:hAnsi="宋体"/>
          <w:szCs w:val="21"/>
        </w:rPr>
        <w:t>8万多份。为把森林防火工作真正落到实处，每年8月底组织力量对全市森林防火</w:t>
      </w:r>
      <w:r>
        <w:rPr>
          <w:rFonts w:hint="eastAsia" w:ascii="宋体" w:hAnsi="宋体"/>
          <w:szCs w:val="21"/>
        </w:rPr>
        <w:t>工作进行一次全面检查考核。近年来，全市投入森林防火资金</w:t>
      </w:r>
      <w:r>
        <w:rPr>
          <w:rFonts w:ascii="宋体" w:hAnsi="宋体"/>
          <w:szCs w:val="21"/>
        </w:rPr>
        <w:t>480万元，全市有消防</w:t>
      </w:r>
      <w:r>
        <w:rPr>
          <w:rFonts w:hint="eastAsia" w:ascii="宋体" w:hAnsi="宋体"/>
          <w:szCs w:val="21"/>
        </w:rPr>
        <w:t>车</w:t>
      </w:r>
      <w:r>
        <w:rPr>
          <w:rFonts w:ascii="宋体" w:hAnsi="宋体"/>
          <w:szCs w:val="21"/>
        </w:rPr>
        <w:t>6辆、喊话机5个、望远镜3个。建立永久性防火宣传牌468个、瞭望台11座、</w:t>
      </w:r>
      <w:r>
        <w:rPr>
          <w:rFonts w:hint="eastAsia" w:ascii="宋体" w:hAnsi="宋体"/>
          <w:szCs w:val="21"/>
        </w:rPr>
        <w:t>防火检查站</w:t>
      </w:r>
      <w:r>
        <w:rPr>
          <w:rFonts w:ascii="宋体" w:hAnsi="宋体"/>
          <w:szCs w:val="21"/>
        </w:rPr>
        <w:t>20个、报警亭80个、对讲机100部。这些森林防火设备，为做好森林防</w:t>
      </w:r>
      <w:r>
        <w:rPr>
          <w:rFonts w:hint="eastAsia" w:ascii="宋体" w:hAnsi="宋体"/>
          <w:szCs w:val="21"/>
        </w:rPr>
        <w:t>火工作提供了重要保障。</w:t>
      </w:r>
    </w:p>
    <w:p w14:paraId="1951876F">
      <w:pPr>
        <w:ind w:firstLine="422"/>
        <w:rPr>
          <w:rFonts w:ascii="宋体" w:hAnsi="宋体"/>
          <w:szCs w:val="21"/>
        </w:rPr>
      </w:pPr>
      <w:r>
        <w:rPr>
          <w:rFonts w:hint="eastAsia" w:ascii="宋体" w:hAnsi="宋体"/>
          <w:b/>
          <w:szCs w:val="21"/>
        </w:rPr>
        <w:t>森林防火指挥部直属森林消防大队</w:t>
      </w:r>
      <w:r>
        <w:rPr>
          <w:rFonts w:hint="eastAsia" w:ascii="宋体" w:hAnsi="宋体"/>
          <w:szCs w:val="21"/>
        </w:rPr>
        <w:t xml:space="preserve">  该大队成立于</w:t>
      </w:r>
      <w:r>
        <w:rPr>
          <w:rFonts w:ascii="宋体" w:hAnsi="宋体"/>
          <w:szCs w:val="21"/>
        </w:rPr>
        <w:t>1999年9月，为专业性森林</w:t>
      </w:r>
      <w:r>
        <w:rPr>
          <w:rFonts w:hint="eastAsia" w:ascii="宋体" w:hAnsi="宋体"/>
          <w:szCs w:val="21"/>
        </w:rPr>
        <w:t>消防队伍，这支队伍与森林消防林场（队部在铺背苗圃，育苗场地向铺背农民租用）实行一套人马、两块牌子，采取以场养队的方法进行队伍建设。</w:t>
      </w:r>
      <w:r>
        <w:rPr>
          <w:rFonts w:ascii="宋体" w:hAnsi="宋体"/>
          <w:szCs w:val="21"/>
        </w:rPr>
        <w:t>2004年，有队员40</w:t>
      </w:r>
      <w:r>
        <w:rPr>
          <w:rFonts w:hint="eastAsia" w:ascii="宋体" w:hAnsi="宋体"/>
          <w:szCs w:val="21"/>
        </w:rPr>
        <w:t>人，由市森林防火指挥部办公室直接领导，实行半军事化管理，其经费一方面由林业局划拨，另一方面来自于消防林场育苗等收入。</w:t>
      </w:r>
    </w:p>
    <w:p w14:paraId="70504F3B">
      <w:pPr>
        <w:ind w:firstLine="420"/>
        <w:rPr>
          <w:rFonts w:ascii="宋体" w:hAnsi="宋体"/>
          <w:szCs w:val="21"/>
        </w:rPr>
      </w:pPr>
      <w:r>
        <w:rPr>
          <w:rFonts w:hint="eastAsia" w:ascii="宋体" w:hAnsi="宋体"/>
          <w:szCs w:val="21"/>
        </w:rPr>
        <w:t>此外，在各镇建立了由青壮年组成的义务扑火队，在</w:t>
      </w:r>
      <w:r>
        <w:rPr>
          <w:rFonts w:ascii="宋体" w:hAnsi="宋体"/>
          <w:szCs w:val="21"/>
        </w:rPr>
        <w:t>6个重点山区镇建立了一支</w:t>
      </w:r>
      <w:r>
        <w:rPr>
          <w:rFonts w:hint="eastAsia" w:ascii="宋体" w:hAnsi="宋体"/>
          <w:szCs w:val="21"/>
        </w:rPr>
        <w:t>由</w:t>
      </w:r>
      <w:r>
        <w:rPr>
          <w:rFonts w:ascii="宋体" w:hAnsi="宋体"/>
          <w:szCs w:val="21"/>
        </w:rPr>
        <w:t>300名民兵组成的应急专业消防队。</w:t>
      </w:r>
    </w:p>
    <w:p w14:paraId="713D745E">
      <w:pPr>
        <w:ind w:firstLine="422"/>
        <w:rPr>
          <w:rFonts w:ascii="宋体" w:hAnsi="宋体"/>
          <w:b/>
          <w:szCs w:val="21"/>
        </w:rPr>
      </w:pPr>
      <w:r>
        <w:rPr>
          <w:rFonts w:hint="eastAsia" w:ascii="宋体" w:hAnsi="宋体"/>
          <w:b/>
          <w:szCs w:val="21"/>
        </w:rPr>
        <w:t>（二）湘粤赣第三护林联防区、联防分会</w:t>
      </w:r>
    </w:p>
    <w:p w14:paraId="6F8AE70F">
      <w:pPr>
        <w:ind w:firstLine="420"/>
        <w:rPr>
          <w:rFonts w:ascii="宋体" w:hAnsi="宋体"/>
          <w:szCs w:val="21"/>
        </w:rPr>
      </w:pPr>
      <w:r>
        <w:rPr>
          <w:rFonts w:ascii="宋体" w:hAnsi="宋体"/>
          <w:szCs w:val="21"/>
        </w:rPr>
        <w:t>1962年冬，湘粤赣三省护林防火会议决定成立湘粤赣第三护林联防区，包括本</w:t>
      </w:r>
      <w:r>
        <w:rPr>
          <w:rFonts w:hint="eastAsia" w:ascii="宋体" w:hAnsi="宋体"/>
          <w:szCs w:val="21"/>
        </w:rPr>
        <w:t>省的始兴、仁化、南雄和江西省的大余、全南、信丰、崇义</w:t>
      </w:r>
      <w:r>
        <w:rPr>
          <w:rFonts w:ascii="宋体" w:hAnsi="宋体"/>
          <w:szCs w:val="21"/>
        </w:rPr>
        <w:t>7个县（市）。联防区的</w:t>
      </w:r>
      <w:r>
        <w:rPr>
          <w:rFonts w:hint="eastAsia" w:ascii="宋体" w:hAnsi="宋体"/>
          <w:szCs w:val="21"/>
        </w:rPr>
        <w:t>边界乡镇划分为</w:t>
      </w:r>
      <w:r>
        <w:rPr>
          <w:rFonts w:ascii="宋体" w:hAnsi="宋体"/>
          <w:szCs w:val="21"/>
        </w:rPr>
        <w:t>11个联防分会。南雄的主田、古市、山门（林场）列入第一分会；</w:t>
      </w:r>
      <w:r>
        <w:rPr>
          <w:rFonts w:hint="eastAsia" w:ascii="宋体" w:hAnsi="宋体"/>
          <w:szCs w:val="21"/>
        </w:rPr>
        <w:t>南亩、坪田列入第二分会；水口、江头、泷头（林场）列入第三分会；界址、孔江、坪田（不当班）列入第四分会；油山列入第五、六分会，在第六分会轮班；梅岭、珠玑、帽子峰镇和帽子峰林场列入第七分会；百顺、苍石列入第九分会。</w:t>
      </w:r>
    </w:p>
    <w:p w14:paraId="130192EC">
      <w:pPr>
        <w:ind w:firstLine="422"/>
        <w:rPr>
          <w:rFonts w:ascii="宋体" w:hAnsi="宋体"/>
          <w:b/>
          <w:szCs w:val="21"/>
        </w:rPr>
      </w:pPr>
      <w:r>
        <w:rPr>
          <w:rFonts w:hint="eastAsia" w:ascii="宋体" w:hAnsi="宋体"/>
          <w:b/>
          <w:szCs w:val="21"/>
        </w:rPr>
        <w:t>（三）林业公安分局、林业法庭、林业检察股</w:t>
      </w:r>
    </w:p>
    <w:p w14:paraId="1D5FFA40">
      <w:pPr>
        <w:ind w:firstLine="420"/>
        <w:rPr>
          <w:rFonts w:ascii="宋体" w:hAnsi="宋体"/>
          <w:szCs w:val="21"/>
        </w:rPr>
      </w:pPr>
      <w:r>
        <w:rPr>
          <w:rFonts w:ascii="宋体" w:hAnsi="宋体"/>
          <w:szCs w:val="21"/>
        </w:rPr>
        <w:t>1982年10月成立南雄县林业公安分局，编制13人。1998年12月更名为南雄市</w:t>
      </w:r>
      <w:r>
        <w:rPr>
          <w:rFonts w:hint="eastAsia" w:ascii="宋体" w:hAnsi="宋体"/>
          <w:szCs w:val="21"/>
        </w:rPr>
        <w:t>公安局森林分局。下辖帽子峰林场派出所、泷头林场派出所、山门林场派出所。</w:t>
      </w:r>
      <w:r>
        <w:rPr>
          <w:rFonts w:ascii="宋体" w:hAnsi="宋体"/>
          <w:szCs w:val="21"/>
        </w:rPr>
        <w:t>2003</w:t>
      </w:r>
      <w:r>
        <w:rPr>
          <w:rFonts w:hint="eastAsia" w:ascii="宋体" w:hAnsi="宋体"/>
          <w:szCs w:val="21"/>
        </w:rPr>
        <w:t>年，撤销</w:t>
      </w:r>
      <w:r>
        <w:rPr>
          <w:rFonts w:ascii="宋体" w:hAnsi="宋体"/>
          <w:szCs w:val="21"/>
        </w:rPr>
        <w:t>3个林场派出所，成立乌迳、水口、澜河3个森林派出所，各所人员编制5</w:t>
      </w:r>
      <w:r>
        <w:rPr>
          <w:rFonts w:hint="eastAsia" w:ascii="宋体" w:hAnsi="宋体"/>
          <w:szCs w:val="21"/>
        </w:rPr>
        <w:t>人。</w:t>
      </w:r>
      <w:r>
        <w:rPr>
          <w:rFonts w:ascii="宋体" w:hAnsi="宋体"/>
          <w:szCs w:val="21"/>
        </w:rPr>
        <w:t>1987年5月，成立南雄县人民法院林业法庭和南雄县人民检察院林业检察股。</w:t>
      </w:r>
      <w:r>
        <w:rPr>
          <w:rFonts w:hint="eastAsia" w:ascii="宋体" w:hAnsi="宋体"/>
          <w:szCs w:val="21"/>
        </w:rPr>
        <w:t>在</w:t>
      </w:r>
      <w:r>
        <w:rPr>
          <w:rFonts w:ascii="宋体" w:hAnsi="宋体"/>
          <w:szCs w:val="21"/>
        </w:rPr>
        <w:t>2002年的机构改革中，林业法庭的职能由山林纠纷调处办公室接管，林业检察股</w:t>
      </w:r>
      <w:r>
        <w:rPr>
          <w:rFonts w:hint="eastAsia" w:ascii="宋体" w:hAnsi="宋体"/>
          <w:szCs w:val="21"/>
        </w:rPr>
        <w:t>的职能交还市检察院行使。</w:t>
      </w:r>
    </w:p>
    <w:p w14:paraId="32ED84F3">
      <w:pPr>
        <w:ind w:firstLine="420"/>
        <w:rPr>
          <w:rFonts w:ascii="宋体" w:hAnsi="宋体"/>
          <w:szCs w:val="21"/>
        </w:rPr>
      </w:pPr>
      <w:r>
        <w:rPr>
          <w:rFonts w:ascii="宋体" w:hAnsi="宋体"/>
          <w:szCs w:val="21"/>
        </w:rPr>
        <w:t>1988年至2004年共处理林业案件2116宗，查处违法人员3390人，逮捕21人</w:t>
      </w:r>
      <w:r>
        <w:rPr>
          <w:rFonts w:hint="eastAsia" w:ascii="宋体" w:hAnsi="宋体"/>
          <w:szCs w:val="21"/>
        </w:rPr>
        <w:t>，行政拘留</w:t>
      </w:r>
      <w:r>
        <w:rPr>
          <w:rFonts w:ascii="宋体" w:hAnsi="宋体"/>
          <w:szCs w:val="21"/>
        </w:rPr>
        <w:t>73人，行政处罚562人，罚款70多万元，调处山林纠纷1868宗</w:t>
      </w:r>
      <w:r>
        <w:rPr>
          <w:rFonts w:hint="eastAsia" w:ascii="宋体" w:hAnsi="宋体"/>
          <w:szCs w:val="21"/>
        </w:rPr>
        <w:t>。</w:t>
      </w:r>
    </w:p>
    <w:p w14:paraId="4317A0BF">
      <w:pPr>
        <w:ind w:firstLine="420"/>
        <w:rPr>
          <w:rFonts w:ascii="宋体" w:hAnsi="宋体"/>
          <w:szCs w:val="21"/>
        </w:rPr>
      </w:pPr>
      <w:r>
        <w:rPr>
          <w:rFonts w:ascii="宋体" w:hAnsi="宋体"/>
          <w:szCs w:val="21"/>
        </w:rPr>
        <w:t>2005年4月1日至6月30日，全市开展了整顿林业秩序、严厉打击破坏森林资</w:t>
      </w:r>
      <w:r>
        <w:rPr>
          <w:rFonts w:hint="eastAsia" w:ascii="宋体" w:hAnsi="宋体"/>
          <w:szCs w:val="21"/>
        </w:rPr>
        <w:t>源的违法犯罪行动。共侦破和查处各类林业违法案件</w:t>
      </w:r>
      <w:r>
        <w:rPr>
          <w:rFonts w:ascii="宋体" w:hAnsi="宋体"/>
          <w:szCs w:val="21"/>
        </w:rPr>
        <w:t>239宗，清理整顿竹木加工企业199家，依法处理各类林业违法人员235人次，关闭无证加工厂51家，责令停产和</w:t>
      </w:r>
      <w:r>
        <w:rPr>
          <w:rFonts w:hint="eastAsia" w:ascii="宋体" w:hAnsi="宋体"/>
          <w:szCs w:val="21"/>
        </w:rPr>
        <w:t>给予行政处罚的加工厂</w:t>
      </w:r>
      <w:r>
        <w:rPr>
          <w:rFonts w:ascii="宋体" w:hAnsi="宋体"/>
          <w:szCs w:val="21"/>
        </w:rPr>
        <w:t>88家</w:t>
      </w:r>
      <w:r>
        <w:rPr>
          <w:rFonts w:hint="eastAsia" w:ascii="宋体" w:hAnsi="宋体"/>
          <w:szCs w:val="21"/>
        </w:rPr>
        <w:t>。</w:t>
      </w:r>
    </w:p>
    <w:p w14:paraId="39FA2306">
      <w:pPr>
        <w:ind w:firstLine="422"/>
        <w:rPr>
          <w:rFonts w:ascii="宋体" w:hAnsi="宋体"/>
          <w:b/>
          <w:szCs w:val="21"/>
        </w:rPr>
      </w:pPr>
      <w:r>
        <w:rPr>
          <w:rFonts w:hint="eastAsia" w:ascii="宋体" w:hAnsi="宋体"/>
          <w:b/>
          <w:szCs w:val="21"/>
        </w:rPr>
        <w:t>（四）木材检查站</w:t>
      </w:r>
    </w:p>
    <w:p w14:paraId="3CEEC85B">
      <w:pPr>
        <w:ind w:firstLine="420"/>
        <w:rPr>
          <w:rFonts w:ascii="宋体" w:hAnsi="宋体"/>
          <w:szCs w:val="21"/>
        </w:rPr>
      </w:pPr>
      <w:r>
        <w:rPr>
          <w:rFonts w:ascii="宋体" w:hAnsi="宋体"/>
          <w:szCs w:val="21"/>
        </w:rPr>
        <w:t>1985年1月《中华人民共和国森林法》施行后，经省批准在古市、梅岭、富竹</w:t>
      </w:r>
      <w:r>
        <w:rPr>
          <w:rFonts w:hint="eastAsia" w:ascii="宋体" w:hAnsi="宋体"/>
          <w:szCs w:val="21"/>
        </w:rPr>
        <w:t>、水口、百顺塘面分别设立木材检查站。</w:t>
      </w:r>
      <w:r>
        <w:rPr>
          <w:rFonts w:ascii="宋体" w:hAnsi="宋体"/>
          <w:szCs w:val="21"/>
        </w:rPr>
        <w:t>1988年增至7个，1993年为6个。1995年整</w:t>
      </w:r>
      <w:r>
        <w:rPr>
          <w:rFonts w:hint="eastAsia" w:ascii="宋体" w:hAnsi="宋体"/>
          <w:szCs w:val="21"/>
        </w:rPr>
        <w:t>顿后，经省政府批准设置的木材检查站有古市、塘面、富竹、南亩、江头</w:t>
      </w:r>
      <w:r>
        <w:rPr>
          <w:rFonts w:ascii="宋体" w:hAnsi="宋体"/>
          <w:szCs w:val="21"/>
        </w:rPr>
        <w:t>5个。</w:t>
      </w:r>
    </w:p>
    <w:p w14:paraId="06C469E6">
      <w:pPr>
        <w:ind w:firstLine="422"/>
        <w:rPr>
          <w:rFonts w:ascii="宋体" w:hAnsi="宋体"/>
          <w:b/>
          <w:szCs w:val="21"/>
        </w:rPr>
      </w:pPr>
      <w:r>
        <w:rPr>
          <w:rFonts w:hint="eastAsia" w:ascii="宋体" w:hAnsi="宋体"/>
          <w:b/>
          <w:szCs w:val="21"/>
        </w:rPr>
        <w:t>（五）护林员、林业工作站</w:t>
      </w:r>
    </w:p>
    <w:p w14:paraId="4ECEC479">
      <w:pPr>
        <w:ind w:firstLine="420"/>
        <w:rPr>
          <w:rFonts w:ascii="宋体" w:hAnsi="宋体"/>
          <w:szCs w:val="21"/>
        </w:rPr>
      </w:pPr>
      <w:r>
        <w:rPr>
          <w:rFonts w:ascii="宋体" w:hAnsi="宋体"/>
          <w:szCs w:val="21"/>
        </w:rPr>
        <w:t>1972年至1974年先后在63个山区大队各设半脱产护林员1人。1978年改设合</w:t>
      </w:r>
      <w:r>
        <w:rPr>
          <w:rFonts w:hint="eastAsia" w:ascii="宋体" w:hAnsi="宋体"/>
          <w:szCs w:val="21"/>
        </w:rPr>
        <w:t>同制护林员</w:t>
      </w:r>
      <w:r>
        <w:rPr>
          <w:rFonts w:ascii="宋体" w:hAnsi="宋体"/>
          <w:szCs w:val="21"/>
        </w:rPr>
        <w:t>42人，分别与林业局签订护林合同。订明所管山场界限，工作职责。工</w:t>
      </w:r>
      <w:r>
        <w:rPr>
          <w:rFonts w:hint="eastAsia" w:ascii="宋体" w:hAnsi="宋体"/>
          <w:szCs w:val="21"/>
        </w:rPr>
        <w:t>资奖金一年一定。</w:t>
      </w:r>
      <w:r>
        <w:rPr>
          <w:rFonts w:ascii="宋体" w:hAnsi="宋体"/>
          <w:szCs w:val="21"/>
        </w:rPr>
        <w:t>1981年增至107人，1983年增至208人，1987年211人，1988年</w:t>
      </w:r>
      <w:r>
        <w:rPr>
          <w:rFonts w:hint="eastAsia" w:ascii="宋体" w:hAnsi="宋体"/>
          <w:szCs w:val="21"/>
        </w:rPr>
        <w:t>至</w:t>
      </w:r>
      <w:r>
        <w:rPr>
          <w:rFonts w:ascii="宋体" w:hAnsi="宋体"/>
          <w:szCs w:val="21"/>
        </w:rPr>
        <w:t>1991年210人，1992年增至650人，负责全县137333.33公顷有林地和未成林地</w:t>
      </w:r>
      <w:r>
        <w:rPr>
          <w:rFonts w:hint="eastAsia" w:ascii="宋体" w:hAnsi="宋体"/>
          <w:szCs w:val="21"/>
        </w:rPr>
        <w:t>的综合管护任务。</w:t>
      </w:r>
      <w:r>
        <w:rPr>
          <w:rFonts w:ascii="宋体" w:hAnsi="宋体"/>
          <w:szCs w:val="21"/>
        </w:rPr>
        <w:t>2000年后保持180人，月工资提高至350元。另每月浮动奖励工资50元，在年底评比考核，按不同等级发给。</w:t>
      </w:r>
    </w:p>
    <w:p w14:paraId="287A6648">
      <w:pPr>
        <w:ind w:firstLine="420"/>
        <w:rPr>
          <w:rFonts w:ascii="宋体" w:hAnsi="宋体"/>
          <w:szCs w:val="21"/>
        </w:rPr>
      </w:pPr>
      <w:r>
        <w:rPr>
          <w:rFonts w:ascii="宋体" w:hAnsi="宋体"/>
          <w:szCs w:val="21"/>
        </w:rPr>
        <w:t>1987年7月，由乡（镇）、村选择近年集中连片造林较多的地方，定为管护林</w:t>
      </w:r>
      <w:r>
        <w:rPr>
          <w:rFonts w:hint="eastAsia" w:ascii="宋体" w:hAnsi="宋体"/>
          <w:szCs w:val="21"/>
        </w:rPr>
        <w:t>场，并推荐一名场长，报县政府批准后，与林业局签订为期</w:t>
      </w:r>
      <w:r>
        <w:rPr>
          <w:rFonts w:ascii="宋体" w:hAnsi="宋体"/>
          <w:szCs w:val="21"/>
        </w:rPr>
        <w:t>3年的责任合同。全县管</w:t>
      </w:r>
      <w:r>
        <w:rPr>
          <w:rFonts w:hint="eastAsia" w:ascii="宋体" w:hAnsi="宋体"/>
          <w:szCs w:val="21"/>
        </w:rPr>
        <w:t>护林场共</w:t>
      </w:r>
      <w:r>
        <w:rPr>
          <w:rFonts w:ascii="宋体" w:hAnsi="宋体"/>
          <w:szCs w:val="21"/>
        </w:rPr>
        <w:t>100个，场长100名。每人每月基本工资60元，浮动工资20元，奖金20</w:t>
      </w:r>
      <w:r>
        <w:rPr>
          <w:rFonts w:hint="eastAsia" w:ascii="宋体" w:hAnsi="宋体"/>
          <w:szCs w:val="21"/>
        </w:rPr>
        <w:t>元。浮动工资每季度按检查评比结果发给，奖金根据年终评比结果发给。</w:t>
      </w:r>
    </w:p>
    <w:p w14:paraId="0ED944BA">
      <w:pPr>
        <w:ind w:firstLine="420"/>
        <w:rPr>
          <w:rFonts w:ascii="宋体" w:hAnsi="宋体"/>
          <w:szCs w:val="21"/>
        </w:rPr>
      </w:pPr>
      <w:r>
        <w:rPr>
          <w:rFonts w:hint="eastAsia" w:ascii="宋体" w:hAnsi="宋体"/>
          <w:szCs w:val="21"/>
        </w:rPr>
        <w:t>林业工作站。</w:t>
      </w:r>
      <w:r>
        <w:rPr>
          <w:rFonts w:ascii="宋体" w:hAnsi="宋体"/>
          <w:szCs w:val="21"/>
        </w:rPr>
        <w:t>1990年2月，根据中央、省市有关林业工作的决定，把林业用地2000公顷以上的21个乡镇的林业办公室，改为林业工作站，由林业局增派林政员21</w:t>
      </w:r>
      <w:r>
        <w:rPr>
          <w:rFonts w:hint="eastAsia" w:ascii="宋体" w:hAnsi="宋体"/>
          <w:szCs w:val="21"/>
        </w:rPr>
        <w:t>人，从乡镇护林员中招聘录用</w:t>
      </w:r>
      <w:r>
        <w:rPr>
          <w:rFonts w:ascii="宋体" w:hAnsi="宋体"/>
          <w:szCs w:val="21"/>
        </w:rPr>
        <w:t>21名森林资源档案员到林业工作站工作。林业工作站</w:t>
      </w:r>
      <w:r>
        <w:rPr>
          <w:rFonts w:hint="eastAsia" w:ascii="宋体" w:hAnsi="宋体"/>
          <w:szCs w:val="21"/>
        </w:rPr>
        <w:t>由林业局和乡镇实行双重领导。</w:t>
      </w:r>
      <w:r>
        <w:rPr>
          <w:rFonts w:ascii="宋体" w:hAnsi="宋体"/>
          <w:szCs w:val="21"/>
        </w:rPr>
        <w:t>2001年机构改革核定，全市20个林业工作站编制为39人，其工资由市财政统发。林业工作站主要职责：宣传贯彻执行“森林法”和林</w:t>
      </w:r>
      <w:r>
        <w:rPr>
          <w:rFonts w:hint="eastAsia" w:ascii="宋体" w:hAnsi="宋体"/>
          <w:szCs w:val="21"/>
        </w:rPr>
        <w:t>业方针政策，协助当地政府制订林业长远规划和年度计划，指导和组织实施农村集体、个人开展各项林业生产经营活动。</w:t>
      </w:r>
    </w:p>
    <w:p w14:paraId="275E97EA">
      <w:pPr>
        <w:pStyle w:val="5"/>
        <w:rPr>
          <w:rFonts w:ascii="宋体" w:hAnsi="宋体"/>
        </w:rPr>
      </w:pPr>
      <w:r>
        <w:rPr>
          <w:rFonts w:hint="eastAsia" w:ascii="宋体" w:hAnsi="宋体"/>
        </w:rPr>
        <w:t>二、改燃节柴</w:t>
      </w:r>
    </w:p>
    <w:p w14:paraId="4978506B">
      <w:pPr>
        <w:ind w:firstLine="420"/>
        <w:rPr>
          <w:rFonts w:ascii="宋体" w:hAnsi="宋体"/>
          <w:szCs w:val="21"/>
        </w:rPr>
      </w:pPr>
      <w:r>
        <w:rPr>
          <w:rFonts w:ascii="宋体" w:hAnsi="宋体"/>
          <w:szCs w:val="21"/>
        </w:rPr>
        <w:t>1972年，南雄县革命委员会决定实行改燃节柴，以减少森林消耗。从外地组织</w:t>
      </w:r>
      <w:r>
        <w:rPr>
          <w:rFonts w:hint="eastAsia" w:ascii="宋体" w:hAnsi="宋体"/>
          <w:szCs w:val="21"/>
        </w:rPr>
        <w:t>煤炭加工蜂窝煤，供应县城居民生活用煤。从</w:t>
      </w:r>
      <w:r>
        <w:rPr>
          <w:rFonts w:ascii="宋体" w:hAnsi="宋体"/>
          <w:szCs w:val="21"/>
        </w:rPr>
        <w:t>1973年开始，县财政每年补贴居民、</w:t>
      </w:r>
      <w:r>
        <w:rPr>
          <w:rFonts w:hint="eastAsia" w:ascii="宋体" w:hAnsi="宋体"/>
          <w:szCs w:val="21"/>
        </w:rPr>
        <w:t>职工煤价款</w:t>
      </w:r>
      <w:r>
        <w:rPr>
          <w:rFonts w:ascii="宋体" w:hAnsi="宋体"/>
          <w:szCs w:val="21"/>
        </w:rPr>
        <w:t>20万元</w:t>
      </w:r>
      <w:r>
        <w:rPr>
          <w:rFonts w:hint="eastAsia" w:ascii="宋体" w:hAnsi="宋体"/>
          <w:szCs w:val="21"/>
        </w:rPr>
        <w:t>。</w:t>
      </w:r>
    </w:p>
    <w:p w14:paraId="34B82AEC">
      <w:pPr>
        <w:ind w:firstLine="420"/>
        <w:rPr>
          <w:rFonts w:ascii="宋体" w:hAnsi="宋体"/>
          <w:szCs w:val="21"/>
        </w:rPr>
      </w:pPr>
      <w:r>
        <w:rPr>
          <w:rFonts w:ascii="宋体" w:hAnsi="宋体"/>
          <w:szCs w:val="21"/>
        </w:rPr>
        <w:t>1985年，县委、县政府决定强化改燃节柴措施，实行“五改”：全县所有砖瓦</w:t>
      </w:r>
      <w:r>
        <w:rPr>
          <w:rFonts w:hint="eastAsia" w:ascii="宋体" w:hAnsi="宋体"/>
          <w:szCs w:val="21"/>
        </w:rPr>
        <w:t>窑、烤烟房改烧柴为烧煤；所有机关团体、学校、企业食堂全面改灶烧煤；县城干部职工一律烧煤或液化石油气；平原区农民推广烧煤或沼气；山区农民改建节柴灶。政府给改造烤烟房的农民发放无息贷款，给自愿建沼气池的农户供应牌价水泥和钢材。至</w:t>
      </w:r>
      <w:r>
        <w:rPr>
          <w:rFonts w:ascii="宋体" w:hAnsi="宋体"/>
          <w:szCs w:val="21"/>
        </w:rPr>
        <w:t>1987年，“五改”目标全面实现，一年约减少森林资源消耗8万立方米。1986年11月，省委、省政府在南雄召开改燃节柴现场会。1987年全国节木代用会议授予南</w:t>
      </w:r>
      <w:r>
        <w:rPr>
          <w:rFonts w:hint="eastAsia" w:ascii="宋体" w:hAnsi="宋体"/>
          <w:szCs w:val="21"/>
        </w:rPr>
        <w:t>雄县为“全国节木代用十面红旗之一”。为了巩固和发展改燃节柴的成果，县委、政府每年都要对改燃节柴进行定期或不定期检查，发现问题，及时改正。</w:t>
      </w:r>
      <w:r>
        <w:rPr>
          <w:rFonts w:ascii="宋体" w:hAnsi="宋体"/>
          <w:szCs w:val="21"/>
        </w:rPr>
        <w:t>1990年10月</w:t>
      </w:r>
      <w:r>
        <w:rPr>
          <w:rFonts w:hint="eastAsia" w:ascii="宋体" w:hAnsi="宋体"/>
          <w:szCs w:val="21"/>
        </w:rPr>
        <w:t>的一次突击检查中，共抽查</w:t>
      </w:r>
      <w:r>
        <w:rPr>
          <w:rFonts w:ascii="宋体" w:hAnsi="宋体"/>
          <w:szCs w:val="21"/>
        </w:rPr>
        <w:t>126个机关、学校、厂矿、茶楼、酒家、饮食服务业，有8家受到处罚，没收木柴8090公斤。1994年10月的一次抽查与统计表明，全县239</w:t>
      </w:r>
      <w:r>
        <w:rPr>
          <w:rFonts w:hint="eastAsia" w:ascii="宋体" w:hAnsi="宋体"/>
          <w:szCs w:val="21"/>
        </w:rPr>
        <w:t>间砖瓦窑、</w:t>
      </w:r>
      <w:r>
        <w:rPr>
          <w:rFonts w:ascii="宋体" w:hAnsi="宋体"/>
          <w:szCs w:val="21"/>
        </w:rPr>
        <w:t>344间机关企事业单位食堂及县城饮食服务店全部使用煤或液化气，无</w:t>
      </w:r>
      <w:r>
        <w:rPr>
          <w:rFonts w:hint="eastAsia" w:ascii="宋体" w:hAnsi="宋体"/>
          <w:szCs w:val="21"/>
        </w:rPr>
        <w:t>一烧木柴，改燃率</w:t>
      </w:r>
      <w:r>
        <w:rPr>
          <w:rFonts w:ascii="宋体" w:hAnsi="宋体"/>
          <w:szCs w:val="21"/>
        </w:rPr>
        <w:t>100%；县城和乡镇圩区居民7614户，烧煤或液化气的有7605户</w:t>
      </w:r>
      <w:r>
        <w:rPr>
          <w:rFonts w:hint="eastAsia" w:ascii="宋体" w:hAnsi="宋体"/>
          <w:szCs w:val="21"/>
        </w:rPr>
        <w:t>，占</w:t>
      </w:r>
      <w:r>
        <w:rPr>
          <w:rFonts w:ascii="宋体" w:hAnsi="宋体"/>
          <w:szCs w:val="21"/>
        </w:rPr>
        <w:t>99.9%；烤烟房烧煤的占96.5%，其中推广（88）A型灶25000台；农村农户72766户，改用节柴灶的有70836户，占97.3%，全县建沼气池3593座，其中坚持</w:t>
      </w:r>
      <w:r>
        <w:rPr>
          <w:rFonts w:hint="eastAsia" w:ascii="宋体" w:hAnsi="宋体"/>
          <w:szCs w:val="21"/>
        </w:rPr>
        <w:t>使用的沼气池</w:t>
      </w:r>
      <w:r>
        <w:rPr>
          <w:rFonts w:ascii="宋体" w:hAnsi="宋体"/>
          <w:szCs w:val="21"/>
        </w:rPr>
        <w:t>1753座。据此计算，每年可节省木柴22.6万吨，折合木材28.2万立</w:t>
      </w:r>
      <w:r>
        <w:rPr>
          <w:rFonts w:hint="eastAsia" w:ascii="宋体" w:hAnsi="宋体"/>
          <w:szCs w:val="21"/>
        </w:rPr>
        <w:t>方米。</w:t>
      </w:r>
      <w:r>
        <w:rPr>
          <w:rFonts w:ascii="宋体" w:hAnsi="宋体"/>
          <w:szCs w:val="21"/>
        </w:rPr>
        <w:t>2004年，市政府又制定了《关于加快南雄农村沼气工程建设的意见》，规定示</w:t>
      </w:r>
      <w:r>
        <w:rPr>
          <w:rFonts w:hint="eastAsia" w:ascii="宋体" w:hAnsi="宋体"/>
          <w:szCs w:val="21"/>
        </w:rPr>
        <w:t>范点建池户每户给予补助</w:t>
      </w:r>
      <w:r>
        <w:rPr>
          <w:rFonts w:ascii="宋体" w:hAnsi="宋体"/>
          <w:szCs w:val="21"/>
        </w:rPr>
        <w:t>400元，面上的每户补助200元，进一步推动了农村沼气池</w:t>
      </w:r>
      <w:r>
        <w:rPr>
          <w:rFonts w:hint="eastAsia" w:ascii="宋体" w:hAnsi="宋体"/>
          <w:szCs w:val="21"/>
        </w:rPr>
        <w:t>建设的发展。</w:t>
      </w:r>
    </w:p>
    <w:p w14:paraId="0718B970">
      <w:pPr>
        <w:pStyle w:val="5"/>
        <w:rPr>
          <w:rFonts w:ascii="宋体" w:hAnsi="宋体"/>
        </w:rPr>
      </w:pPr>
      <w:r>
        <w:rPr>
          <w:rFonts w:hint="eastAsia" w:ascii="宋体" w:hAnsi="宋体"/>
        </w:rPr>
        <w:t>三、森林病虫害防治</w:t>
      </w:r>
    </w:p>
    <w:p w14:paraId="29959E22">
      <w:pPr>
        <w:ind w:firstLine="420"/>
        <w:rPr>
          <w:rFonts w:ascii="宋体" w:hAnsi="宋体"/>
          <w:szCs w:val="21"/>
        </w:rPr>
      </w:pPr>
      <w:r>
        <w:rPr>
          <w:rFonts w:hint="eastAsia" w:ascii="宋体" w:hAnsi="宋体"/>
          <w:szCs w:val="21"/>
        </w:rPr>
        <w:t>南雄森林病害较少，主要虫害有松毛虫和竹蝗。</w:t>
      </w:r>
    </w:p>
    <w:p w14:paraId="09B54A84">
      <w:pPr>
        <w:ind w:firstLine="420"/>
        <w:rPr>
          <w:rFonts w:ascii="宋体" w:hAnsi="宋体"/>
          <w:szCs w:val="21"/>
        </w:rPr>
      </w:pPr>
      <w:r>
        <w:rPr>
          <w:rFonts w:hint="eastAsia" w:ascii="宋体" w:hAnsi="宋体"/>
          <w:szCs w:val="21"/>
        </w:rPr>
        <w:t>松毛虫时有局部发生，</w:t>
      </w:r>
      <w:r>
        <w:rPr>
          <w:rFonts w:ascii="宋体" w:hAnsi="宋体"/>
          <w:szCs w:val="21"/>
        </w:rPr>
        <w:t>1985年至1987年，每年受害面积200公顷左右。1988</w:t>
      </w:r>
      <w:r>
        <w:rPr>
          <w:rFonts w:hint="eastAsia" w:ascii="宋体" w:hAnsi="宋体"/>
          <w:szCs w:val="21"/>
        </w:rPr>
        <w:t>年，由于气候干旱，有利松毛虫繁殖，全县有</w:t>
      </w:r>
      <w:r>
        <w:rPr>
          <w:rFonts w:ascii="宋体" w:hAnsi="宋体"/>
          <w:szCs w:val="21"/>
        </w:rPr>
        <w:t>15个乡镇发生松毛虫，面积达3123公</w:t>
      </w:r>
      <w:r>
        <w:rPr>
          <w:rFonts w:hint="eastAsia" w:ascii="宋体" w:hAnsi="宋体"/>
          <w:szCs w:val="21"/>
        </w:rPr>
        <w:t>顷，经多次喷施白僵菌除治，没有造成危害。</w:t>
      </w:r>
      <w:r>
        <w:rPr>
          <w:rFonts w:ascii="宋体" w:hAnsi="宋体"/>
          <w:szCs w:val="21"/>
        </w:rPr>
        <w:t>1999年，由于松毛虫越冬卵多，全市</w:t>
      </w:r>
      <w:r>
        <w:rPr>
          <w:rFonts w:hint="eastAsia" w:ascii="宋体" w:hAnsi="宋体"/>
          <w:szCs w:val="21"/>
        </w:rPr>
        <w:t>有</w:t>
      </w:r>
      <w:r>
        <w:rPr>
          <w:rFonts w:ascii="宋体" w:hAnsi="宋体"/>
          <w:szCs w:val="21"/>
        </w:rPr>
        <w:t>12个镇发生松毛虫，面积有4600公顷。市林业局及时采购白僵菌10.2吨、纯孢</w:t>
      </w:r>
      <w:r>
        <w:rPr>
          <w:rFonts w:hint="eastAsia" w:ascii="宋体" w:hAnsi="宋体"/>
          <w:szCs w:val="21"/>
        </w:rPr>
        <w:t>子</w:t>
      </w:r>
      <w:r>
        <w:rPr>
          <w:rFonts w:ascii="宋体" w:hAnsi="宋体"/>
          <w:szCs w:val="21"/>
        </w:rPr>
        <w:t>200公斤、速灭杀菊乳油40公斤，从桂头机场请来飞机，进行10架次喷施农药，</w:t>
      </w:r>
      <w:r>
        <w:rPr>
          <w:rFonts w:hint="eastAsia" w:ascii="宋体" w:hAnsi="宋体"/>
          <w:szCs w:val="21"/>
        </w:rPr>
        <w:t>飞防面积达</w:t>
      </w:r>
      <w:r>
        <w:rPr>
          <w:rFonts w:ascii="宋体" w:hAnsi="宋体"/>
          <w:szCs w:val="21"/>
        </w:rPr>
        <w:t>5000公顷，防治率达到108.7%，虫口死亡率74.5%</w:t>
      </w:r>
      <w:r>
        <w:rPr>
          <w:rFonts w:hint="eastAsia" w:ascii="宋体" w:hAnsi="宋体"/>
          <w:szCs w:val="21"/>
        </w:rPr>
        <w:t>。</w:t>
      </w:r>
    </w:p>
    <w:p w14:paraId="4D6A233A">
      <w:pPr>
        <w:ind w:firstLine="420"/>
        <w:rPr>
          <w:rFonts w:ascii="宋体" w:hAnsi="宋体"/>
          <w:szCs w:val="21"/>
        </w:rPr>
      </w:pPr>
      <w:r>
        <w:rPr>
          <w:rFonts w:hint="eastAsia" w:ascii="宋体" w:hAnsi="宋体"/>
          <w:szCs w:val="21"/>
        </w:rPr>
        <w:t>竹蝗在</w:t>
      </w:r>
      <w:r>
        <w:rPr>
          <w:rFonts w:ascii="宋体" w:hAnsi="宋体"/>
          <w:szCs w:val="21"/>
        </w:rPr>
        <w:t>1978年以前，没有造成危害，1979年以后，在苍石和上澜河一带连年出</w:t>
      </w:r>
      <w:r>
        <w:rPr>
          <w:rFonts w:hint="eastAsia" w:ascii="宋体" w:hAnsi="宋体"/>
          <w:szCs w:val="21"/>
        </w:rPr>
        <w:t>现竹蝗灾害，连片的毛竹被吃光叶片后枯死。</w:t>
      </w:r>
      <w:r>
        <w:rPr>
          <w:rFonts w:ascii="宋体" w:hAnsi="宋体"/>
          <w:szCs w:val="21"/>
        </w:rPr>
        <w:t>1988年，在苍石、澜河等4个镇发生</w:t>
      </w:r>
      <w:r>
        <w:rPr>
          <w:rFonts w:hint="eastAsia" w:ascii="宋体" w:hAnsi="宋体"/>
          <w:szCs w:val="21"/>
        </w:rPr>
        <w:t>竹蝗，面积达</w:t>
      </w:r>
      <w:r>
        <w:rPr>
          <w:rFonts w:ascii="宋体" w:hAnsi="宋体"/>
          <w:szCs w:val="21"/>
        </w:rPr>
        <w:t>2333公顷。发动群众施放741插管烟剂熏杀跳蝻（竹蝗幼虫），有效控</w:t>
      </w:r>
      <w:r>
        <w:rPr>
          <w:rFonts w:hint="eastAsia" w:ascii="宋体" w:hAnsi="宋体"/>
          <w:szCs w:val="21"/>
        </w:rPr>
        <w:t>制了虫情的蔓延，竹蝗连续多年未起飞、未上竹、未成灾。</w:t>
      </w:r>
      <w:r>
        <w:rPr>
          <w:rFonts w:ascii="宋体" w:hAnsi="宋体"/>
          <w:szCs w:val="21"/>
        </w:rPr>
        <w:t>1995年以后有少量发生</w:t>
      </w:r>
      <w:r>
        <w:rPr>
          <w:rFonts w:hint="eastAsia" w:ascii="宋体" w:hAnsi="宋体"/>
          <w:szCs w:val="21"/>
        </w:rPr>
        <w:t>，防治效果良好。</w:t>
      </w:r>
    </w:p>
    <w:p w14:paraId="3CE8404E">
      <w:pPr>
        <w:pStyle w:val="5"/>
        <w:rPr>
          <w:rFonts w:ascii="宋体" w:hAnsi="宋体"/>
        </w:rPr>
      </w:pPr>
      <w:r>
        <w:rPr>
          <w:rFonts w:hint="eastAsia" w:ascii="宋体" w:hAnsi="宋体"/>
        </w:rPr>
        <w:t>四、野生动物保护</w:t>
      </w:r>
    </w:p>
    <w:p w14:paraId="53C1638B">
      <w:pPr>
        <w:ind w:firstLine="420"/>
        <w:rPr>
          <w:rFonts w:ascii="宋体" w:hAnsi="宋体"/>
          <w:szCs w:val="21"/>
        </w:rPr>
      </w:pPr>
      <w:r>
        <w:rPr>
          <w:rFonts w:ascii="宋体" w:hAnsi="宋体"/>
          <w:szCs w:val="21"/>
        </w:rPr>
        <w:t>1993年3月至6月，县林业部门会同工商局、公安局、水产局组成2个检查组</w:t>
      </w:r>
      <w:r>
        <w:rPr>
          <w:rFonts w:hint="eastAsia" w:ascii="宋体" w:hAnsi="宋体"/>
          <w:szCs w:val="21"/>
        </w:rPr>
        <w:t>，先后</w:t>
      </w:r>
      <w:r>
        <w:rPr>
          <w:rFonts w:ascii="宋体" w:hAnsi="宋体"/>
          <w:szCs w:val="21"/>
        </w:rPr>
        <w:t>2次在全县范围内开展了保护野生动物执法检查。1995年至2004年，每年都采</w:t>
      </w:r>
      <w:r>
        <w:rPr>
          <w:rFonts w:hint="eastAsia" w:ascii="宋体" w:hAnsi="宋体"/>
          <w:szCs w:val="21"/>
        </w:rPr>
        <w:t>取定期和突击检查相结合的方式，切实保护野生动物。</w:t>
      </w:r>
      <w:r>
        <w:rPr>
          <w:rFonts w:ascii="宋体" w:hAnsi="宋体"/>
          <w:szCs w:val="21"/>
        </w:rPr>
        <w:t>2004年，全市进行3次大检</w:t>
      </w:r>
      <w:r>
        <w:rPr>
          <w:rFonts w:hint="eastAsia" w:ascii="宋体" w:hAnsi="宋体"/>
          <w:szCs w:val="21"/>
        </w:rPr>
        <w:t>查，检查经营单位</w:t>
      </w:r>
      <w:r>
        <w:rPr>
          <w:rFonts w:ascii="宋体" w:hAnsi="宋体"/>
          <w:szCs w:val="21"/>
        </w:rPr>
        <w:t>314家，查处违法经营7起。</w:t>
      </w:r>
    </w:p>
    <w:p w14:paraId="69318082">
      <w:pPr>
        <w:pStyle w:val="5"/>
        <w:rPr>
          <w:rFonts w:ascii="宋体" w:hAnsi="宋体"/>
        </w:rPr>
      </w:pPr>
      <w:r>
        <w:rPr>
          <w:rFonts w:hint="eastAsia" w:ascii="宋体" w:hAnsi="宋体"/>
        </w:rPr>
        <w:t>五、护林效果</w:t>
      </w:r>
    </w:p>
    <w:p w14:paraId="7CA44480">
      <w:pPr>
        <w:ind w:firstLine="422"/>
        <w:rPr>
          <w:rFonts w:ascii="宋体" w:hAnsi="宋体"/>
          <w:b/>
          <w:szCs w:val="21"/>
        </w:rPr>
      </w:pPr>
      <w:r>
        <w:rPr>
          <w:rFonts w:hint="eastAsia" w:ascii="宋体" w:hAnsi="宋体"/>
          <w:b/>
          <w:szCs w:val="21"/>
        </w:rPr>
        <w:t>（一）山火统计</w:t>
      </w:r>
    </w:p>
    <w:p w14:paraId="040E918B">
      <w:pPr>
        <w:ind w:firstLine="420"/>
        <w:rPr>
          <w:rFonts w:ascii="宋体" w:hAnsi="宋体"/>
          <w:szCs w:val="21"/>
        </w:rPr>
      </w:pPr>
      <w:r>
        <w:rPr>
          <w:rFonts w:ascii="宋体" w:hAnsi="宋体"/>
          <w:szCs w:val="21"/>
        </w:rPr>
        <w:t>1960年至1986年共发生山火448次，受害面积20600公顷，年均山火17次，受</w:t>
      </w:r>
      <w:r>
        <w:rPr>
          <w:rFonts w:hint="eastAsia" w:ascii="宋体" w:hAnsi="宋体"/>
          <w:szCs w:val="21"/>
        </w:rPr>
        <w:t>害面积</w:t>
      </w:r>
      <w:r>
        <w:rPr>
          <w:rFonts w:ascii="宋体" w:hAnsi="宋体"/>
          <w:szCs w:val="21"/>
        </w:rPr>
        <w:t>760公顷。1987年，发生山火7次，受害面积26.67公顷。1988年以来，由</w:t>
      </w:r>
      <w:r>
        <w:rPr>
          <w:rFonts w:hint="eastAsia" w:ascii="宋体" w:hAnsi="宋体"/>
          <w:szCs w:val="21"/>
        </w:rPr>
        <w:t>于森林防火措施得力，发生的山火次数和受害面积均有明显下降。</w:t>
      </w:r>
      <w:r>
        <w:rPr>
          <w:rFonts w:ascii="宋体" w:hAnsi="宋体"/>
          <w:szCs w:val="21"/>
        </w:rPr>
        <w:t>1995年至2004年</w:t>
      </w:r>
      <w:r>
        <w:rPr>
          <w:rFonts w:hint="eastAsia" w:ascii="宋体" w:hAnsi="宋体"/>
          <w:szCs w:val="21"/>
        </w:rPr>
        <w:t>共发生山火</w:t>
      </w:r>
      <w:r>
        <w:rPr>
          <w:rFonts w:ascii="宋体" w:hAnsi="宋体"/>
          <w:szCs w:val="21"/>
        </w:rPr>
        <w:t>30次，受害面积122.34公顷，年均3次，受害面积12.23公顷，其中山</w:t>
      </w:r>
      <w:r>
        <w:rPr>
          <w:rFonts w:hint="eastAsia" w:ascii="宋体" w:hAnsi="宋体"/>
          <w:szCs w:val="21"/>
        </w:rPr>
        <w:t>火最多的</w:t>
      </w:r>
      <w:r>
        <w:rPr>
          <w:rFonts w:ascii="宋体" w:hAnsi="宋体"/>
          <w:szCs w:val="21"/>
        </w:rPr>
        <w:t>1996年发生8次，受害面积21公顷。受害面积最大的是2003年乌迳镇</w:t>
      </w:r>
      <w:r>
        <w:rPr>
          <w:rFonts w:hint="eastAsia" w:ascii="宋体" w:hAnsi="宋体"/>
          <w:szCs w:val="21"/>
        </w:rPr>
        <w:t>一次山火，面积</w:t>
      </w:r>
      <w:r>
        <w:rPr>
          <w:rFonts w:ascii="宋体" w:hAnsi="宋体"/>
          <w:szCs w:val="21"/>
        </w:rPr>
        <w:t>39.8公顷。2001年10月，南雄市被评为“全省森林防火先进单位”。2002年，南雄市被评为</w:t>
      </w:r>
      <w:r>
        <w:rPr>
          <w:rFonts w:hint="eastAsia" w:ascii="宋体" w:hAnsi="宋体"/>
          <w:szCs w:val="21"/>
        </w:rPr>
        <w:t>“</w:t>
      </w:r>
      <w:r>
        <w:rPr>
          <w:rFonts w:ascii="宋体" w:hAnsi="宋体"/>
          <w:szCs w:val="21"/>
        </w:rPr>
        <w:t>全国森林防火先进集体</w:t>
      </w:r>
      <w:r>
        <w:rPr>
          <w:rFonts w:hint="eastAsia" w:ascii="宋体" w:hAnsi="宋体"/>
          <w:szCs w:val="21"/>
        </w:rPr>
        <w:t>”。</w:t>
      </w:r>
    </w:p>
    <w:p w14:paraId="5318E6A7">
      <w:pPr>
        <w:ind w:firstLine="422"/>
        <w:rPr>
          <w:rFonts w:ascii="宋体" w:hAnsi="宋体"/>
          <w:b/>
          <w:szCs w:val="21"/>
        </w:rPr>
      </w:pPr>
      <w:r>
        <w:rPr>
          <w:rFonts w:hint="eastAsia" w:ascii="宋体" w:hAnsi="宋体"/>
          <w:b/>
          <w:szCs w:val="21"/>
        </w:rPr>
        <w:t>（二）森林资源消长</w:t>
      </w:r>
    </w:p>
    <w:p w14:paraId="17A772EE">
      <w:pPr>
        <w:ind w:firstLine="420"/>
        <w:rPr>
          <w:rFonts w:ascii="宋体" w:hAnsi="宋体"/>
          <w:szCs w:val="21"/>
        </w:rPr>
      </w:pPr>
      <w:r>
        <w:rPr>
          <w:rFonts w:ascii="宋体" w:hAnsi="宋体"/>
          <w:szCs w:val="21"/>
        </w:rPr>
        <w:t>1958年至1985年，森林资源消耗量大于生长量。1985年采取改燃节柴措施，并</w:t>
      </w:r>
      <w:r>
        <w:rPr>
          <w:rFonts w:hint="eastAsia" w:ascii="宋体" w:hAnsi="宋体"/>
          <w:szCs w:val="21"/>
        </w:rPr>
        <w:t>按照消耗量低于生长量原则，颁布林木采伐管理规定，加强森林采伐限额的管理，坚持执行伐前设计、伐中检查、伐后验收和凭证收购、凭证放行制度。此后，每年森林资源生长量均大于消耗量。</w:t>
      </w:r>
      <w:r>
        <w:rPr>
          <w:rFonts w:ascii="宋体" w:hAnsi="宋体"/>
          <w:szCs w:val="21"/>
        </w:rPr>
        <w:t>1987年森林蓄积量为314万立方米，至2004年增加到658万立方米，对比1987年增长1.1倍</w:t>
      </w:r>
      <w:r>
        <w:rPr>
          <w:rFonts w:hint="eastAsia" w:ascii="宋体" w:hAnsi="宋体"/>
          <w:szCs w:val="21"/>
        </w:rPr>
        <w:t>。</w:t>
      </w:r>
    </w:p>
    <w:p w14:paraId="7BC52A13">
      <w:pPr>
        <w:ind w:firstLine="0" w:firstLineChars="0"/>
        <w:jc w:val="center"/>
        <w:rPr>
          <w:rFonts w:ascii="宋体" w:hAnsi="宋体"/>
          <w:b/>
          <w:szCs w:val="21"/>
        </w:rPr>
      </w:pPr>
      <w:r>
        <w:rPr>
          <w:rFonts w:hint="eastAsia" w:ascii="宋体" w:hAnsi="宋体"/>
          <w:b/>
          <w:szCs w:val="21"/>
        </w:rPr>
        <w:t>南雄市</w:t>
      </w:r>
      <w:r>
        <w:rPr>
          <w:rFonts w:ascii="宋体" w:hAnsi="宋体"/>
          <w:b/>
          <w:szCs w:val="21"/>
        </w:rPr>
        <w:t>1987年至2004年森林资源消长统计</w:t>
      </w:r>
    </w:p>
    <w:p w14:paraId="48AA6E7F">
      <w:pPr>
        <w:ind w:firstLine="0" w:firstLineChars="0"/>
        <w:rPr>
          <w:rFonts w:ascii="宋体" w:hAnsi="宋体"/>
          <w:b/>
          <w:szCs w:val="21"/>
        </w:rPr>
      </w:pPr>
      <w:r>
        <w:rPr>
          <w:rFonts w:hint="eastAsia" w:ascii="宋体" w:hAnsi="宋体"/>
          <w:b/>
          <w:szCs w:val="21"/>
        </w:rPr>
        <w:t>表</w:t>
      </w:r>
      <w:r>
        <w:rPr>
          <w:rFonts w:ascii="宋体" w:hAnsi="宋体"/>
          <w:b/>
          <w:szCs w:val="21"/>
        </w:rPr>
        <w:t>2</w:t>
      </w:r>
      <w:r>
        <w:rPr>
          <w:rFonts w:hint="eastAsia" w:ascii="宋体" w:hAnsi="宋体"/>
          <w:b/>
          <w:szCs w:val="21"/>
        </w:rPr>
        <w:t>-</w:t>
      </w:r>
      <w:r>
        <w:rPr>
          <w:rFonts w:ascii="宋体" w:hAnsi="宋体"/>
          <w:b/>
          <w:szCs w:val="21"/>
        </w:rPr>
        <w:t>23</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5"/>
        <w:gridCol w:w="1245"/>
        <w:gridCol w:w="1245"/>
        <w:gridCol w:w="1245"/>
        <w:gridCol w:w="1245"/>
        <w:gridCol w:w="1245"/>
        <w:gridCol w:w="1246"/>
        <w:gridCol w:w="1246"/>
      </w:tblGrid>
      <w:tr w14:paraId="61A023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4DC81D8C">
            <w:pPr>
              <w:pStyle w:val="12"/>
              <w:jc w:val="center"/>
              <w:rPr>
                <w:rFonts w:ascii="宋体" w:hAnsi="宋体"/>
                <w:b/>
              </w:rPr>
            </w:pPr>
            <w:r>
              <w:rPr>
                <w:rFonts w:hint="eastAsia" w:ascii="宋体" w:hAnsi="宋体"/>
                <w:b/>
              </w:rPr>
              <w:t>年份</w:t>
            </w:r>
          </w:p>
        </w:tc>
        <w:tc>
          <w:tcPr>
            <w:tcW w:w="625" w:type="pct"/>
            <w:vAlign w:val="center"/>
          </w:tcPr>
          <w:p w14:paraId="55968003">
            <w:pPr>
              <w:pStyle w:val="12"/>
              <w:jc w:val="center"/>
              <w:rPr>
                <w:rFonts w:ascii="宋体" w:hAnsi="宋体"/>
                <w:b/>
              </w:rPr>
            </w:pPr>
            <w:r>
              <w:rPr>
                <w:rFonts w:hint="eastAsia" w:ascii="宋体" w:hAnsi="宋体"/>
                <w:b/>
              </w:rPr>
              <w:t>有林地面积（公顷）</w:t>
            </w:r>
          </w:p>
        </w:tc>
        <w:tc>
          <w:tcPr>
            <w:tcW w:w="625" w:type="pct"/>
            <w:vAlign w:val="center"/>
          </w:tcPr>
          <w:p w14:paraId="6745D314">
            <w:pPr>
              <w:pStyle w:val="12"/>
              <w:jc w:val="center"/>
              <w:rPr>
                <w:rFonts w:ascii="宋体" w:hAnsi="宋体"/>
                <w:b/>
              </w:rPr>
            </w:pPr>
            <w:r>
              <w:rPr>
                <w:rFonts w:hint="eastAsia" w:ascii="宋体" w:hAnsi="宋体"/>
                <w:b/>
              </w:rPr>
              <w:t>封山育林面积（公顷）</w:t>
            </w:r>
          </w:p>
        </w:tc>
        <w:tc>
          <w:tcPr>
            <w:tcW w:w="625" w:type="pct"/>
            <w:vAlign w:val="center"/>
          </w:tcPr>
          <w:p w14:paraId="57ACB345">
            <w:pPr>
              <w:pStyle w:val="12"/>
              <w:jc w:val="center"/>
              <w:rPr>
                <w:rFonts w:ascii="宋体" w:hAnsi="宋体"/>
                <w:b/>
              </w:rPr>
            </w:pPr>
            <w:r>
              <w:rPr>
                <w:rFonts w:hint="eastAsia" w:ascii="宋体" w:hAnsi="宋体"/>
                <w:b/>
              </w:rPr>
              <w:t>森林生长量（万立方米）</w:t>
            </w:r>
          </w:p>
        </w:tc>
        <w:tc>
          <w:tcPr>
            <w:tcW w:w="625" w:type="pct"/>
            <w:vAlign w:val="center"/>
          </w:tcPr>
          <w:p w14:paraId="0C1C6D6E">
            <w:pPr>
              <w:pStyle w:val="12"/>
              <w:jc w:val="center"/>
              <w:rPr>
                <w:rFonts w:ascii="宋体" w:hAnsi="宋体"/>
                <w:b/>
              </w:rPr>
            </w:pPr>
            <w:r>
              <w:rPr>
                <w:rFonts w:hint="eastAsia" w:ascii="宋体" w:hAnsi="宋体"/>
                <w:b/>
              </w:rPr>
              <w:t>森林消耗量（万立方米）</w:t>
            </w:r>
          </w:p>
        </w:tc>
        <w:tc>
          <w:tcPr>
            <w:tcW w:w="625" w:type="pct"/>
            <w:vAlign w:val="center"/>
          </w:tcPr>
          <w:p w14:paraId="2AED4B7F">
            <w:pPr>
              <w:pStyle w:val="12"/>
              <w:jc w:val="center"/>
              <w:rPr>
                <w:rFonts w:ascii="宋体" w:hAnsi="宋体"/>
                <w:b/>
              </w:rPr>
            </w:pPr>
            <w:r>
              <w:rPr>
                <w:rFonts w:hint="eastAsia" w:ascii="宋体" w:hAnsi="宋体"/>
                <w:b/>
              </w:rPr>
              <w:t>其中：木材砍伐量（万立方米）</w:t>
            </w:r>
          </w:p>
        </w:tc>
        <w:tc>
          <w:tcPr>
            <w:tcW w:w="625" w:type="pct"/>
            <w:vAlign w:val="center"/>
          </w:tcPr>
          <w:p w14:paraId="2EE739E8">
            <w:pPr>
              <w:pStyle w:val="12"/>
              <w:jc w:val="center"/>
              <w:rPr>
                <w:rFonts w:ascii="宋体" w:hAnsi="宋体"/>
                <w:b/>
              </w:rPr>
            </w:pPr>
            <w:r>
              <w:rPr>
                <w:rFonts w:hint="eastAsia" w:ascii="宋体" w:hAnsi="宋体"/>
                <w:b/>
              </w:rPr>
              <w:t>生长量比消耗量（±万立方米）</w:t>
            </w:r>
          </w:p>
        </w:tc>
        <w:tc>
          <w:tcPr>
            <w:tcW w:w="625" w:type="pct"/>
            <w:vAlign w:val="center"/>
          </w:tcPr>
          <w:p w14:paraId="0388967A">
            <w:pPr>
              <w:pStyle w:val="12"/>
              <w:jc w:val="center"/>
              <w:rPr>
                <w:rFonts w:ascii="宋体" w:hAnsi="宋体"/>
                <w:b/>
              </w:rPr>
            </w:pPr>
            <w:r>
              <w:rPr>
                <w:rFonts w:hint="eastAsia" w:ascii="宋体" w:hAnsi="宋体"/>
                <w:b/>
              </w:rPr>
              <w:t>森林蓄积量（万立方米）</w:t>
            </w:r>
          </w:p>
        </w:tc>
      </w:tr>
      <w:tr w14:paraId="69334A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2AF8CFAC">
            <w:pPr>
              <w:pStyle w:val="12"/>
              <w:jc w:val="center"/>
              <w:rPr>
                <w:rFonts w:ascii="宋体" w:hAnsi="宋体"/>
              </w:rPr>
            </w:pPr>
            <w:r>
              <w:rPr>
                <w:rFonts w:ascii="宋体" w:hAnsi="宋体"/>
              </w:rPr>
              <w:t>1987</w:t>
            </w:r>
          </w:p>
        </w:tc>
        <w:tc>
          <w:tcPr>
            <w:tcW w:w="625" w:type="pct"/>
            <w:vAlign w:val="center"/>
          </w:tcPr>
          <w:p w14:paraId="13F87441">
            <w:pPr>
              <w:pStyle w:val="12"/>
              <w:jc w:val="center"/>
              <w:rPr>
                <w:rFonts w:ascii="宋体" w:hAnsi="宋体"/>
              </w:rPr>
            </w:pPr>
            <w:r>
              <w:rPr>
                <w:rFonts w:ascii="宋体" w:hAnsi="宋体"/>
              </w:rPr>
              <w:t>127333</w:t>
            </w:r>
          </w:p>
        </w:tc>
        <w:tc>
          <w:tcPr>
            <w:tcW w:w="625" w:type="pct"/>
            <w:vAlign w:val="center"/>
          </w:tcPr>
          <w:p w14:paraId="065AA540">
            <w:pPr>
              <w:pStyle w:val="12"/>
              <w:jc w:val="center"/>
              <w:rPr>
                <w:rFonts w:ascii="宋体" w:hAnsi="宋体"/>
              </w:rPr>
            </w:pPr>
            <w:r>
              <w:rPr>
                <w:rFonts w:ascii="宋体" w:hAnsi="宋体"/>
              </w:rPr>
              <w:t>110667</w:t>
            </w:r>
          </w:p>
        </w:tc>
        <w:tc>
          <w:tcPr>
            <w:tcW w:w="625" w:type="pct"/>
            <w:vAlign w:val="center"/>
          </w:tcPr>
          <w:p w14:paraId="75DDE923">
            <w:pPr>
              <w:pStyle w:val="12"/>
              <w:jc w:val="center"/>
              <w:rPr>
                <w:rFonts w:ascii="宋体" w:hAnsi="宋体"/>
              </w:rPr>
            </w:pPr>
            <w:r>
              <w:rPr>
                <w:rFonts w:ascii="宋体" w:hAnsi="宋体"/>
              </w:rPr>
              <w:t>22.5</w:t>
            </w:r>
          </w:p>
        </w:tc>
        <w:tc>
          <w:tcPr>
            <w:tcW w:w="625" w:type="pct"/>
            <w:vAlign w:val="center"/>
          </w:tcPr>
          <w:p w14:paraId="0CBF4FBB">
            <w:pPr>
              <w:pStyle w:val="12"/>
              <w:jc w:val="center"/>
              <w:rPr>
                <w:rFonts w:ascii="宋体" w:hAnsi="宋体"/>
              </w:rPr>
            </w:pPr>
            <w:r>
              <w:rPr>
                <w:rFonts w:ascii="宋体" w:hAnsi="宋体"/>
              </w:rPr>
              <w:t>12</w:t>
            </w:r>
          </w:p>
        </w:tc>
        <w:tc>
          <w:tcPr>
            <w:tcW w:w="625" w:type="pct"/>
            <w:vAlign w:val="center"/>
          </w:tcPr>
          <w:p w14:paraId="0CF4F4B9">
            <w:pPr>
              <w:pStyle w:val="12"/>
              <w:jc w:val="center"/>
              <w:rPr>
                <w:rFonts w:ascii="宋体" w:hAnsi="宋体"/>
              </w:rPr>
            </w:pPr>
            <w:r>
              <w:rPr>
                <w:rFonts w:ascii="宋体" w:hAnsi="宋体"/>
              </w:rPr>
              <w:t>3.34</w:t>
            </w:r>
          </w:p>
        </w:tc>
        <w:tc>
          <w:tcPr>
            <w:tcW w:w="625" w:type="pct"/>
            <w:vAlign w:val="center"/>
          </w:tcPr>
          <w:p w14:paraId="2911D3D0">
            <w:pPr>
              <w:pStyle w:val="12"/>
              <w:jc w:val="center"/>
              <w:rPr>
                <w:rFonts w:ascii="宋体" w:hAnsi="宋体"/>
              </w:rPr>
            </w:pPr>
            <w:r>
              <w:rPr>
                <w:rFonts w:ascii="宋体" w:hAnsi="宋体"/>
              </w:rPr>
              <w:t>+10.5</w:t>
            </w:r>
          </w:p>
        </w:tc>
        <w:tc>
          <w:tcPr>
            <w:tcW w:w="625" w:type="pct"/>
            <w:vAlign w:val="center"/>
          </w:tcPr>
          <w:p w14:paraId="24055D8D">
            <w:pPr>
              <w:pStyle w:val="12"/>
              <w:jc w:val="center"/>
              <w:rPr>
                <w:rFonts w:ascii="宋体" w:hAnsi="宋体"/>
              </w:rPr>
            </w:pPr>
            <w:r>
              <w:rPr>
                <w:rFonts w:ascii="宋体" w:hAnsi="宋体"/>
              </w:rPr>
              <w:t>314</w:t>
            </w:r>
          </w:p>
        </w:tc>
      </w:tr>
      <w:tr w14:paraId="382E06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3BDCFE28">
            <w:pPr>
              <w:pStyle w:val="12"/>
              <w:jc w:val="center"/>
              <w:rPr>
                <w:rFonts w:ascii="宋体" w:hAnsi="宋体"/>
              </w:rPr>
            </w:pPr>
            <w:r>
              <w:rPr>
                <w:rFonts w:ascii="宋体" w:hAnsi="宋体"/>
              </w:rPr>
              <w:t>1988</w:t>
            </w:r>
          </w:p>
        </w:tc>
        <w:tc>
          <w:tcPr>
            <w:tcW w:w="625" w:type="pct"/>
            <w:vAlign w:val="center"/>
          </w:tcPr>
          <w:p w14:paraId="5D1F88A4">
            <w:pPr>
              <w:pStyle w:val="12"/>
              <w:jc w:val="center"/>
              <w:rPr>
                <w:rFonts w:ascii="宋体" w:hAnsi="宋体"/>
              </w:rPr>
            </w:pPr>
            <w:r>
              <w:rPr>
                <w:rFonts w:ascii="宋体" w:hAnsi="宋体"/>
              </w:rPr>
              <w:t>129978</w:t>
            </w:r>
          </w:p>
        </w:tc>
        <w:tc>
          <w:tcPr>
            <w:tcW w:w="625" w:type="pct"/>
            <w:vAlign w:val="center"/>
          </w:tcPr>
          <w:p w14:paraId="08D9D001">
            <w:pPr>
              <w:pStyle w:val="12"/>
              <w:jc w:val="center"/>
              <w:rPr>
                <w:rFonts w:ascii="宋体" w:hAnsi="宋体"/>
              </w:rPr>
            </w:pPr>
            <w:r>
              <w:rPr>
                <w:rFonts w:ascii="宋体" w:hAnsi="宋体"/>
              </w:rPr>
              <w:t>100000</w:t>
            </w:r>
          </w:p>
        </w:tc>
        <w:tc>
          <w:tcPr>
            <w:tcW w:w="625" w:type="pct"/>
            <w:vAlign w:val="center"/>
          </w:tcPr>
          <w:p w14:paraId="26640AF6">
            <w:pPr>
              <w:pStyle w:val="12"/>
              <w:jc w:val="center"/>
              <w:rPr>
                <w:rFonts w:ascii="宋体" w:hAnsi="宋体"/>
              </w:rPr>
            </w:pPr>
            <w:r>
              <w:rPr>
                <w:rFonts w:ascii="宋体" w:hAnsi="宋体"/>
              </w:rPr>
              <w:t>22.7</w:t>
            </w:r>
          </w:p>
        </w:tc>
        <w:tc>
          <w:tcPr>
            <w:tcW w:w="625" w:type="pct"/>
            <w:vAlign w:val="center"/>
          </w:tcPr>
          <w:p w14:paraId="381DC4D3">
            <w:pPr>
              <w:pStyle w:val="12"/>
              <w:jc w:val="center"/>
              <w:rPr>
                <w:rFonts w:ascii="宋体" w:hAnsi="宋体"/>
              </w:rPr>
            </w:pPr>
            <w:r>
              <w:rPr>
                <w:rFonts w:ascii="宋体" w:hAnsi="宋体"/>
              </w:rPr>
              <w:t>12.1</w:t>
            </w:r>
          </w:p>
        </w:tc>
        <w:tc>
          <w:tcPr>
            <w:tcW w:w="625" w:type="pct"/>
            <w:vAlign w:val="center"/>
          </w:tcPr>
          <w:p w14:paraId="7945E080">
            <w:pPr>
              <w:pStyle w:val="12"/>
              <w:jc w:val="center"/>
              <w:rPr>
                <w:rFonts w:ascii="宋体" w:hAnsi="宋体"/>
              </w:rPr>
            </w:pPr>
            <w:r>
              <w:rPr>
                <w:rFonts w:ascii="宋体" w:hAnsi="宋体"/>
              </w:rPr>
              <w:t>2.42</w:t>
            </w:r>
          </w:p>
        </w:tc>
        <w:tc>
          <w:tcPr>
            <w:tcW w:w="625" w:type="pct"/>
            <w:vAlign w:val="center"/>
          </w:tcPr>
          <w:p w14:paraId="51B75A52">
            <w:pPr>
              <w:pStyle w:val="12"/>
              <w:jc w:val="center"/>
              <w:rPr>
                <w:rFonts w:ascii="宋体" w:hAnsi="宋体"/>
              </w:rPr>
            </w:pPr>
            <w:r>
              <w:rPr>
                <w:rFonts w:ascii="宋体" w:hAnsi="宋体"/>
              </w:rPr>
              <w:t>+10.6</w:t>
            </w:r>
          </w:p>
        </w:tc>
        <w:tc>
          <w:tcPr>
            <w:tcW w:w="625" w:type="pct"/>
            <w:vAlign w:val="center"/>
          </w:tcPr>
          <w:p w14:paraId="2EB192FD">
            <w:pPr>
              <w:pStyle w:val="12"/>
              <w:jc w:val="center"/>
              <w:rPr>
                <w:rFonts w:ascii="宋体" w:hAnsi="宋体"/>
              </w:rPr>
            </w:pPr>
            <w:r>
              <w:rPr>
                <w:rFonts w:ascii="宋体" w:hAnsi="宋体"/>
              </w:rPr>
              <w:t>325</w:t>
            </w:r>
          </w:p>
        </w:tc>
      </w:tr>
      <w:tr w14:paraId="00D0DE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4C1E5435">
            <w:pPr>
              <w:pStyle w:val="12"/>
              <w:jc w:val="center"/>
              <w:rPr>
                <w:rFonts w:ascii="宋体" w:hAnsi="宋体"/>
              </w:rPr>
            </w:pPr>
            <w:r>
              <w:rPr>
                <w:rFonts w:ascii="宋体" w:hAnsi="宋体"/>
              </w:rPr>
              <w:t>1989</w:t>
            </w:r>
          </w:p>
        </w:tc>
        <w:tc>
          <w:tcPr>
            <w:tcW w:w="625" w:type="pct"/>
            <w:vAlign w:val="center"/>
          </w:tcPr>
          <w:p w14:paraId="508C0C4C">
            <w:pPr>
              <w:pStyle w:val="12"/>
              <w:jc w:val="center"/>
              <w:rPr>
                <w:rFonts w:ascii="宋体" w:hAnsi="宋体"/>
              </w:rPr>
            </w:pPr>
            <w:r>
              <w:rPr>
                <w:rFonts w:ascii="宋体" w:hAnsi="宋体"/>
              </w:rPr>
              <w:t>130191</w:t>
            </w:r>
          </w:p>
        </w:tc>
        <w:tc>
          <w:tcPr>
            <w:tcW w:w="625" w:type="pct"/>
            <w:vAlign w:val="center"/>
          </w:tcPr>
          <w:p w14:paraId="4F3C9268">
            <w:pPr>
              <w:pStyle w:val="12"/>
              <w:jc w:val="center"/>
              <w:rPr>
                <w:rFonts w:ascii="宋体" w:hAnsi="宋体"/>
              </w:rPr>
            </w:pPr>
            <w:r>
              <w:rPr>
                <w:rFonts w:ascii="宋体" w:hAnsi="宋体"/>
              </w:rPr>
              <w:t>106667</w:t>
            </w:r>
          </w:p>
        </w:tc>
        <w:tc>
          <w:tcPr>
            <w:tcW w:w="625" w:type="pct"/>
            <w:vAlign w:val="center"/>
          </w:tcPr>
          <w:p w14:paraId="0C56EBA8">
            <w:pPr>
              <w:pStyle w:val="12"/>
              <w:jc w:val="center"/>
              <w:rPr>
                <w:rFonts w:ascii="宋体" w:hAnsi="宋体"/>
              </w:rPr>
            </w:pPr>
            <w:r>
              <w:rPr>
                <w:rFonts w:ascii="宋体" w:hAnsi="宋体"/>
              </w:rPr>
              <w:t>21.2</w:t>
            </w:r>
          </w:p>
        </w:tc>
        <w:tc>
          <w:tcPr>
            <w:tcW w:w="625" w:type="pct"/>
            <w:vAlign w:val="center"/>
          </w:tcPr>
          <w:p w14:paraId="044D5820">
            <w:pPr>
              <w:pStyle w:val="12"/>
              <w:jc w:val="center"/>
              <w:rPr>
                <w:rFonts w:ascii="宋体" w:hAnsi="宋体"/>
              </w:rPr>
            </w:pPr>
            <w:r>
              <w:rPr>
                <w:rFonts w:ascii="宋体" w:hAnsi="宋体"/>
              </w:rPr>
              <w:t>17.3</w:t>
            </w:r>
          </w:p>
        </w:tc>
        <w:tc>
          <w:tcPr>
            <w:tcW w:w="625" w:type="pct"/>
            <w:vAlign w:val="center"/>
          </w:tcPr>
          <w:p w14:paraId="7DF74C89">
            <w:pPr>
              <w:pStyle w:val="12"/>
              <w:jc w:val="center"/>
              <w:rPr>
                <w:rFonts w:ascii="宋体" w:hAnsi="宋体"/>
              </w:rPr>
            </w:pPr>
            <w:r>
              <w:rPr>
                <w:rFonts w:ascii="宋体" w:hAnsi="宋体"/>
              </w:rPr>
              <w:t>3.69</w:t>
            </w:r>
          </w:p>
        </w:tc>
        <w:tc>
          <w:tcPr>
            <w:tcW w:w="625" w:type="pct"/>
            <w:vAlign w:val="center"/>
          </w:tcPr>
          <w:p w14:paraId="49351AB9">
            <w:pPr>
              <w:pStyle w:val="12"/>
              <w:jc w:val="center"/>
              <w:rPr>
                <w:rFonts w:ascii="宋体" w:hAnsi="宋体"/>
              </w:rPr>
            </w:pPr>
            <w:r>
              <w:rPr>
                <w:rFonts w:ascii="宋体" w:hAnsi="宋体"/>
              </w:rPr>
              <w:t>+3.9</w:t>
            </w:r>
          </w:p>
        </w:tc>
        <w:tc>
          <w:tcPr>
            <w:tcW w:w="625" w:type="pct"/>
            <w:vAlign w:val="center"/>
          </w:tcPr>
          <w:p w14:paraId="3954651D">
            <w:pPr>
              <w:pStyle w:val="12"/>
              <w:jc w:val="center"/>
              <w:rPr>
                <w:rFonts w:ascii="宋体" w:hAnsi="宋体"/>
              </w:rPr>
            </w:pPr>
            <w:r>
              <w:rPr>
                <w:rFonts w:ascii="宋体" w:hAnsi="宋体"/>
              </w:rPr>
              <w:t>331</w:t>
            </w:r>
          </w:p>
        </w:tc>
      </w:tr>
      <w:tr w14:paraId="7A96A6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63F69223">
            <w:pPr>
              <w:pStyle w:val="12"/>
              <w:jc w:val="center"/>
              <w:rPr>
                <w:rFonts w:ascii="宋体" w:hAnsi="宋体"/>
              </w:rPr>
            </w:pPr>
            <w:r>
              <w:rPr>
                <w:rFonts w:ascii="宋体" w:hAnsi="宋体"/>
              </w:rPr>
              <w:t>1990</w:t>
            </w:r>
          </w:p>
        </w:tc>
        <w:tc>
          <w:tcPr>
            <w:tcW w:w="625" w:type="pct"/>
            <w:vAlign w:val="center"/>
          </w:tcPr>
          <w:p w14:paraId="50B4D466">
            <w:pPr>
              <w:pStyle w:val="12"/>
              <w:jc w:val="center"/>
              <w:rPr>
                <w:rFonts w:ascii="宋体" w:hAnsi="宋体"/>
              </w:rPr>
            </w:pPr>
            <w:r>
              <w:rPr>
                <w:rFonts w:ascii="宋体" w:hAnsi="宋体"/>
              </w:rPr>
              <w:t>130273</w:t>
            </w:r>
          </w:p>
        </w:tc>
        <w:tc>
          <w:tcPr>
            <w:tcW w:w="625" w:type="pct"/>
            <w:vAlign w:val="center"/>
          </w:tcPr>
          <w:p w14:paraId="40077426">
            <w:pPr>
              <w:pStyle w:val="12"/>
              <w:jc w:val="center"/>
              <w:rPr>
                <w:rFonts w:ascii="宋体" w:hAnsi="宋体"/>
              </w:rPr>
            </w:pPr>
            <w:r>
              <w:rPr>
                <w:rFonts w:ascii="宋体" w:hAnsi="宋体"/>
              </w:rPr>
              <w:t>115733</w:t>
            </w:r>
          </w:p>
        </w:tc>
        <w:tc>
          <w:tcPr>
            <w:tcW w:w="625" w:type="pct"/>
            <w:vAlign w:val="center"/>
          </w:tcPr>
          <w:p w14:paraId="3C6F6BB1">
            <w:pPr>
              <w:pStyle w:val="12"/>
              <w:jc w:val="center"/>
              <w:rPr>
                <w:rFonts w:ascii="宋体" w:hAnsi="宋体"/>
              </w:rPr>
            </w:pPr>
            <w:r>
              <w:rPr>
                <w:rFonts w:ascii="宋体" w:hAnsi="宋体"/>
              </w:rPr>
              <w:t>27.4</w:t>
            </w:r>
          </w:p>
        </w:tc>
        <w:tc>
          <w:tcPr>
            <w:tcW w:w="625" w:type="pct"/>
            <w:vAlign w:val="center"/>
          </w:tcPr>
          <w:p w14:paraId="436121DE">
            <w:pPr>
              <w:pStyle w:val="12"/>
              <w:jc w:val="center"/>
              <w:rPr>
                <w:rFonts w:ascii="宋体" w:hAnsi="宋体"/>
              </w:rPr>
            </w:pPr>
            <w:r>
              <w:rPr>
                <w:rFonts w:ascii="宋体" w:hAnsi="宋体"/>
              </w:rPr>
              <w:t>12.4</w:t>
            </w:r>
          </w:p>
        </w:tc>
        <w:tc>
          <w:tcPr>
            <w:tcW w:w="625" w:type="pct"/>
            <w:vAlign w:val="center"/>
          </w:tcPr>
          <w:p w14:paraId="2E856EF3">
            <w:pPr>
              <w:pStyle w:val="12"/>
              <w:jc w:val="center"/>
              <w:rPr>
                <w:rFonts w:ascii="宋体" w:hAnsi="宋体"/>
              </w:rPr>
            </w:pPr>
            <w:r>
              <w:rPr>
                <w:rFonts w:ascii="宋体" w:hAnsi="宋体"/>
              </w:rPr>
              <w:t>1.26</w:t>
            </w:r>
          </w:p>
        </w:tc>
        <w:tc>
          <w:tcPr>
            <w:tcW w:w="625" w:type="pct"/>
            <w:vAlign w:val="center"/>
          </w:tcPr>
          <w:p w14:paraId="0CBC800F">
            <w:pPr>
              <w:pStyle w:val="12"/>
              <w:jc w:val="center"/>
              <w:rPr>
                <w:rFonts w:ascii="宋体" w:hAnsi="宋体"/>
              </w:rPr>
            </w:pPr>
            <w:r>
              <w:rPr>
                <w:rFonts w:ascii="宋体" w:hAnsi="宋体"/>
              </w:rPr>
              <w:t>+15.0</w:t>
            </w:r>
          </w:p>
        </w:tc>
        <w:tc>
          <w:tcPr>
            <w:tcW w:w="625" w:type="pct"/>
            <w:vAlign w:val="center"/>
          </w:tcPr>
          <w:p w14:paraId="709C8BB3">
            <w:pPr>
              <w:pStyle w:val="12"/>
              <w:jc w:val="center"/>
              <w:rPr>
                <w:rFonts w:ascii="宋体" w:hAnsi="宋体"/>
              </w:rPr>
            </w:pPr>
            <w:r>
              <w:rPr>
                <w:rFonts w:ascii="宋体" w:hAnsi="宋体"/>
              </w:rPr>
              <w:t>347</w:t>
            </w:r>
          </w:p>
        </w:tc>
      </w:tr>
      <w:tr w14:paraId="6343B0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386A6615">
            <w:pPr>
              <w:pStyle w:val="12"/>
              <w:jc w:val="center"/>
              <w:rPr>
                <w:rFonts w:ascii="宋体" w:hAnsi="宋体"/>
              </w:rPr>
            </w:pPr>
            <w:r>
              <w:rPr>
                <w:rFonts w:ascii="宋体" w:hAnsi="宋体"/>
              </w:rPr>
              <w:t>1991</w:t>
            </w:r>
          </w:p>
        </w:tc>
        <w:tc>
          <w:tcPr>
            <w:tcW w:w="625" w:type="pct"/>
            <w:vAlign w:val="center"/>
          </w:tcPr>
          <w:p w14:paraId="67C09C04">
            <w:pPr>
              <w:pStyle w:val="12"/>
              <w:jc w:val="center"/>
              <w:rPr>
                <w:rFonts w:ascii="宋体" w:hAnsi="宋体"/>
              </w:rPr>
            </w:pPr>
            <w:r>
              <w:rPr>
                <w:rFonts w:ascii="宋体" w:hAnsi="宋体"/>
              </w:rPr>
              <w:t>133723</w:t>
            </w:r>
          </w:p>
        </w:tc>
        <w:tc>
          <w:tcPr>
            <w:tcW w:w="625" w:type="pct"/>
            <w:vAlign w:val="center"/>
          </w:tcPr>
          <w:p w14:paraId="396CFA79">
            <w:pPr>
              <w:pStyle w:val="12"/>
              <w:jc w:val="center"/>
              <w:rPr>
                <w:rFonts w:ascii="宋体" w:hAnsi="宋体"/>
              </w:rPr>
            </w:pPr>
            <w:r>
              <w:rPr>
                <w:rFonts w:ascii="宋体" w:hAnsi="宋体"/>
              </w:rPr>
              <w:t>138000</w:t>
            </w:r>
          </w:p>
        </w:tc>
        <w:tc>
          <w:tcPr>
            <w:tcW w:w="625" w:type="pct"/>
            <w:vAlign w:val="center"/>
          </w:tcPr>
          <w:p w14:paraId="03E389C6">
            <w:pPr>
              <w:pStyle w:val="12"/>
              <w:jc w:val="center"/>
              <w:rPr>
                <w:rFonts w:ascii="宋体" w:hAnsi="宋体"/>
              </w:rPr>
            </w:pPr>
            <w:r>
              <w:rPr>
                <w:rFonts w:ascii="宋体" w:hAnsi="宋体"/>
              </w:rPr>
              <w:t>22.5</w:t>
            </w:r>
          </w:p>
        </w:tc>
        <w:tc>
          <w:tcPr>
            <w:tcW w:w="625" w:type="pct"/>
            <w:vAlign w:val="center"/>
          </w:tcPr>
          <w:p w14:paraId="54D42726">
            <w:pPr>
              <w:pStyle w:val="12"/>
              <w:jc w:val="center"/>
              <w:rPr>
                <w:rFonts w:ascii="宋体" w:hAnsi="宋体"/>
              </w:rPr>
            </w:pPr>
            <w:r>
              <w:rPr>
                <w:rFonts w:ascii="宋体" w:hAnsi="宋体"/>
              </w:rPr>
              <w:t>12.1</w:t>
            </w:r>
          </w:p>
        </w:tc>
        <w:tc>
          <w:tcPr>
            <w:tcW w:w="625" w:type="pct"/>
            <w:vAlign w:val="center"/>
          </w:tcPr>
          <w:p w14:paraId="3E9389B5">
            <w:pPr>
              <w:pStyle w:val="12"/>
              <w:jc w:val="center"/>
              <w:rPr>
                <w:rFonts w:ascii="宋体" w:hAnsi="宋体"/>
              </w:rPr>
            </w:pPr>
            <w:r>
              <w:rPr>
                <w:rFonts w:ascii="宋体" w:hAnsi="宋体"/>
              </w:rPr>
              <w:t>1.15</w:t>
            </w:r>
          </w:p>
        </w:tc>
        <w:tc>
          <w:tcPr>
            <w:tcW w:w="625" w:type="pct"/>
            <w:vAlign w:val="center"/>
          </w:tcPr>
          <w:p w14:paraId="0FFF8F81">
            <w:pPr>
              <w:pStyle w:val="12"/>
              <w:jc w:val="center"/>
              <w:rPr>
                <w:rFonts w:ascii="宋体" w:hAnsi="宋体"/>
              </w:rPr>
            </w:pPr>
            <w:r>
              <w:rPr>
                <w:rFonts w:ascii="宋体" w:hAnsi="宋体"/>
              </w:rPr>
              <w:t>+10.4</w:t>
            </w:r>
          </w:p>
        </w:tc>
        <w:tc>
          <w:tcPr>
            <w:tcW w:w="625" w:type="pct"/>
            <w:vAlign w:val="center"/>
          </w:tcPr>
          <w:p w14:paraId="5C9488E0">
            <w:pPr>
              <w:pStyle w:val="12"/>
              <w:jc w:val="center"/>
              <w:rPr>
                <w:rFonts w:ascii="宋体" w:hAnsi="宋体"/>
              </w:rPr>
            </w:pPr>
            <w:r>
              <w:rPr>
                <w:rFonts w:ascii="宋体" w:hAnsi="宋体"/>
              </w:rPr>
              <w:t>355</w:t>
            </w:r>
          </w:p>
        </w:tc>
      </w:tr>
      <w:tr w14:paraId="42BC33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6B949FA0">
            <w:pPr>
              <w:pStyle w:val="12"/>
              <w:jc w:val="center"/>
              <w:rPr>
                <w:rFonts w:ascii="宋体" w:hAnsi="宋体"/>
              </w:rPr>
            </w:pPr>
            <w:r>
              <w:rPr>
                <w:rFonts w:ascii="宋体" w:hAnsi="宋体"/>
              </w:rPr>
              <w:t>1992</w:t>
            </w:r>
          </w:p>
        </w:tc>
        <w:tc>
          <w:tcPr>
            <w:tcW w:w="625" w:type="pct"/>
            <w:vAlign w:val="center"/>
          </w:tcPr>
          <w:p w14:paraId="22C76B81">
            <w:pPr>
              <w:pStyle w:val="12"/>
              <w:jc w:val="center"/>
              <w:rPr>
                <w:rFonts w:ascii="宋体" w:hAnsi="宋体"/>
              </w:rPr>
            </w:pPr>
            <w:r>
              <w:rPr>
                <w:rFonts w:ascii="宋体" w:hAnsi="宋体"/>
              </w:rPr>
              <w:t>134519</w:t>
            </w:r>
          </w:p>
        </w:tc>
        <w:tc>
          <w:tcPr>
            <w:tcW w:w="625" w:type="pct"/>
            <w:vAlign w:val="center"/>
          </w:tcPr>
          <w:p w14:paraId="08AFD6E3">
            <w:pPr>
              <w:pStyle w:val="12"/>
              <w:jc w:val="center"/>
              <w:rPr>
                <w:rFonts w:ascii="宋体" w:hAnsi="宋体"/>
              </w:rPr>
            </w:pPr>
            <w:r>
              <w:rPr>
                <w:rFonts w:ascii="宋体" w:hAnsi="宋体"/>
              </w:rPr>
              <w:t>90667</w:t>
            </w:r>
          </w:p>
        </w:tc>
        <w:tc>
          <w:tcPr>
            <w:tcW w:w="625" w:type="pct"/>
            <w:vAlign w:val="center"/>
          </w:tcPr>
          <w:p w14:paraId="54BB250D">
            <w:pPr>
              <w:pStyle w:val="12"/>
              <w:jc w:val="center"/>
              <w:rPr>
                <w:rFonts w:ascii="宋体" w:hAnsi="宋体"/>
              </w:rPr>
            </w:pPr>
            <w:r>
              <w:rPr>
                <w:rFonts w:ascii="宋体" w:hAnsi="宋体"/>
              </w:rPr>
              <w:t>23.3</w:t>
            </w:r>
          </w:p>
        </w:tc>
        <w:tc>
          <w:tcPr>
            <w:tcW w:w="625" w:type="pct"/>
            <w:vAlign w:val="center"/>
          </w:tcPr>
          <w:p w14:paraId="391DEAD7">
            <w:pPr>
              <w:pStyle w:val="12"/>
              <w:jc w:val="center"/>
              <w:rPr>
                <w:rFonts w:ascii="宋体" w:hAnsi="宋体"/>
              </w:rPr>
            </w:pPr>
            <w:r>
              <w:rPr>
                <w:rFonts w:ascii="宋体" w:hAnsi="宋体"/>
              </w:rPr>
              <w:t>10.7</w:t>
            </w:r>
          </w:p>
        </w:tc>
        <w:tc>
          <w:tcPr>
            <w:tcW w:w="625" w:type="pct"/>
            <w:vAlign w:val="center"/>
          </w:tcPr>
          <w:p w14:paraId="6C07731E">
            <w:pPr>
              <w:pStyle w:val="12"/>
              <w:jc w:val="center"/>
              <w:rPr>
                <w:rFonts w:ascii="宋体" w:hAnsi="宋体"/>
              </w:rPr>
            </w:pPr>
            <w:r>
              <w:rPr>
                <w:rFonts w:ascii="宋体" w:hAnsi="宋体"/>
              </w:rPr>
              <w:t>3.41</w:t>
            </w:r>
          </w:p>
        </w:tc>
        <w:tc>
          <w:tcPr>
            <w:tcW w:w="625" w:type="pct"/>
            <w:vAlign w:val="center"/>
          </w:tcPr>
          <w:p w14:paraId="3D16B9E1">
            <w:pPr>
              <w:pStyle w:val="12"/>
              <w:jc w:val="center"/>
              <w:rPr>
                <w:rFonts w:ascii="宋体" w:hAnsi="宋体"/>
              </w:rPr>
            </w:pPr>
            <w:r>
              <w:rPr>
                <w:rFonts w:ascii="宋体" w:hAnsi="宋体"/>
              </w:rPr>
              <w:t>+12.6</w:t>
            </w:r>
          </w:p>
        </w:tc>
        <w:tc>
          <w:tcPr>
            <w:tcW w:w="625" w:type="pct"/>
            <w:vAlign w:val="center"/>
          </w:tcPr>
          <w:p w14:paraId="14F3CB42">
            <w:pPr>
              <w:pStyle w:val="12"/>
              <w:jc w:val="center"/>
              <w:rPr>
                <w:rFonts w:ascii="宋体" w:hAnsi="宋体"/>
              </w:rPr>
            </w:pPr>
            <w:r>
              <w:rPr>
                <w:rFonts w:ascii="宋体" w:hAnsi="宋体"/>
              </w:rPr>
              <w:t>369</w:t>
            </w:r>
          </w:p>
        </w:tc>
      </w:tr>
      <w:tr w14:paraId="39CD63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48C535EE">
            <w:pPr>
              <w:pStyle w:val="12"/>
              <w:jc w:val="center"/>
              <w:rPr>
                <w:rFonts w:ascii="宋体" w:hAnsi="宋体"/>
              </w:rPr>
            </w:pPr>
            <w:r>
              <w:rPr>
                <w:rFonts w:ascii="宋体" w:hAnsi="宋体"/>
              </w:rPr>
              <w:t>1993</w:t>
            </w:r>
          </w:p>
        </w:tc>
        <w:tc>
          <w:tcPr>
            <w:tcW w:w="625" w:type="pct"/>
            <w:vAlign w:val="center"/>
          </w:tcPr>
          <w:p w14:paraId="73AA7C96">
            <w:pPr>
              <w:pStyle w:val="12"/>
              <w:jc w:val="center"/>
              <w:rPr>
                <w:rFonts w:ascii="宋体" w:hAnsi="宋体"/>
              </w:rPr>
            </w:pPr>
            <w:r>
              <w:rPr>
                <w:rFonts w:ascii="宋体" w:hAnsi="宋体"/>
              </w:rPr>
              <w:t>135083</w:t>
            </w:r>
          </w:p>
        </w:tc>
        <w:tc>
          <w:tcPr>
            <w:tcW w:w="625" w:type="pct"/>
            <w:vAlign w:val="center"/>
          </w:tcPr>
          <w:p w14:paraId="0261406E">
            <w:pPr>
              <w:pStyle w:val="12"/>
              <w:jc w:val="center"/>
              <w:rPr>
                <w:rFonts w:ascii="宋体" w:hAnsi="宋体"/>
              </w:rPr>
            </w:pPr>
            <w:r>
              <w:rPr>
                <w:rFonts w:ascii="宋体" w:hAnsi="宋体"/>
              </w:rPr>
              <w:t>109667</w:t>
            </w:r>
          </w:p>
        </w:tc>
        <w:tc>
          <w:tcPr>
            <w:tcW w:w="625" w:type="pct"/>
            <w:vAlign w:val="center"/>
          </w:tcPr>
          <w:p w14:paraId="7A00148B">
            <w:pPr>
              <w:pStyle w:val="12"/>
              <w:jc w:val="center"/>
              <w:rPr>
                <w:rFonts w:ascii="宋体" w:hAnsi="宋体"/>
              </w:rPr>
            </w:pPr>
            <w:r>
              <w:rPr>
                <w:rFonts w:ascii="宋体" w:hAnsi="宋体"/>
              </w:rPr>
              <w:t>23.8</w:t>
            </w:r>
          </w:p>
        </w:tc>
        <w:tc>
          <w:tcPr>
            <w:tcW w:w="625" w:type="pct"/>
            <w:vAlign w:val="center"/>
          </w:tcPr>
          <w:p w14:paraId="1E482D10">
            <w:pPr>
              <w:pStyle w:val="12"/>
              <w:jc w:val="center"/>
              <w:rPr>
                <w:rFonts w:ascii="宋体" w:hAnsi="宋体"/>
              </w:rPr>
            </w:pPr>
            <w:r>
              <w:rPr>
                <w:rFonts w:ascii="宋体" w:hAnsi="宋体"/>
              </w:rPr>
              <w:t>12.2</w:t>
            </w:r>
          </w:p>
        </w:tc>
        <w:tc>
          <w:tcPr>
            <w:tcW w:w="625" w:type="pct"/>
            <w:vAlign w:val="center"/>
          </w:tcPr>
          <w:p w14:paraId="13E156A7">
            <w:pPr>
              <w:pStyle w:val="12"/>
              <w:jc w:val="center"/>
              <w:rPr>
                <w:rFonts w:ascii="宋体" w:hAnsi="宋体"/>
              </w:rPr>
            </w:pPr>
            <w:r>
              <w:rPr>
                <w:rFonts w:ascii="宋体" w:hAnsi="宋体"/>
              </w:rPr>
              <w:t>3.3</w:t>
            </w:r>
          </w:p>
        </w:tc>
        <w:tc>
          <w:tcPr>
            <w:tcW w:w="625" w:type="pct"/>
            <w:vAlign w:val="center"/>
          </w:tcPr>
          <w:p w14:paraId="2924A3BB">
            <w:pPr>
              <w:pStyle w:val="12"/>
              <w:jc w:val="center"/>
              <w:rPr>
                <w:rFonts w:ascii="宋体" w:hAnsi="宋体"/>
              </w:rPr>
            </w:pPr>
            <w:r>
              <w:rPr>
                <w:rFonts w:ascii="宋体" w:hAnsi="宋体"/>
              </w:rPr>
              <w:t>+11.6</w:t>
            </w:r>
          </w:p>
        </w:tc>
        <w:tc>
          <w:tcPr>
            <w:tcW w:w="625" w:type="pct"/>
            <w:vAlign w:val="center"/>
          </w:tcPr>
          <w:p w14:paraId="5FD58B89">
            <w:pPr>
              <w:pStyle w:val="12"/>
              <w:jc w:val="center"/>
              <w:rPr>
                <w:rFonts w:ascii="宋体" w:hAnsi="宋体"/>
              </w:rPr>
            </w:pPr>
            <w:r>
              <w:rPr>
                <w:rFonts w:ascii="宋体" w:hAnsi="宋体"/>
              </w:rPr>
              <w:t>377</w:t>
            </w:r>
          </w:p>
        </w:tc>
      </w:tr>
      <w:tr w14:paraId="2C2829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669BC440">
            <w:pPr>
              <w:pStyle w:val="12"/>
              <w:jc w:val="center"/>
              <w:rPr>
                <w:rFonts w:ascii="宋体" w:hAnsi="宋体"/>
              </w:rPr>
            </w:pPr>
            <w:r>
              <w:rPr>
                <w:rFonts w:ascii="宋体" w:hAnsi="宋体"/>
              </w:rPr>
              <w:t>1994</w:t>
            </w:r>
          </w:p>
        </w:tc>
        <w:tc>
          <w:tcPr>
            <w:tcW w:w="625" w:type="pct"/>
            <w:vAlign w:val="center"/>
          </w:tcPr>
          <w:p w14:paraId="130B2D12">
            <w:pPr>
              <w:pStyle w:val="12"/>
              <w:jc w:val="center"/>
              <w:rPr>
                <w:rFonts w:ascii="宋体" w:hAnsi="宋体"/>
              </w:rPr>
            </w:pPr>
            <w:r>
              <w:rPr>
                <w:rFonts w:ascii="宋体" w:hAnsi="宋体"/>
              </w:rPr>
              <w:t>140859</w:t>
            </w:r>
          </w:p>
        </w:tc>
        <w:tc>
          <w:tcPr>
            <w:tcW w:w="625" w:type="pct"/>
            <w:vAlign w:val="center"/>
          </w:tcPr>
          <w:p w14:paraId="31A0356A">
            <w:pPr>
              <w:pStyle w:val="12"/>
              <w:jc w:val="center"/>
              <w:rPr>
                <w:rFonts w:ascii="宋体" w:hAnsi="宋体"/>
              </w:rPr>
            </w:pPr>
            <w:r>
              <w:rPr>
                <w:rFonts w:ascii="宋体" w:hAnsi="宋体"/>
              </w:rPr>
              <w:t>100933</w:t>
            </w:r>
          </w:p>
        </w:tc>
        <w:tc>
          <w:tcPr>
            <w:tcW w:w="625" w:type="pct"/>
            <w:vAlign w:val="center"/>
          </w:tcPr>
          <w:p w14:paraId="2A45D1AF">
            <w:pPr>
              <w:pStyle w:val="12"/>
              <w:jc w:val="center"/>
              <w:rPr>
                <w:rFonts w:ascii="宋体" w:hAnsi="宋体"/>
              </w:rPr>
            </w:pPr>
            <w:r>
              <w:rPr>
                <w:rFonts w:ascii="宋体" w:hAnsi="宋体"/>
              </w:rPr>
              <w:t>30.1</w:t>
            </w:r>
          </w:p>
        </w:tc>
        <w:tc>
          <w:tcPr>
            <w:tcW w:w="625" w:type="pct"/>
            <w:vAlign w:val="center"/>
          </w:tcPr>
          <w:p w14:paraId="587A323C">
            <w:pPr>
              <w:pStyle w:val="12"/>
              <w:jc w:val="center"/>
              <w:rPr>
                <w:rFonts w:ascii="宋体" w:hAnsi="宋体"/>
              </w:rPr>
            </w:pPr>
            <w:r>
              <w:rPr>
                <w:rFonts w:ascii="宋体" w:hAnsi="宋体"/>
              </w:rPr>
              <w:t>12.1</w:t>
            </w:r>
          </w:p>
        </w:tc>
        <w:tc>
          <w:tcPr>
            <w:tcW w:w="625" w:type="pct"/>
            <w:vAlign w:val="center"/>
          </w:tcPr>
          <w:p w14:paraId="00EFC73D">
            <w:pPr>
              <w:pStyle w:val="12"/>
              <w:jc w:val="center"/>
              <w:rPr>
                <w:rFonts w:ascii="宋体" w:hAnsi="宋体"/>
              </w:rPr>
            </w:pPr>
            <w:r>
              <w:rPr>
                <w:rFonts w:ascii="宋体" w:hAnsi="宋体"/>
              </w:rPr>
              <w:t>2.87</w:t>
            </w:r>
          </w:p>
        </w:tc>
        <w:tc>
          <w:tcPr>
            <w:tcW w:w="625" w:type="pct"/>
            <w:vAlign w:val="center"/>
          </w:tcPr>
          <w:p w14:paraId="7436C0AE">
            <w:pPr>
              <w:pStyle w:val="12"/>
              <w:jc w:val="center"/>
              <w:rPr>
                <w:rFonts w:ascii="宋体" w:hAnsi="宋体"/>
              </w:rPr>
            </w:pPr>
            <w:r>
              <w:rPr>
                <w:rFonts w:ascii="宋体" w:hAnsi="宋体"/>
              </w:rPr>
              <w:t>+18</w:t>
            </w:r>
          </w:p>
        </w:tc>
        <w:tc>
          <w:tcPr>
            <w:tcW w:w="625" w:type="pct"/>
            <w:vAlign w:val="center"/>
          </w:tcPr>
          <w:p w14:paraId="34E90F13">
            <w:pPr>
              <w:pStyle w:val="12"/>
              <w:jc w:val="center"/>
              <w:rPr>
                <w:rFonts w:ascii="宋体" w:hAnsi="宋体"/>
              </w:rPr>
            </w:pPr>
            <w:r>
              <w:rPr>
                <w:rFonts w:ascii="宋体" w:hAnsi="宋体"/>
              </w:rPr>
              <w:t>451</w:t>
            </w:r>
          </w:p>
        </w:tc>
      </w:tr>
      <w:tr w14:paraId="48223D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557066E8">
            <w:pPr>
              <w:pStyle w:val="12"/>
              <w:jc w:val="center"/>
              <w:rPr>
                <w:rFonts w:ascii="宋体" w:hAnsi="宋体"/>
              </w:rPr>
            </w:pPr>
            <w:r>
              <w:rPr>
                <w:rFonts w:ascii="宋体" w:hAnsi="宋体"/>
              </w:rPr>
              <w:t>1995</w:t>
            </w:r>
          </w:p>
        </w:tc>
        <w:tc>
          <w:tcPr>
            <w:tcW w:w="625" w:type="pct"/>
            <w:vAlign w:val="center"/>
          </w:tcPr>
          <w:p w14:paraId="0D7DB4BE">
            <w:pPr>
              <w:pStyle w:val="12"/>
              <w:jc w:val="center"/>
              <w:rPr>
                <w:rFonts w:ascii="宋体" w:hAnsi="宋体"/>
              </w:rPr>
            </w:pPr>
            <w:r>
              <w:rPr>
                <w:rFonts w:ascii="宋体" w:hAnsi="宋体"/>
              </w:rPr>
              <w:t>143461</w:t>
            </w:r>
          </w:p>
        </w:tc>
        <w:tc>
          <w:tcPr>
            <w:tcW w:w="625" w:type="pct"/>
            <w:vAlign w:val="center"/>
          </w:tcPr>
          <w:p w14:paraId="10B415F4">
            <w:pPr>
              <w:pStyle w:val="12"/>
              <w:jc w:val="center"/>
              <w:rPr>
                <w:rFonts w:ascii="宋体" w:hAnsi="宋体"/>
              </w:rPr>
            </w:pPr>
            <w:r>
              <w:rPr>
                <w:rFonts w:ascii="宋体" w:hAnsi="宋体"/>
              </w:rPr>
              <w:t>94640</w:t>
            </w:r>
          </w:p>
        </w:tc>
        <w:tc>
          <w:tcPr>
            <w:tcW w:w="625" w:type="pct"/>
            <w:vAlign w:val="center"/>
          </w:tcPr>
          <w:p w14:paraId="400725AE">
            <w:pPr>
              <w:pStyle w:val="12"/>
              <w:jc w:val="center"/>
              <w:rPr>
                <w:rFonts w:ascii="宋体" w:hAnsi="宋体"/>
              </w:rPr>
            </w:pPr>
            <w:r>
              <w:rPr>
                <w:rFonts w:ascii="宋体" w:hAnsi="宋体"/>
              </w:rPr>
              <w:t>31.4</w:t>
            </w:r>
          </w:p>
        </w:tc>
        <w:tc>
          <w:tcPr>
            <w:tcW w:w="625" w:type="pct"/>
            <w:vAlign w:val="center"/>
          </w:tcPr>
          <w:p w14:paraId="6AA011B9">
            <w:pPr>
              <w:pStyle w:val="12"/>
              <w:jc w:val="center"/>
              <w:rPr>
                <w:rFonts w:ascii="宋体" w:hAnsi="宋体"/>
              </w:rPr>
            </w:pPr>
            <w:r>
              <w:rPr>
                <w:rFonts w:ascii="宋体" w:hAnsi="宋体"/>
              </w:rPr>
              <w:t>13.4</w:t>
            </w:r>
          </w:p>
        </w:tc>
        <w:tc>
          <w:tcPr>
            <w:tcW w:w="625" w:type="pct"/>
            <w:vAlign w:val="center"/>
          </w:tcPr>
          <w:p w14:paraId="0FD7EAEF">
            <w:pPr>
              <w:pStyle w:val="12"/>
              <w:jc w:val="center"/>
              <w:rPr>
                <w:rFonts w:ascii="宋体" w:hAnsi="宋体"/>
              </w:rPr>
            </w:pPr>
            <w:r>
              <w:rPr>
                <w:rFonts w:ascii="宋体" w:hAnsi="宋体"/>
              </w:rPr>
              <w:t>4.72</w:t>
            </w:r>
          </w:p>
        </w:tc>
        <w:tc>
          <w:tcPr>
            <w:tcW w:w="625" w:type="pct"/>
            <w:vAlign w:val="center"/>
          </w:tcPr>
          <w:p w14:paraId="17B6F464">
            <w:pPr>
              <w:pStyle w:val="12"/>
              <w:jc w:val="center"/>
              <w:rPr>
                <w:rFonts w:ascii="宋体" w:hAnsi="宋体"/>
              </w:rPr>
            </w:pPr>
            <w:r>
              <w:rPr>
                <w:rFonts w:ascii="宋体" w:hAnsi="宋体"/>
              </w:rPr>
              <w:t>+18</w:t>
            </w:r>
          </w:p>
        </w:tc>
        <w:tc>
          <w:tcPr>
            <w:tcW w:w="625" w:type="pct"/>
            <w:vAlign w:val="center"/>
          </w:tcPr>
          <w:p w14:paraId="3F627A30">
            <w:pPr>
              <w:pStyle w:val="12"/>
              <w:jc w:val="center"/>
              <w:rPr>
                <w:rFonts w:ascii="宋体" w:hAnsi="宋体"/>
              </w:rPr>
            </w:pPr>
            <w:r>
              <w:rPr>
                <w:rFonts w:ascii="宋体" w:hAnsi="宋体"/>
              </w:rPr>
              <w:t>484</w:t>
            </w:r>
          </w:p>
        </w:tc>
      </w:tr>
      <w:tr w14:paraId="7187FE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658DE2E9">
            <w:pPr>
              <w:pStyle w:val="12"/>
              <w:jc w:val="center"/>
              <w:rPr>
                <w:rFonts w:ascii="宋体" w:hAnsi="宋体"/>
              </w:rPr>
            </w:pPr>
            <w:r>
              <w:rPr>
                <w:rFonts w:ascii="宋体" w:hAnsi="宋体"/>
              </w:rPr>
              <w:t>1996</w:t>
            </w:r>
          </w:p>
        </w:tc>
        <w:tc>
          <w:tcPr>
            <w:tcW w:w="625" w:type="pct"/>
            <w:vAlign w:val="center"/>
          </w:tcPr>
          <w:p w14:paraId="4E67CAF5">
            <w:pPr>
              <w:pStyle w:val="12"/>
              <w:jc w:val="center"/>
              <w:rPr>
                <w:rFonts w:ascii="宋体" w:hAnsi="宋体"/>
              </w:rPr>
            </w:pPr>
            <w:r>
              <w:rPr>
                <w:rFonts w:ascii="宋体" w:hAnsi="宋体"/>
              </w:rPr>
              <w:t>144311</w:t>
            </w:r>
          </w:p>
        </w:tc>
        <w:tc>
          <w:tcPr>
            <w:tcW w:w="625" w:type="pct"/>
            <w:vAlign w:val="center"/>
          </w:tcPr>
          <w:p w14:paraId="79FE5F2B">
            <w:pPr>
              <w:pStyle w:val="12"/>
              <w:jc w:val="center"/>
              <w:rPr>
                <w:rFonts w:ascii="宋体" w:hAnsi="宋体"/>
              </w:rPr>
            </w:pPr>
            <w:r>
              <w:rPr>
                <w:rFonts w:ascii="宋体" w:hAnsi="宋体"/>
              </w:rPr>
              <w:t>111067</w:t>
            </w:r>
          </w:p>
        </w:tc>
        <w:tc>
          <w:tcPr>
            <w:tcW w:w="625" w:type="pct"/>
            <w:vAlign w:val="center"/>
          </w:tcPr>
          <w:p w14:paraId="132BE130">
            <w:pPr>
              <w:pStyle w:val="12"/>
              <w:jc w:val="center"/>
              <w:rPr>
                <w:rFonts w:ascii="宋体" w:hAnsi="宋体"/>
              </w:rPr>
            </w:pPr>
            <w:r>
              <w:rPr>
                <w:rFonts w:ascii="宋体" w:hAnsi="宋体"/>
              </w:rPr>
              <w:t>29.6</w:t>
            </w:r>
          </w:p>
        </w:tc>
        <w:tc>
          <w:tcPr>
            <w:tcW w:w="625" w:type="pct"/>
            <w:vAlign w:val="center"/>
          </w:tcPr>
          <w:p w14:paraId="023E90AA">
            <w:pPr>
              <w:pStyle w:val="12"/>
              <w:jc w:val="center"/>
              <w:rPr>
                <w:rFonts w:ascii="宋体" w:hAnsi="宋体"/>
              </w:rPr>
            </w:pPr>
            <w:r>
              <w:rPr>
                <w:rFonts w:ascii="宋体" w:hAnsi="宋体"/>
              </w:rPr>
              <w:t>12.5</w:t>
            </w:r>
          </w:p>
        </w:tc>
        <w:tc>
          <w:tcPr>
            <w:tcW w:w="625" w:type="pct"/>
            <w:vAlign w:val="center"/>
          </w:tcPr>
          <w:p w14:paraId="0930EE76">
            <w:pPr>
              <w:pStyle w:val="12"/>
              <w:jc w:val="center"/>
              <w:rPr>
                <w:rFonts w:ascii="宋体" w:hAnsi="宋体"/>
              </w:rPr>
            </w:pPr>
            <w:r>
              <w:rPr>
                <w:rFonts w:ascii="宋体" w:hAnsi="宋体"/>
              </w:rPr>
              <w:t>3.33</w:t>
            </w:r>
          </w:p>
        </w:tc>
        <w:tc>
          <w:tcPr>
            <w:tcW w:w="625" w:type="pct"/>
            <w:vAlign w:val="center"/>
          </w:tcPr>
          <w:p w14:paraId="666A28F2">
            <w:pPr>
              <w:pStyle w:val="12"/>
              <w:jc w:val="center"/>
              <w:rPr>
                <w:rFonts w:ascii="宋体" w:hAnsi="宋体"/>
              </w:rPr>
            </w:pPr>
            <w:r>
              <w:rPr>
                <w:rFonts w:ascii="宋体" w:hAnsi="宋体"/>
              </w:rPr>
              <w:t>+17.1</w:t>
            </w:r>
          </w:p>
        </w:tc>
        <w:tc>
          <w:tcPr>
            <w:tcW w:w="625" w:type="pct"/>
            <w:vAlign w:val="center"/>
          </w:tcPr>
          <w:p w14:paraId="5F570DA9">
            <w:pPr>
              <w:pStyle w:val="12"/>
              <w:jc w:val="center"/>
              <w:rPr>
                <w:rFonts w:ascii="宋体" w:hAnsi="宋体"/>
              </w:rPr>
            </w:pPr>
            <w:r>
              <w:rPr>
                <w:rFonts w:ascii="宋体" w:hAnsi="宋体"/>
              </w:rPr>
              <w:t>507</w:t>
            </w:r>
          </w:p>
        </w:tc>
      </w:tr>
      <w:tr w14:paraId="56EC80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4D4DB18C">
            <w:pPr>
              <w:pStyle w:val="12"/>
              <w:jc w:val="center"/>
              <w:rPr>
                <w:rFonts w:ascii="宋体" w:hAnsi="宋体"/>
              </w:rPr>
            </w:pPr>
            <w:r>
              <w:rPr>
                <w:rFonts w:ascii="宋体" w:hAnsi="宋体"/>
              </w:rPr>
              <w:t>1997</w:t>
            </w:r>
          </w:p>
        </w:tc>
        <w:tc>
          <w:tcPr>
            <w:tcW w:w="625" w:type="pct"/>
            <w:vAlign w:val="center"/>
          </w:tcPr>
          <w:p w14:paraId="59B5959A">
            <w:pPr>
              <w:pStyle w:val="12"/>
              <w:jc w:val="center"/>
              <w:rPr>
                <w:rFonts w:ascii="宋体" w:hAnsi="宋体"/>
              </w:rPr>
            </w:pPr>
            <w:r>
              <w:rPr>
                <w:rFonts w:ascii="宋体" w:hAnsi="宋体"/>
              </w:rPr>
              <w:t>144513</w:t>
            </w:r>
          </w:p>
        </w:tc>
        <w:tc>
          <w:tcPr>
            <w:tcW w:w="625" w:type="pct"/>
            <w:vAlign w:val="center"/>
          </w:tcPr>
          <w:p w14:paraId="6096E924">
            <w:pPr>
              <w:pStyle w:val="12"/>
              <w:jc w:val="center"/>
              <w:rPr>
                <w:rFonts w:ascii="宋体" w:hAnsi="宋体"/>
              </w:rPr>
            </w:pPr>
            <w:r>
              <w:rPr>
                <w:rFonts w:ascii="宋体" w:hAnsi="宋体"/>
              </w:rPr>
              <w:t>106213</w:t>
            </w:r>
          </w:p>
        </w:tc>
        <w:tc>
          <w:tcPr>
            <w:tcW w:w="625" w:type="pct"/>
            <w:vAlign w:val="center"/>
          </w:tcPr>
          <w:p w14:paraId="3D313894">
            <w:pPr>
              <w:pStyle w:val="12"/>
              <w:jc w:val="center"/>
              <w:rPr>
                <w:rFonts w:ascii="宋体" w:hAnsi="宋体"/>
              </w:rPr>
            </w:pPr>
            <w:r>
              <w:rPr>
                <w:rFonts w:ascii="宋体" w:hAnsi="宋体"/>
              </w:rPr>
              <w:t>28.8</w:t>
            </w:r>
          </w:p>
        </w:tc>
        <w:tc>
          <w:tcPr>
            <w:tcW w:w="625" w:type="pct"/>
            <w:vAlign w:val="center"/>
          </w:tcPr>
          <w:p w14:paraId="65D5EA8C">
            <w:pPr>
              <w:pStyle w:val="12"/>
              <w:jc w:val="center"/>
              <w:rPr>
                <w:rFonts w:ascii="宋体" w:hAnsi="宋体"/>
              </w:rPr>
            </w:pPr>
            <w:r>
              <w:rPr>
                <w:rFonts w:ascii="宋体" w:hAnsi="宋体"/>
              </w:rPr>
              <w:t>12.6</w:t>
            </w:r>
          </w:p>
        </w:tc>
        <w:tc>
          <w:tcPr>
            <w:tcW w:w="625" w:type="pct"/>
            <w:vAlign w:val="center"/>
          </w:tcPr>
          <w:p w14:paraId="5174F77B">
            <w:pPr>
              <w:pStyle w:val="12"/>
              <w:jc w:val="center"/>
              <w:rPr>
                <w:rFonts w:ascii="宋体" w:hAnsi="宋体"/>
              </w:rPr>
            </w:pPr>
            <w:r>
              <w:rPr>
                <w:rFonts w:ascii="宋体" w:hAnsi="宋体"/>
              </w:rPr>
              <w:t>2.58</w:t>
            </w:r>
          </w:p>
        </w:tc>
        <w:tc>
          <w:tcPr>
            <w:tcW w:w="625" w:type="pct"/>
            <w:vAlign w:val="center"/>
          </w:tcPr>
          <w:p w14:paraId="0E791918">
            <w:pPr>
              <w:pStyle w:val="12"/>
              <w:jc w:val="center"/>
              <w:rPr>
                <w:rFonts w:ascii="宋体" w:hAnsi="宋体"/>
              </w:rPr>
            </w:pPr>
            <w:r>
              <w:rPr>
                <w:rFonts w:ascii="宋体" w:hAnsi="宋体"/>
              </w:rPr>
              <w:t>+16.2</w:t>
            </w:r>
          </w:p>
        </w:tc>
        <w:tc>
          <w:tcPr>
            <w:tcW w:w="625" w:type="pct"/>
            <w:vAlign w:val="center"/>
          </w:tcPr>
          <w:p w14:paraId="1D16C1C2">
            <w:pPr>
              <w:pStyle w:val="12"/>
              <w:jc w:val="center"/>
              <w:rPr>
                <w:rFonts w:ascii="宋体" w:hAnsi="宋体"/>
              </w:rPr>
            </w:pPr>
            <w:r>
              <w:rPr>
                <w:rFonts w:ascii="宋体" w:hAnsi="宋体"/>
              </w:rPr>
              <w:t>533</w:t>
            </w:r>
          </w:p>
        </w:tc>
      </w:tr>
      <w:tr w14:paraId="7CD728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284BAA99">
            <w:pPr>
              <w:pStyle w:val="12"/>
              <w:jc w:val="center"/>
              <w:rPr>
                <w:rFonts w:ascii="宋体" w:hAnsi="宋体"/>
              </w:rPr>
            </w:pPr>
            <w:r>
              <w:rPr>
                <w:rFonts w:ascii="宋体" w:hAnsi="宋体"/>
              </w:rPr>
              <w:t>1998</w:t>
            </w:r>
          </w:p>
        </w:tc>
        <w:tc>
          <w:tcPr>
            <w:tcW w:w="625" w:type="pct"/>
            <w:vAlign w:val="center"/>
          </w:tcPr>
          <w:p w14:paraId="4564BF2B">
            <w:pPr>
              <w:pStyle w:val="12"/>
              <w:jc w:val="center"/>
              <w:rPr>
                <w:rFonts w:ascii="宋体" w:hAnsi="宋体"/>
              </w:rPr>
            </w:pPr>
            <w:r>
              <w:rPr>
                <w:rFonts w:ascii="宋体" w:hAnsi="宋体"/>
              </w:rPr>
              <w:t>143451</w:t>
            </w:r>
          </w:p>
        </w:tc>
        <w:tc>
          <w:tcPr>
            <w:tcW w:w="625" w:type="pct"/>
            <w:vAlign w:val="center"/>
          </w:tcPr>
          <w:p w14:paraId="72DF5270">
            <w:pPr>
              <w:pStyle w:val="12"/>
              <w:jc w:val="center"/>
              <w:rPr>
                <w:rFonts w:ascii="宋体" w:hAnsi="宋体"/>
              </w:rPr>
            </w:pPr>
            <w:r>
              <w:rPr>
                <w:rFonts w:ascii="宋体" w:hAnsi="宋体"/>
              </w:rPr>
              <w:t>102613</w:t>
            </w:r>
          </w:p>
        </w:tc>
        <w:tc>
          <w:tcPr>
            <w:tcW w:w="625" w:type="pct"/>
            <w:vAlign w:val="center"/>
          </w:tcPr>
          <w:p w14:paraId="5C9C0D24">
            <w:pPr>
              <w:pStyle w:val="12"/>
              <w:jc w:val="center"/>
              <w:rPr>
                <w:rFonts w:ascii="宋体" w:hAnsi="宋体"/>
              </w:rPr>
            </w:pPr>
            <w:r>
              <w:rPr>
                <w:rFonts w:ascii="宋体" w:hAnsi="宋体"/>
              </w:rPr>
              <w:t>28.5</w:t>
            </w:r>
          </w:p>
        </w:tc>
        <w:tc>
          <w:tcPr>
            <w:tcW w:w="625" w:type="pct"/>
            <w:vAlign w:val="center"/>
          </w:tcPr>
          <w:p w14:paraId="56018857">
            <w:pPr>
              <w:pStyle w:val="12"/>
              <w:jc w:val="center"/>
              <w:rPr>
                <w:rFonts w:ascii="宋体" w:hAnsi="宋体"/>
              </w:rPr>
            </w:pPr>
            <w:r>
              <w:rPr>
                <w:rFonts w:ascii="宋体" w:hAnsi="宋体"/>
              </w:rPr>
              <w:t>12.7</w:t>
            </w:r>
          </w:p>
        </w:tc>
        <w:tc>
          <w:tcPr>
            <w:tcW w:w="625" w:type="pct"/>
            <w:vAlign w:val="center"/>
          </w:tcPr>
          <w:p w14:paraId="0BA5A475">
            <w:pPr>
              <w:pStyle w:val="12"/>
              <w:jc w:val="center"/>
              <w:rPr>
                <w:rFonts w:ascii="宋体" w:hAnsi="宋体"/>
              </w:rPr>
            </w:pPr>
            <w:r>
              <w:rPr>
                <w:rFonts w:ascii="宋体" w:hAnsi="宋体"/>
              </w:rPr>
              <w:t>2.12</w:t>
            </w:r>
          </w:p>
        </w:tc>
        <w:tc>
          <w:tcPr>
            <w:tcW w:w="625" w:type="pct"/>
            <w:vAlign w:val="center"/>
          </w:tcPr>
          <w:p w14:paraId="078B94A9">
            <w:pPr>
              <w:pStyle w:val="12"/>
              <w:jc w:val="center"/>
              <w:rPr>
                <w:rFonts w:ascii="宋体" w:hAnsi="宋体"/>
              </w:rPr>
            </w:pPr>
            <w:r>
              <w:rPr>
                <w:rFonts w:ascii="宋体" w:hAnsi="宋体"/>
              </w:rPr>
              <w:t>+15.8</w:t>
            </w:r>
          </w:p>
        </w:tc>
        <w:tc>
          <w:tcPr>
            <w:tcW w:w="625" w:type="pct"/>
            <w:vAlign w:val="center"/>
          </w:tcPr>
          <w:p w14:paraId="5C898B1F">
            <w:pPr>
              <w:pStyle w:val="12"/>
              <w:jc w:val="center"/>
              <w:rPr>
                <w:rFonts w:ascii="宋体" w:hAnsi="宋体"/>
              </w:rPr>
            </w:pPr>
            <w:r>
              <w:rPr>
                <w:rFonts w:ascii="宋体" w:hAnsi="宋体"/>
              </w:rPr>
              <w:t>546</w:t>
            </w:r>
          </w:p>
        </w:tc>
      </w:tr>
      <w:tr w14:paraId="16F4A3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6192E4A2">
            <w:pPr>
              <w:pStyle w:val="12"/>
              <w:jc w:val="center"/>
              <w:rPr>
                <w:rFonts w:ascii="宋体" w:hAnsi="宋体"/>
              </w:rPr>
            </w:pPr>
            <w:r>
              <w:rPr>
                <w:rFonts w:ascii="宋体" w:hAnsi="宋体"/>
              </w:rPr>
              <w:t>1999</w:t>
            </w:r>
          </w:p>
        </w:tc>
        <w:tc>
          <w:tcPr>
            <w:tcW w:w="625" w:type="pct"/>
            <w:vAlign w:val="center"/>
          </w:tcPr>
          <w:p w14:paraId="354032D3">
            <w:pPr>
              <w:pStyle w:val="12"/>
              <w:jc w:val="center"/>
              <w:rPr>
                <w:rFonts w:ascii="宋体" w:hAnsi="宋体"/>
              </w:rPr>
            </w:pPr>
            <w:r>
              <w:rPr>
                <w:rFonts w:ascii="宋体" w:hAnsi="宋体"/>
              </w:rPr>
              <w:t>144217</w:t>
            </w:r>
          </w:p>
        </w:tc>
        <w:tc>
          <w:tcPr>
            <w:tcW w:w="625" w:type="pct"/>
            <w:vAlign w:val="center"/>
          </w:tcPr>
          <w:p w14:paraId="5A17257D">
            <w:pPr>
              <w:pStyle w:val="12"/>
              <w:jc w:val="center"/>
              <w:rPr>
                <w:rFonts w:ascii="宋体" w:hAnsi="宋体"/>
              </w:rPr>
            </w:pPr>
            <w:r>
              <w:rPr>
                <w:rFonts w:ascii="宋体" w:hAnsi="宋体"/>
              </w:rPr>
              <w:t>97167</w:t>
            </w:r>
          </w:p>
        </w:tc>
        <w:tc>
          <w:tcPr>
            <w:tcW w:w="625" w:type="pct"/>
            <w:vAlign w:val="center"/>
          </w:tcPr>
          <w:p w14:paraId="6D2D80DA">
            <w:pPr>
              <w:pStyle w:val="12"/>
              <w:jc w:val="center"/>
              <w:rPr>
                <w:rFonts w:ascii="宋体" w:hAnsi="宋体"/>
              </w:rPr>
            </w:pPr>
            <w:r>
              <w:rPr>
                <w:rFonts w:ascii="宋体" w:hAnsi="宋体"/>
              </w:rPr>
              <w:t>29.2</w:t>
            </w:r>
          </w:p>
        </w:tc>
        <w:tc>
          <w:tcPr>
            <w:tcW w:w="625" w:type="pct"/>
            <w:vAlign w:val="center"/>
          </w:tcPr>
          <w:p w14:paraId="7064D360">
            <w:pPr>
              <w:pStyle w:val="12"/>
              <w:jc w:val="center"/>
              <w:rPr>
                <w:rFonts w:ascii="宋体" w:hAnsi="宋体"/>
              </w:rPr>
            </w:pPr>
            <w:r>
              <w:rPr>
                <w:rFonts w:ascii="宋体" w:hAnsi="宋体"/>
              </w:rPr>
              <w:t>13.1</w:t>
            </w:r>
          </w:p>
        </w:tc>
        <w:tc>
          <w:tcPr>
            <w:tcW w:w="625" w:type="pct"/>
            <w:vAlign w:val="center"/>
          </w:tcPr>
          <w:p w14:paraId="17AE329E">
            <w:pPr>
              <w:pStyle w:val="12"/>
              <w:jc w:val="center"/>
              <w:rPr>
                <w:rFonts w:ascii="宋体" w:hAnsi="宋体"/>
              </w:rPr>
            </w:pPr>
            <w:r>
              <w:rPr>
                <w:rFonts w:ascii="宋体" w:hAnsi="宋体"/>
              </w:rPr>
              <w:t>1.63</w:t>
            </w:r>
          </w:p>
        </w:tc>
        <w:tc>
          <w:tcPr>
            <w:tcW w:w="625" w:type="pct"/>
            <w:vAlign w:val="center"/>
          </w:tcPr>
          <w:p w14:paraId="5485DA2D">
            <w:pPr>
              <w:pStyle w:val="12"/>
              <w:jc w:val="center"/>
              <w:rPr>
                <w:rFonts w:ascii="宋体" w:hAnsi="宋体"/>
              </w:rPr>
            </w:pPr>
            <w:r>
              <w:rPr>
                <w:rFonts w:ascii="宋体" w:hAnsi="宋体"/>
              </w:rPr>
              <w:t>+16.1</w:t>
            </w:r>
          </w:p>
        </w:tc>
        <w:tc>
          <w:tcPr>
            <w:tcW w:w="625" w:type="pct"/>
            <w:vAlign w:val="center"/>
          </w:tcPr>
          <w:p w14:paraId="6363C1CC">
            <w:pPr>
              <w:pStyle w:val="12"/>
              <w:jc w:val="center"/>
              <w:rPr>
                <w:rFonts w:ascii="宋体" w:hAnsi="宋体"/>
              </w:rPr>
            </w:pPr>
            <w:r>
              <w:rPr>
                <w:rFonts w:ascii="宋体" w:hAnsi="宋体"/>
              </w:rPr>
              <w:t>562</w:t>
            </w:r>
          </w:p>
        </w:tc>
      </w:tr>
      <w:tr w14:paraId="3D00A5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696A072C">
            <w:pPr>
              <w:pStyle w:val="12"/>
              <w:jc w:val="center"/>
              <w:rPr>
                <w:rFonts w:ascii="宋体" w:hAnsi="宋体"/>
              </w:rPr>
            </w:pPr>
            <w:r>
              <w:rPr>
                <w:rFonts w:ascii="宋体" w:hAnsi="宋体"/>
              </w:rPr>
              <w:t>2000</w:t>
            </w:r>
          </w:p>
        </w:tc>
        <w:tc>
          <w:tcPr>
            <w:tcW w:w="625" w:type="pct"/>
            <w:vAlign w:val="center"/>
          </w:tcPr>
          <w:p w14:paraId="59C0843A">
            <w:pPr>
              <w:pStyle w:val="12"/>
              <w:jc w:val="center"/>
              <w:rPr>
                <w:rFonts w:ascii="宋体" w:hAnsi="宋体"/>
              </w:rPr>
            </w:pPr>
            <w:r>
              <w:rPr>
                <w:rFonts w:ascii="宋体" w:hAnsi="宋体"/>
              </w:rPr>
              <w:t>143944</w:t>
            </w:r>
          </w:p>
        </w:tc>
        <w:tc>
          <w:tcPr>
            <w:tcW w:w="625" w:type="pct"/>
            <w:vAlign w:val="center"/>
          </w:tcPr>
          <w:p w14:paraId="12295464">
            <w:pPr>
              <w:pStyle w:val="12"/>
              <w:jc w:val="center"/>
              <w:rPr>
                <w:rFonts w:ascii="宋体" w:hAnsi="宋体"/>
              </w:rPr>
            </w:pPr>
            <w:r>
              <w:rPr>
                <w:rFonts w:ascii="宋体" w:hAnsi="宋体"/>
              </w:rPr>
              <w:t>112867</w:t>
            </w:r>
          </w:p>
        </w:tc>
        <w:tc>
          <w:tcPr>
            <w:tcW w:w="625" w:type="pct"/>
            <w:vAlign w:val="center"/>
          </w:tcPr>
          <w:p w14:paraId="5DC0F3F8">
            <w:pPr>
              <w:pStyle w:val="12"/>
              <w:jc w:val="center"/>
              <w:rPr>
                <w:rFonts w:ascii="宋体" w:hAnsi="宋体"/>
              </w:rPr>
            </w:pPr>
            <w:r>
              <w:rPr>
                <w:rFonts w:ascii="宋体" w:hAnsi="宋体"/>
              </w:rPr>
              <w:t>28.9</w:t>
            </w:r>
          </w:p>
        </w:tc>
        <w:tc>
          <w:tcPr>
            <w:tcW w:w="625" w:type="pct"/>
            <w:vAlign w:val="center"/>
          </w:tcPr>
          <w:p w14:paraId="39BD07AE">
            <w:pPr>
              <w:pStyle w:val="12"/>
              <w:jc w:val="center"/>
              <w:rPr>
                <w:rFonts w:ascii="宋体" w:hAnsi="宋体"/>
              </w:rPr>
            </w:pPr>
            <w:r>
              <w:rPr>
                <w:rFonts w:ascii="宋体" w:hAnsi="宋体"/>
              </w:rPr>
              <w:t>13.0</w:t>
            </w:r>
          </w:p>
        </w:tc>
        <w:tc>
          <w:tcPr>
            <w:tcW w:w="625" w:type="pct"/>
            <w:vAlign w:val="center"/>
          </w:tcPr>
          <w:p w14:paraId="57B3C4D1">
            <w:pPr>
              <w:pStyle w:val="12"/>
              <w:jc w:val="center"/>
              <w:rPr>
                <w:rFonts w:ascii="宋体" w:hAnsi="宋体"/>
              </w:rPr>
            </w:pPr>
            <w:r>
              <w:rPr>
                <w:rFonts w:ascii="宋体" w:hAnsi="宋体"/>
              </w:rPr>
              <w:t>1.94</w:t>
            </w:r>
          </w:p>
        </w:tc>
        <w:tc>
          <w:tcPr>
            <w:tcW w:w="625" w:type="pct"/>
            <w:vAlign w:val="center"/>
          </w:tcPr>
          <w:p w14:paraId="0F0D942F">
            <w:pPr>
              <w:pStyle w:val="12"/>
              <w:jc w:val="center"/>
              <w:rPr>
                <w:rFonts w:ascii="宋体" w:hAnsi="宋体"/>
              </w:rPr>
            </w:pPr>
            <w:r>
              <w:rPr>
                <w:rFonts w:ascii="宋体" w:hAnsi="宋体"/>
              </w:rPr>
              <w:t>+15.9</w:t>
            </w:r>
          </w:p>
        </w:tc>
        <w:tc>
          <w:tcPr>
            <w:tcW w:w="625" w:type="pct"/>
            <w:vAlign w:val="center"/>
          </w:tcPr>
          <w:p w14:paraId="090D2744">
            <w:pPr>
              <w:pStyle w:val="12"/>
              <w:jc w:val="center"/>
              <w:rPr>
                <w:rFonts w:ascii="宋体" w:hAnsi="宋体"/>
              </w:rPr>
            </w:pPr>
            <w:r>
              <w:rPr>
                <w:rFonts w:ascii="宋体" w:hAnsi="宋体"/>
              </w:rPr>
              <w:t>587</w:t>
            </w:r>
          </w:p>
        </w:tc>
      </w:tr>
      <w:tr w14:paraId="7ECD79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0F077752">
            <w:pPr>
              <w:pStyle w:val="12"/>
              <w:jc w:val="center"/>
              <w:rPr>
                <w:rFonts w:ascii="宋体" w:hAnsi="宋体"/>
              </w:rPr>
            </w:pPr>
            <w:r>
              <w:rPr>
                <w:rFonts w:ascii="宋体" w:hAnsi="宋体"/>
              </w:rPr>
              <w:t>2001</w:t>
            </w:r>
          </w:p>
        </w:tc>
        <w:tc>
          <w:tcPr>
            <w:tcW w:w="625" w:type="pct"/>
            <w:vAlign w:val="center"/>
          </w:tcPr>
          <w:p w14:paraId="57A2AE66">
            <w:pPr>
              <w:pStyle w:val="12"/>
              <w:jc w:val="center"/>
              <w:rPr>
                <w:rFonts w:ascii="宋体" w:hAnsi="宋体"/>
              </w:rPr>
            </w:pPr>
            <w:r>
              <w:rPr>
                <w:rFonts w:ascii="宋体" w:hAnsi="宋体"/>
              </w:rPr>
              <w:t>144001</w:t>
            </w:r>
          </w:p>
        </w:tc>
        <w:tc>
          <w:tcPr>
            <w:tcW w:w="625" w:type="pct"/>
            <w:vAlign w:val="center"/>
          </w:tcPr>
          <w:p w14:paraId="6B8A89EB">
            <w:pPr>
              <w:pStyle w:val="12"/>
              <w:jc w:val="center"/>
              <w:rPr>
                <w:rFonts w:ascii="宋体" w:hAnsi="宋体"/>
              </w:rPr>
            </w:pPr>
            <w:r>
              <w:rPr>
                <w:rFonts w:ascii="宋体" w:hAnsi="宋体"/>
              </w:rPr>
              <w:t>130000</w:t>
            </w:r>
          </w:p>
        </w:tc>
        <w:tc>
          <w:tcPr>
            <w:tcW w:w="625" w:type="pct"/>
            <w:vAlign w:val="center"/>
          </w:tcPr>
          <w:p w14:paraId="5E12A765">
            <w:pPr>
              <w:pStyle w:val="12"/>
              <w:jc w:val="center"/>
              <w:rPr>
                <w:rFonts w:ascii="宋体" w:hAnsi="宋体"/>
              </w:rPr>
            </w:pPr>
            <w:r>
              <w:rPr>
                <w:rFonts w:ascii="宋体" w:hAnsi="宋体"/>
              </w:rPr>
              <w:t>28.6</w:t>
            </w:r>
          </w:p>
        </w:tc>
        <w:tc>
          <w:tcPr>
            <w:tcW w:w="625" w:type="pct"/>
            <w:vAlign w:val="center"/>
          </w:tcPr>
          <w:p w14:paraId="3B25A984">
            <w:pPr>
              <w:pStyle w:val="12"/>
              <w:jc w:val="center"/>
              <w:rPr>
                <w:rFonts w:ascii="宋体" w:hAnsi="宋体"/>
              </w:rPr>
            </w:pPr>
            <w:r>
              <w:rPr>
                <w:rFonts w:ascii="宋体" w:hAnsi="宋体"/>
              </w:rPr>
              <w:t>13.2</w:t>
            </w:r>
          </w:p>
        </w:tc>
        <w:tc>
          <w:tcPr>
            <w:tcW w:w="625" w:type="pct"/>
            <w:vAlign w:val="center"/>
          </w:tcPr>
          <w:p w14:paraId="60E040BB">
            <w:pPr>
              <w:pStyle w:val="12"/>
              <w:jc w:val="center"/>
              <w:rPr>
                <w:rFonts w:ascii="宋体" w:hAnsi="宋体"/>
              </w:rPr>
            </w:pPr>
            <w:r>
              <w:rPr>
                <w:rFonts w:ascii="宋体" w:hAnsi="宋体"/>
              </w:rPr>
              <w:t>2.35</w:t>
            </w:r>
          </w:p>
        </w:tc>
        <w:tc>
          <w:tcPr>
            <w:tcW w:w="625" w:type="pct"/>
            <w:vAlign w:val="center"/>
          </w:tcPr>
          <w:p w14:paraId="11EBA764">
            <w:pPr>
              <w:pStyle w:val="12"/>
              <w:jc w:val="center"/>
              <w:rPr>
                <w:rFonts w:ascii="宋体" w:hAnsi="宋体"/>
              </w:rPr>
            </w:pPr>
            <w:r>
              <w:rPr>
                <w:rFonts w:ascii="宋体" w:hAnsi="宋体"/>
              </w:rPr>
              <w:t>+15.4</w:t>
            </w:r>
          </w:p>
        </w:tc>
        <w:tc>
          <w:tcPr>
            <w:tcW w:w="625" w:type="pct"/>
            <w:vAlign w:val="center"/>
          </w:tcPr>
          <w:p w14:paraId="06E82180">
            <w:pPr>
              <w:pStyle w:val="12"/>
              <w:jc w:val="center"/>
              <w:rPr>
                <w:rFonts w:ascii="宋体" w:hAnsi="宋体"/>
              </w:rPr>
            </w:pPr>
            <w:r>
              <w:rPr>
                <w:rFonts w:ascii="宋体" w:hAnsi="宋体"/>
              </w:rPr>
              <w:t>609</w:t>
            </w:r>
          </w:p>
        </w:tc>
      </w:tr>
      <w:tr w14:paraId="7C9E61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3AD3D5D2">
            <w:pPr>
              <w:pStyle w:val="12"/>
              <w:jc w:val="center"/>
              <w:rPr>
                <w:rFonts w:ascii="宋体" w:hAnsi="宋体"/>
              </w:rPr>
            </w:pPr>
            <w:r>
              <w:rPr>
                <w:rFonts w:ascii="宋体" w:hAnsi="宋体"/>
              </w:rPr>
              <w:t>2002</w:t>
            </w:r>
          </w:p>
        </w:tc>
        <w:tc>
          <w:tcPr>
            <w:tcW w:w="625" w:type="pct"/>
            <w:vAlign w:val="center"/>
          </w:tcPr>
          <w:p w14:paraId="0BC6B6AD">
            <w:pPr>
              <w:pStyle w:val="12"/>
              <w:jc w:val="center"/>
              <w:rPr>
                <w:rFonts w:ascii="宋体" w:hAnsi="宋体"/>
              </w:rPr>
            </w:pPr>
            <w:r>
              <w:rPr>
                <w:rFonts w:ascii="宋体" w:hAnsi="宋体"/>
              </w:rPr>
              <w:t>144018</w:t>
            </w:r>
          </w:p>
        </w:tc>
        <w:tc>
          <w:tcPr>
            <w:tcW w:w="625" w:type="pct"/>
            <w:vAlign w:val="center"/>
          </w:tcPr>
          <w:p w14:paraId="07CBFFEB">
            <w:pPr>
              <w:pStyle w:val="12"/>
              <w:jc w:val="center"/>
              <w:rPr>
                <w:rFonts w:ascii="宋体" w:hAnsi="宋体"/>
              </w:rPr>
            </w:pPr>
            <w:r>
              <w:rPr>
                <w:rFonts w:ascii="宋体" w:hAnsi="宋体"/>
              </w:rPr>
              <w:t>3533</w:t>
            </w:r>
          </w:p>
        </w:tc>
        <w:tc>
          <w:tcPr>
            <w:tcW w:w="625" w:type="pct"/>
            <w:vAlign w:val="center"/>
          </w:tcPr>
          <w:p w14:paraId="0FBFAABA">
            <w:pPr>
              <w:pStyle w:val="12"/>
              <w:jc w:val="center"/>
              <w:rPr>
                <w:rFonts w:ascii="宋体" w:hAnsi="宋体"/>
              </w:rPr>
            </w:pPr>
            <w:r>
              <w:rPr>
                <w:rFonts w:ascii="宋体" w:hAnsi="宋体"/>
              </w:rPr>
              <w:t>29.5</w:t>
            </w:r>
          </w:p>
        </w:tc>
        <w:tc>
          <w:tcPr>
            <w:tcW w:w="625" w:type="pct"/>
            <w:vAlign w:val="center"/>
          </w:tcPr>
          <w:p w14:paraId="2A8E69C0">
            <w:pPr>
              <w:pStyle w:val="12"/>
              <w:jc w:val="center"/>
              <w:rPr>
                <w:rFonts w:ascii="宋体" w:hAnsi="宋体"/>
              </w:rPr>
            </w:pPr>
            <w:r>
              <w:rPr>
                <w:rFonts w:ascii="宋体" w:hAnsi="宋体"/>
              </w:rPr>
              <w:t>13.6</w:t>
            </w:r>
          </w:p>
        </w:tc>
        <w:tc>
          <w:tcPr>
            <w:tcW w:w="625" w:type="pct"/>
            <w:vAlign w:val="center"/>
          </w:tcPr>
          <w:p w14:paraId="3A64E4C1">
            <w:pPr>
              <w:pStyle w:val="12"/>
              <w:jc w:val="center"/>
              <w:rPr>
                <w:rFonts w:ascii="宋体" w:hAnsi="宋体"/>
              </w:rPr>
            </w:pPr>
            <w:r>
              <w:rPr>
                <w:rFonts w:ascii="宋体" w:hAnsi="宋体"/>
              </w:rPr>
              <w:t>3.67</w:t>
            </w:r>
          </w:p>
        </w:tc>
        <w:tc>
          <w:tcPr>
            <w:tcW w:w="625" w:type="pct"/>
            <w:vAlign w:val="center"/>
          </w:tcPr>
          <w:p w14:paraId="20DB6E5B">
            <w:pPr>
              <w:pStyle w:val="12"/>
              <w:jc w:val="center"/>
              <w:rPr>
                <w:rFonts w:ascii="宋体" w:hAnsi="宋体"/>
              </w:rPr>
            </w:pPr>
            <w:r>
              <w:rPr>
                <w:rFonts w:ascii="宋体" w:hAnsi="宋体"/>
              </w:rPr>
              <w:t>+15.9</w:t>
            </w:r>
          </w:p>
        </w:tc>
        <w:tc>
          <w:tcPr>
            <w:tcW w:w="625" w:type="pct"/>
            <w:vAlign w:val="center"/>
          </w:tcPr>
          <w:p w14:paraId="1CCAFD7E">
            <w:pPr>
              <w:pStyle w:val="12"/>
              <w:jc w:val="center"/>
              <w:rPr>
                <w:rFonts w:ascii="宋体" w:hAnsi="宋体"/>
              </w:rPr>
            </w:pPr>
            <w:r>
              <w:rPr>
                <w:rFonts w:ascii="宋体" w:hAnsi="宋体"/>
              </w:rPr>
              <w:t>626</w:t>
            </w:r>
          </w:p>
        </w:tc>
      </w:tr>
      <w:tr w14:paraId="06184E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37314F5C">
            <w:pPr>
              <w:pStyle w:val="12"/>
              <w:jc w:val="center"/>
              <w:rPr>
                <w:rFonts w:ascii="宋体" w:hAnsi="宋体"/>
              </w:rPr>
            </w:pPr>
            <w:r>
              <w:rPr>
                <w:rFonts w:ascii="宋体" w:hAnsi="宋体"/>
              </w:rPr>
              <w:t>2003</w:t>
            </w:r>
          </w:p>
        </w:tc>
        <w:tc>
          <w:tcPr>
            <w:tcW w:w="625" w:type="pct"/>
            <w:vAlign w:val="center"/>
          </w:tcPr>
          <w:p w14:paraId="251F687D">
            <w:pPr>
              <w:pStyle w:val="12"/>
              <w:jc w:val="center"/>
              <w:rPr>
                <w:rFonts w:ascii="宋体" w:hAnsi="宋体"/>
              </w:rPr>
            </w:pPr>
            <w:r>
              <w:rPr>
                <w:rFonts w:ascii="宋体" w:hAnsi="宋体"/>
              </w:rPr>
              <w:t>144438</w:t>
            </w:r>
          </w:p>
        </w:tc>
        <w:tc>
          <w:tcPr>
            <w:tcW w:w="625" w:type="pct"/>
            <w:vAlign w:val="center"/>
          </w:tcPr>
          <w:p w14:paraId="03C777A2">
            <w:pPr>
              <w:pStyle w:val="12"/>
              <w:jc w:val="center"/>
              <w:rPr>
                <w:rFonts w:ascii="宋体" w:hAnsi="宋体"/>
              </w:rPr>
            </w:pPr>
            <w:r>
              <w:rPr>
                <w:rFonts w:ascii="宋体" w:hAnsi="宋体"/>
              </w:rPr>
              <w:t>3533</w:t>
            </w:r>
          </w:p>
        </w:tc>
        <w:tc>
          <w:tcPr>
            <w:tcW w:w="625" w:type="pct"/>
            <w:vAlign w:val="center"/>
          </w:tcPr>
          <w:p w14:paraId="6C590DBB">
            <w:pPr>
              <w:pStyle w:val="12"/>
              <w:jc w:val="center"/>
              <w:rPr>
                <w:rFonts w:ascii="宋体" w:hAnsi="宋体"/>
              </w:rPr>
            </w:pPr>
            <w:r>
              <w:rPr>
                <w:rFonts w:ascii="宋体" w:hAnsi="宋体"/>
              </w:rPr>
              <w:t>28.9</w:t>
            </w:r>
          </w:p>
        </w:tc>
        <w:tc>
          <w:tcPr>
            <w:tcW w:w="625" w:type="pct"/>
            <w:vAlign w:val="center"/>
          </w:tcPr>
          <w:p w14:paraId="743F60C6">
            <w:pPr>
              <w:pStyle w:val="12"/>
              <w:jc w:val="center"/>
              <w:rPr>
                <w:rFonts w:ascii="宋体" w:hAnsi="宋体"/>
              </w:rPr>
            </w:pPr>
            <w:r>
              <w:rPr>
                <w:rFonts w:ascii="宋体" w:hAnsi="宋体"/>
              </w:rPr>
              <w:t>17.0</w:t>
            </w:r>
          </w:p>
        </w:tc>
        <w:tc>
          <w:tcPr>
            <w:tcW w:w="625" w:type="pct"/>
            <w:vAlign w:val="center"/>
          </w:tcPr>
          <w:p w14:paraId="0B9DC0D0">
            <w:pPr>
              <w:pStyle w:val="12"/>
              <w:jc w:val="center"/>
              <w:rPr>
                <w:rFonts w:ascii="宋体" w:hAnsi="宋体"/>
              </w:rPr>
            </w:pPr>
            <w:r>
              <w:rPr>
                <w:rFonts w:ascii="宋体" w:hAnsi="宋体"/>
              </w:rPr>
              <w:t>3.76</w:t>
            </w:r>
          </w:p>
        </w:tc>
        <w:tc>
          <w:tcPr>
            <w:tcW w:w="625" w:type="pct"/>
            <w:vAlign w:val="center"/>
          </w:tcPr>
          <w:p w14:paraId="40D2439F">
            <w:pPr>
              <w:pStyle w:val="12"/>
              <w:jc w:val="center"/>
              <w:rPr>
                <w:rFonts w:ascii="宋体" w:hAnsi="宋体"/>
              </w:rPr>
            </w:pPr>
            <w:r>
              <w:rPr>
                <w:rFonts w:ascii="宋体" w:hAnsi="宋体"/>
              </w:rPr>
              <w:t>+11.9</w:t>
            </w:r>
          </w:p>
        </w:tc>
        <w:tc>
          <w:tcPr>
            <w:tcW w:w="625" w:type="pct"/>
            <w:vAlign w:val="center"/>
          </w:tcPr>
          <w:p w14:paraId="366B333C">
            <w:pPr>
              <w:pStyle w:val="12"/>
              <w:jc w:val="center"/>
              <w:rPr>
                <w:rFonts w:ascii="宋体" w:hAnsi="宋体"/>
              </w:rPr>
            </w:pPr>
            <w:r>
              <w:rPr>
                <w:rFonts w:ascii="宋体" w:hAnsi="宋体"/>
              </w:rPr>
              <w:t>641</w:t>
            </w:r>
          </w:p>
        </w:tc>
      </w:tr>
      <w:tr w14:paraId="108A8D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513262CF">
            <w:pPr>
              <w:pStyle w:val="12"/>
              <w:jc w:val="center"/>
              <w:rPr>
                <w:rFonts w:ascii="宋体" w:hAnsi="宋体"/>
              </w:rPr>
            </w:pPr>
            <w:r>
              <w:rPr>
                <w:rFonts w:ascii="宋体" w:hAnsi="宋体"/>
              </w:rPr>
              <w:t>2004</w:t>
            </w:r>
          </w:p>
        </w:tc>
        <w:tc>
          <w:tcPr>
            <w:tcW w:w="625" w:type="pct"/>
            <w:vAlign w:val="center"/>
          </w:tcPr>
          <w:p w14:paraId="50C5E696">
            <w:pPr>
              <w:pStyle w:val="12"/>
              <w:jc w:val="center"/>
              <w:rPr>
                <w:rFonts w:ascii="宋体" w:hAnsi="宋体"/>
              </w:rPr>
            </w:pPr>
            <w:r>
              <w:rPr>
                <w:rFonts w:ascii="宋体" w:hAnsi="宋体"/>
              </w:rPr>
              <w:t>144295</w:t>
            </w:r>
          </w:p>
        </w:tc>
        <w:tc>
          <w:tcPr>
            <w:tcW w:w="625" w:type="pct"/>
            <w:vAlign w:val="center"/>
          </w:tcPr>
          <w:p w14:paraId="0E0E26DF">
            <w:pPr>
              <w:pStyle w:val="12"/>
              <w:jc w:val="center"/>
              <w:rPr>
                <w:rFonts w:ascii="宋体" w:hAnsi="宋体"/>
              </w:rPr>
            </w:pPr>
            <w:r>
              <w:rPr>
                <w:rFonts w:ascii="宋体" w:hAnsi="宋体"/>
              </w:rPr>
              <w:t>3502</w:t>
            </w:r>
          </w:p>
        </w:tc>
        <w:tc>
          <w:tcPr>
            <w:tcW w:w="625" w:type="pct"/>
            <w:vAlign w:val="center"/>
          </w:tcPr>
          <w:p w14:paraId="0D9DB0FE">
            <w:pPr>
              <w:pStyle w:val="12"/>
              <w:jc w:val="center"/>
              <w:rPr>
                <w:rFonts w:ascii="宋体" w:hAnsi="宋体"/>
              </w:rPr>
            </w:pPr>
            <w:r>
              <w:rPr>
                <w:rFonts w:ascii="宋体" w:hAnsi="宋体"/>
              </w:rPr>
              <w:t>28.6</w:t>
            </w:r>
          </w:p>
        </w:tc>
        <w:tc>
          <w:tcPr>
            <w:tcW w:w="625" w:type="pct"/>
            <w:vAlign w:val="center"/>
          </w:tcPr>
          <w:p w14:paraId="49B5B2C3">
            <w:pPr>
              <w:pStyle w:val="12"/>
              <w:jc w:val="center"/>
              <w:rPr>
                <w:rFonts w:ascii="宋体" w:hAnsi="宋体"/>
              </w:rPr>
            </w:pPr>
            <w:r>
              <w:rPr>
                <w:rFonts w:ascii="宋体" w:hAnsi="宋体"/>
              </w:rPr>
              <w:t>15.3</w:t>
            </w:r>
          </w:p>
        </w:tc>
        <w:tc>
          <w:tcPr>
            <w:tcW w:w="625" w:type="pct"/>
            <w:vAlign w:val="center"/>
          </w:tcPr>
          <w:p w14:paraId="5541357A">
            <w:pPr>
              <w:pStyle w:val="12"/>
              <w:jc w:val="center"/>
              <w:rPr>
                <w:rFonts w:ascii="宋体" w:hAnsi="宋体"/>
              </w:rPr>
            </w:pPr>
            <w:r>
              <w:rPr>
                <w:rFonts w:ascii="宋体" w:hAnsi="宋体"/>
              </w:rPr>
              <w:t>4.65</w:t>
            </w:r>
          </w:p>
        </w:tc>
        <w:tc>
          <w:tcPr>
            <w:tcW w:w="625" w:type="pct"/>
            <w:vAlign w:val="center"/>
          </w:tcPr>
          <w:p w14:paraId="7A1D9CFE">
            <w:pPr>
              <w:pStyle w:val="12"/>
              <w:jc w:val="center"/>
              <w:rPr>
                <w:rFonts w:ascii="宋体" w:hAnsi="宋体"/>
              </w:rPr>
            </w:pPr>
            <w:r>
              <w:rPr>
                <w:rFonts w:ascii="宋体" w:hAnsi="宋体"/>
              </w:rPr>
              <w:t>+13.3</w:t>
            </w:r>
          </w:p>
        </w:tc>
        <w:tc>
          <w:tcPr>
            <w:tcW w:w="625" w:type="pct"/>
            <w:vAlign w:val="center"/>
          </w:tcPr>
          <w:p w14:paraId="52985524">
            <w:pPr>
              <w:pStyle w:val="12"/>
              <w:jc w:val="center"/>
              <w:rPr>
                <w:rFonts w:ascii="宋体" w:hAnsi="宋体"/>
              </w:rPr>
            </w:pPr>
            <w:r>
              <w:rPr>
                <w:rFonts w:ascii="宋体" w:hAnsi="宋体"/>
              </w:rPr>
              <w:t>658</w:t>
            </w:r>
          </w:p>
        </w:tc>
      </w:tr>
    </w:tbl>
    <w:p w14:paraId="59FE7A70">
      <w:pPr>
        <w:pStyle w:val="4"/>
        <w:rPr>
          <w:rFonts w:ascii="宋体" w:hAnsi="宋体"/>
        </w:rPr>
      </w:pPr>
      <w:r>
        <w:rPr>
          <w:rFonts w:hint="eastAsia" w:ascii="宋体" w:hAnsi="宋体"/>
        </w:rPr>
        <w:t>第六节  木材经营</w:t>
      </w:r>
    </w:p>
    <w:p w14:paraId="659B5B6A">
      <w:pPr>
        <w:pStyle w:val="5"/>
        <w:rPr>
          <w:rFonts w:ascii="宋体" w:hAnsi="宋体"/>
        </w:rPr>
      </w:pPr>
      <w:r>
        <w:rPr>
          <w:rFonts w:hint="eastAsia" w:ascii="宋体" w:hAnsi="宋体"/>
        </w:rPr>
        <w:t>一、经营体制</w:t>
      </w:r>
    </w:p>
    <w:p w14:paraId="5555E46E">
      <w:pPr>
        <w:ind w:firstLine="420"/>
        <w:rPr>
          <w:rFonts w:ascii="宋体" w:hAnsi="宋体"/>
          <w:szCs w:val="21"/>
        </w:rPr>
      </w:pPr>
      <w:r>
        <w:rPr>
          <w:rFonts w:ascii="宋体" w:hAnsi="宋体"/>
          <w:szCs w:val="21"/>
        </w:rPr>
        <w:t>1952年8月，全国实行木材统购政策，禁止私商经营。中南区木材公司广东省</w:t>
      </w:r>
      <w:r>
        <w:rPr>
          <w:rFonts w:hint="eastAsia" w:ascii="宋体" w:hAnsi="宋体"/>
          <w:szCs w:val="21"/>
        </w:rPr>
        <w:t>公司粤北分公司始兴采购站在南雄设工作组收购木材。</w:t>
      </w:r>
      <w:r>
        <w:rPr>
          <w:rFonts w:ascii="宋体" w:hAnsi="宋体"/>
          <w:szCs w:val="21"/>
        </w:rPr>
        <w:t>1955年改称为南雄支公司</w:t>
      </w:r>
      <w:r>
        <w:rPr>
          <w:rFonts w:hint="eastAsia" w:ascii="宋体" w:hAnsi="宋体"/>
          <w:szCs w:val="21"/>
        </w:rPr>
        <w:t>。</w:t>
      </w:r>
      <w:r>
        <w:rPr>
          <w:rFonts w:ascii="宋体" w:hAnsi="宋体"/>
          <w:szCs w:val="21"/>
        </w:rPr>
        <w:t>1956年更名为广东省森林工业局韶关分局南雄支局。1956年至1984年，共统购木材133.54万立方米，外销占80%多。1985年1月，中共中央</w:t>
      </w:r>
      <w:r>
        <w:rPr>
          <w:rFonts w:hint="eastAsia" w:ascii="宋体" w:hAnsi="宋体"/>
          <w:szCs w:val="21"/>
        </w:rPr>
        <w:t>颁</w:t>
      </w:r>
      <w:r>
        <w:rPr>
          <w:rFonts w:ascii="宋体" w:hAnsi="宋体"/>
          <w:szCs w:val="21"/>
        </w:rPr>
        <w:t>布《关于进一步活跃农</w:t>
      </w:r>
      <w:r>
        <w:rPr>
          <w:rFonts w:hint="eastAsia" w:ascii="宋体" w:hAnsi="宋体"/>
          <w:szCs w:val="21"/>
        </w:rPr>
        <w:t>村经济十项政策》，取消木材统购统销，开放木材市场，允许林农和集体的木材上市。县农林开发贸易总公司和各乡镇农工商公司均经营木材，互相竞争，造成木材砍伐限额难以控制。</w:t>
      </w:r>
      <w:r>
        <w:rPr>
          <w:rFonts w:ascii="宋体" w:hAnsi="宋体"/>
          <w:szCs w:val="21"/>
        </w:rPr>
        <w:t>1987年7月起，又统一归口林业局经营。以县、乡镇联营形式，</w:t>
      </w:r>
      <w:r>
        <w:rPr>
          <w:rFonts w:hint="eastAsia" w:ascii="宋体" w:hAnsi="宋体"/>
          <w:szCs w:val="21"/>
        </w:rPr>
        <w:t>规定返还部分利润给乡镇。同时开放湖口、黄坑、乌迳、界址</w:t>
      </w:r>
      <w:r>
        <w:rPr>
          <w:rFonts w:ascii="宋体" w:hAnsi="宋体"/>
          <w:szCs w:val="21"/>
        </w:rPr>
        <w:t>4个木材市场，允许林</w:t>
      </w:r>
      <w:r>
        <w:rPr>
          <w:rFonts w:hint="eastAsia" w:ascii="宋体" w:hAnsi="宋体"/>
          <w:szCs w:val="21"/>
        </w:rPr>
        <w:t>农凭采伐证出售木材。林业局分别在湖口、黄坑、乌迳设点，向群众供应木材。</w:t>
      </w:r>
    </w:p>
    <w:p w14:paraId="3B9A1D93">
      <w:pPr>
        <w:ind w:firstLine="420"/>
        <w:rPr>
          <w:rFonts w:ascii="宋体" w:hAnsi="宋体"/>
          <w:szCs w:val="21"/>
        </w:rPr>
      </w:pPr>
      <w:r>
        <w:rPr>
          <w:rFonts w:ascii="宋体" w:hAnsi="宋体"/>
          <w:szCs w:val="21"/>
        </w:rPr>
        <w:t>2</w:t>
      </w:r>
      <w:r>
        <w:rPr>
          <w:rFonts w:hint="eastAsia" w:ascii="宋体" w:hAnsi="宋体"/>
          <w:szCs w:val="21"/>
        </w:rPr>
        <w:t>0</w:t>
      </w:r>
      <w:r>
        <w:rPr>
          <w:rFonts w:ascii="宋体" w:hAnsi="宋体"/>
          <w:szCs w:val="21"/>
        </w:rPr>
        <w:t>00年起，木材形成多渠道经营，除市木材公司收购经营外，有国有（营）林</w:t>
      </w:r>
      <w:r>
        <w:rPr>
          <w:rFonts w:hint="eastAsia" w:ascii="宋体" w:hAnsi="宋体"/>
          <w:szCs w:val="21"/>
        </w:rPr>
        <w:t>场独立经营，国有（营）与乡镇农户联办经营，镇、村、户办林场经营。</w:t>
      </w:r>
    </w:p>
    <w:p w14:paraId="66780365">
      <w:pPr>
        <w:ind w:firstLine="420"/>
        <w:rPr>
          <w:rFonts w:ascii="宋体" w:hAnsi="宋体"/>
          <w:szCs w:val="21"/>
        </w:rPr>
      </w:pPr>
      <w:r>
        <w:rPr>
          <w:rFonts w:ascii="宋体" w:hAnsi="宋体"/>
          <w:szCs w:val="21"/>
        </w:rPr>
        <w:t>2000年全市实际生产木材57185立方米，占上级下达计划60500立方米的95%，</w:t>
      </w:r>
      <w:r>
        <w:rPr>
          <w:rFonts w:hint="eastAsia" w:ascii="宋体" w:hAnsi="宋体"/>
          <w:szCs w:val="21"/>
        </w:rPr>
        <w:t>材种生产以杉原木占</w:t>
      </w:r>
      <w:r>
        <w:rPr>
          <w:rFonts w:ascii="宋体" w:hAnsi="宋体"/>
          <w:szCs w:val="21"/>
        </w:rPr>
        <w:t>59.2%，松原木占33%，阔叶树占7.8%。2002年后，木材生</w:t>
      </w:r>
      <w:r>
        <w:rPr>
          <w:rFonts w:hint="eastAsia" w:ascii="宋体" w:hAnsi="宋体"/>
          <w:szCs w:val="21"/>
        </w:rPr>
        <w:t>产量略有下降。</w:t>
      </w:r>
      <w:r>
        <w:rPr>
          <w:rFonts w:ascii="宋体" w:hAnsi="宋体"/>
          <w:szCs w:val="21"/>
        </w:rPr>
        <w:t>2004年全市木材生产量为53383立方米，占上级下达计划45000立方</w:t>
      </w:r>
      <w:r>
        <w:rPr>
          <w:rFonts w:hint="eastAsia" w:ascii="宋体" w:hAnsi="宋体"/>
          <w:szCs w:val="21"/>
        </w:rPr>
        <w:t>米的</w:t>
      </w:r>
      <w:r>
        <w:rPr>
          <w:rFonts w:ascii="宋体" w:hAnsi="宋体"/>
          <w:szCs w:val="21"/>
        </w:rPr>
        <w:t>118.62%。其中杉原木占60.1%，松原木占33.1%，阔叶树占7%</w:t>
      </w:r>
      <w:r>
        <w:rPr>
          <w:rFonts w:hint="eastAsia" w:ascii="宋体" w:hAnsi="宋体"/>
          <w:szCs w:val="21"/>
        </w:rPr>
        <w:t>。</w:t>
      </w:r>
    </w:p>
    <w:p w14:paraId="2D46AD10">
      <w:pPr>
        <w:pStyle w:val="5"/>
        <w:rPr>
          <w:rFonts w:ascii="宋体" w:hAnsi="宋体"/>
        </w:rPr>
      </w:pPr>
      <w:r>
        <w:rPr>
          <w:rFonts w:hint="eastAsia" w:ascii="宋体" w:hAnsi="宋体"/>
        </w:rPr>
        <w:t>二、木材产、购、销</w:t>
      </w:r>
    </w:p>
    <w:p w14:paraId="1AF38892">
      <w:pPr>
        <w:ind w:firstLine="422"/>
        <w:rPr>
          <w:rFonts w:ascii="宋体" w:hAnsi="宋体"/>
          <w:b/>
        </w:rPr>
      </w:pPr>
      <w:r>
        <w:rPr>
          <w:rFonts w:hint="eastAsia" w:ascii="宋体" w:hAnsi="宋体"/>
          <w:b/>
        </w:rPr>
        <w:t>（一）木材采伐</w:t>
      </w:r>
    </w:p>
    <w:p w14:paraId="2B156C73">
      <w:pPr>
        <w:ind w:firstLine="420"/>
        <w:rPr>
          <w:rFonts w:ascii="宋体" w:hAnsi="宋体"/>
          <w:szCs w:val="21"/>
        </w:rPr>
      </w:pPr>
      <w:r>
        <w:rPr>
          <w:rFonts w:ascii="宋体" w:hAnsi="宋体"/>
          <w:szCs w:val="21"/>
        </w:rPr>
        <w:t>1957年，县森林工业局设立帽子峰和白云2个采伐队，直接生产木材。帽子峰</w:t>
      </w:r>
      <w:r>
        <w:rPr>
          <w:rFonts w:hint="eastAsia" w:ascii="宋体" w:hAnsi="宋体"/>
          <w:szCs w:val="21"/>
        </w:rPr>
        <w:t>采伐队于</w:t>
      </w:r>
      <w:r>
        <w:rPr>
          <w:rFonts w:ascii="宋体" w:hAnsi="宋体"/>
          <w:szCs w:val="21"/>
        </w:rPr>
        <w:t>1960年并</w:t>
      </w:r>
      <w:r>
        <w:rPr>
          <w:rFonts w:hint="eastAsia" w:ascii="宋体" w:hAnsi="宋体"/>
          <w:szCs w:val="21"/>
        </w:rPr>
        <w:t>入</w:t>
      </w:r>
      <w:r>
        <w:rPr>
          <w:rFonts w:ascii="宋体" w:hAnsi="宋体"/>
          <w:szCs w:val="21"/>
        </w:rPr>
        <w:t>帽子峰林场，白云采伐队于1961年迁住苍石乡大坪村，改称大</w:t>
      </w:r>
      <w:r>
        <w:rPr>
          <w:rFonts w:hint="eastAsia" w:ascii="宋体" w:hAnsi="宋体"/>
          <w:szCs w:val="21"/>
        </w:rPr>
        <w:t>坪伐木场。该地木材砍完之后，县内已没有大片森林可供建场采伐，转而由各社队按计划零星采伐。</w:t>
      </w:r>
      <w:r>
        <w:rPr>
          <w:rFonts w:ascii="宋体" w:hAnsi="宋体"/>
          <w:szCs w:val="21"/>
        </w:rPr>
        <w:t>1999年，市政府颁布了《南雄市森林采伐管理规定》，凡是有采伐任</w:t>
      </w:r>
      <w:r>
        <w:rPr>
          <w:rFonts w:hint="eastAsia" w:ascii="宋体" w:hAnsi="宋体"/>
          <w:szCs w:val="21"/>
        </w:rPr>
        <w:t>务的镇和林场，都要认真填写《采伐木材申请书》，由林业部门派员到现场调查后，核发“林木采伐许可证”，凭证采伐。</w:t>
      </w:r>
    </w:p>
    <w:p w14:paraId="2570DE01">
      <w:pPr>
        <w:ind w:firstLine="422"/>
        <w:rPr>
          <w:rFonts w:ascii="宋体" w:hAnsi="宋体"/>
          <w:b/>
          <w:szCs w:val="21"/>
        </w:rPr>
      </w:pPr>
      <w:r>
        <w:rPr>
          <w:rFonts w:hint="eastAsia" w:ascii="宋体" w:hAnsi="宋体"/>
          <w:b/>
          <w:szCs w:val="21"/>
        </w:rPr>
        <w:t>（二）木材收购、运输</w:t>
      </w:r>
    </w:p>
    <w:p w14:paraId="16634C66">
      <w:pPr>
        <w:ind w:firstLine="420"/>
        <w:rPr>
          <w:rFonts w:ascii="宋体" w:hAnsi="宋体"/>
          <w:szCs w:val="21"/>
        </w:rPr>
      </w:pPr>
      <w:r>
        <w:rPr>
          <w:rFonts w:ascii="宋体" w:hAnsi="宋体"/>
          <w:szCs w:val="21"/>
        </w:rPr>
        <w:t>1956年起，林业森工局分别在富竹、澜河、百顺、主田、江头、南亩、邓坊设</w:t>
      </w:r>
      <w:r>
        <w:rPr>
          <w:rFonts w:hint="eastAsia" w:ascii="宋体" w:hAnsi="宋体"/>
          <w:szCs w:val="21"/>
        </w:rPr>
        <w:t>立森工站收购木材，在县城、营堡前设贮木场。在林区还设有</w:t>
      </w:r>
      <w:r>
        <w:rPr>
          <w:rFonts w:ascii="宋体" w:hAnsi="宋体"/>
          <w:szCs w:val="21"/>
        </w:rPr>
        <w:t>58个木材收购点。林</w:t>
      </w:r>
      <w:r>
        <w:rPr>
          <w:rFonts w:hint="eastAsia" w:ascii="宋体" w:hAnsi="宋体"/>
          <w:szCs w:val="21"/>
        </w:rPr>
        <w:t>农生产的木材运至收购点后，预约森工站前往收购。验收后运至贮木场堆放。营堡前贮木场</w:t>
      </w:r>
      <w:r>
        <w:rPr>
          <w:rFonts w:ascii="宋体" w:hAnsi="宋体"/>
          <w:szCs w:val="21"/>
        </w:rPr>
        <w:t>1981年转让给帽子峰林场。县城贮木场因城建需要，于1998年迁至东厢铺。</w:t>
      </w:r>
    </w:p>
    <w:p w14:paraId="4E2259F4">
      <w:pPr>
        <w:ind w:firstLine="420"/>
        <w:rPr>
          <w:rFonts w:ascii="宋体" w:hAnsi="宋体"/>
          <w:szCs w:val="21"/>
        </w:rPr>
      </w:pPr>
      <w:r>
        <w:rPr>
          <w:rFonts w:hint="eastAsia" w:ascii="宋体" w:hAnsi="宋体"/>
          <w:szCs w:val="21"/>
        </w:rPr>
        <w:t>木材运输，</w:t>
      </w:r>
      <w:r>
        <w:rPr>
          <w:rFonts w:ascii="宋体" w:hAnsi="宋体"/>
          <w:szCs w:val="21"/>
        </w:rPr>
        <w:t>1960年前，县内主要由小河水运至贮木场。后因杉木日少，松杂木</w:t>
      </w:r>
      <w:r>
        <w:rPr>
          <w:rFonts w:hint="eastAsia" w:ascii="宋体" w:hAnsi="宋体"/>
          <w:szCs w:val="21"/>
        </w:rPr>
        <w:t>水运困难，多改为陆运。林业森工局有专业汽车队运输木材。南雄至韶关则多靠水运。</w:t>
      </w:r>
    </w:p>
    <w:p w14:paraId="29DD9D9C">
      <w:pPr>
        <w:ind w:firstLine="422"/>
        <w:rPr>
          <w:rFonts w:ascii="宋体" w:hAnsi="宋体"/>
          <w:b/>
          <w:szCs w:val="21"/>
        </w:rPr>
      </w:pPr>
      <w:r>
        <w:rPr>
          <w:rFonts w:hint="eastAsia" w:ascii="宋体" w:hAnsi="宋体"/>
          <w:b/>
          <w:szCs w:val="21"/>
        </w:rPr>
        <w:t>（三）购销价格</w:t>
      </w:r>
    </w:p>
    <w:p w14:paraId="530C6CD7">
      <w:pPr>
        <w:ind w:firstLine="420"/>
        <w:rPr>
          <w:rFonts w:ascii="宋体" w:hAnsi="宋体"/>
          <w:szCs w:val="21"/>
        </w:rPr>
      </w:pPr>
      <w:r>
        <w:rPr>
          <w:rFonts w:ascii="宋体" w:hAnsi="宋体"/>
          <w:szCs w:val="21"/>
        </w:rPr>
        <w:t>1984年以前按国家统一价格购销，收购木材还有大米、化肥指标及布票奖励</w:t>
      </w:r>
      <w:r>
        <w:rPr>
          <w:rFonts w:hint="eastAsia" w:ascii="宋体" w:hAnsi="宋体"/>
          <w:szCs w:val="21"/>
        </w:rPr>
        <w:t>。</w:t>
      </w:r>
      <w:r>
        <w:rPr>
          <w:rFonts w:ascii="宋体" w:hAnsi="宋体"/>
          <w:szCs w:val="21"/>
        </w:rPr>
        <w:t>1985年开放经营后，价格大幅上升。1987年收购基准价，每立方米杉原木224元，</w:t>
      </w:r>
      <w:r>
        <w:rPr>
          <w:rFonts w:hint="eastAsia" w:ascii="宋体" w:hAnsi="宋体"/>
          <w:szCs w:val="21"/>
        </w:rPr>
        <w:t>松原木</w:t>
      </w:r>
      <w:r>
        <w:rPr>
          <w:rFonts w:ascii="宋体" w:hAnsi="宋体"/>
          <w:szCs w:val="21"/>
        </w:rPr>
        <w:t>103元，杂原木80元，枕木202元。县内市场销售平均价，每立方米杉原木369元，松原木206元，杂原184元，枕木280元，板枋材300元。</w:t>
      </w:r>
    </w:p>
    <w:p w14:paraId="6B57E3BE">
      <w:pPr>
        <w:ind w:firstLine="420"/>
        <w:rPr>
          <w:rFonts w:ascii="宋体" w:hAnsi="宋体"/>
          <w:szCs w:val="21"/>
        </w:rPr>
      </w:pPr>
      <w:r>
        <w:rPr>
          <w:rFonts w:hint="eastAsia" w:ascii="宋体" w:hAnsi="宋体"/>
          <w:szCs w:val="21"/>
        </w:rPr>
        <w:t>木材购销价格比例，按省物价、林业部门规定。</w:t>
      </w:r>
      <w:r>
        <w:rPr>
          <w:rFonts w:ascii="宋体" w:hAnsi="宋体"/>
          <w:szCs w:val="21"/>
        </w:rPr>
        <w:t>1995年南雄木材收购价占销售</w:t>
      </w:r>
      <w:r>
        <w:rPr>
          <w:rFonts w:hint="eastAsia" w:ascii="宋体" w:hAnsi="宋体"/>
          <w:szCs w:val="21"/>
        </w:rPr>
        <w:t>价的比例为：杉原木</w:t>
      </w:r>
      <w:r>
        <w:rPr>
          <w:rFonts w:ascii="宋体" w:hAnsi="宋体"/>
          <w:szCs w:val="21"/>
        </w:rPr>
        <w:t>61.29%，松原木46.31%，杂原46.47%。2001年为：杉原</w:t>
      </w:r>
      <w:r>
        <w:rPr>
          <w:rFonts w:hint="eastAsia" w:ascii="宋体" w:hAnsi="宋体"/>
          <w:szCs w:val="21"/>
        </w:rPr>
        <w:t>木</w:t>
      </w:r>
      <w:r>
        <w:rPr>
          <w:rFonts w:ascii="宋体" w:hAnsi="宋体"/>
          <w:szCs w:val="21"/>
        </w:rPr>
        <w:t>59.96%，松原木48.34%、杂原木47.32%。</w:t>
      </w:r>
    </w:p>
    <w:p w14:paraId="595966B1">
      <w:pPr>
        <w:ind w:firstLine="422"/>
        <w:rPr>
          <w:rFonts w:ascii="宋体" w:hAnsi="宋体"/>
          <w:b/>
          <w:szCs w:val="21"/>
        </w:rPr>
      </w:pPr>
      <w:r>
        <w:rPr>
          <w:rFonts w:hint="eastAsia" w:ascii="宋体" w:hAnsi="宋体"/>
          <w:b/>
          <w:szCs w:val="21"/>
        </w:rPr>
        <w:t>（四）经营效益</w:t>
      </w:r>
    </w:p>
    <w:p w14:paraId="1B786AAD">
      <w:pPr>
        <w:ind w:firstLine="420"/>
        <w:rPr>
          <w:rFonts w:ascii="宋体" w:hAnsi="宋体"/>
          <w:szCs w:val="21"/>
        </w:rPr>
      </w:pPr>
      <w:r>
        <w:rPr>
          <w:rFonts w:ascii="宋体" w:hAnsi="宋体"/>
          <w:szCs w:val="21"/>
        </w:rPr>
        <w:t>2</w:t>
      </w:r>
      <w:r>
        <w:rPr>
          <w:rFonts w:hint="eastAsia" w:ascii="宋体" w:hAnsi="宋体"/>
          <w:szCs w:val="21"/>
        </w:rPr>
        <w:t>0</w:t>
      </w:r>
      <w:r>
        <w:rPr>
          <w:rFonts w:ascii="宋体" w:hAnsi="宋体"/>
          <w:szCs w:val="21"/>
        </w:rPr>
        <w:t>00年，木材销售收入2294.06万元，每立方米平均销售价401.17元；利润总</w:t>
      </w:r>
      <w:r>
        <w:rPr>
          <w:rFonts w:hint="eastAsia" w:ascii="宋体" w:hAnsi="宋体"/>
          <w:szCs w:val="21"/>
        </w:rPr>
        <w:t>额</w:t>
      </w:r>
      <w:r>
        <w:rPr>
          <w:rFonts w:ascii="宋体" w:hAnsi="宋体"/>
          <w:szCs w:val="21"/>
        </w:rPr>
        <w:t>638万元，每立方米平均111.63元。各经营单位效益如见表2-24：</w:t>
      </w:r>
    </w:p>
    <w:p w14:paraId="0B4A0E3F">
      <w:pPr>
        <w:ind w:firstLine="0" w:firstLineChars="0"/>
        <w:jc w:val="center"/>
        <w:rPr>
          <w:rFonts w:ascii="宋体" w:hAnsi="宋体"/>
          <w:b/>
          <w:szCs w:val="21"/>
        </w:rPr>
      </w:pPr>
      <w:r>
        <w:rPr>
          <w:rFonts w:hint="eastAsia" w:ascii="宋体" w:hAnsi="宋体"/>
          <w:b/>
          <w:szCs w:val="21"/>
        </w:rPr>
        <w:t>南雄市木材经营效益统计表（</w:t>
      </w:r>
      <w:r>
        <w:rPr>
          <w:rFonts w:ascii="宋体" w:hAnsi="宋体"/>
          <w:b/>
          <w:szCs w:val="21"/>
        </w:rPr>
        <w:t>2000年）</w:t>
      </w:r>
    </w:p>
    <w:p w14:paraId="3D7AA865">
      <w:pPr>
        <w:ind w:firstLine="0" w:firstLineChars="0"/>
        <w:rPr>
          <w:rFonts w:ascii="宋体" w:hAnsi="宋体"/>
          <w:b/>
          <w:szCs w:val="21"/>
        </w:rPr>
      </w:pPr>
      <w:r>
        <w:rPr>
          <w:rFonts w:hint="eastAsia" w:ascii="宋体" w:hAnsi="宋体"/>
          <w:b/>
          <w:szCs w:val="21"/>
        </w:rPr>
        <w:t>表</w:t>
      </w:r>
      <w:r>
        <w:rPr>
          <w:rFonts w:ascii="宋体" w:hAnsi="宋体"/>
          <w:b/>
          <w:szCs w:val="21"/>
        </w:rPr>
        <w:t>2-24</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24"/>
        <w:gridCol w:w="1277"/>
        <w:gridCol w:w="1465"/>
        <w:gridCol w:w="1425"/>
        <w:gridCol w:w="1425"/>
        <w:gridCol w:w="1214"/>
        <w:gridCol w:w="1632"/>
      </w:tblGrid>
      <w:tr w14:paraId="0ABB1D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5" w:type="pct"/>
            <w:vMerge w:val="restart"/>
            <w:vAlign w:val="center"/>
          </w:tcPr>
          <w:p w14:paraId="1875B1E9">
            <w:pPr>
              <w:pStyle w:val="12"/>
              <w:jc w:val="center"/>
              <w:rPr>
                <w:rFonts w:ascii="宋体" w:hAnsi="宋体"/>
                <w:b/>
              </w:rPr>
            </w:pPr>
            <w:r>
              <w:rPr>
                <w:rFonts w:hint="eastAsia" w:ascii="宋体" w:hAnsi="宋体"/>
                <w:b/>
              </w:rPr>
              <w:t>经营单位</w:t>
            </w:r>
          </w:p>
        </w:tc>
        <w:tc>
          <w:tcPr>
            <w:tcW w:w="641" w:type="pct"/>
            <w:vMerge w:val="restart"/>
            <w:vAlign w:val="center"/>
          </w:tcPr>
          <w:p w14:paraId="151333D5">
            <w:pPr>
              <w:pStyle w:val="12"/>
              <w:jc w:val="center"/>
              <w:rPr>
                <w:rFonts w:ascii="宋体" w:hAnsi="宋体"/>
                <w:b/>
              </w:rPr>
            </w:pPr>
            <w:r>
              <w:rPr>
                <w:rFonts w:hint="eastAsia" w:ascii="宋体" w:hAnsi="宋体"/>
                <w:b/>
              </w:rPr>
              <w:t>购销量</w:t>
            </w:r>
          </w:p>
          <w:p w14:paraId="5F488E7F">
            <w:pPr>
              <w:pStyle w:val="12"/>
              <w:jc w:val="center"/>
              <w:rPr>
                <w:rFonts w:ascii="宋体" w:hAnsi="宋体"/>
                <w:b/>
              </w:rPr>
            </w:pPr>
            <w:r>
              <w:rPr>
                <w:rFonts w:hint="eastAsia" w:ascii="宋体" w:hAnsi="宋体"/>
                <w:b/>
              </w:rPr>
              <w:t>立方米</w:t>
            </w:r>
          </w:p>
        </w:tc>
        <w:tc>
          <w:tcPr>
            <w:tcW w:w="735" w:type="pct"/>
            <w:vMerge w:val="restart"/>
            <w:vAlign w:val="center"/>
          </w:tcPr>
          <w:p w14:paraId="6CAF92B9">
            <w:pPr>
              <w:pStyle w:val="12"/>
              <w:jc w:val="center"/>
              <w:rPr>
                <w:rFonts w:ascii="宋体" w:hAnsi="宋体"/>
                <w:b/>
              </w:rPr>
            </w:pPr>
            <w:r>
              <w:rPr>
                <w:rFonts w:hint="eastAsia" w:ascii="宋体" w:hAnsi="宋体"/>
                <w:b/>
              </w:rPr>
              <w:t>平均售价</w:t>
            </w:r>
          </w:p>
          <w:p w14:paraId="036917B1">
            <w:pPr>
              <w:pStyle w:val="12"/>
              <w:jc w:val="center"/>
              <w:rPr>
                <w:rFonts w:ascii="宋体" w:hAnsi="宋体"/>
                <w:b/>
              </w:rPr>
            </w:pPr>
            <w:r>
              <w:rPr>
                <w:rFonts w:hint="eastAsia" w:ascii="宋体" w:hAnsi="宋体"/>
                <w:b/>
              </w:rPr>
              <w:t>（元/立方米）</w:t>
            </w:r>
          </w:p>
        </w:tc>
        <w:tc>
          <w:tcPr>
            <w:tcW w:w="715" w:type="pct"/>
            <w:vMerge w:val="restart"/>
            <w:vAlign w:val="center"/>
          </w:tcPr>
          <w:p w14:paraId="0EEC5C09">
            <w:pPr>
              <w:pStyle w:val="12"/>
              <w:jc w:val="center"/>
              <w:rPr>
                <w:rFonts w:ascii="宋体" w:hAnsi="宋体"/>
                <w:b/>
              </w:rPr>
            </w:pPr>
            <w:r>
              <w:rPr>
                <w:rFonts w:hint="eastAsia" w:ascii="宋体" w:hAnsi="宋体"/>
                <w:b/>
              </w:rPr>
              <w:t>销售收入（元）</w:t>
            </w:r>
          </w:p>
        </w:tc>
        <w:tc>
          <w:tcPr>
            <w:tcW w:w="715" w:type="pct"/>
            <w:vMerge w:val="restart"/>
            <w:vAlign w:val="center"/>
          </w:tcPr>
          <w:p w14:paraId="5D070D1D">
            <w:pPr>
              <w:pStyle w:val="12"/>
              <w:jc w:val="center"/>
              <w:rPr>
                <w:rFonts w:ascii="宋体" w:hAnsi="宋体"/>
                <w:b/>
              </w:rPr>
            </w:pPr>
            <w:r>
              <w:rPr>
                <w:rFonts w:hint="eastAsia" w:ascii="宋体" w:hAnsi="宋体"/>
                <w:b/>
              </w:rPr>
              <w:t>经营成本（元）</w:t>
            </w:r>
          </w:p>
        </w:tc>
        <w:tc>
          <w:tcPr>
            <w:tcW w:w="1428" w:type="pct"/>
            <w:gridSpan w:val="2"/>
            <w:vAlign w:val="center"/>
          </w:tcPr>
          <w:p w14:paraId="0EA76DA4">
            <w:pPr>
              <w:pStyle w:val="12"/>
              <w:jc w:val="center"/>
              <w:rPr>
                <w:rFonts w:ascii="宋体" w:hAnsi="宋体"/>
                <w:b/>
              </w:rPr>
            </w:pPr>
            <w:r>
              <w:rPr>
                <w:rFonts w:hint="eastAsia" w:ascii="宋体" w:hAnsi="宋体"/>
                <w:b/>
              </w:rPr>
              <w:t>利润</w:t>
            </w:r>
          </w:p>
        </w:tc>
      </w:tr>
      <w:tr w14:paraId="3ED81C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5" w:type="pct"/>
            <w:vMerge w:val="continue"/>
            <w:vAlign w:val="center"/>
          </w:tcPr>
          <w:p w14:paraId="720FF0D7">
            <w:pPr>
              <w:pStyle w:val="12"/>
              <w:jc w:val="center"/>
              <w:rPr>
                <w:rFonts w:ascii="宋体" w:hAnsi="宋体"/>
                <w:b/>
              </w:rPr>
            </w:pPr>
          </w:p>
        </w:tc>
        <w:tc>
          <w:tcPr>
            <w:tcW w:w="641" w:type="pct"/>
            <w:vMerge w:val="continue"/>
            <w:vAlign w:val="center"/>
          </w:tcPr>
          <w:p w14:paraId="401A45B8">
            <w:pPr>
              <w:pStyle w:val="12"/>
              <w:jc w:val="center"/>
              <w:rPr>
                <w:rFonts w:ascii="宋体" w:hAnsi="宋体"/>
                <w:b/>
              </w:rPr>
            </w:pPr>
          </w:p>
        </w:tc>
        <w:tc>
          <w:tcPr>
            <w:tcW w:w="735" w:type="pct"/>
            <w:vMerge w:val="continue"/>
            <w:vAlign w:val="center"/>
          </w:tcPr>
          <w:p w14:paraId="3CC131DC">
            <w:pPr>
              <w:pStyle w:val="12"/>
              <w:jc w:val="center"/>
              <w:rPr>
                <w:rFonts w:ascii="宋体" w:hAnsi="宋体"/>
                <w:b/>
              </w:rPr>
            </w:pPr>
          </w:p>
        </w:tc>
        <w:tc>
          <w:tcPr>
            <w:tcW w:w="715" w:type="pct"/>
            <w:vMerge w:val="continue"/>
            <w:vAlign w:val="center"/>
          </w:tcPr>
          <w:p w14:paraId="5CF96276">
            <w:pPr>
              <w:pStyle w:val="12"/>
              <w:jc w:val="center"/>
              <w:rPr>
                <w:rFonts w:ascii="宋体" w:hAnsi="宋体"/>
                <w:b/>
              </w:rPr>
            </w:pPr>
          </w:p>
        </w:tc>
        <w:tc>
          <w:tcPr>
            <w:tcW w:w="715" w:type="pct"/>
            <w:vMerge w:val="continue"/>
            <w:vAlign w:val="center"/>
          </w:tcPr>
          <w:p w14:paraId="29530361">
            <w:pPr>
              <w:pStyle w:val="12"/>
              <w:jc w:val="center"/>
              <w:rPr>
                <w:rFonts w:ascii="宋体" w:hAnsi="宋体"/>
                <w:b/>
              </w:rPr>
            </w:pPr>
          </w:p>
        </w:tc>
        <w:tc>
          <w:tcPr>
            <w:tcW w:w="609" w:type="pct"/>
            <w:vAlign w:val="center"/>
          </w:tcPr>
          <w:p w14:paraId="335B9128">
            <w:pPr>
              <w:pStyle w:val="12"/>
              <w:jc w:val="center"/>
              <w:rPr>
                <w:rFonts w:ascii="宋体" w:hAnsi="宋体"/>
                <w:b/>
              </w:rPr>
            </w:pPr>
            <w:r>
              <w:rPr>
                <w:rFonts w:hint="eastAsia" w:ascii="宋体" w:hAnsi="宋体"/>
                <w:b/>
              </w:rPr>
              <w:t>总额（元）</w:t>
            </w:r>
          </w:p>
        </w:tc>
        <w:tc>
          <w:tcPr>
            <w:tcW w:w="819" w:type="pct"/>
            <w:vAlign w:val="center"/>
          </w:tcPr>
          <w:p w14:paraId="7872AB86">
            <w:pPr>
              <w:pStyle w:val="12"/>
              <w:jc w:val="center"/>
              <w:rPr>
                <w:rFonts w:ascii="宋体" w:hAnsi="宋体"/>
                <w:b/>
              </w:rPr>
            </w:pPr>
            <w:r>
              <w:rPr>
                <w:rFonts w:hint="eastAsia" w:ascii="宋体" w:hAnsi="宋体"/>
                <w:b/>
              </w:rPr>
              <w:t>平均</w:t>
            </w:r>
          </w:p>
          <w:p w14:paraId="2956CE23">
            <w:pPr>
              <w:pStyle w:val="12"/>
              <w:jc w:val="center"/>
              <w:rPr>
                <w:rFonts w:ascii="宋体" w:hAnsi="宋体"/>
                <w:b/>
              </w:rPr>
            </w:pPr>
            <w:r>
              <w:rPr>
                <w:rFonts w:hint="eastAsia" w:ascii="宋体" w:hAnsi="宋体"/>
                <w:b/>
              </w:rPr>
              <w:t>（元/立方米）</w:t>
            </w:r>
          </w:p>
        </w:tc>
      </w:tr>
      <w:tr w14:paraId="6BD9F7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5" w:type="pct"/>
            <w:vAlign w:val="center"/>
          </w:tcPr>
          <w:p w14:paraId="63C9A278">
            <w:pPr>
              <w:pStyle w:val="12"/>
              <w:jc w:val="center"/>
              <w:rPr>
                <w:rFonts w:ascii="宋体" w:hAnsi="宋体"/>
              </w:rPr>
            </w:pPr>
            <w:r>
              <w:rPr>
                <w:rFonts w:hint="eastAsia" w:ascii="宋体" w:hAnsi="宋体"/>
              </w:rPr>
              <w:t>木材公司</w:t>
            </w:r>
          </w:p>
        </w:tc>
        <w:tc>
          <w:tcPr>
            <w:tcW w:w="641" w:type="pct"/>
            <w:vAlign w:val="center"/>
          </w:tcPr>
          <w:p w14:paraId="32A498FE">
            <w:pPr>
              <w:pStyle w:val="12"/>
              <w:jc w:val="center"/>
              <w:rPr>
                <w:rFonts w:ascii="宋体" w:hAnsi="宋体"/>
              </w:rPr>
            </w:pPr>
            <w:r>
              <w:rPr>
                <w:rFonts w:hint="eastAsia" w:ascii="宋体" w:hAnsi="宋体"/>
              </w:rPr>
              <w:t>10703</w:t>
            </w:r>
          </w:p>
        </w:tc>
        <w:tc>
          <w:tcPr>
            <w:tcW w:w="735" w:type="pct"/>
            <w:vAlign w:val="center"/>
          </w:tcPr>
          <w:p w14:paraId="77AE73AD">
            <w:pPr>
              <w:pStyle w:val="12"/>
              <w:jc w:val="center"/>
              <w:rPr>
                <w:rFonts w:ascii="宋体" w:hAnsi="宋体"/>
              </w:rPr>
            </w:pPr>
            <w:r>
              <w:rPr>
                <w:rFonts w:hint="eastAsia" w:ascii="宋体" w:hAnsi="宋体"/>
              </w:rPr>
              <w:t>384.00</w:t>
            </w:r>
          </w:p>
        </w:tc>
        <w:tc>
          <w:tcPr>
            <w:tcW w:w="715" w:type="pct"/>
            <w:vAlign w:val="center"/>
          </w:tcPr>
          <w:p w14:paraId="3E0B3279">
            <w:pPr>
              <w:pStyle w:val="12"/>
              <w:jc w:val="center"/>
              <w:rPr>
                <w:rFonts w:ascii="宋体" w:hAnsi="宋体"/>
              </w:rPr>
            </w:pPr>
            <w:r>
              <w:rPr>
                <w:rFonts w:hint="eastAsia" w:ascii="宋体" w:hAnsi="宋体"/>
              </w:rPr>
              <w:t>4109952</w:t>
            </w:r>
          </w:p>
        </w:tc>
        <w:tc>
          <w:tcPr>
            <w:tcW w:w="715" w:type="pct"/>
            <w:vAlign w:val="center"/>
          </w:tcPr>
          <w:p w14:paraId="7B1C0921">
            <w:pPr>
              <w:pStyle w:val="12"/>
              <w:jc w:val="center"/>
              <w:rPr>
                <w:rFonts w:ascii="宋体" w:hAnsi="宋体"/>
              </w:rPr>
            </w:pPr>
            <w:r>
              <w:rPr>
                <w:rFonts w:hint="eastAsia" w:ascii="宋体" w:hAnsi="宋体"/>
              </w:rPr>
              <w:t>4100213</w:t>
            </w:r>
          </w:p>
        </w:tc>
        <w:tc>
          <w:tcPr>
            <w:tcW w:w="609" w:type="pct"/>
            <w:vAlign w:val="center"/>
          </w:tcPr>
          <w:p w14:paraId="5112BB03">
            <w:pPr>
              <w:pStyle w:val="12"/>
              <w:jc w:val="center"/>
              <w:rPr>
                <w:rFonts w:ascii="宋体" w:hAnsi="宋体"/>
              </w:rPr>
            </w:pPr>
            <w:r>
              <w:rPr>
                <w:rFonts w:hint="eastAsia" w:ascii="宋体" w:hAnsi="宋体"/>
              </w:rPr>
              <w:t>9739</w:t>
            </w:r>
          </w:p>
        </w:tc>
        <w:tc>
          <w:tcPr>
            <w:tcW w:w="819" w:type="pct"/>
            <w:vAlign w:val="center"/>
          </w:tcPr>
          <w:p w14:paraId="1D9EE9A1">
            <w:pPr>
              <w:pStyle w:val="12"/>
              <w:jc w:val="center"/>
              <w:rPr>
                <w:rFonts w:ascii="宋体" w:hAnsi="宋体"/>
              </w:rPr>
            </w:pPr>
            <w:r>
              <w:rPr>
                <w:rFonts w:hint="eastAsia" w:ascii="宋体" w:hAnsi="宋体"/>
              </w:rPr>
              <w:t>0.91</w:t>
            </w:r>
          </w:p>
        </w:tc>
      </w:tr>
      <w:tr w14:paraId="4ADFD5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5" w:type="pct"/>
            <w:vAlign w:val="center"/>
          </w:tcPr>
          <w:p w14:paraId="327823CD">
            <w:pPr>
              <w:pStyle w:val="12"/>
              <w:jc w:val="center"/>
              <w:rPr>
                <w:rFonts w:ascii="宋体" w:hAnsi="宋体"/>
              </w:rPr>
            </w:pPr>
            <w:r>
              <w:rPr>
                <w:rFonts w:hint="eastAsia" w:ascii="宋体" w:hAnsi="宋体"/>
              </w:rPr>
              <w:t>局属林场</w:t>
            </w:r>
          </w:p>
        </w:tc>
        <w:tc>
          <w:tcPr>
            <w:tcW w:w="641" w:type="pct"/>
            <w:vAlign w:val="center"/>
          </w:tcPr>
          <w:p w14:paraId="2536831F">
            <w:pPr>
              <w:pStyle w:val="12"/>
              <w:jc w:val="center"/>
              <w:rPr>
                <w:rFonts w:ascii="宋体" w:hAnsi="宋体"/>
              </w:rPr>
            </w:pPr>
            <w:r>
              <w:rPr>
                <w:rFonts w:hint="eastAsia" w:ascii="宋体" w:hAnsi="宋体"/>
              </w:rPr>
              <w:t>5402</w:t>
            </w:r>
          </w:p>
        </w:tc>
        <w:tc>
          <w:tcPr>
            <w:tcW w:w="735" w:type="pct"/>
            <w:vAlign w:val="center"/>
          </w:tcPr>
          <w:p w14:paraId="2E03EF37">
            <w:pPr>
              <w:pStyle w:val="12"/>
              <w:jc w:val="center"/>
              <w:rPr>
                <w:rFonts w:ascii="宋体" w:hAnsi="宋体"/>
              </w:rPr>
            </w:pPr>
            <w:r>
              <w:rPr>
                <w:rFonts w:hint="eastAsia" w:ascii="宋体" w:hAnsi="宋体"/>
              </w:rPr>
              <w:t>403.54</w:t>
            </w:r>
          </w:p>
        </w:tc>
        <w:tc>
          <w:tcPr>
            <w:tcW w:w="715" w:type="pct"/>
            <w:vAlign w:val="center"/>
          </w:tcPr>
          <w:p w14:paraId="6205080D">
            <w:pPr>
              <w:pStyle w:val="12"/>
              <w:jc w:val="center"/>
              <w:rPr>
                <w:rFonts w:ascii="宋体" w:hAnsi="宋体"/>
              </w:rPr>
            </w:pPr>
            <w:r>
              <w:rPr>
                <w:rFonts w:hint="eastAsia" w:ascii="宋体" w:hAnsi="宋体"/>
              </w:rPr>
              <w:t>2179923</w:t>
            </w:r>
          </w:p>
        </w:tc>
        <w:tc>
          <w:tcPr>
            <w:tcW w:w="715" w:type="pct"/>
            <w:vAlign w:val="center"/>
          </w:tcPr>
          <w:p w14:paraId="25D7EEEC">
            <w:pPr>
              <w:pStyle w:val="12"/>
              <w:jc w:val="center"/>
              <w:rPr>
                <w:rFonts w:ascii="宋体" w:hAnsi="宋体"/>
              </w:rPr>
            </w:pPr>
            <w:r>
              <w:rPr>
                <w:rFonts w:hint="eastAsia" w:ascii="宋体" w:hAnsi="宋体"/>
              </w:rPr>
              <w:t>1438175</w:t>
            </w:r>
          </w:p>
        </w:tc>
        <w:tc>
          <w:tcPr>
            <w:tcW w:w="609" w:type="pct"/>
            <w:vAlign w:val="center"/>
          </w:tcPr>
          <w:p w14:paraId="61A8EDEF">
            <w:pPr>
              <w:pStyle w:val="12"/>
              <w:jc w:val="center"/>
              <w:rPr>
                <w:rFonts w:ascii="宋体" w:hAnsi="宋体"/>
              </w:rPr>
            </w:pPr>
            <w:r>
              <w:rPr>
                <w:rFonts w:hint="eastAsia" w:ascii="宋体" w:hAnsi="宋体"/>
              </w:rPr>
              <w:t>741748</w:t>
            </w:r>
          </w:p>
        </w:tc>
        <w:tc>
          <w:tcPr>
            <w:tcW w:w="819" w:type="pct"/>
            <w:vAlign w:val="center"/>
          </w:tcPr>
          <w:p w14:paraId="3A7A5DEC">
            <w:pPr>
              <w:pStyle w:val="12"/>
              <w:jc w:val="center"/>
              <w:rPr>
                <w:rFonts w:ascii="宋体" w:hAnsi="宋体"/>
              </w:rPr>
            </w:pPr>
            <w:r>
              <w:rPr>
                <w:rFonts w:hint="eastAsia" w:ascii="宋体" w:hAnsi="宋体"/>
              </w:rPr>
              <w:t>137.31</w:t>
            </w:r>
          </w:p>
        </w:tc>
      </w:tr>
      <w:tr w14:paraId="17AD90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5" w:type="pct"/>
            <w:vAlign w:val="center"/>
          </w:tcPr>
          <w:p w14:paraId="74A64D31">
            <w:pPr>
              <w:pStyle w:val="12"/>
              <w:jc w:val="center"/>
              <w:rPr>
                <w:rFonts w:ascii="宋体" w:hAnsi="宋体"/>
              </w:rPr>
            </w:pPr>
            <w:r>
              <w:rPr>
                <w:rFonts w:hint="eastAsia" w:ascii="宋体" w:hAnsi="宋体"/>
              </w:rPr>
              <w:t>局属联办林场</w:t>
            </w:r>
          </w:p>
        </w:tc>
        <w:tc>
          <w:tcPr>
            <w:tcW w:w="641" w:type="pct"/>
            <w:vAlign w:val="center"/>
          </w:tcPr>
          <w:p w14:paraId="579B065D">
            <w:pPr>
              <w:pStyle w:val="12"/>
              <w:jc w:val="center"/>
              <w:rPr>
                <w:rFonts w:ascii="宋体" w:hAnsi="宋体"/>
              </w:rPr>
            </w:pPr>
            <w:r>
              <w:rPr>
                <w:rFonts w:hint="eastAsia" w:ascii="宋体" w:hAnsi="宋体"/>
              </w:rPr>
              <w:t>8141</w:t>
            </w:r>
          </w:p>
        </w:tc>
        <w:tc>
          <w:tcPr>
            <w:tcW w:w="735" w:type="pct"/>
            <w:vAlign w:val="center"/>
          </w:tcPr>
          <w:p w14:paraId="08DCA2AD">
            <w:pPr>
              <w:pStyle w:val="12"/>
              <w:jc w:val="center"/>
              <w:rPr>
                <w:rFonts w:ascii="宋体" w:hAnsi="宋体"/>
              </w:rPr>
            </w:pPr>
            <w:r>
              <w:rPr>
                <w:rFonts w:hint="eastAsia" w:ascii="宋体" w:hAnsi="宋体"/>
              </w:rPr>
              <w:t>371.33</w:t>
            </w:r>
          </w:p>
        </w:tc>
        <w:tc>
          <w:tcPr>
            <w:tcW w:w="715" w:type="pct"/>
            <w:vAlign w:val="center"/>
          </w:tcPr>
          <w:p w14:paraId="7FB37599">
            <w:pPr>
              <w:pStyle w:val="12"/>
              <w:jc w:val="center"/>
              <w:rPr>
                <w:rFonts w:ascii="宋体" w:hAnsi="宋体"/>
              </w:rPr>
            </w:pPr>
            <w:r>
              <w:rPr>
                <w:rFonts w:hint="eastAsia" w:ascii="宋体" w:hAnsi="宋体"/>
              </w:rPr>
              <w:t>3022997</w:t>
            </w:r>
          </w:p>
        </w:tc>
        <w:tc>
          <w:tcPr>
            <w:tcW w:w="715" w:type="pct"/>
            <w:vAlign w:val="center"/>
          </w:tcPr>
          <w:p w14:paraId="40476747">
            <w:pPr>
              <w:pStyle w:val="12"/>
              <w:jc w:val="center"/>
              <w:rPr>
                <w:rFonts w:ascii="宋体" w:hAnsi="宋体"/>
              </w:rPr>
            </w:pPr>
            <w:r>
              <w:rPr>
                <w:rFonts w:hint="eastAsia" w:ascii="宋体" w:hAnsi="宋体"/>
              </w:rPr>
              <w:t>2244474</w:t>
            </w:r>
          </w:p>
        </w:tc>
        <w:tc>
          <w:tcPr>
            <w:tcW w:w="609" w:type="pct"/>
            <w:vAlign w:val="center"/>
          </w:tcPr>
          <w:p w14:paraId="0B18C8D1">
            <w:pPr>
              <w:pStyle w:val="12"/>
              <w:jc w:val="center"/>
              <w:rPr>
                <w:rFonts w:ascii="宋体" w:hAnsi="宋体"/>
              </w:rPr>
            </w:pPr>
            <w:r>
              <w:rPr>
                <w:rFonts w:hint="eastAsia" w:ascii="宋体" w:hAnsi="宋体"/>
              </w:rPr>
              <w:t>778523</w:t>
            </w:r>
          </w:p>
        </w:tc>
        <w:tc>
          <w:tcPr>
            <w:tcW w:w="819" w:type="pct"/>
            <w:vAlign w:val="center"/>
          </w:tcPr>
          <w:p w14:paraId="154F3B4B">
            <w:pPr>
              <w:pStyle w:val="12"/>
              <w:jc w:val="center"/>
              <w:rPr>
                <w:rFonts w:ascii="宋体" w:hAnsi="宋体"/>
              </w:rPr>
            </w:pPr>
            <w:r>
              <w:rPr>
                <w:rFonts w:hint="eastAsia" w:ascii="宋体" w:hAnsi="宋体"/>
              </w:rPr>
              <w:t>95.63</w:t>
            </w:r>
          </w:p>
        </w:tc>
      </w:tr>
      <w:tr w14:paraId="21D500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5" w:type="pct"/>
            <w:vAlign w:val="center"/>
          </w:tcPr>
          <w:p w14:paraId="1D3C4DBF">
            <w:pPr>
              <w:pStyle w:val="12"/>
              <w:jc w:val="center"/>
              <w:rPr>
                <w:rFonts w:ascii="宋体" w:hAnsi="宋体"/>
              </w:rPr>
            </w:pPr>
            <w:r>
              <w:rPr>
                <w:rFonts w:hint="eastAsia" w:ascii="宋体" w:hAnsi="宋体"/>
              </w:rPr>
              <w:t>帽子峰林场</w:t>
            </w:r>
          </w:p>
        </w:tc>
        <w:tc>
          <w:tcPr>
            <w:tcW w:w="641" w:type="pct"/>
            <w:vAlign w:val="center"/>
          </w:tcPr>
          <w:p w14:paraId="64D2FADE">
            <w:pPr>
              <w:pStyle w:val="12"/>
              <w:jc w:val="center"/>
              <w:rPr>
                <w:rFonts w:ascii="宋体" w:hAnsi="宋体"/>
              </w:rPr>
            </w:pPr>
            <w:r>
              <w:rPr>
                <w:rFonts w:hint="eastAsia" w:ascii="宋体" w:hAnsi="宋体"/>
              </w:rPr>
              <w:t>12331</w:t>
            </w:r>
          </w:p>
        </w:tc>
        <w:tc>
          <w:tcPr>
            <w:tcW w:w="735" w:type="pct"/>
            <w:vAlign w:val="center"/>
          </w:tcPr>
          <w:p w14:paraId="4287DDFC">
            <w:pPr>
              <w:pStyle w:val="12"/>
              <w:jc w:val="center"/>
              <w:rPr>
                <w:rFonts w:ascii="宋体" w:hAnsi="宋体"/>
              </w:rPr>
            </w:pPr>
            <w:r>
              <w:rPr>
                <w:rFonts w:hint="eastAsia" w:ascii="宋体" w:hAnsi="宋体"/>
              </w:rPr>
              <w:t>460.20</w:t>
            </w:r>
          </w:p>
        </w:tc>
        <w:tc>
          <w:tcPr>
            <w:tcW w:w="715" w:type="pct"/>
            <w:vAlign w:val="center"/>
          </w:tcPr>
          <w:p w14:paraId="2DED3C9A">
            <w:pPr>
              <w:pStyle w:val="12"/>
              <w:jc w:val="center"/>
              <w:rPr>
                <w:rFonts w:ascii="宋体" w:hAnsi="宋体"/>
              </w:rPr>
            </w:pPr>
            <w:r>
              <w:rPr>
                <w:rFonts w:hint="eastAsia" w:ascii="宋体" w:hAnsi="宋体"/>
              </w:rPr>
              <w:t>5674726</w:t>
            </w:r>
          </w:p>
        </w:tc>
        <w:tc>
          <w:tcPr>
            <w:tcW w:w="715" w:type="pct"/>
            <w:vAlign w:val="center"/>
          </w:tcPr>
          <w:p w14:paraId="1AA110C9">
            <w:pPr>
              <w:pStyle w:val="12"/>
              <w:jc w:val="center"/>
              <w:rPr>
                <w:rFonts w:ascii="宋体" w:hAnsi="宋体"/>
              </w:rPr>
            </w:pPr>
            <w:r>
              <w:rPr>
                <w:rFonts w:hint="eastAsia" w:ascii="宋体" w:hAnsi="宋体"/>
              </w:rPr>
              <w:t>3064006</w:t>
            </w:r>
          </w:p>
        </w:tc>
        <w:tc>
          <w:tcPr>
            <w:tcW w:w="609" w:type="pct"/>
            <w:vAlign w:val="center"/>
          </w:tcPr>
          <w:p w14:paraId="523C30BD">
            <w:pPr>
              <w:pStyle w:val="12"/>
              <w:jc w:val="center"/>
              <w:rPr>
                <w:rFonts w:ascii="宋体" w:hAnsi="宋体"/>
              </w:rPr>
            </w:pPr>
            <w:r>
              <w:rPr>
                <w:rFonts w:hint="eastAsia" w:ascii="宋体" w:hAnsi="宋体"/>
              </w:rPr>
              <w:t>2610720</w:t>
            </w:r>
          </w:p>
        </w:tc>
        <w:tc>
          <w:tcPr>
            <w:tcW w:w="819" w:type="pct"/>
            <w:vAlign w:val="center"/>
          </w:tcPr>
          <w:p w14:paraId="70A38982">
            <w:pPr>
              <w:pStyle w:val="12"/>
              <w:jc w:val="center"/>
              <w:rPr>
                <w:rFonts w:ascii="宋体" w:hAnsi="宋体"/>
              </w:rPr>
            </w:pPr>
            <w:r>
              <w:rPr>
                <w:rFonts w:hint="eastAsia" w:ascii="宋体" w:hAnsi="宋体"/>
              </w:rPr>
              <w:t>211.72</w:t>
            </w:r>
          </w:p>
        </w:tc>
      </w:tr>
      <w:tr w14:paraId="7F0BFC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5" w:type="pct"/>
            <w:vAlign w:val="center"/>
          </w:tcPr>
          <w:p w14:paraId="61EA43DE">
            <w:pPr>
              <w:pStyle w:val="12"/>
              <w:jc w:val="center"/>
              <w:rPr>
                <w:rFonts w:ascii="宋体" w:hAnsi="宋体"/>
              </w:rPr>
            </w:pPr>
            <w:r>
              <w:rPr>
                <w:rFonts w:hint="eastAsia" w:ascii="宋体" w:hAnsi="宋体"/>
              </w:rPr>
              <w:t>乡镇林场</w:t>
            </w:r>
          </w:p>
        </w:tc>
        <w:tc>
          <w:tcPr>
            <w:tcW w:w="641" w:type="pct"/>
            <w:vAlign w:val="center"/>
          </w:tcPr>
          <w:p w14:paraId="049D651A">
            <w:pPr>
              <w:pStyle w:val="12"/>
              <w:jc w:val="center"/>
              <w:rPr>
                <w:rFonts w:ascii="宋体" w:hAnsi="宋体"/>
              </w:rPr>
            </w:pPr>
            <w:r>
              <w:rPr>
                <w:rFonts w:hint="eastAsia" w:ascii="宋体" w:hAnsi="宋体"/>
              </w:rPr>
              <w:t>20608</w:t>
            </w:r>
          </w:p>
        </w:tc>
        <w:tc>
          <w:tcPr>
            <w:tcW w:w="735" w:type="pct"/>
            <w:vAlign w:val="center"/>
          </w:tcPr>
          <w:p w14:paraId="71536F1F">
            <w:pPr>
              <w:pStyle w:val="12"/>
              <w:jc w:val="center"/>
              <w:rPr>
                <w:rFonts w:ascii="宋体" w:hAnsi="宋体"/>
              </w:rPr>
            </w:pPr>
            <w:r>
              <w:rPr>
                <w:rFonts w:hint="eastAsia" w:ascii="宋体" w:hAnsi="宋体"/>
              </w:rPr>
              <w:t>385.92</w:t>
            </w:r>
          </w:p>
        </w:tc>
        <w:tc>
          <w:tcPr>
            <w:tcW w:w="715" w:type="pct"/>
            <w:vAlign w:val="center"/>
          </w:tcPr>
          <w:p w14:paraId="3466FCE1">
            <w:pPr>
              <w:pStyle w:val="12"/>
              <w:jc w:val="center"/>
              <w:rPr>
                <w:rFonts w:ascii="宋体" w:hAnsi="宋体"/>
              </w:rPr>
            </w:pPr>
            <w:r>
              <w:rPr>
                <w:rFonts w:hint="eastAsia" w:ascii="宋体" w:hAnsi="宋体"/>
              </w:rPr>
              <w:t>7953039</w:t>
            </w:r>
          </w:p>
        </w:tc>
        <w:tc>
          <w:tcPr>
            <w:tcW w:w="715" w:type="pct"/>
            <w:vAlign w:val="center"/>
          </w:tcPr>
          <w:p w14:paraId="5311E360">
            <w:pPr>
              <w:pStyle w:val="12"/>
              <w:jc w:val="center"/>
              <w:rPr>
                <w:rFonts w:ascii="宋体" w:hAnsi="宋体"/>
              </w:rPr>
            </w:pPr>
            <w:r>
              <w:rPr>
                <w:rFonts w:hint="eastAsia" w:ascii="宋体" w:hAnsi="宋体"/>
              </w:rPr>
              <w:t>5710270</w:t>
            </w:r>
          </w:p>
        </w:tc>
        <w:tc>
          <w:tcPr>
            <w:tcW w:w="609" w:type="pct"/>
            <w:vAlign w:val="center"/>
          </w:tcPr>
          <w:p w14:paraId="28F99DFF">
            <w:pPr>
              <w:pStyle w:val="12"/>
              <w:jc w:val="center"/>
              <w:rPr>
                <w:rFonts w:ascii="宋体" w:hAnsi="宋体"/>
              </w:rPr>
            </w:pPr>
            <w:r>
              <w:rPr>
                <w:rFonts w:hint="eastAsia" w:ascii="宋体" w:hAnsi="宋体"/>
              </w:rPr>
              <w:t>2242768</w:t>
            </w:r>
          </w:p>
        </w:tc>
        <w:tc>
          <w:tcPr>
            <w:tcW w:w="819" w:type="pct"/>
            <w:vAlign w:val="center"/>
          </w:tcPr>
          <w:p w14:paraId="6F11672F">
            <w:pPr>
              <w:pStyle w:val="12"/>
              <w:jc w:val="center"/>
              <w:rPr>
                <w:rFonts w:ascii="宋体" w:hAnsi="宋体"/>
              </w:rPr>
            </w:pPr>
            <w:r>
              <w:rPr>
                <w:rFonts w:hint="eastAsia" w:ascii="宋体" w:hAnsi="宋体"/>
              </w:rPr>
              <w:t>108.83</w:t>
            </w:r>
          </w:p>
        </w:tc>
      </w:tr>
      <w:tr w14:paraId="68E73A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5" w:type="pct"/>
            <w:vAlign w:val="center"/>
          </w:tcPr>
          <w:p w14:paraId="18141D68">
            <w:pPr>
              <w:pStyle w:val="12"/>
              <w:jc w:val="center"/>
              <w:rPr>
                <w:rFonts w:ascii="宋体" w:hAnsi="宋体"/>
              </w:rPr>
            </w:pPr>
            <w:r>
              <w:rPr>
                <w:rFonts w:hint="eastAsia" w:ascii="宋体" w:hAnsi="宋体"/>
              </w:rPr>
              <w:t>合计</w:t>
            </w:r>
          </w:p>
        </w:tc>
        <w:tc>
          <w:tcPr>
            <w:tcW w:w="641" w:type="pct"/>
            <w:vAlign w:val="center"/>
          </w:tcPr>
          <w:p w14:paraId="31984254">
            <w:pPr>
              <w:pStyle w:val="12"/>
              <w:jc w:val="center"/>
              <w:rPr>
                <w:rFonts w:ascii="宋体" w:hAnsi="宋体"/>
              </w:rPr>
            </w:pPr>
            <w:r>
              <w:rPr>
                <w:rFonts w:hint="eastAsia" w:ascii="宋体" w:hAnsi="宋体"/>
              </w:rPr>
              <w:t>57185</w:t>
            </w:r>
          </w:p>
        </w:tc>
        <w:tc>
          <w:tcPr>
            <w:tcW w:w="735" w:type="pct"/>
            <w:vAlign w:val="center"/>
          </w:tcPr>
          <w:p w14:paraId="669892BC">
            <w:pPr>
              <w:pStyle w:val="12"/>
              <w:jc w:val="center"/>
              <w:rPr>
                <w:rFonts w:ascii="宋体" w:hAnsi="宋体"/>
              </w:rPr>
            </w:pPr>
            <w:r>
              <w:rPr>
                <w:rFonts w:hint="eastAsia" w:ascii="宋体" w:hAnsi="宋体"/>
              </w:rPr>
              <w:t>401.17</w:t>
            </w:r>
          </w:p>
        </w:tc>
        <w:tc>
          <w:tcPr>
            <w:tcW w:w="715" w:type="pct"/>
            <w:vAlign w:val="center"/>
          </w:tcPr>
          <w:p w14:paraId="6C01E012">
            <w:pPr>
              <w:pStyle w:val="12"/>
              <w:jc w:val="center"/>
              <w:rPr>
                <w:rFonts w:ascii="宋体" w:hAnsi="宋体"/>
              </w:rPr>
            </w:pPr>
            <w:r>
              <w:rPr>
                <w:rFonts w:hint="eastAsia" w:ascii="宋体" w:hAnsi="宋体"/>
              </w:rPr>
              <w:t>22940637</w:t>
            </w:r>
          </w:p>
        </w:tc>
        <w:tc>
          <w:tcPr>
            <w:tcW w:w="715" w:type="pct"/>
            <w:vAlign w:val="center"/>
          </w:tcPr>
          <w:p w14:paraId="6E4883FA">
            <w:pPr>
              <w:pStyle w:val="12"/>
              <w:jc w:val="center"/>
              <w:rPr>
                <w:rFonts w:ascii="宋体" w:hAnsi="宋体"/>
              </w:rPr>
            </w:pPr>
            <w:r>
              <w:rPr>
                <w:rFonts w:hint="eastAsia" w:ascii="宋体" w:hAnsi="宋体"/>
              </w:rPr>
              <w:t>16557139</w:t>
            </w:r>
          </w:p>
        </w:tc>
        <w:tc>
          <w:tcPr>
            <w:tcW w:w="609" w:type="pct"/>
            <w:vAlign w:val="center"/>
          </w:tcPr>
          <w:p w14:paraId="2B8D44EC">
            <w:pPr>
              <w:pStyle w:val="12"/>
              <w:jc w:val="center"/>
              <w:rPr>
                <w:rFonts w:ascii="宋体" w:hAnsi="宋体"/>
              </w:rPr>
            </w:pPr>
            <w:r>
              <w:rPr>
                <w:rFonts w:hint="eastAsia" w:ascii="宋体" w:hAnsi="宋体"/>
              </w:rPr>
              <w:t>6383498</w:t>
            </w:r>
          </w:p>
        </w:tc>
        <w:tc>
          <w:tcPr>
            <w:tcW w:w="819" w:type="pct"/>
            <w:vAlign w:val="center"/>
          </w:tcPr>
          <w:p w14:paraId="500681D9">
            <w:pPr>
              <w:pStyle w:val="12"/>
              <w:jc w:val="center"/>
              <w:rPr>
                <w:rFonts w:ascii="宋体" w:hAnsi="宋体"/>
              </w:rPr>
            </w:pPr>
            <w:r>
              <w:rPr>
                <w:rFonts w:hint="eastAsia" w:ascii="宋体" w:hAnsi="宋体"/>
              </w:rPr>
              <w:t>111.63</w:t>
            </w:r>
          </w:p>
        </w:tc>
      </w:tr>
    </w:tbl>
    <w:p w14:paraId="02CDA134">
      <w:pPr>
        <w:pStyle w:val="4"/>
        <w:rPr>
          <w:rFonts w:ascii="宋体" w:hAnsi="宋体"/>
        </w:rPr>
      </w:pPr>
      <w:r>
        <w:rPr>
          <w:rFonts w:hint="eastAsia" w:ascii="宋体" w:hAnsi="宋体"/>
        </w:rPr>
        <w:t>第七节  林区开发</w:t>
      </w:r>
    </w:p>
    <w:p w14:paraId="0E13CB41">
      <w:pPr>
        <w:ind w:firstLine="420"/>
        <w:rPr>
          <w:rFonts w:ascii="宋体" w:hAnsi="宋体"/>
          <w:szCs w:val="21"/>
        </w:rPr>
      </w:pPr>
      <w:r>
        <w:rPr>
          <w:rFonts w:ascii="宋体" w:hAnsi="宋体"/>
          <w:szCs w:val="21"/>
        </w:rPr>
        <w:t>1962年至1987年，南雄木材、毛竹经营单位投资开辟通往深山老林的汽车道18</w:t>
      </w:r>
      <w:r>
        <w:rPr>
          <w:rFonts w:hint="eastAsia" w:ascii="宋体" w:hAnsi="宋体"/>
          <w:szCs w:val="21"/>
        </w:rPr>
        <w:t>条（段），共长</w:t>
      </w:r>
      <w:r>
        <w:rPr>
          <w:rFonts w:ascii="宋体" w:hAnsi="宋体"/>
          <w:szCs w:val="21"/>
        </w:rPr>
        <w:t>241.2公里，使原始森林资源得以开发利用，也为后来的更新造林</w:t>
      </w:r>
      <w:r>
        <w:rPr>
          <w:rFonts w:hint="eastAsia" w:ascii="宋体" w:hAnsi="宋体"/>
          <w:szCs w:val="21"/>
        </w:rPr>
        <w:t>，发展林业创造了条件。改革开放以后，政府加大了地方公路建设的投入，乡村公路建设日益增多，原有的林区公路有近</w:t>
      </w:r>
      <w:r>
        <w:rPr>
          <w:rFonts w:ascii="宋体" w:hAnsi="宋体"/>
          <w:szCs w:val="21"/>
        </w:rPr>
        <w:t>36%成为乡村公路的一部分，划归地方公路局管</w:t>
      </w:r>
      <w:r>
        <w:rPr>
          <w:rFonts w:hint="eastAsia" w:ascii="宋体" w:hAnsi="宋体"/>
          <w:szCs w:val="21"/>
        </w:rPr>
        <w:t>理。</w:t>
      </w:r>
    </w:p>
    <w:p w14:paraId="7A5BA414">
      <w:pPr>
        <w:ind w:firstLine="420"/>
        <w:rPr>
          <w:rFonts w:ascii="宋体" w:hAnsi="宋体"/>
          <w:szCs w:val="21"/>
        </w:rPr>
      </w:pPr>
      <w:r>
        <w:rPr>
          <w:rFonts w:ascii="宋体" w:hAnsi="宋体"/>
          <w:szCs w:val="21"/>
        </w:rPr>
        <w:t>1993年，县委、县政府提出“八五”期间建设“五大基地”：白果基地</w:t>
      </w:r>
      <w:r>
        <w:rPr>
          <w:rFonts w:hint="eastAsia" w:ascii="宋体" w:hAnsi="宋体"/>
          <w:szCs w:val="21"/>
        </w:rPr>
        <w:t>3</w:t>
      </w:r>
      <w:r>
        <w:rPr>
          <w:rFonts w:ascii="宋体" w:hAnsi="宋体"/>
          <w:szCs w:val="21"/>
        </w:rPr>
        <w:t>333.33</w:t>
      </w:r>
      <w:r>
        <w:rPr>
          <w:rFonts w:hint="eastAsia" w:ascii="宋体" w:hAnsi="宋体"/>
          <w:szCs w:val="21"/>
        </w:rPr>
        <w:t>公顷、毛竹基地</w:t>
      </w:r>
      <w:r>
        <w:rPr>
          <w:rFonts w:ascii="宋体" w:hAnsi="宋体"/>
          <w:szCs w:val="21"/>
        </w:rPr>
        <w:t>20000公顷、松香基地</w:t>
      </w:r>
      <w:r>
        <w:rPr>
          <w:rFonts w:hint="eastAsia" w:ascii="宋体" w:hAnsi="宋体"/>
          <w:szCs w:val="21"/>
        </w:rPr>
        <w:t>6</w:t>
      </w:r>
      <w:r>
        <w:rPr>
          <w:rFonts w:ascii="宋体" w:hAnsi="宋体"/>
          <w:szCs w:val="21"/>
        </w:rPr>
        <w:t>666.67公顷、油茶基地2000公顷、药材基</w:t>
      </w:r>
      <w:r>
        <w:rPr>
          <w:rFonts w:hint="eastAsia" w:ascii="宋体" w:hAnsi="宋体"/>
          <w:szCs w:val="21"/>
        </w:rPr>
        <w:t>地</w:t>
      </w:r>
      <w:r>
        <w:rPr>
          <w:rFonts w:ascii="宋体" w:hAnsi="宋体"/>
          <w:szCs w:val="21"/>
        </w:rPr>
        <w:t>2000公顷。并提出要在山上再造一个新南雄。1995年，又提出建设白果基地</w:t>
      </w:r>
      <w:r>
        <w:rPr>
          <w:rFonts w:hint="eastAsia" w:ascii="宋体" w:hAnsi="宋体"/>
          <w:szCs w:val="21"/>
        </w:rPr>
        <w:t>66</w:t>
      </w:r>
      <w:r>
        <w:rPr>
          <w:rFonts w:ascii="宋体" w:hAnsi="宋体"/>
          <w:szCs w:val="21"/>
        </w:rPr>
        <w:t>66.67公顷，要把南雄建成中华白果之乡。1998年市政府再决定建油茶基地1333.33公顷</w:t>
      </w:r>
      <w:r>
        <w:rPr>
          <w:rFonts w:hint="eastAsia" w:ascii="宋体" w:hAnsi="宋体"/>
          <w:szCs w:val="21"/>
        </w:rPr>
        <w:t>。</w:t>
      </w:r>
    </w:p>
    <w:p w14:paraId="69BCE52C">
      <w:pPr>
        <w:pStyle w:val="5"/>
        <w:rPr>
          <w:rFonts w:ascii="宋体" w:hAnsi="宋体"/>
        </w:rPr>
      </w:pPr>
      <w:r>
        <w:rPr>
          <w:rFonts w:hint="eastAsia" w:ascii="宋体" w:hAnsi="宋体"/>
        </w:rPr>
        <w:t>一、毛竹基地</w:t>
      </w:r>
    </w:p>
    <w:p w14:paraId="565546E6">
      <w:pPr>
        <w:ind w:firstLine="420"/>
        <w:rPr>
          <w:rFonts w:ascii="宋体" w:hAnsi="宋体"/>
          <w:szCs w:val="21"/>
        </w:rPr>
      </w:pPr>
      <w:r>
        <w:rPr>
          <w:rFonts w:hint="eastAsia" w:ascii="宋体" w:hAnsi="宋体"/>
          <w:szCs w:val="21"/>
        </w:rPr>
        <w:t>南雄毛竹林面积全省第一。</w:t>
      </w:r>
      <w:r>
        <w:rPr>
          <w:rFonts w:ascii="宋体" w:hAnsi="宋体"/>
          <w:szCs w:val="21"/>
        </w:rPr>
        <w:t>1973年起，先后在苍石、白云、百顺、主田、江头、</w:t>
      </w:r>
      <w:r>
        <w:rPr>
          <w:rFonts w:hint="eastAsia" w:ascii="宋体" w:hAnsi="宋体"/>
          <w:szCs w:val="21"/>
        </w:rPr>
        <w:t>油山等公社的毛竹集中产区建立纯毛竹生产基地</w:t>
      </w:r>
      <w:r>
        <w:rPr>
          <w:rFonts w:ascii="宋体" w:hAnsi="宋体"/>
          <w:szCs w:val="21"/>
        </w:rPr>
        <w:t>3933.33公顷。生产队每年斩除竹山</w:t>
      </w:r>
      <w:r>
        <w:rPr>
          <w:rFonts w:hint="eastAsia" w:ascii="宋体" w:hAnsi="宋体"/>
          <w:szCs w:val="21"/>
        </w:rPr>
        <w:t>中的非毛竹植物一次，大队配备毛竹管山员，禁止在基地内挖竹笋。使毛竹生长密度倍增。经营部门为此付出基地建设费用</w:t>
      </w:r>
      <w:r>
        <w:rPr>
          <w:rFonts w:ascii="宋体" w:hAnsi="宋体"/>
          <w:szCs w:val="21"/>
        </w:rPr>
        <w:t>51.63万元。但因地力不足，毛竹变小变矮，</w:t>
      </w:r>
      <w:r>
        <w:rPr>
          <w:rFonts w:hint="eastAsia" w:ascii="宋体" w:hAnsi="宋体"/>
          <w:szCs w:val="21"/>
        </w:rPr>
        <w:t>等级下降。</w:t>
      </w:r>
      <w:r>
        <w:rPr>
          <w:rFonts w:ascii="宋体" w:hAnsi="宋体"/>
          <w:szCs w:val="21"/>
        </w:rPr>
        <w:t>1982年山林分户经营之后，管理措施难以落实。1986年后，该计划停止</w:t>
      </w:r>
      <w:r>
        <w:rPr>
          <w:rFonts w:hint="eastAsia" w:ascii="宋体" w:hAnsi="宋体"/>
          <w:szCs w:val="21"/>
        </w:rPr>
        <w:t>实施。</w:t>
      </w:r>
    </w:p>
    <w:p w14:paraId="045012DD">
      <w:pPr>
        <w:ind w:firstLine="420"/>
        <w:rPr>
          <w:rFonts w:ascii="宋体" w:hAnsi="宋体"/>
          <w:szCs w:val="21"/>
        </w:rPr>
      </w:pPr>
      <w:r>
        <w:rPr>
          <w:rFonts w:ascii="宋体" w:hAnsi="宋体"/>
          <w:szCs w:val="21"/>
        </w:rPr>
        <w:t>1984年林业资源二类调查，全县毛竹面积1.866万公顷。1993年为建设2万公</w:t>
      </w:r>
      <w:r>
        <w:rPr>
          <w:rFonts w:hint="eastAsia" w:ascii="宋体" w:hAnsi="宋体"/>
          <w:szCs w:val="21"/>
        </w:rPr>
        <w:t>顷毛竹基地，林业部门采取三条措施：一是技术措施，推广劈山砍杂、垦复抚育、施肥，改善竹林生长条件，促进毛竹生长；二是改善竹林经营方式，林业部门和各镇采取联办或林权入股合作经营等方式创办林场，经营毛竹面积</w:t>
      </w:r>
      <w:r>
        <w:rPr>
          <w:rFonts w:ascii="宋体" w:hAnsi="宋体"/>
          <w:szCs w:val="21"/>
        </w:rPr>
        <w:t>6933公顷；三是办好毛</w:t>
      </w:r>
      <w:r>
        <w:rPr>
          <w:rFonts w:hint="eastAsia" w:ascii="宋体" w:hAnsi="宋体"/>
          <w:szCs w:val="21"/>
        </w:rPr>
        <w:t>竹丰产示范场，举办技术培训班等，以提高毛竹管理技术水平。</w:t>
      </w:r>
      <w:r>
        <w:rPr>
          <w:rFonts w:ascii="宋体" w:hAnsi="宋体"/>
          <w:szCs w:val="21"/>
        </w:rPr>
        <w:t>1997年末，全市毛</w:t>
      </w:r>
      <w:r>
        <w:rPr>
          <w:rFonts w:hint="eastAsia" w:ascii="宋体" w:hAnsi="宋体"/>
          <w:szCs w:val="21"/>
        </w:rPr>
        <w:t>竹面积</w:t>
      </w:r>
      <w:r>
        <w:rPr>
          <w:rFonts w:ascii="宋体" w:hAnsi="宋体"/>
          <w:szCs w:val="21"/>
        </w:rPr>
        <w:t>21585.7公顷，毛竹立竹量4015万株。2004年，毛竹生产量249万条，比2000年前的年均80万条，增长2倍。</w:t>
      </w:r>
    </w:p>
    <w:p w14:paraId="5386EAE4">
      <w:pPr>
        <w:ind w:firstLine="420"/>
        <w:rPr>
          <w:rFonts w:ascii="宋体" w:hAnsi="宋体"/>
          <w:szCs w:val="21"/>
        </w:rPr>
      </w:pPr>
      <w:r>
        <w:rPr>
          <w:rFonts w:hint="eastAsia" w:ascii="宋体" w:hAnsi="宋体"/>
          <w:szCs w:val="21"/>
        </w:rPr>
        <w:t>在平原丘陵区，</w:t>
      </w:r>
      <w:r>
        <w:rPr>
          <w:rFonts w:ascii="宋体" w:hAnsi="宋体"/>
          <w:szCs w:val="21"/>
        </w:rPr>
        <w:t>1999年扩种丛生竹120万株，成活110万株。2004年产量3万</w:t>
      </w:r>
      <w:r>
        <w:rPr>
          <w:rFonts w:hint="eastAsia" w:ascii="宋体" w:hAnsi="宋体"/>
          <w:szCs w:val="21"/>
        </w:rPr>
        <w:t>吨，全部由珠玑纸业公司收购作造纸原料。</w:t>
      </w:r>
    </w:p>
    <w:p w14:paraId="445A3C89">
      <w:pPr>
        <w:pStyle w:val="5"/>
        <w:rPr>
          <w:rFonts w:ascii="宋体" w:hAnsi="宋体"/>
        </w:rPr>
      </w:pPr>
      <w:r>
        <w:rPr>
          <w:rFonts w:hint="eastAsia" w:ascii="宋体" w:hAnsi="宋体"/>
        </w:rPr>
        <w:t>二、白果基地</w:t>
      </w:r>
    </w:p>
    <w:p w14:paraId="51007F64">
      <w:pPr>
        <w:ind w:firstLine="420"/>
        <w:rPr>
          <w:rFonts w:ascii="宋体" w:hAnsi="宋体"/>
          <w:szCs w:val="21"/>
        </w:rPr>
      </w:pPr>
      <w:r>
        <w:rPr>
          <w:rFonts w:hint="eastAsia" w:ascii="宋体" w:hAnsi="宋体"/>
          <w:szCs w:val="21"/>
        </w:rPr>
        <w:t>南雄是广东省唯一的白果（银杏）主产区。分布于坪田、南亩、油山等镇，以坪田为著。白果以果粒大、肉嫩、隐胚、味香甜为优良品质。</w:t>
      </w:r>
      <w:r>
        <w:rPr>
          <w:rFonts w:ascii="宋体" w:hAnsi="宋体"/>
          <w:szCs w:val="21"/>
        </w:rPr>
        <w:t>1987年全县有5403</w:t>
      </w:r>
      <w:r>
        <w:rPr>
          <w:rFonts w:hint="eastAsia" w:ascii="宋体" w:hAnsi="宋体"/>
          <w:szCs w:val="21"/>
        </w:rPr>
        <w:t>株。</w:t>
      </w:r>
      <w:r>
        <w:rPr>
          <w:rFonts w:ascii="宋体" w:hAnsi="宋体"/>
          <w:szCs w:val="21"/>
        </w:rPr>
        <w:t>1993年成立县白果生产指挥部，采取“五统一”（规划、指挥、标准、行动、建</w:t>
      </w:r>
      <w:r>
        <w:rPr>
          <w:rFonts w:hint="eastAsia" w:ascii="宋体" w:hAnsi="宋体"/>
          <w:szCs w:val="21"/>
        </w:rPr>
        <w:t>设）方式，要求镇、村和市直有关单位均要办白果基地。全县累计发放白果苗</w:t>
      </w:r>
      <w:r>
        <w:rPr>
          <w:rFonts w:ascii="宋体" w:hAnsi="宋体"/>
          <w:szCs w:val="21"/>
        </w:rPr>
        <w:t>230万</w:t>
      </w:r>
      <w:r>
        <w:rPr>
          <w:rFonts w:hint="eastAsia" w:ascii="宋体" w:hAnsi="宋体"/>
          <w:szCs w:val="21"/>
        </w:rPr>
        <w:t>株，共办白果基地</w:t>
      </w:r>
      <w:r>
        <w:rPr>
          <w:rFonts w:ascii="宋体" w:hAnsi="宋体"/>
          <w:szCs w:val="21"/>
        </w:rPr>
        <w:t>365个。1997年统计全市种植白果5569公顷。但因经营体制不适</w:t>
      </w:r>
      <w:r>
        <w:rPr>
          <w:rFonts w:hint="eastAsia" w:ascii="宋体" w:hAnsi="宋体"/>
          <w:szCs w:val="21"/>
        </w:rPr>
        <w:t>应，种植标准达不到要求，管理工作跟不上，成活率低，且因引进外来品种，导致品质下降。市有关部门从本地良种白果树采集接穗，进行高枝嫁接，以保持南雄白果的优良特点。</w:t>
      </w:r>
    </w:p>
    <w:p w14:paraId="51E3DA91">
      <w:pPr>
        <w:ind w:firstLine="420"/>
        <w:rPr>
          <w:rFonts w:ascii="宋体" w:hAnsi="宋体"/>
          <w:szCs w:val="21"/>
        </w:rPr>
      </w:pPr>
      <w:r>
        <w:rPr>
          <w:rFonts w:ascii="宋体" w:hAnsi="宋体"/>
          <w:szCs w:val="21"/>
        </w:rPr>
        <w:t>200</w:t>
      </w:r>
      <w:r>
        <w:rPr>
          <w:rFonts w:hint="eastAsia" w:ascii="宋体" w:hAnsi="宋体"/>
          <w:szCs w:val="21"/>
        </w:rPr>
        <w:t>2</w:t>
      </w:r>
      <w:r>
        <w:rPr>
          <w:rFonts w:ascii="宋体" w:hAnsi="宋体"/>
          <w:szCs w:val="21"/>
        </w:rPr>
        <w:t>年8月由市银杏开发有限公司代表部分机关、镇、村与香港协群有限公司</w:t>
      </w:r>
      <w:r>
        <w:rPr>
          <w:rFonts w:hint="eastAsia" w:ascii="宋体" w:hAnsi="宋体"/>
          <w:szCs w:val="21"/>
        </w:rPr>
        <w:t>合作，成立“南雄新世纪银杏园有限责任公司”。南雄方</w:t>
      </w:r>
      <w:r>
        <w:rPr>
          <w:rFonts w:ascii="宋体" w:hAnsi="宋体"/>
          <w:szCs w:val="21"/>
        </w:rPr>
        <w:t>433.33公顷（13万株）白</w:t>
      </w:r>
      <w:r>
        <w:rPr>
          <w:rFonts w:hint="eastAsia" w:ascii="宋体" w:hAnsi="宋体"/>
          <w:szCs w:val="21"/>
        </w:rPr>
        <w:t>果树，作</w:t>
      </w:r>
      <w:r>
        <w:rPr>
          <w:rFonts w:ascii="宋体" w:hAnsi="宋体"/>
          <w:szCs w:val="21"/>
        </w:rPr>
        <w:t>49%股份，港方出资人民币750万元，占51%股份，按照现代企业制度进</w:t>
      </w:r>
      <w:r>
        <w:rPr>
          <w:rFonts w:hint="eastAsia" w:ascii="宋体" w:hAnsi="宋体"/>
          <w:szCs w:val="21"/>
        </w:rPr>
        <w:t>行经营管理。从</w:t>
      </w:r>
      <w:r>
        <w:rPr>
          <w:rFonts w:ascii="宋体" w:hAnsi="宋体"/>
          <w:szCs w:val="21"/>
        </w:rPr>
        <w:t>2002年8月起，先后对竹篙坑、黄蜂岭、油山、江头、佛岭、澜河</w:t>
      </w:r>
      <w:r>
        <w:rPr>
          <w:rFonts w:hint="eastAsia" w:ascii="宋体" w:hAnsi="宋体"/>
          <w:szCs w:val="21"/>
        </w:rPr>
        <w:t>等基地进行了扩穴、松土、施肥、劈杂、除芒秆，并投入</w:t>
      </w:r>
      <w:r>
        <w:rPr>
          <w:rFonts w:ascii="宋体" w:hAnsi="宋体"/>
          <w:szCs w:val="21"/>
        </w:rPr>
        <w:t>27万元，采集坪田优良银</w:t>
      </w:r>
      <w:r>
        <w:rPr>
          <w:rFonts w:hint="eastAsia" w:ascii="宋体" w:hAnsi="宋体"/>
          <w:szCs w:val="21"/>
        </w:rPr>
        <w:t>杏树枝条，实行高枝芽接换种。首年嫁接的单株成活芽达</w:t>
      </w:r>
      <w:r>
        <w:rPr>
          <w:rFonts w:ascii="宋体" w:hAnsi="宋体"/>
          <w:szCs w:val="21"/>
        </w:rPr>
        <w:t>5个以上的株数占80%以</w:t>
      </w:r>
      <w:r>
        <w:rPr>
          <w:rFonts w:hint="eastAsia" w:ascii="宋体" w:hAnsi="宋体"/>
          <w:szCs w:val="21"/>
        </w:rPr>
        <w:t>上。新枝长度均在</w:t>
      </w:r>
      <w:r>
        <w:rPr>
          <w:rFonts w:ascii="宋体" w:hAnsi="宋体"/>
          <w:szCs w:val="21"/>
        </w:rPr>
        <w:t>80厘米左右，分枝数5条～8条。2005年有少量开始挂果，预计2007年通过人工授粉可少量投产</w:t>
      </w:r>
      <w:r>
        <w:rPr>
          <w:rFonts w:hint="eastAsia" w:ascii="宋体" w:hAnsi="宋体"/>
          <w:szCs w:val="21"/>
        </w:rPr>
        <w:t>。</w:t>
      </w:r>
    </w:p>
    <w:p w14:paraId="7CCC05BC">
      <w:pPr>
        <w:pStyle w:val="5"/>
        <w:rPr>
          <w:rFonts w:ascii="宋体" w:hAnsi="宋体"/>
        </w:rPr>
      </w:pPr>
      <w:r>
        <w:rPr>
          <w:rFonts w:hint="eastAsia" w:ascii="宋体" w:hAnsi="宋体"/>
        </w:rPr>
        <w:t>三、松香基地</w:t>
      </w:r>
    </w:p>
    <w:p w14:paraId="2C335125">
      <w:pPr>
        <w:ind w:firstLine="420"/>
        <w:rPr>
          <w:rFonts w:ascii="宋体" w:hAnsi="宋体"/>
          <w:szCs w:val="21"/>
        </w:rPr>
      </w:pPr>
      <w:r>
        <w:rPr>
          <w:rFonts w:hint="eastAsia" w:ascii="宋体" w:hAnsi="宋体"/>
          <w:szCs w:val="21"/>
        </w:rPr>
        <w:t>南雄有松林面积</w:t>
      </w:r>
      <w:r>
        <w:rPr>
          <w:rFonts w:ascii="宋体" w:hAnsi="宋体"/>
          <w:szCs w:val="21"/>
        </w:rPr>
        <w:t>71606公顷。南雄松香厂创办于1955年，具有年产松香2000吨</w:t>
      </w:r>
      <w:r>
        <w:rPr>
          <w:rFonts w:hint="eastAsia" w:ascii="宋体" w:hAnsi="宋体"/>
          <w:szCs w:val="21"/>
        </w:rPr>
        <w:t>的能力。</w:t>
      </w:r>
      <w:r>
        <w:rPr>
          <w:rFonts w:ascii="宋体" w:hAnsi="宋体"/>
          <w:szCs w:val="21"/>
        </w:rPr>
        <w:t>1987年松脂收购量1239吨，松香产量937.8吨。1988年至1992年，松脂</w:t>
      </w:r>
      <w:r>
        <w:rPr>
          <w:rFonts w:hint="eastAsia" w:ascii="宋体" w:hAnsi="宋体"/>
          <w:szCs w:val="21"/>
        </w:rPr>
        <w:t>收购量降至</w:t>
      </w:r>
      <w:r>
        <w:rPr>
          <w:rFonts w:ascii="宋体" w:hAnsi="宋体"/>
          <w:szCs w:val="21"/>
        </w:rPr>
        <w:t>402吨～937吨，松香产量308吨～700吨之间。1994年起采取四条措施：</w:t>
      </w:r>
      <w:r>
        <w:rPr>
          <w:rFonts w:hint="eastAsia" w:ascii="宋体" w:hAnsi="宋体"/>
          <w:szCs w:val="21"/>
        </w:rPr>
        <w:t>一是选择具有不同树龄的松林连片规划确定基地面积；二是按照“去弱留强，去劣留优，去密留疏，照顾均匀”的原则进行间伐抚育；三是建立基地示范点，推广新技术；四是加强基地管理，禁伐未采脂松树，禁止对胸径</w:t>
      </w:r>
      <w:r>
        <w:rPr>
          <w:rFonts w:ascii="宋体" w:hAnsi="宋体"/>
          <w:szCs w:val="21"/>
        </w:rPr>
        <w:t>20厘米以下的松树采脂。1997年全市松脂收购量增至2480吨，生产松香1885吨。200</w:t>
      </w:r>
      <w:r>
        <w:rPr>
          <w:rFonts w:hint="eastAsia" w:ascii="宋体" w:hAnsi="宋体"/>
          <w:szCs w:val="21"/>
        </w:rPr>
        <w:t>2</w:t>
      </w:r>
      <w:r>
        <w:rPr>
          <w:rFonts w:ascii="宋体" w:hAnsi="宋体"/>
          <w:szCs w:val="21"/>
        </w:rPr>
        <w:t>年松脂收购量升至3250吨，生产松香2539吨。2004年松脂收购量3335吨。</w:t>
      </w:r>
    </w:p>
    <w:p w14:paraId="69567D2D">
      <w:pPr>
        <w:pStyle w:val="5"/>
        <w:rPr>
          <w:rFonts w:ascii="宋体" w:hAnsi="宋体"/>
        </w:rPr>
      </w:pPr>
      <w:r>
        <w:rPr>
          <w:rFonts w:hint="eastAsia" w:ascii="宋体" w:hAnsi="宋体"/>
        </w:rPr>
        <w:t>四、油茶基地</w:t>
      </w:r>
    </w:p>
    <w:p w14:paraId="2A07F1AD">
      <w:pPr>
        <w:ind w:firstLine="420"/>
        <w:rPr>
          <w:rFonts w:ascii="宋体" w:hAnsi="宋体"/>
          <w:szCs w:val="21"/>
        </w:rPr>
      </w:pPr>
      <w:r>
        <w:rPr>
          <w:rFonts w:hint="eastAsia" w:ascii="宋体" w:hAnsi="宋体"/>
          <w:szCs w:val="21"/>
        </w:rPr>
        <w:t>南山盛产油茶，以南亩镇最多。</w:t>
      </w:r>
      <w:r>
        <w:rPr>
          <w:rFonts w:ascii="宋体" w:hAnsi="宋体"/>
          <w:szCs w:val="21"/>
        </w:rPr>
        <w:t>1951年全市油茶面积1958.2公顷，茶子产量514.05吨。1958年人民公社化后，因体制多变，林权不稳，茶山荒废，产量大减</w:t>
      </w:r>
      <w:r>
        <w:rPr>
          <w:rFonts w:hint="eastAsia" w:ascii="宋体" w:hAnsi="宋体"/>
          <w:szCs w:val="21"/>
        </w:rPr>
        <w:t>。</w:t>
      </w:r>
      <w:r>
        <w:rPr>
          <w:rFonts w:ascii="宋体" w:hAnsi="宋体"/>
          <w:szCs w:val="21"/>
        </w:rPr>
        <w:t>1969年茶子产量仅得62吨。1980年山林发证，包山到户后，茶山逐步垦复。1987</w:t>
      </w:r>
      <w:r>
        <w:rPr>
          <w:rFonts w:hint="eastAsia" w:ascii="宋体" w:hAnsi="宋体"/>
          <w:szCs w:val="21"/>
        </w:rPr>
        <w:t>年全市油茶面积</w:t>
      </w:r>
      <w:r>
        <w:rPr>
          <w:rFonts w:ascii="宋体" w:hAnsi="宋体"/>
          <w:szCs w:val="21"/>
        </w:rPr>
        <w:t>1732.5公顷，茶子产量1353.2吨。1991年茶子产量升至1478.2吨，2001年2398吨。为提高油茶基地的生产水平，1999年市林业局从外省购回油茶苗167万株、种子1500公斤，培育油茶苗9公顷，嫁接苗0.66公顷。至2004年，全市</w:t>
      </w:r>
      <w:r>
        <w:rPr>
          <w:rFonts w:hint="eastAsia" w:ascii="宋体" w:hAnsi="宋体"/>
          <w:szCs w:val="21"/>
        </w:rPr>
        <w:t>油茶面积</w:t>
      </w:r>
      <w:r>
        <w:rPr>
          <w:rFonts w:ascii="宋体" w:hAnsi="宋体"/>
          <w:szCs w:val="21"/>
        </w:rPr>
        <w:t>2068.7公顷（其中：新种油茶587.33公顷），油茶子产量1832吨。</w:t>
      </w:r>
    </w:p>
    <w:p w14:paraId="2F708CAA">
      <w:pPr>
        <w:pStyle w:val="3"/>
        <w:rPr>
          <w:rFonts w:ascii="宋体" w:hAnsi="宋体"/>
        </w:rPr>
      </w:pPr>
      <w:r>
        <w:rPr>
          <w:rFonts w:hint="eastAsia" w:ascii="宋体" w:hAnsi="宋体"/>
        </w:rPr>
        <w:t>第五章  水利</w:t>
      </w:r>
    </w:p>
    <w:p w14:paraId="34EBE90A">
      <w:pPr>
        <w:ind w:firstLine="420"/>
        <w:rPr>
          <w:rFonts w:ascii="宋体" w:hAnsi="宋体"/>
          <w:szCs w:val="21"/>
        </w:rPr>
      </w:pPr>
      <w:r>
        <w:rPr>
          <w:rFonts w:hint="eastAsia" w:ascii="宋体" w:hAnsi="宋体"/>
          <w:szCs w:val="21"/>
        </w:rPr>
        <w:t>中华人民共和国成立以后，党和政府号召农民兴修水利。</w:t>
      </w:r>
      <w:r>
        <w:rPr>
          <w:rFonts w:ascii="宋体" w:hAnsi="宋体"/>
          <w:szCs w:val="21"/>
        </w:rPr>
        <w:t>1958年开始有计划地</w:t>
      </w:r>
      <w:r>
        <w:rPr>
          <w:rFonts w:hint="eastAsia" w:ascii="宋体" w:hAnsi="宋体"/>
          <w:szCs w:val="21"/>
        </w:rPr>
        <w:t>新建骨干水利工程。至</w:t>
      </w:r>
      <w:r>
        <w:rPr>
          <w:rFonts w:ascii="宋体" w:hAnsi="宋体"/>
          <w:szCs w:val="21"/>
        </w:rPr>
        <w:t>1987年，建成骨干工程19宗。其中水库16座，引水工程3</w:t>
      </w:r>
      <w:r>
        <w:rPr>
          <w:rFonts w:hint="eastAsia" w:ascii="宋体" w:hAnsi="宋体"/>
          <w:szCs w:val="21"/>
        </w:rPr>
        <w:t>宗。这些骨干工程与</w:t>
      </w:r>
      <w:r>
        <w:rPr>
          <w:rFonts w:ascii="宋体" w:hAnsi="宋体"/>
          <w:szCs w:val="21"/>
        </w:rPr>
        <w:t>600多宗小型水利工程联结成凌江、孔江、中坪、宝江、瀑布5</w:t>
      </w:r>
      <w:r>
        <w:rPr>
          <w:rFonts w:hint="eastAsia" w:ascii="宋体" w:hAnsi="宋体"/>
          <w:szCs w:val="21"/>
        </w:rPr>
        <w:t>大灌溉网，加上北山、南山</w:t>
      </w:r>
      <w:r>
        <w:rPr>
          <w:rFonts w:ascii="宋体" w:hAnsi="宋体"/>
          <w:szCs w:val="21"/>
        </w:rPr>
        <w:t>2个截引山坑溪流为主的灌溉区，全市75%的耕地得到</w:t>
      </w:r>
      <w:r>
        <w:rPr>
          <w:rFonts w:hint="eastAsia" w:ascii="宋体" w:hAnsi="宋体"/>
          <w:szCs w:val="21"/>
        </w:rPr>
        <w:t>了灌溉，初步改变了南雄的干旱状况。</w:t>
      </w:r>
    </w:p>
    <w:p w14:paraId="433BC0A2">
      <w:pPr>
        <w:ind w:firstLine="420"/>
        <w:rPr>
          <w:rFonts w:ascii="宋体" w:hAnsi="宋体"/>
          <w:szCs w:val="21"/>
        </w:rPr>
      </w:pPr>
      <w:r>
        <w:rPr>
          <w:rFonts w:ascii="宋体" w:hAnsi="宋体"/>
          <w:szCs w:val="21"/>
        </w:rPr>
        <w:t>1988年以后，除继续新建一批水利水电工程外，重点对原有水利工程进行除险</w:t>
      </w:r>
      <w:r>
        <w:rPr>
          <w:rFonts w:hint="eastAsia" w:ascii="宋体" w:hAnsi="宋体"/>
          <w:szCs w:val="21"/>
        </w:rPr>
        <w:t>加固、维修配套。至</w:t>
      </w:r>
      <w:r>
        <w:rPr>
          <w:rFonts w:ascii="宋体" w:hAnsi="宋体"/>
          <w:szCs w:val="21"/>
        </w:rPr>
        <w:t>2004年的16年中，共投入水利水电建设资金4.52亿元。其中，</w:t>
      </w:r>
      <w:r>
        <w:rPr>
          <w:rFonts w:hint="eastAsia" w:ascii="宋体" w:hAnsi="宋体"/>
          <w:szCs w:val="21"/>
        </w:rPr>
        <w:t>省市以上国家拨款</w:t>
      </w:r>
      <w:r>
        <w:rPr>
          <w:rFonts w:ascii="宋体" w:hAnsi="宋体"/>
          <w:szCs w:val="21"/>
        </w:rPr>
        <w:t>1.2亿元，本市财政投入1.32亿元。总投入劳力4385万个工日</w:t>
      </w:r>
      <w:r>
        <w:rPr>
          <w:rFonts w:hint="eastAsia" w:ascii="宋体" w:hAnsi="宋体"/>
          <w:szCs w:val="21"/>
        </w:rPr>
        <w:t>。累计完成土方</w:t>
      </w:r>
      <w:r>
        <w:rPr>
          <w:rFonts w:ascii="宋体" w:hAnsi="宋体"/>
          <w:szCs w:val="21"/>
        </w:rPr>
        <w:t>2493.11万立方米，石方712.8万立方米，混凝土96532立方米。全市</w:t>
      </w:r>
      <w:r>
        <w:rPr>
          <w:rFonts w:hint="eastAsia" w:ascii="宋体" w:hAnsi="宋体"/>
          <w:szCs w:val="21"/>
        </w:rPr>
        <w:t>耕地有效灌溉面积达</w:t>
      </w:r>
      <w:r>
        <w:rPr>
          <w:rFonts w:ascii="宋体" w:hAnsi="宋体"/>
          <w:szCs w:val="21"/>
        </w:rPr>
        <w:t>19700公顷，旱涝保收面积增至18873.33公顷，占耕地面积29174.13公顷的64.69%</w:t>
      </w:r>
      <w:r>
        <w:rPr>
          <w:rFonts w:hint="eastAsia" w:ascii="宋体" w:hAnsi="宋体"/>
          <w:szCs w:val="21"/>
        </w:rPr>
        <w:t>。</w:t>
      </w:r>
    </w:p>
    <w:p w14:paraId="42A8BB28">
      <w:pPr>
        <w:pStyle w:val="4"/>
        <w:rPr>
          <w:rFonts w:ascii="宋体" w:hAnsi="宋体"/>
        </w:rPr>
      </w:pPr>
      <w:r>
        <w:rPr>
          <w:rFonts w:hint="eastAsia" w:ascii="宋体" w:hAnsi="宋体"/>
        </w:rPr>
        <w:t>第一节  水资源开发利用</w:t>
      </w:r>
    </w:p>
    <w:p w14:paraId="0E934691">
      <w:pPr>
        <w:ind w:firstLine="420"/>
        <w:rPr>
          <w:rFonts w:ascii="宋体" w:hAnsi="宋体"/>
          <w:szCs w:val="21"/>
        </w:rPr>
      </w:pPr>
      <w:r>
        <w:rPr>
          <w:rFonts w:hint="eastAsia" w:ascii="宋体" w:hAnsi="宋体"/>
          <w:szCs w:val="21"/>
        </w:rPr>
        <w:t>天然降雨而形成的地表水径流，是南雄的主要水资源。全市</w:t>
      </w:r>
      <w:r>
        <w:rPr>
          <w:rFonts w:ascii="宋体" w:hAnsi="宋体"/>
          <w:szCs w:val="21"/>
        </w:rPr>
        <w:t>110条大小河流的年</w:t>
      </w:r>
      <w:r>
        <w:rPr>
          <w:rFonts w:hint="eastAsia" w:ascii="宋体" w:hAnsi="宋体"/>
          <w:szCs w:val="21"/>
        </w:rPr>
        <w:t>均径流量</w:t>
      </w:r>
      <w:r>
        <w:rPr>
          <w:rFonts w:ascii="宋体" w:hAnsi="宋体"/>
          <w:szCs w:val="21"/>
        </w:rPr>
        <w:t>18.478亿立方米，地下水总量多年平均值为3.88亿立方米，合计年均水资</w:t>
      </w:r>
      <w:r>
        <w:rPr>
          <w:rFonts w:hint="eastAsia" w:ascii="宋体" w:hAnsi="宋体"/>
          <w:szCs w:val="21"/>
        </w:rPr>
        <w:t>源总量</w:t>
      </w:r>
      <w:r>
        <w:rPr>
          <w:rFonts w:ascii="宋体" w:hAnsi="宋体"/>
          <w:szCs w:val="21"/>
        </w:rPr>
        <w:t>22.358亿立方米。但丰水年可达35.590亿立方米，枯水年仅为10.65亿立方</w:t>
      </w:r>
      <w:r>
        <w:rPr>
          <w:rFonts w:hint="eastAsia" w:ascii="宋体" w:hAnsi="宋体"/>
          <w:szCs w:val="21"/>
        </w:rPr>
        <w:t>米。</w:t>
      </w:r>
    </w:p>
    <w:p w14:paraId="3350BFBD">
      <w:pPr>
        <w:pStyle w:val="5"/>
        <w:rPr>
          <w:rFonts w:ascii="宋体" w:hAnsi="宋体"/>
        </w:rPr>
      </w:pPr>
      <w:r>
        <w:rPr>
          <w:rFonts w:hint="eastAsia" w:ascii="宋体" w:hAnsi="宋体"/>
        </w:rPr>
        <w:t>一、水利资源开发利用</w:t>
      </w:r>
    </w:p>
    <w:p w14:paraId="03511070">
      <w:pPr>
        <w:ind w:firstLine="420"/>
        <w:rPr>
          <w:rFonts w:ascii="宋体" w:hAnsi="宋体"/>
          <w:szCs w:val="21"/>
        </w:rPr>
      </w:pPr>
      <w:r>
        <w:rPr>
          <w:rFonts w:hint="eastAsia" w:ascii="宋体" w:hAnsi="宋体"/>
          <w:szCs w:val="21"/>
        </w:rPr>
        <w:t>至</w:t>
      </w:r>
      <w:r>
        <w:rPr>
          <w:rFonts w:ascii="宋体" w:hAnsi="宋体"/>
          <w:szCs w:val="21"/>
        </w:rPr>
        <w:t>2004年，建成中型水库6宗，小型水库54宗，库容万方以上山塘452宗。总</w:t>
      </w:r>
      <w:r>
        <w:rPr>
          <w:rFonts w:hint="eastAsia" w:ascii="宋体" w:hAnsi="宋体"/>
          <w:szCs w:val="21"/>
        </w:rPr>
        <w:t>库容</w:t>
      </w:r>
      <w:r>
        <w:rPr>
          <w:rFonts w:ascii="宋体" w:hAnsi="宋体"/>
          <w:szCs w:val="21"/>
        </w:rPr>
        <w:t>2.2亿立方米；建成引水工程467宗，引水流量6.21立方米／秒，年最大引水量1.9556亿立方米；提水工程243宗，装机容量4988千瓦，其中抽取河水的3960千</w:t>
      </w:r>
      <w:r>
        <w:rPr>
          <w:rFonts w:hint="eastAsia" w:ascii="宋体" w:hAnsi="宋体"/>
          <w:szCs w:val="21"/>
        </w:rPr>
        <w:t>瓦，年最大提水量</w:t>
      </w:r>
      <w:r>
        <w:rPr>
          <w:rFonts w:ascii="宋体" w:hAnsi="宋体"/>
          <w:szCs w:val="21"/>
        </w:rPr>
        <w:t>2.1226亿立方米。蓄、引、提3项合计能提供的最大水利资源为6.4223亿立方米，占年均径流量34.5%，耕地平均每亩1473立方米。主要河流水利</w:t>
      </w:r>
      <w:r>
        <w:rPr>
          <w:rFonts w:hint="eastAsia" w:ascii="宋体" w:hAnsi="宋体"/>
          <w:szCs w:val="21"/>
        </w:rPr>
        <w:t>资源开发利用概况如表</w:t>
      </w:r>
      <w:r>
        <w:rPr>
          <w:rFonts w:ascii="宋体" w:hAnsi="宋体"/>
          <w:szCs w:val="21"/>
        </w:rPr>
        <w:t>2-25：</w:t>
      </w:r>
    </w:p>
    <w:p w14:paraId="68C2187D">
      <w:pPr>
        <w:ind w:firstLine="0" w:firstLineChars="0"/>
        <w:jc w:val="center"/>
        <w:rPr>
          <w:rFonts w:ascii="宋体" w:hAnsi="宋体"/>
          <w:b/>
          <w:szCs w:val="21"/>
        </w:rPr>
      </w:pPr>
      <w:r>
        <w:rPr>
          <w:rFonts w:hint="eastAsia" w:ascii="宋体" w:hAnsi="宋体"/>
          <w:b/>
          <w:szCs w:val="21"/>
        </w:rPr>
        <w:t>南雄市水力资源开发利用概况</w:t>
      </w:r>
    </w:p>
    <w:p w14:paraId="5F73E025">
      <w:pPr>
        <w:ind w:firstLine="0" w:firstLineChars="0"/>
        <w:rPr>
          <w:rFonts w:ascii="宋体" w:hAnsi="宋体"/>
          <w:b/>
        </w:rPr>
      </w:pPr>
      <w:r>
        <w:rPr>
          <w:rFonts w:hint="eastAsia" w:ascii="宋体" w:hAnsi="宋体"/>
          <w:b/>
        </w:rPr>
        <w:t>表2-25</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5"/>
        <w:gridCol w:w="1105"/>
        <w:gridCol w:w="1106"/>
        <w:gridCol w:w="1106"/>
        <w:gridCol w:w="1108"/>
        <w:gridCol w:w="1106"/>
        <w:gridCol w:w="1108"/>
        <w:gridCol w:w="1112"/>
        <w:gridCol w:w="1106"/>
      </w:tblGrid>
      <w:tr w14:paraId="01C43A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restart"/>
            <w:vAlign w:val="center"/>
          </w:tcPr>
          <w:p w14:paraId="5DA82772">
            <w:pPr>
              <w:pStyle w:val="12"/>
              <w:jc w:val="center"/>
              <w:rPr>
                <w:rFonts w:ascii="宋体" w:hAnsi="宋体"/>
                <w:b/>
              </w:rPr>
            </w:pPr>
            <w:r>
              <w:rPr>
                <w:rFonts w:hint="eastAsia" w:ascii="宋体" w:hAnsi="宋体"/>
                <w:b/>
              </w:rPr>
              <w:t>河流名称</w:t>
            </w:r>
          </w:p>
        </w:tc>
        <w:tc>
          <w:tcPr>
            <w:tcW w:w="555" w:type="pct"/>
            <w:vMerge w:val="restart"/>
            <w:vAlign w:val="center"/>
          </w:tcPr>
          <w:p w14:paraId="014C77CC">
            <w:pPr>
              <w:pStyle w:val="12"/>
              <w:jc w:val="center"/>
              <w:rPr>
                <w:rFonts w:ascii="宋体" w:hAnsi="宋体"/>
                <w:b/>
              </w:rPr>
            </w:pPr>
            <w:r>
              <w:rPr>
                <w:rFonts w:hint="eastAsia" w:ascii="宋体" w:hAnsi="宋体"/>
                <w:b/>
              </w:rPr>
              <w:t>年均流量（万立方米）</w:t>
            </w:r>
          </w:p>
        </w:tc>
        <w:tc>
          <w:tcPr>
            <w:tcW w:w="555" w:type="pct"/>
            <w:vMerge w:val="restart"/>
            <w:vAlign w:val="center"/>
          </w:tcPr>
          <w:p w14:paraId="62C517E2">
            <w:pPr>
              <w:pStyle w:val="12"/>
              <w:jc w:val="center"/>
              <w:rPr>
                <w:rFonts w:ascii="宋体" w:hAnsi="宋体"/>
                <w:b/>
              </w:rPr>
            </w:pPr>
            <w:r>
              <w:rPr>
                <w:rFonts w:hint="eastAsia" w:ascii="宋体" w:hAnsi="宋体"/>
                <w:b/>
              </w:rPr>
              <w:t>蓄水工程库容量（万立方米）</w:t>
            </w:r>
          </w:p>
        </w:tc>
        <w:tc>
          <w:tcPr>
            <w:tcW w:w="1111" w:type="pct"/>
            <w:gridSpan w:val="2"/>
            <w:vAlign w:val="center"/>
          </w:tcPr>
          <w:p w14:paraId="7F8048F2">
            <w:pPr>
              <w:pStyle w:val="12"/>
              <w:jc w:val="center"/>
              <w:rPr>
                <w:rFonts w:ascii="宋体" w:hAnsi="宋体"/>
                <w:b/>
              </w:rPr>
            </w:pPr>
            <w:r>
              <w:rPr>
                <w:rFonts w:hint="eastAsia" w:ascii="宋体" w:hAnsi="宋体"/>
                <w:b/>
              </w:rPr>
              <w:t>引水工程</w:t>
            </w:r>
          </w:p>
        </w:tc>
        <w:tc>
          <w:tcPr>
            <w:tcW w:w="1111" w:type="pct"/>
            <w:gridSpan w:val="2"/>
            <w:vAlign w:val="center"/>
          </w:tcPr>
          <w:p w14:paraId="0EC9D839">
            <w:pPr>
              <w:pStyle w:val="12"/>
              <w:jc w:val="center"/>
              <w:rPr>
                <w:rFonts w:ascii="宋体" w:hAnsi="宋体"/>
                <w:b/>
              </w:rPr>
            </w:pPr>
            <w:r>
              <w:rPr>
                <w:rFonts w:hint="eastAsia" w:ascii="宋体" w:hAnsi="宋体"/>
                <w:b/>
              </w:rPr>
              <w:t>提水工程</w:t>
            </w:r>
          </w:p>
        </w:tc>
        <w:tc>
          <w:tcPr>
            <w:tcW w:w="558" w:type="pct"/>
            <w:vAlign w:val="center"/>
          </w:tcPr>
          <w:p w14:paraId="0631104F">
            <w:pPr>
              <w:pStyle w:val="12"/>
              <w:jc w:val="center"/>
              <w:rPr>
                <w:rFonts w:ascii="宋体" w:hAnsi="宋体"/>
                <w:b/>
              </w:rPr>
            </w:pPr>
            <w:r>
              <w:rPr>
                <w:rFonts w:hint="eastAsia" w:ascii="宋体" w:hAnsi="宋体"/>
                <w:b/>
              </w:rPr>
              <w:t>合计</w:t>
            </w:r>
          </w:p>
        </w:tc>
        <w:tc>
          <w:tcPr>
            <w:tcW w:w="555" w:type="pct"/>
            <w:vMerge w:val="restart"/>
            <w:vAlign w:val="center"/>
          </w:tcPr>
          <w:p w14:paraId="4DE243C9">
            <w:pPr>
              <w:pStyle w:val="12"/>
              <w:jc w:val="center"/>
              <w:rPr>
                <w:rFonts w:ascii="宋体" w:hAnsi="宋体"/>
                <w:b/>
              </w:rPr>
            </w:pPr>
            <w:r>
              <w:rPr>
                <w:rFonts w:hint="eastAsia" w:ascii="宋体" w:hAnsi="宋体"/>
                <w:b/>
              </w:rPr>
              <w:t>占年均流量比（%）</w:t>
            </w:r>
          </w:p>
        </w:tc>
      </w:tr>
      <w:tr w14:paraId="19D552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0EB67682">
            <w:pPr>
              <w:pStyle w:val="12"/>
              <w:jc w:val="center"/>
              <w:rPr>
                <w:rFonts w:ascii="宋体" w:hAnsi="宋体"/>
              </w:rPr>
            </w:pPr>
          </w:p>
        </w:tc>
        <w:tc>
          <w:tcPr>
            <w:tcW w:w="555" w:type="pct"/>
            <w:vMerge w:val="continue"/>
            <w:vAlign w:val="center"/>
          </w:tcPr>
          <w:p w14:paraId="39D4E683">
            <w:pPr>
              <w:pStyle w:val="12"/>
              <w:jc w:val="center"/>
              <w:rPr>
                <w:rFonts w:ascii="宋体" w:hAnsi="宋体"/>
              </w:rPr>
            </w:pPr>
          </w:p>
        </w:tc>
        <w:tc>
          <w:tcPr>
            <w:tcW w:w="555" w:type="pct"/>
            <w:vMerge w:val="continue"/>
            <w:vAlign w:val="center"/>
          </w:tcPr>
          <w:p w14:paraId="2B319D7D">
            <w:pPr>
              <w:pStyle w:val="12"/>
              <w:jc w:val="center"/>
              <w:rPr>
                <w:rFonts w:ascii="宋体" w:hAnsi="宋体"/>
              </w:rPr>
            </w:pPr>
          </w:p>
        </w:tc>
        <w:tc>
          <w:tcPr>
            <w:tcW w:w="555" w:type="pct"/>
            <w:vAlign w:val="center"/>
          </w:tcPr>
          <w:p w14:paraId="52D10627">
            <w:pPr>
              <w:pStyle w:val="12"/>
              <w:jc w:val="center"/>
              <w:rPr>
                <w:rFonts w:ascii="宋体" w:hAnsi="宋体"/>
                <w:b/>
              </w:rPr>
            </w:pPr>
            <w:r>
              <w:rPr>
                <w:rFonts w:hint="eastAsia" w:ascii="宋体" w:hAnsi="宋体"/>
                <w:b/>
              </w:rPr>
              <w:t>引水流量（立方米/秒）</w:t>
            </w:r>
          </w:p>
        </w:tc>
        <w:tc>
          <w:tcPr>
            <w:tcW w:w="555" w:type="pct"/>
            <w:vAlign w:val="center"/>
          </w:tcPr>
          <w:p w14:paraId="48F0443D">
            <w:pPr>
              <w:pStyle w:val="12"/>
              <w:jc w:val="center"/>
              <w:rPr>
                <w:rFonts w:ascii="宋体" w:hAnsi="宋体"/>
                <w:b/>
              </w:rPr>
            </w:pPr>
            <w:r>
              <w:rPr>
                <w:rFonts w:hint="eastAsia" w:ascii="宋体" w:hAnsi="宋体"/>
                <w:b/>
              </w:rPr>
              <w:t>年引水量（万立方米）</w:t>
            </w:r>
          </w:p>
        </w:tc>
        <w:tc>
          <w:tcPr>
            <w:tcW w:w="555" w:type="pct"/>
            <w:vAlign w:val="center"/>
          </w:tcPr>
          <w:p w14:paraId="129D4D4B">
            <w:pPr>
              <w:pStyle w:val="12"/>
              <w:jc w:val="center"/>
              <w:rPr>
                <w:rFonts w:ascii="宋体" w:hAnsi="宋体"/>
                <w:b/>
              </w:rPr>
            </w:pPr>
            <w:r>
              <w:rPr>
                <w:rFonts w:hint="eastAsia" w:ascii="宋体" w:hAnsi="宋体"/>
                <w:b/>
              </w:rPr>
              <w:t>提水流量（立方米/秒）</w:t>
            </w:r>
          </w:p>
        </w:tc>
        <w:tc>
          <w:tcPr>
            <w:tcW w:w="555" w:type="pct"/>
            <w:vAlign w:val="center"/>
          </w:tcPr>
          <w:p w14:paraId="05D448F4">
            <w:pPr>
              <w:pStyle w:val="12"/>
              <w:jc w:val="center"/>
              <w:rPr>
                <w:rFonts w:ascii="宋体" w:hAnsi="宋体"/>
                <w:b/>
              </w:rPr>
            </w:pPr>
            <w:r>
              <w:rPr>
                <w:rFonts w:hint="eastAsia" w:ascii="宋体" w:hAnsi="宋体"/>
                <w:b/>
              </w:rPr>
              <w:t>年提水量（万立方米）</w:t>
            </w:r>
          </w:p>
        </w:tc>
        <w:tc>
          <w:tcPr>
            <w:tcW w:w="558" w:type="pct"/>
            <w:vAlign w:val="center"/>
          </w:tcPr>
          <w:p w14:paraId="30461D9D">
            <w:pPr>
              <w:pStyle w:val="12"/>
              <w:jc w:val="center"/>
              <w:rPr>
                <w:rFonts w:ascii="宋体" w:hAnsi="宋体"/>
                <w:b/>
              </w:rPr>
            </w:pPr>
            <w:r>
              <w:rPr>
                <w:rFonts w:hint="eastAsia" w:ascii="宋体" w:hAnsi="宋体"/>
                <w:b/>
              </w:rPr>
              <w:t>利用流量（万立方米）</w:t>
            </w:r>
          </w:p>
        </w:tc>
        <w:tc>
          <w:tcPr>
            <w:tcW w:w="555" w:type="pct"/>
            <w:vMerge w:val="continue"/>
            <w:vAlign w:val="center"/>
          </w:tcPr>
          <w:p w14:paraId="7F11922A">
            <w:pPr>
              <w:pStyle w:val="12"/>
              <w:jc w:val="center"/>
              <w:rPr>
                <w:rFonts w:ascii="宋体" w:hAnsi="宋体"/>
              </w:rPr>
            </w:pPr>
          </w:p>
        </w:tc>
      </w:tr>
      <w:tr w14:paraId="029FCA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14C94382">
            <w:pPr>
              <w:pStyle w:val="12"/>
              <w:jc w:val="center"/>
              <w:rPr>
                <w:rFonts w:ascii="宋体" w:hAnsi="宋体"/>
              </w:rPr>
            </w:pPr>
            <w:r>
              <w:rPr>
                <w:rFonts w:hint="eastAsia" w:ascii="宋体" w:hAnsi="宋体"/>
              </w:rPr>
              <w:t>合  计</w:t>
            </w:r>
          </w:p>
        </w:tc>
        <w:tc>
          <w:tcPr>
            <w:tcW w:w="555" w:type="pct"/>
            <w:vAlign w:val="center"/>
          </w:tcPr>
          <w:p w14:paraId="4B248981">
            <w:pPr>
              <w:pStyle w:val="12"/>
              <w:jc w:val="center"/>
              <w:rPr>
                <w:rFonts w:ascii="宋体" w:hAnsi="宋体"/>
              </w:rPr>
            </w:pPr>
            <w:r>
              <w:rPr>
                <w:rFonts w:hint="eastAsia" w:ascii="宋体" w:hAnsi="宋体"/>
              </w:rPr>
              <w:t>186070</w:t>
            </w:r>
          </w:p>
        </w:tc>
        <w:tc>
          <w:tcPr>
            <w:tcW w:w="555" w:type="pct"/>
            <w:vAlign w:val="center"/>
          </w:tcPr>
          <w:p w14:paraId="2C684FAF">
            <w:pPr>
              <w:pStyle w:val="12"/>
              <w:jc w:val="center"/>
              <w:rPr>
                <w:rFonts w:ascii="宋体" w:hAnsi="宋体"/>
              </w:rPr>
            </w:pPr>
            <w:r>
              <w:rPr>
                <w:rFonts w:hint="eastAsia" w:ascii="宋体" w:hAnsi="宋体"/>
              </w:rPr>
              <w:t>22126</w:t>
            </w:r>
          </w:p>
        </w:tc>
        <w:tc>
          <w:tcPr>
            <w:tcW w:w="555" w:type="pct"/>
            <w:vAlign w:val="center"/>
          </w:tcPr>
          <w:p w14:paraId="2A683C8F">
            <w:pPr>
              <w:pStyle w:val="12"/>
              <w:jc w:val="center"/>
              <w:rPr>
                <w:rFonts w:ascii="宋体" w:hAnsi="宋体"/>
              </w:rPr>
            </w:pPr>
            <w:r>
              <w:rPr>
                <w:rFonts w:hint="eastAsia" w:ascii="宋体" w:hAnsi="宋体"/>
              </w:rPr>
              <w:t>6.412</w:t>
            </w:r>
          </w:p>
        </w:tc>
        <w:tc>
          <w:tcPr>
            <w:tcW w:w="555" w:type="pct"/>
            <w:vAlign w:val="center"/>
          </w:tcPr>
          <w:p w14:paraId="1D9C67B6">
            <w:pPr>
              <w:pStyle w:val="12"/>
              <w:jc w:val="center"/>
              <w:rPr>
                <w:rFonts w:ascii="宋体" w:hAnsi="宋体"/>
              </w:rPr>
            </w:pPr>
            <w:r>
              <w:rPr>
                <w:rFonts w:hint="eastAsia" w:ascii="宋体" w:hAnsi="宋体"/>
              </w:rPr>
              <w:t>20852</w:t>
            </w:r>
          </w:p>
        </w:tc>
        <w:tc>
          <w:tcPr>
            <w:tcW w:w="555" w:type="pct"/>
            <w:vAlign w:val="center"/>
          </w:tcPr>
          <w:p w14:paraId="1372C649">
            <w:pPr>
              <w:pStyle w:val="12"/>
              <w:jc w:val="center"/>
              <w:rPr>
                <w:rFonts w:ascii="宋体" w:hAnsi="宋体"/>
              </w:rPr>
            </w:pPr>
            <w:r>
              <w:rPr>
                <w:rFonts w:hint="eastAsia" w:ascii="宋体" w:hAnsi="宋体"/>
              </w:rPr>
              <w:t>6.736</w:t>
            </w:r>
          </w:p>
        </w:tc>
        <w:tc>
          <w:tcPr>
            <w:tcW w:w="555" w:type="pct"/>
            <w:vAlign w:val="center"/>
          </w:tcPr>
          <w:p w14:paraId="085DA57C">
            <w:pPr>
              <w:pStyle w:val="12"/>
              <w:jc w:val="center"/>
              <w:rPr>
                <w:rFonts w:ascii="宋体" w:hAnsi="宋体"/>
              </w:rPr>
            </w:pPr>
            <w:r>
              <w:rPr>
                <w:rFonts w:hint="eastAsia" w:ascii="宋体" w:hAnsi="宋体"/>
              </w:rPr>
              <w:t>21245</w:t>
            </w:r>
          </w:p>
        </w:tc>
        <w:tc>
          <w:tcPr>
            <w:tcW w:w="558" w:type="pct"/>
            <w:vAlign w:val="center"/>
          </w:tcPr>
          <w:p w14:paraId="2D429A69">
            <w:pPr>
              <w:pStyle w:val="12"/>
              <w:jc w:val="center"/>
              <w:rPr>
                <w:rFonts w:ascii="宋体" w:hAnsi="宋体"/>
              </w:rPr>
            </w:pPr>
            <w:r>
              <w:rPr>
                <w:rFonts w:hint="eastAsia" w:ascii="宋体" w:hAnsi="宋体"/>
              </w:rPr>
              <w:t>64223</w:t>
            </w:r>
          </w:p>
        </w:tc>
        <w:tc>
          <w:tcPr>
            <w:tcW w:w="555" w:type="pct"/>
            <w:vAlign w:val="center"/>
          </w:tcPr>
          <w:p w14:paraId="1A8BF747">
            <w:pPr>
              <w:pStyle w:val="12"/>
              <w:jc w:val="center"/>
              <w:rPr>
                <w:rFonts w:ascii="宋体" w:hAnsi="宋体"/>
              </w:rPr>
            </w:pPr>
            <w:r>
              <w:rPr>
                <w:rFonts w:hint="eastAsia" w:ascii="宋体" w:hAnsi="宋体"/>
              </w:rPr>
              <w:t>34.5</w:t>
            </w:r>
          </w:p>
        </w:tc>
      </w:tr>
      <w:tr w14:paraId="180272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27927F3D">
            <w:pPr>
              <w:pStyle w:val="12"/>
              <w:jc w:val="center"/>
              <w:rPr>
                <w:rFonts w:ascii="宋体" w:hAnsi="宋体"/>
              </w:rPr>
            </w:pPr>
            <w:r>
              <w:rPr>
                <w:rFonts w:hint="eastAsia" w:ascii="宋体" w:hAnsi="宋体"/>
              </w:rPr>
              <w:t>凌  江</w:t>
            </w:r>
          </w:p>
        </w:tc>
        <w:tc>
          <w:tcPr>
            <w:tcW w:w="555" w:type="pct"/>
            <w:vAlign w:val="center"/>
          </w:tcPr>
          <w:p w14:paraId="287281B2">
            <w:pPr>
              <w:pStyle w:val="12"/>
              <w:jc w:val="center"/>
              <w:rPr>
                <w:rFonts w:ascii="宋体" w:hAnsi="宋体"/>
              </w:rPr>
            </w:pPr>
            <w:r>
              <w:rPr>
                <w:rFonts w:hint="eastAsia" w:ascii="宋体" w:hAnsi="宋体"/>
              </w:rPr>
              <w:t>29200</w:t>
            </w:r>
          </w:p>
        </w:tc>
        <w:tc>
          <w:tcPr>
            <w:tcW w:w="555" w:type="pct"/>
            <w:vAlign w:val="center"/>
          </w:tcPr>
          <w:p w14:paraId="2722864F">
            <w:pPr>
              <w:pStyle w:val="12"/>
              <w:jc w:val="center"/>
              <w:rPr>
                <w:rFonts w:ascii="宋体" w:hAnsi="宋体"/>
              </w:rPr>
            </w:pPr>
            <w:r>
              <w:rPr>
                <w:rFonts w:hint="eastAsia" w:ascii="宋体" w:hAnsi="宋体"/>
              </w:rPr>
              <w:t>51.4</w:t>
            </w:r>
          </w:p>
        </w:tc>
        <w:tc>
          <w:tcPr>
            <w:tcW w:w="555" w:type="pct"/>
            <w:vAlign w:val="center"/>
          </w:tcPr>
          <w:p w14:paraId="09297550">
            <w:pPr>
              <w:pStyle w:val="12"/>
              <w:jc w:val="center"/>
              <w:rPr>
                <w:rFonts w:ascii="宋体" w:hAnsi="宋体"/>
              </w:rPr>
            </w:pPr>
            <w:r>
              <w:rPr>
                <w:rFonts w:hint="eastAsia" w:ascii="宋体" w:hAnsi="宋体"/>
              </w:rPr>
              <w:t>2.74</w:t>
            </w:r>
          </w:p>
        </w:tc>
        <w:tc>
          <w:tcPr>
            <w:tcW w:w="555" w:type="pct"/>
            <w:vAlign w:val="center"/>
          </w:tcPr>
          <w:p w14:paraId="15321903">
            <w:pPr>
              <w:pStyle w:val="12"/>
              <w:jc w:val="center"/>
              <w:rPr>
                <w:rFonts w:ascii="宋体" w:hAnsi="宋体"/>
              </w:rPr>
            </w:pPr>
            <w:r>
              <w:rPr>
                <w:rFonts w:hint="eastAsia" w:ascii="宋体" w:hAnsi="宋体"/>
              </w:rPr>
              <w:t>8641</w:t>
            </w:r>
          </w:p>
        </w:tc>
        <w:tc>
          <w:tcPr>
            <w:tcW w:w="555" w:type="pct"/>
            <w:vAlign w:val="center"/>
          </w:tcPr>
          <w:p w14:paraId="402023F0">
            <w:pPr>
              <w:pStyle w:val="12"/>
              <w:jc w:val="center"/>
              <w:rPr>
                <w:rFonts w:ascii="宋体" w:hAnsi="宋体"/>
              </w:rPr>
            </w:pPr>
            <w:r>
              <w:rPr>
                <w:rFonts w:hint="eastAsia" w:ascii="宋体" w:hAnsi="宋体"/>
              </w:rPr>
              <w:t>0.277</w:t>
            </w:r>
          </w:p>
        </w:tc>
        <w:tc>
          <w:tcPr>
            <w:tcW w:w="555" w:type="pct"/>
            <w:vAlign w:val="center"/>
          </w:tcPr>
          <w:p w14:paraId="592D2450">
            <w:pPr>
              <w:pStyle w:val="12"/>
              <w:jc w:val="center"/>
              <w:rPr>
                <w:rFonts w:ascii="宋体" w:hAnsi="宋体"/>
              </w:rPr>
            </w:pPr>
            <w:r>
              <w:rPr>
                <w:rFonts w:hint="eastAsia" w:ascii="宋体" w:hAnsi="宋体"/>
              </w:rPr>
              <w:t>873</w:t>
            </w:r>
          </w:p>
        </w:tc>
        <w:tc>
          <w:tcPr>
            <w:tcW w:w="558" w:type="pct"/>
            <w:vAlign w:val="center"/>
          </w:tcPr>
          <w:p w14:paraId="4FD6FA9C">
            <w:pPr>
              <w:pStyle w:val="12"/>
              <w:jc w:val="center"/>
              <w:rPr>
                <w:rFonts w:ascii="宋体" w:hAnsi="宋体"/>
              </w:rPr>
            </w:pPr>
            <w:r>
              <w:rPr>
                <w:rFonts w:hint="eastAsia" w:ascii="宋体" w:hAnsi="宋体"/>
              </w:rPr>
              <w:t>9565.4</w:t>
            </w:r>
          </w:p>
        </w:tc>
        <w:tc>
          <w:tcPr>
            <w:tcW w:w="555" w:type="pct"/>
            <w:vAlign w:val="center"/>
          </w:tcPr>
          <w:p w14:paraId="29F0205E">
            <w:pPr>
              <w:pStyle w:val="12"/>
              <w:jc w:val="center"/>
              <w:rPr>
                <w:rFonts w:ascii="宋体" w:hAnsi="宋体"/>
              </w:rPr>
            </w:pPr>
            <w:r>
              <w:rPr>
                <w:rFonts w:hint="eastAsia" w:ascii="宋体" w:hAnsi="宋体"/>
              </w:rPr>
              <w:t>32.8</w:t>
            </w:r>
          </w:p>
        </w:tc>
      </w:tr>
      <w:tr w14:paraId="5C7D9E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3A0F8C47">
            <w:pPr>
              <w:pStyle w:val="12"/>
              <w:jc w:val="center"/>
              <w:rPr>
                <w:rFonts w:ascii="宋体" w:hAnsi="宋体"/>
              </w:rPr>
            </w:pPr>
            <w:r>
              <w:rPr>
                <w:rFonts w:hint="eastAsia" w:ascii="宋体" w:hAnsi="宋体"/>
              </w:rPr>
              <w:t>南山水</w:t>
            </w:r>
          </w:p>
        </w:tc>
        <w:tc>
          <w:tcPr>
            <w:tcW w:w="555" w:type="pct"/>
            <w:vAlign w:val="center"/>
          </w:tcPr>
          <w:p w14:paraId="4D581F6E">
            <w:pPr>
              <w:pStyle w:val="12"/>
              <w:jc w:val="center"/>
              <w:rPr>
                <w:rFonts w:ascii="宋体" w:hAnsi="宋体"/>
              </w:rPr>
            </w:pPr>
            <w:r>
              <w:rPr>
                <w:rFonts w:hint="eastAsia" w:ascii="宋体" w:hAnsi="宋体"/>
              </w:rPr>
              <w:t>16970</w:t>
            </w:r>
          </w:p>
        </w:tc>
        <w:tc>
          <w:tcPr>
            <w:tcW w:w="555" w:type="pct"/>
            <w:vAlign w:val="center"/>
          </w:tcPr>
          <w:p w14:paraId="3F21119A">
            <w:pPr>
              <w:pStyle w:val="12"/>
              <w:jc w:val="center"/>
              <w:rPr>
                <w:rFonts w:ascii="宋体" w:hAnsi="宋体"/>
              </w:rPr>
            </w:pPr>
            <w:r>
              <w:rPr>
                <w:rFonts w:hint="eastAsia" w:ascii="宋体" w:hAnsi="宋体"/>
              </w:rPr>
              <w:t>2104.2</w:t>
            </w:r>
          </w:p>
        </w:tc>
        <w:tc>
          <w:tcPr>
            <w:tcW w:w="555" w:type="pct"/>
            <w:vAlign w:val="center"/>
          </w:tcPr>
          <w:p w14:paraId="13413620">
            <w:pPr>
              <w:pStyle w:val="12"/>
              <w:jc w:val="center"/>
              <w:rPr>
                <w:rFonts w:ascii="宋体" w:hAnsi="宋体"/>
              </w:rPr>
            </w:pPr>
            <w:r>
              <w:rPr>
                <w:rFonts w:hint="eastAsia" w:ascii="宋体" w:hAnsi="宋体"/>
              </w:rPr>
              <w:t>0.5</w:t>
            </w:r>
          </w:p>
        </w:tc>
        <w:tc>
          <w:tcPr>
            <w:tcW w:w="555" w:type="pct"/>
            <w:vAlign w:val="center"/>
          </w:tcPr>
          <w:p w14:paraId="6C022CE7">
            <w:pPr>
              <w:pStyle w:val="12"/>
              <w:jc w:val="center"/>
              <w:rPr>
                <w:rFonts w:ascii="宋体" w:hAnsi="宋体"/>
              </w:rPr>
            </w:pPr>
            <w:r>
              <w:rPr>
                <w:rFonts w:hint="eastAsia" w:ascii="宋体" w:hAnsi="宋体"/>
              </w:rPr>
              <w:t>1577</w:t>
            </w:r>
          </w:p>
        </w:tc>
        <w:tc>
          <w:tcPr>
            <w:tcW w:w="555" w:type="pct"/>
            <w:vAlign w:val="center"/>
          </w:tcPr>
          <w:p w14:paraId="08351F9C">
            <w:pPr>
              <w:pStyle w:val="12"/>
              <w:jc w:val="center"/>
              <w:rPr>
                <w:rFonts w:ascii="宋体" w:hAnsi="宋体"/>
              </w:rPr>
            </w:pPr>
            <w:r>
              <w:rPr>
                <w:rFonts w:hint="eastAsia" w:ascii="宋体" w:hAnsi="宋体"/>
              </w:rPr>
              <w:t>0.7</w:t>
            </w:r>
          </w:p>
        </w:tc>
        <w:tc>
          <w:tcPr>
            <w:tcW w:w="555" w:type="pct"/>
            <w:vAlign w:val="center"/>
          </w:tcPr>
          <w:p w14:paraId="026CD9CC">
            <w:pPr>
              <w:pStyle w:val="12"/>
              <w:jc w:val="center"/>
              <w:rPr>
                <w:rFonts w:ascii="宋体" w:hAnsi="宋体"/>
              </w:rPr>
            </w:pPr>
            <w:r>
              <w:rPr>
                <w:rFonts w:hint="eastAsia" w:ascii="宋体" w:hAnsi="宋体"/>
              </w:rPr>
              <w:t>2209</w:t>
            </w:r>
          </w:p>
        </w:tc>
        <w:tc>
          <w:tcPr>
            <w:tcW w:w="558" w:type="pct"/>
            <w:vAlign w:val="center"/>
          </w:tcPr>
          <w:p w14:paraId="0536001F">
            <w:pPr>
              <w:pStyle w:val="12"/>
              <w:jc w:val="center"/>
              <w:rPr>
                <w:rFonts w:ascii="宋体" w:hAnsi="宋体"/>
              </w:rPr>
            </w:pPr>
            <w:r>
              <w:rPr>
                <w:rFonts w:hint="eastAsia" w:ascii="宋体" w:hAnsi="宋体"/>
              </w:rPr>
              <w:t>5890.2</w:t>
            </w:r>
          </w:p>
        </w:tc>
        <w:tc>
          <w:tcPr>
            <w:tcW w:w="555" w:type="pct"/>
            <w:vAlign w:val="center"/>
          </w:tcPr>
          <w:p w14:paraId="5E46CFDB">
            <w:pPr>
              <w:pStyle w:val="12"/>
              <w:jc w:val="center"/>
              <w:rPr>
                <w:rFonts w:ascii="宋体" w:hAnsi="宋体"/>
              </w:rPr>
            </w:pPr>
            <w:r>
              <w:rPr>
                <w:rFonts w:hint="eastAsia" w:ascii="宋体" w:hAnsi="宋体"/>
              </w:rPr>
              <w:t>34.7</w:t>
            </w:r>
          </w:p>
        </w:tc>
      </w:tr>
      <w:tr w14:paraId="52F8AF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509A23A2">
            <w:pPr>
              <w:pStyle w:val="12"/>
              <w:jc w:val="center"/>
              <w:rPr>
                <w:rFonts w:ascii="宋体" w:hAnsi="宋体"/>
              </w:rPr>
            </w:pPr>
            <w:r>
              <w:rPr>
                <w:rFonts w:hint="eastAsia" w:ascii="宋体" w:hAnsi="宋体"/>
              </w:rPr>
              <w:t>瀑布水</w:t>
            </w:r>
          </w:p>
        </w:tc>
        <w:tc>
          <w:tcPr>
            <w:tcW w:w="555" w:type="pct"/>
            <w:vAlign w:val="center"/>
          </w:tcPr>
          <w:p w14:paraId="35C6C968">
            <w:pPr>
              <w:pStyle w:val="12"/>
              <w:jc w:val="center"/>
              <w:rPr>
                <w:rFonts w:ascii="宋体" w:hAnsi="宋体"/>
              </w:rPr>
            </w:pPr>
            <w:r>
              <w:rPr>
                <w:rFonts w:hint="eastAsia" w:ascii="宋体" w:hAnsi="宋体"/>
              </w:rPr>
              <w:t>13490</w:t>
            </w:r>
          </w:p>
        </w:tc>
        <w:tc>
          <w:tcPr>
            <w:tcW w:w="555" w:type="pct"/>
            <w:vAlign w:val="center"/>
          </w:tcPr>
          <w:p w14:paraId="0EFCD9DE">
            <w:pPr>
              <w:pStyle w:val="12"/>
              <w:jc w:val="center"/>
              <w:rPr>
                <w:rFonts w:ascii="宋体" w:hAnsi="宋体"/>
              </w:rPr>
            </w:pPr>
            <w:r>
              <w:rPr>
                <w:rFonts w:hint="eastAsia" w:ascii="宋体" w:hAnsi="宋体"/>
              </w:rPr>
              <w:t>3617.43</w:t>
            </w:r>
          </w:p>
        </w:tc>
        <w:tc>
          <w:tcPr>
            <w:tcW w:w="555" w:type="pct"/>
            <w:vAlign w:val="center"/>
          </w:tcPr>
          <w:p w14:paraId="2B3010DD">
            <w:pPr>
              <w:pStyle w:val="12"/>
              <w:jc w:val="center"/>
              <w:rPr>
                <w:rFonts w:ascii="宋体" w:hAnsi="宋体"/>
              </w:rPr>
            </w:pPr>
            <w:r>
              <w:rPr>
                <w:rFonts w:hint="eastAsia" w:ascii="宋体" w:hAnsi="宋体"/>
              </w:rPr>
              <w:t>0.406</w:t>
            </w:r>
          </w:p>
        </w:tc>
        <w:tc>
          <w:tcPr>
            <w:tcW w:w="555" w:type="pct"/>
            <w:vAlign w:val="center"/>
          </w:tcPr>
          <w:p w14:paraId="73B5833A">
            <w:pPr>
              <w:pStyle w:val="12"/>
              <w:jc w:val="center"/>
              <w:rPr>
                <w:rFonts w:ascii="宋体" w:hAnsi="宋体"/>
              </w:rPr>
            </w:pPr>
            <w:r>
              <w:rPr>
                <w:rFonts w:hint="eastAsia" w:ascii="宋体" w:hAnsi="宋体"/>
              </w:rPr>
              <w:t>1280</w:t>
            </w:r>
          </w:p>
        </w:tc>
        <w:tc>
          <w:tcPr>
            <w:tcW w:w="555" w:type="pct"/>
            <w:vAlign w:val="center"/>
          </w:tcPr>
          <w:p w14:paraId="6766F4AB">
            <w:pPr>
              <w:pStyle w:val="12"/>
              <w:jc w:val="center"/>
              <w:rPr>
                <w:rFonts w:ascii="宋体" w:hAnsi="宋体"/>
              </w:rPr>
            </w:pPr>
            <w:r>
              <w:rPr>
                <w:rFonts w:hint="eastAsia" w:ascii="宋体" w:hAnsi="宋体"/>
              </w:rPr>
              <w:t>0.064</w:t>
            </w:r>
          </w:p>
        </w:tc>
        <w:tc>
          <w:tcPr>
            <w:tcW w:w="555" w:type="pct"/>
            <w:vAlign w:val="center"/>
          </w:tcPr>
          <w:p w14:paraId="410CB6EB">
            <w:pPr>
              <w:pStyle w:val="12"/>
              <w:jc w:val="center"/>
              <w:rPr>
                <w:rFonts w:ascii="宋体" w:hAnsi="宋体"/>
              </w:rPr>
            </w:pPr>
            <w:r>
              <w:rPr>
                <w:rFonts w:hint="eastAsia" w:ascii="宋体" w:hAnsi="宋体"/>
              </w:rPr>
              <w:t>202</w:t>
            </w:r>
          </w:p>
        </w:tc>
        <w:tc>
          <w:tcPr>
            <w:tcW w:w="558" w:type="pct"/>
            <w:vAlign w:val="center"/>
          </w:tcPr>
          <w:p w14:paraId="384CD77D">
            <w:pPr>
              <w:pStyle w:val="12"/>
              <w:jc w:val="center"/>
              <w:rPr>
                <w:rFonts w:ascii="宋体" w:hAnsi="宋体"/>
              </w:rPr>
            </w:pPr>
            <w:r>
              <w:rPr>
                <w:rFonts w:hint="eastAsia" w:ascii="宋体" w:hAnsi="宋体"/>
              </w:rPr>
              <w:t>5099.43</w:t>
            </w:r>
          </w:p>
        </w:tc>
        <w:tc>
          <w:tcPr>
            <w:tcW w:w="555" w:type="pct"/>
            <w:vAlign w:val="center"/>
          </w:tcPr>
          <w:p w14:paraId="75368A16">
            <w:pPr>
              <w:pStyle w:val="12"/>
              <w:jc w:val="center"/>
              <w:rPr>
                <w:rFonts w:ascii="宋体" w:hAnsi="宋体"/>
              </w:rPr>
            </w:pPr>
            <w:r>
              <w:rPr>
                <w:rFonts w:hint="eastAsia" w:ascii="宋体" w:hAnsi="宋体"/>
              </w:rPr>
              <w:t>37.8</w:t>
            </w:r>
          </w:p>
        </w:tc>
      </w:tr>
      <w:tr w14:paraId="2E0B36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1CDAE2AF">
            <w:pPr>
              <w:pStyle w:val="12"/>
              <w:jc w:val="center"/>
              <w:rPr>
                <w:rFonts w:ascii="宋体" w:hAnsi="宋体"/>
              </w:rPr>
            </w:pPr>
            <w:r>
              <w:rPr>
                <w:rFonts w:hint="eastAsia" w:ascii="宋体" w:hAnsi="宋体"/>
              </w:rPr>
              <w:t>新龙水</w:t>
            </w:r>
          </w:p>
        </w:tc>
        <w:tc>
          <w:tcPr>
            <w:tcW w:w="555" w:type="pct"/>
            <w:vAlign w:val="center"/>
          </w:tcPr>
          <w:p w14:paraId="59DC3651">
            <w:pPr>
              <w:pStyle w:val="12"/>
              <w:jc w:val="center"/>
              <w:rPr>
                <w:rFonts w:ascii="宋体" w:hAnsi="宋体"/>
              </w:rPr>
            </w:pPr>
            <w:r>
              <w:rPr>
                <w:rFonts w:hint="eastAsia" w:ascii="宋体" w:hAnsi="宋体"/>
              </w:rPr>
              <w:t>8590</w:t>
            </w:r>
          </w:p>
        </w:tc>
        <w:tc>
          <w:tcPr>
            <w:tcW w:w="555" w:type="pct"/>
            <w:vAlign w:val="center"/>
          </w:tcPr>
          <w:p w14:paraId="154ABE94">
            <w:pPr>
              <w:pStyle w:val="12"/>
              <w:jc w:val="center"/>
              <w:rPr>
                <w:rFonts w:ascii="宋体" w:hAnsi="宋体"/>
              </w:rPr>
            </w:pPr>
            <w:r>
              <w:rPr>
                <w:rFonts w:hint="eastAsia" w:ascii="宋体" w:hAnsi="宋体"/>
              </w:rPr>
              <w:t>2205.14</w:t>
            </w:r>
          </w:p>
        </w:tc>
        <w:tc>
          <w:tcPr>
            <w:tcW w:w="555" w:type="pct"/>
            <w:vAlign w:val="center"/>
          </w:tcPr>
          <w:p w14:paraId="41FB958F">
            <w:pPr>
              <w:pStyle w:val="12"/>
              <w:jc w:val="center"/>
              <w:rPr>
                <w:rFonts w:ascii="宋体" w:hAnsi="宋体"/>
              </w:rPr>
            </w:pPr>
            <w:r>
              <w:rPr>
                <w:rFonts w:hint="eastAsia" w:ascii="宋体" w:hAnsi="宋体"/>
              </w:rPr>
              <w:t>0.143</w:t>
            </w:r>
          </w:p>
        </w:tc>
        <w:tc>
          <w:tcPr>
            <w:tcW w:w="555" w:type="pct"/>
            <w:vAlign w:val="center"/>
          </w:tcPr>
          <w:p w14:paraId="3BE7C8FF">
            <w:pPr>
              <w:pStyle w:val="12"/>
              <w:jc w:val="center"/>
              <w:rPr>
                <w:rFonts w:ascii="宋体" w:hAnsi="宋体"/>
              </w:rPr>
            </w:pPr>
            <w:r>
              <w:rPr>
                <w:rFonts w:hint="eastAsia" w:ascii="宋体" w:hAnsi="宋体"/>
              </w:rPr>
              <w:t>451</w:t>
            </w:r>
          </w:p>
        </w:tc>
        <w:tc>
          <w:tcPr>
            <w:tcW w:w="555" w:type="pct"/>
            <w:vAlign w:val="center"/>
          </w:tcPr>
          <w:p w14:paraId="7DEAB60F">
            <w:pPr>
              <w:pStyle w:val="12"/>
              <w:jc w:val="center"/>
              <w:rPr>
                <w:rFonts w:ascii="宋体" w:hAnsi="宋体"/>
              </w:rPr>
            </w:pPr>
            <w:r>
              <w:rPr>
                <w:rFonts w:hint="eastAsia" w:ascii="宋体" w:hAnsi="宋体"/>
              </w:rPr>
              <w:t>0.013</w:t>
            </w:r>
          </w:p>
        </w:tc>
        <w:tc>
          <w:tcPr>
            <w:tcW w:w="555" w:type="pct"/>
            <w:vAlign w:val="center"/>
          </w:tcPr>
          <w:p w14:paraId="254ECC62">
            <w:pPr>
              <w:pStyle w:val="12"/>
              <w:jc w:val="center"/>
              <w:rPr>
                <w:rFonts w:ascii="宋体" w:hAnsi="宋体"/>
              </w:rPr>
            </w:pPr>
            <w:r>
              <w:rPr>
                <w:rFonts w:hint="eastAsia" w:ascii="宋体" w:hAnsi="宋体"/>
              </w:rPr>
              <w:t>41</w:t>
            </w:r>
          </w:p>
        </w:tc>
        <w:tc>
          <w:tcPr>
            <w:tcW w:w="558" w:type="pct"/>
            <w:vAlign w:val="center"/>
          </w:tcPr>
          <w:p w14:paraId="07997560">
            <w:pPr>
              <w:pStyle w:val="12"/>
              <w:jc w:val="center"/>
              <w:rPr>
                <w:rFonts w:ascii="宋体" w:hAnsi="宋体"/>
              </w:rPr>
            </w:pPr>
            <w:r>
              <w:rPr>
                <w:rFonts w:hint="eastAsia" w:ascii="宋体" w:hAnsi="宋体"/>
              </w:rPr>
              <w:t>2697.14</w:t>
            </w:r>
          </w:p>
        </w:tc>
        <w:tc>
          <w:tcPr>
            <w:tcW w:w="555" w:type="pct"/>
            <w:vAlign w:val="center"/>
          </w:tcPr>
          <w:p w14:paraId="2C81739D">
            <w:pPr>
              <w:pStyle w:val="12"/>
              <w:jc w:val="center"/>
              <w:rPr>
                <w:rFonts w:ascii="宋体" w:hAnsi="宋体"/>
              </w:rPr>
            </w:pPr>
            <w:r>
              <w:rPr>
                <w:rFonts w:hint="eastAsia" w:ascii="宋体" w:hAnsi="宋体"/>
              </w:rPr>
              <w:t>31.4</w:t>
            </w:r>
          </w:p>
        </w:tc>
      </w:tr>
      <w:tr w14:paraId="302754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0EFCE81C">
            <w:pPr>
              <w:pStyle w:val="12"/>
              <w:jc w:val="center"/>
              <w:rPr>
                <w:rFonts w:ascii="宋体" w:hAnsi="宋体"/>
              </w:rPr>
            </w:pPr>
            <w:r>
              <w:rPr>
                <w:rFonts w:hint="eastAsia" w:ascii="宋体" w:hAnsi="宋体"/>
              </w:rPr>
              <w:t>江头水</w:t>
            </w:r>
          </w:p>
        </w:tc>
        <w:tc>
          <w:tcPr>
            <w:tcW w:w="555" w:type="pct"/>
            <w:vAlign w:val="center"/>
          </w:tcPr>
          <w:p w14:paraId="21E4E91D">
            <w:pPr>
              <w:pStyle w:val="12"/>
              <w:jc w:val="center"/>
              <w:rPr>
                <w:rFonts w:ascii="宋体" w:hAnsi="宋体"/>
              </w:rPr>
            </w:pPr>
            <w:r>
              <w:rPr>
                <w:rFonts w:hint="eastAsia" w:ascii="宋体" w:hAnsi="宋体"/>
              </w:rPr>
              <w:t>8220</w:t>
            </w:r>
          </w:p>
        </w:tc>
        <w:tc>
          <w:tcPr>
            <w:tcW w:w="555" w:type="pct"/>
            <w:vAlign w:val="center"/>
          </w:tcPr>
          <w:p w14:paraId="74401D17">
            <w:pPr>
              <w:pStyle w:val="12"/>
              <w:jc w:val="center"/>
              <w:rPr>
                <w:rFonts w:ascii="宋体" w:hAnsi="宋体"/>
              </w:rPr>
            </w:pPr>
            <w:r>
              <w:rPr>
                <w:rFonts w:hint="eastAsia" w:ascii="宋体" w:hAnsi="宋体"/>
              </w:rPr>
              <w:t>133.5</w:t>
            </w:r>
          </w:p>
        </w:tc>
        <w:tc>
          <w:tcPr>
            <w:tcW w:w="555" w:type="pct"/>
            <w:vAlign w:val="center"/>
          </w:tcPr>
          <w:p w14:paraId="665A4A51">
            <w:pPr>
              <w:pStyle w:val="12"/>
              <w:jc w:val="center"/>
              <w:rPr>
                <w:rFonts w:ascii="宋体" w:hAnsi="宋体"/>
              </w:rPr>
            </w:pPr>
            <w:r>
              <w:rPr>
                <w:rFonts w:hint="eastAsia" w:ascii="宋体" w:hAnsi="宋体"/>
              </w:rPr>
              <w:t>0.08</w:t>
            </w:r>
          </w:p>
        </w:tc>
        <w:tc>
          <w:tcPr>
            <w:tcW w:w="555" w:type="pct"/>
            <w:vAlign w:val="center"/>
          </w:tcPr>
          <w:p w14:paraId="0D6FD1F0">
            <w:pPr>
              <w:pStyle w:val="12"/>
              <w:jc w:val="center"/>
              <w:rPr>
                <w:rFonts w:ascii="宋体" w:hAnsi="宋体"/>
              </w:rPr>
            </w:pPr>
            <w:r>
              <w:rPr>
                <w:rFonts w:hint="eastAsia" w:ascii="宋体" w:hAnsi="宋体"/>
              </w:rPr>
              <w:t>252</w:t>
            </w:r>
          </w:p>
        </w:tc>
        <w:tc>
          <w:tcPr>
            <w:tcW w:w="555" w:type="pct"/>
            <w:vAlign w:val="center"/>
          </w:tcPr>
          <w:p w14:paraId="1B016DAC">
            <w:pPr>
              <w:pStyle w:val="12"/>
              <w:jc w:val="center"/>
              <w:rPr>
                <w:rFonts w:ascii="宋体" w:hAnsi="宋体"/>
              </w:rPr>
            </w:pPr>
            <w:r>
              <w:rPr>
                <w:rFonts w:hint="eastAsia" w:ascii="宋体" w:hAnsi="宋体"/>
              </w:rPr>
              <w:t>0.134</w:t>
            </w:r>
          </w:p>
        </w:tc>
        <w:tc>
          <w:tcPr>
            <w:tcW w:w="555" w:type="pct"/>
            <w:vAlign w:val="center"/>
          </w:tcPr>
          <w:p w14:paraId="0E42EB0A">
            <w:pPr>
              <w:pStyle w:val="12"/>
              <w:jc w:val="center"/>
              <w:rPr>
                <w:rFonts w:ascii="宋体" w:hAnsi="宋体"/>
              </w:rPr>
            </w:pPr>
            <w:r>
              <w:rPr>
                <w:rFonts w:hint="eastAsia" w:ascii="宋体" w:hAnsi="宋体"/>
              </w:rPr>
              <w:t>422</w:t>
            </w:r>
          </w:p>
        </w:tc>
        <w:tc>
          <w:tcPr>
            <w:tcW w:w="558" w:type="pct"/>
            <w:vAlign w:val="center"/>
          </w:tcPr>
          <w:p w14:paraId="7CC23EB7">
            <w:pPr>
              <w:pStyle w:val="12"/>
              <w:jc w:val="center"/>
              <w:rPr>
                <w:rFonts w:ascii="宋体" w:hAnsi="宋体"/>
              </w:rPr>
            </w:pPr>
            <w:r>
              <w:rPr>
                <w:rFonts w:hint="eastAsia" w:ascii="宋体" w:hAnsi="宋体"/>
              </w:rPr>
              <w:t>807.5</w:t>
            </w:r>
          </w:p>
        </w:tc>
        <w:tc>
          <w:tcPr>
            <w:tcW w:w="555" w:type="pct"/>
            <w:vAlign w:val="center"/>
          </w:tcPr>
          <w:p w14:paraId="653B2B48">
            <w:pPr>
              <w:pStyle w:val="12"/>
              <w:jc w:val="center"/>
              <w:rPr>
                <w:rFonts w:ascii="宋体" w:hAnsi="宋体"/>
              </w:rPr>
            </w:pPr>
            <w:r>
              <w:rPr>
                <w:rFonts w:hint="eastAsia" w:ascii="宋体" w:hAnsi="宋体"/>
              </w:rPr>
              <w:t>9.8</w:t>
            </w:r>
          </w:p>
        </w:tc>
      </w:tr>
      <w:tr w14:paraId="646DC4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4947B5BF">
            <w:pPr>
              <w:pStyle w:val="12"/>
              <w:jc w:val="center"/>
              <w:rPr>
                <w:rFonts w:ascii="宋体" w:hAnsi="宋体"/>
              </w:rPr>
            </w:pPr>
            <w:r>
              <w:rPr>
                <w:rFonts w:hint="eastAsia" w:ascii="宋体" w:hAnsi="宋体"/>
              </w:rPr>
              <w:t>大坪水</w:t>
            </w:r>
          </w:p>
        </w:tc>
        <w:tc>
          <w:tcPr>
            <w:tcW w:w="555" w:type="pct"/>
            <w:vAlign w:val="center"/>
          </w:tcPr>
          <w:p w14:paraId="2BDFDC7D">
            <w:pPr>
              <w:pStyle w:val="12"/>
              <w:jc w:val="center"/>
              <w:rPr>
                <w:rFonts w:ascii="宋体" w:hAnsi="宋体"/>
              </w:rPr>
            </w:pPr>
            <w:r>
              <w:rPr>
                <w:rFonts w:hint="eastAsia" w:ascii="宋体" w:hAnsi="宋体"/>
              </w:rPr>
              <w:t>8080</w:t>
            </w:r>
          </w:p>
        </w:tc>
        <w:tc>
          <w:tcPr>
            <w:tcW w:w="555" w:type="pct"/>
            <w:vAlign w:val="center"/>
          </w:tcPr>
          <w:p w14:paraId="6CAC3775">
            <w:pPr>
              <w:pStyle w:val="12"/>
              <w:jc w:val="center"/>
              <w:rPr>
                <w:rFonts w:ascii="宋体" w:hAnsi="宋体"/>
              </w:rPr>
            </w:pPr>
            <w:r>
              <w:rPr>
                <w:rFonts w:hint="eastAsia" w:ascii="宋体" w:hAnsi="宋体"/>
              </w:rPr>
              <w:t>1176</w:t>
            </w:r>
          </w:p>
        </w:tc>
        <w:tc>
          <w:tcPr>
            <w:tcW w:w="555" w:type="pct"/>
            <w:vAlign w:val="center"/>
          </w:tcPr>
          <w:p w14:paraId="300CECFF">
            <w:pPr>
              <w:pStyle w:val="12"/>
              <w:jc w:val="center"/>
              <w:rPr>
                <w:rFonts w:ascii="宋体" w:hAnsi="宋体"/>
              </w:rPr>
            </w:pPr>
            <w:r>
              <w:rPr>
                <w:rFonts w:hint="eastAsia" w:ascii="宋体" w:hAnsi="宋体"/>
              </w:rPr>
              <w:t>0.461</w:t>
            </w:r>
          </w:p>
        </w:tc>
        <w:tc>
          <w:tcPr>
            <w:tcW w:w="555" w:type="pct"/>
            <w:vAlign w:val="center"/>
          </w:tcPr>
          <w:p w14:paraId="2BE49F1B">
            <w:pPr>
              <w:pStyle w:val="12"/>
              <w:jc w:val="center"/>
              <w:rPr>
                <w:rFonts w:ascii="宋体" w:hAnsi="宋体"/>
              </w:rPr>
            </w:pPr>
            <w:r>
              <w:rPr>
                <w:rFonts w:hint="eastAsia" w:ascii="宋体" w:hAnsi="宋体"/>
              </w:rPr>
              <w:t>1454</w:t>
            </w:r>
          </w:p>
        </w:tc>
        <w:tc>
          <w:tcPr>
            <w:tcW w:w="555" w:type="pct"/>
            <w:vAlign w:val="center"/>
          </w:tcPr>
          <w:p w14:paraId="7C06C970">
            <w:pPr>
              <w:pStyle w:val="12"/>
              <w:jc w:val="center"/>
              <w:rPr>
                <w:rFonts w:ascii="宋体" w:hAnsi="宋体"/>
              </w:rPr>
            </w:pPr>
            <w:r>
              <w:rPr>
                <w:rFonts w:hint="eastAsia" w:ascii="宋体" w:hAnsi="宋体"/>
              </w:rPr>
              <w:t>—</w:t>
            </w:r>
          </w:p>
        </w:tc>
        <w:tc>
          <w:tcPr>
            <w:tcW w:w="555" w:type="pct"/>
            <w:vAlign w:val="center"/>
          </w:tcPr>
          <w:p w14:paraId="3891FF01">
            <w:pPr>
              <w:pStyle w:val="12"/>
              <w:jc w:val="center"/>
              <w:rPr>
                <w:rFonts w:ascii="宋体" w:hAnsi="宋体"/>
              </w:rPr>
            </w:pPr>
            <w:r>
              <w:rPr>
                <w:rFonts w:hint="eastAsia" w:ascii="宋体" w:hAnsi="宋体"/>
              </w:rPr>
              <w:t>—</w:t>
            </w:r>
          </w:p>
        </w:tc>
        <w:tc>
          <w:tcPr>
            <w:tcW w:w="558" w:type="pct"/>
            <w:vAlign w:val="center"/>
          </w:tcPr>
          <w:p w14:paraId="59E0FD03">
            <w:pPr>
              <w:pStyle w:val="12"/>
              <w:jc w:val="center"/>
              <w:rPr>
                <w:rFonts w:ascii="宋体" w:hAnsi="宋体"/>
              </w:rPr>
            </w:pPr>
            <w:r>
              <w:rPr>
                <w:rFonts w:hint="eastAsia" w:ascii="宋体" w:hAnsi="宋体"/>
              </w:rPr>
              <w:t>2630</w:t>
            </w:r>
          </w:p>
        </w:tc>
        <w:tc>
          <w:tcPr>
            <w:tcW w:w="555" w:type="pct"/>
            <w:vAlign w:val="center"/>
          </w:tcPr>
          <w:p w14:paraId="7D15F168">
            <w:pPr>
              <w:pStyle w:val="12"/>
              <w:jc w:val="center"/>
              <w:rPr>
                <w:rFonts w:ascii="宋体" w:hAnsi="宋体"/>
              </w:rPr>
            </w:pPr>
            <w:r>
              <w:rPr>
                <w:rFonts w:hint="eastAsia" w:ascii="宋体" w:hAnsi="宋体"/>
              </w:rPr>
              <w:t>32.5</w:t>
            </w:r>
          </w:p>
        </w:tc>
      </w:tr>
      <w:tr w14:paraId="58CF9D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21D1F952">
            <w:pPr>
              <w:pStyle w:val="12"/>
              <w:jc w:val="center"/>
              <w:rPr>
                <w:rFonts w:ascii="宋体" w:hAnsi="宋体"/>
              </w:rPr>
            </w:pPr>
            <w:r>
              <w:rPr>
                <w:rFonts w:hint="eastAsia" w:ascii="宋体" w:hAnsi="宋体"/>
              </w:rPr>
              <w:t>泰源水</w:t>
            </w:r>
          </w:p>
        </w:tc>
        <w:tc>
          <w:tcPr>
            <w:tcW w:w="555" w:type="pct"/>
            <w:vAlign w:val="center"/>
          </w:tcPr>
          <w:p w14:paraId="314C8CC9">
            <w:pPr>
              <w:pStyle w:val="12"/>
              <w:jc w:val="center"/>
              <w:rPr>
                <w:rFonts w:ascii="宋体" w:hAnsi="宋体"/>
              </w:rPr>
            </w:pPr>
            <w:r>
              <w:rPr>
                <w:rFonts w:hint="eastAsia" w:ascii="宋体" w:hAnsi="宋体"/>
              </w:rPr>
              <w:t>7490</w:t>
            </w:r>
          </w:p>
        </w:tc>
        <w:tc>
          <w:tcPr>
            <w:tcW w:w="555" w:type="pct"/>
            <w:vAlign w:val="center"/>
          </w:tcPr>
          <w:p w14:paraId="2D316A54">
            <w:pPr>
              <w:pStyle w:val="12"/>
              <w:jc w:val="center"/>
              <w:rPr>
                <w:rFonts w:ascii="宋体" w:hAnsi="宋体"/>
              </w:rPr>
            </w:pPr>
            <w:r>
              <w:rPr>
                <w:rFonts w:hint="eastAsia" w:ascii="宋体" w:hAnsi="宋体"/>
              </w:rPr>
              <w:t>651.4</w:t>
            </w:r>
          </w:p>
        </w:tc>
        <w:tc>
          <w:tcPr>
            <w:tcW w:w="555" w:type="pct"/>
            <w:vAlign w:val="center"/>
          </w:tcPr>
          <w:p w14:paraId="13832E9C">
            <w:pPr>
              <w:pStyle w:val="12"/>
              <w:jc w:val="center"/>
              <w:rPr>
                <w:rFonts w:ascii="宋体" w:hAnsi="宋体"/>
              </w:rPr>
            </w:pPr>
            <w:r>
              <w:rPr>
                <w:rFonts w:hint="eastAsia" w:ascii="宋体" w:hAnsi="宋体"/>
              </w:rPr>
              <w:t>0.101</w:t>
            </w:r>
          </w:p>
        </w:tc>
        <w:tc>
          <w:tcPr>
            <w:tcW w:w="555" w:type="pct"/>
            <w:vAlign w:val="center"/>
          </w:tcPr>
          <w:p w14:paraId="620A8446">
            <w:pPr>
              <w:pStyle w:val="12"/>
              <w:jc w:val="center"/>
              <w:rPr>
                <w:rFonts w:ascii="宋体" w:hAnsi="宋体"/>
              </w:rPr>
            </w:pPr>
            <w:r>
              <w:rPr>
                <w:rFonts w:hint="eastAsia" w:ascii="宋体" w:hAnsi="宋体"/>
              </w:rPr>
              <w:t>318</w:t>
            </w:r>
          </w:p>
        </w:tc>
        <w:tc>
          <w:tcPr>
            <w:tcW w:w="555" w:type="pct"/>
            <w:vAlign w:val="center"/>
          </w:tcPr>
          <w:p w14:paraId="68F27A19">
            <w:pPr>
              <w:pStyle w:val="12"/>
              <w:jc w:val="center"/>
              <w:rPr>
                <w:rFonts w:ascii="宋体" w:hAnsi="宋体"/>
              </w:rPr>
            </w:pPr>
            <w:r>
              <w:rPr>
                <w:rFonts w:hint="eastAsia" w:ascii="宋体" w:hAnsi="宋体"/>
              </w:rPr>
              <w:t>0.193</w:t>
            </w:r>
          </w:p>
        </w:tc>
        <w:tc>
          <w:tcPr>
            <w:tcW w:w="555" w:type="pct"/>
            <w:vAlign w:val="center"/>
          </w:tcPr>
          <w:p w14:paraId="7DACA8AE">
            <w:pPr>
              <w:pStyle w:val="12"/>
              <w:jc w:val="center"/>
              <w:rPr>
                <w:rFonts w:ascii="宋体" w:hAnsi="宋体"/>
              </w:rPr>
            </w:pPr>
            <w:r>
              <w:rPr>
                <w:rFonts w:hint="eastAsia" w:ascii="宋体" w:hAnsi="宋体"/>
              </w:rPr>
              <w:t>610</w:t>
            </w:r>
          </w:p>
        </w:tc>
        <w:tc>
          <w:tcPr>
            <w:tcW w:w="558" w:type="pct"/>
            <w:vAlign w:val="center"/>
          </w:tcPr>
          <w:p w14:paraId="0C4C14BF">
            <w:pPr>
              <w:pStyle w:val="12"/>
              <w:jc w:val="center"/>
              <w:rPr>
                <w:rFonts w:ascii="宋体" w:hAnsi="宋体"/>
              </w:rPr>
            </w:pPr>
            <w:r>
              <w:rPr>
                <w:rFonts w:hint="eastAsia" w:ascii="宋体" w:hAnsi="宋体"/>
              </w:rPr>
              <w:t>1579.4</w:t>
            </w:r>
          </w:p>
        </w:tc>
        <w:tc>
          <w:tcPr>
            <w:tcW w:w="555" w:type="pct"/>
            <w:vAlign w:val="center"/>
          </w:tcPr>
          <w:p w14:paraId="5D113CA0">
            <w:pPr>
              <w:pStyle w:val="12"/>
              <w:jc w:val="center"/>
              <w:rPr>
                <w:rFonts w:ascii="宋体" w:hAnsi="宋体"/>
              </w:rPr>
            </w:pPr>
            <w:r>
              <w:rPr>
                <w:rFonts w:hint="eastAsia" w:ascii="宋体" w:hAnsi="宋体"/>
              </w:rPr>
              <w:t>21.1</w:t>
            </w:r>
          </w:p>
        </w:tc>
      </w:tr>
      <w:tr w14:paraId="0D50AC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14433015">
            <w:pPr>
              <w:pStyle w:val="12"/>
              <w:jc w:val="center"/>
              <w:rPr>
                <w:rFonts w:ascii="宋体" w:hAnsi="宋体"/>
              </w:rPr>
            </w:pPr>
            <w:r>
              <w:rPr>
                <w:rFonts w:hint="eastAsia" w:ascii="宋体" w:hAnsi="宋体"/>
              </w:rPr>
              <w:t>下洞水</w:t>
            </w:r>
          </w:p>
        </w:tc>
        <w:tc>
          <w:tcPr>
            <w:tcW w:w="555" w:type="pct"/>
            <w:vAlign w:val="center"/>
          </w:tcPr>
          <w:p w14:paraId="3B530249">
            <w:pPr>
              <w:pStyle w:val="12"/>
              <w:jc w:val="center"/>
              <w:rPr>
                <w:rFonts w:ascii="宋体" w:hAnsi="宋体"/>
              </w:rPr>
            </w:pPr>
            <w:r>
              <w:rPr>
                <w:rFonts w:hint="eastAsia" w:ascii="宋体" w:hAnsi="宋体"/>
              </w:rPr>
              <w:t>6260</w:t>
            </w:r>
          </w:p>
        </w:tc>
        <w:tc>
          <w:tcPr>
            <w:tcW w:w="555" w:type="pct"/>
            <w:vAlign w:val="center"/>
          </w:tcPr>
          <w:p w14:paraId="5E4A69D5">
            <w:pPr>
              <w:pStyle w:val="12"/>
              <w:jc w:val="center"/>
              <w:rPr>
                <w:rFonts w:ascii="宋体" w:hAnsi="宋体"/>
              </w:rPr>
            </w:pPr>
            <w:r>
              <w:rPr>
                <w:rFonts w:hint="eastAsia" w:ascii="宋体" w:hAnsi="宋体"/>
              </w:rPr>
              <w:t>345.6</w:t>
            </w:r>
          </w:p>
        </w:tc>
        <w:tc>
          <w:tcPr>
            <w:tcW w:w="555" w:type="pct"/>
            <w:vAlign w:val="center"/>
          </w:tcPr>
          <w:p w14:paraId="5353ACA8">
            <w:pPr>
              <w:pStyle w:val="12"/>
              <w:jc w:val="center"/>
              <w:rPr>
                <w:rFonts w:ascii="宋体" w:hAnsi="宋体"/>
              </w:rPr>
            </w:pPr>
            <w:r>
              <w:rPr>
                <w:rFonts w:hint="eastAsia" w:ascii="宋体" w:hAnsi="宋体"/>
              </w:rPr>
              <w:t>0.502</w:t>
            </w:r>
          </w:p>
        </w:tc>
        <w:tc>
          <w:tcPr>
            <w:tcW w:w="555" w:type="pct"/>
            <w:vAlign w:val="center"/>
          </w:tcPr>
          <w:p w14:paraId="6296DFAE">
            <w:pPr>
              <w:pStyle w:val="12"/>
              <w:jc w:val="center"/>
              <w:rPr>
                <w:rFonts w:ascii="宋体" w:hAnsi="宋体"/>
              </w:rPr>
            </w:pPr>
            <w:r>
              <w:rPr>
                <w:rFonts w:hint="eastAsia" w:ascii="宋体" w:hAnsi="宋体"/>
              </w:rPr>
              <w:t>1583</w:t>
            </w:r>
          </w:p>
        </w:tc>
        <w:tc>
          <w:tcPr>
            <w:tcW w:w="555" w:type="pct"/>
            <w:vAlign w:val="center"/>
          </w:tcPr>
          <w:p w14:paraId="3EE80F6D">
            <w:pPr>
              <w:pStyle w:val="12"/>
              <w:jc w:val="center"/>
              <w:rPr>
                <w:rFonts w:ascii="宋体" w:hAnsi="宋体"/>
              </w:rPr>
            </w:pPr>
            <w:r>
              <w:rPr>
                <w:rFonts w:hint="eastAsia" w:ascii="宋体" w:hAnsi="宋体"/>
              </w:rPr>
              <w:t>0.751</w:t>
            </w:r>
          </w:p>
        </w:tc>
        <w:tc>
          <w:tcPr>
            <w:tcW w:w="555" w:type="pct"/>
            <w:vAlign w:val="center"/>
          </w:tcPr>
          <w:p w14:paraId="67BE8CCF">
            <w:pPr>
              <w:pStyle w:val="12"/>
              <w:jc w:val="center"/>
              <w:rPr>
                <w:rFonts w:ascii="宋体" w:hAnsi="宋体"/>
              </w:rPr>
            </w:pPr>
            <w:r>
              <w:rPr>
                <w:rFonts w:hint="eastAsia" w:ascii="宋体" w:hAnsi="宋体"/>
              </w:rPr>
              <w:t>2368</w:t>
            </w:r>
          </w:p>
        </w:tc>
        <w:tc>
          <w:tcPr>
            <w:tcW w:w="558" w:type="pct"/>
            <w:vAlign w:val="center"/>
          </w:tcPr>
          <w:p w14:paraId="6BC7ACEE">
            <w:pPr>
              <w:pStyle w:val="12"/>
              <w:jc w:val="center"/>
              <w:rPr>
                <w:rFonts w:ascii="宋体" w:hAnsi="宋体"/>
              </w:rPr>
            </w:pPr>
            <w:r>
              <w:rPr>
                <w:rFonts w:hint="eastAsia" w:ascii="宋体" w:hAnsi="宋体"/>
              </w:rPr>
              <w:t>4296.6</w:t>
            </w:r>
          </w:p>
        </w:tc>
        <w:tc>
          <w:tcPr>
            <w:tcW w:w="555" w:type="pct"/>
            <w:vAlign w:val="center"/>
          </w:tcPr>
          <w:p w14:paraId="29A6FA70">
            <w:pPr>
              <w:pStyle w:val="12"/>
              <w:jc w:val="center"/>
              <w:rPr>
                <w:rFonts w:ascii="宋体" w:hAnsi="宋体"/>
              </w:rPr>
            </w:pPr>
            <w:r>
              <w:rPr>
                <w:rFonts w:hint="eastAsia" w:ascii="宋体" w:hAnsi="宋体"/>
              </w:rPr>
              <w:t>68.6</w:t>
            </w:r>
          </w:p>
        </w:tc>
      </w:tr>
      <w:tr w14:paraId="48EE30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6C72032B">
            <w:pPr>
              <w:pStyle w:val="12"/>
              <w:jc w:val="center"/>
              <w:rPr>
                <w:rFonts w:ascii="宋体" w:hAnsi="宋体"/>
              </w:rPr>
            </w:pPr>
            <w:r>
              <w:rPr>
                <w:rFonts w:hint="eastAsia" w:ascii="宋体" w:hAnsi="宋体"/>
              </w:rPr>
              <w:t>邓坊水</w:t>
            </w:r>
          </w:p>
        </w:tc>
        <w:tc>
          <w:tcPr>
            <w:tcW w:w="555" w:type="pct"/>
            <w:vAlign w:val="center"/>
          </w:tcPr>
          <w:p w14:paraId="13789D5C">
            <w:pPr>
              <w:pStyle w:val="12"/>
              <w:jc w:val="center"/>
              <w:rPr>
                <w:rFonts w:ascii="宋体" w:hAnsi="宋体"/>
              </w:rPr>
            </w:pPr>
            <w:r>
              <w:rPr>
                <w:rFonts w:hint="eastAsia" w:ascii="宋体" w:hAnsi="宋体"/>
              </w:rPr>
              <w:t>6240</w:t>
            </w:r>
          </w:p>
        </w:tc>
        <w:tc>
          <w:tcPr>
            <w:tcW w:w="555" w:type="pct"/>
            <w:vAlign w:val="center"/>
          </w:tcPr>
          <w:p w14:paraId="4E41B97B">
            <w:pPr>
              <w:pStyle w:val="12"/>
              <w:jc w:val="center"/>
              <w:rPr>
                <w:rFonts w:ascii="宋体" w:hAnsi="宋体"/>
              </w:rPr>
            </w:pPr>
            <w:r>
              <w:rPr>
                <w:rFonts w:hint="eastAsia" w:ascii="宋体" w:hAnsi="宋体"/>
              </w:rPr>
              <w:t>1372.9</w:t>
            </w:r>
          </w:p>
        </w:tc>
        <w:tc>
          <w:tcPr>
            <w:tcW w:w="555" w:type="pct"/>
            <w:vAlign w:val="center"/>
          </w:tcPr>
          <w:p w14:paraId="08427A62">
            <w:pPr>
              <w:pStyle w:val="12"/>
              <w:jc w:val="center"/>
              <w:rPr>
                <w:rFonts w:ascii="宋体" w:hAnsi="宋体"/>
              </w:rPr>
            </w:pPr>
            <w:r>
              <w:rPr>
                <w:rFonts w:hint="eastAsia" w:ascii="宋体" w:hAnsi="宋体"/>
              </w:rPr>
              <w:t>0.211</w:t>
            </w:r>
          </w:p>
        </w:tc>
        <w:tc>
          <w:tcPr>
            <w:tcW w:w="555" w:type="pct"/>
            <w:vAlign w:val="center"/>
          </w:tcPr>
          <w:p w14:paraId="0943F16F">
            <w:pPr>
              <w:pStyle w:val="12"/>
              <w:jc w:val="center"/>
              <w:rPr>
                <w:rFonts w:ascii="宋体" w:hAnsi="宋体"/>
              </w:rPr>
            </w:pPr>
            <w:r>
              <w:rPr>
                <w:rFonts w:hint="eastAsia" w:ascii="宋体" w:hAnsi="宋体"/>
              </w:rPr>
              <w:t>665</w:t>
            </w:r>
          </w:p>
        </w:tc>
        <w:tc>
          <w:tcPr>
            <w:tcW w:w="555" w:type="pct"/>
            <w:vAlign w:val="center"/>
          </w:tcPr>
          <w:p w14:paraId="29B3DC1D">
            <w:pPr>
              <w:pStyle w:val="12"/>
              <w:jc w:val="center"/>
              <w:rPr>
                <w:rFonts w:ascii="宋体" w:hAnsi="宋体"/>
              </w:rPr>
            </w:pPr>
            <w:r>
              <w:rPr>
                <w:rFonts w:hint="eastAsia" w:ascii="宋体" w:hAnsi="宋体"/>
              </w:rPr>
              <w:t>0.387</w:t>
            </w:r>
          </w:p>
        </w:tc>
        <w:tc>
          <w:tcPr>
            <w:tcW w:w="555" w:type="pct"/>
            <w:vAlign w:val="center"/>
          </w:tcPr>
          <w:p w14:paraId="6498C92A">
            <w:pPr>
              <w:pStyle w:val="12"/>
              <w:jc w:val="center"/>
              <w:rPr>
                <w:rFonts w:ascii="宋体" w:hAnsi="宋体"/>
              </w:rPr>
            </w:pPr>
            <w:r>
              <w:rPr>
                <w:rFonts w:hint="eastAsia" w:ascii="宋体" w:hAnsi="宋体"/>
              </w:rPr>
              <w:t>1221</w:t>
            </w:r>
          </w:p>
        </w:tc>
        <w:tc>
          <w:tcPr>
            <w:tcW w:w="558" w:type="pct"/>
            <w:vAlign w:val="center"/>
          </w:tcPr>
          <w:p w14:paraId="7AB4A25D">
            <w:pPr>
              <w:pStyle w:val="12"/>
              <w:jc w:val="center"/>
              <w:rPr>
                <w:rFonts w:ascii="宋体" w:hAnsi="宋体"/>
              </w:rPr>
            </w:pPr>
            <w:r>
              <w:rPr>
                <w:rFonts w:hint="eastAsia" w:ascii="宋体" w:hAnsi="宋体"/>
              </w:rPr>
              <w:t>3258.9</w:t>
            </w:r>
          </w:p>
        </w:tc>
        <w:tc>
          <w:tcPr>
            <w:tcW w:w="555" w:type="pct"/>
            <w:vAlign w:val="center"/>
          </w:tcPr>
          <w:p w14:paraId="400816F0">
            <w:pPr>
              <w:pStyle w:val="12"/>
              <w:jc w:val="center"/>
              <w:rPr>
                <w:rFonts w:ascii="宋体" w:hAnsi="宋体"/>
              </w:rPr>
            </w:pPr>
            <w:r>
              <w:rPr>
                <w:rFonts w:hint="eastAsia" w:ascii="宋体" w:hAnsi="宋体"/>
              </w:rPr>
              <w:t>52.2</w:t>
            </w:r>
          </w:p>
        </w:tc>
      </w:tr>
      <w:tr w14:paraId="5DE622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41F3DC86">
            <w:pPr>
              <w:pStyle w:val="12"/>
              <w:jc w:val="center"/>
              <w:rPr>
                <w:rFonts w:ascii="宋体" w:hAnsi="宋体"/>
              </w:rPr>
            </w:pPr>
            <w:r>
              <w:rPr>
                <w:rFonts w:hint="eastAsia" w:ascii="宋体" w:hAnsi="宋体"/>
              </w:rPr>
              <w:t>南亩水</w:t>
            </w:r>
          </w:p>
        </w:tc>
        <w:tc>
          <w:tcPr>
            <w:tcW w:w="555" w:type="pct"/>
            <w:vAlign w:val="center"/>
          </w:tcPr>
          <w:p w14:paraId="13723D8B">
            <w:pPr>
              <w:pStyle w:val="12"/>
              <w:jc w:val="center"/>
              <w:rPr>
                <w:rFonts w:ascii="宋体" w:hAnsi="宋体"/>
              </w:rPr>
            </w:pPr>
            <w:r>
              <w:rPr>
                <w:rFonts w:hint="eastAsia" w:ascii="宋体" w:hAnsi="宋体"/>
              </w:rPr>
              <w:t>5830</w:t>
            </w:r>
          </w:p>
        </w:tc>
        <w:tc>
          <w:tcPr>
            <w:tcW w:w="555" w:type="pct"/>
            <w:vAlign w:val="center"/>
          </w:tcPr>
          <w:p w14:paraId="4DCB0DB2">
            <w:pPr>
              <w:pStyle w:val="12"/>
              <w:jc w:val="center"/>
              <w:rPr>
                <w:rFonts w:ascii="宋体" w:hAnsi="宋体"/>
              </w:rPr>
            </w:pPr>
            <w:r>
              <w:rPr>
                <w:rFonts w:hint="eastAsia" w:ascii="宋体" w:hAnsi="宋体"/>
              </w:rPr>
              <w:t>127.1</w:t>
            </w:r>
          </w:p>
        </w:tc>
        <w:tc>
          <w:tcPr>
            <w:tcW w:w="555" w:type="pct"/>
            <w:vAlign w:val="center"/>
          </w:tcPr>
          <w:p w14:paraId="238C1619">
            <w:pPr>
              <w:pStyle w:val="12"/>
              <w:jc w:val="center"/>
              <w:rPr>
                <w:rFonts w:ascii="宋体" w:hAnsi="宋体"/>
              </w:rPr>
            </w:pPr>
            <w:r>
              <w:rPr>
                <w:rFonts w:hint="eastAsia" w:ascii="宋体" w:hAnsi="宋体"/>
              </w:rPr>
              <w:t>0.103</w:t>
            </w:r>
          </w:p>
        </w:tc>
        <w:tc>
          <w:tcPr>
            <w:tcW w:w="555" w:type="pct"/>
            <w:vAlign w:val="center"/>
          </w:tcPr>
          <w:p w14:paraId="790B21BE">
            <w:pPr>
              <w:pStyle w:val="12"/>
              <w:jc w:val="center"/>
              <w:rPr>
                <w:rFonts w:ascii="宋体" w:hAnsi="宋体"/>
              </w:rPr>
            </w:pPr>
            <w:r>
              <w:rPr>
                <w:rFonts w:hint="eastAsia" w:ascii="宋体" w:hAnsi="宋体"/>
              </w:rPr>
              <w:t>325</w:t>
            </w:r>
          </w:p>
        </w:tc>
        <w:tc>
          <w:tcPr>
            <w:tcW w:w="555" w:type="pct"/>
            <w:vAlign w:val="center"/>
          </w:tcPr>
          <w:p w14:paraId="7FD20580">
            <w:pPr>
              <w:pStyle w:val="12"/>
              <w:jc w:val="center"/>
              <w:rPr>
                <w:rFonts w:ascii="宋体" w:hAnsi="宋体"/>
              </w:rPr>
            </w:pPr>
            <w:r>
              <w:rPr>
                <w:rFonts w:hint="eastAsia" w:ascii="宋体" w:hAnsi="宋体"/>
              </w:rPr>
              <w:t>0.191</w:t>
            </w:r>
          </w:p>
        </w:tc>
        <w:tc>
          <w:tcPr>
            <w:tcW w:w="555" w:type="pct"/>
            <w:vAlign w:val="center"/>
          </w:tcPr>
          <w:p w14:paraId="62776853">
            <w:pPr>
              <w:pStyle w:val="12"/>
              <w:jc w:val="center"/>
              <w:rPr>
                <w:rFonts w:ascii="宋体" w:hAnsi="宋体"/>
              </w:rPr>
            </w:pPr>
            <w:r>
              <w:rPr>
                <w:rFonts w:hint="eastAsia" w:ascii="宋体" w:hAnsi="宋体"/>
              </w:rPr>
              <w:t>602</w:t>
            </w:r>
          </w:p>
        </w:tc>
        <w:tc>
          <w:tcPr>
            <w:tcW w:w="558" w:type="pct"/>
            <w:vAlign w:val="center"/>
          </w:tcPr>
          <w:p w14:paraId="1D0F76E9">
            <w:pPr>
              <w:pStyle w:val="12"/>
              <w:jc w:val="center"/>
              <w:rPr>
                <w:rFonts w:ascii="宋体" w:hAnsi="宋体"/>
              </w:rPr>
            </w:pPr>
            <w:r>
              <w:rPr>
                <w:rFonts w:hint="eastAsia" w:ascii="宋体" w:hAnsi="宋体"/>
              </w:rPr>
              <w:t>1054.1</w:t>
            </w:r>
          </w:p>
        </w:tc>
        <w:tc>
          <w:tcPr>
            <w:tcW w:w="555" w:type="pct"/>
            <w:vAlign w:val="center"/>
          </w:tcPr>
          <w:p w14:paraId="614606D7">
            <w:pPr>
              <w:pStyle w:val="12"/>
              <w:jc w:val="center"/>
              <w:rPr>
                <w:rFonts w:ascii="宋体" w:hAnsi="宋体"/>
              </w:rPr>
            </w:pPr>
            <w:r>
              <w:rPr>
                <w:rFonts w:hint="eastAsia" w:ascii="宋体" w:hAnsi="宋体"/>
              </w:rPr>
              <w:t>18.1</w:t>
            </w:r>
          </w:p>
        </w:tc>
      </w:tr>
      <w:tr w14:paraId="77AB83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43B65F97">
            <w:pPr>
              <w:pStyle w:val="12"/>
              <w:jc w:val="center"/>
              <w:rPr>
                <w:rFonts w:ascii="宋体" w:hAnsi="宋体"/>
              </w:rPr>
            </w:pPr>
            <w:r>
              <w:rPr>
                <w:rFonts w:hint="eastAsia" w:ascii="宋体" w:hAnsi="宋体"/>
              </w:rPr>
              <w:t>百顺水</w:t>
            </w:r>
          </w:p>
        </w:tc>
        <w:tc>
          <w:tcPr>
            <w:tcW w:w="555" w:type="pct"/>
            <w:vAlign w:val="center"/>
          </w:tcPr>
          <w:p w14:paraId="7DF53081">
            <w:pPr>
              <w:pStyle w:val="12"/>
              <w:jc w:val="center"/>
              <w:rPr>
                <w:rFonts w:ascii="宋体" w:hAnsi="宋体"/>
              </w:rPr>
            </w:pPr>
            <w:r>
              <w:rPr>
                <w:rFonts w:hint="eastAsia" w:ascii="宋体" w:hAnsi="宋体"/>
              </w:rPr>
              <w:t>5560</w:t>
            </w:r>
          </w:p>
        </w:tc>
        <w:tc>
          <w:tcPr>
            <w:tcW w:w="555" w:type="pct"/>
            <w:vAlign w:val="center"/>
          </w:tcPr>
          <w:p w14:paraId="641EC42D">
            <w:pPr>
              <w:pStyle w:val="12"/>
              <w:jc w:val="center"/>
              <w:rPr>
                <w:rFonts w:ascii="宋体" w:hAnsi="宋体"/>
              </w:rPr>
            </w:pPr>
            <w:r>
              <w:rPr>
                <w:rFonts w:hint="eastAsia" w:ascii="宋体" w:hAnsi="宋体"/>
              </w:rPr>
              <w:t>—</w:t>
            </w:r>
          </w:p>
        </w:tc>
        <w:tc>
          <w:tcPr>
            <w:tcW w:w="555" w:type="pct"/>
            <w:vAlign w:val="center"/>
          </w:tcPr>
          <w:p w14:paraId="50306224">
            <w:pPr>
              <w:pStyle w:val="12"/>
              <w:jc w:val="center"/>
              <w:rPr>
                <w:rFonts w:ascii="宋体" w:hAnsi="宋体"/>
              </w:rPr>
            </w:pPr>
            <w:r>
              <w:rPr>
                <w:rFonts w:hint="eastAsia" w:ascii="宋体" w:hAnsi="宋体"/>
              </w:rPr>
              <w:t>0.219</w:t>
            </w:r>
          </w:p>
        </w:tc>
        <w:tc>
          <w:tcPr>
            <w:tcW w:w="555" w:type="pct"/>
            <w:vAlign w:val="center"/>
          </w:tcPr>
          <w:p w14:paraId="4E2D5DB7">
            <w:pPr>
              <w:pStyle w:val="12"/>
              <w:jc w:val="center"/>
              <w:rPr>
                <w:rFonts w:ascii="宋体" w:hAnsi="宋体"/>
              </w:rPr>
            </w:pPr>
            <w:r>
              <w:rPr>
                <w:rFonts w:hint="eastAsia" w:ascii="宋体" w:hAnsi="宋体"/>
              </w:rPr>
              <w:t>691</w:t>
            </w:r>
          </w:p>
        </w:tc>
        <w:tc>
          <w:tcPr>
            <w:tcW w:w="555" w:type="pct"/>
            <w:vAlign w:val="center"/>
          </w:tcPr>
          <w:p w14:paraId="1A04A610">
            <w:pPr>
              <w:pStyle w:val="12"/>
              <w:jc w:val="center"/>
              <w:rPr>
                <w:rFonts w:ascii="宋体" w:hAnsi="宋体"/>
              </w:rPr>
            </w:pPr>
            <w:r>
              <w:rPr>
                <w:rFonts w:hint="eastAsia" w:ascii="宋体" w:hAnsi="宋体"/>
              </w:rPr>
              <w:t>—</w:t>
            </w:r>
          </w:p>
        </w:tc>
        <w:tc>
          <w:tcPr>
            <w:tcW w:w="555" w:type="pct"/>
            <w:vAlign w:val="center"/>
          </w:tcPr>
          <w:p w14:paraId="04263DC3">
            <w:pPr>
              <w:pStyle w:val="12"/>
              <w:jc w:val="center"/>
              <w:rPr>
                <w:rFonts w:ascii="宋体" w:hAnsi="宋体"/>
              </w:rPr>
            </w:pPr>
            <w:r>
              <w:rPr>
                <w:rFonts w:hint="eastAsia" w:ascii="宋体" w:hAnsi="宋体"/>
              </w:rPr>
              <w:t>—</w:t>
            </w:r>
          </w:p>
        </w:tc>
        <w:tc>
          <w:tcPr>
            <w:tcW w:w="558" w:type="pct"/>
            <w:vAlign w:val="center"/>
          </w:tcPr>
          <w:p w14:paraId="076C10B7">
            <w:pPr>
              <w:pStyle w:val="12"/>
              <w:jc w:val="center"/>
              <w:rPr>
                <w:rFonts w:ascii="宋体" w:hAnsi="宋体"/>
              </w:rPr>
            </w:pPr>
            <w:r>
              <w:rPr>
                <w:rFonts w:hint="eastAsia" w:ascii="宋体" w:hAnsi="宋体"/>
              </w:rPr>
              <w:t>691</w:t>
            </w:r>
          </w:p>
        </w:tc>
        <w:tc>
          <w:tcPr>
            <w:tcW w:w="555" w:type="pct"/>
            <w:vAlign w:val="center"/>
          </w:tcPr>
          <w:p w14:paraId="7041EB28">
            <w:pPr>
              <w:pStyle w:val="12"/>
              <w:jc w:val="center"/>
              <w:rPr>
                <w:rFonts w:ascii="宋体" w:hAnsi="宋体"/>
              </w:rPr>
            </w:pPr>
            <w:r>
              <w:rPr>
                <w:rFonts w:hint="eastAsia" w:ascii="宋体" w:hAnsi="宋体"/>
              </w:rPr>
              <w:t>12.4</w:t>
            </w:r>
          </w:p>
        </w:tc>
      </w:tr>
      <w:tr w14:paraId="4F5F3D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5CE8168E">
            <w:pPr>
              <w:pStyle w:val="12"/>
              <w:jc w:val="center"/>
              <w:rPr>
                <w:rFonts w:ascii="宋体" w:hAnsi="宋体"/>
              </w:rPr>
            </w:pPr>
            <w:r>
              <w:rPr>
                <w:rFonts w:hint="eastAsia" w:ascii="宋体" w:hAnsi="宋体"/>
              </w:rPr>
              <w:t>宝江水</w:t>
            </w:r>
          </w:p>
        </w:tc>
        <w:tc>
          <w:tcPr>
            <w:tcW w:w="555" w:type="pct"/>
            <w:vAlign w:val="center"/>
          </w:tcPr>
          <w:p w14:paraId="2D407CC5">
            <w:pPr>
              <w:pStyle w:val="12"/>
              <w:jc w:val="center"/>
              <w:rPr>
                <w:rFonts w:ascii="宋体" w:hAnsi="宋体"/>
              </w:rPr>
            </w:pPr>
            <w:r>
              <w:rPr>
                <w:rFonts w:hint="eastAsia" w:ascii="宋体" w:hAnsi="宋体"/>
              </w:rPr>
              <w:t>4910</w:t>
            </w:r>
          </w:p>
        </w:tc>
        <w:tc>
          <w:tcPr>
            <w:tcW w:w="555" w:type="pct"/>
            <w:vAlign w:val="center"/>
          </w:tcPr>
          <w:p w14:paraId="419A92BD">
            <w:pPr>
              <w:pStyle w:val="12"/>
              <w:jc w:val="center"/>
              <w:rPr>
                <w:rFonts w:ascii="宋体" w:hAnsi="宋体"/>
              </w:rPr>
            </w:pPr>
            <w:r>
              <w:rPr>
                <w:rFonts w:hint="eastAsia" w:ascii="宋体" w:hAnsi="宋体"/>
              </w:rPr>
              <w:t>2406.6</w:t>
            </w:r>
          </w:p>
        </w:tc>
        <w:tc>
          <w:tcPr>
            <w:tcW w:w="555" w:type="pct"/>
            <w:vAlign w:val="center"/>
          </w:tcPr>
          <w:p w14:paraId="300C1669">
            <w:pPr>
              <w:pStyle w:val="12"/>
              <w:jc w:val="center"/>
              <w:rPr>
                <w:rFonts w:ascii="宋体" w:hAnsi="宋体"/>
              </w:rPr>
            </w:pPr>
            <w:r>
              <w:rPr>
                <w:rFonts w:hint="eastAsia" w:ascii="宋体" w:hAnsi="宋体"/>
              </w:rPr>
              <w:t>0.117</w:t>
            </w:r>
          </w:p>
        </w:tc>
        <w:tc>
          <w:tcPr>
            <w:tcW w:w="555" w:type="pct"/>
            <w:vAlign w:val="center"/>
          </w:tcPr>
          <w:p w14:paraId="1E85C175">
            <w:pPr>
              <w:pStyle w:val="12"/>
              <w:jc w:val="center"/>
              <w:rPr>
                <w:rFonts w:ascii="宋体" w:hAnsi="宋体"/>
              </w:rPr>
            </w:pPr>
            <w:r>
              <w:rPr>
                <w:rFonts w:hint="eastAsia" w:ascii="宋体" w:hAnsi="宋体"/>
              </w:rPr>
              <w:t>369</w:t>
            </w:r>
          </w:p>
        </w:tc>
        <w:tc>
          <w:tcPr>
            <w:tcW w:w="555" w:type="pct"/>
            <w:vAlign w:val="center"/>
          </w:tcPr>
          <w:p w14:paraId="75A2DCC2">
            <w:pPr>
              <w:pStyle w:val="12"/>
              <w:jc w:val="center"/>
              <w:rPr>
                <w:rFonts w:ascii="宋体" w:hAnsi="宋体"/>
              </w:rPr>
            </w:pPr>
            <w:r>
              <w:rPr>
                <w:rFonts w:hint="eastAsia" w:ascii="宋体" w:hAnsi="宋体"/>
              </w:rPr>
              <w:t>—</w:t>
            </w:r>
          </w:p>
        </w:tc>
        <w:tc>
          <w:tcPr>
            <w:tcW w:w="555" w:type="pct"/>
            <w:vAlign w:val="center"/>
          </w:tcPr>
          <w:p w14:paraId="51AD0B30">
            <w:pPr>
              <w:pStyle w:val="12"/>
              <w:jc w:val="center"/>
              <w:rPr>
                <w:rFonts w:ascii="宋体" w:hAnsi="宋体"/>
              </w:rPr>
            </w:pPr>
            <w:r>
              <w:rPr>
                <w:rFonts w:hint="eastAsia" w:ascii="宋体" w:hAnsi="宋体"/>
              </w:rPr>
              <w:t>—</w:t>
            </w:r>
          </w:p>
        </w:tc>
        <w:tc>
          <w:tcPr>
            <w:tcW w:w="558" w:type="pct"/>
            <w:vAlign w:val="center"/>
          </w:tcPr>
          <w:p w14:paraId="5BECF4B6">
            <w:pPr>
              <w:pStyle w:val="12"/>
              <w:jc w:val="center"/>
              <w:rPr>
                <w:rFonts w:ascii="宋体" w:hAnsi="宋体"/>
              </w:rPr>
            </w:pPr>
            <w:r>
              <w:rPr>
                <w:rFonts w:hint="eastAsia" w:ascii="宋体" w:hAnsi="宋体"/>
              </w:rPr>
              <w:t>2775.6</w:t>
            </w:r>
          </w:p>
        </w:tc>
        <w:tc>
          <w:tcPr>
            <w:tcW w:w="555" w:type="pct"/>
            <w:vAlign w:val="center"/>
          </w:tcPr>
          <w:p w14:paraId="5E4D1B18">
            <w:pPr>
              <w:pStyle w:val="12"/>
              <w:jc w:val="center"/>
              <w:rPr>
                <w:rFonts w:ascii="宋体" w:hAnsi="宋体"/>
              </w:rPr>
            </w:pPr>
            <w:r>
              <w:rPr>
                <w:rFonts w:hint="eastAsia" w:ascii="宋体" w:hAnsi="宋体"/>
              </w:rPr>
              <w:t>56.5</w:t>
            </w:r>
          </w:p>
        </w:tc>
      </w:tr>
      <w:tr w14:paraId="3CB469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0107E221">
            <w:pPr>
              <w:pStyle w:val="12"/>
              <w:jc w:val="center"/>
              <w:rPr>
                <w:rFonts w:ascii="宋体" w:hAnsi="宋体"/>
              </w:rPr>
            </w:pPr>
            <w:r>
              <w:rPr>
                <w:rFonts w:hint="eastAsia" w:ascii="宋体" w:hAnsi="宋体"/>
              </w:rPr>
              <w:t>黄坑水</w:t>
            </w:r>
          </w:p>
        </w:tc>
        <w:tc>
          <w:tcPr>
            <w:tcW w:w="555" w:type="pct"/>
            <w:vAlign w:val="center"/>
          </w:tcPr>
          <w:p w14:paraId="13369496">
            <w:pPr>
              <w:pStyle w:val="12"/>
              <w:jc w:val="center"/>
              <w:rPr>
                <w:rFonts w:ascii="宋体" w:hAnsi="宋体"/>
              </w:rPr>
            </w:pPr>
            <w:r>
              <w:rPr>
                <w:rFonts w:hint="eastAsia" w:ascii="宋体" w:hAnsi="宋体"/>
              </w:rPr>
              <w:t>3940</w:t>
            </w:r>
          </w:p>
        </w:tc>
        <w:tc>
          <w:tcPr>
            <w:tcW w:w="555" w:type="pct"/>
            <w:vAlign w:val="center"/>
          </w:tcPr>
          <w:p w14:paraId="49343010">
            <w:pPr>
              <w:pStyle w:val="12"/>
              <w:jc w:val="center"/>
              <w:rPr>
                <w:rFonts w:ascii="宋体" w:hAnsi="宋体"/>
              </w:rPr>
            </w:pPr>
            <w:r>
              <w:rPr>
                <w:rFonts w:hint="eastAsia" w:ascii="宋体" w:hAnsi="宋体"/>
              </w:rPr>
              <w:t>92.57</w:t>
            </w:r>
          </w:p>
        </w:tc>
        <w:tc>
          <w:tcPr>
            <w:tcW w:w="555" w:type="pct"/>
            <w:vAlign w:val="center"/>
          </w:tcPr>
          <w:p w14:paraId="365252CD">
            <w:pPr>
              <w:pStyle w:val="12"/>
              <w:jc w:val="center"/>
              <w:rPr>
                <w:rFonts w:ascii="宋体" w:hAnsi="宋体"/>
              </w:rPr>
            </w:pPr>
            <w:r>
              <w:rPr>
                <w:rFonts w:hint="eastAsia" w:ascii="宋体" w:hAnsi="宋体"/>
              </w:rPr>
              <w:t>0.07</w:t>
            </w:r>
          </w:p>
        </w:tc>
        <w:tc>
          <w:tcPr>
            <w:tcW w:w="555" w:type="pct"/>
            <w:vAlign w:val="center"/>
          </w:tcPr>
          <w:p w14:paraId="5E8F010B">
            <w:pPr>
              <w:pStyle w:val="12"/>
              <w:jc w:val="center"/>
              <w:rPr>
                <w:rFonts w:ascii="宋体" w:hAnsi="宋体"/>
              </w:rPr>
            </w:pPr>
            <w:r>
              <w:rPr>
                <w:rFonts w:hint="eastAsia" w:ascii="宋体" w:hAnsi="宋体"/>
              </w:rPr>
              <w:t>221</w:t>
            </w:r>
          </w:p>
        </w:tc>
        <w:tc>
          <w:tcPr>
            <w:tcW w:w="555" w:type="pct"/>
            <w:vAlign w:val="center"/>
          </w:tcPr>
          <w:p w14:paraId="400A7AAD">
            <w:pPr>
              <w:pStyle w:val="12"/>
              <w:jc w:val="center"/>
              <w:rPr>
                <w:rFonts w:ascii="宋体" w:hAnsi="宋体"/>
              </w:rPr>
            </w:pPr>
            <w:r>
              <w:rPr>
                <w:rFonts w:hint="eastAsia" w:ascii="宋体" w:hAnsi="宋体"/>
              </w:rPr>
              <w:t>0.119</w:t>
            </w:r>
          </w:p>
        </w:tc>
        <w:tc>
          <w:tcPr>
            <w:tcW w:w="555" w:type="pct"/>
            <w:vAlign w:val="center"/>
          </w:tcPr>
          <w:p w14:paraId="4C803994">
            <w:pPr>
              <w:pStyle w:val="12"/>
              <w:jc w:val="center"/>
              <w:rPr>
                <w:rFonts w:ascii="宋体" w:hAnsi="宋体"/>
              </w:rPr>
            </w:pPr>
            <w:r>
              <w:rPr>
                <w:rFonts w:hint="eastAsia" w:ascii="宋体" w:hAnsi="宋体"/>
              </w:rPr>
              <w:t>375</w:t>
            </w:r>
          </w:p>
        </w:tc>
        <w:tc>
          <w:tcPr>
            <w:tcW w:w="558" w:type="pct"/>
            <w:vAlign w:val="center"/>
          </w:tcPr>
          <w:p w14:paraId="2A15486E">
            <w:pPr>
              <w:pStyle w:val="12"/>
              <w:jc w:val="center"/>
              <w:rPr>
                <w:rFonts w:ascii="宋体" w:hAnsi="宋体"/>
              </w:rPr>
            </w:pPr>
            <w:r>
              <w:rPr>
                <w:rFonts w:hint="eastAsia" w:ascii="宋体" w:hAnsi="宋体"/>
              </w:rPr>
              <w:t>688.57</w:t>
            </w:r>
          </w:p>
        </w:tc>
        <w:tc>
          <w:tcPr>
            <w:tcW w:w="555" w:type="pct"/>
            <w:vAlign w:val="center"/>
          </w:tcPr>
          <w:p w14:paraId="0D6FD623">
            <w:pPr>
              <w:pStyle w:val="12"/>
              <w:jc w:val="center"/>
              <w:rPr>
                <w:rFonts w:ascii="宋体" w:hAnsi="宋体"/>
              </w:rPr>
            </w:pPr>
            <w:r>
              <w:rPr>
                <w:rFonts w:hint="eastAsia" w:ascii="宋体" w:hAnsi="宋体"/>
              </w:rPr>
              <w:t>17.5</w:t>
            </w:r>
          </w:p>
        </w:tc>
      </w:tr>
      <w:tr w14:paraId="3B6FF7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0DD6111C">
            <w:pPr>
              <w:pStyle w:val="12"/>
              <w:jc w:val="center"/>
              <w:rPr>
                <w:rFonts w:ascii="宋体" w:hAnsi="宋体"/>
              </w:rPr>
            </w:pPr>
            <w:r>
              <w:rPr>
                <w:rFonts w:hint="eastAsia" w:ascii="宋体" w:hAnsi="宋体"/>
              </w:rPr>
              <w:t>湖口水</w:t>
            </w:r>
          </w:p>
        </w:tc>
        <w:tc>
          <w:tcPr>
            <w:tcW w:w="555" w:type="pct"/>
            <w:vAlign w:val="center"/>
          </w:tcPr>
          <w:p w14:paraId="7689CBB1">
            <w:pPr>
              <w:pStyle w:val="12"/>
              <w:jc w:val="center"/>
              <w:rPr>
                <w:rFonts w:ascii="宋体" w:hAnsi="宋体"/>
              </w:rPr>
            </w:pPr>
            <w:r>
              <w:rPr>
                <w:rFonts w:hint="eastAsia" w:ascii="宋体" w:hAnsi="宋体"/>
              </w:rPr>
              <w:t>3370</w:t>
            </w:r>
          </w:p>
        </w:tc>
        <w:tc>
          <w:tcPr>
            <w:tcW w:w="555" w:type="pct"/>
            <w:vAlign w:val="center"/>
          </w:tcPr>
          <w:p w14:paraId="7E044B74">
            <w:pPr>
              <w:pStyle w:val="12"/>
              <w:jc w:val="center"/>
              <w:rPr>
                <w:rFonts w:ascii="宋体" w:hAnsi="宋体"/>
              </w:rPr>
            </w:pPr>
            <w:r>
              <w:rPr>
                <w:rFonts w:hint="eastAsia" w:ascii="宋体" w:hAnsi="宋体"/>
              </w:rPr>
              <w:t>108.5</w:t>
            </w:r>
          </w:p>
        </w:tc>
        <w:tc>
          <w:tcPr>
            <w:tcW w:w="555" w:type="pct"/>
            <w:vAlign w:val="center"/>
          </w:tcPr>
          <w:p w14:paraId="4E4DE4AE">
            <w:pPr>
              <w:pStyle w:val="12"/>
              <w:jc w:val="center"/>
              <w:rPr>
                <w:rFonts w:ascii="宋体" w:hAnsi="宋体"/>
              </w:rPr>
            </w:pPr>
            <w:r>
              <w:rPr>
                <w:rFonts w:hint="eastAsia" w:ascii="宋体" w:hAnsi="宋体"/>
              </w:rPr>
              <w:t>0.401</w:t>
            </w:r>
          </w:p>
        </w:tc>
        <w:tc>
          <w:tcPr>
            <w:tcW w:w="555" w:type="pct"/>
            <w:vAlign w:val="center"/>
          </w:tcPr>
          <w:p w14:paraId="68756BC8">
            <w:pPr>
              <w:pStyle w:val="12"/>
              <w:jc w:val="center"/>
              <w:rPr>
                <w:rFonts w:ascii="宋体" w:hAnsi="宋体"/>
              </w:rPr>
            </w:pPr>
            <w:r>
              <w:rPr>
                <w:rFonts w:hint="eastAsia" w:ascii="宋体" w:hAnsi="宋体"/>
              </w:rPr>
              <w:t>1265</w:t>
            </w:r>
          </w:p>
        </w:tc>
        <w:tc>
          <w:tcPr>
            <w:tcW w:w="555" w:type="pct"/>
            <w:vAlign w:val="center"/>
          </w:tcPr>
          <w:p w14:paraId="0005BD9E">
            <w:pPr>
              <w:pStyle w:val="12"/>
              <w:jc w:val="center"/>
              <w:rPr>
                <w:rFonts w:ascii="宋体" w:hAnsi="宋体"/>
              </w:rPr>
            </w:pPr>
            <w:r>
              <w:rPr>
                <w:rFonts w:hint="eastAsia" w:ascii="宋体" w:hAnsi="宋体"/>
              </w:rPr>
              <w:t>0.139</w:t>
            </w:r>
          </w:p>
        </w:tc>
        <w:tc>
          <w:tcPr>
            <w:tcW w:w="555" w:type="pct"/>
            <w:vAlign w:val="center"/>
          </w:tcPr>
          <w:p w14:paraId="6348603C">
            <w:pPr>
              <w:pStyle w:val="12"/>
              <w:jc w:val="center"/>
              <w:rPr>
                <w:rFonts w:ascii="宋体" w:hAnsi="宋体"/>
              </w:rPr>
            </w:pPr>
            <w:r>
              <w:rPr>
                <w:rFonts w:hint="eastAsia" w:ascii="宋体" w:hAnsi="宋体"/>
              </w:rPr>
              <w:t>438</w:t>
            </w:r>
          </w:p>
        </w:tc>
        <w:tc>
          <w:tcPr>
            <w:tcW w:w="558" w:type="pct"/>
            <w:vAlign w:val="center"/>
          </w:tcPr>
          <w:p w14:paraId="63865889">
            <w:pPr>
              <w:pStyle w:val="12"/>
              <w:jc w:val="center"/>
              <w:rPr>
                <w:rFonts w:ascii="宋体" w:hAnsi="宋体"/>
              </w:rPr>
            </w:pPr>
            <w:r>
              <w:rPr>
                <w:rFonts w:hint="eastAsia" w:ascii="宋体" w:hAnsi="宋体"/>
              </w:rPr>
              <w:t>1811.5</w:t>
            </w:r>
          </w:p>
        </w:tc>
        <w:tc>
          <w:tcPr>
            <w:tcW w:w="555" w:type="pct"/>
            <w:vAlign w:val="center"/>
          </w:tcPr>
          <w:p w14:paraId="3F2DFD7F">
            <w:pPr>
              <w:pStyle w:val="12"/>
              <w:jc w:val="center"/>
              <w:rPr>
                <w:rFonts w:ascii="宋体" w:hAnsi="宋体"/>
              </w:rPr>
            </w:pPr>
            <w:r>
              <w:rPr>
                <w:rFonts w:hint="eastAsia" w:ascii="宋体" w:hAnsi="宋体"/>
              </w:rPr>
              <w:t>53.8</w:t>
            </w:r>
          </w:p>
        </w:tc>
      </w:tr>
      <w:tr w14:paraId="0BB9C8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056D327B">
            <w:pPr>
              <w:pStyle w:val="12"/>
              <w:jc w:val="center"/>
              <w:rPr>
                <w:rFonts w:ascii="宋体" w:hAnsi="宋体"/>
              </w:rPr>
            </w:pPr>
            <w:r>
              <w:rPr>
                <w:rFonts w:hint="eastAsia" w:ascii="宋体" w:hAnsi="宋体"/>
              </w:rPr>
              <w:t>大竹水</w:t>
            </w:r>
          </w:p>
        </w:tc>
        <w:tc>
          <w:tcPr>
            <w:tcW w:w="555" w:type="pct"/>
            <w:vAlign w:val="center"/>
          </w:tcPr>
          <w:p w14:paraId="6F156346">
            <w:pPr>
              <w:pStyle w:val="12"/>
              <w:jc w:val="center"/>
              <w:rPr>
                <w:rFonts w:ascii="宋体" w:hAnsi="宋体"/>
              </w:rPr>
            </w:pPr>
            <w:r>
              <w:rPr>
                <w:rFonts w:hint="eastAsia" w:ascii="宋体" w:hAnsi="宋体"/>
              </w:rPr>
              <w:t>2320</w:t>
            </w:r>
          </w:p>
        </w:tc>
        <w:tc>
          <w:tcPr>
            <w:tcW w:w="555" w:type="pct"/>
            <w:vAlign w:val="center"/>
          </w:tcPr>
          <w:p w14:paraId="0E753D6E">
            <w:pPr>
              <w:pStyle w:val="12"/>
              <w:jc w:val="center"/>
              <w:rPr>
                <w:rFonts w:ascii="宋体" w:hAnsi="宋体"/>
              </w:rPr>
            </w:pPr>
            <w:r>
              <w:rPr>
                <w:rFonts w:hint="eastAsia" w:ascii="宋体" w:hAnsi="宋体"/>
              </w:rPr>
              <w:t>30</w:t>
            </w:r>
          </w:p>
        </w:tc>
        <w:tc>
          <w:tcPr>
            <w:tcW w:w="555" w:type="pct"/>
            <w:vAlign w:val="center"/>
          </w:tcPr>
          <w:p w14:paraId="614FA944">
            <w:pPr>
              <w:pStyle w:val="12"/>
              <w:jc w:val="center"/>
              <w:rPr>
                <w:rFonts w:ascii="宋体" w:hAnsi="宋体"/>
              </w:rPr>
            </w:pPr>
            <w:r>
              <w:rPr>
                <w:rFonts w:hint="eastAsia" w:ascii="宋体" w:hAnsi="宋体"/>
              </w:rPr>
              <w:t>0.5</w:t>
            </w:r>
          </w:p>
        </w:tc>
        <w:tc>
          <w:tcPr>
            <w:tcW w:w="555" w:type="pct"/>
            <w:vAlign w:val="center"/>
          </w:tcPr>
          <w:p w14:paraId="06A78615">
            <w:pPr>
              <w:pStyle w:val="12"/>
              <w:jc w:val="center"/>
              <w:rPr>
                <w:rFonts w:ascii="宋体" w:hAnsi="宋体"/>
              </w:rPr>
            </w:pPr>
            <w:r>
              <w:rPr>
                <w:rFonts w:hint="eastAsia" w:ascii="宋体" w:hAnsi="宋体"/>
              </w:rPr>
              <w:t>1577</w:t>
            </w:r>
          </w:p>
        </w:tc>
        <w:tc>
          <w:tcPr>
            <w:tcW w:w="555" w:type="pct"/>
            <w:vAlign w:val="center"/>
          </w:tcPr>
          <w:p w14:paraId="20EE633F">
            <w:pPr>
              <w:pStyle w:val="12"/>
              <w:jc w:val="center"/>
              <w:rPr>
                <w:rFonts w:ascii="宋体" w:hAnsi="宋体"/>
              </w:rPr>
            </w:pPr>
            <w:r>
              <w:rPr>
                <w:rFonts w:hint="eastAsia" w:ascii="宋体" w:hAnsi="宋体"/>
              </w:rPr>
              <w:t>—</w:t>
            </w:r>
          </w:p>
        </w:tc>
        <w:tc>
          <w:tcPr>
            <w:tcW w:w="555" w:type="pct"/>
            <w:vAlign w:val="center"/>
          </w:tcPr>
          <w:p w14:paraId="1CCBB438">
            <w:pPr>
              <w:pStyle w:val="12"/>
              <w:jc w:val="center"/>
              <w:rPr>
                <w:rFonts w:ascii="宋体" w:hAnsi="宋体"/>
              </w:rPr>
            </w:pPr>
            <w:r>
              <w:rPr>
                <w:rFonts w:hint="eastAsia" w:ascii="宋体" w:hAnsi="宋体"/>
              </w:rPr>
              <w:t>—</w:t>
            </w:r>
          </w:p>
        </w:tc>
        <w:tc>
          <w:tcPr>
            <w:tcW w:w="558" w:type="pct"/>
            <w:vAlign w:val="center"/>
          </w:tcPr>
          <w:p w14:paraId="706C6B65">
            <w:pPr>
              <w:pStyle w:val="12"/>
              <w:jc w:val="center"/>
              <w:rPr>
                <w:rFonts w:ascii="宋体" w:hAnsi="宋体"/>
              </w:rPr>
            </w:pPr>
            <w:r>
              <w:rPr>
                <w:rFonts w:hint="eastAsia" w:ascii="宋体" w:hAnsi="宋体"/>
              </w:rPr>
              <w:t>1607</w:t>
            </w:r>
          </w:p>
        </w:tc>
        <w:tc>
          <w:tcPr>
            <w:tcW w:w="555" w:type="pct"/>
            <w:vAlign w:val="center"/>
          </w:tcPr>
          <w:p w14:paraId="4097382F">
            <w:pPr>
              <w:pStyle w:val="12"/>
              <w:jc w:val="center"/>
              <w:rPr>
                <w:rFonts w:ascii="宋体" w:hAnsi="宋体"/>
              </w:rPr>
            </w:pPr>
            <w:r>
              <w:rPr>
                <w:rFonts w:hint="eastAsia" w:ascii="宋体" w:hAnsi="宋体"/>
              </w:rPr>
              <w:t>69.3</w:t>
            </w:r>
          </w:p>
        </w:tc>
      </w:tr>
      <w:tr w14:paraId="1B47D3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2EE92553">
            <w:pPr>
              <w:pStyle w:val="12"/>
              <w:jc w:val="center"/>
              <w:rPr>
                <w:rFonts w:ascii="宋体" w:hAnsi="宋体"/>
              </w:rPr>
            </w:pPr>
            <w:r>
              <w:rPr>
                <w:rFonts w:hint="eastAsia" w:ascii="宋体" w:hAnsi="宋体"/>
              </w:rPr>
              <w:t>大坝水</w:t>
            </w:r>
          </w:p>
        </w:tc>
        <w:tc>
          <w:tcPr>
            <w:tcW w:w="555" w:type="pct"/>
            <w:vAlign w:val="center"/>
          </w:tcPr>
          <w:p w14:paraId="079CFDE8">
            <w:pPr>
              <w:pStyle w:val="12"/>
              <w:jc w:val="center"/>
              <w:rPr>
                <w:rFonts w:ascii="宋体" w:hAnsi="宋体"/>
              </w:rPr>
            </w:pPr>
            <w:r>
              <w:rPr>
                <w:rFonts w:hint="eastAsia" w:ascii="宋体" w:hAnsi="宋体"/>
              </w:rPr>
              <w:t>2230</w:t>
            </w:r>
          </w:p>
        </w:tc>
        <w:tc>
          <w:tcPr>
            <w:tcW w:w="555" w:type="pct"/>
            <w:vAlign w:val="center"/>
          </w:tcPr>
          <w:p w14:paraId="05A7CF05">
            <w:pPr>
              <w:pStyle w:val="12"/>
              <w:jc w:val="center"/>
              <w:rPr>
                <w:rFonts w:ascii="宋体" w:hAnsi="宋体"/>
              </w:rPr>
            </w:pPr>
            <w:r>
              <w:rPr>
                <w:rFonts w:hint="eastAsia" w:ascii="宋体" w:hAnsi="宋体"/>
              </w:rPr>
              <w:t>127</w:t>
            </w:r>
          </w:p>
        </w:tc>
        <w:tc>
          <w:tcPr>
            <w:tcW w:w="555" w:type="pct"/>
            <w:vAlign w:val="center"/>
          </w:tcPr>
          <w:p w14:paraId="2960E62E">
            <w:pPr>
              <w:pStyle w:val="12"/>
              <w:jc w:val="center"/>
              <w:rPr>
                <w:rFonts w:ascii="宋体" w:hAnsi="宋体"/>
              </w:rPr>
            </w:pPr>
            <w:r>
              <w:rPr>
                <w:rFonts w:hint="eastAsia" w:ascii="宋体" w:hAnsi="宋体"/>
              </w:rPr>
              <w:t>—</w:t>
            </w:r>
          </w:p>
        </w:tc>
        <w:tc>
          <w:tcPr>
            <w:tcW w:w="555" w:type="pct"/>
            <w:vAlign w:val="center"/>
          </w:tcPr>
          <w:p w14:paraId="6C75C02A">
            <w:pPr>
              <w:pStyle w:val="12"/>
              <w:jc w:val="center"/>
              <w:rPr>
                <w:rFonts w:ascii="宋体" w:hAnsi="宋体"/>
              </w:rPr>
            </w:pPr>
            <w:r>
              <w:rPr>
                <w:rFonts w:hint="eastAsia" w:ascii="宋体" w:hAnsi="宋体"/>
              </w:rPr>
              <w:t>—</w:t>
            </w:r>
          </w:p>
        </w:tc>
        <w:tc>
          <w:tcPr>
            <w:tcW w:w="555" w:type="pct"/>
            <w:vAlign w:val="center"/>
          </w:tcPr>
          <w:p w14:paraId="4629A4DB">
            <w:pPr>
              <w:pStyle w:val="12"/>
              <w:jc w:val="center"/>
              <w:rPr>
                <w:rFonts w:ascii="宋体" w:hAnsi="宋体"/>
              </w:rPr>
            </w:pPr>
            <w:r>
              <w:rPr>
                <w:rFonts w:hint="eastAsia" w:ascii="宋体" w:hAnsi="宋体"/>
              </w:rPr>
              <w:t>—</w:t>
            </w:r>
          </w:p>
        </w:tc>
        <w:tc>
          <w:tcPr>
            <w:tcW w:w="555" w:type="pct"/>
            <w:vAlign w:val="center"/>
          </w:tcPr>
          <w:p w14:paraId="0BED110C">
            <w:pPr>
              <w:pStyle w:val="12"/>
              <w:jc w:val="center"/>
              <w:rPr>
                <w:rFonts w:ascii="宋体" w:hAnsi="宋体"/>
              </w:rPr>
            </w:pPr>
            <w:r>
              <w:rPr>
                <w:rFonts w:hint="eastAsia" w:ascii="宋体" w:hAnsi="宋体"/>
              </w:rPr>
              <w:t>—</w:t>
            </w:r>
          </w:p>
        </w:tc>
        <w:tc>
          <w:tcPr>
            <w:tcW w:w="558" w:type="pct"/>
            <w:vAlign w:val="center"/>
          </w:tcPr>
          <w:p w14:paraId="4E6100AB">
            <w:pPr>
              <w:pStyle w:val="12"/>
              <w:jc w:val="center"/>
              <w:rPr>
                <w:rFonts w:ascii="宋体" w:hAnsi="宋体"/>
              </w:rPr>
            </w:pPr>
            <w:r>
              <w:rPr>
                <w:rFonts w:hint="eastAsia" w:ascii="宋体" w:hAnsi="宋体"/>
              </w:rPr>
              <w:t>127</w:t>
            </w:r>
          </w:p>
        </w:tc>
        <w:tc>
          <w:tcPr>
            <w:tcW w:w="555" w:type="pct"/>
            <w:vAlign w:val="center"/>
          </w:tcPr>
          <w:p w14:paraId="3EDBE382">
            <w:pPr>
              <w:pStyle w:val="12"/>
              <w:jc w:val="center"/>
              <w:rPr>
                <w:rFonts w:ascii="宋体" w:hAnsi="宋体"/>
              </w:rPr>
            </w:pPr>
            <w:r>
              <w:rPr>
                <w:rFonts w:hint="eastAsia" w:ascii="宋体" w:hAnsi="宋体"/>
              </w:rPr>
              <w:t>57</w:t>
            </w:r>
          </w:p>
        </w:tc>
      </w:tr>
      <w:tr w14:paraId="71FFD7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7407E267">
            <w:pPr>
              <w:pStyle w:val="12"/>
              <w:jc w:val="center"/>
              <w:rPr>
                <w:rFonts w:ascii="宋体" w:hAnsi="宋体"/>
              </w:rPr>
            </w:pPr>
            <w:r>
              <w:rPr>
                <w:rFonts w:hint="eastAsia" w:ascii="宋体" w:hAnsi="宋体"/>
              </w:rPr>
              <w:t>其  他</w:t>
            </w:r>
          </w:p>
        </w:tc>
        <w:tc>
          <w:tcPr>
            <w:tcW w:w="555" w:type="pct"/>
            <w:vAlign w:val="center"/>
          </w:tcPr>
          <w:p w14:paraId="7DD96606">
            <w:pPr>
              <w:pStyle w:val="12"/>
              <w:jc w:val="center"/>
              <w:rPr>
                <w:rFonts w:ascii="宋体" w:hAnsi="宋体"/>
              </w:rPr>
            </w:pPr>
            <w:r>
              <w:rPr>
                <w:rFonts w:hint="eastAsia" w:ascii="宋体" w:hAnsi="宋体"/>
              </w:rPr>
              <w:t>53370</w:t>
            </w:r>
          </w:p>
        </w:tc>
        <w:tc>
          <w:tcPr>
            <w:tcW w:w="555" w:type="pct"/>
            <w:vAlign w:val="center"/>
          </w:tcPr>
          <w:p w14:paraId="607DEB65">
            <w:pPr>
              <w:pStyle w:val="12"/>
              <w:jc w:val="center"/>
              <w:rPr>
                <w:rFonts w:ascii="宋体" w:hAnsi="宋体"/>
              </w:rPr>
            </w:pPr>
            <w:r>
              <w:rPr>
                <w:rFonts w:hint="eastAsia" w:ascii="宋体" w:hAnsi="宋体"/>
              </w:rPr>
              <w:t>7576.66</w:t>
            </w:r>
          </w:p>
        </w:tc>
        <w:tc>
          <w:tcPr>
            <w:tcW w:w="555" w:type="pct"/>
            <w:vAlign w:val="center"/>
          </w:tcPr>
          <w:p w14:paraId="788F3F21">
            <w:pPr>
              <w:pStyle w:val="12"/>
              <w:jc w:val="center"/>
              <w:rPr>
                <w:rFonts w:ascii="宋体" w:hAnsi="宋体"/>
              </w:rPr>
            </w:pPr>
            <w:r>
              <w:rPr>
                <w:rFonts w:hint="eastAsia" w:ascii="宋体" w:hAnsi="宋体"/>
              </w:rPr>
              <w:t>0.058</w:t>
            </w:r>
          </w:p>
        </w:tc>
        <w:tc>
          <w:tcPr>
            <w:tcW w:w="555" w:type="pct"/>
            <w:vAlign w:val="center"/>
          </w:tcPr>
          <w:p w14:paraId="4E46AB03">
            <w:pPr>
              <w:pStyle w:val="12"/>
              <w:jc w:val="center"/>
              <w:rPr>
                <w:rFonts w:ascii="宋体" w:hAnsi="宋体"/>
              </w:rPr>
            </w:pPr>
            <w:r>
              <w:rPr>
                <w:rFonts w:hint="eastAsia" w:ascii="宋体" w:hAnsi="宋体"/>
              </w:rPr>
              <w:t>183</w:t>
            </w:r>
          </w:p>
        </w:tc>
        <w:tc>
          <w:tcPr>
            <w:tcW w:w="555" w:type="pct"/>
            <w:vAlign w:val="center"/>
          </w:tcPr>
          <w:p w14:paraId="1D73EA5B">
            <w:pPr>
              <w:pStyle w:val="12"/>
              <w:jc w:val="center"/>
              <w:rPr>
                <w:rFonts w:ascii="宋体" w:hAnsi="宋体"/>
              </w:rPr>
            </w:pPr>
            <w:r>
              <w:rPr>
                <w:rFonts w:hint="eastAsia" w:ascii="宋体" w:hAnsi="宋体"/>
              </w:rPr>
              <w:t>3.768</w:t>
            </w:r>
          </w:p>
        </w:tc>
        <w:tc>
          <w:tcPr>
            <w:tcW w:w="555" w:type="pct"/>
            <w:vAlign w:val="center"/>
          </w:tcPr>
          <w:p w14:paraId="025DC163">
            <w:pPr>
              <w:pStyle w:val="12"/>
              <w:jc w:val="center"/>
              <w:rPr>
                <w:rFonts w:ascii="宋体" w:hAnsi="宋体"/>
              </w:rPr>
            </w:pPr>
            <w:r>
              <w:rPr>
                <w:rFonts w:hint="eastAsia" w:ascii="宋体" w:hAnsi="宋体"/>
              </w:rPr>
              <w:t>11884</w:t>
            </w:r>
          </w:p>
        </w:tc>
        <w:tc>
          <w:tcPr>
            <w:tcW w:w="558" w:type="pct"/>
            <w:vAlign w:val="center"/>
          </w:tcPr>
          <w:p w14:paraId="64538808">
            <w:pPr>
              <w:pStyle w:val="12"/>
              <w:jc w:val="center"/>
              <w:rPr>
                <w:rFonts w:ascii="宋体" w:hAnsi="宋体"/>
              </w:rPr>
            </w:pPr>
            <w:r>
              <w:rPr>
                <w:rFonts w:hint="eastAsia" w:ascii="宋体" w:hAnsi="宋体"/>
              </w:rPr>
              <w:t>19643.66</w:t>
            </w:r>
          </w:p>
        </w:tc>
        <w:tc>
          <w:tcPr>
            <w:tcW w:w="555" w:type="pct"/>
            <w:vAlign w:val="center"/>
          </w:tcPr>
          <w:p w14:paraId="68F2B2B7">
            <w:pPr>
              <w:pStyle w:val="12"/>
              <w:jc w:val="center"/>
              <w:rPr>
                <w:rFonts w:ascii="宋体" w:hAnsi="宋体"/>
              </w:rPr>
            </w:pPr>
            <w:r>
              <w:rPr>
                <w:rFonts w:hint="eastAsia" w:ascii="宋体" w:hAnsi="宋体"/>
              </w:rPr>
              <w:t>36.8</w:t>
            </w:r>
          </w:p>
        </w:tc>
      </w:tr>
    </w:tbl>
    <w:p w14:paraId="2C2B74BB">
      <w:pPr>
        <w:pStyle w:val="5"/>
        <w:rPr>
          <w:rFonts w:ascii="宋体" w:hAnsi="宋体"/>
        </w:rPr>
      </w:pPr>
      <w:r>
        <w:rPr>
          <w:rFonts w:hint="eastAsia" w:ascii="宋体" w:hAnsi="宋体"/>
        </w:rPr>
        <w:t>二、水力（能）资源开发利用</w:t>
      </w:r>
    </w:p>
    <w:p w14:paraId="612030EB">
      <w:pPr>
        <w:ind w:firstLine="420"/>
        <w:rPr>
          <w:rFonts w:ascii="宋体" w:hAnsi="宋体"/>
          <w:szCs w:val="21"/>
        </w:rPr>
      </w:pPr>
      <w:r>
        <w:rPr>
          <w:rFonts w:hint="eastAsia" w:ascii="宋体" w:hAnsi="宋体"/>
          <w:szCs w:val="21"/>
        </w:rPr>
        <w:t>南雄市山区面积约占总面积</w:t>
      </w:r>
      <w:r>
        <w:rPr>
          <w:rFonts w:ascii="宋体" w:hAnsi="宋体"/>
          <w:szCs w:val="21"/>
        </w:rPr>
        <w:t>2361.4平方公里的73%。北江干流浈江自东北向西</w:t>
      </w:r>
      <w:r>
        <w:rPr>
          <w:rFonts w:hint="eastAsia" w:ascii="宋体" w:hAnsi="宋体"/>
          <w:szCs w:val="21"/>
        </w:rPr>
        <w:t>南穿过市境。浈江支流集雨面积</w:t>
      </w:r>
      <w:r>
        <w:rPr>
          <w:rFonts w:ascii="宋体" w:hAnsi="宋体"/>
          <w:szCs w:val="21"/>
        </w:rPr>
        <w:t>100平方公里以上有8条，50平方公里～100平方公</w:t>
      </w:r>
      <w:r>
        <w:rPr>
          <w:rFonts w:hint="eastAsia" w:ascii="宋体" w:hAnsi="宋体"/>
          <w:szCs w:val="21"/>
        </w:rPr>
        <w:t>里有</w:t>
      </w:r>
      <w:r>
        <w:rPr>
          <w:rFonts w:ascii="宋体" w:hAnsi="宋体"/>
          <w:szCs w:val="21"/>
        </w:rPr>
        <w:t>6条。按各河道天然落差和分布地域情况计算，全市水能总蕴藏量7.39万千瓦，</w:t>
      </w:r>
      <w:r>
        <w:rPr>
          <w:rFonts w:hint="eastAsia" w:ascii="宋体" w:hAnsi="宋体"/>
          <w:szCs w:val="21"/>
        </w:rPr>
        <w:t>可开发量</w:t>
      </w:r>
      <w:r>
        <w:rPr>
          <w:rFonts w:ascii="宋体" w:hAnsi="宋体"/>
          <w:szCs w:val="21"/>
        </w:rPr>
        <w:t>6.72万千瓦。其中凌江、瀑布水、大坪水、江头水4条支流共占全部水能</w:t>
      </w:r>
      <w:r>
        <w:rPr>
          <w:rFonts w:hint="eastAsia" w:ascii="宋体" w:hAnsi="宋体"/>
          <w:szCs w:val="21"/>
        </w:rPr>
        <w:t>资源</w:t>
      </w:r>
      <w:r>
        <w:rPr>
          <w:rFonts w:ascii="宋体" w:hAnsi="宋体"/>
          <w:szCs w:val="21"/>
        </w:rPr>
        <w:t>70%以上。</w:t>
      </w:r>
    </w:p>
    <w:p w14:paraId="29F92842">
      <w:pPr>
        <w:ind w:firstLine="420"/>
        <w:rPr>
          <w:rFonts w:ascii="宋体" w:hAnsi="宋体"/>
          <w:szCs w:val="21"/>
        </w:rPr>
      </w:pPr>
      <w:r>
        <w:rPr>
          <w:rFonts w:hint="eastAsia" w:ascii="宋体" w:hAnsi="宋体"/>
          <w:szCs w:val="21"/>
        </w:rPr>
        <w:t>南雄水力发电始于</w:t>
      </w:r>
      <w:r>
        <w:rPr>
          <w:rFonts w:ascii="宋体" w:hAnsi="宋体"/>
          <w:szCs w:val="21"/>
        </w:rPr>
        <w:t>1959年3月，利用瀑布水渠落差，建成木制水轮机发电的微</w:t>
      </w:r>
      <w:r>
        <w:rPr>
          <w:rFonts w:hint="eastAsia" w:ascii="宋体" w:hAnsi="宋体"/>
          <w:szCs w:val="21"/>
        </w:rPr>
        <w:t>型电站。</w:t>
      </w:r>
      <w:r>
        <w:rPr>
          <w:rFonts w:ascii="宋体" w:hAnsi="宋体"/>
          <w:szCs w:val="21"/>
        </w:rPr>
        <w:t>1971年以后，逐渐兴建由钢铁水轮机组代替的水电站。水利局统计，至2004年，由现代工业机械装备的水电站，已建成155座，装机283台，总容量75395</w:t>
      </w:r>
      <w:r>
        <w:rPr>
          <w:rFonts w:hint="eastAsia" w:ascii="宋体" w:hAnsi="宋体"/>
          <w:szCs w:val="21"/>
        </w:rPr>
        <w:t>千瓦。</w:t>
      </w:r>
    </w:p>
    <w:p w14:paraId="36378986">
      <w:pPr>
        <w:ind w:firstLine="420"/>
        <w:rPr>
          <w:rFonts w:ascii="宋体" w:hAnsi="宋体"/>
          <w:szCs w:val="21"/>
        </w:rPr>
      </w:pPr>
      <w:r>
        <w:rPr>
          <w:rFonts w:hint="eastAsia" w:ascii="宋体" w:hAnsi="宋体"/>
          <w:szCs w:val="21"/>
        </w:rPr>
        <w:t>各主要河流水能开发利用概况见表</w:t>
      </w:r>
      <w:r>
        <w:rPr>
          <w:rFonts w:ascii="宋体" w:hAnsi="宋体"/>
          <w:szCs w:val="21"/>
        </w:rPr>
        <w:t>2-16：</w:t>
      </w:r>
    </w:p>
    <w:p w14:paraId="46B8A1B9">
      <w:pPr>
        <w:ind w:firstLine="0" w:firstLineChars="0"/>
        <w:jc w:val="center"/>
        <w:rPr>
          <w:rFonts w:ascii="宋体" w:hAnsi="宋体"/>
          <w:b/>
          <w:szCs w:val="21"/>
        </w:rPr>
      </w:pPr>
      <w:r>
        <w:rPr>
          <w:rFonts w:hint="eastAsia" w:ascii="宋体" w:hAnsi="宋体"/>
          <w:b/>
          <w:szCs w:val="21"/>
        </w:rPr>
        <w:t>南雄市主要河流水能资源开发状况</w:t>
      </w:r>
    </w:p>
    <w:p w14:paraId="5EB18C64">
      <w:pPr>
        <w:ind w:firstLine="0" w:firstLineChars="0"/>
        <w:jc w:val="center"/>
        <w:rPr>
          <w:rFonts w:ascii="宋体" w:hAnsi="宋体"/>
          <w:b/>
          <w:szCs w:val="21"/>
        </w:rPr>
      </w:pPr>
      <w:r>
        <w:rPr>
          <w:rFonts w:hint="eastAsia" w:ascii="宋体" w:hAnsi="宋体"/>
          <w:b/>
          <w:szCs w:val="21"/>
        </w:rPr>
        <w:t>（</w:t>
      </w:r>
      <w:r>
        <w:rPr>
          <w:rFonts w:ascii="宋体" w:hAnsi="宋体"/>
          <w:b/>
          <w:szCs w:val="21"/>
        </w:rPr>
        <w:t>2004年止）</w:t>
      </w:r>
    </w:p>
    <w:p w14:paraId="3B79CBDF">
      <w:pPr>
        <w:ind w:firstLine="0" w:firstLineChars="0"/>
        <w:rPr>
          <w:rFonts w:ascii="宋体" w:hAnsi="宋体"/>
          <w:b/>
          <w:szCs w:val="21"/>
        </w:rPr>
      </w:pPr>
      <w:r>
        <w:rPr>
          <w:rFonts w:hint="eastAsia" w:ascii="宋体" w:hAnsi="宋体"/>
          <w:b/>
          <w:szCs w:val="21"/>
        </w:rPr>
        <w:t>表</w:t>
      </w:r>
      <w:r>
        <w:rPr>
          <w:rFonts w:ascii="宋体" w:hAnsi="宋体"/>
          <w:b/>
          <w:szCs w:val="21"/>
        </w:rPr>
        <w:t>2-26</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94"/>
        <w:gridCol w:w="994"/>
        <w:gridCol w:w="994"/>
        <w:gridCol w:w="996"/>
        <w:gridCol w:w="996"/>
        <w:gridCol w:w="996"/>
        <w:gridCol w:w="996"/>
        <w:gridCol w:w="996"/>
        <w:gridCol w:w="1005"/>
        <w:gridCol w:w="995"/>
      </w:tblGrid>
      <w:tr w14:paraId="7C4754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499" w:type="pct"/>
            <w:vMerge w:val="restart"/>
            <w:vAlign w:val="center"/>
          </w:tcPr>
          <w:p w14:paraId="12E198C6">
            <w:pPr>
              <w:pStyle w:val="12"/>
              <w:jc w:val="center"/>
              <w:rPr>
                <w:rFonts w:ascii="宋体" w:hAnsi="宋体"/>
                <w:b/>
              </w:rPr>
            </w:pPr>
            <w:r>
              <w:rPr>
                <w:rFonts w:hint="eastAsia" w:ascii="宋体" w:hAnsi="宋体"/>
                <w:b/>
              </w:rPr>
              <w:t>河流</w:t>
            </w:r>
          </w:p>
          <w:p w14:paraId="15918CBA">
            <w:pPr>
              <w:pStyle w:val="12"/>
              <w:jc w:val="center"/>
              <w:rPr>
                <w:rFonts w:ascii="宋体" w:hAnsi="宋体"/>
                <w:b/>
              </w:rPr>
            </w:pPr>
            <w:r>
              <w:rPr>
                <w:rFonts w:hint="eastAsia" w:ascii="宋体" w:hAnsi="宋体"/>
                <w:b/>
              </w:rPr>
              <w:t>名称</w:t>
            </w:r>
          </w:p>
        </w:tc>
        <w:tc>
          <w:tcPr>
            <w:tcW w:w="499" w:type="pct"/>
            <w:vMerge w:val="restart"/>
            <w:vAlign w:val="center"/>
          </w:tcPr>
          <w:p w14:paraId="38816779">
            <w:pPr>
              <w:pStyle w:val="12"/>
              <w:jc w:val="center"/>
              <w:rPr>
                <w:rFonts w:ascii="宋体" w:hAnsi="宋体"/>
                <w:b/>
              </w:rPr>
            </w:pPr>
            <w:r>
              <w:rPr>
                <w:rFonts w:hint="eastAsia" w:ascii="宋体" w:hAnsi="宋体"/>
                <w:b/>
              </w:rPr>
              <w:t>集雨面积（平方公里）</w:t>
            </w:r>
          </w:p>
        </w:tc>
        <w:tc>
          <w:tcPr>
            <w:tcW w:w="499" w:type="pct"/>
            <w:vMerge w:val="restart"/>
            <w:vAlign w:val="center"/>
          </w:tcPr>
          <w:p w14:paraId="10A8846C">
            <w:pPr>
              <w:pStyle w:val="12"/>
              <w:jc w:val="center"/>
              <w:rPr>
                <w:rFonts w:ascii="宋体" w:hAnsi="宋体"/>
                <w:b/>
              </w:rPr>
            </w:pPr>
            <w:r>
              <w:rPr>
                <w:rFonts w:hint="eastAsia" w:ascii="宋体" w:hAnsi="宋体"/>
                <w:b/>
              </w:rPr>
              <w:t>河流长度（公里）</w:t>
            </w:r>
          </w:p>
        </w:tc>
        <w:tc>
          <w:tcPr>
            <w:tcW w:w="500" w:type="pct"/>
            <w:vMerge w:val="restart"/>
            <w:vAlign w:val="center"/>
          </w:tcPr>
          <w:p w14:paraId="3668CDEA">
            <w:pPr>
              <w:pStyle w:val="12"/>
              <w:jc w:val="center"/>
              <w:rPr>
                <w:rFonts w:ascii="宋体" w:hAnsi="宋体"/>
                <w:b/>
              </w:rPr>
            </w:pPr>
            <w:r>
              <w:rPr>
                <w:rFonts w:hint="eastAsia" w:ascii="宋体" w:hAnsi="宋体"/>
                <w:b/>
              </w:rPr>
              <w:t>平均</w:t>
            </w:r>
          </w:p>
          <w:p w14:paraId="1AAE2A66">
            <w:pPr>
              <w:pStyle w:val="12"/>
              <w:jc w:val="center"/>
              <w:rPr>
                <w:rFonts w:ascii="宋体" w:hAnsi="宋体"/>
                <w:b/>
              </w:rPr>
            </w:pPr>
            <w:r>
              <w:rPr>
                <w:rFonts w:hint="eastAsia" w:ascii="宋体" w:hAnsi="宋体"/>
                <w:b/>
              </w:rPr>
              <w:t>坡降（‰）</w:t>
            </w:r>
          </w:p>
        </w:tc>
        <w:tc>
          <w:tcPr>
            <w:tcW w:w="500" w:type="pct"/>
            <w:vMerge w:val="restart"/>
            <w:vAlign w:val="center"/>
          </w:tcPr>
          <w:p w14:paraId="24760BCB">
            <w:pPr>
              <w:pStyle w:val="12"/>
              <w:jc w:val="center"/>
              <w:rPr>
                <w:rFonts w:ascii="宋体" w:hAnsi="宋体"/>
                <w:b/>
              </w:rPr>
            </w:pPr>
            <w:r>
              <w:rPr>
                <w:rFonts w:hint="eastAsia" w:ascii="宋体" w:hAnsi="宋体"/>
                <w:b/>
              </w:rPr>
              <w:t>天然</w:t>
            </w:r>
          </w:p>
          <w:p w14:paraId="67415459">
            <w:pPr>
              <w:pStyle w:val="12"/>
              <w:jc w:val="center"/>
              <w:rPr>
                <w:rFonts w:ascii="宋体" w:hAnsi="宋体"/>
                <w:b/>
              </w:rPr>
            </w:pPr>
            <w:r>
              <w:rPr>
                <w:rFonts w:hint="eastAsia" w:ascii="宋体" w:hAnsi="宋体"/>
                <w:b/>
              </w:rPr>
              <w:t>落差（米）</w:t>
            </w:r>
          </w:p>
        </w:tc>
        <w:tc>
          <w:tcPr>
            <w:tcW w:w="500" w:type="pct"/>
            <w:vMerge w:val="restart"/>
            <w:vAlign w:val="center"/>
          </w:tcPr>
          <w:p w14:paraId="69858391">
            <w:pPr>
              <w:pStyle w:val="12"/>
              <w:jc w:val="center"/>
              <w:rPr>
                <w:rFonts w:ascii="宋体" w:hAnsi="宋体"/>
                <w:b/>
              </w:rPr>
            </w:pPr>
            <w:r>
              <w:rPr>
                <w:rFonts w:hint="eastAsia" w:ascii="宋体" w:hAnsi="宋体"/>
                <w:b/>
              </w:rPr>
              <w:t>水能理论蕴藏量</w:t>
            </w:r>
          </w:p>
          <w:p w14:paraId="65D85FCE">
            <w:pPr>
              <w:pStyle w:val="12"/>
              <w:jc w:val="center"/>
              <w:rPr>
                <w:rFonts w:ascii="宋体" w:hAnsi="宋体"/>
                <w:b/>
              </w:rPr>
            </w:pPr>
            <w:r>
              <w:rPr>
                <w:rFonts w:hint="eastAsia" w:ascii="宋体" w:hAnsi="宋体"/>
                <w:b/>
              </w:rPr>
              <w:t>（千瓦）</w:t>
            </w:r>
          </w:p>
        </w:tc>
        <w:tc>
          <w:tcPr>
            <w:tcW w:w="2003" w:type="pct"/>
            <w:gridSpan w:val="4"/>
            <w:vAlign w:val="center"/>
          </w:tcPr>
          <w:p w14:paraId="1383B2C2">
            <w:pPr>
              <w:pStyle w:val="12"/>
              <w:jc w:val="center"/>
              <w:rPr>
                <w:rFonts w:ascii="宋体" w:hAnsi="宋体"/>
                <w:b/>
              </w:rPr>
            </w:pPr>
            <w:r>
              <w:rPr>
                <w:rFonts w:hint="eastAsia" w:ascii="宋体" w:hAnsi="宋体"/>
                <w:b/>
              </w:rPr>
              <w:t>已建电站</w:t>
            </w:r>
          </w:p>
        </w:tc>
      </w:tr>
      <w:tr w14:paraId="20DAAD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99" w:type="pct"/>
            <w:vMerge w:val="continue"/>
            <w:vAlign w:val="center"/>
          </w:tcPr>
          <w:p w14:paraId="53420C6B">
            <w:pPr>
              <w:pStyle w:val="12"/>
              <w:jc w:val="center"/>
              <w:rPr>
                <w:rFonts w:ascii="宋体" w:hAnsi="宋体"/>
                <w:b/>
              </w:rPr>
            </w:pPr>
          </w:p>
        </w:tc>
        <w:tc>
          <w:tcPr>
            <w:tcW w:w="499" w:type="pct"/>
            <w:vMerge w:val="continue"/>
            <w:vAlign w:val="center"/>
          </w:tcPr>
          <w:p w14:paraId="74906A49">
            <w:pPr>
              <w:pStyle w:val="12"/>
              <w:jc w:val="center"/>
              <w:rPr>
                <w:rFonts w:ascii="宋体" w:hAnsi="宋体"/>
                <w:b/>
              </w:rPr>
            </w:pPr>
          </w:p>
        </w:tc>
        <w:tc>
          <w:tcPr>
            <w:tcW w:w="499" w:type="pct"/>
            <w:vMerge w:val="continue"/>
            <w:vAlign w:val="center"/>
          </w:tcPr>
          <w:p w14:paraId="6AD3FB1E">
            <w:pPr>
              <w:pStyle w:val="12"/>
              <w:jc w:val="center"/>
              <w:rPr>
                <w:rFonts w:ascii="宋体" w:hAnsi="宋体"/>
                <w:b/>
              </w:rPr>
            </w:pPr>
          </w:p>
        </w:tc>
        <w:tc>
          <w:tcPr>
            <w:tcW w:w="500" w:type="pct"/>
            <w:vMerge w:val="continue"/>
            <w:vAlign w:val="center"/>
          </w:tcPr>
          <w:p w14:paraId="28BEB465">
            <w:pPr>
              <w:pStyle w:val="12"/>
              <w:jc w:val="center"/>
              <w:rPr>
                <w:rFonts w:ascii="宋体" w:hAnsi="宋体"/>
                <w:b/>
              </w:rPr>
            </w:pPr>
          </w:p>
        </w:tc>
        <w:tc>
          <w:tcPr>
            <w:tcW w:w="500" w:type="pct"/>
            <w:vMerge w:val="continue"/>
            <w:vAlign w:val="center"/>
          </w:tcPr>
          <w:p w14:paraId="1034B4CE">
            <w:pPr>
              <w:pStyle w:val="12"/>
              <w:jc w:val="center"/>
              <w:rPr>
                <w:rFonts w:ascii="宋体" w:hAnsi="宋体"/>
                <w:b/>
              </w:rPr>
            </w:pPr>
          </w:p>
        </w:tc>
        <w:tc>
          <w:tcPr>
            <w:tcW w:w="500" w:type="pct"/>
            <w:vMerge w:val="continue"/>
            <w:vAlign w:val="center"/>
          </w:tcPr>
          <w:p w14:paraId="7887E2EB">
            <w:pPr>
              <w:pStyle w:val="12"/>
              <w:jc w:val="center"/>
              <w:rPr>
                <w:rFonts w:ascii="宋体" w:hAnsi="宋体"/>
                <w:b/>
              </w:rPr>
            </w:pPr>
          </w:p>
        </w:tc>
        <w:tc>
          <w:tcPr>
            <w:tcW w:w="500" w:type="pct"/>
            <w:vMerge w:val="restart"/>
            <w:vAlign w:val="center"/>
          </w:tcPr>
          <w:p w14:paraId="27B52256">
            <w:pPr>
              <w:pStyle w:val="12"/>
              <w:jc w:val="center"/>
              <w:rPr>
                <w:rFonts w:ascii="宋体" w:hAnsi="宋体"/>
                <w:b/>
              </w:rPr>
            </w:pPr>
            <w:r>
              <w:rPr>
                <w:rFonts w:hint="eastAsia" w:ascii="宋体" w:hAnsi="宋体"/>
                <w:b/>
              </w:rPr>
              <w:t>座</w:t>
            </w:r>
          </w:p>
        </w:tc>
        <w:tc>
          <w:tcPr>
            <w:tcW w:w="1004" w:type="pct"/>
            <w:gridSpan w:val="2"/>
            <w:vAlign w:val="center"/>
          </w:tcPr>
          <w:p w14:paraId="0EA5E59E">
            <w:pPr>
              <w:pStyle w:val="12"/>
              <w:jc w:val="center"/>
              <w:rPr>
                <w:rFonts w:ascii="宋体" w:hAnsi="宋体"/>
                <w:b/>
              </w:rPr>
            </w:pPr>
            <w:r>
              <w:rPr>
                <w:rFonts w:hint="eastAsia" w:ascii="宋体" w:hAnsi="宋体"/>
                <w:b/>
              </w:rPr>
              <w:t>装  机</w:t>
            </w:r>
          </w:p>
        </w:tc>
        <w:tc>
          <w:tcPr>
            <w:tcW w:w="499" w:type="pct"/>
            <w:vMerge w:val="restart"/>
            <w:vAlign w:val="center"/>
          </w:tcPr>
          <w:p w14:paraId="33498E33">
            <w:pPr>
              <w:pStyle w:val="12"/>
              <w:jc w:val="center"/>
              <w:rPr>
                <w:rFonts w:ascii="宋体" w:hAnsi="宋体"/>
                <w:b/>
              </w:rPr>
            </w:pPr>
            <w:r>
              <w:rPr>
                <w:rFonts w:hint="eastAsia" w:ascii="宋体" w:hAnsi="宋体"/>
                <w:b/>
              </w:rPr>
              <w:t>占蕴藏量比（%）</w:t>
            </w:r>
          </w:p>
        </w:tc>
      </w:tr>
      <w:tr w14:paraId="462C5B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499" w:type="pct"/>
            <w:vMerge w:val="continue"/>
            <w:vAlign w:val="center"/>
          </w:tcPr>
          <w:p w14:paraId="1DF5464F">
            <w:pPr>
              <w:pStyle w:val="12"/>
              <w:jc w:val="center"/>
              <w:rPr>
                <w:rFonts w:ascii="宋体" w:hAnsi="宋体"/>
              </w:rPr>
            </w:pPr>
          </w:p>
        </w:tc>
        <w:tc>
          <w:tcPr>
            <w:tcW w:w="499" w:type="pct"/>
            <w:vMerge w:val="continue"/>
            <w:vAlign w:val="center"/>
          </w:tcPr>
          <w:p w14:paraId="6EC72402">
            <w:pPr>
              <w:pStyle w:val="12"/>
              <w:jc w:val="center"/>
              <w:rPr>
                <w:rFonts w:ascii="宋体" w:hAnsi="宋体"/>
              </w:rPr>
            </w:pPr>
          </w:p>
        </w:tc>
        <w:tc>
          <w:tcPr>
            <w:tcW w:w="499" w:type="pct"/>
            <w:vMerge w:val="continue"/>
            <w:vAlign w:val="center"/>
          </w:tcPr>
          <w:p w14:paraId="56D15B8A">
            <w:pPr>
              <w:pStyle w:val="12"/>
              <w:jc w:val="center"/>
              <w:rPr>
                <w:rFonts w:ascii="宋体" w:hAnsi="宋体"/>
              </w:rPr>
            </w:pPr>
          </w:p>
        </w:tc>
        <w:tc>
          <w:tcPr>
            <w:tcW w:w="500" w:type="pct"/>
            <w:vMerge w:val="continue"/>
            <w:vAlign w:val="center"/>
          </w:tcPr>
          <w:p w14:paraId="26429BF5">
            <w:pPr>
              <w:pStyle w:val="12"/>
              <w:jc w:val="center"/>
              <w:rPr>
                <w:rFonts w:ascii="宋体" w:hAnsi="宋体"/>
              </w:rPr>
            </w:pPr>
          </w:p>
        </w:tc>
        <w:tc>
          <w:tcPr>
            <w:tcW w:w="500" w:type="pct"/>
            <w:vMerge w:val="continue"/>
            <w:vAlign w:val="center"/>
          </w:tcPr>
          <w:p w14:paraId="715F195C">
            <w:pPr>
              <w:pStyle w:val="12"/>
              <w:jc w:val="center"/>
              <w:rPr>
                <w:rFonts w:ascii="宋体" w:hAnsi="宋体"/>
              </w:rPr>
            </w:pPr>
          </w:p>
        </w:tc>
        <w:tc>
          <w:tcPr>
            <w:tcW w:w="500" w:type="pct"/>
            <w:vMerge w:val="continue"/>
            <w:vAlign w:val="center"/>
          </w:tcPr>
          <w:p w14:paraId="24005595">
            <w:pPr>
              <w:pStyle w:val="12"/>
              <w:jc w:val="center"/>
              <w:rPr>
                <w:rFonts w:ascii="宋体" w:hAnsi="宋体"/>
              </w:rPr>
            </w:pPr>
          </w:p>
        </w:tc>
        <w:tc>
          <w:tcPr>
            <w:tcW w:w="500" w:type="pct"/>
            <w:vMerge w:val="continue"/>
            <w:vAlign w:val="center"/>
          </w:tcPr>
          <w:p w14:paraId="421ACC4D">
            <w:pPr>
              <w:pStyle w:val="12"/>
              <w:jc w:val="center"/>
              <w:rPr>
                <w:rFonts w:ascii="宋体" w:hAnsi="宋体"/>
              </w:rPr>
            </w:pPr>
          </w:p>
        </w:tc>
        <w:tc>
          <w:tcPr>
            <w:tcW w:w="500" w:type="pct"/>
            <w:vAlign w:val="center"/>
          </w:tcPr>
          <w:p w14:paraId="22846442">
            <w:pPr>
              <w:pStyle w:val="12"/>
              <w:jc w:val="center"/>
              <w:rPr>
                <w:rFonts w:ascii="宋体" w:hAnsi="宋体"/>
                <w:b/>
              </w:rPr>
            </w:pPr>
            <w:r>
              <w:rPr>
                <w:rFonts w:hint="eastAsia" w:ascii="宋体" w:hAnsi="宋体"/>
                <w:b/>
              </w:rPr>
              <w:t>台</w:t>
            </w:r>
          </w:p>
        </w:tc>
        <w:tc>
          <w:tcPr>
            <w:tcW w:w="504" w:type="pct"/>
            <w:vAlign w:val="center"/>
          </w:tcPr>
          <w:p w14:paraId="0C89A357">
            <w:pPr>
              <w:pStyle w:val="12"/>
              <w:jc w:val="center"/>
              <w:rPr>
                <w:rFonts w:ascii="宋体" w:hAnsi="宋体"/>
                <w:b/>
              </w:rPr>
            </w:pPr>
            <w:r>
              <w:rPr>
                <w:rFonts w:hint="eastAsia" w:ascii="宋体" w:hAnsi="宋体"/>
                <w:b/>
              </w:rPr>
              <w:t>容量</w:t>
            </w:r>
          </w:p>
          <w:p w14:paraId="252BEA5F">
            <w:pPr>
              <w:pStyle w:val="12"/>
              <w:jc w:val="center"/>
              <w:rPr>
                <w:rFonts w:ascii="宋体" w:hAnsi="宋体"/>
                <w:b/>
              </w:rPr>
            </w:pPr>
            <w:r>
              <w:rPr>
                <w:rFonts w:hint="eastAsia" w:ascii="宋体" w:hAnsi="宋体"/>
                <w:b/>
              </w:rPr>
              <w:t>（千瓦）</w:t>
            </w:r>
          </w:p>
        </w:tc>
        <w:tc>
          <w:tcPr>
            <w:tcW w:w="499" w:type="pct"/>
            <w:vMerge w:val="continue"/>
            <w:vAlign w:val="center"/>
          </w:tcPr>
          <w:p w14:paraId="1828A577">
            <w:pPr>
              <w:pStyle w:val="12"/>
              <w:jc w:val="center"/>
              <w:rPr>
                <w:rFonts w:ascii="宋体" w:hAnsi="宋体"/>
              </w:rPr>
            </w:pPr>
          </w:p>
        </w:tc>
      </w:tr>
      <w:tr w14:paraId="41786F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9" w:type="pct"/>
            <w:vAlign w:val="center"/>
          </w:tcPr>
          <w:p w14:paraId="05BA8742">
            <w:pPr>
              <w:pStyle w:val="12"/>
              <w:jc w:val="center"/>
              <w:rPr>
                <w:rFonts w:ascii="宋体" w:hAnsi="宋体"/>
              </w:rPr>
            </w:pPr>
            <w:r>
              <w:rPr>
                <w:rFonts w:hint="eastAsia" w:ascii="宋体" w:hAnsi="宋体"/>
              </w:rPr>
              <w:t>合  计</w:t>
            </w:r>
          </w:p>
        </w:tc>
        <w:tc>
          <w:tcPr>
            <w:tcW w:w="499" w:type="pct"/>
            <w:vAlign w:val="center"/>
          </w:tcPr>
          <w:p w14:paraId="4495AE5B">
            <w:pPr>
              <w:pStyle w:val="12"/>
              <w:jc w:val="center"/>
              <w:rPr>
                <w:rFonts w:ascii="宋体" w:hAnsi="宋体"/>
              </w:rPr>
            </w:pPr>
            <w:r>
              <w:rPr>
                <w:rFonts w:hint="eastAsia" w:ascii="宋体" w:hAnsi="宋体"/>
              </w:rPr>
              <w:t>—</w:t>
            </w:r>
          </w:p>
        </w:tc>
        <w:tc>
          <w:tcPr>
            <w:tcW w:w="499" w:type="pct"/>
            <w:vAlign w:val="center"/>
          </w:tcPr>
          <w:p w14:paraId="3C4E9139">
            <w:pPr>
              <w:pStyle w:val="12"/>
              <w:jc w:val="center"/>
              <w:rPr>
                <w:rFonts w:ascii="宋体" w:hAnsi="宋体"/>
              </w:rPr>
            </w:pPr>
            <w:r>
              <w:rPr>
                <w:rFonts w:hint="eastAsia" w:ascii="宋体" w:hAnsi="宋体"/>
              </w:rPr>
              <w:t>—</w:t>
            </w:r>
          </w:p>
        </w:tc>
        <w:tc>
          <w:tcPr>
            <w:tcW w:w="500" w:type="pct"/>
            <w:vAlign w:val="center"/>
          </w:tcPr>
          <w:p w14:paraId="7E9D1FE0">
            <w:pPr>
              <w:pStyle w:val="12"/>
              <w:jc w:val="center"/>
              <w:rPr>
                <w:rFonts w:ascii="宋体" w:hAnsi="宋体"/>
              </w:rPr>
            </w:pPr>
            <w:r>
              <w:rPr>
                <w:rFonts w:hint="eastAsia" w:ascii="宋体" w:hAnsi="宋体"/>
              </w:rPr>
              <w:t>—</w:t>
            </w:r>
          </w:p>
        </w:tc>
        <w:tc>
          <w:tcPr>
            <w:tcW w:w="500" w:type="pct"/>
            <w:vAlign w:val="center"/>
          </w:tcPr>
          <w:p w14:paraId="1BDE7273">
            <w:pPr>
              <w:pStyle w:val="12"/>
              <w:jc w:val="center"/>
              <w:rPr>
                <w:rFonts w:ascii="宋体" w:hAnsi="宋体"/>
              </w:rPr>
            </w:pPr>
            <w:r>
              <w:rPr>
                <w:rFonts w:hint="eastAsia" w:ascii="宋体" w:hAnsi="宋体"/>
              </w:rPr>
              <w:t>—</w:t>
            </w:r>
          </w:p>
        </w:tc>
        <w:tc>
          <w:tcPr>
            <w:tcW w:w="500" w:type="pct"/>
            <w:vAlign w:val="center"/>
          </w:tcPr>
          <w:p w14:paraId="4A9C8769">
            <w:pPr>
              <w:pStyle w:val="12"/>
              <w:jc w:val="center"/>
              <w:rPr>
                <w:rFonts w:ascii="宋体" w:hAnsi="宋体"/>
              </w:rPr>
            </w:pPr>
            <w:r>
              <w:rPr>
                <w:rFonts w:hint="eastAsia" w:ascii="宋体" w:hAnsi="宋体"/>
              </w:rPr>
              <w:t>68500</w:t>
            </w:r>
          </w:p>
        </w:tc>
        <w:tc>
          <w:tcPr>
            <w:tcW w:w="500" w:type="pct"/>
            <w:vAlign w:val="center"/>
          </w:tcPr>
          <w:p w14:paraId="48F1DA49">
            <w:pPr>
              <w:pStyle w:val="12"/>
              <w:jc w:val="center"/>
              <w:rPr>
                <w:rFonts w:ascii="宋体" w:hAnsi="宋体"/>
              </w:rPr>
            </w:pPr>
            <w:r>
              <w:rPr>
                <w:rFonts w:hint="eastAsia" w:ascii="宋体" w:hAnsi="宋体"/>
              </w:rPr>
              <w:t>155</w:t>
            </w:r>
          </w:p>
        </w:tc>
        <w:tc>
          <w:tcPr>
            <w:tcW w:w="500" w:type="pct"/>
            <w:vAlign w:val="center"/>
          </w:tcPr>
          <w:p w14:paraId="37425737">
            <w:pPr>
              <w:pStyle w:val="12"/>
              <w:jc w:val="center"/>
              <w:rPr>
                <w:rFonts w:ascii="宋体" w:hAnsi="宋体"/>
              </w:rPr>
            </w:pPr>
            <w:r>
              <w:rPr>
                <w:rFonts w:hint="eastAsia" w:ascii="宋体" w:hAnsi="宋体"/>
              </w:rPr>
              <w:t>283</w:t>
            </w:r>
          </w:p>
        </w:tc>
        <w:tc>
          <w:tcPr>
            <w:tcW w:w="504" w:type="pct"/>
            <w:vAlign w:val="center"/>
          </w:tcPr>
          <w:p w14:paraId="792BDA16">
            <w:pPr>
              <w:pStyle w:val="12"/>
              <w:jc w:val="center"/>
              <w:rPr>
                <w:rFonts w:ascii="宋体" w:hAnsi="宋体"/>
              </w:rPr>
            </w:pPr>
            <w:r>
              <w:rPr>
                <w:rFonts w:hint="eastAsia" w:ascii="宋体" w:hAnsi="宋体"/>
              </w:rPr>
              <w:t>75395</w:t>
            </w:r>
          </w:p>
        </w:tc>
        <w:tc>
          <w:tcPr>
            <w:tcW w:w="499" w:type="pct"/>
            <w:vAlign w:val="center"/>
          </w:tcPr>
          <w:p w14:paraId="6C9279EC">
            <w:pPr>
              <w:pStyle w:val="12"/>
              <w:jc w:val="center"/>
              <w:rPr>
                <w:rFonts w:ascii="宋体" w:hAnsi="宋体"/>
              </w:rPr>
            </w:pPr>
            <w:r>
              <w:rPr>
                <w:rFonts w:hint="eastAsia" w:ascii="宋体" w:hAnsi="宋体"/>
              </w:rPr>
              <w:t>110</w:t>
            </w:r>
          </w:p>
        </w:tc>
      </w:tr>
      <w:tr w14:paraId="3C83F5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9" w:type="pct"/>
            <w:vAlign w:val="center"/>
          </w:tcPr>
          <w:p w14:paraId="2AFDB8CE">
            <w:pPr>
              <w:pStyle w:val="12"/>
              <w:jc w:val="center"/>
              <w:rPr>
                <w:rFonts w:ascii="宋体" w:hAnsi="宋体"/>
              </w:rPr>
            </w:pPr>
            <w:r>
              <w:rPr>
                <w:rFonts w:hint="eastAsia" w:ascii="宋体" w:hAnsi="宋体"/>
              </w:rPr>
              <w:t>浈  江</w:t>
            </w:r>
          </w:p>
        </w:tc>
        <w:tc>
          <w:tcPr>
            <w:tcW w:w="499" w:type="pct"/>
            <w:vAlign w:val="center"/>
          </w:tcPr>
          <w:p w14:paraId="7E13C3DB">
            <w:pPr>
              <w:pStyle w:val="12"/>
              <w:jc w:val="center"/>
              <w:rPr>
                <w:rFonts w:ascii="宋体" w:hAnsi="宋体"/>
              </w:rPr>
            </w:pPr>
            <w:r>
              <w:rPr>
                <w:rFonts w:hint="eastAsia" w:ascii="宋体" w:hAnsi="宋体"/>
              </w:rPr>
              <w:t>1756</w:t>
            </w:r>
          </w:p>
        </w:tc>
        <w:tc>
          <w:tcPr>
            <w:tcW w:w="499" w:type="pct"/>
            <w:vAlign w:val="center"/>
          </w:tcPr>
          <w:p w14:paraId="696A8513">
            <w:pPr>
              <w:pStyle w:val="12"/>
              <w:jc w:val="center"/>
              <w:rPr>
                <w:rFonts w:ascii="宋体" w:hAnsi="宋体"/>
              </w:rPr>
            </w:pPr>
            <w:r>
              <w:rPr>
                <w:rFonts w:hint="eastAsia" w:ascii="宋体" w:hAnsi="宋体"/>
              </w:rPr>
              <w:t>96.3</w:t>
            </w:r>
          </w:p>
        </w:tc>
        <w:tc>
          <w:tcPr>
            <w:tcW w:w="500" w:type="pct"/>
            <w:vAlign w:val="center"/>
          </w:tcPr>
          <w:p w14:paraId="57BBF3FE">
            <w:pPr>
              <w:pStyle w:val="12"/>
              <w:jc w:val="center"/>
              <w:rPr>
                <w:rFonts w:ascii="宋体" w:hAnsi="宋体"/>
              </w:rPr>
            </w:pPr>
            <w:r>
              <w:rPr>
                <w:rFonts w:hint="eastAsia" w:ascii="宋体" w:hAnsi="宋体"/>
              </w:rPr>
              <w:t>—</w:t>
            </w:r>
          </w:p>
        </w:tc>
        <w:tc>
          <w:tcPr>
            <w:tcW w:w="500" w:type="pct"/>
            <w:vAlign w:val="center"/>
          </w:tcPr>
          <w:p w14:paraId="4969587C">
            <w:pPr>
              <w:pStyle w:val="12"/>
              <w:jc w:val="center"/>
              <w:rPr>
                <w:rFonts w:ascii="宋体" w:hAnsi="宋体"/>
              </w:rPr>
            </w:pPr>
            <w:r>
              <w:rPr>
                <w:rFonts w:hint="eastAsia" w:ascii="宋体" w:hAnsi="宋体"/>
              </w:rPr>
              <w:t>92</w:t>
            </w:r>
          </w:p>
        </w:tc>
        <w:tc>
          <w:tcPr>
            <w:tcW w:w="500" w:type="pct"/>
            <w:vAlign w:val="center"/>
          </w:tcPr>
          <w:p w14:paraId="7D53A3AF">
            <w:pPr>
              <w:pStyle w:val="12"/>
              <w:jc w:val="center"/>
              <w:rPr>
                <w:rFonts w:ascii="宋体" w:hAnsi="宋体"/>
              </w:rPr>
            </w:pPr>
            <w:r>
              <w:rPr>
                <w:rFonts w:hint="eastAsia" w:ascii="宋体" w:hAnsi="宋体"/>
              </w:rPr>
              <w:t>9800</w:t>
            </w:r>
          </w:p>
        </w:tc>
        <w:tc>
          <w:tcPr>
            <w:tcW w:w="500" w:type="pct"/>
            <w:vAlign w:val="center"/>
          </w:tcPr>
          <w:p w14:paraId="71B99E69">
            <w:pPr>
              <w:pStyle w:val="12"/>
              <w:jc w:val="center"/>
              <w:rPr>
                <w:rFonts w:ascii="宋体" w:hAnsi="宋体"/>
              </w:rPr>
            </w:pPr>
            <w:r>
              <w:rPr>
                <w:rFonts w:hint="eastAsia" w:ascii="宋体" w:hAnsi="宋体"/>
              </w:rPr>
              <w:t>6</w:t>
            </w:r>
          </w:p>
        </w:tc>
        <w:tc>
          <w:tcPr>
            <w:tcW w:w="500" w:type="pct"/>
            <w:vAlign w:val="center"/>
          </w:tcPr>
          <w:p w14:paraId="5D945F5A">
            <w:pPr>
              <w:pStyle w:val="12"/>
              <w:jc w:val="center"/>
              <w:rPr>
                <w:rFonts w:ascii="宋体" w:hAnsi="宋体"/>
              </w:rPr>
            </w:pPr>
            <w:r>
              <w:rPr>
                <w:rFonts w:hint="eastAsia" w:ascii="宋体" w:hAnsi="宋体"/>
              </w:rPr>
              <w:t>17</w:t>
            </w:r>
          </w:p>
        </w:tc>
        <w:tc>
          <w:tcPr>
            <w:tcW w:w="504" w:type="pct"/>
            <w:vAlign w:val="center"/>
          </w:tcPr>
          <w:p w14:paraId="7AB92633">
            <w:pPr>
              <w:pStyle w:val="12"/>
              <w:jc w:val="center"/>
              <w:rPr>
                <w:rFonts w:ascii="宋体" w:hAnsi="宋体"/>
              </w:rPr>
            </w:pPr>
            <w:r>
              <w:rPr>
                <w:rFonts w:hint="eastAsia" w:ascii="宋体" w:hAnsi="宋体"/>
              </w:rPr>
              <w:t>6155</w:t>
            </w:r>
          </w:p>
        </w:tc>
        <w:tc>
          <w:tcPr>
            <w:tcW w:w="499" w:type="pct"/>
            <w:vAlign w:val="center"/>
          </w:tcPr>
          <w:p w14:paraId="5930C295">
            <w:pPr>
              <w:pStyle w:val="12"/>
              <w:jc w:val="center"/>
              <w:rPr>
                <w:rFonts w:ascii="宋体" w:hAnsi="宋体"/>
              </w:rPr>
            </w:pPr>
            <w:r>
              <w:rPr>
                <w:rFonts w:hint="eastAsia" w:ascii="宋体" w:hAnsi="宋体"/>
              </w:rPr>
              <w:t>62.8</w:t>
            </w:r>
          </w:p>
        </w:tc>
      </w:tr>
      <w:tr w14:paraId="121E06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9" w:type="pct"/>
            <w:vAlign w:val="center"/>
          </w:tcPr>
          <w:p w14:paraId="773396D9">
            <w:pPr>
              <w:pStyle w:val="12"/>
              <w:jc w:val="center"/>
              <w:rPr>
                <w:rFonts w:ascii="宋体" w:hAnsi="宋体"/>
              </w:rPr>
            </w:pPr>
            <w:r>
              <w:rPr>
                <w:rFonts w:hint="eastAsia" w:ascii="宋体" w:hAnsi="宋体"/>
              </w:rPr>
              <w:t>凌  江</w:t>
            </w:r>
          </w:p>
        </w:tc>
        <w:tc>
          <w:tcPr>
            <w:tcW w:w="499" w:type="pct"/>
            <w:vAlign w:val="center"/>
          </w:tcPr>
          <w:p w14:paraId="4AB3D1EE">
            <w:pPr>
              <w:pStyle w:val="12"/>
              <w:jc w:val="center"/>
              <w:rPr>
                <w:rFonts w:ascii="宋体" w:hAnsi="宋体"/>
              </w:rPr>
            </w:pPr>
            <w:r>
              <w:rPr>
                <w:rFonts w:hint="eastAsia" w:ascii="宋体" w:hAnsi="宋体"/>
              </w:rPr>
              <w:t>365</w:t>
            </w:r>
          </w:p>
        </w:tc>
        <w:tc>
          <w:tcPr>
            <w:tcW w:w="499" w:type="pct"/>
            <w:vAlign w:val="center"/>
          </w:tcPr>
          <w:p w14:paraId="3BB1A410">
            <w:pPr>
              <w:pStyle w:val="12"/>
              <w:jc w:val="center"/>
              <w:rPr>
                <w:rFonts w:ascii="宋体" w:hAnsi="宋体"/>
              </w:rPr>
            </w:pPr>
            <w:r>
              <w:rPr>
                <w:rFonts w:hint="eastAsia" w:ascii="宋体" w:hAnsi="宋体"/>
              </w:rPr>
              <w:t>65</w:t>
            </w:r>
          </w:p>
        </w:tc>
        <w:tc>
          <w:tcPr>
            <w:tcW w:w="500" w:type="pct"/>
            <w:vAlign w:val="center"/>
          </w:tcPr>
          <w:p w14:paraId="0A4B82D8">
            <w:pPr>
              <w:pStyle w:val="12"/>
              <w:jc w:val="center"/>
              <w:rPr>
                <w:rFonts w:ascii="宋体" w:hAnsi="宋体"/>
              </w:rPr>
            </w:pPr>
            <w:r>
              <w:rPr>
                <w:rFonts w:hint="eastAsia" w:ascii="宋体" w:hAnsi="宋体"/>
              </w:rPr>
              <w:t>14.22</w:t>
            </w:r>
          </w:p>
        </w:tc>
        <w:tc>
          <w:tcPr>
            <w:tcW w:w="500" w:type="pct"/>
            <w:vAlign w:val="center"/>
          </w:tcPr>
          <w:p w14:paraId="4D52C3F1">
            <w:pPr>
              <w:pStyle w:val="12"/>
              <w:jc w:val="center"/>
              <w:rPr>
                <w:rFonts w:ascii="宋体" w:hAnsi="宋体"/>
              </w:rPr>
            </w:pPr>
            <w:r>
              <w:rPr>
                <w:rFonts w:hint="eastAsia" w:ascii="宋体" w:hAnsi="宋体"/>
              </w:rPr>
              <w:t>928</w:t>
            </w:r>
          </w:p>
        </w:tc>
        <w:tc>
          <w:tcPr>
            <w:tcW w:w="500" w:type="pct"/>
            <w:vAlign w:val="center"/>
          </w:tcPr>
          <w:p w14:paraId="2BB38F75">
            <w:pPr>
              <w:pStyle w:val="12"/>
              <w:jc w:val="center"/>
              <w:rPr>
                <w:rFonts w:ascii="宋体" w:hAnsi="宋体"/>
              </w:rPr>
            </w:pPr>
            <w:r>
              <w:rPr>
                <w:rFonts w:hint="eastAsia" w:ascii="宋体" w:hAnsi="宋体"/>
              </w:rPr>
              <w:t>19700</w:t>
            </w:r>
          </w:p>
        </w:tc>
        <w:tc>
          <w:tcPr>
            <w:tcW w:w="500" w:type="pct"/>
            <w:vAlign w:val="center"/>
          </w:tcPr>
          <w:p w14:paraId="4D58D4B6">
            <w:pPr>
              <w:pStyle w:val="12"/>
              <w:jc w:val="center"/>
              <w:rPr>
                <w:rFonts w:ascii="宋体" w:hAnsi="宋体"/>
              </w:rPr>
            </w:pPr>
            <w:r>
              <w:rPr>
                <w:rFonts w:hint="eastAsia" w:ascii="宋体" w:hAnsi="宋体"/>
              </w:rPr>
              <w:t>39</w:t>
            </w:r>
          </w:p>
        </w:tc>
        <w:tc>
          <w:tcPr>
            <w:tcW w:w="500" w:type="pct"/>
            <w:vAlign w:val="center"/>
          </w:tcPr>
          <w:p w14:paraId="75A3571B">
            <w:pPr>
              <w:pStyle w:val="12"/>
              <w:jc w:val="center"/>
              <w:rPr>
                <w:rFonts w:ascii="宋体" w:hAnsi="宋体"/>
              </w:rPr>
            </w:pPr>
            <w:r>
              <w:rPr>
                <w:rFonts w:hint="eastAsia" w:ascii="宋体" w:hAnsi="宋体"/>
              </w:rPr>
              <w:t>75</w:t>
            </w:r>
          </w:p>
        </w:tc>
        <w:tc>
          <w:tcPr>
            <w:tcW w:w="504" w:type="pct"/>
            <w:vAlign w:val="center"/>
          </w:tcPr>
          <w:p w14:paraId="0C83D08C">
            <w:pPr>
              <w:pStyle w:val="12"/>
              <w:jc w:val="center"/>
              <w:rPr>
                <w:rFonts w:ascii="宋体" w:hAnsi="宋体"/>
              </w:rPr>
            </w:pPr>
            <w:r>
              <w:rPr>
                <w:rFonts w:hint="eastAsia" w:ascii="宋体" w:hAnsi="宋体"/>
              </w:rPr>
              <w:t>18855</w:t>
            </w:r>
          </w:p>
        </w:tc>
        <w:tc>
          <w:tcPr>
            <w:tcW w:w="499" w:type="pct"/>
            <w:vAlign w:val="center"/>
          </w:tcPr>
          <w:p w14:paraId="225D27FC">
            <w:pPr>
              <w:pStyle w:val="12"/>
              <w:jc w:val="center"/>
              <w:rPr>
                <w:rFonts w:ascii="宋体" w:hAnsi="宋体"/>
              </w:rPr>
            </w:pPr>
            <w:r>
              <w:rPr>
                <w:rFonts w:hint="eastAsia" w:ascii="宋体" w:hAnsi="宋体"/>
              </w:rPr>
              <w:t>95.7</w:t>
            </w:r>
          </w:p>
        </w:tc>
      </w:tr>
      <w:tr w14:paraId="647D78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9" w:type="pct"/>
            <w:vAlign w:val="center"/>
          </w:tcPr>
          <w:p w14:paraId="4BA2A890">
            <w:pPr>
              <w:pStyle w:val="12"/>
              <w:jc w:val="center"/>
              <w:rPr>
                <w:rFonts w:ascii="宋体" w:hAnsi="宋体"/>
              </w:rPr>
            </w:pPr>
            <w:r>
              <w:rPr>
                <w:rFonts w:hint="eastAsia" w:ascii="宋体" w:hAnsi="宋体"/>
              </w:rPr>
              <w:t>南山水</w:t>
            </w:r>
          </w:p>
        </w:tc>
        <w:tc>
          <w:tcPr>
            <w:tcW w:w="499" w:type="pct"/>
            <w:vAlign w:val="center"/>
          </w:tcPr>
          <w:p w14:paraId="26180140">
            <w:pPr>
              <w:pStyle w:val="12"/>
              <w:jc w:val="center"/>
              <w:rPr>
                <w:rFonts w:ascii="宋体" w:hAnsi="宋体"/>
              </w:rPr>
            </w:pPr>
            <w:r>
              <w:rPr>
                <w:rFonts w:hint="eastAsia" w:ascii="宋体" w:hAnsi="宋体"/>
              </w:rPr>
              <w:t>219</w:t>
            </w:r>
          </w:p>
        </w:tc>
        <w:tc>
          <w:tcPr>
            <w:tcW w:w="499" w:type="pct"/>
            <w:vAlign w:val="center"/>
          </w:tcPr>
          <w:p w14:paraId="3056BDE6">
            <w:pPr>
              <w:pStyle w:val="12"/>
              <w:jc w:val="center"/>
              <w:rPr>
                <w:rFonts w:ascii="宋体" w:hAnsi="宋体"/>
              </w:rPr>
            </w:pPr>
            <w:r>
              <w:rPr>
                <w:rFonts w:hint="eastAsia" w:ascii="宋体" w:hAnsi="宋体"/>
              </w:rPr>
              <w:t>32</w:t>
            </w:r>
          </w:p>
        </w:tc>
        <w:tc>
          <w:tcPr>
            <w:tcW w:w="500" w:type="pct"/>
            <w:vAlign w:val="center"/>
          </w:tcPr>
          <w:p w14:paraId="6CB3F7F7">
            <w:pPr>
              <w:pStyle w:val="12"/>
              <w:jc w:val="center"/>
              <w:rPr>
                <w:rFonts w:ascii="宋体" w:hAnsi="宋体"/>
              </w:rPr>
            </w:pPr>
            <w:r>
              <w:rPr>
                <w:rFonts w:hint="eastAsia" w:ascii="宋体" w:hAnsi="宋体"/>
              </w:rPr>
              <w:t>3.47</w:t>
            </w:r>
          </w:p>
        </w:tc>
        <w:tc>
          <w:tcPr>
            <w:tcW w:w="500" w:type="pct"/>
            <w:vAlign w:val="center"/>
          </w:tcPr>
          <w:p w14:paraId="15DBF8B9">
            <w:pPr>
              <w:pStyle w:val="12"/>
              <w:jc w:val="center"/>
              <w:rPr>
                <w:rFonts w:ascii="宋体" w:hAnsi="宋体"/>
              </w:rPr>
            </w:pPr>
            <w:r>
              <w:rPr>
                <w:rFonts w:hint="eastAsia" w:ascii="宋体" w:hAnsi="宋体"/>
              </w:rPr>
              <w:t>511</w:t>
            </w:r>
          </w:p>
        </w:tc>
        <w:tc>
          <w:tcPr>
            <w:tcW w:w="500" w:type="pct"/>
            <w:vAlign w:val="center"/>
          </w:tcPr>
          <w:p w14:paraId="1AABE6CB">
            <w:pPr>
              <w:pStyle w:val="12"/>
              <w:jc w:val="center"/>
              <w:rPr>
                <w:rFonts w:ascii="宋体" w:hAnsi="宋体"/>
              </w:rPr>
            </w:pPr>
            <w:r>
              <w:rPr>
                <w:rFonts w:hint="eastAsia" w:ascii="宋体" w:hAnsi="宋体"/>
              </w:rPr>
              <w:t>3100</w:t>
            </w:r>
          </w:p>
        </w:tc>
        <w:tc>
          <w:tcPr>
            <w:tcW w:w="500" w:type="pct"/>
            <w:vAlign w:val="center"/>
          </w:tcPr>
          <w:p w14:paraId="55C52DF1">
            <w:pPr>
              <w:pStyle w:val="12"/>
              <w:jc w:val="center"/>
              <w:rPr>
                <w:rFonts w:ascii="宋体" w:hAnsi="宋体"/>
              </w:rPr>
            </w:pPr>
            <w:r>
              <w:rPr>
                <w:rFonts w:hint="eastAsia" w:ascii="宋体" w:hAnsi="宋体"/>
              </w:rPr>
              <w:t>3</w:t>
            </w:r>
          </w:p>
        </w:tc>
        <w:tc>
          <w:tcPr>
            <w:tcW w:w="500" w:type="pct"/>
            <w:vAlign w:val="center"/>
          </w:tcPr>
          <w:p w14:paraId="54382484">
            <w:pPr>
              <w:pStyle w:val="12"/>
              <w:jc w:val="center"/>
              <w:rPr>
                <w:rFonts w:ascii="宋体" w:hAnsi="宋体"/>
              </w:rPr>
            </w:pPr>
            <w:r>
              <w:rPr>
                <w:rFonts w:hint="eastAsia" w:ascii="宋体" w:hAnsi="宋体"/>
              </w:rPr>
              <w:t>6</w:t>
            </w:r>
          </w:p>
        </w:tc>
        <w:tc>
          <w:tcPr>
            <w:tcW w:w="504" w:type="pct"/>
            <w:vAlign w:val="center"/>
          </w:tcPr>
          <w:p w14:paraId="035E9D68">
            <w:pPr>
              <w:pStyle w:val="12"/>
              <w:jc w:val="center"/>
              <w:rPr>
                <w:rFonts w:ascii="宋体" w:hAnsi="宋体"/>
              </w:rPr>
            </w:pPr>
            <w:r>
              <w:rPr>
                <w:rFonts w:hint="eastAsia" w:ascii="宋体" w:hAnsi="宋体"/>
              </w:rPr>
              <w:t>1095</w:t>
            </w:r>
          </w:p>
        </w:tc>
        <w:tc>
          <w:tcPr>
            <w:tcW w:w="499" w:type="pct"/>
            <w:vAlign w:val="center"/>
          </w:tcPr>
          <w:p w14:paraId="33168E4C">
            <w:pPr>
              <w:pStyle w:val="12"/>
              <w:jc w:val="center"/>
              <w:rPr>
                <w:rFonts w:ascii="宋体" w:hAnsi="宋体"/>
              </w:rPr>
            </w:pPr>
            <w:r>
              <w:rPr>
                <w:rFonts w:hint="eastAsia" w:ascii="宋体" w:hAnsi="宋体"/>
              </w:rPr>
              <w:t>35.3</w:t>
            </w:r>
          </w:p>
        </w:tc>
      </w:tr>
      <w:tr w14:paraId="7C14C2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9" w:type="pct"/>
            <w:vAlign w:val="center"/>
          </w:tcPr>
          <w:p w14:paraId="5970B7AA">
            <w:pPr>
              <w:pStyle w:val="12"/>
              <w:jc w:val="center"/>
              <w:rPr>
                <w:rFonts w:ascii="宋体" w:hAnsi="宋体"/>
              </w:rPr>
            </w:pPr>
            <w:r>
              <w:rPr>
                <w:rFonts w:hint="eastAsia" w:ascii="宋体" w:hAnsi="宋体"/>
              </w:rPr>
              <w:t>瀑布水</w:t>
            </w:r>
          </w:p>
        </w:tc>
        <w:tc>
          <w:tcPr>
            <w:tcW w:w="499" w:type="pct"/>
            <w:vAlign w:val="center"/>
          </w:tcPr>
          <w:p w14:paraId="698957D7">
            <w:pPr>
              <w:pStyle w:val="12"/>
              <w:jc w:val="center"/>
              <w:rPr>
                <w:rFonts w:ascii="宋体" w:hAnsi="宋体"/>
              </w:rPr>
            </w:pPr>
            <w:r>
              <w:rPr>
                <w:rFonts w:hint="eastAsia" w:ascii="宋体" w:hAnsi="宋体"/>
              </w:rPr>
              <w:t>174</w:t>
            </w:r>
          </w:p>
        </w:tc>
        <w:tc>
          <w:tcPr>
            <w:tcW w:w="499" w:type="pct"/>
            <w:vAlign w:val="center"/>
          </w:tcPr>
          <w:p w14:paraId="22809F8E">
            <w:pPr>
              <w:pStyle w:val="12"/>
              <w:jc w:val="center"/>
              <w:rPr>
                <w:rFonts w:ascii="宋体" w:hAnsi="宋体"/>
              </w:rPr>
            </w:pPr>
            <w:r>
              <w:rPr>
                <w:rFonts w:hint="eastAsia" w:ascii="宋体" w:hAnsi="宋体"/>
              </w:rPr>
              <w:t>35</w:t>
            </w:r>
          </w:p>
        </w:tc>
        <w:tc>
          <w:tcPr>
            <w:tcW w:w="500" w:type="pct"/>
            <w:vAlign w:val="center"/>
          </w:tcPr>
          <w:p w14:paraId="6F2D6246">
            <w:pPr>
              <w:pStyle w:val="12"/>
              <w:jc w:val="center"/>
              <w:rPr>
                <w:rFonts w:ascii="宋体" w:hAnsi="宋体"/>
              </w:rPr>
            </w:pPr>
            <w:r>
              <w:rPr>
                <w:rFonts w:hint="eastAsia" w:ascii="宋体" w:hAnsi="宋体"/>
              </w:rPr>
              <w:t>9.27</w:t>
            </w:r>
          </w:p>
        </w:tc>
        <w:tc>
          <w:tcPr>
            <w:tcW w:w="500" w:type="pct"/>
            <w:vAlign w:val="center"/>
          </w:tcPr>
          <w:p w14:paraId="5935B348">
            <w:pPr>
              <w:pStyle w:val="12"/>
              <w:jc w:val="center"/>
              <w:rPr>
                <w:rFonts w:ascii="宋体" w:hAnsi="宋体"/>
              </w:rPr>
            </w:pPr>
            <w:r>
              <w:rPr>
                <w:rFonts w:hint="eastAsia" w:ascii="宋体" w:hAnsi="宋体"/>
              </w:rPr>
              <w:t>746</w:t>
            </w:r>
          </w:p>
        </w:tc>
        <w:tc>
          <w:tcPr>
            <w:tcW w:w="500" w:type="pct"/>
            <w:vAlign w:val="center"/>
          </w:tcPr>
          <w:p w14:paraId="730B89B0">
            <w:pPr>
              <w:pStyle w:val="12"/>
              <w:jc w:val="center"/>
              <w:rPr>
                <w:rFonts w:ascii="宋体" w:hAnsi="宋体"/>
              </w:rPr>
            </w:pPr>
            <w:r>
              <w:rPr>
                <w:rFonts w:hint="eastAsia" w:ascii="宋体" w:hAnsi="宋体"/>
              </w:rPr>
              <w:t>9500</w:t>
            </w:r>
          </w:p>
        </w:tc>
        <w:tc>
          <w:tcPr>
            <w:tcW w:w="500" w:type="pct"/>
            <w:vAlign w:val="center"/>
          </w:tcPr>
          <w:p w14:paraId="6318DB8C">
            <w:pPr>
              <w:pStyle w:val="12"/>
              <w:jc w:val="center"/>
              <w:rPr>
                <w:rFonts w:ascii="宋体" w:hAnsi="宋体"/>
              </w:rPr>
            </w:pPr>
            <w:r>
              <w:rPr>
                <w:rFonts w:hint="eastAsia" w:ascii="宋体" w:hAnsi="宋体"/>
              </w:rPr>
              <w:t>13</w:t>
            </w:r>
          </w:p>
        </w:tc>
        <w:tc>
          <w:tcPr>
            <w:tcW w:w="500" w:type="pct"/>
            <w:vAlign w:val="center"/>
          </w:tcPr>
          <w:p w14:paraId="5F402056">
            <w:pPr>
              <w:pStyle w:val="12"/>
              <w:jc w:val="center"/>
              <w:rPr>
                <w:rFonts w:ascii="宋体" w:hAnsi="宋体"/>
              </w:rPr>
            </w:pPr>
            <w:r>
              <w:rPr>
                <w:rFonts w:hint="eastAsia" w:ascii="宋体" w:hAnsi="宋体"/>
              </w:rPr>
              <w:t>14</w:t>
            </w:r>
          </w:p>
        </w:tc>
        <w:tc>
          <w:tcPr>
            <w:tcW w:w="504" w:type="pct"/>
            <w:vAlign w:val="center"/>
          </w:tcPr>
          <w:p w14:paraId="6BEEAE7C">
            <w:pPr>
              <w:pStyle w:val="12"/>
              <w:jc w:val="center"/>
              <w:rPr>
                <w:rFonts w:ascii="宋体" w:hAnsi="宋体"/>
              </w:rPr>
            </w:pPr>
            <w:r>
              <w:rPr>
                <w:rFonts w:hint="eastAsia" w:ascii="宋体" w:hAnsi="宋体"/>
              </w:rPr>
              <w:t>9255</w:t>
            </w:r>
          </w:p>
        </w:tc>
        <w:tc>
          <w:tcPr>
            <w:tcW w:w="499" w:type="pct"/>
            <w:vAlign w:val="center"/>
          </w:tcPr>
          <w:p w14:paraId="1325F3C1">
            <w:pPr>
              <w:pStyle w:val="12"/>
              <w:jc w:val="center"/>
              <w:rPr>
                <w:rFonts w:ascii="宋体" w:hAnsi="宋体"/>
              </w:rPr>
            </w:pPr>
            <w:r>
              <w:rPr>
                <w:rFonts w:hint="eastAsia" w:ascii="宋体" w:hAnsi="宋体"/>
              </w:rPr>
              <w:t>97.4</w:t>
            </w:r>
          </w:p>
        </w:tc>
      </w:tr>
      <w:tr w14:paraId="41F0F1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9" w:type="pct"/>
            <w:vAlign w:val="center"/>
          </w:tcPr>
          <w:p w14:paraId="4E02C16B">
            <w:pPr>
              <w:pStyle w:val="12"/>
              <w:jc w:val="center"/>
              <w:rPr>
                <w:rFonts w:ascii="宋体" w:hAnsi="宋体"/>
              </w:rPr>
            </w:pPr>
            <w:r>
              <w:rPr>
                <w:rFonts w:hint="eastAsia" w:ascii="宋体" w:hAnsi="宋体"/>
              </w:rPr>
              <w:t>新龙水</w:t>
            </w:r>
          </w:p>
        </w:tc>
        <w:tc>
          <w:tcPr>
            <w:tcW w:w="499" w:type="pct"/>
            <w:vAlign w:val="center"/>
          </w:tcPr>
          <w:p w14:paraId="2B814E30">
            <w:pPr>
              <w:pStyle w:val="12"/>
              <w:jc w:val="center"/>
              <w:rPr>
                <w:rFonts w:ascii="宋体" w:hAnsi="宋体"/>
              </w:rPr>
            </w:pPr>
            <w:r>
              <w:rPr>
                <w:rFonts w:hint="eastAsia" w:ascii="宋体" w:hAnsi="宋体"/>
              </w:rPr>
              <w:t>109</w:t>
            </w:r>
          </w:p>
        </w:tc>
        <w:tc>
          <w:tcPr>
            <w:tcW w:w="499" w:type="pct"/>
            <w:vAlign w:val="center"/>
          </w:tcPr>
          <w:p w14:paraId="1CEBB25D">
            <w:pPr>
              <w:pStyle w:val="12"/>
              <w:jc w:val="center"/>
              <w:rPr>
                <w:rFonts w:ascii="宋体" w:hAnsi="宋体"/>
              </w:rPr>
            </w:pPr>
            <w:r>
              <w:rPr>
                <w:rFonts w:hint="eastAsia" w:ascii="宋体" w:hAnsi="宋体"/>
              </w:rPr>
              <w:t>27</w:t>
            </w:r>
          </w:p>
        </w:tc>
        <w:tc>
          <w:tcPr>
            <w:tcW w:w="500" w:type="pct"/>
            <w:vAlign w:val="center"/>
          </w:tcPr>
          <w:p w14:paraId="01EEBC9B">
            <w:pPr>
              <w:pStyle w:val="12"/>
              <w:jc w:val="center"/>
              <w:rPr>
                <w:rFonts w:ascii="宋体" w:hAnsi="宋体"/>
              </w:rPr>
            </w:pPr>
            <w:r>
              <w:rPr>
                <w:rFonts w:hint="eastAsia" w:ascii="宋体" w:hAnsi="宋体"/>
              </w:rPr>
              <w:t>8.23</w:t>
            </w:r>
          </w:p>
        </w:tc>
        <w:tc>
          <w:tcPr>
            <w:tcW w:w="500" w:type="pct"/>
            <w:vAlign w:val="center"/>
          </w:tcPr>
          <w:p w14:paraId="1E8EDA56">
            <w:pPr>
              <w:pStyle w:val="12"/>
              <w:jc w:val="center"/>
              <w:rPr>
                <w:rFonts w:ascii="宋体" w:hAnsi="宋体"/>
              </w:rPr>
            </w:pPr>
            <w:r>
              <w:rPr>
                <w:rFonts w:hint="eastAsia" w:ascii="宋体" w:hAnsi="宋体"/>
              </w:rPr>
              <w:t>568</w:t>
            </w:r>
          </w:p>
        </w:tc>
        <w:tc>
          <w:tcPr>
            <w:tcW w:w="500" w:type="pct"/>
            <w:vAlign w:val="center"/>
          </w:tcPr>
          <w:p w14:paraId="0254165F">
            <w:pPr>
              <w:pStyle w:val="12"/>
              <w:jc w:val="center"/>
              <w:rPr>
                <w:rFonts w:ascii="宋体" w:hAnsi="宋体"/>
              </w:rPr>
            </w:pPr>
            <w:r>
              <w:rPr>
                <w:rFonts w:hint="eastAsia" w:ascii="宋体" w:hAnsi="宋体"/>
              </w:rPr>
              <w:t>3500</w:t>
            </w:r>
          </w:p>
        </w:tc>
        <w:tc>
          <w:tcPr>
            <w:tcW w:w="500" w:type="pct"/>
            <w:vAlign w:val="center"/>
          </w:tcPr>
          <w:p w14:paraId="25FA5837">
            <w:pPr>
              <w:pStyle w:val="12"/>
              <w:jc w:val="center"/>
              <w:rPr>
                <w:rFonts w:ascii="宋体" w:hAnsi="宋体"/>
              </w:rPr>
            </w:pPr>
            <w:r>
              <w:rPr>
                <w:rFonts w:hint="eastAsia" w:ascii="宋体" w:hAnsi="宋体"/>
              </w:rPr>
              <w:t>6</w:t>
            </w:r>
          </w:p>
        </w:tc>
        <w:tc>
          <w:tcPr>
            <w:tcW w:w="500" w:type="pct"/>
            <w:vAlign w:val="center"/>
          </w:tcPr>
          <w:p w14:paraId="0CAEDDE6">
            <w:pPr>
              <w:pStyle w:val="12"/>
              <w:jc w:val="center"/>
              <w:rPr>
                <w:rFonts w:ascii="宋体" w:hAnsi="宋体"/>
              </w:rPr>
            </w:pPr>
            <w:r>
              <w:rPr>
                <w:rFonts w:hint="eastAsia" w:ascii="宋体" w:hAnsi="宋体"/>
              </w:rPr>
              <w:t>18</w:t>
            </w:r>
          </w:p>
        </w:tc>
        <w:tc>
          <w:tcPr>
            <w:tcW w:w="504" w:type="pct"/>
            <w:vAlign w:val="center"/>
          </w:tcPr>
          <w:p w14:paraId="0D1E2C7D">
            <w:pPr>
              <w:pStyle w:val="12"/>
              <w:jc w:val="center"/>
              <w:rPr>
                <w:rFonts w:ascii="宋体" w:hAnsi="宋体"/>
              </w:rPr>
            </w:pPr>
            <w:r>
              <w:rPr>
                <w:rFonts w:hint="eastAsia" w:ascii="宋体" w:hAnsi="宋体"/>
              </w:rPr>
              <w:t>2860</w:t>
            </w:r>
          </w:p>
        </w:tc>
        <w:tc>
          <w:tcPr>
            <w:tcW w:w="499" w:type="pct"/>
            <w:vAlign w:val="center"/>
          </w:tcPr>
          <w:p w14:paraId="6E2724E9">
            <w:pPr>
              <w:pStyle w:val="12"/>
              <w:jc w:val="center"/>
              <w:rPr>
                <w:rFonts w:ascii="宋体" w:hAnsi="宋体"/>
              </w:rPr>
            </w:pPr>
            <w:r>
              <w:rPr>
                <w:rFonts w:hint="eastAsia" w:ascii="宋体" w:hAnsi="宋体"/>
              </w:rPr>
              <w:t>81.7</w:t>
            </w:r>
          </w:p>
        </w:tc>
      </w:tr>
      <w:tr w14:paraId="421A92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9" w:type="pct"/>
            <w:vAlign w:val="center"/>
          </w:tcPr>
          <w:p w14:paraId="1485D8CA">
            <w:pPr>
              <w:pStyle w:val="12"/>
              <w:jc w:val="center"/>
              <w:rPr>
                <w:rFonts w:ascii="宋体" w:hAnsi="宋体"/>
              </w:rPr>
            </w:pPr>
            <w:r>
              <w:rPr>
                <w:rFonts w:hint="eastAsia" w:ascii="宋体" w:hAnsi="宋体"/>
              </w:rPr>
              <w:t>江头水</w:t>
            </w:r>
          </w:p>
        </w:tc>
        <w:tc>
          <w:tcPr>
            <w:tcW w:w="499" w:type="pct"/>
            <w:vAlign w:val="center"/>
          </w:tcPr>
          <w:p w14:paraId="701AD175">
            <w:pPr>
              <w:pStyle w:val="12"/>
              <w:jc w:val="center"/>
              <w:rPr>
                <w:rFonts w:ascii="宋体" w:hAnsi="宋体"/>
              </w:rPr>
            </w:pPr>
            <w:r>
              <w:rPr>
                <w:rFonts w:hint="eastAsia" w:ascii="宋体" w:hAnsi="宋体"/>
              </w:rPr>
              <w:t>106</w:t>
            </w:r>
          </w:p>
        </w:tc>
        <w:tc>
          <w:tcPr>
            <w:tcW w:w="499" w:type="pct"/>
            <w:vAlign w:val="center"/>
          </w:tcPr>
          <w:p w14:paraId="0B7BC103">
            <w:pPr>
              <w:pStyle w:val="12"/>
              <w:jc w:val="center"/>
              <w:rPr>
                <w:rFonts w:ascii="宋体" w:hAnsi="宋体"/>
              </w:rPr>
            </w:pPr>
            <w:r>
              <w:rPr>
                <w:rFonts w:hint="eastAsia" w:ascii="宋体" w:hAnsi="宋体"/>
              </w:rPr>
              <w:t>18</w:t>
            </w:r>
          </w:p>
        </w:tc>
        <w:tc>
          <w:tcPr>
            <w:tcW w:w="500" w:type="pct"/>
            <w:vAlign w:val="center"/>
          </w:tcPr>
          <w:p w14:paraId="7323CA57">
            <w:pPr>
              <w:pStyle w:val="12"/>
              <w:jc w:val="center"/>
              <w:rPr>
                <w:rFonts w:ascii="宋体" w:hAnsi="宋体"/>
              </w:rPr>
            </w:pPr>
            <w:r>
              <w:rPr>
                <w:rFonts w:hint="eastAsia" w:ascii="宋体" w:hAnsi="宋体"/>
              </w:rPr>
              <w:t>19.2</w:t>
            </w:r>
          </w:p>
        </w:tc>
        <w:tc>
          <w:tcPr>
            <w:tcW w:w="500" w:type="pct"/>
            <w:vAlign w:val="center"/>
          </w:tcPr>
          <w:p w14:paraId="4B7BAAA4">
            <w:pPr>
              <w:pStyle w:val="12"/>
              <w:jc w:val="center"/>
              <w:rPr>
                <w:rFonts w:ascii="宋体" w:hAnsi="宋体"/>
              </w:rPr>
            </w:pPr>
            <w:r>
              <w:rPr>
                <w:rFonts w:hint="eastAsia" w:ascii="宋体" w:hAnsi="宋体"/>
              </w:rPr>
              <w:t>577</w:t>
            </w:r>
          </w:p>
        </w:tc>
        <w:tc>
          <w:tcPr>
            <w:tcW w:w="500" w:type="pct"/>
            <w:vAlign w:val="center"/>
          </w:tcPr>
          <w:p w14:paraId="30FCEECB">
            <w:pPr>
              <w:pStyle w:val="12"/>
              <w:jc w:val="center"/>
              <w:rPr>
                <w:rFonts w:ascii="宋体" w:hAnsi="宋体"/>
              </w:rPr>
            </w:pPr>
            <w:r>
              <w:rPr>
                <w:rFonts w:hint="eastAsia" w:ascii="宋体" w:hAnsi="宋体"/>
              </w:rPr>
              <w:t>4800</w:t>
            </w:r>
          </w:p>
        </w:tc>
        <w:tc>
          <w:tcPr>
            <w:tcW w:w="500" w:type="pct"/>
            <w:vAlign w:val="center"/>
          </w:tcPr>
          <w:p w14:paraId="49E66AD5">
            <w:pPr>
              <w:pStyle w:val="12"/>
              <w:jc w:val="center"/>
              <w:rPr>
                <w:rFonts w:ascii="宋体" w:hAnsi="宋体"/>
              </w:rPr>
            </w:pPr>
            <w:r>
              <w:rPr>
                <w:rFonts w:hint="eastAsia" w:ascii="宋体" w:hAnsi="宋体"/>
              </w:rPr>
              <w:t>13</w:t>
            </w:r>
          </w:p>
        </w:tc>
        <w:tc>
          <w:tcPr>
            <w:tcW w:w="500" w:type="pct"/>
            <w:vAlign w:val="center"/>
          </w:tcPr>
          <w:p w14:paraId="65B88C34">
            <w:pPr>
              <w:pStyle w:val="12"/>
              <w:jc w:val="center"/>
              <w:rPr>
                <w:rFonts w:ascii="宋体" w:hAnsi="宋体"/>
              </w:rPr>
            </w:pPr>
            <w:r>
              <w:rPr>
                <w:rFonts w:hint="eastAsia" w:ascii="宋体" w:hAnsi="宋体"/>
              </w:rPr>
              <w:t>25</w:t>
            </w:r>
          </w:p>
        </w:tc>
        <w:tc>
          <w:tcPr>
            <w:tcW w:w="504" w:type="pct"/>
            <w:vAlign w:val="center"/>
          </w:tcPr>
          <w:p w14:paraId="13821EAE">
            <w:pPr>
              <w:pStyle w:val="12"/>
              <w:jc w:val="center"/>
              <w:rPr>
                <w:rFonts w:ascii="宋体" w:hAnsi="宋体"/>
              </w:rPr>
            </w:pPr>
            <w:r>
              <w:rPr>
                <w:rFonts w:hint="eastAsia" w:ascii="宋体" w:hAnsi="宋体"/>
              </w:rPr>
              <w:t>6095</w:t>
            </w:r>
          </w:p>
        </w:tc>
        <w:tc>
          <w:tcPr>
            <w:tcW w:w="499" w:type="pct"/>
            <w:vAlign w:val="center"/>
          </w:tcPr>
          <w:p w14:paraId="19E0B527">
            <w:pPr>
              <w:pStyle w:val="12"/>
              <w:jc w:val="center"/>
              <w:rPr>
                <w:rFonts w:ascii="宋体" w:hAnsi="宋体"/>
              </w:rPr>
            </w:pPr>
            <w:r>
              <w:rPr>
                <w:rFonts w:hint="eastAsia" w:ascii="宋体" w:hAnsi="宋体"/>
              </w:rPr>
              <w:t>127</w:t>
            </w:r>
          </w:p>
        </w:tc>
      </w:tr>
      <w:tr w14:paraId="30D23F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9" w:type="pct"/>
            <w:vAlign w:val="center"/>
          </w:tcPr>
          <w:p w14:paraId="28FB67A5">
            <w:pPr>
              <w:pStyle w:val="12"/>
              <w:jc w:val="center"/>
              <w:rPr>
                <w:rFonts w:ascii="宋体" w:hAnsi="宋体"/>
              </w:rPr>
            </w:pPr>
            <w:r>
              <w:rPr>
                <w:rFonts w:hint="eastAsia" w:ascii="宋体" w:hAnsi="宋体"/>
              </w:rPr>
              <w:t>大坪水</w:t>
            </w:r>
          </w:p>
        </w:tc>
        <w:tc>
          <w:tcPr>
            <w:tcW w:w="499" w:type="pct"/>
            <w:vAlign w:val="center"/>
          </w:tcPr>
          <w:p w14:paraId="6F96C054">
            <w:pPr>
              <w:pStyle w:val="12"/>
              <w:jc w:val="center"/>
              <w:rPr>
                <w:rFonts w:ascii="宋体" w:hAnsi="宋体"/>
              </w:rPr>
            </w:pPr>
            <w:r>
              <w:rPr>
                <w:rFonts w:hint="eastAsia" w:ascii="宋体" w:hAnsi="宋体"/>
              </w:rPr>
              <w:t>101</w:t>
            </w:r>
          </w:p>
        </w:tc>
        <w:tc>
          <w:tcPr>
            <w:tcW w:w="499" w:type="pct"/>
            <w:vAlign w:val="center"/>
          </w:tcPr>
          <w:p w14:paraId="76CA832D">
            <w:pPr>
              <w:pStyle w:val="12"/>
              <w:jc w:val="center"/>
              <w:rPr>
                <w:rFonts w:ascii="宋体" w:hAnsi="宋体"/>
              </w:rPr>
            </w:pPr>
            <w:r>
              <w:rPr>
                <w:rFonts w:hint="eastAsia" w:ascii="宋体" w:hAnsi="宋体"/>
              </w:rPr>
              <w:t>33</w:t>
            </w:r>
          </w:p>
        </w:tc>
        <w:tc>
          <w:tcPr>
            <w:tcW w:w="500" w:type="pct"/>
            <w:vAlign w:val="center"/>
          </w:tcPr>
          <w:p w14:paraId="78826717">
            <w:pPr>
              <w:pStyle w:val="12"/>
              <w:jc w:val="center"/>
              <w:rPr>
                <w:rFonts w:ascii="宋体" w:hAnsi="宋体"/>
              </w:rPr>
            </w:pPr>
            <w:r>
              <w:rPr>
                <w:rFonts w:hint="eastAsia" w:ascii="宋体" w:hAnsi="宋体"/>
              </w:rPr>
              <w:t>15.7</w:t>
            </w:r>
          </w:p>
        </w:tc>
        <w:tc>
          <w:tcPr>
            <w:tcW w:w="500" w:type="pct"/>
            <w:vAlign w:val="center"/>
          </w:tcPr>
          <w:p w14:paraId="072026E7">
            <w:pPr>
              <w:pStyle w:val="12"/>
              <w:jc w:val="center"/>
              <w:rPr>
                <w:rFonts w:ascii="宋体" w:hAnsi="宋体"/>
              </w:rPr>
            </w:pPr>
            <w:r>
              <w:rPr>
                <w:rFonts w:hint="eastAsia" w:ascii="宋体" w:hAnsi="宋体"/>
              </w:rPr>
              <w:t>1320</w:t>
            </w:r>
          </w:p>
        </w:tc>
        <w:tc>
          <w:tcPr>
            <w:tcW w:w="500" w:type="pct"/>
            <w:vAlign w:val="center"/>
          </w:tcPr>
          <w:p w14:paraId="51DCBD54">
            <w:pPr>
              <w:pStyle w:val="12"/>
              <w:jc w:val="center"/>
              <w:rPr>
                <w:rFonts w:ascii="宋体" w:hAnsi="宋体"/>
              </w:rPr>
            </w:pPr>
            <w:r>
              <w:rPr>
                <w:rFonts w:hint="eastAsia" w:ascii="宋体" w:hAnsi="宋体"/>
              </w:rPr>
              <w:t>10400</w:t>
            </w:r>
          </w:p>
        </w:tc>
        <w:tc>
          <w:tcPr>
            <w:tcW w:w="500" w:type="pct"/>
            <w:vAlign w:val="center"/>
          </w:tcPr>
          <w:p w14:paraId="32770EF1">
            <w:pPr>
              <w:pStyle w:val="12"/>
              <w:jc w:val="center"/>
              <w:rPr>
                <w:rFonts w:ascii="宋体" w:hAnsi="宋体"/>
              </w:rPr>
            </w:pPr>
            <w:r>
              <w:rPr>
                <w:rFonts w:hint="eastAsia" w:ascii="宋体" w:hAnsi="宋体"/>
              </w:rPr>
              <w:t>21</w:t>
            </w:r>
          </w:p>
        </w:tc>
        <w:tc>
          <w:tcPr>
            <w:tcW w:w="500" w:type="pct"/>
            <w:vAlign w:val="center"/>
          </w:tcPr>
          <w:p w14:paraId="71FC9C64">
            <w:pPr>
              <w:pStyle w:val="12"/>
              <w:jc w:val="center"/>
              <w:rPr>
                <w:rFonts w:ascii="宋体" w:hAnsi="宋体"/>
              </w:rPr>
            </w:pPr>
            <w:r>
              <w:rPr>
                <w:rFonts w:hint="eastAsia" w:ascii="宋体" w:hAnsi="宋体"/>
              </w:rPr>
              <w:t>37</w:t>
            </w:r>
          </w:p>
        </w:tc>
        <w:tc>
          <w:tcPr>
            <w:tcW w:w="504" w:type="pct"/>
            <w:vAlign w:val="center"/>
          </w:tcPr>
          <w:p w14:paraId="0BDE03A3">
            <w:pPr>
              <w:pStyle w:val="12"/>
              <w:jc w:val="center"/>
              <w:rPr>
                <w:rFonts w:ascii="宋体" w:hAnsi="宋体"/>
              </w:rPr>
            </w:pPr>
            <w:r>
              <w:rPr>
                <w:rFonts w:hint="eastAsia" w:ascii="宋体" w:hAnsi="宋体"/>
              </w:rPr>
              <w:t>12965</w:t>
            </w:r>
          </w:p>
        </w:tc>
        <w:tc>
          <w:tcPr>
            <w:tcW w:w="499" w:type="pct"/>
            <w:vAlign w:val="center"/>
          </w:tcPr>
          <w:p w14:paraId="4A135B3F">
            <w:pPr>
              <w:pStyle w:val="12"/>
              <w:jc w:val="center"/>
              <w:rPr>
                <w:rFonts w:ascii="宋体" w:hAnsi="宋体"/>
              </w:rPr>
            </w:pPr>
            <w:r>
              <w:rPr>
                <w:rFonts w:hint="eastAsia" w:ascii="宋体" w:hAnsi="宋体"/>
              </w:rPr>
              <w:t>125</w:t>
            </w:r>
          </w:p>
        </w:tc>
      </w:tr>
      <w:tr w14:paraId="7055F4C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9" w:type="pct"/>
            <w:vAlign w:val="center"/>
          </w:tcPr>
          <w:p w14:paraId="77DEE755">
            <w:pPr>
              <w:pStyle w:val="12"/>
              <w:jc w:val="center"/>
              <w:rPr>
                <w:rFonts w:ascii="宋体" w:hAnsi="宋体"/>
              </w:rPr>
            </w:pPr>
            <w:r>
              <w:rPr>
                <w:rFonts w:hint="eastAsia" w:ascii="宋体" w:hAnsi="宋体"/>
              </w:rPr>
              <w:t>百顺水</w:t>
            </w:r>
          </w:p>
        </w:tc>
        <w:tc>
          <w:tcPr>
            <w:tcW w:w="499" w:type="pct"/>
            <w:vAlign w:val="center"/>
          </w:tcPr>
          <w:p w14:paraId="29ADD92A">
            <w:pPr>
              <w:pStyle w:val="12"/>
              <w:jc w:val="center"/>
              <w:rPr>
                <w:rFonts w:ascii="宋体" w:hAnsi="宋体"/>
              </w:rPr>
            </w:pPr>
            <w:r>
              <w:rPr>
                <w:rFonts w:hint="eastAsia" w:ascii="宋体" w:hAnsi="宋体"/>
              </w:rPr>
              <w:t>69.5</w:t>
            </w:r>
          </w:p>
        </w:tc>
        <w:tc>
          <w:tcPr>
            <w:tcW w:w="499" w:type="pct"/>
            <w:vAlign w:val="center"/>
          </w:tcPr>
          <w:p w14:paraId="7FC11CAE">
            <w:pPr>
              <w:pStyle w:val="12"/>
              <w:jc w:val="center"/>
              <w:rPr>
                <w:rFonts w:ascii="宋体" w:hAnsi="宋体"/>
              </w:rPr>
            </w:pPr>
            <w:r>
              <w:rPr>
                <w:rFonts w:hint="eastAsia" w:ascii="宋体" w:hAnsi="宋体"/>
              </w:rPr>
              <w:t>17.8</w:t>
            </w:r>
          </w:p>
        </w:tc>
        <w:tc>
          <w:tcPr>
            <w:tcW w:w="500" w:type="pct"/>
            <w:vAlign w:val="center"/>
          </w:tcPr>
          <w:p w14:paraId="1C0AB3E7">
            <w:pPr>
              <w:pStyle w:val="12"/>
              <w:jc w:val="center"/>
              <w:rPr>
                <w:rFonts w:ascii="宋体" w:hAnsi="宋体"/>
              </w:rPr>
            </w:pPr>
            <w:r>
              <w:rPr>
                <w:rFonts w:hint="eastAsia" w:ascii="宋体" w:hAnsi="宋体"/>
              </w:rPr>
              <w:t>19.3</w:t>
            </w:r>
          </w:p>
        </w:tc>
        <w:tc>
          <w:tcPr>
            <w:tcW w:w="500" w:type="pct"/>
            <w:vAlign w:val="center"/>
          </w:tcPr>
          <w:p w14:paraId="08068B8D">
            <w:pPr>
              <w:pStyle w:val="12"/>
              <w:jc w:val="center"/>
              <w:rPr>
                <w:rFonts w:ascii="宋体" w:hAnsi="宋体"/>
              </w:rPr>
            </w:pPr>
            <w:r>
              <w:rPr>
                <w:rFonts w:hint="eastAsia" w:ascii="宋体" w:hAnsi="宋体"/>
              </w:rPr>
              <w:t>720</w:t>
            </w:r>
          </w:p>
        </w:tc>
        <w:tc>
          <w:tcPr>
            <w:tcW w:w="500" w:type="pct"/>
            <w:vAlign w:val="center"/>
          </w:tcPr>
          <w:p w14:paraId="1B82C6E7">
            <w:pPr>
              <w:pStyle w:val="12"/>
              <w:jc w:val="center"/>
              <w:rPr>
                <w:rFonts w:ascii="宋体" w:hAnsi="宋体"/>
              </w:rPr>
            </w:pPr>
            <w:r>
              <w:rPr>
                <w:rFonts w:hint="eastAsia" w:ascii="宋体" w:hAnsi="宋体"/>
              </w:rPr>
              <w:t>6600</w:t>
            </w:r>
          </w:p>
        </w:tc>
        <w:tc>
          <w:tcPr>
            <w:tcW w:w="500" w:type="pct"/>
            <w:vAlign w:val="center"/>
          </w:tcPr>
          <w:p w14:paraId="59D688CB">
            <w:pPr>
              <w:pStyle w:val="12"/>
              <w:jc w:val="center"/>
              <w:rPr>
                <w:rFonts w:ascii="宋体" w:hAnsi="宋体"/>
              </w:rPr>
            </w:pPr>
            <w:r>
              <w:rPr>
                <w:rFonts w:hint="eastAsia" w:ascii="宋体" w:hAnsi="宋体"/>
              </w:rPr>
              <w:t>19</w:t>
            </w:r>
          </w:p>
        </w:tc>
        <w:tc>
          <w:tcPr>
            <w:tcW w:w="500" w:type="pct"/>
            <w:vAlign w:val="center"/>
          </w:tcPr>
          <w:p w14:paraId="2A61B340">
            <w:pPr>
              <w:pStyle w:val="12"/>
              <w:jc w:val="center"/>
              <w:rPr>
                <w:rFonts w:ascii="宋体" w:hAnsi="宋体"/>
              </w:rPr>
            </w:pPr>
            <w:r>
              <w:rPr>
                <w:rFonts w:hint="eastAsia" w:ascii="宋体" w:hAnsi="宋体"/>
              </w:rPr>
              <w:t>37</w:t>
            </w:r>
          </w:p>
        </w:tc>
        <w:tc>
          <w:tcPr>
            <w:tcW w:w="504" w:type="pct"/>
            <w:vAlign w:val="center"/>
          </w:tcPr>
          <w:p w14:paraId="242196CE">
            <w:pPr>
              <w:pStyle w:val="12"/>
              <w:jc w:val="center"/>
              <w:rPr>
                <w:rFonts w:ascii="宋体" w:hAnsi="宋体"/>
              </w:rPr>
            </w:pPr>
            <w:r>
              <w:rPr>
                <w:rFonts w:hint="eastAsia" w:ascii="宋体" w:hAnsi="宋体"/>
              </w:rPr>
              <w:t>6895</w:t>
            </w:r>
          </w:p>
        </w:tc>
        <w:tc>
          <w:tcPr>
            <w:tcW w:w="499" w:type="pct"/>
            <w:vAlign w:val="center"/>
          </w:tcPr>
          <w:p w14:paraId="1C6C0744">
            <w:pPr>
              <w:pStyle w:val="12"/>
              <w:jc w:val="center"/>
              <w:rPr>
                <w:rFonts w:ascii="宋体" w:hAnsi="宋体"/>
              </w:rPr>
            </w:pPr>
            <w:r>
              <w:rPr>
                <w:rFonts w:hint="eastAsia" w:ascii="宋体" w:hAnsi="宋体"/>
              </w:rPr>
              <w:t>104</w:t>
            </w:r>
          </w:p>
        </w:tc>
      </w:tr>
      <w:tr w14:paraId="1D2A7D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9" w:type="pct"/>
            <w:vAlign w:val="center"/>
          </w:tcPr>
          <w:p w14:paraId="7B68AB9E">
            <w:pPr>
              <w:pStyle w:val="12"/>
              <w:jc w:val="center"/>
              <w:rPr>
                <w:rFonts w:ascii="宋体" w:hAnsi="宋体"/>
              </w:rPr>
            </w:pPr>
            <w:r>
              <w:rPr>
                <w:rFonts w:hint="eastAsia" w:ascii="宋体" w:hAnsi="宋体"/>
              </w:rPr>
              <w:t>扶溪水</w:t>
            </w:r>
          </w:p>
        </w:tc>
        <w:tc>
          <w:tcPr>
            <w:tcW w:w="499" w:type="pct"/>
            <w:vAlign w:val="center"/>
          </w:tcPr>
          <w:p w14:paraId="3300B17E">
            <w:pPr>
              <w:pStyle w:val="12"/>
              <w:jc w:val="center"/>
              <w:rPr>
                <w:rFonts w:ascii="宋体" w:hAnsi="宋体"/>
              </w:rPr>
            </w:pPr>
            <w:r>
              <w:rPr>
                <w:rFonts w:hint="eastAsia" w:ascii="宋体" w:hAnsi="宋体"/>
              </w:rPr>
              <w:t>16</w:t>
            </w:r>
          </w:p>
        </w:tc>
        <w:tc>
          <w:tcPr>
            <w:tcW w:w="499" w:type="pct"/>
            <w:vAlign w:val="center"/>
          </w:tcPr>
          <w:p w14:paraId="5286FADA">
            <w:pPr>
              <w:pStyle w:val="12"/>
              <w:jc w:val="center"/>
              <w:rPr>
                <w:rFonts w:ascii="宋体" w:hAnsi="宋体"/>
              </w:rPr>
            </w:pPr>
            <w:r>
              <w:rPr>
                <w:rFonts w:hint="eastAsia" w:ascii="宋体" w:hAnsi="宋体"/>
              </w:rPr>
              <w:t>8.78</w:t>
            </w:r>
          </w:p>
        </w:tc>
        <w:tc>
          <w:tcPr>
            <w:tcW w:w="500" w:type="pct"/>
            <w:vAlign w:val="center"/>
          </w:tcPr>
          <w:p w14:paraId="56BAB0B6">
            <w:pPr>
              <w:pStyle w:val="12"/>
              <w:jc w:val="center"/>
              <w:rPr>
                <w:rFonts w:ascii="宋体" w:hAnsi="宋体"/>
              </w:rPr>
            </w:pPr>
            <w:r>
              <w:rPr>
                <w:rFonts w:hint="eastAsia" w:ascii="宋体" w:hAnsi="宋体"/>
              </w:rPr>
              <w:t>59.6</w:t>
            </w:r>
          </w:p>
        </w:tc>
        <w:tc>
          <w:tcPr>
            <w:tcW w:w="500" w:type="pct"/>
            <w:vAlign w:val="center"/>
          </w:tcPr>
          <w:p w14:paraId="1147D98D">
            <w:pPr>
              <w:pStyle w:val="12"/>
              <w:jc w:val="center"/>
              <w:rPr>
                <w:rFonts w:ascii="宋体" w:hAnsi="宋体"/>
              </w:rPr>
            </w:pPr>
            <w:r>
              <w:rPr>
                <w:rFonts w:hint="eastAsia" w:ascii="宋体" w:hAnsi="宋体"/>
              </w:rPr>
              <w:t>522</w:t>
            </w:r>
          </w:p>
        </w:tc>
        <w:tc>
          <w:tcPr>
            <w:tcW w:w="500" w:type="pct"/>
            <w:vAlign w:val="center"/>
          </w:tcPr>
          <w:p w14:paraId="5AA9BA47">
            <w:pPr>
              <w:pStyle w:val="12"/>
              <w:jc w:val="center"/>
              <w:rPr>
                <w:rFonts w:ascii="宋体" w:hAnsi="宋体"/>
              </w:rPr>
            </w:pPr>
            <w:r>
              <w:rPr>
                <w:rFonts w:hint="eastAsia" w:ascii="宋体" w:hAnsi="宋体"/>
              </w:rPr>
              <w:t>1100</w:t>
            </w:r>
          </w:p>
        </w:tc>
        <w:tc>
          <w:tcPr>
            <w:tcW w:w="500" w:type="pct"/>
            <w:vAlign w:val="center"/>
          </w:tcPr>
          <w:p w14:paraId="22D46EB6">
            <w:pPr>
              <w:pStyle w:val="12"/>
              <w:jc w:val="center"/>
              <w:rPr>
                <w:rFonts w:ascii="宋体" w:hAnsi="宋体"/>
              </w:rPr>
            </w:pPr>
            <w:r>
              <w:rPr>
                <w:rFonts w:hint="eastAsia" w:ascii="宋体" w:hAnsi="宋体"/>
              </w:rPr>
              <w:t>—</w:t>
            </w:r>
          </w:p>
        </w:tc>
        <w:tc>
          <w:tcPr>
            <w:tcW w:w="500" w:type="pct"/>
            <w:vAlign w:val="center"/>
          </w:tcPr>
          <w:p w14:paraId="7597B408">
            <w:pPr>
              <w:pStyle w:val="12"/>
              <w:jc w:val="center"/>
              <w:rPr>
                <w:rFonts w:ascii="宋体" w:hAnsi="宋体"/>
              </w:rPr>
            </w:pPr>
            <w:r>
              <w:rPr>
                <w:rFonts w:hint="eastAsia" w:ascii="宋体" w:hAnsi="宋体"/>
              </w:rPr>
              <w:t>—</w:t>
            </w:r>
          </w:p>
        </w:tc>
        <w:tc>
          <w:tcPr>
            <w:tcW w:w="504" w:type="pct"/>
            <w:vAlign w:val="center"/>
          </w:tcPr>
          <w:p w14:paraId="4736C571">
            <w:pPr>
              <w:pStyle w:val="12"/>
              <w:jc w:val="center"/>
              <w:rPr>
                <w:rFonts w:ascii="宋体" w:hAnsi="宋体"/>
              </w:rPr>
            </w:pPr>
            <w:r>
              <w:rPr>
                <w:rFonts w:hint="eastAsia" w:ascii="宋体" w:hAnsi="宋体"/>
              </w:rPr>
              <w:t>—</w:t>
            </w:r>
          </w:p>
        </w:tc>
        <w:tc>
          <w:tcPr>
            <w:tcW w:w="499" w:type="pct"/>
            <w:vAlign w:val="center"/>
          </w:tcPr>
          <w:p w14:paraId="7BD25421">
            <w:pPr>
              <w:pStyle w:val="12"/>
              <w:jc w:val="center"/>
              <w:rPr>
                <w:rFonts w:ascii="宋体" w:hAnsi="宋体"/>
              </w:rPr>
            </w:pPr>
            <w:r>
              <w:rPr>
                <w:rFonts w:hint="eastAsia" w:ascii="宋体" w:hAnsi="宋体"/>
              </w:rPr>
              <w:t>—</w:t>
            </w:r>
          </w:p>
        </w:tc>
      </w:tr>
      <w:tr w14:paraId="1FCF11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9" w:type="pct"/>
            <w:vAlign w:val="center"/>
          </w:tcPr>
          <w:p w14:paraId="38913B80">
            <w:pPr>
              <w:pStyle w:val="12"/>
              <w:jc w:val="center"/>
              <w:rPr>
                <w:rFonts w:ascii="宋体" w:hAnsi="宋体"/>
              </w:rPr>
            </w:pPr>
            <w:r>
              <w:rPr>
                <w:rFonts w:hint="eastAsia" w:ascii="宋体" w:hAnsi="宋体"/>
              </w:rPr>
              <w:t>大源水</w:t>
            </w:r>
          </w:p>
        </w:tc>
        <w:tc>
          <w:tcPr>
            <w:tcW w:w="499" w:type="pct"/>
            <w:vAlign w:val="center"/>
          </w:tcPr>
          <w:p w14:paraId="2CB225CD">
            <w:pPr>
              <w:pStyle w:val="12"/>
              <w:jc w:val="center"/>
              <w:rPr>
                <w:rFonts w:ascii="宋体" w:hAnsi="宋体"/>
              </w:rPr>
            </w:pPr>
            <w:r>
              <w:rPr>
                <w:rFonts w:hint="eastAsia" w:ascii="宋体" w:hAnsi="宋体"/>
              </w:rPr>
              <w:t>96.7</w:t>
            </w:r>
          </w:p>
        </w:tc>
        <w:tc>
          <w:tcPr>
            <w:tcW w:w="499" w:type="pct"/>
            <w:vAlign w:val="center"/>
          </w:tcPr>
          <w:p w14:paraId="3F266662">
            <w:pPr>
              <w:pStyle w:val="12"/>
              <w:jc w:val="center"/>
              <w:rPr>
                <w:rFonts w:ascii="宋体" w:hAnsi="宋体"/>
              </w:rPr>
            </w:pPr>
            <w:r>
              <w:rPr>
                <w:rFonts w:hint="eastAsia" w:ascii="宋体" w:hAnsi="宋体"/>
              </w:rPr>
              <w:t>24.1</w:t>
            </w:r>
          </w:p>
        </w:tc>
        <w:tc>
          <w:tcPr>
            <w:tcW w:w="500" w:type="pct"/>
            <w:vAlign w:val="center"/>
          </w:tcPr>
          <w:p w14:paraId="37B82CCE">
            <w:pPr>
              <w:pStyle w:val="12"/>
              <w:jc w:val="center"/>
              <w:rPr>
                <w:rFonts w:ascii="宋体" w:hAnsi="宋体"/>
              </w:rPr>
            </w:pPr>
            <w:r>
              <w:rPr>
                <w:rFonts w:hint="eastAsia" w:ascii="宋体" w:hAnsi="宋体"/>
              </w:rPr>
              <w:t>9.96</w:t>
            </w:r>
          </w:p>
        </w:tc>
        <w:tc>
          <w:tcPr>
            <w:tcW w:w="500" w:type="pct"/>
            <w:vAlign w:val="center"/>
          </w:tcPr>
          <w:p w14:paraId="676171AA">
            <w:pPr>
              <w:pStyle w:val="12"/>
              <w:jc w:val="center"/>
              <w:rPr>
                <w:rFonts w:ascii="宋体" w:hAnsi="宋体"/>
              </w:rPr>
            </w:pPr>
            <w:r>
              <w:rPr>
                <w:rFonts w:hint="eastAsia" w:ascii="宋体" w:hAnsi="宋体"/>
              </w:rPr>
              <w:t>—</w:t>
            </w:r>
          </w:p>
        </w:tc>
        <w:tc>
          <w:tcPr>
            <w:tcW w:w="500" w:type="pct"/>
            <w:vAlign w:val="center"/>
          </w:tcPr>
          <w:p w14:paraId="242B73A8">
            <w:pPr>
              <w:pStyle w:val="12"/>
              <w:jc w:val="center"/>
              <w:rPr>
                <w:rFonts w:ascii="宋体" w:hAnsi="宋体"/>
              </w:rPr>
            </w:pPr>
            <w:r>
              <w:rPr>
                <w:rFonts w:hint="eastAsia" w:ascii="宋体" w:hAnsi="宋体"/>
              </w:rPr>
              <w:t>—</w:t>
            </w:r>
          </w:p>
        </w:tc>
        <w:tc>
          <w:tcPr>
            <w:tcW w:w="500" w:type="pct"/>
            <w:vAlign w:val="center"/>
          </w:tcPr>
          <w:p w14:paraId="74B8B4F0">
            <w:pPr>
              <w:pStyle w:val="12"/>
              <w:jc w:val="center"/>
              <w:rPr>
                <w:rFonts w:ascii="宋体" w:hAnsi="宋体"/>
              </w:rPr>
            </w:pPr>
            <w:r>
              <w:rPr>
                <w:rFonts w:hint="eastAsia" w:ascii="宋体" w:hAnsi="宋体"/>
              </w:rPr>
              <w:t>7</w:t>
            </w:r>
          </w:p>
        </w:tc>
        <w:tc>
          <w:tcPr>
            <w:tcW w:w="500" w:type="pct"/>
            <w:vAlign w:val="center"/>
          </w:tcPr>
          <w:p w14:paraId="15D1C488">
            <w:pPr>
              <w:pStyle w:val="12"/>
              <w:jc w:val="center"/>
              <w:rPr>
                <w:rFonts w:ascii="宋体" w:hAnsi="宋体"/>
              </w:rPr>
            </w:pPr>
            <w:r>
              <w:rPr>
                <w:rFonts w:hint="eastAsia" w:ascii="宋体" w:hAnsi="宋体"/>
              </w:rPr>
              <w:t>9</w:t>
            </w:r>
          </w:p>
        </w:tc>
        <w:tc>
          <w:tcPr>
            <w:tcW w:w="504" w:type="pct"/>
            <w:vAlign w:val="center"/>
          </w:tcPr>
          <w:p w14:paraId="36D07BFC">
            <w:pPr>
              <w:pStyle w:val="12"/>
              <w:jc w:val="center"/>
              <w:rPr>
                <w:rFonts w:ascii="宋体" w:hAnsi="宋体"/>
              </w:rPr>
            </w:pPr>
            <w:r>
              <w:rPr>
                <w:rFonts w:hint="eastAsia" w:ascii="宋体" w:hAnsi="宋体"/>
              </w:rPr>
              <w:t>1835</w:t>
            </w:r>
          </w:p>
        </w:tc>
        <w:tc>
          <w:tcPr>
            <w:tcW w:w="499" w:type="pct"/>
            <w:vAlign w:val="center"/>
          </w:tcPr>
          <w:p w14:paraId="20FBFFEB">
            <w:pPr>
              <w:pStyle w:val="12"/>
              <w:jc w:val="center"/>
              <w:rPr>
                <w:rFonts w:ascii="宋体" w:hAnsi="宋体"/>
              </w:rPr>
            </w:pPr>
            <w:r>
              <w:rPr>
                <w:rFonts w:hint="eastAsia" w:ascii="宋体" w:hAnsi="宋体"/>
              </w:rPr>
              <w:t>—</w:t>
            </w:r>
          </w:p>
        </w:tc>
      </w:tr>
      <w:tr w14:paraId="3800EB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9" w:type="pct"/>
            <w:vAlign w:val="center"/>
          </w:tcPr>
          <w:p w14:paraId="18AC6C59">
            <w:pPr>
              <w:pStyle w:val="12"/>
              <w:jc w:val="center"/>
              <w:rPr>
                <w:rFonts w:ascii="宋体" w:hAnsi="宋体"/>
              </w:rPr>
            </w:pPr>
            <w:r>
              <w:rPr>
                <w:rFonts w:hint="eastAsia" w:ascii="宋体" w:hAnsi="宋体"/>
              </w:rPr>
              <w:t>下洞水</w:t>
            </w:r>
          </w:p>
        </w:tc>
        <w:tc>
          <w:tcPr>
            <w:tcW w:w="499" w:type="pct"/>
            <w:vAlign w:val="center"/>
          </w:tcPr>
          <w:p w14:paraId="4265344E">
            <w:pPr>
              <w:pStyle w:val="12"/>
              <w:jc w:val="center"/>
              <w:rPr>
                <w:rFonts w:ascii="宋体" w:hAnsi="宋体"/>
              </w:rPr>
            </w:pPr>
            <w:r>
              <w:rPr>
                <w:rFonts w:hint="eastAsia" w:ascii="宋体" w:hAnsi="宋体"/>
              </w:rPr>
              <w:t>80.8</w:t>
            </w:r>
          </w:p>
        </w:tc>
        <w:tc>
          <w:tcPr>
            <w:tcW w:w="499" w:type="pct"/>
            <w:vAlign w:val="center"/>
          </w:tcPr>
          <w:p w14:paraId="06B9A401">
            <w:pPr>
              <w:pStyle w:val="12"/>
              <w:jc w:val="center"/>
              <w:rPr>
                <w:rFonts w:ascii="宋体" w:hAnsi="宋体"/>
              </w:rPr>
            </w:pPr>
            <w:r>
              <w:rPr>
                <w:rFonts w:hint="eastAsia" w:ascii="宋体" w:hAnsi="宋体"/>
              </w:rPr>
              <w:t>34</w:t>
            </w:r>
          </w:p>
        </w:tc>
        <w:tc>
          <w:tcPr>
            <w:tcW w:w="500" w:type="pct"/>
            <w:vAlign w:val="center"/>
          </w:tcPr>
          <w:p w14:paraId="242BD62E">
            <w:pPr>
              <w:pStyle w:val="12"/>
              <w:jc w:val="center"/>
              <w:rPr>
                <w:rFonts w:ascii="宋体" w:hAnsi="宋体"/>
              </w:rPr>
            </w:pPr>
            <w:r>
              <w:rPr>
                <w:rFonts w:hint="eastAsia" w:ascii="宋体" w:hAnsi="宋体"/>
              </w:rPr>
              <w:t>6.29</w:t>
            </w:r>
          </w:p>
        </w:tc>
        <w:tc>
          <w:tcPr>
            <w:tcW w:w="500" w:type="pct"/>
            <w:vAlign w:val="center"/>
          </w:tcPr>
          <w:p w14:paraId="64CA23C3">
            <w:pPr>
              <w:pStyle w:val="12"/>
              <w:jc w:val="center"/>
              <w:rPr>
                <w:rFonts w:ascii="宋体" w:hAnsi="宋体"/>
              </w:rPr>
            </w:pPr>
            <w:r>
              <w:rPr>
                <w:rFonts w:hint="eastAsia" w:ascii="宋体" w:hAnsi="宋体"/>
              </w:rPr>
              <w:t>—</w:t>
            </w:r>
          </w:p>
        </w:tc>
        <w:tc>
          <w:tcPr>
            <w:tcW w:w="500" w:type="pct"/>
            <w:vAlign w:val="center"/>
          </w:tcPr>
          <w:p w14:paraId="7491EA40">
            <w:pPr>
              <w:pStyle w:val="12"/>
              <w:jc w:val="center"/>
              <w:rPr>
                <w:rFonts w:ascii="宋体" w:hAnsi="宋体"/>
              </w:rPr>
            </w:pPr>
            <w:r>
              <w:rPr>
                <w:rFonts w:hint="eastAsia" w:ascii="宋体" w:hAnsi="宋体"/>
              </w:rPr>
              <w:t>—</w:t>
            </w:r>
          </w:p>
        </w:tc>
        <w:tc>
          <w:tcPr>
            <w:tcW w:w="500" w:type="pct"/>
            <w:vAlign w:val="center"/>
          </w:tcPr>
          <w:p w14:paraId="5FF01E7A">
            <w:pPr>
              <w:pStyle w:val="12"/>
              <w:jc w:val="center"/>
              <w:rPr>
                <w:rFonts w:ascii="宋体" w:hAnsi="宋体"/>
              </w:rPr>
            </w:pPr>
            <w:r>
              <w:rPr>
                <w:rFonts w:hint="eastAsia" w:ascii="宋体" w:hAnsi="宋体"/>
              </w:rPr>
              <w:t>1</w:t>
            </w:r>
          </w:p>
        </w:tc>
        <w:tc>
          <w:tcPr>
            <w:tcW w:w="500" w:type="pct"/>
            <w:vAlign w:val="center"/>
          </w:tcPr>
          <w:p w14:paraId="2F15BC98">
            <w:pPr>
              <w:pStyle w:val="12"/>
              <w:jc w:val="center"/>
              <w:rPr>
                <w:rFonts w:ascii="宋体" w:hAnsi="宋体"/>
              </w:rPr>
            </w:pPr>
            <w:r>
              <w:rPr>
                <w:rFonts w:hint="eastAsia" w:ascii="宋体" w:hAnsi="宋体"/>
              </w:rPr>
              <w:t>2</w:t>
            </w:r>
          </w:p>
        </w:tc>
        <w:tc>
          <w:tcPr>
            <w:tcW w:w="504" w:type="pct"/>
            <w:vAlign w:val="center"/>
          </w:tcPr>
          <w:p w14:paraId="265B26FB">
            <w:pPr>
              <w:pStyle w:val="12"/>
              <w:jc w:val="center"/>
              <w:rPr>
                <w:rFonts w:ascii="宋体" w:hAnsi="宋体"/>
              </w:rPr>
            </w:pPr>
            <w:r>
              <w:rPr>
                <w:rFonts w:hint="eastAsia" w:ascii="宋体" w:hAnsi="宋体"/>
              </w:rPr>
              <w:t>525</w:t>
            </w:r>
          </w:p>
        </w:tc>
        <w:tc>
          <w:tcPr>
            <w:tcW w:w="499" w:type="pct"/>
            <w:vAlign w:val="center"/>
          </w:tcPr>
          <w:p w14:paraId="3D7565ED">
            <w:pPr>
              <w:pStyle w:val="12"/>
              <w:jc w:val="center"/>
              <w:rPr>
                <w:rFonts w:ascii="宋体" w:hAnsi="宋体"/>
              </w:rPr>
            </w:pPr>
          </w:p>
        </w:tc>
      </w:tr>
      <w:tr w14:paraId="25E841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9" w:type="pct"/>
            <w:vAlign w:val="center"/>
          </w:tcPr>
          <w:p w14:paraId="3D7122AB">
            <w:pPr>
              <w:pStyle w:val="12"/>
              <w:jc w:val="center"/>
              <w:rPr>
                <w:rFonts w:ascii="宋体" w:hAnsi="宋体"/>
              </w:rPr>
            </w:pPr>
            <w:r>
              <w:rPr>
                <w:rFonts w:hint="eastAsia" w:ascii="宋体" w:hAnsi="宋体"/>
              </w:rPr>
              <w:t>邓坊水</w:t>
            </w:r>
          </w:p>
        </w:tc>
        <w:tc>
          <w:tcPr>
            <w:tcW w:w="499" w:type="pct"/>
            <w:vAlign w:val="center"/>
          </w:tcPr>
          <w:p w14:paraId="1D3977CB">
            <w:pPr>
              <w:pStyle w:val="12"/>
              <w:jc w:val="center"/>
              <w:rPr>
                <w:rFonts w:ascii="宋体" w:hAnsi="宋体"/>
              </w:rPr>
            </w:pPr>
            <w:r>
              <w:rPr>
                <w:rFonts w:hint="eastAsia" w:ascii="宋体" w:hAnsi="宋体"/>
              </w:rPr>
              <w:t>80.5</w:t>
            </w:r>
          </w:p>
        </w:tc>
        <w:tc>
          <w:tcPr>
            <w:tcW w:w="499" w:type="pct"/>
            <w:vAlign w:val="center"/>
          </w:tcPr>
          <w:p w14:paraId="00BBD30D">
            <w:pPr>
              <w:pStyle w:val="12"/>
              <w:jc w:val="center"/>
              <w:rPr>
                <w:rFonts w:ascii="宋体" w:hAnsi="宋体"/>
              </w:rPr>
            </w:pPr>
            <w:r>
              <w:rPr>
                <w:rFonts w:hint="eastAsia" w:ascii="宋体" w:hAnsi="宋体"/>
              </w:rPr>
              <w:t>28.5</w:t>
            </w:r>
          </w:p>
        </w:tc>
        <w:tc>
          <w:tcPr>
            <w:tcW w:w="500" w:type="pct"/>
            <w:vAlign w:val="center"/>
          </w:tcPr>
          <w:p w14:paraId="6237D510">
            <w:pPr>
              <w:pStyle w:val="12"/>
              <w:jc w:val="center"/>
              <w:rPr>
                <w:rFonts w:ascii="宋体" w:hAnsi="宋体"/>
              </w:rPr>
            </w:pPr>
            <w:r>
              <w:rPr>
                <w:rFonts w:hint="eastAsia" w:ascii="宋体" w:hAnsi="宋体"/>
              </w:rPr>
              <w:t>6.08</w:t>
            </w:r>
          </w:p>
        </w:tc>
        <w:tc>
          <w:tcPr>
            <w:tcW w:w="500" w:type="pct"/>
            <w:vAlign w:val="center"/>
          </w:tcPr>
          <w:p w14:paraId="001F8DB6">
            <w:pPr>
              <w:pStyle w:val="12"/>
              <w:jc w:val="center"/>
              <w:rPr>
                <w:rFonts w:ascii="宋体" w:hAnsi="宋体"/>
              </w:rPr>
            </w:pPr>
            <w:r>
              <w:rPr>
                <w:rFonts w:hint="eastAsia" w:ascii="宋体" w:hAnsi="宋体"/>
              </w:rPr>
              <w:t>—</w:t>
            </w:r>
          </w:p>
        </w:tc>
        <w:tc>
          <w:tcPr>
            <w:tcW w:w="500" w:type="pct"/>
            <w:vAlign w:val="center"/>
          </w:tcPr>
          <w:p w14:paraId="2BA69224">
            <w:pPr>
              <w:pStyle w:val="12"/>
              <w:jc w:val="center"/>
              <w:rPr>
                <w:rFonts w:ascii="宋体" w:hAnsi="宋体"/>
              </w:rPr>
            </w:pPr>
            <w:r>
              <w:rPr>
                <w:rFonts w:hint="eastAsia" w:ascii="宋体" w:hAnsi="宋体"/>
              </w:rPr>
              <w:t>—</w:t>
            </w:r>
          </w:p>
        </w:tc>
        <w:tc>
          <w:tcPr>
            <w:tcW w:w="500" w:type="pct"/>
            <w:vAlign w:val="center"/>
          </w:tcPr>
          <w:p w14:paraId="65D6F13A">
            <w:pPr>
              <w:pStyle w:val="12"/>
              <w:jc w:val="center"/>
              <w:rPr>
                <w:rFonts w:ascii="宋体" w:hAnsi="宋体"/>
              </w:rPr>
            </w:pPr>
            <w:r>
              <w:rPr>
                <w:rFonts w:hint="eastAsia" w:ascii="宋体" w:hAnsi="宋体"/>
              </w:rPr>
              <w:t>6</w:t>
            </w:r>
          </w:p>
        </w:tc>
        <w:tc>
          <w:tcPr>
            <w:tcW w:w="500" w:type="pct"/>
            <w:vAlign w:val="center"/>
          </w:tcPr>
          <w:p w14:paraId="28A5D69A">
            <w:pPr>
              <w:pStyle w:val="12"/>
              <w:jc w:val="center"/>
              <w:rPr>
                <w:rFonts w:ascii="宋体" w:hAnsi="宋体"/>
              </w:rPr>
            </w:pPr>
            <w:r>
              <w:rPr>
                <w:rFonts w:hint="eastAsia" w:ascii="宋体" w:hAnsi="宋体"/>
              </w:rPr>
              <w:t>9</w:t>
            </w:r>
          </w:p>
        </w:tc>
        <w:tc>
          <w:tcPr>
            <w:tcW w:w="504" w:type="pct"/>
            <w:vAlign w:val="center"/>
          </w:tcPr>
          <w:p w14:paraId="6BB2E0DB">
            <w:pPr>
              <w:pStyle w:val="12"/>
              <w:jc w:val="center"/>
              <w:rPr>
                <w:rFonts w:ascii="宋体" w:hAnsi="宋体"/>
              </w:rPr>
            </w:pPr>
            <w:r>
              <w:rPr>
                <w:rFonts w:hint="eastAsia" w:ascii="宋体" w:hAnsi="宋体"/>
              </w:rPr>
              <w:t>970</w:t>
            </w:r>
          </w:p>
        </w:tc>
        <w:tc>
          <w:tcPr>
            <w:tcW w:w="499" w:type="pct"/>
            <w:vAlign w:val="center"/>
          </w:tcPr>
          <w:p w14:paraId="3AFD0779">
            <w:pPr>
              <w:pStyle w:val="12"/>
              <w:jc w:val="center"/>
              <w:rPr>
                <w:rFonts w:ascii="宋体" w:hAnsi="宋体"/>
              </w:rPr>
            </w:pPr>
            <w:r>
              <w:rPr>
                <w:rFonts w:hint="eastAsia" w:ascii="宋体" w:hAnsi="宋体"/>
              </w:rPr>
              <w:t>—</w:t>
            </w:r>
          </w:p>
        </w:tc>
      </w:tr>
      <w:tr w14:paraId="46446B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9" w:type="pct"/>
            <w:vAlign w:val="center"/>
          </w:tcPr>
          <w:p w14:paraId="7F310596">
            <w:pPr>
              <w:pStyle w:val="12"/>
              <w:jc w:val="center"/>
              <w:rPr>
                <w:rFonts w:ascii="宋体" w:hAnsi="宋体"/>
              </w:rPr>
            </w:pPr>
            <w:r>
              <w:rPr>
                <w:rFonts w:hint="eastAsia" w:ascii="宋体" w:hAnsi="宋体"/>
              </w:rPr>
              <w:t>南亩水</w:t>
            </w:r>
          </w:p>
        </w:tc>
        <w:tc>
          <w:tcPr>
            <w:tcW w:w="499" w:type="pct"/>
            <w:vAlign w:val="center"/>
          </w:tcPr>
          <w:p w14:paraId="226E2EB5">
            <w:pPr>
              <w:pStyle w:val="12"/>
              <w:jc w:val="center"/>
              <w:rPr>
                <w:rFonts w:ascii="宋体" w:hAnsi="宋体"/>
              </w:rPr>
            </w:pPr>
            <w:r>
              <w:rPr>
                <w:rFonts w:hint="eastAsia" w:ascii="宋体" w:hAnsi="宋体"/>
              </w:rPr>
              <w:t>75.2</w:t>
            </w:r>
          </w:p>
        </w:tc>
        <w:tc>
          <w:tcPr>
            <w:tcW w:w="499" w:type="pct"/>
            <w:vAlign w:val="center"/>
          </w:tcPr>
          <w:p w14:paraId="0B50146C">
            <w:pPr>
              <w:pStyle w:val="12"/>
              <w:jc w:val="center"/>
              <w:rPr>
                <w:rFonts w:ascii="宋体" w:hAnsi="宋体"/>
              </w:rPr>
            </w:pPr>
            <w:r>
              <w:rPr>
                <w:rFonts w:hint="eastAsia" w:ascii="宋体" w:hAnsi="宋体"/>
              </w:rPr>
              <w:t>20.1</w:t>
            </w:r>
          </w:p>
        </w:tc>
        <w:tc>
          <w:tcPr>
            <w:tcW w:w="500" w:type="pct"/>
            <w:vAlign w:val="center"/>
          </w:tcPr>
          <w:p w14:paraId="5DCD9D16">
            <w:pPr>
              <w:pStyle w:val="12"/>
              <w:jc w:val="center"/>
              <w:rPr>
                <w:rFonts w:ascii="宋体" w:hAnsi="宋体"/>
              </w:rPr>
            </w:pPr>
            <w:r>
              <w:rPr>
                <w:rFonts w:hint="eastAsia" w:ascii="宋体" w:hAnsi="宋体"/>
              </w:rPr>
              <w:t>5.72</w:t>
            </w:r>
          </w:p>
        </w:tc>
        <w:tc>
          <w:tcPr>
            <w:tcW w:w="500" w:type="pct"/>
            <w:vAlign w:val="center"/>
          </w:tcPr>
          <w:p w14:paraId="7D4B527B">
            <w:pPr>
              <w:pStyle w:val="12"/>
              <w:jc w:val="center"/>
              <w:rPr>
                <w:rFonts w:ascii="宋体" w:hAnsi="宋体"/>
              </w:rPr>
            </w:pPr>
            <w:r>
              <w:rPr>
                <w:rFonts w:hint="eastAsia" w:ascii="宋体" w:hAnsi="宋体"/>
              </w:rPr>
              <w:t>—</w:t>
            </w:r>
          </w:p>
        </w:tc>
        <w:tc>
          <w:tcPr>
            <w:tcW w:w="500" w:type="pct"/>
            <w:vAlign w:val="center"/>
          </w:tcPr>
          <w:p w14:paraId="70B343E5">
            <w:pPr>
              <w:pStyle w:val="12"/>
              <w:jc w:val="center"/>
              <w:rPr>
                <w:rFonts w:ascii="宋体" w:hAnsi="宋体"/>
              </w:rPr>
            </w:pPr>
            <w:r>
              <w:rPr>
                <w:rFonts w:hint="eastAsia" w:ascii="宋体" w:hAnsi="宋体"/>
              </w:rPr>
              <w:t>—</w:t>
            </w:r>
          </w:p>
        </w:tc>
        <w:tc>
          <w:tcPr>
            <w:tcW w:w="500" w:type="pct"/>
            <w:vAlign w:val="center"/>
          </w:tcPr>
          <w:p w14:paraId="02FE6DC1">
            <w:pPr>
              <w:pStyle w:val="12"/>
              <w:jc w:val="center"/>
              <w:rPr>
                <w:rFonts w:ascii="宋体" w:hAnsi="宋体"/>
              </w:rPr>
            </w:pPr>
            <w:r>
              <w:rPr>
                <w:rFonts w:hint="eastAsia" w:ascii="宋体" w:hAnsi="宋体"/>
              </w:rPr>
              <w:t>2</w:t>
            </w:r>
          </w:p>
        </w:tc>
        <w:tc>
          <w:tcPr>
            <w:tcW w:w="500" w:type="pct"/>
            <w:vAlign w:val="center"/>
          </w:tcPr>
          <w:p w14:paraId="23C10380">
            <w:pPr>
              <w:pStyle w:val="12"/>
              <w:jc w:val="center"/>
              <w:rPr>
                <w:rFonts w:ascii="宋体" w:hAnsi="宋体"/>
              </w:rPr>
            </w:pPr>
            <w:r>
              <w:rPr>
                <w:rFonts w:hint="eastAsia" w:ascii="宋体" w:hAnsi="宋体"/>
              </w:rPr>
              <w:t>3</w:t>
            </w:r>
          </w:p>
        </w:tc>
        <w:tc>
          <w:tcPr>
            <w:tcW w:w="504" w:type="pct"/>
            <w:vAlign w:val="center"/>
          </w:tcPr>
          <w:p w14:paraId="7B1D3169">
            <w:pPr>
              <w:pStyle w:val="12"/>
              <w:jc w:val="center"/>
              <w:rPr>
                <w:rFonts w:ascii="宋体" w:hAnsi="宋体"/>
              </w:rPr>
            </w:pPr>
            <w:r>
              <w:rPr>
                <w:rFonts w:hint="eastAsia" w:ascii="宋体" w:hAnsi="宋体"/>
              </w:rPr>
              <w:t>450</w:t>
            </w:r>
          </w:p>
        </w:tc>
        <w:tc>
          <w:tcPr>
            <w:tcW w:w="499" w:type="pct"/>
            <w:vAlign w:val="center"/>
          </w:tcPr>
          <w:p w14:paraId="48D8C0C5">
            <w:pPr>
              <w:pStyle w:val="12"/>
              <w:jc w:val="center"/>
              <w:rPr>
                <w:rFonts w:ascii="宋体" w:hAnsi="宋体"/>
              </w:rPr>
            </w:pPr>
            <w:r>
              <w:rPr>
                <w:rFonts w:hint="eastAsia" w:ascii="宋体" w:hAnsi="宋体"/>
              </w:rPr>
              <w:t>—</w:t>
            </w:r>
          </w:p>
        </w:tc>
      </w:tr>
      <w:tr w14:paraId="2D4B4F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9" w:type="pct"/>
            <w:vAlign w:val="center"/>
          </w:tcPr>
          <w:p w14:paraId="7A3669A6">
            <w:pPr>
              <w:pStyle w:val="12"/>
              <w:jc w:val="center"/>
              <w:rPr>
                <w:rFonts w:ascii="宋体" w:hAnsi="宋体"/>
              </w:rPr>
            </w:pPr>
            <w:r>
              <w:rPr>
                <w:rFonts w:hint="eastAsia" w:ascii="宋体" w:hAnsi="宋体"/>
              </w:rPr>
              <w:t>宝江水</w:t>
            </w:r>
          </w:p>
        </w:tc>
        <w:tc>
          <w:tcPr>
            <w:tcW w:w="499" w:type="pct"/>
            <w:vAlign w:val="center"/>
          </w:tcPr>
          <w:p w14:paraId="5E22D91C">
            <w:pPr>
              <w:pStyle w:val="12"/>
              <w:jc w:val="center"/>
              <w:rPr>
                <w:rFonts w:ascii="宋体" w:hAnsi="宋体"/>
              </w:rPr>
            </w:pPr>
            <w:r>
              <w:rPr>
                <w:rFonts w:hint="eastAsia" w:ascii="宋体" w:hAnsi="宋体"/>
              </w:rPr>
              <w:t>63.4</w:t>
            </w:r>
          </w:p>
        </w:tc>
        <w:tc>
          <w:tcPr>
            <w:tcW w:w="499" w:type="pct"/>
            <w:vAlign w:val="center"/>
          </w:tcPr>
          <w:p w14:paraId="28A57733">
            <w:pPr>
              <w:pStyle w:val="12"/>
              <w:jc w:val="center"/>
              <w:rPr>
                <w:rFonts w:ascii="宋体" w:hAnsi="宋体"/>
              </w:rPr>
            </w:pPr>
            <w:r>
              <w:rPr>
                <w:rFonts w:hint="eastAsia" w:ascii="宋体" w:hAnsi="宋体"/>
              </w:rPr>
              <w:t>20.3</w:t>
            </w:r>
          </w:p>
        </w:tc>
        <w:tc>
          <w:tcPr>
            <w:tcW w:w="500" w:type="pct"/>
            <w:vAlign w:val="center"/>
          </w:tcPr>
          <w:p w14:paraId="3E3AD82D">
            <w:pPr>
              <w:pStyle w:val="12"/>
              <w:jc w:val="center"/>
              <w:rPr>
                <w:rFonts w:ascii="宋体" w:hAnsi="宋体"/>
              </w:rPr>
            </w:pPr>
            <w:r>
              <w:rPr>
                <w:rFonts w:hint="eastAsia" w:ascii="宋体" w:hAnsi="宋体"/>
              </w:rPr>
              <w:t>7.13</w:t>
            </w:r>
          </w:p>
        </w:tc>
        <w:tc>
          <w:tcPr>
            <w:tcW w:w="500" w:type="pct"/>
            <w:vAlign w:val="center"/>
          </w:tcPr>
          <w:p w14:paraId="0E5C3DD0">
            <w:pPr>
              <w:pStyle w:val="12"/>
              <w:jc w:val="center"/>
              <w:rPr>
                <w:rFonts w:ascii="宋体" w:hAnsi="宋体"/>
              </w:rPr>
            </w:pPr>
            <w:r>
              <w:rPr>
                <w:rFonts w:hint="eastAsia" w:ascii="宋体" w:hAnsi="宋体"/>
              </w:rPr>
              <w:t>—</w:t>
            </w:r>
          </w:p>
        </w:tc>
        <w:tc>
          <w:tcPr>
            <w:tcW w:w="500" w:type="pct"/>
            <w:vAlign w:val="center"/>
          </w:tcPr>
          <w:p w14:paraId="29AE212A">
            <w:pPr>
              <w:pStyle w:val="12"/>
              <w:jc w:val="center"/>
              <w:rPr>
                <w:rFonts w:ascii="宋体" w:hAnsi="宋体"/>
              </w:rPr>
            </w:pPr>
            <w:r>
              <w:rPr>
                <w:rFonts w:hint="eastAsia" w:ascii="宋体" w:hAnsi="宋体"/>
              </w:rPr>
              <w:t>—</w:t>
            </w:r>
          </w:p>
        </w:tc>
        <w:tc>
          <w:tcPr>
            <w:tcW w:w="500" w:type="pct"/>
            <w:vAlign w:val="center"/>
          </w:tcPr>
          <w:p w14:paraId="43E2912A">
            <w:pPr>
              <w:pStyle w:val="12"/>
              <w:jc w:val="center"/>
              <w:rPr>
                <w:rFonts w:ascii="宋体" w:hAnsi="宋体"/>
              </w:rPr>
            </w:pPr>
            <w:r>
              <w:rPr>
                <w:rFonts w:hint="eastAsia" w:ascii="宋体" w:hAnsi="宋体"/>
              </w:rPr>
              <w:t>4</w:t>
            </w:r>
          </w:p>
        </w:tc>
        <w:tc>
          <w:tcPr>
            <w:tcW w:w="500" w:type="pct"/>
            <w:vAlign w:val="center"/>
          </w:tcPr>
          <w:p w14:paraId="355A11FD">
            <w:pPr>
              <w:pStyle w:val="12"/>
              <w:jc w:val="center"/>
              <w:rPr>
                <w:rFonts w:ascii="宋体" w:hAnsi="宋体"/>
              </w:rPr>
            </w:pPr>
            <w:r>
              <w:rPr>
                <w:rFonts w:hint="eastAsia" w:ascii="宋体" w:hAnsi="宋体"/>
              </w:rPr>
              <w:t>7</w:t>
            </w:r>
          </w:p>
        </w:tc>
        <w:tc>
          <w:tcPr>
            <w:tcW w:w="504" w:type="pct"/>
            <w:vAlign w:val="center"/>
          </w:tcPr>
          <w:p w14:paraId="0D2025A7">
            <w:pPr>
              <w:pStyle w:val="12"/>
              <w:jc w:val="center"/>
              <w:rPr>
                <w:rFonts w:ascii="宋体" w:hAnsi="宋体"/>
              </w:rPr>
            </w:pPr>
            <w:r>
              <w:rPr>
                <w:rFonts w:hint="eastAsia" w:ascii="宋体" w:hAnsi="宋体"/>
              </w:rPr>
              <w:t>1050</w:t>
            </w:r>
          </w:p>
        </w:tc>
        <w:tc>
          <w:tcPr>
            <w:tcW w:w="499" w:type="pct"/>
            <w:vAlign w:val="center"/>
          </w:tcPr>
          <w:p w14:paraId="55F81498">
            <w:pPr>
              <w:pStyle w:val="12"/>
              <w:jc w:val="center"/>
              <w:rPr>
                <w:rFonts w:ascii="宋体" w:hAnsi="宋体"/>
              </w:rPr>
            </w:pPr>
            <w:r>
              <w:rPr>
                <w:rFonts w:hint="eastAsia" w:ascii="宋体" w:hAnsi="宋体"/>
              </w:rPr>
              <w:t>—</w:t>
            </w:r>
          </w:p>
        </w:tc>
      </w:tr>
      <w:tr w14:paraId="1E3EED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9" w:type="pct"/>
            <w:vAlign w:val="center"/>
          </w:tcPr>
          <w:p w14:paraId="1E396965">
            <w:pPr>
              <w:pStyle w:val="12"/>
              <w:jc w:val="center"/>
              <w:rPr>
                <w:rFonts w:ascii="宋体" w:hAnsi="宋体"/>
              </w:rPr>
            </w:pPr>
            <w:r>
              <w:rPr>
                <w:rFonts w:hint="eastAsia" w:ascii="宋体" w:hAnsi="宋体"/>
              </w:rPr>
              <w:t>黄坑水</w:t>
            </w:r>
          </w:p>
        </w:tc>
        <w:tc>
          <w:tcPr>
            <w:tcW w:w="499" w:type="pct"/>
            <w:vAlign w:val="center"/>
          </w:tcPr>
          <w:p w14:paraId="01DA8FE9">
            <w:pPr>
              <w:pStyle w:val="12"/>
              <w:jc w:val="center"/>
              <w:rPr>
                <w:rFonts w:ascii="宋体" w:hAnsi="宋体"/>
              </w:rPr>
            </w:pPr>
            <w:r>
              <w:rPr>
                <w:rFonts w:hint="eastAsia" w:ascii="宋体" w:hAnsi="宋体"/>
              </w:rPr>
              <w:t>50.9</w:t>
            </w:r>
          </w:p>
        </w:tc>
        <w:tc>
          <w:tcPr>
            <w:tcW w:w="499" w:type="pct"/>
            <w:vAlign w:val="center"/>
          </w:tcPr>
          <w:p w14:paraId="6A638D44">
            <w:pPr>
              <w:pStyle w:val="12"/>
              <w:jc w:val="center"/>
              <w:rPr>
                <w:rFonts w:ascii="宋体" w:hAnsi="宋体"/>
              </w:rPr>
            </w:pPr>
            <w:r>
              <w:rPr>
                <w:rFonts w:hint="eastAsia" w:ascii="宋体" w:hAnsi="宋体"/>
              </w:rPr>
              <w:t>15.7</w:t>
            </w:r>
          </w:p>
        </w:tc>
        <w:tc>
          <w:tcPr>
            <w:tcW w:w="500" w:type="pct"/>
            <w:vAlign w:val="center"/>
          </w:tcPr>
          <w:p w14:paraId="33FCEE81">
            <w:pPr>
              <w:pStyle w:val="12"/>
              <w:jc w:val="center"/>
              <w:rPr>
                <w:rFonts w:ascii="宋体" w:hAnsi="宋体"/>
              </w:rPr>
            </w:pPr>
            <w:r>
              <w:rPr>
                <w:rFonts w:hint="eastAsia" w:ascii="宋体" w:hAnsi="宋体"/>
              </w:rPr>
              <w:t>6.95</w:t>
            </w:r>
          </w:p>
        </w:tc>
        <w:tc>
          <w:tcPr>
            <w:tcW w:w="500" w:type="pct"/>
            <w:vAlign w:val="center"/>
          </w:tcPr>
          <w:p w14:paraId="00A9EBDC">
            <w:pPr>
              <w:pStyle w:val="12"/>
              <w:jc w:val="center"/>
              <w:rPr>
                <w:rFonts w:ascii="宋体" w:hAnsi="宋体"/>
              </w:rPr>
            </w:pPr>
            <w:r>
              <w:rPr>
                <w:rFonts w:hint="eastAsia" w:ascii="宋体" w:hAnsi="宋体"/>
              </w:rPr>
              <w:t>—</w:t>
            </w:r>
          </w:p>
        </w:tc>
        <w:tc>
          <w:tcPr>
            <w:tcW w:w="500" w:type="pct"/>
            <w:vAlign w:val="center"/>
          </w:tcPr>
          <w:p w14:paraId="588FF5E5">
            <w:pPr>
              <w:pStyle w:val="12"/>
              <w:jc w:val="center"/>
              <w:rPr>
                <w:rFonts w:ascii="宋体" w:hAnsi="宋体"/>
              </w:rPr>
            </w:pPr>
            <w:r>
              <w:rPr>
                <w:rFonts w:hint="eastAsia" w:ascii="宋体" w:hAnsi="宋体"/>
              </w:rPr>
              <w:t>—</w:t>
            </w:r>
          </w:p>
        </w:tc>
        <w:tc>
          <w:tcPr>
            <w:tcW w:w="500" w:type="pct"/>
            <w:vAlign w:val="center"/>
          </w:tcPr>
          <w:p w14:paraId="6A72FA32">
            <w:pPr>
              <w:pStyle w:val="12"/>
              <w:jc w:val="center"/>
              <w:rPr>
                <w:rFonts w:ascii="宋体" w:hAnsi="宋体"/>
              </w:rPr>
            </w:pPr>
            <w:r>
              <w:rPr>
                <w:rFonts w:hint="eastAsia" w:ascii="宋体" w:hAnsi="宋体"/>
              </w:rPr>
              <w:t>1</w:t>
            </w:r>
          </w:p>
        </w:tc>
        <w:tc>
          <w:tcPr>
            <w:tcW w:w="500" w:type="pct"/>
            <w:vAlign w:val="center"/>
          </w:tcPr>
          <w:p w14:paraId="378D10F4">
            <w:pPr>
              <w:pStyle w:val="12"/>
              <w:jc w:val="center"/>
              <w:rPr>
                <w:rFonts w:ascii="宋体" w:hAnsi="宋体"/>
              </w:rPr>
            </w:pPr>
            <w:r>
              <w:rPr>
                <w:rFonts w:hint="eastAsia" w:ascii="宋体" w:hAnsi="宋体"/>
              </w:rPr>
              <w:t>1</w:t>
            </w:r>
          </w:p>
        </w:tc>
        <w:tc>
          <w:tcPr>
            <w:tcW w:w="504" w:type="pct"/>
            <w:vAlign w:val="center"/>
          </w:tcPr>
          <w:p w14:paraId="1046DC9B">
            <w:pPr>
              <w:pStyle w:val="12"/>
              <w:jc w:val="center"/>
              <w:rPr>
                <w:rFonts w:ascii="宋体" w:hAnsi="宋体"/>
              </w:rPr>
            </w:pPr>
            <w:r>
              <w:rPr>
                <w:rFonts w:hint="eastAsia" w:ascii="宋体" w:hAnsi="宋体"/>
              </w:rPr>
              <w:t>200</w:t>
            </w:r>
          </w:p>
        </w:tc>
        <w:tc>
          <w:tcPr>
            <w:tcW w:w="499" w:type="pct"/>
            <w:vAlign w:val="center"/>
          </w:tcPr>
          <w:p w14:paraId="2BC4404E">
            <w:pPr>
              <w:pStyle w:val="12"/>
              <w:jc w:val="center"/>
              <w:rPr>
                <w:rFonts w:ascii="宋体" w:hAnsi="宋体"/>
              </w:rPr>
            </w:pPr>
            <w:r>
              <w:rPr>
                <w:rFonts w:hint="eastAsia" w:ascii="宋体" w:hAnsi="宋体"/>
              </w:rPr>
              <w:t>—</w:t>
            </w:r>
          </w:p>
        </w:tc>
      </w:tr>
      <w:tr w14:paraId="3F2A02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9" w:type="pct"/>
            <w:vAlign w:val="center"/>
          </w:tcPr>
          <w:p w14:paraId="6A8D66BA">
            <w:pPr>
              <w:pStyle w:val="12"/>
              <w:jc w:val="center"/>
              <w:rPr>
                <w:rFonts w:ascii="宋体" w:hAnsi="宋体"/>
              </w:rPr>
            </w:pPr>
            <w:r>
              <w:rPr>
                <w:rFonts w:hint="eastAsia" w:ascii="宋体" w:hAnsi="宋体"/>
              </w:rPr>
              <w:t>其他</w:t>
            </w:r>
          </w:p>
        </w:tc>
        <w:tc>
          <w:tcPr>
            <w:tcW w:w="499" w:type="pct"/>
            <w:vAlign w:val="center"/>
          </w:tcPr>
          <w:p w14:paraId="2763C124">
            <w:pPr>
              <w:pStyle w:val="12"/>
              <w:jc w:val="center"/>
              <w:rPr>
                <w:rFonts w:ascii="宋体" w:hAnsi="宋体"/>
              </w:rPr>
            </w:pPr>
            <w:r>
              <w:rPr>
                <w:rFonts w:hint="eastAsia" w:ascii="宋体" w:hAnsi="宋体"/>
              </w:rPr>
              <w:t>—</w:t>
            </w:r>
          </w:p>
        </w:tc>
        <w:tc>
          <w:tcPr>
            <w:tcW w:w="499" w:type="pct"/>
            <w:vAlign w:val="center"/>
          </w:tcPr>
          <w:p w14:paraId="7210EA73">
            <w:pPr>
              <w:pStyle w:val="12"/>
              <w:jc w:val="center"/>
              <w:rPr>
                <w:rFonts w:ascii="宋体" w:hAnsi="宋体"/>
              </w:rPr>
            </w:pPr>
            <w:r>
              <w:rPr>
                <w:rFonts w:hint="eastAsia" w:ascii="宋体" w:hAnsi="宋体"/>
              </w:rPr>
              <w:t>—</w:t>
            </w:r>
          </w:p>
        </w:tc>
        <w:tc>
          <w:tcPr>
            <w:tcW w:w="500" w:type="pct"/>
            <w:vAlign w:val="center"/>
          </w:tcPr>
          <w:p w14:paraId="43DD8F6C">
            <w:pPr>
              <w:pStyle w:val="12"/>
              <w:jc w:val="center"/>
              <w:rPr>
                <w:rFonts w:ascii="宋体" w:hAnsi="宋体"/>
              </w:rPr>
            </w:pPr>
            <w:r>
              <w:rPr>
                <w:rFonts w:hint="eastAsia" w:ascii="宋体" w:hAnsi="宋体"/>
              </w:rPr>
              <w:t>—</w:t>
            </w:r>
          </w:p>
        </w:tc>
        <w:tc>
          <w:tcPr>
            <w:tcW w:w="500" w:type="pct"/>
            <w:vAlign w:val="center"/>
          </w:tcPr>
          <w:p w14:paraId="2CB1F6FD">
            <w:pPr>
              <w:pStyle w:val="12"/>
              <w:jc w:val="center"/>
              <w:rPr>
                <w:rFonts w:ascii="宋体" w:hAnsi="宋体"/>
              </w:rPr>
            </w:pPr>
            <w:r>
              <w:rPr>
                <w:rFonts w:hint="eastAsia" w:ascii="宋体" w:hAnsi="宋体"/>
              </w:rPr>
              <w:t>—</w:t>
            </w:r>
          </w:p>
        </w:tc>
        <w:tc>
          <w:tcPr>
            <w:tcW w:w="500" w:type="pct"/>
            <w:vAlign w:val="center"/>
          </w:tcPr>
          <w:p w14:paraId="428BABB4">
            <w:pPr>
              <w:pStyle w:val="12"/>
              <w:jc w:val="center"/>
              <w:rPr>
                <w:rFonts w:ascii="宋体" w:hAnsi="宋体"/>
              </w:rPr>
            </w:pPr>
            <w:r>
              <w:rPr>
                <w:rFonts w:hint="eastAsia" w:ascii="宋体" w:hAnsi="宋体"/>
              </w:rPr>
              <w:t>—</w:t>
            </w:r>
          </w:p>
        </w:tc>
        <w:tc>
          <w:tcPr>
            <w:tcW w:w="500" w:type="pct"/>
            <w:vAlign w:val="center"/>
          </w:tcPr>
          <w:p w14:paraId="60FED067">
            <w:pPr>
              <w:pStyle w:val="12"/>
              <w:jc w:val="center"/>
              <w:rPr>
                <w:rFonts w:ascii="宋体" w:hAnsi="宋体"/>
              </w:rPr>
            </w:pPr>
            <w:r>
              <w:rPr>
                <w:rFonts w:hint="eastAsia" w:ascii="宋体" w:hAnsi="宋体"/>
              </w:rPr>
              <w:t>14</w:t>
            </w:r>
          </w:p>
        </w:tc>
        <w:tc>
          <w:tcPr>
            <w:tcW w:w="500" w:type="pct"/>
            <w:vAlign w:val="center"/>
          </w:tcPr>
          <w:p w14:paraId="58C76B4A">
            <w:pPr>
              <w:pStyle w:val="12"/>
              <w:jc w:val="center"/>
              <w:rPr>
                <w:rFonts w:ascii="宋体" w:hAnsi="宋体"/>
              </w:rPr>
            </w:pPr>
            <w:r>
              <w:rPr>
                <w:rFonts w:hint="eastAsia" w:ascii="宋体" w:hAnsi="宋体"/>
              </w:rPr>
              <w:t>23</w:t>
            </w:r>
          </w:p>
        </w:tc>
        <w:tc>
          <w:tcPr>
            <w:tcW w:w="504" w:type="pct"/>
            <w:vAlign w:val="center"/>
          </w:tcPr>
          <w:p w14:paraId="26F3DDC9">
            <w:pPr>
              <w:pStyle w:val="12"/>
              <w:jc w:val="center"/>
              <w:rPr>
                <w:rFonts w:ascii="宋体" w:hAnsi="宋体"/>
              </w:rPr>
            </w:pPr>
            <w:r>
              <w:rPr>
                <w:rFonts w:hint="eastAsia" w:ascii="宋体" w:hAnsi="宋体"/>
              </w:rPr>
              <w:t>6190</w:t>
            </w:r>
          </w:p>
        </w:tc>
        <w:tc>
          <w:tcPr>
            <w:tcW w:w="499" w:type="pct"/>
            <w:vAlign w:val="center"/>
          </w:tcPr>
          <w:p w14:paraId="537C7D77">
            <w:pPr>
              <w:pStyle w:val="12"/>
              <w:jc w:val="center"/>
              <w:rPr>
                <w:rFonts w:ascii="宋体" w:hAnsi="宋体"/>
              </w:rPr>
            </w:pPr>
            <w:r>
              <w:rPr>
                <w:rFonts w:hint="eastAsia" w:ascii="宋体" w:hAnsi="宋体"/>
              </w:rPr>
              <w:t>—</w:t>
            </w:r>
          </w:p>
        </w:tc>
      </w:tr>
    </w:tbl>
    <w:p w14:paraId="7CC6F664">
      <w:pPr>
        <w:pStyle w:val="4"/>
        <w:rPr>
          <w:rFonts w:ascii="宋体" w:hAnsi="宋体"/>
        </w:rPr>
      </w:pPr>
      <w:r>
        <w:rPr>
          <w:rFonts w:hint="eastAsia" w:ascii="宋体" w:hAnsi="宋体"/>
        </w:rPr>
        <w:t>第二节  水利建设</w:t>
      </w:r>
    </w:p>
    <w:p w14:paraId="68613E1F">
      <w:pPr>
        <w:ind w:firstLine="420"/>
        <w:rPr>
          <w:rFonts w:ascii="宋体" w:hAnsi="宋体"/>
          <w:szCs w:val="21"/>
        </w:rPr>
      </w:pPr>
      <w:r>
        <w:rPr>
          <w:rFonts w:hint="eastAsia" w:ascii="宋体" w:hAnsi="宋体"/>
          <w:szCs w:val="21"/>
        </w:rPr>
        <w:t>根据南雄农业的自然灾害以旱灾为主，水灾为次的特点，</w:t>
      </w:r>
      <w:r>
        <w:rPr>
          <w:rFonts w:ascii="宋体" w:hAnsi="宋体"/>
          <w:szCs w:val="21"/>
        </w:rPr>
        <w:t>1987年以前的水利建</w:t>
      </w:r>
      <w:r>
        <w:rPr>
          <w:rFonts w:hint="eastAsia" w:ascii="宋体" w:hAnsi="宋体"/>
          <w:szCs w:val="21"/>
        </w:rPr>
        <w:t>设均以灌溉工程为主。从</w:t>
      </w:r>
      <w:r>
        <w:rPr>
          <w:rFonts w:ascii="宋体" w:hAnsi="宋体"/>
          <w:szCs w:val="21"/>
        </w:rPr>
        <w:t>1954年开始有计划的兴建一批骨干工程，至1987年，构成</w:t>
      </w:r>
      <w:r>
        <w:rPr>
          <w:rFonts w:hint="eastAsia" w:ascii="宋体" w:hAnsi="宋体"/>
          <w:szCs w:val="21"/>
        </w:rPr>
        <w:t>了</w:t>
      </w:r>
      <w:r>
        <w:rPr>
          <w:rFonts w:ascii="宋体" w:hAnsi="宋体"/>
          <w:szCs w:val="21"/>
        </w:rPr>
        <w:t>5个灌溉网，使75%的耕地得到了灌溉，从根本上改变了南雄的苦旱面貌。</w:t>
      </w:r>
    </w:p>
    <w:p w14:paraId="3416232C">
      <w:pPr>
        <w:ind w:firstLine="420"/>
        <w:rPr>
          <w:rFonts w:ascii="宋体" w:hAnsi="宋体"/>
          <w:szCs w:val="21"/>
        </w:rPr>
      </w:pPr>
      <w:r>
        <w:rPr>
          <w:rFonts w:ascii="宋体" w:hAnsi="宋体"/>
          <w:szCs w:val="21"/>
        </w:rPr>
        <w:t>1988年以后，为确保原有灌溉工程的安全，提高灌溉效益，逐步进行了除险加</w:t>
      </w:r>
      <w:r>
        <w:rPr>
          <w:rFonts w:hint="eastAsia" w:ascii="宋体" w:hAnsi="宋体"/>
          <w:szCs w:val="21"/>
        </w:rPr>
        <w:t>固，完善渠道设施，同时兴建了一些蓄水、引水、提水工程和防洪工程。至</w:t>
      </w:r>
      <w:r>
        <w:rPr>
          <w:rFonts w:ascii="宋体" w:hAnsi="宋体"/>
          <w:szCs w:val="21"/>
        </w:rPr>
        <w:t>2004年，</w:t>
      </w:r>
      <w:r>
        <w:rPr>
          <w:rFonts w:hint="eastAsia" w:ascii="宋体" w:hAnsi="宋体"/>
          <w:szCs w:val="21"/>
        </w:rPr>
        <w:t>完成山塘水库除险加固</w:t>
      </w:r>
      <w:r>
        <w:rPr>
          <w:rFonts w:ascii="宋体" w:hAnsi="宋体"/>
          <w:szCs w:val="21"/>
        </w:rPr>
        <w:t>207宗，灌溉33.33公顷以上木石陂改为永久混凝土陂50座，</w:t>
      </w:r>
      <w:r>
        <w:rPr>
          <w:rFonts w:hint="eastAsia" w:ascii="宋体" w:hAnsi="宋体"/>
          <w:szCs w:val="21"/>
        </w:rPr>
        <w:t>渠道防渗三面光</w:t>
      </w:r>
      <w:r>
        <w:rPr>
          <w:rFonts w:ascii="宋体" w:hAnsi="宋体"/>
          <w:szCs w:val="21"/>
        </w:rPr>
        <w:t>263.7公里，新建电灌站49宗，装机容量1029千瓦，新增灌溉面积806.67公顷，改善灌溉面积3460公顷，恢复灌溉面积3933.33公顷。</w:t>
      </w:r>
    </w:p>
    <w:p w14:paraId="22589359">
      <w:pPr>
        <w:pStyle w:val="5"/>
        <w:rPr>
          <w:rFonts w:ascii="宋体" w:hAnsi="宋体"/>
        </w:rPr>
      </w:pPr>
      <w:r>
        <w:rPr>
          <w:rFonts w:hint="eastAsia" w:ascii="宋体" w:hAnsi="宋体"/>
        </w:rPr>
        <w:t>一、农田灌溉工程</w:t>
      </w:r>
    </w:p>
    <w:p w14:paraId="1D1D599D">
      <w:pPr>
        <w:ind w:firstLine="422"/>
        <w:rPr>
          <w:rFonts w:ascii="宋体" w:hAnsi="宋体"/>
          <w:b/>
          <w:szCs w:val="21"/>
        </w:rPr>
      </w:pPr>
      <w:r>
        <w:rPr>
          <w:rFonts w:hint="eastAsia" w:ascii="宋体" w:hAnsi="宋体"/>
          <w:b/>
          <w:szCs w:val="21"/>
        </w:rPr>
        <w:t>（一）引水工程</w:t>
      </w:r>
    </w:p>
    <w:p w14:paraId="759AD684">
      <w:pPr>
        <w:ind w:firstLine="422"/>
        <w:rPr>
          <w:rFonts w:ascii="宋体" w:hAnsi="宋体"/>
          <w:szCs w:val="21"/>
        </w:rPr>
      </w:pPr>
      <w:r>
        <w:rPr>
          <w:rFonts w:hint="eastAsia" w:ascii="宋体" w:hAnsi="宋体"/>
          <w:b/>
          <w:szCs w:val="21"/>
        </w:rPr>
        <w:t>凌江引水工程</w:t>
      </w:r>
      <w:r>
        <w:rPr>
          <w:rFonts w:hint="eastAsia" w:ascii="宋体" w:hAnsi="宋体"/>
          <w:szCs w:val="21"/>
        </w:rPr>
        <w:t xml:space="preserve">  拦河坝在全安镇佛岭下，</w:t>
      </w:r>
      <w:r>
        <w:rPr>
          <w:rFonts w:ascii="宋体" w:hAnsi="宋体"/>
          <w:szCs w:val="21"/>
        </w:rPr>
        <w:t>1958年建成，引水流量每秒2立方米，</w:t>
      </w:r>
      <w:r>
        <w:rPr>
          <w:rFonts w:hint="eastAsia" w:ascii="宋体" w:hAnsi="宋体"/>
          <w:szCs w:val="21"/>
        </w:rPr>
        <w:t>灌溉农田</w:t>
      </w:r>
      <w:r>
        <w:rPr>
          <w:rFonts w:ascii="宋体" w:hAnsi="宋体"/>
          <w:szCs w:val="21"/>
        </w:rPr>
        <w:t>1</w:t>
      </w:r>
      <w:r>
        <w:rPr>
          <w:rFonts w:hint="eastAsia" w:ascii="宋体" w:hAnsi="宋体"/>
          <w:szCs w:val="21"/>
        </w:rPr>
        <w:t>3</w:t>
      </w:r>
      <w:r>
        <w:rPr>
          <w:rFonts w:ascii="宋体" w:hAnsi="宋体"/>
          <w:szCs w:val="21"/>
        </w:rPr>
        <w:t>33.33公顷，40多年来运行基本正常。</w:t>
      </w:r>
    </w:p>
    <w:p w14:paraId="397E1704">
      <w:pPr>
        <w:ind w:firstLine="422"/>
        <w:rPr>
          <w:rFonts w:ascii="宋体" w:hAnsi="宋体"/>
          <w:szCs w:val="21"/>
        </w:rPr>
      </w:pPr>
      <w:r>
        <w:rPr>
          <w:rFonts w:hint="eastAsia" w:ascii="宋体" w:hAnsi="宋体"/>
          <w:b/>
          <w:szCs w:val="21"/>
        </w:rPr>
        <w:t>苍石引水工程</w:t>
      </w:r>
      <w:r>
        <w:rPr>
          <w:rFonts w:hint="eastAsia" w:ascii="宋体" w:hAnsi="宋体"/>
          <w:szCs w:val="21"/>
        </w:rPr>
        <w:t xml:space="preserve">  坝址在大坪水中下游的苍石村。</w:t>
      </w:r>
      <w:r>
        <w:rPr>
          <w:rFonts w:ascii="宋体" w:hAnsi="宋体"/>
          <w:szCs w:val="21"/>
        </w:rPr>
        <w:t>1973年建成，引水流量每秒0.4</w:t>
      </w:r>
      <w:r>
        <w:rPr>
          <w:rFonts w:hint="eastAsia" w:ascii="宋体" w:hAnsi="宋体"/>
          <w:szCs w:val="21"/>
        </w:rPr>
        <w:t>立方米，灌溉农田</w:t>
      </w:r>
      <w:r>
        <w:rPr>
          <w:rFonts w:ascii="宋体" w:hAnsi="宋体"/>
          <w:szCs w:val="21"/>
        </w:rPr>
        <w:t>266.67公顷，30多年来运行基本正常。</w:t>
      </w:r>
    </w:p>
    <w:p w14:paraId="6053476A">
      <w:pPr>
        <w:ind w:firstLine="422"/>
        <w:rPr>
          <w:rFonts w:ascii="宋体" w:hAnsi="宋体"/>
          <w:szCs w:val="21"/>
        </w:rPr>
      </w:pPr>
      <w:r>
        <w:rPr>
          <w:rFonts w:hint="eastAsia" w:ascii="宋体" w:hAnsi="宋体"/>
          <w:b/>
          <w:szCs w:val="21"/>
        </w:rPr>
        <w:t>同凌陂</w:t>
      </w:r>
      <w:r>
        <w:rPr>
          <w:rFonts w:hint="eastAsia" w:ascii="宋体" w:hAnsi="宋体"/>
          <w:szCs w:val="21"/>
        </w:rPr>
        <w:t xml:space="preserve">  原为宋代建的凌陂和清代建的同丰陂。两陂相距不远，各灌一岸农田。</w:t>
      </w:r>
      <w:r>
        <w:rPr>
          <w:rFonts w:ascii="宋体" w:hAnsi="宋体"/>
          <w:szCs w:val="21"/>
        </w:rPr>
        <w:t>1958年将两陂合二为一，以永久性混凝土结构代替原来木石结构。引水流量每秒0.6</w:t>
      </w:r>
      <w:r>
        <w:rPr>
          <w:rFonts w:hint="eastAsia" w:ascii="宋体" w:hAnsi="宋体"/>
          <w:szCs w:val="21"/>
        </w:rPr>
        <w:t>立方米，灌溉农田</w:t>
      </w:r>
      <w:r>
        <w:rPr>
          <w:rFonts w:ascii="宋体" w:hAnsi="宋体"/>
          <w:szCs w:val="21"/>
        </w:rPr>
        <w:t>400公顷。该陂经30多年运行，出现三处险情：一是陂身左侧2.6</w:t>
      </w:r>
      <w:r>
        <w:rPr>
          <w:rFonts w:hint="eastAsia" w:ascii="宋体" w:hAnsi="宋体"/>
          <w:szCs w:val="21"/>
        </w:rPr>
        <w:t>米长陂石与相连的闸墩堰顶部位开裂，上游侧明显沉陷，并有多条裂缝；二是陂身右侧因水流长期冲刷而露出钢筋；三是右岸启闭室墙身开裂。排险工程于</w:t>
      </w:r>
      <w:r>
        <w:rPr>
          <w:rFonts w:ascii="宋体" w:hAnsi="宋体"/>
          <w:szCs w:val="21"/>
        </w:rPr>
        <w:t>1995年冬动</w:t>
      </w:r>
      <w:r>
        <w:rPr>
          <w:rFonts w:hint="eastAsia" w:ascii="宋体" w:hAnsi="宋体"/>
          <w:szCs w:val="21"/>
        </w:rPr>
        <w:t>工，</w:t>
      </w:r>
      <w:r>
        <w:rPr>
          <w:rFonts w:ascii="宋体" w:hAnsi="宋体"/>
          <w:szCs w:val="21"/>
        </w:rPr>
        <w:t>1996年1月竣工，耗资42.6万元</w:t>
      </w:r>
      <w:r>
        <w:rPr>
          <w:rFonts w:hint="eastAsia" w:ascii="宋体" w:hAnsi="宋体"/>
          <w:szCs w:val="21"/>
        </w:rPr>
        <w:t>。</w:t>
      </w:r>
    </w:p>
    <w:p w14:paraId="596314F0">
      <w:pPr>
        <w:ind w:firstLine="422"/>
        <w:rPr>
          <w:rFonts w:ascii="宋体" w:hAnsi="宋体"/>
          <w:b/>
          <w:szCs w:val="21"/>
        </w:rPr>
      </w:pPr>
      <w:r>
        <w:rPr>
          <w:rFonts w:hint="eastAsia" w:ascii="宋体" w:hAnsi="宋体"/>
          <w:b/>
          <w:szCs w:val="21"/>
        </w:rPr>
        <w:t>（二）蓄水工程</w:t>
      </w:r>
    </w:p>
    <w:p w14:paraId="6BBF18E0">
      <w:pPr>
        <w:ind w:firstLine="422"/>
        <w:rPr>
          <w:rFonts w:ascii="宋体" w:hAnsi="宋体"/>
          <w:b/>
          <w:szCs w:val="21"/>
        </w:rPr>
      </w:pPr>
      <w:r>
        <w:rPr>
          <w:rFonts w:ascii="宋体" w:hAnsi="宋体"/>
          <w:b/>
          <w:szCs w:val="21"/>
        </w:rPr>
        <w:t>1.中型水库全市现有6宗</w:t>
      </w:r>
    </w:p>
    <w:p w14:paraId="05505429">
      <w:pPr>
        <w:ind w:firstLine="422"/>
        <w:rPr>
          <w:rFonts w:ascii="宋体" w:hAnsi="宋体"/>
          <w:szCs w:val="21"/>
        </w:rPr>
      </w:pPr>
      <w:r>
        <w:rPr>
          <w:rFonts w:hint="eastAsia" w:ascii="宋体" w:hAnsi="宋体"/>
          <w:b/>
          <w:szCs w:val="21"/>
        </w:rPr>
        <w:t>（</w:t>
      </w:r>
      <w:r>
        <w:rPr>
          <w:rFonts w:ascii="宋体" w:hAnsi="宋体"/>
          <w:b/>
          <w:szCs w:val="21"/>
        </w:rPr>
        <w:t>1）横江水库。</w:t>
      </w:r>
      <w:r>
        <w:rPr>
          <w:rFonts w:ascii="宋体" w:hAnsi="宋体"/>
          <w:szCs w:val="21"/>
        </w:rPr>
        <w:t>1956年冬建成，总库量345万立方米。1959年动工扩建，1964</w:t>
      </w:r>
      <w:r>
        <w:rPr>
          <w:rFonts w:hint="eastAsia" w:ascii="宋体" w:hAnsi="宋体"/>
          <w:szCs w:val="21"/>
        </w:rPr>
        <w:t>年完成，库容增至</w:t>
      </w:r>
      <w:r>
        <w:rPr>
          <w:rFonts w:ascii="宋体" w:hAnsi="宋体"/>
          <w:szCs w:val="21"/>
        </w:rPr>
        <w:t>1531万立方米，灌溉面积1666.67公顷。运行30多年后，出现土</w:t>
      </w:r>
      <w:r>
        <w:rPr>
          <w:rFonts w:hint="eastAsia" w:ascii="宋体" w:hAnsi="宋体"/>
          <w:szCs w:val="21"/>
        </w:rPr>
        <w:t>坝后坡安全系数达不到规范要求，外坡漏水严重，多处出现“牛皮胀”，输水涵管多处漏水，启闭设备失灵，坝前坡护坡石风化严重，坝后反滤体失效，溢洪道底板冲刷严重等险情。经省水利厅和省计委批准进行除险加固。</w:t>
      </w:r>
    </w:p>
    <w:p w14:paraId="1445BEE3">
      <w:pPr>
        <w:ind w:firstLine="420"/>
        <w:rPr>
          <w:rFonts w:ascii="宋体" w:hAnsi="宋体"/>
          <w:szCs w:val="21"/>
        </w:rPr>
      </w:pPr>
      <w:r>
        <w:rPr>
          <w:rFonts w:hint="eastAsia" w:ascii="宋体" w:hAnsi="宋体"/>
          <w:szCs w:val="21"/>
        </w:rPr>
        <w:t>加固主要项目有：填封原输水涵，新开压力隧洞长</w:t>
      </w:r>
      <w:r>
        <w:rPr>
          <w:rFonts w:ascii="宋体" w:hAnsi="宋体"/>
          <w:szCs w:val="21"/>
        </w:rPr>
        <w:t>220米，建放水塔及工作桥；</w:t>
      </w:r>
      <w:r>
        <w:rPr>
          <w:rFonts w:hint="eastAsia" w:ascii="宋体" w:hAnsi="宋体"/>
          <w:szCs w:val="21"/>
        </w:rPr>
        <w:t>土坝后坡培厚放缓坡度，增加抗滑安全系数；前坡改浇砼护坡及修复防浪墙；坝体进行灌浆；改建反滤体；溢洪道底板现浇砼防冲等。工程于</w:t>
      </w:r>
      <w:r>
        <w:rPr>
          <w:rFonts w:ascii="宋体" w:hAnsi="宋体"/>
          <w:szCs w:val="21"/>
        </w:rPr>
        <w:t>1996年10月动工，2000年4月全面竣工。计完成土方6.5727万立方米，石方4.598万立方米，其中浆砌石1.078万立方米，混凝土8439立方米。投入劳动力23.744万工日，耗资1300余万</w:t>
      </w:r>
      <w:r>
        <w:rPr>
          <w:rFonts w:hint="eastAsia" w:ascii="宋体" w:hAnsi="宋体"/>
          <w:szCs w:val="21"/>
        </w:rPr>
        <w:t>元。</w:t>
      </w:r>
    </w:p>
    <w:p w14:paraId="573FAD1A">
      <w:pPr>
        <w:ind w:firstLine="422"/>
        <w:rPr>
          <w:rFonts w:ascii="宋体" w:hAnsi="宋体"/>
          <w:szCs w:val="21"/>
        </w:rPr>
      </w:pPr>
      <w:r>
        <w:rPr>
          <w:rFonts w:hint="eastAsia" w:ascii="宋体" w:hAnsi="宋体"/>
          <w:b/>
          <w:szCs w:val="21"/>
        </w:rPr>
        <w:t>（</w:t>
      </w:r>
      <w:r>
        <w:rPr>
          <w:rFonts w:ascii="宋体" w:hAnsi="宋体"/>
          <w:b/>
          <w:szCs w:val="21"/>
        </w:rPr>
        <w:t>2）中坪水库。</w:t>
      </w:r>
      <w:r>
        <w:rPr>
          <w:rFonts w:ascii="宋体" w:hAnsi="宋体"/>
          <w:szCs w:val="21"/>
        </w:rPr>
        <w:t>1957年动工，1958年6月建成，设计总库量2036万立方米，灌</w:t>
      </w:r>
      <w:r>
        <w:rPr>
          <w:rFonts w:hint="eastAsia" w:ascii="宋体" w:hAnsi="宋体"/>
          <w:szCs w:val="21"/>
        </w:rPr>
        <w:t>溉面积</w:t>
      </w:r>
      <w:r>
        <w:rPr>
          <w:rFonts w:ascii="宋体" w:hAnsi="宋体"/>
          <w:szCs w:val="21"/>
        </w:rPr>
        <w:t>1200公顷。1976年9月建成电站，1987年又建成坝后电站，利用灌溉水进行</w:t>
      </w:r>
      <w:r>
        <w:rPr>
          <w:rFonts w:hint="eastAsia" w:ascii="宋体" w:hAnsi="宋体"/>
          <w:szCs w:val="21"/>
        </w:rPr>
        <w:t>三级发电，共装机</w:t>
      </w:r>
      <w:r>
        <w:rPr>
          <w:rFonts w:ascii="宋体" w:hAnsi="宋体"/>
          <w:szCs w:val="21"/>
        </w:rPr>
        <w:t>1780千瓦，年发电500万千瓦时</w:t>
      </w:r>
      <w:r>
        <w:rPr>
          <w:rFonts w:hint="eastAsia" w:ascii="宋体" w:hAnsi="宋体"/>
          <w:szCs w:val="21"/>
        </w:rPr>
        <w:t>。</w:t>
      </w:r>
    </w:p>
    <w:p w14:paraId="65D43D6A">
      <w:pPr>
        <w:ind w:firstLine="420"/>
        <w:rPr>
          <w:rFonts w:ascii="宋体" w:hAnsi="宋体"/>
          <w:szCs w:val="21"/>
        </w:rPr>
      </w:pPr>
      <w:r>
        <w:rPr>
          <w:rFonts w:hint="eastAsia" w:ascii="宋体" w:hAnsi="宋体"/>
          <w:szCs w:val="21"/>
        </w:rPr>
        <w:t>为扩大中坪水库灌溉范围，县政府投资</w:t>
      </w:r>
      <w:r>
        <w:rPr>
          <w:rFonts w:ascii="宋体" w:hAnsi="宋体"/>
          <w:szCs w:val="21"/>
        </w:rPr>
        <w:t>33万元，于1987年兴建一条引水支渠，</w:t>
      </w:r>
      <w:r>
        <w:rPr>
          <w:rFonts w:hint="eastAsia" w:ascii="宋体" w:hAnsi="宋体"/>
          <w:szCs w:val="21"/>
        </w:rPr>
        <w:t>由中坪干渠杨柳坝引水至界址镇十八斗坑水库，称界址引水工程。全长</w:t>
      </w:r>
      <w:r>
        <w:rPr>
          <w:rFonts w:ascii="宋体" w:hAnsi="宋体"/>
          <w:szCs w:val="21"/>
        </w:rPr>
        <w:t>19.8公里，</w:t>
      </w:r>
      <w:r>
        <w:rPr>
          <w:rFonts w:hint="eastAsia" w:ascii="宋体" w:hAnsi="宋体"/>
          <w:szCs w:val="21"/>
        </w:rPr>
        <w:t>灌溉乌迳、界址两镇农田</w:t>
      </w:r>
      <w:r>
        <w:rPr>
          <w:rFonts w:ascii="宋体" w:hAnsi="宋体"/>
          <w:szCs w:val="21"/>
        </w:rPr>
        <w:t>500公顷。</w:t>
      </w:r>
    </w:p>
    <w:p w14:paraId="559C8EAE">
      <w:pPr>
        <w:ind w:firstLine="420"/>
        <w:rPr>
          <w:rFonts w:ascii="宋体" w:hAnsi="宋体"/>
          <w:szCs w:val="21"/>
        </w:rPr>
      </w:pPr>
      <w:r>
        <w:rPr>
          <w:rFonts w:hint="eastAsia" w:ascii="宋体" w:hAnsi="宋体"/>
          <w:szCs w:val="21"/>
        </w:rPr>
        <w:t>该水库经</w:t>
      </w:r>
      <w:r>
        <w:rPr>
          <w:rFonts w:ascii="宋体" w:hAnsi="宋体"/>
          <w:szCs w:val="21"/>
        </w:rPr>
        <w:t>30多年运行后，土坝出现险情，经省水利厅、省计委批准，投资1600</w:t>
      </w:r>
      <w:r>
        <w:rPr>
          <w:rFonts w:hint="eastAsia" w:ascii="宋体" w:hAnsi="宋体"/>
          <w:szCs w:val="21"/>
        </w:rPr>
        <w:t>万元，实施除险加固工程。</w:t>
      </w:r>
      <w:r>
        <w:rPr>
          <w:rFonts w:ascii="宋体" w:hAnsi="宋体"/>
          <w:szCs w:val="21"/>
        </w:rPr>
        <w:t>1999年1月招标，同年5月动工。至11月完成土坝钻孔</w:t>
      </w:r>
      <w:r>
        <w:rPr>
          <w:rFonts w:hint="eastAsia" w:ascii="宋体" w:hAnsi="宋体"/>
          <w:szCs w:val="21"/>
        </w:rPr>
        <w:t>深</w:t>
      </w:r>
      <w:r>
        <w:rPr>
          <w:rFonts w:ascii="宋体" w:hAnsi="宋体"/>
          <w:szCs w:val="21"/>
        </w:rPr>
        <w:t>3960米。2000年8月完成隧洞开挖100米，反滤体改造及前坡砼护坡已完成1/3</w:t>
      </w:r>
      <w:r>
        <w:rPr>
          <w:rFonts w:hint="eastAsia" w:ascii="宋体" w:hAnsi="宋体"/>
          <w:szCs w:val="21"/>
        </w:rPr>
        <w:t>工程。因中坪电站转制（中坪电站产权的</w:t>
      </w:r>
      <w:r>
        <w:rPr>
          <w:rFonts w:ascii="宋体" w:hAnsi="宋体"/>
          <w:szCs w:val="21"/>
        </w:rPr>
        <w:t>90%转让给韶能集团股份有限公司）工程</w:t>
      </w:r>
      <w:r>
        <w:rPr>
          <w:rFonts w:hint="eastAsia" w:ascii="宋体" w:hAnsi="宋体"/>
          <w:szCs w:val="21"/>
        </w:rPr>
        <w:t>停止施工。</w:t>
      </w:r>
      <w:r>
        <w:rPr>
          <w:rFonts w:ascii="宋体" w:hAnsi="宋体"/>
          <w:szCs w:val="21"/>
        </w:rPr>
        <w:t>2005年5月，按原除险加固方案，由原中标的施工单位恢复施工。计划2006年汛期前完成。</w:t>
      </w:r>
    </w:p>
    <w:p w14:paraId="497B4B71">
      <w:pPr>
        <w:ind w:firstLine="422"/>
        <w:rPr>
          <w:rFonts w:ascii="宋体" w:hAnsi="宋体"/>
          <w:szCs w:val="21"/>
        </w:rPr>
      </w:pPr>
      <w:r>
        <w:rPr>
          <w:rFonts w:hint="eastAsia" w:ascii="宋体" w:hAnsi="宋体"/>
          <w:b/>
          <w:szCs w:val="21"/>
        </w:rPr>
        <w:t>（</w:t>
      </w:r>
      <w:r>
        <w:rPr>
          <w:rFonts w:ascii="宋体" w:hAnsi="宋体"/>
          <w:b/>
          <w:szCs w:val="21"/>
        </w:rPr>
        <w:t>3）孔江水库。</w:t>
      </w:r>
      <w:r>
        <w:rPr>
          <w:rFonts w:ascii="宋体" w:hAnsi="宋体"/>
          <w:szCs w:val="21"/>
        </w:rPr>
        <w:t>总库量6758万立方米，为全市之冠。灌溉面积7920公顷。1966</w:t>
      </w:r>
      <w:r>
        <w:rPr>
          <w:rFonts w:hint="eastAsia" w:ascii="宋体" w:hAnsi="宋体"/>
          <w:szCs w:val="21"/>
        </w:rPr>
        <w:t>年</w:t>
      </w:r>
      <w:r>
        <w:rPr>
          <w:rFonts w:ascii="宋体" w:hAnsi="宋体"/>
          <w:szCs w:val="21"/>
        </w:rPr>
        <w:t>10月动工，1975年全面完成配套工程。总干渠全长54公里。（详见本节工程建设</w:t>
      </w:r>
      <w:r>
        <w:rPr>
          <w:rFonts w:hint="eastAsia" w:ascii="宋体" w:hAnsi="宋体"/>
          <w:szCs w:val="21"/>
        </w:rPr>
        <w:t>专记）</w:t>
      </w:r>
    </w:p>
    <w:p w14:paraId="27BF22B4">
      <w:pPr>
        <w:ind w:firstLine="420"/>
        <w:rPr>
          <w:rFonts w:ascii="宋体" w:hAnsi="宋体"/>
          <w:szCs w:val="21"/>
        </w:rPr>
      </w:pPr>
      <w:r>
        <w:rPr>
          <w:rFonts w:hint="eastAsia" w:ascii="宋体" w:hAnsi="宋体"/>
          <w:szCs w:val="21"/>
        </w:rPr>
        <w:t>孔江水库建成后，江西省信丰县又于上游兴建中坝水库，拦截集雨面积</w:t>
      </w:r>
      <w:r>
        <w:rPr>
          <w:rFonts w:ascii="宋体" w:hAnsi="宋体"/>
          <w:szCs w:val="21"/>
        </w:rPr>
        <w:t>26.25平</w:t>
      </w:r>
      <w:r>
        <w:rPr>
          <w:rFonts w:hint="eastAsia" w:ascii="宋体" w:hAnsi="宋体"/>
          <w:szCs w:val="21"/>
        </w:rPr>
        <w:t>方公里水源，孔江水库来水量减少了</w:t>
      </w:r>
      <w:r>
        <w:rPr>
          <w:rFonts w:ascii="宋体" w:hAnsi="宋体"/>
          <w:szCs w:val="21"/>
        </w:rPr>
        <w:t>33%</w:t>
      </w:r>
      <w:r>
        <w:rPr>
          <w:rFonts w:hint="eastAsia" w:ascii="宋体" w:hAnsi="宋体"/>
          <w:szCs w:val="21"/>
        </w:rPr>
        <w:t>。</w:t>
      </w:r>
      <w:r>
        <w:rPr>
          <w:rFonts w:ascii="宋体" w:hAnsi="宋体"/>
          <w:szCs w:val="21"/>
        </w:rPr>
        <w:t>为保证孔江水库原灌区的供水量，1988</w:t>
      </w:r>
      <w:r>
        <w:rPr>
          <w:rFonts w:hint="eastAsia" w:ascii="宋体" w:hAnsi="宋体"/>
          <w:szCs w:val="21"/>
        </w:rPr>
        <w:t>年兴建大竹引水工程，将大竹河水引入孔江水库。在铜罗湾村建拦河坝，集雨面积</w:t>
      </w:r>
      <w:r>
        <w:rPr>
          <w:rFonts w:ascii="宋体" w:hAnsi="宋体"/>
          <w:szCs w:val="21"/>
        </w:rPr>
        <w:t>22平方公里，引水渠全长3.48公里，引水流量每秒0.4立方米。工程土方4.53万立</w:t>
      </w:r>
      <w:r>
        <w:rPr>
          <w:rFonts w:hint="eastAsia" w:ascii="宋体" w:hAnsi="宋体"/>
          <w:szCs w:val="21"/>
        </w:rPr>
        <w:t>方米，石方</w:t>
      </w:r>
      <w:r>
        <w:rPr>
          <w:rFonts w:ascii="宋体" w:hAnsi="宋体"/>
          <w:szCs w:val="21"/>
        </w:rPr>
        <w:t>2.48万立方米，耗资62.6万元，其中省投资25万元。此引水工程使孔</w:t>
      </w:r>
      <w:r>
        <w:rPr>
          <w:rFonts w:hint="eastAsia" w:ascii="宋体" w:hAnsi="宋体"/>
          <w:szCs w:val="21"/>
        </w:rPr>
        <w:t>江水库每年可增加千余万立方米水量，并可增加水渠以下</w:t>
      </w:r>
      <w:r>
        <w:rPr>
          <w:rFonts w:ascii="宋体" w:hAnsi="宋体"/>
          <w:szCs w:val="21"/>
        </w:rPr>
        <w:t>53.33公顷农田灌溉用水，</w:t>
      </w:r>
      <w:r>
        <w:rPr>
          <w:rFonts w:hint="eastAsia" w:ascii="宋体" w:hAnsi="宋体"/>
          <w:szCs w:val="21"/>
        </w:rPr>
        <w:t>使大竹河两岸</w:t>
      </w:r>
      <w:r>
        <w:rPr>
          <w:rFonts w:ascii="宋体" w:hAnsi="宋体"/>
          <w:szCs w:val="21"/>
        </w:rPr>
        <w:t>80公顷农田免受洪水威胁。</w:t>
      </w:r>
    </w:p>
    <w:p w14:paraId="31C5FB88">
      <w:pPr>
        <w:ind w:firstLine="420"/>
        <w:rPr>
          <w:rFonts w:ascii="宋体" w:hAnsi="宋体"/>
          <w:szCs w:val="21"/>
        </w:rPr>
      </w:pPr>
      <w:r>
        <w:rPr>
          <w:rFonts w:hint="eastAsia" w:ascii="宋体" w:hAnsi="宋体"/>
          <w:szCs w:val="21"/>
        </w:rPr>
        <w:t>孔江水库干渠</w:t>
      </w:r>
      <w:r>
        <w:rPr>
          <w:rFonts w:ascii="宋体" w:hAnsi="宋体"/>
          <w:szCs w:val="21"/>
        </w:rPr>
        <w:t>54公里，经20多年运行后，崩塌、渗漏严重，达不到设计灌溉效</w:t>
      </w:r>
      <w:r>
        <w:rPr>
          <w:rFonts w:hint="eastAsia" w:ascii="宋体" w:hAnsi="宋体"/>
          <w:szCs w:val="21"/>
        </w:rPr>
        <w:t>益。</w:t>
      </w:r>
      <w:r>
        <w:rPr>
          <w:rFonts w:ascii="宋体" w:hAnsi="宋体"/>
          <w:szCs w:val="21"/>
        </w:rPr>
        <w:t>1989年冬开始防渗施工，至2000年春全线竣工，共完成浆砌石四面光渠道1365</w:t>
      </w:r>
      <w:r>
        <w:rPr>
          <w:rFonts w:hint="eastAsia" w:ascii="宋体" w:hAnsi="宋体"/>
          <w:szCs w:val="21"/>
        </w:rPr>
        <w:t>米、三面光</w:t>
      </w:r>
      <w:r>
        <w:rPr>
          <w:rFonts w:ascii="宋体" w:hAnsi="宋体"/>
          <w:szCs w:val="21"/>
        </w:rPr>
        <w:t>6881米，混凝土三面光10015米，新建渡槽7座长790米，新建隧洞4</w:t>
      </w:r>
      <w:r>
        <w:rPr>
          <w:rFonts w:hint="eastAsia" w:ascii="宋体" w:hAnsi="宋体"/>
          <w:szCs w:val="21"/>
        </w:rPr>
        <w:t>座长</w:t>
      </w:r>
      <w:r>
        <w:rPr>
          <w:rFonts w:ascii="宋体" w:hAnsi="宋体"/>
          <w:szCs w:val="21"/>
        </w:rPr>
        <w:t>584米，新衬砌老隧洞9座长585米，维修加固老渡槽800米，建附属工程198</w:t>
      </w:r>
      <w:r>
        <w:rPr>
          <w:rFonts w:hint="eastAsia" w:ascii="宋体" w:hAnsi="宋体"/>
          <w:szCs w:val="21"/>
        </w:rPr>
        <w:t>宗。</w:t>
      </w:r>
    </w:p>
    <w:p w14:paraId="1FA2BE9C">
      <w:pPr>
        <w:ind w:firstLine="422"/>
        <w:rPr>
          <w:rFonts w:ascii="宋体" w:hAnsi="宋体"/>
          <w:szCs w:val="21"/>
        </w:rPr>
      </w:pPr>
      <w:r>
        <w:rPr>
          <w:rFonts w:hint="eastAsia" w:ascii="宋体" w:hAnsi="宋体"/>
          <w:b/>
          <w:szCs w:val="21"/>
        </w:rPr>
        <w:t>（</w:t>
      </w:r>
      <w:r>
        <w:rPr>
          <w:rFonts w:ascii="宋体" w:hAnsi="宋体"/>
          <w:b/>
          <w:szCs w:val="21"/>
        </w:rPr>
        <w:t>4）瀑布水库。</w:t>
      </w:r>
      <w:r>
        <w:rPr>
          <w:rFonts w:ascii="宋体" w:hAnsi="宋体"/>
          <w:szCs w:val="21"/>
        </w:rPr>
        <w:t>总库容3400万立方米，灌溉面积1200公顷。1970年冬动工，1974年8月基本建成。1973年建成一级电站，1976年建成二级电站，共装机6700千</w:t>
      </w:r>
      <w:r>
        <w:rPr>
          <w:rFonts w:hint="eastAsia" w:ascii="宋体" w:hAnsi="宋体"/>
          <w:szCs w:val="21"/>
        </w:rPr>
        <w:t>瓦，年发电</w:t>
      </w:r>
      <w:r>
        <w:rPr>
          <w:rFonts w:ascii="宋体" w:hAnsi="宋体"/>
          <w:szCs w:val="21"/>
        </w:rPr>
        <w:t>1955万千瓦时。发电后的水引入瀑布引水工程灌溉农田，并为县城食水</w:t>
      </w:r>
      <w:r>
        <w:rPr>
          <w:rFonts w:hint="eastAsia" w:ascii="宋体" w:hAnsi="宋体"/>
          <w:szCs w:val="21"/>
        </w:rPr>
        <w:t>提供了充足水源。（详见本节工程建设专记）</w:t>
      </w:r>
    </w:p>
    <w:p w14:paraId="4507CAB6">
      <w:pPr>
        <w:ind w:firstLine="420"/>
        <w:rPr>
          <w:rFonts w:ascii="宋体" w:hAnsi="宋体"/>
          <w:szCs w:val="21"/>
        </w:rPr>
      </w:pPr>
      <w:r>
        <w:rPr>
          <w:rFonts w:ascii="宋体" w:hAnsi="宋体"/>
          <w:szCs w:val="21"/>
        </w:rPr>
        <w:t>1983年3月28日，土坝左侧背水坡发生滑坡一处，最深处8米，总土方11648</w:t>
      </w:r>
      <w:r>
        <w:rPr>
          <w:rFonts w:hint="eastAsia" w:ascii="宋体" w:hAnsi="宋体"/>
          <w:szCs w:val="21"/>
        </w:rPr>
        <w:t>立方米，并出现泉涌。主要原因是填坝泥土含沙多，黏结力弱，连日暴雨，渗入大量雨水所致。险情发生后，即拉闸排水，减少库容，并组织</w:t>
      </w:r>
      <w:r>
        <w:rPr>
          <w:rFonts w:ascii="宋体" w:hAnsi="宋体"/>
          <w:szCs w:val="21"/>
        </w:rPr>
        <w:t>3</w:t>
      </w:r>
      <w:r>
        <w:rPr>
          <w:rFonts w:hint="eastAsia" w:ascii="宋体" w:hAnsi="宋体"/>
          <w:szCs w:val="21"/>
        </w:rPr>
        <w:t>0</w:t>
      </w:r>
      <w:r>
        <w:rPr>
          <w:rFonts w:ascii="宋体" w:hAnsi="宋体"/>
          <w:szCs w:val="21"/>
        </w:rPr>
        <w:t>00多名民工奋战7昼夜，</w:t>
      </w:r>
      <w:r>
        <w:rPr>
          <w:rFonts w:hint="eastAsia" w:ascii="宋体" w:hAnsi="宋体"/>
          <w:szCs w:val="21"/>
        </w:rPr>
        <w:t>解除垮坝危险。</w:t>
      </w:r>
      <w:r>
        <w:rPr>
          <w:rFonts w:ascii="宋体" w:hAnsi="宋体"/>
          <w:szCs w:val="21"/>
        </w:rPr>
        <w:t>1986年3月完成了加固工作。</w:t>
      </w:r>
    </w:p>
    <w:p w14:paraId="1462ABDB">
      <w:pPr>
        <w:ind w:firstLine="422"/>
        <w:rPr>
          <w:rFonts w:ascii="宋体" w:hAnsi="宋体"/>
          <w:szCs w:val="21"/>
        </w:rPr>
      </w:pPr>
      <w:r>
        <w:rPr>
          <w:rFonts w:hint="eastAsia" w:ascii="宋体" w:hAnsi="宋体"/>
          <w:b/>
          <w:szCs w:val="21"/>
        </w:rPr>
        <w:t>（</w:t>
      </w:r>
      <w:r>
        <w:rPr>
          <w:rFonts w:ascii="宋体" w:hAnsi="宋体"/>
          <w:b/>
          <w:szCs w:val="21"/>
        </w:rPr>
        <w:t>5）宝江水库。</w:t>
      </w:r>
      <w:r>
        <w:rPr>
          <w:rFonts w:ascii="宋体" w:hAnsi="宋体"/>
          <w:szCs w:val="21"/>
        </w:rPr>
        <w:t>宝江水库在浈江南岸，水口镇清水塘村宝江水上游。1980年基</w:t>
      </w:r>
      <w:r>
        <w:rPr>
          <w:rFonts w:hint="eastAsia" w:ascii="宋体" w:hAnsi="宋体"/>
          <w:szCs w:val="21"/>
        </w:rPr>
        <w:t>本建成。总库容</w:t>
      </w:r>
      <w:r>
        <w:rPr>
          <w:rFonts w:ascii="宋体" w:hAnsi="宋体"/>
          <w:szCs w:val="21"/>
        </w:rPr>
        <w:t>2367万立方米，设计灌溉面积2153.33公顷，已达到1046.67公顷。</w:t>
      </w:r>
      <w:r>
        <w:rPr>
          <w:rFonts w:hint="eastAsia" w:ascii="宋体" w:hAnsi="宋体"/>
          <w:szCs w:val="21"/>
        </w:rPr>
        <w:t>输水涵洞直径</w:t>
      </w:r>
      <w:r>
        <w:rPr>
          <w:rFonts w:ascii="宋体" w:hAnsi="宋体"/>
          <w:szCs w:val="21"/>
        </w:rPr>
        <w:t>1.8米，最大泄流每秒28.3立方米。分东、中、西3条干渠，共长23.8公里，建渡槽12座，共长1087米。其中，中干渠原设计建倒虹吸工程引水至浈</w:t>
      </w:r>
      <w:r>
        <w:rPr>
          <w:rFonts w:hint="eastAsia" w:ascii="宋体" w:hAnsi="宋体"/>
          <w:szCs w:val="21"/>
        </w:rPr>
        <w:t>江北岸，后经反复比较，决定采用建渡槽方案，由县水电局设计施工。渡槽全长</w:t>
      </w:r>
      <w:r>
        <w:rPr>
          <w:rFonts w:ascii="宋体" w:hAnsi="宋体"/>
          <w:szCs w:val="21"/>
        </w:rPr>
        <w:t>1940米，共分190跨，191个槽墩。其中，跨河段13跨，长130米，最大高度26.5</w:t>
      </w:r>
      <w:r>
        <w:rPr>
          <w:rFonts w:hint="eastAsia" w:ascii="宋体" w:hAnsi="宋体"/>
          <w:szCs w:val="21"/>
        </w:rPr>
        <w:t>米。渡槽支承结构，采用“工”字形变截面主柱</w:t>
      </w:r>
      <w:r>
        <w:rPr>
          <w:rFonts w:ascii="宋体" w:hAnsi="宋体"/>
          <w:szCs w:val="21"/>
        </w:rPr>
        <w:t>A型排架和变截面空腹立柱。排架、</w:t>
      </w:r>
      <w:r>
        <w:rPr>
          <w:rFonts w:hint="eastAsia" w:ascii="宋体" w:hAnsi="宋体"/>
          <w:szCs w:val="21"/>
        </w:rPr>
        <w:t>槽壳采用现场预制浇筑；排架、槽壳的吊装，采用“人”字木朳杆土法吊装。该工程于</w:t>
      </w:r>
      <w:r>
        <w:rPr>
          <w:rFonts w:ascii="宋体" w:hAnsi="宋体"/>
          <w:szCs w:val="21"/>
        </w:rPr>
        <w:t>1987年10月动工，1988年10月竣工通水。渡槽过水流量每秒1.5立方米。</w:t>
      </w:r>
    </w:p>
    <w:p w14:paraId="5D9C7F2D">
      <w:pPr>
        <w:ind w:firstLine="422"/>
        <w:rPr>
          <w:rFonts w:ascii="宋体" w:hAnsi="宋体"/>
          <w:szCs w:val="21"/>
        </w:rPr>
      </w:pPr>
      <w:r>
        <w:rPr>
          <w:rFonts w:hint="eastAsia" w:ascii="宋体" w:hAnsi="宋体"/>
          <w:b/>
          <w:szCs w:val="21"/>
        </w:rPr>
        <w:t>（</w:t>
      </w:r>
      <w:r>
        <w:rPr>
          <w:rFonts w:ascii="宋体" w:hAnsi="宋体"/>
          <w:b/>
          <w:szCs w:val="21"/>
        </w:rPr>
        <w:t>6）苍石水库电站工程。</w:t>
      </w:r>
      <w:r>
        <w:rPr>
          <w:rFonts w:ascii="宋体" w:hAnsi="宋体"/>
          <w:szCs w:val="21"/>
        </w:rPr>
        <w:t>位于全安镇大坪村。设计最大库容1176万立方米，坝</w:t>
      </w:r>
      <w:r>
        <w:rPr>
          <w:rFonts w:hint="eastAsia" w:ascii="宋体" w:hAnsi="宋体"/>
          <w:szCs w:val="21"/>
        </w:rPr>
        <w:t>高</w:t>
      </w:r>
      <w:r>
        <w:rPr>
          <w:rFonts w:ascii="宋体" w:hAnsi="宋体"/>
          <w:szCs w:val="21"/>
        </w:rPr>
        <w:t>63.8米，集雨面积46.25平方公里。坝型为浆砌石重力坝，坝顶长201米，坝底</w:t>
      </w:r>
      <w:r>
        <w:rPr>
          <w:rFonts w:hint="eastAsia" w:ascii="宋体" w:hAnsi="宋体"/>
          <w:szCs w:val="21"/>
        </w:rPr>
        <w:t>宽</w:t>
      </w:r>
      <w:r>
        <w:rPr>
          <w:rFonts w:ascii="宋体" w:hAnsi="宋体"/>
          <w:szCs w:val="21"/>
        </w:rPr>
        <w:t>51.83米。溢洪道为2孔，宽20米，500年一遇洪水，下洩流量每秒623.71立方</w:t>
      </w:r>
      <w:r>
        <w:rPr>
          <w:rFonts w:hint="eastAsia" w:ascii="宋体" w:hAnsi="宋体"/>
          <w:szCs w:val="21"/>
        </w:rPr>
        <w:t>米，由两扇弧形闸门控制。需迁安移民</w:t>
      </w:r>
      <w:r>
        <w:rPr>
          <w:rFonts w:ascii="宋体" w:hAnsi="宋体"/>
          <w:szCs w:val="21"/>
        </w:rPr>
        <w:t>62户279人。该工程可行性研究报告和设计，</w:t>
      </w:r>
      <w:r>
        <w:rPr>
          <w:rFonts w:hint="eastAsia" w:ascii="宋体" w:hAnsi="宋体"/>
          <w:szCs w:val="21"/>
        </w:rPr>
        <w:t>均由省水利电力勘测院完成，施工技术设计由南雄县水电设计室完成。主要建筑物有：浆砌石大坝、溢洪道、放水塔、压力管及坝后电站（装机</w:t>
      </w:r>
      <w:r>
        <w:rPr>
          <w:rFonts w:ascii="宋体" w:hAnsi="宋体"/>
          <w:szCs w:val="21"/>
        </w:rPr>
        <w:t>2×400千瓦，二级电</w:t>
      </w:r>
      <w:r>
        <w:rPr>
          <w:rFonts w:hint="eastAsia" w:ascii="宋体" w:hAnsi="宋体"/>
          <w:szCs w:val="21"/>
        </w:rPr>
        <w:t>站增</w:t>
      </w:r>
      <w:r>
        <w:rPr>
          <w:rFonts w:ascii="宋体" w:hAnsi="宋体"/>
          <w:szCs w:val="21"/>
        </w:rPr>
        <w:t>1×1250千瓦机组）。工程于1992年11月奠基动工，2001年10月竣工。历时9</w:t>
      </w:r>
      <w:r>
        <w:rPr>
          <w:rFonts w:hint="eastAsia" w:ascii="宋体" w:hAnsi="宋体"/>
          <w:szCs w:val="21"/>
        </w:rPr>
        <w:t>年，共完成土方</w:t>
      </w:r>
      <w:r>
        <w:rPr>
          <w:rFonts w:ascii="宋体" w:hAnsi="宋体"/>
          <w:szCs w:val="21"/>
        </w:rPr>
        <w:t>6.54万立方米、石方23.5万立方米。其中浆砌石11.4万立方米、</w:t>
      </w:r>
      <w:r>
        <w:rPr>
          <w:rFonts w:hint="eastAsia" w:ascii="宋体" w:hAnsi="宋体"/>
          <w:szCs w:val="21"/>
        </w:rPr>
        <w:t>混凝土</w:t>
      </w:r>
      <w:r>
        <w:rPr>
          <w:rFonts w:ascii="宋体" w:hAnsi="宋体"/>
          <w:szCs w:val="21"/>
        </w:rPr>
        <w:t>2.9万立方米，耗资5000多万元。（详见本节工程建设专记）</w:t>
      </w:r>
    </w:p>
    <w:p w14:paraId="51C88095">
      <w:pPr>
        <w:ind w:firstLine="422"/>
        <w:rPr>
          <w:rFonts w:ascii="宋体" w:hAnsi="宋体"/>
          <w:b/>
          <w:szCs w:val="21"/>
        </w:rPr>
      </w:pPr>
      <w:r>
        <w:rPr>
          <w:rFonts w:ascii="宋体" w:hAnsi="宋体"/>
          <w:b/>
          <w:szCs w:val="21"/>
        </w:rPr>
        <w:t>2.小</w:t>
      </w:r>
      <w:r>
        <w:rPr>
          <w:rFonts w:hint="eastAsia" w:ascii="宋体" w:hAnsi="宋体"/>
          <w:b/>
          <w:szCs w:val="21"/>
        </w:rPr>
        <w:t>（一）</w:t>
      </w:r>
      <w:r>
        <w:rPr>
          <w:rFonts w:ascii="宋体" w:hAnsi="宋体"/>
          <w:b/>
          <w:szCs w:val="21"/>
        </w:rPr>
        <w:t>型水库</w:t>
      </w:r>
    </w:p>
    <w:p w14:paraId="69F0AC3A">
      <w:pPr>
        <w:ind w:firstLine="420"/>
        <w:rPr>
          <w:rFonts w:ascii="宋体" w:hAnsi="宋体"/>
          <w:szCs w:val="21"/>
        </w:rPr>
      </w:pPr>
      <w:r>
        <w:rPr>
          <w:rFonts w:hint="eastAsia" w:ascii="宋体" w:hAnsi="宋体"/>
          <w:szCs w:val="21"/>
        </w:rPr>
        <w:t>全市有乌坭、太源、蛇岭、寨下、梅岭、松山、大坝、竹篙坑、围背、杨梅、罗田</w:t>
      </w:r>
      <w:r>
        <w:rPr>
          <w:rFonts w:ascii="宋体" w:hAnsi="宋体"/>
          <w:szCs w:val="21"/>
        </w:rPr>
        <w:t>11座，均在1955年至1974年建成，总库容3069.7万立方米，有效库容2364.5万</w:t>
      </w:r>
      <w:r>
        <w:rPr>
          <w:rFonts w:hint="eastAsia" w:ascii="宋体" w:hAnsi="宋体"/>
          <w:szCs w:val="21"/>
        </w:rPr>
        <w:t>立方米，灌溉面积</w:t>
      </w:r>
      <w:r>
        <w:rPr>
          <w:rFonts w:ascii="宋体" w:hAnsi="宋体"/>
          <w:szCs w:val="21"/>
        </w:rPr>
        <w:t>5233.33公顷。从1994年9月至2005年9月已全部按省人大议案</w:t>
      </w:r>
      <w:r>
        <w:rPr>
          <w:rFonts w:hint="eastAsia" w:ascii="宋体" w:hAnsi="宋体"/>
          <w:szCs w:val="21"/>
        </w:rPr>
        <w:t>要求，完成了除险加固工程。各水库除险加固概况：</w:t>
      </w:r>
    </w:p>
    <w:p w14:paraId="78E4F240">
      <w:pPr>
        <w:ind w:firstLine="422"/>
        <w:rPr>
          <w:rFonts w:ascii="宋体" w:hAnsi="宋体"/>
          <w:szCs w:val="21"/>
        </w:rPr>
      </w:pPr>
      <w:r>
        <w:rPr>
          <w:rFonts w:hint="eastAsia" w:ascii="宋体" w:hAnsi="宋体"/>
          <w:b/>
          <w:szCs w:val="21"/>
        </w:rPr>
        <w:t>（</w:t>
      </w:r>
      <w:r>
        <w:rPr>
          <w:rFonts w:ascii="宋体" w:hAnsi="宋体"/>
          <w:b/>
          <w:szCs w:val="21"/>
        </w:rPr>
        <w:t>1）太源水库。</w:t>
      </w:r>
      <w:r>
        <w:rPr>
          <w:rFonts w:ascii="宋体" w:hAnsi="宋体"/>
          <w:szCs w:val="21"/>
        </w:rPr>
        <w:t>因溢洪道出现导水翼墙下沉开裂，裂缝达5厘米～8厘米，被列</w:t>
      </w:r>
      <w:r>
        <w:rPr>
          <w:rFonts w:hint="eastAsia" w:ascii="宋体" w:hAnsi="宋体"/>
          <w:szCs w:val="21"/>
        </w:rPr>
        <w:t>入省重点除险加固急修工程。于</w:t>
      </w:r>
      <w:r>
        <w:rPr>
          <w:rFonts w:ascii="宋体" w:hAnsi="宋体"/>
          <w:szCs w:val="21"/>
        </w:rPr>
        <w:t>1994年10月1日动工，1995年9月完成溢洪道改造</w:t>
      </w:r>
      <w:r>
        <w:rPr>
          <w:rFonts w:hint="eastAsia" w:ascii="宋体" w:hAnsi="宋体"/>
          <w:szCs w:val="21"/>
        </w:rPr>
        <w:t>工程，</w:t>
      </w:r>
      <w:r>
        <w:rPr>
          <w:rFonts w:ascii="宋体" w:hAnsi="宋体"/>
          <w:szCs w:val="21"/>
        </w:rPr>
        <w:t>2001年完成土坝灌浆任务。</w:t>
      </w:r>
    </w:p>
    <w:p w14:paraId="54BCD4D2">
      <w:pPr>
        <w:ind w:firstLine="422"/>
        <w:rPr>
          <w:rFonts w:ascii="宋体" w:hAnsi="宋体"/>
          <w:szCs w:val="21"/>
        </w:rPr>
      </w:pPr>
      <w:r>
        <w:rPr>
          <w:rFonts w:hint="eastAsia" w:ascii="宋体" w:hAnsi="宋体"/>
          <w:b/>
          <w:szCs w:val="21"/>
        </w:rPr>
        <w:t>（</w:t>
      </w:r>
      <w:r>
        <w:rPr>
          <w:rFonts w:ascii="宋体" w:hAnsi="宋体"/>
          <w:b/>
          <w:szCs w:val="21"/>
        </w:rPr>
        <w:t>2）罗田水库。</w:t>
      </w:r>
      <w:r>
        <w:rPr>
          <w:rFonts w:ascii="宋体" w:hAnsi="宋体"/>
          <w:szCs w:val="21"/>
        </w:rPr>
        <w:t>主坝背水坡曾于1996年先后2次发生跌窝、管涌。当年被列入</w:t>
      </w:r>
      <w:r>
        <w:rPr>
          <w:rFonts w:hint="eastAsia" w:ascii="宋体" w:hAnsi="宋体"/>
          <w:szCs w:val="21"/>
        </w:rPr>
        <w:t>省人大议案重点加固工程。工程项目：主坝灌浆、建反滤体、重建放水涵、主坝副坝前坡砼护坡，后坡整治等。</w:t>
      </w:r>
      <w:r>
        <w:rPr>
          <w:rFonts w:ascii="宋体" w:hAnsi="宋体"/>
          <w:szCs w:val="21"/>
        </w:rPr>
        <w:t>1996年冬动工，1998年全面完成</w:t>
      </w:r>
      <w:r>
        <w:rPr>
          <w:rFonts w:hint="eastAsia" w:ascii="宋体" w:hAnsi="宋体"/>
          <w:szCs w:val="21"/>
        </w:rPr>
        <w:t>。</w:t>
      </w:r>
    </w:p>
    <w:p w14:paraId="77055A71">
      <w:pPr>
        <w:ind w:firstLine="422"/>
        <w:rPr>
          <w:rFonts w:ascii="宋体" w:hAnsi="宋体"/>
          <w:szCs w:val="21"/>
        </w:rPr>
      </w:pPr>
      <w:r>
        <w:rPr>
          <w:rFonts w:hint="eastAsia" w:ascii="宋体" w:hAnsi="宋体"/>
          <w:b/>
          <w:szCs w:val="21"/>
        </w:rPr>
        <w:t>（</w:t>
      </w:r>
      <w:r>
        <w:rPr>
          <w:rFonts w:ascii="宋体" w:hAnsi="宋体"/>
          <w:b/>
          <w:szCs w:val="21"/>
        </w:rPr>
        <w:t>3）围背水库。</w:t>
      </w:r>
      <w:r>
        <w:rPr>
          <w:rFonts w:ascii="宋体" w:hAnsi="宋体"/>
          <w:szCs w:val="21"/>
        </w:rPr>
        <w:t>列</w:t>
      </w:r>
      <w:r>
        <w:rPr>
          <w:rFonts w:hint="eastAsia" w:ascii="宋体" w:hAnsi="宋体"/>
          <w:szCs w:val="21"/>
        </w:rPr>
        <w:t>入</w:t>
      </w:r>
      <w:r>
        <w:rPr>
          <w:rFonts w:ascii="宋体" w:hAnsi="宋体"/>
          <w:szCs w:val="21"/>
        </w:rPr>
        <w:t>第一批省人大议案工程，加固项目包括：主、副坝灌浆、</w:t>
      </w:r>
      <w:r>
        <w:rPr>
          <w:rFonts w:hint="eastAsia" w:ascii="宋体" w:hAnsi="宋体"/>
          <w:szCs w:val="21"/>
        </w:rPr>
        <w:t>坝体培厚、迎水坡砼护坡、建反滤体，改造放水涵等。于</w:t>
      </w:r>
      <w:r>
        <w:rPr>
          <w:rFonts w:ascii="宋体" w:hAnsi="宋体"/>
          <w:szCs w:val="21"/>
        </w:rPr>
        <w:t>1996年冬动工，1999年完</w:t>
      </w:r>
      <w:r>
        <w:rPr>
          <w:rFonts w:hint="eastAsia" w:ascii="宋体" w:hAnsi="宋体"/>
          <w:szCs w:val="21"/>
        </w:rPr>
        <w:t>成。</w:t>
      </w:r>
    </w:p>
    <w:p w14:paraId="6E69A642">
      <w:pPr>
        <w:ind w:firstLine="422"/>
        <w:rPr>
          <w:rFonts w:ascii="宋体" w:hAnsi="宋体"/>
          <w:szCs w:val="21"/>
        </w:rPr>
      </w:pPr>
      <w:r>
        <w:rPr>
          <w:rFonts w:hint="eastAsia" w:ascii="宋体" w:hAnsi="宋体"/>
          <w:b/>
          <w:szCs w:val="21"/>
        </w:rPr>
        <w:t>（</w:t>
      </w:r>
      <w:r>
        <w:rPr>
          <w:rFonts w:ascii="宋体" w:hAnsi="宋体"/>
          <w:b/>
          <w:szCs w:val="21"/>
        </w:rPr>
        <w:t>4）乌坭水库。</w:t>
      </w:r>
      <w:r>
        <w:rPr>
          <w:rFonts w:ascii="宋体" w:hAnsi="宋体"/>
          <w:szCs w:val="21"/>
        </w:rPr>
        <w:t>被列入省人大议案工程，加固项目包括：主坝加高、背水坡培</w:t>
      </w:r>
      <w:r>
        <w:rPr>
          <w:rFonts w:hint="eastAsia" w:ascii="宋体" w:hAnsi="宋体"/>
          <w:szCs w:val="21"/>
        </w:rPr>
        <w:t>厚缓坡、坝体灌浆、反滤体扩建、迎水坡砼护坡、溢洪道加固、修筑防洪公路等。工程于</w:t>
      </w:r>
      <w:r>
        <w:rPr>
          <w:rFonts w:ascii="宋体" w:hAnsi="宋体"/>
          <w:szCs w:val="21"/>
        </w:rPr>
        <w:t>2001年10月动工，2002年4月竣工，另于1998年冬修复了从凿岭、小坑引山</w:t>
      </w:r>
      <w:r>
        <w:rPr>
          <w:rFonts w:hint="eastAsia" w:ascii="宋体" w:hAnsi="宋体"/>
          <w:szCs w:val="21"/>
        </w:rPr>
        <w:t>坑水入库渠道</w:t>
      </w:r>
      <w:r>
        <w:rPr>
          <w:rFonts w:ascii="宋体" w:hAnsi="宋体"/>
          <w:szCs w:val="21"/>
        </w:rPr>
        <w:t>3.5公里</w:t>
      </w:r>
      <w:r>
        <w:rPr>
          <w:rFonts w:hint="eastAsia" w:ascii="宋体" w:hAnsi="宋体"/>
          <w:szCs w:val="21"/>
        </w:rPr>
        <w:t>。</w:t>
      </w:r>
    </w:p>
    <w:p w14:paraId="2933ABF5">
      <w:pPr>
        <w:ind w:firstLine="422"/>
        <w:rPr>
          <w:rFonts w:ascii="宋体" w:hAnsi="宋体"/>
          <w:szCs w:val="21"/>
        </w:rPr>
      </w:pPr>
      <w:r>
        <w:rPr>
          <w:rFonts w:hint="eastAsia" w:ascii="宋体" w:hAnsi="宋体"/>
          <w:b/>
          <w:szCs w:val="21"/>
        </w:rPr>
        <w:t>（</w:t>
      </w:r>
      <w:r>
        <w:rPr>
          <w:rFonts w:ascii="宋体" w:hAnsi="宋体"/>
          <w:b/>
          <w:szCs w:val="21"/>
        </w:rPr>
        <w:t>5）蛇岭水库。</w:t>
      </w:r>
      <w:r>
        <w:rPr>
          <w:rFonts w:ascii="宋体" w:hAnsi="宋体"/>
          <w:szCs w:val="21"/>
        </w:rPr>
        <w:t>列</w:t>
      </w:r>
      <w:r>
        <w:rPr>
          <w:rFonts w:hint="eastAsia" w:ascii="宋体" w:hAnsi="宋体"/>
          <w:szCs w:val="21"/>
        </w:rPr>
        <w:t>入</w:t>
      </w:r>
      <w:r>
        <w:rPr>
          <w:rFonts w:ascii="宋体" w:hAnsi="宋体"/>
          <w:szCs w:val="21"/>
        </w:rPr>
        <w:t>省人大议案工程，加固主要项目：土坝灌浆、坝顶加防浪</w:t>
      </w:r>
      <w:r>
        <w:rPr>
          <w:rFonts w:hint="eastAsia" w:ascii="宋体" w:hAnsi="宋体"/>
          <w:szCs w:val="21"/>
        </w:rPr>
        <w:t>墙、迎水坡砼护坡、建反滤体、改造溢洪道和维修防洪上坝公路硬化等。工程</w:t>
      </w:r>
      <w:r>
        <w:rPr>
          <w:rFonts w:ascii="宋体" w:hAnsi="宋体"/>
          <w:szCs w:val="21"/>
        </w:rPr>
        <w:t>2000</w:t>
      </w:r>
      <w:r>
        <w:rPr>
          <w:rFonts w:hint="eastAsia" w:ascii="宋体" w:hAnsi="宋体"/>
          <w:szCs w:val="21"/>
        </w:rPr>
        <w:t>年</w:t>
      </w:r>
      <w:r>
        <w:rPr>
          <w:rFonts w:ascii="宋体" w:hAnsi="宋体"/>
          <w:szCs w:val="21"/>
        </w:rPr>
        <w:t>8月动工，2002年3月竣工</w:t>
      </w:r>
      <w:r>
        <w:rPr>
          <w:rFonts w:hint="eastAsia" w:ascii="宋体" w:hAnsi="宋体"/>
          <w:szCs w:val="21"/>
        </w:rPr>
        <w:t>。</w:t>
      </w:r>
    </w:p>
    <w:p w14:paraId="4C733647">
      <w:pPr>
        <w:ind w:firstLine="422"/>
        <w:rPr>
          <w:rFonts w:ascii="宋体" w:hAnsi="宋体"/>
          <w:szCs w:val="21"/>
        </w:rPr>
      </w:pPr>
      <w:r>
        <w:rPr>
          <w:rFonts w:hint="eastAsia" w:ascii="宋体" w:hAnsi="宋体"/>
          <w:b/>
          <w:szCs w:val="21"/>
        </w:rPr>
        <w:t>（</w:t>
      </w:r>
      <w:r>
        <w:rPr>
          <w:rFonts w:ascii="宋体" w:hAnsi="宋体"/>
          <w:b/>
          <w:szCs w:val="21"/>
        </w:rPr>
        <w:t>6）杨梅水库。</w:t>
      </w:r>
      <w:r>
        <w:rPr>
          <w:rFonts w:ascii="宋体" w:hAnsi="宋体"/>
          <w:szCs w:val="21"/>
        </w:rPr>
        <w:t>加固前主要存在问题：背水坡漏水；迎水坡干砌石护坡已部分</w:t>
      </w:r>
      <w:r>
        <w:rPr>
          <w:rFonts w:hint="eastAsia" w:ascii="宋体" w:hAnsi="宋体"/>
          <w:szCs w:val="21"/>
        </w:rPr>
        <w:t>风化，高低不平；大坝右岸山体有塌方现象，威胁放水涵；隧洞启闭设施老化，部分失灵，需更换；消力池出现裂缝，泄洪时洪水流不出，有回冲侧坝脚，需改建消力池排鼻坎及消力池脚加固。列入</w:t>
      </w:r>
      <w:r>
        <w:rPr>
          <w:rFonts w:ascii="宋体" w:hAnsi="宋体"/>
          <w:szCs w:val="21"/>
        </w:rPr>
        <w:t>2003年加固计划，2004年2月动工，同年9月竣工。</w:t>
      </w:r>
    </w:p>
    <w:p w14:paraId="345CD8F7">
      <w:pPr>
        <w:ind w:firstLine="422"/>
        <w:rPr>
          <w:rFonts w:ascii="宋体" w:hAnsi="宋体"/>
          <w:szCs w:val="21"/>
        </w:rPr>
      </w:pPr>
      <w:r>
        <w:rPr>
          <w:rFonts w:hint="eastAsia" w:ascii="宋体" w:hAnsi="宋体"/>
          <w:b/>
          <w:szCs w:val="21"/>
        </w:rPr>
        <w:t>（</w:t>
      </w:r>
      <w:r>
        <w:rPr>
          <w:rFonts w:ascii="宋体" w:hAnsi="宋体"/>
          <w:b/>
          <w:szCs w:val="21"/>
        </w:rPr>
        <w:t>7）梅岭水库。</w:t>
      </w:r>
      <w:r>
        <w:rPr>
          <w:rFonts w:ascii="宋体" w:hAnsi="宋体"/>
          <w:szCs w:val="21"/>
        </w:rPr>
        <w:t>加固前存在问题：坝顶高程达不到防洪标准，按50年一遇要</w:t>
      </w:r>
      <w:r>
        <w:rPr>
          <w:rFonts w:hint="eastAsia" w:ascii="宋体" w:hAnsi="宋体"/>
          <w:szCs w:val="21"/>
        </w:rPr>
        <w:t>求，应加高</w:t>
      </w:r>
      <w:r>
        <w:rPr>
          <w:rFonts w:ascii="宋体" w:hAnsi="宋体"/>
          <w:szCs w:val="21"/>
        </w:rPr>
        <w:t>0.81米；后坡不稳定；上游护坡石已部分风化，高低不平；原管养房，</w:t>
      </w:r>
      <w:r>
        <w:rPr>
          <w:rFonts w:hint="eastAsia" w:ascii="宋体" w:hAnsi="宋体"/>
          <w:szCs w:val="21"/>
        </w:rPr>
        <w:t>多处出现裂缝，属危房；上坝公路为黄泥路面，雨天车辆难行，影响防洪安全。于</w:t>
      </w:r>
      <w:r>
        <w:rPr>
          <w:rFonts w:ascii="宋体" w:hAnsi="宋体"/>
          <w:szCs w:val="21"/>
        </w:rPr>
        <w:t>2004年2月动工，同年9月竣工</w:t>
      </w:r>
      <w:r>
        <w:rPr>
          <w:rFonts w:hint="eastAsia" w:ascii="宋体" w:hAnsi="宋体"/>
          <w:szCs w:val="21"/>
        </w:rPr>
        <w:t>。</w:t>
      </w:r>
    </w:p>
    <w:p w14:paraId="2E08076D">
      <w:pPr>
        <w:ind w:firstLine="422"/>
        <w:rPr>
          <w:rFonts w:ascii="宋体" w:hAnsi="宋体"/>
          <w:szCs w:val="21"/>
        </w:rPr>
      </w:pPr>
      <w:r>
        <w:rPr>
          <w:rFonts w:hint="eastAsia" w:ascii="宋体" w:hAnsi="宋体"/>
          <w:b/>
          <w:szCs w:val="21"/>
        </w:rPr>
        <w:t>（</w:t>
      </w:r>
      <w:r>
        <w:rPr>
          <w:rFonts w:ascii="宋体" w:hAnsi="宋体"/>
          <w:b/>
          <w:szCs w:val="21"/>
        </w:rPr>
        <w:t>8）松山水库。</w:t>
      </w:r>
      <w:r>
        <w:rPr>
          <w:rFonts w:ascii="宋体" w:hAnsi="宋体"/>
          <w:szCs w:val="21"/>
        </w:rPr>
        <w:t>加固前存在问题：主坝长期存在严重渗漏现象，随水库水位升</w:t>
      </w:r>
      <w:r>
        <w:rPr>
          <w:rFonts w:hint="eastAsia" w:ascii="宋体" w:hAnsi="宋体"/>
          <w:szCs w:val="21"/>
        </w:rPr>
        <w:t>高而加剧，无反滤体；水库溢洪道自建成未溢洪，被当地群众开荒种植，堆积泥土，堵塞，衬砌表面剥落；坝前坡护坡石风化严重，失去护坡作用；无管养房；输水涵管漏水，启闭设施不灵。于</w:t>
      </w:r>
      <w:r>
        <w:rPr>
          <w:rFonts w:ascii="宋体" w:hAnsi="宋体"/>
          <w:szCs w:val="21"/>
        </w:rPr>
        <w:t>2004年2月动工，同年9月竣工</w:t>
      </w:r>
      <w:r>
        <w:rPr>
          <w:rFonts w:hint="eastAsia" w:ascii="宋体" w:hAnsi="宋体"/>
          <w:szCs w:val="21"/>
        </w:rPr>
        <w:t>。</w:t>
      </w:r>
    </w:p>
    <w:p w14:paraId="64EFE327">
      <w:pPr>
        <w:ind w:firstLine="422"/>
        <w:rPr>
          <w:rFonts w:ascii="宋体" w:hAnsi="宋体"/>
          <w:szCs w:val="21"/>
        </w:rPr>
      </w:pPr>
      <w:r>
        <w:rPr>
          <w:rFonts w:hint="eastAsia" w:ascii="宋体" w:hAnsi="宋体"/>
          <w:b/>
          <w:szCs w:val="21"/>
        </w:rPr>
        <w:t>（</w:t>
      </w:r>
      <w:r>
        <w:rPr>
          <w:rFonts w:ascii="宋体" w:hAnsi="宋体"/>
          <w:b/>
          <w:szCs w:val="21"/>
        </w:rPr>
        <w:t>9）竹篙坑水库。</w:t>
      </w:r>
      <w:r>
        <w:rPr>
          <w:rFonts w:ascii="宋体" w:hAnsi="宋体"/>
          <w:szCs w:val="21"/>
        </w:rPr>
        <w:t>加固项目包括土坝加固处理、溢洪道改造、放水涵改造、白</w:t>
      </w:r>
      <w:r>
        <w:rPr>
          <w:rFonts w:hint="eastAsia" w:ascii="宋体" w:hAnsi="宋体"/>
          <w:szCs w:val="21"/>
        </w:rPr>
        <w:t>蚁防治、观测设备等。</w:t>
      </w:r>
      <w:r>
        <w:rPr>
          <w:rFonts w:ascii="宋体" w:hAnsi="宋体"/>
          <w:szCs w:val="21"/>
        </w:rPr>
        <w:t>2003年列</w:t>
      </w:r>
      <w:r>
        <w:rPr>
          <w:rFonts w:hint="eastAsia" w:ascii="宋体" w:hAnsi="宋体"/>
          <w:szCs w:val="21"/>
        </w:rPr>
        <w:t>入</w:t>
      </w:r>
      <w:r>
        <w:rPr>
          <w:rFonts w:ascii="宋体" w:hAnsi="宋体"/>
          <w:szCs w:val="21"/>
        </w:rPr>
        <w:t>加固计划，于2004年2月动工，同年9月竣工。</w:t>
      </w:r>
    </w:p>
    <w:p w14:paraId="4CF13D1F">
      <w:pPr>
        <w:ind w:firstLine="422"/>
        <w:rPr>
          <w:rFonts w:ascii="宋体" w:hAnsi="宋体"/>
          <w:szCs w:val="21"/>
        </w:rPr>
      </w:pPr>
      <w:r>
        <w:rPr>
          <w:rFonts w:hint="eastAsia" w:ascii="宋体" w:hAnsi="宋体"/>
          <w:b/>
          <w:szCs w:val="21"/>
        </w:rPr>
        <w:t>（</w:t>
      </w:r>
      <w:r>
        <w:rPr>
          <w:rFonts w:ascii="宋体" w:hAnsi="宋体"/>
          <w:b/>
          <w:szCs w:val="21"/>
        </w:rPr>
        <w:t>10）寨下水库。</w:t>
      </w:r>
      <w:r>
        <w:rPr>
          <w:rFonts w:ascii="宋体" w:hAnsi="宋体"/>
          <w:szCs w:val="21"/>
        </w:rPr>
        <w:t>加固项目包括主副坝加固（护坡、防渗土工膜、背水坡反滤体</w:t>
      </w:r>
      <w:r>
        <w:rPr>
          <w:rFonts w:hint="eastAsia" w:ascii="宋体" w:hAnsi="宋体"/>
          <w:szCs w:val="21"/>
        </w:rPr>
        <w:t>等），溢洪道加固，建输水涵管，修建防汛道路等。于</w:t>
      </w:r>
      <w:r>
        <w:rPr>
          <w:rFonts w:ascii="宋体" w:hAnsi="宋体"/>
          <w:szCs w:val="21"/>
        </w:rPr>
        <w:t>2004年10月动工，2005年6</w:t>
      </w:r>
      <w:r>
        <w:rPr>
          <w:rFonts w:hint="eastAsia" w:ascii="宋体" w:hAnsi="宋体"/>
          <w:szCs w:val="21"/>
        </w:rPr>
        <w:t>月竣工。</w:t>
      </w:r>
    </w:p>
    <w:p w14:paraId="421D370A">
      <w:pPr>
        <w:ind w:firstLine="422"/>
        <w:rPr>
          <w:rFonts w:ascii="宋体" w:hAnsi="宋体"/>
          <w:szCs w:val="21"/>
        </w:rPr>
      </w:pPr>
      <w:r>
        <w:rPr>
          <w:rFonts w:hint="eastAsia" w:ascii="宋体" w:hAnsi="宋体"/>
          <w:b/>
          <w:szCs w:val="21"/>
        </w:rPr>
        <w:t>（</w:t>
      </w:r>
      <w:r>
        <w:rPr>
          <w:rFonts w:ascii="宋体" w:hAnsi="宋体"/>
          <w:b/>
          <w:szCs w:val="21"/>
        </w:rPr>
        <w:t>11）大坝水库。</w:t>
      </w:r>
      <w:r>
        <w:rPr>
          <w:rFonts w:ascii="宋体" w:hAnsi="宋体"/>
          <w:szCs w:val="21"/>
        </w:rPr>
        <w:t>加固项目包括土坝加固（护坡、防渗土工膜、背水坡反滤体</w:t>
      </w:r>
      <w:r>
        <w:rPr>
          <w:rFonts w:hint="eastAsia" w:ascii="宋体" w:hAnsi="宋体"/>
          <w:szCs w:val="21"/>
        </w:rPr>
        <w:t>等）、溢洪道加固、建输水涵管（顶管）、修建防洪公路等。于</w:t>
      </w:r>
      <w:r>
        <w:rPr>
          <w:rFonts w:ascii="宋体" w:hAnsi="宋体"/>
          <w:szCs w:val="21"/>
        </w:rPr>
        <w:t>2004年10月动工，2005年9月竣工。</w:t>
      </w:r>
    </w:p>
    <w:p w14:paraId="04A9BA15">
      <w:pPr>
        <w:ind w:firstLine="422"/>
        <w:rPr>
          <w:rFonts w:ascii="宋体" w:hAnsi="宋体"/>
          <w:b/>
          <w:szCs w:val="21"/>
        </w:rPr>
      </w:pPr>
      <w:r>
        <w:rPr>
          <w:rFonts w:ascii="宋体" w:hAnsi="宋体"/>
          <w:b/>
          <w:szCs w:val="21"/>
        </w:rPr>
        <w:t>3.小（二）型水库</w:t>
      </w:r>
    </w:p>
    <w:p w14:paraId="6D33B5F1">
      <w:pPr>
        <w:ind w:firstLine="420"/>
        <w:rPr>
          <w:rFonts w:ascii="宋体" w:hAnsi="宋体"/>
          <w:szCs w:val="21"/>
        </w:rPr>
      </w:pPr>
      <w:r>
        <w:rPr>
          <w:rFonts w:hint="eastAsia" w:ascii="宋体" w:hAnsi="宋体"/>
          <w:szCs w:val="21"/>
        </w:rPr>
        <w:t>全市有</w:t>
      </w:r>
      <w:r>
        <w:rPr>
          <w:rFonts w:ascii="宋体" w:hAnsi="宋体"/>
          <w:szCs w:val="21"/>
        </w:rPr>
        <w:t>123宗，已完成除险加固的有15宗：市管梅花水库，珠玑镇的高坑、中</w:t>
      </w:r>
      <w:r>
        <w:rPr>
          <w:rFonts w:hint="eastAsia" w:ascii="宋体" w:hAnsi="宋体"/>
          <w:szCs w:val="21"/>
        </w:rPr>
        <w:t>坑、永丰、马坳窝，古市镇的倚逢、三丘田，南亩镇的官田、冷水迳，乌迳镇的黎壁坑，主田镇的杨梅坑，界址镇的松树荫、长坑，坪田镇的新龙以及雄州的棉被角。</w:t>
      </w:r>
    </w:p>
    <w:p w14:paraId="673E8F6D">
      <w:pPr>
        <w:ind w:firstLine="422"/>
        <w:rPr>
          <w:rFonts w:ascii="宋体" w:hAnsi="宋体"/>
          <w:b/>
          <w:szCs w:val="21"/>
        </w:rPr>
      </w:pPr>
      <w:r>
        <w:rPr>
          <w:rFonts w:hint="eastAsia" w:ascii="宋体" w:hAnsi="宋体"/>
          <w:b/>
          <w:szCs w:val="21"/>
        </w:rPr>
        <w:t>（三）提水工程</w:t>
      </w:r>
    </w:p>
    <w:p w14:paraId="1618580E">
      <w:pPr>
        <w:ind w:firstLine="420"/>
        <w:rPr>
          <w:rFonts w:ascii="宋体" w:hAnsi="宋体"/>
          <w:szCs w:val="21"/>
        </w:rPr>
      </w:pPr>
      <w:r>
        <w:rPr>
          <w:rFonts w:hint="eastAsia" w:ascii="宋体" w:hAnsi="宋体"/>
          <w:szCs w:val="21"/>
        </w:rPr>
        <w:t>全市现有电动灌溉站</w:t>
      </w:r>
      <w:r>
        <w:rPr>
          <w:rFonts w:ascii="宋体" w:hAnsi="宋体"/>
          <w:szCs w:val="21"/>
        </w:rPr>
        <w:t>243宗，总装机4988千瓦，灌溉面积3666.67公顷。其中，1988年至2004年增建49宗，装机50台，容量1029千瓦，分布区域详见表2-27：</w:t>
      </w:r>
    </w:p>
    <w:p w14:paraId="6AFD0297">
      <w:pPr>
        <w:ind w:firstLine="0" w:firstLineChars="0"/>
        <w:jc w:val="center"/>
        <w:rPr>
          <w:rFonts w:ascii="宋体" w:hAnsi="宋体"/>
          <w:b/>
          <w:szCs w:val="21"/>
        </w:rPr>
      </w:pPr>
      <w:r>
        <w:rPr>
          <w:rFonts w:hint="eastAsia" w:ascii="宋体" w:hAnsi="宋体"/>
          <w:b/>
          <w:szCs w:val="21"/>
        </w:rPr>
        <w:t>南雄市</w:t>
      </w:r>
      <w:r>
        <w:rPr>
          <w:rFonts w:ascii="宋体" w:hAnsi="宋体"/>
          <w:b/>
          <w:szCs w:val="21"/>
        </w:rPr>
        <w:t>1988年至2004年增建电力灌溉站分布</w:t>
      </w:r>
    </w:p>
    <w:p w14:paraId="57A23139">
      <w:pPr>
        <w:ind w:firstLine="0" w:firstLineChars="0"/>
        <w:rPr>
          <w:rFonts w:ascii="宋体" w:hAnsi="宋体"/>
          <w:b/>
          <w:szCs w:val="21"/>
        </w:rPr>
      </w:pPr>
      <w:r>
        <w:rPr>
          <w:rFonts w:hint="eastAsia" w:ascii="宋体" w:hAnsi="宋体"/>
          <w:b/>
          <w:szCs w:val="21"/>
        </w:rPr>
        <w:t>表</w:t>
      </w:r>
      <w:r>
        <w:rPr>
          <w:rFonts w:ascii="宋体" w:hAnsi="宋体"/>
          <w:b/>
          <w:szCs w:val="21"/>
        </w:rPr>
        <w:t>2-27</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00"/>
        <w:gridCol w:w="1301"/>
        <w:gridCol w:w="1148"/>
        <w:gridCol w:w="1530"/>
        <w:gridCol w:w="899"/>
        <w:gridCol w:w="3784"/>
      </w:tblGrid>
      <w:tr w14:paraId="4D2CBA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653" w:type="pct"/>
            <w:vMerge w:val="restart"/>
            <w:vAlign w:val="center"/>
          </w:tcPr>
          <w:p w14:paraId="536FF69F">
            <w:pPr>
              <w:pStyle w:val="12"/>
              <w:jc w:val="center"/>
              <w:rPr>
                <w:rFonts w:ascii="宋体" w:hAnsi="宋体"/>
                <w:b/>
              </w:rPr>
            </w:pPr>
            <w:r>
              <w:rPr>
                <w:rFonts w:hint="eastAsia" w:ascii="宋体" w:hAnsi="宋体"/>
                <w:b/>
              </w:rPr>
              <w:t>乡镇名称</w:t>
            </w:r>
          </w:p>
        </w:tc>
        <w:tc>
          <w:tcPr>
            <w:tcW w:w="653" w:type="pct"/>
            <w:vMerge w:val="restart"/>
            <w:vAlign w:val="center"/>
          </w:tcPr>
          <w:p w14:paraId="74FF293E">
            <w:pPr>
              <w:pStyle w:val="12"/>
              <w:jc w:val="center"/>
              <w:rPr>
                <w:rFonts w:ascii="宋体" w:hAnsi="宋体"/>
                <w:b/>
              </w:rPr>
            </w:pPr>
            <w:r>
              <w:rPr>
                <w:rFonts w:hint="eastAsia" w:ascii="宋体" w:hAnsi="宋体"/>
                <w:b/>
              </w:rPr>
              <w:t>增建站数（个）</w:t>
            </w:r>
          </w:p>
        </w:tc>
        <w:tc>
          <w:tcPr>
            <w:tcW w:w="1344" w:type="pct"/>
            <w:gridSpan w:val="2"/>
            <w:vAlign w:val="center"/>
          </w:tcPr>
          <w:p w14:paraId="27D54E9A">
            <w:pPr>
              <w:pStyle w:val="12"/>
              <w:jc w:val="center"/>
              <w:rPr>
                <w:rFonts w:ascii="宋体" w:hAnsi="宋体"/>
                <w:b/>
              </w:rPr>
            </w:pPr>
            <w:r>
              <w:rPr>
                <w:rFonts w:hint="eastAsia" w:ascii="宋体" w:hAnsi="宋体"/>
                <w:b/>
              </w:rPr>
              <w:t>装机</w:t>
            </w:r>
          </w:p>
        </w:tc>
        <w:tc>
          <w:tcPr>
            <w:tcW w:w="451" w:type="pct"/>
            <w:vMerge w:val="restart"/>
            <w:vAlign w:val="center"/>
          </w:tcPr>
          <w:p w14:paraId="1C5EC0A7">
            <w:pPr>
              <w:pStyle w:val="12"/>
              <w:jc w:val="center"/>
              <w:rPr>
                <w:rFonts w:ascii="宋体" w:hAnsi="宋体"/>
                <w:b/>
              </w:rPr>
            </w:pPr>
            <w:r>
              <w:rPr>
                <w:rFonts w:hint="eastAsia" w:ascii="宋体" w:hAnsi="宋体"/>
                <w:b/>
              </w:rPr>
              <w:t>灌溉面积（亩）</w:t>
            </w:r>
          </w:p>
        </w:tc>
        <w:tc>
          <w:tcPr>
            <w:tcW w:w="1900" w:type="pct"/>
            <w:vMerge w:val="restart"/>
            <w:vAlign w:val="center"/>
          </w:tcPr>
          <w:p w14:paraId="76205E99">
            <w:pPr>
              <w:pStyle w:val="12"/>
              <w:jc w:val="center"/>
              <w:rPr>
                <w:rFonts w:ascii="宋体" w:hAnsi="宋体"/>
                <w:b/>
              </w:rPr>
            </w:pPr>
            <w:r>
              <w:rPr>
                <w:rFonts w:hint="eastAsia" w:ascii="宋体" w:hAnsi="宋体"/>
                <w:b/>
              </w:rPr>
              <w:t>分布地域和站数（个）</w:t>
            </w:r>
          </w:p>
        </w:tc>
      </w:tr>
      <w:tr w14:paraId="7CC612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653" w:type="pct"/>
            <w:vMerge w:val="continue"/>
            <w:vAlign w:val="center"/>
          </w:tcPr>
          <w:p w14:paraId="0EDCB634">
            <w:pPr>
              <w:pStyle w:val="12"/>
              <w:jc w:val="center"/>
              <w:rPr>
                <w:rFonts w:ascii="宋体" w:hAnsi="宋体"/>
              </w:rPr>
            </w:pPr>
          </w:p>
        </w:tc>
        <w:tc>
          <w:tcPr>
            <w:tcW w:w="653" w:type="pct"/>
            <w:vMerge w:val="continue"/>
            <w:vAlign w:val="center"/>
          </w:tcPr>
          <w:p w14:paraId="74B8C58A">
            <w:pPr>
              <w:pStyle w:val="12"/>
              <w:jc w:val="center"/>
              <w:rPr>
                <w:rFonts w:ascii="宋体" w:hAnsi="宋体"/>
              </w:rPr>
            </w:pPr>
          </w:p>
        </w:tc>
        <w:tc>
          <w:tcPr>
            <w:tcW w:w="576" w:type="pct"/>
            <w:vAlign w:val="center"/>
          </w:tcPr>
          <w:p w14:paraId="16DAAC95">
            <w:pPr>
              <w:pStyle w:val="12"/>
              <w:jc w:val="center"/>
              <w:rPr>
                <w:rFonts w:ascii="宋体" w:hAnsi="宋体"/>
                <w:b/>
              </w:rPr>
            </w:pPr>
            <w:r>
              <w:rPr>
                <w:rFonts w:hint="eastAsia" w:ascii="宋体" w:hAnsi="宋体"/>
                <w:b/>
              </w:rPr>
              <w:t>数量（台）</w:t>
            </w:r>
          </w:p>
        </w:tc>
        <w:tc>
          <w:tcPr>
            <w:tcW w:w="768" w:type="pct"/>
            <w:vAlign w:val="center"/>
          </w:tcPr>
          <w:p w14:paraId="7898AB24">
            <w:pPr>
              <w:pStyle w:val="12"/>
              <w:jc w:val="center"/>
              <w:rPr>
                <w:rFonts w:ascii="宋体" w:hAnsi="宋体"/>
                <w:b/>
              </w:rPr>
            </w:pPr>
            <w:r>
              <w:rPr>
                <w:rFonts w:hint="eastAsia" w:ascii="宋体" w:hAnsi="宋体"/>
                <w:b/>
              </w:rPr>
              <w:t>容量（千瓦）</w:t>
            </w:r>
          </w:p>
        </w:tc>
        <w:tc>
          <w:tcPr>
            <w:tcW w:w="451" w:type="pct"/>
            <w:vMerge w:val="continue"/>
            <w:vAlign w:val="center"/>
          </w:tcPr>
          <w:p w14:paraId="379DE418">
            <w:pPr>
              <w:pStyle w:val="12"/>
              <w:jc w:val="center"/>
              <w:rPr>
                <w:rFonts w:ascii="宋体" w:hAnsi="宋体"/>
              </w:rPr>
            </w:pPr>
          </w:p>
        </w:tc>
        <w:tc>
          <w:tcPr>
            <w:tcW w:w="1900" w:type="pct"/>
            <w:vMerge w:val="continue"/>
            <w:vAlign w:val="center"/>
          </w:tcPr>
          <w:p w14:paraId="4FBA5042">
            <w:pPr>
              <w:pStyle w:val="12"/>
              <w:jc w:val="center"/>
              <w:rPr>
                <w:rFonts w:ascii="宋体" w:hAnsi="宋体"/>
              </w:rPr>
            </w:pPr>
          </w:p>
        </w:tc>
      </w:tr>
      <w:tr w14:paraId="0907C5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3" w:type="pct"/>
            <w:vAlign w:val="center"/>
          </w:tcPr>
          <w:p w14:paraId="406E0D72">
            <w:pPr>
              <w:pStyle w:val="12"/>
              <w:jc w:val="center"/>
              <w:rPr>
                <w:rFonts w:ascii="宋体" w:hAnsi="宋体"/>
              </w:rPr>
            </w:pPr>
            <w:r>
              <w:rPr>
                <w:rFonts w:hint="eastAsia" w:ascii="宋体" w:hAnsi="宋体"/>
              </w:rPr>
              <w:t>合计</w:t>
            </w:r>
          </w:p>
        </w:tc>
        <w:tc>
          <w:tcPr>
            <w:tcW w:w="653" w:type="pct"/>
            <w:vAlign w:val="center"/>
          </w:tcPr>
          <w:p w14:paraId="487F70EF">
            <w:pPr>
              <w:pStyle w:val="12"/>
              <w:jc w:val="center"/>
              <w:rPr>
                <w:rFonts w:ascii="宋体" w:hAnsi="宋体"/>
              </w:rPr>
            </w:pPr>
            <w:r>
              <w:rPr>
                <w:rFonts w:hint="eastAsia" w:ascii="宋体" w:hAnsi="宋体"/>
              </w:rPr>
              <w:t>49</w:t>
            </w:r>
          </w:p>
        </w:tc>
        <w:tc>
          <w:tcPr>
            <w:tcW w:w="576" w:type="pct"/>
            <w:vAlign w:val="center"/>
          </w:tcPr>
          <w:p w14:paraId="03A18DE5">
            <w:pPr>
              <w:pStyle w:val="12"/>
              <w:jc w:val="center"/>
              <w:rPr>
                <w:rFonts w:ascii="宋体" w:hAnsi="宋体"/>
              </w:rPr>
            </w:pPr>
            <w:r>
              <w:rPr>
                <w:rFonts w:hint="eastAsia" w:ascii="宋体" w:hAnsi="宋体"/>
              </w:rPr>
              <w:t>50</w:t>
            </w:r>
          </w:p>
        </w:tc>
        <w:tc>
          <w:tcPr>
            <w:tcW w:w="768" w:type="pct"/>
            <w:vAlign w:val="center"/>
          </w:tcPr>
          <w:p w14:paraId="5E435F02">
            <w:pPr>
              <w:pStyle w:val="12"/>
              <w:jc w:val="center"/>
              <w:rPr>
                <w:rFonts w:ascii="宋体" w:hAnsi="宋体"/>
              </w:rPr>
            </w:pPr>
            <w:r>
              <w:rPr>
                <w:rFonts w:hint="eastAsia" w:ascii="宋体" w:hAnsi="宋体"/>
              </w:rPr>
              <w:t>1029</w:t>
            </w:r>
          </w:p>
        </w:tc>
        <w:tc>
          <w:tcPr>
            <w:tcW w:w="451" w:type="pct"/>
            <w:vAlign w:val="center"/>
          </w:tcPr>
          <w:p w14:paraId="6DD77EC6">
            <w:pPr>
              <w:pStyle w:val="12"/>
              <w:jc w:val="center"/>
              <w:rPr>
                <w:rFonts w:ascii="宋体" w:hAnsi="宋体"/>
              </w:rPr>
            </w:pPr>
            <w:r>
              <w:rPr>
                <w:rFonts w:hint="eastAsia" w:ascii="宋体" w:hAnsi="宋体"/>
              </w:rPr>
              <w:t>16890</w:t>
            </w:r>
          </w:p>
        </w:tc>
        <w:tc>
          <w:tcPr>
            <w:tcW w:w="1900" w:type="pct"/>
            <w:vAlign w:val="center"/>
          </w:tcPr>
          <w:p w14:paraId="4AF6C641">
            <w:pPr>
              <w:pStyle w:val="12"/>
              <w:jc w:val="center"/>
              <w:rPr>
                <w:rFonts w:ascii="宋体" w:hAnsi="宋体"/>
              </w:rPr>
            </w:pPr>
            <w:r>
              <w:rPr>
                <w:rFonts w:hint="eastAsia" w:ascii="宋体" w:hAnsi="宋体"/>
              </w:rPr>
              <w:t>—</w:t>
            </w:r>
          </w:p>
        </w:tc>
      </w:tr>
      <w:tr w14:paraId="2EA682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3" w:type="pct"/>
            <w:vAlign w:val="center"/>
          </w:tcPr>
          <w:p w14:paraId="5B18269E">
            <w:pPr>
              <w:pStyle w:val="12"/>
              <w:jc w:val="center"/>
              <w:rPr>
                <w:rFonts w:ascii="宋体" w:hAnsi="宋体"/>
              </w:rPr>
            </w:pPr>
            <w:r>
              <w:rPr>
                <w:rFonts w:hint="eastAsia" w:ascii="宋体" w:hAnsi="宋体"/>
              </w:rPr>
              <w:t>水口</w:t>
            </w:r>
          </w:p>
        </w:tc>
        <w:tc>
          <w:tcPr>
            <w:tcW w:w="653" w:type="pct"/>
            <w:vAlign w:val="center"/>
          </w:tcPr>
          <w:p w14:paraId="112BEB84">
            <w:pPr>
              <w:pStyle w:val="12"/>
              <w:jc w:val="center"/>
              <w:rPr>
                <w:rFonts w:ascii="宋体" w:hAnsi="宋体"/>
              </w:rPr>
            </w:pPr>
            <w:r>
              <w:rPr>
                <w:rFonts w:hint="eastAsia" w:ascii="宋体" w:hAnsi="宋体"/>
              </w:rPr>
              <w:t>2</w:t>
            </w:r>
          </w:p>
        </w:tc>
        <w:tc>
          <w:tcPr>
            <w:tcW w:w="576" w:type="pct"/>
            <w:vAlign w:val="center"/>
          </w:tcPr>
          <w:p w14:paraId="1225D257">
            <w:pPr>
              <w:pStyle w:val="12"/>
              <w:jc w:val="center"/>
              <w:rPr>
                <w:rFonts w:ascii="宋体" w:hAnsi="宋体"/>
              </w:rPr>
            </w:pPr>
            <w:r>
              <w:rPr>
                <w:rFonts w:hint="eastAsia" w:ascii="宋体" w:hAnsi="宋体"/>
              </w:rPr>
              <w:t>2</w:t>
            </w:r>
          </w:p>
        </w:tc>
        <w:tc>
          <w:tcPr>
            <w:tcW w:w="768" w:type="pct"/>
            <w:vAlign w:val="center"/>
          </w:tcPr>
          <w:p w14:paraId="5CA93FE6">
            <w:pPr>
              <w:pStyle w:val="12"/>
              <w:jc w:val="center"/>
              <w:rPr>
                <w:rFonts w:ascii="宋体" w:hAnsi="宋体"/>
              </w:rPr>
            </w:pPr>
            <w:r>
              <w:rPr>
                <w:rFonts w:hint="eastAsia" w:ascii="宋体" w:hAnsi="宋体"/>
              </w:rPr>
              <w:t>27</w:t>
            </w:r>
          </w:p>
        </w:tc>
        <w:tc>
          <w:tcPr>
            <w:tcW w:w="451" w:type="pct"/>
            <w:vAlign w:val="center"/>
          </w:tcPr>
          <w:p w14:paraId="2BF0F33D">
            <w:pPr>
              <w:pStyle w:val="12"/>
              <w:jc w:val="center"/>
              <w:rPr>
                <w:rFonts w:ascii="宋体" w:hAnsi="宋体"/>
              </w:rPr>
            </w:pPr>
            <w:r>
              <w:rPr>
                <w:rFonts w:hint="eastAsia" w:ascii="宋体" w:hAnsi="宋体"/>
              </w:rPr>
              <w:t>360</w:t>
            </w:r>
          </w:p>
        </w:tc>
        <w:tc>
          <w:tcPr>
            <w:tcW w:w="1900" w:type="pct"/>
            <w:vAlign w:val="center"/>
          </w:tcPr>
          <w:p w14:paraId="63C59765">
            <w:pPr>
              <w:pStyle w:val="12"/>
              <w:jc w:val="center"/>
              <w:rPr>
                <w:rFonts w:ascii="宋体" w:hAnsi="宋体"/>
              </w:rPr>
            </w:pPr>
            <w:r>
              <w:rPr>
                <w:rFonts w:hint="eastAsia" w:ascii="宋体" w:hAnsi="宋体"/>
              </w:rPr>
              <w:t>赤岭2</w:t>
            </w:r>
          </w:p>
        </w:tc>
      </w:tr>
      <w:tr w14:paraId="4FB861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3" w:type="pct"/>
            <w:vAlign w:val="center"/>
          </w:tcPr>
          <w:p w14:paraId="766072CE">
            <w:pPr>
              <w:pStyle w:val="12"/>
              <w:jc w:val="center"/>
              <w:rPr>
                <w:rFonts w:ascii="宋体" w:hAnsi="宋体"/>
              </w:rPr>
            </w:pPr>
            <w:r>
              <w:rPr>
                <w:rFonts w:hint="eastAsia" w:ascii="宋体" w:hAnsi="宋体"/>
              </w:rPr>
              <w:t>乌迳</w:t>
            </w:r>
          </w:p>
        </w:tc>
        <w:tc>
          <w:tcPr>
            <w:tcW w:w="653" w:type="pct"/>
            <w:vAlign w:val="center"/>
          </w:tcPr>
          <w:p w14:paraId="45060B9E">
            <w:pPr>
              <w:pStyle w:val="12"/>
              <w:jc w:val="center"/>
              <w:rPr>
                <w:rFonts w:ascii="宋体" w:hAnsi="宋体"/>
              </w:rPr>
            </w:pPr>
            <w:r>
              <w:rPr>
                <w:rFonts w:hint="eastAsia" w:ascii="宋体" w:hAnsi="宋体"/>
              </w:rPr>
              <w:t>4</w:t>
            </w:r>
          </w:p>
        </w:tc>
        <w:tc>
          <w:tcPr>
            <w:tcW w:w="576" w:type="pct"/>
            <w:vAlign w:val="center"/>
          </w:tcPr>
          <w:p w14:paraId="7013E693">
            <w:pPr>
              <w:pStyle w:val="12"/>
              <w:jc w:val="center"/>
              <w:rPr>
                <w:rFonts w:ascii="宋体" w:hAnsi="宋体"/>
              </w:rPr>
            </w:pPr>
            <w:r>
              <w:rPr>
                <w:rFonts w:hint="eastAsia" w:ascii="宋体" w:hAnsi="宋体"/>
              </w:rPr>
              <w:t>4</w:t>
            </w:r>
          </w:p>
        </w:tc>
        <w:tc>
          <w:tcPr>
            <w:tcW w:w="768" w:type="pct"/>
            <w:vAlign w:val="center"/>
          </w:tcPr>
          <w:p w14:paraId="1B22F911">
            <w:pPr>
              <w:pStyle w:val="12"/>
              <w:jc w:val="center"/>
              <w:rPr>
                <w:rFonts w:ascii="宋体" w:hAnsi="宋体"/>
              </w:rPr>
            </w:pPr>
            <w:r>
              <w:rPr>
                <w:rFonts w:hint="eastAsia" w:ascii="宋体" w:hAnsi="宋体"/>
              </w:rPr>
              <w:t>131</w:t>
            </w:r>
          </w:p>
        </w:tc>
        <w:tc>
          <w:tcPr>
            <w:tcW w:w="451" w:type="pct"/>
            <w:vAlign w:val="center"/>
          </w:tcPr>
          <w:p w14:paraId="6C22E23B">
            <w:pPr>
              <w:pStyle w:val="12"/>
              <w:jc w:val="center"/>
              <w:rPr>
                <w:rFonts w:ascii="宋体" w:hAnsi="宋体"/>
              </w:rPr>
            </w:pPr>
            <w:r>
              <w:rPr>
                <w:rFonts w:hint="eastAsia" w:ascii="宋体" w:hAnsi="宋体"/>
              </w:rPr>
              <w:t>1600</w:t>
            </w:r>
          </w:p>
        </w:tc>
        <w:tc>
          <w:tcPr>
            <w:tcW w:w="1900" w:type="pct"/>
            <w:vAlign w:val="center"/>
          </w:tcPr>
          <w:p w14:paraId="1D540370">
            <w:pPr>
              <w:pStyle w:val="12"/>
              <w:jc w:val="center"/>
              <w:rPr>
                <w:rFonts w:ascii="宋体" w:hAnsi="宋体"/>
              </w:rPr>
            </w:pPr>
            <w:r>
              <w:rPr>
                <w:rFonts w:hint="eastAsia" w:ascii="宋体" w:hAnsi="宋体"/>
              </w:rPr>
              <w:t>孔塘、黄洞、乌迳、伴塘各1</w:t>
            </w:r>
          </w:p>
        </w:tc>
      </w:tr>
      <w:tr w14:paraId="52023B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3" w:type="pct"/>
            <w:vAlign w:val="center"/>
          </w:tcPr>
          <w:p w14:paraId="7E5FEC52">
            <w:pPr>
              <w:pStyle w:val="12"/>
              <w:jc w:val="center"/>
              <w:rPr>
                <w:rFonts w:ascii="宋体" w:hAnsi="宋体"/>
              </w:rPr>
            </w:pPr>
            <w:r>
              <w:rPr>
                <w:rFonts w:hint="eastAsia" w:ascii="宋体" w:hAnsi="宋体"/>
              </w:rPr>
              <w:t>油山</w:t>
            </w:r>
          </w:p>
        </w:tc>
        <w:tc>
          <w:tcPr>
            <w:tcW w:w="653" w:type="pct"/>
            <w:vAlign w:val="center"/>
          </w:tcPr>
          <w:p w14:paraId="6CF72736">
            <w:pPr>
              <w:pStyle w:val="12"/>
              <w:jc w:val="center"/>
              <w:rPr>
                <w:rFonts w:ascii="宋体" w:hAnsi="宋体"/>
              </w:rPr>
            </w:pPr>
            <w:r>
              <w:rPr>
                <w:rFonts w:hint="eastAsia" w:ascii="宋体" w:hAnsi="宋体"/>
              </w:rPr>
              <w:t>1</w:t>
            </w:r>
          </w:p>
        </w:tc>
        <w:tc>
          <w:tcPr>
            <w:tcW w:w="576" w:type="pct"/>
            <w:vAlign w:val="center"/>
          </w:tcPr>
          <w:p w14:paraId="2B78DA84">
            <w:pPr>
              <w:pStyle w:val="12"/>
              <w:jc w:val="center"/>
              <w:rPr>
                <w:rFonts w:ascii="宋体" w:hAnsi="宋体"/>
              </w:rPr>
            </w:pPr>
            <w:r>
              <w:rPr>
                <w:rFonts w:hint="eastAsia" w:ascii="宋体" w:hAnsi="宋体"/>
              </w:rPr>
              <w:t>1</w:t>
            </w:r>
          </w:p>
        </w:tc>
        <w:tc>
          <w:tcPr>
            <w:tcW w:w="768" w:type="pct"/>
            <w:vAlign w:val="center"/>
          </w:tcPr>
          <w:p w14:paraId="0E9DD302">
            <w:pPr>
              <w:pStyle w:val="12"/>
              <w:jc w:val="center"/>
              <w:rPr>
                <w:rFonts w:ascii="宋体" w:hAnsi="宋体"/>
              </w:rPr>
            </w:pPr>
            <w:r>
              <w:rPr>
                <w:rFonts w:hint="eastAsia" w:ascii="宋体" w:hAnsi="宋体"/>
              </w:rPr>
              <w:t>22</w:t>
            </w:r>
          </w:p>
        </w:tc>
        <w:tc>
          <w:tcPr>
            <w:tcW w:w="451" w:type="pct"/>
            <w:vAlign w:val="center"/>
          </w:tcPr>
          <w:p w14:paraId="196382B8">
            <w:pPr>
              <w:pStyle w:val="12"/>
              <w:jc w:val="center"/>
              <w:rPr>
                <w:rFonts w:ascii="宋体" w:hAnsi="宋体"/>
              </w:rPr>
            </w:pPr>
            <w:r>
              <w:rPr>
                <w:rFonts w:hint="eastAsia" w:ascii="宋体" w:hAnsi="宋体"/>
              </w:rPr>
              <w:t>200</w:t>
            </w:r>
          </w:p>
        </w:tc>
        <w:tc>
          <w:tcPr>
            <w:tcW w:w="1900" w:type="pct"/>
            <w:vAlign w:val="center"/>
          </w:tcPr>
          <w:p w14:paraId="56B9237A">
            <w:pPr>
              <w:pStyle w:val="12"/>
              <w:jc w:val="center"/>
              <w:rPr>
                <w:rFonts w:ascii="宋体" w:hAnsi="宋体"/>
              </w:rPr>
            </w:pPr>
            <w:r>
              <w:rPr>
                <w:rFonts w:hint="eastAsia" w:ascii="宋体" w:hAnsi="宋体"/>
              </w:rPr>
              <w:t>上朔</w:t>
            </w:r>
          </w:p>
        </w:tc>
      </w:tr>
      <w:tr w14:paraId="2B3A5E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3" w:type="pct"/>
            <w:vAlign w:val="center"/>
          </w:tcPr>
          <w:p w14:paraId="5D44C221">
            <w:pPr>
              <w:pStyle w:val="12"/>
              <w:jc w:val="center"/>
              <w:rPr>
                <w:rFonts w:ascii="宋体" w:hAnsi="宋体"/>
              </w:rPr>
            </w:pPr>
            <w:r>
              <w:rPr>
                <w:rFonts w:hint="eastAsia" w:ascii="宋体" w:hAnsi="宋体"/>
              </w:rPr>
              <w:t>坪田</w:t>
            </w:r>
          </w:p>
        </w:tc>
        <w:tc>
          <w:tcPr>
            <w:tcW w:w="653" w:type="pct"/>
            <w:vAlign w:val="center"/>
          </w:tcPr>
          <w:p w14:paraId="2EABAB60">
            <w:pPr>
              <w:pStyle w:val="12"/>
              <w:jc w:val="center"/>
              <w:rPr>
                <w:rFonts w:ascii="宋体" w:hAnsi="宋体"/>
              </w:rPr>
            </w:pPr>
            <w:r>
              <w:rPr>
                <w:rFonts w:hint="eastAsia" w:ascii="宋体" w:hAnsi="宋体"/>
              </w:rPr>
              <w:t>1</w:t>
            </w:r>
          </w:p>
        </w:tc>
        <w:tc>
          <w:tcPr>
            <w:tcW w:w="576" w:type="pct"/>
            <w:vAlign w:val="center"/>
          </w:tcPr>
          <w:p w14:paraId="1F59E9D3">
            <w:pPr>
              <w:pStyle w:val="12"/>
              <w:jc w:val="center"/>
              <w:rPr>
                <w:rFonts w:ascii="宋体" w:hAnsi="宋体"/>
              </w:rPr>
            </w:pPr>
            <w:r>
              <w:rPr>
                <w:rFonts w:hint="eastAsia" w:ascii="宋体" w:hAnsi="宋体"/>
              </w:rPr>
              <w:t>1</w:t>
            </w:r>
          </w:p>
        </w:tc>
        <w:tc>
          <w:tcPr>
            <w:tcW w:w="768" w:type="pct"/>
            <w:vAlign w:val="center"/>
          </w:tcPr>
          <w:p w14:paraId="3A0A79DF">
            <w:pPr>
              <w:pStyle w:val="12"/>
              <w:jc w:val="center"/>
              <w:rPr>
                <w:rFonts w:ascii="宋体" w:hAnsi="宋体"/>
              </w:rPr>
            </w:pPr>
            <w:r>
              <w:rPr>
                <w:rFonts w:hint="eastAsia" w:ascii="宋体" w:hAnsi="宋体"/>
              </w:rPr>
              <w:t>17</w:t>
            </w:r>
          </w:p>
        </w:tc>
        <w:tc>
          <w:tcPr>
            <w:tcW w:w="451" w:type="pct"/>
            <w:vAlign w:val="center"/>
          </w:tcPr>
          <w:p w14:paraId="2FB022BA">
            <w:pPr>
              <w:pStyle w:val="12"/>
              <w:jc w:val="center"/>
              <w:rPr>
                <w:rFonts w:ascii="宋体" w:hAnsi="宋体"/>
              </w:rPr>
            </w:pPr>
            <w:r>
              <w:rPr>
                <w:rFonts w:hint="eastAsia" w:ascii="宋体" w:hAnsi="宋体"/>
              </w:rPr>
              <w:t>400</w:t>
            </w:r>
          </w:p>
        </w:tc>
        <w:tc>
          <w:tcPr>
            <w:tcW w:w="1900" w:type="pct"/>
            <w:vAlign w:val="center"/>
          </w:tcPr>
          <w:p w14:paraId="7649BA65">
            <w:pPr>
              <w:pStyle w:val="12"/>
              <w:jc w:val="center"/>
              <w:rPr>
                <w:rFonts w:ascii="宋体" w:hAnsi="宋体"/>
              </w:rPr>
            </w:pPr>
            <w:r>
              <w:rPr>
                <w:rFonts w:hint="eastAsia" w:ascii="宋体" w:hAnsi="宋体"/>
              </w:rPr>
              <w:t>官陂</w:t>
            </w:r>
          </w:p>
        </w:tc>
      </w:tr>
      <w:tr w14:paraId="374796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3" w:type="pct"/>
            <w:vAlign w:val="center"/>
          </w:tcPr>
          <w:p w14:paraId="5C484F85">
            <w:pPr>
              <w:pStyle w:val="12"/>
              <w:jc w:val="center"/>
              <w:rPr>
                <w:rFonts w:ascii="宋体" w:hAnsi="宋体"/>
              </w:rPr>
            </w:pPr>
            <w:r>
              <w:rPr>
                <w:rFonts w:hint="eastAsia" w:ascii="宋体" w:hAnsi="宋体"/>
              </w:rPr>
              <w:t>江头</w:t>
            </w:r>
          </w:p>
        </w:tc>
        <w:tc>
          <w:tcPr>
            <w:tcW w:w="653" w:type="pct"/>
            <w:vAlign w:val="center"/>
          </w:tcPr>
          <w:p w14:paraId="2E2BB741">
            <w:pPr>
              <w:pStyle w:val="12"/>
              <w:jc w:val="center"/>
              <w:rPr>
                <w:rFonts w:ascii="宋体" w:hAnsi="宋体"/>
              </w:rPr>
            </w:pPr>
            <w:r>
              <w:rPr>
                <w:rFonts w:hint="eastAsia" w:ascii="宋体" w:hAnsi="宋体"/>
              </w:rPr>
              <w:t>1</w:t>
            </w:r>
          </w:p>
        </w:tc>
        <w:tc>
          <w:tcPr>
            <w:tcW w:w="576" w:type="pct"/>
            <w:vAlign w:val="center"/>
          </w:tcPr>
          <w:p w14:paraId="0AA8F869">
            <w:pPr>
              <w:pStyle w:val="12"/>
              <w:jc w:val="center"/>
              <w:rPr>
                <w:rFonts w:ascii="宋体" w:hAnsi="宋体"/>
              </w:rPr>
            </w:pPr>
            <w:r>
              <w:rPr>
                <w:rFonts w:hint="eastAsia" w:ascii="宋体" w:hAnsi="宋体"/>
              </w:rPr>
              <w:t>1</w:t>
            </w:r>
          </w:p>
        </w:tc>
        <w:tc>
          <w:tcPr>
            <w:tcW w:w="768" w:type="pct"/>
            <w:vAlign w:val="center"/>
          </w:tcPr>
          <w:p w14:paraId="43BBB28A">
            <w:pPr>
              <w:pStyle w:val="12"/>
              <w:jc w:val="center"/>
              <w:rPr>
                <w:rFonts w:ascii="宋体" w:hAnsi="宋体"/>
              </w:rPr>
            </w:pPr>
            <w:r>
              <w:rPr>
                <w:rFonts w:hint="eastAsia" w:ascii="宋体" w:hAnsi="宋体"/>
              </w:rPr>
              <w:t>17</w:t>
            </w:r>
          </w:p>
        </w:tc>
        <w:tc>
          <w:tcPr>
            <w:tcW w:w="451" w:type="pct"/>
            <w:vAlign w:val="center"/>
          </w:tcPr>
          <w:p w14:paraId="707A0804">
            <w:pPr>
              <w:pStyle w:val="12"/>
              <w:jc w:val="center"/>
              <w:rPr>
                <w:rFonts w:ascii="宋体" w:hAnsi="宋体"/>
              </w:rPr>
            </w:pPr>
            <w:r>
              <w:rPr>
                <w:rFonts w:hint="eastAsia" w:ascii="宋体" w:hAnsi="宋体"/>
              </w:rPr>
              <w:t>150</w:t>
            </w:r>
          </w:p>
        </w:tc>
        <w:tc>
          <w:tcPr>
            <w:tcW w:w="1900" w:type="pct"/>
            <w:vAlign w:val="center"/>
          </w:tcPr>
          <w:p w14:paraId="7BD81A76">
            <w:pPr>
              <w:pStyle w:val="12"/>
              <w:jc w:val="center"/>
              <w:rPr>
                <w:rFonts w:ascii="宋体" w:hAnsi="宋体"/>
              </w:rPr>
            </w:pPr>
            <w:r>
              <w:rPr>
                <w:rFonts w:hint="eastAsia" w:ascii="宋体" w:hAnsi="宋体"/>
              </w:rPr>
              <w:t>坪岗</w:t>
            </w:r>
          </w:p>
        </w:tc>
      </w:tr>
      <w:tr w14:paraId="458062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3" w:type="pct"/>
            <w:vAlign w:val="center"/>
          </w:tcPr>
          <w:p w14:paraId="5DC7D49F">
            <w:pPr>
              <w:pStyle w:val="12"/>
              <w:jc w:val="center"/>
              <w:rPr>
                <w:rFonts w:ascii="宋体" w:hAnsi="宋体"/>
              </w:rPr>
            </w:pPr>
            <w:r>
              <w:rPr>
                <w:rFonts w:hint="eastAsia" w:ascii="宋体" w:hAnsi="宋体"/>
              </w:rPr>
              <w:t>黄坑</w:t>
            </w:r>
          </w:p>
        </w:tc>
        <w:tc>
          <w:tcPr>
            <w:tcW w:w="653" w:type="pct"/>
            <w:vAlign w:val="center"/>
          </w:tcPr>
          <w:p w14:paraId="227728A1">
            <w:pPr>
              <w:pStyle w:val="12"/>
              <w:jc w:val="center"/>
              <w:rPr>
                <w:rFonts w:ascii="宋体" w:hAnsi="宋体"/>
              </w:rPr>
            </w:pPr>
            <w:r>
              <w:rPr>
                <w:rFonts w:hint="eastAsia" w:ascii="宋体" w:hAnsi="宋体"/>
              </w:rPr>
              <w:t>5</w:t>
            </w:r>
          </w:p>
        </w:tc>
        <w:tc>
          <w:tcPr>
            <w:tcW w:w="576" w:type="pct"/>
            <w:vAlign w:val="center"/>
          </w:tcPr>
          <w:p w14:paraId="7E649B8F">
            <w:pPr>
              <w:pStyle w:val="12"/>
              <w:jc w:val="center"/>
              <w:rPr>
                <w:rFonts w:ascii="宋体" w:hAnsi="宋体"/>
              </w:rPr>
            </w:pPr>
            <w:r>
              <w:rPr>
                <w:rFonts w:hint="eastAsia" w:ascii="宋体" w:hAnsi="宋体"/>
              </w:rPr>
              <w:t>5</w:t>
            </w:r>
          </w:p>
        </w:tc>
        <w:tc>
          <w:tcPr>
            <w:tcW w:w="768" w:type="pct"/>
            <w:vAlign w:val="center"/>
          </w:tcPr>
          <w:p w14:paraId="74C7E5AB">
            <w:pPr>
              <w:pStyle w:val="12"/>
              <w:jc w:val="center"/>
              <w:rPr>
                <w:rFonts w:ascii="宋体" w:hAnsi="宋体"/>
              </w:rPr>
            </w:pPr>
            <w:r>
              <w:rPr>
                <w:rFonts w:hint="eastAsia" w:ascii="宋体" w:hAnsi="宋体"/>
              </w:rPr>
              <w:t>154</w:t>
            </w:r>
          </w:p>
        </w:tc>
        <w:tc>
          <w:tcPr>
            <w:tcW w:w="451" w:type="pct"/>
            <w:vAlign w:val="center"/>
          </w:tcPr>
          <w:p w14:paraId="17A2A1D4">
            <w:pPr>
              <w:pStyle w:val="12"/>
              <w:jc w:val="center"/>
              <w:rPr>
                <w:rFonts w:ascii="宋体" w:hAnsi="宋体"/>
              </w:rPr>
            </w:pPr>
            <w:r>
              <w:rPr>
                <w:rFonts w:hint="eastAsia" w:ascii="宋体" w:hAnsi="宋体"/>
              </w:rPr>
              <w:t>2720</w:t>
            </w:r>
          </w:p>
        </w:tc>
        <w:tc>
          <w:tcPr>
            <w:tcW w:w="1900" w:type="pct"/>
            <w:vAlign w:val="center"/>
          </w:tcPr>
          <w:p w14:paraId="053CF110">
            <w:pPr>
              <w:pStyle w:val="12"/>
              <w:jc w:val="center"/>
              <w:rPr>
                <w:rFonts w:ascii="宋体" w:hAnsi="宋体"/>
              </w:rPr>
            </w:pPr>
            <w:r>
              <w:rPr>
                <w:rFonts w:hint="eastAsia" w:ascii="宋体" w:hAnsi="宋体"/>
              </w:rPr>
              <w:t>小陂3、水西、溪塘各1</w:t>
            </w:r>
          </w:p>
        </w:tc>
      </w:tr>
      <w:tr w14:paraId="11829B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3" w:type="pct"/>
            <w:vAlign w:val="center"/>
          </w:tcPr>
          <w:p w14:paraId="7EB2BE13">
            <w:pPr>
              <w:pStyle w:val="12"/>
              <w:jc w:val="center"/>
              <w:rPr>
                <w:rFonts w:ascii="宋体" w:hAnsi="宋体"/>
              </w:rPr>
            </w:pPr>
            <w:r>
              <w:rPr>
                <w:rFonts w:hint="eastAsia" w:ascii="宋体" w:hAnsi="宋体"/>
              </w:rPr>
              <w:t>古市</w:t>
            </w:r>
          </w:p>
        </w:tc>
        <w:tc>
          <w:tcPr>
            <w:tcW w:w="653" w:type="pct"/>
            <w:vAlign w:val="center"/>
          </w:tcPr>
          <w:p w14:paraId="5730C751">
            <w:pPr>
              <w:pStyle w:val="12"/>
              <w:jc w:val="center"/>
              <w:rPr>
                <w:rFonts w:ascii="宋体" w:hAnsi="宋体"/>
              </w:rPr>
            </w:pPr>
            <w:r>
              <w:rPr>
                <w:rFonts w:hint="eastAsia" w:ascii="宋体" w:hAnsi="宋体"/>
              </w:rPr>
              <w:t>4</w:t>
            </w:r>
          </w:p>
        </w:tc>
        <w:tc>
          <w:tcPr>
            <w:tcW w:w="576" w:type="pct"/>
            <w:vAlign w:val="center"/>
          </w:tcPr>
          <w:p w14:paraId="6891F002">
            <w:pPr>
              <w:pStyle w:val="12"/>
              <w:jc w:val="center"/>
              <w:rPr>
                <w:rFonts w:ascii="宋体" w:hAnsi="宋体"/>
              </w:rPr>
            </w:pPr>
            <w:r>
              <w:rPr>
                <w:rFonts w:hint="eastAsia" w:ascii="宋体" w:hAnsi="宋体"/>
              </w:rPr>
              <w:t>4</w:t>
            </w:r>
          </w:p>
        </w:tc>
        <w:tc>
          <w:tcPr>
            <w:tcW w:w="768" w:type="pct"/>
            <w:vAlign w:val="center"/>
          </w:tcPr>
          <w:p w14:paraId="2BB273E3">
            <w:pPr>
              <w:pStyle w:val="12"/>
              <w:jc w:val="center"/>
              <w:rPr>
                <w:rFonts w:ascii="宋体" w:hAnsi="宋体"/>
              </w:rPr>
            </w:pPr>
            <w:r>
              <w:rPr>
                <w:rFonts w:hint="eastAsia" w:ascii="宋体" w:hAnsi="宋体"/>
              </w:rPr>
              <w:t>113</w:t>
            </w:r>
          </w:p>
        </w:tc>
        <w:tc>
          <w:tcPr>
            <w:tcW w:w="451" w:type="pct"/>
            <w:vAlign w:val="center"/>
          </w:tcPr>
          <w:p w14:paraId="0744AAD1">
            <w:pPr>
              <w:pStyle w:val="12"/>
              <w:jc w:val="center"/>
              <w:rPr>
                <w:rFonts w:ascii="宋体" w:hAnsi="宋体"/>
              </w:rPr>
            </w:pPr>
            <w:r>
              <w:rPr>
                <w:rFonts w:hint="eastAsia" w:ascii="宋体" w:hAnsi="宋体"/>
              </w:rPr>
              <w:t>2220</w:t>
            </w:r>
          </w:p>
        </w:tc>
        <w:tc>
          <w:tcPr>
            <w:tcW w:w="1900" w:type="pct"/>
            <w:vAlign w:val="center"/>
          </w:tcPr>
          <w:p w14:paraId="643B1D86">
            <w:pPr>
              <w:pStyle w:val="12"/>
              <w:jc w:val="center"/>
              <w:rPr>
                <w:rFonts w:ascii="宋体" w:hAnsi="宋体"/>
              </w:rPr>
            </w:pPr>
            <w:r>
              <w:rPr>
                <w:rFonts w:hint="eastAsia" w:ascii="宋体" w:hAnsi="宋体"/>
              </w:rPr>
              <w:t>丰源2、修仁2</w:t>
            </w:r>
          </w:p>
        </w:tc>
      </w:tr>
      <w:tr w14:paraId="24819D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3" w:type="pct"/>
            <w:vAlign w:val="center"/>
          </w:tcPr>
          <w:p w14:paraId="04BC85F3">
            <w:pPr>
              <w:pStyle w:val="12"/>
              <w:jc w:val="center"/>
              <w:rPr>
                <w:rFonts w:ascii="宋体" w:hAnsi="宋体"/>
              </w:rPr>
            </w:pPr>
            <w:r>
              <w:rPr>
                <w:rFonts w:hint="eastAsia" w:ascii="宋体" w:hAnsi="宋体"/>
              </w:rPr>
              <w:t>黎口</w:t>
            </w:r>
          </w:p>
        </w:tc>
        <w:tc>
          <w:tcPr>
            <w:tcW w:w="653" w:type="pct"/>
            <w:vAlign w:val="center"/>
          </w:tcPr>
          <w:p w14:paraId="760D840F">
            <w:pPr>
              <w:pStyle w:val="12"/>
              <w:jc w:val="center"/>
              <w:rPr>
                <w:rFonts w:ascii="宋体" w:hAnsi="宋体"/>
              </w:rPr>
            </w:pPr>
            <w:r>
              <w:rPr>
                <w:rFonts w:hint="eastAsia" w:ascii="宋体" w:hAnsi="宋体"/>
              </w:rPr>
              <w:t>6</w:t>
            </w:r>
          </w:p>
        </w:tc>
        <w:tc>
          <w:tcPr>
            <w:tcW w:w="576" w:type="pct"/>
            <w:vAlign w:val="center"/>
          </w:tcPr>
          <w:p w14:paraId="097EFB62">
            <w:pPr>
              <w:pStyle w:val="12"/>
              <w:jc w:val="center"/>
              <w:rPr>
                <w:rFonts w:ascii="宋体" w:hAnsi="宋体"/>
              </w:rPr>
            </w:pPr>
            <w:r>
              <w:rPr>
                <w:rFonts w:hint="eastAsia" w:ascii="宋体" w:hAnsi="宋体"/>
              </w:rPr>
              <w:t>6</w:t>
            </w:r>
          </w:p>
        </w:tc>
        <w:tc>
          <w:tcPr>
            <w:tcW w:w="768" w:type="pct"/>
            <w:vAlign w:val="center"/>
          </w:tcPr>
          <w:p w14:paraId="53FE88C9">
            <w:pPr>
              <w:pStyle w:val="12"/>
              <w:jc w:val="center"/>
              <w:rPr>
                <w:rFonts w:ascii="宋体" w:hAnsi="宋体"/>
              </w:rPr>
            </w:pPr>
            <w:r>
              <w:rPr>
                <w:rFonts w:hint="eastAsia" w:ascii="宋体" w:hAnsi="宋体"/>
              </w:rPr>
              <w:t>116.5</w:t>
            </w:r>
          </w:p>
        </w:tc>
        <w:tc>
          <w:tcPr>
            <w:tcW w:w="451" w:type="pct"/>
            <w:vAlign w:val="center"/>
          </w:tcPr>
          <w:p w14:paraId="47700AD5">
            <w:pPr>
              <w:pStyle w:val="12"/>
              <w:jc w:val="center"/>
              <w:rPr>
                <w:rFonts w:ascii="宋体" w:hAnsi="宋体"/>
              </w:rPr>
            </w:pPr>
            <w:r>
              <w:rPr>
                <w:rFonts w:hint="eastAsia" w:ascii="宋体" w:hAnsi="宋体"/>
              </w:rPr>
              <w:t>2100</w:t>
            </w:r>
          </w:p>
        </w:tc>
        <w:tc>
          <w:tcPr>
            <w:tcW w:w="1900" w:type="pct"/>
            <w:vAlign w:val="center"/>
          </w:tcPr>
          <w:p w14:paraId="4F94F51B">
            <w:pPr>
              <w:pStyle w:val="12"/>
              <w:jc w:val="center"/>
              <w:rPr>
                <w:rFonts w:ascii="宋体" w:hAnsi="宋体"/>
              </w:rPr>
            </w:pPr>
            <w:r>
              <w:rPr>
                <w:rFonts w:hint="eastAsia" w:ascii="宋体" w:hAnsi="宋体"/>
              </w:rPr>
              <w:t>荆岗4，勋口、迳口各1</w:t>
            </w:r>
          </w:p>
        </w:tc>
      </w:tr>
      <w:tr w14:paraId="6C35F4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3" w:type="pct"/>
            <w:vAlign w:val="center"/>
          </w:tcPr>
          <w:p w14:paraId="60C458F9">
            <w:pPr>
              <w:pStyle w:val="12"/>
              <w:jc w:val="center"/>
              <w:rPr>
                <w:rFonts w:ascii="宋体" w:hAnsi="宋体"/>
              </w:rPr>
            </w:pPr>
            <w:r>
              <w:rPr>
                <w:rFonts w:hint="eastAsia" w:ascii="宋体" w:hAnsi="宋体"/>
              </w:rPr>
              <w:t>珠玑</w:t>
            </w:r>
          </w:p>
        </w:tc>
        <w:tc>
          <w:tcPr>
            <w:tcW w:w="653" w:type="pct"/>
            <w:vAlign w:val="center"/>
          </w:tcPr>
          <w:p w14:paraId="7944C6D5">
            <w:pPr>
              <w:pStyle w:val="12"/>
              <w:jc w:val="center"/>
              <w:rPr>
                <w:rFonts w:ascii="宋体" w:hAnsi="宋体"/>
              </w:rPr>
            </w:pPr>
            <w:r>
              <w:rPr>
                <w:rFonts w:hint="eastAsia" w:ascii="宋体" w:hAnsi="宋体"/>
              </w:rPr>
              <w:t>8</w:t>
            </w:r>
          </w:p>
        </w:tc>
        <w:tc>
          <w:tcPr>
            <w:tcW w:w="576" w:type="pct"/>
            <w:vAlign w:val="center"/>
          </w:tcPr>
          <w:p w14:paraId="5FA2E37E">
            <w:pPr>
              <w:pStyle w:val="12"/>
              <w:jc w:val="center"/>
              <w:rPr>
                <w:rFonts w:ascii="宋体" w:hAnsi="宋体"/>
              </w:rPr>
            </w:pPr>
            <w:r>
              <w:rPr>
                <w:rFonts w:hint="eastAsia" w:ascii="宋体" w:hAnsi="宋体"/>
              </w:rPr>
              <w:t>9</w:t>
            </w:r>
          </w:p>
        </w:tc>
        <w:tc>
          <w:tcPr>
            <w:tcW w:w="768" w:type="pct"/>
            <w:vAlign w:val="center"/>
          </w:tcPr>
          <w:p w14:paraId="3D0F972C">
            <w:pPr>
              <w:pStyle w:val="12"/>
              <w:jc w:val="center"/>
              <w:rPr>
                <w:rFonts w:ascii="宋体" w:hAnsi="宋体"/>
              </w:rPr>
            </w:pPr>
            <w:r>
              <w:rPr>
                <w:rFonts w:hint="eastAsia" w:ascii="宋体" w:hAnsi="宋体"/>
              </w:rPr>
              <w:t>150.5</w:t>
            </w:r>
          </w:p>
        </w:tc>
        <w:tc>
          <w:tcPr>
            <w:tcW w:w="451" w:type="pct"/>
            <w:vAlign w:val="center"/>
          </w:tcPr>
          <w:p w14:paraId="33B0A765">
            <w:pPr>
              <w:pStyle w:val="12"/>
              <w:jc w:val="center"/>
              <w:rPr>
                <w:rFonts w:ascii="宋体" w:hAnsi="宋体"/>
              </w:rPr>
            </w:pPr>
            <w:r>
              <w:rPr>
                <w:rFonts w:hint="eastAsia" w:ascii="宋体" w:hAnsi="宋体"/>
              </w:rPr>
              <w:t>3310</w:t>
            </w:r>
          </w:p>
        </w:tc>
        <w:tc>
          <w:tcPr>
            <w:tcW w:w="1900" w:type="pct"/>
            <w:vAlign w:val="center"/>
          </w:tcPr>
          <w:p w14:paraId="748A1DD4">
            <w:pPr>
              <w:pStyle w:val="12"/>
              <w:jc w:val="center"/>
              <w:rPr>
                <w:rFonts w:ascii="宋体" w:hAnsi="宋体"/>
              </w:rPr>
            </w:pPr>
            <w:r>
              <w:rPr>
                <w:rFonts w:hint="eastAsia" w:ascii="宋体" w:hAnsi="宋体"/>
              </w:rPr>
              <w:t>长迳2、塘东2、洋湖、小里元、罗田、聪背各1</w:t>
            </w:r>
          </w:p>
        </w:tc>
      </w:tr>
      <w:tr w14:paraId="78C9C0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3" w:type="pct"/>
            <w:vAlign w:val="center"/>
          </w:tcPr>
          <w:p w14:paraId="2ABAFB42">
            <w:pPr>
              <w:pStyle w:val="12"/>
              <w:jc w:val="center"/>
              <w:rPr>
                <w:rFonts w:ascii="宋体" w:hAnsi="宋体"/>
              </w:rPr>
            </w:pPr>
            <w:r>
              <w:rPr>
                <w:rFonts w:hint="eastAsia" w:ascii="宋体" w:hAnsi="宋体"/>
              </w:rPr>
              <w:t>湖口</w:t>
            </w:r>
          </w:p>
        </w:tc>
        <w:tc>
          <w:tcPr>
            <w:tcW w:w="653" w:type="pct"/>
            <w:vAlign w:val="center"/>
          </w:tcPr>
          <w:p w14:paraId="24B30862">
            <w:pPr>
              <w:pStyle w:val="12"/>
              <w:jc w:val="center"/>
              <w:rPr>
                <w:rFonts w:ascii="宋体" w:hAnsi="宋体"/>
              </w:rPr>
            </w:pPr>
            <w:r>
              <w:rPr>
                <w:rFonts w:hint="eastAsia" w:ascii="宋体" w:hAnsi="宋体"/>
              </w:rPr>
              <w:t>7</w:t>
            </w:r>
          </w:p>
        </w:tc>
        <w:tc>
          <w:tcPr>
            <w:tcW w:w="576" w:type="pct"/>
            <w:vAlign w:val="center"/>
          </w:tcPr>
          <w:p w14:paraId="2D834CF7">
            <w:pPr>
              <w:pStyle w:val="12"/>
              <w:jc w:val="center"/>
              <w:rPr>
                <w:rFonts w:ascii="宋体" w:hAnsi="宋体"/>
              </w:rPr>
            </w:pPr>
            <w:r>
              <w:rPr>
                <w:rFonts w:hint="eastAsia" w:ascii="宋体" w:hAnsi="宋体"/>
              </w:rPr>
              <w:t>7</w:t>
            </w:r>
          </w:p>
        </w:tc>
        <w:tc>
          <w:tcPr>
            <w:tcW w:w="768" w:type="pct"/>
            <w:vAlign w:val="center"/>
          </w:tcPr>
          <w:p w14:paraId="7F1CDEB5">
            <w:pPr>
              <w:pStyle w:val="12"/>
              <w:jc w:val="center"/>
              <w:rPr>
                <w:rFonts w:ascii="宋体" w:hAnsi="宋体"/>
              </w:rPr>
            </w:pPr>
            <w:r>
              <w:rPr>
                <w:rFonts w:hint="eastAsia" w:ascii="宋体" w:hAnsi="宋体"/>
              </w:rPr>
              <w:t>148</w:t>
            </w:r>
          </w:p>
        </w:tc>
        <w:tc>
          <w:tcPr>
            <w:tcW w:w="451" w:type="pct"/>
            <w:vAlign w:val="center"/>
          </w:tcPr>
          <w:p w14:paraId="66B1D8CC">
            <w:pPr>
              <w:pStyle w:val="12"/>
              <w:jc w:val="center"/>
              <w:rPr>
                <w:rFonts w:ascii="宋体" w:hAnsi="宋体"/>
              </w:rPr>
            </w:pPr>
            <w:r>
              <w:rPr>
                <w:rFonts w:hint="eastAsia" w:ascii="宋体" w:hAnsi="宋体"/>
              </w:rPr>
              <w:t>1850</w:t>
            </w:r>
          </w:p>
        </w:tc>
        <w:tc>
          <w:tcPr>
            <w:tcW w:w="1900" w:type="pct"/>
            <w:vAlign w:val="center"/>
          </w:tcPr>
          <w:p w14:paraId="31DCB98C">
            <w:pPr>
              <w:pStyle w:val="12"/>
              <w:jc w:val="center"/>
              <w:rPr>
                <w:rFonts w:ascii="宋体" w:hAnsi="宋体"/>
              </w:rPr>
            </w:pPr>
            <w:r>
              <w:rPr>
                <w:rFonts w:hint="eastAsia" w:ascii="宋体" w:hAnsi="宋体"/>
              </w:rPr>
              <w:t>新湖2、长市2、里和、承平、三角各1</w:t>
            </w:r>
          </w:p>
        </w:tc>
      </w:tr>
      <w:tr w14:paraId="3662E2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3" w:type="pct"/>
            <w:vAlign w:val="center"/>
          </w:tcPr>
          <w:p w14:paraId="3AA235F7">
            <w:pPr>
              <w:pStyle w:val="12"/>
              <w:jc w:val="center"/>
              <w:rPr>
                <w:rFonts w:ascii="宋体" w:hAnsi="宋体"/>
              </w:rPr>
            </w:pPr>
            <w:r>
              <w:rPr>
                <w:rFonts w:hint="eastAsia" w:ascii="宋体" w:hAnsi="宋体"/>
              </w:rPr>
              <w:t>孔江</w:t>
            </w:r>
          </w:p>
        </w:tc>
        <w:tc>
          <w:tcPr>
            <w:tcW w:w="653" w:type="pct"/>
            <w:vAlign w:val="center"/>
          </w:tcPr>
          <w:p w14:paraId="51806E73">
            <w:pPr>
              <w:pStyle w:val="12"/>
              <w:jc w:val="center"/>
              <w:rPr>
                <w:rFonts w:ascii="宋体" w:hAnsi="宋体"/>
              </w:rPr>
            </w:pPr>
            <w:r>
              <w:rPr>
                <w:rFonts w:hint="eastAsia" w:ascii="宋体" w:hAnsi="宋体"/>
              </w:rPr>
              <w:t>2</w:t>
            </w:r>
          </w:p>
        </w:tc>
        <w:tc>
          <w:tcPr>
            <w:tcW w:w="576" w:type="pct"/>
            <w:vAlign w:val="center"/>
          </w:tcPr>
          <w:p w14:paraId="07D14543">
            <w:pPr>
              <w:pStyle w:val="12"/>
              <w:jc w:val="center"/>
              <w:rPr>
                <w:rFonts w:ascii="宋体" w:hAnsi="宋体"/>
              </w:rPr>
            </w:pPr>
            <w:r>
              <w:rPr>
                <w:rFonts w:hint="eastAsia" w:ascii="宋体" w:hAnsi="宋体"/>
              </w:rPr>
              <w:t>2</w:t>
            </w:r>
          </w:p>
        </w:tc>
        <w:tc>
          <w:tcPr>
            <w:tcW w:w="768" w:type="pct"/>
            <w:vAlign w:val="center"/>
          </w:tcPr>
          <w:p w14:paraId="29AC9F82">
            <w:pPr>
              <w:pStyle w:val="12"/>
              <w:jc w:val="center"/>
              <w:rPr>
                <w:rFonts w:ascii="宋体" w:hAnsi="宋体"/>
              </w:rPr>
            </w:pPr>
            <w:r>
              <w:rPr>
                <w:rFonts w:hint="eastAsia" w:ascii="宋体" w:hAnsi="宋体"/>
              </w:rPr>
              <w:t>41</w:t>
            </w:r>
          </w:p>
        </w:tc>
        <w:tc>
          <w:tcPr>
            <w:tcW w:w="451" w:type="pct"/>
            <w:vAlign w:val="center"/>
          </w:tcPr>
          <w:p w14:paraId="3D93976C">
            <w:pPr>
              <w:pStyle w:val="12"/>
              <w:jc w:val="center"/>
              <w:rPr>
                <w:rFonts w:ascii="宋体" w:hAnsi="宋体"/>
              </w:rPr>
            </w:pPr>
            <w:r>
              <w:rPr>
                <w:rFonts w:hint="eastAsia" w:ascii="宋体" w:hAnsi="宋体"/>
              </w:rPr>
              <w:t>750</w:t>
            </w:r>
          </w:p>
        </w:tc>
        <w:tc>
          <w:tcPr>
            <w:tcW w:w="1900" w:type="pct"/>
            <w:vAlign w:val="center"/>
          </w:tcPr>
          <w:p w14:paraId="2C253F83">
            <w:pPr>
              <w:pStyle w:val="12"/>
              <w:jc w:val="center"/>
              <w:rPr>
                <w:rFonts w:ascii="宋体" w:hAnsi="宋体"/>
              </w:rPr>
            </w:pPr>
            <w:r>
              <w:rPr>
                <w:rFonts w:hint="eastAsia" w:ascii="宋体" w:hAnsi="宋体"/>
              </w:rPr>
              <w:t>田心、大竹各1</w:t>
            </w:r>
          </w:p>
        </w:tc>
      </w:tr>
      <w:tr w14:paraId="5617DC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3" w:type="pct"/>
            <w:vAlign w:val="center"/>
          </w:tcPr>
          <w:p w14:paraId="4EA0201B">
            <w:pPr>
              <w:pStyle w:val="12"/>
              <w:jc w:val="center"/>
              <w:rPr>
                <w:rFonts w:ascii="宋体" w:hAnsi="宋体"/>
              </w:rPr>
            </w:pPr>
            <w:r>
              <w:rPr>
                <w:rFonts w:hint="eastAsia" w:ascii="宋体" w:hAnsi="宋体"/>
              </w:rPr>
              <w:t>全安</w:t>
            </w:r>
          </w:p>
        </w:tc>
        <w:tc>
          <w:tcPr>
            <w:tcW w:w="653" w:type="pct"/>
            <w:vAlign w:val="center"/>
          </w:tcPr>
          <w:p w14:paraId="6A5BF79A">
            <w:pPr>
              <w:pStyle w:val="12"/>
              <w:jc w:val="center"/>
              <w:rPr>
                <w:rFonts w:ascii="宋体" w:hAnsi="宋体"/>
              </w:rPr>
            </w:pPr>
            <w:r>
              <w:rPr>
                <w:rFonts w:hint="eastAsia" w:ascii="宋体" w:hAnsi="宋体"/>
              </w:rPr>
              <w:t>2</w:t>
            </w:r>
          </w:p>
        </w:tc>
        <w:tc>
          <w:tcPr>
            <w:tcW w:w="576" w:type="pct"/>
            <w:vAlign w:val="center"/>
          </w:tcPr>
          <w:p w14:paraId="4323E92F">
            <w:pPr>
              <w:pStyle w:val="12"/>
              <w:jc w:val="center"/>
              <w:rPr>
                <w:rFonts w:ascii="宋体" w:hAnsi="宋体"/>
              </w:rPr>
            </w:pPr>
            <w:r>
              <w:rPr>
                <w:rFonts w:hint="eastAsia" w:ascii="宋体" w:hAnsi="宋体"/>
              </w:rPr>
              <w:t>2</w:t>
            </w:r>
          </w:p>
        </w:tc>
        <w:tc>
          <w:tcPr>
            <w:tcW w:w="768" w:type="pct"/>
            <w:vAlign w:val="center"/>
          </w:tcPr>
          <w:p w14:paraId="6B5CEC81">
            <w:pPr>
              <w:pStyle w:val="12"/>
              <w:jc w:val="center"/>
              <w:rPr>
                <w:rFonts w:ascii="宋体" w:hAnsi="宋体"/>
              </w:rPr>
            </w:pPr>
            <w:r>
              <w:rPr>
                <w:rFonts w:hint="eastAsia" w:ascii="宋体" w:hAnsi="宋体"/>
              </w:rPr>
              <w:t>15</w:t>
            </w:r>
          </w:p>
        </w:tc>
        <w:tc>
          <w:tcPr>
            <w:tcW w:w="451" w:type="pct"/>
            <w:vAlign w:val="center"/>
          </w:tcPr>
          <w:p w14:paraId="4BF5D14A">
            <w:pPr>
              <w:pStyle w:val="12"/>
              <w:jc w:val="center"/>
              <w:rPr>
                <w:rFonts w:ascii="宋体" w:hAnsi="宋体"/>
              </w:rPr>
            </w:pPr>
            <w:r>
              <w:rPr>
                <w:rFonts w:hint="eastAsia" w:ascii="宋体" w:hAnsi="宋体"/>
              </w:rPr>
              <w:t>250</w:t>
            </w:r>
          </w:p>
        </w:tc>
        <w:tc>
          <w:tcPr>
            <w:tcW w:w="1900" w:type="pct"/>
            <w:vAlign w:val="center"/>
          </w:tcPr>
          <w:p w14:paraId="40A3BF7D">
            <w:pPr>
              <w:pStyle w:val="12"/>
              <w:jc w:val="center"/>
              <w:rPr>
                <w:rFonts w:ascii="宋体" w:hAnsi="宋体"/>
              </w:rPr>
            </w:pPr>
            <w:r>
              <w:rPr>
                <w:rFonts w:hint="eastAsia" w:ascii="宋体" w:hAnsi="宋体"/>
              </w:rPr>
              <w:t>古塘2</w:t>
            </w:r>
          </w:p>
        </w:tc>
      </w:tr>
      <w:tr w14:paraId="41CD69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3" w:type="pct"/>
            <w:vAlign w:val="center"/>
          </w:tcPr>
          <w:p w14:paraId="2AECBF44">
            <w:pPr>
              <w:pStyle w:val="12"/>
              <w:jc w:val="center"/>
              <w:rPr>
                <w:rFonts w:ascii="宋体" w:hAnsi="宋体"/>
              </w:rPr>
            </w:pPr>
            <w:r>
              <w:rPr>
                <w:rFonts w:hint="eastAsia" w:ascii="宋体" w:hAnsi="宋体"/>
              </w:rPr>
              <w:t>邓坊</w:t>
            </w:r>
          </w:p>
        </w:tc>
        <w:tc>
          <w:tcPr>
            <w:tcW w:w="653" w:type="pct"/>
            <w:vAlign w:val="center"/>
          </w:tcPr>
          <w:p w14:paraId="150C5332">
            <w:pPr>
              <w:pStyle w:val="12"/>
              <w:jc w:val="center"/>
              <w:rPr>
                <w:rFonts w:ascii="宋体" w:hAnsi="宋体"/>
              </w:rPr>
            </w:pPr>
            <w:r>
              <w:rPr>
                <w:rFonts w:hint="eastAsia" w:ascii="宋体" w:hAnsi="宋体"/>
              </w:rPr>
              <w:t>1</w:t>
            </w:r>
          </w:p>
        </w:tc>
        <w:tc>
          <w:tcPr>
            <w:tcW w:w="576" w:type="pct"/>
            <w:vAlign w:val="center"/>
          </w:tcPr>
          <w:p w14:paraId="229C4335">
            <w:pPr>
              <w:pStyle w:val="12"/>
              <w:jc w:val="center"/>
              <w:rPr>
                <w:rFonts w:ascii="宋体" w:hAnsi="宋体"/>
              </w:rPr>
            </w:pPr>
            <w:r>
              <w:rPr>
                <w:rFonts w:hint="eastAsia" w:ascii="宋体" w:hAnsi="宋体"/>
              </w:rPr>
              <w:t>1</w:t>
            </w:r>
          </w:p>
        </w:tc>
        <w:tc>
          <w:tcPr>
            <w:tcW w:w="768" w:type="pct"/>
            <w:vAlign w:val="center"/>
          </w:tcPr>
          <w:p w14:paraId="7139FB69">
            <w:pPr>
              <w:pStyle w:val="12"/>
              <w:jc w:val="center"/>
              <w:rPr>
                <w:rFonts w:ascii="宋体" w:hAnsi="宋体"/>
              </w:rPr>
            </w:pPr>
            <w:r>
              <w:rPr>
                <w:rFonts w:hint="eastAsia" w:ascii="宋体" w:hAnsi="宋体"/>
              </w:rPr>
              <w:t>17</w:t>
            </w:r>
          </w:p>
        </w:tc>
        <w:tc>
          <w:tcPr>
            <w:tcW w:w="451" w:type="pct"/>
            <w:vAlign w:val="center"/>
          </w:tcPr>
          <w:p w14:paraId="4ED095F8">
            <w:pPr>
              <w:pStyle w:val="12"/>
              <w:jc w:val="center"/>
              <w:rPr>
                <w:rFonts w:ascii="宋体" w:hAnsi="宋体"/>
              </w:rPr>
            </w:pPr>
            <w:r>
              <w:rPr>
                <w:rFonts w:hint="eastAsia" w:ascii="宋体" w:hAnsi="宋体"/>
              </w:rPr>
              <w:t>210</w:t>
            </w:r>
          </w:p>
        </w:tc>
        <w:tc>
          <w:tcPr>
            <w:tcW w:w="1900" w:type="pct"/>
            <w:vAlign w:val="center"/>
          </w:tcPr>
          <w:p w14:paraId="09E421F2">
            <w:pPr>
              <w:pStyle w:val="12"/>
              <w:jc w:val="center"/>
              <w:rPr>
                <w:rFonts w:ascii="宋体" w:hAnsi="宋体"/>
              </w:rPr>
            </w:pPr>
            <w:r>
              <w:rPr>
                <w:rFonts w:hint="eastAsia" w:ascii="宋体" w:hAnsi="宋体"/>
              </w:rPr>
              <w:t>赤马</w:t>
            </w:r>
          </w:p>
        </w:tc>
      </w:tr>
      <w:tr w14:paraId="3AA212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3" w:type="pct"/>
            <w:vAlign w:val="center"/>
          </w:tcPr>
          <w:p w14:paraId="0F23F499">
            <w:pPr>
              <w:pStyle w:val="12"/>
              <w:jc w:val="center"/>
              <w:rPr>
                <w:rFonts w:ascii="宋体" w:hAnsi="宋体"/>
              </w:rPr>
            </w:pPr>
            <w:r>
              <w:rPr>
                <w:rFonts w:hint="eastAsia" w:ascii="宋体" w:hAnsi="宋体"/>
              </w:rPr>
              <w:t>主田</w:t>
            </w:r>
          </w:p>
        </w:tc>
        <w:tc>
          <w:tcPr>
            <w:tcW w:w="653" w:type="pct"/>
            <w:vAlign w:val="center"/>
          </w:tcPr>
          <w:p w14:paraId="69E73E12">
            <w:pPr>
              <w:pStyle w:val="12"/>
              <w:jc w:val="center"/>
              <w:rPr>
                <w:rFonts w:ascii="宋体" w:hAnsi="宋体"/>
              </w:rPr>
            </w:pPr>
            <w:r>
              <w:rPr>
                <w:rFonts w:hint="eastAsia" w:ascii="宋体" w:hAnsi="宋体"/>
              </w:rPr>
              <w:t>1</w:t>
            </w:r>
          </w:p>
        </w:tc>
        <w:tc>
          <w:tcPr>
            <w:tcW w:w="576" w:type="pct"/>
            <w:vAlign w:val="center"/>
          </w:tcPr>
          <w:p w14:paraId="294BFCF4">
            <w:pPr>
              <w:pStyle w:val="12"/>
              <w:jc w:val="center"/>
              <w:rPr>
                <w:rFonts w:ascii="宋体" w:hAnsi="宋体"/>
              </w:rPr>
            </w:pPr>
            <w:r>
              <w:rPr>
                <w:rFonts w:hint="eastAsia" w:ascii="宋体" w:hAnsi="宋体"/>
              </w:rPr>
              <w:t>1</w:t>
            </w:r>
          </w:p>
        </w:tc>
        <w:tc>
          <w:tcPr>
            <w:tcW w:w="768" w:type="pct"/>
            <w:vAlign w:val="center"/>
          </w:tcPr>
          <w:p w14:paraId="7FC17DE8">
            <w:pPr>
              <w:pStyle w:val="12"/>
              <w:jc w:val="center"/>
              <w:rPr>
                <w:rFonts w:ascii="宋体" w:hAnsi="宋体"/>
              </w:rPr>
            </w:pPr>
            <w:r>
              <w:rPr>
                <w:rFonts w:hint="eastAsia" w:ascii="宋体" w:hAnsi="宋体"/>
              </w:rPr>
              <w:t>22</w:t>
            </w:r>
          </w:p>
        </w:tc>
        <w:tc>
          <w:tcPr>
            <w:tcW w:w="451" w:type="pct"/>
            <w:vAlign w:val="center"/>
          </w:tcPr>
          <w:p w14:paraId="6E08FDE3">
            <w:pPr>
              <w:pStyle w:val="12"/>
              <w:jc w:val="center"/>
              <w:rPr>
                <w:rFonts w:ascii="宋体" w:hAnsi="宋体"/>
              </w:rPr>
            </w:pPr>
            <w:r>
              <w:rPr>
                <w:rFonts w:hint="eastAsia" w:ascii="宋体" w:hAnsi="宋体"/>
              </w:rPr>
              <w:t>200</w:t>
            </w:r>
          </w:p>
        </w:tc>
        <w:tc>
          <w:tcPr>
            <w:tcW w:w="1900" w:type="pct"/>
            <w:vAlign w:val="center"/>
          </w:tcPr>
          <w:p w14:paraId="13F13B5E">
            <w:pPr>
              <w:pStyle w:val="12"/>
              <w:jc w:val="center"/>
              <w:rPr>
                <w:rFonts w:ascii="宋体" w:hAnsi="宋体"/>
              </w:rPr>
            </w:pPr>
            <w:r>
              <w:rPr>
                <w:rFonts w:hint="eastAsia" w:ascii="宋体" w:hAnsi="宋体"/>
              </w:rPr>
              <w:t>塘山</w:t>
            </w:r>
          </w:p>
        </w:tc>
      </w:tr>
      <w:tr w14:paraId="32921A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3" w:type="pct"/>
            <w:vAlign w:val="center"/>
          </w:tcPr>
          <w:p w14:paraId="75C31173">
            <w:pPr>
              <w:pStyle w:val="12"/>
              <w:jc w:val="center"/>
              <w:rPr>
                <w:rFonts w:ascii="宋体" w:hAnsi="宋体"/>
              </w:rPr>
            </w:pPr>
            <w:r>
              <w:rPr>
                <w:rFonts w:hint="eastAsia" w:ascii="宋体" w:hAnsi="宋体"/>
              </w:rPr>
              <w:t>帽子峰</w:t>
            </w:r>
          </w:p>
        </w:tc>
        <w:tc>
          <w:tcPr>
            <w:tcW w:w="653" w:type="pct"/>
            <w:vAlign w:val="center"/>
          </w:tcPr>
          <w:p w14:paraId="6673DF95">
            <w:pPr>
              <w:pStyle w:val="12"/>
              <w:jc w:val="center"/>
              <w:rPr>
                <w:rFonts w:ascii="宋体" w:hAnsi="宋体"/>
              </w:rPr>
            </w:pPr>
            <w:r>
              <w:rPr>
                <w:rFonts w:hint="eastAsia" w:ascii="宋体" w:hAnsi="宋体"/>
              </w:rPr>
              <w:t>1</w:t>
            </w:r>
          </w:p>
        </w:tc>
        <w:tc>
          <w:tcPr>
            <w:tcW w:w="576" w:type="pct"/>
            <w:vAlign w:val="center"/>
          </w:tcPr>
          <w:p w14:paraId="06BD6D74">
            <w:pPr>
              <w:pStyle w:val="12"/>
              <w:jc w:val="center"/>
              <w:rPr>
                <w:rFonts w:ascii="宋体" w:hAnsi="宋体"/>
              </w:rPr>
            </w:pPr>
            <w:r>
              <w:rPr>
                <w:rFonts w:hint="eastAsia" w:ascii="宋体" w:hAnsi="宋体"/>
              </w:rPr>
              <w:t>1</w:t>
            </w:r>
          </w:p>
        </w:tc>
        <w:tc>
          <w:tcPr>
            <w:tcW w:w="768" w:type="pct"/>
            <w:vAlign w:val="center"/>
          </w:tcPr>
          <w:p w14:paraId="1AD236BD">
            <w:pPr>
              <w:pStyle w:val="12"/>
              <w:jc w:val="center"/>
              <w:rPr>
                <w:rFonts w:ascii="宋体" w:hAnsi="宋体"/>
              </w:rPr>
            </w:pPr>
            <w:r>
              <w:rPr>
                <w:rFonts w:hint="eastAsia" w:ascii="宋体" w:hAnsi="宋体"/>
              </w:rPr>
              <w:t>10</w:t>
            </w:r>
          </w:p>
        </w:tc>
        <w:tc>
          <w:tcPr>
            <w:tcW w:w="451" w:type="pct"/>
            <w:vAlign w:val="center"/>
          </w:tcPr>
          <w:p w14:paraId="3642E25C">
            <w:pPr>
              <w:pStyle w:val="12"/>
              <w:jc w:val="center"/>
              <w:rPr>
                <w:rFonts w:ascii="宋体" w:hAnsi="宋体"/>
              </w:rPr>
            </w:pPr>
            <w:r>
              <w:rPr>
                <w:rFonts w:hint="eastAsia" w:ascii="宋体" w:hAnsi="宋体"/>
              </w:rPr>
              <w:t>150</w:t>
            </w:r>
          </w:p>
        </w:tc>
        <w:tc>
          <w:tcPr>
            <w:tcW w:w="1900" w:type="pct"/>
            <w:vAlign w:val="center"/>
          </w:tcPr>
          <w:p w14:paraId="63A9EF50">
            <w:pPr>
              <w:pStyle w:val="12"/>
              <w:jc w:val="center"/>
              <w:rPr>
                <w:rFonts w:ascii="宋体" w:hAnsi="宋体"/>
              </w:rPr>
            </w:pPr>
            <w:r>
              <w:rPr>
                <w:rFonts w:hint="eastAsia" w:ascii="宋体" w:hAnsi="宋体"/>
              </w:rPr>
              <w:t>付竹</w:t>
            </w:r>
          </w:p>
        </w:tc>
      </w:tr>
      <w:tr w14:paraId="1030D1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3" w:type="pct"/>
            <w:vAlign w:val="center"/>
          </w:tcPr>
          <w:p w14:paraId="668A2C3C">
            <w:pPr>
              <w:pStyle w:val="12"/>
              <w:jc w:val="center"/>
              <w:rPr>
                <w:rFonts w:ascii="宋体" w:hAnsi="宋体"/>
              </w:rPr>
            </w:pPr>
            <w:r>
              <w:rPr>
                <w:rFonts w:hint="eastAsia" w:ascii="宋体" w:hAnsi="宋体"/>
              </w:rPr>
              <w:t>雄州</w:t>
            </w:r>
          </w:p>
        </w:tc>
        <w:tc>
          <w:tcPr>
            <w:tcW w:w="653" w:type="pct"/>
            <w:vAlign w:val="center"/>
          </w:tcPr>
          <w:p w14:paraId="1FBB6C60">
            <w:pPr>
              <w:pStyle w:val="12"/>
              <w:jc w:val="center"/>
              <w:rPr>
                <w:rFonts w:ascii="宋体" w:hAnsi="宋体"/>
              </w:rPr>
            </w:pPr>
            <w:r>
              <w:rPr>
                <w:rFonts w:hint="eastAsia" w:ascii="宋体" w:hAnsi="宋体"/>
              </w:rPr>
              <w:t>3</w:t>
            </w:r>
          </w:p>
        </w:tc>
        <w:tc>
          <w:tcPr>
            <w:tcW w:w="576" w:type="pct"/>
            <w:vAlign w:val="center"/>
          </w:tcPr>
          <w:p w14:paraId="1FB15E26">
            <w:pPr>
              <w:pStyle w:val="12"/>
              <w:jc w:val="center"/>
              <w:rPr>
                <w:rFonts w:ascii="宋体" w:hAnsi="宋体"/>
              </w:rPr>
            </w:pPr>
            <w:r>
              <w:rPr>
                <w:rFonts w:hint="eastAsia" w:ascii="宋体" w:hAnsi="宋体"/>
              </w:rPr>
              <w:t>3</w:t>
            </w:r>
          </w:p>
        </w:tc>
        <w:tc>
          <w:tcPr>
            <w:tcW w:w="768" w:type="pct"/>
            <w:vAlign w:val="center"/>
          </w:tcPr>
          <w:p w14:paraId="2BEBD4AF">
            <w:pPr>
              <w:pStyle w:val="12"/>
              <w:jc w:val="center"/>
              <w:rPr>
                <w:rFonts w:ascii="宋体" w:hAnsi="宋体"/>
              </w:rPr>
            </w:pPr>
            <w:r>
              <w:rPr>
                <w:rFonts w:hint="eastAsia" w:ascii="宋体" w:hAnsi="宋体"/>
              </w:rPr>
              <w:t>28</w:t>
            </w:r>
          </w:p>
        </w:tc>
        <w:tc>
          <w:tcPr>
            <w:tcW w:w="451" w:type="pct"/>
            <w:vAlign w:val="center"/>
          </w:tcPr>
          <w:p w14:paraId="61A93412">
            <w:pPr>
              <w:pStyle w:val="12"/>
              <w:jc w:val="center"/>
              <w:rPr>
                <w:rFonts w:ascii="宋体" w:hAnsi="宋体"/>
              </w:rPr>
            </w:pPr>
            <w:r>
              <w:rPr>
                <w:rFonts w:hint="eastAsia" w:ascii="宋体" w:hAnsi="宋体"/>
              </w:rPr>
              <w:t>420</w:t>
            </w:r>
          </w:p>
        </w:tc>
        <w:tc>
          <w:tcPr>
            <w:tcW w:w="1900" w:type="pct"/>
            <w:vAlign w:val="center"/>
          </w:tcPr>
          <w:p w14:paraId="103D7A25">
            <w:pPr>
              <w:pStyle w:val="12"/>
              <w:jc w:val="center"/>
              <w:rPr>
                <w:rFonts w:ascii="宋体" w:hAnsi="宋体"/>
              </w:rPr>
            </w:pPr>
            <w:r>
              <w:rPr>
                <w:rFonts w:hint="eastAsia" w:ascii="宋体" w:hAnsi="宋体"/>
              </w:rPr>
              <w:t>郊区2、莲塘1</w:t>
            </w:r>
          </w:p>
        </w:tc>
      </w:tr>
    </w:tbl>
    <w:p w14:paraId="364332AD">
      <w:pPr>
        <w:pStyle w:val="5"/>
        <w:rPr>
          <w:rFonts w:ascii="宋体" w:hAnsi="宋体"/>
        </w:rPr>
      </w:pPr>
      <w:r>
        <w:rPr>
          <w:rFonts w:hint="eastAsia" w:ascii="宋体" w:hAnsi="宋体"/>
        </w:rPr>
        <w:t>二、防洪工程</w:t>
      </w:r>
    </w:p>
    <w:p w14:paraId="7E62AE01">
      <w:pPr>
        <w:ind w:firstLine="420"/>
        <w:rPr>
          <w:rFonts w:ascii="宋体" w:hAnsi="宋体"/>
          <w:szCs w:val="21"/>
        </w:rPr>
      </w:pPr>
      <w:r>
        <w:rPr>
          <w:rFonts w:hint="eastAsia" w:ascii="宋体" w:hAnsi="宋体"/>
          <w:szCs w:val="21"/>
        </w:rPr>
        <w:t>全市境内</w:t>
      </w:r>
      <w:r>
        <w:rPr>
          <w:rFonts w:ascii="宋体" w:hAnsi="宋体"/>
          <w:szCs w:val="21"/>
        </w:rPr>
        <w:t>110条大小河流，每年洪水期间河堤均有不同程度的损坏和崩塌。根据</w:t>
      </w:r>
      <w:r>
        <w:rPr>
          <w:rFonts w:hint="eastAsia" w:ascii="宋体" w:hAnsi="宋体"/>
          <w:szCs w:val="21"/>
        </w:rPr>
        <w:t>工程大小、难度分别由市、镇负责实施。由市组织实施的重点工程有三项：</w:t>
      </w:r>
    </w:p>
    <w:p w14:paraId="7A81437F">
      <w:pPr>
        <w:ind w:firstLine="420"/>
        <w:rPr>
          <w:rFonts w:ascii="宋体" w:hAnsi="宋体"/>
          <w:szCs w:val="21"/>
        </w:rPr>
      </w:pPr>
      <w:r>
        <w:rPr>
          <w:rFonts w:hint="eastAsia" w:ascii="宋体" w:hAnsi="宋体"/>
          <w:szCs w:val="21"/>
        </w:rPr>
        <w:t>一是凌江河飞机场段裁弯取直工程：新开河道</w:t>
      </w:r>
      <w:r>
        <w:rPr>
          <w:rFonts w:ascii="宋体" w:hAnsi="宋体"/>
          <w:szCs w:val="21"/>
        </w:rPr>
        <w:t>1.76公里，宽106米。河两岸衬</w:t>
      </w:r>
      <w:r>
        <w:rPr>
          <w:rFonts w:hint="eastAsia" w:ascii="宋体" w:hAnsi="宋体"/>
          <w:szCs w:val="21"/>
        </w:rPr>
        <w:t>浆砌石护堤</w:t>
      </w:r>
      <w:r>
        <w:rPr>
          <w:rFonts w:ascii="宋体" w:hAnsi="宋体"/>
          <w:szCs w:val="21"/>
        </w:rPr>
        <w:t>3520米，按50年一遇洪水设计，堤距80米。建桥1座长100米，桥宽12米，行车道净宽8米。1998年12月开工，2000年12月竣工。投资2500多万元</w:t>
      </w:r>
      <w:r>
        <w:rPr>
          <w:rFonts w:hint="eastAsia" w:ascii="宋体" w:hAnsi="宋体"/>
          <w:szCs w:val="21"/>
        </w:rPr>
        <w:t>。从此，凌江汇入浈水口从水西村下移至三枫村，顺流无阻，保护城区及雄州镇的郊区、全安镇、黎口镇免遭洪灾。</w:t>
      </w:r>
    </w:p>
    <w:p w14:paraId="469940DC">
      <w:pPr>
        <w:ind w:firstLine="420"/>
        <w:rPr>
          <w:rFonts w:ascii="宋体" w:hAnsi="宋体"/>
          <w:szCs w:val="21"/>
        </w:rPr>
      </w:pPr>
      <w:r>
        <w:rPr>
          <w:rFonts w:hint="eastAsia" w:ascii="宋体" w:hAnsi="宋体"/>
          <w:szCs w:val="21"/>
        </w:rPr>
        <w:t>二是城区防洪工程，建筑项目是疏浚河道</w:t>
      </w:r>
      <w:r>
        <w:rPr>
          <w:rFonts w:ascii="宋体" w:hAnsi="宋体"/>
          <w:szCs w:val="21"/>
        </w:rPr>
        <w:t>13.4公里，浈、凌二江建浆砌石河堤27.8公里，开挖河道2.2公里，总投资8600万元，于1998年12月动工，2002年12</w:t>
      </w:r>
      <w:r>
        <w:rPr>
          <w:rFonts w:hint="eastAsia" w:ascii="宋体" w:hAnsi="宋体"/>
          <w:szCs w:val="21"/>
        </w:rPr>
        <w:t>月基本完成。使</w:t>
      </w:r>
      <w:r>
        <w:rPr>
          <w:rFonts w:ascii="宋体" w:hAnsi="宋体"/>
          <w:szCs w:val="21"/>
        </w:rPr>
        <w:t>浈</w:t>
      </w:r>
      <w:r>
        <w:rPr>
          <w:rFonts w:hint="eastAsia" w:ascii="宋体" w:hAnsi="宋体"/>
          <w:szCs w:val="21"/>
        </w:rPr>
        <w:t>江河宽在河南桥以下不小于</w:t>
      </w:r>
      <w:r>
        <w:rPr>
          <w:rFonts w:ascii="宋体" w:hAnsi="宋体"/>
          <w:szCs w:val="21"/>
        </w:rPr>
        <w:t>120米，河南桥至水南桥小为81.5米，</w:t>
      </w:r>
      <w:r>
        <w:rPr>
          <w:rFonts w:hint="eastAsia" w:ascii="宋体" w:hAnsi="宋体"/>
          <w:szCs w:val="21"/>
        </w:rPr>
        <w:t>水南桥以上最小</w:t>
      </w:r>
      <w:r>
        <w:rPr>
          <w:rFonts w:ascii="宋体" w:hAnsi="宋体"/>
          <w:szCs w:val="21"/>
        </w:rPr>
        <w:t>90米，能满足行洪要求，免遭洪水灾害。而且美化、优化城区环境</w:t>
      </w:r>
      <w:r>
        <w:rPr>
          <w:rFonts w:hint="eastAsia" w:ascii="宋体" w:hAnsi="宋体"/>
          <w:szCs w:val="21"/>
        </w:rPr>
        <w:t>。</w:t>
      </w:r>
    </w:p>
    <w:p w14:paraId="01D222C2">
      <w:pPr>
        <w:ind w:firstLine="420"/>
        <w:rPr>
          <w:rFonts w:ascii="宋体" w:hAnsi="宋体"/>
          <w:szCs w:val="21"/>
        </w:rPr>
      </w:pPr>
      <w:r>
        <w:rPr>
          <w:rFonts w:hint="eastAsia" w:ascii="宋体" w:hAnsi="宋体"/>
          <w:szCs w:val="21"/>
        </w:rPr>
        <w:t>三是三枫闸坝电站工程，位于全安镇三枫村附近的浈江河，坝址以上集雨面积</w:t>
      </w:r>
      <w:r>
        <w:rPr>
          <w:rFonts w:ascii="宋体" w:hAnsi="宋体"/>
          <w:szCs w:val="21"/>
        </w:rPr>
        <w:t>1623平方公里，坝高119.5米（黄海高程），有效库容435.69万立方米，主要用于</w:t>
      </w:r>
      <w:r>
        <w:rPr>
          <w:rFonts w:hint="eastAsia" w:ascii="宋体" w:hAnsi="宋体"/>
          <w:szCs w:val="21"/>
        </w:rPr>
        <w:t>发电，对坝址以下具有滞洪、蓄洪作用。闸坝总长</w:t>
      </w:r>
      <w:r>
        <w:rPr>
          <w:rFonts w:ascii="宋体" w:hAnsi="宋体"/>
          <w:szCs w:val="21"/>
        </w:rPr>
        <w:t>120.6米，高7.5米，设15扇钢</w:t>
      </w:r>
      <w:r>
        <w:rPr>
          <w:rFonts w:hint="eastAsia" w:ascii="宋体" w:hAnsi="宋体"/>
          <w:szCs w:val="21"/>
        </w:rPr>
        <w:t>筋混凝土自控平板门。该坝于</w:t>
      </w:r>
      <w:r>
        <w:rPr>
          <w:rFonts w:ascii="宋体" w:hAnsi="宋体"/>
          <w:szCs w:val="21"/>
        </w:rPr>
        <w:t>2001年1月动工，10月上旬竣工。</w:t>
      </w:r>
    </w:p>
    <w:p w14:paraId="3FFF7C16">
      <w:pPr>
        <w:ind w:firstLine="420"/>
        <w:rPr>
          <w:rFonts w:ascii="宋体" w:hAnsi="宋体"/>
          <w:szCs w:val="21"/>
        </w:rPr>
      </w:pPr>
      <w:r>
        <w:rPr>
          <w:rFonts w:hint="eastAsia" w:ascii="宋体" w:hAnsi="宋体"/>
          <w:szCs w:val="21"/>
        </w:rPr>
        <w:t>其他河流堤防，由各镇修复</w:t>
      </w:r>
      <w:r>
        <w:rPr>
          <w:rFonts w:ascii="宋体" w:hAnsi="宋体"/>
          <w:szCs w:val="21"/>
        </w:rPr>
        <w:t>21处，共长80.9公里，捍卫耕地820公顷，捍卫人</w:t>
      </w:r>
      <w:r>
        <w:rPr>
          <w:rFonts w:hint="eastAsia" w:ascii="宋体" w:hAnsi="宋体"/>
          <w:szCs w:val="21"/>
        </w:rPr>
        <w:t>口</w:t>
      </w:r>
      <w:r>
        <w:rPr>
          <w:rFonts w:ascii="宋体" w:hAnsi="宋体"/>
          <w:szCs w:val="21"/>
        </w:rPr>
        <w:t>3.83万人，增加旱涝保收面积726.67公顷。详见表2-28：</w:t>
      </w:r>
    </w:p>
    <w:p w14:paraId="030F5831">
      <w:pPr>
        <w:ind w:firstLine="0" w:firstLineChars="0"/>
        <w:jc w:val="center"/>
        <w:rPr>
          <w:rFonts w:ascii="宋体" w:hAnsi="宋体"/>
          <w:b/>
          <w:szCs w:val="21"/>
        </w:rPr>
      </w:pPr>
      <w:r>
        <w:rPr>
          <w:rFonts w:hint="eastAsia" w:ascii="宋体" w:hAnsi="宋体"/>
          <w:b/>
          <w:szCs w:val="21"/>
        </w:rPr>
        <w:t>南雄市各镇修建河流堤防工程情况</w:t>
      </w:r>
    </w:p>
    <w:p w14:paraId="1C899EC3">
      <w:pPr>
        <w:ind w:firstLine="0" w:firstLineChars="0"/>
        <w:rPr>
          <w:rFonts w:ascii="宋体" w:hAnsi="宋体"/>
          <w:b/>
          <w:szCs w:val="21"/>
        </w:rPr>
      </w:pPr>
      <w:r>
        <w:rPr>
          <w:rFonts w:hint="eastAsia" w:ascii="宋体" w:hAnsi="宋体"/>
          <w:b/>
          <w:szCs w:val="21"/>
        </w:rPr>
        <w:t>表</w:t>
      </w:r>
      <w:r>
        <w:rPr>
          <w:rFonts w:ascii="宋体" w:hAnsi="宋体"/>
          <w:b/>
          <w:szCs w:val="21"/>
        </w:rPr>
        <w:t>2-28</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22"/>
        <w:gridCol w:w="1422"/>
        <w:gridCol w:w="1422"/>
        <w:gridCol w:w="1425"/>
        <w:gridCol w:w="1425"/>
        <w:gridCol w:w="1425"/>
        <w:gridCol w:w="1421"/>
      </w:tblGrid>
      <w:tr w14:paraId="14BB0E3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4D52172">
            <w:pPr>
              <w:pStyle w:val="12"/>
              <w:jc w:val="center"/>
              <w:rPr>
                <w:rFonts w:ascii="宋体" w:hAnsi="宋体"/>
                <w:b/>
              </w:rPr>
            </w:pPr>
            <w:r>
              <w:rPr>
                <w:rFonts w:hint="eastAsia" w:ascii="宋体" w:hAnsi="宋体"/>
                <w:b/>
              </w:rPr>
              <w:t>堤防名称</w:t>
            </w:r>
          </w:p>
        </w:tc>
        <w:tc>
          <w:tcPr>
            <w:tcW w:w="714" w:type="pct"/>
            <w:vAlign w:val="center"/>
          </w:tcPr>
          <w:p w14:paraId="71258697">
            <w:pPr>
              <w:pStyle w:val="12"/>
              <w:jc w:val="center"/>
              <w:rPr>
                <w:rFonts w:ascii="宋体" w:hAnsi="宋体"/>
                <w:b/>
              </w:rPr>
            </w:pPr>
            <w:r>
              <w:rPr>
                <w:rFonts w:hint="eastAsia" w:ascii="宋体" w:hAnsi="宋体"/>
                <w:b/>
              </w:rPr>
              <w:t>所在河流</w:t>
            </w:r>
          </w:p>
        </w:tc>
        <w:tc>
          <w:tcPr>
            <w:tcW w:w="714" w:type="pct"/>
            <w:vAlign w:val="center"/>
          </w:tcPr>
          <w:p w14:paraId="0513BFF3">
            <w:pPr>
              <w:pStyle w:val="12"/>
              <w:jc w:val="center"/>
              <w:rPr>
                <w:rFonts w:ascii="宋体" w:hAnsi="宋体"/>
                <w:b/>
              </w:rPr>
            </w:pPr>
            <w:r>
              <w:rPr>
                <w:rFonts w:hint="eastAsia" w:ascii="宋体" w:hAnsi="宋体"/>
                <w:b/>
              </w:rPr>
              <w:t>堤长</w:t>
            </w:r>
          </w:p>
          <w:p w14:paraId="026F6BD9">
            <w:pPr>
              <w:pStyle w:val="12"/>
              <w:jc w:val="center"/>
              <w:rPr>
                <w:rFonts w:ascii="宋体" w:hAnsi="宋体"/>
                <w:b/>
              </w:rPr>
            </w:pPr>
            <w:r>
              <w:rPr>
                <w:rFonts w:hint="eastAsia" w:ascii="宋体" w:hAnsi="宋体"/>
                <w:b/>
              </w:rPr>
              <w:t>（公里）</w:t>
            </w:r>
          </w:p>
        </w:tc>
        <w:tc>
          <w:tcPr>
            <w:tcW w:w="715" w:type="pct"/>
            <w:vAlign w:val="center"/>
          </w:tcPr>
          <w:p w14:paraId="572F995E">
            <w:pPr>
              <w:pStyle w:val="12"/>
              <w:jc w:val="center"/>
              <w:rPr>
                <w:rFonts w:ascii="宋体" w:hAnsi="宋体"/>
                <w:b/>
              </w:rPr>
            </w:pPr>
            <w:r>
              <w:rPr>
                <w:rFonts w:hint="eastAsia" w:ascii="宋体" w:hAnsi="宋体"/>
                <w:b/>
              </w:rPr>
              <w:t>捍卫耕地</w:t>
            </w:r>
          </w:p>
          <w:p w14:paraId="7A0AC2E3">
            <w:pPr>
              <w:pStyle w:val="12"/>
              <w:jc w:val="center"/>
              <w:rPr>
                <w:rFonts w:ascii="宋体" w:hAnsi="宋体"/>
                <w:b/>
              </w:rPr>
            </w:pPr>
            <w:r>
              <w:rPr>
                <w:rFonts w:hint="eastAsia" w:ascii="宋体" w:hAnsi="宋体"/>
                <w:b/>
              </w:rPr>
              <w:t>（万亩）</w:t>
            </w:r>
          </w:p>
        </w:tc>
        <w:tc>
          <w:tcPr>
            <w:tcW w:w="715" w:type="pct"/>
            <w:vAlign w:val="center"/>
          </w:tcPr>
          <w:p w14:paraId="7B75308B">
            <w:pPr>
              <w:pStyle w:val="12"/>
              <w:jc w:val="center"/>
              <w:rPr>
                <w:rFonts w:ascii="宋体" w:hAnsi="宋体"/>
                <w:b/>
              </w:rPr>
            </w:pPr>
            <w:r>
              <w:rPr>
                <w:rFonts w:hint="eastAsia" w:ascii="宋体" w:hAnsi="宋体"/>
                <w:b/>
              </w:rPr>
              <w:t>捍卫人口</w:t>
            </w:r>
          </w:p>
          <w:p w14:paraId="3E05E56B">
            <w:pPr>
              <w:pStyle w:val="12"/>
              <w:jc w:val="center"/>
              <w:rPr>
                <w:rFonts w:ascii="宋体" w:hAnsi="宋体"/>
                <w:b/>
              </w:rPr>
            </w:pPr>
            <w:r>
              <w:rPr>
                <w:rFonts w:hint="eastAsia" w:ascii="宋体" w:hAnsi="宋体"/>
                <w:b/>
              </w:rPr>
              <w:t>（万人）</w:t>
            </w:r>
          </w:p>
        </w:tc>
        <w:tc>
          <w:tcPr>
            <w:tcW w:w="715" w:type="pct"/>
            <w:vAlign w:val="center"/>
          </w:tcPr>
          <w:p w14:paraId="13703552">
            <w:pPr>
              <w:pStyle w:val="12"/>
              <w:jc w:val="center"/>
              <w:rPr>
                <w:rFonts w:ascii="宋体" w:hAnsi="宋体"/>
                <w:b/>
              </w:rPr>
            </w:pPr>
            <w:r>
              <w:rPr>
                <w:rFonts w:hint="eastAsia" w:ascii="宋体" w:hAnsi="宋体"/>
                <w:b/>
              </w:rPr>
              <w:t>增加旱涝保收面积</w:t>
            </w:r>
          </w:p>
          <w:p w14:paraId="6B7461FD">
            <w:pPr>
              <w:pStyle w:val="12"/>
              <w:jc w:val="center"/>
              <w:rPr>
                <w:rFonts w:ascii="宋体" w:hAnsi="宋体"/>
                <w:b/>
              </w:rPr>
            </w:pPr>
            <w:r>
              <w:rPr>
                <w:rFonts w:hint="eastAsia" w:ascii="宋体" w:hAnsi="宋体"/>
                <w:b/>
              </w:rPr>
              <w:t>（万亩）</w:t>
            </w:r>
          </w:p>
        </w:tc>
        <w:tc>
          <w:tcPr>
            <w:tcW w:w="715" w:type="pct"/>
            <w:vAlign w:val="center"/>
          </w:tcPr>
          <w:p w14:paraId="0BF84720">
            <w:pPr>
              <w:pStyle w:val="12"/>
              <w:jc w:val="center"/>
              <w:rPr>
                <w:rFonts w:ascii="宋体" w:hAnsi="宋体"/>
                <w:b/>
              </w:rPr>
            </w:pPr>
            <w:r>
              <w:rPr>
                <w:rFonts w:hint="eastAsia" w:ascii="宋体" w:hAnsi="宋体"/>
                <w:b/>
              </w:rPr>
              <w:t>备  注</w:t>
            </w:r>
          </w:p>
        </w:tc>
      </w:tr>
      <w:tr w14:paraId="4D1EAC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A1690E6">
            <w:pPr>
              <w:pStyle w:val="12"/>
              <w:jc w:val="center"/>
              <w:rPr>
                <w:rFonts w:ascii="宋体" w:hAnsi="宋体"/>
              </w:rPr>
            </w:pPr>
            <w:r>
              <w:rPr>
                <w:rFonts w:hint="eastAsia" w:ascii="宋体" w:hAnsi="宋体"/>
              </w:rPr>
              <w:t>乌迳河堤</w:t>
            </w:r>
          </w:p>
        </w:tc>
        <w:tc>
          <w:tcPr>
            <w:tcW w:w="714" w:type="pct"/>
            <w:vAlign w:val="center"/>
          </w:tcPr>
          <w:p w14:paraId="29F2B9BF">
            <w:pPr>
              <w:pStyle w:val="12"/>
              <w:jc w:val="center"/>
              <w:rPr>
                <w:rFonts w:ascii="宋体" w:hAnsi="宋体"/>
              </w:rPr>
            </w:pPr>
            <w:r>
              <w:rPr>
                <w:rFonts w:hint="eastAsia" w:ascii="宋体" w:hAnsi="宋体"/>
              </w:rPr>
              <w:t>浈  江</w:t>
            </w:r>
          </w:p>
        </w:tc>
        <w:tc>
          <w:tcPr>
            <w:tcW w:w="714" w:type="pct"/>
            <w:vAlign w:val="center"/>
          </w:tcPr>
          <w:p w14:paraId="55DEA9BD">
            <w:pPr>
              <w:pStyle w:val="12"/>
              <w:jc w:val="center"/>
              <w:rPr>
                <w:rFonts w:ascii="宋体" w:hAnsi="宋体"/>
              </w:rPr>
            </w:pPr>
            <w:r>
              <w:rPr>
                <w:rFonts w:hint="eastAsia" w:ascii="宋体" w:hAnsi="宋体"/>
              </w:rPr>
              <w:t>3.1</w:t>
            </w:r>
          </w:p>
        </w:tc>
        <w:tc>
          <w:tcPr>
            <w:tcW w:w="715" w:type="pct"/>
            <w:vAlign w:val="center"/>
          </w:tcPr>
          <w:p w14:paraId="49632BFB">
            <w:pPr>
              <w:pStyle w:val="12"/>
              <w:jc w:val="center"/>
              <w:rPr>
                <w:rFonts w:ascii="宋体" w:hAnsi="宋体"/>
              </w:rPr>
            </w:pPr>
            <w:r>
              <w:rPr>
                <w:rFonts w:hint="eastAsia" w:ascii="宋体" w:hAnsi="宋体"/>
              </w:rPr>
              <w:t>0.07</w:t>
            </w:r>
          </w:p>
        </w:tc>
        <w:tc>
          <w:tcPr>
            <w:tcW w:w="715" w:type="pct"/>
            <w:vAlign w:val="center"/>
          </w:tcPr>
          <w:p w14:paraId="6C52B52D">
            <w:pPr>
              <w:pStyle w:val="12"/>
              <w:jc w:val="center"/>
              <w:rPr>
                <w:rFonts w:ascii="宋体" w:hAnsi="宋体"/>
              </w:rPr>
            </w:pPr>
            <w:r>
              <w:rPr>
                <w:rFonts w:hint="eastAsia" w:ascii="宋体" w:hAnsi="宋体"/>
              </w:rPr>
              <w:t>0.11</w:t>
            </w:r>
          </w:p>
        </w:tc>
        <w:tc>
          <w:tcPr>
            <w:tcW w:w="715" w:type="pct"/>
            <w:vAlign w:val="center"/>
          </w:tcPr>
          <w:p w14:paraId="0B05E7D9">
            <w:pPr>
              <w:pStyle w:val="12"/>
              <w:jc w:val="center"/>
              <w:rPr>
                <w:rFonts w:ascii="宋体" w:hAnsi="宋体"/>
              </w:rPr>
            </w:pPr>
            <w:r>
              <w:rPr>
                <w:rFonts w:hint="eastAsia" w:ascii="宋体" w:hAnsi="宋体"/>
              </w:rPr>
              <w:t>0.06</w:t>
            </w:r>
          </w:p>
        </w:tc>
        <w:tc>
          <w:tcPr>
            <w:tcW w:w="715" w:type="pct"/>
            <w:vAlign w:val="center"/>
          </w:tcPr>
          <w:p w14:paraId="123827C6">
            <w:pPr>
              <w:pStyle w:val="12"/>
              <w:jc w:val="center"/>
              <w:rPr>
                <w:rFonts w:ascii="宋体" w:hAnsi="宋体"/>
              </w:rPr>
            </w:pPr>
            <w:r>
              <w:rPr>
                <w:rFonts w:hint="eastAsia" w:ascii="宋体" w:hAnsi="宋体"/>
              </w:rPr>
              <w:t>—</w:t>
            </w:r>
          </w:p>
        </w:tc>
      </w:tr>
      <w:tr w14:paraId="59D339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A67A61E">
            <w:pPr>
              <w:pStyle w:val="12"/>
              <w:jc w:val="center"/>
              <w:rPr>
                <w:rFonts w:ascii="宋体" w:hAnsi="宋体"/>
              </w:rPr>
            </w:pPr>
            <w:r>
              <w:rPr>
                <w:rFonts w:hint="eastAsia" w:ascii="宋体" w:hAnsi="宋体"/>
              </w:rPr>
              <w:t>黄  坑</w:t>
            </w:r>
          </w:p>
        </w:tc>
        <w:tc>
          <w:tcPr>
            <w:tcW w:w="714" w:type="pct"/>
            <w:vAlign w:val="center"/>
          </w:tcPr>
          <w:p w14:paraId="23F901F4">
            <w:pPr>
              <w:pStyle w:val="12"/>
              <w:jc w:val="center"/>
              <w:rPr>
                <w:rFonts w:ascii="宋体" w:hAnsi="宋体"/>
              </w:rPr>
            </w:pPr>
            <w:r>
              <w:rPr>
                <w:rFonts w:hint="eastAsia" w:ascii="宋体" w:hAnsi="宋体"/>
              </w:rPr>
              <w:t>浈  江</w:t>
            </w:r>
          </w:p>
        </w:tc>
        <w:tc>
          <w:tcPr>
            <w:tcW w:w="714" w:type="pct"/>
            <w:vAlign w:val="center"/>
          </w:tcPr>
          <w:p w14:paraId="7077CEF2">
            <w:pPr>
              <w:pStyle w:val="12"/>
              <w:jc w:val="center"/>
              <w:rPr>
                <w:rFonts w:ascii="宋体" w:hAnsi="宋体"/>
              </w:rPr>
            </w:pPr>
            <w:r>
              <w:rPr>
                <w:rFonts w:hint="eastAsia" w:ascii="宋体" w:hAnsi="宋体"/>
              </w:rPr>
              <w:t>7.1</w:t>
            </w:r>
          </w:p>
        </w:tc>
        <w:tc>
          <w:tcPr>
            <w:tcW w:w="715" w:type="pct"/>
            <w:vAlign w:val="center"/>
          </w:tcPr>
          <w:p w14:paraId="51B55F7B">
            <w:pPr>
              <w:pStyle w:val="12"/>
              <w:jc w:val="center"/>
              <w:rPr>
                <w:rFonts w:ascii="宋体" w:hAnsi="宋体"/>
              </w:rPr>
            </w:pPr>
            <w:r>
              <w:rPr>
                <w:rFonts w:hint="eastAsia" w:ascii="宋体" w:hAnsi="宋体"/>
              </w:rPr>
              <w:t>0.13</w:t>
            </w:r>
          </w:p>
        </w:tc>
        <w:tc>
          <w:tcPr>
            <w:tcW w:w="715" w:type="pct"/>
            <w:vAlign w:val="center"/>
          </w:tcPr>
          <w:p w14:paraId="037223F8">
            <w:pPr>
              <w:pStyle w:val="12"/>
              <w:jc w:val="center"/>
              <w:rPr>
                <w:rFonts w:ascii="宋体" w:hAnsi="宋体"/>
              </w:rPr>
            </w:pPr>
            <w:r>
              <w:rPr>
                <w:rFonts w:hint="eastAsia" w:ascii="宋体" w:hAnsi="宋体"/>
              </w:rPr>
              <w:t>0.35</w:t>
            </w:r>
          </w:p>
        </w:tc>
        <w:tc>
          <w:tcPr>
            <w:tcW w:w="715" w:type="pct"/>
            <w:vAlign w:val="center"/>
          </w:tcPr>
          <w:p w14:paraId="6D9402FE">
            <w:pPr>
              <w:pStyle w:val="12"/>
              <w:jc w:val="center"/>
              <w:rPr>
                <w:rFonts w:ascii="宋体" w:hAnsi="宋体"/>
              </w:rPr>
            </w:pPr>
            <w:r>
              <w:rPr>
                <w:rFonts w:hint="eastAsia" w:ascii="宋体" w:hAnsi="宋体"/>
              </w:rPr>
              <w:t>0.12</w:t>
            </w:r>
          </w:p>
        </w:tc>
        <w:tc>
          <w:tcPr>
            <w:tcW w:w="715" w:type="pct"/>
            <w:vAlign w:val="center"/>
          </w:tcPr>
          <w:p w14:paraId="2E90FF70">
            <w:pPr>
              <w:pStyle w:val="12"/>
              <w:jc w:val="center"/>
              <w:rPr>
                <w:rFonts w:ascii="宋体" w:hAnsi="宋体"/>
              </w:rPr>
            </w:pPr>
            <w:r>
              <w:rPr>
                <w:rFonts w:hint="eastAsia" w:ascii="宋体" w:hAnsi="宋体"/>
              </w:rPr>
              <w:t>—</w:t>
            </w:r>
          </w:p>
        </w:tc>
      </w:tr>
      <w:tr w14:paraId="0011BC5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90A0427">
            <w:pPr>
              <w:pStyle w:val="12"/>
              <w:jc w:val="center"/>
              <w:rPr>
                <w:rFonts w:ascii="宋体" w:hAnsi="宋体"/>
              </w:rPr>
            </w:pPr>
            <w:r>
              <w:rPr>
                <w:rFonts w:hint="eastAsia" w:ascii="宋体" w:hAnsi="宋体"/>
              </w:rPr>
              <w:t>水  口</w:t>
            </w:r>
          </w:p>
        </w:tc>
        <w:tc>
          <w:tcPr>
            <w:tcW w:w="714" w:type="pct"/>
            <w:vAlign w:val="center"/>
          </w:tcPr>
          <w:p w14:paraId="08886A43">
            <w:pPr>
              <w:pStyle w:val="12"/>
              <w:jc w:val="center"/>
              <w:rPr>
                <w:rFonts w:ascii="宋体" w:hAnsi="宋体"/>
              </w:rPr>
            </w:pPr>
            <w:r>
              <w:rPr>
                <w:rFonts w:hint="eastAsia" w:ascii="宋体" w:hAnsi="宋体"/>
              </w:rPr>
              <w:t>浈  江</w:t>
            </w:r>
          </w:p>
        </w:tc>
        <w:tc>
          <w:tcPr>
            <w:tcW w:w="714" w:type="pct"/>
            <w:vAlign w:val="center"/>
          </w:tcPr>
          <w:p w14:paraId="0B3F0C19">
            <w:pPr>
              <w:pStyle w:val="12"/>
              <w:jc w:val="center"/>
              <w:rPr>
                <w:rFonts w:ascii="宋体" w:hAnsi="宋体"/>
              </w:rPr>
            </w:pPr>
            <w:r>
              <w:rPr>
                <w:rFonts w:hint="eastAsia" w:ascii="宋体" w:hAnsi="宋体"/>
              </w:rPr>
              <w:t>3</w:t>
            </w:r>
          </w:p>
        </w:tc>
        <w:tc>
          <w:tcPr>
            <w:tcW w:w="715" w:type="pct"/>
            <w:vAlign w:val="center"/>
          </w:tcPr>
          <w:p w14:paraId="0A5265D5">
            <w:pPr>
              <w:pStyle w:val="12"/>
              <w:jc w:val="center"/>
              <w:rPr>
                <w:rFonts w:ascii="宋体" w:hAnsi="宋体"/>
              </w:rPr>
            </w:pPr>
            <w:r>
              <w:rPr>
                <w:rFonts w:hint="eastAsia" w:ascii="宋体" w:hAnsi="宋体"/>
              </w:rPr>
              <w:t>0.11</w:t>
            </w:r>
          </w:p>
        </w:tc>
        <w:tc>
          <w:tcPr>
            <w:tcW w:w="715" w:type="pct"/>
            <w:vAlign w:val="center"/>
          </w:tcPr>
          <w:p w14:paraId="5ECBD900">
            <w:pPr>
              <w:pStyle w:val="12"/>
              <w:jc w:val="center"/>
              <w:rPr>
                <w:rFonts w:ascii="宋体" w:hAnsi="宋体"/>
              </w:rPr>
            </w:pPr>
            <w:r>
              <w:rPr>
                <w:rFonts w:hint="eastAsia" w:ascii="宋体" w:hAnsi="宋体"/>
              </w:rPr>
              <w:t>0.45</w:t>
            </w:r>
          </w:p>
        </w:tc>
        <w:tc>
          <w:tcPr>
            <w:tcW w:w="715" w:type="pct"/>
            <w:vAlign w:val="center"/>
          </w:tcPr>
          <w:p w14:paraId="194F273A">
            <w:pPr>
              <w:pStyle w:val="12"/>
              <w:jc w:val="center"/>
              <w:rPr>
                <w:rFonts w:ascii="宋体" w:hAnsi="宋体"/>
              </w:rPr>
            </w:pPr>
            <w:r>
              <w:rPr>
                <w:rFonts w:hint="eastAsia" w:ascii="宋体" w:hAnsi="宋体"/>
              </w:rPr>
              <w:t>0.10</w:t>
            </w:r>
          </w:p>
        </w:tc>
        <w:tc>
          <w:tcPr>
            <w:tcW w:w="715" w:type="pct"/>
            <w:vAlign w:val="center"/>
          </w:tcPr>
          <w:p w14:paraId="269828D0">
            <w:pPr>
              <w:pStyle w:val="12"/>
              <w:jc w:val="center"/>
              <w:rPr>
                <w:rFonts w:ascii="宋体" w:hAnsi="宋体"/>
              </w:rPr>
            </w:pPr>
            <w:r>
              <w:rPr>
                <w:rFonts w:hint="eastAsia" w:ascii="宋体" w:hAnsi="宋体"/>
              </w:rPr>
              <w:t>—</w:t>
            </w:r>
          </w:p>
        </w:tc>
      </w:tr>
      <w:tr w14:paraId="572359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4AC979F5">
            <w:pPr>
              <w:pStyle w:val="12"/>
              <w:jc w:val="center"/>
              <w:rPr>
                <w:rFonts w:ascii="宋体" w:hAnsi="宋体"/>
              </w:rPr>
            </w:pPr>
            <w:r>
              <w:rPr>
                <w:rFonts w:hint="eastAsia" w:ascii="宋体" w:hAnsi="宋体"/>
              </w:rPr>
              <w:t>雄州镇</w:t>
            </w:r>
          </w:p>
        </w:tc>
        <w:tc>
          <w:tcPr>
            <w:tcW w:w="714" w:type="pct"/>
            <w:vAlign w:val="center"/>
          </w:tcPr>
          <w:p w14:paraId="2B7C3465">
            <w:pPr>
              <w:pStyle w:val="12"/>
              <w:jc w:val="center"/>
              <w:rPr>
                <w:rFonts w:ascii="宋体" w:hAnsi="宋体"/>
              </w:rPr>
            </w:pPr>
            <w:r>
              <w:rPr>
                <w:rFonts w:hint="eastAsia" w:ascii="宋体" w:hAnsi="宋体"/>
              </w:rPr>
              <w:t>浈  江</w:t>
            </w:r>
          </w:p>
        </w:tc>
        <w:tc>
          <w:tcPr>
            <w:tcW w:w="714" w:type="pct"/>
            <w:vAlign w:val="center"/>
          </w:tcPr>
          <w:p w14:paraId="6014C6ED">
            <w:pPr>
              <w:pStyle w:val="12"/>
              <w:jc w:val="center"/>
              <w:rPr>
                <w:rFonts w:ascii="宋体" w:hAnsi="宋体"/>
              </w:rPr>
            </w:pPr>
            <w:r>
              <w:rPr>
                <w:rFonts w:hint="eastAsia" w:ascii="宋体" w:hAnsi="宋体"/>
              </w:rPr>
              <w:t>1.7</w:t>
            </w:r>
          </w:p>
        </w:tc>
        <w:tc>
          <w:tcPr>
            <w:tcW w:w="715" w:type="pct"/>
            <w:vAlign w:val="center"/>
          </w:tcPr>
          <w:p w14:paraId="4AA7291C">
            <w:pPr>
              <w:pStyle w:val="12"/>
              <w:jc w:val="center"/>
              <w:rPr>
                <w:rFonts w:ascii="宋体" w:hAnsi="宋体"/>
              </w:rPr>
            </w:pPr>
            <w:r>
              <w:rPr>
                <w:rFonts w:hint="eastAsia" w:ascii="宋体" w:hAnsi="宋体"/>
              </w:rPr>
              <w:t>0</w:t>
            </w:r>
          </w:p>
        </w:tc>
        <w:tc>
          <w:tcPr>
            <w:tcW w:w="715" w:type="pct"/>
            <w:vAlign w:val="center"/>
          </w:tcPr>
          <w:p w14:paraId="3B8C98A5">
            <w:pPr>
              <w:pStyle w:val="12"/>
              <w:jc w:val="center"/>
              <w:rPr>
                <w:rFonts w:ascii="宋体" w:hAnsi="宋体"/>
              </w:rPr>
            </w:pPr>
            <w:r>
              <w:rPr>
                <w:rFonts w:hint="eastAsia" w:ascii="宋体" w:hAnsi="宋体"/>
              </w:rPr>
              <w:t>1.5</w:t>
            </w:r>
          </w:p>
        </w:tc>
        <w:tc>
          <w:tcPr>
            <w:tcW w:w="715" w:type="pct"/>
            <w:vAlign w:val="center"/>
          </w:tcPr>
          <w:p w14:paraId="1D11662C">
            <w:pPr>
              <w:pStyle w:val="12"/>
              <w:jc w:val="center"/>
              <w:rPr>
                <w:rFonts w:ascii="宋体" w:hAnsi="宋体"/>
              </w:rPr>
            </w:pPr>
            <w:r>
              <w:rPr>
                <w:rFonts w:hint="eastAsia" w:ascii="宋体" w:hAnsi="宋体"/>
              </w:rPr>
              <w:t>0</w:t>
            </w:r>
          </w:p>
        </w:tc>
        <w:tc>
          <w:tcPr>
            <w:tcW w:w="715" w:type="pct"/>
            <w:vAlign w:val="center"/>
          </w:tcPr>
          <w:p w14:paraId="0AE19234">
            <w:pPr>
              <w:pStyle w:val="12"/>
              <w:jc w:val="center"/>
              <w:rPr>
                <w:rFonts w:ascii="宋体" w:hAnsi="宋体"/>
              </w:rPr>
            </w:pPr>
            <w:r>
              <w:rPr>
                <w:rFonts w:hint="eastAsia" w:ascii="宋体" w:hAnsi="宋体"/>
              </w:rPr>
              <w:t>—</w:t>
            </w:r>
          </w:p>
        </w:tc>
      </w:tr>
      <w:tr w14:paraId="32C8F7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8A184EE">
            <w:pPr>
              <w:pStyle w:val="12"/>
              <w:jc w:val="center"/>
              <w:rPr>
                <w:rFonts w:ascii="宋体" w:hAnsi="宋体"/>
              </w:rPr>
            </w:pPr>
            <w:r>
              <w:rPr>
                <w:rFonts w:hint="eastAsia" w:ascii="宋体" w:hAnsi="宋体"/>
              </w:rPr>
              <w:t>黎  口</w:t>
            </w:r>
          </w:p>
        </w:tc>
        <w:tc>
          <w:tcPr>
            <w:tcW w:w="714" w:type="pct"/>
            <w:vAlign w:val="center"/>
          </w:tcPr>
          <w:p w14:paraId="23C4E15F">
            <w:pPr>
              <w:pStyle w:val="12"/>
              <w:jc w:val="center"/>
              <w:rPr>
                <w:rFonts w:ascii="宋体" w:hAnsi="宋体"/>
              </w:rPr>
            </w:pPr>
            <w:r>
              <w:rPr>
                <w:rFonts w:hint="eastAsia" w:ascii="宋体" w:hAnsi="宋体"/>
              </w:rPr>
              <w:t>浈  江</w:t>
            </w:r>
          </w:p>
        </w:tc>
        <w:tc>
          <w:tcPr>
            <w:tcW w:w="714" w:type="pct"/>
            <w:vAlign w:val="center"/>
          </w:tcPr>
          <w:p w14:paraId="1674FD91">
            <w:pPr>
              <w:pStyle w:val="12"/>
              <w:jc w:val="center"/>
              <w:rPr>
                <w:rFonts w:ascii="宋体" w:hAnsi="宋体"/>
              </w:rPr>
            </w:pPr>
            <w:r>
              <w:rPr>
                <w:rFonts w:hint="eastAsia" w:ascii="宋体" w:hAnsi="宋体"/>
              </w:rPr>
              <w:t>6.56</w:t>
            </w:r>
          </w:p>
        </w:tc>
        <w:tc>
          <w:tcPr>
            <w:tcW w:w="715" w:type="pct"/>
            <w:vAlign w:val="center"/>
          </w:tcPr>
          <w:p w14:paraId="34A28225">
            <w:pPr>
              <w:pStyle w:val="12"/>
              <w:jc w:val="center"/>
              <w:rPr>
                <w:rFonts w:ascii="宋体" w:hAnsi="宋体"/>
              </w:rPr>
            </w:pPr>
            <w:r>
              <w:rPr>
                <w:rFonts w:hint="eastAsia" w:ascii="宋体" w:hAnsi="宋体"/>
              </w:rPr>
              <w:t>0.08</w:t>
            </w:r>
          </w:p>
        </w:tc>
        <w:tc>
          <w:tcPr>
            <w:tcW w:w="715" w:type="pct"/>
            <w:vAlign w:val="center"/>
          </w:tcPr>
          <w:p w14:paraId="2FE71B7F">
            <w:pPr>
              <w:pStyle w:val="12"/>
              <w:jc w:val="center"/>
              <w:rPr>
                <w:rFonts w:ascii="宋体" w:hAnsi="宋体"/>
              </w:rPr>
            </w:pPr>
            <w:r>
              <w:rPr>
                <w:rFonts w:hint="eastAsia" w:ascii="宋体" w:hAnsi="宋体"/>
              </w:rPr>
              <w:t>0.11</w:t>
            </w:r>
          </w:p>
        </w:tc>
        <w:tc>
          <w:tcPr>
            <w:tcW w:w="715" w:type="pct"/>
            <w:vAlign w:val="center"/>
          </w:tcPr>
          <w:p w14:paraId="4BDB2D5E">
            <w:pPr>
              <w:pStyle w:val="12"/>
              <w:jc w:val="center"/>
              <w:rPr>
                <w:rFonts w:ascii="宋体" w:hAnsi="宋体"/>
              </w:rPr>
            </w:pPr>
            <w:r>
              <w:rPr>
                <w:rFonts w:hint="eastAsia" w:ascii="宋体" w:hAnsi="宋体"/>
              </w:rPr>
              <w:t>0.08</w:t>
            </w:r>
          </w:p>
        </w:tc>
        <w:tc>
          <w:tcPr>
            <w:tcW w:w="715" w:type="pct"/>
            <w:vAlign w:val="center"/>
          </w:tcPr>
          <w:p w14:paraId="2FF0EC55">
            <w:pPr>
              <w:pStyle w:val="12"/>
              <w:jc w:val="center"/>
              <w:rPr>
                <w:rFonts w:ascii="宋体" w:hAnsi="宋体"/>
              </w:rPr>
            </w:pPr>
            <w:r>
              <w:rPr>
                <w:rFonts w:hint="eastAsia" w:ascii="宋体" w:hAnsi="宋体"/>
              </w:rPr>
              <w:t>含迳口段</w:t>
            </w:r>
          </w:p>
        </w:tc>
      </w:tr>
      <w:tr w14:paraId="73594B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F7EE3EC">
            <w:pPr>
              <w:pStyle w:val="12"/>
              <w:jc w:val="center"/>
              <w:rPr>
                <w:rFonts w:ascii="宋体" w:hAnsi="宋体"/>
              </w:rPr>
            </w:pPr>
            <w:r>
              <w:rPr>
                <w:rFonts w:hint="eastAsia" w:ascii="宋体" w:hAnsi="宋体"/>
              </w:rPr>
              <w:t>全  安</w:t>
            </w:r>
          </w:p>
        </w:tc>
        <w:tc>
          <w:tcPr>
            <w:tcW w:w="714" w:type="pct"/>
            <w:vAlign w:val="center"/>
          </w:tcPr>
          <w:p w14:paraId="5E61A613">
            <w:pPr>
              <w:pStyle w:val="12"/>
              <w:jc w:val="center"/>
              <w:rPr>
                <w:rFonts w:ascii="宋体" w:hAnsi="宋体"/>
              </w:rPr>
            </w:pPr>
            <w:r>
              <w:rPr>
                <w:rFonts w:hint="eastAsia" w:ascii="宋体" w:hAnsi="宋体"/>
              </w:rPr>
              <w:t>浈  江</w:t>
            </w:r>
          </w:p>
        </w:tc>
        <w:tc>
          <w:tcPr>
            <w:tcW w:w="714" w:type="pct"/>
            <w:vAlign w:val="center"/>
          </w:tcPr>
          <w:p w14:paraId="04513252">
            <w:pPr>
              <w:pStyle w:val="12"/>
              <w:jc w:val="center"/>
              <w:rPr>
                <w:rFonts w:ascii="宋体" w:hAnsi="宋体"/>
              </w:rPr>
            </w:pPr>
            <w:r>
              <w:rPr>
                <w:rFonts w:hint="eastAsia" w:ascii="宋体" w:hAnsi="宋体"/>
              </w:rPr>
              <w:t>18.8</w:t>
            </w:r>
          </w:p>
        </w:tc>
        <w:tc>
          <w:tcPr>
            <w:tcW w:w="715" w:type="pct"/>
            <w:vAlign w:val="center"/>
          </w:tcPr>
          <w:p w14:paraId="2AD19E44">
            <w:pPr>
              <w:pStyle w:val="12"/>
              <w:jc w:val="center"/>
              <w:rPr>
                <w:rFonts w:ascii="宋体" w:hAnsi="宋体"/>
              </w:rPr>
            </w:pPr>
            <w:r>
              <w:rPr>
                <w:rFonts w:hint="eastAsia" w:ascii="宋体" w:hAnsi="宋体"/>
              </w:rPr>
              <w:t>0.2</w:t>
            </w:r>
          </w:p>
        </w:tc>
        <w:tc>
          <w:tcPr>
            <w:tcW w:w="715" w:type="pct"/>
            <w:vAlign w:val="center"/>
          </w:tcPr>
          <w:p w14:paraId="41ACE569">
            <w:pPr>
              <w:pStyle w:val="12"/>
              <w:jc w:val="center"/>
              <w:rPr>
                <w:rFonts w:ascii="宋体" w:hAnsi="宋体"/>
              </w:rPr>
            </w:pPr>
            <w:r>
              <w:rPr>
                <w:rFonts w:hint="eastAsia" w:ascii="宋体" w:hAnsi="宋体"/>
              </w:rPr>
              <w:t>0.28</w:t>
            </w:r>
          </w:p>
        </w:tc>
        <w:tc>
          <w:tcPr>
            <w:tcW w:w="715" w:type="pct"/>
            <w:vAlign w:val="center"/>
          </w:tcPr>
          <w:p w14:paraId="28B7C974">
            <w:pPr>
              <w:pStyle w:val="12"/>
              <w:jc w:val="center"/>
              <w:rPr>
                <w:rFonts w:ascii="宋体" w:hAnsi="宋体"/>
              </w:rPr>
            </w:pPr>
            <w:r>
              <w:rPr>
                <w:rFonts w:hint="eastAsia" w:ascii="宋体" w:hAnsi="宋体"/>
              </w:rPr>
              <w:t>0.19</w:t>
            </w:r>
          </w:p>
        </w:tc>
        <w:tc>
          <w:tcPr>
            <w:tcW w:w="715" w:type="pct"/>
            <w:vAlign w:val="center"/>
          </w:tcPr>
          <w:p w14:paraId="727C0DB0">
            <w:pPr>
              <w:pStyle w:val="12"/>
              <w:jc w:val="center"/>
              <w:rPr>
                <w:rFonts w:ascii="宋体" w:hAnsi="宋体"/>
              </w:rPr>
            </w:pPr>
            <w:r>
              <w:rPr>
                <w:rFonts w:hint="eastAsia" w:ascii="宋体" w:hAnsi="宋体"/>
              </w:rPr>
              <w:t>—</w:t>
            </w:r>
          </w:p>
        </w:tc>
      </w:tr>
      <w:tr w14:paraId="76F881D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086AFE9">
            <w:pPr>
              <w:pStyle w:val="12"/>
              <w:jc w:val="center"/>
              <w:rPr>
                <w:rFonts w:ascii="宋体" w:hAnsi="宋体"/>
              </w:rPr>
            </w:pPr>
            <w:r>
              <w:rPr>
                <w:rFonts w:hint="eastAsia" w:ascii="宋体" w:hAnsi="宋体"/>
              </w:rPr>
              <w:t>古  市</w:t>
            </w:r>
          </w:p>
        </w:tc>
        <w:tc>
          <w:tcPr>
            <w:tcW w:w="714" w:type="pct"/>
            <w:vAlign w:val="center"/>
          </w:tcPr>
          <w:p w14:paraId="269AEEBA">
            <w:pPr>
              <w:pStyle w:val="12"/>
              <w:jc w:val="center"/>
              <w:rPr>
                <w:rFonts w:ascii="宋体" w:hAnsi="宋体"/>
              </w:rPr>
            </w:pPr>
            <w:r>
              <w:rPr>
                <w:rFonts w:hint="eastAsia" w:ascii="宋体" w:hAnsi="宋体"/>
              </w:rPr>
              <w:t>浈  江</w:t>
            </w:r>
          </w:p>
        </w:tc>
        <w:tc>
          <w:tcPr>
            <w:tcW w:w="714" w:type="pct"/>
            <w:vAlign w:val="center"/>
          </w:tcPr>
          <w:p w14:paraId="10B09943">
            <w:pPr>
              <w:pStyle w:val="12"/>
              <w:jc w:val="center"/>
              <w:rPr>
                <w:rFonts w:ascii="宋体" w:hAnsi="宋体"/>
              </w:rPr>
            </w:pPr>
            <w:r>
              <w:rPr>
                <w:rFonts w:hint="eastAsia" w:ascii="宋体" w:hAnsi="宋体"/>
              </w:rPr>
              <w:t>5</w:t>
            </w:r>
          </w:p>
        </w:tc>
        <w:tc>
          <w:tcPr>
            <w:tcW w:w="715" w:type="pct"/>
            <w:vAlign w:val="center"/>
          </w:tcPr>
          <w:p w14:paraId="21DA367F">
            <w:pPr>
              <w:pStyle w:val="12"/>
              <w:jc w:val="center"/>
              <w:rPr>
                <w:rFonts w:ascii="宋体" w:hAnsi="宋体"/>
              </w:rPr>
            </w:pPr>
            <w:r>
              <w:rPr>
                <w:rFonts w:hint="eastAsia" w:ascii="宋体" w:hAnsi="宋体"/>
              </w:rPr>
              <w:t>0.09</w:t>
            </w:r>
          </w:p>
        </w:tc>
        <w:tc>
          <w:tcPr>
            <w:tcW w:w="715" w:type="pct"/>
            <w:vAlign w:val="center"/>
          </w:tcPr>
          <w:p w14:paraId="2897D82A">
            <w:pPr>
              <w:pStyle w:val="12"/>
              <w:jc w:val="center"/>
              <w:rPr>
                <w:rFonts w:ascii="宋体" w:hAnsi="宋体"/>
              </w:rPr>
            </w:pPr>
            <w:r>
              <w:rPr>
                <w:rFonts w:hint="eastAsia" w:ascii="宋体" w:hAnsi="宋体"/>
              </w:rPr>
              <w:t>0.13</w:t>
            </w:r>
          </w:p>
        </w:tc>
        <w:tc>
          <w:tcPr>
            <w:tcW w:w="715" w:type="pct"/>
            <w:vAlign w:val="center"/>
          </w:tcPr>
          <w:p w14:paraId="7E7ABB6C">
            <w:pPr>
              <w:pStyle w:val="12"/>
              <w:jc w:val="center"/>
              <w:rPr>
                <w:rFonts w:ascii="宋体" w:hAnsi="宋体"/>
              </w:rPr>
            </w:pPr>
            <w:r>
              <w:rPr>
                <w:rFonts w:hint="eastAsia" w:ascii="宋体" w:hAnsi="宋体"/>
              </w:rPr>
              <w:t>0.08</w:t>
            </w:r>
          </w:p>
        </w:tc>
        <w:tc>
          <w:tcPr>
            <w:tcW w:w="715" w:type="pct"/>
            <w:vAlign w:val="center"/>
          </w:tcPr>
          <w:p w14:paraId="624F73A0">
            <w:pPr>
              <w:pStyle w:val="12"/>
              <w:jc w:val="center"/>
              <w:rPr>
                <w:rFonts w:ascii="宋体" w:hAnsi="宋体"/>
              </w:rPr>
            </w:pPr>
            <w:r>
              <w:rPr>
                <w:rFonts w:hint="eastAsia" w:ascii="宋体" w:hAnsi="宋体"/>
              </w:rPr>
              <w:t>—</w:t>
            </w:r>
          </w:p>
        </w:tc>
      </w:tr>
      <w:tr w14:paraId="25FAB0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25B2BAE">
            <w:pPr>
              <w:pStyle w:val="12"/>
              <w:jc w:val="center"/>
              <w:rPr>
                <w:rFonts w:ascii="宋体" w:hAnsi="宋体"/>
              </w:rPr>
            </w:pPr>
            <w:r>
              <w:rPr>
                <w:rFonts w:hint="eastAsia" w:ascii="宋体" w:hAnsi="宋体"/>
              </w:rPr>
              <w:t>白  云</w:t>
            </w:r>
          </w:p>
        </w:tc>
        <w:tc>
          <w:tcPr>
            <w:tcW w:w="714" w:type="pct"/>
            <w:vAlign w:val="center"/>
          </w:tcPr>
          <w:p w14:paraId="73717049">
            <w:pPr>
              <w:pStyle w:val="12"/>
              <w:jc w:val="center"/>
              <w:rPr>
                <w:rFonts w:ascii="宋体" w:hAnsi="宋体"/>
              </w:rPr>
            </w:pPr>
            <w:r>
              <w:rPr>
                <w:rFonts w:hint="eastAsia" w:ascii="宋体" w:hAnsi="宋体"/>
              </w:rPr>
              <w:t>凌  江</w:t>
            </w:r>
          </w:p>
        </w:tc>
        <w:tc>
          <w:tcPr>
            <w:tcW w:w="714" w:type="pct"/>
            <w:vAlign w:val="center"/>
          </w:tcPr>
          <w:p w14:paraId="142A7E95">
            <w:pPr>
              <w:pStyle w:val="12"/>
              <w:jc w:val="center"/>
              <w:rPr>
                <w:rFonts w:ascii="宋体" w:hAnsi="宋体"/>
              </w:rPr>
            </w:pPr>
            <w:r>
              <w:rPr>
                <w:rFonts w:hint="eastAsia" w:ascii="宋体" w:hAnsi="宋体"/>
              </w:rPr>
              <w:t>1.5</w:t>
            </w:r>
          </w:p>
        </w:tc>
        <w:tc>
          <w:tcPr>
            <w:tcW w:w="715" w:type="pct"/>
            <w:vAlign w:val="center"/>
          </w:tcPr>
          <w:p w14:paraId="0C59CB26">
            <w:pPr>
              <w:pStyle w:val="12"/>
              <w:jc w:val="center"/>
              <w:rPr>
                <w:rFonts w:ascii="宋体" w:hAnsi="宋体"/>
              </w:rPr>
            </w:pPr>
            <w:r>
              <w:rPr>
                <w:rFonts w:hint="eastAsia" w:ascii="宋体" w:hAnsi="宋体"/>
              </w:rPr>
              <w:t>0.01</w:t>
            </w:r>
          </w:p>
        </w:tc>
        <w:tc>
          <w:tcPr>
            <w:tcW w:w="715" w:type="pct"/>
            <w:vAlign w:val="center"/>
          </w:tcPr>
          <w:p w14:paraId="031B2252">
            <w:pPr>
              <w:pStyle w:val="12"/>
              <w:jc w:val="center"/>
              <w:rPr>
                <w:rFonts w:ascii="宋体" w:hAnsi="宋体"/>
              </w:rPr>
            </w:pPr>
            <w:r>
              <w:rPr>
                <w:rFonts w:hint="eastAsia" w:ascii="宋体" w:hAnsi="宋体"/>
              </w:rPr>
              <w:t>0.02</w:t>
            </w:r>
          </w:p>
        </w:tc>
        <w:tc>
          <w:tcPr>
            <w:tcW w:w="715" w:type="pct"/>
            <w:vAlign w:val="center"/>
          </w:tcPr>
          <w:p w14:paraId="6618567C">
            <w:pPr>
              <w:pStyle w:val="12"/>
              <w:jc w:val="center"/>
              <w:rPr>
                <w:rFonts w:ascii="宋体" w:hAnsi="宋体"/>
              </w:rPr>
            </w:pPr>
            <w:r>
              <w:rPr>
                <w:rFonts w:hint="eastAsia" w:ascii="宋体" w:hAnsi="宋体"/>
              </w:rPr>
              <w:t>0.01</w:t>
            </w:r>
          </w:p>
        </w:tc>
        <w:tc>
          <w:tcPr>
            <w:tcW w:w="715" w:type="pct"/>
            <w:vAlign w:val="center"/>
          </w:tcPr>
          <w:p w14:paraId="32253A26">
            <w:pPr>
              <w:pStyle w:val="12"/>
              <w:jc w:val="center"/>
              <w:rPr>
                <w:rFonts w:ascii="宋体" w:hAnsi="宋体"/>
              </w:rPr>
            </w:pPr>
            <w:r>
              <w:rPr>
                <w:rFonts w:hint="eastAsia" w:ascii="宋体" w:hAnsi="宋体"/>
              </w:rPr>
              <w:t>—</w:t>
            </w:r>
          </w:p>
        </w:tc>
      </w:tr>
      <w:tr w14:paraId="07EE23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25070E62">
            <w:pPr>
              <w:pStyle w:val="12"/>
              <w:jc w:val="center"/>
              <w:rPr>
                <w:rFonts w:ascii="宋体" w:hAnsi="宋体"/>
              </w:rPr>
            </w:pPr>
            <w:r>
              <w:rPr>
                <w:rFonts w:hint="eastAsia" w:ascii="宋体" w:hAnsi="宋体"/>
              </w:rPr>
              <w:t>凌江河堤</w:t>
            </w:r>
          </w:p>
        </w:tc>
        <w:tc>
          <w:tcPr>
            <w:tcW w:w="714" w:type="pct"/>
            <w:vAlign w:val="center"/>
          </w:tcPr>
          <w:p w14:paraId="05962EC5">
            <w:pPr>
              <w:pStyle w:val="12"/>
              <w:jc w:val="center"/>
              <w:rPr>
                <w:rFonts w:ascii="宋体" w:hAnsi="宋体"/>
              </w:rPr>
            </w:pPr>
            <w:r>
              <w:rPr>
                <w:rFonts w:hint="eastAsia" w:ascii="宋体" w:hAnsi="宋体"/>
              </w:rPr>
              <w:t>凌  江</w:t>
            </w:r>
          </w:p>
        </w:tc>
        <w:tc>
          <w:tcPr>
            <w:tcW w:w="714" w:type="pct"/>
            <w:vAlign w:val="center"/>
          </w:tcPr>
          <w:p w14:paraId="598828FA">
            <w:pPr>
              <w:pStyle w:val="12"/>
              <w:jc w:val="center"/>
              <w:rPr>
                <w:rFonts w:ascii="宋体" w:hAnsi="宋体"/>
              </w:rPr>
            </w:pPr>
            <w:r>
              <w:rPr>
                <w:rFonts w:hint="eastAsia" w:ascii="宋体" w:hAnsi="宋体"/>
              </w:rPr>
              <w:t>8.5</w:t>
            </w:r>
          </w:p>
        </w:tc>
        <w:tc>
          <w:tcPr>
            <w:tcW w:w="715" w:type="pct"/>
            <w:vAlign w:val="center"/>
          </w:tcPr>
          <w:p w14:paraId="4905433F">
            <w:pPr>
              <w:pStyle w:val="12"/>
              <w:jc w:val="center"/>
              <w:rPr>
                <w:rFonts w:ascii="宋体" w:hAnsi="宋体"/>
              </w:rPr>
            </w:pPr>
            <w:r>
              <w:rPr>
                <w:rFonts w:hint="eastAsia" w:ascii="宋体" w:hAnsi="宋体"/>
              </w:rPr>
              <w:t>0.12</w:t>
            </w:r>
          </w:p>
        </w:tc>
        <w:tc>
          <w:tcPr>
            <w:tcW w:w="715" w:type="pct"/>
            <w:vAlign w:val="center"/>
          </w:tcPr>
          <w:p w14:paraId="2B51FA9D">
            <w:pPr>
              <w:pStyle w:val="12"/>
              <w:jc w:val="center"/>
              <w:rPr>
                <w:rFonts w:ascii="宋体" w:hAnsi="宋体"/>
              </w:rPr>
            </w:pPr>
            <w:r>
              <w:rPr>
                <w:rFonts w:hint="eastAsia" w:ascii="宋体" w:hAnsi="宋体"/>
              </w:rPr>
              <w:t>0.23</w:t>
            </w:r>
          </w:p>
        </w:tc>
        <w:tc>
          <w:tcPr>
            <w:tcW w:w="715" w:type="pct"/>
            <w:vAlign w:val="center"/>
          </w:tcPr>
          <w:p w14:paraId="2348AF7B">
            <w:pPr>
              <w:pStyle w:val="12"/>
              <w:jc w:val="center"/>
              <w:rPr>
                <w:rFonts w:ascii="宋体" w:hAnsi="宋体"/>
              </w:rPr>
            </w:pPr>
            <w:r>
              <w:rPr>
                <w:rFonts w:hint="eastAsia" w:ascii="宋体" w:hAnsi="宋体"/>
              </w:rPr>
              <w:t>0.10</w:t>
            </w:r>
          </w:p>
        </w:tc>
        <w:tc>
          <w:tcPr>
            <w:tcW w:w="715" w:type="pct"/>
            <w:vAlign w:val="center"/>
          </w:tcPr>
          <w:p w14:paraId="1BB14F80">
            <w:pPr>
              <w:pStyle w:val="12"/>
              <w:jc w:val="center"/>
              <w:rPr>
                <w:rFonts w:ascii="宋体" w:hAnsi="宋体"/>
              </w:rPr>
            </w:pPr>
            <w:r>
              <w:rPr>
                <w:rFonts w:hint="eastAsia" w:ascii="宋体" w:hAnsi="宋体"/>
              </w:rPr>
              <w:t>帽子峰、全安</w:t>
            </w:r>
          </w:p>
        </w:tc>
      </w:tr>
      <w:tr w14:paraId="49B6F6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21FAE78">
            <w:pPr>
              <w:pStyle w:val="12"/>
              <w:jc w:val="center"/>
              <w:rPr>
                <w:rFonts w:ascii="宋体" w:hAnsi="宋体"/>
              </w:rPr>
            </w:pPr>
            <w:r>
              <w:rPr>
                <w:rFonts w:hint="eastAsia" w:ascii="宋体" w:hAnsi="宋体"/>
              </w:rPr>
              <w:t>梅  岭</w:t>
            </w:r>
          </w:p>
        </w:tc>
        <w:tc>
          <w:tcPr>
            <w:tcW w:w="714" w:type="pct"/>
            <w:vAlign w:val="center"/>
          </w:tcPr>
          <w:p w14:paraId="6B373FAC">
            <w:pPr>
              <w:pStyle w:val="12"/>
              <w:jc w:val="center"/>
              <w:rPr>
                <w:rFonts w:ascii="宋体" w:hAnsi="宋体"/>
              </w:rPr>
            </w:pPr>
            <w:r>
              <w:rPr>
                <w:rFonts w:hint="eastAsia" w:ascii="宋体" w:hAnsi="宋体"/>
              </w:rPr>
              <w:t>南山水</w:t>
            </w:r>
          </w:p>
        </w:tc>
        <w:tc>
          <w:tcPr>
            <w:tcW w:w="714" w:type="pct"/>
            <w:vAlign w:val="center"/>
          </w:tcPr>
          <w:p w14:paraId="17A00D9A">
            <w:pPr>
              <w:pStyle w:val="12"/>
              <w:jc w:val="center"/>
              <w:rPr>
                <w:rFonts w:ascii="宋体" w:hAnsi="宋体"/>
              </w:rPr>
            </w:pPr>
            <w:r>
              <w:rPr>
                <w:rFonts w:hint="eastAsia" w:ascii="宋体" w:hAnsi="宋体"/>
              </w:rPr>
              <w:t>1</w:t>
            </w:r>
          </w:p>
        </w:tc>
        <w:tc>
          <w:tcPr>
            <w:tcW w:w="715" w:type="pct"/>
            <w:vAlign w:val="center"/>
          </w:tcPr>
          <w:p w14:paraId="1F543709">
            <w:pPr>
              <w:pStyle w:val="12"/>
              <w:jc w:val="center"/>
              <w:rPr>
                <w:rFonts w:ascii="宋体" w:hAnsi="宋体"/>
              </w:rPr>
            </w:pPr>
            <w:r>
              <w:rPr>
                <w:rFonts w:hint="eastAsia" w:ascii="宋体" w:hAnsi="宋体"/>
              </w:rPr>
              <w:t>0.01</w:t>
            </w:r>
          </w:p>
        </w:tc>
        <w:tc>
          <w:tcPr>
            <w:tcW w:w="715" w:type="pct"/>
            <w:vAlign w:val="center"/>
          </w:tcPr>
          <w:p w14:paraId="39325DD1">
            <w:pPr>
              <w:pStyle w:val="12"/>
              <w:jc w:val="center"/>
              <w:rPr>
                <w:rFonts w:ascii="宋体" w:hAnsi="宋体"/>
              </w:rPr>
            </w:pPr>
            <w:r>
              <w:rPr>
                <w:rFonts w:hint="eastAsia" w:ascii="宋体" w:hAnsi="宋体"/>
              </w:rPr>
              <w:t>0.01</w:t>
            </w:r>
          </w:p>
        </w:tc>
        <w:tc>
          <w:tcPr>
            <w:tcW w:w="715" w:type="pct"/>
            <w:vAlign w:val="center"/>
          </w:tcPr>
          <w:p w14:paraId="6B199467">
            <w:pPr>
              <w:pStyle w:val="12"/>
              <w:jc w:val="center"/>
              <w:rPr>
                <w:rFonts w:ascii="宋体" w:hAnsi="宋体"/>
              </w:rPr>
            </w:pPr>
            <w:r>
              <w:rPr>
                <w:rFonts w:hint="eastAsia" w:ascii="宋体" w:hAnsi="宋体"/>
              </w:rPr>
              <w:t>0.01</w:t>
            </w:r>
          </w:p>
        </w:tc>
        <w:tc>
          <w:tcPr>
            <w:tcW w:w="715" w:type="pct"/>
            <w:vAlign w:val="center"/>
          </w:tcPr>
          <w:p w14:paraId="2FFE294C">
            <w:pPr>
              <w:pStyle w:val="12"/>
              <w:jc w:val="center"/>
              <w:rPr>
                <w:rFonts w:ascii="宋体" w:hAnsi="宋体"/>
              </w:rPr>
            </w:pPr>
            <w:r>
              <w:rPr>
                <w:rFonts w:hint="eastAsia" w:ascii="宋体" w:hAnsi="宋体"/>
              </w:rPr>
              <w:t>—</w:t>
            </w:r>
          </w:p>
        </w:tc>
      </w:tr>
      <w:tr w14:paraId="18D091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28C60C59">
            <w:pPr>
              <w:pStyle w:val="12"/>
              <w:jc w:val="center"/>
              <w:rPr>
                <w:rFonts w:ascii="宋体" w:hAnsi="宋体"/>
              </w:rPr>
            </w:pPr>
            <w:r>
              <w:rPr>
                <w:rFonts w:hint="eastAsia" w:ascii="宋体" w:hAnsi="宋体"/>
              </w:rPr>
              <w:t>湖  口</w:t>
            </w:r>
          </w:p>
        </w:tc>
        <w:tc>
          <w:tcPr>
            <w:tcW w:w="714" w:type="pct"/>
            <w:vAlign w:val="center"/>
          </w:tcPr>
          <w:p w14:paraId="347C6945">
            <w:pPr>
              <w:pStyle w:val="12"/>
              <w:jc w:val="center"/>
              <w:rPr>
                <w:rFonts w:ascii="宋体" w:hAnsi="宋体"/>
              </w:rPr>
            </w:pPr>
            <w:r>
              <w:rPr>
                <w:rFonts w:hint="eastAsia" w:ascii="宋体" w:hAnsi="宋体"/>
              </w:rPr>
              <w:t>南山水</w:t>
            </w:r>
          </w:p>
        </w:tc>
        <w:tc>
          <w:tcPr>
            <w:tcW w:w="714" w:type="pct"/>
            <w:vAlign w:val="center"/>
          </w:tcPr>
          <w:p w14:paraId="4ACA16E9">
            <w:pPr>
              <w:pStyle w:val="12"/>
              <w:jc w:val="center"/>
              <w:rPr>
                <w:rFonts w:ascii="宋体" w:hAnsi="宋体"/>
              </w:rPr>
            </w:pPr>
            <w:r>
              <w:rPr>
                <w:rFonts w:hint="eastAsia" w:ascii="宋体" w:hAnsi="宋体"/>
              </w:rPr>
              <w:t>2.1</w:t>
            </w:r>
          </w:p>
        </w:tc>
        <w:tc>
          <w:tcPr>
            <w:tcW w:w="715" w:type="pct"/>
            <w:vAlign w:val="center"/>
          </w:tcPr>
          <w:p w14:paraId="61F7DE55">
            <w:pPr>
              <w:pStyle w:val="12"/>
              <w:jc w:val="center"/>
              <w:rPr>
                <w:rFonts w:ascii="宋体" w:hAnsi="宋体"/>
              </w:rPr>
            </w:pPr>
            <w:r>
              <w:rPr>
                <w:rFonts w:hint="eastAsia" w:ascii="宋体" w:hAnsi="宋体"/>
              </w:rPr>
              <w:t>0.05</w:t>
            </w:r>
          </w:p>
        </w:tc>
        <w:tc>
          <w:tcPr>
            <w:tcW w:w="715" w:type="pct"/>
            <w:vAlign w:val="center"/>
          </w:tcPr>
          <w:p w14:paraId="48B0AC87">
            <w:pPr>
              <w:pStyle w:val="12"/>
              <w:jc w:val="center"/>
              <w:rPr>
                <w:rFonts w:ascii="宋体" w:hAnsi="宋体"/>
              </w:rPr>
            </w:pPr>
            <w:r>
              <w:rPr>
                <w:rFonts w:hint="eastAsia" w:ascii="宋体" w:hAnsi="宋体"/>
              </w:rPr>
              <w:t>0.07</w:t>
            </w:r>
          </w:p>
        </w:tc>
        <w:tc>
          <w:tcPr>
            <w:tcW w:w="715" w:type="pct"/>
            <w:vAlign w:val="center"/>
          </w:tcPr>
          <w:p w14:paraId="5C2053F6">
            <w:pPr>
              <w:pStyle w:val="12"/>
              <w:jc w:val="center"/>
              <w:rPr>
                <w:rFonts w:ascii="宋体" w:hAnsi="宋体"/>
              </w:rPr>
            </w:pPr>
            <w:r>
              <w:rPr>
                <w:rFonts w:hint="eastAsia" w:ascii="宋体" w:hAnsi="宋体"/>
              </w:rPr>
              <w:t>0.04</w:t>
            </w:r>
          </w:p>
        </w:tc>
        <w:tc>
          <w:tcPr>
            <w:tcW w:w="715" w:type="pct"/>
            <w:vAlign w:val="center"/>
          </w:tcPr>
          <w:p w14:paraId="7826FADD">
            <w:pPr>
              <w:pStyle w:val="12"/>
              <w:jc w:val="center"/>
              <w:rPr>
                <w:rFonts w:ascii="宋体" w:hAnsi="宋体"/>
              </w:rPr>
            </w:pPr>
            <w:r>
              <w:rPr>
                <w:rFonts w:hint="eastAsia" w:ascii="宋体" w:hAnsi="宋体"/>
              </w:rPr>
              <w:t>—</w:t>
            </w:r>
          </w:p>
        </w:tc>
      </w:tr>
      <w:tr w14:paraId="443462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D7DD8FE">
            <w:pPr>
              <w:pStyle w:val="12"/>
              <w:jc w:val="center"/>
              <w:rPr>
                <w:rFonts w:ascii="宋体" w:hAnsi="宋体"/>
              </w:rPr>
            </w:pPr>
            <w:r>
              <w:rPr>
                <w:rFonts w:hint="eastAsia" w:ascii="宋体" w:hAnsi="宋体"/>
              </w:rPr>
              <w:t>坪  田</w:t>
            </w:r>
          </w:p>
        </w:tc>
        <w:tc>
          <w:tcPr>
            <w:tcW w:w="714" w:type="pct"/>
            <w:vAlign w:val="center"/>
          </w:tcPr>
          <w:p w14:paraId="4E75C516">
            <w:pPr>
              <w:pStyle w:val="12"/>
              <w:jc w:val="center"/>
              <w:rPr>
                <w:rFonts w:ascii="宋体" w:hAnsi="宋体"/>
              </w:rPr>
            </w:pPr>
            <w:r>
              <w:rPr>
                <w:rFonts w:hint="eastAsia" w:ascii="宋体" w:hAnsi="宋体"/>
              </w:rPr>
              <w:t>坪田水</w:t>
            </w:r>
          </w:p>
        </w:tc>
        <w:tc>
          <w:tcPr>
            <w:tcW w:w="714" w:type="pct"/>
            <w:vAlign w:val="center"/>
          </w:tcPr>
          <w:p w14:paraId="3F7A31C9">
            <w:pPr>
              <w:pStyle w:val="12"/>
              <w:jc w:val="center"/>
              <w:rPr>
                <w:rFonts w:ascii="宋体" w:hAnsi="宋体"/>
              </w:rPr>
            </w:pPr>
            <w:r>
              <w:rPr>
                <w:rFonts w:hint="eastAsia" w:ascii="宋体" w:hAnsi="宋体"/>
              </w:rPr>
              <w:t>2</w:t>
            </w:r>
          </w:p>
        </w:tc>
        <w:tc>
          <w:tcPr>
            <w:tcW w:w="715" w:type="pct"/>
            <w:vAlign w:val="center"/>
          </w:tcPr>
          <w:p w14:paraId="66B2853E">
            <w:pPr>
              <w:pStyle w:val="12"/>
              <w:jc w:val="center"/>
              <w:rPr>
                <w:rFonts w:ascii="宋体" w:hAnsi="宋体"/>
              </w:rPr>
            </w:pPr>
            <w:r>
              <w:rPr>
                <w:rFonts w:hint="eastAsia" w:ascii="宋体" w:hAnsi="宋体"/>
              </w:rPr>
              <w:t>0.01</w:t>
            </w:r>
          </w:p>
        </w:tc>
        <w:tc>
          <w:tcPr>
            <w:tcW w:w="715" w:type="pct"/>
            <w:vAlign w:val="center"/>
          </w:tcPr>
          <w:p w14:paraId="78CD630A">
            <w:pPr>
              <w:pStyle w:val="12"/>
              <w:jc w:val="center"/>
              <w:rPr>
                <w:rFonts w:ascii="宋体" w:hAnsi="宋体"/>
              </w:rPr>
            </w:pPr>
            <w:r>
              <w:rPr>
                <w:rFonts w:hint="eastAsia" w:ascii="宋体" w:hAnsi="宋体"/>
              </w:rPr>
              <w:t>0.02</w:t>
            </w:r>
          </w:p>
        </w:tc>
        <w:tc>
          <w:tcPr>
            <w:tcW w:w="715" w:type="pct"/>
            <w:vAlign w:val="center"/>
          </w:tcPr>
          <w:p w14:paraId="12535E91">
            <w:pPr>
              <w:pStyle w:val="12"/>
              <w:jc w:val="center"/>
              <w:rPr>
                <w:rFonts w:ascii="宋体" w:hAnsi="宋体"/>
              </w:rPr>
            </w:pPr>
            <w:r>
              <w:rPr>
                <w:rFonts w:hint="eastAsia" w:ascii="宋体" w:hAnsi="宋体"/>
              </w:rPr>
              <w:t>0.01</w:t>
            </w:r>
          </w:p>
        </w:tc>
        <w:tc>
          <w:tcPr>
            <w:tcW w:w="715" w:type="pct"/>
            <w:vAlign w:val="center"/>
          </w:tcPr>
          <w:p w14:paraId="17039E8E">
            <w:pPr>
              <w:pStyle w:val="12"/>
              <w:jc w:val="center"/>
              <w:rPr>
                <w:rFonts w:ascii="宋体" w:hAnsi="宋体"/>
              </w:rPr>
            </w:pPr>
            <w:r>
              <w:rPr>
                <w:rFonts w:hint="eastAsia" w:ascii="宋体" w:hAnsi="宋体"/>
              </w:rPr>
              <w:t>—</w:t>
            </w:r>
          </w:p>
        </w:tc>
      </w:tr>
      <w:tr w14:paraId="406320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A9FBBD1">
            <w:pPr>
              <w:pStyle w:val="12"/>
              <w:jc w:val="center"/>
              <w:rPr>
                <w:rFonts w:ascii="宋体" w:hAnsi="宋体"/>
              </w:rPr>
            </w:pPr>
            <w:r>
              <w:rPr>
                <w:rFonts w:hint="eastAsia" w:ascii="宋体" w:hAnsi="宋体"/>
              </w:rPr>
              <w:t>新  龙</w:t>
            </w:r>
          </w:p>
        </w:tc>
        <w:tc>
          <w:tcPr>
            <w:tcW w:w="714" w:type="pct"/>
            <w:vAlign w:val="center"/>
          </w:tcPr>
          <w:p w14:paraId="65AB0DFD">
            <w:pPr>
              <w:pStyle w:val="12"/>
              <w:jc w:val="center"/>
              <w:rPr>
                <w:rFonts w:ascii="宋体" w:hAnsi="宋体"/>
              </w:rPr>
            </w:pPr>
            <w:r>
              <w:rPr>
                <w:rFonts w:hint="eastAsia" w:ascii="宋体" w:hAnsi="宋体"/>
              </w:rPr>
              <w:t>新龙水</w:t>
            </w:r>
          </w:p>
        </w:tc>
        <w:tc>
          <w:tcPr>
            <w:tcW w:w="714" w:type="pct"/>
            <w:vAlign w:val="center"/>
          </w:tcPr>
          <w:p w14:paraId="1D086B40">
            <w:pPr>
              <w:pStyle w:val="12"/>
              <w:jc w:val="center"/>
              <w:rPr>
                <w:rFonts w:ascii="宋体" w:hAnsi="宋体"/>
              </w:rPr>
            </w:pPr>
            <w:r>
              <w:rPr>
                <w:rFonts w:hint="eastAsia" w:ascii="宋体" w:hAnsi="宋体"/>
              </w:rPr>
              <w:t>2.7</w:t>
            </w:r>
          </w:p>
        </w:tc>
        <w:tc>
          <w:tcPr>
            <w:tcW w:w="715" w:type="pct"/>
            <w:vAlign w:val="center"/>
          </w:tcPr>
          <w:p w14:paraId="7F7072CF">
            <w:pPr>
              <w:pStyle w:val="12"/>
              <w:jc w:val="center"/>
              <w:rPr>
                <w:rFonts w:ascii="宋体" w:hAnsi="宋体"/>
              </w:rPr>
            </w:pPr>
            <w:r>
              <w:rPr>
                <w:rFonts w:hint="eastAsia" w:ascii="宋体" w:hAnsi="宋体"/>
              </w:rPr>
              <w:t>0.02</w:t>
            </w:r>
          </w:p>
        </w:tc>
        <w:tc>
          <w:tcPr>
            <w:tcW w:w="715" w:type="pct"/>
            <w:vAlign w:val="center"/>
          </w:tcPr>
          <w:p w14:paraId="4DA7A5C2">
            <w:pPr>
              <w:pStyle w:val="12"/>
              <w:jc w:val="center"/>
              <w:rPr>
                <w:rFonts w:ascii="宋体" w:hAnsi="宋体"/>
              </w:rPr>
            </w:pPr>
            <w:r>
              <w:rPr>
                <w:rFonts w:hint="eastAsia" w:ascii="宋体" w:hAnsi="宋体"/>
              </w:rPr>
              <w:t>0.04</w:t>
            </w:r>
          </w:p>
        </w:tc>
        <w:tc>
          <w:tcPr>
            <w:tcW w:w="715" w:type="pct"/>
            <w:vAlign w:val="center"/>
          </w:tcPr>
          <w:p w14:paraId="6CCDDC23">
            <w:pPr>
              <w:pStyle w:val="12"/>
              <w:jc w:val="center"/>
              <w:rPr>
                <w:rFonts w:ascii="宋体" w:hAnsi="宋体"/>
              </w:rPr>
            </w:pPr>
            <w:r>
              <w:rPr>
                <w:rFonts w:hint="eastAsia" w:ascii="宋体" w:hAnsi="宋体"/>
              </w:rPr>
              <w:t>0.01</w:t>
            </w:r>
          </w:p>
        </w:tc>
        <w:tc>
          <w:tcPr>
            <w:tcW w:w="715" w:type="pct"/>
            <w:vAlign w:val="center"/>
          </w:tcPr>
          <w:p w14:paraId="590871B7">
            <w:pPr>
              <w:pStyle w:val="12"/>
              <w:jc w:val="center"/>
              <w:rPr>
                <w:rFonts w:ascii="宋体" w:hAnsi="宋体"/>
              </w:rPr>
            </w:pPr>
            <w:r>
              <w:rPr>
                <w:rFonts w:hint="eastAsia" w:ascii="宋体" w:hAnsi="宋体"/>
              </w:rPr>
              <w:t>—</w:t>
            </w:r>
          </w:p>
        </w:tc>
      </w:tr>
      <w:tr w14:paraId="2C9EAB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1EE159C">
            <w:pPr>
              <w:pStyle w:val="12"/>
              <w:jc w:val="center"/>
              <w:rPr>
                <w:rFonts w:ascii="宋体" w:hAnsi="宋体"/>
              </w:rPr>
            </w:pPr>
            <w:r>
              <w:rPr>
                <w:rFonts w:hint="eastAsia" w:ascii="宋体" w:hAnsi="宋体"/>
              </w:rPr>
              <w:t>珠  玑</w:t>
            </w:r>
          </w:p>
        </w:tc>
        <w:tc>
          <w:tcPr>
            <w:tcW w:w="714" w:type="pct"/>
            <w:vAlign w:val="center"/>
          </w:tcPr>
          <w:p w14:paraId="4A211ED6">
            <w:pPr>
              <w:pStyle w:val="12"/>
              <w:jc w:val="center"/>
              <w:rPr>
                <w:rFonts w:ascii="宋体" w:hAnsi="宋体"/>
              </w:rPr>
            </w:pPr>
            <w:r>
              <w:rPr>
                <w:rFonts w:hint="eastAsia" w:ascii="宋体" w:hAnsi="宋体"/>
              </w:rPr>
              <w:t>下洞水</w:t>
            </w:r>
          </w:p>
        </w:tc>
        <w:tc>
          <w:tcPr>
            <w:tcW w:w="714" w:type="pct"/>
            <w:vAlign w:val="center"/>
          </w:tcPr>
          <w:p w14:paraId="1463651A">
            <w:pPr>
              <w:pStyle w:val="12"/>
              <w:jc w:val="center"/>
              <w:rPr>
                <w:rFonts w:ascii="宋体" w:hAnsi="宋体"/>
              </w:rPr>
            </w:pPr>
            <w:r>
              <w:rPr>
                <w:rFonts w:hint="eastAsia" w:ascii="宋体" w:hAnsi="宋体"/>
              </w:rPr>
              <w:t>5.1</w:t>
            </w:r>
          </w:p>
        </w:tc>
        <w:tc>
          <w:tcPr>
            <w:tcW w:w="715" w:type="pct"/>
            <w:vAlign w:val="center"/>
          </w:tcPr>
          <w:p w14:paraId="36E37D68">
            <w:pPr>
              <w:pStyle w:val="12"/>
              <w:jc w:val="center"/>
              <w:rPr>
                <w:rFonts w:ascii="宋体" w:hAnsi="宋体"/>
              </w:rPr>
            </w:pPr>
            <w:r>
              <w:rPr>
                <w:rFonts w:hint="eastAsia" w:ascii="宋体" w:hAnsi="宋体"/>
              </w:rPr>
              <w:t>0.05</w:t>
            </w:r>
          </w:p>
        </w:tc>
        <w:tc>
          <w:tcPr>
            <w:tcW w:w="715" w:type="pct"/>
            <w:vAlign w:val="center"/>
          </w:tcPr>
          <w:p w14:paraId="14E6F9BD">
            <w:pPr>
              <w:pStyle w:val="12"/>
              <w:jc w:val="center"/>
              <w:rPr>
                <w:rFonts w:ascii="宋体" w:hAnsi="宋体"/>
              </w:rPr>
            </w:pPr>
            <w:r>
              <w:rPr>
                <w:rFonts w:hint="eastAsia" w:ascii="宋体" w:hAnsi="宋体"/>
              </w:rPr>
              <w:t>0.06</w:t>
            </w:r>
          </w:p>
        </w:tc>
        <w:tc>
          <w:tcPr>
            <w:tcW w:w="715" w:type="pct"/>
            <w:vAlign w:val="center"/>
          </w:tcPr>
          <w:p w14:paraId="515050E9">
            <w:pPr>
              <w:pStyle w:val="12"/>
              <w:jc w:val="center"/>
              <w:rPr>
                <w:rFonts w:ascii="宋体" w:hAnsi="宋体"/>
              </w:rPr>
            </w:pPr>
            <w:r>
              <w:rPr>
                <w:rFonts w:hint="eastAsia" w:ascii="宋体" w:hAnsi="宋体"/>
              </w:rPr>
              <w:t>0.05</w:t>
            </w:r>
          </w:p>
        </w:tc>
        <w:tc>
          <w:tcPr>
            <w:tcW w:w="715" w:type="pct"/>
            <w:vAlign w:val="center"/>
          </w:tcPr>
          <w:p w14:paraId="43473384">
            <w:pPr>
              <w:pStyle w:val="12"/>
              <w:jc w:val="center"/>
              <w:rPr>
                <w:rFonts w:ascii="宋体" w:hAnsi="宋体"/>
              </w:rPr>
            </w:pPr>
            <w:r>
              <w:rPr>
                <w:rFonts w:hint="eastAsia" w:ascii="宋体" w:hAnsi="宋体"/>
              </w:rPr>
              <w:t>—</w:t>
            </w:r>
          </w:p>
        </w:tc>
      </w:tr>
      <w:tr w14:paraId="5CF405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C6C0230">
            <w:pPr>
              <w:pStyle w:val="12"/>
              <w:jc w:val="center"/>
              <w:rPr>
                <w:rFonts w:ascii="宋体" w:hAnsi="宋体"/>
              </w:rPr>
            </w:pPr>
            <w:r>
              <w:rPr>
                <w:rFonts w:hint="eastAsia" w:ascii="宋体" w:hAnsi="宋体"/>
              </w:rPr>
              <w:t>邓  坊</w:t>
            </w:r>
          </w:p>
        </w:tc>
        <w:tc>
          <w:tcPr>
            <w:tcW w:w="714" w:type="pct"/>
            <w:vAlign w:val="center"/>
          </w:tcPr>
          <w:p w14:paraId="27D62FF9">
            <w:pPr>
              <w:pStyle w:val="12"/>
              <w:jc w:val="center"/>
              <w:rPr>
                <w:rFonts w:ascii="宋体" w:hAnsi="宋体"/>
              </w:rPr>
            </w:pPr>
            <w:r>
              <w:rPr>
                <w:rFonts w:hint="eastAsia" w:ascii="宋体" w:hAnsi="宋体"/>
              </w:rPr>
              <w:t>邓坊河</w:t>
            </w:r>
          </w:p>
        </w:tc>
        <w:tc>
          <w:tcPr>
            <w:tcW w:w="714" w:type="pct"/>
            <w:vAlign w:val="center"/>
          </w:tcPr>
          <w:p w14:paraId="3D680738">
            <w:pPr>
              <w:pStyle w:val="12"/>
              <w:jc w:val="center"/>
              <w:rPr>
                <w:rFonts w:ascii="宋体" w:hAnsi="宋体"/>
              </w:rPr>
            </w:pPr>
            <w:r>
              <w:rPr>
                <w:rFonts w:hint="eastAsia" w:ascii="宋体" w:hAnsi="宋体"/>
              </w:rPr>
              <w:t>1.2</w:t>
            </w:r>
          </w:p>
        </w:tc>
        <w:tc>
          <w:tcPr>
            <w:tcW w:w="715" w:type="pct"/>
            <w:vAlign w:val="center"/>
          </w:tcPr>
          <w:p w14:paraId="728F5D40">
            <w:pPr>
              <w:pStyle w:val="12"/>
              <w:jc w:val="center"/>
              <w:rPr>
                <w:rFonts w:ascii="宋体" w:hAnsi="宋体"/>
              </w:rPr>
            </w:pPr>
            <w:r>
              <w:rPr>
                <w:rFonts w:hint="eastAsia" w:ascii="宋体" w:hAnsi="宋体"/>
              </w:rPr>
              <w:t>0.04</w:t>
            </w:r>
          </w:p>
        </w:tc>
        <w:tc>
          <w:tcPr>
            <w:tcW w:w="715" w:type="pct"/>
            <w:vAlign w:val="center"/>
          </w:tcPr>
          <w:p w14:paraId="7FA6864A">
            <w:pPr>
              <w:pStyle w:val="12"/>
              <w:jc w:val="center"/>
              <w:rPr>
                <w:rFonts w:ascii="宋体" w:hAnsi="宋体"/>
              </w:rPr>
            </w:pPr>
            <w:r>
              <w:rPr>
                <w:rFonts w:hint="eastAsia" w:ascii="宋体" w:hAnsi="宋体"/>
              </w:rPr>
              <w:t>0.05</w:t>
            </w:r>
          </w:p>
        </w:tc>
        <w:tc>
          <w:tcPr>
            <w:tcW w:w="715" w:type="pct"/>
            <w:vAlign w:val="center"/>
          </w:tcPr>
          <w:p w14:paraId="49C2D05E">
            <w:pPr>
              <w:pStyle w:val="12"/>
              <w:jc w:val="center"/>
              <w:rPr>
                <w:rFonts w:ascii="宋体" w:hAnsi="宋体"/>
              </w:rPr>
            </w:pPr>
            <w:r>
              <w:rPr>
                <w:rFonts w:hint="eastAsia" w:ascii="宋体" w:hAnsi="宋体"/>
              </w:rPr>
              <w:t>0.03</w:t>
            </w:r>
          </w:p>
        </w:tc>
        <w:tc>
          <w:tcPr>
            <w:tcW w:w="715" w:type="pct"/>
            <w:vAlign w:val="center"/>
          </w:tcPr>
          <w:p w14:paraId="39BEDBB9">
            <w:pPr>
              <w:pStyle w:val="12"/>
              <w:jc w:val="center"/>
              <w:rPr>
                <w:rFonts w:ascii="宋体" w:hAnsi="宋体"/>
              </w:rPr>
            </w:pPr>
            <w:r>
              <w:rPr>
                <w:rFonts w:hint="eastAsia" w:ascii="宋体" w:hAnsi="宋体"/>
              </w:rPr>
              <w:t>—</w:t>
            </w:r>
          </w:p>
        </w:tc>
      </w:tr>
      <w:tr w14:paraId="0214EC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BC3D6FE">
            <w:pPr>
              <w:pStyle w:val="12"/>
              <w:jc w:val="center"/>
              <w:rPr>
                <w:rFonts w:ascii="宋体" w:hAnsi="宋体"/>
              </w:rPr>
            </w:pPr>
            <w:r>
              <w:rPr>
                <w:rFonts w:hint="eastAsia" w:ascii="宋体" w:hAnsi="宋体"/>
              </w:rPr>
              <w:t>南  亩</w:t>
            </w:r>
          </w:p>
        </w:tc>
        <w:tc>
          <w:tcPr>
            <w:tcW w:w="714" w:type="pct"/>
            <w:vAlign w:val="center"/>
          </w:tcPr>
          <w:p w14:paraId="16D518B7">
            <w:pPr>
              <w:pStyle w:val="12"/>
              <w:jc w:val="center"/>
              <w:rPr>
                <w:rFonts w:ascii="宋体" w:hAnsi="宋体"/>
              </w:rPr>
            </w:pPr>
            <w:r>
              <w:rPr>
                <w:rFonts w:hint="eastAsia" w:ascii="宋体" w:hAnsi="宋体"/>
              </w:rPr>
              <w:t>南亩水</w:t>
            </w:r>
          </w:p>
        </w:tc>
        <w:tc>
          <w:tcPr>
            <w:tcW w:w="714" w:type="pct"/>
            <w:vAlign w:val="center"/>
          </w:tcPr>
          <w:p w14:paraId="0D5A57AD">
            <w:pPr>
              <w:pStyle w:val="12"/>
              <w:jc w:val="center"/>
              <w:rPr>
                <w:rFonts w:ascii="宋体" w:hAnsi="宋体"/>
              </w:rPr>
            </w:pPr>
            <w:r>
              <w:rPr>
                <w:rFonts w:hint="eastAsia" w:ascii="宋体" w:hAnsi="宋体"/>
              </w:rPr>
              <w:t>3</w:t>
            </w:r>
          </w:p>
        </w:tc>
        <w:tc>
          <w:tcPr>
            <w:tcW w:w="715" w:type="pct"/>
            <w:vAlign w:val="center"/>
          </w:tcPr>
          <w:p w14:paraId="6FC83290">
            <w:pPr>
              <w:pStyle w:val="12"/>
              <w:jc w:val="center"/>
              <w:rPr>
                <w:rFonts w:ascii="宋体" w:hAnsi="宋体"/>
              </w:rPr>
            </w:pPr>
            <w:r>
              <w:rPr>
                <w:rFonts w:hint="eastAsia" w:ascii="宋体" w:hAnsi="宋体"/>
              </w:rPr>
              <w:t>0.02</w:t>
            </w:r>
          </w:p>
        </w:tc>
        <w:tc>
          <w:tcPr>
            <w:tcW w:w="715" w:type="pct"/>
            <w:vAlign w:val="center"/>
          </w:tcPr>
          <w:p w14:paraId="58951879">
            <w:pPr>
              <w:pStyle w:val="12"/>
              <w:jc w:val="center"/>
              <w:rPr>
                <w:rFonts w:ascii="宋体" w:hAnsi="宋体"/>
              </w:rPr>
            </w:pPr>
            <w:r>
              <w:rPr>
                <w:rFonts w:hint="eastAsia" w:ascii="宋体" w:hAnsi="宋体"/>
              </w:rPr>
              <w:t>0.03</w:t>
            </w:r>
          </w:p>
        </w:tc>
        <w:tc>
          <w:tcPr>
            <w:tcW w:w="715" w:type="pct"/>
            <w:vAlign w:val="center"/>
          </w:tcPr>
          <w:p w14:paraId="7404E1C7">
            <w:pPr>
              <w:pStyle w:val="12"/>
              <w:jc w:val="center"/>
              <w:rPr>
                <w:rFonts w:ascii="宋体" w:hAnsi="宋体"/>
              </w:rPr>
            </w:pPr>
            <w:r>
              <w:rPr>
                <w:rFonts w:hint="eastAsia" w:ascii="宋体" w:hAnsi="宋体"/>
              </w:rPr>
              <w:t>0.01</w:t>
            </w:r>
          </w:p>
        </w:tc>
        <w:tc>
          <w:tcPr>
            <w:tcW w:w="715" w:type="pct"/>
            <w:vAlign w:val="center"/>
          </w:tcPr>
          <w:p w14:paraId="02A9379A">
            <w:pPr>
              <w:pStyle w:val="12"/>
              <w:jc w:val="center"/>
              <w:rPr>
                <w:rFonts w:ascii="宋体" w:hAnsi="宋体"/>
              </w:rPr>
            </w:pPr>
            <w:r>
              <w:rPr>
                <w:rFonts w:hint="eastAsia" w:ascii="宋体" w:hAnsi="宋体"/>
              </w:rPr>
              <w:t>—</w:t>
            </w:r>
          </w:p>
        </w:tc>
      </w:tr>
      <w:tr w14:paraId="3F3C96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0C1BA54">
            <w:pPr>
              <w:pStyle w:val="12"/>
              <w:jc w:val="center"/>
              <w:rPr>
                <w:rFonts w:ascii="宋体" w:hAnsi="宋体"/>
              </w:rPr>
            </w:pPr>
            <w:r>
              <w:rPr>
                <w:rFonts w:hint="eastAsia" w:ascii="宋体" w:hAnsi="宋体"/>
              </w:rPr>
              <w:t>大  塘</w:t>
            </w:r>
          </w:p>
        </w:tc>
        <w:tc>
          <w:tcPr>
            <w:tcW w:w="714" w:type="pct"/>
            <w:vAlign w:val="center"/>
          </w:tcPr>
          <w:p w14:paraId="1A415E41">
            <w:pPr>
              <w:pStyle w:val="12"/>
              <w:jc w:val="center"/>
              <w:rPr>
                <w:rFonts w:ascii="宋体" w:hAnsi="宋体"/>
              </w:rPr>
            </w:pPr>
            <w:r>
              <w:rPr>
                <w:rFonts w:hint="eastAsia" w:ascii="宋体" w:hAnsi="宋体"/>
              </w:rPr>
              <w:t>太源水</w:t>
            </w:r>
          </w:p>
        </w:tc>
        <w:tc>
          <w:tcPr>
            <w:tcW w:w="714" w:type="pct"/>
            <w:vAlign w:val="center"/>
          </w:tcPr>
          <w:p w14:paraId="47B91C4D">
            <w:pPr>
              <w:pStyle w:val="12"/>
              <w:jc w:val="center"/>
              <w:rPr>
                <w:rFonts w:ascii="宋体" w:hAnsi="宋体"/>
              </w:rPr>
            </w:pPr>
            <w:r>
              <w:rPr>
                <w:rFonts w:hint="eastAsia" w:ascii="宋体" w:hAnsi="宋体"/>
              </w:rPr>
              <w:t>1</w:t>
            </w:r>
          </w:p>
        </w:tc>
        <w:tc>
          <w:tcPr>
            <w:tcW w:w="715" w:type="pct"/>
            <w:vAlign w:val="center"/>
          </w:tcPr>
          <w:p w14:paraId="172F3407">
            <w:pPr>
              <w:pStyle w:val="12"/>
              <w:jc w:val="center"/>
              <w:rPr>
                <w:rFonts w:ascii="宋体" w:hAnsi="宋体"/>
              </w:rPr>
            </w:pPr>
            <w:r>
              <w:rPr>
                <w:rFonts w:hint="eastAsia" w:ascii="宋体" w:hAnsi="宋体"/>
              </w:rPr>
              <w:t>0.01</w:t>
            </w:r>
          </w:p>
        </w:tc>
        <w:tc>
          <w:tcPr>
            <w:tcW w:w="715" w:type="pct"/>
            <w:vAlign w:val="center"/>
          </w:tcPr>
          <w:p w14:paraId="431308AE">
            <w:pPr>
              <w:pStyle w:val="12"/>
              <w:jc w:val="center"/>
              <w:rPr>
                <w:rFonts w:ascii="宋体" w:hAnsi="宋体"/>
              </w:rPr>
            </w:pPr>
            <w:r>
              <w:rPr>
                <w:rFonts w:hint="eastAsia" w:ascii="宋体" w:hAnsi="宋体"/>
              </w:rPr>
              <w:t>0.04</w:t>
            </w:r>
          </w:p>
        </w:tc>
        <w:tc>
          <w:tcPr>
            <w:tcW w:w="715" w:type="pct"/>
            <w:vAlign w:val="center"/>
          </w:tcPr>
          <w:p w14:paraId="7A0D933B">
            <w:pPr>
              <w:pStyle w:val="12"/>
              <w:jc w:val="center"/>
              <w:rPr>
                <w:rFonts w:ascii="宋体" w:hAnsi="宋体"/>
              </w:rPr>
            </w:pPr>
            <w:r>
              <w:rPr>
                <w:rFonts w:hint="eastAsia" w:ascii="宋体" w:hAnsi="宋体"/>
              </w:rPr>
              <w:t>0.01</w:t>
            </w:r>
          </w:p>
        </w:tc>
        <w:tc>
          <w:tcPr>
            <w:tcW w:w="715" w:type="pct"/>
            <w:vAlign w:val="center"/>
          </w:tcPr>
          <w:p w14:paraId="143AB2CD">
            <w:pPr>
              <w:pStyle w:val="12"/>
              <w:jc w:val="center"/>
              <w:rPr>
                <w:rFonts w:ascii="宋体" w:hAnsi="宋体"/>
              </w:rPr>
            </w:pPr>
            <w:r>
              <w:rPr>
                <w:rFonts w:hint="eastAsia" w:ascii="宋体" w:hAnsi="宋体"/>
              </w:rPr>
              <w:t>—</w:t>
            </w:r>
          </w:p>
        </w:tc>
      </w:tr>
      <w:tr w14:paraId="712570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983CF1C">
            <w:pPr>
              <w:pStyle w:val="12"/>
              <w:jc w:val="center"/>
              <w:rPr>
                <w:rFonts w:ascii="宋体" w:hAnsi="宋体"/>
              </w:rPr>
            </w:pPr>
            <w:r>
              <w:rPr>
                <w:rFonts w:hint="eastAsia" w:ascii="宋体" w:hAnsi="宋体"/>
              </w:rPr>
              <w:t>主  田</w:t>
            </w:r>
          </w:p>
        </w:tc>
        <w:tc>
          <w:tcPr>
            <w:tcW w:w="714" w:type="pct"/>
            <w:vAlign w:val="center"/>
          </w:tcPr>
          <w:p w14:paraId="0A91A0DF">
            <w:pPr>
              <w:pStyle w:val="12"/>
              <w:jc w:val="center"/>
              <w:rPr>
                <w:rFonts w:ascii="宋体" w:hAnsi="宋体"/>
              </w:rPr>
            </w:pPr>
            <w:r>
              <w:rPr>
                <w:rFonts w:hint="eastAsia" w:ascii="宋体" w:hAnsi="宋体"/>
              </w:rPr>
              <w:t>瀑布水</w:t>
            </w:r>
          </w:p>
        </w:tc>
        <w:tc>
          <w:tcPr>
            <w:tcW w:w="714" w:type="pct"/>
            <w:vAlign w:val="center"/>
          </w:tcPr>
          <w:p w14:paraId="5DA6679E">
            <w:pPr>
              <w:pStyle w:val="12"/>
              <w:jc w:val="center"/>
              <w:rPr>
                <w:rFonts w:ascii="宋体" w:hAnsi="宋体"/>
              </w:rPr>
            </w:pPr>
            <w:r>
              <w:rPr>
                <w:rFonts w:hint="eastAsia" w:ascii="宋体" w:hAnsi="宋体"/>
              </w:rPr>
              <w:t>4</w:t>
            </w:r>
          </w:p>
        </w:tc>
        <w:tc>
          <w:tcPr>
            <w:tcW w:w="715" w:type="pct"/>
            <w:vAlign w:val="center"/>
          </w:tcPr>
          <w:p w14:paraId="5EF017A4">
            <w:pPr>
              <w:pStyle w:val="12"/>
              <w:jc w:val="center"/>
              <w:rPr>
                <w:rFonts w:ascii="宋体" w:hAnsi="宋体"/>
              </w:rPr>
            </w:pPr>
            <w:r>
              <w:rPr>
                <w:rFonts w:hint="eastAsia" w:ascii="宋体" w:hAnsi="宋体"/>
              </w:rPr>
              <w:t>0.03</w:t>
            </w:r>
          </w:p>
        </w:tc>
        <w:tc>
          <w:tcPr>
            <w:tcW w:w="715" w:type="pct"/>
            <w:vAlign w:val="center"/>
          </w:tcPr>
          <w:p w14:paraId="71003BB6">
            <w:pPr>
              <w:pStyle w:val="12"/>
              <w:jc w:val="center"/>
              <w:rPr>
                <w:rFonts w:ascii="宋体" w:hAnsi="宋体"/>
              </w:rPr>
            </w:pPr>
            <w:r>
              <w:rPr>
                <w:rFonts w:hint="eastAsia" w:ascii="宋体" w:hAnsi="宋体"/>
              </w:rPr>
              <w:t>0.05</w:t>
            </w:r>
          </w:p>
        </w:tc>
        <w:tc>
          <w:tcPr>
            <w:tcW w:w="715" w:type="pct"/>
            <w:vAlign w:val="center"/>
          </w:tcPr>
          <w:p w14:paraId="2E72524D">
            <w:pPr>
              <w:pStyle w:val="12"/>
              <w:jc w:val="center"/>
              <w:rPr>
                <w:rFonts w:ascii="宋体" w:hAnsi="宋体"/>
              </w:rPr>
            </w:pPr>
            <w:r>
              <w:rPr>
                <w:rFonts w:hint="eastAsia" w:ascii="宋体" w:hAnsi="宋体"/>
              </w:rPr>
              <w:t>0.03</w:t>
            </w:r>
          </w:p>
        </w:tc>
        <w:tc>
          <w:tcPr>
            <w:tcW w:w="715" w:type="pct"/>
            <w:vAlign w:val="center"/>
          </w:tcPr>
          <w:p w14:paraId="5DD7C675">
            <w:pPr>
              <w:pStyle w:val="12"/>
              <w:jc w:val="center"/>
              <w:rPr>
                <w:rFonts w:ascii="宋体" w:hAnsi="宋体"/>
              </w:rPr>
            </w:pPr>
            <w:r>
              <w:rPr>
                <w:rFonts w:hint="eastAsia" w:ascii="宋体" w:hAnsi="宋体"/>
              </w:rPr>
              <w:t>—</w:t>
            </w:r>
          </w:p>
        </w:tc>
      </w:tr>
      <w:tr w14:paraId="7479C7A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48B699C9">
            <w:pPr>
              <w:pStyle w:val="12"/>
              <w:jc w:val="center"/>
              <w:rPr>
                <w:rFonts w:ascii="宋体" w:hAnsi="宋体"/>
              </w:rPr>
            </w:pPr>
            <w:r>
              <w:rPr>
                <w:rFonts w:hint="eastAsia" w:ascii="宋体" w:hAnsi="宋体"/>
              </w:rPr>
              <w:t>百  顺</w:t>
            </w:r>
          </w:p>
        </w:tc>
        <w:tc>
          <w:tcPr>
            <w:tcW w:w="714" w:type="pct"/>
            <w:vAlign w:val="center"/>
          </w:tcPr>
          <w:p w14:paraId="582FED25">
            <w:pPr>
              <w:pStyle w:val="12"/>
              <w:jc w:val="center"/>
              <w:rPr>
                <w:rFonts w:ascii="宋体" w:hAnsi="宋体"/>
              </w:rPr>
            </w:pPr>
            <w:r>
              <w:rPr>
                <w:rFonts w:hint="eastAsia" w:ascii="宋体" w:hAnsi="宋体"/>
              </w:rPr>
              <w:t>百顺水</w:t>
            </w:r>
          </w:p>
        </w:tc>
        <w:tc>
          <w:tcPr>
            <w:tcW w:w="714" w:type="pct"/>
            <w:vAlign w:val="center"/>
          </w:tcPr>
          <w:p w14:paraId="335C9A80">
            <w:pPr>
              <w:pStyle w:val="12"/>
              <w:jc w:val="center"/>
              <w:rPr>
                <w:rFonts w:ascii="宋体" w:hAnsi="宋体"/>
              </w:rPr>
            </w:pPr>
            <w:r>
              <w:rPr>
                <w:rFonts w:hint="eastAsia" w:ascii="宋体" w:hAnsi="宋体"/>
              </w:rPr>
              <w:t>1.5</w:t>
            </w:r>
          </w:p>
        </w:tc>
        <w:tc>
          <w:tcPr>
            <w:tcW w:w="715" w:type="pct"/>
            <w:vAlign w:val="center"/>
          </w:tcPr>
          <w:p w14:paraId="5A165EB1">
            <w:pPr>
              <w:pStyle w:val="12"/>
              <w:jc w:val="center"/>
              <w:rPr>
                <w:rFonts w:ascii="宋体" w:hAnsi="宋体"/>
              </w:rPr>
            </w:pPr>
            <w:r>
              <w:rPr>
                <w:rFonts w:hint="eastAsia" w:ascii="宋体" w:hAnsi="宋体"/>
              </w:rPr>
              <w:t>0.01</w:t>
            </w:r>
          </w:p>
        </w:tc>
        <w:tc>
          <w:tcPr>
            <w:tcW w:w="715" w:type="pct"/>
            <w:vAlign w:val="center"/>
          </w:tcPr>
          <w:p w14:paraId="1044BFF7">
            <w:pPr>
              <w:pStyle w:val="12"/>
              <w:jc w:val="center"/>
              <w:rPr>
                <w:rFonts w:ascii="宋体" w:hAnsi="宋体"/>
              </w:rPr>
            </w:pPr>
            <w:r>
              <w:rPr>
                <w:rFonts w:hint="eastAsia" w:ascii="宋体" w:hAnsi="宋体"/>
              </w:rPr>
              <w:t>0.02</w:t>
            </w:r>
          </w:p>
        </w:tc>
        <w:tc>
          <w:tcPr>
            <w:tcW w:w="715" w:type="pct"/>
            <w:vAlign w:val="center"/>
          </w:tcPr>
          <w:p w14:paraId="5E01A224">
            <w:pPr>
              <w:pStyle w:val="12"/>
              <w:jc w:val="center"/>
              <w:rPr>
                <w:rFonts w:ascii="宋体" w:hAnsi="宋体"/>
              </w:rPr>
            </w:pPr>
            <w:r>
              <w:rPr>
                <w:rFonts w:hint="eastAsia" w:ascii="宋体" w:hAnsi="宋体"/>
              </w:rPr>
              <w:t>0.01</w:t>
            </w:r>
          </w:p>
        </w:tc>
        <w:tc>
          <w:tcPr>
            <w:tcW w:w="715" w:type="pct"/>
            <w:vAlign w:val="center"/>
          </w:tcPr>
          <w:p w14:paraId="16AE5064">
            <w:pPr>
              <w:pStyle w:val="12"/>
              <w:jc w:val="center"/>
              <w:rPr>
                <w:rFonts w:ascii="宋体" w:hAnsi="宋体"/>
              </w:rPr>
            </w:pPr>
            <w:r>
              <w:rPr>
                <w:rFonts w:hint="eastAsia" w:ascii="宋体" w:hAnsi="宋体"/>
              </w:rPr>
              <w:t>—</w:t>
            </w:r>
          </w:p>
        </w:tc>
      </w:tr>
      <w:tr w14:paraId="3ADA59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5B83423">
            <w:pPr>
              <w:pStyle w:val="12"/>
              <w:jc w:val="center"/>
              <w:rPr>
                <w:rFonts w:ascii="宋体" w:hAnsi="宋体"/>
              </w:rPr>
            </w:pPr>
            <w:r>
              <w:rPr>
                <w:rFonts w:hint="eastAsia" w:ascii="宋体" w:hAnsi="宋体"/>
              </w:rPr>
              <w:t>苍  石</w:t>
            </w:r>
          </w:p>
        </w:tc>
        <w:tc>
          <w:tcPr>
            <w:tcW w:w="714" w:type="pct"/>
            <w:vAlign w:val="center"/>
          </w:tcPr>
          <w:p w14:paraId="21A9E8E3">
            <w:pPr>
              <w:pStyle w:val="12"/>
              <w:jc w:val="center"/>
              <w:rPr>
                <w:rFonts w:ascii="宋体" w:hAnsi="宋体"/>
              </w:rPr>
            </w:pPr>
            <w:r>
              <w:rPr>
                <w:rFonts w:hint="eastAsia" w:ascii="宋体" w:hAnsi="宋体"/>
              </w:rPr>
              <w:t>大坪水</w:t>
            </w:r>
          </w:p>
        </w:tc>
        <w:tc>
          <w:tcPr>
            <w:tcW w:w="714" w:type="pct"/>
            <w:vAlign w:val="center"/>
          </w:tcPr>
          <w:p w14:paraId="7ED52950">
            <w:pPr>
              <w:pStyle w:val="12"/>
              <w:jc w:val="center"/>
              <w:rPr>
                <w:rFonts w:ascii="宋体" w:hAnsi="宋体"/>
              </w:rPr>
            </w:pPr>
            <w:r>
              <w:rPr>
                <w:rFonts w:hint="eastAsia" w:ascii="宋体" w:hAnsi="宋体"/>
              </w:rPr>
              <w:t>0.2</w:t>
            </w:r>
          </w:p>
        </w:tc>
        <w:tc>
          <w:tcPr>
            <w:tcW w:w="715" w:type="pct"/>
            <w:vAlign w:val="center"/>
          </w:tcPr>
          <w:p w14:paraId="3306F01F">
            <w:pPr>
              <w:pStyle w:val="12"/>
              <w:jc w:val="center"/>
              <w:rPr>
                <w:rFonts w:ascii="宋体" w:hAnsi="宋体"/>
              </w:rPr>
            </w:pPr>
            <w:r>
              <w:rPr>
                <w:rFonts w:hint="eastAsia" w:ascii="宋体" w:hAnsi="宋体"/>
              </w:rPr>
              <w:t>0.02</w:t>
            </w:r>
          </w:p>
        </w:tc>
        <w:tc>
          <w:tcPr>
            <w:tcW w:w="715" w:type="pct"/>
            <w:vAlign w:val="center"/>
          </w:tcPr>
          <w:p w14:paraId="285F74A2">
            <w:pPr>
              <w:pStyle w:val="12"/>
              <w:jc w:val="center"/>
              <w:rPr>
                <w:rFonts w:ascii="宋体" w:hAnsi="宋体"/>
              </w:rPr>
            </w:pPr>
            <w:r>
              <w:rPr>
                <w:rFonts w:hint="eastAsia" w:ascii="宋体" w:hAnsi="宋体"/>
              </w:rPr>
              <w:t>0.03</w:t>
            </w:r>
          </w:p>
        </w:tc>
        <w:tc>
          <w:tcPr>
            <w:tcW w:w="715" w:type="pct"/>
            <w:vAlign w:val="center"/>
          </w:tcPr>
          <w:p w14:paraId="471B056A">
            <w:pPr>
              <w:pStyle w:val="12"/>
              <w:jc w:val="center"/>
              <w:rPr>
                <w:rFonts w:ascii="宋体" w:hAnsi="宋体"/>
              </w:rPr>
            </w:pPr>
            <w:r>
              <w:rPr>
                <w:rFonts w:hint="eastAsia" w:ascii="宋体" w:hAnsi="宋体"/>
              </w:rPr>
              <w:t>0.02</w:t>
            </w:r>
          </w:p>
        </w:tc>
        <w:tc>
          <w:tcPr>
            <w:tcW w:w="715" w:type="pct"/>
            <w:vAlign w:val="center"/>
          </w:tcPr>
          <w:p w14:paraId="66D18326">
            <w:pPr>
              <w:pStyle w:val="12"/>
              <w:jc w:val="center"/>
              <w:rPr>
                <w:rFonts w:ascii="宋体" w:hAnsi="宋体"/>
              </w:rPr>
            </w:pPr>
            <w:r>
              <w:rPr>
                <w:rFonts w:hint="eastAsia" w:ascii="宋体" w:hAnsi="宋体"/>
              </w:rPr>
              <w:t>—</w:t>
            </w:r>
          </w:p>
        </w:tc>
      </w:tr>
      <w:tr w14:paraId="68BA85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F5B7B58">
            <w:pPr>
              <w:pStyle w:val="12"/>
              <w:jc w:val="center"/>
              <w:rPr>
                <w:rFonts w:ascii="宋体" w:hAnsi="宋体"/>
              </w:rPr>
            </w:pPr>
            <w:r>
              <w:rPr>
                <w:rFonts w:hint="eastAsia" w:ascii="宋体" w:hAnsi="宋体"/>
              </w:rPr>
              <w:t>界  址</w:t>
            </w:r>
          </w:p>
        </w:tc>
        <w:tc>
          <w:tcPr>
            <w:tcW w:w="714" w:type="pct"/>
            <w:vAlign w:val="center"/>
          </w:tcPr>
          <w:p w14:paraId="0687252A">
            <w:pPr>
              <w:pStyle w:val="12"/>
              <w:jc w:val="center"/>
              <w:rPr>
                <w:rFonts w:ascii="宋体" w:hAnsi="宋体"/>
              </w:rPr>
            </w:pPr>
            <w:r>
              <w:rPr>
                <w:rFonts w:hint="eastAsia" w:ascii="宋体" w:hAnsi="宋体"/>
              </w:rPr>
              <w:t>界址水</w:t>
            </w:r>
          </w:p>
        </w:tc>
        <w:tc>
          <w:tcPr>
            <w:tcW w:w="714" w:type="pct"/>
            <w:vAlign w:val="center"/>
          </w:tcPr>
          <w:p w14:paraId="6AF66CD4">
            <w:pPr>
              <w:pStyle w:val="12"/>
              <w:jc w:val="center"/>
              <w:rPr>
                <w:rFonts w:ascii="宋体" w:hAnsi="宋体"/>
              </w:rPr>
            </w:pPr>
            <w:r>
              <w:rPr>
                <w:rFonts w:hint="eastAsia" w:ascii="宋体" w:hAnsi="宋体"/>
              </w:rPr>
              <w:t>0.4</w:t>
            </w:r>
          </w:p>
        </w:tc>
        <w:tc>
          <w:tcPr>
            <w:tcW w:w="715" w:type="pct"/>
            <w:vAlign w:val="center"/>
          </w:tcPr>
          <w:p w14:paraId="3EAEFEE7">
            <w:pPr>
              <w:pStyle w:val="12"/>
              <w:jc w:val="center"/>
              <w:rPr>
                <w:rFonts w:ascii="宋体" w:hAnsi="宋体"/>
              </w:rPr>
            </w:pPr>
            <w:r>
              <w:rPr>
                <w:rFonts w:hint="eastAsia" w:ascii="宋体" w:hAnsi="宋体"/>
              </w:rPr>
              <w:t>0.01</w:t>
            </w:r>
          </w:p>
        </w:tc>
        <w:tc>
          <w:tcPr>
            <w:tcW w:w="715" w:type="pct"/>
            <w:vAlign w:val="center"/>
          </w:tcPr>
          <w:p w14:paraId="75C0CDE0">
            <w:pPr>
              <w:pStyle w:val="12"/>
              <w:jc w:val="center"/>
              <w:rPr>
                <w:rFonts w:ascii="宋体" w:hAnsi="宋体"/>
              </w:rPr>
            </w:pPr>
            <w:r>
              <w:rPr>
                <w:rFonts w:hint="eastAsia" w:ascii="宋体" w:hAnsi="宋体"/>
              </w:rPr>
              <w:t>0.02</w:t>
            </w:r>
          </w:p>
        </w:tc>
        <w:tc>
          <w:tcPr>
            <w:tcW w:w="715" w:type="pct"/>
            <w:vAlign w:val="center"/>
          </w:tcPr>
          <w:p w14:paraId="51974EA4">
            <w:pPr>
              <w:pStyle w:val="12"/>
              <w:jc w:val="center"/>
              <w:rPr>
                <w:rFonts w:ascii="宋体" w:hAnsi="宋体"/>
              </w:rPr>
            </w:pPr>
            <w:r>
              <w:rPr>
                <w:rFonts w:hint="eastAsia" w:ascii="宋体" w:hAnsi="宋体"/>
              </w:rPr>
              <w:t>0.01</w:t>
            </w:r>
          </w:p>
        </w:tc>
        <w:tc>
          <w:tcPr>
            <w:tcW w:w="715" w:type="pct"/>
            <w:vAlign w:val="center"/>
          </w:tcPr>
          <w:p w14:paraId="6C7D7969">
            <w:pPr>
              <w:pStyle w:val="12"/>
              <w:jc w:val="center"/>
              <w:rPr>
                <w:rFonts w:ascii="宋体" w:hAnsi="宋体"/>
              </w:rPr>
            </w:pPr>
            <w:r>
              <w:rPr>
                <w:rFonts w:hint="eastAsia" w:ascii="宋体" w:hAnsi="宋体"/>
              </w:rPr>
              <w:t>—</w:t>
            </w:r>
          </w:p>
        </w:tc>
      </w:tr>
      <w:tr w14:paraId="4EE2EB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59BF91F">
            <w:pPr>
              <w:pStyle w:val="12"/>
              <w:jc w:val="center"/>
              <w:rPr>
                <w:rFonts w:ascii="宋体" w:hAnsi="宋体"/>
              </w:rPr>
            </w:pPr>
            <w:r>
              <w:rPr>
                <w:rFonts w:hint="eastAsia" w:ascii="宋体" w:hAnsi="宋体"/>
              </w:rPr>
              <w:t>合  计</w:t>
            </w:r>
          </w:p>
        </w:tc>
        <w:tc>
          <w:tcPr>
            <w:tcW w:w="714" w:type="pct"/>
            <w:vAlign w:val="center"/>
          </w:tcPr>
          <w:p w14:paraId="464BED6C">
            <w:pPr>
              <w:pStyle w:val="12"/>
              <w:jc w:val="center"/>
              <w:rPr>
                <w:rFonts w:ascii="宋体" w:hAnsi="宋体"/>
              </w:rPr>
            </w:pPr>
            <w:r>
              <w:rPr>
                <w:rFonts w:hint="eastAsia" w:ascii="宋体" w:hAnsi="宋体"/>
              </w:rPr>
              <w:t>—</w:t>
            </w:r>
          </w:p>
        </w:tc>
        <w:tc>
          <w:tcPr>
            <w:tcW w:w="714" w:type="pct"/>
            <w:vAlign w:val="center"/>
          </w:tcPr>
          <w:p w14:paraId="09CBFD89">
            <w:pPr>
              <w:pStyle w:val="12"/>
              <w:jc w:val="center"/>
              <w:rPr>
                <w:rFonts w:ascii="宋体" w:hAnsi="宋体"/>
              </w:rPr>
            </w:pPr>
            <w:r>
              <w:rPr>
                <w:rFonts w:hint="eastAsia" w:ascii="宋体" w:hAnsi="宋体"/>
              </w:rPr>
              <w:t>81.46</w:t>
            </w:r>
          </w:p>
        </w:tc>
        <w:tc>
          <w:tcPr>
            <w:tcW w:w="715" w:type="pct"/>
            <w:vAlign w:val="center"/>
          </w:tcPr>
          <w:p w14:paraId="197AC824">
            <w:pPr>
              <w:pStyle w:val="12"/>
              <w:jc w:val="center"/>
              <w:rPr>
                <w:rFonts w:ascii="宋体" w:hAnsi="宋体"/>
              </w:rPr>
            </w:pPr>
            <w:r>
              <w:rPr>
                <w:rFonts w:hint="eastAsia" w:ascii="宋体" w:hAnsi="宋体"/>
              </w:rPr>
              <w:t>1.23</w:t>
            </w:r>
          </w:p>
        </w:tc>
        <w:tc>
          <w:tcPr>
            <w:tcW w:w="715" w:type="pct"/>
            <w:vAlign w:val="center"/>
          </w:tcPr>
          <w:p w14:paraId="0B3295F2">
            <w:pPr>
              <w:pStyle w:val="12"/>
              <w:jc w:val="center"/>
              <w:rPr>
                <w:rFonts w:ascii="宋体" w:hAnsi="宋体"/>
              </w:rPr>
            </w:pPr>
            <w:r>
              <w:rPr>
                <w:rFonts w:hint="eastAsia" w:ascii="宋体" w:hAnsi="宋体"/>
              </w:rPr>
              <w:t>3.83</w:t>
            </w:r>
          </w:p>
        </w:tc>
        <w:tc>
          <w:tcPr>
            <w:tcW w:w="715" w:type="pct"/>
            <w:vAlign w:val="center"/>
          </w:tcPr>
          <w:p w14:paraId="5100C42C">
            <w:pPr>
              <w:pStyle w:val="12"/>
              <w:jc w:val="center"/>
              <w:rPr>
                <w:rFonts w:ascii="宋体" w:hAnsi="宋体"/>
              </w:rPr>
            </w:pPr>
            <w:r>
              <w:rPr>
                <w:rFonts w:hint="eastAsia" w:ascii="宋体" w:hAnsi="宋体"/>
              </w:rPr>
              <w:t>1.09</w:t>
            </w:r>
          </w:p>
        </w:tc>
        <w:tc>
          <w:tcPr>
            <w:tcW w:w="715" w:type="pct"/>
            <w:vAlign w:val="center"/>
          </w:tcPr>
          <w:p w14:paraId="381AAF38">
            <w:pPr>
              <w:pStyle w:val="12"/>
              <w:jc w:val="center"/>
              <w:rPr>
                <w:rFonts w:ascii="宋体" w:hAnsi="宋体"/>
              </w:rPr>
            </w:pPr>
            <w:r>
              <w:rPr>
                <w:rFonts w:hint="eastAsia" w:ascii="宋体" w:hAnsi="宋体"/>
              </w:rPr>
              <w:t>—</w:t>
            </w:r>
          </w:p>
        </w:tc>
      </w:tr>
    </w:tbl>
    <w:p w14:paraId="5E654CC6">
      <w:pPr>
        <w:ind w:firstLine="422"/>
        <w:rPr>
          <w:rFonts w:ascii="宋体" w:hAnsi="宋体"/>
          <w:b/>
          <w:szCs w:val="21"/>
        </w:rPr>
      </w:pPr>
      <w:r>
        <w:rPr>
          <w:rFonts w:hint="eastAsia" w:ascii="宋体" w:hAnsi="宋体"/>
          <w:b/>
          <w:szCs w:val="21"/>
        </w:rPr>
        <w:t>附：凌江口改道碑记</w:t>
      </w:r>
    </w:p>
    <w:p w14:paraId="1CBB2608">
      <w:pPr>
        <w:ind w:firstLine="420"/>
        <w:rPr>
          <w:rFonts w:ascii="宋体" w:hAnsi="宋体"/>
          <w:szCs w:val="21"/>
        </w:rPr>
      </w:pPr>
      <w:r>
        <w:rPr>
          <w:rFonts w:hint="eastAsia" w:ascii="宋体" w:hAnsi="宋体"/>
          <w:szCs w:val="21"/>
        </w:rPr>
        <w:t>治水兴利，益农惠民，凌江改道，今之胜举。昔宋知县凌皓，伐石筑陂，灌田二千，民颂其德，因名凌江。江源北山，流丰河曲，洪水频仍，其出口与浈江汇于城南，两水相互顶托，常致雄城及水西、三枫等地水深数尺，泛滥田庐，群众久盼根除此患。适逢盛世，政通人和，市委、市政府急民所急，决定于凌江口河段裁弯取直，引流下泄。新河道上起田边水下迄三枫村，长一千八百米，宽一百零六米，投资二千五百万元。工程指挥部肩负重任，精心运筹，于一九九九年十二月三日破土动工，计搬土一百万立方米，砌石三点五万立方米，浇混凝土六千立方米，新建羊角大桥和三枫桥，二○○○年底工程告竣。此举欣得中国人民解放军总参谋部、广州空军司令部、广东省计委、财政厅、水利厅等上级军政机关鼎力支持。千秋工程，福泽一方。人民喜看长虹卧波，碧水驯流，既使数万亩农田和千百户百姓生命财产根除洪涝之害，又拓城区一点二平方公里，无不盛赞人民之伟力，改革开放之硕果，特刻碑为记。</w:t>
      </w:r>
    </w:p>
    <w:p w14:paraId="2909D77B">
      <w:pPr>
        <w:ind w:right="420" w:firstLine="420"/>
        <w:jc w:val="right"/>
        <w:rPr>
          <w:rFonts w:ascii="宋体" w:hAnsi="宋体"/>
          <w:szCs w:val="21"/>
        </w:rPr>
      </w:pPr>
      <w:r>
        <w:rPr>
          <w:rFonts w:hint="eastAsia" w:ascii="宋体" w:hAnsi="宋体"/>
          <w:szCs w:val="21"/>
        </w:rPr>
        <w:t>南雄市人民政府</w:t>
      </w:r>
    </w:p>
    <w:p w14:paraId="30DD3A55">
      <w:pPr>
        <w:ind w:firstLine="420"/>
        <w:jc w:val="right"/>
        <w:rPr>
          <w:rFonts w:ascii="宋体" w:hAnsi="宋体"/>
          <w:szCs w:val="21"/>
        </w:rPr>
      </w:pPr>
      <w:r>
        <w:rPr>
          <w:rFonts w:hint="eastAsia" w:ascii="宋体" w:hAnsi="宋体"/>
          <w:szCs w:val="21"/>
        </w:rPr>
        <w:t>公元二〇</w:t>
      </w:r>
      <w:r>
        <w:rPr>
          <w:rFonts w:ascii="宋体" w:hAnsi="宋体"/>
          <w:szCs w:val="21"/>
        </w:rPr>
        <w:t>〇一年元月立</w:t>
      </w:r>
    </w:p>
    <w:p w14:paraId="051BA2E7">
      <w:pPr>
        <w:ind w:firstLine="422"/>
        <w:rPr>
          <w:rFonts w:ascii="宋体" w:hAnsi="宋体"/>
          <w:b/>
          <w:szCs w:val="21"/>
        </w:rPr>
      </w:pPr>
      <w:r>
        <w:rPr>
          <w:rFonts w:hint="eastAsia" w:ascii="宋体" w:hAnsi="宋体"/>
          <w:b/>
          <w:szCs w:val="21"/>
        </w:rPr>
        <w:t>市区防洪河堤碑记</w:t>
      </w:r>
    </w:p>
    <w:p w14:paraId="40F70D75">
      <w:pPr>
        <w:ind w:firstLine="420"/>
        <w:rPr>
          <w:rFonts w:ascii="宋体" w:hAnsi="宋体"/>
          <w:szCs w:val="21"/>
        </w:rPr>
      </w:pPr>
      <w:r>
        <w:rPr>
          <w:rFonts w:hint="eastAsia" w:ascii="宋体" w:hAnsi="宋体"/>
          <w:szCs w:val="21"/>
        </w:rPr>
        <w:t>世纪之交，政通人和，百业兴旺。为整治洪涝灾害，国家投入巨资，以确保百姓安宁。我市抓住机遇，大展宏图，从一九九八年起至二</w:t>
      </w:r>
      <w:r>
        <w:rPr>
          <w:rFonts w:ascii="宋体" w:hAnsi="宋体"/>
          <w:szCs w:val="21"/>
        </w:rPr>
        <w:t>OO二年，历时四载，兴建城</w:t>
      </w:r>
      <w:r>
        <w:rPr>
          <w:rFonts w:hint="eastAsia" w:ascii="宋体" w:hAnsi="宋体"/>
          <w:szCs w:val="21"/>
        </w:rPr>
        <w:t>区防洪堤工程。</w:t>
      </w:r>
    </w:p>
    <w:p w14:paraId="4E78C396">
      <w:pPr>
        <w:ind w:firstLine="420"/>
        <w:rPr>
          <w:rFonts w:ascii="宋体" w:hAnsi="宋体"/>
          <w:szCs w:val="21"/>
        </w:rPr>
      </w:pPr>
      <w:r>
        <w:rPr>
          <w:rFonts w:hint="eastAsia" w:ascii="宋体" w:hAnsi="宋体"/>
          <w:szCs w:val="21"/>
        </w:rPr>
        <w:t>浈凌两江，源于五岭山脉，流经南雄境域，历史上水患频繁，百姓生产生活屡遭损失。一九九八年，市委、市政府作出整治两江重大决策，组建班子，精心策划，调集人马，扬威上阵。顷时，工地机声隆隆，人流穿梭，战天斗地，如火如</w:t>
      </w:r>
      <w:r>
        <w:rPr>
          <w:rFonts w:ascii="宋体" w:hAnsi="宋体"/>
          <w:szCs w:val="21"/>
        </w:rPr>
        <w:t>荼</w:t>
      </w:r>
      <w:r>
        <w:rPr>
          <w:rFonts w:hint="eastAsia" w:ascii="宋体" w:hAnsi="宋体"/>
          <w:szCs w:val="21"/>
        </w:rPr>
        <w:t>，工程快速进展。一九九八年至一九九九年完成水南村及沿江路河堤，一九九九年至二</w:t>
      </w:r>
      <w:r>
        <w:rPr>
          <w:rFonts w:ascii="宋体" w:hAnsi="宋体"/>
          <w:szCs w:val="21"/>
        </w:rPr>
        <w:t>OOO</w:t>
      </w:r>
      <w:r>
        <w:rPr>
          <w:rFonts w:hint="eastAsia" w:ascii="宋体" w:hAnsi="宋体"/>
          <w:szCs w:val="21"/>
        </w:rPr>
        <w:t>年完成凌江改道和羊角大桥工程，二○○</w:t>
      </w:r>
      <w:r>
        <w:rPr>
          <w:rFonts w:ascii="宋体" w:hAnsi="宋体"/>
          <w:szCs w:val="21"/>
        </w:rPr>
        <w:t>一年完成水西环岛河堤和三枫闸坝，二</w:t>
      </w:r>
      <w:r>
        <w:rPr>
          <w:rFonts w:hint="eastAsia" w:ascii="宋体" w:hAnsi="宋体"/>
          <w:szCs w:val="21"/>
        </w:rPr>
        <w:t>○○二年完成楠木、三枫及田边水村河堤。共计兴筑河堤二十七点八公里，新开凌江河道一点七六公里，疏浚河床十三点四公里，完成土方二百万立方米，石方三十一万立方米（其中浆砌石二十七万立方米），混凝土一万立方米，总投资八千六百万元。</w:t>
      </w:r>
    </w:p>
    <w:p w14:paraId="3F07D3DD">
      <w:pPr>
        <w:ind w:firstLine="420"/>
        <w:rPr>
          <w:rFonts w:ascii="宋体" w:hAnsi="宋体"/>
          <w:szCs w:val="21"/>
        </w:rPr>
      </w:pPr>
      <w:r>
        <w:rPr>
          <w:rFonts w:hint="eastAsia" w:ascii="宋体" w:hAnsi="宋体"/>
          <w:szCs w:val="21"/>
        </w:rPr>
        <w:t>修筑河堤，写下百代防洪业绩；驯服洪灾，绘就千秋治涝宏图。防洪堤建成后，城区防洪标准达到五十年一遇，消除了浈凌两江洪水顶托为患的祸害，使人民得以安居乐业，水西小岛得以开发，雄州古城面貌巨变。浈凌两江堤围水清，碧波荡漾，长堤蜿蜒，虹桥铁闸，高楼栉比，璎珞彩灯，水天一色，江中船只自在行，岸边车流竞如飞，绿树成荫，观两江胜景，望雄州新貌，心旷神怡，流连忘返，美不胜收。</w:t>
      </w:r>
    </w:p>
    <w:p w14:paraId="49D6DEBB">
      <w:pPr>
        <w:ind w:firstLine="420"/>
        <w:rPr>
          <w:rFonts w:ascii="宋体" w:hAnsi="宋体"/>
          <w:szCs w:val="21"/>
        </w:rPr>
      </w:pPr>
      <w:r>
        <w:rPr>
          <w:rFonts w:hint="eastAsia" w:ascii="宋体" w:hAnsi="宋体"/>
          <w:szCs w:val="21"/>
        </w:rPr>
        <w:t>建城区防洪堤，规模宏大，功在当代，利在千秋。这是国家重视水利建设的丰功伟绩。诸君睹景生情，定会更加爱我南雄，象浈江流水勇往直前，为南雄明天更美好而奋斗。为民造福，任重道远，勒石志之，以昭来者。</w:t>
      </w:r>
    </w:p>
    <w:p w14:paraId="5478470E">
      <w:pPr>
        <w:ind w:right="210" w:firstLine="420"/>
        <w:jc w:val="right"/>
        <w:rPr>
          <w:rFonts w:ascii="宋体" w:hAnsi="宋体"/>
          <w:szCs w:val="21"/>
        </w:rPr>
      </w:pPr>
      <w:r>
        <w:rPr>
          <w:rFonts w:hint="eastAsia" w:ascii="宋体" w:hAnsi="宋体"/>
          <w:szCs w:val="21"/>
        </w:rPr>
        <w:t>南雄市人民政府</w:t>
      </w:r>
    </w:p>
    <w:p w14:paraId="671A8ADF">
      <w:pPr>
        <w:ind w:firstLine="420"/>
        <w:jc w:val="right"/>
        <w:rPr>
          <w:rFonts w:ascii="宋体" w:hAnsi="宋体"/>
          <w:szCs w:val="21"/>
        </w:rPr>
      </w:pPr>
      <w:r>
        <w:rPr>
          <w:rFonts w:hint="eastAsia" w:ascii="宋体" w:hAnsi="宋体"/>
          <w:szCs w:val="21"/>
        </w:rPr>
        <w:t>二○○</w:t>
      </w:r>
      <w:r>
        <w:rPr>
          <w:rFonts w:ascii="宋体" w:hAnsi="宋体"/>
          <w:szCs w:val="21"/>
        </w:rPr>
        <w:t>二年十二月立</w:t>
      </w:r>
    </w:p>
    <w:p w14:paraId="61A8B256">
      <w:pPr>
        <w:pStyle w:val="5"/>
        <w:rPr>
          <w:rFonts w:ascii="宋体" w:hAnsi="宋体"/>
        </w:rPr>
      </w:pPr>
      <w:r>
        <w:rPr>
          <w:rFonts w:hint="eastAsia" w:ascii="宋体" w:hAnsi="宋体"/>
        </w:rPr>
        <w:t>三、食水工程</w:t>
      </w:r>
    </w:p>
    <w:p w14:paraId="1615C79A">
      <w:pPr>
        <w:ind w:firstLine="420"/>
        <w:rPr>
          <w:rFonts w:ascii="宋体" w:hAnsi="宋体"/>
          <w:szCs w:val="21"/>
        </w:rPr>
      </w:pPr>
      <w:r>
        <w:rPr>
          <w:rFonts w:hint="eastAsia" w:ascii="宋体" w:hAnsi="宋体"/>
          <w:szCs w:val="21"/>
        </w:rPr>
        <w:t>南雄县城的生活用水，</w:t>
      </w:r>
      <w:r>
        <w:rPr>
          <w:rFonts w:ascii="宋体" w:hAnsi="宋体"/>
          <w:szCs w:val="21"/>
        </w:rPr>
        <w:t>1969年前全靠井水。1969年6月始建自来水厂，储水量560立方米，日供水量2000立方米。1980年9月扩建自来水厂，日供水量增至5000</w:t>
      </w:r>
      <w:r>
        <w:rPr>
          <w:rFonts w:hint="eastAsia" w:ascii="宋体" w:hAnsi="宋体"/>
          <w:szCs w:val="21"/>
        </w:rPr>
        <w:t>立方米。</w:t>
      </w:r>
      <w:r>
        <w:rPr>
          <w:rFonts w:ascii="宋体" w:hAnsi="宋体"/>
          <w:szCs w:val="21"/>
        </w:rPr>
        <w:t>1981年11月，铺设地下水管，直径400毫米铸铁管15/2公里，1.5英寸～2.5英寸（3.8厘米～6.35厘米）镀锌管2.8公里。1982年11月，供水面达95%</w:t>
      </w:r>
      <w:r>
        <w:rPr>
          <w:rFonts w:hint="eastAsia" w:ascii="宋体" w:hAnsi="宋体"/>
          <w:szCs w:val="21"/>
        </w:rPr>
        <w:t>，城内</w:t>
      </w:r>
      <w:r>
        <w:rPr>
          <w:rFonts w:ascii="宋体" w:hAnsi="宋体"/>
          <w:szCs w:val="21"/>
        </w:rPr>
        <w:t>74条街巷37100人用上自来水。1986年日供水量增加到7000立方米。1986年7</w:t>
      </w:r>
      <w:r>
        <w:rPr>
          <w:rFonts w:hint="eastAsia" w:ascii="宋体" w:hAnsi="宋体"/>
          <w:szCs w:val="21"/>
        </w:rPr>
        <w:t>月在新城区新建一座引用瀑布水库水，日供水量为</w:t>
      </w:r>
      <w:r>
        <w:rPr>
          <w:rFonts w:ascii="宋体" w:hAnsi="宋体"/>
          <w:szCs w:val="21"/>
        </w:rPr>
        <w:t>2万立方米的自来水厂，于1988</w:t>
      </w:r>
      <w:r>
        <w:rPr>
          <w:rFonts w:hint="eastAsia" w:ascii="宋体" w:hAnsi="宋体"/>
          <w:szCs w:val="21"/>
        </w:rPr>
        <w:t>年</w:t>
      </w:r>
      <w:r>
        <w:rPr>
          <w:rFonts w:ascii="宋体" w:hAnsi="宋体"/>
          <w:szCs w:val="21"/>
        </w:rPr>
        <w:t>10月建成投产。供水水质比原来抽取</w:t>
      </w:r>
      <w:r>
        <w:rPr>
          <w:rFonts w:hint="eastAsia" w:ascii="宋体" w:hAnsi="宋体"/>
          <w:szCs w:val="21"/>
        </w:rPr>
        <w:t>浈</w:t>
      </w:r>
      <w:r>
        <w:rPr>
          <w:rFonts w:ascii="宋体" w:hAnsi="宋体"/>
          <w:szCs w:val="21"/>
        </w:rPr>
        <w:t>江河水的水质大为提高。至1992年完成了</w:t>
      </w:r>
      <w:r>
        <w:rPr>
          <w:rFonts w:hint="eastAsia" w:ascii="宋体" w:hAnsi="宋体"/>
          <w:szCs w:val="21"/>
        </w:rPr>
        <w:t>城区食水改建工程，供水网直径</w:t>
      </w:r>
      <w:r>
        <w:rPr>
          <w:rFonts w:ascii="宋体" w:hAnsi="宋体"/>
          <w:szCs w:val="21"/>
        </w:rPr>
        <w:t>75毫米～800毫米管道通达35公里，供水范围东至</w:t>
      </w:r>
      <w:r>
        <w:rPr>
          <w:rFonts w:hint="eastAsia" w:ascii="宋体" w:hAnsi="宋体"/>
          <w:szCs w:val="21"/>
        </w:rPr>
        <w:t>三岔路口，西至东厢铺成人中专学校，南至黎口，北至雄州郊区、连塘等村委会，共</w:t>
      </w:r>
      <w:r>
        <w:rPr>
          <w:rFonts w:ascii="宋体" w:hAnsi="宋体"/>
          <w:szCs w:val="21"/>
        </w:rPr>
        <w:t>12平方公里，年供水量550万立方米。</w:t>
      </w:r>
    </w:p>
    <w:p w14:paraId="1D7704FD">
      <w:pPr>
        <w:ind w:firstLine="420"/>
        <w:rPr>
          <w:rFonts w:ascii="宋体" w:hAnsi="宋体"/>
          <w:szCs w:val="21"/>
        </w:rPr>
      </w:pPr>
      <w:r>
        <w:rPr>
          <w:rFonts w:hint="eastAsia" w:ascii="宋体" w:hAnsi="宋体"/>
          <w:szCs w:val="21"/>
        </w:rPr>
        <w:t>从瀑布水库至自来水厂的引水渠道全长</w:t>
      </w:r>
      <w:r>
        <w:rPr>
          <w:rFonts w:ascii="宋体" w:hAnsi="宋体"/>
          <w:szCs w:val="21"/>
        </w:rPr>
        <w:t>12公里，原为农田灌溉用，渗漏大，易</w:t>
      </w:r>
      <w:r>
        <w:rPr>
          <w:rFonts w:hint="eastAsia" w:ascii="宋体" w:hAnsi="宋体"/>
          <w:szCs w:val="21"/>
        </w:rPr>
        <w:t>受人、畜、山洪等污染。为确保供水质量，于</w:t>
      </w:r>
      <w:r>
        <w:rPr>
          <w:rFonts w:ascii="宋体" w:hAnsi="宋体"/>
          <w:szCs w:val="21"/>
        </w:rPr>
        <w:t>1992年冬开始，对引水渠道实施防污</w:t>
      </w:r>
      <w:r>
        <w:rPr>
          <w:rFonts w:hint="eastAsia" w:ascii="宋体" w:hAnsi="宋体"/>
          <w:szCs w:val="21"/>
        </w:rPr>
        <w:t>防渗四面光改造工程，</w:t>
      </w:r>
      <w:r>
        <w:rPr>
          <w:rFonts w:ascii="宋体" w:hAnsi="宋体"/>
          <w:szCs w:val="21"/>
        </w:rPr>
        <w:t>1998年冬全面完成。</w:t>
      </w:r>
    </w:p>
    <w:p w14:paraId="0D54472D">
      <w:pPr>
        <w:ind w:firstLine="420"/>
        <w:rPr>
          <w:rFonts w:ascii="宋体" w:hAnsi="宋体"/>
          <w:szCs w:val="21"/>
        </w:rPr>
      </w:pPr>
      <w:r>
        <w:rPr>
          <w:rFonts w:hint="eastAsia" w:ascii="宋体" w:hAnsi="宋体"/>
          <w:szCs w:val="21"/>
        </w:rPr>
        <w:t>乡镇供水工程，自</w:t>
      </w:r>
      <w:r>
        <w:rPr>
          <w:rFonts w:ascii="宋体" w:hAnsi="宋体"/>
          <w:szCs w:val="21"/>
        </w:rPr>
        <w:t>1988年国务院批文，明确水利部门管理乡镇供水职责之后，</w:t>
      </w:r>
      <w:r>
        <w:rPr>
          <w:rFonts w:hint="eastAsia" w:ascii="宋体" w:hAnsi="宋体"/>
          <w:szCs w:val="21"/>
        </w:rPr>
        <w:t>南雄市水利局开始对全市乡镇供水工程进行调查、规划、设计工作。至</w:t>
      </w:r>
      <w:r>
        <w:rPr>
          <w:rFonts w:ascii="宋体" w:hAnsi="宋体"/>
          <w:szCs w:val="21"/>
        </w:rPr>
        <w:t>2002年，共</w:t>
      </w:r>
      <w:r>
        <w:rPr>
          <w:rFonts w:hint="eastAsia" w:ascii="宋体" w:hAnsi="宋体"/>
          <w:szCs w:val="21"/>
        </w:rPr>
        <w:t>有</w:t>
      </w:r>
      <w:r>
        <w:rPr>
          <w:rFonts w:ascii="宋体" w:hAnsi="宋体"/>
          <w:szCs w:val="21"/>
        </w:rPr>
        <w:t>17个镇建成自来水厂17宗，日供水能力76730立方米，受益人口102340人。共</w:t>
      </w:r>
      <w:r>
        <w:rPr>
          <w:rFonts w:hint="eastAsia" w:ascii="宋体" w:hAnsi="宋体"/>
          <w:szCs w:val="21"/>
        </w:rPr>
        <w:t>投资</w:t>
      </w:r>
      <w:r>
        <w:rPr>
          <w:rFonts w:ascii="宋体" w:hAnsi="宋体"/>
          <w:szCs w:val="21"/>
        </w:rPr>
        <w:t>3272.88万元，其中国家补助834.12万元，本市财政投入778.32万元，各镇自</w:t>
      </w:r>
      <w:r>
        <w:rPr>
          <w:rFonts w:hint="eastAsia" w:ascii="宋体" w:hAnsi="宋体"/>
          <w:szCs w:val="21"/>
        </w:rPr>
        <w:t>筹</w:t>
      </w:r>
      <w:r>
        <w:rPr>
          <w:rFonts w:ascii="宋体" w:hAnsi="宋体"/>
          <w:szCs w:val="21"/>
        </w:rPr>
        <w:t>702.14万元，银行贷款958.3万元。各镇所建供水工程状况见表2-29：</w:t>
      </w:r>
    </w:p>
    <w:p w14:paraId="7BE92D39">
      <w:pPr>
        <w:ind w:firstLine="0" w:firstLineChars="0"/>
        <w:jc w:val="center"/>
        <w:rPr>
          <w:rFonts w:ascii="宋体" w:hAnsi="宋体"/>
          <w:b/>
          <w:szCs w:val="21"/>
        </w:rPr>
      </w:pPr>
      <w:r>
        <w:rPr>
          <w:rFonts w:hint="eastAsia" w:ascii="宋体" w:hAnsi="宋体"/>
          <w:b/>
          <w:szCs w:val="21"/>
        </w:rPr>
        <w:t>南雄市</w:t>
      </w:r>
      <w:r>
        <w:rPr>
          <w:rFonts w:ascii="宋体" w:hAnsi="宋体"/>
          <w:b/>
          <w:szCs w:val="21"/>
        </w:rPr>
        <w:t>2002年乡镇供水工程一览</w:t>
      </w:r>
    </w:p>
    <w:p w14:paraId="4DA86EAA">
      <w:pPr>
        <w:ind w:firstLine="0" w:firstLineChars="0"/>
        <w:rPr>
          <w:rFonts w:ascii="宋体" w:hAnsi="宋体"/>
          <w:b/>
          <w:szCs w:val="21"/>
        </w:rPr>
      </w:pPr>
      <w:r>
        <w:rPr>
          <w:rFonts w:hint="eastAsia" w:ascii="宋体" w:hAnsi="宋体"/>
          <w:b/>
          <w:szCs w:val="21"/>
        </w:rPr>
        <w:t>表</w:t>
      </w:r>
      <w:r>
        <w:rPr>
          <w:rFonts w:ascii="宋体" w:hAnsi="宋体"/>
          <w:b/>
          <w:szCs w:val="21"/>
        </w:rPr>
        <w:t>2-29</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6"/>
        <w:gridCol w:w="875"/>
        <w:gridCol w:w="993"/>
        <w:gridCol w:w="849"/>
        <w:gridCol w:w="993"/>
        <w:gridCol w:w="919"/>
        <w:gridCol w:w="903"/>
        <w:gridCol w:w="919"/>
        <w:gridCol w:w="993"/>
        <w:gridCol w:w="1712"/>
      </w:tblGrid>
      <w:tr w14:paraId="778BB2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1" w:hRule="atLeast"/>
        </w:trPr>
        <w:tc>
          <w:tcPr>
            <w:tcW w:w="405" w:type="pct"/>
            <w:vMerge w:val="restart"/>
            <w:vAlign w:val="center"/>
          </w:tcPr>
          <w:p w14:paraId="654024EC">
            <w:pPr>
              <w:pStyle w:val="12"/>
              <w:jc w:val="center"/>
              <w:rPr>
                <w:rFonts w:ascii="宋体" w:hAnsi="宋体"/>
                <w:b/>
              </w:rPr>
            </w:pPr>
            <w:r>
              <w:rPr>
                <w:rFonts w:hint="eastAsia" w:ascii="宋体" w:hAnsi="宋体"/>
                <w:b/>
              </w:rPr>
              <w:t>水厂名称</w:t>
            </w:r>
          </w:p>
        </w:tc>
        <w:tc>
          <w:tcPr>
            <w:tcW w:w="439" w:type="pct"/>
            <w:vMerge w:val="restart"/>
            <w:vAlign w:val="center"/>
          </w:tcPr>
          <w:p w14:paraId="4387ABE2">
            <w:pPr>
              <w:pStyle w:val="12"/>
              <w:jc w:val="center"/>
              <w:rPr>
                <w:rFonts w:ascii="宋体" w:hAnsi="宋体"/>
                <w:b/>
              </w:rPr>
            </w:pPr>
            <w:r>
              <w:rPr>
                <w:rFonts w:hint="eastAsia" w:ascii="宋体" w:hAnsi="宋体"/>
                <w:b/>
              </w:rPr>
              <w:t>生产能力（万立方米）</w:t>
            </w:r>
          </w:p>
        </w:tc>
        <w:tc>
          <w:tcPr>
            <w:tcW w:w="498" w:type="pct"/>
            <w:vMerge w:val="restart"/>
            <w:vAlign w:val="center"/>
          </w:tcPr>
          <w:p w14:paraId="607B4CB6">
            <w:pPr>
              <w:pStyle w:val="12"/>
              <w:jc w:val="center"/>
              <w:rPr>
                <w:rFonts w:ascii="宋体" w:hAnsi="宋体"/>
                <w:b/>
              </w:rPr>
            </w:pPr>
            <w:r>
              <w:rPr>
                <w:rFonts w:hint="eastAsia" w:ascii="宋体" w:hAnsi="宋体"/>
                <w:b/>
              </w:rPr>
              <w:t>年供水总量（万立方米）</w:t>
            </w:r>
          </w:p>
        </w:tc>
        <w:tc>
          <w:tcPr>
            <w:tcW w:w="426" w:type="pct"/>
            <w:vMerge w:val="restart"/>
            <w:vAlign w:val="center"/>
          </w:tcPr>
          <w:p w14:paraId="3ABC65DF">
            <w:pPr>
              <w:pStyle w:val="12"/>
              <w:jc w:val="center"/>
              <w:rPr>
                <w:rFonts w:ascii="宋体" w:hAnsi="宋体"/>
                <w:b/>
              </w:rPr>
            </w:pPr>
            <w:r>
              <w:rPr>
                <w:rFonts w:hint="eastAsia" w:ascii="宋体" w:hAnsi="宋体"/>
                <w:b/>
              </w:rPr>
              <w:t>受益人口（万人）</w:t>
            </w:r>
          </w:p>
        </w:tc>
        <w:tc>
          <w:tcPr>
            <w:tcW w:w="2371" w:type="pct"/>
            <w:gridSpan w:val="5"/>
            <w:vAlign w:val="center"/>
          </w:tcPr>
          <w:p w14:paraId="6C448B94">
            <w:pPr>
              <w:pStyle w:val="12"/>
              <w:jc w:val="center"/>
              <w:rPr>
                <w:rFonts w:ascii="宋体" w:hAnsi="宋体"/>
                <w:b/>
              </w:rPr>
            </w:pPr>
            <w:r>
              <w:rPr>
                <w:rFonts w:hint="eastAsia" w:ascii="宋体" w:hAnsi="宋体"/>
                <w:b/>
              </w:rPr>
              <w:t>工程投资（万元）</w:t>
            </w:r>
          </w:p>
        </w:tc>
        <w:tc>
          <w:tcPr>
            <w:tcW w:w="859" w:type="pct"/>
            <w:vMerge w:val="restart"/>
            <w:vAlign w:val="center"/>
          </w:tcPr>
          <w:p w14:paraId="4F2DAE74">
            <w:pPr>
              <w:pStyle w:val="12"/>
              <w:jc w:val="center"/>
              <w:rPr>
                <w:rFonts w:ascii="宋体" w:hAnsi="宋体"/>
                <w:b/>
              </w:rPr>
            </w:pPr>
            <w:r>
              <w:rPr>
                <w:rFonts w:hint="eastAsia" w:ascii="宋体" w:hAnsi="宋体"/>
                <w:b/>
              </w:rPr>
              <w:t>备注</w:t>
            </w:r>
          </w:p>
        </w:tc>
      </w:tr>
      <w:tr w14:paraId="61E0F5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2" w:hRule="atLeast"/>
        </w:trPr>
        <w:tc>
          <w:tcPr>
            <w:tcW w:w="405" w:type="pct"/>
            <w:vMerge w:val="continue"/>
            <w:vAlign w:val="center"/>
          </w:tcPr>
          <w:p w14:paraId="18CE7F8B">
            <w:pPr>
              <w:pStyle w:val="12"/>
              <w:jc w:val="center"/>
              <w:rPr>
                <w:rFonts w:ascii="宋体" w:hAnsi="宋体"/>
              </w:rPr>
            </w:pPr>
          </w:p>
        </w:tc>
        <w:tc>
          <w:tcPr>
            <w:tcW w:w="439" w:type="pct"/>
            <w:vMerge w:val="continue"/>
            <w:vAlign w:val="center"/>
          </w:tcPr>
          <w:p w14:paraId="0CE1CBEA">
            <w:pPr>
              <w:pStyle w:val="12"/>
              <w:jc w:val="center"/>
              <w:rPr>
                <w:rFonts w:ascii="宋体" w:hAnsi="宋体"/>
              </w:rPr>
            </w:pPr>
          </w:p>
        </w:tc>
        <w:tc>
          <w:tcPr>
            <w:tcW w:w="498" w:type="pct"/>
            <w:vMerge w:val="continue"/>
            <w:vAlign w:val="center"/>
          </w:tcPr>
          <w:p w14:paraId="343517CF">
            <w:pPr>
              <w:pStyle w:val="12"/>
              <w:jc w:val="center"/>
              <w:rPr>
                <w:rFonts w:ascii="宋体" w:hAnsi="宋体"/>
              </w:rPr>
            </w:pPr>
          </w:p>
        </w:tc>
        <w:tc>
          <w:tcPr>
            <w:tcW w:w="426" w:type="pct"/>
            <w:vMerge w:val="continue"/>
            <w:vAlign w:val="center"/>
          </w:tcPr>
          <w:p w14:paraId="6EC1454D">
            <w:pPr>
              <w:pStyle w:val="12"/>
              <w:jc w:val="center"/>
              <w:rPr>
                <w:rFonts w:ascii="宋体" w:hAnsi="宋体"/>
              </w:rPr>
            </w:pPr>
          </w:p>
        </w:tc>
        <w:tc>
          <w:tcPr>
            <w:tcW w:w="498" w:type="pct"/>
            <w:vAlign w:val="center"/>
          </w:tcPr>
          <w:p w14:paraId="1950362D">
            <w:pPr>
              <w:pStyle w:val="12"/>
              <w:jc w:val="center"/>
              <w:rPr>
                <w:rFonts w:ascii="宋体" w:hAnsi="宋体"/>
                <w:b/>
              </w:rPr>
            </w:pPr>
            <w:r>
              <w:rPr>
                <w:rFonts w:hint="eastAsia" w:ascii="宋体" w:hAnsi="宋体"/>
                <w:b/>
              </w:rPr>
              <w:t>合计</w:t>
            </w:r>
          </w:p>
        </w:tc>
        <w:tc>
          <w:tcPr>
            <w:tcW w:w="461" w:type="pct"/>
            <w:vAlign w:val="center"/>
          </w:tcPr>
          <w:p w14:paraId="23808564">
            <w:pPr>
              <w:pStyle w:val="12"/>
              <w:jc w:val="center"/>
              <w:rPr>
                <w:rFonts w:ascii="宋体" w:hAnsi="宋体"/>
                <w:b/>
              </w:rPr>
            </w:pPr>
            <w:r>
              <w:rPr>
                <w:rFonts w:hint="eastAsia" w:ascii="宋体" w:hAnsi="宋体"/>
                <w:b/>
              </w:rPr>
              <w:t>国家</w:t>
            </w:r>
          </w:p>
          <w:p w14:paraId="40453B02">
            <w:pPr>
              <w:pStyle w:val="12"/>
              <w:jc w:val="center"/>
              <w:rPr>
                <w:rFonts w:ascii="宋体" w:hAnsi="宋体"/>
                <w:b/>
              </w:rPr>
            </w:pPr>
            <w:r>
              <w:rPr>
                <w:rFonts w:hint="eastAsia" w:ascii="宋体" w:hAnsi="宋体"/>
                <w:b/>
              </w:rPr>
              <w:t>补助</w:t>
            </w:r>
          </w:p>
        </w:tc>
        <w:tc>
          <w:tcPr>
            <w:tcW w:w="453" w:type="pct"/>
            <w:vAlign w:val="center"/>
          </w:tcPr>
          <w:p w14:paraId="58F40059">
            <w:pPr>
              <w:pStyle w:val="12"/>
              <w:jc w:val="center"/>
              <w:rPr>
                <w:rFonts w:ascii="宋体" w:hAnsi="宋体"/>
                <w:b/>
              </w:rPr>
            </w:pPr>
            <w:r>
              <w:rPr>
                <w:rFonts w:hint="eastAsia" w:ascii="宋体" w:hAnsi="宋体"/>
                <w:b/>
              </w:rPr>
              <w:t>本市</w:t>
            </w:r>
          </w:p>
          <w:p w14:paraId="0CE8E03D">
            <w:pPr>
              <w:pStyle w:val="12"/>
              <w:jc w:val="center"/>
              <w:rPr>
                <w:rFonts w:ascii="宋体" w:hAnsi="宋体"/>
                <w:b/>
              </w:rPr>
            </w:pPr>
            <w:r>
              <w:rPr>
                <w:rFonts w:hint="eastAsia" w:ascii="宋体" w:hAnsi="宋体"/>
                <w:b/>
              </w:rPr>
              <w:t>投资</w:t>
            </w:r>
          </w:p>
        </w:tc>
        <w:tc>
          <w:tcPr>
            <w:tcW w:w="461" w:type="pct"/>
            <w:vAlign w:val="center"/>
          </w:tcPr>
          <w:p w14:paraId="688CF5C4">
            <w:pPr>
              <w:pStyle w:val="12"/>
              <w:jc w:val="center"/>
              <w:rPr>
                <w:rFonts w:ascii="宋体" w:hAnsi="宋体"/>
                <w:b/>
              </w:rPr>
            </w:pPr>
            <w:r>
              <w:rPr>
                <w:rFonts w:hint="eastAsia" w:ascii="宋体" w:hAnsi="宋体"/>
                <w:b/>
              </w:rPr>
              <w:t>镇级</w:t>
            </w:r>
          </w:p>
          <w:p w14:paraId="2C332372">
            <w:pPr>
              <w:pStyle w:val="12"/>
              <w:jc w:val="center"/>
              <w:rPr>
                <w:rFonts w:ascii="宋体" w:hAnsi="宋体"/>
                <w:b/>
              </w:rPr>
            </w:pPr>
            <w:r>
              <w:rPr>
                <w:rFonts w:hint="eastAsia" w:ascii="宋体" w:hAnsi="宋体"/>
                <w:b/>
              </w:rPr>
              <w:t>自筹</w:t>
            </w:r>
          </w:p>
        </w:tc>
        <w:tc>
          <w:tcPr>
            <w:tcW w:w="498" w:type="pct"/>
            <w:vAlign w:val="center"/>
          </w:tcPr>
          <w:p w14:paraId="4D6F6727">
            <w:pPr>
              <w:pStyle w:val="12"/>
              <w:jc w:val="center"/>
              <w:rPr>
                <w:rFonts w:ascii="宋体" w:hAnsi="宋体"/>
                <w:b/>
              </w:rPr>
            </w:pPr>
            <w:r>
              <w:rPr>
                <w:rFonts w:hint="eastAsia" w:ascii="宋体" w:hAnsi="宋体"/>
                <w:b/>
              </w:rPr>
              <w:t>银行</w:t>
            </w:r>
          </w:p>
          <w:p w14:paraId="595CECBD">
            <w:pPr>
              <w:pStyle w:val="12"/>
              <w:jc w:val="center"/>
              <w:rPr>
                <w:rFonts w:ascii="宋体" w:hAnsi="宋体"/>
                <w:b/>
              </w:rPr>
            </w:pPr>
            <w:r>
              <w:rPr>
                <w:rFonts w:hint="eastAsia" w:ascii="宋体" w:hAnsi="宋体"/>
                <w:b/>
              </w:rPr>
              <w:t>贷款</w:t>
            </w:r>
          </w:p>
        </w:tc>
        <w:tc>
          <w:tcPr>
            <w:tcW w:w="859" w:type="pct"/>
            <w:vMerge w:val="continue"/>
            <w:vAlign w:val="center"/>
          </w:tcPr>
          <w:p w14:paraId="48BA45C9">
            <w:pPr>
              <w:pStyle w:val="12"/>
              <w:jc w:val="center"/>
              <w:rPr>
                <w:rFonts w:ascii="宋体" w:hAnsi="宋体"/>
              </w:rPr>
            </w:pPr>
          </w:p>
        </w:tc>
      </w:tr>
      <w:tr w14:paraId="4967EC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5" w:type="pct"/>
            <w:vAlign w:val="center"/>
          </w:tcPr>
          <w:p w14:paraId="5D9BF963">
            <w:pPr>
              <w:pStyle w:val="12"/>
              <w:jc w:val="center"/>
              <w:rPr>
                <w:rFonts w:ascii="宋体" w:hAnsi="宋体"/>
              </w:rPr>
            </w:pPr>
            <w:r>
              <w:rPr>
                <w:rFonts w:hint="eastAsia" w:ascii="宋体" w:hAnsi="宋体"/>
              </w:rPr>
              <w:t>合计</w:t>
            </w:r>
          </w:p>
        </w:tc>
        <w:tc>
          <w:tcPr>
            <w:tcW w:w="439" w:type="pct"/>
            <w:vAlign w:val="center"/>
          </w:tcPr>
          <w:p w14:paraId="39B72ACD">
            <w:pPr>
              <w:pStyle w:val="12"/>
              <w:jc w:val="center"/>
              <w:rPr>
                <w:rFonts w:ascii="宋体" w:hAnsi="宋体"/>
              </w:rPr>
            </w:pPr>
            <w:r>
              <w:rPr>
                <w:rFonts w:hint="eastAsia" w:ascii="宋体" w:hAnsi="宋体"/>
              </w:rPr>
              <w:t>7.673</w:t>
            </w:r>
          </w:p>
        </w:tc>
        <w:tc>
          <w:tcPr>
            <w:tcW w:w="498" w:type="pct"/>
            <w:vAlign w:val="center"/>
          </w:tcPr>
          <w:p w14:paraId="22285776">
            <w:pPr>
              <w:pStyle w:val="12"/>
              <w:jc w:val="center"/>
              <w:rPr>
                <w:rFonts w:ascii="宋体" w:hAnsi="宋体"/>
              </w:rPr>
            </w:pPr>
            <w:r>
              <w:rPr>
                <w:rFonts w:hint="eastAsia" w:ascii="宋体" w:hAnsi="宋体"/>
              </w:rPr>
              <w:t>2730.55</w:t>
            </w:r>
          </w:p>
        </w:tc>
        <w:tc>
          <w:tcPr>
            <w:tcW w:w="426" w:type="pct"/>
            <w:vAlign w:val="center"/>
          </w:tcPr>
          <w:p w14:paraId="57C28839">
            <w:pPr>
              <w:pStyle w:val="12"/>
              <w:jc w:val="center"/>
              <w:rPr>
                <w:rFonts w:ascii="宋体" w:hAnsi="宋体"/>
              </w:rPr>
            </w:pPr>
            <w:r>
              <w:rPr>
                <w:rFonts w:hint="eastAsia" w:ascii="宋体" w:hAnsi="宋体"/>
              </w:rPr>
              <w:t>8.274</w:t>
            </w:r>
          </w:p>
        </w:tc>
        <w:tc>
          <w:tcPr>
            <w:tcW w:w="498" w:type="pct"/>
            <w:vAlign w:val="center"/>
          </w:tcPr>
          <w:p w14:paraId="73457C6D">
            <w:pPr>
              <w:pStyle w:val="12"/>
              <w:jc w:val="center"/>
              <w:rPr>
                <w:rFonts w:ascii="宋体" w:hAnsi="宋体"/>
              </w:rPr>
            </w:pPr>
            <w:r>
              <w:rPr>
                <w:rFonts w:hint="eastAsia" w:ascii="宋体" w:hAnsi="宋体"/>
              </w:rPr>
              <w:t>3305.85</w:t>
            </w:r>
          </w:p>
        </w:tc>
        <w:tc>
          <w:tcPr>
            <w:tcW w:w="461" w:type="pct"/>
            <w:vAlign w:val="center"/>
          </w:tcPr>
          <w:p w14:paraId="6E326BB2">
            <w:pPr>
              <w:pStyle w:val="12"/>
              <w:jc w:val="center"/>
              <w:rPr>
                <w:rFonts w:ascii="宋体" w:hAnsi="宋体"/>
              </w:rPr>
            </w:pPr>
            <w:r>
              <w:rPr>
                <w:rFonts w:hint="eastAsia" w:ascii="宋体" w:hAnsi="宋体"/>
              </w:rPr>
              <w:t>864.12</w:t>
            </w:r>
          </w:p>
        </w:tc>
        <w:tc>
          <w:tcPr>
            <w:tcW w:w="453" w:type="pct"/>
            <w:vAlign w:val="center"/>
          </w:tcPr>
          <w:p w14:paraId="73AECE1D">
            <w:pPr>
              <w:pStyle w:val="12"/>
              <w:jc w:val="center"/>
              <w:rPr>
                <w:rFonts w:ascii="宋体" w:hAnsi="宋体"/>
              </w:rPr>
            </w:pPr>
            <w:r>
              <w:rPr>
                <w:rFonts w:hint="eastAsia" w:ascii="宋体" w:hAnsi="宋体"/>
              </w:rPr>
              <w:t>684.7</w:t>
            </w:r>
          </w:p>
        </w:tc>
        <w:tc>
          <w:tcPr>
            <w:tcW w:w="461" w:type="pct"/>
            <w:vAlign w:val="center"/>
          </w:tcPr>
          <w:p w14:paraId="444DFDAC">
            <w:pPr>
              <w:pStyle w:val="12"/>
              <w:jc w:val="center"/>
              <w:rPr>
                <w:rFonts w:ascii="宋体" w:hAnsi="宋体"/>
              </w:rPr>
            </w:pPr>
            <w:r>
              <w:rPr>
                <w:rFonts w:hint="eastAsia" w:ascii="宋体" w:hAnsi="宋体"/>
              </w:rPr>
              <w:t>677.54</w:t>
            </w:r>
          </w:p>
        </w:tc>
        <w:tc>
          <w:tcPr>
            <w:tcW w:w="498" w:type="pct"/>
            <w:vAlign w:val="center"/>
          </w:tcPr>
          <w:p w14:paraId="546BBB15">
            <w:pPr>
              <w:pStyle w:val="12"/>
              <w:jc w:val="center"/>
              <w:rPr>
                <w:rFonts w:ascii="宋体" w:hAnsi="宋体"/>
              </w:rPr>
            </w:pPr>
            <w:r>
              <w:rPr>
                <w:rFonts w:hint="eastAsia" w:ascii="宋体" w:hAnsi="宋体"/>
              </w:rPr>
              <w:t>1079.49</w:t>
            </w:r>
          </w:p>
        </w:tc>
        <w:tc>
          <w:tcPr>
            <w:tcW w:w="859" w:type="pct"/>
            <w:vAlign w:val="center"/>
          </w:tcPr>
          <w:p w14:paraId="1CB99B52">
            <w:pPr>
              <w:pStyle w:val="12"/>
              <w:jc w:val="center"/>
              <w:rPr>
                <w:rFonts w:ascii="宋体" w:hAnsi="宋体"/>
              </w:rPr>
            </w:pPr>
            <w:r>
              <w:rPr>
                <w:rFonts w:hint="eastAsia" w:ascii="宋体" w:hAnsi="宋体"/>
              </w:rPr>
              <w:t>—</w:t>
            </w:r>
          </w:p>
        </w:tc>
      </w:tr>
      <w:tr w14:paraId="72C02D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5" w:type="pct"/>
            <w:vAlign w:val="center"/>
          </w:tcPr>
          <w:p w14:paraId="0A382C30">
            <w:pPr>
              <w:pStyle w:val="12"/>
              <w:jc w:val="center"/>
              <w:rPr>
                <w:rFonts w:ascii="宋体" w:hAnsi="宋体"/>
              </w:rPr>
            </w:pPr>
            <w:r>
              <w:rPr>
                <w:rFonts w:hint="eastAsia" w:ascii="宋体" w:hAnsi="宋体"/>
              </w:rPr>
              <w:t>乌迳</w:t>
            </w:r>
          </w:p>
        </w:tc>
        <w:tc>
          <w:tcPr>
            <w:tcW w:w="439" w:type="pct"/>
            <w:vAlign w:val="center"/>
          </w:tcPr>
          <w:p w14:paraId="38A7897B">
            <w:pPr>
              <w:pStyle w:val="12"/>
              <w:jc w:val="center"/>
              <w:rPr>
                <w:rFonts w:ascii="宋体" w:hAnsi="宋体"/>
              </w:rPr>
            </w:pPr>
            <w:r>
              <w:rPr>
                <w:rFonts w:hint="eastAsia" w:ascii="宋体" w:hAnsi="宋体"/>
              </w:rPr>
              <w:t>0.95</w:t>
            </w:r>
          </w:p>
        </w:tc>
        <w:tc>
          <w:tcPr>
            <w:tcW w:w="498" w:type="pct"/>
            <w:vAlign w:val="center"/>
          </w:tcPr>
          <w:p w14:paraId="6980D67B">
            <w:pPr>
              <w:pStyle w:val="12"/>
              <w:jc w:val="center"/>
              <w:rPr>
                <w:rFonts w:ascii="宋体" w:hAnsi="宋体"/>
              </w:rPr>
            </w:pPr>
            <w:r>
              <w:rPr>
                <w:rFonts w:hint="eastAsia" w:ascii="宋体" w:hAnsi="宋体"/>
              </w:rPr>
              <w:t>347.3</w:t>
            </w:r>
          </w:p>
        </w:tc>
        <w:tc>
          <w:tcPr>
            <w:tcW w:w="426" w:type="pct"/>
            <w:vAlign w:val="center"/>
          </w:tcPr>
          <w:p w14:paraId="778744C9">
            <w:pPr>
              <w:pStyle w:val="12"/>
              <w:jc w:val="center"/>
              <w:rPr>
                <w:rFonts w:ascii="宋体" w:hAnsi="宋体"/>
              </w:rPr>
            </w:pPr>
            <w:r>
              <w:rPr>
                <w:rFonts w:hint="eastAsia" w:ascii="宋体" w:hAnsi="宋体"/>
              </w:rPr>
              <w:t>1.12</w:t>
            </w:r>
          </w:p>
        </w:tc>
        <w:tc>
          <w:tcPr>
            <w:tcW w:w="498" w:type="pct"/>
            <w:vAlign w:val="center"/>
          </w:tcPr>
          <w:p w14:paraId="04E4355B">
            <w:pPr>
              <w:pStyle w:val="12"/>
              <w:jc w:val="center"/>
              <w:rPr>
                <w:rFonts w:ascii="宋体" w:hAnsi="宋体"/>
              </w:rPr>
            </w:pPr>
            <w:r>
              <w:rPr>
                <w:rFonts w:hint="eastAsia" w:ascii="宋体" w:hAnsi="宋体"/>
              </w:rPr>
              <w:t>263.83</w:t>
            </w:r>
          </w:p>
        </w:tc>
        <w:tc>
          <w:tcPr>
            <w:tcW w:w="461" w:type="pct"/>
            <w:vAlign w:val="center"/>
          </w:tcPr>
          <w:p w14:paraId="14B8D99E">
            <w:pPr>
              <w:pStyle w:val="12"/>
              <w:jc w:val="center"/>
              <w:rPr>
                <w:rFonts w:ascii="宋体" w:hAnsi="宋体"/>
              </w:rPr>
            </w:pPr>
            <w:r>
              <w:rPr>
                <w:rFonts w:hint="eastAsia" w:ascii="宋体" w:hAnsi="宋体"/>
              </w:rPr>
              <w:t>30</w:t>
            </w:r>
          </w:p>
        </w:tc>
        <w:tc>
          <w:tcPr>
            <w:tcW w:w="453" w:type="pct"/>
            <w:vAlign w:val="center"/>
          </w:tcPr>
          <w:p w14:paraId="50C19A3C">
            <w:pPr>
              <w:pStyle w:val="12"/>
              <w:jc w:val="center"/>
              <w:rPr>
                <w:rFonts w:ascii="宋体" w:hAnsi="宋体"/>
              </w:rPr>
            </w:pPr>
            <w:r>
              <w:rPr>
                <w:rFonts w:hint="eastAsia" w:ascii="宋体" w:hAnsi="宋体"/>
              </w:rPr>
              <w:t>87.94</w:t>
            </w:r>
          </w:p>
        </w:tc>
        <w:tc>
          <w:tcPr>
            <w:tcW w:w="461" w:type="pct"/>
            <w:vAlign w:val="center"/>
          </w:tcPr>
          <w:p w14:paraId="699103CB">
            <w:pPr>
              <w:pStyle w:val="12"/>
              <w:jc w:val="center"/>
              <w:rPr>
                <w:rFonts w:ascii="宋体" w:hAnsi="宋体"/>
              </w:rPr>
            </w:pPr>
            <w:r>
              <w:rPr>
                <w:rFonts w:hint="eastAsia" w:ascii="宋体" w:hAnsi="宋体"/>
              </w:rPr>
              <w:t>65.89</w:t>
            </w:r>
          </w:p>
        </w:tc>
        <w:tc>
          <w:tcPr>
            <w:tcW w:w="498" w:type="pct"/>
            <w:vAlign w:val="center"/>
          </w:tcPr>
          <w:p w14:paraId="5FDF0DA0">
            <w:pPr>
              <w:pStyle w:val="12"/>
              <w:jc w:val="center"/>
              <w:rPr>
                <w:rFonts w:ascii="宋体" w:hAnsi="宋体"/>
              </w:rPr>
            </w:pPr>
            <w:r>
              <w:rPr>
                <w:rFonts w:hint="eastAsia" w:ascii="宋体" w:hAnsi="宋体"/>
              </w:rPr>
              <w:t>80</w:t>
            </w:r>
          </w:p>
        </w:tc>
        <w:tc>
          <w:tcPr>
            <w:tcW w:w="859" w:type="pct"/>
            <w:vAlign w:val="center"/>
          </w:tcPr>
          <w:p w14:paraId="08388C64">
            <w:pPr>
              <w:pStyle w:val="12"/>
              <w:jc w:val="center"/>
              <w:rPr>
                <w:rFonts w:ascii="宋体" w:hAnsi="宋体"/>
              </w:rPr>
            </w:pPr>
            <w:r>
              <w:rPr>
                <w:rFonts w:hint="eastAsia" w:ascii="宋体" w:hAnsi="宋体"/>
              </w:rPr>
              <w:t>2001年</w:t>
            </w:r>
          </w:p>
        </w:tc>
      </w:tr>
      <w:tr w14:paraId="4B4CC6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5" w:type="pct"/>
            <w:vAlign w:val="center"/>
          </w:tcPr>
          <w:p w14:paraId="346FC4FB">
            <w:pPr>
              <w:pStyle w:val="12"/>
              <w:jc w:val="center"/>
              <w:rPr>
                <w:rFonts w:ascii="宋体" w:hAnsi="宋体"/>
              </w:rPr>
            </w:pPr>
            <w:r>
              <w:rPr>
                <w:rFonts w:hint="eastAsia" w:ascii="宋体" w:hAnsi="宋体"/>
              </w:rPr>
              <w:t>邓坊</w:t>
            </w:r>
          </w:p>
        </w:tc>
        <w:tc>
          <w:tcPr>
            <w:tcW w:w="439" w:type="pct"/>
            <w:vAlign w:val="center"/>
          </w:tcPr>
          <w:p w14:paraId="6258835E">
            <w:pPr>
              <w:pStyle w:val="12"/>
              <w:jc w:val="center"/>
              <w:rPr>
                <w:rFonts w:ascii="宋体" w:hAnsi="宋体"/>
              </w:rPr>
            </w:pPr>
            <w:r>
              <w:rPr>
                <w:rFonts w:hint="eastAsia" w:ascii="宋体" w:hAnsi="宋体"/>
              </w:rPr>
              <w:t>0.64</w:t>
            </w:r>
          </w:p>
        </w:tc>
        <w:tc>
          <w:tcPr>
            <w:tcW w:w="498" w:type="pct"/>
            <w:vAlign w:val="center"/>
          </w:tcPr>
          <w:p w14:paraId="72B9AD68">
            <w:pPr>
              <w:pStyle w:val="12"/>
              <w:jc w:val="center"/>
              <w:rPr>
                <w:rFonts w:ascii="宋体" w:hAnsi="宋体"/>
              </w:rPr>
            </w:pPr>
            <w:r>
              <w:rPr>
                <w:rFonts w:hint="eastAsia" w:ascii="宋体" w:hAnsi="宋体"/>
              </w:rPr>
              <w:t>233.6</w:t>
            </w:r>
          </w:p>
        </w:tc>
        <w:tc>
          <w:tcPr>
            <w:tcW w:w="426" w:type="pct"/>
            <w:vAlign w:val="center"/>
          </w:tcPr>
          <w:p w14:paraId="3CA16F72">
            <w:pPr>
              <w:pStyle w:val="12"/>
              <w:jc w:val="center"/>
              <w:rPr>
                <w:rFonts w:ascii="宋体" w:hAnsi="宋体"/>
              </w:rPr>
            </w:pPr>
            <w:r>
              <w:rPr>
                <w:rFonts w:hint="eastAsia" w:ascii="宋体" w:hAnsi="宋体"/>
              </w:rPr>
              <w:t>0.674</w:t>
            </w:r>
          </w:p>
        </w:tc>
        <w:tc>
          <w:tcPr>
            <w:tcW w:w="498" w:type="pct"/>
            <w:vAlign w:val="center"/>
          </w:tcPr>
          <w:p w14:paraId="2DB47135">
            <w:pPr>
              <w:pStyle w:val="12"/>
              <w:jc w:val="center"/>
              <w:rPr>
                <w:rFonts w:ascii="宋体" w:hAnsi="宋体"/>
              </w:rPr>
            </w:pPr>
            <w:r>
              <w:rPr>
                <w:rFonts w:hint="eastAsia" w:ascii="宋体" w:hAnsi="宋体"/>
              </w:rPr>
              <w:t>100.52</w:t>
            </w:r>
          </w:p>
        </w:tc>
        <w:tc>
          <w:tcPr>
            <w:tcW w:w="461" w:type="pct"/>
            <w:vAlign w:val="center"/>
          </w:tcPr>
          <w:p w14:paraId="571B2263">
            <w:pPr>
              <w:pStyle w:val="12"/>
              <w:jc w:val="center"/>
              <w:rPr>
                <w:rFonts w:ascii="宋体" w:hAnsi="宋体"/>
              </w:rPr>
            </w:pPr>
            <w:r>
              <w:rPr>
                <w:rFonts w:hint="eastAsia" w:ascii="宋体" w:hAnsi="宋体"/>
              </w:rPr>
              <w:t>40.52</w:t>
            </w:r>
          </w:p>
        </w:tc>
        <w:tc>
          <w:tcPr>
            <w:tcW w:w="453" w:type="pct"/>
            <w:vAlign w:val="center"/>
          </w:tcPr>
          <w:p w14:paraId="6B976FA4">
            <w:pPr>
              <w:pStyle w:val="12"/>
              <w:jc w:val="center"/>
              <w:rPr>
                <w:rFonts w:ascii="宋体" w:hAnsi="宋体"/>
              </w:rPr>
            </w:pPr>
            <w:r>
              <w:rPr>
                <w:rFonts w:hint="eastAsia" w:ascii="宋体" w:hAnsi="宋体"/>
              </w:rPr>
              <w:t>40</w:t>
            </w:r>
          </w:p>
        </w:tc>
        <w:tc>
          <w:tcPr>
            <w:tcW w:w="461" w:type="pct"/>
            <w:vAlign w:val="center"/>
          </w:tcPr>
          <w:p w14:paraId="186251E1">
            <w:pPr>
              <w:pStyle w:val="12"/>
              <w:jc w:val="center"/>
              <w:rPr>
                <w:rFonts w:ascii="宋体" w:hAnsi="宋体"/>
              </w:rPr>
            </w:pPr>
            <w:r>
              <w:rPr>
                <w:rFonts w:hint="eastAsia" w:ascii="宋体" w:hAnsi="宋体"/>
              </w:rPr>
              <w:t>20</w:t>
            </w:r>
          </w:p>
        </w:tc>
        <w:tc>
          <w:tcPr>
            <w:tcW w:w="498" w:type="pct"/>
            <w:vAlign w:val="center"/>
          </w:tcPr>
          <w:p w14:paraId="64C056D3">
            <w:pPr>
              <w:pStyle w:val="12"/>
              <w:jc w:val="center"/>
              <w:rPr>
                <w:rFonts w:ascii="宋体" w:hAnsi="宋体"/>
              </w:rPr>
            </w:pPr>
            <w:r>
              <w:rPr>
                <w:rFonts w:hint="eastAsia" w:ascii="宋体" w:hAnsi="宋体"/>
              </w:rPr>
              <w:t>—</w:t>
            </w:r>
          </w:p>
        </w:tc>
        <w:tc>
          <w:tcPr>
            <w:tcW w:w="859" w:type="pct"/>
            <w:vAlign w:val="center"/>
          </w:tcPr>
          <w:p w14:paraId="20D11DA6">
            <w:pPr>
              <w:pStyle w:val="12"/>
              <w:jc w:val="center"/>
              <w:rPr>
                <w:rFonts w:ascii="宋体" w:hAnsi="宋体"/>
              </w:rPr>
            </w:pPr>
            <w:r>
              <w:rPr>
                <w:rFonts w:hint="eastAsia" w:ascii="宋体" w:hAnsi="宋体"/>
              </w:rPr>
              <w:t>一期2000年</w:t>
            </w:r>
          </w:p>
        </w:tc>
      </w:tr>
      <w:tr w14:paraId="643EBE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5" w:type="pct"/>
            <w:vAlign w:val="center"/>
          </w:tcPr>
          <w:p w14:paraId="76CD32E1">
            <w:pPr>
              <w:pStyle w:val="12"/>
              <w:jc w:val="center"/>
              <w:rPr>
                <w:rFonts w:ascii="宋体" w:hAnsi="宋体"/>
              </w:rPr>
            </w:pPr>
            <w:r>
              <w:rPr>
                <w:rFonts w:hint="eastAsia" w:ascii="宋体" w:hAnsi="宋体"/>
              </w:rPr>
              <w:t>江头</w:t>
            </w:r>
          </w:p>
        </w:tc>
        <w:tc>
          <w:tcPr>
            <w:tcW w:w="439" w:type="pct"/>
            <w:vAlign w:val="center"/>
          </w:tcPr>
          <w:p w14:paraId="002FB39D">
            <w:pPr>
              <w:pStyle w:val="12"/>
              <w:jc w:val="center"/>
              <w:rPr>
                <w:rFonts w:ascii="宋体" w:hAnsi="宋体"/>
              </w:rPr>
            </w:pPr>
            <w:r>
              <w:rPr>
                <w:rFonts w:hint="eastAsia" w:ascii="宋体" w:hAnsi="宋体"/>
              </w:rPr>
              <w:t>0.092</w:t>
            </w:r>
          </w:p>
        </w:tc>
        <w:tc>
          <w:tcPr>
            <w:tcW w:w="498" w:type="pct"/>
            <w:vAlign w:val="center"/>
          </w:tcPr>
          <w:p w14:paraId="4CE9E8AC">
            <w:pPr>
              <w:pStyle w:val="12"/>
              <w:jc w:val="center"/>
              <w:rPr>
                <w:rFonts w:ascii="宋体" w:hAnsi="宋体"/>
              </w:rPr>
            </w:pPr>
            <w:r>
              <w:rPr>
                <w:rFonts w:hint="eastAsia" w:ascii="宋体" w:hAnsi="宋体"/>
              </w:rPr>
              <w:t>4</w:t>
            </w:r>
          </w:p>
        </w:tc>
        <w:tc>
          <w:tcPr>
            <w:tcW w:w="426" w:type="pct"/>
            <w:vAlign w:val="center"/>
          </w:tcPr>
          <w:p w14:paraId="34DFA156">
            <w:pPr>
              <w:pStyle w:val="12"/>
              <w:jc w:val="center"/>
              <w:rPr>
                <w:rFonts w:ascii="宋体" w:hAnsi="宋体"/>
              </w:rPr>
            </w:pPr>
            <w:r>
              <w:rPr>
                <w:rFonts w:hint="eastAsia" w:ascii="宋体" w:hAnsi="宋体"/>
              </w:rPr>
              <w:t>0.3</w:t>
            </w:r>
          </w:p>
        </w:tc>
        <w:tc>
          <w:tcPr>
            <w:tcW w:w="498" w:type="pct"/>
            <w:vAlign w:val="center"/>
          </w:tcPr>
          <w:p w14:paraId="1FD10DED">
            <w:pPr>
              <w:pStyle w:val="12"/>
              <w:jc w:val="center"/>
              <w:rPr>
                <w:rFonts w:ascii="宋体" w:hAnsi="宋体"/>
              </w:rPr>
            </w:pPr>
            <w:r>
              <w:rPr>
                <w:rFonts w:hint="eastAsia" w:ascii="宋体" w:hAnsi="宋体"/>
              </w:rPr>
              <w:t>62.64</w:t>
            </w:r>
          </w:p>
        </w:tc>
        <w:tc>
          <w:tcPr>
            <w:tcW w:w="461" w:type="pct"/>
            <w:vAlign w:val="center"/>
          </w:tcPr>
          <w:p w14:paraId="39F0FD9D">
            <w:pPr>
              <w:pStyle w:val="12"/>
              <w:jc w:val="center"/>
              <w:rPr>
                <w:rFonts w:ascii="宋体" w:hAnsi="宋体"/>
              </w:rPr>
            </w:pPr>
            <w:r>
              <w:rPr>
                <w:rFonts w:hint="eastAsia" w:ascii="宋体" w:hAnsi="宋体"/>
              </w:rPr>
              <w:t>15</w:t>
            </w:r>
          </w:p>
        </w:tc>
        <w:tc>
          <w:tcPr>
            <w:tcW w:w="453" w:type="pct"/>
            <w:vAlign w:val="center"/>
          </w:tcPr>
          <w:p w14:paraId="5C66F2FB">
            <w:pPr>
              <w:pStyle w:val="12"/>
              <w:jc w:val="center"/>
              <w:rPr>
                <w:rFonts w:ascii="宋体" w:hAnsi="宋体"/>
              </w:rPr>
            </w:pPr>
            <w:r>
              <w:rPr>
                <w:rFonts w:hint="eastAsia" w:ascii="宋体" w:hAnsi="宋体"/>
              </w:rPr>
              <w:t>32.64</w:t>
            </w:r>
          </w:p>
        </w:tc>
        <w:tc>
          <w:tcPr>
            <w:tcW w:w="461" w:type="pct"/>
            <w:vAlign w:val="center"/>
          </w:tcPr>
          <w:p w14:paraId="6C2B9C5B">
            <w:pPr>
              <w:pStyle w:val="12"/>
              <w:jc w:val="center"/>
              <w:rPr>
                <w:rFonts w:ascii="宋体" w:hAnsi="宋体"/>
              </w:rPr>
            </w:pPr>
            <w:r>
              <w:rPr>
                <w:rFonts w:hint="eastAsia" w:ascii="宋体" w:hAnsi="宋体"/>
              </w:rPr>
              <w:t>15</w:t>
            </w:r>
          </w:p>
        </w:tc>
        <w:tc>
          <w:tcPr>
            <w:tcW w:w="498" w:type="pct"/>
            <w:vAlign w:val="center"/>
          </w:tcPr>
          <w:p w14:paraId="446901E5">
            <w:pPr>
              <w:pStyle w:val="12"/>
              <w:jc w:val="center"/>
              <w:rPr>
                <w:rFonts w:ascii="宋体" w:hAnsi="宋体"/>
              </w:rPr>
            </w:pPr>
            <w:r>
              <w:rPr>
                <w:rFonts w:hint="eastAsia" w:ascii="宋体" w:hAnsi="宋体"/>
              </w:rPr>
              <w:t>—</w:t>
            </w:r>
          </w:p>
        </w:tc>
        <w:tc>
          <w:tcPr>
            <w:tcW w:w="859" w:type="pct"/>
            <w:vAlign w:val="center"/>
          </w:tcPr>
          <w:p w14:paraId="5DCE74D9">
            <w:pPr>
              <w:pStyle w:val="12"/>
              <w:jc w:val="center"/>
              <w:rPr>
                <w:rFonts w:ascii="宋体" w:hAnsi="宋体"/>
              </w:rPr>
            </w:pPr>
            <w:r>
              <w:rPr>
                <w:rFonts w:hint="eastAsia" w:ascii="宋体" w:hAnsi="宋体"/>
              </w:rPr>
              <w:t>—</w:t>
            </w:r>
          </w:p>
        </w:tc>
      </w:tr>
      <w:tr w14:paraId="12A5DD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5" w:type="pct"/>
            <w:vAlign w:val="center"/>
          </w:tcPr>
          <w:p w14:paraId="657D8B82">
            <w:pPr>
              <w:pStyle w:val="12"/>
              <w:jc w:val="center"/>
              <w:rPr>
                <w:rFonts w:ascii="宋体" w:hAnsi="宋体"/>
              </w:rPr>
            </w:pPr>
            <w:r>
              <w:rPr>
                <w:rFonts w:hint="eastAsia" w:ascii="宋体" w:hAnsi="宋体"/>
              </w:rPr>
              <w:t>南亩</w:t>
            </w:r>
          </w:p>
        </w:tc>
        <w:tc>
          <w:tcPr>
            <w:tcW w:w="439" w:type="pct"/>
            <w:vAlign w:val="center"/>
          </w:tcPr>
          <w:p w14:paraId="1639E200">
            <w:pPr>
              <w:pStyle w:val="12"/>
              <w:jc w:val="center"/>
              <w:rPr>
                <w:rFonts w:ascii="宋体" w:hAnsi="宋体"/>
              </w:rPr>
            </w:pPr>
            <w:r>
              <w:rPr>
                <w:rFonts w:hint="eastAsia" w:ascii="宋体" w:hAnsi="宋体"/>
              </w:rPr>
              <w:t>0.47</w:t>
            </w:r>
          </w:p>
        </w:tc>
        <w:tc>
          <w:tcPr>
            <w:tcW w:w="498" w:type="pct"/>
            <w:vAlign w:val="center"/>
          </w:tcPr>
          <w:p w14:paraId="60E16A2E">
            <w:pPr>
              <w:pStyle w:val="12"/>
              <w:jc w:val="center"/>
              <w:rPr>
                <w:rFonts w:ascii="宋体" w:hAnsi="宋体"/>
              </w:rPr>
            </w:pPr>
            <w:r>
              <w:rPr>
                <w:rFonts w:hint="eastAsia" w:ascii="宋体" w:hAnsi="宋体"/>
              </w:rPr>
              <w:t>171.6</w:t>
            </w:r>
          </w:p>
        </w:tc>
        <w:tc>
          <w:tcPr>
            <w:tcW w:w="426" w:type="pct"/>
            <w:vAlign w:val="center"/>
          </w:tcPr>
          <w:p w14:paraId="39880E1A">
            <w:pPr>
              <w:pStyle w:val="12"/>
              <w:jc w:val="center"/>
              <w:rPr>
                <w:rFonts w:ascii="宋体" w:hAnsi="宋体"/>
              </w:rPr>
            </w:pPr>
            <w:r>
              <w:rPr>
                <w:rFonts w:hint="eastAsia" w:ascii="宋体" w:hAnsi="宋体"/>
              </w:rPr>
              <w:t>0.41</w:t>
            </w:r>
          </w:p>
        </w:tc>
        <w:tc>
          <w:tcPr>
            <w:tcW w:w="498" w:type="pct"/>
            <w:vAlign w:val="center"/>
          </w:tcPr>
          <w:p w14:paraId="29AFF1DB">
            <w:pPr>
              <w:pStyle w:val="12"/>
              <w:jc w:val="center"/>
              <w:rPr>
                <w:rFonts w:ascii="宋体" w:hAnsi="宋体"/>
              </w:rPr>
            </w:pPr>
            <w:r>
              <w:rPr>
                <w:rFonts w:hint="eastAsia" w:ascii="宋体" w:hAnsi="宋体"/>
              </w:rPr>
              <w:t>134.4</w:t>
            </w:r>
          </w:p>
        </w:tc>
        <w:tc>
          <w:tcPr>
            <w:tcW w:w="461" w:type="pct"/>
            <w:vAlign w:val="center"/>
          </w:tcPr>
          <w:p w14:paraId="467A960D">
            <w:pPr>
              <w:pStyle w:val="12"/>
              <w:jc w:val="center"/>
              <w:rPr>
                <w:rFonts w:ascii="宋体" w:hAnsi="宋体"/>
              </w:rPr>
            </w:pPr>
            <w:r>
              <w:rPr>
                <w:rFonts w:hint="eastAsia" w:ascii="宋体" w:hAnsi="宋体"/>
              </w:rPr>
              <w:t>15</w:t>
            </w:r>
          </w:p>
        </w:tc>
        <w:tc>
          <w:tcPr>
            <w:tcW w:w="453" w:type="pct"/>
            <w:vAlign w:val="center"/>
          </w:tcPr>
          <w:p w14:paraId="4C702D8D">
            <w:pPr>
              <w:pStyle w:val="12"/>
              <w:jc w:val="center"/>
              <w:rPr>
                <w:rFonts w:ascii="宋体" w:hAnsi="宋体"/>
              </w:rPr>
            </w:pPr>
            <w:r>
              <w:rPr>
                <w:rFonts w:hint="eastAsia" w:ascii="宋体" w:hAnsi="宋体"/>
              </w:rPr>
              <w:t>44.8</w:t>
            </w:r>
          </w:p>
        </w:tc>
        <w:tc>
          <w:tcPr>
            <w:tcW w:w="461" w:type="pct"/>
            <w:vAlign w:val="center"/>
          </w:tcPr>
          <w:p w14:paraId="3B726A08">
            <w:pPr>
              <w:pStyle w:val="12"/>
              <w:jc w:val="center"/>
              <w:rPr>
                <w:rFonts w:ascii="宋体" w:hAnsi="宋体"/>
              </w:rPr>
            </w:pPr>
            <w:r>
              <w:rPr>
                <w:rFonts w:hint="eastAsia" w:ascii="宋体" w:hAnsi="宋体"/>
              </w:rPr>
              <w:t>44.6</w:t>
            </w:r>
          </w:p>
        </w:tc>
        <w:tc>
          <w:tcPr>
            <w:tcW w:w="498" w:type="pct"/>
            <w:vAlign w:val="center"/>
          </w:tcPr>
          <w:p w14:paraId="2F681F26">
            <w:pPr>
              <w:pStyle w:val="12"/>
              <w:jc w:val="center"/>
              <w:rPr>
                <w:rFonts w:ascii="宋体" w:hAnsi="宋体"/>
              </w:rPr>
            </w:pPr>
            <w:r>
              <w:rPr>
                <w:rFonts w:hint="eastAsia" w:ascii="宋体" w:hAnsi="宋体"/>
              </w:rPr>
              <w:t>30</w:t>
            </w:r>
          </w:p>
        </w:tc>
        <w:tc>
          <w:tcPr>
            <w:tcW w:w="859" w:type="pct"/>
            <w:vAlign w:val="center"/>
          </w:tcPr>
          <w:p w14:paraId="5DA4D337">
            <w:pPr>
              <w:pStyle w:val="12"/>
              <w:jc w:val="center"/>
              <w:rPr>
                <w:rFonts w:ascii="宋体" w:hAnsi="宋体"/>
              </w:rPr>
            </w:pPr>
            <w:r>
              <w:rPr>
                <w:rFonts w:hint="eastAsia" w:ascii="宋体" w:hAnsi="宋体"/>
              </w:rPr>
              <w:t>—</w:t>
            </w:r>
          </w:p>
        </w:tc>
      </w:tr>
      <w:tr w14:paraId="7B2025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5" w:type="pct"/>
            <w:vAlign w:val="center"/>
          </w:tcPr>
          <w:p w14:paraId="7CC10632">
            <w:pPr>
              <w:pStyle w:val="12"/>
              <w:jc w:val="center"/>
              <w:rPr>
                <w:rFonts w:ascii="宋体" w:hAnsi="宋体"/>
              </w:rPr>
            </w:pPr>
            <w:r>
              <w:rPr>
                <w:rFonts w:hint="eastAsia" w:ascii="宋体" w:hAnsi="宋体"/>
              </w:rPr>
              <w:t>黄坑</w:t>
            </w:r>
          </w:p>
        </w:tc>
        <w:tc>
          <w:tcPr>
            <w:tcW w:w="439" w:type="pct"/>
            <w:vAlign w:val="center"/>
          </w:tcPr>
          <w:p w14:paraId="14BE04BC">
            <w:pPr>
              <w:pStyle w:val="12"/>
              <w:jc w:val="center"/>
              <w:rPr>
                <w:rFonts w:ascii="宋体" w:hAnsi="宋体"/>
              </w:rPr>
            </w:pPr>
            <w:r>
              <w:rPr>
                <w:rFonts w:hint="eastAsia" w:ascii="宋体" w:hAnsi="宋体"/>
              </w:rPr>
              <w:t>0.124</w:t>
            </w:r>
          </w:p>
        </w:tc>
        <w:tc>
          <w:tcPr>
            <w:tcW w:w="498" w:type="pct"/>
            <w:vAlign w:val="center"/>
          </w:tcPr>
          <w:p w14:paraId="3FB871D4">
            <w:pPr>
              <w:pStyle w:val="12"/>
              <w:jc w:val="center"/>
              <w:rPr>
                <w:rFonts w:ascii="宋体" w:hAnsi="宋体"/>
              </w:rPr>
            </w:pPr>
            <w:r>
              <w:rPr>
                <w:rFonts w:hint="eastAsia" w:ascii="宋体" w:hAnsi="宋体"/>
              </w:rPr>
              <w:t>21.9</w:t>
            </w:r>
          </w:p>
        </w:tc>
        <w:tc>
          <w:tcPr>
            <w:tcW w:w="426" w:type="pct"/>
            <w:vAlign w:val="center"/>
          </w:tcPr>
          <w:p w14:paraId="173A41DF">
            <w:pPr>
              <w:pStyle w:val="12"/>
              <w:jc w:val="center"/>
              <w:rPr>
                <w:rFonts w:ascii="宋体" w:hAnsi="宋体"/>
              </w:rPr>
            </w:pPr>
            <w:r>
              <w:rPr>
                <w:rFonts w:hint="eastAsia" w:ascii="宋体" w:hAnsi="宋体"/>
              </w:rPr>
              <w:t>0.65</w:t>
            </w:r>
          </w:p>
        </w:tc>
        <w:tc>
          <w:tcPr>
            <w:tcW w:w="498" w:type="pct"/>
            <w:vAlign w:val="center"/>
          </w:tcPr>
          <w:p w14:paraId="47E7216A">
            <w:pPr>
              <w:pStyle w:val="12"/>
              <w:jc w:val="center"/>
              <w:rPr>
                <w:rFonts w:ascii="宋体" w:hAnsi="宋体"/>
              </w:rPr>
            </w:pPr>
            <w:r>
              <w:rPr>
                <w:rFonts w:hint="eastAsia" w:ascii="宋体" w:hAnsi="宋体"/>
              </w:rPr>
              <w:t>55.93</w:t>
            </w:r>
          </w:p>
        </w:tc>
        <w:tc>
          <w:tcPr>
            <w:tcW w:w="461" w:type="pct"/>
            <w:vAlign w:val="center"/>
          </w:tcPr>
          <w:p w14:paraId="726D71C7">
            <w:pPr>
              <w:pStyle w:val="12"/>
              <w:jc w:val="center"/>
              <w:rPr>
                <w:rFonts w:ascii="宋体" w:hAnsi="宋体"/>
              </w:rPr>
            </w:pPr>
            <w:r>
              <w:rPr>
                <w:rFonts w:hint="eastAsia" w:ascii="宋体" w:hAnsi="宋体"/>
              </w:rPr>
              <w:t>10</w:t>
            </w:r>
          </w:p>
        </w:tc>
        <w:tc>
          <w:tcPr>
            <w:tcW w:w="453" w:type="pct"/>
            <w:vAlign w:val="center"/>
          </w:tcPr>
          <w:p w14:paraId="0F379E34">
            <w:pPr>
              <w:pStyle w:val="12"/>
              <w:jc w:val="center"/>
              <w:rPr>
                <w:rFonts w:ascii="宋体" w:hAnsi="宋体"/>
              </w:rPr>
            </w:pPr>
            <w:r>
              <w:rPr>
                <w:rFonts w:hint="eastAsia" w:ascii="宋体" w:hAnsi="宋体"/>
              </w:rPr>
              <w:t>30.93</w:t>
            </w:r>
          </w:p>
        </w:tc>
        <w:tc>
          <w:tcPr>
            <w:tcW w:w="461" w:type="pct"/>
            <w:vAlign w:val="center"/>
          </w:tcPr>
          <w:p w14:paraId="1EFA0A10">
            <w:pPr>
              <w:pStyle w:val="12"/>
              <w:jc w:val="center"/>
              <w:rPr>
                <w:rFonts w:ascii="宋体" w:hAnsi="宋体"/>
              </w:rPr>
            </w:pPr>
            <w:r>
              <w:rPr>
                <w:rFonts w:hint="eastAsia" w:ascii="宋体" w:hAnsi="宋体"/>
              </w:rPr>
              <w:t>15</w:t>
            </w:r>
          </w:p>
        </w:tc>
        <w:tc>
          <w:tcPr>
            <w:tcW w:w="498" w:type="pct"/>
            <w:vAlign w:val="center"/>
          </w:tcPr>
          <w:p w14:paraId="60CEC817">
            <w:pPr>
              <w:pStyle w:val="12"/>
              <w:jc w:val="center"/>
              <w:rPr>
                <w:rFonts w:ascii="宋体" w:hAnsi="宋体"/>
              </w:rPr>
            </w:pPr>
          </w:p>
        </w:tc>
        <w:tc>
          <w:tcPr>
            <w:tcW w:w="859" w:type="pct"/>
            <w:vAlign w:val="center"/>
          </w:tcPr>
          <w:p w14:paraId="69CE7658">
            <w:pPr>
              <w:pStyle w:val="12"/>
              <w:jc w:val="center"/>
              <w:rPr>
                <w:rFonts w:ascii="宋体" w:hAnsi="宋体"/>
              </w:rPr>
            </w:pPr>
          </w:p>
        </w:tc>
      </w:tr>
      <w:tr w14:paraId="38B6D2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5" w:type="pct"/>
            <w:vAlign w:val="center"/>
          </w:tcPr>
          <w:p w14:paraId="62BA8843">
            <w:pPr>
              <w:pStyle w:val="12"/>
              <w:jc w:val="center"/>
              <w:rPr>
                <w:rFonts w:ascii="宋体" w:hAnsi="宋体"/>
              </w:rPr>
            </w:pPr>
            <w:r>
              <w:rPr>
                <w:rFonts w:hint="eastAsia" w:ascii="宋体" w:hAnsi="宋体"/>
              </w:rPr>
              <w:t>苍石</w:t>
            </w:r>
          </w:p>
        </w:tc>
        <w:tc>
          <w:tcPr>
            <w:tcW w:w="439" w:type="pct"/>
            <w:vAlign w:val="center"/>
          </w:tcPr>
          <w:p w14:paraId="42049B9F">
            <w:pPr>
              <w:pStyle w:val="12"/>
              <w:jc w:val="center"/>
              <w:rPr>
                <w:rFonts w:ascii="宋体" w:hAnsi="宋体"/>
              </w:rPr>
            </w:pPr>
            <w:r>
              <w:rPr>
                <w:rFonts w:hint="eastAsia" w:ascii="宋体" w:hAnsi="宋体"/>
              </w:rPr>
              <w:t>0.044</w:t>
            </w:r>
          </w:p>
        </w:tc>
        <w:tc>
          <w:tcPr>
            <w:tcW w:w="498" w:type="pct"/>
            <w:vAlign w:val="center"/>
          </w:tcPr>
          <w:p w14:paraId="5BE6CDB3">
            <w:pPr>
              <w:pStyle w:val="12"/>
              <w:jc w:val="center"/>
              <w:rPr>
                <w:rFonts w:ascii="宋体" w:hAnsi="宋体"/>
              </w:rPr>
            </w:pPr>
            <w:r>
              <w:rPr>
                <w:rFonts w:hint="eastAsia" w:ascii="宋体" w:hAnsi="宋体"/>
              </w:rPr>
              <w:t>11.5</w:t>
            </w:r>
          </w:p>
        </w:tc>
        <w:tc>
          <w:tcPr>
            <w:tcW w:w="426" w:type="pct"/>
            <w:vAlign w:val="center"/>
          </w:tcPr>
          <w:p w14:paraId="39E85C94">
            <w:pPr>
              <w:pStyle w:val="12"/>
              <w:jc w:val="center"/>
              <w:rPr>
                <w:rFonts w:ascii="宋体" w:hAnsi="宋体"/>
              </w:rPr>
            </w:pPr>
            <w:r>
              <w:rPr>
                <w:rFonts w:hint="eastAsia" w:ascii="宋体" w:hAnsi="宋体"/>
              </w:rPr>
              <w:t>0.24</w:t>
            </w:r>
          </w:p>
        </w:tc>
        <w:tc>
          <w:tcPr>
            <w:tcW w:w="498" w:type="pct"/>
            <w:vAlign w:val="center"/>
          </w:tcPr>
          <w:p w14:paraId="74F8489A">
            <w:pPr>
              <w:pStyle w:val="12"/>
              <w:jc w:val="center"/>
              <w:rPr>
                <w:rFonts w:ascii="宋体" w:hAnsi="宋体"/>
              </w:rPr>
            </w:pPr>
            <w:r>
              <w:rPr>
                <w:rFonts w:hint="eastAsia" w:ascii="宋体" w:hAnsi="宋体"/>
              </w:rPr>
              <w:t>49.7</w:t>
            </w:r>
          </w:p>
        </w:tc>
        <w:tc>
          <w:tcPr>
            <w:tcW w:w="461" w:type="pct"/>
            <w:vAlign w:val="center"/>
          </w:tcPr>
          <w:p w14:paraId="350D0994">
            <w:pPr>
              <w:pStyle w:val="12"/>
              <w:jc w:val="center"/>
              <w:rPr>
                <w:rFonts w:ascii="宋体" w:hAnsi="宋体"/>
              </w:rPr>
            </w:pPr>
            <w:r>
              <w:rPr>
                <w:rFonts w:hint="eastAsia" w:ascii="宋体" w:hAnsi="宋体"/>
              </w:rPr>
              <w:t>18.3</w:t>
            </w:r>
          </w:p>
        </w:tc>
        <w:tc>
          <w:tcPr>
            <w:tcW w:w="453" w:type="pct"/>
            <w:vAlign w:val="center"/>
          </w:tcPr>
          <w:p w14:paraId="4791498E">
            <w:pPr>
              <w:pStyle w:val="12"/>
              <w:jc w:val="center"/>
              <w:rPr>
                <w:rFonts w:ascii="宋体" w:hAnsi="宋体"/>
              </w:rPr>
            </w:pPr>
            <w:r>
              <w:rPr>
                <w:rFonts w:hint="eastAsia" w:ascii="宋体" w:hAnsi="宋体"/>
              </w:rPr>
              <w:t>21.4</w:t>
            </w:r>
          </w:p>
        </w:tc>
        <w:tc>
          <w:tcPr>
            <w:tcW w:w="461" w:type="pct"/>
            <w:vAlign w:val="center"/>
          </w:tcPr>
          <w:p w14:paraId="00305F96">
            <w:pPr>
              <w:pStyle w:val="12"/>
              <w:jc w:val="center"/>
              <w:rPr>
                <w:rFonts w:ascii="宋体" w:hAnsi="宋体"/>
              </w:rPr>
            </w:pPr>
            <w:r>
              <w:rPr>
                <w:rFonts w:hint="eastAsia" w:ascii="宋体" w:hAnsi="宋体"/>
              </w:rPr>
              <w:t>10</w:t>
            </w:r>
          </w:p>
        </w:tc>
        <w:tc>
          <w:tcPr>
            <w:tcW w:w="498" w:type="pct"/>
            <w:vAlign w:val="center"/>
          </w:tcPr>
          <w:p w14:paraId="619A2608">
            <w:pPr>
              <w:pStyle w:val="12"/>
              <w:jc w:val="center"/>
              <w:rPr>
                <w:rFonts w:ascii="宋体" w:hAnsi="宋体"/>
              </w:rPr>
            </w:pPr>
            <w:r>
              <w:rPr>
                <w:rFonts w:hint="eastAsia" w:ascii="宋体" w:hAnsi="宋体"/>
              </w:rPr>
              <w:t>—</w:t>
            </w:r>
          </w:p>
        </w:tc>
        <w:tc>
          <w:tcPr>
            <w:tcW w:w="859" w:type="pct"/>
            <w:vAlign w:val="center"/>
          </w:tcPr>
          <w:p w14:paraId="14609170">
            <w:pPr>
              <w:pStyle w:val="12"/>
              <w:jc w:val="center"/>
              <w:rPr>
                <w:rFonts w:ascii="宋体" w:hAnsi="宋体"/>
              </w:rPr>
            </w:pPr>
            <w:r>
              <w:rPr>
                <w:rFonts w:hint="eastAsia" w:ascii="宋体" w:hAnsi="宋体"/>
              </w:rPr>
              <w:t>—</w:t>
            </w:r>
          </w:p>
        </w:tc>
      </w:tr>
      <w:tr w14:paraId="21B59A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5" w:type="pct"/>
            <w:vAlign w:val="center"/>
          </w:tcPr>
          <w:p w14:paraId="39152F7E">
            <w:pPr>
              <w:pStyle w:val="12"/>
              <w:jc w:val="center"/>
              <w:rPr>
                <w:rFonts w:ascii="宋体" w:hAnsi="宋体"/>
              </w:rPr>
            </w:pPr>
            <w:r>
              <w:rPr>
                <w:rFonts w:hint="eastAsia" w:ascii="宋体" w:hAnsi="宋体"/>
              </w:rPr>
              <w:t>孔江</w:t>
            </w:r>
          </w:p>
        </w:tc>
        <w:tc>
          <w:tcPr>
            <w:tcW w:w="439" w:type="pct"/>
            <w:vAlign w:val="center"/>
          </w:tcPr>
          <w:p w14:paraId="69955FE8">
            <w:pPr>
              <w:pStyle w:val="12"/>
              <w:jc w:val="center"/>
              <w:rPr>
                <w:rFonts w:ascii="宋体" w:hAnsi="宋体"/>
              </w:rPr>
            </w:pPr>
            <w:r>
              <w:rPr>
                <w:rFonts w:hint="eastAsia" w:ascii="宋体" w:hAnsi="宋体"/>
              </w:rPr>
              <w:t>0.3</w:t>
            </w:r>
          </w:p>
        </w:tc>
        <w:tc>
          <w:tcPr>
            <w:tcW w:w="498" w:type="pct"/>
            <w:vAlign w:val="center"/>
          </w:tcPr>
          <w:p w14:paraId="6DF5564E">
            <w:pPr>
              <w:pStyle w:val="12"/>
              <w:jc w:val="center"/>
              <w:rPr>
                <w:rFonts w:ascii="宋体" w:hAnsi="宋体"/>
              </w:rPr>
            </w:pPr>
            <w:r>
              <w:rPr>
                <w:rFonts w:hint="eastAsia" w:ascii="宋体" w:hAnsi="宋体"/>
              </w:rPr>
              <w:t>109.5</w:t>
            </w:r>
          </w:p>
        </w:tc>
        <w:tc>
          <w:tcPr>
            <w:tcW w:w="426" w:type="pct"/>
            <w:vAlign w:val="center"/>
          </w:tcPr>
          <w:p w14:paraId="6E1B84D0">
            <w:pPr>
              <w:pStyle w:val="12"/>
              <w:jc w:val="center"/>
              <w:rPr>
                <w:rFonts w:ascii="宋体" w:hAnsi="宋体"/>
              </w:rPr>
            </w:pPr>
            <w:r>
              <w:rPr>
                <w:rFonts w:hint="eastAsia" w:ascii="宋体" w:hAnsi="宋体"/>
              </w:rPr>
              <w:t>0.5</w:t>
            </w:r>
          </w:p>
        </w:tc>
        <w:tc>
          <w:tcPr>
            <w:tcW w:w="498" w:type="pct"/>
            <w:vAlign w:val="center"/>
          </w:tcPr>
          <w:p w14:paraId="46B1A8DF">
            <w:pPr>
              <w:pStyle w:val="12"/>
              <w:jc w:val="center"/>
              <w:rPr>
                <w:rFonts w:ascii="宋体" w:hAnsi="宋体"/>
              </w:rPr>
            </w:pPr>
            <w:r>
              <w:rPr>
                <w:rFonts w:hint="eastAsia" w:ascii="宋体" w:hAnsi="宋体"/>
              </w:rPr>
              <w:t>89.24</w:t>
            </w:r>
          </w:p>
        </w:tc>
        <w:tc>
          <w:tcPr>
            <w:tcW w:w="461" w:type="pct"/>
            <w:vAlign w:val="center"/>
          </w:tcPr>
          <w:p w14:paraId="27E7C820">
            <w:pPr>
              <w:pStyle w:val="12"/>
              <w:jc w:val="center"/>
              <w:rPr>
                <w:rFonts w:ascii="宋体" w:hAnsi="宋体"/>
              </w:rPr>
            </w:pPr>
            <w:r>
              <w:rPr>
                <w:rFonts w:hint="eastAsia" w:ascii="宋体" w:hAnsi="宋体"/>
              </w:rPr>
              <w:t>25</w:t>
            </w:r>
          </w:p>
        </w:tc>
        <w:tc>
          <w:tcPr>
            <w:tcW w:w="453" w:type="pct"/>
            <w:vAlign w:val="center"/>
          </w:tcPr>
          <w:p w14:paraId="6652D2B7">
            <w:pPr>
              <w:pStyle w:val="12"/>
              <w:jc w:val="center"/>
              <w:rPr>
                <w:rFonts w:ascii="宋体" w:hAnsi="宋体"/>
              </w:rPr>
            </w:pPr>
            <w:r>
              <w:rPr>
                <w:rFonts w:hint="eastAsia" w:ascii="宋体" w:hAnsi="宋体"/>
              </w:rPr>
              <w:t>31.41</w:t>
            </w:r>
          </w:p>
        </w:tc>
        <w:tc>
          <w:tcPr>
            <w:tcW w:w="461" w:type="pct"/>
            <w:vAlign w:val="center"/>
          </w:tcPr>
          <w:p w14:paraId="03C9ACD2">
            <w:pPr>
              <w:pStyle w:val="12"/>
              <w:jc w:val="center"/>
              <w:rPr>
                <w:rFonts w:ascii="宋体" w:hAnsi="宋体"/>
              </w:rPr>
            </w:pPr>
            <w:r>
              <w:rPr>
                <w:rFonts w:hint="eastAsia" w:ascii="宋体" w:hAnsi="宋体"/>
              </w:rPr>
              <w:t>32.83</w:t>
            </w:r>
          </w:p>
        </w:tc>
        <w:tc>
          <w:tcPr>
            <w:tcW w:w="498" w:type="pct"/>
            <w:vAlign w:val="center"/>
          </w:tcPr>
          <w:p w14:paraId="46479E68">
            <w:pPr>
              <w:pStyle w:val="12"/>
              <w:jc w:val="center"/>
              <w:rPr>
                <w:rFonts w:ascii="宋体" w:hAnsi="宋体"/>
              </w:rPr>
            </w:pPr>
            <w:r>
              <w:rPr>
                <w:rFonts w:hint="eastAsia" w:ascii="宋体" w:hAnsi="宋体"/>
              </w:rPr>
              <w:t>—</w:t>
            </w:r>
          </w:p>
        </w:tc>
        <w:tc>
          <w:tcPr>
            <w:tcW w:w="859" w:type="pct"/>
            <w:vAlign w:val="center"/>
          </w:tcPr>
          <w:p w14:paraId="557186C4">
            <w:pPr>
              <w:pStyle w:val="12"/>
              <w:jc w:val="center"/>
              <w:rPr>
                <w:rFonts w:ascii="宋体" w:hAnsi="宋体"/>
              </w:rPr>
            </w:pPr>
            <w:r>
              <w:rPr>
                <w:rFonts w:hint="eastAsia" w:ascii="宋体" w:hAnsi="宋体"/>
              </w:rPr>
              <w:t>原已解决</w:t>
            </w:r>
          </w:p>
          <w:p w14:paraId="53FC8B3D">
            <w:pPr>
              <w:pStyle w:val="12"/>
              <w:jc w:val="center"/>
              <w:rPr>
                <w:rFonts w:ascii="宋体" w:hAnsi="宋体"/>
              </w:rPr>
            </w:pPr>
            <w:r>
              <w:rPr>
                <w:rFonts w:hint="eastAsia" w:ascii="宋体" w:hAnsi="宋体"/>
              </w:rPr>
              <w:t>0.35万人</w:t>
            </w:r>
          </w:p>
        </w:tc>
      </w:tr>
      <w:tr w14:paraId="0557B1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5" w:type="pct"/>
            <w:vAlign w:val="center"/>
          </w:tcPr>
          <w:p w14:paraId="28B05E85">
            <w:pPr>
              <w:pStyle w:val="12"/>
              <w:jc w:val="center"/>
              <w:rPr>
                <w:rFonts w:ascii="宋体" w:hAnsi="宋体"/>
              </w:rPr>
            </w:pPr>
            <w:r>
              <w:rPr>
                <w:rFonts w:hint="eastAsia" w:ascii="宋体" w:hAnsi="宋体"/>
              </w:rPr>
              <w:t>百顺</w:t>
            </w:r>
          </w:p>
        </w:tc>
        <w:tc>
          <w:tcPr>
            <w:tcW w:w="439" w:type="pct"/>
            <w:vAlign w:val="center"/>
          </w:tcPr>
          <w:p w14:paraId="035459A2">
            <w:pPr>
              <w:pStyle w:val="12"/>
              <w:jc w:val="center"/>
              <w:rPr>
                <w:rFonts w:ascii="宋体" w:hAnsi="宋体"/>
              </w:rPr>
            </w:pPr>
            <w:r>
              <w:rPr>
                <w:rFonts w:hint="eastAsia" w:ascii="宋体" w:hAnsi="宋体"/>
              </w:rPr>
              <w:t>0.0429</w:t>
            </w:r>
          </w:p>
        </w:tc>
        <w:tc>
          <w:tcPr>
            <w:tcW w:w="498" w:type="pct"/>
            <w:vAlign w:val="center"/>
          </w:tcPr>
          <w:p w14:paraId="5A764E9F">
            <w:pPr>
              <w:pStyle w:val="12"/>
              <w:jc w:val="center"/>
              <w:rPr>
                <w:rFonts w:ascii="宋体" w:hAnsi="宋体"/>
              </w:rPr>
            </w:pPr>
            <w:r>
              <w:rPr>
                <w:rFonts w:hint="eastAsia" w:ascii="宋体" w:hAnsi="宋体"/>
              </w:rPr>
              <w:t>9.13</w:t>
            </w:r>
          </w:p>
        </w:tc>
        <w:tc>
          <w:tcPr>
            <w:tcW w:w="426" w:type="pct"/>
            <w:vAlign w:val="center"/>
          </w:tcPr>
          <w:p w14:paraId="061BB015">
            <w:pPr>
              <w:pStyle w:val="12"/>
              <w:jc w:val="center"/>
              <w:rPr>
                <w:rFonts w:ascii="宋体" w:hAnsi="宋体"/>
              </w:rPr>
            </w:pPr>
            <w:r>
              <w:rPr>
                <w:rFonts w:hint="eastAsia" w:ascii="宋体" w:hAnsi="宋体"/>
              </w:rPr>
              <w:t>0.41</w:t>
            </w:r>
          </w:p>
        </w:tc>
        <w:tc>
          <w:tcPr>
            <w:tcW w:w="498" w:type="pct"/>
            <w:vAlign w:val="center"/>
          </w:tcPr>
          <w:p w14:paraId="6E2D8165">
            <w:pPr>
              <w:pStyle w:val="12"/>
              <w:jc w:val="center"/>
              <w:rPr>
                <w:rFonts w:ascii="宋体" w:hAnsi="宋体"/>
              </w:rPr>
            </w:pPr>
            <w:r>
              <w:rPr>
                <w:rFonts w:hint="eastAsia" w:ascii="宋体" w:hAnsi="宋体"/>
              </w:rPr>
              <w:t>25</w:t>
            </w:r>
          </w:p>
        </w:tc>
        <w:tc>
          <w:tcPr>
            <w:tcW w:w="461" w:type="pct"/>
            <w:vAlign w:val="center"/>
          </w:tcPr>
          <w:p w14:paraId="028B40FD">
            <w:pPr>
              <w:pStyle w:val="12"/>
              <w:jc w:val="center"/>
              <w:rPr>
                <w:rFonts w:ascii="宋体" w:hAnsi="宋体"/>
              </w:rPr>
            </w:pPr>
            <w:r>
              <w:rPr>
                <w:rFonts w:hint="eastAsia" w:ascii="宋体" w:hAnsi="宋体"/>
              </w:rPr>
              <w:t>9</w:t>
            </w:r>
          </w:p>
        </w:tc>
        <w:tc>
          <w:tcPr>
            <w:tcW w:w="453" w:type="pct"/>
            <w:vAlign w:val="center"/>
          </w:tcPr>
          <w:p w14:paraId="20D8C355">
            <w:pPr>
              <w:pStyle w:val="12"/>
              <w:jc w:val="center"/>
              <w:rPr>
                <w:rFonts w:ascii="宋体" w:hAnsi="宋体"/>
              </w:rPr>
            </w:pPr>
            <w:r>
              <w:rPr>
                <w:rFonts w:hint="eastAsia" w:ascii="宋体" w:hAnsi="宋体"/>
              </w:rPr>
              <w:t>—</w:t>
            </w:r>
          </w:p>
        </w:tc>
        <w:tc>
          <w:tcPr>
            <w:tcW w:w="461" w:type="pct"/>
            <w:vAlign w:val="center"/>
          </w:tcPr>
          <w:p w14:paraId="1F389176">
            <w:pPr>
              <w:pStyle w:val="12"/>
              <w:jc w:val="center"/>
              <w:rPr>
                <w:rFonts w:ascii="宋体" w:hAnsi="宋体"/>
              </w:rPr>
            </w:pPr>
            <w:r>
              <w:rPr>
                <w:rFonts w:hint="eastAsia" w:ascii="宋体" w:hAnsi="宋体"/>
              </w:rPr>
              <w:t>16</w:t>
            </w:r>
          </w:p>
        </w:tc>
        <w:tc>
          <w:tcPr>
            <w:tcW w:w="498" w:type="pct"/>
            <w:vAlign w:val="center"/>
          </w:tcPr>
          <w:p w14:paraId="476CFAC4">
            <w:pPr>
              <w:pStyle w:val="12"/>
              <w:jc w:val="center"/>
              <w:rPr>
                <w:rFonts w:ascii="宋体" w:hAnsi="宋体"/>
              </w:rPr>
            </w:pPr>
            <w:r>
              <w:rPr>
                <w:rFonts w:hint="eastAsia" w:ascii="宋体" w:hAnsi="宋体"/>
              </w:rPr>
              <w:t>—</w:t>
            </w:r>
          </w:p>
        </w:tc>
        <w:tc>
          <w:tcPr>
            <w:tcW w:w="859" w:type="pct"/>
            <w:vAlign w:val="center"/>
          </w:tcPr>
          <w:p w14:paraId="5AB8A578">
            <w:pPr>
              <w:pStyle w:val="12"/>
              <w:jc w:val="center"/>
              <w:rPr>
                <w:rFonts w:ascii="宋体" w:hAnsi="宋体"/>
              </w:rPr>
            </w:pPr>
          </w:p>
        </w:tc>
      </w:tr>
      <w:tr w14:paraId="1637B4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5" w:type="pct"/>
            <w:vAlign w:val="center"/>
          </w:tcPr>
          <w:p w14:paraId="1BC6D4F1">
            <w:pPr>
              <w:pStyle w:val="12"/>
              <w:jc w:val="center"/>
              <w:rPr>
                <w:rFonts w:ascii="宋体" w:hAnsi="宋体"/>
              </w:rPr>
            </w:pPr>
            <w:r>
              <w:rPr>
                <w:rFonts w:hint="eastAsia" w:ascii="宋体" w:hAnsi="宋体"/>
              </w:rPr>
              <w:t>界址</w:t>
            </w:r>
          </w:p>
        </w:tc>
        <w:tc>
          <w:tcPr>
            <w:tcW w:w="439" w:type="pct"/>
            <w:vAlign w:val="center"/>
          </w:tcPr>
          <w:p w14:paraId="6A09EE4D">
            <w:pPr>
              <w:pStyle w:val="12"/>
              <w:jc w:val="center"/>
              <w:rPr>
                <w:rFonts w:ascii="宋体" w:hAnsi="宋体"/>
              </w:rPr>
            </w:pPr>
            <w:r>
              <w:rPr>
                <w:rFonts w:hint="eastAsia" w:ascii="宋体" w:hAnsi="宋体"/>
              </w:rPr>
              <w:t>0.34</w:t>
            </w:r>
          </w:p>
        </w:tc>
        <w:tc>
          <w:tcPr>
            <w:tcW w:w="498" w:type="pct"/>
            <w:vAlign w:val="center"/>
          </w:tcPr>
          <w:p w14:paraId="70C9BB60">
            <w:pPr>
              <w:pStyle w:val="12"/>
              <w:jc w:val="center"/>
              <w:rPr>
                <w:rFonts w:ascii="宋体" w:hAnsi="宋体"/>
              </w:rPr>
            </w:pPr>
            <w:r>
              <w:rPr>
                <w:rFonts w:hint="eastAsia" w:ascii="宋体" w:hAnsi="宋体"/>
              </w:rPr>
              <w:t>123.3</w:t>
            </w:r>
          </w:p>
        </w:tc>
        <w:tc>
          <w:tcPr>
            <w:tcW w:w="426" w:type="pct"/>
            <w:vAlign w:val="center"/>
          </w:tcPr>
          <w:p w14:paraId="44F5AE85">
            <w:pPr>
              <w:pStyle w:val="12"/>
              <w:jc w:val="center"/>
              <w:rPr>
                <w:rFonts w:ascii="宋体" w:hAnsi="宋体"/>
              </w:rPr>
            </w:pPr>
            <w:r>
              <w:rPr>
                <w:rFonts w:hint="eastAsia" w:ascii="宋体" w:hAnsi="宋体"/>
              </w:rPr>
              <w:t>0.43</w:t>
            </w:r>
          </w:p>
        </w:tc>
        <w:tc>
          <w:tcPr>
            <w:tcW w:w="498" w:type="pct"/>
            <w:vAlign w:val="center"/>
          </w:tcPr>
          <w:p w14:paraId="35202219">
            <w:pPr>
              <w:pStyle w:val="12"/>
              <w:jc w:val="center"/>
              <w:rPr>
                <w:rFonts w:ascii="宋体" w:hAnsi="宋体"/>
              </w:rPr>
            </w:pPr>
            <w:r>
              <w:rPr>
                <w:rFonts w:hint="eastAsia" w:ascii="宋体" w:hAnsi="宋体"/>
              </w:rPr>
              <w:t>72.64</w:t>
            </w:r>
          </w:p>
        </w:tc>
        <w:tc>
          <w:tcPr>
            <w:tcW w:w="461" w:type="pct"/>
            <w:vAlign w:val="center"/>
          </w:tcPr>
          <w:p w14:paraId="3177BDDA">
            <w:pPr>
              <w:pStyle w:val="12"/>
              <w:jc w:val="center"/>
              <w:rPr>
                <w:rFonts w:ascii="宋体" w:hAnsi="宋体"/>
              </w:rPr>
            </w:pPr>
            <w:r>
              <w:rPr>
                <w:rFonts w:hint="eastAsia" w:ascii="宋体" w:hAnsi="宋体"/>
              </w:rPr>
              <w:t>15</w:t>
            </w:r>
          </w:p>
        </w:tc>
        <w:tc>
          <w:tcPr>
            <w:tcW w:w="453" w:type="pct"/>
            <w:vAlign w:val="center"/>
          </w:tcPr>
          <w:p w14:paraId="5210BC54">
            <w:pPr>
              <w:pStyle w:val="12"/>
              <w:jc w:val="center"/>
              <w:rPr>
                <w:rFonts w:ascii="宋体" w:hAnsi="宋体"/>
              </w:rPr>
            </w:pPr>
            <w:r>
              <w:rPr>
                <w:rFonts w:hint="eastAsia" w:ascii="宋体" w:hAnsi="宋体"/>
              </w:rPr>
              <w:t>24.21</w:t>
            </w:r>
          </w:p>
        </w:tc>
        <w:tc>
          <w:tcPr>
            <w:tcW w:w="461" w:type="pct"/>
            <w:vAlign w:val="center"/>
          </w:tcPr>
          <w:p w14:paraId="5CB69633">
            <w:pPr>
              <w:pStyle w:val="12"/>
              <w:jc w:val="center"/>
              <w:rPr>
                <w:rFonts w:ascii="宋体" w:hAnsi="宋体"/>
              </w:rPr>
            </w:pPr>
            <w:r>
              <w:rPr>
                <w:rFonts w:hint="eastAsia" w:ascii="宋体" w:hAnsi="宋体"/>
              </w:rPr>
              <w:t>18.43</w:t>
            </w:r>
          </w:p>
        </w:tc>
        <w:tc>
          <w:tcPr>
            <w:tcW w:w="498" w:type="pct"/>
            <w:vAlign w:val="center"/>
          </w:tcPr>
          <w:p w14:paraId="0FBAA019">
            <w:pPr>
              <w:pStyle w:val="12"/>
              <w:jc w:val="center"/>
              <w:rPr>
                <w:rFonts w:ascii="宋体" w:hAnsi="宋体"/>
              </w:rPr>
            </w:pPr>
            <w:r>
              <w:rPr>
                <w:rFonts w:hint="eastAsia" w:ascii="宋体" w:hAnsi="宋体"/>
              </w:rPr>
              <w:t>15</w:t>
            </w:r>
          </w:p>
        </w:tc>
        <w:tc>
          <w:tcPr>
            <w:tcW w:w="859" w:type="pct"/>
            <w:vAlign w:val="center"/>
          </w:tcPr>
          <w:p w14:paraId="47F05230">
            <w:pPr>
              <w:pStyle w:val="12"/>
              <w:jc w:val="center"/>
              <w:rPr>
                <w:rFonts w:ascii="宋体" w:hAnsi="宋体"/>
              </w:rPr>
            </w:pPr>
            <w:r>
              <w:rPr>
                <w:rFonts w:hint="eastAsia" w:ascii="宋体" w:hAnsi="宋体"/>
              </w:rPr>
              <w:t>—</w:t>
            </w:r>
          </w:p>
        </w:tc>
      </w:tr>
      <w:tr w14:paraId="02B347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5" w:type="pct"/>
            <w:vAlign w:val="center"/>
          </w:tcPr>
          <w:p w14:paraId="4320FBC2">
            <w:pPr>
              <w:pStyle w:val="12"/>
              <w:jc w:val="center"/>
              <w:rPr>
                <w:rFonts w:ascii="宋体" w:hAnsi="宋体"/>
              </w:rPr>
            </w:pPr>
            <w:r>
              <w:rPr>
                <w:rFonts w:hint="eastAsia" w:ascii="宋体" w:hAnsi="宋体"/>
              </w:rPr>
              <w:t>油山</w:t>
            </w:r>
          </w:p>
        </w:tc>
        <w:tc>
          <w:tcPr>
            <w:tcW w:w="439" w:type="pct"/>
            <w:vAlign w:val="center"/>
          </w:tcPr>
          <w:p w14:paraId="366C426B">
            <w:pPr>
              <w:pStyle w:val="12"/>
              <w:jc w:val="center"/>
              <w:rPr>
                <w:rFonts w:ascii="宋体" w:hAnsi="宋体"/>
              </w:rPr>
            </w:pPr>
            <w:r>
              <w:rPr>
                <w:rFonts w:hint="eastAsia" w:ascii="宋体" w:hAnsi="宋体"/>
              </w:rPr>
              <w:t>0.04</w:t>
            </w:r>
          </w:p>
        </w:tc>
        <w:tc>
          <w:tcPr>
            <w:tcW w:w="498" w:type="pct"/>
            <w:vAlign w:val="center"/>
          </w:tcPr>
          <w:p w14:paraId="27C10524">
            <w:pPr>
              <w:pStyle w:val="12"/>
              <w:jc w:val="center"/>
              <w:rPr>
                <w:rFonts w:ascii="宋体" w:hAnsi="宋体"/>
              </w:rPr>
            </w:pPr>
            <w:r>
              <w:rPr>
                <w:rFonts w:hint="eastAsia" w:ascii="宋体" w:hAnsi="宋体"/>
              </w:rPr>
              <w:t>7.12</w:t>
            </w:r>
          </w:p>
        </w:tc>
        <w:tc>
          <w:tcPr>
            <w:tcW w:w="426" w:type="pct"/>
            <w:vAlign w:val="center"/>
          </w:tcPr>
          <w:p w14:paraId="42B1233F">
            <w:pPr>
              <w:pStyle w:val="12"/>
              <w:jc w:val="center"/>
              <w:rPr>
                <w:rFonts w:ascii="宋体" w:hAnsi="宋体"/>
              </w:rPr>
            </w:pPr>
            <w:r>
              <w:rPr>
                <w:rFonts w:hint="eastAsia" w:ascii="宋体" w:hAnsi="宋体"/>
              </w:rPr>
              <w:t>0.2</w:t>
            </w:r>
          </w:p>
        </w:tc>
        <w:tc>
          <w:tcPr>
            <w:tcW w:w="498" w:type="pct"/>
            <w:vAlign w:val="center"/>
          </w:tcPr>
          <w:p w14:paraId="03B61644">
            <w:pPr>
              <w:pStyle w:val="12"/>
              <w:jc w:val="center"/>
              <w:rPr>
                <w:rFonts w:ascii="宋体" w:hAnsi="宋体"/>
              </w:rPr>
            </w:pPr>
            <w:r>
              <w:rPr>
                <w:rFonts w:hint="eastAsia" w:ascii="宋体" w:hAnsi="宋体"/>
              </w:rPr>
              <w:t>25</w:t>
            </w:r>
          </w:p>
        </w:tc>
        <w:tc>
          <w:tcPr>
            <w:tcW w:w="461" w:type="pct"/>
            <w:vAlign w:val="center"/>
          </w:tcPr>
          <w:p w14:paraId="3DF6C6F0">
            <w:pPr>
              <w:pStyle w:val="12"/>
              <w:jc w:val="center"/>
              <w:rPr>
                <w:rFonts w:ascii="宋体" w:hAnsi="宋体"/>
              </w:rPr>
            </w:pPr>
            <w:r>
              <w:rPr>
                <w:rFonts w:hint="eastAsia" w:ascii="宋体" w:hAnsi="宋体"/>
              </w:rPr>
              <w:t>10</w:t>
            </w:r>
          </w:p>
        </w:tc>
        <w:tc>
          <w:tcPr>
            <w:tcW w:w="453" w:type="pct"/>
            <w:vAlign w:val="center"/>
          </w:tcPr>
          <w:p w14:paraId="75868C0E">
            <w:pPr>
              <w:pStyle w:val="12"/>
              <w:jc w:val="center"/>
              <w:rPr>
                <w:rFonts w:ascii="宋体" w:hAnsi="宋体"/>
              </w:rPr>
            </w:pPr>
            <w:r>
              <w:rPr>
                <w:rFonts w:hint="eastAsia" w:ascii="宋体" w:hAnsi="宋体"/>
              </w:rPr>
              <w:t>—</w:t>
            </w:r>
          </w:p>
        </w:tc>
        <w:tc>
          <w:tcPr>
            <w:tcW w:w="461" w:type="pct"/>
            <w:vAlign w:val="center"/>
          </w:tcPr>
          <w:p w14:paraId="23E34AA0">
            <w:pPr>
              <w:pStyle w:val="12"/>
              <w:jc w:val="center"/>
              <w:rPr>
                <w:rFonts w:ascii="宋体" w:hAnsi="宋体"/>
              </w:rPr>
            </w:pPr>
            <w:r>
              <w:rPr>
                <w:rFonts w:hint="eastAsia" w:ascii="宋体" w:hAnsi="宋体"/>
              </w:rPr>
              <w:t>15</w:t>
            </w:r>
          </w:p>
        </w:tc>
        <w:tc>
          <w:tcPr>
            <w:tcW w:w="498" w:type="pct"/>
            <w:vAlign w:val="center"/>
          </w:tcPr>
          <w:p w14:paraId="7D2124C5">
            <w:pPr>
              <w:pStyle w:val="12"/>
              <w:jc w:val="center"/>
              <w:rPr>
                <w:rFonts w:ascii="宋体" w:hAnsi="宋体"/>
              </w:rPr>
            </w:pPr>
            <w:r>
              <w:rPr>
                <w:rFonts w:hint="eastAsia" w:ascii="宋体" w:hAnsi="宋体"/>
              </w:rPr>
              <w:t>—</w:t>
            </w:r>
          </w:p>
        </w:tc>
        <w:tc>
          <w:tcPr>
            <w:tcW w:w="859" w:type="pct"/>
            <w:vAlign w:val="center"/>
          </w:tcPr>
          <w:p w14:paraId="02C7F60B">
            <w:pPr>
              <w:pStyle w:val="12"/>
              <w:jc w:val="center"/>
              <w:rPr>
                <w:rFonts w:ascii="宋体" w:hAnsi="宋体"/>
              </w:rPr>
            </w:pPr>
            <w:r>
              <w:rPr>
                <w:rFonts w:hint="eastAsia" w:ascii="宋体" w:hAnsi="宋体"/>
              </w:rPr>
              <w:t>—</w:t>
            </w:r>
          </w:p>
        </w:tc>
      </w:tr>
      <w:tr w14:paraId="6B5DD1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5" w:type="pct"/>
            <w:vAlign w:val="center"/>
          </w:tcPr>
          <w:p w14:paraId="1562C4ED">
            <w:pPr>
              <w:pStyle w:val="12"/>
              <w:jc w:val="center"/>
              <w:rPr>
                <w:rFonts w:ascii="宋体" w:hAnsi="宋体"/>
              </w:rPr>
            </w:pPr>
            <w:r>
              <w:rPr>
                <w:rFonts w:hint="eastAsia" w:ascii="宋体" w:hAnsi="宋体"/>
              </w:rPr>
              <w:t>珠玑</w:t>
            </w:r>
          </w:p>
        </w:tc>
        <w:tc>
          <w:tcPr>
            <w:tcW w:w="439" w:type="pct"/>
            <w:vAlign w:val="center"/>
          </w:tcPr>
          <w:p w14:paraId="7D94A770">
            <w:pPr>
              <w:pStyle w:val="12"/>
              <w:jc w:val="center"/>
              <w:rPr>
                <w:rFonts w:ascii="宋体" w:hAnsi="宋体"/>
              </w:rPr>
            </w:pPr>
            <w:r>
              <w:rPr>
                <w:rFonts w:hint="eastAsia" w:ascii="宋体" w:hAnsi="宋体"/>
              </w:rPr>
              <w:t>1.33</w:t>
            </w:r>
          </w:p>
        </w:tc>
        <w:tc>
          <w:tcPr>
            <w:tcW w:w="498" w:type="pct"/>
            <w:vAlign w:val="center"/>
          </w:tcPr>
          <w:p w14:paraId="5F78232F">
            <w:pPr>
              <w:pStyle w:val="12"/>
              <w:jc w:val="center"/>
              <w:rPr>
                <w:rFonts w:ascii="宋体" w:hAnsi="宋体"/>
              </w:rPr>
            </w:pPr>
            <w:r>
              <w:rPr>
                <w:rFonts w:hint="eastAsia" w:ascii="宋体" w:hAnsi="宋体"/>
              </w:rPr>
              <w:t>485.5</w:t>
            </w:r>
          </w:p>
        </w:tc>
        <w:tc>
          <w:tcPr>
            <w:tcW w:w="426" w:type="pct"/>
            <w:vAlign w:val="center"/>
          </w:tcPr>
          <w:p w14:paraId="7893C405">
            <w:pPr>
              <w:pStyle w:val="12"/>
              <w:jc w:val="center"/>
              <w:rPr>
                <w:rFonts w:ascii="宋体" w:hAnsi="宋体"/>
              </w:rPr>
            </w:pPr>
            <w:r>
              <w:rPr>
                <w:rFonts w:hint="eastAsia" w:ascii="宋体" w:hAnsi="宋体"/>
              </w:rPr>
              <w:t>0.33</w:t>
            </w:r>
          </w:p>
        </w:tc>
        <w:tc>
          <w:tcPr>
            <w:tcW w:w="498" w:type="pct"/>
            <w:vAlign w:val="center"/>
          </w:tcPr>
          <w:p w14:paraId="32602CAD">
            <w:pPr>
              <w:pStyle w:val="12"/>
              <w:jc w:val="center"/>
              <w:rPr>
                <w:rFonts w:ascii="宋体" w:hAnsi="宋体"/>
              </w:rPr>
            </w:pPr>
            <w:r>
              <w:rPr>
                <w:rFonts w:hint="eastAsia" w:ascii="宋体" w:hAnsi="宋体"/>
              </w:rPr>
              <w:t>1628.4</w:t>
            </w:r>
          </w:p>
        </w:tc>
        <w:tc>
          <w:tcPr>
            <w:tcW w:w="461" w:type="pct"/>
            <w:vAlign w:val="center"/>
          </w:tcPr>
          <w:p w14:paraId="69B94335">
            <w:pPr>
              <w:pStyle w:val="12"/>
              <w:jc w:val="center"/>
              <w:rPr>
                <w:rFonts w:ascii="宋体" w:hAnsi="宋体"/>
              </w:rPr>
            </w:pPr>
            <w:r>
              <w:rPr>
                <w:rFonts w:hint="eastAsia" w:ascii="宋体" w:hAnsi="宋体"/>
              </w:rPr>
              <w:t>483.3</w:t>
            </w:r>
          </w:p>
        </w:tc>
        <w:tc>
          <w:tcPr>
            <w:tcW w:w="453" w:type="pct"/>
            <w:vAlign w:val="center"/>
          </w:tcPr>
          <w:p w14:paraId="0269A121">
            <w:pPr>
              <w:pStyle w:val="12"/>
              <w:jc w:val="center"/>
              <w:rPr>
                <w:rFonts w:ascii="宋体" w:hAnsi="宋体"/>
              </w:rPr>
            </w:pPr>
            <w:r>
              <w:rPr>
                <w:rFonts w:hint="eastAsia" w:ascii="宋体" w:hAnsi="宋体"/>
              </w:rPr>
              <w:t>211.8</w:t>
            </w:r>
          </w:p>
        </w:tc>
        <w:tc>
          <w:tcPr>
            <w:tcW w:w="461" w:type="pct"/>
            <w:vAlign w:val="center"/>
          </w:tcPr>
          <w:p w14:paraId="673F4FD2">
            <w:pPr>
              <w:pStyle w:val="12"/>
              <w:jc w:val="center"/>
              <w:rPr>
                <w:rFonts w:ascii="宋体" w:hAnsi="宋体"/>
              </w:rPr>
            </w:pPr>
            <w:r>
              <w:rPr>
                <w:rFonts w:hint="eastAsia" w:ascii="宋体" w:hAnsi="宋体"/>
              </w:rPr>
              <w:t>100</w:t>
            </w:r>
          </w:p>
        </w:tc>
        <w:tc>
          <w:tcPr>
            <w:tcW w:w="498" w:type="pct"/>
            <w:vAlign w:val="center"/>
          </w:tcPr>
          <w:p w14:paraId="453699BE">
            <w:pPr>
              <w:pStyle w:val="12"/>
              <w:jc w:val="center"/>
              <w:rPr>
                <w:rFonts w:ascii="宋体" w:hAnsi="宋体"/>
              </w:rPr>
            </w:pPr>
            <w:r>
              <w:rPr>
                <w:rFonts w:hint="eastAsia" w:ascii="宋体" w:hAnsi="宋体"/>
              </w:rPr>
              <w:t>833.3</w:t>
            </w:r>
          </w:p>
        </w:tc>
        <w:tc>
          <w:tcPr>
            <w:tcW w:w="859" w:type="pct"/>
            <w:vAlign w:val="center"/>
          </w:tcPr>
          <w:p w14:paraId="2772A87B">
            <w:pPr>
              <w:pStyle w:val="12"/>
              <w:jc w:val="center"/>
              <w:rPr>
                <w:rFonts w:ascii="宋体" w:hAnsi="宋体"/>
              </w:rPr>
            </w:pPr>
            <w:r>
              <w:rPr>
                <w:rFonts w:hint="eastAsia" w:ascii="宋体" w:hAnsi="宋体"/>
              </w:rPr>
              <w:t>一期2002年</w:t>
            </w:r>
          </w:p>
        </w:tc>
      </w:tr>
      <w:tr w14:paraId="4C78AA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5" w:type="pct"/>
            <w:vAlign w:val="center"/>
          </w:tcPr>
          <w:p w14:paraId="1AA1FD68">
            <w:pPr>
              <w:pStyle w:val="12"/>
              <w:jc w:val="center"/>
              <w:rPr>
                <w:rFonts w:ascii="宋体" w:hAnsi="宋体"/>
              </w:rPr>
            </w:pPr>
            <w:r>
              <w:rPr>
                <w:rFonts w:hint="eastAsia" w:ascii="宋体" w:hAnsi="宋体"/>
              </w:rPr>
              <w:t>大塘</w:t>
            </w:r>
          </w:p>
        </w:tc>
        <w:tc>
          <w:tcPr>
            <w:tcW w:w="439" w:type="pct"/>
            <w:vAlign w:val="center"/>
          </w:tcPr>
          <w:p w14:paraId="66639EC0">
            <w:pPr>
              <w:pStyle w:val="12"/>
              <w:jc w:val="center"/>
              <w:rPr>
                <w:rFonts w:ascii="宋体" w:hAnsi="宋体"/>
              </w:rPr>
            </w:pPr>
            <w:r>
              <w:rPr>
                <w:rFonts w:hint="eastAsia" w:ascii="宋体" w:hAnsi="宋体"/>
              </w:rPr>
              <w:t>0.6</w:t>
            </w:r>
          </w:p>
        </w:tc>
        <w:tc>
          <w:tcPr>
            <w:tcW w:w="498" w:type="pct"/>
            <w:vAlign w:val="center"/>
          </w:tcPr>
          <w:p w14:paraId="0C8BBA11">
            <w:pPr>
              <w:pStyle w:val="12"/>
              <w:jc w:val="center"/>
              <w:rPr>
                <w:rFonts w:ascii="宋体" w:hAnsi="宋体"/>
              </w:rPr>
            </w:pPr>
            <w:r>
              <w:rPr>
                <w:rFonts w:hint="eastAsia" w:ascii="宋体" w:hAnsi="宋体"/>
              </w:rPr>
              <w:t>219</w:t>
            </w:r>
          </w:p>
        </w:tc>
        <w:tc>
          <w:tcPr>
            <w:tcW w:w="426" w:type="pct"/>
            <w:vAlign w:val="center"/>
          </w:tcPr>
          <w:p w14:paraId="667B753F">
            <w:pPr>
              <w:pStyle w:val="12"/>
              <w:jc w:val="center"/>
              <w:rPr>
                <w:rFonts w:ascii="宋体" w:hAnsi="宋体"/>
              </w:rPr>
            </w:pPr>
            <w:r>
              <w:rPr>
                <w:rFonts w:hint="eastAsia" w:ascii="宋体" w:hAnsi="宋体"/>
              </w:rPr>
              <w:t>0.84</w:t>
            </w:r>
          </w:p>
        </w:tc>
        <w:tc>
          <w:tcPr>
            <w:tcW w:w="498" w:type="pct"/>
            <w:vAlign w:val="center"/>
          </w:tcPr>
          <w:p w14:paraId="1EA7222F">
            <w:pPr>
              <w:pStyle w:val="12"/>
              <w:jc w:val="center"/>
              <w:rPr>
                <w:rFonts w:ascii="宋体" w:hAnsi="宋体"/>
              </w:rPr>
            </w:pPr>
            <w:r>
              <w:rPr>
                <w:rFonts w:hint="eastAsia" w:ascii="宋体" w:hAnsi="宋体"/>
              </w:rPr>
              <w:t>189.6</w:t>
            </w:r>
          </w:p>
        </w:tc>
        <w:tc>
          <w:tcPr>
            <w:tcW w:w="461" w:type="pct"/>
            <w:vAlign w:val="center"/>
          </w:tcPr>
          <w:p w14:paraId="11D2B11C">
            <w:pPr>
              <w:pStyle w:val="12"/>
              <w:jc w:val="center"/>
              <w:rPr>
                <w:rFonts w:ascii="宋体" w:hAnsi="宋体"/>
              </w:rPr>
            </w:pPr>
            <w:r>
              <w:rPr>
                <w:rFonts w:hint="eastAsia" w:ascii="宋体" w:hAnsi="宋体"/>
              </w:rPr>
              <w:t>38</w:t>
            </w:r>
          </w:p>
        </w:tc>
        <w:tc>
          <w:tcPr>
            <w:tcW w:w="453" w:type="pct"/>
            <w:vAlign w:val="center"/>
          </w:tcPr>
          <w:p w14:paraId="172E2AF0">
            <w:pPr>
              <w:pStyle w:val="12"/>
              <w:jc w:val="center"/>
              <w:rPr>
                <w:rFonts w:ascii="宋体" w:hAnsi="宋体"/>
              </w:rPr>
            </w:pPr>
            <w:r>
              <w:rPr>
                <w:rFonts w:hint="eastAsia" w:ascii="宋体" w:hAnsi="宋体"/>
              </w:rPr>
              <w:t>63.2</w:t>
            </w:r>
          </w:p>
        </w:tc>
        <w:tc>
          <w:tcPr>
            <w:tcW w:w="461" w:type="pct"/>
            <w:vAlign w:val="center"/>
          </w:tcPr>
          <w:p w14:paraId="2AED7308">
            <w:pPr>
              <w:pStyle w:val="12"/>
              <w:jc w:val="center"/>
              <w:rPr>
                <w:rFonts w:ascii="宋体" w:hAnsi="宋体"/>
              </w:rPr>
            </w:pPr>
            <w:r>
              <w:rPr>
                <w:rFonts w:hint="eastAsia" w:ascii="宋体" w:hAnsi="宋体"/>
              </w:rPr>
              <w:t>88.4</w:t>
            </w:r>
          </w:p>
        </w:tc>
        <w:tc>
          <w:tcPr>
            <w:tcW w:w="498" w:type="pct"/>
            <w:vAlign w:val="center"/>
          </w:tcPr>
          <w:p w14:paraId="07B02BD4">
            <w:pPr>
              <w:pStyle w:val="12"/>
              <w:jc w:val="center"/>
              <w:rPr>
                <w:rFonts w:ascii="宋体" w:hAnsi="宋体"/>
              </w:rPr>
            </w:pPr>
            <w:r>
              <w:rPr>
                <w:rFonts w:hint="eastAsia" w:ascii="宋体" w:hAnsi="宋体"/>
              </w:rPr>
              <w:t>—</w:t>
            </w:r>
          </w:p>
        </w:tc>
        <w:tc>
          <w:tcPr>
            <w:tcW w:w="859" w:type="pct"/>
            <w:vAlign w:val="center"/>
          </w:tcPr>
          <w:p w14:paraId="42F955F6">
            <w:pPr>
              <w:pStyle w:val="12"/>
              <w:jc w:val="center"/>
              <w:rPr>
                <w:rFonts w:ascii="宋体" w:hAnsi="宋体"/>
              </w:rPr>
            </w:pPr>
            <w:r>
              <w:rPr>
                <w:rFonts w:hint="eastAsia" w:ascii="宋体" w:hAnsi="宋体"/>
              </w:rPr>
              <w:t>一期1999年</w:t>
            </w:r>
          </w:p>
        </w:tc>
      </w:tr>
      <w:tr w14:paraId="40912E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5" w:type="pct"/>
            <w:vAlign w:val="center"/>
          </w:tcPr>
          <w:p w14:paraId="1C447ADE">
            <w:pPr>
              <w:pStyle w:val="12"/>
              <w:jc w:val="center"/>
              <w:rPr>
                <w:rFonts w:ascii="宋体" w:hAnsi="宋体"/>
              </w:rPr>
            </w:pPr>
            <w:r>
              <w:rPr>
                <w:rFonts w:hint="eastAsia" w:ascii="宋体" w:hAnsi="宋体"/>
              </w:rPr>
              <w:t>全安</w:t>
            </w:r>
          </w:p>
        </w:tc>
        <w:tc>
          <w:tcPr>
            <w:tcW w:w="439" w:type="pct"/>
            <w:vAlign w:val="center"/>
          </w:tcPr>
          <w:p w14:paraId="193D0530">
            <w:pPr>
              <w:pStyle w:val="12"/>
              <w:jc w:val="center"/>
              <w:rPr>
                <w:rFonts w:ascii="宋体" w:hAnsi="宋体"/>
              </w:rPr>
            </w:pPr>
            <w:r>
              <w:rPr>
                <w:rFonts w:hint="eastAsia" w:ascii="宋体" w:hAnsi="宋体"/>
              </w:rPr>
              <w:t>0.64</w:t>
            </w:r>
          </w:p>
        </w:tc>
        <w:tc>
          <w:tcPr>
            <w:tcW w:w="498" w:type="pct"/>
            <w:vAlign w:val="center"/>
          </w:tcPr>
          <w:p w14:paraId="19F117EE">
            <w:pPr>
              <w:pStyle w:val="12"/>
              <w:jc w:val="center"/>
              <w:rPr>
                <w:rFonts w:ascii="宋体" w:hAnsi="宋体"/>
              </w:rPr>
            </w:pPr>
            <w:r>
              <w:rPr>
                <w:rFonts w:hint="eastAsia" w:ascii="宋体" w:hAnsi="宋体"/>
              </w:rPr>
              <w:t>233.6</w:t>
            </w:r>
          </w:p>
        </w:tc>
        <w:tc>
          <w:tcPr>
            <w:tcW w:w="426" w:type="pct"/>
            <w:vAlign w:val="center"/>
          </w:tcPr>
          <w:p w14:paraId="18A1A7BD">
            <w:pPr>
              <w:pStyle w:val="12"/>
              <w:jc w:val="center"/>
              <w:rPr>
                <w:rFonts w:ascii="宋体" w:hAnsi="宋体"/>
              </w:rPr>
            </w:pPr>
            <w:r>
              <w:rPr>
                <w:rFonts w:hint="eastAsia" w:ascii="宋体" w:hAnsi="宋体"/>
              </w:rPr>
              <w:t>0.7</w:t>
            </w:r>
          </w:p>
        </w:tc>
        <w:tc>
          <w:tcPr>
            <w:tcW w:w="498" w:type="pct"/>
            <w:vAlign w:val="center"/>
          </w:tcPr>
          <w:p w14:paraId="4DECB2AC">
            <w:pPr>
              <w:pStyle w:val="12"/>
              <w:jc w:val="center"/>
              <w:rPr>
                <w:rFonts w:ascii="宋体" w:hAnsi="宋体"/>
              </w:rPr>
            </w:pPr>
            <w:r>
              <w:rPr>
                <w:rFonts w:hint="eastAsia" w:ascii="宋体" w:hAnsi="宋体"/>
              </w:rPr>
              <w:t>157.97</w:t>
            </w:r>
          </w:p>
        </w:tc>
        <w:tc>
          <w:tcPr>
            <w:tcW w:w="461" w:type="pct"/>
            <w:vAlign w:val="center"/>
          </w:tcPr>
          <w:p w14:paraId="78E5ABA9">
            <w:pPr>
              <w:pStyle w:val="12"/>
              <w:jc w:val="center"/>
              <w:rPr>
                <w:rFonts w:ascii="宋体" w:hAnsi="宋体"/>
              </w:rPr>
            </w:pPr>
            <w:r>
              <w:rPr>
                <w:rFonts w:hint="eastAsia" w:ascii="宋体" w:hAnsi="宋体"/>
              </w:rPr>
              <w:t>20</w:t>
            </w:r>
          </w:p>
        </w:tc>
        <w:tc>
          <w:tcPr>
            <w:tcW w:w="453" w:type="pct"/>
            <w:vAlign w:val="center"/>
          </w:tcPr>
          <w:p w14:paraId="49B4E4BD">
            <w:pPr>
              <w:pStyle w:val="12"/>
              <w:jc w:val="center"/>
              <w:rPr>
                <w:rFonts w:ascii="宋体" w:hAnsi="宋体"/>
              </w:rPr>
            </w:pPr>
            <w:r>
              <w:rPr>
                <w:rFonts w:hint="eastAsia" w:ascii="宋体" w:hAnsi="宋体"/>
              </w:rPr>
              <w:t>52.64</w:t>
            </w:r>
          </w:p>
        </w:tc>
        <w:tc>
          <w:tcPr>
            <w:tcW w:w="461" w:type="pct"/>
            <w:vAlign w:val="center"/>
          </w:tcPr>
          <w:p w14:paraId="0630CF30">
            <w:pPr>
              <w:pStyle w:val="12"/>
              <w:jc w:val="center"/>
              <w:rPr>
                <w:rFonts w:ascii="宋体" w:hAnsi="宋体"/>
              </w:rPr>
            </w:pPr>
            <w:r>
              <w:rPr>
                <w:rFonts w:hint="eastAsia" w:ascii="宋体" w:hAnsi="宋体"/>
              </w:rPr>
              <w:t>85.33</w:t>
            </w:r>
          </w:p>
        </w:tc>
        <w:tc>
          <w:tcPr>
            <w:tcW w:w="498" w:type="pct"/>
            <w:vAlign w:val="center"/>
          </w:tcPr>
          <w:p w14:paraId="7F1FD753">
            <w:pPr>
              <w:pStyle w:val="12"/>
              <w:jc w:val="center"/>
              <w:rPr>
                <w:rFonts w:ascii="宋体" w:hAnsi="宋体"/>
              </w:rPr>
            </w:pPr>
            <w:r>
              <w:rPr>
                <w:rFonts w:hint="eastAsia" w:ascii="宋体" w:hAnsi="宋体"/>
              </w:rPr>
              <w:t>—</w:t>
            </w:r>
          </w:p>
        </w:tc>
        <w:tc>
          <w:tcPr>
            <w:tcW w:w="859" w:type="pct"/>
            <w:vAlign w:val="center"/>
          </w:tcPr>
          <w:p w14:paraId="050526D7">
            <w:pPr>
              <w:pStyle w:val="12"/>
              <w:jc w:val="center"/>
              <w:rPr>
                <w:rFonts w:ascii="宋体" w:hAnsi="宋体"/>
              </w:rPr>
            </w:pPr>
            <w:r>
              <w:rPr>
                <w:rFonts w:hint="eastAsia" w:ascii="宋体" w:hAnsi="宋体"/>
              </w:rPr>
              <w:t>一期1999年</w:t>
            </w:r>
          </w:p>
        </w:tc>
      </w:tr>
      <w:tr w14:paraId="7E4695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5" w:type="pct"/>
            <w:vAlign w:val="center"/>
          </w:tcPr>
          <w:p w14:paraId="083D695C">
            <w:pPr>
              <w:pStyle w:val="12"/>
              <w:jc w:val="center"/>
              <w:rPr>
                <w:rFonts w:ascii="宋体" w:hAnsi="宋体"/>
              </w:rPr>
            </w:pPr>
            <w:r>
              <w:rPr>
                <w:rFonts w:hint="eastAsia" w:ascii="宋体" w:hAnsi="宋体"/>
              </w:rPr>
              <w:t>梅岭</w:t>
            </w:r>
          </w:p>
        </w:tc>
        <w:tc>
          <w:tcPr>
            <w:tcW w:w="439" w:type="pct"/>
            <w:vAlign w:val="center"/>
          </w:tcPr>
          <w:p w14:paraId="6D0B02DD">
            <w:pPr>
              <w:pStyle w:val="12"/>
              <w:jc w:val="center"/>
              <w:rPr>
                <w:rFonts w:ascii="宋体" w:hAnsi="宋体"/>
              </w:rPr>
            </w:pPr>
            <w:r>
              <w:rPr>
                <w:rFonts w:hint="eastAsia" w:ascii="宋体" w:hAnsi="宋体"/>
              </w:rPr>
              <w:t>0.43</w:t>
            </w:r>
          </w:p>
        </w:tc>
        <w:tc>
          <w:tcPr>
            <w:tcW w:w="498" w:type="pct"/>
            <w:vAlign w:val="center"/>
          </w:tcPr>
          <w:p w14:paraId="418051D3">
            <w:pPr>
              <w:pStyle w:val="12"/>
              <w:jc w:val="center"/>
              <w:rPr>
                <w:rFonts w:ascii="宋体" w:hAnsi="宋体"/>
              </w:rPr>
            </w:pPr>
            <w:r>
              <w:rPr>
                <w:rFonts w:hint="eastAsia" w:ascii="宋体" w:hAnsi="宋体"/>
              </w:rPr>
              <w:t>157</w:t>
            </w:r>
          </w:p>
        </w:tc>
        <w:tc>
          <w:tcPr>
            <w:tcW w:w="426" w:type="pct"/>
            <w:vAlign w:val="center"/>
          </w:tcPr>
          <w:p w14:paraId="53B11C16">
            <w:pPr>
              <w:pStyle w:val="12"/>
              <w:jc w:val="center"/>
              <w:rPr>
                <w:rFonts w:ascii="宋体" w:hAnsi="宋体"/>
              </w:rPr>
            </w:pPr>
            <w:r>
              <w:rPr>
                <w:rFonts w:hint="eastAsia" w:ascii="宋体" w:hAnsi="宋体"/>
              </w:rPr>
              <w:t>0.47</w:t>
            </w:r>
          </w:p>
        </w:tc>
        <w:tc>
          <w:tcPr>
            <w:tcW w:w="498" w:type="pct"/>
            <w:vAlign w:val="center"/>
          </w:tcPr>
          <w:p w14:paraId="6BA8C125">
            <w:pPr>
              <w:pStyle w:val="12"/>
              <w:jc w:val="center"/>
              <w:rPr>
                <w:rFonts w:ascii="宋体" w:hAnsi="宋体"/>
              </w:rPr>
            </w:pPr>
            <w:r>
              <w:rPr>
                <w:rFonts w:hint="eastAsia" w:ascii="宋体" w:hAnsi="宋体"/>
              </w:rPr>
              <w:t>161.2</w:t>
            </w:r>
          </w:p>
        </w:tc>
        <w:tc>
          <w:tcPr>
            <w:tcW w:w="461" w:type="pct"/>
            <w:vAlign w:val="center"/>
          </w:tcPr>
          <w:p w14:paraId="721D0686">
            <w:pPr>
              <w:pStyle w:val="12"/>
              <w:jc w:val="center"/>
              <w:rPr>
                <w:rFonts w:ascii="宋体" w:hAnsi="宋体"/>
              </w:rPr>
            </w:pPr>
            <w:r>
              <w:rPr>
                <w:rFonts w:hint="eastAsia" w:ascii="宋体" w:hAnsi="宋体"/>
              </w:rPr>
              <w:t>60</w:t>
            </w:r>
          </w:p>
        </w:tc>
        <w:tc>
          <w:tcPr>
            <w:tcW w:w="453" w:type="pct"/>
            <w:vAlign w:val="center"/>
          </w:tcPr>
          <w:p w14:paraId="48370FB8">
            <w:pPr>
              <w:pStyle w:val="12"/>
              <w:jc w:val="center"/>
              <w:rPr>
                <w:rFonts w:ascii="宋体" w:hAnsi="宋体"/>
              </w:rPr>
            </w:pPr>
            <w:r>
              <w:rPr>
                <w:rFonts w:hint="eastAsia" w:ascii="宋体" w:hAnsi="宋体"/>
              </w:rPr>
              <w:t>43.73</w:t>
            </w:r>
          </w:p>
        </w:tc>
        <w:tc>
          <w:tcPr>
            <w:tcW w:w="461" w:type="pct"/>
            <w:vAlign w:val="center"/>
          </w:tcPr>
          <w:p w14:paraId="3FF7CC0B">
            <w:pPr>
              <w:pStyle w:val="12"/>
              <w:jc w:val="center"/>
              <w:rPr>
                <w:rFonts w:ascii="宋体" w:hAnsi="宋体"/>
              </w:rPr>
            </w:pPr>
            <w:r>
              <w:rPr>
                <w:rFonts w:hint="eastAsia" w:ascii="宋体" w:hAnsi="宋体"/>
              </w:rPr>
              <w:t>57.47</w:t>
            </w:r>
          </w:p>
        </w:tc>
        <w:tc>
          <w:tcPr>
            <w:tcW w:w="498" w:type="pct"/>
            <w:vAlign w:val="center"/>
          </w:tcPr>
          <w:p w14:paraId="629CC198">
            <w:pPr>
              <w:pStyle w:val="12"/>
              <w:jc w:val="center"/>
              <w:rPr>
                <w:rFonts w:ascii="宋体" w:hAnsi="宋体"/>
              </w:rPr>
            </w:pPr>
            <w:r>
              <w:rPr>
                <w:rFonts w:hint="eastAsia" w:ascii="宋体" w:hAnsi="宋体"/>
              </w:rPr>
              <w:t>—</w:t>
            </w:r>
          </w:p>
        </w:tc>
        <w:tc>
          <w:tcPr>
            <w:tcW w:w="859" w:type="pct"/>
            <w:vAlign w:val="center"/>
          </w:tcPr>
          <w:p w14:paraId="1A310F8C">
            <w:pPr>
              <w:pStyle w:val="12"/>
              <w:jc w:val="center"/>
              <w:rPr>
                <w:rFonts w:ascii="宋体" w:hAnsi="宋体"/>
              </w:rPr>
            </w:pPr>
            <w:r>
              <w:rPr>
                <w:rFonts w:hint="eastAsia" w:ascii="宋体" w:hAnsi="宋体"/>
              </w:rPr>
              <w:t>一期2000年</w:t>
            </w:r>
          </w:p>
        </w:tc>
      </w:tr>
      <w:tr w14:paraId="1E7813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5" w:type="pct"/>
            <w:vAlign w:val="center"/>
          </w:tcPr>
          <w:p w14:paraId="01F7F485">
            <w:pPr>
              <w:pStyle w:val="12"/>
              <w:jc w:val="center"/>
              <w:rPr>
                <w:rFonts w:ascii="宋体" w:hAnsi="宋体"/>
              </w:rPr>
            </w:pPr>
            <w:r>
              <w:rPr>
                <w:rFonts w:hint="eastAsia" w:ascii="宋体" w:hAnsi="宋体"/>
              </w:rPr>
              <w:t>主田</w:t>
            </w:r>
          </w:p>
        </w:tc>
        <w:tc>
          <w:tcPr>
            <w:tcW w:w="439" w:type="pct"/>
            <w:vAlign w:val="center"/>
          </w:tcPr>
          <w:p w14:paraId="332ED79C">
            <w:pPr>
              <w:pStyle w:val="12"/>
              <w:jc w:val="center"/>
              <w:rPr>
                <w:rFonts w:ascii="宋体" w:hAnsi="宋体"/>
              </w:rPr>
            </w:pPr>
            <w:r>
              <w:rPr>
                <w:rFonts w:hint="eastAsia" w:ascii="宋体" w:hAnsi="宋体"/>
              </w:rPr>
              <w:t>0.68</w:t>
            </w:r>
          </w:p>
        </w:tc>
        <w:tc>
          <w:tcPr>
            <w:tcW w:w="498" w:type="pct"/>
            <w:vAlign w:val="center"/>
          </w:tcPr>
          <w:p w14:paraId="7BA63FC3">
            <w:pPr>
              <w:pStyle w:val="12"/>
              <w:jc w:val="center"/>
              <w:rPr>
                <w:rFonts w:ascii="宋体" w:hAnsi="宋体"/>
              </w:rPr>
            </w:pPr>
            <w:r>
              <w:rPr>
                <w:rFonts w:hint="eastAsia" w:ascii="宋体" w:hAnsi="宋体"/>
              </w:rPr>
              <w:t>248.3</w:t>
            </w:r>
          </w:p>
        </w:tc>
        <w:tc>
          <w:tcPr>
            <w:tcW w:w="426" w:type="pct"/>
            <w:vAlign w:val="center"/>
          </w:tcPr>
          <w:p w14:paraId="19F1BA60">
            <w:pPr>
              <w:pStyle w:val="12"/>
              <w:jc w:val="center"/>
              <w:rPr>
                <w:rFonts w:ascii="宋体" w:hAnsi="宋体"/>
              </w:rPr>
            </w:pPr>
            <w:r>
              <w:rPr>
                <w:rFonts w:hint="eastAsia" w:ascii="宋体" w:hAnsi="宋体"/>
              </w:rPr>
              <w:t>0.4</w:t>
            </w:r>
          </w:p>
        </w:tc>
        <w:tc>
          <w:tcPr>
            <w:tcW w:w="498" w:type="pct"/>
            <w:vAlign w:val="center"/>
          </w:tcPr>
          <w:p w14:paraId="5856003F">
            <w:pPr>
              <w:pStyle w:val="12"/>
              <w:jc w:val="center"/>
              <w:rPr>
                <w:rFonts w:ascii="宋体" w:hAnsi="宋体"/>
              </w:rPr>
            </w:pPr>
            <w:r>
              <w:rPr>
                <w:rFonts w:hint="eastAsia" w:ascii="宋体" w:hAnsi="宋体"/>
              </w:rPr>
              <w:t>130</w:t>
            </w:r>
          </w:p>
        </w:tc>
        <w:tc>
          <w:tcPr>
            <w:tcW w:w="461" w:type="pct"/>
            <w:vAlign w:val="center"/>
          </w:tcPr>
          <w:p w14:paraId="0C2E5FB6">
            <w:pPr>
              <w:pStyle w:val="12"/>
              <w:jc w:val="center"/>
              <w:rPr>
                <w:rFonts w:ascii="宋体" w:hAnsi="宋体"/>
              </w:rPr>
            </w:pPr>
            <w:r>
              <w:rPr>
                <w:rFonts w:hint="eastAsia" w:ascii="宋体" w:hAnsi="宋体"/>
              </w:rPr>
              <w:t>30</w:t>
            </w:r>
          </w:p>
        </w:tc>
        <w:tc>
          <w:tcPr>
            <w:tcW w:w="453" w:type="pct"/>
            <w:vAlign w:val="center"/>
          </w:tcPr>
          <w:p w14:paraId="260110CB">
            <w:pPr>
              <w:pStyle w:val="12"/>
              <w:jc w:val="center"/>
              <w:rPr>
                <w:rFonts w:ascii="宋体" w:hAnsi="宋体"/>
              </w:rPr>
            </w:pPr>
            <w:r>
              <w:rPr>
                <w:rFonts w:hint="eastAsia" w:ascii="宋体" w:hAnsi="宋体"/>
              </w:rPr>
              <w:t>—</w:t>
            </w:r>
          </w:p>
        </w:tc>
        <w:tc>
          <w:tcPr>
            <w:tcW w:w="461" w:type="pct"/>
            <w:vAlign w:val="center"/>
          </w:tcPr>
          <w:p w14:paraId="4617F98A">
            <w:pPr>
              <w:pStyle w:val="12"/>
              <w:jc w:val="center"/>
              <w:rPr>
                <w:rFonts w:ascii="宋体" w:hAnsi="宋体"/>
              </w:rPr>
            </w:pPr>
            <w:r>
              <w:rPr>
                <w:rFonts w:hint="eastAsia" w:ascii="宋体" w:hAnsi="宋体"/>
              </w:rPr>
              <w:t>43.33</w:t>
            </w:r>
          </w:p>
        </w:tc>
        <w:tc>
          <w:tcPr>
            <w:tcW w:w="498" w:type="pct"/>
            <w:vAlign w:val="center"/>
          </w:tcPr>
          <w:p w14:paraId="42A79774">
            <w:pPr>
              <w:pStyle w:val="12"/>
              <w:jc w:val="center"/>
              <w:rPr>
                <w:rFonts w:ascii="宋体" w:hAnsi="宋体"/>
              </w:rPr>
            </w:pPr>
            <w:r>
              <w:rPr>
                <w:rFonts w:hint="eastAsia" w:ascii="宋体" w:hAnsi="宋体"/>
              </w:rPr>
              <w:t>56.67</w:t>
            </w:r>
          </w:p>
        </w:tc>
        <w:tc>
          <w:tcPr>
            <w:tcW w:w="859" w:type="pct"/>
            <w:vAlign w:val="center"/>
          </w:tcPr>
          <w:p w14:paraId="1490F2AB">
            <w:pPr>
              <w:pStyle w:val="12"/>
              <w:jc w:val="center"/>
              <w:rPr>
                <w:rFonts w:ascii="宋体" w:hAnsi="宋体"/>
              </w:rPr>
            </w:pPr>
            <w:r>
              <w:rPr>
                <w:rFonts w:hint="eastAsia" w:ascii="宋体" w:hAnsi="宋体"/>
              </w:rPr>
              <w:t>一期2001年</w:t>
            </w:r>
          </w:p>
        </w:tc>
      </w:tr>
      <w:tr w14:paraId="5966F8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5" w:type="pct"/>
            <w:vAlign w:val="center"/>
          </w:tcPr>
          <w:p w14:paraId="176E3FD4">
            <w:pPr>
              <w:pStyle w:val="12"/>
              <w:jc w:val="center"/>
              <w:rPr>
                <w:rFonts w:ascii="宋体" w:hAnsi="宋体"/>
              </w:rPr>
            </w:pPr>
            <w:r>
              <w:rPr>
                <w:rFonts w:hint="eastAsia" w:ascii="宋体" w:hAnsi="宋体"/>
              </w:rPr>
              <w:t>新龙</w:t>
            </w:r>
          </w:p>
        </w:tc>
        <w:tc>
          <w:tcPr>
            <w:tcW w:w="439" w:type="pct"/>
            <w:vAlign w:val="center"/>
          </w:tcPr>
          <w:p w14:paraId="4073B887">
            <w:pPr>
              <w:pStyle w:val="12"/>
              <w:jc w:val="center"/>
              <w:rPr>
                <w:rFonts w:ascii="宋体" w:hAnsi="宋体"/>
              </w:rPr>
            </w:pPr>
            <w:r>
              <w:rPr>
                <w:rFonts w:hint="eastAsia" w:ascii="宋体" w:hAnsi="宋体"/>
              </w:rPr>
              <w:t>0.3</w:t>
            </w:r>
          </w:p>
        </w:tc>
        <w:tc>
          <w:tcPr>
            <w:tcW w:w="498" w:type="pct"/>
            <w:vAlign w:val="center"/>
          </w:tcPr>
          <w:p w14:paraId="2376F4EE">
            <w:pPr>
              <w:pStyle w:val="12"/>
              <w:jc w:val="center"/>
              <w:rPr>
                <w:rFonts w:ascii="宋体" w:hAnsi="宋体"/>
              </w:rPr>
            </w:pPr>
            <w:r>
              <w:rPr>
                <w:rFonts w:hint="eastAsia" w:ascii="宋体" w:hAnsi="宋体"/>
              </w:rPr>
              <w:t>109.4</w:t>
            </w:r>
          </w:p>
        </w:tc>
        <w:tc>
          <w:tcPr>
            <w:tcW w:w="426" w:type="pct"/>
            <w:vAlign w:val="center"/>
          </w:tcPr>
          <w:p w14:paraId="39973244">
            <w:pPr>
              <w:pStyle w:val="12"/>
              <w:jc w:val="center"/>
              <w:rPr>
                <w:rFonts w:ascii="宋体" w:hAnsi="宋体"/>
              </w:rPr>
            </w:pPr>
            <w:r>
              <w:rPr>
                <w:rFonts w:hint="eastAsia" w:ascii="宋体" w:hAnsi="宋体"/>
              </w:rPr>
              <w:t>0.4</w:t>
            </w:r>
          </w:p>
        </w:tc>
        <w:tc>
          <w:tcPr>
            <w:tcW w:w="498" w:type="pct"/>
            <w:vAlign w:val="center"/>
          </w:tcPr>
          <w:p w14:paraId="3859C57D">
            <w:pPr>
              <w:pStyle w:val="12"/>
              <w:jc w:val="center"/>
              <w:rPr>
                <w:rFonts w:ascii="宋体" w:hAnsi="宋体"/>
              </w:rPr>
            </w:pPr>
            <w:r>
              <w:rPr>
                <w:rFonts w:hint="eastAsia" w:ascii="宋体" w:hAnsi="宋体"/>
              </w:rPr>
              <w:t>67</w:t>
            </w:r>
          </w:p>
        </w:tc>
        <w:tc>
          <w:tcPr>
            <w:tcW w:w="461" w:type="pct"/>
            <w:vAlign w:val="center"/>
          </w:tcPr>
          <w:p w14:paraId="7A89C35D">
            <w:pPr>
              <w:pStyle w:val="12"/>
              <w:jc w:val="center"/>
              <w:rPr>
                <w:rFonts w:ascii="宋体" w:hAnsi="宋体"/>
              </w:rPr>
            </w:pPr>
            <w:r>
              <w:rPr>
                <w:rFonts w:hint="eastAsia" w:ascii="宋体" w:hAnsi="宋体"/>
              </w:rPr>
              <w:t>20</w:t>
            </w:r>
          </w:p>
        </w:tc>
        <w:tc>
          <w:tcPr>
            <w:tcW w:w="453" w:type="pct"/>
            <w:vAlign w:val="center"/>
          </w:tcPr>
          <w:p w14:paraId="36BCB6F4">
            <w:pPr>
              <w:pStyle w:val="12"/>
              <w:jc w:val="center"/>
              <w:rPr>
                <w:rFonts w:ascii="宋体" w:hAnsi="宋体"/>
              </w:rPr>
            </w:pPr>
            <w:r>
              <w:rPr>
                <w:rFonts w:hint="eastAsia" w:ascii="宋体" w:hAnsi="宋体"/>
              </w:rPr>
              <w:t>—</w:t>
            </w:r>
          </w:p>
        </w:tc>
        <w:tc>
          <w:tcPr>
            <w:tcW w:w="461" w:type="pct"/>
            <w:vAlign w:val="center"/>
          </w:tcPr>
          <w:p w14:paraId="79AB980A">
            <w:pPr>
              <w:pStyle w:val="12"/>
              <w:jc w:val="center"/>
              <w:rPr>
                <w:rFonts w:ascii="宋体" w:hAnsi="宋体"/>
              </w:rPr>
            </w:pPr>
            <w:r>
              <w:rPr>
                <w:rFonts w:hint="eastAsia" w:ascii="宋体" w:hAnsi="宋体"/>
              </w:rPr>
              <w:t>20.33</w:t>
            </w:r>
          </w:p>
        </w:tc>
        <w:tc>
          <w:tcPr>
            <w:tcW w:w="498" w:type="pct"/>
            <w:vAlign w:val="center"/>
          </w:tcPr>
          <w:p w14:paraId="4C9852AC">
            <w:pPr>
              <w:pStyle w:val="12"/>
              <w:jc w:val="center"/>
              <w:rPr>
                <w:rFonts w:ascii="宋体" w:hAnsi="宋体"/>
              </w:rPr>
            </w:pPr>
            <w:r>
              <w:rPr>
                <w:rFonts w:hint="eastAsia" w:ascii="宋体" w:hAnsi="宋体"/>
              </w:rPr>
              <w:t>26.67</w:t>
            </w:r>
          </w:p>
        </w:tc>
        <w:tc>
          <w:tcPr>
            <w:tcW w:w="859" w:type="pct"/>
            <w:vAlign w:val="center"/>
          </w:tcPr>
          <w:p w14:paraId="46F6D760">
            <w:pPr>
              <w:pStyle w:val="12"/>
              <w:jc w:val="center"/>
              <w:rPr>
                <w:rFonts w:ascii="宋体" w:hAnsi="宋体"/>
              </w:rPr>
            </w:pPr>
            <w:r>
              <w:rPr>
                <w:rFonts w:hint="eastAsia" w:ascii="宋体" w:hAnsi="宋体"/>
              </w:rPr>
              <w:t>一期2001年</w:t>
            </w:r>
          </w:p>
        </w:tc>
      </w:tr>
      <w:tr w14:paraId="6E7C24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5" w:type="pct"/>
            <w:vAlign w:val="center"/>
          </w:tcPr>
          <w:p w14:paraId="549F64AD">
            <w:pPr>
              <w:pStyle w:val="12"/>
              <w:jc w:val="center"/>
              <w:rPr>
                <w:rFonts w:ascii="宋体" w:hAnsi="宋体"/>
              </w:rPr>
            </w:pPr>
            <w:r>
              <w:rPr>
                <w:rFonts w:hint="eastAsia" w:ascii="宋体" w:hAnsi="宋体"/>
              </w:rPr>
              <w:t>澜河</w:t>
            </w:r>
          </w:p>
        </w:tc>
        <w:tc>
          <w:tcPr>
            <w:tcW w:w="439" w:type="pct"/>
            <w:vAlign w:val="center"/>
          </w:tcPr>
          <w:p w14:paraId="154C96E1">
            <w:pPr>
              <w:pStyle w:val="12"/>
              <w:jc w:val="center"/>
              <w:rPr>
                <w:rFonts w:ascii="宋体" w:hAnsi="宋体"/>
              </w:rPr>
            </w:pPr>
            <w:r>
              <w:rPr>
                <w:rFonts w:hint="eastAsia" w:ascii="宋体" w:hAnsi="宋体"/>
              </w:rPr>
              <w:t>0.65</w:t>
            </w:r>
          </w:p>
        </w:tc>
        <w:tc>
          <w:tcPr>
            <w:tcW w:w="498" w:type="pct"/>
            <w:vAlign w:val="center"/>
          </w:tcPr>
          <w:p w14:paraId="795E915C">
            <w:pPr>
              <w:pStyle w:val="12"/>
              <w:jc w:val="center"/>
              <w:rPr>
                <w:rFonts w:ascii="宋体" w:hAnsi="宋体"/>
              </w:rPr>
            </w:pPr>
            <w:r>
              <w:rPr>
                <w:rFonts w:hint="eastAsia" w:ascii="宋体" w:hAnsi="宋体"/>
              </w:rPr>
              <w:t>238.8</w:t>
            </w:r>
          </w:p>
        </w:tc>
        <w:tc>
          <w:tcPr>
            <w:tcW w:w="426" w:type="pct"/>
            <w:vAlign w:val="center"/>
          </w:tcPr>
          <w:p w14:paraId="46A25EB8">
            <w:pPr>
              <w:pStyle w:val="12"/>
              <w:jc w:val="center"/>
              <w:rPr>
                <w:rFonts w:ascii="宋体" w:hAnsi="宋体"/>
              </w:rPr>
            </w:pPr>
            <w:r>
              <w:rPr>
                <w:rFonts w:hint="eastAsia" w:ascii="宋体" w:hAnsi="宋体"/>
              </w:rPr>
              <w:t>0.2</w:t>
            </w:r>
          </w:p>
        </w:tc>
        <w:tc>
          <w:tcPr>
            <w:tcW w:w="498" w:type="pct"/>
            <w:vAlign w:val="center"/>
          </w:tcPr>
          <w:p w14:paraId="36EC8073">
            <w:pPr>
              <w:pStyle w:val="12"/>
              <w:jc w:val="center"/>
              <w:rPr>
                <w:rFonts w:ascii="宋体" w:hAnsi="宋体"/>
              </w:rPr>
            </w:pPr>
            <w:r>
              <w:rPr>
                <w:rFonts w:hint="eastAsia" w:ascii="宋体" w:hAnsi="宋体"/>
              </w:rPr>
              <w:t>92.78</w:t>
            </w:r>
          </w:p>
        </w:tc>
        <w:tc>
          <w:tcPr>
            <w:tcW w:w="461" w:type="pct"/>
            <w:vAlign w:val="center"/>
          </w:tcPr>
          <w:p w14:paraId="4A5FBDE1">
            <w:pPr>
              <w:pStyle w:val="12"/>
              <w:jc w:val="center"/>
              <w:rPr>
                <w:rFonts w:ascii="宋体" w:hAnsi="宋体"/>
              </w:rPr>
            </w:pPr>
            <w:r>
              <w:rPr>
                <w:rFonts w:hint="eastAsia" w:ascii="宋体" w:hAnsi="宋体"/>
              </w:rPr>
              <w:t>25</w:t>
            </w:r>
          </w:p>
        </w:tc>
        <w:tc>
          <w:tcPr>
            <w:tcW w:w="453" w:type="pct"/>
            <w:vAlign w:val="center"/>
          </w:tcPr>
          <w:p w14:paraId="077D63CC">
            <w:pPr>
              <w:pStyle w:val="12"/>
              <w:jc w:val="center"/>
              <w:rPr>
                <w:rFonts w:ascii="宋体" w:hAnsi="宋体"/>
              </w:rPr>
            </w:pPr>
            <w:r>
              <w:rPr>
                <w:rFonts w:hint="eastAsia" w:ascii="宋体" w:hAnsi="宋体"/>
              </w:rPr>
              <w:t>—</w:t>
            </w:r>
          </w:p>
        </w:tc>
        <w:tc>
          <w:tcPr>
            <w:tcW w:w="461" w:type="pct"/>
            <w:vAlign w:val="center"/>
          </w:tcPr>
          <w:p w14:paraId="41DCB394">
            <w:pPr>
              <w:pStyle w:val="12"/>
              <w:jc w:val="center"/>
              <w:rPr>
                <w:rFonts w:ascii="宋体" w:hAnsi="宋体"/>
              </w:rPr>
            </w:pPr>
            <w:r>
              <w:rPr>
                <w:rFonts w:hint="eastAsia" w:ascii="宋体" w:hAnsi="宋体"/>
              </w:rPr>
              <w:t>29.93</w:t>
            </w:r>
          </w:p>
        </w:tc>
        <w:tc>
          <w:tcPr>
            <w:tcW w:w="498" w:type="pct"/>
            <w:vAlign w:val="center"/>
          </w:tcPr>
          <w:p w14:paraId="7AADCCFF">
            <w:pPr>
              <w:pStyle w:val="12"/>
              <w:jc w:val="center"/>
              <w:rPr>
                <w:rFonts w:ascii="宋体" w:hAnsi="宋体"/>
              </w:rPr>
            </w:pPr>
            <w:r>
              <w:rPr>
                <w:rFonts w:hint="eastAsia" w:ascii="宋体" w:hAnsi="宋体"/>
              </w:rPr>
              <w:t>37.85</w:t>
            </w:r>
          </w:p>
        </w:tc>
        <w:tc>
          <w:tcPr>
            <w:tcW w:w="859" w:type="pct"/>
            <w:vAlign w:val="center"/>
          </w:tcPr>
          <w:p w14:paraId="38052225">
            <w:pPr>
              <w:pStyle w:val="12"/>
              <w:jc w:val="center"/>
              <w:rPr>
                <w:rFonts w:ascii="宋体" w:hAnsi="宋体"/>
              </w:rPr>
            </w:pPr>
            <w:r>
              <w:rPr>
                <w:rFonts w:hint="eastAsia" w:ascii="宋体" w:hAnsi="宋体"/>
              </w:rPr>
              <w:t>自建供水</w:t>
            </w:r>
          </w:p>
          <w:p w14:paraId="6C1A05F9">
            <w:pPr>
              <w:pStyle w:val="12"/>
              <w:jc w:val="center"/>
              <w:rPr>
                <w:rFonts w:ascii="宋体" w:hAnsi="宋体"/>
              </w:rPr>
            </w:pPr>
            <w:r>
              <w:rPr>
                <w:rFonts w:hint="eastAsia" w:ascii="宋体" w:hAnsi="宋体"/>
              </w:rPr>
              <w:t>85万立方米</w:t>
            </w:r>
          </w:p>
        </w:tc>
      </w:tr>
    </w:tbl>
    <w:p w14:paraId="2FFF5666">
      <w:pPr>
        <w:ind w:firstLine="422"/>
        <w:rPr>
          <w:rFonts w:ascii="宋体" w:hAnsi="宋体"/>
          <w:b/>
          <w:szCs w:val="21"/>
        </w:rPr>
      </w:pPr>
      <w:r>
        <w:rPr>
          <w:rFonts w:hint="eastAsia" w:ascii="宋体" w:hAnsi="宋体"/>
          <w:b/>
          <w:szCs w:val="21"/>
        </w:rPr>
        <w:t>说明：</w:t>
      </w:r>
      <w:r>
        <w:rPr>
          <w:rFonts w:ascii="宋体" w:hAnsi="宋体"/>
          <w:b/>
          <w:szCs w:val="21"/>
        </w:rPr>
        <w:t>2001年冬，原苍石镇并入全安镇；孔江镇并入</w:t>
      </w:r>
      <w:r>
        <w:rPr>
          <w:rFonts w:hint="eastAsia" w:ascii="宋体" w:hAnsi="宋体"/>
          <w:b/>
          <w:szCs w:val="21"/>
        </w:rPr>
        <w:t>乌</w:t>
      </w:r>
      <w:r>
        <w:rPr>
          <w:rFonts w:ascii="宋体" w:hAnsi="宋体"/>
          <w:b/>
          <w:szCs w:val="21"/>
        </w:rPr>
        <w:t>迳镇；大塘镇并入油山</w:t>
      </w:r>
      <w:r>
        <w:rPr>
          <w:rFonts w:hint="eastAsia" w:ascii="宋体" w:hAnsi="宋体"/>
          <w:b/>
          <w:szCs w:val="21"/>
        </w:rPr>
        <w:t>镇；新龙镇并入坪田镇；</w:t>
      </w:r>
      <w:r>
        <w:rPr>
          <w:rFonts w:ascii="宋体" w:hAnsi="宋体"/>
          <w:b/>
          <w:szCs w:val="21"/>
        </w:rPr>
        <w:t>2005年，梅岭镇并入珠玑镇。已撤并的镇原建自来水工程</w:t>
      </w:r>
      <w:r>
        <w:rPr>
          <w:rFonts w:hint="eastAsia" w:ascii="宋体" w:hAnsi="宋体"/>
          <w:b/>
          <w:szCs w:val="21"/>
        </w:rPr>
        <w:t>仍保留。</w:t>
      </w:r>
    </w:p>
    <w:p w14:paraId="4728BD11">
      <w:pPr>
        <w:pStyle w:val="5"/>
        <w:rPr>
          <w:rFonts w:ascii="宋体" w:hAnsi="宋体"/>
        </w:rPr>
      </w:pPr>
      <w:r>
        <w:rPr>
          <w:rFonts w:hint="eastAsia" w:ascii="宋体" w:hAnsi="宋体"/>
        </w:rPr>
        <w:t>四、工程建设专记</w:t>
      </w:r>
    </w:p>
    <w:p w14:paraId="4ABF7E8D">
      <w:pPr>
        <w:ind w:firstLine="422"/>
        <w:rPr>
          <w:rFonts w:ascii="宋体" w:hAnsi="宋体"/>
          <w:b/>
          <w:szCs w:val="21"/>
        </w:rPr>
      </w:pPr>
      <w:r>
        <w:rPr>
          <w:rFonts w:hint="eastAsia" w:ascii="宋体" w:hAnsi="宋体"/>
          <w:b/>
          <w:szCs w:val="21"/>
        </w:rPr>
        <w:t>（一）兴建孔江水库纪实</w:t>
      </w:r>
    </w:p>
    <w:p w14:paraId="5173C74E">
      <w:pPr>
        <w:ind w:firstLine="420"/>
        <w:rPr>
          <w:rFonts w:ascii="宋体" w:hAnsi="宋体"/>
          <w:szCs w:val="21"/>
        </w:rPr>
      </w:pPr>
      <w:r>
        <w:rPr>
          <w:rFonts w:ascii="宋体" w:hAnsi="宋体"/>
          <w:szCs w:val="21"/>
        </w:rPr>
        <w:t>1962年7月开始，南雄连续460天未下过一场透雨。1963年5月，境内河流除</w:t>
      </w:r>
      <w:r>
        <w:rPr>
          <w:rFonts w:hint="eastAsia" w:ascii="宋体" w:hAnsi="宋体"/>
          <w:szCs w:val="21"/>
        </w:rPr>
        <w:t>浈江、凌江外全部断流。至</w:t>
      </w:r>
      <w:r>
        <w:rPr>
          <w:rFonts w:ascii="宋体" w:hAnsi="宋体"/>
          <w:szCs w:val="21"/>
        </w:rPr>
        <w:t>9月，大小山塘全部干涸，山坑泉水枯竭。1962年晚稻</w:t>
      </w:r>
      <w:r>
        <w:rPr>
          <w:rFonts w:hint="eastAsia" w:ascii="宋体" w:hAnsi="宋体"/>
          <w:szCs w:val="21"/>
        </w:rPr>
        <w:t>减产</w:t>
      </w:r>
      <w:r>
        <w:rPr>
          <w:rFonts w:ascii="宋体" w:hAnsi="宋体"/>
          <w:szCs w:val="21"/>
        </w:rPr>
        <w:t>1.2万吨，1963年早稻受旱过半，晚稻受旱70%多。严重的旱灾暴露了南雄水</w:t>
      </w:r>
      <w:r>
        <w:rPr>
          <w:rFonts w:hint="eastAsia" w:ascii="宋体" w:hAnsi="宋体"/>
          <w:szCs w:val="21"/>
        </w:rPr>
        <w:t>源短缺，急需兴建大中型蓄水工程，才能从根本上解除旱患。</w:t>
      </w:r>
    </w:p>
    <w:p w14:paraId="5726D789">
      <w:pPr>
        <w:ind w:firstLine="420"/>
        <w:rPr>
          <w:rFonts w:ascii="宋体" w:hAnsi="宋体"/>
          <w:szCs w:val="21"/>
        </w:rPr>
      </w:pPr>
      <w:r>
        <w:rPr>
          <w:rFonts w:ascii="宋体" w:hAnsi="宋体"/>
          <w:szCs w:val="21"/>
        </w:rPr>
        <w:t>1965年春夏间，经水利工程技术人员的勘测设计，兴建孔江水库蓝图出来了</w:t>
      </w:r>
      <w:r>
        <w:rPr>
          <w:rFonts w:hint="eastAsia" w:ascii="宋体" w:hAnsi="宋体"/>
          <w:szCs w:val="21"/>
        </w:rPr>
        <w:t>。水库选址在浈江上游孔江公社鸭子口以上地域。拦河截流主坝，高</w:t>
      </w:r>
      <w:r>
        <w:rPr>
          <w:rFonts w:ascii="宋体" w:hAnsi="宋体"/>
          <w:szCs w:val="21"/>
        </w:rPr>
        <w:t>28米，长260米，</w:t>
      </w:r>
      <w:r>
        <w:rPr>
          <w:rFonts w:hint="eastAsia" w:ascii="宋体" w:hAnsi="宋体"/>
          <w:szCs w:val="21"/>
        </w:rPr>
        <w:t>副坝</w:t>
      </w:r>
      <w:r>
        <w:rPr>
          <w:rFonts w:ascii="宋体" w:hAnsi="宋体"/>
          <w:szCs w:val="21"/>
        </w:rPr>
        <w:t>6座，长904米，库容6800万立方米。灌区主干渠长53.56公里，其中隧洞8</w:t>
      </w:r>
      <w:r>
        <w:rPr>
          <w:rFonts w:hint="eastAsia" w:ascii="宋体" w:hAnsi="宋体"/>
          <w:szCs w:val="21"/>
        </w:rPr>
        <w:t>座长</w:t>
      </w:r>
      <w:r>
        <w:rPr>
          <w:rFonts w:ascii="宋体" w:hAnsi="宋体"/>
          <w:szCs w:val="21"/>
        </w:rPr>
        <w:t>1850米，渡槽7座长2215米。总工程量为土石方247.5万立方米，需动用劳力278万工日。库区受淹村庄24个，444户、2008人，耕地311.27公顷。工程获省水</w:t>
      </w:r>
      <w:r>
        <w:rPr>
          <w:rFonts w:hint="eastAsia" w:ascii="宋体" w:hAnsi="宋体"/>
          <w:szCs w:val="21"/>
        </w:rPr>
        <w:t>利厅批准，列为省管基建工程。</w:t>
      </w:r>
    </w:p>
    <w:p w14:paraId="676D92AA">
      <w:pPr>
        <w:ind w:firstLine="420"/>
        <w:rPr>
          <w:rFonts w:ascii="宋体" w:hAnsi="宋体"/>
          <w:szCs w:val="21"/>
        </w:rPr>
      </w:pPr>
      <w:r>
        <w:rPr>
          <w:rFonts w:ascii="宋体" w:hAnsi="宋体"/>
          <w:szCs w:val="21"/>
        </w:rPr>
        <w:t>1965年8月7日，中共南雄县委决定成立孔江水库工程指挥部，县委书记、县</w:t>
      </w:r>
      <w:r>
        <w:rPr>
          <w:rFonts w:hint="eastAsia" w:ascii="宋体" w:hAnsi="宋体"/>
          <w:szCs w:val="21"/>
        </w:rPr>
        <w:t>长沈会峰任总指挥，赖济标任副总指挥，水电局长陈家铭等有关部门领导为指挥部成员。指挥部决定把原定</w:t>
      </w:r>
      <w:r>
        <w:rPr>
          <w:rFonts w:ascii="宋体" w:hAnsi="宋体"/>
          <w:szCs w:val="21"/>
        </w:rPr>
        <w:t>3年工期缩为2年完成。随即从乌迳、孔江、油山、湖口、水</w:t>
      </w:r>
      <w:r>
        <w:rPr>
          <w:rFonts w:hint="eastAsia" w:ascii="宋体" w:hAnsi="宋体"/>
          <w:szCs w:val="21"/>
        </w:rPr>
        <w:t>口、黎口、珠玑</w:t>
      </w:r>
      <w:r>
        <w:rPr>
          <w:rFonts w:ascii="宋体" w:hAnsi="宋体"/>
          <w:szCs w:val="21"/>
        </w:rPr>
        <w:t>7个公社各抽调基干民兵100人组成专业队上了工地，为大兵团施工</w:t>
      </w:r>
      <w:r>
        <w:rPr>
          <w:rFonts w:hint="eastAsia" w:ascii="宋体" w:hAnsi="宋体"/>
          <w:szCs w:val="21"/>
        </w:rPr>
        <w:t>作准备。</w:t>
      </w:r>
    </w:p>
    <w:p w14:paraId="620223A8">
      <w:pPr>
        <w:ind w:firstLine="420"/>
        <w:rPr>
          <w:rFonts w:ascii="宋体" w:hAnsi="宋体"/>
          <w:szCs w:val="21"/>
        </w:rPr>
      </w:pPr>
      <w:r>
        <w:rPr>
          <w:rFonts w:ascii="宋体" w:hAnsi="宋体"/>
          <w:szCs w:val="21"/>
        </w:rPr>
        <w:t>1966年9月27日，在孔江水库库区举办第一期学习“毛主席著作”训练班，全</w:t>
      </w:r>
      <w:r>
        <w:rPr>
          <w:rFonts w:hint="eastAsia" w:ascii="宋体" w:hAnsi="宋体"/>
          <w:szCs w:val="21"/>
        </w:rPr>
        <w:t>县基干民兵班长以上骨干</w:t>
      </w:r>
      <w:r>
        <w:rPr>
          <w:rFonts w:ascii="宋体" w:hAnsi="宋体"/>
          <w:szCs w:val="21"/>
        </w:rPr>
        <w:t>2375人参加，县武装部干部全力投入办班，实行劳武结合，</w:t>
      </w:r>
      <w:r>
        <w:rPr>
          <w:rFonts w:hint="eastAsia" w:ascii="宋体" w:hAnsi="宋体"/>
          <w:szCs w:val="21"/>
        </w:rPr>
        <w:t>军训</w:t>
      </w:r>
      <w:r>
        <w:rPr>
          <w:rFonts w:ascii="宋体" w:hAnsi="宋体"/>
          <w:szCs w:val="21"/>
        </w:rPr>
        <w:t>14天，劳动19天，不搞劳动定额，不计劳动报酬，每人每</w:t>
      </w:r>
      <w:r>
        <w:rPr>
          <w:rFonts w:hint="eastAsia" w:ascii="宋体" w:hAnsi="宋体"/>
          <w:szCs w:val="21"/>
        </w:rPr>
        <w:t>天</w:t>
      </w:r>
      <w:r>
        <w:rPr>
          <w:rFonts w:ascii="宋体" w:hAnsi="宋体"/>
          <w:szCs w:val="21"/>
        </w:rPr>
        <w:t>只补助伙食费0.25</w:t>
      </w:r>
      <w:r>
        <w:rPr>
          <w:rFonts w:hint="eastAsia" w:ascii="宋体" w:hAnsi="宋体"/>
          <w:szCs w:val="21"/>
        </w:rPr>
        <w:t>元。至</w:t>
      </w:r>
      <w:r>
        <w:rPr>
          <w:rFonts w:ascii="宋体" w:hAnsi="宋体"/>
          <w:szCs w:val="21"/>
        </w:rPr>
        <w:t>10月底，完成了拦河土坝的清基任务，基本完成了隔水墙及1号副坝填土工</w:t>
      </w:r>
      <w:r>
        <w:rPr>
          <w:rFonts w:hint="eastAsia" w:ascii="宋体" w:hAnsi="宋体"/>
          <w:szCs w:val="21"/>
        </w:rPr>
        <w:t>程，还完成了库区运输公路、搭建工棚任务。</w:t>
      </w:r>
    </w:p>
    <w:p w14:paraId="062B6605">
      <w:pPr>
        <w:ind w:firstLine="420"/>
        <w:rPr>
          <w:rFonts w:ascii="宋体" w:hAnsi="宋体"/>
          <w:szCs w:val="21"/>
        </w:rPr>
      </w:pPr>
      <w:r>
        <w:rPr>
          <w:rFonts w:ascii="宋体" w:hAnsi="宋体"/>
          <w:szCs w:val="21"/>
        </w:rPr>
        <w:t>1966年10月25日举办第二期学习班。全县10300名民兵上工地，成立民兵师，</w:t>
      </w:r>
      <w:r>
        <w:rPr>
          <w:rFonts w:hint="eastAsia" w:ascii="宋体" w:hAnsi="宋体"/>
          <w:szCs w:val="21"/>
        </w:rPr>
        <w:t>县武装部部长张凤阁任师长，县委副书记石俊标任政委，赵国兰、谢学俊任副师长，杨青山、何健生、黄铁坚任副政委。下设</w:t>
      </w:r>
      <w:r>
        <w:rPr>
          <w:rFonts w:ascii="宋体" w:hAnsi="宋体"/>
          <w:szCs w:val="21"/>
        </w:rPr>
        <w:t>4个民兵团，由县直机关领导朱定兰、张振</w:t>
      </w:r>
      <w:r>
        <w:rPr>
          <w:rFonts w:hint="eastAsia" w:ascii="宋体" w:hAnsi="宋体"/>
          <w:szCs w:val="21"/>
        </w:rPr>
        <w:t>庄、卢卫群、赖方鸣、王明跃、周群伫、潘传生、朱天德等分别任团长、政委。各公社建立民兵营，大队建民兵连。全部民兵都是自带被席、粮食、工具，工程指挥部只给每人每天</w:t>
      </w:r>
      <w:r>
        <w:rPr>
          <w:rFonts w:ascii="宋体" w:hAnsi="宋体"/>
          <w:szCs w:val="21"/>
        </w:rPr>
        <w:t>0.4元伙食补助，回生产队记工分。白天挖土、运土，晚上在工棚集中学</w:t>
      </w:r>
      <w:r>
        <w:rPr>
          <w:rFonts w:hint="eastAsia" w:ascii="宋体" w:hAnsi="宋体"/>
          <w:szCs w:val="21"/>
        </w:rPr>
        <w:t>习毛主席著作《为人民服务》、《纪念白求恩》、《愚公移山》。人人以张思德、白求恩、愚公为榜样，拼命劳动、不计报酬。水口民兵连</w:t>
      </w:r>
      <w:r>
        <w:rPr>
          <w:rFonts w:ascii="宋体" w:hAnsi="宋体"/>
          <w:szCs w:val="21"/>
        </w:rPr>
        <w:t>12人，创造了396米运距、平</w:t>
      </w:r>
      <w:r>
        <w:rPr>
          <w:rFonts w:hint="eastAsia" w:ascii="宋体" w:hAnsi="宋体"/>
          <w:szCs w:val="21"/>
        </w:rPr>
        <w:t>均人日挑土</w:t>
      </w:r>
      <w:r>
        <w:rPr>
          <w:rFonts w:ascii="宋体" w:hAnsi="宋体"/>
          <w:szCs w:val="21"/>
        </w:rPr>
        <w:t>1.5立方米的纪录。这期学习班于11月28日结束，为期33天，主攻主</w:t>
      </w:r>
      <w:r>
        <w:rPr>
          <w:rFonts w:hint="eastAsia" w:ascii="宋体" w:hAnsi="宋体"/>
          <w:szCs w:val="21"/>
        </w:rPr>
        <w:t>坝，完成土石方</w:t>
      </w:r>
      <w:r>
        <w:rPr>
          <w:rFonts w:ascii="宋体" w:hAnsi="宋体"/>
          <w:szCs w:val="21"/>
        </w:rPr>
        <w:t>10万立方米。更可贵的是万余民兵通过学习，精神焕发，能背诵毛</w:t>
      </w:r>
      <w:r>
        <w:rPr>
          <w:rFonts w:hint="eastAsia" w:ascii="宋体" w:hAnsi="宋体"/>
          <w:szCs w:val="21"/>
        </w:rPr>
        <w:t>泽东著作“老三篇”的</w:t>
      </w:r>
      <w:r>
        <w:rPr>
          <w:rFonts w:ascii="宋体" w:hAnsi="宋体"/>
          <w:szCs w:val="21"/>
        </w:rPr>
        <w:t>2366人。</w:t>
      </w:r>
    </w:p>
    <w:p w14:paraId="33B990D9">
      <w:pPr>
        <w:ind w:firstLine="420"/>
        <w:rPr>
          <w:rFonts w:ascii="宋体" w:hAnsi="宋体"/>
          <w:szCs w:val="21"/>
        </w:rPr>
      </w:pPr>
      <w:r>
        <w:rPr>
          <w:rFonts w:hint="eastAsia" w:ascii="宋体" w:hAnsi="宋体"/>
          <w:szCs w:val="21"/>
        </w:rPr>
        <w:t>第三期学习班</w:t>
      </w:r>
      <w:r>
        <w:rPr>
          <w:rFonts w:ascii="宋体" w:hAnsi="宋体"/>
          <w:szCs w:val="21"/>
        </w:rPr>
        <w:t>8000人，于11月29日开办，一如上期，主攻主副坝。12月12日</w:t>
      </w:r>
      <w:r>
        <w:rPr>
          <w:rFonts w:hint="eastAsia" w:ascii="宋体" w:hAnsi="宋体"/>
          <w:szCs w:val="21"/>
        </w:rPr>
        <w:t>下午</w:t>
      </w:r>
      <w:r>
        <w:rPr>
          <w:rFonts w:ascii="宋体" w:hAnsi="宋体"/>
          <w:szCs w:val="21"/>
        </w:rPr>
        <w:t>6时20分，工棚失火，烧毁工棚21座，衣物一大批。在上级关怀、各方大力支</w:t>
      </w:r>
      <w:r>
        <w:rPr>
          <w:rFonts w:hint="eastAsia" w:ascii="宋体" w:hAnsi="宋体"/>
          <w:szCs w:val="21"/>
        </w:rPr>
        <w:t>援下，一天半时间重建工棚，第三天学习劳动便转入了正轨。至</w:t>
      </w:r>
      <w:r>
        <w:rPr>
          <w:rFonts w:ascii="宋体" w:hAnsi="宋体"/>
          <w:szCs w:val="21"/>
        </w:rPr>
        <w:t>12月底，三期学习</w:t>
      </w:r>
      <w:r>
        <w:rPr>
          <w:rFonts w:hint="eastAsia" w:ascii="宋体" w:hAnsi="宋体"/>
          <w:szCs w:val="21"/>
        </w:rPr>
        <w:t>班结束，三个半月共完成主坝副坝土石方</w:t>
      </w:r>
      <w:r>
        <w:rPr>
          <w:rFonts w:ascii="宋体" w:hAnsi="宋体"/>
          <w:szCs w:val="21"/>
        </w:rPr>
        <w:t>20万立方米。</w:t>
      </w:r>
    </w:p>
    <w:p w14:paraId="469130CE">
      <w:pPr>
        <w:ind w:firstLine="420"/>
        <w:rPr>
          <w:rFonts w:ascii="宋体" w:hAnsi="宋体"/>
          <w:szCs w:val="21"/>
        </w:rPr>
      </w:pPr>
      <w:r>
        <w:rPr>
          <w:rFonts w:hint="eastAsia" w:ascii="宋体" w:hAnsi="宋体"/>
          <w:szCs w:val="21"/>
        </w:rPr>
        <w:t>库区筑坝任务基本完成后，随即转战灌区，指挥部计划打三个战役：第一个战役上</w:t>
      </w:r>
      <w:r>
        <w:rPr>
          <w:rFonts w:ascii="宋体" w:hAnsi="宋体"/>
          <w:szCs w:val="21"/>
        </w:rPr>
        <w:t>4万人，25天，完成100万立方米土方；第二个战役上8000人，30天，完成全线</w:t>
      </w:r>
      <w:r>
        <w:rPr>
          <w:rFonts w:hint="eastAsia" w:ascii="宋体" w:hAnsi="宋体"/>
          <w:szCs w:val="21"/>
        </w:rPr>
        <w:t>石方任务；第三个战役上专业队</w:t>
      </w:r>
      <w:r>
        <w:rPr>
          <w:rFonts w:ascii="宋体" w:hAnsi="宋体"/>
          <w:szCs w:val="21"/>
        </w:rPr>
        <w:t>3000人，完成所有附属建筑物工程。</w:t>
      </w:r>
    </w:p>
    <w:p w14:paraId="56C63861">
      <w:pPr>
        <w:ind w:firstLine="420"/>
        <w:rPr>
          <w:rFonts w:ascii="宋体" w:hAnsi="宋体"/>
          <w:szCs w:val="21"/>
        </w:rPr>
      </w:pPr>
      <w:r>
        <w:rPr>
          <w:rFonts w:ascii="宋体" w:hAnsi="宋体"/>
          <w:szCs w:val="21"/>
        </w:rPr>
        <w:t>1966年12月8日，灌区学“毛泽东著作”训练班开办。50多公里干渠分为4个</w:t>
      </w:r>
      <w:r>
        <w:rPr>
          <w:rFonts w:hint="eastAsia" w:ascii="宋体" w:hAnsi="宋体"/>
          <w:szCs w:val="21"/>
        </w:rPr>
        <w:t>工区，</w:t>
      </w:r>
      <w:r>
        <w:rPr>
          <w:rFonts w:ascii="宋体" w:hAnsi="宋体"/>
          <w:szCs w:val="21"/>
        </w:rPr>
        <w:t>14个公社民兵团，35000人上阵，奋战25天，至1967年1月中结束，完成土</w:t>
      </w:r>
      <w:r>
        <w:rPr>
          <w:rFonts w:hint="eastAsia" w:ascii="宋体" w:hAnsi="宋体"/>
          <w:szCs w:val="21"/>
        </w:rPr>
        <w:t>方</w:t>
      </w:r>
      <w:r>
        <w:rPr>
          <w:rFonts w:ascii="宋体" w:hAnsi="宋体"/>
          <w:szCs w:val="21"/>
        </w:rPr>
        <w:t>70万立方米，石方2万立方米，基本完成战役目标。</w:t>
      </w:r>
    </w:p>
    <w:p w14:paraId="51F7A6E7">
      <w:pPr>
        <w:ind w:firstLine="420"/>
        <w:rPr>
          <w:rFonts w:ascii="宋体" w:hAnsi="宋体"/>
          <w:szCs w:val="21"/>
        </w:rPr>
      </w:pPr>
      <w:r>
        <w:rPr>
          <w:rFonts w:ascii="宋体" w:hAnsi="宋体"/>
          <w:szCs w:val="21"/>
        </w:rPr>
        <w:t>1967年1月，</w:t>
      </w:r>
      <w:r>
        <w:rPr>
          <w:rFonts w:hint="eastAsia" w:ascii="宋体" w:hAnsi="宋体"/>
          <w:szCs w:val="21"/>
        </w:rPr>
        <w:t>“</w:t>
      </w:r>
      <w:r>
        <w:rPr>
          <w:rFonts w:ascii="宋体" w:hAnsi="宋体"/>
          <w:szCs w:val="21"/>
        </w:rPr>
        <w:t>文化大革命</w:t>
      </w:r>
      <w:r>
        <w:rPr>
          <w:rFonts w:hint="eastAsia" w:ascii="宋体" w:hAnsi="宋体"/>
          <w:szCs w:val="21"/>
        </w:rPr>
        <w:t>”</w:t>
      </w:r>
      <w:r>
        <w:rPr>
          <w:rFonts w:ascii="宋体" w:hAnsi="宋体"/>
          <w:szCs w:val="21"/>
        </w:rPr>
        <w:t>夺权风吹到了南雄，县委、县政府及各机关单位被</w:t>
      </w:r>
      <w:r>
        <w:rPr>
          <w:rFonts w:hint="eastAsia" w:ascii="宋体" w:hAnsi="宋体"/>
          <w:szCs w:val="21"/>
        </w:rPr>
        <w:t>“造反派”夺权，原领导人靠边站，无政府主义思潮泛滥，原定计划无法实施。此后，在“文化大革命”中，孔江水库工程处于停停打打状态。其中较大规模的施工是在</w:t>
      </w:r>
      <w:r>
        <w:rPr>
          <w:rFonts w:ascii="宋体" w:hAnsi="宋体"/>
          <w:szCs w:val="21"/>
        </w:rPr>
        <w:t>1973年8月，成立孔江灌区配套工程民兵师，陈德平为政委，洪佳为副政委，</w:t>
      </w:r>
      <w:r>
        <w:rPr>
          <w:rFonts w:hint="eastAsia" w:ascii="宋体" w:hAnsi="宋体"/>
          <w:szCs w:val="21"/>
        </w:rPr>
        <w:t>周儒旺为师长，杨成文、黄铁坚为副师长，组织乌迳、油山、黄坑、邓坊、湖口、珠玑、黎口、水口</w:t>
      </w:r>
      <w:r>
        <w:rPr>
          <w:rFonts w:ascii="宋体" w:hAnsi="宋体"/>
          <w:szCs w:val="21"/>
        </w:rPr>
        <w:t>8个公社民兵团上工地，奋战一个冬春，完成罗田水库、罗田渡槽。1974年春，孔江水库总干渠全线通水，但因配套工程未完成，干渠通水能力只有设</w:t>
      </w:r>
      <w:r>
        <w:rPr>
          <w:rFonts w:hint="eastAsia" w:ascii="宋体" w:hAnsi="宋体"/>
          <w:szCs w:val="21"/>
        </w:rPr>
        <w:t>计流量的一半。</w:t>
      </w:r>
    </w:p>
    <w:p w14:paraId="6468C0D5">
      <w:pPr>
        <w:ind w:firstLine="420"/>
        <w:rPr>
          <w:rFonts w:ascii="宋体" w:hAnsi="宋体"/>
          <w:szCs w:val="21"/>
        </w:rPr>
      </w:pPr>
      <w:r>
        <w:rPr>
          <w:rFonts w:ascii="宋体" w:hAnsi="宋体"/>
          <w:szCs w:val="21"/>
        </w:rPr>
        <w:t>1974年7月，沈会峰重任中共南雄县委书记、县革委会主任。新一轮的灌区工</w:t>
      </w:r>
      <w:r>
        <w:rPr>
          <w:rFonts w:hint="eastAsia" w:ascii="宋体" w:hAnsi="宋体"/>
          <w:szCs w:val="21"/>
        </w:rPr>
        <w:t>程大会战又展开了。</w:t>
      </w:r>
      <w:r>
        <w:rPr>
          <w:rFonts w:ascii="宋体" w:hAnsi="宋体"/>
          <w:szCs w:val="21"/>
        </w:rPr>
        <w:t>11月25日，10个公社12000多名民工上工地，20天完成土石方28万立方米，铺草皮30万平方米。1975年10月，开展二级渠道工程大会战，8个公</w:t>
      </w:r>
      <w:r>
        <w:rPr>
          <w:rFonts w:hint="eastAsia" w:ascii="宋体" w:hAnsi="宋体"/>
          <w:szCs w:val="21"/>
        </w:rPr>
        <w:t>社</w:t>
      </w:r>
      <w:r>
        <w:rPr>
          <w:rFonts w:ascii="宋体" w:hAnsi="宋体"/>
          <w:szCs w:val="21"/>
        </w:rPr>
        <w:t>2万多民工参战，20天完成了11条支圳，总长18.5公里</w:t>
      </w:r>
      <w:r>
        <w:rPr>
          <w:rFonts w:hint="eastAsia" w:ascii="宋体" w:hAnsi="宋体"/>
          <w:szCs w:val="21"/>
        </w:rPr>
        <w:t>。</w:t>
      </w:r>
    </w:p>
    <w:p w14:paraId="4BB1BBD1">
      <w:pPr>
        <w:ind w:firstLine="420"/>
        <w:rPr>
          <w:rFonts w:ascii="宋体" w:hAnsi="宋体"/>
          <w:szCs w:val="21"/>
        </w:rPr>
      </w:pPr>
      <w:r>
        <w:rPr>
          <w:rFonts w:ascii="宋体" w:hAnsi="宋体"/>
          <w:szCs w:val="21"/>
        </w:rPr>
        <w:t>1975年12月，县委决定抽调2800多名青年民兵组成农建兵团。卢章严任兵团政</w:t>
      </w:r>
      <w:r>
        <w:rPr>
          <w:rFonts w:hint="eastAsia" w:ascii="宋体" w:hAnsi="宋体"/>
          <w:szCs w:val="21"/>
        </w:rPr>
        <w:t>委，赖方鸣任团长，黄铁坚、张振林、朱光文、刘德锦分别任副政委、副团长。</w:t>
      </w:r>
      <w:r>
        <w:rPr>
          <w:rFonts w:ascii="宋体" w:hAnsi="宋体"/>
          <w:szCs w:val="21"/>
        </w:rPr>
        <w:t>1976</w:t>
      </w:r>
      <w:r>
        <w:rPr>
          <w:rFonts w:hint="eastAsia" w:ascii="宋体" w:hAnsi="宋体"/>
          <w:szCs w:val="21"/>
        </w:rPr>
        <w:t>年</w:t>
      </w:r>
      <w:r>
        <w:rPr>
          <w:rFonts w:ascii="宋体" w:hAnsi="宋体"/>
          <w:szCs w:val="21"/>
        </w:rPr>
        <w:t>1月13日，农建兵团在油山公社上朔礼堂举行成立大会。16日，14个连队分别奔</w:t>
      </w:r>
      <w:r>
        <w:rPr>
          <w:rFonts w:hint="eastAsia" w:ascii="宋体" w:hAnsi="宋体"/>
          <w:szCs w:val="21"/>
        </w:rPr>
        <w:t>赴</w:t>
      </w:r>
      <w:r>
        <w:rPr>
          <w:rFonts w:ascii="宋体" w:hAnsi="宋体"/>
          <w:szCs w:val="21"/>
        </w:rPr>
        <w:t>38处艰险区段和56项附属建筑工地，苦战1个多月，全面完成了任务。至此，以</w:t>
      </w:r>
      <w:r>
        <w:rPr>
          <w:rFonts w:hint="eastAsia" w:ascii="宋体" w:hAnsi="宋体"/>
          <w:szCs w:val="21"/>
        </w:rPr>
        <w:t>孔江水库为骨干的灌溉网历时</w:t>
      </w:r>
      <w:r>
        <w:rPr>
          <w:rFonts w:ascii="宋体" w:hAnsi="宋体"/>
          <w:szCs w:val="21"/>
        </w:rPr>
        <w:t>10年，宣告建成。这个灌溉网由东到西蜿蜒于浈江北</w:t>
      </w:r>
      <w:r>
        <w:rPr>
          <w:rFonts w:hint="eastAsia" w:ascii="宋体" w:hAnsi="宋体"/>
          <w:szCs w:val="21"/>
        </w:rPr>
        <w:t>岸</w:t>
      </w:r>
      <w:r>
        <w:rPr>
          <w:rFonts w:ascii="宋体" w:hAnsi="宋体"/>
          <w:szCs w:val="21"/>
        </w:rPr>
        <w:t>50多公里，与7座水库、260多口山塘串联，灌溉耕地7666.67公顷。</w:t>
      </w:r>
    </w:p>
    <w:p w14:paraId="688B14F5">
      <w:pPr>
        <w:ind w:firstLine="420"/>
        <w:rPr>
          <w:rFonts w:ascii="宋体" w:hAnsi="宋体"/>
          <w:szCs w:val="21"/>
        </w:rPr>
      </w:pPr>
      <w:r>
        <w:rPr>
          <w:rFonts w:hint="eastAsia" w:ascii="宋体" w:hAnsi="宋体"/>
          <w:szCs w:val="21"/>
        </w:rPr>
        <w:t>孔江水库灌溉系统经过</w:t>
      </w:r>
      <w:r>
        <w:rPr>
          <w:rFonts w:ascii="宋体" w:hAnsi="宋体"/>
          <w:szCs w:val="21"/>
        </w:rPr>
        <w:t>10多年运行之后，出现了老化现象。1987年主坝发现裂</w:t>
      </w:r>
      <w:r>
        <w:rPr>
          <w:rFonts w:hint="eastAsia" w:ascii="宋体" w:hAnsi="宋体"/>
          <w:szCs w:val="21"/>
        </w:rPr>
        <w:t>缝，次年实施灌浆处理。</w:t>
      </w:r>
      <w:r>
        <w:rPr>
          <w:rFonts w:ascii="宋体" w:hAnsi="宋体"/>
          <w:szCs w:val="21"/>
        </w:rPr>
        <w:t>1992年11月成立孔江水库主渠道三面光工程指挥部，对崩</w:t>
      </w:r>
      <w:r>
        <w:rPr>
          <w:rFonts w:hint="eastAsia" w:ascii="宋体" w:hAnsi="宋体"/>
          <w:szCs w:val="21"/>
        </w:rPr>
        <w:t>塌堵塞区段</w:t>
      </w:r>
      <w:r>
        <w:rPr>
          <w:rFonts w:ascii="宋体" w:hAnsi="宋体"/>
          <w:szCs w:val="21"/>
        </w:rPr>
        <w:t>1365米实施浆砌石四面光；对崩漏区段6881米，实施浆砌石三面光；对</w:t>
      </w:r>
      <w:r>
        <w:rPr>
          <w:rFonts w:hint="eastAsia" w:ascii="宋体" w:hAnsi="宋体"/>
          <w:szCs w:val="21"/>
        </w:rPr>
        <w:t>渠底渗漏区段</w:t>
      </w:r>
      <w:r>
        <w:rPr>
          <w:rFonts w:ascii="宋体" w:hAnsi="宋体"/>
          <w:szCs w:val="21"/>
        </w:rPr>
        <w:t>10015米，实施混凝土三面光。同时新建渡槽7座790米，新凿隧洞4</w:t>
      </w:r>
      <w:r>
        <w:rPr>
          <w:rFonts w:hint="eastAsia" w:ascii="宋体" w:hAnsi="宋体"/>
          <w:szCs w:val="21"/>
        </w:rPr>
        <w:t>座</w:t>
      </w:r>
      <w:r>
        <w:rPr>
          <w:rFonts w:ascii="宋体" w:hAnsi="宋体"/>
          <w:szCs w:val="21"/>
        </w:rPr>
        <w:t>584米，加固衬砌老隧洞9座585米，维修加固老渡槽800米，新建附属建筑物198宗，新建管养站4个。1995年3月全面完成。总计工程量：土方14.6万立方米，</w:t>
      </w:r>
      <w:r>
        <w:rPr>
          <w:rFonts w:hint="eastAsia" w:ascii="宋体" w:hAnsi="宋体"/>
          <w:szCs w:val="21"/>
        </w:rPr>
        <w:t>石方</w:t>
      </w:r>
      <w:r>
        <w:rPr>
          <w:rFonts w:ascii="宋体" w:hAnsi="宋体"/>
          <w:szCs w:val="21"/>
        </w:rPr>
        <w:t>7.1万立方米（其中浆砌石5.6万立方米），混凝土1.1万立方米。</w:t>
      </w:r>
    </w:p>
    <w:p w14:paraId="5D2C9F9D">
      <w:pPr>
        <w:ind w:firstLine="422"/>
        <w:rPr>
          <w:rFonts w:ascii="宋体" w:hAnsi="宋体"/>
          <w:b/>
          <w:szCs w:val="21"/>
        </w:rPr>
      </w:pPr>
      <w:r>
        <w:rPr>
          <w:rFonts w:hint="eastAsia" w:ascii="宋体" w:hAnsi="宋体"/>
          <w:b/>
          <w:szCs w:val="21"/>
        </w:rPr>
        <w:t>（二）瀑布水库电站兴建简况</w:t>
      </w:r>
    </w:p>
    <w:p w14:paraId="0B3B2708">
      <w:pPr>
        <w:ind w:firstLine="420"/>
        <w:rPr>
          <w:rFonts w:ascii="宋体" w:hAnsi="宋体"/>
          <w:szCs w:val="21"/>
        </w:rPr>
      </w:pPr>
      <w:r>
        <w:rPr>
          <w:rFonts w:ascii="宋体" w:hAnsi="宋体"/>
          <w:szCs w:val="21"/>
        </w:rPr>
        <w:t>1969年秋，在“备战、备荒、为人民”思想指导下，广东省和韶关市革命委员</w:t>
      </w:r>
      <w:r>
        <w:rPr>
          <w:rFonts w:hint="eastAsia" w:ascii="宋体" w:hAnsi="宋体"/>
          <w:szCs w:val="21"/>
        </w:rPr>
        <w:t>会批准了南雄县革命委员会兴建瀑布水库电站的计划。该项工程集雨面积</w:t>
      </w:r>
      <w:r>
        <w:rPr>
          <w:rFonts w:ascii="宋体" w:hAnsi="宋体"/>
          <w:szCs w:val="21"/>
        </w:rPr>
        <w:t>76平方公</w:t>
      </w:r>
      <w:r>
        <w:rPr>
          <w:rFonts w:hint="eastAsia" w:ascii="宋体" w:hAnsi="宋体"/>
          <w:szCs w:val="21"/>
        </w:rPr>
        <w:t>里，主坝高</w:t>
      </w:r>
      <w:r>
        <w:rPr>
          <w:rFonts w:ascii="宋体" w:hAnsi="宋体"/>
          <w:szCs w:val="21"/>
        </w:rPr>
        <w:t>50.38米，库容3400万立方米，灌溉农田1333.33公顷。放水涵洞直径2.3米，设计流量为3.5立方米／秒，安装二级电站，一级电站为3×500千瓦，二</w:t>
      </w:r>
      <w:r>
        <w:rPr>
          <w:rFonts w:hint="eastAsia" w:ascii="宋体" w:hAnsi="宋体"/>
          <w:szCs w:val="21"/>
        </w:rPr>
        <w:t>级电站为</w:t>
      </w:r>
      <w:r>
        <w:rPr>
          <w:rFonts w:ascii="宋体" w:hAnsi="宋体"/>
          <w:szCs w:val="21"/>
        </w:rPr>
        <w:t>3×1600千瓦，是为全县最大水电站</w:t>
      </w:r>
      <w:r>
        <w:rPr>
          <w:rFonts w:hint="eastAsia" w:ascii="宋体" w:hAnsi="宋体"/>
          <w:szCs w:val="21"/>
        </w:rPr>
        <w:t>。</w:t>
      </w:r>
    </w:p>
    <w:p w14:paraId="31A08AC3">
      <w:pPr>
        <w:ind w:firstLine="420"/>
        <w:rPr>
          <w:rFonts w:ascii="宋体" w:hAnsi="宋体"/>
          <w:szCs w:val="21"/>
        </w:rPr>
      </w:pPr>
      <w:r>
        <w:rPr>
          <w:rFonts w:ascii="宋体" w:hAnsi="宋体"/>
          <w:szCs w:val="21"/>
        </w:rPr>
        <w:t>1970年7月，瀑布工程指挥部成立，王国华（县人武部副部长）任指挥，丁日</w:t>
      </w:r>
      <w:r>
        <w:rPr>
          <w:rFonts w:hint="eastAsia" w:ascii="宋体" w:hAnsi="宋体"/>
          <w:szCs w:val="21"/>
        </w:rPr>
        <w:t>初（县革委会副主任）为副指挥，率领</w:t>
      </w:r>
      <w:r>
        <w:rPr>
          <w:rFonts w:ascii="宋体" w:hAnsi="宋体"/>
          <w:szCs w:val="21"/>
        </w:rPr>
        <w:t>18名科级干部和一批技术人员上工地，边勘</w:t>
      </w:r>
      <w:r>
        <w:rPr>
          <w:rFonts w:hint="eastAsia" w:ascii="宋体" w:hAnsi="宋体"/>
          <w:szCs w:val="21"/>
        </w:rPr>
        <w:t>测，边设计，边为大施工做准备。</w:t>
      </w:r>
      <w:r>
        <w:rPr>
          <w:rFonts w:ascii="宋体" w:hAnsi="宋体"/>
          <w:szCs w:val="21"/>
        </w:rPr>
        <w:t>9月15日，成立中共瀑布工程党委会，陈德平</w:t>
      </w:r>
      <w:r>
        <w:rPr>
          <w:rFonts w:hint="eastAsia" w:ascii="宋体" w:hAnsi="宋体"/>
          <w:szCs w:val="21"/>
        </w:rPr>
        <w:t>（中共南雄县委副书记）为书记，丁日初、王国华为副书记，赖方鸣、陈冠香、陈苏、王庭香为委员。</w:t>
      </w:r>
    </w:p>
    <w:p w14:paraId="4E3A9175">
      <w:pPr>
        <w:ind w:firstLine="420"/>
        <w:rPr>
          <w:rFonts w:ascii="宋体" w:hAnsi="宋体"/>
          <w:szCs w:val="21"/>
        </w:rPr>
      </w:pPr>
      <w:r>
        <w:rPr>
          <w:rFonts w:ascii="宋体" w:hAnsi="宋体"/>
          <w:szCs w:val="21"/>
        </w:rPr>
        <w:t>1970年10月，在瀑布水库电站工地开办民兵学“毛主席著作”训练班，先搭建</w:t>
      </w:r>
      <w:r>
        <w:rPr>
          <w:rFonts w:hint="eastAsia" w:ascii="宋体" w:hAnsi="宋体"/>
          <w:szCs w:val="21"/>
        </w:rPr>
        <w:t>工棚，为大兵团建水库拦河坝作准备。</w:t>
      </w:r>
      <w:r>
        <w:rPr>
          <w:rFonts w:ascii="宋体" w:hAnsi="宋体"/>
          <w:szCs w:val="21"/>
        </w:rPr>
        <w:t>11月，水库大坝工程动工，由13个公社6000</w:t>
      </w:r>
      <w:r>
        <w:rPr>
          <w:rFonts w:hint="eastAsia" w:ascii="宋体" w:hAnsi="宋体"/>
          <w:szCs w:val="21"/>
        </w:rPr>
        <w:t>多民兵参战，至</w:t>
      </w:r>
      <w:r>
        <w:rPr>
          <w:rFonts w:ascii="宋体" w:hAnsi="宋体"/>
          <w:szCs w:val="21"/>
        </w:rPr>
        <w:t>12月底，完成土坝填土6万立方米。为抢过洪水安全关，训练班延</w:t>
      </w:r>
      <w:r>
        <w:rPr>
          <w:rFonts w:hint="eastAsia" w:ascii="宋体" w:hAnsi="宋体"/>
          <w:szCs w:val="21"/>
        </w:rPr>
        <w:t>至</w:t>
      </w:r>
      <w:r>
        <w:rPr>
          <w:rFonts w:ascii="宋体" w:hAnsi="宋体"/>
          <w:szCs w:val="21"/>
        </w:rPr>
        <w:t>1月18日结束，再完成土坝填土5万立方米。春节过后，13个公社再上6000人，</w:t>
      </w:r>
      <w:r>
        <w:rPr>
          <w:rFonts w:hint="eastAsia" w:ascii="宋体" w:hAnsi="宋体"/>
          <w:szCs w:val="21"/>
        </w:rPr>
        <w:t>时间</w:t>
      </w:r>
      <w:r>
        <w:rPr>
          <w:rFonts w:ascii="宋体" w:hAnsi="宋体"/>
          <w:szCs w:val="21"/>
        </w:rPr>
        <w:t>40天，从2月10日至3月20日，完成大坝填土任务，稳渡春夏洪水关</w:t>
      </w:r>
      <w:r>
        <w:rPr>
          <w:rFonts w:hint="eastAsia" w:ascii="宋体" w:hAnsi="宋体"/>
          <w:szCs w:val="21"/>
        </w:rPr>
        <w:t>。</w:t>
      </w:r>
    </w:p>
    <w:p w14:paraId="28148F7A">
      <w:pPr>
        <w:ind w:firstLine="420"/>
        <w:rPr>
          <w:rFonts w:ascii="宋体" w:hAnsi="宋体"/>
          <w:szCs w:val="21"/>
        </w:rPr>
      </w:pPr>
      <w:r>
        <w:rPr>
          <w:rFonts w:ascii="宋体" w:hAnsi="宋体"/>
          <w:szCs w:val="21"/>
        </w:rPr>
        <w:t>1971年4月11日，县委决定全县抽调6%劳力约6500人，以民兵组织形式，由</w:t>
      </w:r>
      <w:r>
        <w:rPr>
          <w:rFonts w:hint="eastAsia" w:ascii="宋体" w:hAnsi="宋体"/>
          <w:szCs w:val="21"/>
        </w:rPr>
        <w:t>公社革委会副主任和武装部长亲自带队上工地，突击完成土坝、溢洪道、输水明渠、灌溉渠道改线等土石方任务。</w:t>
      </w:r>
    </w:p>
    <w:p w14:paraId="62C17E12">
      <w:pPr>
        <w:ind w:firstLine="420"/>
        <w:rPr>
          <w:rFonts w:ascii="宋体" w:hAnsi="宋体"/>
          <w:szCs w:val="21"/>
        </w:rPr>
      </w:pPr>
      <w:r>
        <w:rPr>
          <w:rFonts w:ascii="宋体" w:hAnsi="宋体"/>
          <w:szCs w:val="21"/>
        </w:rPr>
        <w:t>1972年8月5日县革委常委会议决定：8月12日上2000人扫清瀑布电站工程土</w:t>
      </w:r>
      <w:r>
        <w:rPr>
          <w:rFonts w:hint="eastAsia" w:ascii="宋体" w:hAnsi="宋体"/>
          <w:szCs w:val="21"/>
        </w:rPr>
        <w:t>石方尾巴。强调搞劳动定额，落实政策。并组织技术专业施工队，突击各附属建筑工程。为了确保工程质量，工程技术设计人员亲临施工现场，和工人师傅一起施工，发现问题，及时修正设计图纸，直到蓝图变成现实为止。</w:t>
      </w:r>
    </w:p>
    <w:p w14:paraId="3C3CFB14">
      <w:pPr>
        <w:ind w:firstLine="420"/>
        <w:rPr>
          <w:rFonts w:ascii="宋体" w:hAnsi="宋体"/>
          <w:szCs w:val="21"/>
        </w:rPr>
      </w:pPr>
      <w:r>
        <w:rPr>
          <w:rFonts w:ascii="宋体" w:hAnsi="宋体"/>
          <w:szCs w:val="21"/>
        </w:rPr>
        <w:t>1973年，一级电站三台机组共1500千瓦安装完毕投产送电，二级电站二台各1600千瓦机组也安装完毕进行了试机投产。1976年安装第三台机组，根据当时电站</w:t>
      </w:r>
      <w:r>
        <w:rPr>
          <w:rFonts w:hint="eastAsia" w:ascii="宋体" w:hAnsi="宋体"/>
          <w:szCs w:val="21"/>
        </w:rPr>
        <w:t>运行的实际情况，该台机组由</w:t>
      </w:r>
      <w:r>
        <w:rPr>
          <w:rFonts w:ascii="宋体" w:hAnsi="宋体"/>
          <w:szCs w:val="21"/>
        </w:rPr>
        <w:t>1600千瓦改为2000千瓦。至此，瀑布水库电站工程全</w:t>
      </w:r>
      <w:r>
        <w:rPr>
          <w:rFonts w:hint="eastAsia" w:ascii="宋体" w:hAnsi="宋体"/>
          <w:szCs w:val="21"/>
        </w:rPr>
        <w:t>部完成，</w:t>
      </w:r>
      <w:r>
        <w:rPr>
          <w:rFonts w:ascii="宋体" w:hAnsi="宋体"/>
          <w:szCs w:val="21"/>
        </w:rPr>
        <w:t>6台发电机组，合计容量6700千瓦。</w:t>
      </w:r>
    </w:p>
    <w:p w14:paraId="6501F4B2">
      <w:pPr>
        <w:ind w:firstLine="422"/>
        <w:rPr>
          <w:rFonts w:ascii="宋体" w:hAnsi="宋体"/>
          <w:b/>
          <w:szCs w:val="21"/>
        </w:rPr>
      </w:pPr>
      <w:r>
        <w:rPr>
          <w:rFonts w:hint="eastAsia" w:ascii="宋体" w:hAnsi="宋体"/>
          <w:b/>
          <w:szCs w:val="21"/>
        </w:rPr>
        <w:t>（三）苍石水库电站建设始末</w:t>
      </w:r>
    </w:p>
    <w:p w14:paraId="2E6FB84A">
      <w:pPr>
        <w:ind w:firstLine="420"/>
        <w:rPr>
          <w:rFonts w:ascii="宋体" w:hAnsi="宋体"/>
          <w:szCs w:val="21"/>
        </w:rPr>
      </w:pPr>
      <w:r>
        <w:rPr>
          <w:rFonts w:hint="eastAsia" w:ascii="宋体" w:hAnsi="宋体"/>
          <w:szCs w:val="21"/>
        </w:rPr>
        <w:t>苍石水库电站是南雄河流规划中的建设工程之一。规划在大坪河上游建水库，坝后建一级电站，尾水引流</w:t>
      </w:r>
      <w:r>
        <w:rPr>
          <w:rFonts w:ascii="宋体" w:hAnsi="宋体"/>
          <w:szCs w:val="21"/>
        </w:rPr>
        <w:t>8公里外的苍石村附近建二级电站。由于建水库投资大，淹</w:t>
      </w:r>
      <w:r>
        <w:rPr>
          <w:rFonts w:hint="eastAsia" w:ascii="宋体" w:hAnsi="宋体"/>
          <w:szCs w:val="21"/>
        </w:rPr>
        <w:t>没损失多，县政府决定先建二级电站。</w:t>
      </w:r>
      <w:r>
        <w:rPr>
          <w:rFonts w:ascii="宋体" w:hAnsi="宋体"/>
          <w:szCs w:val="21"/>
        </w:rPr>
        <w:t>1972年动工，开辟了部分施工道路，挖了部</w:t>
      </w:r>
      <w:r>
        <w:rPr>
          <w:rFonts w:hint="eastAsia" w:ascii="宋体" w:hAnsi="宋体"/>
          <w:szCs w:val="21"/>
        </w:rPr>
        <w:t>分渠道，完成土方</w:t>
      </w:r>
      <w:r>
        <w:rPr>
          <w:rFonts w:ascii="宋体" w:hAnsi="宋体"/>
          <w:szCs w:val="21"/>
        </w:rPr>
        <w:t>13.2万立方米、石方7万立方米，花费资金20万元。后因资金不</w:t>
      </w:r>
      <w:r>
        <w:rPr>
          <w:rFonts w:hint="eastAsia" w:ascii="宋体" w:hAnsi="宋体"/>
          <w:szCs w:val="21"/>
        </w:rPr>
        <w:t>足而停工</w:t>
      </w:r>
      <w:r>
        <w:rPr>
          <w:rFonts w:ascii="宋体" w:hAnsi="宋体"/>
          <w:szCs w:val="21"/>
        </w:rPr>
        <w:t>10年。</w:t>
      </w:r>
    </w:p>
    <w:p w14:paraId="46D8F6F1">
      <w:pPr>
        <w:ind w:firstLine="420"/>
        <w:rPr>
          <w:rFonts w:ascii="宋体" w:hAnsi="宋体"/>
          <w:szCs w:val="21"/>
        </w:rPr>
      </w:pPr>
      <w:r>
        <w:rPr>
          <w:rFonts w:ascii="宋体" w:hAnsi="宋体"/>
          <w:szCs w:val="21"/>
        </w:rPr>
        <w:t>1983年，县政府决定，续建苍石二级电站。</w:t>
      </w:r>
    </w:p>
    <w:p w14:paraId="17F8F8EE">
      <w:pPr>
        <w:ind w:firstLine="420"/>
        <w:rPr>
          <w:rFonts w:ascii="宋体" w:hAnsi="宋体"/>
          <w:szCs w:val="21"/>
        </w:rPr>
      </w:pPr>
      <w:r>
        <w:rPr>
          <w:rFonts w:ascii="宋体" w:hAnsi="宋体"/>
          <w:szCs w:val="21"/>
        </w:rPr>
        <w:t>1984年春完成了初步设计，建设规模为：土方16.3万立方米、石方10.3万立方</w:t>
      </w:r>
      <w:r>
        <w:rPr>
          <w:rFonts w:hint="eastAsia" w:ascii="宋体" w:hAnsi="宋体"/>
          <w:szCs w:val="21"/>
        </w:rPr>
        <w:t>米，混凝土</w:t>
      </w:r>
      <w:r>
        <w:rPr>
          <w:rFonts w:ascii="宋体" w:hAnsi="宋体"/>
          <w:szCs w:val="21"/>
        </w:rPr>
        <w:t>3100立方米，建水陂1座，水圳8100米，装机3×1250千瓦。工程费765万元，工期3年</w:t>
      </w:r>
      <w:r>
        <w:rPr>
          <w:rFonts w:hint="eastAsia" w:ascii="宋体" w:hAnsi="宋体"/>
          <w:szCs w:val="21"/>
        </w:rPr>
        <w:t>。</w:t>
      </w:r>
    </w:p>
    <w:p w14:paraId="1C863BC4">
      <w:pPr>
        <w:ind w:firstLine="420"/>
        <w:rPr>
          <w:rFonts w:ascii="宋体" w:hAnsi="宋体"/>
          <w:szCs w:val="21"/>
        </w:rPr>
      </w:pPr>
      <w:r>
        <w:rPr>
          <w:rFonts w:ascii="宋体" w:hAnsi="宋体"/>
          <w:szCs w:val="21"/>
        </w:rPr>
        <w:t>1985年1月22日成立苍石二级电站工程指挥部，3月份开始清场、备料、筑路、</w:t>
      </w:r>
      <w:r>
        <w:rPr>
          <w:rFonts w:hint="eastAsia" w:ascii="宋体" w:hAnsi="宋体"/>
          <w:szCs w:val="21"/>
        </w:rPr>
        <w:t>征地等前期工作。</w:t>
      </w:r>
      <w:r>
        <w:rPr>
          <w:rFonts w:ascii="宋体" w:hAnsi="宋体"/>
          <w:szCs w:val="21"/>
        </w:rPr>
        <w:t>5月大施工，1000余人的专业队，在8公里长的渠线上，分5个区</w:t>
      </w:r>
      <w:r>
        <w:rPr>
          <w:rFonts w:hint="eastAsia" w:ascii="宋体" w:hAnsi="宋体"/>
          <w:szCs w:val="21"/>
        </w:rPr>
        <w:t>段施工。工程指挥部与各个专业队分别签订工程承包合同，定任务、定时间、定质量、定报酬（单价）、定安全措施。从水电局系统抽调的施工管理人员负责工程监理。</w:t>
      </w:r>
      <w:r>
        <w:rPr>
          <w:rFonts w:ascii="宋体" w:hAnsi="宋体"/>
          <w:szCs w:val="21"/>
        </w:rPr>
        <w:t>1986年12月，3台机组提前一年投产，发电27.07万千瓦时，1987年发电2018.89万千瓦时。</w:t>
      </w:r>
    </w:p>
    <w:p w14:paraId="664E67A1">
      <w:pPr>
        <w:ind w:firstLine="420"/>
        <w:rPr>
          <w:rFonts w:ascii="宋体" w:hAnsi="宋体"/>
          <w:szCs w:val="21"/>
        </w:rPr>
      </w:pPr>
      <w:r>
        <w:rPr>
          <w:rFonts w:hint="eastAsia" w:ascii="宋体" w:hAnsi="宋体"/>
          <w:szCs w:val="21"/>
        </w:rPr>
        <w:t>二级电站完成后，着手兴建水库工程。</w:t>
      </w:r>
      <w:r>
        <w:rPr>
          <w:rFonts w:ascii="宋体" w:hAnsi="宋体"/>
          <w:szCs w:val="21"/>
        </w:rPr>
        <w:t>1990年由省水电勘测设计院完成设计。</w:t>
      </w:r>
      <w:r>
        <w:rPr>
          <w:rFonts w:hint="eastAsia" w:ascii="宋体" w:hAnsi="宋体"/>
          <w:szCs w:val="21"/>
        </w:rPr>
        <w:t>最大库容</w:t>
      </w:r>
      <w:r>
        <w:rPr>
          <w:rFonts w:ascii="宋体" w:hAnsi="宋体"/>
          <w:szCs w:val="21"/>
        </w:rPr>
        <w:t>1176万立方米，坝址以上集雨面积46.25平方公里，坝高63.8米，坝顶长201米，坝底宽51.83米，坝型为浆砌石重力坝。坝后电站装机2×400千瓦，二级电</w:t>
      </w:r>
      <w:r>
        <w:rPr>
          <w:rFonts w:hint="eastAsia" w:ascii="宋体" w:hAnsi="宋体"/>
          <w:szCs w:val="21"/>
        </w:rPr>
        <w:t>站增加一台</w:t>
      </w:r>
      <w:r>
        <w:rPr>
          <w:rFonts w:ascii="宋体" w:hAnsi="宋体"/>
          <w:szCs w:val="21"/>
        </w:rPr>
        <w:t>1250千瓦机组，工程费5300万元。</w:t>
      </w:r>
    </w:p>
    <w:p w14:paraId="35C3B8BC">
      <w:pPr>
        <w:ind w:firstLine="420"/>
        <w:rPr>
          <w:rFonts w:ascii="宋体" w:hAnsi="宋体"/>
          <w:szCs w:val="21"/>
        </w:rPr>
      </w:pPr>
      <w:r>
        <w:rPr>
          <w:rFonts w:hint="eastAsia" w:ascii="宋体" w:hAnsi="宋体"/>
          <w:szCs w:val="21"/>
        </w:rPr>
        <w:t>工程于</w:t>
      </w:r>
      <w:r>
        <w:rPr>
          <w:rFonts w:ascii="宋体" w:hAnsi="宋体"/>
          <w:szCs w:val="21"/>
        </w:rPr>
        <w:t>1992年11月29日奠基，县水电局工程技术人员负责施工技术设计，按</w:t>
      </w:r>
      <w:r>
        <w:rPr>
          <w:rFonts w:hint="eastAsia" w:ascii="宋体" w:hAnsi="宋体"/>
          <w:szCs w:val="21"/>
        </w:rPr>
        <w:t>设计书对照地形、地质寻求最佳方案。坝址两端山坡陡峭，原设计用“钢绳索道”运输建筑材料，经技术人员反复勘测研究，改为开辟“之”字道路。又把压力管轴线下移</w:t>
      </w:r>
      <w:r>
        <w:rPr>
          <w:rFonts w:ascii="宋体" w:hAnsi="宋体"/>
          <w:szCs w:val="21"/>
        </w:rPr>
        <w:t>7.5米，减少管长20米。两项共节省工程费600多万元。施工期间，水电局</w:t>
      </w:r>
      <w:r>
        <w:rPr>
          <w:rFonts w:hint="eastAsia" w:ascii="宋体" w:hAnsi="宋体"/>
          <w:szCs w:val="21"/>
        </w:rPr>
        <w:t>领导轮流上阵，驻守工地。副局长黄俊英带领水电工程队奋战</w:t>
      </w:r>
      <w:r>
        <w:rPr>
          <w:rFonts w:ascii="宋体" w:hAnsi="宋体"/>
          <w:szCs w:val="21"/>
        </w:rPr>
        <w:t>20多个昼夜，清除坝</w:t>
      </w:r>
      <w:r>
        <w:rPr>
          <w:rFonts w:hint="eastAsia" w:ascii="宋体" w:hAnsi="宋体"/>
          <w:szCs w:val="21"/>
        </w:rPr>
        <w:t>基坑洞沙石，最深处达</w:t>
      </w:r>
      <w:r>
        <w:rPr>
          <w:rFonts w:ascii="宋体" w:hAnsi="宋体"/>
          <w:szCs w:val="21"/>
        </w:rPr>
        <w:t>6米多，用1600多立方米混凝土填塞坑洞，铺平坝基河床。</w:t>
      </w:r>
      <w:r>
        <w:rPr>
          <w:rFonts w:hint="eastAsia" w:ascii="宋体" w:hAnsi="宋体"/>
          <w:szCs w:val="21"/>
        </w:rPr>
        <w:t>继由副局长黄履光带领工程队连年施工砌筑大坝至</w:t>
      </w:r>
      <w:r>
        <w:rPr>
          <w:rFonts w:ascii="宋体" w:hAnsi="宋体"/>
          <w:szCs w:val="21"/>
        </w:rPr>
        <w:t>26米高。再由副局长陈庆明上阵</w:t>
      </w:r>
      <w:r>
        <w:rPr>
          <w:rFonts w:hint="eastAsia" w:ascii="宋体" w:hAnsi="宋体"/>
          <w:szCs w:val="21"/>
        </w:rPr>
        <w:t>，奋战一年，大坝完成。已退休的副局长郭良才则一直坚持在工地参与施工管理。</w:t>
      </w:r>
    </w:p>
    <w:p w14:paraId="761712E5">
      <w:pPr>
        <w:ind w:firstLine="420"/>
        <w:rPr>
          <w:rFonts w:ascii="宋体" w:hAnsi="宋体"/>
          <w:szCs w:val="21"/>
        </w:rPr>
      </w:pPr>
      <w:r>
        <w:rPr>
          <w:rFonts w:hint="eastAsia" w:ascii="宋体" w:hAnsi="宋体"/>
          <w:szCs w:val="21"/>
        </w:rPr>
        <w:t>苍石水库电站于</w:t>
      </w:r>
      <w:r>
        <w:rPr>
          <w:rFonts w:ascii="宋体" w:hAnsi="宋体"/>
          <w:szCs w:val="21"/>
        </w:rPr>
        <w:t>2001年10月竣工，前后2期工程，施工历时11年多。</w:t>
      </w:r>
    </w:p>
    <w:p w14:paraId="55B1CBBF">
      <w:pPr>
        <w:pStyle w:val="4"/>
        <w:rPr>
          <w:rFonts w:ascii="宋体" w:hAnsi="宋体"/>
        </w:rPr>
      </w:pPr>
      <w:r>
        <w:rPr>
          <w:rFonts w:hint="eastAsia" w:ascii="宋体" w:hAnsi="宋体"/>
        </w:rPr>
        <w:t>第三节  水利工程管理</w:t>
      </w:r>
    </w:p>
    <w:p w14:paraId="4F520762">
      <w:pPr>
        <w:ind w:firstLine="420"/>
        <w:rPr>
          <w:rFonts w:ascii="宋体" w:hAnsi="宋体"/>
          <w:szCs w:val="21"/>
        </w:rPr>
      </w:pPr>
      <w:r>
        <w:rPr>
          <w:rFonts w:hint="eastAsia" w:ascii="宋体" w:hAnsi="宋体"/>
          <w:szCs w:val="21"/>
        </w:rPr>
        <w:t>水利工程管理，坚持“谁受益，谁负责”的原则，采取分级负责管理办法：受益地域跨乡镇的工程由市水利局管理；一个乡镇内受益的工程由所在乡镇管理；一个村受益的工程由村委会和村民小组管理。</w:t>
      </w:r>
      <w:r>
        <w:rPr>
          <w:rFonts w:ascii="宋体" w:hAnsi="宋体"/>
          <w:szCs w:val="21"/>
        </w:rPr>
        <w:t>1988年7月实施《中华人民共和国水法》，</w:t>
      </w:r>
      <w:r>
        <w:rPr>
          <w:rFonts w:hint="eastAsia" w:ascii="宋体" w:hAnsi="宋体"/>
          <w:szCs w:val="21"/>
        </w:rPr>
        <w:t>水利工程管理执行“改革、安全、效益、搞活”方针。</w:t>
      </w:r>
      <w:r>
        <w:rPr>
          <w:rFonts w:ascii="宋体" w:hAnsi="宋体"/>
          <w:szCs w:val="21"/>
        </w:rPr>
        <w:t>1995年3月，省水电厅在全</w:t>
      </w:r>
      <w:r>
        <w:rPr>
          <w:rFonts w:hint="eastAsia" w:ascii="宋体" w:hAnsi="宋体"/>
          <w:szCs w:val="21"/>
        </w:rPr>
        <w:t>省水利工程管理会议上提出“强化水利管理，发展水利经济，加快脱贫致富步伐，实现水利良性循环”指导思想。</w:t>
      </w:r>
      <w:r>
        <w:rPr>
          <w:rFonts w:ascii="宋体" w:hAnsi="宋体"/>
          <w:szCs w:val="21"/>
        </w:rPr>
        <w:t>1998年起，实施省八届人大《解决小型水库安全隐</w:t>
      </w:r>
      <w:r>
        <w:rPr>
          <w:rFonts w:hint="eastAsia" w:ascii="宋体" w:hAnsi="宋体"/>
          <w:szCs w:val="21"/>
        </w:rPr>
        <w:t>患问题议案》，小型水库工程管理以除险加固为主。</w:t>
      </w:r>
    </w:p>
    <w:p w14:paraId="5BC94A04">
      <w:pPr>
        <w:pStyle w:val="5"/>
        <w:rPr>
          <w:rFonts w:ascii="宋体" w:hAnsi="宋体"/>
        </w:rPr>
      </w:pPr>
      <w:r>
        <w:rPr>
          <w:rFonts w:hint="eastAsia" w:ascii="宋体" w:hAnsi="宋体"/>
        </w:rPr>
        <w:t>一、管理机构</w:t>
      </w:r>
    </w:p>
    <w:p w14:paraId="641D4D38">
      <w:pPr>
        <w:ind w:firstLine="422"/>
        <w:rPr>
          <w:rFonts w:ascii="宋体" w:hAnsi="宋体"/>
          <w:b/>
          <w:szCs w:val="21"/>
        </w:rPr>
      </w:pPr>
      <w:r>
        <w:rPr>
          <w:rFonts w:hint="eastAsia" w:ascii="宋体" w:hAnsi="宋体"/>
          <w:b/>
          <w:szCs w:val="21"/>
        </w:rPr>
        <w:t>（一）市管工程管理机构</w:t>
      </w:r>
    </w:p>
    <w:p w14:paraId="048B03A3">
      <w:pPr>
        <w:ind w:firstLine="420"/>
        <w:rPr>
          <w:rFonts w:ascii="宋体" w:hAnsi="宋体"/>
          <w:szCs w:val="21"/>
        </w:rPr>
      </w:pPr>
      <w:r>
        <w:rPr>
          <w:rFonts w:hint="eastAsia" w:ascii="宋体" w:hAnsi="宋体"/>
          <w:szCs w:val="21"/>
        </w:rPr>
        <w:t>灌溉区域跨乡镇的中小型水库现有孔江、横江、宝江、太源、乌坭、蛇岭、梅花、瀑布、中坪、苍石</w:t>
      </w:r>
      <w:r>
        <w:rPr>
          <w:rFonts w:ascii="宋体" w:hAnsi="宋体"/>
          <w:szCs w:val="21"/>
        </w:rPr>
        <w:t>10个，共设8个工程管理所和8个水利水电管理委员会（简</w:t>
      </w:r>
      <w:r>
        <w:rPr>
          <w:rFonts w:hint="eastAsia" w:ascii="宋体" w:hAnsi="宋体"/>
          <w:szCs w:val="21"/>
        </w:rPr>
        <w:t>称水管会）。</w:t>
      </w:r>
    </w:p>
    <w:p w14:paraId="77D0FEEF">
      <w:pPr>
        <w:ind w:firstLine="420"/>
        <w:rPr>
          <w:rFonts w:ascii="宋体" w:hAnsi="宋体"/>
          <w:szCs w:val="21"/>
        </w:rPr>
      </w:pPr>
      <w:r>
        <w:rPr>
          <w:rFonts w:ascii="宋体" w:hAnsi="宋体"/>
          <w:szCs w:val="21"/>
        </w:rPr>
        <w:t>8个工程管理所是：孔江、横江（含罗田水库）、宝江（含梅花水库）、太源、</w:t>
      </w:r>
      <w:r>
        <w:rPr>
          <w:rFonts w:hint="eastAsia" w:ascii="宋体" w:hAnsi="宋体"/>
          <w:szCs w:val="21"/>
        </w:rPr>
        <w:t>乌坭、蛇岭水库和瀑布灌区、中坪灌区工程管理所。另外，</w:t>
      </w:r>
      <w:r>
        <w:rPr>
          <w:rFonts w:ascii="宋体" w:hAnsi="宋体"/>
          <w:szCs w:val="21"/>
        </w:rPr>
        <w:t>200</w:t>
      </w:r>
      <w:r>
        <w:rPr>
          <w:rFonts w:hint="eastAsia" w:ascii="宋体" w:hAnsi="宋体"/>
          <w:szCs w:val="21"/>
        </w:rPr>
        <w:t>2</w:t>
      </w:r>
      <w:r>
        <w:rPr>
          <w:rFonts w:ascii="宋体" w:hAnsi="宋体"/>
          <w:szCs w:val="21"/>
        </w:rPr>
        <w:t>年9月设立城区河</w:t>
      </w:r>
      <w:r>
        <w:rPr>
          <w:rFonts w:hint="eastAsia" w:ascii="宋体" w:hAnsi="宋体"/>
          <w:szCs w:val="21"/>
        </w:rPr>
        <w:t>堤管理处。均为市水利局下属事业编制股级单位。每个工程管理所设正副主任</w:t>
      </w:r>
      <w:r>
        <w:rPr>
          <w:rFonts w:ascii="宋体" w:hAnsi="宋体"/>
          <w:szCs w:val="21"/>
        </w:rPr>
        <w:t>1～3</w:t>
      </w:r>
      <w:r>
        <w:rPr>
          <w:rFonts w:hint="eastAsia" w:ascii="宋体" w:hAnsi="宋体"/>
          <w:szCs w:val="21"/>
        </w:rPr>
        <w:t>名不等，有专职水管员，负责水库的维护和安全运行。河堤管理处负责城区河堤防洪工程和河道的管理工作。瀑布、中坪、苍石</w:t>
      </w:r>
      <w:r>
        <w:rPr>
          <w:rFonts w:ascii="宋体" w:hAnsi="宋体"/>
          <w:szCs w:val="21"/>
        </w:rPr>
        <w:t>3个中型水库未单独设工程管理所，管理</w:t>
      </w:r>
      <w:r>
        <w:rPr>
          <w:rFonts w:hint="eastAsia" w:ascii="宋体" w:hAnsi="宋体"/>
          <w:szCs w:val="21"/>
        </w:rPr>
        <w:t>任务由</w:t>
      </w:r>
      <w:r>
        <w:rPr>
          <w:rFonts w:ascii="宋体" w:hAnsi="宋体"/>
          <w:szCs w:val="21"/>
        </w:rPr>
        <w:t>3个电站分别负责。2000年8月电站产权转让给韶能公司后，管理任务由韶</w:t>
      </w:r>
      <w:r>
        <w:rPr>
          <w:rFonts w:hint="eastAsia" w:ascii="宋体" w:hAnsi="宋体"/>
          <w:szCs w:val="21"/>
        </w:rPr>
        <w:t>能雄州水电分公司负责，市水利局保有水库产权，进行水面开发，发展渔业生产。</w:t>
      </w:r>
    </w:p>
    <w:p w14:paraId="12A41214">
      <w:pPr>
        <w:ind w:firstLine="420"/>
        <w:rPr>
          <w:rFonts w:ascii="宋体" w:hAnsi="宋体"/>
          <w:szCs w:val="21"/>
        </w:rPr>
      </w:pPr>
      <w:r>
        <w:rPr>
          <w:rFonts w:ascii="宋体" w:hAnsi="宋体"/>
          <w:szCs w:val="21"/>
        </w:rPr>
        <w:t>8个水管会机构分别挂靠在各工程管理所，水管会主任由工程管理所主任或副主</w:t>
      </w:r>
      <w:r>
        <w:rPr>
          <w:rFonts w:hint="eastAsia" w:ascii="宋体" w:hAnsi="宋体"/>
          <w:szCs w:val="21"/>
        </w:rPr>
        <w:t>任兼任，共有事业编制人员</w:t>
      </w:r>
      <w:r>
        <w:rPr>
          <w:rFonts w:ascii="宋体" w:hAnsi="宋体"/>
          <w:szCs w:val="21"/>
        </w:rPr>
        <w:t>54名，分别按划定范围，负责所管镇、村小型水利工程</w:t>
      </w:r>
      <w:r>
        <w:rPr>
          <w:rFonts w:hint="eastAsia" w:ascii="宋体" w:hAnsi="宋体"/>
          <w:szCs w:val="21"/>
        </w:rPr>
        <w:t>的规划、设计和施工。</w:t>
      </w:r>
      <w:r>
        <w:rPr>
          <w:rFonts w:ascii="宋体" w:hAnsi="宋体"/>
          <w:szCs w:val="21"/>
        </w:rPr>
        <w:t>2000年8月，苍石、帽子峰电站水管会机构，因电站产权转</w:t>
      </w:r>
      <w:r>
        <w:rPr>
          <w:rFonts w:hint="eastAsia" w:ascii="宋体" w:hAnsi="宋体"/>
          <w:szCs w:val="21"/>
        </w:rPr>
        <w:t>移而自然消失，其职能则划归瀑布灌区水管会负责。</w:t>
      </w:r>
    </w:p>
    <w:p w14:paraId="7EEDC095">
      <w:pPr>
        <w:ind w:firstLine="422"/>
        <w:rPr>
          <w:rFonts w:ascii="宋体" w:hAnsi="宋体"/>
          <w:b/>
          <w:szCs w:val="21"/>
        </w:rPr>
      </w:pPr>
      <w:r>
        <w:rPr>
          <w:rFonts w:hint="eastAsia" w:ascii="宋体" w:hAnsi="宋体"/>
          <w:b/>
          <w:szCs w:val="21"/>
        </w:rPr>
        <w:t>（二）镇、村水利工程管理机构</w:t>
      </w:r>
    </w:p>
    <w:p w14:paraId="69952B12">
      <w:pPr>
        <w:ind w:firstLine="420"/>
        <w:rPr>
          <w:rFonts w:ascii="宋体" w:hAnsi="宋体"/>
          <w:szCs w:val="21"/>
        </w:rPr>
      </w:pPr>
      <w:r>
        <w:rPr>
          <w:rFonts w:hint="eastAsia" w:ascii="宋体" w:hAnsi="宋体"/>
          <w:szCs w:val="21"/>
        </w:rPr>
        <w:t>全市小（一）型水库</w:t>
      </w:r>
      <w:r>
        <w:rPr>
          <w:rFonts w:ascii="宋体" w:hAnsi="宋体"/>
          <w:szCs w:val="21"/>
        </w:rPr>
        <w:t>11座，划归镇管的有围背、杨梅、梅岭、寨下、大坝、竹</w:t>
      </w:r>
      <w:r>
        <w:rPr>
          <w:rFonts w:hint="eastAsia" w:ascii="宋体" w:hAnsi="宋体"/>
          <w:szCs w:val="21"/>
        </w:rPr>
        <w:t>篙坑、松山</w:t>
      </w:r>
      <w:r>
        <w:rPr>
          <w:rFonts w:ascii="宋体" w:hAnsi="宋体"/>
          <w:szCs w:val="21"/>
        </w:rPr>
        <w:t>7座水库和凌江、同凌陂2宗引水工程。共设有9个工程管理所，有专职</w:t>
      </w:r>
      <w:r>
        <w:rPr>
          <w:rFonts w:hint="eastAsia" w:ascii="宋体" w:hAnsi="宋体"/>
          <w:szCs w:val="21"/>
        </w:rPr>
        <w:t>管理人员和各项管理制度。其中人员比较固定、机构健全的有黄坑镇围背、全安镇凌江、邓坊镇杨梅、珠玑镇梅岭、雄州镇同凌陂</w:t>
      </w:r>
      <w:r>
        <w:rPr>
          <w:rFonts w:ascii="宋体" w:hAnsi="宋体"/>
          <w:szCs w:val="21"/>
        </w:rPr>
        <w:t>5个工程管理所。</w:t>
      </w:r>
    </w:p>
    <w:p w14:paraId="2642CCE3">
      <w:pPr>
        <w:ind w:firstLine="420"/>
        <w:rPr>
          <w:rFonts w:ascii="宋体" w:hAnsi="宋体"/>
          <w:szCs w:val="21"/>
        </w:rPr>
      </w:pPr>
      <w:r>
        <w:rPr>
          <w:rFonts w:hint="eastAsia" w:ascii="宋体" w:hAnsi="宋体"/>
          <w:szCs w:val="21"/>
        </w:rPr>
        <w:t>小（二）型水库</w:t>
      </w:r>
      <w:r>
        <w:rPr>
          <w:rFonts w:ascii="宋体" w:hAnsi="宋体"/>
          <w:szCs w:val="21"/>
        </w:rPr>
        <w:t>43座，除梅花水库由市划归宝江水库管理所统管外，其余42宗</w:t>
      </w:r>
      <w:r>
        <w:rPr>
          <w:rFonts w:hint="eastAsia" w:ascii="宋体" w:hAnsi="宋体"/>
          <w:szCs w:val="21"/>
        </w:rPr>
        <w:t>均为村管工程。由所在村委会负责管理，大多承包给私人养鱼并负责蓄放水任务。其中已完成除险加固的松树荫、长坑、官田、冷水迳、中坑、高坑、永丰、新龙、黎壁坑、杨梅坑、棉被角、倚逢、三丘田、马坳窝</w:t>
      </w:r>
      <w:r>
        <w:rPr>
          <w:rFonts w:ascii="宋体" w:hAnsi="宋体"/>
          <w:szCs w:val="21"/>
        </w:rPr>
        <w:t>14座水库，均新建了管理人员住房，</w:t>
      </w:r>
      <w:r>
        <w:rPr>
          <w:rFonts w:hint="eastAsia" w:ascii="宋体" w:hAnsi="宋体"/>
          <w:szCs w:val="21"/>
        </w:rPr>
        <w:t>落实了管理人员。</w:t>
      </w:r>
    </w:p>
    <w:p w14:paraId="7C90BF8F">
      <w:pPr>
        <w:pStyle w:val="5"/>
        <w:rPr>
          <w:rFonts w:ascii="宋体" w:hAnsi="宋体"/>
        </w:rPr>
      </w:pPr>
      <w:r>
        <w:rPr>
          <w:rFonts w:hint="eastAsia" w:ascii="宋体" w:hAnsi="宋体"/>
        </w:rPr>
        <w:t>二、管理制度</w:t>
      </w:r>
    </w:p>
    <w:p w14:paraId="0861C674">
      <w:pPr>
        <w:ind w:firstLine="420"/>
        <w:rPr>
          <w:rFonts w:ascii="宋体" w:hAnsi="宋体"/>
          <w:szCs w:val="21"/>
        </w:rPr>
      </w:pPr>
      <w:r>
        <w:rPr>
          <w:rFonts w:hint="eastAsia" w:ascii="宋体" w:hAnsi="宋体"/>
          <w:szCs w:val="21"/>
        </w:rPr>
        <w:t>根据国务院发布的《水库大坝安全管理条例》和《中华人民共和国防洪法》的相关规定，全市小（一）型以上市管水库，均设有大坝专职管理人员</w:t>
      </w:r>
      <w:r>
        <w:rPr>
          <w:rFonts w:ascii="宋体" w:hAnsi="宋体"/>
          <w:szCs w:val="21"/>
        </w:rPr>
        <w:t>1名～3名，副</w:t>
      </w:r>
      <w:r>
        <w:rPr>
          <w:rFonts w:hint="eastAsia" w:ascii="宋体" w:hAnsi="宋体"/>
          <w:szCs w:val="21"/>
        </w:rPr>
        <w:t>坝多的水库</w:t>
      </w:r>
      <w:r>
        <w:rPr>
          <w:rFonts w:ascii="宋体" w:hAnsi="宋体"/>
          <w:szCs w:val="21"/>
        </w:rPr>
        <w:t>2名～3名。镇管小（一）型水利工程则设兼职管理人员，由具有中专学</w:t>
      </w:r>
      <w:r>
        <w:rPr>
          <w:rFonts w:hint="eastAsia" w:ascii="宋体" w:hAnsi="宋体"/>
          <w:szCs w:val="21"/>
        </w:rPr>
        <w:t>历的专业技术人员兼任。</w:t>
      </w:r>
    </w:p>
    <w:p w14:paraId="1294C7AE">
      <w:pPr>
        <w:ind w:firstLine="420"/>
        <w:rPr>
          <w:rFonts w:ascii="宋体" w:hAnsi="宋体"/>
          <w:szCs w:val="21"/>
        </w:rPr>
      </w:pPr>
      <w:r>
        <w:rPr>
          <w:rFonts w:hint="eastAsia" w:ascii="宋体" w:hAnsi="宋体"/>
          <w:szCs w:val="21"/>
        </w:rPr>
        <w:t>各水库都按规定制定日常管理制度及安全检查制度。市坚持每年汛前、灾后和年终各进行一次安全检查。市管工程由市三防指挥部、市水利局组织检查；镇、村管的工程，由工程所在镇组织检查。市管工程，每年</w:t>
      </w:r>
      <w:r>
        <w:rPr>
          <w:rFonts w:ascii="宋体" w:hAnsi="宋体"/>
          <w:szCs w:val="21"/>
        </w:rPr>
        <w:t>11月或12月，由市水利局组织各水</w:t>
      </w:r>
      <w:r>
        <w:rPr>
          <w:rFonts w:hint="eastAsia" w:ascii="宋体" w:hAnsi="宋体"/>
          <w:szCs w:val="21"/>
        </w:rPr>
        <w:t>库管理所进行检查评比，按百分制对各项目打分，评出一、二、三等奖，发给奖状和奖金。</w:t>
      </w:r>
    </w:p>
    <w:p w14:paraId="6824C0D3">
      <w:pPr>
        <w:pStyle w:val="5"/>
        <w:rPr>
          <w:rFonts w:ascii="宋体" w:hAnsi="宋体"/>
        </w:rPr>
      </w:pPr>
      <w:r>
        <w:rPr>
          <w:rFonts w:hint="eastAsia" w:ascii="宋体" w:hAnsi="宋体"/>
        </w:rPr>
        <w:t>三、水费征用</w:t>
      </w:r>
    </w:p>
    <w:p w14:paraId="00E0167E">
      <w:pPr>
        <w:ind w:firstLine="422"/>
        <w:rPr>
          <w:rFonts w:ascii="宋体" w:hAnsi="宋体"/>
          <w:b/>
          <w:szCs w:val="21"/>
        </w:rPr>
      </w:pPr>
      <w:r>
        <w:rPr>
          <w:rFonts w:hint="eastAsia" w:ascii="宋体" w:hAnsi="宋体"/>
          <w:b/>
          <w:szCs w:val="21"/>
        </w:rPr>
        <w:t>（一）农田灌溉用水水费</w:t>
      </w:r>
    </w:p>
    <w:p w14:paraId="124E24D7">
      <w:pPr>
        <w:ind w:firstLine="420"/>
        <w:rPr>
          <w:rFonts w:ascii="宋体" w:hAnsi="宋体"/>
          <w:szCs w:val="21"/>
        </w:rPr>
      </w:pPr>
      <w:r>
        <w:rPr>
          <w:rFonts w:ascii="宋体" w:hAnsi="宋体"/>
          <w:szCs w:val="21"/>
        </w:rPr>
        <w:t>1992年以前，每亩征收稻谷10公斤，其中2.5公斤作为年终干渠清淤费用。1992年7月，县政府调整农业用水征收水费标准为：县、乡镇管的蓄、引水工程提</w:t>
      </w:r>
      <w:r>
        <w:rPr>
          <w:rFonts w:hint="eastAsia" w:ascii="宋体" w:hAnsi="宋体"/>
          <w:szCs w:val="21"/>
        </w:rPr>
        <w:t>供的农业用水按面积征收水费，农田用水每亩征收水费谷</w:t>
      </w:r>
      <w:r>
        <w:rPr>
          <w:rFonts w:ascii="宋体" w:hAnsi="宋体"/>
          <w:szCs w:val="21"/>
        </w:rPr>
        <w:t>17.5公斤；鱼塘、果园每</w:t>
      </w:r>
      <w:r>
        <w:rPr>
          <w:rFonts w:hint="eastAsia" w:ascii="宋体" w:hAnsi="宋体"/>
          <w:szCs w:val="21"/>
        </w:rPr>
        <w:t>亩征收水费</w:t>
      </w:r>
      <w:r>
        <w:rPr>
          <w:rFonts w:ascii="宋体" w:hAnsi="宋体"/>
          <w:szCs w:val="21"/>
        </w:rPr>
        <w:t>5元；砖瓦窑按规模大小核定用水，每立方米收费0.5元。</w:t>
      </w:r>
    </w:p>
    <w:p w14:paraId="53023BFB">
      <w:pPr>
        <w:ind w:firstLine="420"/>
        <w:rPr>
          <w:rFonts w:ascii="宋体" w:hAnsi="宋体"/>
          <w:szCs w:val="21"/>
        </w:rPr>
      </w:pPr>
      <w:r>
        <w:rPr>
          <w:rFonts w:ascii="宋体" w:hAnsi="宋体"/>
          <w:szCs w:val="21"/>
        </w:rPr>
        <w:t>1996年4月29日，县政府决定调整农业用水水费征收标准和征收扶助水库移民</w:t>
      </w:r>
      <w:r>
        <w:rPr>
          <w:rFonts w:hint="eastAsia" w:ascii="宋体" w:hAnsi="宋体"/>
          <w:szCs w:val="21"/>
        </w:rPr>
        <w:t>基金。即：农田灌溉水费调整为每亩稻谷</w:t>
      </w:r>
      <w:r>
        <w:rPr>
          <w:rFonts w:ascii="宋体" w:hAnsi="宋体"/>
          <w:szCs w:val="21"/>
        </w:rPr>
        <w:t>20公斤；经水库渠道抽水灌溉的每年每亩</w:t>
      </w:r>
      <w:r>
        <w:rPr>
          <w:rFonts w:hint="eastAsia" w:ascii="宋体" w:hAnsi="宋体"/>
          <w:szCs w:val="21"/>
        </w:rPr>
        <w:t>征收稻谷</w:t>
      </w:r>
      <w:r>
        <w:rPr>
          <w:rFonts w:ascii="宋体" w:hAnsi="宋体"/>
          <w:szCs w:val="21"/>
        </w:rPr>
        <w:t>10公斤。新增的农田灌溉水费以2/5用于提高管理人员工资福利；其余建</w:t>
      </w:r>
      <w:r>
        <w:rPr>
          <w:rFonts w:hint="eastAsia" w:ascii="宋体" w:hAnsi="宋体"/>
          <w:szCs w:val="21"/>
        </w:rPr>
        <w:t>立水库移民基金。</w:t>
      </w:r>
    </w:p>
    <w:p w14:paraId="75BE74FC">
      <w:pPr>
        <w:ind w:firstLine="422"/>
        <w:rPr>
          <w:rFonts w:ascii="宋体" w:hAnsi="宋体"/>
          <w:b/>
          <w:szCs w:val="21"/>
        </w:rPr>
      </w:pPr>
      <w:r>
        <w:rPr>
          <w:rFonts w:hint="eastAsia" w:ascii="宋体" w:hAnsi="宋体"/>
          <w:b/>
          <w:szCs w:val="21"/>
        </w:rPr>
        <w:t>（二）工业、生活用水水费</w:t>
      </w:r>
    </w:p>
    <w:p w14:paraId="6B82E6D2">
      <w:pPr>
        <w:ind w:firstLine="420"/>
        <w:rPr>
          <w:rFonts w:ascii="宋体" w:hAnsi="宋体"/>
          <w:szCs w:val="21"/>
        </w:rPr>
      </w:pPr>
      <w:r>
        <w:rPr>
          <w:rFonts w:ascii="宋体" w:hAnsi="宋体"/>
          <w:szCs w:val="21"/>
        </w:rPr>
        <w:t>1988年1月，县政府规定供工业用水水费为每100立方米2元，供自来水厂用水</w:t>
      </w:r>
      <w:r>
        <w:rPr>
          <w:rFonts w:hint="eastAsia" w:ascii="宋体" w:hAnsi="宋体"/>
          <w:szCs w:val="21"/>
        </w:rPr>
        <w:t>水费每</w:t>
      </w:r>
      <w:r>
        <w:rPr>
          <w:rFonts w:ascii="宋体" w:hAnsi="宋体"/>
          <w:szCs w:val="21"/>
        </w:rPr>
        <w:t>100立方米4元。其后经多次调整，简列如表2-30：</w:t>
      </w:r>
    </w:p>
    <w:p w14:paraId="3DF7F52B">
      <w:pPr>
        <w:ind w:firstLine="0" w:firstLineChars="0"/>
        <w:jc w:val="center"/>
        <w:rPr>
          <w:rFonts w:ascii="宋体" w:hAnsi="宋体"/>
          <w:b/>
          <w:szCs w:val="21"/>
        </w:rPr>
      </w:pPr>
      <w:r>
        <w:rPr>
          <w:rFonts w:hint="eastAsia" w:ascii="宋体" w:hAnsi="宋体"/>
          <w:b/>
          <w:szCs w:val="21"/>
        </w:rPr>
        <w:t>1989年至1995年3月供用水费调整情况</w:t>
      </w:r>
    </w:p>
    <w:p w14:paraId="7AD27B26">
      <w:pPr>
        <w:ind w:firstLine="0" w:firstLineChars="0"/>
        <w:rPr>
          <w:rFonts w:ascii="宋体" w:hAnsi="宋体"/>
          <w:b/>
        </w:rPr>
      </w:pPr>
      <w:r>
        <w:rPr>
          <w:rFonts w:hint="eastAsia" w:ascii="宋体" w:hAnsi="宋体"/>
          <w:b/>
        </w:rPr>
        <w:t>表2-30</w:t>
      </w:r>
    </w:p>
    <w:p w14:paraId="1C4EC10F">
      <w:pPr>
        <w:ind w:firstLine="0" w:firstLineChars="0"/>
        <w:jc w:val="right"/>
        <w:rPr>
          <w:rFonts w:ascii="宋体" w:hAnsi="宋体"/>
          <w:b/>
        </w:rPr>
      </w:pPr>
      <w:r>
        <w:rPr>
          <w:rFonts w:hint="eastAsia" w:ascii="宋体" w:hAnsi="宋体"/>
          <w:b/>
        </w:rPr>
        <w:t>单位：万/立方米</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320"/>
        <w:gridCol w:w="3320"/>
        <w:gridCol w:w="3322"/>
      </w:tblGrid>
      <w:tr w14:paraId="4E2D4E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5E909583">
            <w:pPr>
              <w:pStyle w:val="12"/>
              <w:jc w:val="center"/>
              <w:rPr>
                <w:rFonts w:ascii="宋体" w:hAnsi="宋体"/>
                <w:b/>
              </w:rPr>
            </w:pPr>
            <w:r>
              <w:rPr>
                <w:rFonts w:hint="eastAsia" w:ascii="宋体" w:hAnsi="宋体"/>
                <w:b/>
              </w:rPr>
              <w:t>时  间</w:t>
            </w:r>
          </w:p>
        </w:tc>
        <w:tc>
          <w:tcPr>
            <w:tcW w:w="1666" w:type="pct"/>
            <w:vAlign w:val="center"/>
          </w:tcPr>
          <w:p w14:paraId="6D653755">
            <w:pPr>
              <w:pStyle w:val="12"/>
              <w:jc w:val="center"/>
              <w:rPr>
                <w:rFonts w:ascii="宋体" w:hAnsi="宋体"/>
                <w:b/>
              </w:rPr>
            </w:pPr>
            <w:r>
              <w:rPr>
                <w:rFonts w:hint="eastAsia" w:ascii="宋体" w:hAnsi="宋体"/>
                <w:b/>
              </w:rPr>
              <w:t>工业用水</w:t>
            </w:r>
          </w:p>
        </w:tc>
        <w:tc>
          <w:tcPr>
            <w:tcW w:w="1667" w:type="pct"/>
            <w:vAlign w:val="center"/>
          </w:tcPr>
          <w:p w14:paraId="2BE73380">
            <w:pPr>
              <w:pStyle w:val="12"/>
              <w:jc w:val="center"/>
              <w:rPr>
                <w:rFonts w:ascii="宋体" w:hAnsi="宋体"/>
                <w:b/>
              </w:rPr>
            </w:pPr>
            <w:r>
              <w:rPr>
                <w:rFonts w:hint="eastAsia" w:ascii="宋体" w:hAnsi="宋体"/>
                <w:b/>
              </w:rPr>
              <w:t>自来水厂用水</w:t>
            </w:r>
          </w:p>
        </w:tc>
      </w:tr>
      <w:tr w14:paraId="1F7D035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49915F85">
            <w:pPr>
              <w:pStyle w:val="12"/>
              <w:jc w:val="center"/>
              <w:rPr>
                <w:rFonts w:ascii="宋体" w:hAnsi="宋体"/>
              </w:rPr>
            </w:pPr>
            <w:r>
              <w:rPr>
                <w:rFonts w:hint="eastAsia" w:ascii="宋体" w:hAnsi="宋体"/>
              </w:rPr>
              <w:t>1989年</w:t>
            </w:r>
          </w:p>
        </w:tc>
        <w:tc>
          <w:tcPr>
            <w:tcW w:w="1666" w:type="pct"/>
            <w:vAlign w:val="center"/>
          </w:tcPr>
          <w:p w14:paraId="3FE53947">
            <w:pPr>
              <w:pStyle w:val="12"/>
              <w:jc w:val="center"/>
              <w:rPr>
                <w:rFonts w:ascii="宋体" w:hAnsi="宋体"/>
              </w:rPr>
            </w:pPr>
            <w:r>
              <w:rPr>
                <w:rFonts w:hint="eastAsia" w:ascii="宋体" w:hAnsi="宋体"/>
              </w:rPr>
              <w:t>0.018</w:t>
            </w:r>
          </w:p>
        </w:tc>
        <w:tc>
          <w:tcPr>
            <w:tcW w:w="1667" w:type="pct"/>
            <w:vAlign w:val="center"/>
          </w:tcPr>
          <w:p w14:paraId="44078E4A">
            <w:pPr>
              <w:pStyle w:val="12"/>
              <w:jc w:val="center"/>
              <w:rPr>
                <w:rFonts w:ascii="宋体" w:hAnsi="宋体"/>
              </w:rPr>
            </w:pPr>
            <w:r>
              <w:rPr>
                <w:rFonts w:hint="eastAsia" w:ascii="宋体" w:hAnsi="宋体"/>
              </w:rPr>
              <w:t>0.02</w:t>
            </w:r>
          </w:p>
        </w:tc>
      </w:tr>
      <w:tr w14:paraId="2B9983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200612E6">
            <w:pPr>
              <w:pStyle w:val="12"/>
              <w:jc w:val="center"/>
              <w:rPr>
                <w:rFonts w:ascii="宋体" w:hAnsi="宋体"/>
              </w:rPr>
            </w:pPr>
            <w:r>
              <w:rPr>
                <w:rFonts w:hint="eastAsia" w:ascii="宋体" w:hAnsi="宋体"/>
              </w:rPr>
              <w:t>1992年</w:t>
            </w:r>
          </w:p>
        </w:tc>
        <w:tc>
          <w:tcPr>
            <w:tcW w:w="1666" w:type="pct"/>
            <w:vAlign w:val="center"/>
          </w:tcPr>
          <w:p w14:paraId="171918E9">
            <w:pPr>
              <w:pStyle w:val="12"/>
              <w:jc w:val="center"/>
              <w:rPr>
                <w:rFonts w:ascii="宋体" w:hAnsi="宋体"/>
              </w:rPr>
            </w:pPr>
            <w:r>
              <w:rPr>
                <w:rFonts w:hint="eastAsia" w:ascii="宋体" w:hAnsi="宋体"/>
              </w:rPr>
              <w:t>0.02</w:t>
            </w:r>
          </w:p>
        </w:tc>
        <w:tc>
          <w:tcPr>
            <w:tcW w:w="1667" w:type="pct"/>
            <w:vAlign w:val="center"/>
          </w:tcPr>
          <w:p w14:paraId="4D9E8F5D">
            <w:pPr>
              <w:pStyle w:val="12"/>
              <w:jc w:val="center"/>
              <w:rPr>
                <w:rFonts w:ascii="宋体" w:hAnsi="宋体"/>
              </w:rPr>
            </w:pPr>
            <w:r>
              <w:rPr>
                <w:rFonts w:hint="eastAsia" w:ascii="宋体" w:hAnsi="宋体"/>
              </w:rPr>
              <w:t>0.04</w:t>
            </w:r>
          </w:p>
        </w:tc>
      </w:tr>
      <w:tr w14:paraId="273052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04B51BE9">
            <w:pPr>
              <w:pStyle w:val="12"/>
              <w:jc w:val="center"/>
              <w:rPr>
                <w:rFonts w:ascii="宋体" w:hAnsi="宋体"/>
              </w:rPr>
            </w:pPr>
            <w:r>
              <w:rPr>
                <w:rFonts w:hint="eastAsia" w:ascii="宋体" w:hAnsi="宋体"/>
              </w:rPr>
              <w:t>1994年</w:t>
            </w:r>
          </w:p>
        </w:tc>
        <w:tc>
          <w:tcPr>
            <w:tcW w:w="1666" w:type="pct"/>
            <w:vAlign w:val="center"/>
          </w:tcPr>
          <w:p w14:paraId="0010FE86">
            <w:pPr>
              <w:pStyle w:val="12"/>
              <w:jc w:val="center"/>
              <w:rPr>
                <w:rFonts w:ascii="宋体" w:hAnsi="宋体"/>
              </w:rPr>
            </w:pPr>
            <w:r>
              <w:rPr>
                <w:rFonts w:hint="eastAsia" w:ascii="宋体" w:hAnsi="宋体"/>
              </w:rPr>
              <w:t>0.04</w:t>
            </w:r>
          </w:p>
        </w:tc>
        <w:tc>
          <w:tcPr>
            <w:tcW w:w="1667" w:type="pct"/>
            <w:vAlign w:val="center"/>
          </w:tcPr>
          <w:p w14:paraId="5A99E652">
            <w:pPr>
              <w:pStyle w:val="12"/>
              <w:jc w:val="center"/>
              <w:rPr>
                <w:rFonts w:ascii="宋体" w:hAnsi="宋体"/>
              </w:rPr>
            </w:pPr>
            <w:r>
              <w:rPr>
                <w:rFonts w:hint="eastAsia" w:ascii="宋体" w:hAnsi="宋体"/>
              </w:rPr>
              <w:t>0.06</w:t>
            </w:r>
          </w:p>
        </w:tc>
      </w:tr>
      <w:tr w14:paraId="15A81A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5408A9C7">
            <w:pPr>
              <w:pStyle w:val="12"/>
              <w:jc w:val="center"/>
              <w:rPr>
                <w:rFonts w:ascii="宋体" w:hAnsi="宋体"/>
              </w:rPr>
            </w:pPr>
            <w:r>
              <w:rPr>
                <w:rFonts w:hint="eastAsia" w:ascii="宋体" w:hAnsi="宋体"/>
              </w:rPr>
              <w:t>1995年3月</w:t>
            </w:r>
          </w:p>
        </w:tc>
        <w:tc>
          <w:tcPr>
            <w:tcW w:w="1666" w:type="pct"/>
            <w:vAlign w:val="center"/>
          </w:tcPr>
          <w:p w14:paraId="5D8BE616">
            <w:pPr>
              <w:pStyle w:val="12"/>
              <w:jc w:val="center"/>
              <w:rPr>
                <w:rFonts w:ascii="宋体" w:hAnsi="宋体"/>
              </w:rPr>
            </w:pPr>
            <w:r>
              <w:rPr>
                <w:rFonts w:hint="eastAsia" w:ascii="宋体" w:hAnsi="宋体"/>
              </w:rPr>
              <w:t>0.06</w:t>
            </w:r>
          </w:p>
        </w:tc>
        <w:tc>
          <w:tcPr>
            <w:tcW w:w="1667" w:type="pct"/>
            <w:vAlign w:val="center"/>
          </w:tcPr>
          <w:p w14:paraId="71D8483F">
            <w:pPr>
              <w:pStyle w:val="12"/>
              <w:jc w:val="center"/>
              <w:rPr>
                <w:rFonts w:ascii="宋体" w:hAnsi="宋体"/>
              </w:rPr>
            </w:pPr>
            <w:r>
              <w:rPr>
                <w:rFonts w:hint="eastAsia" w:ascii="宋体" w:hAnsi="宋体"/>
              </w:rPr>
              <w:t>0.08</w:t>
            </w:r>
          </w:p>
        </w:tc>
      </w:tr>
    </w:tbl>
    <w:p w14:paraId="5D5DD973">
      <w:pPr>
        <w:ind w:firstLine="420"/>
        <w:rPr>
          <w:rFonts w:ascii="宋体" w:hAnsi="宋体"/>
          <w:szCs w:val="21"/>
        </w:rPr>
      </w:pPr>
      <w:r>
        <w:rPr>
          <w:rFonts w:ascii="宋体" w:hAnsi="宋体"/>
          <w:szCs w:val="21"/>
        </w:rPr>
        <w:t>1995年5月《南雄县水利工程水费核订、计收和管理实施办法》规定工业、生</w:t>
      </w:r>
      <w:r>
        <w:rPr>
          <w:rFonts w:hint="eastAsia" w:ascii="宋体" w:hAnsi="宋体"/>
          <w:szCs w:val="21"/>
        </w:rPr>
        <w:t>活用水收费，按供水每立方米收费</w:t>
      </w:r>
      <w:r>
        <w:rPr>
          <w:rFonts w:ascii="宋体" w:hAnsi="宋体"/>
          <w:szCs w:val="21"/>
        </w:rPr>
        <w:t>0.10元～0.12元计算。1998年12月，市政府</w:t>
      </w:r>
      <w:r>
        <w:rPr>
          <w:rFonts w:hint="eastAsia" w:ascii="宋体" w:hAnsi="宋体"/>
          <w:szCs w:val="21"/>
        </w:rPr>
        <w:t>《关于调整自来水销售价格的通知》规定：瀑布灌区供自来水公司的购水费由现行的每立方米</w:t>
      </w:r>
      <w:r>
        <w:rPr>
          <w:rFonts w:ascii="宋体" w:hAnsi="宋体"/>
          <w:szCs w:val="21"/>
        </w:rPr>
        <w:t>0.08元调为0.11元。而2002年瀑布灌区供市第一造纸厂工业用水水费每</w:t>
      </w:r>
      <w:r>
        <w:rPr>
          <w:rFonts w:hint="eastAsia" w:ascii="宋体" w:hAnsi="宋体"/>
          <w:szCs w:val="21"/>
        </w:rPr>
        <w:t>立方米只</w:t>
      </w:r>
      <w:r>
        <w:rPr>
          <w:rFonts w:ascii="宋体" w:hAnsi="宋体"/>
          <w:szCs w:val="21"/>
        </w:rPr>
        <w:t>0.04元。</w:t>
      </w:r>
    </w:p>
    <w:p w14:paraId="6BB4DD4C">
      <w:pPr>
        <w:ind w:firstLine="422"/>
        <w:rPr>
          <w:rFonts w:ascii="宋体" w:hAnsi="宋体"/>
          <w:b/>
          <w:szCs w:val="21"/>
        </w:rPr>
      </w:pPr>
      <w:r>
        <w:rPr>
          <w:rFonts w:hint="eastAsia" w:ascii="宋体" w:hAnsi="宋体"/>
          <w:b/>
          <w:szCs w:val="21"/>
        </w:rPr>
        <w:t>（三）孔江水系内串联水库的农用水水费</w:t>
      </w:r>
    </w:p>
    <w:p w14:paraId="129E5013">
      <w:pPr>
        <w:ind w:firstLine="420"/>
        <w:rPr>
          <w:rFonts w:ascii="宋体" w:hAnsi="宋体"/>
          <w:szCs w:val="21"/>
        </w:rPr>
      </w:pPr>
      <w:r>
        <w:rPr>
          <w:rFonts w:hint="eastAsia" w:ascii="宋体" w:hAnsi="宋体"/>
          <w:szCs w:val="21"/>
        </w:rPr>
        <w:t>孔江水库蓄水量为全市之最。设计灌溉面积</w:t>
      </w:r>
      <w:r>
        <w:rPr>
          <w:rFonts w:ascii="宋体" w:hAnsi="宋体"/>
          <w:szCs w:val="21"/>
        </w:rPr>
        <w:t>7866.67公顷，其中属于该库渠道直</w:t>
      </w:r>
      <w:r>
        <w:rPr>
          <w:rFonts w:hint="eastAsia" w:ascii="宋体" w:hAnsi="宋体"/>
          <w:szCs w:val="21"/>
        </w:rPr>
        <w:t>接灌溉的农田只有</w:t>
      </w:r>
      <w:r>
        <w:rPr>
          <w:rFonts w:ascii="宋体" w:hAnsi="宋体"/>
          <w:szCs w:val="21"/>
        </w:rPr>
        <w:t>733.33公顷，其余7133.33公顷需经过干渠下游的太源、围背</w:t>
      </w:r>
      <w:r>
        <w:rPr>
          <w:rFonts w:hint="eastAsia" w:ascii="宋体" w:hAnsi="宋体"/>
          <w:szCs w:val="21"/>
        </w:rPr>
        <w:t>、罗田</w:t>
      </w:r>
      <w:r>
        <w:rPr>
          <w:rFonts w:ascii="宋体" w:hAnsi="宋体"/>
          <w:szCs w:val="21"/>
        </w:rPr>
        <w:t>3个水库的渠道实现灌溉效能。属重复的灌溉面积，但不能重复收费。改革开放</w:t>
      </w:r>
      <w:r>
        <w:rPr>
          <w:rFonts w:hint="eastAsia" w:ascii="宋体" w:hAnsi="宋体"/>
          <w:szCs w:val="21"/>
        </w:rPr>
        <w:t>后，各水库工程管理所改为独立核算之后，孔江水库和</w:t>
      </w:r>
      <w:r>
        <w:rPr>
          <w:rFonts w:ascii="宋体" w:hAnsi="宋体"/>
          <w:szCs w:val="21"/>
        </w:rPr>
        <w:t>3个下游水库的水费收益出现</w:t>
      </w:r>
      <w:r>
        <w:rPr>
          <w:rFonts w:hint="eastAsia" w:ascii="宋体" w:hAnsi="宋体"/>
          <w:szCs w:val="21"/>
        </w:rPr>
        <w:t>争议。</w:t>
      </w:r>
      <w:r>
        <w:rPr>
          <w:rFonts w:ascii="宋体" w:hAnsi="宋体"/>
          <w:szCs w:val="21"/>
        </w:rPr>
        <w:t>1988年开始，确定3个下游水库每年向孔江水库上交补充水费为：太源水库5000元，围背、罗田各4000元。</w:t>
      </w:r>
    </w:p>
    <w:p w14:paraId="3CBA6555">
      <w:pPr>
        <w:ind w:firstLine="420"/>
        <w:rPr>
          <w:rFonts w:ascii="宋体" w:hAnsi="宋体"/>
          <w:szCs w:val="21"/>
        </w:rPr>
      </w:pPr>
      <w:r>
        <w:rPr>
          <w:rFonts w:hint="eastAsia" w:ascii="宋体" w:hAnsi="宋体"/>
          <w:szCs w:val="21"/>
        </w:rPr>
        <w:t>为使</w:t>
      </w:r>
      <w:r>
        <w:rPr>
          <w:rFonts w:ascii="宋体" w:hAnsi="宋体"/>
          <w:szCs w:val="21"/>
        </w:rPr>
        <w:t>3个下游水库上交孔江水库供水水费更加合理、公平。1993年7月，经有</w:t>
      </w:r>
      <w:r>
        <w:rPr>
          <w:rFonts w:hint="eastAsia" w:ascii="宋体" w:hAnsi="宋体"/>
          <w:szCs w:val="21"/>
        </w:rPr>
        <w:t>关部门协商研究，试行分段计量，按量收费方案。下游水库需要孔江水库供水，先行申请，按时交接，结清水量，定期定额交费。</w:t>
      </w:r>
      <w:r>
        <w:rPr>
          <w:rFonts w:ascii="宋体" w:hAnsi="宋体"/>
          <w:szCs w:val="21"/>
        </w:rPr>
        <w:t>1997年起，孔江水库供大源水库水费</w:t>
      </w:r>
      <w:r>
        <w:rPr>
          <w:rFonts w:hint="eastAsia" w:ascii="宋体" w:hAnsi="宋体"/>
          <w:szCs w:val="21"/>
        </w:rPr>
        <w:t>调整为每立方米</w:t>
      </w:r>
      <w:r>
        <w:rPr>
          <w:rFonts w:ascii="宋体" w:hAnsi="宋体"/>
          <w:szCs w:val="21"/>
        </w:rPr>
        <w:t>0.006元，太源水库供围背、罗田水库水费调每立方米0.005元。供</w:t>
      </w:r>
      <w:r>
        <w:rPr>
          <w:rFonts w:hint="eastAsia" w:ascii="宋体" w:hAnsi="宋体"/>
          <w:szCs w:val="21"/>
        </w:rPr>
        <w:t>邓坊杨梅水库水费，每年</w:t>
      </w:r>
      <w:r>
        <w:rPr>
          <w:rFonts w:ascii="宋体" w:hAnsi="宋体"/>
          <w:szCs w:val="21"/>
        </w:rPr>
        <w:t>3000元。</w:t>
      </w:r>
    </w:p>
    <w:p w14:paraId="341E439F">
      <w:pPr>
        <w:pStyle w:val="5"/>
        <w:rPr>
          <w:rFonts w:ascii="宋体" w:hAnsi="宋体"/>
        </w:rPr>
      </w:pPr>
      <w:r>
        <w:rPr>
          <w:rFonts w:hint="eastAsia" w:ascii="宋体" w:hAnsi="宋体"/>
        </w:rPr>
        <w:t>四、综合经营</w:t>
      </w:r>
    </w:p>
    <w:p w14:paraId="46235D93">
      <w:pPr>
        <w:ind w:firstLine="420"/>
        <w:rPr>
          <w:rFonts w:ascii="宋体" w:hAnsi="宋体"/>
          <w:szCs w:val="21"/>
        </w:rPr>
      </w:pPr>
      <w:r>
        <w:rPr>
          <w:rFonts w:hint="eastAsia" w:ascii="宋体" w:hAnsi="宋体"/>
          <w:szCs w:val="21"/>
        </w:rPr>
        <w:t>市管水库水面</w:t>
      </w:r>
      <w:r>
        <w:rPr>
          <w:rFonts w:ascii="宋体" w:hAnsi="宋体"/>
          <w:szCs w:val="21"/>
        </w:rPr>
        <w:t>1110.93公顷，另有鱼苗基地10.67公顷，年可产鱼花400万尾，</w:t>
      </w:r>
      <w:r>
        <w:rPr>
          <w:rFonts w:hint="eastAsia" w:ascii="宋体" w:hAnsi="宋体"/>
          <w:szCs w:val="21"/>
        </w:rPr>
        <w:t>标粗鱼苗</w:t>
      </w:r>
      <w:r>
        <w:rPr>
          <w:rFonts w:ascii="宋体" w:hAnsi="宋体"/>
          <w:szCs w:val="21"/>
        </w:rPr>
        <w:t>80万尾。1983年至1987年，养鱼捕捞量339.4吨，年均亩产鱼7.14公斤。1976年至1987年，兴建坝后电站7宗，装机9800千瓦，1987年发电量3090万千瓦</w:t>
      </w:r>
      <w:r>
        <w:rPr>
          <w:rFonts w:hint="eastAsia" w:ascii="宋体" w:hAnsi="宋体"/>
          <w:szCs w:val="21"/>
        </w:rPr>
        <w:t>时，占全县发电量</w:t>
      </w:r>
      <w:r>
        <w:rPr>
          <w:rFonts w:ascii="宋体" w:hAnsi="宋体"/>
          <w:szCs w:val="21"/>
        </w:rPr>
        <w:t>31%。1980年起各工程管养所相继举办鸡场、猪场、果场、林场，</w:t>
      </w:r>
      <w:r>
        <w:rPr>
          <w:rFonts w:hint="eastAsia" w:ascii="宋体" w:hAnsi="宋体"/>
          <w:szCs w:val="21"/>
        </w:rPr>
        <w:t>使综合经营收入逐年增加。从</w:t>
      </w:r>
      <w:r>
        <w:rPr>
          <w:rFonts w:ascii="宋体" w:hAnsi="宋体"/>
          <w:szCs w:val="21"/>
        </w:rPr>
        <w:t>1984年起，各水利工程管理单位，依靠水费水谷和多</w:t>
      </w:r>
      <w:r>
        <w:rPr>
          <w:rFonts w:hint="eastAsia" w:ascii="宋体" w:hAnsi="宋体"/>
          <w:szCs w:val="21"/>
        </w:rPr>
        <w:t>种经营收入实现了经济自给。</w:t>
      </w:r>
    </w:p>
    <w:p w14:paraId="7A05B55D">
      <w:pPr>
        <w:ind w:firstLine="420"/>
        <w:rPr>
          <w:rFonts w:ascii="宋体" w:hAnsi="宋体"/>
          <w:szCs w:val="21"/>
        </w:rPr>
      </w:pPr>
      <w:r>
        <w:rPr>
          <w:rFonts w:ascii="宋体" w:hAnsi="宋体"/>
          <w:szCs w:val="21"/>
        </w:rPr>
        <w:t>1992年1月，县政府发出《南雄县水利水电工程管理保护暂行办法》，对水库工</w:t>
      </w:r>
      <w:r>
        <w:rPr>
          <w:rFonts w:hint="eastAsia" w:ascii="宋体" w:hAnsi="宋体"/>
          <w:szCs w:val="21"/>
        </w:rPr>
        <w:t>程、发电站电灌站、灌溉渠道等保护范围作出了明确规定。</w:t>
      </w:r>
      <w:r>
        <w:rPr>
          <w:rFonts w:ascii="宋体" w:hAnsi="宋体"/>
          <w:szCs w:val="21"/>
        </w:rPr>
        <w:t>1994年4月，由有关部</w:t>
      </w:r>
      <w:r>
        <w:rPr>
          <w:rFonts w:hint="eastAsia" w:ascii="宋体" w:hAnsi="宋体"/>
          <w:szCs w:val="21"/>
        </w:rPr>
        <w:t>门组成水利水电工程用地调查小组，对全县县管水利水电工程用地权属，进行了全面的测量核实，绘制了用地范围图，立桩为界。最后经县国土局复核审定，签发土地使用证。全系统共发红色的土地权属证</w:t>
      </w:r>
      <w:r>
        <w:rPr>
          <w:rFonts w:ascii="宋体" w:hAnsi="宋体"/>
          <w:szCs w:val="21"/>
        </w:rPr>
        <w:t>154本，总面积2861.07公顷</w:t>
      </w:r>
      <w:r>
        <w:rPr>
          <w:rFonts w:hint="eastAsia" w:ascii="宋体" w:hAnsi="宋体"/>
          <w:szCs w:val="21"/>
        </w:rPr>
        <w:t>。</w:t>
      </w:r>
    </w:p>
    <w:p w14:paraId="73223223">
      <w:pPr>
        <w:ind w:firstLine="420"/>
        <w:rPr>
          <w:rFonts w:ascii="宋体" w:hAnsi="宋体"/>
          <w:szCs w:val="21"/>
        </w:rPr>
      </w:pPr>
      <w:r>
        <w:rPr>
          <w:rFonts w:ascii="宋体" w:hAnsi="宋体"/>
          <w:szCs w:val="21"/>
        </w:rPr>
        <w:t>1995年以后，新建扩建的水利水电工程，施工前会同国土部门进行征地、赔偿，</w:t>
      </w:r>
      <w:r>
        <w:rPr>
          <w:rFonts w:hint="eastAsia" w:ascii="宋体" w:hAnsi="宋体"/>
          <w:szCs w:val="21"/>
        </w:rPr>
        <w:t>明确用地范围。工程竣工后，经县国土局核实工程占地面积，确定权属范围，发给土地使用证。计苍石水库共占地</w:t>
      </w:r>
      <w:r>
        <w:rPr>
          <w:rFonts w:ascii="宋体" w:hAnsi="宋体"/>
          <w:szCs w:val="21"/>
        </w:rPr>
        <w:t>74.20公顷。城区防洪工程，永久性占地面积24公顷，</w:t>
      </w:r>
      <w:r>
        <w:rPr>
          <w:rFonts w:hint="eastAsia" w:ascii="宋体" w:hAnsi="宋体"/>
          <w:szCs w:val="21"/>
        </w:rPr>
        <w:t>临时占地面积</w:t>
      </w:r>
      <w:r>
        <w:rPr>
          <w:rFonts w:ascii="宋体" w:hAnsi="宋体"/>
          <w:szCs w:val="21"/>
        </w:rPr>
        <w:t>0.93公顷。三枫闸坝电站、厂房等建筑物永久占地面积0.37公顷，临</w:t>
      </w:r>
      <w:r>
        <w:rPr>
          <w:rFonts w:hint="eastAsia" w:ascii="宋体" w:hAnsi="宋体"/>
          <w:szCs w:val="21"/>
        </w:rPr>
        <w:t>时性占地面积</w:t>
      </w:r>
      <w:r>
        <w:rPr>
          <w:rFonts w:ascii="宋体" w:hAnsi="宋体"/>
          <w:szCs w:val="21"/>
        </w:rPr>
        <w:t>0.19公顷。</w:t>
      </w:r>
    </w:p>
    <w:p w14:paraId="15A7B32A">
      <w:pPr>
        <w:ind w:firstLine="420"/>
        <w:rPr>
          <w:rFonts w:ascii="宋体" w:hAnsi="宋体"/>
          <w:szCs w:val="21"/>
        </w:rPr>
      </w:pPr>
      <w:r>
        <w:rPr>
          <w:rFonts w:hint="eastAsia" w:ascii="宋体" w:hAnsi="宋体"/>
          <w:szCs w:val="21"/>
        </w:rPr>
        <w:t>水利水电工程土地定权发证，推动综合经营向长效、高效方向发展。至</w:t>
      </w:r>
      <w:r>
        <w:rPr>
          <w:rFonts w:ascii="宋体" w:hAnsi="宋体"/>
          <w:szCs w:val="21"/>
        </w:rPr>
        <w:t>2002年，</w:t>
      </w:r>
      <w:r>
        <w:rPr>
          <w:rFonts w:hint="eastAsia" w:ascii="宋体" w:hAnsi="宋体"/>
          <w:szCs w:val="21"/>
        </w:rPr>
        <w:t>市属水库拥有小水电站</w:t>
      </w:r>
      <w:r>
        <w:rPr>
          <w:rFonts w:ascii="宋体" w:hAnsi="宋体"/>
          <w:szCs w:val="21"/>
        </w:rPr>
        <w:t>8宗（原四大电站产权已转让给韶能公司雄州分公司）装机13台，容量2145千瓦。种有银杏16000株、沙田柚3000株、板栗2000株。可养百</w:t>
      </w:r>
      <w:r>
        <w:rPr>
          <w:rFonts w:hint="eastAsia" w:ascii="宋体" w:hAnsi="宋体"/>
          <w:szCs w:val="21"/>
        </w:rPr>
        <w:t>头生猪的猪场</w:t>
      </w:r>
      <w:r>
        <w:rPr>
          <w:rFonts w:ascii="宋体" w:hAnsi="宋体"/>
          <w:szCs w:val="21"/>
        </w:rPr>
        <w:t>5个。年供生活和工业用水7000万立方米。水库渔业，除继续放养鳙、</w:t>
      </w:r>
      <w:r>
        <w:rPr>
          <w:rFonts w:hint="eastAsia" w:ascii="宋体" w:hAnsi="宋体"/>
          <w:szCs w:val="21"/>
        </w:rPr>
        <w:t>鲢、鲩、鲤</w:t>
      </w:r>
      <w:r>
        <w:rPr>
          <w:rFonts w:ascii="宋体" w:hAnsi="宋体"/>
          <w:szCs w:val="21"/>
        </w:rPr>
        <w:t>4大家鱼外，不断引入新品种。1998年引进太湖银鱼受精卵近千万粒，</w:t>
      </w:r>
      <w:r>
        <w:rPr>
          <w:rFonts w:hint="eastAsia" w:ascii="宋体" w:hAnsi="宋体"/>
          <w:szCs w:val="21"/>
        </w:rPr>
        <w:t>投放宝江、孔江、横江水库试养，</w:t>
      </w:r>
      <w:r>
        <w:rPr>
          <w:rFonts w:ascii="宋体" w:hAnsi="宋体"/>
          <w:szCs w:val="21"/>
        </w:rPr>
        <w:t>2001年3月在宝江水库捕获银鱼17.5公斤。2001</w:t>
      </w:r>
      <w:r>
        <w:rPr>
          <w:rFonts w:hint="eastAsia" w:ascii="宋体" w:hAnsi="宋体"/>
          <w:szCs w:val="21"/>
        </w:rPr>
        <w:t>年</w:t>
      </w:r>
      <w:r>
        <w:rPr>
          <w:rFonts w:ascii="宋体" w:hAnsi="宋体"/>
          <w:szCs w:val="21"/>
        </w:rPr>
        <w:t>3月从韶关水产良种场引进</w:t>
      </w:r>
      <w:r>
        <w:rPr>
          <w:rFonts w:hint="eastAsia" w:ascii="宋体" w:hAnsi="宋体"/>
          <w:szCs w:val="21"/>
        </w:rPr>
        <w:t>“</w:t>
      </w:r>
      <w:r>
        <w:rPr>
          <w:rFonts w:ascii="宋体" w:hAnsi="宋体"/>
          <w:szCs w:val="21"/>
        </w:rPr>
        <w:t>韶州三角鲂</w:t>
      </w:r>
      <w:r>
        <w:rPr>
          <w:rFonts w:hint="eastAsia" w:ascii="宋体" w:hAnsi="宋体"/>
          <w:szCs w:val="21"/>
        </w:rPr>
        <w:t>”</w:t>
      </w:r>
      <w:r>
        <w:rPr>
          <w:rFonts w:ascii="宋体" w:hAnsi="宋体"/>
          <w:szCs w:val="21"/>
        </w:rPr>
        <w:t>鱼苗51万尾，在梅花水库标粗后投放</w:t>
      </w:r>
      <w:r>
        <w:rPr>
          <w:rFonts w:hint="eastAsia" w:ascii="宋体" w:hAnsi="宋体"/>
          <w:szCs w:val="21"/>
        </w:rPr>
        <w:t>各中型水库，并在横江、孔江水库各建网箱一组，试养三角鲂鱼</w:t>
      </w:r>
      <w:r>
        <w:rPr>
          <w:rFonts w:ascii="宋体" w:hAnsi="宋体"/>
          <w:szCs w:val="21"/>
        </w:rPr>
        <w:t>0.27公顷8万尾。2001年4月与省渔业资源管理局共同投资135万元，从新疆博斯腾湖引进池沼公鱼</w:t>
      </w:r>
      <w:r>
        <w:rPr>
          <w:rFonts w:hint="eastAsia" w:ascii="宋体" w:hAnsi="宋体"/>
          <w:szCs w:val="21"/>
        </w:rPr>
        <w:t>受精卵</w:t>
      </w:r>
      <w:r>
        <w:rPr>
          <w:rFonts w:ascii="宋体" w:hAnsi="宋体"/>
          <w:szCs w:val="21"/>
        </w:rPr>
        <w:t>6000万粒，投放在孔江、苍石、瀑布等水库。当年11月在孔江水库水深7米</w:t>
      </w:r>
      <w:r>
        <w:rPr>
          <w:rFonts w:hint="eastAsia" w:ascii="宋体" w:hAnsi="宋体"/>
          <w:szCs w:val="21"/>
        </w:rPr>
        <w:t>处，用刺网捕到</w:t>
      </w:r>
      <w:r>
        <w:rPr>
          <w:rFonts w:ascii="宋体" w:hAnsi="宋体"/>
          <w:szCs w:val="21"/>
        </w:rPr>
        <w:t>2尾13厘米长的池沼公鱼</w:t>
      </w:r>
      <w:r>
        <w:rPr>
          <w:rFonts w:hint="eastAsia" w:ascii="宋体" w:hAnsi="宋体"/>
          <w:szCs w:val="21"/>
        </w:rPr>
        <w:t>。</w:t>
      </w:r>
    </w:p>
    <w:p w14:paraId="77845F9B">
      <w:pPr>
        <w:ind w:firstLine="420"/>
        <w:rPr>
          <w:rFonts w:ascii="宋体" w:hAnsi="宋体"/>
          <w:szCs w:val="21"/>
        </w:rPr>
      </w:pPr>
      <w:r>
        <w:rPr>
          <w:rFonts w:hint="eastAsia" w:ascii="宋体" w:hAnsi="宋体"/>
          <w:szCs w:val="21"/>
        </w:rPr>
        <w:t>但从</w:t>
      </w:r>
      <w:r>
        <w:rPr>
          <w:rFonts w:ascii="宋体" w:hAnsi="宋体"/>
          <w:szCs w:val="21"/>
        </w:rPr>
        <w:t>2003年起，因管理水平和资金不足等原因，各水库水面均出租给私人养鱼，</w:t>
      </w:r>
      <w:r>
        <w:rPr>
          <w:rFonts w:hint="eastAsia" w:ascii="宋体" w:hAnsi="宋体"/>
          <w:szCs w:val="21"/>
        </w:rPr>
        <w:t>工程管理所不再从事渔业生产。</w:t>
      </w:r>
    </w:p>
    <w:p w14:paraId="599DE566">
      <w:pPr>
        <w:pStyle w:val="4"/>
        <w:rPr>
          <w:rFonts w:ascii="宋体" w:hAnsi="宋体"/>
        </w:rPr>
      </w:pPr>
      <w:r>
        <w:rPr>
          <w:rFonts w:hint="eastAsia" w:ascii="宋体" w:hAnsi="宋体"/>
        </w:rPr>
        <w:t>第四节  移民安置</w:t>
      </w:r>
    </w:p>
    <w:p w14:paraId="080A4931">
      <w:pPr>
        <w:pStyle w:val="5"/>
        <w:rPr>
          <w:rFonts w:ascii="宋体" w:hAnsi="宋体"/>
        </w:rPr>
      </w:pPr>
      <w:r>
        <w:rPr>
          <w:rFonts w:hint="eastAsia" w:ascii="宋体" w:hAnsi="宋体"/>
        </w:rPr>
        <w:t>一、解决老移民遗留问题</w:t>
      </w:r>
    </w:p>
    <w:p w14:paraId="6D796ECE">
      <w:pPr>
        <w:ind w:firstLine="420"/>
        <w:rPr>
          <w:rFonts w:ascii="宋体" w:hAnsi="宋体"/>
          <w:szCs w:val="21"/>
        </w:rPr>
      </w:pPr>
      <w:r>
        <w:rPr>
          <w:rFonts w:hint="eastAsia" w:ascii="宋体" w:hAnsi="宋体"/>
          <w:szCs w:val="21"/>
        </w:rPr>
        <w:t>从</w:t>
      </w:r>
      <w:r>
        <w:rPr>
          <w:rFonts w:ascii="宋体" w:hAnsi="宋体"/>
          <w:szCs w:val="21"/>
        </w:rPr>
        <w:t>1955年兴建横江、梅花水库起，至1977年兴建宝江水库止，需要移民的水库11宗，946户，4558人。其中松山、大坝2个水库，因未淹没房屋，村民不愿迁移，</w:t>
      </w:r>
      <w:r>
        <w:rPr>
          <w:rFonts w:hint="eastAsia" w:ascii="宋体" w:hAnsi="宋体"/>
          <w:szCs w:val="21"/>
        </w:rPr>
        <w:t>且对水库蓄水影响不大，该二库移民计划没有执行。至</w:t>
      </w:r>
      <w:r>
        <w:rPr>
          <w:rFonts w:ascii="宋体" w:hAnsi="宋体"/>
          <w:szCs w:val="21"/>
        </w:rPr>
        <w:t>1984年，全县安置水利移民894户，4303人。其中集体安置820户，4019人，分布在19个乡镇、29个行政村</w:t>
      </w:r>
      <w:r>
        <w:rPr>
          <w:rFonts w:hint="eastAsia" w:ascii="宋体" w:hAnsi="宋体"/>
          <w:szCs w:val="21"/>
        </w:rPr>
        <w:t>。划给耕地</w:t>
      </w:r>
      <w:r>
        <w:rPr>
          <w:rFonts w:ascii="宋体" w:hAnsi="宋体"/>
          <w:szCs w:val="21"/>
        </w:rPr>
        <w:t>373.13公顷，人均0.09公顷，占原被淹耕地的70%；为移民建房61489平</w:t>
      </w:r>
      <w:r>
        <w:rPr>
          <w:rFonts w:hint="eastAsia" w:ascii="宋体" w:hAnsi="宋体"/>
          <w:szCs w:val="21"/>
        </w:rPr>
        <w:t>方米，为被淹房屋的</w:t>
      </w:r>
      <w:r>
        <w:rPr>
          <w:rFonts w:ascii="宋体" w:hAnsi="宋体"/>
          <w:szCs w:val="21"/>
        </w:rPr>
        <w:t>107.6%；为移民建山塘15口，电灌站15座，装机546千瓦，</w:t>
      </w:r>
      <w:r>
        <w:rPr>
          <w:rFonts w:hint="eastAsia" w:ascii="宋体" w:hAnsi="宋体"/>
          <w:szCs w:val="21"/>
        </w:rPr>
        <w:t>抽水机械</w:t>
      </w:r>
      <w:r>
        <w:rPr>
          <w:rFonts w:ascii="宋体" w:hAnsi="宋体"/>
          <w:szCs w:val="21"/>
        </w:rPr>
        <w:t>20台，264千瓦，修路21公里，架设输电线路3公里。</w:t>
      </w:r>
    </w:p>
    <w:p w14:paraId="49BA0F51">
      <w:pPr>
        <w:ind w:firstLine="420"/>
        <w:rPr>
          <w:rFonts w:ascii="宋体" w:hAnsi="宋体"/>
          <w:szCs w:val="21"/>
        </w:rPr>
      </w:pPr>
      <w:r>
        <w:rPr>
          <w:rFonts w:hint="eastAsia" w:ascii="宋体" w:hAnsi="宋体"/>
          <w:szCs w:val="21"/>
        </w:rPr>
        <w:t>由于历史的原因，移民生产、生活水平总是赶不上非移民。主要原因是安置居住地大部分是较边远偏僻的山沟，交通不便，加上补助标准低，所建住房经</w:t>
      </w:r>
      <w:r>
        <w:rPr>
          <w:rFonts w:ascii="宋体" w:hAnsi="宋体"/>
          <w:szCs w:val="21"/>
        </w:rPr>
        <w:t>20多年风</w:t>
      </w:r>
      <w:r>
        <w:rPr>
          <w:rFonts w:hint="eastAsia" w:ascii="宋体" w:hAnsi="宋体"/>
          <w:szCs w:val="21"/>
        </w:rPr>
        <w:t>雨，渐成危房，所划耕地土质、水利条件差，移民生活仍处于贫困状态。</w:t>
      </w:r>
      <w:r>
        <w:rPr>
          <w:rFonts w:ascii="宋体" w:hAnsi="宋体"/>
          <w:szCs w:val="21"/>
        </w:rPr>
        <w:t>1988年至1992年，为改善移民生产、生活条件，全县投入资金92.77万元（其中省拨20万</w:t>
      </w:r>
      <w:r>
        <w:rPr>
          <w:rFonts w:hint="eastAsia" w:ascii="宋体" w:hAnsi="宋体"/>
          <w:szCs w:val="21"/>
        </w:rPr>
        <w:t>元），兴建了一批小型水利工程，改造低产田</w:t>
      </w:r>
      <w:r>
        <w:rPr>
          <w:rFonts w:ascii="宋体" w:hAnsi="宋体"/>
          <w:szCs w:val="21"/>
        </w:rPr>
        <w:t>1000公顷，打水井解决食水难6356人，</w:t>
      </w:r>
      <w:r>
        <w:rPr>
          <w:rFonts w:hint="eastAsia" w:ascii="宋体" w:hAnsi="宋体"/>
          <w:szCs w:val="21"/>
        </w:rPr>
        <w:t>使移民人均口粮由</w:t>
      </w:r>
      <w:r>
        <w:rPr>
          <w:rFonts w:ascii="宋体" w:hAnsi="宋体"/>
          <w:szCs w:val="21"/>
        </w:rPr>
        <w:t>1987年的325公斤增加到350公斤，人均收入由350元增加到650</w:t>
      </w:r>
      <w:r>
        <w:rPr>
          <w:rFonts w:hint="eastAsia" w:ascii="宋体" w:hAnsi="宋体"/>
          <w:szCs w:val="21"/>
        </w:rPr>
        <w:t>元，基本解决了温饱问题。</w:t>
      </w:r>
    </w:p>
    <w:p w14:paraId="637E45E7">
      <w:pPr>
        <w:ind w:firstLine="420"/>
        <w:rPr>
          <w:rFonts w:ascii="宋体" w:hAnsi="宋体"/>
          <w:szCs w:val="21"/>
        </w:rPr>
      </w:pPr>
      <w:r>
        <w:rPr>
          <w:rFonts w:ascii="宋体" w:hAnsi="宋体"/>
          <w:szCs w:val="21"/>
        </w:rPr>
        <w:t>1992年，省七届人大五次会议提出《解决水库移民遗留问题议案》，广东省政府</w:t>
      </w:r>
      <w:r>
        <w:rPr>
          <w:rFonts w:hint="eastAsia" w:ascii="宋体" w:hAnsi="宋体"/>
          <w:szCs w:val="21"/>
        </w:rPr>
        <w:t>于同年</w:t>
      </w:r>
      <w:r>
        <w:rPr>
          <w:rFonts w:ascii="宋体" w:hAnsi="宋体"/>
          <w:szCs w:val="21"/>
        </w:rPr>
        <w:t>12月28日发出《进一步做好水库移民工作的通知》，县政府于1996年4月决</w:t>
      </w:r>
      <w:r>
        <w:rPr>
          <w:rFonts w:hint="eastAsia" w:ascii="宋体" w:hAnsi="宋体"/>
          <w:szCs w:val="21"/>
        </w:rPr>
        <w:t>定增加农田灌溉水费谷</w:t>
      </w:r>
      <w:r>
        <w:rPr>
          <w:rFonts w:ascii="宋体" w:hAnsi="宋体"/>
          <w:szCs w:val="21"/>
        </w:rPr>
        <w:t>1.5公斤和小水电收购价中按年发电量每千瓦时征收0.002元</w:t>
      </w:r>
      <w:r>
        <w:rPr>
          <w:rFonts w:hint="eastAsia" w:ascii="宋体" w:hAnsi="宋体"/>
          <w:szCs w:val="21"/>
        </w:rPr>
        <w:t>作为扶助移民基金。有移民的乡镇，每年从乡镇财政收入中提取</w:t>
      </w:r>
      <w:r>
        <w:rPr>
          <w:rFonts w:ascii="宋体" w:hAnsi="宋体"/>
          <w:szCs w:val="21"/>
        </w:rPr>
        <w:t>1%～2%作为扶助</w:t>
      </w:r>
      <w:r>
        <w:rPr>
          <w:rFonts w:hint="eastAsia" w:ascii="宋体" w:hAnsi="宋体"/>
          <w:szCs w:val="21"/>
        </w:rPr>
        <w:t>移民资金。</w:t>
      </w:r>
    </w:p>
    <w:p w14:paraId="401456A9">
      <w:pPr>
        <w:ind w:firstLine="420"/>
        <w:rPr>
          <w:rFonts w:ascii="宋体" w:hAnsi="宋体"/>
          <w:szCs w:val="21"/>
        </w:rPr>
      </w:pPr>
      <w:r>
        <w:rPr>
          <w:rFonts w:ascii="宋体" w:hAnsi="宋体"/>
          <w:szCs w:val="21"/>
        </w:rPr>
        <w:t>1993年至2002年，为水利移民改造危房320平方米，新建住房21126平方米</w:t>
      </w:r>
      <w:r>
        <w:rPr>
          <w:rFonts w:hint="eastAsia" w:ascii="宋体" w:hAnsi="宋体"/>
          <w:szCs w:val="21"/>
        </w:rPr>
        <w:t>，新建校舍</w:t>
      </w:r>
      <w:r>
        <w:rPr>
          <w:rFonts w:ascii="宋体" w:hAnsi="宋体"/>
          <w:szCs w:val="21"/>
        </w:rPr>
        <w:t>568平方米，新建医疗所320平方米，打水井81口，安装输水管40320米，</w:t>
      </w:r>
      <w:r>
        <w:rPr>
          <w:rFonts w:hint="eastAsia" w:ascii="宋体" w:hAnsi="宋体"/>
          <w:szCs w:val="21"/>
        </w:rPr>
        <w:t>架高压输电线</w:t>
      </w:r>
      <w:r>
        <w:rPr>
          <w:rFonts w:ascii="宋体" w:hAnsi="宋体"/>
          <w:szCs w:val="21"/>
        </w:rPr>
        <w:t>11.8公里，低压线1.5公里，安装变压器11台，新建水利工程11宗，</w:t>
      </w:r>
      <w:r>
        <w:rPr>
          <w:rFonts w:hint="eastAsia" w:ascii="宋体" w:hAnsi="宋体"/>
          <w:szCs w:val="21"/>
        </w:rPr>
        <w:t>修公路</w:t>
      </w:r>
      <w:r>
        <w:rPr>
          <w:rFonts w:ascii="宋体" w:hAnsi="宋体"/>
          <w:szCs w:val="21"/>
        </w:rPr>
        <w:t>49.8公里，建桥18座，受益11000人。以上共投入资金1648.83万元，其中</w:t>
      </w:r>
      <w:r>
        <w:rPr>
          <w:rFonts w:hint="eastAsia" w:ascii="宋体" w:hAnsi="宋体"/>
          <w:szCs w:val="21"/>
        </w:rPr>
        <w:t>省拨款</w:t>
      </w:r>
      <w:r>
        <w:rPr>
          <w:rFonts w:ascii="宋体" w:hAnsi="宋体"/>
          <w:szCs w:val="21"/>
        </w:rPr>
        <w:t>359万元，县拨款590.47万元，镇、群众自筹699.36万元。移民的生产、生</w:t>
      </w:r>
      <w:r>
        <w:rPr>
          <w:rFonts w:hint="eastAsia" w:ascii="宋体" w:hAnsi="宋体"/>
          <w:szCs w:val="21"/>
        </w:rPr>
        <w:t>活水平有所提高。</w:t>
      </w:r>
      <w:r>
        <w:rPr>
          <w:rFonts w:ascii="宋体" w:hAnsi="宋体"/>
          <w:szCs w:val="21"/>
        </w:rPr>
        <w:t>2002年全市移民人均粮食产量400公斤，年均收</w:t>
      </w:r>
      <w:r>
        <w:rPr>
          <w:rFonts w:hint="eastAsia" w:ascii="宋体" w:hAnsi="宋体"/>
          <w:szCs w:val="21"/>
        </w:rPr>
        <w:t>入</w:t>
      </w:r>
      <w:r>
        <w:rPr>
          <w:rFonts w:ascii="宋体" w:hAnsi="宋体"/>
          <w:szCs w:val="21"/>
        </w:rPr>
        <w:t>2950元，为全</w:t>
      </w:r>
      <w:r>
        <w:rPr>
          <w:rFonts w:hint="eastAsia" w:ascii="宋体" w:hAnsi="宋体"/>
          <w:szCs w:val="21"/>
        </w:rPr>
        <w:t>市农民人均的</w:t>
      </w:r>
      <w:r>
        <w:rPr>
          <w:rFonts w:ascii="宋体" w:hAnsi="宋体"/>
          <w:szCs w:val="21"/>
        </w:rPr>
        <w:t>72%</w:t>
      </w:r>
      <w:r>
        <w:rPr>
          <w:rFonts w:hint="eastAsia" w:ascii="宋体" w:hAnsi="宋体"/>
          <w:szCs w:val="21"/>
        </w:rPr>
        <w:t>。</w:t>
      </w:r>
    </w:p>
    <w:p w14:paraId="2F71A90C">
      <w:pPr>
        <w:pStyle w:val="5"/>
        <w:rPr>
          <w:rFonts w:ascii="宋体" w:hAnsi="宋体"/>
        </w:rPr>
      </w:pPr>
      <w:r>
        <w:rPr>
          <w:rFonts w:hint="eastAsia" w:ascii="宋体" w:hAnsi="宋体"/>
        </w:rPr>
        <w:t>二、新建工程移民安置</w:t>
      </w:r>
    </w:p>
    <w:p w14:paraId="15AC4814">
      <w:pPr>
        <w:ind w:firstLine="420"/>
        <w:rPr>
          <w:rFonts w:ascii="宋体" w:hAnsi="宋体"/>
          <w:szCs w:val="21"/>
        </w:rPr>
      </w:pPr>
      <w:r>
        <w:rPr>
          <w:rFonts w:ascii="宋体" w:hAnsi="宋体"/>
          <w:szCs w:val="21"/>
        </w:rPr>
        <w:t>1992年12月19日省水电厅批准南雄苍石水库工程开工，需搬迁移民59户，272</w:t>
      </w:r>
      <w:r>
        <w:rPr>
          <w:rFonts w:hint="eastAsia" w:ascii="宋体" w:hAnsi="宋体"/>
          <w:szCs w:val="21"/>
        </w:rPr>
        <w:t>人。至</w:t>
      </w:r>
      <w:r>
        <w:rPr>
          <w:rFonts w:ascii="宋体" w:hAnsi="宋体"/>
          <w:szCs w:val="21"/>
        </w:rPr>
        <w:t>1995年，移民迁入城区246人，按统一标准兴建了两幢框架结构6层楼房4881平方米，人均居住面积19.84平方米。后来，移民自己集资在该地兴建了2幢同</w:t>
      </w:r>
      <w:r>
        <w:rPr>
          <w:rFonts w:hint="eastAsia" w:ascii="宋体" w:hAnsi="宋体"/>
          <w:szCs w:val="21"/>
        </w:rPr>
        <w:t>样的住房。</w:t>
      </w:r>
      <w:r>
        <w:rPr>
          <w:rFonts w:ascii="宋体" w:hAnsi="宋体"/>
          <w:szCs w:val="21"/>
        </w:rPr>
        <w:t>150名农转非人员分别安置在供电、水利、林业、帽子峰林场、水泥厂</w:t>
      </w:r>
      <w:r>
        <w:rPr>
          <w:rFonts w:hint="eastAsia" w:ascii="宋体" w:hAnsi="宋体"/>
          <w:szCs w:val="21"/>
        </w:rPr>
        <w:t>、农机等企事业单位工作。用于苍石水库征地补偿、移民安置的资金共计</w:t>
      </w:r>
      <w:r>
        <w:rPr>
          <w:rFonts w:ascii="宋体" w:hAnsi="宋体"/>
          <w:szCs w:val="21"/>
        </w:rPr>
        <w:t>403万元。安</w:t>
      </w:r>
      <w:r>
        <w:rPr>
          <w:rFonts w:hint="eastAsia" w:ascii="宋体" w:hAnsi="宋体"/>
          <w:szCs w:val="21"/>
        </w:rPr>
        <w:t>置后，移民思想稳定，均感满意。</w:t>
      </w:r>
    </w:p>
    <w:p w14:paraId="23A01D56">
      <w:pPr>
        <w:pStyle w:val="4"/>
        <w:rPr>
          <w:rFonts w:ascii="宋体" w:hAnsi="宋体"/>
        </w:rPr>
      </w:pPr>
      <w:r>
        <w:rPr>
          <w:rFonts w:hint="eastAsia" w:ascii="宋体" w:hAnsi="宋体"/>
        </w:rPr>
        <w:t>第五节  三防工作</w:t>
      </w:r>
    </w:p>
    <w:p w14:paraId="266098D6">
      <w:pPr>
        <w:pStyle w:val="5"/>
        <w:rPr>
          <w:rFonts w:ascii="宋体" w:hAnsi="宋体"/>
        </w:rPr>
      </w:pPr>
      <w:r>
        <w:rPr>
          <w:rFonts w:hint="eastAsia" w:ascii="宋体" w:hAnsi="宋体"/>
        </w:rPr>
        <w:t>一、组织机构</w:t>
      </w:r>
    </w:p>
    <w:p w14:paraId="00F14D79">
      <w:pPr>
        <w:ind w:firstLine="420"/>
        <w:rPr>
          <w:rFonts w:ascii="宋体" w:hAnsi="宋体"/>
          <w:szCs w:val="21"/>
        </w:rPr>
      </w:pPr>
      <w:r>
        <w:rPr>
          <w:rFonts w:hint="eastAsia" w:ascii="宋体" w:hAnsi="宋体"/>
          <w:szCs w:val="21"/>
        </w:rPr>
        <w:t>南雄市人民政府防汛防旱防风指挥部（简称三防指挥部）总指挥由市长担任，副总指挥由副市长及人武部、公安局、水利局等单位主要领导担任。成员由市属有关行政、事业、企业科局级单位主要领导担任（每隔</w:t>
      </w:r>
      <w:r>
        <w:rPr>
          <w:rFonts w:ascii="宋体" w:hAnsi="宋体"/>
          <w:szCs w:val="21"/>
        </w:rPr>
        <w:t>1年～2年调整一次）。镇、村管</w:t>
      </w:r>
      <w:r>
        <w:rPr>
          <w:rFonts w:hint="eastAsia" w:ascii="宋体" w:hAnsi="宋体"/>
          <w:szCs w:val="21"/>
        </w:rPr>
        <w:t>的蓄水工程防汛责任人由镇、村主要领导担任。</w:t>
      </w:r>
    </w:p>
    <w:p w14:paraId="1DCE696D">
      <w:pPr>
        <w:ind w:firstLine="420"/>
        <w:rPr>
          <w:rFonts w:ascii="宋体" w:hAnsi="宋体"/>
          <w:szCs w:val="21"/>
        </w:rPr>
      </w:pPr>
      <w:r>
        <w:rPr>
          <w:rFonts w:hint="eastAsia" w:ascii="宋体" w:hAnsi="宋体"/>
          <w:szCs w:val="21"/>
        </w:rPr>
        <w:t>市三防指挥部下设办公室，事业编制</w:t>
      </w:r>
      <w:r>
        <w:rPr>
          <w:rFonts w:ascii="宋体" w:hAnsi="宋体"/>
          <w:szCs w:val="21"/>
        </w:rPr>
        <w:t>2名，经费在水利事业费中开支。办公地点</w:t>
      </w:r>
      <w:r>
        <w:rPr>
          <w:rFonts w:hint="eastAsia" w:ascii="宋体" w:hAnsi="宋体"/>
          <w:szCs w:val="21"/>
        </w:rPr>
        <w:t>在市水利局，办公室设备有：电脑</w:t>
      </w:r>
      <w:r>
        <w:rPr>
          <w:rFonts w:ascii="宋体" w:hAnsi="宋体"/>
          <w:szCs w:val="21"/>
        </w:rPr>
        <w:t>1台、程控电话机2部、传真机1部、电视机1</w:t>
      </w:r>
      <w:r>
        <w:rPr>
          <w:rFonts w:hint="eastAsia" w:ascii="宋体" w:hAnsi="宋体"/>
          <w:szCs w:val="21"/>
        </w:rPr>
        <w:t>部、无线电台</w:t>
      </w:r>
      <w:r>
        <w:rPr>
          <w:rFonts w:ascii="宋体" w:hAnsi="宋体"/>
          <w:szCs w:val="21"/>
        </w:rPr>
        <w:t>2台套、雨量数据采集器1台、防汛专用汽车1台。</w:t>
      </w:r>
    </w:p>
    <w:p w14:paraId="6B960023">
      <w:pPr>
        <w:pStyle w:val="5"/>
        <w:rPr>
          <w:rFonts w:ascii="宋体" w:hAnsi="宋体"/>
        </w:rPr>
      </w:pPr>
      <w:r>
        <w:rPr>
          <w:rFonts w:hint="eastAsia" w:ascii="宋体" w:hAnsi="宋体"/>
        </w:rPr>
        <w:t>二、三防制度</w:t>
      </w:r>
    </w:p>
    <w:p w14:paraId="5F02D4F2">
      <w:pPr>
        <w:ind w:firstLine="422"/>
        <w:rPr>
          <w:rFonts w:ascii="宋体" w:hAnsi="宋体"/>
          <w:b/>
          <w:szCs w:val="21"/>
        </w:rPr>
      </w:pPr>
      <w:r>
        <w:rPr>
          <w:rFonts w:ascii="宋体" w:hAnsi="宋体"/>
          <w:b/>
          <w:szCs w:val="21"/>
        </w:rPr>
        <w:t>1.防汛检查制度</w:t>
      </w:r>
    </w:p>
    <w:p w14:paraId="04D6B087">
      <w:pPr>
        <w:ind w:firstLine="420"/>
        <w:rPr>
          <w:rFonts w:ascii="宋体" w:hAnsi="宋体"/>
          <w:szCs w:val="21"/>
        </w:rPr>
      </w:pPr>
      <w:r>
        <w:rPr>
          <w:rFonts w:hint="eastAsia" w:ascii="宋体" w:hAnsi="宋体"/>
          <w:szCs w:val="21"/>
        </w:rPr>
        <w:t>每年</w:t>
      </w:r>
      <w:r>
        <w:rPr>
          <w:rFonts w:ascii="宋体" w:hAnsi="宋体"/>
          <w:szCs w:val="21"/>
        </w:rPr>
        <w:t>3月，由市三防指挥部下发通知至乡镇和水库管理所，按要求进行自查，并</w:t>
      </w:r>
      <w:r>
        <w:rPr>
          <w:rFonts w:hint="eastAsia" w:ascii="宋体" w:hAnsi="宋体"/>
          <w:szCs w:val="21"/>
        </w:rPr>
        <w:t>将自查结果及时报告市三防指挥部。指挥部根据各地自查汇报情况，组织人员对重点水库逐宗进行检查。对存在安全隐患的水库，提出限期整改要求，并督促落实。</w:t>
      </w:r>
    </w:p>
    <w:p w14:paraId="0325F132">
      <w:pPr>
        <w:ind w:firstLine="422"/>
        <w:rPr>
          <w:rFonts w:ascii="宋体" w:hAnsi="宋体"/>
          <w:b/>
          <w:szCs w:val="21"/>
        </w:rPr>
      </w:pPr>
      <w:r>
        <w:rPr>
          <w:rFonts w:ascii="宋体" w:hAnsi="宋体"/>
          <w:b/>
          <w:szCs w:val="21"/>
        </w:rPr>
        <w:t>2.控制运用制度</w:t>
      </w:r>
    </w:p>
    <w:p w14:paraId="1E7D8CDB">
      <w:pPr>
        <w:ind w:firstLine="420"/>
        <w:rPr>
          <w:rFonts w:ascii="宋体" w:hAnsi="宋体"/>
          <w:szCs w:val="21"/>
        </w:rPr>
      </w:pPr>
      <w:r>
        <w:rPr>
          <w:rFonts w:hint="eastAsia" w:ascii="宋体" w:hAnsi="宋体"/>
          <w:szCs w:val="21"/>
        </w:rPr>
        <w:t>市三防指挥部根据各水库具体情况和气象预测情况制定小（一）型以上水库汛期（</w:t>
      </w:r>
      <w:r>
        <w:rPr>
          <w:rFonts w:ascii="宋体" w:hAnsi="宋体"/>
          <w:szCs w:val="21"/>
        </w:rPr>
        <w:t>4月至9月）控制运用计划。报韶关市三防指挥部批准后，下达各水库执行。小</w:t>
      </w:r>
      <w:r>
        <w:rPr>
          <w:rFonts w:hint="eastAsia" w:ascii="宋体" w:hAnsi="宋体"/>
          <w:szCs w:val="21"/>
        </w:rPr>
        <w:t>（一）型以下水库的控制运用计划，由市三防指挥部直接下达各水库执行。</w:t>
      </w:r>
      <w:r>
        <w:rPr>
          <w:rFonts w:ascii="宋体" w:hAnsi="宋体"/>
          <w:szCs w:val="21"/>
        </w:rPr>
        <w:t>2002年韶</w:t>
      </w:r>
      <w:r>
        <w:rPr>
          <w:rFonts w:hint="eastAsia" w:ascii="宋体" w:hAnsi="宋体"/>
          <w:szCs w:val="21"/>
        </w:rPr>
        <w:t>关市下达的中型水库控制运用计划如表</w:t>
      </w:r>
      <w:r>
        <w:rPr>
          <w:rFonts w:ascii="宋体" w:hAnsi="宋体"/>
          <w:szCs w:val="21"/>
        </w:rPr>
        <w:t>2-31：</w:t>
      </w:r>
    </w:p>
    <w:p w14:paraId="7A00F4CD">
      <w:pPr>
        <w:ind w:firstLine="0" w:firstLineChars="0"/>
        <w:jc w:val="center"/>
        <w:rPr>
          <w:rFonts w:ascii="宋体" w:hAnsi="宋体"/>
          <w:b/>
          <w:szCs w:val="21"/>
        </w:rPr>
      </w:pPr>
      <w:r>
        <w:rPr>
          <w:rFonts w:hint="eastAsia" w:ascii="宋体" w:hAnsi="宋体"/>
          <w:b/>
          <w:szCs w:val="21"/>
        </w:rPr>
        <w:t>南雄市中型水库</w:t>
      </w:r>
      <w:r>
        <w:rPr>
          <w:rFonts w:ascii="宋体" w:hAnsi="宋体"/>
          <w:b/>
          <w:szCs w:val="21"/>
        </w:rPr>
        <w:t>2002年汛期防洪控制运用情况</w:t>
      </w:r>
    </w:p>
    <w:p w14:paraId="3643F5D7">
      <w:pPr>
        <w:ind w:firstLine="0" w:firstLineChars="0"/>
        <w:rPr>
          <w:rFonts w:ascii="宋体" w:hAnsi="宋体"/>
          <w:szCs w:val="21"/>
        </w:rPr>
      </w:pPr>
      <w:r>
        <w:rPr>
          <w:rFonts w:hint="eastAsia" w:ascii="宋体" w:hAnsi="宋体"/>
          <w:szCs w:val="21"/>
        </w:rPr>
        <w:t>表</w:t>
      </w:r>
      <w:r>
        <w:rPr>
          <w:rFonts w:ascii="宋体" w:hAnsi="宋体"/>
          <w:szCs w:val="21"/>
        </w:rPr>
        <w:t>2-31</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0"/>
        <w:gridCol w:w="756"/>
        <w:gridCol w:w="909"/>
        <w:gridCol w:w="909"/>
        <w:gridCol w:w="731"/>
        <w:gridCol w:w="909"/>
        <w:gridCol w:w="909"/>
        <w:gridCol w:w="757"/>
        <w:gridCol w:w="909"/>
        <w:gridCol w:w="759"/>
        <w:gridCol w:w="1684"/>
      </w:tblGrid>
      <w:tr w14:paraId="0F8AEA5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67" w:type="pct"/>
            <w:vMerge w:val="restart"/>
            <w:vAlign w:val="center"/>
          </w:tcPr>
          <w:p w14:paraId="488DDD12">
            <w:pPr>
              <w:pStyle w:val="12"/>
              <w:jc w:val="center"/>
              <w:rPr>
                <w:rFonts w:ascii="宋体" w:hAnsi="宋体"/>
                <w:b/>
              </w:rPr>
            </w:pPr>
            <w:r>
              <w:rPr>
                <w:rFonts w:hint="eastAsia" w:ascii="宋体" w:hAnsi="宋体"/>
                <w:b/>
              </w:rPr>
              <w:t>水库名称</w:t>
            </w:r>
          </w:p>
        </w:tc>
        <w:tc>
          <w:tcPr>
            <w:tcW w:w="380" w:type="pct"/>
            <w:vMerge w:val="restart"/>
            <w:vAlign w:val="center"/>
          </w:tcPr>
          <w:p w14:paraId="2E730670">
            <w:pPr>
              <w:pStyle w:val="12"/>
              <w:jc w:val="center"/>
              <w:rPr>
                <w:rFonts w:ascii="宋体" w:hAnsi="宋体"/>
                <w:b/>
              </w:rPr>
            </w:pPr>
            <w:r>
              <w:rPr>
                <w:rFonts w:hint="eastAsia" w:ascii="宋体" w:hAnsi="宋体"/>
                <w:b/>
              </w:rPr>
              <w:t>集雨面积（平方公里）</w:t>
            </w:r>
          </w:p>
        </w:tc>
        <w:tc>
          <w:tcPr>
            <w:tcW w:w="456" w:type="pct"/>
            <w:vMerge w:val="restart"/>
            <w:vAlign w:val="center"/>
          </w:tcPr>
          <w:p w14:paraId="32FC14C2">
            <w:pPr>
              <w:pStyle w:val="12"/>
              <w:jc w:val="center"/>
              <w:rPr>
                <w:rFonts w:ascii="宋体" w:hAnsi="宋体"/>
                <w:b/>
              </w:rPr>
            </w:pPr>
            <w:r>
              <w:rPr>
                <w:rFonts w:hint="eastAsia" w:ascii="宋体" w:hAnsi="宋体"/>
                <w:b/>
              </w:rPr>
              <w:t>现坝顶高程（米）</w:t>
            </w:r>
          </w:p>
        </w:tc>
        <w:tc>
          <w:tcPr>
            <w:tcW w:w="456" w:type="pct"/>
            <w:vMerge w:val="restart"/>
            <w:vAlign w:val="center"/>
          </w:tcPr>
          <w:p w14:paraId="5E6D06F9">
            <w:pPr>
              <w:pStyle w:val="12"/>
              <w:jc w:val="center"/>
              <w:rPr>
                <w:rFonts w:ascii="宋体" w:hAnsi="宋体"/>
                <w:b/>
              </w:rPr>
            </w:pPr>
            <w:r>
              <w:rPr>
                <w:rFonts w:hint="eastAsia" w:ascii="宋体" w:hAnsi="宋体"/>
                <w:b/>
              </w:rPr>
              <w:t>正常水位（米）</w:t>
            </w:r>
          </w:p>
        </w:tc>
        <w:tc>
          <w:tcPr>
            <w:tcW w:w="367" w:type="pct"/>
            <w:vMerge w:val="restart"/>
            <w:vAlign w:val="center"/>
          </w:tcPr>
          <w:p w14:paraId="48F5F5B4">
            <w:pPr>
              <w:pStyle w:val="12"/>
              <w:jc w:val="center"/>
              <w:rPr>
                <w:rFonts w:ascii="宋体" w:hAnsi="宋体"/>
                <w:b/>
              </w:rPr>
            </w:pPr>
            <w:r>
              <w:rPr>
                <w:rFonts w:hint="eastAsia" w:ascii="宋体" w:hAnsi="宋体"/>
                <w:b/>
              </w:rPr>
              <w:t>正常库容（万立方米）</w:t>
            </w:r>
          </w:p>
        </w:tc>
        <w:tc>
          <w:tcPr>
            <w:tcW w:w="456" w:type="pct"/>
            <w:vMerge w:val="restart"/>
            <w:vAlign w:val="center"/>
          </w:tcPr>
          <w:p w14:paraId="5634AE7F">
            <w:pPr>
              <w:pStyle w:val="12"/>
              <w:jc w:val="center"/>
              <w:rPr>
                <w:rFonts w:ascii="宋体" w:hAnsi="宋体"/>
                <w:b/>
              </w:rPr>
            </w:pPr>
            <w:r>
              <w:rPr>
                <w:rFonts w:hint="eastAsia" w:ascii="宋体" w:hAnsi="宋体"/>
                <w:b/>
              </w:rPr>
              <w:t>校核洪水位（米）</w:t>
            </w:r>
          </w:p>
        </w:tc>
        <w:tc>
          <w:tcPr>
            <w:tcW w:w="1673" w:type="pct"/>
            <w:gridSpan w:val="4"/>
            <w:vAlign w:val="center"/>
          </w:tcPr>
          <w:p w14:paraId="26D6D9BB">
            <w:pPr>
              <w:pStyle w:val="12"/>
              <w:jc w:val="center"/>
              <w:rPr>
                <w:rFonts w:ascii="宋体" w:hAnsi="宋体"/>
                <w:b/>
              </w:rPr>
            </w:pPr>
            <w:r>
              <w:rPr>
                <w:rFonts w:hint="eastAsia" w:ascii="宋体" w:hAnsi="宋体"/>
                <w:b/>
              </w:rPr>
              <w:t>防汛期限制蓄水位及库容</w:t>
            </w:r>
          </w:p>
        </w:tc>
        <w:tc>
          <w:tcPr>
            <w:tcW w:w="845" w:type="pct"/>
            <w:vMerge w:val="restart"/>
            <w:vAlign w:val="center"/>
          </w:tcPr>
          <w:p w14:paraId="1F715AD7">
            <w:pPr>
              <w:pStyle w:val="12"/>
              <w:jc w:val="center"/>
              <w:rPr>
                <w:rFonts w:ascii="宋体" w:hAnsi="宋体"/>
                <w:b/>
              </w:rPr>
            </w:pPr>
            <w:r>
              <w:rPr>
                <w:rFonts w:hint="eastAsia" w:ascii="宋体" w:hAnsi="宋体"/>
                <w:b/>
              </w:rPr>
              <w:t>备注</w:t>
            </w:r>
          </w:p>
        </w:tc>
      </w:tr>
      <w:tr w14:paraId="127B013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67" w:type="pct"/>
            <w:vMerge w:val="continue"/>
            <w:vAlign w:val="center"/>
          </w:tcPr>
          <w:p w14:paraId="744CE59E">
            <w:pPr>
              <w:pStyle w:val="12"/>
              <w:jc w:val="center"/>
              <w:rPr>
                <w:rFonts w:ascii="宋体" w:hAnsi="宋体"/>
                <w:b/>
              </w:rPr>
            </w:pPr>
          </w:p>
        </w:tc>
        <w:tc>
          <w:tcPr>
            <w:tcW w:w="380" w:type="pct"/>
            <w:vMerge w:val="continue"/>
            <w:vAlign w:val="center"/>
          </w:tcPr>
          <w:p w14:paraId="2A747BAE">
            <w:pPr>
              <w:pStyle w:val="12"/>
              <w:jc w:val="center"/>
              <w:rPr>
                <w:rFonts w:ascii="宋体" w:hAnsi="宋体"/>
                <w:b/>
              </w:rPr>
            </w:pPr>
          </w:p>
        </w:tc>
        <w:tc>
          <w:tcPr>
            <w:tcW w:w="456" w:type="pct"/>
            <w:vMerge w:val="continue"/>
            <w:vAlign w:val="center"/>
          </w:tcPr>
          <w:p w14:paraId="52CD49B1">
            <w:pPr>
              <w:pStyle w:val="12"/>
              <w:jc w:val="center"/>
              <w:rPr>
                <w:rFonts w:ascii="宋体" w:hAnsi="宋体"/>
                <w:b/>
              </w:rPr>
            </w:pPr>
          </w:p>
        </w:tc>
        <w:tc>
          <w:tcPr>
            <w:tcW w:w="456" w:type="pct"/>
            <w:vMerge w:val="continue"/>
            <w:vAlign w:val="center"/>
          </w:tcPr>
          <w:p w14:paraId="2097572E">
            <w:pPr>
              <w:pStyle w:val="12"/>
              <w:jc w:val="center"/>
              <w:rPr>
                <w:rFonts w:ascii="宋体" w:hAnsi="宋体"/>
                <w:b/>
              </w:rPr>
            </w:pPr>
          </w:p>
        </w:tc>
        <w:tc>
          <w:tcPr>
            <w:tcW w:w="367" w:type="pct"/>
            <w:vMerge w:val="continue"/>
            <w:vAlign w:val="center"/>
          </w:tcPr>
          <w:p w14:paraId="273578A7">
            <w:pPr>
              <w:pStyle w:val="12"/>
              <w:jc w:val="center"/>
              <w:rPr>
                <w:rFonts w:ascii="宋体" w:hAnsi="宋体"/>
                <w:b/>
              </w:rPr>
            </w:pPr>
          </w:p>
        </w:tc>
        <w:tc>
          <w:tcPr>
            <w:tcW w:w="456" w:type="pct"/>
            <w:vMerge w:val="continue"/>
            <w:vAlign w:val="center"/>
          </w:tcPr>
          <w:p w14:paraId="468F3114">
            <w:pPr>
              <w:pStyle w:val="12"/>
              <w:jc w:val="center"/>
              <w:rPr>
                <w:rFonts w:ascii="宋体" w:hAnsi="宋体"/>
                <w:b/>
              </w:rPr>
            </w:pPr>
          </w:p>
        </w:tc>
        <w:tc>
          <w:tcPr>
            <w:tcW w:w="836" w:type="pct"/>
            <w:gridSpan w:val="2"/>
            <w:vAlign w:val="center"/>
          </w:tcPr>
          <w:p w14:paraId="3F168F1F">
            <w:pPr>
              <w:pStyle w:val="12"/>
              <w:jc w:val="center"/>
              <w:rPr>
                <w:rFonts w:ascii="宋体" w:hAnsi="宋体"/>
                <w:b/>
              </w:rPr>
            </w:pPr>
            <w:r>
              <w:rPr>
                <w:rFonts w:hint="eastAsia" w:ascii="宋体" w:hAnsi="宋体"/>
                <w:b/>
              </w:rPr>
              <w:t>4月至6月</w:t>
            </w:r>
          </w:p>
        </w:tc>
        <w:tc>
          <w:tcPr>
            <w:tcW w:w="836" w:type="pct"/>
            <w:gridSpan w:val="2"/>
            <w:vAlign w:val="center"/>
          </w:tcPr>
          <w:p w14:paraId="76F9D2FA">
            <w:pPr>
              <w:pStyle w:val="12"/>
              <w:jc w:val="center"/>
              <w:rPr>
                <w:rFonts w:ascii="宋体" w:hAnsi="宋体"/>
                <w:b/>
              </w:rPr>
            </w:pPr>
            <w:r>
              <w:rPr>
                <w:rFonts w:hint="eastAsia" w:ascii="宋体" w:hAnsi="宋体"/>
                <w:b/>
              </w:rPr>
              <w:t>7月至9月</w:t>
            </w:r>
          </w:p>
        </w:tc>
        <w:tc>
          <w:tcPr>
            <w:tcW w:w="845" w:type="pct"/>
            <w:vMerge w:val="continue"/>
            <w:vAlign w:val="center"/>
          </w:tcPr>
          <w:p w14:paraId="3D38E2A1">
            <w:pPr>
              <w:pStyle w:val="12"/>
              <w:jc w:val="center"/>
              <w:rPr>
                <w:rFonts w:ascii="宋体" w:hAnsi="宋体"/>
              </w:rPr>
            </w:pPr>
          </w:p>
        </w:tc>
      </w:tr>
      <w:tr w14:paraId="5E2656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367" w:type="pct"/>
            <w:vMerge w:val="continue"/>
            <w:vAlign w:val="center"/>
          </w:tcPr>
          <w:p w14:paraId="3C3B08EA">
            <w:pPr>
              <w:pStyle w:val="12"/>
              <w:jc w:val="center"/>
              <w:rPr>
                <w:rFonts w:ascii="宋体" w:hAnsi="宋体"/>
                <w:b/>
              </w:rPr>
            </w:pPr>
          </w:p>
        </w:tc>
        <w:tc>
          <w:tcPr>
            <w:tcW w:w="380" w:type="pct"/>
            <w:vMerge w:val="continue"/>
            <w:vAlign w:val="center"/>
          </w:tcPr>
          <w:p w14:paraId="09EF0CAC">
            <w:pPr>
              <w:pStyle w:val="12"/>
              <w:jc w:val="center"/>
              <w:rPr>
                <w:rFonts w:ascii="宋体" w:hAnsi="宋体"/>
                <w:b/>
              </w:rPr>
            </w:pPr>
          </w:p>
        </w:tc>
        <w:tc>
          <w:tcPr>
            <w:tcW w:w="456" w:type="pct"/>
            <w:vMerge w:val="continue"/>
            <w:vAlign w:val="center"/>
          </w:tcPr>
          <w:p w14:paraId="7E4D99C9">
            <w:pPr>
              <w:pStyle w:val="12"/>
              <w:jc w:val="center"/>
              <w:rPr>
                <w:rFonts w:ascii="宋体" w:hAnsi="宋体"/>
                <w:b/>
              </w:rPr>
            </w:pPr>
          </w:p>
        </w:tc>
        <w:tc>
          <w:tcPr>
            <w:tcW w:w="456" w:type="pct"/>
            <w:vMerge w:val="continue"/>
            <w:vAlign w:val="center"/>
          </w:tcPr>
          <w:p w14:paraId="4A2BFA0C">
            <w:pPr>
              <w:pStyle w:val="12"/>
              <w:jc w:val="center"/>
              <w:rPr>
                <w:rFonts w:ascii="宋体" w:hAnsi="宋体"/>
                <w:b/>
              </w:rPr>
            </w:pPr>
          </w:p>
        </w:tc>
        <w:tc>
          <w:tcPr>
            <w:tcW w:w="367" w:type="pct"/>
            <w:vMerge w:val="continue"/>
            <w:vAlign w:val="center"/>
          </w:tcPr>
          <w:p w14:paraId="06C82E44">
            <w:pPr>
              <w:pStyle w:val="12"/>
              <w:jc w:val="center"/>
              <w:rPr>
                <w:rFonts w:ascii="宋体" w:hAnsi="宋体"/>
                <w:b/>
              </w:rPr>
            </w:pPr>
          </w:p>
        </w:tc>
        <w:tc>
          <w:tcPr>
            <w:tcW w:w="456" w:type="pct"/>
            <w:vMerge w:val="continue"/>
            <w:vAlign w:val="center"/>
          </w:tcPr>
          <w:p w14:paraId="689A22D6">
            <w:pPr>
              <w:pStyle w:val="12"/>
              <w:jc w:val="center"/>
              <w:rPr>
                <w:rFonts w:ascii="宋体" w:hAnsi="宋体"/>
                <w:b/>
              </w:rPr>
            </w:pPr>
          </w:p>
        </w:tc>
        <w:tc>
          <w:tcPr>
            <w:tcW w:w="456" w:type="pct"/>
            <w:vAlign w:val="center"/>
          </w:tcPr>
          <w:p w14:paraId="6DD3E6D1">
            <w:pPr>
              <w:pStyle w:val="12"/>
              <w:jc w:val="center"/>
              <w:rPr>
                <w:rFonts w:ascii="宋体" w:hAnsi="宋体"/>
                <w:b/>
              </w:rPr>
            </w:pPr>
            <w:r>
              <w:rPr>
                <w:rFonts w:hint="eastAsia" w:ascii="宋体" w:hAnsi="宋体"/>
                <w:b/>
              </w:rPr>
              <w:t>水位（米）</w:t>
            </w:r>
          </w:p>
        </w:tc>
        <w:tc>
          <w:tcPr>
            <w:tcW w:w="380" w:type="pct"/>
            <w:vAlign w:val="center"/>
          </w:tcPr>
          <w:p w14:paraId="4081BFD9">
            <w:pPr>
              <w:pStyle w:val="12"/>
              <w:jc w:val="center"/>
              <w:rPr>
                <w:rFonts w:ascii="宋体" w:hAnsi="宋体"/>
                <w:b/>
              </w:rPr>
            </w:pPr>
            <w:r>
              <w:rPr>
                <w:rFonts w:hint="eastAsia" w:ascii="宋体" w:hAnsi="宋体"/>
                <w:b/>
              </w:rPr>
              <w:t>库容（万立方米）</w:t>
            </w:r>
          </w:p>
        </w:tc>
        <w:tc>
          <w:tcPr>
            <w:tcW w:w="456" w:type="pct"/>
            <w:vAlign w:val="center"/>
          </w:tcPr>
          <w:p w14:paraId="222374B4">
            <w:pPr>
              <w:pStyle w:val="12"/>
              <w:jc w:val="center"/>
              <w:rPr>
                <w:rFonts w:ascii="宋体" w:hAnsi="宋体"/>
                <w:b/>
              </w:rPr>
            </w:pPr>
            <w:r>
              <w:rPr>
                <w:rFonts w:hint="eastAsia" w:ascii="宋体" w:hAnsi="宋体"/>
                <w:b/>
              </w:rPr>
              <w:t>水位（米）</w:t>
            </w:r>
          </w:p>
        </w:tc>
        <w:tc>
          <w:tcPr>
            <w:tcW w:w="380" w:type="pct"/>
            <w:vAlign w:val="center"/>
          </w:tcPr>
          <w:p w14:paraId="11F2B089">
            <w:pPr>
              <w:pStyle w:val="12"/>
              <w:jc w:val="center"/>
              <w:rPr>
                <w:rFonts w:ascii="宋体" w:hAnsi="宋体"/>
                <w:b/>
              </w:rPr>
            </w:pPr>
            <w:r>
              <w:rPr>
                <w:rFonts w:hint="eastAsia" w:ascii="宋体" w:hAnsi="宋体"/>
                <w:b/>
              </w:rPr>
              <w:t>库容（万立方米）</w:t>
            </w:r>
          </w:p>
        </w:tc>
        <w:tc>
          <w:tcPr>
            <w:tcW w:w="845" w:type="pct"/>
            <w:vMerge w:val="continue"/>
            <w:vAlign w:val="center"/>
          </w:tcPr>
          <w:p w14:paraId="20BFB07B">
            <w:pPr>
              <w:pStyle w:val="12"/>
              <w:jc w:val="center"/>
              <w:rPr>
                <w:rFonts w:ascii="宋体" w:hAnsi="宋体"/>
              </w:rPr>
            </w:pPr>
          </w:p>
        </w:tc>
      </w:tr>
      <w:tr w14:paraId="4B0DF3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7" w:type="pct"/>
            <w:vAlign w:val="center"/>
          </w:tcPr>
          <w:p w14:paraId="79BB9DC8">
            <w:pPr>
              <w:pStyle w:val="12"/>
              <w:jc w:val="center"/>
              <w:rPr>
                <w:rFonts w:ascii="宋体" w:hAnsi="宋体"/>
              </w:rPr>
            </w:pPr>
            <w:r>
              <w:rPr>
                <w:rFonts w:hint="eastAsia" w:ascii="宋体" w:hAnsi="宋体"/>
              </w:rPr>
              <w:t>孔江</w:t>
            </w:r>
          </w:p>
        </w:tc>
        <w:tc>
          <w:tcPr>
            <w:tcW w:w="380" w:type="pct"/>
            <w:vAlign w:val="center"/>
          </w:tcPr>
          <w:p w14:paraId="338B616E">
            <w:pPr>
              <w:pStyle w:val="12"/>
              <w:jc w:val="center"/>
              <w:rPr>
                <w:rFonts w:ascii="宋体" w:hAnsi="宋体"/>
              </w:rPr>
            </w:pPr>
            <w:r>
              <w:rPr>
                <w:rFonts w:hint="eastAsia" w:ascii="宋体" w:hAnsi="宋体"/>
              </w:rPr>
              <w:t>79.4</w:t>
            </w:r>
          </w:p>
        </w:tc>
        <w:tc>
          <w:tcPr>
            <w:tcW w:w="456" w:type="pct"/>
            <w:vAlign w:val="center"/>
          </w:tcPr>
          <w:p w14:paraId="6A7735A7">
            <w:pPr>
              <w:pStyle w:val="12"/>
              <w:jc w:val="center"/>
              <w:rPr>
                <w:rFonts w:ascii="宋体" w:hAnsi="宋体"/>
              </w:rPr>
            </w:pPr>
            <w:r>
              <w:rPr>
                <w:rFonts w:hint="eastAsia" w:ascii="宋体" w:hAnsi="宋体"/>
              </w:rPr>
              <w:t>197.4</w:t>
            </w:r>
          </w:p>
        </w:tc>
        <w:tc>
          <w:tcPr>
            <w:tcW w:w="456" w:type="pct"/>
            <w:vAlign w:val="center"/>
          </w:tcPr>
          <w:p w14:paraId="76DC0C35">
            <w:pPr>
              <w:pStyle w:val="12"/>
              <w:jc w:val="center"/>
              <w:rPr>
                <w:rFonts w:ascii="宋体" w:hAnsi="宋体"/>
              </w:rPr>
            </w:pPr>
            <w:r>
              <w:rPr>
                <w:rFonts w:hint="eastAsia" w:ascii="宋体" w:hAnsi="宋体"/>
              </w:rPr>
              <w:t>195</w:t>
            </w:r>
          </w:p>
        </w:tc>
        <w:tc>
          <w:tcPr>
            <w:tcW w:w="367" w:type="pct"/>
            <w:vAlign w:val="center"/>
          </w:tcPr>
          <w:p w14:paraId="721CE23B">
            <w:pPr>
              <w:pStyle w:val="12"/>
              <w:jc w:val="center"/>
              <w:rPr>
                <w:rFonts w:ascii="宋体" w:hAnsi="宋体"/>
              </w:rPr>
            </w:pPr>
            <w:r>
              <w:rPr>
                <w:rFonts w:hint="eastAsia" w:ascii="宋体" w:hAnsi="宋体"/>
              </w:rPr>
              <w:t>5828</w:t>
            </w:r>
          </w:p>
        </w:tc>
        <w:tc>
          <w:tcPr>
            <w:tcW w:w="456" w:type="pct"/>
            <w:vAlign w:val="center"/>
          </w:tcPr>
          <w:p w14:paraId="363F034D">
            <w:pPr>
              <w:pStyle w:val="12"/>
              <w:jc w:val="center"/>
              <w:rPr>
                <w:rFonts w:ascii="宋体" w:hAnsi="宋体"/>
              </w:rPr>
            </w:pPr>
            <w:r>
              <w:rPr>
                <w:rFonts w:hint="eastAsia" w:ascii="宋体" w:hAnsi="宋体"/>
              </w:rPr>
              <w:t>196.02</w:t>
            </w:r>
          </w:p>
        </w:tc>
        <w:tc>
          <w:tcPr>
            <w:tcW w:w="456" w:type="pct"/>
            <w:vAlign w:val="center"/>
          </w:tcPr>
          <w:p w14:paraId="6C7EDC75">
            <w:pPr>
              <w:pStyle w:val="12"/>
              <w:jc w:val="center"/>
              <w:rPr>
                <w:rFonts w:ascii="宋体" w:hAnsi="宋体"/>
              </w:rPr>
            </w:pPr>
            <w:r>
              <w:rPr>
                <w:rFonts w:hint="eastAsia" w:ascii="宋体" w:hAnsi="宋体"/>
              </w:rPr>
              <w:t>193.5</w:t>
            </w:r>
          </w:p>
        </w:tc>
        <w:tc>
          <w:tcPr>
            <w:tcW w:w="380" w:type="pct"/>
            <w:vAlign w:val="center"/>
          </w:tcPr>
          <w:p w14:paraId="69B10CD9">
            <w:pPr>
              <w:pStyle w:val="12"/>
              <w:jc w:val="center"/>
              <w:rPr>
                <w:rFonts w:ascii="宋体" w:hAnsi="宋体"/>
              </w:rPr>
            </w:pPr>
            <w:r>
              <w:rPr>
                <w:rFonts w:hint="eastAsia" w:ascii="宋体" w:hAnsi="宋体"/>
              </w:rPr>
              <w:t>4857</w:t>
            </w:r>
          </w:p>
        </w:tc>
        <w:tc>
          <w:tcPr>
            <w:tcW w:w="456" w:type="pct"/>
            <w:vAlign w:val="center"/>
          </w:tcPr>
          <w:p w14:paraId="0E2D7408">
            <w:pPr>
              <w:pStyle w:val="12"/>
              <w:jc w:val="center"/>
              <w:rPr>
                <w:rFonts w:ascii="宋体" w:hAnsi="宋体"/>
              </w:rPr>
            </w:pPr>
            <w:r>
              <w:rPr>
                <w:rFonts w:hint="eastAsia" w:ascii="宋体" w:hAnsi="宋体"/>
              </w:rPr>
              <w:t>194.5</w:t>
            </w:r>
          </w:p>
        </w:tc>
        <w:tc>
          <w:tcPr>
            <w:tcW w:w="380" w:type="pct"/>
            <w:vAlign w:val="center"/>
          </w:tcPr>
          <w:p w14:paraId="65995D75">
            <w:pPr>
              <w:pStyle w:val="12"/>
              <w:jc w:val="center"/>
              <w:rPr>
                <w:rFonts w:ascii="宋体" w:hAnsi="宋体"/>
              </w:rPr>
            </w:pPr>
            <w:r>
              <w:rPr>
                <w:rFonts w:hint="eastAsia" w:ascii="宋体" w:hAnsi="宋体"/>
              </w:rPr>
              <w:t>5480</w:t>
            </w:r>
          </w:p>
        </w:tc>
        <w:tc>
          <w:tcPr>
            <w:tcW w:w="845" w:type="pct"/>
            <w:vAlign w:val="center"/>
          </w:tcPr>
          <w:p w14:paraId="379DE0B8">
            <w:pPr>
              <w:pStyle w:val="12"/>
              <w:jc w:val="center"/>
              <w:rPr>
                <w:rFonts w:ascii="宋体" w:hAnsi="宋体"/>
              </w:rPr>
            </w:pPr>
            <w:r>
              <w:rPr>
                <w:rFonts w:hint="eastAsia" w:ascii="宋体" w:hAnsi="宋体"/>
              </w:rPr>
              <w:t>控制运用</w:t>
            </w:r>
          </w:p>
        </w:tc>
      </w:tr>
      <w:tr w14:paraId="6E8B49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7" w:type="pct"/>
            <w:vAlign w:val="center"/>
          </w:tcPr>
          <w:p w14:paraId="0782D202">
            <w:pPr>
              <w:pStyle w:val="12"/>
              <w:jc w:val="center"/>
              <w:rPr>
                <w:rFonts w:ascii="宋体" w:hAnsi="宋体"/>
              </w:rPr>
            </w:pPr>
            <w:r>
              <w:rPr>
                <w:rFonts w:hint="eastAsia" w:ascii="宋体" w:hAnsi="宋体"/>
              </w:rPr>
              <w:t>瀑布</w:t>
            </w:r>
          </w:p>
        </w:tc>
        <w:tc>
          <w:tcPr>
            <w:tcW w:w="380" w:type="pct"/>
            <w:vAlign w:val="center"/>
          </w:tcPr>
          <w:p w14:paraId="1730F58D">
            <w:pPr>
              <w:pStyle w:val="12"/>
              <w:jc w:val="center"/>
              <w:rPr>
                <w:rFonts w:ascii="宋体" w:hAnsi="宋体"/>
              </w:rPr>
            </w:pPr>
            <w:r>
              <w:rPr>
                <w:rFonts w:hint="eastAsia" w:ascii="宋体" w:hAnsi="宋体"/>
              </w:rPr>
              <w:t>76</w:t>
            </w:r>
          </w:p>
        </w:tc>
        <w:tc>
          <w:tcPr>
            <w:tcW w:w="456" w:type="pct"/>
            <w:vAlign w:val="center"/>
          </w:tcPr>
          <w:p w14:paraId="5A28525B">
            <w:pPr>
              <w:pStyle w:val="12"/>
              <w:jc w:val="center"/>
              <w:rPr>
                <w:rFonts w:ascii="宋体" w:hAnsi="宋体"/>
              </w:rPr>
            </w:pPr>
            <w:r>
              <w:rPr>
                <w:rFonts w:hint="eastAsia" w:ascii="宋体" w:hAnsi="宋体"/>
              </w:rPr>
              <w:t>351</w:t>
            </w:r>
          </w:p>
        </w:tc>
        <w:tc>
          <w:tcPr>
            <w:tcW w:w="456" w:type="pct"/>
            <w:vAlign w:val="center"/>
          </w:tcPr>
          <w:p w14:paraId="0A5C327F">
            <w:pPr>
              <w:pStyle w:val="12"/>
              <w:jc w:val="center"/>
              <w:rPr>
                <w:rFonts w:ascii="宋体" w:hAnsi="宋体"/>
              </w:rPr>
            </w:pPr>
            <w:r>
              <w:rPr>
                <w:rFonts w:hint="eastAsia" w:ascii="宋体" w:hAnsi="宋体"/>
              </w:rPr>
              <w:t>346</w:t>
            </w:r>
          </w:p>
        </w:tc>
        <w:tc>
          <w:tcPr>
            <w:tcW w:w="367" w:type="pct"/>
            <w:vAlign w:val="center"/>
          </w:tcPr>
          <w:p w14:paraId="32214693">
            <w:pPr>
              <w:pStyle w:val="12"/>
              <w:jc w:val="center"/>
              <w:rPr>
                <w:rFonts w:ascii="宋体" w:hAnsi="宋体"/>
              </w:rPr>
            </w:pPr>
            <w:r>
              <w:rPr>
                <w:rFonts w:hint="eastAsia" w:ascii="宋体" w:hAnsi="宋体"/>
              </w:rPr>
              <w:t>2950</w:t>
            </w:r>
          </w:p>
        </w:tc>
        <w:tc>
          <w:tcPr>
            <w:tcW w:w="456" w:type="pct"/>
            <w:vAlign w:val="center"/>
          </w:tcPr>
          <w:p w14:paraId="77123BD5">
            <w:pPr>
              <w:pStyle w:val="12"/>
              <w:jc w:val="center"/>
              <w:rPr>
                <w:rFonts w:ascii="宋体" w:hAnsi="宋体"/>
              </w:rPr>
            </w:pPr>
            <w:r>
              <w:rPr>
                <w:rFonts w:hint="eastAsia" w:ascii="宋体" w:hAnsi="宋体"/>
              </w:rPr>
              <w:t>347.65</w:t>
            </w:r>
          </w:p>
        </w:tc>
        <w:tc>
          <w:tcPr>
            <w:tcW w:w="456" w:type="pct"/>
            <w:vAlign w:val="center"/>
          </w:tcPr>
          <w:p w14:paraId="4E4BF046">
            <w:pPr>
              <w:pStyle w:val="12"/>
              <w:jc w:val="center"/>
              <w:rPr>
                <w:rFonts w:ascii="宋体" w:hAnsi="宋体"/>
              </w:rPr>
            </w:pPr>
            <w:r>
              <w:rPr>
                <w:rFonts w:hint="eastAsia" w:ascii="宋体" w:hAnsi="宋体"/>
              </w:rPr>
              <w:t>344</w:t>
            </w:r>
          </w:p>
        </w:tc>
        <w:tc>
          <w:tcPr>
            <w:tcW w:w="380" w:type="pct"/>
            <w:vAlign w:val="center"/>
          </w:tcPr>
          <w:p w14:paraId="4D3ED805">
            <w:pPr>
              <w:pStyle w:val="12"/>
              <w:jc w:val="center"/>
              <w:rPr>
                <w:rFonts w:ascii="宋体" w:hAnsi="宋体"/>
              </w:rPr>
            </w:pPr>
            <w:r>
              <w:rPr>
                <w:rFonts w:hint="eastAsia" w:ascii="宋体" w:hAnsi="宋体"/>
              </w:rPr>
              <w:t>2570</w:t>
            </w:r>
          </w:p>
        </w:tc>
        <w:tc>
          <w:tcPr>
            <w:tcW w:w="456" w:type="pct"/>
            <w:vAlign w:val="center"/>
          </w:tcPr>
          <w:p w14:paraId="4DD36B8A">
            <w:pPr>
              <w:pStyle w:val="12"/>
              <w:jc w:val="center"/>
              <w:rPr>
                <w:rFonts w:ascii="宋体" w:hAnsi="宋体"/>
              </w:rPr>
            </w:pPr>
            <w:r>
              <w:rPr>
                <w:rFonts w:hint="eastAsia" w:ascii="宋体" w:hAnsi="宋体"/>
              </w:rPr>
              <w:t>345</w:t>
            </w:r>
          </w:p>
        </w:tc>
        <w:tc>
          <w:tcPr>
            <w:tcW w:w="380" w:type="pct"/>
            <w:vAlign w:val="center"/>
          </w:tcPr>
          <w:p w14:paraId="06CA8AA9">
            <w:pPr>
              <w:pStyle w:val="12"/>
              <w:jc w:val="center"/>
              <w:rPr>
                <w:rFonts w:ascii="宋体" w:hAnsi="宋体"/>
              </w:rPr>
            </w:pPr>
            <w:r>
              <w:rPr>
                <w:rFonts w:hint="eastAsia" w:ascii="宋体" w:hAnsi="宋体"/>
              </w:rPr>
              <w:t>2740</w:t>
            </w:r>
          </w:p>
        </w:tc>
        <w:tc>
          <w:tcPr>
            <w:tcW w:w="845" w:type="pct"/>
            <w:vAlign w:val="center"/>
          </w:tcPr>
          <w:p w14:paraId="3240B4F5">
            <w:pPr>
              <w:pStyle w:val="12"/>
              <w:jc w:val="center"/>
              <w:rPr>
                <w:rFonts w:ascii="宋体" w:hAnsi="宋体"/>
              </w:rPr>
            </w:pPr>
            <w:r>
              <w:rPr>
                <w:rFonts w:hint="eastAsia" w:ascii="宋体" w:hAnsi="宋体"/>
              </w:rPr>
              <w:t>控制运用</w:t>
            </w:r>
          </w:p>
        </w:tc>
      </w:tr>
      <w:tr w14:paraId="37EB32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7" w:type="pct"/>
            <w:vAlign w:val="center"/>
          </w:tcPr>
          <w:p w14:paraId="1BA06854">
            <w:pPr>
              <w:pStyle w:val="12"/>
              <w:jc w:val="center"/>
              <w:rPr>
                <w:rFonts w:ascii="宋体" w:hAnsi="宋体"/>
              </w:rPr>
            </w:pPr>
            <w:r>
              <w:rPr>
                <w:rFonts w:hint="eastAsia" w:ascii="宋体" w:hAnsi="宋体"/>
              </w:rPr>
              <w:t>中坪</w:t>
            </w:r>
          </w:p>
        </w:tc>
        <w:tc>
          <w:tcPr>
            <w:tcW w:w="380" w:type="pct"/>
            <w:vAlign w:val="center"/>
          </w:tcPr>
          <w:p w14:paraId="47418B7B">
            <w:pPr>
              <w:pStyle w:val="12"/>
              <w:jc w:val="center"/>
              <w:rPr>
                <w:rFonts w:ascii="宋体" w:hAnsi="宋体"/>
              </w:rPr>
            </w:pPr>
            <w:r>
              <w:rPr>
                <w:rFonts w:hint="eastAsia" w:ascii="宋体" w:hAnsi="宋体"/>
              </w:rPr>
              <w:t>26</w:t>
            </w:r>
          </w:p>
        </w:tc>
        <w:tc>
          <w:tcPr>
            <w:tcW w:w="456" w:type="pct"/>
            <w:vAlign w:val="center"/>
          </w:tcPr>
          <w:p w14:paraId="7CFA8342">
            <w:pPr>
              <w:pStyle w:val="12"/>
              <w:jc w:val="center"/>
              <w:rPr>
                <w:rFonts w:ascii="宋体" w:hAnsi="宋体"/>
              </w:rPr>
            </w:pPr>
            <w:r>
              <w:rPr>
                <w:rFonts w:hint="eastAsia" w:ascii="宋体" w:hAnsi="宋体"/>
              </w:rPr>
              <w:t>355.02</w:t>
            </w:r>
          </w:p>
        </w:tc>
        <w:tc>
          <w:tcPr>
            <w:tcW w:w="456" w:type="pct"/>
            <w:vAlign w:val="center"/>
          </w:tcPr>
          <w:p w14:paraId="7DCC1A76">
            <w:pPr>
              <w:pStyle w:val="12"/>
              <w:jc w:val="center"/>
              <w:rPr>
                <w:rFonts w:ascii="宋体" w:hAnsi="宋体"/>
              </w:rPr>
            </w:pPr>
            <w:r>
              <w:rPr>
                <w:rFonts w:hint="eastAsia" w:ascii="宋体" w:hAnsi="宋体"/>
              </w:rPr>
              <w:t>350.61</w:t>
            </w:r>
          </w:p>
        </w:tc>
        <w:tc>
          <w:tcPr>
            <w:tcW w:w="367" w:type="pct"/>
            <w:vAlign w:val="center"/>
          </w:tcPr>
          <w:p w14:paraId="54FA6E29">
            <w:pPr>
              <w:pStyle w:val="12"/>
              <w:jc w:val="center"/>
              <w:rPr>
                <w:rFonts w:ascii="宋体" w:hAnsi="宋体"/>
              </w:rPr>
            </w:pPr>
            <w:r>
              <w:rPr>
                <w:rFonts w:hint="eastAsia" w:ascii="宋体" w:hAnsi="宋体"/>
              </w:rPr>
              <w:t>1432</w:t>
            </w:r>
          </w:p>
        </w:tc>
        <w:tc>
          <w:tcPr>
            <w:tcW w:w="456" w:type="pct"/>
            <w:vAlign w:val="center"/>
          </w:tcPr>
          <w:p w14:paraId="54A3AFD3">
            <w:pPr>
              <w:pStyle w:val="12"/>
              <w:jc w:val="center"/>
              <w:rPr>
                <w:rFonts w:ascii="宋体" w:hAnsi="宋体"/>
              </w:rPr>
            </w:pPr>
            <w:r>
              <w:rPr>
                <w:rFonts w:hint="eastAsia" w:ascii="宋体" w:hAnsi="宋体"/>
              </w:rPr>
              <w:t>353.22</w:t>
            </w:r>
          </w:p>
        </w:tc>
        <w:tc>
          <w:tcPr>
            <w:tcW w:w="456" w:type="pct"/>
            <w:vAlign w:val="center"/>
          </w:tcPr>
          <w:p w14:paraId="6C5EA54C">
            <w:pPr>
              <w:pStyle w:val="12"/>
              <w:jc w:val="center"/>
              <w:rPr>
                <w:rFonts w:ascii="宋体" w:hAnsi="宋体"/>
              </w:rPr>
            </w:pPr>
            <w:r>
              <w:rPr>
                <w:rFonts w:hint="eastAsia" w:ascii="宋体" w:hAnsi="宋体"/>
              </w:rPr>
              <w:t>340.2</w:t>
            </w:r>
          </w:p>
        </w:tc>
        <w:tc>
          <w:tcPr>
            <w:tcW w:w="380" w:type="pct"/>
            <w:vAlign w:val="center"/>
          </w:tcPr>
          <w:p w14:paraId="46723848">
            <w:pPr>
              <w:pStyle w:val="12"/>
              <w:jc w:val="center"/>
              <w:rPr>
                <w:rFonts w:ascii="宋体" w:hAnsi="宋体"/>
              </w:rPr>
            </w:pPr>
            <w:r>
              <w:rPr>
                <w:rFonts w:hint="eastAsia" w:ascii="宋体" w:hAnsi="宋体"/>
              </w:rPr>
              <w:t>629.4</w:t>
            </w:r>
          </w:p>
        </w:tc>
        <w:tc>
          <w:tcPr>
            <w:tcW w:w="456" w:type="pct"/>
            <w:vAlign w:val="center"/>
          </w:tcPr>
          <w:p w14:paraId="12BD1072">
            <w:pPr>
              <w:pStyle w:val="12"/>
              <w:jc w:val="center"/>
              <w:rPr>
                <w:rFonts w:ascii="宋体" w:hAnsi="宋体"/>
              </w:rPr>
            </w:pPr>
            <w:r>
              <w:rPr>
                <w:rFonts w:hint="eastAsia" w:ascii="宋体" w:hAnsi="宋体"/>
              </w:rPr>
              <w:t>342.2</w:t>
            </w:r>
          </w:p>
        </w:tc>
        <w:tc>
          <w:tcPr>
            <w:tcW w:w="380" w:type="pct"/>
            <w:vAlign w:val="center"/>
          </w:tcPr>
          <w:p w14:paraId="30A505FA">
            <w:pPr>
              <w:pStyle w:val="12"/>
              <w:jc w:val="center"/>
              <w:rPr>
                <w:rFonts w:ascii="宋体" w:hAnsi="宋体"/>
              </w:rPr>
            </w:pPr>
            <w:r>
              <w:rPr>
                <w:rFonts w:hint="eastAsia" w:ascii="宋体" w:hAnsi="宋体"/>
              </w:rPr>
              <w:t>749.6</w:t>
            </w:r>
          </w:p>
        </w:tc>
        <w:tc>
          <w:tcPr>
            <w:tcW w:w="845" w:type="pct"/>
            <w:vAlign w:val="center"/>
          </w:tcPr>
          <w:p w14:paraId="1234CF4F">
            <w:pPr>
              <w:pStyle w:val="12"/>
              <w:jc w:val="center"/>
              <w:rPr>
                <w:rFonts w:ascii="宋体" w:hAnsi="宋体"/>
              </w:rPr>
            </w:pPr>
            <w:r>
              <w:rPr>
                <w:rFonts w:hint="eastAsia" w:ascii="宋体" w:hAnsi="宋体"/>
              </w:rPr>
              <w:t>控制运用待加</w:t>
            </w:r>
          </w:p>
        </w:tc>
      </w:tr>
      <w:tr w14:paraId="793CFD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7" w:type="pct"/>
            <w:vAlign w:val="center"/>
          </w:tcPr>
          <w:p w14:paraId="7C53609E">
            <w:pPr>
              <w:pStyle w:val="12"/>
              <w:jc w:val="center"/>
              <w:rPr>
                <w:rFonts w:ascii="宋体" w:hAnsi="宋体"/>
              </w:rPr>
            </w:pPr>
            <w:r>
              <w:rPr>
                <w:rFonts w:hint="eastAsia" w:ascii="宋体" w:hAnsi="宋体"/>
              </w:rPr>
              <w:t>横江</w:t>
            </w:r>
          </w:p>
        </w:tc>
        <w:tc>
          <w:tcPr>
            <w:tcW w:w="380" w:type="pct"/>
            <w:vAlign w:val="center"/>
          </w:tcPr>
          <w:p w14:paraId="6A3905DA">
            <w:pPr>
              <w:pStyle w:val="12"/>
              <w:jc w:val="center"/>
              <w:rPr>
                <w:rFonts w:ascii="宋体" w:hAnsi="宋体"/>
              </w:rPr>
            </w:pPr>
            <w:r>
              <w:rPr>
                <w:rFonts w:hint="eastAsia" w:ascii="宋体" w:hAnsi="宋体"/>
              </w:rPr>
              <w:t>24.25</w:t>
            </w:r>
          </w:p>
        </w:tc>
        <w:tc>
          <w:tcPr>
            <w:tcW w:w="456" w:type="pct"/>
            <w:vAlign w:val="center"/>
          </w:tcPr>
          <w:p w14:paraId="0FB8CFC8">
            <w:pPr>
              <w:pStyle w:val="12"/>
              <w:jc w:val="center"/>
              <w:rPr>
                <w:rFonts w:ascii="宋体" w:hAnsi="宋体"/>
              </w:rPr>
            </w:pPr>
            <w:r>
              <w:rPr>
                <w:rFonts w:hint="eastAsia" w:ascii="宋体" w:hAnsi="宋体"/>
              </w:rPr>
              <w:t>208.31</w:t>
            </w:r>
          </w:p>
        </w:tc>
        <w:tc>
          <w:tcPr>
            <w:tcW w:w="456" w:type="pct"/>
            <w:vAlign w:val="center"/>
          </w:tcPr>
          <w:p w14:paraId="1DD4F919">
            <w:pPr>
              <w:pStyle w:val="12"/>
              <w:jc w:val="center"/>
              <w:rPr>
                <w:rFonts w:ascii="宋体" w:hAnsi="宋体"/>
              </w:rPr>
            </w:pPr>
            <w:r>
              <w:rPr>
                <w:rFonts w:hint="eastAsia" w:ascii="宋体" w:hAnsi="宋体"/>
              </w:rPr>
              <w:t>204</w:t>
            </w:r>
          </w:p>
        </w:tc>
        <w:tc>
          <w:tcPr>
            <w:tcW w:w="367" w:type="pct"/>
            <w:vAlign w:val="center"/>
          </w:tcPr>
          <w:p w14:paraId="17818F46">
            <w:pPr>
              <w:pStyle w:val="12"/>
              <w:jc w:val="center"/>
              <w:rPr>
                <w:rFonts w:ascii="宋体" w:hAnsi="宋体"/>
              </w:rPr>
            </w:pPr>
            <w:r>
              <w:rPr>
                <w:rFonts w:hint="eastAsia" w:ascii="宋体" w:hAnsi="宋体"/>
              </w:rPr>
              <w:t>1282</w:t>
            </w:r>
          </w:p>
        </w:tc>
        <w:tc>
          <w:tcPr>
            <w:tcW w:w="456" w:type="pct"/>
            <w:vAlign w:val="center"/>
          </w:tcPr>
          <w:p w14:paraId="1C5213A2">
            <w:pPr>
              <w:pStyle w:val="12"/>
              <w:jc w:val="center"/>
              <w:rPr>
                <w:rFonts w:ascii="宋体" w:hAnsi="宋体"/>
              </w:rPr>
            </w:pPr>
            <w:r>
              <w:rPr>
                <w:rFonts w:hint="eastAsia" w:ascii="宋体" w:hAnsi="宋体"/>
              </w:rPr>
              <w:t>206.91</w:t>
            </w:r>
          </w:p>
        </w:tc>
        <w:tc>
          <w:tcPr>
            <w:tcW w:w="456" w:type="pct"/>
            <w:vAlign w:val="center"/>
          </w:tcPr>
          <w:p w14:paraId="0BA9C6A6">
            <w:pPr>
              <w:pStyle w:val="12"/>
              <w:jc w:val="center"/>
              <w:rPr>
                <w:rFonts w:ascii="宋体" w:hAnsi="宋体"/>
              </w:rPr>
            </w:pPr>
            <w:r>
              <w:rPr>
                <w:rFonts w:hint="eastAsia" w:ascii="宋体" w:hAnsi="宋体"/>
              </w:rPr>
              <w:t>204</w:t>
            </w:r>
          </w:p>
        </w:tc>
        <w:tc>
          <w:tcPr>
            <w:tcW w:w="380" w:type="pct"/>
            <w:vAlign w:val="center"/>
          </w:tcPr>
          <w:p w14:paraId="76DCD406">
            <w:pPr>
              <w:pStyle w:val="12"/>
              <w:jc w:val="center"/>
              <w:rPr>
                <w:rFonts w:ascii="宋体" w:hAnsi="宋体"/>
              </w:rPr>
            </w:pPr>
            <w:r>
              <w:rPr>
                <w:rFonts w:hint="eastAsia" w:ascii="宋体" w:hAnsi="宋体"/>
              </w:rPr>
              <w:t>1282</w:t>
            </w:r>
          </w:p>
        </w:tc>
        <w:tc>
          <w:tcPr>
            <w:tcW w:w="456" w:type="pct"/>
            <w:vAlign w:val="center"/>
          </w:tcPr>
          <w:p w14:paraId="67242C2B">
            <w:pPr>
              <w:pStyle w:val="12"/>
              <w:jc w:val="center"/>
              <w:rPr>
                <w:rFonts w:ascii="宋体" w:hAnsi="宋体"/>
              </w:rPr>
            </w:pPr>
            <w:r>
              <w:rPr>
                <w:rFonts w:hint="eastAsia" w:ascii="宋体" w:hAnsi="宋体"/>
              </w:rPr>
              <w:t>204</w:t>
            </w:r>
          </w:p>
        </w:tc>
        <w:tc>
          <w:tcPr>
            <w:tcW w:w="380" w:type="pct"/>
            <w:vAlign w:val="center"/>
          </w:tcPr>
          <w:p w14:paraId="0F0AC7CF">
            <w:pPr>
              <w:pStyle w:val="12"/>
              <w:jc w:val="center"/>
              <w:rPr>
                <w:rFonts w:ascii="宋体" w:hAnsi="宋体"/>
              </w:rPr>
            </w:pPr>
            <w:r>
              <w:rPr>
                <w:rFonts w:hint="eastAsia" w:ascii="宋体" w:hAnsi="宋体"/>
              </w:rPr>
              <w:t>1282</w:t>
            </w:r>
          </w:p>
        </w:tc>
        <w:tc>
          <w:tcPr>
            <w:tcW w:w="845" w:type="pct"/>
            <w:vAlign w:val="center"/>
          </w:tcPr>
          <w:p w14:paraId="14B3CC9A">
            <w:pPr>
              <w:pStyle w:val="12"/>
              <w:jc w:val="center"/>
              <w:rPr>
                <w:rFonts w:ascii="宋体" w:hAnsi="宋体"/>
              </w:rPr>
            </w:pPr>
            <w:r>
              <w:rPr>
                <w:rFonts w:hint="eastAsia" w:ascii="宋体" w:hAnsi="宋体"/>
              </w:rPr>
              <w:t>正常运用</w:t>
            </w:r>
          </w:p>
        </w:tc>
      </w:tr>
      <w:tr w14:paraId="5E60EA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7" w:type="pct"/>
            <w:vAlign w:val="center"/>
          </w:tcPr>
          <w:p w14:paraId="6A241718">
            <w:pPr>
              <w:pStyle w:val="12"/>
              <w:jc w:val="center"/>
              <w:rPr>
                <w:rFonts w:ascii="宋体" w:hAnsi="宋体"/>
              </w:rPr>
            </w:pPr>
            <w:r>
              <w:rPr>
                <w:rFonts w:hint="eastAsia" w:ascii="宋体" w:hAnsi="宋体"/>
              </w:rPr>
              <w:t>宝江</w:t>
            </w:r>
          </w:p>
        </w:tc>
        <w:tc>
          <w:tcPr>
            <w:tcW w:w="380" w:type="pct"/>
            <w:vAlign w:val="center"/>
          </w:tcPr>
          <w:p w14:paraId="27FEA438">
            <w:pPr>
              <w:pStyle w:val="12"/>
              <w:jc w:val="center"/>
              <w:rPr>
                <w:rFonts w:ascii="宋体" w:hAnsi="宋体"/>
              </w:rPr>
            </w:pPr>
            <w:r>
              <w:rPr>
                <w:rFonts w:hint="eastAsia" w:ascii="宋体" w:hAnsi="宋体"/>
              </w:rPr>
              <w:t>48.1</w:t>
            </w:r>
          </w:p>
        </w:tc>
        <w:tc>
          <w:tcPr>
            <w:tcW w:w="456" w:type="pct"/>
            <w:vAlign w:val="center"/>
          </w:tcPr>
          <w:p w14:paraId="15759866">
            <w:pPr>
              <w:pStyle w:val="12"/>
              <w:jc w:val="center"/>
              <w:rPr>
                <w:rFonts w:ascii="宋体" w:hAnsi="宋体"/>
              </w:rPr>
            </w:pPr>
            <w:r>
              <w:rPr>
                <w:rFonts w:hint="eastAsia" w:ascii="宋体" w:hAnsi="宋体"/>
              </w:rPr>
              <w:t>202.88</w:t>
            </w:r>
          </w:p>
        </w:tc>
        <w:tc>
          <w:tcPr>
            <w:tcW w:w="456" w:type="pct"/>
            <w:vAlign w:val="center"/>
          </w:tcPr>
          <w:p w14:paraId="651BD43F">
            <w:pPr>
              <w:pStyle w:val="12"/>
              <w:jc w:val="center"/>
              <w:rPr>
                <w:rFonts w:ascii="宋体" w:hAnsi="宋体"/>
              </w:rPr>
            </w:pPr>
            <w:r>
              <w:rPr>
                <w:rFonts w:hint="eastAsia" w:ascii="宋体" w:hAnsi="宋体"/>
              </w:rPr>
              <w:t>198.08</w:t>
            </w:r>
          </w:p>
        </w:tc>
        <w:tc>
          <w:tcPr>
            <w:tcW w:w="367" w:type="pct"/>
            <w:vAlign w:val="center"/>
          </w:tcPr>
          <w:p w14:paraId="23B4B961">
            <w:pPr>
              <w:pStyle w:val="12"/>
              <w:jc w:val="center"/>
              <w:rPr>
                <w:rFonts w:ascii="宋体" w:hAnsi="宋体"/>
              </w:rPr>
            </w:pPr>
            <w:r>
              <w:rPr>
                <w:rFonts w:hint="eastAsia" w:ascii="宋体" w:hAnsi="宋体"/>
              </w:rPr>
              <w:t>1914</w:t>
            </w:r>
          </w:p>
        </w:tc>
        <w:tc>
          <w:tcPr>
            <w:tcW w:w="456" w:type="pct"/>
            <w:vAlign w:val="center"/>
          </w:tcPr>
          <w:p w14:paraId="11DC9F02">
            <w:pPr>
              <w:pStyle w:val="12"/>
              <w:jc w:val="center"/>
              <w:rPr>
                <w:rFonts w:ascii="宋体" w:hAnsi="宋体"/>
              </w:rPr>
            </w:pPr>
            <w:r>
              <w:rPr>
                <w:rFonts w:hint="eastAsia" w:ascii="宋体" w:hAnsi="宋体"/>
              </w:rPr>
              <w:t>201.06</w:t>
            </w:r>
          </w:p>
        </w:tc>
        <w:tc>
          <w:tcPr>
            <w:tcW w:w="456" w:type="pct"/>
            <w:vAlign w:val="center"/>
          </w:tcPr>
          <w:p w14:paraId="640C81F3">
            <w:pPr>
              <w:pStyle w:val="12"/>
              <w:jc w:val="center"/>
              <w:rPr>
                <w:rFonts w:ascii="宋体" w:hAnsi="宋体"/>
              </w:rPr>
            </w:pPr>
            <w:r>
              <w:rPr>
                <w:rFonts w:hint="eastAsia" w:ascii="宋体" w:hAnsi="宋体"/>
              </w:rPr>
              <w:t>196</w:t>
            </w:r>
          </w:p>
        </w:tc>
        <w:tc>
          <w:tcPr>
            <w:tcW w:w="380" w:type="pct"/>
            <w:vAlign w:val="center"/>
          </w:tcPr>
          <w:p w14:paraId="0C0E2138">
            <w:pPr>
              <w:pStyle w:val="12"/>
              <w:jc w:val="center"/>
              <w:rPr>
                <w:rFonts w:ascii="宋体" w:hAnsi="宋体"/>
              </w:rPr>
            </w:pPr>
            <w:r>
              <w:rPr>
                <w:rFonts w:hint="eastAsia" w:ascii="宋体" w:hAnsi="宋体"/>
              </w:rPr>
              <w:t>1668</w:t>
            </w:r>
          </w:p>
        </w:tc>
        <w:tc>
          <w:tcPr>
            <w:tcW w:w="456" w:type="pct"/>
            <w:vAlign w:val="center"/>
          </w:tcPr>
          <w:p w14:paraId="3858C96B">
            <w:pPr>
              <w:pStyle w:val="12"/>
              <w:jc w:val="center"/>
              <w:rPr>
                <w:rFonts w:ascii="宋体" w:hAnsi="宋体"/>
              </w:rPr>
            </w:pPr>
            <w:r>
              <w:rPr>
                <w:rFonts w:hint="eastAsia" w:ascii="宋体" w:hAnsi="宋体"/>
              </w:rPr>
              <w:t>198.08</w:t>
            </w:r>
          </w:p>
        </w:tc>
        <w:tc>
          <w:tcPr>
            <w:tcW w:w="380" w:type="pct"/>
            <w:vAlign w:val="center"/>
          </w:tcPr>
          <w:p w14:paraId="7A41E378">
            <w:pPr>
              <w:pStyle w:val="12"/>
              <w:jc w:val="center"/>
              <w:rPr>
                <w:rFonts w:ascii="宋体" w:hAnsi="宋体"/>
              </w:rPr>
            </w:pPr>
            <w:r>
              <w:rPr>
                <w:rFonts w:hint="eastAsia" w:ascii="宋体" w:hAnsi="宋体"/>
              </w:rPr>
              <w:t>1914</w:t>
            </w:r>
          </w:p>
        </w:tc>
        <w:tc>
          <w:tcPr>
            <w:tcW w:w="845" w:type="pct"/>
            <w:vAlign w:val="center"/>
          </w:tcPr>
          <w:p w14:paraId="1D75F870">
            <w:pPr>
              <w:pStyle w:val="12"/>
              <w:jc w:val="center"/>
              <w:rPr>
                <w:rFonts w:ascii="宋体" w:hAnsi="宋体"/>
              </w:rPr>
            </w:pPr>
            <w:r>
              <w:rPr>
                <w:rFonts w:hint="eastAsia" w:ascii="宋体" w:hAnsi="宋体"/>
              </w:rPr>
              <w:t>前汛控制运用</w:t>
            </w:r>
          </w:p>
        </w:tc>
      </w:tr>
      <w:tr w14:paraId="0661DC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7" w:type="pct"/>
            <w:vAlign w:val="center"/>
          </w:tcPr>
          <w:p w14:paraId="5E205DD8">
            <w:pPr>
              <w:pStyle w:val="12"/>
              <w:jc w:val="center"/>
              <w:rPr>
                <w:rFonts w:ascii="宋体" w:hAnsi="宋体"/>
              </w:rPr>
            </w:pPr>
            <w:r>
              <w:rPr>
                <w:rFonts w:hint="eastAsia" w:ascii="宋体" w:hAnsi="宋体"/>
              </w:rPr>
              <w:t>苍石</w:t>
            </w:r>
          </w:p>
        </w:tc>
        <w:tc>
          <w:tcPr>
            <w:tcW w:w="380" w:type="pct"/>
            <w:vAlign w:val="center"/>
          </w:tcPr>
          <w:p w14:paraId="3983E067">
            <w:pPr>
              <w:pStyle w:val="12"/>
              <w:jc w:val="center"/>
              <w:rPr>
                <w:rFonts w:ascii="宋体" w:hAnsi="宋体"/>
              </w:rPr>
            </w:pPr>
            <w:r>
              <w:rPr>
                <w:rFonts w:hint="eastAsia" w:ascii="宋体" w:hAnsi="宋体"/>
              </w:rPr>
              <w:t>46.25</w:t>
            </w:r>
          </w:p>
        </w:tc>
        <w:tc>
          <w:tcPr>
            <w:tcW w:w="456" w:type="pct"/>
            <w:vAlign w:val="center"/>
          </w:tcPr>
          <w:p w14:paraId="4A135D2B">
            <w:pPr>
              <w:pStyle w:val="12"/>
              <w:jc w:val="center"/>
              <w:rPr>
                <w:rFonts w:ascii="宋体" w:hAnsi="宋体"/>
              </w:rPr>
            </w:pPr>
            <w:r>
              <w:rPr>
                <w:rFonts w:hint="eastAsia" w:ascii="宋体" w:hAnsi="宋体"/>
              </w:rPr>
              <w:t>442.5</w:t>
            </w:r>
          </w:p>
        </w:tc>
        <w:tc>
          <w:tcPr>
            <w:tcW w:w="456" w:type="pct"/>
            <w:vAlign w:val="center"/>
          </w:tcPr>
          <w:p w14:paraId="0F102873">
            <w:pPr>
              <w:pStyle w:val="12"/>
              <w:jc w:val="center"/>
              <w:rPr>
                <w:rFonts w:ascii="宋体" w:hAnsi="宋体"/>
              </w:rPr>
            </w:pPr>
            <w:r>
              <w:rPr>
                <w:rFonts w:hint="eastAsia" w:ascii="宋体" w:hAnsi="宋体"/>
              </w:rPr>
              <w:t>440</w:t>
            </w:r>
          </w:p>
        </w:tc>
        <w:tc>
          <w:tcPr>
            <w:tcW w:w="367" w:type="pct"/>
            <w:vAlign w:val="center"/>
          </w:tcPr>
          <w:p w14:paraId="778C578B">
            <w:pPr>
              <w:pStyle w:val="12"/>
              <w:jc w:val="center"/>
              <w:rPr>
                <w:rFonts w:ascii="宋体" w:hAnsi="宋体"/>
              </w:rPr>
            </w:pPr>
            <w:r>
              <w:rPr>
                <w:rFonts w:hint="eastAsia" w:ascii="宋体" w:hAnsi="宋体"/>
              </w:rPr>
              <w:t>1122</w:t>
            </w:r>
          </w:p>
        </w:tc>
        <w:tc>
          <w:tcPr>
            <w:tcW w:w="456" w:type="pct"/>
            <w:vAlign w:val="center"/>
          </w:tcPr>
          <w:p w14:paraId="67FE75F1">
            <w:pPr>
              <w:pStyle w:val="12"/>
              <w:jc w:val="center"/>
              <w:rPr>
                <w:rFonts w:ascii="宋体" w:hAnsi="宋体"/>
              </w:rPr>
            </w:pPr>
            <w:r>
              <w:rPr>
                <w:rFonts w:hint="eastAsia" w:ascii="宋体" w:hAnsi="宋体"/>
              </w:rPr>
              <w:t>441.32</w:t>
            </w:r>
          </w:p>
        </w:tc>
        <w:tc>
          <w:tcPr>
            <w:tcW w:w="456" w:type="pct"/>
            <w:vAlign w:val="center"/>
          </w:tcPr>
          <w:p w14:paraId="1B19E03F">
            <w:pPr>
              <w:pStyle w:val="12"/>
              <w:jc w:val="center"/>
              <w:rPr>
                <w:rFonts w:ascii="宋体" w:hAnsi="宋体"/>
              </w:rPr>
            </w:pPr>
            <w:r>
              <w:rPr>
                <w:rFonts w:hint="eastAsia" w:ascii="宋体" w:hAnsi="宋体"/>
              </w:rPr>
              <w:t>435</w:t>
            </w:r>
          </w:p>
        </w:tc>
        <w:tc>
          <w:tcPr>
            <w:tcW w:w="380" w:type="pct"/>
            <w:vAlign w:val="center"/>
          </w:tcPr>
          <w:p w14:paraId="677FFFB6">
            <w:pPr>
              <w:pStyle w:val="12"/>
              <w:jc w:val="center"/>
              <w:rPr>
                <w:rFonts w:ascii="宋体" w:hAnsi="宋体"/>
              </w:rPr>
            </w:pPr>
            <w:r>
              <w:rPr>
                <w:rFonts w:hint="eastAsia" w:ascii="宋体" w:hAnsi="宋体"/>
              </w:rPr>
              <w:t>859</w:t>
            </w:r>
          </w:p>
        </w:tc>
        <w:tc>
          <w:tcPr>
            <w:tcW w:w="456" w:type="pct"/>
            <w:vAlign w:val="center"/>
          </w:tcPr>
          <w:p w14:paraId="454201E1">
            <w:pPr>
              <w:pStyle w:val="12"/>
              <w:jc w:val="center"/>
              <w:rPr>
                <w:rFonts w:ascii="宋体" w:hAnsi="宋体"/>
              </w:rPr>
            </w:pPr>
            <w:r>
              <w:rPr>
                <w:rFonts w:hint="eastAsia" w:ascii="宋体" w:hAnsi="宋体"/>
              </w:rPr>
              <w:t>435</w:t>
            </w:r>
          </w:p>
        </w:tc>
        <w:tc>
          <w:tcPr>
            <w:tcW w:w="380" w:type="pct"/>
            <w:vAlign w:val="center"/>
          </w:tcPr>
          <w:p w14:paraId="59D735AA">
            <w:pPr>
              <w:pStyle w:val="12"/>
              <w:jc w:val="center"/>
              <w:rPr>
                <w:rFonts w:ascii="宋体" w:hAnsi="宋体"/>
              </w:rPr>
            </w:pPr>
            <w:r>
              <w:rPr>
                <w:rFonts w:hint="eastAsia" w:ascii="宋体" w:hAnsi="宋体"/>
              </w:rPr>
              <w:t>859</w:t>
            </w:r>
          </w:p>
        </w:tc>
        <w:tc>
          <w:tcPr>
            <w:tcW w:w="845" w:type="pct"/>
            <w:vAlign w:val="center"/>
          </w:tcPr>
          <w:p w14:paraId="4CDD70C5">
            <w:pPr>
              <w:pStyle w:val="12"/>
              <w:jc w:val="center"/>
              <w:rPr>
                <w:rFonts w:ascii="宋体" w:hAnsi="宋体"/>
              </w:rPr>
            </w:pPr>
            <w:r>
              <w:rPr>
                <w:rFonts w:hint="eastAsia" w:ascii="宋体" w:hAnsi="宋体"/>
              </w:rPr>
              <w:t>工程未竣工验收，控制运用</w:t>
            </w:r>
          </w:p>
        </w:tc>
      </w:tr>
    </w:tbl>
    <w:p w14:paraId="79AC7DAD">
      <w:pPr>
        <w:pStyle w:val="5"/>
        <w:rPr>
          <w:rFonts w:ascii="宋体" w:hAnsi="宋体"/>
        </w:rPr>
      </w:pPr>
      <w:r>
        <w:rPr>
          <w:rFonts w:hint="eastAsia" w:ascii="宋体" w:hAnsi="宋体"/>
        </w:rPr>
        <w:t>三、防洪预案</w:t>
      </w:r>
    </w:p>
    <w:p w14:paraId="1AA02FC2">
      <w:pPr>
        <w:ind w:firstLine="420"/>
        <w:rPr>
          <w:rFonts w:ascii="宋体" w:hAnsi="宋体"/>
          <w:szCs w:val="21"/>
        </w:rPr>
      </w:pPr>
      <w:r>
        <w:rPr>
          <w:rFonts w:ascii="宋体" w:hAnsi="宋体"/>
          <w:szCs w:val="21"/>
        </w:rPr>
        <w:t>1995年3月，县政府制订了《南雄县防御特大洪水工作预案》，规定浈江、凌江</w:t>
      </w:r>
      <w:r>
        <w:rPr>
          <w:rFonts w:hint="eastAsia" w:ascii="宋体" w:hAnsi="宋体"/>
          <w:szCs w:val="21"/>
        </w:rPr>
        <w:t>城区段和孔江、瀑布、宝江、横江、中坪和太源</w:t>
      </w:r>
      <w:r>
        <w:rPr>
          <w:rFonts w:ascii="宋体" w:hAnsi="宋体"/>
          <w:szCs w:val="21"/>
        </w:rPr>
        <w:t>6宗水库，按20年一遇洪水受浸、</w:t>
      </w:r>
      <w:r>
        <w:rPr>
          <w:rFonts w:hint="eastAsia" w:ascii="宋体" w:hAnsi="宋体"/>
          <w:szCs w:val="21"/>
        </w:rPr>
        <w:t>受淹可能出现的情况及抢险办法。如建立县级首长防洪责任制及指挥系统，组建抢险队伍，防洪疏散路线及物资储备供应等。</w:t>
      </w:r>
    </w:p>
    <w:p w14:paraId="448181EB">
      <w:pPr>
        <w:pStyle w:val="3"/>
        <w:rPr>
          <w:rFonts w:ascii="宋体" w:hAnsi="宋体"/>
        </w:rPr>
      </w:pPr>
      <w:r>
        <w:rPr>
          <w:rFonts w:hint="eastAsia" w:ascii="宋体" w:hAnsi="宋体"/>
        </w:rPr>
        <w:t>第六章  农机</w:t>
      </w:r>
    </w:p>
    <w:p w14:paraId="71942654">
      <w:pPr>
        <w:ind w:firstLine="420"/>
        <w:rPr>
          <w:rFonts w:ascii="宋体" w:hAnsi="宋体"/>
          <w:szCs w:val="21"/>
        </w:rPr>
      </w:pPr>
      <w:r>
        <w:rPr>
          <w:rFonts w:ascii="宋体" w:hAnsi="宋体"/>
          <w:szCs w:val="21"/>
        </w:rPr>
        <w:t>1953年，县人民政府建设科设立农业技术推广站。1959年4月，县政府设立农</w:t>
      </w:r>
      <w:r>
        <w:rPr>
          <w:rFonts w:hint="eastAsia" w:ascii="宋体" w:hAnsi="宋体"/>
          <w:szCs w:val="21"/>
        </w:rPr>
        <w:t>具改革办公室，</w:t>
      </w:r>
      <w:r>
        <w:rPr>
          <w:rFonts w:ascii="宋体" w:hAnsi="宋体"/>
          <w:szCs w:val="21"/>
        </w:rPr>
        <w:t>1960年10月设立县农机管理局，以后机构多次变化，1984年5月为</w:t>
      </w:r>
      <w:r>
        <w:rPr>
          <w:rFonts w:hint="eastAsia" w:ascii="宋体" w:hAnsi="宋体"/>
          <w:szCs w:val="21"/>
        </w:rPr>
        <w:t>农业机械管理总站，</w:t>
      </w:r>
      <w:r>
        <w:rPr>
          <w:rFonts w:ascii="宋体" w:hAnsi="宋体"/>
          <w:szCs w:val="21"/>
        </w:rPr>
        <w:t>1997年5月改组为农机集团总公司。2004年1月，又复名农机</w:t>
      </w:r>
      <w:r>
        <w:rPr>
          <w:rFonts w:hint="eastAsia" w:ascii="宋体" w:hAnsi="宋体"/>
          <w:szCs w:val="21"/>
        </w:rPr>
        <w:t>管理总站，为副科级事业单位。各镇设农机站。</w:t>
      </w:r>
    </w:p>
    <w:p w14:paraId="0AD4EC71">
      <w:pPr>
        <w:ind w:firstLine="420"/>
        <w:rPr>
          <w:rFonts w:ascii="宋体" w:hAnsi="宋体"/>
          <w:szCs w:val="21"/>
        </w:rPr>
      </w:pPr>
      <w:r>
        <w:rPr>
          <w:rFonts w:hint="eastAsia" w:ascii="宋体" w:hAnsi="宋体"/>
          <w:szCs w:val="21"/>
        </w:rPr>
        <w:t>至</w:t>
      </w:r>
      <w:r>
        <w:rPr>
          <w:rFonts w:ascii="宋体" w:hAnsi="宋体"/>
          <w:szCs w:val="21"/>
        </w:rPr>
        <w:t>2004年全市拖拉机保有量7635台，联合收割机75台，机动脱粒机24297台，</w:t>
      </w:r>
      <w:r>
        <w:rPr>
          <w:rFonts w:hint="eastAsia" w:ascii="宋体" w:hAnsi="宋体"/>
          <w:szCs w:val="21"/>
        </w:rPr>
        <w:t>总动力</w:t>
      </w:r>
      <w:r>
        <w:rPr>
          <w:rFonts w:ascii="宋体" w:hAnsi="宋体"/>
          <w:szCs w:val="21"/>
        </w:rPr>
        <w:t>60443千瓦；排灌机械设备6259台，总动力21869千瓦；还有动力脱粒机4763台，碾米机1249台，榨油机687台，饲料粉碎机617台，统糠</w:t>
      </w:r>
      <w:r>
        <w:rPr>
          <w:rFonts w:hint="eastAsia" w:ascii="宋体" w:hAnsi="宋体"/>
          <w:szCs w:val="21"/>
        </w:rPr>
        <w:t>机</w:t>
      </w:r>
      <w:r>
        <w:rPr>
          <w:rFonts w:ascii="宋体" w:hAnsi="宋体"/>
          <w:szCs w:val="21"/>
        </w:rPr>
        <w:t>488台，农用</w:t>
      </w:r>
      <w:r>
        <w:rPr>
          <w:rFonts w:hint="eastAsia" w:ascii="宋体" w:hAnsi="宋体"/>
          <w:szCs w:val="21"/>
        </w:rPr>
        <w:t>载重汽车</w:t>
      </w:r>
      <w:r>
        <w:rPr>
          <w:rFonts w:ascii="宋体" w:hAnsi="宋体"/>
          <w:szCs w:val="21"/>
        </w:rPr>
        <w:t>115辆，小四轮1179辆。旧有的砻、碓、榨油木槽等粮油加工工具已基本</w:t>
      </w:r>
      <w:r>
        <w:rPr>
          <w:rFonts w:hint="eastAsia" w:ascii="宋体" w:hAnsi="宋体"/>
          <w:szCs w:val="21"/>
        </w:rPr>
        <w:t>淘汰。</w:t>
      </w:r>
    </w:p>
    <w:p w14:paraId="751C2C86">
      <w:pPr>
        <w:pStyle w:val="4"/>
        <w:rPr>
          <w:rFonts w:ascii="宋体" w:hAnsi="宋体"/>
        </w:rPr>
      </w:pPr>
      <w:r>
        <w:rPr>
          <w:rFonts w:hint="eastAsia" w:ascii="宋体" w:hAnsi="宋体"/>
        </w:rPr>
        <w:t>第一节  农机推广</w:t>
      </w:r>
    </w:p>
    <w:p w14:paraId="11344B4F">
      <w:pPr>
        <w:pStyle w:val="5"/>
        <w:rPr>
          <w:rFonts w:ascii="宋体" w:hAnsi="宋体"/>
        </w:rPr>
      </w:pPr>
      <w:r>
        <w:rPr>
          <w:rFonts w:hint="eastAsia" w:ascii="宋体" w:hAnsi="宋体"/>
        </w:rPr>
        <w:t>一、排灌机械</w:t>
      </w:r>
    </w:p>
    <w:p w14:paraId="7E8196C2">
      <w:pPr>
        <w:ind w:firstLine="420"/>
        <w:rPr>
          <w:rFonts w:ascii="宋体" w:hAnsi="宋体"/>
          <w:szCs w:val="21"/>
        </w:rPr>
      </w:pPr>
      <w:r>
        <w:rPr>
          <w:rFonts w:hint="eastAsia" w:ascii="宋体" w:hAnsi="宋体"/>
          <w:szCs w:val="21"/>
        </w:rPr>
        <w:t>自</w:t>
      </w:r>
      <w:r>
        <w:rPr>
          <w:rFonts w:ascii="宋体" w:hAnsi="宋体"/>
          <w:szCs w:val="21"/>
        </w:rPr>
        <w:t>1964年建水轮泵站和电力灌溉站以来，至2</w:t>
      </w:r>
      <w:r>
        <w:rPr>
          <w:rFonts w:hint="eastAsia" w:ascii="宋体" w:hAnsi="宋体"/>
          <w:szCs w:val="21"/>
        </w:rPr>
        <w:t>0</w:t>
      </w:r>
      <w:r>
        <w:rPr>
          <w:rFonts w:ascii="宋体" w:hAnsi="宋体"/>
          <w:szCs w:val="21"/>
        </w:rPr>
        <w:t>02年全市有电力灌溉站243宗，</w:t>
      </w:r>
      <w:r>
        <w:rPr>
          <w:rFonts w:hint="eastAsia" w:ascii="宋体" w:hAnsi="宋体"/>
          <w:szCs w:val="21"/>
        </w:rPr>
        <w:t>总装机容量</w:t>
      </w:r>
      <w:r>
        <w:rPr>
          <w:rFonts w:ascii="宋体" w:hAnsi="宋体"/>
          <w:szCs w:val="21"/>
        </w:rPr>
        <w:t>4988千瓦，设计灌溉面积3666.67公顷。其中1988年后增建的电灌站58</w:t>
      </w:r>
      <w:r>
        <w:rPr>
          <w:rFonts w:hint="eastAsia" w:ascii="宋体" w:hAnsi="宋体"/>
          <w:szCs w:val="21"/>
        </w:rPr>
        <w:t>个，装机</w:t>
      </w:r>
      <w:r>
        <w:rPr>
          <w:rFonts w:ascii="宋体" w:hAnsi="宋体"/>
          <w:szCs w:val="21"/>
        </w:rPr>
        <w:t>59台，动力984千瓦，设计灌溉面积1059.33公顷（详见本编水利章）。但</w:t>
      </w:r>
      <w:r>
        <w:rPr>
          <w:rFonts w:hint="eastAsia" w:ascii="宋体" w:hAnsi="宋体"/>
          <w:szCs w:val="21"/>
        </w:rPr>
        <w:t>这些集体所有的电力灌溉站不能满足分户经营的需要，</w:t>
      </w:r>
      <w:r>
        <w:rPr>
          <w:rFonts w:ascii="宋体" w:hAnsi="宋体"/>
          <w:szCs w:val="21"/>
        </w:rPr>
        <w:t>1989年以后，农户自购小型</w:t>
      </w:r>
      <w:r>
        <w:rPr>
          <w:rFonts w:hint="eastAsia" w:ascii="宋体" w:hAnsi="宋体"/>
          <w:szCs w:val="21"/>
        </w:rPr>
        <w:t>抽水机者渐多，至</w:t>
      </w:r>
      <w:r>
        <w:rPr>
          <w:rFonts w:ascii="宋体" w:hAnsi="宋体"/>
          <w:szCs w:val="21"/>
        </w:rPr>
        <w:t>2004年，全市机械排灌设备增至6259台，总动力21869千瓦，比1987年4454千瓦增长近4倍，可灌面积4920公顷。</w:t>
      </w:r>
    </w:p>
    <w:p w14:paraId="31C173DA">
      <w:pPr>
        <w:pStyle w:val="5"/>
        <w:rPr>
          <w:rFonts w:ascii="宋体" w:hAnsi="宋体"/>
        </w:rPr>
      </w:pPr>
      <w:r>
        <w:rPr>
          <w:rFonts w:hint="eastAsia" w:ascii="宋体" w:hAnsi="宋体"/>
        </w:rPr>
        <w:t>二、耕作机械</w:t>
      </w:r>
    </w:p>
    <w:p w14:paraId="3AC5B7F3">
      <w:pPr>
        <w:ind w:firstLine="420"/>
        <w:rPr>
          <w:rFonts w:ascii="宋体" w:hAnsi="宋体"/>
          <w:szCs w:val="21"/>
        </w:rPr>
      </w:pPr>
      <w:r>
        <w:rPr>
          <w:rFonts w:ascii="宋体" w:hAnsi="宋体"/>
          <w:szCs w:val="21"/>
        </w:rPr>
        <w:t>1959年广东省农垦厅给南雄5个国营农场配备了东方红</w:t>
      </w:r>
      <w:r>
        <w:rPr>
          <w:rFonts w:hint="eastAsia" w:ascii="宋体" w:hAnsi="宋体"/>
          <w:szCs w:val="21"/>
        </w:rPr>
        <w:t>—</w:t>
      </w:r>
      <w:r>
        <w:rPr>
          <w:rFonts w:ascii="宋体" w:hAnsi="宋体"/>
          <w:szCs w:val="21"/>
        </w:rPr>
        <w:t>54型（履带式）拖拉</w:t>
      </w:r>
      <w:r>
        <w:rPr>
          <w:rFonts w:hint="eastAsia" w:ascii="宋体" w:hAnsi="宋体"/>
          <w:szCs w:val="21"/>
        </w:rPr>
        <w:t>机</w:t>
      </w:r>
      <w:r>
        <w:rPr>
          <w:rFonts w:ascii="宋体" w:hAnsi="宋体"/>
          <w:szCs w:val="21"/>
        </w:rPr>
        <w:t>2台，苏联产德特</w:t>
      </w:r>
      <w:r>
        <w:rPr>
          <w:rFonts w:hint="eastAsia" w:ascii="宋体" w:hAnsi="宋体"/>
          <w:szCs w:val="21"/>
        </w:rPr>
        <w:t>—</w:t>
      </w:r>
      <w:r>
        <w:rPr>
          <w:rFonts w:ascii="宋体" w:hAnsi="宋体"/>
          <w:szCs w:val="21"/>
        </w:rPr>
        <w:t>28型拖拉机3台。1960年3月南雄县成立国营拖拉机站，由</w:t>
      </w:r>
      <w:r>
        <w:rPr>
          <w:rFonts w:hint="eastAsia" w:ascii="宋体" w:hAnsi="宋体"/>
          <w:szCs w:val="21"/>
        </w:rPr>
        <w:t>国家调拨东方红—</w:t>
      </w:r>
      <w:r>
        <w:rPr>
          <w:rFonts w:ascii="宋体" w:hAnsi="宋体"/>
          <w:szCs w:val="21"/>
        </w:rPr>
        <w:t>54型拖拉机2台，英国产福格森</w:t>
      </w:r>
      <w:r>
        <w:rPr>
          <w:rFonts w:hint="eastAsia" w:ascii="宋体" w:hAnsi="宋体"/>
          <w:szCs w:val="21"/>
        </w:rPr>
        <w:t>—</w:t>
      </w:r>
      <w:r>
        <w:rPr>
          <w:rFonts w:ascii="宋体" w:hAnsi="宋体"/>
          <w:szCs w:val="21"/>
        </w:rPr>
        <w:t>35型拖拉机3台。1964年公社</w:t>
      </w:r>
      <w:r>
        <w:rPr>
          <w:rFonts w:hint="eastAsia" w:ascii="宋体" w:hAnsi="宋体"/>
          <w:szCs w:val="21"/>
        </w:rPr>
        <w:t>生产队开始购进手扶拖拉机，用于稻田整地作业。至</w:t>
      </w:r>
      <w:r>
        <w:rPr>
          <w:rFonts w:ascii="宋体" w:hAnsi="宋体"/>
          <w:szCs w:val="21"/>
        </w:rPr>
        <w:t>1979年全市拥有大、中型拖拉</w:t>
      </w:r>
      <w:r>
        <w:rPr>
          <w:rFonts w:hint="eastAsia" w:ascii="宋体" w:hAnsi="宋体"/>
          <w:szCs w:val="21"/>
        </w:rPr>
        <w:t>机</w:t>
      </w:r>
      <w:r>
        <w:rPr>
          <w:rFonts w:ascii="宋体" w:hAnsi="宋体"/>
          <w:szCs w:val="21"/>
        </w:rPr>
        <w:t>95台，小型手拖（14.7千瓦以下）1032台。实行家庭联产承包责任制后，大、中</w:t>
      </w:r>
      <w:r>
        <w:rPr>
          <w:rFonts w:hint="eastAsia" w:ascii="宋体" w:hAnsi="宋体"/>
          <w:szCs w:val="21"/>
        </w:rPr>
        <w:t>型拖拉机逐年减少，</w:t>
      </w:r>
      <w:r>
        <w:rPr>
          <w:rFonts w:ascii="宋体" w:hAnsi="宋体"/>
          <w:szCs w:val="21"/>
        </w:rPr>
        <w:t>1994年降至0台。而手扶拖拉机则逐年增多。2001年南雄烟草</w:t>
      </w:r>
      <w:r>
        <w:rPr>
          <w:rFonts w:hint="eastAsia" w:ascii="宋体" w:hAnsi="宋体"/>
          <w:szCs w:val="21"/>
        </w:rPr>
        <w:t>公司购买宁波产</w:t>
      </w:r>
      <w:r>
        <w:rPr>
          <w:rFonts w:ascii="宋体" w:hAnsi="宋体"/>
          <w:szCs w:val="21"/>
        </w:rPr>
        <w:t>282型奔野中拖6台，帮农民</w:t>
      </w:r>
      <w:r>
        <w:rPr>
          <w:rFonts w:hint="eastAsia" w:ascii="宋体" w:hAnsi="宋体"/>
          <w:szCs w:val="21"/>
        </w:rPr>
        <w:t>犁</w:t>
      </w:r>
      <w:r>
        <w:rPr>
          <w:rFonts w:ascii="宋体" w:hAnsi="宋体"/>
          <w:szCs w:val="21"/>
        </w:rPr>
        <w:t>烟地。至2004年全年拖拉机拥有量7635台，总动力43007千瓦，机耕面积10953.33公顷。历年拖拉机推广及机耕面积</w:t>
      </w:r>
      <w:r>
        <w:rPr>
          <w:rFonts w:hint="eastAsia" w:ascii="宋体" w:hAnsi="宋体"/>
          <w:szCs w:val="21"/>
        </w:rPr>
        <w:t>详见表</w:t>
      </w:r>
      <w:r>
        <w:rPr>
          <w:rFonts w:ascii="宋体" w:hAnsi="宋体"/>
          <w:szCs w:val="21"/>
        </w:rPr>
        <w:t>2-32：</w:t>
      </w:r>
    </w:p>
    <w:p w14:paraId="04DA4007">
      <w:pPr>
        <w:ind w:firstLine="0" w:firstLineChars="0"/>
        <w:jc w:val="center"/>
        <w:rPr>
          <w:rFonts w:ascii="宋体" w:hAnsi="宋体"/>
          <w:b/>
          <w:szCs w:val="21"/>
        </w:rPr>
      </w:pPr>
      <w:r>
        <w:rPr>
          <w:rFonts w:hint="eastAsia" w:ascii="宋体" w:hAnsi="宋体"/>
          <w:b/>
          <w:szCs w:val="21"/>
        </w:rPr>
        <w:t>南雄市1978年至2004年拖拉机及机耕面积统计表</w:t>
      </w:r>
    </w:p>
    <w:p w14:paraId="5EF8AC59">
      <w:pPr>
        <w:ind w:firstLine="0" w:firstLineChars="0"/>
        <w:rPr>
          <w:rFonts w:ascii="宋体" w:hAnsi="宋体"/>
          <w:b/>
          <w:szCs w:val="21"/>
        </w:rPr>
      </w:pPr>
      <w:r>
        <w:rPr>
          <w:rFonts w:hint="eastAsia" w:ascii="宋体" w:hAnsi="宋体"/>
          <w:b/>
          <w:szCs w:val="21"/>
        </w:rPr>
        <w:t>表2-32</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8"/>
        <w:gridCol w:w="828"/>
        <w:gridCol w:w="831"/>
        <w:gridCol w:w="831"/>
        <w:gridCol w:w="831"/>
        <w:gridCol w:w="831"/>
        <w:gridCol w:w="831"/>
        <w:gridCol w:w="831"/>
        <w:gridCol w:w="831"/>
        <w:gridCol w:w="831"/>
        <w:gridCol w:w="831"/>
        <w:gridCol w:w="827"/>
      </w:tblGrid>
      <w:tr w14:paraId="46271F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3" w:hRule="atLeast"/>
        </w:trPr>
        <w:tc>
          <w:tcPr>
            <w:tcW w:w="416" w:type="pct"/>
            <w:vMerge w:val="restart"/>
            <w:vAlign w:val="center"/>
          </w:tcPr>
          <w:p w14:paraId="468900E1">
            <w:pPr>
              <w:pStyle w:val="12"/>
              <w:jc w:val="center"/>
              <w:rPr>
                <w:rFonts w:ascii="宋体" w:hAnsi="宋体"/>
                <w:b/>
              </w:rPr>
            </w:pPr>
            <w:r>
              <w:rPr>
                <w:rFonts w:hint="eastAsia" w:ascii="宋体" w:hAnsi="宋体"/>
                <w:b/>
              </w:rPr>
              <w:t>年份</w:t>
            </w:r>
          </w:p>
        </w:tc>
        <w:tc>
          <w:tcPr>
            <w:tcW w:w="833" w:type="pct"/>
            <w:gridSpan w:val="2"/>
            <w:vAlign w:val="center"/>
          </w:tcPr>
          <w:p w14:paraId="5701A821">
            <w:pPr>
              <w:pStyle w:val="12"/>
              <w:jc w:val="center"/>
              <w:rPr>
                <w:rFonts w:ascii="宋体" w:hAnsi="宋体"/>
                <w:b/>
              </w:rPr>
            </w:pPr>
            <w:r>
              <w:rPr>
                <w:rFonts w:hint="eastAsia" w:ascii="宋体" w:hAnsi="宋体"/>
                <w:b/>
              </w:rPr>
              <w:t>大中拖</w:t>
            </w:r>
          </w:p>
        </w:tc>
        <w:tc>
          <w:tcPr>
            <w:tcW w:w="834" w:type="pct"/>
            <w:gridSpan w:val="2"/>
            <w:vAlign w:val="center"/>
          </w:tcPr>
          <w:p w14:paraId="1A84806D">
            <w:pPr>
              <w:pStyle w:val="12"/>
              <w:jc w:val="center"/>
              <w:rPr>
                <w:rFonts w:ascii="宋体" w:hAnsi="宋体"/>
                <w:b/>
              </w:rPr>
            </w:pPr>
            <w:r>
              <w:rPr>
                <w:rFonts w:hint="eastAsia" w:ascii="宋体" w:hAnsi="宋体"/>
                <w:b/>
              </w:rPr>
              <w:t>小手拖</w:t>
            </w:r>
          </w:p>
        </w:tc>
        <w:tc>
          <w:tcPr>
            <w:tcW w:w="417" w:type="pct"/>
            <w:vMerge w:val="restart"/>
            <w:vAlign w:val="center"/>
          </w:tcPr>
          <w:p w14:paraId="716C7DB4">
            <w:pPr>
              <w:pStyle w:val="12"/>
              <w:jc w:val="center"/>
              <w:rPr>
                <w:rFonts w:ascii="宋体" w:hAnsi="宋体"/>
                <w:b/>
              </w:rPr>
            </w:pPr>
            <w:r>
              <w:rPr>
                <w:rFonts w:hint="eastAsia" w:ascii="宋体" w:hAnsi="宋体"/>
                <w:b/>
              </w:rPr>
              <w:t>机耕面积（万亩）</w:t>
            </w:r>
          </w:p>
        </w:tc>
        <w:tc>
          <w:tcPr>
            <w:tcW w:w="417" w:type="pct"/>
            <w:vMerge w:val="restart"/>
            <w:vAlign w:val="center"/>
          </w:tcPr>
          <w:p w14:paraId="2AA44811">
            <w:pPr>
              <w:pStyle w:val="12"/>
              <w:jc w:val="center"/>
              <w:rPr>
                <w:rFonts w:ascii="宋体" w:hAnsi="宋体"/>
                <w:b/>
              </w:rPr>
            </w:pPr>
            <w:r>
              <w:rPr>
                <w:rFonts w:hint="eastAsia" w:ascii="宋体" w:hAnsi="宋体"/>
                <w:b/>
              </w:rPr>
              <w:t>年份</w:t>
            </w:r>
          </w:p>
        </w:tc>
        <w:tc>
          <w:tcPr>
            <w:tcW w:w="834" w:type="pct"/>
            <w:gridSpan w:val="2"/>
            <w:vAlign w:val="center"/>
          </w:tcPr>
          <w:p w14:paraId="33509F2B">
            <w:pPr>
              <w:pStyle w:val="12"/>
              <w:jc w:val="center"/>
              <w:rPr>
                <w:rFonts w:ascii="宋体" w:hAnsi="宋体"/>
                <w:b/>
              </w:rPr>
            </w:pPr>
            <w:r>
              <w:rPr>
                <w:rFonts w:hint="eastAsia" w:ascii="宋体" w:hAnsi="宋体"/>
                <w:b/>
              </w:rPr>
              <w:t>大中拖</w:t>
            </w:r>
          </w:p>
        </w:tc>
        <w:tc>
          <w:tcPr>
            <w:tcW w:w="834" w:type="pct"/>
            <w:gridSpan w:val="2"/>
            <w:vAlign w:val="center"/>
          </w:tcPr>
          <w:p w14:paraId="4B3531ED">
            <w:pPr>
              <w:pStyle w:val="12"/>
              <w:jc w:val="center"/>
              <w:rPr>
                <w:rFonts w:ascii="宋体" w:hAnsi="宋体"/>
                <w:b/>
              </w:rPr>
            </w:pPr>
            <w:r>
              <w:rPr>
                <w:rFonts w:hint="eastAsia" w:ascii="宋体" w:hAnsi="宋体"/>
                <w:b/>
              </w:rPr>
              <w:t>小手拖</w:t>
            </w:r>
          </w:p>
        </w:tc>
        <w:tc>
          <w:tcPr>
            <w:tcW w:w="417" w:type="pct"/>
            <w:vMerge w:val="restart"/>
            <w:vAlign w:val="center"/>
          </w:tcPr>
          <w:p w14:paraId="47828EE7">
            <w:pPr>
              <w:pStyle w:val="12"/>
              <w:jc w:val="center"/>
              <w:rPr>
                <w:rFonts w:ascii="宋体" w:hAnsi="宋体"/>
                <w:b/>
              </w:rPr>
            </w:pPr>
            <w:r>
              <w:rPr>
                <w:rFonts w:hint="eastAsia" w:ascii="宋体" w:hAnsi="宋体"/>
                <w:b/>
              </w:rPr>
              <w:t>机耕面积（万亩）</w:t>
            </w:r>
          </w:p>
        </w:tc>
      </w:tr>
      <w:tr w14:paraId="7E61C7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416" w:type="pct"/>
            <w:vMerge w:val="continue"/>
            <w:vAlign w:val="center"/>
          </w:tcPr>
          <w:p w14:paraId="3A6B72DF">
            <w:pPr>
              <w:pStyle w:val="12"/>
              <w:jc w:val="center"/>
              <w:rPr>
                <w:rFonts w:ascii="宋体" w:hAnsi="宋体"/>
              </w:rPr>
            </w:pPr>
          </w:p>
        </w:tc>
        <w:tc>
          <w:tcPr>
            <w:tcW w:w="416" w:type="pct"/>
            <w:vAlign w:val="center"/>
          </w:tcPr>
          <w:p w14:paraId="34F0F7A3">
            <w:pPr>
              <w:pStyle w:val="12"/>
              <w:jc w:val="center"/>
              <w:rPr>
                <w:rFonts w:ascii="宋体" w:hAnsi="宋体"/>
                <w:b/>
              </w:rPr>
            </w:pPr>
            <w:r>
              <w:rPr>
                <w:rFonts w:hint="eastAsia" w:ascii="宋体" w:hAnsi="宋体"/>
                <w:b/>
              </w:rPr>
              <w:t>台</w:t>
            </w:r>
          </w:p>
        </w:tc>
        <w:tc>
          <w:tcPr>
            <w:tcW w:w="417" w:type="pct"/>
            <w:vAlign w:val="center"/>
          </w:tcPr>
          <w:p w14:paraId="6D6C3BE9">
            <w:pPr>
              <w:pStyle w:val="12"/>
              <w:jc w:val="center"/>
              <w:rPr>
                <w:rFonts w:ascii="宋体" w:hAnsi="宋体"/>
                <w:b/>
              </w:rPr>
            </w:pPr>
            <w:r>
              <w:rPr>
                <w:rFonts w:hint="eastAsia" w:ascii="宋体" w:hAnsi="宋体"/>
                <w:b/>
              </w:rPr>
              <w:t>千瓦</w:t>
            </w:r>
          </w:p>
        </w:tc>
        <w:tc>
          <w:tcPr>
            <w:tcW w:w="417" w:type="pct"/>
            <w:vAlign w:val="center"/>
          </w:tcPr>
          <w:p w14:paraId="147EB484">
            <w:pPr>
              <w:pStyle w:val="12"/>
              <w:jc w:val="center"/>
              <w:rPr>
                <w:rFonts w:ascii="宋体" w:hAnsi="宋体"/>
                <w:b/>
              </w:rPr>
            </w:pPr>
            <w:r>
              <w:rPr>
                <w:rFonts w:hint="eastAsia" w:ascii="宋体" w:hAnsi="宋体"/>
                <w:b/>
              </w:rPr>
              <w:t>台</w:t>
            </w:r>
          </w:p>
        </w:tc>
        <w:tc>
          <w:tcPr>
            <w:tcW w:w="417" w:type="pct"/>
            <w:vAlign w:val="center"/>
          </w:tcPr>
          <w:p w14:paraId="5A74F2E6">
            <w:pPr>
              <w:pStyle w:val="12"/>
              <w:jc w:val="center"/>
              <w:rPr>
                <w:rFonts w:ascii="宋体" w:hAnsi="宋体"/>
                <w:b/>
              </w:rPr>
            </w:pPr>
            <w:r>
              <w:rPr>
                <w:rFonts w:hint="eastAsia" w:ascii="宋体" w:hAnsi="宋体"/>
                <w:b/>
              </w:rPr>
              <w:t>千瓦</w:t>
            </w:r>
          </w:p>
        </w:tc>
        <w:tc>
          <w:tcPr>
            <w:tcW w:w="417" w:type="pct"/>
            <w:vMerge w:val="continue"/>
            <w:vAlign w:val="center"/>
          </w:tcPr>
          <w:p w14:paraId="7BEB5DC7">
            <w:pPr>
              <w:pStyle w:val="12"/>
              <w:jc w:val="center"/>
              <w:rPr>
                <w:rFonts w:ascii="宋体" w:hAnsi="宋体"/>
              </w:rPr>
            </w:pPr>
          </w:p>
        </w:tc>
        <w:tc>
          <w:tcPr>
            <w:tcW w:w="417" w:type="pct"/>
            <w:vMerge w:val="continue"/>
            <w:vAlign w:val="center"/>
          </w:tcPr>
          <w:p w14:paraId="23EA49E2">
            <w:pPr>
              <w:pStyle w:val="12"/>
              <w:jc w:val="center"/>
              <w:rPr>
                <w:rFonts w:ascii="宋体" w:hAnsi="宋体"/>
              </w:rPr>
            </w:pPr>
          </w:p>
        </w:tc>
        <w:tc>
          <w:tcPr>
            <w:tcW w:w="417" w:type="pct"/>
            <w:vAlign w:val="center"/>
          </w:tcPr>
          <w:p w14:paraId="26F1CAC3">
            <w:pPr>
              <w:pStyle w:val="12"/>
              <w:jc w:val="center"/>
              <w:rPr>
                <w:rFonts w:ascii="宋体" w:hAnsi="宋体"/>
                <w:b/>
              </w:rPr>
            </w:pPr>
            <w:r>
              <w:rPr>
                <w:rFonts w:hint="eastAsia" w:ascii="宋体" w:hAnsi="宋体"/>
                <w:b/>
              </w:rPr>
              <w:t>台</w:t>
            </w:r>
          </w:p>
        </w:tc>
        <w:tc>
          <w:tcPr>
            <w:tcW w:w="417" w:type="pct"/>
            <w:vAlign w:val="center"/>
          </w:tcPr>
          <w:p w14:paraId="2863E68F">
            <w:pPr>
              <w:pStyle w:val="12"/>
              <w:jc w:val="center"/>
              <w:rPr>
                <w:rFonts w:ascii="宋体" w:hAnsi="宋体"/>
                <w:b/>
              </w:rPr>
            </w:pPr>
            <w:r>
              <w:rPr>
                <w:rFonts w:hint="eastAsia" w:ascii="宋体" w:hAnsi="宋体"/>
                <w:b/>
              </w:rPr>
              <w:t>千瓦</w:t>
            </w:r>
          </w:p>
        </w:tc>
        <w:tc>
          <w:tcPr>
            <w:tcW w:w="417" w:type="pct"/>
            <w:vAlign w:val="center"/>
          </w:tcPr>
          <w:p w14:paraId="408972CD">
            <w:pPr>
              <w:pStyle w:val="12"/>
              <w:jc w:val="center"/>
              <w:rPr>
                <w:rFonts w:ascii="宋体" w:hAnsi="宋体"/>
                <w:b/>
              </w:rPr>
            </w:pPr>
            <w:r>
              <w:rPr>
                <w:rFonts w:hint="eastAsia" w:ascii="宋体" w:hAnsi="宋体"/>
                <w:b/>
              </w:rPr>
              <w:t>台</w:t>
            </w:r>
          </w:p>
        </w:tc>
        <w:tc>
          <w:tcPr>
            <w:tcW w:w="417" w:type="pct"/>
            <w:vAlign w:val="center"/>
          </w:tcPr>
          <w:p w14:paraId="289CCDEA">
            <w:pPr>
              <w:pStyle w:val="12"/>
              <w:jc w:val="center"/>
              <w:rPr>
                <w:rFonts w:ascii="宋体" w:hAnsi="宋体"/>
                <w:b/>
              </w:rPr>
            </w:pPr>
            <w:r>
              <w:rPr>
                <w:rFonts w:hint="eastAsia" w:ascii="宋体" w:hAnsi="宋体"/>
                <w:b/>
              </w:rPr>
              <w:t>千瓦</w:t>
            </w:r>
          </w:p>
        </w:tc>
        <w:tc>
          <w:tcPr>
            <w:tcW w:w="417" w:type="pct"/>
            <w:vMerge w:val="continue"/>
            <w:vAlign w:val="center"/>
          </w:tcPr>
          <w:p w14:paraId="3FFFFAB9">
            <w:pPr>
              <w:pStyle w:val="12"/>
              <w:jc w:val="center"/>
              <w:rPr>
                <w:rFonts w:ascii="宋体" w:hAnsi="宋体"/>
              </w:rPr>
            </w:pPr>
          </w:p>
        </w:tc>
      </w:tr>
      <w:tr w14:paraId="78ACC2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6" w:type="pct"/>
            <w:vAlign w:val="center"/>
          </w:tcPr>
          <w:p w14:paraId="7CF3C540">
            <w:pPr>
              <w:pStyle w:val="12"/>
              <w:jc w:val="center"/>
              <w:rPr>
                <w:rFonts w:ascii="宋体" w:hAnsi="宋体"/>
              </w:rPr>
            </w:pPr>
            <w:r>
              <w:rPr>
                <w:rFonts w:ascii="宋体" w:hAnsi="宋体"/>
              </w:rPr>
              <w:t>1978</w:t>
            </w:r>
          </w:p>
        </w:tc>
        <w:tc>
          <w:tcPr>
            <w:tcW w:w="416" w:type="pct"/>
            <w:vAlign w:val="center"/>
          </w:tcPr>
          <w:p w14:paraId="432E01BB">
            <w:pPr>
              <w:pStyle w:val="12"/>
              <w:jc w:val="center"/>
              <w:rPr>
                <w:rFonts w:ascii="宋体" w:hAnsi="宋体"/>
              </w:rPr>
            </w:pPr>
            <w:r>
              <w:rPr>
                <w:rFonts w:ascii="宋体" w:hAnsi="宋体"/>
              </w:rPr>
              <w:t>91</w:t>
            </w:r>
          </w:p>
        </w:tc>
        <w:tc>
          <w:tcPr>
            <w:tcW w:w="417" w:type="pct"/>
            <w:vAlign w:val="center"/>
          </w:tcPr>
          <w:p w14:paraId="49C7DF12">
            <w:pPr>
              <w:pStyle w:val="12"/>
              <w:jc w:val="center"/>
              <w:rPr>
                <w:rFonts w:ascii="宋体" w:hAnsi="宋体"/>
              </w:rPr>
            </w:pPr>
            <w:r>
              <w:rPr>
                <w:rFonts w:ascii="宋体" w:hAnsi="宋体"/>
              </w:rPr>
              <w:t>2560</w:t>
            </w:r>
          </w:p>
        </w:tc>
        <w:tc>
          <w:tcPr>
            <w:tcW w:w="417" w:type="pct"/>
            <w:vAlign w:val="center"/>
          </w:tcPr>
          <w:p w14:paraId="4FD412E8">
            <w:pPr>
              <w:pStyle w:val="12"/>
              <w:jc w:val="center"/>
              <w:rPr>
                <w:rFonts w:ascii="宋体" w:hAnsi="宋体"/>
              </w:rPr>
            </w:pPr>
            <w:r>
              <w:rPr>
                <w:rFonts w:ascii="宋体" w:hAnsi="宋体"/>
              </w:rPr>
              <w:t>780</w:t>
            </w:r>
          </w:p>
        </w:tc>
        <w:tc>
          <w:tcPr>
            <w:tcW w:w="417" w:type="pct"/>
            <w:vAlign w:val="center"/>
          </w:tcPr>
          <w:p w14:paraId="64093864">
            <w:pPr>
              <w:pStyle w:val="12"/>
              <w:jc w:val="center"/>
              <w:rPr>
                <w:rFonts w:ascii="宋体" w:hAnsi="宋体"/>
              </w:rPr>
            </w:pPr>
            <w:r>
              <w:rPr>
                <w:rFonts w:ascii="宋体" w:hAnsi="宋体"/>
              </w:rPr>
              <w:t>5813</w:t>
            </w:r>
          </w:p>
        </w:tc>
        <w:tc>
          <w:tcPr>
            <w:tcW w:w="417" w:type="pct"/>
            <w:vAlign w:val="center"/>
          </w:tcPr>
          <w:p w14:paraId="0258080C">
            <w:pPr>
              <w:pStyle w:val="12"/>
              <w:jc w:val="center"/>
              <w:rPr>
                <w:rFonts w:ascii="宋体" w:hAnsi="宋体"/>
              </w:rPr>
            </w:pPr>
            <w:r>
              <w:rPr>
                <w:rFonts w:ascii="宋体" w:hAnsi="宋体"/>
              </w:rPr>
              <w:t>13.50</w:t>
            </w:r>
          </w:p>
        </w:tc>
        <w:tc>
          <w:tcPr>
            <w:tcW w:w="417" w:type="pct"/>
            <w:vAlign w:val="center"/>
          </w:tcPr>
          <w:p w14:paraId="0D97ACF3">
            <w:pPr>
              <w:pStyle w:val="12"/>
              <w:jc w:val="center"/>
              <w:rPr>
                <w:rFonts w:ascii="宋体" w:hAnsi="宋体"/>
              </w:rPr>
            </w:pPr>
            <w:r>
              <w:rPr>
                <w:rFonts w:ascii="宋体" w:hAnsi="宋体"/>
              </w:rPr>
              <w:t>1992</w:t>
            </w:r>
          </w:p>
        </w:tc>
        <w:tc>
          <w:tcPr>
            <w:tcW w:w="417" w:type="pct"/>
            <w:vAlign w:val="center"/>
          </w:tcPr>
          <w:p w14:paraId="380AE124">
            <w:pPr>
              <w:pStyle w:val="12"/>
              <w:jc w:val="center"/>
              <w:rPr>
                <w:rFonts w:ascii="宋体" w:hAnsi="宋体"/>
              </w:rPr>
            </w:pPr>
            <w:r>
              <w:rPr>
                <w:rFonts w:ascii="宋体" w:hAnsi="宋体"/>
              </w:rPr>
              <w:t>3</w:t>
            </w:r>
          </w:p>
        </w:tc>
        <w:tc>
          <w:tcPr>
            <w:tcW w:w="417" w:type="pct"/>
            <w:vAlign w:val="center"/>
          </w:tcPr>
          <w:p w14:paraId="608E9F99">
            <w:pPr>
              <w:pStyle w:val="12"/>
              <w:jc w:val="center"/>
              <w:rPr>
                <w:rFonts w:ascii="宋体" w:hAnsi="宋体"/>
              </w:rPr>
            </w:pPr>
            <w:r>
              <w:rPr>
                <w:rFonts w:ascii="宋体" w:hAnsi="宋体"/>
              </w:rPr>
              <w:t>69</w:t>
            </w:r>
          </w:p>
        </w:tc>
        <w:tc>
          <w:tcPr>
            <w:tcW w:w="417" w:type="pct"/>
            <w:vAlign w:val="center"/>
          </w:tcPr>
          <w:p w14:paraId="032667F2">
            <w:pPr>
              <w:pStyle w:val="12"/>
              <w:jc w:val="center"/>
              <w:rPr>
                <w:rFonts w:ascii="宋体" w:hAnsi="宋体"/>
              </w:rPr>
            </w:pPr>
            <w:r>
              <w:rPr>
                <w:rFonts w:ascii="宋体" w:hAnsi="宋体"/>
              </w:rPr>
              <w:t>2205</w:t>
            </w:r>
          </w:p>
        </w:tc>
        <w:tc>
          <w:tcPr>
            <w:tcW w:w="417" w:type="pct"/>
            <w:vAlign w:val="center"/>
          </w:tcPr>
          <w:p w14:paraId="1B9544D6">
            <w:pPr>
              <w:pStyle w:val="12"/>
              <w:jc w:val="center"/>
              <w:rPr>
                <w:rFonts w:ascii="宋体" w:hAnsi="宋体"/>
              </w:rPr>
            </w:pPr>
            <w:r>
              <w:rPr>
                <w:rFonts w:ascii="宋体" w:hAnsi="宋体"/>
              </w:rPr>
              <w:t>13853</w:t>
            </w:r>
          </w:p>
        </w:tc>
        <w:tc>
          <w:tcPr>
            <w:tcW w:w="417" w:type="pct"/>
            <w:vAlign w:val="center"/>
          </w:tcPr>
          <w:p w14:paraId="1670235D">
            <w:pPr>
              <w:pStyle w:val="12"/>
              <w:jc w:val="center"/>
              <w:rPr>
                <w:rFonts w:ascii="宋体" w:hAnsi="宋体"/>
              </w:rPr>
            </w:pPr>
            <w:r>
              <w:rPr>
                <w:rFonts w:ascii="宋体" w:hAnsi="宋体"/>
              </w:rPr>
              <w:t>17.19</w:t>
            </w:r>
          </w:p>
        </w:tc>
      </w:tr>
      <w:tr w14:paraId="055E6C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6" w:type="pct"/>
            <w:vAlign w:val="center"/>
          </w:tcPr>
          <w:p w14:paraId="75CE06D9">
            <w:pPr>
              <w:pStyle w:val="12"/>
              <w:jc w:val="center"/>
              <w:rPr>
                <w:rFonts w:ascii="宋体" w:hAnsi="宋体"/>
              </w:rPr>
            </w:pPr>
            <w:r>
              <w:rPr>
                <w:rFonts w:ascii="宋体" w:hAnsi="宋体"/>
              </w:rPr>
              <w:t>1979</w:t>
            </w:r>
          </w:p>
        </w:tc>
        <w:tc>
          <w:tcPr>
            <w:tcW w:w="416" w:type="pct"/>
            <w:vAlign w:val="center"/>
          </w:tcPr>
          <w:p w14:paraId="11CD0EB6">
            <w:pPr>
              <w:pStyle w:val="12"/>
              <w:jc w:val="center"/>
              <w:rPr>
                <w:rFonts w:ascii="宋体" w:hAnsi="宋体"/>
              </w:rPr>
            </w:pPr>
            <w:r>
              <w:rPr>
                <w:rFonts w:ascii="宋体" w:hAnsi="宋体"/>
              </w:rPr>
              <w:t>95</w:t>
            </w:r>
          </w:p>
        </w:tc>
        <w:tc>
          <w:tcPr>
            <w:tcW w:w="417" w:type="pct"/>
            <w:vAlign w:val="center"/>
          </w:tcPr>
          <w:p w14:paraId="56B2E51B">
            <w:pPr>
              <w:pStyle w:val="12"/>
              <w:jc w:val="center"/>
              <w:rPr>
                <w:rFonts w:ascii="宋体" w:hAnsi="宋体"/>
              </w:rPr>
            </w:pPr>
            <w:r>
              <w:rPr>
                <w:rFonts w:ascii="宋体" w:hAnsi="宋体"/>
              </w:rPr>
              <w:t>2698</w:t>
            </w:r>
          </w:p>
        </w:tc>
        <w:tc>
          <w:tcPr>
            <w:tcW w:w="417" w:type="pct"/>
            <w:vAlign w:val="center"/>
          </w:tcPr>
          <w:p w14:paraId="4FF9F221">
            <w:pPr>
              <w:pStyle w:val="12"/>
              <w:jc w:val="center"/>
              <w:rPr>
                <w:rFonts w:ascii="宋体" w:hAnsi="宋体"/>
              </w:rPr>
            </w:pPr>
            <w:r>
              <w:rPr>
                <w:rFonts w:ascii="宋体" w:hAnsi="宋体"/>
              </w:rPr>
              <w:t>1032</w:t>
            </w:r>
          </w:p>
        </w:tc>
        <w:tc>
          <w:tcPr>
            <w:tcW w:w="417" w:type="pct"/>
            <w:vAlign w:val="center"/>
          </w:tcPr>
          <w:p w14:paraId="2DD58038">
            <w:pPr>
              <w:pStyle w:val="12"/>
              <w:jc w:val="center"/>
              <w:rPr>
                <w:rFonts w:ascii="宋体" w:hAnsi="宋体"/>
              </w:rPr>
            </w:pPr>
            <w:r>
              <w:rPr>
                <w:rFonts w:ascii="宋体" w:hAnsi="宋体"/>
              </w:rPr>
              <w:t>7959</w:t>
            </w:r>
          </w:p>
        </w:tc>
        <w:tc>
          <w:tcPr>
            <w:tcW w:w="417" w:type="pct"/>
            <w:vAlign w:val="center"/>
          </w:tcPr>
          <w:p w14:paraId="577DCCCD">
            <w:pPr>
              <w:pStyle w:val="12"/>
              <w:jc w:val="center"/>
              <w:rPr>
                <w:rFonts w:ascii="宋体" w:hAnsi="宋体"/>
              </w:rPr>
            </w:pPr>
            <w:r>
              <w:rPr>
                <w:rFonts w:ascii="宋体" w:hAnsi="宋体"/>
              </w:rPr>
              <w:t>16.90</w:t>
            </w:r>
          </w:p>
        </w:tc>
        <w:tc>
          <w:tcPr>
            <w:tcW w:w="417" w:type="pct"/>
            <w:vAlign w:val="center"/>
          </w:tcPr>
          <w:p w14:paraId="2215B50A">
            <w:pPr>
              <w:pStyle w:val="12"/>
              <w:jc w:val="center"/>
              <w:rPr>
                <w:rFonts w:ascii="宋体" w:hAnsi="宋体"/>
              </w:rPr>
            </w:pPr>
            <w:r>
              <w:rPr>
                <w:rFonts w:ascii="宋体" w:hAnsi="宋体"/>
              </w:rPr>
              <w:t>1993</w:t>
            </w:r>
          </w:p>
        </w:tc>
        <w:tc>
          <w:tcPr>
            <w:tcW w:w="417" w:type="pct"/>
            <w:vAlign w:val="center"/>
          </w:tcPr>
          <w:p w14:paraId="386518A9">
            <w:pPr>
              <w:pStyle w:val="12"/>
              <w:jc w:val="center"/>
              <w:rPr>
                <w:rFonts w:ascii="宋体" w:hAnsi="宋体"/>
              </w:rPr>
            </w:pPr>
            <w:r>
              <w:rPr>
                <w:rFonts w:ascii="宋体" w:hAnsi="宋体"/>
              </w:rPr>
              <w:t>1</w:t>
            </w:r>
          </w:p>
        </w:tc>
        <w:tc>
          <w:tcPr>
            <w:tcW w:w="417" w:type="pct"/>
            <w:vAlign w:val="center"/>
          </w:tcPr>
          <w:p w14:paraId="26FB59E6">
            <w:pPr>
              <w:pStyle w:val="12"/>
              <w:jc w:val="center"/>
              <w:rPr>
                <w:rFonts w:ascii="宋体" w:hAnsi="宋体"/>
              </w:rPr>
            </w:pPr>
            <w:r>
              <w:rPr>
                <w:rFonts w:ascii="宋体" w:hAnsi="宋体"/>
              </w:rPr>
              <w:t>20</w:t>
            </w:r>
          </w:p>
        </w:tc>
        <w:tc>
          <w:tcPr>
            <w:tcW w:w="417" w:type="pct"/>
            <w:vAlign w:val="center"/>
          </w:tcPr>
          <w:p w14:paraId="6306235C">
            <w:pPr>
              <w:pStyle w:val="12"/>
              <w:jc w:val="center"/>
              <w:rPr>
                <w:rFonts w:ascii="宋体" w:hAnsi="宋体"/>
              </w:rPr>
            </w:pPr>
            <w:r>
              <w:rPr>
                <w:rFonts w:ascii="宋体" w:hAnsi="宋体"/>
              </w:rPr>
              <w:t>2188</w:t>
            </w:r>
          </w:p>
        </w:tc>
        <w:tc>
          <w:tcPr>
            <w:tcW w:w="417" w:type="pct"/>
            <w:vAlign w:val="center"/>
          </w:tcPr>
          <w:p w14:paraId="3DD5241F">
            <w:pPr>
              <w:pStyle w:val="12"/>
              <w:jc w:val="center"/>
              <w:rPr>
                <w:rFonts w:ascii="宋体" w:hAnsi="宋体"/>
              </w:rPr>
            </w:pPr>
            <w:r>
              <w:rPr>
                <w:rFonts w:ascii="宋体" w:hAnsi="宋体"/>
              </w:rPr>
              <w:t>13984</w:t>
            </w:r>
          </w:p>
        </w:tc>
        <w:tc>
          <w:tcPr>
            <w:tcW w:w="417" w:type="pct"/>
            <w:vAlign w:val="center"/>
          </w:tcPr>
          <w:p w14:paraId="2553F888">
            <w:pPr>
              <w:pStyle w:val="12"/>
              <w:jc w:val="center"/>
              <w:rPr>
                <w:rFonts w:ascii="宋体" w:hAnsi="宋体"/>
              </w:rPr>
            </w:pPr>
            <w:r>
              <w:rPr>
                <w:rFonts w:ascii="宋体" w:hAnsi="宋体"/>
              </w:rPr>
              <w:t>12.56</w:t>
            </w:r>
          </w:p>
        </w:tc>
      </w:tr>
      <w:tr w14:paraId="0EDEE1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6" w:type="pct"/>
            <w:vAlign w:val="center"/>
          </w:tcPr>
          <w:p w14:paraId="3ACD4CB8">
            <w:pPr>
              <w:pStyle w:val="12"/>
              <w:jc w:val="center"/>
              <w:rPr>
                <w:rFonts w:ascii="宋体" w:hAnsi="宋体"/>
              </w:rPr>
            </w:pPr>
            <w:r>
              <w:rPr>
                <w:rFonts w:ascii="宋体" w:hAnsi="宋体"/>
              </w:rPr>
              <w:t>1980</w:t>
            </w:r>
          </w:p>
        </w:tc>
        <w:tc>
          <w:tcPr>
            <w:tcW w:w="416" w:type="pct"/>
            <w:vAlign w:val="center"/>
          </w:tcPr>
          <w:p w14:paraId="29EB82E4">
            <w:pPr>
              <w:pStyle w:val="12"/>
              <w:jc w:val="center"/>
              <w:rPr>
                <w:rFonts w:ascii="宋体" w:hAnsi="宋体"/>
              </w:rPr>
            </w:pPr>
            <w:r>
              <w:rPr>
                <w:rFonts w:ascii="宋体" w:hAnsi="宋体"/>
              </w:rPr>
              <w:t>89</w:t>
            </w:r>
          </w:p>
        </w:tc>
        <w:tc>
          <w:tcPr>
            <w:tcW w:w="417" w:type="pct"/>
            <w:vAlign w:val="center"/>
          </w:tcPr>
          <w:p w14:paraId="6EE97C89">
            <w:pPr>
              <w:pStyle w:val="12"/>
              <w:jc w:val="center"/>
              <w:rPr>
                <w:rFonts w:ascii="宋体" w:hAnsi="宋体"/>
              </w:rPr>
            </w:pPr>
            <w:r>
              <w:rPr>
                <w:rFonts w:ascii="宋体" w:hAnsi="宋体"/>
              </w:rPr>
              <w:t>2350</w:t>
            </w:r>
          </w:p>
        </w:tc>
        <w:tc>
          <w:tcPr>
            <w:tcW w:w="417" w:type="pct"/>
            <w:vAlign w:val="center"/>
          </w:tcPr>
          <w:p w14:paraId="133CA18F">
            <w:pPr>
              <w:pStyle w:val="12"/>
              <w:jc w:val="center"/>
              <w:rPr>
                <w:rFonts w:ascii="宋体" w:hAnsi="宋体"/>
              </w:rPr>
            </w:pPr>
            <w:r>
              <w:rPr>
                <w:rFonts w:ascii="宋体" w:hAnsi="宋体"/>
              </w:rPr>
              <w:t>1259</w:t>
            </w:r>
          </w:p>
        </w:tc>
        <w:tc>
          <w:tcPr>
            <w:tcW w:w="417" w:type="pct"/>
            <w:vAlign w:val="center"/>
          </w:tcPr>
          <w:p w14:paraId="092077B9">
            <w:pPr>
              <w:pStyle w:val="12"/>
              <w:jc w:val="center"/>
              <w:rPr>
                <w:rFonts w:ascii="宋体" w:hAnsi="宋体"/>
              </w:rPr>
            </w:pPr>
            <w:r>
              <w:rPr>
                <w:rFonts w:ascii="宋体" w:hAnsi="宋体"/>
              </w:rPr>
              <w:t>9889</w:t>
            </w:r>
          </w:p>
        </w:tc>
        <w:tc>
          <w:tcPr>
            <w:tcW w:w="417" w:type="pct"/>
            <w:vAlign w:val="center"/>
          </w:tcPr>
          <w:p w14:paraId="268A3D04">
            <w:pPr>
              <w:pStyle w:val="12"/>
              <w:jc w:val="center"/>
              <w:rPr>
                <w:rFonts w:ascii="宋体" w:hAnsi="宋体"/>
              </w:rPr>
            </w:pPr>
            <w:r>
              <w:rPr>
                <w:rFonts w:ascii="宋体" w:hAnsi="宋体"/>
              </w:rPr>
              <w:t>14.25</w:t>
            </w:r>
          </w:p>
        </w:tc>
        <w:tc>
          <w:tcPr>
            <w:tcW w:w="417" w:type="pct"/>
            <w:vAlign w:val="center"/>
          </w:tcPr>
          <w:p w14:paraId="780A20AE">
            <w:pPr>
              <w:pStyle w:val="12"/>
              <w:jc w:val="center"/>
              <w:rPr>
                <w:rFonts w:ascii="宋体" w:hAnsi="宋体"/>
              </w:rPr>
            </w:pPr>
            <w:r>
              <w:rPr>
                <w:rFonts w:ascii="宋体" w:hAnsi="宋体"/>
              </w:rPr>
              <w:t>1994</w:t>
            </w:r>
          </w:p>
        </w:tc>
        <w:tc>
          <w:tcPr>
            <w:tcW w:w="417" w:type="pct"/>
            <w:vAlign w:val="center"/>
          </w:tcPr>
          <w:p w14:paraId="5D15BE52">
            <w:pPr>
              <w:pStyle w:val="12"/>
              <w:jc w:val="center"/>
              <w:rPr>
                <w:rFonts w:ascii="宋体" w:hAnsi="宋体"/>
              </w:rPr>
            </w:pPr>
            <w:r>
              <w:rPr>
                <w:rFonts w:ascii="宋体" w:hAnsi="宋体"/>
              </w:rPr>
              <w:t>—</w:t>
            </w:r>
          </w:p>
        </w:tc>
        <w:tc>
          <w:tcPr>
            <w:tcW w:w="417" w:type="pct"/>
            <w:vAlign w:val="center"/>
          </w:tcPr>
          <w:p w14:paraId="562C725C">
            <w:pPr>
              <w:pStyle w:val="12"/>
              <w:jc w:val="center"/>
              <w:rPr>
                <w:rFonts w:ascii="宋体" w:hAnsi="宋体"/>
              </w:rPr>
            </w:pPr>
            <w:r>
              <w:rPr>
                <w:rFonts w:ascii="宋体" w:hAnsi="宋体"/>
              </w:rPr>
              <w:t>—</w:t>
            </w:r>
          </w:p>
        </w:tc>
        <w:tc>
          <w:tcPr>
            <w:tcW w:w="417" w:type="pct"/>
            <w:vAlign w:val="center"/>
          </w:tcPr>
          <w:p w14:paraId="7B282201">
            <w:pPr>
              <w:pStyle w:val="12"/>
              <w:jc w:val="center"/>
              <w:rPr>
                <w:rFonts w:ascii="宋体" w:hAnsi="宋体"/>
              </w:rPr>
            </w:pPr>
            <w:r>
              <w:rPr>
                <w:rFonts w:ascii="宋体" w:hAnsi="宋体"/>
              </w:rPr>
              <w:t>2208</w:t>
            </w:r>
          </w:p>
        </w:tc>
        <w:tc>
          <w:tcPr>
            <w:tcW w:w="417" w:type="pct"/>
            <w:vAlign w:val="center"/>
          </w:tcPr>
          <w:p w14:paraId="74FADB86">
            <w:pPr>
              <w:pStyle w:val="12"/>
              <w:jc w:val="center"/>
              <w:rPr>
                <w:rFonts w:ascii="宋体" w:hAnsi="宋体"/>
              </w:rPr>
            </w:pPr>
            <w:r>
              <w:rPr>
                <w:rFonts w:ascii="宋体" w:hAnsi="宋体"/>
              </w:rPr>
              <w:t>15427</w:t>
            </w:r>
          </w:p>
        </w:tc>
        <w:tc>
          <w:tcPr>
            <w:tcW w:w="417" w:type="pct"/>
            <w:vAlign w:val="center"/>
          </w:tcPr>
          <w:p w14:paraId="28D5D760">
            <w:pPr>
              <w:pStyle w:val="12"/>
              <w:jc w:val="center"/>
              <w:rPr>
                <w:rFonts w:ascii="宋体" w:hAnsi="宋体"/>
              </w:rPr>
            </w:pPr>
            <w:r>
              <w:rPr>
                <w:rFonts w:ascii="宋体" w:hAnsi="宋体"/>
              </w:rPr>
              <w:t>11.32</w:t>
            </w:r>
          </w:p>
        </w:tc>
      </w:tr>
      <w:tr w14:paraId="68EB03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6" w:type="pct"/>
            <w:vAlign w:val="center"/>
          </w:tcPr>
          <w:p w14:paraId="592DE0D5">
            <w:pPr>
              <w:pStyle w:val="12"/>
              <w:jc w:val="center"/>
              <w:rPr>
                <w:rFonts w:ascii="宋体" w:hAnsi="宋体"/>
              </w:rPr>
            </w:pPr>
            <w:r>
              <w:rPr>
                <w:rFonts w:ascii="宋体" w:hAnsi="宋体"/>
              </w:rPr>
              <w:t>1981</w:t>
            </w:r>
          </w:p>
        </w:tc>
        <w:tc>
          <w:tcPr>
            <w:tcW w:w="416" w:type="pct"/>
            <w:vAlign w:val="center"/>
          </w:tcPr>
          <w:p w14:paraId="076FF37F">
            <w:pPr>
              <w:pStyle w:val="12"/>
              <w:jc w:val="center"/>
              <w:rPr>
                <w:rFonts w:ascii="宋体" w:hAnsi="宋体"/>
              </w:rPr>
            </w:pPr>
            <w:r>
              <w:rPr>
                <w:rFonts w:ascii="宋体" w:hAnsi="宋体"/>
              </w:rPr>
              <w:t>89</w:t>
            </w:r>
          </w:p>
        </w:tc>
        <w:tc>
          <w:tcPr>
            <w:tcW w:w="417" w:type="pct"/>
            <w:vAlign w:val="center"/>
          </w:tcPr>
          <w:p w14:paraId="0640CE52">
            <w:pPr>
              <w:pStyle w:val="12"/>
              <w:jc w:val="center"/>
              <w:rPr>
                <w:rFonts w:ascii="宋体" w:hAnsi="宋体"/>
              </w:rPr>
            </w:pPr>
            <w:r>
              <w:rPr>
                <w:rFonts w:ascii="宋体" w:hAnsi="宋体"/>
              </w:rPr>
              <w:t>2430</w:t>
            </w:r>
          </w:p>
        </w:tc>
        <w:tc>
          <w:tcPr>
            <w:tcW w:w="417" w:type="pct"/>
            <w:vAlign w:val="center"/>
          </w:tcPr>
          <w:p w14:paraId="2055AF48">
            <w:pPr>
              <w:pStyle w:val="12"/>
              <w:jc w:val="center"/>
              <w:rPr>
                <w:rFonts w:ascii="宋体" w:hAnsi="宋体"/>
              </w:rPr>
            </w:pPr>
            <w:r>
              <w:rPr>
                <w:rFonts w:ascii="宋体" w:hAnsi="宋体"/>
              </w:rPr>
              <w:t>1390</w:t>
            </w:r>
          </w:p>
        </w:tc>
        <w:tc>
          <w:tcPr>
            <w:tcW w:w="417" w:type="pct"/>
            <w:vAlign w:val="center"/>
          </w:tcPr>
          <w:p w14:paraId="0C0E913F">
            <w:pPr>
              <w:pStyle w:val="12"/>
              <w:jc w:val="center"/>
              <w:rPr>
                <w:rFonts w:ascii="宋体" w:hAnsi="宋体"/>
              </w:rPr>
            </w:pPr>
            <w:r>
              <w:rPr>
                <w:rFonts w:ascii="宋体" w:hAnsi="宋体"/>
              </w:rPr>
              <w:t>11130</w:t>
            </w:r>
          </w:p>
        </w:tc>
        <w:tc>
          <w:tcPr>
            <w:tcW w:w="417" w:type="pct"/>
            <w:vAlign w:val="center"/>
          </w:tcPr>
          <w:p w14:paraId="6EEF3CE0">
            <w:pPr>
              <w:pStyle w:val="12"/>
              <w:jc w:val="center"/>
              <w:rPr>
                <w:rFonts w:ascii="宋体" w:hAnsi="宋体"/>
              </w:rPr>
            </w:pPr>
            <w:r>
              <w:rPr>
                <w:rFonts w:ascii="宋体" w:hAnsi="宋体"/>
              </w:rPr>
              <w:t>18.03</w:t>
            </w:r>
          </w:p>
        </w:tc>
        <w:tc>
          <w:tcPr>
            <w:tcW w:w="417" w:type="pct"/>
            <w:vAlign w:val="center"/>
          </w:tcPr>
          <w:p w14:paraId="5A599C6D">
            <w:pPr>
              <w:pStyle w:val="12"/>
              <w:jc w:val="center"/>
              <w:rPr>
                <w:rFonts w:ascii="宋体" w:hAnsi="宋体"/>
              </w:rPr>
            </w:pPr>
            <w:r>
              <w:rPr>
                <w:rFonts w:ascii="宋体" w:hAnsi="宋体"/>
              </w:rPr>
              <w:t>1995</w:t>
            </w:r>
          </w:p>
        </w:tc>
        <w:tc>
          <w:tcPr>
            <w:tcW w:w="417" w:type="pct"/>
            <w:vAlign w:val="center"/>
          </w:tcPr>
          <w:p w14:paraId="3021618F">
            <w:pPr>
              <w:pStyle w:val="12"/>
              <w:jc w:val="center"/>
              <w:rPr>
                <w:rFonts w:ascii="宋体" w:hAnsi="宋体"/>
              </w:rPr>
            </w:pPr>
            <w:r>
              <w:rPr>
                <w:rFonts w:ascii="宋体" w:hAnsi="宋体"/>
              </w:rPr>
              <w:t>—</w:t>
            </w:r>
          </w:p>
        </w:tc>
        <w:tc>
          <w:tcPr>
            <w:tcW w:w="417" w:type="pct"/>
            <w:vAlign w:val="center"/>
          </w:tcPr>
          <w:p w14:paraId="3EE762FC">
            <w:pPr>
              <w:pStyle w:val="12"/>
              <w:jc w:val="center"/>
              <w:rPr>
                <w:rFonts w:ascii="宋体" w:hAnsi="宋体"/>
              </w:rPr>
            </w:pPr>
            <w:r>
              <w:rPr>
                <w:rFonts w:ascii="宋体" w:hAnsi="宋体"/>
              </w:rPr>
              <w:t>—</w:t>
            </w:r>
          </w:p>
        </w:tc>
        <w:tc>
          <w:tcPr>
            <w:tcW w:w="417" w:type="pct"/>
            <w:vAlign w:val="center"/>
          </w:tcPr>
          <w:p w14:paraId="189101B4">
            <w:pPr>
              <w:pStyle w:val="12"/>
              <w:jc w:val="center"/>
              <w:rPr>
                <w:rFonts w:ascii="宋体" w:hAnsi="宋体"/>
              </w:rPr>
            </w:pPr>
            <w:r>
              <w:rPr>
                <w:rFonts w:ascii="宋体" w:hAnsi="宋体"/>
              </w:rPr>
              <w:t>2356</w:t>
            </w:r>
          </w:p>
        </w:tc>
        <w:tc>
          <w:tcPr>
            <w:tcW w:w="417" w:type="pct"/>
            <w:vAlign w:val="center"/>
          </w:tcPr>
          <w:p w14:paraId="2E624759">
            <w:pPr>
              <w:pStyle w:val="12"/>
              <w:jc w:val="center"/>
              <w:rPr>
                <w:rFonts w:ascii="宋体" w:hAnsi="宋体"/>
              </w:rPr>
            </w:pPr>
            <w:r>
              <w:rPr>
                <w:rFonts w:ascii="宋体" w:hAnsi="宋体"/>
              </w:rPr>
              <w:t>16119</w:t>
            </w:r>
          </w:p>
        </w:tc>
        <w:tc>
          <w:tcPr>
            <w:tcW w:w="417" w:type="pct"/>
            <w:vAlign w:val="center"/>
          </w:tcPr>
          <w:p w14:paraId="59B5480C">
            <w:pPr>
              <w:pStyle w:val="12"/>
              <w:jc w:val="center"/>
              <w:rPr>
                <w:rFonts w:ascii="宋体" w:hAnsi="宋体"/>
              </w:rPr>
            </w:pPr>
            <w:r>
              <w:rPr>
                <w:rFonts w:ascii="宋体" w:hAnsi="宋体"/>
              </w:rPr>
              <w:t>12.21</w:t>
            </w:r>
          </w:p>
        </w:tc>
      </w:tr>
      <w:tr w14:paraId="19474B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6" w:type="pct"/>
            <w:vAlign w:val="center"/>
          </w:tcPr>
          <w:p w14:paraId="17E461C6">
            <w:pPr>
              <w:pStyle w:val="12"/>
              <w:jc w:val="center"/>
              <w:rPr>
                <w:rFonts w:ascii="宋体" w:hAnsi="宋体"/>
              </w:rPr>
            </w:pPr>
            <w:r>
              <w:rPr>
                <w:rFonts w:ascii="宋体" w:hAnsi="宋体"/>
              </w:rPr>
              <w:t>1982</w:t>
            </w:r>
          </w:p>
        </w:tc>
        <w:tc>
          <w:tcPr>
            <w:tcW w:w="416" w:type="pct"/>
            <w:vAlign w:val="center"/>
          </w:tcPr>
          <w:p w14:paraId="6F969596">
            <w:pPr>
              <w:pStyle w:val="12"/>
              <w:jc w:val="center"/>
              <w:rPr>
                <w:rFonts w:ascii="宋体" w:hAnsi="宋体"/>
              </w:rPr>
            </w:pPr>
            <w:r>
              <w:rPr>
                <w:rFonts w:ascii="宋体" w:hAnsi="宋体"/>
              </w:rPr>
              <w:t>96</w:t>
            </w:r>
          </w:p>
        </w:tc>
        <w:tc>
          <w:tcPr>
            <w:tcW w:w="417" w:type="pct"/>
            <w:vAlign w:val="center"/>
          </w:tcPr>
          <w:p w14:paraId="3CEA55E9">
            <w:pPr>
              <w:pStyle w:val="12"/>
              <w:jc w:val="center"/>
              <w:rPr>
                <w:rFonts w:ascii="宋体" w:hAnsi="宋体"/>
              </w:rPr>
            </w:pPr>
            <w:r>
              <w:rPr>
                <w:rFonts w:ascii="宋体" w:hAnsi="宋体"/>
              </w:rPr>
              <w:t>2513</w:t>
            </w:r>
          </w:p>
        </w:tc>
        <w:tc>
          <w:tcPr>
            <w:tcW w:w="417" w:type="pct"/>
            <w:vAlign w:val="center"/>
          </w:tcPr>
          <w:p w14:paraId="5274714F">
            <w:pPr>
              <w:pStyle w:val="12"/>
              <w:jc w:val="center"/>
              <w:rPr>
                <w:rFonts w:ascii="宋体" w:hAnsi="宋体"/>
              </w:rPr>
            </w:pPr>
            <w:r>
              <w:rPr>
                <w:rFonts w:ascii="宋体" w:hAnsi="宋体"/>
              </w:rPr>
              <w:t>1400</w:t>
            </w:r>
          </w:p>
        </w:tc>
        <w:tc>
          <w:tcPr>
            <w:tcW w:w="417" w:type="pct"/>
            <w:vAlign w:val="center"/>
          </w:tcPr>
          <w:p w14:paraId="427AE246">
            <w:pPr>
              <w:pStyle w:val="12"/>
              <w:jc w:val="center"/>
              <w:rPr>
                <w:rFonts w:ascii="宋体" w:hAnsi="宋体"/>
              </w:rPr>
            </w:pPr>
            <w:r>
              <w:rPr>
                <w:rFonts w:ascii="宋体" w:hAnsi="宋体"/>
              </w:rPr>
              <w:t>11361</w:t>
            </w:r>
          </w:p>
        </w:tc>
        <w:tc>
          <w:tcPr>
            <w:tcW w:w="417" w:type="pct"/>
            <w:vAlign w:val="center"/>
          </w:tcPr>
          <w:p w14:paraId="34FE62C4">
            <w:pPr>
              <w:pStyle w:val="12"/>
              <w:jc w:val="center"/>
              <w:rPr>
                <w:rFonts w:ascii="宋体" w:hAnsi="宋体"/>
              </w:rPr>
            </w:pPr>
            <w:r>
              <w:rPr>
                <w:rFonts w:ascii="宋体" w:hAnsi="宋体"/>
              </w:rPr>
              <w:t>16.39</w:t>
            </w:r>
          </w:p>
        </w:tc>
        <w:tc>
          <w:tcPr>
            <w:tcW w:w="417" w:type="pct"/>
            <w:vAlign w:val="center"/>
          </w:tcPr>
          <w:p w14:paraId="7D5EEB3F">
            <w:pPr>
              <w:pStyle w:val="12"/>
              <w:jc w:val="center"/>
              <w:rPr>
                <w:rFonts w:ascii="宋体" w:hAnsi="宋体"/>
              </w:rPr>
            </w:pPr>
            <w:r>
              <w:rPr>
                <w:rFonts w:ascii="宋体" w:hAnsi="宋体"/>
              </w:rPr>
              <w:t>1996</w:t>
            </w:r>
          </w:p>
        </w:tc>
        <w:tc>
          <w:tcPr>
            <w:tcW w:w="417" w:type="pct"/>
            <w:vAlign w:val="center"/>
          </w:tcPr>
          <w:p w14:paraId="6E1CFE98">
            <w:pPr>
              <w:pStyle w:val="12"/>
              <w:jc w:val="center"/>
              <w:rPr>
                <w:rFonts w:ascii="宋体" w:hAnsi="宋体"/>
              </w:rPr>
            </w:pPr>
            <w:r>
              <w:rPr>
                <w:rFonts w:ascii="宋体" w:hAnsi="宋体"/>
              </w:rPr>
              <w:t>—</w:t>
            </w:r>
          </w:p>
        </w:tc>
        <w:tc>
          <w:tcPr>
            <w:tcW w:w="417" w:type="pct"/>
            <w:vAlign w:val="center"/>
          </w:tcPr>
          <w:p w14:paraId="66357F79">
            <w:pPr>
              <w:pStyle w:val="12"/>
              <w:jc w:val="center"/>
              <w:rPr>
                <w:rFonts w:ascii="宋体" w:hAnsi="宋体"/>
              </w:rPr>
            </w:pPr>
            <w:r>
              <w:rPr>
                <w:rFonts w:ascii="宋体" w:hAnsi="宋体"/>
              </w:rPr>
              <w:t>—</w:t>
            </w:r>
          </w:p>
        </w:tc>
        <w:tc>
          <w:tcPr>
            <w:tcW w:w="417" w:type="pct"/>
            <w:vAlign w:val="center"/>
          </w:tcPr>
          <w:p w14:paraId="5B13476E">
            <w:pPr>
              <w:pStyle w:val="12"/>
              <w:jc w:val="center"/>
              <w:rPr>
                <w:rFonts w:ascii="宋体" w:hAnsi="宋体"/>
              </w:rPr>
            </w:pPr>
            <w:r>
              <w:rPr>
                <w:rFonts w:ascii="宋体" w:hAnsi="宋体"/>
              </w:rPr>
              <w:t>2932</w:t>
            </w:r>
          </w:p>
        </w:tc>
        <w:tc>
          <w:tcPr>
            <w:tcW w:w="417" w:type="pct"/>
            <w:vAlign w:val="center"/>
          </w:tcPr>
          <w:p w14:paraId="4F0DB9EF">
            <w:pPr>
              <w:pStyle w:val="12"/>
              <w:jc w:val="center"/>
              <w:rPr>
                <w:rFonts w:ascii="宋体" w:hAnsi="宋体"/>
              </w:rPr>
            </w:pPr>
            <w:r>
              <w:rPr>
                <w:rFonts w:ascii="宋体" w:hAnsi="宋体"/>
              </w:rPr>
              <w:t>20718</w:t>
            </w:r>
          </w:p>
        </w:tc>
        <w:tc>
          <w:tcPr>
            <w:tcW w:w="417" w:type="pct"/>
            <w:vAlign w:val="center"/>
          </w:tcPr>
          <w:p w14:paraId="2A506662">
            <w:pPr>
              <w:pStyle w:val="12"/>
              <w:jc w:val="center"/>
              <w:rPr>
                <w:rFonts w:ascii="宋体" w:hAnsi="宋体"/>
              </w:rPr>
            </w:pPr>
            <w:r>
              <w:rPr>
                <w:rFonts w:ascii="宋体" w:hAnsi="宋体"/>
              </w:rPr>
              <w:t>13.67</w:t>
            </w:r>
          </w:p>
        </w:tc>
      </w:tr>
      <w:tr w14:paraId="51CBF3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6" w:type="pct"/>
            <w:vAlign w:val="center"/>
          </w:tcPr>
          <w:p w14:paraId="704DD4B0">
            <w:pPr>
              <w:pStyle w:val="12"/>
              <w:jc w:val="center"/>
              <w:rPr>
                <w:rFonts w:ascii="宋体" w:hAnsi="宋体"/>
              </w:rPr>
            </w:pPr>
            <w:r>
              <w:rPr>
                <w:rFonts w:ascii="宋体" w:hAnsi="宋体"/>
              </w:rPr>
              <w:t>1983</w:t>
            </w:r>
          </w:p>
        </w:tc>
        <w:tc>
          <w:tcPr>
            <w:tcW w:w="416" w:type="pct"/>
            <w:vAlign w:val="center"/>
          </w:tcPr>
          <w:p w14:paraId="35AEAEDD">
            <w:pPr>
              <w:pStyle w:val="12"/>
              <w:jc w:val="center"/>
              <w:rPr>
                <w:rFonts w:ascii="宋体" w:hAnsi="宋体"/>
              </w:rPr>
            </w:pPr>
            <w:r>
              <w:rPr>
                <w:rFonts w:ascii="宋体" w:hAnsi="宋体"/>
              </w:rPr>
              <w:t>85</w:t>
            </w:r>
          </w:p>
        </w:tc>
        <w:tc>
          <w:tcPr>
            <w:tcW w:w="417" w:type="pct"/>
            <w:vAlign w:val="center"/>
          </w:tcPr>
          <w:p w14:paraId="740E51E3">
            <w:pPr>
              <w:pStyle w:val="12"/>
              <w:jc w:val="center"/>
              <w:rPr>
                <w:rFonts w:ascii="宋体" w:hAnsi="宋体"/>
              </w:rPr>
            </w:pPr>
            <w:r>
              <w:rPr>
                <w:rFonts w:ascii="宋体" w:hAnsi="宋体"/>
              </w:rPr>
              <w:t>2222</w:t>
            </w:r>
          </w:p>
        </w:tc>
        <w:tc>
          <w:tcPr>
            <w:tcW w:w="417" w:type="pct"/>
            <w:vAlign w:val="center"/>
          </w:tcPr>
          <w:p w14:paraId="0AFFAA41">
            <w:pPr>
              <w:pStyle w:val="12"/>
              <w:jc w:val="center"/>
              <w:rPr>
                <w:rFonts w:ascii="宋体" w:hAnsi="宋体"/>
              </w:rPr>
            </w:pPr>
            <w:r>
              <w:rPr>
                <w:rFonts w:ascii="宋体" w:hAnsi="宋体"/>
              </w:rPr>
              <w:t>1556</w:t>
            </w:r>
          </w:p>
        </w:tc>
        <w:tc>
          <w:tcPr>
            <w:tcW w:w="417" w:type="pct"/>
            <w:vAlign w:val="center"/>
          </w:tcPr>
          <w:p w14:paraId="4010C921">
            <w:pPr>
              <w:pStyle w:val="12"/>
              <w:jc w:val="center"/>
              <w:rPr>
                <w:rFonts w:ascii="宋体" w:hAnsi="宋体"/>
              </w:rPr>
            </w:pPr>
            <w:r>
              <w:rPr>
                <w:rFonts w:ascii="宋体" w:hAnsi="宋体"/>
              </w:rPr>
              <w:t>10939</w:t>
            </w:r>
          </w:p>
        </w:tc>
        <w:tc>
          <w:tcPr>
            <w:tcW w:w="417" w:type="pct"/>
            <w:vAlign w:val="center"/>
          </w:tcPr>
          <w:p w14:paraId="1C54968D">
            <w:pPr>
              <w:pStyle w:val="12"/>
              <w:jc w:val="center"/>
              <w:rPr>
                <w:rFonts w:ascii="宋体" w:hAnsi="宋体"/>
              </w:rPr>
            </w:pPr>
            <w:r>
              <w:rPr>
                <w:rFonts w:ascii="宋体" w:hAnsi="宋体"/>
              </w:rPr>
              <w:t>16.42</w:t>
            </w:r>
          </w:p>
        </w:tc>
        <w:tc>
          <w:tcPr>
            <w:tcW w:w="417" w:type="pct"/>
            <w:vAlign w:val="center"/>
          </w:tcPr>
          <w:p w14:paraId="50BF3570">
            <w:pPr>
              <w:pStyle w:val="12"/>
              <w:jc w:val="center"/>
              <w:rPr>
                <w:rFonts w:ascii="宋体" w:hAnsi="宋体"/>
              </w:rPr>
            </w:pPr>
            <w:r>
              <w:rPr>
                <w:rFonts w:ascii="宋体" w:hAnsi="宋体"/>
              </w:rPr>
              <w:t>1997</w:t>
            </w:r>
          </w:p>
        </w:tc>
        <w:tc>
          <w:tcPr>
            <w:tcW w:w="417" w:type="pct"/>
            <w:vAlign w:val="center"/>
          </w:tcPr>
          <w:p w14:paraId="56BAFBEB">
            <w:pPr>
              <w:pStyle w:val="12"/>
              <w:jc w:val="center"/>
              <w:rPr>
                <w:rFonts w:ascii="宋体" w:hAnsi="宋体"/>
              </w:rPr>
            </w:pPr>
            <w:r>
              <w:rPr>
                <w:rFonts w:ascii="宋体" w:hAnsi="宋体"/>
              </w:rPr>
              <w:t>—</w:t>
            </w:r>
          </w:p>
        </w:tc>
        <w:tc>
          <w:tcPr>
            <w:tcW w:w="417" w:type="pct"/>
            <w:vAlign w:val="center"/>
          </w:tcPr>
          <w:p w14:paraId="07B51633">
            <w:pPr>
              <w:pStyle w:val="12"/>
              <w:jc w:val="center"/>
              <w:rPr>
                <w:rFonts w:ascii="宋体" w:hAnsi="宋体"/>
              </w:rPr>
            </w:pPr>
            <w:r>
              <w:rPr>
                <w:rFonts w:ascii="宋体" w:hAnsi="宋体"/>
              </w:rPr>
              <w:t>—</w:t>
            </w:r>
          </w:p>
        </w:tc>
        <w:tc>
          <w:tcPr>
            <w:tcW w:w="417" w:type="pct"/>
            <w:vAlign w:val="center"/>
          </w:tcPr>
          <w:p w14:paraId="4BE1F3C8">
            <w:pPr>
              <w:pStyle w:val="12"/>
              <w:jc w:val="center"/>
              <w:rPr>
                <w:rFonts w:ascii="宋体" w:hAnsi="宋体"/>
              </w:rPr>
            </w:pPr>
            <w:r>
              <w:rPr>
                <w:rFonts w:ascii="宋体" w:hAnsi="宋体"/>
              </w:rPr>
              <w:t>3628</w:t>
            </w:r>
          </w:p>
        </w:tc>
        <w:tc>
          <w:tcPr>
            <w:tcW w:w="417" w:type="pct"/>
            <w:vAlign w:val="center"/>
          </w:tcPr>
          <w:p w14:paraId="0A1BF97F">
            <w:pPr>
              <w:pStyle w:val="12"/>
              <w:jc w:val="center"/>
              <w:rPr>
                <w:rFonts w:ascii="宋体" w:hAnsi="宋体"/>
              </w:rPr>
            </w:pPr>
            <w:r>
              <w:rPr>
                <w:rFonts w:ascii="宋体" w:hAnsi="宋体"/>
              </w:rPr>
              <w:t>24412</w:t>
            </w:r>
          </w:p>
        </w:tc>
        <w:tc>
          <w:tcPr>
            <w:tcW w:w="417" w:type="pct"/>
            <w:vAlign w:val="center"/>
          </w:tcPr>
          <w:p w14:paraId="107D79A6">
            <w:pPr>
              <w:pStyle w:val="12"/>
              <w:jc w:val="center"/>
              <w:rPr>
                <w:rFonts w:ascii="宋体" w:hAnsi="宋体"/>
              </w:rPr>
            </w:pPr>
            <w:r>
              <w:rPr>
                <w:rFonts w:ascii="宋体" w:hAnsi="宋体"/>
              </w:rPr>
              <w:t>16.69</w:t>
            </w:r>
          </w:p>
        </w:tc>
      </w:tr>
      <w:tr w14:paraId="438CA9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6" w:type="pct"/>
            <w:vAlign w:val="center"/>
          </w:tcPr>
          <w:p w14:paraId="36BCC7D3">
            <w:pPr>
              <w:pStyle w:val="12"/>
              <w:jc w:val="center"/>
              <w:rPr>
                <w:rFonts w:ascii="宋体" w:hAnsi="宋体"/>
              </w:rPr>
            </w:pPr>
            <w:r>
              <w:rPr>
                <w:rFonts w:ascii="宋体" w:hAnsi="宋体"/>
              </w:rPr>
              <w:t>1984</w:t>
            </w:r>
          </w:p>
        </w:tc>
        <w:tc>
          <w:tcPr>
            <w:tcW w:w="416" w:type="pct"/>
            <w:vAlign w:val="center"/>
          </w:tcPr>
          <w:p w14:paraId="7F0745DA">
            <w:pPr>
              <w:pStyle w:val="12"/>
              <w:jc w:val="center"/>
              <w:rPr>
                <w:rFonts w:ascii="宋体" w:hAnsi="宋体"/>
              </w:rPr>
            </w:pPr>
            <w:r>
              <w:rPr>
                <w:rFonts w:ascii="宋体" w:hAnsi="宋体"/>
              </w:rPr>
              <w:t>57</w:t>
            </w:r>
          </w:p>
        </w:tc>
        <w:tc>
          <w:tcPr>
            <w:tcW w:w="417" w:type="pct"/>
            <w:vAlign w:val="center"/>
          </w:tcPr>
          <w:p w14:paraId="2A53A21E">
            <w:pPr>
              <w:pStyle w:val="12"/>
              <w:jc w:val="center"/>
              <w:rPr>
                <w:rFonts w:ascii="宋体" w:hAnsi="宋体"/>
              </w:rPr>
            </w:pPr>
            <w:r>
              <w:rPr>
                <w:rFonts w:ascii="宋体" w:hAnsi="宋体"/>
              </w:rPr>
              <w:t>1534</w:t>
            </w:r>
          </w:p>
        </w:tc>
        <w:tc>
          <w:tcPr>
            <w:tcW w:w="417" w:type="pct"/>
            <w:vAlign w:val="center"/>
          </w:tcPr>
          <w:p w14:paraId="0B782E52">
            <w:pPr>
              <w:pStyle w:val="12"/>
              <w:jc w:val="center"/>
              <w:rPr>
                <w:rFonts w:ascii="宋体" w:hAnsi="宋体"/>
              </w:rPr>
            </w:pPr>
            <w:r>
              <w:rPr>
                <w:rFonts w:ascii="宋体" w:hAnsi="宋体"/>
              </w:rPr>
              <w:t>1422</w:t>
            </w:r>
          </w:p>
        </w:tc>
        <w:tc>
          <w:tcPr>
            <w:tcW w:w="417" w:type="pct"/>
            <w:vAlign w:val="center"/>
          </w:tcPr>
          <w:p w14:paraId="59772307">
            <w:pPr>
              <w:pStyle w:val="12"/>
              <w:jc w:val="center"/>
              <w:rPr>
                <w:rFonts w:ascii="宋体" w:hAnsi="宋体"/>
              </w:rPr>
            </w:pPr>
            <w:r>
              <w:rPr>
                <w:rFonts w:ascii="宋体" w:hAnsi="宋体"/>
              </w:rPr>
              <w:t>9796</w:t>
            </w:r>
          </w:p>
        </w:tc>
        <w:tc>
          <w:tcPr>
            <w:tcW w:w="417" w:type="pct"/>
            <w:vAlign w:val="center"/>
          </w:tcPr>
          <w:p w14:paraId="182FECE5">
            <w:pPr>
              <w:pStyle w:val="12"/>
              <w:jc w:val="center"/>
              <w:rPr>
                <w:rFonts w:ascii="宋体" w:hAnsi="宋体"/>
              </w:rPr>
            </w:pPr>
            <w:r>
              <w:rPr>
                <w:rFonts w:ascii="宋体" w:hAnsi="宋体"/>
              </w:rPr>
              <w:t>14.45</w:t>
            </w:r>
          </w:p>
        </w:tc>
        <w:tc>
          <w:tcPr>
            <w:tcW w:w="417" w:type="pct"/>
            <w:vAlign w:val="center"/>
          </w:tcPr>
          <w:p w14:paraId="79DE5E01">
            <w:pPr>
              <w:pStyle w:val="12"/>
              <w:jc w:val="center"/>
              <w:rPr>
                <w:rFonts w:ascii="宋体" w:hAnsi="宋体"/>
              </w:rPr>
            </w:pPr>
            <w:r>
              <w:rPr>
                <w:rFonts w:ascii="宋体" w:hAnsi="宋体"/>
              </w:rPr>
              <w:t>1998</w:t>
            </w:r>
          </w:p>
        </w:tc>
        <w:tc>
          <w:tcPr>
            <w:tcW w:w="417" w:type="pct"/>
            <w:vAlign w:val="center"/>
          </w:tcPr>
          <w:p w14:paraId="030ADFA5">
            <w:pPr>
              <w:pStyle w:val="12"/>
              <w:jc w:val="center"/>
              <w:rPr>
                <w:rFonts w:ascii="宋体" w:hAnsi="宋体"/>
              </w:rPr>
            </w:pPr>
            <w:r>
              <w:rPr>
                <w:rFonts w:ascii="宋体" w:hAnsi="宋体"/>
              </w:rPr>
              <w:t>—</w:t>
            </w:r>
          </w:p>
        </w:tc>
        <w:tc>
          <w:tcPr>
            <w:tcW w:w="417" w:type="pct"/>
            <w:vAlign w:val="center"/>
          </w:tcPr>
          <w:p w14:paraId="5C6EB71E">
            <w:pPr>
              <w:pStyle w:val="12"/>
              <w:jc w:val="center"/>
              <w:rPr>
                <w:rFonts w:ascii="宋体" w:hAnsi="宋体"/>
              </w:rPr>
            </w:pPr>
            <w:r>
              <w:rPr>
                <w:rFonts w:ascii="宋体" w:hAnsi="宋体"/>
              </w:rPr>
              <w:t>—</w:t>
            </w:r>
          </w:p>
        </w:tc>
        <w:tc>
          <w:tcPr>
            <w:tcW w:w="417" w:type="pct"/>
            <w:vAlign w:val="center"/>
          </w:tcPr>
          <w:p w14:paraId="0CC1AA25">
            <w:pPr>
              <w:pStyle w:val="12"/>
              <w:jc w:val="center"/>
              <w:rPr>
                <w:rFonts w:ascii="宋体" w:hAnsi="宋体"/>
              </w:rPr>
            </w:pPr>
            <w:r>
              <w:rPr>
                <w:rFonts w:ascii="宋体" w:hAnsi="宋体"/>
              </w:rPr>
              <w:t>4211</w:t>
            </w:r>
          </w:p>
        </w:tc>
        <w:tc>
          <w:tcPr>
            <w:tcW w:w="417" w:type="pct"/>
            <w:vAlign w:val="center"/>
          </w:tcPr>
          <w:p w14:paraId="77CDA991">
            <w:pPr>
              <w:pStyle w:val="12"/>
              <w:jc w:val="center"/>
              <w:rPr>
                <w:rFonts w:ascii="宋体" w:hAnsi="宋体"/>
              </w:rPr>
            </w:pPr>
            <w:r>
              <w:rPr>
                <w:rFonts w:ascii="宋体" w:hAnsi="宋体"/>
              </w:rPr>
              <w:t>28209</w:t>
            </w:r>
          </w:p>
        </w:tc>
        <w:tc>
          <w:tcPr>
            <w:tcW w:w="417" w:type="pct"/>
            <w:vAlign w:val="center"/>
          </w:tcPr>
          <w:p w14:paraId="0C3CC34F">
            <w:pPr>
              <w:pStyle w:val="12"/>
              <w:jc w:val="center"/>
              <w:rPr>
                <w:rFonts w:ascii="宋体" w:hAnsi="宋体"/>
              </w:rPr>
            </w:pPr>
            <w:r>
              <w:rPr>
                <w:rFonts w:ascii="宋体" w:hAnsi="宋体"/>
              </w:rPr>
              <w:t>16.74</w:t>
            </w:r>
          </w:p>
        </w:tc>
      </w:tr>
      <w:tr w14:paraId="752DF7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6" w:type="pct"/>
            <w:vAlign w:val="center"/>
          </w:tcPr>
          <w:p w14:paraId="73074C6B">
            <w:pPr>
              <w:pStyle w:val="12"/>
              <w:jc w:val="center"/>
              <w:rPr>
                <w:rFonts w:ascii="宋体" w:hAnsi="宋体"/>
              </w:rPr>
            </w:pPr>
            <w:r>
              <w:rPr>
                <w:rFonts w:ascii="宋体" w:hAnsi="宋体"/>
              </w:rPr>
              <w:t>1985</w:t>
            </w:r>
          </w:p>
        </w:tc>
        <w:tc>
          <w:tcPr>
            <w:tcW w:w="416" w:type="pct"/>
            <w:vAlign w:val="center"/>
          </w:tcPr>
          <w:p w14:paraId="52024A77">
            <w:pPr>
              <w:pStyle w:val="12"/>
              <w:jc w:val="center"/>
              <w:rPr>
                <w:rFonts w:ascii="宋体" w:hAnsi="宋体"/>
              </w:rPr>
            </w:pPr>
            <w:r>
              <w:rPr>
                <w:rFonts w:ascii="宋体" w:hAnsi="宋体"/>
              </w:rPr>
              <w:t>31</w:t>
            </w:r>
          </w:p>
        </w:tc>
        <w:tc>
          <w:tcPr>
            <w:tcW w:w="417" w:type="pct"/>
            <w:vAlign w:val="center"/>
          </w:tcPr>
          <w:p w14:paraId="472CF0B6">
            <w:pPr>
              <w:pStyle w:val="12"/>
              <w:jc w:val="center"/>
              <w:rPr>
                <w:rFonts w:ascii="宋体" w:hAnsi="宋体"/>
              </w:rPr>
            </w:pPr>
            <w:r>
              <w:rPr>
                <w:rFonts w:ascii="宋体" w:hAnsi="宋体"/>
              </w:rPr>
              <w:t>837</w:t>
            </w:r>
          </w:p>
        </w:tc>
        <w:tc>
          <w:tcPr>
            <w:tcW w:w="417" w:type="pct"/>
            <w:vAlign w:val="center"/>
          </w:tcPr>
          <w:p w14:paraId="582CD0A2">
            <w:pPr>
              <w:pStyle w:val="12"/>
              <w:jc w:val="center"/>
              <w:rPr>
                <w:rFonts w:ascii="宋体" w:hAnsi="宋体"/>
              </w:rPr>
            </w:pPr>
            <w:r>
              <w:rPr>
                <w:rFonts w:ascii="宋体" w:hAnsi="宋体"/>
              </w:rPr>
              <w:t>1254</w:t>
            </w:r>
          </w:p>
        </w:tc>
        <w:tc>
          <w:tcPr>
            <w:tcW w:w="417" w:type="pct"/>
            <w:vAlign w:val="center"/>
          </w:tcPr>
          <w:p w14:paraId="28EE9C9B">
            <w:pPr>
              <w:pStyle w:val="12"/>
              <w:jc w:val="center"/>
              <w:rPr>
                <w:rFonts w:ascii="宋体" w:hAnsi="宋体"/>
              </w:rPr>
            </w:pPr>
            <w:r>
              <w:rPr>
                <w:rFonts w:ascii="宋体" w:hAnsi="宋体"/>
              </w:rPr>
              <w:t>8530</w:t>
            </w:r>
          </w:p>
        </w:tc>
        <w:tc>
          <w:tcPr>
            <w:tcW w:w="417" w:type="pct"/>
            <w:vAlign w:val="center"/>
          </w:tcPr>
          <w:p w14:paraId="651FAC0C">
            <w:pPr>
              <w:pStyle w:val="12"/>
              <w:jc w:val="center"/>
              <w:rPr>
                <w:rFonts w:ascii="宋体" w:hAnsi="宋体"/>
              </w:rPr>
            </w:pPr>
            <w:r>
              <w:rPr>
                <w:rFonts w:ascii="宋体" w:hAnsi="宋体"/>
              </w:rPr>
              <w:t>11.82</w:t>
            </w:r>
          </w:p>
        </w:tc>
        <w:tc>
          <w:tcPr>
            <w:tcW w:w="417" w:type="pct"/>
            <w:vAlign w:val="center"/>
          </w:tcPr>
          <w:p w14:paraId="5E6600AD">
            <w:pPr>
              <w:pStyle w:val="12"/>
              <w:jc w:val="center"/>
              <w:rPr>
                <w:rFonts w:ascii="宋体" w:hAnsi="宋体"/>
              </w:rPr>
            </w:pPr>
            <w:r>
              <w:rPr>
                <w:rFonts w:ascii="宋体" w:hAnsi="宋体"/>
              </w:rPr>
              <w:t>1999</w:t>
            </w:r>
          </w:p>
        </w:tc>
        <w:tc>
          <w:tcPr>
            <w:tcW w:w="417" w:type="pct"/>
            <w:vAlign w:val="center"/>
          </w:tcPr>
          <w:p w14:paraId="32CE6349">
            <w:pPr>
              <w:pStyle w:val="12"/>
              <w:jc w:val="center"/>
              <w:rPr>
                <w:rFonts w:ascii="宋体" w:hAnsi="宋体"/>
              </w:rPr>
            </w:pPr>
            <w:r>
              <w:rPr>
                <w:rFonts w:ascii="宋体" w:hAnsi="宋体"/>
              </w:rPr>
              <w:t>—</w:t>
            </w:r>
          </w:p>
        </w:tc>
        <w:tc>
          <w:tcPr>
            <w:tcW w:w="417" w:type="pct"/>
            <w:vAlign w:val="center"/>
          </w:tcPr>
          <w:p w14:paraId="14E13E41">
            <w:pPr>
              <w:pStyle w:val="12"/>
              <w:jc w:val="center"/>
              <w:rPr>
                <w:rFonts w:ascii="宋体" w:hAnsi="宋体"/>
              </w:rPr>
            </w:pPr>
            <w:r>
              <w:rPr>
                <w:rFonts w:ascii="宋体" w:hAnsi="宋体"/>
              </w:rPr>
              <w:t>—</w:t>
            </w:r>
          </w:p>
        </w:tc>
        <w:tc>
          <w:tcPr>
            <w:tcW w:w="417" w:type="pct"/>
            <w:vAlign w:val="center"/>
          </w:tcPr>
          <w:p w14:paraId="2AF9B6E1">
            <w:pPr>
              <w:pStyle w:val="12"/>
              <w:jc w:val="center"/>
              <w:rPr>
                <w:rFonts w:ascii="宋体" w:hAnsi="宋体"/>
              </w:rPr>
            </w:pPr>
            <w:r>
              <w:rPr>
                <w:rFonts w:ascii="宋体" w:hAnsi="宋体"/>
              </w:rPr>
              <w:t>4753</w:t>
            </w:r>
          </w:p>
        </w:tc>
        <w:tc>
          <w:tcPr>
            <w:tcW w:w="417" w:type="pct"/>
            <w:vAlign w:val="center"/>
          </w:tcPr>
          <w:p w14:paraId="392F4A86">
            <w:pPr>
              <w:pStyle w:val="12"/>
              <w:jc w:val="center"/>
              <w:rPr>
                <w:rFonts w:ascii="宋体" w:hAnsi="宋体"/>
              </w:rPr>
            </w:pPr>
            <w:r>
              <w:rPr>
                <w:rFonts w:ascii="宋体" w:hAnsi="宋体"/>
              </w:rPr>
              <w:t>30595</w:t>
            </w:r>
          </w:p>
        </w:tc>
        <w:tc>
          <w:tcPr>
            <w:tcW w:w="417" w:type="pct"/>
            <w:vAlign w:val="center"/>
          </w:tcPr>
          <w:p w14:paraId="666161AC">
            <w:pPr>
              <w:pStyle w:val="12"/>
              <w:jc w:val="center"/>
              <w:rPr>
                <w:rFonts w:ascii="宋体" w:hAnsi="宋体"/>
              </w:rPr>
            </w:pPr>
            <w:r>
              <w:rPr>
                <w:rFonts w:ascii="宋体" w:hAnsi="宋体"/>
              </w:rPr>
              <w:t>17.16</w:t>
            </w:r>
          </w:p>
        </w:tc>
      </w:tr>
      <w:tr w14:paraId="5749C8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6" w:type="pct"/>
            <w:vAlign w:val="center"/>
          </w:tcPr>
          <w:p w14:paraId="466C89C3">
            <w:pPr>
              <w:pStyle w:val="12"/>
              <w:jc w:val="center"/>
              <w:rPr>
                <w:rFonts w:ascii="宋体" w:hAnsi="宋体"/>
              </w:rPr>
            </w:pPr>
            <w:r>
              <w:rPr>
                <w:rFonts w:ascii="宋体" w:hAnsi="宋体"/>
              </w:rPr>
              <w:t>1986</w:t>
            </w:r>
          </w:p>
        </w:tc>
        <w:tc>
          <w:tcPr>
            <w:tcW w:w="416" w:type="pct"/>
            <w:vAlign w:val="center"/>
          </w:tcPr>
          <w:p w14:paraId="3AA8037F">
            <w:pPr>
              <w:pStyle w:val="12"/>
              <w:jc w:val="center"/>
              <w:rPr>
                <w:rFonts w:ascii="宋体" w:hAnsi="宋体"/>
              </w:rPr>
            </w:pPr>
            <w:r>
              <w:rPr>
                <w:rFonts w:ascii="宋体" w:hAnsi="宋体"/>
              </w:rPr>
              <w:t>35</w:t>
            </w:r>
          </w:p>
        </w:tc>
        <w:tc>
          <w:tcPr>
            <w:tcW w:w="417" w:type="pct"/>
            <w:vAlign w:val="center"/>
          </w:tcPr>
          <w:p w14:paraId="0244A66F">
            <w:pPr>
              <w:pStyle w:val="12"/>
              <w:jc w:val="center"/>
              <w:rPr>
                <w:rFonts w:ascii="宋体" w:hAnsi="宋体"/>
              </w:rPr>
            </w:pPr>
            <w:r>
              <w:rPr>
                <w:rFonts w:ascii="宋体" w:hAnsi="宋体"/>
              </w:rPr>
              <w:t>894</w:t>
            </w:r>
          </w:p>
        </w:tc>
        <w:tc>
          <w:tcPr>
            <w:tcW w:w="417" w:type="pct"/>
            <w:vAlign w:val="center"/>
          </w:tcPr>
          <w:p w14:paraId="221394E2">
            <w:pPr>
              <w:pStyle w:val="12"/>
              <w:jc w:val="center"/>
              <w:rPr>
                <w:rFonts w:ascii="宋体" w:hAnsi="宋体"/>
              </w:rPr>
            </w:pPr>
            <w:r>
              <w:rPr>
                <w:rFonts w:ascii="宋体" w:hAnsi="宋体"/>
              </w:rPr>
              <w:t>1382</w:t>
            </w:r>
          </w:p>
        </w:tc>
        <w:tc>
          <w:tcPr>
            <w:tcW w:w="417" w:type="pct"/>
            <w:vAlign w:val="center"/>
          </w:tcPr>
          <w:p w14:paraId="4C7EBE83">
            <w:pPr>
              <w:pStyle w:val="12"/>
              <w:jc w:val="center"/>
              <w:rPr>
                <w:rFonts w:ascii="宋体" w:hAnsi="宋体"/>
              </w:rPr>
            </w:pPr>
            <w:r>
              <w:rPr>
                <w:rFonts w:ascii="宋体" w:hAnsi="宋体"/>
              </w:rPr>
              <w:t>9298</w:t>
            </w:r>
          </w:p>
        </w:tc>
        <w:tc>
          <w:tcPr>
            <w:tcW w:w="417" w:type="pct"/>
            <w:vAlign w:val="center"/>
          </w:tcPr>
          <w:p w14:paraId="7A0B0923">
            <w:pPr>
              <w:pStyle w:val="12"/>
              <w:jc w:val="center"/>
              <w:rPr>
                <w:rFonts w:ascii="宋体" w:hAnsi="宋体"/>
              </w:rPr>
            </w:pPr>
            <w:r>
              <w:rPr>
                <w:rFonts w:ascii="宋体" w:hAnsi="宋体"/>
              </w:rPr>
              <w:t>13.53</w:t>
            </w:r>
          </w:p>
        </w:tc>
        <w:tc>
          <w:tcPr>
            <w:tcW w:w="417" w:type="pct"/>
            <w:vAlign w:val="center"/>
          </w:tcPr>
          <w:p w14:paraId="5D1D3E34">
            <w:pPr>
              <w:pStyle w:val="12"/>
              <w:jc w:val="center"/>
              <w:rPr>
                <w:rFonts w:ascii="宋体" w:hAnsi="宋体"/>
              </w:rPr>
            </w:pPr>
            <w:r>
              <w:rPr>
                <w:rFonts w:ascii="宋体" w:hAnsi="宋体"/>
              </w:rPr>
              <w:t>2000</w:t>
            </w:r>
          </w:p>
        </w:tc>
        <w:tc>
          <w:tcPr>
            <w:tcW w:w="417" w:type="pct"/>
            <w:vAlign w:val="center"/>
          </w:tcPr>
          <w:p w14:paraId="4E4AE726">
            <w:pPr>
              <w:pStyle w:val="12"/>
              <w:jc w:val="center"/>
              <w:rPr>
                <w:rFonts w:ascii="宋体" w:hAnsi="宋体"/>
              </w:rPr>
            </w:pPr>
            <w:r>
              <w:rPr>
                <w:rFonts w:ascii="宋体" w:hAnsi="宋体"/>
              </w:rPr>
              <w:t>—</w:t>
            </w:r>
          </w:p>
        </w:tc>
        <w:tc>
          <w:tcPr>
            <w:tcW w:w="417" w:type="pct"/>
            <w:vAlign w:val="center"/>
          </w:tcPr>
          <w:p w14:paraId="42798D84">
            <w:pPr>
              <w:pStyle w:val="12"/>
              <w:jc w:val="center"/>
              <w:rPr>
                <w:rFonts w:ascii="宋体" w:hAnsi="宋体"/>
              </w:rPr>
            </w:pPr>
            <w:r>
              <w:rPr>
                <w:rFonts w:ascii="宋体" w:hAnsi="宋体"/>
              </w:rPr>
              <w:t>—</w:t>
            </w:r>
          </w:p>
        </w:tc>
        <w:tc>
          <w:tcPr>
            <w:tcW w:w="417" w:type="pct"/>
            <w:vAlign w:val="center"/>
          </w:tcPr>
          <w:p w14:paraId="5F196096">
            <w:pPr>
              <w:pStyle w:val="12"/>
              <w:jc w:val="center"/>
              <w:rPr>
                <w:rFonts w:ascii="宋体" w:hAnsi="宋体"/>
              </w:rPr>
            </w:pPr>
            <w:r>
              <w:rPr>
                <w:rFonts w:ascii="宋体" w:hAnsi="宋体"/>
              </w:rPr>
              <w:t>4597</w:t>
            </w:r>
          </w:p>
        </w:tc>
        <w:tc>
          <w:tcPr>
            <w:tcW w:w="417" w:type="pct"/>
            <w:vAlign w:val="center"/>
          </w:tcPr>
          <w:p w14:paraId="716E1369">
            <w:pPr>
              <w:pStyle w:val="12"/>
              <w:jc w:val="center"/>
              <w:rPr>
                <w:rFonts w:ascii="宋体" w:hAnsi="宋体"/>
              </w:rPr>
            </w:pPr>
            <w:r>
              <w:rPr>
                <w:rFonts w:ascii="宋体" w:hAnsi="宋体"/>
              </w:rPr>
              <w:t>29299</w:t>
            </w:r>
          </w:p>
        </w:tc>
        <w:tc>
          <w:tcPr>
            <w:tcW w:w="417" w:type="pct"/>
            <w:vAlign w:val="center"/>
          </w:tcPr>
          <w:p w14:paraId="58DD271A">
            <w:pPr>
              <w:pStyle w:val="12"/>
              <w:jc w:val="center"/>
              <w:rPr>
                <w:rFonts w:ascii="宋体" w:hAnsi="宋体"/>
              </w:rPr>
            </w:pPr>
            <w:r>
              <w:rPr>
                <w:rFonts w:ascii="宋体" w:hAnsi="宋体"/>
              </w:rPr>
              <w:t>15.34</w:t>
            </w:r>
          </w:p>
        </w:tc>
      </w:tr>
      <w:tr w14:paraId="6C8E26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6" w:type="pct"/>
            <w:vAlign w:val="center"/>
          </w:tcPr>
          <w:p w14:paraId="395C197D">
            <w:pPr>
              <w:pStyle w:val="12"/>
              <w:jc w:val="center"/>
              <w:rPr>
                <w:rFonts w:ascii="宋体" w:hAnsi="宋体"/>
              </w:rPr>
            </w:pPr>
            <w:r>
              <w:rPr>
                <w:rFonts w:ascii="宋体" w:hAnsi="宋体"/>
              </w:rPr>
              <w:t>1987</w:t>
            </w:r>
          </w:p>
        </w:tc>
        <w:tc>
          <w:tcPr>
            <w:tcW w:w="416" w:type="pct"/>
            <w:vAlign w:val="center"/>
          </w:tcPr>
          <w:p w14:paraId="5579812D">
            <w:pPr>
              <w:pStyle w:val="12"/>
              <w:jc w:val="center"/>
              <w:rPr>
                <w:rFonts w:ascii="宋体" w:hAnsi="宋体"/>
              </w:rPr>
            </w:pPr>
            <w:r>
              <w:rPr>
                <w:rFonts w:ascii="宋体" w:hAnsi="宋体"/>
              </w:rPr>
              <w:t>46</w:t>
            </w:r>
          </w:p>
        </w:tc>
        <w:tc>
          <w:tcPr>
            <w:tcW w:w="417" w:type="pct"/>
            <w:vAlign w:val="center"/>
          </w:tcPr>
          <w:p w14:paraId="30F8F311">
            <w:pPr>
              <w:pStyle w:val="12"/>
              <w:jc w:val="center"/>
              <w:rPr>
                <w:rFonts w:ascii="宋体" w:hAnsi="宋体"/>
              </w:rPr>
            </w:pPr>
            <w:r>
              <w:rPr>
                <w:rFonts w:ascii="宋体" w:hAnsi="宋体"/>
              </w:rPr>
              <w:t>1160</w:t>
            </w:r>
          </w:p>
        </w:tc>
        <w:tc>
          <w:tcPr>
            <w:tcW w:w="417" w:type="pct"/>
            <w:vAlign w:val="center"/>
          </w:tcPr>
          <w:p w14:paraId="4E718136">
            <w:pPr>
              <w:pStyle w:val="12"/>
              <w:jc w:val="center"/>
              <w:rPr>
                <w:rFonts w:ascii="宋体" w:hAnsi="宋体"/>
              </w:rPr>
            </w:pPr>
            <w:r>
              <w:rPr>
                <w:rFonts w:ascii="宋体" w:hAnsi="宋体"/>
              </w:rPr>
              <w:t>1616</w:t>
            </w:r>
          </w:p>
        </w:tc>
        <w:tc>
          <w:tcPr>
            <w:tcW w:w="417" w:type="pct"/>
            <w:vAlign w:val="center"/>
          </w:tcPr>
          <w:p w14:paraId="53732F57">
            <w:pPr>
              <w:pStyle w:val="12"/>
              <w:jc w:val="center"/>
              <w:rPr>
                <w:rFonts w:ascii="宋体" w:hAnsi="宋体"/>
              </w:rPr>
            </w:pPr>
            <w:r>
              <w:rPr>
                <w:rFonts w:ascii="宋体" w:hAnsi="宋体"/>
              </w:rPr>
              <w:t>10792</w:t>
            </w:r>
          </w:p>
        </w:tc>
        <w:tc>
          <w:tcPr>
            <w:tcW w:w="417" w:type="pct"/>
            <w:vAlign w:val="center"/>
          </w:tcPr>
          <w:p w14:paraId="231FD6C9">
            <w:pPr>
              <w:pStyle w:val="12"/>
              <w:jc w:val="center"/>
              <w:rPr>
                <w:rFonts w:ascii="宋体" w:hAnsi="宋体"/>
              </w:rPr>
            </w:pPr>
            <w:r>
              <w:rPr>
                <w:rFonts w:ascii="宋体" w:hAnsi="宋体"/>
              </w:rPr>
              <w:t>16.05</w:t>
            </w:r>
          </w:p>
        </w:tc>
        <w:tc>
          <w:tcPr>
            <w:tcW w:w="417" w:type="pct"/>
            <w:vAlign w:val="center"/>
          </w:tcPr>
          <w:p w14:paraId="016FE88C">
            <w:pPr>
              <w:pStyle w:val="12"/>
              <w:jc w:val="center"/>
              <w:rPr>
                <w:rFonts w:ascii="宋体" w:hAnsi="宋体"/>
              </w:rPr>
            </w:pPr>
            <w:r>
              <w:rPr>
                <w:rFonts w:ascii="宋体" w:hAnsi="宋体"/>
              </w:rPr>
              <w:t>2001</w:t>
            </w:r>
          </w:p>
        </w:tc>
        <w:tc>
          <w:tcPr>
            <w:tcW w:w="417" w:type="pct"/>
            <w:vAlign w:val="center"/>
          </w:tcPr>
          <w:p w14:paraId="0E41AA44">
            <w:pPr>
              <w:pStyle w:val="12"/>
              <w:jc w:val="center"/>
              <w:rPr>
                <w:rFonts w:ascii="宋体" w:hAnsi="宋体"/>
              </w:rPr>
            </w:pPr>
            <w:r>
              <w:rPr>
                <w:rFonts w:ascii="宋体" w:hAnsi="宋体"/>
              </w:rPr>
              <w:t>6</w:t>
            </w:r>
          </w:p>
        </w:tc>
        <w:tc>
          <w:tcPr>
            <w:tcW w:w="417" w:type="pct"/>
            <w:vAlign w:val="center"/>
          </w:tcPr>
          <w:p w14:paraId="4FE7D928">
            <w:pPr>
              <w:pStyle w:val="12"/>
              <w:jc w:val="center"/>
              <w:rPr>
                <w:rFonts w:ascii="宋体" w:hAnsi="宋体"/>
              </w:rPr>
            </w:pPr>
            <w:r>
              <w:rPr>
                <w:rFonts w:ascii="宋体" w:hAnsi="宋体"/>
              </w:rPr>
              <w:t>123</w:t>
            </w:r>
          </w:p>
        </w:tc>
        <w:tc>
          <w:tcPr>
            <w:tcW w:w="417" w:type="pct"/>
            <w:vAlign w:val="center"/>
          </w:tcPr>
          <w:p w14:paraId="23193207">
            <w:pPr>
              <w:pStyle w:val="12"/>
              <w:jc w:val="center"/>
              <w:rPr>
                <w:rFonts w:ascii="宋体" w:hAnsi="宋体"/>
              </w:rPr>
            </w:pPr>
            <w:r>
              <w:rPr>
                <w:rFonts w:ascii="宋体" w:hAnsi="宋体"/>
              </w:rPr>
              <w:t>4832</w:t>
            </w:r>
          </w:p>
        </w:tc>
        <w:tc>
          <w:tcPr>
            <w:tcW w:w="417" w:type="pct"/>
            <w:vAlign w:val="center"/>
          </w:tcPr>
          <w:p w14:paraId="76852D0F">
            <w:pPr>
              <w:pStyle w:val="12"/>
              <w:jc w:val="center"/>
              <w:rPr>
                <w:rFonts w:ascii="宋体" w:hAnsi="宋体"/>
              </w:rPr>
            </w:pPr>
            <w:r>
              <w:rPr>
                <w:rFonts w:ascii="宋体" w:hAnsi="宋体"/>
              </w:rPr>
              <w:t>30011</w:t>
            </w:r>
          </w:p>
        </w:tc>
        <w:tc>
          <w:tcPr>
            <w:tcW w:w="417" w:type="pct"/>
            <w:vAlign w:val="center"/>
          </w:tcPr>
          <w:p w14:paraId="34663F7F">
            <w:pPr>
              <w:pStyle w:val="12"/>
              <w:jc w:val="center"/>
              <w:rPr>
                <w:rFonts w:ascii="宋体" w:hAnsi="宋体"/>
              </w:rPr>
            </w:pPr>
            <w:r>
              <w:rPr>
                <w:rFonts w:ascii="宋体" w:hAnsi="宋体"/>
              </w:rPr>
              <w:t>14.10</w:t>
            </w:r>
          </w:p>
        </w:tc>
      </w:tr>
      <w:tr w14:paraId="2EC858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6" w:type="pct"/>
            <w:vAlign w:val="center"/>
          </w:tcPr>
          <w:p w14:paraId="3C411210">
            <w:pPr>
              <w:pStyle w:val="12"/>
              <w:jc w:val="center"/>
              <w:rPr>
                <w:rFonts w:ascii="宋体" w:hAnsi="宋体"/>
              </w:rPr>
            </w:pPr>
            <w:r>
              <w:rPr>
                <w:rFonts w:ascii="宋体" w:hAnsi="宋体"/>
              </w:rPr>
              <w:t>1988</w:t>
            </w:r>
          </w:p>
        </w:tc>
        <w:tc>
          <w:tcPr>
            <w:tcW w:w="416" w:type="pct"/>
            <w:vAlign w:val="center"/>
          </w:tcPr>
          <w:p w14:paraId="74269ACD">
            <w:pPr>
              <w:pStyle w:val="12"/>
              <w:jc w:val="center"/>
              <w:rPr>
                <w:rFonts w:ascii="宋体" w:hAnsi="宋体"/>
              </w:rPr>
            </w:pPr>
            <w:r>
              <w:rPr>
                <w:rFonts w:ascii="宋体" w:hAnsi="宋体"/>
              </w:rPr>
              <w:t>29</w:t>
            </w:r>
          </w:p>
        </w:tc>
        <w:tc>
          <w:tcPr>
            <w:tcW w:w="417" w:type="pct"/>
            <w:vAlign w:val="center"/>
          </w:tcPr>
          <w:p w14:paraId="1155A6F6">
            <w:pPr>
              <w:pStyle w:val="12"/>
              <w:jc w:val="center"/>
              <w:rPr>
                <w:rFonts w:ascii="宋体" w:hAnsi="宋体"/>
              </w:rPr>
            </w:pPr>
            <w:r>
              <w:rPr>
                <w:rFonts w:ascii="宋体" w:hAnsi="宋体"/>
              </w:rPr>
              <w:t>695</w:t>
            </w:r>
          </w:p>
        </w:tc>
        <w:tc>
          <w:tcPr>
            <w:tcW w:w="417" w:type="pct"/>
            <w:vAlign w:val="center"/>
          </w:tcPr>
          <w:p w14:paraId="53C9E490">
            <w:pPr>
              <w:pStyle w:val="12"/>
              <w:jc w:val="center"/>
              <w:rPr>
                <w:rFonts w:ascii="宋体" w:hAnsi="宋体"/>
              </w:rPr>
            </w:pPr>
            <w:r>
              <w:rPr>
                <w:rFonts w:ascii="宋体" w:hAnsi="宋体"/>
              </w:rPr>
              <w:t>1775</w:t>
            </w:r>
          </w:p>
        </w:tc>
        <w:tc>
          <w:tcPr>
            <w:tcW w:w="417" w:type="pct"/>
            <w:vAlign w:val="center"/>
          </w:tcPr>
          <w:p w14:paraId="32D88BAB">
            <w:pPr>
              <w:pStyle w:val="12"/>
              <w:jc w:val="center"/>
              <w:rPr>
                <w:rFonts w:ascii="宋体" w:hAnsi="宋体"/>
              </w:rPr>
            </w:pPr>
            <w:r>
              <w:rPr>
                <w:rFonts w:ascii="宋体" w:hAnsi="宋体"/>
              </w:rPr>
              <w:t>11798</w:t>
            </w:r>
          </w:p>
        </w:tc>
        <w:tc>
          <w:tcPr>
            <w:tcW w:w="417" w:type="pct"/>
            <w:vAlign w:val="center"/>
          </w:tcPr>
          <w:p w14:paraId="149DA40C">
            <w:pPr>
              <w:pStyle w:val="12"/>
              <w:jc w:val="center"/>
              <w:rPr>
                <w:rFonts w:ascii="宋体" w:hAnsi="宋体"/>
              </w:rPr>
            </w:pPr>
            <w:r>
              <w:rPr>
                <w:rFonts w:ascii="宋体" w:hAnsi="宋体"/>
              </w:rPr>
              <w:t>19.07</w:t>
            </w:r>
          </w:p>
        </w:tc>
        <w:tc>
          <w:tcPr>
            <w:tcW w:w="417" w:type="pct"/>
            <w:vAlign w:val="center"/>
          </w:tcPr>
          <w:p w14:paraId="352FD5CF">
            <w:pPr>
              <w:pStyle w:val="12"/>
              <w:jc w:val="center"/>
              <w:rPr>
                <w:rFonts w:ascii="宋体" w:hAnsi="宋体"/>
              </w:rPr>
            </w:pPr>
            <w:r>
              <w:rPr>
                <w:rFonts w:ascii="宋体" w:hAnsi="宋体"/>
              </w:rPr>
              <w:t>2002</w:t>
            </w:r>
          </w:p>
        </w:tc>
        <w:tc>
          <w:tcPr>
            <w:tcW w:w="417" w:type="pct"/>
            <w:vAlign w:val="center"/>
          </w:tcPr>
          <w:p w14:paraId="2F14DFF0">
            <w:pPr>
              <w:pStyle w:val="12"/>
              <w:jc w:val="center"/>
              <w:rPr>
                <w:rFonts w:ascii="宋体" w:hAnsi="宋体"/>
              </w:rPr>
            </w:pPr>
            <w:r>
              <w:rPr>
                <w:rFonts w:ascii="宋体" w:hAnsi="宋体"/>
              </w:rPr>
              <w:t>6</w:t>
            </w:r>
          </w:p>
        </w:tc>
        <w:tc>
          <w:tcPr>
            <w:tcW w:w="417" w:type="pct"/>
            <w:vAlign w:val="center"/>
          </w:tcPr>
          <w:p w14:paraId="2006C2D4">
            <w:pPr>
              <w:pStyle w:val="12"/>
              <w:jc w:val="center"/>
              <w:rPr>
                <w:rFonts w:ascii="宋体" w:hAnsi="宋体"/>
              </w:rPr>
            </w:pPr>
            <w:r>
              <w:rPr>
                <w:rFonts w:ascii="宋体" w:hAnsi="宋体"/>
              </w:rPr>
              <w:t>123</w:t>
            </w:r>
          </w:p>
        </w:tc>
        <w:tc>
          <w:tcPr>
            <w:tcW w:w="417" w:type="pct"/>
            <w:vAlign w:val="center"/>
          </w:tcPr>
          <w:p w14:paraId="133E7E02">
            <w:pPr>
              <w:pStyle w:val="12"/>
              <w:jc w:val="center"/>
              <w:rPr>
                <w:rFonts w:ascii="宋体" w:hAnsi="宋体"/>
              </w:rPr>
            </w:pPr>
            <w:r>
              <w:rPr>
                <w:rFonts w:ascii="宋体" w:hAnsi="宋体"/>
              </w:rPr>
              <w:t>5725</w:t>
            </w:r>
          </w:p>
        </w:tc>
        <w:tc>
          <w:tcPr>
            <w:tcW w:w="417" w:type="pct"/>
            <w:vAlign w:val="center"/>
          </w:tcPr>
          <w:p w14:paraId="781058E0">
            <w:pPr>
              <w:pStyle w:val="12"/>
              <w:jc w:val="center"/>
              <w:rPr>
                <w:rFonts w:ascii="宋体" w:hAnsi="宋体"/>
              </w:rPr>
            </w:pPr>
            <w:r>
              <w:rPr>
                <w:rFonts w:ascii="宋体" w:hAnsi="宋体"/>
              </w:rPr>
              <w:t>33799</w:t>
            </w:r>
          </w:p>
        </w:tc>
        <w:tc>
          <w:tcPr>
            <w:tcW w:w="417" w:type="pct"/>
            <w:vAlign w:val="center"/>
          </w:tcPr>
          <w:p w14:paraId="713CBF1F">
            <w:pPr>
              <w:pStyle w:val="12"/>
              <w:jc w:val="center"/>
              <w:rPr>
                <w:rFonts w:ascii="宋体" w:hAnsi="宋体"/>
              </w:rPr>
            </w:pPr>
            <w:r>
              <w:rPr>
                <w:rFonts w:ascii="宋体" w:hAnsi="宋体"/>
              </w:rPr>
              <w:t>15.15</w:t>
            </w:r>
          </w:p>
        </w:tc>
      </w:tr>
      <w:tr w14:paraId="057350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6" w:type="pct"/>
            <w:vAlign w:val="center"/>
          </w:tcPr>
          <w:p w14:paraId="60BD3BF0">
            <w:pPr>
              <w:pStyle w:val="12"/>
              <w:jc w:val="center"/>
              <w:rPr>
                <w:rFonts w:ascii="宋体" w:hAnsi="宋体"/>
              </w:rPr>
            </w:pPr>
            <w:r>
              <w:rPr>
                <w:rFonts w:ascii="宋体" w:hAnsi="宋体"/>
              </w:rPr>
              <w:t>1989</w:t>
            </w:r>
          </w:p>
        </w:tc>
        <w:tc>
          <w:tcPr>
            <w:tcW w:w="416" w:type="pct"/>
            <w:vAlign w:val="center"/>
          </w:tcPr>
          <w:p w14:paraId="23F2A39E">
            <w:pPr>
              <w:pStyle w:val="12"/>
              <w:jc w:val="center"/>
              <w:rPr>
                <w:rFonts w:ascii="宋体" w:hAnsi="宋体"/>
              </w:rPr>
            </w:pPr>
            <w:r>
              <w:rPr>
                <w:rFonts w:ascii="宋体" w:hAnsi="宋体"/>
              </w:rPr>
              <w:t>11</w:t>
            </w:r>
          </w:p>
        </w:tc>
        <w:tc>
          <w:tcPr>
            <w:tcW w:w="417" w:type="pct"/>
            <w:vAlign w:val="center"/>
          </w:tcPr>
          <w:p w14:paraId="7A845747">
            <w:pPr>
              <w:pStyle w:val="12"/>
              <w:jc w:val="center"/>
              <w:rPr>
                <w:rFonts w:ascii="宋体" w:hAnsi="宋体"/>
              </w:rPr>
            </w:pPr>
            <w:r>
              <w:rPr>
                <w:rFonts w:ascii="宋体" w:hAnsi="宋体"/>
              </w:rPr>
              <w:t>240</w:t>
            </w:r>
          </w:p>
        </w:tc>
        <w:tc>
          <w:tcPr>
            <w:tcW w:w="417" w:type="pct"/>
            <w:vAlign w:val="center"/>
          </w:tcPr>
          <w:p w14:paraId="6DAF13C7">
            <w:pPr>
              <w:pStyle w:val="12"/>
              <w:jc w:val="center"/>
              <w:rPr>
                <w:rFonts w:ascii="宋体" w:hAnsi="宋体"/>
              </w:rPr>
            </w:pPr>
            <w:r>
              <w:rPr>
                <w:rFonts w:ascii="宋体" w:hAnsi="宋体"/>
              </w:rPr>
              <w:t>1851</w:t>
            </w:r>
          </w:p>
        </w:tc>
        <w:tc>
          <w:tcPr>
            <w:tcW w:w="417" w:type="pct"/>
            <w:vAlign w:val="center"/>
          </w:tcPr>
          <w:p w14:paraId="1B4FBE79">
            <w:pPr>
              <w:pStyle w:val="12"/>
              <w:jc w:val="center"/>
              <w:rPr>
                <w:rFonts w:ascii="宋体" w:hAnsi="宋体"/>
              </w:rPr>
            </w:pPr>
            <w:r>
              <w:rPr>
                <w:rFonts w:ascii="宋体" w:hAnsi="宋体"/>
              </w:rPr>
              <w:t>12416</w:t>
            </w:r>
          </w:p>
        </w:tc>
        <w:tc>
          <w:tcPr>
            <w:tcW w:w="417" w:type="pct"/>
            <w:vAlign w:val="center"/>
          </w:tcPr>
          <w:p w14:paraId="3E126DE6">
            <w:pPr>
              <w:pStyle w:val="12"/>
              <w:jc w:val="center"/>
              <w:rPr>
                <w:rFonts w:ascii="宋体" w:hAnsi="宋体"/>
              </w:rPr>
            </w:pPr>
            <w:r>
              <w:rPr>
                <w:rFonts w:ascii="宋体" w:hAnsi="宋体"/>
              </w:rPr>
              <w:t>18.01</w:t>
            </w:r>
          </w:p>
        </w:tc>
        <w:tc>
          <w:tcPr>
            <w:tcW w:w="417" w:type="pct"/>
            <w:vAlign w:val="center"/>
          </w:tcPr>
          <w:p w14:paraId="51BD33D1">
            <w:pPr>
              <w:pStyle w:val="12"/>
              <w:jc w:val="center"/>
              <w:rPr>
                <w:rFonts w:ascii="宋体" w:hAnsi="宋体"/>
              </w:rPr>
            </w:pPr>
            <w:r>
              <w:rPr>
                <w:rFonts w:ascii="宋体" w:hAnsi="宋体"/>
              </w:rPr>
              <w:t>2003</w:t>
            </w:r>
          </w:p>
        </w:tc>
        <w:tc>
          <w:tcPr>
            <w:tcW w:w="417" w:type="pct"/>
            <w:vAlign w:val="center"/>
          </w:tcPr>
          <w:p w14:paraId="0BAFDB26">
            <w:pPr>
              <w:pStyle w:val="12"/>
              <w:jc w:val="center"/>
              <w:rPr>
                <w:rFonts w:ascii="宋体" w:hAnsi="宋体"/>
              </w:rPr>
            </w:pPr>
            <w:r>
              <w:rPr>
                <w:rFonts w:ascii="宋体" w:hAnsi="宋体"/>
              </w:rPr>
              <w:t>6</w:t>
            </w:r>
          </w:p>
        </w:tc>
        <w:tc>
          <w:tcPr>
            <w:tcW w:w="417" w:type="pct"/>
            <w:vAlign w:val="center"/>
          </w:tcPr>
          <w:p w14:paraId="33281AB6">
            <w:pPr>
              <w:pStyle w:val="12"/>
              <w:jc w:val="center"/>
              <w:rPr>
                <w:rFonts w:ascii="宋体" w:hAnsi="宋体"/>
              </w:rPr>
            </w:pPr>
            <w:r>
              <w:rPr>
                <w:rFonts w:ascii="宋体" w:hAnsi="宋体"/>
              </w:rPr>
              <w:t>123</w:t>
            </w:r>
          </w:p>
        </w:tc>
        <w:tc>
          <w:tcPr>
            <w:tcW w:w="417" w:type="pct"/>
            <w:vAlign w:val="center"/>
          </w:tcPr>
          <w:p w14:paraId="24854E30">
            <w:pPr>
              <w:pStyle w:val="12"/>
              <w:jc w:val="center"/>
              <w:rPr>
                <w:rFonts w:ascii="宋体" w:hAnsi="宋体"/>
              </w:rPr>
            </w:pPr>
            <w:r>
              <w:rPr>
                <w:rFonts w:ascii="宋体" w:hAnsi="宋体"/>
              </w:rPr>
              <w:t>6853</w:t>
            </w:r>
          </w:p>
        </w:tc>
        <w:tc>
          <w:tcPr>
            <w:tcW w:w="417" w:type="pct"/>
            <w:vAlign w:val="center"/>
          </w:tcPr>
          <w:p w14:paraId="23AB47C0">
            <w:pPr>
              <w:pStyle w:val="12"/>
              <w:jc w:val="center"/>
              <w:rPr>
                <w:rFonts w:ascii="宋体" w:hAnsi="宋体"/>
              </w:rPr>
            </w:pPr>
            <w:r>
              <w:rPr>
                <w:rFonts w:ascii="宋体" w:hAnsi="宋体"/>
              </w:rPr>
              <w:t>40647</w:t>
            </w:r>
          </w:p>
        </w:tc>
        <w:tc>
          <w:tcPr>
            <w:tcW w:w="417" w:type="pct"/>
            <w:vAlign w:val="center"/>
          </w:tcPr>
          <w:p w14:paraId="53073880">
            <w:pPr>
              <w:pStyle w:val="12"/>
              <w:jc w:val="center"/>
              <w:rPr>
                <w:rFonts w:ascii="宋体" w:hAnsi="宋体"/>
              </w:rPr>
            </w:pPr>
            <w:r>
              <w:rPr>
                <w:rFonts w:ascii="宋体" w:hAnsi="宋体"/>
              </w:rPr>
              <w:t>15.66</w:t>
            </w:r>
          </w:p>
        </w:tc>
      </w:tr>
      <w:tr w14:paraId="67D61F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6" w:type="pct"/>
            <w:vAlign w:val="center"/>
          </w:tcPr>
          <w:p w14:paraId="4520C7F5">
            <w:pPr>
              <w:pStyle w:val="12"/>
              <w:jc w:val="center"/>
              <w:rPr>
                <w:rFonts w:ascii="宋体" w:hAnsi="宋体"/>
              </w:rPr>
            </w:pPr>
            <w:r>
              <w:rPr>
                <w:rFonts w:ascii="宋体" w:hAnsi="宋体"/>
              </w:rPr>
              <w:t>1990</w:t>
            </w:r>
          </w:p>
        </w:tc>
        <w:tc>
          <w:tcPr>
            <w:tcW w:w="416" w:type="pct"/>
            <w:vAlign w:val="center"/>
          </w:tcPr>
          <w:p w14:paraId="3FDF4FC6">
            <w:pPr>
              <w:pStyle w:val="12"/>
              <w:jc w:val="center"/>
              <w:rPr>
                <w:rFonts w:ascii="宋体" w:hAnsi="宋体"/>
              </w:rPr>
            </w:pPr>
            <w:r>
              <w:rPr>
                <w:rFonts w:ascii="宋体" w:hAnsi="宋体"/>
              </w:rPr>
              <w:t>6</w:t>
            </w:r>
          </w:p>
        </w:tc>
        <w:tc>
          <w:tcPr>
            <w:tcW w:w="417" w:type="pct"/>
            <w:vAlign w:val="center"/>
          </w:tcPr>
          <w:p w14:paraId="7A6C1A22">
            <w:pPr>
              <w:pStyle w:val="12"/>
              <w:jc w:val="center"/>
              <w:rPr>
                <w:rFonts w:ascii="宋体" w:hAnsi="宋体"/>
              </w:rPr>
            </w:pPr>
            <w:r>
              <w:rPr>
                <w:rFonts w:ascii="宋体" w:hAnsi="宋体"/>
              </w:rPr>
              <w:t>206</w:t>
            </w:r>
          </w:p>
        </w:tc>
        <w:tc>
          <w:tcPr>
            <w:tcW w:w="417" w:type="pct"/>
            <w:vAlign w:val="center"/>
          </w:tcPr>
          <w:p w14:paraId="280C6225">
            <w:pPr>
              <w:pStyle w:val="12"/>
              <w:jc w:val="center"/>
              <w:rPr>
                <w:rFonts w:ascii="宋体" w:hAnsi="宋体"/>
              </w:rPr>
            </w:pPr>
            <w:r>
              <w:rPr>
                <w:rFonts w:ascii="宋体" w:hAnsi="宋体"/>
              </w:rPr>
              <w:t>1747</w:t>
            </w:r>
          </w:p>
        </w:tc>
        <w:tc>
          <w:tcPr>
            <w:tcW w:w="417" w:type="pct"/>
            <w:vAlign w:val="center"/>
          </w:tcPr>
          <w:p w14:paraId="2DE5B460">
            <w:pPr>
              <w:pStyle w:val="12"/>
              <w:jc w:val="center"/>
              <w:rPr>
                <w:rFonts w:ascii="宋体" w:hAnsi="宋体"/>
              </w:rPr>
            </w:pPr>
            <w:r>
              <w:rPr>
                <w:rFonts w:ascii="宋体" w:hAnsi="宋体"/>
              </w:rPr>
              <w:t>11593</w:t>
            </w:r>
          </w:p>
        </w:tc>
        <w:tc>
          <w:tcPr>
            <w:tcW w:w="417" w:type="pct"/>
            <w:vAlign w:val="center"/>
          </w:tcPr>
          <w:p w14:paraId="0033E864">
            <w:pPr>
              <w:pStyle w:val="12"/>
              <w:jc w:val="center"/>
              <w:rPr>
                <w:rFonts w:ascii="宋体" w:hAnsi="宋体"/>
              </w:rPr>
            </w:pPr>
            <w:r>
              <w:rPr>
                <w:rFonts w:ascii="宋体" w:hAnsi="宋体"/>
              </w:rPr>
              <w:t>16.57</w:t>
            </w:r>
          </w:p>
        </w:tc>
        <w:tc>
          <w:tcPr>
            <w:tcW w:w="417" w:type="pct"/>
            <w:vAlign w:val="center"/>
          </w:tcPr>
          <w:p w14:paraId="56C7EAD8">
            <w:pPr>
              <w:pStyle w:val="12"/>
              <w:jc w:val="center"/>
              <w:rPr>
                <w:rFonts w:ascii="宋体" w:hAnsi="宋体"/>
              </w:rPr>
            </w:pPr>
            <w:r>
              <w:rPr>
                <w:rFonts w:ascii="宋体" w:hAnsi="宋体"/>
              </w:rPr>
              <w:t>2004</w:t>
            </w:r>
          </w:p>
        </w:tc>
        <w:tc>
          <w:tcPr>
            <w:tcW w:w="417" w:type="pct"/>
            <w:vAlign w:val="center"/>
          </w:tcPr>
          <w:p w14:paraId="5314660A">
            <w:pPr>
              <w:pStyle w:val="12"/>
              <w:jc w:val="center"/>
              <w:rPr>
                <w:rFonts w:ascii="宋体" w:hAnsi="宋体"/>
              </w:rPr>
            </w:pPr>
            <w:r>
              <w:rPr>
                <w:rFonts w:ascii="宋体" w:hAnsi="宋体"/>
              </w:rPr>
              <w:t>6</w:t>
            </w:r>
          </w:p>
        </w:tc>
        <w:tc>
          <w:tcPr>
            <w:tcW w:w="417" w:type="pct"/>
            <w:vAlign w:val="center"/>
          </w:tcPr>
          <w:p w14:paraId="748EE60B">
            <w:pPr>
              <w:pStyle w:val="12"/>
              <w:jc w:val="center"/>
              <w:rPr>
                <w:rFonts w:ascii="宋体" w:hAnsi="宋体"/>
              </w:rPr>
            </w:pPr>
            <w:r>
              <w:rPr>
                <w:rFonts w:ascii="宋体" w:hAnsi="宋体"/>
              </w:rPr>
              <w:t>123</w:t>
            </w:r>
          </w:p>
        </w:tc>
        <w:tc>
          <w:tcPr>
            <w:tcW w:w="417" w:type="pct"/>
            <w:vAlign w:val="center"/>
          </w:tcPr>
          <w:p w14:paraId="489E736D">
            <w:pPr>
              <w:pStyle w:val="12"/>
              <w:jc w:val="center"/>
              <w:rPr>
                <w:rFonts w:ascii="宋体" w:hAnsi="宋体"/>
              </w:rPr>
            </w:pPr>
            <w:r>
              <w:rPr>
                <w:rFonts w:ascii="宋体" w:hAnsi="宋体"/>
              </w:rPr>
              <w:t>7629</w:t>
            </w:r>
          </w:p>
        </w:tc>
        <w:tc>
          <w:tcPr>
            <w:tcW w:w="417" w:type="pct"/>
            <w:vAlign w:val="center"/>
          </w:tcPr>
          <w:p w14:paraId="4D11FC51">
            <w:pPr>
              <w:pStyle w:val="12"/>
              <w:jc w:val="center"/>
              <w:rPr>
                <w:rFonts w:ascii="宋体" w:hAnsi="宋体"/>
              </w:rPr>
            </w:pPr>
            <w:r>
              <w:rPr>
                <w:rFonts w:ascii="宋体" w:hAnsi="宋体"/>
              </w:rPr>
              <w:t>42884</w:t>
            </w:r>
          </w:p>
        </w:tc>
        <w:tc>
          <w:tcPr>
            <w:tcW w:w="417" w:type="pct"/>
            <w:vAlign w:val="center"/>
          </w:tcPr>
          <w:p w14:paraId="7A652617">
            <w:pPr>
              <w:pStyle w:val="12"/>
              <w:jc w:val="center"/>
              <w:rPr>
                <w:rFonts w:ascii="宋体" w:hAnsi="宋体"/>
              </w:rPr>
            </w:pPr>
            <w:r>
              <w:rPr>
                <w:rFonts w:ascii="宋体" w:hAnsi="宋体"/>
              </w:rPr>
              <w:t>16.43</w:t>
            </w:r>
          </w:p>
        </w:tc>
      </w:tr>
      <w:tr w14:paraId="0CEA17E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6" w:type="pct"/>
            <w:vAlign w:val="center"/>
          </w:tcPr>
          <w:p w14:paraId="5B110A25">
            <w:pPr>
              <w:pStyle w:val="12"/>
              <w:jc w:val="center"/>
              <w:rPr>
                <w:rFonts w:ascii="宋体" w:hAnsi="宋体"/>
              </w:rPr>
            </w:pPr>
            <w:r>
              <w:rPr>
                <w:rFonts w:ascii="宋体" w:hAnsi="宋体"/>
              </w:rPr>
              <w:t>1991</w:t>
            </w:r>
          </w:p>
        </w:tc>
        <w:tc>
          <w:tcPr>
            <w:tcW w:w="416" w:type="pct"/>
            <w:vAlign w:val="center"/>
          </w:tcPr>
          <w:p w14:paraId="740A07BC">
            <w:pPr>
              <w:pStyle w:val="12"/>
              <w:jc w:val="center"/>
              <w:rPr>
                <w:rFonts w:ascii="宋体" w:hAnsi="宋体"/>
              </w:rPr>
            </w:pPr>
            <w:r>
              <w:rPr>
                <w:rFonts w:ascii="宋体" w:hAnsi="宋体"/>
              </w:rPr>
              <w:t>3</w:t>
            </w:r>
          </w:p>
        </w:tc>
        <w:tc>
          <w:tcPr>
            <w:tcW w:w="417" w:type="pct"/>
            <w:vAlign w:val="center"/>
          </w:tcPr>
          <w:p w14:paraId="7F8D42D7">
            <w:pPr>
              <w:pStyle w:val="12"/>
              <w:jc w:val="center"/>
              <w:rPr>
                <w:rFonts w:ascii="宋体" w:hAnsi="宋体"/>
              </w:rPr>
            </w:pPr>
            <w:r>
              <w:rPr>
                <w:rFonts w:ascii="宋体" w:hAnsi="宋体"/>
              </w:rPr>
              <w:t>69</w:t>
            </w:r>
          </w:p>
        </w:tc>
        <w:tc>
          <w:tcPr>
            <w:tcW w:w="417" w:type="pct"/>
            <w:vAlign w:val="center"/>
          </w:tcPr>
          <w:p w14:paraId="05AD2804">
            <w:pPr>
              <w:pStyle w:val="12"/>
              <w:jc w:val="center"/>
              <w:rPr>
                <w:rFonts w:ascii="宋体" w:hAnsi="宋体"/>
              </w:rPr>
            </w:pPr>
            <w:r>
              <w:rPr>
                <w:rFonts w:ascii="宋体" w:hAnsi="宋体"/>
              </w:rPr>
              <w:t>1894</w:t>
            </w:r>
          </w:p>
        </w:tc>
        <w:tc>
          <w:tcPr>
            <w:tcW w:w="417" w:type="pct"/>
            <w:vAlign w:val="center"/>
          </w:tcPr>
          <w:p w14:paraId="41AB3FD9">
            <w:pPr>
              <w:pStyle w:val="12"/>
              <w:jc w:val="center"/>
              <w:rPr>
                <w:rFonts w:ascii="宋体" w:hAnsi="宋体"/>
              </w:rPr>
            </w:pPr>
            <w:r>
              <w:rPr>
                <w:rFonts w:ascii="宋体" w:hAnsi="宋体"/>
              </w:rPr>
              <w:t>12090</w:t>
            </w:r>
          </w:p>
        </w:tc>
        <w:tc>
          <w:tcPr>
            <w:tcW w:w="417" w:type="pct"/>
            <w:vAlign w:val="center"/>
          </w:tcPr>
          <w:p w14:paraId="75CDB51D">
            <w:pPr>
              <w:pStyle w:val="12"/>
              <w:jc w:val="center"/>
              <w:rPr>
                <w:rFonts w:ascii="宋体" w:hAnsi="宋体"/>
              </w:rPr>
            </w:pPr>
            <w:r>
              <w:rPr>
                <w:rFonts w:ascii="宋体" w:hAnsi="宋体"/>
              </w:rPr>
              <w:t>17.09</w:t>
            </w:r>
          </w:p>
        </w:tc>
        <w:tc>
          <w:tcPr>
            <w:tcW w:w="417" w:type="pct"/>
            <w:vAlign w:val="center"/>
          </w:tcPr>
          <w:p w14:paraId="1420EF01">
            <w:pPr>
              <w:pStyle w:val="12"/>
              <w:jc w:val="center"/>
              <w:rPr>
                <w:rFonts w:ascii="宋体" w:hAnsi="宋体"/>
              </w:rPr>
            </w:pPr>
            <w:r>
              <w:rPr>
                <w:rFonts w:ascii="宋体" w:hAnsi="宋体"/>
              </w:rPr>
              <w:t>—</w:t>
            </w:r>
          </w:p>
        </w:tc>
        <w:tc>
          <w:tcPr>
            <w:tcW w:w="417" w:type="pct"/>
            <w:vAlign w:val="center"/>
          </w:tcPr>
          <w:p w14:paraId="0E59FC31">
            <w:pPr>
              <w:pStyle w:val="12"/>
              <w:jc w:val="center"/>
              <w:rPr>
                <w:rFonts w:ascii="宋体" w:hAnsi="宋体"/>
              </w:rPr>
            </w:pPr>
            <w:r>
              <w:rPr>
                <w:rFonts w:ascii="宋体" w:hAnsi="宋体"/>
              </w:rPr>
              <w:t>—</w:t>
            </w:r>
          </w:p>
        </w:tc>
        <w:tc>
          <w:tcPr>
            <w:tcW w:w="417" w:type="pct"/>
            <w:vAlign w:val="center"/>
          </w:tcPr>
          <w:p w14:paraId="3E71CDC2">
            <w:pPr>
              <w:pStyle w:val="12"/>
              <w:jc w:val="center"/>
              <w:rPr>
                <w:rFonts w:ascii="宋体" w:hAnsi="宋体"/>
              </w:rPr>
            </w:pPr>
            <w:r>
              <w:rPr>
                <w:rFonts w:ascii="宋体" w:hAnsi="宋体"/>
              </w:rPr>
              <w:t>—</w:t>
            </w:r>
          </w:p>
        </w:tc>
        <w:tc>
          <w:tcPr>
            <w:tcW w:w="417" w:type="pct"/>
            <w:vAlign w:val="center"/>
          </w:tcPr>
          <w:p w14:paraId="6512A17F">
            <w:pPr>
              <w:pStyle w:val="12"/>
              <w:jc w:val="center"/>
              <w:rPr>
                <w:rFonts w:ascii="宋体" w:hAnsi="宋体"/>
              </w:rPr>
            </w:pPr>
            <w:r>
              <w:rPr>
                <w:rFonts w:ascii="宋体" w:hAnsi="宋体"/>
              </w:rPr>
              <w:t>—</w:t>
            </w:r>
          </w:p>
        </w:tc>
        <w:tc>
          <w:tcPr>
            <w:tcW w:w="417" w:type="pct"/>
            <w:vAlign w:val="center"/>
          </w:tcPr>
          <w:p w14:paraId="0D3F9E95">
            <w:pPr>
              <w:pStyle w:val="12"/>
              <w:jc w:val="center"/>
              <w:rPr>
                <w:rFonts w:ascii="宋体" w:hAnsi="宋体"/>
              </w:rPr>
            </w:pPr>
            <w:r>
              <w:rPr>
                <w:rFonts w:ascii="宋体" w:hAnsi="宋体"/>
              </w:rPr>
              <w:t>—</w:t>
            </w:r>
          </w:p>
        </w:tc>
        <w:tc>
          <w:tcPr>
            <w:tcW w:w="417" w:type="pct"/>
            <w:vAlign w:val="center"/>
          </w:tcPr>
          <w:p w14:paraId="1DBA994D">
            <w:pPr>
              <w:pStyle w:val="12"/>
              <w:jc w:val="center"/>
              <w:rPr>
                <w:rFonts w:ascii="宋体" w:hAnsi="宋体"/>
              </w:rPr>
            </w:pPr>
            <w:r>
              <w:rPr>
                <w:rFonts w:ascii="宋体" w:hAnsi="宋体"/>
              </w:rPr>
              <w:t>—</w:t>
            </w:r>
          </w:p>
        </w:tc>
      </w:tr>
    </w:tbl>
    <w:p w14:paraId="7D433639">
      <w:pPr>
        <w:pStyle w:val="5"/>
        <w:rPr>
          <w:rFonts w:ascii="宋体" w:hAnsi="宋体"/>
        </w:rPr>
      </w:pPr>
      <w:r>
        <w:rPr>
          <w:rFonts w:hint="eastAsia" w:ascii="宋体" w:hAnsi="宋体"/>
        </w:rPr>
        <w:t>三、植保机械</w:t>
      </w:r>
    </w:p>
    <w:p w14:paraId="0DB8D6EF">
      <w:pPr>
        <w:ind w:firstLine="420"/>
        <w:rPr>
          <w:rFonts w:ascii="宋体" w:hAnsi="宋体"/>
          <w:szCs w:val="21"/>
        </w:rPr>
      </w:pPr>
      <w:r>
        <w:rPr>
          <w:rFonts w:ascii="宋体" w:hAnsi="宋体"/>
          <w:szCs w:val="21"/>
        </w:rPr>
        <w:t>1954年推广背负式圆筒形喷雾器和手摇喷粉器。后者因喷出的药粉飞扬大，不</w:t>
      </w:r>
      <w:r>
        <w:rPr>
          <w:rFonts w:hint="eastAsia" w:ascii="宋体" w:hAnsi="宋体"/>
          <w:szCs w:val="21"/>
        </w:rPr>
        <w:t>好控制，对人体和环境污染较大而停止使用。</w:t>
      </w:r>
      <w:r>
        <w:rPr>
          <w:rFonts w:ascii="宋体" w:hAnsi="宋体"/>
          <w:szCs w:val="21"/>
        </w:rPr>
        <w:t>1971年，黄坑、全安、古市等公社购</w:t>
      </w:r>
      <w:r>
        <w:rPr>
          <w:rFonts w:hint="eastAsia" w:ascii="宋体" w:hAnsi="宋体"/>
          <w:szCs w:val="21"/>
        </w:rPr>
        <w:t>进</w:t>
      </w:r>
      <w:r>
        <w:rPr>
          <w:rFonts w:ascii="宋体" w:hAnsi="宋体"/>
          <w:szCs w:val="21"/>
        </w:rPr>
        <w:t>10多台山东产的机动喷雾器，其优点是喷药距离远、效率高，缺点是汽油机结构</w:t>
      </w:r>
      <w:r>
        <w:rPr>
          <w:rFonts w:hint="eastAsia" w:ascii="宋体" w:hAnsi="宋体"/>
          <w:szCs w:val="21"/>
        </w:rPr>
        <w:t>简单，启动困难，易损坏，而停止推广。</w:t>
      </w:r>
      <w:r>
        <w:rPr>
          <w:rFonts w:ascii="宋体" w:hAnsi="宋体"/>
          <w:szCs w:val="21"/>
        </w:rPr>
        <w:t>2003年仍有7台在果场使用。此后推广扁</w:t>
      </w:r>
      <w:r>
        <w:rPr>
          <w:rFonts w:hint="eastAsia" w:ascii="宋体" w:hAnsi="宋体"/>
          <w:szCs w:val="21"/>
        </w:rPr>
        <w:t>筒形背负式喷雾器，因具备双背带，使用较舒适，零配件易更换，很快取代了圆筒形喷雾器，</w:t>
      </w:r>
      <w:r>
        <w:rPr>
          <w:rFonts w:ascii="宋体" w:hAnsi="宋体"/>
          <w:szCs w:val="21"/>
        </w:rPr>
        <w:t>2004年，保有量达47664个</w:t>
      </w:r>
      <w:r>
        <w:rPr>
          <w:rFonts w:hint="eastAsia" w:ascii="宋体" w:hAnsi="宋体"/>
          <w:szCs w:val="21"/>
        </w:rPr>
        <w:t>。</w:t>
      </w:r>
    </w:p>
    <w:p w14:paraId="4E41F455">
      <w:pPr>
        <w:ind w:firstLine="420"/>
        <w:rPr>
          <w:rFonts w:ascii="宋体" w:hAnsi="宋体"/>
          <w:szCs w:val="21"/>
        </w:rPr>
      </w:pPr>
      <w:r>
        <w:rPr>
          <w:rFonts w:ascii="宋体" w:hAnsi="宋体"/>
          <w:szCs w:val="21"/>
        </w:rPr>
        <w:t>1973年，县无线电元件厂生产的20</w:t>
      </w:r>
      <w:r>
        <w:rPr>
          <w:rFonts w:hint="eastAsia" w:ascii="宋体" w:hAnsi="宋体"/>
          <w:szCs w:val="21"/>
        </w:rPr>
        <w:t>—</w:t>
      </w:r>
      <w:r>
        <w:rPr>
          <w:rFonts w:ascii="宋体" w:hAnsi="宋体"/>
          <w:szCs w:val="21"/>
        </w:rPr>
        <w:t>1型黑光灯开始推广使用。利用害虫的趋</w:t>
      </w:r>
      <w:r>
        <w:rPr>
          <w:rFonts w:hint="eastAsia" w:ascii="宋体" w:hAnsi="宋体"/>
          <w:szCs w:val="21"/>
        </w:rPr>
        <w:t>光性，在晚上诱杀成虫。后来发现所诱杀成虫多数已产卵，对付三化螟虫效果不大而停止使用。</w:t>
      </w:r>
      <w:r>
        <w:rPr>
          <w:rFonts w:ascii="宋体" w:hAnsi="宋体"/>
          <w:szCs w:val="21"/>
        </w:rPr>
        <w:t>1976年以后，使用简便的塑料射水枪喷药杀虫。因结构简单，价格便宜，</w:t>
      </w:r>
      <w:r>
        <w:rPr>
          <w:rFonts w:hint="eastAsia" w:ascii="宋体" w:hAnsi="宋体"/>
          <w:szCs w:val="21"/>
        </w:rPr>
        <w:t>使用方便，至</w:t>
      </w:r>
      <w:r>
        <w:rPr>
          <w:rFonts w:ascii="宋体" w:hAnsi="宋体"/>
          <w:szCs w:val="21"/>
        </w:rPr>
        <w:t>1998年拥有52642个。近年，浙江黄岩生产的手提式喷雾器，容水量1</w:t>
      </w:r>
      <w:r>
        <w:rPr>
          <w:rFonts w:hint="eastAsia" w:ascii="宋体" w:hAnsi="宋体"/>
          <w:szCs w:val="21"/>
        </w:rPr>
        <w:t>升</w:t>
      </w:r>
      <w:r>
        <w:rPr>
          <w:rFonts w:ascii="宋体" w:hAnsi="宋体"/>
          <w:szCs w:val="21"/>
        </w:rPr>
        <w:t>～2升。顶部打气，单手使用，适用于花卉、蔬菜等小面积、小范围、近距离喷药</w:t>
      </w:r>
      <w:r>
        <w:rPr>
          <w:rFonts w:hint="eastAsia" w:ascii="宋体" w:hAnsi="宋体"/>
          <w:szCs w:val="21"/>
        </w:rPr>
        <w:t>杀虫。价格虽比射水枪贵</w:t>
      </w:r>
      <w:r>
        <w:rPr>
          <w:rFonts w:ascii="宋体" w:hAnsi="宋体"/>
          <w:szCs w:val="21"/>
        </w:rPr>
        <w:t>5倍，亦颇受欢迎。</w:t>
      </w:r>
    </w:p>
    <w:p w14:paraId="10F6D104">
      <w:pPr>
        <w:pStyle w:val="5"/>
        <w:rPr>
          <w:rFonts w:ascii="宋体" w:hAnsi="宋体"/>
        </w:rPr>
      </w:pPr>
      <w:r>
        <w:rPr>
          <w:rFonts w:hint="eastAsia" w:ascii="宋体" w:hAnsi="宋体"/>
        </w:rPr>
        <w:t>四、收获机械</w:t>
      </w:r>
    </w:p>
    <w:p w14:paraId="4A6EC1FE">
      <w:pPr>
        <w:ind w:firstLine="420"/>
        <w:rPr>
          <w:rFonts w:ascii="宋体" w:hAnsi="宋体"/>
          <w:szCs w:val="21"/>
        </w:rPr>
      </w:pPr>
      <w:r>
        <w:rPr>
          <w:rFonts w:hint="eastAsia" w:ascii="宋体" w:hAnsi="宋体"/>
          <w:szCs w:val="21"/>
        </w:rPr>
        <w:t>水稻收获机械，自</w:t>
      </w:r>
      <w:r>
        <w:rPr>
          <w:rFonts w:ascii="宋体" w:hAnsi="宋体"/>
          <w:szCs w:val="21"/>
        </w:rPr>
        <w:t>1956年试用脚踏脱粒机起，至1987年，共推广30328台，基</w:t>
      </w:r>
      <w:r>
        <w:rPr>
          <w:rFonts w:hint="eastAsia" w:ascii="宋体" w:hAnsi="宋体"/>
          <w:szCs w:val="21"/>
        </w:rPr>
        <w:t>本实现了水稻收获脱粒半机械化。但割禾仍沿用禾镰弯腰操作的传统方法。</w:t>
      </w:r>
      <w:r>
        <w:rPr>
          <w:rFonts w:ascii="宋体" w:hAnsi="宋体"/>
          <w:szCs w:val="21"/>
        </w:rPr>
        <w:t>1989年</w:t>
      </w:r>
      <w:r>
        <w:rPr>
          <w:rFonts w:hint="eastAsia" w:ascii="宋体" w:hAnsi="宋体"/>
          <w:szCs w:val="21"/>
        </w:rPr>
        <w:t>帽子峰乡农民自发引进吉林长白山兵器厂生产的手推式割禾器</w:t>
      </w:r>
      <w:r>
        <w:rPr>
          <w:rFonts w:ascii="宋体" w:hAnsi="宋体"/>
          <w:szCs w:val="21"/>
        </w:rPr>
        <w:t>107把，在晚稻收获时</w:t>
      </w:r>
      <w:r>
        <w:rPr>
          <w:rFonts w:hint="eastAsia" w:ascii="宋体" w:hAnsi="宋体"/>
          <w:szCs w:val="21"/>
        </w:rPr>
        <w:t>使用，效果较好。至</w:t>
      </w:r>
      <w:r>
        <w:rPr>
          <w:rFonts w:ascii="宋体" w:hAnsi="宋体"/>
          <w:szCs w:val="21"/>
        </w:rPr>
        <w:t>1991年全县共推广了1500余把，速度比传统禾镰快3倍，但需</w:t>
      </w:r>
      <w:r>
        <w:rPr>
          <w:rFonts w:hint="eastAsia" w:ascii="宋体" w:hAnsi="宋体"/>
          <w:szCs w:val="21"/>
        </w:rPr>
        <w:t>手力大的男士才能适应，后被自然淘汰。</w:t>
      </w:r>
    </w:p>
    <w:p w14:paraId="3A81DCF9">
      <w:pPr>
        <w:ind w:firstLine="420"/>
        <w:rPr>
          <w:rFonts w:ascii="宋体" w:hAnsi="宋体"/>
          <w:szCs w:val="21"/>
        </w:rPr>
      </w:pPr>
      <w:r>
        <w:rPr>
          <w:rFonts w:ascii="宋体" w:hAnsi="宋体"/>
          <w:szCs w:val="21"/>
        </w:rPr>
        <w:t>1971年至1973年，县农机部门购进1台工农</w:t>
      </w:r>
      <w:r>
        <w:rPr>
          <w:rFonts w:hint="eastAsia" w:ascii="宋体" w:hAnsi="宋体"/>
          <w:szCs w:val="21"/>
        </w:rPr>
        <w:t>—</w:t>
      </w:r>
      <w:r>
        <w:rPr>
          <w:rFonts w:ascii="宋体" w:hAnsi="宋体"/>
          <w:szCs w:val="21"/>
        </w:rPr>
        <w:t>10型联合收割机试用，每天可收</w:t>
      </w:r>
      <w:r>
        <w:rPr>
          <w:rFonts w:hint="eastAsia" w:ascii="宋体" w:hAnsi="宋体"/>
          <w:szCs w:val="21"/>
        </w:rPr>
        <w:t>获水稻</w:t>
      </w:r>
      <w:r>
        <w:rPr>
          <w:rFonts w:ascii="宋体" w:hAnsi="宋体"/>
          <w:szCs w:val="21"/>
        </w:rPr>
        <w:t>0.67公顷左右。但由于动力传递复杂，常出故障，价格较高，无法推广</w:t>
      </w:r>
      <w:r>
        <w:rPr>
          <w:rFonts w:hint="eastAsia" w:ascii="宋体" w:hAnsi="宋体"/>
          <w:szCs w:val="21"/>
        </w:rPr>
        <w:t>。</w:t>
      </w:r>
      <w:r>
        <w:rPr>
          <w:rFonts w:ascii="宋体" w:hAnsi="宋体"/>
          <w:szCs w:val="21"/>
        </w:rPr>
        <w:t>1976年县农机局从中山市农机四厂引进1台1.47千瓦汽油机为动力的脱粒机试用示</w:t>
      </w:r>
      <w:r>
        <w:rPr>
          <w:rFonts w:hint="eastAsia" w:ascii="宋体" w:hAnsi="宋体"/>
          <w:szCs w:val="21"/>
        </w:rPr>
        <w:t>范，农民普遍欢迎。后农机公司购进超轻型</w:t>
      </w:r>
      <w:r>
        <w:rPr>
          <w:rFonts w:ascii="宋体" w:hAnsi="宋体"/>
          <w:szCs w:val="21"/>
        </w:rPr>
        <w:t>1.47千瓦、2.2千瓦柴油机，稍为改造</w:t>
      </w:r>
      <w:r>
        <w:rPr>
          <w:rFonts w:hint="eastAsia" w:ascii="宋体" w:hAnsi="宋体"/>
          <w:szCs w:val="21"/>
        </w:rPr>
        <w:t>即可安装于脚踏脱粒机上进行脱粒，比之原试用示范机，投资更省，机体更轻，比之原脚踏机劳动强度大幅减轻，功效提高一倍以上；且柴油机更易操作，故障率低，故推广很快，至</w:t>
      </w:r>
      <w:r>
        <w:rPr>
          <w:rFonts w:ascii="宋体" w:hAnsi="宋体"/>
          <w:szCs w:val="21"/>
        </w:rPr>
        <w:t>2004年全市拥有装配0.73千瓦～2.2千瓦柴（汽）油机的水稻脱粒机24297台，动力60443千瓦。全机械化脱粒面积13740公顷，占水稻播种面积的45.7%。脚踏脱粒机仍存21214台</w:t>
      </w:r>
      <w:r>
        <w:rPr>
          <w:rFonts w:hint="eastAsia" w:ascii="宋体" w:hAnsi="宋体"/>
          <w:szCs w:val="21"/>
        </w:rPr>
        <w:t>。</w:t>
      </w:r>
    </w:p>
    <w:p w14:paraId="138114CA">
      <w:pPr>
        <w:ind w:firstLine="420"/>
        <w:rPr>
          <w:rFonts w:ascii="宋体" w:hAnsi="宋体"/>
          <w:szCs w:val="21"/>
        </w:rPr>
      </w:pPr>
      <w:r>
        <w:rPr>
          <w:rFonts w:ascii="宋体" w:hAnsi="宋体"/>
          <w:szCs w:val="21"/>
        </w:rPr>
        <w:t>1998年10月省农机局拨款2万元、南雄市政府</w:t>
      </w:r>
      <w:r>
        <w:rPr>
          <w:rFonts w:hint="eastAsia" w:ascii="宋体" w:hAnsi="宋体"/>
          <w:szCs w:val="21"/>
        </w:rPr>
        <w:t>拨</w:t>
      </w:r>
      <w:r>
        <w:rPr>
          <w:rFonts w:ascii="宋体" w:hAnsi="宋体"/>
          <w:szCs w:val="21"/>
        </w:rPr>
        <w:t>款1万元、市农机总公司自筹2.5万元，引进1台佛山金浪联合收割机公司生产的“珠江</w:t>
      </w:r>
      <w:r>
        <w:rPr>
          <w:rFonts w:hint="eastAsia" w:ascii="宋体" w:hAnsi="宋体"/>
          <w:szCs w:val="21"/>
        </w:rPr>
        <w:t>—</w:t>
      </w:r>
      <w:r>
        <w:rPr>
          <w:rFonts w:ascii="宋体" w:hAnsi="宋体"/>
          <w:szCs w:val="21"/>
        </w:rPr>
        <w:t>1.5B型”联合收割机，</w:t>
      </w:r>
      <w:r>
        <w:rPr>
          <w:rFonts w:hint="eastAsia" w:ascii="宋体" w:hAnsi="宋体"/>
          <w:szCs w:val="21"/>
        </w:rPr>
        <w:t>在古塘、郊区两地试用示范。认为该机马力强劲，性能稳定，脱粒干净，行走方便（橡胶履带），割幅</w:t>
      </w:r>
      <w:r>
        <w:rPr>
          <w:rFonts w:ascii="宋体" w:hAnsi="宋体"/>
          <w:szCs w:val="21"/>
        </w:rPr>
        <w:t>1.5米，每小时可收获水稻0.13公顷～0.27公顷，适应小平原作</w:t>
      </w:r>
      <w:r>
        <w:rPr>
          <w:rFonts w:hint="eastAsia" w:ascii="宋体" w:hAnsi="宋体"/>
          <w:szCs w:val="21"/>
        </w:rPr>
        <w:t>业。</w:t>
      </w:r>
      <w:r>
        <w:rPr>
          <w:rFonts w:ascii="宋体" w:hAnsi="宋体"/>
          <w:szCs w:val="21"/>
        </w:rPr>
        <w:t>1999年9月，雄州镇洋汾水村、珠玑镇塘东村2户农民自购该型机各1台，成为</w:t>
      </w:r>
      <w:r>
        <w:rPr>
          <w:rFonts w:hint="eastAsia" w:ascii="宋体" w:hAnsi="宋体"/>
          <w:szCs w:val="21"/>
        </w:rPr>
        <w:t>南雄市首批为农民代劳的农机专业户。</w:t>
      </w:r>
    </w:p>
    <w:p w14:paraId="730B448B">
      <w:pPr>
        <w:ind w:firstLine="420"/>
        <w:rPr>
          <w:rFonts w:ascii="宋体" w:hAnsi="宋体"/>
          <w:szCs w:val="21"/>
        </w:rPr>
      </w:pPr>
      <w:r>
        <w:rPr>
          <w:rFonts w:ascii="宋体" w:hAnsi="宋体"/>
          <w:szCs w:val="21"/>
        </w:rPr>
        <w:t>1998年10月末，市农机总公司引进韶关拖拉机二厂生产的</w:t>
      </w:r>
      <w:r>
        <w:rPr>
          <w:rFonts w:hint="eastAsia" w:ascii="宋体" w:hAnsi="宋体"/>
          <w:szCs w:val="21"/>
        </w:rPr>
        <w:t>“</w:t>
      </w:r>
      <w:r>
        <w:rPr>
          <w:rFonts w:ascii="宋体" w:hAnsi="宋体"/>
          <w:szCs w:val="21"/>
        </w:rPr>
        <w:t>丹霞</w:t>
      </w:r>
      <w:r>
        <w:rPr>
          <w:rFonts w:hint="eastAsia" w:ascii="宋体" w:hAnsi="宋体"/>
          <w:szCs w:val="21"/>
        </w:rPr>
        <w:t>—</w:t>
      </w:r>
      <w:r>
        <w:rPr>
          <w:rFonts w:ascii="宋体" w:hAnsi="宋体"/>
          <w:szCs w:val="21"/>
        </w:rPr>
        <w:t>90型</w:t>
      </w:r>
      <w:r>
        <w:rPr>
          <w:rFonts w:hint="eastAsia" w:ascii="宋体" w:hAnsi="宋体"/>
          <w:szCs w:val="21"/>
        </w:rPr>
        <w:t>”</w:t>
      </w:r>
      <w:r>
        <w:rPr>
          <w:rFonts w:ascii="宋体" w:hAnsi="宋体"/>
          <w:szCs w:val="21"/>
        </w:rPr>
        <w:t>联合</w:t>
      </w:r>
      <w:r>
        <w:rPr>
          <w:rFonts w:hint="eastAsia" w:ascii="宋体" w:hAnsi="宋体"/>
          <w:szCs w:val="21"/>
        </w:rPr>
        <w:t>收割机</w:t>
      </w:r>
      <w:r>
        <w:rPr>
          <w:rFonts w:ascii="宋体" w:hAnsi="宋体"/>
          <w:szCs w:val="21"/>
        </w:rPr>
        <w:t>2台，经试用鉴定，认为该机功率太小，传动装置不合理，常出故障，脱粒不</w:t>
      </w:r>
      <w:r>
        <w:rPr>
          <w:rFonts w:hint="eastAsia" w:ascii="宋体" w:hAnsi="宋体"/>
          <w:szCs w:val="21"/>
        </w:rPr>
        <w:t>干净，损失率达</w:t>
      </w:r>
      <w:r>
        <w:rPr>
          <w:rFonts w:ascii="宋体" w:hAnsi="宋体"/>
          <w:szCs w:val="21"/>
        </w:rPr>
        <w:t>6%～10%，二机均退回厂家改进，各换回1台</w:t>
      </w:r>
      <w:r>
        <w:rPr>
          <w:rFonts w:hint="eastAsia" w:ascii="宋体" w:hAnsi="宋体"/>
          <w:szCs w:val="21"/>
        </w:rPr>
        <w:t>“</w:t>
      </w:r>
      <w:r>
        <w:rPr>
          <w:rFonts w:ascii="宋体" w:hAnsi="宋体"/>
          <w:szCs w:val="21"/>
        </w:rPr>
        <w:t>丹霞</w:t>
      </w:r>
      <w:r>
        <w:rPr>
          <w:rFonts w:hint="eastAsia" w:ascii="宋体" w:hAnsi="宋体"/>
          <w:szCs w:val="21"/>
        </w:rPr>
        <w:t>—</w:t>
      </w:r>
      <w:r>
        <w:rPr>
          <w:rFonts w:ascii="宋体" w:hAnsi="宋体"/>
          <w:szCs w:val="21"/>
        </w:rPr>
        <w:t>110型</w:t>
      </w:r>
      <w:r>
        <w:rPr>
          <w:rFonts w:hint="eastAsia" w:ascii="宋体" w:hAnsi="宋体"/>
          <w:szCs w:val="21"/>
        </w:rPr>
        <w:t>”</w:t>
      </w:r>
      <w:r>
        <w:rPr>
          <w:rFonts w:ascii="宋体" w:hAnsi="宋体"/>
          <w:szCs w:val="21"/>
        </w:rPr>
        <w:t>联</w:t>
      </w:r>
      <w:r>
        <w:rPr>
          <w:rFonts w:hint="eastAsia" w:ascii="宋体" w:hAnsi="宋体"/>
          <w:szCs w:val="21"/>
        </w:rPr>
        <w:t>合收割机。经试用，表现良好，适应山区田块作业。</w:t>
      </w:r>
      <w:r>
        <w:rPr>
          <w:rFonts w:ascii="宋体" w:hAnsi="宋体"/>
          <w:szCs w:val="21"/>
        </w:rPr>
        <w:t>2000年开始，政府鼓励农民购</w:t>
      </w:r>
      <w:r>
        <w:rPr>
          <w:rFonts w:hint="eastAsia" w:ascii="宋体" w:hAnsi="宋体"/>
          <w:szCs w:val="21"/>
        </w:rPr>
        <w:t>买联合收割机，由省政府补贴</w:t>
      </w:r>
      <w:r>
        <w:rPr>
          <w:rFonts w:ascii="宋体" w:hAnsi="宋体"/>
          <w:szCs w:val="21"/>
        </w:rPr>
        <w:t>35%的价款。至2004年，全市共拥有联合收割机75</w:t>
      </w:r>
      <w:r>
        <w:rPr>
          <w:rFonts w:hint="eastAsia" w:ascii="宋体" w:hAnsi="宋体"/>
          <w:szCs w:val="21"/>
        </w:rPr>
        <w:t>台，收割水稻面积</w:t>
      </w:r>
      <w:r>
        <w:rPr>
          <w:rFonts w:ascii="宋体" w:hAnsi="宋体"/>
          <w:szCs w:val="21"/>
        </w:rPr>
        <w:t>1213.33公顷，占播种面积4%。</w:t>
      </w:r>
    </w:p>
    <w:p w14:paraId="0240A4FC">
      <w:pPr>
        <w:pStyle w:val="5"/>
        <w:rPr>
          <w:rFonts w:ascii="宋体" w:hAnsi="宋体"/>
        </w:rPr>
      </w:pPr>
      <w:r>
        <w:rPr>
          <w:rFonts w:hint="eastAsia" w:ascii="宋体" w:hAnsi="宋体"/>
        </w:rPr>
        <w:t>五、粮油饲料加工机械</w:t>
      </w:r>
    </w:p>
    <w:p w14:paraId="60D1FD95">
      <w:pPr>
        <w:ind w:firstLine="420"/>
        <w:rPr>
          <w:rFonts w:ascii="宋体" w:hAnsi="宋体"/>
          <w:szCs w:val="21"/>
        </w:rPr>
      </w:pPr>
      <w:r>
        <w:rPr>
          <w:rFonts w:ascii="宋体" w:hAnsi="宋体"/>
          <w:szCs w:val="21"/>
        </w:rPr>
        <w:t>1949年南雄县城有农工（位于青云西路）、利记（位于利民路）、同丰（位于爱</w:t>
      </w:r>
      <w:r>
        <w:rPr>
          <w:rFonts w:hint="eastAsia" w:ascii="宋体" w:hAnsi="宋体"/>
          <w:szCs w:val="21"/>
        </w:rPr>
        <w:t>民路）</w:t>
      </w:r>
      <w:r>
        <w:rPr>
          <w:rFonts w:ascii="宋体" w:hAnsi="宋体"/>
          <w:szCs w:val="21"/>
        </w:rPr>
        <w:t>3家私营米机厂。城郊农民可用稻谷换大米。广大农村仍用传统砻、碓（有水</w:t>
      </w:r>
      <w:r>
        <w:rPr>
          <w:rFonts w:hint="eastAsia" w:ascii="宋体" w:hAnsi="宋体"/>
          <w:szCs w:val="21"/>
        </w:rPr>
        <w:t>碓、脚踏碓、手槌碓）加工食米。</w:t>
      </w:r>
      <w:r>
        <w:rPr>
          <w:rFonts w:ascii="宋体" w:hAnsi="宋体"/>
          <w:szCs w:val="21"/>
        </w:rPr>
        <w:t>1963年公社、生产大队、生产队开始用碾米机加</w:t>
      </w:r>
      <w:r>
        <w:rPr>
          <w:rFonts w:hint="eastAsia" w:ascii="宋体" w:hAnsi="宋体"/>
          <w:szCs w:val="21"/>
        </w:rPr>
        <w:t>工稻米。</w:t>
      </w:r>
      <w:r>
        <w:rPr>
          <w:rFonts w:ascii="宋体" w:hAnsi="宋体"/>
          <w:szCs w:val="21"/>
        </w:rPr>
        <w:t>2004年全市农村有碾米机1479台，已基本满足农民加工稻米的需要。</w:t>
      </w:r>
    </w:p>
    <w:p w14:paraId="5F6FC5EB">
      <w:pPr>
        <w:ind w:firstLine="420"/>
        <w:rPr>
          <w:rFonts w:ascii="宋体" w:hAnsi="宋体"/>
          <w:szCs w:val="21"/>
        </w:rPr>
      </w:pPr>
      <w:r>
        <w:rPr>
          <w:rFonts w:hint="eastAsia" w:ascii="宋体" w:hAnsi="宋体"/>
          <w:szCs w:val="21"/>
        </w:rPr>
        <w:t>榨油机也是</w:t>
      </w:r>
      <w:r>
        <w:rPr>
          <w:rFonts w:ascii="宋体" w:hAnsi="宋体"/>
          <w:szCs w:val="21"/>
        </w:rPr>
        <w:t>1963年开始引进使用，之后逐渐取代老式木槽榨油。2004年全市拥</w:t>
      </w:r>
      <w:r>
        <w:rPr>
          <w:rFonts w:hint="eastAsia" w:ascii="宋体" w:hAnsi="宋体"/>
          <w:szCs w:val="21"/>
        </w:rPr>
        <w:t>有各种型号榨油机</w:t>
      </w:r>
      <w:r>
        <w:rPr>
          <w:rFonts w:ascii="宋体" w:hAnsi="宋体"/>
          <w:szCs w:val="21"/>
        </w:rPr>
        <w:t>687台</w:t>
      </w:r>
      <w:r>
        <w:rPr>
          <w:rFonts w:hint="eastAsia" w:ascii="宋体" w:hAnsi="宋体"/>
          <w:szCs w:val="21"/>
        </w:rPr>
        <w:t>。</w:t>
      </w:r>
    </w:p>
    <w:p w14:paraId="02A1CEAC">
      <w:pPr>
        <w:ind w:firstLine="420"/>
        <w:rPr>
          <w:rFonts w:ascii="宋体" w:hAnsi="宋体"/>
          <w:szCs w:val="21"/>
        </w:rPr>
      </w:pPr>
      <w:r>
        <w:rPr>
          <w:rFonts w:ascii="宋体" w:hAnsi="宋体"/>
          <w:szCs w:val="21"/>
        </w:rPr>
        <w:t>1964年开始推广干饲料粉碎机、青饲料打浆机、统糠机等畜牧业专用设备。2004年全市仍保有干饲料粉碎机461台、打浆机360台、统糠机488台</w:t>
      </w:r>
      <w:r>
        <w:rPr>
          <w:rFonts w:hint="eastAsia" w:ascii="宋体" w:hAnsi="宋体"/>
          <w:szCs w:val="21"/>
        </w:rPr>
        <w:t>。</w:t>
      </w:r>
    </w:p>
    <w:p w14:paraId="1A72EE63">
      <w:pPr>
        <w:pStyle w:val="5"/>
        <w:rPr>
          <w:rFonts w:ascii="宋体" w:hAnsi="宋体"/>
        </w:rPr>
      </w:pPr>
      <w:r>
        <w:rPr>
          <w:rFonts w:hint="eastAsia" w:ascii="宋体" w:hAnsi="宋体"/>
        </w:rPr>
        <w:t>六、农用运输机械</w:t>
      </w:r>
    </w:p>
    <w:p w14:paraId="6A655064">
      <w:pPr>
        <w:ind w:firstLine="420"/>
        <w:rPr>
          <w:rFonts w:ascii="宋体" w:hAnsi="宋体"/>
          <w:szCs w:val="21"/>
        </w:rPr>
      </w:pPr>
      <w:r>
        <w:rPr>
          <w:rFonts w:ascii="宋体" w:hAnsi="宋体"/>
          <w:szCs w:val="21"/>
        </w:rPr>
        <w:t>1960年起，推广双胶轮充气架子车，以取代传统鸡公车（独轮车），拖拉机农闲</w:t>
      </w:r>
      <w:r>
        <w:rPr>
          <w:rFonts w:hint="eastAsia" w:ascii="宋体" w:hAnsi="宋体"/>
          <w:szCs w:val="21"/>
        </w:rPr>
        <w:t>时的运输作业，又取代了牛拉双轮车。至</w:t>
      </w:r>
      <w:r>
        <w:rPr>
          <w:rFonts w:ascii="宋体" w:hAnsi="宋体"/>
          <w:szCs w:val="21"/>
        </w:rPr>
        <w:t>1987年，农村已拥有架子车13507辆，长</w:t>
      </w:r>
      <w:r>
        <w:rPr>
          <w:rFonts w:hint="eastAsia" w:ascii="宋体" w:hAnsi="宋体"/>
          <w:szCs w:val="21"/>
        </w:rPr>
        <w:t>年从事运输的拖拉机</w:t>
      </w:r>
      <w:r>
        <w:rPr>
          <w:rFonts w:ascii="宋体" w:hAnsi="宋体"/>
          <w:szCs w:val="21"/>
        </w:rPr>
        <w:t>650辆，农用汽车103辆。1988年以后，农村从事农机服务工作</w:t>
      </w:r>
      <w:r>
        <w:rPr>
          <w:rFonts w:hint="eastAsia" w:ascii="宋体" w:hAnsi="宋体"/>
          <w:szCs w:val="21"/>
        </w:rPr>
        <w:t>的专业户逐渐增多，他们农忙为农户代耕，农闲从事农村运输。农用运输车（俗称小四轮）因而推广很快。</w:t>
      </w:r>
      <w:r>
        <w:rPr>
          <w:rFonts w:ascii="宋体" w:hAnsi="宋体"/>
          <w:szCs w:val="21"/>
        </w:rPr>
        <w:t>2004年全市农用载重汽车有115台，小四轮有1179辆，与</w:t>
      </w:r>
      <w:r>
        <w:rPr>
          <w:rFonts w:hint="eastAsia" w:ascii="宋体" w:hAnsi="宋体"/>
          <w:szCs w:val="21"/>
        </w:rPr>
        <w:t>拖拉机一起承担农业运输的基本任务。加上摩托车进入农家，承担一些运输任务，使双胶轮架子车退居次要角色。</w:t>
      </w:r>
    </w:p>
    <w:p w14:paraId="0A148342">
      <w:pPr>
        <w:pStyle w:val="4"/>
        <w:rPr>
          <w:rFonts w:ascii="宋体" w:hAnsi="宋体"/>
        </w:rPr>
      </w:pPr>
      <w:r>
        <w:rPr>
          <w:rFonts w:hint="eastAsia" w:ascii="宋体" w:hAnsi="宋体"/>
        </w:rPr>
        <w:t>第二节  农机研制</w:t>
      </w:r>
    </w:p>
    <w:p w14:paraId="1775A865">
      <w:pPr>
        <w:ind w:firstLine="420"/>
        <w:rPr>
          <w:rFonts w:ascii="宋体" w:hAnsi="宋体"/>
          <w:szCs w:val="21"/>
        </w:rPr>
      </w:pPr>
      <w:r>
        <w:rPr>
          <w:rFonts w:ascii="宋体" w:hAnsi="宋体"/>
          <w:szCs w:val="21"/>
        </w:rPr>
        <w:t>1958年6月，县供销社农具厂转为地方国营南雄县通用机械厂，1960年4月改</w:t>
      </w:r>
      <w:r>
        <w:rPr>
          <w:rFonts w:hint="eastAsia" w:ascii="宋体" w:hAnsi="宋体"/>
          <w:szCs w:val="21"/>
        </w:rPr>
        <w:t>称农业机械厂。</w:t>
      </w:r>
      <w:r>
        <w:rPr>
          <w:rFonts w:ascii="宋体" w:hAnsi="宋体"/>
          <w:szCs w:val="21"/>
        </w:rPr>
        <w:t>1970年3月，设立南雄县农机修造厂，有员工200多人。1984年11</w:t>
      </w:r>
      <w:r>
        <w:rPr>
          <w:rFonts w:hint="eastAsia" w:ascii="宋体" w:hAnsi="宋体"/>
          <w:szCs w:val="21"/>
        </w:rPr>
        <w:t>月，因生产的拖拉机积压而被迫关闭。</w:t>
      </w:r>
      <w:r>
        <w:rPr>
          <w:rFonts w:ascii="宋体" w:hAnsi="宋体"/>
          <w:szCs w:val="21"/>
        </w:rPr>
        <w:t>1985年1月重新组建通用机械厂。虽经过民</w:t>
      </w:r>
      <w:r>
        <w:rPr>
          <w:rFonts w:hint="eastAsia" w:ascii="宋体" w:hAnsi="宋体"/>
          <w:szCs w:val="21"/>
        </w:rPr>
        <w:t>主选举厂长、招标承包等改革，仍未能扭转亏损局面。</w:t>
      </w:r>
      <w:r>
        <w:rPr>
          <w:rFonts w:ascii="宋体" w:hAnsi="宋体"/>
          <w:szCs w:val="21"/>
        </w:rPr>
        <w:t>1994年3月，县长办公会议</w:t>
      </w:r>
      <w:r>
        <w:rPr>
          <w:rFonts w:hint="eastAsia" w:ascii="宋体" w:hAnsi="宋体"/>
          <w:szCs w:val="21"/>
        </w:rPr>
        <w:t>决定：以</w:t>
      </w:r>
      <w:r>
        <w:rPr>
          <w:rFonts w:ascii="宋体" w:hAnsi="宋体"/>
          <w:szCs w:val="21"/>
        </w:rPr>
        <w:t>310万元价格，将通用厂拍卖给顺德老板。此款给在职员工每年工龄计发500元待业安置费、一次性缴交社会劳动保险，待到法定退休年龄后，办理退休手</w:t>
      </w:r>
      <w:r>
        <w:rPr>
          <w:rFonts w:hint="eastAsia" w:ascii="宋体" w:hAnsi="宋体"/>
          <w:szCs w:val="21"/>
        </w:rPr>
        <w:t>续，其余款项偿还银行贷款。</w:t>
      </w:r>
    </w:p>
    <w:p w14:paraId="4D3F9820">
      <w:pPr>
        <w:ind w:firstLine="420"/>
        <w:rPr>
          <w:rFonts w:ascii="宋体" w:hAnsi="宋体"/>
          <w:szCs w:val="21"/>
        </w:rPr>
      </w:pPr>
      <w:r>
        <w:rPr>
          <w:rFonts w:ascii="宋体" w:hAnsi="宋体"/>
          <w:szCs w:val="21"/>
        </w:rPr>
        <w:t>1959年成立南雄县农具研究所，1972年3月改为农机研究所，1987年1月改为</w:t>
      </w:r>
      <w:r>
        <w:rPr>
          <w:rFonts w:hint="eastAsia" w:ascii="宋体" w:hAnsi="宋体"/>
          <w:szCs w:val="21"/>
        </w:rPr>
        <w:t>农机推广站，同年</w:t>
      </w:r>
      <w:r>
        <w:rPr>
          <w:rFonts w:ascii="宋体" w:hAnsi="宋体"/>
          <w:szCs w:val="21"/>
        </w:rPr>
        <w:t>12月又合并到农机学校，主要负责农机维修业务。农机研究所有</w:t>
      </w:r>
      <w:r>
        <w:rPr>
          <w:rFonts w:hint="eastAsia" w:ascii="宋体" w:hAnsi="宋体"/>
          <w:szCs w:val="21"/>
        </w:rPr>
        <w:t>助理工程师</w:t>
      </w:r>
      <w:r>
        <w:rPr>
          <w:rFonts w:ascii="宋体" w:hAnsi="宋体"/>
          <w:szCs w:val="21"/>
        </w:rPr>
        <w:t>2人，与有关部门协作开展农机研制</w:t>
      </w:r>
      <w:r>
        <w:rPr>
          <w:rFonts w:hint="eastAsia" w:ascii="宋体" w:hAnsi="宋体"/>
          <w:szCs w:val="21"/>
        </w:rPr>
        <w:t>。</w:t>
      </w:r>
    </w:p>
    <w:p w14:paraId="022DD4D1">
      <w:pPr>
        <w:ind w:firstLine="420"/>
        <w:rPr>
          <w:rFonts w:ascii="宋体" w:hAnsi="宋体"/>
          <w:szCs w:val="21"/>
        </w:rPr>
      </w:pPr>
      <w:r>
        <w:rPr>
          <w:rFonts w:ascii="宋体" w:hAnsi="宋体"/>
          <w:szCs w:val="21"/>
        </w:rPr>
        <w:t>1970年9月，参与县农业机械厂“三三三”大会战，生产出简易车床、钻床、</w:t>
      </w:r>
      <w:r>
        <w:rPr>
          <w:rFonts w:hint="eastAsia" w:ascii="宋体" w:hAnsi="宋体"/>
          <w:szCs w:val="21"/>
        </w:rPr>
        <w:t>砂轮机各</w:t>
      </w:r>
      <w:r>
        <w:rPr>
          <w:rFonts w:ascii="宋体" w:hAnsi="宋体"/>
          <w:szCs w:val="21"/>
        </w:rPr>
        <w:t>30台，用于装备各公社农机厂，为实现农机“小修不出队、中修不出社</w:t>
      </w:r>
      <w:r>
        <w:rPr>
          <w:rFonts w:hint="eastAsia" w:ascii="宋体" w:hAnsi="宋体"/>
          <w:szCs w:val="21"/>
        </w:rPr>
        <w:t>、大修不出县”打下了基础。</w:t>
      </w:r>
    </w:p>
    <w:p w14:paraId="5F0838DA">
      <w:pPr>
        <w:ind w:firstLine="420"/>
        <w:rPr>
          <w:rFonts w:ascii="宋体" w:hAnsi="宋体"/>
          <w:szCs w:val="21"/>
        </w:rPr>
      </w:pPr>
      <w:r>
        <w:rPr>
          <w:rFonts w:ascii="宋体" w:hAnsi="宋体"/>
          <w:szCs w:val="21"/>
        </w:rPr>
        <w:t>1973年1月研制出65吨液压榨油机，通过了省级技术鉴定。该机手动、电动操</w:t>
      </w:r>
      <w:r>
        <w:rPr>
          <w:rFonts w:hint="eastAsia" w:ascii="宋体" w:hAnsi="宋体"/>
          <w:szCs w:val="21"/>
        </w:rPr>
        <w:t>作均可，可榨花生、茶子、菜子、大豆等油料，榨出的油质好，每年生产二三百台，</w:t>
      </w:r>
      <w:r>
        <w:rPr>
          <w:rFonts w:ascii="宋体" w:hAnsi="宋体"/>
          <w:szCs w:val="21"/>
        </w:rPr>
        <w:t>1986年达927台</w:t>
      </w:r>
      <w:r>
        <w:rPr>
          <w:rFonts w:hint="eastAsia" w:ascii="宋体" w:hAnsi="宋体"/>
          <w:szCs w:val="21"/>
        </w:rPr>
        <w:t>。</w:t>
      </w:r>
    </w:p>
    <w:p w14:paraId="2C27760C">
      <w:pPr>
        <w:ind w:firstLine="420"/>
        <w:rPr>
          <w:rFonts w:ascii="宋体" w:hAnsi="宋体"/>
          <w:szCs w:val="21"/>
        </w:rPr>
      </w:pPr>
      <w:r>
        <w:rPr>
          <w:rFonts w:ascii="宋体" w:hAnsi="宋体"/>
          <w:szCs w:val="21"/>
        </w:rPr>
        <w:t>1974年参与省、市农机科研部门研制小型联合收割机。于1976年生产出以2.2</w:t>
      </w:r>
      <w:r>
        <w:rPr>
          <w:rFonts w:hint="eastAsia" w:ascii="宋体" w:hAnsi="宋体"/>
          <w:szCs w:val="21"/>
        </w:rPr>
        <w:t>千瓦柴油机为动力的小割脱机（小型联合收割机）。经两年实地试验，因结构复杂、机件易损坏，未能定型投产。</w:t>
      </w:r>
    </w:p>
    <w:p w14:paraId="2DF61427">
      <w:pPr>
        <w:ind w:firstLine="420"/>
        <w:rPr>
          <w:rFonts w:ascii="宋体" w:hAnsi="宋体"/>
          <w:szCs w:val="21"/>
        </w:rPr>
      </w:pPr>
      <w:r>
        <w:rPr>
          <w:rFonts w:ascii="宋体" w:hAnsi="宋体"/>
          <w:szCs w:val="21"/>
        </w:rPr>
        <w:t>1976年根据省下达的研究课题，参照日本烤烟机原理，在县农机一厂、二厂和</w:t>
      </w:r>
      <w:r>
        <w:rPr>
          <w:rFonts w:hint="eastAsia" w:ascii="宋体" w:hAnsi="宋体"/>
          <w:szCs w:val="21"/>
        </w:rPr>
        <w:t>无线电元件厂协同下，研制出“广东</w:t>
      </w:r>
      <w:r>
        <w:rPr>
          <w:rFonts w:ascii="宋体" w:hAnsi="宋体"/>
          <w:szCs w:val="21"/>
        </w:rPr>
        <w:t>-1型烤烟机”，并被国家一机部列入试制计划</w:t>
      </w:r>
      <w:r>
        <w:rPr>
          <w:rFonts w:hint="eastAsia" w:ascii="宋体" w:hAnsi="宋体"/>
          <w:szCs w:val="21"/>
        </w:rPr>
        <w:t>。试用效果良好。后来因国家规定不准用柴油作燃料烤烟而停止研制。</w:t>
      </w:r>
    </w:p>
    <w:p w14:paraId="555F0FF6">
      <w:pPr>
        <w:ind w:firstLine="420"/>
        <w:rPr>
          <w:rFonts w:ascii="宋体" w:hAnsi="宋体"/>
          <w:szCs w:val="21"/>
        </w:rPr>
      </w:pPr>
      <w:r>
        <w:rPr>
          <w:rFonts w:ascii="宋体" w:hAnsi="宋体"/>
          <w:szCs w:val="21"/>
        </w:rPr>
        <w:t>1980年，在“广东</w:t>
      </w:r>
      <w:r>
        <w:rPr>
          <w:rFonts w:hint="eastAsia" w:ascii="宋体" w:hAnsi="宋体"/>
          <w:szCs w:val="21"/>
        </w:rPr>
        <w:t>—</w:t>
      </w:r>
      <w:r>
        <w:rPr>
          <w:rFonts w:ascii="宋体" w:hAnsi="宋体"/>
          <w:szCs w:val="21"/>
        </w:rPr>
        <w:t>1型烤烟机”的基础上进行改建，改烧油为烧煤（或烧</w:t>
      </w:r>
      <w:r>
        <w:rPr>
          <w:rFonts w:hint="eastAsia" w:ascii="宋体" w:hAnsi="宋体"/>
          <w:szCs w:val="21"/>
        </w:rPr>
        <w:t>柴），研制出“</w:t>
      </w:r>
      <w:r>
        <w:rPr>
          <w:rFonts w:ascii="宋体" w:hAnsi="宋体"/>
          <w:szCs w:val="21"/>
        </w:rPr>
        <w:t>5H</w:t>
      </w:r>
      <w:r>
        <w:rPr>
          <w:rFonts w:hint="eastAsia" w:ascii="宋体" w:hAnsi="宋体"/>
          <w:szCs w:val="21"/>
        </w:rPr>
        <w:t>—</w:t>
      </w:r>
      <w:r>
        <w:rPr>
          <w:rFonts w:ascii="宋体" w:hAnsi="宋体"/>
          <w:szCs w:val="21"/>
        </w:rPr>
        <w:t>100型家用烤烟机</w:t>
      </w:r>
      <w:r>
        <w:rPr>
          <w:rFonts w:hint="eastAsia" w:ascii="宋体" w:hAnsi="宋体"/>
          <w:szCs w:val="21"/>
        </w:rPr>
        <w:t>”</w:t>
      </w:r>
      <w:r>
        <w:rPr>
          <w:rFonts w:ascii="宋体" w:hAnsi="宋体"/>
          <w:szCs w:val="21"/>
        </w:rPr>
        <w:t>。1983年12月通过了省级技术鉴定。并获得</w:t>
      </w:r>
      <w:r>
        <w:rPr>
          <w:rFonts w:hint="eastAsia" w:ascii="宋体" w:hAnsi="宋体"/>
          <w:szCs w:val="21"/>
        </w:rPr>
        <w:t>韶关市</w:t>
      </w:r>
      <w:r>
        <w:rPr>
          <w:rFonts w:ascii="宋体" w:hAnsi="宋体"/>
          <w:szCs w:val="21"/>
        </w:rPr>
        <w:t>1983年度优秀科技成果四等奖。至1987年底共推广了35台，分布在本省曲</w:t>
      </w:r>
      <w:r>
        <w:rPr>
          <w:rFonts w:hint="eastAsia" w:ascii="宋体" w:hAnsi="宋体"/>
          <w:szCs w:val="21"/>
        </w:rPr>
        <w:t>江、连山、大埔等县和湖南、湖北、广西、江西、黑龙江等省。但该机必须供电正常才能保证烤烟质量。当时南雄县农村因电价高，且供电不正常，农民不愿购置这种烤烟机。</w:t>
      </w:r>
    </w:p>
    <w:p w14:paraId="4007B177">
      <w:pPr>
        <w:ind w:firstLine="420"/>
        <w:rPr>
          <w:rFonts w:ascii="宋体" w:hAnsi="宋体"/>
          <w:szCs w:val="21"/>
        </w:rPr>
      </w:pPr>
      <w:r>
        <w:rPr>
          <w:rFonts w:ascii="宋体" w:hAnsi="宋体"/>
          <w:szCs w:val="21"/>
        </w:rPr>
        <w:t>1982年4月，县农机修造厂在省农机研究所协助下，研制出雄鹰</w:t>
      </w:r>
      <w:r>
        <w:rPr>
          <w:rFonts w:hint="eastAsia" w:ascii="宋体" w:hAnsi="宋体"/>
          <w:szCs w:val="21"/>
        </w:rPr>
        <w:t>—</w:t>
      </w:r>
      <w:r>
        <w:rPr>
          <w:rFonts w:ascii="宋体" w:hAnsi="宋体"/>
          <w:szCs w:val="21"/>
        </w:rPr>
        <w:t>3型手扶拖拉</w:t>
      </w:r>
      <w:r>
        <w:rPr>
          <w:rFonts w:hint="eastAsia" w:ascii="宋体" w:hAnsi="宋体"/>
          <w:szCs w:val="21"/>
        </w:rPr>
        <w:t>机，</w:t>
      </w:r>
      <w:r>
        <w:rPr>
          <w:rFonts w:ascii="宋体" w:hAnsi="宋体"/>
          <w:szCs w:val="21"/>
        </w:rPr>
        <w:t>1983年5月通过了省级技术鉴定，正式投产。共生产819台。由于设计不够完</w:t>
      </w:r>
      <w:r>
        <w:rPr>
          <w:rFonts w:hint="eastAsia" w:ascii="宋体" w:hAnsi="宋体"/>
          <w:szCs w:val="21"/>
        </w:rPr>
        <w:t>善，质量不稳定，造成积压，负债</w:t>
      </w:r>
      <w:r>
        <w:rPr>
          <w:rFonts w:ascii="宋体" w:hAnsi="宋体"/>
          <w:szCs w:val="21"/>
        </w:rPr>
        <w:t>200多万元。</w:t>
      </w:r>
    </w:p>
    <w:p w14:paraId="072992E2">
      <w:pPr>
        <w:ind w:firstLine="420"/>
        <w:rPr>
          <w:rFonts w:ascii="宋体" w:hAnsi="宋体"/>
          <w:szCs w:val="21"/>
        </w:rPr>
      </w:pPr>
      <w:r>
        <w:rPr>
          <w:rFonts w:ascii="宋体" w:hAnsi="宋体"/>
          <w:szCs w:val="21"/>
        </w:rPr>
        <w:t>1985年，重新组建的通用机械厂，应用国家海洋第二研究所的科研成果，制成</w:t>
      </w:r>
      <w:r>
        <w:rPr>
          <w:rFonts w:hint="eastAsia" w:ascii="宋体" w:hAnsi="宋体"/>
          <w:szCs w:val="21"/>
        </w:rPr>
        <w:t>“电渗析器”和“单阳膜电解絮凝法”设备，可广泛应用于电子、医药、食品、化工、电影、照相工业的用水净化、海水和苦咸水淡化、城乡食水净化等，每小时可处理废水</w:t>
      </w:r>
      <w:r>
        <w:rPr>
          <w:rFonts w:ascii="宋体" w:hAnsi="宋体"/>
          <w:szCs w:val="21"/>
        </w:rPr>
        <w:t>8吨～10吨。先后共生产了10套，在牡丹江市和番禺氮肥厂等地投入使用</w:t>
      </w:r>
      <w:r>
        <w:rPr>
          <w:rFonts w:hint="eastAsia" w:ascii="宋体" w:hAnsi="宋体"/>
          <w:szCs w:val="21"/>
        </w:rPr>
        <w:t>。但在普遍漠视环保的大环境下，产品滞销，自动停产。</w:t>
      </w:r>
    </w:p>
    <w:p w14:paraId="09A10F44">
      <w:pPr>
        <w:ind w:firstLine="420"/>
        <w:rPr>
          <w:rFonts w:ascii="宋体" w:hAnsi="宋体"/>
          <w:szCs w:val="21"/>
        </w:rPr>
      </w:pPr>
      <w:r>
        <w:rPr>
          <w:rFonts w:ascii="宋体" w:hAnsi="宋体"/>
          <w:szCs w:val="21"/>
        </w:rPr>
        <w:t>1985年6月，县农机研究所在烤烟机基础上作了多项改进，研制出“热风循环</w:t>
      </w:r>
      <w:r>
        <w:rPr>
          <w:rFonts w:hint="eastAsia" w:ascii="宋体" w:hAnsi="宋体"/>
          <w:szCs w:val="21"/>
        </w:rPr>
        <w:t>烘茧机”，在江头等蚕区推广使用。由于该机节约燃料、保证蚕茧质量和安全可靠，广受蚕农欢迎。后因蚕茧价跌，桑蚕生产停滞，该机亦终止研究。</w:t>
      </w:r>
    </w:p>
    <w:p w14:paraId="78D147E3">
      <w:pPr>
        <w:pStyle w:val="4"/>
        <w:rPr>
          <w:rFonts w:ascii="宋体" w:hAnsi="宋体"/>
        </w:rPr>
      </w:pPr>
      <w:r>
        <w:rPr>
          <w:rFonts w:hint="eastAsia" w:ascii="宋体" w:hAnsi="宋体"/>
        </w:rPr>
        <w:t>第三节  农机人员培训</w:t>
      </w:r>
    </w:p>
    <w:p w14:paraId="1FF49A62">
      <w:pPr>
        <w:ind w:firstLine="420"/>
        <w:rPr>
          <w:rFonts w:ascii="宋体" w:hAnsi="宋体"/>
          <w:szCs w:val="21"/>
        </w:rPr>
      </w:pPr>
      <w:r>
        <w:rPr>
          <w:rFonts w:ascii="宋体" w:hAnsi="宋体"/>
          <w:szCs w:val="21"/>
        </w:rPr>
        <w:t>1970年11月成立南雄县工业学校，隶属县工业局，1975年8月改隶县农机局，</w:t>
      </w:r>
      <w:r>
        <w:rPr>
          <w:rFonts w:hint="eastAsia" w:ascii="宋体" w:hAnsi="宋体"/>
          <w:szCs w:val="21"/>
        </w:rPr>
        <w:t>更名南雄县农机学校。负责全县农机技术人员培训工作。</w:t>
      </w:r>
    </w:p>
    <w:p w14:paraId="063D1A59">
      <w:pPr>
        <w:ind w:firstLine="420"/>
        <w:rPr>
          <w:rFonts w:ascii="宋体" w:hAnsi="宋体"/>
          <w:szCs w:val="21"/>
        </w:rPr>
      </w:pPr>
      <w:r>
        <w:rPr>
          <w:rFonts w:hint="eastAsia" w:ascii="宋体" w:hAnsi="宋体"/>
          <w:szCs w:val="21"/>
        </w:rPr>
        <w:t>农机技术人员培训，视农机事业进展程度，采取不定期办班方式。农村推广哪类农机具，便举办哪类农机培训班。</w:t>
      </w:r>
      <w:r>
        <w:rPr>
          <w:rFonts w:ascii="宋体" w:hAnsi="宋体"/>
          <w:szCs w:val="21"/>
        </w:rPr>
        <w:t>1988年以后，主要培训拖拉机驾驶员和汽车驾驶</w:t>
      </w:r>
      <w:r>
        <w:rPr>
          <w:rFonts w:hint="eastAsia" w:ascii="宋体" w:hAnsi="宋体"/>
          <w:szCs w:val="21"/>
        </w:rPr>
        <w:t>员。</w:t>
      </w:r>
    </w:p>
    <w:p w14:paraId="500A7853">
      <w:pPr>
        <w:ind w:firstLine="420"/>
        <w:rPr>
          <w:rFonts w:ascii="宋体" w:hAnsi="宋体"/>
          <w:szCs w:val="21"/>
        </w:rPr>
      </w:pPr>
      <w:r>
        <w:rPr>
          <w:rFonts w:hint="eastAsia" w:ascii="宋体" w:hAnsi="宋体"/>
          <w:szCs w:val="21"/>
        </w:rPr>
        <w:t>从</w:t>
      </w:r>
      <w:r>
        <w:rPr>
          <w:rFonts w:ascii="宋体" w:hAnsi="宋体"/>
          <w:szCs w:val="21"/>
        </w:rPr>
        <w:t>1970年至1979年，共培训拖拉机驾驶员5251人，其中中拖驾驶员416人</w:t>
      </w:r>
      <w:r>
        <w:rPr>
          <w:rFonts w:hint="eastAsia" w:ascii="宋体" w:hAnsi="宋体"/>
          <w:szCs w:val="21"/>
        </w:rPr>
        <w:t>。培训农机管理人员</w:t>
      </w:r>
      <w:r>
        <w:rPr>
          <w:rFonts w:ascii="宋体" w:hAnsi="宋体"/>
          <w:szCs w:val="21"/>
        </w:rPr>
        <w:t>231人，内燃机手160人，修理工747人，插秧机操作手365人</w:t>
      </w:r>
      <w:r>
        <w:rPr>
          <w:rFonts w:hint="eastAsia" w:ascii="宋体" w:hAnsi="宋体"/>
          <w:szCs w:val="21"/>
        </w:rPr>
        <w:t>。</w:t>
      </w:r>
    </w:p>
    <w:p w14:paraId="34709A07">
      <w:pPr>
        <w:pStyle w:val="4"/>
        <w:rPr>
          <w:rFonts w:ascii="宋体" w:hAnsi="宋体"/>
        </w:rPr>
      </w:pPr>
      <w:r>
        <w:rPr>
          <w:rFonts w:hint="eastAsia" w:ascii="宋体" w:hAnsi="宋体"/>
        </w:rPr>
        <w:t>第四节  农机供应</w:t>
      </w:r>
    </w:p>
    <w:p w14:paraId="186C9652">
      <w:pPr>
        <w:ind w:firstLine="420"/>
        <w:rPr>
          <w:rFonts w:ascii="宋体" w:hAnsi="宋体"/>
          <w:szCs w:val="21"/>
        </w:rPr>
      </w:pPr>
      <w:r>
        <w:rPr>
          <w:rFonts w:ascii="宋体" w:hAnsi="宋体"/>
          <w:szCs w:val="21"/>
        </w:rPr>
        <w:t>1965年县物资局设农机供应组，而后划出为独立核算单位，1972年3月转为南</w:t>
      </w:r>
      <w:r>
        <w:rPr>
          <w:rFonts w:hint="eastAsia" w:ascii="宋体" w:hAnsi="宋体"/>
          <w:szCs w:val="21"/>
        </w:rPr>
        <w:t>雄县农机供应公司，隶属县农机工作站。实行计划生产、计划调拨、计划分配、包购包销的经营政策。全国统一费率、统一价格、免征税收。政策性亏损部分由国家每年拨款补贴，赢利不上缴。</w:t>
      </w:r>
      <w:r>
        <w:rPr>
          <w:rFonts w:ascii="宋体" w:hAnsi="宋体"/>
          <w:szCs w:val="21"/>
        </w:rPr>
        <w:t>1984年取消“政策性亏损补贴”，改为“调整费率，综合作</w:t>
      </w:r>
      <w:r>
        <w:rPr>
          <w:rFonts w:hint="eastAsia" w:ascii="宋体" w:hAnsi="宋体"/>
          <w:szCs w:val="21"/>
        </w:rPr>
        <w:t>价，自负盈亏”和地区差价制度。从此，农机经营逐步向市场经济转变，企业年年赢利。</w:t>
      </w:r>
      <w:r>
        <w:rPr>
          <w:rFonts w:ascii="宋体" w:hAnsi="宋体"/>
          <w:szCs w:val="21"/>
        </w:rPr>
        <w:t>1994年起，由于市场情况变化，加上经营农机全面征税，公司从1994年至1998年，连续5年亏损114万元。在扭亏无望的困境下，1999年公司转制为招标租</w:t>
      </w:r>
      <w:r>
        <w:rPr>
          <w:rFonts w:hint="eastAsia" w:ascii="宋体" w:hAnsi="宋体"/>
          <w:szCs w:val="21"/>
        </w:rPr>
        <w:t>赁制，在职员工发给一次性待业安置费。</w:t>
      </w:r>
    </w:p>
    <w:p w14:paraId="4144AB59">
      <w:pPr>
        <w:pStyle w:val="4"/>
        <w:rPr>
          <w:rFonts w:ascii="宋体" w:hAnsi="宋体"/>
        </w:rPr>
      </w:pPr>
      <w:r>
        <w:rPr>
          <w:rFonts w:hint="eastAsia" w:ascii="宋体" w:hAnsi="宋体"/>
        </w:rPr>
        <w:t>第五节  农机管理</w:t>
      </w:r>
    </w:p>
    <w:p w14:paraId="25FB9F91">
      <w:pPr>
        <w:pStyle w:val="5"/>
        <w:rPr>
          <w:rFonts w:ascii="宋体" w:hAnsi="宋体"/>
        </w:rPr>
      </w:pPr>
      <w:r>
        <w:rPr>
          <w:rFonts w:hint="eastAsia" w:ascii="宋体" w:hAnsi="宋体"/>
        </w:rPr>
        <w:t>一、农机安全监理</w:t>
      </w:r>
    </w:p>
    <w:p w14:paraId="50EEB8E2">
      <w:pPr>
        <w:ind w:firstLine="420"/>
        <w:rPr>
          <w:rFonts w:ascii="宋体" w:hAnsi="宋体"/>
          <w:szCs w:val="21"/>
        </w:rPr>
      </w:pPr>
      <w:r>
        <w:rPr>
          <w:rFonts w:ascii="宋体" w:hAnsi="宋体"/>
          <w:szCs w:val="21"/>
        </w:rPr>
        <w:t>1976年至1988年共发生拖拉机安全事故43宗，造成21人死亡，74人受伤，直</w:t>
      </w:r>
      <w:r>
        <w:rPr>
          <w:rFonts w:hint="eastAsia" w:ascii="宋体" w:hAnsi="宋体"/>
          <w:szCs w:val="21"/>
        </w:rPr>
        <w:t>接经济损失</w:t>
      </w:r>
      <w:r>
        <w:rPr>
          <w:rFonts w:ascii="宋体" w:hAnsi="宋体"/>
          <w:szCs w:val="21"/>
        </w:rPr>
        <w:t>5万多元。1984年县农机局增设农机安全监理股，依法实行农机牌证签</w:t>
      </w:r>
      <w:r>
        <w:rPr>
          <w:rFonts w:hint="eastAsia" w:ascii="宋体" w:hAnsi="宋体"/>
          <w:szCs w:val="21"/>
        </w:rPr>
        <w:t>发、农机年审、农机技术状态考核及调处安全事故等监理工作。</w:t>
      </w:r>
      <w:r>
        <w:rPr>
          <w:rFonts w:ascii="宋体" w:hAnsi="宋体"/>
          <w:szCs w:val="21"/>
        </w:rPr>
        <w:t>1983年荣获广东省</w:t>
      </w:r>
      <w:r>
        <w:rPr>
          <w:rFonts w:hint="eastAsia" w:ascii="宋体" w:hAnsi="宋体"/>
          <w:szCs w:val="21"/>
        </w:rPr>
        <w:t>“农机安全生产无死亡事故县”称号。</w:t>
      </w:r>
    </w:p>
    <w:p w14:paraId="2BA22865">
      <w:pPr>
        <w:pStyle w:val="5"/>
        <w:rPr>
          <w:rFonts w:ascii="宋体" w:hAnsi="宋体"/>
        </w:rPr>
      </w:pPr>
      <w:r>
        <w:rPr>
          <w:rFonts w:hint="eastAsia" w:ascii="宋体" w:hAnsi="宋体"/>
        </w:rPr>
        <w:t>二、农用拖拉机机务管理</w:t>
      </w:r>
    </w:p>
    <w:p w14:paraId="0587CC1C">
      <w:pPr>
        <w:ind w:firstLine="420"/>
        <w:rPr>
          <w:rFonts w:ascii="宋体" w:hAnsi="宋体"/>
          <w:szCs w:val="21"/>
        </w:rPr>
      </w:pPr>
      <w:r>
        <w:rPr>
          <w:rFonts w:hint="eastAsia" w:ascii="宋体" w:hAnsi="宋体"/>
          <w:szCs w:val="21"/>
        </w:rPr>
        <w:t>县农机局制定了“三不漏”（水、油、气）、“四干净”（水、油、气、机具）、“五良好”（润滑、紧固、调整、电器、仪表）的机务管理标准。各公社农机管理站均以此标准对农机驾驶员、操作手进行检查考核。为了坚持农业机械为农业生产服务的方向，县农机部门采取了四条措施：①每年下达一次机耕作业任务，落实到机车；②推行机耕合同制，由机手与农户签订代耕合同，使双方都心中有数，不误农时；③以油促耕，做到多耕田多配油，少耕田少配油（</w:t>
      </w:r>
      <w:r>
        <w:rPr>
          <w:rFonts w:ascii="宋体" w:hAnsi="宋体"/>
          <w:szCs w:val="21"/>
        </w:rPr>
        <w:t>1992年以后农用柴油供应市场化，</w:t>
      </w:r>
      <w:r>
        <w:rPr>
          <w:rFonts w:hint="eastAsia" w:ascii="宋体" w:hAnsi="宋体"/>
          <w:szCs w:val="21"/>
        </w:rPr>
        <w:t>此条失效）；④在春、夏耕前进行一次机务检查。</w:t>
      </w:r>
    </w:p>
    <w:p w14:paraId="69B28399">
      <w:pPr>
        <w:pStyle w:val="3"/>
        <w:rPr>
          <w:rFonts w:ascii="宋体" w:hAnsi="宋体"/>
        </w:rPr>
      </w:pPr>
      <w:r>
        <w:rPr>
          <w:rFonts w:hint="eastAsia" w:ascii="宋体" w:hAnsi="宋体"/>
        </w:rPr>
        <w:t>第七章  工业</w:t>
      </w:r>
    </w:p>
    <w:p w14:paraId="53C38FF6">
      <w:pPr>
        <w:pStyle w:val="4"/>
        <w:rPr>
          <w:rFonts w:ascii="宋体" w:hAnsi="宋体"/>
        </w:rPr>
      </w:pPr>
      <w:r>
        <w:rPr>
          <w:rFonts w:hint="eastAsia" w:ascii="宋体" w:hAnsi="宋体"/>
        </w:rPr>
        <w:t>第一节  工业发展概况</w:t>
      </w:r>
    </w:p>
    <w:p w14:paraId="63694ACF">
      <w:pPr>
        <w:pStyle w:val="5"/>
        <w:rPr>
          <w:rFonts w:ascii="宋体" w:hAnsi="宋体"/>
        </w:rPr>
      </w:pPr>
      <w:r>
        <w:rPr>
          <w:rFonts w:hint="eastAsia" w:ascii="宋体" w:hAnsi="宋体"/>
        </w:rPr>
        <w:t>一、新中国成立后工业发展概况</w:t>
      </w:r>
    </w:p>
    <w:p w14:paraId="152E0CAD">
      <w:pPr>
        <w:ind w:firstLine="420"/>
        <w:rPr>
          <w:rFonts w:ascii="宋体" w:hAnsi="宋体"/>
          <w:szCs w:val="21"/>
        </w:rPr>
      </w:pPr>
      <w:r>
        <w:rPr>
          <w:rFonts w:ascii="宋体" w:hAnsi="宋体"/>
          <w:szCs w:val="21"/>
        </w:rPr>
        <w:t>1952年开始对私营工业实行社会主义改造。当年利记米机厂转为国营。1953年，</w:t>
      </w:r>
      <w:r>
        <w:rPr>
          <w:rFonts w:hint="eastAsia" w:ascii="宋体" w:hAnsi="宋体"/>
          <w:szCs w:val="21"/>
        </w:rPr>
        <w:t>同丰米机厂转为国营，农工米机厂实行公私合营。</w:t>
      </w:r>
      <w:r>
        <w:rPr>
          <w:rFonts w:ascii="宋体" w:hAnsi="宋体"/>
          <w:szCs w:val="21"/>
        </w:rPr>
        <w:t>1954年对手工业实行社会主义改</w:t>
      </w:r>
      <w:r>
        <w:rPr>
          <w:rFonts w:hint="eastAsia" w:ascii="宋体" w:hAnsi="宋体"/>
          <w:szCs w:val="21"/>
        </w:rPr>
        <w:t>造，</w:t>
      </w:r>
      <w:r>
        <w:rPr>
          <w:rFonts w:ascii="宋体" w:hAnsi="宋体"/>
          <w:szCs w:val="21"/>
        </w:rPr>
        <w:t>1956年改造进入高潮，全县组织起来的手工业合作社65个，入社社员1501人。</w:t>
      </w:r>
      <w:r>
        <w:rPr>
          <w:rFonts w:hint="eastAsia" w:ascii="宋体" w:hAnsi="宋体"/>
          <w:szCs w:val="21"/>
        </w:rPr>
        <w:t>手工业总产值</w:t>
      </w:r>
      <w:r>
        <w:rPr>
          <w:rFonts w:ascii="宋体" w:hAnsi="宋体"/>
          <w:szCs w:val="21"/>
        </w:rPr>
        <w:t>1953年为128.1万元，1957年增加到184.3万元，增长44%。在对私</w:t>
      </w:r>
      <w:r>
        <w:rPr>
          <w:rFonts w:hint="eastAsia" w:ascii="宋体" w:hAnsi="宋体"/>
          <w:szCs w:val="21"/>
        </w:rPr>
        <w:t>营工业和手工业实行社会主义改造的同时，建立了</w:t>
      </w:r>
      <w:r>
        <w:rPr>
          <w:rFonts w:ascii="宋体" w:hAnsi="宋体"/>
          <w:szCs w:val="21"/>
        </w:rPr>
        <w:t>11个国营工业企业。1957年国营</w:t>
      </w:r>
      <w:r>
        <w:rPr>
          <w:rFonts w:hint="eastAsia" w:ascii="宋体" w:hAnsi="宋体"/>
          <w:szCs w:val="21"/>
        </w:rPr>
        <w:t>工业企业产值占工业总产值的</w:t>
      </w:r>
      <w:r>
        <w:rPr>
          <w:rFonts w:ascii="宋体" w:hAnsi="宋体"/>
          <w:szCs w:val="21"/>
        </w:rPr>
        <w:t>62%</w:t>
      </w:r>
      <w:r>
        <w:rPr>
          <w:rFonts w:hint="eastAsia" w:ascii="宋体" w:hAnsi="宋体"/>
          <w:szCs w:val="21"/>
        </w:rPr>
        <w:t>。</w:t>
      </w:r>
    </w:p>
    <w:p w14:paraId="173DAD38">
      <w:pPr>
        <w:ind w:firstLine="420"/>
        <w:rPr>
          <w:rFonts w:ascii="宋体" w:hAnsi="宋体"/>
          <w:szCs w:val="21"/>
        </w:rPr>
      </w:pPr>
      <w:r>
        <w:rPr>
          <w:rFonts w:ascii="宋体" w:hAnsi="宋体"/>
          <w:szCs w:val="21"/>
        </w:rPr>
        <w:t>1958年，在</w:t>
      </w:r>
      <w:r>
        <w:rPr>
          <w:rFonts w:hint="eastAsia" w:ascii="宋体" w:hAnsi="宋体"/>
          <w:szCs w:val="21"/>
        </w:rPr>
        <w:t>“</w:t>
      </w:r>
      <w:r>
        <w:rPr>
          <w:rFonts w:ascii="宋体" w:hAnsi="宋体"/>
          <w:szCs w:val="21"/>
        </w:rPr>
        <w:t>左</w:t>
      </w:r>
      <w:r>
        <w:rPr>
          <w:rFonts w:hint="eastAsia" w:ascii="宋体" w:hAnsi="宋体"/>
          <w:szCs w:val="21"/>
        </w:rPr>
        <w:t>”</w:t>
      </w:r>
      <w:r>
        <w:rPr>
          <w:rFonts w:ascii="宋体" w:hAnsi="宋体"/>
          <w:szCs w:val="21"/>
        </w:rPr>
        <w:t>的政策指导下，掀起</w:t>
      </w:r>
      <w:r>
        <w:rPr>
          <w:rFonts w:hint="eastAsia" w:ascii="宋体" w:hAnsi="宋体"/>
          <w:szCs w:val="21"/>
        </w:rPr>
        <w:t>“</w:t>
      </w:r>
      <w:r>
        <w:rPr>
          <w:rFonts w:ascii="宋体" w:hAnsi="宋体"/>
          <w:szCs w:val="21"/>
        </w:rPr>
        <w:t>工业大跃进</w:t>
      </w:r>
      <w:r>
        <w:rPr>
          <w:rFonts w:hint="eastAsia" w:ascii="宋体" w:hAnsi="宋体"/>
          <w:szCs w:val="21"/>
        </w:rPr>
        <w:t>”</w:t>
      </w:r>
      <w:r>
        <w:rPr>
          <w:rFonts w:ascii="宋体" w:hAnsi="宋体"/>
          <w:szCs w:val="21"/>
        </w:rPr>
        <w:t>高潮，实行</w:t>
      </w:r>
      <w:r>
        <w:rPr>
          <w:rFonts w:hint="eastAsia" w:ascii="宋体" w:hAnsi="宋体"/>
          <w:szCs w:val="21"/>
        </w:rPr>
        <w:t>“</w:t>
      </w:r>
      <w:r>
        <w:rPr>
          <w:rFonts w:ascii="宋体" w:hAnsi="宋体"/>
          <w:szCs w:val="21"/>
        </w:rPr>
        <w:t>以钢为</w:t>
      </w:r>
      <w:r>
        <w:rPr>
          <w:rFonts w:hint="eastAsia" w:ascii="宋体" w:hAnsi="宋体"/>
          <w:szCs w:val="21"/>
        </w:rPr>
        <w:t>纲”，全县办土高炉</w:t>
      </w:r>
      <w:r>
        <w:rPr>
          <w:rFonts w:ascii="宋体" w:hAnsi="宋体"/>
          <w:szCs w:val="21"/>
        </w:rPr>
        <w:t>13座，投入炼钢劳动力4000多人。又盲目使用柴炭炼铜，在企</w:t>
      </w:r>
      <w:r>
        <w:rPr>
          <w:rFonts w:hint="eastAsia" w:ascii="宋体" w:hAnsi="宋体"/>
          <w:szCs w:val="21"/>
        </w:rPr>
        <w:t>业内部搞军事化，实行平均分配，严重破坏企业正常生产秩序。从</w:t>
      </w:r>
      <w:r>
        <w:rPr>
          <w:rFonts w:ascii="宋体" w:hAnsi="宋体"/>
          <w:szCs w:val="21"/>
        </w:rPr>
        <w:t>1958年至1961</w:t>
      </w:r>
      <w:r>
        <w:rPr>
          <w:rFonts w:hint="eastAsia" w:ascii="宋体" w:hAnsi="宋体"/>
          <w:szCs w:val="21"/>
        </w:rPr>
        <w:t>年，工业全员劳动生产率比</w:t>
      </w:r>
      <w:r>
        <w:rPr>
          <w:rFonts w:ascii="宋体" w:hAnsi="宋体"/>
          <w:szCs w:val="21"/>
        </w:rPr>
        <w:t>1957年下降50%。</w:t>
      </w:r>
    </w:p>
    <w:p w14:paraId="2961E691">
      <w:pPr>
        <w:ind w:firstLine="420"/>
        <w:rPr>
          <w:rFonts w:ascii="宋体" w:hAnsi="宋体"/>
          <w:szCs w:val="21"/>
        </w:rPr>
      </w:pPr>
      <w:r>
        <w:rPr>
          <w:rFonts w:ascii="宋体" w:hAnsi="宋体"/>
          <w:szCs w:val="21"/>
        </w:rPr>
        <w:t>1963年至1965年，贯彻</w:t>
      </w:r>
      <w:r>
        <w:rPr>
          <w:rFonts w:hint="eastAsia" w:ascii="宋体" w:hAnsi="宋体"/>
          <w:szCs w:val="21"/>
        </w:rPr>
        <w:t>“</w:t>
      </w:r>
      <w:r>
        <w:rPr>
          <w:rFonts w:ascii="宋体" w:hAnsi="宋体"/>
          <w:szCs w:val="21"/>
        </w:rPr>
        <w:t>调整、巩固、充实、提高</w:t>
      </w:r>
      <w:r>
        <w:rPr>
          <w:rFonts w:hint="eastAsia" w:ascii="宋体" w:hAnsi="宋体"/>
          <w:szCs w:val="21"/>
        </w:rPr>
        <w:t>”</w:t>
      </w:r>
      <w:r>
        <w:rPr>
          <w:rFonts w:ascii="宋体" w:hAnsi="宋体"/>
          <w:szCs w:val="21"/>
        </w:rPr>
        <w:t>的八字方针，对工业进行</w:t>
      </w:r>
      <w:r>
        <w:rPr>
          <w:rFonts w:hint="eastAsia" w:ascii="宋体" w:hAnsi="宋体"/>
          <w:szCs w:val="21"/>
        </w:rPr>
        <w:t>整顿，土高炉炼钢铁炼铜全部下马，恢复工业生产正常秩序，企业效益明显提高，工业总产值</w:t>
      </w:r>
      <w:r>
        <w:rPr>
          <w:rFonts w:ascii="宋体" w:hAnsi="宋体"/>
          <w:szCs w:val="21"/>
        </w:rPr>
        <w:t>1965年比1962年增长64.8万元，全员劳动生产率增长96.6%</w:t>
      </w:r>
      <w:r>
        <w:rPr>
          <w:rFonts w:hint="eastAsia" w:ascii="宋体" w:hAnsi="宋体"/>
          <w:szCs w:val="21"/>
        </w:rPr>
        <w:t>。</w:t>
      </w:r>
    </w:p>
    <w:p w14:paraId="3D80DF88">
      <w:pPr>
        <w:ind w:firstLine="420"/>
        <w:rPr>
          <w:rFonts w:ascii="宋体" w:hAnsi="宋体"/>
          <w:szCs w:val="21"/>
        </w:rPr>
      </w:pPr>
      <w:r>
        <w:rPr>
          <w:rFonts w:ascii="宋体" w:hAnsi="宋体"/>
          <w:szCs w:val="21"/>
        </w:rPr>
        <w:t>1966年至1968年，受</w:t>
      </w:r>
      <w:r>
        <w:rPr>
          <w:rFonts w:hint="eastAsia" w:ascii="宋体" w:hAnsi="宋体"/>
          <w:szCs w:val="21"/>
        </w:rPr>
        <w:t>“</w:t>
      </w:r>
      <w:r>
        <w:rPr>
          <w:rFonts w:ascii="宋体" w:hAnsi="宋体"/>
          <w:szCs w:val="21"/>
        </w:rPr>
        <w:t>文化大革命</w:t>
      </w:r>
      <w:r>
        <w:rPr>
          <w:rFonts w:hint="eastAsia" w:ascii="宋体" w:hAnsi="宋体"/>
          <w:szCs w:val="21"/>
        </w:rPr>
        <w:t>”</w:t>
      </w:r>
      <w:r>
        <w:rPr>
          <w:rFonts w:ascii="宋体" w:hAnsi="宋体"/>
          <w:szCs w:val="21"/>
        </w:rPr>
        <w:t>影响，部分工厂一度停产“闹</w:t>
      </w:r>
      <w:r>
        <w:rPr>
          <w:rFonts w:hint="eastAsia" w:ascii="宋体" w:hAnsi="宋体"/>
          <w:szCs w:val="21"/>
        </w:rPr>
        <w:t>“</w:t>
      </w:r>
      <w:r>
        <w:rPr>
          <w:rFonts w:ascii="宋体" w:hAnsi="宋体"/>
          <w:szCs w:val="21"/>
        </w:rPr>
        <w:t>革命</w:t>
      </w:r>
      <w:r>
        <w:rPr>
          <w:rFonts w:hint="eastAsia" w:ascii="宋体" w:hAnsi="宋体"/>
          <w:szCs w:val="21"/>
        </w:rPr>
        <w:t>”。</w:t>
      </w:r>
      <w:r>
        <w:rPr>
          <w:rFonts w:ascii="宋体" w:hAnsi="宋体"/>
          <w:szCs w:val="21"/>
        </w:rPr>
        <w:t>1970年县革委会采取老企业办新厂的办法，增办无线电元件厂、农机厂、制药厂</w:t>
      </w:r>
      <w:r>
        <w:rPr>
          <w:rFonts w:hint="eastAsia" w:ascii="宋体" w:hAnsi="宋体"/>
          <w:szCs w:val="21"/>
        </w:rPr>
        <w:t>、水泥预制构件厂、电机厂、胶合板厂等</w:t>
      </w:r>
      <w:r>
        <w:rPr>
          <w:rFonts w:ascii="宋体" w:hAnsi="宋体"/>
          <w:szCs w:val="21"/>
        </w:rPr>
        <w:t>8家工业企业和电珠厂、栲胶厂等41家集体</w:t>
      </w:r>
      <w:r>
        <w:rPr>
          <w:rFonts w:hint="eastAsia" w:ascii="宋体" w:hAnsi="宋体"/>
          <w:szCs w:val="21"/>
        </w:rPr>
        <w:t>所有制工业企业。</w:t>
      </w:r>
      <w:r>
        <w:rPr>
          <w:rFonts w:ascii="宋体" w:hAnsi="宋体"/>
          <w:szCs w:val="21"/>
        </w:rPr>
        <w:t>1978年重点兴办骨干企业。当年县氮肥厂投产。1983年卷烟厂列</w:t>
      </w:r>
      <w:r>
        <w:rPr>
          <w:rFonts w:hint="eastAsia" w:ascii="宋体" w:hAnsi="宋体"/>
          <w:szCs w:val="21"/>
        </w:rPr>
        <w:t>入国家计划，成为南雄工业龙头企业。</w:t>
      </w:r>
      <w:r>
        <w:rPr>
          <w:rFonts w:ascii="宋体" w:hAnsi="宋体"/>
          <w:szCs w:val="21"/>
        </w:rPr>
        <w:t>1980年县陶瓷厂创制防潮砖新产品。1984年</w:t>
      </w:r>
      <w:r>
        <w:rPr>
          <w:rFonts w:hint="eastAsia" w:ascii="宋体" w:hAnsi="宋体"/>
          <w:szCs w:val="21"/>
        </w:rPr>
        <w:t>扩建县水泥厂。在发展骨干企业的同时，外向型轻工企业和乡镇办企业发展较快。</w:t>
      </w:r>
      <w:r>
        <w:rPr>
          <w:rFonts w:ascii="宋体" w:hAnsi="宋体"/>
          <w:szCs w:val="21"/>
        </w:rPr>
        <w:t>1987年有4603个企业，从业13941人，其中个体企业3760个。这一时期工业发展速</w:t>
      </w:r>
      <w:r>
        <w:rPr>
          <w:rFonts w:hint="eastAsia" w:ascii="宋体" w:hAnsi="宋体"/>
          <w:szCs w:val="21"/>
        </w:rPr>
        <w:t>度与效益都有较大幅度的增长。</w:t>
      </w:r>
      <w:r>
        <w:rPr>
          <w:rFonts w:ascii="宋体" w:hAnsi="宋体"/>
          <w:szCs w:val="21"/>
        </w:rPr>
        <w:t>1987年，县属主要工业企业有36家，在册职工（含</w:t>
      </w:r>
      <w:r>
        <w:rPr>
          <w:rFonts w:hint="eastAsia" w:ascii="宋体" w:hAnsi="宋体"/>
          <w:szCs w:val="21"/>
        </w:rPr>
        <w:t>临时工）</w:t>
      </w:r>
      <w:r>
        <w:rPr>
          <w:rFonts w:ascii="宋体" w:hAnsi="宋体"/>
          <w:szCs w:val="21"/>
        </w:rPr>
        <w:t>6801人。其中国营工业企业职工4238人，占62.3%；二轻直属企业职工2563人。主要产品有：卷烟、竹木工艺品、竹木筷子、羽绒制品、碳酸氢铵、栲胶、</w:t>
      </w:r>
      <w:r>
        <w:rPr>
          <w:rFonts w:hint="eastAsia" w:ascii="宋体" w:hAnsi="宋体"/>
          <w:szCs w:val="21"/>
        </w:rPr>
        <w:t>锦砖、防潮砖、液压榨油机、电渗析器和土纸等。</w:t>
      </w:r>
    </w:p>
    <w:p w14:paraId="510FB6D6">
      <w:pPr>
        <w:ind w:firstLine="420"/>
        <w:rPr>
          <w:rFonts w:ascii="宋体" w:hAnsi="宋体"/>
          <w:szCs w:val="21"/>
        </w:rPr>
      </w:pPr>
      <w:r>
        <w:rPr>
          <w:rFonts w:hint="eastAsia" w:ascii="宋体" w:hAnsi="宋体"/>
          <w:szCs w:val="21"/>
        </w:rPr>
        <w:t>进入</w:t>
      </w:r>
      <w:r>
        <w:rPr>
          <w:rFonts w:ascii="宋体" w:hAnsi="宋体"/>
          <w:szCs w:val="21"/>
        </w:rPr>
        <w:t>20世纪90年代，随着改革开放政策深入贯彻执行，逐步打破计划经济管理</w:t>
      </w:r>
      <w:r>
        <w:rPr>
          <w:rFonts w:hint="eastAsia" w:ascii="宋体" w:hAnsi="宋体"/>
          <w:szCs w:val="21"/>
        </w:rPr>
        <w:t>模式，市场竞争激烈，国有（营）企业和二轻企业由于观念、机制、市场、资金等原因，难于经营，普遍亏损，债务沉重，甚至资不抵债。</w:t>
      </w:r>
      <w:r>
        <w:rPr>
          <w:rFonts w:ascii="宋体" w:hAnsi="宋体"/>
          <w:szCs w:val="21"/>
        </w:rPr>
        <w:t>1990年以后分别采取措施</w:t>
      </w:r>
      <w:r>
        <w:rPr>
          <w:rFonts w:hint="eastAsia" w:ascii="宋体" w:hAnsi="宋体"/>
          <w:szCs w:val="21"/>
        </w:rPr>
        <w:t>改革转制。</w:t>
      </w:r>
    </w:p>
    <w:p w14:paraId="38DC3074">
      <w:pPr>
        <w:pStyle w:val="5"/>
        <w:rPr>
          <w:rFonts w:ascii="宋体" w:hAnsi="宋体"/>
        </w:rPr>
      </w:pPr>
      <w:r>
        <w:rPr>
          <w:rFonts w:hint="eastAsia" w:ascii="宋体" w:hAnsi="宋体"/>
        </w:rPr>
        <w:t>二、主要国有（营）企业改革简况</w:t>
      </w:r>
    </w:p>
    <w:p w14:paraId="1244F84A">
      <w:pPr>
        <w:ind w:firstLine="422"/>
        <w:rPr>
          <w:rFonts w:ascii="宋体" w:hAnsi="宋体"/>
          <w:szCs w:val="21"/>
        </w:rPr>
      </w:pPr>
      <w:r>
        <w:rPr>
          <w:rFonts w:hint="eastAsia" w:ascii="宋体" w:hAnsi="宋体"/>
          <w:b/>
          <w:szCs w:val="21"/>
        </w:rPr>
        <w:t>县氮肥厂</w:t>
      </w:r>
      <w:r>
        <w:rPr>
          <w:rFonts w:hint="eastAsia" w:ascii="宋体" w:hAnsi="宋体"/>
          <w:szCs w:val="21"/>
        </w:rPr>
        <w:t xml:space="preserve">  </w:t>
      </w:r>
      <w:r>
        <w:rPr>
          <w:rFonts w:ascii="宋体" w:hAnsi="宋体"/>
          <w:szCs w:val="21"/>
        </w:rPr>
        <w:t>1976年筹建，1978年投产，总投资1002万元，设计生产能力为8000</w:t>
      </w:r>
      <w:r>
        <w:rPr>
          <w:rFonts w:hint="eastAsia" w:ascii="宋体" w:hAnsi="宋体"/>
          <w:szCs w:val="21"/>
        </w:rPr>
        <w:t>吨合成氨，有职工</w:t>
      </w:r>
      <w:r>
        <w:rPr>
          <w:rFonts w:ascii="宋体" w:hAnsi="宋体"/>
          <w:szCs w:val="21"/>
        </w:rPr>
        <w:t>600多人，年产碳氨3万多吨。至1992年，因市场各种化肥供应</w:t>
      </w:r>
      <w:r>
        <w:rPr>
          <w:rFonts w:hint="eastAsia" w:ascii="宋体" w:hAnsi="宋体"/>
          <w:szCs w:val="21"/>
        </w:rPr>
        <w:t>充裕，碳氨销路不旺，氮肥厂宣告下马，组建化工建材工业总公司，下属复合肥厂、雄鹤汽车修理厂、彩釉砖厂、机械安装维修公司、纸箱厂。</w:t>
      </w:r>
      <w:r>
        <w:rPr>
          <w:rFonts w:ascii="宋体" w:hAnsi="宋体"/>
          <w:szCs w:val="21"/>
        </w:rPr>
        <w:t>1993年，撤销化工建材</w:t>
      </w:r>
      <w:r>
        <w:rPr>
          <w:rFonts w:hint="eastAsia" w:ascii="宋体" w:hAnsi="宋体"/>
          <w:szCs w:val="21"/>
        </w:rPr>
        <w:t>工业公司，复合肥厂入股南方烟草集团，其余作为县经委下属独立企业。雄鹤汽修厂因经营困难，</w:t>
      </w:r>
      <w:r>
        <w:rPr>
          <w:rFonts w:ascii="宋体" w:hAnsi="宋体"/>
          <w:szCs w:val="21"/>
        </w:rPr>
        <w:t>1997年下半年停产。彩釉砖厂于1991年投产，有两条彩釉砖生产线，</w:t>
      </w:r>
      <w:r>
        <w:rPr>
          <w:rFonts w:hint="eastAsia" w:ascii="宋体" w:hAnsi="宋体"/>
          <w:szCs w:val="21"/>
        </w:rPr>
        <w:t>年生产能力</w:t>
      </w:r>
      <w:r>
        <w:rPr>
          <w:rFonts w:ascii="宋体" w:hAnsi="宋体"/>
          <w:szCs w:val="21"/>
        </w:rPr>
        <w:t>110万平方米。由于产品档次低，无销路，1999年9月停产。机械安装</w:t>
      </w:r>
      <w:r>
        <w:rPr>
          <w:rFonts w:hint="eastAsia" w:ascii="宋体" w:hAnsi="宋体"/>
          <w:szCs w:val="21"/>
        </w:rPr>
        <w:t>维修公司于</w:t>
      </w:r>
      <w:r>
        <w:rPr>
          <w:rFonts w:ascii="宋体" w:hAnsi="宋体"/>
          <w:szCs w:val="21"/>
        </w:rPr>
        <w:t>1998年并入彩釉砖厂，砖厂停产后，仍独立经营，2002年6月转制为民</w:t>
      </w:r>
      <w:r>
        <w:rPr>
          <w:rFonts w:hint="eastAsia" w:ascii="宋体" w:hAnsi="宋体"/>
          <w:szCs w:val="21"/>
        </w:rPr>
        <w:t>营企业。纸箱厂于</w:t>
      </w:r>
      <w:r>
        <w:rPr>
          <w:rFonts w:ascii="宋体" w:hAnsi="宋体"/>
          <w:szCs w:val="21"/>
        </w:rPr>
        <w:t>1994年与印刷厂、皮革厂组建佳丽公司，为南雄卷烟厂生产商标、</w:t>
      </w:r>
      <w:r>
        <w:rPr>
          <w:rFonts w:hint="eastAsia" w:ascii="宋体" w:hAnsi="宋体"/>
          <w:szCs w:val="21"/>
        </w:rPr>
        <w:t>铝箔纸、水松纸及包装纸箱。</w:t>
      </w:r>
      <w:r>
        <w:rPr>
          <w:rFonts w:ascii="宋体" w:hAnsi="宋体"/>
          <w:szCs w:val="21"/>
        </w:rPr>
        <w:t>2001年卷烟厂被兼并，佳丽公司也随之停业转制</w:t>
      </w:r>
      <w:r>
        <w:rPr>
          <w:rFonts w:hint="eastAsia" w:ascii="宋体" w:hAnsi="宋体"/>
          <w:szCs w:val="21"/>
        </w:rPr>
        <w:t>。</w:t>
      </w:r>
    </w:p>
    <w:p w14:paraId="3BAF2AE0">
      <w:pPr>
        <w:ind w:firstLine="422"/>
        <w:rPr>
          <w:rFonts w:ascii="宋体" w:hAnsi="宋体"/>
          <w:szCs w:val="21"/>
        </w:rPr>
      </w:pPr>
      <w:r>
        <w:rPr>
          <w:rFonts w:hint="eastAsia" w:ascii="宋体" w:hAnsi="宋体"/>
          <w:b/>
          <w:szCs w:val="21"/>
        </w:rPr>
        <w:t>电池厂</w:t>
      </w:r>
      <w:r>
        <w:rPr>
          <w:rFonts w:hint="eastAsia" w:ascii="宋体" w:hAnsi="宋体"/>
          <w:szCs w:val="21"/>
        </w:rPr>
        <w:t xml:space="preserve">  创建于</w:t>
      </w:r>
      <w:r>
        <w:rPr>
          <w:rFonts w:ascii="宋体" w:hAnsi="宋体"/>
          <w:szCs w:val="21"/>
        </w:rPr>
        <w:t>1970年。先后引进B6型5号和R03型7号电池生产线，但由于</w:t>
      </w:r>
      <w:r>
        <w:rPr>
          <w:rFonts w:hint="eastAsia" w:ascii="宋体" w:hAnsi="宋体"/>
          <w:szCs w:val="21"/>
        </w:rPr>
        <w:t>电池市场竞争激烈，产销逐年下降，生产断断续续。</w:t>
      </w:r>
      <w:r>
        <w:rPr>
          <w:rFonts w:ascii="宋体" w:hAnsi="宋体"/>
          <w:szCs w:val="21"/>
        </w:rPr>
        <w:t>1997年又引进一条R205电池生</w:t>
      </w:r>
      <w:r>
        <w:rPr>
          <w:rFonts w:hint="eastAsia" w:ascii="宋体" w:hAnsi="宋体"/>
          <w:szCs w:val="21"/>
        </w:rPr>
        <w:t>产线。终因债务负担重，企业已无法维持正常运转，于</w:t>
      </w:r>
      <w:r>
        <w:rPr>
          <w:rFonts w:ascii="宋体" w:hAnsi="宋体"/>
          <w:szCs w:val="21"/>
        </w:rPr>
        <w:t>2001年10月实施转制，职工</w:t>
      </w:r>
      <w:r>
        <w:rPr>
          <w:rFonts w:hint="eastAsia" w:ascii="宋体" w:hAnsi="宋体"/>
          <w:szCs w:val="21"/>
        </w:rPr>
        <w:t>按工龄每年</w:t>
      </w:r>
      <w:r>
        <w:rPr>
          <w:rFonts w:ascii="宋体" w:hAnsi="宋体"/>
          <w:szCs w:val="21"/>
        </w:rPr>
        <w:t>270元给予工龄补偿，并为职工缴交了社保与医保。工厂停产</w:t>
      </w:r>
      <w:r>
        <w:rPr>
          <w:rFonts w:hint="eastAsia" w:ascii="宋体" w:hAnsi="宋体"/>
          <w:szCs w:val="21"/>
        </w:rPr>
        <w:t>。</w:t>
      </w:r>
    </w:p>
    <w:p w14:paraId="63A74574">
      <w:pPr>
        <w:ind w:firstLine="422"/>
        <w:rPr>
          <w:rFonts w:ascii="宋体" w:hAnsi="宋体"/>
          <w:szCs w:val="21"/>
        </w:rPr>
      </w:pPr>
      <w:r>
        <w:rPr>
          <w:rFonts w:hint="eastAsia" w:ascii="宋体" w:hAnsi="宋体"/>
          <w:b/>
          <w:szCs w:val="21"/>
        </w:rPr>
        <w:t>陶瓷厂</w:t>
      </w:r>
      <w:r>
        <w:rPr>
          <w:rFonts w:hint="eastAsia" w:ascii="宋体" w:hAnsi="宋体"/>
          <w:szCs w:val="21"/>
        </w:rPr>
        <w:t xml:space="preserve">  成立于</w:t>
      </w:r>
      <w:r>
        <w:rPr>
          <w:rFonts w:ascii="宋体" w:hAnsi="宋体"/>
          <w:szCs w:val="21"/>
        </w:rPr>
        <w:t>1958年8月，有干部职工157人，主要生产彩釉砖，内外墙瓷</w:t>
      </w:r>
      <w:r>
        <w:rPr>
          <w:rFonts w:hint="eastAsia" w:ascii="宋体" w:hAnsi="宋体"/>
          <w:szCs w:val="21"/>
        </w:rPr>
        <w:t>砖等陶瓷产品，年设计生产能力为</w:t>
      </w:r>
      <w:r>
        <w:rPr>
          <w:rFonts w:ascii="宋体" w:hAnsi="宋体"/>
          <w:szCs w:val="21"/>
        </w:rPr>
        <w:t>150万平方米。1995年以后，由于经营管理不善，</w:t>
      </w:r>
      <w:r>
        <w:rPr>
          <w:rFonts w:hint="eastAsia" w:ascii="宋体" w:hAnsi="宋体"/>
          <w:szCs w:val="21"/>
        </w:rPr>
        <w:t>主要生产设备残旧，产品质量低，企业巨额亏损。</w:t>
      </w:r>
      <w:r>
        <w:rPr>
          <w:rFonts w:ascii="宋体" w:hAnsi="宋体"/>
          <w:szCs w:val="21"/>
        </w:rPr>
        <w:t>1998年5月，企业向南雄市人民</w:t>
      </w:r>
      <w:r>
        <w:rPr>
          <w:rFonts w:hint="eastAsia" w:ascii="宋体" w:hAnsi="宋体"/>
          <w:szCs w:val="21"/>
        </w:rPr>
        <w:t>法院提出破产申请，职工按工龄每年</w:t>
      </w:r>
      <w:r>
        <w:rPr>
          <w:rFonts w:ascii="宋体" w:hAnsi="宋体"/>
          <w:szCs w:val="21"/>
        </w:rPr>
        <w:t>100元给予工龄补偿并做妥善安置。</w:t>
      </w:r>
    </w:p>
    <w:p w14:paraId="10DCDA59">
      <w:pPr>
        <w:ind w:firstLine="422"/>
        <w:rPr>
          <w:rFonts w:ascii="宋体" w:hAnsi="宋体"/>
          <w:szCs w:val="21"/>
        </w:rPr>
      </w:pPr>
      <w:r>
        <w:rPr>
          <w:rFonts w:hint="eastAsia" w:ascii="宋体" w:hAnsi="宋体"/>
          <w:b/>
          <w:szCs w:val="21"/>
        </w:rPr>
        <w:t>印刷厂</w:t>
      </w:r>
      <w:r>
        <w:rPr>
          <w:rFonts w:hint="eastAsia" w:ascii="宋体" w:hAnsi="宋体"/>
          <w:szCs w:val="21"/>
        </w:rPr>
        <w:t xml:space="preserve">  成立于</w:t>
      </w:r>
      <w:r>
        <w:rPr>
          <w:rFonts w:ascii="宋体" w:hAnsi="宋体"/>
          <w:szCs w:val="21"/>
        </w:rPr>
        <w:t>1951年，有职工187人。该厂先后引进了西德“海德堡”凸印</w:t>
      </w:r>
      <w:r>
        <w:rPr>
          <w:rFonts w:hint="eastAsia" w:ascii="宋体" w:hAnsi="宋体"/>
          <w:szCs w:val="21"/>
        </w:rPr>
        <w:t>机</w:t>
      </w:r>
      <w:r>
        <w:rPr>
          <w:rFonts w:ascii="宋体" w:hAnsi="宋体"/>
          <w:szCs w:val="21"/>
        </w:rPr>
        <w:t>8台，“罗兰”RIK对开四色、双色胶印机各1台，“海德堡”102V对开四色胶印</w:t>
      </w:r>
      <w:r>
        <w:rPr>
          <w:rFonts w:hint="eastAsia" w:ascii="宋体" w:hAnsi="宋体"/>
          <w:szCs w:val="21"/>
        </w:rPr>
        <w:t>机</w:t>
      </w:r>
      <w:r>
        <w:rPr>
          <w:rFonts w:ascii="宋体" w:hAnsi="宋体"/>
          <w:szCs w:val="21"/>
        </w:rPr>
        <w:t>1台。同时，该厂开展多元化经营，构成了以包装装潢印刷为主体，集零件印刷、</w:t>
      </w:r>
      <w:r>
        <w:rPr>
          <w:rFonts w:hint="eastAsia" w:ascii="宋体" w:hAnsi="宋体"/>
          <w:szCs w:val="21"/>
        </w:rPr>
        <w:t>塑料印刷、妇女保健卫生巾生产经营为一体的综合性印刷企业。由于经营不善，并受卷烟厂产品结构调整因素的影响，卷烟包装印刷业务逐年下跌，经济效益下降。</w:t>
      </w:r>
      <w:r>
        <w:rPr>
          <w:rFonts w:ascii="宋体" w:hAnsi="宋体"/>
          <w:szCs w:val="21"/>
        </w:rPr>
        <w:t>2001</w:t>
      </w:r>
      <w:r>
        <w:rPr>
          <w:rFonts w:hint="eastAsia" w:ascii="宋体" w:hAnsi="宋体"/>
          <w:szCs w:val="21"/>
        </w:rPr>
        <w:t>年</w:t>
      </w:r>
      <w:r>
        <w:rPr>
          <w:rFonts w:ascii="宋体" w:hAnsi="宋体"/>
          <w:szCs w:val="21"/>
        </w:rPr>
        <w:t>12月，实施转制，妥善安置职工。转制后该厂租赁给私人经营</w:t>
      </w:r>
      <w:r>
        <w:rPr>
          <w:rFonts w:hint="eastAsia" w:ascii="宋体" w:hAnsi="宋体"/>
          <w:szCs w:val="21"/>
        </w:rPr>
        <w:t>。</w:t>
      </w:r>
    </w:p>
    <w:p w14:paraId="20690EEB">
      <w:pPr>
        <w:ind w:firstLine="422"/>
        <w:rPr>
          <w:rFonts w:ascii="宋体" w:hAnsi="宋体"/>
          <w:szCs w:val="21"/>
        </w:rPr>
      </w:pPr>
      <w:r>
        <w:rPr>
          <w:rFonts w:hint="eastAsia" w:ascii="宋体" w:hAnsi="宋体"/>
          <w:b/>
          <w:szCs w:val="21"/>
        </w:rPr>
        <w:t>通用机械厂</w:t>
      </w:r>
      <w:r>
        <w:rPr>
          <w:rFonts w:hint="eastAsia" w:ascii="宋体" w:hAnsi="宋体"/>
          <w:szCs w:val="21"/>
        </w:rPr>
        <w:t xml:space="preserve">  </w:t>
      </w:r>
      <w:r>
        <w:rPr>
          <w:rFonts w:ascii="宋体" w:hAnsi="宋体"/>
          <w:szCs w:val="21"/>
        </w:rPr>
        <w:t>1952年创建，原为农具厂、农业机械厂，有职工169人。主要以</w:t>
      </w:r>
      <w:r>
        <w:rPr>
          <w:rFonts w:hint="eastAsia" w:ascii="宋体" w:hAnsi="宋体"/>
          <w:szCs w:val="21"/>
        </w:rPr>
        <w:t>生产榨油机为主。由于产品单一，设备老化，加上技改失败，企业面临困境。</w:t>
      </w:r>
      <w:r>
        <w:rPr>
          <w:rFonts w:ascii="宋体" w:hAnsi="宋体"/>
          <w:szCs w:val="21"/>
        </w:rPr>
        <w:t>1994</w:t>
      </w:r>
      <w:r>
        <w:rPr>
          <w:rFonts w:hint="eastAsia" w:ascii="宋体" w:hAnsi="宋体"/>
          <w:szCs w:val="21"/>
        </w:rPr>
        <w:t>年</w:t>
      </w:r>
      <w:r>
        <w:rPr>
          <w:rFonts w:ascii="宋体" w:hAnsi="宋体"/>
          <w:szCs w:val="21"/>
        </w:rPr>
        <w:t>11月，转换企业经营机制，将通用厂生产区进行产权拍卖，并与顺德市新发力有</w:t>
      </w:r>
      <w:r>
        <w:rPr>
          <w:rFonts w:hint="eastAsia" w:ascii="宋体" w:hAnsi="宋体"/>
          <w:szCs w:val="21"/>
        </w:rPr>
        <w:t>限公司达成了转让协议。</w:t>
      </w:r>
      <w:r>
        <w:rPr>
          <w:rFonts w:ascii="宋体" w:hAnsi="宋体"/>
          <w:szCs w:val="21"/>
        </w:rPr>
        <w:t>1994年底，该厂职工以每年工龄500元进行补偿，并为职</w:t>
      </w:r>
      <w:r>
        <w:rPr>
          <w:rFonts w:hint="eastAsia" w:ascii="宋体" w:hAnsi="宋体"/>
          <w:szCs w:val="21"/>
        </w:rPr>
        <w:t>工办理了社保。</w:t>
      </w:r>
    </w:p>
    <w:p w14:paraId="4412B4CB">
      <w:pPr>
        <w:ind w:firstLine="422"/>
        <w:rPr>
          <w:rFonts w:ascii="宋体" w:hAnsi="宋体"/>
          <w:szCs w:val="21"/>
        </w:rPr>
      </w:pPr>
      <w:r>
        <w:rPr>
          <w:rFonts w:hint="eastAsia" w:ascii="宋体" w:hAnsi="宋体"/>
          <w:b/>
          <w:szCs w:val="21"/>
        </w:rPr>
        <w:t>南雄食品厂</w:t>
      </w:r>
      <w:r>
        <w:rPr>
          <w:rFonts w:hint="eastAsia" w:ascii="宋体" w:hAnsi="宋体"/>
          <w:szCs w:val="21"/>
        </w:rPr>
        <w:t xml:space="preserve">  创办于</w:t>
      </w:r>
      <w:r>
        <w:rPr>
          <w:rFonts w:ascii="宋体" w:hAnsi="宋体"/>
          <w:szCs w:val="21"/>
        </w:rPr>
        <w:t>1958年，有职工239人。该厂有二条生产线，一是坐落在</w:t>
      </w:r>
      <w:r>
        <w:rPr>
          <w:rFonts w:hint="eastAsia" w:ascii="宋体" w:hAnsi="宋体"/>
          <w:szCs w:val="21"/>
        </w:rPr>
        <w:t>繁荣路</w:t>
      </w:r>
      <w:r>
        <w:rPr>
          <w:rFonts w:ascii="宋体" w:hAnsi="宋体"/>
          <w:szCs w:val="21"/>
        </w:rPr>
        <w:t>68号的1000型普通饼干生产线，年生产能力为3500吨；二是坐落在牛筋街51号的560型饼干生产线，年生产能力为2500吨。该厂产品在周边有很大的市场，</w:t>
      </w:r>
      <w:r>
        <w:rPr>
          <w:rFonts w:hint="eastAsia" w:ascii="宋体" w:hAnsi="宋体"/>
          <w:szCs w:val="21"/>
        </w:rPr>
        <w:t>每年的利润都达</w:t>
      </w:r>
      <w:r>
        <w:rPr>
          <w:rFonts w:ascii="宋体" w:hAnsi="宋体"/>
          <w:szCs w:val="21"/>
        </w:rPr>
        <w:t>50万元左右。1992年，该厂投资800万元在河南街新上了“贝克”1000型饼干生产线，年生产能力为6000吨。由于巨额的投资，导致该厂债务沉重</w:t>
      </w:r>
      <w:r>
        <w:rPr>
          <w:rFonts w:hint="eastAsia" w:ascii="宋体" w:hAnsi="宋体"/>
          <w:szCs w:val="21"/>
        </w:rPr>
        <w:t>，变成特困企业。同年</w:t>
      </w:r>
      <w:r>
        <w:rPr>
          <w:rFonts w:ascii="宋体" w:hAnsi="宋体"/>
          <w:szCs w:val="21"/>
        </w:rPr>
        <w:t>8月，县皮革厂对食品厂进行租赁经营，更名为广东省南雄万顺</w:t>
      </w:r>
      <w:r>
        <w:rPr>
          <w:rFonts w:hint="eastAsia" w:ascii="宋体" w:hAnsi="宋体"/>
          <w:szCs w:val="21"/>
        </w:rPr>
        <w:t>饼业公司。但由于该厂管理不善，以致半年后无法维持运作而停产。</w:t>
      </w:r>
      <w:r>
        <w:rPr>
          <w:rFonts w:ascii="宋体" w:hAnsi="宋体"/>
          <w:szCs w:val="21"/>
        </w:rPr>
        <w:t>1997年盘活部</w:t>
      </w:r>
      <w:r>
        <w:rPr>
          <w:rFonts w:hint="eastAsia" w:ascii="宋体" w:hAnsi="宋体"/>
          <w:szCs w:val="21"/>
        </w:rPr>
        <w:t>分存量资产实施转制，以每年工龄补</w:t>
      </w:r>
      <w:r>
        <w:rPr>
          <w:rFonts w:ascii="宋体" w:hAnsi="宋体"/>
          <w:szCs w:val="21"/>
        </w:rPr>
        <w:t>100元的标准对职工进行了工龄补偿，并为职工</w:t>
      </w:r>
      <w:r>
        <w:rPr>
          <w:rFonts w:hint="eastAsia" w:ascii="宋体" w:hAnsi="宋体"/>
          <w:szCs w:val="21"/>
        </w:rPr>
        <w:t>购买了社保，安置职工</w:t>
      </w:r>
      <w:r>
        <w:rPr>
          <w:rFonts w:ascii="宋体" w:hAnsi="宋体"/>
          <w:szCs w:val="21"/>
        </w:rPr>
        <w:t>198人，离退休41人。正式关闭该厂。</w:t>
      </w:r>
    </w:p>
    <w:p w14:paraId="2FEDAA2A">
      <w:pPr>
        <w:ind w:firstLine="422"/>
        <w:rPr>
          <w:rFonts w:ascii="宋体" w:hAnsi="宋体"/>
          <w:szCs w:val="21"/>
        </w:rPr>
      </w:pPr>
      <w:r>
        <w:rPr>
          <w:rFonts w:hint="eastAsia" w:ascii="宋体" w:hAnsi="宋体"/>
          <w:b/>
          <w:szCs w:val="21"/>
        </w:rPr>
        <w:t>南雄酒厂</w:t>
      </w:r>
      <w:r>
        <w:rPr>
          <w:rFonts w:hint="eastAsia" w:ascii="宋体" w:hAnsi="宋体"/>
          <w:szCs w:val="21"/>
        </w:rPr>
        <w:t xml:space="preserve">  </w:t>
      </w:r>
      <w:r>
        <w:rPr>
          <w:rFonts w:ascii="宋体" w:hAnsi="宋体"/>
          <w:szCs w:val="21"/>
        </w:rPr>
        <w:t>1978年从南雄食品厂分出而成立。该厂有米酒、机制酒、果汁汽水</w:t>
      </w:r>
      <w:r>
        <w:rPr>
          <w:rFonts w:hint="eastAsia" w:ascii="宋体" w:hAnsi="宋体"/>
          <w:szCs w:val="21"/>
        </w:rPr>
        <w:t>、花生蛋白系列产品</w:t>
      </w:r>
      <w:r>
        <w:rPr>
          <w:rFonts w:ascii="宋体" w:hAnsi="宋体"/>
          <w:szCs w:val="21"/>
        </w:rPr>
        <w:t>4条生产线，有职工96人。1994年由于市场竞争日趋激烈，该厂</w:t>
      </w:r>
      <w:r>
        <w:rPr>
          <w:rFonts w:hint="eastAsia" w:ascii="宋体" w:hAnsi="宋体"/>
          <w:szCs w:val="21"/>
        </w:rPr>
        <w:t>的产品又较为落后，市场占有量逐步萎缩，</w:t>
      </w:r>
      <w:r>
        <w:rPr>
          <w:rFonts w:ascii="宋体" w:hAnsi="宋体"/>
          <w:szCs w:val="21"/>
        </w:rPr>
        <w:t>1995年停产。2004年12月，该厂用城市</w:t>
      </w:r>
      <w:r>
        <w:rPr>
          <w:rFonts w:hint="eastAsia" w:ascii="宋体" w:hAnsi="宋体"/>
          <w:szCs w:val="21"/>
        </w:rPr>
        <w:t>经营土地转让款实施转制，职工按工龄每年</w:t>
      </w:r>
      <w:r>
        <w:rPr>
          <w:rFonts w:ascii="宋体" w:hAnsi="宋体"/>
          <w:szCs w:val="21"/>
        </w:rPr>
        <w:t>280元给予工龄补偿，并为职工缴交了社</w:t>
      </w:r>
      <w:r>
        <w:rPr>
          <w:rFonts w:hint="eastAsia" w:ascii="宋体" w:hAnsi="宋体"/>
          <w:szCs w:val="21"/>
        </w:rPr>
        <w:t>保和医保。</w:t>
      </w:r>
    </w:p>
    <w:p w14:paraId="2AB96D6A">
      <w:pPr>
        <w:ind w:firstLine="422"/>
        <w:rPr>
          <w:rFonts w:ascii="宋体" w:hAnsi="宋体"/>
          <w:szCs w:val="21"/>
        </w:rPr>
      </w:pPr>
      <w:r>
        <w:rPr>
          <w:rFonts w:hint="eastAsia" w:ascii="宋体" w:hAnsi="宋体"/>
          <w:b/>
          <w:szCs w:val="21"/>
        </w:rPr>
        <w:t>雄得利花岗石开发公司</w:t>
      </w:r>
      <w:r>
        <w:rPr>
          <w:rFonts w:hint="eastAsia" w:ascii="宋体" w:hAnsi="宋体"/>
          <w:szCs w:val="21"/>
        </w:rPr>
        <w:t xml:space="preserve">  是南雄与香港得利时电子有限公司合作的一家中外合作企业，于</w:t>
      </w:r>
      <w:r>
        <w:rPr>
          <w:rFonts w:ascii="宋体" w:hAnsi="宋体"/>
          <w:szCs w:val="21"/>
        </w:rPr>
        <w:t>1986年3月成立，有职工68人。主要经营花岗石生产和装修。因本地石材</w:t>
      </w:r>
      <w:r>
        <w:rPr>
          <w:rFonts w:hint="eastAsia" w:ascii="宋体" w:hAnsi="宋体"/>
          <w:szCs w:val="21"/>
        </w:rPr>
        <w:t>档次低下，投产后，效益一直不理想。</w:t>
      </w:r>
      <w:r>
        <w:rPr>
          <w:rFonts w:ascii="宋体" w:hAnsi="宋体"/>
          <w:szCs w:val="21"/>
        </w:rPr>
        <w:t>2003年该厂转制为民营企业。职工按工龄每</w:t>
      </w:r>
      <w:r>
        <w:rPr>
          <w:rFonts w:hint="eastAsia" w:ascii="宋体" w:hAnsi="宋体"/>
          <w:szCs w:val="21"/>
        </w:rPr>
        <w:t>年</w:t>
      </w:r>
      <w:r>
        <w:rPr>
          <w:rFonts w:ascii="宋体" w:hAnsi="宋体"/>
          <w:szCs w:val="21"/>
        </w:rPr>
        <w:t>270元给予工龄补偿，并为职工购买了社保、医保。</w:t>
      </w:r>
    </w:p>
    <w:p w14:paraId="3E5DEC1F">
      <w:pPr>
        <w:ind w:firstLine="422"/>
        <w:rPr>
          <w:rFonts w:ascii="宋体" w:hAnsi="宋体"/>
          <w:szCs w:val="21"/>
        </w:rPr>
      </w:pPr>
      <w:r>
        <w:rPr>
          <w:rFonts w:hint="eastAsia" w:ascii="宋体" w:hAnsi="宋体"/>
          <w:b/>
          <w:szCs w:val="21"/>
        </w:rPr>
        <w:t>矿产总公司</w:t>
      </w:r>
      <w:r>
        <w:rPr>
          <w:rFonts w:hint="eastAsia" w:ascii="宋体" w:hAnsi="宋体"/>
          <w:szCs w:val="21"/>
        </w:rPr>
        <w:t xml:space="preserve">  成立于</w:t>
      </w:r>
      <w:r>
        <w:rPr>
          <w:rFonts w:ascii="宋体" w:hAnsi="宋体"/>
          <w:szCs w:val="21"/>
        </w:rPr>
        <w:t>1984年，下属工贸公司、矿业公司、供销公司、矿产公司</w:t>
      </w:r>
      <w:r>
        <w:rPr>
          <w:rFonts w:hint="eastAsia" w:ascii="宋体" w:hAnsi="宋体"/>
          <w:szCs w:val="21"/>
        </w:rPr>
        <w:t>、矿品公司、稀土公司、有色公司、经贸公司、玻纤厂、业务部，共有干部职工</w:t>
      </w:r>
      <w:r>
        <w:rPr>
          <w:rFonts w:ascii="宋体" w:hAnsi="宋体"/>
          <w:szCs w:val="21"/>
        </w:rPr>
        <w:t>158</w:t>
      </w:r>
      <w:r>
        <w:rPr>
          <w:rFonts w:hint="eastAsia" w:ascii="宋体" w:hAnsi="宋体"/>
          <w:szCs w:val="21"/>
        </w:rPr>
        <w:t>人，主要从事有色金属矿产品加工经营。</w:t>
      </w:r>
      <w:r>
        <w:rPr>
          <w:rFonts w:ascii="宋体" w:hAnsi="宋体"/>
          <w:szCs w:val="21"/>
        </w:rPr>
        <w:t>1995年后，矿产品经营越来越困难，企业</w:t>
      </w:r>
      <w:r>
        <w:rPr>
          <w:rFonts w:hint="eastAsia" w:ascii="宋体" w:hAnsi="宋体"/>
          <w:szCs w:val="21"/>
        </w:rPr>
        <w:t>亏损。</w:t>
      </w:r>
      <w:r>
        <w:rPr>
          <w:rFonts w:ascii="宋体" w:hAnsi="宋体"/>
          <w:szCs w:val="21"/>
        </w:rPr>
        <w:t>1996年停止运作，实施转制，为职工购买了社保，保证职工老有所养</w:t>
      </w:r>
      <w:r>
        <w:rPr>
          <w:rFonts w:hint="eastAsia" w:ascii="宋体" w:hAnsi="宋体"/>
          <w:szCs w:val="21"/>
        </w:rPr>
        <w:t>。</w:t>
      </w:r>
    </w:p>
    <w:p w14:paraId="2E007894">
      <w:pPr>
        <w:ind w:firstLine="422"/>
        <w:rPr>
          <w:rFonts w:ascii="宋体" w:hAnsi="宋体"/>
          <w:szCs w:val="21"/>
        </w:rPr>
      </w:pPr>
      <w:r>
        <w:rPr>
          <w:rFonts w:hint="eastAsia" w:ascii="宋体" w:hAnsi="宋体"/>
          <w:b/>
          <w:szCs w:val="21"/>
        </w:rPr>
        <w:t>卷烟厂</w:t>
      </w:r>
      <w:r>
        <w:rPr>
          <w:rFonts w:hint="eastAsia" w:ascii="宋体" w:hAnsi="宋体"/>
          <w:szCs w:val="21"/>
        </w:rPr>
        <w:t xml:space="preserve">  南雄卷烟始于</w:t>
      </w:r>
      <w:r>
        <w:rPr>
          <w:rFonts w:ascii="宋体" w:hAnsi="宋体"/>
          <w:szCs w:val="21"/>
        </w:rPr>
        <w:t>1927年。新中国成立后卷烟一度停产。1970年地方国营烟</w:t>
      </w:r>
      <w:r>
        <w:rPr>
          <w:rFonts w:hint="eastAsia" w:ascii="宋体" w:hAnsi="宋体"/>
          <w:szCs w:val="21"/>
        </w:rPr>
        <w:t>丝厂恢复少量卷烟，</w:t>
      </w:r>
      <w:r>
        <w:rPr>
          <w:rFonts w:ascii="宋体" w:hAnsi="宋体"/>
          <w:szCs w:val="21"/>
        </w:rPr>
        <w:t>1980年起专门生产卷烟。1983年6月，国务院批准南雄县卷烟厂</w:t>
      </w:r>
      <w:r>
        <w:rPr>
          <w:rFonts w:hint="eastAsia" w:ascii="宋体" w:hAnsi="宋体"/>
          <w:szCs w:val="21"/>
        </w:rPr>
        <w:t>列入国家计划。</w:t>
      </w:r>
      <w:r>
        <w:rPr>
          <w:rFonts w:ascii="宋体" w:hAnsi="宋体"/>
          <w:szCs w:val="21"/>
        </w:rPr>
        <w:t>1985年11月引进英国JP公司MK8/MAXⅢ（卷烟长度为100毫</w:t>
      </w:r>
      <w:r>
        <w:rPr>
          <w:rFonts w:hint="eastAsia" w:ascii="宋体" w:hAnsi="宋体"/>
          <w:szCs w:val="21"/>
        </w:rPr>
        <w:t>米</w:t>
      </w:r>
      <w:r>
        <w:rPr>
          <w:rFonts w:ascii="宋体" w:hAnsi="宋体"/>
          <w:szCs w:val="21"/>
        </w:rPr>
        <w:t>）卷</w:t>
      </w:r>
      <w:r>
        <w:rPr>
          <w:rFonts w:hint="eastAsia" w:ascii="宋体" w:hAnsi="宋体"/>
          <w:szCs w:val="21"/>
        </w:rPr>
        <w:t>烟、接嘴、包装生产线安装投产，始产甲级特长滤嘴卷烟。</w:t>
      </w:r>
      <w:r>
        <w:rPr>
          <w:rFonts w:ascii="宋体" w:hAnsi="宋体"/>
          <w:szCs w:val="21"/>
        </w:rPr>
        <w:t>1986年9月引进香港南洋兄</w:t>
      </w:r>
      <w:r>
        <w:rPr>
          <w:rFonts w:hint="eastAsia" w:ascii="宋体" w:hAnsi="宋体"/>
          <w:szCs w:val="21"/>
        </w:rPr>
        <w:t>弟烟草公司</w:t>
      </w:r>
      <w:r>
        <w:rPr>
          <w:rFonts w:ascii="宋体" w:hAnsi="宋体"/>
          <w:szCs w:val="21"/>
        </w:rPr>
        <w:t>MK8/PA7（卷烟长度为84毫米）卷烟、接嘴、包装生产线并安装投产</w:t>
      </w:r>
      <w:r>
        <w:rPr>
          <w:rFonts w:hint="eastAsia" w:ascii="宋体" w:hAnsi="宋体"/>
          <w:szCs w:val="21"/>
        </w:rPr>
        <w:t>。</w:t>
      </w:r>
      <w:r>
        <w:rPr>
          <w:rFonts w:ascii="宋体" w:hAnsi="宋体"/>
          <w:szCs w:val="21"/>
        </w:rPr>
        <w:t>1987年8月引进荷兰同类型的卷烟、接嘴机（100毫米和84毫米）各2台。至此形成</w:t>
      </w:r>
      <w:r>
        <w:rPr>
          <w:rFonts w:hint="eastAsia" w:ascii="宋体" w:hAnsi="宋体"/>
          <w:szCs w:val="21"/>
        </w:rPr>
        <w:t>年生产高档卷烟</w:t>
      </w:r>
      <w:r>
        <w:rPr>
          <w:rFonts w:ascii="宋体" w:hAnsi="宋体"/>
          <w:szCs w:val="21"/>
        </w:rPr>
        <w:t>3万大箱（5万支箱）的能力。加上原有设备，全厂具有年生产卷烟10</w:t>
      </w:r>
      <w:r>
        <w:rPr>
          <w:rFonts w:hint="eastAsia" w:ascii="宋体" w:hAnsi="宋体"/>
          <w:szCs w:val="21"/>
        </w:rPr>
        <w:t>万大箱的能力。</w:t>
      </w:r>
      <w:r>
        <w:rPr>
          <w:rFonts w:ascii="宋体" w:hAnsi="宋体"/>
          <w:szCs w:val="21"/>
        </w:rPr>
        <w:t>2000年卷烟产量79000大箱，产值19578万元，实现税金10183万元，</w:t>
      </w:r>
      <w:r>
        <w:rPr>
          <w:rFonts w:hint="eastAsia" w:ascii="宋体" w:hAnsi="宋体"/>
          <w:szCs w:val="21"/>
        </w:rPr>
        <w:t>利润</w:t>
      </w:r>
      <w:r>
        <w:rPr>
          <w:rFonts w:ascii="宋体" w:hAnsi="宋体"/>
          <w:szCs w:val="21"/>
        </w:rPr>
        <w:t>501万元。根据省经济体制改革的战略目标，要求撤销或兼并年产10万大箱卷烟</w:t>
      </w:r>
      <w:r>
        <w:rPr>
          <w:rFonts w:hint="eastAsia" w:ascii="宋体" w:hAnsi="宋体"/>
          <w:szCs w:val="21"/>
        </w:rPr>
        <w:t>以下的小厂。经南雄市委、市政府同意，于</w:t>
      </w:r>
      <w:r>
        <w:rPr>
          <w:rFonts w:ascii="宋体" w:hAnsi="宋体"/>
          <w:szCs w:val="21"/>
        </w:rPr>
        <w:t>2001年12月28日与韶关卷烟厂签订了</w:t>
      </w:r>
      <w:r>
        <w:rPr>
          <w:rFonts w:hint="eastAsia" w:ascii="宋体" w:hAnsi="宋体"/>
          <w:szCs w:val="21"/>
        </w:rPr>
        <w:t>《广东韶关卷烟厂兼并南雄卷烟厂协议书》，经国家烟草专卖局批准，取消南雄卷烟厂法人资格和生产点，人员、财产、设备全部由韶关卷烟厂集中统一管理。</w:t>
      </w:r>
    </w:p>
    <w:p w14:paraId="79E5DD79">
      <w:pPr>
        <w:ind w:firstLine="422"/>
        <w:rPr>
          <w:rFonts w:ascii="宋体" w:hAnsi="宋体"/>
          <w:szCs w:val="21"/>
        </w:rPr>
      </w:pPr>
      <w:r>
        <w:rPr>
          <w:rFonts w:hint="eastAsia" w:ascii="宋体" w:hAnsi="宋体"/>
          <w:b/>
          <w:szCs w:val="21"/>
        </w:rPr>
        <w:t>二轻系统下属企业</w:t>
      </w:r>
      <w:r>
        <w:rPr>
          <w:rFonts w:hint="eastAsia" w:ascii="宋体" w:hAnsi="宋体"/>
          <w:szCs w:val="21"/>
        </w:rPr>
        <w:t xml:space="preserve">  化工厂、工艺厂、木制品厂、铝制品厂、机械厂、木器厂、棉织厂、制衣厂、竹制工艺厂、副食品厂、制鞋厂、民间工艺厂、二轻供销公司</w:t>
      </w:r>
      <w:r>
        <w:rPr>
          <w:rFonts w:ascii="宋体" w:hAnsi="宋体"/>
          <w:szCs w:val="21"/>
        </w:rPr>
        <w:t>13</w:t>
      </w:r>
      <w:r>
        <w:rPr>
          <w:rFonts w:hint="eastAsia" w:ascii="宋体" w:hAnsi="宋体"/>
          <w:szCs w:val="21"/>
        </w:rPr>
        <w:t>个企业，从</w:t>
      </w:r>
      <w:r>
        <w:rPr>
          <w:rFonts w:ascii="宋体" w:hAnsi="宋体"/>
          <w:szCs w:val="21"/>
        </w:rPr>
        <w:t>200</w:t>
      </w:r>
      <w:r>
        <w:rPr>
          <w:rFonts w:hint="eastAsia" w:ascii="宋体" w:hAnsi="宋体"/>
          <w:szCs w:val="21"/>
        </w:rPr>
        <w:t>2</w:t>
      </w:r>
      <w:r>
        <w:rPr>
          <w:rFonts w:ascii="宋体" w:hAnsi="宋体"/>
          <w:szCs w:val="21"/>
        </w:rPr>
        <w:t>年底起，职工分三批转制分流：第一批为合同制职工241名，发放</w:t>
      </w:r>
      <w:r>
        <w:rPr>
          <w:rFonts w:hint="eastAsia" w:ascii="宋体" w:hAnsi="宋体"/>
          <w:szCs w:val="21"/>
        </w:rPr>
        <w:t>转制补偿金</w:t>
      </w:r>
      <w:r>
        <w:rPr>
          <w:rFonts w:ascii="宋体" w:hAnsi="宋体"/>
          <w:szCs w:val="21"/>
        </w:rPr>
        <w:t>89.06万元；第二批为固定工211名，发放转制补偿金157万元；第三批120名固定职工，发放转制补偿金110万元。至2004年9月完成了二轻系统企业的转</w:t>
      </w:r>
      <w:r>
        <w:rPr>
          <w:rFonts w:hint="eastAsia" w:ascii="宋体" w:hAnsi="宋体"/>
          <w:szCs w:val="21"/>
        </w:rPr>
        <w:t>制工作。</w:t>
      </w:r>
    </w:p>
    <w:p w14:paraId="0DD534E5">
      <w:pPr>
        <w:ind w:firstLine="420"/>
        <w:rPr>
          <w:rFonts w:ascii="宋体" w:hAnsi="宋体"/>
          <w:szCs w:val="21"/>
        </w:rPr>
      </w:pPr>
      <w:r>
        <w:rPr>
          <w:rFonts w:ascii="宋体" w:hAnsi="宋体"/>
          <w:szCs w:val="21"/>
        </w:rPr>
        <w:t>2002年以来，围绕招商引资，城市经营，发展民营经济。至2004年，民营工业</w:t>
      </w:r>
      <w:r>
        <w:rPr>
          <w:rFonts w:hint="eastAsia" w:ascii="宋体" w:hAnsi="宋体"/>
          <w:szCs w:val="21"/>
        </w:rPr>
        <w:t>企业有较大发展，共有</w:t>
      </w:r>
      <w:r>
        <w:rPr>
          <w:rFonts w:ascii="宋体" w:hAnsi="宋体"/>
          <w:szCs w:val="21"/>
        </w:rPr>
        <w:t>161家，从业1878人，产值13.95亿元，占全市工业总产值</w:t>
      </w:r>
      <w:r>
        <w:rPr>
          <w:rFonts w:hint="eastAsia" w:ascii="宋体" w:hAnsi="宋体"/>
          <w:szCs w:val="21"/>
        </w:rPr>
        <w:t>的</w:t>
      </w:r>
      <w:r>
        <w:rPr>
          <w:rFonts w:ascii="宋体" w:hAnsi="宋体"/>
          <w:szCs w:val="21"/>
        </w:rPr>
        <w:t>73.3%。</w:t>
      </w:r>
    </w:p>
    <w:p w14:paraId="4C6BFDFF">
      <w:pPr>
        <w:ind w:firstLine="0" w:firstLineChars="0"/>
        <w:jc w:val="center"/>
        <w:rPr>
          <w:rFonts w:ascii="宋体" w:hAnsi="宋体"/>
          <w:b/>
          <w:szCs w:val="21"/>
        </w:rPr>
      </w:pPr>
      <w:r>
        <w:rPr>
          <w:rFonts w:hint="eastAsia" w:ascii="宋体" w:hAnsi="宋体"/>
          <w:b/>
          <w:szCs w:val="21"/>
        </w:rPr>
        <w:t>1996年至2004年工业生产情况</w:t>
      </w:r>
    </w:p>
    <w:p w14:paraId="34CFF4A2">
      <w:pPr>
        <w:ind w:firstLine="0" w:firstLineChars="0"/>
        <w:rPr>
          <w:rFonts w:ascii="宋体" w:hAnsi="宋体"/>
          <w:b/>
          <w:szCs w:val="21"/>
        </w:rPr>
      </w:pPr>
      <w:r>
        <w:rPr>
          <w:rFonts w:hint="eastAsia" w:ascii="宋体" w:hAnsi="宋体"/>
          <w:b/>
          <w:szCs w:val="21"/>
        </w:rPr>
        <w:t>表2-33</w:t>
      </w:r>
    </w:p>
    <w:tbl>
      <w:tblPr>
        <w:tblStyle w:val="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45"/>
        <w:gridCol w:w="878"/>
        <w:gridCol w:w="880"/>
        <w:gridCol w:w="881"/>
        <w:gridCol w:w="881"/>
        <w:gridCol w:w="879"/>
        <w:gridCol w:w="881"/>
        <w:gridCol w:w="881"/>
        <w:gridCol w:w="881"/>
        <w:gridCol w:w="875"/>
      </w:tblGrid>
      <w:tr w14:paraId="50CDC1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7" w:type="pct"/>
            <w:tcBorders>
              <w:left w:val="nil"/>
              <w:tl2br w:val="single" w:color="auto" w:sz="4" w:space="0"/>
            </w:tcBorders>
            <w:vAlign w:val="center"/>
          </w:tcPr>
          <w:p w14:paraId="0EE4FB66">
            <w:pPr>
              <w:pStyle w:val="12"/>
              <w:ind w:right="420"/>
              <w:jc w:val="right"/>
              <w:rPr>
                <w:rFonts w:ascii="宋体" w:hAnsi="宋体"/>
                <w:b/>
              </w:rPr>
            </w:pPr>
            <w:r>
              <w:rPr>
                <w:rFonts w:hint="eastAsia" w:ascii="宋体" w:hAnsi="宋体"/>
                <w:b/>
              </w:rPr>
              <w:t>年份</w:t>
            </w:r>
          </w:p>
          <w:p w14:paraId="6D457E9E">
            <w:pPr>
              <w:pStyle w:val="12"/>
              <w:ind w:firstLine="422" w:firstLineChars="200"/>
              <w:jc w:val="left"/>
              <w:rPr>
                <w:rFonts w:ascii="宋体" w:hAnsi="宋体"/>
                <w:b/>
              </w:rPr>
            </w:pPr>
            <w:r>
              <w:rPr>
                <w:rFonts w:hint="eastAsia" w:ascii="宋体" w:hAnsi="宋体"/>
                <w:b/>
              </w:rPr>
              <w:t>项目</w:t>
            </w:r>
          </w:p>
        </w:tc>
        <w:tc>
          <w:tcPr>
            <w:tcW w:w="441" w:type="pct"/>
            <w:vAlign w:val="center"/>
          </w:tcPr>
          <w:p w14:paraId="49CA5300">
            <w:pPr>
              <w:pStyle w:val="12"/>
              <w:jc w:val="center"/>
              <w:rPr>
                <w:rFonts w:ascii="宋体" w:hAnsi="宋体"/>
                <w:b/>
              </w:rPr>
            </w:pPr>
            <w:r>
              <w:rPr>
                <w:rFonts w:hint="eastAsia" w:ascii="宋体" w:hAnsi="宋体"/>
                <w:b/>
              </w:rPr>
              <w:t>1996</w:t>
            </w:r>
          </w:p>
        </w:tc>
        <w:tc>
          <w:tcPr>
            <w:tcW w:w="442" w:type="pct"/>
            <w:vAlign w:val="center"/>
          </w:tcPr>
          <w:p w14:paraId="405A25C6">
            <w:pPr>
              <w:pStyle w:val="12"/>
              <w:jc w:val="center"/>
              <w:rPr>
                <w:rFonts w:ascii="宋体" w:hAnsi="宋体"/>
                <w:b/>
              </w:rPr>
            </w:pPr>
            <w:r>
              <w:rPr>
                <w:rFonts w:hint="eastAsia" w:ascii="宋体" w:hAnsi="宋体"/>
                <w:b/>
              </w:rPr>
              <w:t>1997</w:t>
            </w:r>
          </w:p>
        </w:tc>
        <w:tc>
          <w:tcPr>
            <w:tcW w:w="442" w:type="pct"/>
            <w:vAlign w:val="center"/>
          </w:tcPr>
          <w:p w14:paraId="273781D4">
            <w:pPr>
              <w:pStyle w:val="12"/>
              <w:jc w:val="center"/>
              <w:rPr>
                <w:rFonts w:ascii="宋体" w:hAnsi="宋体"/>
                <w:b/>
              </w:rPr>
            </w:pPr>
            <w:r>
              <w:rPr>
                <w:rFonts w:hint="eastAsia" w:ascii="宋体" w:hAnsi="宋体"/>
                <w:b/>
              </w:rPr>
              <w:t>1998</w:t>
            </w:r>
          </w:p>
        </w:tc>
        <w:tc>
          <w:tcPr>
            <w:tcW w:w="442" w:type="pct"/>
            <w:vAlign w:val="center"/>
          </w:tcPr>
          <w:p w14:paraId="0EF37C40">
            <w:pPr>
              <w:pStyle w:val="12"/>
              <w:jc w:val="center"/>
              <w:rPr>
                <w:rFonts w:ascii="宋体" w:hAnsi="宋体"/>
                <w:b/>
              </w:rPr>
            </w:pPr>
            <w:r>
              <w:rPr>
                <w:rFonts w:hint="eastAsia" w:ascii="宋体" w:hAnsi="宋体"/>
                <w:b/>
              </w:rPr>
              <w:t>1999</w:t>
            </w:r>
          </w:p>
        </w:tc>
        <w:tc>
          <w:tcPr>
            <w:tcW w:w="441" w:type="pct"/>
            <w:vAlign w:val="center"/>
          </w:tcPr>
          <w:p w14:paraId="7B9925E9">
            <w:pPr>
              <w:pStyle w:val="12"/>
              <w:jc w:val="center"/>
              <w:rPr>
                <w:rFonts w:ascii="宋体" w:hAnsi="宋体"/>
                <w:b/>
              </w:rPr>
            </w:pPr>
            <w:r>
              <w:rPr>
                <w:rFonts w:hint="eastAsia" w:ascii="宋体" w:hAnsi="宋体"/>
                <w:b/>
              </w:rPr>
              <w:t>2000</w:t>
            </w:r>
          </w:p>
        </w:tc>
        <w:tc>
          <w:tcPr>
            <w:tcW w:w="442" w:type="pct"/>
            <w:vAlign w:val="center"/>
          </w:tcPr>
          <w:p w14:paraId="4271F7D7">
            <w:pPr>
              <w:pStyle w:val="12"/>
              <w:jc w:val="center"/>
              <w:rPr>
                <w:rFonts w:ascii="宋体" w:hAnsi="宋体"/>
                <w:b/>
              </w:rPr>
            </w:pPr>
            <w:r>
              <w:rPr>
                <w:rFonts w:hint="eastAsia" w:ascii="宋体" w:hAnsi="宋体"/>
                <w:b/>
              </w:rPr>
              <w:t>2001</w:t>
            </w:r>
          </w:p>
        </w:tc>
        <w:tc>
          <w:tcPr>
            <w:tcW w:w="442" w:type="pct"/>
            <w:vAlign w:val="center"/>
          </w:tcPr>
          <w:p w14:paraId="6685B6C5">
            <w:pPr>
              <w:pStyle w:val="12"/>
              <w:jc w:val="center"/>
              <w:rPr>
                <w:rFonts w:ascii="宋体" w:hAnsi="宋体"/>
                <w:b/>
              </w:rPr>
            </w:pPr>
            <w:r>
              <w:rPr>
                <w:rFonts w:hint="eastAsia" w:ascii="宋体" w:hAnsi="宋体"/>
                <w:b/>
              </w:rPr>
              <w:t>2002</w:t>
            </w:r>
          </w:p>
        </w:tc>
        <w:tc>
          <w:tcPr>
            <w:tcW w:w="442" w:type="pct"/>
            <w:vAlign w:val="center"/>
          </w:tcPr>
          <w:p w14:paraId="57729B3B">
            <w:pPr>
              <w:pStyle w:val="12"/>
              <w:jc w:val="center"/>
              <w:rPr>
                <w:rFonts w:ascii="宋体" w:hAnsi="宋体"/>
                <w:b/>
              </w:rPr>
            </w:pPr>
            <w:r>
              <w:rPr>
                <w:rFonts w:hint="eastAsia" w:ascii="宋体" w:hAnsi="宋体"/>
                <w:b/>
              </w:rPr>
              <w:t>2003</w:t>
            </w:r>
          </w:p>
        </w:tc>
        <w:tc>
          <w:tcPr>
            <w:tcW w:w="442" w:type="pct"/>
            <w:tcBorders>
              <w:right w:val="nil"/>
            </w:tcBorders>
            <w:vAlign w:val="center"/>
          </w:tcPr>
          <w:p w14:paraId="4265D53C">
            <w:pPr>
              <w:pStyle w:val="12"/>
              <w:jc w:val="center"/>
              <w:rPr>
                <w:rFonts w:ascii="宋体" w:hAnsi="宋体"/>
                <w:b/>
              </w:rPr>
            </w:pPr>
            <w:r>
              <w:rPr>
                <w:rFonts w:hint="eastAsia" w:ascii="宋体" w:hAnsi="宋体"/>
                <w:b/>
              </w:rPr>
              <w:t>2004</w:t>
            </w:r>
          </w:p>
        </w:tc>
      </w:tr>
      <w:tr w14:paraId="23143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7" w:type="pct"/>
            <w:tcBorders>
              <w:left w:val="nil"/>
            </w:tcBorders>
            <w:vAlign w:val="center"/>
          </w:tcPr>
          <w:p w14:paraId="372D5056">
            <w:pPr>
              <w:pStyle w:val="12"/>
              <w:jc w:val="center"/>
              <w:rPr>
                <w:rFonts w:ascii="宋体" w:hAnsi="宋体"/>
              </w:rPr>
            </w:pPr>
            <w:r>
              <w:rPr>
                <w:rFonts w:hint="eastAsia" w:ascii="宋体" w:hAnsi="宋体"/>
              </w:rPr>
              <w:t>工业企业个数（个）</w:t>
            </w:r>
          </w:p>
        </w:tc>
        <w:tc>
          <w:tcPr>
            <w:tcW w:w="441" w:type="pct"/>
            <w:vAlign w:val="center"/>
          </w:tcPr>
          <w:p w14:paraId="40D05ED9">
            <w:pPr>
              <w:pStyle w:val="12"/>
              <w:jc w:val="center"/>
              <w:rPr>
                <w:rFonts w:ascii="宋体" w:hAnsi="宋体"/>
              </w:rPr>
            </w:pPr>
            <w:r>
              <w:rPr>
                <w:rFonts w:hint="eastAsia" w:ascii="宋体" w:hAnsi="宋体"/>
              </w:rPr>
              <w:t>5023</w:t>
            </w:r>
          </w:p>
        </w:tc>
        <w:tc>
          <w:tcPr>
            <w:tcW w:w="442" w:type="pct"/>
            <w:vAlign w:val="center"/>
          </w:tcPr>
          <w:p w14:paraId="72D90F8E">
            <w:pPr>
              <w:pStyle w:val="12"/>
              <w:jc w:val="center"/>
              <w:rPr>
                <w:rFonts w:ascii="宋体" w:hAnsi="宋体"/>
              </w:rPr>
            </w:pPr>
            <w:r>
              <w:rPr>
                <w:rFonts w:hint="eastAsia" w:ascii="宋体" w:hAnsi="宋体"/>
              </w:rPr>
              <w:t>5698</w:t>
            </w:r>
          </w:p>
        </w:tc>
        <w:tc>
          <w:tcPr>
            <w:tcW w:w="442" w:type="pct"/>
            <w:vAlign w:val="center"/>
          </w:tcPr>
          <w:p w14:paraId="0EC7DC38">
            <w:pPr>
              <w:pStyle w:val="12"/>
              <w:jc w:val="center"/>
              <w:rPr>
                <w:rFonts w:ascii="宋体" w:hAnsi="宋体"/>
              </w:rPr>
            </w:pPr>
            <w:r>
              <w:rPr>
                <w:rFonts w:hint="eastAsia" w:ascii="宋体" w:hAnsi="宋体"/>
              </w:rPr>
              <w:t>5645</w:t>
            </w:r>
          </w:p>
        </w:tc>
        <w:tc>
          <w:tcPr>
            <w:tcW w:w="442" w:type="pct"/>
            <w:vAlign w:val="center"/>
          </w:tcPr>
          <w:p w14:paraId="6C1F3C1E">
            <w:pPr>
              <w:pStyle w:val="12"/>
              <w:jc w:val="center"/>
              <w:rPr>
                <w:rFonts w:ascii="宋体" w:hAnsi="宋体"/>
              </w:rPr>
            </w:pPr>
            <w:r>
              <w:rPr>
                <w:rFonts w:hint="eastAsia" w:ascii="宋体" w:hAnsi="宋体"/>
              </w:rPr>
              <w:t>5570</w:t>
            </w:r>
          </w:p>
        </w:tc>
        <w:tc>
          <w:tcPr>
            <w:tcW w:w="441" w:type="pct"/>
            <w:vAlign w:val="center"/>
          </w:tcPr>
          <w:p w14:paraId="2B49F8C2">
            <w:pPr>
              <w:pStyle w:val="12"/>
              <w:jc w:val="center"/>
              <w:rPr>
                <w:rFonts w:ascii="宋体" w:hAnsi="宋体"/>
              </w:rPr>
            </w:pPr>
            <w:r>
              <w:rPr>
                <w:rFonts w:hint="eastAsia" w:ascii="宋体" w:hAnsi="宋体"/>
              </w:rPr>
              <w:t>5278</w:t>
            </w:r>
          </w:p>
        </w:tc>
        <w:tc>
          <w:tcPr>
            <w:tcW w:w="442" w:type="pct"/>
            <w:vAlign w:val="center"/>
          </w:tcPr>
          <w:p w14:paraId="6AC39BF3">
            <w:pPr>
              <w:pStyle w:val="12"/>
              <w:jc w:val="center"/>
              <w:rPr>
                <w:rFonts w:ascii="宋体" w:hAnsi="宋体"/>
              </w:rPr>
            </w:pPr>
            <w:r>
              <w:rPr>
                <w:rFonts w:hint="eastAsia" w:ascii="宋体" w:hAnsi="宋体"/>
              </w:rPr>
              <w:t>5244</w:t>
            </w:r>
          </w:p>
        </w:tc>
        <w:tc>
          <w:tcPr>
            <w:tcW w:w="442" w:type="pct"/>
            <w:vAlign w:val="center"/>
          </w:tcPr>
          <w:p w14:paraId="70170BCD">
            <w:pPr>
              <w:pStyle w:val="12"/>
              <w:jc w:val="center"/>
              <w:rPr>
                <w:rFonts w:ascii="宋体" w:hAnsi="宋体"/>
              </w:rPr>
            </w:pPr>
            <w:r>
              <w:rPr>
                <w:rFonts w:hint="eastAsia" w:ascii="宋体" w:hAnsi="宋体"/>
              </w:rPr>
              <w:t>5155</w:t>
            </w:r>
          </w:p>
        </w:tc>
        <w:tc>
          <w:tcPr>
            <w:tcW w:w="442" w:type="pct"/>
            <w:vAlign w:val="center"/>
          </w:tcPr>
          <w:p w14:paraId="64D26B88">
            <w:pPr>
              <w:pStyle w:val="12"/>
              <w:jc w:val="center"/>
              <w:rPr>
                <w:rFonts w:ascii="宋体" w:hAnsi="宋体"/>
              </w:rPr>
            </w:pPr>
            <w:r>
              <w:rPr>
                <w:rFonts w:hint="eastAsia" w:ascii="宋体" w:hAnsi="宋体"/>
              </w:rPr>
              <w:t>5197</w:t>
            </w:r>
          </w:p>
        </w:tc>
        <w:tc>
          <w:tcPr>
            <w:tcW w:w="442" w:type="pct"/>
            <w:tcBorders>
              <w:right w:val="nil"/>
            </w:tcBorders>
            <w:vAlign w:val="center"/>
          </w:tcPr>
          <w:p w14:paraId="2E8F566E">
            <w:pPr>
              <w:pStyle w:val="12"/>
              <w:jc w:val="center"/>
              <w:rPr>
                <w:rFonts w:ascii="宋体" w:hAnsi="宋体"/>
              </w:rPr>
            </w:pPr>
            <w:r>
              <w:rPr>
                <w:rFonts w:hint="eastAsia" w:ascii="宋体" w:hAnsi="宋体"/>
              </w:rPr>
              <w:t>4870</w:t>
            </w:r>
          </w:p>
        </w:tc>
      </w:tr>
      <w:tr w14:paraId="68DAE3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7" w:type="pct"/>
            <w:tcBorders>
              <w:left w:val="nil"/>
            </w:tcBorders>
            <w:vAlign w:val="center"/>
          </w:tcPr>
          <w:p w14:paraId="5FBA7A43">
            <w:pPr>
              <w:pStyle w:val="12"/>
              <w:jc w:val="center"/>
              <w:rPr>
                <w:rFonts w:ascii="宋体" w:hAnsi="宋体"/>
              </w:rPr>
            </w:pPr>
            <w:r>
              <w:rPr>
                <w:rFonts w:hint="eastAsia" w:ascii="宋体" w:hAnsi="宋体"/>
              </w:rPr>
              <w:t>其中规模以上（个）</w:t>
            </w:r>
          </w:p>
        </w:tc>
        <w:tc>
          <w:tcPr>
            <w:tcW w:w="441" w:type="pct"/>
            <w:vAlign w:val="center"/>
          </w:tcPr>
          <w:p w14:paraId="597F840E">
            <w:pPr>
              <w:pStyle w:val="12"/>
              <w:jc w:val="center"/>
              <w:rPr>
                <w:rFonts w:ascii="宋体" w:hAnsi="宋体"/>
              </w:rPr>
            </w:pPr>
            <w:r>
              <w:rPr>
                <w:rFonts w:hint="eastAsia" w:ascii="宋体" w:hAnsi="宋体"/>
              </w:rPr>
              <w:t>38</w:t>
            </w:r>
          </w:p>
        </w:tc>
        <w:tc>
          <w:tcPr>
            <w:tcW w:w="442" w:type="pct"/>
            <w:vAlign w:val="center"/>
          </w:tcPr>
          <w:p w14:paraId="073877B8">
            <w:pPr>
              <w:pStyle w:val="12"/>
              <w:jc w:val="center"/>
              <w:rPr>
                <w:rFonts w:ascii="宋体" w:hAnsi="宋体"/>
              </w:rPr>
            </w:pPr>
            <w:r>
              <w:rPr>
                <w:rFonts w:hint="eastAsia" w:ascii="宋体" w:hAnsi="宋体"/>
              </w:rPr>
              <w:t>37</w:t>
            </w:r>
          </w:p>
        </w:tc>
        <w:tc>
          <w:tcPr>
            <w:tcW w:w="442" w:type="pct"/>
            <w:vAlign w:val="center"/>
          </w:tcPr>
          <w:p w14:paraId="59F5D39C">
            <w:pPr>
              <w:pStyle w:val="12"/>
              <w:jc w:val="center"/>
              <w:rPr>
                <w:rFonts w:ascii="宋体" w:hAnsi="宋体"/>
              </w:rPr>
            </w:pPr>
            <w:r>
              <w:rPr>
                <w:rFonts w:hint="eastAsia" w:ascii="宋体" w:hAnsi="宋体"/>
              </w:rPr>
              <w:t>32</w:t>
            </w:r>
          </w:p>
        </w:tc>
        <w:tc>
          <w:tcPr>
            <w:tcW w:w="442" w:type="pct"/>
            <w:vAlign w:val="center"/>
          </w:tcPr>
          <w:p w14:paraId="7509E97D">
            <w:pPr>
              <w:pStyle w:val="12"/>
              <w:jc w:val="center"/>
              <w:rPr>
                <w:rFonts w:ascii="宋体" w:hAnsi="宋体"/>
              </w:rPr>
            </w:pPr>
            <w:r>
              <w:rPr>
                <w:rFonts w:hint="eastAsia" w:ascii="宋体" w:hAnsi="宋体"/>
              </w:rPr>
              <w:t>32</w:t>
            </w:r>
          </w:p>
        </w:tc>
        <w:tc>
          <w:tcPr>
            <w:tcW w:w="441" w:type="pct"/>
            <w:vAlign w:val="center"/>
          </w:tcPr>
          <w:p w14:paraId="2BC7BEFC">
            <w:pPr>
              <w:pStyle w:val="12"/>
              <w:jc w:val="center"/>
              <w:rPr>
                <w:rFonts w:ascii="宋体" w:hAnsi="宋体"/>
              </w:rPr>
            </w:pPr>
            <w:r>
              <w:rPr>
                <w:rFonts w:hint="eastAsia" w:ascii="宋体" w:hAnsi="宋体"/>
              </w:rPr>
              <w:t>36</w:t>
            </w:r>
          </w:p>
        </w:tc>
        <w:tc>
          <w:tcPr>
            <w:tcW w:w="442" w:type="pct"/>
            <w:vAlign w:val="center"/>
          </w:tcPr>
          <w:p w14:paraId="10266C82">
            <w:pPr>
              <w:pStyle w:val="12"/>
              <w:jc w:val="center"/>
              <w:rPr>
                <w:rFonts w:ascii="宋体" w:hAnsi="宋体"/>
              </w:rPr>
            </w:pPr>
            <w:r>
              <w:rPr>
                <w:rFonts w:hint="eastAsia" w:ascii="宋体" w:hAnsi="宋体"/>
              </w:rPr>
              <w:t>35</w:t>
            </w:r>
          </w:p>
        </w:tc>
        <w:tc>
          <w:tcPr>
            <w:tcW w:w="442" w:type="pct"/>
            <w:vAlign w:val="center"/>
          </w:tcPr>
          <w:p w14:paraId="07500DDD">
            <w:pPr>
              <w:pStyle w:val="12"/>
              <w:jc w:val="center"/>
              <w:rPr>
                <w:rFonts w:ascii="宋体" w:hAnsi="宋体"/>
              </w:rPr>
            </w:pPr>
            <w:r>
              <w:rPr>
                <w:rFonts w:hint="eastAsia" w:ascii="宋体" w:hAnsi="宋体"/>
              </w:rPr>
              <w:t>38</w:t>
            </w:r>
          </w:p>
        </w:tc>
        <w:tc>
          <w:tcPr>
            <w:tcW w:w="442" w:type="pct"/>
            <w:vAlign w:val="center"/>
          </w:tcPr>
          <w:p w14:paraId="05424AA5">
            <w:pPr>
              <w:pStyle w:val="12"/>
              <w:jc w:val="center"/>
              <w:rPr>
                <w:rFonts w:ascii="宋体" w:hAnsi="宋体"/>
              </w:rPr>
            </w:pPr>
            <w:r>
              <w:rPr>
                <w:rFonts w:hint="eastAsia" w:ascii="宋体" w:hAnsi="宋体"/>
              </w:rPr>
              <w:t>35</w:t>
            </w:r>
          </w:p>
        </w:tc>
        <w:tc>
          <w:tcPr>
            <w:tcW w:w="442" w:type="pct"/>
            <w:tcBorders>
              <w:right w:val="nil"/>
            </w:tcBorders>
            <w:vAlign w:val="center"/>
          </w:tcPr>
          <w:p w14:paraId="1C94171F">
            <w:pPr>
              <w:pStyle w:val="12"/>
              <w:jc w:val="center"/>
              <w:rPr>
                <w:rFonts w:ascii="宋体" w:hAnsi="宋体"/>
              </w:rPr>
            </w:pPr>
            <w:r>
              <w:rPr>
                <w:rFonts w:hint="eastAsia" w:ascii="宋体" w:hAnsi="宋体"/>
              </w:rPr>
              <w:t>20</w:t>
            </w:r>
          </w:p>
        </w:tc>
      </w:tr>
      <w:tr w14:paraId="7ACC2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7" w:type="pct"/>
            <w:tcBorders>
              <w:left w:val="nil"/>
            </w:tcBorders>
            <w:vAlign w:val="center"/>
          </w:tcPr>
          <w:p w14:paraId="047F9356">
            <w:pPr>
              <w:pStyle w:val="12"/>
              <w:jc w:val="center"/>
              <w:rPr>
                <w:rFonts w:ascii="宋体" w:hAnsi="宋体"/>
              </w:rPr>
            </w:pPr>
            <w:r>
              <w:rPr>
                <w:rFonts w:hint="eastAsia" w:ascii="宋体" w:hAnsi="宋体"/>
              </w:rPr>
              <w:t>工业企业人数（人）</w:t>
            </w:r>
          </w:p>
        </w:tc>
        <w:tc>
          <w:tcPr>
            <w:tcW w:w="441" w:type="pct"/>
            <w:vAlign w:val="center"/>
          </w:tcPr>
          <w:p w14:paraId="60F1AACC">
            <w:pPr>
              <w:pStyle w:val="12"/>
              <w:jc w:val="center"/>
              <w:rPr>
                <w:rFonts w:ascii="宋体" w:hAnsi="宋体"/>
              </w:rPr>
            </w:pPr>
            <w:r>
              <w:rPr>
                <w:rFonts w:hint="eastAsia" w:ascii="宋体" w:hAnsi="宋体"/>
              </w:rPr>
              <w:t>19690</w:t>
            </w:r>
          </w:p>
        </w:tc>
        <w:tc>
          <w:tcPr>
            <w:tcW w:w="442" w:type="pct"/>
            <w:vAlign w:val="center"/>
          </w:tcPr>
          <w:p w14:paraId="734C4C84">
            <w:pPr>
              <w:pStyle w:val="12"/>
              <w:jc w:val="center"/>
              <w:rPr>
                <w:rFonts w:ascii="宋体" w:hAnsi="宋体"/>
              </w:rPr>
            </w:pPr>
            <w:r>
              <w:rPr>
                <w:rFonts w:hint="eastAsia" w:ascii="宋体" w:hAnsi="宋体"/>
              </w:rPr>
              <w:t>16127</w:t>
            </w:r>
          </w:p>
        </w:tc>
        <w:tc>
          <w:tcPr>
            <w:tcW w:w="442" w:type="pct"/>
            <w:vAlign w:val="center"/>
          </w:tcPr>
          <w:p w14:paraId="0EFF2D6A">
            <w:pPr>
              <w:pStyle w:val="12"/>
              <w:jc w:val="center"/>
              <w:rPr>
                <w:rFonts w:ascii="宋体" w:hAnsi="宋体"/>
              </w:rPr>
            </w:pPr>
            <w:r>
              <w:rPr>
                <w:rFonts w:hint="eastAsia" w:ascii="宋体" w:hAnsi="宋体"/>
              </w:rPr>
              <w:t>18968</w:t>
            </w:r>
          </w:p>
        </w:tc>
        <w:tc>
          <w:tcPr>
            <w:tcW w:w="442" w:type="pct"/>
            <w:vAlign w:val="center"/>
          </w:tcPr>
          <w:p w14:paraId="6C8E16E4">
            <w:pPr>
              <w:pStyle w:val="12"/>
              <w:jc w:val="center"/>
              <w:rPr>
                <w:rFonts w:ascii="宋体" w:hAnsi="宋体"/>
              </w:rPr>
            </w:pPr>
            <w:r>
              <w:rPr>
                <w:rFonts w:hint="eastAsia" w:ascii="宋体" w:hAnsi="宋体"/>
              </w:rPr>
              <w:t>17937</w:t>
            </w:r>
          </w:p>
        </w:tc>
        <w:tc>
          <w:tcPr>
            <w:tcW w:w="441" w:type="pct"/>
            <w:vAlign w:val="center"/>
          </w:tcPr>
          <w:p w14:paraId="316518FB">
            <w:pPr>
              <w:pStyle w:val="12"/>
              <w:jc w:val="center"/>
              <w:rPr>
                <w:rFonts w:ascii="宋体" w:hAnsi="宋体"/>
              </w:rPr>
            </w:pPr>
            <w:r>
              <w:rPr>
                <w:rFonts w:hint="eastAsia" w:ascii="宋体" w:hAnsi="宋体"/>
              </w:rPr>
              <w:t>12807</w:t>
            </w:r>
          </w:p>
        </w:tc>
        <w:tc>
          <w:tcPr>
            <w:tcW w:w="442" w:type="pct"/>
            <w:vAlign w:val="center"/>
          </w:tcPr>
          <w:p w14:paraId="1B632AA6">
            <w:pPr>
              <w:pStyle w:val="12"/>
              <w:jc w:val="center"/>
              <w:rPr>
                <w:rFonts w:ascii="宋体" w:hAnsi="宋体"/>
              </w:rPr>
            </w:pPr>
            <w:r>
              <w:rPr>
                <w:rFonts w:hint="eastAsia" w:ascii="宋体" w:hAnsi="宋体"/>
              </w:rPr>
              <w:t>16986</w:t>
            </w:r>
          </w:p>
        </w:tc>
        <w:tc>
          <w:tcPr>
            <w:tcW w:w="442" w:type="pct"/>
            <w:vAlign w:val="center"/>
          </w:tcPr>
          <w:p w14:paraId="5AA1F483">
            <w:pPr>
              <w:pStyle w:val="12"/>
              <w:jc w:val="center"/>
              <w:rPr>
                <w:rFonts w:ascii="宋体" w:hAnsi="宋体"/>
              </w:rPr>
            </w:pPr>
            <w:r>
              <w:rPr>
                <w:rFonts w:hint="eastAsia" w:ascii="宋体" w:hAnsi="宋体"/>
              </w:rPr>
              <w:t>16986</w:t>
            </w:r>
          </w:p>
        </w:tc>
        <w:tc>
          <w:tcPr>
            <w:tcW w:w="442" w:type="pct"/>
            <w:vAlign w:val="center"/>
          </w:tcPr>
          <w:p w14:paraId="29395C87">
            <w:pPr>
              <w:pStyle w:val="12"/>
              <w:jc w:val="center"/>
              <w:rPr>
                <w:rFonts w:ascii="宋体" w:hAnsi="宋体"/>
              </w:rPr>
            </w:pPr>
            <w:r>
              <w:rPr>
                <w:rFonts w:hint="eastAsia" w:ascii="宋体" w:hAnsi="宋体"/>
              </w:rPr>
              <w:t>16057</w:t>
            </w:r>
          </w:p>
        </w:tc>
        <w:tc>
          <w:tcPr>
            <w:tcW w:w="442" w:type="pct"/>
            <w:tcBorders>
              <w:right w:val="nil"/>
            </w:tcBorders>
            <w:vAlign w:val="center"/>
          </w:tcPr>
          <w:p w14:paraId="3ADC4AD3">
            <w:pPr>
              <w:pStyle w:val="12"/>
              <w:jc w:val="center"/>
              <w:rPr>
                <w:rFonts w:ascii="宋体" w:hAnsi="宋体"/>
              </w:rPr>
            </w:pPr>
            <w:r>
              <w:rPr>
                <w:rFonts w:hint="eastAsia" w:ascii="宋体" w:hAnsi="宋体"/>
              </w:rPr>
              <w:t>25512</w:t>
            </w:r>
          </w:p>
        </w:tc>
      </w:tr>
      <w:tr w14:paraId="47949B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7" w:type="pct"/>
            <w:tcBorders>
              <w:left w:val="nil"/>
            </w:tcBorders>
            <w:vAlign w:val="center"/>
          </w:tcPr>
          <w:p w14:paraId="329CE428">
            <w:pPr>
              <w:pStyle w:val="12"/>
              <w:jc w:val="center"/>
              <w:rPr>
                <w:rFonts w:ascii="宋体" w:hAnsi="宋体"/>
              </w:rPr>
            </w:pPr>
            <w:r>
              <w:rPr>
                <w:rFonts w:hint="eastAsia" w:ascii="宋体" w:hAnsi="宋体"/>
              </w:rPr>
              <w:t>其中规模以上（人）</w:t>
            </w:r>
          </w:p>
        </w:tc>
        <w:tc>
          <w:tcPr>
            <w:tcW w:w="441" w:type="pct"/>
            <w:vAlign w:val="center"/>
          </w:tcPr>
          <w:p w14:paraId="694BD51E">
            <w:pPr>
              <w:pStyle w:val="12"/>
              <w:jc w:val="center"/>
              <w:rPr>
                <w:rFonts w:ascii="宋体" w:hAnsi="宋体"/>
              </w:rPr>
            </w:pPr>
            <w:r>
              <w:rPr>
                <w:rFonts w:hint="eastAsia" w:ascii="宋体" w:hAnsi="宋体"/>
              </w:rPr>
              <w:t>6627</w:t>
            </w:r>
          </w:p>
        </w:tc>
        <w:tc>
          <w:tcPr>
            <w:tcW w:w="442" w:type="pct"/>
            <w:vAlign w:val="center"/>
          </w:tcPr>
          <w:p w14:paraId="668F037A">
            <w:pPr>
              <w:pStyle w:val="12"/>
              <w:jc w:val="center"/>
              <w:rPr>
                <w:rFonts w:ascii="宋体" w:hAnsi="宋体"/>
              </w:rPr>
            </w:pPr>
            <w:r>
              <w:rPr>
                <w:rFonts w:hint="eastAsia" w:ascii="宋体" w:hAnsi="宋体"/>
              </w:rPr>
              <w:t>5026</w:t>
            </w:r>
          </w:p>
        </w:tc>
        <w:tc>
          <w:tcPr>
            <w:tcW w:w="442" w:type="pct"/>
            <w:vAlign w:val="center"/>
          </w:tcPr>
          <w:p w14:paraId="153B589F">
            <w:pPr>
              <w:pStyle w:val="12"/>
              <w:jc w:val="center"/>
              <w:rPr>
                <w:rFonts w:ascii="宋体" w:hAnsi="宋体"/>
              </w:rPr>
            </w:pPr>
            <w:r>
              <w:rPr>
                <w:rFonts w:hint="eastAsia" w:ascii="宋体" w:hAnsi="宋体"/>
              </w:rPr>
              <w:t>4520</w:t>
            </w:r>
          </w:p>
        </w:tc>
        <w:tc>
          <w:tcPr>
            <w:tcW w:w="442" w:type="pct"/>
            <w:vAlign w:val="center"/>
          </w:tcPr>
          <w:p w14:paraId="08D92F81">
            <w:pPr>
              <w:pStyle w:val="12"/>
              <w:jc w:val="center"/>
              <w:rPr>
                <w:rFonts w:ascii="宋体" w:hAnsi="宋体"/>
              </w:rPr>
            </w:pPr>
            <w:r>
              <w:rPr>
                <w:rFonts w:hint="eastAsia" w:ascii="宋体" w:hAnsi="宋体"/>
              </w:rPr>
              <w:t>4564</w:t>
            </w:r>
          </w:p>
        </w:tc>
        <w:tc>
          <w:tcPr>
            <w:tcW w:w="441" w:type="pct"/>
            <w:vAlign w:val="center"/>
          </w:tcPr>
          <w:p w14:paraId="48C98B8B">
            <w:pPr>
              <w:pStyle w:val="12"/>
              <w:jc w:val="center"/>
              <w:rPr>
                <w:rFonts w:ascii="宋体" w:hAnsi="宋体"/>
              </w:rPr>
            </w:pPr>
            <w:r>
              <w:rPr>
                <w:rFonts w:hint="eastAsia" w:ascii="宋体" w:hAnsi="宋体"/>
              </w:rPr>
              <w:t>3790</w:t>
            </w:r>
          </w:p>
        </w:tc>
        <w:tc>
          <w:tcPr>
            <w:tcW w:w="442" w:type="pct"/>
            <w:vAlign w:val="center"/>
          </w:tcPr>
          <w:p w14:paraId="5E625417">
            <w:pPr>
              <w:pStyle w:val="12"/>
              <w:jc w:val="center"/>
              <w:rPr>
                <w:rFonts w:ascii="宋体" w:hAnsi="宋体"/>
              </w:rPr>
            </w:pPr>
            <w:r>
              <w:rPr>
                <w:rFonts w:hint="eastAsia" w:ascii="宋体" w:hAnsi="宋体"/>
              </w:rPr>
              <w:t>3428</w:t>
            </w:r>
          </w:p>
        </w:tc>
        <w:tc>
          <w:tcPr>
            <w:tcW w:w="442" w:type="pct"/>
            <w:vAlign w:val="center"/>
          </w:tcPr>
          <w:p w14:paraId="71747175">
            <w:pPr>
              <w:pStyle w:val="12"/>
              <w:jc w:val="center"/>
              <w:rPr>
                <w:rFonts w:ascii="宋体" w:hAnsi="宋体"/>
              </w:rPr>
            </w:pPr>
            <w:r>
              <w:rPr>
                <w:rFonts w:hint="eastAsia" w:ascii="宋体" w:hAnsi="宋体"/>
              </w:rPr>
              <w:t>1691</w:t>
            </w:r>
          </w:p>
        </w:tc>
        <w:tc>
          <w:tcPr>
            <w:tcW w:w="442" w:type="pct"/>
            <w:vAlign w:val="center"/>
          </w:tcPr>
          <w:p w14:paraId="20676AE5">
            <w:pPr>
              <w:pStyle w:val="12"/>
              <w:jc w:val="center"/>
              <w:rPr>
                <w:rFonts w:ascii="宋体" w:hAnsi="宋体"/>
              </w:rPr>
            </w:pPr>
            <w:r>
              <w:rPr>
                <w:rFonts w:hint="eastAsia" w:ascii="宋体" w:hAnsi="宋体"/>
              </w:rPr>
              <w:t>1060</w:t>
            </w:r>
          </w:p>
        </w:tc>
        <w:tc>
          <w:tcPr>
            <w:tcW w:w="442" w:type="pct"/>
            <w:tcBorders>
              <w:right w:val="nil"/>
            </w:tcBorders>
            <w:vAlign w:val="center"/>
          </w:tcPr>
          <w:p w14:paraId="60A57EEF">
            <w:pPr>
              <w:pStyle w:val="12"/>
              <w:jc w:val="center"/>
              <w:rPr>
                <w:rFonts w:ascii="宋体" w:hAnsi="宋体"/>
              </w:rPr>
            </w:pPr>
            <w:r>
              <w:rPr>
                <w:rFonts w:hint="eastAsia" w:ascii="宋体" w:hAnsi="宋体"/>
              </w:rPr>
              <w:t>503</w:t>
            </w:r>
          </w:p>
        </w:tc>
      </w:tr>
      <w:tr w14:paraId="3E204D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7" w:type="pct"/>
            <w:tcBorders>
              <w:left w:val="nil"/>
            </w:tcBorders>
            <w:vAlign w:val="center"/>
          </w:tcPr>
          <w:p w14:paraId="0A3478B7">
            <w:pPr>
              <w:pStyle w:val="12"/>
              <w:jc w:val="center"/>
              <w:rPr>
                <w:rFonts w:ascii="宋体" w:hAnsi="宋体"/>
              </w:rPr>
            </w:pPr>
            <w:r>
              <w:rPr>
                <w:rFonts w:hint="eastAsia" w:ascii="宋体" w:hAnsi="宋体"/>
              </w:rPr>
              <w:t>工业企业产值</w:t>
            </w:r>
          </w:p>
          <w:p w14:paraId="00974605">
            <w:pPr>
              <w:pStyle w:val="12"/>
              <w:jc w:val="center"/>
              <w:rPr>
                <w:rFonts w:ascii="宋体" w:hAnsi="宋体"/>
              </w:rPr>
            </w:pPr>
            <w:r>
              <w:rPr>
                <w:rFonts w:hint="eastAsia" w:ascii="宋体" w:hAnsi="宋体"/>
              </w:rPr>
              <w:t>（万元）</w:t>
            </w:r>
          </w:p>
        </w:tc>
        <w:tc>
          <w:tcPr>
            <w:tcW w:w="441" w:type="pct"/>
            <w:vAlign w:val="center"/>
          </w:tcPr>
          <w:p w14:paraId="03F8099E">
            <w:pPr>
              <w:pStyle w:val="12"/>
              <w:jc w:val="center"/>
              <w:rPr>
                <w:rFonts w:ascii="宋体" w:hAnsi="宋体"/>
              </w:rPr>
            </w:pPr>
            <w:r>
              <w:rPr>
                <w:rFonts w:hint="eastAsia" w:ascii="宋体" w:hAnsi="宋体"/>
              </w:rPr>
              <w:t>148132</w:t>
            </w:r>
          </w:p>
        </w:tc>
        <w:tc>
          <w:tcPr>
            <w:tcW w:w="442" w:type="pct"/>
            <w:vAlign w:val="center"/>
          </w:tcPr>
          <w:p w14:paraId="210458C8">
            <w:pPr>
              <w:pStyle w:val="12"/>
              <w:jc w:val="center"/>
              <w:rPr>
                <w:rFonts w:ascii="宋体" w:hAnsi="宋体"/>
              </w:rPr>
            </w:pPr>
            <w:r>
              <w:rPr>
                <w:rFonts w:hint="eastAsia" w:ascii="宋体" w:hAnsi="宋体"/>
              </w:rPr>
              <w:t>149456</w:t>
            </w:r>
          </w:p>
        </w:tc>
        <w:tc>
          <w:tcPr>
            <w:tcW w:w="442" w:type="pct"/>
            <w:vAlign w:val="center"/>
          </w:tcPr>
          <w:p w14:paraId="0C38880B">
            <w:pPr>
              <w:pStyle w:val="12"/>
              <w:jc w:val="center"/>
              <w:rPr>
                <w:rFonts w:ascii="宋体" w:hAnsi="宋体"/>
              </w:rPr>
            </w:pPr>
            <w:r>
              <w:rPr>
                <w:rFonts w:hint="eastAsia" w:ascii="宋体" w:hAnsi="宋体"/>
              </w:rPr>
              <w:t>155376</w:t>
            </w:r>
          </w:p>
        </w:tc>
        <w:tc>
          <w:tcPr>
            <w:tcW w:w="442" w:type="pct"/>
            <w:vAlign w:val="center"/>
          </w:tcPr>
          <w:p w14:paraId="2FB21AFE">
            <w:pPr>
              <w:pStyle w:val="12"/>
              <w:jc w:val="center"/>
              <w:rPr>
                <w:rFonts w:ascii="宋体" w:hAnsi="宋体"/>
              </w:rPr>
            </w:pPr>
            <w:r>
              <w:rPr>
                <w:rFonts w:hint="eastAsia" w:ascii="宋体" w:hAnsi="宋体"/>
              </w:rPr>
              <w:t>155847</w:t>
            </w:r>
          </w:p>
        </w:tc>
        <w:tc>
          <w:tcPr>
            <w:tcW w:w="441" w:type="pct"/>
            <w:vAlign w:val="center"/>
          </w:tcPr>
          <w:p w14:paraId="7582FD67">
            <w:pPr>
              <w:pStyle w:val="12"/>
              <w:jc w:val="center"/>
              <w:rPr>
                <w:rFonts w:ascii="宋体" w:hAnsi="宋体"/>
              </w:rPr>
            </w:pPr>
            <w:r>
              <w:rPr>
                <w:rFonts w:hint="eastAsia" w:ascii="宋体" w:hAnsi="宋体"/>
              </w:rPr>
              <w:t>140202</w:t>
            </w:r>
          </w:p>
        </w:tc>
        <w:tc>
          <w:tcPr>
            <w:tcW w:w="442" w:type="pct"/>
            <w:vAlign w:val="center"/>
          </w:tcPr>
          <w:p w14:paraId="23BB59E5">
            <w:pPr>
              <w:pStyle w:val="12"/>
              <w:jc w:val="center"/>
              <w:rPr>
                <w:rFonts w:ascii="宋体" w:hAnsi="宋体"/>
              </w:rPr>
            </w:pPr>
            <w:r>
              <w:rPr>
                <w:rFonts w:hint="eastAsia" w:ascii="宋体" w:hAnsi="宋体"/>
              </w:rPr>
              <w:t>148648</w:t>
            </w:r>
          </w:p>
        </w:tc>
        <w:tc>
          <w:tcPr>
            <w:tcW w:w="442" w:type="pct"/>
            <w:vAlign w:val="center"/>
          </w:tcPr>
          <w:p w14:paraId="39FEBAB2">
            <w:pPr>
              <w:pStyle w:val="12"/>
              <w:jc w:val="center"/>
              <w:rPr>
                <w:rFonts w:ascii="宋体" w:hAnsi="宋体"/>
              </w:rPr>
            </w:pPr>
            <w:r>
              <w:rPr>
                <w:rFonts w:hint="eastAsia" w:ascii="宋体" w:hAnsi="宋体"/>
              </w:rPr>
              <w:t>141893</w:t>
            </w:r>
          </w:p>
        </w:tc>
        <w:tc>
          <w:tcPr>
            <w:tcW w:w="442" w:type="pct"/>
            <w:vAlign w:val="center"/>
          </w:tcPr>
          <w:p w14:paraId="553CE751">
            <w:pPr>
              <w:pStyle w:val="12"/>
              <w:jc w:val="center"/>
              <w:rPr>
                <w:rFonts w:ascii="宋体" w:hAnsi="宋体"/>
              </w:rPr>
            </w:pPr>
            <w:r>
              <w:rPr>
                <w:rFonts w:hint="eastAsia" w:ascii="宋体" w:hAnsi="宋体"/>
              </w:rPr>
              <w:t>163839</w:t>
            </w:r>
          </w:p>
        </w:tc>
        <w:tc>
          <w:tcPr>
            <w:tcW w:w="442" w:type="pct"/>
            <w:tcBorders>
              <w:right w:val="nil"/>
            </w:tcBorders>
            <w:vAlign w:val="center"/>
          </w:tcPr>
          <w:p w14:paraId="444FEA59">
            <w:pPr>
              <w:pStyle w:val="12"/>
              <w:jc w:val="center"/>
              <w:rPr>
                <w:rFonts w:ascii="宋体" w:hAnsi="宋体"/>
              </w:rPr>
            </w:pPr>
            <w:r>
              <w:rPr>
                <w:rFonts w:hint="eastAsia" w:ascii="宋体" w:hAnsi="宋体"/>
              </w:rPr>
              <w:t>190432</w:t>
            </w:r>
          </w:p>
        </w:tc>
      </w:tr>
      <w:tr w14:paraId="7D57C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7" w:type="pct"/>
            <w:tcBorders>
              <w:left w:val="nil"/>
            </w:tcBorders>
            <w:vAlign w:val="center"/>
          </w:tcPr>
          <w:p w14:paraId="3DA6C4ED">
            <w:pPr>
              <w:pStyle w:val="12"/>
              <w:jc w:val="center"/>
              <w:rPr>
                <w:rFonts w:ascii="宋体" w:hAnsi="宋体"/>
              </w:rPr>
            </w:pPr>
            <w:r>
              <w:rPr>
                <w:rFonts w:hint="eastAsia" w:ascii="宋体" w:hAnsi="宋体"/>
              </w:rPr>
              <w:t>其中规模以上</w:t>
            </w:r>
          </w:p>
          <w:p w14:paraId="09B06DDB">
            <w:pPr>
              <w:pStyle w:val="12"/>
              <w:jc w:val="center"/>
              <w:rPr>
                <w:rFonts w:ascii="宋体" w:hAnsi="宋体"/>
              </w:rPr>
            </w:pPr>
            <w:r>
              <w:rPr>
                <w:rFonts w:hint="eastAsia" w:ascii="宋体" w:hAnsi="宋体"/>
              </w:rPr>
              <w:t>（万元）</w:t>
            </w:r>
          </w:p>
        </w:tc>
        <w:tc>
          <w:tcPr>
            <w:tcW w:w="441" w:type="pct"/>
            <w:vAlign w:val="center"/>
          </w:tcPr>
          <w:p w14:paraId="5C006883">
            <w:pPr>
              <w:pStyle w:val="12"/>
              <w:jc w:val="center"/>
              <w:rPr>
                <w:rFonts w:ascii="宋体" w:hAnsi="宋体"/>
              </w:rPr>
            </w:pPr>
            <w:r>
              <w:rPr>
                <w:rFonts w:hint="eastAsia" w:ascii="宋体" w:hAnsi="宋体"/>
              </w:rPr>
              <w:t>33840</w:t>
            </w:r>
          </w:p>
        </w:tc>
        <w:tc>
          <w:tcPr>
            <w:tcW w:w="442" w:type="pct"/>
            <w:vAlign w:val="center"/>
          </w:tcPr>
          <w:p w14:paraId="37EB4E01">
            <w:pPr>
              <w:pStyle w:val="12"/>
              <w:jc w:val="center"/>
              <w:rPr>
                <w:rFonts w:ascii="宋体" w:hAnsi="宋体"/>
              </w:rPr>
            </w:pPr>
            <w:r>
              <w:rPr>
                <w:rFonts w:hint="eastAsia" w:ascii="宋体" w:hAnsi="宋体"/>
              </w:rPr>
              <w:t>3678</w:t>
            </w:r>
          </w:p>
        </w:tc>
        <w:tc>
          <w:tcPr>
            <w:tcW w:w="442" w:type="pct"/>
            <w:vAlign w:val="center"/>
          </w:tcPr>
          <w:p w14:paraId="101AFBA2">
            <w:pPr>
              <w:pStyle w:val="12"/>
              <w:jc w:val="center"/>
              <w:rPr>
                <w:rFonts w:ascii="宋体" w:hAnsi="宋体"/>
              </w:rPr>
            </w:pPr>
            <w:r>
              <w:rPr>
                <w:rFonts w:hint="eastAsia" w:ascii="宋体" w:hAnsi="宋体"/>
              </w:rPr>
              <w:t>35837</w:t>
            </w:r>
          </w:p>
        </w:tc>
        <w:tc>
          <w:tcPr>
            <w:tcW w:w="442" w:type="pct"/>
            <w:vAlign w:val="center"/>
          </w:tcPr>
          <w:p w14:paraId="7897FC17">
            <w:pPr>
              <w:pStyle w:val="12"/>
              <w:jc w:val="center"/>
              <w:rPr>
                <w:rFonts w:ascii="宋体" w:hAnsi="宋体"/>
              </w:rPr>
            </w:pPr>
            <w:r>
              <w:rPr>
                <w:rFonts w:hint="eastAsia" w:ascii="宋体" w:hAnsi="宋体"/>
              </w:rPr>
              <w:t>35109</w:t>
            </w:r>
          </w:p>
        </w:tc>
        <w:tc>
          <w:tcPr>
            <w:tcW w:w="441" w:type="pct"/>
            <w:vAlign w:val="center"/>
          </w:tcPr>
          <w:p w14:paraId="6C4F04C7">
            <w:pPr>
              <w:pStyle w:val="12"/>
              <w:jc w:val="center"/>
              <w:rPr>
                <w:rFonts w:ascii="宋体" w:hAnsi="宋体"/>
              </w:rPr>
            </w:pPr>
            <w:r>
              <w:rPr>
                <w:rFonts w:hint="eastAsia" w:ascii="宋体" w:hAnsi="宋体"/>
              </w:rPr>
              <w:t>34141</w:t>
            </w:r>
          </w:p>
        </w:tc>
        <w:tc>
          <w:tcPr>
            <w:tcW w:w="442" w:type="pct"/>
            <w:vAlign w:val="center"/>
          </w:tcPr>
          <w:p w14:paraId="2845C007">
            <w:pPr>
              <w:pStyle w:val="12"/>
              <w:jc w:val="center"/>
              <w:rPr>
                <w:rFonts w:ascii="宋体" w:hAnsi="宋体"/>
              </w:rPr>
            </w:pPr>
            <w:r>
              <w:rPr>
                <w:rFonts w:hint="eastAsia" w:ascii="宋体" w:hAnsi="宋体"/>
              </w:rPr>
              <w:t>34518</w:t>
            </w:r>
          </w:p>
        </w:tc>
        <w:tc>
          <w:tcPr>
            <w:tcW w:w="442" w:type="pct"/>
            <w:vAlign w:val="center"/>
          </w:tcPr>
          <w:p w14:paraId="4C78F307">
            <w:pPr>
              <w:pStyle w:val="12"/>
              <w:jc w:val="center"/>
              <w:rPr>
                <w:rFonts w:ascii="宋体" w:hAnsi="宋体"/>
              </w:rPr>
            </w:pPr>
            <w:r>
              <w:rPr>
                <w:rFonts w:hint="eastAsia" w:ascii="宋体" w:hAnsi="宋体"/>
              </w:rPr>
              <w:t>43665</w:t>
            </w:r>
          </w:p>
        </w:tc>
        <w:tc>
          <w:tcPr>
            <w:tcW w:w="442" w:type="pct"/>
            <w:vAlign w:val="center"/>
          </w:tcPr>
          <w:p w14:paraId="791475DA">
            <w:pPr>
              <w:pStyle w:val="12"/>
              <w:jc w:val="center"/>
              <w:rPr>
                <w:rFonts w:ascii="宋体" w:hAnsi="宋体"/>
              </w:rPr>
            </w:pPr>
            <w:r>
              <w:rPr>
                <w:rFonts w:hint="eastAsia" w:ascii="宋体" w:hAnsi="宋体"/>
              </w:rPr>
              <w:t>52790</w:t>
            </w:r>
          </w:p>
        </w:tc>
        <w:tc>
          <w:tcPr>
            <w:tcW w:w="442" w:type="pct"/>
            <w:tcBorders>
              <w:right w:val="nil"/>
            </w:tcBorders>
            <w:vAlign w:val="center"/>
          </w:tcPr>
          <w:p w14:paraId="19C109C6">
            <w:pPr>
              <w:pStyle w:val="12"/>
              <w:jc w:val="center"/>
              <w:rPr>
                <w:rFonts w:ascii="宋体" w:hAnsi="宋体"/>
              </w:rPr>
            </w:pPr>
            <w:r>
              <w:rPr>
                <w:rFonts w:hint="eastAsia" w:ascii="宋体" w:hAnsi="宋体"/>
              </w:rPr>
              <w:t>62442</w:t>
            </w:r>
          </w:p>
        </w:tc>
      </w:tr>
    </w:tbl>
    <w:p w14:paraId="589F6F80">
      <w:pPr>
        <w:ind w:firstLine="0" w:firstLineChars="0"/>
        <w:jc w:val="center"/>
        <w:rPr>
          <w:rFonts w:ascii="宋体" w:hAnsi="宋体"/>
          <w:b/>
          <w:szCs w:val="21"/>
        </w:rPr>
      </w:pPr>
      <w:r>
        <w:rPr>
          <w:rFonts w:hint="eastAsia" w:ascii="宋体" w:hAnsi="宋体"/>
          <w:b/>
          <w:szCs w:val="21"/>
        </w:rPr>
        <w:t>1996年至2004年主要工业产品产量</w:t>
      </w:r>
    </w:p>
    <w:p w14:paraId="2E13E6C3">
      <w:pPr>
        <w:ind w:firstLine="0" w:firstLineChars="0"/>
        <w:rPr>
          <w:rFonts w:ascii="宋体" w:hAnsi="宋体"/>
          <w:b/>
          <w:szCs w:val="21"/>
        </w:rPr>
      </w:pPr>
      <w:r>
        <w:rPr>
          <w:rFonts w:hint="eastAsia" w:ascii="宋体" w:hAnsi="宋体"/>
          <w:b/>
          <w:szCs w:val="21"/>
        </w:rPr>
        <w:t>表2-34</w:t>
      </w:r>
    </w:p>
    <w:tbl>
      <w:tblPr>
        <w:tblStyle w:val="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95"/>
        <w:gridCol w:w="897"/>
        <w:gridCol w:w="897"/>
        <w:gridCol w:w="941"/>
        <w:gridCol w:w="941"/>
        <w:gridCol w:w="897"/>
        <w:gridCol w:w="897"/>
        <w:gridCol w:w="897"/>
        <w:gridCol w:w="901"/>
        <w:gridCol w:w="899"/>
      </w:tblGrid>
      <w:tr w14:paraId="673A3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pct"/>
            <w:tcBorders>
              <w:left w:val="nil"/>
              <w:tl2br w:val="single" w:color="auto" w:sz="4" w:space="0"/>
            </w:tcBorders>
            <w:vAlign w:val="center"/>
          </w:tcPr>
          <w:p w14:paraId="532BE7ED">
            <w:pPr>
              <w:pStyle w:val="12"/>
              <w:ind w:right="210"/>
              <w:jc w:val="right"/>
              <w:rPr>
                <w:rFonts w:ascii="宋体" w:hAnsi="宋体"/>
              </w:rPr>
            </w:pPr>
            <w:r>
              <w:rPr>
                <w:rFonts w:hint="eastAsia" w:ascii="宋体" w:hAnsi="宋体"/>
              </w:rPr>
              <w:t>年份</w:t>
            </w:r>
          </w:p>
          <w:p w14:paraId="6761A614">
            <w:pPr>
              <w:pStyle w:val="12"/>
              <w:ind w:firstLine="210" w:firstLineChars="100"/>
              <w:jc w:val="left"/>
              <w:rPr>
                <w:rFonts w:ascii="宋体" w:hAnsi="宋体"/>
              </w:rPr>
            </w:pPr>
            <w:r>
              <w:rPr>
                <w:rFonts w:hint="eastAsia" w:ascii="宋体" w:hAnsi="宋体"/>
              </w:rPr>
              <w:t>项目</w:t>
            </w:r>
          </w:p>
        </w:tc>
        <w:tc>
          <w:tcPr>
            <w:tcW w:w="450" w:type="pct"/>
            <w:vAlign w:val="center"/>
          </w:tcPr>
          <w:p w14:paraId="2B8F3F8B">
            <w:pPr>
              <w:pStyle w:val="12"/>
              <w:jc w:val="center"/>
              <w:rPr>
                <w:rFonts w:ascii="宋体" w:hAnsi="宋体"/>
              </w:rPr>
            </w:pPr>
            <w:r>
              <w:rPr>
                <w:rFonts w:hint="eastAsia" w:ascii="宋体" w:hAnsi="宋体"/>
              </w:rPr>
              <w:t>1996</w:t>
            </w:r>
          </w:p>
        </w:tc>
        <w:tc>
          <w:tcPr>
            <w:tcW w:w="450" w:type="pct"/>
            <w:vAlign w:val="center"/>
          </w:tcPr>
          <w:p w14:paraId="64234485">
            <w:pPr>
              <w:pStyle w:val="12"/>
              <w:jc w:val="center"/>
              <w:rPr>
                <w:rFonts w:ascii="宋体" w:hAnsi="宋体"/>
              </w:rPr>
            </w:pPr>
            <w:r>
              <w:rPr>
                <w:rFonts w:hint="eastAsia" w:ascii="宋体" w:hAnsi="宋体"/>
              </w:rPr>
              <w:t>1997</w:t>
            </w:r>
          </w:p>
        </w:tc>
        <w:tc>
          <w:tcPr>
            <w:tcW w:w="472" w:type="pct"/>
            <w:vAlign w:val="center"/>
          </w:tcPr>
          <w:p w14:paraId="48A2317C">
            <w:pPr>
              <w:pStyle w:val="12"/>
              <w:jc w:val="center"/>
              <w:rPr>
                <w:rFonts w:ascii="宋体" w:hAnsi="宋体"/>
              </w:rPr>
            </w:pPr>
            <w:r>
              <w:rPr>
                <w:rFonts w:hint="eastAsia" w:ascii="宋体" w:hAnsi="宋体"/>
              </w:rPr>
              <w:t>1998</w:t>
            </w:r>
          </w:p>
        </w:tc>
        <w:tc>
          <w:tcPr>
            <w:tcW w:w="472" w:type="pct"/>
            <w:vAlign w:val="center"/>
          </w:tcPr>
          <w:p w14:paraId="6103E4E9">
            <w:pPr>
              <w:pStyle w:val="12"/>
              <w:jc w:val="center"/>
              <w:rPr>
                <w:rFonts w:ascii="宋体" w:hAnsi="宋体"/>
              </w:rPr>
            </w:pPr>
            <w:r>
              <w:rPr>
                <w:rFonts w:hint="eastAsia" w:ascii="宋体" w:hAnsi="宋体"/>
              </w:rPr>
              <w:t>1999</w:t>
            </w:r>
          </w:p>
        </w:tc>
        <w:tc>
          <w:tcPr>
            <w:tcW w:w="450" w:type="pct"/>
            <w:vAlign w:val="center"/>
          </w:tcPr>
          <w:p w14:paraId="6F71F1C0">
            <w:pPr>
              <w:pStyle w:val="12"/>
              <w:jc w:val="center"/>
              <w:rPr>
                <w:rFonts w:ascii="宋体" w:hAnsi="宋体"/>
              </w:rPr>
            </w:pPr>
            <w:r>
              <w:rPr>
                <w:rFonts w:hint="eastAsia" w:ascii="宋体" w:hAnsi="宋体"/>
              </w:rPr>
              <w:t>2000</w:t>
            </w:r>
          </w:p>
        </w:tc>
        <w:tc>
          <w:tcPr>
            <w:tcW w:w="450" w:type="pct"/>
            <w:vAlign w:val="center"/>
          </w:tcPr>
          <w:p w14:paraId="284DEF43">
            <w:pPr>
              <w:pStyle w:val="12"/>
              <w:jc w:val="center"/>
              <w:rPr>
                <w:rFonts w:ascii="宋体" w:hAnsi="宋体"/>
              </w:rPr>
            </w:pPr>
            <w:r>
              <w:rPr>
                <w:rFonts w:hint="eastAsia" w:ascii="宋体" w:hAnsi="宋体"/>
              </w:rPr>
              <w:t>2001</w:t>
            </w:r>
          </w:p>
        </w:tc>
        <w:tc>
          <w:tcPr>
            <w:tcW w:w="450" w:type="pct"/>
            <w:vAlign w:val="center"/>
          </w:tcPr>
          <w:p w14:paraId="55A682B9">
            <w:pPr>
              <w:pStyle w:val="12"/>
              <w:jc w:val="center"/>
              <w:rPr>
                <w:rFonts w:ascii="宋体" w:hAnsi="宋体"/>
              </w:rPr>
            </w:pPr>
            <w:r>
              <w:rPr>
                <w:rFonts w:hint="eastAsia" w:ascii="宋体" w:hAnsi="宋体"/>
              </w:rPr>
              <w:t>2002</w:t>
            </w:r>
          </w:p>
        </w:tc>
        <w:tc>
          <w:tcPr>
            <w:tcW w:w="452" w:type="pct"/>
            <w:vAlign w:val="center"/>
          </w:tcPr>
          <w:p w14:paraId="53FF4E84">
            <w:pPr>
              <w:pStyle w:val="12"/>
              <w:jc w:val="center"/>
              <w:rPr>
                <w:rFonts w:ascii="宋体" w:hAnsi="宋体"/>
              </w:rPr>
            </w:pPr>
            <w:r>
              <w:rPr>
                <w:rFonts w:hint="eastAsia" w:ascii="宋体" w:hAnsi="宋体"/>
              </w:rPr>
              <w:t>2003</w:t>
            </w:r>
          </w:p>
        </w:tc>
        <w:tc>
          <w:tcPr>
            <w:tcW w:w="451" w:type="pct"/>
            <w:tcBorders>
              <w:right w:val="nil"/>
            </w:tcBorders>
            <w:vAlign w:val="center"/>
          </w:tcPr>
          <w:p w14:paraId="479792CE">
            <w:pPr>
              <w:pStyle w:val="12"/>
              <w:jc w:val="center"/>
              <w:rPr>
                <w:rFonts w:ascii="宋体" w:hAnsi="宋体"/>
              </w:rPr>
            </w:pPr>
            <w:r>
              <w:rPr>
                <w:rFonts w:hint="eastAsia" w:ascii="宋体" w:hAnsi="宋体"/>
              </w:rPr>
              <w:t>2004</w:t>
            </w:r>
          </w:p>
        </w:tc>
      </w:tr>
      <w:tr w14:paraId="6185C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pct"/>
            <w:tcBorders>
              <w:left w:val="nil"/>
            </w:tcBorders>
            <w:vAlign w:val="center"/>
          </w:tcPr>
          <w:p w14:paraId="05D76D75">
            <w:pPr>
              <w:pStyle w:val="12"/>
              <w:jc w:val="center"/>
              <w:rPr>
                <w:rFonts w:ascii="宋体" w:hAnsi="宋体"/>
              </w:rPr>
            </w:pPr>
            <w:r>
              <w:rPr>
                <w:rFonts w:hint="eastAsia" w:ascii="宋体" w:hAnsi="宋体"/>
              </w:rPr>
              <w:t>钨精矿（吨）</w:t>
            </w:r>
          </w:p>
        </w:tc>
        <w:tc>
          <w:tcPr>
            <w:tcW w:w="450" w:type="pct"/>
            <w:vAlign w:val="center"/>
          </w:tcPr>
          <w:p w14:paraId="1D0AA795">
            <w:pPr>
              <w:pStyle w:val="12"/>
              <w:jc w:val="center"/>
              <w:rPr>
                <w:rFonts w:ascii="宋体" w:hAnsi="宋体"/>
              </w:rPr>
            </w:pPr>
            <w:r>
              <w:rPr>
                <w:rFonts w:hint="eastAsia" w:ascii="宋体" w:hAnsi="宋体"/>
              </w:rPr>
              <w:t>275</w:t>
            </w:r>
          </w:p>
        </w:tc>
        <w:tc>
          <w:tcPr>
            <w:tcW w:w="450" w:type="pct"/>
            <w:vAlign w:val="center"/>
          </w:tcPr>
          <w:p w14:paraId="0047F2FF">
            <w:pPr>
              <w:pStyle w:val="12"/>
              <w:jc w:val="center"/>
              <w:rPr>
                <w:rFonts w:ascii="宋体" w:hAnsi="宋体"/>
              </w:rPr>
            </w:pPr>
            <w:r>
              <w:rPr>
                <w:rFonts w:hint="eastAsia" w:ascii="宋体" w:hAnsi="宋体"/>
              </w:rPr>
              <w:t>253</w:t>
            </w:r>
          </w:p>
        </w:tc>
        <w:tc>
          <w:tcPr>
            <w:tcW w:w="472" w:type="pct"/>
            <w:vAlign w:val="center"/>
          </w:tcPr>
          <w:p w14:paraId="1CFE2D91">
            <w:pPr>
              <w:pStyle w:val="12"/>
              <w:jc w:val="center"/>
              <w:rPr>
                <w:rFonts w:ascii="宋体" w:hAnsi="宋体"/>
              </w:rPr>
            </w:pPr>
            <w:r>
              <w:rPr>
                <w:rFonts w:hint="eastAsia" w:ascii="宋体" w:hAnsi="宋体"/>
              </w:rPr>
              <w:t>264</w:t>
            </w:r>
          </w:p>
        </w:tc>
        <w:tc>
          <w:tcPr>
            <w:tcW w:w="472" w:type="pct"/>
            <w:vAlign w:val="center"/>
          </w:tcPr>
          <w:p w14:paraId="738D738F">
            <w:pPr>
              <w:pStyle w:val="12"/>
              <w:jc w:val="center"/>
              <w:rPr>
                <w:rFonts w:ascii="宋体" w:hAnsi="宋体"/>
              </w:rPr>
            </w:pPr>
            <w:r>
              <w:rPr>
                <w:rFonts w:hint="eastAsia" w:ascii="宋体" w:hAnsi="宋体"/>
              </w:rPr>
              <w:t>207</w:t>
            </w:r>
          </w:p>
        </w:tc>
        <w:tc>
          <w:tcPr>
            <w:tcW w:w="450" w:type="pct"/>
            <w:vAlign w:val="center"/>
          </w:tcPr>
          <w:p w14:paraId="61B4FEA3">
            <w:pPr>
              <w:pStyle w:val="12"/>
              <w:jc w:val="center"/>
              <w:rPr>
                <w:rFonts w:ascii="宋体" w:hAnsi="宋体"/>
              </w:rPr>
            </w:pPr>
            <w:r>
              <w:rPr>
                <w:rFonts w:hint="eastAsia" w:ascii="宋体" w:hAnsi="宋体"/>
              </w:rPr>
              <w:t>219</w:t>
            </w:r>
          </w:p>
        </w:tc>
        <w:tc>
          <w:tcPr>
            <w:tcW w:w="450" w:type="pct"/>
            <w:vAlign w:val="center"/>
          </w:tcPr>
          <w:p w14:paraId="267F2A33">
            <w:pPr>
              <w:pStyle w:val="12"/>
              <w:jc w:val="center"/>
              <w:rPr>
                <w:rFonts w:ascii="宋体" w:hAnsi="宋体"/>
              </w:rPr>
            </w:pPr>
            <w:r>
              <w:rPr>
                <w:rFonts w:hint="eastAsia" w:ascii="宋体" w:hAnsi="宋体"/>
              </w:rPr>
              <w:t>205</w:t>
            </w:r>
          </w:p>
        </w:tc>
        <w:tc>
          <w:tcPr>
            <w:tcW w:w="450" w:type="pct"/>
            <w:vAlign w:val="center"/>
          </w:tcPr>
          <w:p w14:paraId="6C569413">
            <w:pPr>
              <w:pStyle w:val="12"/>
              <w:jc w:val="center"/>
              <w:rPr>
                <w:rFonts w:ascii="宋体" w:hAnsi="宋体"/>
              </w:rPr>
            </w:pPr>
            <w:r>
              <w:rPr>
                <w:rFonts w:hint="eastAsia" w:ascii="宋体" w:hAnsi="宋体"/>
              </w:rPr>
              <w:t>287</w:t>
            </w:r>
          </w:p>
        </w:tc>
        <w:tc>
          <w:tcPr>
            <w:tcW w:w="452" w:type="pct"/>
            <w:vAlign w:val="center"/>
          </w:tcPr>
          <w:p w14:paraId="322DEE05">
            <w:pPr>
              <w:pStyle w:val="12"/>
              <w:jc w:val="center"/>
              <w:rPr>
                <w:rFonts w:ascii="宋体" w:hAnsi="宋体"/>
              </w:rPr>
            </w:pPr>
            <w:r>
              <w:rPr>
                <w:rFonts w:hint="eastAsia" w:ascii="宋体" w:hAnsi="宋体"/>
              </w:rPr>
              <w:t>275.8</w:t>
            </w:r>
          </w:p>
        </w:tc>
        <w:tc>
          <w:tcPr>
            <w:tcW w:w="451" w:type="pct"/>
            <w:tcBorders>
              <w:right w:val="nil"/>
            </w:tcBorders>
            <w:vAlign w:val="center"/>
          </w:tcPr>
          <w:p w14:paraId="01A10D81">
            <w:pPr>
              <w:pStyle w:val="12"/>
              <w:jc w:val="center"/>
              <w:rPr>
                <w:rFonts w:ascii="宋体" w:hAnsi="宋体"/>
              </w:rPr>
            </w:pPr>
            <w:r>
              <w:rPr>
                <w:rFonts w:hint="eastAsia" w:ascii="宋体" w:hAnsi="宋体"/>
              </w:rPr>
              <w:t>269</w:t>
            </w:r>
          </w:p>
        </w:tc>
      </w:tr>
      <w:tr w14:paraId="6C907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pct"/>
            <w:tcBorders>
              <w:left w:val="nil"/>
            </w:tcBorders>
            <w:vAlign w:val="center"/>
          </w:tcPr>
          <w:p w14:paraId="01FF91E7">
            <w:pPr>
              <w:pStyle w:val="12"/>
              <w:jc w:val="center"/>
              <w:rPr>
                <w:rFonts w:ascii="宋体" w:hAnsi="宋体"/>
              </w:rPr>
            </w:pPr>
            <w:r>
              <w:rPr>
                <w:rFonts w:hint="eastAsia" w:ascii="宋体" w:hAnsi="宋体"/>
              </w:rPr>
              <w:t>钼精矿（吨）</w:t>
            </w:r>
          </w:p>
        </w:tc>
        <w:tc>
          <w:tcPr>
            <w:tcW w:w="450" w:type="pct"/>
            <w:vAlign w:val="center"/>
          </w:tcPr>
          <w:p w14:paraId="50F2F4E6">
            <w:pPr>
              <w:pStyle w:val="12"/>
              <w:jc w:val="center"/>
              <w:rPr>
                <w:rFonts w:ascii="宋体" w:hAnsi="宋体"/>
              </w:rPr>
            </w:pPr>
            <w:r>
              <w:rPr>
                <w:rFonts w:hint="eastAsia" w:ascii="宋体" w:hAnsi="宋体"/>
              </w:rPr>
              <w:t>31</w:t>
            </w:r>
          </w:p>
        </w:tc>
        <w:tc>
          <w:tcPr>
            <w:tcW w:w="450" w:type="pct"/>
            <w:vAlign w:val="center"/>
          </w:tcPr>
          <w:p w14:paraId="2BB9983D">
            <w:pPr>
              <w:pStyle w:val="12"/>
              <w:jc w:val="center"/>
              <w:rPr>
                <w:rFonts w:ascii="宋体" w:hAnsi="宋体"/>
              </w:rPr>
            </w:pPr>
            <w:r>
              <w:rPr>
                <w:rFonts w:hint="eastAsia" w:ascii="宋体" w:hAnsi="宋体"/>
              </w:rPr>
              <w:t>54</w:t>
            </w:r>
          </w:p>
        </w:tc>
        <w:tc>
          <w:tcPr>
            <w:tcW w:w="472" w:type="pct"/>
            <w:vAlign w:val="center"/>
          </w:tcPr>
          <w:p w14:paraId="40B1F17B">
            <w:pPr>
              <w:pStyle w:val="12"/>
              <w:jc w:val="center"/>
              <w:rPr>
                <w:rFonts w:ascii="宋体" w:hAnsi="宋体"/>
              </w:rPr>
            </w:pPr>
            <w:r>
              <w:rPr>
                <w:rFonts w:hint="eastAsia" w:ascii="宋体" w:hAnsi="宋体"/>
              </w:rPr>
              <w:t>38</w:t>
            </w:r>
          </w:p>
        </w:tc>
        <w:tc>
          <w:tcPr>
            <w:tcW w:w="472" w:type="pct"/>
            <w:vAlign w:val="center"/>
          </w:tcPr>
          <w:p w14:paraId="5A497C0E">
            <w:pPr>
              <w:pStyle w:val="12"/>
              <w:jc w:val="center"/>
              <w:rPr>
                <w:rFonts w:ascii="宋体" w:hAnsi="宋体"/>
              </w:rPr>
            </w:pPr>
            <w:r>
              <w:rPr>
                <w:rFonts w:hint="eastAsia" w:ascii="宋体" w:hAnsi="宋体"/>
              </w:rPr>
              <w:t>32</w:t>
            </w:r>
          </w:p>
        </w:tc>
        <w:tc>
          <w:tcPr>
            <w:tcW w:w="450" w:type="pct"/>
            <w:vAlign w:val="center"/>
          </w:tcPr>
          <w:p w14:paraId="35B7F207">
            <w:pPr>
              <w:pStyle w:val="12"/>
              <w:jc w:val="center"/>
              <w:rPr>
                <w:rFonts w:ascii="宋体" w:hAnsi="宋体"/>
              </w:rPr>
            </w:pPr>
            <w:r>
              <w:rPr>
                <w:rFonts w:hint="eastAsia" w:ascii="宋体" w:hAnsi="宋体"/>
              </w:rPr>
              <w:t>48</w:t>
            </w:r>
          </w:p>
        </w:tc>
        <w:tc>
          <w:tcPr>
            <w:tcW w:w="450" w:type="pct"/>
            <w:vAlign w:val="center"/>
          </w:tcPr>
          <w:p w14:paraId="7895B598">
            <w:pPr>
              <w:pStyle w:val="12"/>
              <w:jc w:val="center"/>
              <w:rPr>
                <w:rFonts w:ascii="宋体" w:hAnsi="宋体"/>
              </w:rPr>
            </w:pPr>
            <w:r>
              <w:rPr>
                <w:rFonts w:hint="eastAsia" w:ascii="宋体" w:hAnsi="宋体"/>
              </w:rPr>
              <w:t>46</w:t>
            </w:r>
          </w:p>
        </w:tc>
        <w:tc>
          <w:tcPr>
            <w:tcW w:w="450" w:type="pct"/>
            <w:vAlign w:val="center"/>
          </w:tcPr>
          <w:p w14:paraId="62E210E9">
            <w:pPr>
              <w:pStyle w:val="12"/>
              <w:jc w:val="center"/>
              <w:rPr>
                <w:rFonts w:ascii="宋体" w:hAnsi="宋体"/>
              </w:rPr>
            </w:pPr>
            <w:r>
              <w:rPr>
                <w:rFonts w:hint="eastAsia" w:ascii="宋体" w:hAnsi="宋体"/>
              </w:rPr>
              <w:t>106</w:t>
            </w:r>
          </w:p>
        </w:tc>
        <w:tc>
          <w:tcPr>
            <w:tcW w:w="452" w:type="pct"/>
            <w:vAlign w:val="center"/>
          </w:tcPr>
          <w:p w14:paraId="0DF6208F">
            <w:pPr>
              <w:pStyle w:val="12"/>
              <w:jc w:val="center"/>
              <w:rPr>
                <w:rFonts w:ascii="宋体" w:hAnsi="宋体"/>
              </w:rPr>
            </w:pPr>
            <w:r>
              <w:rPr>
                <w:rFonts w:hint="eastAsia" w:ascii="宋体" w:hAnsi="宋体"/>
              </w:rPr>
              <w:t>78.5</w:t>
            </w:r>
          </w:p>
        </w:tc>
        <w:tc>
          <w:tcPr>
            <w:tcW w:w="451" w:type="pct"/>
            <w:tcBorders>
              <w:right w:val="nil"/>
            </w:tcBorders>
            <w:vAlign w:val="center"/>
          </w:tcPr>
          <w:p w14:paraId="4052F9B7">
            <w:pPr>
              <w:pStyle w:val="12"/>
              <w:jc w:val="center"/>
              <w:rPr>
                <w:rFonts w:ascii="宋体" w:hAnsi="宋体"/>
              </w:rPr>
            </w:pPr>
            <w:r>
              <w:rPr>
                <w:rFonts w:hint="eastAsia" w:ascii="宋体" w:hAnsi="宋体"/>
              </w:rPr>
              <w:t>93</w:t>
            </w:r>
          </w:p>
        </w:tc>
      </w:tr>
      <w:tr w14:paraId="5C21B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pct"/>
            <w:tcBorders>
              <w:left w:val="nil"/>
            </w:tcBorders>
            <w:vAlign w:val="center"/>
          </w:tcPr>
          <w:p w14:paraId="4803778F">
            <w:pPr>
              <w:pStyle w:val="12"/>
              <w:jc w:val="center"/>
              <w:rPr>
                <w:rFonts w:ascii="宋体" w:hAnsi="宋体"/>
              </w:rPr>
            </w:pPr>
            <w:r>
              <w:rPr>
                <w:rFonts w:hint="eastAsia" w:ascii="宋体" w:hAnsi="宋体"/>
              </w:rPr>
              <w:t>复烤烟叶（吨）</w:t>
            </w:r>
          </w:p>
        </w:tc>
        <w:tc>
          <w:tcPr>
            <w:tcW w:w="450" w:type="pct"/>
            <w:vAlign w:val="center"/>
          </w:tcPr>
          <w:p w14:paraId="5ADCD75B">
            <w:pPr>
              <w:pStyle w:val="12"/>
              <w:jc w:val="center"/>
              <w:rPr>
                <w:rFonts w:ascii="宋体" w:hAnsi="宋体"/>
              </w:rPr>
            </w:pPr>
            <w:r>
              <w:rPr>
                <w:rFonts w:hint="eastAsia" w:ascii="宋体" w:hAnsi="宋体"/>
              </w:rPr>
              <w:t>9846</w:t>
            </w:r>
          </w:p>
        </w:tc>
        <w:tc>
          <w:tcPr>
            <w:tcW w:w="450" w:type="pct"/>
            <w:vAlign w:val="center"/>
          </w:tcPr>
          <w:p w14:paraId="7470EFA9">
            <w:pPr>
              <w:pStyle w:val="12"/>
              <w:jc w:val="center"/>
              <w:rPr>
                <w:rFonts w:ascii="宋体" w:hAnsi="宋体"/>
              </w:rPr>
            </w:pPr>
            <w:r>
              <w:rPr>
                <w:rFonts w:hint="eastAsia" w:ascii="宋体" w:hAnsi="宋体"/>
              </w:rPr>
              <w:t>12525</w:t>
            </w:r>
          </w:p>
        </w:tc>
        <w:tc>
          <w:tcPr>
            <w:tcW w:w="472" w:type="pct"/>
            <w:vAlign w:val="center"/>
          </w:tcPr>
          <w:p w14:paraId="69F0BFD1">
            <w:pPr>
              <w:pStyle w:val="12"/>
              <w:jc w:val="center"/>
              <w:rPr>
                <w:rFonts w:ascii="宋体" w:hAnsi="宋体"/>
              </w:rPr>
            </w:pPr>
            <w:r>
              <w:rPr>
                <w:rFonts w:hint="eastAsia" w:ascii="宋体" w:hAnsi="宋体"/>
              </w:rPr>
              <w:t>19715</w:t>
            </w:r>
          </w:p>
        </w:tc>
        <w:tc>
          <w:tcPr>
            <w:tcW w:w="472" w:type="pct"/>
            <w:vAlign w:val="center"/>
          </w:tcPr>
          <w:p w14:paraId="04FA3053">
            <w:pPr>
              <w:pStyle w:val="12"/>
              <w:jc w:val="center"/>
              <w:rPr>
                <w:rFonts w:ascii="宋体" w:hAnsi="宋体"/>
              </w:rPr>
            </w:pPr>
            <w:r>
              <w:rPr>
                <w:rFonts w:hint="eastAsia" w:ascii="宋体" w:hAnsi="宋体"/>
              </w:rPr>
              <w:t>6837</w:t>
            </w:r>
          </w:p>
        </w:tc>
        <w:tc>
          <w:tcPr>
            <w:tcW w:w="450" w:type="pct"/>
            <w:vAlign w:val="center"/>
          </w:tcPr>
          <w:p w14:paraId="728248E9">
            <w:pPr>
              <w:pStyle w:val="12"/>
              <w:jc w:val="center"/>
              <w:rPr>
                <w:rFonts w:ascii="宋体" w:hAnsi="宋体"/>
              </w:rPr>
            </w:pPr>
            <w:r>
              <w:rPr>
                <w:rFonts w:hint="eastAsia" w:ascii="宋体" w:hAnsi="宋体"/>
              </w:rPr>
              <w:t>7023</w:t>
            </w:r>
          </w:p>
        </w:tc>
        <w:tc>
          <w:tcPr>
            <w:tcW w:w="450" w:type="pct"/>
            <w:vAlign w:val="center"/>
          </w:tcPr>
          <w:p w14:paraId="7AA9EDAA">
            <w:pPr>
              <w:pStyle w:val="12"/>
              <w:jc w:val="center"/>
              <w:rPr>
                <w:rFonts w:ascii="宋体" w:hAnsi="宋体"/>
              </w:rPr>
            </w:pPr>
            <w:r>
              <w:rPr>
                <w:rFonts w:hint="eastAsia" w:ascii="宋体" w:hAnsi="宋体"/>
              </w:rPr>
              <w:t>6467</w:t>
            </w:r>
          </w:p>
        </w:tc>
        <w:tc>
          <w:tcPr>
            <w:tcW w:w="450" w:type="pct"/>
            <w:vAlign w:val="center"/>
          </w:tcPr>
          <w:p w14:paraId="46AF6794">
            <w:pPr>
              <w:pStyle w:val="12"/>
              <w:jc w:val="center"/>
              <w:rPr>
                <w:rFonts w:ascii="宋体" w:hAnsi="宋体"/>
              </w:rPr>
            </w:pPr>
            <w:r>
              <w:rPr>
                <w:rFonts w:hint="eastAsia" w:ascii="宋体" w:hAnsi="宋体"/>
              </w:rPr>
              <w:t>7077</w:t>
            </w:r>
          </w:p>
        </w:tc>
        <w:tc>
          <w:tcPr>
            <w:tcW w:w="452" w:type="pct"/>
            <w:vAlign w:val="center"/>
          </w:tcPr>
          <w:p w14:paraId="015472AD">
            <w:pPr>
              <w:pStyle w:val="12"/>
              <w:jc w:val="center"/>
              <w:rPr>
                <w:rFonts w:ascii="宋体" w:hAnsi="宋体"/>
              </w:rPr>
            </w:pPr>
            <w:r>
              <w:rPr>
                <w:rFonts w:hint="eastAsia" w:ascii="宋体" w:hAnsi="宋体"/>
              </w:rPr>
              <w:t>7253</w:t>
            </w:r>
          </w:p>
        </w:tc>
        <w:tc>
          <w:tcPr>
            <w:tcW w:w="451" w:type="pct"/>
            <w:tcBorders>
              <w:right w:val="nil"/>
            </w:tcBorders>
            <w:vAlign w:val="center"/>
          </w:tcPr>
          <w:p w14:paraId="78413BEA">
            <w:pPr>
              <w:pStyle w:val="12"/>
              <w:jc w:val="center"/>
              <w:rPr>
                <w:rFonts w:ascii="宋体" w:hAnsi="宋体"/>
              </w:rPr>
            </w:pPr>
            <w:r>
              <w:rPr>
                <w:rFonts w:hint="eastAsia" w:ascii="宋体" w:hAnsi="宋体"/>
              </w:rPr>
              <w:t>6630</w:t>
            </w:r>
          </w:p>
        </w:tc>
      </w:tr>
      <w:tr w14:paraId="12141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pct"/>
            <w:tcBorders>
              <w:left w:val="nil"/>
            </w:tcBorders>
            <w:vAlign w:val="center"/>
          </w:tcPr>
          <w:p w14:paraId="695038A7">
            <w:pPr>
              <w:pStyle w:val="12"/>
              <w:jc w:val="center"/>
              <w:rPr>
                <w:rFonts w:ascii="宋体" w:hAnsi="宋体"/>
              </w:rPr>
            </w:pPr>
            <w:r>
              <w:rPr>
                <w:rFonts w:hint="eastAsia" w:ascii="宋体" w:hAnsi="宋体"/>
              </w:rPr>
              <w:t>卷烟（箱）</w:t>
            </w:r>
          </w:p>
        </w:tc>
        <w:tc>
          <w:tcPr>
            <w:tcW w:w="450" w:type="pct"/>
            <w:vAlign w:val="center"/>
          </w:tcPr>
          <w:p w14:paraId="4938C06B">
            <w:pPr>
              <w:pStyle w:val="12"/>
              <w:jc w:val="center"/>
              <w:rPr>
                <w:rFonts w:ascii="宋体" w:hAnsi="宋体"/>
              </w:rPr>
            </w:pPr>
            <w:r>
              <w:rPr>
                <w:rFonts w:hint="eastAsia" w:ascii="宋体" w:hAnsi="宋体"/>
              </w:rPr>
              <w:t>79998</w:t>
            </w:r>
          </w:p>
        </w:tc>
        <w:tc>
          <w:tcPr>
            <w:tcW w:w="450" w:type="pct"/>
            <w:vAlign w:val="center"/>
          </w:tcPr>
          <w:p w14:paraId="145196E8">
            <w:pPr>
              <w:pStyle w:val="12"/>
              <w:jc w:val="center"/>
              <w:rPr>
                <w:rFonts w:ascii="宋体" w:hAnsi="宋体"/>
              </w:rPr>
            </w:pPr>
            <w:r>
              <w:rPr>
                <w:rFonts w:hint="eastAsia" w:ascii="宋体" w:hAnsi="宋体"/>
              </w:rPr>
              <w:t>7999</w:t>
            </w:r>
          </w:p>
        </w:tc>
        <w:tc>
          <w:tcPr>
            <w:tcW w:w="472" w:type="pct"/>
            <w:vAlign w:val="center"/>
          </w:tcPr>
          <w:p w14:paraId="2CB1D162">
            <w:pPr>
              <w:pStyle w:val="12"/>
              <w:jc w:val="center"/>
              <w:rPr>
                <w:rFonts w:ascii="宋体" w:hAnsi="宋体"/>
              </w:rPr>
            </w:pPr>
            <w:r>
              <w:rPr>
                <w:rFonts w:hint="eastAsia" w:ascii="宋体" w:hAnsi="宋体"/>
              </w:rPr>
              <w:t>80998</w:t>
            </w:r>
          </w:p>
        </w:tc>
        <w:tc>
          <w:tcPr>
            <w:tcW w:w="472" w:type="pct"/>
            <w:vAlign w:val="center"/>
          </w:tcPr>
          <w:p w14:paraId="42D884C1">
            <w:pPr>
              <w:pStyle w:val="12"/>
              <w:jc w:val="center"/>
              <w:rPr>
                <w:rFonts w:ascii="宋体" w:hAnsi="宋体"/>
              </w:rPr>
            </w:pPr>
            <w:r>
              <w:rPr>
                <w:rFonts w:hint="eastAsia" w:ascii="宋体" w:hAnsi="宋体"/>
              </w:rPr>
              <w:t>78000</w:t>
            </w:r>
          </w:p>
        </w:tc>
        <w:tc>
          <w:tcPr>
            <w:tcW w:w="450" w:type="pct"/>
            <w:vAlign w:val="center"/>
          </w:tcPr>
          <w:p w14:paraId="787AA673">
            <w:pPr>
              <w:pStyle w:val="12"/>
              <w:jc w:val="center"/>
              <w:rPr>
                <w:rFonts w:ascii="宋体" w:hAnsi="宋体"/>
              </w:rPr>
            </w:pPr>
            <w:r>
              <w:rPr>
                <w:rFonts w:hint="eastAsia" w:ascii="宋体" w:hAnsi="宋体"/>
              </w:rPr>
              <w:t>79000</w:t>
            </w:r>
          </w:p>
        </w:tc>
        <w:tc>
          <w:tcPr>
            <w:tcW w:w="450" w:type="pct"/>
            <w:vAlign w:val="center"/>
          </w:tcPr>
          <w:p w14:paraId="54955C0C">
            <w:pPr>
              <w:pStyle w:val="12"/>
              <w:jc w:val="center"/>
              <w:rPr>
                <w:rFonts w:ascii="宋体" w:hAnsi="宋体"/>
              </w:rPr>
            </w:pPr>
            <w:r>
              <w:rPr>
                <w:rFonts w:hint="eastAsia" w:ascii="宋体" w:hAnsi="宋体"/>
              </w:rPr>
              <w:t>—</w:t>
            </w:r>
          </w:p>
        </w:tc>
        <w:tc>
          <w:tcPr>
            <w:tcW w:w="450" w:type="pct"/>
            <w:vAlign w:val="center"/>
          </w:tcPr>
          <w:p w14:paraId="560C2CCF">
            <w:pPr>
              <w:pStyle w:val="12"/>
              <w:jc w:val="center"/>
              <w:rPr>
                <w:rFonts w:ascii="宋体" w:hAnsi="宋体"/>
              </w:rPr>
            </w:pPr>
            <w:r>
              <w:rPr>
                <w:rFonts w:hint="eastAsia" w:ascii="宋体" w:hAnsi="宋体"/>
              </w:rPr>
              <w:t>—</w:t>
            </w:r>
          </w:p>
        </w:tc>
        <w:tc>
          <w:tcPr>
            <w:tcW w:w="452" w:type="pct"/>
            <w:vAlign w:val="center"/>
          </w:tcPr>
          <w:p w14:paraId="200E7648">
            <w:pPr>
              <w:pStyle w:val="12"/>
              <w:jc w:val="center"/>
              <w:rPr>
                <w:rFonts w:ascii="宋体" w:hAnsi="宋体"/>
              </w:rPr>
            </w:pPr>
            <w:r>
              <w:rPr>
                <w:rFonts w:hint="eastAsia" w:ascii="宋体" w:hAnsi="宋体"/>
              </w:rPr>
              <w:t>—</w:t>
            </w:r>
          </w:p>
        </w:tc>
        <w:tc>
          <w:tcPr>
            <w:tcW w:w="451" w:type="pct"/>
            <w:tcBorders>
              <w:right w:val="nil"/>
            </w:tcBorders>
            <w:vAlign w:val="center"/>
          </w:tcPr>
          <w:p w14:paraId="75A297A9">
            <w:pPr>
              <w:pStyle w:val="12"/>
              <w:jc w:val="center"/>
              <w:rPr>
                <w:rFonts w:ascii="宋体" w:hAnsi="宋体"/>
              </w:rPr>
            </w:pPr>
            <w:r>
              <w:rPr>
                <w:rFonts w:hint="eastAsia" w:ascii="宋体" w:hAnsi="宋体"/>
              </w:rPr>
              <w:t>—</w:t>
            </w:r>
          </w:p>
        </w:tc>
      </w:tr>
      <w:tr w14:paraId="14A51D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pct"/>
            <w:tcBorders>
              <w:left w:val="nil"/>
            </w:tcBorders>
            <w:vAlign w:val="center"/>
          </w:tcPr>
          <w:p w14:paraId="4D3613B0">
            <w:pPr>
              <w:pStyle w:val="12"/>
              <w:jc w:val="center"/>
              <w:rPr>
                <w:rFonts w:ascii="宋体" w:hAnsi="宋体"/>
              </w:rPr>
            </w:pPr>
            <w:r>
              <w:rPr>
                <w:rFonts w:hint="eastAsia" w:ascii="宋体" w:hAnsi="宋体"/>
              </w:rPr>
              <w:t>纸制品（吨）</w:t>
            </w:r>
          </w:p>
        </w:tc>
        <w:tc>
          <w:tcPr>
            <w:tcW w:w="450" w:type="pct"/>
            <w:vAlign w:val="center"/>
          </w:tcPr>
          <w:p w14:paraId="4B8DECB0">
            <w:pPr>
              <w:pStyle w:val="12"/>
              <w:jc w:val="center"/>
              <w:rPr>
                <w:rFonts w:ascii="宋体" w:hAnsi="宋体"/>
              </w:rPr>
            </w:pPr>
            <w:r>
              <w:rPr>
                <w:rFonts w:hint="eastAsia" w:ascii="宋体" w:hAnsi="宋体"/>
              </w:rPr>
              <w:t>—</w:t>
            </w:r>
          </w:p>
        </w:tc>
        <w:tc>
          <w:tcPr>
            <w:tcW w:w="450" w:type="pct"/>
            <w:vAlign w:val="center"/>
          </w:tcPr>
          <w:p w14:paraId="1A5D4216">
            <w:pPr>
              <w:pStyle w:val="12"/>
              <w:jc w:val="center"/>
              <w:rPr>
                <w:rFonts w:ascii="宋体" w:hAnsi="宋体"/>
              </w:rPr>
            </w:pPr>
            <w:r>
              <w:rPr>
                <w:rFonts w:hint="eastAsia" w:ascii="宋体" w:hAnsi="宋体"/>
              </w:rPr>
              <w:t>1198</w:t>
            </w:r>
          </w:p>
        </w:tc>
        <w:tc>
          <w:tcPr>
            <w:tcW w:w="472" w:type="pct"/>
            <w:vAlign w:val="center"/>
          </w:tcPr>
          <w:p w14:paraId="5593A035">
            <w:pPr>
              <w:pStyle w:val="12"/>
              <w:jc w:val="center"/>
              <w:rPr>
                <w:rFonts w:ascii="宋体" w:hAnsi="宋体"/>
              </w:rPr>
            </w:pPr>
            <w:r>
              <w:rPr>
                <w:rFonts w:hint="eastAsia" w:ascii="宋体" w:hAnsi="宋体"/>
              </w:rPr>
              <w:t>484</w:t>
            </w:r>
          </w:p>
        </w:tc>
        <w:tc>
          <w:tcPr>
            <w:tcW w:w="472" w:type="pct"/>
            <w:vAlign w:val="center"/>
          </w:tcPr>
          <w:p w14:paraId="46AABB69">
            <w:pPr>
              <w:pStyle w:val="12"/>
              <w:jc w:val="center"/>
              <w:rPr>
                <w:rFonts w:ascii="宋体" w:hAnsi="宋体"/>
              </w:rPr>
            </w:pPr>
            <w:r>
              <w:rPr>
                <w:rFonts w:hint="eastAsia" w:ascii="宋体" w:hAnsi="宋体"/>
              </w:rPr>
              <w:t>414</w:t>
            </w:r>
          </w:p>
        </w:tc>
        <w:tc>
          <w:tcPr>
            <w:tcW w:w="450" w:type="pct"/>
            <w:vAlign w:val="center"/>
          </w:tcPr>
          <w:p w14:paraId="3F608502">
            <w:pPr>
              <w:pStyle w:val="12"/>
              <w:jc w:val="center"/>
              <w:rPr>
                <w:rFonts w:ascii="宋体" w:hAnsi="宋体"/>
              </w:rPr>
            </w:pPr>
            <w:r>
              <w:rPr>
                <w:rFonts w:hint="eastAsia" w:ascii="宋体" w:hAnsi="宋体"/>
              </w:rPr>
              <w:t>457</w:t>
            </w:r>
          </w:p>
        </w:tc>
        <w:tc>
          <w:tcPr>
            <w:tcW w:w="450" w:type="pct"/>
            <w:vAlign w:val="center"/>
          </w:tcPr>
          <w:p w14:paraId="2F5DBE79">
            <w:pPr>
              <w:pStyle w:val="12"/>
              <w:jc w:val="center"/>
              <w:rPr>
                <w:rFonts w:ascii="宋体" w:hAnsi="宋体"/>
              </w:rPr>
            </w:pPr>
            <w:r>
              <w:rPr>
                <w:rFonts w:hint="eastAsia" w:ascii="宋体" w:hAnsi="宋体"/>
              </w:rPr>
              <w:t>265</w:t>
            </w:r>
          </w:p>
        </w:tc>
        <w:tc>
          <w:tcPr>
            <w:tcW w:w="450" w:type="pct"/>
            <w:vAlign w:val="center"/>
          </w:tcPr>
          <w:p w14:paraId="5ADBB6C8">
            <w:pPr>
              <w:pStyle w:val="12"/>
              <w:jc w:val="center"/>
              <w:rPr>
                <w:rFonts w:ascii="宋体" w:hAnsi="宋体"/>
              </w:rPr>
            </w:pPr>
            <w:r>
              <w:rPr>
                <w:rFonts w:hint="eastAsia" w:ascii="宋体" w:hAnsi="宋体"/>
              </w:rPr>
              <w:t>—</w:t>
            </w:r>
          </w:p>
        </w:tc>
        <w:tc>
          <w:tcPr>
            <w:tcW w:w="452" w:type="pct"/>
            <w:vAlign w:val="center"/>
          </w:tcPr>
          <w:p w14:paraId="51258CA7">
            <w:pPr>
              <w:pStyle w:val="12"/>
              <w:jc w:val="center"/>
              <w:rPr>
                <w:rFonts w:ascii="宋体" w:hAnsi="宋体"/>
              </w:rPr>
            </w:pPr>
            <w:r>
              <w:rPr>
                <w:rFonts w:hint="eastAsia" w:ascii="宋体" w:hAnsi="宋体"/>
              </w:rPr>
              <w:t>—</w:t>
            </w:r>
          </w:p>
        </w:tc>
        <w:tc>
          <w:tcPr>
            <w:tcW w:w="451" w:type="pct"/>
            <w:tcBorders>
              <w:right w:val="nil"/>
            </w:tcBorders>
            <w:vAlign w:val="center"/>
          </w:tcPr>
          <w:p w14:paraId="7C7607C5">
            <w:pPr>
              <w:pStyle w:val="12"/>
              <w:jc w:val="center"/>
              <w:rPr>
                <w:rFonts w:ascii="宋体" w:hAnsi="宋体"/>
              </w:rPr>
            </w:pPr>
            <w:r>
              <w:rPr>
                <w:rFonts w:hint="eastAsia" w:ascii="宋体" w:hAnsi="宋体"/>
              </w:rPr>
              <w:t>—</w:t>
            </w:r>
          </w:p>
        </w:tc>
      </w:tr>
      <w:tr w14:paraId="1C9D2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pct"/>
            <w:tcBorders>
              <w:left w:val="nil"/>
            </w:tcBorders>
            <w:vAlign w:val="center"/>
          </w:tcPr>
          <w:p w14:paraId="1B0228E9">
            <w:pPr>
              <w:pStyle w:val="12"/>
              <w:jc w:val="center"/>
              <w:rPr>
                <w:rFonts w:ascii="宋体" w:hAnsi="宋体"/>
              </w:rPr>
            </w:pPr>
            <w:r>
              <w:rPr>
                <w:rFonts w:hint="eastAsia" w:ascii="宋体" w:hAnsi="宋体"/>
              </w:rPr>
              <w:t>机制纸（吨）</w:t>
            </w:r>
          </w:p>
        </w:tc>
        <w:tc>
          <w:tcPr>
            <w:tcW w:w="450" w:type="pct"/>
            <w:vAlign w:val="center"/>
          </w:tcPr>
          <w:p w14:paraId="07E1CC7A">
            <w:pPr>
              <w:pStyle w:val="12"/>
              <w:jc w:val="center"/>
              <w:rPr>
                <w:rFonts w:ascii="宋体" w:hAnsi="宋体"/>
              </w:rPr>
            </w:pPr>
            <w:r>
              <w:rPr>
                <w:rFonts w:hint="eastAsia" w:ascii="宋体" w:hAnsi="宋体"/>
              </w:rPr>
              <w:t>5978</w:t>
            </w:r>
          </w:p>
        </w:tc>
        <w:tc>
          <w:tcPr>
            <w:tcW w:w="450" w:type="pct"/>
            <w:vAlign w:val="center"/>
          </w:tcPr>
          <w:p w14:paraId="786AD2A3">
            <w:pPr>
              <w:pStyle w:val="12"/>
              <w:jc w:val="center"/>
              <w:rPr>
                <w:rFonts w:ascii="宋体" w:hAnsi="宋体"/>
              </w:rPr>
            </w:pPr>
            <w:r>
              <w:rPr>
                <w:rFonts w:hint="eastAsia" w:ascii="宋体" w:hAnsi="宋体"/>
              </w:rPr>
              <w:t>7388</w:t>
            </w:r>
          </w:p>
        </w:tc>
        <w:tc>
          <w:tcPr>
            <w:tcW w:w="472" w:type="pct"/>
            <w:vAlign w:val="center"/>
          </w:tcPr>
          <w:p w14:paraId="5010C202">
            <w:pPr>
              <w:pStyle w:val="12"/>
              <w:jc w:val="center"/>
              <w:rPr>
                <w:rFonts w:ascii="宋体" w:hAnsi="宋体"/>
              </w:rPr>
            </w:pPr>
            <w:r>
              <w:rPr>
                <w:rFonts w:hint="eastAsia" w:ascii="宋体" w:hAnsi="宋体"/>
              </w:rPr>
              <w:t>8189</w:t>
            </w:r>
          </w:p>
        </w:tc>
        <w:tc>
          <w:tcPr>
            <w:tcW w:w="472" w:type="pct"/>
            <w:vAlign w:val="center"/>
          </w:tcPr>
          <w:p w14:paraId="22967A7D">
            <w:pPr>
              <w:pStyle w:val="12"/>
              <w:jc w:val="center"/>
              <w:rPr>
                <w:rFonts w:ascii="宋体" w:hAnsi="宋体"/>
              </w:rPr>
            </w:pPr>
            <w:r>
              <w:rPr>
                <w:rFonts w:hint="eastAsia" w:ascii="宋体" w:hAnsi="宋体"/>
              </w:rPr>
              <w:t>8591</w:t>
            </w:r>
          </w:p>
        </w:tc>
        <w:tc>
          <w:tcPr>
            <w:tcW w:w="450" w:type="pct"/>
            <w:vAlign w:val="center"/>
          </w:tcPr>
          <w:p w14:paraId="589E25DE">
            <w:pPr>
              <w:pStyle w:val="12"/>
              <w:jc w:val="center"/>
              <w:rPr>
                <w:rFonts w:ascii="宋体" w:hAnsi="宋体"/>
              </w:rPr>
            </w:pPr>
            <w:r>
              <w:rPr>
                <w:rFonts w:hint="eastAsia" w:ascii="宋体" w:hAnsi="宋体"/>
              </w:rPr>
              <w:t>9520</w:t>
            </w:r>
          </w:p>
        </w:tc>
        <w:tc>
          <w:tcPr>
            <w:tcW w:w="450" w:type="pct"/>
            <w:vAlign w:val="center"/>
          </w:tcPr>
          <w:p w14:paraId="638DFEF8">
            <w:pPr>
              <w:pStyle w:val="12"/>
              <w:jc w:val="center"/>
              <w:rPr>
                <w:rFonts w:ascii="宋体" w:hAnsi="宋体"/>
              </w:rPr>
            </w:pPr>
            <w:r>
              <w:rPr>
                <w:rFonts w:hint="eastAsia" w:ascii="宋体" w:hAnsi="宋体"/>
              </w:rPr>
              <w:t>11466</w:t>
            </w:r>
          </w:p>
        </w:tc>
        <w:tc>
          <w:tcPr>
            <w:tcW w:w="450" w:type="pct"/>
            <w:vAlign w:val="center"/>
          </w:tcPr>
          <w:p w14:paraId="781184D0">
            <w:pPr>
              <w:pStyle w:val="12"/>
              <w:jc w:val="center"/>
              <w:rPr>
                <w:rFonts w:ascii="宋体" w:hAnsi="宋体"/>
              </w:rPr>
            </w:pPr>
            <w:r>
              <w:rPr>
                <w:rFonts w:hint="eastAsia" w:ascii="宋体" w:hAnsi="宋体"/>
              </w:rPr>
              <w:t>15913</w:t>
            </w:r>
          </w:p>
        </w:tc>
        <w:tc>
          <w:tcPr>
            <w:tcW w:w="452" w:type="pct"/>
            <w:vAlign w:val="center"/>
          </w:tcPr>
          <w:p w14:paraId="3FD8AFA9">
            <w:pPr>
              <w:pStyle w:val="12"/>
              <w:jc w:val="center"/>
              <w:rPr>
                <w:rFonts w:ascii="宋体" w:hAnsi="宋体"/>
              </w:rPr>
            </w:pPr>
            <w:r>
              <w:rPr>
                <w:rFonts w:hint="eastAsia" w:ascii="宋体" w:hAnsi="宋体"/>
              </w:rPr>
              <w:t>17785</w:t>
            </w:r>
          </w:p>
        </w:tc>
        <w:tc>
          <w:tcPr>
            <w:tcW w:w="451" w:type="pct"/>
            <w:tcBorders>
              <w:right w:val="nil"/>
            </w:tcBorders>
            <w:vAlign w:val="center"/>
          </w:tcPr>
          <w:p w14:paraId="1C3D0BCB">
            <w:pPr>
              <w:pStyle w:val="12"/>
              <w:jc w:val="center"/>
              <w:rPr>
                <w:rFonts w:ascii="宋体" w:hAnsi="宋体"/>
              </w:rPr>
            </w:pPr>
            <w:r>
              <w:rPr>
                <w:rFonts w:hint="eastAsia" w:ascii="宋体" w:hAnsi="宋体"/>
              </w:rPr>
              <w:t>19135</w:t>
            </w:r>
          </w:p>
        </w:tc>
      </w:tr>
      <w:tr w14:paraId="686D24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pct"/>
            <w:tcBorders>
              <w:left w:val="nil"/>
            </w:tcBorders>
            <w:vAlign w:val="center"/>
          </w:tcPr>
          <w:p w14:paraId="42D8D70A">
            <w:pPr>
              <w:pStyle w:val="12"/>
              <w:jc w:val="center"/>
              <w:rPr>
                <w:rFonts w:ascii="宋体" w:hAnsi="宋体"/>
              </w:rPr>
            </w:pPr>
            <w:r>
              <w:rPr>
                <w:rFonts w:hint="eastAsia" w:ascii="宋体" w:hAnsi="宋体"/>
              </w:rPr>
              <w:t>水泥排水管（米）</w:t>
            </w:r>
          </w:p>
        </w:tc>
        <w:tc>
          <w:tcPr>
            <w:tcW w:w="450" w:type="pct"/>
            <w:vAlign w:val="center"/>
          </w:tcPr>
          <w:p w14:paraId="0968B8C7">
            <w:pPr>
              <w:pStyle w:val="12"/>
              <w:jc w:val="center"/>
              <w:rPr>
                <w:rFonts w:ascii="宋体" w:hAnsi="宋体"/>
              </w:rPr>
            </w:pPr>
            <w:r>
              <w:rPr>
                <w:rFonts w:hint="eastAsia" w:ascii="宋体" w:hAnsi="宋体"/>
              </w:rPr>
              <w:t>—</w:t>
            </w:r>
          </w:p>
        </w:tc>
        <w:tc>
          <w:tcPr>
            <w:tcW w:w="450" w:type="pct"/>
            <w:vAlign w:val="center"/>
          </w:tcPr>
          <w:p w14:paraId="54C68DDB">
            <w:pPr>
              <w:pStyle w:val="12"/>
              <w:jc w:val="center"/>
              <w:rPr>
                <w:rFonts w:ascii="宋体" w:hAnsi="宋体"/>
              </w:rPr>
            </w:pPr>
            <w:r>
              <w:rPr>
                <w:rFonts w:hint="eastAsia" w:ascii="宋体" w:hAnsi="宋体"/>
              </w:rPr>
              <w:t>—</w:t>
            </w:r>
          </w:p>
        </w:tc>
        <w:tc>
          <w:tcPr>
            <w:tcW w:w="472" w:type="pct"/>
            <w:vAlign w:val="center"/>
          </w:tcPr>
          <w:p w14:paraId="239CFDED">
            <w:pPr>
              <w:pStyle w:val="12"/>
              <w:jc w:val="center"/>
              <w:rPr>
                <w:rFonts w:ascii="宋体" w:hAnsi="宋体"/>
              </w:rPr>
            </w:pPr>
            <w:r>
              <w:rPr>
                <w:rFonts w:hint="eastAsia" w:ascii="宋体" w:hAnsi="宋体"/>
              </w:rPr>
              <w:t>—</w:t>
            </w:r>
          </w:p>
        </w:tc>
        <w:tc>
          <w:tcPr>
            <w:tcW w:w="472" w:type="pct"/>
            <w:vAlign w:val="center"/>
          </w:tcPr>
          <w:p w14:paraId="6F2391C7">
            <w:pPr>
              <w:pStyle w:val="12"/>
              <w:jc w:val="center"/>
              <w:rPr>
                <w:rFonts w:ascii="宋体" w:hAnsi="宋体"/>
              </w:rPr>
            </w:pPr>
            <w:r>
              <w:rPr>
                <w:rFonts w:hint="eastAsia" w:ascii="宋体" w:hAnsi="宋体"/>
              </w:rPr>
              <w:t>—</w:t>
            </w:r>
          </w:p>
        </w:tc>
        <w:tc>
          <w:tcPr>
            <w:tcW w:w="450" w:type="pct"/>
            <w:vAlign w:val="center"/>
          </w:tcPr>
          <w:p w14:paraId="3CFC1D41">
            <w:pPr>
              <w:pStyle w:val="12"/>
              <w:jc w:val="center"/>
              <w:rPr>
                <w:rFonts w:ascii="宋体" w:hAnsi="宋体"/>
              </w:rPr>
            </w:pPr>
            <w:r>
              <w:rPr>
                <w:rFonts w:hint="eastAsia" w:ascii="宋体" w:hAnsi="宋体"/>
              </w:rPr>
              <w:t>98</w:t>
            </w:r>
          </w:p>
        </w:tc>
        <w:tc>
          <w:tcPr>
            <w:tcW w:w="450" w:type="pct"/>
            <w:vAlign w:val="center"/>
          </w:tcPr>
          <w:p w14:paraId="3097EBDF">
            <w:pPr>
              <w:pStyle w:val="12"/>
              <w:jc w:val="center"/>
              <w:rPr>
                <w:rFonts w:ascii="宋体" w:hAnsi="宋体"/>
              </w:rPr>
            </w:pPr>
            <w:r>
              <w:rPr>
                <w:rFonts w:hint="eastAsia" w:ascii="宋体" w:hAnsi="宋体"/>
              </w:rPr>
              <w:t>49</w:t>
            </w:r>
          </w:p>
        </w:tc>
        <w:tc>
          <w:tcPr>
            <w:tcW w:w="450" w:type="pct"/>
            <w:vAlign w:val="center"/>
          </w:tcPr>
          <w:p w14:paraId="534DE9CD">
            <w:pPr>
              <w:pStyle w:val="12"/>
              <w:jc w:val="center"/>
              <w:rPr>
                <w:rFonts w:ascii="宋体" w:hAnsi="宋体"/>
              </w:rPr>
            </w:pPr>
            <w:r>
              <w:rPr>
                <w:rFonts w:hint="eastAsia" w:ascii="宋体" w:hAnsi="宋体"/>
              </w:rPr>
              <w:t>239</w:t>
            </w:r>
          </w:p>
        </w:tc>
        <w:tc>
          <w:tcPr>
            <w:tcW w:w="452" w:type="pct"/>
            <w:vAlign w:val="center"/>
          </w:tcPr>
          <w:p w14:paraId="43D8E321">
            <w:pPr>
              <w:pStyle w:val="12"/>
              <w:jc w:val="center"/>
              <w:rPr>
                <w:rFonts w:ascii="宋体" w:hAnsi="宋体"/>
              </w:rPr>
            </w:pPr>
            <w:r>
              <w:rPr>
                <w:rFonts w:hint="eastAsia" w:ascii="宋体" w:hAnsi="宋体"/>
              </w:rPr>
              <w:t>127</w:t>
            </w:r>
          </w:p>
        </w:tc>
        <w:tc>
          <w:tcPr>
            <w:tcW w:w="451" w:type="pct"/>
            <w:tcBorders>
              <w:right w:val="nil"/>
            </w:tcBorders>
            <w:vAlign w:val="center"/>
          </w:tcPr>
          <w:p w14:paraId="49E04E8F">
            <w:pPr>
              <w:pStyle w:val="12"/>
              <w:jc w:val="center"/>
              <w:rPr>
                <w:rFonts w:ascii="宋体" w:hAnsi="宋体"/>
              </w:rPr>
            </w:pPr>
            <w:r>
              <w:rPr>
                <w:rFonts w:hint="eastAsia" w:ascii="宋体" w:hAnsi="宋体"/>
              </w:rPr>
              <w:t>2000</w:t>
            </w:r>
          </w:p>
        </w:tc>
      </w:tr>
      <w:tr w14:paraId="6E5098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pct"/>
            <w:tcBorders>
              <w:left w:val="nil"/>
            </w:tcBorders>
            <w:vAlign w:val="center"/>
          </w:tcPr>
          <w:p w14:paraId="112B02D1">
            <w:pPr>
              <w:pStyle w:val="12"/>
              <w:jc w:val="center"/>
              <w:rPr>
                <w:rFonts w:ascii="宋体" w:hAnsi="宋体"/>
              </w:rPr>
            </w:pPr>
            <w:r>
              <w:rPr>
                <w:rFonts w:hint="eastAsia" w:ascii="宋体" w:hAnsi="宋体"/>
              </w:rPr>
              <w:t>水泥电杆（根）</w:t>
            </w:r>
          </w:p>
        </w:tc>
        <w:tc>
          <w:tcPr>
            <w:tcW w:w="450" w:type="pct"/>
            <w:vAlign w:val="center"/>
          </w:tcPr>
          <w:p w14:paraId="1199CFD0">
            <w:pPr>
              <w:pStyle w:val="12"/>
              <w:jc w:val="center"/>
              <w:rPr>
                <w:rFonts w:ascii="宋体" w:hAnsi="宋体"/>
              </w:rPr>
            </w:pPr>
            <w:r>
              <w:rPr>
                <w:rFonts w:hint="eastAsia" w:ascii="宋体" w:hAnsi="宋体"/>
              </w:rPr>
              <w:t>—</w:t>
            </w:r>
          </w:p>
        </w:tc>
        <w:tc>
          <w:tcPr>
            <w:tcW w:w="450" w:type="pct"/>
            <w:vAlign w:val="center"/>
          </w:tcPr>
          <w:p w14:paraId="106058BE">
            <w:pPr>
              <w:pStyle w:val="12"/>
              <w:jc w:val="center"/>
              <w:rPr>
                <w:rFonts w:ascii="宋体" w:hAnsi="宋体"/>
              </w:rPr>
            </w:pPr>
            <w:r>
              <w:rPr>
                <w:rFonts w:hint="eastAsia" w:ascii="宋体" w:hAnsi="宋体"/>
              </w:rPr>
              <w:t>—</w:t>
            </w:r>
          </w:p>
        </w:tc>
        <w:tc>
          <w:tcPr>
            <w:tcW w:w="472" w:type="pct"/>
            <w:vAlign w:val="center"/>
          </w:tcPr>
          <w:p w14:paraId="35AB1192">
            <w:pPr>
              <w:pStyle w:val="12"/>
              <w:jc w:val="center"/>
              <w:rPr>
                <w:rFonts w:ascii="宋体" w:hAnsi="宋体"/>
              </w:rPr>
            </w:pPr>
            <w:r>
              <w:rPr>
                <w:rFonts w:hint="eastAsia" w:ascii="宋体" w:hAnsi="宋体"/>
              </w:rPr>
              <w:t>—</w:t>
            </w:r>
          </w:p>
        </w:tc>
        <w:tc>
          <w:tcPr>
            <w:tcW w:w="472" w:type="pct"/>
            <w:vAlign w:val="center"/>
          </w:tcPr>
          <w:p w14:paraId="02FBECFA">
            <w:pPr>
              <w:pStyle w:val="12"/>
              <w:jc w:val="center"/>
              <w:rPr>
                <w:rFonts w:ascii="宋体" w:hAnsi="宋体"/>
              </w:rPr>
            </w:pPr>
            <w:r>
              <w:rPr>
                <w:rFonts w:hint="eastAsia" w:ascii="宋体" w:hAnsi="宋体"/>
              </w:rPr>
              <w:t>—</w:t>
            </w:r>
          </w:p>
        </w:tc>
        <w:tc>
          <w:tcPr>
            <w:tcW w:w="450" w:type="pct"/>
            <w:vAlign w:val="center"/>
          </w:tcPr>
          <w:p w14:paraId="2EC69E85">
            <w:pPr>
              <w:pStyle w:val="12"/>
              <w:jc w:val="center"/>
              <w:rPr>
                <w:rFonts w:ascii="宋体" w:hAnsi="宋体"/>
              </w:rPr>
            </w:pPr>
            <w:r>
              <w:rPr>
                <w:rFonts w:hint="eastAsia" w:ascii="宋体" w:hAnsi="宋体"/>
              </w:rPr>
              <w:t>441</w:t>
            </w:r>
          </w:p>
        </w:tc>
        <w:tc>
          <w:tcPr>
            <w:tcW w:w="450" w:type="pct"/>
            <w:vAlign w:val="center"/>
          </w:tcPr>
          <w:p w14:paraId="311E92C7">
            <w:pPr>
              <w:pStyle w:val="12"/>
              <w:jc w:val="center"/>
              <w:rPr>
                <w:rFonts w:ascii="宋体" w:hAnsi="宋体"/>
              </w:rPr>
            </w:pPr>
            <w:r>
              <w:rPr>
                <w:rFonts w:hint="eastAsia" w:ascii="宋体" w:hAnsi="宋体"/>
              </w:rPr>
              <w:t>805</w:t>
            </w:r>
          </w:p>
        </w:tc>
        <w:tc>
          <w:tcPr>
            <w:tcW w:w="450" w:type="pct"/>
            <w:vAlign w:val="center"/>
          </w:tcPr>
          <w:p w14:paraId="16FDA579">
            <w:pPr>
              <w:pStyle w:val="12"/>
              <w:jc w:val="center"/>
              <w:rPr>
                <w:rFonts w:ascii="宋体" w:hAnsi="宋体"/>
              </w:rPr>
            </w:pPr>
            <w:r>
              <w:rPr>
                <w:rFonts w:hint="eastAsia" w:ascii="宋体" w:hAnsi="宋体"/>
              </w:rPr>
              <w:t>402</w:t>
            </w:r>
          </w:p>
        </w:tc>
        <w:tc>
          <w:tcPr>
            <w:tcW w:w="452" w:type="pct"/>
            <w:vAlign w:val="center"/>
          </w:tcPr>
          <w:p w14:paraId="1FAE117B">
            <w:pPr>
              <w:pStyle w:val="12"/>
              <w:jc w:val="center"/>
              <w:rPr>
                <w:rFonts w:ascii="宋体" w:hAnsi="宋体"/>
              </w:rPr>
            </w:pPr>
            <w:r>
              <w:rPr>
                <w:rFonts w:hint="eastAsia" w:ascii="宋体" w:hAnsi="宋体"/>
              </w:rPr>
              <w:t>167</w:t>
            </w:r>
          </w:p>
        </w:tc>
        <w:tc>
          <w:tcPr>
            <w:tcW w:w="451" w:type="pct"/>
            <w:tcBorders>
              <w:right w:val="nil"/>
            </w:tcBorders>
            <w:vAlign w:val="center"/>
          </w:tcPr>
          <w:p w14:paraId="429AA8CF">
            <w:pPr>
              <w:pStyle w:val="12"/>
              <w:jc w:val="center"/>
              <w:rPr>
                <w:rFonts w:ascii="宋体" w:hAnsi="宋体"/>
              </w:rPr>
            </w:pPr>
            <w:r>
              <w:rPr>
                <w:rFonts w:hint="eastAsia" w:ascii="宋体" w:hAnsi="宋体"/>
              </w:rPr>
              <w:t>190</w:t>
            </w:r>
          </w:p>
        </w:tc>
      </w:tr>
      <w:tr w14:paraId="0376D4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pct"/>
            <w:tcBorders>
              <w:left w:val="nil"/>
            </w:tcBorders>
            <w:vAlign w:val="center"/>
          </w:tcPr>
          <w:p w14:paraId="549109F4">
            <w:pPr>
              <w:pStyle w:val="12"/>
              <w:jc w:val="center"/>
              <w:rPr>
                <w:rFonts w:ascii="宋体" w:hAnsi="宋体"/>
              </w:rPr>
            </w:pPr>
            <w:r>
              <w:rPr>
                <w:rFonts w:hint="eastAsia" w:ascii="宋体" w:hAnsi="宋体"/>
              </w:rPr>
              <w:t>水泥（吨）</w:t>
            </w:r>
          </w:p>
        </w:tc>
        <w:tc>
          <w:tcPr>
            <w:tcW w:w="450" w:type="pct"/>
            <w:vAlign w:val="center"/>
          </w:tcPr>
          <w:p w14:paraId="491FEAEC">
            <w:pPr>
              <w:pStyle w:val="12"/>
              <w:jc w:val="center"/>
              <w:rPr>
                <w:rFonts w:ascii="宋体" w:hAnsi="宋体"/>
              </w:rPr>
            </w:pPr>
            <w:r>
              <w:rPr>
                <w:rFonts w:hint="eastAsia" w:ascii="宋体" w:hAnsi="宋体"/>
              </w:rPr>
              <w:t>97700</w:t>
            </w:r>
          </w:p>
        </w:tc>
        <w:tc>
          <w:tcPr>
            <w:tcW w:w="450" w:type="pct"/>
            <w:vAlign w:val="center"/>
          </w:tcPr>
          <w:p w14:paraId="5491D8C5">
            <w:pPr>
              <w:pStyle w:val="12"/>
              <w:jc w:val="center"/>
              <w:rPr>
                <w:rFonts w:ascii="宋体" w:hAnsi="宋体"/>
              </w:rPr>
            </w:pPr>
            <w:r>
              <w:rPr>
                <w:rFonts w:hint="eastAsia" w:ascii="宋体" w:hAnsi="宋体"/>
              </w:rPr>
              <w:t>93500</w:t>
            </w:r>
          </w:p>
        </w:tc>
        <w:tc>
          <w:tcPr>
            <w:tcW w:w="472" w:type="pct"/>
            <w:vAlign w:val="center"/>
          </w:tcPr>
          <w:p w14:paraId="06532247">
            <w:pPr>
              <w:pStyle w:val="12"/>
              <w:jc w:val="center"/>
              <w:rPr>
                <w:rFonts w:ascii="宋体" w:hAnsi="宋体"/>
              </w:rPr>
            </w:pPr>
            <w:r>
              <w:rPr>
                <w:rFonts w:hint="eastAsia" w:ascii="宋体" w:hAnsi="宋体"/>
              </w:rPr>
              <w:t>125677</w:t>
            </w:r>
          </w:p>
        </w:tc>
        <w:tc>
          <w:tcPr>
            <w:tcW w:w="472" w:type="pct"/>
            <w:vAlign w:val="center"/>
          </w:tcPr>
          <w:p w14:paraId="1572F820">
            <w:pPr>
              <w:pStyle w:val="12"/>
              <w:jc w:val="center"/>
              <w:rPr>
                <w:rFonts w:ascii="宋体" w:hAnsi="宋体"/>
              </w:rPr>
            </w:pPr>
            <w:r>
              <w:rPr>
                <w:rFonts w:hint="eastAsia" w:ascii="宋体" w:hAnsi="宋体"/>
              </w:rPr>
              <w:t>116571</w:t>
            </w:r>
          </w:p>
        </w:tc>
        <w:tc>
          <w:tcPr>
            <w:tcW w:w="450" w:type="pct"/>
            <w:vAlign w:val="center"/>
          </w:tcPr>
          <w:p w14:paraId="51D39C73">
            <w:pPr>
              <w:pStyle w:val="12"/>
              <w:jc w:val="center"/>
              <w:rPr>
                <w:rFonts w:ascii="宋体" w:hAnsi="宋体"/>
              </w:rPr>
            </w:pPr>
            <w:r>
              <w:rPr>
                <w:rFonts w:hint="eastAsia" w:ascii="宋体" w:hAnsi="宋体"/>
              </w:rPr>
              <w:t>61100</w:t>
            </w:r>
          </w:p>
        </w:tc>
        <w:tc>
          <w:tcPr>
            <w:tcW w:w="450" w:type="pct"/>
            <w:vAlign w:val="center"/>
          </w:tcPr>
          <w:p w14:paraId="643A30C8">
            <w:pPr>
              <w:pStyle w:val="12"/>
              <w:jc w:val="center"/>
              <w:rPr>
                <w:rFonts w:ascii="宋体" w:hAnsi="宋体"/>
              </w:rPr>
            </w:pPr>
            <w:r>
              <w:rPr>
                <w:rFonts w:hint="eastAsia" w:ascii="宋体" w:hAnsi="宋体"/>
              </w:rPr>
              <w:t>62400</w:t>
            </w:r>
          </w:p>
        </w:tc>
        <w:tc>
          <w:tcPr>
            <w:tcW w:w="450" w:type="pct"/>
            <w:vAlign w:val="center"/>
          </w:tcPr>
          <w:p w14:paraId="70A9AA2C">
            <w:pPr>
              <w:pStyle w:val="12"/>
              <w:jc w:val="center"/>
              <w:rPr>
                <w:rFonts w:ascii="宋体" w:hAnsi="宋体"/>
              </w:rPr>
            </w:pPr>
            <w:r>
              <w:rPr>
                <w:rFonts w:hint="eastAsia" w:ascii="宋体" w:hAnsi="宋体"/>
              </w:rPr>
              <w:t>49600</w:t>
            </w:r>
          </w:p>
        </w:tc>
        <w:tc>
          <w:tcPr>
            <w:tcW w:w="452" w:type="pct"/>
            <w:vAlign w:val="center"/>
          </w:tcPr>
          <w:p w14:paraId="08050E60">
            <w:pPr>
              <w:pStyle w:val="12"/>
              <w:jc w:val="center"/>
              <w:rPr>
                <w:rFonts w:ascii="宋体" w:hAnsi="宋体"/>
              </w:rPr>
            </w:pPr>
            <w:r>
              <w:rPr>
                <w:rFonts w:hint="eastAsia" w:ascii="宋体" w:hAnsi="宋体"/>
              </w:rPr>
              <w:t>75000</w:t>
            </w:r>
          </w:p>
        </w:tc>
        <w:tc>
          <w:tcPr>
            <w:tcW w:w="451" w:type="pct"/>
            <w:tcBorders>
              <w:right w:val="nil"/>
            </w:tcBorders>
            <w:vAlign w:val="center"/>
          </w:tcPr>
          <w:p w14:paraId="7DEC9298">
            <w:pPr>
              <w:pStyle w:val="12"/>
              <w:jc w:val="center"/>
              <w:rPr>
                <w:rFonts w:ascii="宋体" w:hAnsi="宋体"/>
              </w:rPr>
            </w:pPr>
            <w:r>
              <w:rPr>
                <w:rFonts w:hint="eastAsia" w:ascii="宋体" w:hAnsi="宋体"/>
              </w:rPr>
              <w:t>—</w:t>
            </w:r>
          </w:p>
        </w:tc>
      </w:tr>
      <w:tr w14:paraId="00DAF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pct"/>
            <w:tcBorders>
              <w:left w:val="nil"/>
            </w:tcBorders>
            <w:vAlign w:val="center"/>
          </w:tcPr>
          <w:p w14:paraId="654B072E">
            <w:pPr>
              <w:pStyle w:val="12"/>
              <w:jc w:val="center"/>
              <w:rPr>
                <w:rFonts w:ascii="宋体" w:hAnsi="宋体"/>
              </w:rPr>
            </w:pPr>
            <w:r>
              <w:rPr>
                <w:rFonts w:hint="eastAsia" w:ascii="宋体" w:hAnsi="宋体"/>
              </w:rPr>
              <w:t>花岗石板材</w:t>
            </w:r>
          </w:p>
          <w:p w14:paraId="1AF66B16">
            <w:pPr>
              <w:pStyle w:val="12"/>
              <w:jc w:val="center"/>
              <w:rPr>
                <w:rFonts w:ascii="宋体" w:hAnsi="宋体"/>
              </w:rPr>
            </w:pPr>
            <w:r>
              <w:rPr>
                <w:rFonts w:hint="eastAsia" w:ascii="宋体" w:hAnsi="宋体"/>
              </w:rPr>
              <w:t>（万平方米）</w:t>
            </w:r>
          </w:p>
        </w:tc>
        <w:tc>
          <w:tcPr>
            <w:tcW w:w="450" w:type="pct"/>
            <w:vAlign w:val="center"/>
          </w:tcPr>
          <w:p w14:paraId="57C47213">
            <w:pPr>
              <w:pStyle w:val="12"/>
              <w:jc w:val="center"/>
              <w:rPr>
                <w:rFonts w:ascii="宋体" w:hAnsi="宋体"/>
              </w:rPr>
            </w:pPr>
            <w:r>
              <w:rPr>
                <w:rFonts w:hint="eastAsia" w:ascii="宋体" w:hAnsi="宋体"/>
              </w:rPr>
              <w:t>14.8</w:t>
            </w:r>
          </w:p>
        </w:tc>
        <w:tc>
          <w:tcPr>
            <w:tcW w:w="450" w:type="pct"/>
            <w:vAlign w:val="center"/>
          </w:tcPr>
          <w:p w14:paraId="1E745AA1">
            <w:pPr>
              <w:pStyle w:val="12"/>
              <w:jc w:val="center"/>
              <w:rPr>
                <w:rFonts w:ascii="宋体" w:hAnsi="宋体"/>
              </w:rPr>
            </w:pPr>
            <w:r>
              <w:rPr>
                <w:rFonts w:hint="eastAsia" w:ascii="宋体" w:hAnsi="宋体"/>
              </w:rPr>
              <w:t>18</w:t>
            </w:r>
          </w:p>
        </w:tc>
        <w:tc>
          <w:tcPr>
            <w:tcW w:w="472" w:type="pct"/>
            <w:vAlign w:val="center"/>
          </w:tcPr>
          <w:p w14:paraId="7297DBB0">
            <w:pPr>
              <w:pStyle w:val="12"/>
              <w:jc w:val="center"/>
              <w:rPr>
                <w:rFonts w:ascii="宋体" w:hAnsi="宋体"/>
              </w:rPr>
            </w:pPr>
            <w:r>
              <w:rPr>
                <w:rFonts w:hint="eastAsia" w:ascii="宋体" w:hAnsi="宋体"/>
              </w:rPr>
              <w:t>2104</w:t>
            </w:r>
          </w:p>
        </w:tc>
        <w:tc>
          <w:tcPr>
            <w:tcW w:w="472" w:type="pct"/>
            <w:vAlign w:val="center"/>
          </w:tcPr>
          <w:p w14:paraId="46A16294">
            <w:pPr>
              <w:pStyle w:val="12"/>
              <w:jc w:val="center"/>
              <w:rPr>
                <w:rFonts w:ascii="宋体" w:hAnsi="宋体"/>
              </w:rPr>
            </w:pPr>
            <w:r>
              <w:rPr>
                <w:rFonts w:hint="eastAsia" w:ascii="宋体" w:hAnsi="宋体"/>
              </w:rPr>
              <w:t>21</w:t>
            </w:r>
          </w:p>
        </w:tc>
        <w:tc>
          <w:tcPr>
            <w:tcW w:w="450" w:type="pct"/>
            <w:vAlign w:val="center"/>
          </w:tcPr>
          <w:p w14:paraId="5F8BA7EB">
            <w:pPr>
              <w:pStyle w:val="12"/>
              <w:jc w:val="center"/>
              <w:rPr>
                <w:rFonts w:ascii="宋体" w:hAnsi="宋体"/>
              </w:rPr>
            </w:pPr>
            <w:r>
              <w:rPr>
                <w:rFonts w:hint="eastAsia" w:ascii="宋体" w:hAnsi="宋体"/>
              </w:rPr>
              <w:t>26.2</w:t>
            </w:r>
          </w:p>
        </w:tc>
        <w:tc>
          <w:tcPr>
            <w:tcW w:w="450" w:type="pct"/>
            <w:vAlign w:val="center"/>
          </w:tcPr>
          <w:p w14:paraId="39E49CCC">
            <w:pPr>
              <w:pStyle w:val="12"/>
              <w:jc w:val="center"/>
              <w:rPr>
                <w:rFonts w:ascii="宋体" w:hAnsi="宋体"/>
              </w:rPr>
            </w:pPr>
            <w:r>
              <w:rPr>
                <w:rFonts w:hint="eastAsia" w:ascii="宋体" w:hAnsi="宋体"/>
              </w:rPr>
              <w:t>18.9</w:t>
            </w:r>
          </w:p>
        </w:tc>
        <w:tc>
          <w:tcPr>
            <w:tcW w:w="450" w:type="pct"/>
            <w:vAlign w:val="center"/>
          </w:tcPr>
          <w:p w14:paraId="377A260C">
            <w:pPr>
              <w:pStyle w:val="12"/>
              <w:jc w:val="center"/>
              <w:rPr>
                <w:rFonts w:ascii="宋体" w:hAnsi="宋体"/>
              </w:rPr>
            </w:pPr>
            <w:r>
              <w:rPr>
                <w:rFonts w:hint="eastAsia" w:ascii="宋体" w:hAnsi="宋体"/>
              </w:rPr>
              <w:t>—</w:t>
            </w:r>
          </w:p>
        </w:tc>
        <w:tc>
          <w:tcPr>
            <w:tcW w:w="452" w:type="pct"/>
            <w:vAlign w:val="center"/>
          </w:tcPr>
          <w:p w14:paraId="55628558">
            <w:pPr>
              <w:pStyle w:val="12"/>
              <w:jc w:val="center"/>
              <w:rPr>
                <w:rFonts w:ascii="宋体" w:hAnsi="宋体"/>
              </w:rPr>
            </w:pPr>
            <w:r>
              <w:rPr>
                <w:rFonts w:hint="eastAsia" w:ascii="宋体" w:hAnsi="宋体"/>
              </w:rPr>
              <w:t>—</w:t>
            </w:r>
          </w:p>
        </w:tc>
        <w:tc>
          <w:tcPr>
            <w:tcW w:w="451" w:type="pct"/>
            <w:tcBorders>
              <w:right w:val="nil"/>
            </w:tcBorders>
            <w:vAlign w:val="center"/>
          </w:tcPr>
          <w:p w14:paraId="1BFB1B83">
            <w:pPr>
              <w:pStyle w:val="12"/>
              <w:jc w:val="center"/>
              <w:rPr>
                <w:rFonts w:ascii="宋体" w:hAnsi="宋体"/>
              </w:rPr>
            </w:pPr>
            <w:r>
              <w:rPr>
                <w:rFonts w:hint="eastAsia" w:ascii="宋体" w:hAnsi="宋体"/>
              </w:rPr>
              <w:t>—</w:t>
            </w:r>
          </w:p>
        </w:tc>
      </w:tr>
      <w:tr w14:paraId="24908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pct"/>
            <w:tcBorders>
              <w:left w:val="nil"/>
            </w:tcBorders>
            <w:vAlign w:val="center"/>
          </w:tcPr>
          <w:p w14:paraId="38A61F27">
            <w:pPr>
              <w:pStyle w:val="12"/>
              <w:jc w:val="center"/>
              <w:rPr>
                <w:rFonts w:ascii="宋体" w:hAnsi="宋体"/>
              </w:rPr>
            </w:pPr>
            <w:r>
              <w:rPr>
                <w:rFonts w:ascii="宋体" w:hAnsi="宋体"/>
              </w:rPr>
              <w:t>1996</w:t>
            </w:r>
          </w:p>
        </w:tc>
        <w:tc>
          <w:tcPr>
            <w:tcW w:w="450" w:type="pct"/>
            <w:vAlign w:val="center"/>
          </w:tcPr>
          <w:p w14:paraId="2E5ACE62">
            <w:pPr>
              <w:pStyle w:val="12"/>
              <w:jc w:val="center"/>
              <w:rPr>
                <w:rFonts w:ascii="宋体" w:hAnsi="宋体"/>
              </w:rPr>
            </w:pPr>
            <w:r>
              <w:rPr>
                <w:rFonts w:ascii="宋体" w:hAnsi="宋体"/>
              </w:rPr>
              <w:t>1997</w:t>
            </w:r>
          </w:p>
        </w:tc>
        <w:tc>
          <w:tcPr>
            <w:tcW w:w="450" w:type="pct"/>
            <w:vAlign w:val="center"/>
          </w:tcPr>
          <w:p w14:paraId="1BEFDFEB">
            <w:pPr>
              <w:pStyle w:val="12"/>
              <w:jc w:val="center"/>
              <w:rPr>
                <w:rFonts w:ascii="宋体" w:hAnsi="宋体"/>
              </w:rPr>
            </w:pPr>
            <w:r>
              <w:rPr>
                <w:rFonts w:ascii="宋体" w:hAnsi="宋体"/>
              </w:rPr>
              <w:t>1998</w:t>
            </w:r>
          </w:p>
        </w:tc>
        <w:tc>
          <w:tcPr>
            <w:tcW w:w="472" w:type="pct"/>
            <w:vAlign w:val="center"/>
          </w:tcPr>
          <w:p w14:paraId="38CDAA2F">
            <w:pPr>
              <w:pStyle w:val="12"/>
              <w:jc w:val="center"/>
              <w:rPr>
                <w:rFonts w:ascii="宋体" w:hAnsi="宋体"/>
              </w:rPr>
            </w:pPr>
            <w:r>
              <w:rPr>
                <w:rFonts w:ascii="宋体" w:hAnsi="宋体"/>
              </w:rPr>
              <w:t>1999</w:t>
            </w:r>
          </w:p>
        </w:tc>
        <w:tc>
          <w:tcPr>
            <w:tcW w:w="472" w:type="pct"/>
            <w:vAlign w:val="center"/>
          </w:tcPr>
          <w:p w14:paraId="3E816E34">
            <w:pPr>
              <w:pStyle w:val="12"/>
              <w:jc w:val="center"/>
              <w:rPr>
                <w:rFonts w:ascii="宋体" w:hAnsi="宋体"/>
              </w:rPr>
            </w:pPr>
            <w:r>
              <w:rPr>
                <w:rFonts w:ascii="宋体" w:hAnsi="宋体"/>
              </w:rPr>
              <w:t>2000</w:t>
            </w:r>
          </w:p>
        </w:tc>
        <w:tc>
          <w:tcPr>
            <w:tcW w:w="450" w:type="pct"/>
            <w:vAlign w:val="center"/>
          </w:tcPr>
          <w:p w14:paraId="079FCBFA">
            <w:pPr>
              <w:pStyle w:val="12"/>
              <w:jc w:val="center"/>
              <w:rPr>
                <w:rFonts w:ascii="宋体" w:hAnsi="宋体"/>
              </w:rPr>
            </w:pPr>
            <w:r>
              <w:rPr>
                <w:rFonts w:ascii="宋体" w:hAnsi="宋体"/>
              </w:rPr>
              <w:t>2001</w:t>
            </w:r>
          </w:p>
        </w:tc>
        <w:tc>
          <w:tcPr>
            <w:tcW w:w="450" w:type="pct"/>
            <w:vAlign w:val="center"/>
          </w:tcPr>
          <w:p w14:paraId="570C7713">
            <w:pPr>
              <w:pStyle w:val="12"/>
              <w:jc w:val="center"/>
              <w:rPr>
                <w:rFonts w:ascii="宋体" w:hAnsi="宋体"/>
              </w:rPr>
            </w:pPr>
            <w:r>
              <w:rPr>
                <w:rFonts w:ascii="宋体" w:hAnsi="宋体"/>
              </w:rPr>
              <w:t>2002</w:t>
            </w:r>
          </w:p>
        </w:tc>
        <w:tc>
          <w:tcPr>
            <w:tcW w:w="450" w:type="pct"/>
            <w:vAlign w:val="center"/>
          </w:tcPr>
          <w:p w14:paraId="4FB213D2">
            <w:pPr>
              <w:pStyle w:val="12"/>
              <w:jc w:val="center"/>
              <w:rPr>
                <w:rFonts w:ascii="宋体" w:hAnsi="宋体"/>
              </w:rPr>
            </w:pPr>
            <w:r>
              <w:rPr>
                <w:rFonts w:ascii="宋体" w:hAnsi="宋体"/>
              </w:rPr>
              <w:t>2003</w:t>
            </w:r>
          </w:p>
        </w:tc>
        <w:tc>
          <w:tcPr>
            <w:tcW w:w="452" w:type="pct"/>
            <w:vAlign w:val="center"/>
          </w:tcPr>
          <w:p w14:paraId="5C575E36">
            <w:pPr>
              <w:pStyle w:val="12"/>
              <w:jc w:val="center"/>
              <w:rPr>
                <w:rFonts w:ascii="宋体" w:hAnsi="宋体"/>
              </w:rPr>
            </w:pPr>
            <w:r>
              <w:rPr>
                <w:rFonts w:ascii="宋体" w:hAnsi="宋体"/>
              </w:rPr>
              <w:t>2004</w:t>
            </w:r>
          </w:p>
        </w:tc>
        <w:tc>
          <w:tcPr>
            <w:tcW w:w="451" w:type="pct"/>
            <w:tcBorders>
              <w:right w:val="nil"/>
            </w:tcBorders>
            <w:vAlign w:val="center"/>
          </w:tcPr>
          <w:p w14:paraId="0AD0134B">
            <w:pPr>
              <w:pStyle w:val="12"/>
              <w:jc w:val="center"/>
              <w:rPr>
                <w:rFonts w:ascii="宋体" w:hAnsi="宋体"/>
              </w:rPr>
            </w:pPr>
          </w:p>
        </w:tc>
      </w:tr>
      <w:tr w14:paraId="2E7D6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pct"/>
            <w:tcBorders>
              <w:left w:val="nil"/>
            </w:tcBorders>
            <w:vAlign w:val="center"/>
          </w:tcPr>
          <w:p w14:paraId="491574C5">
            <w:pPr>
              <w:pStyle w:val="12"/>
              <w:jc w:val="center"/>
              <w:rPr>
                <w:rFonts w:ascii="宋体" w:hAnsi="宋体"/>
              </w:rPr>
            </w:pPr>
            <w:r>
              <w:rPr>
                <w:rFonts w:hint="eastAsia" w:ascii="宋体" w:hAnsi="宋体"/>
              </w:rPr>
              <w:t>墙地砖</w:t>
            </w:r>
          </w:p>
          <w:p w14:paraId="42B07682">
            <w:pPr>
              <w:pStyle w:val="12"/>
              <w:jc w:val="center"/>
              <w:rPr>
                <w:rFonts w:ascii="宋体" w:hAnsi="宋体"/>
              </w:rPr>
            </w:pPr>
            <w:r>
              <w:rPr>
                <w:rFonts w:hint="eastAsia" w:ascii="宋体" w:hAnsi="宋体"/>
              </w:rPr>
              <w:t>（万平方米）</w:t>
            </w:r>
          </w:p>
        </w:tc>
        <w:tc>
          <w:tcPr>
            <w:tcW w:w="450" w:type="pct"/>
            <w:vAlign w:val="center"/>
          </w:tcPr>
          <w:p w14:paraId="243BC381">
            <w:pPr>
              <w:pStyle w:val="12"/>
              <w:jc w:val="center"/>
              <w:rPr>
                <w:rFonts w:ascii="宋体" w:hAnsi="宋体"/>
              </w:rPr>
            </w:pPr>
            <w:r>
              <w:rPr>
                <w:rFonts w:hint="eastAsia" w:ascii="宋体" w:hAnsi="宋体"/>
              </w:rPr>
              <w:t>1.41</w:t>
            </w:r>
          </w:p>
        </w:tc>
        <w:tc>
          <w:tcPr>
            <w:tcW w:w="450" w:type="pct"/>
            <w:vAlign w:val="center"/>
          </w:tcPr>
          <w:p w14:paraId="421F8BB3">
            <w:pPr>
              <w:pStyle w:val="12"/>
              <w:jc w:val="center"/>
              <w:rPr>
                <w:rFonts w:ascii="宋体" w:hAnsi="宋体"/>
              </w:rPr>
            </w:pPr>
            <w:r>
              <w:rPr>
                <w:rFonts w:hint="eastAsia" w:ascii="宋体" w:hAnsi="宋体"/>
              </w:rPr>
              <w:t>117</w:t>
            </w:r>
          </w:p>
        </w:tc>
        <w:tc>
          <w:tcPr>
            <w:tcW w:w="472" w:type="pct"/>
            <w:vAlign w:val="center"/>
          </w:tcPr>
          <w:p w14:paraId="7D312B56">
            <w:pPr>
              <w:pStyle w:val="12"/>
              <w:jc w:val="center"/>
              <w:rPr>
                <w:rFonts w:ascii="宋体" w:hAnsi="宋体"/>
              </w:rPr>
            </w:pPr>
            <w:r>
              <w:rPr>
                <w:rFonts w:hint="eastAsia" w:ascii="宋体" w:hAnsi="宋体"/>
              </w:rPr>
              <w:t>116.4</w:t>
            </w:r>
          </w:p>
        </w:tc>
        <w:tc>
          <w:tcPr>
            <w:tcW w:w="472" w:type="pct"/>
            <w:vAlign w:val="center"/>
          </w:tcPr>
          <w:p w14:paraId="282A612D">
            <w:pPr>
              <w:pStyle w:val="12"/>
              <w:jc w:val="center"/>
              <w:rPr>
                <w:rFonts w:ascii="宋体" w:hAnsi="宋体"/>
              </w:rPr>
            </w:pPr>
            <w:r>
              <w:rPr>
                <w:rFonts w:hint="eastAsia" w:ascii="宋体" w:hAnsi="宋体"/>
              </w:rPr>
              <w:t>18.9</w:t>
            </w:r>
          </w:p>
        </w:tc>
        <w:tc>
          <w:tcPr>
            <w:tcW w:w="450" w:type="pct"/>
            <w:vAlign w:val="center"/>
          </w:tcPr>
          <w:p w14:paraId="6427AC7C">
            <w:pPr>
              <w:pStyle w:val="12"/>
              <w:jc w:val="center"/>
              <w:rPr>
                <w:rFonts w:ascii="宋体" w:hAnsi="宋体"/>
              </w:rPr>
            </w:pPr>
            <w:r>
              <w:rPr>
                <w:rFonts w:hint="eastAsia" w:ascii="宋体" w:hAnsi="宋体"/>
              </w:rPr>
              <w:t>—</w:t>
            </w:r>
          </w:p>
        </w:tc>
        <w:tc>
          <w:tcPr>
            <w:tcW w:w="450" w:type="pct"/>
            <w:vAlign w:val="center"/>
          </w:tcPr>
          <w:p w14:paraId="32B3246D">
            <w:pPr>
              <w:pStyle w:val="12"/>
              <w:jc w:val="center"/>
              <w:rPr>
                <w:rFonts w:ascii="宋体" w:hAnsi="宋体"/>
              </w:rPr>
            </w:pPr>
            <w:r>
              <w:rPr>
                <w:rFonts w:hint="eastAsia" w:ascii="宋体" w:hAnsi="宋体"/>
              </w:rPr>
              <w:t>—</w:t>
            </w:r>
          </w:p>
        </w:tc>
        <w:tc>
          <w:tcPr>
            <w:tcW w:w="450" w:type="pct"/>
            <w:vAlign w:val="center"/>
          </w:tcPr>
          <w:p w14:paraId="4846B844">
            <w:pPr>
              <w:pStyle w:val="12"/>
              <w:jc w:val="center"/>
              <w:rPr>
                <w:rFonts w:ascii="宋体" w:hAnsi="宋体"/>
              </w:rPr>
            </w:pPr>
            <w:r>
              <w:rPr>
                <w:rFonts w:hint="eastAsia" w:ascii="宋体" w:hAnsi="宋体"/>
              </w:rPr>
              <w:t>—</w:t>
            </w:r>
          </w:p>
        </w:tc>
        <w:tc>
          <w:tcPr>
            <w:tcW w:w="452" w:type="pct"/>
            <w:vAlign w:val="center"/>
          </w:tcPr>
          <w:p w14:paraId="27210212">
            <w:pPr>
              <w:pStyle w:val="12"/>
              <w:jc w:val="center"/>
              <w:rPr>
                <w:rFonts w:ascii="宋体" w:hAnsi="宋体"/>
              </w:rPr>
            </w:pPr>
            <w:r>
              <w:rPr>
                <w:rFonts w:hint="eastAsia" w:ascii="宋体" w:hAnsi="宋体"/>
              </w:rPr>
              <w:t>—</w:t>
            </w:r>
          </w:p>
        </w:tc>
        <w:tc>
          <w:tcPr>
            <w:tcW w:w="451" w:type="pct"/>
            <w:tcBorders>
              <w:right w:val="nil"/>
            </w:tcBorders>
            <w:vAlign w:val="center"/>
          </w:tcPr>
          <w:p w14:paraId="415BDE90">
            <w:pPr>
              <w:pStyle w:val="12"/>
              <w:jc w:val="center"/>
              <w:rPr>
                <w:rFonts w:ascii="宋体" w:hAnsi="宋体"/>
              </w:rPr>
            </w:pPr>
            <w:r>
              <w:rPr>
                <w:rFonts w:hint="eastAsia" w:ascii="宋体" w:hAnsi="宋体"/>
              </w:rPr>
              <w:t>—</w:t>
            </w:r>
          </w:p>
        </w:tc>
      </w:tr>
      <w:tr w14:paraId="60671C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pct"/>
            <w:tcBorders>
              <w:left w:val="nil"/>
            </w:tcBorders>
            <w:vAlign w:val="center"/>
          </w:tcPr>
          <w:p w14:paraId="7FB1D486">
            <w:pPr>
              <w:pStyle w:val="12"/>
              <w:jc w:val="center"/>
              <w:rPr>
                <w:rFonts w:ascii="宋体" w:hAnsi="宋体"/>
              </w:rPr>
            </w:pPr>
            <w:r>
              <w:rPr>
                <w:rFonts w:hint="eastAsia" w:ascii="宋体" w:hAnsi="宋体"/>
              </w:rPr>
              <w:t>发电量</w:t>
            </w:r>
          </w:p>
          <w:p w14:paraId="33905E07">
            <w:pPr>
              <w:pStyle w:val="12"/>
              <w:jc w:val="center"/>
              <w:rPr>
                <w:rFonts w:ascii="宋体" w:hAnsi="宋体"/>
              </w:rPr>
            </w:pPr>
            <w:r>
              <w:rPr>
                <w:rFonts w:hint="eastAsia" w:ascii="宋体" w:hAnsi="宋体"/>
              </w:rPr>
              <w:t>（万千瓦时）</w:t>
            </w:r>
          </w:p>
        </w:tc>
        <w:tc>
          <w:tcPr>
            <w:tcW w:w="450" w:type="pct"/>
            <w:vAlign w:val="center"/>
          </w:tcPr>
          <w:p w14:paraId="46E5C42A">
            <w:pPr>
              <w:pStyle w:val="12"/>
              <w:jc w:val="center"/>
              <w:rPr>
                <w:rFonts w:ascii="宋体" w:hAnsi="宋体"/>
              </w:rPr>
            </w:pPr>
            <w:r>
              <w:rPr>
                <w:rFonts w:hint="eastAsia" w:ascii="宋体" w:hAnsi="宋体"/>
              </w:rPr>
              <w:t>13721</w:t>
            </w:r>
          </w:p>
        </w:tc>
        <w:tc>
          <w:tcPr>
            <w:tcW w:w="450" w:type="pct"/>
            <w:vAlign w:val="center"/>
          </w:tcPr>
          <w:p w14:paraId="7BEE456F">
            <w:pPr>
              <w:pStyle w:val="12"/>
              <w:jc w:val="center"/>
              <w:rPr>
                <w:rFonts w:ascii="宋体" w:hAnsi="宋体"/>
              </w:rPr>
            </w:pPr>
            <w:r>
              <w:rPr>
                <w:rFonts w:hint="eastAsia" w:ascii="宋体" w:hAnsi="宋体"/>
              </w:rPr>
              <w:t>15263</w:t>
            </w:r>
          </w:p>
        </w:tc>
        <w:tc>
          <w:tcPr>
            <w:tcW w:w="472" w:type="pct"/>
            <w:vAlign w:val="center"/>
          </w:tcPr>
          <w:p w14:paraId="6EF1B79F">
            <w:pPr>
              <w:pStyle w:val="12"/>
              <w:jc w:val="center"/>
              <w:rPr>
                <w:rFonts w:ascii="宋体" w:hAnsi="宋体"/>
              </w:rPr>
            </w:pPr>
            <w:r>
              <w:rPr>
                <w:rFonts w:hint="eastAsia" w:ascii="宋体" w:hAnsi="宋体"/>
              </w:rPr>
              <w:t>15470</w:t>
            </w:r>
          </w:p>
        </w:tc>
        <w:tc>
          <w:tcPr>
            <w:tcW w:w="472" w:type="pct"/>
            <w:vAlign w:val="center"/>
          </w:tcPr>
          <w:p w14:paraId="047B9D14">
            <w:pPr>
              <w:pStyle w:val="12"/>
              <w:jc w:val="center"/>
              <w:rPr>
                <w:rFonts w:ascii="宋体" w:hAnsi="宋体"/>
              </w:rPr>
            </w:pPr>
            <w:r>
              <w:rPr>
                <w:rFonts w:hint="eastAsia" w:ascii="宋体" w:hAnsi="宋体"/>
              </w:rPr>
              <w:t>10781</w:t>
            </w:r>
          </w:p>
        </w:tc>
        <w:tc>
          <w:tcPr>
            <w:tcW w:w="450" w:type="pct"/>
            <w:vAlign w:val="center"/>
          </w:tcPr>
          <w:p w14:paraId="7A0E78C3">
            <w:pPr>
              <w:pStyle w:val="12"/>
              <w:jc w:val="center"/>
              <w:rPr>
                <w:rFonts w:ascii="宋体" w:hAnsi="宋体"/>
              </w:rPr>
            </w:pPr>
            <w:r>
              <w:rPr>
                <w:rFonts w:hint="eastAsia" w:ascii="宋体" w:hAnsi="宋体"/>
              </w:rPr>
              <w:t>12625</w:t>
            </w:r>
          </w:p>
        </w:tc>
        <w:tc>
          <w:tcPr>
            <w:tcW w:w="450" w:type="pct"/>
            <w:vAlign w:val="center"/>
          </w:tcPr>
          <w:p w14:paraId="51D606CB">
            <w:pPr>
              <w:pStyle w:val="12"/>
              <w:jc w:val="center"/>
              <w:rPr>
                <w:rFonts w:ascii="宋体" w:hAnsi="宋体"/>
              </w:rPr>
            </w:pPr>
            <w:r>
              <w:rPr>
                <w:rFonts w:hint="eastAsia" w:ascii="宋体" w:hAnsi="宋体"/>
              </w:rPr>
              <w:t>16502</w:t>
            </w:r>
          </w:p>
        </w:tc>
        <w:tc>
          <w:tcPr>
            <w:tcW w:w="450" w:type="pct"/>
            <w:vAlign w:val="center"/>
          </w:tcPr>
          <w:p w14:paraId="791119A9">
            <w:pPr>
              <w:pStyle w:val="12"/>
              <w:jc w:val="center"/>
              <w:rPr>
                <w:rFonts w:ascii="宋体" w:hAnsi="宋体"/>
              </w:rPr>
            </w:pPr>
            <w:r>
              <w:rPr>
                <w:rFonts w:hint="eastAsia" w:ascii="宋体" w:hAnsi="宋体"/>
              </w:rPr>
              <w:t>14019</w:t>
            </w:r>
          </w:p>
        </w:tc>
        <w:tc>
          <w:tcPr>
            <w:tcW w:w="452" w:type="pct"/>
            <w:vAlign w:val="center"/>
          </w:tcPr>
          <w:p w14:paraId="34008384">
            <w:pPr>
              <w:pStyle w:val="12"/>
              <w:jc w:val="center"/>
              <w:rPr>
                <w:rFonts w:ascii="宋体" w:hAnsi="宋体"/>
              </w:rPr>
            </w:pPr>
            <w:r>
              <w:rPr>
                <w:rFonts w:hint="eastAsia" w:ascii="宋体" w:hAnsi="宋体"/>
              </w:rPr>
              <w:t>10752</w:t>
            </w:r>
          </w:p>
        </w:tc>
        <w:tc>
          <w:tcPr>
            <w:tcW w:w="451" w:type="pct"/>
            <w:tcBorders>
              <w:right w:val="nil"/>
            </w:tcBorders>
            <w:vAlign w:val="center"/>
          </w:tcPr>
          <w:p w14:paraId="087E0687">
            <w:pPr>
              <w:pStyle w:val="12"/>
              <w:jc w:val="center"/>
              <w:rPr>
                <w:rFonts w:ascii="宋体" w:hAnsi="宋体"/>
              </w:rPr>
            </w:pPr>
            <w:r>
              <w:rPr>
                <w:rFonts w:hint="eastAsia" w:ascii="宋体" w:hAnsi="宋体"/>
              </w:rPr>
              <w:t>9212</w:t>
            </w:r>
          </w:p>
        </w:tc>
      </w:tr>
      <w:tr w14:paraId="5FD31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pct"/>
            <w:tcBorders>
              <w:left w:val="nil"/>
            </w:tcBorders>
            <w:vAlign w:val="center"/>
          </w:tcPr>
          <w:p w14:paraId="375DA25B">
            <w:pPr>
              <w:pStyle w:val="12"/>
              <w:jc w:val="center"/>
              <w:rPr>
                <w:rFonts w:ascii="宋体" w:hAnsi="宋体"/>
              </w:rPr>
            </w:pPr>
            <w:r>
              <w:rPr>
                <w:rFonts w:hint="eastAsia" w:ascii="宋体" w:hAnsi="宋体"/>
              </w:rPr>
              <w:t>电池（万只）</w:t>
            </w:r>
          </w:p>
        </w:tc>
        <w:tc>
          <w:tcPr>
            <w:tcW w:w="450" w:type="pct"/>
            <w:vAlign w:val="center"/>
          </w:tcPr>
          <w:p w14:paraId="79B41F32">
            <w:pPr>
              <w:pStyle w:val="12"/>
              <w:jc w:val="center"/>
              <w:rPr>
                <w:rFonts w:ascii="宋体" w:hAnsi="宋体"/>
              </w:rPr>
            </w:pPr>
            <w:r>
              <w:rPr>
                <w:rFonts w:hint="eastAsia" w:ascii="宋体" w:hAnsi="宋体"/>
              </w:rPr>
              <w:t>1372</w:t>
            </w:r>
          </w:p>
        </w:tc>
        <w:tc>
          <w:tcPr>
            <w:tcW w:w="450" w:type="pct"/>
            <w:vAlign w:val="center"/>
          </w:tcPr>
          <w:p w14:paraId="10F514AB">
            <w:pPr>
              <w:pStyle w:val="12"/>
              <w:jc w:val="center"/>
              <w:rPr>
                <w:rFonts w:ascii="宋体" w:hAnsi="宋体"/>
              </w:rPr>
            </w:pPr>
            <w:r>
              <w:rPr>
                <w:rFonts w:hint="eastAsia" w:ascii="宋体" w:hAnsi="宋体"/>
              </w:rPr>
              <w:t>710</w:t>
            </w:r>
          </w:p>
        </w:tc>
        <w:tc>
          <w:tcPr>
            <w:tcW w:w="472" w:type="pct"/>
            <w:vAlign w:val="center"/>
          </w:tcPr>
          <w:p w14:paraId="04AE9B02">
            <w:pPr>
              <w:pStyle w:val="12"/>
              <w:jc w:val="center"/>
              <w:rPr>
                <w:rFonts w:ascii="宋体" w:hAnsi="宋体"/>
              </w:rPr>
            </w:pPr>
            <w:r>
              <w:rPr>
                <w:rFonts w:hint="eastAsia" w:ascii="宋体" w:hAnsi="宋体"/>
              </w:rPr>
              <w:t>2226</w:t>
            </w:r>
          </w:p>
        </w:tc>
        <w:tc>
          <w:tcPr>
            <w:tcW w:w="472" w:type="pct"/>
            <w:vAlign w:val="center"/>
          </w:tcPr>
          <w:p w14:paraId="4F29DA2A">
            <w:pPr>
              <w:pStyle w:val="12"/>
              <w:jc w:val="center"/>
              <w:rPr>
                <w:rFonts w:ascii="宋体" w:hAnsi="宋体"/>
              </w:rPr>
            </w:pPr>
            <w:r>
              <w:rPr>
                <w:rFonts w:hint="eastAsia" w:ascii="宋体" w:hAnsi="宋体"/>
              </w:rPr>
              <w:t>3392</w:t>
            </w:r>
          </w:p>
        </w:tc>
        <w:tc>
          <w:tcPr>
            <w:tcW w:w="450" w:type="pct"/>
            <w:vAlign w:val="center"/>
          </w:tcPr>
          <w:p w14:paraId="54B8D6BF">
            <w:pPr>
              <w:pStyle w:val="12"/>
              <w:jc w:val="center"/>
              <w:rPr>
                <w:rFonts w:ascii="宋体" w:hAnsi="宋体"/>
              </w:rPr>
            </w:pPr>
            <w:r>
              <w:rPr>
                <w:rFonts w:hint="eastAsia" w:ascii="宋体" w:hAnsi="宋体"/>
              </w:rPr>
              <w:t>3666</w:t>
            </w:r>
          </w:p>
        </w:tc>
        <w:tc>
          <w:tcPr>
            <w:tcW w:w="450" w:type="pct"/>
            <w:vAlign w:val="center"/>
          </w:tcPr>
          <w:p w14:paraId="51CAE009">
            <w:pPr>
              <w:pStyle w:val="12"/>
              <w:jc w:val="center"/>
              <w:rPr>
                <w:rFonts w:ascii="宋体" w:hAnsi="宋体"/>
              </w:rPr>
            </w:pPr>
            <w:r>
              <w:rPr>
                <w:rFonts w:hint="eastAsia" w:ascii="宋体" w:hAnsi="宋体"/>
              </w:rPr>
              <w:t>3738</w:t>
            </w:r>
          </w:p>
        </w:tc>
        <w:tc>
          <w:tcPr>
            <w:tcW w:w="450" w:type="pct"/>
            <w:vAlign w:val="center"/>
          </w:tcPr>
          <w:p w14:paraId="131E3407">
            <w:pPr>
              <w:pStyle w:val="12"/>
              <w:jc w:val="center"/>
              <w:rPr>
                <w:rFonts w:ascii="宋体" w:hAnsi="宋体"/>
              </w:rPr>
            </w:pPr>
            <w:r>
              <w:rPr>
                <w:rFonts w:hint="eastAsia" w:ascii="宋体" w:hAnsi="宋体"/>
              </w:rPr>
              <w:t>7656</w:t>
            </w:r>
          </w:p>
        </w:tc>
        <w:tc>
          <w:tcPr>
            <w:tcW w:w="452" w:type="pct"/>
            <w:vAlign w:val="center"/>
          </w:tcPr>
          <w:p w14:paraId="17B8B0AE">
            <w:pPr>
              <w:pStyle w:val="12"/>
              <w:jc w:val="center"/>
              <w:rPr>
                <w:rFonts w:ascii="宋体" w:hAnsi="宋体"/>
              </w:rPr>
            </w:pPr>
            <w:r>
              <w:rPr>
                <w:rFonts w:hint="eastAsia" w:ascii="宋体" w:hAnsi="宋体"/>
              </w:rPr>
              <w:t>8603.9</w:t>
            </w:r>
          </w:p>
        </w:tc>
        <w:tc>
          <w:tcPr>
            <w:tcW w:w="451" w:type="pct"/>
            <w:tcBorders>
              <w:right w:val="nil"/>
            </w:tcBorders>
            <w:vAlign w:val="center"/>
          </w:tcPr>
          <w:p w14:paraId="37B84988">
            <w:pPr>
              <w:pStyle w:val="12"/>
              <w:jc w:val="center"/>
              <w:rPr>
                <w:rFonts w:ascii="宋体" w:hAnsi="宋体"/>
              </w:rPr>
            </w:pPr>
            <w:r>
              <w:rPr>
                <w:rFonts w:hint="eastAsia" w:ascii="宋体" w:hAnsi="宋体"/>
              </w:rPr>
              <w:t>8963</w:t>
            </w:r>
          </w:p>
        </w:tc>
      </w:tr>
    </w:tbl>
    <w:p w14:paraId="7E20FDF5">
      <w:pPr>
        <w:pStyle w:val="4"/>
        <w:rPr>
          <w:rFonts w:ascii="宋体" w:hAnsi="宋体"/>
        </w:rPr>
      </w:pPr>
      <w:r>
        <w:rPr>
          <w:rFonts w:hint="eastAsia" w:ascii="宋体" w:hAnsi="宋体"/>
        </w:rPr>
        <w:t>第二节  电力工业</w:t>
      </w:r>
    </w:p>
    <w:p w14:paraId="18E7FDCB">
      <w:pPr>
        <w:pStyle w:val="5"/>
        <w:rPr>
          <w:rFonts w:ascii="宋体" w:hAnsi="宋体"/>
        </w:rPr>
      </w:pPr>
      <w:r>
        <w:rPr>
          <w:rFonts w:hint="eastAsia" w:ascii="宋体" w:hAnsi="宋体"/>
        </w:rPr>
        <w:t>一、水电站</w:t>
      </w:r>
    </w:p>
    <w:p w14:paraId="0326BE9B">
      <w:pPr>
        <w:ind w:firstLine="420"/>
        <w:rPr>
          <w:rFonts w:ascii="宋体" w:hAnsi="宋体"/>
          <w:szCs w:val="21"/>
        </w:rPr>
      </w:pPr>
      <w:r>
        <w:rPr>
          <w:rFonts w:hint="eastAsia" w:ascii="宋体" w:hAnsi="宋体"/>
          <w:szCs w:val="21"/>
        </w:rPr>
        <w:t>南雄市按各河道天然落差和分布地域情况计算，全市水能总蕴藏量</w:t>
      </w:r>
      <w:r>
        <w:rPr>
          <w:rFonts w:ascii="宋体" w:hAnsi="宋体"/>
          <w:szCs w:val="21"/>
        </w:rPr>
        <w:t>7.39万千瓦，</w:t>
      </w:r>
      <w:r>
        <w:rPr>
          <w:rFonts w:hint="eastAsia" w:ascii="宋体" w:hAnsi="宋体"/>
          <w:szCs w:val="21"/>
        </w:rPr>
        <w:t>可开发量</w:t>
      </w:r>
      <w:r>
        <w:rPr>
          <w:rFonts w:ascii="宋体" w:hAnsi="宋体"/>
          <w:szCs w:val="21"/>
        </w:rPr>
        <w:t>6.72万千瓦。其中凌江、瀑布水、大坪水、江头水4条支流共占全部水能</w:t>
      </w:r>
      <w:r>
        <w:rPr>
          <w:rFonts w:hint="eastAsia" w:ascii="宋体" w:hAnsi="宋体"/>
          <w:szCs w:val="21"/>
        </w:rPr>
        <w:t>资源</w:t>
      </w:r>
      <w:r>
        <w:rPr>
          <w:rFonts w:ascii="宋体" w:hAnsi="宋体"/>
          <w:szCs w:val="21"/>
        </w:rPr>
        <w:t>70%以上</w:t>
      </w:r>
      <w:r>
        <w:rPr>
          <w:rFonts w:hint="eastAsia" w:ascii="宋体" w:hAnsi="宋体"/>
          <w:szCs w:val="21"/>
        </w:rPr>
        <w:t>。</w:t>
      </w:r>
    </w:p>
    <w:p w14:paraId="3C0C6140">
      <w:pPr>
        <w:ind w:firstLine="420"/>
        <w:rPr>
          <w:rFonts w:ascii="宋体" w:hAnsi="宋体"/>
          <w:szCs w:val="21"/>
        </w:rPr>
      </w:pPr>
      <w:r>
        <w:rPr>
          <w:rFonts w:hint="eastAsia" w:ascii="宋体" w:hAnsi="宋体"/>
          <w:szCs w:val="21"/>
        </w:rPr>
        <w:t>水力发电始于</w:t>
      </w:r>
      <w:r>
        <w:rPr>
          <w:rFonts w:ascii="宋体" w:hAnsi="宋体"/>
          <w:szCs w:val="21"/>
        </w:rPr>
        <w:t>1959年3月，主田人民公社在泷下村利用瀑布引水渠道落差，建</w:t>
      </w:r>
      <w:r>
        <w:rPr>
          <w:rFonts w:hint="eastAsia" w:ascii="宋体" w:hAnsi="宋体"/>
          <w:szCs w:val="21"/>
        </w:rPr>
        <w:t>成木制水轮机发电站，容量</w:t>
      </w:r>
      <w:r>
        <w:rPr>
          <w:rFonts w:ascii="宋体" w:hAnsi="宋体"/>
          <w:szCs w:val="21"/>
        </w:rPr>
        <w:t>4千瓦。至1970年，这种微型水电站达76个。197</w:t>
      </w:r>
      <w:r>
        <w:rPr>
          <w:rFonts w:hint="eastAsia" w:ascii="宋体" w:hAnsi="宋体"/>
          <w:szCs w:val="21"/>
        </w:rPr>
        <w:t>1</w:t>
      </w:r>
      <w:r>
        <w:rPr>
          <w:rFonts w:ascii="宋体" w:hAnsi="宋体"/>
          <w:szCs w:val="21"/>
        </w:rPr>
        <w:t>年以</w:t>
      </w:r>
      <w:r>
        <w:rPr>
          <w:rFonts w:hint="eastAsia" w:ascii="宋体" w:hAnsi="宋体"/>
          <w:szCs w:val="21"/>
        </w:rPr>
        <w:t>后，木质水轮机逐步由钢铁水轮机组代替。</w:t>
      </w:r>
      <w:r>
        <w:rPr>
          <w:rFonts w:ascii="宋体" w:hAnsi="宋体"/>
          <w:szCs w:val="21"/>
        </w:rPr>
        <w:t>1971年1月，油山人民公社在古石门和</w:t>
      </w:r>
      <w:r>
        <w:rPr>
          <w:rFonts w:hint="eastAsia" w:ascii="宋体" w:hAnsi="宋体"/>
          <w:szCs w:val="21"/>
        </w:rPr>
        <w:t>邓坊公社在杨梅各建</w:t>
      </w:r>
      <w:r>
        <w:rPr>
          <w:rFonts w:ascii="宋体" w:hAnsi="宋体"/>
          <w:szCs w:val="21"/>
        </w:rPr>
        <w:t>1个容量为125千瓦水电站。以后，县、乡（镇）、村、企业多</w:t>
      </w:r>
      <w:r>
        <w:rPr>
          <w:rFonts w:hint="eastAsia" w:ascii="宋体" w:hAnsi="宋体"/>
          <w:szCs w:val="21"/>
        </w:rPr>
        <w:t>级办电站。至</w:t>
      </w:r>
      <w:r>
        <w:rPr>
          <w:rFonts w:ascii="宋体" w:hAnsi="宋体"/>
          <w:szCs w:val="21"/>
        </w:rPr>
        <w:t>2</w:t>
      </w:r>
      <w:r>
        <w:rPr>
          <w:rFonts w:hint="eastAsia" w:ascii="宋体" w:hAnsi="宋体"/>
          <w:szCs w:val="21"/>
        </w:rPr>
        <w:t>0</w:t>
      </w:r>
      <w:r>
        <w:rPr>
          <w:rFonts w:ascii="宋体" w:hAnsi="宋体"/>
          <w:szCs w:val="21"/>
        </w:rPr>
        <w:t>05年11月止，全市联网小水电站147座，装机284台，总装机容量78180千瓦</w:t>
      </w:r>
      <w:r>
        <w:rPr>
          <w:rFonts w:hint="eastAsia" w:ascii="宋体" w:hAnsi="宋体"/>
          <w:szCs w:val="21"/>
        </w:rPr>
        <w:t>。</w:t>
      </w:r>
    </w:p>
    <w:p w14:paraId="1A5AEC31">
      <w:pPr>
        <w:ind w:firstLine="420"/>
        <w:rPr>
          <w:rFonts w:ascii="宋体" w:hAnsi="宋体"/>
          <w:szCs w:val="21"/>
        </w:rPr>
      </w:pPr>
      <w:r>
        <w:rPr>
          <w:rFonts w:ascii="宋体" w:hAnsi="宋体"/>
          <w:szCs w:val="21"/>
        </w:rPr>
        <w:t>2000年8月、12月，主要水电站经转让重组，分属韶能集团雄洲水电分公司</w:t>
      </w:r>
      <w:r>
        <w:rPr>
          <w:rFonts w:hint="eastAsia" w:ascii="宋体" w:hAnsi="宋体"/>
          <w:szCs w:val="21"/>
        </w:rPr>
        <w:t>、南雄市浈江电业有限公司。</w:t>
      </w:r>
    </w:p>
    <w:p w14:paraId="47D21BB6">
      <w:pPr>
        <w:ind w:firstLine="422"/>
        <w:rPr>
          <w:rFonts w:ascii="宋体" w:hAnsi="宋体"/>
          <w:b/>
          <w:szCs w:val="21"/>
        </w:rPr>
      </w:pPr>
      <w:r>
        <w:rPr>
          <w:rFonts w:hint="eastAsia" w:ascii="宋体" w:hAnsi="宋体"/>
          <w:b/>
          <w:szCs w:val="21"/>
        </w:rPr>
        <w:t>（一）韶能集团雄洲水电分公司</w:t>
      </w:r>
    </w:p>
    <w:p w14:paraId="24872D07">
      <w:pPr>
        <w:ind w:firstLine="420"/>
        <w:rPr>
          <w:rFonts w:ascii="宋体" w:hAnsi="宋体"/>
          <w:szCs w:val="21"/>
        </w:rPr>
      </w:pPr>
      <w:r>
        <w:rPr>
          <w:rFonts w:ascii="宋体" w:hAnsi="宋体"/>
          <w:szCs w:val="21"/>
        </w:rPr>
        <w:t>2</w:t>
      </w:r>
      <w:r>
        <w:rPr>
          <w:rFonts w:hint="eastAsia" w:ascii="宋体" w:hAnsi="宋体"/>
          <w:szCs w:val="21"/>
        </w:rPr>
        <w:t>0</w:t>
      </w:r>
      <w:r>
        <w:rPr>
          <w:rFonts w:ascii="宋体" w:hAnsi="宋体"/>
          <w:szCs w:val="21"/>
        </w:rPr>
        <w:t>00年8月，中共南雄市委、市政府决定，将原属市管的瀑布、苍石、帽子峰</w:t>
      </w:r>
      <w:r>
        <w:rPr>
          <w:rFonts w:hint="eastAsia" w:ascii="宋体" w:hAnsi="宋体"/>
          <w:szCs w:val="21"/>
        </w:rPr>
        <w:t>和中坪</w:t>
      </w:r>
      <w:r>
        <w:rPr>
          <w:rFonts w:ascii="宋体" w:hAnsi="宋体"/>
          <w:szCs w:val="21"/>
        </w:rPr>
        <w:t>4宗骨干电站的产权90%转让给广东韶能集团股份有限公司。经营权移交后，</w:t>
      </w:r>
      <w:r>
        <w:rPr>
          <w:rFonts w:hint="eastAsia" w:ascii="宋体" w:hAnsi="宋体"/>
          <w:szCs w:val="21"/>
        </w:rPr>
        <w:t>韶能公司在南雄成立“南雄市雄洲水电</w:t>
      </w:r>
      <w:r>
        <w:rPr>
          <w:rFonts w:hint="eastAsia" w:ascii="宋体" w:hAnsi="宋体"/>
          <w:szCs w:val="21"/>
          <w:lang w:eastAsia="zh-CN"/>
        </w:rPr>
        <w:t>有限责任公司</w:t>
      </w:r>
      <w:r>
        <w:rPr>
          <w:rFonts w:hint="eastAsia" w:ascii="宋体" w:hAnsi="宋体"/>
          <w:szCs w:val="21"/>
        </w:rPr>
        <w:t>”，后改称为“南雄市雄洲水电分公司”，隶属于韶能集团股份有限公司。该公司下辖瀑布、苍石（含苍石水库坝后电站）、帽子峰、中坪</w:t>
      </w:r>
      <w:r>
        <w:rPr>
          <w:rFonts w:ascii="宋体" w:hAnsi="宋体"/>
          <w:szCs w:val="21"/>
        </w:rPr>
        <w:t>4座电站，总装机容量16380千瓦，员工250人。每年售电5800万千瓦时，收</w:t>
      </w:r>
      <w:r>
        <w:rPr>
          <w:rFonts w:hint="eastAsia" w:ascii="宋体" w:hAnsi="宋体"/>
          <w:szCs w:val="21"/>
        </w:rPr>
        <w:t>入</w:t>
      </w:r>
      <w:r>
        <w:rPr>
          <w:rFonts w:ascii="宋体" w:hAnsi="宋体"/>
          <w:szCs w:val="21"/>
        </w:rPr>
        <w:t>约1900万元</w:t>
      </w:r>
      <w:r>
        <w:rPr>
          <w:rFonts w:hint="eastAsia" w:ascii="宋体" w:hAnsi="宋体"/>
          <w:szCs w:val="21"/>
        </w:rPr>
        <w:t>。</w:t>
      </w:r>
    </w:p>
    <w:p w14:paraId="134C417F">
      <w:pPr>
        <w:ind w:firstLine="420"/>
        <w:rPr>
          <w:rFonts w:ascii="宋体" w:hAnsi="宋体"/>
          <w:szCs w:val="21"/>
        </w:rPr>
      </w:pPr>
      <w:r>
        <w:rPr>
          <w:rFonts w:hint="eastAsia" w:ascii="宋体" w:hAnsi="宋体"/>
          <w:szCs w:val="21"/>
        </w:rPr>
        <w:t>瀑布电站。一级站为坝后站，建于</w:t>
      </w:r>
      <w:r>
        <w:rPr>
          <w:rFonts w:ascii="宋体" w:hAnsi="宋体"/>
          <w:szCs w:val="21"/>
        </w:rPr>
        <w:t>1970年，装机3台，容量1500千瓦，1972年7月竣工投产。二级站为引水式电站，引水渠长1.9公里，装机3台，容量5200千</w:t>
      </w:r>
      <w:r>
        <w:rPr>
          <w:rFonts w:hint="eastAsia" w:ascii="宋体" w:hAnsi="宋体"/>
          <w:szCs w:val="21"/>
        </w:rPr>
        <w:t>瓦，</w:t>
      </w:r>
      <w:r>
        <w:rPr>
          <w:rFonts w:ascii="宋体" w:hAnsi="宋体"/>
          <w:szCs w:val="21"/>
        </w:rPr>
        <w:t>1977年5月投产。总装机6台，容量6700千瓦，年发电能力为1956万千瓦时。1998年4月定员151人。</w:t>
      </w:r>
    </w:p>
    <w:p w14:paraId="29BD1BF1">
      <w:pPr>
        <w:ind w:firstLine="420"/>
        <w:rPr>
          <w:rFonts w:ascii="宋体" w:hAnsi="宋体"/>
          <w:szCs w:val="21"/>
        </w:rPr>
      </w:pPr>
      <w:r>
        <w:rPr>
          <w:rFonts w:hint="eastAsia" w:ascii="宋体" w:hAnsi="宋体"/>
          <w:szCs w:val="21"/>
        </w:rPr>
        <w:t>中坪电站。属引水式电站，引水渠道</w:t>
      </w:r>
      <w:r>
        <w:rPr>
          <w:rFonts w:ascii="宋体" w:hAnsi="宋体"/>
          <w:szCs w:val="21"/>
        </w:rPr>
        <w:t>4.2公里，装机6台，容量1530千瓦，于1976年9月投产，年发电能力484千瓦时。1998年定员82人。</w:t>
      </w:r>
    </w:p>
    <w:p w14:paraId="0E659CEE">
      <w:pPr>
        <w:ind w:firstLine="420"/>
        <w:rPr>
          <w:rFonts w:ascii="宋体" w:hAnsi="宋体"/>
          <w:szCs w:val="21"/>
        </w:rPr>
      </w:pPr>
      <w:r>
        <w:rPr>
          <w:rFonts w:hint="eastAsia" w:ascii="宋体" w:hAnsi="宋体"/>
          <w:szCs w:val="21"/>
        </w:rPr>
        <w:t>帽子峰（佛岭）电站。是截凌江水的引水式电站，坝高</w:t>
      </w:r>
      <w:r>
        <w:rPr>
          <w:rFonts w:ascii="宋体" w:hAnsi="宋体"/>
          <w:szCs w:val="21"/>
        </w:rPr>
        <w:t>22米，通过明渠200米</w:t>
      </w:r>
      <w:r>
        <w:rPr>
          <w:rFonts w:hint="eastAsia" w:ascii="宋体" w:hAnsi="宋体"/>
          <w:szCs w:val="21"/>
        </w:rPr>
        <w:t>和隧道</w:t>
      </w:r>
      <w:r>
        <w:rPr>
          <w:rFonts w:ascii="宋体" w:hAnsi="宋体"/>
          <w:szCs w:val="21"/>
        </w:rPr>
        <w:t>280米，水头落差25.3米，设计流量为12.6秒立方米，装机3台，容量2100</w:t>
      </w:r>
      <w:r>
        <w:rPr>
          <w:rFonts w:hint="eastAsia" w:ascii="宋体" w:hAnsi="宋体"/>
          <w:szCs w:val="21"/>
        </w:rPr>
        <w:t>千瓦，于</w:t>
      </w:r>
      <w:r>
        <w:rPr>
          <w:rFonts w:ascii="宋体" w:hAnsi="宋体"/>
          <w:szCs w:val="21"/>
        </w:rPr>
        <w:t>1983年7月投产，年发电能力938千瓦时。1998年定员64人。</w:t>
      </w:r>
    </w:p>
    <w:p w14:paraId="10E64828">
      <w:pPr>
        <w:ind w:firstLine="420"/>
        <w:rPr>
          <w:rFonts w:ascii="宋体" w:hAnsi="宋体"/>
          <w:szCs w:val="21"/>
        </w:rPr>
      </w:pPr>
      <w:r>
        <w:rPr>
          <w:rFonts w:hint="eastAsia" w:ascii="宋体" w:hAnsi="宋体"/>
          <w:szCs w:val="21"/>
        </w:rPr>
        <w:t>苍石电站。是截大坪水的引水式电站，引水渠</w:t>
      </w:r>
      <w:r>
        <w:rPr>
          <w:rFonts w:ascii="宋体" w:hAnsi="宋体"/>
          <w:szCs w:val="21"/>
        </w:rPr>
        <w:t>8.1公里，水头240米，设计流量</w:t>
      </w:r>
      <w:r>
        <w:rPr>
          <w:rFonts w:hint="eastAsia" w:ascii="宋体" w:hAnsi="宋体"/>
          <w:szCs w:val="21"/>
        </w:rPr>
        <w:t>为</w:t>
      </w:r>
      <w:r>
        <w:rPr>
          <w:rFonts w:ascii="宋体" w:hAnsi="宋体"/>
          <w:szCs w:val="21"/>
        </w:rPr>
        <w:t>2.2秒立方米，装机3台，容量3750千瓦，年发电能力为2800千瓦时，于1986</w:t>
      </w:r>
      <w:r>
        <w:rPr>
          <w:rFonts w:hint="eastAsia" w:ascii="宋体" w:hAnsi="宋体"/>
          <w:szCs w:val="21"/>
        </w:rPr>
        <w:t>年</w:t>
      </w:r>
      <w:r>
        <w:rPr>
          <w:rFonts w:ascii="宋体" w:hAnsi="宋体"/>
          <w:szCs w:val="21"/>
        </w:rPr>
        <w:t>12月投产。1998年定员120人。</w:t>
      </w:r>
    </w:p>
    <w:p w14:paraId="722EAC3C">
      <w:pPr>
        <w:ind w:firstLine="422"/>
        <w:rPr>
          <w:rFonts w:ascii="宋体" w:hAnsi="宋体"/>
          <w:b/>
          <w:szCs w:val="21"/>
        </w:rPr>
      </w:pPr>
      <w:r>
        <w:rPr>
          <w:rFonts w:hint="eastAsia" w:ascii="宋体" w:hAnsi="宋体"/>
          <w:b/>
          <w:szCs w:val="21"/>
        </w:rPr>
        <w:t>（二）南雄市浈江电业有限公司</w:t>
      </w:r>
    </w:p>
    <w:p w14:paraId="0F234E25">
      <w:pPr>
        <w:ind w:firstLine="420"/>
        <w:rPr>
          <w:rFonts w:ascii="宋体" w:hAnsi="宋体"/>
          <w:szCs w:val="21"/>
        </w:rPr>
      </w:pPr>
      <w:r>
        <w:rPr>
          <w:rFonts w:hint="eastAsia" w:ascii="宋体" w:hAnsi="宋体"/>
          <w:szCs w:val="21"/>
        </w:rPr>
        <w:t>该公司成立于</w:t>
      </w:r>
      <w:r>
        <w:rPr>
          <w:rFonts w:ascii="宋体" w:hAnsi="宋体"/>
          <w:szCs w:val="21"/>
        </w:rPr>
        <w:t>2000年12月，原名为“南雄市水电</w:t>
      </w:r>
      <w:r>
        <w:rPr>
          <w:rFonts w:hint="eastAsia" w:ascii="宋体" w:hAnsi="宋体"/>
          <w:szCs w:val="21"/>
          <w:lang w:eastAsia="zh-CN"/>
        </w:rPr>
        <w:t>有限责任公司</w:t>
      </w:r>
      <w:r>
        <w:rPr>
          <w:rFonts w:ascii="宋体" w:hAnsi="宋体"/>
          <w:szCs w:val="21"/>
        </w:rPr>
        <w:t>”，后改称为</w:t>
      </w:r>
      <w:r>
        <w:rPr>
          <w:rFonts w:hint="eastAsia" w:ascii="宋体" w:hAnsi="宋体"/>
          <w:szCs w:val="21"/>
        </w:rPr>
        <w:t>“南雄市浈江电业有限责任公司”。该公司由市小水电公司、市电力工业局、江头镇、全安镇、苍石镇、帽子峰和澜河镇</w:t>
      </w:r>
      <w:r>
        <w:rPr>
          <w:rFonts w:ascii="宋体" w:hAnsi="宋体"/>
          <w:szCs w:val="21"/>
        </w:rPr>
        <w:t>7个股东单位共同出资组成，以水力发电为主营业</w:t>
      </w:r>
      <w:r>
        <w:rPr>
          <w:rFonts w:hint="eastAsia" w:ascii="宋体" w:hAnsi="宋体"/>
          <w:szCs w:val="21"/>
        </w:rPr>
        <w:t>务的有限责任公司。公司下辖</w:t>
      </w:r>
      <w:r>
        <w:rPr>
          <w:rFonts w:ascii="宋体" w:hAnsi="宋体"/>
          <w:szCs w:val="21"/>
        </w:rPr>
        <w:t>22座水电站，共装机50台，总容量13190千瓦，固定</w:t>
      </w:r>
      <w:r>
        <w:rPr>
          <w:rFonts w:hint="eastAsia" w:ascii="宋体" w:hAnsi="宋体"/>
          <w:szCs w:val="21"/>
        </w:rPr>
        <w:t>资产</w:t>
      </w:r>
      <w:r>
        <w:rPr>
          <w:rFonts w:ascii="宋体" w:hAnsi="宋体"/>
          <w:szCs w:val="21"/>
        </w:rPr>
        <w:t>6801万元，员工204人。</w:t>
      </w:r>
    </w:p>
    <w:p w14:paraId="0D895784">
      <w:pPr>
        <w:ind w:firstLine="0" w:firstLineChars="0"/>
        <w:jc w:val="center"/>
        <w:rPr>
          <w:rFonts w:ascii="宋体" w:hAnsi="宋体"/>
          <w:b/>
          <w:szCs w:val="21"/>
        </w:rPr>
      </w:pPr>
      <w:r>
        <w:rPr>
          <w:rFonts w:hint="eastAsia" w:ascii="宋体" w:hAnsi="宋体"/>
          <w:b/>
          <w:szCs w:val="21"/>
        </w:rPr>
        <w:t>南雄市浈江电业有限责任公司辖管电站情况</w:t>
      </w:r>
    </w:p>
    <w:p w14:paraId="2E287809">
      <w:pPr>
        <w:ind w:firstLine="0" w:firstLineChars="0"/>
        <w:rPr>
          <w:rFonts w:ascii="宋体" w:hAnsi="宋体"/>
          <w:b/>
          <w:szCs w:val="21"/>
        </w:rPr>
      </w:pPr>
      <w:r>
        <w:rPr>
          <w:rFonts w:hint="eastAsia" w:ascii="宋体" w:hAnsi="宋体"/>
          <w:b/>
          <w:szCs w:val="21"/>
        </w:rPr>
        <w:t>表</w:t>
      </w:r>
      <w:r>
        <w:rPr>
          <w:rFonts w:ascii="宋体" w:hAnsi="宋体"/>
          <w:b/>
          <w:szCs w:val="21"/>
        </w:rPr>
        <w:t>2-35</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33"/>
        <w:gridCol w:w="1271"/>
        <w:gridCol w:w="1273"/>
        <w:gridCol w:w="1271"/>
        <w:gridCol w:w="1596"/>
        <w:gridCol w:w="1519"/>
        <w:gridCol w:w="1558"/>
        <w:gridCol w:w="641"/>
      </w:tblGrid>
      <w:tr w14:paraId="2CDD36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8" w:type="pct"/>
            <w:vAlign w:val="center"/>
          </w:tcPr>
          <w:p w14:paraId="5E80488A">
            <w:pPr>
              <w:pStyle w:val="12"/>
              <w:jc w:val="center"/>
              <w:rPr>
                <w:rFonts w:ascii="宋体" w:hAnsi="宋体"/>
                <w:b/>
              </w:rPr>
            </w:pPr>
            <w:r>
              <w:rPr>
                <w:rFonts w:hint="eastAsia" w:ascii="宋体" w:hAnsi="宋体"/>
                <w:b/>
              </w:rPr>
              <w:t>序号</w:t>
            </w:r>
          </w:p>
        </w:tc>
        <w:tc>
          <w:tcPr>
            <w:tcW w:w="638" w:type="pct"/>
            <w:vAlign w:val="center"/>
          </w:tcPr>
          <w:p w14:paraId="4139911A">
            <w:pPr>
              <w:pStyle w:val="12"/>
              <w:jc w:val="center"/>
              <w:rPr>
                <w:rFonts w:ascii="宋体" w:hAnsi="宋体"/>
                <w:b/>
              </w:rPr>
            </w:pPr>
            <w:r>
              <w:rPr>
                <w:rFonts w:hint="eastAsia" w:ascii="宋体" w:hAnsi="宋体"/>
                <w:b/>
              </w:rPr>
              <w:t>电站名称</w:t>
            </w:r>
          </w:p>
        </w:tc>
        <w:tc>
          <w:tcPr>
            <w:tcW w:w="639" w:type="pct"/>
            <w:vAlign w:val="center"/>
          </w:tcPr>
          <w:p w14:paraId="676D2A67">
            <w:pPr>
              <w:pStyle w:val="12"/>
              <w:jc w:val="center"/>
              <w:rPr>
                <w:rFonts w:ascii="宋体" w:hAnsi="宋体"/>
                <w:b/>
              </w:rPr>
            </w:pPr>
            <w:r>
              <w:rPr>
                <w:rFonts w:hint="eastAsia" w:ascii="宋体" w:hAnsi="宋体"/>
                <w:b/>
              </w:rPr>
              <w:t>工程地点</w:t>
            </w:r>
          </w:p>
        </w:tc>
        <w:tc>
          <w:tcPr>
            <w:tcW w:w="638" w:type="pct"/>
            <w:vAlign w:val="center"/>
          </w:tcPr>
          <w:p w14:paraId="255C77F2">
            <w:pPr>
              <w:pStyle w:val="12"/>
              <w:jc w:val="center"/>
              <w:rPr>
                <w:rFonts w:ascii="宋体" w:hAnsi="宋体"/>
                <w:b/>
              </w:rPr>
            </w:pPr>
            <w:r>
              <w:rPr>
                <w:rFonts w:hint="eastAsia" w:ascii="宋体" w:hAnsi="宋体"/>
                <w:b/>
              </w:rPr>
              <w:t>所在河流</w:t>
            </w:r>
          </w:p>
        </w:tc>
        <w:tc>
          <w:tcPr>
            <w:tcW w:w="801" w:type="pct"/>
            <w:vAlign w:val="center"/>
          </w:tcPr>
          <w:p w14:paraId="78575FE4">
            <w:pPr>
              <w:pStyle w:val="12"/>
              <w:jc w:val="center"/>
              <w:rPr>
                <w:rFonts w:ascii="宋体" w:hAnsi="宋体"/>
                <w:b/>
              </w:rPr>
            </w:pPr>
            <w:r>
              <w:rPr>
                <w:rFonts w:hint="eastAsia" w:ascii="宋体" w:hAnsi="宋体"/>
                <w:b/>
              </w:rPr>
              <w:t>建成时间</w:t>
            </w:r>
          </w:p>
        </w:tc>
        <w:tc>
          <w:tcPr>
            <w:tcW w:w="762" w:type="pct"/>
            <w:vAlign w:val="center"/>
          </w:tcPr>
          <w:p w14:paraId="78A355AF">
            <w:pPr>
              <w:pStyle w:val="12"/>
              <w:jc w:val="center"/>
              <w:rPr>
                <w:rFonts w:ascii="宋体" w:hAnsi="宋体"/>
                <w:b/>
              </w:rPr>
            </w:pPr>
            <w:r>
              <w:rPr>
                <w:rFonts w:hint="eastAsia" w:ascii="宋体" w:hAnsi="宋体"/>
                <w:b/>
              </w:rPr>
              <w:t>装机容量</w:t>
            </w:r>
          </w:p>
          <w:p w14:paraId="7425569A">
            <w:pPr>
              <w:pStyle w:val="12"/>
              <w:jc w:val="center"/>
              <w:rPr>
                <w:rFonts w:ascii="宋体" w:hAnsi="宋体"/>
                <w:b/>
              </w:rPr>
            </w:pPr>
            <w:r>
              <w:rPr>
                <w:rFonts w:hint="eastAsia" w:ascii="宋体" w:hAnsi="宋体"/>
                <w:b/>
              </w:rPr>
              <w:t>（台/千瓦）</w:t>
            </w:r>
          </w:p>
        </w:tc>
        <w:tc>
          <w:tcPr>
            <w:tcW w:w="782" w:type="pct"/>
            <w:vAlign w:val="center"/>
          </w:tcPr>
          <w:p w14:paraId="2D05209A">
            <w:pPr>
              <w:pStyle w:val="12"/>
              <w:jc w:val="center"/>
              <w:rPr>
                <w:rFonts w:ascii="宋体" w:hAnsi="宋体"/>
                <w:b/>
              </w:rPr>
            </w:pPr>
            <w:r>
              <w:rPr>
                <w:rFonts w:hint="eastAsia" w:ascii="宋体" w:hAnsi="宋体"/>
                <w:b/>
              </w:rPr>
              <w:t>年平均发电量</w:t>
            </w:r>
          </w:p>
          <w:p w14:paraId="5AA803F8">
            <w:pPr>
              <w:pStyle w:val="12"/>
              <w:jc w:val="center"/>
              <w:rPr>
                <w:rFonts w:ascii="宋体" w:hAnsi="宋体"/>
                <w:b/>
              </w:rPr>
            </w:pPr>
            <w:r>
              <w:rPr>
                <w:rFonts w:hint="eastAsia" w:ascii="宋体" w:hAnsi="宋体"/>
                <w:b/>
              </w:rPr>
              <w:t>（万千瓦时）</w:t>
            </w:r>
          </w:p>
        </w:tc>
        <w:tc>
          <w:tcPr>
            <w:tcW w:w="321" w:type="pct"/>
            <w:vAlign w:val="center"/>
          </w:tcPr>
          <w:p w14:paraId="2ECCF512">
            <w:pPr>
              <w:pStyle w:val="12"/>
              <w:jc w:val="center"/>
              <w:rPr>
                <w:rFonts w:ascii="宋体" w:hAnsi="宋体"/>
                <w:b/>
              </w:rPr>
            </w:pPr>
            <w:r>
              <w:rPr>
                <w:rFonts w:hint="eastAsia" w:ascii="宋体" w:hAnsi="宋体"/>
                <w:b/>
              </w:rPr>
              <w:t>备注</w:t>
            </w:r>
          </w:p>
        </w:tc>
      </w:tr>
      <w:tr w14:paraId="3E7AEB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8" w:type="pct"/>
            <w:vAlign w:val="center"/>
          </w:tcPr>
          <w:p w14:paraId="4A89F20A">
            <w:pPr>
              <w:pStyle w:val="12"/>
              <w:jc w:val="center"/>
              <w:rPr>
                <w:rFonts w:ascii="宋体" w:hAnsi="宋体"/>
              </w:rPr>
            </w:pPr>
            <w:r>
              <w:rPr>
                <w:rFonts w:hint="eastAsia" w:ascii="宋体" w:hAnsi="宋体"/>
              </w:rPr>
              <w:t>1</w:t>
            </w:r>
          </w:p>
        </w:tc>
        <w:tc>
          <w:tcPr>
            <w:tcW w:w="638" w:type="pct"/>
            <w:vAlign w:val="center"/>
          </w:tcPr>
          <w:p w14:paraId="031B672B">
            <w:pPr>
              <w:pStyle w:val="12"/>
              <w:jc w:val="center"/>
              <w:rPr>
                <w:rFonts w:ascii="宋体" w:hAnsi="宋体"/>
              </w:rPr>
            </w:pPr>
            <w:r>
              <w:rPr>
                <w:rFonts w:hint="eastAsia" w:ascii="宋体" w:hAnsi="宋体"/>
              </w:rPr>
              <w:t>长尾</w:t>
            </w:r>
          </w:p>
        </w:tc>
        <w:tc>
          <w:tcPr>
            <w:tcW w:w="639" w:type="pct"/>
            <w:vAlign w:val="center"/>
          </w:tcPr>
          <w:p w14:paraId="2511AB8A">
            <w:pPr>
              <w:pStyle w:val="12"/>
              <w:jc w:val="center"/>
              <w:rPr>
                <w:rFonts w:ascii="宋体" w:hAnsi="宋体"/>
              </w:rPr>
            </w:pPr>
            <w:r>
              <w:rPr>
                <w:rFonts w:hint="eastAsia" w:ascii="宋体" w:hAnsi="宋体"/>
              </w:rPr>
              <w:t>江头镇</w:t>
            </w:r>
          </w:p>
        </w:tc>
        <w:tc>
          <w:tcPr>
            <w:tcW w:w="638" w:type="pct"/>
            <w:vAlign w:val="center"/>
          </w:tcPr>
          <w:p w14:paraId="7734852E">
            <w:pPr>
              <w:pStyle w:val="12"/>
              <w:jc w:val="center"/>
              <w:rPr>
                <w:rFonts w:ascii="宋体" w:hAnsi="宋体"/>
              </w:rPr>
            </w:pPr>
            <w:r>
              <w:rPr>
                <w:rFonts w:hint="eastAsia" w:ascii="宋体" w:hAnsi="宋体"/>
              </w:rPr>
              <w:t>江头河</w:t>
            </w:r>
          </w:p>
        </w:tc>
        <w:tc>
          <w:tcPr>
            <w:tcW w:w="801" w:type="pct"/>
            <w:vAlign w:val="center"/>
          </w:tcPr>
          <w:p w14:paraId="1A503542">
            <w:pPr>
              <w:pStyle w:val="12"/>
              <w:jc w:val="center"/>
              <w:rPr>
                <w:rFonts w:ascii="宋体" w:hAnsi="宋体"/>
              </w:rPr>
            </w:pPr>
            <w:r>
              <w:rPr>
                <w:rFonts w:hint="eastAsia" w:ascii="宋体" w:hAnsi="宋体"/>
              </w:rPr>
              <w:t>1974年9月</w:t>
            </w:r>
          </w:p>
        </w:tc>
        <w:tc>
          <w:tcPr>
            <w:tcW w:w="762" w:type="pct"/>
            <w:vAlign w:val="center"/>
          </w:tcPr>
          <w:p w14:paraId="767984D3">
            <w:pPr>
              <w:pStyle w:val="12"/>
              <w:jc w:val="center"/>
              <w:rPr>
                <w:rFonts w:ascii="宋体" w:hAnsi="宋体"/>
              </w:rPr>
            </w:pPr>
            <w:r>
              <w:rPr>
                <w:rFonts w:hint="eastAsia" w:ascii="宋体" w:hAnsi="宋体"/>
              </w:rPr>
              <w:t>2/640</w:t>
            </w:r>
          </w:p>
        </w:tc>
        <w:tc>
          <w:tcPr>
            <w:tcW w:w="782" w:type="pct"/>
            <w:vAlign w:val="center"/>
          </w:tcPr>
          <w:p w14:paraId="5EDFEFA8">
            <w:pPr>
              <w:pStyle w:val="12"/>
              <w:jc w:val="center"/>
              <w:rPr>
                <w:rFonts w:ascii="宋体" w:hAnsi="宋体"/>
              </w:rPr>
            </w:pPr>
            <w:r>
              <w:rPr>
                <w:rFonts w:hint="eastAsia" w:ascii="宋体" w:hAnsi="宋体"/>
              </w:rPr>
              <w:t>250</w:t>
            </w:r>
          </w:p>
        </w:tc>
        <w:tc>
          <w:tcPr>
            <w:tcW w:w="321" w:type="pct"/>
            <w:vAlign w:val="center"/>
          </w:tcPr>
          <w:p w14:paraId="38260623">
            <w:pPr>
              <w:pStyle w:val="12"/>
              <w:jc w:val="center"/>
              <w:rPr>
                <w:rFonts w:ascii="宋体" w:hAnsi="宋体"/>
              </w:rPr>
            </w:pPr>
            <w:r>
              <w:rPr>
                <w:rFonts w:hint="eastAsia" w:ascii="宋体" w:hAnsi="宋体"/>
              </w:rPr>
              <w:t>—</w:t>
            </w:r>
          </w:p>
        </w:tc>
      </w:tr>
      <w:tr w14:paraId="7162EA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8" w:type="pct"/>
            <w:vAlign w:val="center"/>
          </w:tcPr>
          <w:p w14:paraId="0E5209AD">
            <w:pPr>
              <w:pStyle w:val="12"/>
              <w:jc w:val="center"/>
              <w:rPr>
                <w:rFonts w:ascii="宋体" w:hAnsi="宋体"/>
              </w:rPr>
            </w:pPr>
            <w:r>
              <w:rPr>
                <w:rFonts w:hint="eastAsia" w:ascii="宋体" w:hAnsi="宋体"/>
              </w:rPr>
              <w:t>2</w:t>
            </w:r>
          </w:p>
        </w:tc>
        <w:tc>
          <w:tcPr>
            <w:tcW w:w="638" w:type="pct"/>
            <w:vAlign w:val="center"/>
          </w:tcPr>
          <w:p w14:paraId="38352895">
            <w:pPr>
              <w:pStyle w:val="12"/>
              <w:jc w:val="center"/>
              <w:rPr>
                <w:rFonts w:ascii="宋体" w:hAnsi="宋体"/>
              </w:rPr>
            </w:pPr>
            <w:r>
              <w:rPr>
                <w:rFonts w:hint="eastAsia" w:ascii="宋体" w:hAnsi="宋体"/>
              </w:rPr>
              <w:t>长潭</w:t>
            </w:r>
          </w:p>
        </w:tc>
        <w:tc>
          <w:tcPr>
            <w:tcW w:w="639" w:type="pct"/>
            <w:vAlign w:val="center"/>
          </w:tcPr>
          <w:p w14:paraId="0E144424">
            <w:pPr>
              <w:pStyle w:val="12"/>
              <w:jc w:val="center"/>
              <w:rPr>
                <w:rFonts w:ascii="宋体" w:hAnsi="宋体"/>
              </w:rPr>
            </w:pPr>
            <w:r>
              <w:rPr>
                <w:rFonts w:hint="eastAsia" w:ascii="宋体" w:hAnsi="宋体"/>
              </w:rPr>
              <w:t>江头镇</w:t>
            </w:r>
          </w:p>
        </w:tc>
        <w:tc>
          <w:tcPr>
            <w:tcW w:w="638" w:type="pct"/>
            <w:vAlign w:val="center"/>
          </w:tcPr>
          <w:p w14:paraId="6F65478F">
            <w:pPr>
              <w:pStyle w:val="12"/>
              <w:jc w:val="center"/>
              <w:rPr>
                <w:rFonts w:ascii="宋体" w:hAnsi="宋体"/>
              </w:rPr>
            </w:pPr>
            <w:r>
              <w:rPr>
                <w:rFonts w:hint="eastAsia" w:ascii="宋体" w:hAnsi="宋体"/>
              </w:rPr>
              <w:t>江头河</w:t>
            </w:r>
          </w:p>
        </w:tc>
        <w:tc>
          <w:tcPr>
            <w:tcW w:w="801" w:type="pct"/>
            <w:vAlign w:val="center"/>
          </w:tcPr>
          <w:p w14:paraId="472A6587">
            <w:pPr>
              <w:pStyle w:val="12"/>
              <w:jc w:val="center"/>
              <w:rPr>
                <w:rFonts w:ascii="宋体" w:hAnsi="宋体"/>
              </w:rPr>
            </w:pPr>
            <w:r>
              <w:rPr>
                <w:rFonts w:hint="eastAsia" w:ascii="宋体" w:hAnsi="宋体"/>
              </w:rPr>
              <w:t>1983年8月</w:t>
            </w:r>
          </w:p>
        </w:tc>
        <w:tc>
          <w:tcPr>
            <w:tcW w:w="762" w:type="pct"/>
            <w:vAlign w:val="center"/>
          </w:tcPr>
          <w:p w14:paraId="0B11007E">
            <w:pPr>
              <w:pStyle w:val="12"/>
              <w:jc w:val="center"/>
              <w:rPr>
                <w:rFonts w:ascii="宋体" w:hAnsi="宋体"/>
              </w:rPr>
            </w:pPr>
            <w:r>
              <w:rPr>
                <w:rFonts w:hint="eastAsia" w:ascii="宋体" w:hAnsi="宋体"/>
              </w:rPr>
              <w:t>3/1200</w:t>
            </w:r>
          </w:p>
        </w:tc>
        <w:tc>
          <w:tcPr>
            <w:tcW w:w="782" w:type="pct"/>
            <w:vAlign w:val="center"/>
          </w:tcPr>
          <w:p w14:paraId="33C68199">
            <w:pPr>
              <w:pStyle w:val="12"/>
              <w:jc w:val="center"/>
              <w:rPr>
                <w:rFonts w:ascii="宋体" w:hAnsi="宋体"/>
              </w:rPr>
            </w:pPr>
            <w:r>
              <w:rPr>
                <w:rFonts w:hint="eastAsia" w:ascii="宋体" w:hAnsi="宋体"/>
              </w:rPr>
              <w:t>390</w:t>
            </w:r>
          </w:p>
        </w:tc>
        <w:tc>
          <w:tcPr>
            <w:tcW w:w="321" w:type="pct"/>
            <w:vAlign w:val="center"/>
          </w:tcPr>
          <w:p w14:paraId="72810676">
            <w:pPr>
              <w:pStyle w:val="12"/>
              <w:jc w:val="center"/>
              <w:rPr>
                <w:rFonts w:ascii="宋体" w:hAnsi="宋体"/>
              </w:rPr>
            </w:pPr>
            <w:r>
              <w:rPr>
                <w:rFonts w:hint="eastAsia" w:ascii="宋体" w:hAnsi="宋体"/>
              </w:rPr>
              <w:t>—</w:t>
            </w:r>
          </w:p>
        </w:tc>
      </w:tr>
      <w:tr w14:paraId="36D5EA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8" w:type="pct"/>
            <w:vAlign w:val="center"/>
          </w:tcPr>
          <w:p w14:paraId="6D0B0D2E">
            <w:pPr>
              <w:pStyle w:val="12"/>
              <w:jc w:val="center"/>
              <w:rPr>
                <w:rFonts w:ascii="宋体" w:hAnsi="宋体"/>
              </w:rPr>
            </w:pPr>
            <w:r>
              <w:rPr>
                <w:rFonts w:hint="eastAsia" w:ascii="宋体" w:hAnsi="宋体"/>
              </w:rPr>
              <w:t>3</w:t>
            </w:r>
          </w:p>
        </w:tc>
        <w:tc>
          <w:tcPr>
            <w:tcW w:w="638" w:type="pct"/>
            <w:vAlign w:val="center"/>
          </w:tcPr>
          <w:p w14:paraId="63001819">
            <w:pPr>
              <w:pStyle w:val="12"/>
              <w:jc w:val="center"/>
              <w:rPr>
                <w:rFonts w:ascii="宋体" w:hAnsi="宋体"/>
              </w:rPr>
            </w:pPr>
            <w:r>
              <w:rPr>
                <w:rFonts w:hint="eastAsia" w:ascii="宋体" w:hAnsi="宋体"/>
              </w:rPr>
              <w:t>横水</w:t>
            </w:r>
          </w:p>
        </w:tc>
        <w:tc>
          <w:tcPr>
            <w:tcW w:w="639" w:type="pct"/>
            <w:vAlign w:val="center"/>
          </w:tcPr>
          <w:p w14:paraId="3DACE0EE">
            <w:pPr>
              <w:pStyle w:val="12"/>
              <w:jc w:val="center"/>
              <w:rPr>
                <w:rFonts w:ascii="宋体" w:hAnsi="宋体"/>
              </w:rPr>
            </w:pPr>
            <w:r>
              <w:rPr>
                <w:rFonts w:hint="eastAsia" w:ascii="宋体" w:hAnsi="宋体"/>
              </w:rPr>
              <w:t>江头镇</w:t>
            </w:r>
          </w:p>
        </w:tc>
        <w:tc>
          <w:tcPr>
            <w:tcW w:w="638" w:type="pct"/>
            <w:vAlign w:val="center"/>
          </w:tcPr>
          <w:p w14:paraId="3F1203A3">
            <w:pPr>
              <w:pStyle w:val="12"/>
              <w:jc w:val="center"/>
              <w:rPr>
                <w:rFonts w:ascii="宋体" w:hAnsi="宋体"/>
              </w:rPr>
            </w:pPr>
            <w:r>
              <w:rPr>
                <w:rFonts w:hint="eastAsia" w:ascii="宋体" w:hAnsi="宋体"/>
              </w:rPr>
              <w:t>江头河</w:t>
            </w:r>
          </w:p>
        </w:tc>
        <w:tc>
          <w:tcPr>
            <w:tcW w:w="801" w:type="pct"/>
            <w:vAlign w:val="center"/>
          </w:tcPr>
          <w:p w14:paraId="2BA47764">
            <w:pPr>
              <w:pStyle w:val="12"/>
              <w:jc w:val="center"/>
              <w:rPr>
                <w:rFonts w:ascii="宋体" w:hAnsi="宋体"/>
              </w:rPr>
            </w:pPr>
            <w:r>
              <w:rPr>
                <w:rFonts w:hint="eastAsia" w:ascii="宋体" w:hAnsi="宋体"/>
              </w:rPr>
              <w:t>1991年</w:t>
            </w:r>
          </w:p>
        </w:tc>
        <w:tc>
          <w:tcPr>
            <w:tcW w:w="762" w:type="pct"/>
            <w:vAlign w:val="center"/>
          </w:tcPr>
          <w:p w14:paraId="67BF4124">
            <w:pPr>
              <w:pStyle w:val="12"/>
              <w:jc w:val="center"/>
              <w:rPr>
                <w:rFonts w:ascii="宋体" w:hAnsi="宋体"/>
              </w:rPr>
            </w:pPr>
            <w:r>
              <w:rPr>
                <w:rFonts w:hint="eastAsia" w:ascii="宋体" w:hAnsi="宋体"/>
              </w:rPr>
              <w:t>2/640</w:t>
            </w:r>
          </w:p>
        </w:tc>
        <w:tc>
          <w:tcPr>
            <w:tcW w:w="782" w:type="pct"/>
            <w:vAlign w:val="center"/>
          </w:tcPr>
          <w:p w14:paraId="7BEF91B7">
            <w:pPr>
              <w:pStyle w:val="12"/>
              <w:jc w:val="center"/>
              <w:rPr>
                <w:rFonts w:ascii="宋体" w:hAnsi="宋体"/>
              </w:rPr>
            </w:pPr>
            <w:r>
              <w:rPr>
                <w:rFonts w:hint="eastAsia" w:ascii="宋体" w:hAnsi="宋体"/>
              </w:rPr>
              <w:t>210</w:t>
            </w:r>
          </w:p>
        </w:tc>
        <w:tc>
          <w:tcPr>
            <w:tcW w:w="321" w:type="pct"/>
            <w:vAlign w:val="center"/>
          </w:tcPr>
          <w:p w14:paraId="0BE4E7CA">
            <w:pPr>
              <w:pStyle w:val="12"/>
              <w:jc w:val="center"/>
              <w:rPr>
                <w:rFonts w:ascii="宋体" w:hAnsi="宋体"/>
              </w:rPr>
            </w:pPr>
            <w:r>
              <w:rPr>
                <w:rFonts w:hint="eastAsia" w:ascii="宋体" w:hAnsi="宋体"/>
              </w:rPr>
              <w:t>—</w:t>
            </w:r>
          </w:p>
        </w:tc>
      </w:tr>
      <w:tr w14:paraId="4FE55B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8" w:type="pct"/>
            <w:vAlign w:val="center"/>
          </w:tcPr>
          <w:p w14:paraId="22096E40">
            <w:pPr>
              <w:pStyle w:val="12"/>
              <w:jc w:val="center"/>
              <w:rPr>
                <w:rFonts w:ascii="宋体" w:hAnsi="宋体"/>
              </w:rPr>
            </w:pPr>
            <w:r>
              <w:rPr>
                <w:rFonts w:hint="eastAsia" w:ascii="宋体" w:hAnsi="宋体"/>
              </w:rPr>
              <w:t>4</w:t>
            </w:r>
          </w:p>
        </w:tc>
        <w:tc>
          <w:tcPr>
            <w:tcW w:w="638" w:type="pct"/>
            <w:vAlign w:val="center"/>
          </w:tcPr>
          <w:p w14:paraId="371D9706">
            <w:pPr>
              <w:pStyle w:val="12"/>
              <w:jc w:val="center"/>
              <w:rPr>
                <w:rFonts w:ascii="宋体" w:hAnsi="宋体"/>
              </w:rPr>
            </w:pPr>
            <w:r>
              <w:rPr>
                <w:rFonts w:hint="eastAsia" w:ascii="宋体" w:hAnsi="宋体"/>
              </w:rPr>
              <w:t>桃树江</w:t>
            </w:r>
          </w:p>
        </w:tc>
        <w:tc>
          <w:tcPr>
            <w:tcW w:w="639" w:type="pct"/>
            <w:vAlign w:val="center"/>
          </w:tcPr>
          <w:p w14:paraId="51FF976F">
            <w:pPr>
              <w:pStyle w:val="12"/>
              <w:jc w:val="center"/>
              <w:rPr>
                <w:rFonts w:ascii="宋体" w:hAnsi="宋体"/>
              </w:rPr>
            </w:pPr>
            <w:r>
              <w:rPr>
                <w:rFonts w:hint="eastAsia" w:ascii="宋体" w:hAnsi="宋体"/>
              </w:rPr>
              <w:t>江头镇</w:t>
            </w:r>
          </w:p>
        </w:tc>
        <w:tc>
          <w:tcPr>
            <w:tcW w:w="638" w:type="pct"/>
            <w:vAlign w:val="center"/>
          </w:tcPr>
          <w:p w14:paraId="115B78CD">
            <w:pPr>
              <w:pStyle w:val="12"/>
              <w:jc w:val="center"/>
              <w:rPr>
                <w:rFonts w:ascii="宋体" w:hAnsi="宋体"/>
              </w:rPr>
            </w:pPr>
            <w:r>
              <w:rPr>
                <w:rFonts w:hint="eastAsia" w:ascii="宋体" w:hAnsi="宋体"/>
              </w:rPr>
              <w:t>江头河</w:t>
            </w:r>
          </w:p>
        </w:tc>
        <w:tc>
          <w:tcPr>
            <w:tcW w:w="801" w:type="pct"/>
            <w:vAlign w:val="center"/>
          </w:tcPr>
          <w:p w14:paraId="47912C08">
            <w:pPr>
              <w:pStyle w:val="12"/>
              <w:jc w:val="center"/>
              <w:rPr>
                <w:rFonts w:ascii="宋体" w:hAnsi="宋体"/>
              </w:rPr>
            </w:pPr>
            <w:r>
              <w:rPr>
                <w:rFonts w:hint="eastAsia" w:ascii="宋体" w:hAnsi="宋体"/>
              </w:rPr>
              <w:t>1993年</w:t>
            </w:r>
          </w:p>
        </w:tc>
        <w:tc>
          <w:tcPr>
            <w:tcW w:w="762" w:type="pct"/>
            <w:vAlign w:val="center"/>
          </w:tcPr>
          <w:p w14:paraId="4E58E12C">
            <w:pPr>
              <w:pStyle w:val="12"/>
              <w:jc w:val="center"/>
              <w:rPr>
                <w:rFonts w:ascii="宋体" w:hAnsi="宋体"/>
              </w:rPr>
            </w:pPr>
            <w:r>
              <w:rPr>
                <w:rFonts w:hint="eastAsia" w:ascii="宋体" w:hAnsi="宋体"/>
              </w:rPr>
              <w:t>3/960</w:t>
            </w:r>
          </w:p>
        </w:tc>
        <w:tc>
          <w:tcPr>
            <w:tcW w:w="782" w:type="pct"/>
            <w:vAlign w:val="center"/>
          </w:tcPr>
          <w:p w14:paraId="6C1103EC">
            <w:pPr>
              <w:pStyle w:val="12"/>
              <w:jc w:val="center"/>
              <w:rPr>
                <w:rFonts w:ascii="宋体" w:hAnsi="宋体"/>
              </w:rPr>
            </w:pPr>
            <w:r>
              <w:rPr>
                <w:rFonts w:hint="eastAsia" w:ascii="宋体" w:hAnsi="宋体"/>
              </w:rPr>
              <w:t>272</w:t>
            </w:r>
          </w:p>
        </w:tc>
        <w:tc>
          <w:tcPr>
            <w:tcW w:w="321" w:type="pct"/>
            <w:vAlign w:val="center"/>
          </w:tcPr>
          <w:p w14:paraId="0894D716">
            <w:pPr>
              <w:pStyle w:val="12"/>
              <w:jc w:val="center"/>
              <w:rPr>
                <w:rFonts w:ascii="宋体" w:hAnsi="宋体"/>
              </w:rPr>
            </w:pPr>
            <w:r>
              <w:rPr>
                <w:rFonts w:hint="eastAsia" w:ascii="宋体" w:hAnsi="宋体"/>
              </w:rPr>
              <w:t>—</w:t>
            </w:r>
          </w:p>
        </w:tc>
      </w:tr>
      <w:tr w14:paraId="6F3D58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8" w:type="pct"/>
            <w:vAlign w:val="center"/>
          </w:tcPr>
          <w:p w14:paraId="5D79BC7D">
            <w:pPr>
              <w:pStyle w:val="12"/>
              <w:jc w:val="center"/>
              <w:rPr>
                <w:rFonts w:ascii="宋体" w:hAnsi="宋体"/>
              </w:rPr>
            </w:pPr>
            <w:r>
              <w:rPr>
                <w:rFonts w:hint="eastAsia" w:ascii="宋体" w:hAnsi="宋体"/>
              </w:rPr>
              <w:t>5</w:t>
            </w:r>
          </w:p>
        </w:tc>
        <w:tc>
          <w:tcPr>
            <w:tcW w:w="638" w:type="pct"/>
            <w:vAlign w:val="center"/>
          </w:tcPr>
          <w:p w14:paraId="1AFC9A68">
            <w:pPr>
              <w:pStyle w:val="12"/>
              <w:jc w:val="center"/>
              <w:rPr>
                <w:rFonts w:ascii="宋体" w:hAnsi="宋体"/>
              </w:rPr>
            </w:pPr>
            <w:r>
              <w:rPr>
                <w:rFonts w:hint="eastAsia" w:ascii="宋体" w:hAnsi="宋体"/>
              </w:rPr>
              <w:t>潭溪</w:t>
            </w:r>
          </w:p>
        </w:tc>
        <w:tc>
          <w:tcPr>
            <w:tcW w:w="639" w:type="pct"/>
            <w:vAlign w:val="center"/>
          </w:tcPr>
          <w:p w14:paraId="7646EC66">
            <w:pPr>
              <w:pStyle w:val="12"/>
              <w:jc w:val="center"/>
              <w:rPr>
                <w:rFonts w:ascii="宋体" w:hAnsi="宋体"/>
              </w:rPr>
            </w:pPr>
            <w:r>
              <w:rPr>
                <w:rFonts w:hint="eastAsia" w:ascii="宋体" w:hAnsi="宋体"/>
              </w:rPr>
              <w:t>帽子峰镇</w:t>
            </w:r>
          </w:p>
        </w:tc>
        <w:tc>
          <w:tcPr>
            <w:tcW w:w="638" w:type="pct"/>
            <w:vAlign w:val="center"/>
          </w:tcPr>
          <w:p w14:paraId="5CAB9152">
            <w:pPr>
              <w:pStyle w:val="12"/>
              <w:jc w:val="center"/>
              <w:rPr>
                <w:rFonts w:ascii="宋体" w:hAnsi="宋体"/>
              </w:rPr>
            </w:pPr>
            <w:r>
              <w:rPr>
                <w:rFonts w:hint="eastAsia" w:ascii="宋体" w:hAnsi="宋体"/>
              </w:rPr>
              <w:t>凌江</w:t>
            </w:r>
          </w:p>
        </w:tc>
        <w:tc>
          <w:tcPr>
            <w:tcW w:w="801" w:type="pct"/>
            <w:vAlign w:val="center"/>
          </w:tcPr>
          <w:p w14:paraId="72659E8C">
            <w:pPr>
              <w:pStyle w:val="12"/>
              <w:jc w:val="center"/>
              <w:rPr>
                <w:rFonts w:ascii="宋体" w:hAnsi="宋体"/>
              </w:rPr>
            </w:pPr>
            <w:r>
              <w:rPr>
                <w:rFonts w:hint="eastAsia" w:ascii="宋体" w:hAnsi="宋体"/>
              </w:rPr>
              <w:t>1986年11月</w:t>
            </w:r>
          </w:p>
        </w:tc>
        <w:tc>
          <w:tcPr>
            <w:tcW w:w="762" w:type="pct"/>
            <w:vAlign w:val="center"/>
          </w:tcPr>
          <w:p w14:paraId="4A87C624">
            <w:pPr>
              <w:pStyle w:val="12"/>
              <w:jc w:val="center"/>
              <w:rPr>
                <w:rFonts w:ascii="宋体" w:hAnsi="宋体"/>
              </w:rPr>
            </w:pPr>
            <w:r>
              <w:rPr>
                <w:rFonts w:hint="eastAsia" w:ascii="宋体" w:hAnsi="宋体"/>
              </w:rPr>
              <w:t>3/1200</w:t>
            </w:r>
          </w:p>
        </w:tc>
        <w:tc>
          <w:tcPr>
            <w:tcW w:w="782" w:type="pct"/>
            <w:vAlign w:val="center"/>
          </w:tcPr>
          <w:p w14:paraId="470A9353">
            <w:pPr>
              <w:pStyle w:val="12"/>
              <w:jc w:val="center"/>
              <w:rPr>
                <w:rFonts w:ascii="宋体" w:hAnsi="宋体"/>
              </w:rPr>
            </w:pPr>
            <w:r>
              <w:rPr>
                <w:rFonts w:hint="eastAsia" w:ascii="宋体" w:hAnsi="宋体"/>
              </w:rPr>
              <w:t>512</w:t>
            </w:r>
          </w:p>
        </w:tc>
        <w:tc>
          <w:tcPr>
            <w:tcW w:w="321" w:type="pct"/>
            <w:vAlign w:val="center"/>
          </w:tcPr>
          <w:p w14:paraId="6F6E64DD">
            <w:pPr>
              <w:pStyle w:val="12"/>
              <w:jc w:val="center"/>
              <w:rPr>
                <w:rFonts w:ascii="宋体" w:hAnsi="宋体"/>
              </w:rPr>
            </w:pPr>
            <w:r>
              <w:rPr>
                <w:rFonts w:hint="eastAsia" w:ascii="宋体" w:hAnsi="宋体"/>
              </w:rPr>
              <w:t>—</w:t>
            </w:r>
          </w:p>
        </w:tc>
      </w:tr>
      <w:tr w14:paraId="01CFF4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8" w:type="pct"/>
            <w:vAlign w:val="center"/>
          </w:tcPr>
          <w:p w14:paraId="318B963D">
            <w:pPr>
              <w:pStyle w:val="12"/>
              <w:jc w:val="center"/>
              <w:rPr>
                <w:rFonts w:ascii="宋体" w:hAnsi="宋体"/>
              </w:rPr>
            </w:pPr>
            <w:r>
              <w:rPr>
                <w:rFonts w:hint="eastAsia" w:ascii="宋体" w:hAnsi="宋体"/>
              </w:rPr>
              <w:t>6</w:t>
            </w:r>
          </w:p>
        </w:tc>
        <w:tc>
          <w:tcPr>
            <w:tcW w:w="638" w:type="pct"/>
            <w:vAlign w:val="center"/>
          </w:tcPr>
          <w:p w14:paraId="075E2B8A">
            <w:pPr>
              <w:pStyle w:val="12"/>
              <w:jc w:val="center"/>
              <w:rPr>
                <w:rFonts w:ascii="宋体" w:hAnsi="宋体"/>
              </w:rPr>
            </w:pPr>
            <w:r>
              <w:rPr>
                <w:rFonts w:hint="eastAsia" w:ascii="宋体" w:hAnsi="宋体"/>
              </w:rPr>
              <w:t>外溪</w:t>
            </w:r>
          </w:p>
        </w:tc>
        <w:tc>
          <w:tcPr>
            <w:tcW w:w="639" w:type="pct"/>
            <w:vAlign w:val="center"/>
          </w:tcPr>
          <w:p w14:paraId="6D78EC75">
            <w:pPr>
              <w:pStyle w:val="12"/>
              <w:jc w:val="center"/>
              <w:rPr>
                <w:rFonts w:ascii="宋体" w:hAnsi="宋体"/>
              </w:rPr>
            </w:pPr>
            <w:r>
              <w:rPr>
                <w:rFonts w:hint="eastAsia" w:ascii="宋体" w:hAnsi="宋体"/>
              </w:rPr>
              <w:t>帽子峰镇</w:t>
            </w:r>
          </w:p>
        </w:tc>
        <w:tc>
          <w:tcPr>
            <w:tcW w:w="638" w:type="pct"/>
            <w:vAlign w:val="center"/>
          </w:tcPr>
          <w:p w14:paraId="32F6141A">
            <w:pPr>
              <w:pStyle w:val="12"/>
              <w:jc w:val="center"/>
              <w:rPr>
                <w:rFonts w:ascii="宋体" w:hAnsi="宋体"/>
              </w:rPr>
            </w:pPr>
            <w:r>
              <w:rPr>
                <w:rFonts w:hint="eastAsia" w:ascii="宋体" w:hAnsi="宋体"/>
              </w:rPr>
              <w:t>凌江</w:t>
            </w:r>
          </w:p>
        </w:tc>
        <w:tc>
          <w:tcPr>
            <w:tcW w:w="801" w:type="pct"/>
            <w:vAlign w:val="center"/>
          </w:tcPr>
          <w:p w14:paraId="47B82329">
            <w:pPr>
              <w:pStyle w:val="12"/>
              <w:jc w:val="center"/>
              <w:rPr>
                <w:rFonts w:ascii="宋体" w:hAnsi="宋体"/>
              </w:rPr>
            </w:pPr>
            <w:r>
              <w:rPr>
                <w:rFonts w:hint="eastAsia" w:ascii="宋体" w:hAnsi="宋体"/>
              </w:rPr>
              <w:t>1989年</w:t>
            </w:r>
          </w:p>
        </w:tc>
        <w:tc>
          <w:tcPr>
            <w:tcW w:w="762" w:type="pct"/>
            <w:vAlign w:val="center"/>
          </w:tcPr>
          <w:p w14:paraId="77169160">
            <w:pPr>
              <w:pStyle w:val="12"/>
              <w:jc w:val="center"/>
              <w:rPr>
                <w:rFonts w:ascii="宋体" w:hAnsi="宋体"/>
              </w:rPr>
            </w:pPr>
            <w:r>
              <w:rPr>
                <w:rFonts w:hint="eastAsia" w:ascii="宋体" w:hAnsi="宋体"/>
              </w:rPr>
              <w:t>3/960</w:t>
            </w:r>
          </w:p>
        </w:tc>
        <w:tc>
          <w:tcPr>
            <w:tcW w:w="782" w:type="pct"/>
            <w:vAlign w:val="center"/>
          </w:tcPr>
          <w:p w14:paraId="414DE371">
            <w:pPr>
              <w:pStyle w:val="12"/>
              <w:jc w:val="center"/>
              <w:rPr>
                <w:rFonts w:ascii="宋体" w:hAnsi="宋体"/>
              </w:rPr>
            </w:pPr>
            <w:r>
              <w:rPr>
                <w:rFonts w:hint="eastAsia" w:ascii="宋体" w:hAnsi="宋体"/>
              </w:rPr>
              <w:t>307</w:t>
            </w:r>
          </w:p>
        </w:tc>
        <w:tc>
          <w:tcPr>
            <w:tcW w:w="321" w:type="pct"/>
            <w:vAlign w:val="center"/>
          </w:tcPr>
          <w:p w14:paraId="3E215227">
            <w:pPr>
              <w:pStyle w:val="12"/>
              <w:jc w:val="center"/>
              <w:rPr>
                <w:rFonts w:ascii="宋体" w:hAnsi="宋体"/>
              </w:rPr>
            </w:pPr>
            <w:r>
              <w:rPr>
                <w:rFonts w:hint="eastAsia" w:ascii="宋体" w:hAnsi="宋体"/>
              </w:rPr>
              <w:t>—</w:t>
            </w:r>
          </w:p>
        </w:tc>
      </w:tr>
      <w:tr w14:paraId="3010A2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8" w:type="pct"/>
            <w:vAlign w:val="center"/>
          </w:tcPr>
          <w:p w14:paraId="0957F26A">
            <w:pPr>
              <w:pStyle w:val="12"/>
              <w:jc w:val="center"/>
              <w:rPr>
                <w:rFonts w:ascii="宋体" w:hAnsi="宋体"/>
              </w:rPr>
            </w:pPr>
            <w:r>
              <w:rPr>
                <w:rFonts w:hint="eastAsia" w:ascii="宋体" w:hAnsi="宋体"/>
              </w:rPr>
              <w:t>7</w:t>
            </w:r>
          </w:p>
        </w:tc>
        <w:tc>
          <w:tcPr>
            <w:tcW w:w="638" w:type="pct"/>
            <w:vAlign w:val="center"/>
          </w:tcPr>
          <w:p w14:paraId="46A23808">
            <w:pPr>
              <w:pStyle w:val="12"/>
              <w:jc w:val="center"/>
              <w:rPr>
                <w:rFonts w:ascii="宋体" w:hAnsi="宋体"/>
              </w:rPr>
            </w:pPr>
            <w:r>
              <w:rPr>
                <w:rFonts w:hint="eastAsia" w:ascii="宋体" w:hAnsi="宋体"/>
              </w:rPr>
              <w:t>小流坑</w:t>
            </w:r>
          </w:p>
        </w:tc>
        <w:tc>
          <w:tcPr>
            <w:tcW w:w="639" w:type="pct"/>
            <w:vAlign w:val="center"/>
          </w:tcPr>
          <w:p w14:paraId="17CCCDA5">
            <w:pPr>
              <w:pStyle w:val="12"/>
              <w:jc w:val="center"/>
              <w:rPr>
                <w:rFonts w:ascii="宋体" w:hAnsi="宋体"/>
              </w:rPr>
            </w:pPr>
            <w:r>
              <w:rPr>
                <w:rFonts w:hint="eastAsia" w:ascii="宋体" w:hAnsi="宋体"/>
              </w:rPr>
              <w:t>澜河镇</w:t>
            </w:r>
          </w:p>
        </w:tc>
        <w:tc>
          <w:tcPr>
            <w:tcW w:w="638" w:type="pct"/>
            <w:vAlign w:val="center"/>
          </w:tcPr>
          <w:p w14:paraId="61A800A3">
            <w:pPr>
              <w:pStyle w:val="12"/>
              <w:jc w:val="center"/>
              <w:rPr>
                <w:rFonts w:ascii="宋体" w:hAnsi="宋体"/>
              </w:rPr>
            </w:pPr>
            <w:r>
              <w:rPr>
                <w:rFonts w:hint="eastAsia" w:ascii="宋体" w:hAnsi="宋体"/>
              </w:rPr>
              <w:t>凌江</w:t>
            </w:r>
          </w:p>
        </w:tc>
        <w:tc>
          <w:tcPr>
            <w:tcW w:w="801" w:type="pct"/>
            <w:vAlign w:val="center"/>
          </w:tcPr>
          <w:p w14:paraId="3E0A5760">
            <w:pPr>
              <w:pStyle w:val="12"/>
              <w:jc w:val="center"/>
              <w:rPr>
                <w:rFonts w:ascii="宋体" w:hAnsi="宋体"/>
              </w:rPr>
            </w:pPr>
            <w:r>
              <w:rPr>
                <w:rFonts w:hint="eastAsia" w:ascii="宋体" w:hAnsi="宋体"/>
              </w:rPr>
              <w:t>1980年3月</w:t>
            </w:r>
          </w:p>
        </w:tc>
        <w:tc>
          <w:tcPr>
            <w:tcW w:w="762" w:type="pct"/>
            <w:vAlign w:val="center"/>
          </w:tcPr>
          <w:p w14:paraId="02746AF6">
            <w:pPr>
              <w:pStyle w:val="12"/>
              <w:jc w:val="center"/>
              <w:rPr>
                <w:rFonts w:ascii="宋体" w:hAnsi="宋体"/>
              </w:rPr>
            </w:pPr>
            <w:r>
              <w:rPr>
                <w:rFonts w:hint="eastAsia" w:ascii="宋体" w:hAnsi="宋体"/>
              </w:rPr>
              <w:t>3/960</w:t>
            </w:r>
          </w:p>
        </w:tc>
        <w:tc>
          <w:tcPr>
            <w:tcW w:w="782" w:type="pct"/>
            <w:vAlign w:val="center"/>
          </w:tcPr>
          <w:p w14:paraId="7CF788D4">
            <w:pPr>
              <w:pStyle w:val="12"/>
              <w:jc w:val="center"/>
              <w:rPr>
                <w:rFonts w:ascii="宋体" w:hAnsi="宋体"/>
              </w:rPr>
            </w:pPr>
            <w:r>
              <w:rPr>
                <w:rFonts w:hint="eastAsia" w:ascii="宋体" w:hAnsi="宋体"/>
              </w:rPr>
              <w:t>361</w:t>
            </w:r>
          </w:p>
        </w:tc>
        <w:tc>
          <w:tcPr>
            <w:tcW w:w="321" w:type="pct"/>
            <w:vAlign w:val="center"/>
          </w:tcPr>
          <w:p w14:paraId="522D3FB2">
            <w:pPr>
              <w:pStyle w:val="12"/>
              <w:jc w:val="center"/>
              <w:rPr>
                <w:rFonts w:ascii="宋体" w:hAnsi="宋体"/>
              </w:rPr>
            </w:pPr>
            <w:r>
              <w:rPr>
                <w:rFonts w:hint="eastAsia" w:ascii="宋体" w:hAnsi="宋体"/>
              </w:rPr>
              <w:t>—</w:t>
            </w:r>
          </w:p>
        </w:tc>
      </w:tr>
      <w:tr w14:paraId="27087A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8" w:type="pct"/>
            <w:vAlign w:val="center"/>
          </w:tcPr>
          <w:p w14:paraId="499FCBEF">
            <w:pPr>
              <w:pStyle w:val="12"/>
              <w:jc w:val="center"/>
              <w:rPr>
                <w:rFonts w:ascii="宋体" w:hAnsi="宋体"/>
              </w:rPr>
            </w:pPr>
            <w:r>
              <w:rPr>
                <w:rFonts w:hint="eastAsia" w:ascii="宋体" w:hAnsi="宋体"/>
              </w:rPr>
              <w:t>8</w:t>
            </w:r>
          </w:p>
        </w:tc>
        <w:tc>
          <w:tcPr>
            <w:tcW w:w="638" w:type="pct"/>
            <w:vAlign w:val="center"/>
          </w:tcPr>
          <w:p w14:paraId="6C34639F">
            <w:pPr>
              <w:pStyle w:val="12"/>
              <w:jc w:val="center"/>
              <w:rPr>
                <w:rFonts w:ascii="宋体" w:hAnsi="宋体"/>
              </w:rPr>
            </w:pPr>
            <w:r>
              <w:rPr>
                <w:rFonts w:hint="eastAsia" w:ascii="宋体" w:hAnsi="宋体"/>
              </w:rPr>
              <w:t>高桥</w:t>
            </w:r>
          </w:p>
        </w:tc>
        <w:tc>
          <w:tcPr>
            <w:tcW w:w="639" w:type="pct"/>
            <w:vAlign w:val="center"/>
          </w:tcPr>
          <w:p w14:paraId="1263C59B">
            <w:pPr>
              <w:pStyle w:val="12"/>
              <w:jc w:val="center"/>
              <w:rPr>
                <w:rFonts w:ascii="宋体" w:hAnsi="宋体"/>
              </w:rPr>
            </w:pPr>
            <w:r>
              <w:rPr>
                <w:rFonts w:hint="eastAsia" w:ascii="宋体" w:hAnsi="宋体"/>
              </w:rPr>
              <w:t>澜河镇</w:t>
            </w:r>
          </w:p>
        </w:tc>
        <w:tc>
          <w:tcPr>
            <w:tcW w:w="638" w:type="pct"/>
            <w:vAlign w:val="center"/>
          </w:tcPr>
          <w:p w14:paraId="515FCD3D">
            <w:pPr>
              <w:pStyle w:val="12"/>
              <w:jc w:val="center"/>
              <w:rPr>
                <w:rFonts w:ascii="宋体" w:hAnsi="宋体"/>
              </w:rPr>
            </w:pPr>
            <w:r>
              <w:rPr>
                <w:rFonts w:hint="eastAsia" w:ascii="宋体" w:hAnsi="宋体"/>
              </w:rPr>
              <w:t>凌江</w:t>
            </w:r>
          </w:p>
        </w:tc>
        <w:tc>
          <w:tcPr>
            <w:tcW w:w="801" w:type="pct"/>
            <w:vAlign w:val="center"/>
          </w:tcPr>
          <w:p w14:paraId="28C2FF0B">
            <w:pPr>
              <w:pStyle w:val="12"/>
              <w:jc w:val="center"/>
              <w:rPr>
                <w:rFonts w:ascii="宋体" w:hAnsi="宋体"/>
              </w:rPr>
            </w:pPr>
            <w:r>
              <w:rPr>
                <w:rFonts w:hint="eastAsia" w:ascii="宋体" w:hAnsi="宋体"/>
              </w:rPr>
              <w:t>1984年9月</w:t>
            </w:r>
          </w:p>
        </w:tc>
        <w:tc>
          <w:tcPr>
            <w:tcW w:w="762" w:type="pct"/>
            <w:vAlign w:val="center"/>
          </w:tcPr>
          <w:p w14:paraId="39A14E9D">
            <w:pPr>
              <w:pStyle w:val="12"/>
              <w:jc w:val="center"/>
              <w:rPr>
                <w:rFonts w:ascii="宋体" w:hAnsi="宋体"/>
              </w:rPr>
            </w:pPr>
            <w:r>
              <w:rPr>
                <w:rFonts w:hint="eastAsia" w:ascii="宋体" w:hAnsi="宋体"/>
              </w:rPr>
              <w:t>2/640</w:t>
            </w:r>
          </w:p>
        </w:tc>
        <w:tc>
          <w:tcPr>
            <w:tcW w:w="782" w:type="pct"/>
            <w:vAlign w:val="center"/>
          </w:tcPr>
          <w:p w14:paraId="6C84F534">
            <w:pPr>
              <w:pStyle w:val="12"/>
              <w:jc w:val="center"/>
              <w:rPr>
                <w:rFonts w:ascii="宋体" w:hAnsi="宋体"/>
              </w:rPr>
            </w:pPr>
            <w:r>
              <w:rPr>
                <w:rFonts w:hint="eastAsia" w:ascii="宋体" w:hAnsi="宋体"/>
              </w:rPr>
              <w:t>300</w:t>
            </w:r>
          </w:p>
        </w:tc>
        <w:tc>
          <w:tcPr>
            <w:tcW w:w="321" w:type="pct"/>
            <w:vAlign w:val="center"/>
          </w:tcPr>
          <w:p w14:paraId="649FDBDF">
            <w:pPr>
              <w:pStyle w:val="12"/>
              <w:jc w:val="center"/>
              <w:rPr>
                <w:rFonts w:ascii="宋体" w:hAnsi="宋体"/>
              </w:rPr>
            </w:pPr>
            <w:r>
              <w:rPr>
                <w:rFonts w:hint="eastAsia" w:ascii="宋体" w:hAnsi="宋体"/>
              </w:rPr>
              <w:t>—</w:t>
            </w:r>
          </w:p>
        </w:tc>
      </w:tr>
      <w:tr w14:paraId="69F830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8" w:type="pct"/>
            <w:vAlign w:val="center"/>
          </w:tcPr>
          <w:p w14:paraId="56740640">
            <w:pPr>
              <w:pStyle w:val="12"/>
              <w:jc w:val="center"/>
              <w:rPr>
                <w:rFonts w:ascii="宋体" w:hAnsi="宋体"/>
              </w:rPr>
            </w:pPr>
            <w:r>
              <w:rPr>
                <w:rFonts w:hint="eastAsia" w:ascii="宋体" w:hAnsi="宋体"/>
              </w:rPr>
              <w:t>9</w:t>
            </w:r>
          </w:p>
        </w:tc>
        <w:tc>
          <w:tcPr>
            <w:tcW w:w="638" w:type="pct"/>
            <w:vAlign w:val="center"/>
          </w:tcPr>
          <w:p w14:paraId="0B97540C">
            <w:pPr>
              <w:pStyle w:val="12"/>
              <w:jc w:val="center"/>
              <w:rPr>
                <w:rFonts w:ascii="宋体" w:hAnsi="宋体"/>
              </w:rPr>
            </w:pPr>
            <w:r>
              <w:rPr>
                <w:rFonts w:hint="eastAsia" w:ascii="宋体" w:hAnsi="宋体"/>
              </w:rPr>
              <w:t>龙坑</w:t>
            </w:r>
          </w:p>
        </w:tc>
        <w:tc>
          <w:tcPr>
            <w:tcW w:w="639" w:type="pct"/>
            <w:vAlign w:val="center"/>
          </w:tcPr>
          <w:p w14:paraId="42E26A00">
            <w:pPr>
              <w:pStyle w:val="12"/>
              <w:jc w:val="center"/>
              <w:rPr>
                <w:rFonts w:ascii="宋体" w:hAnsi="宋体"/>
              </w:rPr>
            </w:pPr>
            <w:r>
              <w:rPr>
                <w:rFonts w:hint="eastAsia" w:ascii="宋体" w:hAnsi="宋体"/>
              </w:rPr>
              <w:t>澜河镇</w:t>
            </w:r>
          </w:p>
        </w:tc>
        <w:tc>
          <w:tcPr>
            <w:tcW w:w="638" w:type="pct"/>
            <w:vAlign w:val="center"/>
          </w:tcPr>
          <w:p w14:paraId="1F3030A3">
            <w:pPr>
              <w:pStyle w:val="12"/>
              <w:jc w:val="center"/>
              <w:rPr>
                <w:rFonts w:ascii="宋体" w:hAnsi="宋体"/>
              </w:rPr>
            </w:pPr>
            <w:r>
              <w:rPr>
                <w:rFonts w:hint="eastAsia" w:ascii="宋体" w:hAnsi="宋体"/>
              </w:rPr>
              <w:t>凌江</w:t>
            </w:r>
          </w:p>
        </w:tc>
        <w:tc>
          <w:tcPr>
            <w:tcW w:w="801" w:type="pct"/>
            <w:vAlign w:val="center"/>
          </w:tcPr>
          <w:p w14:paraId="25AE578D">
            <w:pPr>
              <w:pStyle w:val="12"/>
              <w:jc w:val="center"/>
              <w:rPr>
                <w:rFonts w:ascii="宋体" w:hAnsi="宋体"/>
              </w:rPr>
            </w:pPr>
            <w:r>
              <w:rPr>
                <w:rFonts w:hint="eastAsia" w:ascii="宋体" w:hAnsi="宋体"/>
              </w:rPr>
              <w:t>1993年</w:t>
            </w:r>
          </w:p>
        </w:tc>
        <w:tc>
          <w:tcPr>
            <w:tcW w:w="762" w:type="pct"/>
            <w:vAlign w:val="center"/>
          </w:tcPr>
          <w:p w14:paraId="45D0541E">
            <w:pPr>
              <w:pStyle w:val="12"/>
              <w:jc w:val="center"/>
              <w:rPr>
                <w:rFonts w:ascii="宋体" w:hAnsi="宋体"/>
              </w:rPr>
            </w:pPr>
            <w:r>
              <w:rPr>
                <w:rFonts w:hint="eastAsia" w:ascii="宋体" w:hAnsi="宋体"/>
              </w:rPr>
              <w:t>2/320</w:t>
            </w:r>
          </w:p>
        </w:tc>
        <w:tc>
          <w:tcPr>
            <w:tcW w:w="782" w:type="pct"/>
            <w:vAlign w:val="center"/>
          </w:tcPr>
          <w:p w14:paraId="00527034">
            <w:pPr>
              <w:pStyle w:val="12"/>
              <w:jc w:val="center"/>
              <w:rPr>
                <w:rFonts w:ascii="宋体" w:hAnsi="宋体"/>
              </w:rPr>
            </w:pPr>
            <w:r>
              <w:rPr>
                <w:rFonts w:hint="eastAsia" w:ascii="宋体" w:hAnsi="宋体"/>
              </w:rPr>
              <w:t>102</w:t>
            </w:r>
          </w:p>
        </w:tc>
        <w:tc>
          <w:tcPr>
            <w:tcW w:w="321" w:type="pct"/>
            <w:vAlign w:val="center"/>
          </w:tcPr>
          <w:p w14:paraId="30582E5D">
            <w:pPr>
              <w:pStyle w:val="12"/>
              <w:jc w:val="center"/>
              <w:rPr>
                <w:rFonts w:ascii="宋体" w:hAnsi="宋体"/>
              </w:rPr>
            </w:pPr>
            <w:r>
              <w:rPr>
                <w:rFonts w:hint="eastAsia" w:ascii="宋体" w:hAnsi="宋体"/>
              </w:rPr>
              <w:t>—</w:t>
            </w:r>
          </w:p>
        </w:tc>
      </w:tr>
      <w:tr w14:paraId="7F463B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8" w:type="pct"/>
            <w:vAlign w:val="center"/>
          </w:tcPr>
          <w:p w14:paraId="018C259D">
            <w:pPr>
              <w:pStyle w:val="12"/>
              <w:jc w:val="center"/>
              <w:rPr>
                <w:rFonts w:ascii="宋体" w:hAnsi="宋体"/>
              </w:rPr>
            </w:pPr>
            <w:r>
              <w:rPr>
                <w:rFonts w:hint="eastAsia" w:ascii="宋体" w:hAnsi="宋体"/>
              </w:rPr>
              <w:t>10</w:t>
            </w:r>
          </w:p>
        </w:tc>
        <w:tc>
          <w:tcPr>
            <w:tcW w:w="638" w:type="pct"/>
            <w:vAlign w:val="center"/>
          </w:tcPr>
          <w:p w14:paraId="4A1388B0">
            <w:pPr>
              <w:pStyle w:val="12"/>
              <w:jc w:val="center"/>
              <w:rPr>
                <w:rFonts w:ascii="宋体" w:hAnsi="宋体"/>
              </w:rPr>
            </w:pPr>
            <w:r>
              <w:rPr>
                <w:rFonts w:hint="eastAsia" w:ascii="宋体" w:hAnsi="宋体"/>
              </w:rPr>
              <w:t>上澜</w:t>
            </w:r>
          </w:p>
        </w:tc>
        <w:tc>
          <w:tcPr>
            <w:tcW w:w="639" w:type="pct"/>
            <w:vAlign w:val="center"/>
          </w:tcPr>
          <w:p w14:paraId="078E857B">
            <w:pPr>
              <w:pStyle w:val="12"/>
              <w:jc w:val="center"/>
              <w:rPr>
                <w:rFonts w:ascii="宋体" w:hAnsi="宋体"/>
              </w:rPr>
            </w:pPr>
            <w:r>
              <w:rPr>
                <w:rFonts w:hint="eastAsia" w:ascii="宋体" w:hAnsi="宋体"/>
              </w:rPr>
              <w:t>澜河镇</w:t>
            </w:r>
          </w:p>
        </w:tc>
        <w:tc>
          <w:tcPr>
            <w:tcW w:w="638" w:type="pct"/>
            <w:vAlign w:val="center"/>
          </w:tcPr>
          <w:p w14:paraId="339ED4EA">
            <w:pPr>
              <w:pStyle w:val="12"/>
              <w:jc w:val="center"/>
              <w:rPr>
                <w:rFonts w:ascii="宋体" w:hAnsi="宋体"/>
              </w:rPr>
            </w:pPr>
            <w:r>
              <w:rPr>
                <w:rFonts w:hint="eastAsia" w:ascii="宋体" w:hAnsi="宋体"/>
              </w:rPr>
              <w:t>凌江</w:t>
            </w:r>
          </w:p>
        </w:tc>
        <w:tc>
          <w:tcPr>
            <w:tcW w:w="801" w:type="pct"/>
            <w:vAlign w:val="center"/>
          </w:tcPr>
          <w:p w14:paraId="12A90280">
            <w:pPr>
              <w:pStyle w:val="12"/>
              <w:jc w:val="center"/>
              <w:rPr>
                <w:rFonts w:ascii="宋体" w:hAnsi="宋体"/>
              </w:rPr>
            </w:pPr>
            <w:r>
              <w:rPr>
                <w:rFonts w:hint="eastAsia" w:ascii="宋体" w:hAnsi="宋体"/>
              </w:rPr>
              <w:t>1993年</w:t>
            </w:r>
          </w:p>
        </w:tc>
        <w:tc>
          <w:tcPr>
            <w:tcW w:w="762" w:type="pct"/>
            <w:vAlign w:val="center"/>
          </w:tcPr>
          <w:p w14:paraId="5A174990">
            <w:pPr>
              <w:pStyle w:val="12"/>
              <w:jc w:val="center"/>
              <w:rPr>
                <w:rFonts w:ascii="宋体" w:hAnsi="宋体"/>
              </w:rPr>
            </w:pPr>
            <w:r>
              <w:rPr>
                <w:rFonts w:hint="eastAsia" w:ascii="宋体" w:hAnsi="宋体"/>
              </w:rPr>
              <w:t>2/200</w:t>
            </w:r>
          </w:p>
        </w:tc>
        <w:tc>
          <w:tcPr>
            <w:tcW w:w="782" w:type="pct"/>
            <w:vAlign w:val="center"/>
          </w:tcPr>
          <w:p w14:paraId="364101A9">
            <w:pPr>
              <w:pStyle w:val="12"/>
              <w:jc w:val="center"/>
              <w:rPr>
                <w:rFonts w:ascii="宋体" w:hAnsi="宋体"/>
              </w:rPr>
            </w:pPr>
            <w:r>
              <w:rPr>
                <w:rFonts w:hint="eastAsia" w:ascii="宋体" w:hAnsi="宋体"/>
              </w:rPr>
              <w:t>53</w:t>
            </w:r>
          </w:p>
        </w:tc>
        <w:tc>
          <w:tcPr>
            <w:tcW w:w="321" w:type="pct"/>
            <w:vAlign w:val="center"/>
          </w:tcPr>
          <w:p w14:paraId="2D4616D0">
            <w:pPr>
              <w:pStyle w:val="12"/>
              <w:jc w:val="center"/>
              <w:rPr>
                <w:rFonts w:ascii="宋体" w:hAnsi="宋体"/>
              </w:rPr>
            </w:pPr>
            <w:r>
              <w:rPr>
                <w:rFonts w:hint="eastAsia" w:ascii="宋体" w:hAnsi="宋体"/>
              </w:rPr>
              <w:t>—</w:t>
            </w:r>
          </w:p>
        </w:tc>
      </w:tr>
      <w:tr w14:paraId="04BE45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8" w:type="pct"/>
            <w:vAlign w:val="center"/>
          </w:tcPr>
          <w:p w14:paraId="69EED457">
            <w:pPr>
              <w:pStyle w:val="12"/>
              <w:jc w:val="center"/>
              <w:rPr>
                <w:rFonts w:ascii="宋体" w:hAnsi="宋体"/>
              </w:rPr>
            </w:pPr>
            <w:r>
              <w:rPr>
                <w:rFonts w:hint="eastAsia" w:ascii="宋体" w:hAnsi="宋体"/>
              </w:rPr>
              <w:t>11</w:t>
            </w:r>
          </w:p>
        </w:tc>
        <w:tc>
          <w:tcPr>
            <w:tcW w:w="638" w:type="pct"/>
            <w:vAlign w:val="center"/>
          </w:tcPr>
          <w:p w14:paraId="32607A95">
            <w:pPr>
              <w:pStyle w:val="12"/>
              <w:jc w:val="center"/>
              <w:rPr>
                <w:rFonts w:ascii="宋体" w:hAnsi="宋体"/>
              </w:rPr>
            </w:pPr>
            <w:r>
              <w:rPr>
                <w:rFonts w:hint="eastAsia" w:ascii="宋体" w:hAnsi="宋体"/>
              </w:rPr>
              <w:t>深坑</w:t>
            </w:r>
          </w:p>
        </w:tc>
        <w:tc>
          <w:tcPr>
            <w:tcW w:w="639" w:type="pct"/>
            <w:vAlign w:val="center"/>
          </w:tcPr>
          <w:p w14:paraId="0AC835EE">
            <w:pPr>
              <w:pStyle w:val="12"/>
              <w:jc w:val="center"/>
              <w:rPr>
                <w:rFonts w:ascii="宋体" w:hAnsi="宋体"/>
              </w:rPr>
            </w:pPr>
            <w:r>
              <w:rPr>
                <w:rFonts w:hint="eastAsia" w:ascii="宋体" w:hAnsi="宋体"/>
              </w:rPr>
              <w:t>全安镇</w:t>
            </w:r>
          </w:p>
        </w:tc>
        <w:tc>
          <w:tcPr>
            <w:tcW w:w="638" w:type="pct"/>
            <w:vAlign w:val="center"/>
          </w:tcPr>
          <w:p w14:paraId="1FA16D65">
            <w:pPr>
              <w:pStyle w:val="12"/>
              <w:jc w:val="center"/>
              <w:rPr>
                <w:rFonts w:ascii="宋体" w:hAnsi="宋体"/>
              </w:rPr>
            </w:pPr>
            <w:r>
              <w:rPr>
                <w:rFonts w:hint="eastAsia" w:ascii="宋体" w:hAnsi="宋体"/>
              </w:rPr>
              <w:t>溪头</w:t>
            </w:r>
          </w:p>
        </w:tc>
        <w:tc>
          <w:tcPr>
            <w:tcW w:w="801" w:type="pct"/>
            <w:vAlign w:val="center"/>
          </w:tcPr>
          <w:p w14:paraId="5859902D">
            <w:pPr>
              <w:pStyle w:val="12"/>
              <w:jc w:val="center"/>
              <w:rPr>
                <w:rFonts w:ascii="宋体" w:hAnsi="宋体"/>
              </w:rPr>
            </w:pPr>
            <w:r>
              <w:rPr>
                <w:rFonts w:hint="eastAsia" w:ascii="宋体" w:hAnsi="宋体"/>
              </w:rPr>
              <w:t>1999年</w:t>
            </w:r>
          </w:p>
        </w:tc>
        <w:tc>
          <w:tcPr>
            <w:tcW w:w="762" w:type="pct"/>
            <w:vAlign w:val="center"/>
          </w:tcPr>
          <w:p w14:paraId="077671E1">
            <w:pPr>
              <w:pStyle w:val="12"/>
              <w:jc w:val="center"/>
              <w:rPr>
                <w:rFonts w:ascii="宋体" w:hAnsi="宋体"/>
              </w:rPr>
            </w:pPr>
            <w:r>
              <w:rPr>
                <w:rFonts w:hint="eastAsia" w:ascii="宋体" w:hAnsi="宋体"/>
              </w:rPr>
              <w:t>2/400</w:t>
            </w:r>
          </w:p>
        </w:tc>
        <w:tc>
          <w:tcPr>
            <w:tcW w:w="782" w:type="pct"/>
            <w:vAlign w:val="center"/>
          </w:tcPr>
          <w:p w14:paraId="67B9576A">
            <w:pPr>
              <w:pStyle w:val="12"/>
              <w:jc w:val="center"/>
              <w:rPr>
                <w:rFonts w:ascii="宋体" w:hAnsi="宋体"/>
              </w:rPr>
            </w:pPr>
            <w:r>
              <w:rPr>
                <w:rFonts w:hint="eastAsia" w:ascii="宋体" w:hAnsi="宋体"/>
              </w:rPr>
              <w:t>176</w:t>
            </w:r>
          </w:p>
        </w:tc>
        <w:tc>
          <w:tcPr>
            <w:tcW w:w="321" w:type="pct"/>
            <w:vAlign w:val="center"/>
          </w:tcPr>
          <w:p w14:paraId="1C933AE1">
            <w:pPr>
              <w:pStyle w:val="12"/>
              <w:jc w:val="center"/>
              <w:rPr>
                <w:rFonts w:ascii="宋体" w:hAnsi="宋体"/>
              </w:rPr>
            </w:pPr>
            <w:r>
              <w:rPr>
                <w:rFonts w:hint="eastAsia" w:ascii="宋体" w:hAnsi="宋体"/>
              </w:rPr>
              <w:t>—</w:t>
            </w:r>
          </w:p>
        </w:tc>
      </w:tr>
      <w:tr w14:paraId="52C6C2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8" w:type="pct"/>
            <w:vAlign w:val="center"/>
          </w:tcPr>
          <w:p w14:paraId="6031F930">
            <w:pPr>
              <w:pStyle w:val="12"/>
              <w:jc w:val="center"/>
              <w:rPr>
                <w:rFonts w:ascii="宋体" w:hAnsi="宋体"/>
              </w:rPr>
            </w:pPr>
            <w:r>
              <w:rPr>
                <w:rFonts w:hint="eastAsia" w:ascii="宋体" w:hAnsi="宋体"/>
              </w:rPr>
              <w:t>12</w:t>
            </w:r>
          </w:p>
        </w:tc>
        <w:tc>
          <w:tcPr>
            <w:tcW w:w="638" w:type="pct"/>
            <w:vAlign w:val="center"/>
          </w:tcPr>
          <w:p w14:paraId="761DAC96">
            <w:pPr>
              <w:pStyle w:val="12"/>
              <w:jc w:val="center"/>
              <w:rPr>
                <w:rFonts w:ascii="宋体" w:hAnsi="宋体"/>
              </w:rPr>
            </w:pPr>
            <w:r>
              <w:rPr>
                <w:rFonts w:hint="eastAsia" w:ascii="宋体" w:hAnsi="宋体"/>
              </w:rPr>
              <w:t>兰溪</w:t>
            </w:r>
          </w:p>
        </w:tc>
        <w:tc>
          <w:tcPr>
            <w:tcW w:w="639" w:type="pct"/>
            <w:vAlign w:val="center"/>
          </w:tcPr>
          <w:p w14:paraId="24C1D3D8">
            <w:pPr>
              <w:pStyle w:val="12"/>
              <w:jc w:val="center"/>
              <w:rPr>
                <w:rFonts w:ascii="宋体" w:hAnsi="宋体"/>
              </w:rPr>
            </w:pPr>
            <w:r>
              <w:rPr>
                <w:rFonts w:hint="eastAsia" w:ascii="宋体" w:hAnsi="宋体"/>
              </w:rPr>
              <w:t>全安镇</w:t>
            </w:r>
          </w:p>
        </w:tc>
        <w:tc>
          <w:tcPr>
            <w:tcW w:w="638" w:type="pct"/>
            <w:vAlign w:val="center"/>
          </w:tcPr>
          <w:p w14:paraId="6AF656CF">
            <w:pPr>
              <w:pStyle w:val="12"/>
              <w:jc w:val="center"/>
              <w:rPr>
                <w:rFonts w:ascii="宋体" w:hAnsi="宋体"/>
              </w:rPr>
            </w:pPr>
            <w:r>
              <w:rPr>
                <w:rFonts w:hint="eastAsia" w:ascii="宋体" w:hAnsi="宋体"/>
              </w:rPr>
              <w:t>溪头</w:t>
            </w:r>
          </w:p>
        </w:tc>
        <w:tc>
          <w:tcPr>
            <w:tcW w:w="801" w:type="pct"/>
            <w:vAlign w:val="center"/>
          </w:tcPr>
          <w:p w14:paraId="2534BF37">
            <w:pPr>
              <w:pStyle w:val="12"/>
              <w:jc w:val="center"/>
              <w:rPr>
                <w:rFonts w:ascii="宋体" w:hAnsi="宋体"/>
              </w:rPr>
            </w:pPr>
            <w:r>
              <w:rPr>
                <w:rFonts w:hint="eastAsia" w:ascii="宋体" w:hAnsi="宋体"/>
              </w:rPr>
              <w:t>1999年</w:t>
            </w:r>
          </w:p>
        </w:tc>
        <w:tc>
          <w:tcPr>
            <w:tcW w:w="762" w:type="pct"/>
            <w:vAlign w:val="center"/>
          </w:tcPr>
          <w:p w14:paraId="51AE5AC6">
            <w:pPr>
              <w:pStyle w:val="12"/>
              <w:jc w:val="center"/>
              <w:rPr>
                <w:rFonts w:ascii="宋体" w:hAnsi="宋体"/>
              </w:rPr>
            </w:pPr>
            <w:r>
              <w:rPr>
                <w:rFonts w:hint="eastAsia" w:ascii="宋体" w:hAnsi="宋体"/>
              </w:rPr>
              <w:t>2/640</w:t>
            </w:r>
          </w:p>
        </w:tc>
        <w:tc>
          <w:tcPr>
            <w:tcW w:w="782" w:type="pct"/>
            <w:vAlign w:val="center"/>
          </w:tcPr>
          <w:p w14:paraId="7F75ADBB">
            <w:pPr>
              <w:pStyle w:val="12"/>
              <w:jc w:val="center"/>
              <w:rPr>
                <w:rFonts w:ascii="宋体" w:hAnsi="宋体"/>
              </w:rPr>
            </w:pPr>
            <w:r>
              <w:rPr>
                <w:rFonts w:hint="eastAsia" w:ascii="宋体" w:hAnsi="宋体"/>
              </w:rPr>
              <w:t>320</w:t>
            </w:r>
          </w:p>
        </w:tc>
        <w:tc>
          <w:tcPr>
            <w:tcW w:w="321" w:type="pct"/>
            <w:vAlign w:val="center"/>
          </w:tcPr>
          <w:p w14:paraId="2D5EFB7C">
            <w:pPr>
              <w:pStyle w:val="12"/>
              <w:jc w:val="center"/>
              <w:rPr>
                <w:rFonts w:ascii="宋体" w:hAnsi="宋体"/>
              </w:rPr>
            </w:pPr>
            <w:r>
              <w:rPr>
                <w:rFonts w:hint="eastAsia" w:ascii="宋体" w:hAnsi="宋体"/>
              </w:rPr>
              <w:t>—</w:t>
            </w:r>
          </w:p>
        </w:tc>
      </w:tr>
      <w:tr w14:paraId="2661D4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8" w:type="pct"/>
            <w:vAlign w:val="center"/>
          </w:tcPr>
          <w:p w14:paraId="5BF0AD36">
            <w:pPr>
              <w:pStyle w:val="12"/>
              <w:jc w:val="center"/>
              <w:rPr>
                <w:rFonts w:ascii="宋体" w:hAnsi="宋体"/>
              </w:rPr>
            </w:pPr>
            <w:r>
              <w:rPr>
                <w:rFonts w:hint="eastAsia" w:ascii="宋体" w:hAnsi="宋体"/>
              </w:rPr>
              <w:t>13</w:t>
            </w:r>
          </w:p>
        </w:tc>
        <w:tc>
          <w:tcPr>
            <w:tcW w:w="638" w:type="pct"/>
            <w:vAlign w:val="center"/>
          </w:tcPr>
          <w:p w14:paraId="3AF66471">
            <w:pPr>
              <w:pStyle w:val="12"/>
              <w:jc w:val="center"/>
              <w:rPr>
                <w:rFonts w:ascii="宋体" w:hAnsi="宋体"/>
              </w:rPr>
            </w:pPr>
            <w:r>
              <w:rPr>
                <w:rFonts w:hint="eastAsia" w:ascii="宋体" w:hAnsi="宋体"/>
              </w:rPr>
              <w:t>冷水坑</w:t>
            </w:r>
          </w:p>
        </w:tc>
        <w:tc>
          <w:tcPr>
            <w:tcW w:w="639" w:type="pct"/>
            <w:vAlign w:val="center"/>
          </w:tcPr>
          <w:p w14:paraId="244A1420">
            <w:pPr>
              <w:pStyle w:val="12"/>
              <w:jc w:val="center"/>
              <w:rPr>
                <w:rFonts w:ascii="宋体" w:hAnsi="宋体"/>
              </w:rPr>
            </w:pPr>
            <w:r>
              <w:rPr>
                <w:rFonts w:hint="eastAsia" w:ascii="宋体" w:hAnsi="宋体"/>
              </w:rPr>
              <w:t>全安镇</w:t>
            </w:r>
          </w:p>
        </w:tc>
        <w:tc>
          <w:tcPr>
            <w:tcW w:w="638" w:type="pct"/>
            <w:vAlign w:val="center"/>
          </w:tcPr>
          <w:p w14:paraId="64150E46">
            <w:pPr>
              <w:pStyle w:val="12"/>
              <w:jc w:val="center"/>
              <w:rPr>
                <w:rFonts w:ascii="宋体" w:hAnsi="宋体"/>
              </w:rPr>
            </w:pPr>
            <w:r>
              <w:rPr>
                <w:rFonts w:hint="eastAsia" w:ascii="宋体" w:hAnsi="宋体"/>
              </w:rPr>
              <w:t>溪头</w:t>
            </w:r>
          </w:p>
        </w:tc>
        <w:tc>
          <w:tcPr>
            <w:tcW w:w="801" w:type="pct"/>
            <w:vAlign w:val="center"/>
          </w:tcPr>
          <w:p w14:paraId="18F0EE6A">
            <w:pPr>
              <w:pStyle w:val="12"/>
              <w:jc w:val="center"/>
              <w:rPr>
                <w:rFonts w:ascii="宋体" w:hAnsi="宋体"/>
              </w:rPr>
            </w:pPr>
            <w:r>
              <w:rPr>
                <w:rFonts w:hint="eastAsia" w:ascii="宋体" w:hAnsi="宋体"/>
              </w:rPr>
              <w:t>1999年</w:t>
            </w:r>
          </w:p>
        </w:tc>
        <w:tc>
          <w:tcPr>
            <w:tcW w:w="762" w:type="pct"/>
            <w:vAlign w:val="center"/>
          </w:tcPr>
          <w:p w14:paraId="60CFAA79">
            <w:pPr>
              <w:pStyle w:val="12"/>
              <w:jc w:val="center"/>
              <w:rPr>
                <w:rFonts w:ascii="宋体" w:hAnsi="宋体"/>
              </w:rPr>
            </w:pPr>
            <w:r>
              <w:rPr>
                <w:rFonts w:hint="eastAsia" w:ascii="宋体" w:hAnsi="宋体"/>
              </w:rPr>
              <w:t>250+160</w:t>
            </w:r>
          </w:p>
        </w:tc>
        <w:tc>
          <w:tcPr>
            <w:tcW w:w="782" w:type="pct"/>
            <w:vAlign w:val="center"/>
          </w:tcPr>
          <w:p w14:paraId="196A1B11">
            <w:pPr>
              <w:pStyle w:val="12"/>
              <w:jc w:val="center"/>
              <w:rPr>
                <w:rFonts w:ascii="宋体" w:hAnsi="宋体"/>
              </w:rPr>
            </w:pPr>
            <w:r>
              <w:rPr>
                <w:rFonts w:hint="eastAsia" w:ascii="宋体" w:hAnsi="宋体"/>
              </w:rPr>
              <w:t>180</w:t>
            </w:r>
          </w:p>
        </w:tc>
        <w:tc>
          <w:tcPr>
            <w:tcW w:w="321" w:type="pct"/>
            <w:vAlign w:val="center"/>
          </w:tcPr>
          <w:p w14:paraId="4628831D">
            <w:pPr>
              <w:pStyle w:val="12"/>
              <w:jc w:val="center"/>
              <w:rPr>
                <w:rFonts w:ascii="宋体" w:hAnsi="宋体"/>
              </w:rPr>
            </w:pPr>
            <w:r>
              <w:rPr>
                <w:rFonts w:hint="eastAsia" w:ascii="宋体" w:hAnsi="宋体"/>
              </w:rPr>
              <w:t>—</w:t>
            </w:r>
          </w:p>
        </w:tc>
      </w:tr>
      <w:tr w14:paraId="244DD4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8" w:type="pct"/>
            <w:vAlign w:val="center"/>
          </w:tcPr>
          <w:p w14:paraId="21D6356E">
            <w:pPr>
              <w:pStyle w:val="12"/>
              <w:jc w:val="center"/>
              <w:rPr>
                <w:rFonts w:ascii="宋体" w:hAnsi="宋体"/>
              </w:rPr>
            </w:pPr>
            <w:r>
              <w:rPr>
                <w:rFonts w:hint="eastAsia" w:ascii="宋体" w:hAnsi="宋体"/>
              </w:rPr>
              <w:t>14</w:t>
            </w:r>
          </w:p>
        </w:tc>
        <w:tc>
          <w:tcPr>
            <w:tcW w:w="638" w:type="pct"/>
            <w:vAlign w:val="center"/>
          </w:tcPr>
          <w:p w14:paraId="64917EF1">
            <w:pPr>
              <w:pStyle w:val="12"/>
              <w:jc w:val="center"/>
              <w:rPr>
                <w:rFonts w:ascii="宋体" w:hAnsi="宋体"/>
              </w:rPr>
            </w:pPr>
            <w:r>
              <w:rPr>
                <w:rFonts w:hint="eastAsia" w:ascii="宋体" w:hAnsi="宋体"/>
              </w:rPr>
              <w:t>大坪</w:t>
            </w:r>
          </w:p>
        </w:tc>
        <w:tc>
          <w:tcPr>
            <w:tcW w:w="639" w:type="pct"/>
            <w:vAlign w:val="center"/>
          </w:tcPr>
          <w:p w14:paraId="318B7097">
            <w:pPr>
              <w:pStyle w:val="12"/>
              <w:jc w:val="center"/>
              <w:rPr>
                <w:rFonts w:ascii="宋体" w:hAnsi="宋体"/>
              </w:rPr>
            </w:pPr>
            <w:r>
              <w:rPr>
                <w:rFonts w:hint="eastAsia" w:ascii="宋体" w:hAnsi="宋体"/>
              </w:rPr>
              <w:t>全安镇</w:t>
            </w:r>
          </w:p>
        </w:tc>
        <w:tc>
          <w:tcPr>
            <w:tcW w:w="638" w:type="pct"/>
            <w:vAlign w:val="center"/>
          </w:tcPr>
          <w:p w14:paraId="38F165B8">
            <w:pPr>
              <w:pStyle w:val="12"/>
              <w:jc w:val="center"/>
              <w:rPr>
                <w:rFonts w:ascii="宋体" w:hAnsi="宋体"/>
              </w:rPr>
            </w:pPr>
            <w:r>
              <w:rPr>
                <w:rFonts w:hint="eastAsia" w:ascii="宋体" w:hAnsi="宋体"/>
              </w:rPr>
              <w:t>大坪水</w:t>
            </w:r>
          </w:p>
        </w:tc>
        <w:tc>
          <w:tcPr>
            <w:tcW w:w="801" w:type="pct"/>
            <w:vAlign w:val="center"/>
          </w:tcPr>
          <w:p w14:paraId="77CBE110">
            <w:pPr>
              <w:pStyle w:val="12"/>
              <w:jc w:val="center"/>
              <w:rPr>
                <w:rFonts w:ascii="宋体" w:hAnsi="宋体"/>
              </w:rPr>
            </w:pPr>
            <w:r>
              <w:rPr>
                <w:rFonts w:hint="eastAsia" w:ascii="宋体" w:hAnsi="宋体"/>
              </w:rPr>
              <w:t>1989年</w:t>
            </w:r>
          </w:p>
        </w:tc>
        <w:tc>
          <w:tcPr>
            <w:tcW w:w="762" w:type="pct"/>
            <w:vAlign w:val="center"/>
          </w:tcPr>
          <w:p w14:paraId="1F25591D">
            <w:pPr>
              <w:pStyle w:val="12"/>
              <w:jc w:val="center"/>
              <w:rPr>
                <w:rFonts w:ascii="宋体" w:hAnsi="宋体"/>
              </w:rPr>
            </w:pPr>
            <w:r>
              <w:rPr>
                <w:rFonts w:hint="eastAsia" w:ascii="宋体" w:hAnsi="宋体"/>
              </w:rPr>
              <w:t>2/200</w:t>
            </w:r>
          </w:p>
        </w:tc>
        <w:tc>
          <w:tcPr>
            <w:tcW w:w="782" w:type="pct"/>
            <w:vAlign w:val="center"/>
          </w:tcPr>
          <w:p w14:paraId="3C747FFD">
            <w:pPr>
              <w:pStyle w:val="12"/>
              <w:jc w:val="center"/>
              <w:rPr>
                <w:rFonts w:ascii="宋体" w:hAnsi="宋体"/>
              </w:rPr>
            </w:pPr>
            <w:r>
              <w:rPr>
                <w:rFonts w:hint="eastAsia" w:ascii="宋体" w:hAnsi="宋体"/>
              </w:rPr>
              <w:t>65</w:t>
            </w:r>
          </w:p>
        </w:tc>
        <w:tc>
          <w:tcPr>
            <w:tcW w:w="321" w:type="pct"/>
            <w:vAlign w:val="center"/>
          </w:tcPr>
          <w:p w14:paraId="6A06BAF9">
            <w:pPr>
              <w:pStyle w:val="12"/>
              <w:jc w:val="center"/>
              <w:rPr>
                <w:rFonts w:ascii="宋体" w:hAnsi="宋体"/>
              </w:rPr>
            </w:pPr>
            <w:r>
              <w:rPr>
                <w:rFonts w:hint="eastAsia" w:ascii="宋体" w:hAnsi="宋体"/>
              </w:rPr>
              <w:t>—</w:t>
            </w:r>
          </w:p>
        </w:tc>
      </w:tr>
      <w:tr w14:paraId="5F0A98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8" w:type="pct"/>
            <w:vAlign w:val="center"/>
          </w:tcPr>
          <w:p w14:paraId="1642F10A">
            <w:pPr>
              <w:pStyle w:val="12"/>
              <w:jc w:val="center"/>
              <w:rPr>
                <w:rFonts w:ascii="宋体" w:hAnsi="宋体"/>
              </w:rPr>
            </w:pPr>
            <w:r>
              <w:rPr>
                <w:rFonts w:hint="eastAsia" w:ascii="宋体" w:hAnsi="宋体"/>
              </w:rPr>
              <w:t>15</w:t>
            </w:r>
          </w:p>
        </w:tc>
        <w:tc>
          <w:tcPr>
            <w:tcW w:w="638" w:type="pct"/>
            <w:vAlign w:val="center"/>
          </w:tcPr>
          <w:p w14:paraId="360D1978">
            <w:pPr>
              <w:pStyle w:val="12"/>
              <w:jc w:val="center"/>
              <w:rPr>
                <w:rFonts w:ascii="宋体" w:hAnsi="宋体"/>
              </w:rPr>
            </w:pPr>
            <w:r>
              <w:rPr>
                <w:rFonts w:hint="eastAsia" w:ascii="宋体" w:hAnsi="宋体"/>
              </w:rPr>
              <w:t>龙华山</w:t>
            </w:r>
          </w:p>
        </w:tc>
        <w:tc>
          <w:tcPr>
            <w:tcW w:w="639" w:type="pct"/>
            <w:vAlign w:val="center"/>
          </w:tcPr>
          <w:p w14:paraId="78414A35">
            <w:pPr>
              <w:pStyle w:val="12"/>
              <w:jc w:val="center"/>
              <w:rPr>
                <w:rFonts w:ascii="宋体" w:hAnsi="宋体"/>
              </w:rPr>
            </w:pPr>
            <w:r>
              <w:rPr>
                <w:rFonts w:hint="eastAsia" w:ascii="宋体" w:hAnsi="宋体"/>
              </w:rPr>
              <w:t>全安镇</w:t>
            </w:r>
          </w:p>
        </w:tc>
        <w:tc>
          <w:tcPr>
            <w:tcW w:w="638" w:type="pct"/>
            <w:vAlign w:val="center"/>
          </w:tcPr>
          <w:p w14:paraId="508D51F9">
            <w:pPr>
              <w:pStyle w:val="12"/>
              <w:jc w:val="center"/>
              <w:rPr>
                <w:rFonts w:ascii="宋体" w:hAnsi="宋体"/>
              </w:rPr>
            </w:pPr>
            <w:r>
              <w:rPr>
                <w:rFonts w:hint="eastAsia" w:ascii="宋体" w:hAnsi="宋体"/>
              </w:rPr>
              <w:t>大坪水</w:t>
            </w:r>
          </w:p>
        </w:tc>
        <w:tc>
          <w:tcPr>
            <w:tcW w:w="801" w:type="pct"/>
            <w:vAlign w:val="center"/>
          </w:tcPr>
          <w:p w14:paraId="5965F7DC">
            <w:pPr>
              <w:pStyle w:val="12"/>
              <w:jc w:val="center"/>
              <w:rPr>
                <w:rFonts w:ascii="宋体" w:hAnsi="宋体"/>
              </w:rPr>
            </w:pPr>
            <w:r>
              <w:rPr>
                <w:rFonts w:hint="eastAsia" w:ascii="宋体" w:hAnsi="宋体"/>
              </w:rPr>
              <w:t>1993年</w:t>
            </w:r>
          </w:p>
        </w:tc>
        <w:tc>
          <w:tcPr>
            <w:tcW w:w="762" w:type="pct"/>
            <w:vAlign w:val="center"/>
          </w:tcPr>
          <w:p w14:paraId="521751A3">
            <w:pPr>
              <w:pStyle w:val="12"/>
              <w:jc w:val="center"/>
              <w:rPr>
                <w:rFonts w:ascii="宋体" w:hAnsi="宋体"/>
              </w:rPr>
            </w:pPr>
            <w:r>
              <w:rPr>
                <w:rFonts w:hint="eastAsia" w:ascii="宋体" w:hAnsi="宋体"/>
              </w:rPr>
              <w:t>160+75</w:t>
            </w:r>
          </w:p>
        </w:tc>
        <w:tc>
          <w:tcPr>
            <w:tcW w:w="782" w:type="pct"/>
            <w:vAlign w:val="center"/>
          </w:tcPr>
          <w:p w14:paraId="2B588F16">
            <w:pPr>
              <w:pStyle w:val="12"/>
              <w:jc w:val="center"/>
              <w:rPr>
                <w:rFonts w:ascii="宋体" w:hAnsi="宋体"/>
              </w:rPr>
            </w:pPr>
            <w:r>
              <w:rPr>
                <w:rFonts w:hint="eastAsia" w:ascii="宋体" w:hAnsi="宋体"/>
              </w:rPr>
              <w:t>55</w:t>
            </w:r>
          </w:p>
        </w:tc>
        <w:tc>
          <w:tcPr>
            <w:tcW w:w="321" w:type="pct"/>
            <w:vAlign w:val="center"/>
          </w:tcPr>
          <w:p w14:paraId="52C9536D">
            <w:pPr>
              <w:pStyle w:val="12"/>
              <w:jc w:val="center"/>
              <w:rPr>
                <w:rFonts w:ascii="宋体" w:hAnsi="宋体"/>
              </w:rPr>
            </w:pPr>
            <w:r>
              <w:rPr>
                <w:rFonts w:hint="eastAsia" w:ascii="宋体" w:hAnsi="宋体"/>
              </w:rPr>
              <w:t>—</w:t>
            </w:r>
          </w:p>
        </w:tc>
      </w:tr>
      <w:tr w14:paraId="38BEC3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8" w:type="pct"/>
            <w:vAlign w:val="center"/>
          </w:tcPr>
          <w:p w14:paraId="3A771AB9">
            <w:pPr>
              <w:pStyle w:val="12"/>
              <w:jc w:val="center"/>
              <w:rPr>
                <w:rFonts w:ascii="宋体" w:hAnsi="宋体"/>
              </w:rPr>
            </w:pPr>
            <w:r>
              <w:rPr>
                <w:rFonts w:hint="eastAsia" w:ascii="宋体" w:hAnsi="宋体"/>
              </w:rPr>
              <w:t>16</w:t>
            </w:r>
          </w:p>
        </w:tc>
        <w:tc>
          <w:tcPr>
            <w:tcW w:w="638" w:type="pct"/>
            <w:vAlign w:val="center"/>
          </w:tcPr>
          <w:p w14:paraId="2AF1D271">
            <w:pPr>
              <w:pStyle w:val="12"/>
              <w:jc w:val="center"/>
              <w:rPr>
                <w:rFonts w:ascii="宋体" w:hAnsi="宋体"/>
              </w:rPr>
            </w:pPr>
            <w:r>
              <w:rPr>
                <w:rFonts w:hint="eastAsia" w:ascii="宋体" w:hAnsi="宋体"/>
              </w:rPr>
              <w:t>吊基岭</w:t>
            </w:r>
          </w:p>
        </w:tc>
        <w:tc>
          <w:tcPr>
            <w:tcW w:w="639" w:type="pct"/>
            <w:vAlign w:val="center"/>
          </w:tcPr>
          <w:p w14:paraId="69E682E5">
            <w:pPr>
              <w:pStyle w:val="12"/>
              <w:jc w:val="center"/>
              <w:rPr>
                <w:rFonts w:ascii="宋体" w:hAnsi="宋体"/>
              </w:rPr>
            </w:pPr>
            <w:r>
              <w:rPr>
                <w:rFonts w:hint="eastAsia" w:ascii="宋体" w:hAnsi="宋体"/>
              </w:rPr>
              <w:t>全安镇</w:t>
            </w:r>
          </w:p>
        </w:tc>
        <w:tc>
          <w:tcPr>
            <w:tcW w:w="638" w:type="pct"/>
            <w:vAlign w:val="center"/>
          </w:tcPr>
          <w:p w14:paraId="6010648F">
            <w:pPr>
              <w:pStyle w:val="12"/>
              <w:jc w:val="center"/>
              <w:rPr>
                <w:rFonts w:ascii="宋体" w:hAnsi="宋体"/>
              </w:rPr>
            </w:pPr>
            <w:r>
              <w:rPr>
                <w:rFonts w:hint="eastAsia" w:ascii="宋体" w:hAnsi="宋体"/>
              </w:rPr>
              <w:t>吊基岭水</w:t>
            </w:r>
          </w:p>
        </w:tc>
        <w:tc>
          <w:tcPr>
            <w:tcW w:w="801" w:type="pct"/>
            <w:vAlign w:val="center"/>
          </w:tcPr>
          <w:p w14:paraId="33BBF96D">
            <w:pPr>
              <w:pStyle w:val="12"/>
              <w:jc w:val="center"/>
              <w:rPr>
                <w:rFonts w:ascii="宋体" w:hAnsi="宋体"/>
              </w:rPr>
            </w:pPr>
            <w:r>
              <w:rPr>
                <w:rFonts w:hint="eastAsia" w:ascii="宋体" w:hAnsi="宋体"/>
              </w:rPr>
              <w:t>1975年12月</w:t>
            </w:r>
          </w:p>
        </w:tc>
        <w:tc>
          <w:tcPr>
            <w:tcW w:w="762" w:type="pct"/>
            <w:vAlign w:val="center"/>
          </w:tcPr>
          <w:p w14:paraId="36F97119">
            <w:pPr>
              <w:pStyle w:val="12"/>
              <w:jc w:val="center"/>
              <w:rPr>
                <w:rFonts w:ascii="宋体" w:hAnsi="宋体"/>
              </w:rPr>
            </w:pPr>
            <w:r>
              <w:rPr>
                <w:rFonts w:hint="eastAsia" w:ascii="宋体" w:hAnsi="宋体"/>
              </w:rPr>
              <w:t>3/750</w:t>
            </w:r>
          </w:p>
        </w:tc>
        <w:tc>
          <w:tcPr>
            <w:tcW w:w="782" w:type="pct"/>
            <w:vAlign w:val="center"/>
          </w:tcPr>
          <w:p w14:paraId="74382A66">
            <w:pPr>
              <w:pStyle w:val="12"/>
              <w:jc w:val="center"/>
              <w:rPr>
                <w:rFonts w:ascii="宋体" w:hAnsi="宋体"/>
              </w:rPr>
            </w:pPr>
            <w:r>
              <w:rPr>
                <w:rFonts w:hint="eastAsia" w:ascii="宋体" w:hAnsi="宋体"/>
              </w:rPr>
              <w:t>245</w:t>
            </w:r>
          </w:p>
        </w:tc>
        <w:tc>
          <w:tcPr>
            <w:tcW w:w="321" w:type="pct"/>
            <w:vAlign w:val="center"/>
          </w:tcPr>
          <w:p w14:paraId="73BC84CF">
            <w:pPr>
              <w:pStyle w:val="12"/>
              <w:jc w:val="center"/>
              <w:rPr>
                <w:rFonts w:ascii="宋体" w:hAnsi="宋体"/>
              </w:rPr>
            </w:pPr>
            <w:r>
              <w:rPr>
                <w:rFonts w:hint="eastAsia" w:ascii="宋体" w:hAnsi="宋体"/>
              </w:rPr>
              <w:t>—</w:t>
            </w:r>
          </w:p>
        </w:tc>
      </w:tr>
      <w:tr w14:paraId="6D5A5E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8" w:type="pct"/>
            <w:vAlign w:val="center"/>
          </w:tcPr>
          <w:p w14:paraId="06C7CCED">
            <w:pPr>
              <w:pStyle w:val="12"/>
              <w:jc w:val="center"/>
              <w:rPr>
                <w:rFonts w:ascii="宋体" w:hAnsi="宋体"/>
              </w:rPr>
            </w:pPr>
            <w:r>
              <w:rPr>
                <w:rFonts w:hint="eastAsia" w:ascii="宋体" w:hAnsi="宋体"/>
              </w:rPr>
              <w:t>17</w:t>
            </w:r>
          </w:p>
        </w:tc>
        <w:tc>
          <w:tcPr>
            <w:tcW w:w="638" w:type="pct"/>
            <w:vAlign w:val="center"/>
          </w:tcPr>
          <w:p w14:paraId="058C33C0">
            <w:pPr>
              <w:pStyle w:val="12"/>
              <w:jc w:val="center"/>
              <w:rPr>
                <w:rFonts w:ascii="宋体" w:hAnsi="宋体"/>
              </w:rPr>
            </w:pPr>
            <w:r>
              <w:rPr>
                <w:rFonts w:hint="eastAsia" w:ascii="宋体" w:hAnsi="宋体"/>
              </w:rPr>
              <w:t>新村（一）</w:t>
            </w:r>
          </w:p>
        </w:tc>
        <w:tc>
          <w:tcPr>
            <w:tcW w:w="639" w:type="pct"/>
            <w:vAlign w:val="center"/>
          </w:tcPr>
          <w:p w14:paraId="1CA6F7EF">
            <w:pPr>
              <w:pStyle w:val="12"/>
              <w:jc w:val="center"/>
              <w:rPr>
                <w:rFonts w:ascii="宋体" w:hAnsi="宋体"/>
              </w:rPr>
            </w:pPr>
            <w:r>
              <w:rPr>
                <w:rFonts w:hint="eastAsia" w:ascii="宋体" w:hAnsi="宋体"/>
              </w:rPr>
              <w:t>百顺镇</w:t>
            </w:r>
          </w:p>
        </w:tc>
        <w:tc>
          <w:tcPr>
            <w:tcW w:w="638" w:type="pct"/>
            <w:vAlign w:val="center"/>
          </w:tcPr>
          <w:p w14:paraId="27AB5009">
            <w:pPr>
              <w:pStyle w:val="12"/>
              <w:jc w:val="center"/>
              <w:rPr>
                <w:rFonts w:ascii="宋体" w:hAnsi="宋体"/>
              </w:rPr>
            </w:pPr>
            <w:r>
              <w:rPr>
                <w:rFonts w:hint="eastAsia" w:ascii="宋体" w:hAnsi="宋体"/>
              </w:rPr>
              <w:t>百顺水</w:t>
            </w:r>
          </w:p>
        </w:tc>
        <w:tc>
          <w:tcPr>
            <w:tcW w:w="801" w:type="pct"/>
            <w:vAlign w:val="center"/>
          </w:tcPr>
          <w:p w14:paraId="4B029A6A">
            <w:pPr>
              <w:pStyle w:val="12"/>
              <w:jc w:val="center"/>
              <w:rPr>
                <w:rFonts w:ascii="宋体" w:hAnsi="宋体"/>
              </w:rPr>
            </w:pPr>
            <w:r>
              <w:rPr>
                <w:rFonts w:hint="eastAsia" w:ascii="宋体" w:hAnsi="宋体"/>
              </w:rPr>
              <w:t>1972年7月</w:t>
            </w:r>
          </w:p>
        </w:tc>
        <w:tc>
          <w:tcPr>
            <w:tcW w:w="762" w:type="pct"/>
            <w:vAlign w:val="center"/>
          </w:tcPr>
          <w:p w14:paraId="7E3208F2">
            <w:pPr>
              <w:pStyle w:val="12"/>
              <w:jc w:val="center"/>
              <w:rPr>
                <w:rFonts w:ascii="宋体" w:hAnsi="宋体"/>
              </w:rPr>
            </w:pPr>
            <w:r>
              <w:rPr>
                <w:rFonts w:hint="eastAsia" w:ascii="宋体" w:hAnsi="宋体"/>
              </w:rPr>
              <w:t>500+320</w:t>
            </w:r>
          </w:p>
        </w:tc>
        <w:tc>
          <w:tcPr>
            <w:tcW w:w="782" w:type="pct"/>
            <w:vAlign w:val="center"/>
          </w:tcPr>
          <w:p w14:paraId="5D692646">
            <w:pPr>
              <w:pStyle w:val="12"/>
              <w:jc w:val="center"/>
              <w:rPr>
                <w:rFonts w:ascii="宋体" w:hAnsi="宋体"/>
              </w:rPr>
            </w:pPr>
            <w:r>
              <w:rPr>
                <w:rFonts w:hint="eastAsia" w:ascii="宋体" w:hAnsi="宋体"/>
              </w:rPr>
              <w:t>360</w:t>
            </w:r>
          </w:p>
        </w:tc>
        <w:tc>
          <w:tcPr>
            <w:tcW w:w="321" w:type="pct"/>
            <w:vAlign w:val="center"/>
          </w:tcPr>
          <w:p w14:paraId="3E4C97CA">
            <w:pPr>
              <w:pStyle w:val="12"/>
              <w:jc w:val="center"/>
              <w:rPr>
                <w:rFonts w:ascii="宋体" w:hAnsi="宋体"/>
              </w:rPr>
            </w:pPr>
            <w:r>
              <w:rPr>
                <w:rFonts w:hint="eastAsia" w:ascii="宋体" w:hAnsi="宋体"/>
              </w:rPr>
              <w:t>—</w:t>
            </w:r>
          </w:p>
        </w:tc>
      </w:tr>
      <w:tr w14:paraId="5A8986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8" w:type="pct"/>
            <w:vAlign w:val="center"/>
          </w:tcPr>
          <w:p w14:paraId="10DEB60A">
            <w:pPr>
              <w:pStyle w:val="12"/>
              <w:jc w:val="center"/>
              <w:rPr>
                <w:rFonts w:ascii="宋体" w:hAnsi="宋体"/>
              </w:rPr>
            </w:pPr>
            <w:r>
              <w:rPr>
                <w:rFonts w:hint="eastAsia" w:ascii="宋体" w:hAnsi="宋体"/>
              </w:rPr>
              <w:t>18</w:t>
            </w:r>
          </w:p>
        </w:tc>
        <w:tc>
          <w:tcPr>
            <w:tcW w:w="638" w:type="pct"/>
            <w:vAlign w:val="center"/>
          </w:tcPr>
          <w:p w14:paraId="1E8EE54E">
            <w:pPr>
              <w:pStyle w:val="12"/>
              <w:jc w:val="center"/>
              <w:rPr>
                <w:rFonts w:ascii="宋体" w:hAnsi="宋体"/>
              </w:rPr>
            </w:pPr>
            <w:r>
              <w:rPr>
                <w:rFonts w:hint="eastAsia" w:ascii="宋体" w:hAnsi="宋体"/>
              </w:rPr>
              <w:t>新村（二）</w:t>
            </w:r>
          </w:p>
        </w:tc>
        <w:tc>
          <w:tcPr>
            <w:tcW w:w="639" w:type="pct"/>
            <w:vAlign w:val="center"/>
          </w:tcPr>
          <w:p w14:paraId="3D3E6C1D">
            <w:pPr>
              <w:pStyle w:val="12"/>
              <w:jc w:val="center"/>
              <w:rPr>
                <w:rFonts w:ascii="宋体" w:hAnsi="宋体"/>
              </w:rPr>
            </w:pPr>
            <w:r>
              <w:rPr>
                <w:rFonts w:hint="eastAsia" w:ascii="宋体" w:hAnsi="宋体"/>
              </w:rPr>
              <w:t>百顺镇</w:t>
            </w:r>
          </w:p>
        </w:tc>
        <w:tc>
          <w:tcPr>
            <w:tcW w:w="638" w:type="pct"/>
            <w:vAlign w:val="center"/>
          </w:tcPr>
          <w:p w14:paraId="2EB3AE46">
            <w:pPr>
              <w:pStyle w:val="12"/>
              <w:jc w:val="center"/>
              <w:rPr>
                <w:rFonts w:ascii="宋体" w:hAnsi="宋体"/>
              </w:rPr>
            </w:pPr>
            <w:r>
              <w:rPr>
                <w:rFonts w:hint="eastAsia" w:ascii="宋体" w:hAnsi="宋体"/>
              </w:rPr>
              <w:t>百顺水</w:t>
            </w:r>
          </w:p>
        </w:tc>
        <w:tc>
          <w:tcPr>
            <w:tcW w:w="801" w:type="pct"/>
            <w:vAlign w:val="center"/>
          </w:tcPr>
          <w:p w14:paraId="2EF1B73E">
            <w:pPr>
              <w:pStyle w:val="12"/>
              <w:jc w:val="center"/>
              <w:rPr>
                <w:rFonts w:ascii="宋体" w:hAnsi="宋体"/>
              </w:rPr>
            </w:pPr>
            <w:r>
              <w:rPr>
                <w:rFonts w:hint="eastAsia" w:ascii="宋体" w:hAnsi="宋体"/>
              </w:rPr>
              <w:t>1976年</w:t>
            </w:r>
          </w:p>
        </w:tc>
        <w:tc>
          <w:tcPr>
            <w:tcW w:w="762" w:type="pct"/>
            <w:vAlign w:val="center"/>
          </w:tcPr>
          <w:p w14:paraId="5DDFFB63">
            <w:pPr>
              <w:pStyle w:val="12"/>
              <w:jc w:val="center"/>
              <w:rPr>
                <w:rFonts w:ascii="宋体" w:hAnsi="宋体"/>
              </w:rPr>
            </w:pPr>
            <w:r>
              <w:rPr>
                <w:rFonts w:hint="eastAsia" w:ascii="宋体" w:hAnsi="宋体"/>
              </w:rPr>
              <w:t>320+250</w:t>
            </w:r>
          </w:p>
        </w:tc>
        <w:tc>
          <w:tcPr>
            <w:tcW w:w="782" w:type="pct"/>
            <w:vAlign w:val="center"/>
          </w:tcPr>
          <w:p w14:paraId="6B64FEEF">
            <w:pPr>
              <w:pStyle w:val="12"/>
              <w:jc w:val="center"/>
              <w:rPr>
                <w:rFonts w:ascii="宋体" w:hAnsi="宋体"/>
              </w:rPr>
            </w:pPr>
            <w:r>
              <w:rPr>
                <w:rFonts w:hint="eastAsia" w:ascii="宋体" w:hAnsi="宋体"/>
              </w:rPr>
              <w:t>260</w:t>
            </w:r>
          </w:p>
        </w:tc>
        <w:tc>
          <w:tcPr>
            <w:tcW w:w="321" w:type="pct"/>
            <w:vAlign w:val="center"/>
          </w:tcPr>
          <w:p w14:paraId="7BD78B0F">
            <w:pPr>
              <w:pStyle w:val="12"/>
              <w:jc w:val="center"/>
              <w:rPr>
                <w:rFonts w:ascii="宋体" w:hAnsi="宋体"/>
              </w:rPr>
            </w:pPr>
            <w:r>
              <w:rPr>
                <w:rFonts w:hint="eastAsia" w:ascii="宋体" w:hAnsi="宋体"/>
              </w:rPr>
              <w:t>—</w:t>
            </w:r>
          </w:p>
        </w:tc>
      </w:tr>
      <w:tr w14:paraId="3EE06C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8" w:type="pct"/>
            <w:vAlign w:val="center"/>
          </w:tcPr>
          <w:p w14:paraId="36AC608B">
            <w:pPr>
              <w:pStyle w:val="12"/>
              <w:jc w:val="center"/>
              <w:rPr>
                <w:rFonts w:ascii="宋体" w:hAnsi="宋体"/>
              </w:rPr>
            </w:pPr>
            <w:r>
              <w:rPr>
                <w:rFonts w:hint="eastAsia" w:ascii="宋体" w:hAnsi="宋体"/>
              </w:rPr>
              <w:t>19</w:t>
            </w:r>
          </w:p>
        </w:tc>
        <w:tc>
          <w:tcPr>
            <w:tcW w:w="638" w:type="pct"/>
            <w:vAlign w:val="center"/>
          </w:tcPr>
          <w:p w14:paraId="70E555B8">
            <w:pPr>
              <w:pStyle w:val="12"/>
              <w:jc w:val="center"/>
              <w:rPr>
                <w:rFonts w:ascii="宋体" w:hAnsi="宋体"/>
              </w:rPr>
            </w:pPr>
            <w:r>
              <w:rPr>
                <w:rFonts w:hint="eastAsia" w:ascii="宋体" w:hAnsi="宋体"/>
              </w:rPr>
              <w:t>大步前</w:t>
            </w:r>
          </w:p>
        </w:tc>
        <w:tc>
          <w:tcPr>
            <w:tcW w:w="639" w:type="pct"/>
            <w:vAlign w:val="center"/>
          </w:tcPr>
          <w:p w14:paraId="02D35DB7">
            <w:pPr>
              <w:pStyle w:val="12"/>
              <w:jc w:val="center"/>
              <w:rPr>
                <w:rFonts w:ascii="宋体" w:hAnsi="宋体"/>
              </w:rPr>
            </w:pPr>
            <w:r>
              <w:rPr>
                <w:rFonts w:hint="eastAsia" w:ascii="宋体" w:hAnsi="宋体"/>
              </w:rPr>
              <w:t>主田镇</w:t>
            </w:r>
          </w:p>
        </w:tc>
        <w:tc>
          <w:tcPr>
            <w:tcW w:w="638" w:type="pct"/>
            <w:vAlign w:val="center"/>
          </w:tcPr>
          <w:p w14:paraId="744DB808">
            <w:pPr>
              <w:pStyle w:val="12"/>
              <w:jc w:val="center"/>
              <w:rPr>
                <w:rFonts w:ascii="宋体" w:hAnsi="宋体"/>
              </w:rPr>
            </w:pPr>
            <w:r>
              <w:rPr>
                <w:rFonts w:hint="eastAsia" w:ascii="宋体" w:hAnsi="宋体"/>
              </w:rPr>
              <w:t>瀑布水</w:t>
            </w:r>
          </w:p>
        </w:tc>
        <w:tc>
          <w:tcPr>
            <w:tcW w:w="801" w:type="pct"/>
            <w:vAlign w:val="center"/>
          </w:tcPr>
          <w:p w14:paraId="4F43C2AF">
            <w:pPr>
              <w:pStyle w:val="12"/>
              <w:jc w:val="center"/>
              <w:rPr>
                <w:rFonts w:ascii="宋体" w:hAnsi="宋体"/>
              </w:rPr>
            </w:pPr>
            <w:r>
              <w:rPr>
                <w:rFonts w:hint="eastAsia" w:ascii="宋体" w:hAnsi="宋体"/>
              </w:rPr>
              <w:t>1979年1月</w:t>
            </w:r>
          </w:p>
        </w:tc>
        <w:tc>
          <w:tcPr>
            <w:tcW w:w="762" w:type="pct"/>
            <w:vAlign w:val="center"/>
          </w:tcPr>
          <w:p w14:paraId="77E25A5E">
            <w:pPr>
              <w:pStyle w:val="12"/>
              <w:jc w:val="center"/>
              <w:rPr>
                <w:rFonts w:ascii="宋体" w:hAnsi="宋体"/>
              </w:rPr>
            </w:pPr>
            <w:r>
              <w:rPr>
                <w:rFonts w:hint="eastAsia" w:ascii="宋体" w:hAnsi="宋体"/>
              </w:rPr>
              <w:t>2/400</w:t>
            </w:r>
          </w:p>
        </w:tc>
        <w:tc>
          <w:tcPr>
            <w:tcW w:w="782" w:type="pct"/>
            <w:vAlign w:val="center"/>
          </w:tcPr>
          <w:p w14:paraId="2F01205C">
            <w:pPr>
              <w:pStyle w:val="12"/>
              <w:jc w:val="center"/>
              <w:rPr>
                <w:rFonts w:ascii="宋体" w:hAnsi="宋体"/>
              </w:rPr>
            </w:pPr>
            <w:r>
              <w:rPr>
                <w:rFonts w:hint="eastAsia" w:ascii="宋体" w:hAnsi="宋体"/>
              </w:rPr>
              <w:t>105</w:t>
            </w:r>
          </w:p>
        </w:tc>
        <w:tc>
          <w:tcPr>
            <w:tcW w:w="321" w:type="pct"/>
            <w:vAlign w:val="center"/>
          </w:tcPr>
          <w:p w14:paraId="392ADA06">
            <w:pPr>
              <w:pStyle w:val="12"/>
              <w:jc w:val="center"/>
              <w:rPr>
                <w:rFonts w:ascii="宋体" w:hAnsi="宋体"/>
              </w:rPr>
            </w:pPr>
            <w:r>
              <w:rPr>
                <w:rFonts w:hint="eastAsia" w:ascii="宋体" w:hAnsi="宋体"/>
              </w:rPr>
              <w:t>—</w:t>
            </w:r>
          </w:p>
        </w:tc>
      </w:tr>
      <w:tr w14:paraId="6EB6CC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8" w:type="pct"/>
            <w:vAlign w:val="center"/>
          </w:tcPr>
          <w:p w14:paraId="26D1029C">
            <w:pPr>
              <w:pStyle w:val="12"/>
              <w:jc w:val="center"/>
              <w:rPr>
                <w:rFonts w:ascii="宋体" w:hAnsi="宋体"/>
              </w:rPr>
            </w:pPr>
            <w:r>
              <w:rPr>
                <w:rFonts w:hint="eastAsia" w:ascii="宋体" w:hAnsi="宋体"/>
              </w:rPr>
              <w:t>20</w:t>
            </w:r>
          </w:p>
        </w:tc>
        <w:tc>
          <w:tcPr>
            <w:tcW w:w="638" w:type="pct"/>
            <w:vAlign w:val="center"/>
          </w:tcPr>
          <w:p w14:paraId="11DD43F8">
            <w:pPr>
              <w:pStyle w:val="12"/>
              <w:jc w:val="center"/>
              <w:rPr>
                <w:rFonts w:ascii="宋体" w:hAnsi="宋体"/>
              </w:rPr>
            </w:pPr>
            <w:r>
              <w:rPr>
                <w:rFonts w:hint="eastAsia" w:ascii="宋体" w:hAnsi="宋体"/>
              </w:rPr>
              <w:t>夹水口</w:t>
            </w:r>
          </w:p>
        </w:tc>
        <w:tc>
          <w:tcPr>
            <w:tcW w:w="639" w:type="pct"/>
            <w:vAlign w:val="center"/>
          </w:tcPr>
          <w:p w14:paraId="4C47D07D">
            <w:pPr>
              <w:pStyle w:val="12"/>
              <w:jc w:val="center"/>
              <w:rPr>
                <w:rFonts w:ascii="宋体" w:hAnsi="宋体"/>
              </w:rPr>
            </w:pPr>
            <w:r>
              <w:rPr>
                <w:rFonts w:hint="eastAsia" w:ascii="宋体" w:hAnsi="宋体"/>
              </w:rPr>
              <w:t>主田镇</w:t>
            </w:r>
          </w:p>
        </w:tc>
        <w:tc>
          <w:tcPr>
            <w:tcW w:w="638" w:type="pct"/>
            <w:vAlign w:val="center"/>
          </w:tcPr>
          <w:p w14:paraId="626BB330">
            <w:pPr>
              <w:pStyle w:val="12"/>
              <w:jc w:val="center"/>
              <w:rPr>
                <w:rFonts w:ascii="宋体" w:hAnsi="宋体"/>
              </w:rPr>
            </w:pPr>
            <w:r>
              <w:rPr>
                <w:rFonts w:hint="eastAsia" w:ascii="宋体" w:hAnsi="宋体"/>
              </w:rPr>
              <w:t>瀑布水</w:t>
            </w:r>
          </w:p>
        </w:tc>
        <w:tc>
          <w:tcPr>
            <w:tcW w:w="801" w:type="pct"/>
            <w:vAlign w:val="center"/>
          </w:tcPr>
          <w:p w14:paraId="5FA82CD7">
            <w:pPr>
              <w:pStyle w:val="12"/>
              <w:jc w:val="center"/>
              <w:rPr>
                <w:rFonts w:ascii="宋体" w:hAnsi="宋体"/>
              </w:rPr>
            </w:pPr>
            <w:r>
              <w:rPr>
                <w:rFonts w:hint="eastAsia" w:ascii="宋体" w:hAnsi="宋体"/>
              </w:rPr>
              <w:t>1994年</w:t>
            </w:r>
          </w:p>
        </w:tc>
        <w:tc>
          <w:tcPr>
            <w:tcW w:w="762" w:type="pct"/>
            <w:vAlign w:val="center"/>
          </w:tcPr>
          <w:p w14:paraId="6E47609F">
            <w:pPr>
              <w:pStyle w:val="12"/>
              <w:jc w:val="center"/>
              <w:rPr>
                <w:rFonts w:ascii="宋体" w:hAnsi="宋体"/>
              </w:rPr>
            </w:pPr>
            <w:r>
              <w:rPr>
                <w:rFonts w:hint="eastAsia" w:ascii="宋体" w:hAnsi="宋体"/>
              </w:rPr>
              <w:t>200+160</w:t>
            </w:r>
          </w:p>
        </w:tc>
        <w:tc>
          <w:tcPr>
            <w:tcW w:w="782" w:type="pct"/>
            <w:vAlign w:val="center"/>
          </w:tcPr>
          <w:p w14:paraId="36D2BA3D">
            <w:pPr>
              <w:pStyle w:val="12"/>
              <w:jc w:val="center"/>
              <w:rPr>
                <w:rFonts w:ascii="宋体" w:hAnsi="宋体"/>
              </w:rPr>
            </w:pPr>
            <w:r>
              <w:rPr>
                <w:rFonts w:hint="eastAsia" w:ascii="宋体" w:hAnsi="宋体"/>
              </w:rPr>
              <w:t>91</w:t>
            </w:r>
          </w:p>
        </w:tc>
        <w:tc>
          <w:tcPr>
            <w:tcW w:w="321" w:type="pct"/>
            <w:vAlign w:val="center"/>
          </w:tcPr>
          <w:p w14:paraId="07101099">
            <w:pPr>
              <w:pStyle w:val="12"/>
              <w:jc w:val="center"/>
              <w:rPr>
                <w:rFonts w:ascii="宋体" w:hAnsi="宋体"/>
              </w:rPr>
            </w:pPr>
            <w:r>
              <w:rPr>
                <w:rFonts w:hint="eastAsia" w:ascii="宋体" w:hAnsi="宋体"/>
              </w:rPr>
              <w:t>—</w:t>
            </w:r>
          </w:p>
        </w:tc>
      </w:tr>
      <w:tr w14:paraId="10767D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8" w:type="pct"/>
            <w:vAlign w:val="center"/>
          </w:tcPr>
          <w:p w14:paraId="0056E69C">
            <w:pPr>
              <w:pStyle w:val="12"/>
              <w:jc w:val="center"/>
              <w:rPr>
                <w:rFonts w:ascii="宋体" w:hAnsi="宋体"/>
              </w:rPr>
            </w:pPr>
            <w:r>
              <w:rPr>
                <w:rFonts w:hint="eastAsia" w:ascii="宋体" w:hAnsi="宋体"/>
              </w:rPr>
              <w:t>21</w:t>
            </w:r>
          </w:p>
        </w:tc>
        <w:tc>
          <w:tcPr>
            <w:tcW w:w="638" w:type="pct"/>
            <w:vAlign w:val="center"/>
          </w:tcPr>
          <w:p w14:paraId="06C6F8D6">
            <w:pPr>
              <w:pStyle w:val="12"/>
              <w:jc w:val="center"/>
              <w:rPr>
                <w:rFonts w:ascii="宋体" w:hAnsi="宋体"/>
              </w:rPr>
            </w:pPr>
            <w:r>
              <w:rPr>
                <w:rFonts w:hint="eastAsia" w:ascii="宋体" w:hAnsi="宋体"/>
              </w:rPr>
              <w:t>窑合</w:t>
            </w:r>
          </w:p>
        </w:tc>
        <w:tc>
          <w:tcPr>
            <w:tcW w:w="639" w:type="pct"/>
            <w:vAlign w:val="center"/>
          </w:tcPr>
          <w:p w14:paraId="125CF1BC">
            <w:pPr>
              <w:pStyle w:val="12"/>
              <w:jc w:val="center"/>
              <w:rPr>
                <w:rFonts w:ascii="宋体" w:hAnsi="宋体"/>
              </w:rPr>
            </w:pPr>
            <w:r>
              <w:rPr>
                <w:rFonts w:hint="eastAsia" w:ascii="宋体" w:hAnsi="宋体"/>
              </w:rPr>
              <w:t>主田镇</w:t>
            </w:r>
          </w:p>
        </w:tc>
        <w:tc>
          <w:tcPr>
            <w:tcW w:w="638" w:type="pct"/>
            <w:vAlign w:val="center"/>
          </w:tcPr>
          <w:p w14:paraId="23495DEB">
            <w:pPr>
              <w:pStyle w:val="12"/>
              <w:jc w:val="center"/>
              <w:rPr>
                <w:rFonts w:ascii="宋体" w:hAnsi="宋体"/>
              </w:rPr>
            </w:pPr>
            <w:r>
              <w:rPr>
                <w:rFonts w:hint="eastAsia" w:ascii="宋体" w:hAnsi="宋体"/>
              </w:rPr>
              <w:t>瀑布水</w:t>
            </w:r>
          </w:p>
        </w:tc>
        <w:tc>
          <w:tcPr>
            <w:tcW w:w="801" w:type="pct"/>
            <w:vAlign w:val="center"/>
          </w:tcPr>
          <w:p w14:paraId="256CCA8A">
            <w:pPr>
              <w:pStyle w:val="12"/>
              <w:jc w:val="center"/>
              <w:rPr>
                <w:rFonts w:ascii="宋体" w:hAnsi="宋体"/>
              </w:rPr>
            </w:pPr>
            <w:r>
              <w:rPr>
                <w:rFonts w:hint="eastAsia" w:ascii="宋体" w:hAnsi="宋体"/>
              </w:rPr>
              <w:t>1980年9月</w:t>
            </w:r>
          </w:p>
        </w:tc>
        <w:tc>
          <w:tcPr>
            <w:tcW w:w="762" w:type="pct"/>
            <w:vAlign w:val="center"/>
          </w:tcPr>
          <w:p w14:paraId="61FE39E0">
            <w:pPr>
              <w:pStyle w:val="12"/>
              <w:jc w:val="center"/>
              <w:rPr>
                <w:rFonts w:ascii="宋体" w:hAnsi="宋体"/>
              </w:rPr>
            </w:pPr>
            <w:r>
              <w:rPr>
                <w:rFonts w:hint="eastAsia" w:ascii="宋体" w:hAnsi="宋体"/>
              </w:rPr>
              <w:t>200+125</w:t>
            </w:r>
          </w:p>
        </w:tc>
        <w:tc>
          <w:tcPr>
            <w:tcW w:w="782" w:type="pct"/>
            <w:vAlign w:val="center"/>
          </w:tcPr>
          <w:p w14:paraId="12FBACC5">
            <w:pPr>
              <w:pStyle w:val="12"/>
              <w:jc w:val="center"/>
              <w:rPr>
                <w:rFonts w:ascii="宋体" w:hAnsi="宋体"/>
              </w:rPr>
            </w:pPr>
            <w:r>
              <w:rPr>
                <w:rFonts w:hint="eastAsia" w:ascii="宋体" w:hAnsi="宋体"/>
              </w:rPr>
              <w:t>65</w:t>
            </w:r>
          </w:p>
        </w:tc>
        <w:tc>
          <w:tcPr>
            <w:tcW w:w="321" w:type="pct"/>
            <w:vAlign w:val="center"/>
          </w:tcPr>
          <w:p w14:paraId="21A57605">
            <w:pPr>
              <w:pStyle w:val="12"/>
              <w:jc w:val="center"/>
              <w:rPr>
                <w:rFonts w:ascii="宋体" w:hAnsi="宋体"/>
              </w:rPr>
            </w:pPr>
            <w:r>
              <w:rPr>
                <w:rFonts w:hint="eastAsia" w:ascii="宋体" w:hAnsi="宋体"/>
              </w:rPr>
              <w:t>—</w:t>
            </w:r>
          </w:p>
        </w:tc>
      </w:tr>
      <w:tr w14:paraId="21F30B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8" w:type="pct"/>
            <w:vAlign w:val="center"/>
          </w:tcPr>
          <w:p w14:paraId="30242286">
            <w:pPr>
              <w:pStyle w:val="12"/>
              <w:jc w:val="center"/>
              <w:rPr>
                <w:rFonts w:ascii="宋体" w:hAnsi="宋体"/>
              </w:rPr>
            </w:pPr>
            <w:r>
              <w:rPr>
                <w:rFonts w:hint="eastAsia" w:ascii="宋体" w:hAnsi="宋体"/>
              </w:rPr>
              <w:t>22</w:t>
            </w:r>
          </w:p>
        </w:tc>
        <w:tc>
          <w:tcPr>
            <w:tcW w:w="638" w:type="pct"/>
            <w:vAlign w:val="center"/>
          </w:tcPr>
          <w:p w14:paraId="69CAEA11">
            <w:pPr>
              <w:pStyle w:val="12"/>
              <w:jc w:val="center"/>
              <w:rPr>
                <w:rFonts w:ascii="宋体" w:hAnsi="宋体"/>
              </w:rPr>
            </w:pPr>
            <w:r>
              <w:rPr>
                <w:rFonts w:hint="eastAsia" w:ascii="宋体" w:hAnsi="宋体"/>
              </w:rPr>
              <w:t>杨梅</w:t>
            </w:r>
          </w:p>
        </w:tc>
        <w:tc>
          <w:tcPr>
            <w:tcW w:w="639" w:type="pct"/>
            <w:vAlign w:val="center"/>
          </w:tcPr>
          <w:p w14:paraId="6389EC4B">
            <w:pPr>
              <w:pStyle w:val="12"/>
              <w:jc w:val="center"/>
              <w:rPr>
                <w:rFonts w:ascii="宋体" w:hAnsi="宋体"/>
              </w:rPr>
            </w:pPr>
            <w:r>
              <w:rPr>
                <w:rFonts w:hint="eastAsia" w:ascii="宋体" w:hAnsi="宋体"/>
              </w:rPr>
              <w:t>邓坊镇</w:t>
            </w:r>
          </w:p>
        </w:tc>
        <w:tc>
          <w:tcPr>
            <w:tcW w:w="638" w:type="pct"/>
            <w:vAlign w:val="center"/>
          </w:tcPr>
          <w:p w14:paraId="20578499">
            <w:pPr>
              <w:pStyle w:val="12"/>
              <w:jc w:val="center"/>
              <w:rPr>
                <w:rFonts w:ascii="宋体" w:hAnsi="宋体"/>
              </w:rPr>
            </w:pPr>
            <w:r>
              <w:rPr>
                <w:rFonts w:hint="eastAsia" w:ascii="宋体" w:hAnsi="宋体"/>
              </w:rPr>
              <w:t>邓坊水</w:t>
            </w:r>
          </w:p>
        </w:tc>
        <w:tc>
          <w:tcPr>
            <w:tcW w:w="801" w:type="pct"/>
            <w:vAlign w:val="center"/>
          </w:tcPr>
          <w:p w14:paraId="0DE5A421">
            <w:pPr>
              <w:pStyle w:val="12"/>
              <w:jc w:val="center"/>
              <w:rPr>
                <w:rFonts w:ascii="宋体" w:hAnsi="宋体"/>
              </w:rPr>
            </w:pPr>
            <w:r>
              <w:rPr>
                <w:rFonts w:hint="eastAsia" w:ascii="宋体" w:hAnsi="宋体"/>
              </w:rPr>
              <w:t>1972年</w:t>
            </w:r>
          </w:p>
        </w:tc>
        <w:tc>
          <w:tcPr>
            <w:tcW w:w="762" w:type="pct"/>
            <w:vAlign w:val="center"/>
          </w:tcPr>
          <w:p w14:paraId="3B76E9B8">
            <w:pPr>
              <w:pStyle w:val="12"/>
              <w:jc w:val="center"/>
              <w:rPr>
                <w:rFonts w:ascii="宋体" w:hAnsi="宋体"/>
              </w:rPr>
            </w:pPr>
            <w:r>
              <w:rPr>
                <w:rFonts w:hint="eastAsia" w:ascii="宋体" w:hAnsi="宋体"/>
              </w:rPr>
              <w:t>200+160</w:t>
            </w:r>
          </w:p>
        </w:tc>
        <w:tc>
          <w:tcPr>
            <w:tcW w:w="782" w:type="pct"/>
            <w:vAlign w:val="center"/>
          </w:tcPr>
          <w:p w14:paraId="13B724AC">
            <w:pPr>
              <w:pStyle w:val="12"/>
              <w:jc w:val="center"/>
              <w:rPr>
                <w:rFonts w:ascii="宋体" w:hAnsi="宋体"/>
              </w:rPr>
            </w:pPr>
            <w:r>
              <w:rPr>
                <w:rFonts w:hint="eastAsia" w:ascii="宋体" w:hAnsi="宋体"/>
              </w:rPr>
              <w:t>118</w:t>
            </w:r>
          </w:p>
        </w:tc>
        <w:tc>
          <w:tcPr>
            <w:tcW w:w="321" w:type="pct"/>
            <w:vAlign w:val="center"/>
          </w:tcPr>
          <w:p w14:paraId="43FB9637">
            <w:pPr>
              <w:pStyle w:val="12"/>
              <w:jc w:val="center"/>
              <w:rPr>
                <w:rFonts w:ascii="宋体" w:hAnsi="宋体"/>
              </w:rPr>
            </w:pPr>
            <w:r>
              <w:rPr>
                <w:rFonts w:hint="eastAsia" w:ascii="宋体" w:hAnsi="宋体"/>
              </w:rPr>
              <w:t>—</w:t>
            </w:r>
          </w:p>
        </w:tc>
      </w:tr>
    </w:tbl>
    <w:p w14:paraId="5EEB03DC">
      <w:pPr>
        <w:ind w:firstLine="422"/>
        <w:rPr>
          <w:rFonts w:ascii="宋体" w:hAnsi="宋体"/>
          <w:b/>
          <w:szCs w:val="21"/>
        </w:rPr>
      </w:pPr>
      <w:r>
        <w:rPr>
          <w:rFonts w:hint="eastAsia" w:ascii="宋体" w:hAnsi="宋体"/>
          <w:b/>
          <w:szCs w:val="21"/>
        </w:rPr>
        <w:t>（三）各种经营形式电站</w:t>
      </w:r>
    </w:p>
    <w:p w14:paraId="47A407AD">
      <w:pPr>
        <w:ind w:firstLine="420"/>
        <w:rPr>
          <w:rFonts w:ascii="宋体" w:hAnsi="宋体"/>
          <w:szCs w:val="21"/>
        </w:rPr>
      </w:pPr>
      <w:r>
        <w:rPr>
          <w:rFonts w:hint="eastAsia" w:ascii="宋体" w:hAnsi="宋体"/>
          <w:szCs w:val="21"/>
        </w:rPr>
        <w:t>多属镇办、村办，也有合资或个体经营。分别装机容量</w:t>
      </w:r>
      <w:r>
        <w:rPr>
          <w:rFonts w:ascii="宋体" w:hAnsi="宋体"/>
          <w:szCs w:val="21"/>
        </w:rPr>
        <w:t>500千瓦以上、500千瓦</w:t>
      </w:r>
      <w:r>
        <w:rPr>
          <w:rFonts w:hint="eastAsia" w:ascii="宋体" w:hAnsi="宋体"/>
          <w:szCs w:val="21"/>
        </w:rPr>
        <w:t>以下各电站见表</w:t>
      </w:r>
      <w:r>
        <w:rPr>
          <w:rFonts w:ascii="宋体" w:hAnsi="宋体"/>
          <w:szCs w:val="21"/>
        </w:rPr>
        <w:t>2-36～2-37：</w:t>
      </w:r>
    </w:p>
    <w:p w14:paraId="5D012B8F">
      <w:pPr>
        <w:ind w:firstLine="0" w:firstLineChars="0"/>
        <w:jc w:val="center"/>
        <w:rPr>
          <w:rFonts w:ascii="宋体" w:hAnsi="宋体"/>
          <w:b/>
          <w:szCs w:val="21"/>
        </w:rPr>
      </w:pPr>
      <w:r>
        <w:rPr>
          <w:rFonts w:hint="eastAsia" w:ascii="宋体" w:hAnsi="宋体"/>
          <w:b/>
          <w:szCs w:val="21"/>
        </w:rPr>
        <w:t>南雄市500千瓦以上小水电站情况</w:t>
      </w:r>
    </w:p>
    <w:p w14:paraId="35AA76BA">
      <w:pPr>
        <w:ind w:firstLine="0" w:firstLineChars="0"/>
        <w:rPr>
          <w:rFonts w:ascii="宋体" w:hAnsi="宋体"/>
          <w:b/>
          <w:szCs w:val="21"/>
        </w:rPr>
      </w:pPr>
      <w:r>
        <w:rPr>
          <w:rFonts w:hint="eastAsia" w:ascii="宋体" w:hAnsi="宋体"/>
          <w:b/>
          <w:szCs w:val="21"/>
        </w:rPr>
        <w:t>表2-36</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9"/>
        <w:gridCol w:w="992"/>
        <w:gridCol w:w="851"/>
        <w:gridCol w:w="1417"/>
        <w:gridCol w:w="851"/>
        <w:gridCol w:w="992"/>
        <w:gridCol w:w="1134"/>
        <w:gridCol w:w="773"/>
        <w:gridCol w:w="1353"/>
        <w:gridCol w:w="640"/>
      </w:tblGrid>
      <w:tr w14:paraId="564689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3F82042F">
            <w:pPr>
              <w:pStyle w:val="12"/>
              <w:jc w:val="center"/>
              <w:rPr>
                <w:rFonts w:ascii="宋体" w:hAnsi="宋体"/>
                <w:b/>
              </w:rPr>
            </w:pPr>
            <w:r>
              <w:rPr>
                <w:rFonts w:hint="eastAsia" w:ascii="宋体" w:hAnsi="宋体"/>
                <w:b/>
              </w:rPr>
              <w:t>站名</w:t>
            </w:r>
          </w:p>
        </w:tc>
        <w:tc>
          <w:tcPr>
            <w:tcW w:w="498" w:type="pct"/>
            <w:vAlign w:val="center"/>
          </w:tcPr>
          <w:p w14:paraId="556383CC">
            <w:pPr>
              <w:pStyle w:val="12"/>
              <w:jc w:val="center"/>
              <w:rPr>
                <w:rFonts w:ascii="宋体" w:hAnsi="宋体"/>
                <w:b/>
              </w:rPr>
            </w:pPr>
            <w:r>
              <w:rPr>
                <w:rFonts w:hint="eastAsia" w:ascii="宋体" w:hAnsi="宋体"/>
                <w:b/>
              </w:rPr>
              <w:t>装机容量（千瓦）</w:t>
            </w:r>
          </w:p>
        </w:tc>
        <w:tc>
          <w:tcPr>
            <w:tcW w:w="427" w:type="pct"/>
            <w:vAlign w:val="center"/>
          </w:tcPr>
          <w:p w14:paraId="5FCFF338">
            <w:pPr>
              <w:pStyle w:val="12"/>
              <w:jc w:val="center"/>
              <w:rPr>
                <w:rFonts w:ascii="宋体" w:hAnsi="宋体"/>
                <w:b/>
              </w:rPr>
            </w:pPr>
            <w:r>
              <w:rPr>
                <w:rFonts w:hint="eastAsia" w:ascii="宋体" w:hAnsi="宋体"/>
                <w:b/>
              </w:rPr>
              <w:t>装机（台）</w:t>
            </w:r>
          </w:p>
        </w:tc>
        <w:tc>
          <w:tcPr>
            <w:tcW w:w="711" w:type="pct"/>
            <w:vAlign w:val="center"/>
          </w:tcPr>
          <w:p w14:paraId="7DC28F1F">
            <w:pPr>
              <w:pStyle w:val="12"/>
              <w:jc w:val="center"/>
              <w:rPr>
                <w:rFonts w:ascii="宋体" w:hAnsi="宋体"/>
                <w:b/>
              </w:rPr>
            </w:pPr>
            <w:r>
              <w:rPr>
                <w:rFonts w:hint="eastAsia" w:ascii="宋体" w:hAnsi="宋体"/>
                <w:b/>
              </w:rPr>
              <w:t>投产时间</w:t>
            </w:r>
          </w:p>
        </w:tc>
        <w:tc>
          <w:tcPr>
            <w:tcW w:w="427" w:type="pct"/>
            <w:vAlign w:val="center"/>
          </w:tcPr>
          <w:p w14:paraId="77AFDD11">
            <w:pPr>
              <w:pStyle w:val="12"/>
              <w:jc w:val="center"/>
              <w:rPr>
                <w:rFonts w:ascii="宋体" w:hAnsi="宋体"/>
                <w:b/>
              </w:rPr>
            </w:pPr>
            <w:r>
              <w:rPr>
                <w:rFonts w:hint="eastAsia" w:ascii="宋体" w:hAnsi="宋体"/>
                <w:b/>
              </w:rPr>
              <w:t>坐落</w:t>
            </w:r>
          </w:p>
          <w:p w14:paraId="0D9CCE99">
            <w:pPr>
              <w:pStyle w:val="12"/>
              <w:jc w:val="center"/>
              <w:rPr>
                <w:rFonts w:ascii="宋体" w:hAnsi="宋体"/>
                <w:b/>
              </w:rPr>
            </w:pPr>
            <w:r>
              <w:rPr>
                <w:rFonts w:hint="eastAsia" w:ascii="宋体" w:hAnsi="宋体"/>
                <w:b/>
              </w:rPr>
              <w:t>地名</w:t>
            </w:r>
          </w:p>
        </w:tc>
        <w:tc>
          <w:tcPr>
            <w:tcW w:w="498" w:type="pct"/>
            <w:vAlign w:val="center"/>
          </w:tcPr>
          <w:p w14:paraId="3B35A02D">
            <w:pPr>
              <w:pStyle w:val="12"/>
              <w:jc w:val="center"/>
              <w:rPr>
                <w:rFonts w:ascii="宋体" w:hAnsi="宋体"/>
                <w:b/>
              </w:rPr>
            </w:pPr>
            <w:r>
              <w:rPr>
                <w:rFonts w:hint="eastAsia" w:ascii="宋体" w:hAnsi="宋体"/>
                <w:b/>
              </w:rPr>
              <w:t>站名</w:t>
            </w:r>
          </w:p>
        </w:tc>
        <w:tc>
          <w:tcPr>
            <w:tcW w:w="569" w:type="pct"/>
            <w:vAlign w:val="center"/>
          </w:tcPr>
          <w:p w14:paraId="1D855122">
            <w:pPr>
              <w:pStyle w:val="12"/>
              <w:jc w:val="center"/>
              <w:rPr>
                <w:rFonts w:ascii="宋体" w:hAnsi="宋体"/>
                <w:b/>
              </w:rPr>
            </w:pPr>
            <w:r>
              <w:rPr>
                <w:rFonts w:hint="eastAsia" w:ascii="宋体" w:hAnsi="宋体"/>
                <w:b/>
              </w:rPr>
              <w:t>装机容量（千瓦）</w:t>
            </w:r>
          </w:p>
        </w:tc>
        <w:tc>
          <w:tcPr>
            <w:tcW w:w="388" w:type="pct"/>
            <w:vAlign w:val="center"/>
          </w:tcPr>
          <w:p w14:paraId="7D9A49DC">
            <w:pPr>
              <w:pStyle w:val="12"/>
              <w:jc w:val="center"/>
              <w:rPr>
                <w:rFonts w:ascii="宋体" w:hAnsi="宋体"/>
                <w:b/>
              </w:rPr>
            </w:pPr>
            <w:r>
              <w:rPr>
                <w:rFonts w:hint="eastAsia" w:ascii="宋体" w:hAnsi="宋体"/>
                <w:b/>
              </w:rPr>
              <w:t>装机（台）</w:t>
            </w:r>
          </w:p>
        </w:tc>
        <w:tc>
          <w:tcPr>
            <w:tcW w:w="679" w:type="pct"/>
            <w:vAlign w:val="center"/>
          </w:tcPr>
          <w:p w14:paraId="3BB7E1BB">
            <w:pPr>
              <w:pStyle w:val="12"/>
              <w:jc w:val="center"/>
              <w:rPr>
                <w:rFonts w:ascii="宋体" w:hAnsi="宋体"/>
                <w:b/>
              </w:rPr>
            </w:pPr>
            <w:r>
              <w:rPr>
                <w:rFonts w:hint="eastAsia" w:ascii="宋体" w:hAnsi="宋体"/>
                <w:b/>
              </w:rPr>
              <w:t>投产时间</w:t>
            </w:r>
          </w:p>
        </w:tc>
        <w:tc>
          <w:tcPr>
            <w:tcW w:w="321" w:type="pct"/>
            <w:vAlign w:val="center"/>
          </w:tcPr>
          <w:p w14:paraId="13941A79">
            <w:pPr>
              <w:pStyle w:val="12"/>
              <w:jc w:val="center"/>
              <w:rPr>
                <w:rFonts w:ascii="宋体" w:hAnsi="宋体"/>
                <w:b/>
              </w:rPr>
            </w:pPr>
            <w:r>
              <w:rPr>
                <w:rFonts w:hint="eastAsia" w:ascii="宋体" w:hAnsi="宋体"/>
                <w:b/>
              </w:rPr>
              <w:t>坐落</w:t>
            </w:r>
          </w:p>
          <w:p w14:paraId="3C25BDA9">
            <w:pPr>
              <w:pStyle w:val="12"/>
              <w:jc w:val="center"/>
              <w:rPr>
                <w:rFonts w:ascii="宋体" w:hAnsi="宋体"/>
                <w:b/>
              </w:rPr>
            </w:pPr>
            <w:r>
              <w:rPr>
                <w:rFonts w:hint="eastAsia" w:ascii="宋体" w:hAnsi="宋体"/>
                <w:b/>
              </w:rPr>
              <w:t>地名</w:t>
            </w:r>
          </w:p>
        </w:tc>
      </w:tr>
      <w:tr w14:paraId="7462BA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44FEB4D6">
            <w:pPr>
              <w:pStyle w:val="12"/>
              <w:jc w:val="center"/>
              <w:rPr>
                <w:rFonts w:ascii="宋体" w:hAnsi="宋体"/>
              </w:rPr>
            </w:pPr>
            <w:r>
              <w:rPr>
                <w:rFonts w:hint="eastAsia" w:ascii="宋体" w:hAnsi="宋体"/>
              </w:rPr>
              <w:t>三枫</w:t>
            </w:r>
          </w:p>
        </w:tc>
        <w:tc>
          <w:tcPr>
            <w:tcW w:w="498" w:type="pct"/>
            <w:vAlign w:val="center"/>
          </w:tcPr>
          <w:p w14:paraId="3EE50E1A">
            <w:pPr>
              <w:pStyle w:val="12"/>
              <w:jc w:val="center"/>
              <w:rPr>
                <w:rFonts w:ascii="宋体" w:hAnsi="宋体"/>
              </w:rPr>
            </w:pPr>
            <w:r>
              <w:rPr>
                <w:rFonts w:hint="eastAsia" w:ascii="宋体" w:hAnsi="宋体"/>
              </w:rPr>
              <w:t>2000</w:t>
            </w:r>
          </w:p>
        </w:tc>
        <w:tc>
          <w:tcPr>
            <w:tcW w:w="427" w:type="pct"/>
            <w:vAlign w:val="center"/>
          </w:tcPr>
          <w:p w14:paraId="56B642B2">
            <w:pPr>
              <w:pStyle w:val="12"/>
              <w:jc w:val="center"/>
              <w:rPr>
                <w:rFonts w:ascii="宋体" w:hAnsi="宋体"/>
              </w:rPr>
            </w:pPr>
            <w:r>
              <w:rPr>
                <w:rFonts w:hint="eastAsia" w:ascii="宋体" w:hAnsi="宋体"/>
              </w:rPr>
              <w:t>2</w:t>
            </w:r>
          </w:p>
        </w:tc>
        <w:tc>
          <w:tcPr>
            <w:tcW w:w="711" w:type="pct"/>
            <w:vAlign w:val="center"/>
          </w:tcPr>
          <w:p w14:paraId="5E987712">
            <w:pPr>
              <w:pStyle w:val="12"/>
              <w:jc w:val="center"/>
              <w:rPr>
                <w:rFonts w:ascii="宋体" w:hAnsi="宋体"/>
              </w:rPr>
            </w:pPr>
            <w:r>
              <w:rPr>
                <w:rFonts w:hint="eastAsia" w:ascii="宋体" w:hAnsi="宋体"/>
              </w:rPr>
              <w:t>2003年12月</w:t>
            </w:r>
          </w:p>
        </w:tc>
        <w:tc>
          <w:tcPr>
            <w:tcW w:w="427" w:type="pct"/>
            <w:vAlign w:val="center"/>
          </w:tcPr>
          <w:p w14:paraId="6FA6596F">
            <w:pPr>
              <w:pStyle w:val="12"/>
              <w:jc w:val="center"/>
              <w:rPr>
                <w:rFonts w:ascii="宋体" w:hAnsi="宋体"/>
              </w:rPr>
            </w:pPr>
            <w:r>
              <w:rPr>
                <w:rFonts w:hint="eastAsia" w:ascii="宋体" w:hAnsi="宋体"/>
              </w:rPr>
              <w:t>全安</w:t>
            </w:r>
          </w:p>
        </w:tc>
        <w:tc>
          <w:tcPr>
            <w:tcW w:w="498" w:type="pct"/>
            <w:vAlign w:val="center"/>
          </w:tcPr>
          <w:p w14:paraId="75B212AF">
            <w:pPr>
              <w:pStyle w:val="12"/>
              <w:jc w:val="center"/>
              <w:rPr>
                <w:rFonts w:ascii="宋体" w:hAnsi="宋体"/>
              </w:rPr>
            </w:pPr>
            <w:r>
              <w:rPr>
                <w:rFonts w:hint="eastAsia" w:ascii="宋体" w:hAnsi="宋体"/>
              </w:rPr>
              <w:t>金刚桥</w:t>
            </w:r>
          </w:p>
        </w:tc>
        <w:tc>
          <w:tcPr>
            <w:tcW w:w="569" w:type="pct"/>
            <w:vAlign w:val="center"/>
          </w:tcPr>
          <w:p w14:paraId="022AC0B3">
            <w:pPr>
              <w:pStyle w:val="12"/>
              <w:jc w:val="center"/>
              <w:rPr>
                <w:rFonts w:ascii="宋体" w:hAnsi="宋体"/>
              </w:rPr>
            </w:pPr>
            <w:r>
              <w:rPr>
                <w:rFonts w:hint="eastAsia" w:ascii="宋体" w:hAnsi="宋体"/>
              </w:rPr>
              <w:t>640</w:t>
            </w:r>
          </w:p>
        </w:tc>
        <w:tc>
          <w:tcPr>
            <w:tcW w:w="388" w:type="pct"/>
            <w:vAlign w:val="center"/>
          </w:tcPr>
          <w:p w14:paraId="13AD2DFC">
            <w:pPr>
              <w:pStyle w:val="12"/>
              <w:jc w:val="center"/>
              <w:rPr>
                <w:rFonts w:ascii="宋体" w:hAnsi="宋体"/>
              </w:rPr>
            </w:pPr>
            <w:r>
              <w:rPr>
                <w:rFonts w:hint="eastAsia" w:ascii="宋体" w:hAnsi="宋体"/>
              </w:rPr>
              <w:t>2</w:t>
            </w:r>
          </w:p>
        </w:tc>
        <w:tc>
          <w:tcPr>
            <w:tcW w:w="679" w:type="pct"/>
            <w:vAlign w:val="center"/>
          </w:tcPr>
          <w:p w14:paraId="24F7C5D3">
            <w:pPr>
              <w:pStyle w:val="12"/>
              <w:jc w:val="center"/>
              <w:rPr>
                <w:rFonts w:ascii="宋体" w:hAnsi="宋体"/>
              </w:rPr>
            </w:pPr>
            <w:r>
              <w:rPr>
                <w:rFonts w:hint="eastAsia" w:ascii="宋体" w:hAnsi="宋体"/>
              </w:rPr>
              <w:t>2003年4月</w:t>
            </w:r>
          </w:p>
        </w:tc>
        <w:tc>
          <w:tcPr>
            <w:tcW w:w="321" w:type="pct"/>
            <w:vAlign w:val="center"/>
          </w:tcPr>
          <w:p w14:paraId="710882FE">
            <w:pPr>
              <w:pStyle w:val="12"/>
              <w:jc w:val="center"/>
              <w:rPr>
                <w:rFonts w:ascii="宋体" w:hAnsi="宋体"/>
              </w:rPr>
            </w:pPr>
            <w:r>
              <w:rPr>
                <w:rFonts w:hint="eastAsia" w:ascii="宋体" w:hAnsi="宋体"/>
              </w:rPr>
              <w:t>全安</w:t>
            </w:r>
          </w:p>
        </w:tc>
      </w:tr>
      <w:tr w14:paraId="7E6409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6D156C14">
            <w:pPr>
              <w:pStyle w:val="12"/>
              <w:jc w:val="center"/>
              <w:rPr>
                <w:rFonts w:ascii="宋体" w:hAnsi="宋体"/>
              </w:rPr>
            </w:pPr>
            <w:r>
              <w:rPr>
                <w:rFonts w:hint="eastAsia" w:ascii="宋体" w:hAnsi="宋体"/>
              </w:rPr>
              <w:t>松潭</w:t>
            </w:r>
          </w:p>
        </w:tc>
        <w:tc>
          <w:tcPr>
            <w:tcW w:w="498" w:type="pct"/>
            <w:vAlign w:val="center"/>
          </w:tcPr>
          <w:p w14:paraId="4B8AAB0B">
            <w:pPr>
              <w:pStyle w:val="12"/>
              <w:jc w:val="center"/>
              <w:rPr>
                <w:rFonts w:ascii="宋体" w:hAnsi="宋体"/>
              </w:rPr>
            </w:pPr>
            <w:r>
              <w:rPr>
                <w:rFonts w:hint="eastAsia" w:ascii="宋体" w:hAnsi="宋体"/>
              </w:rPr>
              <w:t>500</w:t>
            </w:r>
          </w:p>
        </w:tc>
        <w:tc>
          <w:tcPr>
            <w:tcW w:w="427" w:type="pct"/>
            <w:vAlign w:val="center"/>
          </w:tcPr>
          <w:p w14:paraId="0090D20C">
            <w:pPr>
              <w:pStyle w:val="12"/>
              <w:jc w:val="center"/>
              <w:rPr>
                <w:rFonts w:ascii="宋体" w:hAnsi="宋体"/>
              </w:rPr>
            </w:pPr>
            <w:r>
              <w:rPr>
                <w:rFonts w:hint="eastAsia" w:ascii="宋体" w:hAnsi="宋体"/>
              </w:rPr>
              <w:t>2</w:t>
            </w:r>
          </w:p>
        </w:tc>
        <w:tc>
          <w:tcPr>
            <w:tcW w:w="711" w:type="pct"/>
            <w:vAlign w:val="center"/>
          </w:tcPr>
          <w:p w14:paraId="332D7B80">
            <w:pPr>
              <w:pStyle w:val="12"/>
              <w:jc w:val="center"/>
              <w:rPr>
                <w:rFonts w:ascii="宋体" w:hAnsi="宋体"/>
              </w:rPr>
            </w:pPr>
            <w:r>
              <w:rPr>
                <w:rFonts w:hint="eastAsia" w:ascii="宋体" w:hAnsi="宋体"/>
              </w:rPr>
              <w:t>1981年6月</w:t>
            </w:r>
          </w:p>
        </w:tc>
        <w:tc>
          <w:tcPr>
            <w:tcW w:w="427" w:type="pct"/>
            <w:vAlign w:val="center"/>
          </w:tcPr>
          <w:p w14:paraId="745E9FA1">
            <w:pPr>
              <w:pStyle w:val="12"/>
              <w:jc w:val="center"/>
              <w:rPr>
                <w:rFonts w:ascii="宋体" w:hAnsi="宋体"/>
              </w:rPr>
            </w:pPr>
            <w:r>
              <w:rPr>
                <w:rFonts w:hint="eastAsia" w:ascii="宋体" w:hAnsi="宋体"/>
              </w:rPr>
              <w:t>全安</w:t>
            </w:r>
          </w:p>
        </w:tc>
        <w:tc>
          <w:tcPr>
            <w:tcW w:w="498" w:type="pct"/>
            <w:vAlign w:val="center"/>
          </w:tcPr>
          <w:p w14:paraId="05037179">
            <w:pPr>
              <w:pStyle w:val="12"/>
              <w:jc w:val="center"/>
              <w:rPr>
                <w:rFonts w:ascii="宋体" w:hAnsi="宋体"/>
              </w:rPr>
            </w:pPr>
            <w:r>
              <w:rPr>
                <w:rFonts w:hint="eastAsia" w:ascii="宋体" w:hAnsi="宋体"/>
              </w:rPr>
              <w:t>澜溪河</w:t>
            </w:r>
          </w:p>
        </w:tc>
        <w:tc>
          <w:tcPr>
            <w:tcW w:w="569" w:type="pct"/>
            <w:vAlign w:val="center"/>
          </w:tcPr>
          <w:p w14:paraId="5987314C">
            <w:pPr>
              <w:pStyle w:val="12"/>
              <w:jc w:val="center"/>
              <w:rPr>
                <w:rFonts w:ascii="宋体" w:hAnsi="宋体"/>
              </w:rPr>
            </w:pPr>
            <w:r>
              <w:rPr>
                <w:rFonts w:hint="eastAsia" w:ascii="宋体" w:hAnsi="宋体"/>
              </w:rPr>
              <w:t>500</w:t>
            </w:r>
          </w:p>
        </w:tc>
        <w:tc>
          <w:tcPr>
            <w:tcW w:w="388" w:type="pct"/>
            <w:vAlign w:val="center"/>
          </w:tcPr>
          <w:p w14:paraId="2249F101">
            <w:pPr>
              <w:pStyle w:val="12"/>
              <w:jc w:val="center"/>
              <w:rPr>
                <w:rFonts w:ascii="宋体" w:hAnsi="宋体"/>
              </w:rPr>
            </w:pPr>
            <w:r>
              <w:rPr>
                <w:rFonts w:hint="eastAsia" w:ascii="宋体" w:hAnsi="宋体"/>
              </w:rPr>
              <w:t>1</w:t>
            </w:r>
          </w:p>
        </w:tc>
        <w:tc>
          <w:tcPr>
            <w:tcW w:w="679" w:type="pct"/>
            <w:vAlign w:val="center"/>
          </w:tcPr>
          <w:p w14:paraId="301268C9">
            <w:pPr>
              <w:pStyle w:val="12"/>
              <w:jc w:val="center"/>
              <w:rPr>
                <w:rFonts w:ascii="宋体" w:hAnsi="宋体"/>
              </w:rPr>
            </w:pPr>
            <w:r>
              <w:rPr>
                <w:rFonts w:hint="eastAsia" w:ascii="宋体" w:hAnsi="宋体"/>
              </w:rPr>
              <w:t>2003年7月</w:t>
            </w:r>
          </w:p>
        </w:tc>
        <w:tc>
          <w:tcPr>
            <w:tcW w:w="321" w:type="pct"/>
            <w:vAlign w:val="center"/>
          </w:tcPr>
          <w:p w14:paraId="142C6C58">
            <w:pPr>
              <w:pStyle w:val="12"/>
              <w:jc w:val="center"/>
              <w:rPr>
                <w:rFonts w:ascii="宋体" w:hAnsi="宋体"/>
              </w:rPr>
            </w:pPr>
            <w:r>
              <w:rPr>
                <w:rFonts w:hint="eastAsia" w:ascii="宋体" w:hAnsi="宋体"/>
              </w:rPr>
              <w:t>全安</w:t>
            </w:r>
          </w:p>
        </w:tc>
      </w:tr>
      <w:tr w14:paraId="185A53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3E7860A3">
            <w:pPr>
              <w:pStyle w:val="12"/>
              <w:jc w:val="center"/>
              <w:rPr>
                <w:rFonts w:ascii="宋体" w:hAnsi="宋体"/>
              </w:rPr>
            </w:pPr>
            <w:r>
              <w:rPr>
                <w:rFonts w:hint="eastAsia" w:ascii="宋体" w:hAnsi="宋体"/>
              </w:rPr>
              <w:t>澜溪</w:t>
            </w:r>
          </w:p>
        </w:tc>
        <w:tc>
          <w:tcPr>
            <w:tcW w:w="498" w:type="pct"/>
            <w:vAlign w:val="center"/>
          </w:tcPr>
          <w:p w14:paraId="5F4D4F4D">
            <w:pPr>
              <w:pStyle w:val="12"/>
              <w:jc w:val="center"/>
              <w:rPr>
                <w:rFonts w:ascii="宋体" w:hAnsi="宋体"/>
              </w:rPr>
            </w:pPr>
            <w:r>
              <w:rPr>
                <w:rFonts w:hint="eastAsia" w:ascii="宋体" w:hAnsi="宋体"/>
              </w:rPr>
              <w:t>1450</w:t>
            </w:r>
          </w:p>
        </w:tc>
        <w:tc>
          <w:tcPr>
            <w:tcW w:w="427" w:type="pct"/>
            <w:vAlign w:val="center"/>
          </w:tcPr>
          <w:p w14:paraId="27430685">
            <w:pPr>
              <w:pStyle w:val="12"/>
              <w:jc w:val="center"/>
              <w:rPr>
                <w:rFonts w:ascii="宋体" w:hAnsi="宋体"/>
              </w:rPr>
            </w:pPr>
            <w:r>
              <w:rPr>
                <w:rFonts w:hint="eastAsia" w:ascii="宋体" w:hAnsi="宋体"/>
              </w:rPr>
              <w:t>6</w:t>
            </w:r>
          </w:p>
        </w:tc>
        <w:tc>
          <w:tcPr>
            <w:tcW w:w="711" w:type="pct"/>
            <w:vAlign w:val="center"/>
          </w:tcPr>
          <w:p w14:paraId="6BD100C2">
            <w:pPr>
              <w:pStyle w:val="12"/>
              <w:jc w:val="center"/>
              <w:rPr>
                <w:rFonts w:ascii="宋体" w:hAnsi="宋体"/>
              </w:rPr>
            </w:pPr>
            <w:r>
              <w:rPr>
                <w:rFonts w:hint="eastAsia" w:ascii="宋体" w:hAnsi="宋体"/>
              </w:rPr>
              <w:t>1984年2月</w:t>
            </w:r>
          </w:p>
        </w:tc>
        <w:tc>
          <w:tcPr>
            <w:tcW w:w="427" w:type="pct"/>
            <w:vAlign w:val="center"/>
          </w:tcPr>
          <w:p w14:paraId="26FE44FA">
            <w:pPr>
              <w:pStyle w:val="12"/>
              <w:jc w:val="center"/>
              <w:rPr>
                <w:rFonts w:ascii="宋体" w:hAnsi="宋体"/>
              </w:rPr>
            </w:pPr>
            <w:r>
              <w:rPr>
                <w:rFonts w:hint="eastAsia" w:ascii="宋体" w:hAnsi="宋体"/>
              </w:rPr>
              <w:t>全安</w:t>
            </w:r>
          </w:p>
        </w:tc>
        <w:tc>
          <w:tcPr>
            <w:tcW w:w="498" w:type="pct"/>
            <w:vAlign w:val="center"/>
          </w:tcPr>
          <w:p w14:paraId="03AB8B6F">
            <w:pPr>
              <w:pStyle w:val="12"/>
              <w:jc w:val="center"/>
              <w:rPr>
                <w:rFonts w:ascii="宋体" w:hAnsi="宋体"/>
              </w:rPr>
            </w:pPr>
            <w:r>
              <w:rPr>
                <w:rFonts w:hint="eastAsia" w:ascii="宋体" w:hAnsi="宋体"/>
              </w:rPr>
              <w:t>大龙佛</w:t>
            </w:r>
          </w:p>
        </w:tc>
        <w:tc>
          <w:tcPr>
            <w:tcW w:w="569" w:type="pct"/>
            <w:vAlign w:val="center"/>
          </w:tcPr>
          <w:p w14:paraId="6F04E18F">
            <w:pPr>
              <w:pStyle w:val="12"/>
              <w:jc w:val="center"/>
              <w:rPr>
                <w:rFonts w:ascii="宋体" w:hAnsi="宋体"/>
              </w:rPr>
            </w:pPr>
            <w:r>
              <w:rPr>
                <w:rFonts w:hint="eastAsia" w:ascii="宋体" w:hAnsi="宋体"/>
              </w:rPr>
              <w:t>820</w:t>
            </w:r>
          </w:p>
        </w:tc>
        <w:tc>
          <w:tcPr>
            <w:tcW w:w="388" w:type="pct"/>
            <w:vAlign w:val="center"/>
          </w:tcPr>
          <w:p w14:paraId="43042A5C">
            <w:pPr>
              <w:pStyle w:val="12"/>
              <w:jc w:val="center"/>
              <w:rPr>
                <w:rFonts w:ascii="宋体" w:hAnsi="宋体"/>
              </w:rPr>
            </w:pPr>
            <w:r>
              <w:rPr>
                <w:rFonts w:hint="eastAsia" w:ascii="宋体" w:hAnsi="宋体"/>
              </w:rPr>
              <w:t>2</w:t>
            </w:r>
          </w:p>
        </w:tc>
        <w:tc>
          <w:tcPr>
            <w:tcW w:w="679" w:type="pct"/>
            <w:vAlign w:val="center"/>
          </w:tcPr>
          <w:p w14:paraId="50BDE4A1">
            <w:pPr>
              <w:pStyle w:val="12"/>
              <w:jc w:val="center"/>
              <w:rPr>
                <w:rFonts w:ascii="宋体" w:hAnsi="宋体"/>
              </w:rPr>
            </w:pPr>
            <w:r>
              <w:rPr>
                <w:rFonts w:hint="eastAsia" w:ascii="宋体" w:hAnsi="宋体"/>
              </w:rPr>
              <w:t>2003年1月</w:t>
            </w:r>
          </w:p>
        </w:tc>
        <w:tc>
          <w:tcPr>
            <w:tcW w:w="321" w:type="pct"/>
            <w:vAlign w:val="center"/>
          </w:tcPr>
          <w:p w14:paraId="2AFA2CAC">
            <w:pPr>
              <w:pStyle w:val="12"/>
              <w:jc w:val="center"/>
              <w:rPr>
                <w:rFonts w:ascii="宋体" w:hAnsi="宋体"/>
              </w:rPr>
            </w:pPr>
            <w:r>
              <w:rPr>
                <w:rFonts w:hint="eastAsia" w:ascii="宋体" w:hAnsi="宋体"/>
              </w:rPr>
              <w:t>全安</w:t>
            </w:r>
          </w:p>
        </w:tc>
      </w:tr>
      <w:tr w14:paraId="6D38A7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20032923">
            <w:pPr>
              <w:pStyle w:val="12"/>
              <w:jc w:val="center"/>
              <w:rPr>
                <w:rFonts w:ascii="宋体" w:hAnsi="宋体"/>
              </w:rPr>
            </w:pPr>
            <w:r>
              <w:rPr>
                <w:rFonts w:hint="eastAsia" w:ascii="宋体" w:hAnsi="宋体"/>
              </w:rPr>
              <w:t>下南山</w:t>
            </w:r>
          </w:p>
        </w:tc>
        <w:tc>
          <w:tcPr>
            <w:tcW w:w="498" w:type="pct"/>
            <w:vAlign w:val="center"/>
          </w:tcPr>
          <w:p w14:paraId="0168EAF3">
            <w:pPr>
              <w:pStyle w:val="12"/>
              <w:jc w:val="center"/>
              <w:rPr>
                <w:rFonts w:ascii="宋体" w:hAnsi="宋体"/>
              </w:rPr>
            </w:pPr>
            <w:r>
              <w:rPr>
                <w:rFonts w:hint="eastAsia" w:ascii="宋体" w:hAnsi="宋体"/>
              </w:rPr>
              <w:t>640</w:t>
            </w:r>
          </w:p>
        </w:tc>
        <w:tc>
          <w:tcPr>
            <w:tcW w:w="427" w:type="pct"/>
            <w:vAlign w:val="center"/>
          </w:tcPr>
          <w:p w14:paraId="704ED6B9">
            <w:pPr>
              <w:pStyle w:val="12"/>
              <w:jc w:val="center"/>
              <w:rPr>
                <w:rFonts w:ascii="宋体" w:hAnsi="宋体"/>
              </w:rPr>
            </w:pPr>
            <w:r>
              <w:rPr>
                <w:rFonts w:hint="eastAsia" w:ascii="宋体" w:hAnsi="宋体"/>
              </w:rPr>
              <w:t>2</w:t>
            </w:r>
          </w:p>
        </w:tc>
        <w:tc>
          <w:tcPr>
            <w:tcW w:w="711" w:type="pct"/>
            <w:vAlign w:val="center"/>
          </w:tcPr>
          <w:p w14:paraId="2AFC44CF">
            <w:pPr>
              <w:pStyle w:val="12"/>
              <w:jc w:val="center"/>
              <w:rPr>
                <w:rFonts w:ascii="宋体" w:hAnsi="宋体"/>
              </w:rPr>
            </w:pPr>
            <w:r>
              <w:rPr>
                <w:rFonts w:hint="eastAsia" w:ascii="宋体" w:hAnsi="宋体"/>
              </w:rPr>
              <w:t>2005年3月</w:t>
            </w:r>
          </w:p>
        </w:tc>
        <w:tc>
          <w:tcPr>
            <w:tcW w:w="427" w:type="pct"/>
            <w:vAlign w:val="center"/>
          </w:tcPr>
          <w:p w14:paraId="13642FFC">
            <w:pPr>
              <w:pStyle w:val="12"/>
              <w:jc w:val="center"/>
              <w:rPr>
                <w:rFonts w:ascii="宋体" w:hAnsi="宋体"/>
              </w:rPr>
            </w:pPr>
            <w:r>
              <w:rPr>
                <w:rFonts w:hint="eastAsia" w:ascii="宋体" w:hAnsi="宋体"/>
              </w:rPr>
              <w:t>全安</w:t>
            </w:r>
          </w:p>
        </w:tc>
        <w:tc>
          <w:tcPr>
            <w:tcW w:w="498" w:type="pct"/>
            <w:vAlign w:val="center"/>
          </w:tcPr>
          <w:p w14:paraId="0DF9FC2A">
            <w:pPr>
              <w:pStyle w:val="12"/>
              <w:jc w:val="center"/>
              <w:rPr>
                <w:rFonts w:ascii="宋体" w:hAnsi="宋体"/>
              </w:rPr>
            </w:pPr>
            <w:r>
              <w:rPr>
                <w:rFonts w:hint="eastAsia" w:ascii="宋体" w:hAnsi="宋体"/>
              </w:rPr>
              <w:t>五龙潭</w:t>
            </w:r>
          </w:p>
        </w:tc>
        <w:tc>
          <w:tcPr>
            <w:tcW w:w="569" w:type="pct"/>
            <w:vAlign w:val="center"/>
          </w:tcPr>
          <w:p w14:paraId="7CE5E0B0">
            <w:pPr>
              <w:pStyle w:val="12"/>
              <w:jc w:val="center"/>
              <w:rPr>
                <w:rFonts w:ascii="宋体" w:hAnsi="宋体"/>
              </w:rPr>
            </w:pPr>
            <w:r>
              <w:rPr>
                <w:rFonts w:hint="eastAsia" w:ascii="宋体" w:hAnsi="宋体"/>
              </w:rPr>
              <w:t>750</w:t>
            </w:r>
          </w:p>
        </w:tc>
        <w:tc>
          <w:tcPr>
            <w:tcW w:w="388" w:type="pct"/>
            <w:vAlign w:val="center"/>
          </w:tcPr>
          <w:p w14:paraId="28DC52DB">
            <w:pPr>
              <w:pStyle w:val="12"/>
              <w:jc w:val="center"/>
              <w:rPr>
                <w:rFonts w:ascii="宋体" w:hAnsi="宋体"/>
              </w:rPr>
            </w:pPr>
            <w:r>
              <w:rPr>
                <w:rFonts w:hint="eastAsia" w:ascii="宋体" w:hAnsi="宋体"/>
              </w:rPr>
              <w:t>2</w:t>
            </w:r>
          </w:p>
        </w:tc>
        <w:tc>
          <w:tcPr>
            <w:tcW w:w="679" w:type="pct"/>
            <w:vAlign w:val="center"/>
          </w:tcPr>
          <w:p w14:paraId="62CBE535">
            <w:pPr>
              <w:pStyle w:val="12"/>
              <w:jc w:val="center"/>
              <w:rPr>
                <w:rFonts w:ascii="宋体" w:hAnsi="宋体"/>
              </w:rPr>
            </w:pPr>
            <w:r>
              <w:rPr>
                <w:rFonts w:hint="eastAsia" w:ascii="宋体" w:hAnsi="宋体"/>
              </w:rPr>
              <w:t>2000年6月</w:t>
            </w:r>
          </w:p>
        </w:tc>
        <w:tc>
          <w:tcPr>
            <w:tcW w:w="321" w:type="pct"/>
            <w:vAlign w:val="center"/>
          </w:tcPr>
          <w:p w14:paraId="65E4A768">
            <w:pPr>
              <w:pStyle w:val="12"/>
              <w:jc w:val="center"/>
              <w:rPr>
                <w:rFonts w:ascii="宋体" w:hAnsi="宋体"/>
              </w:rPr>
            </w:pPr>
            <w:r>
              <w:rPr>
                <w:rFonts w:hint="eastAsia" w:ascii="宋体" w:hAnsi="宋体"/>
              </w:rPr>
              <w:t>全安</w:t>
            </w:r>
          </w:p>
        </w:tc>
      </w:tr>
      <w:tr w14:paraId="79B7AC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6D67418E">
            <w:pPr>
              <w:pStyle w:val="12"/>
              <w:jc w:val="center"/>
              <w:rPr>
                <w:rFonts w:ascii="宋体" w:hAnsi="宋体"/>
              </w:rPr>
            </w:pPr>
            <w:r>
              <w:rPr>
                <w:rFonts w:hint="eastAsia" w:ascii="宋体" w:hAnsi="宋体"/>
              </w:rPr>
              <w:t>帽子峰林场</w:t>
            </w:r>
          </w:p>
        </w:tc>
        <w:tc>
          <w:tcPr>
            <w:tcW w:w="498" w:type="pct"/>
            <w:vAlign w:val="center"/>
          </w:tcPr>
          <w:p w14:paraId="328FE1C2">
            <w:pPr>
              <w:pStyle w:val="12"/>
              <w:jc w:val="center"/>
              <w:rPr>
                <w:rFonts w:ascii="宋体" w:hAnsi="宋体"/>
              </w:rPr>
            </w:pPr>
            <w:r>
              <w:rPr>
                <w:rFonts w:hint="eastAsia" w:ascii="宋体" w:hAnsi="宋体"/>
              </w:rPr>
              <w:t>3080</w:t>
            </w:r>
          </w:p>
        </w:tc>
        <w:tc>
          <w:tcPr>
            <w:tcW w:w="427" w:type="pct"/>
            <w:vAlign w:val="center"/>
          </w:tcPr>
          <w:p w14:paraId="39A0E4C1">
            <w:pPr>
              <w:pStyle w:val="12"/>
              <w:jc w:val="center"/>
              <w:rPr>
                <w:rFonts w:ascii="宋体" w:hAnsi="宋体"/>
              </w:rPr>
            </w:pPr>
            <w:r>
              <w:rPr>
                <w:rFonts w:hint="eastAsia" w:ascii="宋体" w:hAnsi="宋体"/>
              </w:rPr>
              <w:t>13</w:t>
            </w:r>
          </w:p>
        </w:tc>
        <w:tc>
          <w:tcPr>
            <w:tcW w:w="711" w:type="pct"/>
            <w:vAlign w:val="center"/>
          </w:tcPr>
          <w:p w14:paraId="42053D9A">
            <w:pPr>
              <w:pStyle w:val="12"/>
              <w:jc w:val="center"/>
              <w:rPr>
                <w:rFonts w:ascii="宋体" w:hAnsi="宋体"/>
              </w:rPr>
            </w:pPr>
            <w:r>
              <w:rPr>
                <w:rFonts w:hint="eastAsia" w:ascii="宋体" w:hAnsi="宋体"/>
              </w:rPr>
              <w:t>1975年12月</w:t>
            </w:r>
          </w:p>
        </w:tc>
        <w:tc>
          <w:tcPr>
            <w:tcW w:w="427" w:type="pct"/>
            <w:vAlign w:val="center"/>
          </w:tcPr>
          <w:p w14:paraId="5A4E0537">
            <w:pPr>
              <w:pStyle w:val="12"/>
              <w:jc w:val="center"/>
              <w:rPr>
                <w:rFonts w:ascii="宋体" w:hAnsi="宋体"/>
              </w:rPr>
            </w:pPr>
            <w:r>
              <w:rPr>
                <w:rFonts w:hint="eastAsia" w:ascii="宋体" w:hAnsi="宋体"/>
              </w:rPr>
              <w:t>帽子峰</w:t>
            </w:r>
          </w:p>
        </w:tc>
        <w:tc>
          <w:tcPr>
            <w:tcW w:w="498" w:type="pct"/>
            <w:vAlign w:val="center"/>
          </w:tcPr>
          <w:p w14:paraId="47E1AAA7">
            <w:pPr>
              <w:pStyle w:val="12"/>
              <w:jc w:val="center"/>
              <w:rPr>
                <w:rFonts w:ascii="宋体" w:hAnsi="宋体"/>
              </w:rPr>
            </w:pPr>
            <w:r>
              <w:rPr>
                <w:rFonts w:hint="eastAsia" w:ascii="宋体" w:hAnsi="宋体"/>
              </w:rPr>
              <w:t>翁坪</w:t>
            </w:r>
          </w:p>
        </w:tc>
        <w:tc>
          <w:tcPr>
            <w:tcW w:w="569" w:type="pct"/>
            <w:vAlign w:val="center"/>
          </w:tcPr>
          <w:p w14:paraId="15CAF068">
            <w:pPr>
              <w:pStyle w:val="12"/>
              <w:jc w:val="center"/>
              <w:rPr>
                <w:rFonts w:ascii="宋体" w:hAnsi="宋体"/>
              </w:rPr>
            </w:pPr>
            <w:r>
              <w:rPr>
                <w:rFonts w:hint="eastAsia" w:ascii="宋体" w:hAnsi="宋体"/>
              </w:rPr>
              <w:t>1000</w:t>
            </w:r>
          </w:p>
        </w:tc>
        <w:tc>
          <w:tcPr>
            <w:tcW w:w="388" w:type="pct"/>
            <w:vAlign w:val="center"/>
          </w:tcPr>
          <w:p w14:paraId="4A2AA5B6">
            <w:pPr>
              <w:pStyle w:val="12"/>
              <w:jc w:val="center"/>
              <w:rPr>
                <w:rFonts w:ascii="宋体" w:hAnsi="宋体"/>
              </w:rPr>
            </w:pPr>
            <w:r>
              <w:rPr>
                <w:rFonts w:hint="eastAsia" w:ascii="宋体" w:hAnsi="宋体"/>
              </w:rPr>
              <w:t>—</w:t>
            </w:r>
          </w:p>
        </w:tc>
        <w:tc>
          <w:tcPr>
            <w:tcW w:w="679" w:type="pct"/>
            <w:vAlign w:val="center"/>
          </w:tcPr>
          <w:p w14:paraId="3BBB4091">
            <w:pPr>
              <w:pStyle w:val="12"/>
              <w:jc w:val="center"/>
              <w:rPr>
                <w:rFonts w:ascii="宋体" w:hAnsi="宋体"/>
              </w:rPr>
            </w:pPr>
            <w:r>
              <w:rPr>
                <w:rFonts w:hint="eastAsia" w:ascii="宋体" w:hAnsi="宋体"/>
              </w:rPr>
              <w:t>2005年3月</w:t>
            </w:r>
          </w:p>
        </w:tc>
        <w:tc>
          <w:tcPr>
            <w:tcW w:w="321" w:type="pct"/>
            <w:vAlign w:val="center"/>
          </w:tcPr>
          <w:p w14:paraId="2F38D7CB">
            <w:pPr>
              <w:pStyle w:val="12"/>
              <w:jc w:val="center"/>
              <w:rPr>
                <w:rFonts w:ascii="宋体" w:hAnsi="宋体"/>
              </w:rPr>
            </w:pPr>
            <w:r>
              <w:rPr>
                <w:rFonts w:hint="eastAsia" w:ascii="宋体" w:hAnsi="宋体"/>
              </w:rPr>
              <w:t>南亩</w:t>
            </w:r>
          </w:p>
        </w:tc>
      </w:tr>
      <w:tr w14:paraId="00E6C8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6DC25040">
            <w:pPr>
              <w:pStyle w:val="12"/>
              <w:jc w:val="center"/>
              <w:rPr>
                <w:rFonts w:ascii="宋体" w:hAnsi="宋体"/>
              </w:rPr>
            </w:pPr>
            <w:r>
              <w:rPr>
                <w:rFonts w:hint="eastAsia" w:ascii="宋体" w:hAnsi="宋体"/>
              </w:rPr>
              <w:t>澜河</w:t>
            </w:r>
          </w:p>
        </w:tc>
        <w:tc>
          <w:tcPr>
            <w:tcW w:w="498" w:type="pct"/>
            <w:vAlign w:val="center"/>
          </w:tcPr>
          <w:p w14:paraId="4A7F4EA1">
            <w:pPr>
              <w:pStyle w:val="12"/>
              <w:jc w:val="center"/>
              <w:rPr>
                <w:rFonts w:ascii="宋体" w:hAnsi="宋体"/>
              </w:rPr>
            </w:pPr>
            <w:r>
              <w:rPr>
                <w:rFonts w:hint="eastAsia" w:ascii="宋体" w:hAnsi="宋体"/>
              </w:rPr>
              <w:t>980</w:t>
            </w:r>
          </w:p>
        </w:tc>
        <w:tc>
          <w:tcPr>
            <w:tcW w:w="427" w:type="pct"/>
            <w:vAlign w:val="center"/>
          </w:tcPr>
          <w:p w14:paraId="48644D3B">
            <w:pPr>
              <w:pStyle w:val="12"/>
              <w:jc w:val="center"/>
              <w:rPr>
                <w:rFonts w:ascii="宋体" w:hAnsi="宋体"/>
              </w:rPr>
            </w:pPr>
            <w:r>
              <w:rPr>
                <w:rFonts w:hint="eastAsia" w:ascii="宋体" w:hAnsi="宋体"/>
              </w:rPr>
              <w:t>8</w:t>
            </w:r>
          </w:p>
        </w:tc>
        <w:tc>
          <w:tcPr>
            <w:tcW w:w="711" w:type="pct"/>
            <w:vAlign w:val="center"/>
          </w:tcPr>
          <w:p w14:paraId="5F19A078">
            <w:pPr>
              <w:pStyle w:val="12"/>
              <w:jc w:val="center"/>
              <w:rPr>
                <w:rFonts w:ascii="宋体" w:hAnsi="宋体"/>
              </w:rPr>
            </w:pPr>
            <w:r>
              <w:rPr>
                <w:rFonts w:hint="eastAsia" w:ascii="宋体" w:hAnsi="宋体"/>
              </w:rPr>
              <w:t>1993年1月</w:t>
            </w:r>
          </w:p>
        </w:tc>
        <w:tc>
          <w:tcPr>
            <w:tcW w:w="427" w:type="pct"/>
            <w:vAlign w:val="center"/>
          </w:tcPr>
          <w:p w14:paraId="3E44729E">
            <w:pPr>
              <w:pStyle w:val="12"/>
              <w:jc w:val="center"/>
              <w:rPr>
                <w:rFonts w:ascii="宋体" w:hAnsi="宋体"/>
              </w:rPr>
            </w:pPr>
            <w:r>
              <w:rPr>
                <w:rFonts w:hint="eastAsia" w:ascii="宋体" w:hAnsi="宋体"/>
              </w:rPr>
              <w:t>澜河</w:t>
            </w:r>
          </w:p>
        </w:tc>
        <w:tc>
          <w:tcPr>
            <w:tcW w:w="498" w:type="pct"/>
            <w:vAlign w:val="center"/>
          </w:tcPr>
          <w:p w14:paraId="04D4527E">
            <w:pPr>
              <w:pStyle w:val="12"/>
              <w:jc w:val="center"/>
              <w:rPr>
                <w:rFonts w:ascii="宋体" w:hAnsi="宋体"/>
              </w:rPr>
            </w:pPr>
            <w:r>
              <w:rPr>
                <w:rFonts w:hint="eastAsia" w:ascii="宋体" w:hAnsi="宋体"/>
              </w:rPr>
              <w:t>兰州</w:t>
            </w:r>
          </w:p>
        </w:tc>
        <w:tc>
          <w:tcPr>
            <w:tcW w:w="569" w:type="pct"/>
            <w:vAlign w:val="center"/>
          </w:tcPr>
          <w:p w14:paraId="152E6D23">
            <w:pPr>
              <w:pStyle w:val="12"/>
              <w:jc w:val="center"/>
              <w:rPr>
                <w:rFonts w:ascii="宋体" w:hAnsi="宋体"/>
              </w:rPr>
            </w:pPr>
            <w:r>
              <w:rPr>
                <w:rFonts w:hint="eastAsia" w:ascii="宋体" w:hAnsi="宋体"/>
              </w:rPr>
              <w:t>1830</w:t>
            </w:r>
          </w:p>
        </w:tc>
        <w:tc>
          <w:tcPr>
            <w:tcW w:w="388" w:type="pct"/>
            <w:vAlign w:val="center"/>
          </w:tcPr>
          <w:p w14:paraId="02887087">
            <w:pPr>
              <w:pStyle w:val="12"/>
              <w:jc w:val="center"/>
              <w:rPr>
                <w:rFonts w:ascii="宋体" w:hAnsi="宋体"/>
              </w:rPr>
            </w:pPr>
            <w:r>
              <w:rPr>
                <w:rFonts w:hint="eastAsia" w:ascii="宋体" w:hAnsi="宋体"/>
              </w:rPr>
              <w:t>6</w:t>
            </w:r>
          </w:p>
        </w:tc>
        <w:tc>
          <w:tcPr>
            <w:tcW w:w="679" w:type="pct"/>
            <w:vAlign w:val="center"/>
          </w:tcPr>
          <w:p w14:paraId="5BC5674D">
            <w:pPr>
              <w:pStyle w:val="12"/>
              <w:jc w:val="center"/>
              <w:rPr>
                <w:rFonts w:ascii="宋体" w:hAnsi="宋体"/>
              </w:rPr>
            </w:pPr>
            <w:r>
              <w:rPr>
                <w:rFonts w:hint="eastAsia" w:ascii="宋体" w:hAnsi="宋体"/>
              </w:rPr>
              <w:t>2003年8月</w:t>
            </w:r>
          </w:p>
        </w:tc>
        <w:tc>
          <w:tcPr>
            <w:tcW w:w="321" w:type="pct"/>
            <w:vAlign w:val="center"/>
          </w:tcPr>
          <w:p w14:paraId="05490F4A">
            <w:pPr>
              <w:pStyle w:val="12"/>
              <w:jc w:val="center"/>
              <w:rPr>
                <w:rFonts w:ascii="宋体" w:hAnsi="宋体"/>
              </w:rPr>
            </w:pPr>
            <w:r>
              <w:rPr>
                <w:rFonts w:hint="eastAsia" w:ascii="宋体" w:hAnsi="宋体"/>
              </w:rPr>
              <w:t>南亩</w:t>
            </w:r>
          </w:p>
        </w:tc>
      </w:tr>
      <w:tr w14:paraId="07864B1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16A7079F">
            <w:pPr>
              <w:pStyle w:val="12"/>
              <w:jc w:val="center"/>
              <w:rPr>
                <w:rFonts w:ascii="宋体" w:hAnsi="宋体"/>
              </w:rPr>
            </w:pPr>
            <w:r>
              <w:rPr>
                <w:rFonts w:hint="eastAsia" w:ascii="宋体" w:hAnsi="宋体"/>
              </w:rPr>
              <w:t>白云</w:t>
            </w:r>
          </w:p>
        </w:tc>
        <w:tc>
          <w:tcPr>
            <w:tcW w:w="498" w:type="pct"/>
            <w:vAlign w:val="center"/>
          </w:tcPr>
          <w:p w14:paraId="24FBDAE3">
            <w:pPr>
              <w:pStyle w:val="12"/>
              <w:jc w:val="center"/>
              <w:rPr>
                <w:rFonts w:ascii="宋体" w:hAnsi="宋体"/>
              </w:rPr>
            </w:pPr>
            <w:r>
              <w:rPr>
                <w:rFonts w:hint="eastAsia" w:ascii="宋体" w:hAnsi="宋体"/>
              </w:rPr>
              <w:t>2240</w:t>
            </w:r>
          </w:p>
        </w:tc>
        <w:tc>
          <w:tcPr>
            <w:tcW w:w="427" w:type="pct"/>
            <w:vAlign w:val="center"/>
          </w:tcPr>
          <w:p w14:paraId="501BCA38">
            <w:pPr>
              <w:pStyle w:val="12"/>
              <w:jc w:val="center"/>
              <w:rPr>
                <w:rFonts w:ascii="宋体" w:hAnsi="宋体"/>
              </w:rPr>
            </w:pPr>
            <w:r>
              <w:rPr>
                <w:rFonts w:hint="eastAsia" w:ascii="宋体" w:hAnsi="宋体"/>
              </w:rPr>
              <w:t>12</w:t>
            </w:r>
          </w:p>
        </w:tc>
        <w:tc>
          <w:tcPr>
            <w:tcW w:w="711" w:type="pct"/>
            <w:vAlign w:val="center"/>
          </w:tcPr>
          <w:p w14:paraId="7A5D1199">
            <w:pPr>
              <w:pStyle w:val="12"/>
              <w:jc w:val="center"/>
              <w:rPr>
                <w:rFonts w:ascii="宋体" w:hAnsi="宋体"/>
              </w:rPr>
            </w:pPr>
            <w:r>
              <w:rPr>
                <w:rFonts w:hint="eastAsia" w:ascii="宋体" w:hAnsi="宋体"/>
              </w:rPr>
              <w:t>1987年6月</w:t>
            </w:r>
          </w:p>
        </w:tc>
        <w:tc>
          <w:tcPr>
            <w:tcW w:w="427" w:type="pct"/>
            <w:vAlign w:val="center"/>
          </w:tcPr>
          <w:p w14:paraId="151E39E3">
            <w:pPr>
              <w:pStyle w:val="12"/>
              <w:jc w:val="center"/>
              <w:rPr>
                <w:rFonts w:ascii="宋体" w:hAnsi="宋体"/>
              </w:rPr>
            </w:pPr>
            <w:r>
              <w:rPr>
                <w:rFonts w:hint="eastAsia" w:ascii="宋体" w:hAnsi="宋体"/>
              </w:rPr>
              <w:t>澜河</w:t>
            </w:r>
          </w:p>
        </w:tc>
        <w:tc>
          <w:tcPr>
            <w:tcW w:w="498" w:type="pct"/>
            <w:vAlign w:val="center"/>
          </w:tcPr>
          <w:p w14:paraId="3BFD5237">
            <w:pPr>
              <w:pStyle w:val="12"/>
              <w:jc w:val="center"/>
              <w:rPr>
                <w:rFonts w:ascii="宋体" w:hAnsi="宋体"/>
              </w:rPr>
            </w:pPr>
            <w:r>
              <w:rPr>
                <w:rFonts w:hint="eastAsia" w:ascii="宋体" w:hAnsi="宋体"/>
              </w:rPr>
              <w:t>五龟洞</w:t>
            </w:r>
          </w:p>
        </w:tc>
        <w:tc>
          <w:tcPr>
            <w:tcW w:w="569" w:type="pct"/>
            <w:vAlign w:val="center"/>
          </w:tcPr>
          <w:p w14:paraId="2F3FD4F7">
            <w:pPr>
              <w:pStyle w:val="12"/>
              <w:jc w:val="center"/>
              <w:rPr>
                <w:rFonts w:ascii="宋体" w:hAnsi="宋体"/>
              </w:rPr>
            </w:pPr>
            <w:r>
              <w:rPr>
                <w:rFonts w:hint="eastAsia" w:ascii="宋体" w:hAnsi="宋体"/>
              </w:rPr>
              <w:t>640</w:t>
            </w:r>
          </w:p>
        </w:tc>
        <w:tc>
          <w:tcPr>
            <w:tcW w:w="388" w:type="pct"/>
            <w:vAlign w:val="center"/>
          </w:tcPr>
          <w:p w14:paraId="2D15FF44">
            <w:pPr>
              <w:pStyle w:val="12"/>
              <w:jc w:val="center"/>
              <w:rPr>
                <w:rFonts w:ascii="宋体" w:hAnsi="宋体"/>
              </w:rPr>
            </w:pPr>
            <w:r>
              <w:rPr>
                <w:rFonts w:hint="eastAsia" w:ascii="宋体" w:hAnsi="宋体"/>
              </w:rPr>
              <w:t>2</w:t>
            </w:r>
          </w:p>
        </w:tc>
        <w:tc>
          <w:tcPr>
            <w:tcW w:w="679" w:type="pct"/>
            <w:vAlign w:val="center"/>
          </w:tcPr>
          <w:p w14:paraId="0E46E8AD">
            <w:pPr>
              <w:pStyle w:val="12"/>
              <w:jc w:val="center"/>
              <w:rPr>
                <w:rFonts w:ascii="宋体" w:hAnsi="宋体"/>
              </w:rPr>
            </w:pPr>
            <w:r>
              <w:rPr>
                <w:rFonts w:hint="eastAsia" w:ascii="宋体" w:hAnsi="宋体"/>
              </w:rPr>
              <w:t>2002年8月</w:t>
            </w:r>
          </w:p>
        </w:tc>
        <w:tc>
          <w:tcPr>
            <w:tcW w:w="321" w:type="pct"/>
            <w:vAlign w:val="center"/>
          </w:tcPr>
          <w:p w14:paraId="5862D301">
            <w:pPr>
              <w:pStyle w:val="12"/>
              <w:jc w:val="center"/>
              <w:rPr>
                <w:rFonts w:ascii="宋体" w:hAnsi="宋体"/>
              </w:rPr>
            </w:pPr>
            <w:r>
              <w:rPr>
                <w:rFonts w:hint="eastAsia" w:ascii="宋体" w:hAnsi="宋体"/>
              </w:rPr>
              <w:t>古市</w:t>
            </w:r>
          </w:p>
        </w:tc>
      </w:tr>
      <w:tr w14:paraId="02C6337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022BFF84">
            <w:pPr>
              <w:pStyle w:val="12"/>
              <w:jc w:val="center"/>
              <w:rPr>
                <w:rFonts w:ascii="宋体" w:hAnsi="宋体"/>
              </w:rPr>
            </w:pPr>
            <w:r>
              <w:rPr>
                <w:rFonts w:hint="eastAsia" w:ascii="宋体" w:hAnsi="宋体"/>
              </w:rPr>
              <w:t>东洲</w:t>
            </w:r>
          </w:p>
        </w:tc>
        <w:tc>
          <w:tcPr>
            <w:tcW w:w="498" w:type="pct"/>
            <w:vAlign w:val="center"/>
          </w:tcPr>
          <w:p w14:paraId="35C44367">
            <w:pPr>
              <w:pStyle w:val="12"/>
              <w:jc w:val="center"/>
              <w:rPr>
                <w:rFonts w:ascii="宋体" w:hAnsi="宋体"/>
              </w:rPr>
            </w:pPr>
            <w:r>
              <w:rPr>
                <w:rFonts w:hint="eastAsia" w:ascii="宋体" w:hAnsi="宋体"/>
              </w:rPr>
              <w:t>930</w:t>
            </w:r>
          </w:p>
        </w:tc>
        <w:tc>
          <w:tcPr>
            <w:tcW w:w="427" w:type="pct"/>
            <w:vAlign w:val="center"/>
          </w:tcPr>
          <w:p w14:paraId="3B3D6E6E">
            <w:pPr>
              <w:pStyle w:val="12"/>
              <w:jc w:val="center"/>
              <w:rPr>
                <w:rFonts w:ascii="宋体" w:hAnsi="宋体"/>
              </w:rPr>
            </w:pPr>
            <w:r>
              <w:rPr>
                <w:rFonts w:hint="eastAsia" w:ascii="宋体" w:hAnsi="宋体"/>
              </w:rPr>
              <w:t>6</w:t>
            </w:r>
          </w:p>
        </w:tc>
        <w:tc>
          <w:tcPr>
            <w:tcW w:w="711" w:type="pct"/>
            <w:vAlign w:val="center"/>
          </w:tcPr>
          <w:p w14:paraId="24C5E3A8">
            <w:pPr>
              <w:pStyle w:val="12"/>
              <w:jc w:val="center"/>
              <w:rPr>
                <w:rFonts w:ascii="宋体" w:hAnsi="宋体"/>
              </w:rPr>
            </w:pPr>
            <w:r>
              <w:rPr>
                <w:rFonts w:hint="eastAsia" w:ascii="宋体" w:hAnsi="宋体"/>
              </w:rPr>
              <w:t>1982年10月</w:t>
            </w:r>
          </w:p>
        </w:tc>
        <w:tc>
          <w:tcPr>
            <w:tcW w:w="427" w:type="pct"/>
            <w:vAlign w:val="center"/>
          </w:tcPr>
          <w:p w14:paraId="49F9BEC5">
            <w:pPr>
              <w:pStyle w:val="12"/>
              <w:jc w:val="center"/>
              <w:rPr>
                <w:rFonts w:ascii="宋体" w:hAnsi="宋体"/>
              </w:rPr>
            </w:pPr>
            <w:r>
              <w:rPr>
                <w:rFonts w:hint="eastAsia" w:ascii="宋体" w:hAnsi="宋体"/>
              </w:rPr>
              <w:t>百顺</w:t>
            </w:r>
          </w:p>
        </w:tc>
        <w:tc>
          <w:tcPr>
            <w:tcW w:w="498" w:type="pct"/>
            <w:vAlign w:val="center"/>
          </w:tcPr>
          <w:p w14:paraId="06D59C4B">
            <w:pPr>
              <w:pStyle w:val="12"/>
              <w:jc w:val="center"/>
              <w:rPr>
                <w:rFonts w:ascii="宋体" w:hAnsi="宋体"/>
              </w:rPr>
            </w:pPr>
            <w:r>
              <w:rPr>
                <w:rFonts w:hint="eastAsia" w:ascii="宋体" w:hAnsi="宋体"/>
              </w:rPr>
              <w:t>茶田</w:t>
            </w:r>
          </w:p>
        </w:tc>
        <w:tc>
          <w:tcPr>
            <w:tcW w:w="569" w:type="pct"/>
            <w:vAlign w:val="center"/>
          </w:tcPr>
          <w:p w14:paraId="7D355640">
            <w:pPr>
              <w:pStyle w:val="12"/>
              <w:jc w:val="center"/>
              <w:rPr>
                <w:rFonts w:ascii="宋体" w:hAnsi="宋体"/>
              </w:rPr>
            </w:pPr>
            <w:r>
              <w:rPr>
                <w:rFonts w:hint="eastAsia" w:ascii="宋体" w:hAnsi="宋体"/>
              </w:rPr>
              <w:t>640</w:t>
            </w:r>
          </w:p>
        </w:tc>
        <w:tc>
          <w:tcPr>
            <w:tcW w:w="388" w:type="pct"/>
            <w:vAlign w:val="center"/>
          </w:tcPr>
          <w:p w14:paraId="1F006B29">
            <w:pPr>
              <w:pStyle w:val="12"/>
              <w:jc w:val="center"/>
              <w:rPr>
                <w:rFonts w:ascii="宋体" w:hAnsi="宋体"/>
              </w:rPr>
            </w:pPr>
            <w:r>
              <w:rPr>
                <w:rFonts w:hint="eastAsia" w:ascii="宋体" w:hAnsi="宋体"/>
              </w:rPr>
              <w:t>2</w:t>
            </w:r>
          </w:p>
        </w:tc>
        <w:tc>
          <w:tcPr>
            <w:tcW w:w="679" w:type="pct"/>
            <w:vAlign w:val="center"/>
          </w:tcPr>
          <w:p w14:paraId="15C02DD0">
            <w:pPr>
              <w:pStyle w:val="12"/>
              <w:jc w:val="center"/>
              <w:rPr>
                <w:rFonts w:ascii="宋体" w:hAnsi="宋体"/>
              </w:rPr>
            </w:pPr>
            <w:r>
              <w:rPr>
                <w:rFonts w:hint="eastAsia" w:ascii="宋体" w:hAnsi="宋体"/>
              </w:rPr>
              <w:t>2002年7月</w:t>
            </w:r>
          </w:p>
        </w:tc>
        <w:tc>
          <w:tcPr>
            <w:tcW w:w="321" w:type="pct"/>
            <w:vAlign w:val="center"/>
          </w:tcPr>
          <w:p w14:paraId="131A4BB6">
            <w:pPr>
              <w:pStyle w:val="12"/>
              <w:jc w:val="center"/>
              <w:rPr>
                <w:rFonts w:ascii="宋体" w:hAnsi="宋体"/>
              </w:rPr>
            </w:pPr>
            <w:r>
              <w:rPr>
                <w:rFonts w:hint="eastAsia" w:ascii="宋体" w:hAnsi="宋体"/>
              </w:rPr>
              <w:t>油山</w:t>
            </w:r>
          </w:p>
        </w:tc>
      </w:tr>
      <w:tr w14:paraId="577D88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3EF80224">
            <w:pPr>
              <w:pStyle w:val="12"/>
              <w:jc w:val="center"/>
              <w:rPr>
                <w:rFonts w:ascii="宋体" w:hAnsi="宋体"/>
              </w:rPr>
            </w:pPr>
            <w:r>
              <w:rPr>
                <w:rFonts w:hint="eastAsia" w:ascii="宋体" w:hAnsi="宋体"/>
              </w:rPr>
              <w:t>学校</w:t>
            </w:r>
          </w:p>
        </w:tc>
        <w:tc>
          <w:tcPr>
            <w:tcW w:w="498" w:type="pct"/>
            <w:vAlign w:val="center"/>
          </w:tcPr>
          <w:p w14:paraId="19733BE8">
            <w:pPr>
              <w:pStyle w:val="12"/>
              <w:jc w:val="center"/>
              <w:rPr>
                <w:rFonts w:ascii="宋体" w:hAnsi="宋体"/>
              </w:rPr>
            </w:pPr>
            <w:r>
              <w:rPr>
                <w:rFonts w:hint="eastAsia" w:ascii="宋体" w:hAnsi="宋体"/>
              </w:rPr>
              <w:t>645</w:t>
            </w:r>
          </w:p>
        </w:tc>
        <w:tc>
          <w:tcPr>
            <w:tcW w:w="427" w:type="pct"/>
            <w:vAlign w:val="center"/>
          </w:tcPr>
          <w:p w14:paraId="32B185F2">
            <w:pPr>
              <w:pStyle w:val="12"/>
              <w:jc w:val="center"/>
              <w:rPr>
                <w:rFonts w:ascii="宋体" w:hAnsi="宋体"/>
              </w:rPr>
            </w:pPr>
            <w:r>
              <w:rPr>
                <w:rFonts w:hint="eastAsia" w:ascii="宋体" w:hAnsi="宋体"/>
              </w:rPr>
              <w:t>3</w:t>
            </w:r>
          </w:p>
        </w:tc>
        <w:tc>
          <w:tcPr>
            <w:tcW w:w="711" w:type="pct"/>
            <w:vAlign w:val="center"/>
          </w:tcPr>
          <w:p w14:paraId="7EE19798">
            <w:pPr>
              <w:pStyle w:val="12"/>
              <w:jc w:val="center"/>
              <w:rPr>
                <w:rFonts w:ascii="宋体" w:hAnsi="宋体"/>
              </w:rPr>
            </w:pPr>
            <w:r>
              <w:rPr>
                <w:rFonts w:hint="eastAsia" w:ascii="宋体" w:hAnsi="宋体"/>
              </w:rPr>
              <w:t>1986年3月</w:t>
            </w:r>
          </w:p>
        </w:tc>
        <w:tc>
          <w:tcPr>
            <w:tcW w:w="427" w:type="pct"/>
            <w:vAlign w:val="center"/>
          </w:tcPr>
          <w:p w14:paraId="56D74605">
            <w:pPr>
              <w:pStyle w:val="12"/>
              <w:jc w:val="center"/>
              <w:rPr>
                <w:rFonts w:ascii="宋体" w:hAnsi="宋体"/>
              </w:rPr>
            </w:pPr>
            <w:r>
              <w:rPr>
                <w:rFonts w:hint="eastAsia" w:ascii="宋体" w:hAnsi="宋体"/>
              </w:rPr>
              <w:t>百顺</w:t>
            </w:r>
          </w:p>
        </w:tc>
        <w:tc>
          <w:tcPr>
            <w:tcW w:w="498" w:type="pct"/>
            <w:vAlign w:val="center"/>
          </w:tcPr>
          <w:p w14:paraId="7267439E">
            <w:pPr>
              <w:pStyle w:val="12"/>
              <w:jc w:val="center"/>
              <w:rPr>
                <w:rFonts w:ascii="宋体" w:hAnsi="宋体"/>
              </w:rPr>
            </w:pPr>
            <w:r>
              <w:rPr>
                <w:rFonts w:hint="eastAsia" w:ascii="宋体" w:hAnsi="宋体"/>
              </w:rPr>
              <w:t>壕塘</w:t>
            </w:r>
          </w:p>
        </w:tc>
        <w:tc>
          <w:tcPr>
            <w:tcW w:w="569" w:type="pct"/>
            <w:vAlign w:val="center"/>
          </w:tcPr>
          <w:p w14:paraId="5BFD219A">
            <w:pPr>
              <w:pStyle w:val="12"/>
              <w:jc w:val="center"/>
              <w:rPr>
                <w:rFonts w:ascii="宋体" w:hAnsi="宋体"/>
              </w:rPr>
            </w:pPr>
            <w:r>
              <w:rPr>
                <w:rFonts w:hint="eastAsia" w:ascii="宋体" w:hAnsi="宋体"/>
              </w:rPr>
              <w:t>500</w:t>
            </w:r>
          </w:p>
        </w:tc>
        <w:tc>
          <w:tcPr>
            <w:tcW w:w="388" w:type="pct"/>
            <w:vAlign w:val="center"/>
          </w:tcPr>
          <w:p w14:paraId="18ACE679">
            <w:pPr>
              <w:pStyle w:val="12"/>
              <w:jc w:val="center"/>
              <w:rPr>
                <w:rFonts w:ascii="宋体" w:hAnsi="宋体"/>
              </w:rPr>
            </w:pPr>
            <w:r>
              <w:rPr>
                <w:rFonts w:hint="eastAsia" w:ascii="宋体" w:hAnsi="宋体"/>
              </w:rPr>
              <w:t>2</w:t>
            </w:r>
          </w:p>
        </w:tc>
        <w:tc>
          <w:tcPr>
            <w:tcW w:w="679" w:type="pct"/>
            <w:vAlign w:val="center"/>
          </w:tcPr>
          <w:p w14:paraId="6343B1C1">
            <w:pPr>
              <w:pStyle w:val="12"/>
              <w:jc w:val="center"/>
              <w:rPr>
                <w:rFonts w:ascii="宋体" w:hAnsi="宋体"/>
              </w:rPr>
            </w:pPr>
            <w:r>
              <w:rPr>
                <w:rFonts w:hint="eastAsia" w:ascii="宋体" w:hAnsi="宋体"/>
              </w:rPr>
              <w:t>2004年</w:t>
            </w:r>
          </w:p>
        </w:tc>
        <w:tc>
          <w:tcPr>
            <w:tcW w:w="321" w:type="pct"/>
            <w:vAlign w:val="center"/>
          </w:tcPr>
          <w:p w14:paraId="5AD24CC1">
            <w:pPr>
              <w:pStyle w:val="12"/>
              <w:jc w:val="center"/>
              <w:rPr>
                <w:rFonts w:ascii="宋体" w:hAnsi="宋体"/>
              </w:rPr>
            </w:pPr>
            <w:r>
              <w:rPr>
                <w:rFonts w:hint="eastAsia" w:ascii="宋体" w:hAnsi="宋体"/>
              </w:rPr>
              <w:t>邓坊</w:t>
            </w:r>
          </w:p>
        </w:tc>
      </w:tr>
      <w:tr w14:paraId="6CE0CD0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48E7462D">
            <w:pPr>
              <w:pStyle w:val="12"/>
              <w:jc w:val="center"/>
              <w:rPr>
                <w:rFonts w:ascii="宋体" w:hAnsi="宋体"/>
              </w:rPr>
            </w:pPr>
            <w:r>
              <w:rPr>
                <w:rFonts w:hint="eastAsia" w:ascii="宋体" w:hAnsi="宋体"/>
              </w:rPr>
              <w:t>湖心洞</w:t>
            </w:r>
          </w:p>
        </w:tc>
        <w:tc>
          <w:tcPr>
            <w:tcW w:w="498" w:type="pct"/>
            <w:vAlign w:val="center"/>
          </w:tcPr>
          <w:p w14:paraId="70F81D82">
            <w:pPr>
              <w:pStyle w:val="12"/>
              <w:jc w:val="center"/>
              <w:rPr>
                <w:rFonts w:ascii="宋体" w:hAnsi="宋体"/>
              </w:rPr>
            </w:pPr>
            <w:r>
              <w:rPr>
                <w:rFonts w:hint="eastAsia" w:ascii="宋体" w:hAnsi="宋体"/>
              </w:rPr>
              <w:t>500</w:t>
            </w:r>
          </w:p>
        </w:tc>
        <w:tc>
          <w:tcPr>
            <w:tcW w:w="427" w:type="pct"/>
            <w:vAlign w:val="center"/>
          </w:tcPr>
          <w:p w14:paraId="40DA1EDF">
            <w:pPr>
              <w:pStyle w:val="12"/>
              <w:jc w:val="center"/>
              <w:rPr>
                <w:rFonts w:ascii="宋体" w:hAnsi="宋体"/>
              </w:rPr>
            </w:pPr>
            <w:r>
              <w:rPr>
                <w:rFonts w:hint="eastAsia" w:ascii="宋体" w:hAnsi="宋体"/>
              </w:rPr>
              <w:t>2</w:t>
            </w:r>
          </w:p>
        </w:tc>
        <w:tc>
          <w:tcPr>
            <w:tcW w:w="711" w:type="pct"/>
            <w:vAlign w:val="center"/>
          </w:tcPr>
          <w:p w14:paraId="16B81E3A">
            <w:pPr>
              <w:pStyle w:val="12"/>
              <w:jc w:val="center"/>
              <w:rPr>
                <w:rFonts w:ascii="宋体" w:hAnsi="宋体"/>
              </w:rPr>
            </w:pPr>
            <w:r>
              <w:rPr>
                <w:rFonts w:hint="eastAsia" w:ascii="宋体" w:hAnsi="宋体"/>
              </w:rPr>
              <w:t>2002年4月</w:t>
            </w:r>
          </w:p>
        </w:tc>
        <w:tc>
          <w:tcPr>
            <w:tcW w:w="427" w:type="pct"/>
            <w:vAlign w:val="center"/>
          </w:tcPr>
          <w:p w14:paraId="7E7C633C">
            <w:pPr>
              <w:pStyle w:val="12"/>
              <w:jc w:val="center"/>
              <w:rPr>
                <w:rFonts w:ascii="宋体" w:hAnsi="宋体"/>
              </w:rPr>
            </w:pPr>
            <w:r>
              <w:rPr>
                <w:rFonts w:hint="eastAsia" w:ascii="宋体" w:hAnsi="宋体"/>
              </w:rPr>
              <w:t>百顺</w:t>
            </w:r>
          </w:p>
        </w:tc>
        <w:tc>
          <w:tcPr>
            <w:tcW w:w="498" w:type="pct"/>
            <w:vAlign w:val="center"/>
          </w:tcPr>
          <w:p w14:paraId="11F75AD0">
            <w:pPr>
              <w:pStyle w:val="12"/>
              <w:jc w:val="center"/>
              <w:rPr>
                <w:rFonts w:ascii="宋体" w:hAnsi="宋体"/>
              </w:rPr>
            </w:pPr>
            <w:r>
              <w:rPr>
                <w:rFonts w:hint="eastAsia" w:ascii="宋体" w:hAnsi="宋体"/>
              </w:rPr>
              <w:t>宝江</w:t>
            </w:r>
          </w:p>
        </w:tc>
        <w:tc>
          <w:tcPr>
            <w:tcW w:w="569" w:type="pct"/>
            <w:vAlign w:val="center"/>
          </w:tcPr>
          <w:p w14:paraId="2167AC3B">
            <w:pPr>
              <w:pStyle w:val="12"/>
              <w:jc w:val="center"/>
              <w:rPr>
                <w:rFonts w:ascii="宋体" w:hAnsi="宋体"/>
              </w:rPr>
            </w:pPr>
            <w:r>
              <w:rPr>
                <w:rFonts w:hint="eastAsia" w:ascii="宋体" w:hAnsi="宋体"/>
              </w:rPr>
              <w:t>750</w:t>
            </w:r>
          </w:p>
        </w:tc>
        <w:tc>
          <w:tcPr>
            <w:tcW w:w="388" w:type="pct"/>
            <w:vAlign w:val="center"/>
          </w:tcPr>
          <w:p w14:paraId="1D2789F6">
            <w:pPr>
              <w:pStyle w:val="12"/>
              <w:jc w:val="center"/>
              <w:rPr>
                <w:rFonts w:ascii="宋体" w:hAnsi="宋体"/>
              </w:rPr>
            </w:pPr>
            <w:r>
              <w:rPr>
                <w:rFonts w:hint="eastAsia" w:ascii="宋体" w:hAnsi="宋体"/>
              </w:rPr>
              <w:t>4</w:t>
            </w:r>
          </w:p>
        </w:tc>
        <w:tc>
          <w:tcPr>
            <w:tcW w:w="679" w:type="pct"/>
            <w:vAlign w:val="center"/>
          </w:tcPr>
          <w:p w14:paraId="242C146D">
            <w:pPr>
              <w:pStyle w:val="12"/>
              <w:jc w:val="center"/>
              <w:rPr>
                <w:rFonts w:ascii="宋体" w:hAnsi="宋体"/>
              </w:rPr>
            </w:pPr>
            <w:r>
              <w:rPr>
                <w:rFonts w:hint="eastAsia" w:ascii="宋体" w:hAnsi="宋体"/>
              </w:rPr>
              <w:t>1981年8月</w:t>
            </w:r>
          </w:p>
        </w:tc>
        <w:tc>
          <w:tcPr>
            <w:tcW w:w="321" w:type="pct"/>
            <w:vAlign w:val="center"/>
          </w:tcPr>
          <w:p w14:paraId="4CE73282">
            <w:pPr>
              <w:pStyle w:val="12"/>
              <w:jc w:val="center"/>
              <w:rPr>
                <w:rFonts w:ascii="宋体" w:hAnsi="宋体"/>
              </w:rPr>
            </w:pPr>
            <w:r>
              <w:rPr>
                <w:rFonts w:hint="eastAsia" w:ascii="宋体" w:hAnsi="宋体"/>
              </w:rPr>
              <w:t>水口</w:t>
            </w:r>
          </w:p>
        </w:tc>
      </w:tr>
      <w:tr w14:paraId="580D66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1ADF8AB3">
            <w:pPr>
              <w:pStyle w:val="12"/>
              <w:jc w:val="center"/>
              <w:rPr>
                <w:rFonts w:ascii="宋体" w:hAnsi="宋体"/>
              </w:rPr>
            </w:pPr>
            <w:r>
              <w:rPr>
                <w:rFonts w:hint="eastAsia" w:ascii="宋体" w:hAnsi="宋体"/>
              </w:rPr>
              <w:t>大沙洲</w:t>
            </w:r>
          </w:p>
        </w:tc>
        <w:tc>
          <w:tcPr>
            <w:tcW w:w="498" w:type="pct"/>
            <w:vAlign w:val="center"/>
          </w:tcPr>
          <w:p w14:paraId="07F111FD">
            <w:pPr>
              <w:pStyle w:val="12"/>
              <w:jc w:val="center"/>
              <w:rPr>
                <w:rFonts w:ascii="宋体" w:hAnsi="宋体"/>
              </w:rPr>
            </w:pPr>
            <w:r>
              <w:rPr>
                <w:rFonts w:hint="eastAsia" w:ascii="宋体" w:hAnsi="宋体"/>
              </w:rPr>
              <w:t>600</w:t>
            </w:r>
          </w:p>
        </w:tc>
        <w:tc>
          <w:tcPr>
            <w:tcW w:w="427" w:type="pct"/>
            <w:vAlign w:val="center"/>
          </w:tcPr>
          <w:p w14:paraId="4B31D9AA">
            <w:pPr>
              <w:pStyle w:val="12"/>
              <w:jc w:val="center"/>
              <w:rPr>
                <w:rFonts w:ascii="宋体" w:hAnsi="宋体"/>
              </w:rPr>
            </w:pPr>
            <w:r>
              <w:rPr>
                <w:rFonts w:hint="eastAsia" w:ascii="宋体" w:hAnsi="宋体"/>
              </w:rPr>
              <w:t>2</w:t>
            </w:r>
          </w:p>
        </w:tc>
        <w:tc>
          <w:tcPr>
            <w:tcW w:w="711" w:type="pct"/>
            <w:vAlign w:val="center"/>
          </w:tcPr>
          <w:p w14:paraId="40A1F9D5">
            <w:pPr>
              <w:pStyle w:val="12"/>
              <w:jc w:val="center"/>
              <w:rPr>
                <w:rFonts w:ascii="宋体" w:hAnsi="宋体"/>
              </w:rPr>
            </w:pPr>
            <w:r>
              <w:rPr>
                <w:rFonts w:hint="eastAsia" w:ascii="宋体" w:hAnsi="宋体"/>
              </w:rPr>
              <w:t>2005年</w:t>
            </w:r>
          </w:p>
        </w:tc>
        <w:tc>
          <w:tcPr>
            <w:tcW w:w="427" w:type="pct"/>
            <w:vAlign w:val="center"/>
          </w:tcPr>
          <w:p w14:paraId="5D86BA4B">
            <w:pPr>
              <w:pStyle w:val="12"/>
              <w:jc w:val="center"/>
              <w:rPr>
                <w:rFonts w:ascii="宋体" w:hAnsi="宋体"/>
              </w:rPr>
            </w:pPr>
            <w:r>
              <w:rPr>
                <w:rFonts w:hint="eastAsia" w:ascii="宋体" w:hAnsi="宋体"/>
              </w:rPr>
              <w:t>百顺</w:t>
            </w:r>
          </w:p>
        </w:tc>
        <w:tc>
          <w:tcPr>
            <w:tcW w:w="498" w:type="pct"/>
            <w:vAlign w:val="center"/>
          </w:tcPr>
          <w:p w14:paraId="55D91B94">
            <w:pPr>
              <w:pStyle w:val="12"/>
              <w:jc w:val="center"/>
              <w:rPr>
                <w:rFonts w:ascii="宋体" w:hAnsi="宋体"/>
              </w:rPr>
            </w:pPr>
            <w:r>
              <w:rPr>
                <w:rFonts w:hint="eastAsia" w:ascii="宋体" w:hAnsi="宋体"/>
              </w:rPr>
              <w:t>和平（1）</w:t>
            </w:r>
          </w:p>
        </w:tc>
        <w:tc>
          <w:tcPr>
            <w:tcW w:w="569" w:type="pct"/>
            <w:vAlign w:val="center"/>
          </w:tcPr>
          <w:p w14:paraId="3A58D837">
            <w:pPr>
              <w:pStyle w:val="12"/>
              <w:jc w:val="center"/>
              <w:rPr>
                <w:rFonts w:ascii="宋体" w:hAnsi="宋体"/>
              </w:rPr>
            </w:pPr>
            <w:r>
              <w:rPr>
                <w:rFonts w:hint="eastAsia" w:ascii="宋体" w:hAnsi="宋体"/>
              </w:rPr>
              <w:t>900</w:t>
            </w:r>
          </w:p>
        </w:tc>
        <w:tc>
          <w:tcPr>
            <w:tcW w:w="388" w:type="pct"/>
            <w:vAlign w:val="center"/>
          </w:tcPr>
          <w:p w14:paraId="3A867C8C">
            <w:pPr>
              <w:pStyle w:val="12"/>
              <w:jc w:val="center"/>
              <w:rPr>
                <w:rFonts w:ascii="宋体" w:hAnsi="宋体"/>
              </w:rPr>
            </w:pPr>
            <w:r>
              <w:rPr>
                <w:rFonts w:hint="eastAsia" w:ascii="宋体" w:hAnsi="宋体"/>
              </w:rPr>
              <w:t>3</w:t>
            </w:r>
          </w:p>
        </w:tc>
        <w:tc>
          <w:tcPr>
            <w:tcW w:w="679" w:type="pct"/>
            <w:vAlign w:val="center"/>
          </w:tcPr>
          <w:p w14:paraId="7D26BE97">
            <w:pPr>
              <w:pStyle w:val="12"/>
              <w:jc w:val="center"/>
              <w:rPr>
                <w:rFonts w:ascii="宋体" w:hAnsi="宋体"/>
              </w:rPr>
            </w:pPr>
            <w:r>
              <w:rPr>
                <w:rFonts w:hint="eastAsia" w:ascii="宋体" w:hAnsi="宋体"/>
              </w:rPr>
              <w:t>2004年</w:t>
            </w:r>
          </w:p>
        </w:tc>
        <w:tc>
          <w:tcPr>
            <w:tcW w:w="321" w:type="pct"/>
            <w:vAlign w:val="center"/>
          </w:tcPr>
          <w:p w14:paraId="17A38AB9">
            <w:pPr>
              <w:pStyle w:val="12"/>
              <w:jc w:val="center"/>
              <w:rPr>
                <w:rFonts w:ascii="宋体" w:hAnsi="宋体"/>
              </w:rPr>
            </w:pPr>
            <w:r>
              <w:rPr>
                <w:rFonts w:hint="eastAsia" w:ascii="宋体" w:hAnsi="宋体"/>
              </w:rPr>
              <w:t>水口</w:t>
            </w:r>
          </w:p>
        </w:tc>
      </w:tr>
      <w:tr w14:paraId="0A1B37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7EC96414">
            <w:pPr>
              <w:pStyle w:val="12"/>
              <w:jc w:val="center"/>
              <w:rPr>
                <w:rFonts w:ascii="宋体" w:hAnsi="宋体"/>
              </w:rPr>
            </w:pPr>
            <w:r>
              <w:rPr>
                <w:rFonts w:hint="eastAsia" w:ascii="宋体" w:hAnsi="宋体"/>
              </w:rPr>
              <w:t>黄田水</w:t>
            </w:r>
          </w:p>
        </w:tc>
        <w:tc>
          <w:tcPr>
            <w:tcW w:w="498" w:type="pct"/>
            <w:vAlign w:val="center"/>
          </w:tcPr>
          <w:p w14:paraId="1770B7F2">
            <w:pPr>
              <w:pStyle w:val="12"/>
              <w:jc w:val="center"/>
              <w:rPr>
                <w:rFonts w:ascii="宋体" w:hAnsi="宋体"/>
              </w:rPr>
            </w:pPr>
            <w:r>
              <w:rPr>
                <w:rFonts w:hint="eastAsia" w:ascii="宋体" w:hAnsi="宋体"/>
              </w:rPr>
              <w:t>570</w:t>
            </w:r>
          </w:p>
        </w:tc>
        <w:tc>
          <w:tcPr>
            <w:tcW w:w="427" w:type="pct"/>
            <w:vAlign w:val="center"/>
          </w:tcPr>
          <w:p w14:paraId="4DDC58AF">
            <w:pPr>
              <w:pStyle w:val="12"/>
              <w:jc w:val="center"/>
              <w:rPr>
                <w:rFonts w:ascii="宋体" w:hAnsi="宋体"/>
              </w:rPr>
            </w:pPr>
            <w:r>
              <w:rPr>
                <w:rFonts w:hint="eastAsia" w:ascii="宋体" w:hAnsi="宋体"/>
              </w:rPr>
              <w:t>2</w:t>
            </w:r>
          </w:p>
        </w:tc>
        <w:tc>
          <w:tcPr>
            <w:tcW w:w="711" w:type="pct"/>
            <w:vAlign w:val="center"/>
          </w:tcPr>
          <w:p w14:paraId="472624B2">
            <w:pPr>
              <w:pStyle w:val="12"/>
              <w:jc w:val="center"/>
              <w:rPr>
                <w:rFonts w:ascii="宋体" w:hAnsi="宋体"/>
              </w:rPr>
            </w:pPr>
            <w:r>
              <w:rPr>
                <w:rFonts w:hint="eastAsia" w:ascii="宋体" w:hAnsi="宋体"/>
              </w:rPr>
              <w:t>2005年</w:t>
            </w:r>
          </w:p>
        </w:tc>
        <w:tc>
          <w:tcPr>
            <w:tcW w:w="427" w:type="pct"/>
            <w:vAlign w:val="center"/>
          </w:tcPr>
          <w:p w14:paraId="42529E07">
            <w:pPr>
              <w:pStyle w:val="12"/>
              <w:jc w:val="center"/>
              <w:rPr>
                <w:rFonts w:ascii="宋体" w:hAnsi="宋体"/>
              </w:rPr>
            </w:pPr>
            <w:r>
              <w:rPr>
                <w:rFonts w:hint="eastAsia" w:ascii="宋体" w:hAnsi="宋体"/>
              </w:rPr>
              <w:t>百顺</w:t>
            </w:r>
          </w:p>
        </w:tc>
        <w:tc>
          <w:tcPr>
            <w:tcW w:w="498" w:type="pct"/>
            <w:vAlign w:val="center"/>
          </w:tcPr>
          <w:p w14:paraId="337139BB">
            <w:pPr>
              <w:pStyle w:val="12"/>
              <w:jc w:val="center"/>
              <w:rPr>
                <w:rFonts w:ascii="宋体" w:hAnsi="宋体"/>
              </w:rPr>
            </w:pPr>
            <w:r>
              <w:rPr>
                <w:rFonts w:hint="eastAsia" w:ascii="宋体" w:hAnsi="宋体"/>
              </w:rPr>
              <w:t>和平（2）</w:t>
            </w:r>
          </w:p>
        </w:tc>
        <w:tc>
          <w:tcPr>
            <w:tcW w:w="569" w:type="pct"/>
            <w:vAlign w:val="center"/>
          </w:tcPr>
          <w:p w14:paraId="352F1CC5">
            <w:pPr>
              <w:pStyle w:val="12"/>
              <w:jc w:val="center"/>
              <w:rPr>
                <w:rFonts w:ascii="宋体" w:hAnsi="宋体"/>
              </w:rPr>
            </w:pPr>
            <w:r>
              <w:rPr>
                <w:rFonts w:hint="eastAsia" w:ascii="宋体" w:hAnsi="宋体"/>
              </w:rPr>
              <w:t>625</w:t>
            </w:r>
          </w:p>
        </w:tc>
        <w:tc>
          <w:tcPr>
            <w:tcW w:w="388" w:type="pct"/>
            <w:vAlign w:val="center"/>
          </w:tcPr>
          <w:p w14:paraId="34EFD702">
            <w:pPr>
              <w:pStyle w:val="12"/>
              <w:jc w:val="center"/>
              <w:rPr>
                <w:rFonts w:ascii="宋体" w:hAnsi="宋体"/>
              </w:rPr>
            </w:pPr>
            <w:r>
              <w:rPr>
                <w:rFonts w:hint="eastAsia" w:ascii="宋体" w:hAnsi="宋体"/>
              </w:rPr>
              <w:t>3</w:t>
            </w:r>
          </w:p>
        </w:tc>
        <w:tc>
          <w:tcPr>
            <w:tcW w:w="679" w:type="pct"/>
            <w:vAlign w:val="center"/>
          </w:tcPr>
          <w:p w14:paraId="7D7645A3">
            <w:pPr>
              <w:pStyle w:val="12"/>
              <w:jc w:val="center"/>
              <w:rPr>
                <w:rFonts w:ascii="宋体" w:hAnsi="宋体"/>
              </w:rPr>
            </w:pPr>
            <w:r>
              <w:rPr>
                <w:rFonts w:hint="eastAsia" w:ascii="宋体" w:hAnsi="宋体"/>
              </w:rPr>
              <w:t>2004年</w:t>
            </w:r>
          </w:p>
        </w:tc>
        <w:tc>
          <w:tcPr>
            <w:tcW w:w="321" w:type="pct"/>
            <w:vAlign w:val="center"/>
          </w:tcPr>
          <w:p w14:paraId="7C5064F6">
            <w:pPr>
              <w:pStyle w:val="12"/>
              <w:jc w:val="center"/>
              <w:rPr>
                <w:rFonts w:ascii="宋体" w:hAnsi="宋体"/>
              </w:rPr>
            </w:pPr>
            <w:r>
              <w:rPr>
                <w:rFonts w:hint="eastAsia" w:ascii="宋体" w:hAnsi="宋体"/>
              </w:rPr>
              <w:t>水口</w:t>
            </w:r>
          </w:p>
        </w:tc>
      </w:tr>
      <w:tr w14:paraId="777522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14104B7C">
            <w:pPr>
              <w:pStyle w:val="12"/>
              <w:jc w:val="center"/>
              <w:rPr>
                <w:rFonts w:ascii="宋体" w:hAnsi="宋体"/>
              </w:rPr>
            </w:pPr>
            <w:r>
              <w:rPr>
                <w:rFonts w:hint="eastAsia" w:ascii="宋体" w:hAnsi="宋体"/>
              </w:rPr>
              <w:t>江头小水电</w:t>
            </w:r>
          </w:p>
        </w:tc>
        <w:tc>
          <w:tcPr>
            <w:tcW w:w="498" w:type="pct"/>
            <w:vAlign w:val="center"/>
          </w:tcPr>
          <w:p w14:paraId="020D5A48">
            <w:pPr>
              <w:pStyle w:val="12"/>
              <w:jc w:val="center"/>
              <w:rPr>
                <w:rFonts w:ascii="宋体" w:hAnsi="宋体"/>
              </w:rPr>
            </w:pPr>
            <w:r>
              <w:rPr>
                <w:rFonts w:hint="eastAsia" w:ascii="宋体" w:hAnsi="宋体"/>
              </w:rPr>
              <w:t>610</w:t>
            </w:r>
          </w:p>
        </w:tc>
        <w:tc>
          <w:tcPr>
            <w:tcW w:w="427" w:type="pct"/>
            <w:vAlign w:val="center"/>
          </w:tcPr>
          <w:p w14:paraId="68B06C06">
            <w:pPr>
              <w:pStyle w:val="12"/>
              <w:jc w:val="center"/>
              <w:rPr>
                <w:rFonts w:ascii="宋体" w:hAnsi="宋体"/>
              </w:rPr>
            </w:pPr>
            <w:r>
              <w:rPr>
                <w:rFonts w:hint="eastAsia" w:ascii="宋体" w:hAnsi="宋体"/>
              </w:rPr>
              <w:t>4</w:t>
            </w:r>
          </w:p>
        </w:tc>
        <w:tc>
          <w:tcPr>
            <w:tcW w:w="711" w:type="pct"/>
            <w:vAlign w:val="center"/>
          </w:tcPr>
          <w:p w14:paraId="3982D045">
            <w:pPr>
              <w:pStyle w:val="12"/>
              <w:jc w:val="center"/>
              <w:rPr>
                <w:rFonts w:ascii="宋体" w:hAnsi="宋体"/>
              </w:rPr>
            </w:pPr>
            <w:r>
              <w:rPr>
                <w:rFonts w:hint="eastAsia" w:ascii="宋体" w:hAnsi="宋体"/>
              </w:rPr>
              <w:t>1983年3月</w:t>
            </w:r>
          </w:p>
        </w:tc>
        <w:tc>
          <w:tcPr>
            <w:tcW w:w="427" w:type="pct"/>
            <w:vAlign w:val="center"/>
          </w:tcPr>
          <w:p w14:paraId="317B9F96">
            <w:pPr>
              <w:pStyle w:val="12"/>
              <w:jc w:val="center"/>
              <w:rPr>
                <w:rFonts w:ascii="宋体" w:hAnsi="宋体"/>
              </w:rPr>
            </w:pPr>
            <w:r>
              <w:rPr>
                <w:rFonts w:hint="eastAsia" w:ascii="宋体" w:hAnsi="宋体"/>
              </w:rPr>
              <w:t>江头</w:t>
            </w:r>
          </w:p>
        </w:tc>
        <w:tc>
          <w:tcPr>
            <w:tcW w:w="498" w:type="pct"/>
            <w:vAlign w:val="center"/>
          </w:tcPr>
          <w:p w14:paraId="028CFCD1">
            <w:pPr>
              <w:pStyle w:val="12"/>
              <w:jc w:val="center"/>
              <w:rPr>
                <w:rFonts w:ascii="宋体" w:hAnsi="宋体"/>
              </w:rPr>
            </w:pPr>
            <w:r>
              <w:rPr>
                <w:rFonts w:hint="eastAsia" w:ascii="宋体" w:hAnsi="宋体"/>
              </w:rPr>
              <w:t>昆仑洲</w:t>
            </w:r>
          </w:p>
        </w:tc>
        <w:tc>
          <w:tcPr>
            <w:tcW w:w="569" w:type="pct"/>
            <w:vAlign w:val="center"/>
          </w:tcPr>
          <w:p w14:paraId="70DAC94F">
            <w:pPr>
              <w:pStyle w:val="12"/>
              <w:jc w:val="center"/>
              <w:rPr>
                <w:rFonts w:ascii="宋体" w:hAnsi="宋体"/>
              </w:rPr>
            </w:pPr>
            <w:r>
              <w:rPr>
                <w:rFonts w:hint="eastAsia" w:ascii="宋体" w:hAnsi="宋体"/>
              </w:rPr>
              <w:t>1250</w:t>
            </w:r>
          </w:p>
        </w:tc>
        <w:tc>
          <w:tcPr>
            <w:tcW w:w="388" w:type="pct"/>
            <w:vAlign w:val="center"/>
          </w:tcPr>
          <w:p w14:paraId="15DBC94E">
            <w:pPr>
              <w:pStyle w:val="12"/>
              <w:jc w:val="center"/>
              <w:rPr>
                <w:rFonts w:ascii="宋体" w:hAnsi="宋体"/>
              </w:rPr>
            </w:pPr>
            <w:r>
              <w:rPr>
                <w:rFonts w:hint="eastAsia" w:ascii="宋体" w:hAnsi="宋体"/>
              </w:rPr>
              <w:t>5</w:t>
            </w:r>
          </w:p>
        </w:tc>
        <w:tc>
          <w:tcPr>
            <w:tcW w:w="679" w:type="pct"/>
            <w:vAlign w:val="center"/>
          </w:tcPr>
          <w:p w14:paraId="60DA8B99">
            <w:pPr>
              <w:pStyle w:val="12"/>
              <w:jc w:val="center"/>
              <w:rPr>
                <w:rFonts w:ascii="宋体" w:hAnsi="宋体"/>
              </w:rPr>
            </w:pPr>
            <w:r>
              <w:rPr>
                <w:rFonts w:hint="eastAsia" w:ascii="宋体" w:hAnsi="宋体"/>
              </w:rPr>
              <w:t>2004年</w:t>
            </w:r>
          </w:p>
        </w:tc>
        <w:tc>
          <w:tcPr>
            <w:tcW w:w="321" w:type="pct"/>
            <w:vAlign w:val="center"/>
          </w:tcPr>
          <w:p w14:paraId="7D2D88C4">
            <w:pPr>
              <w:pStyle w:val="12"/>
              <w:jc w:val="center"/>
              <w:rPr>
                <w:rFonts w:ascii="宋体" w:hAnsi="宋体"/>
              </w:rPr>
            </w:pPr>
            <w:r>
              <w:rPr>
                <w:rFonts w:hint="eastAsia" w:ascii="宋体" w:hAnsi="宋体"/>
              </w:rPr>
              <w:t>黎口</w:t>
            </w:r>
          </w:p>
        </w:tc>
      </w:tr>
      <w:tr w14:paraId="7F6C27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02801DF4">
            <w:pPr>
              <w:pStyle w:val="12"/>
              <w:jc w:val="center"/>
              <w:rPr>
                <w:rFonts w:ascii="宋体" w:hAnsi="宋体"/>
              </w:rPr>
            </w:pPr>
            <w:r>
              <w:rPr>
                <w:rFonts w:hint="eastAsia" w:ascii="宋体" w:hAnsi="宋体"/>
              </w:rPr>
              <w:t>龙潭</w:t>
            </w:r>
          </w:p>
        </w:tc>
        <w:tc>
          <w:tcPr>
            <w:tcW w:w="498" w:type="pct"/>
            <w:vAlign w:val="center"/>
          </w:tcPr>
          <w:p w14:paraId="04F6B7AD">
            <w:pPr>
              <w:pStyle w:val="12"/>
              <w:jc w:val="center"/>
              <w:rPr>
                <w:rFonts w:ascii="宋体" w:hAnsi="宋体"/>
              </w:rPr>
            </w:pPr>
            <w:r>
              <w:rPr>
                <w:rFonts w:hint="eastAsia" w:ascii="宋体" w:hAnsi="宋体"/>
              </w:rPr>
              <w:t>800</w:t>
            </w:r>
          </w:p>
        </w:tc>
        <w:tc>
          <w:tcPr>
            <w:tcW w:w="427" w:type="pct"/>
            <w:vAlign w:val="center"/>
          </w:tcPr>
          <w:p w14:paraId="27343344">
            <w:pPr>
              <w:pStyle w:val="12"/>
              <w:jc w:val="center"/>
              <w:rPr>
                <w:rFonts w:ascii="宋体" w:hAnsi="宋体"/>
              </w:rPr>
            </w:pPr>
            <w:r>
              <w:rPr>
                <w:rFonts w:hint="eastAsia" w:ascii="宋体" w:hAnsi="宋体"/>
              </w:rPr>
              <w:t>2</w:t>
            </w:r>
          </w:p>
        </w:tc>
        <w:tc>
          <w:tcPr>
            <w:tcW w:w="711" w:type="pct"/>
            <w:vAlign w:val="center"/>
          </w:tcPr>
          <w:p w14:paraId="491C070B">
            <w:pPr>
              <w:pStyle w:val="12"/>
              <w:jc w:val="center"/>
              <w:rPr>
                <w:rFonts w:ascii="宋体" w:hAnsi="宋体"/>
              </w:rPr>
            </w:pPr>
            <w:r>
              <w:rPr>
                <w:rFonts w:hint="eastAsia" w:ascii="宋体" w:hAnsi="宋体"/>
              </w:rPr>
              <w:t>2005年</w:t>
            </w:r>
          </w:p>
        </w:tc>
        <w:tc>
          <w:tcPr>
            <w:tcW w:w="427" w:type="pct"/>
            <w:vAlign w:val="center"/>
          </w:tcPr>
          <w:p w14:paraId="60692E74">
            <w:pPr>
              <w:pStyle w:val="12"/>
              <w:jc w:val="center"/>
              <w:rPr>
                <w:rFonts w:ascii="宋体" w:hAnsi="宋体"/>
              </w:rPr>
            </w:pPr>
            <w:r>
              <w:rPr>
                <w:rFonts w:hint="eastAsia" w:ascii="宋体" w:hAnsi="宋体"/>
              </w:rPr>
              <w:t>主田</w:t>
            </w:r>
          </w:p>
        </w:tc>
        <w:tc>
          <w:tcPr>
            <w:tcW w:w="498" w:type="pct"/>
            <w:vAlign w:val="center"/>
          </w:tcPr>
          <w:p w14:paraId="3F0F2D09">
            <w:pPr>
              <w:pStyle w:val="12"/>
              <w:jc w:val="center"/>
              <w:rPr>
                <w:rFonts w:ascii="宋体" w:hAnsi="宋体"/>
              </w:rPr>
            </w:pPr>
            <w:r>
              <w:rPr>
                <w:rFonts w:hint="eastAsia" w:ascii="宋体" w:hAnsi="宋体"/>
              </w:rPr>
              <w:t>红旗</w:t>
            </w:r>
          </w:p>
        </w:tc>
        <w:tc>
          <w:tcPr>
            <w:tcW w:w="569" w:type="pct"/>
            <w:vAlign w:val="center"/>
          </w:tcPr>
          <w:p w14:paraId="7C8E1DA7">
            <w:pPr>
              <w:pStyle w:val="12"/>
              <w:jc w:val="center"/>
              <w:rPr>
                <w:rFonts w:ascii="宋体" w:hAnsi="宋体"/>
              </w:rPr>
            </w:pPr>
            <w:r>
              <w:rPr>
                <w:rFonts w:hint="eastAsia" w:ascii="宋体" w:hAnsi="宋体"/>
              </w:rPr>
              <w:t>500</w:t>
            </w:r>
          </w:p>
        </w:tc>
        <w:tc>
          <w:tcPr>
            <w:tcW w:w="388" w:type="pct"/>
            <w:vAlign w:val="center"/>
          </w:tcPr>
          <w:p w14:paraId="3C558846">
            <w:pPr>
              <w:pStyle w:val="12"/>
              <w:jc w:val="center"/>
              <w:rPr>
                <w:rFonts w:ascii="宋体" w:hAnsi="宋体"/>
              </w:rPr>
            </w:pPr>
            <w:r>
              <w:rPr>
                <w:rFonts w:hint="eastAsia" w:ascii="宋体" w:hAnsi="宋体"/>
              </w:rPr>
              <w:t>—</w:t>
            </w:r>
          </w:p>
        </w:tc>
        <w:tc>
          <w:tcPr>
            <w:tcW w:w="679" w:type="pct"/>
            <w:vAlign w:val="center"/>
          </w:tcPr>
          <w:p w14:paraId="376773E6">
            <w:pPr>
              <w:pStyle w:val="12"/>
              <w:jc w:val="center"/>
              <w:rPr>
                <w:rFonts w:ascii="宋体" w:hAnsi="宋体"/>
              </w:rPr>
            </w:pPr>
            <w:r>
              <w:rPr>
                <w:rFonts w:hint="eastAsia" w:ascii="宋体" w:hAnsi="宋体"/>
              </w:rPr>
              <w:t>2004年</w:t>
            </w:r>
          </w:p>
        </w:tc>
        <w:tc>
          <w:tcPr>
            <w:tcW w:w="321" w:type="pct"/>
            <w:vAlign w:val="center"/>
          </w:tcPr>
          <w:p w14:paraId="02B371A3">
            <w:pPr>
              <w:pStyle w:val="12"/>
              <w:jc w:val="center"/>
              <w:rPr>
                <w:rFonts w:ascii="宋体" w:hAnsi="宋体"/>
              </w:rPr>
            </w:pPr>
            <w:r>
              <w:rPr>
                <w:rFonts w:hint="eastAsia" w:ascii="宋体" w:hAnsi="宋体"/>
              </w:rPr>
              <w:t>南亩</w:t>
            </w:r>
          </w:p>
        </w:tc>
      </w:tr>
      <w:tr w14:paraId="7BF2B7A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12E6AB98">
            <w:pPr>
              <w:pStyle w:val="12"/>
              <w:jc w:val="center"/>
              <w:rPr>
                <w:rFonts w:ascii="宋体" w:hAnsi="宋体"/>
              </w:rPr>
            </w:pPr>
            <w:r>
              <w:rPr>
                <w:rFonts w:hint="eastAsia" w:ascii="宋体" w:hAnsi="宋体"/>
              </w:rPr>
              <w:t>佛水</w:t>
            </w:r>
          </w:p>
        </w:tc>
        <w:tc>
          <w:tcPr>
            <w:tcW w:w="498" w:type="pct"/>
            <w:vAlign w:val="center"/>
          </w:tcPr>
          <w:p w14:paraId="5E1C1E3F">
            <w:pPr>
              <w:pStyle w:val="12"/>
              <w:jc w:val="center"/>
              <w:rPr>
                <w:rFonts w:ascii="宋体" w:hAnsi="宋体"/>
              </w:rPr>
            </w:pPr>
            <w:r>
              <w:rPr>
                <w:rFonts w:hint="eastAsia" w:ascii="宋体" w:hAnsi="宋体"/>
              </w:rPr>
              <w:t>1200</w:t>
            </w:r>
          </w:p>
        </w:tc>
        <w:tc>
          <w:tcPr>
            <w:tcW w:w="427" w:type="pct"/>
            <w:vAlign w:val="center"/>
          </w:tcPr>
          <w:p w14:paraId="68F6D687">
            <w:pPr>
              <w:pStyle w:val="12"/>
              <w:jc w:val="center"/>
              <w:rPr>
                <w:rFonts w:ascii="宋体" w:hAnsi="宋体"/>
              </w:rPr>
            </w:pPr>
            <w:r>
              <w:rPr>
                <w:rFonts w:hint="eastAsia" w:ascii="宋体" w:hAnsi="宋体"/>
              </w:rPr>
              <w:t>4</w:t>
            </w:r>
          </w:p>
        </w:tc>
        <w:tc>
          <w:tcPr>
            <w:tcW w:w="711" w:type="pct"/>
            <w:vAlign w:val="center"/>
          </w:tcPr>
          <w:p w14:paraId="3BAD5448">
            <w:pPr>
              <w:pStyle w:val="12"/>
              <w:jc w:val="center"/>
              <w:rPr>
                <w:rFonts w:ascii="宋体" w:hAnsi="宋体"/>
              </w:rPr>
            </w:pPr>
            <w:r>
              <w:rPr>
                <w:rFonts w:hint="eastAsia" w:ascii="宋体" w:hAnsi="宋体"/>
              </w:rPr>
              <w:t>2001年4月</w:t>
            </w:r>
          </w:p>
        </w:tc>
        <w:tc>
          <w:tcPr>
            <w:tcW w:w="427" w:type="pct"/>
            <w:vAlign w:val="center"/>
          </w:tcPr>
          <w:p w14:paraId="361DEDB4">
            <w:pPr>
              <w:pStyle w:val="12"/>
              <w:jc w:val="center"/>
              <w:rPr>
                <w:rFonts w:ascii="宋体" w:hAnsi="宋体"/>
              </w:rPr>
            </w:pPr>
            <w:r>
              <w:rPr>
                <w:rFonts w:hint="eastAsia" w:ascii="宋体" w:hAnsi="宋体"/>
              </w:rPr>
              <w:t>主田</w:t>
            </w:r>
          </w:p>
        </w:tc>
        <w:tc>
          <w:tcPr>
            <w:tcW w:w="498" w:type="pct"/>
            <w:vAlign w:val="center"/>
          </w:tcPr>
          <w:p w14:paraId="72A8B3D5">
            <w:pPr>
              <w:pStyle w:val="12"/>
              <w:jc w:val="center"/>
              <w:rPr>
                <w:rFonts w:ascii="宋体" w:hAnsi="宋体"/>
              </w:rPr>
            </w:pPr>
            <w:r>
              <w:rPr>
                <w:rFonts w:hint="eastAsia" w:ascii="宋体" w:hAnsi="宋体"/>
              </w:rPr>
              <w:t>横江</w:t>
            </w:r>
          </w:p>
        </w:tc>
        <w:tc>
          <w:tcPr>
            <w:tcW w:w="569" w:type="pct"/>
            <w:vAlign w:val="center"/>
          </w:tcPr>
          <w:p w14:paraId="6CF0ED1B">
            <w:pPr>
              <w:pStyle w:val="12"/>
              <w:jc w:val="center"/>
              <w:rPr>
                <w:rFonts w:ascii="宋体" w:hAnsi="宋体"/>
              </w:rPr>
            </w:pPr>
            <w:r>
              <w:rPr>
                <w:rFonts w:hint="eastAsia" w:ascii="宋体" w:hAnsi="宋体"/>
              </w:rPr>
              <w:t>570</w:t>
            </w:r>
          </w:p>
        </w:tc>
        <w:tc>
          <w:tcPr>
            <w:tcW w:w="388" w:type="pct"/>
            <w:vAlign w:val="center"/>
          </w:tcPr>
          <w:p w14:paraId="6F68AB7D">
            <w:pPr>
              <w:pStyle w:val="12"/>
              <w:jc w:val="center"/>
              <w:rPr>
                <w:rFonts w:ascii="宋体" w:hAnsi="宋体"/>
              </w:rPr>
            </w:pPr>
            <w:r>
              <w:rPr>
                <w:rFonts w:hint="eastAsia" w:ascii="宋体" w:hAnsi="宋体"/>
              </w:rPr>
              <w:t>2</w:t>
            </w:r>
          </w:p>
        </w:tc>
        <w:tc>
          <w:tcPr>
            <w:tcW w:w="679" w:type="pct"/>
            <w:vAlign w:val="center"/>
          </w:tcPr>
          <w:p w14:paraId="6B5F4AEE">
            <w:pPr>
              <w:pStyle w:val="12"/>
              <w:jc w:val="center"/>
              <w:rPr>
                <w:rFonts w:ascii="宋体" w:hAnsi="宋体"/>
              </w:rPr>
            </w:pPr>
            <w:r>
              <w:rPr>
                <w:rFonts w:hint="eastAsia" w:ascii="宋体" w:hAnsi="宋体"/>
              </w:rPr>
              <w:t>1973年6月</w:t>
            </w:r>
          </w:p>
        </w:tc>
        <w:tc>
          <w:tcPr>
            <w:tcW w:w="321" w:type="pct"/>
            <w:vAlign w:val="center"/>
          </w:tcPr>
          <w:p w14:paraId="702D98E5">
            <w:pPr>
              <w:pStyle w:val="12"/>
              <w:jc w:val="center"/>
              <w:rPr>
                <w:rFonts w:ascii="宋体" w:hAnsi="宋体"/>
              </w:rPr>
            </w:pPr>
            <w:r>
              <w:rPr>
                <w:rFonts w:hint="eastAsia" w:ascii="宋体" w:hAnsi="宋体"/>
              </w:rPr>
              <w:t>珠玑</w:t>
            </w:r>
          </w:p>
        </w:tc>
      </w:tr>
      <w:tr w14:paraId="2E06AA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59F2D1F5">
            <w:pPr>
              <w:pStyle w:val="12"/>
              <w:jc w:val="center"/>
              <w:rPr>
                <w:rFonts w:ascii="宋体" w:hAnsi="宋体"/>
              </w:rPr>
            </w:pPr>
            <w:r>
              <w:rPr>
                <w:rFonts w:hint="eastAsia" w:ascii="宋体" w:hAnsi="宋体"/>
              </w:rPr>
              <w:t>龙源</w:t>
            </w:r>
          </w:p>
        </w:tc>
        <w:tc>
          <w:tcPr>
            <w:tcW w:w="498" w:type="pct"/>
            <w:vAlign w:val="center"/>
          </w:tcPr>
          <w:p w14:paraId="0347A3C1">
            <w:pPr>
              <w:pStyle w:val="12"/>
              <w:jc w:val="center"/>
              <w:rPr>
                <w:rFonts w:ascii="宋体" w:hAnsi="宋体"/>
              </w:rPr>
            </w:pPr>
            <w:r>
              <w:rPr>
                <w:rFonts w:hint="eastAsia" w:ascii="宋体" w:hAnsi="宋体"/>
              </w:rPr>
              <w:t>750</w:t>
            </w:r>
          </w:p>
        </w:tc>
        <w:tc>
          <w:tcPr>
            <w:tcW w:w="427" w:type="pct"/>
            <w:vAlign w:val="center"/>
          </w:tcPr>
          <w:p w14:paraId="0E080494">
            <w:pPr>
              <w:pStyle w:val="12"/>
              <w:jc w:val="center"/>
              <w:rPr>
                <w:rFonts w:ascii="宋体" w:hAnsi="宋体"/>
              </w:rPr>
            </w:pPr>
            <w:r>
              <w:rPr>
                <w:rFonts w:hint="eastAsia" w:ascii="宋体" w:hAnsi="宋体"/>
              </w:rPr>
              <w:t>2</w:t>
            </w:r>
          </w:p>
        </w:tc>
        <w:tc>
          <w:tcPr>
            <w:tcW w:w="711" w:type="pct"/>
            <w:vAlign w:val="center"/>
          </w:tcPr>
          <w:p w14:paraId="5E4192B7">
            <w:pPr>
              <w:pStyle w:val="12"/>
              <w:jc w:val="center"/>
              <w:rPr>
                <w:rFonts w:ascii="宋体" w:hAnsi="宋体"/>
              </w:rPr>
            </w:pPr>
            <w:r>
              <w:rPr>
                <w:rFonts w:hint="eastAsia" w:ascii="宋体" w:hAnsi="宋体"/>
              </w:rPr>
              <w:t>2003年11月</w:t>
            </w:r>
          </w:p>
        </w:tc>
        <w:tc>
          <w:tcPr>
            <w:tcW w:w="427" w:type="pct"/>
            <w:vAlign w:val="center"/>
          </w:tcPr>
          <w:p w14:paraId="432A4331">
            <w:pPr>
              <w:pStyle w:val="12"/>
              <w:jc w:val="center"/>
              <w:rPr>
                <w:rFonts w:ascii="宋体" w:hAnsi="宋体"/>
              </w:rPr>
            </w:pPr>
            <w:r>
              <w:rPr>
                <w:rFonts w:hint="eastAsia" w:ascii="宋体" w:hAnsi="宋体"/>
              </w:rPr>
              <w:t>全安</w:t>
            </w:r>
          </w:p>
        </w:tc>
        <w:tc>
          <w:tcPr>
            <w:tcW w:w="498" w:type="pct"/>
            <w:vAlign w:val="center"/>
          </w:tcPr>
          <w:p w14:paraId="6D33A583">
            <w:pPr>
              <w:pStyle w:val="12"/>
              <w:jc w:val="center"/>
              <w:rPr>
                <w:rFonts w:ascii="宋体" w:hAnsi="宋体"/>
              </w:rPr>
            </w:pPr>
            <w:r>
              <w:rPr>
                <w:rFonts w:hint="eastAsia" w:ascii="宋体" w:hAnsi="宋体"/>
              </w:rPr>
              <w:t>下洞</w:t>
            </w:r>
          </w:p>
        </w:tc>
        <w:tc>
          <w:tcPr>
            <w:tcW w:w="569" w:type="pct"/>
            <w:vAlign w:val="center"/>
          </w:tcPr>
          <w:p w14:paraId="7D77A8A8">
            <w:pPr>
              <w:pStyle w:val="12"/>
              <w:jc w:val="center"/>
              <w:rPr>
                <w:rFonts w:ascii="宋体" w:hAnsi="宋体"/>
              </w:rPr>
            </w:pPr>
            <w:r>
              <w:rPr>
                <w:rFonts w:hint="eastAsia" w:ascii="宋体" w:hAnsi="宋体"/>
              </w:rPr>
              <w:t>525</w:t>
            </w:r>
          </w:p>
        </w:tc>
        <w:tc>
          <w:tcPr>
            <w:tcW w:w="388" w:type="pct"/>
            <w:vAlign w:val="center"/>
          </w:tcPr>
          <w:p w14:paraId="7B560F00">
            <w:pPr>
              <w:pStyle w:val="12"/>
              <w:jc w:val="center"/>
              <w:rPr>
                <w:rFonts w:ascii="宋体" w:hAnsi="宋体"/>
              </w:rPr>
            </w:pPr>
            <w:r>
              <w:rPr>
                <w:rFonts w:hint="eastAsia" w:ascii="宋体" w:hAnsi="宋体"/>
              </w:rPr>
              <w:t>2</w:t>
            </w:r>
          </w:p>
        </w:tc>
        <w:tc>
          <w:tcPr>
            <w:tcW w:w="679" w:type="pct"/>
            <w:vAlign w:val="center"/>
          </w:tcPr>
          <w:p w14:paraId="26881F6A">
            <w:pPr>
              <w:pStyle w:val="12"/>
              <w:jc w:val="center"/>
              <w:rPr>
                <w:rFonts w:ascii="宋体" w:hAnsi="宋体"/>
              </w:rPr>
            </w:pPr>
            <w:r>
              <w:rPr>
                <w:rFonts w:hint="eastAsia" w:ascii="宋体" w:hAnsi="宋体"/>
              </w:rPr>
              <w:t>1977年5月</w:t>
            </w:r>
          </w:p>
        </w:tc>
        <w:tc>
          <w:tcPr>
            <w:tcW w:w="321" w:type="pct"/>
            <w:vAlign w:val="center"/>
          </w:tcPr>
          <w:p w14:paraId="65F45C6C">
            <w:pPr>
              <w:pStyle w:val="12"/>
              <w:jc w:val="center"/>
              <w:rPr>
                <w:rFonts w:ascii="宋体" w:hAnsi="宋体"/>
              </w:rPr>
            </w:pPr>
            <w:r>
              <w:rPr>
                <w:rFonts w:hint="eastAsia" w:ascii="宋体" w:hAnsi="宋体"/>
              </w:rPr>
              <w:t>珠玑</w:t>
            </w:r>
          </w:p>
        </w:tc>
      </w:tr>
      <w:tr w14:paraId="1EAE94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12FDB62A">
            <w:pPr>
              <w:pStyle w:val="12"/>
              <w:jc w:val="center"/>
              <w:rPr>
                <w:rFonts w:ascii="宋体" w:hAnsi="宋体"/>
              </w:rPr>
            </w:pPr>
            <w:r>
              <w:rPr>
                <w:rFonts w:hint="eastAsia" w:ascii="宋体" w:hAnsi="宋体"/>
              </w:rPr>
              <w:t>大水迳</w:t>
            </w:r>
          </w:p>
        </w:tc>
        <w:tc>
          <w:tcPr>
            <w:tcW w:w="498" w:type="pct"/>
            <w:vAlign w:val="center"/>
          </w:tcPr>
          <w:p w14:paraId="2E14B51C">
            <w:pPr>
              <w:pStyle w:val="12"/>
              <w:jc w:val="center"/>
              <w:rPr>
                <w:rFonts w:ascii="宋体" w:hAnsi="宋体"/>
              </w:rPr>
            </w:pPr>
            <w:r>
              <w:rPr>
                <w:rFonts w:hint="eastAsia" w:ascii="宋体" w:hAnsi="宋体"/>
              </w:rPr>
              <w:t>800</w:t>
            </w:r>
          </w:p>
        </w:tc>
        <w:tc>
          <w:tcPr>
            <w:tcW w:w="427" w:type="pct"/>
            <w:vAlign w:val="center"/>
          </w:tcPr>
          <w:p w14:paraId="7A568D41">
            <w:pPr>
              <w:pStyle w:val="12"/>
              <w:jc w:val="center"/>
              <w:rPr>
                <w:rFonts w:ascii="宋体" w:hAnsi="宋体"/>
              </w:rPr>
            </w:pPr>
            <w:r>
              <w:rPr>
                <w:rFonts w:hint="eastAsia" w:ascii="宋体" w:hAnsi="宋体"/>
              </w:rPr>
              <w:t>2</w:t>
            </w:r>
          </w:p>
        </w:tc>
        <w:tc>
          <w:tcPr>
            <w:tcW w:w="711" w:type="pct"/>
            <w:vAlign w:val="center"/>
          </w:tcPr>
          <w:p w14:paraId="5708F54B">
            <w:pPr>
              <w:pStyle w:val="12"/>
              <w:jc w:val="center"/>
              <w:rPr>
                <w:rFonts w:ascii="宋体" w:hAnsi="宋体"/>
              </w:rPr>
            </w:pPr>
            <w:r>
              <w:rPr>
                <w:rFonts w:hint="eastAsia" w:ascii="宋体" w:hAnsi="宋体"/>
              </w:rPr>
              <w:t>2001年10月</w:t>
            </w:r>
          </w:p>
        </w:tc>
        <w:tc>
          <w:tcPr>
            <w:tcW w:w="427" w:type="pct"/>
            <w:vAlign w:val="center"/>
          </w:tcPr>
          <w:p w14:paraId="31E2AD45">
            <w:pPr>
              <w:pStyle w:val="12"/>
              <w:jc w:val="center"/>
              <w:rPr>
                <w:rFonts w:ascii="宋体" w:hAnsi="宋体"/>
              </w:rPr>
            </w:pPr>
            <w:r>
              <w:rPr>
                <w:rFonts w:hint="eastAsia" w:ascii="宋体" w:hAnsi="宋体"/>
              </w:rPr>
              <w:t>江头</w:t>
            </w:r>
          </w:p>
        </w:tc>
        <w:tc>
          <w:tcPr>
            <w:tcW w:w="498" w:type="pct"/>
            <w:vAlign w:val="center"/>
          </w:tcPr>
          <w:p w14:paraId="798C00EA">
            <w:pPr>
              <w:pStyle w:val="12"/>
              <w:jc w:val="center"/>
              <w:rPr>
                <w:rFonts w:ascii="宋体" w:hAnsi="宋体"/>
              </w:rPr>
            </w:pPr>
            <w:r>
              <w:rPr>
                <w:rFonts w:hint="eastAsia" w:ascii="宋体" w:hAnsi="宋体"/>
              </w:rPr>
              <w:t>炮州</w:t>
            </w:r>
          </w:p>
        </w:tc>
        <w:tc>
          <w:tcPr>
            <w:tcW w:w="569" w:type="pct"/>
            <w:vAlign w:val="center"/>
          </w:tcPr>
          <w:p w14:paraId="2CECC5AD">
            <w:pPr>
              <w:pStyle w:val="12"/>
              <w:jc w:val="center"/>
              <w:rPr>
                <w:rFonts w:ascii="宋体" w:hAnsi="宋体"/>
              </w:rPr>
            </w:pPr>
            <w:r>
              <w:rPr>
                <w:rFonts w:hint="eastAsia" w:ascii="宋体" w:hAnsi="宋体"/>
              </w:rPr>
              <w:t>500</w:t>
            </w:r>
          </w:p>
        </w:tc>
        <w:tc>
          <w:tcPr>
            <w:tcW w:w="388" w:type="pct"/>
            <w:vAlign w:val="center"/>
          </w:tcPr>
          <w:p w14:paraId="7BA39FBD">
            <w:pPr>
              <w:pStyle w:val="12"/>
              <w:jc w:val="center"/>
              <w:rPr>
                <w:rFonts w:ascii="宋体" w:hAnsi="宋体"/>
              </w:rPr>
            </w:pPr>
            <w:r>
              <w:rPr>
                <w:rFonts w:hint="eastAsia" w:ascii="宋体" w:hAnsi="宋体"/>
              </w:rPr>
              <w:t>—</w:t>
            </w:r>
          </w:p>
        </w:tc>
        <w:tc>
          <w:tcPr>
            <w:tcW w:w="679" w:type="pct"/>
            <w:vAlign w:val="center"/>
          </w:tcPr>
          <w:p w14:paraId="15FB0009">
            <w:pPr>
              <w:pStyle w:val="12"/>
              <w:jc w:val="center"/>
              <w:rPr>
                <w:rFonts w:ascii="宋体" w:hAnsi="宋体"/>
              </w:rPr>
            </w:pPr>
            <w:r>
              <w:rPr>
                <w:rFonts w:hint="eastAsia" w:ascii="宋体" w:hAnsi="宋体"/>
              </w:rPr>
              <w:t>2005年1月</w:t>
            </w:r>
          </w:p>
        </w:tc>
        <w:tc>
          <w:tcPr>
            <w:tcW w:w="321" w:type="pct"/>
            <w:vAlign w:val="center"/>
          </w:tcPr>
          <w:p w14:paraId="7D4AF62C">
            <w:pPr>
              <w:pStyle w:val="12"/>
              <w:jc w:val="center"/>
              <w:rPr>
                <w:rFonts w:ascii="宋体" w:hAnsi="宋体"/>
              </w:rPr>
            </w:pPr>
            <w:r>
              <w:rPr>
                <w:rFonts w:hint="eastAsia" w:ascii="宋体" w:hAnsi="宋体"/>
              </w:rPr>
              <w:t>南亩</w:t>
            </w:r>
          </w:p>
        </w:tc>
      </w:tr>
    </w:tbl>
    <w:p w14:paraId="7656D57C">
      <w:pPr>
        <w:ind w:firstLine="0" w:firstLineChars="0"/>
        <w:jc w:val="center"/>
        <w:rPr>
          <w:rFonts w:ascii="宋体" w:hAnsi="宋体"/>
          <w:b/>
        </w:rPr>
      </w:pPr>
      <w:r>
        <w:rPr>
          <w:rFonts w:hint="eastAsia" w:ascii="宋体" w:hAnsi="宋体"/>
          <w:b/>
        </w:rPr>
        <w:t>南雄市500千瓦以上小水电站情况</w:t>
      </w:r>
    </w:p>
    <w:p w14:paraId="4B2E32F8">
      <w:pPr>
        <w:ind w:firstLine="0" w:firstLineChars="0"/>
        <w:rPr>
          <w:rFonts w:ascii="宋体" w:hAnsi="宋体"/>
          <w:b/>
        </w:rPr>
      </w:pPr>
      <w:r>
        <w:rPr>
          <w:rFonts w:hint="eastAsia" w:ascii="宋体" w:hAnsi="宋体"/>
          <w:b/>
        </w:rPr>
        <w:t>表2-37</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2"/>
        <w:gridCol w:w="893"/>
        <w:gridCol w:w="1090"/>
        <w:gridCol w:w="903"/>
        <w:gridCol w:w="1224"/>
        <w:gridCol w:w="767"/>
        <w:gridCol w:w="1076"/>
        <w:gridCol w:w="851"/>
        <w:gridCol w:w="1275"/>
        <w:gridCol w:w="781"/>
      </w:tblGrid>
      <w:tr w14:paraId="3B26DB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14:paraId="22C3661B">
            <w:pPr>
              <w:pStyle w:val="12"/>
              <w:jc w:val="center"/>
              <w:rPr>
                <w:rFonts w:ascii="宋体" w:hAnsi="宋体"/>
                <w:b/>
              </w:rPr>
            </w:pPr>
            <w:r>
              <w:rPr>
                <w:rFonts w:hint="eastAsia" w:ascii="宋体" w:hAnsi="宋体"/>
                <w:b/>
              </w:rPr>
              <w:t>站名</w:t>
            </w:r>
          </w:p>
        </w:tc>
        <w:tc>
          <w:tcPr>
            <w:tcW w:w="448" w:type="pct"/>
            <w:vAlign w:val="center"/>
          </w:tcPr>
          <w:p w14:paraId="38E8D872">
            <w:pPr>
              <w:pStyle w:val="12"/>
              <w:jc w:val="center"/>
              <w:rPr>
                <w:rFonts w:ascii="宋体" w:hAnsi="宋体"/>
                <w:b/>
              </w:rPr>
            </w:pPr>
            <w:r>
              <w:rPr>
                <w:rFonts w:hint="eastAsia" w:ascii="宋体" w:hAnsi="宋体"/>
                <w:b/>
              </w:rPr>
              <w:t>装机</w:t>
            </w:r>
          </w:p>
          <w:p w14:paraId="71D6A572">
            <w:pPr>
              <w:pStyle w:val="12"/>
              <w:jc w:val="center"/>
              <w:rPr>
                <w:rFonts w:ascii="宋体" w:hAnsi="宋体"/>
                <w:b/>
              </w:rPr>
            </w:pPr>
            <w:r>
              <w:rPr>
                <w:rFonts w:hint="eastAsia" w:ascii="宋体" w:hAnsi="宋体"/>
                <w:b/>
              </w:rPr>
              <w:t>容量</w:t>
            </w:r>
          </w:p>
        </w:tc>
        <w:tc>
          <w:tcPr>
            <w:tcW w:w="547" w:type="pct"/>
            <w:vAlign w:val="center"/>
          </w:tcPr>
          <w:p w14:paraId="0375A97E">
            <w:pPr>
              <w:pStyle w:val="12"/>
              <w:jc w:val="center"/>
              <w:rPr>
                <w:rFonts w:ascii="宋体" w:hAnsi="宋体"/>
                <w:b/>
              </w:rPr>
            </w:pPr>
            <w:r>
              <w:rPr>
                <w:rFonts w:hint="eastAsia" w:ascii="宋体" w:hAnsi="宋体"/>
                <w:b/>
              </w:rPr>
              <w:t>站名</w:t>
            </w:r>
          </w:p>
        </w:tc>
        <w:tc>
          <w:tcPr>
            <w:tcW w:w="453" w:type="pct"/>
            <w:vAlign w:val="center"/>
          </w:tcPr>
          <w:p w14:paraId="2138CCCB">
            <w:pPr>
              <w:pStyle w:val="12"/>
              <w:jc w:val="center"/>
              <w:rPr>
                <w:rFonts w:ascii="宋体" w:hAnsi="宋体"/>
                <w:b/>
              </w:rPr>
            </w:pPr>
            <w:r>
              <w:rPr>
                <w:rFonts w:hint="eastAsia" w:ascii="宋体" w:hAnsi="宋体"/>
                <w:b/>
              </w:rPr>
              <w:t>装机</w:t>
            </w:r>
          </w:p>
          <w:p w14:paraId="581F8D8C">
            <w:pPr>
              <w:pStyle w:val="12"/>
              <w:jc w:val="center"/>
              <w:rPr>
                <w:rFonts w:ascii="宋体" w:hAnsi="宋体"/>
                <w:b/>
              </w:rPr>
            </w:pPr>
            <w:r>
              <w:rPr>
                <w:rFonts w:hint="eastAsia" w:ascii="宋体" w:hAnsi="宋体"/>
                <w:b/>
              </w:rPr>
              <w:t>容量</w:t>
            </w:r>
          </w:p>
        </w:tc>
        <w:tc>
          <w:tcPr>
            <w:tcW w:w="614" w:type="pct"/>
            <w:vAlign w:val="center"/>
          </w:tcPr>
          <w:p w14:paraId="1A1161AB">
            <w:pPr>
              <w:pStyle w:val="12"/>
              <w:jc w:val="center"/>
              <w:rPr>
                <w:rFonts w:ascii="宋体" w:hAnsi="宋体"/>
                <w:b/>
              </w:rPr>
            </w:pPr>
            <w:r>
              <w:rPr>
                <w:rFonts w:hint="eastAsia" w:ascii="宋体" w:hAnsi="宋体"/>
                <w:b/>
              </w:rPr>
              <w:t>站名</w:t>
            </w:r>
          </w:p>
        </w:tc>
        <w:tc>
          <w:tcPr>
            <w:tcW w:w="385" w:type="pct"/>
            <w:vAlign w:val="center"/>
          </w:tcPr>
          <w:p w14:paraId="1F30C66C">
            <w:pPr>
              <w:pStyle w:val="12"/>
              <w:jc w:val="center"/>
              <w:rPr>
                <w:rFonts w:ascii="宋体" w:hAnsi="宋体"/>
                <w:b/>
              </w:rPr>
            </w:pPr>
            <w:r>
              <w:rPr>
                <w:rFonts w:hint="eastAsia" w:ascii="宋体" w:hAnsi="宋体"/>
                <w:b/>
              </w:rPr>
              <w:t>装机</w:t>
            </w:r>
          </w:p>
          <w:p w14:paraId="2AE85F81">
            <w:pPr>
              <w:pStyle w:val="12"/>
              <w:jc w:val="center"/>
              <w:rPr>
                <w:rFonts w:ascii="宋体" w:hAnsi="宋体"/>
                <w:b/>
              </w:rPr>
            </w:pPr>
            <w:r>
              <w:rPr>
                <w:rFonts w:hint="eastAsia" w:ascii="宋体" w:hAnsi="宋体"/>
                <w:b/>
              </w:rPr>
              <w:t>容量</w:t>
            </w:r>
          </w:p>
        </w:tc>
        <w:tc>
          <w:tcPr>
            <w:tcW w:w="540" w:type="pct"/>
            <w:vAlign w:val="center"/>
          </w:tcPr>
          <w:p w14:paraId="42103D76">
            <w:pPr>
              <w:pStyle w:val="12"/>
              <w:jc w:val="center"/>
              <w:rPr>
                <w:rFonts w:ascii="宋体" w:hAnsi="宋体"/>
                <w:b/>
              </w:rPr>
            </w:pPr>
            <w:r>
              <w:rPr>
                <w:rFonts w:hint="eastAsia" w:ascii="宋体" w:hAnsi="宋体"/>
                <w:b/>
              </w:rPr>
              <w:t>站名</w:t>
            </w:r>
          </w:p>
        </w:tc>
        <w:tc>
          <w:tcPr>
            <w:tcW w:w="427" w:type="pct"/>
            <w:vAlign w:val="center"/>
          </w:tcPr>
          <w:p w14:paraId="4A64CFA5">
            <w:pPr>
              <w:pStyle w:val="12"/>
              <w:jc w:val="center"/>
              <w:rPr>
                <w:rFonts w:ascii="宋体" w:hAnsi="宋体"/>
                <w:b/>
              </w:rPr>
            </w:pPr>
            <w:r>
              <w:rPr>
                <w:rFonts w:hint="eastAsia" w:ascii="宋体" w:hAnsi="宋体"/>
                <w:b/>
              </w:rPr>
              <w:t>装机</w:t>
            </w:r>
          </w:p>
          <w:p w14:paraId="653CF673">
            <w:pPr>
              <w:pStyle w:val="12"/>
              <w:jc w:val="center"/>
              <w:rPr>
                <w:rFonts w:ascii="宋体" w:hAnsi="宋体"/>
                <w:b/>
              </w:rPr>
            </w:pPr>
            <w:r>
              <w:rPr>
                <w:rFonts w:hint="eastAsia" w:ascii="宋体" w:hAnsi="宋体"/>
                <w:b/>
              </w:rPr>
              <w:t>容量</w:t>
            </w:r>
          </w:p>
        </w:tc>
        <w:tc>
          <w:tcPr>
            <w:tcW w:w="640" w:type="pct"/>
            <w:vAlign w:val="center"/>
          </w:tcPr>
          <w:p w14:paraId="1E526B99">
            <w:pPr>
              <w:pStyle w:val="12"/>
              <w:jc w:val="center"/>
              <w:rPr>
                <w:rFonts w:ascii="宋体" w:hAnsi="宋体"/>
                <w:b/>
              </w:rPr>
            </w:pPr>
            <w:r>
              <w:rPr>
                <w:rFonts w:hint="eastAsia" w:ascii="宋体" w:hAnsi="宋体"/>
                <w:b/>
              </w:rPr>
              <w:t>站名</w:t>
            </w:r>
          </w:p>
        </w:tc>
        <w:tc>
          <w:tcPr>
            <w:tcW w:w="392" w:type="pct"/>
            <w:vAlign w:val="center"/>
          </w:tcPr>
          <w:p w14:paraId="6ED27E8D">
            <w:pPr>
              <w:pStyle w:val="12"/>
              <w:jc w:val="center"/>
              <w:rPr>
                <w:rFonts w:ascii="宋体" w:hAnsi="宋体"/>
                <w:b/>
              </w:rPr>
            </w:pPr>
            <w:r>
              <w:rPr>
                <w:rFonts w:hint="eastAsia" w:ascii="宋体" w:hAnsi="宋体"/>
                <w:b/>
              </w:rPr>
              <w:t>装机</w:t>
            </w:r>
          </w:p>
          <w:p w14:paraId="634F270D">
            <w:pPr>
              <w:pStyle w:val="12"/>
              <w:jc w:val="center"/>
              <w:rPr>
                <w:rFonts w:ascii="宋体" w:hAnsi="宋体"/>
                <w:b/>
              </w:rPr>
            </w:pPr>
            <w:r>
              <w:rPr>
                <w:rFonts w:hint="eastAsia" w:ascii="宋体" w:hAnsi="宋体"/>
                <w:b/>
              </w:rPr>
              <w:t>容量</w:t>
            </w:r>
          </w:p>
        </w:tc>
      </w:tr>
      <w:tr w14:paraId="33E203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14:paraId="74B8AF62">
            <w:pPr>
              <w:pStyle w:val="12"/>
              <w:jc w:val="center"/>
              <w:rPr>
                <w:rFonts w:ascii="宋体" w:hAnsi="宋体"/>
              </w:rPr>
            </w:pPr>
            <w:r>
              <w:rPr>
                <w:rFonts w:hint="eastAsia" w:ascii="宋体" w:hAnsi="宋体"/>
              </w:rPr>
              <w:t>牛古岭</w:t>
            </w:r>
          </w:p>
        </w:tc>
        <w:tc>
          <w:tcPr>
            <w:tcW w:w="448" w:type="pct"/>
            <w:vAlign w:val="center"/>
          </w:tcPr>
          <w:p w14:paraId="19ECB3F5">
            <w:pPr>
              <w:pStyle w:val="12"/>
              <w:jc w:val="center"/>
              <w:rPr>
                <w:rFonts w:ascii="宋体" w:hAnsi="宋体"/>
              </w:rPr>
            </w:pPr>
            <w:r>
              <w:rPr>
                <w:rFonts w:hint="eastAsia" w:ascii="宋体" w:hAnsi="宋体"/>
              </w:rPr>
              <w:t>200</w:t>
            </w:r>
          </w:p>
        </w:tc>
        <w:tc>
          <w:tcPr>
            <w:tcW w:w="547" w:type="pct"/>
            <w:vAlign w:val="center"/>
          </w:tcPr>
          <w:p w14:paraId="0704C679">
            <w:pPr>
              <w:pStyle w:val="12"/>
              <w:jc w:val="center"/>
              <w:rPr>
                <w:rFonts w:ascii="宋体" w:hAnsi="宋体"/>
              </w:rPr>
            </w:pPr>
            <w:r>
              <w:rPr>
                <w:rFonts w:hint="eastAsia" w:ascii="宋体" w:hAnsi="宋体"/>
              </w:rPr>
              <w:t>联兴</w:t>
            </w:r>
          </w:p>
        </w:tc>
        <w:tc>
          <w:tcPr>
            <w:tcW w:w="453" w:type="pct"/>
            <w:vAlign w:val="center"/>
          </w:tcPr>
          <w:p w14:paraId="560347B4">
            <w:pPr>
              <w:pStyle w:val="12"/>
              <w:jc w:val="center"/>
              <w:rPr>
                <w:rFonts w:ascii="宋体" w:hAnsi="宋体"/>
              </w:rPr>
            </w:pPr>
            <w:r>
              <w:rPr>
                <w:rFonts w:hint="eastAsia" w:ascii="宋体" w:hAnsi="宋体"/>
              </w:rPr>
              <w:t>160</w:t>
            </w:r>
          </w:p>
        </w:tc>
        <w:tc>
          <w:tcPr>
            <w:tcW w:w="614" w:type="pct"/>
            <w:vAlign w:val="center"/>
          </w:tcPr>
          <w:p w14:paraId="2A52B4F4">
            <w:pPr>
              <w:pStyle w:val="12"/>
              <w:jc w:val="center"/>
              <w:rPr>
                <w:rFonts w:ascii="宋体" w:hAnsi="宋体"/>
              </w:rPr>
            </w:pPr>
            <w:r>
              <w:rPr>
                <w:rFonts w:hint="eastAsia" w:ascii="宋体" w:hAnsi="宋体"/>
              </w:rPr>
              <w:t>三水</w:t>
            </w:r>
          </w:p>
        </w:tc>
        <w:tc>
          <w:tcPr>
            <w:tcW w:w="385" w:type="pct"/>
            <w:vAlign w:val="center"/>
          </w:tcPr>
          <w:p w14:paraId="2A8D6B95">
            <w:pPr>
              <w:pStyle w:val="12"/>
              <w:jc w:val="center"/>
              <w:rPr>
                <w:rFonts w:ascii="宋体" w:hAnsi="宋体"/>
              </w:rPr>
            </w:pPr>
            <w:r>
              <w:rPr>
                <w:rFonts w:hint="eastAsia" w:ascii="宋体" w:hAnsi="宋体"/>
              </w:rPr>
              <w:t>125</w:t>
            </w:r>
          </w:p>
        </w:tc>
        <w:tc>
          <w:tcPr>
            <w:tcW w:w="540" w:type="pct"/>
            <w:vAlign w:val="center"/>
          </w:tcPr>
          <w:p w14:paraId="2D8EA80E">
            <w:pPr>
              <w:pStyle w:val="12"/>
              <w:jc w:val="center"/>
              <w:rPr>
                <w:rFonts w:ascii="宋体" w:hAnsi="宋体"/>
              </w:rPr>
            </w:pPr>
            <w:r>
              <w:rPr>
                <w:rFonts w:hint="eastAsia" w:ascii="宋体" w:hAnsi="宋体"/>
              </w:rPr>
              <w:t>中坪坝后</w:t>
            </w:r>
          </w:p>
        </w:tc>
        <w:tc>
          <w:tcPr>
            <w:tcW w:w="427" w:type="pct"/>
            <w:vAlign w:val="center"/>
          </w:tcPr>
          <w:p w14:paraId="177562A8">
            <w:pPr>
              <w:pStyle w:val="12"/>
              <w:jc w:val="center"/>
              <w:rPr>
                <w:rFonts w:ascii="宋体" w:hAnsi="宋体"/>
              </w:rPr>
            </w:pPr>
            <w:r>
              <w:rPr>
                <w:rFonts w:hint="eastAsia" w:ascii="宋体" w:hAnsi="宋体"/>
              </w:rPr>
              <w:t>250</w:t>
            </w:r>
          </w:p>
        </w:tc>
        <w:tc>
          <w:tcPr>
            <w:tcW w:w="640" w:type="pct"/>
            <w:vAlign w:val="center"/>
          </w:tcPr>
          <w:p w14:paraId="7AD90DA8">
            <w:pPr>
              <w:pStyle w:val="12"/>
              <w:jc w:val="center"/>
              <w:rPr>
                <w:rFonts w:ascii="宋体" w:hAnsi="宋体"/>
              </w:rPr>
            </w:pPr>
            <w:r>
              <w:rPr>
                <w:rFonts w:hint="eastAsia" w:ascii="宋体" w:hAnsi="宋体"/>
              </w:rPr>
              <w:t>坪湖</w:t>
            </w:r>
          </w:p>
        </w:tc>
        <w:tc>
          <w:tcPr>
            <w:tcW w:w="392" w:type="pct"/>
            <w:vAlign w:val="center"/>
          </w:tcPr>
          <w:p w14:paraId="34D743E9">
            <w:pPr>
              <w:pStyle w:val="12"/>
              <w:jc w:val="center"/>
              <w:rPr>
                <w:rFonts w:ascii="宋体" w:hAnsi="宋体"/>
              </w:rPr>
            </w:pPr>
            <w:r>
              <w:rPr>
                <w:rFonts w:hint="eastAsia" w:ascii="宋体" w:hAnsi="宋体"/>
              </w:rPr>
              <w:t>200</w:t>
            </w:r>
          </w:p>
        </w:tc>
      </w:tr>
      <w:tr w14:paraId="29540C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14:paraId="5D448A05">
            <w:pPr>
              <w:pStyle w:val="12"/>
              <w:jc w:val="center"/>
              <w:rPr>
                <w:rFonts w:ascii="宋体" w:hAnsi="宋体"/>
              </w:rPr>
            </w:pPr>
            <w:r>
              <w:rPr>
                <w:rFonts w:hint="eastAsia" w:ascii="宋体" w:hAnsi="宋体"/>
              </w:rPr>
              <w:t>瑶江</w:t>
            </w:r>
          </w:p>
        </w:tc>
        <w:tc>
          <w:tcPr>
            <w:tcW w:w="448" w:type="pct"/>
            <w:vAlign w:val="center"/>
          </w:tcPr>
          <w:p w14:paraId="4EDB6823">
            <w:pPr>
              <w:pStyle w:val="12"/>
              <w:jc w:val="center"/>
              <w:rPr>
                <w:rFonts w:ascii="宋体" w:hAnsi="宋体"/>
              </w:rPr>
            </w:pPr>
            <w:r>
              <w:rPr>
                <w:rFonts w:hint="eastAsia" w:ascii="宋体" w:hAnsi="宋体"/>
              </w:rPr>
              <w:t>320</w:t>
            </w:r>
          </w:p>
        </w:tc>
        <w:tc>
          <w:tcPr>
            <w:tcW w:w="547" w:type="pct"/>
            <w:vAlign w:val="center"/>
          </w:tcPr>
          <w:p w14:paraId="0DD2DD80">
            <w:pPr>
              <w:pStyle w:val="12"/>
              <w:jc w:val="center"/>
              <w:rPr>
                <w:rFonts w:ascii="宋体" w:hAnsi="宋体"/>
              </w:rPr>
            </w:pPr>
            <w:r>
              <w:rPr>
                <w:rFonts w:hint="eastAsia" w:ascii="宋体" w:hAnsi="宋体"/>
              </w:rPr>
              <w:t>里坑</w:t>
            </w:r>
          </w:p>
        </w:tc>
        <w:tc>
          <w:tcPr>
            <w:tcW w:w="453" w:type="pct"/>
            <w:vAlign w:val="center"/>
          </w:tcPr>
          <w:p w14:paraId="4AEEA8BC">
            <w:pPr>
              <w:pStyle w:val="12"/>
              <w:jc w:val="center"/>
              <w:rPr>
                <w:rFonts w:ascii="宋体" w:hAnsi="宋体"/>
              </w:rPr>
            </w:pPr>
            <w:r>
              <w:rPr>
                <w:rFonts w:hint="eastAsia" w:ascii="宋体" w:hAnsi="宋体"/>
              </w:rPr>
              <w:t>250</w:t>
            </w:r>
          </w:p>
        </w:tc>
        <w:tc>
          <w:tcPr>
            <w:tcW w:w="614" w:type="pct"/>
            <w:vAlign w:val="center"/>
          </w:tcPr>
          <w:p w14:paraId="63043ACE">
            <w:pPr>
              <w:pStyle w:val="12"/>
              <w:jc w:val="center"/>
              <w:rPr>
                <w:rFonts w:ascii="宋体" w:hAnsi="宋体"/>
              </w:rPr>
            </w:pPr>
            <w:r>
              <w:rPr>
                <w:rFonts w:hint="eastAsia" w:ascii="宋体" w:hAnsi="宋体"/>
              </w:rPr>
              <w:t>中地</w:t>
            </w:r>
          </w:p>
        </w:tc>
        <w:tc>
          <w:tcPr>
            <w:tcW w:w="385" w:type="pct"/>
            <w:vAlign w:val="center"/>
          </w:tcPr>
          <w:p w14:paraId="1FAFC460">
            <w:pPr>
              <w:pStyle w:val="12"/>
              <w:jc w:val="center"/>
              <w:rPr>
                <w:rFonts w:ascii="宋体" w:hAnsi="宋体"/>
              </w:rPr>
            </w:pPr>
            <w:r>
              <w:rPr>
                <w:rFonts w:hint="eastAsia" w:ascii="宋体" w:hAnsi="宋体"/>
              </w:rPr>
              <w:t>200</w:t>
            </w:r>
          </w:p>
        </w:tc>
        <w:tc>
          <w:tcPr>
            <w:tcW w:w="540" w:type="pct"/>
            <w:vAlign w:val="center"/>
          </w:tcPr>
          <w:p w14:paraId="7C6F301E">
            <w:pPr>
              <w:pStyle w:val="12"/>
              <w:jc w:val="center"/>
              <w:rPr>
                <w:rFonts w:ascii="宋体" w:hAnsi="宋体"/>
              </w:rPr>
            </w:pPr>
            <w:r>
              <w:rPr>
                <w:rFonts w:hint="eastAsia" w:ascii="宋体" w:hAnsi="宋体"/>
              </w:rPr>
              <w:t>花坑</w:t>
            </w:r>
          </w:p>
        </w:tc>
        <w:tc>
          <w:tcPr>
            <w:tcW w:w="427" w:type="pct"/>
            <w:vAlign w:val="center"/>
          </w:tcPr>
          <w:p w14:paraId="2673B606">
            <w:pPr>
              <w:pStyle w:val="12"/>
              <w:jc w:val="center"/>
              <w:rPr>
                <w:rFonts w:ascii="宋体" w:hAnsi="宋体"/>
              </w:rPr>
            </w:pPr>
            <w:r>
              <w:rPr>
                <w:rFonts w:hint="eastAsia" w:ascii="宋体" w:hAnsi="宋体"/>
              </w:rPr>
              <w:t>325</w:t>
            </w:r>
          </w:p>
        </w:tc>
        <w:tc>
          <w:tcPr>
            <w:tcW w:w="640" w:type="pct"/>
            <w:vAlign w:val="center"/>
          </w:tcPr>
          <w:p w14:paraId="69F4796A">
            <w:pPr>
              <w:pStyle w:val="12"/>
              <w:jc w:val="center"/>
              <w:rPr>
                <w:rFonts w:ascii="宋体" w:hAnsi="宋体"/>
              </w:rPr>
            </w:pPr>
            <w:r>
              <w:rPr>
                <w:rFonts w:hint="eastAsia" w:ascii="宋体" w:hAnsi="宋体"/>
              </w:rPr>
              <w:t>游屋</w:t>
            </w:r>
          </w:p>
        </w:tc>
        <w:tc>
          <w:tcPr>
            <w:tcW w:w="392" w:type="pct"/>
            <w:vAlign w:val="center"/>
          </w:tcPr>
          <w:p w14:paraId="09652D7D">
            <w:pPr>
              <w:pStyle w:val="12"/>
              <w:jc w:val="center"/>
              <w:rPr>
                <w:rFonts w:ascii="宋体" w:hAnsi="宋体"/>
              </w:rPr>
            </w:pPr>
            <w:r>
              <w:rPr>
                <w:rFonts w:hint="eastAsia" w:ascii="宋体" w:hAnsi="宋体"/>
              </w:rPr>
              <w:t>320</w:t>
            </w:r>
          </w:p>
        </w:tc>
      </w:tr>
      <w:tr w14:paraId="2188DB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14:paraId="4382E4CD">
            <w:pPr>
              <w:pStyle w:val="12"/>
              <w:jc w:val="center"/>
              <w:rPr>
                <w:rFonts w:ascii="宋体" w:hAnsi="宋体"/>
              </w:rPr>
            </w:pPr>
            <w:r>
              <w:rPr>
                <w:rFonts w:hint="eastAsia" w:ascii="宋体" w:hAnsi="宋体"/>
              </w:rPr>
              <w:t>新海</w:t>
            </w:r>
          </w:p>
        </w:tc>
        <w:tc>
          <w:tcPr>
            <w:tcW w:w="448" w:type="pct"/>
            <w:vAlign w:val="center"/>
          </w:tcPr>
          <w:p w14:paraId="3EA196B2">
            <w:pPr>
              <w:pStyle w:val="12"/>
              <w:jc w:val="center"/>
              <w:rPr>
                <w:rFonts w:ascii="宋体" w:hAnsi="宋体"/>
              </w:rPr>
            </w:pPr>
            <w:r>
              <w:rPr>
                <w:rFonts w:hint="eastAsia" w:ascii="宋体" w:hAnsi="宋体"/>
              </w:rPr>
              <w:t>320</w:t>
            </w:r>
          </w:p>
        </w:tc>
        <w:tc>
          <w:tcPr>
            <w:tcW w:w="547" w:type="pct"/>
            <w:vAlign w:val="center"/>
          </w:tcPr>
          <w:p w14:paraId="540F2257">
            <w:pPr>
              <w:pStyle w:val="12"/>
              <w:jc w:val="center"/>
              <w:rPr>
                <w:rFonts w:ascii="宋体" w:hAnsi="宋体"/>
              </w:rPr>
            </w:pPr>
            <w:r>
              <w:rPr>
                <w:rFonts w:hint="eastAsia" w:ascii="宋体" w:hAnsi="宋体"/>
              </w:rPr>
              <w:t>黄洞迳</w:t>
            </w:r>
          </w:p>
        </w:tc>
        <w:tc>
          <w:tcPr>
            <w:tcW w:w="453" w:type="pct"/>
            <w:vAlign w:val="center"/>
          </w:tcPr>
          <w:p w14:paraId="1AACD184">
            <w:pPr>
              <w:pStyle w:val="12"/>
              <w:jc w:val="center"/>
              <w:rPr>
                <w:rFonts w:ascii="宋体" w:hAnsi="宋体"/>
              </w:rPr>
            </w:pPr>
            <w:r>
              <w:rPr>
                <w:rFonts w:hint="eastAsia" w:ascii="宋体" w:hAnsi="宋体"/>
              </w:rPr>
              <w:t>325</w:t>
            </w:r>
          </w:p>
        </w:tc>
        <w:tc>
          <w:tcPr>
            <w:tcW w:w="614" w:type="pct"/>
            <w:vAlign w:val="center"/>
          </w:tcPr>
          <w:p w14:paraId="454AB5E0">
            <w:pPr>
              <w:pStyle w:val="12"/>
              <w:jc w:val="center"/>
              <w:rPr>
                <w:rFonts w:ascii="宋体" w:hAnsi="宋体"/>
              </w:rPr>
            </w:pPr>
            <w:r>
              <w:rPr>
                <w:rFonts w:hint="eastAsia" w:ascii="宋体" w:hAnsi="宋体"/>
              </w:rPr>
              <w:t>三溪</w:t>
            </w:r>
          </w:p>
        </w:tc>
        <w:tc>
          <w:tcPr>
            <w:tcW w:w="385" w:type="pct"/>
            <w:vAlign w:val="center"/>
          </w:tcPr>
          <w:p w14:paraId="5C2E402F">
            <w:pPr>
              <w:pStyle w:val="12"/>
              <w:jc w:val="center"/>
              <w:rPr>
                <w:rFonts w:ascii="宋体" w:hAnsi="宋体"/>
              </w:rPr>
            </w:pPr>
            <w:r>
              <w:rPr>
                <w:rFonts w:hint="eastAsia" w:ascii="宋体" w:hAnsi="宋体"/>
              </w:rPr>
              <w:t>480</w:t>
            </w:r>
          </w:p>
        </w:tc>
        <w:tc>
          <w:tcPr>
            <w:tcW w:w="540" w:type="pct"/>
            <w:vAlign w:val="center"/>
          </w:tcPr>
          <w:p w14:paraId="1032C571">
            <w:pPr>
              <w:pStyle w:val="12"/>
              <w:jc w:val="center"/>
              <w:rPr>
                <w:rFonts w:ascii="宋体" w:hAnsi="宋体"/>
              </w:rPr>
            </w:pPr>
            <w:r>
              <w:rPr>
                <w:rFonts w:hint="eastAsia" w:ascii="宋体" w:hAnsi="宋体"/>
              </w:rPr>
              <w:t>白银坑</w:t>
            </w:r>
          </w:p>
        </w:tc>
        <w:tc>
          <w:tcPr>
            <w:tcW w:w="427" w:type="pct"/>
            <w:vAlign w:val="center"/>
          </w:tcPr>
          <w:p w14:paraId="7C79E925">
            <w:pPr>
              <w:pStyle w:val="12"/>
              <w:jc w:val="center"/>
              <w:rPr>
                <w:rFonts w:ascii="宋体" w:hAnsi="宋体"/>
              </w:rPr>
            </w:pPr>
            <w:r>
              <w:rPr>
                <w:rFonts w:hint="eastAsia" w:ascii="宋体" w:hAnsi="宋体"/>
              </w:rPr>
              <w:t>250</w:t>
            </w:r>
          </w:p>
        </w:tc>
        <w:tc>
          <w:tcPr>
            <w:tcW w:w="640" w:type="pct"/>
            <w:vAlign w:val="center"/>
          </w:tcPr>
          <w:p w14:paraId="6D068F2A">
            <w:pPr>
              <w:pStyle w:val="12"/>
              <w:jc w:val="center"/>
              <w:rPr>
                <w:rFonts w:ascii="宋体" w:hAnsi="宋体"/>
              </w:rPr>
            </w:pPr>
            <w:r>
              <w:rPr>
                <w:rFonts w:hint="eastAsia" w:ascii="宋体" w:hAnsi="宋体"/>
              </w:rPr>
              <w:t>南坑口</w:t>
            </w:r>
          </w:p>
        </w:tc>
        <w:tc>
          <w:tcPr>
            <w:tcW w:w="392" w:type="pct"/>
            <w:vAlign w:val="center"/>
          </w:tcPr>
          <w:p w14:paraId="08CF8449">
            <w:pPr>
              <w:pStyle w:val="12"/>
              <w:jc w:val="center"/>
              <w:rPr>
                <w:rFonts w:ascii="宋体" w:hAnsi="宋体"/>
              </w:rPr>
            </w:pPr>
            <w:r>
              <w:rPr>
                <w:rFonts w:hint="eastAsia" w:ascii="宋体" w:hAnsi="宋体"/>
              </w:rPr>
              <w:t>410</w:t>
            </w:r>
          </w:p>
        </w:tc>
      </w:tr>
      <w:tr w14:paraId="562013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14:paraId="1927F0B1">
            <w:pPr>
              <w:pStyle w:val="12"/>
              <w:jc w:val="center"/>
              <w:rPr>
                <w:rFonts w:ascii="宋体" w:hAnsi="宋体"/>
              </w:rPr>
            </w:pPr>
            <w:r>
              <w:rPr>
                <w:rFonts w:hint="eastAsia" w:ascii="宋体" w:hAnsi="宋体"/>
              </w:rPr>
              <w:t>上洞坝</w:t>
            </w:r>
          </w:p>
        </w:tc>
        <w:tc>
          <w:tcPr>
            <w:tcW w:w="448" w:type="pct"/>
            <w:vAlign w:val="center"/>
          </w:tcPr>
          <w:p w14:paraId="303AD3A5">
            <w:pPr>
              <w:pStyle w:val="12"/>
              <w:jc w:val="center"/>
              <w:rPr>
                <w:rFonts w:ascii="宋体" w:hAnsi="宋体"/>
              </w:rPr>
            </w:pPr>
            <w:r>
              <w:rPr>
                <w:rFonts w:hint="eastAsia" w:ascii="宋体" w:hAnsi="宋体"/>
              </w:rPr>
              <w:t>400</w:t>
            </w:r>
          </w:p>
        </w:tc>
        <w:tc>
          <w:tcPr>
            <w:tcW w:w="547" w:type="pct"/>
            <w:vAlign w:val="center"/>
          </w:tcPr>
          <w:p w14:paraId="7120701C">
            <w:pPr>
              <w:pStyle w:val="12"/>
              <w:jc w:val="center"/>
              <w:rPr>
                <w:rFonts w:ascii="宋体" w:hAnsi="宋体"/>
              </w:rPr>
            </w:pPr>
            <w:r>
              <w:rPr>
                <w:rFonts w:hint="eastAsia" w:ascii="宋体" w:hAnsi="宋体"/>
              </w:rPr>
              <w:t>红峰</w:t>
            </w:r>
          </w:p>
        </w:tc>
        <w:tc>
          <w:tcPr>
            <w:tcW w:w="453" w:type="pct"/>
            <w:vAlign w:val="center"/>
          </w:tcPr>
          <w:p w14:paraId="6ABDF2DE">
            <w:pPr>
              <w:pStyle w:val="12"/>
              <w:jc w:val="center"/>
              <w:rPr>
                <w:rFonts w:ascii="宋体" w:hAnsi="宋体"/>
              </w:rPr>
            </w:pPr>
            <w:r>
              <w:rPr>
                <w:rFonts w:hint="eastAsia" w:ascii="宋体" w:hAnsi="宋体"/>
              </w:rPr>
              <w:t>250</w:t>
            </w:r>
          </w:p>
        </w:tc>
        <w:tc>
          <w:tcPr>
            <w:tcW w:w="614" w:type="pct"/>
            <w:vAlign w:val="center"/>
          </w:tcPr>
          <w:p w14:paraId="5A136765">
            <w:pPr>
              <w:pStyle w:val="12"/>
              <w:jc w:val="center"/>
              <w:rPr>
                <w:rFonts w:ascii="宋体" w:hAnsi="宋体"/>
              </w:rPr>
            </w:pPr>
            <w:r>
              <w:rPr>
                <w:rFonts w:hint="eastAsia" w:ascii="宋体" w:hAnsi="宋体"/>
              </w:rPr>
              <w:t>龙溪</w:t>
            </w:r>
          </w:p>
        </w:tc>
        <w:tc>
          <w:tcPr>
            <w:tcW w:w="385" w:type="pct"/>
            <w:vAlign w:val="center"/>
          </w:tcPr>
          <w:p w14:paraId="53FFC50A">
            <w:pPr>
              <w:pStyle w:val="12"/>
              <w:jc w:val="center"/>
              <w:rPr>
                <w:rFonts w:ascii="宋体" w:hAnsi="宋体"/>
              </w:rPr>
            </w:pPr>
            <w:r>
              <w:rPr>
                <w:rFonts w:hint="eastAsia" w:ascii="宋体" w:hAnsi="宋体"/>
              </w:rPr>
              <w:t>200</w:t>
            </w:r>
          </w:p>
        </w:tc>
        <w:tc>
          <w:tcPr>
            <w:tcW w:w="540" w:type="pct"/>
            <w:vAlign w:val="center"/>
          </w:tcPr>
          <w:p w14:paraId="4412A638">
            <w:pPr>
              <w:pStyle w:val="12"/>
              <w:jc w:val="center"/>
              <w:rPr>
                <w:rFonts w:ascii="宋体" w:hAnsi="宋体"/>
              </w:rPr>
            </w:pPr>
            <w:r>
              <w:rPr>
                <w:rFonts w:hint="eastAsia" w:ascii="宋体" w:hAnsi="宋体"/>
              </w:rPr>
              <w:t>新河</w:t>
            </w:r>
          </w:p>
        </w:tc>
        <w:tc>
          <w:tcPr>
            <w:tcW w:w="427" w:type="pct"/>
            <w:vAlign w:val="center"/>
          </w:tcPr>
          <w:p w14:paraId="5FB554D0">
            <w:pPr>
              <w:pStyle w:val="12"/>
              <w:jc w:val="center"/>
              <w:rPr>
                <w:rFonts w:ascii="宋体" w:hAnsi="宋体"/>
              </w:rPr>
            </w:pPr>
            <w:r>
              <w:rPr>
                <w:rFonts w:hint="eastAsia" w:ascii="宋体" w:hAnsi="宋体"/>
              </w:rPr>
              <w:t>125</w:t>
            </w:r>
          </w:p>
        </w:tc>
        <w:tc>
          <w:tcPr>
            <w:tcW w:w="640" w:type="pct"/>
            <w:vAlign w:val="center"/>
          </w:tcPr>
          <w:p w14:paraId="718B4A5E">
            <w:pPr>
              <w:pStyle w:val="12"/>
              <w:jc w:val="center"/>
              <w:rPr>
                <w:rFonts w:ascii="宋体" w:hAnsi="宋体"/>
              </w:rPr>
            </w:pPr>
            <w:r>
              <w:rPr>
                <w:rFonts w:hint="eastAsia" w:ascii="宋体" w:hAnsi="宋体"/>
              </w:rPr>
              <w:t>天湖洞</w:t>
            </w:r>
          </w:p>
        </w:tc>
        <w:tc>
          <w:tcPr>
            <w:tcW w:w="392" w:type="pct"/>
            <w:vAlign w:val="center"/>
          </w:tcPr>
          <w:p w14:paraId="4E6918AB">
            <w:pPr>
              <w:pStyle w:val="12"/>
              <w:jc w:val="center"/>
              <w:rPr>
                <w:rFonts w:ascii="宋体" w:hAnsi="宋体"/>
              </w:rPr>
            </w:pPr>
            <w:r>
              <w:rPr>
                <w:rFonts w:hint="eastAsia" w:ascii="宋体" w:hAnsi="宋体"/>
              </w:rPr>
              <w:t>160</w:t>
            </w:r>
          </w:p>
        </w:tc>
      </w:tr>
      <w:tr w14:paraId="00785B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14:paraId="75A3981E">
            <w:pPr>
              <w:pStyle w:val="12"/>
              <w:jc w:val="center"/>
              <w:rPr>
                <w:rFonts w:ascii="宋体" w:hAnsi="宋体"/>
              </w:rPr>
            </w:pPr>
            <w:r>
              <w:rPr>
                <w:rFonts w:hint="eastAsia" w:ascii="宋体" w:hAnsi="宋体"/>
              </w:rPr>
              <w:t>月湾</w:t>
            </w:r>
          </w:p>
        </w:tc>
        <w:tc>
          <w:tcPr>
            <w:tcW w:w="448" w:type="pct"/>
            <w:vAlign w:val="center"/>
          </w:tcPr>
          <w:p w14:paraId="358B284E">
            <w:pPr>
              <w:pStyle w:val="12"/>
              <w:jc w:val="center"/>
              <w:rPr>
                <w:rFonts w:ascii="宋体" w:hAnsi="宋体"/>
              </w:rPr>
            </w:pPr>
            <w:r>
              <w:rPr>
                <w:rFonts w:hint="eastAsia" w:ascii="宋体" w:hAnsi="宋体"/>
              </w:rPr>
              <w:t>200</w:t>
            </w:r>
          </w:p>
        </w:tc>
        <w:tc>
          <w:tcPr>
            <w:tcW w:w="547" w:type="pct"/>
            <w:vAlign w:val="center"/>
          </w:tcPr>
          <w:p w14:paraId="30107F5E">
            <w:pPr>
              <w:pStyle w:val="12"/>
              <w:jc w:val="center"/>
              <w:rPr>
                <w:rFonts w:ascii="宋体" w:hAnsi="宋体"/>
              </w:rPr>
            </w:pPr>
            <w:r>
              <w:rPr>
                <w:rFonts w:hint="eastAsia" w:ascii="宋体" w:hAnsi="宋体"/>
              </w:rPr>
              <w:t>二坪</w:t>
            </w:r>
          </w:p>
        </w:tc>
        <w:tc>
          <w:tcPr>
            <w:tcW w:w="453" w:type="pct"/>
            <w:vAlign w:val="center"/>
          </w:tcPr>
          <w:p w14:paraId="02872CE2">
            <w:pPr>
              <w:pStyle w:val="12"/>
              <w:jc w:val="center"/>
              <w:rPr>
                <w:rFonts w:ascii="宋体" w:hAnsi="宋体"/>
              </w:rPr>
            </w:pPr>
            <w:r>
              <w:rPr>
                <w:rFonts w:hint="eastAsia" w:ascii="宋体" w:hAnsi="宋体"/>
              </w:rPr>
              <w:t>250</w:t>
            </w:r>
          </w:p>
        </w:tc>
        <w:tc>
          <w:tcPr>
            <w:tcW w:w="614" w:type="pct"/>
            <w:vAlign w:val="center"/>
          </w:tcPr>
          <w:p w14:paraId="1772A7B3">
            <w:pPr>
              <w:pStyle w:val="12"/>
              <w:jc w:val="center"/>
              <w:rPr>
                <w:rFonts w:ascii="宋体" w:hAnsi="宋体"/>
              </w:rPr>
            </w:pPr>
            <w:r>
              <w:rPr>
                <w:rFonts w:hint="eastAsia" w:ascii="宋体" w:hAnsi="宋体"/>
              </w:rPr>
              <w:t>长坝</w:t>
            </w:r>
          </w:p>
        </w:tc>
        <w:tc>
          <w:tcPr>
            <w:tcW w:w="385" w:type="pct"/>
            <w:vAlign w:val="center"/>
          </w:tcPr>
          <w:p w14:paraId="6542FD93">
            <w:pPr>
              <w:pStyle w:val="12"/>
              <w:jc w:val="center"/>
              <w:rPr>
                <w:rFonts w:ascii="宋体" w:hAnsi="宋体"/>
              </w:rPr>
            </w:pPr>
            <w:r>
              <w:rPr>
                <w:rFonts w:hint="eastAsia" w:ascii="宋体" w:hAnsi="宋体"/>
              </w:rPr>
              <w:t>360</w:t>
            </w:r>
          </w:p>
        </w:tc>
        <w:tc>
          <w:tcPr>
            <w:tcW w:w="540" w:type="pct"/>
            <w:vAlign w:val="center"/>
          </w:tcPr>
          <w:p w14:paraId="53477160">
            <w:pPr>
              <w:pStyle w:val="12"/>
              <w:jc w:val="center"/>
              <w:rPr>
                <w:rFonts w:ascii="宋体" w:hAnsi="宋体"/>
              </w:rPr>
            </w:pPr>
            <w:r>
              <w:rPr>
                <w:rFonts w:hint="eastAsia" w:ascii="宋体" w:hAnsi="宋体"/>
              </w:rPr>
              <w:t>上孔</w:t>
            </w:r>
          </w:p>
        </w:tc>
        <w:tc>
          <w:tcPr>
            <w:tcW w:w="427" w:type="pct"/>
            <w:vAlign w:val="center"/>
          </w:tcPr>
          <w:p w14:paraId="01F23AFC">
            <w:pPr>
              <w:pStyle w:val="12"/>
              <w:jc w:val="center"/>
              <w:rPr>
                <w:rFonts w:ascii="宋体" w:hAnsi="宋体"/>
              </w:rPr>
            </w:pPr>
            <w:r>
              <w:rPr>
                <w:rFonts w:hint="eastAsia" w:ascii="宋体" w:hAnsi="宋体"/>
              </w:rPr>
              <w:t>160</w:t>
            </w:r>
          </w:p>
        </w:tc>
        <w:tc>
          <w:tcPr>
            <w:tcW w:w="640" w:type="pct"/>
            <w:vAlign w:val="center"/>
          </w:tcPr>
          <w:p w14:paraId="04850E61">
            <w:pPr>
              <w:pStyle w:val="12"/>
              <w:jc w:val="center"/>
              <w:rPr>
                <w:rFonts w:ascii="宋体" w:hAnsi="宋体"/>
              </w:rPr>
            </w:pPr>
            <w:r>
              <w:rPr>
                <w:rFonts w:hint="eastAsia" w:ascii="宋体" w:hAnsi="宋体"/>
              </w:rPr>
              <w:t>泰龙</w:t>
            </w:r>
          </w:p>
        </w:tc>
        <w:tc>
          <w:tcPr>
            <w:tcW w:w="392" w:type="pct"/>
            <w:vAlign w:val="center"/>
          </w:tcPr>
          <w:p w14:paraId="63557BF9">
            <w:pPr>
              <w:pStyle w:val="12"/>
              <w:jc w:val="center"/>
              <w:rPr>
                <w:rFonts w:ascii="宋体" w:hAnsi="宋体"/>
              </w:rPr>
            </w:pPr>
            <w:r>
              <w:rPr>
                <w:rFonts w:hint="eastAsia" w:ascii="宋体" w:hAnsi="宋体"/>
              </w:rPr>
              <w:t>160</w:t>
            </w:r>
          </w:p>
        </w:tc>
      </w:tr>
      <w:tr w14:paraId="3EAA24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14:paraId="502BCBF8">
            <w:pPr>
              <w:pStyle w:val="12"/>
              <w:jc w:val="center"/>
              <w:rPr>
                <w:rFonts w:ascii="宋体" w:hAnsi="宋体"/>
              </w:rPr>
            </w:pPr>
            <w:r>
              <w:rPr>
                <w:rFonts w:hint="eastAsia" w:ascii="宋体" w:hAnsi="宋体"/>
              </w:rPr>
              <w:t>暖水塘</w:t>
            </w:r>
          </w:p>
        </w:tc>
        <w:tc>
          <w:tcPr>
            <w:tcW w:w="448" w:type="pct"/>
            <w:vAlign w:val="center"/>
          </w:tcPr>
          <w:p w14:paraId="695A15B9">
            <w:pPr>
              <w:pStyle w:val="12"/>
              <w:jc w:val="center"/>
              <w:rPr>
                <w:rFonts w:ascii="宋体" w:hAnsi="宋体"/>
              </w:rPr>
            </w:pPr>
            <w:r>
              <w:rPr>
                <w:rFonts w:hint="eastAsia" w:ascii="宋体" w:hAnsi="宋体"/>
              </w:rPr>
              <w:t>160</w:t>
            </w:r>
          </w:p>
        </w:tc>
        <w:tc>
          <w:tcPr>
            <w:tcW w:w="547" w:type="pct"/>
            <w:vAlign w:val="center"/>
          </w:tcPr>
          <w:p w14:paraId="6E5D45FE">
            <w:pPr>
              <w:pStyle w:val="12"/>
              <w:jc w:val="center"/>
              <w:rPr>
                <w:rFonts w:ascii="宋体" w:hAnsi="宋体"/>
              </w:rPr>
            </w:pPr>
            <w:r>
              <w:rPr>
                <w:rFonts w:hint="eastAsia" w:ascii="宋体" w:hAnsi="宋体"/>
              </w:rPr>
              <w:t>小水</w:t>
            </w:r>
          </w:p>
        </w:tc>
        <w:tc>
          <w:tcPr>
            <w:tcW w:w="453" w:type="pct"/>
            <w:vAlign w:val="center"/>
          </w:tcPr>
          <w:p w14:paraId="441E338C">
            <w:pPr>
              <w:pStyle w:val="12"/>
              <w:jc w:val="center"/>
              <w:rPr>
                <w:rFonts w:ascii="宋体" w:hAnsi="宋体"/>
              </w:rPr>
            </w:pPr>
            <w:r>
              <w:rPr>
                <w:rFonts w:hint="eastAsia" w:ascii="宋体" w:hAnsi="宋体"/>
              </w:rPr>
              <w:t>250</w:t>
            </w:r>
          </w:p>
        </w:tc>
        <w:tc>
          <w:tcPr>
            <w:tcW w:w="614" w:type="pct"/>
            <w:vAlign w:val="center"/>
          </w:tcPr>
          <w:p w14:paraId="692E305C">
            <w:pPr>
              <w:pStyle w:val="12"/>
              <w:jc w:val="center"/>
              <w:rPr>
                <w:rFonts w:ascii="宋体" w:hAnsi="宋体"/>
              </w:rPr>
            </w:pPr>
            <w:r>
              <w:rPr>
                <w:rFonts w:hint="eastAsia" w:ascii="宋体" w:hAnsi="宋体"/>
              </w:rPr>
              <w:t>大水坑</w:t>
            </w:r>
          </w:p>
        </w:tc>
        <w:tc>
          <w:tcPr>
            <w:tcW w:w="385" w:type="pct"/>
            <w:vAlign w:val="center"/>
          </w:tcPr>
          <w:p w14:paraId="6D64F12B">
            <w:pPr>
              <w:pStyle w:val="12"/>
              <w:jc w:val="center"/>
              <w:rPr>
                <w:rFonts w:ascii="宋体" w:hAnsi="宋体"/>
              </w:rPr>
            </w:pPr>
            <w:r>
              <w:rPr>
                <w:rFonts w:hint="eastAsia" w:ascii="宋体" w:hAnsi="宋体"/>
              </w:rPr>
              <w:t>200</w:t>
            </w:r>
          </w:p>
        </w:tc>
        <w:tc>
          <w:tcPr>
            <w:tcW w:w="540" w:type="pct"/>
            <w:vAlign w:val="center"/>
          </w:tcPr>
          <w:p w14:paraId="78CA7319">
            <w:pPr>
              <w:pStyle w:val="12"/>
              <w:jc w:val="center"/>
              <w:rPr>
                <w:rFonts w:ascii="宋体" w:hAnsi="宋体"/>
              </w:rPr>
            </w:pPr>
            <w:r>
              <w:rPr>
                <w:rFonts w:hint="eastAsia" w:ascii="宋体" w:hAnsi="宋体"/>
              </w:rPr>
              <w:t>英皇</w:t>
            </w:r>
          </w:p>
        </w:tc>
        <w:tc>
          <w:tcPr>
            <w:tcW w:w="427" w:type="pct"/>
            <w:vAlign w:val="center"/>
          </w:tcPr>
          <w:p w14:paraId="732860FD">
            <w:pPr>
              <w:pStyle w:val="12"/>
              <w:jc w:val="center"/>
              <w:rPr>
                <w:rFonts w:ascii="宋体" w:hAnsi="宋体"/>
              </w:rPr>
            </w:pPr>
            <w:r>
              <w:rPr>
                <w:rFonts w:hint="eastAsia" w:ascii="宋体" w:hAnsi="宋体"/>
              </w:rPr>
              <w:t>160</w:t>
            </w:r>
          </w:p>
        </w:tc>
        <w:tc>
          <w:tcPr>
            <w:tcW w:w="640" w:type="pct"/>
            <w:vAlign w:val="center"/>
          </w:tcPr>
          <w:p w14:paraId="4D8DC721">
            <w:pPr>
              <w:pStyle w:val="12"/>
              <w:jc w:val="center"/>
              <w:rPr>
                <w:rFonts w:ascii="宋体" w:hAnsi="宋体"/>
              </w:rPr>
            </w:pPr>
            <w:r>
              <w:rPr>
                <w:rFonts w:hint="eastAsia" w:ascii="宋体" w:hAnsi="宋体"/>
              </w:rPr>
              <w:t>坑尾</w:t>
            </w:r>
          </w:p>
        </w:tc>
        <w:tc>
          <w:tcPr>
            <w:tcW w:w="392" w:type="pct"/>
            <w:vAlign w:val="center"/>
          </w:tcPr>
          <w:p w14:paraId="6A510C0C">
            <w:pPr>
              <w:pStyle w:val="12"/>
              <w:jc w:val="center"/>
              <w:rPr>
                <w:rFonts w:ascii="宋体" w:hAnsi="宋体"/>
              </w:rPr>
            </w:pPr>
            <w:r>
              <w:rPr>
                <w:rFonts w:hint="eastAsia" w:ascii="宋体" w:hAnsi="宋体"/>
              </w:rPr>
              <w:t>235</w:t>
            </w:r>
          </w:p>
        </w:tc>
      </w:tr>
      <w:tr w14:paraId="4070C5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14:paraId="282C605D">
            <w:pPr>
              <w:pStyle w:val="12"/>
              <w:jc w:val="center"/>
              <w:rPr>
                <w:rFonts w:ascii="宋体" w:hAnsi="宋体"/>
              </w:rPr>
            </w:pPr>
            <w:r>
              <w:rPr>
                <w:rFonts w:hint="eastAsia" w:ascii="宋体" w:hAnsi="宋体"/>
              </w:rPr>
              <w:t>对龙</w:t>
            </w:r>
          </w:p>
        </w:tc>
        <w:tc>
          <w:tcPr>
            <w:tcW w:w="448" w:type="pct"/>
            <w:vAlign w:val="center"/>
          </w:tcPr>
          <w:p w14:paraId="5E67DFFD">
            <w:pPr>
              <w:pStyle w:val="12"/>
              <w:jc w:val="center"/>
              <w:rPr>
                <w:rFonts w:ascii="宋体" w:hAnsi="宋体"/>
              </w:rPr>
            </w:pPr>
            <w:r>
              <w:rPr>
                <w:rFonts w:hint="eastAsia" w:ascii="宋体" w:hAnsi="宋体"/>
              </w:rPr>
              <w:t>200</w:t>
            </w:r>
          </w:p>
        </w:tc>
        <w:tc>
          <w:tcPr>
            <w:tcW w:w="547" w:type="pct"/>
            <w:vAlign w:val="center"/>
          </w:tcPr>
          <w:p w14:paraId="46E9BFEC">
            <w:pPr>
              <w:pStyle w:val="12"/>
              <w:jc w:val="center"/>
              <w:rPr>
                <w:rFonts w:ascii="宋体" w:hAnsi="宋体"/>
              </w:rPr>
            </w:pPr>
            <w:r>
              <w:rPr>
                <w:rFonts w:hint="eastAsia" w:ascii="宋体" w:hAnsi="宋体"/>
              </w:rPr>
              <w:t>洋河水</w:t>
            </w:r>
          </w:p>
        </w:tc>
        <w:tc>
          <w:tcPr>
            <w:tcW w:w="453" w:type="pct"/>
            <w:vAlign w:val="center"/>
          </w:tcPr>
          <w:p w14:paraId="4769DD58">
            <w:pPr>
              <w:pStyle w:val="12"/>
              <w:jc w:val="center"/>
              <w:rPr>
                <w:rFonts w:ascii="宋体" w:hAnsi="宋体"/>
              </w:rPr>
            </w:pPr>
            <w:r>
              <w:rPr>
                <w:rFonts w:hint="eastAsia" w:ascii="宋体" w:hAnsi="宋体"/>
              </w:rPr>
              <w:t>400</w:t>
            </w:r>
          </w:p>
        </w:tc>
        <w:tc>
          <w:tcPr>
            <w:tcW w:w="614" w:type="pct"/>
            <w:vAlign w:val="center"/>
          </w:tcPr>
          <w:p w14:paraId="1ED060FB">
            <w:pPr>
              <w:pStyle w:val="12"/>
              <w:jc w:val="center"/>
              <w:rPr>
                <w:rFonts w:ascii="宋体" w:hAnsi="宋体"/>
              </w:rPr>
            </w:pPr>
            <w:r>
              <w:rPr>
                <w:rFonts w:hint="eastAsia" w:ascii="宋体" w:hAnsi="宋体"/>
              </w:rPr>
              <w:t>松下</w:t>
            </w:r>
          </w:p>
        </w:tc>
        <w:tc>
          <w:tcPr>
            <w:tcW w:w="385" w:type="pct"/>
            <w:vAlign w:val="center"/>
          </w:tcPr>
          <w:p w14:paraId="3CF9BAFE">
            <w:pPr>
              <w:pStyle w:val="12"/>
              <w:jc w:val="center"/>
              <w:rPr>
                <w:rFonts w:ascii="宋体" w:hAnsi="宋体"/>
              </w:rPr>
            </w:pPr>
            <w:r>
              <w:rPr>
                <w:rFonts w:hint="eastAsia" w:ascii="宋体" w:hAnsi="宋体"/>
              </w:rPr>
              <w:t>375</w:t>
            </w:r>
          </w:p>
        </w:tc>
        <w:tc>
          <w:tcPr>
            <w:tcW w:w="540" w:type="pct"/>
            <w:vAlign w:val="center"/>
          </w:tcPr>
          <w:p w14:paraId="03F6E748">
            <w:pPr>
              <w:pStyle w:val="12"/>
              <w:jc w:val="center"/>
              <w:rPr>
                <w:rFonts w:ascii="宋体" w:hAnsi="宋体"/>
              </w:rPr>
            </w:pPr>
            <w:r>
              <w:rPr>
                <w:rFonts w:hint="eastAsia" w:ascii="宋体" w:hAnsi="宋体"/>
              </w:rPr>
              <w:t>大利</w:t>
            </w:r>
          </w:p>
        </w:tc>
        <w:tc>
          <w:tcPr>
            <w:tcW w:w="427" w:type="pct"/>
            <w:vAlign w:val="center"/>
          </w:tcPr>
          <w:p w14:paraId="55196A0D">
            <w:pPr>
              <w:pStyle w:val="12"/>
              <w:jc w:val="center"/>
              <w:rPr>
                <w:rFonts w:ascii="宋体" w:hAnsi="宋体"/>
              </w:rPr>
            </w:pPr>
            <w:r>
              <w:rPr>
                <w:rFonts w:hint="eastAsia" w:ascii="宋体" w:hAnsi="宋体"/>
              </w:rPr>
              <w:t>250</w:t>
            </w:r>
          </w:p>
        </w:tc>
        <w:tc>
          <w:tcPr>
            <w:tcW w:w="640" w:type="pct"/>
            <w:vAlign w:val="center"/>
          </w:tcPr>
          <w:p w14:paraId="5171A092">
            <w:pPr>
              <w:pStyle w:val="12"/>
              <w:jc w:val="center"/>
              <w:rPr>
                <w:rFonts w:ascii="宋体" w:hAnsi="宋体"/>
              </w:rPr>
            </w:pPr>
            <w:r>
              <w:rPr>
                <w:rFonts w:hint="eastAsia" w:ascii="宋体" w:hAnsi="宋体"/>
              </w:rPr>
              <w:t>苍石小水电</w:t>
            </w:r>
          </w:p>
        </w:tc>
        <w:tc>
          <w:tcPr>
            <w:tcW w:w="392" w:type="pct"/>
            <w:vAlign w:val="center"/>
          </w:tcPr>
          <w:p w14:paraId="3853A9B1">
            <w:pPr>
              <w:pStyle w:val="12"/>
              <w:jc w:val="center"/>
              <w:rPr>
                <w:rFonts w:ascii="宋体" w:hAnsi="宋体"/>
              </w:rPr>
            </w:pPr>
            <w:r>
              <w:rPr>
                <w:rFonts w:hint="eastAsia" w:ascii="宋体" w:hAnsi="宋体"/>
              </w:rPr>
              <w:t>435</w:t>
            </w:r>
          </w:p>
        </w:tc>
      </w:tr>
      <w:tr w14:paraId="6410F63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14:paraId="63FEEA22">
            <w:pPr>
              <w:pStyle w:val="12"/>
              <w:jc w:val="center"/>
              <w:rPr>
                <w:rFonts w:ascii="宋体" w:hAnsi="宋体"/>
              </w:rPr>
            </w:pPr>
            <w:r>
              <w:rPr>
                <w:rFonts w:hint="eastAsia" w:ascii="宋体" w:hAnsi="宋体"/>
              </w:rPr>
              <w:t>明福</w:t>
            </w:r>
          </w:p>
        </w:tc>
        <w:tc>
          <w:tcPr>
            <w:tcW w:w="448" w:type="pct"/>
            <w:vAlign w:val="center"/>
          </w:tcPr>
          <w:p w14:paraId="2CDDD050">
            <w:pPr>
              <w:pStyle w:val="12"/>
              <w:jc w:val="center"/>
              <w:rPr>
                <w:rFonts w:ascii="宋体" w:hAnsi="宋体"/>
              </w:rPr>
            </w:pPr>
            <w:r>
              <w:rPr>
                <w:rFonts w:hint="eastAsia" w:ascii="宋体" w:hAnsi="宋体"/>
              </w:rPr>
              <w:t>200</w:t>
            </w:r>
          </w:p>
        </w:tc>
        <w:tc>
          <w:tcPr>
            <w:tcW w:w="547" w:type="pct"/>
            <w:vAlign w:val="center"/>
          </w:tcPr>
          <w:p w14:paraId="09EBE5A5">
            <w:pPr>
              <w:pStyle w:val="12"/>
              <w:jc w:val="center"/>
              <w:rPr>
                <w:rFonts w:ascii="宋体" w:hAnsi="宋体"/>
              </w:rPr>
            </w:pPr>
            <w:r>
              <w:rPr>
                <w:rFonts w:hint="eastAsia" w:ascii="宋体" w:hAnsi="宋体"/>
              </w:rPr>
              <w:t>南亩</w:t>
            </w:r>
          </w:p>
        </w:tc>
        <w:tc>
          <w:tcPr>
            <w:tcW w:w="453" w:type="pct"/>
            <w:vAlign w:val="center"/>
          </w:tcPr>
          <w:p w14:paraId="4F09464C">
            <w:pPr>
              <w:pStyle w:val="12"/>
              <w:jc w:val="center"/>
              <w:rPr>
                <w:rFonts w:ascii="宋体" w:hAnsi="宋体"/>
              </w:rPr>
            </w:pPr>
            <w:r>
              <w:rPr>
                <w:rFonts w:hint="eastAsia" w:ascii="宋体" w:hAnsi="宋体"/>
              </w:rPr>
              <w:t>325</w:t>
            </w:r>
          </w:p>
        </w:tc>
        <w:tc>
          <w:tcPr>
            <w:tcW w:w="614" w:type="pct"/>
            <w:vAlign w:val="center"/>
          </w:tcPr>
          <w:p w14:paraId="2E321368">
            <w:pPr>
              <w:pStyle w:val="12"/>
              <w:jc w:val="center"/>
              <w:rPr>
                <w:rFonts w:ascii="宋体" w:hAnsi="宋体"/>
              </w:rPr>
            </w:pPr>
            <w:r>
              <w:rPr>
                <w:rFonts w:hint="eastAsia" w:ascii="宋体" w:hAnsi="宋体"/>
              </w:rPr>
              <w:t>白水寨</w:t>
            </w:r>
          </w:p>
        </w:tc>
        <w:tc>
          <w:tcPr>
            <w:tcW w:w="385" w:type="pct"/>
            <w:vAlign w:val="center"/>
          </w:tcPr>
          <w:p w14:paraId="2208BD63">
            <w:pPr>
              <w:pStyle w:val="12"/>
              <w:jc w:val="center"/>
              <w:rPr>
                <w:rFonts w:ascii="宋体" w:hAnsi="宋体"/>
              </w:rPr>
            </w:pPr>
            <w:r>
              <w:rPr>
                <w:rFonts w:hint="eastAsia" w:ascii="宋体" w:hAnsi="宋体"/>
              </w:rPr>
              <w:t>125</w:t>
            </w:r>
          </w:p>
        </w:tc>
        <w:tc>
          <w:tcPr>
            <w:tcW w:w="540" w:type="pct"/>
            <w:vAlign w:val="center"/>
          </w:tcPr>
          <w:p w14:paraId="6D77F9B2">
            <w:pPr>
              <w:pStyle w:val="12"/>
              <w:jc w:val="center"/>
              <w:rPr>
                <w:rFonts w:ascii="宋体" w:hAnsi="宋体"/>
              </w:rPr>
            </w:pPr>
            <w:r>
              <w:rPr>
                <w:rFonts w:hint="eastAsia" w:ascii="宋体" w:hAnsi="宋体"/>
              </w:rPr>
              <w:t>山门林场</w:t>
            </w:r>
          </w:p>
        </w:tc>
        <w:tc>
          <w:tcPr>
            <w:tcW w:w="427" w:type="pct"/>
            <w:vAlign w:val="center"/>
          </w:tcPr>
          <w:p w14:paraId="147FA3A3">
            <w:pPr>
              <w:pStyle w:val="12"/>
              <w:jc w:val="center"/>
              <w:rPr>
                <w:rFonts w:ascii="宋体" w:hAnsi="宋体"/>
              </w:rPr>
            </w:pPr>
            <w:r>
              <w:rPr>
                <w:rFonts w:hint="eastAsia" w:ascii="宋体" w:hAnsi="宋体"/>
              </w:rPr>
              <w:t>195</w:t>
            </w:r>
          </w:p>
        </w:tc>
        <w:tc>
          <w:tcPr>
            <w:tcW w:w="640" w:type="pct"/>
            <w:vAlign w:val="center"/>
          </w:tcPr>
          <w:p w14:paraId="5DA1ED90">
            <w:pPr>
              <w:pStyle w:val="12"/>
              <w:jc w:val="center"/>
              <w:rPr>
                <w:rFonts w:ascii="宋体" w:hAnsi="宋体"/>
              </w:rPr>
            </w:pPr>
            <w:r>
              <w:rPr>
                <w:rFonts w:hint="eastAsia" w:ascii="宋体" w:hAnsi="宋体"/>
              </w:rPr>
              <w:t>三角潭</w:t>
            </w:r>
          </w:p>
        </w:tc>
        <w:tc>
          <w:tcPr>
            <w:tcW w:w="392" w:type="pct"/>
            <w:vAlign w:val="center"/>
          </w:tcPr>
          <w:p w14:paraId="09CEA20B">
            <w:pPr>
              <w:pStyle w:val="12"/>
              <w:jc w:val="center"/>
              <w:rPr>
                <w:rFonts w:ascii="宋体" w:hAnsi="宋体"/>
              </w:rPr>
            </w:pPr>
            <w:r>
              <w:rPr>
                <w:rFonts w:hint="eastAsia" w:ascii="宋体" w:hAnsi="宋体"/>
              </w:rPr>
              <w:t>320</w:t>
            </w:r>
          </w:p>
        </w:tc>
      </w:tr>
      <w:tr w14:paraId="5F47419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14:paraId="18FD008A">
            <w:pPr>
              <w:pStyle w:val="12"/>
              <w:jc w:val="center"/>
              <w:rPr>
                <w:rFonts w:ascii="宋体" w:hAnsi="宋体"/>
              </w:rPr>
            </w:pPr>
            <w:r>
              <w:rPr>
                <w:rFonts w:hint="eastAsia" w:ascii="宋体" w:hAnsi="宋体"/>
              </w:rPr>
              <w:t>黄竹桥</w:t>
            </w:r>
          </w:p>
        </w:tc>
        <w:tc>
          <w:tcPr>
            <w:tcW w:w="448" w:type="pct"/>
            <w:vAlign w:val="center"/>
          </w:tcPr>
          <w:p w14:paraId="0D890284">
            <w:pPr>
              <w:pStyle w:val="12"/>
              <w:jc w:val="center"/>
              <w:rPr>
                <w:rFonts w:ascii="宋体" w:hAnsi="宋体"/>
              </w:rPr>
            </w:pPr>
            <w:r>
              <w:rPr>
                <w:rFonts w:hint="eastAsia" w:ascii="宋体" w:hAnsi="宋体"/>
              </w:rPr>
              <w:t>320</w:t>
            </w:r>
          </w:p>
        </w:tc>
        <w:tc>
          <w:tcPr>
            <w:tcW w:w="547" w:type="pct"/>
            <w:vAlign w:val="center"/>
          </w:tcPr>
          <w:p w14:paraId="75B33F2E">
            <w:pPr>
              <w:pStyle w:val="12"/>
              <w:jc w:val="center"/>
              <w:rPr>
                <w:rFonts w:ascii="宋体" w:hAnsi="宋体"/>
              </w:rPr>
            </w:pPr>
            <w:r>
              <w:rPr>
                <w:rFonts w:hint="eastAsia" w:ascii="宋体" w:hAnsi="宋体"/>
              </w:rPr>
              <w:t>湖塘</w:t>
            </w:r>
          </w:p>
        </w:tc>
        <w:tc>
          <w:tcPr>
            <w:tcW w:w="453" w:type="pct"/>
            <w:vAlign w:val="center"/>
          </w:tcPr>
          <w:p w14:paraId="0513C425">
            <w:pPr>
              <w:pStyle w:val="12"/>
              <w:jc w:val="center"/>
              <w:rPr>
                <w:rFonts w:ascii="宋体" w:hAnsi="宋体"/>
              </w:rPr>
            </w:pPr>
            <w:r>
              <w:rPr>
                <w:rFonts w:hint="eastAsia" w:ascii="宋体" w:hAnsi="宋体"/>
              </w:rPr>
              <w:t>200</w:t>
            </w:r>
          </w:p>
        </w:tc>
        <w:tc>
          <w:tcPr>
            <w:tcW w:w="614" w:type="pct"/>
            <w:vAlign w:val="center"/>
          </w:tcPr>
          <w:p w14:paraId="58BF0910">
            <w:pPr>
              <w:pStyle w:val="12"/>
              <w:jc w:val="center"/>
              <w:rPr>
                <w:rFonts w:ascii="宋体" w:hAnsi="宋体"/>
              </w:rPr>
            </w:pPr>
            <w:r>
              <w:rPr>
                <w:rFonts w:hint="eastAsia" w:ascii="宋体" w:hAnsi="宋体"/>
              </w:rPr>
              <w:t>罗塘</w:t>
            </w:r>
          </w:p>
        </w:tc>
        <w:tc>
          <w:tcPr>
            <w:tcW w:w="385" w:type="pct"/>
            <w:vAlign w:val="center"/>
          </w:tcPr>
          <w:p w14:paraId="0970E1EF">
            <w:pPr>
              <w:pStyle w:val="12"/>
              <w:jc w:val="center"/>
              <w:rPr>
                <w:rFonts w:ascii="宋体" w:hAnsi="宋体"/>
              </w:rPr>
            </w:pPr>
            <w:r>
              <w:rPr>
                <w:rFonts w:hint="eastAsia" w:ascii="宋体" w:hAnsi="宋体"/>
              </w:rPr>
              <w:t>250</w:t>
            </w:r>
          </w:p>
        </w:tc>
        <w:tc>
          <w:tcPr>
            <w:tcW w:w="540" w:type="pct"/>
            <w:vAlign w:val="center"/>
          </w:tcPr>
          <w:p w14:paraId="3B2CB079">
            <w:pPr>
              <w:pStyle w:val="12"/>
              <w:jc w:val="center"/>
              <w:rPr>
                <w:rFonts w:ascii="宋体" w:hAnsi="宋体"/>
              </w:rPr>
            </w:pPr>
            <w:r>
              <w:rPr>
                <w:rFonts w:hint="eastAsia" w:ascii="宋体" w:hAnsi="宋体"/>
              </w:rPr>
              <w:t>柴岭</w:t>
            </w:r>
          </w:p>
        </w:tc>
        <w:tc>
          <w:tcPr>
            <w:tcW w:w="427" w:type="pct"/>
            <w:vAlign w:val="center"/>
          </w:tcPr>
          <w:p w14:paraId="29FCC33A">
            <w:pPr>
              <w:pStyle w:val="12"/>
              <w:jc w:val="center"/>
              <w:rPr>
                <w:rFonts w:ascii="宋体" w:hAnsi="宋体"/>
              </w:rPr>
            </w:pPr>
            <w:r>
              <w:rPr>
                <w:rFonts w:hint="eastAsia" w:ascii="宋体" w:hAnsi="宋体"/>
              </w:rPr>
              <w:t>400</w:t>
            </w:r>
          </w:p>
        </w:tc>
        <w:tc>
          <w:tcPr>
            <w:tcW w:w="640" w:type="pct"/>
            <w:vAlign w:val="center"/>
          </w:tcPr>
          <w:p w14:paraId="717543B0">
            <w:pPr>
              <w:pStyle w:val="12"/>
              <w:jc w:val="center"/>
              <w:rPr>
                <w:rFonts w:ascii="宋体" w:hAnsi="宋体"/>
              </w:rPr>
            </w:pPr>
            <w:r>
              <w:rPr>
                <w:rFonts w:hint="eastAsia" w:ascii="宋体" w:hAnsi="宋体"/>
              </w:rPr>
              <w:t>寨下</w:t>
            </w:r>
          </w:p>
        </w:tc>
        <w:tc>
          <w:tcPr>
            <w:tcW w:w="392" w:type="pct"/>
            <w:vAlign w:val="center"/>
          </w:tcPr>
          <w:p w14:paraId="12CAC887">
            <w:pPr>
              <w:pStyle w:val="12"/>
              <w:jc w:val="center"/>
              <w:rPr>
                <w:rFonts w:ascii="宋体" w:hAnsi="宋体"/>
              </w:rPr>
            </w:pPr>
            <w:r>
              <w:rPr>
                <w:rFonts w:hint="eastAsia" w:ascii="宋体" w:hAnsi="宋体"/>
              </w:rPr>
              <w:t>160</w:t>
            </w:r>
          </w:p>
        </w:tc>
      </w:tr>
      <w:tr w14:paraId="101301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14:paraId="3E705A75">
            <w:pPr>
              <w:pStyle w:val="12"/>
              <w:jc w:val="center"/>
              <w:rPr>
                <w:rFonts w:ascii="宋体" w:hAnsi="宋体"/>
              </w:rPr>
            </w:pPr>
            <w:r>
              <w:rPr>
                <w:rFonts w:hint="eastAsia" w:ascii="宋体" w:hAnsi="宋体"/>
              </w:rPr>
              <w:t>大源</w:t>
            </w:r>
          </w:p>
        </w:tc>
        <w:tc>
          <w:tcPr>
            <w:tcW w:w="448" w:type="pct"/>
            <w:vAlign w:val="center"/>
          </w:tcPr>
          <w:p w14:paraId="2ED751B2">
            <w:pPr>
              <w:pStyle w:val="12"/>
              <w:jc w:val="center"/>
              <w:rPr>
                <w:rFonts w:ascii="宋体" w:hAnsi="宋体"/>
              </w:rPr>
            </w:pPr>
            <w:r>
              <w:rPr>
                <w:rFonts w:hint="eastAsia" w:ascii="宋体" w:hAnsi="宋体"/>
              </w:rPr>
              <w:t>325</w:t>
            </w:r>
          </w:p>
        </w:tc>
        <w:tc>
          <w:tcPr>
            <w:tcW w:w="547" w:type="pct"/>
            <w:vAlign w:val="center"/>
          </w:tcPr>
          <w:p w14:paraId="31B6FBCE">
            <w:pPr>
              <w:pStyle w:val="12"/>
              <w:jc w:val="center"/>
              <w:rPr>
                <w:rFonts w:ascii="宋体" w:hAnsi="宋体"/>
              </w:rPr>
            </w:pPr>
            <w:r>
              <w:rPr>
                <w:rFonts w:hint="eastAsia" w:ascii="宋体" w:hAnsi="宋体"/>
              </w:rPr>
              <w:t>古石门</w:t>
            </w:r>
          </w:p>
        </w:tc>
        <w:tc>
          <w:tcPr>
            <w:tcW w:w="453" w:type="pct"/>
            <w:vAlign w:val="center"/>
          </w:tcPr>
          <w:p w14:paraId="71661CDA">
            <w:pPr>
              <w:pStyle w:val="12"/>
              <w:jc w:val="center"/>
              <w:rPr>
                <w:rFonts w:ascii="宋体" w:hAnsi="宋体"/>
              </w:rPr>
            </w:pPr>
            <w:r>
              <w:rPr>
                <w:rFonts w:hint="eastAsia" w:ascii="宋体" w:hAnsi="宋体"/>
              </w:rPr>
              <w:t>200</w:t>
            </w:r>
          </w:p>
        </w:tc>
        <w:tc>
          <w:tcPr>
            <w:tcW w:w="614" w:type="pct"/>
            <w:vAlign w:val="center"/>
          </w:tcPr>
          <w:p w14:paraId="64F9F636">
            <w:pPr>
              <w:pStyle w:val="12"/>
              <w:jc w:val="center"/>
              <w:rPr>
                <w:rFonts w:ascii="宋体" w:hAnsi="宋体"/>
              </w:rPr>
            </w:pPr>
            <w:r>
              <w:rPr>
                <w:rFonts w:hint="eastAsia" w:ascii="宋体" w:hAnsi="宋体"/>
              </w:rPr>
              <w:t>寨背</w:t>
            </w:r>
          </w:p>
        </w:tc>
        <w:tc>
          <w:tcPr>
            <w:tcW w:w="385" w:type="pct"/>
            <w:vAlign w:val="center"/>
          </w:tcPr>
          <w:p w14:paraId="268BF231">
            <w:pPr>
              <w:pStyle w:val="12"/>
              <w:jc w:val="center"/>
              <w:rPr>
                <w:rFonts w:ascii="宋体" w:hAnsi="宋体"/>
              </w:rPr>
            </w:pPr>
            <w:r>
              <w:rPr>
                <w:rFonts w:hint="eastAsia" w:ascii="宋体" w:hAnsi="宋体"/>
              </w:rPr>
              <w:t>200</w:t>
            </w:r>
          </w:p>
        </w:tc>
        <w:tc>
          <w:tcPr>
            <w:tcW w:w="540" w:type="pct"/>
            <w:vAlign w:val="center"/>
          </w:tcPr>
          <w:p w14:paraId="6C6DF6A5">
            <w:pPr>
              <w:pStyle w:val="12"/>
              <w:jc w:val="center"/>
              <w:rPr>
                <w:rFonts w:ascii="宋体" w:hAnsi="宋体"/>
              </w:rPr>
            </w:pPr>
            <w:r>
              <w:rPr>
                <w:rFonts w:hint="eastAsia" w:ascii="宋体" w:hAnsi="宋体"/>
              </w:rPr>
              <w:t>石人咀</w:t>
            </w:r>
          </w:p>
        </w:tc>
        <w:tc>
          <w:tcPr>
            <w:tcW w:w="427" w:type="pct"/>
            <w:vAlign w:val="center"/>
          </w:tcPr>
          <w:p w14:paraId="4F028297">
            <w:pPr>
              <w:pStyle w:val="12"/>
              <w:jc w:val="center"/>
              <w:rPr>
                <w:rFonts w:ascii="宋体" w:hAnsi="宋体"/>
              </w:rPr>
            </w:pPr>
            <w:r>
              <w:rPr>
                <w:rFonts w:hint="eastAsia" w:ascii="宋体" w:hAnsi="宋体"/>
              </w:rPr>
              <w:t>200</w:t>
            </w:r>
          </w:p>
        </w:tc>
        <w:tc>
          <w:tcPr>
            <w:tcW w:w="640" w:type="pct"/>
            <w:vAlign w:val="center"/>
          </w:tcPr>
          <w:p w14:paraId="4D831A37">
            <w:pPr>
              <w:pStyle w:val="12"/>
              <w:jc w:val="center"/>
              <w:rPr>
                <w:rFonts w:ascii="宋体" w:hAnsi="宋体"/>
              </w:rPr>
            </w:pPr>
            <w:r>
              <w:rPr>
                <w:rFonts w:hint="eastAsia" w:ascii="宋体" w:hAnsi="宋体"/>
              </w:rPr>
              <w:t>三友</w:t>
            </w:r>
          </w:p>
        </w:tc>
        <w:tc>
          <w:tcPr>
            <w:tcW w:w="392" w:type="pct"/>
            <w:vAlign w:val="center"/>
          </w:tcPr>
          <w:p w14:paraId="47397368">
            <w:pPr>
              <w:pStyle w:val="12"/>
              <w:jc w:val="center"/>
              <w:rPr>
                <w:rFonts w:ascii="宋体" w:hAnsi="宋体"/>
              </w:rPr>
            </w:pPr>
            <w:r>
              <w:rPr>
                <w:rFonts w:hint="eastAsia" w:ascii="宋体" w:hAnsi="宋体"/>
              </w:rPr>
              <w:t>125</w:t>
            </w:r>
          </w:p>
        </w:tc>
      </w:tr>
      <w:tr w14:paraId="2B286A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14:paraId="49ED9D58">
            <w:pPr>
              <w:pStyle w:val="12"/>
              <w:jc w:val="center"/>
              <w:rPr>
                <w:rFonts w:ascii="宋体" w:hAnsi="宋体"/>
              </w:rPr>
            </w:pPr>
            <w:r>
              <w:rPr>
                <w:rFonts w:hint="eastAsia" w:ascii="宋体" w:hAnsi="宋体"/>
              </w:rPr>
              <w:t>华胜</w:t>
            </w:r>
          </w:p>
        </w:tc>
        <w:tc>
          <w:tcPr>
            <w:tcW w:w="448" w:type="pct"/>
            <w:vAlign w:val="center"/>
          </w:tcPr>
          <w:p w14:paraId="669BE60C">
            <w:pPr>
              <w:pStyle w:val="12"/>
              <w:jc w:val="center"/>
              <w:rPr>
                <w:rFonts w:ascii="宋体" w:hAnsi="宋体"/>
              </w:rPr>
            </w:pPr>
            <w:r>
              <w:rPr>
                <w:rFonts w:hint="eastAsia" w:ascii="宋体" w:hAnsi="宋体"/>
              </w:rPr>
              <w:t>285</w:t>
            </w:r>
          </w:p>
        </w:tc>
        <w:tc>
          <w:tcPr>
            <w:tcW w:w="547" w:type="pct"/>
            <w:vAlign w:val="center"/>
          </w:tcPr>
          <w:p w14:paraId="15D4656A">
            <w:pPr>
              <w:pStyle w:val="12"/>
              <w:jc w:val="center"/>
              <w:rPr>
                <w:rFonts w:ascii="宋体" w:hAnsi="宋体"/>
              </w:rPr>
            </w:pPr>
            <w:r>
              <w:rPr>
                <w:rFonts w:hint="eastAsia" w:ascii="宋体" w:hAnsi="宋体"/>
              </w:rPr>
              <w:t>澎湖</w:t>
            </w:r>
          </w:p>
        </w:tc>
        <w:tc>
          <w:tcPr>
            <w:tcW w:w="453" w:type="pct"/>
            <w:vAlign w:val="center"/>
          </w:tcPr>
          <w:p w14:paraId="7108D743">
            <w:pPr>
              <w:pStyle w:val="12"/>
              <w:jc w:val="center"/>
              <w:rPr>
                <w:rFonts w:ascii="宋体" w:hAnsi="宋体"/>
              </w:rPr>
            </w:pPr>
            <w:r>
              <w:rPr>
                <w:rFonts w:hint="eastAsia" w:ascii="宋体" w:hAnsi="宋体"/>
              </w:rPr>
              <w:t>260</w:t>
            </w:r>
          </w:p>
        </w:tc>
        <w:tc>
          <w:tcPr>
            <w:tcW w:w="614" w:type="pct"/>
            <w:vAlign w:val="center"/>
          </w:tcPr>
          <w:p w14:paraId="4DC678BB">
            <w:pPr>
              <w:pStyle w:val="12"/>
              <w:jc w:val="center"/>
              <w:rPr>
                <w:rFonts w:ascii="宋体" w:hAnsi="宋体"/>
              </w:rPr>
            </w:pPr>
            <w:r>
              <w:rPr>
                <w:rFonts w:hint="eastAsia" w:ascii="宋体" w:hAnsi="宋体"/>
              </w:rPr>
              <w:t>兰田</w:t>
            </w:r>
          </w:p>
        </w:tc>
        <w:tc>
          <w:tcPr>
            <w:tcW w:w="385" w:type="pct"/>
            <w:vAlign w:val="center"/>
          </w:tcPr>
          <w:p w14:paraId="4EB5D9BA">
            <w:pPr>
              <w:pStyle w:val="12"/>
              <w:jc w:val="center"/>
              <w:rPr>
                <w:rFonts w:ascii="宋体" w:hAnsi="宋体"/>
              </w:rPr>
            </w:pPr>
            <w:r>
              <w:rPr>
                <w:rFonts w:hint="eastAsia" w:ascii="宋体" w:hAnsi="宋体"/>
              </w:rPr>
              <w:t>160</w:t>
            </w:r>
          </w:p>
        </w:tc>
        <w:tc>
          <w:tcPr>
            <w:tcW w:w="540" w:type="pct"/>
            <w:vAlign w:val="center"/>
          </w:tcPr>
          <w:p w14:paraId="4CA890A4">
            <w:pPr>
              <w:pStyle w:val="12"/>
              <w:jc w:val="center"/>
              <w:rPr>
                <w:rFonts w:ascii="宋体" w:hAnsi="宋体"/>
              </w:rPr>
            </w:pPr>
            <w:r>
              <w:rPr>
                <w:rFonts w:hint="eastAsia" w:ascii="宋体" w:hAnsi="宋体"/>
              </w:rPr>
              <w:t>杨梅坝后</w:t>
            </w:r>
          </w:p>
        </w:tc>
        <w:tc>
          <w:tcPr>
            <w:tcW w:w="427" w:type="pct"/>
            <w:vAlign w:val="center"/>
          </w:tcPr>
          <w:p w14:paraId="18EF019B">
            <w:pPr>
              <w:pStyle w:val="12"/>
              <w:jc w:val="center"/>
              <w:rPr>
                <w:rFonts w:ascii="宋体" w:hAnsi="宋体"/>
              </w:rPr>
            </w:pPr>
            <w:r>
              <w:rPr>
                <w:rFonts w:hint="eastAsia" w:ascii="宋体" w:hAnsi="宋体"/>
              </w:rPr>
              <w:t>75</w:t>
            </w:r>
          </w:p>
        </w:tc>
        <w:tc>
          <w:tcPr>
            <w:tcW w:w="640" w:type="pct"/>
            <w:vAlign w:val="center"/>
          </w:tcPr>
          <w:p w14:paraId="179ADDB0">
            <w:pPr>
              <w:pStyle w:val="12"/>
              <w:jc w:val="center"/>
              <w:rPr>
                <w:rFonts w:ascii="宋体" w:hAnsi="宋体"/>
              </w:rPr>
            </w:pPr>
            <w:r>
              <w:rPr>
                <w:rFonts w:hint="eastAsia" w:ascii="宋体" w:hAnsi="宋体"/>
              </w:rPr>
              <w:t>万胜</w:t>
            </w:r>
          </w:p>
        </w:tc>
        <w:tc>
          <w:tcPr>
            <w:tcW w:w="392" w:type="pct"/>
            <w:vAlign w:val="center"/>
          </w:tcPr>
          <w:p w14:paraId="34D66CB1">
            <w:pPr>
              <w:pStyle w:val="12"/>
              <w:jc w:val="center"/>
              <w:rPr>
                <w:rFonts w:ascii="宋体" w:hAnsi="宋体"/>
              </w:rPr>
            </w:pPr>
            <w:r>
              <w:rPr>
                <w:rFonts w:hint="eastAsia" w:ascii="宋体" w:hAnsi="宋体"/>
              </w:rPr>
              <w:t>160</w:t>
            </w:r>
          </w:p>
        </w:tc>
      </w:tr>
      <w:tr w14:paraId="1A489E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14:paraId="73792A39">
            <w:pPr>
              <w:pStyle w:val="12"/>
              <w:jc w:val="center"/>
              <w:rPr>
                <w:rFonts w:ascii="宋体" w:hAnsi="宋体"/>
              </w:rPr>
            </w:pPr>
            <w:r>
              <w:rPr>
                <w:rFonts w:hint="eastAsia" w:ascii="宋体" w:hAnsi="宋体"/>
              </w:rPr>
              <w:t>练潭</w:t>
            </w:r>
          </w:p>
        </w:tc>
        <w:tc>
          <w:tcPr>
            <w:tcW w:w="448" w:type="pct"/>
            <w:vAlign w:val="center"/>
          </w:tcPr>
          <w:p w14:paraId="33E1E82B">
            <w:pPr>
              <w:pStyle w:val="12"/>
              <w:jc w:val="center"/>
              <w:rPr>
                <w:rFonts w:ascii="宋体" w:hAnsi="宋体"/>
              </w:rPr>
            </w:pPr>
            <w:r>
              <w:rPr>
                <w:rFonts w:hint="eastAsia" w:ascii="宋体" w:hAnsi="宋体"/>
              </w:rPr>
              <w:t>125</w:t>
            </w:r>
          </w:p>
        </w:tc>
        <w:tc>
          <w:tcPr>
            <w:tcW w:w="547" w:type="pct"/>
            <w:vAlign w:val="center"/>
          </w:tcPr>
          <w:p w14:paraId="3A4484A6">
            <w:pPr>
              <w:pStyle w:val="12"/>
              <w:jc w:val="center"/>
              <w:rPr>
                <w:rFonts w:ascii="宋体" w:hAnsi="宋体"/>
              </w:rPr>
            </w:pPr>
            <w:r>
              <w:rPr>
                <w:rFonts w:hint="eastAsia" w:ascii="宋体" w:hAnsi="宋体"/>
              </w:rPr>
              <w:t>盘古王</w:t>
            </w:r>
          </w:p>
        </w:tc>
        <w:tc>
          <w:tcPr>
            <w:tcW w:w="453" w:type="pct"/>
            <w:vAlign w:val="center"/>
          </w:tcPr>
          <w:p w14:paraId="592D0225">
            <w:pPr>
              <w:pStyle w:val="12"/>
              <w:jc w:val="center"/>
              <w:rPr>
                <w:rFonts w:ascii="宋体" w:hAnsi="宋体"/>
              </w:rPr>
            </w:pPr>
            <w:r>
              <w:rPr>
                <w:rFonts w:hint="eastAsia" w:ascii="宋体" w:hAnsi="宋体"/>
              </w:rPr>
              <w:t>160</w:t>
            </w:r>
          </w:p>
        </w:tc>
        <w:tc>
          <w:tcPr>
            <w:tcW w:w="614" w:type="pct"/>
            <w:vAlign w:val="center"/>
          </w:tcPr>
          <w:p w14:paraId="3B8299B7">
            <w:pPr>
              <w:pStyle w:val="12"/>
              <w:jc w:val="center"/>
              <w:rPr>
                <w:rFonts w:ascii="宋体" w:hAnsi="宋体"/>
              </w:rPr>
            </w:pPr>
            <w:r>
              <w:rPr>
                <w:rFonts w:hint="eastAsia" w:ascii="宋体" w:hAnsi="宋体"/>
              </w:rPr>
              <w:t>水上操</w:t>
            </w:r>
          </w:p>
        </w:tc>
        <w:tc>
          <w:tcPr>
            <w:tcW w:w="385" w:type="pct"/>
            <w:vAlign w:val="center"/>
          </w:tcPr>
          <w:p w14:paraId="2B79804E">
            <w:pPr>
              <w:pStyle w:val="12"/>
              <w:jc w:val="center"/>
              <w:rPr>
                <w:rFonts w:ascii="宋体" w:hAnsi="宋体"/>
              </w:rPr>
            </w:pPr>
            <w:r>
              <w:rPr>
                <w:rFonts w:hint="eastAsia" w:ascii="宋体" w:hAnsi="宋体"/>
              </w:rPr>
              <w:t>125</w:t>
            </w:r>
          </w:p>
        </w:tc>
        <w:tc>
          <w:tcPr>
            <w:tcW w:w="540" w:type="pct"/>
            <w:vAlign w:val="center"/>
          </w:tcPr>
          <w:p w14:paraId="186F8469">
            <w:pPr>
              <w:pStyle w:val="12"/>
              <w:jc w:val="center"/>
              <w:rPr>
                <w:rFonts w:ascii="宋体" w:hAnsi="宋体"/>
              </w:rPr>
            </w:pPr>
            <w:r>
              <w:rPr>
                <w:rFonts w:hint="eastAsia" w:ascii="宋体" w:hAnsi="宋体"/>
              </w:rPr>
              <w:t>探地水</w:t>
            </w:r>
          </w:p>
        </w:tc>
        <w:tc>
          <w:tcPr>
            <w:tcW w:w="427" w:type="pct"/>
            <w:vAlign w:val="center"/>
          </w:tcPr>
          <w:p w14:paraId="45D56F1F">
            <w:pPr>
              <w:pStyle w:val="12"/>
              <w:jc w:val="center"/>
              <w:rPr>
                <w:rFonts w:ascii="宋体" w:hAnsi="宋体"/>
              </w:rPr>
            </w:pPr>
            <w:r>
              <w:rPr>
                <w:rFonts w:hint="eastAsia" w:ascii="宋体" w:hAnsi="宋体"/>
              </w:rPr>
              <w:t>260</w:t>
            </w:r>
          </w:p>
        </w:tc>
        <w:tc>
          <w:tcPr>
            <w:tcW w:w="640" w:type="pct"/>
            <w:vAlign w:val="center"/>
          </w:tcPr>
          <w:p w14:paraId="4C6A4011">
            <w:pPr>
              <w:pStyle w:val="12"/>
              <w:jc w:val="center"/>
              <w:rPr>
                <w:rFonts w:ascii="宋体" w:hAnsi="宋体"/>
              </w:rPr>
            </w:pPr>
            <w:r>
              <w:rPr>
                <w:rFonts w:hint="eastAsia" w:ascii="宋体" w:hAnsi="宋体"/>
              </w:rPr>
              <w:t>杨柳坝</w:t>
            </w:r>
          </w:p>
        </w:tc>
        <w:tc>
          <w:tcPr>
            <w:tcW w:w="392" w:type="pct"/>
            <w:vAlign w:val="center"/>
          </w:tcPr>
          <w:p w14:paraId="213D6EAB">
            <w:pPr>
              <w:pStyle w:val="12"/>
              <w:jc w:val="center"/>
              <w:rPr>
                <w:rFonts w:ascii="宋体" w:hAnsi="宋体"/>
              </w:rPr>
            </w:pPr>
            <w:r>
              <w:rPr>
                <w:rFonts w:hint="eastAsia" w:ascii="宋体" w:hAnsi="宋体"/>
              </w:rPr>
              <w:t>400</w:t>
            </w:r>
          </w:p>
        </w:tc>
      </w:tr>
      <w:tr w14:paraId="7A506C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14:paraId="330E8A23">
            <w:pPr>
              <w:pStyle w:val="12"/>
              <w:jc w:val="center"/>
              <w:rPr>
                <w:rFonts w:ascii="宋体" w:hAnsi="宋体"/>
              </w:rPr>
            </w:pPr>
            <w:r>
              <w:rPr>
                <w:rFonts w:hint="eastAsia" w:ascii="宋体" w:hAnsi="宋体"/>
              </w:rPr>
              <w:t>横岭</w:t>
            </w:r>
          </w:p>
        </w:tc>
        <w:tc>
          <w:tcPr>
            <w:tcW w:w="448" w:type="pct"/>
            <w:vAlign w:val="center"/>
          </w:tcPr>
          <w:p w14:paraId="7A3CA700">
            <w:pPr>
              <w:pStyle w:val="12"/>
              <w:jc w:val="center"/>
              <w:rPr>
                <w:rFonts w:ascii="宋体" w:hAnsi="宋体"/>
              </w:rPr>
            </w:pPr>
            <w:r>
              <w:rPr>
                <w:rFonts w:hint="eastAsia" w:ascii="宋体" w:hAnsi="宋体"/>
              </w:rPr>
              <w:t>160</w:t>
            </w:r>
          </w:p>
        </w:tc>
        <w:tc>
          <w:tcPr>
            <w:tcW w:w="547" w:type="pct"/>
            <w:vAlign w:val="center"/>
          </w:tcPr>
          <w:p w14:paraId="4C3DD9D5">
            <w:pPr>
              <w:pStyle w:val="12"/>
              <w:jc w:val="center"/>
              <w:rPr>
                <w:rFonts w:ascii="宋体" w:hAnsi="宋体"/>
              </w:rPr>
            </w:pPr>
            <w:r>
              <w:rPr>
                <w:rFonts w:hint="eastAsia" w:ascii="宋体" w:hAnsi="宋体"/>
              </w:rPr>
              <w:t>沧浪</w:t>
            </w:r>
          </w:p>
        </w:tc>
        <w:tc>
          <w:tcPr>
            <w:tcW w:w="453" w:type="pct"/>
            <w:vAlign w:val="center"/>
          </w:tcPr>
          <w:p w14:paraId="59CC119C">
            <w:pPr>
              <w:pStyle w:val="12"/>
              <w:jc w:val="center"/>
              <w:rPr>
                <w:rFonts w:ascii="宋体" w:hAnsi="宋体"/>
              </w:rPr>
            </w:pPr>
            <w:r>
              <w:rPr>
                <w:rFonts w:hint="eastAsia" w:ascii="宋体" w:hAnsi="宋体"/>
              </w:rPr>
              <w:t>410</w:t>
            </w:r>
          </w:p>
        </w:tc>
        <w:tc>
          <w:tcPr>
            <w:tcW w:w="614" w:type="pct"/>
            <w:vAlign w:val="center"/>
          </w:tcPr>
          <w:p w14:paraId="30F36861">
            <w:pPr>
              <w:pStyle w:val="12"/>
              <w:jc w:val="center"/>
              <w:rPr>
                <w:rFonts w:ascii="宋体" w:hAnsi="宋体"/>
              </w:rPr>
            </w:pPr>
            <w:r>
              <w:rPr>
                <w:rFonts w:hint="eastAsia" w:ascii="宋体" w:hAnsi="宋体"/>
              </w:rPr>
              <w:t>井龙</w:t>
            </w:r>
          </w:p>
        </w:tc>
        <w:tc>
          <w:tcPr>
            <w:tcW w:w="385" w:type="pct"/>
            <w:vAlign w:val="center"/>
          </w:tcPr>
          <w:p w14:paraId="77CF259C">
            <w:pPr>
              <w:pStyle w:val="12"/>
              <w:jc w:val="center"/>
              <w:rPr>
                <w:rFonts w:ascii="宋体" w:hAnsi="宋体"/>
              </w:rPr>
            </w:pPr>
            <w:r>
              <w:rPr>
                <w:rFonts w:hint="eastAsia" w:ascii="宋体" w:hAnsi="宋体"/>
              </w:rPr>
              <w:t>125</w:t>
            </w:r>
          </w:p>
        </w:tc>
        <w:tc>
          <w:tcPr>
            <w:tcW w:w="540" w:type="pct"/>
            <w:vAlign w:val="center"/>
          </w:tcPr>
          <w:p w14:paraId="1E9C2230">
            <w:pPr>
              <w:pStyle w:val="12"/>
              <w:jc w:val="center"/>
              <w:rPr>
                <w:rFonts w:ascii="宋体" w:hAnsi="宋体"/>
              </w:rPr>
            </w:pPr>
            <w:r>
              <w:rPr>
                <w:rFonts w:hint="eastAsia" w:ascii="宋体" w:hAnsi="宋体"/>
              </w:rPr>
              <w:t>两管水</w:t>
            </w:r>
          </w:p>
        </w:tc>
        <w:tc>
          <w:tcPr>
            <w:tcW w:w="427" w:type="pct"/>
            <w:vAlign w:val="center"/>
          </w:tcPr>
          <w:p w14:paraId="1FB3BB7D">
            <w:pPr>
              <w:pStyle w:val="12"/>
              <w:jc w:val="center"/>
              <w:rPr>
                <w:rFonts w:ascii="宋体" w:hAnsi="宋体"/>
              </w:rPr>
            </w:pPr>
            <w:r>
              <w:rPr>
                <w:rFonts w:hint="eastAsia" w:ascii="宋体" w:hAnsi="宋体"/>
              </w:rPr>
              <w:t>160</w:t>
            </w:r>
          </w:p>
        </w:tc>
        <w:tc>
          <w:tcPr>
            <w:tcW w:w="640" w:type="pct"/>
            <w:vAlign w:val="center"/>
          </w:tcPr>
          <w:p w14:paraId="5E5CEAEB">
            <w:pPr>
              <w:pStyle w:val="12"/>
              <w:jc w:val="center"/>
              <w:rPr>
                <w:rFonts w:ascii="宋体" w:hAnsi="宋体"/>
              </w:rPr>
            </w:pPr>
            <w:r>
              <w:rPr>
                <w:rFonts w:hint="eastAsia" w:ascii="宋体" w:hAnsi="宋体"/>
              </w:rPr>
              <w:t>孔江水库</w:t>
            </w:r>
          </w:p>
        </w:tc>
        <w:tc>
          <w:tcPr>
            <w:tcW w:w="392" w:type="pct"/>
            <w:vAlign w:val="center"/>
          </w:tcPr>
          <w:p w14:paraId="74360A94">
            <w:pPr>
              <w:pStyle w:val="12"/>
              <w:jc w:val="center"/>
              <w:rPr>
                <w:rFonts w:ascii="宋体" w:hAnsi="宋体"/>
              </w:rPr>
            </w:pPr>
            <w:r>
              <w:rPr>
                <w:rFonts w:hint="eastAsia" w:ascii="宋体" w:hAnsi="宋体"/>
              </w:rPr>
              <w:t>250</w:t>
            </w:r>
          </w:p>
        </w:tc>
      </w:tr>
      <w:tr w14:paraId="054D66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14:paraId="6576DC6D">
            <w:pPr>
              <w:pStyle w:val="12"/>
              <w:jc w:val="center"/>
              <w:rPr>
                <w:rFonts w:ascii="宋体" w:hAnsi="宋体"/>
              </w:rPr>
            </w:pPr>
            <w:r>
              <w:rPr>
                <w:rFonts w:hint="eastAsia" w:ascii="宋体" w:hAnsi="宋体"/>
              </w:rPr>
              <w:t>孔江坝口</w:t>
            </w:r>
          </w:p>
        </w:tc>
        <w:tc>
          <w:tcPr>
            <w:tcW w:w="448" w:type="pct"/>
            <w:vAlign w:val="center"/>
          </w:tcPr>
          <w:p w14:paraId="1CC499B1">
            <w:pPr>
              <w:pStyle w:val="12"/>
              <w:jc w:val="center"/>
              <w:rPr>
                <w:rFonts w:ascii="宋体" w:hAnsi="宋体"/>
              </w:rPr>
            </w:pPr>
            <w:r>
              <w:rPr>
                <w:rFonts w:hint="eastAsia" w:ascii="宋体" w:hAnsi="宋体"/>
              </w:rPr>
              <w:t>320</w:t>
            </w:r>
          </w:p>
        </w:tc>
        <w:tc>
          <w:tcPr>
            <w:tcW w:w="547" w:type="pct"/>
            <w:vAlign w:val="center"/>
          </w:tcPr>
          <w:p w14:paraId="4644BBFC">
            <w:pPr>
              <w:pStyle w:val="12"/>
              <w:jc w:val="center"/>
              <w:rPr>
                <w:rFonts w:ascii="宋体" w:hAnsi="宋体"/>
              </w:rPr>
            </w:pPr>
            <w:r>
              <w:rPr>
                <w:rFonts w:hint="eastAsia" w:ascii="宋体" w:hAnsi="宋体"/>
              </w:rPr>
              <w:t>中坪三站</w:t>
            </w:r>
          </w:p>
        </w:tc>
        <w:tc>
          <w:tcPr>
            <w:tcW w:w="453" w:type="pct"/>
            <w:vAlign w:val="center"/>
          </w:tcPr>
          <w:p w14:paraId="3F4E6809">
            <w:pPr>
              <w:pStyle w:val="12"/>
              <w:jc w:val="center"/>
              <w:rPr>
                <w:rFonts w:ascii="宋体" w:hAnsi="宋体"/>
              </w:rPr>
            </w:pPr>
            <w:r>
              <w:rPr>
                <w:rFonts w:hint="eastAsia" w:ascii="宋体" w:hAnsi="宋体"/>
              </w:rPr>
              <w:t>160</w:t>
            </w:r>
          </w:p>
        </w:tc>
        <w:tc>
          <w:tcPr>
            <w:tcW w:w="614" w:type="pct"/>
            <w:vAlign w:val="center"/>
          </w:tcPr>
          <w:p w14:paraId="41395D2B">
            <w:pPr>
              <w:pStyle w:val="12"/>
              <w:jc w:val="center"/>
              <w:rPr>
                <w:rFonts w:ascii="宋体" w:hAnsi="宋体"/>
              </w:rPr>
            </w:pPr>
            <w:r>
              <w:rPr>
                <w:rFonts w:hint="eastAsia" w:ascii="宋体" w:hAnsi="宋体"/>
              </w:rPr>
              <w:t>新龙</w:t>
            </w:r>
          </w:p>
        </w:tc>
        <w:tc>
          <w:tcPr>
            <w:tcW w:w="385" w:type="pct"/>
            <w:vAlign w:val="center"/>
          </w:tcPr>
          <w:p w14:paraId="5D4F7C4D">
            <w:pPr>
              <w:pStyle w:val="12"/>
              <w:jc w:val="center"/>
              <w:rPr>
                <w:rFonts w:ascii="宋体" w:hAnsi="宋体"/>
              </w:rPr>
            </w:pPr>
            <w:r>
              <w:rPr>
                <w:rFonts w:hint="eastAsia" w:ascii="宋体" w:hAnsi="宋体"/>
              </w:rPr>
              <w:t>100</w:t>
            </w:r>
          </w:p>
        </w:tc>
        <w:tc>
          <w:tcPr>
            <w:tcW w:w="540" w:type="pct"/>
            <w:vAlign w:val="center"/>
          </w:tcPr>
          <w:p w14:paraId="4D36A003">
            <w:pPr>
              <w:pStyle w:val="12"/>
              <w:jc w:val="center"/>
              <w:rPr>
                <w:rFonts w:ascii="宋体" w:hAnsi="宋体"/>
              </w:rPr>
            </w:pPr>
            <w:r>
              <w:rPr>
                <w:rFonts w:hint="eastAsia" w:ascii="宋体" w:hAnsi="宋体"/>
              </w:rPr>
              <w:t>泷头</w:t>
            </w:r>
          </w:p>
        </w:tc>
        <w:tc>
          <w:tcPr>
            <w:tcW w:w="427" w:type="pct"/>
            <w:vAlign w:val="center"/>
          </w:tcPr>
          <w:p w14:paraId="4C15C135">
            <w:pPr>
              <w:pStyle w:val="12"/>
              <w:jc w:val="center"/>
              <w:rPr>
                <w:rFonts w:ascii="宋体" w:hAnsi="宋体"/>
              </w:rPr>
            </w:pPr>
            <w:r>
              <w:rPr>
                <w:rFonts w:hint="eastAsia" w:ascii="宋体" w:hAnsi="宋体"/>
              </w:rPr>
              <w:t>200</w:t>
            </w:r>
          </w:p>
        </w:tc>
        <w:tc>
          <w:tcPr>
            <w:tcW w:w="640" w:type="pct"/>
            <w:vAlign w:val="center"/>
          </w:tcPr>
          <w:p w14:paraId="14278917">
            <w:pPr>
              <w:pStyle w:val="12"/>
              <w:jc w:val="center"/>
              <w:rPr>
                <w:rFonts w:ascii="宋体" w:hAnsi="宋体"/>
              </w:rPr>
            </w:pPr>
            <w:r>
              <w:rPr>
                <w:rFonts w:hint="eastAsia" w:ascii="宋体" w:hAnsi="宋体"/>
              </w:rPr>
              <w:t>山坑</w:t>
            </w:r>
          </w:p>
        </w:tc>
        <w:tc>
          <w:tcPr>
            <w:tcW w:w="392" w:type="pct"/>
            <w:vAlign w:val="center"/>
          </w:tcPr>
          <w:p w14:paraId="28AE0A0E">
            <w:pPr>
              <w:pStyle w:val="12"/>
              <w:jc w:val="center"/>
              <w:rPr>
                <w:rFonts w:ascii="宋体" w:hAnsi="宋体"/>
              </w:rPr>
            </w:pPr>
            <w:r>
              <w:rPr>
                <w:rFonts w:hint="eastAsia" w:ascii="宋体" w:hAnsi="宋体"/>
              </w:rPr>
              <w:t>260</w:t>
            </w:r>
          </w:p>
        </w:tc>
      </w:tr>
      <w:tr w14:paraId="5606EB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14:paraId="0B96E606">
            <w:pPr>
              <w:pStyle w:val="12"/>
              <w:jc w:val="center"/>
              <w:rPr>
                <w:rFonts w:ascii="宋体" w:hAnsi="宋体"/>
              </w:rPr>
            </w:pPr>
            <w:r>
              <w:rPr>
                <w:rFonts w:hint="eastAsia" w:ascii="宋体" w:hAnsi="宋体"/>
              </w:rPr>
              <w:t>水口</w:t>
            </w:r>
          </w:p>
        </w:tc>
        <w:tc>
          <w:tcPr>
            <w:tcW w:w="448" w:type="pct"/>
            <w:vAlign w:val="center"/>
          </w:tcPr>
          <w:p w14:paraId="4556AAA6">
            <w:pPr>
              <w:pStyle w:val="12"/>
              <w:jc w:val="center"/>
              <w:rPr>
                <w:rFonts w:ascii="宋体" w:hAnsi="宋体"/>
              </w:rPr>
            </w:pPr>
            <w:r>
              <w:rPr>
                <w:rFonts w:hint="eastAsia" w:ascii="宋体" w:hAnsi="宋体"/>
              </w:rPr>
              <w:t>250</w:t>
            </w:r>
          </w:p>
        </w:tc>
        <w:tc>
          <w:tcPr>
            <w:tcW w:w="547" w:type="pct"/>
            <w:vAlign w:val="center"/>
          </w:tcPr>
          <w:p w14:paraId="4BB55757">
            <w:pPr>
              <w:pStyle w:val="12"/>
              <w:jc w:val="center"/>
              <w:rPr>
                <w:rFonts w:ascii="宋体" w:hAnsi="宋体"/>
              </w:rPr>
            </w:pPr>
            <w:r>
              <w:rPr>
                <w:rFonts w:hint="eastAsia" w:ascii="宋体" w:hAnsi="宋体"/>
              </w:rPr>
              <w:t>闸坝</w:t>
            </w:r>
          </w:p>
        </w:tc>
        <w:tc>
          <w:tcPr>
            <w:tcW w:w="453" w:type="pct"/>
            <w:vAlign w:val="center"/>
          </w:tcPr>
          <w:p w14:paraId="5BB55763">
            <w:pPr>
              <w:pStyle w:val="12"/>
              <w:jc w:val="center"/>
              <w:rPr>
                <w:rFonts w:ascii="宋体" w:hAnsi="宋体"/>
              </w:rPr>
            </w:pPr>
            <w:r>
              <w:rPr>
                <w:rFonts w:hint="eastAsia" w:ascii="宋体" w:hAnsi="宋体"/>
              </w:rPr>
              <w:t>200</w:t>
            </w:r>
          </w:p>
        </w:tc>
        <w:tc>
          <w:tcPr>
            <w:tcW w:w="614" w:type="pct"/>
            <w:vAlign w:val="center"/>
          </w:tcPr>
          <w:p w14:paraId="19C0367E">
            <w:pPr>
              <w:pStyle w:val="12"/>
              <w:jc w:val="center"/>
              <w:rPr>
                <w:rFonts w:ascii="宋体" w:hAnsi="宋体"/>
              </w:rPr>
            </w:pPr>
            <w:r>
              <w:rPr>
                <w:rFonts w:hint="eastAsia" w:ascii="宋体" w:hAnsi="宋体"/>
              </w:rPr>
              <w:t>横江二站</w:t>
            </w:r>
          </w:p>
        </w:tc>
        <w:tc>
          <w:tcPr>
            <w:tcW w:w="385" w:type="pct"/>
            <w:vAlign w:val="center"/>
          </w:tcPr>
          <w:p w14:paraId="19C6D358">
            <w:pPr>
              <w:pStyle w:val="12"/>
              <w:jc w:val="center"/>
              <w:rPr>
                <w:rFonts w:ascii="宋体" w:hAnsi="宋体"/>
              </w:rPr>
            </w:pPr>
            <w:r>
              <w:rPr>
                <w:rFonts w:hint="eastAsia" w:ascii="宋体" w:hAnsi="宋体"/>
              </w:rPr>
              <w:t>125</w:t>
            </w:r>
          </w:p>
        </w:tc>
        <w:tc>
          <w:tcPr>
            <w:tcW w:w="540" w:type="pct"/>
            <w:vAlign w:val="center"/>
          </w:tcPr>
          <w:p w14:paraId="3BD19B3F">
            <w:pPr>
              <w:pStyle w:val="12"/>
              <w:jc w:val="center"/>
              <w:rPr>
                <w:rFonts w:ascii="宋体" w:hAnsi="宋体"/>
              </w:rPr>
            </w:pPr>
            <w:r>
              <w:rPr>
                <w:rFonts w:hint="eastAsia" w:ascii="宋体" w:hAnsi="宋体"/>
              </w:rPr>
              <w:t>金水</w:t>
            </w:r>
          </w:p>
        </w:tc>
        <w:tc>
          <w:tcPr>
            <w:tcW w:w="427" w:type="pct"/>
            <w:vAlign w:val="center"/>
          </w:tcPr>
          <w:p w14:paraId="3D477ADD">
            <w:pPr>
              <w:pStyle w:val="12"/>
              <w:jc w:val="center"/>
              <w:rPr>
                <w:rFonts w:ascii="宋体" w:hAnsi="宋体"/>
              </w:rPr>
            </w:pPr>
            <w:r>
              <w:rPr>
                <w:rFonts w:hint="eastAsia" w:ascii="宋体" w:hAnsi="宋体"/>
              </w:rPr>
              <w:t>250</w:t>
            </w:r>
          </w:p>
        </w:tc>
        <w:tc>
          <w:tcPr>
            <w:tcW w:w="640" w:type="pct"/>
            <w:vAlign w:val="center"/>
          </w:tcPr>
          <w:p w14:paraId="5B8863DF">
            <w:pPr>
              <w:pStyle w:val="12"/>
              <w:jc w:val="center"/>
              <w:rPr>
                <w:rFonts w:ascii="宋体" w:hAnsi="宋体"/>
              </w:rPr>
            </w:pPr>
            <w:r>
              <w:rPr>
                <w:rFonts w:hint="eastAsia" w:ascii="宋体" w:hAnsi="宋体"/>
              </w:rPr>
              <w:t>—</w:t>
            </w:r>
          </w:p>
        </w:tc>
        <w:tc>
          <w:tcPr>
            <w:tcW w:w="392" w:type="pct"/>
            <w:vAlign w:val="center"/>
          </w:tcPr>
          <w:p w14:paraId="7702C869">
            <w:pPr>
              <w:pStyle w:val="12"/>
              <w:jc w:val="center"/>
              <w:rPr>
                <w:rFonts w:ascii="宋体" w:hAnsi="宋体"/>
              </w:rPr>
            </w:pPr>
            <w:r>
              <w:rPr>
                <w:rFonts w:hint="eastAsia" w:ascii="宋体" w:hAnsi="宋体"/>
              </w:rPr>
              <w:t>—</w:t>
            </w:r>
          </w:p>
        </w:tc>
      </w:tr>
      <w:tr w14:paraId="0CE2AD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14:paraId="5F39586E">
            <w:pPr>
              <w:pStyle w:val="12"/>
              <w:jc w:val="center"/>
              <w:rPr>
                <w:rFonts w:ascii="宋体" w:hAnsi="宋体"/>
              </w:rPr>
            </w:pPr>
            <w:r>
              <w:rPr>
                <w:rFonts w:hint="eastAsia" w:ascii="宋体" w:hAnsi="宋体"/>
              </w:rPr>
              <w:t>中坑</w:t>
            </w:r>
          </w:p>
        </w:tc>
        <w:tc>
          <w:tcPr>
            <w:tcW w:w="448" w:type="pct"/>
            <w:vAlign w:val="center"/>
          </w:tcPr>
          <w:p w14:paraId="054603DB">
            <w:pPr>
              <w:pStyle w:val="12"/>
              <w:jc w:val="center"/>
              <w:rPr>
                <w:rFonts w:ascii="宋体" w:hAnsi="宋体"/>
              </w:rPr>
            </w:pPr>
            <w:r>
              <w:rPr>
                <w:rFonts w:hint="eastAsia" w:ascii="宋体" w:hAnsi="宋体"/>
              </w:rPr>
              <w:t>125</w:t>
            </w:r>
          </w:p>
        </w:tc>
        <w:tc>
          <w:tcPr>
            <w:tcW w:w="547" w:type="pct"/>
            <w:vAlign w:val="center"/>
          </w:tcPr>
          <w:p w14:paraId="6ADDEDEB">
            <w:pPr>
              <w:pStyle w:val="12"/>
              <w:jc w:val="center"/>
              <w:rPr>
                <w:rFonts w:ascii="宋体" w:hAnsi="宋体"/>
              </w:rPr>
            </w:pPr>
            <w:r>
              <w:rPr>
                <w:rFonts w:hint="eastAsia" w:ascii="宋体" w:hAnsi="宋体"/>
              </w:rPr>
              <w:t>角湾</w:t>
            </w:r>
          </w:p>
        </w:tc>
        <w:tc>
          <w:tcPr>
            <w:tcW w:w="453" w:type="pct"/>
            <w:vAlign w:val="center"/>
          </w:tcPr>
          <w:p w14:paraId="748CCDA1">
            <w:pPr>
              <w:pStyle w:val="12"/>
              <w:jc w:val="center"/>
              <w:rPr>
                <w:rFonts w:ascii="宋体" w:hAnsi="宋体"/>
              </w:rPr>
            </w:pPr>
            <w:r>
              <w:rPr>
                <w:rFonts w:hint="eastAsia" w:ascii="宋体" w:hAnsi="宋体"/>
              </w:rPr>
              <w:t>100</w:t>
            </w:r>
          </w:p>
        </w:tc>
        <w:tc>
          <w:tcPr>
            <w:tcW w:w="614" w:type="pct"/>
            <w:vAlign w:val="center"/>
          </w:tcPr>
          <w:p w14:paraId="7F1484AA">
            <w:pPr>
              <w:pStyle w:val="12"/>
              <w:jc w:val="center"/>
              <w:rPr>
                <w:rFonts w:ascii="宋体" w:hAnsi="宋体"/>
              </w:rPr>
            </w:pPr>
            <w:r>
              <w:rPr>
                <w:rFonts w:hint="eastAsia" w:ascii="宋体" w:hAnsi="宋体"/>
              </w:rPr>
              <w:t>大丰</w:t>
            </w:r>
          </w:p>
        </w:tc>
        <w:tc>
          <w:tcPr>
            <w:tcW w:w="385" w:type="pct"/>
            <w:vAlign w:val="center"/>
          </w:tcPr>
          <w:p w14:paraId="0405C041">
            <w:pPr>
              <w:pStyle w:val="12"/>
              <w:jc w:val="center"/>
              <w:rPr>
                <w:rFonts w:ascii="宋体" w:hAnsi="宋体"/>
              </w:rPr>
            </w:pPr>
            <w:r>
              <w:rPr>
                <w:rFonts w:hint="eastAsia" w:ascii="宋体" w:hAnsi="宋体"/>
              </w:rPr>
              <w:t>315</w:t>
            </w:r>
          </w:p>
        </w:tc>
        <w:tc>
          <w:tcPr>
            <w:tcW w:w="540" w:type="pct"/>
            <w:vAlign w:val="center"/>
          </w:tcPr>
          <w:p w14:paraId="712A2B16">
            <w:pPr>
              <w:pStyle w:val="12"/>
              <w:jc w:val="center"/>
              <w:rPr>
                <w:rFonts w:ascii="宋体" w:hAnsi="宋体"/>
              </w:rPr>
            </w:pPr>
            <w:r>
              <w:rPr>
                <w:rFonts w:hint="eastAsia" w:ascii="宋体" w:hAnsi="宋体"/>
              </w:rPr>
              <w:t>同丰陂</w:t>
            </w:r>
          </w:p>
        </w:tc>
        <w:tc>
          <w:tcPr>
            <w:tcW w:w="427" w:type="pct"/>
            <w:vAlign w:val="center"/>
          </w:tcPr>
          <w:p w14:paraId="0FACF1A9">
            <w:pPr>
              <w:pStyle w:val="12"/>
              <w:jc w:val="center"/>
              <w:rPr>
                <w:rFonts w:ascii="宋体" w:hAnsi="宋体"/>
              </w:rPr>
            </w:pPr>
            <w:r>
              <w:rPr>
                <w:rFonts w:hint="eastAsia" w:ascii="宋体" w:hAnsi="宋体"/>
              </w:rPr>
              <w:t>450</w:t>
            </w:r>
          </w:p>
        </w:tc>
        <w:tc>
          <w:tcPr>
            <w:tcW w:w="640" w:type="pct"/>
            <w:vAlign w:val="center"/>
          </w:tcPr>
          <w:p w14:paraId="2C7242D3">
            <w:pPr>
              <w:pStyle w:val="12"/>
              <w:jc w:val="center"/>
              <w:rPr>
                <w:rFonts w:ascii="宋体" w:hAnsi="宋体"/>
              </w:rPr>
            </w:pPr>
            <w:r>
              <w:rPr>
                <w:rFonts w:hint="eastAsia" w:ascii="宋体" w:hAnsi="宋体"/>
              </w:rPr>
              <w:t>—</w:t>
            </w:r>
          </w:p>
        </w:tc>
        <w:tc>
          <w:tcPr>
            <w:tcW w:w="392" w:type="pct"/>
            <w:vAlign w:val="center"/>
          </w:tcPr>
          <w:p w14:paraId="43D765A3">
            <w:pPr>
              <w:pStyle w:val="12"/>
              <w:jc w:val="center"/>
              <w:rPr>
                <w:rFonts w:ascii="宋体" w:hAnsi="宋体"/>
              </w:rPr>
            </w:pPr>
            <w:r>
              <w:rPr>
                <w:rFonts w:hint="eastAsia" w:ascii="宋体" w:hAnsi="宋体"/>
              </w:rPr>
              <w:t>—</w:t>
            </w:r>
          </w:p>
        </w:tc>
      </w:tr>
      <w:tr w14:paraId="62E853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14:paraId="7076F523">
            <w:pPr>
              <w:pStyle w:val="12"/>
              <w:jc w:val="center"/>
              <w:rPr>
                <w:rFonts w:ascii="宋体" w:hAnsi="宋体"/>
              </w:rPr>
            </w:pPr>
            <w:r>
              <w:rPr>
                <w:rFonts w:hint="eastAsia" w:ascii="宋体" w:hAnsi="宋体"/>
              </w:rPr>
              <w:t>华丰</w:t>
            </w:r>
          </w:p>
        </w:tc>
        <w:tc>
          <w:tcPr>
            <w:tcW w:w="448" w:type="pct"/>
            <w:vAlign w:val="center"/>
          </w:tcPr>
          <w:p w14:paraId="65AF1097">
            <w:pPr>
              <w:pStyle w:val="12"/>
              <w:jc w:val="center"/>
              <w:rPr>
                <w:rFonts w:ascii="宋体" w:hAnsi="宋体"/>
              </w:rPr>
            </w:pPr>
            <w:r>
              <w:rPr>
                <w:rFonts w:hint="eastAsia" w:ascii="宋体" w:hAnsi="宋体"/>
              </w:rPr>
              <w:t>480</w:t>
            </w:r>
          </w:p>
        </w:tc>
        <w:tc>
          <w:tcPr>
            <w:tcW w:w="547" w:type="pct"/>
            <w:vAlign w:val="center"/>
          </w:tcPr>
          <w:p w14:paraId="1A6DD497">
            <w:pPr>
              <w:pStyle w:val="12"/>
              <w:jc w:val="center"/>
              <w:rPr>
                <w:rFonts w:ascii="宋体" w:hAnsi="宋体"/>
              </w:rPr>
            </w:pPr>
            <w:r>
              <w:rPr>
                <w:rFonts w:hint="eastAsia" w:ascii="宋体" w:hAnsi="宋体"/>
              </w:rPr>
              <w:t>学校</w:t>
            </w:r>
          </w:p>
        </w:tc>
        <w:tc>
          <w:tcPr>
            <w:tcW w:w="453" w:type="pct"/>
            <w:vAlign w:val="center"/>
          </w:tcPr>
          <w:p w14:paraId="1DED7CAC">
            <w:pPr>
              <w:pStyle w:val="12"/>
              <w:jc w:val="center"/>
              <w:rPr>
                <w:rFonts w:ascii="宋体" w:hAnsi="宋体"/>
              </w:rPr>
            </w:pPr>
            <w:r>
              <w:rPr>
                <w:rFonts w:hint="eastAsia" w:ascii="宋体" w:hAnsi="宋体"/>
              </w:rPr>
              <w:t>320</w:t>
            </w:r>
          </w:p>
        </w:tc>
        <w:tc>
          <w:tcPr>
            <w:tcW w:w="614" w:type="pct"/>
            <w:vAlign w:val="center"/>
          </w:tcPr>
          <w:p w14:paraId="4846FFDE">
            <w:pPr>
              <w:pStyle w:val="12"/>
              <w:jc w:val="center"/>
              <w:rPr>
                <w:rFonts w:ascii="宋体" w:hAnsi="宋体"/>
              </w:rPr>
            </w:pPr>
            <w:r>
              <w:rPr>
                <w:rFonts w:hint="eastAsia" w:ascii="宋体" w:hAnsi="宋体"/>
              </w:rPr>
              <w:t>下坪</w:t>
            </w:r>
          </w:p>
        </w:tc>
        <w:tc>
          <w:tcPr>
            <w:tcW w:w="385" w:type="pct"/>
            <w:vAlign w:val="center"/>
          </w:tcPr>
          <w:p w14:paraId="0470F147">
            <w:pPr>
              <w:pStyle w:val="12"/>
              <w:jc w:val="center"/>
              <w:rPr>
                <w:rFonts w:ascii="宋体" w:hAnsi="宋体"/>
              </w:rPr>
            </w:pPr>
            <w:r>
              <w:rPr>
                <w:rFonts w:hint="eastAsia" w:ascii="宋体" w:hAnsi="宋体"/>
              </w:rPr>
              <w:t>160</w:t>
            </w:r>
          </w:p>
        </w:tc>
        <w:tc>
          <w:tcPr>
            <w:tcW w:w="540" w:type="pct"/>
            <w:vAlign w:val="center"/>
          </w:tcPr>
          <w:p w14:paraId="7E200493">
            <w:pPr>
              <w:pStyle w:val="12"/>
              <w:jc w:val="center"/>
              <w:rPr>
                <w:rFonts w:ascii="宋体" w:hAnsi="宋体"/>
              </w:rPr>
            </w:pPr>
            <w:r>
              <w:rPr>
                <w:rFonts w:hint="eastAsia" w:ascii="宋体" w:hAnsi="宋体"/>
              </w:rPr>
              <w:t>水头</w:t>
            </w:r>
          </w:p>
        </w:tc>
        <w:tc>
          <w:tcPr>
            <w:tcW w:w="427" w:type="pct"/>
            <w:vAlign w:val="center"/>
          </w:tcPr>
          <w:p w14:paraId="2F890EE3">
            <w:pPr>
              <w:pStyle w:val="12"/>
              <w:jc w:val="center"/>
              <w:rPr>
                <w:rFonts w:ascii="宋体" w:hAnsi="宋体"/>
              </w:rPr>
            </w:pPr>
            <w:r>
              <w:rPr>
                <w:rFonts w:hint="eastAsia" w:ascii="宋体" w:hAnsi="宋体"/>
              </w:rPr>
              <w:t>200</w:t>
            </w:r>
          </w:p>
        </w:tc>
        <w:tc>
          <w:tcPr>
            <w:tcW w:w="640" w:type="pct"/>
            <w:vAlign w:val="center"/>
          </w:tcPr>
          <w:p w14:paraId="5A9F0EB7">
            <w:pPr>
              <w:pStyle w:val="12"/>
              <w:jc w:val="center"/>
              <w:rPr>
                <w:rFonts w:ascii="宋体" w:hAnsi="宋体"/>
              </w:rPr>
            </w:pPr>
            <w:r>
              <w:rPr>
                <w:rFonts w:hint="eastAsia" w:ascii="宋体" w:hAnsi="宋体"/>
              </w:rPr>
              <w:t>—</w:t>
            </w:r>
          </w:p>
        </w:tc>
        <w:tc>
          <w:tcPr>
            <w:tcW w:w="392" w:type="pct"/>
            <w:vAlign w:val="center"/>
          </w:tcPr>
          <w:p w14:paraId="7FEE782C">
            <w:pPr>
              <w:pStyle w:val="12"/>
              <w:jc w:val="center"/>
              <w:rPr>
                <w:rFonts w:ascii="宋体" w:hAnsi="宋体"/>
              </w:rPr>
            </w:pPr>
            <w:r>
              <w:rPr>
                <w:rFonts w:hint="eastAsia" w:ascii="宋体" w:hAnsi="宋体"/>
              </w:rPr>
              <w:t>—</w:t>
            </w:r>
          </w:p>
        </w:tc>
      </w:tr>
    </w:tbl>
    <w:p w14:paraId="3219660C">
      <w:pPr>
        <w:pStyle w:val="5"/>
        <w:rPr>
          <w:rFonts w:ascii="宋体" w:hAnsi="宋体"/>
        </w:rPr>
      </w:pPr>
      <w:r>
        <w:rPr>
          <w:rFonts w:hint="eastAsia" w:ascii="宋体" w:hAnsi="宋体"/>
        </w:rPr>
        <w:t>二、输变电</w:t>
      </w:r>
    </w:p>
    <w:p w14:paraId="7CF30569">
      <w:pPr>
        <w:ind w:firstLine="420"/>
        <w:rPr>
          <w:rFonts w:ascii="宋体" w:hAnsi="宋体"/>
          <w:szCs w:val="21"/>
        </w:rPr>
      </w:pPr>
      <w:r>
        <w:rPr>
          <w:rFonts w:hint="eastAsia" w:ascii="宋体" w:hAnsi="宋体"/>
          <w:szCs w:val="21"/>
        </w:rPr>
        <w:t>全市发电量大部分并入珠江三角洲韶关电网（珠韶电网）与大电网构成趸售关系。</w:t>
      </w:r>
      <w:r>
        <w:rPr>
          <w:rFonts w:ascii="宋体" w:hAnsi="宋体"/>
          <w:szCs w:val="21"/>
        </w:rPr>
        <w:t>1990年前县境内有南雄、百顺2个电网，河南、黄坑、新龙3个供电区。1990</w:t>
      </w:r>
      <w:r>
        <w:rPr>
          <w:rFonts w:hint="eastAsia" w:ascii="宋体" w:hAnsi="宋体"/>
          <w:szCs w:val="21"/>
        </w:rPr>
        <w:t>年</w:t>
      </w:r>
      <w:r>
        <w:rPr>
          <w:rFonts w:ascii="宋体" w:hAnsi="宋体"/>
          <w:szCs w:val="21"/>
        </w:rPr>
        <w:t>1月，110千伏百顺变电站由韶关供电局移交南雄供电局管理，并入南雄电网。</w:t>
      </w:r>
    </w:p>
    <w:p w14:paraId="0A95C8F5">
      <w:pPr>
        <w:ind w:firstLine="420"/>
        <w:rPr>
          <w:rFonts w:ascii="宋体" w:hAnsi="宋体"/>
          <w:szCs w:val="21"/>
        </w:rPr>
      </w:pPr>
      <w:r>
        <w:rPr>
          <w:rFonts w:hint="eastAsia" w:ascii="宋体" w:hAnsi="宋体"/>
          <w:szCs w:val="21"/>
        </w:rPr>
        <w:t>至</w:t>
      </w:r>
      <w:r>
        <w:rPr>
          <w:rFonts w:ascii="宋体" w:hAnsi="宋体"/>
          <w:szCs w:val="21"/>
        </w:rPr>
        <w:t>2005年止，南雄电力局管理的电网共有110千伏变电站4座，主变容量146500千伏安，110千伏线路140.6千米；35千伏变电站5座，主变容量46300千伏</w:t>
      </w:r>
      <w:r>
        <w:rPr>
          <w:rFonts w:hint="eastAsia" w:ascii="宋体" w:hAnsi="宋体"/>
          <w:szCs w:val="21"/>
        </w:rPr>
        <w:t>安，</w:t>
      </w:r>
      <w:r>
        <w:rPr>
          <w:rFonts w:ascii="宋体" w:hAnsi="宋体"/>
          <w:szCs w:val="21"/>
        </w:rPr>
        <w:t>35千伏线路207千米，10千伏线路1237.3千米</w:t>
      </w:r>
      <w:r>
        <w:rPr>
          <w:rFonts w:hint="eastAsia" w:ascii="宋体" w:hAnsi="宋体"/>
          <w:szCs w:val="21"/>
        </w:rPr>
        <w:t>。</w:t>
      </w:r>
    </w:p>
    <w:p w14:paraId="17CC10CE">
      <w:pPr>
        <w:ind w:firstLine="0" w:firstLineChars="0"/>
        <w:jc w:val="center"/>
        <w:rPr>
          <w:rFonts w:ascii="宋体" w:hAnsi="宋体"/>
          <w:b/>
          <w:szCs w:val="21"/>
        </w:rPr>
      </w:pPr>
      <w:r>
        <w:rPr>
          <w:rFonts w:ascii="宋体" w:hAnsi="宋体"/>
          <w:b/>
          <w:szCs w:val="21"/>
        </w:rPr>
        <w:t>2005年南雄市境内变电站一览</w:t>
      </w:r>
    </w:p>
    <w:p w14:paraId="74CC4280">
      <w:pPr>
        <w:ind w:firstLine="0" w:firstLineChars="0"/>
        <w:rPr>
          <w:rFonts w:ascii="宋体" w:hAnsi="宋体"/>
          <w:b/>
          <w:szCs w:val="21"/>
        </w:rPr>
      </w:pPr>
      <w:r>
        <w:rPr>
          <w:rFonts w:hint="eastAsia" w:ascii="宋体" w:hAnsi="宋体"/>
          <w:b/>
          <w:szCs w:val="21"/>
        </w:rPr>
        <w:t>表</w:t>
      </w:r>
      <w:r>
        <w:rPr>
          <w:rFonts w:ascii="宋体" w:hAnsi="宋体"/>
          <w:b/>
          <w:szCs w:val="21"/>
        </w:rPr>
        <w:t>2-38</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92"/>
        <w:gridCol w:w="1371"/>
        <w:gridCol w:w="1371"/>
        <w:gridCol w:w="1371"/>
        <w:gridCol w:w="3857"/>
      </w:tblGrid>
      <w:tr w14:paraId="40BC3A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Align w:val="center"/>
          </w:tcPr>
          <w:p w14:paraId="00BC298F">
            <w:pPr>
              <w:pStyle w:val="12"/>
              <w:jc w:val="center"/>
              <w:rPr>
                <w:rFonts w:ascii="宋体" w:hAnsi="宋体"/>
                <w:b/>
              </w:rPr>
            </w:pPr>
            <w:r>
              <w:rPr>
                <w:rFonts w:hint="eastAsia" w:ascii="宋体" w:hAnsi="宋体"/>
                <w:b/>
              </w:rPr>
              <w:t>站名</w:t>
            </w:r>
          </w:p>
        </w:tc>
        <w:tc>
          <w:tcPr>
            <w:tcW w:w="688" w:type="pct"/>
            <w:vAlign w:val="center"/>
          </w:tcPr>
          <w:p w14:paraId="0AE8A22D">
            <w:pPr>
              <w:pStyle w:val="12"/>
              <w:jc w:val="center"/>
              <w:rPr>
                <w:rFonts w:ascii="宋体" w:hAnsi="宋体"/>
                <w:b/>
              </w:rPr>
            </w:pPr>
            <w:r>
              <w:rPr>
                <w:rFonts w:hint="eastAsia" w:ascii="宋体" w:hAnsi="宋体"/>
                <w:b/>
              </w:rPr>
              <w:t>电压等级（千伏）</w:t>
            </w:r>
          </w:p>
        </w:tc>
        <w:tc>
          <w:tcPr>
            <w:tcW w:w="688" w:type="pct"/>
            <w:vAlign w:val="center"/>
          </w:tcPr>
          <w:p w14:paraId="1B38839F">
            <w:pPr>
              <w:pStyle w:val="12"/>
              <w:jc w:val="center"/>
              <w:rPr>
                <w:rFonts w:ascii="宋体" w:hAnsi="宋体"/>
                <w:b/>
              </w:rPr>
            </w:pPr>
            <w:r>
              <w:rPr>
                <w:rFonts w:hint="eastAsia" w:ascii="宋体" w:hAnsi="宋体"/>
                <w:b/>
              </w:rPr>
              <w:t>主变台数（台）</w:t>
            </w:r>
          </w:p>
        </w:tc>
        <w:tc>
          <w:tcPr>
            <w:tcW w:w="688" w:type="pct"/>
            <w:vAlign w:val="center"/>
          </w:tcPr>
          <w:p w14:paraId="0662C853">
            <w:pPr>
              <w:pStyle w:val="12"/>
              <w:jc w:val="center"/>
              <w:rPr>
                <w:rFonts w:ascii="宋体" w:hAnsi="宋体"/>
                <w:b/>
              </w:rPr>
            </w:pPr>
            <w:r>
              <w:rPr>
                <w:rFonts w:hint="eastAsia" w:ascii="宋体" w:hAnsi="宋体"/>
                <w:b/>
              </w:rPr>
              <w:t>主变容量（千伏安）</w:t>
            </w:r>
          </w:p>
        </w:tc>
        <w:tc>
          <w:tcPr>
            <w:tcW w:w="1937" w:type="pct"/>
            <w:vAlign w:val="center"/>
          </w:tcPr>
          <w:p w14:paraId="2A78CFDA">
            <w:pPr>
              <w:pStyle w:val="12"/>
              <w:jc w:val="center"/>
              <w:rPr>
                <w:rFonts w:ascii="宋体" w:hAnsi="宋体"/>
                <w:b/>
              </w:rPr>
            </w:pPr>
            <w:r>
              <w:rPr>
                <w:rFonts w:hint="eastAsia" w:ascii="宋体" w:hAnsi="宋体"/>
                <w:b/>
              </w:rPr>
              <w:t>投产日期</w:t>
            </w:r>
          </w:p>
        </w:tc>
      </w:tr>
      <w:tr w14:paraId="4986491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Align w:val="center"/>
          </w:tcPr>
          <w:p w14:paraId="322D5541">
            <w:pPr>
              <w:pStyle w:val="12"/>
              <w:jc w:val="center"/>
              <w:rPr>
                <w:rFonts w:ascii="宋体" w:hAnsi="宋体"/>
              </w:rPr>
            </w:pPr>
            <w:r>
              <w:rPr>
                <w:rFonts w:hint="eastAsia" w:ascii="宋体" w:hAnsi="宋体"/>
              </w:rPr>
              <w:t>澜河变电站</w:t>
            </w:r>
          </w:p>
        </w:tc>
        <w:tc>
          <w:tcPr>
            <w:tcW w:w="688" w:type="pct"/>
            <w:vAlign w:val="center"/>
          </w:tcPr>
          <w:p w14:paraId="169F8275">
            <w:pPr>
              <w:pStyle w:val="12"/>
              <w:jc w:val="center"/>
              <w:rPr>
                <w:rFonts w:ascii="宋体" w:hAnsi="宋体"/>
              </w:rPr>
            </w:pPr>
            <w:r>
              <w:rPr>
                <w:rFonts w:hint="eastAsia" w:ascii="宋体" w:hAnsi="宋体"/>
              </w:rPr>
              <w:t>110</w:t>
            </w:r>
          </w:p>
        </w:tc>
        <w:tc>
          <w:tcPr>
            <w:tcW w:w="688" w:type="pct"/>
            <w:vAlign w:val="center"/>
          </w:tcPr>
          <w:p w14:paraId="1A7C5107">
            <w:pPr>
              <w:pStyle w:val="12"/>
              <w:jc w:val="center"/>
              <w:rPr>
                <w:rFonts w:ascii="宋体" w:hAnsi="宋体"/>
              </w:rPr>
            </w:pPr>
            <w:r>
              <w:rPr>
                <w:rFonts w:hint="eastAsia" w:ascii="宋体" w:hAnsi="宋体"/>
              </w:rPr>
              <w:t>2</w:t>
            </w:r>
          </w:p>
        </w:tc>
        <w:tc>
          <w:tcPr>
            <w:tcW w:w="688" w:type="pct"/>
            <w:vAlign w:val="center"/>
          </w:tcPr>
          <w:p w14:paraId="593E6C2E">
            <w:pPr>
              <w:pStyle w:val="12"/>
              <w:jc w:val="center"/>
              <w:rPr>
                <w:rFonts w:ascii="宋体" w:hAnsi="宋体"/>
              </w:rPr>
            </w:pPr>
            <w:r>
              <w:rPr>
                <w:rFonts w:hint="eastAsia" w:ascii="宋体" w:hAnsi="宋体"/>
              </w:rPr>
              <w:t>35000</w:t>
            </w:r>
          </w:p>
        </w:tc>
        <w:tc>
          <w:tcPr>
            <w:tcW w:w="1937" w:type="pct"/>
            <w:vAlign w:val="center"/>
          </w:tcPr>
          <w:p w14:paraId="6F419B15">
            <w:pPr>
              <w:pStyle w:val="12"/>
              <w:jc w:val="left"/>
              <w:rPr>
                <w:rFonts w:ascii="宋体" w:hAnsi="宋体"/>
              </w:rPr>
            </w:pPr>
            <w:r>
              <w:rPr>
                <w:rFonts w:hint="eastAsia" w:ascii="宋体" w:hAnsi="宋体"/>
              </w:rPr>
              <w:t>1990年10月（35千伏）1993年7月（110千伏）</w:t>
            </w:r>
          </w:p>
        </w:tc>
      </w:tr>
      <w:tr w14:paraId="33AD98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Align w:val="center"/>
          </w:tcPr>
          <w:p w14:paraId="77DA957A">
            <w:pPr>
              <w:pStyle w:val="12"/>
              <w:jc w:val="center"/>
              <w:rPr>
                <w:rFonts w:ascii="宋体" w:hAnsi="宋体"/>
              </w:rPr>
            </w:pPr>
            <w:r>
              <w:rPr>
                <w:rFonts w:hint="eastAsia" w:ascii="宋体" w:hAnsi="宋体"/>
              </w:rPr>
              <w:t>南雄变电站</w:t>
            </w:r>
          </w:p>
        </w:tc>
        <w:tc>
          <w:tcPr>
            <w:tcW w:w="688" w:type="pct"/>
            <w:vAlign w:val="center"/>
          </w:tcPr>
          <w:p w14:paraId="371AB2BF">
            <w:pPr>
              <w:pStyle w:val="12"/>
              <w:jc w:val="center"/>
              <w:rPr>
                <w:rFonts w:ascii="宋体" w:hAnsi="宋体"/>
              </w:rPr>
            </w:pPr>
            <w:r>
              <w:rPr>
                <w:rFonts w:hint="eastAsia" w:ascii="宋体" w:hAnsi="宋体"/>
              </w:rPr>
              <w:t>110</w:t>
            </w:r>
          </w:p>
        </w:tc>
        <w:tc>
          <w:tcPr>
            <w:tcW w:w="688" w:type="pct"/>
            <w:vAlign w:val="center"/>
          </w:tcPr>
          <w:p w14:paraId="3224263B">
            <w:pPr>
              <w:pStyle w:val="12"/>
              <w:jc w:val="center"/>
              <w:rPr>
                <w:rFonts w:ascii="宋体" w:hAnsi="宋体"/>
              </w:rPr>
            </w:pPr>
            <w:r>
              <w:rPr>
                <w:rFonts w:hint="eastAsia" w:ascii="宋体" w:hAnsi="宋体"/>
              </w:rPr>
              <w:t>2</w:t>
            </w:r>
          </w:p>
        </w:tc>
        <w:tc>
          <w:tcPr>
            <w:tcW w:w="688" w:type="pct"/>
            <w:vAlign w:val="center"/>
          </w:tcPr>
          <w:p w14:paraId="33B3DF53">
            <w:pPr>
              <w:pStyle w:val="12"/>
              <w:jc w:val="center"/>
              <w:rPr>
                <w:rFonts w:ascii="宋体" w:hAnsi="宋体"/>
              </w:rPr>
            </w:pPr>
            <w:r>
              <w:rPr>
                <w:rFonts w:hint="eastAsia" w:ascii="宋体" w:hAnsi="宋体"/>
              </w:rPr>
              <w:t>51500</w:t>
            </w:r>
          </w:p>
        </w:tc>
        <w:tc>
          <w:tcPr>
            <w:tcW w:w="1937" w:type="pct"/>
            <w:vAlign w:val="center"/>
          </w:tcPr>
          <w:p w14:paraId="1716315F">
            <w:pPr>
              <w:pStyle w:val="12"/>
              <w:jc w:val="left"/>
              <w:rPr>
                <w:rFonts w:ascii="宋体" w:hAnsi="宋体"/>
              </w:rPr>
            </w:pPr>
            <w:r>
              <w:rPr>
                <w:rFonts w:hint="eastAsia" w:ascii="宋体" w:hAnsi="宋体"/>
              </w:rPr>
              <w:t>1964年4月（35千伏）1984年10月（110千伏）</w:t>
            </w:r>
          </w:p>
        </w:tc>
      </w:tr>
      <w:tr w14:paraId="704245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Align w:val="center"/>
          </w:tcPr>
          <w:p w14:paraId="55DDA75D">
            <w:pPr>
              <w:pStyle w:val="12"/>
              <w:jc w:val="center"/>
              <w:rPr>
                <w:rFonts w:ascii="宋体" w:hAnsi="宋体"/>
              </w:rPr>
            </w:pPr>
            <w:r>
              <w:rPr>
                <w:rFonts w:hint="eastAsia" w:ascii="宋体" w:hAnsi="宋体"/>
              </w:rPr>
              <w:t>黄坑变电站</w:t>
            </w:r>
          </w:p>
        </w:tc>
        <w:tc>
          <w:tcPr>
            <w:tcW w:w="688" w:type="pct"/>
            <w:vAlign w:val="center"/>
          </w:tcPr>
          <w:p w14:paraId="0BB6ED57">
            <w:pPr>
              <w:pStyle w:val="12"/>
              <w:jc w:val="center"/>
              <w:rPr>
                <w:rFonts w:ascii="宋体" w:hAnsi="宋体"/>
              </w:rPr>
            </w:pPr>
            <w:r>
              <w:rPr>
                <w:rFonts w:hint="eastAsia" w:ascii="宋体" w:hAnsi="宋体"/>
              </w:rPr>
              <w:t>110</w:t>
            </w:r>
          </w:p>
        </w:tc>
        <w:tc>
          <w:tcPr>
            <w:tcW w:w="688" w:type="pct"/>
            <w:vAlign w:val="center"/>
          </w:tcPr>
          <w:p w14:paraId="6BE0AE84">
            <w:pPr>
              <w:pStyle w:val="12"/>
              <w:jc w:val="center"/>
              <w:rPr>
                <w:rFonts w:ascii="宋体" w:hAnsi="宋体"/>
              </w:rPr>
            </w:pPr>
            <w:r>
              <w:rPr>
                <w:rFonts w:hint="eastAsia" w:ascii="宋体" w:hAnsi="宋体"/>
              </w:rPr>
              <w:t>1</w:t>
            </w:r>
          </w:p>
        </w:tc>
        <w:tc>
          <w:tcPr>
            <w:tcW w:w="688" w:type="pct"/>
            <w:vAlign w:val="center"/>
          </w:tcPr>
          <w:p w14:paraId="3238199A">
            <w:pPr>
              <w:pStyle w:val="12"/>
              <w:jc w:val="center"/>
              <w:rPr>
                <w:rFonts w:ascii="宋体" w:hAnsi="宋体"/>
              </w:rPr>
            </w:pPr>
            <w:r>
              <w:rPr>
                <w:rFonts w:hint="eastAsia" w:ascii="宋体" w:hAnsi="宋体"/>
              </w:rPr>
              <w:t>40000</w:t>
            </w:r>
          </w:p>
        </w:tc>
        <w:tc>
          <w:tcPr>
            <w:tcW w:w="1937" w:type="pct"/>
            <w:vAlign w:val="center"/>
          </w:tcPr>
          <w:p w14:paraId="3C3545BF">
            <w:pPr>
              <w:pStyle w:val="12"/>
              <w:jc w:val="left"/>
              <w:rPr>
                <w:rFonts w:ascii="宋体" w:hAnsi="宋体"/>
              </w:rPr>
            </w:pPr>
            <w:r>
              <w:rPr>
                <w:rFonts w:hint="eastAsia" w:ascii="宋体" w:hAnsi="宋体"/>
              </w:rPr>
              <w:t>1975年（35千伏）2005年1月（110千伏）</w:t>
            </w:r>
          </w:p>
        </w:tc>
      </w:tr>
      <w:tr w14:paraId="4BF163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Align w:val="center"/>
          </w:tcPr>
          <w:p w14:paraId="61B13580">
            <w:pPr>
              <w:pStyle w:val="12"/>
              <w:jc w:val="center"/>
              <w:rPr>
                <w:rFonts w:ascii="宋体" w:hAnsi="宋体"/>
              </w:rPr>
            </w:pPr>
            <w:r>
              <w:rPr>
                <w:rFonts w:hint="eastAsia" w:ascii="宋体" w:hAnsi="宋体"/>
              </w:rPr>
              <w:t>全安变电站</w:t>
            </w:r>
          </w:p>
        </w:tc>
        <w:tc>
          <w:tcPr>
            <w:tcW w:w="688" w:type="pct"/>
            <w:vAlign w:val="center"/>
          </w:tcPr>
          <w:p w14:paraId="14562EC4">
            <w:pPr>
              <w:pStyle w:val="12"/>
              <w:jc w:val="center"/>
              <w:rPr>
                <w:rFonts w:ascii="宋体" w:hAnsi="宋体"/>
              </w:rPr>
            </w:pPr>
            <w:r>
              <w:rPr>
                <w:rFonts w:hint="eastAsia" w:ascii="宋体" w:hAnsi="宋体"/>
              </w:rPr>
              <w:t>110</w:t>
            </w:r>
          </w:p>
        </w:tc>
        <w:tc>
          <w:tcPr>
            <w:tcW w:w="688" w:type="pct"/>
            <w:vAlign w:val="center"/>
          </w:tcPr>
          <w:p w14:paraId="37734132">
            <w:pPr>
              <w:pStyle w:val="12"/>
              <w:jc w:val="center"/>
              <w:rPr>
                <w:rFonts w:ascii="宋体" w:hAnsi="宋体"/>
              </w:rPr>
            </w:pPr>
            <w:r>
              <w:rPr>
                <w:rFonts w:hint="eastAsia" w:ascii="宋体" w:hAnsi="宋体"/>
              </w:rPr>
              <w:t>1</w:t>
            </w:r>
          </w:p>
        </w:tc>
        <w:tc>
          <w:tcPr>
            <w:tcW w:w="688" w:type="pct"/>
            <w:vAlign w:val="center"/>
          </w:tcPr>
          <w:p w14:paraId="7477FC1B">
            <w:pPr>
              <w:pStyle w:val="12"/>
              <w:jc w:val="center"/>
              <w:rPr>
                <w:rFonts w:ascii="宋体" w:hAnsi="宋体"/>
              </w:rPr>
            </w:pPr>
            <w:r>
              <w:rPr>
                <w:rFonts w:hint="eastAsia" w:ascii="宋体" w:hAnsi="宋体"/>
              </w:rPr>
              <w:t>20000</w:t>
            </w:r>
          </w:p>
        </w:tc>
        <w:tc>
          <w:tcPr>
            <w:tcW w:w="1937" w:type="pct"/>
            <w:vAlign w:val="center"/>
          </w:tcPr>
          <w:p w14:paraId="5483F1D1">
            <w:pPr>
              <w:pStyle w:val="12"/>
              <w:jc w:val="left"/>
              <w:rPr>
                <w:rFonts w:ascii="宋体" w:hAnsi="宋体"/>
              </w:rPr>
            </w:pPr>
            <w:r>
              <w:rPr>
                <w:rFonts w:hint="eastAsia" w:ascii="宋体" w:hAnsi="宋体"/>
              </w:rPr>
              <w:t>2004年5月</w:t>
            </w:r>
          </w:p>
        </w:tc>
      </w:tr>
      <w:tr w14:paraId="20656A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Align w:val="center"/>
          </w:tcPr>
          <w:p w14:paraId="7001CD8F">
            <w:pPr>
              <w:pStyle w:val="12"/>
              <w:jc w:val="center"/>
              <w:rPr>
                <w:rFonts w:ascii="宋体" w:hAnsi="宋体"/>
              </w:rPr>
            </w:pPr>
            <w:r>
              <w:rPr>
                <w:rFonts w:hint="eastAsia" w:ascii="宋体" w:hAnsi="宋体"/>
              </w:rPr>
              <w:t>乌迳变电站</w:t>
            </w:r>
          </w:p>
        </w:tc>
        <w:tc>
          <w:tcPr>
            <w:tcW w:w="688" w:type="pct"/>
            <w:vAlign w:val="center"/>
          </w:tcPr>
          <w:p w14:paraId="753807BE">
            <w:pPr>
              <w:pStyle w:val="12"/>
              <w:jc w:val="center"/>
              <w:rPr>
                <w:rFonts w:ascii="宋体" w:hAnsi="宋体"/>
              </w:rPr>
            </w:pPr>
            <w:r>
              <w:rPr>
                <w:rFonts w:hint="eastAsia" w:ascii="宋体" w:hAnsi="宋体"/>
              </w:rPr>
              <w:t>35</w:t>
            </w:r>
          </w:p>
        </w:tc>
        <w:tc>
          <w:tcPr>
            <w:tcW w:w="688" w:type="pct"/>
            <w:vAlign w:val="center"/>
          </w:tcPr>
          <w:p w14:paraId="28BC7C8C">
            <w:pPr>
              <w:pStyle w:val="12"/>
              <w:jc w:val="center"/>
              <w:rPr>
                <w:rFonts w:ascii="宋体" w:hAnsi="宋体"/>
              </w:rPr>
            </w:pPr>
            <w:r>
              <w:rPr>
                <w:rFonts w:hint="eastAsia" w:ascii="宋体" w:hAnsi="宋体"/>
              </w:rPr>
              <w:t>2</w:t>
            </w:r>
          </w:p>
        </w:tc>
        <w:tc>
          <w:tcPr>
            <w:tcW w:w="688" w:type="pct"/>
            <w:vAlign w:val="center"/>
          </w:tcPr>
          <w:p w14:paraId="10488C82">
            <w:pPr>
              <w:pStyle w:val="12"/>
              <w:jc w:val="center"/>
              <w:rPr>
                <w:rFonts w:ascii="宋体" w:hAnsi="宋体"/>
              </w:rPr>
            </w:pPr>
            <w:r>
              <w:rPr>
                <w:rFonts w:hint="eastAsia" w:ascii="宋体" w:hAnsi="宋体"/>
              </w:rPr>
              <w:t>16000</w:t>
            </w:r>
          </w:p>
        </w:tc>
        <w:tc>
          <w:tcPr>
            <w:tcW w:w="1937" w:type="pct"/>
            <w:vAlign w:val="center"/>
          </w:tcPr>
          <w:p w14:paraId="492CC6F2">
            <w:pPr>
              <w:pStyle w:val="12"/>
              <w:jc w:val="left"/>
              <w:rPr>
                <w:rFonts w:ascii="宋体" w:hAnsi="宋体"/>
              </w:rPr>
            </w:pPr>
            <w:r>
              <w:rPr>
                <w:rFonts w:hint="eastAsia" w:ascii="宋体" w:hAnsi="宋体"/>
              </w:rPr>
              <w:t>2005年12月</w:t>
            </w:r>
          </w:p>
        </w:tc>
      </w:tr>
      <w:tr w14:paraId="3B22DB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Align w:val="center"/>
          </w:tcPr>
          <w:p w14:paraId="19955E79">
            <w:pPr>
              <w:pStyle w:val="12"/>
              <w:jc w:val="center"/>
              <w:rPr>
                <w:rFonts w:ascii="宋体" w:hAnsi="宋体"/>
              </w:rPr>
            </w:pPr>
            <w:r>
              <w:rPr>
                <w:rFonts w:hint="eastAsia" w:ascii="宋体" w:hAnsi="宋体"/>
              </w:rPr>
              <w:t>江头变电站</w:t>
            </w:r>
          </w:p>
        </w:tc>
        <w:tc>
          <w:tcPr>
            <w:tcW w:w="688" w:type="pct"/>
            <w:vAlign w:val="center"/>
          </w:tcPr>
          <w:p w14:paraId="7FAD9290">
            <w:pPr>
              <w:pStyle w:val="12"/>
              <w:jc w:val="center"/>
              <w:rPr>
                <w:rFonts w:ascii="宋体" w:hAnsi="宋体"/>
              </w:rPr>
            </w:pPr>
            <w:r>
              <w:rPr>
                <w:rFonts w:hint="eastAsia" w:ascii="宋体" w:hAnsi="宋体"/>
              </w:rPr>
              <w:t>35</w:t>
            </w:r>
          </w:p>
        </w:tc>
        <w:tc>
          <w:tcPr>
            <w:tcW w:w="688" w:type="pct"/>
            <w:vAlign w:val="center"/>
          </w:tcPr>
          <w:p w14:paraId="20D5ACC8">
            <w:pPr>
              <w:pStyle w:val="12"/>
              <w:jc w:val="center"/>
              <w:rPr>
                <w:rFonts w:ascii="宋体" w:hAnsi="宋体"/>
              </w:rPr>
            </w:pPr>
            <w:r>
              <w:rPr>
                <w:rFonts w:hint="eastAsia" w:ascii="宋体" w:hAnsi="宋体"/>
              </w:rPr>
              <w:t>2</w:t>
            </w:r>
          </w:p>
        </w:tc>
        <w:tc>
          <w:tcPr>
            <w:tcW w:w="688" w:type="pct"/>
            <w:vAlign w:val="center"/>
          </w:tcPr>
          <w:p w14:paraId="28F2F920">
            <w:pPr>
              <w:pStyle w:val="12"/>
              <w:jc w:val="center"/>
              <w:rPr>
                <w:rFonts w:ascii="宋体" w:hAnsi="宋体"/>
              </w:rPr>
            </w:pPr>
            <w:r>
              <w:rPr>
                <w:rFonts w:hint="eastAsia" w:ascii="宋体" w:hAnsi="宋体"/>
              </w:rPr>
              <w:t>6400</w:t>
            </w:r>
          </w:p>
        </w:tc>
        <w:tc>
          <w:tcPr>
            <w:tcW w:w="1937" w:type="pct"/>
            <w:vAlign w:val="center"/>
          </w:tcPr>
          <w:p w14:paraId="7270D7B0">
            <w:pPr>
              <w:pStyle w:val="12"/>
              <w:jc w:val="left"/>
              <w:rPr>
                <w:rFonts w:ascii="宋体" w:hAnsi="宋体"/>
              </w:rPr>
            </w:pPr>
            <w:r>
              <w:rPr>
                <w:rFonts w:hint="eastAsia" w:ascii="宋体" w:hAnsi="宋体"/>
              </w:rPr>
              <w:t>1988年6月</w:t>
            </w:r>
          </w:p>
        </w:tc>
      </w:tr>
      <w:tr w14:paraId="594EAD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Align w:val="center"/>
          </w:tcPr>
          <w:p w14:paraId="102F51C5">
            <w:pPr>
              <w:pStyle w:val="12"/>
              <w:jc w:val="center"/>
              <w:rPr>
                <w:rFonts w:ascii="宋体" w:hAnsi="宋体"/>
              </w:rPr>
            </w:pPr>
            <w:r>
              <w:rPr>
                <w:rFonts w:hint="eastAsia" w:ascii="宋体" w:hAnsi="宋体"/>
              </w:rPr>
              <w:t>百顺变电站</w:t>
            </w:r>
          </w:p>
        </w:tc>
        <w:tc>
          <w:tcPr>
            <w:tcW w:w="688" w:type="pct"/>
            <w:vAlign w:val="center"/>
          </w:tcPr>
          <w:p w14:paraId="4274BEC9">
            <w:pPr>
              <w:pStyle w:val="12"/>
              <w:jc w:val="center"/>
              <w:rPr>
                <w:rFonts w:ascii="宋体" w:hAnsi="宋体"/>
              </w:rPr>
            </w:pPr>
            <w:r>
              <w:rPr>
                <w:rFonts w:hint="eastAsia" w:ascii="宋体" w:hAnsi="宋体"/>
              </w:rPr>
              <w:t>35</w:t>
            </w:r>
          </w:p>
        </w:tc>
        <w:tc>
          <w:tcPr>
            <w:tcW w:w="688" w:type="pct"/>
            <w:vAlign w:val="center"/>
          </w:tcPr>
          <w:p w14:paraId="6C01F340">
            <w:pPr>
              <w:pStyle w:val="12"/>
              <w:jc w:val="center"/>
              <w:rPr>
                <w:rFonts w:ascii="宋体" w:hAnsi="宋体"/>
              </w:rPr>
            </w:pPr>
            <w:r>
              <w:rPr>
                <w:rFonts w:hint="eastAsia" w:ascii="宋体" w:hAnsi="宋体"/>
              </w:rPr>
              <w:t>2</w:t>
            </w:r>
          </w:p>
        </w:tc>
        <w:tc>
          <w:tcPr>
            <w:tcW w:w="688" w:type="pct"/>
            <w:vAlign w:val="center"/>
          </w:tcPr>
          <w:p w14:paraId="717D8293">
            <w:pPr>
              <w:pStyle w:val="12"/>
              <w:jc w:val="center"/>
              <w:rPr>
                <w:rFonts w:ascii="宋体" w:hAnsi="宋体"/>
              </w:rPr>
            </w:pPr>
            <w:r>
              <w:rPr>
                <w:rFonts w:hint="eastAsia" w:ascii="宋体" w:hAnsi="宋体"/>
              </w:rPr>
              <w:t>9450</w:t>
            </w:r>
          </w:p>
        </w:tc>
        <w:tc>
          <w:tcPr>
            <w:tcW w:w="1937" w:type="pct"/>
            <w:vAlign w:val="center"/>
          </w:tcPr>
          <w:p w14:paraId="25D1952E">
            <w:pPr>
              <w:pStyle w:val="12"/>
              <w:jc w:val="left"/>
              <w:rPr>
                <w:rFonts w:ascii="宋体" w:hAnsi="宋体"/>
              </w:rPr>
            </w:pPr>
            <w:r>
              <w:rPr>
                <w:rFonts w:hint="eastAsia" w:ascii="宋体" w:hAnsi="宋体"/>
              </w:rPr>
              <w:t>1965年7月</w:t>
            </w:r>
          </w:p>
        </w:tc>
      </w:tr>
      <w:tr w14:paraId="33A17F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Align w:val="center"/>
          </w:tcPr>
          <w:p w14:paraId="7298E227">
            <w:pPr>
              <w:pStyle w:val="12"/>
              <w:jc w:val="center"/>
              <w:rPr>
                <w:rFonts w:ascii="宋体" w:hAnsi="宋体"/>
              </w:rPr>
            </w:pPr>
            <w:r>
              <w:rPr>
                <w:rFonts w:hint="eastAsia" w:ascii="宋体" w:hAnsi="宋体"/>
              </w:rPr>
              <w:t>里东变电站</w:t>
            </w:r>
          </w:p>
        </w:tc>
        <w:tc>
          <w:tcPr>
            <w:tcW w:w="688" w:type="pct"/>
            <w:vAlign w:val="center"/>
          </w:tcPr>
          <w:p w14:paraId="44058AC2">
            <w:pPr>
              <w:pStyle w:val="12"/>
              <w:jc w:val="center"/>
              <w:rPr>
                <w:rFonts w:ascii="宋体" w:hAnsi="宋体"/>
              </w:rPr>
            </w:pPr>
            <w:r>
              <w:rPr>
                <w:rFonts w:hint="eastAsia" w:ascii="宋体" w:hAnsi="宋体"/>
              </w:rPr>
              <w:t>35</w:t>
            </w:r>
          </w:p>
        </w:tc>
        <w:tc>
          <w:tcPr>
            <w:tcW w:w="688" w:type="pct"/>
            <w:vAlign w:val="center"/>
          </w:tcPr>
          <w:p w14:paraId="52D32E0C">
            <w:pPr>
              <w:pStyle w:val="12"/>
              <w:jc w:val="center"/>
              <w:rPr>
                <w:rFonts w:ascii="宋体" w:hAnsi="宋体"/>
              </w:rPr>
            </w:pPr>
            <w:r>
              <w:rPr>
                <w:rFonts w:hint="eastAsia" w:ascii="宋体" w:hAnsi="宋体"/>
              </w:rPr>
              <w:t>2</w:t>
            </w:r>
          </w:p>
        </w:tc>
        <w:tc>
          <w:tcPr>
            <w:tcW w:w="688" w:type="pct"/>
            <w:vAlign w:val="center"/>
          </w:tcPr>
          <w:p w14:paraId="6CF81DA7">
            <w:pPr>
              <w:pStyle w:val="12"/>
              <w:jc w:val="center"/>
              <w:rPr>
                <w:rFonts w:ascii="宋体" w:hAnsi="宋体"/>
              </w:rPr>
            </w:pPr>
            <w:r>
              <w:rPr>
                <w:rFonts w:hint="eastAsia" w:ascii="宋体" w:hAnsi="宋体"/>
              </w:rPr>
              <w:t>4950</w:t>
            </w:r>
          </w:p>
        </w:tc>
        <w:tc>
          <w:tcPr>
            <w:tcW w:w="1937" w:type="pct"/>
            <w:vAlign w:val="center"/>
          </w:tcPr>
          <w:p w14:paraId="6551F11E">
            <w:pPr>
              <w:pStyle w:val="12"/>
              <w:jc w:val="left"/>
              <w:rPr>
                <w:rFonts w:ascii="宋体" w:hAnsi="宋体"/>
              </w:rPr>
            </w:pPr>
            <w:r>
              <w:rPr>
                <w:rFonts w:hint="eastAsia" w:ascii="宋体" w:hAnsi="宋体"/>
              </w:rPr>
              <w:t>1991年12月</w:t>
            </w:r>
          </w:p>
        </w:tc>
      </w:tr>
      <w:tr w14:paraId="65AB21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vAlign w:val="center"/>
          </w:tcPr>
          <w:p w14:paraId="4B149A94">
            <w:pPr>
              <w:pStyle w:val="12"/>
              <w:jc w:val="center"/>
              <w:rPr>
                <w:rFonts w:ascii="宋体" w:hAnsi="宋体"/>
              </w:rPr>
            </w:pPr>
            <w:r>
              <w:rPr>
                <w:rFonts w:hint="eastAsia" w:ascii="宋体" w:hAnsi="宋体"/>
              </w:rPr>
              <w:t>中坪变电站</w:t>
            </w:r>
          </w:p>
        </w:tc>
        <w:tc>
          <w:tcPr>
            <w:tcW w:w="688" w:type="pct"/>
            <w:vAlign w:val="center"/>
          </w:tcPr>
          <w:p w14:paraId="07F2FE01">
            <w:pPr>
              <w:pStyle w:val="12"/>
              <w:jc w:val="center"/>
              <w:rPr>
                <w:rFonts w:ascii="宋体" w:hAnsi="宋体"/>
              </w:rPr>
            </w:pPr>
            <w:r>
              <w:rPr>
                <w:rFonts w:hint="eastAsia" w:ascii="宋体" w:hAnsi="宋体"/>
              </w:rPr>
              <w:t>35</w:t>
            </w:r>
          </w:p>
        </w:tc>
        <w:tc>
          <w:tcPr>
            <w:tcW w:w="688" w:type="pct"/>
            <w:vAlign w:val="center"/>
          </w:tcPr>
          <w:p w14:paraId="7B38BE68">
            <w:pPr>
              <w:pStyle w:val="12"/>
              <w:jc w:val="center"/>
              <w:rPr>
                <w:rFonts w:ascii="宋体" w:hAnsi="宋体"/>
              </w:rPr>
            </w:pPr>
            <w:r>
              <w:rPr>
                <w:rFonts w:hint="eastAsia" w:ascii="宋体" w:hAnsi="宋体"/>
              </w:rPr>
              <w:t>2</w:t>
            </w:r>
          </w:p>
        </w:tc>
        <w:tc>
          <w:tcPr>
            <w:tcW w:w="688" w:type="pct"/>
            <w:vAlign w:val="center"/>
          </w:tcPr>
          <w:p w14:paraId="007FB7D0">
            <w:pPr>
              <w:pStyle w:val="12"/>
              <w:jc w:val="center"/>
              <w:rPr>
                <w:rFonts w:ascii="宋体" w:hAnsi="宋体"/>
              </w:rPr>
            </w:pPr>
            <w:r>
              <w:rPr>
                <w:rFonts w:hint="eastAsia" w:ascii="宋体" w:hAnsi="宋体"/>
              </w:rPr>
              <w:t>9500</w:t>
            </w:r>
          </w:p>
        </w:tc>
        <w:tc>
          <w:tcPr>
            <w:tcW w:w="1937" w:type="pct"/>
            <w:vAlign w:val="center"/>
          </w:tcPr>
          <w:p w14:paraId="4FD92AE9">
            <w:pPr>
              <w:pStyle w:val="12"/>
              <w:jc w:val="left"/>
              <w:rPr>
                <w:rFonts w:ascii="宋体" w:hAnsi="宋体"/>
              </w:rPr>
            </w:pPr>
            <w:r>
              <w:rPr>
                <w:rFonts w:hint="eastAsia" w:ascii="宋体" w:hAnsi="宋体"/>
              </w:rPr>
              <w:t>1976年9月</w:t>
            </w:r>
          </w:p>
        </w:tc>
      </w:tr>
    </w:tbl>
    <w:p w14:paraId="44B45DBA">
      <w:pPr>
        <w:ind w:firstLine="0" w:firstLineChars="0"/>
        <w:jc w:val="center"/>
        <w:rPr>
          <w:rFonts w:ascii="宋体" w:hAnsi="宋体"/>
          <w:b/>
          <w:szCs w:val="21"/>
        </w:rPr>
      </w:pPr>
      <w:r>
        <w:rPr>
          <w:rFonts w:hint="eastAsia" w:ascii="宋体" w:hAnsi="宋体"/>
          <w:b/>
          <w:szCs w:val="21"/>
        </w:rPr>
        <w:t>南雄市境内输电线路一览</w:t>
      </w:r>
    </w:p>
    <w:p w14:paraId="199A5E5B">
      <w:pPr>
        <w:ind w:firstLine="0" w:firstLineChars="0"/>
        <w:rPr>
          <w:rFonts w:ascii="宋体" w:hAnsi="宋体"/>
          <w:b/>
        </w:rPr>
      </w:pPr>
      <w:r>
        <w:rPr>
          <w:rFonts w:hint="eastAsia" w:ascii="宋体" w:hAnsi="宋体"/>
          <w:b/>
        </w:rPr>
        <w:t>表2-39</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96"/>
        <w:gridCol w:w="1906"/>
        <w:gridCol w:w="1136"/>
        <w:gridCol w:w="1130"/>
        <w:gridCol w:w="1136"/>
        <w:gridCol w:w="1134"/>
        <w:gridCol w:w="707"/>
        <w:gridCol w:w="1917"/>
      </w:tblGrid>
      <w:tr w14:paraId="00FD84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0" w:type="pct"/>
            <w:vAlign w:val="center"/>
          </w:tcPr>
          <w:p w14:paraId="69C3502F">
            <w:pPr>
              <w:pStyle w:val="12"/>
              <w:jc w:val="center"/>
              <w:rPr>
                <w:rFonts w:ascii="宋体" w:hAnsi="宋体"/>
                <w:b/>
              </w:rPr>
            </w:pPr>
            <w:r>
              <w:rPr>
                <w:rFonts w:hint="eastAsia" w:ascii="宋体" w:hAnsi="宋体"/>
                <w:b/>
              </w:rPr>
              <w:t>线路</w:t>
            </w:r>
          </w:p>
          <w:p w14:paraId="67FF3B78">
            <w:pPr>
              <w:pStyle w:val="12"/>
              <w:jc w:val="center"/>
              <w:rPr>
                <w:rFonts w:ascii="宋体" w:hAnsi="宋体"/>
                <w:b/>
              </w:rPr>
            </w:pPr>
            <w:r>
              <w:rPr>
                <w:rFonts w:hint="eastAsia" w:ascii="宋体" w:hAnsi="宋体"/>
                <w:b/>
              </w:rPr>
              <w:t>名称</w:t>
            </w:r>
          </w:p>
        </w:tc>
        <w:tc>
          <w:tcPr>
            <w:tcW w:w="957" w:type="pct"/>
            <w:vAlign w:val="center"/>
          </w:tcPr>
          <w:p w14:paraId="6B5F799C">
            <w:pPr>
              <w:pStyle w:val="12"/>
              <w:jc w:val="center"/>
              <w:rPr>
                <w:rFonts w:ascii="宋体" w:hAnsi="宋体"/>
                <w:b/>
              </w:rPr>
            </w:pPr>
            <w:r>
              <w:rPr>
                <w:rFonts w:hint="eastAsia" w:ascii="宋体" w:hAnsi="宋体"/>
                <w:b/>
              </w:rPr>
              <w:t>起止地点</w:t>
            </w:r>
          </w:p>
        </w:tc>
        <w:tc>
          <w:tcPr>
            <w:tcW w:w="570" w:type="pct"/>
            <w:vAlign w:val="center"/>
          </w:tcPr>
          <w:p w14:paraId="30941D78">
            <w:pPr>
              <w:pStyle w:val="12"/>
              <w:jc w:val="center"/>
              <w:rPr>
                <w:rFonts w:ascii="宋体" w:hAnsi="宋体"/>
                <w:b/>
              </w:rPr>
            </w:pPr>
            <w:r>
              <w:rPr>
                <w:rFonts w:hint="eastAsia" w:ascii="宋体" w:hAnsi="宋体"/>
                <w:b/>
              </w:rPr>
              <w:t>电压等级（千伏）</w:t>
            </w:r>
          </w:p>
        </w:tc>
        <w:tc>
          <w:tcPr>
            <w:tcW w:w="567" w:type="pct"/>
            <w:vAlign w:val="center"/>
          </w:tcPr>
          <w:p w14:paraId="51D781E4">
            <w:pPr>
              <w:pStyle w:val="12"/>
              <w:jc w:val="center"/>
              <w:rPr>
                <w:rFonts w:ascii="宋体" w:hAnsi="宋体"/>
                <w:b/>
              </w:rPr>
            </w:pPr>
            <w:r>
              <w:rPr>
                <w:rFonts w:hint="eastAsia" w:ascii="宋体" w:hAnsi="宋体"/>
                <w:b/>
              </w:rPr>
              <w:t>线路长度（千米）</w:t>
            </w:r>
          </w:p>
        </w:tc>
        <w:tc>
          <w:tcPr>
            <w:tcW w:w="570" w:type="pct"/>
            <w:vAlign w:val="center"/>
          </w:tcPr>
          <w:p w14:paraId="3ABA4DDA">
            <w:pPr>
              <w:pStyle w:val="12"/>
              <w:jc w:val="center"/>
              <w:rPr>
                <w:rFonts w:ascii="宋体" w:hAnsi="宋体"/>
                <w:b/>
              </w:rPr>
            </w:pPr>
            <w:r>
              <w:rPr>
                <w:rFonts w:hint="eastAsia" w:ascii="宋体" w:hAnsi="宋体"/>
                <w:b/>
              </w:rPr>
              <w:t>导线规格（平方</w:t>
            </w:r>
          </w:p>
          <w:p w14:paraId="0CC5A9E1">
            <w:pPr>
              <w:pStyle w:val="12"/>
              <w:jc w:val="center"/>
              <w:rPr>
                <w:rFonts w:ascii="宋体" w:hAnsi="宋体"/>
                <w:b/>
              </w:rPr>
            </w:pPr>
            <w:r>
              <w:rPr>
                <w:rFonts w:hint="eastAsia" w:ascii="宋体" w:hAnsi="宋体"/>
                <w:b/>
              </w:rPr>
              <w:t>毫米）</w:t>
            </w:r>
          </w:p>
        </w:tc>
        <w:tc>
          <w:tcPr>
            <w:tcW w:w="569" w:type="pct"/>
            <w:vAlign w:val="center"/>
          </w:tcPr>
          <w:p w14:paraId="23E159BB">
            <w:pPr>
              <w:pStyle w:val="12"/>
              <w:jc w:val="center"/>
              <w:rPr>
                <w:rFonts w:ascii="宋体" w:hAnsi="宋体"/>
                <w:b/>
              </w:rPr>
            </w:pPr>
            <w:r>
              <w:rPr>
                <w:rFonts w:hint="eastAsia" w:ascii="宋体" w:hAnsi="宋体"/>
                <w:b/>
              </w:rPr>
              <w:t>地线规格（平方</w:t>
            </w:r>
          </w:p>
          <w:p w14:paraId="25D8DC65">
            <w:pPr>
              <w:pStyle w:val="12"/>
              <w:jc w:val="center"/>
              <w:rPr>
                <w:rFonts w:ascii="宋体" w:hAnsi="宋体"/>
                <w:b/>
              </w:rPr>
            </w:pPr>
            <w:r>
              <w:rPr>
                <w:rFonts w:hint="eastAsia" w:ascii="宋体" w:hAnsi="宋体"/>
                <w:b/>
              </w:rPr>
              <w:t>毫米）</w:t>
            </w:r>
          </w:p>
        </w:tc>
        <w:tc>
          <w:tcPr>
            <w:tcW w:w="355" w:type="pct"/>
            <w:vAlign w:val="center"/>
          </w:tcPr>
          <w:p w14:paraId="48369E3C">
            <w:pPr>
              <w:pStyle w:val="12"/>
              <w:jc w:val="center"/>
              <w:rPr>
                <w:rFonts w:ascii="宋体" w:hAnsi="宋体"/>
                <w:b/>
              </w:rPr>
            </w:pPr>
            <w:r>
              <w:rPr>
                <w:rFonts w:hint="eastAsia" w:ascii="宋体" w:hAnsi="宋体"/>
                <w:b/>
              </w:rPr>
              <w:t>线路</w:t>
            </w:r>
          </w:p>
          <w:p w14:paraId="4E242E95">
            <w:pPr>
              <w:pStyle w:val="12"/>
              <w:jc w:val="center"/>
              <w:rPr>
                <w:rFonts w:ascii="宋体" w:hAnsi="宋体"/>
                <w:b/>
              </w:rPr>
            </w:pPr>
            <w:r>
              <w:rPr>
                <w:rFonts w:hint="eastAsia" w:ascii="宋体" w:hAnsi="宋体"/>
                <w:b/>
              </w:rPr>
              <w:t>基数</w:t>
            </w:r>
          </w:p>
        </w:tc>
        <w:tc>
          <w:tcPr>
            <w:tcW w:w="962" w:type="pct"/>
            <w:vAlign w:val="center"/>
          </w:tcPr>
          <w:p w14:paraId="71436653">
            <w:pPr>
              <w:pStyle w:val="12"/>
              <w:jc w:val="center"/>
              <w:rPr>
                <w:rFonts w:ascii="宋体" w:hAnsi="宋体"/>
                <w:b/>
              </w:rPr>
            </w:pPr>
            <w:r>
              <w:rPr>
                <w:rFonts w:hint="eastAsia" w:ascii="宋体" w:hAnsi="宋体"/>
                <w:b/>
              </w:rPr>
              <w:t>投运日期</w:t>
            </w:r>
          </w:p>
        </w:tc>
      </w:tr>
      <w:tr w14:paraId="3FB4441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0" w:type="pct"/>
            <w:vAlign w:val="center"/>
          </w:tcPr>
          <w:p w14:paraId="7632F9D4">
            <w:pPr>
              <w:pStyle w:val="12"/>
              <w:jc w:val="center"/>
              <w:rPr>
                <w:rFonts w:ascii="宋体" w:hAnsi="宋体"/>
              </w:rPr>
            </w:pPr>
            <w:r>
              <w:rPr>
                <w:rFonts w:hint="eastAsia" w:ascii="宋体" w:hAnsi="宋体"/>
              </w:rPr>
              <w:t>澜大线</w:t>
            </w:r>
          </w:p>
        </w:tc>
        <w:tc>
          <w:tcPr>
            <w:tcW w:w="957" w:type="pct"/>
            <w:vAlign w:val="center"/>
          </w:tcPr>
          <w:p w14:paraId="3B4D54CC">
            <w:pPr>
              <w:pStyle w:val="12"/>
              <w:jc w:val="center"/>
              <w:rPr>
                <w:rFonts w:ascii="宋体" w:hAnsi="宋体"/>
              </w:rPr>
            </w:pPr>
            <w:r>
              <w:rPr>
                <w:rFonts w:hint="eastAsia" w:ascii="宋体" w:hAnsi="宋体"/>
              </w:rPr>
              <w:t>澜河站—大余站</w:t>
            </w:r>
          </w:p>
        </w:tc>
        <w:tc>
          <w:tcPr>
            <w:tcW w:w="570" w:type="pct"/>
            <w:vAlign w:val="center"/>
          </w:tcPr>
          <w:p w14:paraId="0ED50B75">
            <w:pPr>
              <w:pStyle w:val="12"/>
              <w:jc w:val="center"/>
              <w:rPr>
                <w:rFonts w:ascii="宋体" w:hAnsi="宋体"/>
              </w:rPr>
            </w:pPr>
            <w:r>
              <w:rPr>
                <w:rFonts w:hint="eastAsia" w:ascii="宋体" w:hAnsi="宋体"/>
              </w:rPr>
              <w:t>110</w:t>
            </w:r>
          </w:p>
        </w:tc>
        <w:tc>
          <w:tcPr>
            <w:tcW w:w="567" w:type="pct"/>
            <w:vAlign w:val="center"/>
          </w:tcPr>
          <w:p w14:paraId="315104E6">
            <w:pPr>
              <w:pStyle w:val="12"/>
              <w:jc w:val="center"/>
              <w:rPr>
                <w:rFonts w:ascii="宋体" w:hAnsi="宋体"/>
              </w:rPr>
            </w:pPr>
            <w:r>
              <w:rPr>
                <w:rFonts w:hint="eastAsia" w:ascii="宋体" w:hAnsi="宋体"/>
              </w:rPr>
              <w:t>30.1</w:t>
            </w:r>
          </w:p>
        </w:tc>
        <w:tc>
          <w:tcPr>
            <w:tcW w:w="570" w:type="pct"/>
            <w:vAlign w:val="center"/>
          </w:tcPr>
          <w:p w14:paraId="5CABEEDC">
            <w:pPr>
              <w:pStyle w:val="12"/>
              <w:jc w:val="center"/>
              <w:rPr>
                <w:rFonts w:ascii="宋体" w:hAnsi="宋体"/>
              </w:rPr>
            </w:pPr>
            <w:r>
              <w:rPr>
                <w:rFonts w:hint="eastAsia" w:ascii="宋体" w:hAnsi="宋体"/>
              </w:rPr>
              <w:t>95</w:t>
            </w:r>
          </w:p>
        </w:tc>
        <w:tc>
          <w:tcPr>
            <w:tcW w:w="569" w:type="pct"/>
            <w:vAlign w:val="center"/>
          </w:tcPr>
          <w:p w14:paraId="66DCCD3F">
            <w:pPr>
              <w:pStyle w:val="12"/>
              <w:jc w:val="center"/>
              <w:rPr>
                <w:rFonts w:ascii="宋体" w:hAnsi="宋体"/>
              </w:rPr>
            </w:pPr>
            <w:r>
              <w:rPr>
                <w:rFonts w:hint="eastAsia" w:ascii="宋体" w:hAnsi="宋体"/>
              </w:rPr>
              <w:t>35</w:t>
            </w:r>
          </w:p>
        </w:tc>
        <w:tc>
          <w:tcPr>
            <w:tcW w:w="355" w:type="pct"/>
            <w:vAlign w:val="center"/>
          </w:tcPr>
          <w:p w14:paraId="62C4BE36">
            <w:pPr>
              <w:pStyle w:val="12"/>
              <w:jc w:val="center"/>
              <w:rPr>
                <w:rFonts w:ascii="宋体" w:hAnsi="宋体"/>
              </w:rPr>
            </w:pPr>
            <w:r>
              <w:rPr>
                <w:rFonts w:hint="eastAsia" w:ascii="宋体" w:hAnsi="宋体"/>
              </w:rPr>
              <w:t>100</w:t>
            </w:r>
          </w:p>
        </w:tc>
        <w:tc>
          <w:tcPr>
            <w:tcW w:w="962" w:type="pct"/>
            <w:vAlign w:val="center"/>
          </w:tcPr>
          <w:p w14:paraId="17B715F5">
            <w:pPr>
              <w:pStyle w:val="12"/>
              <w:jc w:val="left"/>
              <w:rPr>
                <w:rFonts w:ascii="宋体" w:hAnsi="宋体"/>
              </w:rPr>
            </w:pPr>
            <w:r>
              <w:rPr>
                <w:rFonts w:hint="eastAsia" w:ascii="宋体" w:hAnsi="宋体"/>
              </w:rPr>
              <w:t>1966年6月</w:t>
            </w:r>
          </w:p>
        </w:tc>
      </w:tr>
      <w:tr w14:paraId="42575C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0" w:type="pct"/>
            <w:vAlign w:val="center"/>
          </w:tcPr>
          <w:p w14:paraId="33E6C228">
            <w:pPr>
              <w:pStyle w:val="12"/>
              <w:jc w:val="center"/>
              <w:rPr>
                <w:rFonts w:ascii="宋体" w:hAnsi="宋体"/>
              </w:rPr>
            </w:pPr>
            <w:r>
              <w:rPr>
                <w:rFonts w:hint="eastAsia" w:ascii="宋体" w:hAnsi="宋体"/>
              </w:rPr>
              <w:t>长澜线</w:t>
            </w:r>
          </w:p>
        </w:tc>
        <w:tc>
          <w:tcPr>
            <w:tcW w:w="957" w:type="pct"/>
            <w:vAlign w:val="center"/>
          </w:tcPr>
          <w:p w14:paraId="33DD1030">
            <w:pPr>
              <w:pStyle w:val="12"/>
              <w:jc w:val="center"/>
              <w:rPr>
                <w:rFonts w:ascii="宋体" w:hAnsi="宋体"/>
              </w:rPr>
            </w:pPr>
            <w:r>
              <w:rPr>
                <w:rFonts w:hint="eastAsia" w:ascii="宋体" w:hAnsi="宋体"/>
              </w:rPr>
              <w:t>长江站—澜河站</w:t>
            </w:r>
          </w:p>
        </w:tc>
        <w:tc>
          <w:tcPr>
            <w:tcW w:w="570" w:type="pct"/>
            <w:vAlign w:val="center"/>
          </w:tcPr>
          <w:p w14:paraId="52D326BE">
            <w:pPr>
              <w:pStyle w:val="12"/>
              <w:jc w:val="center"/>
              <w:rPr>
                <w:rFonts w:ascii="宋体" w:hAnsi="宋体"/>
              </w:rPr>
            </w:pPr>
            <w:r>
              <w:rPr>
                <w:rFonts w:hint="eastAsia" w:ascii="宋体" w:hAnsi="宋体"/>
              </w:rPr>
              <w:t>110</w:t>
            </w:r>
          </w:p>
        </w:tc>
        <w:tc>
          <w:tcPr>
            <w:tcW w:w="567" w:type="pct"/>
            <w:vAlign w:val="center"/>
          </w:tcPr>
          <w:p w14:paraId="10530D34">
            <w:pPr>
              <w:pStyle w:val="12"/>
              <w:jc w:val="center"/>
              <w:rPr>
                <w:rFonts w:ascii="宋体" w:hAnsi="宋体"/>
              </w:rPr>
            </w:pPr>
            <w:r>
              <w:rPr>
                <w:rFonts w:hint="eastAsia" w:ascii="宋体" w:hAnsi="宋体"/>
              </w:rPr>
              <w:t>46</w:t>
            </w:r>
          </w:p>
        </w:tc>
        <w:tc>
          <w:tcPr>
            <w:tcW w:w="570" w:type="pct"/>
            <w:vAlign w:val="center"/>
          </w:tcPr>
          <w:p w14:paraId="25B3A342">
            <w:pPr>
              <w:pStyle w:val="12"/>
              <w:jc w:val="center"/>
              <w:rPr>
                <w:rFonts w:ascii="宋体" w:hAnsi="宋体"/>
              </w:rPr>
            </w:pPr>
            <w:r>
              <w:rPr>
                <w:rFonts w:hint="eastAsia" w:ascii="宋体" w:hAnsi="宋体"/>
              </w:rPr>
              <w:t>240</w:t>
            </w:r>
          </w:p>
        </w:tc>
        <w:tc>
          <w:tcPr>
            <w:tcW w:w="569" w:type="pct"/>
            <w:vAlign w:val="center"/>
          </w:tcPr>
          <w:p w14:paraId="5418E52A">
            <w:pPr>
              <w:pStyle w:val="12"/>
              <w:jc w:val="center"/>
              <w:rPr>
                <w:rFonts w:ascii="宋体" w:hAnsi="宋体"/>
              </w:rPr>
            </w:pPr>
            <w:r>
              <w:rPr>
                <w:rFonts w:hint="eastAsia" w:ascii="宋体" w:hAnsi="宋体"/>
              </w:rPr>
              <w:t>35</w:t>
            </w:r>
          </w:p>
        </w:tc>
        <w:tc>
          <w:tcPr>
            <w:tcW w:w="355" w:type="pct"/>
            <w:vAlign w:val="center"/>
          </w:tcPr>
          <w:p w14:paraId="46A1EDD9">
            <w:pPr>
              <w:pStyle w:val="12"/>
              <w:jc w:val="center"/>
              <w:rPr>
                <w:rFonts w:ascii="宋体" w:hAnsi="宋体"/>
              </w:rPr>
            </w:pPr>
            <w:r>
              <w:rPr>
                <w:rFonts w:hint="eastAsia" w:ascii="宋体" w:hAnsi="宋体"/>
              </w:rPr>
              <w:t>197</w:t>
            </w:r>
          </w:p>
        </w:tc>
        <w:tc>
          <w:tcPr>
            <w:tcW w:w="962" w:type="pct"/>
            <w:vAlign w:val="center"/>
          </w:tcPr>
          <w:p w14:paraId="42E595CF">
            <w:pPr>
              <w:pStyle w:val="12"/>
              <w:jc w:val="left"/>
              <w:rPr>
                <w:rFonts w:ascii="宋体" w:hAnsi="宋体"/>
              </w:rPr>
            </w:pPr>
            <w:r>
              <w:rPr>
                <w:rFonts w:hint="eastAsia" w:ascii="宋体" w:hAnsi="宋体"/>
              </w:rPr>
              <w:t>1966年7月</w:t>
            </w:r>
          </w:p>
        </w:tc>
      </w:tr>
      <w:tr w14:paraId="544E7B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0" w:type="pct"/>
            <w:vAlign w:val="center"/>
          </w:tcPr>
          <w:p w14:paraId="170279CC">
            <w:pPr>
              <w:pStyle w:val="12"/>
              <w:jc w:val="center"/>
              <w:rPr>
                <w:rFonts w:ascii="宋体" w:hAnsi="宋体"/>
              </w:rPr>
            </w:pPr>
            <w:r>
              <w:rPr>
                <w:rFonts w:hint="eastAsia" w:ascii="宋体" w:hAnsi="宋体"/>
              </w:rPr>
              <w:t>墨南线</w:t>
            </w:r>
          </w:p>
        </w:tc>
        <w:tc>
          <w:tcPr>
            <w:tcW w:w="957" w:type="pct"/>
            <w:vAlign w:val="center"/>
          </w:tcPr>
          <w:p w14:paraId="612E0853">
            <w:pPr>
              <w:pStyle w:val="12"/>
              <w:jc w:val="center"/>
              <w:rPr>
                <w:rFonts w:ascii="宋体" w:hAnsi="宋体"/>
              </w:rPr>
            </w:pPr>
            <w:r>
              <w:rPr>
                <w:rFonts w:hint="eastAsia" w:ascii="宋体" w:hAnsi="宋体"/>
              </w:rPr>
              <w:t>墨江站—南雄站</w:t>
            </w:r>
          </w:p>
        </w:tc>
        <w:tc>
          <w:tcPr>
            <w:tcW w:w="570" w:type="pct"/>
            <w:vAlign w:val="center"/>
          </w:tcPr>
          <w:p w14:paraId="33F30EF1">
            <w:pPr>
              <w:pStyle w:val="12"/>
              <w:jc w:val="center"/>
              <w:rPr>
                <w:rFonts w:ascii="宋体" w:hAnsi="宋体"/>
              </w:rPr>
            </w:pPr>
            <w:r>
              <w:rPr>
                <w:rFonts w:hint="eastAsia" w:ascii="宋体" w:hAnsi="宋体"/>
              </w:rPr>
              <w:t>110</w:t>
            </w:r>
          </w:p>
        </w:tc>
        <w:tc>
          <w:tcPr>
            <w:tcW w:w="567" w:type="pct"/>
            <w:vAlign w:val="center"/>
          </w:tcPr>
          <w:p w14:paraId="79286F1E">
            <w:pPr>
              <w:pStyle w:val="12"/>
              <w:jc w:val="center"/>
              <w:rPr>
                <w:rFonts w:ascii="宋体" w:hAnsi="宋体"/>
              </w:rPr>
            </w:pPr>
            <w:r>
              <w:rPr>
                <w:rFonts w:hint="eastAsia" w:ascii="宋体" w:hAnsi="宋体"/>
              </w:rPr>
              <w:t>8.1</w:t>
            </w:r>
          </w:p>
        </w:tc>
        <w:tc>
          <w:tcPr>
            <w:tcW w:w="570" w:type="pct"/>
            <w:vAlign w:val="center"/>
          </w:tcPr>
          <w:p w14:paraId="41DF3787">
            <w:pPr>
              <w:pStyle w:val="12"/>
              <w:jc w:val="center"/>
              <w:rPr>
                <w:rFonts w:ascii="宋体" w:hAnsi="宋体"/>
              </w:rPr>
            </w:pPr>
            <w:r>
              <w:rPr>
                <w:rFonts w:hint="eastAsia" w:ascii="宋体" w:hAnsi="宋体"/>
              </w:rPr>
              <w:t>240</w:t>
            </w:r>
          </w:p>
        </w:tc>
        <w:tc>
          <w:tcPr>
            <w:tcW w:w="569" w:type="pct"/>
            <w:vAlign w:val="center"/>
          </w:tcPr>
          <w:p w14:paraId="0D6AB664">
            <w:pPr>
              <w:pStyle w:val="12"/>
              <w:jc w:val="center"/>
              <w:rPr>
                <w:rFonts w:ascii="宋体" w:hAnsi="宋体"/>
              </w:rPr>
            </w:pPr>
            <w:r>
              <w:rPr>
                <w:rFonts w:hint="eastAsia" w:ascii="宋体" w:hAnsi="宋体"/>
              </w:rPr>
              <w:t>35</w:t>
            </w:r>
          </w:p>
        </w:tc>
        <w:tc>
          <w:tcPr>
            <w:tcW w:w="355" w:type="pct"/>
            <w:vAlign w:val="center"/>
          </w:tcPr>
          <w:p w14:paraId="5BBE8D29">
            <w:pPr>
              <w:pStyle w:val="12"/>
              <w:jc w:val="center"/>
              <w:rPr>
                <w:rFonts w:ascii="宋体" w:hAnsi="宋体"/>
              </w:rPr>
            </w:pPr>
            <w:r>
              <w:rPr>
                <w:rFonts w:hint="eastAsia" w:ascii="宋体" w:hAnsi="宋体"/>
              </w:rPr>
              <w:t>30</w:t>
            </w:r>
          </w:p>
        </w:tc>
        <w:tc>
          <w:tcPr>
            <w:tcW w:w="962" w:type="pct"/>
            <w:vAlign w:val="center"/>
          </w:tcPr>
          <w:p w14:paraId="2AF3FC33">
            <w:pPr>
              <w:pStyle w:val="12"/>
              <w:jc w:val="left"/>
              <w:rPr>
                <w:rFonts w:ascii="宋体" w:hAnsi="宋体"/>
              </w:rPr>
            </w:pPr>
            <w:r>
              <w:rPr>
                <w:rFonts w:hint="eastAsia" w:ascii="宋体" w:hAnsi="宋体"/>
              </w:rPr>
              <w:t>2004年</w:t>
            </w:r>
          </w:p>
        </w:tc>
      </w:tr>
      <w:tr w14:paraId="32AD87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0" w:type="pct"/>
            <w:vAlign w:val="center"/>
          </w:tcPr>
          <w:p w14:paraId="3E40A5CD">
            <w:pPr>
              <w:pStyle w:val="12"/>
              <w:jc w:val="center"/>
              <w:rPr>
                <w:rFonts w:ascii="宋体" w:hAnsi="宋体"/>
              </w:rPr>
            </w:pPr>
            <w:r>
              <w:rPr>
                <w:rFonts w:hint="eastAsia" w:ascii="宋体" w:hAnsi="宋体"/>
              </w:rPr>
              <w:t>顿南线</w:t>
            </w:r>
          </w:p>
        </w:tc>
        <w:tc>
          <w:tcPr>
            <w:tcW w:w="957" w:type="pct"/>
            <w:vAlign w:val="center"/>
          </w:tcPr>
          <w:p w14:paraId="6A501E40">
            <w:pPr>
              <w:pStyle w:val="12"/>
              <w:jc w:val="center"/>
              <w:rPr>
                <w:rFonts w:ascii="宋体" w:hAnsi="宋体"/>
              </w:rPr>
            </w:pPr>
            <w:r>
              <w:rPr>
                <w:rFonts w:hint="eastAsia" w:ascii="宋体" w:hAnsi="宋体"/>
              </w:rPr>
              <w:t>顿南线—南雄站</w:t>
            </w:r>
          </w:p>
        </w:tc>
        <w:tc>
          <w:tcPr>
            <w:tcW w:w="570" w:type="pct"/>
            <w:vAlign w:val="center"/>
          </w:tcPr>
          <w:p w14:paraId="1E7B5252">
            <w:pPr>
              <w:pStyle w:val="12"/>
              <w:jc w:val="center"/>
              <w:rPr>
                <w:rFonts w:ascii="宋体" w:hAnsi="宋体"/>
              </w:rPr>
            </w:pPr>
            <w:r>
              <w:rPr>
                <w:rFonts w:hint="eastAsia" w:ascii="宋体" w:hAnsi="宋体"/>
              </w:rPr>
              <w:t>110</w:t>
            </w:r>
          </w:p>
        </w:tc>
        <w:tc>
          <w:tcPr>
            <w:tcW w:w="567" w:type="pct"/>
            <w:vAlign w:val="center"/>
          </w:tcPr>
          <w:p w14:paraId="07B3A892">
            <w:pPr>
              <w:pStyle w:val="12"/>
              <w:jc w:val="center"/>
              <w:rPr>
                <w:rFonts w:ascii="宋体" w:hAnsi="宋体"/>
              </w:rPr>
            </w:pPr>
            <w:r>
              <w:rPr>
                <w:rFonts w:hint="eastAsia" w:ascii="宋体" w:hAnsi="宋体"/>
              </w:rPr>
              <w:t>29.5</w:t>
            </w:r>
          </w:p>
        </w:tc>
        <w:tc>
          <w:tcPr>
            <w:tcW w:w="570" w:type="pct"/>
            <w:vAlign w:val="center"/>
          </w:tcPr>
          <w:p w14:paraId="45CA3794">
            <w:pPr>
              <w:pStyle w:val="12"/>
              <w:jc w:val="center"/>
              <w:rPr>
                <w:rFonts w:ascii="宋体" w:hAnsi="宋体"/>
              </w:rPr>
            </w:pPr>
            <w:r>
              <w:rPr>
                <w:rFonts w:hint="eastAsia" w:ascii="宋体" w:hAnsi="宋体"/>
              </w:rPr>
              <w:t>120</w:t>
            </w:r>
          </w:p>
        </w:tc>
        <w:tc>
          <w:tcPr>
            <w:tcW w:w="569" w:type="pct"/>
            <w:vAlign w:val="center"/>
          </w:tcPr>
          <w:p w14:paraId="364E71D5">
            <w:pPr>
              <w:pStyle w:val="12"/>
              <w:jc w:val="center"/>
              <w:rPr>
                <w:rFonts w:ascii="宋体" w:hAnsi="宋体"/>
              </w:rPr>
            </w:pPr>
            <w:r>
              <w:rPr>
                <w:rFonts w:hint="eastAsia" w:ascii="宋体" w:hAnsi="宋体"/>
              </w:rPr>
              <w:t>25</w:t>
            </w:r>
          </w:p>
        </w:tc>
        <w:tc>
          <w:tcPr>
            <w:tcW w:w="355" w:type="pct"/>
            <w:vAlign w:val="center"/>
          </w:tcPr>
          <w:p w14:paraId="4CA38AC9">
            <w:pPr>
              <w:pStyle w:val="12"/>
              <w:jc w:val="center"/>
              <w:rPr>
                <w:rFonts w:ascii="宋体" w:hAnsi="宋体"/>
              </w:rPr>
            </w:pPr>
            <w:r>
              <w:rPr>
                <w:rFonts w:hint="eastAsia" w:ascii="宋体" w:hAnsi="宋体"/>
              </w:rPr>
              <w:t>125</w:t>
            </w:r>
          </w:p>
        </w:tc>
        <w:tc>
          <w:tcPr>
            <w:tcW w:w="962" w:type="pct"/>
            <w:vAlign w:val="center"/>
          </w:tcPr>
          <w:p w14:paraId="1D8B42CF">
            <w:pPr>
              <w:pStyle w:val="12"/>
              <w:jc w:val="left"/>
              <w:rPr>
                <w:rFonts w:ascii="宋体" w:hAnsi="宋体"/>
              </w:rPr>
            </w:pPr>
            <w:r>
              <w:rPr>
                <w:rFonts w:hint="eastAsia" w:ascii="宋体" w:hAnsi="宋体"/>
              </w:rPr>
              <w:t>1979年；1984年11月升110千伏</w:t>
            </w:r>
          </w:p>
        </w:tc>
      </w:tr>
      <w:tr w14:paraId="459E6F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0" w:type="pct"/>
            <w:vAlign w:val="center"/>
          </w:tcPr>
          <w:p w14:paraId="2816FE03">
            <w:pPr>
              <w:pStyle w:val="12"/>
              <w:jc w:val="center"/>
              <w:rPr>
                <w:rFonts w:ascii="宋体" w:hAnsi="宋体"/>
              </w:rPr>
            </w:pPr>
            <w:r>
              <w:rPr>
                <w:rFonts w:hint="eastAsia" w:ascii="宋体" w:hAnsi="宋体"/>
              </w:rPr>
              <w:t>安澜线</w:t>
            </w:r>
          </w:p>
        </w:tc>
        <w:tc>
          <w:tcPr>
            <w:tcW w:w="957" w:type="pct"/>
            <w:vAlign w:val="center"/>
          </w:tcPr>
          <w:p w14:paraId="4332687F">
            <w:pPr>
              <w:pStyle w:val="12"/>
              <w:jc w:val="center"/>
              <w:rPr>
                <w:rFonts w:ascii="宋体" w:hAnsi="宋体"/>
              </w:rPr>
            </w:pPr>
            <w:r>
              <w:rPr>
                <w:rFonts w:hint="eastAsia" w:ascii="宋体" w:hAnsi="宋体"/>
              </w:rPr>
              <w:t>全安站—澜河站</w:t>
            </w:r>
          </w:p>
        </w:tc>
        <w:tc>
          <w:tcPr>
            <w:tcW w:w="570" w:type="pct"/>
            <w:vAlign w:val="center"/>
          </w:tcPr>
          <w:p w14:paraId="3C38859A">
            <w:pPr>
              <w:pStyle w:val="12"/>
              <w:jc w:val="center"/>
              <w:rPr>
                <w:rFonts w:ascii="宋体" w:hAnsi="宋体"/>
              </w:rPr>
            </w:pPr>
            <w:r>
              <w:rPr>
                <w:rFonts w:hint="eastAsia" w:ascii="宋体" w:hAnsi="宋体"/>
              </w:rPr>
              <w:t>110</w:t>
            </w:r>
          </w:p>
        </w:tc>
        <w:tc>
          <w:tcPr>
            <w:tcW w:w="567" w:type="pct"/>
            <w:vAlign w:val="center"/>
          </w:tcPr>
          <w:p w14:paraId="63D26D8F">
            <w:pPr>
              <w:pStyle w:val="12"/>
              <w:jc w:val="center"/>
              <w:rPr>
                <w:rFonts w:ascii="宋体" w:hAnsi="宋体"/>
              </w:rPr>
            </w:pPr>
            <w:r>
              <w:rPr>
                <w:rFonts w:hint="eastAsia" w:ascii="宋体" w:hAnsi="宋体"/>
              </w:rPr>
              <w:t>23.8</w:t>
            </w:r>
          </w:p>
        </w:tc>
        <w:tc>
          <w:tcPr>
            <w:tcW w:w="570" w:type="pct"/>
            <w:vAlign w:val="center"/>
          </w:tcPr>
          <w:p w14:paraId="49C4BD90">
            <w:pPr>
              <w:pStyle w:val="12"/>
              <w:jc w:val="center"/>
              <w:rPr>
                <w:rFonts w:ascii="宋体" w:hAnsi="宋体"/>
              </w:rPr>
            </w:pPr>
            <w:r>
              <w:rPr>
                <w:rFonts w:hint="eastAsia" w:ascii="宋体" w:hAnsi="宋体"/>
              </w:rPr>
              <w:t>120</w:t>
            </w:r>
          </w:p>
        </w:tc>
        <w:tc>
          <w:tcPr>
            <w:tcW w:w="569" w:type="pct"/>
            <w:vAlign w:val="center"/>
          </w:tcPr>
          <w:p w14:paraId="3A985A78">
            <w:pPr>
              <w:pStyle w:val="12"/>
              <w:jc w:val="center"/>
              <w:rPr>
                <w:rFonts w:ascii="宋体" w:hAnsi="宋体"/>
              </w:rPr>
            </w:pPr>
            <w:r>
              <w:rPr>
                <w:rFonts w:hint="eastAsia" w:ascii="宋体" w:hAnsi="宋体"/>
              </w:rPr>
              <w:t>35</w:t>
            </w:r>
          </w:p>
        </w:tc>
        <w:tc>
          <w:tcPr>
            <w:tcW w:w="355" w:type="pct"/>
            <w:vAlign w:val="center"/>
          </w:tcPr>
          <w:p w14:paraId="4F211870">
            <w:pPr>
              <w:pStyle w:val="12"/>
              <w:jc w:val="center"/>
              <w:rPr>
                <w:rFonts w:ascii="宋体" w:hAnsi="宋体"/>
              </w:rPr>
            </w:pPr>
            <w:r>
              <w:rPr>
                <w:rFonts w:hint="eastAsia" w:ascii="宋体" w:hAnsi="宋体"/>
              </w:rPr>
              <w:t>—</w:t>
            </w:r>
          </w:p>
        </w:tc>
        <w:tc>
          <w:tcPr>
            <w:tcW w:w="962" w:type="pct"/>
            <w:vAlign w:val="center"/>
          </w:tcPr>
          <w:p w14:paraId="2F4E7748">
            <w:pPr>
              <w:pStyle w:val="12"/>
              <w:jc w:val="left"/>
              <w:rPr>
                <w:rFonts w:ascii="宋体" w:hAnsi="宋体"/>
              </w:rPr>
            </w:pPr>
            <w:r>
              <w:rPr>
                <w:rFonts w:hint="eastAsia" w:ascii="宋体" w:hAnsi="宋体"/>
              </w:rPr>
              <w:t>1994年7月</w:t>
            </w:r>
          </w:p>
        </w:tc>
      </w:tr>
      <w:tr w14:paraId="05EDBB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0" w:type="pct"/>
            <w:vAlign w:val="center"/>
          </w:tcPr>
          <w:p w14:paraId="61E5D9AC">
            <w:pPr>
              <w:pStyle w:val="12"/>
              <w:jc w:val="center"/>
              <w:rPr>
                <w:rFonts w:ascii="宋体" w:hAnsi="宋体"/>
              </w:rPr>
            </w:pPr>
            <w:r>
              <w:rPr>
                <w:rFonts w:hint="eastAsia" w:ascii="宋体" w:hAnsi="宋体"/>
              </w:rPr>
              <w:t>雄安线</w:t>
            </w:r>
          </w:p>
        </w:tc>
        <w:tc>
          <w:tcPr>
            <w:tcW w:w="957" w:type="pct"/>
            <w:vAlign w:val="center"/>
          </w:tcPr>
          <w:p w14:paraId="6CA2FF2D">
            <w:pPr>
              <w:pStyle w:val="12"/>
              <w:jc w:val="center"/>
              <w:rPr>
                <w:rFonts w:ascii="宋体" w:hAnsi="宋体"/>
              </w:rPr>
            </w:pPr>
            <w:r>
              <w:rPr>
                <w:rFonts w:hint="eastAsia" w:ascii="宋体" w:hAnsi="宋体"/>
              </w:rPr>
              <w:t>南雄站—全安站</w:t>
            </w:r>
          </w:p>
        </w:tc>
        <w:tc>
          <w:tcPr>
            <w:tcW w:w="570" w:type="pct"/>
            <w:vAlign w:val="center"/>
          </w:tcPr>
          <w:p w14:paraId="075361A0">
            <w:pPr>
              <w:pStyle w:val="12"/>
              <w:jc w:val="center"/>
              <w:rPr>
                <w:rFonts w:ascii="宋体" w:hAnsi="宋体"/>
              </w:rPr>
            </w:pPr>
            <w:r>
              <w:rPr>
                <w:rFonts w:hint="eastAsia" w:ascii="宋体" w:hAnsi="宋体"/>
              </w:rPr>
              <w:t>110</w:t>
            </w:r>
          </w:p>
        </w:tc>
        <w:tc>
          <w:tcPr>
            <w:tcW w:w="567" w:type="pct"/>
            <w:vAlign w:val="center"/>
          </w:tcPr>
          <w:p w14:paraId="54F0A271">
            <w:pPr>
              <w:pStyle w:val="12"/>
              <w:jc w:val="center"/>
              <w:rPr>
                <w:rFonts w:ascii="宋体" w:hAnsi="宋体"/>
              </w:rPr>
            </w:pPr>
            <w:r>
              <w:rPr>
                <w:rFonts w:hint="eastAsia" w:ascii="宋体" w:hAnsi="宋体"/>
              </w:rPr>
              <w:t>3</w:t>
            </w:r>
          </w:p>
        </w:tc>
        <w:tc>
          <w:tcPr>
            <w:tcW w:w="570" w:type="pct"/>
            <w:vAlign w:val="center"/>
          </w:tcPr>
          <w:p w14:paraId="065A46C4">
            <w:pPr>
              <w:pStyle w:val="12"/>
              <w:jc w:val="center"/>
              <w:rPr>
                <w:rFonts w:ascii="宋体" w:hAnsi="宋体"/>
              </w:rPr>
            </w:pPr>
            <w:r>
              <w:rPr>
                <w:rFonts w:hint="eastAsia" w:ascii="宋体" w:hAnsi="宋体"/>
              </w:rPr>
              <w:t>120</w:t>
            </w:r>
          </w:p>
        </w:tc>
        <w:tc>
          <w:tcPr>
            <w:tcW w:w="569" w:type="pct"/>
            <w:vAlign w:val="center"/>
          </w:tcPr>
          <w:p w14:paraId="508A41EE">
            <w:pPr>
              <w:pStyle w:val="12"/>
              <w:jc w:val="center"/>
              <w:rPr>
                <w:rFonts w:ascii="宋体" w:hAnsi="宋体"/>
              </w:rPr>
            </w:pPr>
            <w:r>
              <w:rPr>
                <w:rFonts w:hint="eastAsia" w:ascii="宋体" w:hAnsi="宋体"/>
              </w:rPr>
              <w:t>35</w:t>
            </w:r>
          </w:p>
        </w:tc>
        <w:tc>
          <w:tcPr>
            <w:tcW w:w="355" w:type="pct"/>
            <w:vAlign w:val="center"/>
          </w:tcPr>
          <w:p w14:paraId="5AC0A38C">
            <w:pPr>
              <w:pStyle w:val="12"/>
              <w:jc w:val="center"/>
              <w:rPr>
                <w:rFonts w:ascii="宋体" w:hAnsi="宋体"/>
              </w:rPr>
            </w:pPr>
            <w:r>
              <w:rPr>
                <w:rFonts w:hint="eastAsia" w:ascii="宋体" w:hAnsi="宋体"/>
              </w:rPr>
              <w:t>—</w:t>
            </w:r>
          </w:p>
        </w:tc>
        <w:tc>
          <w:tcPr>
            <w:tcW w:w="962" w:type="pct"/>
            <w:vAlign w:val="center"/>
          </w:tcPr>
          <w:p w14:paraId="49B126D0">
            <w:pPr>
              <w:pStyle w:val="12"/>
              <w:jc w:val="left"/>
              <w:rPr>
                <w:rFonts w:ascii="宋体" w:hAnsi="宋体"/>
              </w:rPr>
            </w:pPr>
            <w:r>
              <w:rPr>
                <w:rFonts w:hint="eastAsia" w:ascii="宋体" w:hAnsi="宋体"/>
              </w:rPr>
              <w:t>2004年5月</w:t>
            </w:r>
          </w:p>
        </w:tc>
      </w:tr>
      <w:tr w14:paraId="2FC3B2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0" w:type="pct"/>
            <w:vAlign w:val="center"/>
          </w:tcPr>
          <w:p w14:paraId="2DA4DCEC">
            <w:pPr>
              <w:pStyle w:val="12"/>
              <w:jc w:val="center"/>
              <w:rPr>
                <w:rFonts w:ascii="宋体" w:hAnsi="宋体"/>
              </w:rPr>
            </w:pPr>
            <w:r>
              <w:rPr>
                <w:rFonts w:hint="eastAsia" w:ascii="宋体" w:hAnsi="宋体"/>
              </w:rPr>
              <w:t>南黄线</w:t>
            </w:r>
          </w:p>
        </w:tc>
        <w:tc>
          <w:tcPr>
            <w:tcW w:w="957" w:type="pct"/>
            <w:vAlign w:val="center"/>
          </w:tcPr>
          <w:p w14:paraId="51C4BA76">
            <w:pPr>
              <w:pStyle w:val="12"/>
              <w:jc w:val="center"/>
              <w:rPr>
                <w:rFonts w:ascii="宋体" w:hAnsi="宋体"/>
              </w:rPr>
            </w:pPr>
            <w:r>
              <w:rPr>
                <w:rFonts w:hint="eastAsia" w:ascii="宋体" w:hAnsi="宋体"/>
              </w:rPr>
              <w:t>南雄站—黄坑站</w:t>
            </w:r>
          </w:p>
        </w:tc>
        <w:tc>
          <w:tcPr>
            <w:tcW w:w="570" w:type="pct"/>
            <w:vAlign w:val="center"/>
          </w:tcPr>
          <w:p w14:paraId="0FA9FB4E">
            <w:pPr>
              <w:pStyle w:val="12"/>
              <w:jc w:val="center"/>
              <w:rPr>
                <w:rFonts w:ascii="宋体" w:hAnsi="宋体"/>
              </w:rPr>
            </w:pPr>
            <w:r>
              <w:rPr>
                <w:rFonts w:hint="eastAsia" w:ascii="宋体" w:hAnsi="宋体"/>
              </w:rPr>
              <w:t>110</w:t>
            </w:r>
          </w:p>
        </w:tc>
        <w:tc>
          <w:tcPr>
            <w:tcW w:w="567" w:type="pct"/>
            <w:vAlign w:val="center"/>
          </w:tcPr>
          <w:p w14:paraId="38060F91">
            <w:pPr>
              <w:pStyle w:val="12"/>
              <w:jc w:val="center"/>
              <w:rPr>
                <w:rFonts w:ascii="宋体" w:hAnsi="宋体"/>
              </w:rPr>
            </w:pPr>
            <w:r>
              <w:rPr>
                <w:rFonts w:hint="eastAsia" w:ascii="宋体" w:hAnsi="宋体"/>
              </w:rPr>
              <w:t>26.787</w:t>
            </w:r>
          </w:p>
        </w:tc>
        <w:tc>
          <w:tcPr>
            <w:tcW w:w="570" w:type="pct"/>
            <w:vAlign w:val="center"/>
          </w:tcPr>
          <w:p w14:paraId="0279E133">
            <w:pPr>
              <w:pStyle w:val="12"/>
              <w:jc w:val="center"/>
              <w:rPr>
                <w:rFonts w:ascii="宋体" w:hAnsi="宋体"/>
              </w:rPr>
            </w:pPr>
            <w:r>
              <w:rPr>
                <w:rFonts w:hint="eastAsia" w:ascii="宋体" w:hAnsi="宋体"/>
              </w:rPr>
              <w:t>240</w:t>
            </w:r>
          </w:p>
        </w:tc>
        <w:tc>
          <w:tcPr>
            <w:tcW w:w="569" w:type="pct"/>
            <w:vAlign w:val="center"/>
          </w:tcPr>
          <w:p w14:paraId="177E64D3">
            <w:pPr>
              <w:pStyle w:val="12"/>
              <w:jc w:val="center"/>
              <w:rPr>
                <w:rFonts w:ascii="宋体" w:hAnsi="宋体"/>
              </w:rPr>
            </w:pPr>
            <w:r>
              <w:rPr>
                <w:rFonts w:hint="eastAsia" w:ascii="宋体" w:hAnsi="宋体"/>
              </w:rPr>
              <w:t>35</w:t>
            </w:r>
          </w:p>
        </w:tc>
        <w:tc>
          <w:tcPr>
            <w:tcW w:w="355" w:type="pct"/>
            <w:vAlign w:val="center"/>
          </w:tcPr>
          <w:p w14:paraId="0AA53D5B">
            <w:pPr>
              <w:pStyle w:val="12"/>
              <w:jc w:val="center"/>
              <w:rPr>
                <w:rFonts w:ascii="宋体" w:hAnsi="宋体"/>
              </w:rPr>
            </w:pPr>
            <w:r>
              <w:rPr>
                <w:rFonts w:hint="eastAsia" w:ascii="宋体" w:hAnsi="宋体"/>
              </w:rPr>
              <w:t>108</w:t>
            </w:r>
          </w:p>
        </w:tc>
        <w:tc>
          <w:tcPr>
            <w:tcW w:w="962" w:type="pct"/>
            <w:vAlign w:val="center"/>
          </w:tcPr>
          <w:p w14:paraId="561AF1AB">
            <w:pPr>
              <w:pStyle w:val="12"/>
              <w:jc w:val="left"/>
              <w:rPr>
                <w:rFonts w:ascii="宋体" w:hAnsi="宋体"/>
              </w:rPr>
            </w:pPr>
            <w:r>
              <w:rPr>
                <w:rFonts w:hint="eastAsia" w:ascii="宋体" w:hAnsi="宋体"/>
              </w:rPr>
              <w:t>2005年1月</w:t>
            </w:r>
          </w:p>
        </w:tc>
      </w:tr>
      <w:tr w14:paraId="6C23C3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0" w:type="pct"/>
            <w:vAlign w:val="center"/>
          </w:tcPr>
          <w:p w14:paraId="4DD43877">
            <w:pPr>
              <w:pStyle w:val="12"/>
              <w:jc w:val="center"/>
              <w:rPr>
                <w:rFonts w:ascii="宋体" w:hAnsi="宋体"/>
              </w:rPr>
            </w:pPr>
            <w:r>
              <w:rPr>
                <w:rFonts w:hint="eastAsia" w:ascii="宋体" w:hAnsi="宋体"/>
              </w:rPr>
              <w:t>瀑布线</w:t>
            </w:r>
          </w:p>
        </w:tc>
        <w:tc>
          <w:tcPr>
            <w:tcW w:w="957" w:type="pct"/>
            <w:vAlign w:val="center"/>
          </w:tcPr>
          <w:p w14:paraId="1A883003">
            <w:pPr>
              <w:pStyle w:val="12"/>
              <w:jc w:val="center"/>
              <w:rPr>
                <w:rFonts w:ascii="宋体" w:hAnsi="宋体"/>
              </w:rPr>
            </w:pPr>
            <w:r>
              <w:rPr>
                <w:rFonts w:hint="eastAsia" w:ascii="宋体" w:hAnsi="宋体"/>
              </w:rPr>
              <w:t>南雄站—瀑布电站</w:t>
            </w:r>
          </w:p>
        </w:tc>
        <w:tc>
          <w:tcPr>
            <w:tcW w:w="570" w:type="pct"/>
            <w:vAlign w:val="center"/>
          </w:tcPr>
          <w:p w14:paraId="46CBE9B0">
            <w:pPr>
              <w:pStyle w:val="12"/>
              <w:jc w:val="center"/>
              <w:rPr>
                <w:rFonts w:ascii="宋体" w:hAnsi="宋体"/>
              </w:rPr>
            </w:pPr>
            <w:r>
              <w:rPr>
                <w:rFonts w:hint="eastAsia" w:ascii="宋体" w:hAnsi="宋体"/>
              </w:rPr>
              <w:t>35</w:t>
            </w:r>
          </w:p>
        </w:tc>
        <w:tc>
          <w:tcPr>
            <w:tcW w:w="567" w:type="pct"/>
            <w:vAlign w:val="center"/>
          </w:tcPr>
          <w:p w14:paraId="366BCDD0">
            <w:pPr>
              <w:pStyle w:val="12"/>
              <w:jc w:val="center"/>
              <w:rPr>
                <w:rFonts w:ascii="宋体" w:hAnsi="宋体"/>
              </w:rPr>
            </w:pPr>
            <w:r>
              <w:rPr>
                <w:rFonts w:hint="eastAsia" w:ascii="宋体" w:hAnsi="宋体"/>
              </w:rPr>
              <w:t>10.3</w:t>
            </w:r>
          </w:p>
        </w:tc>
        <w:tc>
          <w:tcPr>
            <w:tcW w:w="570" w:type="pct"/>
            <w:vAlign w:val="center"/>
          </w:tcPr>
          <w:p w14:paraId="57CBC99F">
            <w:pPr>
              <w:pStyle w:val="12"/>
              <w:jc w:val="center"/>
              <w:rPr>
                <w:rFonts w:ascii="宋体" w:hAnsi="宋体"/>
              </w:rPr>
            </w:pPr>
            <w:r>
              <w:rPr>
                <w:rFonts w:hint="eastAsia" w:ascii="宋体" w:hAnsi="宋体"/>
              </w:rPr>
              <w:t>70</w:t>
            </w:r>
          </w:p>
        </w:tc>
        <w:tc>
          <w:tcPr>
            <w:tcW w:w="569" w:type="pct"/>
            <w:vAlign w:val="center"/>
          </w:tcPr>
          <w:p w14:paraId="7B79FC7D">
            <w:pPr>
              <w:pStyle w:val="12"/>
              <w:jc w:val="center"/>
              <w:rPr>
                <w:rFonts w:ascii="宋体" w:hAnsi="宋体"/>
              </w:rPr>
            </w:pPr>
            <w:r>
              <w:rPr>
                <w:rFonts w:hint="eastAsia" w:ascii="宋体" w:hAnsi="宋体"/>
              </w:rPr>
              <w:t>—</w:t>
            </w:r>
          </w:p>
        </w:tc>
        <w:tc>
          <w:tcPr>
            <w:tcW w:w="355" w:type="pct"/>
            <w:vAlign w:val="center"/>
          </w:tcPr>
          <w:p w14:paraId="0A851919">
            <w:pPr>
              <w:pStyle w:val="12"/>
              <w:jc w:val="center"/>
              <w:rPr>
                <w:rFonts w:ascii="宋体" w:hAnsi="宋体"/>
              </w:rPr>
            </w:pPr>
            <w:r>
              <w:rPr>
                <w:rFonts w:hint="eastAsia" w:ascii="宋体" w:hAnsi="宋体"/>
              </w:rPr>
              <w:t>—</w:t>
            </w:r>
          </w:p>
        </w:tc>
        <w:tc>
          <w:tcPr>
            <w:tcW w:w="962" w:type="pct"/>
            <w:vAlign w:val="center"/>
          </w:tcPr>
          <w:p w14:paraId="1C4F0B0B">
            <w:pPr>
              <w:pStyle w:val="12"/>
              <w:jc w:val="left"/>
              <w:rPr>
                <w:rFonts w:ascii="宋体" w:hAnsi="宋体"/>
              </w:rPr>
            </w:pPr>
            <w:r>
              <w:rPr>
                <w:rFonts w:hint="eastAsia" w:ascii="宋体" w:hAnsi="宋体"/>
              </w:rPr>
              <w:t>1972年10月</w:t>
            </w:r>
          </w:p>
        </w:tc>
      </w:tr>
      <w:tr w14:paraId="22E73E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0" w:type="pct"/>
            <w:vAlign w:val="center"/>
          </w:tcPr>
          <w:p w14:paraId="4481DED0">
            <w:pPr>
              <w:pStyle w:val="12"/>
              <w:jc w:val="center"/>
              <w:rPr>
                <w:rFonts w:ascii="宋体" w:hAnsi="宋体"/>
              </w:rPr>
            </w:pPr>
            <w:r>
              <w:rPr>
                <w:rFonts w:hint="eastAsia" w:ascii="宋体" w:hAnsi="宋体"/>
              </w:rPr>
              <w:t>黄坑线</w:t>
            </w:r>
          </w:p>
        </w:tc>
        <w:tc>
          <w:tcPr>
            <w:tcW w:w="957" w:type="pct"/>
            <w:vAlign w:val="center"/>
          </w:tcPr>
          <w:p w14:paraId="02B2C5FD">
            <w:pPr>
              <w:pStyle w:val="12"/>
              <w:jc w:val="center"/>
              <w:rPr>
                <w:rFonts w:ascii="宋体" w:hAnsi="宋体"/>
              </w:rPr>
            </w:pPr>
            <w:r>
              <w:rPr>
                <w:rFonts w:hint="eastAsia" w:ascii="宋体" w:hAnsi="宋体"/>
              </w:rPr>
              <w:t>南雄站—黄坑站</w:t>
            </w:r>
          </w:p>
        </w:tc>
        <w:tc>
          <w:tcPr>
            <w:tcW w:w="570" w:type="pct"/>
            <w:vAlign w:val="center"/>
          </w:tcPr>
          <w:p w14:paraId="64002943">
            <w:pPr>
              <w:pStyle w:val="12"/>
              <w:jc w:val="center"/>
              <w:rPr>
                <w:rFonts w:ascii="宋体" w:hAnsi="宋体"/>
              </w:rPr>
            </w:pPr>
            <w:r>
              <w:rPr>
                <w:rFonts w:hint="eastAsia" w:ascii="宋体" w:hAnsi="宋体"/>
              </w:rPr>
              <w:t>35</w:t>
            </w:r>
          </w:p>
        </w:tc>
        <w:tc>
          <w:tcPr>
            <w:tcW w:w="567" w:type="pct"/>
            <w:vAlign w:val="center"/>
          </w:tcPr>
          <w:p w14:paraId="0CE51B89">
            <w:pPr>
              <w:pStyle w:val="12"/>
              <w:jc w:val="center"/>
              <w:rPr>
                <w:rFonts w:ascii="宋体" w:hAnsi="宋体"/>
              </w:rPr>
            </w:pPr>
            <w:r>
              <w:rPr>
                <w:rFonts w:hint="eastAsia" w:ascii="宋体" w:hAnsi="宋体"/>
              </w:rPr>
              <w:t>25.4</w:t>
            </w:r>
          </w:p>
        </w:tc>
        <w:tc>
          <w:tcPr>
            <w:tcW w:w="570" w:type="pct"/>
            <w:vAlign w:val="center"/>
          </w:tcPr>
          <w:p w14:paraId="6CCA1999">
            <w:pPr>
              <w:pStyle w:val="12"/>
              <w:jc w:val="center"/>
              <w:rPr>
                <w:rFonts w:ascii="宋体" w:hAnsi="宋体"/>
              </w:rPr>
            </w:pPr>
            <w:r>
              <w:rPr>
                <w:rFonts w:hint="eastAsia" w:ascii="宋体" w:hAnsi="宋体"/>
              </w:rPr>
              <w:t>50</w:t>
            </w:r>
          </w:p>
        </w:tc>
        <w:tc>
          <w:tcPr>
            <w:tcW w:w="569" w:type="pct"/>
            <w:vAlign w:val="center"/>
          </w:tcPr>
          <w:p w14:paraId="2320A9B1">
            <w:pPr>
              <w:pStyle w:val="12"/>
              <w:jc w:val="center"/>
              <w:rPr>
                <w:rFonts w:ascii="宋体" w:hAnsi="宋体"/>
              </w:rPr>
            </w:pPr>
            <w:r>
              <w:rPr>
                <w:rFonts w:hint="eastAsia" w:ascii="宋体" w:hAnsi="宋体"/>
              </w:rPr>
              <w:t>—</w:t>
            </w:r>
          </w:p>
        </w:tc>
        <w:tc>
          <w:tcPr>
            <w:tcW w:w="355" w:type="pct"/>
            <w:vAlign w:val="center"/>
          </w:tcPr>
          <w:p w14:paraId="43DEB401">
            <w:pPr>
              <w:pStyle w:val="12"/>
              <w:jc w:val="center"/>
              <w:rPr>
                <w:rFonts w:ascii="宋体" w:hAnsi="宋体"/>
              </w:rPr>
            </w:pPr>
            <w:r>
              <w:rPr>
                <w:rFonts w:hint="eastAsia" w:ascii="宋体" w:hAnsi="宋体"/>
              </w:rPr>
              <w:t>144</w:t>
            </w:r>
          </w:p>
        </w:tc>
        <w:tc>
          <w:tcPr>
            <w:tcW w:w="962" w:type="pct"/>
            <w:vAlign w:val="center"/>
          </w:tcPr>
          <w:p w14:paraId="523D242C">
            <w:pPr>
              <w:pStyle w:val="12"/>
              <w:jc w:val="left"/>
              <w:rPr>
                <w:rFonts w:ascii="宋体" w:hAnsi="宋体"/>
              </w:rPr>
            </w:pPr>
            <w:r>
              <w:rPr>
                <w:rFonts w:hint="eastAsia" w:ascii="宋体" w:hAnsi="宋体"/>
              </w:rPr>
              <w:t>1975年5月，2005年7月退出运行</w:t>
            </w:r>
          </w:p>
        </w:tc>
      </w:tr>
      <w:tr w14:paraId="02AB92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0" w:type="pct"/>
            <w:vAlign w:val="center"/>
          </w:tcPr>
          <w:p w14:paraId="16813B20">
            <w:pPr>
              <w:pStyle w:val="12"/>
              <w:jc w:val="center"/>
              <w:rPr>
                <w:rFonts w:ascii="宋体" w:hAnsi="宋体"/>
              </w:rPr>
            </w:pPr>
            <w:r>
              <w:rPr>
                <w:rFonts w:hint="eastAsia" w:ascii="宋体" w:hAnsi="宋体"/>
              </w:rPr>
              <w:t>氮肥厂</w:t>
            </w:r>
          </w:p>
        </w:tc>
        <w:tc>
          <w:tcPr>
            <w:tcW w:w="957" w:type="pct"/>
            <w:vAlign w:val="center"/>
          </w:tcPr>
          <w:p w14:paraId="3AAFDA28">
            <w:pPr>
              <w:pStyle w:val="12"/>
              <w:jc w:val="center"/>
              <w:rPr>
                <w:rFonts w:ascii="宋体" w:hAnsi="宋体"/>
              </w:rPr>
            </w:pPr>
            <w:r>
              <w:rPr>
                <w:rFonts w:hint="eastAsia" w:ascii="宋体" w:hAnsi="宋体"/>
              </w:rPr>
              <w:t>南雄站—氮肥厂</w:t>
            </w:r>
          </w:p>
        </w:tc>
        <w:tc>
          <w:tcPr>
            <w:tcW w:w="570" w:type="pct"/>
            <w:vAlign w:val="center"/>
          </w:tcPr>
          <w:p w14:paraId="31798C0B">
            <w:pPr>
              <w:pStyle w:val="12"/>
              <w:jc w:val="center"/>
              <w:rPr>
                <w:rFonts w:ascii="宋体" w:hAnsi="宋体"/>
              </w:rPr>
            </w:pPr>
            <w:r>
              <w:rPr>
                <w:rFonts w:hint="eastAsia" w:ascii="宋体" w:hAnsi="宋体"/>
              </w:rPr>
              <w:t>35</w:t>
            </w:r>
          </w:p>
        </w:tc>
        <w:tc>
          <w:tcPr>
            <w:tcW w:w="567" w:type="pct"/>
            <w:vAlign w:val="center"/>
          </w:tcPr>
          <w:p w14:paraId="15EC35A9">
            <w:pPr>
              <w:pStyle w:val="12"/>
              <w:jc w:val="center"/>
              <w:rPr>
                <w:rFonts w:ascii="宋体" w:hAnsi="宋体"/>
              </w:rPr>
            </w:pPr>
            <w:r>
              <w:rPr>
                <w:rFonts w:hint="eastAsia" w:ascii="宋体" w:hAnsi="宋体"/>
              </w:rPr>
              <w:t>0.7</w:t>
            </w:r>
          </w:p>
        </w:tc>
        <w:tc>
          <w:tcPr>
            <w:tcW w:w="570" w:type="pct"/>
            <w:vAlign w:val="center"/>
          </w:tcPr>
          <w:p w14:paraId="7FBF9AE4">
            <w:pPr>
              <w:pStyle w:val="12"/>
              <w:jc w:val="center"/>
              <w:rPr>
                <w:rFonts w:ascii="宋体" w:hAnsi="宋体"/>
              </w:rPr>
            </w:pPr>
            <w:r>
              <w:rPr>
                <w:rFonts w:hint="eastAsia" w:ascii="宋体" w:hAnsi="宋体"/>
              </w:rPr>
              <w:t>50</w:t>
            </w:r>
          </w:p>
        </w:tc>
        <w:tc>
          <w:tcPr>
            <w:tcW w:w="569" w:type="pct"/>
            <w:vAlign w:val="center"/>
          </w:tcPr>
          <w:p w14:paraId="3CD5F03B">
            <w:pPr>
              <w:pStyle w:val="12"/>
              <w:jc w:val="center"/>
              <w:rPr>
                <w:rFonts w:ascii="宋体" w:hAnsi="宋体"/>
              </w:rPr>
            </w:pPr>
            <w:r>
              <w:rPr>
                <w:rFonts w:hint="eastAsia" w:ascii="宋体" w:hAnsi="宋体"/>
              </w:rPr>
              <w:t>—</w:t>
            </w:r>
          </w:p>
        </w:tc>
        <w:tc>
          <w:tcPr>
            <w:tcW w:w="355" w:type="pct"/>
            <w:vAlign w:val="center"/>
          </w:tcPr>
          <w:p w14:paraId="36FBC970">
            <w:pPr>
              <w:pStyle w:val="12"/>
              <w:jc w:val="center"/>
              <w:rPr>
                <w:rFonts w:ascii="宋体" w:hAnsi="宋体"/>
              </w:rPr>
            </w:pPr>
            <w:r>
              <w:rPr>
                <w:rFonts w:hint="eastAsia" w:ascii="宋体" w:hAnsi="宋体"/>
              </w:rPr>
              <w:t>5</w:t>
            </w:r>
          </w:p>
        </w:tc>
        <w:tc>
          <w:tcPr>
            <w:tcW w:w="962" w:type="pct"/>
            <w:vAlign w:val="center"/>
          </w:tcPr>
          <w:p w14:paraId="4FC25F96">
            <w:pPr>
              <w:pStyle w:val="12"/>
              <w:jc w:val="left"/>
              <w:rPr>
                <w:rFonts w:ascii="宋体" w:hAnsi="宋体"/>
              </w:rPr>
            </w:pPr>
            <w:r>
              <w:rPr>
                <w:rFonts w:hint="eastAsia" w:ascii="宋体" w:hAnsi="宋体"/>
              </w:rPr>
              <w:t>1978年5月</w:t>
            </w:r>
          </w:p>
        </w:tc>
      </w:tr>
      <w:tr w14:paraId="392F7E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0" w:type="pct"/>
            <w:vAlign w:val="center"/>
          </w:tcPr>
          <w:p w14:paraId="6451C7C8">
            <w:pPr>
              <w:pStyle w:val="12"/>
              <w:jc w:val="center"/>
              <w:rPr>
                <w:rFonts w:ascii="宋体" w:hAnsi="宋体"/>
              </w:rPr>
            </w:pPr>
            <w:r>
              <w:rPr>
                <w:rFonts w:hint="eastAsia" w:ascii="宋体" w:hAnsi="宋体"/>
              </w:rPr>
              <w:t>棉矿线</w:t>
            </w:r>
          </w:p>
        </w:tc>
        <w:tc>
          <w:tcPr>
            <w:tcW w:w="957" w:type="pct"/>
            <w:vAlign w:val="center"/>
          </w:tcPr>
          <w:p w14:paraId="5E59E438">
            <w:pPr>
              <w:pStyle w:val="12"/>
              <w:jc w:val="center"/>
              <w:rPr>
                <w:rFonts w:ascii="宋体" w:hAnsi="宋体"/>
              </w:rPr>
            </w:pPr>
            <w:r>
              <w:rPr>
                <w:rFonts w:hint="eastAsia" w:ascii="宋体" w:hAnsi="宋体"/>
              </w:rPr>
              <w:t>南雄站—棉土窝矿</w:t>
            </w:r>
          </w:p>
        </w:tc>
        <w:tc>
          <w:tcPr>
            <w:tcW w:w="570" w:type="pct"/>
            <w:vAlign w:val="center"/>
          </w:tcPr>
          <w:p w14:paraId="5BE5001E">
            <w:pPr>
              <w:pStyle w:val="12"/>
              <w:jc w:val="center"/>
              <w:rPr>
                <w:rFonts w:ascii="宋体" w:hAnsi="宋体"/>
              </w:rPr>
            </w:pPr>
            <w:r>
              <w:rPr>
                <w:rFonts w:hint="eastAsia" w:ascii="宋体" w:hAnsi="宋体"/>
              </w:rPr>
              <w:t>35</w:t>
            </w:r>
          </w:p>
        </w:tc>
        <w:tc>
          <w:tcPr>
            <w:tcW w:w="567" w:type="pct"/>
            <w:vAlign w:val="center"/>
          </w:tcPr>
          <w:p w14:paraId="3EA25F5B">
            <w:pPr>
              <w:pStyle w:val="12"/>
              <w:jc w:val="center"/>
              <w:rPr>
                <w:rFonts w:ascii="宋体" w:hAnsi="宋体"/>
              </w:rPr>
            </w:pPr>
            <w:r>
              <w:rPr>
                <w:rFonts w:hint="eastAsia" w:ascii="宋体" w:hAnsi="宋体"/>
              </w:rPr>
              <w:t>8.0</w:t>
            </w:r>
          </w:p>
        </w:tc>
        <w:tc>
          <w:tcPr>
            <w:tcW w:w="570" w:type="pct"/>
            <w:vAlign w:val="center"/>
          </w:tcPr>
          <w:p w14:paraId="1EACC7D5">
            <w:pPr>
              <w:pStyle w:val="12"/>
              <w:jc w:val="center"/>
              <w:rPr>
                <w:rFonts w:ascii="宋体" w:hAnsi="宋体"/>
              </w:rPr>
            </w:pPr>
            <w:r>
              <w:rPr>
                <w:rFonts w:hint="eastAsia" w:ascii="宋体" w:hAnsi="宋体"/>
              </w:rPr>
              <w:t>50</w:t>
            </w:r>
          </w:p>
        </w:tc>
        <w:tc>
          <w:tcPr>
            <w:tcW w:w="569" w:type="pct"/>
            <w:vAlign w:val="center"/>
          </w:tcPr>
          <w:p w14:paraId="23714736">
            <w:pPr>
              <w:pStyle w:val="12"/>
              <w:jc w:val="center"/>
              <w:rPr>
                <w:rFonts w:ascii="宋体" w:hAnsi="宋体"/>
              </w:rPr>
            </w:pPr>
            <w:r>
              <w:rPr>
                <w:rFonts w:hint="eastAsia" w:ascii="宋体" w:hAnsi="宋体"/>
              </w:rPr>
              <w:t>—</w:t>
            </w:r>
          </w:p>
        </w:tc>
        <w:tc>
          <w:tcPr>
            <w:tcW w:w="355" w:type="pct"/>
            <w:vAlign w:val="center"/>
          </w:tcPr>
          <w:p w14:paraId="571AC830">
            <w:pPr>
              <w:pStyle w:val="12"/>
              <w:jc w:val="center"/>
              <w:rPr>
                <w:rFonts w:ascii="宋体" w:hAnsi="宋体"/>
              </w:rPr>
            </w:pPr>
            <w:r>
              <w:rPr>
                <w:rFonts w:hint="eastAsia" w:ascii="宋体" w:hAnsi="宋体"/>
              </w:rPr>
              <w:t>—</w:t>
            </w:r>
          </w:p>
        </w:tc>
        <w:tc>
          <w:tcPr>
            <w:tcW w:w="962" w:type="pct"/>
            <w:vAlign w:val="center"/>
          </w:tcPr>
          <w:p w14:paraId="6F3F7C1C">
            <w:pPr>
              <w:pStyle w:val="12"/>
              <w:jc w:val="left"/>
              <w:rPr>
                <w:rFonts w:ascii="宋体" w:hAnsi="宋体"/>
              </w:rPr>
            </w:pPr>
            <w:r>
              <w:rPr>
                <w:rFonts w:hint="eastAsia" w:ascii="宋体" w:hAnsi="宋体"/>
              </w:rPr>
              <w:t>1982年8月</w:t>
            </w:r>
          </w:p>
        </w:tc>
      </w:tr>
      <w:tr w14:paraId="46B989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0" w:type="pct"/>
            <w:vAlign w:val="center"/>
          </w:tcPr>
          <w:p w14:paraId="075841EC">
            <w:pPr>
              <w:pStyle w:val="12"/>
              <w:jc w:val="center"/>
              <w:rPr>
                <w:rFonts w:ascii="宋体" w:hAnsi="宋体"/>
              </w:rPr>
            </w:pPr>
            <w:r>
              <w:rPr>
                <w:rFonts w:hint="eastAsia" w:ascii="宋体" w:hAnsi="宋体"/>
              </w:rPr>
              <w:t>帽子峰线</w:t>
            </w:r>
          </w:p>
        </w:tc>
        <w:tc>
          <w:tcPr>
            <w:tcW w:w="957" w:type="pct"/>
            <w:vAlign w:val="center"/>
          </w:tcPr>
          <w:p w14:paraId="73027198">
            <w:pPr>
              <w:pStyle w:val="12"/>
              <w:jc w:val="center"/>
              <w:rPr>
                <w:rFonts w:ascii="宋体" w:hAnsi="宋体"/>
              </w:rPr>
            </w:pPr>
            <w:r>
              <w:rPr>
                <w:rFonts w:hint="eastAsia" w:ascii="宋体" w:hAnsi="宋体"/>
              </w:rPr>
              <w:t>南雄站—帽子峰</w:t>
            </w:r>
          </w:p>
        </w:tc>
        <w:tc>
          <w:tcPr>
            <w:tcW w:w="570" w:type="pct"/>
            <w:vAlign w:val="center"/>
          </w:tcPr>
          <w:p w14:paraId="43866C44">
            <w:pPr>
              <w:pStyle w:val="12"/>
              <w:jc w:val="center"/>
              <w:rPr>
                <w:rFonts w:ascii="宋体" w:hAnsi="宋体"/>
              </w:rPr>
            </w:pPr>
            <w:r>
              <w:rPr>
                <w:rFonts w:hint="eastAsia" w:ascii="宋体" w:hAnsi="宋体"/>
              </w:rPr>
              <w:t>35</w:t>
            </w:r>
          </w:p>
        </w:tc>
        <w:tc>
          <w:tcPr>
            <w:tcW w:w="567" w:type="pct"/>
            <w:vAlign w:val="center"/>
          </w:tcPr>
          <w:p w14:paraId="1488FD7B">
            <w:pPr>
              <w:pStyle w:val="12"/>
              <w:jc w:val="center"/>
              <w:rPr>
                <w:rFonts w:ascii="宋体" w:hAnsi="宋体"/>
              </w:rPr>
            </w:pPr>
            <w:r>
              <w:rPr>
                <w:rFonts w:hint="eastAsia" w:ascii="宋体" w:hAnsi="宋体"/>
              </w:rPr>
              <w:t>17.2</w:t>
            </w:r>
          </w:p>
        </w:tc>
        <w:tc>
          <w:tcPr>
            <w:tcW w:w="570" w:type="pct"/>
            <w:vAlign w:val="center"/>
          </w:tcPr>
          <w:p w14:paraId="7D9A10A5">
            <w:pPr>
              <w:pStyle w:val="12"/>
              <w:jc w:val="center"/>
              <w:rPr>
                <w:rFonts w:ascii="宋体" w:hAnsi="宋体"/>
              </w:rPr>
            </w:pPr>
            <w:r>
              <w:rPr>
                <w:rFonts w:hint="eastAsia" w:ascii="宋体" w:hAnsi="宋体"/>
              </w:rPr>
              <w:t>70</w:t>
            </w:r>
          </w:p>
        </w:tc>
        <w:tc>
          <w:tcPr>
            <w:tcW w:w="569" w:type="pct"/>
            <w:vAlign w:val="center"/>
          </w:tcPr>
          <w:p w14:paraId="740F1717">
            <w:pPr>
              <w:pStyle w:val="12"/>
              <w:jc w:val="center"/>
              <w:rPr>
                <w:rFonts w:ascii="宋体" w:hAnsi="宋体"/>
              </w:rPr>
            </w:pPr>
            <w:r>
              <w:rPr>
                <w:rFonts w:hint="eastAsia" w:ascii="宋体" w:hAnsi="宋体"/>
              </w:rPr>
              <w:t>—</w:t>
            </w:r>
          </w:p>
        </w:tc>
        <w:tc>
          <w:tcPr>
            <w:tcW w:w="355" w:type="pct"/>
            <w:vAlign w:val="center"/>
          </w:tcPr>
          <w:p w14:paraId="4BA41425">
            <w:pPr>
              <w:pStyle w:val="12"/>
              <w:jc w:val="center"/>
              <w:rPr>
                <w:rFonts w:ascii="宋体" w:hAnsi="宋体"/>
              </w:rPr>
            </w:pPr>
            <w:r>
              <w:rPr>
                <w:rFonts w:hint="eastAsia" w:ascii="宋体" w:hAnsi="宋体"/>
              </w:rPr>
              <w:t>88</w:t>
            </w:r>
          </w:p>
        </w:tc>
        <w:tc>
          <w:tcPr>
            <w:tcW w:w="962" w:type="pct"/>
            <w:vAlign w:val="center"/>
          </w:tcPr>
          <w:p w14:paraId="7DD64557">
            <w:pPr>
              <w:pStyle w:val="12"/>
              <w:jc w:val="left"/>
              <w:rPr>
                <w:rFonts w:ascii="宋体" w:hAnsi="宋体"/>
              </w:rPr>
            </w:pPr>
            <w:r>
              <w:rPr>
                <w:rFonts w:hint="eastAsia" w:ascii="宋体" w:hAnsi="宋体"/>
              </w:rPr>
              <w:t>1983年8月</w:t>
            </w:r>
          </w:p>
        </w:tc>
      </w:tr>
      <w:tr w14:paraId="5317A7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0" w:type="pct"/>
            <w:vAlign w:val="center"/>
          </w:tcPr>
          <w:p w14:paraId="307CFAF9">
            <w:pPr>
              <w:pStyle w:val="12"/>
              <w:jc w:val="center"/>
              <w:rPr>
                <w:rFonts w:ascii="宋体" w:hAnsi="宋体"/>
              </w:rPr>
            </w:pPr>
            <w:r>
              <w:rPr>
                <w:rFonts w:hint="eastAsia" w:ascii="宋体" w:hAnsi="宋体"/>
              </w:rPr>
              <w:t>水泥厂线</w:t>
            </w:r>
          </w:p>
        </w:tc>
        <w:tc>
          <w:tcPr>
            <w:tcW w:w="957" w:type="pct"/>
            <w:vAlign w:val="center"/>
          </w:tcPr>
          <w:p w14:paraId="4B75B37C">
            <w:pPr>
              <w:pStyle w:val="12"/>
              <w:jc w:val="center"/>
              <w:rPr>
                <w:rFonts w:ascii="宋体" w:hAnsi="宋体"/>
              </w:rPr>
            </w:pPr>
            <w:r>
              <w:rPr>
                <w:rFonts w:hint="eastAsia" w:ascii="宋体" w:hAnsi="宋体"/>
              </w:rPr>
              <w:t>里东—水泥厂</w:t>
            </w:r>
          </w:p>
        </w:tc>
        <w:tc>
          <w:tcPr>
            <w:tcW w:w="570" w:type="pct"/>
            <w:vAlign w:val="center"/>
          </w:tcPr>
          <w:p w14:paraId="5EB0C30D">
            <w:pPr>
              <w:pStyle w:val="12"/>
              <w:jc w:val="center"/>
              <w:rPr>
                <w:rFonts w:ascii="宋体" w:hAnsi="宋体"/>
              </w:rPr>
            </w:pPr>
            <w:r>
              <w:rPr>
                <w:rFonts w:hint="eastAsia" w:ascii="宋体" w:hAnsi="宋体"/>
              </w:rPr>
              <w:t>35</w:t>
            </w:r>
          </w:p>
        </w:tc>
        <w:tc>
          <w:tcPr>
            <w:tcW w:w="567" w:type="pct"/>
            <w:vAlign w:val="center"/>
          </w:tcPr>
          <w:p w14:paraId="086A79A9">
            <w:pPr>
              <w:pStyle w:val="12"/>
              <w:jc w:val="center"/>
              <w:rPr>
                <w:rFonts w:ascii="宋体" w:hAnsi="宋体"/>
              </w:rPr>
            </w:pPr>
            <w:r>
              <w:rPr>
                <w:rFonts w:hint="eastAsia" w:ascii="宋体" w:hAnsi="宋体"/>
              </w:rPr>
              <w:t>9.8</w:t>
            </w:r>
          </w:p>
        </w:tc>
        <w:tc>
          <w:tcPr>
            <w:tcW w:w="570" w:type="pct"/>
            <w:vAlign w:val="center"/>
          </w:tcPr>
          <w:p w14:paraId="03BEB9AD">
            <w:pPr>
              <w:pStyle w:val="12"/>
              <w:jc w:val="center"/>
              <w:rPr>
                <w:rFonts w:ascii="宋体" w:hAnsi="宋体"/>
              </w:rPr>
            </w:pPr>
            <w:r>
              <w:rPr>
                <w:rFonts w:hint="eastAsia" w:ascii="宋体" w:hAnsi="宋体"/>
              </w:rPr>
              <w:t>50</w:t>
            </w:r>
          </w:p>
        </w:tc>
        <w:tc>
          <w:tcPr>
            <w:tcW w:w="569" w:type="pct"/>
            <w:vAlign w:val="center"/>
          </w:tcPr>
          <w:p w14:paraId="44BFABE9">
            <w:pPr>
              <w:pStyle w:val="12"/>
              <w:jc w:val="center"/>
              <w:rPr>
                <w:rFonts w:ascii="宋体" w:hAnsi="宋体"/>
              </w:rPr>
            </w:pPr>
            <w:r>
              <w:rPr>
                <w:rFonts w:hint="eastAsia" w:ascii="宋体" w:hAnsi="宋体"/>
              </w:rPr>
              <w:t>—</w:t>
            </w:r>
          </w:p>
        </w:tc>
        <w:tc>
          <w:tcPr>
            <w:tcW w:w="355" w:type="pct"/>
            <w:vAlign w:val="center"/>
          </w:tcPr>
          <w:p w14:paraId="51F8B955">
            <w:pPr>
              <w:pStyle w:val="12"/>
              <w:jc w:val="center"/>
              <w:rPr>
                <w:rFonts w:ascii="宋体" w:hAnsi="宋体"/>
              </w:rPr>
            </w:pPr>
            <w:r>
              <w:rPr>
                <w:rFonts w:hint="eastAsia" w:ascii="宋体" w:hAnsi="宋体"/>
              </w:rPr>
              <w:t>44</w:t>
            </w:r>
          </w:p>
        </w:tc>
        <w:tc>
          <w:tcPr>
            <w:tcW w:w="962" w:type="pct"/>
            <w:vAlign w:val="center"/>
          </w:tcPr>
          <w:p w14:paraId="501F1D0D">
            <w:pPr>
              <w:pStyle w:val="12"/>
              <w:jc w:val="left"/>
              <w:rPr>
                <w:rFonts w:ascii="宋体" w:hAnsi="宋体"/>
              </w:rPr>
            </w:pPr>
            <w:r>
              <w:rPr>
                <w:rFonts w:hint="eastAsia" w:ascii="宋体" w:hAnsi="宋体"/>
              </w:rPr>
              <w:t>1984年11月</w:t>
            </w:r>
          </w:p>
        </w:tc>
      </w:tr>
      <w:tr w14:paraId="1D6E3D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0" w:type="pct"/>
            <w:vAlign w:val="center"/>
          </w:tcPr>
          <w:p w14:paraId="6C42169F">
            <w:pPr>
              <w:pStyle w:val="12"/>
              <w:jc w:val="center"/>
              <w:rPr>
                <w:rFonts w:ascii="宋体" w:hAnsi="宋体"/>
              </w:rPr>
            </w:pPr>
            <w:r>
              <w:rPr>
                <w:rFonts w:hint="eastAsia" w:ascii="宋体" w:hAnsi="宋体"/>
              </w:rPr>
              <w:t>里东线</w:t>
            </w:r>
          </w:p>
        </w:tc>
        <w:tc>
          <w:tcPr>
            <w:tcW w:w="957" w:type="pct"/>
            <w:vAlign w:val="center"/>
          </w:tcPr>
          <w:p w14:paraId="34178047">
            <w:pPr>
              <w:pStyle w:val="12"/>
              <w:jc w:val="center"/>
              <w:rPr>
                <w:rFonts w:ascii="宋体" w:hAnsi="宋体"/>
              </w:rPr>
            </w:pPr>
            <w:r>
              <w:rPr>
                <w:rFonts w:hint="eastAsia" w:ascii="宋体" w:hAnsi="宋体"/>
              </w:rPr>
              <w:t>南雄站—里东</w:t>
            </w:r>
          </w:p>
        </w:tc>
        <w:tc>
          <w:tcPr>
            <w:tcW w:w="570" w:type="pct"/>
            <w:vAlign w:val="center"/>
          </w:tcPr>
          <w:p w14:paraId="5C7EAC66">
            <w:pPr>
              <w:pStyle w:val="12"/>
              <w:jc w:val="center"/>
              <w:rPr>
                <w:rFonts w:ascii="宋体" w:hAnsi="宋体"/>
              </w:rPr>
            </w:pPr>
            <w:r>
              <w:rPr>
                <w:rFonts w:hint="eastAsia" w:ascii="宋体" w:hAnsi="宋体"/>
              </w:rPr>
              <w:t>35</w:t>
            </w:r>
          </w:p>
        </w:tc>
        <w:tc>
          <w:tcPr>
            <w:tcW w:w="567" w:type="pct"/>
            <w:vAlign w:val="center"/>
          </w:tcPr>
          <w:p w14:paraId="5B600651">
            <w:pPr>
              <w:pStyle w:val="12"/>
              <w:jc w:val="center"/>
              <w:rPr>
                <w:rFonts w:ascii="宋体" w:hAnsi="宋体"/>
              </w:rPr>
            </w:pPr>
            <w:r>
              <w:rPr>
                <w:rFonts w:hint="eastAsia" w:ascii="宋体" w:hAnsi="宋体"/>
              </w:rPr>
              <w:t>18.0</w:t>
            </w:r>
          </w:p>
        </w:tc>
        <w:tc>
          <w:tcPr>
            <w:tcW w:w="570" w:type="pct"/>
            <w:vAlign w:val="center"/>
          </w:tcPr>
          <w:p w14:paraId="4A3639E9">
            <w:pPr>
              <w:pStyle w:val="12"/>
              <w:jc w:val="center"/>
              <w:rPr>
                <w:rFonts w:ascii="宋体" w:hAnsi="宋体"/>
              </w:rPr>
            </w:pPr>
            <w:r>
              <w:rPr>
                <w:rFonts w:hint="eastAsia" w:ascii="宋体" w:hAnsi="宋体"/>
              </w:rPr>
              <w:t>70</w:t>
            </w:r>
          </w:p>
        </w:tc>
        <w:tc>
          <w:tcPr>
            <w:tcW w:w="569" w:type="pct"/>
            <w:vAlign w:val="center"/>
          </w:tcPr>
          <w:p w14:paraId="3AE78DE9">
            <w:pPr>
              <w:pStyle w:val="12"/>
              <w:jc w:val="center"/>
              <w:rPr>
                <w:rFonts w:ascii="宋体" w:hAnsi="宋体"/>
              </w:rPr>
            </w:pPr>
            <w:r>
              <w:rPr>
                <w:rFonts w:hint="eastAsia" w:ascii="宋体" w:hAnsi="宋体"/>
              </w:rPr>
              <w:t>—</w:t>
            </w:r>
          </w:p>
        </w:tc>
        <w:tc>
          <w:tcPr>
            <w:tcW w:w="355" w:type="pct"/>
            <w:vAlign w:val="center"/>
          </w:tcPr>
          <w:p w14:paraId="6503D303">
            <w:pPr>
              <w:pStyle w:val="12"/>
              <w:jc w:val="center"/>
              <w:rPr>
                <w:rFonts w:ascii="宋体" w:hAnsi="宋体"/>
              </w:rPr>
            </w:pPr>
            <w:r>
              <w:rPr>
                <w:rFonts w:hint="eastAsia" w:ascii="宋体" w:hAnsi="宋体"/>
              </w:rPr>
              <w:t>88</w:t>
            </w:r>
          </w:p>
        </w:tc>
        <w:tc>
          <w:tcPr>
            <w:tcW w:w="962" w:type="pct"/>
            <w:vAlign w:val="center"/>
          </w:tcPr>
          <w:p w14:paraId="5C4B512F">
            <w:pPr>
              <w:pStyle w:val="12"/>
              <w:jc w:val="left"/>
              <w:rPr>
                <w:rFonts w:ascii="宋体" w:hAnsi="宋体"/>
              </w:rPr>
            </w:pPr>
            <w:r>
              <w:rPr>
                <w:rFonts w:hint="eastAsia" w:ascii="宋体" w:hAnsi="宋体"/>
              </w:rPr>
              <w:t>1984年11月</w:t>
            </w:r>
          </w:p>
        </w:tc>
      </w:tr>
      <w:tr w14:paraId="3AAD80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0" w:type="pct"/>
            <w:vAlign w:val="center"/>
          </w:tcPr>
          <w:p w14:paraId="29268920">
            <w:pPr>
              <w:pStyle w:val="12"/>
              <w:jc w:val="center"/>
              <w:rPr>
                <w:rFonts w:ascii="宋体" w:hAnsi="宋体"/>
              </w:rPr>
            </w:pPr>
            <w:r>
              <w:rPr>
                <w:rFonts w:hint="eastAsia" w:ascii="宋体" w:hAnsi="宋体"/>
              </w:rPr>
              <w:t>中坪线</w:t>
            </w:r>
          </w:p>
        </w:tc>
        <w:tc>
          <w:tcPr>
            <w:tcW w:w="957" w:type="pct"/>
            <w:vAlign w:val="center"/>
          </w:tcPr>
          <w:p w14:paraId="3FB5492F">
            <w:pPr>
              <w:pStyle w:val="12"/>
              <w:jc w:val="center"/>
              <w:rPr>
                <w:rFonts w:ascii="宋体" w:hAnsi="宋体"/>
              </w:rPr>
            </w:pPr>
            <w:r>
              <w:rPr>
                <w:rFonts w:hint="eastAsia" w:ascii="宋体" w:hAnsi="宋体"/>
              </w:rPr>
              <w:t>黄坑—中坪</w:t>
            </w:r>
          </w:p>
        </w:tc>
        <w:tc>
          <w:tcPr>
            <w:tcW w:w="570" w:type="pct"/>
            <w:vAlign w:val="center"/>
          </w:tcPr>
          <w:p w14:paraId="144ACC88">
            <w:pPr>
              <w:pStyle w:val="12"/>
              <w:jc w:val="center"/>
              <w:rPr>
                <w:rFonts w:ascii="宋体" w:hAnsi="宋体"/>
              </w:rPr>
            </w:pPr>
            <w:r>
              <w:rPr>
                <w:rFonts w:hint="eastAsia" w:ascii="宋体" w:hAnsi="宋体"/>
              </w:rPr>
              <w:t>35</w:t>
            </w:r>
          </w:p>
        </w:tc>
        <w:tc>
          <w:tcPr>
            <w:tcW w:w="567" w:type="pct"/>
            <w:vAlign w:val="center"/>
          </w:tcPr>
          <w:p w14:paraId="6928961F">
            <w:pPr>
              <w:pStyle w:val="12"/>
              <w:jc w:val="center"/>
              <w:rPr>
                <w:rFonts w:ascii="宋体" w:hAnsi="宋体"/>
              </w:rPr>
            </w:pPr>
            <w:r>
              <w:rPr>
                <w:rFonts w:hint="eastAsia" w:ascii="宋体" w:hAnsi="宋体"/>
              </w:rPr>
              <w:t>15.6</w:t>
            </w:r>
          </w:p>
        </w:tc>
        <w:tc>
          <w:tcPr>
            <w:tcW w:w="570" w:type="pct"/>
            <w:vAlign w:val="center"/>
          </w:tcPr>
          <w:p w14:paraId="501A64AE">
            <w:pPr>
              <w:pStyle w:val="12"/>
              <w:jc w:val="center"/>
              <w:rPr>
                <w:rFonts w:ascii="宋体" w:hAnsi="宋体"/>
              </w:rPr>
            </w:pPr>
            <w:r>
              <w:rPr>
                <w:rFonts w:hint="eastAsia" w:ascii="宋体" w:hAnsi="宋体"/>
              </w:rPr>
              <w:t>50</w:t>
            </w:r>
          </w:p>
        </w:tc>
        <w:tc>
          <w:tcPr>
            <w:tcW w:w="569" w:type="pct"/>
            <w:vAlign w:val="center"/>
          </w:tcPr>
          <w:p w14:paraId="79E8AF2E">
            <w:pPr>
              <w:pStyle w:val="12"/>
              <w:jc w:val="center"/>
              <w:rPr>
                <w:rFonts w:ascii="宋体" w:hAnsi="宋体"/>
              </w:rPr>
            </w:pPr>
            <w:r>
              <w:rPr>
                <w:rFonts w:hint="eastAsia" w:ascii="宋体" w:hAnsi="宋体"/>
              </w:rPr>
              <w:t>—</w:t>
            </w:r>
          </w:p>
        </w:tc>
        <w:tc>
          <w:tcPr>
            <w:tcW w:w="355" w:type="pct"/>
            <w:vAlign w:val="center"/>
          </w:tcPr>
          <w:p w14:paraId="2F57F772">
            <w:pPr>
              <w:pStyle w:val="12"/>
              <w:jc w:val="center"/>
              <w:rPr>
                <w:rFonts w:ascii="宋体" w:hAnsi="宋体"/>
              </w:rPr>
            </w:pPr>
            <w:r>
              <w:rPr>
                <w:rFonts w:hint="eastAsia" w:ascii="宋体" w:hAnsi="宋体"/>
              </w:rPr>
              <w:t>60</w:t>
            </w:r>
          </w:p>
        </w:tc>
        <w:tc>
          <w:tcPr>
            <w:tcW w:w="962" w:type="pct"/>
            <w:vAlign w:val="center"/>
          </w:tcPr>
          <w:p w14:paraId="4BE50E14">
            <w:pPr>
              <w:pStyle w:val="12"/>
              <w:jc w:val="left"/>
              <w:rPr>
                <w:rFonts w:ascii="宋体" w:hAnsi="宋体"/>
              </w:rPr>
            </w:pPr>
            <w:r>
              <w:rPr>
                <w:rFonts w:hint="eastAsia" w:ascii="宋体" w:hAnsi="宋体"/>
              </w:rPr>
              <w:t>1985年7月</w:t>
            </w:r>
          </w:p>
        </w:tc>
      </w:tr>
      <w:tr w14:paraId="33590B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0" w:type="pct"/>
            <w:vAlign w:val="center"/>
          </w:tcPr>
          <w:p w14:paraId="7A5C34DB">
            <w:pPr>
              <w:pStyle w:val="12"/>
              <w:jc w:val="center"/>
              <w:rPr>
                <w:rFonts w:ascii="宋体" w:hAnsi="宋体"/>
              </w:rPr>
            </w:pPr>
            <w:r>
              <w:rPr>
                <w:rFonts w:hint="eastAsia" w:ascii="宋体" w:hAnsi="宋体"/>
              </w:rPr>
              <w:t>潭溪线</w:t>
            </w:r>
          </w:p>
        </w:tc>
        <w:tc>
          <w:tcPr>
            <w:tcW w:w="957" w:type="pct"/>
            <w:vAlign w:val="center"/>
          </w:tcPr>
          <w:p w14:paraId="3A43560F">
            <w:pPr>
              <w:pStyle w:val="12"/>
              <w:jc w:val="center"/>
              <w:rPr>
                <w:rFonts w:ascii="宋体" w:hAnsi="宋体"/>
              </w:rPr>
            </w:pPr>
            <w:r>
              <w:rPr>
                <w:rFonts w:hint="eastAsia" w:ascii="宋体" w:hAnsi="宋体"/>
              </w:rPr>
              <w:t>澜河站—帽子峰</w:t>
            </w:r>
          </w:p>
        </w:tc>
        <w:tc>
          <w:tcPr>
            <w:tcW w:w="570" w:type="pct"/>
            <w:vAlign w:val="center"/>
          </w:tcPr>
          <w:p w14:paraId="387478AA">
            <w:pPr>
              <w:pStyle w:val="12"/>
              <w:jc w:val="center"/>
              <w:rPr>
                <w:rFonts w:ascii="宋体" w:hAnsi="宋体"/>
              </w:rPr>
            </w:pPr>
            <w:r>
              <w:rPr>
                <w:rFonts w:hint="eastAsia" w:ascii="宋体" w:hAnsi="宋体"/>
              </w:rPr>
              <w:t>35</w:t>
            </w:r>
          </w:p>
        </w:tc>
        <w:tc>
          <w:tcPr>
            <w:tcW w:w="567" w:type="pct"/>
            <w:vAlign w:val="center"/>
          </w:tcPr>
          <w:p w14:paraId="0EFC5E2B">
            <w:pPr>
              <w:pStyle w:val="12"/>
              <w:jc w:val="center"/>
              <w:rPr>
                <w:rFonts w:ascii="宋体" w:hAnsi="宋体"/>
              </w:rPr>
            </w:pPr>
            <w:r>
              <w:rPr>
                <w:rFonts w:hint="eastAsia" w:ascii="宋体" w:hAnsi="宋体"/>
              </w:rPr>
              <w:t>17.2</w:t>
            </w:r>
          </w:p>
        </w:tc>
        <w:tc>
          <w:tcPr>
            <w:tcW w:w="570" w:type="pct"/>
            <w:vAlign w:val="center"/>
          </w:tcPr>
          <w:p w14:paraId="6D8504B0">
            <w:pPr>
              <w:pStyle w:val="12"/>
              <w:jc w:val="center"/>
              <w:rPr>
                <w:rFonts w:ascii="宋体" w:hAnsi="宋体"/>
              </w:rPr>
            </w:pPr>
            <w:r>
              <w:rPr>
                <w:rFonts w:hint="eastAsia" w:ascii="宋体" w:hAnsi="宋体"/>
              </w:rPr>
              <w:t>70</w:t>
            </w:r>
          </w:p>
        </w:tc>
        <w:tc>
          <w:tcPr>
            <w:tcW w:w="569" w:type="pct"/>
            <w:vAlign w:val="center"/>
          </w:tcPr>
          <w:p w14:paraId="3EE30845">
            <w:pPr>
              <w:pStyle w:val="12"/>
              <w:jc w:val="center"/>
              <w:rPr>
                <w:rFonts w:ascii="宋体" w:hAnsi="宋体"/>
              </w:rPr>
            </w:pPr>
            <w:r>
              <w:rPr>
                <w:rFonts w:hint="eastAsia" w:ascii="宋体" w:hAnsi="宋体"/>
              </w:rPr>
              <w:t>—</w:t>
            </w:r>
          </w:p>
        </w:tc>
        <w:tc>
          <w:tcPr>
            <w:tcW w:w="355" w:type="pct"/>
            <w:vAlign w:val="center"/>
          </w:tcPr>
          <w:p w14:paraId="4E4C5C9D">
            <w:pPr>
              <w:pStyle w:val="12"/>
              <w:jc w:val="center"/>
              <w:rPr>
                <w:rFonts w:ascii="宋体" w:hAnsi="宋体"/>
              </w:rPr>
            </w:pPr>
            <w:r>
              <w:rPr>
                <w:rFonts w:hint="eastAsia" w:ascii="宋体" w:hAnsi="宋体"/>
              </w:rPr>
              <w:t>59</w:t>
            </w:r>
          </w:p>
        </w:tc>
        <w:tc>
          <w:tcPr>
            <w:tcW w:w="962" w:type="pct"/>
            <w:vAlign w:val="center"/>
          </w:tcPr>
          <w:p w14:paraId="523B7A2C">
            <w:pPr>
              <w:pStyle w:val="12"/>
              <w:jc w:val="left"/>
              <w:rPr>
                <w:rFonts w:ascii="宋体" w:hAnsi="宋体"/>
              </w:rPr>
            </w:pPr>
            <w:r>
              <w:rPr>
                <w:rFonts w:hint="eastAsia" w:ascii="宋体" w:hAnsi="宋体"/>
              </w:rPr>
              <w:t>1985年11月</w:t>
            </w:r>
          </w:p>
        </w:tc>
      </w:tr>
      <w:tr w14:paraId="6F06ED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0" w:type="pct"/>
            <w:vAlign w:val="center"/>
          </w:tcPr>
          <w:p w14:paraId="0ACA1384">
            <w:pPr>
              <w:pStyle w:val="12"/>
              <w:jc w:val="center"/>
              <w:rPr>
                <w:rFonts w:ascii="宋体" w:hAnsi="宋体"/>
              </w:rPr>
            </w:pPr>
            <w:r>
              <w:rPr>
                <w:rFonts w:hint="eastAsia" w:ascii="宋体" w:hAnsi="宋体"/>
              </w:rPr>
              <w:t>苍石线</w:t>
            </w:r>
          </w:p>
        </w:tc>
        <w:tc>
          <w:tcPr>
            <w:tcW w:w="957" w:type="pct"/>
            <w:vAlign w:val="center"/>
          </w:tcPr>
          <w:p w14:paraId="1C547BCE">
            <w:pPr>
              <w:pStyle w:val="12"/>
              <w:jc w:val="center"/>
              <w:rPr>
                <w:rFonts w:ascii="宋体" w:hAnsi="宋体"/>
              </w:rPr>
            </w:pPr>
            <w:r>
              <w:rPr>
                <w:rFonts w:hint="eastAsia" w:ascii="宋体" w:hAnsi="宋体"/>
              </w:rPr>
              <w:t>南雄站—苍石</w:t>
            </w:r>
          </w:p>
        </w:tc>
        <w:tc>
          <w:tcPr>
            <w:tcW w:w="570" w:type="pct"/>
            <w:vAlign w:val="center"/>
          </w:tcPr>
          <w:p w14:paraId="6EB2C6E4">
            <w:pPr>
              <w:pStyle w:val="12"/>
              <w:jc w:val="center"/>
              <w:rPr>
                <w:rFonts w:ascii="宋体" w:hAnsi="宋体"/>
              </w:rPr>
            </w:pPr>
            <w:r>
              <w:rPr>
                <w:rFonts w:hint="eastAsia" w:ascii="宋体" w:hAnsi="宋体"/>
              </w:rPr>
              <w:t>35</w:t>
            </w:r>
          </w:p>
        </w:tc>
        <w:tc>
          <w:tcPr>
            <w:tcW w:w="567" w:type="pct"/>
            <w:vAlign w:val="center"/>
          </w:tcPr>
          <w:p w14:paraId="258A4B38">
            <w:pPr>
              <w:pStyle w:val="12"/>
              <w:jc w:val="center"/>
              <w:rPr>
                <w:rFonts w:ascii="宋体" w:hAnsi="宋体"/>
              </w:rPr>
            </w:pPr>
            <w:r>
              <w:rPr>
                <w:rFonts w:hint="eastAsia" w:ascii="宋体" w:hAnsi="宋体"/>
              </w:rPr>
              <w:t>12.0</w:t>
            </w:r>
          </w:p>
        </w:tc>
        <w:tc>
          <w:tcPr>
            <w:tcW w:w="570" w:type="pct"/>
            <w:vAlign w:val="center"/>
          </w:tcPr>
          <w:p w14:paraId="1CABC651">
            <w:pPr>
              <w:pStyle w:val="12"/>
              <w:jc w:val="center"/>
              <w:rPr>
                <w:rFonts w:ascii="宋体" w:hAnsi="宋体"/>
              </w:rPr>
            </w:pPr>
            <w:r>
              <w:rPr>
                <w:rFonts w:hint="eastAsia" w:ascii="宋体" w:hAnsi="宋体"/>
              </w:rPr>
              <w:t>70</w:t>
            </w:r>
          </w:p>
        </w:tc>
        <w:tc>
          <w:tcPr>
            <w:tcW w:w="569" w:type="pct"/>
            <w:vAlign w:val="center"/>
          </w:tcPr>
          <w:p w14:paraId="114E2CE2">
            <w:pPr>
              <w:pStyle w:val="12"/>
              <w:jc w:val="center"/>
              <w:rPr>
                <w:rFonts w:ascii="宋体" w:hAnsi="宋体"/>
              </w:rPr>
            </w:pPr>
            <w:r>
              <w:rPr>
                <w:rFonts w:hint="eastAsia" w:ascii="宋体" w:hAnsi="宋体"/>
              </w:rPr>
              <w:t>—</w:t>
            </w:r>
          </w:p>
        </w:tc>
        <w:tc>
          <w:tcPr>
            <w:tcW w:w="355" w:type="pct"/>
            <w:vAlign w:val="center"/>
          </w:tcPr>
          <w:p w14:paraId="35316C27">
            <w:pPr>
              <w:pStyle w:val="12"/>
              <w:jc w:val="center"/>
              <w:rPr>
                <w:rFonts w:ascii="宋体" w:hAnsi="宋体"/>
              </w:rPr>
            </w:pPr>
            <w:r>
              <w:rPr>
                <w:rFonts w:hint="eastAsia" w:ascii="宋体" w:hAnsi="宋体"/>
              </w:rPr>
              <w:t>49</w:t>
            </w:r>
          </w:p>
        </w:tc>
        <w:tc>
          <w:tcPr>
            <w:tcW w:w="962" w:type="pct"/>
            <w:vAlign w:val="center"/>
          </w:tcPr>
          <w:p w14:paraId="7933464A">
            <w:pPr>
              <w:pStyle w:val="12"/>
              <w:jc w:val="left"/>
              <w:rPr>
                <w:rFonts w:ascii="宋体" w:hAnsi="宋体"/>
              </w:rPr>
            </w:pPr>
            <w:r>
              <w:rPr>
                <w:rFonts w:hint="eastAsia" w:ascii="宋体" w:hAnsi="宋体"/>
              </w:rPr>
              <w:t>1986年12月</w:t>
            </w:r>
          </w:p>
        </w:tc>
      </w:tr>
      <w:tr w14:paraId="4F711C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0" w:type="pct"/>
            <w:vAlign w:val="center"/>
          </w:tcPr>
          <w:p w14:paraId="5A73DE35">
            <w:pPr>
              <w:pStyle w:val="12"/>
              <w:jc w:val="center"/>
              <w:rPr>
                <w:rFonts w:ascii="宋体" w:hAnsi="宋体"/>
              </w:rPr>
            </w:pPr>
            <w:r>
              <w:rPr>
                <w:rFonts w:hint="eastAsia" w:ascii="宋体" w:hAnsi="宋体"/>
              </w:rPr>
              <w:t>江头线</w:t>
            </w:r>
          </w:p>
        </w:tc>
        <w:tc>
          <w:tcPr>
            <w:tcW w:w="957" w:type="pct"/>
            <w:vAlign w:val="center"/>
          </w:tcPr>
          <w:p w14:paraId="6D2D29F0">
            <w:pPr>
              <w:pStyle w:val="12"/>
              <w:jc w:val="center"/>
              <w:rPr>
                <w:rFonts w:ascii="宋体" w:hAnsi="宋体"/>
              </w:rPr>
            </w:pPr>
            <w:r>
              <w:rPr>
                <w:rFonts w:hint="eastAsia" w:ascii="宋体" w:hAnsi="宋体"/>
              </w:rPr>
              <w:t>南雄站—江头站</w:t>
            </w:r>
          </w:p>
        </w:tc>
        <w:tc>
          <w:tcPr>
            <w:tcW w:w="570" w:type="pct"/>
            <w:vAlign w:val="center"/>
          </w:tcPr>
          <w:p w14:paraId="367BB23D">
            <w:pPr>
              <w:pStyle w:val="12"/>
              <w:jc w:val="center"/>
              <w:rPr>
                <w:rFonts w:ascii="宋体" w:hAnsi="宋体"/>
              </w:rPr>
            </w:pPr>
            <w:r>
              <w:rPr>
                <w:rFonts w:hint="eastAsia" w:ascii="宋体" w:hAnsi="宋体"/>
              </w:rPr>
              <w:t>35</w:t>
            </w:r>
          </w:p>
        </w:tc>
        <w:tc>
          <w:tcPr>
            <w:tcW w:w="567" w:type="pct"/>
            <w:vAlign w:val="center"/>
          </w:tcPr>
          <w:p w14:paraId="58A0FBEA">
            <w:pPr>
              <w:pStyle w:val="12"/>
              <w:jc w:val="center"/>
              <w:rPr>
                <w:rFonts w:ascii="宋体" w:hAnsi="宋体"/>
              </w:rPr>
            </w:pPr>
            <w:r>
              <w:rPr>
                <w:rFonts w:hint="eastAsia" w:ascii="宋体" w:hAnsi="宋体"/>
              </w:rPr>
              <w:t>15.5</w:t>
            </w:r>
          </w:p>
        </w:tc>
        <w:tc>
          <w:tcPr>
            <w:tcW w:w="570" w:type="pct"/>
            <w:vAlign w:val="center"/>
          </w:tcPr>
          <w:p w14:paraId="0F7AA8FD">
            <w:pPr>
              <w:pStyle w:val="12"/>
              <w:jc w:val="center"/>
              <w:rPr>
                <w:rFonts w:ascii="宋体" w:hAnsi="宋体"/>
              </w:rPr>
            </w:pPr>
            <w:r>
              <w:rPr>
                <w:rFonts w:hint="eastAsia" w:ascii="宋体" w:hAnsi="宋体"/>
              </w:rPr>
              <w:t>70</w:t>
            </w:r>
          </w:p>
        </w:tc>
        <w:tc>
          <w:tcPr>
            <w:tcW w:w="569" w:type="pct"/>
            <w:vAlign w:val="center"/>
          </w:tcPr>
          <w:p w14:paraId="2E7ADC1E">
            <w:pPr>
              <w:pStyle w:val="12"/>
              <w:jc w:val="center"/>
              <w:rPr>
                <w:rFonts w:ascii="宋体" w:hAnsi="宋体"/>
              </w:rPr>
            </w:pPr>
            <w:r>
              <w:rPr>
                <w:rFonts w:hint="eastAsia" w:ascii="宋体" w:hAnsi="宋体"/>
              </w:rPr>
              <w:t>—</w:t>
            </w:r>
          </w:p>
        </w:tc>
        <w:tc>
          <w:tcPr>
            <w:tcW w:w="355" w:type="pct"/>
            <w:vAlign w:val="center"/>
          </w:tcPr>
          <w:p w14:paraId="47885527">
            <w:pPr>
              <w:pStyle w:val="12"/>
              <w:jc w:val="center"/>
              <w:rPr>
                <w:rFonts w:ascii="宋体" w:hAnsi="宋体"/>
              </w:rPr>
            </w:pPr>
            <w:r>
              <w:rPr>
                <w:rFonts w:hint="eastAsia" w:ascii="宋体" w:hAnsi="宋体"/>
              </w:rPr>
              <w:t>69</w:t>
            </w:r>
          </w:p>
        </w:tc>
        <w:tc>
          <w:tcPr>
            <w:tcW w:w="962" w:type="pct"/>
            <w:vAlign w:val="center"/>
          </w:tcPr>
          <w:p w14:paraId="308852C7">
            <w:pPr>
              <w:pStyle w:val="12"/>
              <w:jc w:val="left"/>
              <w:rPr>
                <w:rFonts w:ascii="宋体" w:hAnsi="宋体"/>
              </w:rPr>
            </w:pPr>
            <w:r>
              <w:rPr>
                <w:rFonts w:hint="eastAsia" w:ascii="宋体" w:hAnsi="宋体"/>
              </w:rPr>
              <w:t>1988年6月</w:t>
            </w:r>
          </w:p>
        </w:tc>
      </w:tr>
      <w:tr w14:paraId="2C385E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0" w:type="pct"/>
            <w:vAlign w:val="center"/>
          </w:tcPr>
          <w:p w14:paraId="0ADE9A49">
            <w:pPr>
              <w:pStyle w:val="12"/>
              <w:jc w:val="center"/>
              <w:rPr>
                <w:rFonts w:ascii="宋体" w:hAnsi="宋体"/>
              </w:rPr>
            </w:pPr>
            <w:r>
              <w:rPr>
                <w:rFonts w:hint="eastAsia" w:ascii="宋体" w:hAnsi="宋体"/>
              </w:rPr>
              <w:t>东河线</w:t>
            </w:r>
          </w:p>
        </w:tc>
        <w:tc>
          <w:tcPr>
            <w:tcW w:w="957" w:type="pct"/>
            <w:vAlign w:val="center"/>
          </w:tcPr>
          <w:p w14:paraId="3A7D400C">
            <w:pPr>
              <w:pStyle w:val="12"/>
              <w:jc w:val="center"/>
              <w:rPr>
                <w:rFonts w:ascii="宋体" w:hAnsi="宋体"/>
              </w:rPr>
            </w:pPr>
            <w:r>
              <w:rPr>
                <w:rFonts w:hint="eastAsia" w:ascii="宋体" w:hAnsi="宋体"/>
              </w:rPr>
              <w:t>澜河站—百顺站</w:t>
            </w:r>
          </w:p>
        </w:tc>
        <w:tc>
          <w:tcPr>
            <w:tcW w:w="570" w:type="pct"/>
            <w:vAlign w:val="center"/>
          </w:tcPr>
          <w:p w14:paraId="7E126374">
            <w:pPr>
              <w:pStyle w:val="12"/>
              <w:jc w:val="center"/>
              <w:rPr>
                <w:rFonts w:ascii="宋体" w:hAnsi="宋体"/>
              </w:rPr>
            </w:pPr>
            <w:r>
              <w:rPr>
                <w:rFonts w:hint="eastAsia" w:ascii="宋体" w:hAnsi="宋体"/>
              </w:rPr>
              <w:t>35</w:t>
            </w:r>
          </w:p>
        </w:tc>
        <w:tc>
          <w:tcPr>
            <w:tcW w:w="567" w:type="pct"/>
            <w:vAlign w:val="center"/>
          </w:tcPr>
          <w:p w14:paraId="7A282FDB">
            <w:pPr>
              <w:pStyle w:val="12"/>
              <w:jc w:val="center"/>
              <w:rPr>
                <w:rFonts w:ascii="宋体" w:hAnsi="宋体"/>
              </w:rPr>
            </w:pPr>
            <w:r>
              <w:rPr>
                <w:rFonts w:hint="eastAsia" w:ascii="宋体" w:hAnsi="宋体"/>
              </w:rPr>
              <w:t>16.1</w:t>
            </w:r>
          </w:p>
        </w:tc>
        <w:tc>
          <w:tcPr>
            <w:tcW w:w="570" w:type="pct"/>
            <w:vAlign w:val="center"/>
          </w:tcPr>
          <w:p w14:paraId="070A9E27">
            <w:pPr>
              <w:pStyle w:val="12"/>
              <w:jc w:val="center"/>
              <w:rPr>
                <w:rFonts w:ascii="宋体" w:hAnsi="宋体"/>
              </w:rPr>
            </w:pPr>
            <w:r>
              <w:rPr>
                <w:rFonts w:hint="eastAsia" w:ascii="宋体" w:hAnsi="宋体"/>
              </w:rPr>
              <w:t>50</w:t>
            </w:r>
          </w:p>
        </w:tc>
        <w:tc>
          <w:tcPr>
            <w:tcW w:w="569" w:type="pct"/>
            <w:vAlign w:val="center"/>
          </w:tcPr>
          <w:p w14:paraId="299FF3FF">
            <w:pPr>
              <w:pStyle w:val="12"/>
              <w:jc w:val="center"/>
              <w:rPr>
                <w:rFonts w:ascii="宋体" w:hAnsi="宋体"/>
              </w:rPr>
            </w:pPr>
            <w:r>
              <w:rPr>
                <w:rFonts w:hint="eastAsia" w:ascii="宋体" w:hAnsi="宋体"/>
              </w:rPr>
              <w:t>—</w:t>
            </w:r>
          </w:p>
        </w:tc>
        <w:tc>
          <w:tcPr>
            <w:tcW w:w="355" w:type="pct"/>
            <w:vAlign w:val="center"/>
          </w:tcPr>
          <w:p w14:paraId="18733FB3">
            <w:pPr>
              <w:pStyle w:val="12"/>
              <w:jc w:val="center"/>
              <w:rPr>
                <w:rFonts w:ascii="宋体" w:hAnsi="宋体"/>
              </w:rPr>
            </w:pPr>
            <w:r>
              <w:rPr>
                <w:rFonts w:hint="eastAsia" w:ascii="宋体" w:hAnsi="宋体"/>
              </w:rPr>
              <w:t>112</w:t>
            </w:r>
          </w:p>
        </w:tc>
        <w:tc>
          <w:tcPr>
            <w:tcW w:w="962" w:type="pct"/>
            <w:vAlign w:val="center"/>
          </w:tcPr>
          <w:p w14:paraId="71F49244">
            <w:pPr>
              <w:pStyle w:val="12"/>
              <w:jc w:val="left"/>
              <w:rPr>
                <w:rFonts w:ascii="宋体" w:hAnsi="宋体"/>
              </w:rPr>
            </w:pPr>
            <w:r>
              <w:rPr>
                <w:rFonts w:hint="eastAsia" w:ascii="宋体" w:hAnsi="宋体"/>
              </w:rPr>
              <w:t>1990年</w:t>
            </w:r>
          </w:p>
        </w:tc>
      </w:tr>
      <w:tr w14:paraId="660835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0" w:type="pct"/>
            <w:vAlign w:val="center"/>
          </w:tcPr>
          <w:p w14:paraId="2049C385">
            <w:pPr>
              <w:pStyle w:val="12"/>
              <w:jc w:val="center"/>
              <w:rPr>
                <w:rFonts w:ascii="宋体" w:hAnsi="宋体"/>
              </w:rPr>
            </w:pPr>
            <w:r>
              <w:rPr>
                <w:rFonts w:hint="eastAsia" w:ascii="宋体" w:hAnsi="宋体"/>
              </w:rPr>
              <w:t>林场线</w:t>
            </w:r>
          </w:p>
        </w:tc>
        <w:tc>
          <w:tcPr>
            <w:tcW w:w="957" w:type="pct"/>
            <w:vAlign w:val="center"/>
          </w:tcPr>
          <w:p w14:paraId="1AAD6FE7">
            <w:pPr>
              <w:pStyle w:val="12"/>
              <w:jc w:val="center"/>
              <w:rPr>
                <w:rFonts w:ascii="宋体" w:hAnsi="宋体"/>
              </w:rPr>
            </w:pPr>
            <w:r>
              <w:rPr>
                <w:rFonts w:hint="eastAsia" w:ascii="宋体" w:hAnsi="宋体"/>
              </w:rPr>
              <w:t>澜河站—林场</w:t>
            </w:r>
          </w:p>
        </w:tc>
        <w:tc>
          <w:tcPr>
            <w:tcW w:w="570" w:type="pct"/>
            <w:vAlign w:val="center"/>
          </w:tcPr>
          <w:p w14:paraId="7BAC2C7C">
            <w:pPr>
              <w:pStyle w:val="12"/>
              <w:jc w:val="center"/>
              <w:rPr>
                <w:rFonts w:ascii="宋体" w:hAnsi="宋体"/>
              </w:rPr>
            </w:pPr>
            <w:r>
              <w:rPr>
                <w:rFonts w:hint="eastAsia" w:ascii="宋体" w:hAnsi="宋体"/>
              </w:rPr>
              <w:t>35</w:t>
            </w:r>
          </w:p>
        </w:tc>
        <w:tc>
          <w:tcPr>
            <w:tcW w:w="567" w:type="pct"/>
            <w:vAlign w:val="center"/>
          </w:tcPr>
          <w:p w14:paraId="2619D25C">
            <w:pPr>
              <w:pStyle w:val="12"/>
              <w:jc w:val="center"/>
              <w:rPr>
                <w:rFonts w:ascii="宋体" w:hAnsi="宋体"/>
              </w:rPr>
            </w:pPr>
            <w:r>
              <w:rPr>
                <w:rFonts w:hint="eastAsia" w:ascii="宋体" w:hAnsi="宋体"/>
              </w:rPr>
              <w:t>6.6</w:t>
            </w:r>
          </w:p>
        </w:tc>
        <w:tc>
          <w:tcPr>
            <w:tcW w:w="570" w:type="pct"/>
            <w:vAlign w:val="center"/>
          </w:tcPr>
          <w:p w14:paraId="539590B2">
            <w:pPr>
              <w:pStyle w:val="12"/>
              <w:jc w:val="center"/>
              <w:rPr>
                <w:rFonts w:ascii="宋体" w:hAnsi="宋体"/>
              </w:rPr>
            </w:pPr>
            <w:r>
              <w:rPr>
                <w:rFonts w:hint="eastAsia" w:ascii="宋体" w:hAnsi="宋体"/>
              </w:rPr>
              <w:t>95</w:t>
            </w:r>
          </w:p>
        </w:tc>
        <w:tc>
          <w:tcPr>
            <w:tcW w:w="569" w:type="pct"/>
            <w:vAlign w:val="center"/>
          </w:tcPr>
          <w:p w14:paraId="43C54675">
            <w:pPr>
              <w:pStyle w:val="12"/>
              <w:jc w:val="center"/>
              <w:rPr>
                <w:rFonts w:ascii="宋体" w:hAnsi="宋体"/>
              </w:rPr>
            </w:pPr>
            <w:r>
              <w:rPr>
                <w:rFonts w:hint="eastAsia" w:ascii="宋体" w:hAnsi="宋体"/>
              </w:rPr>
              <w:t>—</w:t>
            </w:r>
          </w:p>
        </w:tc>
        <w:tc>
          <w:tcPr>
            <w:tcW w:w="355" w:type="pct"/>
            <w:vAlign w:val="center"/>
          </w:tcPr>
          <w:p w14:paraId="3E566E5D">
            <w:pPr>
              <w:pStyle w:val="12"/>
              <w:jc w:val="center"/>
              <w:rPr>
                <w:rFonts w:ascii="宋体" w:hAnsi="宋体"/>
              </w:rPr>
            </w:pPr>
            <w:r>
              <w:rPr>
                <w:rFonts w:hint="eastAsia" w:ascii="宋体" w:hAnsi="宋体"/>
              </w:rPr>
              <w:t>59</w:t>
            </w:r>
          </w:p>
        </w:tc>
        <w:tc>
          <w:tcPr>
            <w:tcW w:w="962" w:type="pct"/>
            <w:vAlign w:val="center"/>
          </w:tcPr>
          <w:p w14:paraId="11883B19">
            <w:pPr>
              <w:pStyle w:val="12"/>
              <w:jc w:val="left"/>
              <w:rPr>
                <w:rFonts w:ascii="宋体" w:hAnsi="宋体"/>
              </w:rPr>
            </w:pPr>
            <w:r>
              <w:rPr>
                <w:rFonts w:hint="eastAsia" w:ascii="宋体" w:hAnsi="宋体"/>
              </w:rPr>
              <w:t>1991年1月</w:t>
            </w:r>
          </w:p>
        </w:tc>
      </w:tr>
      <w:tr w14:paraId="0C119D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0" w:type="pct"/>
            <w:vAlign w:val="center"/>
          </w:tcPr>
          <w:p w14:paraId="7FCE05FD">
            <w:pPr>
              <w:pStyle w:val="12"/>
              <w:jc w:val="center"/>
              <w:rPr>
                <w:rFonts w:ascii="宋体" w:hAnsi="宋体"/>
              </w:rPr>
            </w:pPr>
            <w:r>
              <w:rPr>
                <w:rFonts w:hint="eastAsia" w:ascii="宋体" w:hAnsi="宋体"/>
              </w:rPr>
              <w:t>小流坑线</w:t>
            </w:r>
          </w:p>
        </w:tc>
        <w:tc>
          <w:tcPr>
            <w:tcW w:w="957" w:type="pct"/>
            <w:vAlign w:val="center"/>
          </w:tcPr>
          <w:p w14:paraId="120773C8">
            <w:pPr>
              <w:pStyle w:val="12"/>
              <w:jc w:val="center"/>
              <w:rPr>
                <w:rFonts w:ascii="宋体" w:hAnsi="宋体"/>
              </w:rPr>
            </w:pPr>
            <w:r>
              <w:rPr>
                <w:rFonts w:hint="eastAsia" w:ascii="宋体" w:hAnsi="宋体"/>
              </w:rPr>
              <w:t>澜河站—小流坑</w:t>
            </w:r>
          </w:p>
        </w:tc>
        <w:tc>
          <w:tcPr>
            <w:tcW w:w="570" w:type="pct"/>
            <w:vAlign w:val="center"/>
          </w:tcPr>
          <w:p w14:paraId="3A0D9775">
            <w:pPr>
              <w:pStyle w:val="12"/>
              <w:jc w:val="center"/>
              <w:rPr>
                <w:rFonts w:ascii="宋体" w:hAnsi="宋体"/>
              </w:rPr>
            </w:pPr>
            <w:r>
              <w:rPr>
                <w:rFonts w:hint="eastAsia" w:ascii="宋体" w:hAnsi="宋体"/>
              </w:rPr>
              <w:t>35</w:t>
            </w:r>
          </w:p>
        </w:tc>
        <w:tc>
          <w:tcPr>
            <w:tcW w:w="567" w:type="pct"/>
            <w:vAlign w:val="center"/>
          </w:tcPr>
          <w:p w14:paraId="63453094">
            <w:pPr>
              <w:pStyle w:val="12"/>
              <w:jc w:val="center"/>
              <w:rPr>
                <w:rFonts w:ascii="宋体" w:hAnsi="宋体"/>
              </w:rPr>
            </w:pPr>
            <w:r>
              <w:rPr>
                <w:rFonts w:hint="eastAsia" w:ascii="宋体" w:hAnsi="宋体"/>
              </w:rPr>
              <w:t>7.0</w:t>
            </w:r>
          </w:p>
        </w:tc>
        <w:tc>
          <w:tcPr>
            <w:tcW w:w="570" w:type="pct"/>
            <w:vAlign w:val="center"/>
          </w:tcPr>
          <w:p w14:paraId="7FFB6BA3">
            <w:pPr>
              <w:pStyle w:val="12"/>
              <w:jc w:val="center"/>
              <w:rPr>
                <w:rFonts w:ascii="宋体" w:hAnsi="宋体"/>
              </w:rPr>
            </w:pPr>
            <w:r>
              <w:rPr>
                <w:rFonts w:hint="eastAsia" w:ascii="宋体" w:hAnsi="宋体"/>
              </w:rPr>
              <w:t>70</w:t>
            </w:r>
          </w:p>
        </w:tc>
        <w:tc>
          <w:tcPr>
            <w:tcW w:w="569" w:type="pct"/>
            <w:vAlign w:val="center"/>
          </w:tcPr>
          <w:p w14:paraId="044970E2">
            <w:pPr>
              <w:pStyle w:val="12"/>
              <w:jc w:val="center"/>
              <w:rPr>
                <w:rFonts w:ascii="宋体" w:hAnsi="宋体"/>
              </w:rPr>
            </w:pPr>
            <w:r>
              <w:rPr>
                <w:rFonts w:hint="eastAsia" w:ascii="宋体" w:hAnsi="宋体"/>
              </w:rPr>
              <w:t>—</w:t>
            </w:r>
          </w:p>
        </w:tc>
        <w:tc>
          <w:tcPr>
            <w:tcW w:w="355" w:type="pct"/>
            <w:vAlign w:val="center"/>
          </w:tcPr>
          <w:p w14:paraId="424A5D6A">
            <w:pPr>
              <w:pStyle w:val="12"/>
              <w:jc w:val="center"/>
              <w:rPr>
                <w:rFonts w:ascii="宋体" w:hAnsi="宋体"/>
              </w:rPr>
            </w:pPr>
            <w:r>
              <w:rPr>
                <w:rFonts w:hint="eastAsia" w:ascii="宋体" w:hAnsi="宋体"/>
              </w:rPr>
              <w:t>28</w:t>
            </w:r>
          </w:p>
        </w:tc>
        <w:tc>
          <w:tcPr>
            <w:tcW w:w="962" w:type="pct"/>
            <w:vAlign w:val="center"/>
          </w:tcPr>
          <w:p w14:paraId="4F788942">
            <w:pPr>
              <w:pStyle w:val="12"/>
              <w:jc w:val="left"/>
              <w:rPr>
                <w:rFonts w:ascii="宋体" w:hAnsi="宋体"/>
              </w:rPr>
            </w:pPr>
            <w:r>
              <w:rPr>
                <w:rFonts w:hint="eastAsia" w:ascii="宋体" w:hAnsi="宋体"/>
              </w:rPr>
              <w:t>1993年7月</w:t>
            </w:r>
          </w:p>
        </w:tc>
      </w:tr>
      <w:tr w14:paraId="6ACFFB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0" w:type="pct"/>
            <w:vAlign w:val="center"/>
          </w:tcPr>
          <w:p w14:paraId="1D72DBBB">
            <w:pPr>
              <w:pStyle w:val="12"/>
              <w:jc w:val="center"/>
              <w:rPr>
                <w:rFonts w:ascii="宋体" w:hAnsi="宋体"/>
              </w:rPr>
            </w:pPr>
            <w:r>
              <w:rPr>
                <w:rFonts w:hint="eastAsia" w:ascii="宋体" w:hAnsi="宋体"/>
              </w:rPr>
              <w:t>桃树江线</w:t>
            </w:r>
          </w:p>
        </w:tc>
        <w:tc>
          <w:tcPr>
            <w:tcW w:w="957" w:type="pct"/>
            <w:vAlign w:val="center"/>
          </w:tcPr>
          <w:p w14:paraId="64BF4B0C">
            <w:pPr>
              <w:pStyle w:val="12"/>
              <w:jc w:val="center"/>
              <w:rPr>
                <w:rFonts w:ascii="宋体" w:hAnsi="宋体"/>
              </w:rPr>
            </w:pPr>
            <w:r>
              <w:rPr>
                <w:rFonts w:hint="eastAsia" w:ascii="宋体" w:hAnsi="宋体"/>
              </w:rPr>
              <w:t>江头—电站</w:t>
            </w:r>
          </w:p>
        </w:tc>
        <w:tc>
          <w:tcPr>
            <w:tcW w:w="570" w:type="pct"/>
            <w:vAlign w:val="center"/>
          </w:tcPr>
          <w:p w14:paraId="69C885A9">
            <w:pPr>
              <w:pStyle w:val="12"/>
              <w:jc w:val="center"/>
              <w:rPr>
                <w:rFonts w:ascii="宋体" w:hAnsi="宋体"/>
              </w:rPr>
            </w:pPr>
            <w:r>
              <w:rPr>
                <w:rFonts w:hint="eastAsia" w:ascii="宋体" w:hAnsi="宋体"/>
              </w:rPr>
              <w:t>35</w:t>
            </w:r>
          </w:p>
        </w:tc>
        <w:tc>
          <w:tcPr>
            <w:tcW w:w="567" w:type="pct"/>
            <w:vAlign w:val="center"/>
          </w:tcPr>
          <w:p w14:paraId="03748ECD">
            <w:pPr>
              <w:pStyle w:val="12"/>
              <w:jc w:val="center"/>
              <w:rPr>
                <w:rFonts w:ascii="宋体" w:hAnsi="宋体"/>
              </w:rPr>
            </w:pPr>
            <w:r>
              <w:rPr>
                <w:rFonts w:hint="eastAsia" w:ascii="宋体" w:hAnsi="宋体"/>
              </w:rPr>
              <w:t>7.7</w:t>
            </w:r>
          </w:p>
        </w:tc>
        <w:tc>
          <w:tcPr>
            <w:tcW w:w="570" w:type="pct"/>
            <w:vAlign w:val="center"/>
          </w:tcPr>
          <w:p w14:paraId="6C1ADDAB">
            <w:pPr>
              <w:pStyle w:val="12"/>
              <w:jc w:val="center"/>
              <w:rPr>
                <w:rFonts w:ascii="宋体" w:hAnsi="宋体"/>
              </w:rPr>
            </w:pPr>
            <w:r>
              <w:rPr>
                <w:rFonts w:hint="eastAsia" w:ascii="宋体" w:hAnsi="宋体"/>
              </w:rPr>
              <w:t>70</w:t>
            </w:r>
          </w:p>
        </w:tc>
        <w:tc>
          <w:tcPr>
            <w:tcW w:w="569" w:type="pct"/>
            <w:vAlign w:val="center"/>
          </w:tcPr>
          <w:p w14:paraId="6AB03C71">
            <w:pPr>
              <w:pStyle w:val="12"/>
              <w:jc w:val="center"/>
              <w:rPr>
                <w:rFonts w:ascii="宋体" w:hAnsi="宋体"/>
              </w:rPr>
            </w:pPr>
            <w:r>
              <w:rPr>
                <w:rFonts w:hint="eastAsia" w:ascii="宋体" w:hAnsi="宋体"/>
              </w:rPr>
              <w:t>—</w:t>
            </w:r>
          </w:p>
        </w:tc>
        <w:tc>
          <w:tcPr>
            <w:tcW w:w="355" w:type="pct"/>
            <w:vAlign w:val="center"/>
          </w:tcPr>
          <w:p w14:paraId="3D6B1D2A">
            <w:pPr>
              <w:pStyle w:val="12"/>
              <w:jc w:val="center"/>
              <w:rPr>
                <w:rFonts w:ascii="宋体" w:hAnsi="宋体"/>
              </w:rPr>
            </w:pPr>
            <w:r>
              <w:rPr>
                <w:rFonts w:hint="eastAsia" w:ascii="宋体" w:hAnsi="宋体"/>
              </w:rPr>
              <w:t>33</w:t>
            </w:r>
          </w:p>
        </w:tc>
        <w:tc>
          <w:tcPr>
            <w:tcW w:w="962" w:type="pct"/>
            <w:vAlign w:val="center"/>
          </w:tcPr>
          <w:p w14:paraId="1CC3C611">
            <w:pPr>
              <w:pStyle w:val="12"/>
              <w:jc w:val="left"/>
              <w:rPr>
                <w:rFonts w:ascii="宋体" w:hAnsi="宋体"/>
              </w:rPr>
            </w:pPr>
            <w:r>
              <w:rPr>
                <w:rFonts w:hint="eastAsia" w:ascii="宋体" w:hAnsi="宋体"/>
              </w:rPr>
              <w:t>1993年8月</w:t>
            </w:r>
          </w:p>
        </w:tc>
      </w:tr>
      <w:tr w14:paraId="20DFA9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0" w:type="pct"/>
            <w:vAlign w:val="center"/>
          </w:tcPr>
          <w:p w14:paraId="654388F6">
            <w:pPr>
              <w:pStyle w:val="12"/>
              <w:jc w:val="center"/>
              <w:rPr>
                <w:rFonts w:ascii="宋体" w:hAnsi="宋体"/>
              </w:rPr>
            </w:pPr>
            <w:r>
              <w:rPr>
                <w:rFonts w:hint="eastAsia" w:ascii="宋体" w:hAnsi="宋体"/>
              </w:rPr>
              <w:t>联合电站</w:t>
            </w:r>
          </w:p>
        </w:tc>
        <w:tc>
          <w:tcPr>
            <w:tcW w:w="957" w:type="pct"/>
            <w:vAlign w:val="center"/>
          </w:tcPr>
          <w:p w14:paraId="25E0440B">
            <w:pPr>
              <w:pStyle w:val="12"/>
              <w:jc w:val="center"/>
              <w:rPr>
                <w:rFonts w:ascii="宋体" w:hAnsi="宋体"/>
              </w:rPr>
            </w:pPr>
            <w:r>
              <w:rPr>
                <w:rFonts w:hint="eastAsia" w:ascii="宋体" w:hAnsi="宋体"/>
              </w:rPr>
              <w:t>澜河站—电站</w:t>
            </w:r>
          </w:p>
        </w:tc>
        <w:tc>
          <w:tcPr>
            <w:tcW w:w="570" w:type="pct"/>
            <w:vAlign w:val="center"/>
          </w:tcPr>
          <w:p w14:paraId="16EA1FAD">
            <w:pPr>
              <w:pStyle w:val="12"/>
              <w:jc w:val="center"/>
              <w:rPr>
                <w:rFonts w:ascii="宋体" w:hAnsi="宋体"/>
              </w:rPr>
            </w:pPr>
            <w:r>
              <w:rPr>
                <w:rFonts w:hint="eastAsia" w:ascii="宋体" w:hAnsi="宋体"/>
              </w:rPr>
              <w:t>35</w:t>
            </w:r>
          </w:p>
        </w:tc>
        <w:tc>
          <w:tcPr>
            <w:tcW w:w="567" w:type="pct"/>
            <w:vAlign w:val="center"/>
          </w:tcPr>
          <w:p w14:paraId="061BE6DE">
            <w:pPr>
              <w:pStyle w:val="12"/>
              <w:jc w:val="center"/>
              <w:rPr>
                <w:rFonts w:ascii="宋体" w:hAnsi="宋体"/>
              </w:rPr>
            </w:pPr>
            <w:r>
              <w:rPr>
                <w:rFonts w:hint="eastAsia" w:ascii="宋体" w:hAnsi="宋体"/>
              </w:rPr>
              <w:t>6.0</w:t>
            </w:r>
          </w:p>
        </w:tc>
        <w:tc>
          <w:tcPr>
            <w:tcW w:w="570" w:type="pct"/>
            <w:vAlign w:val="center"/>
          </w:tcPr>
          <w:p w14:paraId="1CA2B761">
            <w:pPr>
              <w:pStyle w:val="12"/>
              <w:jc w:val="center"/>
              <w:rPr>
                <w:rFonts w:ascii="宋体" w:hAnsi="宋体"/>
              </w:rPr>
            </w:pPr>
            <w:r>
              <w:rPr>
                <w:rFonts w:hint="eastAsia" w:ascii="宋体" w:hAnsi="宋体"/>
              </w:rPr>
              <w:t>70</w:t>
            </w:r>
          </w:p>
        </w:tc>
        <w:tc>
          <w:tcPr>
            <w:tcW w:w="569" w:type="pct"/>
            <w:vAlign w:val="center"/>
          </w:tcPr>
          <w:p w14:paraId="6033607D">
            <w:pPr>
              <w:pStyle w:val="12"/>
              <w:jc w:val="center"/>
              <w:rPr>
                <w:rFonts w:ascii="宋体" w:hAnsi="宋体"/>
              </w:rPr>
            </w:pPr>
            <w:r>
              <w:rPr>
                <w:rFonts w:hint="eastAsia" w:ascii="宋体" w:hAnsi="宋体"/>
              </w:rPr>
              <w:t>—</w:t>
            </w:r>
          </w:p>
        </w:tc>
        <w:tc>
          <w:tcPr>
            <w:tcW w:w="355" w:type="pct"/>
            <w:vAlign w:val="center"/>
          </w:tcPr>
          <w:p w14:paraId="638B1D45">
            <w:pPr>
              <w:pStyle w:val="12"/>
              <w:jc w:val="center"/>
              <w:rPr>
                <w:rFonts w:ascii="宋体" w:hAnsi="宋体"/>
              </w:rPr>
            </w:pPr>
            <w:r>
              <w:rPr>
                <w:rFonts w:hint="eastAsia" w:ascii="宋体" w:hAnsi="宋体"/>
              </w:rPr>
              <w:t>24</w:t>
            </w:r>
          </w:p>
        </w:tc>
        <w:tc>
          <w:tcPr>
            <w:tcW w:w="962" w:type="pct"/>
            <w:vAlign w:val="center"/>
          </w:tcPr>
          <w:p w14:paraId="69F672BD">
            <w:pPr>
              <w:pStyle w:val="12"/>
              <w:jc w:val="left"/>
              <w:rPr>
                <w:rFonts w:ascii="宋体" w:hAnsi="宋体"/>
              </w:rPr>
            </w:pPr>
            <w:r>
              <w:rPr>
                <w:rFonts w:hint="eastAsia" w:ascii="宋体" w:hAnsi="宋体"/>
              </w:rPr>
              <w:t>1994年</w:t>
            </w:r>
          </w:p>
        </w:tc>
      </w:tr>
      <w:tr w14:paraId="4E5BBA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0" w:type="pct"/>
            <w:vAlign w:val="center"/>
          </w:tcPr>
          <w:p w14:paraId="5756ECF0">
            <w:pPr>
              <w:pStyle w:val="12"/>
              <w:jc w:val="center"/>
              <w:rPr>
                <w:rFonts w:ascii="宋体" w:hAnsi="宋体"/>
              </w:rPr>
            </w:pPr>
            <w:r>
              <w:rPr>
                <w:rFonts w:hint="eastAsia" w:ascii="宋体" w:hAnsi="宋体"/>
              </w:rPr>
              <w:t>黄乌线</w:t>
            </w:r>
          </w:p>
        </w:tc>
        <w:tc>
          <w:tcPr>
            <w:tcW w:w="957" w:type="pct"/>
            <w:vAlign w:val="center"/>
          </w:tcPr>
          <w:p w14:paraId="060BEA4F">
            <w:pPr>
              <w:pStyle w:val="12"/>
              <w:jc w:val="center"/>
              <w:rPr>
                <w:rFonts w:ascii="宋体" w:hAnsi="宋体"/>
              </w:rPr>
            </w:pPr>
            <w:r>
              <w:rPr>
                <w:rFonts w:hint="eastAsia" w:ascii="宋体" w:hAnsi="宋体"/>
              </w:rPr>
              <w:t>黄坑线—乌迳站</w:t>
            </w:r>
          </w:p>
        </w:tc>
        <w:tc>
          <w:tcPr>
            <w:tcW w:w="570" w:type="pct"/>
            <w:vAlign w:val="center"/>
          </w:tcPr>
          <w:p w14:paraId="073C0709">
            <w:pPr>
              <w:pStyle w:val="12"/>
              <w:jc w:val="center"/>
              <w:rPr>
                <w:rFonts w:ascii="宋体" w:hAnsi="宋体"/>
              </w:rPr>
            </w:pPr>
            <w:r>
              <w:rPr>
                <w:rFonts w:hint="eastAsia" w:ascii="宋体" w:hAnsi="宋体"/>
              </w:rPr>
              <w:t>35</w:t>
            </w:r>
          </w:p>
        </w:tc>
        <w:tc>
          <w:tcPr>
            <w:tcW w:w="567" w:type="pct"/>
            <w:vAlign w:val="center"/>
          </w:tcPr>
          <w:p w14:paraId="1D69CE5F">
            <w:pPr>
              <w:pStyle w:val="12"/>
              <w:jc w:val="center"/>
              <w:rPr>
                <w:rFonts w:ascii="宋体" w:hAnsi="宋体"/>
              </w:rPr>
            </w:pPr>
            <w:r>
              <w:rPr>
                <w:rFonts w:hint="eastAsia" w:ascii="宋体" w:hAnsi="宋体"/>
              </w:rPr>
              <w:t>15.3</w:t>
            </w:r>
          </w:p>
        </w:tc>
        <w:tc>
          <w:tcPr>
            <w:tcW w:w="570" w:type="pct"/>
            <w:vAlign w:val="center"/>
          </w:tcPr>
          <w:p w14:paraId="4FF610FD">
            <w:pPr>
              <w:pStyle w:val="12"/>
              <w:jc w:val="center"/>
              <w:rPr>
                <w:rFonts w:ascii="宋体" w:hAnsi="宋体"/>
              </w:rPr>
            </w:pPr>
            <w:r>
              <w:rPr>
                <w:rFonts w:hint="eastAsia" w:ascii="宋体" w:hAnsi="宋体"/>
              </w:rPr>
              <w:t>150</w:t>
            </w:r>
          </w:p>
        </w:tc>
        <w:tc>
          <w:tcPr>
            <w:tcW w:w="569" w:type="pct"/>
            <w:vAlign w:val="center"/>
          </w:tcPr>
          <w:p w14:paraId="22A52559">
            <w:pPr>
              <w:pStyle w:val="12"/>
              <w:jc w:val="center"/>
              <w:rPr>
                <w:rFonts w:ascii="宋体" w:hAnsi="宋体"/>
              </w:rPr>
            </w:pPr>
            <w:r>
              <w:rPr>
                <w:rFonts w:hint="eastAsia" w:ascii="宋体" w:hAnsi="宋体"/>
              </w:rPr>
              <w:t>—</w:t>
            </w:r>
          </w:p>
        </w:tc>
        <w:tc>
          <w:tcPr>
            <w:tcW w:w="355" w:type="pct"/>
            <w:vAlign w:val="center"/>
          </w:tcPr>
          <w:p w14:paraId="71A282AE">
            <w:pPr>
              <w:pStyle w:val="12"/>
              <w:jc w:val="center"/>
              <w:rPr>
                <w:rFonts w:ascii="宋体" w:hAnsi="宋体"/>
              </w:rPr>
            </w:pPr>
            <w:r>
              <w:rPr>
                <w:rFonts w:hint="eastAsia" w:ascii="宋体" w:hAnsi="宋体"/>
              </w:rPr>
              <w:t>53</w:t>
            </w:r>
          </w:p>
        </w:tc>
        <w:tc>
          <w:tcPr>
            <w:tcW w:w="962" w:type="pct"/>
            <w:vAlign w:val="center"/>
          </w:tcPr>
          <w:p w14:paraId="2B70F07B">
            <w:pPr>
              <w:pStyle w:val="12"/>
              <w:jc w:val="left"/>
              <w:rPr>
                <w:rFonts w:ascii="宋体" w:hAnsi="宋体"/>
              </w:rPr>
            </w:pPr>
            <w:r>
              <w:rPr>
                <w:rFonts w:hint="eastAsia" w:ascii="宋体" w:hAnsi="宋体"/>
              </w:rPr>
              <w:t>2005年12月</w:t>
            </w:r>
          </w:p>
        </w:tc>
      </w:tr>
    </w:tbl>
    <w:p w14:paraId="1644CFC7">
      <w:pPr>
        <w:pStyle w:val="5"/>
        <w:rPr>
          <w:rFonts w:ascii="宋体" w:hAnsi="宋体"/>
        </w:rPr>
      </w:pPr>
      <w:r>
        <w:rPr>
          <w:rFonts w:hint="eastAsia" w:ascii="宋体" w:hAnsi="宋体"/>
        </w:rPr>
        <w:t>三、农网改造</w:t>
      </w:r>
    </w:p>
    <w:p w14:paraId="4EF8D460">
      <w:pPr>
        <w:ind w:firstLine="420"/>
        <w:rPr>
          <w:rFonts w:ascii="宋体" w:hAnsi="宋体"/>
          <w:szCs w:val="21"/>
        </w:rPr>
      </w:pPr>
      <w:r>
        <w:rPr>
          <w:rFonts w:ascii="宋体" w:hAnsi="宋体"/>
          <w:szCs w:val="21"/>
        </w:rPr>
        <w:t>2000年上半年，投资353万元，对雄州、江头、梅岭等镇的农网进行了改造。</w:t>
      </w:r>
    </w:p>
    <w:p w14:paraId="12D6F1C7">
      <w:pPr>
        <w:ind w:firstLine="420"/>
        <w:rPr>
          <w:rFonts w:ascii="宋体" w:hAnsi="宋体"/>
          <w:szCs w:val="21"/>
        </w:rPr>
      </w:pPr>
      <w:r>
        <w:rPr>
          <w:rFonts w:ascii="宋体" w:hAnsi="宋体"/>
          <w:szCs w:val="21"/>
        </w:rPr>
        <w:t>2000年10月起，市电力局实施“两改一同价”工程。当月完成了农电体制改</w:t>
      </w:r>
      <w:r>
        <w:rPr>
          <w:rFonts w:hint="eastAsia" w:ascii="宋体" w:hAnsi="宋体"/>
          <w:szCs w:val="21"/>
        </w:rPr>
        <w:t>革，取缔了</w:t>
      </w:r>
      <w:r>
        <w:rPr>
          <w:rFonts w:ascii="宋体" w:hAnsi="宋体"/>
          <w:szCs w:val="21"/>
        </w:rPr>
        <w:t>134台向农民转供电的私人产权变压器，实现了由电力局直接抄表、服务</w:t>
      </w:r>
      <w:r>
        <w:rPr>
          <w:rFonts w:hint="eastAsia" w:ascii="宋体" w:hAnsi="宋体"/>
          <w:szCs w:val="21"/>
        </w:rPr>
        <w:t>到户的一级管理体制。随即开展农村电网建设与改造工程。</w:t>
      </w:r>
    </w:p>
    <w:p w14:paraId="57D47DEF">
      <w:pPr>
        <w:ind w:firstLine="420"/>
        <w:rPr>
          <w:rFonts w:ascii="宋体" w:hAnsi="宋体"/>
          <w:szCs w:val="21"/>
        </w:rPr>
      </w:pPr>
      <w:r>
        <w:rPr>
          <w:rFonts w:ascii="宋体" w:hAnsi="宋体"/>
          <w:szCs w:val="21"/>
        </w:rPr>
        <w:t>2001年6月完成了第一期18个镇的部分农网改造工作，投资4850万元，51000</w:t>
      </w:r>
      <w:r>
        <w:rPr>
          <w:rFonts w:hint="eastAsia" w:ascii="宋体" w:hAnsi="宋体"/>
          <w:szCs w:val="21"/>
        </w:rPr>
        <w:t>户农户完成一户一表。</w:t>
      </w:r>
      <w:r>
        <w:rPr>
          <w:rFonts w:ascii="宋体" w:hAnsi="宋体"/>
          <w:szCs w:val="21"/>
        </w:rPr>
        <w:t>2001年7月1日统一把农村住宅到户电价降至每千瓦时0.79</w:t>
      </w:r>
      <w:r>
        <w:rPr>
          <w:rFonts w:hint="eastAsia" w:ascii="宋体" w:hAnsi="宋体"/>
          <w:szCs w:val="21"/>
        </w:rPr>
        <w:t>元，比省提出的要求时间提早一年。</w:t>
      </w:r>
    </w:p>
    <w:p w14:paraId="038C5F67">
      <w:pPr>
        <w:ind w:firstLine="420"/>
        <w:rPr>
          <w:rFonts w:ascii="宋体" w:hAnsi="宋体"/>
          <w:szCs w:val="21"/>
        </w:rPr>
      </w:pPr>
      <w:r>
        <w:rPr>
          <w:rFonts w:ascii="宋体" w:hAnsi="宋体"/>
          <w:szCs w:val="21"/>
        </w:rPr>
        <w:t>200</w:t>
      </w:r>
      <w:r>
        <w:rPr>
          <w:rFonts w:hint="eastAsia" w:ascii="宋体" w:hAnsi="宋体"/>
          <w:szCs w:val="21"/>
        </w:rPr>
        <w:t>2</w:t>
      </w:r>
      <w:r>
        <w:rPr>
          <w:rFonts w:ascii="宋体" w:hAnsi="宋体"/>
          <w:szCs w:val="21"/>
        </w:rPr>
        <w:t>年10月至2004年2月，进行了第二期农网建设与改造工程，投资5403.29</w:t>
      </w:r>
      <w:r>
        <w:rPr>
          <w:rFonts w:hint="eastAsia" w:ascii="宋体" w:hAnsi="宋体"/>
          <w:szCs w:val="21"/>
        </w:rPr>
        <w:t>万元，完成农网改造户数</w:t>
      </w:r>
      <w:r>
        <w:rPr>
          <w:rFonts w:ascii="宋体" w:hAnsi="宋体"/>
          <w:szCs w:val="21"/>
        </w:rPr>
        <w:t>25262户，范围涉及古市、珠玑、湖口、梅岭、邓坊、黄坑</w:t>
      </w:r>
      <w:r>
        <w:rPr>
          <w:rFonts w:hint="eastAsia" w:ascii="宋体" w:hAnsi="宋体"/>
          <w:szCs w:val="21"/>
        </w:rPr>
        <w:t>等</w:t>
      </w:r>
      <w:r>
        <w:rPr>
          <w:rFonts w:ascii="宋体" w:hAnsi="宋体"/>
          <w:szCs w:val="21"/>
        </w:rPr>
        <w:t>13个镇。改造后供电合格率达到95.5%，可靠率达到94%。</w:t>
      </w:r>
    </w:p>
    <w:p w14:paraId="0F1AD48D">
      <w:pPr>
        <w:ind w:firstLine="420"/>
        <w:rPr>
          <w:rFonts w:ascii="宋体" w:hAnsi="宋体"/>
          <w:szCs w:val="21"/>
        </w:rPr>
      </w:pPr>
      <w:r>
        <w:rPr>
          <w:rFonts w:ascii="宋体" w:hAnsi="宋体"/>
          <w:szCs w:val="21"/>
        </w:rPr>
        <w:t>2004年的农村电网建设与改造工程，从8月开始至12月，完成投资1181.91万</w:t>
      </w:r>
      <w:r>
        <w:rPr>
          <w:rFonts w:hint="eastAsia" w:ascii="宋体" w:hAnsi="宋体"/>
          <w:szCs w:val="21"/>
        </w:rPr>
        <w:t>元。完善了南雄市区由全安、南雄两个变电站双电源供电的格局。</w:t>
      </w:r>
    </w:p>
    <w:p w14:paraId="65EA9C5E">
      <w:pPr>
        <w:ind w:firstLine="0" w:firstLineChars="0"/>
        <w:jc w:val="center"/>
        <w:rPr>
          <w:rFonts w:ascii="宋体" w:hAnsi="宋体"/>
          <w:b/>
          <w:szCs w:val="21"/>
        </w:rPr>
      </w:pPr>
      <w:r>
        <w:rPr>
          <w:rFonts w:hint="eastAsia" w:ascii="宋体" w:hAnsi="宋体"/>
          <w:b/>
          <w:szCs w:val="21"/>
        </w:rPr>
        <w:t>南雄市</w:t>
      </w:r>
      <w:r>
        <w:rPr>
          <w:rFonts w:ascii="宋体" w:hAnsi="宋体"/>
          <w:b/>
          <w:szCs w:val="21"/>
        </w:rPr>
        <w:t>2000年至2005年农网改造项目</w:t>
      </w:r>
    </w:p>
    <w:p w14:paraId="125FB6EB">
      <w:pPr>
        <w:ind w:firstLine="0" w:firstLineChars="0"/>
        <w:rPr>
          <w:rFonts w:ascii="宋体" w:hAnsi="宋体"/>
          <w:b/>
          <w:szCs w:val="21"/>
        </w:rPr>
      </w:pPr>
      <w:r>
        <w:rPr>
          <w:rFonts w:hint="eastAsia" w:ascii="宋体" w:hAnsi="宋体"/>
          <w:b/>
          <w:szCs w:val="21"/>
        </w:rPr>
        <w:t>表</w:t>
      </w:r>
      <w:r>
        <w:rPr>
          <w:rFonts w:ascii="宋体" w:hAnsi="宋体"/>
          <w:b/>
          <w:szCs w:val="21"/>
        </w:rPr>
        <w:t>2-40</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10"/>
        <w:gridCol w:w="951"/>
        <w:gridCol w:w="895"/>
        <w:gridCol w:w="958"/>
        <w:gridCol w:w="1162"/>
        <w:gridCol w:w="896"/>
        <w:gridCol w:w="896"/>
        <w:gridCol w:w="896"/>
        <w:gridCol w:w="1498"/>
      </w:tblGrid>
      <w:tr w14:paraId="562AAE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930" w:type="pct"/>
            <w:vMerge w:val="restart"/>
            <w:vAlign w:val="center"/>
          </w:tcPr>
          <w:p w14:paraId="28E3EFB4">
            <w:pPr>
              <w:pStyle w:val="12"/>
              <w:jc w:val="center"/>
              <w:rPr>
                <w:rFonts w:ascii="宋体" w:hAnsi="宋体"/>
                <w:b/>
              </w:rPr>
            </w:pPr>
            <w:r>
              <w:rPr>
                <w:rFonts w:hint="eastAsia" w:ascii="宋体" w:hAnsi="宋体"/>
                <w:b/>
              </w:rPr>
              <w:t>项目名称</w:t>
            </w:r>
          </w:p>
        </w:tc>
        <w:tc>
          <w:tcPr>
            <w:tcW w:w="471" w:type="pct"/>
            <w:vMerge w:val="restart"/>
            <w:vAlign w:val="center"/>
          </w:tcPr>
          <w:p w14:paraId="509E00E2">
            <w:pPr>
              <w:pStyle w:val="12"/>
              <w:jc w:val="center"/>
              <w:rPr>
                <w:rFonts w:ascii="宋体" w:hAnsi="宋体"/>
                <w:b/>
              </w:rPr>
            </w:pPr>
            <w:r>
              <w:rPr>
                <w:rFonts w:hint="eastAsia" w:ascii="宋体" w:hAnsi="宋体"/>
                <w:b/>
              </w:rPr>
              <w:t>投入资金（万元）</w:t>
            </w:r>
          </w:p>
        </w:tc>
        <w:tc>
          <w:tcPr>
            <w:tcW w:w="941" w:type="pct"/>
            <w:gridSpan w:val="2"/>
            <w:vAlign w:val="center"/>
          </w:tcPr>
          <w:p w14:paraId="342F5F42">
            <w:pPr>
              <w:pStyle w:val="12"/>
              <w:jc w:val="center"/>
              <w:rPr>
                <w:rFonts w:ascii="宋体" w:hAnsi="宋体"/>
                <w:b/>
              </w:rPr>
            </w:pPr>
            <w:r>
              <w:rPr>
                <w:rFonts w:hint="eastAsia" w:ascii="宋体" w:hAnsi="宋体"/>
                <w:b/>
              </w:rPr>
              <w:t>新建线路（千米）</w:t>
            </w:r>
          </w:p>
        </w:tc>
        <w:tc>
          <w:tcPr>
            <w:tcW w:w="471" w:type="pct"/>
            <w:vMerge w:val="restart"/>
            <w:vAlign w:val="center"/>
          </w:tcPr>
          <w:p w14:paraId="65D471C6">
            <w:pPr>
              <w:pStyle w:val="12"/>
              <w:jc w:val="center"/>
              <w:rPr>
                <w:rFonts w:ascii="宋体" w:hAnsi="宋体"/>
                <w:b/>
              </w:rPr>
            </w:pPr>
            <w:r>
              <w:rPr>
                <w:rFonts w:hint="eastAsia" w:ascii="宋体" w:hAnsi="宋体"/>
                <w:b/>
              </w:rPr>
              <w:t>新装、更换配电变压器（台/千伏安）</w:t>
            </w:r>
          </w:p>
        </w:tc>
        <w:tc>
          <w:tcPr>
            <w:tcW w:w="471" w:type="pct"/>
            <w:vMerge w:val="restart"/>
            <w:vAlign w:val="center"/>
          </w:tcPr>
          <w:p w14:paraId="6B591CDE">
            <w:pPr>
              <w:pStyle w:val="12"/>
              <w:jc w:val="center"/>
              <w:rPr>
                <w:rFonts w:ascii="宋体" w:hAnsi="宋体"/>
                <w:b/>
              </w:rPr>
            </w:pPr>
            <w:r>
              <w:rPr>
                <w:rFonts w:hint="eastAsia" w:ascii="宋体" w:hAnsi="宋体"/>
                <w:b/>
              </w:rPr>
              <w:t>改造台区（个）</w:t>
            </w:r>
          </w:p>
        </w:tc>
        <w:tc>
          <w:tcPr>
            <w:tcW w:w="471" w:type="pct"/>
            <w:vMerge w:val="restart"/>
            <w:vAlign w:val="center"/>
          </w:tcPr>
          <w:p w14:paraId="4B7F7297">
            <w:pPr>
              <w:pStyle w:val="12"/>
              <w:jc w:val="center"/>
              <w:rPr>
                <w:rFonts w:ascii="宋体" w:hAnsi="宋体"/>
                <w:b/>
              </w:rPr>
            </w:pPr>
            <w:r>
              <w:rPr>
                <w:rFonts w:hint="eastAsia" w:ascii="宋体" w:hAnsi="宋体"/>
                <w:b/>
              </w:rPr>
              <w:t>完成一表一户（户）</w:t>
            </w:r>
          </w:p>
        </w:tc>
        <w:tc>
          <w:tcPr>
            <w:tcW w:w="471" w:type="pct"/>
            <w:vMerge w:val="restart"/>
            <w:vAlign w:val="center"/>
          </w:tcPr>
          <w:p w14:paraId="59DFD92D">
            <w:pPr>
              <w:pStyle w:val="12"/>
              <w:jc w:val="center"/>
              <w:rPr>
                <w:rFonts w:ascii="宋体" w:hAnsi="宋体"/>
                <w:b/>
              </w:rPr>
            </w:pPr>
            <w:r>
              <w:rPr>
                <w:rFonts w:hint="eastAsia" w:ascii="宋体" w:hAnsi="宋体"/>
                <w:b/>
              </w:rPr>
              <w:t>现线</w:t>
            </w:r>
          </w:p>
          <w:p w14:paraId="0F28CE17">
            <w:pPr>
              <w:pStyle w:val="12"/>
              <w:jc w:val="center"/>
              <w:rPr>
                <w:rFonts w:ascii="宋体" w:hAnsi="宋体"/>
                <w:b/>
              </w:rPr>
            </w:pPr>
            <w:r>
              <w:rPr>
                <w:rFonts w:hint="eastAsia" w:ascii="宋体" w:hAnsi="宋体"/>
                <w:b/>
              </w:rPr>
              <w:t>损率（%）</w:t>
            </w:r>
          </w:p>
        </w:tc>
        <w:tc>
          <w:tcPr>
            <w:tcW w:w="774" w:type="pct"/>
            <w:vMerge w:val="restart"/>
            <w:vAlign w:val="center"/>
          </w:tcPr>
          <w:p w14:paraId="4E14CDCC">
            <w:pPr>
              <w:pStyle w:val="12"/>
              <w:jc w:val="center"/>
              <w:rPr>
                <w:rFonts w:ascii="宋体" w:hAnsi="宋体"/>
                <w:b/>
              </w:rPr>
            </w:pPr>
            <w:r>
              <w:rPr>
                <w:rFonts w:hint="eastAsia" w:ascii="宋体" w:hAnsi="宋体"/>
                <w:b/>
              </w:rPr>
              <w:t>完成时间</w:t>
            </w:r>
          </w:p>
        </w:tc>
      </w:tr>
      <w:tr w14:paraId="319A79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5" w:hRule="atLeast"/>
        </w:trPr>
        <w:tc>
          <w:tcPr>
            <w:tcW w:w="930" w:type="pct"/>
            <w:vMerge w:val="continue"/>
            <w:vAlign w:val="center"/>
          </w:tcPr>
          <w:p w14:paraId="0A195D26">
            <w:pPr>
              <w:pStyle w:val="12"/>
              <w:jc w:val="center"/>
              <w:rPr>
                <w:rFonts w:ascii="宋体" w:hAnsi="宋体"/>
              </w:rPr>
            </w:pPr>
          </w:p>
        </w:tc>
        <w:tc>
          <w:tcPr>
            <w:tcW w:w="471" w:type="pct"/>
            <w:vMerge w:val="continue"/>
            <w:vAlign w:val="center"/>
          </w:tcPr>
          <w:p w14:paraId="14E7ADAB">
            <w:pPr>
              <w:pStyle w:val="12"/>
              <w:jc w:val="center"/>
              <w:rPr>
                <w:rFonts w:ascii="宋体" w:hAnsi="宋体"/>
              </w:rPr>
            </w:pPr>
          </w:p>
        </w:tc>
        <w:tc>
          <w:tcPr>
            <w:tcW w:w="471" w:type="pct"/>
            <w:vAlign w:val="center"/>
          </w:tcPr>
          <w:p w14:paraId="7BFED1FE">
            <w:pPr>
              <w:pStyle w:val="12"/>
              <w:jc w:val="center"/>
              <w:rPr>
                <w:rFonts w:ascii="宋体" w:hAnsi="宋体"/>
                <w:b/>
              </w:rPr>
            </w:pPr>
            <w:r>
              <w:rPr>
                <w:rFonts w:hint="eastAsia" w:ascii="宋体" w:hAnsi="宋体"/>
                <w:b/>
              </w:rPr>
              <w:t>10千伏</w:t>
            </w:r>
          </w:p>
        </w:tc>
        <w:tc>
          <w:tcPr>
            <w:tcW w:w="471" w:type="pct"/>
            <w:vAlign w:val="center"/>
          </w:tcPr>
          <w:p w14:paraId="247411C4">
            <w:pPr>
              <w:pStyle w:val="12"/>
              <w:jc w:val="center"/>
              <w:rPr>
                <w:rFonts w:ascii="宋体" w:hAnsi="宋体"/>
                <w:b/>
              </w:rPr>
            </w:pPr>
            <w:r>
              <w:rPr>
                <w:rFonts w:hint="eastAsia" w:ascii="宋体" w:hAnsi="宋体"/>
                <w:b/>
              </w:rPr>
              <w:t>220/380伏</w:t>
            </w:r>
          </w:p>
        </w:tc>
        <w:tc>
          <w:tcPr>
            <w:tcW w:w="471" w:type="pct"/>
            <w:vMerge w:val="continue"/>
            <w:vAlign w:val="center"/>
          </w:tcPr>
          <w:p w14:paraId="4D082B12">
            <w:pPr>
              <w:pStyle w:val="12"/>
              <w:jc w:val="center"/>
              <w:rPr>
                <w:rFonts w:ascii="宋体" w:hAnsi="宋体"/>
              </w:rPr>
            </w:pPr>
          </w:p>
        </w:tc>
        <w:tc>
          <w:tcPr>
            <w:tcW w:w="471" w:type="pct"/>
            <w:vMerge w:val="continue"/>
            <w:vAlign w:val="center"/>
          </w:tcPr>
          <w:p w14:paraId="7A6ABEDB">
            <w:pPr>
              <w:pStyle w:val="12"/>
              <w:jc w:val="center"/>
              <w:rPr>
                <w:rFonts w:ascii="宋体" w:hAnsi="宋体"/>
              </w:rPr>
            </w:pPr>
          </w:p>
        </w:tc>
        <w:tc>
          <w:tcPr>
            <w:tcW w:w="471" w:type="pct"/>
            <w:vMerge w:val="continue"/>
            <w:vAlign w:val="center"/>
          </w:tcPr>
          <w:p w14:paraId="26FCA1ED">
            <w:pPr>
              <w:pStyle w:val="12"/>
              <w:jc w:val="center"/>
              <w:rPr>
                <w:rFonts w:ascii="宋体" w:hAnsi="宋体"/>
              </w:rPr>
            </w:pPr>
          </w:p>
        </w:tc>
        <w:tc>
          <w:tcPr>
            <w:tcW w:w="471" w:type="pct"/>
            <w:vMerge w:val="continue"/>
            <w:vAlign w:val="center"/>
          </w:tcPr>
          <w:p w14:paraId="5A052CCA">
            <w:pPr>
              <w:pStyle w:val="12"/>
              <w:jc w:val="center"/>
              <w:rPr>
                <w:rFonts w:ascii="宋体" w:hAnsi="宋体"/>
              </w:rPr>
            </w:pPr>
          </w:p>
        </w:tc>
        <w:tc>
          <w:tcPr>
            <w:tcW w:w="774" w:type="pct"/>
            <w:vMerge w:val="continue"/>
            <w:vAlign w:val="center"/>
          </w:tcPr>
          <w:p w14:paraId="1E5B7172">
            <w:pPr>
              <w:pStyle w:val="12"/>
              <w:jc w:val="center"/>
              <w:rPr>
                <w:rFonts w:ascii="宋体" w:hAnsi="宋体"/>
              </w:rPr>
            </w:pPr>
          </w:p>
        </w:tc>
      </w:tr>
      <w:tr w14:paraId="1E8B24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0" w:type="pct"/>
            <w:vAlign w:val="center"/>
          </w:tcPr>
          <w:p w14:paraId="04F7F04D">
            <w:pPr>
              <w:pStyle w:val="12"/>
              <w:jc w:val="center"/>
              <w:rPr>
                <w:rFonts w:ascii="宋体" w:hAnsi="宋体"/>
              </w:rPr>
            </w:pPr>
            <w:r>
              <w:rPr>
                <w:rFonts w:hint="eastAsia" w:ascii="宋体" w:hAnsi="宋体"/>
              </w:rPr>
              <w:t>2000年改造工程</w:t>
            </w:r>
          </w:p>
        </w:tc>
        <w:tc>
          <w:tcPr>
            <w:tcW w:w="471" w:type="pct"/>
            <w:vAlign w:val="center"/>
          </w:tcPr>
          <w:p w14:paraId="5937506D">
            <w:pPr>
              <w:pStyle w:val="12"/>
              <w:jc w:val="center"/>
              <w:rPr>
                <w:rFonts w:ascii="宋体" w:hAnsi="宋体"/>
              </w:rPr>
            </w:pPr>
            <w:r>
              <w:rPr>
                <w:rFonts w:hint="eastAsia" w:ascii="宋体" w:hAnsi="宋体"/>
              </w:rPr>
              <w:t>353.9</w:t>
            </w:r>
          </w:p>
        </w:tc>
        <w:tc>
          <w:tcPr>
            <w:tcW w:w="471" w:type="pct"/>
            <w:vAlign w:val="center"/>
          </w:tcPr>
          <w:p w14:paraId="58EDEC94">
            <w:pPr>
              <w:pStyle w:val="12"/>
              <w:jc w:val="center"/>
              <w:rPr>
                <w:rFonts w:ascii="宋体" w:hAnsi="宋体"/>
              </w:rPr>
            </w:pPr>
            <w:r>
              <w:rPr>
                <w:rFonts w:hint="eastAsia" w:ascii="宋体" w:hAnsi="宋体"/>
              </w:rPr>
              <w:t>9</w:t>
            </w:r>
          </w:p>
        </w:tc>
        <w:tc>
          <w:tcPr>
            <w:tcW w:w="471" w:type="pct"/>
            <w:vAlign w:val="center"/>
          </w:tcPr>
          <w:p w14:paraId="2ED01E4C">
            <w:pPr>
              <w:pStyle w:val="12"/>
              <w:jc w:val="center"/>
              <w:rPr>
                <w:rFonts w:ascii="宋体" w:hAnsi="宋体"/>
              </w:rPr>
            </w:pPr>
            <w:r>
              <w:rPr>
                <w:rFonts w:hint="eastAsia" w:ascii="宋体" w:hAnsi="宋体"/>
              </w:rPr>
              <w:t>49.3</w:t>
            </w:r>
          </w:p>
        </w:tc>
        <w:tc>
          <w:tcPr>
            <w:tcW w:w="471" w:type="pct"/>
            <w:vAlign w:val="center"/>
          </w:tcPr>
          <w:p w14:paraId="5FEBBDF9">
            <w:pPr>
              <w:pStyle w:val="12"/>
              <w:jc w:val="center"/>
              <w:rPr>
                <w:rFonts w:ascii="宋体" w:hAnsi="宋体"/>
              </w:rPr>
            </w:pPr>
            <w:r>
              <w:rPr>
                <w:rFonts w:hint="eastAsia" w:ascii="宋体" w:hAnsi="宋体"/>
              </w:rPr>
              <w:t>14/1620</w:t>
            </w:r>
          </w:p>
        </w:tc>
        <w:tc>
          <w:tcPr>
            <w:tcW w:w="471" w:type="pct"/>
            <w:vAlign w:val="center"/>
          </w:tcPr>
          <w:p w14:paraId="0D490975">
            <w:pPr>
              <w:pStyle w:val="12"/>
              <w:jc w:val="center"/>
              <w:rPr>
                <w:rFonts w:ascii="宋体" w:hAnsi="宋体"/>
              </w:rPr>
            </w:pPr>
            <w:r>
              <w:rPr>
                <w:rFonts w:hint="eastAsia" w:ascii="宋体" w:hAnsi="宋体"/>
              </w:rPr>
              <w:t>14</w:t>
            </w:r>
          </w:p>
        </w:tc>
        <w:tc>
          <w:tcPr>
            <w:tcW w:w="471" w:type="pct"/>
            <w:vAlign w:val="center"/>
          </w:tcPr>
          <w:p w14:paraId="2ABEAD7C">
            <w:pPr>
              <w:pStyle w:val="12"/>
              <w:jc w:val="center"/>
              <w:rPr>
                <w:rFonts w:ascii="宋体" w:hAnsi="宋体"/>
              </w:rPr>
            </w:pPr>
            <w:r>
              <w:rPr>
                <w:rFonts w:hint="eastAsia" w:ascii="宋体" w:hAnsi="宋体"/>
              </w:rPr>
              <w:t>5000</w:t>
            </w:r>
          </w:p>
        </w:tc>
        <w:tc>
          <w:tcPr>
            <w:tcW w:w="471" w:type="pct"/>
            <w:vAlign w:val="center"/>
          </w:tcPr>
          <w:p w14:paraId="10DE0265">
            <w:pPr>
              <w:pStyle w:val="12"/>
              <w:jc w:val="center"/>
              <w:rPr>
                <w:rFonts w:ascii="宋体" w:hAnsi="宋体"/>
              </w:rPr>
            </w:pPr>
            <w:r>
              <w:rPr>
                <w:rFonts w:hint="eastAsia" w:ascii="宋体" w:hAnsi="宋体"/>
              </w:rPr>
              <w:t>9-12</w:t>
            </w:r>
          </w:p>
        </w:tc>
        <w:tc>
          <w:tcPr>
            <w:tcW w:w="774" w:type="pct"/>
            <w:vAlign w:val="center"/>
          </w:tcPr>
          <w:p w14:paraId="22349624">
            <w:pPr>
              <w:pStyle w:val="12"/>
              <w:jc w:val="center"/>
              <w:rPr>
                <w:rFonts w:ascii="宋体" w:hAnsi="宋体"/>
              </w:rPr>
            </w:pPr>
            <w:r>
              <w:rPr>
                <w:rFonts w:hint="eastAsia" w:ascii="宋体" w:hAnsi="宋体"/>
              </w:rPr>
              <w:t>2000年6月</w:t>
            </w:r>
          </w:p>
        </w:tc>
      </w:tr>
      <w:tr w14:paraId="372079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0" w:type="pct"/>
            <w:vAlign w:val="center"/>
          </w:tcPr>
          <w:p w14:paraId="311C5646">
            <w:pPr>
              <w:pStyle w:val="12"/>
              <w:jc w:val="center"/>
              <w:rPr>
                <w:rFonts w:ascii="宋体" w:hAnsi="宋体"/>
              </w:rPr>
            </w:pPr>
            <w:r>
              <w:rPr>
                <w:rFonts w:hint="eastAsia" w:ascii="宋体" w:hAnsi="宋体"/>
              </w:rPr>
              <w:t>第一期改造工程</w:t>
            </w:r>
          </w:p>
        </w:tc>
        <w:tc>
          <w:tcPr>
            <w:tcW w:w="471" w:type="pct"/>
            <w:vAlign w:val="center"/>
          </w:tcPr>
          <w:p w14:paraId="025DA86E">
            <w:pPr>
              <w:pStyle w:val="12"/>
              <w:jc w:val="center"/>
              <w:rPr>
                <w:rFonts w:ascii="宋体" w:hAnsi="宋体"/>
              </w:rPr>
            </w:pPr>
            <w:r>
              <w:rPr>
                <w:rFonts w:hint="eastAsia" w:ascii="宋体" w:hAnsi="宋体"/>
              </w:rPr>
              <w:t>4850</w:t>
            </w:r>
          </w:p>
        </w:tc>
        <w:tc>
          <w:tcPr>
            <w:tcW w:w="471" w:type="pct"/>
            <w:vAlign w:val="center"/>
          </w:tcPr>
          <w:p w14:paraId="13EE36FA">
            <w:pPr>
              <w:pStyle w:val="12"/>
              <w:jc w:val="center"/>
              <w:rPr>
                <w:rFonts w:ascii="宋体" w:hAnsi="宋体"/>
              </w:rPr>
            </w:pPr>
            <w:r>
              <w:rPr>
                <w:rFonts w:hint="eastAsia" w:ascii="宋体" w:hAnsi="宋体"/>
              </w:rPr>
              <w:t>60.64</w:t>
            </w:r>
          </w:p>
        </w:tc>
        <w:tc>
          <w:tcPr>
            <w:tcW w:w="471" w:type="pct"/>
            <w:vAlign w:val="center"/>
          </w:tcPr>
          <w:p w14:paraId="67188D84">
            <w:pPr>
              <w:pStyle w:val="12"/>
              <w:jc w:val="center"/>
              <w:rPr>
                <w:rFonts w:ascii="宋体" w:hAnsi="宋体"/>
              </w:rPr>
            </w:pPr>
            <w:r>
              <w:rPr>
                <w:rFonts w:hint="eastAsia" w:ascii="宋体" w:hAnsi="宋体"/>
              </w:rPr>
              <w:t>2125.48</w:t>
            </w:r>
          </w:p>
        </w:tc>
        <w:tc>
          <w:tcPr>
            <w:tcW w:w="471" w:type="pct"/>
            <w:vAlign w:val="center"/>
          </w:tcPr>
          <w:p w14:paraId="6D086FD0">
            <w:pPr>
              <w:pStyle w:val="12"/>
              <w:jc w:val="center"/>
              <w:rPr>
                <w:rFonts w:ascii="宋体" w:hAnsi="宋体"/>
              </w:rPr>
            </w:pPr>
            <w:r>
              <w:rPr>
                <w:rFonts w:hint="eastAsia" w:ascii="宋体" w:hAnsi="宋体"/>
              </w:rPr>
              <w:t>—</w:t>
            </w:r>
          </w:p>
        </w:tc>
        <w:tc>
          <w:tcPr>
            <w:tcW w:w="471" w:type="pct"/>
            <w:vAlign w:val="center"/>
          </w:tcPr>
          <w:p w14:paraId="2DD1A856">
            <w:pPr>
              <w:pStyle w:val="12"/>
              <w:jc w:val="center"/>
              <w:rPr>
                <w:rFonts w:ascii="宋体" w:hAnsi="宋体"/>
              </w:rPr>
            </w:pPr>
            <w:r>
              <w:rPr>
                <w:rFonts w:hint="eastAsia" w:ascii="宋体" w:hAnsi="宋体"/>
              </w:rPr>
              <w:t>346</w:t>
            </w:r>
          </w:p>
        </w:tc>
        <w:tc>
          <w:tcPr>
            <w:tcW w:w="471" w:type="pct"/>
            <w:vAlign w:val="center"/>
          </w:tcPr>
          <w:p w14:paraId="1FF4B616">
            <w:pPr>
              <w:pStyle w:val="12"/>
              <w:jc w:val="center"/>
              <w:rPr>
                <w:rFonts w:ascii="宋体" w:hAnsi="宋体"/>
              </w:rPr>
            </w:pPr>
            <w:r>
              <w:rPr>
                <w:rFonts w:hint="eastAsia" w:ascii="宋体" w:hAnsi="宋体"/>
              </w:rPr>
              <w:t>51000</w:t>
            </w:r>
          </w:p>
        </w:tc>
        <w:tc>
          <w:tcPr>
            <w:tcW w:w="471" w:type="pct"/>
            <w:vAlign w:val="center"/>
          </w:tcPr>
          <w:p w14:paraId="38614BA4">
            <w:pPr>
              <w:pStyle w:val="12"/>
              <w:jc w:val="center"/>
              <w:rPr>
                <w:rFonts w:ascii="宋体" w:hAnsi="宋体"/>
              </w:rPr>
            </w:pPr>
            <w:r>
              <w:rPr>
                <w:rFonts w:hint="eastAsia" w:ascii="宋体" w:hAnsi="宋体"/>
              </w:rPr>
              <w:t>12</w:t>
            </w:r>
          </w:p>
        </w:tc>
        <w:tc>
          <w:tcPr>
            <w:tcW w:w="774" w:type="pct"/>
            <w:vAlign w:val="center"/>
          </w:tcPr>
          <w:p w14:paraId="3C2CEF5E">
            <w:pPr>
              <w:pStyle w:val="12"/>
              <w:jc w:val="center"/>
              <w:rPr>
                <w:rFonts w:ascii="宋体" w:hAnsi="宋体"/>
              </w:rPr>
            </w:pPr>
            <w:r>
              <w:rPr>
                <w:rFonts w:hint="eastAsia" w:ascii="宋体" w:hAnsi="宋体"/>
              </w:rPr>
              <w:t>2001年6月</w:t>
            </w:r>
          </w:p>
        </w:tc>
      </w:tr>
      <w:tr w14:paraId="31F46C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0" w:type="pct"/>
            <w:vAlign w:val="center"/>
          </w:tcPr>
          <w:p w14:paraId="0608705D">
            <w:pPr>
              <w:pStyle w:val="12"/>
              <w:jc w:val="center"/>
              <w:rPr>
                <w:rFonts w:ascii="宋体" w:hAnsi="宋体"/>
              </w:rPr>
            </w:pPr>
            <w:r>
              <w:rPr>
                <w:rFonts w:hint="eastAsia" w:ascii="宋体" w:hAnsi="宋体"/>
              </w:rPr>
              <w:t>第二期改造工程</w:t>
            </w:r>
          </w:p>
        </w:tc>
        <w:tc>
          <w:tcPr>
            <w:tcW w:w="471" w:type="pct"/>
            <w:vAlign w:val="center"/>
          </w:tcPr>
          <w:p w14:paraId="1D81BE60">
            <w:pPr>
              <w:pStyle w:val="12"/>
              <w:jc w:val="center"/>
              <w:rPr>
                <w:rFonts w:ascii="宋体" w:hAnsi="宋体"/>
              </w:rPr>
            </w:pPr>
            <w:r>
              <w:rPr>
                <w:rFonts w:hint="eastAsia" w:ascii="宋体" w:hAnsi="宋体"/>
              </w:rPr>
              <w:t>5403.29</w:t>
            </w:r>
          </w:p>
        </w:tc>
        <w:tc>
          <w:tcPr>
            <w:tcW w:w="471" w:type="pct"/>
            <w:vAlign w:val="center"/>
          </w:tcPr>
          <w:p w14:paraId="6B7C454F">
            <w:pPr>
              <w:pStyle w:val="12"/>
              <w:jc w:val="center"/>
              <w:rPr>
                <w:rFonts w:ascii="宋体" w:hAnsi="宋体"/>
              </w:rPr>
            </w:pPr>
            <w:r>
              <w:rPr>
                <w:rFonts w:hint="eastAsia" w:ascii="宋体" w:hAnsi="宋体"/>
              </w:rPr>
              <w:t>515.32</w:t>
            </w:r>
          </w:p>
        </w:tc>
        <w:tc>
          <w:tcPr>
            <w:tcW w:w="471" w:type="pct"/>
            <w:vAlign w:val="center"/>
          </w:tcPr>
          <w:p w14:paraId="5CF31390">
            <w:pPr>
              <w:pStyle w:val="12"/>
              <w:jc w:val="center"/>
              <w:rPr>
                <w:rFonts w:ascii="宋体" w:hAnsi="宋体"/>
              </w:rPr>
            </w:pPr>
            <w:r>
              <w:rPr>
                <w:rFonts w:hint="eastAsia" w:ascii="宋体" w:hAnsi="宋体"/>
              </w:rPr>
              <w:t>461.14</w:t>
            </w:r>
          </w:p>
        </w:tc>
        <w:tc>
          <w:tcPr>
            <w:tcW w:w="471" w:type="pct"/>
            <w:vAlign w:val="center"/>
          </w:tcPr>
          <w:p w14:paraId="112149BB">
            <w:pPr>
              <w:pStyle w:val="12"/>
              <w:jc w:val="center"/>
              <w:rPr>
                <w:rFonts w:ascii="宋体" w:hAnsi="宋体"/>
              </w:rPr>
            </w:pPr>
            <w:r>
              <w:rPr>
                <w:rFonts w:hint="eastAsia" w:ascii="宋体" w:hAnsi="宋体"/>
              </w:rPr>
              <w:t>141/14003</w:t>
            </w:r>
          </w:p>
        </w:tc>
        <w:tc>
          <w:tcPr>
            <w:tcW w:w="471" w:type="pct"/>
            <w:vAlign w:val="center"/>
          </w:tcPr>
          <w:p w14:paraId="5F8E53A7">
            <w:pPr>
              <w:pStyle w:val="12"/>
              <w:jc w:val="center"/>
              <w:rPr>
                <w:rFonts w:ascii="宋体" w:hAnsi="宋体"/>
              </w:rPr>
            </w:pPr>
            <w:r>
              <w:rPr>
                <w:rFonts w:hint="eastAsia" w:ascii="宋体" w:hAnsi="宋体"/>
              </w:rPr>
              <w:t>161</w:t>
            </w:r>
          </w:p>
        </w:tc>
        <w:tc>
          <w:tcPr>
            <w:tcW w:w="471" w:type="pct"/>
            <w:vAlign w:val="center"/>
          </w:tcPr>
          <w:p w14:paraId="5A4B25BB">
            <w:pPr>
              <w:pStyle w:val="12"/>
              <w:jc w:val="center"/>
              <w:rPr>
                <w:rFonts w:ascii="宋体" w:hAnsi="宋体"/>
              </w:rPr>
            </w:pPr>
            <w:r>
              <w:rPr>
                <w:rFonts w:hint="eastAsia" w:ascii="宋体" w:hAnsi="宋体"/>
              </w:rPr>
              <w:t>14365</w:t>
            </w:r>
          </w:p>
        </w:tc>
        <w:tc>
          <w:tcPr>
            <w:tcW w:w="471" w:type="pct"/>
            <w:vAlign w:val="center"/>
          </w:tcPr>
          <w:p w14:paraId="18B16C65">
            <w:pPr>
              <w:pStyle w:val="12"/>
              <w:jc w:val="center"/>
              <w:rPr>
                <w:rFonts w:ascii="宋体" w:hAnsi="宋体"/>
              </w:rPr>
            </w:pPr>
            <w:r>
              <w:rPr>
                <w:rFonts w:hint="eastAsia" w:ascii="宋体" w:hAnsi="宋体"/>
              </w:rPr>
              <w:t>12</w:t>
            </w:r>
          </w:p>
        </w:tc>
        <w:tc>
          <w:tcPr>
            <w:tcW w:w="774" w:type="pct"/>
            <w:vAlign w:val="center"/>
          </w:tcPr>
          <w:p w14:paraId="3548BEB1">
            <w:pPr>
              <w:pStyle w:val="12"/>
              <w:jc w:val="center"/>
              <w:rPr>
                <w:rFonts w:ascii="宋体" w:hAnsi="宋体"/>
              </w:rPr>
            </w:pPr>
            <w:r>
              <w:rPr>
                <w:rFonts w:hint="eastAsia" w:ascii="宋体" w:hAnsi="宋体"/>
              </w:rPr>
              <w:t>2004年2月</w:t>
            </w:r>
          </w:p>
        </w:tc>
      </w:tr>
      <w:tr w14:paraId="64F1B1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0" w:type="pct"/>
            <w:vAlign w:val="center"/>
          </w:tcPr>
          <w:p w14:paraId="122B45FA">
            <w:pPr>
              <w:pStyle w:val="12"/>
              <w:jc w:val="center"/>
              <w:rPr>
                <w:rFonts w:ascii="宋体" w:hAnsi="宋体"/>
              </w:rPr>
            </w:pPr>
            <w:r>
              <w:rPr>
                <w:rFonts w:hint="eastAsia" w:ascii="宋体" w:hAnsi="宋体"/>
              </w:rPr>
              <w:t>2004年民心工程</w:t>
            </w:r>
          </w:p>
        </w:tc>
        <w:tc>
          <w:tcPr>
            <w:tcW w:w="471" w:type="pct"/>
            <w:vAlign w:val="center"/>
          </w:tcPr>
          <w:p w14:paraId="32E068EF">
            <w:pPr>
              <w:pStyle w:val="12"/>
              <w:jc w:val="center"/>
              <w:rPr>
                <w:rFonts w:ascii="宋体" w:hAnsi="宋体"/>
              </w:rPr>
            </w:pPr>
            <w:r>
              <w:rPr>
                <w:rFonts w:hint="eastAsia" w:ascii="宋体" w:hAnsi="宋体"/>
              </w:rPr>
              <w:t>1181.91</w:t>
            </w:r>
          </w:p>
        </w:tc>
        <w:tc>
          <w:tcPr>
            <w:tcW w:w="471" w:type="pct"/>
            <w:vAlign w:val="center"/>
          </w:tcPr>
          <w:p w14:paraId="520391A6">
            <w:pPr>
              <w:pStyle w:val="12"/>
              <w:jc w:val="center"/>
              <w:rPr>
                <w:rFonts w:ascii="宋体" w:hAnsi="宋体"/>
              </w:rPr>
            </w:pPr>
            <w:r>
              <w:rPr>
                <w:rFonts w:hint="eastAsia" w:ascii="宋体" w:hAnsi="宋体"/>
              </w:rPr>
              <w:t>50.288</w:t>
            </w:r>
          </w:p>
        </w:tc>
        <w:tc>
          <w:tcPr>
            <w:tcW w:w="471" w:type="pct"/>
            <w:vAlign w:val="center"/>
          </w:tcPr>
          <w:p w14:paraId="4762B8A7">
            <w:pPr>
              <w:pStyle w:val="12"/>
              <w:jc w:val="center"/>
              <w:rPr>
                <w:rFonts w:ascii="宋体" w:hAnsi="宋体"/>
              </w:rPr>
            </w:pPr>
            <w:r>
              <w:rPr>
                <w:rFonts w:hint="eastAsia" w:ascii="宋体" w:hAnsi="宋体"/>
              </w:rPr>
              <w:t>92.76</w:t>
            </w:r>
          </w:p>
        </w:tc>
        <w:tc>
          <w:tcPr>
            <w:tcW w:w="471" w:type="pct"/>
            <w:vAlign w:val="center"/>
          </w:tcPr>
          <w:p w14:paraId="485ABFA3">
            <w:pPr>
              <w:pStyle w:val="12"/>
              <w:jc w:val="center"/>
              <w:rPr>
                <w:rFonts w:ascii="宋体" w:hAnsi="宋体"/>
              </w:rPr>
            </w:pPr>
            <w:r>
              <w:rPr>
                <w:rFonts w:hint="eastAsia" w:ascii="宋体" w:hAnsi="宋体"/>
              </w:rPr>
              <w:t>21/1845</w:t>
            </w:r>
          </w:p>
        </w:tc>
        <w:tc>
          <w:tcPr>
            <w:tcW w:w="471" w:type="pct"/>
            <w:vAlign w:val="center"/>
          </w:tcPr>
          <w:p w14:paraId="3CFBAD14">
            <w:pPr>
              <w:pStyle w:val="12"/>
              <w:jc w:val="center"/>
              <w:rPr>
                <w:rFonts w:ascii="宋体" w:hAnsi="宋体"/>
              </w:rPr>
            </w:pPr>
            <w:r>
              <w:rPr>
                <w:rFonts w:hint="eastAsia" w:ascii="宋体" w:hAnsi="宋体"/>
              </w:rPr>
              <w:t>24</w:t>
            </w:r>
          </w:p>
        </w:tc>
        <w:tc>
          <w:tcPr>
            <w:tcW w:w="471" w:type="pct"/>
            <w:vAlign w:val="center"/>
          </w:tcPr>
          <w:p w14:paraId="537FDC05">
            <w:pPr>
              <w:pStyle w:val="12"/>
              <w:jc w:val="center"/>
              <w:rPr>
                <w:rFonts w:ascii="宋体" w:hAnsi="宋体"/>
              </w:rPr>
            </w:pPr>
            <w:r>
              <w:rPr>
                <w:rFonts w:hint="eastAsia" w:ascii="宋体" w:hAnsi="宋体"/>
              </w:rPr>
              <w:t>3351</w:t>
            </w:r>
          </w:p>
        </w:tc>
        <w:tc>
          <w:tcPr>
            <w:tcW w:w="471" w:type="pct"/>
            <w:vAlign w:val="center"/>
          </w:tcPr>
          <w:p w14:paraId="4F2783D0">
            <w:pPr>
              <w:pStyle w:val="12"/>
              <w:jc w:val="center"/>
              <w:rPr>
                <w:rFonts w:ascii="宋体" w:hAnsi="宋体"/>
              </w:rPr>
            </w:pPr>
            <w:r>
              <w:rPr>
                <w:rFonts w:hint="eastAsia" w:ascii="宋体" w:hAnsi="宋体"/>
              </w:rPr>
              <w:t>12</w:t>
            </w:r>
          </w:p>
        </w:tc>
        <w:tc>
          <w:tcPr>
            <w:tcW w:w="774" w:type="pct"/>
            <w:vAlign w:val="center"/>
          </w:tcPr>
          <w:p w14:paraId="45C2F176">
            <w:pPr>
              <w:pStyle w:val="12"/>
              <w:jc w:val="center"/>
              <w:rPr>
                <w:rFonts w:ascii="宋体" w:hAnsi="宋体"/>
              </w:rPr>
            </w:pPr>
            <w:r>
              <w:rPr>
                <w:rFonts w:hint="eastAsia" w:ascii="宋体" w:hAnsi="宋体"/>
              </w:rPr>
              <w:t>2004年12月</w:t>
            </w:r>
          </w:p>
        </w:tc>
      </w:tr>
      <w:tr w14:paraId="4ECA5E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0" w:type="pct"/>
            <w:vAlign w:val="center"/>
          </w:tcPr>
          <w:p w14:paraId="2C2F9B9B">
            <w:pPr>
              <w:pStyle w:val="12"/>
              <w:jc w:val="center"/>
              <w:rPr>
                <w:rFonts w:ascii="宋体" w:hAnsi="宋体"/>
              </w:rPr>
            </w:pPr>
            <w:r>
              <w:rPr>
                <w:rFonts w:hint="eastAsia" w:ascii="宋体" w:hAnsi="宋体"/>
              </w:rPr>
              <w:t>2005年改造工程</w:t>
            </w:r>
          </w:p>
        </w:tc>
        <w:tc>
          <w:tcPr>
            <w:tcW w:w="471" w:type="pct"/>
            <w:vAlign w:val="center"/>
          </w:tcPr>
          <w:p w14:paraId="5115CE9D">
            <w:pPr>
              <w:pStyle w:val="12"/>
              <w:jc w:val="center"/>
              <w:rPr>
                <w:rFonts w:ascii="宋体" w:hAnsi="宋体"/>
              </w:rPr>
            </w:pPr>
            <w:r>
              <w:rPr>
                <w:rFonts w:hint="eastAsia" w:ascii="宋体" w:hAnsi="宋体"/>
              </w:rPr>
              <w:t>3200</w:t>
            </w:r>
          </w:p>
        </w:tc>
        <w:tc>
          <w:tcPr>
            <w:tcW w:w="471" w:type="pct"/>
            <w:vAlign w:val="center"/>
          </w:tcPr>
          <w:p w14:paraId="0BC447A5">
            <w:pPr>
              <w:pStyle w:val="12"/>
              <w:jc w:val="center"/>
              <w:rPr>
                <w:rFonts w:ascii="宋体" w:hAnsi="宋体"/>
              </w:rPr>
            </w:pPr>
            <w:r>
              <w:rPr>
                <w:rFonts w:hint="eastAsia" w:ascii="宋体" w:hAnsi="宋体"/>
              </w:rPr>
              <w:t>74.84</w:t>
            </w:r>
          </w:p>
        </w:tc>
        <w:tc>
          <w:tcPr>
            <w:tcW w:w="471" w:type="pct"/>
            <w:vAlign w:val="center"/>
          </w:tcPr>
          <w:p w14:paraId="587991A7">
            <w:pPr>
              <w:pStyle w:val="12"/>
              <w:jc w:val="center"/>
              <w:rPr>
                <w:rFonts w:ascii="宋体" w:hAnsi="宋体"/>
              </w:rPr>
            </w:pPr>
            <w:r>
              <w:rPr>
                <w:rFonts w:hint="eastAsia" w:ascii="宋体" w:hAnsi="宋体"/>
              </w:rPr>
              <w:t>126.11</w:t>
            </w:r>
          </w:p>
        </w:tc>
        <w:tc>
          <w:tcPr>
            <w:tcW w:w="471" w:type="pct"/>
            <w:vAlign w:val="center"/>
          </w:tcPr>
          <w:p w14:paraId="11635481">
            <w:pPr>
              <w:pStyle w:val="12"/>
              <w:jc w:val="center"/>
              <w:rPr>
                <w:rFonts w:ascii="宋体" w:hAnsi="宋体"/>
              </w:rPr>
            </w:pPr>
            <w:r>
              <w:rPr>
                <w:rFonts w:hint="eastAsia" w:ascii="宋体" w:hAnsi="宋体"/>
              </w:rPr>
              <w:t>54/14085</w:t>
            </w:r>
          </w:p>
        </w:tc>
        <w:tc>
          <w:tcPr>
            <w:tcW w:w="471" w:type="pct"/>
            <w:vAlign w:val="center"/>
          </w:tcPr>
          <w:p w14:paraId="74768E7D">
            <w:pPr>
              <w:pStyle w:val="12"/>
              <w:jc w:val="center"/>
              <w:rPr>
                <w:rFonts w:ascii="宋体" w:hAnsi="宋体"/>
              </w:rPr>
            </w:pPr>
            <w:r>
              <w:rPr>
                <w:rFonts w:hint="eastAsia" w:ascii="宋体" w:hAnsi="宋体"/>
              </w:rPr>
              <w:t>59</w:t>
            </w:r>
          </w:p>
        </w:tc>
        <w:tc>
          <w:tcPr>
            <w:tcW w:w="471" w:type="pct"/>
            <w:vAlign w:val="center"/>
          </w:tcPr>
          <w:p w14:paraId="37A5D0BE">
            <w:pPr>
              <w:pStyle w:val="12"/>
              <w:jc w:val="center"/>
              <w:rPr>
                <w:rFonts w:ascii="宋体" w:hAnsi="宋体"/>
              </w:rPr>
            </w:pPr>
            <w:r>
              <w:rPr>
                <w:rFonts w:hint="eastAsia" w:ascii="宋体" w:hAnsi="宋体"/>
              </w:rPr>
              <w:t>—</w:t>
            </w:r>
          </w:p>
        </w:tc>
        <w:tc>
          <w:tcPr>
            <w:tcW w:w="471" w:type="pct"/>
            <w:vAlign w:val="center"/>
          </w:tcPr>
          <w:p w14:paraId="7D755840">
            <w:pPr>
              <w:pStyle w:val="12"/>
              <w:jc w:val="center"/>
              <w:rPr>
                <w:rFonts w:ascii="宋体" w:hAnsi="宋体"/>
              </w:rPr>
            </w:pPr>
            <w:r>
              <w:rPr>
                <w:rFonts w:hint="eastAsia" w:ascii="宋体" w:hAnsi="宋体"/>
              </w:rPr>
              <w:t>—</w:t>
            </w:r>
          </w:p>
        </w:tc>
        <w:tc>
          <w:tcPr>
            <w:tcW w:w="774" w:type="pct"/>
            <w:vAlign w:val="center"/>
          </w:tcPr>
          <w:p w14:paraId="0D3DAF11">
            <w:pPr>
              <w:pStyle w:val="12"/>
              <w:jc w:val="center"/>
              <w:rPr>
                <w:rFonts w:ascii="宋体" w:hAnsi="宋体"/>
              </w:rPr>
            </w:pPr>
            <w:r>
              <w:rPr>
                <w:rFonts w:hint="eastAsia" w:ascii="宋体" w:hAnsi="宋体"/>
              </w:rPr>
              <w:t>2005年12月</w:t>
            </w:r>
          </w:p>
        </w:tc>
      </w:tr>
    </w:tbl>
    <w:p w14:paraId="2B8D2361">
      <w:pPr>
        <w:pStyle w:val="5"/>
        <w:rPr>
          <w:rFonts w:ascii="宋体" w:hAnsi="宋体"/>
        </w:rPr>
      </w:pPr>
      <w:r>
        <w:rPr>
          <w:rFonts w:hint="eastAsia" w:ascii="宋体" w:hAnsi="宋体"/>
        </w:rPr>
        <w:t>四、发、供、用电</w:t>
      </w:r>
    </w:p>
    <w:p w14:paraId="33DA16C3">
      <w:pPr>
        <w:ind w:firstLine="420"/>
        <w:rPr>
          <w:rFonts w:ascii="宋体" w:hAnsi="宋体"/>
          <w:szCs w:val="21"/>
        </w:rPr>
      </w:pPr>
      <w:r>
        <w:rPr>
          <w:rFonts w:ascii="宋体" w:hAnsi="宋体"/>
          <w:szCs w:val="21"/>
        </w:rPr>
        <w:t>1987年全县发电9685千瓦时，实际用电6364万千瓦时。1988年江西赣南电网</w:t>
      </w:r>
      <w:r>
        <w:rPr>
          <w:rFonts w:hint="eastAsia" w:ascii="宋体" w:hAnsi="宋体"/>
          <w:szCs w:val="21"/>
        </w:rPr>
        <w:t>与广东省电网解列，南雄农村电网正式纳入省网供电。</w:t>
      </w:r>
      <w:r>
        <w:rPr>
          <w:rFonts w:ascii="宋体" w:hAnsi="宋体"/>
          <w:szCs w:val="21"/>
        </w:rPr>
        <w:t>1995年村落通电率达100%</w:t>
      </w:r>
      <w:r>
        <w:rPr>
          <w:rFonts w:hint="eastAsia" w:ascii="宋体" w:hAnsi="宋体"/>
          <w:szCs w:val="21"/>
        </w:rPr>
        <w:t>。</w:t>
      </w:r>
      <w:r>
        <w:rPr>
          <w:rFonts w:ascii="宋体" w:hAnsi="宋体"/>
          <w:szCs w:val="21"/>
        </w:rPr>
        <w:t>2005年，户通电率达99.51%。是年全市发电19562.9万千瓦时，供电22603.4万千</w:t>
      </w:r>
      <w:r>
        <w:rPr>
          <w:rFonts w:hint="eastAsia" w:ascii="宋体" w:hAnsi="宋体"/>
          <w:szCs w:val="21"/>
        </w:rPr>
        <w:t>瓦时，用电</w:t>
      </w:r>
      <w:r>
        <w:rPr>
          <w:rFonts w:ascii="宋体" w:hAnsi="宋体"/>
          <w:szCs w:val="21"/>
        </w:rPr>
        <w:t>13740.93万千瓦时，其中大宗工业用电5665.5万千瓦时，占41.23%；</w:t>
      </w:r>
      <w:r>
        <w:rPr>
          <w:rFonts w:hint="eastAsia" w:ascii="宋体" w:hAnsi="宋体"/>
          <w:szCs w:val="21"/>
        </w:rPr>
        <w:t>普通工业用电</w:t>
      </w:r>
      <w:r>
        <w:rPr>
          <w:rFonts w:ascii="宋体" w:hAnsi="宋体"/>
          <w:szCs w:val="21"/>
        </w:rPr>
        <w:t>476.85万千瓦时，占3.47%；农村加工用电1133.92万千瓦时，占8.25%；农村排灌用电54.87万千瓦时，占0.4%；城乡居民生活用电6041.74万千</w:t>
      </w:r>
      <w:r>
        <w:rPr>
          <w:rFonts w:hint="eastAsia" w:ascii="宋体" w:hAnsi="宋体"/>
          <w:szCs w:val="21"/>
        </w:rPr>
        <w:t>瓦时，占</w:t>
      </w:r>
      <w:r>
        <w:rPr>
          <w:rFonts w:ascii="宋体" w:hAnsi="宋体"/>
          <w:szCs w:val="21"/>
        </w:rPr>
        <w:t>43.97%</w:t>
      </w:r>
      <w:r>
        <w:rPr>
          <w:rFonts w:hint="eastAsia" w:ascii="宋体" w:hAnsi="宋体"/>
          <w:szCs w:val="21"/>
        </w:rPr>
        <w:t>。</w:t>
      </w:r>
    </w:p>
    <w:p w14:paraId="0B9D5401">
      <w:pPr>
        <w:ind w:firstLine="420"/>
        <w:rPr>
          <w:rFonts w:ascii="宋体" w:hAnsi="宋体"/>
          <w:szCs w:val="21"/>
        </w:rPr>
      </w:pPr>
      <w:r>
        <w:rPr>
          <w:rFonts w:hint="eastAsia" w:ascii="宋体" w:hAnsi="宋体"/>
          <w:szCs w:val="21"/>
        </w:rPr>
        <w:t>市电力局不断推进用电经营管理规范化和制度化建设，实行《电力局社会服务承诺》。</w:t>
      </w:r>
      <w:r>
        <w:rPr>
          <w:rFonts w:ascii="宋体" w:hAnsi="宋体"/>
          <w:szCs w:val="21"/>
        </w:rPr>
        <w:t>1998年，市电力局被电力工业部评为“三为”服务达标单位。</w:t>
      </w:r>
    </w:p>
    <w:p w14:paraId="21119CD8">
      <w:pPr>
        <w:pStyle w:val="4"/>
        <w:rPr>
          <w:rFonts w:ascii="宋体" w:hAnsi="宋体"/>
        </w:rPr>
      </w:pPr>
      <w:r>
        <w:rPr>
          <w:rFonts w:hint="eastAsia" w:ascii="宋体" w:hAnsi="宋体"/>
        </w:rPr>
        <w:t>第三节  造纸业</w:t>
      </w:r>
    </w:p>
    <w:p w14:paraId="33B97945">
      <w:pPr>
        <w:pStyle w:val="5"/>
        <w:rPr>
          <w:rFonts w:ascii="宋体" w:hAnsi="宋体"/>
        </w:rPr>
      </w:pPr>
      <w:r>
        <w:rPr>
          <w:rFonts w:hint="eastAsia" w:ascii="宋体" w:hAnsi="宋体"/>
        </w:rPr>
        <w:t>一、土纸生产</w:t>
      </w:r>
    </w:p>
    <w:p w14:paraId="361A8415">
      <w:pPr>
        <w:ind w:firstLine="420"/>
        <w:rPr>
          <w:rFonts w:ascii="宋体" w:hAnsi="宋体"/>
          <w:szCs w:val="21"/>
        </w:rPr>
      </w:pPr>
      <w:r>
        <w:rPr>
          <w:rFonts w:hint="eastAsia" w:ascii="宋体" w:hAnsi="宋体"/>
          <w:szCs w:val="21"/>
        </w:rPr>
        <w:t>南雄土纸以嫩竹为原料，山区纸农自办纸厂经营。每年清明前后砍当年竹，去皮，抛入纸湖加石灰水浸制，立秋前后起出，用清水洗净，碓烂，加入胶树液或适量米汤调制纸浆，再用纸帘等工具操浆成型，贴焙烘干成土纸。清道光《直隶南雄州志》载：土纸有毛边、山贝、油桶、京文、背心</w:t>
      </w:r>
      <w:r>
        <w:rPr>
          <w:rFonts w:ascii="宋体" w:hAnsi="宋体"/>
          <w:szCs w:val="21"/>
        </w:rPr>
        <w:t>5种。民国19年（1930年）有纸厂</w:t>
      </w:r>
      <w:r>
        <w:rPr>
          <w:rFonts w:hint="eastAsia" w:ascii="宋体" w:hAnsi="宋体"/>
          <w:szCs w:val="21"/>
        </w:rPr>
        <w:t>（作坊）</w:t>
      </w:r>
      <w:r>
        <w:rPr>
          <w:rFonts w:ascii="宋体" w:hAnsi="宋体"/>
          <w:szCs w:val="21"/>
        </w:rPr>
        <w:t>1285间，年产土纸2067.5吨。民国32年生产土纸695吨，其中东庄纸100</w:t>
      </w:r>
      <w:r>
        <w:rPr>
          <w:rFonts w:hint="eastAsia" w:ascii="宋体" w:hAnsi="宋体"/>
          <w:szCs w:val="21"/>
        </w:rPr>
        <w:t>吨，京文纸</w:t>
      </w:r>
      <w:r>
        <w:rPr>
          <w:rFonts w:ascii="宋体" w:hAnsi="宋体"/>
          <w:szCs w:val="21"/>
        </w:rPr>
        <w:t>75吨，四刀半纸250吨，重桶纸10吨，坑桶纸10吨，山贝纸250吨。1952年，土纸产量达3238.2吨。1958年后，由于毛竹价高，土纸价贱，滥伐毛竹，</w:t>
      </w:r>
      <w:r>
        <w:rPr>
          <w:rFonts w:hint="eastAsia" w:ascii="宋体" w:hAnsi="宋体"/>
          <w:szCs w:val="21"/>
        </w:rPr>
        <w:t>资源大遭破坏，加上机制纸发展，土纸生产直线下降，至</w:t>
      </w:r>
      <w:r>
        <w:rPr>
          <w:rFonts w:ascii="宋体" w:hAnsi="宋体"/>
          <w:szCs w:val="21"/>
        </w:rPr>
        <w:t>1979年仅产16.5吨。20世</w:t>
      </w:r>
      <w:r>
        <w:rPr>
          <w:rFonts w:hint="eastAsia" w:ascii="宋体" w:hAnsi="宋体"/>
          <w:szCs w:val="21"/>
        </w:rPr>
        <w:t>纪</w:t>
      </w:r>
      <w:r>
        <w:rPr>
          <w:rFonts w:ascii="宋体" w:hAnsi="宋体"/>
          <w:szCs w:val="21"/>
        </w:rPr>
        <w:t>80年代土纸市场转俏，生产有所发展，1987年生产土纸1267吨，有东庄纸、京文</w:t>
      </w:r>
      <w:r>
        <w:rPr>
          <w:rFonts w:hint="eastAsia" w:ascii="宋体" w:hAnsi="宋体"/>
          <w:szCs w:val="21"/>
        </w:rPr>
        <w:t>纸、四刀半纸。土纸主要产区有澜河、百顺、苍石、帽子峰、主田、江头、南亩等乡镇，共有纸厂</w:t>
      </w:r>
      <w:r>
        <w:rPr>
          <w:rFonts w:ascii="宋体" w:hAnsi="宋体"/>
          <w:szCs w:val="21"/>
        </w:rPr>
        <w:t>57间。此后，因市场情况变化，土纸生产逐年下降，年产仅二三百吨</w:t>
      </w:r>
      <w:r>
        <w:rPr>
          <w:rFonts w:hint="eastAsia" w:ascii="宋体" w:hAnsi="宋体"/>
          <w:szCs w:val="21"/>
        </w:rPr>
        <w:t>。</w:t>
      </w:r>
      <w:r>
        <w:rPr>
          <w:rFonts w:ascii="宋体" w:hAnsi="宋体"/>
          <w:szCs w:val="21"/>
        </w:rPr>
        <w:t>2</w:t>
      </w:r>
      <w:r>
        <w:rPr>
          <w:rFonts w:hint="eastAsia" w:ascii="宋体" w:hAnsi="宋体"/>
          <w:szCs w:val="21"/>
        </w:rPr>
        <w:t>0</w:t>
      </w:r>
      <w:r>
        <w:rPr>
          <w:rFonts w:ascii="宋体" w:hAnsi="宋体"/>
          <w:szCs w:val="21"/>
        </w:rPr>
        <w:t>00年起，土纸基本停产，也无收购</w:t>
      </w:r>
      <w:r>
        <w:rPr>
          <w:rFonts w:hint="eastAsia" w:ascii="宋体" w:hAnsi="宋体"/>
          <w:szCs w:val="21"/>
        </w:rPr>
        <w:t>。</w:t>
      </w:r>
    </w:p>
    <w:p w14:paraId="152C6669">
      <w:pPr>
        <w:pStyle w:val="5"/>
        <w:rPr>
          <w:rFonts w:ascii="宋体" w:hAnsi="宋体"/>
        </w:rPr>
      </w:pPr>
      <w:r>
        <w:rPr>
          <w:rFonts w:hint="eastAsia" w:ascii="宋体" w:hAnsi="宋体"/>
        </w:rPr>
        <w:t>二、珠玑纸业有限公司</w:t>
      </w:r>
    </w:p>
    <w:p w14:paraId="5DCF6AA1">
      <w:pPr>
        <w:ind w:firstLine="420"/>
        <w:rPr>
          <w:rFonts w:ascii="宋体" w:hAnsi="宋体"/>
          <w:szCs w:val="21"/>
        </w:rPr>
      </w:pPr>
      <w:r>
        <w:rPr>
          <w:rFonts w:hint="eastAsia" w:ascii="宋体" w:hAnsi="宋体"/>
          <w:szCs w:val="21"/>
        </w:rPr>
        <w:t>珠玑纸业有限公司前身是南雄市造纸总厂。该厂于</w:t>
      </w:r>
      <w:r>
        <w:rPr>
          <w:rFonts w:ascii="宋体" w:hAnsi="宋体"/>
          <w:szCs w:val="21"/>
        </w:rPr>
        <w:t>1988年筹建，1992年10月投</w:t>
      </w:r>
      <w:r>
        <w:rPr>
          <w:rFonts w:hint="eastAsia" w:ascii="宋体" w:hAnsi="宋体"/>
          <w:szCs w:val="21"/>
        </w:rPr>
        <w:t>产。</w:t>
      </w:r>
      <w:r>
        <w:rPr>
          <w:rFonts w:ascii="宋体" w:hAnsi="宋体"/>
          <w:szCs w:val="21"/>
        </w:rPr>
        <w:t>1993年改制，实行国有民营，1995年经营失败后收归国有，重组经营，更名为</w:t>
      </w:r>
      <w:r>
        <w:rPr>
          <w:rFonts w:hint="eastAsia" w:ascii="宋体" w:hAnsi="宋体"/>
          <w:szCs w:val="21"/>
        </w:rPr>
        <w:t>南雄第一造纸厂。</w:t>
      </w:r>
      <w:r>
        <w:rPr>
          <w:rFonts w:ascii="宋体" w:hAnsi="宋体"/>
          <w:szCs w:val="21"/>
        </w:rPr>
        <w:t>2002年第一造纸厂以债转股方式与中国信达资产管理公司、中国</w:t>
      </w:r>
      <w:r>
        <w:rPr>
          <w:rFonts w:hint="eastAsia" w:ascii="宋体" w:hAnsi="宋体"/>
          <w:szCs w:val="21"/>
        </w:rPr>
        <w:t>华融资产管理公司三方股东组建成立珠玑纸业有限公司。公司注册资本为</w:t>
      </w:r>
      <w:r>
        <w:rPr>
          <w:rFonts w:ascii="宋体" w:hAnsi="宋体"/>
          <w:szCs w:val="21"/>
        </w:rPr>
        <w:t>5245万元，</w:t>
      </w:r>
      <w:r>
        <w:rPr>
          <w:rFonts w:hint="eastAsia" w:ascii="宋体" w:hAnsi="宋体"/>
          <w:szCs w:val="21"/>
        </w:rPr>
        <w:t>占地面积</w:t>
      </w:r>
      <w:r>
        <w:rPr>
          <w:rFonts w:ascii="宋体" w:hAnsi="宋体"/>
          <w:szCs w:val="21"/>
        </w:rPr>
        <w:t>8.66公顷，总资产10139万元，有员工365人。</w:t>
      </w:r>
    </w:p>
    <w:p w14:paraId="70816020">
      <w:pPr>
        <w:ind w:firstLine="420"/>
        <w:rPr>
          <w:rFonts w:ascii="宋体" w:hAnsi="宋体"/>
          <w:szCs w:val="21"/>
        </w:rPr>
      </w:pPr>
      <w:r>
        <w:rPr>
          <w:rFonts w:hint="eastAsia" w:ascii="宋体" w:hAnsi="宋体"/>
          <w:szCs w:val="21"/>
        </w:rPr>
        <w:t>公司拥有</w:t>
      </w:r>
      <w:r>
        <w:rPr>
          <w:rFonts w:ascii="宋体" w:hAnsi="宋体"/>
          <w:szCs w:val="21"/>
        </w:rPr>
        <w:t>1575毫米纸机、1800毫米纸机、2362毫米纸机生产线，生产规模达到</w:t>
      </w:r>
      <w:r>
        <w:rPr>
          <w:rFonts w:hint="eastAsia" w:ascii="宋体" w:hAnsi="宋体"/>
          <w:szCs w:val="21"/>
        </w:rPr>
        <w:t>年产</w:t>
      </w:r>
      <w:r>
        <w:rPr>
          <w:rFonts w:ascii="宋体" w:hAnsi="宋体"/>
          <w:szCs w:val="21"/>
        </w:rPr>
        <w:t>25000吨纸张生产能力。造纸主要纤维原料是充分利用南雄及周边地区丰富的竹</w:t>
      </w:r>
      <w:r>
        <w:rPr>
          <w:rFonts w:hint="eastAsia" w:ascii="宋体" w:hAnsi="宋体"/>
          <w:szCs w:val="21"/>
        </w:rPr>
        <w:t>类资源。主要产品有“珠玑牌”文化用纸、工业用纸和办公用纸等系列品牌产品，品种有优质胶版纸、静电复印纸、电脑打印纸、粘胶纸、牛皮纸等</w:t>
      </w:r>
      <w:r>
        <w:rPr>
          <w:rFonts w:ascii="宋体" w:hAnsi="宋体"/>
          <w:szCs w:val="21"/>
        </w:rPr>
        <w:t>10多个品种，优</w:t>
      </w:r>
      <w:r>
        <w:rPr>
          <w:rFonts w:hint="eastAsia" w:ascii="宋体" w:hAnsi="宋体"/>
          <w:szCs w:val="21"/>
        </w:rPr>
        <w:t>质胶版纸、静电复印纸是出版局教科书用纸和省政府机关办公用纸的指定生产厂家，产品适应市场，畅销广东各地和江西、福建、广西、湖南地区，工业牛皮纸占据广东大部分市场。</w:t>
      </w:r>
    </w:p>
    <w:p w14:paraId="4A7DF64B">
      <w:pPr>
        <w:ind w:firstLine="420"/>
        <w:rPr>
          <w:rFonts w:ascii="宋体" w:hAnsi="宋体"/>
          <w:szCs w:val="21"/>
        </w:rPr>
      </w:pPr>
      <w:r>
        <w:rPr>
          <w:rFonts w:hint="eastAsia" w:ascii="宋体" w:hAnsi="宋体"/>
          <w:szCs w:val="21"/>
        </w:rPr>
        <w:t>公司相应建立了达到国家工业排放标准和中段废水处理环保措施，每年可回收碱</w:t>
      </w:r>
      <w:r>
        <w:rPr>
          <w:rFonts w:ascii="宋体" w:hAnsi="宋体"/>
          <w:szCs w:val="21"/>
        </w:rPr>
        <w:t>5000吨以上。废水排放经省环保验收，达到“一控双达标”要求，全部废水排放达</w:t>
      </w:r>
      <w:r>
        <w:rPr>
          <w:rFonts w:hint="eastAsia" w:ascii="宋体" w:hAnsi="宋体"/>
          <w:szCs w:val="21"/>
        </w:rPr>
        <w:t>到国家工业排放标准，为企业可持续发展奠定了良好条件。</w:t>
      </w:r>
    </w:p>
    <w:p w14:paraId="078ABB10">
      <w:pPr>
        <w:ind w:firstLine="420"/>
        <w:rPr>
          <w:rFonts w:ascii="宋体" w:hAnsi="宋体"/>
          <w:szCs w:val="21"/>
        </w:rPr>
      </w:pPr>
      <w:r>
        <w:rPr>
          <w:rFonts w:ascii="宋体" w:hAnsi="宋体"/>
          <w:szCs w:val="21"/>
        </w:rPr>
        <w:t>2003年完成工业总产值1.08亿元，生产纸张18536吨，实现税利816万元。带</w:t>
      </w:r>
      <w:r>
        <w:rPr>
          <w:rFonts w:hint="eastAsia" w:ascii="宋体" w:hAnsi="宋体"/>
          <w:szCs w:val="21"/>
        </w:rPr>
        <w:t>动</w:t>
      </w:r>
      <w:r>
        <w:rPr>
          <w:rFonts w:ascii="宋体" w:hAnsi="宋体"/>
          <w:szCs w:val="21"/>
        </w:rPr>
        <w:t>5800户农户种竹，为纸厂供应竹子7.6万吨。</w:t>
      </w:r>
    </w:p>
    <w:p w14:paraId="1CA6DCE6">
      <w:pPr>
        <w:pStyle w:val="5"/>
        <w:rPr>
          <w:rFonts w:ascii="宋体" w:hAnsi="宋体"/>
        </w:rPr>
      </w:pPr>
      <w:r>
        <w:rPr>
          <w:rFonts w:hint="eastAsia" w:ascii="宋体" w:hAnsi="宋体"/>
        </w:rPr>
        <w:t>三、南雄市第二造纸厂</w:t>
      </w:r>
    </w:p>
    <w:p w14:paraId="5092F2A7">
      <w:pPr>
        <w:ind w:firstLine="420"/>
        <w:rPr>
          <w:rFonts w:ascii="宋体" w:hAnsi="宋体"/>
          <w:szCs w:val="21"/>
        </w:rPr>
      </w:pPr>
      <w:r>
        <w:rPr>
          <w:rFonts w:hint="eastAsia" w:ascii="宋体" w:hAnsi="宋体"/>
          <w:szCs w:val="21"/>
        </w:rPr>
        <w:t>南雄市第二造纸厂创办于</w:t>
      </w:r>
      <w:r>
        <w:rPr>
          <w:rFonts w:ascii="宋体" w:hAnsi="宋体"/>
          <w:szCs w:val="21"/>
        </w:rPr>
        <w:t>197</w:t>
      </w:r>
      <w:r>
        <w:rPr>
          <w:rFonts w:hint="eastAsia" w:ascii="宋体" w:hAnsi="宋体"/>
          <w:szCs w:val="21"/>
        </w:rPr>
        <w:t>1</w:t>
      </w:r>
      <w:r>
        <w:rPr>
          <w:rFonts w:ascii="宋体" w:hAnsi="宋体"/>
          <w:szCs w:val="21"/>
        </w:rPr>
        <w:t>年，属地方国营企业，主要生产竹浆牛皮纸。该</w:t>
      </w:r>
      <w:r>
        <w:rPr>
          <w:rFonts w:hint="eastAsia" w:ascii="宋体" w:hAnsi="宋体"/>
          <w:szCs w:val="21"/>
        </w:rPr>
        <w:t>厂通过多年的技改投资，设备年生产能力达到了</w:t>
      </w:r>
      <w:r>
        <w:rPr>
          <w:rFonts w:ascii="宋体" w:hAnsi="宋体"/>
          <w:szCs w:val="21"/>
        </w:rPr>
        <w:t>1500吨，1995年被省邮电部门批准</w:t>
      </w:r>
      <w:r>
        <w:rPr>
          <w:rFonts w:hint="eastAsia" w:ascii="宋体" w:hAnsi="宋体"/>
          <w:szCs w:val="21"/>
        </w:rPr>
        <w:t>为牛皮信封专用纸定点生产厂家，年利润</w:t>
      </w:r>
      <w:r>
        <w:rPr>
          <w:rFonts w:ascii="宋体" w:hAnsi="宋体"/>
          <w:szCs w:val="21"/>
        </w:rPr>
        <w:t>10多万元。1999年4月，该厂兼并南苑家</w:t>
      </w:r>
      <w:r>
        <w:rPr>
          <w:rFonts w:hint="eastAsia" w:ascii="宋体" w:hAnsi="宋体"/>
          <w:szCs w:val="21"/>
        </w:rPr>
        <w:t>具厂，先后投入</w:t>
      </w:r>
      <w:r>
        <w:rPr>
          <w:rFonts w:ascii="宋体" w:hAnsi="宋体"/>
          <w:szCs w:val="21"/>
        </w:rPr>
        <w:t>90万元改造南苑家具厂生产设施和开发竹木加工制品。2000年6</w:t>
      </w:r>
      <w:r>
        <w:rPr>
          <w:rFonts w:hint="eastAsia" w:ascii="宋体" w:hAnsi="宋体"/>
          <w:szCs w:val="21"/>
        </w:rPr>
        <w:t>月，因八一市场改造，南苑家具厂停产，二纸厂因投资失策而背上沉重的包袱。</w:t>
      </w:r>
      <w:r>
        <w:rPr>
          <w:rFonts w:ascii="宋体" w:hAnsi="宋体"/>
          <w:szCs w:val="21"/>
        </w:rPr>
        <w:t>2001</w:t>
      </w:r>
      <w:r>
        <w:rPr>
          <w:rFonts w:hint="eastAsia" w:ascii="宋体" w:hAnsi="宋体"/>
          <w:szCs w:val="21"/>
        </w:rPr>
        <w:t>年</w:t>
      </w:r>
      <w:r>
        <w:rPr>
          <w:rFonts w:ascii="宋体" w:hAnsi="宋体"/>
          <w:szCs w:val="21"/>
        </w:rPr>
        <w:t>3月，二纸厂以96000平方米土地入股广东绿洲纸模包装制品有限公司，部分职工</w:t>
      </w:r>
      <w:r>
        <w:rPr>
          <w:rFonts w:hint="eastAsia" w:ascii="宋体" w:hAnsi="宋体"/>
          <w:szCs w:val="21"/>
        </w:rPr>
        <w:t>分流到绿洲公司。</w:t>
      </w:r>
      <w:r>
        <w:rPr>
          <w:rFonts w:ascii="宋体" w:hAnsi="宋体"/>
          <w:szCs w:val="21"/>
        </w:rPr>
        <w:t>2003年，纸厂关闭。职工按工龄每年280元进行补偿，并为职工</w:t>
      </w:r>
      <w:r>
        <w:rPr>
          <w:rFonts w:hint="eastAsia" w:ascii="宋体" w:hAnsi="宋体"/>
          <w:szCs w:val="21"/>
        </w:rPr>
        <w:t>购买了社保、医保。</w:t>
      </w:r>
    </w:p>
    <w:p w14:paraId="1A62A6A5">
      <w:pPr>
        <w:pStyle w:val="4"/>
        <w:rPr>
          <w:rFonts w:ascii="宋体" w:hAnsi="宋体"/>
        </w:rPr>
      </w:pPr>
      <w:r>
        <w:rPr>
          <w:rFonts w:hint="eastAsia" w:ascii="宋体" w:hAnsi="宋体"/>
        </w:rPr>
        <w:t>第四节  中央、省驻南雄采掘业</w:t>
      </w:r>
    </w:p>
    <w:p w14:paraId="09C85D45">
      <w:pPr>
        <w:pStyle w:val="5"/>
        <w:rPr>
          <w:rFonts w:ascii="宋体" w:hAnsi="宋体"/>
        </w:rPr>
      </w:pPr>
      <w:r>
        <w:rPr>
          <w:rFonts w:hint="eastAsia" w:ascii="宋体" w:hAnsi="宋体"/>
        </w:rPr>
        <w:t>一、七四三矿</w:t>
      </w:r>
    </w:p>
    <w:p w14:paraId="646C11AF">
      <w:pPr>
        <w:ind w:firstLine="420"/>
        <w:rPr>
          <w:rFonts w:ascii="宋体" w:hAnsi="宋体"/>
          <w:szCs w:val="21"/>
        </w:rPr>
      </w:pPr>
      <w:r>
        <w:rPr>
          <w:rFonts w:hint="eastAsia" w:ascii="宋体" w:hAnsi="宋体"/>
          <w:szCs w:val="21"/>
        </w:rPr>
        <w:t>七四三矿坐落于澜河镇，始建于</w:t>
      </w:r>
      <w:r>
        <w:rPr>
          <w:rFonts w:ascii="宋体" w:hAnsi="宋体"/>
          <w:szCs w:val="21"/>
        </w:rPr>
        <w:t>1963年。1994年遵循“保军转民”的方针，随</w:t>
      </w:r>
      <w:r>
        <w:rPr>
          <w:rFonts w:hint="eastAsia" w:ascii="宋体" w:hAnsi="宋体"/>
          <w:szCs w:val="21"/>
        </w:rPr>
        <w:t>国家产业政策调整而政策性停产。大部分职工搬迁至韶关市莲花山，小部分职工留守澜河，维护矿区治安，治理环境污染，开展生产自救。</w:t>
      </w:r>
    </w:p>
    <w:p w14:paraId="36C269EF">
      <w:pPr>
        <w:ind w:firstLine="420"/>
        <w:rPr>
          <w:rFonts w:ascii="宋体" w:hAnsi="宋体"/>
          <w:szCs w:val="21"/>
        </w:rPr>
      </w:pPr>
      <w:r>
        <w:rPr>
          <w:rFonts w:ascii="宋体" w:hAnsi="宋体"/>
          <w:szCs w:val="21"/>
        </w:rPr>
        <w:t>1998年10月七四三矿抽调工程技术人员开始筹建残矿堆浸回收铀金属工程。该</w:t>
      </w:r>
      <w:r>
        <w:rPr>
          <w:rFonts w:hint="eastAsia" w:ascii="宋体" w:hAnsi="宋体"/>
          <w:szCs w:val="21"/>
        </w:rPr>
        <w:t>工程于</w:t>
      </w:r>
      <w:r>
        <w:rPr>
          <w:rFonts w:ascii="宋体" w:hAnsi="宋体"/>
          <w:szCs w:val="21"/>
        </w:rPr>
        <w:t>1999年6月基本完成，同年10月进入试产。2002年12月9日，这项工程经</w:t>
      </w:r>
      <w:r>
        <w:rPr>
          <w:rFonts w:hint="eastAsia" w:ascii="宋体" w:hAnsi="宋体"/>
          <w:szCs w:val="21"/>
        </w:rPr>
        <w:t>广东矿冶局现场验收，效益明显，认定合格，交付使用。</w:t>
      </w:r>
      <w:r>
        <w:rPr>
          <w:rFonts w:ascii="宋体" w:hAnsi="宋体"/>
          <w:szCs w:val="21"/>
        </w:rPr>
        <w:t>2002年底，七四三矿进行</w:t>
      </w:r>
      <w:r>
        <w:rPr>
          <w:rFonts w:hint="eastAsia" w:ascii="宋体" w:hAnsi="宋体"/>
          <w:szCs w:val="21"/>
        </w:rPr>
        <w:t>改制，正式注册成立中核南雄市凌江有限责任公司，七四三矿从此销号。</w:t>
      </w:r>
    </w:p>
    <w:p w14:paraId="57BF65FD">
      <w:pPr>
        <w:pStyle w:val="5"/>
        <w:rPr>
          <w:rFonts w:ascii="宋体" w:hAnsi="宋体"/>
        </w:rPr>
      </w:pPr>
      <w:r>
        <w:rPr>
          <w:rFonts w:hint="eastAsia" w:ascii="宋体" w:hAnsi="宋体"/>
        </w:rPr>
        <w:t>二、棉土窝钨矿</w:t>
      </w:r>
    </w:p>
    <w:p w14:paraId="50BAE1B6">
      <w:pPr>
        <w:ind w:firstLine="420"/>
        <w:rPr>
          <w:rFonts w:ascii="宋体" w:hAnsi="宋体"/>
          <w:szCs w:val="21"/>
        </w:rPr>
      </w:pPr>
      <w:r>
        <w:rPr>
          <w:rFonts w:hint="eastAsia" w:ascii="宋体" w:hAnsi="宋体"/>
          <w:szCs w:val="21"/>
        </w:rPr>
        <w:t>棉土窝钨矿于</w:t>
      </w:r>
      <w:r>
        <w:rPr>
          <w:rFonts w:ascii="宋体" w:hAnsi="宋体"/>
          <w:szCs w:val="21"/>
        </w:rPr>
        <w:t>1959年1月开业，企业原主管部门为粤北有色金属公司。2002年4月划归广东广晟有色集团有限公司管辖。该矿有职工188人，年设计采掘综合能力</w:t>
      </w:r>
      <w:r>
        <w:rPr>
          <w:rFonts w:hint="eastAsia" w:ascii="宋体" w:hAnsi="宋体"/>
          <w:szCs w:val="21"/>
        </w:rPr>
        <w:t>为</w:t>
      </w:r>
      <w:r>
        <w:rPr>
          <w:rFonts w:ascii="宋体" w:hAnsi="宋体"/>
          <w:szCs w:val="21"/>
        </w:rPr>
        <w:t>7.63万吨。2002年实际完成采掘总量69441吨，完成出矿处理量69229吨。主产</w:t>
      </w:r>
      <w:r>
        <w:rPr>
          <w:rFonts w:hint="eastAsia" w:ascii="宋体" w:hAnsi="宋体"/>
          <w:szCs w:val="21"/>
        </w:rPr>
        <w:t>钨精矿（</w:t>
      </w:r>
      <w:r>
        <w:rPr>
          <w:rFonts w:ascii="宋体" w:hAnsi="宋体"/>
          <w:szCs w:val="21"/>
        </w:rPr>
        <w:t>65%），副产品有铋精矿（100%）及钼精矿（45%）。1998年至2002年5</w:t>
      </w:r>
      <w:r>
        <w:rPr>
          <w:rFonts w:hint="eastAsia" w:ascii="宋体" w:hAnsi="宋体"/>
          <w:szCs w:val="21"/>
        </w:rPr>
        <w:t>年累计生产钨精矿（</w:t>
      </w:r>
      <w:r>
        <w:rPr>
          <w:rFonts w:ascii="宋体" w:hAnsi="宋体"/>
          <w:szCs w:val="21"/>
        </w:rPr>
        <w:t>65%）为1354.98吨，年平均为276.99吨</w:t>
      </w:r>
      <w:r>
        <w:rPr>
          <w:rFonts w:hint="eastAsia" w:ascii="宋体" w:hAnsi="宋体"/>
          <w:szCs w:val="21"/>
        </w:rPr>
        <w:t>。</w:t>
      </w:r>
    </w:p>
    <w:p w14:paraId="3496701D">
      <w:pPr>
        <w:pStyle w:val="4"/>
        <w:rPr>
          <w:rFonts w:ascii="宋体" w:hAnsi="宋体"/>
        </w:rPr>
      </w:pPr>
      <w:r>
        <w:rPr>
          <w:rFonts w:hint="eastAsia" w:ascii="宋体" w:hAnsi="宋体"/>
        </w:rPr>
        <w:t>第五节  建筑业</w:t>
      </w:r>
    </w:p>
    <w:p w14:paraId="61BAA55B">
      <w:pPr>
        <w:pStyle w:val="5"/>
        <w:rPr>
          <w:rFonts w:ascii="宋体" w:hAnsi="宋体"/>
        </w:rPr>
      </w:pPr>
      <w:r>
        <w:rPr>
          <w:rFonts w:hint="eastAsia" w:ascii="宋体" w:hAnsi="宋体"/>
        </w:rPr>
        <w:t>一、建筑设计</w:t>
      </w:r>
    </w:p>
    <w:p w14:paraId="286CADA3">
      <w:pPr>
        <w:ind w:firstLine="420"/>
        <w:rPr>
          <w:rFonts w:ascii="宋体" w:hAnsi="宋体"/>
          <w:szCs w:val="21"/>
        </w:rPr>
      </w:pPr>
      <w:r>
        <w:rPr>
          <w:rFonts w:hint="eastAsia" w:ascii="宋体" w:hAnsi="宋体"/>
          <w:szCs w:val="21"/>
        </w:rPr>
        <w:t>南雄县建筑设计室于</w:t>
      </w:r>
      <w:r>
        <w:rPr>
          <w:rFonts w:ascii="宋体" w:hAnsi="宋体"/>
          <w:szCs w:val="21"/>
        </w:rPr>
        <w:t>1977年7月成立，1998年7月更名为南雄市建筑设计院。</w:t>
      </w:r>
      <w:r>
        <w:rPr>
          <w:rFonts w:hint="eastAsia" w:ascii="宋体" w:hAnsi="宋体"/>
          <w:szCs w:val="21"/>
        </w:rPr>
        <w:t>有干部职工</w:t>
      </w:r>
      <w:r>
        <w:rPr>
          <w:rFonts w:ascii="宋体" w:hAnsi="宋体"/>
          <w:szCs w:val="21"/>
        </w:rPr>
        <w:t>28人，其中工程师9人，助理工程师5人，技术员3人，具有设计12层</w:t>
      </w:r>
      <w:r>
        <w:rPr>
          <w:rFonts w:hint="eastAsia" w:ascii="宋体" w:hAnsi="宋体"/>
          <w:szCs w:val="21"/>
        </w:rPr>
        <w:t>楼房能力。主要工程设计项目有：</w:t>
      </w:r>
    </w:p>
    <w:p w14:paraId="2D6FF5F3">
      <w:pPr>
        <w:ind w:firstLine="420"/>
        <w:rPr>
          <w:rFonts w:ascii="宋体" w:hAnsi="宋体"/>
          <w:szCs w:val="21"/>
        </w:rPr>
      </w:pPr>
      <w:r>
        <w:rPr>
          <w:rFonts w:hint="eastAsia" w:ascii="宋体" w:hAnsi="宋体"/>
          <w:szCs w:val="21"/>
        </w:rPr>
        <w:t>工商银行综合大楼。</w:t>
      </w:r>
      <w:r>
        <w:rPr>
          <w:rFonts w:ascii="宋体" w:hAnsi="宋体"/>
          <w:szCs w:val="21"/>
        </w:rPr>
        <w:t>1993年设计，总面积为11916平方米，钢筋混凝土15层框</w:t>
      </w:r>
      <w:r>
        <w:rPr>
          <w:rFonts w:hint="eastAsia" w:ascii="宋体" w:hAnsi="宋体"/>
          <w:szCs w:val="21"/>
        </w:rPr>
        <w:t>架剪力结构，配电梯，为南雄最早也是当时最高的一栋电梯大楼，天面设有游泳池，是南雄市的标志性建筑。</w:t>
      </w:r>
    </w:p>
    <w:p w14:paraId="25BE4A01">
      <w:pPr>
        <w:ind w:firstLine="420"/>
        <w:rPr>
          <w:rFonts w:ascii="宋体" w:hAnsi="宋体"/>
          <w:szCs w:val="21"/>
        </w:rPr>
      </w:pPr>
      <w:r>
        <w:rPr>
          <w:rFonts w:hint="eastAsia" w:ascii="宋体" w:hAnsi="宋体"/>
          <w:szCs w:val="21"/>
        </w:rPr>
        <w:t>珠玑大酒店。设计于</w:t>
      </w:r>
      <w:r>
        <w:rPr>
          <w:rFonts w:ascii="宋体" w:hAnsi="宋体"/>
          <w:szCs w:val="21"/>
        </w:rPr>
        <w:t>1995年，总面积为11180平方米，钢筋混凝土框架11层结</w:t>
      </w:r>
      <w:r>
        <w:rPr>
          <w:rFonts w:hint="eastAsia" w:ascii="宋体" w:hAnsi="宋体"/>
          <w:szCs w:val="21"/>
        </w:rPr>
        <w:t>构，配有双电梯。是南雄市首个多功能的三星级高层酒店，内有大型会议室、餐厅、多类型客房、娱乐和购物等设施。</w:t>
      </w:r>
    </w:p>
    <w:p w14:paraId="7D8D660F">
      <w:pPr>
        <w:ind w:firstLine="420"/>
        <w:rPr>
          <w:rFonts w:ascii="宋体" w:hAnsi="宋体"/>
          <w:szCs w:val="21"/>
        </w:rPr>
      </w:pPr>
      <w:r>
        <w:rPr>
          <w:rFonts w:hint="eastAsia" w:ascii="宋体" w:hAnsi="宋体"/>
          <w:szCs w:val="21"/>
        </w:rPr>
        <w:t>交通局综合大楼。</w:t>
      </w:r>
      <w:r>
        <w:rPr>
          <w:rFonts w:ascii="宋体" w:hAnsi="宋体"/>
          <w:szCs w:val="21"/>
        </w:rPr>
        <w:t>1996年设计，总面积为5587平方米，钢筋混凝土13层框架结</w:t>
      </w:r>
      <w:r>
        <w:rPr>
          <w:rFonts w:hint="eastAsia" w:ascii="宋体" w:hAnsi="宋体"/>
          <w:szCs w:val="21"/>
        </w:rPr>
        <w:t>构，配有专用电梯，局部设剪力墙，底层为车库，</w:t>
      </w:r>
      <w:r>
        <w:rPr>
          <w:rFonts w:ascii="宋体" w:hAnsi="宋体"/>
          <w:szCs w:val="21"/>
        </w:rPr>
        <w:t>2层～4层为办公室，5层以上为</w:t>
      </w:r>
      <w:r>
        <w:rPr>
          <w:rFonts w:hint="eastAsia" w:ascii="宋体" w:hAnsi="宋体"/>
          <w:szCs w:val="21"/>
        </w:rPr>
        <w:t>住宅，外墙为落地玻璃设计。</w:t>
      </w:r>
    </w:p>
    <w:p w14:paraId="2D1519EF">
      <w:pPr>
        <w:ind w:firstLine="420"/>
        <w:rPr>
          <w:rFonts w:ascii="宋体" w:hAnsi="宋体"/>
          <w:szCs w:val="21"/>
        </w:rPr>
      </w:pPr>
      <w:r>
        <w:rPr>
          <w:rFonts w:hint="eastAsia" w:ascii="宋体" w:hAnsi="宋体"/>
          <w:szCs w:val="21"/>
        </w:rPr>
        <w:t>公路局综合大楼。设计于</w:t>
      </w:r>
      <w:r>
        <w:rPr>
          <w:rFonts w:ascii="宋体" w:hAnsi="宋体"/>
          <w:szCs w:val="21"/>
        </w:rPr>
        <w:t>1999年，总面积为8998平方米，钢筋混凝土13层框</w:t>
      </w:r>
      <w:r>
        <w:rPr>
          <w:rFonts w:hint="eastAsia" w:ascii="宋体" w:hAnsi="宋体"/>
          <w:szCs w:val="21"/>
        </w:rPr>
        <w:t>架双塔结构，配专用电梯。</w:t>
      </w:r>
      <w:r>
        <w:rPr>
          <w:rFonts w:ascii="宋体" w:hAnsi="宋体"/>
          <w:szCs w:val="21"/>
        </w:rPr>
        <w:t>1层～5层为办公，6层以上为住宅的综合性大楼，楼长80多米，未设伸缩缝，楼房中部设有2条后浇带，建成后使用情况良好。</w:t>
      </w:r>
    </w:p>
    <w:p w14:paraId="59853F68">
      <w:pPr>
        <w:pStyle w:val="5"/>
        <w:rPr>
          <w:rFonts w:ascii="宋体" w:hAnsi="宋体"/>
        </w:rPr>
      </w:pPr>
      <w:r>
        <w:rPr>
          <w:rFonts w:hint="eastAsia" w:ascii="宋体" w:hAnsi="宋体"/>
        </w:rPr>
        <w:t>二、建筑队伍</w:t>
      </w:r>
    </w:p>
    <w:p w14:paraId="0B845C88">
      <w:pPr>
        <w:ind w:firstLine="422"/>
        <w:rPr>
          <w:rFonts w:ascii="宋体" w:hAnsi="宋体"/>
          <w:b/>
          <w:szCs w:val="21"/>
        </w:rPr>
      </w:pPr>
      <w:r>
        <w:rPr>
          <w:rFonts w:hint="eastAsia" w:ascii="宋体" w:hAnsi="宋体"/>
          <w:b/>
          <w:szCs w:val="21"/>
        </w:rPr>
        <w:t>南雄市建筑安装工程总公司</w:t>
      </w:r>
    </w:p>
    <w:p w14:paraId="3E26C535">
      <w:pPr>
        <w:ind w:firstLine="420"/>
        <w:rPr>
          <w:rFonts w:ascii="宋体" w:hAnsi="宋体"/>
          <w:szCs w:val="21"/>
        </w:rPr>
      </w:pPr>
      <w:r>
        <w:rPr>
          <w:rFonts w:hint="eastAsia" w:ascii="宋体" w:hAnsi="宋体"/>
          <w:szCs w:val="21"/>
        </w:rPr>
        <w:t>该公司为市科级三类建筑安装企业，资质为建筑三级。有行政干部</w:t>
      </w:r>
      <w:r>
        <w:rPr>
          <w:rFonts w:ascii="宋体" w:hAnsi="宋体"/>
          <w:szCs w:val="21"/>
        </w:rPr>
        <w:t>36人，工程</w:t>
      </w:r>
      <w:r>
        <w:rPr>
          <w:rFonts w:hint="eastAsia" w:ascii="宋体" w:hAnsi="宋体"/>
          <w:szCs w:val="21"/>
        </w:rPr>
        <w:t>师</w:t>
      </w:r>
      <w:r>
        <w:rPr>
          <w:rFonts w:ascii="宋体" w:hAnsi="宋体"/>
          <w:szCs w:val="21"/>
        </w:rPr>
        <w:t>2人，助理工程师35人，技术人员35人。拥有固定资产616.38万元，动力机械</w:t>
      </w:r>
      <w:r>
        <w:rPr>
          <w:rFonts w:hint="eastAsia" w:ascii="宋体" w:hAnsi="宋体"/>
          <w:szCs w:val="21"/>
        </w:rPr>
        <w:t>设备</w:t>
      </w:r>
      <w:r>
        <w:rPr>
          <w:rFonts w:ascii="宋体" w:hAnsi="宋体"/>
          <w:szCs w:val="21"/>
        </w:rPr>
        <w:t>223台，动力机械总功率1867千瓦。下属13个施工工区（其中5个民营工区），1个加工厂，1个沙砖厂，1个商品房公司，1个装饰公司，共17个生产经营单位</w:t>
      </w:r>
      <w:r>
        <w:rPr>
          <w:rFonts w:hint="eastAsia" w:ascii="宋体" w:hAnsi="宋体"/>
          <w:szCs w:val="21"/>
        </w:rPr>
        <w:t>。</w:t>
      </w:r>
    </w:p>
    <w:p w14:paraId="633DF749">
      <w:pPr>
        <w:ind w:firstLine="422"/>
        <w:rPr>
          <w:rFonts w:ascii="宋体" w:hAnsi="宋体"/>
          <w:b/>
          <w:szCs w:val="21"/>
        </w:rPr>
      </w:pPr>
      <w:r>
        <w:rPr>
          <w:rFonts w:hint="eastAsia" w:ascii="宋体" w:hAnsi="宋体"/>
          <w:b/>
          <w:szCs w:val="21"/>
        </w:rPr>
        <w:t>南雄市市政工程建设公司</w:t>
      </w:r>
    </w:p>
    <w:p w14:paraId="64C38906">
      <w:pPr>
        <w:ind w:firstLine="420"/>
        <w:rPr>
          <w:rFonts w:ascii="宋体" w:hAnsi="宋体"/>
          <w:szCs w:val="21"/>
        </w:rPr>
      </w:pPr>
      <w:r>
        <w:rPr>
          <w:rFonts w:hint="eastAsia" w:ascii="宋体" w:hAnsi="宋体"/>
          <w:szCs w:val="21"/>
        </w:rPr>
        <w:t>该公司成立于</w:t>
      </w:r>
      <w:r>
        <w:rPr>
          <w:rFonts w:ascii="宋体" w:hAnsi="宋体"/>
          <w:szCs w:val="21"/>
        </w:rPr>
        <w:t>1988年11月。1992年4月经广东省建设委员会批准为市政施工四</w:t>
      </w:r>
      <w:r>
        <w:rPr>
          <w:rFonts w:hint="eastAsia" w:ascii="宋体" w:hAnsi="宋体"/>
          <w:szCs w:val="21"/>
        </w:rPr>
        <w:t>级企业资质。</w:t>
      </w:r>
      <w:r>
        <w:rPr>
          <w:rFonts w:ascii="宋体" w:hAnsi="宋体"/>
          <w:szCs w:val="21"/>
        </w:rPr>
        <w:t>1999年7月经韶关市建设委员会批准该公司增项工业与民用建筑工程</w:t>
      </w:r>
      <w:r>
        <w:rPr>
          <w:rFonts w:hint="eastAsia" w:ascii="宋体" w:hAnsi="宋体"/>
          <w:szCs w:val="21"/>
        </w:rPr>
        <w:t>施工四级企业资质。该公司注册资金</w:t>
      </w:r>
      <w:r>
        <w:rPr>
          <w:rFonts w:ascii="宋体" w:hAnsi="宋体"/>
          <w:szCs w:val="21"/>
        </w:rPr>
        <w:t>1010.6万元，固定资产736万元。有施工机械</w:t>
      </w:r>
      <w:r>
        <w:rPr>
          <w:rFonts w:hint="eastAsia" w:ascii="宋体" w:hAnsi="宋体"/>
          <w:szCs w:val="21"/>
        </w:rPr>
        <w:t>设备和质量检验测试仪器</w:t>
      </w:r>
      <w:r>
        <w:rPr>
          <w:rFonts w:ascii="宋体" w:hAnsi="宋体"/>
          <w:szCs w:val="21"/>
        </w:rPr>
        <w:t>136台，动力机械总功率为2501.4千瓦。下属三个工区，</w:t>
      </w:r>
      <w:r>
        <w:rPr>
          <w:rFonts w:hint="eastAsia" w:ascii="宋体" w:hAnsi="宋体"/>
          <w:szCs w:val="21"/>
        </w:rPr>
        <w:t>一个砼空心砖厂，一个预制加工厂。有工程技术人员和经济管理人员</w:t>
      </w:r>
      <w:r>
        <w:rPr>
          <w:rFonts w:ascii="宋体" w:hAnsi="宋体"/>
          <w:szCs w:val="21"/>
        </w:rPr>
        <w:t>63人，其中：</w:t>
      </w:r>
      <w:r>
        <w:rPr>
          <w:rFonts w:hint="eastAsia" w:ascii="宋体" w:hAnsi="宋体"/>
          <w:szCs w:val="21"/>
        </w:rPr>
        <w:t>工程师</w:t>
      </w:r>
      <w:r>
        <w:rPr>
          <w:rFonts w:ascii="宋体" w:hAnsi="宋体"/>
          <w:szCs w:val="21"/>
        </w:rPr>
        <w:t>12人，助理工程师20人，工程技术人员17人，三级项目经理13人，会计师1人。</w:t>
      </w:r>
    </w:p>
    <w:p w14:paraId="24DFC8B3">
      <w:pPr>
        <w:ind w:firstLine="422"/>
        <w:rPr>
          <w:rFonts w:ascii="宋体" w:hAnsi="宋体"/>
          <w:b/>
          <w:szCs w:val="21"/>
        </w:rPr>
      </w:pPr>
      <w:r>
        <w:rPr>
          <w:rFonts w:hint="eastAsia" w:ascii="宋体" w:hAnsi="宋体"/>
          <w:b/>
          <w:szCs w:val="21"/>
        </w:rPr>
        <w:t>雄州建筑工程公司</w:t>
      </w:r>
    </w:p>
    <w:p w14:paraId="398B04E0">
      <w:pPr>
        <w:ind w:firstLine="420"/>
        <w:rPr>
          <w:rFonts w:ascii="宋体" w:hAnsi="宋体"/>
          <w:szCs w:val="21"/>
        </w:rPr>
      </w:pPr>
      <w:r>
        <w:rPr>
          <w:rFonts w:hint="eastAsia" w:ascii="宋体" w:hAnsi="宋体"/>
          <w:szCs w:val="21"/>
        </w:rPr>
        <w:t>该公司成立于</w:t>
      </w:r>
      <w:r>
        <w:rPr>
          <w:rFonts w:ascii="宋体" w:hAnsi="宋体"/>
          <w:szCs w:val="21"/>
        </w:rPr>
        <w:t>1968年6月，原名南雄县城关镇修建工程队。1993年经上级业务</w:t>
      </w:r>
      <w:r>
        <w:rPr>
          <w:rFonts w:hint="eastAsia" w:ascii="宋体" w:hAnsi="宋体"/>
          <w:szCs w:val="21"/>
        </w:rPr>
        <w:t>主管部门批准为三级施工企业，更名为雄州镇建筑工程公司。公司拥有施工机械设备</w:t>
      </w:r>
      <w:r>
        <w:rPr>
          <w:rFonts w:ascii="宋体" w:hAnsi="宋体"/>
          <w:szCs w:val="21"/>
        </w:rPr>
        <w:t>238台，动力总功率887.2千瓦。有各类技术人员和经济管理人员64人，其中，工程</w:t>
      </w:r>
      <w:r>
        <w:rPr>
          <w:rFonts w:hint="eastAsia" w:ascii="宋体" w:hAnsi="宋体"/>
          <w:szCs w:val="21"/>
        </w:rPr>
        <w:t>师</w:t>
      </w:r>
      <w:r>
        <w:rPr>
          <w:rFonts w:ascii="宋体" w:hAnsi="宋体"/>
          <w:szCs w:val="21"/>
        </w:rPr>
        <w:t>10人，助理工程师12人，技术人员13人，项目经理12人。</w:t>
      </w:r>
    </w:p>
    <w:p w14:paraId="329A479D">
      <w:pPr>
        <w:ind w:firstLine="422"/>
        <w:rPr>
          <w:rFonts w:ascii="宋体" w:hAnsi="宋体"/>
          <w:b/>
          <w:szCs w:val="21"/>
        </w:rPr>
      </w:pPr>
      <w:r>
        <w:rPr>
          <w:rFonts w:hint="eastAsia" w:ascii="宋体" w:hAnsi="宋体"/>
          <w:b/>
          <w:szCs w:val="21"/>
        </w:rPr>
        <w:t>民营建筑企业</w:t>
      </w:r>
    </w:p>
    <w:p w14:paraId="56869727">
      <w:pPr>
        <w:ind w:firstLine="420"/>
        <w:rPr>
          <w:rFonts w:ascii="宋体" w:hAnsi="宋体"/>
          <w:szCs w:val="21"/>
        </w:rPr>
      </w:pPr>
      <w:r>
        <w:rPr>
          <w:rFonts w:hint="eastAsia" w:ascii="宋体" w:hAnsi="宋体"/>
          <w:szCs w:val="21"/>
        </w:rPr>
        <w:t>南雄市乐达建筑工程有限公司。公司成立于</w:t>
      </w:r>
      <w:r>
        <w:rPr>
          <w:rFonts w:ascii="宋体" w:hAnsi="宋体"/>
          <w:szCs w:val="21"/>
        </w:rPr>
        <w:t>2003年7月，企业资质为建筑三级</w:t>
      </w:r>
      <w:r>
        <w:rPr>
          <w:rFonts w:hint="eastAsia" w:ascii="宋体" w:hAnsi="宋体"/>
          <w:szCs w:val="21"/>
        </w:rPr>
        <w:t>。在册职工</w:t>
      </w:r>
      <w:r>
        <w:rPr>
          <w:rFonts w:ascii="宋体" w:hAnsi="宋体"/>
          <w:szCs w:val="21"/>
        </w:rPr>
        <w:t>86人，其中：建筑类工程师15人，助理工程师20人，各类经济管理人员19人，具有三级资质的项目经理10人。该公司注册资金600万元，固定资产250万</w:t>
      </w:r>
      <w:r>
        <w:rPr>
          <w:rFonts w:hint="eastAsia" w:ascii="宋体" w:hAnsi="宋体"/>
          <w:szCs w:val="21"/>
        </w:rPr>
        <w:t>元，净值</w:t>
      </w:r>
      <w:r>
        <w:rPr>
          <w:rFonts w:ascii="宋体" w:hAnsi="宋体"/>
          <w:szCs w:val="21"/>
        </w:rPr>
        <w:t>200万元。施工机械设备43台（件），动力机械总功率1118千瓦。</w:t>
      </w:r>
    </w:p>
    <w:p w14:paraId="6471EE52">
      <w:pPr>
        <w:pStyle w:val="5"/>
        <w:rPr>
          <w:rFonts w:ascii="宋体" w:hAnsi="宋体"/>
        </w:rPr>
      </w:pPr>
      <w:r>
        <w:rPr>
          <w:rFonts w:hint="eastAsia" w:ascii="宋体" w:hAnsi="宋体"/>
        </w:rPr>
        <w:t>三、建筑质量管理</w:t>
      </w:r>
    </w:p>
    <w:p w14:paraId="75CA2E32">
      <w:pPr>
        <w:ind w:firstLine="420"/>
        <w:rPr>
          <w:rFonts w:ascii="宋体" w:hAnsi="宋体"/>
          <w:szCs w:val="21"/>
        </w:rPr>
      </w:pPr>
      <w:r>
        <w:rPr>
          <w:rFonts w:ascii="宋体" w:hAnsi="宋体"/>
          <w:szCs w:val="21"/>
        </w:rPr>
        <w:t>1985年，南雄城乡建设委员会设立建筑工程质量监督站。而后更名为建筑工程</w:t>
      </w:r>
      <w:r>
        <w:rPr>
          <w:rFonts w:hint="eastAsia" w:ascii="宋体" w:hAnsi="宋体"/>
          <w:szCs w:val="21"/>
        </w:rPr>
        <w:t>安全质量监督站，负责全市范围建筑工程的质量安全和监督管理。该站有专业技术人员</w:t>
      </w:r>
      <w:r>
        <w:rPr>
          <w:rFonts w:ascii="宋体" w:hAnsi="宋体"/>
          <w:szCs w:val="21"/>
        </w:rPr>
        <w:t>9人，其中工程师1人，助理工程师4人，技术员1人；从事质量监督4人，安全</w:t>
      </w:r>
      <w:r>
        <w:rPr>
          <w:rFonts w:hint="eastAsia" w:ascii="宋体" w:hAnsi="宋体"/>
          <w:szCs w:val="21"/>
        </w:rPr>
        <w:t>监督</w:t>
      </w:r>
      <w:r>
        <w:rPr>
          <w:rFonts w:ascii="宋体" w:hAnsi="宋体"/>
          <w:szCs w:val="21"/>
        </w:rPr>
        <w:t>3人。配备各类质量监督、检测试验设备48台（套）。</w:t>
      </w:r>
    </w:p>
    <w:p w14:paraId="55139519">
      <w:pPr>
        <w:ind w:firstLine="420"/>
        <w:rPr>
          <w:rFonts w:ascii="宋体" w:hAnsi="宋体"/>
          <w:szCs w:val="21"/>
        </w:rPr>
      </w:pPr>
      <w:r>
        <w:rPr>
          <w:rFonts w:ascii="宋体" w:hAnsi="宋体"/>
          <w:szCs w:val="21"/>
        </w:rPr>
        <w:t>1988年至2005年11月，共检查验收工程1530项，建筑面积达275.58万平方</w:t>
      </w:r>
      <w:r>
        <w:rPr>
          <w:rFonts w:hint="eastAsia" w:ascii="宋体" w:hAnsi="宋体"/>
          <w:szCs w:val="21"/>
        </w:rPr>
        <w:t>米；其中优良工程</w:t>
      </w:r>
      <w:r>
        <w:rPr>
          <w:rFonts w:ascii="宋体" w:hAnsi="宋体"/>
          <w:szCs w:val="21"/>
        </w:rPr>
        <w:t>265项，一次性通过验收合格工程1254项，不合格工程11项（经</w:t>
      </w:r>
      <w:r>
        <w:rPr>
          <w:rFonts w:hint="eastAsia" w:ascii="宋体" w:hAnsi="宋体"/>
          <w:szCs w:val="21"/>
        </w:rPr>
        <w:t>返工后验收合格），合格率为</w:t>
      </w:r>
      <w:r>
        <w:rPr>
          <w:rFonts w:ascii="宋体" w:hAnsi="宋体"/>
          <w:szCs w:val="21"/>
        </w:rPr>
        <w:t>99.3%，工程优良率为17.3%，获评韶关市“双优”</w:t>
      </w:r>
      <w:r>
        <w:rPr>
          <w:rFonts w:hint="eastAsia" w:ascii="宋体" w:hAnsi="宋体"/>
          <w:szCs w:val="21"/>
        </w:rPr>
        <w:t>工地</w:t>
      </w:r>
      <w:r>
        <w:rPr>
          <w:rFonts w:ascii="宋体" w:hAnsi="宋体"/>
          <w:szCs w:val="21"/>
        </w:rPr>
        <w:t>3项，韶关市优良样板工程3项。</w:t>
      </w:r>
    </w:p>
    <w:p w14:paraId="79C9C234">
      <w:pPr>
        <w:ind w:firstLine="420"/>
        <w:rPr>
          <w:rFonts w:ascii="宋体" w:hAnsi="宋体"/>
          <w:szCs w:val="21"/>
        </w:rPr>
      </w:pPr>
      <w:r>
        <w:rPr>
          <w:rFonts w:hint="eastAsia" w:ascii="宋体" w:hAnsi="宋体"/>
          <w:szCs w:val="21"/>
        </w:rPr>
        <w:t>针对全市建材市场的发展需要，为确保建设工程质量，保证合格建材的使用，于</w:t>
      </w:r>
      <w:r>
        <w:rPr>
          <w:rFonts w:ascii="宋体" w:hAnsi="宋体"/>
          <w:szCs w:val="21"/>
        </w:rPr>
        <w:t>2002年成立了南雄市建筑工程质量检测中心，购置了一批先进的检测设备，建立了</w:t>
      </w:r>
      <w:r>
        <w:rPr>
          <w:rFonts w:hint="eastAsia" w:ascii="宋体" w:hAnsi="宋体"/>
          <w:szCs w:val="21"/>
        </w:rPr>
        <w:t>力学、土工、水泥、砖砂石配合比等试验室，严格照国家技术标准进行检测，有效确保全市建筑工程质量，保证工程合格建材的使用。</w:t>
      </w:r>
    </w:p>
    <w:p w14:paraId="353AA807">
      <w:pPr>
        <w:pStyle w:val="5"/>
        <w:rPr>
          <w:rFonts w:ascii="宋体" w:hAnsi="宋体"/>
        </w:rPr>
      </w:pPr>
      <w:r>
        <w:rPr>
          <w:rFonts w:hint="eastAsia" w:ascii="宋体" w:hAnsi="宋体"/>
        </w:rPr>
        <w:t>四、南雄水泥厂</w:t>
      </w:r>
    </w:p>
    <w:p w14:paraId="6B6CD82D">
      <w:pPr>
        <w:ind w:firstLine="420"/>
        <w:rPr>
          <w:rFonts w:ascii="宋体" w:hAnsi="宋体"/>
          <w:szCs w:val="21"/>
        </w:rPr>
      </w:pPr>
      <w:r>
        <w:rPr>
          <w:rFonts w:hint="eastAsia" w:ascii="宋体" w:hAnsi="宋体"/>
          <w:szCs w:val="21"/>
        </w:rPr>
        <w:t>南雄水泥厂于</w:t>
      </w:r>
      <w:r>
        <w:rPr>
          <w:rFonts w:ascii="宋体" w:hAnsi="宋体"/>
          <w:szCs w:val="21"/>
        </w:rPr>
        <w:t>1970年建立，1984年扩建3.2万吨水泥生产线，1993年扩建8.8</w:t>
      </w:r>
      <w:r>
        <w:rPr>
          <w:rFonts w:hint="eastAsia" w:ascii="宋体" w:hAnsi="宋体"/>
          <w:szCs w:val="21"/>
        </w:rPr>
        <w:t>万吨水泥生产线，年生产能力由建厂初期的</w:t>
      </w:r>
      <w:r>
        <w:rPr>
          <w:rFonts w:ascii="宋体" w:hAnsi="宋体"/>
          <w:szCs w:val="21"/>
        </w:rPr>
        <w:t>0.3万吨上升到13万吨，从生产325＃R</w:t>
      </w:r>
      <w:r>
        <w:rPr>
          <w:rFonts w:hint="eastAsia" w:ascii="宋体" w:hAnsi="宋体"/>
          <w:szCs w:val="21"/>
        </w:rPr>
        <w:t>水泥发展到生产</w:t>
      </w:r>
      <w:r>
        <w:rPr>
          <w:rFonts w:ascii="宋体" w:hAnsi="宋体"/>
          <w:szCs w:val="21"/>
        </w:rPr>
        <w:t>425＃R早强型和525＃高标号水泥。1995年至1996年，由于市场经济</w:t>
      </w:r>
      <w:r>
        <w:rPr>
          <w:rFonts w:hint="eastAsia" w:ascii="宋体" w:hAnsi="宋体"/>
          <w:szCs w:val="21"/>
        </w:rPr>
        <w:t>竞争激烈和国家基本建设宏观调控等因素，加上自身生产管理一度失控，导致企业转入困境，</w:t>
      </w:r>
      <w:r>
        <w:rPr>
          <w:rFonts w:ascii="宋体" w:hAnsi="宋体"/>
          <w:szCs w:val="21"/>
        </w:rPr>
        <w:t>2</w:t>
      </w:r>
      <w:r>
        <w:rPr>
          <w:rFonts w:hint="eastAsia" w:ascii="宋体" w:hAnsi="宋体"/>
          <w:szCs w:val="21"/>
        </w:rPr>
        <w:t>0</w:t>
      </w:r>
      <w:r>
        <w:rPr>
          <w:rFonts w:ascii="宋体" w:hAnsi="宋体"/>
          <w:szCs w:val="21"/>
        </w:rPr>
        <w:t>00年8月停产。同年12月由刘楚江（民营企业）委托经营。2001年4月25日，南雄人民法院宣布水泥厂依法破产，并于2001年6月成立破产清算组，委托</w:t>
      </w:r>
      <w:r>
        <w:rPr>
          <w:rFonts w:hint="eastAsia" w:ascii="宋体" w:hAnsi="宋体"/>
          <w:szCs w:val="21"/>
        </w:rPr>
        <w:t>韶关市拍卖行于</w:t>
      </w:r>
      <w:r>
        <w:rPr>
          <w:rFonts w:ascii="宋体" w:hAnsi="宋体"/>
          <w:szCs w:val="21"/>
        </w:rPr>
        <w:t>2001年10月25日公开拍卖，结果由广东南雄金马纤维板制品有限</w:t>
      </w:r>
      <w:r>
        <w:rPr>
          <w:rFonts w:hint="eastAsia" w:ascii="宋体" w:hAnsi="宋体"/>
          <w:szCs w:val="21"/>
        </w:rPr>
        <w:t>公司以人民币</w:t>
      </w:r>
      <w:r>
        <w:rPr>
          <w:rFonts w:ascii="宋体" w:hAnsi="宋体"/>
          <w:szCs w:val="21"/>
        </w:rPr>
        <w:t>1600万元兑卖。但由于拍卖标的中的3.2万吨生产线等问题产生纠纷，1600万元人民币的拍卖款没有兑现，经广东省高级人民法院调解，金马公司于2004</w:t>
      </w:r>
      <w:r>
        <w:rPr>
          <w:rFonts w:hint="eastAsia" w:ascii="宋体" w:hAnsi="宋体"/>
          <w:szCs w:val="21"/>
        </w:rPr>
        <w:t>年</w:t>
      </w:r>
      <w:r>
        <w:rPr>
          <w:rFonts w:ascii="宋体" w:hAnsi="宋体"/>
          <w:szCs w:val="21"/>
        </w:rPr>
        <w:t>7月22日将原南雄水泥厂归还给破产清算组，破产清算组收回水泥厂后按破产程</w:t>
      </w:r>
      <w:r>
        <w:rPr>
          <w:rFonts w:hint="eastAsia" w:ascii="宋体" w:hAnsi="宋体"/>
          <w:szCs w:val="21"/>
        </w:rPr>
        <w:t>序将水泥厂以人民币</w:t>
      </w:r>
      <w:r>
        <w:rPr>
          <w:rFonts w:ascii="宋体" w:hAnsi="宋体"/>
          <w:szCs w:val="21"/>
        </w:rPr>
        <w:t>845万元卖给了刘楚江，更名为南雄市楚雄水泥发展有限公司。2004年生产水泥10万吨，比上年增长12.1%。</w:t>
      </w:r>
    </w:p>
    <w:p w14:paraId="6D1545E3">
      <w:pPr>
        <w:pStyle w:val="3"/>
        <w:rPr>
          <w:rFonts w:ascii="宋体" w:hAnsi="宋体"/>
        </w:rPr>
      </w:pPr>
      <w:r>
        <w:rPr>
          <w:rFonts w:hint="eastAsia" w:ascii="宋体" w:hAnsi="宋体"/>
        </w:rPr>
        <w:t>第八章  国内贸易</w:t>
      </w:r>
    </w:p>
    <w:p w14:paraId="0B9953D3">
      <w:pPr>
        <w:pStyle w:val="4"/>
        <w:rPr>
          <w:rFonts w:ascii="宋体" w:hAnsi="宋体"/>
        </w:rPr>
      </w:pPr>
      <w:r>
        <w:rPr>
          <w:rFonts w:hint="eastAsia" w:ascii="宋体" w:hAnsi="宋体"/>
        </w:rPr>
        <w:t>第一节  商业发展概况</w:t>
      </w:r>
    </w:p>
    <w:p w14:paraId="35FADBE9">
      <w:pPr>
        <w:ind w:firstLine="420"/>
        <w:rPr>
          <w:rFonts w:ascii="宋体" w:hAnsi="宋体"/>
          <w:szCs w:val="21"/>
        </w:rPr>
      </w:pPr>
      <w:r>
        <w:rPr>
          <w:rFonts w:hint="eastAsia" w:ascii="宋体" w:hAnsi="宋体"/>
          <w:szCs w:val="21"/>
        </w:rPr>
        <w:t>中华人民共和国成立初期，</w:t>
      </w:r>
      <w:r>
        <w:rPr>
          <w:rFonts w:ascii="宋体" w:hAnsi="宋体"/>
          <w:szCs w:val="21"/>
        </w:rPr>
        <w:t>1950年至1951年，县政府开展工商业普查登记，全</w:t>
      </w:r>
      <w:r>
        <w:rPr>
          <w:rFonts w:hint="eastAsia" w:ascii="宋体" w:hAnsi="宋体"/>
          <w:szCs w:val="21"/>
        </w:rPr>
        <w:t>县有私营商业</w:t>
      </w:r>
      <w:r>
        <w:rPr>
          <w:rFonts w:ascii="宋体" w:hAnsi="宋体"/>
          <w:szCs w:val="21"/>
        </w:rPr>
        <w:t>2087户，饮食业148户，服务业151户。1953年12月，国家对粮食实</w:t>
      </w:r>
      <w:r>
        <w:rPr>
          <w:rFonts w:hint="eastAsia" w:ascii="宋体" w:hAnsi="宋体"/>
          <w:szCs w:val="21"/>
        </w:rPr>
        <w:t>行统购统销，私营粮商大都转业停业。</w:t>
      </w:r>
    </w:p>
    <w:p w14:paraId="38F9D083">
      <w:pPr>
        <w:ind w:firstLine="420"/>
        <w:rPr>
          <w:rFonts w:ascii="宋体" w:hAnsi="宋体"/>
          <w:szCs w:val="21"/>
        </w:rPr>
      </w:pPr>
      <w:r>
        <w:rPr>
          <w:rFonts w:ascii="宋体" w:hAnsi="宋体"/>
          <w:szCs w:val="21"/>
        </w:rPr>
        <w:t>1954年7月，国家对烟叶实行统购，禁止私商经营。同年9月，国家对棉花</w:t>
      </w:r>
      <w:r>
        <w:rPr>
          <w:rFonts w:hint="eastAsia" w:ascii="宋体" w:hAnsi="宋体"/>
          <w:szCs w:val="21"/>
        </w:rPr>
        <w:t>、棉布实行统购统销，私营棉布商除少数维持经营外，大都转业或停业。</w:t>
      </w:r>
    </w:p>
    <w:p w14:paraId="62770093">
      <w:pPr>
        <w:ind w:firstLine="420"/>
        <w:rPr>
          <w:rFonts w:ascii="宋体" w:hAnsi="宋体"/>
          <w:szCs w:val="21"/>
        </w:rPr>
      </w:pPr>
      <w:r>
        <w:rPr>
          <w:rFonts w:ascii="宋体" w:hAnsi="宋体"/>
          <w:szCs w:val="21"/>
        </w:rPr>
        <w:t>1956年，进入社会主义改造高潮，全县1351户私商（含小商贩）完成改造，占</w:t>
      </w:r>
      <w:r>
        <w:rPr>
          <w:rFonts w:hint="eastAsia" w:ascii="宋体" w:hAnsi="宋体"/>
          <w:szCs w:val="21"/>
        </w:rPr>
        <w:t>私商的</w:t>
      </w:r>
      <w:r>
        <w:rPr>
          <w:rFonts w:ascii="宋体" w:hAnsi="宋体"/>
          <w:szCs w:val="21"/>
        </w:rPr>
        <w:t>71.5%，其中转为国营的36户，转为公私合营的332户，组成合作商店和小</w:t>
      </w:r>
      <w:r>
        <w:rPr>
          <w:rFonts w:hint="eastAsia" w:ascii="宋体" w:hAnsi="宋体"/>
          <w:szCs w:val="21"/>
        </w:rPr>
        <w:t>组的</w:t>
      </w:r>
      <w:r>
        <w:rPr>
          <w:rFonts w:ascii="宋体" w:hAnsi="宋体"/>
          <w:szCs w:val="21"/>
        </w:rPr>
        <w:t>983户。1958年，公私合营的私方人员和合作商店、合作小组成员，按行业归</w:t>
      </w:r>
      <w:r>
        <w:rPr>
          <w:rFonts w:hint="eastAsia" w:ascii="宋体" w:hAnsi="宋体"/>
          <w:szCs w:val="21"/>
        </w:rPr>
        <w:t>口，并入国营各专业公司，成为职工或资方人员。</w:t>
      </w:r>
    </w:p>
    <w:p w14:paraId="048B3FED">
      <w:pPr>
        <w:pStyle w:val="4"/>
        <w:rPr>
          <w:rFonts w:ascii="宋体" w:hAnsi="宋体"/>
        </w:rPr>
      </w:pPr>
      <w:r>
        <w:rPr>
          <w:rFonts w:hint="eastAsia" w:ascii="宋体" w:hAnsi="宋体"/>
        </w:rPr>
        <w:t>第二节  国有（营）商业体制改革</w:t>
      </w:r>
    </w:p>
    <w:p w14:paraId="0DD3127C">
      <w:pPr>
        <w:pStyle w:val="5"/>
        <w:rPr>
          <w:rFonts w:ascii="宋体" w:hAnsi="宋体"/>
        </w:rPr>
      </w:pPr>
      <w:r>
        <w:rPr>
          <w:rFonts w:hint="eastAsia" w:ascii="宋体" w:hAnsi="宋体"/>
        </w:rPr>
        <w:t>一、商业系统专业公司</w:t>
      </w:r>
    </w:p>
    <w:p w14:paraId="5CBCBC95">
      <w:pPr>
        <w:ind w:firstLine="420"/>
        <w:rPr>
          <w:rFonts w:ascii="宋体" w:hAnsi="宋体"/>
          <w:szCs w:val="21"/>
        </w:rPr>
      </w:pPr>
      <w:r>
        <w:rPr>
          <w:rFonts w:hint="eastAsia" w:ascii="宋体" w:hAnsi="宋体"/>
          <w:szCs w:val="21"/>
        </w:rPr>
        <w:t>新中国成立初期，韶关地区各专业批发站分别在南雄设立百货推销组或商店，其经营体制是物资上拨下卖，营业所得上缴回笼，统一集中的管理体制。</w:t>
      </w:r>
      <w:r>
        <w:rPr>
          <w:rFonts w:ascii="宋体" w:hAnsi="宋体"/>
          <w:szCs w:val="21"/>
        </w:rPr>
        <w:t>1956年成立</w:t>
      </w:r>
      <w:r>
        <w:rPr>
          <w:rFonts w:hint="eastAsia" w:ascii="宋体" w:hAnsi="宋体"/>
          <w:szCs w:val="21"/>
        </w:rPr>
        <w:t>南雄县商业局，先后组建了百货、纺织、食品、糖果、贸易等</w:t>
      </w:r>
      <w:r>
        <w:rPr>
          <w:rFonts w:ascii="宋体" w:hAnsi="宋体"/>
          <w:szCs w:val="21"/>
        </w:rPr>
        <w:t>10个专业公司。实行</w:t>
      </w:r>
      <w:r>
        <w:rPr>
          <w:rFonts w:hint="eastAsia" w:ascii="宋体" w:hAnsi="宋体"/>
          <w:szCs w:val="21"/>
        </w:rPr>
        <w:t>条条核算，双重领导。</w:t>
      </w:r>
      <w:r>
        <w:rPr>
          <w:rFonts w:ascii="宋体" w:hAnsi="宋体"/>
          <w:szCs w:val="21"/>
        </w:rPr>
        <w:t>1958年，将条条核算改为块块管理，商业企业的赢利，由商</w:t>
      </w:r>
      <w:r>
        <w:rPr>
          <w:rFonts w:hint="eastAsia" w:ascii="宋体" w:hAnsi="宋体"/>
          <w:szCs w:val="21"/>
        </w:rPr>
        <w:t>业局统一上缴地方财政。</w:t>
      </w:r>
      <w:r>
        <w:rPr>
          <w:rFonts w:ascii="宋体" w:hAnsi="宋体"/>
          <w:szCs w:val="21"/>
        </w:rPr>
        <w:t>1979年，商业企业实行利润留成制度，其留利比例为</w:t>
      </w:r>
      <w:r>
        <w:rPr>
          <w:rFonts w:hint="eastAsia" w:ascii="宋体" w:hAnsi="宋体"/>
          <w:szCs w:val="21"/>
        </w:rPr>
        <w:t>1</w:t>
      </w:r>
      <w:r>
        <w:rPr>
          <w:rFonts w:ascii="宋体" w:hAnsi="宋体"/>
          <w:szCs w:val="21"/>
        </w:rPr>
        <w:t>7.5%。1981年，商业利润留成改为“定率环比”，以上年利润为基数，每年递增3%。1983年，实行利改税后，企业逐步实行各种形式的承包经营责任制。1987年，</w:t>
      </w:r>
      <w:r>
        <w:rPr>
          <w:rFonts w:hint="eastAsia" w:ascii="宋体" w:hAnsi="宋体"/>
          <w:szCs w:val="21"/>
        </w:rPr>
        <w:t>商业系统有干部职工</w:t>
      </w:r>
      <w:r>
        <w:rPr>
          <w:rFonts w:ascii="宋体" w:hAnsi="宋体"/>
          <w:szCs w:val="21"/>
        </w:rPr>
        <w:t>1031人，商业企业有百货、纺织、五金、糖果、食品、信托</w:t>
      </w:r>
      <w:r>
        <w:rPr>
          <w:rFonts w:hint="eastAsia" w:ascii="宋体" w:hAnsi="宋体"/>
          <w:szCs w:val="21"/>
        </w:rPr>
        <w:t>、商业贸易中心、石油、饮食、服务、储运</w:t>
      </w:r>
      <w:r>
        <w:rPr>
          <w:rFonts w:ascii="宋体" w:hAnsi="宋体"/>
          <w:szCs w:val="21"/>
        </w:rPr>
        <w:t>11个公司，纯销售额2819万元。</w:t>
      </w:r>
    </w:p>
    <w:p w14:paraId="55F0A8B3">
      <w:pPr>
        <w:ind w:firstLine="420"/>
        <w:rPr>
          <w:rFonts w:ascii="宋体" w:hAnsi="宋体"/>
          <w:szCs w:val="21"/>
        </w:rPr>
      </w:pPr>
      <w:r>
        <w:rPr>
          <w:rFonts w:ascii="宋体" w:hAnsi="宋体"/>
          <w:szCs w:val="21"/>
        </w:rPr>
        <w:t>1988年至1995年，商业系统实施体制改革，全系统实行一局多制，因地制宜，</w:t>
      </w:r>
      <w:r>
        <w:rPr>
          <w:rFonts w:hint="eastAsia" w:ascii="宋体" w:hAnsi="宋体"/>
          <w:szCs w:val="21"/>
        </w:rPr>
        <w:t>一企一策，一店一策，先后采取了职工集体还本承包，个人招标承包，租赁经营和资产有偿转让</w:t>
      </w:r>
      <w:r>
        <w:rPr>
          <w:rFonts w:ascii="宋体" w:hAnsi="宋体"/>
          <w:szCs w:val="21"/>
        </w:rPr>
        <w:t>4种形式。在经营上，做到自主经营，自负盈亏，自我发展；在分配上，</w:t>
      </w:r>
      <w:r>
        <w:rPr>
          <w:rFonts w:hint="eastAsia" w:ascii="宋体" w:hAnsi="宋体"/>
          <w:szCs w:val="21"/>
        </w:rPr>
        <w:t>实行职工收入与岗位效益挂钩，多劳多得，调动了干部职工的积极性。</w:t>
      </w:r>
    </w:p>
    <w:p w14:paraId="6A627715">
      <w:pPr>
        <w:ind w:firstLine="420"/>
        <w:rPr>
          <w:rFonts w:ascii="宋体" w:hAnsi="宋体"/>
          <w:szCs w:val="21"/>
        </w:rPr>
      </w:pPr>
      <w:r>
        <w:rPr>
          <w:rFonts w:ascii="宋体" w:hAnsi="宋体"/>
          <w:szCs w:val="21"/>
        </w:rPr>
        <w:t>1997年机构改革，商业局改为商业总公司，属企业性质。1998年至2001年，商</w:t>
      </w:r>
      <w:r>
        <w:rPr>
          <w:rFonts w:hint="eastAsia" w:ascii="宋体" w:hAnsi="宋体"/>
          <w:szCs w:val="21"/>
        </w:rPr>
        <w:t>业系统推进产权制度改革，对企业原有干部职工一律解除劳动合同关系，给予一次性的经济补偿。为解决补偿资金，总公司拍卖批仓门店</w:t>
      </w:r>
      <w:r>
        <w:rPr>
          <w:rFonts w:ascii="宋体" w:hAnsi="宋体"/>
          <w:szCs w:val="21"/>
        </w:rPr>
        <w:t>33宗，共102间，筹集资金</w:t>
      </w:r>
      <w:r>
        <w:rPr>
          <w:rFonts w:hint="eastAsia" w:ascii="宋体" w:hAnsi="宋体"/>
          <w:szCs w:val="21"/>
        </w:rPr>
        <w:t>1</w:t>
      </w:r>
      <w:r>
        <w:rPr>
          <w:rFonts w:ascii="宋体" w:hAnsi="宋体"/>
          <w:szCs w:val="21"/>
        </w:rPr>
        <w:t>500万元。至2003年止，商业系统全面完成了转制，712名干部职工，解除了劳动</w:t>
      </w:r>
      <w:r>
        <w:rPr>
          <w:rFonts w:hint="eastAsia" w:ascii="宋体" w:hAnsi="宋体"/>
          <w:szCs w:val="21"/>
        </w:rPr>
        <w:t>合同关系，给予一次性经济补偿。对近五年退休的干部职工，单位出资为其购买社保、医保。</w:t>
      </w:r>
      <w:r>
        <w:rPr>
          <w:rFonts w:ascii="宋体" w:hAnsi="宋体"/>
          <w:szCs w:val="21"/>
        </w:rPr>
        <w:t>2004年底，商业系统保留干部职工16人，另返聘40人，负责处理8个子</w:t>
      </w:r>
      <w:r>
        <w:rPr>
          <w:rFonts w:hint="eastAsia" w:ascii="宋体" w:hAnsi="宋体"/>
          <w:szCs w:val="21"/>
        </w:rPr>
        <w:t>公司的日常工作。</w:t>
      </w:r>
    </w:p>
    <w:p w14:paraId="72A7A6F5">
      <w:pPr>
        <w:pStyle w:val="5"/>
        <w:rPr>
          <w:rFonts w:ascii="宋体" w:hAnsi="宋体"/>
        </w:rPr>
      </w:pPr>
      <w:r>
        <w:rPr>
          <w:rFonts w:hint="eastAsia" w:ascii="宋体" w:hAnsi="宋体"/>
        </w:rPr>
        <w:t>二、石油公司</w:t>
      </w:r>
    </w:p>
    <w:p w14:paraId="30AB06D2">
      <w:pPr>
        <w:ind w:firstLine="420"/>
        <w:rPr>
          <w:rFonts w:ascii="宋体" w:hAnsi="宋体"/>
          <w:szCs w:val="21"/>
        </w:rPr>
      </w:pPr>
      <w:r>
        <w:rPr>
          <w:rFonts w:hint="eastAsia" w:ascii="宋体" w:hAnsi="宋体"/>
          <w:szCs w:val="21"/>
        </w:rPr>
        <w:t>石油公司原是商业系统属下子公司。</w:t>
      </w:r>
      <w:r>
        <w:rPr>
          <w:rFonts w:ascii="宋体" w:hAnsi="宋体"/>
          <w:szCs w:val="21"/>
        </w:rPr>
        <w:t>1988年石油公司从商业划出，隶属县财委</w:t>
      </w:r>
      <w:r>
        <w:rPr>
          <w:rFonts w:hint="eastAsia" w:ascii="宋体" w:hAnsi="宋体"/>
          <w:szCs w:val="21"/>
        </w:rPr>
        <w:t>管辖。</w:t>
      </w:r>
      <w:r>
        <w:rPr>
          <w:rFonts w:ascii="宋体" w:hAnsi="宋体"/>
          <w:szCs w:val="21"/>
        </w:rPr>
        <w:t>1998年6月归中国石化广东韶关石油分公司垂直管理。2000年12月进行机构</w:t>
      </w:r>
      <w:r>
        <w:rPr>
          <w:rFonts w:hint="eastAsia" w:ascii="宋体" w:hAnsi="宋体"/>
          <w:szCs w:val="21"/>
        </w:rPr>
        <w:t>改革，</w:t>
      </w:r>
      <w:r>
        <w:rPr>
          <w:rFonts w:ascii="宋体" w:hAnsi="宋体"/>
          <w:szCs w:val="21"/>
        </w:rPr>
        <w:t>64名员工解除劳动合同关系，得一次性经济补偿。2001年，公司再次精简机</w:t>
      </w:r>
      <w:r>
        <w:rPr>
          <w:rFonts w:hint="eastAsia" w:ascii="宋体" w:hAnsi="宋体"/>
          <w:szCs w:val="21"/>
        </w:rPr>
        <w:t>构。至</w:t>
      </w:r>
      <w:r>
        <w:rPr>
          <w:rFonts w:ascii="宋体" w:hAnsi="宋体"/>
          <w:szCs w:val="21"/>
        </w:rPr>
        <w:t>2004年，公司在册人员仅3人</w:t>
      </w:r>
      <w:r>
        <w:rPr>
          <w:rFonts w:hint="eastAsia" w:ascii="宋体" w:hAnsi="宋体"/>
          <w:szCs w:val="21"/>
        </w:rPr>
        <w:t>。</w:t>
      </w:r>
    </w:p>
    <w:p w14:paraId="11F91AB9">
      <w:pPr>
        <w:ind w:firstLine="420"/>
        <w:rPr>
          <w:rFonts w:ascii="宋体" w:hAnsi="宋体"/>
          <w:szCs w:val="21"/>
        </w:rPr>
      </w:pPr>
      <w:r>
        <w:rPr>
          <w:rFonts w:hint="eastAsia" w:ascii="宋体" w:hAnsi="宋体"/>
          <w:szCs w:val="21"/>
        </w:rPr>
        <w:t>石油公司设有油库一个，</w:t>
      </w:r>
      <w:r>
        <w:rPr>
          <w:rFonts w:ascii="宋体" w:hAnsi="宋体"/>
          <w:szCs w:val="21"/>
        </w:rPr>
        <w:t>3个加油站，公司垂直后，加油站只管卖油，营业收入</w:t>
      </w:r>
      <w:r>
        <w:rPr>
          <w:rFonts w:hint="eastAsia" w:ascii="宋体" w:hAnsi="宋体"/>
          <w:szCs w:val="21"/>
        </w:rPr>
        <w:t>全部上解韶关市石油分公司。</w:t>
      </w:r>
    </w:p>
    <w:p w14:paraId="1C8403ED">
      <w:pPr>
        <w:pStyle w:val="5"/>
        <w:rPr>
          <w:rFonts w:ascii="宋体" w:hAnsi="宋体"/>
        </w:rPr>
      </w:pPr>
      <w:r>
        <w:rPr>
          <w:rFonts w:hint="eastAsia" w:ascii="宋体" w:hAnsi="宋体"/>
        </w:rPr>
        <w:t>三、医药总公司</w:t>
      </w:r>
    </w:p>
    <w:p w14:paraId="4020BB91">
      <w:pPr>
        <w:ind w:firstLine="420"/>
        <w:rPr>
          <w:rFonts w:ascii="宋体" w:hAnsi="宋体"/>
          <w:szCs w:val="21"/>
        </w:rPr>
      </w:pPr>
      <w:r>
        <w:rPr>
          <w:rFonts w:ascii="宋体" w:hAnsi="宋体"/>
          <w:szCs w:val="21"/>
        </w:rPr>
        <w:t>1955年5月，县百货公司设立医药专柜，经营西药、医疗器械。1956年4月，</w:t>
      </w:r>
      <w:r>
        <w:rPr>
          <w:rFonts w:hint="eastAsia" w:ascii="宋体" w:hAnsi="宋体"/>
          <w:szCs w:val="21"/>
        </w:rPr>
        <w:t>建立中国医药公司广东省南雄县公司，隶属县商业局管理。</w:t>
      </w:r>
      <w:r>
        <w:rPr>
          <w:rFonts w:ascii="宋体" w:hAnsi="宋体"/>
          <w:szCs w:val="21"/>
        </w:rPr>
        <w:t>8月，建立中国药材公司</w:t>
      </w:r>
      <w:r>
        <w:rPr>
          <w:rFonts w:hint="eastAsia" w:ascii="宋体" w:hAnsi="宋体"/>
          <w:szCs w:val="21"/>
        </w:rPr>
        <w:t>广东省南雄县公司。</w:t>
      </w:r>
      <w:r>
        <w:rPr>
          <w:rFonts w:ascii="宋体" w:hAnsi="宋体"/>
          <w:szCs w:val="21"/>
        </w:rPr>
        <w:t>1965年医药、药材两公司合并为药材公司。1969年改称为药品</w:t>
      </w:r>
      <w:r>
        <w:rPr>
          <w:rFonts w:hint="eastAsia" w:ascii="宋体" w:hAnsi="宋体"/>
          <w:szCs w:val="21"/>
        </w:rPr>
        <w:t>公司。</w:t>
      </w:r>
      <w:r>
        <w:rPr>
          <w:rFonts w:ascii="宋体" w:hAnsi="宋体"/>
          <w:szCs w:val="21"/>
        </w:rPr>
        <w:t>1987年升格为医药总公司，划归县经委管理，下属有药材生产开发、医药、</w:t>
      </w:r>
      <w:r>
        <w:rPr>
          <w:rFonts w:hint="eastAsia" w:ascii="宋体" w:hAnsi="宋体"/>
          <w:szCs w:val="21"/>
        </w:rPr>
        <w:t>药材、乌迳医药</w:t>
      </w:r>
      <w:r>
        <w:rPr>
          <w:rFonts w:ascii="宋体" w:hAnsi="宋体"/>
          <w:szCs w:val="21"/>
        </w:rPr>
        <w:t>4个子公司，23间门店，3个批发部，2个收购站，职工191人，纯</w:t>
      </w:r>
      <w:r>
        <w:rPr>
          <w:rFonts w:hint="eastAsia" w:ascii="宋体" w:hAnsi="宋体"/>
          <w:szCs w:val="21"/>
        </w:rPr>
        <w:t>销售额</w:t>
      </w:r>
      <w:r>
        <w:rPr>
          <w:rFonts w:ascii="宋体" w:hAnsi="宋体"/>
          <w:szCs w:val="21"/>
        </w:rPr>
        <w:t>755万元</w:t>
      </w:r>
      <w:r>
        <w:rPr>
          <w:rFonts w:hint="eastAsia" w:ascii="宋体" w:hAnsi="宋体"/>
          <w:szCs w:val="21"/>
        </w:rPr>
        <w:t>。</w:t>
      </w:r>
    </w:p>
    <w:p w14:paraId="4F2F02C0">
      <w:pPr>
        <w:ind w:firstLine="420"/>
        <w:rPr>
          <w:rFonts w:ascii="宋体" w:hAnsi="宋体"/>
          <w:szCs w:val="21"/>
        </w:rPr>
      </w:pPr>
      <w:r>
        <w:rPr>
          <w:rFonts w:ascii="宋体" w:hAnsi="宋体"/>
          <w:szCs w:val="21"/>
        </w:rPr>
        <w:t>1990年以后，医药总公司充分利用改革开放的政策优势，先后与毗邻地区江西</w:t>
      </w:r>
      <w:r>
        <w:rPr>
          <w:rFonts w:hint="eastAsia" w:ascii="宋体" w:hAnsi="宋体"/>
          <w:szCs w:val="21"/>
        </w:rPr>
        <w:t>省的上犹、崇义、兴国、于都、南康、大余、信丰、全南等县（市）各医院及乡镇医院建立了购销业务关系，取得了较好的经济效益。</w:t>
      </w:r>
      <w:r>
        <w:rPr>
          <w:rFonts w:ascii="宋体" w:hAnsi="宋体"/>
          <w:szCs w:val="21"/>
        </w:rPr>
        <w:t>1993年总销售2631万元，实现</w:t>
      </w:r>
      <w:r>
        <w:rPr>
          <w:rFonts w:hint="eastAsia" w:ascii="宋体" w:hAnsi="宋体"/>
          <w:szCs w:val="21"/>
        </w:rPr>
        <w:t>利润</w:t>
      </w:r>
      <w:r>
        <w:rPr>
          <w:rFonts w:ascii="宋体" w:hAnsi="宋体"/>
          <w:szCs w:val="21"/>
        </w:rPr>
        <w:t>19.9万元。以后，由于市场竞争激烈，公司经营效益逐年下降。至1997年亏损12.1万元。1998年至2002年，总公司对属下5个子公司33间店铺，全面推行承包</w:t>
      </w:r>
      <w:r>
        <w:rPr>
          <w:rFonts w:hint="eastAsia" w:ascii="宋体" w:hAnsi="宋体"/>
          <w:szCs w:val="21"/>
        </w:rPr>
        <w:t>经营责任制，实行自负盈亏。</w:t>
      </w:r>
      <w:r>
        <w:rPr>
          <w:rFonts w:ascii="宋体" w:hAnsi="宋体"/>
          <w:szCs w:val="21"/>
        </w:rPr>
        <w:t>2003年1月，进一步实施转制，对原有干部职工解除</w:t>
      </w:r>
      <w:r>
        <w:rPr>
          <w:rFonts w:hint="eastAsia" w:ascii="宋体" w:hAnsi="宋体"/>
          <w:szCs w:val="21"/>
        </w:rPr>
        <w:t>劳动合同关系，给予一次性的经济补偿。总公司留守正、副总经理</w:t>
      </w:r>
      <w:r>
        <w:rPr>
          <w:rFonts w:ascii="宋体" w:hAnsi="宋体"/>
          <w:szCs w:val="21"/>
        </w:rPr>
        <w:t>2人，负责日常</w:t>
      </w:r>
      <w:r>
        <w:rPr>
          <w:rFonts w:hint="eastAsia" w:ascii="宋体" w:hAnsi="宋体"/>
          <w:szCs w:val="21"/>
        </w:rPr>
        <w:t>工作。</w:t>
      </w:r>
    </w:p>
    <w:p w14:paraId="3259B29D">
      <w:pPr>
        <w:pStyle w:val="5"/>
        <w:rPr>
          <w:rFonts w:ascii="宋体" w:hAnsi="宋体"/>
        </w:rPr>
      </w:pPr>
      <w:r>
        <w:rPr>
          <w:rFonts w:hint="eastAsia" w:ascii="宋体" w:hAnsi="宋体"/>
        </w:rPr>
        <w:t>四、物资总公司</w:t>
      </w:r>
    </w:p>
    <w:p w14:paraId="7E3CC7FF">
      <w:pPr>
        <w:ind w:firstLine="420"/>
        <w:rPr>
          <w:rFonts w:ascii="宋体" w:hAnsi="宋体"/>
          <w:szCs w:val="21"/>
        </w:rPr>
      </w:pPr>
      <w:r>
        <w:rPr>
          <w:rFonts w:ascii="宋体" w:hAnsi="宋体"/>
          <w:szCs w:val="21"/>
        </w:rPr>
        <w:t>1959年以前，工业生产资料由商业局煤炭公司经营。1959年4月，县物资科成</w:t>
      </w:r>
      <w:r>
        <w:rPr>
          <w:rFonts w:hint="eastAsia" w:ascii="宋体" w:hAnsi="宋体"/>
          <w:szCs w:val="21"/>
        </w:rPr>
        <w:t>立。</w:t>
      </w:r>
      <w:r>
        <w:rPr>
          <w:rFonts w:ascii="宋体" w:hAnsi="宋体"/>
          <w:szCs w:val="21"/>
        </w:rPr>
        <w:t>1960年5月，改为物资局。1984年6月，改为物资总公司。1987年，总公司下</w:t>
      </w:r>
      <w:r>
        <w:rPr>
          <w:rFonts w:hint="eastAsia" w:ascii="宋体" w:hAnsi="宋体"/>
          <w:szCs w:val="21"/>
        </w:rPr>
        <w:t>设煤炭、生产资料服务、金属化建、机电设备</w:t>
      </w:r>
      <w:r>
        <w:rPr>
          <w:rFonts w:ascii="宋体" w:hAnsi="宋体"/>
          <w:szCs w:val="21"/>
        </w:rPr>
        <w:t>4个公司，有干部职工103人，物资销</w:t>
      </w:r>
      <w:r>
        <w:rPr>
          <w:rFonts w:hint="eastAsia" w:ascii="宋体" w:hAnsi="宋体"/>
          <w:szCs w:val="21"/>
        </w:rPr>
        <w:t>售总额</w:t>
      </w:r>
      <w:r>
        <w:rPr>
          <w:rFonts w:ascii="宋体" w:hAnsi="宋体"/>
          <w:szCs w:val="21"/>
        </w:rPr>
        <w:t>722万元。</w:t>
      </w:r>
    </w:p>
    <w:p w14:paraId="5C4242CE">
      <w:pPr>
        <w:ind w:firstLine="420"/>
        <w:rPr>
          <w:rFonts w:ascii="宋体" w:hAnsi="宋体"/>
          <w:szCs w:val="21"/>
        </w:rPr>
      </w:pPr>
      <w:r>
        <w:rPr>
          <w:rFonts w:ascii="宋体" w:hAnsi="宋体"/>
          <w:szCs w:val="21"/>
        </w:rPr>
        <w:t>1988年至1995年，物资流通部门，在大市场、大流通的格局下，市场占有率大</w:t>
      </w:r>
      <w:r>
        <w:rPr>
          <w:rFonts w:hint="eastAsia" w:ascii="宋体" w:hAnsi="宋体"/>
          <w:szCs w:val="21"/>
        </w:rPr>
        <w:t>幅度下降，经济效益差，亏损严重。</w:t>
      </w:r>
      <w:r>
        <w:rPr>
          <w:rFonts w:ascii="宋体" w:hAnsi="宋体"/>
          <w:szCs w:val="21"/>
        </w:rPr>
        <w:t>1993年亏损48.3万元，1995年亏损146.2万</w:t>
      </w:r>
      <w:r>
        <w:rPr>
          <w:rFonts w:hint="eastAsia" w:ascii="宋体" w:hAnsi="宋体"/>
          <w:szCs w:val="21"/>
        </w:rPr>
        <w:t>元。</w:t>
      </w:r>
      <w:r>
        <w:rPr>
          <w:rFonts w:ascii="宋体" w:hAnsi="宋体"/>
          <w:szCs w:val="21"/>
        </w:rPr>
        <w:t>1996年以后，物资部门为走出困境，实行改革，将20多间门店、仓库出租或转</w:t>
      </w:r>
      <w:r>
        <w:rPr>
          <w:rFonts w:hint="eastAsia" w:ascii="宋体" w:hAnsi="宋体"/>
          <w:szCs w:val="21"/>
        </w:rPr>
        <w:t>让，年收入转让、出租费</w:t>
      </w:r>
      <w:r>
        <w:rPr>
          <w:rFonts w:ascii="宋体" w:hAnsi="宋体"/>
          <w:szCs w:val="21"/>
        </w:rPr>
        <w:t>25万元，保证了在职人员和离退休人员的基本工资，稳定</w:t>
      </w:r>
      <w:r>
        <w:rPr>
          <w:rFonts w:hint="eastAsia" w:ascii="宋体" w:hAnsi="宋体"/>
          <w:szCs w:val="21"/>
        </w:rPr>
        <w:t>了职工队伍。</w:t>
      </w:r>
      <w:r>
        <w:rPr>
          <w:rFonts w:ascii="宋体" w:hAnsi="宋体"/>
          <w:szCs w:val="21"/>
        </w:rPr>
        <w:t>2000年9月，实行转制，对干部职工解除劳动合同关系，给予一次性</w:t>
      </w:r>
      <w:r>
        <w:rPr>
          <w:rFonts w:hint="eastAsia" w:ascii="宋体" w:hAnsi="宋体"/>
          <w:szCs w:val="21"/>
        </w:rPr>
        <w:t>经济补偿。总公司留守人员</w:t>
      </w:r>
      <w:r>
        <w:rPr>
          <w:rFonts w:ascii="宋体" w:hAnsi="宋体"/>
          <w:szCs w:val="21"/>
        </w:rPr>
        <w:t>19人（包括子公司）负责处理日常工作。</w:t>
      </w:r>
    </w:p>
    <w:p w14:paraId="15A2F2F3">
      <w:pPr>
        <w:pStyle w:val="4"/>
        <w:rPr>
          <w:rFonts w:ascii="宋体" w:hAnsi="宋体"/>
        </w:rPr>
      </w:pPr>
      <w:r>
        <w:rPr>
          <w:rFonts w:hint="eastAsia" w:ascii="宋体" w:hAnsi="宋体"/>
        </w:rPr>
        <w:t>第三节  供销合作社体制改革</w:t>
      </w:r>
    </w:p>
    <w:p w14:paraId="4D20FE29">
      <w:pPr>
        <w:ind w:firstLine="420"/>
        <w:rPr>
          <w:rFonts w:ascii="宋体" w:hAnsi="宋体"/>
          <w:szCs w:val="21"/>
        </w:rPr>
      </w:pPr>
      <w:r>
        <w:rPr>
          <w:rFonts w:ascii="宋体" w:hAnsi="宋体"/>
          <w:szCs w:val="21"/>
        </w:rPr>
        <w:t>1951年7月，南雄县合作总社成立。1952年底建立5个社区及城区工人消费社，</w:t>
      </w:r>
      <w:r>
        <w:rPr>
          <w:rFonts w:hint="eastAsia" w:ascii="宋体" w:hAnsi="宋体"/>
          <w:szCs w:val="21"/>
        </w:rPr>
        <w:t>有零售门店</w:t>
      </w:r>
      <w:r>
        <w:rPr>
          <w:rFonts w:ascii="宋体" w:hAnsi="宋体"/>
          <w:szCs w:val="21"/>
        </w:rPr>
        <w:t>16间，社员22329人，</w:t>
      </w:r>
      <w:r>
        <w:rPr>
          <w:rFonts w:hint="eastAsia" w:ascii="宋体" w:hAnsi="宋体"/>
          <w:szCs w:val="21"/>
        </w:rPr>
        <w:t>入</w:t>
      </w:r>
      <w:r>
        <w:rPr>
          <w:rFonts w:ascii="宋体" w:hAnsi="宋体"/>
          <w:szCs w:val="21"/>
        </w:rPr>
        <w:t>股金额3.8万元。1954年4月，总社改名为县</w:t>
      </w:r>
      <w:r>
        <w:rPr>
          <w:rFonts w:hint="eastAsia" w:ascii="宋体" w:hAnsi="宋体"/>
          <w:szCs w:val="21"/>
        </w:rPr>
        <w:t>供销合作社。</w:t>
      </w:r>
      <w:r>
        <w:rPr>
          <w:rFonts w:ascii="宋体" w:hAnsi="宋体"/>
          <w:szCs w:val="21"/>
        </w:rPr>
        <w:t>1955年6月，实行民主管理，召开了第一届社员代表大会，产生理事</w:t>
      </w:r>
      <w:r>
        <w:rPr>
          <w:rFonts w:hint="eastAsia" w:ascii="宋体" w:hAnsi="宋体"/>
          <w:szCs w:val="21"/>
        </w:rPr>
        <w:t>会、监事会。</w:t>
      </w:r>
      <w:r>
        <w:rPr>
          <w:rFonts w:ascii="宋体" w:hAnsi="宋体"/>
          <w:szCs w:val="21"/>
        </w:rPr>
        <w:t>1956年成立4个经理部（后改为公司）。1958年至1975年，曾两次并</w:t>
      </w:r>
      <w:r>
        <w:rPr>
          <w:rFonts w:hint="eastAsia" w:ascii="宋体" w:hAnsi="宋体"/>
          <w:szCs w:val="21"/>
        </w:rPr>
        <w:t>入县商业局。</w:t>
      </w:r>
      <w:r>
        <w:rPr>
          <w:rFonts w:ascii="宋体" w:hAnsi="宋体"/>
          <w:szCs w:val="21"/>
        </w:rPr>
        <w:t>1984年12月，更名为县供销合作联社。1987年，设有生产资料、土</w:t>
      </w:r>
      <w:r>
        <w:rPr>
          <w:rFonts w:hint="eastAsia" w:ascii="宋体" w:hAnsi="宋体"/>
          <w:szCs w:val="21"/>
        </w:rPr>
        <w:t>产、日用杂品、果茶副食品、综合贸易、储运等公司及联购服务部。在乡镇设有</w:t>
      </w:r>
      <w:r>
        <w:rPr>
          <w:rFonts w:ascii="宋体" w:hAnsi="宋体"/>
          <w:szCs w:val="21"/>
        </w:rPr>
        <w:t>19</w:t>
      </w:r>
      <w:r>
        <w:rPr>
          <w:rFonts w:hint="eastAsia" w:ascii="宋体" w:hAnsi="宋体"/>
          <w:szCs w:val="21"/>
        </w:rPr>
        <w:t>个基层社，经营机构</w:t>
      </w:r>
      <w:r>
        <w:rPr>
          <w:rFonts w:ascii="宋体" w:hAnsi="宋体"/>
          <w:szCs w:val="21"/>
        </w:rPr>
        <w:t>389个，干部、职工1391人，商品零售额3807万元，纯销售4203万元。</w:t>
      </w:r>
    </w:p>
    <w:p w14:paraId="1E4100FC">
      <w:pPr>
        <w:ind w:firstLine="420"/>
        <w:rPr>
          <w:rFonts w:ascii="宋体" w:hAnsi="宋体"/>
          <w:szCs w:val="21"/>
        </w:rPr>
      </w:pPr>
      <w:r>
        <w:rPr>
          <w:rFonts w:hint="eastAsia" w:ascii="宋体" w:hAnsi="宋体"/>
          <w:szCs w:val="21"/>
        </w:rPr>
        <w:t>从</w:t>
      </w:r>
      <w:r>
        <w:rPr>
          <w:rFonts w:ascii="宋体" w:hAnsi="宋体"/>
          <w:szCs w:val="21"/>
        </w:rPr>
        <w:t>1989年起，在全市19个基层供销社和8个公司及183间门店、批仓，推行资</w:t>
      </w:r>
      <w:r>
        <w:rPr>
          <w:rFonts w:hint="eastAsia" w:ascii="宋体" w:hAnsi="宋体"/>
          <w:szCs w:val="21"/>
        </w:rPr>
        <w:t>产有偿内部承包。</w:t>
      </w:r>
      <w:r>
        <w:rPr>
          <w:rFonts w:ascii="宋体" w:hAnsi="宋体"/>
          <w:szCs w:val="21"/>
        </w:rPr>
        <w:t>2001年，全面转制。通过资产变现，筹集置换补偿金1200多万</w:t>
      </w:r>
      <w:r>
        <w:rPr>
          <w:rFonts w:hint="eastAsia" w:ascii="宋体" w:hAnsi="宋体"/>
          <w:szCs w:val="21"/>
        </w:rPr>
        <w:t>元。买断工龄置换职工身份</w:t>
      </w:r>
      <w:r>
        <w:rPr>
          <w:rFonts w:ascii="宋体" w:hAnsi="宋体"/>
          <w:szCs w:val="21"/>
        </w:rPr>
        <w:t>1361人，给予一次性经济补偿。然后，通过资产重组、</w:t>
      </w:r>
      <w:r>
        <w:rPr>
          <w:rFonts w:hint="eastAsia" w:ascii="宋体" w:hAnsi="宋体"/>
          <w:szCs w:val="21"/>
        </w:rPr>
        <w:t>业务重组，依托原直属企业的农机、食盐、烟花爆竹、废旧物资、汽修等优势业务，重新组建了万丰、万隆、万安、农资、肉联厂</w:t>
      </w:r>
      <w:r>
        <w:rPr>
          <w:rFonts w:ascii="宋体" w:hAnsi="宋体"/>
          <w:szCs w:val="21"/>
        </w:rPr>
        <w:t>5个由市社控股的有限责任公司。同时</w:t>
      </w:r>
      <w:r>
        <w:rPr>
          <w:rFonts w:hint="eastAsia" w:ascii="宋体" w:hAnsi="宋体"/>
          <w:szCs w:val="21"/>
        </w:rPr>
        <w:t>还按经济区域，新组建了乌迳、水口、珠玑、大塘、雄州、百顺</w:t>
      </w:r>
      <w:r>
        <w:rPr>
          <w:rFonts w:ascii="宋体" w:hAnsi="宋体"/>
          <w:szCs w:val="21"/>
        </w:rPr>
        <w:t>6个中心基层社，从</w:t>
      </w:r>
      <w:r>
        <w:rPr>
          <w:rFonts w:hint="eastAsia" w:ascii="宋体" w:hAnsi="宋体"/>
          <w:szCs w:val="21"/>
        </w:rPr>
        <w:t>而使转制后的供销系统，形成上有市社，中间有龙头企业（有限责任公司），下有经营网点（基层中心社）的企业架构。通过调整经营结构，开拓了板鸭养殖加工、甜玉米种植加工以及香芋、椰菜等无公害蔬菜种植。</w:t>
      </w:r>
      <w:r>
        <w:rPr>
          <w:rFonts w:ascii="宋体" w:hAnsi="宋体"/>
          <w:szCs w:val="21"/>
        </w:rPr>
        <w:t>2003年4月，国家人事部、全国</w:t>
      </w:r>
      <w:r>
        <w:rPr>
          <w:rFonts w:hint="eastAsia" w:ascii="宋体" w:hAnsi="宋体"/>
          <w:szCs w:val="21"/>
        </w:rPr>
        <w:t>总社授予南雄市供销社为“全国供销合作社先进集体”称号。</w:t>
      </w:r>
    </w:p>
    <w:p w14:paraId="1E585EB4">
      <w:pPr>
        <w:pStyle w:val="4"/>
        <w:rPr>
          <w:rFonts w:ascii="宋体" w:hAnsi="宋体"/>
        </w:rPr>
      </w:pPr>
      <w:r>
        <w:rPr>
          <w:rFonts w:hint="eastAsia" w:ascii="宋体" w:hAnsi="宋体"/>
        </w:rPr>
        <w:t>第四节  发展私营、个体商业</w:t>
      </w:r>
    </w:p>
    <w:p w14:paraId="50ADFA06">
      <w:pPr>
        <w:pStyle w:val="5"/>
        <w:rPr>
          <w:rFonts w:ascii="宋体" w:hAnsi="宋体"/>
        </w:rPr>
      </w:pPr>
      <w:r>
        <w:rPr>
          <w:rFonts w:hint="eastAsia" w:ascii="宋体" w:hAnsi="宋体"/>
        </w:rPr>
        <w:t>一、私营商业</w:t>
      </w:r>
    </w:p>
    <w:p w14:paraId="67BA943A">
      <w:pPr>
        <w:ind w:firstLine="420"/>
        <w:rPr>
          <w:rFonts w:ascii="宋体" w:hAnsi="宋体"/>
          <w:szCs w:val="21"/>
        </w:rPr>
      </w:pPr>
      <w:r>
        <w:rPr>
          <w:rFonts w:hint="eastAsia" w:ascii="宋体" w:hAnsi="宋体"/>
          <w:szCs w:val="21"/>
        </w:rPr>
        <w:t>改革开放后，私营商业企业逐步得到发展。</w:t>
      </w:r>
      <w:r>
        <w:rPr>
          <w:rFonts w:ascii="宋体" w:hAnsi="宋体"/>
          <w:szCs w:val="21"/>
        </w:rPr>
        <w:t>1993年私营商业企业有11户，从业</w:t>
      </w:r>
      <w:r>
        <w:rPr>
          <w:rFonts w:hint="eastAsia" w:ascii="宋体" w:hAnsi="宋体"/>
          <w:szCs w:val="21"/>
        </w:rPr>
        <w:t>人员</w:t>
      </w:r>
      <w:r>
        <w:rPr>
          <w:rFonts w:ascii="宋体" w:hAnsi="宋体"/>
          <w:szCs w:val="21"/>
        </w:rPr>
        <w:t>566人，注册资金90万元。1995年，私营商业企业发展到48户，从业人员1472人，注册资金1281万元。由于市场经济竞争激烈，有的私营商业企业因经营不</w:t>
      </w:r>
      <w:r>
        <w:rPr>
          <w:rFonts w:hint="eastAsia" w:ascii="宋体" w:hAnsi="宋体"/>
          <w:szCs w:val="21"/>
        </w:rPr>
        <w:t>善而淘汰。至</w:t>
      </w:r>
      <w:r>
        <w:rPr>
          <w:rFonts w:ascii="宋体" w:hAnsi="宋体"/>
          <w:szCs w:val="21"/>
        </w:rPr>
        <w:t>2004年底，全市私营商业企业共有31户，从业人员484人。主要私营</w:t>
      </w:r>
      <w:r>
        <w:rPr>
          <w:rFonts w:hint="eastAsia" w:ascii="宋体" w:hAnsi="宋体"/>
          <w:szCs w:val="21"/>
        </w:rPr>
        <w:t>商业企业：</w:t>
      </w:r>
    </w:p>
    <w:p w14:paraId="13997E06">
      <w:pPr>
        <w:ind w:firstLine="420"/>
        <w:rPr>
          <w:rFonts w:ascii="宋体" w:hAnsi="宋体"/>
          <w:szCs w:val="21"/>
        </w:rPr>
      </w:pPr>
      <w:r>
        <w:rPr>
          <w:rFonts w:hint="eastAsia" w:ascii="宋体" w:hAnsi="宋体"/>
          <w:szCs w:val="21"/>
        </w:rPr>
        <w:t>珠玑大酒店。落成于</w:t>
      </w:r>
      <w:r>
        <w:rPr>
          <w:rFonts w:ascii="宋体" w:hAnsi="宋体"/>
          <w:szCs w:val="21"/>
        </w:rPr>
        <w:t>1995年8月。2002年10月重新装修，2</w:t>
      </w:r>
      <w:r>
        <w:rPr>
          <w:rFonts w:hint="eastAsia" w:ascii="宋体" w:hAnsi="宋体"/>
          <w:szCs w:val="21"/>
        </w:rPr>
        <w:t>0</w:t>
      </w:r>
      <w:r>
        <w:rPr>
          <w:rFonts w:ascii="宋体" w:hAnsi="宋体"/>
          <w:szCs w:val="21"/>
        </w:rPr>
        <w:t>03年1月开业</w:t>
      </w:r>
      <w:r>
        <w:rPr>
          <w:rFonts w:hint="eastAsia" w:ascii="宋体" w:hAnsi="宋体"/>
          <w:szCs w:val="21"/>
        </w:rPr>
        <w:t>。经国家旅游局评为涉外三星级酒店。主体建筑高</w:t>
      </w:r>
      <w:r>
        <w:rPr>
          <w:rFonts w:ascii="宋体" w:hAnsi="宋体"/>
          <w:szCs w:val="21"/>
        </w:rPr>
        <w:t>11层，设施完善，装修豪华，内设</w:t>
      </w:r>
      <w:r>
        <w:rPr>
          <w:rFonts w:hint="eastAsia" w:ascii="宋体" w:hAnsi="宋体"/>
          <w:szCs w:val="21"/>
        </w:rPr>
        <w:t>商务中心、会议中心、桑拿保健中心、中西餐厅、酒吧、咖啡厅、卡拉</w:t>
      </w:r>
      <w:r>
        <w:rPr>
          <w:rFonts w:ascii="宋体" w:hAnsi="宋体"/>
          <w:szCs w:val="21"/>
        </w:rPr>
        <w:t>OK歌舞厅和</w:t>
      </w:r>
      <w:r>
        <w:rPr>
          <w:rFonts w:hint="eastAsia" w:ascii="宋体" w:hAnsi="宋体"/>
          <w:szCs w:val="21"/>
        </w:rPr>
        <w:t>迪斯科厅。</w:t>
      </w:r>
    </w:p>
    <w:p w14:paraId="0B2B8FC3">
      <w:pPr>
        <w:ind w:firstLine="420"/>
        <w:rPr>
          <w:rFonts w:ascii="宋体" w:hAnsi="宋体"/>
          <w:szCs w:val="21"/>
        </w:rPr>
      </w:pPr>
      <w:r>
        <w:rPr>
          <w:rFonts w:hint="eastAsia" w:ascii="宋体" w:hAnsi="宋体"/>
          <w:szCs w:val="21"/>
        </w:rPr>
        <w:t>永安酒楼。</w:t>
      </w:r>
      <w:r>
        <w:rPr>
          <w:rFonts w:ascii="宋体" w:hAnsi="宋体"/>
          <w:szCs w:val="21"/>
        </w:rPr>
        <w:t>1992年开业，集饮食、住宿于一体的“广东省二级酒家”，年纳税近10万元。老板张化民为南雄市政协第五、六、七届委员，企业荣获</w:t>
      </w:r>
      <w:r>
        <w:rPr>
          <w:rFonts w:hint="eastAsia" w:ascii="宋体" w:hAnsi="宋体"/>
          <w:szCs w:val="21"/>
        </w:rPr>
        <w:t>“</w:t>
      </w:r>
      <w:r>
        <w:rPr>
          <w:rFonts w:ascii="宋体" w:hAnsi="宋体"/>
          <w:szCs w:val="21"/>
        </w:rPr>
        <w:t>光彩之星</w:t>
      </w:r>
      <w:r>
        <w:rPr>
          <w:rFonts w:hint="eastAsia" w:ascii="宋体" w:hAnsi="宋体"/>
          <w:szCs w:val="21"/>
        </w:rPr>
        <w:t>”、“诚信单位”等称号。</w:t>
      </w:r>
    </w:p>
    <w:p w14:paraId="55178341">
      <w:pPr>
        <w:ind w:firstLine="420"/>
        <w:rPr>
          <w:rFonts w:ascii="宋体" w:hAnsi="宋体"/>
          <w:szCs w:val="21"/>
        </w:rPr>
      </w:pPr>
      <w:r>
        <w:rPr>
          <w:rFonts w:hint="eastAsia" w:ascii="宋体" w:hAnsi="宋体"/>
          <w:szCs w:val="21"/>
        </w:rPr>
        <w:t>永康酒楼。</w:t>
      </w:r>
      <w:r>
        <w:rPr>
          <w:rFonts w:ascii="宋体" w:hAnsi="宋体"/>
          <w:szCs w:val="21"/>
        </w:rPr>
        <w:t>1988年开业，拥有固定资产450万元，年纳税近20万元。先后被评</w:t>
      </w:r>
      <w:r>
        <w:rPr>
          <w:rFonts w:hint="eastAsia" w:ascii="宋体" w:hAnsi="宋体"/>
          <w:szCs w:val="21"/>
        </w:rPr>
        <w:t>为广东省“双爱双评”先进单位、“光彩之星”等称号。老板张振球热心公益事业。</w:t>
      </w:r>
      <w:r>
        <w:rPr>
          <w:rFonts w:ascii="宋体" w:hAnsi="宋体"/>
          <w:szCs w:val="21"/>
        </w:rPr>
        <w:t>2003年被推选为南雄市第七届政协委员</w:t>
      </w:r>
      <w:r>
        <w:rPr>
          <w:rFonts w:hint="eastAsia" w:ascii="宋体" w:hAnsi="宋体"/>
          <w:szCs w:val="21"/>
        </w:rPr>
        <w:t>。</w:t>
      </w:r>
    </w:p>
    <w:p w14:paraId="29F0EBF1">
      <w:pPr>
        <w:ind w:firstLine="420"/>
        <w:rPr>
          <w:rFonts w:ascii="宋体" w:hAnsi="宋体"/>
          <w:szCs w:val="21"/>
        </w:rPr>
      </w:pPr>
      <w:r>
        <w:rPr>
          <w:rFonts w:hint="eastAsia" w:ascii="宋体" w:hAnsi="宋体"/>
          <w:szCs w:val="21"/>
        </w:rPr>
        <w:t>洲发商行。</w:t>
      </w:r>
      <w:r>
        <w:rPr>
          <w:rFonts w:ascii="宋体" w:hAnsi="宋体"/>
          <w:szCs w:val="21"/>
        </w:rPr>
        <w:t>1997年开业。是南雄市颇具规模的综合性零售批发商行和商品物流</w:t>
      </w:r>
      <w:r>
        <w:rPr>
          <w:rFonts w:hint="eastAsia" w:ascii="宋体" w:hAnsi="宋体"/>
          <w:szCs w:val="21"/>
        </w:rPr>
        <w:t>配货供应中心。经销国内外几十种著名品牌商品，销售网络覆盖南雄市和相邻赣南地区。企业先后荣获广东省“光彩之星”、“诚信单位”称号。老板张周获</w:t>
      </w:r>
      <w:r>
        <w:rPr>
          <w:rFonts w:ascii="宋体" w:hAnsi="宋体"/>
          <w:szCs w:val="21"/>
        </w:rPr>
        <w:t>2002年韶关</w:t>
      </w:r>
      <w:r>
        <w:rPr>
          <w:rFonts w:hint="eastAsia" w:ascii="宋体" w:hAnsi="宋体"/>
          <w:szCs w:val="21"/>
        </w:rPr>
        <w:t>市“再就业十佳创业者”称号。</w:t>
      </w:r>
    </w:p>
    <w:p w14:paraId="7FE0DF81">
      <w:pPr>
        <w:pStyle w:val="5"/>
        <w:rPr>
          <w:rFonts w:ascii="宋体" w:hAnsi="宋体"/>
        </w:rPr>
      </w:pPr>
      <w:r>
        <w:rPr>
          <w:rFonts w:hint="eastAsia" w:ascii="宋体" w:hAnsi="宋体"/>
        </w:rPr>
        <w:t>二、个体商业</w:t>
      </w:r>
    </w:p>
    <w:p w14:paraId="268B42D1">
      <w:pPr>
        <w:ind w:firstLine="420"/>
        <w:rPr>
          <w:rFonts w:ascii="宋体" w:hAnsi="宋体"/>
          <w:szCs w:val="21"/>
        </w:rPr>
      </w:pPr>
      <w:r>
        <w:rPr>
          <w:rFonts w:ascii="宋体" w:hAnsi="宋体"/>
          <w:szCs w:val="21"/>
        </w:rPr>
        <w:t>1962年后，为补充国营、供销合作社商业网点之不足，逐年统筹安排了257户</w:t>
      </w:r>
      <w:r>
        <w:rPr>
          <w:rFonts w:hint="eastAsia" w:ascii="宋体" w:hAnsi="宋体"/>
          <w:szCs w:val="21"/>
        </w:rPr>
        <w:t>个体商业户，在街道、农村设立经营网点及小饮食业。</w:t>
      </w:r>
      <w:r>
        <w:rPr>
          <w:rFonts w:ascii="宋体" w:hAnsi="宋体"/>
          <w:szCs w:val="21"/>
        </w:rPr>
        <w:t>1965年有个体商业户110户</w:t>
      </w:r>
      <w:r>
        <w:rPr>
          <w:rFonts w:hint="eastAsia" w:ascii="宋体" w:hAnsi="宋体"/>
          <w:szCs w:val="21"/>
        </w:rPr>
        <w:t>。“文化大革命”期间，不准个体经营，个体商业户凡是农村户口的一律回生产队务农，城镇户口的由街道组织集体经营。</w:t>
      </w:r>
      <w:r>
        <w:rPr>
          <w:rFonts w:ascii="宋体" w:hAnsi="宋体"/>
          <w:szCs w:val="21"/>
        </w:rPr>
        <w:t>1975年，县供销社在生产大队建立了代购代</w:t>
      </w:r>
      <w:r>
        <w:rPr>
          <w:rFonts w:hint="eastAsia" w:ascii="宋体" w:hAnsi="宋体"/>
          <w:szCs w:val="21"/>
        </w:rPr>
        <w:t>销店</w:t>
      </w:r>
      <w:r>
        <w:rPr>
          <w:rFonts w:ascii="宋体" w:hAnsi="宋体"/>
          <w:szCs w:val="21"/>
        </w:rPr>
        <w:t>210个，1982年以后转为个体户。1987年</w:t>
      </w:r>
      <w:r>
        <w:rPr>
          <w:rFonts w:hint="eastAsia" w:ascii="宋体" w:hAnsi="宋体"/>
          <w:szCs w:val="21"/>
        </w:rPr>
        <w:t>末</w:t>
      </w:r>
      <w:r>
        <w:rPr>
          <w:rFonts w:ascii="宋体" w:hAnsi="宋体"/>
          <w:szCs w:val="21"/>
        </w:rPr>
        <w:t>，全县有个体商业户2534户，从业</w:t>
      </w:r>
      <w:r>
        <w:rPr>
          <w:rFonts w:hint="eastAsia" w:ascii="宋体" w:hAnsi="宋体"/>
          <w:szCs w:val="21"/>
        </w:rPr>
        <w:t>人员</w:t>
      </w:r>
      <w:r>
        <w:rPr>
          <w:rFonts w:ascii="宋体" w:hAnsi="宋体"/>
          <w:szCs w:val="21"/>
        </w:rPr>
        <w:t>3995人，其中饮食业559户，从业人员1137人；服务业282户，从业人员517</w:t>
      </w:r>
      <w:r>
        <w:rPr>
          <w:rFonts w:hint="eastAsia" w:ascii="宋体" w:hAnsi="宋体"/>
          <w:szCs w:val="21"/>
        </w:rPr>
        <w:t>人。个体户营业额达</w:t>
      </w:r>
      <w:r>
        <w:rPr>
          <w:rFonts w:ascii="宋体" w:hAnsi="宋体"/>
          <w:szCs w:val="21"/>
        </w:rPr>
        <w:t>4045万元。</w:t>
      </w:r>
    </w:p>
    <w:p w14:paraId="587F64C0">
      <w:pPr>
        <w:ind w:firstLine="420"/>
        <w:rPr>
          <w:rFonts w:ascii="宋体" w:hAnsi="宋体"/>
          <w:szCs w:val="21"/>
        </w:rPr>
      </w:pPr>
      <w:r>
        <w:rPr>
          <w:rFonts w:ascii="宋体" w:hAnsi="宋体"/>
          <w:szCs w:val="21"/>
        </w:rPr>
        <w:t>1993年个体商业发展到6415户，从业人员10086人，注册资金2590万元。1997</w:t>
      </w:r>
      <w:r>
        <w:rPr>
          <w:rFonts w:hint="eastAsia" w:ascii="宋体" w:hAnsi="宋体"/>
          <w:szCs w:val="21"/>
        </w:rPr>
        <w:t>年又进一步发展到</w:t>
      </w:r>
      <w:r>
        <w:rPr>
          <w:rFonts w:ascii="宋体" w:hAnsi="宋体"/>
          <w:szCs w:val="21"/>
        </w:rPr>
        <w:t>10362户，从业人员16621人，注册资金4413万元。但由于市场</w:t>
      </w:r>
      <w:r>
        <w:rPr>
          <w:rFonts w:hint="eastAsia" w:ascii="宋体" w:hAnsi="宋体"/>
          <w:szCs w:val="21"/>
        </w:rPr>
        <w:t>竞争激烈，加上不少个体商业户经验不足，经营不善而被淘汰。至</w:t>
      </w:r>
      <w:r>
        <w:rPr>
          <w:rFonts w:ascii="宋体" w:hAnsi="宋体"/>
          <w:szCs w:val="21"/>
        </w:rPr>
        <w:t>2004年底，全市</w:t>
      </w:r>
      <w:r>
        <w:rPr>
          <w:rFonts w:hint="eastAsia" w:ascii="宋体" w:hAnsi="宋体"/>
          <w:szCs w:val="21"/>
        </w:rPr>
        <w:t>个体商业户共</w:t>
      </w:r>
      <w:r>
        <w:rPr>
          <w:rFonts w:ascii="宋体" w:hAnsi="宋体"/>
          <w:szCs w:val="21"/>
        </w:rPr>
        <w:t>5000户，从业人员9079人，其中服务业506户，从业人员679人，饮</w:t>
      </w:r>
      <w:r>
        <w:rPr>
          <w:rFonts w:hint="eastAsia" w:ascii="宋体" w:hAnsi="宋体"/>
          <w:szCs w:val="21"/>
        </w:rPr>
        <w:t>食业</w:t>
      </w:r>
      <w:r>
        <w:rPr>
          <w:rFonts w:ascii="宋体" w:hAnsi="宋体"/>
          <w:szCs w:val="21"/>
        </w:rPr>
        <w:t>256户，从业人员540人。</w:t>
      </w:r>
    </w:p>
    <w:p w14:paraId="774887FC">
      <w:pPr>
        <w:ind w:firstLine="0" w:firstLineChars="0"/>
        <w:jc w:val="center"/>
        <w:rPr>
          <w:rFonts w:ascii="宋体" w:hAnsi="宋体"/>
          <w:b/>
          <w:szCs w:val="21"/>
        </w:rPr>
      </w:pPr>
      <w:r>
        <w:rPr>
          <w:rFonts w:hint="eastAsia" w:ascii="宋体" w:hAnsi="宋体"/>
          <w:b/>
          <w:szCs w:val="21"/>
        </w:rPr>
        <w:t>南雄市主要年份社会商品零售总额及商品购销总额</w:t>
      </w:r>
    </w:p>
    <w:p w14:paraId="5ED02A9A">
      <w:pPr>
        <w:ind w:firstLine="0" w:firstLineChars="0"/>
        <w:rPr>
          <w:rFonts w:ascii="宋体" w:hAnsi="宋体"/>
          <w:b/>
          <w:szCs w:val="21"/>
        </w:rPr>
      </w:pPr>
      <w:r>
        <w:rPr>
          <w:rFonts w:hint="eastAsia" w:ascii="宋体" w:hAnsi="宋体"/>
          <w:b/>
          <w:szCs w:val="21"/>
        </w:rPr>
        <w:t>表</w:t>
      </w:r>
      <w:r>
        <w:rPr>
          <w:rFonts w:ascii="宋体" w:hAnsi="宋体"/>
          <w:b/>
          <w:szCs w:val="21"/>
        </w:rPr>
        <w:t>2-41</w:t>
      </w:r>
    </w:p>
    <w:p w14:paraId="00846F17">
      <w:pPr>
        <w:ind w:firstLine="422"/>
        <w:jc w:val="right"/>
        <w:rPr>
          <w:rFonts w:ascii="宋体" w:hAnsi="宋体"/>
          <w:b/>
          <w:szCs w:val="21"/>
        </w:rPr>
      </w:pPr>
      <w:r>
        <w:rPr>
          <w:rFonts w:ascii="宋体" w:hAnsi="宋体"/>
          <w:b/>
          <w:szCs w:val="21"/>
        </w:rPr>
        <w:t>单位：万元</w:t>
      </w:r>
    </w:p>
    <w:tbl>
      <w:tblPr>
        <w:tblStyle w:val="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2490"/>
        <w:gridCol w:w="2491"/>
        <w:gridCol w:w="2491"/>
      </w:tblGrid>
      <w:tr w14:paraId="26994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tcBorders>
              <w:left w:val="nil"/>
              <w:tl2br w:val="single" w:color="auto" w:sz="4" w:space="0"/>
            </w:tcBorders>
            <w:vAlign w:val="center"/>
          </w:tcPr>
          <w:p w14:paraId="3619F45D">
            <w:pPr>
              <w:pStyle w:val="12"/>
              <w:ind w:right="420"/>
              <w:jc w:val="right"/>
              <w:rPr>
                <w:rFonts w:ascii="宋体" w:hAnsi="宋体"/>
                <w:b/>
              </w:rPr>
            </w:pPr>
            <w:r>
              <w:rPr>
                <w:rFonts w:hint="eastAsia" w:ascii="宋体" w:hAnsi="宋体"/>
                <w:b/>
              </w:rPr>
              <w:t>名称</w:t>
            </w:r>
          </w:p>
          <w:p w14:paraId="5919BF1F">
            <w:pPr>
              <w:pStyle w:val="12"/>
              <w:ind w:firstLine="422" w:firstLineChars="200"/>
              <w:jc w:val="left"/>
              <w:rPr>
                <w:rFonts w:ascii="宋体" w:hAnsi="宋体"/>
                <w:b/>
              </w:rPr>
            </w:pPr>
            <w:r>
              <w:rPr>
                <w:rFonts w:hint="eastAsia" w:ascii="宋体" w:hAnsi="宋体"/>
                <w:b/>
              </w:rPr>
              <w:t>年份</w:t>
            </w:r>
          </w:p>
        </w:tc>
        <w:tc>
          <w:tcPr>
            <w:tcW w:w="1250" w:type="pct"/>
            <w:vAlign w:val="center"/>
          </w:tcPr>
          <w:p w14:paraId="025A5F27">
            <w:pPr>
              <w:pStyle w:val="12"/>
              <w:jc w:val="center"/>
              <w:rPr>
                <w:rFonts w:ascii="宋体" w:hAnsi="宋体"/>
                <w:b/>
              </w:rPr>
            </w:pPr>
            <w:r>
              <w:rPr>
                <w:rFonts w:hint="eastAsia" w:ascii="宋体" w:hAnsi="宋体"/>
                <w:b/>
              </w:rPr>
              <w:t>社会商品零售总额</w:t>
            </w:r>
          </w:p>
        </w:tc>
        <w:tc>
          <w:tcPr>
            <w:tcW w:w="1250" w:type="pct"/>
            <w:vAlign w:val="center"/>
          </w:tcPr>
          <w:p w14:paraId="47ABEBFA">
            <w:pPr>
              <w:pStyle w:val="12"/>
              <w:jc w:val="center"/>
              <w:rPr>
                <w:rFonts w:ascii="宋体" w:hAnsi="宋体"/>
                <w:b/>
              </w:rPr>
            </w:pPr>
            <w:r>
              <w:rPr>
                <w:rFonts w:hint="eastAsia" w:ascii="宋体" w:hAnsi="宋体"/>
                <w:b/>
              </w:rPr>
              <w:t>总购进额</w:t>
            </w:r>
          </w:p>
        </w:tc>
        <w:tc>
          <w:tcPr>
            <w:tcW w:w="1250" w:type="pct"/>
            <w:tcBorders>
              <w:right w:val="nil"/>
            </w:tcBorders>
            <w:vAlign w:val="center"/>
          </w:tcPr>
          <w:p w14:paraId="4D33465E">
            <w:pPr>
              <w:pStyle w:val="12"/>
              <w:jc w:val="center"/>
              <w:rPr>
                <w:rFonts w:ascii="宋体" w:hAnsi="宋体"/>
                <w:b/>
              </w:rPr>
            </w:pPr>
            <w:r>
              <w:rPr>
                <w:rFonts w:hint="eastAsia" w:ascii="宋体" w:hAnsi="宋体"/>
                <w:b/>
              </w:rPr>
              <w:t>总销售额</w:t>
            </w:r>
          </w:p>
        </w:tc>
      </w:tr>
      <w:tr w14:paraId="72308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tcBorders>
              <w:left w:val="nil"/>
            </w:tcBorders>
            <w:vAlign w:val="center"/>
          </w:tcPr>
          <w:p w14:paraId="72CC03BF">
            <w:pPr>
              <w:pStyle w:val="12"/>
              <w:jc w:val="center"/>
              <w:rPr>
                <w:rFonts w:ascii="宋体" w:hAnsi="宋体"/>
              </w:rPr>
            </w:pPr>
            <w:r>
              <w:rPr>
                <w:rFonts w:ascii="宋体" w:hAnsi="宋体"/>
              </w:rPr>
              <w:t>1975</w:t>
            </w:r>
          </w:p>
        </w:tc>
        <w:tc>
          <w:tcPr>
            <w:tcW w:w="1250" w:type="pct"/>
            <w:vAlign w:val="center"/>
          </w:tcPr>
          <w:p w14:paraId="3C533CA0">
            <w:pPr>
              <w:pStyle w:val="12"/>
              <w:jc w:val="center"/>
              <w:rPr>
                <w:rFonts w:ascii="宋体" w:hAnsi="宋体"/>
              </w:rPr>
            </w:pPr>
            <w:r>
              <w:rPr>
                <w:rFonts w:ascii="宋体" w:hAnsi="宋体"/>
              </w:rPr>
              <w:t>3996</w:t>
            </w:r>
          </w:p>
        </w:tc>
        <w:tc>
          <w:tcPr>
            <w:tcW w:w="1250" w:type="pct"/>
            <w:vAlign w:val="center"/>
          </w:tcPr>
          <w:p w14:paraId="5FC4522C">
            <w:pPr>
              <w:pStyle w:val="12"/>
              <w:jc w:val="center"/>
              <w:rPr>
                <w:rFonts w:ascii="宋体" w:hAnsi="宋体"/>
              </w:rPr>
            </w:pPr>
            <w:r>
              <w:rPr>
                <w:rFonts w:ascii="宋体" w:hAnsi="宋体"/>
              </w:rPr>
              <w:t>2530</w:t>
            </w:r>
          </w:p>
        </w:tc>
        <w:tc>
          <w:tcPr>
            <w:tcW w:w="1250" w:type="pct"/>
            <w:tcBorders>
              <w:right w:val="nil"/>
            </w:tcBorders>
            <w:vAlign w:val="center"/>
          </w:tcPr>
          <w:p w14:paraId="0965EACA">
            <w:pPr>
              <w:pStyle w:val="12"/>
              <w:jc w:val="center"/>
              <w:rPr>
                <w:rFonts w:ascii="宋体" w:hAnsi="宋体"/>
              </w:rPr>
            </w:pPr>
            <w:r>
              <w:rPr>
                <w:rFonts w:ascii="宋体" w:hAnsi="宋体"/>
              </w:rPr>
              <w:t>4143</w:t>
            </w:r>
          </w:p>
        </w:tc>
      </w:tr>
      <w:tr w14:paraId="704C5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tcBorders>
              <w:left w:val="nil"/>
            </w:tcBorders>
            <w:vAlign w:val="center"/>
          </w:tcPr>
          <w:p w14:paraId="1C4FDBB2">
            <w:pPr>
              <w:pStyle w:val="12"/>
              <w:jc w:val="center"/>
              <w:rPr>
                <w:rFonts w:ascii="宋体" w:hAnsi="宋体"/>
              </w:rPr>
            </w:pPr>
            <w:r>
              <w:rPr>
                <w:rFonts w:ascii="宋体" w:hAnsi="宋体"/>
              </w:rPr>
              <w:t>1980</w:t>
            </w:r>
          </w:p>
        </w:tc>
        <w:tc>
          <w:tcPr>
            <w:tcW w:w="1250" w:type="pct"/>
            <w:vAlign w:val="center"/>
          </w:tcPr>
          <w:p w14:paraId="7749138B">
            <w:pPr>
              <w:pStyle w:val="12"/>
              <w:jc w:val="center"/>
              <w:rPr>
                <w:rFonts w:ascii="宋体" w:hAnsi="宋体"/>
              </w:rPr>
            </w:pPr>
            <w:r>
              <w:rPr>
                <w:rFonts w:ascii="宋体" w:hAnsi="宋体"/>
              </w:rPr>
              <w:t>5764</w:t>
            </w:r>
          </w:p>
        </w:tc>
        <w:tc>
          <w:tcPr>
            <w:tcW w:w="1250" w:type="pct"/>
            <w:vAlign w:val="center"/>
          </w:tcPr>
          <w:p w14:paraId="35CC3D03">
            <w:pPr>
              <w:pStyle w:val="12"/>
              <w:jc w:val="center"/>
              <w:rPr>
                <w:rFonts w:ascii="宋体" w:hAnsi="宋体"/>
              </w:rPr>
            </w:pPr>
            <w:r>
              <w:rPr>
                <w:rFonts w:ascii="宋体" w:hAnsi="宋体"/>
              </w:rPr>
              <w:t>3872</w:t>
            </w:r>
          </w:p>
        </w:tc>
        <w:tc>
          <w:tcPr>
            <w:tcW w:w="1250" w:type="pct"/>
            <w:tcBorders>
              <w:right w:val="nil"/>
            </w:tcBorders>
            <w:vAlign w:val="center"/>
          </w:tcPr>
          <w:p w14:paraId="3D3C4989">
            <w:pPr>
              <w:pStyle w:val="12"/>
              <w:jc w:val="center"/>
              <w:rPr>
                <w:rFonts w:ascii="宋体" w:hAnsi="宋体"/>
              </w:rPr>
            </w:pPr>
            <w:r>
              <w:rPr>
                <w:rFonts w:ascii="宋体" w:hAnsi="宋体"/>
              </w:rPr>
              <w:t>6042</w:t>
            </w:r>
          </w:p>
        </w:tc>
      </w:tr>
      <w:tr w14:paraId="30472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tcBorders>
              <w:left w:val="nil"/>
            </w:tcBorders>
            <w:vAlign w:val="center"/>
          </w:tcPr>
          <w:p w14:paraId="770207BF">
            <w:pPr>
              <w:pStyle w:val="12"/>
              <w:jc w:val="center"/>
              <w:rPr>
                <w:rFonts w:ascii="宋体" w:hAnsi="宋体"/>
              </w:rPr>
            </w:pPr>
            <w:r>
              <w:rPr>
                <w:rFonts w:ascii="宋体" w:hAnsi="宋体"/>
              </w:rPr>
              <w:t>1985</w:t>
            </w:r>
          </w:p>
        </w:tc>
        <w:tc>
          <w:tcPr>
            <w:tcW w:w="1250" w:type="pct"/>
            <w:vAlign w:val="center"/>
          </w:tcPr>
          <w:p w14:paraId="375CE9B1">
            <w:pPr>
              <w:pStyle w:val="12"/>
              <w:jc w:val="center"/>
              <w:rPr>
                <w:rFonts w:ascii="宋体" w:hAnsi="宋体"/>
              </w:rPr>
            </w:pPr>
            <w:r>
              <w:rPr>
                <w:rFonts w:ascii="宋体" w:hAnsi="宋体"/>
              </w:rPr>
              <w:t>9589</w:t>
            </w:r>
          </w:p>
        </w:tc>
        <w:tc>
          <w:tcPr>
            <w:tcW w:w="1250" w:type="pct"/>
            <w:vAlign w:val="center"/>
          </w:tcPr>
          <w:p w14:paraId="75AB858A">
            <w:pPr>
              <w:pStyle w:val="12"/>
              <w:jc w:val="center"/>
              <w:rPr>
                <w:rFonts w:ascii="宋体" w:hAnsi="宋体"/>
              </w:rPr>
            </w:pPr>
            <w:r>
              <w:rPr>
                <w:rFonts w:ascii="宋体" w:hAnsi="宋体"/>
              </w:rPr>
              <w:t>7514</w:t>
            </w:r>
          </w:p>
        </w:tc>
        <w:tc>
          <w:tcPr>
            <w:tcW w:w="1250" w:type="pct"/>
            <w:tcBorders>
              <w:right w:val="nil"/>
            </w:tcBorders>
            <w:vAlign w:val="center"/>
          </w:tcPr>
          <w:p w14:paraId="45D2C1E6">
            <w:pPr>
              <w:pStyle w:val="12"/>
              <w:jc w:val="center"/>
              <w:rPr>
                <w:rFonts w:ascii="宋体" w:hAnsi="宋体"/>
              </w:rPr>
            </w:pPr>
            <w:r>
              <w:rPr>
                <w:rFonts w:ascii="宋体" w:hAnsi="宋体"/>
              </w:rPr>
              <w:t>9478</w:t>
            </w:r>
          </w:p>
        </w:tc>
      </w:tr>
      <w:tr w14:paraId="0D118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tcBorders>
              <w:left w:val="nil"/>
            </w:tcBorders>
            <w:vAlign w:val="center"/>
          </w:tcPr>
          <w:p w14:paraId="52ED4EEF">
            <w:pPr>
              <w:pStyle w:val="12"/>
              <w:jc w:val="center"/>
              <w:rPr>
                <w:rFonts w:ascii="宋体" w:hAnsi="宋体"/>
              </w:rPr>
            </w:pPr>
            <w:r>
              <w:rPr>
                <w:rFonts w:ascii="宋体" w:hAnsi="宋体"/>
              </w:rPr>
              <w:t>1992</w:t>
            </w:r>
          </w:p>
        </w:tc>
        <w:tc>
          <w:tcPr>
            <w:tcW w:w="1250" w:type="pct"/>
            <w:vAlign w:val="center"/>
          </w:tcPr>
          <w:p w14:paraId="05BA1CC5">
            <w:pPr>
              <w:pStyle w:val="12"/>
              <w:jc w:val="center"/>
              <w:rPr>
                <w:rFonts w:ascii="宋体" w:hAnsi="宋体"/>
              </w:rPr>
            </w:pPr>
            <w:r>
              <w:rPr>
                <w:rFonts w:ascii="宋体" w:hAnsi="宋体"/>
              </w:rPr>
              <w:t>31656</w:t>
            </w:r>
          </w:p>
        </w:tc>
        <w:tc>
          <w:tcPr>
            <w:tcW w:w="1250" w:type="pct"/>
            <w:vAlign w:val="center"/>
          </w:tcPr>
          <w:p w14:paraId="5BA0D425">
            <w:pPr>
              <w:pStyle w:val="12"/>
              <w:jc w:val="center"/>
              <w:rPr>
                <w:rFonts w:ascii="宋体" w:hAnsi="宋体"/>
              </w:rPr>
            </w:pPr>
            <w:r>
              <w:rPr>
                <w:rFonts w:ascii="宋体" w:hAnsi="宋体"/>
              </w:rPr>
              <w:t>70368</w:t>
            </w:r>
          </w:p>
        </w:tc>
        <w:tc>
          <w:tcPr>
            <w:tcW w:w="1250" w:type="pct"/>
            <w:tcBorders>
              <w:right w:val="nil"/>
            </w:tcBorders>
            <w:vAlign w:val="center"/>
          </w:tcPr>
          <w:p w14:paraId="49537D34">
            <w:pPr>
              <w:pStyle w:val="12"/>
              <w:jc w:val="center"/>
              <w:rPr>
                <w:rFonts w:ascii="宋体" w:hAnsi="宋体"/>
              </w:rPr>
            </w:pPr>
            <w:r>
              <w:rPr>
                <w:rFonts w:ascii="宋体" w:hAnsi="宋体"/>
              </w:rPr>
              <w:t>80402</w:t>
            </w:r>
          </w:p>
        </w:tc>
      </w:tr>
      <w:tr w14:paraId="4AC4C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tcBorders>
              <w:left w:val="nil"/>
            </w:tcBorders>
            <w:vAlign w:val="center"/>
          </w:tcPr>
          <w:p w14:paraId="1E78726F">
            <w:pPr>
              <w:pStyle w:val="12"/>
              <w:jc w:val="center"/>
              <w:rPr>
                <w:rFonts w:ascii="宋体" w:hAnsi="宋体"/>
              </w:rPr>
            </w:pPr>
            <w:r>
              <w:rPr>
                <w:rFonts w:ascii="宋体" w:hAnsi="宋体"/>
              </w:rPr>
              <w:t>1996</w:t>
            </w:r>
          </w:p>
        </w:tc>
        <w:tc>
          <w:tcPr>
            <w:tcW w:w="1250" w:type="pct"/>
            <w:vAlign w:val="center"/>
          </w:tcPr>
          <w:p w14:paraId="234DFE6B">
            <w:pPr>
              <w:pStyle w:val="12"/>
              <w:jc w:val="center"/>
              <w:rPr>
                <w:rFonts w:ascii="宋体" w:hAnsi="宋体"/>
              </w:rPr>
            </w:pPr>
            <w:r>
              <w:rPr>
                <w:rFonts w:ascii="宋体" w:hAnsi="宋体"/>
              </w:rPr>
              <w:t>54906</w:t>
            </w:r>
          </w:p>
        </w:tc>
        <w:tc>
          <w:tcPr>
            <w:tcW w:w="1250" w:type="pct"/>
            <w:vAlign w:val="center"/>
          </w:tcPr>
          <w:p w14:paraId="21FDA661">
            <w:pPr>
              <w:pStyle w:val="12"/>
              <w:jc w:val="center"/>
              <w:rPr>
                <w:rFonts w:ascii="宋体" w:hAnsi="宋体"/>
              </w:rPr>
            </w:pPr>
            <w:r>
              <w:rPr>
                <w:rFonts w:ascii="宋体" w:hAnsi="宋体"/>
              </w:rPr>
              <w:t>92724</w:t>
            </w:r>
          </w:p>
        </w:tc>
        <w:tc>
          <w:tcPr>
            <w:tcW w:w="1250" w:type="pct"/>
            <w:tcBorders>
              <w:right w:val="nil"/>
            </w:tcBorders>
            <w:vAlign w:val="center"/>
          </w:tcPr>
          <w:p w14:paraId="0B102BC5">
            <w:pPr>
              <w:pStyle w:val="12"/>
              <w:jc w:val="center"/>
              <w:rPr>
                <w:rFonts w:ascii="宋体" w:hAnsi="宋体"/>
              </w:rPr>
            </w:pPr>
            <w:r>
              <w:rPr>
                <w:rFonts w:ascii="宋体" w:hAnsi="宋体"/>
              </w:rPr>
              <w:t>116742</w:t>
            </w:r>
          </w:p>
        </w:tc>
      </w:tr>
      <w:tr w14:paraId="47B87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tcBorders>
              <w:left w:val="nil"/>
            </w:tcBorders>
            <w:vAlign w:val="center"/>
          </w:tcPr>
          <w:p w14:paraId="5E0542BB">
            <w:pPr>
              <w:pStyle w:val="12"/>
              <w:jc w:val="center"/>
              <w:rPr>
                <w:rFonts w:ascii="宋体" w:hAnsi="宋体"/>
              </w:rPr>
            </w:pPr>
            <w:r>
              <w:rPr>
                <w:rFonts w:ascii="宋体" w:hAnsi="宋体"/>
              </w:rPr>
              <w:t>2000</w:t>
            </w:r>
          </w:p>
        </w:tc>
        <w:tc>
          <w:tcPr>
            <w:tcW w:w="1250" w:type="pct"/>
            <w:vAlign w:val="center"/>
          </w:tcPr>
          <w:p w14:paraId="02EEF7F8">
            <w:pPr>
              <w:pStyle w:val="12"/>
              <w:jc w:val="center"/>
              <w:rPr>
                <w:rFonts w:ascii="宋体" w:hAnsi="宋体"/>
              </w:rPr>
            </w:pPr>
            <w:r>
              <w:rPr>
                <w:rFonts w:ascii="宋体" w:hAnsi="宋体"/>
              </w:rPr>
              <w:t>73648</w:t>
            </w:r>
          </w:p>
        </w:tc>
        <w:tc>
          <w:tcPr>
            <w:tcW w:w="1250" w:type="pct"/>
            <w:vAlign w:val="center"/>
          </w:tcPr>
          <w:p w14:paraId="78E4A44B">
            <w:pPr>
              <w:pStyle w:val="12"/>
              <w:jc w:val="center"/>
              <w:rPr>
                <w:rFonts w:ascii="宋体" w:hAnsi="宋体"/>
              </w:rPr>
            </w:pPr>
            <w:r>
              <w:rPr>
                <w:rFonts w:ascii="宋体" w:hAnsi="宋体"/>
              </w:rPr>
              <w:t>39415</w:t>
            </w:r>
          </w:p>
        </w:tc>
        <w:tc>
          <w:tcPr>
            <w:tcW w:w="1250" w:type="pct"/>
            <w:tcBorders>
              <w:right w:val="nil"/>
            </w:tcBorders>
            <w:vAlign w:val="center"/>
          </w:tcPr>
          <w:p w14:paraId="32A62FA5">
            <w:pPr>
              <w:pStyle w:val="12"/>
              <w:jc w:val="center"/>
              <w:rPr>
                <w:rFonts w:ascii="宋体" w:hAnsi="宋体"/>
              </w:rPr>
            </w:pPr>
            <w:r>
              <w:rPr>
                <w:rFonts w:ascii="宋体" w:hAnsi="宋体"/>
              </w:rPr>
              <w:t>56489</w:t>
            </w:r>
          </w:p>
        </w:tc>
      </w:tr>
      <w:tr w14:paraId="4D5039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tcBorders>
              <w:left w:val="nil"/>
            </w:tcBorders>
            <w:vAlign w:val="center"/>
          </w:tcPr>
          <w:p w14:paraId="6E4E126F">
            <w:pPr>
              <w:pStyle w:val="12"/>
              <w:jc w:val="center"/>
              <w:rPr>
                <w:rFonts w:ascii="宋体" w:hAnsi="宋体"/>
              </w:rPr>
            </w:pPr>
            <w:r>
              <w:rPr>
                <w:rFonts w:ascii="宋体" w:hAnsi="宋体"/>
              </w:rPr>
              <w:t>2002</w:t>
            </w:r>
          </w:p>
        </w:tc>
        <w:tc>
          <w:tcPr>
            <w:tcW w:w="1250" w:type="pct"/>
            <w:vAlign w:val="center"/>
          </w:tcPr>
          <w:p w14:paraId="3E7C504B">
            <w:pPr>
              <w:pStyle w:val="12"/>
              <w:jc w:val="center"/>
              <w:rPr>
                <w:rFonts w:ascii="宋体" w:hAnsi="宋体"/>
              </w:rPr>
            </w:pPr>
            <w:r>
              <w:rPr>
                <w:rFonts w:ascii="宋体" w:hAnsi="宋体"/>
              </w:rPr>
              <w:t>88466</w:t>
            </w:r>
          </w:p>
        </w:tc>
        <w:tc>
          <w:tcPr>
            <w:tcW w:w="1250" w:type="pct"/>
            <w:vAlign w:val="center"/>
          </w:tcPr>
          <w:p w14:paraId="43E71A6A">
            <w:pPr>
              <w:pStyle w:val="12"/>
              <w:jc w:val="center"/>
              <w:rPr>
                <w:rFonts w:ascii="宋体" w:hAnsi="宋体"/>
              </w:rPr>
            </w:pPr>
            <w:r>
              <w:rPr>
                <w:rFonts w:ascii="宋体" w:hAnsi="宋体"/>
              </w:rPr>
              <w:t>48109</w:t>
            </w:r>
          </w:p>
        </w:tc>
        <w:tc>
          <w:tcPr>
            <w:tcW w:w="1250" w:type="pct"/>
            <w:tcBorders>
              <w:right w:val="nil"/>
            </w:tcBorders>
            <w:vAlign w:val="center"/>
          </w:tcPr>
          <w:p w14:paraId="0A1F6C93">
            <w:pPr>
              <w:pStyle w:val="12"/>
              <w:jc w:val="center"/>
              <w:rPr>
                <w:rFonts w:ascii="宋体" w:hAnsi="宋体"/>
              </w:rPr>
            </w:pPr>
            <w:r>
              <w:rPr>
                <w:rFonts w:ascii="宋体" w:hAnsi="宋体"/>
              </w:rPr>
              <w:t>24816</w:t>
            </w:r>
          </w:p>
        </w:tc>
      </w:tr>
      <w:tr w14:paraId="12309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tcBorders>
              <w:left w:val="nil"/>
            </w:tcBorders>
            <w:vAlign w:val="center"/>
          </w:tcPr>
          <w:p w14:paraId="6917A243">
            <w:pPr>
              <w:pStyle w:val="12"/>
              <w:jc w:val="center"/>
              <w:rPr>
                <w:rFonts w:ascii="宋体" w:hAnsi="宋体"/>
              </w:rPr>
            </w:pPr>
            <w:r>
              <w:rPr>
                <w:rFonts w:ascii="宋体" w:hAnsi="宋体"/>
              </w:rPr>
              <w:t>2004</w:t>
            </w:r>
          </w:p>
        </w:tc>
        <w:tc>
          <w:tcPr>
            <w:tcW w:w="1250" w:type="pct"/>
            <w:vAlign w:val="center"/>
          </w:tcPr>
          <w:p w14:paraId="55C6609E">
            <w:pPr>
              <w:pStyle w:val="12"/>
              <w:jc w:val="center"/>
              <w:rPr>
                <w:rFonts w:ascii="宋体" w:hAnsi="宋体"/>
              </w:rPr>
            </w:pPr>
            <w:r>
              <w:rPr>
                <w:rFonts w:ascii="宋体" w:hAnsi="宋体"/>
              </w:rPr>
              <w:t>114261</w:t>
            </w:r>
          </w:p>
        </w:tc>
        <w:tc>
          <w:tcPr>
            <w:tcW w:w="1250" w:type="pct"/>
            <w:vAlign w:val="center"/>
          </w:tcPr>
          <w:p w14:paraId="76AAE1B3">
            <w:pPr>
              <w:pStyle w:val="12"/>
              <w:jc w:val="center"/>
              <w:rPr>
                <w:rFonts w:ascii="宋体" w:hAnsi="宋体"/>
              </w:rPr>
            </w:pPr>
            <w:r>
              <w:rPr>
                <w:rFonts w:ascii="宋体" w:hAnsi="宋体"/>
              </w:rPr>
              <w:t>—</w:t>
            </w:r>
          </w:p>
        </w:tc>
        <w:tc>
          <w:tcPr>
            <w:tcW w:w="1250" w:type="pct"/>
            <w:tcBorders>
              <w:right w:val="nil"/>
            </w:tcBorders>
            <w:vAlign w:val="center"/>
          </w:tcPr>
          <w:p w14:paraId="60A7557E">
            <w:pPr>
              <w:pStyle w:val="12"/>
              <w:jc w:val="center"/>
              <w:rPr>
                <w:rFonts w:ascii="宋体" w:hAnsi="宋体"/>
              </w:rPr>
            </w:pPr>
            <w:r>
              <w:rPr>
                <w:rFonts w:ascii="宋体" w:hAnsi="宋体"/>
              </w:rPr>
              <w:t>—</w:t>
            </w:r>
          </w:p>
        </w:tc>
      </w:tr>
    </w:tbl>
    <w:p w14:paraId="68CE7CC2">
      <w:pPr>
        <w:pStyle w:val="3"/>
        <w:rPr>
          <w:rFonts w:ascii="宋体" w:hAnsi="宋体"/>
        </w:rPr>
      </w:pPr>
      <w:r>
        <w:rPr>
          <w:rFonts w:hint="eastAsia" w:ascii="宋体" w:hAnsi="宋体"/>
        </w:rPr>
        <w:t>第九章  对外及对港澳地区贸易</w:t>
      </w:r>
    </w:p>
    <w:p w14:paraId="6F16163B">
      <w:pPr>
        <w:ind w:firstLine="420"/>
        <w:rPr>
          <w:rFonts w:ascii="宋体" w:hAnsi="宋体"/>
          <w:szCs w:val="21"/>
        </w:rPr>
      </w:pPr>
      <w:r>
        <w:rPr>
          <w:rFonts w:hint="eastAsia" w:ascii="宋体" w:hAnsi="宋体"/>
          <w:szCs w:val="21"/>
        </w:rPr>
        <w:t>南雄县外贸科于</w:t>
      </w:r>
      <w:r>
        <w:rPr>
          <w:rFonts w:ascii="宋体" w:hAnsi="宋体"/>
          <w:szCs w:val="21"/>
        </w:rPr>
        <w:t>1959年2月成立，1960年9月并入县商业局，对外仍挂外贸科</w:t>
      </w:r>
      <w:r>
        <w:rPr>
          <w:rFonts w:hint="eastAsia" w:ascii="宋体" w:hAnsi="宋体"/>
          <w:szCs w:val="21"/>
        </w:rPr>
        <w:t>牌子。</w:t>
      </w:r>
      <w:r>
        <w:rPr>
          <w:rFonts w:ascii="宋体" w:hAnsi="宋体"/>
          <w:szCs w:val="21"/>
        </w:rPr>
        <w:t>1972年6月，成立政企合一的外贸机构，对外挂外贸局和外贸公司两个牌子。1985年，实行政企分开，设外贸局和对外贸易总公司，两块牌子，一套人马，下设</w:t>
      </w:r>
      <w:r>
        <w:rPr>
          <w:rFonts w:hint="eastAsia" w:ascii="宋体" w:hAnsi="宋体"/>
          <w:szCs w:val="21"/>
        </w:rPr>
        <w:t>三个股级公司，实行独立经营，自负盈亏。生产出口商品厂家有竹木玩具厂、竹木制品厂、腊鸭加工厂、服装加工厂、陶瓷厂、羽绒厂、矿产品收购加工厂等，年产值</w:t>
      </w:r>
      <w:r>
        <w:rPr>
          <w:rFonts w:ascii="宋体" w:hAnsi="宋体"/>
          <w:szCs w:val="21"/>
        </w:rPr>
        <w:t>700万元。</w:t>
      </w:r>
    </w:p>
    <w:p w14:paraId="1566BC8E">
      <w:pPr>
        <w:ind w:firstLine="420"/>
        <w:rPr>
          <w:rFonts w:ascii="宋体" w:hAnsi="宋体"/>
          <w:szCs w:val="21"/>
        </w:rPr>
      </w:pPr>
      <w:r>
        <w:rPr>
          <w:rFonts w:ascii="宋体" w:hAnsi="宋体"/>
          <w:szCs w:val="21"/>
        </w:rPr>
        <w:t>1982年，对外经济工作日益发展，县成立对外经济工作委员会。1984年成立县</w:t>
      </w:r>
      <w:r>
        <w:rPr>
          <w:rFonts w:hint="eastAsia" w:ascii="宋体" w:hAnsi="宋体"/>
          <w:szCs w:val="21"/>
        </w:rPr>
        <w:t>外经贸易发展总公司。</w:t>
      </w:r>
      <w:r>
        <w:rPr>
          <w:rFonts w:ascii="宋体" w:hAnsi="宋体"/>
          <w:szCs w:val="21"/>
        </w:rPr>
        <w:t>1987年成立对外加工装配服务公司。1996年8月，撤外经委</w:t>
      </w:r>
      <w:r>
        <w:rPr>
          <w:rFonts w:hint="eastAsia" w:ascii="宋体" w:hAnsi="宋体"/>
          <w:szCs w:val="21"/>
        </w:rPr>
        <w:t>、外贸局，成立南雄市对外经济贸易局。</w:t>
      </w:r>
      <w:r>
        <w:rPr>
          <w:rFonts w:ascii="宋体" w:hAnsi="宋体"/>
          <w:szCs w:val="21"/>
        </w:rPr>
        <w:t>2001年，改为对外贸易经济合作局。</w:t>
      </w:r>
    </w:p>
    <w:p w14:paraId="55CDD8B6">
      <w:pPr>
        <w:pStyle w:val="4"/>
        <w:rPr>
          <w:rFonts w:ascii="宋体" w:hAnsi="宋体"/>
        </w:rPr>
      </w:pPr>
      <w:r>
        <w:rPr>
          <w:rFonts w:hint="eastAsia" w:ascii="宋体" w:hAnsi="宋体"/>
        </w:rPr>
        <w:t>第一节  外贸及对港澳地区收购、出口</w:t>
      </w:r>
    </w:p>
    <w:p w14:paraId="48499A59">
      <w:pPr>
        <w:pStyle w:val="5"/>
        <w:rPr>
          <w:rFonts w:ascii="宋体" w:hAnsi="宋体"/>
        </w:rPr>
      </w:pPr>
      <w:r>
        <w:rPr>
          <w:rFonts w:hint="eastAsia" w:ascii="宋体" w:hAnsi="宋体"/>
        </w:rPr>
        <w:t>一、外贸及对港澳地区收购</w:t>
      </w:r>
    </w:p>
    <w:p w14:paraId="155F8361">
      <w:pPr>
        <w:ind w:firstLine="420"/>
        <w:rPr>
          <w:rFonts w:ascii="宋体" w:hAnsi="宋体"/>
          <w:szCs w:val="21"/>
        </w:rPr>
      </w:pPr>
      <w:r>
        <w:rPr>
          <w:rFonts w:hint="eastAsia" w:ascii="宋体" w:hAnsi="宋体"/>
          <w:szCs w:val="21"/>
        </w:rPr>
        <w:t>新中国成立以来，外贸经营方式主要是由外贸部门每年按省、市公司下达的计划组织货源，调到省、市对口专业公司，统一安排出口。</w:t>
      </w:r>
      <w:r>
        <w:rPr>
          <w:rFonts w:ascii="宋体" w:hAnsi="宋体"/>
          <w:szCs w:val="21"/>
        </w:rPr>
        <w:t>1979年起，国家对外贸出口</w:t>
      </w:r>
      <w:r>
        <w:rPr>
          <w:rFonts w:hint="eastAsia" w:ascii="宋体" w:hAnsi="宋体"/>
          <w:szCs w:val="21"/>
        </w:rPr>
        <w:t>超基数（以</w:t>
      </w:r>
      <w:r>
        <w:rPr>
          <w:rFonts w:ascii="宋体" w:hAnsi="宋体"/>
          <w:szCs w:val="21"/>
        </w:rPr>
        <w:t>1978年实际收购额184.06万美元为基数）增长部分，实行外汇留成的办</w:t>
      </w:r>
      <w:r>
        <w:rPr>
          <w:rFonts w:hint="eastAsia" w:ascii="宋体" w:hAnsi="宋体"/>
          <w:szCs w:val="21"/>
        </w:rPr>
        <w:t>法。</w:t>
      </w:r>
      <w:r>
        <w:rPr>
          <w:rFonts w:ascii="宋体" w:hAnsi="宋体"/>
          <w:szCs w:val="21"/>
        </w:rPr>
        <w:t>1982年，县外贸部门为国家创汇316.82万美元，地方留成外汇12.34万美元</w:t>
      </w:r>
      <w:r>
        <w:rPr>
          <w:rFonts w:hint="eastAsia" w:ascii="宋体" w:hAnsi="宋体"/>
          <w:szCs w:val="21"/>
        </w:rPr>
        <w:t>。</w:t>
      </w:r>
      <w:r>
        <w:rPr>
          <w:rFonts w:ascii="宋体" w:hAnsi="宋体"/>
          <w:szCs w:val="21"/>
        </w:rPr>
        <w:t>1983年创汇297.99万美元，地方留成7.48万美元。1987年创汇270万美元，地方</w:t>
      </w:r>
      <w:r>
        <w:rPr>
          <w:rFonts w:hint="eastAsia" w:ascii="宋体" w:hAnsi="宋体"/>
          <w:szCs w:val="21"/>
        </w:rPr>
        <w:t>留成</w:t>
      </w:r>
      <w:r>
        <w:rPr>
          <w:rFonts w:ascii="宋体" w:hAnsi="宋体"/>
          <w:szCs w:val="21"/>
        </w:rPr>
        <w:t>70万美元。</w:t>
      </w:r>
    </w:p>
    <w:p w14:paraId="296E03D0">
      <w:pPr>
        <w:ind w:firstLine="420"/>
        <w:rPr>
          <w:rFonts w:ascii="宋体" w:hAnsi="宋体"/>
          <w:szCs w:val="21"/>
        </w:rPr>
      </w:pPr>
      <w:r>
        <w:rPr>
          <w:rFonts w:hint="eastAsia" w:ascii="宋体" w:hAnsi="宋体"/>
          <w:szCs w:val="21"/>
        </w:rPr>
        <w:t>黄烟、腊鸭、土纸、冬菇、白果、冬笋是南雄传统出口商品。</w:t>
      </w:r>
      <w:r>
        <w:rPr>
          <w:rFonts w:ascii="宋体" w:hAnsi="宋体"/>
          <w:szCs w:val="21"/>
        </w:rPr>
        <w:t>1980年后，由于</w:t>
      </w:r>
      <w:r>
        <w:rPr>
          <w:rFonts w:hint="eastAsia" w:ascii="宋体" w:hAnsi="宋体"/>
          <w:szCs w:val="21"/>
        </w:rPr>
        <w:t>国际市场的变化，传统土特产品出口减少，部分中断出口，出口商品转以轻工、纺织和工艺产品为主。</w:t>
      </w:r>
    </w:p>
    <w:p w14:paraId="1F2DAB63">
      <w:pPr>
        <w:ind w:firstLine="420"/>
        <w:rPr>
          <w:rFonts w:ascii="宋体" w:hAnsi="宋体"/>
          <w:szCs w:val="21"/>
        </w:rPr>
      </w:pPr>
      <w:r>
        <w:rPr>
          <w:rFonts w:hint="eastAsia" w:ascii="宋体" w:hAnsi="宋体"/>
          <w:szCs w:val="21"/>
        </w:rPr>
        <w:t>腊鸭。出口历史悠久，在我国港澳地区和新加坡、马来西亚市场有一定声誉。</w:t>
      </w:r>
      <w:r>
        <w:rPr>
          <w:rFonts w:ascii="宋体" w:hAnsi="宋体"/>
          <w:szCs w:val="21"/>
        </w:rPr>
        <w:t>1961年至1980年外贸收购毛鸭加工出口板鸭，采取奖售办法。1981年实行议价收</w:t>
      </w:r>
      <w:r>
        <w:rPr>
          <w:rFonts w:hint="eastAsia" w:ascii="宋体" w:hAnsi="宋体"/>
          <w:szCs w:val="21"/>
        </w:rPr>
        <w:t>购，取消奖售。腊鸭出口量</w:t>
      </w:r>
      <w:r>
        <w:rPr>
          <w:rFonts w:ascii="宋体" w:hAnsi="宋体"/>
          <w:szCs w:val="21"/>
        </w:rPr>
        <w:t>1956年为2万只，1957年为3万只（约16.5吨），为最</w:t>
      </w:r>
      <w:r>
        <w:rPr>
          <w:rFonts w:hint="eastAsia" w:ascii="宋体" w:hAnsi="宋体"/>
          <w:szCs w:val="21"/>
        </w:rPr>
        <w:t>高出口年份。一般年度出口</w:t>
      </w:r>
      <w:r>
        <w:rPr>
          <w:rFonts w:ascii="宋体" w:hAnsi="宋体"/>
          <w:szCs w:val="21"/>
        </w:rPr>
        <w:t>1万只左右</w:t>
      </w:r>
      <w:r>
        <w:rPr>
          <w:rFonts w:hint="eastAsia" w:ascii="宋体" w:hAnsi="宋体"/>
          <w:szCs w:val="21"/>
        </w:rPr>
        <w:t>。</w:t>
      </w:r>
    </w:p>
    <w:p w14:paraId="2F373A8C">
      <w:pPr>
        <w:ind w:firstLine="420"/>
        <w:rPr>
          <w:rFonts w:ascii="宋体" w:hAnsi="宋体"/>
          <w:szCs w:val="21"/>
        </w:rPr>
      </w:pPr>
      <w:r>
        <w:rPr>
          <w:rFonts w:hint="eastAsia" w:ascii="宋体" w:hAnsi="宋体"/>
          <w:szCs w:val="21"/>
        </w:rPr>
        <w:t>晒烟。历来很受外商欢迎，出口颇多。</w:t>
      </w:r>
      <w:r>
        <w:rPr>
          <w:rFonts w:ascii="宋体" w:hAnsi="宋体"/>
          <w:szCs w:val="21"/>
        </w:rPr>
        <w:t>1953年至1979年，收购出口11690.39</w:t>
      </w:r>
      <w:r>
        <w:rPr>
          <w:rFonts w:hint="eastAsia" w:ascii="宋体" w:hAnsi="宋体"/>
          <w:szCs w:val="21"/>
        </w:rPr>
        <w:t>吨，年均</w:t>
      </w:r>
      <w:r>
        <w:rPr>
          <w:rFonts w:ascii="宋体" w:hAnsi="宋体"/>
          <w:szCs w:val="21"/>
        </w:rPr>
        <w:t>467.6吨，最多1958年达1368吨。1980年以后，由于国外烟叶市场变化，</w:t>
      </w:r>
      <w:r>
        <w:rPr>
          <w:rFonts w:hint="eastAsia" w:ascii="宋体" w:hAnsi="宋体"/>
          <w:szCs w:val="21"/>
        </w:rPr>
        <w:t>外贸出口一度停止。</w:t>
      </w:r>
      <w:r>
        <w:rPr>
          <w:rFonts w:ascii="宋体" w:hAnsi="宋体"/>
          <w:szCs w:val="21"/>
        </w:rPr>
        <w:t>1987年恢复少量出口，1992年增至851吨</w:t>
      </w:r>
      <w:r>
        <w:rPr>
          <w:rFonts w:hint="eastAsia" w:ascii="宋体" w:hAnsi="宋体"/>
          <w:szCs w:val="21"/>
        </w:rPr>
        <w:t>。</w:t>
      </w:r>
    </w:p>
    <w:p w14:paraId="79AD6C30">
      <w:pPr>
        <w:ind w:firstLine="420"/>
        <w:rPr>
          <w:rFonts w:ascii="宋体" w:hAnsi="宋体"/>
          <w:szCs w:val="21"/>
        </w:rPr>
      </w:pPr>
      <w:r>
        <w:rPr>
          <w:rFonts w:hint="eastAsia" w:ascii="宋体" w:hAnsi="宋体"/>
          <w:szCs w:val="21"/>
        </w:rPr>
        <w:t>土纸。南雄玉扣纸质幼滑松厚，东庄纸质细嫩滑不散水，北山京文纸幼滑结实，均属出口的高档土纸，主销我国港澳地区及东南亚。</w:t>
      </w:r>
      <w:r>
        <w:rPr>
          <w:rFonts w:ascii="宋体" w:hAnsi="宋体"/>
          <w:szCs w:val="21"/>
        </w:rPr>
        <w:t>1979年以后还销往日本等地。</w:t>
      </w:r>
      <w:r>
        <w:rPr>
          <w:rFonts w:hint="eastAsia" w:ascii="宋体" w:hAnsi="宋体"/>
          <w:szCs w:val="21"/>
        </w:rPr>
        <w:t>最高收购出口量为</w:t>
      </w:r>
      <w:r>
        <w:rPr>
          <w:rFonts w:ascii="宋体" w:hAnsi="宋体"/>
          <w:szCs w:val="21"/>
        </w:rPr>
        <w:t>1965年，达859吨。1986年停止出口。</w:t>
      </w:r>
    </w:p>
    <w:p w14:paraId="7035B660">
      <w:pPr>
        <w:ind w:firstLine="420"/>
        <w:rPr>
          <w:rFonts w:ascii="宋体" w:hAnsi="宋体"/>
          <w:szCs w:val="21"/>
        </w:rPr>
      </w:pPr>
      <w:r>
        <w:rPr>
          <w:rFonts w:hint="eastAsia" w:ascii="宋体" w:hAnsi="宋体"/>
          <w:szCs w:val="21"/>
        </w:rPr>
        <w:t>冬菇。民国时期销往我国港澳等地，新中国成立后远销东南亚新加坡和马来西亚一带，是换汇率较高的商品。</w:t>
      </w:r>
      <w:r>
        <w:rPr>
          <w:rFonts w:ascii="宋体" w:hAnsi="宋体"/>
          <w:szCs w:val="21"/>
        </w:rPr>
        <w:t>1977年收购出口最多，达12.3吨。此后，收购量逐年</w:t>
      </w:r>
      <w:r>
        <w:rPr>
          <w:rFonts w:hint="eastAsia" w:ascii="宋体" w:hAnsi="宋体"/>
          <w:szCs w:val="21"/>
        </w:rPr>
        <w:t>减少。</w:t>
      </w:r>
    </w:p>
    <w:p w14:paraId="739B67DC">
      <w:pPr>
        <w:ind w:firstLine="420"/>
        <w:rPr>
          <w:rFonts w:ascii="宋体" w:hAnsi="宋体"/>
          <w:szCs w:val="21"/>
        </w:rPr>
      </w:pPr>
      <w:r>
        <w:rPr>
          <w:rFonts w:hint="eastAsia" w:ascii="宋体" w:hAnsi="宋体"/>
          <w:szCs w:val="21"/>
        </w:rPr>
        <w:t>冬笋。主销我国港澳等地。</w:t>
      </w:r>
      <w:r>
        <w:rPr>
          <w:rFonts w:ascii="宋体" w:hAnsi="宋体"/>
          <w:szCs w:val="21"/>
        </w:rPr>
        <w:t>1979年以后还销往日本，是创汇率高的商品。1968</w:t>
      </w:r>
      <w:r>
        <w:rPr>
          <w:rFonts w:hint="eastAsia" w:ascii="宋体" w:hAnsi="宋体"/>
          <w:szCs w:val="21"/>
        </w:rPr>
        <w:t>年收购出口冬笋采取奖售办法。</w:t>
      </w:r>
      <w:r>
        <w:rPr>
          <w:rFonts w:ascii="宋体" w:hAnsi="宋体"/>
          <w:szCs w:val="21"/>
        </w:rPr>
        <w:t>1983年停止出口。最高收购量为1965年，达164.35吨。</w:t>
      </w:r>
    </w:p>
    <w:p w14:paraId="17125F7D">
      <w:pPr>
        <w:ind w:firstLine="420"/>
        <w:rPr>
          <w:rFonts w:ascii="宋体" w:hAnsi="宋体"/>
          <w:szCs w:val="21"/>
        </w:rPr>
      </w:pPr>
      <w:r>
        <w:rPr>
          <w:rFonts w:hint="eastAsia" w:ascii="宋体" w:hAnsi="宋体"/>
          <w:szCs w:val="21"/>
        </w:rPr>
        <w:t>白果（银杏）。主销我国港澳地区及新加坡、马来西亚、日本等地。主产于坪田，其特点是粒大、无心、肉润、色明净，味甘美，有清心润肺化痰下气功能，最高收购出口量为</w:t>
      </w:r>
      <w:r>
        <w:rPr>
          <w:rFonts w:ascii="宋体" w:hAnsi="宋体"/>
          <w:szCs w:val="21"/>
        </w:rPr>
        <w:t>1966年，达10.45吨。1983年停止出口。</w:t>
      </w:r>
    </w:p>
    <w:p w14:paraId="6CA22CC0">
      <w:pPr>
        <w:ind w:firstLine="420"/>
        <w:rPr>
          <w:rFonts w:ascii="宋体" w:hAnsi="宋体"/>
          <w:szCs w:val="21"/>
        </w:rPr>
      </w:pPr>
      <w:r>
        <w:rPr>
          <w:rFonts w:hint="eastAsia" w:ascii="宋体" w:hAnsi="宋体"/>
          <w:szCs w:val="21"/>
        </w:rPr>
        <w:t>红瓜子。主销我国港澳地区及新加坡、马来西亚一带，并转口南美、西欧各地，供应华侨春节消费。主要产区在界址、油山、黎口、邓坊等地。最高收购量为</w:t>
      </w:r>
      <w:r>
        <w:rPr>
          <w:rFonts w:ascii="宋体" w:hAnsi="宋体"/>
          <w:szCs w:val="21"/>
        </w:rPr>
        <w:t>1982</w:t>
      </w:r>
      <w:r>
        <w:rPr>
          <w:rFonts w:hint="eastAsia" w:ascii="宋体" w:hAnsi="宋体"/>
          <w:szCs w:val="21"/>
        </w:rPr>
        <w:t>年，达</w:t>
      </w:r>
      <w:r>
        <w:rPr>
          <w:rFonts w:ascii="宋体" w:hAnsi="宋体"/>
          <w:szCs w:val="21"/>
        </w:rPr>
        <w:t>179.9吨</w:t>
      </w:r>
      <w:r>
        <w:rPr>
          <w:rFonts w:hint="eastAsia" w:ascii="宋体" w:hAnsi="宋体"/>
          <w:szCs w:val="21"/>
        </w:rPr>
        <w:t>。</w:t>
      </w:r>
    </w:p>
    <w:p w14:paraId="324FDCEC">
      <w:pPr>
        <w:ind w:firstLine="420"/>
        <w:rPr>
          <w:rFonts w:ascii="宋体" w:hAnsi="宋体"/>
          <w:szCs w:val="21"/>
        </w:rPr>
      </w:pPr>
      <w:r>
        <w:rPr>
          <w:rFonts w:hint="eastAsia" w:ascii="宋体" w:hAnsi="宋体"/>
          <w:szCs w:val="21"/>
        </w:rPr>
        <w:t>此外，还有松香、松节油、梅李胚、茶叶、山苍子油、黄樟油、芳香油、药材、黄杨木、咸蘑菇、草菇、盐荞头、干姜片、茶麸及畜产品、羽毛、牛皮等，出口数量不多。</w:t>
      </w:r>
    </w:p>
    <w:p w14:paraId="3EE01938">
      <w:pPr>
        <w:ind w:firstLine="420"/>
        <w:rPr>
          <w:rFonts w:ascii="宋体" w:hAnsi="宋体"/>
          <w:szCs w:val="21"/>
        </w:rPr>
      </w:pPr>
      <w:r>
        <w:rPr>
          <w:rFonts w:hint="eastAsia" w:ascii="宋体" w:hAnsi="宋体"/>
          <w:szCs w:val="21"/>
        </w:rPr>
        <w:t>轻工业品。</w:t>
      </w:r>
      <w:r>
        <w:rPr>
          <w:rFonts w:ascii="宋体" w:hAnsi="宋体"/>
          <w:szCs w:val="21"/>
        </w:rPr>
        <w:t>1971年前出口产品只有人发1种，以后逐年增多，有竹绣画帘、竹</w:t>
      </w:r>
      <w:r>
        <w:rPr>
          <w:rFonts w:hint="eastAsia" w:ascii="宋体" w:hAnsi="宋体"/>
          <w:szCs w:val="21"/>
        </w:rPr>
        <w:t>绣屏风、竹帆船、竹纸扇、杂木家具、电珠、木衣夹、首饰箱、猪皮手套、布鞋、卷笔刀、圆珠笔、陶制品、五金制品等。以竹木玩具为“拳头”产品。轻工产品远销</w:t>
      </w:r>
      <w:r>
        <w:rPr>
          <w:rFonts w:ascii="宋体" w:hAnsi="宋体"/>
          <w:szCs w:val="21"/>
        </w:rPr>
        <w:t>40多个国家和地区</w:t>
      </w:r>
      <w:r>
        <w:rPr>
          <w:rFonts w:hint="eastAsia" w:ascii="宋体" w:hAnsi="宋体"/>
          <w:szCs w:val="21"/>
        </w:rPr>
        <w:t>。</w:t>
      </w:r>
    </w:p>
    <w:p w14:paraId="7DD42D6D">
      <w:pPr>
        <w:ind w:firstLine="420"/>
        <w:rPr>
          <w:rFonts w:ascii="宋体" w:hAnsi="宋体"/>
          <w:szCs w:val="21"/>
        </w:rPr>
      </w:pPr>
      <w:r>
        <w:rPr>
          <w:rFonts w:hint="eastAsia" w:ascii="宋体" w:hAnsi="宋体"/>
          <w:szCs w:val="21"/>
        </w:rPr>
        <w:t>矿产品。以氟石为主，产于江头、坪田一带，年收购量</w:t>
      </w:r>
      <w:r>
        <w:rPr>
          <w:rFonts w:ascii="宋体" w:hAnsi="宋体"/>
          <w:szCs w:val="21"/>
        </w:rPr>
        <w:t>1万多吨，主要销往日本</w:t>
      </w:r>
      <w:r>
        <w:rPr>
          <w:rFonts w:hint="eastAsia" w:ascii="宋体" w:hAnsi="宋体"/>
          <w:szCs w:val="21"/>
        </w:rPr>
        <w:t>和西欧。</w:t>
      </w:r>
    </w:p>
    <w:p w14:paraId="45F7F9AE">
      <w:pPr>
        <w:pStyle w:val="5"/>
        <w:rPr>
          <w:rFonts w:ascii="宋体" w:hAnsi="宋体"/>
        </w:rPr>
      </w:pPr>
      <w:r>
        <w:rPr>
          <w:rFonts w:hint="eastAsia" w:ascii="宋体" w:hAnsi="宋体"/>
        </w:rPr>
        <w:t>二、外贸出口</w:t>
      </w:r>
    </w:p>
    <w:p w14:paraId="3712908B">
      <w:pPr>
        <w:ind w:firstLine="420"/>
        <w:rPr>
          <w:rFonts w:ascii="宋体" w:hAnsi="宋体"/>
          <w:szCs w:val="21"/>
        </w:rPr>
      </w:pPr>
      <w:r>
        <w:rPr>
          <w:rFonts w:ascii="宋体" w:hAnsi="宋体"/>
          <w:szCs w:val="21"/>
        </w:rPr>
        <w:t>1988年6月，南雄县进出口贸易公司成立，开始自营进出口业务，主要经营竹</w:t>
      </w:r>
      <w:r>
        <w:rPr>
          <w:rFonts w:hint="eastAsia" w:ascii="宋体" w:hAnsi="宋体"/>
          <w:szCs w:val="21"/>
        </w:rPr>
        <w:t>木制品、针织品、有色金属及化工、轻工等商品，远销东南亚、欧洲等地。</w:t>
      </w:r>
      <w:r>
        <w:rPr>
          <w:rFonts w:ascii="宋体" w:hAnsi="宋体"/>
          <w:szCs w:val="21"/>
        </w:rPr>
        <w:t>1993年</w:t>
      </w:r>
      <w:r>
        <w:rPr>
          <w:rFonts w:hint="eastAsia" w:ascii="宋体" w:hAnsi="宋体"/>
          <w:szCs w:val="21"/>
        </w:rPr>
        <w:t>至</w:t>
      </w:r>
      <w:r>
        <w:rPr>
          <w:rFonts w:ascii="宋体" w:hAnsi="宋体"/>
          <w:szCs w:val="21"/>
        </w:rPr>
        <w:t>1997年共计出口总值5000多万美元。1998年以后受国际市场影响，每年出口总值</w:t>
      </w:r>
      <w:r>
        <w:rPr>
          <w:rFonts w:hint="eastAsia" w:ascii="宋体" w:hAnsi="宋体"/>
          <w:szCs w:val="21"/>
        </w:rPr>
        <w:t>不到</w:t>
      </w:r>
      <w:r>
        <w:rPr>
          <w:rFonts w:ascii="宋体" w:hAnsi="宋体"/>
          <w:szCs w:val="21"/>
        </w:rPr>
        <w:t>50万美元。2001年以后，情况日益好转，经营从单一贸易发展到内外结合、工</w:t>
      </w:r>
      <w:r>
        <w:rPr>
          <w:rFonts w:hint="eastAsia" w:ascii="宋体" w:hAnsi="宋体"/>
          <w:szCs w:val="21"/>
        </w:rPr>
        <w:t>贸结合。出口总值</w:t>
      </w:r>
      <w:r>
        <w:rPr>
          <w:rFonts w:ascii="宋体" w:hAnsi="宋体"/>
          <w:szCs w:val="21"/>
        </w:rPr>
        <w:t>2002年为86.5万美元，2003年为326万美元，2004年为426万</w:t>
      </w:r>
      <w:r>
        <w:rPr>
          <w:rFonts w:hint="eastAsia" w:ascii="宋体" w:hAnsi="宋体"/>
          <w:szCs w:val="21"/>
        </w:rPr>
        <w:t>美元。</w:t>
      </w:r>
    </w:p>
    <w:p w14:paraId="3B0410BB">
      <w:pPr>
        <w:pStyle w:val="4"/>
        <w:rPr>
          <w:rFonts w:ascii="宋体" w:hAnsi="宋体"/>
        </w:rPr>
      </w:pPr>
      <w:r>
        <w:rPr>
          <w:rFonts w:hint="eastAsia" w:ascii="宋体" w:hAnsi="宋体"/>
        </w:rPr>
        <w:t>第二节  招商引资</w:t>
      </w:r>
    </w:p>
    <w:p w14:paraId="45614E95">
      <w:pPr>
        <w:ind w:firstLine="420"/>
        <w:rPr>
          <w:rFonts w:ascii="宋体" w:hAnsi="宋体"/>
          <w:szCs w:val="21"/>
        </w:rPr>
      </w:pPr>
      <w:r>
        <w:rPr>
          <w:rFonts w:ascii="宋体" w:hAnsi="宋体"/>
          <w:szCs w:val="21"/>
        </w:rPr>
        <w:t>1998年，中共南雄市委、市政府制定了《关于鼓励客商来雄投资的若干规定》，</w:t>
      </w:r>
      <w:r>
        <w:rPr>
          <w:rFonts w:hint="eastAsia" w:ascii="宋体" w:hAnsi="宋体"/>
          <w:szCs w:val="21"/>
        </w:rPr>
        <w:t>给予到南雄投资的客商在税收、用地、劳动用工、用水用电等方面的优惠，并积极参加省、市在香港及国内各地举办的招商引资洽谈活动。充分利用珠玑巷后裔联谊活动，扩大招商引资宣传，广泛开展经贸活动，招商引资取得了一定成效。</w:t>
      </w:r>
    </w:p>
    <w:p w14:paraId="12D966C5">
      <w:pPr>
        <w:ind w:firstLine="420"/>
        <w:rPr>
          <w:rFonts w:ascii="宋体" w:hAnsi="宋体"/>
          <w:szCs w:val="21"/>
        </w:rPr>
      </w:pPr>
      <w:r>
        <w:rPr>
          <w:rFonts w:ascii="宋体" w:hAnsi="宋体"/>
          <w:szCs w:val="21"/>
        </w:rPr>
        <w:t>1993年至1997年，签订利用外资及港、台资合同35项，合同外资及港、台资金</w:t>
      </w:r>
      <w:r>
        <w:rPr>
          <w:rFonts w:hint="eastAsia" w:ascii="宋体" w:hAnsi="宋体"/>
          <w:szCs w:val="21"/>
        </w:rPr>
        <w:t>额</w:t>
      </w:r>
      <w:r>
        <w:rPr>
          <w:rFonts w:ascii="宋体" w:hAnsi="宋体"/>
          <w:szCs w:val="21"/>
        </w:rPr>
        <w:t>2.3亿港元，实际利用外资及港、台资1.1亿港元。1998年至2002年，利用外资</w:t>
      </w:r>
      <w:r>
        <w:rPr>
          <w:rFonts w:hint="eastAsia" w:ascii="宋体" w:hAnsi="宋体"/>
          <w:szCs w:val="21"/>
        </w:rPr>
        <w:t>及港、台资项目</w:t>
      </w:r>
      <w:r>
        <w:rPr>
          <w:rFonts w:ascii="宋体" w:hAnsi="宋体"/>
          <w:szCs w:val="21"/>
        </w:rPr>
        <w:t>48项，金额2.3亿美元，实际利用外资及港、台资1.6亿港元。2003年合同资金2.24亿美元，实际投入1.27亿美元。2004年合同资金4.38亿美</w:t>
      </w:r>
      <w:r>
        <w:rPr>
          <w:rFonts w:hint="eastAsia" w:ascii="宋体" w:hAnsi="宋体"/>
          <w:szCs w:val="21"/>
        </w:rPr>
        <w:t>元，实际投入</w:t>
      </w:r>
      <w:r>
        <w:rPr>
          <w:rFonts w:ascii="宋体" w:hAnsi="宋体"/>
          <w:szCs w:val="21"/>
        </w:rPr>
        <w:t>3.04亿美元。</w:t>
      </w:r>
    </w:p>
    <w:p w14:paraId="1EE2F75A">
      <w:pPr>
        <w:ind w:firstLine="422"/>
        <w:rPr>
          <w:rFonts w:ascii="宋体" w:hAnsi="宋体"/>
          <w:b/>
          <w:szCs w:val="21"/>
        </w:rPr>
      </w:pPr>
      <w:r>
        <w:rPr>
          <w:rFonts w:hint="eastAsia" w:ascii="宋体" w:hAnsi="宋体"/>
          <w:b/>
          <w:szCs w:val="21"/>
        </w:rPr>
        <w:t>招商引资主要企业：</w:t>
      </w:r>
    </w:p>
    <w:p w14:paraId="7D86C3D6">
      <w:pPr>
        <w:ind w:firstLine="422"/>
        <w:rPr>
          <w:rFonts w:ascii="宋体" w:hAnsi="宋体"/>
          <w:szCs w:val="21"/>
        </w:rPr>
      </w:pPr>
      <w:r>
        <w:rPr>
          <w:rFonts w:hint="eastAsia" w:ascii="宋体" w:hAnsi="宋体"/>
          <w:b/>
          <w:szCs w:val="21"/>
        </w:rPr>
        <w:t>广东绿洲纸模包装制品有限公司</w:t>
      </w:r>
      <w:r>
        <w:rPr>
          <w:rFonts w:hint="eastAsia" w:ascii="宋体" w:hAnsi="宋体"/>
          <w:szCs w:val="21"/>
        </w:rPr>
        <w:t xml:space="preserve">  于</w:t>
      </w:r>
      <w:r>
        <w:rPr>
          <w:rFonts w:ascii="宋体" w:hAnsi="宋体"/>
          <w:szCs w:val="21"/>
        </w:rPr>
        <w:t>2001年4月，由广东韶能集团股份有限公</w:t>
      </w:r>
      <w:r>
        <w:rPr>
          <w:rFonts w:hint="eastAsia" w:ascii="宋体" w:hAnsi="宋体"/>
          <w:szCs w:val="21"/>
        </w:rPr>
        <w:t>司及原佛山市绿洲纸模包装制品有限公司、南雄市第二造纸厂三方股东出资组建，总投资</w:t>
      </w:r>
      <w:r>
        <w:rPr>
          <w:rFonts w:ascii="宋体" w:hAnsi="宋体"/>
          <w:szCs w:val="21"/>
        </w:rPr>
        <w:t>1.8亿元人民币。工厂占地15万平方米，年产量可达9亿标件餐具、4000吨纸</w:t>
      </w:r>
      <w:r>
        <w:rPr>
          <w:rFonts w:hint="eastAsia" w:ascii="宋体" w:hAnsi="宋体"/>
          <w:szCs w:val="21"/>
        </w:rPr>
        <w:t>浆模塑包装制品。公司注册资本</w:t>
      </w:r>
      <w:r>
        <w:rPr>
          <w:rFonts w:ascii="宋体" w:hAnsi="宋体"/>
          <w:szCs w:val="21"/>
        </w:rPr>
        <w:t>5500万元，已完成投资7200多万元。2002年7月试</w:t>
      </w:r>
      <w:r>
        <w:rPr>
          <w:rFonts w:hint="eastAsia" w:ascii="宋体" w:hAnsi="宋体"/>
          <w:szCs w:val="21"/>
        </w:rPr>
        <w:t>产。用工</w:t>
      </w:r>
      <w:r>
        <w:rPr>
          <w:rFonts w:ascii="宋体" w:hAnsi="宋体"/>
          <w:szCs w:val="21"/>
        </w:rPr>
        <w:t>350人，年生产总值8000万元</w:t>
      </w:r>
      <w:r>
        <w:rPr>
          <w:rFonts w:hint="eastAsia" w:ascii="宋体" w:hAnsi="宋体"/>
          <w:szCs w:val="21"/>
        </w:rPr>
        <w:t>。</w:t>
      </w:r>
    </w:p>
    <w:p w14:paraId="3CED8DBA">
      <w:pPr>
        <w:ind w:firstLine="422"/>
        <w:rPr>
          <w:rFonts w:ascii="宋体" w:hAnsi="宋体"/>
          <w:szCs w:val="21"/>
        </w:rPr>
      </w:pPr>
      <w:r>
        <w:rPr>
          <w:rFonts w:hint="eastAsia" w:ascii="宋体" w:hAnsi="宋体"/>
          <w:b/>
          <w:szCs w:val="21"/>
        </w:rPr>
        <w:t>南雄市珠玑纸业有限公司</w:t>
      </w:r>
      <w:r>
        <w:rPr>
          <w:rFonts w:hint="eastAsia" w:ascii="宋体" w:hAnsi="宋体"/>
          <w:szCs w:val="21"/>
        </w:rPr>
        <w:t xml:space="preserve">  于</w:t>
      </w:r>
      <w:r>
        <w:rPr>
          <w:rFonts w:ascii="宋体" w:hAnsi="宋体"/>
          <w:szCs w:val="21"/>
        </w:rPr>
        <w:t>2002年10月，由中国信达资产管理公司、中国华</w:t>
      </w:r>
      <w:r>
        <w:rPr>
          <w:rFonts w:hint="eastAsia" w:ascii="宋体" w:hAnsi="宋体"/>
          <w:szCs w:val="21"/>
        </w:rPr>
        <w:t>融资产管理公司、南雄市造纸总厂三方股东以债转股方式组建而成。公司占地</w:t>
      </w:r>
      <w:r>
        <w:rPr>
          <w:rFonts w:ascii="宋体" w:hAnsi="宋体"/>
          <w:szCs w:val="21"/>
        </w:rPr>
        <w:t>8.66</w:t>
      </w:r>
      <w:r>
        <w:rPr>
          <w:rFonts w:hint="eastAsia" w:ascii="宋体" w:hAnsi="宋体"/>
          <w:szCs w:val="21"/>
        </w:rPr>
        <w:t>公顷，总资产</w:t>
      </w:r>
      <w:r>
        <w:rPr>
          <w:rFonts w:ascii="宋体" w:hAnsi="宋体"/>
          <w:szCs w:val="21"/>
        </w:rPr>
        <w:t>10139万元，注册资本为5245万元。有员工365人，生产能力为年产25000吨</w:t>
      </w:r>
      <w:r>
        <w:rPr>
          <w:rFonts w:hint="eastAsia" w:ascii="宋体" w:hAnsi="宋体"/>
          <w:szCs w:val="21"/>
        </w:rPr>
        <w:t>。</w:t>
      </w:r>
    </w:p>
    <w:p w14:paraId="48DCAA5B">
      <w:pPr>
        <w:ind w:firstLine="422"/>
        <w:rPr>
          <w:rFonts w:ascii="宋体" w:hAnsi="宋体"/>
          <w:szCs w:val="21"/>
        </w:rPr>
      </w:pPr>
      <w:r>
        <w:rPr>
          <w:rFonts w:hint="eastAsia" w:ascii="宋体" w:hAnsi="宋体"/>
          <w:b/>
          <w:szCs w:val="21"/>
        </w:rPr>
        <w:t>南雄明珠工业园</w:t>
      </w:r>
      <w:r>
        <w:rPr>
          <w:rFonts w:hint="eastAsia" w:ascii="宋体" w:hAnsi="宋体"/>
          <w:szCs w:val="21"/>
        </w:rPr>
        <w:t xml:space="preserve">  </w:t>
      </w:r>
      <w:r>
        <w:rPr>
          <w:rFonts w:ascii="宋体" w:hAnsi="宋体"/>
          <w:szCs w:val="21"/>
        </w:rPr>
        <w:t>2002年5月引进英发国际有限公司、香港建业地产发展有限</w:t>
      </w:r>
      <w:r>
        <w:rPr>
          <w:rFonts w:hint="eastAsia" w:ascii="宋体" w:hAnsi="宋体"/>
          <w:szCs w:val="21"/>
        </w:rPr>
        <w:t>公司、香港明珠电器有限责任公司、广州伟明机电物资有限公司、广州明信发展有限公司合作投资开发建设项目，占地</w:t>
      </w:r>
      <w:r>
        <w:rPr>
          <w:rFonts w:ascii="宋体" w:hAnsi="宋体"/>
          <w:szCs w:val="21"/>
        </w:rPr>
        <w:t>70公顷，项目基础投资2亿元人民币。首期投资9000万元人民币。</w:t>
      </w:r>
    </w:p>
    <w:p w14:paraId="0CCC6C7A">
      <w:pPr>
        <w:ind w:firstLine="422"/>
        <w:rPr>
          <w:rFonts w:ascii="宋体" w:hAnsi="宋体"/>
          <w:szCs w:val="21"/>
        </w:rPr>
      </w:pPr>
      <w:r>
        <w:rPr>
          <w:rFonts w:hint="eastAsia" w:ascii="宋体" w:hAnsi="宋体"/>
          <w:b/>
          <w:szCs w:val="21"/>
        </w:rPr>
        <w:t>新世纪银杏园有限责任公司</w:t>
      </w:r>
      <w:r>
        <w:rPr>
          <w:rFonts w:hint="eastAsia" w:ascii="宋体" w:hAnsi="宋体"/>
          <w:szCs w:val="21"/>
        </w:rPr>
        <w:t xml:space="preserve">  于</w:t>
      </w:r>
      <w:r>
        <w:rPr>
          <w:rFonts w:ascii="宋体" w:hAnsi="宋体"/>
          <w:szCs w:val="21"/>
        </w:rPr>
        <w:t>2002年8月，由南雄银杏开发有限公司与香港</w:t>
      </w:r>
      <w:r>
        <w:rPr>
          <w:rFonts w:hint="eastAsia" w:ascii="宋体" w:hAnsi="宋体"/>
          <w:szCs w:val="21"/>
        </w:rPr>
        <w:t>协群有限公司合作成立。是一家集银杏种植、苗木培育、科研加工于一体的银杏产业化经营企业。注册资本</w:t>
      </w:r>
      <w:r>
        <w:rPr>
          <w:rFonts w:ascii="宋体" w:hAnsi="宋体"/>
          <w:szCs w:val="21"/>
        </w:rPr>
        <w:t>3000万元人民币。建有银杏生产基地15个，面积433.33公</w:t>
      </w:r>
      <w:r>
        <w:rPr>
          <w:rFonts w:hint="eastAsia" w:ascii="宋体" w:hAnsi="宋体"/>
          <w:szCs w:val="21"/>
        </w:rPr>
        <w:t>顷，苗圃</w:t>
      </w:r>
      <w:r>
        <w:rPr>
          <w:rFonts w:ascii="宋体" w:hAnsi="宋体"/>
          <w:szCs w:val="21"/>
        </w:rPr>
        <w:t>6.67公顷。主要产品有优质苗木、银杏叶片、银杏果。公司还进行了银杏</w:t>
      </w:r>
      <w:r>
        <w:rPr>
          <w:rFonts w:hint="eastAsia" w:ascii="宋体" w:hAnsi="宋体"/>
          <w:szCs w:val="21"/>
        </w:rPr>
        <w:t>叶茶、防晒霜、银杏果仁保鲜及银杏润喉糖含片、冲剂等系列产品的开发研制。</w:t>
      </w:r>
    </w:p>
    <w:p w14:paraId="5D567525">
      <w:pPr>
        <w:ind w:firstLine="422"/>
        <w:rPr>
          <w:rFonts w:ascii="宋体" w:hAnsi="宋体"/>
          <w:szCs w:val="21"/>
        </w:rPr>
      </w:pPr>
      <w:r>
        <w:rPr>
          <w:rFonts w:hint="eastAsia" w:ascii="宋体" w:hAnsi="宋体"/>
          <w:b/>
          <w:szCs w:val="21"/>
        </w:rPr>
        <w:t>广东南雄金马纤维板制品有限公司</w:t>
      </w:r>
      <w:r>
        <w:rPr>
          <w:rFonts w:hint="eastAsia" w:ascii="宋体" w:hAnsi="宋体"/>
          <w:szCs w:val="21"/>
        </w:rPr>
        <w:t xml:space="preserve">  于</w:t>
      </w:r>
      <w:r>
        <w:rPr>
          <w:rFonts w:ascii="宋体" w:hAnsi="宋体"/>
          <w:szCs w:val="21"/>
        </w:rPr>
        <w:t>2000年12月，由马来西亚南方木材工业</w:t>
      </w:r>
      <w:r>
        <w:rPr>
          <w:rFonts w:hint="eastAsia" w:ascii="宋体" w:hAnsi="宋体"/>
          <w:szCs w:val="21"/>
        </w:rPr>
        <w:t>集团主席刘作怡投资兴办的独资企业。总投资</w:t>
      </w:r>
      <w:r>
        <w:rPr>
          <w:rFonts w:ascii="宋体" w:hAnsi="宋体"/>
          <w:szCs w:val="21"/>
        </w:rPr>
        <w:t>1.5亿元，注册资本2000万港元。公</w:t>
      </w:r>
      <w:r>
        <w:rPr>
          <w:rFonts w:hint="eastAsia" w:ascii="宋体" w:hAnsi="宋体"/>
          <w:szCs w:val="21"/>
        </w:rPr>
        <w:t>司占地</w:t>
      </w:r>
      <w:r>
        <w:rPr>
          <w:rFonts w:ascii="宋体" w:hAnsi="宋体"/>
          <w:szCs w:val="21"/>
        </w:rPr>
        <w:t>5万平方米。首期投资8000万元，2002年已完成投资3128万元</w:t>
      </w:r>
      <w:r>
        <w:rPr>
          <w:rFonts w:hint="eastAsia" w:ascii="宋体" w:hAnsi="宋体"/>
          <w:szCs w:val="21"/>
        </w:rPr>
        <w:t>。</w:t>
      </w:r>
    </w:p>
    <w:p w14:paraId="13AED01C">
      <w:pPr>
        <w:ind w:firstLine="422"/>
        <w:rPr>
          <w:rFonts w:ascii="宋体" w:hAnsi="宋体"/>
          <w:szCs w:val="21"/>
        </w:rPr>
      </w:pPr>
      <w:r>
        <w:rPr>
          <w:rFonts w:hint="eastAsia" w:ascii="宋体" w:hAnsi="宋体"/>
          <w:b/>
          <w:szCs w:val="21"/>
        </w:rPr>
        <w:t>香港日成（南雄）实业有限公司</w:t>
      </w:r>
      <w:r>
        <w:rPr>
          <w:rFonts w:hint="eastAsia" w:ascii="宋体" w:hAnsi="宋体"/>
          <w:szCs w:val="21"/>
        </w:rPr>
        <w:t xml:space="preserve">  于</w:t>
      </w:r>
      <w:r>
        <w:rPr>
          <w:rFonts w:ascii="宋体" w:hAnsi="宋体"/>
          <w:szCs w:val="21"/>
        </w:rPr>
        <w:t>1999年3月，由香港日成玩具有限公司郑</w:t>
      </w:r>
      <w:r>
        <w:rPr>
          <w:rFonts w:hint="eastAsia" w:ascii="宋体" w:hAnsi="宋体"/>
          <w:szCs w:val="21"/>
        </w:rPr>
        <w:t>柱成独资租赁经营。投资</w:t>
      </w:r>
      <w:r>
        <w:rPr>
          <w:rFonts w:ascii="宋体" w:hAnsi="宋体"/>
          <w:szCs w:val="21"/>
        </w:rPr>
        <w:t>2000万港元，注册资本1500万港元。主要生产布绒玩具，</w:t>
      </w:r>
      <w:r>
        <w:rPr>
          <w:rFonts w:hint="eastAsia" w:ascii="宋体" w:hAnsi="宋体"/>
          <w:szCs w:val="21"/>
        </w:rPr>
        <w:t>年产值</w:t>
      </w:r>
      <w:r>
        <w:rPr>
          <w:rFonts w:ascii="宋体" w:hAnsi="宋体"/>
          <w:szCs w:val="21"/>
        </w:rPr>
        <w:t>1200万元，用工320人</w:t>
      </w:r>
      <w:r>
        <w:rPr>
          <w:rFonts w:hint="eastAsia" w:ascii="宋体" w:hAnsi="宋体"/>
          <w:szCs w:val="21"/>
        </w:rPr>
        <w:t>。</w:t>
      </w:r>
    </w:p>
    <w:p w14:paraId="25121720">
      <w:pPr>
        <w:ind w:firstLine="422"/>
        <w:rPr>
          <w:rFonts w:ascii="宋体" w:hAnsi="宋体"/>
          <w:szCs w:val="21"/>
        </w:rPr>
      </w:pPr>
      <w:r>
        <w:rPr>
          <w:rFonts w:hint="eastAsia" w:ascii="宋体" w:hAnsi="宋体"/>
          <w:b/>
          <w:szCs w:val="21"/>
        </w:rPr>
        <w:t>星翔投资公司</w:t>
      </w:r>
      <w:r>
        <w:rPr>
          <w:rFonts w:hint="eastAsia" w:ascii="宋体" w:hAnsi="宋体"/>
          <w:szCs w:val="21"/>
        </w:rPr>
        <w:t xml:space="preserve">  于</w:t>
      </w:r>
      <w:r>
        <w:rPr>
          <w:rFonts w:ascii="宋体" w:hAnsi="宋体"/>
          <w:szCs w:val="21"/>
        </w:rPr>
        <w:t>2002年5月，引进福建客商在南雄设立，以经营市政基础设</w:t>
      </w:r>
      <w:r>
        <w:rPr>
          <w:rFonts w:hint="eastAsia" w:ascii="宋体" w:hAnsi="宋体"/>
          <w:szCs w:val="21"/>
        </w:rPr>
        <w:t>施为主的投资公司。当年在珠玑、湖口镇投资兴建珠玑供水</w:t>
      </w:r>
      <w:r>
        <w:rPr>
          <w:rFonts w:hint="eastAsia" w:ascii="宋体" w:hAnsi="宋体"/>
          <w:szCs w:val="21"/>
          <w:lang w:eastAsia="zh-CN"/>
        </w:rPr>
        <w:t>有限责任公司</w:t>
      </w:r>
      <w:r>
        <w:rPr>
          <w:rFonts w:hint="eastAsia" w:ascii="宋体" w:hAnsi="宋体"/>
          <w:szCs w:val="21"/>
        </w:rPr>
        <w:t>，首期投资</w:t>
      </w:r>
      <w:r>
        <w:rPr>
          <w:rFonts w:ascii="宋体" w:hAnsi="宋体"/>
          <w:szCs w:val="21"/>
        </w:rPr>
        <w:t>630万元，同年11月供水。2003年又接收南雄市自来水厂成立南雄市星翔供水有限</w:t>
      </w:r>
      <w:r>
        <w:rPr>
          <w:rFonts w:hint="eastAsia" w:ascii="宋体" w:hAnsi="宋体"/>
          <w:szCs w:val="21"/>
        </w:rPr>
        <w:t>公司。</w:t>
      </w:r>
      <w:r>
        <w:rPr>
          <w:rFonts w:ascii="宋体" w:hAnsi="宋体"/>
          <w:szCs w:val="21"/>
        </w:rPr>
        <w:t>2004年投资2900万元扩建3万吨新水厂</w:t>
      </w:r>
      <w:r>
        <w:rPr>
          <w:rFonts w:hint="eastAsia" w:ascii="宋体" w:hAnsi="宋体"/>
          <w:szCs w:val="21"/>
        </w:rPr>
        <w:t>。</w:t>
      </w:r>
    </w:p>
    <w:p w14:paraId="25D075AF">
      <w:pPr>
        <w:ind w:firstLine="422"/>
        <w:rPr>
          <w:rFonts w:ascii="宋体" w:hAnsi="宋体"/>
          <w:szCs w:val="21"/>
        </w:rPr>
      </w:pPr>
      <w:r>
        <w:rPr>
          <w:rFonts w:hint="eastAsia" w:ascii="宋体" w:hAnsi="宋体"/>
          <w:b/>
          <w:szCs w:val="21"/>
        </w:rPr>
        <w:t>宝林农业开发有限公司</w:t>
      </w:r>
      <w:r>
        <w:rPr>
          <w:rFonts w:hint="eastAsia" w:ascii="宋体" w:hAnsi="宋体"/>
          <w:szCs w:val="21"/>
        </w:rPr>
        <w:t xml:space="preserve">  于</w:t>
      </w:r>
      <w:r>
        <w:rPr>
          <w:rFonts w:ascii="宋体" w:hAnsi="宋体"/>
          <w:szCs w:val="21"/>
        </w:rPr>
        <w:t>1993年11月，由台湾锦宝企业有限公司董事长林美</w:t>
      </w:r>
      <w:r>
        <w:rPr>
          <w:rFonts w:hint="eastAsia" w:ascii="宋体" w:hAnsi="宋体"/>
          <w:szCs w:val="21"/>
        </w:rPr>
        <w:t>丽独资经营，投资</w:t>
      </w:r>
      <w:r>
        <w:rPr>
          <w:rFonts w:ascii="宋体" w:hAnsi="宋体"/>
          <w:szCs w:val="21"/>
        </w:rPr>
        <w:t>500万元，注册资金450万元，年加工销售杂木500立方米、松木400立方米，年产350万元木制日用工艺品。</w:t>
      </w:r>
    </w:p>
    <w:p w14:paraId="3EFADBF2">
      <w:pPr>
        <w:ind w:firstLine="422"/>
        <w:rPr>
          <w:rFonts w:ascii="宋体" w:hAnsi="宋体"/>
          <w:szCs w:val="21"/>
        </w:rPr>
      </w:pPr>
      <w:r>
        <w:rPr>
          <w:rFonts w:hint="eastAsia" w:ascii="宋体" w:hAnsi="宋体"/>
          <w:b/>
          <w:szCs w:val="21"/>
        </w:rPr>
        <w:t>正勤手袋厂</w:t>
      </w:r>
      <w:r>
        <w:rPr>
          <w:rFonts w:hint="eastAsia" w:ascii="宋体" w:hAnsi="宋体"/>
          <w:szCs w:val="21"/>
        </w:rPr>
        <w:t xml:space="preserve">  于</w:t>
      </w:r>
      <w:r>
        <w:rPr>
          <w:rFonts w:ascii="宋体" w:hAnsi="宋体"/>
          <w:szCs w:val="21"/>
        </w:rPr>
        <w:t>2003年9月，落户河南街，由深圳市台商协会副会长许竣铭先</w:t>
      </w:r>
      <w:r>
        <w:rPr>
          <w:rFonts w:hint="eastAsia" w:ascii="宋体" w:hAnsi="宋体"/>
          <w:szCs w:val="21"/>
        </w:rPr>
        <w:t>生投资</w:t>
      </w:r>
      <w:r>
        <w:rPr>
          <w:rFonts w:ascii="宋体" w:hAnsi="宋体"/>
          <w:szCs w:val="21"/>
        </w:rPr>
        <w:t>5000万元兴建。建设用地14.53公顷，用2600人左右，生产、加工、销售各</w:t>
      </w:r>
      <w:r>
        <w:rPr>
          <w:rFonts w:hint="eastAsia" w:ascii="宋体" w:hAnsi="宋体"/>
          <w:szCs w:val="21"/>
        </w:rPr>
        <w:t>类手提袋、旅行包、宠物袋等。产品主要销往东南亚。</w:t>
      </w:r>
    </w:p>
    <w:p w14:paraId="31E3A5E7">
      <w:pPr>
        <w:pStyle w:val="4"/>
        <w:rPr>
          <w:rFonts w:ascii="宋体" w:hAnsi="宋体"/>
        </w:rPr>
      </w:pPr>
      <w:r>
        <w:rPr>
          <w:rFonts w:hint="eastAsia" w:ascii="宋体" w:hAnsi="宋体"/>
        </w:rPr>
        <w:t>第三节  外贸企业</w:t>
      </w:r>
    </w:p>
    <w:p w14:paraId="0E72BB1B">
      <w:pPr>
        <w:pStyle w:val="5"/>
        <w:rPr>
          <w:rFonts w:ascii="宋体" w:hAnsi="宋体"/>
        </w:rPr>
      </w:pPr>
      <w:r>
        <w:rPr>
          <w:rFonts w:hint="eastAsia" w:ascii="宋体" w:hAnsi="宋体"/>
        </w:rPr>
        <w:t>一、南雄市对外贸易总公司</w:t>
      </w:r>
    </w:p>
    <w:p w14:paraId="2B9C801C">
      <w:pPr>
        <w:ind w:firstLine="420"/>
        <w:rPr>
          <w:rFonts w:ascii="宋体" w:hAnsi="宋体"/>
          <w:szCs w:val="21"/>
        </w:rPr>
      </w:pPr>
      <w:r>
        <w:rPr>
          <w:rFonts w:hint="eastAsia" w:ascii="宋体" w:hAnsi="宋体"/>
          <w:szCs w:val="21"/>
        </w:rPr>
        <w:t>公司原与外贸局合署办公，一套班子、两块牌子，担负地方外贸计划收购调拨的行政职能。</w:t>
      </w:r>
      <w:r>
        <w:rPr>
          <w:rFonts w:ascii="宋体" w:hAnsi="宋体"/>
          <w:szCs w:val="21"/>
        </w:rPr>
        <w:t>1992年调拨出口248万元，1993年调拨出口401万元。1994年后，外贸</w:t>
      </w:r>
      <w:r>
        <w:rPr>
          <w:rFonts w:hint="eastAsia" w:ascii="宋体" w:hAnsi="宋体"/>
          <w:szCs w:val="21"/>
        </w:rPr>
        <w:t>体制改革，由调拨出口转为自营出口。</w:t>
      </w:r>
      <w:r>
        <w:rPr>
          <w:rFonts w:ascii="宋体" w:hAnsi="宋体"/>
          <w:szCs w:val="21"/>
        </w:rPr>
        <w:t>1994年至1997年自营出口金额分别为112万</w:t>
      </w:r>
      <w:r>
        <w:rPr>
          <w:rFonts w:hint="eastAsia" w:ascii="宋体" w:hAnsi="宋体"/>
          <w:szCs w:val="21"/>
        </w:rPr>
        <w:t>元、</w:t>
      </w:r>
      <w:r>
        <w:rPr>
          <w:rFonts w:ascii="宋体" w:hAnsi="宋体"/>
          <w:szCs w:val="21"/>
        </w:rPr>
        <w:t>871万元、241万元、130万元。1997年机构改革，公司行政职能全部划归对外</w:t>
      </w:r>
      <w:r>
        <w:rPr>
          <w:rFonts w:hint="eastAsia" w:ascii="宋体" w:hAnsi="宋体"/>
          <w:szCs w:val="21"/>
        </w:rPr>
        <w:t>经济贸易局。公司下属鸿润休闲中心，主要经营卡拉</w:t>
      </w:r>
      <w:r>
        <w:rPr>
          <w:rFonts w:ascii="宋体" w:hAnsi="宋体"/>
          <w:szCs w:val="21"/>
        </w:rPr>
        <w:t>OK、沐足、桑拿等服务项目。</w:t>
      </w:r>
    </w:p>
    <w:p w14:paraId="0BBB992F">
      <w:pPr>
        <w:pStyle w:val="5"/>
        <w:rPr>
          <w:rFonts w:ascii="宋体" w:hAnsi="宋体"/>
        </w:rPr>
      </w:pPr>
      <w:r>
        <w:rPr>
          <w:rFonts w:hint="eastAsia" w:ascii="宋体" w:hAnsi="宋体"/>
        </w:rPr>
        <w:t>二、粤华经贸实业公司公</w:t>
      </w:r>
    </w:p>
    <w:p w14:paraId="28CCD613">
      <w:pPr>
        <w:ind w:firstLine="420"/>
        <w:rPr>
          <w:rFonts w:ascii="宋体" w:hAnsi="宋体"/>
          <w:szCs w:val="21"/>
        </w:rPr>
      </w:pPr>
      <w:r>
        <w:rPr>
          <w:rFonts w:hint="eastAsia" w:ascii="宋体" w:hAnsi="宋体"/>
          <w:szCs w:val="21"/>
        </w:rPr>
        <w:t>司前身是南雄玩具总公司，成立于</w:t>
      </w:r>
      <w:r>
        <w:rPr>
          <w:rFonts w:ascii="宋体" w:hAnsi="宋体"/>
          <w:szCs w:val="21"/>
        </w:rPr>
        <w:t>1987年，为指导玩具行业生产、组织收购</w:t>
      </w:r>
      <w:r>
        <w:rPr>
          <w:rFonts w:hint="eastAsia" w:ascii="宋体" w:hAnsi="宋体"/>
          <w:szCs w:val="21"/>
        </w:rPr>
        <w:t>县内竹木玩具产品外销企业。由于经营陷入困境，</w:t>
      </w:r>
      <w:r>
        <w:rPr>
          <w:rFonts w:ascii="宋体" w:hAnsi="宋体"/>
          <w:szCs w:val="21"/>
        </w:rPr>
        <w:t>1991年改为粤华经贸实业公司，</w:t>
      </w:r>
      <w:r>
        <w:rPr>
          <w:rFonts w:hint="eastAsia" w:ascii="宋体" w:hAnsi="宋体"/>
          <w:szCs w:val="21"/>
        </w:rPr>
        <w:t>贷款兴办华悦竹木工艺厂，生产竹制工艺品，又与深圳活力宝公司合作兴办南雄活力宝公司。因经营不善，</w:t>
      </w:r>
      <w:r>
        <w:rPr>
          <w:rFonts w:ascii="宋体" w:hAnsi="宋体"/>
          <w:szCs w:val="21"/>
        </w:rPr>
        <w:t>1994年均停止经营。累欠银行贷款380多万元，公司人员四</w:t>
      </w:r>
      <w:r>
        <w:rPr>
          <w:rFonts w:hint="eastAsia" w:ascii="宋体" w:hAnsi="宋体"/>
          <w:szCs w:val="21"/>
        </w:rPr>
        <w:t>散各自谋生。</w:t>
      </w:r>
    </w:p>
    <w:p w14:paraId="23CF1A78">
      <w:pPr>
        <w:pStyle w:val="5"/>
        <w:rPr>
          <w:rFonts w:ascii="宋体" w:hAnsi="宋体"/>
        </w:rPr>
      </w:pPr>
      <w:r>
        <w:rPr>
          <w:rFonts w:hint="eastAsia" w:ascii="宋体" w:hAnsi="宋体"/>
        </w:rPr>
        <w:t>三、南雄市粤雄玩具总厂</w:t>
      </w:r>
    </w:p>
    <w:p w14:paraId="09E36626">
      <w:pPr>
        <w:ind w:firstLine="420"/>
        <w:rPr>
          <w:rFonts w:ascii="宋体" w:hAnsi="宋体"/>
          <w:szCs w:val="21"/>
        </w:rPr>
      </w:pPr>
      <w:r>
        <w:rPr>
          <w:rFonts w:hint="eastAsia" w:ascii="宋体" w:hAnsi="宋体"/>
          <w:szCs w:val="21"/>
        </w:rPr>
        <w:t>总厂于</w:t>
      </w:r>
      <w:r>
        <w:rPr>
          <w:rFonts w:ascii="宋体" w:hAnsi="宋体"/>
          <w:szCs w:val="21"/>
        </w:rPr>
        <w:t>1987年筹建，占地23</w:t>
      </w:r>
      <w:r>
        <w:rPr>
          <w:rFonts w:hint="eastAsia" w:ascii="宋体" w:hAnsi="宋体"/>
          <w:szCs w:val="21"/>
        </w:rPr>
        <w:t>0</w:t>
      </w:r>
      <w:r>
        <w:rPr>
          <w:rFonts w:ascii="宋体" w:hAnsi="宋体"/>
          <w:szCs w:val="21"/>
        </w:rPr>
        <w:t>00多平方米，厂内有一幢超过5000平方米标准车</w:t>
      </w:r>
      <w:r>
        <w:rPr>
          <w:rFonts w:hint="eastAsia" w:ascii="宋体" w:hAnsi="宋体"/>
          <w:szCs w:val="21"/>
        </w:rPr>
        <w:t>间，职工</w:t>
      </w:r>
      <w:r>
        <w:rPr>
          <w:rFonts w:ascii="宋体" w:hAnsi="宋体"/>
          <w:szCs w:val="21"/>
        </w:rPr>
        <w:t>2000多名。后因企业生产经营效益低下，于1995年全厂租赁给香港轩威实</w:t>
      </w:r>
      <w:r>
        <w:rPr>
          <w:rFonts w:hint="eastAsia" w:ascii="宋体" w:hAnsi="宋体"/>
          <w:szCs w:val="21"/>
        </w:rPr>
        <w:t>业公司经营。</w:t>
      </w:r>
      <w:r>
        <w:rPr>
          <w:rFonts w:ascii="宋体" w:hAnsi="宋体"/>
          <w:szCs w:val="21"/>
        </w:rPr>
        <w:t>1999年3月又租赁给香港日成玩具实业公司，主要生产线绒、布制玩</w:t>
      </w:r>
      <w:r>
        <w:rPr>
          <w:rFonts w:hint="eastAsia" w:ascii="宋体" w:hAnsi="宋体"/>
          <w:szCs w:val="21"/>
        </w:rPr>
        <w:t>具。年产值约</w:t>
      </w:r>
      <w:r>
        <w:rPr>
          <w:rFonts w:ascii="宋体" w:hAnsi="宋体"/>
          <w:szCs w:val="21"/>
        </w:rPr>
        <w:t>2000万元。玩具总厂已出让1000平方米土地偿还银行贷款300多万</w:t>
      </w:r>
      <w:r>
        <w:rPr>
          <w:rFonts w:hint="eastAsia" w:ascii="宋体" w:hAnsi="宋体"/>
          <w:szCs w:val="21"/>
        </w:rPr>
        <w:t>元。尚欠日本政府“黑字还流”贷款</w:t>
      </w:r>
      <w:r>
        <w:rPr>
          <w:rFonts w:ascii="宋体" w:hAnsi="宋体"/>
          <w:szCs w:val="21"/>
        </w:rPr>
        <w:t>50万元美金。</w:t>
      </w:r>
    </w:p>
    <w:p w14:paraId="0ECB9B30">
      <w:pPr>
        <w:pStyle w:val="3"/>
        <w:rPr>
          <w:rFonts w:ascii="宋体" w:hAnsi="宋体"/>
        </w:rPr>
      </w:pPr>
      <w:r>
        <w:rPr>
          <w:rFonts w:hint="eastAsia" w:ascii="宋体" w:hAnsi="宋体"/>
        </w:rPr>
        <w:t>第十章  粮油购销</w:t>
      </w:r>
    </w:p>
    <w:p w14:paraId="205FDB69">
      <w:pPr>
        <w:ind w:firstLine="420"/>
        <w:rPr>
          <w:rFonts w:ascii="宋体" w:hAnsi="宋体"/>
          <w:szCs w:val="21"/>
        </w:rPr>
      </w:pPr>
      <w:r>
        <w:rPr>
          <w:rFonts w:hint="eastAsia" w:ascii="宋体" w:hAnsi="宋体"/>
          <w:szCs w:val="21"/>
        </w:rPr>
        <w:t>新中国成立后，县人民政府建立各级粮食管理和经营机构，加强粮食市场管理。</w:t>
      </w:r>
      <w:r>
        <w:rPr>
          <w:rFonts w:ascii="宋体" w:hAnsi="宋体"/>
          <w:szCs w:val="21"/>
        </w:rPr>
        <w:t>1953年，国家实行粮食统购统销，统一制定粮食购销调计划和价格政策，保证军需</w:t>
      </w:r>
      <w:r>
        <w:rPr>
          <w:rFonts w:hint="eastAsia" w:ascii="宋体" w:hAnsi="宋体"/>
          <w:szCs w:val="21"/>
        </w:rPr>
        <w:t>民食。</w:t>
      </w:r>
      <w:r>
        <w:rPr>
          <w:rFonts w:ascii="宋体" w:hAnsi="宋体"/>
          <w:szCs w:val="21"/>
        </w:rPr>
        <w:t>1979年以来，国营粮食管理体制和流通体制逐步从原来的管理型转变为经营</w:t>
      </w:r>
      <w:r>
        <w:rPr>
          <w:rFonts w:hint="eastAsia" w:ascii="宋体" w:hAnsi="宋体"/>
          <w:szCs w:val="21"/>
        </w:rPr>
        <w:t>型。</w:t>
      </w:r>
      <w:r>
        <w:rPr>
          <w:rFonts w:ascii="宋体" w:hAnsi="宋体"/>
          <w:szCs w:val="21"/>
        </w:rPr>
        <w:t>1983年，开放粮食市场，在国家计划指导下实行多渠道流通。1985年，取消粮</w:t>
      </w:r>
      <w:r>
        <w:rPr>
          <w:rFonts w:hint="eastAsia" w:ascii="宋体" w:hAnsi="宋体"/>
          <w:szCs w:val="21"/>
        </w:rPr>
        <w:t>油统购，实行合同定购。</w:t>
      </w:r>
      <w:r>
        <w:rPr>
          <w:rFonts w:ascii="宋体" w:hAnsi="宋体"/>
          <w:szCs w:val="21"/>
        </w:rPr>
        <w:t>1988年，放开食油价格，实行市场调节。2001年，取消粮</w:t>
      </w:r>
      <w:r>
        <w:rPr>
          <w:rFonts w:hint="eastAsia" w:ascii="宋体" w:hAnsi="宋体"/>
          <w:szCs w:val="21"/>
        </w:rPr>
        <w:t>食定购任务，粮食购销市场化。</w:t>
      </w:r>
    </w:p>
    <w:p w14:paraId="4904FE36">
      <w:pPr>
        <w:pStyle w:val="4"/>
        <w:rPr>
          <w:rFonts w:ascii="宋体" w:hAnsi="宋体"/>
        </w:rPr>
      </w:pPr>
      <w:r>
        <w:rPr>
          <w:rFonts w:hint="eastAsia" w:ascii="宋体" w:hAnsi="宋体"/>
        </w:rPr>
        <w:t>第一节  机构</w:t>
      </w:r>
    </w:p>
    <w:p w14:paraId="791AA8A6">
      <w:pPr>
        <w:ind w:firstLine="420"/>
        <w:rPr>
          <w:rFonts w:ascii="宋体" w:hAnsi="宋体"/>
          <w:szCs w:val="21"/>
        </w:rPr>
      </w:pPr>
      <w:r>
        <w:rPr>
          <w:rFonts w:ascii="宋体" w:hAnsi="宋体"/>
          <w:szCs w:val="21"/>
        </w:rPr>
        <w:t>1949年11月，县人民政府设财粮科。1950年5月，财粮分开，成立粮食科。1951年，改为粮食局。1987年，粮食局下设8个股、3个公司、24个粮管所、6个</w:t>
      </w:r>
      <w:r>
        <w:rPr>
          <w:rFonts w:hint="eastAsia" w:ascii="宋体" w:hAnsi="宋体"/>
          <w:szCs w:val="21"/>
        </w:rPr>
        <w:t>加工厂，共有干部、职工</w:t>
      </w:r>
      <w:r>
        <w:rPr>
          <w:rFonts w:ascii="宋体" w:hAnsi="宋体"/>
          <w:szCs w:val="21"/>
        </w:rPr>
        <w:t>589人。1996年，改粮食局为粮食管理储备局。1997年机</w:t>
      </w:r>
      <w:r>
        <w:rPr>
          <w:rFonts w:hint="eastAsia" w:ascii="宋体" w:hAnsi="宋体"/>
          <w:szCs w:val="21"/>
        </w:rPr>
        <w:t>构改革，</w:t>
      </w:r>
      <w:r>
        <w:rPr>
          <w:rFonts w:ascii="宋体" w:hAnsi="宋体"/>
          <w:szCs w:val="21"/>
        </w:rPr>
        <w:t>24个基层独立核算单位合并为16个。1999年成立粮食购销公司。公司受粮</w:t>
      </w:r>
      <w:r>
        <w:rPr>
          <w:rFonts w:hint="eastAsia" w:ascii="宋体" w:hAnsi="宋体"/>
          <w:szCs w:val="21"/>
        </w:rPr>
        <w:t>食管理储备局委托，承担全市粮食购销业务，独立核算。</w:t>
      </w:r>
      <w:r>
        <w:rPr>
          <w:rFonts w:ascii="宋体" w:hAnsi="宋体"/>
          <w:szCs w:val="21"/>
        </w:rPr>
        <w:t>2002年3月，撤销粮食管</w:t>
      </w:r>
      <w:r>
        <w:rPr>
          <w:rFonts w:hint="eastAsia" w:ascii="宋体" w:hAnsi="宋体"/>
          <w:szCs w:val="21"/>
        </w:rPr>
        <w:t>理储备局，职能并入市发展计划局，对外仍挂粮食管理储备局牌子，独立运作。基层独立核算单位</w:t>
      </w:r>
      <w:r>
        <w:rPr>
          <w:rFonts w:ascii="宋体" w:hAnsi="宋体"/>
          <w:szCs w:val="21"/>
        </w:rPr>
        <w:t>11个，即市粮食购销公司和10个粮管所。企业保留33人，其余500</w:t>
      </w:r>
      <w:r>
        <w:rPr>
          <w:rFonts w:hint="eastAsia" w:ascii="宋体" w:hAnsi="宋体"/>
          <w:szCs w:val="21"/>
        </w:rPr>
        <w:t>多员工实行一次性经济补偿的安置政策。</w:t>
      </w:r>
    </w:p>
    <w:p w14:paraId="573A237E">
      <w:pPr>
        <w:pStyle w:val="4"/>
        <w:rPr>
          <w:rFonts w:ascii="宋体" w:hAnsi="宋体"/>
        </w:rPr>
      </w:pPr>
      <w:r>
        <w:rPr>
          <w:rFonts w:hint="eastAsia" w:ascii="宋体" w:hAnsi="宋体"/>
        </w:rPr>
        <w:t>第二节  购销</w:t>
      </w:r>
    </w:p>
    <w:p w14:paraId="15C7030B">
      <w:pPr>
        <w:pStyle w:val="5"/>
        <w:rPr>
          <w:rFonts w:ascii="宋体" w:hAnsi="宋体"/>
        </w:rPr>
      </w:pPr>
      <w:r>
        <w:rPr>
          <w:rFonts w:hint="eastAsia" w:ascii="宋体" w:hAnsi="宋体"/>
        </w:rPr>
        <w:t>一、统购统销</w:t>
      </w:r>
    </w:p>
    <w:p w14:paraId="6CAEA738">
      <w:pPr>
        <w:ind w:firstLine="420"/>
        <w:rPr>
          <w:rFonts w:ascii="宋体" w:hAnsi="宋体"/>
          <w:szCs w:val="21"/>
        </w:rPr>
      </w:pPr>
      <w:r>
        <w:rPr>
          <w:rFonts w:ascii="宋体" w:hAnsi="宋体"/>
          <w:szCs w:val="21"/>
        </w:rPr>
        <w:t>1953年12月21日，南雄县人民政府根据国家政务院颁布的命令，对粮食实行</w:t>
      </w:r>
      <w:r>
        <w:rPr>
          <w:rFonts w:hint="eastAsia" w:ascii="宋体" w:hAnsi="宋体"/>
          <w:szCs w:val="21"/>
        </w:rPr>
        <w:t>统一由国家计划收购和计划供应，简称统购统销。</w:t>
      </w:r>
    </w:p>
    <w:p w14:paraId="400B602F">
      <w:pPr>
        <w:ind w:firstLine="422"/>
        <w:rPr>
          <w:rFonts w:ascii="宋体" w:hAnsi="宋体"/>
          <w:b/>
          <w:szCs w:val="21"/>
        </w:rPr>
      </w:pPr>
      <w:r>
        <w:rPr>
          <w:rFonts w:ascii="宋体" w:hAnsi="宋体"/>
          <w:b/>
          <w:szCs w:val="21"/>
        </w:rPr>
        <w:t>1.统购</w:t>
      </w:r>
    </w:p>
    <w:p w14:paraId="73131E2A">
      <w:pPr>
        <w:ind w:firstLine="420"/>
        <w:rPr>
          <w:rFonts w:ascii="宋体" w:hAnsi="宋体"/>
          <w:szCs w:val="21"/>
        </w:rPr>
      </w:pPr>
      <w:r>
        <w:rPr>
          <w:rFonts w:ascii="宋体" w:hAnsi="宋体"/>
          <w:szCs w:val="21"/>
        </w:rPr>
        <w:t>1953年冬，粮油开始统购时，采取农民自报，民主评议，上级审查的办法，评</w:t>
      </w:r>
      <w:r>
        <w:rPr>
          <w:rFonts w:hint="eastAsia" w:ascii="宋体" w:hAnsi="宋体"/>
          <w:szCs w:val="21"/>
        </w:rPr>
        <w:t>定农户留足自用的口粮、种子、饲料和交纳农业税（公粮）后存有余粮数额，按国家的统购价格收购其余粮的</w:t>
      </w:r>
      <w:r>
        <w:rPr>
          <w:rFonts w:ascii="宋体" w:hAnsi="宋体"/>
          <w:szCs w:val="21"/>
        </w:rPr>
        <w:t>80%～90%</w:t>
      </w:r>
      <w:r>
        <w:rPr>
          <w:rFonts w:hint="eastAsia" w:ascii="宋体" w:hAnsi="宋体"/>
          <w:szCs w:val="21"/>
        </w:rPr>
        <w:t>。</w:t>
      </w:r>
    </w:p>
    <w:p w14:paraId="3CB10112">
      <w:pPr>
        <w:ind w:firstLine="420"/>
        <w:rPr>
          <w:rFonts w:ascii="宋体" w:hAnsi="宋体"/>
          <w:szCs w:val="21"/>
        </w:rPr>
      </w:pPr>
      <w:r>
        <w:rPr>
          <w:rFonts w:ascii="宋体" w:hAnsi="宋体"/>
          <w:szCs w:val="21"/>
        </w:rPr>
        <w:t>1954年，试行随征带购的办法，即以农业税为基础，计算出带购量占农业税的</w:t>
      </w:r>
      <w:r>
        <w:rPr>
          <w:rFonts w:hint="eastAsia" w:ascii="宋体" w:hAnsi="宋体"/>
          <w:szCs w:val="21"/>
        </w:rPr>
        <w:t>比率，南雄为</w:t>
      </w:r>
      <w:r>
        <w:rPr>
          <w:rFonts w:ascii="宋体" w:hAnsi="宋体"/>
          <w:szCs w:val="21"/>
        </w:rPr>
        <w:t>77.97%，按率确定余粮交售任务。</w:t>
      </w:r>
    </w:p>
    <w:p w14:paraId="15C5FE24">
      <w:pPr>
        <w:ind w:firstLine="420"/>
        <w:rPr>
          <w:rFonts w:ascii="宋体" w:hAnsi="宋体"/>
          <w:szCs w:val="21"/>
        </w:rPr>
      </w:pPr>
      <w:r>
        <w:rPr>
          <w:rFonts w:ascii="宋体" w:hAnsi="宋体"/>
          <w:szCs w:val="21"/>
        </w:rPr>
        <w:t>1955年8月，实行粮食“三定”：定产、定购、定销。定产：根据各农户田地的</w:t>
      </w:r>
      <w:r>
        <w:rPr>
          <w:rFonts w:hint="eastAsia" w:ascii="宋体" w:hAnsi="宋体"/>
          <w:szCs w:val="21"/>
        </w:rPr>
        <w:t>自然条件和经营条件，按正常年景评定单位面积常年产量，</w:t>
      </w:r>
      <w:r>
        <w:rPr>
          <w:rFonts w:ascii="宋体" w:hAnsi="宋体"/>
          <w:szCs w:val="21"/>
        </w:rPr>
        <w:t>3年不变。定购：根据农</w:t>
      </w:r>
      <w:r>
        <w:rPr>
          <w:rFonts w:hint="eastAsia" w:ascii="宋体" w:hAnsi="宋体"/>
          <w:szCs w:val="21"/>
        </w:rPr>
        <w:t>户定产数量，扣除规定的口粮、种子（粮区稻谷</w:t>
      </w:r>
      <w:r>
        <w:rPr>
          <w:rFonts w:ascii="宋体" w:hAnsi="宋体"/>
          <w:szCs w:val="21"/>
        </w:rPr>
        <w:t>240公斤，烟区210公斤）、饲料和</w:t>
      </w:r>
      <w:r>
        <w:rPr>
          <w:rFonts w:hint="eastAsia" w:ascii="宋体" w:hAnsi="宋体"/>
          <w:szCs w:val="21"/>
        </w:rPr>
        <w:t>交纳农业税之后，按余粮数量</w:t>
      </w:r>
      <w:r>
        <w:rPr>
          <w:rFonts w:ascii="宋体" w:hAnsi="宋体"/>
          <w:szCs w:val="21"/>
        </w:rPr>
        <w:t>80%～90%核定统购任务。是年，全县定产（稻谷</w:t>
      </w:r>
      <w:r>
        <w:rPr>
          <w:rFonts w:hint="eastAsia" w:ascii="宋体" w:hAnsi="宋体"/>
          <w:szCs w:val="21"/>
        </w:rPr>
        <w:t>、下同）</w:t>
      </w:r>
      <w:r>
        <w:rPr>
          <w:rFonts w:ascii="宋体" w:hAnsi="宋体"/>
          <w:szCs w:val="21"/>
        </w:rPr>
        <w:t>7345万公斤，定购875万公斤，占定产的11.91%；定销610万公斤，人均留</w:t>
      </w:r>
      <w:r>
        <w:rPr>
          <w:rFonts w:hint="eastAsia" w:ascii="宋体" w:hAnsi="宋体"/>
          <w:szCs w:val="21"/>
        </w:rPr>
        <w:t>粮</w:t>
      </w:r>
      <w:r>
        <w:rPr>
          <w:rFonts w:ascii="宋体" w:hAnsi="宋体"/>
          <w:szCs w:val="21"/>
        </w:rPr>
        <w:t>261.5公斤</w:t>
      </w:r>
      <w:r>
        <w:rPr>
          <w:rFonts w:hint="eastAsia" w:ascii="宋体" w:hAnsi="宋体"/>
          <w:szCs w:val="21"/>
        </w:rPr>
        <w:t>。</w:t>
      </w:r>
    </w:p>
    <w:p w14:paraId="5EC83741">
      <w:pPr>
        <w:ind w:firstLine="420"/>
        <w:rPr>
          <w:rFonts w:ascii="宋体" w:hAnsi="宋体"/>
          <w:szCs w:val="21"/>
        </w:rPr>
      </w:pPr>
      <w:r>
        <w:rPr>
          <w:rFonts w:ascii="宋体" w:hAnsi="宋体"/>
          <w:szCs w:val="21"/>
        </w:rPr>
        <w:t>1958年</w:t>
      </w:r>
      <w:r>
        <w:rPr>
          <w:rFonts w:hint="eastAsia" w:ascii="宋体" w:hAnsi="宋体"/>
          <w:szCs w:val="21"/>
        </w:rPr>
        <w:t>“</w:t>
      </w:r>
      <w:r>
        <w:rPr>
          <w:rFonts w:ascii="宋体" w:hAnsi="宋体"/>
          <w:szCs w:val="21"/>
        </w:rPr>
        <w:t>大跃进</w:t>
      </w:r>
      <w:r>
        <w:rPr>
          <w:rFonts w:hint="eastAsia" w:ascii="宋体" w:hAnsi="宋体"/>
          <w:szCs w:val="21"/>
        </w:rPr>
        <w:t>”</w:t>
      </w:r>
      <w:r>
        <w:rPr>
          <w:rFonts w:ascii="宋体" w:hAnsi="宋体"/>
          <w:szCs w:val="21"/>
        </w:rPr>
        <w:t>时，层层虚报粮食产量，放晚稻亩产所谓超万斤的</w:t>
      </w:r>
      <w:r>
        <w:rPr>
          <w:rFonts w:hint="eastAsia" w:ascii="宋体" w:hAnsi="宋体"/>
          <w:szCs w:val="21"/>
        </w:rPr>
        <w:t>“</w:t>
      </w:r>
      <w:r>
        <w:rPr>
          <w:rFonts w:ascii="宋体" w:hAnsi="宋体"/>
          <w:szCs w:val="21"/>
        </w:rPr>
        <w:t>高产卫</w:t>
      </w:r>
      <w:r>
        <w:rPr>
          <w:rFonts w:hint="eastAsia" w:ascii="宋体" w:hAnsi="宋体"/>
          <w:szCs w:val="21"/>
        </w:rPr>
        <w:t>星”。导致征（公粮）购入库连年增加，</w:t>
      </w:r>
      <w:r>
        <w:rPr>
          <w:rFonts w:ascii="宋体" w:hAnsi="宋体"/>
          <w:szCs w:val="21"/>
        </w:rPr>
        <w:t>1957年入库贸易粮（大米，下同）1313.5</w:t>
      </w:r>
      <w:r>
        <w:rPr>
          <w:rFonts w:hint="eastAsia" w:ascii="宋体" w:hAnsi="宋体"/>
          <w:szCs w:val="21"/>
        </w:rPr>
        <w:t>万公斤，</w:t>
      </w:r>
      <w:r>
        <w:rPr>
          <w:rFonts w:ascii="宋体" w:hAnsi="宋体"/>
          <w:szCs w:val="21"/>
        </w:rPr>
        <w:t>1958年为1600万公斤，1959年1792.5万公斤，1960年为1774.5万公斤。</w:t>
      </w:r>
      <w:r>
        <w:rPr>
          <w:rFonts w:hint="eastAsia" w:ascii="宋体" w:hAnsi="宋体"/>
          <w:szCs w:val="21"/>
        </w:rPr>
        <w:t>由于高征购，农民口粮水平逐年下降，</w:t>
      </w:r>
      <w:r>
        <w:rPr>
          <w:rFonts w:ascii="宋体" w:hAnsi="宋体"/>
          <w:szCs w:val="21"/>
        </w:rPr>
        <w:t>1957年每人平均口粮（稻谷，下同）235.5</w:t>
      </w:r>
      <w:r>
        <w:rPr>
          <w:rFonts w:hint="eastAsia" w:ascii="宋体" w:hAnsi="宋体"/>
          <w:szCs w:val="21"/>
        </w:rPr>
        <w:t>公斤，</w:t>
      </w:r>
      <w:r>
        <w:rPr>
          <w:rFonts w:ascii="宋体" w:hAnsi="宋体"/>
          <w:szCs w:val="21"/>
        </w:rPr>
        <w:t>1958年下降到187公斤，1960年又降到161公斤。1961年1月，县委常委会</w:t>
      </w:r>
      <w:r>
        <w:rPr>
          <w:rFonts w:hint="eastAsia" w:ascii="宋体" w:hAnsi="宋体"/>
          <w:szCs w:val="21"/>
        </w:rPr>
        <w:t>议称：“三年来……群众口粮水平逐年下降，其他副食品供应也很少，人民体质弱、疾病多，非正常死亡严重。全县初步统计，</w:t>
      </w:r>
      <w:r>
        <w:rPr>
          <w:rFonts w:ascii="宋体" w:hAnsi="宋体"/>
          <w:szCs w:val="21"/>
        </w:rPr>
        <w:t>1960年死亡6279人，占总人口的2.61%。</w:t>
      </w:r>
      <w:r>
        <w:rPr>
          <w:rFonts w:hint="eastAsia" w:ascii="宋体" w:hAnsi="宋体"/>
          <w:szCs w:val="21"/>
        </w:rPr>
        <w:t>”</w:t>
      </w:r>
      <w:r>
        <w:rPr>
          <w:rFonts w:ascii="宋体" w:hAnsi="宋体"/>
          <w:szCs w:val="21"/>
        </w:rPr>
        <w:t>为制止这种情况的继续发展，县委、县政府在粮食安排上采取4条措施：</w:t>
      </w:r>
      <w:r>
        <w:rPr>
          <w:rFonts w:hint="eastAsia" w:ascii="宋体" w:hAnsi="宋体"/>
          <w:szCs w:val="21"/>
        </w:rPr>
        <w:t>①安排好粮食，保证每人每月吃够大米</w:t>
      </w:r>
      <w:r>
        <w:rPr>
          <w:rFonts w:ascii="宋体" w:hAnsi="宋体"/>
          <w:szCs w:val="21"/>
        </w:rPr>
        <w:t>10公斤；②因地制宜，大搞瓜菜等代食品；</w:t>
      </w:r>
      <w:r>
        <w:rPr>
          <w:rFonts w:hint="eastAsia" w:ascii="宋体" w:hAnsi="宋体"/>
          <w:szCs w:val="21"/>
        </w:rPr>
        <w:t>③保证病人每天</w:t>
      </w:r>
      <w:r>
        <w:rPr>
          <w:rFonts w:ascii="宋体" w:hAnsi="宋体"/>
          <w:szCs w:val="21"/>
        </w:rPr>
        <w:t>1斤米，1钱油；④帮助农民搞好冬种和自留地生产。1962年起，粮</w:t>
      </w:r>
      <w:r>
        <w:rPr>
          <w:rFonts w:hint="eastAsia" w:ascii="宋体" w:hAnsi="宋体"/>
          <w:szCs w:val="21"/>
        </w:rPr>
        <w:t>食情况逐步好转。</w:t>
      </w:r>
      <w:r>
        <w:rPr>
          <w:rFonts w:ascii="宋体" w:hAnsi="宋体"/>
          <w:szCs w:val="21"/>
        </w:rPr>
        <w:t>1965年，实施粮食征购任务一定3年政策，县落实到各公社。1965年至1967年，每年粮食征购任务为1985万公斤（稻谷，下同），3年征购粮食</w:t>
      </w:r>
      <w:r>
        <w:rPr>
          <w:rFonts w:hint="eastAsia" w:ascii="宋体" w:hAnsi="宋体"/>
          <w:szCs w:val="21"/>
        </w:rPr>
        <w:t>入库</w:t>
      </w:r>
      <w:r>
        <w:rPr>
          <w:rFonts w:ascii="宋体" w:hAnsi="宋体"/>
          <w:szCs w:val="21"/>
        </w:rPr>
        <w:t>6097.5万公斤，每年平均为2032.5万公斤。1970年，实行超产、超购、超奖的</w:t>
      </w:r>
      <w:r>
        <w:rPr>
          <w:rFonts w:hint="eastAsia" w:ascii="宋体" w:hAnsi="宋体"/>
          <w:szCs w:val="21"/>
        </w:rPr>
        <w:t>办法，把“三超粮”和征购任务基数同时逐级合理分配到生产队，基本固定。是年全县定超购</w:t>
      </w:r>
      <w:r>
        <w:rPr>
          <w:rFonts w:ascii="宋体" w:hAnsi="宋体"/>
          <w:szCs w:val="21"/>
        </w:rPr>
        <w:t>179万公斤（原粮，下同），连同粮食征购基数2262万公斤，总征购为2441万公斤，下达到各公社。1971年至1973年，3年粮食入库6724万公斤，年均2241.5万公斤。1981年至1983年，征购任务不变、实行调整统超粮比例、价格补</w:t>
      </w:r>
      <w:r>
        <w:rPr>
          <w:rFonts w:hint="eastAsia" w:ascii="宋体" w:hAnsi="宋体"/>
          <w:szCs w:val="21"/>
        </w:rPr>
        <w:t>贴、奖励交售征购粮基数，调整后</w:t>
      </w:r>
      <w:r>
        <w:rPr>
          <w:rFonts w:ascii="宋体" w:hAnsi="宋体"/>
          <w:szCs w:val="21"/>
        </w:rPr>
        <w:t>3年平均每年入库粮食2704万公斤。</w:t>
      </w:r>
    </w:p>
    <w:p w14:paraId="45D81A23">
      <w:pPr>
        <w:ind w:firstLine="422"/>
        <w:rPr>
          <w:rFonts w:ascii="宋体" w:hAnsi="宋体"/>
          <w:b/>
          <w:szCs w:val="21"/>
        </w:rPr>
      </w:pPr>
      <w:r>
        <w:rPr>
          <w:rFonts w:ascii="宋体" w:hAnsi="宋体"/>
          <w:b/>
          <w:szCs w:val="21"/>
        </w:rPr>
        <w:t>2.统销</w:t>
      </w:r>
    </w:p>
    <w:p w14:paraId="28C9003D">
      <w:pPr>
        <w:ind w:firstLine="420"/>
        <w:rPr>
          <w:rFonts w:ascii="宋体" w:hAnsi="宋体"/>
          <w:szCs w:val="21"/>
        </w:rPr>
      </w:pPr>
      <w:r>
        <w:rPr>
          <w:rFonts w:hint="eastAsia" w:ascii="宋体" w:hAnsi="宋体"/>
          <w:szCs w:val="21"/>
        </w:rPr>
        <w:t>统销是对城镇居民、国家干部、职工和农村缺粮农民实行计划供应的政策。</w:t>
      </w:r>
      <w:r>
        <w:rPr>
          <w:rFonts w:ascii="宋体" w:hAnsi="宋体"/>
          <w:szCs w:val="21"/>
        </w:rPr>
        <w:t>1953</w:t>
      </w:r>
      <w:r>
        <w:rPr>
          <w:rFonts w:hint="eastAsia" w:ascii="宋体" w:hAnsi="宋体"/>
          <w:szCs w:val="21"/>
        </w:rPr>
        <w:t>年，开始实行统销时，对机关和居民的口粮供应，采取由用粮户自定计划，国家保证供应的办法。此法流弊颇多。</w:t>
      </w:r>
      <w:r>
        <w:rPr>
          <w:rFonts w:ascii="宋体" w:hAnsi="宋体"/>
          <w:szCs w:val="21"/>
        </w:rPr>
        <w:t>1955年，实行按人定等定量，统销制度日趋完善，直</w:t>
      </w:r>
      <w:r>
        <w:rPr>
          <w:rFonts w:hint="eastAsia" w:ascii="宋体" w:hAnsi="宋体"/>
          <w:szCs w:val="21"/>
        </w:rPr>
        <w:t>至</w:t>
      </w:r>
      <w:r>
        <w:rPr>
          <w:rFonts w:ascii="宋体" w:hAnsi="宋体"/>
          <w:szCs w:val="21"/>
        </w:rPr>
        <w:t>1991年。供应标准详见表2-42。</w:t>
      </w:r>
    </w:p>
    <w:p w14:paraId="7BDC0C19">
      <w:pPr>
        <w:ind w:firstLine="420"/>
        <w:rPr>
          <w:rFonts w:ascii="宋体" w:hAnsi="宋体"/>
          <w:szCs w:val="21"/>
        </w:rPr>
      </w:pPr>
      <w:r>
        <w:rPr>
          <w:rFonts w:hint="eastAsia" w:ascii="宋体" w:hAnsi="宋体"/>
          <w:szCs w:val="21"/>
        </w:rPr>
        <w:t>粮食统销除对定量人口供应外，还有</w:t>
      </w:r>
      <w:r>
        <w:rPr>
          <w:rFonts w:ascii="宋体" w:hAnsi="宋体"/>
          <w:szCs w:val="21"/>
        </w:rPr>
        <w:t>9种粮油供应，即工商行业用粮油、事业用</w:t>
      </w:r>
      <w:r>
        <w:rPr>
          <w:rFonts w:hint="eastAsia" w:ascii="宋体" w:hAnsi="宋体"/>
          <w:szCs w:val="21"/>
        </w:rPr>
        <w:t>粮油、特需补贴粮油、非农业饲料粮、侨汇供应粮油、农村统销粮、奖售粮、农业饲料粮、民工补助粮。</w:t>
      </w:r>
    </w:p>
    <w:p w14:paraId="6486A863">
      <w:pPr>
        <w:ind w:firstLine="420"/>
        <w:rPr>
          <w:rFonts w:ascii="宋体" w:hAnsi="宋体"/>
          <w:szCs w:val="21"/>
        </w:rPr>
      </w:pPr>
      <w:r>
        <w:rPr>
          <w:rFonts w:ascii="宋体" w:hAnsi="宋体"/>
          <w:szCs w:val="21"/>
        </w:rPr>
        <w:t>1992年4月1日起，取消粮食统销定量供应制度</w:t>
      </w:r>
      <w:r>
        <w:rPr>
          <w:rFonts w:hint="eastAsia" w:ascii="宋体" w:hAnsi="宋体"/>
          <w:szCs w:val="21"/>
        </w:rPr>
        <w:t>。</w:t>
      </w:r>
    </w:p>
    <w:p w14:paraId="6ACE72F5">
      <w:pPr>
        <w:ind w:firstLine="0" w:firstLineChars="0"/>
        <w:jc w:val="center"/>
        <w:rPr>
          <w:rFonts w:ascii="宋体" w:hAnsi="宋体"/>
          <w:b/>
          <w:szCs w:val="21"/>
        </w:rPr>
      </w:pPr>
      <w:r>
        <w:rPr>
          <w:rFonts w:hint="eastAsia" w:ascii="宋体" w:hAnsi="宋体"/>
          <w:b/>
          <w:szCs w:val="21"/>
        </w:rPr>
        <w:t>南雄县非农业人口粮食统销定量每月供应标准</w:t>
      </w:r>
    </w:p>
    <w:p w14:paraId="113A352B">
      <w:pPr>
        <w:ind w:firstLine="0" w:firstLineChars="0"/>
        <w:rPr>
          <w:rFonts w:ascii="宋体" w:hAnsi="宋体"/>
          <w:b/>
          <w:szCs w:val="21"/>
        </w:rPr>
      </w:pPr>
      <w:r>
        <w:rPr>
          <w:rFonts w:hint="eastAsia" w:ascii="宋体" w:hAnsi="宋体"/>
          <w:b/>
          <w:szCs w:val="21"/>
        </w:rPr>
        <w:t>表2-42</w:t>
      </w:r>
    </w:p>
    <w:p w14:paraId="76C0CF2E">
      <w:pPr>
        <w:ind w:firstLine="0" w:firstLineChars="0"/>
        <w:jc w:val="right"/>
        <w:rPr>
          <w:rFonts w:ascii="宋体" w:hAnsi="宋体"/>
          <w:b/>
          <w:szCs w:val="21"/>
        </w:rPr>
      </w:pPr>
      <w:r>
        <w:rPr>
          <w:rFonts w:hint="eastAsia" w:ascii="宋体" w:hAnsi="宋体"/>
          <w:b/>
          <w:szCs w:val="21"/>
        </w:rPr>
        <w:t>单位：人、公斤</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98"/>
        <w:gridCol w:w="1461"/>
        <w:gridCol w:w="1000"/>
        <w:gridCol w:w="1000"/>
        <w:gridCol w:w="1000"/>
        <w:gridCol w:w="1000"/>
        <w:gridCol w:w="1000"/>
        <w:gridCol w:w="1001"/>
        <w:gridCol w:w="1001"/>
        <w:gridCol w:w="1001"/>
      </w:tblGrid>
      <w:tr w14:paraId="211F65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83" w:type="pct"/>
            <w:gridSpan w:val="2"/>
            <w:vMerge w:val="restart"/>
            <w:vAlign w:val="center"/>
          </w:tcPr>
          <w:p w14:paraId="28B2D9B4">
            <w:pPr>
              <w:pStyle w:val="12"/>
              <w:jc w:val="center"/>
              <w:rPr>
                <w:rFonts w:ascii="宋体" w:hAnsi="宋体"/>
                <w:b/>
              </w:rPr>
            </w:pPr>
            <w:r>
              <w:rPr>
                <w:rFonts w:hint="eastAsia" w:ascii="宋体" w:hAnsi="宋体"/>
                <w:b/>
              </w:rPr>
              <w:t>项目</w:t>
            </w:r>
          </w:p>
        </w:tc>
        <w:tc>
          <w:tcPr>
            <w:tcW w:w="1004" w:type="pct"/>
            <w:gridSpan w:val="2"/>
            <w:vAlign w:val="center"/>
          </w:tcPr>
          <w:p w14:paraId="4DA52409">
            <w:pPr>
              <w:pStyle w:val="12"/>
              <w:jc w:val="center"/>
              <w:rPr>
                <w:rFonts w:ascii="宋体" w:hAnsi="宋体"/>
                <w:b/>
              </w:rPr>
            </w:pPr>
            <w:r>
              <w:rPr>
                <w:rFonts w:hint="eastAsia" w:ascii="宋体" w:hAnsi="宋体"/>
                <w:b/>
              </w:rPr>
              <w:t>1955年</w:t>
            </w:r>
          </w:p>
        </w:tc>
        <w:tc>
          <w:tcPr>
            <w:tcW w:w="1004" w:type="pct"/>
            <w:gridSpan w:val="2"/>
            <w:vAlign w:val="center"/>
          </w:tcPr>
          <w:p w14:paraId="51275368">
            <w:pPr>
              <w:pStyle w:val="12"/>
              <w:jc w:val="center"/>
              <w:rPr>
                <w:rFonts w:ascii="宋体" w:hAnsi="宋体"/>
                <w:b/>
              </w:rPr>
            </w:pPr>
            <w:r>
              <w:rPr>
                <w:rFonts w:hint="eastAsia" w:ascii="宋体" w:hAnsi="宋体"/>
                <w:b/>
              </w:rPr>
              <w:t>1960年</w:t>
            </w:r>
          </w:p>
        </w:tc>
        <w:tc>
          <w:tcPr>
            <w:tcW w:w="1004" w:type="pct"/>
            <w:gridSpan w:val="2"/>
            <w:vAlign w:val="center"/>
          </w:tcPr>
          <w:p w14:paraId="309947FE">
            <w:pPr>
              <w:pStyle w:val="12"/>
              <w:jc w:val="center"/>
              <w:rPr>
                <w:rFonts w:ascii="宋体" w:hAnsi="宋体"/>
                <w:b/>
              </w:rPr>
            </w:pPr>
            <w:r>
              <w:rPr>
                <w:rFonts w:hint="eastAsia" w:ascii="宋体" w:hAnsi="宋体"/>
                <w:b/>
              </w:rPr>
              <w:t>1982年</w:t>
            </w:r>
          </w:p>
        </w:tc>
        <w:tc>
          <w:tcPr>
            <w:tcW w:w="1004" w:type="pct"/>
            <w:gridSpan w:val="2"/>
            <w:vAlign w:val="center"/>
          </w:tcPr>
          <w:p w14:paraId="327AB7DE">
            <w:pPr>
              <w:pStyle w:val="12"/>
              <w:jc w:val="center"/>
              <w:rPr>
                <w:rFonts w:ascii="宋体" w:hAnsi="宋体"/>
                <w:b/>
              </w:rPr>
            </w:pPr>
            <w:r>
              <w:rPr>
                <w:rFonts w:hint="eastAsia" w:ascii="宋体" w:hAnsi="宋体"/>
                <w:b/>
              </w:rPr>
              <w:t>1991年</w:t>
            </w:r>
          </w:p>
        </w:tc>
      </w:tr>
      <w:tr w14:paraId="3F6FBD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83" w:type="pct"/>
            <w:gridSpan w:val="2"/>
            <w:vMerge w:val="continue"/>
            <w:vAlign w:val="center"/>
          </w:tcPr>
          <w:p w14:paraId="5B7FCECE">
            <w:pPr>
              <w:pStyle w:val="12"/>
              <w:jc w:val="center"/>
              <w:rPr>
                <w:rFonts w:ascii="宋体" w:hAnsi="宋体"/>
                <w:b/>
              </w:rPr>
            </w:pPr>
          </w:p>
        </w:tc>
        <w:tc>
          <w:tcPr>
            <w:tcW w:w="502" w:type="pct"/>
            <w:vAlign w:val="center"/>
          </w:tcPr>
          <w:p w14:paraId="35743430">
            <w:pPr>
              <w:pStyle w:val="12"/>
              <w:jc w:val="center"/>
              <w:rPr>
                <w:rFonts w:ascii="宋体" w:hAnsi="宋体"/>
                <w:b/>
              </w:rPr>
            </w:pPr>
            <w:r>
              <w:rPr>
                <w:rFonts w:hint="eastAsia" w:ascii="宋体" w:hAnsi="宋体"/>
                <w:b/>
              </w:rPr>
              <w:t>人口</w:t>
            </w:r>
          </w:p>
        </w:tc>
        <w:tc>
          <w:tcPr>
            <w:tcW w:w="502" w:type="pct"/>
            <w:vAlign w:val="center"/>
          </w:tcPr>
          <w:p w14:paraId="5BFCE9ED">
            <w:pPr>
              <w:pStyle w:val="12"/>
              <w:jc w:val="center"/>
              <w:rPr>
                <w:rFonts w:ascii="宋体" w:hAnsi="宋体"/>
                <w:b/>
              </w:rPr>
            </w:pPr>
            <w:r>
              <w:rPr>
                <w:rFonts w:hint="eastAsia" w:ascii="宋体" w:hAnsi="宋体"/>
                <w:b/>
              </w:rPr>
              <w:t>定量水平</w:t>
            </w:r>
          </w:p>
        </w:tc>
        <w:tc>
          <w:tcPr>
            <w:tcW w:w="502" w:type="pct"/>
            <w:vAlign w:val="center"/>
          </w:tcPr>
          <w:p w14:paraId="308A452A">
            <w:pPr>
              <w:pStyle w:val="12"/>
              <w:jc w:val="center"/>
              <w:rPr>
                <w:rFonts w:ascii="宋体" w:hAnsi="宋体"/>
                <w:b/>
              </w:rPr>
            </w:pPr>
            <w:r>
              <w:rPr>
                <w:rFonts w:hint="eastAsia" w:ascii="宋体" w:hAnsi="宋体"/>
                <w:b/>
              </w:rPr>
              <w:t>人口</w:t>
            </w:r>
          </w:p>
        </w:tc>
        <w:tc>
          <w:tcPr>
            <w:tcW w:w="502" w:type="pct"/>
            <w:vAlign w:val="center"/>
          </w:tcPr>
          <w:p w14:paraId="57FFB069">
            <w:pPr>
              <w:pStyle w:val="12"/>
              <w:jc w:val="center"/>
              <w:rPr>
                <w:rFonts w:ascii="宋体" w:hAnsi="宋体"/>
                <w:b/>
              </w:rPr>
            </w:pPr>
            <w:r>
              <w:rPr>
                <w:rFonts w:hint="eastAsia" w:ascii="宋体" w:hAnsi="宋体"/>
                <w:b/>
              </w:rPr>
              <w:t>定量水平</w:t>
            </w:r>
          </w:p>
        </w:tc>
        <w:tc>
          <w:tcPr>
            <w:tcW w:w="502" w:type="pct"/>
            <w:vAlign w:val="center"/>
          </w:tcPr>
          <w:p w14:paraId="6BAD01E5">
            <w:pPr>
              <w:pStyle w:val="12"/>
              <w:jc w:val="center"/>
              <w:rPr>
                <w:rFonts w:ascii="宋体" w:hAnsi="宋体"/>
                <w:b/>
              </w:rPr>
            </w:pPr>
            <w:r>
              <w:rPr>
                <w:rFonts w:hint="eastAsia" w:ascii="宋体" w:hAnsi="宋体"/>
                <w:b/>
              </w:rPr>
              <w:t>人口</w:t>
            </w:r>
          </w:p>
        </w:tc>
        <w:tc>
          <w:tcPr>
            <w:tcW w:w="502" w:type="pct"/>
            <w:vAlign w:val="center"/>
          </w:tcPr>
          <w:p w14:paraId="77D29EF4">
            <w:pPr>
              <w:pStyle w:val="12"/>
              <w:jc w:val="center"/>
              <w:rPr>
                <w:rFonts w:ascii="宋体" w:hAnsi="宋体"/>
                <w:b/>
              </w:rPr>
            </w:pPr>
            <w:r>
              <w:rPr>
                <w:rFonts w:hint="eastAsia" w:ascii="宋体" w:hAnsi="宋体"/>
                <w:b/>
              </w:rPr>
              <w:t>定量水平</w:t>
            </w:r>
          </w:p>
        </w:tc>
        <w:tc>
          <w:tcPr>
            <w:tcW w:w="502" w:type="pct"/>
            <w:vAlign w:val="center"/>
          </w:tcPr>
          <w:p w14:paraId="3DAABAE2">
            <w:pPr>
              <w:pStyle w:val="12"/>
              <w:jc w:val="center"/>
              <w:rPr>
                <w:rFonts w:ascii="宋体" w:hAnsi="宋体"/>
                <w:b/>
              </w:rPr>
            </w:pPr>
            <w:r>
              <w:rPr>
                <w:rFonts w:hint="eastAsia" w:ascii="宋体" w:hAnsi="宋体"/>
                <w:b/>
              </w:rPr>
              <w:t>人口</w:t>
            </w:r>
          </w:p>
        </w:tc>
        <w:tc>
          <w:tcPr>
            <w:tcW w:w="502" w:type="pct"/>
            <w:vAlign w:val="center"/>
          </w:tcPr>
          <w:p w14:paraId="132B97E2">
            <w:pPr>
              <w:pStyle w:val="12"/>
              <w:jc w:val="center"/>
              <w:rPr>
                <w:rFonts w:ascii="宋体" w:hAnsi="宋体"/>
                <w:b/>
              </w:rPr>
            </w:pPr>
            <w:r>
              <w:rPr>
                <w:rFonts w:hint="eastAsia" w:ascii="宋体" w:hAnsi="宋体"/>
                <w:b/>
              </w:rPr>
              <w:t>定量水平</w:t>
            </w:r>
          </w:p>
        </w:tc>
      </w:tr>
      <w:tr w14:paraId="0E3F06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83" w:type="pct"/>
            <w:gridSpan w:val="2"/>
            <w:vAlign w:val="center"/>
          </w:tcPr>
          <w:p w14:paraId="7636ACE9">
            <w:pPr>
              <w:pStyle w:val="12"/>
              <w:jc w:val="center"/>
              <w:rPr>
                <w:rFonts w:ascii="宋体" w:hAnsi="宋体"/>
              </w:rPr>
            </w:pPr>
            <w:r>
              <w:rPr>
                <w:rFonts w:hint="eastAsia" w:ascii="宋体" w:hAnsi="宋体"/>
              </w:rPr>
              <w:t>合计</w:t>
            </w:r>
          </w:p>
        </w:tc>
        <w:tc>
          <w:tcPr>
            <w:tcW w:w="502" w:type="pct"/>
            <w:vAlign w:val="center"/>
          </w:tcPr>
          <w:p w14:paraId="332A3965">
            <w:pPr>
              <w:pStyle w:val="12"/>
              <w:jc w:val="center"/>
              <w:rPr>
                <w:rFonts w:ascii="宋体" w:hAnsi="宋体"/>
              </w:rPr>
            </w:pPr>
            <w:r>
              <w:rPr>
                <w:rFonts w:hint="eastAsia" w:ascii="宋体" w:hAnsi="宋体"/>
              </w:rPr>
              <w:t>26062</w:t>
            </w:r>
          </w:p>
        </w:tc>
        <w:tc>
          <w:tcPr>
            <w:tcW w:w="502" w:type="pct"/>
            <w:vAlign w:val="center"/>
          </w:tcPr>
          <w:p w14:paraId="6C058190">
            <w:pPr>
              <w:pStyle w:val="12"/>
              <w:jc w:val="center"/>
              <w:rPr>
                <w:rFonts w:ascii="宋体" w:hAnsi="宋体"/>
              </w:rPr>
            </w:pPr>
            <w:r>
              <w:rPr>
                <w:rFonts w:hint="eastAsia" w:ascii="宋体" w:hAnsi="宋体"/>
              </w:rPr>
              <w:t>13</w:t>
            </w:r>
          </w:p>
        </w:tc>
        <w:tc>
          <w:tcPr>
            <w:tcW w:w="502" w:type="pct"/>
            <w:vAlign w:val="center"/>
          </w:tcPr>
          <w:p w14:paraId="071EDA89">
            <w:pPr>
              <w:pStyle w:val="12"/>
              <w:jc w:val="center"/>
              <w:rPr>
                <w:rFonts w:ascii="宋体" w:hAnsi="宋体"/>
              </w:rPr>
            </w:pPr>
            <w:r>
              <w:rPr>
                <w:rFonts w:hint="eastAsia" w:ascii="宋体" w:hAnsi="宋体"/>
              </w:rPr>
              <w:t>36691</w:t>
            </w:r>
          </w:p>
        </w:tc>
        <w:tc>
          <w:tcPr>
            <w:tcW w:w="502" w:type="pct"/>
            <w:vAlign w:val="center"/>
          </w:tcPr>
          <w:p w14:paraId="248F0349">
            <w:pPr>
              <w:pStyle w:val="12"/>
              <w:jc w:val="center"/>
              <w:rPr>
                <w:rFonts w:ascii="宋体" w:hAnsi="宋体"/>
              </w:rPr>
            </w:pPr>
            <w:r>
              <w:rPr>
                <w:rFonts w:hint="eastAsia" w:ascii="宋体" w:hAnsi="宋体"/>
              </w:rPr>
              <w:t>11.6</w:t>
            </w:r>
          </w:p>
        </w:tc>
        <w:tc>
          <w:tcPr>
            <w:tcW w:w="502" w:type="pct"/>
            <w:vAlign w:val="center"/>
          </w:tcPr>
          <w:p w14:paraId="00EE09F3">
            <w:pPr>
              <w:pStyle w:val="12"/>
              <w:jc w:val="center"/>
              <w:rPr>
                <w:rFonts w:ascii="宋体" w:hAnsi="宋体"/>
              </w:rPr>
            </w:pPr>
            <w:r>
              <w:rPr>
                <w:rFonts w:hint="eastAsia" w:ascii="宋体" w:hAnsi="宋体"/>
              </w:rPr>
              <w:t>44112</w:t>
            </w:r>
          </w:p>
        </w:tc>
        <w:tc>
          <w:tcPr>
            <w:tcW w:w="502" w:type="pct"/>
            <w:vAlign w:val="center"/>
          </w:tcPr>
          <w:p w14:paraId="0A244976">
            <w:pPr>
              <w:pStyle w:val="12"/>
              <w:jc w:val="center"/>
              <w:rPr>
                <w:rFonts w:ascii="宋体" w:hAnsi="宋体"/>
              </w:rPr>
            </w:pPr>
            <w:r>
              <w:rPr>
                <w:rFonts w:hint="eastAsia" w:ascii="宋体" w:hAnsi="宋体"/>
              </w:rPr>
              <w:t>13.2</w:t>
            </w:r>
          </w:p>
        </w:tc>
        <w:tc>
          <w:tcPr>
            <w:tcW w:w="502" w:type="pct"/>
            <w:vAlign w:val="center"/>
          </w:tcPr>
          <w:p w14:paraId="10A991BD">
            <w:pPr>
              <w:pStyle w:val="12"/>
              <w:jc w:val="center"/>
              <w:rPr>
                <w:rFonts w:ascii="宋体" w:hAnsi="宋体"/>
              </w:rPr>
            </w:pPr>
            <w:r>
              <w:rPr>
                <w:rFonts w:hint="eastAsia" w:ascii="宋体" w:hAnsi="宋体"/>
              </w:rPr>
              <w:t>66287</w:t>
            </w:r>
          </w:p>
        </w:tc>
        <w:tc>
          <w:tcPr>
            <w:tcW w:w="502" w:type="pct"/>
            <w:vAlign w:val="center"/>
          </w:tcPr>
          <w:p w14:paraId="7431A5D7">
            <w:pPr>
              <w:pStyle w:val="12"/>
              <w:jc w:val="center"/>
              <w:rPr>
                <w:rFonts w:ascii="宋体" w:hAnsi="宋体"/>
              </w:rPr>
            </w:pPr>
            <w:r>
              <w:rPr>
                <w:rFonts w:hint="eastAsia" w:ascii="宋体" w:hAnsi="宋体"/>
              </w:rPr>
              <w:t>13.1</w:t>
            </w:r>
          </w:p>
        </w:tc>
      </w:tr>
      <w:tr w14:paraId="5566DF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83" w:type="pct"/>
            <w:gridSpan w:val="2"/>
            <w:vAlign w:val="center"/>
          </w:tcPr>
          <w:p w14:paraId="241A982F">
            <w:pPr>
              <w:pStyle w:val="12"/>
              <w:jc w:val="center"/>
              <w:rPr>
                <w:rFonts w:ascii="宋体" w:hAnsi="宋体"/>
              </w:rPr>
            </w:pPr>
            <w:r>
              <w:rPr>
                <w:rFonts w:hint="eastAsia" w:ascii="宋体" w:hAnsi="宋体"/>
              </w:rPr>
              <w:t>1.小计</w:t>
            </w:r>
          </w:p>
        </w:tc>
        <w:tc>
          <w:tcPr>
            <w:tcW w:w="502" w:type="pct"/>
            <w:vAlign w:val="center"/>
          </w:tcPr>
          <w:p w14:paraId="5F33FB20">
            <w:pPr>
              <w:pStyle w:val="12"/>
              <w:jc w:val="center"/>
              <w:rPr>
                <w:rFonts w:ascii="宋体" w:hAnsi="宋体"/>
              </w:rPr>
            </w:pPr>
            <w:r>
              <w:rPr>
                <w:rFonts w:hint="eastAsia" w:ascii="宋体" w:hAnsi="宋体"/>
              </w:rPr>
              <w:t>12107</w:t>
            </w:r>
          </w:p>
        </w:tc>
        <w:tc>
          <w:tcPr>
            <w:tcW w:w="502" w:type="pct"/>
            <w:vAlign w:val="center"/>
          </w:tcPr>
          <w:p w14:paraId="1D4E98C7">
            <w:pPr>
              <w:pStyle w:val="12"/>
              <w:jc w:val="center"/>
              <w:rPr>
                <w:rFonts w:ascii="宋体" w:hAnsi="宋体"/>
              </w:rPr>
            </w:pPr>
            <w:r>
              <w:rPr>
                <w:rFonts w:hint="eastAsia" w:ascii="宋体" w:hAnsi="宋体"/>
              </w:rPr>
              <w:t>17.6</w:t>
            </w:r>
          </w:p>
        </w:tc>
        <w:tc>
          <w:tcPr>
            <w:tcW w:w="502" w:type="pct"/>
            <w:vAlign w:val="center"/>
          </w:tcPr>
          <w:p w14:paraId="1CDC94E5">
            <w:pPr>
              <w:pStyle w:val="12"/>
              <w:jc w:val="center"/>
              <w:rPr>
                <w:rFonts w:ascii="宋体" w:hAnsi="宋体"/>
              </w:rPr>
            </w:pPr>
            <w:r>
              <w:rPr>
                <w:rFonts w:hint="eastAsia" w:ascii="宋体" w:hAnsi="宋体"/>
              </w:rPr>
              <w:t>22968</w:t>
            </w:r>
          </w:p>
        </w:tc>
        <w:tc>
          <w:tcPr>
            <w:tcW w:w="502" w:type="pct"/>
            <w:vAlign w:val="center"/>
          </w:tcPr>
          <w:p w14:paraId="73C8DC7C">
            <w:pPr>
              <w:pStyle w:val="12"/>
              <w:jc w:val="center"/>
              <w:rPr>
                <w:rFonts w:ascii="宋体" w:hAnsi="宋体"/>
              </w:rPr>
            </w:pPr>
            <w:r>
              <w:rPr>
                <w:rFonts w:hint="eastAsia" w:ascii="宋体" w:hAnsi="宋体"/>
              </w:rPr>
              <w:t>12.8</w:t>
            </w:r>
          </w:p>
        </w:tc>
        <w:tc>
          <w:tcPr>
            <w:tcW w:w="502" w:type="pct"/>
            <w:vAlign w:val="center"/>
          </w:tcPr>
          <w:p w14:paraId="3019F338">
            <w:pPr>
              <w:pStyle w:val="12"/>
              <w:jc w:val="center"/>
              <w:rPr>
                <w:rFonts w:ascii="宋体" w:hAnsi="宋体"/>
              </w:rPr>
            </w:pPr>
            <w:r>
              <w:rPr>
                <w:rFonts w:hint="eastAsia" w:ascii="宋体" w:hAnsi="宋体"/>
              </w:rPr>
              <w:t>26697</w:t>
            </w:r>
          </w:p>
        </w:tc>
        <w:tc>
          <w:tcPr>
            <w:tcW w:w="502" w:type="pct"/>
            <w:vAlign w:val="center"/>
          </w:tcPr>
          <w:p w14:paraId="53B3936A">
            <w:pPr>
              <w:pStyle w:val="12"/>
              <w:jc w:val="center"/>
              <w:rPr>
                <w:rFonts w:ascii="宋体" w:hAnsi="宋体"/>
              </w:rPr>
            </w:pPr>
            <w:r>
              <w:rPr>
                <w:rFonts w:hint="eastAsia" w:ascii="宋体" w:hAnsi="宋体"/>
              </w:rPr>
              <w:t>13.9</w:t>
            </w:r>
          </w:p>
        </w:tc>
        <w:tc>
          <w:tcPr>
            <w:tcW w:w="502" w:type="pct"/>
            <w:vAlign w:val="center"/>
          </w:tcPr>
          <w:p w14:paraId="7643028A">
            <w:pPr>
              <w:pStyle w:val="12"/>
              <w:jc w:val="center"/>
              <w:rPr>
                <w:rFonts w:ascii="宋体" w:hAnsi="宋体"/>
              </w:rPr>
            </w:pPr>
            <w:r>
              <w:rPr>
                <w:rFonts w:hint="eastAsia" w:ascii="宋体" w:hAnsi="宋体"/>
              </w:rPr>
              <w:t>34540</w:t>
            </w:r>
          </w:p>
        </w:tc>
        <w:tc>
          <w:tcPr>
            <w:tcW w:w="502" w:type="pct"/>
            <w:vAlign w:val="center"/>
          </w:tcPr>
          <w:p w14:paraId="065C9D41">
            <w:pPr>
              <w:pStyle w:val="12"/>
              <w:jc w:val="center"/>
              <w:rPr>
                <w:rFonts w:ascii="宋体" w:hAnsi="宋体"/>
              </w:rPr>
            </w:pPr>
            <w:r>
              <w:rPr>
                <w:rFonts w:hint="eastAsia" w:ascii="宋体" w:hAnsi="宋体"/>
              </w:rPr>
              <w:t>14.6</w:t>
            </w:r>
          </w:p>
        </w:tc>
      </w:tr>
      <w:tr w14:paraId="170F2E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83" w:type="pct"/>
            <w:gridSpan w:val="2"/>
            <w:vAlign w:val="center"/>
          </w:tcPr>
          <w:p w14:paraId="7FF70507">
            <w:pPr>
              <w:pStyle w:val="12"/>
              <w:jc w:val="center"/>
              <w:rPr>
                <w:rFonts w:ascii="宋体" w:hAnsi="宋体"/>
              </w:rPr>
            </w:pPr>
            <w:r>
              <w:rPr>
                <w:rFonts w:hint="eastAsia" w:ascii="宋体" w:hAnsi="宋体"/>
              </w:rPr>
              <w:t>特重体力</w:t>
            </w:r>
          </w:p>
        </w:tc>
        <w:tc>
          <w:tcPr>
            <w:tcW w:w="502" w:type="pct"/>
            <w:vAlign w:val="center"/>
          </w:tcPr>
          <w:p w14:paraId="1E97CEC3">
            <w:pPr>
              <w:pStyle w:val="12"/>
              <w:jc w:val="center"/>
              <w:rPr>
                <w:rFonts w:ascii="宋体" w:hAnsi="宋体"/>
              </w:rPr>
            </w:pPr>
            <w:r>
              <w:rPr>
                <w:rFonts w:hint="eastAsia" w:ascii="宋体" w:hAnsi="宋体"/>
              </w:rPr>
              <w:t>1986</w:t>
            </w:r>
          </w:p>
        </w:tc>
        <w:tc>
          <w:tcPr>
            <w:tcW w:w="502" w:type="pct"/>
            <w:vAlign w:val="center"/>
          </w:tcPr>
          <w:p w14:paraId="245C6C68">
            <w:pPr>
              <w:pStyle w:val="12"/>
              <w:jc w:val="center"/>
              <w:rPr>
                <w:rFonts w:ascii="宋体" w:hAnsi="宋体"/>
              </w:rPr>
            </w:pPr>
            <w:r>
              <w:rPr>
                <w:rFonts w:hint="eastAsia" w:ascii="宋体" w:hAnsi="宋体"/>
              </w:rPr>
              <w:t>21</w:t>
            </w:r>
          </w:p>
        </w:tc>
        <w:tc>
          <w:tcPr>
            <w:tcW w:w="502" w:type="pct"/>
            <w:vAlign w:val="center"/>
          </w:tcPr>
          <w:p w14:paraId="762404CC">
            <w:pPr>
              <w:pStyle w:val="12"/>
              <w:jc w:val="center"/>
              <w:rPr>
                <w:rFonts w:ascii="宋体" w:hAnsi="宋体"/>
              </w:rPr>
            </w:pPr>
            <w:r>
              <w:rPr>
                <w:rFonts w:hint="eastAsia" w:ascii="宋体" w:hAnsi="宋体"/>
              </w:rPr>
              <w:t>286</w:t>
            </w:r>
          </w:p>
        </w:tc>
        <w:tc>
          <w:tcPr>
            <w:tcW w:w="502" w:type="pct"/>
            <w:vAlign w:val="center"/>
          </w:tcPr>
          <w:p w14:paraId="44C051DD">
            <w:pPr>
              <w:pStyle w:val="12"/>
              <w:jc w:val="center"/>
              <w:rPr>
                <w:rFonts w:ascii="宋体" w:hAnsi="宋体"/>
              </w:rPr>
            </w:pPr>
            <w:r>
              <w:rPr>
                <w:rFonts w:hint="eastAsia" w:ascii="宋体" w:hAnsi="宋体"/>
              </w:rPr>
              <w:t>19</w:t>
            </w:r>
          </w:p>
        </w:tc>
        <w:tc>
          <w:tcPr>
            <w:tcW w:w="502" w:type="pct"/>
            <w:vAlign w:val="center"/>
          </w:tcPr>
          <w:p w14:paraId="308CC0D6">
            <w:pPr>
              <w:pStyle w:val="12"/>
              <w:jc w:val="center"/>
              <w:rPr>
                <w:rFonts w:ascii="宋体" w:hAnsi="宋体"/>
              </w:rPr>
            </w:pPr>
            <w:r>
              <w:rPr>
                <w:rFonts w:hint="eastAsia" w:ascii="宋体" w:hAnsi="宋体"/>
              </w:rPr>
              <w:t>791</w:t>
            </w:r>
          </w:p>
        </w:tc>
        <w:tc>
          <w:tcPr>
            <w:tcW w:w="502" w:type="pct"/>
            <w:vAlign w:val="center"/>
          </w:tcPr>
          <w:p w14:paraId="1156474E">
            <w:pPr>
              <w:pStyle w:val="12"/>
              <w:jc w:val="center"/>
              <w:rPr>
                <w:rFonts w:ascii="宋体" w:hAnsi="宋体"/>
              </w:rPr>
            </w:pPr>
            <w:r>
              <w:rPr>
                <w:rFonts w:hint="eastAsia" w:ascii="宋体" w:hAnsi="宋体"/>
              </w:rPr>
              <w:t>22.5</w:t>
            </w:r>
          </w:p>
        </w:tc>
        <w:tc>
          <w:tcPr>
            <w:tcW w:w="502" w:type="pct"/>
            <w:vAlign w:val="center"/>
          </w:tcPr>
          <w:p w14:paraId="3EF4C614">
            <w:pPr>
              <w:pStyle w:val="12"/>
              <w:jc w:val="center"/>
              <w:rPr>
                <w:rFonts w:ascii="宋体" w:hAnsi="宋体"/>
              </w:rPr>
            </w:pPr>
            <w:r>
              <w:rPr>
                <w:rFonts w:hint="eastAsia" w:ascii="宋体" w:hAnsi="宋体"/>
              </w:rPr>
              <w:t>2146</w:t>
            </w:r>
          </w:p>
        </w:tc>
        <w:tc>
          <w:tcPr>
            <w:tcW w:w="502" w:type="pct"/>
            <w:vAlign w:val="center"/>
          </w:tcPr>
          <w:p w14:paraId="4610F409">
            <w:pPr>
              <w:pStyle w:val="12"/>
              <w:jc w:val="center"/>
              <w:rPr>
                <w:rFonts w:ascii="宋体" w:hAnsi="宋体"/>
              </w:rPr>
            </w:pPr>
            <w:r>
              <w:rPr>
                <w:rFonts w:hint="eastAsia" w:ascii="宋体" w:hAnsi="宋体"/>
              </w:rPr>
              <w:t>21.4</w:t>
            </w:r>
          </w:p>
        </w:tc>
      </w:tr>
      <w:tr w14:paraId="28060E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83" w:type="pct"/>
            <w:gridSpan w:val="2"/>
            <w:vAlign w:val="center"/>
          </w:tcPr>
          <w:p w14:paraId="273CC460">
            <w:pPr>
              <w:pStyle w:val="12"/>
              <w:jc w:val="center"/>
              <w:rPr>
                <w:rFonts w:ascii="宋体" w:hAnsi="宋体"/>
              </w:rPr>
            </w:pPr>
            <w:r>
              <w:rPr>
                <w:rFonts w:hint="eastAsia" w:ascii="宋体" w:hAnsi="宋体"/>
              </w:rPr>
              <w:t>重体力</w:t>
            </w:r>
          </w:p>
        </w:tc>
        <w:tc>
          <w:tcPr>
            <w:tcW w:w="502" w:type="pct"/>
            <w:vAlign w:val="center"/>
          </w:tcPr>
          <w:p w14:paraId="2B6C9CDC">
            <w:pPr>
              <w:pStyle w:val="12"/>
              <w:jc w:val="center"/>
              <w:rPr>
                <w:rFonts w:ascii="宋体" w:hAnsi="宋体"/>
              </w:rPr>
            </w:pPr>
            <w:r>
              <w:rPr>
                <w:rFonts w:hint="eastAsia" w:ascii="宋体" w:hAnsi="宋体"/>
              </w:rPr>
              <w:t>2548</w:t>
            </w:r>
          </w:p>
        </w:tc>
        <w:tc>
          <w:tcPr>
            <w:tcW w:w="502" w:type="pct"/>
            <w:vAlign w:val="center"/>
          </w:tcPr>
          <w:p w14:paraId="4ABAFF3C">
            <w:pPr>
              <w:pStyle w:val="12"/>
              <w:jc w:val="center"/>
              <w:rPr>
                <w:rFonts w:ascii="宋体" w:hAnsi="宋体"/>
              </w:rPr>
            </w:pPr>
            <w:r>
              <w:rPr>
                <w:rFonts w:hint="eastAsia" w:ascii="宋体" w:hAnsi="宋体"/>
              </w:rPr>
              <w:t>15.5</w:t>
            </w:r>
          </w:p>
        </w:tc>
        <w:tc>
          <w:tcPr>
            <w:tcW w:w="502" w:type="pct"/>
            <w:vAlign w:val="center"/>
          </w:tcPr>
          <w:p w14:paraId="4E0C4FCA">
            <w:pPr>
              <w:pStyle w:val="12"/>
              <w:jc w:val="center"/>
              <w:rPr>
                <w:rFonts w:ascii="宋体" w:hAnsi="宋体"/>
              </w:rPr>
            </w:pPr>
            <w:r>
              <w:rPr>
                <w:rFonts w:hint="eastAsia" w:ascii="宋体" w:hAnsi="宋体"/>
              </w:rPr>
              <w:t>5574</w:t>
            </w:r>
          </w:p>
        </w:tc>
        <w:tc>
          <w:tcPr>
            <w:tcW w:w="502" w:type="pct"/>
            <w:vAlign w:val="center"/>
          </w:tcPr>
          <w:p w14:paraId="03D679F5">
            <w:pPr>
              <w:pStyle w:val="12"/>
              <w:jc w:val="center"/>
              <w:rPr>
                <w:rFonts w:ascii="宋体" w:hAnsi="宋体"/>
              </w:rPr>
            </w:pPr>
            <w:r>
              <w:rPr>
                <w:rFonts w:hint="eastAsia" w:ascii="宋体" w:hAnsi="宋体"/>
              </w:rPr>
              <w:t>14.5</w:t>
            </w:r>
          </w:p>
        </w:tc>
        <w:tc>
          <w:tcPr>
            <w:tcW w:w="502" w:type="pct"/>
            <w:vAlign w:val="center"/>
          </w:tcPr>
          <w:p w14:paraId="3A082D11">
            <w:pPr>
              <w:pStyle w:val="12"/>
              <w:jc w:val="center"/>
              <w:rPr>
                <w:rFonts w:ascii="宋体" w:hAnsi="宋体"/>
              </w:rPr>
            </w:pPr>
            <w:r>
              <w:rPr>
                <w:rFonts w:hint="eastAsia" w:ascii="宋体" w:hAnsi="宋体"/>
              </w:rPr>
              <w:t>1462</w:t>
            </w:r>
          </w:p>
        </w:tc>
        <w:tc>
          <w:tcPr>
            <w:tcW w:w="502" w:type="pct"/>
            <w:vAlign w:val="center"/>
          </w:tcPr>
          <w:p w14:paraId="38B825EA">
            <w:pPr>
              <w:pStyle w:val="12"/>
              <w:jc w:val="center"/>
              <w:rPr>
                <w:rFonts w:ascii="宋体" w:hAnsi="宋体"/>
              </w:rPr>
            </w:pPr>
            <w:r>
              <w:rPr>
                <w:rFonts w:hint="eastAsia" w:ascii="宋体" w:hAnsi="宋体"/>
              </w:rPr>
              <w:t>18.8</w:t>
            </w:r>
          </w:p>
        </w:tc>
        <w:tc>
          <w:tcPr>
            <w:tcW w:w="502" w:type="pct"/>
            <w:vAlign w:val="center"/>
          </w:tcPr>
          <w:p w14:paraId="647BC208">
            <w:pPr>
              <w:pStyle w:val="12"/>
              <w:jc w:val="center"/>
              <w:rPr>
                <w:rFonts w:ascii="宋体" w:hAnsi="宋体"/>
              </w:rPr>
            </w:pPr>
            <w:r>
              <w:rPr>
                <w:rFonts w:hint="eastAsia" w:ascii="宋体" w:hAnsi="宋体"/>
              </w:rPr>
              <w:t>794</w:t>
            </w:r>
          </w:p>
        </w:tc>
        <w:tc>
          <w:tcPr>
            <w:tcW w:w="502" w:type="pct"/>
            <w:vAlign w:val="center"/>
          </w:tcPr>
          <w:p w14:paraId="751C7DC1">
            <w:pPr>
              <w:pStyle w:val="12"/>
              <w:jc w:val="center"/>
              <w:rPr>
                <w:rFonts w:ascii="宋体" w:hAnsi="宋体"/>
              </w:rPr>
            </w:pPr>
            <w:r>
              <w:rPr>
                <w:rFonts w:hint="eastAsia" w:ascii="宋体" w:hAnsi="宋体"/>
              </w:rPr>
              <w:t>18.8</w:t>
            </w:r>
          </w:p>
        </w:tc>
      </w:tr>
      <w:tr w14:paraId="438A61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83" w:type="pct"/>
            <w:gridSpan w:val="2"/>
            <w:vAlign w:val="center"/>
          </w:tcPr>
          <w:p w14:paraId="0FF97A55">
            <w:pPr>
              <w:pStyle w:val="12"/>
              <w:jc w:val="center"/>
              <w:rPr>
                <w:rFonts w:ascii="宋体" w:hAnsi="宋体"/>
              </w:rPr>
            </w:pPr>
            <w:r>
              <w:rPr>
                <w:rFonts w:hint="eastAsia" w:ascii="宋体" w:hAnsi="宋体"/>
              </w:rPr>
              <w:t>轻体力</w:t>
            </w:r>
          </w:p>
        </w:tc>
        <w:tc>
          <w:tcPr>
            <w:tcW w:w="502" w:type="pct"/>
            <w:vAlign w:val="center"/>
          </w:tcPr>
          <w:p w14:paraId="10F7F807">
            <w:pPr>
              <w:pStyle w:val="12"/>
              <w:jc w:val="center"/>
              <w:rPr>
                <w:rFonts w:ascii="宋体" w:hAnsi="宋体"/>
              </w:rPr>
            </w:pPr>
            <w:r>
              <w:rPr>
                <w:rFonts w:hint="eastAsia" w:ascii="宋体" w:hAnsi="宋体"/>
              </w:rPr>
              <w:t>3215</w:t>
            </w:r>
          </w:p>
        </w:tc>
        <w:tc>
          <w:tcPr>
            <w:tcW w:w="502" w:type="pct"/>
            <w:vAlign w:val="center"/>
          </w:tcPr>
          <w:p w14:paraId="4ECD9A30">
            <w:pPr>
              <w:pStyle w:val="12"/>
              <w:jc w:val="center"/>
              <w:rPr>
                <w:rFonts w:ascii="宋体" w:hAnsi="宋体"/>
              </w:rPr>
            </w:pPr>
            <w:r>
              <w:rPr>
                <w:rFonts w:hint="eastAsia" w:ascii="宋体" w:hAnsi="宋体"/>
              </w:rPr>
              <w:t>12.5</w:t>
            </w:r>
          </w:p>
        </w:tc>
        <w:tc>
          <w:tcPr>
            <w:tcW w:w="502" w:type="pct"/>
            <w:vAlign w:val="center"/>
          </w:tcPr>
          <w:p w14:paraId="27B5591D">
            <w:pPr>
              <w:pStyle w:val="12"/>
              <w:jc w:val="center"/>
              <w:rPr>
                <w:rFonts w:ascii="宋体" w:hAnsi="宋体"/>
              </w:rPr>
            </w:pPr>
            <w:r>
              <w:rPr>
                <w:rFonts w:hint="eastAsia" w:ascii="宋体" w:hAnsi="宋体"/>
              </w:rPr>
              <w:t>8153</w:t>
            </w:r>
          </w:p>
        </w:tc>
        <w:tc>
          <w:tcPr>
            <w:tcW w:w="502" w:type="pct"/>
            <w:vAlign w:val="center"/>
          </w:tcPr>
          <w:p w14:paraId="467CC8B3">
            <w:pPr>
              <w:pStyle w:val="12"/>
              <w:jc w:val="center"/>
              <w:rPr>
                <w:rFonts w:ascii="宋体" w:hAnsi="宋体"/>
              </w:rPr>
            </w:pPr>
            <w:r>
              <w:rPr>
                <w:rFonts w:hint="eastAsia" w:ascii="宋体" w:hAnsi="宋体"/>
              </w:rPr>
              <w:t>12.5</w:t>
            </w:r>
          </w:p>
        </w:tc>
        <w:tc>
          <w:tcPr>
            <w:tcW w:w="502" w:type="pct"/>
            <w:vAlign w:val="center"/>
          </w:tcPr>
          <w:p w14:paraId="6BBA1494">
            <w:pPr>
              <w:pStyle w:val="12"/>
              <w:jc w:val="center"/>
              <w:rPr>
                <w:rFonts w:ascii="宋体" w:hAnsi="宋体"/>
              </w:rPr>
            </w:pPr>
            <w:r>
              <w:rPr>
                <w:rFonts w:hint="eastAsia" w:ascii="宋体" w:hAnsi="宋体"/>
              </w:rPr>
              <w:t>3994</w:t>
            </w:r>
          </w:p>
        </w:tc>
        <w:tc>
          <w:tcPr>
            <w:tcW w:w="502" w:type="pct"/>
            <w:vAlign w:val="center"/>
          </w:tcPr>
          <w:p w14:paraId="5BFCC4D9">
            <w:pPr>
              <w:pStyle w:val="12"/>
              <w:jc w:val="center"/>
              <w:rPr>
                <w:rFonts w:ascii="宋体" w:hAnsi="宋体"/>
              </w:rPr>
            </w:pPr>
            <w:r>
              <w:rPr>
                <w:rFonts w:hint="eastAsia" w:ascii="宋体" w:hAnsi="宋体"/>
              </w:rPr>
              <w:t>16.1</w:t>
            </w:r>
          </w:p>
        </w:tc>
        <w:tc>
          <w:tcPr>
            <w:tcW w:w="502" w:type="pct"/>
            <w:vAlign w:val="center"/>
          </w:tcPr>
          <w:p w14:paraId="5D9F06D6">
            <w:pPr>
              <w:pStyle w:val="12"/>
              <w:jc w:val="center"/>
              <w:rPr>
                <w:rFonts w:ascii="宋体" w:hAnsi="宋体"/>
              </w:rPr>
            </w:pPr>
            <w:r>
              <w:rPr>
                <w:rFonts w:hint="eastAsia" w:ascii="宋体" w:hAnsi="宋体"/>
              </w:rPr>
              <w:t>3681</w:t>
            </w:r>
          </w:p>
        </w:tc>
        <w:tc>
          <w:tcPr>
            <w:tcW w:w="502" w:type="pct"/>
            <w:vAlign w:val="center"/>
          </w:tcPr>
          <w:p w14:paraId="593ADC1D">
            <w:pPr>
              <w:pStyle w:val="12"/>
              <w:jc w:val="center"/>
              <w:rPr>
                <w:rFonts w:ascii="宋体" w:hAnsi="宋体"/>
              </w:rPr>
            </w:pPr>
            <w:r>
              <w:rPr>
                <w:rFonts w:hint="eastAsia" w:ascii="宋体" w:hAnsi="宋体"/>
              </w:rPr>
              <w:t>16</w:t>
            </w:r>
          </w:p>
        </w:tc>
      </w:tr>
      <w:tr w14:paraId="2C91F4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83" w:type="pct"/>
            <w:gridSpan w:val="2"/>
            <w:vAlign w:val="center"/>
          </w:tcPr>
          <w:p w14:paraId="65B790F0">
            <w:pPr>
              <w:pStyle w:val="12"/>
              <w:jc w:val="center"/>
              <w:rPr>
                <w:rFonts w:ascii="宋体" w:hAnsi="宋体"/>
              </w:rPr>
            </w:pPr>
            <w:r>
              <w:rPr>
                <w:rFonts w:hint="eastAsia" w:ascii="宋体" w:hAnsi="宋体"/>
              </w:rPr>
              <w:t>职员及脑力劳动者</w:t>
            </w:r>
          </w:p>
        </w:tc>
        <w:tc>
          <w:tcPr>
            <w:tcW w:w="502" w:type="pct"/>
            <w:vAlign w:val="center"/>
          </w:tcPr>
          <w:p w14:paraId="0B44E3B4">
            <w:pPr>
              <w:pStyle w:val="12"/>
              <w:jc w:val="center"/>
              <w:rPr>
                <w:rFonts w:ascii="宋体" w:hAnsi="宋体"/>
              </w:rPr>
            </w:pPr>
            <w:r>
              <w:rPr>
                <w:rFonts w:hint="eastAsia" w:ascii="宋体" w:hAnsi="宋体"/>
              </w:rPr>
              <w:t>3640</w:t>
            </w:r>
          </w:p>
        </w:tc>
        <w:tc>
          <w:tcPr>
            <w:tcW w:w="502" w:type="pct"/>
            <w:vAlign w:val="center"/>
          </w:tcPr>
          <w:p w14:paraId="711271D1">
            <w:pPr>
              <w:pStyle w:val="12"/>
              <w:jc w:val="center"/>
              <w:rPr>
                <w:rFonts w:ascii="宋体" w:hAnsi="宋体"/>
              </w:rPr>
            </w:pPr>
            <w:r>
              <w:rPr>
                <w:rFonts w:hint="eastAsia" w:ascii="宋体" w:hAnsi="宋体"/>
              </w:rPr>
              <w:t>14.5</w:t>
            </w:r>
          </w:p>
        </w:tc>
        <w:tc>
          <w:tcPr>
            <w:tcW w:w="502" w:type="pct"/>
            <w:vAlign w:val="center"/>
          </w:tcPr>
          <w:p w14:paraId="327486A4">
            <w:pPr>
              <w:pStyle w:val="12"/>
              <w:jc w:val="center"/>
              <w:rPr>
                <w:rFonts w:ascii="宋体" w:hAnsi="宋体"/>
              </w:rPr>
            </w:pPr>
            <w:r>
              <w:rPr>
                <w:rFonts w:hint="eastAsia" w:ascii="宋体" w:hAnsi="宋体"/>
              </w:rPr>
              <w:t>4902</w:t>
            </w:r>
          </w:p>
        </w:tc>
        <w:tc>
          <w:tcPr>
            <w:tcW w:w="502" w:type="pct"/>
            <w:vAlign w:val="center"/>
          </w:tcPr>
          <w:p w14:paraId="253571C0">
            <w:pPr>
              <w:pStyle w:val="12"/>
              <w:jc w:val="center"/>
              <w:rPr>
                <w:rFonts w:ascii="宋体" w:hAnsi="宋体"/>
              </w:rPr>
            </w:pPr>
            <w:r>
              <w:rPr>
                <w:rFonts w:hint="eastAsia" w:ascii="宋体" w:hAnsi="宋体"/>
              </w:rPr>
              <w:t>12</w:t>
            </w:r>
          </w:p>
        </w:tc>
        <w:tc>
          <w:tcPr>
            <w:tcW w:w="502" w:type="pct"/>
            <w:vAlign w:val="center"/>
          </w:tcPr>
          <w:p w14:paraId="316D08CA">
            <w:pPr>
              <w:pStyle w:val="12"/>
              <w:jc w:val="center"/>
              <w:rPr>
                <w:rFonts w:ascii="宋体" w:hAnsi="宋体"/>
              </w:rPr>
            </w:pPr>
            <w:r>
              <w:rPr>
                <w:rFonts w:hint="eastAsia" w:ascii="宋体" w:hAnsi="宋体"/>
              </w:rPr>
              <w:t>16710</w:t>
            </w:r>
          </w:p>
        </w:tc>
        <w:tc>
          <w:tcPr>
            <w:tcW w:w="502" w:type="pct"/>
            <w:vAlign w:val="center"/>
          </w:tcPr>
          <w:p w14:paraId="02098169">
            <w:pPr>
              <w:pStyle w:val="12"/>
              <w:jc w:val="center"/>
              <w:rPr>
                <w:rFonts w:ascii="宋体" w:hAnsi="宋体"/>
              </w:rPr>
            </w:pPr>
            <w:r>
              <w:rPr>
                <w:rFonts w:hint="eastAsia" w:ascii="宋体" w:hAnsi="宋体"/>
              </w:rPr>
              <w:t>13.8</w:t>
            </w:r>
          </w:p>
        </w:tc>
        <w:tc>
          <w:tcPr>
            <w:tcW w:w="502" w:type="pct"/>
            <w:vAlign w:val="center"/>
          </w:tcPr>
          <w:p w14:paraId="5E23D661">
            <w:pPr>
              <w:pStyle w:val="12"/>
              <w:jc w:val="center"/>
              <w:rPr>
                <w:rFonts w:ascii="宋体" w:hAnsi="宋体"/>
              </w:rPr>
            </w:pPr>
            <w:r>
              <w:rPr>
                <w:rFonts w:hint="eastAsia" w:ascii="宋体" w:hAnsi="宋体"/>
              </w:rPr>
              <w:t>23590</w:t>
            </w:r>
          </w:p>
        </w:tc>
        <w:tc>
          <w:tcPr>
            <w:tcW w:w="502" w:type="pct"/>
            <w:vAlign w:val="center"/>
          </w:tcPr>
          <w:p w14:paraId="1876671D">
            <w:pPr>
              <w:pStyle w:val="12"/>
              <w:jc w:val="center"/>
              <w:rPr>
                <w:rFonts w:ascii="宋体" w:hAnsi="宋体"/>
              </w:rPr>
            </w:pPr>
            <w:r>
              <w:rPr>
                <w:rFonts w:hint="eastAsia" w:ascii="宋体" w:hAnsi="宋体"/>
              </w:rPr>
              <w:t>14.1</w:t>
            </w:r>
          </w:p>
        </w:tc>
      </w:tr>
      <w:tr w14:paraId="278350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83" w:type="pct"/>
            <w:gridSpan w:val="2"/>
            <w:vAlign w:val="center"/>
          </w:tcPr>
          <w:p w14:paraId="298B07DC">
            <w:pPr>
              <w:pStyle w:val="12"/>
              <w:jc w:val="center"/>
              <w:rPr>
                <w:rFonts w:ascii="宋体" w:hAnsi="宋体"/>
              </w:rPr>
            </w:pPr>
            <w:r>
              <w:rPr>
                <w:rFonts w:hint="eastAsia" w:ascii="宋体" w:hAnsi="宋体"/>
              </w:rPr>
              <w:t>大中学生</w:t>
            </w:r>
          </w:p>
        </w:tc>
        <w:tc>
          <w:tcPr>
            <w:tcW w:w="502" w:type="pct"/>
            <w:vAlign w:val="center"/>
          </w:tcPr>
          <w:p w14:paraId="0466DFFC">
            <w:pPr>
              <w:pStyle w:val="12"/>
              <w:jc w:val="center"/>
              <w:rPr>
                <w:rFonts w:ascii="宋体" w:hAnsi="宋体"/>
              </w:rPr>
            </w:pPr>
            <w:r>
              <w:rPr>
                <w:rFonts w:hint="eastAsia" w:ascii="宋体" w:hAnsi="宋体"/>
              </w:rPr>
              <w:t>718</w:t>
            </w:r>
          </w:p>
        </w:tc>
        <w:tc>
          <w:tcPr>
            <w:tcW w:w="502" w:type="pct"/>
            <w:vAlign w:val="center"/>
          </w:tcPr>
          <w:p w14:paraId="6E42575B">
            <w:pPr>
              <w:pStyle w:val="12"/>
              <w:jc w:val="center"/>
              <w:rPr>
                <w:rFonts w:ascii="宋体" w:hAnsi="宋体"/>
              </w:rPr>
            </w:pPr>
            <w:r>
              <w:rPr>
                <w:rFonts w:hint="eastAsia" w:ascii="宋体" w:hAnsi="宋体"/>
              </w:rPr>
              <w:t>14</w:t>
            </w:r>
          </w:p>
        </w:tc>
        <w:tc>
          <w:tcPr>
            <w:tcW w:w="502" w:type="pct"/>
            <w:vAlign w:val="center"/>
          </w:tcPr>
          <w:p w14:paraId="21F0EB6B">
            <w:pPr>
              <w:pStyle w:val="12"/>
              <w:jc w:val="center"/>
              <w:rPr>
                <w:rFonts w:ascii="宋体" w:hAnsi="宋体"/>
              </w:rPr>
            </w:pPr>
            <w:r>
              <w:rPr>
                <w:rFonts w:hint="eastAsia" w:ascii="宋体" w:hAnsi="宋体"/>
              </w:rPr>
              <w:t>4050</w:t>
            </w:r>
          </w:p>
        </w:tc>
        <w:tc>
          <w:tcPr>
            <w:tcW w:w="502" w:type="pct"/>
            <w:vAlign w:val="center"/>
          </w:tcPr>
          <w:p w14:paraId="2B2AA95D">
            <w:pPr>
              <w:pStyle w:val="12"/>
              <w:jc w:val="center"/>
              <w:rPr>
                <w:rFonts w:ascii="宋体" w:hAnsi="宋体"/>
              </w:rPr>
            </w:pPr>
            <w:r>
              <w:rPr>
                <w:rFonts w:hint="eastAsia" w:ascii="宋体" w:hAnsi="宋体"/>
              </w:rPr>
              <w:t>11.5</w:t>
            </w:r>
          </w:p>
        </w:tc>
        <w:tc>
          <w:tcPr>
            <w:tcW w:w="502" w:type="pct"/>
            <w:vAlign w:val="center"/>
          </w:tcPr>
          <w:p w14:paraId="0177266B">
            <w:pPr>
              <w:pStyle w:val="12"/>
              <w:jc w:val="center"/>
              <w:rPr>
                <w:rFonts w:ascii="宋体" w:hAnsi="宋体"/>
              </w:rPr>
            </w:pPr>
            <w:r>
              <w:rPr>
                <w:rFonts w:hint="eastAsia" w:ascii="宋体" w:hAnsi="宋体"/>
              </w:rPr>
              <w:t>3740</w:t>
            </w:r>
          </w:p>
        </w:tc>
        <w:tc>
          <w:tcPr>
            <w:tcW w:w="502" w:type="pct"/>
            <w:vAlign w:val="center"/>
          </w:tcPr>
          <w:p w14:paraId="28176C5C">
            <w:pPr>
              <w:pStyle w:val="12"/>
              <w:jc w:val="center"/>
              <w:rPr>
                <w:rFonts w:ascii="宋体" w:hAnsi="宋体"/>
              </w:rPr>
            </w:pPr>
            <w:r>
              <w:rPr>
                <w:rFonts w:hint="eastAsia" w:ascii="宋体" w:hAnsi="宋体"/>
              </w:rPr>
              <w:t>12.9</w:t>
            </w:r>
          </w:p>
        </w:tc>
        <w:tc>
          <w:tcPr>
            <w:tcW w:w="502" w:type="pct"/>
            <w:vAlign w:val="center"/>
          </w:tcPr>
          <w:p w14:paraId="3C3AB3AB">
            <w:pPr>
              <w:pStyle w:val="12"/>
              <w:jc w:val="center"/>
              <w:rPr>
                <w:rFonts w:ascii="宋体" w:hAnsi="宋体"/>
              </w:rPr>
            </w:pPr>
            <w:r>
              <w:rPr>
                <w:rFonts w:hint="eastAsia" w:ascii="宋体" w:hAnsi="宋体"/>
              </w:rPr>
              <w:t>4329</w:t>
            </w:r>
          </w:p>
        </w:tc>
        <w:tc>
          <w:tcPr>
            <w:tcW w:w="502" w:type="pct"/>
            <w:vAlign w:val="center"/>
          </w:tcPr>
          <w:p w14:paraId="6F417F3B">
            <w:pPr>
              <w:pStyle w:val="12"/>
              <w:jc w:val="center"/>
              <w:rPr>
                <w:rFonts w:ascii="宋体" w:hAnsi="宋体"/>
              </w:rPr>
            </w:pPr>
            <w:r>
              <w:rPr>
                <w:rFonts w:hint="eastAsia" w:ascii="宋体" w:hAnsi="宋体"/>
              </w:rPr>
              <w:t>12.7</w:t>
            </w:r>
          </w:p>
        </w:tc>
      </w:tr>
      <w:tr w14:paraId="669D9D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83" w:type="pct"/>
            <w:gridSpan w:val="2"/>
            <w:vAlign w:val="center"/>
          </w:tcPr>
          <w:p w14:paraId="719F45A3">
            <w:pPr>
              <w:pStyle w:val="12"/>
              <w:jc w:val="center"/>
              <w:rPr>
                <w:rFonts w:ascii="宋体" w:hAnsi="宋体"/>
              </w:rPr>
            </w:pPr>
            <w:r>
              <w:rPr>
                <w:rFonts w:hint="eastAsia" w:ascii="宋体" w:hAnsi="宋体"/>
              </w:rPr>
              <w:t>2.小计</w:t>
            </w:r>
          </w:p>
        </w:tc>
        <w:tc>
          <w:tcPr>
            <w:tcW w:w="502" w:type="pct"/>
            <w:vAlign w:val="center"/>
          </w:tcPr>
          <w:p w14:paraId="45F3A9D8">
            <w:pPr>
              <w:pStyle w:val="12"/>
              <w:jc w:val="center"/>
              <w:rPr>
                <w:rFonts w:ascii="宋体" w:hAnsi="宋体"/>
              </w:rPr>
            </w:pPr>
            <w:r>
              <w:rPr>
                <w:rFonts w:hint="eastAsia" w:ascii="宋体" w:hAnsi="宋体"/>
              </w:rPr>
              <w:t>13955</w:t>
            </w:r>
          </w:p>
        </w:tc>
        <w:tc>
          <w:tcPr>
            <w:tcW w:w="502" w:type="pct"/>
            <w:vAlign w:val="center"/>
          </w:tcPr>
          <w:p w14:paraId="21085434">
            <w:pPr>
              <w:pStyle w:val="12"/>
              <w:jc w:val="center"/>
              <w:rPr>
                <w:rFonts w:ascii="宋体" w:hAnsi="宋体"/>
              </w:rPr>
            </w:pPr>
            <w:r>
              <w:rPr>
                <w:rFonts w:hint="eastAsia" w:ascii="宋体" w:hAnsi="宋体"/>
              </w:rPr>
              <w:t>9</w:t>
            </w:r>
          </w:p>
        </w:tc>
        <w:tc>
          <w:tcPr>
            <w:tcW w:w="502" w:type="pct"/>
            <w:vAlign w:val="center"/>
          </w:tcPr>
          <w:p w14:paraId="0C4ECB5D">
            <w:pPr>
              <w:pStyle w:val="12"/>
              <w:jc w:val="center"/>
              <w:rPr>
                <w:rFonts w:ascii="宋体" w:hAnsi="宋体"/>
              </w:rPr>
            </w:pPr>
            <w:r>
              <w:rPr>
                <w:rFonts w:hint="eastAsia" w:ascii="宋体" w:hAnsi="宋体"/>
              </w:rPr>
              <w:t>13723</w:t>
            </w:r>
          </w:p>
        </w:tc>
        <w:tc>
          <w:tcPr>
            <w:tcW w:w="502" w:type="pct"/>
            <w:vAlign w:val="center"/>
          </w:tcPr>
          <w:p w14:paraId="5EEFD5FC">
            <w:pPr>
              <w:pStyle w:val="12"/>
              <w:jc w:val="center"/>
              <w:rPr>
                <w:rFonts w:ascii="宋体" w:hAnsi="宋体"/>
              </w:rPr>
            </w:pPr>
            <w:r>
              <w:rPr>
                <w:rFonts w:hint="eastAsia" w:ascii="宋体" w:hAnsi="宋体"/>
              </w:rPr>
              <w:t>9.5</w:t>
            </w:r>
          </w:p>
        </w:tc>
        <w:tc>
          <w:tcPr>
            <w:tcW w:w="502" w:type="pct"/>
            <w:vAlign w:val="center"/>
          </w:tcPr>
          <w:p w14:paraId="53729F1D">
            <w:pPr>
              <w:pStyle w:val="12"/>
              <w:jc w:val="center"/>
              <w:rPr>
                <w:rFonts w:ascii="宋体" w:hAnsi="宋体"/>
              </w:rPr>
            </w:pPr>
            <w:r>
              <w:rPr>
                <w:rFonts w:hint="eastAsia" w:ascii="宋体" w:hAnsi="宋体"/>
              </w:rPr>
              <w:t>17319</w:t>
            </w:r>
          </w:p>
        </w:tc>
        <w:tc>
          <w:tcPr>
            <w:tcW w:w="502" w:type="pct"/>
            <w:vAlign w:val="center"/>
          </w:tcPr>
          <w:p w14:paraId="73E9FF24">
            <w:pPr>
              <w:pStyle w:val="12"/>
              <w:jc w:val="center"/>
              <w:rPr>
                <w:rFonts w:ascii="宋体" w:hAnsi="宋体"/>
              </w:rPr>
            </w:pPr>
            <w:r>
              <w:rPr>
                <w:rFonts w:hint="eastAsia" w:ascii="宋体" w:hAnsi="宋体"/>
              </w:rPr>
              <w:t>11</w:t>
            </w:r>
          </w:p>
        </w:tc>
        <w:tc>
          <w:tcPr>
            <w:tcW w:w="502" w:type="pct"/>
            <w:vAlign w:val="center"/>
          </w:tcPr>
          <w:p w14:paraId="3918FB3C">
            <w:pPr>
              <w:pStyle w:val="12"/>
              <w:jc w:val="center"/>
              <w:rPr>
                <w:rFonts w:ascii="宋体" w:hAnsi="宋体"/>
              </w:rPr>
            </w:pPr>
            <w:r>
              <w:rPr>
                <w:rFonts w:hint="eastAsia" w:ascii="宋体" w:hAnsi="宋体"/>
              </w:rPr>
              <w:t>31308</w:t>
            </w:r>
          </w:p>
        </w:tc>
        <w:tc>
          <w:tcPr>
            <w:tcW w:w="502" w:type="pct"/>
            <w:vAlign w:val="center"/>
          </w:tcPr>
          <w:p w14:paraId="28F90128">
            <w:pPr>
              <w:pStyle w:val="12"/>
              <w:jc w:val="center"/>
              <w:rPr>
                <w:rFonts w:ascii="宋体" w:hAnsi="宋体"/>
              </w:rPr>
            </w:pPr>
            <w:r>
              <w:rPr>
                <w:rFonts w:hint="eastAsia" w:ascii="宋体" w:hAnsi="宋体"/>
              </w:rPr>
              <w:t>14.1</w:t>
            </w:r>
          </w:p>
        </w:tc>
      </w:tr>
      <w:tr w14:paraId="0D00EC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0" w:type="pct"/>
            <w:vMerge w:val="restart"/>
            <w:vAlign w:val="center"/>
          </w:tcPr>
          <w:p w14:paraId="77A63E6C">
            <w:pPr>
              <w:pStyle w:val="12"/>
              <w:jc w:val="center"/>
              <w:rPr>
                <w:rFonts w:ascii="宋体" w:hAnsi="宋体"/>
              </w:rPr>
            </w:pPr>
            <w:r>
              <w:rPr>
                <w:rFonts w:hint="eastAsia" w:ascii="宋体" w:hAnsi="宋体"/>
              </w:rPr>
              <w:t>一般居民</w:t>
            </w:r>
          </w:p>
        </w:tc>
        <w:tc>
          <w:tcPr>
            <w:tcW w:w="733" w:type="pct"/>
            <w:vAlign w:val="center"/>
          </w:tcPr>
          <w:p w14:paraId="341EFD30">
            <w:pPr>
              <w:pStyle w:val="12"/>
              <w:jc w:val="center"/>
              <w:rPr>
                <w:rFonts w:ascii="宋体" w:hAnsi="宋体"/>
              </w:rPr>
            </w:pPr>
            <w:r>
              <w:rPr>
                <w:rFonts w:hint="eastAsia" w:ascii="宋体" w:hAnsi="宋体"/>
              </w:rPr>
              <w:t>10周岁以上</w:t>
            </w:r>
          </w:p>
        </w:tc>
        <w:tc>
          <w:tcPr>
            <w:tcW w:w="502" w:type="pct"/>
            <w:vAlign w:val="center"/>
          </w:tcPr>
          <w:p w14:paraId="33E24FCF">
            <w:pPr>
              <w:pStyle w:val="12"/>
              <w:jc w:val="center"/>
              <w:rPr>
                <w:rFonts w:ascii="宋体" w:hAnsi="宋体"/>
              </w:rPr>
            </w:pPr>
            <w:r>
              <w:rPr>
                <w:rFonts w:hint="eastAsia" w:ascii="宋体" w:hAnsi="宋体"/>
              </w:rPr>
              <w:t>8259</w:t>
            </w:r>
          </w:p>
        </w:tc>
        <w:tc>
          <w:tcPr>
            <w:tcW w:w="502" w:type="pct"/>
            <w:vAlign w:val="center"/>
          </w:tcPr>
          <w:p w14:paraId="3214BBF2">
            <w:pPr>
              <w:pStyle w:val="12"/>
              <w:jc w:val="center"/>
              <w:rPr>
                <w:rFonts w:ascii="宋体" w:hAnsi="宋体"/>
              </w:rPr>
            </w:pPr>
            <w:r>
              <w:rPr>
                <w:rFonts w:hint="eastAsia" w:ascii="宋体" w:hAnsi="宋体"/>
              </w:rPr>
              <w:t>11.5</w:t>
            </w:r>
          </w:p>
        </w:tc>
        <w:tc>
          <w:tcPr>
            <w:tcW w:w="502" w:type="pct"/>
            <w:vAlign w:val="center"/>
          </w:tcPr>
          <w:p w14:paraId="4E351FC1">
            <w:pPr>
              <w:pStyle w:val="12"/>
              <w:jc w:val="center"/>
              <w:rPr>
                <w:rFonts w:ascii="宋体" w:hAnsi="宋体"/>
              </w:rPr>
            </w:pPr>
            <w:r>
              <w:rPr>
                <w:rFonts w:hint="eastAsia" w:ascii="宋体" w:hAnsi="宋体"/>
              </w:rPr>
              <w:t>7436</w:t>
            </w:r>
          </w:p>
        </w:tc>
        <w:tc>
          <w:tcPr>
            <w:tcW w:w="502" w:type="pct"/>
            <w:vAlign w:val="center"/>
          </w:tcPr>
          <w:p w14:paraId="27A3A4DB">
            <w:pPr>
              <w:pStyle w:val="12"/>
              <w:jc w:val="center"/>
              <w:rPr>
                <w:rFonts w:ascii="宋体" w:hAnsi="宋体"/>
              </w:rPr>
            </w:pPr>
            <w:r>
              <w:rPr>
                <w:rFonts w:hint="eastAsia" w:ascii="宋体" w:hAnsi="宋体"/>
              </w:rPr>
              <w:t>11.5</w:t>
            </w:r>
          </w:p>
        </w:tc>
        <w:tc>
          <w:tcPr>
            <w:tcW w:w="502" w:type="pct"/>
            <w:vAlign w:val="center"/>
          </w:tcPr>
          <w:p w14:paraId="077188BA">
            <w:pPr>
              <w:pStyle w:val="12"/>
              <w:jc w:val="center"/>
              <w:rPr>
                <w:rFonts w:ascii="宋体" w:hAnsi="宋体"/>
              </w:rPr>
            </w:pPr>
            <w:r>
              <w:rPr>
                <w:rFonts w:hint="eastAsia" w:ascii="宋体" w:hAnsi="宋体"/>
              </w:rPr>
              <w:t>10924</w:t>
            </w:r>
          </w:p>
        </w:tc>
        <w:tc>
          <w:tcPr>
            <w:tcW w:w="502" w:type="pct"/>
            <w:vAlign w:val="center"/>
          </w:tcPr>
          <w:p w14:paraId="40959BB8">
            <w:pPr>
              <w:pStyle w:val="12"/>
              <w:jc w:val="center"/>
              <w:rPr>
                <w:rFonts w:ascii="宋体" w:hAnsi="宋体"/>
              </w:rPr>
            </w:pPr>
            <w:r>
              <w:rPr>
                <w:rFonts w:hint="eastAsia" w:ascii="宋体" w:hAnsi="宋体"/>
              </w:rPr>
              <w:t>12</w:t>
            </w:r>
          </w:p>
        </w:tc>
        <w:tc>
          <w:tcPr>
            <w:tcW w:w="502" w:type="pct"/>
            <w:vAlign w:val="center"/>
          </w:tcPr>
          <w:p w14:paraId="73F4AFB5">
            <w:pPr>
              <w:pStyle w:val="12"/>
              <w:jc w:val="center"/>
              <w:rPr>
                <w:rFonts w:ascii="宋体" w:hAnsi="宋体"/>
              </w:rPr>
            </w:pPr>
            <w:r>
              <w:rPr>
                <w:rFonts w:hint="eastAsia" w:ascii="宋体" w:hAnsi="宋体"/>
              </w:rPr>
              <w:t>26193</w:t>
            </w:r>
          </w:p>
        </w:tc>
        <w:tc>
          <w:tcPr>
            <w:tcW w:w="502" w:type="pct"/>
            <w:vAlign w:val="center"/>
          </w:tcPr>
          <w:p w14:paraId="77B1BAAD">
            <w:pPr>
              <w:pStyle w:val="12"/>
              <w:jc w:val="center"/>
              <w:rPr>
                <w:rFonts w:ascii="宋体" w:hAnsi="宋体"/>
              </w:rPr>
            </w:pPr>
            <w:r>
              <w:rPr>
                <w:rFonts w:hint="eastAsia" w:ascii="宋体" w:hAnsi="宋体"/>
              </w:rPr>
              <w:t>12</w:t>
            </w:r>
          </w:p>
        </w:tc>
      </w:tr>
      <w:tr w14:paraId="6947E3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0" w:type="pct"/>
            <w:vMerge w:val="continue"/>
            <w:vAlign w:val="center"/>
          </w:tcPr>
          <w:p w14:paraId="06B700F8">
            <w:pPr>
              <w:pStyle w:val="12"/>
              <w:jc w:val="center"/>
              <w:rPr>
                <w:rFonts w:ascii="宋体" w:hAnsi="宋体"/>
              </w:rPr>
            </w:pPr>
          </w:p>
        </w:tc>
        <w:tc>
          <w:tcPr>
            <w:tcW w:w="733" w:type="pct"/>
            <w:vAlign w:val="center"/>
          </w:tcPr>
          <w:p w14:paraId="32D602F9">
            <w:pPr>
              <w:pStyle w:val="12"/>
              <w:jc w:val="center"/>
              <w:rPr>
                <w:rFonts w:ascii="宋体" w:hAnsi="宋体"/>
              </w:rPr>
            </w:pPr>
            <w:r>
              <w:rPr>
                <w:rFonts w:hint="eastAsia" w:ascii="宋体" w:hAnsi="宋体"/>
              </w:rPr>
              <w:t>6~10周岁</w:t>
            </w:r>
          </w:p>
        </w:tc>
        <w:tc>
          <w:tcPr>
            <w:tcW w:w="502" w:type="pct"/>
            <w:vAlign w:val="center"/>
          </w:tcPr>
          <w:p w14:paraId="5EE337C7">
            <w:pPr>
              <w:pStyle w:val="12"/>
              <w:jc w:val="center"/>
              <w:rPr>
                <w:rFonts w:ascii="宋体" w:hAnsi="宋体"/>
              </w:rPr>
            </w:pPr>
            <w:r>
              <w:rPr>
                <w:rFonts w:hint="eastAsia" w:ascii="宋体" w:hAnsi="宋体"/>
              </w:rPr>
              <w:t>1861</w:t>
            </w:r>
          </w:p>
        </w:tc>
        <w:tc>
          <w:tcPr>
            <w:tcW w:w="502" w:type="pct"/>
            <w:vAlign w:val="center"/>
          </w:tcPr>
          <w:p w14:paraId="6C2A924F">
            <w:pPr>
              <w:pStyle w:val="12"/>
              <w:jc w:val="center"/>
              <w:rPr>
                <w:rFonts w:ascii="宋体" w:hAnsi="宋体"/>
              </w:rPr>
            </w:pPr>
            <w:r>
              <w:rPr>
                <w:rFonts w:hint="eastAsia" w:ascii="宋体" w:hAnsi="宋体"/>
              </w:rPr>
              <w:t>7</w:t>
            </w:r>
          </w:p>
        </w:tc>
        <w:tc>
          <w:tcPr>
            <w:tcW w:w="502" w:type="pct"/>
            <w:vAlign w:val="center"/>
          </w:tcPr>
          <w:p w14:paraId="47CF9317">
            <w:pPr>
              <w:pStyle w:val="12"/>
              <w:jc w:val="center"/>
              <w:rPr>
                <w:rFonts w:ascii="宋体" w:hAnsi="宋体"/>
              </w:rPr>
            </w:pPr>
            <w:r>
              <w:rPr>
                <w:rFonts w:hint="eastAsia" w:ascii="宋体" w:hAnsi="宋体"/>
              </w:rPr>
              <w:t>1977</w:t>
            </w:r>
          </w:p>
        </w:tc>
        <w:tc>
          <w:tcPr>
            <w:tcW w:w="502" w:type="pct"/>
            <w:vAlign w:val="center"/>
          </w:tcPr>
          <w:p w14:paraId="190A408D">
            <w:pPr>
              <w:pStyle w:val="12"/>
              <w:jc w:val="center"/>
              <w:rPr>
                <w:rFonts w:ascii="宋体" w:hAnsi="宋体"/>
              </w:rPr>
            </w:pPr>
            <w:r>
              <w:rPr>
                <w:rFonts w:hint="eastAsia" w:ascii="宋体" w:hAnsi="宋体"/>
              </w:rPr>
              <w:t>9</w:t>
            </w:r>
          </w:p>
        </w:tc>
        <w:tc>
          <w:tcPr>
            <w:tcW w:w="502" w:type="pct"/>
            <w:vAlign w:val="center"/>
          </w:tcPr>
          <w:p w14:paraId="39EBFE96">
            <w:pPr>
              <w:pStyle w:val="12"/>
              <w:jc w:val="center"/>
              <w:rPr>
                <w:rFonts w:ascii="宋体" w:hAnsi="宋体"/>
              </w:rPr>
            </w:pPr>
            <w:r>
              <w:rPr>
                <w:rFonts w:hint="eastAsia" w:ascii="宋体" w:hAnsi="宋体"/>
              </w:rPr>
              <w:t>3523</w:t>
            </w:r>
          </w:p>
        </w:tc>
        <w:tc>
          <w:tcPr>
            <w:tcW w:w="502" w:type="pct"/>
            <w:vAlign w:val="center"/>
          </w:tcPr>
          <w:p w14:paraId="2C94CA57">
            <w:pPr>
              <w:pStyle w:val="12"/>
              <w:jc w:val="center"/>
              <w:rPr>
                <w:rFonts w:ascii="宋体" w:hAnsi="宋体"/>
              </w:rPr>
            </w:pPr>
            <w:r>
              <w:rPr>
                <w:rFonts w:hint="eastAsia" w:ascii="宋体" w:hAnsi="宋体"/>
              </w:rPr>
              <w:t>10.3</w:t>
            </w:r>
          </w:p>
        </w:tc>
        <w:tc>
          <w:tcPr>
            <w:tcW w:w="502" w:type="pct"/>
            <w:vAlign w:val="center"/>
          </w:tcPr>
          <w:p w14:paraId="182ADE4C">
            <w:pPr>
              <w:pStyle w:val="12"/>
              <w:jc w:val="center"/>
              <w:rPr>
                <w:rFonts w:ascii="宋体" w:hAnsi="宋体"/>
              </w:rPr>
            </w:pPr>
            <w:r>
              <w:rPr>
                <w:rFonts w:hint="eastAsia" w:ascii="宋体" w:hAnsi="宋体"/>
              </w:rPr>
              <w:t>2053</w:t>
            </w:r>
          </w:p>
        </w:tc>
        <w:tc>
          <w:tcPr>
            <w:tcW w:w="502" w:type="pct"/>
            <w:vAlign w:val="center"/>
          </w:tcPr>
          <w:p w14:paraId="0B870500">
            <w:pPr>
              <w:pStyle w:val="12"/>
              <w:jc w:val="center"/>
              <w:rPr>
                <w:rFonts w:ascii="宋体" w:hAnsi="宋体"/>
              </w:rPr>
            </w:pPr>
            <w:r>
              <w:rPr>
                <w:rFonts w:hint="eastAsia" w:ascii="宋体" w:hAnsi="宋体"/>
              </w:rPr>
              <w:t>10.3</w:t>
            </w:r>
          </w:p>
        </w:tc>
      </w:tr>
      <w:tr w14:paraId="4FF4B2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0" w:type="pct"/>
            <w:vMerge w:val="continue"/>
            <w:vAlign w:val="center"/>
          </w:tcPr>
          <w:p w14:paraId="0AE73537">
            <w:pPr>
              <w:pStyle w:val="12"/>
              <w:jc w:val="center"/>
              <w:rPr>
                <w:rFonts w:ascii="宋体" w:hAnsi="宋体"/>
              </w:rPr>
            </w:pPr>
          </w:p>
        </w:tc>
        <w:tc>
          <w:tcPr>
            <w:tcW w:w="733" w:type="pct"/>
            <w:vAlign w:val="center"/>
          </w:tcPr>
          <w:p w14:paraId="50B533F9">
            <w:pPr>
              <w:pStyle w:val="12"/>
              <w:jc w:val="center"/>
              <w:rPr>
                <w:rFonts w:ascii="宋体" w:hAnsi="宋体"/>
              </w:rPr>
            </w:pPr>
            <w:r>
              <w:rPr>
                <w:rFonts w:hint="eastAsia" w:ascii="宋体" w:hAnsi="宋体"/>
              </w:rPr>
              <w:t>3~6周岁</w:t>
            </w:r>
          </w:p>
        </w:tc>
        <w:tc>
          <w:tcPr>
            <w:tcW w:w="502" w:type="pct"/>
            <w:vAlign w:val="center"/>
          </w:tcPr>
          <w:p w14:paraId="5D4E72BF">
            <w:pPr>
              <w:pStyle w:val="12"/>
              <w:jc w:val="center"/>
              <w:rPr>
                <w:rFonts w:ascii="宋体" w:hAnsi="宋体"/>
              </w:rPr>
            </w:pPr>
            <w:r>
              <w:rPr>
                <w:rFonts w:hint="eastAsia" w:ascii="宋体" w:hAnsi="宋体"/>
              </w:rPr>
              <w:t>1849</w:t>
            </w:r>
          </w:p>
        </w:tc>
        <w:tc>
          <w:tcPr>
            <w:tcW w:w="502" w:type="pct"/>
            <w:vAlign w:val="center"/>
          </w:tcPr>
          <w:p w14:paraId="5B51FDF5">
            <w:pPr>
              <w:pStyle w:val="12"/>
              <w:jc w:val="center"/>
              <w:rPr>
                <w:rFonts w:ascii="宋体" w:hAnsi="宋体"/>
              </w:rPr>
            </w:pPr>
            <w:r>
              <w:rPr>
                <w:rFonts w:hint="eastAsia" w:ascii="宋体" w:hAnsi="宋体"/>
              </w:rPr>
              <w:t>6</w:t>
            </w:r>
          </w:p>
        </w:tc>
        <w:tc>
          <w:tcPr>
            <w:tcW w:w="502" w:type="pct"/>
            <w:vAlign w:val="center"/>
          </w:tcPr>
          <w:p w14:paraId="1C791924">
            <w:pPr>
              <w:pStyle w:val="12"/>
              <w:jc w:val="center"/>
              <w:rPr>
                <w:rFonts w:ascii="宋体" w:hAnsi="宋体"/>
              </w:rPr>
            </w:pPr>
            <w:r>
              <w:rPr>
                <w:rFonts w:hint="eastAsia" w:ascii="宋体" w:hAnsi="宋体"/>
              </w:rPr>
              <w:t>2394</w:t>
            </w:r>
          </w:p>
        </w:tc>
        <w:tc>
          <w:tcPr>
            <w:tcW w:w="502" w:type="pct"/>
            <w:vAlign w:val="center"/>
          </w:tcPr>
          <w:p w14:paraId="2C26D1FC">
            <w:pPr>
              <w:pStyle w:val="12"/>
              <w:jc w:val="center"/>
              <w:rPr>
                <w:rFonts w:ascii="宋体" w:hAnsi="宋体"/>
              </w:rPr>
            </w:pPr>
            <w:r>
              <w:rPr>
                <w:rFonts w:hint="eastAsia" w:ascii="宋体" w:hAnsi="宋体"/>
              </w:rPr>
              <w:t>8.5</w:t>
            </w:r>
          </w:p>
        </w:tc>
        <w:tc>
          <w:tcPr>
            <w:tcW w:w="502" w:type="pct"/>
            <w:vAlign w:val="center"/>
          </w:tcPr>
          <w:p w14:paraId="7629DEA1">
            <w:pPr>
              <w:pStyle w:val="12"/>
              <w:jc w:val="center"/>
              <w:rPr>
                <w:rFonts w:ascii="宋体" w:hAnsi="宋体"/>
              </w:rPr>
            </w:pPr>
            <w:r>
              <w:rPr>
                <w:rFonts w:hint="eastAsia" w:ascii="宋体" w:hAnsi="宋体"/>
              </w:rPr>
              <w:t>1790</w:t>
            </w:r>
          </w:p>
        </w:tc>
        <w:tc>
          <w:tcPr>
            <w:tcW w:w="502" w:type="pct"/>
            <w:vAlign w:val="center"/>
          </w:tcPr>
          <w:p w14:paraId="01448E3C">
            <w:pPr>
              <w:pStyle w:val="12"/>
              <w:jc w:val="center"/>
              <w:rPr>
                <w:rFonts w:ascii="宋体" w:hAnsi="宋体"/>
              </w:rPr>
            </w:pPr>
            <w:r>
              <w:rPr>
                <w:rFonts w:hint="eastAsia" w:ascii="宋体" w:hAnsi="宋体"/>
              </w:rPr>
              <w:t>8.6</w:t>
            </w:r>
          </w:p>
        </w:tc>
        <w:tc>
          <w:tcPr>
            <w:tcW w:w="502" w:type="pct"/>
            <w:vAlign w:val="center"/>
          </w:tcPr>
          <w:p w14:paraId="6CECB76A">
            <w:pPr>
              <w:pStyle w:val="12"/>
              <w:jc w:val="center"/>
              <w:rPr>
                <w:rFonts w:ascii="宋体" w:hAnsi="宋体"/>
              </w:rPr>
            </w:pPr>
            <w:r>
              <w:rPr>
                <w:rFonts w:hint="eastAsia" w:ascii="宋体" w:hAnsi="宋体"/>
              </w:rPr>
              <w:t>1538</w:t>
            </w:r>
          </w:p>
        </w:tc>
        <w:tc>
          <w:tcPr>
            <w:tcW w:w="502" w:type="pct"/>
            <w:vAlign w:val="center"/>
          </w:tcPr>
          <w:p w14:paraId="3DBC17B1">
            <w:pPr>
              <w:pStyle w:val="12"/>
              <w:jc w:val="center"/>
              <w:rPr>
                <w:rFonts w:ascii="宋体" w:hAnsi="宋体"/>
              </w:rPr>
            </w:pPr>
            <w:r>
              <w:rPr>
                <w:rFonts w:hint="eastAsia" w:ascii="宋体" w:hAnsi="宋体"/>
              </w:rPr>
              <w:t>8.3</w:t>
            </w:r>
          </w:p>
        </w:tc>
      </w:tr>
      <w:tr w14:paraId="6E716C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0" w:type="pct"/>
            <w:vMerge w:val="continue"/>
            <w:vAlign w:val="center"/>
          </w:tcPr>
          <w:p w14:paraId="218A8AF1">
            <w:pPr>
              <w:pStyle w:val="12"/>
              <w:jc w:val="center"/>
              <w:rPr>
                <w:rFonts w:ascii="宋体" w:hAnsi="宋体"/>
              </w:rPr>
            </w:pPr>
          </w:p>
        </w:tc>
        <w:tc>
          <w:tcPr>
            <w:tcW w:w="733" w:type="pct"/>
            <w:vAlign w:val="center"/>
          </w:tcPr>
          <w:p w14:paraId="179CB653">
            <w:pPr>
              <w:pStyle w:val="12"/>
              <w:jc w:val="center"/>
              <w:rPr>
                <w:rFonts w:ascii="宋体" w:hAnsi="宋体"/>
              </w:rPr>
            </w:pPr>
            <w:r>
              <w:rPr>
                <w:rFonts w:hint="eastAsia" w:ascii="宋体" w:hAnsi="宋体"/>
              </w:rPr>
              <w:t>3周岁以下</w:t>
            </w:r>
          </w:p>
        </w:tc>
        <w:tc>
          <w:tcPr>
            <w:tcW w:w="502" w:type="pct"/>
            <w:vAlign w:val="center"/>
          </w:tcPr>
          <w:p w14:paraId="25195DF4">
            <w:pPr>
              <w:pStyle w:val="12"/>
              <w:jc w:val="center"/>
              <w:rPr>
                <w:rFonts w:ascii="宋体" w:hAnsi="宋体"/>
              </w:rPr>
            </w:pPr>
            <w:r>
              <w:rPr>
                <w:rFonts w:hint="eastAsia" w:ascii="宋体" w:hAnsi="宋体"/>
              </w:rPr>
              <w:t>1986</w:t>
            </w:r>
          </w:p>
        </w:tc>
        <w:tc>
          <w:tcPr>
            <w:tcW w:w="502" w:type="pct"/>
            <w:vAlign w:val="center"/>
          </w:tcPr>
          <w:p w14:paraId="47C9B2AE">
            <w:pPr>
              <w:pStyle w:val="12"/>
              <w:jc w:val="center"/>
              <w:rPr>
                <w:rFonts w:ascii="宋体" w:hAnsi="宋体"/>
              </w:rPr>
            </w:pPr>
            <w:r>
              <w:rPr>
                <w:rFonts w:hint="eastAsia" w:ascii="宋体" w:hAnsi="宋体"/>
              </w:rPr>
              <w:t>3</w:t>
            </w:r>
          </w:p>
        </w:tc>
        <w:tc>
          <w:tcPr>
            <w:tcW w:w="502" w:type="pct"/>
            <w:vAlign w:val="center"/>
          </w:tcPr>
          <w:p w14:paraId="47B2A9DC">
            <w:pPr>
              <w:pStyle w:val="12"/>
              <w:jc w:val="center"/>
              <w:rPr>
                <w:rFonts w:ascii="宋体" w:hAnsi="宋体"/>
              </w:rPr>
            </w:pPr>
            <w:r>
              <w:rPr>
                <w:rFonts w:hint="eastAsia" w:ascii="宋体" w:hAnsi="宋体"/>
              </w:rPr>
              <w:t>1916</w:t>
            </w:r>
          </w:p>
        </w:tc>
        <w:tc>
          <w:tcPr>
            <w:tcW w:w="502" w:type="pct"/>
            <w:vAlign w:val="center"/>
          </w:tcPr>
          <w:p w14:paraId="05189301">
            <w:pPr>
              <w:pStyle w:val="12"/>
              <w:jc w:val="center"/>
              <w:rPr>
                <w:rFonts w:ascii="宋体" w:hAnsi="宋体"/>
              </w:rPr>
            </w:pPr>
            <w:r>
              <w:rPr>
                <w:rFonts w:hint="eastAsia" w:ascii="宋体" w:hAnsi="宋体"/>
              </w:rPr>
              <w:t>4</w:t>
            </w:r>
          </w:p>
        </w:tc>
        <w:tc>
          <w:tcPr>
            <w:tcW w:w="502" w:type="pct"/>
            <w:vAlign w:val="center"/>
          </w:tcPr>
          <w:p w14:paraId="74625642">
            <w:pPr>
              <w:pStyle w:val="12"/>
              <w:jc w:val="center"/>
              <w:rPr>
                <w:rFonts w:ascii="宋体" w:hAnsi="宋体"/>
              </w:rPr>
            </w:pPr>
            <w:r>
              <w:rPr>
                <w:rFonts w:hint="eastAsia" w:ascii="宋体" w:hAnsi="宋体"/>
              </w:rPr>
              <w:t>1082</w:t>
            </w:r>
          </w:p>
        </w:tc>
        <w:tc>
          <w:tcPr>
            <w:tcW w:w="502" w:type="pct"/>
            <w:vAlign w:val="center"/>
          </w:tcPr>
          <w:p w14:paraId="14094A27">
            <w:pPr>
              <w:pStyle w:val="12"/>
              <w:jc w:val="center"/>
              <w:rPr>
                <w:rFonts w:ascii="宋体" w:hAnsi="宋体"/>
              </w:rPr>
            </w:pPr>
            <w:r>
              <w:rPr>
                <w:rFonts w:hint="eastAsia" w:ascii="宋体" w:hAnsi="宋体"/>
              </w:rPr>
              <w:t>6.1</w:t>
            </w:r>
          </w:p>
        </w:tc>
        <w:tc>
          <w:tcPr>
            <w:tcW w:w="502" w:type="pct"/>
            <w:vAlign w:val="center"/>
          </w:tcPr>
          <w:p w14:paraId="295C74CA">
            <w:pPr>
              <w:pStyle w:val="12"/>
              <w:jc w:val="center"/>
              <w:rPr>
                <w:rFonts w:ascii="宋体" w:hAnsi="宋体"/>
              </w:rPr>
            </w:pPr>
            <w:r>
              <w:rPr>
                <w:rFonts w:hint="eastAsia" w:ascii="宋体" w:hAnsi="宋体"/>
              </w:rPr>
              <w:t>1524</w:t>
            </w:r>
          </w:p>
        </w:tc>
        <w:tc>
          <w:tcPr>
            <w:tcW w:w="502" w:type="pct"/>
            <w:vAlign w:val="center"/>
          </w:tcPr>
          <w:p w14:paraId="5F470613">
            <w:pPr>
              <w:pStyle w:val="12"/>
              <w:jc w:val="center"/>
              <w:rPr>
                <w:rFonts w:ascii="宋体" w:hAnsi="宋体"/>
              </w:rPr>
            </w:pPr>
            <w:r>
              <w:rPr>
                <w:rFonts w:hint="eastAsia" w:ascii="宋体" w:hAnsi="宋体"/>
              </w:rPr>
              <w:t>6.2</w:t>
            </w:r>
          </w:p>
        </w:tc>
      </w:tr>
      <w:tr w14:paraId="2D6963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83" w:type="pct"/>
            <w:gridSpan w:val="2"/>
            <w:vAlign w:val="center"/>
          </w:tcPr>
          <w:p w14:paraId="56225FDE">
            <w:pPr>
              <w:pStyle w:val="12"/>
              <w:jc w:val="center"/>
              <w:rPr>
                <w:rFonts w:ascii="宋体" w:hAnsi="宋体"/>
              </w:rPr>
            </w:pPr>
            <w:r>
              <w:rPr>
                <w:rFonts w:hint="eastAsia" w:ascii="宋体" w:hAnsi="宋体"/>
              </w:rPr>
              <w:t>3.其他</w:t>
            </w:r>
          </w:p>
        </w:tc>
        <w:tc>
          <w:tcPr>
            <w:tcW w:w="502" w:type="pct"/>
            <w:vAlign w:val="center"/>
          </w:tcPr>
          <w:p w14:paraId="243E1CAA">
            <w:pPr>
              <w:pStyle w:val="12"/>
              <w:jc w:val="center"/>
              <w:rPr>
                <w:rFonts w:ascii="宋体" w:hAnsi="宋体"/>
              </w:rPr>
            </w:pPr>
            <w:r>
              <w:rPr>
                <w:rFonts w:hint="eastAsia" w:ascii="宋体" w:hAnsi="宋体"/>
              </w:rPr>
              <w:t>—</w:t>
            </w:r>
          </w:p>
        </w:tc>
        <w:tc>
          <w:tcPr>
            <w:tcW w:w="502" w:type="pct"/>
            <w:vAlign w:val="center"/>
          </w:tcPr>
          <w:p w14:paraId="5F4195AB">
            <w:pPr>
              <w:pStyle w:val="12"/>
              <w:jc w:val="center"/>
              <w:rPr>
                <w:rFonts w:ascii="宋体" w:hAnsi="宋体"/>
              </w:rPr>
            </w:pPr>
            <w:r>
              <w:rPr>
                <w:rFonts w:hint="eastAsia" w:ascii="宋体" w:hAnsi="宋体"/>
              </w:rPr>
              <w:t>—</w:t>
            </w:r>
          </w:p>
        </w:tc>
        <w:tc>
          <w:tcPr>
            <w:tcW w:w="502" w:type="pct"/>
            <w:vAlign w:val="center"/>
          </w:tcPr>
          <w:p w14:paraId="32890B16">
            <w:pPr>
              <w:pStyle w:val="12"/>
              <w:jc w:val="center"/>
              <w:rPr>
                <w:rFonts w:ascii="宋体" w:hAnsi="宋体"/>
              </w:rPr>
            </w:pPr>
            <w:r>
              <w:rPr>
                <w:rFonts w:hint="eastAsia" w:ascii="宋体" w:hAnsi="宋体"/>
              </w:rPr>
              <w:t>—</w:t>
            </w:r>
          </w:p>
        </w:tc>
        <w:tc>
          <w:tcPr>
            <w:tcW w:w="502" w:type="pct"/>
            <w:vAlign w:val="center"/>
          </w:tcPr>
          <w:p w14:paraId="0B8A11BA">
            <w:pPr>
              <w:pStyle w:val="12"/>
              <w:jc w:val="center"/>
              <w:rPr>
                <w:rFonts w:ascii="宋体" w:hAnsi="宋体"/>
              </w:rPr>
            </w:pPr>
            <w:r>
              <w:rPr>
                <w:rFonts w:hint="eastAsia" w:ascii="宋体" w:hAnsi="宋体"/>
              </w:rPr>
              <w:t>—</w:t>
            </w:r>
          </w:p>
        </w:tc>
        <w:tc>
          <w:tcPr>
            <w:tcW w:w="502" w:type="pct"/>
            <w:vAlign w:val="center"/>
          </w:tcPr>
          <w:p w14:paraId="7A83990D">
            <w:pPr>
              <w:pStyle w:val="12"/>
              <w:jc w:val="center"/>
              <w:rPr>
                <w:rFonts w:ascii="宋体" w:hAnsi="宋体"/>
              </w:rPr>
            </w:pPr>
            <w:r>
              <w:rPr>
                <w:rFonts w:hint="eastAsia" w:ascii="宋体" w:hAnsi="宋体"/>
              </w:rPr>
              <w:t>96</w:t>
            </w:r>
          </w:p>
        </w:tc>
        <w:tc>
          <w:tcPr>
            <w:tcW w:w="502" w:type="pct"/>
            <w:vAlign w:val="center"/>
          </w:tcPr>
          <w:p w14:paraId="7C8B7188">
            <w:pPr>
              <w:pStyle w:val="12"/>
              <w:jc w:val="center"/>
              <w:rPr>
                <w:rFonts w:ascii="宋体" w:hAnsi="宋体"/>
              </w:rPr>
            </w:pPr>
            <w:r>
              <w:rPr>
                <w:rFonts w:hint="eastAsia" w:ascii="宋体" w:hAnsi="宋体"/>
              </w:rPr>
              <w:t>15.1</w:t>
            </w:r>
          </w:p>
        </w:tc>
        <w:tc>
          <w:tcPr>
            <w:tcW w:w="502" w:type="pct"/>
            <w:vAlign w:val="center"/>
          </w:tcPr>
          <w:p w14:paraId="6FDC2395">
            <w:pPr>
              <w:pStyle w:val="12"/>
              <w:jc w:val="center"/>
              <w:rPr>
                <w:rFonts w:ascii="宋体" w:hAnsi="宋体"/>
              </w:rPr>
            </w:pPr>
            <w:r>
              <w:rPr>
                <w:rFonts w:hint="eastAsia" w:ascii="宋体" w:hAnsi="宋体"/>
              </w:rPr>
              <w:t>185</w:t>
            </w:r>
          </w:p>
        </w:tc>
        <w:tc>
          <w:tcPr>
            <w:tcW w:w="502" w:type="pct"/>
            <w:vAlign w:val="center"/>
          </w:tcPr>
          <w:p w14:paraId="53C3D537">
            <w:pPr>
              <w:pStyle w:val="12"/>
              <w:jc w:val="center"/>
              <w:rPr>
                <w:rFonts w:ascii="宋体" w:hAnsi="宋体"/>
              </w:rPr>
            </w:pPr>
            <w:r>
              <w:rPr>
                <w:rFonts w:hint="eastAsia" w:ascii="宋体" w:hAnsi="宋体"/>
              </w:rPr>
              <w:t>14</w:t>
            </w:r>
          </w:p>
        </w:tc>
      </w:tr>
      <w:tr w14:paraId="4F9F893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83" w:type="pct"/>
            <w:gridSpan w:val="2"/>
            <w:vAlign w:val="center"/>
          </w:tcPr>
          <w:p w14:paraId="10CDE0A1">
            <w:pPr>
              <w:pStyle w:val="12"/>
              <w:jc w:val="center"/>
              <w:rPr>
                <w:rFonts w:ascii="宋体" w:hAnsi="宋体"/>
              </w:rPr>
            </w:pPr>
            <w:r>
              <w:rPr>
                <w:rFonts w:hint="eastAsia" w:ascii="宋体" w:hAnsi="宋体"/>
              </w:rPr>
              <w:t>4.超生</w:t>
            </w:r>
          </w:p>
        </w:tc>
        <w:tc>
          <w:tcPr>
            <w:tcW w:w="502" w:type="pct"/>
            <w:vAlign w:val="center"/>
          </w:tcPr>
          <w:p w14:paraId="632A69D7">
            <w:pPr>
              <w:pStyle w:val="12"/>
              <w:jc w:val="center"/>
              <w:rPr>
                <w:rFonts w:ascii="宋体" w:hAnsi="宋体"/>
              </w:rPr>
            </w:pPr>
            <w:r>
              <w:rPr>
                <w:rFonts w:hint="eastAsia" w:ascii="宋体" w:hAnsi="宋体"/>
              </w:rPr>
              <w:t>—</w:t>
            </w:r>
          </w:p>
        </w:tc>
        <w:tc>
          <w:tcPr>
            <w:tcW w:w="502" w:type="pct"/>
            <w:vAlign w:val="center"/>
          </w:tcPr>
          <w:p w14:paraId="5AE24102">
            <w:pPr>
              <w:pStyle w:val="12"/>
              <w:jc w:val="center"/>
              <w:rPr>
                <w:rFonts w:ascii="宋体" w:hAnsi="宋体"/>
              </w:rPr>
            </w:pPr>
            <w:r>
              <w:rPr>
                <w:rFonts w:hint="eastAsia" w:ascii="宋体" w:hAnsi="宋体"/>
              </w:rPr>
              <w:t>—</w:t>
            </w:r>
          </w:p>
        </w:tc>
        <w:tc>
          <w:tcPr>
            <w:tcW w:w="502" w:type="pct"/>
            <w:vAlign w:val="center"/>
          </w:tcPr>
          <w:p w14:paraId="34C8DA6B">
            <w:pPr>
              <w:pStyle w:val="12"/>
              <w:jc w:val="center"/>
              <w:rPr>
                <w:rFonts w:ascii="宋体" w:hAnsi="宋体"/>
              </w:rPr>
            </w:pPr>
            <w:r>
              <w:rPr>
                <w:rFonts w:hint="eastAsia" w:ascii="宋体" w:hAnsi="宋体"/>
              </w:rPr>
              <w:t>—</w:t>
            </w:r>
          </w:p>
        </w:tc>
        <w:tc>
          <w:tcPr>
            <w:tcW w:w="502" w:type="pct"/>
            <w:vAlign w:val="center"/>
          </w:tcPr>
          <w:p w14:paraId="7242B4E8">
            <w:pPr>
              <w:pStyle w:val="12"/>
              <w:jc w:val="center"/>
              <w:rPr>
                <w:rFonts w:ascii="宋体" w:hAnsi="宋体"/>
              </w:rPr>
            </w:pPr>
            <w:r>
              <w:rPr>
                <w:rFonts w:hint="eastAsia" w:ascii="宋体" w:hAnsi="宋体"/>
              </w:rPr>
              <w:t>—</w:t>
            </w:r>
          </w:p>
        </w:tc>
        <w:tc>
          <w:tcPr>
            <w:tcW w:w="502" w:type="pct"/>
            <w:vAlign w:val="center"/>
          </w:tcPr>
          <w:p w14:paraId="412FB73E">
            <w:pPr>
              <w:pStyle w:val="12"/>
              <w:jc w:val="center"/>
              <w:rPr>
                <w:rFonts w:ascii="宋体" w:hAnsi="宋体"/>
              </w:rPr>
            </w:pPr>
            <w:r>
              <w:rPr>
                <w:rFonts w:hint="eastAsia" w:ascii="宋体" w:hAnsi="宋体"/>
              </w:rPr>
              <w:t>—</w:t>
            </w:r>
          </w:p>
        </w:tc>
        <w:tc>
          <w:tcPr>
            <w:tcW w:w="502" w:type="pct"/>
            <w:vAlign w:val="center"/>
          </w:tcPr>
          <w:p w14:paraId="4D0B8D21">
            <w:pPr>
              <w:pStyle w:val="12"/>
              <w:jc w:val="center"/>
              <w:rPr>
                <w:rFonts w:ascii="宋体" w:hAnsi="宋体"/>
              </w:rPr>
            </w:pPr>
            <w:r>
              <w:rPr>
                <w:rFonts w:hint="eastAsia" w:ascii="宋体" w:hAnsi="宋体"/>
              </w:rPr>
              <w:t>—</w:t>
            </w:r>
          </w:p>
        </w:tc>
        <w:tc>
          <w:tcPr>
            <w:tcW w:w="502" w:type="pct"/>
            <w:vAlign w:val="center"/>
          </w:tcPr>
          <w:p w14:paraId="0DDF7C76">
            <w:pPr>
              <w:pStyle w:val="12"/>
              <w:jc w:val="center"/>
              <w:rPr>
                <w:rFonts w:ascii="宋体" w:hAnsi="宋体"/>
              </w:rPr>
            </w:pPr>
            <w:r>
              <w:rPr>
                <w:rFonts w:hint="eastAsia" w:ascii="宋体" w:hAnsi="宋体"/>
              </w:rPr>
              <w:t>254</w:t>
            </w:r>
          </w:p>
        </w:tc>
        <w:tc>
          <w:tcPr>
            <w:tcW w:w="502" w:type="pct"/>
            <w:vAlign w:val="center"/>
          </w:tcPr>
          <w:p w14:paraId="05250B4C">
            <w:pPr>
              <w:pStyle w:val="12"/>
              <w:jc w:val="center"/>
              <w:rPr>
                <w:rFonts w:ascii="宋体" w:hAnsi="宋体"/>
              </w:rPr>
            </w:pPr>
            <w:r>
              <w:rPr>
                <w:rFonts w:hint="eastAsia" w:ascii="宋体" w:hAnsi="宋体"/>
              </w:rPr>
              <w:t>不供应</w:t>
            </w:r>
          </w:p>
        </w:tc>
      </w:tr>
    </w:tbl>
    <w:p w14:paraId="7C45D892">
      <w:pPr>
        <w:pStyle w:val="5"/>
        <w:rPr>
          <w:rFonts w:ascii="宋体" w:hAnsi="宋体"/>
        </w:rPr>
      </w:pPr>
      <w:r>
        <w:rPr>
          <w:rFonts w:hint="eastAsia" w:ascii="宋体" w:hAnsi="宋体"/>
        </w:rPr>
        <w:t>二、议购议销</w:t>
      </w:r>
    </w:p>
    <w:p w14:paraId="79CE6FB0">
      <w:pPr>
        <w:ind w:firstLine="420"/>
        <w:rPr>
          <w:rFonts w:ascii="宋体" w:hAnsi="宋体"/>
          <w:szCs w:val="21"/>
        </w:rPr>
      </w:pPr>
      <w:r>
        <w:rPr>
          <w:rFonts w:ascii="宋体" w:hAnsi="宋体"/>
          <w:szCs w:val="21"/>
        </w:rPr>
        <w:t>1</w:t>
      </w:r>
      <w:r>
        <w:rPr>
          <w:rFonts w:hint="eastAsia" w:ascii="宋体" w:hAnsi="宋体"/>
          <w:szCs w:val="21"/>
        </w:rPr>
        <w:t>962</w:t>
      </w:r>
      <w:r>
        <w:rPr>
          <w:rFonts w:ascii="宋体" w:hAnsi="宋体"/>
          <w:szCs w:val="21"/>
        </w:rPr>
        <w:t>年夏起，对统购以外粮食开展议购议销业务，购销价格均根据随行就市的</w:t>
      </w:r>
      <w:r>
        <w:rPr>
          <w:rFonts w:hint="eastAsia" w:ascii="宋体" w:hAnsi="宋体"/>
          <w:szCs w:val="21"/>
        </w:rPr>
        <w:t>市价制定。</w:t>
      </w:r>
      <w:r>
        <w:rPr>
          <w:rFonts w:ascii="宋体" w:hAnsi="宋体"/>
          <w:szCs w:val="21"/>
        </w:rPr>
        <w:t>1963年至1965年，3年共议购稻谷5700吨，平均每年1900吨，占征购</w:t>
      </w:r>
      <w:r>
        <w:rPr>
          <w:rFonts w:hint="eastAsia" w:ascii="宋体" w:hAnsi="宋体"/>
          <w:szCs w:val="21"/>
        </w:rPr>
        <w:t>量的</w:t>
      </w:r>
      <w:r>
        <w:rPr>
          <w:rFonts w:ascii="宋体" w:hAnsi="宋体"/>
          <w:szCs w:val="21"/>
        </w:rPr>
        <w:t>14%；议销稻谷2805吨，平均每年935吨，3年购销相抵积余2895吨。1966年</w:t>
      </w:r>
      <w:r>
        <w:rPr>
          <w:rFonts w:hint="eastAsia" w:ascii="宋体" w:hAnsi="宋体"/>
          <w:szCs w:val="21"/>
        </w:rPr>
        <w:t>至</w:t>
      </w:r>
      <w:r>
        <w:rPr>
          <w:rFonts w:ascii="宋体" w:hAnsi="宋体"/>
          <w:szCs w:val="21"/>
        </w:rPr>
        <w:t>1976年，议购稻谷5500吨，平均每年500吨，占征购量的3%；议销3895吨，10</w:t>
      </w:r>
      <w:r>
        <w:rPr>
          <w:rFonts w:hint="eastAsia" w:ascii="宋体" w:hAnsi="宋体"/>
          <w:szCs w:val="21"/>
        </w:rPr>
        <w:t>年购销相抵积余</w:t>
      </w:r>
      <w:r>
        <w:rPr>
          <w:rFonts w:ascii="宋体" w:hAnsi="宋体"/>
          <w:szCs w:val="21"/>
        </w:rPr>
        <w:t>1605吨。</w:t>
      </w:r>
    </w:p>
    <w:p w14:paraId="4E3411BD">
      <w:pPr>
        <w:ind w:firstLine="420"/>
        <w:rPr>
          <w:rFonts w:ascii="宋体" w:hAnsi="宋体"/>
          <w:szCs w:val="21"/>
        </w:rPr>
      </w:pPr>
      <w:r>
        <w:rPr>
          <w:rFonts w:ascii="宋体" w:hAnsi="宋体"/>
          <w:szCs w:val="21"/>
        </w:rPr>
        <w:t>1978年中共十一届三中全会后，农业和国民经济迅速走上恢复和发展轨道，粮</w:t>
      </w:r>
      <w:r>
        <w:rPr>
          <w:rFonts w:hint="eastAsia" w:ascii="宋体" w:hAnsi="宋体"/>
          <w:szCs w:val="21"/>
        </w:rPr>
        <w:t>食议价经营得到了全面迅速的发展。特别是农业经济体制改革，实行农户联产承包责任制后，粮食增产，议购粮食年年增多，最多年份为</w:t>
      </w:r>
      <w:r>
        <w:rPr>
          <w:rFonts w:ascii="宋体" w:hAnsi="宋体"/>
          <w:szCs w:val="21"/>
        </w:rPr>
        <w:t>19</w:t>
      </w:r>
      <w:r>
        <w:rPr>
          <w:rFonts w:hint="eastAsia" w:ascii="宋体" w:hAnsi="宋体"/>
          <w:szCs w:val="21"/>
        </w:rPr>
        <w:t>9</w:t>
      </w:r>
      <w:r>
        <w:rPr>
          <w:rFonts w:ascii="宋体" w:hAnsi="宋体"/>
          <w:szCs w:val="21"/>
        </w:rPr>
        <w:t>6年达0.5亿公斤。从1963</w:t>
      </w:r>
      <w:r>
        <w:rPr>
          <w:rFonts w:hint="eastAsia" w:ascii="宋体" w:hAnsi="宋体"/>
          <w:szCs w:val="21"/>
        </w:rPr>
        <w:t>年开始议购业务，至</w:t>
      </w:r>
      <w:r>
        <w:rPr>
          <w:rFonts w:ascii="宋体" w:hAnsi="宋体"/>
          <w:szCs w:val="21"/>
        </w:rPr>
        <w:t>2000年累计议购稻谷4.635亿公斤，占同期国家征购粮食总量8.8亿公斤的52.7%，议销粮食2.495亿公斤，议价转平价0.073亿公斤，外销韶关</w:t>
      </w:r>
      <w:r>
        <w:rPr>
          <w:rFonts w:hint="eastAsia" w:ascii="宋体" w:hAnsi="宋体"/>
          <w:szCs w:val="21"/>
        </w:rPr>
        <w:t>等地</w:t>
      </w:r>
      <w:r>
        <w:rPr>
          <w:rFonts w:ascii="宋体" w:hAnsi="宋体"/>
          <w:szCs w:val="21"/>
        </w:rPr>
        <w:t>2.05亿公斤。通过议价经营，为平衡计划收支、供应市场起了重要作用，有效</w:t>
      </w:r>
      <w:r>
        <w:rPr>
          <w:rFonts w:hint="eastAsia" w:ascii="宋体" w:hAnsi="宋体"/>
          <w:szCs w:val="21"/>
        </w:rPr>
        <w:t>地促进农民生产粮食的积极性，为粮食企业增添了经济效益，</w:t>
      </w:r>
      <w:r>
        <w:rPr>
          <w:rFonts w:ascii="宋体" w:hAnsi="宋体"/>
          <w:szCs w:val="21"/>
        </w:rPr>
        <w:t>1979年至1989年利润</w:t>
      </w:r>
      <w:r>
        <w:rPr>
          <w:rFonts w:hint="eastAsia" w:ascii="宋体" w:hAnsi="宋体"/>
          <w:szCs w:val="21"/>
        </w:rPr>
        <w:t>达</w:t>
      </w:r>
      <w:r>
        <w:rPr>
          <w:rFonts w:ascii="宋体" w:hAnsi="宋体"/>
          <w:szCs w:val="21"/>
        </w:rPr>
        <w:t>179万元，弥补了计划内亏损，减少了财政拨补。</w:t>
      </w:r>
    </w:p>
    <w:p w14:paraId="705D99FE">
      <w:pPr>
        <w:pStyle w:val="5"/>
        <w:rPr>
          <w:rFonts w:ascii="宋体" w:hAnsi="宋体"/>
        </w:rPr>
      </w:pPr>
      <w:r>
        <w:rPr>
          <w:rFonts w:hint="eastAsia" w:ascii="宋体" w:hAnsi="宋体"/>
        </w:rPr>
        <w:t>三、合同定购</w:t>
      </w:r>
    </w:p>
    <w:p w14:paraId="3846A482">
      <w:pPr>
        <w:ind w:firstLine="420"/>
        <w:rPr>
          <w:rFonts w:ascii="宋体" w:hAnsi="宋体"/>
          <w:szCs w:val="21"/>
        </w:rPr>
      </w:pPr>
      <w:r>
        <w:rPr>
          <w:rFonts w:ascii="宋体" w:hAnsi="宋体"/>
          <w:szCs w:val="21"/>
        </w:rPr>
        <w:t>1985年开始实行合同定购。定购粮食按“倒三七”的比例计价（即三成按原统</w:t>
      </w:r>
      <w:r>
        <w:rPr>
          <w:rFonts w:hint="eastAsia" w:ascii="宋体" w:hAnsi="宋体"/>
          <w:szCs w:val="21"/>
        </w:rPr>
        <w:t>购价，七成按超购价），</w:t>
      </w:r>
      <w:r>
        <w:rPr>
          <w:rFonts w:ascii="宋体" w:hAnsi="宋体"/>
          <w:szCs w:val="21"/>
        </w:rPr>
        <w:t>3级稻谷统购价每50公斤为11.95元，超购价为17.93元，</w:t>
      </w:r>
      <w:r>
        <w:rPr>
          <w:rFonts w:hint="eastAsia" w:ascii="宋体" w:hAnsi="宋体"/>
          <w:szCs w:val="21"/>
        </w:rPr>
        <w:t>“倒三七”比价为</w:t>
      </w:r>
      <w:r>
        <w:rPr>
          <w:rFonts w:ascii="宋体" w:hAnsi="宋体"/>
          <w:szCs w:val="21"/>
        </w:rPr>
        <w:t>16.13元。1987年，3级谷定购价每50公斤调为18.20元，另加价</w:t>
      </w:r>
      <w:r>
        <w:rPr>
          <w:rFonts w:hint="eastAsia" w:ascii="宋体" w:hAnsi="宋体"/>
          <w:szCs w:val="21"/>
        </w:rPr>
        <w:t>补贴</w:t>
      </w:r>
      <w:r>
        <w:rPr>
          <w:rFonts w:ascii="宋体" w:hAnsi="宋体"/>
          <w:szCs w:val="21"/>
        </w:rPr>
        <w:t>0.96元，实际购价为19.16元。同时，每50公斤谷配给化肥指标2.1公斤，柴</w:t>
      </w:r>
      <w:r>
        <w:rPr>
          <w:rFonts w:hint="eastAsia" w:ascii="宋体" w:hAnsi="宋体"/>
          <w:szCs w:val="21"/>
        </w:rPr>
        <w:t>油</w:t>
      </w:r>
      <w:r>
        <w:rPr>
          <w:rFonts w:ascii="宋体" w:hAnsi="宋体"/>
          <w:szCs w:val="21"/>
        </w:rPr>
        <w:t>0.5公斤。定购以外的粮食允许自由上市，如市价低于国家购价，国家仍按原定购</w:t>
      </w:r>
      <w:r>
        <w:rPr>
          <w:rFonts w:hint="eastAsia" w:ascii="宋体" w:hAnsi="宋体"/>
          <w:szCs w:val="21"/>
        </w:rPr>
        <w:t>价敞开收购，以保护农民利益。定购任务，原则上</w:t>
      </w:r>
      <w:r>
        <w:rPr>
          <w:rFonts w:ascii="宋体" w:hAnsi="宋体"/>
          <w:szCs w:val="21"/>
        </w:rPr>
        <w:t>3年不变，特殊情况略有减免。1985年全县定购稻谷25977吨（包括公粮9495吨，下同）；1986年为25956吨；1987年为25698吨。</w:t>
      </w:r>
    </w:p>
    <w:p w14:paraId="5FAF93BC">
      <w:pPr>
        <w:ind w:firstLine="420"/>
        <w:rPr>
          <w:rFonts w:ascii="宋体" w:hAnsi="宋体"/>
          <w:szCs w:val="21"/>
        </w:rPr>
      </w:pPr>
      <w:r>
        <w:rPr>
          <w:rFonts w:ascii="宋体" w:hAnsi="宋体"/>
          <w:szCs w:val="21"/>
        </w:rPr>
        <w:t>1992年曾一度开放粮食经营，只下达征收公粮任务。结果购粮减少3成多，粮</w:t>
      </w:r>
      <w:r>
        <w:rPr>
          <w:rFonts w:hint="eastAsia" w:ascii="宋体" w:hAnsi="宋体"/>
          <w:szCs w:val="21"/>
        </w:rPr>
        <w:t>价上涨。</w:t>
      </w:r>
      <w:r>
        <w:rPr>
          <w:rFonts w:ascii="宋体" w:hAnsi="宋体"/>
          <w:szCs w:val="21"/>
        </w:rPr>
        <w:t>1993年又恢复粮食定购制度。1995年又落实了“米袋子”政府主要领导责</w:t>
      </w:r>
      <w:r>
        <w:rPr>
          <w:rFonts w:hint="eastAsia" w:ascii="宋体" w:hAnsi="宋体"/>
          <w:szCs w:val="21"/>
        </w:rPr>
        <w:t>任制，保证粮食购销任务的完成，保持粮价稳定。</w:t>
      </w:r>
    </w:p>
    <w:p w14:paraId="3A40DC78">
      <w:pPr>
        <w:ind w:firstLine="0" w:firstLineChars="0"/>
        <w:jc w:val="center"/>
        <w:rPr>
          <w:rFonts w:ascii="宋体" w:hAnsi="宋体"/>
          <w:b/>
          <w:szCs w:val="21"/>
        </w:rPr>
      </w:pPr>
      <w:r>
        <w:rPr>
          <w:rFonts w:hint="eastAsia" w:ascii="宋体" w:hAnsi="宋体"/>
          <w:b/>
          <w:szCs w:val="21"/>
        </w:rPr>
        <w:t>南雄市历年粮食购销调存统计</w:t>
      </w:r>
    </w:p>
    <w:p w14:paraId="7521AC7B">
      <w:pPr>
        <w:ind w:firstLine="0" w:firstLineChars="0"/>
        <w:rPr>
          <w:rFonts w:ascii="宋体" w:hAnsi="宋体"/>
          <w:b/>
          <w:szCs w:val="21"/>
        </w:rPr>
      </w:pPr>
      <w:r>
        <w:rPr>
          <w:rFonts w:hint="eastAsia" w:ascii="宋体" w:hAnsi="宋体"/>
          <w:b/>
          <w:szCs w:val="21"/>
        </w:rPr>
        <w:t>表</w:t>
      </w:r>
      <w:r>
        <w:rPr>
          <w:rFonts w:ascii="宋体" w:hAnsi="宋体"/>
          <w:b/>
          <w:szCs w:val="21"/>
        </w:rPr>
        <w:t>2-43</w:t>
      </w:r>
    </w:p>
    <w:p w14:paraId="0ED46901">
      <w:pPr>
        <w:ind w:firstLine="422"/>
        <w:jc w:val="right"/>
        <w:rPr>
          <w:rFonts w:ascii="宋体" w:hAnsi="宋体"/>
          <w:b/>
          <w:szCs w:val="21"/>
        </w:rPr>
      </w:pPr>
      <w:r>
        <w:rPr>
          <w:rFonts w:ascii="宋体" w:hAnsi="宋体"/>
          <w:b/>
          <w:szCs w:val="21"/>
        </w:rPr>
        <w:t>单位：吨</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5"/>
        <w:gridCol w:w="926"/>
        <w:gridCol w:w="926"/>
        <w:gridCol w:w="926"/>
        <w:gridCol w:w="926"/>
        <w:gridCol w:w="1124"/>
        <w:gridCol w:w="964"/>
        <w:gridCol w:w="967"/>
        <w:gridCol w:w="965"/>
        <w:gridCol w:w="963"/>
      </w:tblGrid>
      <w:tr w14:paraId="42CCD0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640" w:type="pct"/>
            <w:tcBorders>
              <w:tl2br w:val="single" w:color="auto" w:sz="4" w:space="0"/>
            </w:tcBorders>
            <w:vAlign w:val="center"/>
          </w:tcPr>
          <w:p w14:paraId="32EF93B3">
            <w:pPr>
              <w:pStyle w:val="12"/>
              <w:jc w:val="right"/>
              <w:rPr>
                <w:rFonts w:ascii="宋体" w:hAnsi="宋体"/>
                <w:b/>
              </w:rPr>
            </w:pPr>
            <w:r>
              <w:rPr>
                <w:rFonts w:hint="eastAsia" w:ascii="宋体" w:hAnsi="宋体"/>
                <w:b/>
              </w:rPr>
              <w:t>项目</w:t>
            </w:r>
          </w:p>
          <w:p w14:paraId="0AE4F2C6">
            <w:pPr>
              <w:pStyle w:val="12"/>
              <w:jc w:val="left"/>
              <w:rPr>
                <w:rFonts w:ascii="宋体" w:hAnsi="宋体"/>
                <w:b/>
              </w:rPr>
            </w:pPr>
            <w:r>
              <w:rPr>
                <w:rFonts w:hint="eastAsia" w:ascii="宋体" w:hAnsi="宋体"/>
                <w:b/>
              </w:rPr>
              <w:t>年度</w:t>
            </w:r>
          </w:p>
        </w:tc>
        <w:tc>
          <w:tcPr>
            <w:tcW w:w="465" w:type="pct"/>
            <w:vAlign w:val="center"/>
          </w:tcPr>
          <w:p w14:paraId="5E4A9FE4">
            <w:pPr>
              <w:pStyle w:val="12"/>
              <w:jc w:val="center"/>
              <w:rPr>
                <w:rFonts w:ascii="宋体" w:hAnsi="宋体"/>
                <w:b/>
              </w:rPr>
            </w:pPr>
            <w:r>
              <w:rPr>
                <w:rFonts w:hint="eastAsia" w:ascii="宋体" w:hAnsi="宋体"/>
                <w:b/>
              </w:rPr>
              <w:t>征购</w:t>
            </w:r>
          </w:p>
        </w:tc>
        <w:tc>
          <w:tcPr>
            <w:tcW w:w="465" w:type="pct"/>
            <w:vAlign w:val="center"/>
          </w:tcPr>
          <w:p w14:paraId="43858EC3">
            <w:pPr>
              <w:pStyle w:val="12"/>
              <w:jc w:val="center"/>
              <w:rPr>
                <w:rFonts w:ascii="宋体" w:hAnsi="宋体"/>
                <w:b/>
              </w:rPr>
            </w:pPr>
            <w:r>
              <w:rPr>
                <w:rFonts w:hint="eastAsia" w:ascii="宋体" w:hAnsi="宋体"/>
                <w:b/>
              </w:rPr>
              <w:t>销售</w:t>
            </w:r>
          </w:p>
        </w:tc>
        <w:tc>
          <w:tcPr>
            <w:tcW w:w="465" w:type="pct"/>
            <w:vAlign w:val="center"/>
          </w:tcPr>
          <w:p w14:paraId="5BDFF88D">
            <w:pPr>
              <w:pStyle w:val="12"/>
              <w:jc w:val="center"/>
              <w:rPr>
                <w:rFonts w:ascii="宋体" w:hAnsi="宋体"/>
                <w:b/>
              </w:rPr>
            </w:pPr>
            <w:r>
              <w:rPr>
                <w:rFonts w:hint="eastAsia" w:ascii="宋体" w:hAnsi="宋体"/>
                <w:b/>
              </w:rPr>
              <w:t>调拨</w:t>
            </w:r>
          </w:p>
        </w:tc>
        <w:tc>
          <w:tcPr>
            <w:tcW w:w="465" w:type="pct"/>
            <w:vAlign w:val="center"/>
          </w:tcPr>
          <w:p w14:paraId="7BB6C625">
            <w:pPr>
              <w:pStyle w:val="12"/>
              <w:jc w:val="center"/>
              <w:rPr>
                <w:rFonts w:ascii="宋体" w:hAnsi="宋体"/>
                <w:b/>
              </w:rPr>
            </w:pPr>
            <w:r>
              <w:rPr>
                <w:rFonts w:hint="eastAsia" w:ascii="宋体" w:hAnsi="宋体"/>
                <w:b/>
              </w:rPr>
              <w:t>库存</w:t>
            </w:r>
          </w:p>
        </w:tc>
        <w:tc>
          <w:tcPr>
            <w:tcW w:w="564" w:type="pct"/>
            <w:tcBorders>
              <w:tl2br w:val="single" w:color="auto" w:sz="4" w:space="0"/>
            </w:tcBorders>
            <w:vAlign w:val="center"/>
          </w:tcPr>
          <w:p w14:paraId="54FD1D91">
            <w:pPr>
              <w:pStyle w:val="12"/>
              <w:jc w:val="right"/>
              <w:rPr>
                <w:rFonts w:ascii="宋体" w:hAnsi="宋体"/>
                <w:b/>
              </w:rPr>
            </w:pPr>
            <w:r>
              <w:rPr>
                <w:rFonts w:hint="eastAsia" w:ascii="宋体" w:hAnsi="宋体"/>
                <w:b/>
              </w:rPr>
              <w:t>项目</w:t>
            </w:r>
          </w:p>
          <w:p w14:paraId="68F33D93">
            <w:pPr>
              <w:pStyle w:val="12"/>
              <w:jc w:val="left"/>
              <w:rPr>
                <w:rFonts w:ascii="宋体" w:hAnsi="宋体"/>
                <w:b/>
              </w:rPr>
            </w:pPr>
            <w:r>
              <w:rPr>
                <w:rFonts w:hint="eastAsia" w:ascii="宋体" w:hAnsi="宋体"/>
                <w:b/>
              </w:rPr>
              <w:t>年度</w:t>
            </w:r>
          </w:p>
        </w:tc>
        <w:tc>
          <w:tcPr>
            <w:tcW w:w="484" w:type="pct"/>
            <w:vAlign w:val="center"/>
          </w:tcPr>
          <w:p w14:paraId="0C2B3AC5">
            <w:pPr>
              <w:pStyle w:val="12"/>
              <w:jc w:val="center"/>
              <w:rPr>
                <w:rFonts w:ascii="宋体" w:hAnsi="宋体"/>
                <w:b/>
              </w:rPr>
            </w:pPr>
            <w:r>
              <w:rPr>
                <w:rFonts w:hint="eastAsia" w:ascii="宋体" w:hAnsi="宋体"/>
                <w:b/>
              </w:rPr>
              <w:t>征购</w:t>
            </w:r>
          </w:p>
        </w:tc>
        <w:tc>
          <w:tcPr>
            <w:tcW w:w="485" w:type="pct"/>
            <w:vAlign w:val="center"/>
          </w:tcPr>
          <w:p w14:paraId="2E04F309">
            <w:pPr>
              <w:pStyle w:val="12"/>
              <w:jc w:val="center"/>
              <w:rPr>
                <w:rFonts w:ascii="宋体" w:hAnsi="宋体"/>
                <w:b/>
              </w:rPr>
            </w:pPr>
            <w:r>
              <w:rPr>
                <w:rFonts w:hint="eastAsia" w:ascii="宋体" w:hAnsi="宋体"/>
                <w:b/>
              </w:rPr>
              <w:t>销售</w:t>
            </w:r>
          </w:p>
        </w:tc>
        <w:tc>
          <w:tcPr>
            <w:tcW w:w="484" w:type="pct"/>
            <w:vAlign w:val="center"/>
          </w:tcPr>
          <w:p w14:paraId="48CBFA6E">
            <w:pPr>
              <w:pStyle w:val="12"/>
              <w:jc w:val="center"/>
              <w:rPr>
                <w:rFonts w:ascii="宋体" w:hAnsi="宋体"/>
                <w:b/>
              </w:rPr>
            </w:pPr>
            <w:r>
              <w:rPr>
                <w:rFonts w:hint="eastAsia" w:ascii="宋体" w:hAnsi="宋体"/>
                <w:b/>
              </w:rPr>
              <w:t>调拨</w:t>
            </w:r>
          </w:p>
        </w:tc>
        <w:tc>
          <w:tcPr>
            <w:tcW w:w="485" w:type="pct"/>
            <w:vAlign w:val="center"/>
          </w:tcPr>
          <w:p w14:paraId="69959746">
            <w:pPr>
              <w:pStyle w:val="12"/>
              <w:jc w:val="center"/>
              <w:rPr>
                <w:rFonts w:ascii="宋体" w:hAnsi="宋体"/>
                <w:b/>
              </w:rPr>
            </w:pPr>
            <w:r>
              <w:rPr>
                <w:rFonts w:hint="eastAsia" w:ascii="宋体" w:hAnsi="宋体"/>
                <w:b/>
              </w:rPr>
              <w:t>库存</w:t>
            </w:r>
          </w:p>
        </w:tc>
      </w:tr>
      <w:tr w14:paraId="021B3C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4C7A47A">
            <w:pPr>
              <w:pStyle w:val="12"/>
              <w:jc w:val="center"/>
              <w:rPr>
                <w:rFonts w:ascii="宋体" w:hAnsi="宋体"/>
              </w:rPr>
            </w:pPr>
            <w:r>
              <w:rPr>
                <w:rFonts w:ascii="宋体" w:hAnsi="宋体"/>
              </w:rPr>
              <w:t>1978</w:t>
            </w:r>
          </w:p>
        </w:tc>
        <w:tc>
          <w:tcPr>
            <w:tcW w:w="465" w:type="pct"/>
            <w:vAlign w:val="center"/>
          </w:tcPr>
          <w:p w14:paraId="4D9AB9C9">
            <w:pPr>
              <w:pStyle w:val="12"/>
              <w:jc w:val="center"/>
              <w:rPr>
                <w:rFonts w:ascii="宋体" w:hAnsi="宋体"/>
              </w:rPr>
            </w:pPr>
            <w:r>
              <w:rPr>
                <w:rFonts w:ascii="宋体" w:hAnsi="宋体"/>
              </w:rPr>
              <w:t>18680</w:t>
            </w:r>
          </w:p>
        </w:tc>
        <w:tc>
          <w:tcPr>
            <w:tcW w:w="465" w:type="pct"/>
            <w:vAlign w:val="center"/>
          </w:tcPr>
          <w:p w14:paraId="61706D26">
            <w:pPr>
              <w:pStyle w:val="12"/>
              <w:jc w:val="center"/>
              <w:rPr>
                <w:rFonts w:ascii="宋体" w:hAnsi="宋体"/>
              </w:rPr>
            </w:pPr>
            <w:r>
              <w:rPr>
                <w:rFonts w:ascii="宋体" w:hAnsi="宋体"/>
              </w:rPr>
              <w:t>13135</w:t>
            </w:r>
          </w:p>
        </w:tc>
        <w:tc>
          <w:tcPr>
            <w:tcW w:w="465" w:type="pct"/>
            <w:vAlign w:val="center"/>
          </w:tcPr>
          <w:p w14:paraId="1842A458">
            <w:pPr>
              <w:pStyle w:val="12"/>
              <w:jc w:val="center"/>
              <w:rPr>
                <w:rFonts w:ascii="宋体" w:hAnsi="宋体"/>
              </w:rPr>
            </w:pPr>
            <w:r>
              <w:rPr>
                <w:rFonts w:ascii="宋体" w:hAnsi="宋体"/>
              </w:rPr>
              <w:t>6732</w:t>
            </w:r>
          </w:p>
        </w:tc>
        <w:tc>
          <w:tcPr>
            <w:tcW w:w="465" w:type="pct"/>
            <w:vAlign w:val="center"/>
          </w:tcPr>
          <w:p w14:paraId="56C23DB4">
            <w:pPr>
              <w:pStyle w:val="12"/>
              <w:jc w:val="center"/>
              <w:rPr>
                <w:rFonts w:ascii="宋体" w:hAnsi="宋体"/>
              </w:rPr>
            </w:pPr>
            <w:r>
              <w:rPr>
                <w:rFonts w:ascii="宋体" w:hAnsi="宋体"/>
              </w:rPr>
              <w:t>10383</w:t>
            </w:r>
          </w:p>
        </w:tc>
        <w:tc>
          <w:tcPr>
            <w:tcW w:w="564" w:type="pct"/>
            <w:vAlign w:val="center"/>
          </w:tcPr>
          <w:p w14:paraId="1A93E150">
            <w:pPr>
              <w:pStyle w:val="12"/>
              <w:jc w:val="center"/>
              <w:rPr>
                <w:rFonts w:ascii="宋体" w:hAnsi="宋体"/>
              </w:rPr>
            </w:pPr>
            <w:r>
              <w:rPr>
                <w:rFonts w:ascii="宋体" w:hAnsi="宋体"/>
              </w:rPr>
              <w:t>1984</w:t>
            </w:r>
          </w:p>
        </w:tc>
        <w:tc>
          <w:tcPr>
            <w:tcW w:w="484" w:type="pct"/>
            <w:vAlign w:val="center"/>
          </w:tcPr>
          <w:p w14:paraId="120AFF60">
            <w:pPr>
              <w:pStyle w:val="12"/>
              <w:jc w:val="center"/>
              <w:rPr>
                <w:rFonts w:ascii="宋体" w:hAnsi="宋体"/>
              </w:rPr>
            </w:pPr>
            <w:r>
              <w:rPr>
                <w:rFonts w:ascii="宋体" w:hAnsi="宋体"/>
              </w:rPr>
              <w:t>29024</w:t>
            </w:r>
          </w:p>
        </w:tc>
        <w:tc>
          <w:tcPr>
            <w:tcW w:w="485" w:type="pct"/>
            <w:vAlign w:val="center"/>
          </w:tcPr>
          <w:p w14:paraId="59147755">
            <w:pPr>
              <w:pStyle w:val="12"/>
              <w:jc w:val="center"/>
              <w:rPr>
                <w:rFonts w:ascii="宋体" w:hAnsi="宋体"/>
              </w:rPr>
            </w:pPr>
            <w:r>
              <w:rPr>
                <w:rFonts w:ascii="宋体" w:hAnsi="宋体"/>
              </w:rPr>
              <w:t>15175</w:t>
            </w:r>
          </w:p>
        </w:tc>
        <w:tc>
          <w:tcPr>
            <w:tcW w:w="484" w:type="pct"/>
            <w:vAlign w:val="center"/>
          </w:tcPr>
          <w:p w14:paraId="5E2E6915">
            <w:pPr>
              <w:pStyle w:val="12"/>
              <w:jc w:val="center"/>
              <w:rPr>
                <w:rFonts w:ascii="宋体" w:hAnsi="宋体"/>
              </w:rPr>
            </w:pPr>
            <w:r>
              <w:rPr>
                <w:rFonts w:ascii="宋体" w:hAnsi="宋体"/>
              </w:rPr>
              <w:t>15783</w:t>
            </w:r>
          </w:p>
        </w:tc>
        <w:tc>
          <w:tcPr>
            <w:tcW w:w="485" w:type="pct"/>
            <w:vAlign w:val="center"/>
          </w:tcPr>
          <w:p w14:paraId="76C56BC8">
            <w:pPr>
              <w:pStyle w:val="12"/>
              <w:jc w:val="center"/>
              <w:rPr>
                <w:rFonts w:ascii="宋体" w:hAnsi="宋体"/>
              </w:rPr>
            </w:pPr>
            <w:r>
              <w:rPr>
                <w:rFonts w:ascii="宋体" w:hAnsi="宋体"/>
              </w:rPr>
              <w:t>16058</w:t>
            </w:r>
          </w:p>
        </w:tc>
      </w:tr>
      <w:tr w14:paraId="38177F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8CF4A48">
            <w:pPr>
              <w:pStyle w:val="12"/>
              <w:jc w:val="center"/>
              <w:rPr>
                <w:rFonts w:ascii="宋体" w:hAnsi="宋体"/>
              </w:rPr>
            </w:pPr>
            <w:r>
              <w:rPr>
                <w:rFonts w:ascii="宋体" w:hAnsi="宋体"/>
              </w:rPr>
              <w:t>1979</w:t>
            </w:r>
          </w:p>
        </w:tc>
        <w:tc>
          <w:tcPr>
            <w:tcW w:w="465" w:type="pct"/>
            <w:vAlign w:val="center"/>
          </w:tcPr>
          <w:p w14:paraId="7EB37CE9">
            <w:pPr>
              <w:pStyle w:val="12"/>
              <w:jc w:val="center"/>
              <w:rPr>
                <w:rFonts w:ascii="宋体" w:hAnsi="宋体"/>
              </w:rPr>
            </w:pPr>
            <w:r>
              <w:rPr>
                <w:rFonts w:ascii="宋体" w:hAnsi="宋体"/>
              </w:rPr>
              <w:t>22027</w:t>
            </w:r>
          </w:p>
        </w:tc>
        <w:tc>
          <w:tcPr>
            <w:tcW w:w="465" w:type="pct"/>
            <w:vAlign w:val="center"/>
          </w:tcPr>
          <w:p w14:paraId="6E598244">
            <w:pPr>
              <w:pStyle w:val="12"/>
              <w:jc w:val="center"/>
              <w:rPr>
                <w:rFonts w:ascii="宋体" w:hAnsi="宋体"/>
              </w:rPr>
            </w:pPr>
            <w:r>
              <w:rPr>
                <w:rFonts w:ascii="宋体" w:hAnsi="宋体"/>
              </w:rPr>
              <w:t>14420</w:t>
            </w:r>
          </w:p>
        </w:tc>
        <w:tc>
          <w:tcPr>
            <w:tcW w:w="465" w:type="pct"/>
            <w:vAlign w:val="center"/>
          </w:tcPr>
          <w:p w14:paraId="3C40D287">
            <w:pPr>
              <w:pStyle w:val="12"/>
              <w:jc w:val="center"/>
              <w:rPr>
                <w:rFonts w:ascii="宋体" w:hAnsi="宋体"/>
              </w:rPr>
            </w:pPr>
            <w:r>
              <w:rPr>
                <w:rFonts w:ascii="宋体" w:hAnsi="宋体"/>
              </w:rPr>
              <w:t>1746</w:t>
            </w:r>
          </w:p>
        </w:tc>
        <w:tc>
          <w:tcPr>
            <w:tcW w:w="465" w:type="pct"/>
            <w:vAlign w:val="center"/>
          </w:tcPr>
          <w:p w14:paraId="58CEA59E">
            <w:pPr>
              <w:pStyle w:val="12"/>
              <w:jc w:val="center"/>
              <w:rPr>
                <w:rFonts w:ascii="宋体" w:hAnsi="宋体"/>
              </w:rPr>
            </w:pPr>
            <w:r>
              <w:rPr>
                <w:rFonts w:ascii="宋体" w:hAnsi="宋体"/>
              </w:rPr>
              <w:t>10298</w:t>
            </w:r>
          </w:p>
        </w:tc>
        <w:tc>
          <w:tcPr>
            <w:tcW w:w="564" w:type="pct"/>
            <w:vAlign w:val="center"/>
          </w:tcPr>
          <w:p w14:paraId="33541ED8">
            <w:pPr>
              <w:pStyle w:val="12"/>
              <w:jc w:val="center"/>
              <w:rPr>
                <w:rFonts w:ascii="宋体" w:hAnsi="宋体"/>
              </w:rPr>
            </w:pPr>
            <w:r>
              <w:rPr>
                <w:rFonts w:ascii="宋体" w:hAnsi="宋体"/>
              </w:rPr>
              <w:t>1985</w:t>
            </w:r>
          </w:p>
        </w:tc>
        <w:tc>
          <w:tcPr>
            <w:tcW w:w="484" w:type="pct"/>
            <w:vAlign w:val="center"/>
          </w:tcPr>
          <w:p w14:paraId="3DFAD02F">
            <w:pPr>
              <w:pStyle w:val="12"/>
              <w:jc w:val="center"/>
              <w:rPr>
                <w:rFonts w:ascii="宋体" w:hAnsi="宋体"/>
              </w:rPr>
            </w:pPr>
            <w:r>
              <w:rPr>
                <w:rFonts w:ascii="宋体" w:hAnsi="宋体"/>
              </w:rPr>
              <w:t>23572</w:t>
            </w:r>
          </w:p>
        </w:tc>
        <w:tc>
          <w:tcPr>
            <w:tcW w:w="485" w:type="pct"/>
            <w:vAlign w:val="center"/>
          </w:tcPr>
          <w:p w14:paraId="709AE9A8">
            <w:pPr>
              <w:pStyle w:val="12"/>
              <w:jc w:val="center"/>
              <w:rPr>
                <w:rFonts w:ascii="宋体" w:hAnsi="宋体"/>
              </w:rPr>
            </w:pPr>
            <w:r>
              <w:rPr>
                <w:rFonts w:ascii="宋体" w:hAnsi="宋体"/>
              </w:rPr>
              <w:t>11015</w:t>
            </w:r>
          </w:p>
        </w:tc>
        <w:tc>
          <w:tcPr>
            <w:tcW w:w="484" w:type="pct"/>
            <w:vAlign w:val="center"/>
          </w:tcPr>
          <w:p w14:paraId="61C96903">
            <w:pPr>
              <w:pStyle w:val="12"/>
              <w:jc w:val="center"/>
              <w:rPr>
                <w:rFonts w:ascii="宋体" w:hAnsi="宋体"/>
              </w:rPr>
            </w:pPr>
            <w:r>
              <w:rPr>
                <w:rFonts w:ascii="宋体" w:hAnsi="宋体"/>
              </w:rPr>
              <w:t>15504</w:t>
            </w:r>
          </w:p>
        </w:tc>
        <w:tc>
          <w:tcPr>
            <w:tcW w:w="485" w:type="pct"/>
            <w:vAlign w:val="center"/>
          </w:tcPr>
          <w:p w14:paraId="02064833">
            <w:pPr>
              <w:pStyle w:val="12"/>
              <w:jc w:val="center"/>
              <w:rPr>
                <w:rFonts w:ascii="宋体" w:hAnsi="宋体"/>
              </w:rPr>
            </w:pPr>
            <w:r>
              <w:rPr>
                <w:rFonts w:ascii="宋体" w:hAnsi="宋体"/>
              </w:rPr>
              <w:t>8808</w:t>
            </w:r>
          </w:p>
        </w:tc>
      </w:tr>
      <w:tr w14:paraId="05E7E0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0D1794B">
            <w:pPr>
              <w:pStyle w:val="12"/>
              <w:jc w:val="center"/>
              <w:rPr>
                <w:rFonts w:ascii="宋体" w:hAnsi="宋体"/>
              </w:rPr>
            </w:pPr>
            <w:r>
              <w:rPr>
                <w:rFonts w:ascii="宋体" w:hAnsi="宋体"/>
              </w:rPr>
              <w:t>1980</w:t>
            </w:r>
          </w:p>
        </w:tc>
        <w:tc>
          <w:tcPr>
            <w:tcW w:w="465" w:type="pct"/>
            <w:vAlign w:val="center"/>
          </w:tcPr>
          <w:p w14:paraId="02D40B93">
            <w:pPr>
              <w:pStyle w:val="12"/>
              <w:jc w:val="center"/>
              <w:rPr>
                <w:rFonts w:ascii="宋体" w:hAnsi="宋体"/>
              </w:rPr>
            </w:pPr>
            <w:r>
              <w:rPr>
                <w:rFonts w:ascii="宋体" w:hAnsi="宋体"/>
              </w:rPr>
              <w:t>27874</w:t>
            </w:r>
          </w:p>
        </w:tc>
        <w:tc>
          <w:tcPr>
            <w:tcW w:w="465" w:type="pct"/>
            <w:vAlign w:val="center"/>
          </w:tcPr>
          <w:p w14:paraId="5C689AD6">
            <w:pPr>
              <w:pStyle w:val="12"/>
              <w:jc w:val="center"/>
              <w:rPr>
                <w:rFonts w:ascii="宋体" w:hAnsi="宋体"/>
              </w:rPr>
            </w:pPr>
            <w:r>
              <w:rPr>
                <w:rFonts w:ascii="宋体" w:hAnsi="宋体"/>
              </w:rPr>
              <w:t>12775</w:t>
            </w:r>
          </w:p>
        </w:tc>
        <w:tc>
          <w:tcPr>
            <w:tcW w:w="465" w:type="pct"/>
            <w:vAlign w:val="center"/>
          </w:tcPr>
          <w:p w14:paraId="2D7E4A0B">
            <w:pPr>
              <w:pStyle w:val="12"/>
              <w:jc w:val="center"/>
              <w:rPr>
                <w:rFonts w:ascii="宋体" w:hAnsi="宋体"/>
              </w:rPr>
            </w:pPr>
            <w:r>
              <w:rPr>
                <w:rFonts w:ascii="宋体" w:hAnsi="宋体"/>
              </w:rPr>
              <w:t>8810</w:t>
            </w:r>
          </w:p>
        </w:tc>
        <w:tc>
          <w:tcPr>
            <w:tcW w:w="465" w:type="pct"/>
            <w:vAlign w:val="center"/>
          </w:tcPr>
          <w:p w14:paraId="47B86388">
            <w:pPr>
              <w:pStyle w:val="12"/>
              <w:jc w:val="center"/>
              <w:rPr>
                <w:rFonts w:ascii="宋体" w:hAnsi="宋体"/>
              </w:rPr>
            </w:pPr>
            <w:r>
              <w:rPr>
                <w:rFonts w:ascii="宋体" w:hAnsi="宋体"/>
              </w:rPr>
              <w:t>9157</w:t>
            </w:r>
          </w:p>
        </w:tc>
        <w:tc>
          <w:tcPr>
            <w:tcW w:w="564" w:type="pct"/>
            <w:vAlign w:val="center"/>
          </w:tcPr>
          <w:p w14:paraId="6E075E94">
            <w:pPr>
              <w:pStyle w:val="12"/>
              <w:jc w:val="center"/>
              <w:rPr>
                <w:rFonts w:ascii="宋体" w:hAnsi="宋体"/>
              </w:rPr>
            </w:pPr>
            <w:r>
              <w:rPr>
                <w:rFonts w:ascii="宋体" w:hAnsi="宋体"/>
              </w:rPr>
              <w:t>1986</w:t>
            </w:r>
          </w:p>
        </w:tc>
        <w:tc>
          <w:tcPr>
            <w:tcW w:w="484" w:type="pct"/>
            <w:vAlign w:val="center"/>
          </w:tcPr>
          <w:p w14:paraId="0A089B54">
            <w:pPr>
              <w:pStyle w:val="12"/>
              <w:jc w:val="center"/>
              <w:rPr>
                <w:rFonts w:ascii="宋体" w:hAnsi="宋体"/>
              </w:rPr>
            </w:pPr>
            <w:r>
              <w:rPr>
                <w:rFonts w:ascii="宋体" w:hAnsi="宋体"/>
              </w:rPr>
              <w:t>18063</w:t>
            </w:r>
          </w:p>
        </w:tc>
        <w:tc>
          <w:tcPr>
            <w:tcW w:w="485" w:type="pct"/>
            <w:vAlign w:val="center"/>
          </w:tcPr>
          <w:p w14:paraId="406DBE71">
            <w:pPr>
              <w:pStyle w:val="12"/>
              <w:jc w:val="center"/>
              <w:rPr>
                <w:rFonts w:ascii="宋体" w:hAnsi="宋体"/>
              </w:rPr>
            </w:pPr>
            <w:r>
              <w:rPr>
                <w:rFonts w:ascii="宋体" w:hAnsi="宋体"/>
              </w:rPr>
              <w:t>16494</w:t>
            </w:r>
          </w:p>
        </w:tc>
        <w:tc>
          <w:tcPr>
            <w:tcW w:w="484" w:type="pct"/>
            <w:vAlign w:val="center"/>
          </w:tcPr>
          <w:p w14:paraId="704BE2C2">
            <w:pPr>
              <w:pStyle w:val="12"/>
              <w:jc w:val="center"/>
              <w:rPr>
                <w:rFonts w:ascii="宋体" w:hAnsi="宋体"/>
              </w:rPr>
            </w:pPr>
            <w:r>
              <w:rPr>
                <w:rFonts w:ascii="宋体" w:hAnsi="宋体"/>
              </w:rPr>
              <w:t>3383</w:t>
            </w:r>
          </w:p>
        </w:tc>
        <w:tc>
          <w:tcPr>
            <w:tcW w:w="485" w:type="pct"/>
            <w:vAlign w:val="center"/>
          </w:tcPr>
          <w:p w14:paraId="37661A3B">
            <w:pPr>
              <w:pStyle w:val="12"/>
              <w:jc w:val="center"/>
              <w:rPr>
                <w:rFonts w:ascii="宋体" w:hAnsi="宋体"/>
              </w:rPr>
            </w:pPr>
            <w:r>
              <w:rPr>
                <w:rFonts w:ascii="宋体" w:hAnsi="宋体"/>
              </w:rPr>
              <w:t>6853</w:t>
            </w:r>
          </w:p>
        </w:tc>
      </w:tr>
      <w:tr w14:paraId="1001F0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3A238E5">
            <w:pPr>
              <w:pStyle w:val="12"/>
              <w:jc w:val="center"/>
              <w:rPr>
                <w:rFonts w:ascii="宋体" w:hAnsi="宋体"/>
              </w:rPr>
            </w:pPr>
            <w:r>
              <w:rPr>
                <w:rFonts w:ascii="宋体" w:hAnsi="宋体"/>
              </w:rPr>
              <w:t>1981</w:t>
            </w:r>
          </w:p>
        </w:tc>
        <w:tc>
          <w:tcPr>
            <w:tcW w:w="465" w:type="pct"/>
            <w:vAlign w:val="center"/>
          </w:tcPr>
          <w:p w14:paraId="6D8B1C9E">
            <w:pPr>
              <w:pStyle w:val="12"/>
              <w:jc w:val="center"/>
              <w:rPr>
                <w:rFonts w:ascii="宋体" w:hAnsi="宋体"/>
              </w:rPr>
            </w:pPr>
            <w:r>
              <w:rPr>
                <w:rFonts w:ascii="宋体" w:hAnsi="宋体"/>
              </w:rPr>
              <w:t>30954</w:t>
            </w:r>
          </w:p>
        </w:tc>
        <w:tc>
          <w:tcPr>
            <w:tcW w:w="465" w:type="pct"/>
            <w:vAlign w:val="center"/>
          </w:tcPr>
          <w:p w14:paraId="45122E9D">
            <w:pPr>
              <w:pStyle w:val="12"/>
              <w:jc w:val="center"/>
              <w:rPr>
                <w:rFonts w:ascii="宋体" w:hAnsi="宋体"/>
              </w:rPr>
            </w:pPr>
            <w:r>
              <w:rPr>
                <w:rFonts w:ascii="宋体" w:hAnsi="宋体"/>
              </w:rPr>
              <w:t>13395</w:t>
            </w:r>
          </w:p>
        </w:tc>
        <w:tc>
          <w:tcPr>
            <w:tcW w:w="465" w:type="pct"/>
            <w:vAlign w:val="center"/>
          </w:tcPr>
          <w:p w14:paraId="4D21FCF2">
            <w:pPr>
              <w:pStyle w:val="12"/>
              <w:jc w:val="center"/>
              <w:rPr>
                <w:rFonts w:ascii="宋体" w:hAnsi="宋体"/>
              </w:rPr>
            </w:pPr>
            <w:r>
              <w:rPr>
                <w:rFonts w:ascii="宋体" w:hAnsi="宋体"/>
              </w:rPr>
              <w:t>18892</w:t>
            </w:r>
          </w:p>
        </w:tc>
        <w:tc>
          <w:tcPr>
            <w:tcW w:w="465" w:type="pct"/>
            <w:vAlign w:val="center"/>
          </w:tcPr>
          <w:p w14:paraId="4BD6F3A2">
            <w:pPr>
              <w:pStyle w:val="12"/>
              <w:jc w:val="center"/>
              <w:rPr>
                <w:rFonts w:ascii="宋体" w:hAnsi="宋体"/>
              </w:rPr>
            </w:pPr>
            <w:r>
              <w:rPr>
                <w:rFonts w:ascii="宋体" w:hAnsi="宋体"/>
              </w:rPr>
              <w:t>12583</w:t>
            </w:r>
          </w:p>
        </w:tc>
        <w:tc>
          <w:tcPr>
            <w:tcW w:w="564" w:type="pct"/>
            <w:vAlign w:val="center"/>
          </w:tcPr>
          <w:p w14:paraId="09667361">
            <w:pPr>
              <w:pStyle w:val="12"/>
              <w:jc w:val="center"/>
              <w:rPr>
                <w:rFonts w:ascii="宋体" w:hAnsi="宋体"/>
              </w:rPr>
            </w:pPr>
            <w:r>
              <w:rPr>
                <w:rFonts w:ascii="宋体" w:hAnsi="宋体"/>
              </w:rPr>
              <w:t>1987</w:t>
            </w:r>
          </w:p>
        </w:tc>
        <w:tc>
          <w:tcPr>
            <w:tcW w:w="484" w:type="pct"/>
            <w:vAlign w:val="center"/>
          </w:tcPr>
          <w:p w14:paraId="45C03F43">
            <w:pPr>
              <w:pStyle w:val="12"/>
              <w:jc w:val="center"/>
              <w:rPr>
                <w:rFonts w:ascii="宋体" w:hAnsi="宋体"/>
              </w:rPr>
            </w:pPr>
            <w:r>
              <w:rPr>
                <w:rFonts w:ascii="宋体" w:hAnsi="宋体"/>
              </w:rPr>
              <w:t>23935</w:t>
            </w:r>
          </w:p>
        </w:tc>
        <w:tc>
          <w:tcPr>
            <w:tcW w:w="485" w:type="pct"/>
            <w:vAlign w:val="center"/>
          </w:tcPr>
          <w:p w14:paraId="56ED5810">
            <w:pPr>
              <w:pStyle w:val="12"/>
              <w:jc w:val="center"/>
              <w:rPr>
                <w:rFonts w:ascii="宋体" w:hAnsi="宋体"/>
              </w:rPr>
            </w:pPr>
            <w:r>
              <w:rPr>
                <w:rFonts w:ascii="宋体" w:hAnsi="宋体"/>
              </w:rPr>
              <w:t>14523</w:t>
            </w:r>
          </w:p>
        </w:tc>
        <w:tc>
          <w:tcPr>
            <w:tcW w:w="484" w:type="pct"/>
            <w:vAlign w:val="center"/>
          </w:tcPr>
          <w:p w14:paraId="4F11EAAF">
            <w:pPr>
              <w:pStyle w:val="12"/>
              <w:jc w:val="center"/>
              <w:rPr>
                <w:rFonts w:ascii="宋体" w:hAnsi="宋体"/>
              </w:rPr>
            </w:pPr>
            <w:r>
              <w:rPr>
                <w:rFonts w:ascii="宋体" w:hAnsi="宋体"/>
              </w:rPr>
              <w:t>1527</w:t>
            </w:r>
          </w:p>
        </w:tc>
        <w:tc>
          <w:tcPr>
            <w:tcW w:w="485" w:type="pct"/>
            <w:vAlign w:val="center"/>
          </w:tcPr>
          <w:p w14:paraId="52C5D39C">
            <w:pPr>
              <w:pStyle w:val="12"/>
              <w:jc w:val="center"/>
              <w:rPr>
                <w:rFonts w:ascii="宋体" w:hAnsi="宋体"/>
              </w:rPr>
            </w:pPr>
            <w:r>
              <w:rPr>
                <w:rFonts w:ascii="宋体" w:hAnsi="宋体"/>
              </w:rPr>
              <w:t>10057</w:t>
            </w:r>
          </w:p>
        </w:tc>
      </w:tr>
      <w:tr w14:paraId="60C59B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D5DC12E">
            <w:pPr>
              <w:pStyle w:val="12"/>
              <w:jc w:val="center"/>
              <w:rPr>
                <w:rFonts w:ascii="宋体" w:hAnsi="宋体"/>
              </w:rPr>
            </w:pPr>
            <w:r>
              <w:rPr>
                <w:rFonts w:ascii="宋体" w:hAnsi="宋体"/>
              </w:rPr>
              <w:t>1982</w:t>
            </w:r>
          </w:p>
        </w:tc>
        <w:tc>
          <w:tcPr>
            <w:tcW w:w="465" w:type="pct"/>
            <w:vAlign w:val="center"/>
          </w:tcPr>
          <w:p w14:paraId="28C0F60F">
            <w:pPr>
              <w:pStyle w:val="12"/>
              <w:jc w:val="center"/>
              <w:rPr>
                <w:rFonts w:ascii="宋体" w:hAnsi="宋体"/>
              </w:rPr>
            </w:pPr>
            <w:r>
              <w:rPr>
                <w:rFonts w:ascii="宋体" w:hAnsi="宋体"/>
              </w:rPr>
              <w:t>37388</w:t>
            </w:r>
          </w:p>
        </w:tc>
        <w:tc>
          <w:tcPr>
            <w:tcW w:w="465" w:type="pct"/>
            <w:vAlign w:val="center"/>
          </w:tcPr>
          <w:p w14:paraId="239CBF76">
            <w:pPr>
              <w:pStyle w:val="12"/>
              <w:jc w:val="center"/>
              <w:rPr>
                <w:rFonts w:ascii="宋体" w:hAnsi="宋体"/>
              </w:rPr>
            </w:pPr>
            <w:r>
              <w:rPr>
                <w:rFonts w:ascii="宋体" w:hAnsi="宋体"/>
              </w:rPr>
              <w:t>15515</w:t>
            </w:r>
          </w:p>
        </w:tc>
        <w:tc>
          <w:tcPr>
            <w:tcW w:w="465" w:type="pct"/>
            <w:vAlign w:val="center"/>
          </w:tcPr>
          <w:p w14:paraId="2AB709C2">
            <w:pPr>
              <w:pStyle w:val="12"/>
              <w:jc w:val="center"/>
              <w:rPr>
                <w:rFonts w:ascii="宋体" w:hAnsi="宋体"/>
              </w:rPr>
            </w:pPr>
            <w:r>
              <w:rPr>
                <w:rFonts w:ascii="宋体" w:hAnsi="宋体"/>
              </w:rPr>
              <w:t>15756</w:t>
            </w:r>
          </w:p>
        </w:tc>
        <w:tc>
          <w:tcPr>
            <w:tcW w:w="465" w:type="pct"/>
            <w:vAlign w:val="center"/>
          </w:tcPr>
          <w:p w14:paraId="25C0C89B">
            <w:pPr>
              <w:pStyle w:val="12"/>
              <w:jc w:val="center"/>
              <w:rPr>
                <w:rFonts w:ascii="宋体" w:hAnsi="宋体"/>
              </w:rPr>
            </w:pPr>
            <w:r>
              <w:rPr>
                <w:rFonts w:ascii="宋体" w:hAnsi="宋体"/>
              </w:rPr>
              <w:t>14211</w:t>
            </w:r>
          </w:p>
        </w:tc>
        <w:tc>
          <w:tcPr>
            <w:tcW w:w="564" w:type="pct"/>
            <w:vAlign w:val="center"/>
          </w:tcPr>
          <w:p w14:paraId="72BE97B5">
            <w:pPr>
              <w:pStyle w:val="12"/>
              <w:jc w:val="center"/>
              <w:rPr>
                <w:rFonts w:ascii="宋体" w:hAnsi="宋体"/>
              </w:rPr>
            </w:pPr>
            <w:r>
              <w:rPr>
                <w:rFonts w:ascii="宋体" w:hAnsi="宋体"/>
              </w:rPr>
              <w:t>1988</w:t>
            </w:r>
          </w:p>
        </w:tc>
        <w:tc>
          <w:tcPr>
            <w:tcW w:w="484" w:type="pct"/>
            <w:vAlign w:val="center"/>
          </w:tcPr>
          <w:p w14:paraId="01309F49">
            <w:pPr>
              <w:pStyle w:val="12"/>
              <w:jc w:val="center"/>
              <w:rPr>
                <w:rFonts w:ascii="宋体" w:hAnsi="宋体"/>
              </w:rPr>
            </w:pPr>
            <w:r>
              <w:rPr>
                <w:rFonts w:ascii="宋体" w:hAnsi="宋体"/>
              </w:rPr>
              <w:t>24738</w:t>
            </w:r>
          </w:p>
        </w:tc>
        <w:tc>
          <w:tcPr>
            <w:tcW w:w="485" w:type="pct"/>
            <w:vAlign w:val="center"/>
          </w:tcPr>
          <w:p w14:paraId="14899549">
            <w:pPr>
              <w:pStyle w:val="12"/>
              <w:jc w:val="center"/>
              <w:rPr>
                <w:rFonts w:ascii="宋体" w:hAnsi="宋体"/>
              </w:rPr>
            </w:pPr>
            <w:r>
              <w:rPr>
                <w:rFonts w:ascii="宋体" w:hAnsi="宋体"/>
              </w:rPr>
              <w:t>14780</w:t>
            </w:r>
          </w:p>
        </w:tc>
        <w:tc>
          <w:tcPr>
            <w:tcW w:w="484" w:type="pct"/>
            <w:vAlign w:val="center"/>
          </w:tcPr>
          <w:p w14:paraId="4FD31EDE">
            <w:pPr>
              <w:pStyle w:val="12"/>
              <w:jc w:val="center"/>
              <w:rPr>
                <w:rFonts w:ascii="宋体" w:hAnsi="宋体"/>
              </w:rPr>
            </w:pPr>
            <w:r>
              <w:rPr>
                <w:rFonts w:ascii="宋体" w:hAnsi="宋体"/>
              </w:rPr>
              <w:t>1402</w:t>
            </w:r>
          </w:p>
        </w:tc>
        <w:tc>
          <w:tcPr>
            <w:tcW w:w="485" w:type="pct"/>
            <w:vAlign w:val="center"/>
          </w:tcPr>
          <w:p w14:paraId="47E6C3A3">
            <w:pPr>
              <w:pStyle w:val="12"/>
              <w:jc w:val="center"/>
              <w:rPr>
                <w:rFonts w:ascii="宋体" w:hAnsi="宋体"/>
              </w:rPr>
            </w:pPr>
            <w:r>
              <w:rPr>
                <w:rFonts w:ascii="宋体" w:hAnsi="宋体"/>
              </w:rPr>
              <w:t>8102</w:t>
            </w:r>
          </w:p>
        </w:tc>
      </w:tr>
      <w:tr w14:paraId="1EDC4D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46B5813">
            <w:pPr>
              <w:pStyle w:val="12"/>
              <w:jc w:val="center"/>
              <w:rPr>
                <w:rFonts w:ascii="宋体" w:hAnsi="宋体"/>
              </w:rPr>
            </w:pPr>
            <w:r>
              <w:rPr>
                <w:rFonts w:ascii="宋体" w:hAnsi="宋体"/>
              </w:rPr>
              <w:t>1983</w:t>
            </w:r>
          </w:p>
        </w:tc>
        <w:tc>
          <w:tcPr>
            <w:tcW w:w="465" w:type="pct"/>
            <w:vAlign w:val="center"/>
          </w:tcPr>
          <w:p w14:paraId="71086CF4">
            <w:pPr>
              <w:pStyle w:val="12"/>
              <w:jc w:val="center"/>
              <w:rPr>
                <w:rFonts w:ascii="宋体" w:hAnsi="宋体"/>
              </w:rPr>
            </w:pPr>
            <w:r>
              <w:rPr>
                <w:rFonts w:ascii="宋体" w:hAnsi="宋体"/>
              </w:rPr>
              <w:t>36168</w:t>
            </w:r>
          </w:p>
        </w:tc>
        <w:tc>
          <w:tcPr>
            <w:tcW w:w="465" w:type="pct"/>
            <w:vAlign w:val="center"/>
          </w:tcPr>
          <w:p w14:paraId="784F29E4">
            <w:pPr>
              <w:pStyle w:val="12"/>
              <w:jc w:val="center"/>
              <w:rPr>
                <w:rFonts w:ascii="宋体" w:hAnsi="宋体"/>
              </w:rPr>
            </w:pPr>
            <w:r>
              <w:rPr>
                <w:rFonts w:ascii="宋体" w:hAnsi="宋体"/>
              </w:rPr>
              <w:t>14015</w:t>
            </w:r>
          </w:p>
        </w:tc>
        <w:tc>
          <w:tcPr>
            <w:tcW w:w="465" w:type="pct"/>
            <w:vAlign w:val="center"/>
          </w:tcPr>
          <w:p w14:paraId="019D5147">
            <w:pPr>
              <w:pStyle w:val="12"/>
              <w:jc w:val="center"/>
              <w:rPr>
                <w:rFonts w:ascii="宋体" w:hAnsi="宋体"/>
              </w:rPr>
            </w:pPr>
            <w:r>
              <w:rPr>
                <w:rFonts w:ascii="宋体" w:hAnsi="宋体"/>
              </w:rPr>
              <w:t>15244</w:t>
            </w:r>
          </w:p>
        </w:tc>
        <w:tc>
          <w:tcPr>
            <w:tcW w:w="465" w:type="pct"/>
            <w:vAlign w:val="center"/>
          </w:tcPr>
          <w:p w14:paraId="228F26AF">
            <w:pPr>
              <w:pStyle w:val="12"/>
              <w:jc w:val="center"/>
              <w:rPr>
                <w:rFonts w:ascii="宋体" w:hAnsi="宋体"/>
              </w:rPr>
            </w:pPr>
            <w:r>
              <w:rPr>
                <w:rFonts w:ascii="宋体" w:hAnsi="宋体"/>
              </w:rPr>
              <w:t>20146</w:t>
            </w:r>
          </w:p>
        </w:tc>
        <w:tc>
          <w:tcPr>
            <w:tcW w:w="564" w:type="pct"/>
            <w:vAlign w:val="center"/>
          </w:tcPr>
          <w:p w14:paraId="3BA907C4">
            <w:pPr>
              <w:pStyle w:val="12"/>
              <w:jc w:val="center"/>
              <w:rPr>
                <w:rFonts w:ascii="宋体" w:hAnsi="宋体"/>
              </w:rPr>
            </w:pPr>
            <w:r>
              <w:rPr>
                <w:rFonts w:ascii="宋体" w:hAnsi="宋体"/>
              </w:rPr>
              <w:t>1989</w:t>
            </w:r>
          </w:p>
        </w:tc>
        <w:tc>
          <w:tcPr>
            <w:tcW w:w="484" w:type="pct"/>
            <w:vAlign w:val="center"/>
          </w:tcPr>
          <w:p w14:paraId="69A3F709">
            <w:pPr>
              <w:pStyle w:val="12"/>
              <w:jc w:val="center"/>
              <w:rPr>
                <w:rFonts w:ascii="宋体" w:hAnsi="宋体"/>
              </w:rPr>
            </w:pPr>
            <w:r>
              <w:rPr>
                <w:rFonts w:ascii="宋体" w:hAnsi="宋体"/>
              </w:rPr>
              <w:t>25390</w:t>
            </w:r>
          </w:p>
        </w:tc>
        <w:tc>
          <w:tcPr>
            <w:tcW w:w="485" w:type="pct"/>
            <w:vAlign w:val="center"/>
          </w:tcPr>
          <w:p w14:paraId="391E9956">
            <w:pPr>
              <w:pStyle w:val="12"/>
              <w:jc w:val="center"/>
              <w:rPr>
                <w:rFonts w:ascii="宋体" w:hAnsi="宋体"/>
              </w:rPr>
            </w:pPr>
            <w:r>
              <w:rPr>
                <w:rFonts w:ascii="宋体" w:hAnsi="宋体"/>
              </w:rPr>
              <w:t>13890</w:t>
            </w:r>
          </w:p>
        </w:tc>
        <w:tc>
          <w:tcPr>
            <w:tcW w:w="484" w:type="pct"/>
            <w:vAlign w:val="center"/>
          </w:tcPr>
          <w:p w14:paraId="5D91B124">
            <w:pPr>
              <w:pStyle w:val="12"/>
              <w:jc w:val="center"/>
              <w:rPr>
                <w:rFonts w:ascii="宋体" w:hAnsi="宋体"/>
              </w:rPr>
            </w:pPr>
            <w:r>
              <w:rPr>
                <w:rFonts w:ascii="宋体" w:hAnsi="宋体"/>
              </w:rPr>
              <w:t>1733</w:t>
            </w:r>
          </w:p>
        </w:tc>
        <w:tc>
          <w:tcPr>
            <w:tcW w:w="485" w:type="pct"/>
            <w:vAlign w:val="center"/>
          </w:tcPr>
          <w:p w14:paraId="71A7F1E0">
            <w:pPr>
              <w:pStyle w:val="12"/>
              <w:jc w:val="center"/>
              <w:rPr>
                <w:rFonts w:ascii="宋体" w:hAnsi="宋体"/>
              </w:rPr>
            </w:pPr>
            <w:r>
              <w:rPr>
                <w:rFonts w:ascii="宋体" w:hAnsi="宋体"/>
              </w:rPr>
              <w:t>15498</w:t>
            </w:r>
          </w:p>
        </w:tc>
      </w:tr>
      <w:tr w14:paraId="02FF6C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C502577">
            <w:pPr>
              <w:pStyle w:val="12"/>
              <w:jc w:val="center"/>
              <w:rPr>
                <w:rFonts w:ascii="宋体" w:hAnsi="宋体"/>
              </w:rPr>
            </w:pPr>
            <w:r>
              <w:rPr>
                <w:rFonts w:ascii="宋体" w:hAnsi="宋体"/>
              </w:rPr>
              <w:t>1990</w:t>
            </w:r>
          </w:p>
        </w:tc>
        <w:tc>
          <w:tcPr>
            <w:tcW w:w="465" w:type="pct"/>
            <w:vAlign w:val="center"/>
          </w:tcPr>
          <w:p w14:paraId="0B418C62">
            <w:pPr>
              <w:pStyle w:val="12"/>
              <w:jc w:val="center"/>
              <w:rPr>
                <w:rFonts w:ascii="宋体" w:hAnsi="宋体"/>
              </w:rPr>
            </w:pPr>
            <w:r>
              <w:rPr>
                <w:rFonts w:ascii="宋体" w:hAnsi="宋体"/>
              </w:rPr>
              <w:t>34711</w:t>
            </w:r>
          </w:p>
        </w:tc>
        <w:tc>
          <w:tcPr>
            <w:tcW w:w="465" w:type="pct"/>
            <w:vAlign w:val="center"/>
          </w:tcPr>
          <w:p w14:paraId="61E76789">
            <w:pPr>
              <w:pStyle w:val="12"/>
              <w:jc w:val="center"/>
              <w:rPr>
                <w:rFonts w:ascii="宋体" w:hAnsi="宋体"/>
              </w:rPr>
            </w:pPr>
            <w:r>
              <w:rPr>
                <w:rFonts w:ascii="宋体" w:hAnsi="宋体"/>
              </w:rPr>
              <w:t>14420</w:t>
            </w:r>
          </w:p>
        </w:tc>
        <w:tc>
          <w:tcPr>
            <w:tcW w:w="465" w:type="pct"/>
            <w:vAlign w:val="center"/>
          </w:tcPr>
          <w:p w14:paraId="41FAE86E">
            <w:pPr>
              <w:pStyle w:val="12"/>
              <w:jc w:val="center"/>
              <w:rPr>
                <w:rFonts w:ascii="宋体" w:hAnsi="宋体"/>
              </w:rPr>
            </w:pPr>
            <w:r>
              <w:rPr>
                <w:rFonts w:ascii="宋体" w:hAnsi="宋体"/>
              </w:rPr>
              <w:t>15047</w:t>
            </w:r>
          </w:p>
        </w:tc>
        <w:tc>
          <w:tcPr>
            <w:tcW w:w="465" w:type="pct"/>
            <w:vAlign w:val="center"/>
          </w:tcPr>
          <w:p w14:paraId="0387BED2">
            <w:pPr>
              <w:pStyle w:val="12"/>
              <w:jc w:val="center"/>
              <w:rPr>
                <w:rFonts w:ascii="宋体" w:hAnsi="宋体"/>
              </w:rPr>
            </w:pPr>
            <w:r>
              <w:rPr>
                <w:rFonts w:ascii="宋体" w:hAnsi="宋体"/>
              </w:rPr>
              <w:t>18497</w:t>
            </w:r>
          </w:p>
        </w:tc>
        <w:tc>
          <w:tcPr>
            <w:tcW w:w="564" w:type="pct"/>
            <w:vAlign w:val="center"/>
          </w:tcPr>
          <w:p w14:paraId="7C72A253">
            <w:pPr>
              <w:pStyle w:val="12"/>
              <w:jc w:val="center"/>
              <w:rPr>
                <w:rFonts w:ascii="宋体" w:hAnsi="宋体"/>
              </w:rPr>
            </w:pPr>
            <w:r>
              <w:rPr>
                <w:rFonts w:ascii="宋体" w:hAnsi="宋体"/>
              </w:rPr>
              <w:t>1996</w:t>
            </w:r>
          </w:p>
        </w:tc>
        <w:tc>
          <w:tcPr>
            <w:tcW w:w="484" w:type="pct"/>
            <w:vAlign w:val="center"/>
          </w:tcPr>
          <w:p w14:paraId="5A3A479B">
            <w:pPr>
              <w:pStyle w:val="12"/>
              <w:jc w:val="center"/>
              <w:rPr>
                <w:rFonts w:ascii="宋体" w:hAnsi="宋体"/>
              </w:rPr>
            </w:pPr>
            <w:r>
              <w:rPr>
                <w:rFonts w:ascii="宋体" w:hAnsi="宋体"/>
              </w:rPr>
              <w:t>26672</w:t>
            </w:r>
          </w:p>
        </w:tc>
        <w:tc>
          <w:tcPr>
            <w:tcW w:w="485" w:type="pct"/>
            <w:vAlign w:val="center"/>
          </w:tcPr>
          <w:p w14:paraId="5A09540A">
            <w:pPr>
              <w:pStyle w:val="12"/>
              <w:jc w:val="center"/>
              <w:rPr>
                <w:rFonts w:ascii="宋体" w:hAnsi="宋体"/>
              </w:rPr>
            </w:pPr>
            <w:r>
              <w:rPr>
                <w:rFonts w:ascii="宋体" w:hAnsi="宋体"/>
              </w:rPr>
              <w:t>34593</w:t>
            </w:r>
          </w:p>
        </w:tc>
        <w:tc>
          <w:tcPr>
            <w:tcW w:w="484" w:type="pct"/>
            <w:vAlign w:val="center"/>
          </w:tcPr>
          <w:p w14:paraId="20578B80">
            <w:pPr>
              <w:pStyle w:val="12"/>
              <w:jc w:val="center"/>
              <w:rPr>
                <w:rFonts w:ascii="宋体" w:hAnsi="宋体"/>
              </w:rPr>
            </w:pPr>
            <w:r>
              <w:rPr>
                <w:rFonts w:ascii="宋体" w:hAnsi="宋体"/>
              </w:rPr>
              <w:t>—</w:t>
            </w:r>
          </w:p>
        </w:tc>
        <w:tc>
          <w:tcPr>
            <w:tcW w:w="485" w:type="pct"/>
            <w:vAlign w:val="center"/>
          </w:tcPr>
          <w:p w14:paraId="28CB2D24">
            <w:pPr>
              <w:pStyle w:val="12"/>
              <w:jc w:val="center"/>
              <w:rPr>
                <w:rFonts w:ascii="宋体" w:hAnsi="宋体"/>
              </w:rPr>
            </w:pPr>
            <w:r>
              <w:rPr>
                <w:rFonts w:ascii="宋体" w:hAnsi="宋体"/>
              </w:rPr>
              <w:t>1603</w:t>
            </w:r>
          </w:p>
        </w:tc>
      </w:tr>
      <w:tr w14:paraId="1EDCDF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0161EF5">
            <w:pPr>
              <w:pStyle w:val="12"/>
              <w:jc w:val="center"/>
              <w:rPr>
                <w:rFonts w:ascii="宋体" w:hAnsi="宋体"/>
              </w:rPr>
            </w:pPr>
            <w:r>
              <w:rPr>
                <w:rFonts w:ascii="宋体" w:hAnsi="宋体"/>
              </w:rPr>
              <w:t>1991</w:t>
            </w:r>
          </w:p>
        </w:tc>
        <w:tc>
          <w:tcPr>
            <w:tcW w:w="465" w:type="pct"/>
            <w:vAlign w:val="center"/>
          </w:tcPr>
          <w:p w14:paraId="507250BC">
            <w:pPr>
              <w:pStyle w:val="12"/>
              <w:jc w:val="center"/>
              <w:rPr>
                <w:rFonts w:ascii="宋体" w:hAnsi="宋体"/>
              </w:rPr>
            </w:pPr>
            <w:r>
              <w:rPr>
                <w:rFonts w:ascii="宋体" w:hAnsi="宋体"/>
              </w:rPr>
              <w:t>18461</w:t>
            </w:r>
          </w:p>
        </w:tc>
        <w:tc>
          <w:tcPr>
            <w:tcW w:w="465" w:type="pct"/>
            <w:vAlign w:val="center"/>
          </w:tcPr>
          <w:p w14:paraId="58D1E16A">
            <w:pPr>
              <w:pStyle w:val="12"/>
              <w:jc w:val="center"/>
              <w:rPr>
                <w:rFonts w:ascii="宋体" w:hAnsi="宋体"/>
              </w:rPr>
            </w:pPr>
            <w:r>
              <w:rPr>
                <w:rFonts w:ascii="宋体" w:hAnsi="宋体"/>
              </w:rPr>
              <w:t>11895</w:t>
            </w:r>
          </w:p>
        </w:tc>
        <w:tc>
          <w:tcPr>
            <w:tcW w:w="465" w:type="pct"/>
            <w:vAlign w:val="center"/>
          </w:tcPr>
          <w:p w14:paraId="692CDAAB">
            <w:pPr>
              <w:pStyle w:val="12"/>
              <w:jc w:val="center"/>
              <w:rPr>
                <w:rFonts w:ascii="宋体" w:hAnsi="宋体"/>
              </w:rPr>
            </w:pPr>
            <w:r>
              <w:rPr>
                <w:rFonts w:ascii="宋体" w:hAnsi="宋体"/>
              </w:rPr>
              <w:t>9230</w:t>
            </w:r>
          </w:p>
        </w:tc>
        <w:tc>
          <w:tcPr>
            <w:tcW w:w="465" w:type="pct"/>
            <w:vAlign w:val="center"/>
          </w:tcPr>
          <w:p w14:paraId="2EF6AEA3">
            <w:pPr>
              <w:pStyle w:val="12"/>
              <w:jc w:val="center"/>
              <w:rPr>
                <w:rFonts w:ascii="宋体" w:hAnsi="宋体"/>
              </w:rPr>
            </w:pPr>
            <w:r>
              <w:rPr>
                <w:rFonts w:ascii="宋体" w:hAnsi="宋体"/>
              </w:rPr>
              <w:t>5874</w:t>
            </w:r>
          </w:p>
        </w:tc>
        <w:tc>
          <w:tcPr>
            <w:tcW w:w="564" w:type="pct"/>
            <w:vAlign w:val="center"/>
          </w:tcPr>
          <w:p w14:paraId="06D0B9EC">
            <w:pPr>
              <w:pStyle w:val="12"/>
              <w:jc w:val="center"/>
              <w:rPr>
                <w:rFonts w:ascii="宋体" w:hAnsi="宋体"/>
              </w:rPr>
            </w:pPr>
            <w:r>
              <w:rPr>
                <w:rFonts w:ascii="宋体" w:hAnsi="宋体"/>
              </w:rPr>
              <w:t>1997</w:t>
            </w:r>
          </w:p>
        </w:tc>
        <w:tc>
          <w:tcPr>
            <w:tcW w:w="484" w:type="pct"/>
            <w:vAlign w:val="center"/>
          </w:tcPr>
          <w:p w14:paraId="305AC996">
            <w:pPr>
              <w:pStyle w:val="12"/>
              <w:jc w:val="center"/>
              <w:rPr>
                <w:rFonts w:ascii="宋体" w:hAnsi="宋体"/>
              </w:rPr>
            </w:pPr>
            <w:r>
              <w:rPr>
                <w:rFonts w:ascii="宋体" w:hAnsi="宋体"/>
              </w:rPr>
              <w:t>30625</w:t>
            </w:r>
          </w:p>
        </w:tc>
        <w:tc>
          <w:tcPr>
            <w:tcW w:w="485" w:type="pct"/>
            <w:vAlign w:val="center"/>
          </w:tcPr>
          <w:p w14:paraId="10D73B72">
            <w:pPr>
              <w:pStyle w:val="12"/>
              <w:jc w:val="center"/>
              <w:rPr>
                <w:rFonts w:ascii="宋体" w:hAnsi="宋体"/>
              </w:rPr>
            </w:pPr>
            <w:r>
              <w:rPr>
                <w:rFonts w:ascii="宋体" w:hAnsi="宋体"/>
              </w:rPr>
              <w:t>17565</w:t>
            </w:r>
          </w:p>
        </w:tc>
        <w:tc>
          <w:tcPr>
            <w:tcW w:w="484" w:type="pct"/>
            <w:vAlign w:val="center"/>
          </w:tcPr>
          <w:p w14:paraId="536C4E20">
            <w:pPr>
              <w:pStyle w:val="12"/>
              <w:jc w:val="center"/>
              <w:rPr>
                <w:rFonts w:ascii="宋体" w:hAnsi="宋体"/>
              </w:rPr>
            </w:pPr>
            <w:r>
              <w:rPr>
                <w:rFonts w:ascii="宋体" w:hAnsi="宋体"/>
              </w:rPr>
              <w:t>—</w:t>
            </w:r>
          </w:p>
        </w:tc>
        <w:tc>
          <w:tcPr>
            <w:tcW w:w="485" w:type="pct"/>
            <w:vAlign w:val="center"/>
          </w:tcPr>
          <w:p w14:paraId="48E4FA68">
            <w:pPr>
              <w:pStyle w:val="12"/>
              <w:jc w:val="center"/>
              <w:rPr>
                <w:rFonts w:ascii="宋体" w:hAnsi="宋体"/>
              </w:rPr>
            </w:pPr>
            <w:r>
              <w:rPr>
                <w:rFonts w:ascii="宋体" w:hAnsi="宋体"/>
              </w:rPr>
              <w:t>12865</w:t>
            </w:r>
          </w:p>
        </w:tc>
      </w:tr>
      <w:tr w14:paraId="519FF9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8E66094">
            <w:pPr>
              <w:pStyle w:val="12"/>
              <w:jc w:val="center"/>
              <w:rPr>
                <w:rFonts w:ascii="宋体" w:hAnsi="宋体"/>
              </w:rPr>
            </w:pPr>
            <w:r>
              <w:rPr>
                <w:rFonts w:ascii="宋体" w:hAnsi="宋体"/>
              </w:rPr>
              <w:t>1992</w:t>
            </w:r>
          </w:p>
        </w:tc>
        <w:tc>
          <w:tcPr>
            <w:tcW w:w="465" w:type="pct"/>
            <w:vAlign w:val="center"/>
          </w:tcPr>
          <w:p w14:paraId="7F7B698B">
            <w:pPr>
              <w:pStyle w:val="12"/>
              <w:jc w:val="center"/>
              <w:rPr>
                <w:rFonts w:ascii="宋体" w:hAnsi="宋体"/>
              </w:rPr>
            </w:pPr>
            <w:r>
              <w:rPr>
                <w:rFonts w:ascii="宋体" w:hAnsi="宋体"/>
              </w:rPr>
              <w:t>21230</w:t>
            </w:r>
          </w:p>
        </w:tc>
        <w:tc>
          <w:tcPr>
            <w:tcW w:w="465" w:type="pct"/>
            <w:vAlign w:val="center"/>
          </w:tcPr>
          <w:p w14:paraId="6D0743C5">
            <w:pPr>
              <w:pStyle w:val="12"/>
              <w:jc w:val="center"/>
              <w:rPr>
                <w:rFonts w:ascii="宋体" w:hAnsi="宋体"/>
              </w:rPr>
            </w:pPr>
            <w:r>
              <w:rPr>
                <w:rFonts w:ascii="宋体" w:hAnsi="宋体"/>
              </w:rPr>
              <w:t>16654</w:t>
            </w:r>
          </w:p>
        </w:tc>
        <w:tc>
          <w:tcPr>
            <w:tcW w:w="465" w:type="pct"/>
            <w:vAlign w:val="center"/>
          </w:tcPr>
          <w:p w14:paraId="22E0D513">
            <w:pPr>
              <w:pStyle w:val="12"/>
              <w:jc w:val="center"/>
              <w:rPr>
                <w:rFonts w:ascii="宋体" w:hAnsi="宋体"/>
              </w:rPr>
            </w:pPr>
            <w:r>
              <w:rPr>
                <w:rFonts w:ascii="宋体" w:hAnsi="宋体"/>
              </w:rPr>
              <w:t>—</w:t>
            </w:r>
          </w:p>
        </w:tc>
        <w:tc>
          <w:tcPr>
            <w:tcW w:w="465" w:type="pct"/>
            <w:vAlign w:val="center"/>
          </w:tcPr>
          <w:p w14:paraId="53FB68C1">
            <w:pPr>
              <w:pStyle w:val="12"/>
              <w:jc w:val="center"/>
              <w:rPr>
                <w:rFonts w:ascii="宋体" w:hAnsi="宋体"/>
              </w:rPr>
            </w:pPr>
            <w:r>
              <w:rPr>
                <w:rFonts w:ascii="宋体" w:hAnsi="宋体"/>
              </w:rPr>
              <w:t>11417</w:t>
            </w:r>
          </w:p>
        </w:tc>
        <w:tc>
          <w:tcPr>
            <w:tcW w:w="564" w:type="pct"/>
            <w:vAlign w:val="center"/>
          </w:tcPr>
          <w:p w14:paraId="78FA8EE4">
            <w:pPr>
              <w:pStyle w:val="12"/>
              <w:jc w:val="center"/>
              <w:rPr>
                <w:rFonts w:ascii="宋体" w:hAnsi="宋体"/>
              </w:rPr>
            </w:pPr>
            <w:r>
              <w:rPr>
                <w:rFonts w:ascii="宋体" w:hAnsi="宋体"/>
              </w:rPr>
              <w:t>1998</w:t>
            </w:r>
          </w:p>
        </w:tc>
        <w:tc>
          <w:tcPr>
            <w:tcW w:w="484" w:type="pct"/>
            <w:vAlign w:val="center"/>
          </w:tcPr>
          <w:p w14:paraId="5D1047CA">
            <w:pPr>
              <w:pStyle w:val="12"/>
              <w:jc w:val="center"/>
              <w:rPr>
                <w:rFonts w:ascii="宋体" w:hAnsi="宋体"/>
              </w:rPr>
            </w:pPr>
            <w:r>
              <w:rPr>
                <w:rFonts w:ascii="宋体" w:hAnsi="宋体"/>
              </w:rPr>
              <w:t>32740</w:t>
            </w:r>
          </w:p>
        </w:tc>
        <w:tc>
          <w:tcPr>
            <w:tcW w:w="485" w:type="pct"/>
            <w:vAlign w:val="center"/>
          </w:tcPr>
          <w:p w14:paraId="4315D757">
            <w:pPr>
              <w:pStyle w:val="12"/>
              <w:jc w:val="center"/>
              <w:rPr>
                <w:rFonts w:ascii="宋体" w:hAnsi="宋体"/>
              </w:rPr>
            </w:pPr>
            <w:r>
              <w:rPr>
                <w:rFonts w:ascii="宋体" w:hAnsi="宋体"/>
              </w:rPr>
              <w:t>23286</w:t>
            </w:r>
          </w:p>
        </w:tc>
        <w:tc>
          <w:tcPr>
            <w:tcW w:w="484" w:type="pct"/>
            <w:vAlign w:val="center"/>
          </w:tcPr>
          <w:p w14:paraId="49E81BE4">
            <w:pPr>
              <w:pStyle w:val="12"/>
              <w:jc w:val="center"/>
              <w:rPr>
                <w:rFonts w:ascii="宋体" w:hAnsi="宋体"/>
              </w:rPr>
            </w:pPr>
            <w:r>
              <w:rPr>
                <w:rFonts w:ascii="宋体" w:hAnsi="宋体"/>
              </w:rPr>
              <w:t>—</w:t>
            </w:r>
          </w:p>
        </w:tc>
        <w:tc>
          <w:tcPr>
            <w:tcW w:w="485" w:type="pct"/>
            <w:vAlign w:val="center"/>
          </w:tcPr>
          <w:p w14:paraId="7FDFB821">
            <w:pPr>
              <w:pStyle w:val="12"/>
              <w:jc w:val="center"/>
              <w:rPr>
                <w:rFonts w:ascii="宋体" w:hAnsi="宋体"/>
              </w:rPr>
            </w:pPr>
            <w:r>
              <w:rPr>
                <w:rFonts w:ascii="宋体" w:hAnsi="宋体"/>
              </w:rPr>
              <w:t>10542</w:t>
            </w:r>
          </w:p>
        </w:tc>
      </w:tr>
      <w:tr w14:paraId="382483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6F6F2E8">
            <w:pPr>
              <w:pStyle w:val="12"/>
              <w:jc w:val="center"/>
              <w:rPr>
                <w:rFonts w:ascii="宋体" w:hAnsi="宋体"/>
              </w:rPr>
            </w:pPr>
            <w:r>
              <w:rPr>
                <w:rFonts w:ascii="宋体" w:hAnsi="宋体"/>
              </w:rPr>
              <w:t>1993</w:t>
            </w:r>
          </w:p>
        </w:tc>
        <w:tc>
          <w:tcPr>
            <w:tcW w:w="465" w:type="pct"/>
            <w:vAlign w:val="center"/>
          </w:tcPr>
          <w:p w14:paraId="718DFC4B">
            <w:pPr>
              <w:pStyle w:val="12"/>
              <w:jc w:val="center"/>
              <w:rPr>
                <w:rFonts w:ascii="宋体" w:hAnsi="宋体"/>
              </w:rPr>
            </w:pPr>
            <w:r>
              <w:rPr>
                <w:rFonts w:ascii="宋体" w:hAnsi="宋体"/>
              </w:rPr>
              <w:t>27660</w:t>
            </w:r>
          </w:p>
        </w:tc>
        <w:tc>
          <w:tcPr>
            <w:tcW w:w="465" w:type="pct"/>
            <w:vAlign w:val="center"/>
          </w:tcPr>
          <w:p w14:paraId="1B21A371">
            <w:pPr>
              <w:pStyle w:val="12"/>
              <w:jc w:val="center"/>
              <w:rPr>
                <w:rFonts w:ascii="宋体" w:hAnsi="宋体"/>
              </w:rPr>
            </w:pPr>
            <w:r>
              <w:rPr>
                <w:rFonts w:ascii="宋体" w:hAnsi="宋体"/>
              </w:rPr>
              <w:t>24196</w:t>
            </w:r>
          </w:p>
        </w:tc>
        <w:tc>
          <w:tcPr>
            <w:tcW w:w="465" w:type="pct"/>
            <w:vAlign w:val="center"/>
          </w:tcPr>
          <w:p w14:paraId="7A586763">
            <w:pPr>
              <w:pStyle w:val="12"/>
              <w:jc w:val="center"/>
              <w:rPr>
                <w:rFonts w:ascii="宋体" w:hAnsi="宋体"/>
              </w:rPr>
            </w:pPr>
            <w:r>
              <w:rPr>
                <w:rFonts w:ascii="宋体" w:hAnsi="宋体"/>
              </w:rPr>
              <w:t>—</w:t>
            </w:r>
          </w:p>
        </w:tc>
        <w:tc>
          <w:tcPr>
            <w:tcW w:w="465" w:type="pct"/>
            <w:vAlign w:val="center"/>
          </w:tcPr>
          <w:p w14:paraId="47464CDC">
            <w:pPr>
              <w:pStyle w:val="12"/>
              <w:jc w:val="center"/>
              <w:rPr>
                <w:rFonts w:ascii="宋体" w:hAnsi="宋体"/>
              </w:rPr>
            </w:pPr>
            <w:r>
              <w:rPr>
                <w:rFonts w:ascii="宋体" w:hAnsi="宋体"/>
              </w:rPr>
              <w:t>4545</w:t>
            </w:r>
          </w:p>
        </w:tc>
        <w:tc>
          <w:tcPr>
            <w:tcW w:w="564" w:type="pct"/>
            <w:vAlign w:val="center"/>
          </w:tcPr>
          <w:p w14:paraId="4F411FA0">
            <w:pPr>
              <w:pStyle w:val="12"/>
              <w:jc w:val="center"/>
              <w:rPr>
                <w:rFonts w:ascii="宋体" w:hAnsi="宋体"/>
              </w:rPr>
            </w:pPr>
            <w:r>
              <w:rPr>
                <w:rFonts w:ascii="宋体" w:hAnsi="宋体"/>
              </w:rPr>
              <w:t>1999</w:t>
            </w:r>
          </w:p>
        </w:tc>
        <w:tc>
          <w:tcPr>
            <w:tcW w:w="484" w:type="pct"/>
            <w:vAlign w:val="center"/>
          </w:tcPr>
          <w:p w14:paraId="7616FAB3">
            <w:pPr>
              <w:pStyle w:val="12"/>
              <w:jc w:val="center"/>
              <w:rPr>
                <w:rFonts w:ascii="宋体" w:hAnsi="宋体"/>
              </w:rPr>
            </w:pPr>
            <w:r>
              <w:rPr>
                <w:rFonts w:ascii="宋体" w:hAnsi="宋体"/>
              </w:rPr>
              <w:t>41413</w:t>
            </w:r>
          </w:p>
        </w:tc>
        <w:tc>
          <w:tcPr>
            <w:tcW w:w="485" w:type="pct"/>
            <w:vAlign w:val="center"/>
          </w:tcPr>
          <w:p w14:paraId="520CDAD7">
            <w:pPr>
              <w:pStyle w:val="12"/>
              <w:jc w:val="center"/>
              <w:rPr>
                <w:rFonts w:ascii="宋体" w:hAnsi="宋体"/>
              </w:rPr>
            </w:pPr>
            <w:r>
              <w:rPr>
                <w:rFonts w:ascii="宋体" w:hAnsi="宋体"/>
              </w:rPr>
              <w:t>32824</w:t>
            </w:r>
          </w:p>
        </w:tc>
        <w:tc>
          <w:tcPr>
            <w:tcW w:w="484" w:type="pct"/>
            <w:vAlign w:val="center"/>
          </w:tcPr>
          <w:p w14:paraId="12E614CD">
            <w:pPr>
              <w:pStyle w:val="12"/>
              <w:jc w:val="center"/>
              <w:rPr>
                <w:rFonts w:ascii="宋体" w:hAnsi="宋体"/>
              </w:rPr>
            </w:pPr>
            <w:r>
              <w:rPr>
                <w:rFonts w:ascii="宋体" w:hAnsi="宋体"/>
              </w:rPr>
              <w:t>—</w:t>
            </w:r>
          </w:p>
        </w:tc>
        <w:tc>
          <w:tcPr>
            <w:tcW w:w="485" w:type="pct"/>
            <w:vAlign w:val="center"/>
          </w:tcPr>
          <w:p w14:paraId="390E13BC">
            <w:pPr>
              <w:pStyle w:val="12"/>
              <w:jc w:val="center"/>
              <w:rPr>
                <w:rFonts w:ascii="宋体" w:hAnsi="宋体"/>
              </w:rPr>
            </w:pPr>
            <w:r>
              <w:rPr>
                <w:rFonts w:ascii="宋体" w:hAnsi="宋体"/>
              </w:rPr>
              <w:t>18477</w:t>
            </w:r>
          </w:p>
        </w:tc>
      </w:tr>
      <w:tr w14:paraId="5BFCEB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AD2A04C">
            <w:pPr>
              <w:pStyle w:val="12"/>
              <w:jc w:val="center"/>
              <w:rPr>
                <w:rFonts w:ascii="宋体" w:hAnsi="宋体"/>
              </w:rPr>
            </w:pPr>
            <w:r>
              <w:rPr>
                <w:rFonts w:ascii="宋体" w:hAnsi="宋体"/>
              </w:rPr>
              <w:t>1994</w:t>
            </w:r>
          </w:p>
        </w:tc>
        <w:tc>
          <w:tcPr>
            <w:tcW w:w="465" w:type="pct"/>
            <w:vAlign w:val="center"/>
          </w:tcPr>
          <w:p w14:paraId="62795B3A">
            <w:pPr>
              <w:pStyle w:val="12"/>
              <w:jc w:val="center"/>
              <w:rPr>
                <w:rFonts w:ascii="宋体" w:hAnsi="宋体"/>
              </w:rPr>
            </w:pPr>
            <w:r>
              <w:rPr>
                <w:rFonts w:ascii="宋体" w:hAnsi="宋体"/>
              </w:rPr>
              <w:t>29110</w:t>
            </w:r>
          </w:p>
        </w:tc>
        <w:tc>
          <w:tcPr>
            <w:tcW w:w="465" w:type="pct"/>
            <w:vAlign w:val="center"/>
          </w:tcPr>
          <w:p w14:paraId="3963E848">
            <w:pPr>
              <w:pStyle w:val="12"/>
              <w:jc w:val="center"/>
              <w:rPr>
                <w:rFonts w:ascii="宋体" w:hAnsi="宋体"/>
              </w:rPr>
            </w:pPr>
            <w:r>
              <w:rPr>
                <w:rFonts w:ascii="宋体" w:hAnsi="宋体"/>
              </w:rPr>
              <w:t>17177</w:t>
            </w:r>
          </w:p>
        </w:tc>
        <w:tc>
          <w:tcPr>
            <w:tcW w:w="465" w:type="pct"/>
            <w:vAlign w:val="center"/>
          </w:tcPr>
          <w:p w14:paraId="7D81A96E">
            <w:pPr>
              <w:pStyle w:val="12"/>
              <w:jc w:val="center"/>
              <w:rPr>
                <w:rFonts w:ascii="宋体" w:hAnsi="宋体"/>
              </w:rPr>
            </w:pPr>
            <w:r>
              <w:rPr>
                <w:rFonts w:ascii="宋体" w:hAnsi="宋体"/>
              </w:rPr>
              <w:t>—</w:t>
            </w:r>
          </w:p>
        </w:tc>
        <w:tc>
          <w:tcPr>
            <w:tcW w:w="465" w:type="pct"/>
            <w:vAlign w:val="center"/>
          </w:tcPr>
          <w:p w14:paraId="756FF010">
            <w:pPr>
              <w:pStyle w:val="12"/>
              <w:jc w:val="center"/>
              <w:rPr>
                <w:rFonts w:ascii="宋体" w:hAnsi="宋体"/>
              </w:rPr>
            </w:pPr>
            <w:r>
              <w:rPr>
                <w:rFonts w:ascii="宋体" w:hAnsi="宋体"/>
              </w:rPr>
              <w:t>7218</w:t>
            </w:r>
          </w:p>
        </w:tc>
        <w:tc>
          <w:tcPr>
            <w:tcW w:w="564" w:type="pct"/>
            <w:vAlign w:val="center"/>
          </w:tcPr>
          <w:p w14:paraId="789512C8">
            <w:pPr>
              <w:pStyle w:val="12"/>
              <w:jc w:val="center"/>
              <w:rPr>
                <w:rFonts w:ascii="宋体" w:hAnsi="宋体"/>
              </w:rPr>
            </w:pPr>
            <w:r>
              <w:rPr>
                <w:rFonts w:ascii="宋体" w:hAnsi="宋体"/>
              </w:rPr>
              <w:t>2000</w:t>
            </w:r>
          </w:p>
        </w:tc>
        <w:tc>
          <w:tcPr>
            <w:tcW w:w="484" w:type="pct"/>
            <w:vAlign w:val="center"/>
          </w:tcPr>
          <w:p w14:paraId="7722C568">
            <w:pPr>
              <w:pStyle w:val="12"/>
              <w:jc w:val="center"/>
              <w:rPr>
                <w:rFonts w:ascii="宋体" w:hAnsi="宋体"/>
              </w:rPr>
            </w:pPr>
            <w:r>
              <w:rPr>
                <w:rFonts w:ascii="宋体" w:hAnsi="宋体"/>
              </w:rPr>
              <w:t>35673</w:t>
            </w:r>
          </w:p>
        </w:tc>
        <w:tc>
          <w:tcPr>
            <w:tcW w:w="485" w:type="pct"/>
            <w:vAlign w:val="center"/>
          </w:tcPr>
          <w:p w14:paraId="697380AA">
            <w:pPr>
              <w:pStyle w:val="12"/>
              <w:jc w:val="center"/>
              <w:rPr>
                <w:rFonts w:ascii="宋体" w:hAnsi="宋体"/>
              </w:rPr>
            </w:pPr>
            <w:r>
              <w:rPr>
                <w:rFonts w:ascii="宋体" w:hAnsi="宋体"/>
              </w:rPr>
              <w:t>47992</w:t>
            </w:r>
          </w:p>
        </w:tc>
        <w:tc>
          <w:tcPr>
            <w:tcW w:w="484" w:type="pct"/>
            <w:vAlign w:val="center"/>
          </w:tcPr>
          <w:p w14:paraId="410FFD13">
            <w:pPr>
              <w:pStyle w:val="12"/>
              <w:jc w:val="center"/>
              <w:rPr>
                <w:rFonts w:ascii="宋体" w:hAnsi="宋体"/>
              </w:rPr>
            </w:pPr>
            <w:r>
              <w:rPr>
                <w:rFonts w:ascii="宋体" w:hAnsi="宋体"/>
              </w:rPr>
              <w:t>—</w:t>
            </w:r>
          </w:p>
        </w:tc>
        <w:tc>
          <w:tcPr>
            <w:tcW w:w="485" w:type="pct"/>
            <w:vAlign w:val="center"/>
          </w:tcPr>
          <w:p w14:paraId="132BC362">
            <w:pPr>
              <w:pStyle w:val="12"/>
              <w:jc w:val="center"/>
              <w:rPr>
                <w:rFonts w:ascii="宋体" w:hAnsi="宋体"/>
              </w:rPr>
            </w:pPr>
            <w:r>
              <w:rPr>
                <w:rFonts w:ascii="宋体" w:hAnsi="宋体"/>
              </w:rPr>
              <w:t>1913</w:t>
            </w:r>
          </w:p>
        </w:tc>
      </w:tr>
      <w:tr w14:paraId="12A86E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D6D6E78">
            <w:pPr>
              <w:pStyle w:val="12"/>
              <w:jc w:val="center"/>
              <w:rPr>
                <w:rFonts w:ascii="宋体" w:hAnsi="宋体"/>
              </w:rPr>
            </w:pPr>
            <w:r>
              <w:rPr>
                <w:rFonts w:ascii="宋体" w:hAnsi="宋体"/>
              </w:rPr>
              <w:t>1995</w:t>
            </w:r>
          </w:p>
        </w:tc>
        <w:tc>
          <w:tcPr>
            <w:tcW w:w="465" w:type="pct"/>
            <w:vAlign w:val="center"/>
          </w:tcPr>
          <w:p w14:paraId="7A7D55AB">
            <w:pPr>
              <w:pStyle w:val="12"/>
              <w:jc w:val="center"/>
              <w:rPr>
                <w:rFonts w:ascii="宋体" w:hAnsi="宋体"/>
              </w:rPr>
            </w:pPr>
            <w:r>
              <w:rPr>
                <w:rFonts w:ascii="宋体" w:hAnsi="宋体"/>
              </w:rPr>
              <w:t>35143</w:t>
            </w:r>
          </w:p>
        </w:tc>
        <w:tc>
          <w:tcPr>
            <w:tcW w:w="465" w:type="pct"/>
            <w:vAlign w:val="center"/>
          </w:tcPr>
          <w:p w14:paraId="42A9DB59">
            <w:pPr>
              <w:pStyle w:val="12"/>
              <w:jc w:val="center"/>
              <w:rPr>
                <w:rFonts w:ascii="宋体" w:hAnsi="宋体"/>
              </w:rPr>
            </w:pPr>
            <w:r>
              <w:rPr>
                <w:rFonts w:ascii="宋体" w:hAnsi="宋体"/>
              </w:rPr>
              <w:t>22757</w:t>
            </w:r>
          </w:p>
        </w:tc>
        <w:tc>
          <w:tcPr>
            <w:tcW w:w="465" w:type="pct"/>
            <w:vAlign w:val="center"/>
          </w:tcPr>
          <w:p w14:paraId="0EB0BFB0">
            <w:pPr>
              <w:pStyle w:val="12"/>
              <w:jc w:val="center"/>
              <w:rPr>
                <w:rFonts w:ascii="宋体" w:hAnsi="宋体"/>
              </w:rPr>
            </w:pPr>
            <w:r>
              <w:rPr>
                <w:rFonts w:ascii="宋体" w:hAnsi="宋体"/>
              </w:rPr>
              <w:t>—</w:t>
            </w:r>
          </w:p>
        </w:tc>
        <w:tc>
          <w:tcPr>
            <w:tcW w:w="465" w:type="pct"/>
            <w:vAlign w:val="center"/>
          </w:tcPr>
          <w:p w14:paraId="28D938BA">
            <w:pPr>
              <w:pStyle w:val="12"/>
              <w:jc w:val="center"/>
              <w:rPr>
                <w:rFonts w:ascii="宋体" w:hAnsi="宋体"/>
              </w:rPr>
            </w:pPr>
            <w:r>
              <w:rPr>
                <w:rFonts w:ascii="宋体" w:hAnsi="宋体"/>
              </w:rPr>
              <w:t>2491</w:t>
            </w:r>
          </w:p>
        </w:tc>
        <w:tc>
          <w:tcPr>
            <w:tcW w:w="564" w:type="pct"/>
            <w:vAlign w:val="center"/>
          </w:tcPr>
          <w:p w14:paraId="4CCC9C31">
            <w:pPr>
              <w:pStyle w:val="12"/>
              <w:jc w:val="center"/>
              <w:rPr>
                <w:rFonts w:ascii="宋体" w:hAnsi="宋体"/>
              </w:rPr>
            </w:pPr>
            <w:r>
              <w:rPr>
                <w:rFonts w:ascii="宋体" w:hAnsi="宋体"/>
              </w:rPr>
              <w:t>—</w:t>
            </w:r>
          </w:p>
        </w:tc>
        <w:tc>
          <w:tcPr>
            <w:tcW w:w="484" w:type="pct"/>
            <w:vAlign w:val="center"/>
          </w:tcPr>
          <w:p w14:paraId="701BD226">
            <w:pPr>
              <w:pStyle w:val="12"/>
              <w:jc w:val="center"/>
              <w:rPr>
                <w:rFonts w:ascii="宋体" w:hAnsi="宋体"/>
              </w:rPr>
            </w:pPr>
            <w:r>
              <w:rPr>
                <w:rFonts w:ascii="宋体" w:hAnsi="宋体"/>
              </w:rPr>
              <w:t>—</w:t>
            </w:r>
          </w:p>
        </w:tc>
        <w:tc>
          <w:tcPr>
            <w:tcW w:w="485" w:type="pct"/>
            <w:vAlign w:val="center"/>
          </w:tcPr>
          <w:p w14:paraId="52ED6AB1">
            <w:pPr>
              <w:pStyle w:val="12"/>
              <w:jc w:val="center"/>
              <w:rPr>
                <w:rFonts w:ascii="宋体" w:hAnsi="宋体"/>
              </w:rPr>
            </w:pPr>
            <w:r>
              <w:rPr>
                <w:rFonts w:ascii="宋体" w:hAnsi="宋体"/>
              </w:rPr>
              <w:t>—</w:t>
            </w:r>
          </w:p>
        </w:tc>
        <w:tc>
          <w:tcPr>
            <w:tcW w:w="484" w:type="pct"/>
            <w:vAlign w:val="center"/>
          </w:tcPr>
          <w:p w14:paraId="3E5E6B81">
            <w:pPr>
              <w:pStyle w:val="12"/>
              <w:jc w:val="center"/>
              <w:rPr>
                <w:rFonts w:ascii="宋体" w:hAnsi="宋体"/>
              </w:rPr>
            </w:pPr>
            <w:r>
              <w:rPr>
                <w:rFonts w:ascii="宋体" w:hAnsi="宋体"/>
              </w:rPr>
              <w:t>—</w:t>
            </w:r>
          </w:p>
        </w:tc>
        <w:tc>
          <w:tcPr>
            <w:tcW w:w="485" w:type="pct"/>
            <w:vAlign w:val="center"/>
          </w:tcPr>
          <w:p w14:paraId="6A909E47">
            <w:pPr>
              <w:pStyle w:val="12"/>
              <w:jc w:val="center"/>
              <w:rPr>
                <w:rFonts w:ascii="宋体" w:hAnsi="宋体"/>
              </w:rPr>
            </w:pPr>
            <w:r>
              <w:rPr>
                <w:rFonts w:ascii="宋体" w:hAnsi="宋体"/>
              </w:rPr>
              <w:t>—</w:t>
            </w:r>
          </w:p>
        </w:tc>
      </w:tr>
    </w:tbl>
    <w:p w14:paraId="2CD0DD43">
      <w:pPr>
        <w:ind w:firstLine="422"/>
        <w:rPr>
          <w:rFonts w:ascii="宋体" w:hAnsi="宋体"/>
          <w:b/>
          <w:szCs w:val="21"/>
        </w:rPr>
      </w:pPr>
      <w:r>
        <w:rPr>
          <w:rFonts w:hint="eastAsia" w:ascii="宋体" w:hAnsi="宋体"/>
          <w:b/>
          <w:szCs w:val="21"/>
        </w:rPr>
        <w:t>说明：①征购包括超购和换购；②</w:t>
      </w:r>
      <w:r>
        <w:rPr>
          <w:rFonts w:ascii="宋体" w:hAnsi="宋体"/>
          <w:b/>
          <w:szCs w:val="21"/>
        </w:rPr>
        <w:t>1992年4月1日起放开粮食经营后，计划调</w:t>
      </w:r>
      <w:r>
        <w:rPr>
          <w:rFonts w:hint="eastAsia" w:ascii="宋体" w:hAnsi="宋体"/>
          <w:b/>
          <w:szCs w:val="21"/>
        </w:rPr>
        <w:t>拨随着消失；③年度从当年</w:t>
      </w:r>
      <w:r>
        <w:rPr>
          <w:rFonts w:ascii="宋体" w:hAnsi="宋体"/>
          <w:b/>
          <w:szCs w:val="21"/>
        </w:rPr>
        <w:t>4月至次年3月底</w:t>
      </w:r>
      <w:r>
        <w:rPr>
          <w:rFonts w:hint="eastAsia" w:ascii="宋体" w:hAnsi="宋体"/>
          <w:b/>
          <w:szCs w:val="21"/>
        </w:rPr>
        <w:t>。</w:t>
      </w:r>
    </w:p>
    <w:p w14:paraId="4CA3881E">
      <w:pPr>
        <w:pStyle w:val="5"/>
        <w:rPr>
          <w:rFonts w:ascii="宋体" w:hAnsi="宋体"/>
        </w:rPr>
      </w:pPr>
      <w:r>
        <w:rPr>
          <w:rFonts w:hint="eastAsia" w:ascii="宋体" w:hAnsi="宋体"/>
        </w:rPr>
        <w:t>四、粮油票证</w:t>
      </w:r>
    </w:p>
    <w:p w14:paraId="0AE20E32">
      <w:pPr>
        <w:ind w:firstLine="420"/>
        <w:rPr>
          <w:rFonts w:ascii="宋体" w:hAnsi="宋体"/>
          <w:szCs w:val="21"/>
        </w:rPr>
      </w:pPr>
      <w:r>
        <w:rPr>
          <w:rFonts w:hint="eastAsia" w:ascii="宋体" w:hAnsi="宋体"/>
          <w:szCs w:val="21"/>
        </w:rPr>
        <w:t>全国通用粮票。</w:t>
      </w:r>
      <w:r>
        <w:rPr>
          <w:rFonts w:ascii="宋体" w:hAnsi="宋体"/>
          <w:szCs w:val="21"/>
        </w:rPr>
        <w:t>1955年粮食部发行，同年在本县流通使用</w:t>
      </w:r>
      <w:r>
        <w:rPr>
          <w:rFonts w:hint="eastAsia" w:ascii="宋体" w:hAnsi="宋体"/>
          <w:szCs w:val="21"/>
        </w:rPr>
        <w:t>。</w:t>
      </w:r>
    </w:p>
    <w:p w14:paraId="5F3AD7D0">
      <w:pPr>
        <w:ind w:firstLine="420"/>
        <w:rPr>
          <w:rFonts w:ascii="宋体" w:hAnsi="宋体"/>
          <w:szCs w:val="21"/>
        </w:rPr>
      </w:pPr>
      <w:r>
        <w:rPr>
          <w:rFonts w:hint="eastAsia" w:ascii="宋体" w:hAnsi="宋体"/>
          <w:szCs w:val="21"/>
        </w:rPr>
        <w:t>广东省流动粮票。</w:t>
      </w:r>
      <w:r>
        <w:rPr>
          <w:rFonts w:ascii="宋体" w:hAnsi="宋体"/>
          <w:szCs w:val="21"/>
        </w:rPr>
        <w:t>1959年省粮食厅发行，同年在本县流通使用</w:t>
      </w:r>
      <w:r>
        <w:rPr>
          <w:rFonts w:hint="eastAsia" w:ascii="宋体" w:hAnsi="宋体"/>
          <w:szCs w:val="21"/>
        </w:rPr>
        <w:t>。</w:t>
      </w:r>
    </w:p>
    <w:p w14:paraId="61BC29DF">
      <w:pPr>
        <w:ind w:firstLine="420"/>
        <w:rPr>
          <w:rFonts w:ascii="宋体" w:hAnsi="宋体"/>
          <w:szCs w:val="21"/>
        </w:rPr>
      </w:pPr>
      <w:r>
        <w:rPr>
          <w:rFonts w:hint="eastAsia" w:ascii="宋体" w:hAnsi="宋体"/>
          <w:szCs w:val="21"/>
        </w:rPr>
        <w:t>南雄县流动粮票和油票。</w:t>
      </w:r>
      <w:r>
        <w:rPr>
          <w:rFonts w:ascii="宋体" w:hAnsi="宋体"/>
          <w:szCs w:val="21"/>
        </w:rPr>
        <w:t>1959年南雄县粮食局发行，限于县内流动人口下乡搭</w:t>
      </w:r>
      <w:r>
        <w:rPr>
          <w:rFonts w:hint="eastAsia" w:ascii="宋体" w:hAnsi="宋体"/>
          <w:szCs w:val="21"/>
        </w:rPr>
        <w:t>膳、就餐用。</w:t>
      </w:r>
      <w:r>
        <w:rPr>
          <w:rFonts w:ascii="宋体" w:hAnsi="宋体"/>
          <w:szCs w:val="21"/>
        </w:rPr>
        <w:t>1965年10月31日全部收回，停止使用。</w:t>
      </w:r>
    </w:p>
    <w:p w14:paraId="438A099D">
      <w:pPr>
        <w:ind w:firstLine="420"/>
        <w:rPr>
          <w:rFonts w:ascii="宋体" w:hAnsi="宋体"/>
          <w:szCs w:val="21"/>
        </w:rPr>
      </w:pPr>
      <w:r>
        <w:rPr>
          <w:rFonts w:hint="eastAsia" w:ascii="宋体" w:hAnsi="宋体"/>
          <w:szCs w:val="21"/>
        </w:rPr>
        <w:t>广东省常年流动专用粮票。</w:t>
      </w:r>
      <w:r>
        <w:rPr>
          <w:rFonts w:ascii="宋体" w:hAnsi="宋体"/>
          <w:szCs w:val="21"/>
        </w:rPr>
        <w:t>1959年省粮食厅发行并在本县流通，限于在省内购</w:t>
      </w:r>
      <w:r>
        <w:rPr>
          <w:rFonts w:hint="eastAsia" w:ascii="宋体" w:hAnsi="宋体"/>
          <w:szCs w:val="21"/>
        </w:rPr>
        <w:t>粮或换取省流动粮票之用。</w:t>
      </w:r>
    </w:p>
    <w:p w14:paraId="5A2125E2">
      <w:pPr>
        <w:ind w:firstLine="420"/>
        <w:rPr>
          <w:rFonts w:ascii="宋体" w:hAnsi="宋体"/>
          <w:szCs w:val="21"/>
        </w:rPr>
      </w:pPr>
      <w:r>
        <w:rPr>
          <w:rFonts w:hint="eastAsia" w:ascii="宋体" w:hAnsi="宋体"/>
          <w:szCs w:val="21"/>
        </w:rPr>
        <w:t>由本县粮食局印发的粮证有城市居民粮油供应证、厂矿企业机关团体粮食供应证、工商行业粮油供应证、市镇饲料供应证、机关团体粮油搭膳卡、农村粮食统销证、农村粮食周转证、农村饲料证、农村粮食供应转移证</w:t>
      </w:r>
      <w:r>
        <w:rPr>
          <w:rFonts w:ascii="宋体" w:hAnsi="宋体"/>
          <w:szCs w:val="21"/>
        </w:rPr>
        <w:t>9种。由韶关地区粮食局印</w:t>
      </w:r>
      <w:r>
        <w:rPr>
          <w:rFonts w:hint="eastAsia" w:ascii="宋体" w:hAnsi="宋体"/>
          <w:szCs w:val="21"/>
        </w:rPr>
        <w:t>发的有市镇居民粮食供应转移证。由省粮食厅印发的有广东省市镇临时流动粮油供应转移证、广东省常年流动人口粮油供应证、军用粮油豆供应证、广东省农村临时流动粮食转移证</w:t>
      </w:r>
      <w:r>
        <w:rPr>
          <w:rFonts w:ascii="宋体" w:hAnsi="宋体"/>
          <w:szCs w:val="21"/>
        </w:rPr>
        <w:t>4种。</w:t>
      </w:r>
    </w:p>
    <w:p w14:paraId="095860A9">
      <w:pPr>
        <w:ind w:firstLine="420"/>
        <w:rPr>
          <w:rFonts w:ascii="宋体" w:hAnsi="宋体"/>
          <w:szCs w:val="21"/>
        </w:rPr>
      </w:pPr>
      <w:r>
        <w:rPr>
          <w:rFonts w:ascii="宋体" w:hAnsi="宋体"/>
          <w:szCs w:val="21"/>
        </w:rPr>
        <w:t>1992年，国务院规定各地从4月1日起，取消粮食统销定量供应制度，各项票</w:t>
      </w:r>
      <w:r>
        <w:rPr>
          <w:rFonts w:hint="eastAsia" w:ascii="宋体" w:hAnsi="宋体"/>
          <w:szCs w:val="21"/>
        </w:rPr>
        <w:t>证同时停止发行和使用。</w:t>
      </w:r>
    </w:p>
    <w:p w14:paraId="61297554">
      <w:pPr>
        <w:pStyle w:val="4"/>
        <w:rPr>
          <w:rFonts w:ascii="宋体" w:hAnsi="宋体"/>
        </w:rPr>
      </w:pPr>
      <w:r>
        <w:rPr>
          <w:rFonts w:hint="eastAsia" w:ascii="宋体" w:hAnsi="宋体"/>
        </w:rPr>
        <w:t>第三节  储运</w:t>
      </w:r>
    </w:p>
    <w:p w14:paraId="1BBD7A03">
      <w:pPr>
        <w:pStyle w:val="5"/>
        <w:rPr>
          <w:rFonts w:ascii="宋体" w:hAnsi="宋体"/>
        </w:rPr>
      </w:pPr>
      <w:r>
        <w:rPr>
          <w:rFonts w:hint="eastAsia" w:ascii="宋体" w:hAnsi="宋体"/>
        </w:rPr>
        <w:t>一、仓储</w:t>
      </w:r>
    </w:p>
    <w:p w14:paraId="6E3B4829">
      <w:pPr>
        <w:ind w:firstLine="420"/>
        <w:rPr>
          <w:rFonts w:ascii="宋体" w:hAnsi="宋体"/>
          <w:szCs w:val="21"/>
        </w:rPr>
      </w:pPr>
      <w:r>
        <w:rPr>
          <w:rFonts w:ascii="宋体" w:hAnsi="宋体"/>
          <w:szCs w:val="21"/>
        </w:rPr>
        <w:t>1949年10月，县人民政府接管民国时期县政府粮仓16座，可储粮945吨。至1957年，新建24座，容量16770吨。连同旧建仓，全县总储量达3万吨，以后经不</w:t>
      </w:r>
      <w:r>
        <w:rPr>
          <w:rFonts w:hint="eastAsia" w:ascii="宋体" w:hAnsi="宋体"/>
          <w:szCs w:val="21"/>
        </w:rPr>
        <w:t>断修建完善。至</w:t>
      </w:r>
      <w:r>
        <w:rPr>
          <w:rFonts w:ascii="宋体" w:hAnsi="宋体"/>
          <w:szCs w:val="21"/>
        </w:rPr>
        <w:t>2004年，全市共有粮食仓库80座，仓容量53150吨</w:t>
      </w:r>
      <w:r>
        <w:rPr>
          <w:rFonts w:hint="eastAsia" w:ascii="宋体" w:hAnsi="宋体"/>
          <w:szCs w:val="21"/>
        </w:rPr>
        <w:t>。</w:t>
      </w:r>
    </w:p>
    <w:p w14:paraId="30D90551">
      <w:pPr>
        <w:ind w:firstLine="0" w:firstLineChars="0"/>
        <w:jc w:val="center"/>
        <w:rPr>
          <w:rFonts w:ascii="宋体" w:hAnsi="宋体"/>
          <w:b/>
        </w:rPr>
      </w:pPr>
      <w:r>
        <w:rPr>
          <w:rFonts w:hint="eastAsia" w:ascii="宋体" w:hAnsi="宋体"/>
          <w:b/>
        </w:rPr>
        <w:t>南雄粮食系统储粮仓库情况</w:t>
      </w:r>
    </w:p>
    <w:p w14:paraId="6FC9D0AE">
      <w:pPr>
        <w:ind w:firstLine="0" w:firstLineChars="0"/>
        <w:rPr>
          <w:rFonts w:ascii="宋体" w:hAnsi="宋体"/>
          <w:b/>
          <w:szCs w:val="21"/>
        </w:rPr>
      </w:pPr>
      <w:r>
        <w:rPr>
          <w:rFonts w:hint="eastAsia" w:ascii="宋体" w:hAnsi="宋体"/>
          <w:b/>
          <w:szCs w:val="21"/>
        </w:rPr>
        <w:t>表</w:t>
      </w:r>
      <w:r>
        <w:rPr>
          <w:rFonts w:ascii="宋体" w:hAnsi="宋体"/>
          <w:b/>
          <w:szCs w:val="21"/>
        </w:rPr>
        <w:t>2-44</w:t>
      </w:r>
    </w:p>
    <w:p w14:paraId="517F2EF3">
      <w:pPr>
        <w:ind w:firstLine="422"/>
        <w:jc w:val="right"/>
        <w:rPr>
          <w:rFonts w:ascii="宋体" w:hAnsi="宋体"/>
          <w:b/>
          <w:szCs w:val="21"/>
        </w:rPr>
      </w:pPr>
      <w:r>
        <w:rPr>
          <w:rFonts w:ascii="宋体" w:hAnsi="宋体"/>
          <w:b/>
          <w:szCs w:val="21"/>
        </w:rPr>
        <w:t>单位：座、吨</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04"/>
        <w:gridCol w:w="904"/>
        <w:gridCol w:w="906"/>
        <w:gridCol w:w="904"/>
        <w:gridCol w:w="906"/>
        <w:gridCol w:w="905"/>
        <w:gridCol w:w="907"/>
        <w:gridCol w:w="905"/>
        <w:gridCol w:w="907"/>
        <w:gridCol w:w="907"/>
        <w:gridCol w:w="907"/>
      </w:tblGrid>
      <w:tr w14:paraId="79B8DD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Merge w:val="restart"/>
            <w:vAlign w:val="center"/>
          </w:tcPr>
          <w:p w14:paraId="577F45F9">
            <w:pPr>
              <w:pStyle w:val="12"/>
              <w:jc w:val="center"/>
              <w:rPr>
                <w:rFonts w:ascii="宋体" w:hAnsi="宋体"/>
                <w:b/>
              </w:rPr>
            </w:pPr>
            <w:r>
              <w:rPr>
                <w:rFonts w:hint="eastAsia" w:ascii="宋体" w:hAnsi="宋体"/>
                <w:b/>
              </w:rPr>
              <w:t>单位</w:t>
            </w:r>
          </w:p>
        </w:tc>
        <w:tc>
          <w:tcPr>
            <w:tcW w:w="909" w:type="pct"/>
            <w:gridSpan w:val="2"/>
            <w:vAlign w:val="center"/>
          </w:tcPr>
          <w:p w14:paraId="62CFC632">
            <w:pPr>
              <w:pStyle w:val="12"/>
              <w:jc w:val="center"/>
              <w:rPr>
                <w:rFonts w:ascii="宋体" w:hAnsi="宋体"/>
                <w:b/>
              </w:rPr>
            </w:pPr>
            <w:r>
              <w:rPr>
                <w:rFonts w:hint="eastAsia" w:ascii="宋体" w:hAnsi="宋体"/>
                <w:b/>
              </w:rPr>
              <w:t>总仓库</w:t>
            </w:r>
          </w:p>
        </w:tc>
        <w:tc>
          <w:tcPr>
            <w:tcW w:w="3637" w:type="pct"/>
            <w:gridSpan w:val="8"/>
            <w:vAlign w:val="center"/>
          </w:tcPr>
          <w:p w14:paraId="44204002">
            <w:pPr>
              <w:pStyle w:val="12"/>
              <w:jc w:val="center"/>
              <w:rPr>
                <w:rFonts w:ascii="宋体" w:hAnsi="宋体"/>
                <w:b/>
              </w:rPr>
            </w:pPr>
            <w:r>
              <w:rPr>
                <w:rFonts w:hint="eastAsia" w:ascii="宋体" w:hAnsi="宋体"/>
                <w:b/>
              </w:rPr>
              <w:t>仓库结构</w:t>
            </w:r>
          </w:p>
        </w:tc>
      </w:tr>
      <w:tr w14:paraId="25AC2F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Merge w:val="continue"/>
            <w:vAlign w:val="center"/>
          </w:tcPr>
          <w:p w14:paraId="08BC8045">
            <w:pPr>
              <w:pStyle w:val="12"/>
              <w:jc w:val="center"/>
              <w:rPr>
                <w:rFonts w:ascii="宋体" w:hAnsi="宋体"/>
                <w:b/>
              </w:rPr>
            </w:pPr>
          </w:p>
        </w:tc>
        <w:tc>
          <w:tcPr>
            <w:tcW w:w="454" w:type="pct"/>
            <w:vMerge w:val="restart"/>
            <w:vAlign w:val="center"/>
          </w:tcPr>
          <w:p w14:paraId="708AA787">
            <w:pPr>
              <w:pStyle w:val="12"/>
              <w:jc w:val="center"/>
              <w:rPr>
                <w:rFonts w:ascii="宋体" w:hAnsi="宋体"/>
                <w:b/>
              </w:rPr>
            </w:pPr>
            <w:r>
              <w:rPr>
                <w:rFonts w:hint="eastAsia" w:ascii="宋体" w:hAnsi="宋体"/>
                <w:b/>
              </w:rPr>
              <w:t>座数</w:t>
            </w:r>
          </w:p>
        </w:tc>
        <w:tc>
          <w:tcPr>
            <w:tcW w:w="454" w:type="pct"/>
            <w:vMerge w:val="restart"/>
            <w:vAlign w:val="center"/>
          </w:tcPr>
          <w:p w14:paraId="25FE0AB9">
            <w:pPr>
              <w:pStyle w:val="12"/>
              <w:jc w:val="center"/>
              <w:rPr>
                <w:rFonts w:ascii="宋体" w:hAnsi="宋体"/>
                <w:b/>
              </w:rPr>
            </w:pPr>
            <w:r>
              <w:rPr>
                <w:rFonts w:hint="eastAsia" w:ascii="宋体" w:hAnsi="宋体"/>
                <w:b/>
              </w:rPr>
              <w:t>容量</w:t>
            </w:r>
          </w:p>
        </w:tc>
        <w:tc>
          <w:tcPr>
            <w:tcW w:w="909" w:type="pct"/>
            <w:gridSpan w:val="2"/>
            <w:vAlign w:val="center"/>
          </w:tcPr>
          <w:p w14:paraId="28A73629">
            <w:pPr>
              <w:pStyle w:val="12"/>
              <w:jc w:val="center"/>
              <w:rPr>
                <w:rFonts w:ascii="宋体" w:hAnsi="宋体"/>
                <w:b/>
              </w:rPr>
            </w:pPr>
            <w:r>
              <w:rPr>
                <w:rFonts w:hint="eastAsia" w:ascii="宋体" w:hAnsi="宋体"/>
                <w:b/>
              </w:rPr>
              <w:t>砖木结构</w:t>
            </w:r>
          </w:p>
        </w:tc>
        <w:tc>
          <w:tcPr>
            <w:tcW w:w="909" w:type="pct"/>
            <w:gridSpan w:val="2"/>
            <w:vAlign w:val="center"/>
          </w:tcPr>
          <w:p w14:paraId="530273EA">
            <w:pPr>
              <w:pStyle w:val="12"/>
              <w:jc w:val="center"/>
              <w:rPr>
                <w:rFonts w:ascii="宋体" w:hAnsi="宋体"/>
                <w:b/>
              </w:rPr>
            </w:pPr>
            <w:r>
              <w:rPr>
                <w:rFonts w:hint="eastAsia" w:ascii="宋体" w:hAnsi="宋体"/>
                <w:b/>
              </w:rPr>
              <w:t>砖混结构</w:t>
            </w:r>
          </w:p>
        </w:tc>
        <w:tc>
          <w:tcPr>
            <w:tcW w:w="909" w:type="pct"/>
            <w:gridSpan w:val="2"/>
            <w:vAlign w:val="center"/>
          </w:tcPr>
          <w:p w14:paraId="4CA5C6E0">
            <w:pPr>
              <w:pStyle w:val="12"/>
              <w:jc w:val="center"/>
              <w:rPr>
                <w:rFonts w:ascii="宋体" w:hAnsi="宋体"/>
                <w:b/>
              </w:rPr>
            </w:pPr>
            <w:r>
              <w:rPr>
                <w:rFonts w:hint="eastAsia" w:ascii="宋体" w:hAnsi="宋体"/>
                <w:b/>
              </w:rPr>
              <w:t>圆筒仓</w:t>
            </w:r>
          </w:p>
        </w:tc>
        <w:tc>
          <w:tcPr>
            <w:tcW w:w="910" w:type="pct"/>
            <w:gridSpan w:val="2"/>
            <w:vAlign w:val="center"/>
          </w:tcPr>
          <w:p w14:paraId="36C8F8DD">
            <w:pPr>
              <w:pStyle w:val="12"/>
              <w:jc w:val="center"/>
              <w:rPr>
                <w:rFonts w:ascii="宋体" w:hAnsi="宋体"/>
                <w:b/>
              </w:rPr>
            </w:pPr>
            <w:r>
              <w:rPr>
                <w:rFonts w:hint="eastAsia" w:ascii="宋体" w:hAnsi="宋体"/>
                <w:b/>
              </w:rPr>
              <w:t>简易仓</w:t>
            </w:r>
          </w:p>
        </w:tc>
      </w:tr>
      <w:tr w14:paraId="22BD78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Merge w:val="continue"/>
            <w:vAlign w:val="center"/>
          </w:tcPr>
          <w:p w14:paraId="75983637">
            <w:pPr>
              <w:pStyle w:val="12"/>
              <w:jc w:val="center"/>
              <w:rPr>
                <w:rFonts w:ascii="宋体" w:hAnsi="宋体"/>
                <w:b/>
              </w:rPr>
            </w:pPr>
          </w:p>
        </w:tc>
        <w:tc>
          <w:tcPr>
            <w:tcW w:w="454" w:type="pct"/>
            <w:vMerge w:val="continue"/>
            <w:vAlign w:val="center"/>
          </w:tcPr>
          <w:p w14:paraId="2D6CB135">
            <w:pPr>
              <w:pStyle w:val="12"/>
              <w:jc w:val="center"/>
              <w:rPr>
                <w:rFonts w:ascii="宋体" w:hAnsi="宋体"/>
                <w:b/>
              </w:rPr>
            </w:pPr>
          </w:p>
        </w:tc>
        <w:tc>
          <w:tcPr>
            <w:tcW w:w="454" w:type="pct"/>
            <w:vMerge w:val="continue"/>
            <w:vAlign w:val="center"/>
          </w:tcPr>
          <w:p w14:paraId="1AF8EF20">
            <w:pPr>
              <w:pStyle w:val="12"/>
              <w:jc w:val="center"/>
              <w:rPr>
                <w:rFonts w:ascii="宋体" w:hAnsi="宋体"/>
                <w:b/>
              </w:rPr>
            </w:pPr>
          </w:p>
        </w:tc>
        <w:tc>
          <w:tcPr>
            <w:tcW w:w="454" w:type="pct"/>
            <w:vAlign w:val="center"/>
          </w:tcPr>
          <w:p w14:paraId="78839625">
            <w:pPr>
              <w:pStyle w:val="12"/>
              <w:jc w:val="center"/>
              <w:rPr>
                <w:rFonts w:ascii="宋体" w:hAnsi="宋体"/>
                <w:b/>
              </w:rPr>
            </w:pPr>
            <w:r>
              <w:rPr>
                <w:rFonts w:hint="eastAsia" w:ascii="宋体" w:hAnsi="宋体"/>
                <w:b/>
              </w:rPr>
              <w:t>座数</w:t>
            </w:r>
          </w:p>
        </w:tc>
        <w:tc>
          <w:tcPr>
            <w:tcW w:w="454" w:type="pct"/>
            <w:vAlign w:val="center"/>
          </w:tcPr>
          <w:p w14:paraId="2BC57BAA">
            <w:pPr>
              <w:pStyle w:val="12"/>
              <w:jc w:val="center"/>
              <w:rPr>
                <w:rFonts w:ascii="宋体" w:hAnsi="宋体"/>
                <w:b/>
              </w:rPr>
            </w:pPr>
            <w:r>
              <w:rPr>
                <w:rFonts w:hint="eastAsia" w:ascii="宋体" w:hAnsi="宋体"/>
                <w:b/>
              </w:rPr>
              <w:t>容量</w:t>
            </w:r>
          </w:p>
        </w:tc>
        <w:tc>
          <w:tcPr>
            <w:tcW w:w="454" w:type="pct"/>
            <w:vAlign w:val="center"/>
          </w:tcPr>
          <w:p w14:paraId="62AEA304">
            <w:pPr>
              <w:pStyle w:val="12"/>
              <w:jc w:val="center"/>
              <w:rPr>
                <w:rFonts w:ascii="宋体" w:hAnsi="宋体"/>
                <w:b/>
              </w:rPr>
            </w:pPr>
            <w:r>
              <w:rPr>
                <w:rFonts w:hint="eastAsia" w:ascii="宋体" w:hAnsi="宋体"/>
                <w:b/>
              </w:rPr>
              <w:t>座数</w:t>
            </w:r>
          </w:p>
        </w:tc>
        <w:tc>
          <w:tcPr>
            <w:tcW w:w="454" w:type="pct"/>
            <w:vAlign w:val="center"/>
          </w:tcPr>
          <w:p w14:paraId="03767D50">
            <w:pPr>
              <w:pStyle w:val="12"/>
              <w:jc w:val="center"/>
              <w:rPr>
                <w:rFonts w:ascii="宋体" w:hAnsi="宋体"/>
                <w:b/>
              </w:rPr>
            </w:pPr>
            <w:r>
              <w:rPr>
                <w:rFonts w:hint="eastAsia" w:ascii="宋体" w:hAnsi="宋体"/>
                <w:b/>
              </w:rPr>
              <w:t>容量</w:t>
            </w:r>
          </w:p>
        </w:tc>
        <w:tc>
          <w:tcPr>
            <w:tcW w:w="454" w:type="pct"/>
            <w:vAlign w:val="center"/>
          </w:tcPr>
          <w:p w14:paraId="4C724B9A">
            <w:pPr>
              <w:pStyle w:val="12"/>
              <w:jc w:val="center"/>
              <w:rPr>
                <w:rFonts w:ascii="宋体" w:hAnsi="宋体"/>
                <w:b/>
              </w:rPr>
            </w:pPr>
            <w:r>
              <w:rPr>
                <w:rFonts w:hint="eastAsia" w:ascii="宋体" w:hAnsi="宋体"/>
                <w:b/>
              </w:rPr>
              <w:t>座数</w:t>
            </w:r>
          </w:p>
        </w:tc>
        <w:tc>
          <w:tcPr>
            <w:tcW w:w="454" w:type="pct"/>
            <w:vAlign w:val="center"/>
          </w:tcPr>
          <w:p w14:paraId="7644AD2F">
            <w:pPr>
              <w:pStyle w:val="12"/>
              <w:jc w:val="center"/>
              <w:rPr>
                <w:rFonts w:ascii="宋体" w:hAnsi="宋体"/>
                <w:b/>
              </w:rPr>
            </w:pPr>
            <w:r>
              <w:rPr>
                <w:rFonts w:hint="eastAsia" w:ascii="宋体" w:hAnsi="宋体"/>
                <w:b/>
              </w:rPr>
              <w:t>容量</w:t>
            </w:r>
          </w:p>
        </w:tc>
        <w:tc>
          <w:tcPr>
            <w:tcW w:w="455" w:type="pct"/>
            <w:vAlign w:val="center"/>
          </w:tcPr>
          <w:p w14:paraId="278C9C0A">
            <w:pPr>
              <w:pStyle w:val="12"/>
              <w:jc w:val="center"/>
              <w:rPr>
                <w:rFonts w:ascii="宋体" w:hAnsi="宋体"/>
                <w:b/>
              </w:rPr>
            </w:pPr>
            <w:r>
              <w:rPr>
                <w:rFonts w:hint="eastAsia" w:ascii="宋体" w:hAnsi="宋体"/>
                <w:b/>
              </w:rPr>
              <w:t>座数</w:t>
            </w:r>
          </w:p>
        </w:tc>
        <w:tc>
          <w:tcPr>
            <w:tcW w:w="455" w:type="pct"/>
            <w:vAlign w:val="center"/>
          </w:tcPr>
          <w:p w14:paraId="514EFA3C">
            <w:pPr>
              <w:pStyle w:val="12"/>
              <w:jc w:val="center"/>
              <w:rPr>
                <w:rFonts w:ascii="宋体" w:hAnsi="宋体"/>
                <w:b/>
              </w:rPr>
            </w:pPr>
            <w:r>
              <w:rPr>
                <w:rFonts w:hint="eastAsia" w:ascii="宋体" w:hAnsi="宋体"/>
                <w:b/>
              </w:rPr>
              <w:t>容量</w:t>
            </w:r>
          </w:p>
        </w:tc>
      </w:tr>
      <w:tr w14:paraId="0BACD9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14:paraId="435D80FC">
            <w:pPr>
              <w:pStyle w:val="12"/>
              <w:jc w:val="center"/>
              <w:rPr>
                <w:rFonts w:ascii="宋体" w:hAnsi="宋体"/>
              </w:rPr>
            </w:pPr>
            <w:r>
              <w:rPr>
                <w:rFonts w:hint="eastAsia" w:ascii="宋体" w:hAnsi="宋体"/>
              </w:rPr>
              <w:t>合计</w:t>
            </w:r>
          </w:p>
        </w:tc>
        <w:tc>
          <w:tcPr>
            <w:tcW w:w="454" w:type="pct"/>
            <w:vAlign w:val="center"/>
          </w:tcPr>
          <w:p w14:paraId="38A87302">
            <w:pPr>
              <w:pStyle w:val="12"/>
              <w:jc w:val="center"/>
              <w:rPr>
                <w:rFonts w:ascii="宋体" w:hAnsi="宋体"/>
              </w:rPr>
            </w:pPr>
            <w:r>
              <w:rPr>
                <w:rFonts w:hint="eastAsia" w:ascii="宋体" w:hAnsi="宋体"/>
              </w:rPr>
              <w:t>80</w:t>
            </w:r>
          </w:p>
        </w:tc>
        <w:tc>
          <w:tcPr>
            <w:tcW w:w="454" w:type="pct"/>
            <w:vAlign w:val="center"/>
          </w:tcPr>
          <w:p w14:paraId="14A61F14">
            <w:pPr>
              <w:pStyle w:val="12"/>
              <w:jc w:val="center"/>
              <w:rPr>
                <w:rFonts w:ascii="宋体" w:hAnsi="宋体"/>
              </w:rPr>
            </w:pPr>
            <w:r>
              <w:rPr>
                <w:rFonts w:hint="eastAsia" w:ascii="宋体" w:hAnsi="宋体"/>
              </w:rPr>
              <w:t>53150</w:t>
            </w:r>
          </w:p>
        </w:tc>
        <w:tc>
          <w:tcPr>
            <w:tcW w:w="454" w:type="pct"/>
            <w:vAlign w:val="center"/>
          </w:tcPr>
          <w:p w14:paraId="1CEF79A4">
            <w:pPr>
              <w:pStyle w:val="12"/>
              <w:jc w:val="center"/>
              <w:rPr>
                <w:rFonts w:ascii="宋体" w:hAnsi="宋体"/>
              </w:rPr>
            </w:pPr>
            <w:r>
              <w:rPr>
                <w:rFonts w:hint="eastAsia" w:ascii="宋体" w:hAnsi="宋体"/>
              </w:rPr>
              <w:t>39</w:t>
            </w:r>
          </w:p>
        </w:tc>
        <w:tc>
          <w:tcPr>
            <w:tcW w:w="454" w:type="pct"/>
            <w:vAlign w:val="center"/>
          </w:tcPr>
          <w:p w14:paraId="616B64BA">
            <w:pPr>
              <w:pStyle w:val="12"/>
              <w:jc w:val="center"/>
              <w:rPr>
                <w:rFonts w:ascii="宋体" w:hAnsi="宋体"/>
              </w:rPr>
            </w:pPr>
            <w:r>
              <w:rPr>
                <w:rFonts w:hint="eastAsia" w:ascii="宋体" w:hAnsi="宋体"/>
              </w:rPr>
              <w:t>23000</w:t>
            </w:r>
          </w:p>
        </w:tc>
        <w:tc>
          <w:tcPr>
            <w:tcW w:w="454" w:type="pct"/>
            <w:vAlign w:val="center"/>
          </w:tcPr>
          <w:p w14:paraId="5C834815">
            <w:pPr>
              <w:pStyle w:val="12"/>
              <w:jc w:val="center"/>
              <w:rPr>
                <w:rFonts w:ascii="宋体" w:hAnsi="宋体"/>
              </w:rPr>
            </w:pPr>
            <w:r>
              <w:rPr>
                <w:rFonts w:hint="eastAsia" w:ascii="宋体" w:hAnsi="宋体"/>
              </w:rPr>
              <w:t>20</w:t>
            </w:r>
          </w:p>
        </w:tc>
        <w:tc>
          <w:tcPr>
            <w:tcW w:w="454" w:type="pct"/>
            <w:vAlign w:val="center"/>
          </w:tcPr>
          <w:p w14:paraId="5D88253F">
            <w:pPr>
              <w:pStyle w:val="12"/>
              <w:jc w:val="center"/>
              <w:rPr>
                <w:rFonts w:ascii="宋体" w:hAnsi="宋体"/>
              </w:rPr>
            </w:pPr>
            <w:r>
              <w:rPr>
                <w:rFonts w:hint="eastAsia" w:ascii="宋体" w:hAnsi="宋体"/>
              </w:rPr>
              <w:t>20300</w:t>
            </w:r>
          </w:p>
        </w:tc>
        <w:tc>
          <w:tcPr>
            <w:tcW w:w="454" w:type="pct"/>
            <w:vAlign w:val="center"/>
          </w:tcPr>
          <w:p w14:paraId="4C6C2A19">
            <w:pPr>
              <w:pStyle w:val="12"/>
              <w:jc w:val="center"/>
              <w:rPr>
                <w:rFonts w:ascii="宋体" w:hAnsi="宋体"/>
              </w:rPr>
            </w:pPr>
            <w:r>
              <w:rPr>
                <w:rFonts w:hint="eastAsia" w:ascii="宋体" w:hAnsi="宋体"/>
              </w:rPr>
              <w:t>5</w:t>
            </w:r>
          </w:p>
        </w:tc>
        <w:tc>
          <w:tcPr>
            <w:tcW w:w="454" w:type="pct"/>
            <w:vAlign w:val="center"/>
          </w:tcPr>
          <w:p w14:paraId="5D2476CA">
            <w:pPr>
              <w:pStyle w:val="12"/>
              <w:jc w:val="center"/>
              <w:rPr>
                <w:rFonts w:ascii="宋体" w:hAnsi="宋体"/>
              </w:rPr>
            </w:pPr>
            <w:r>
              <w:rPr>
                <w:rFonts w:hint="eastAsia" w:ascii="宋体" w:hAnsi="宋体"/>
              </w:rPr>
              <w:t>3000</w:t>
            </w:r>
          </w:p>
        </w:tc>
        <w:tc>
          <w:tcPr>
            <w:tcW w:w="455" w:type="pct"/>
            <w:vAlign w:val="center"/>
          </w:tcPr>
          <w:p w14:paraId="647E4F51">
            <w:pPr>
              <w:pStyle w:val="12"/>
              <w:jc w:val="center"/>
              <w:rPr>
                <w:rFonts w:ascii="宋体" w:hAnsi="宋体"/>
              </w:rPr>
            </w:pPr>
            <w:r>
              <w:rPr>
                <w:rFonts w:hint="eastAsia" w:ascii="宋体" w:hAnsi="宋体"/>
              </w:rPr>
              <w:t>16</w:t>
            </w:r>
          </w:p>
        </w:tc>
        <w:tc>
          <w:tcPr>
            <w:tcW w:w="455" w:type="pct"/>
            <w:vAlign w:val="center"/>
          </w:tcPr>
          <w:p w14:paraId="660CD47D">
            <w:pPr>
              <w:pStyle w:val="12"/>
              <w:jc w:val="center"/>
              <w:rPr>
                <w:rFonts w:ascii="宋体" w:hAnsi="宋体"/>
              </w:rPr>
            </w:pPr>
            <w:r>
              <w:rPr>
                <w:rFonts w:hint="eastAsia" w:ascii="宋体" w:hAnsi="宋体"/>
              </w:rPr>
              <w:t>6850</w:t>
            </w:r>
          </w:p>
        </w:tc>
      </w:tr>
      <w:tr w14:paraId="51EEA4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14:paraId="746EBF32">
            <w:pPr>
              <w:pStyle w:val="12"/>
              <w:jc w:val="center"/>
              <w:rPr>
                <w:rFonts w:ascii="宋体" w:hAnsi="宋体"/>
              </w:rPr>
            </w:pPr>
            <w:r>
              <w:rPr>
                <w:rFonts w:hint="eastAsia" w:ascii="宋体" w:hAnsi="宋体"/>
              </w:rPr>
              <w:t>珠玑</w:t>
            </w:r>
          </w:p>
        </w:tc>
        <w:tc>
          <w:tcPr>
            <w:tcW w:w="454" w:type="pct"/>
            <w:vAlign w:val="center"/>
          </w:tcPr>
          <w:p w14:paraId="71BDC5B0">
            <w:pPr>
              <w:pStyle w:val="12"/>
              <w:jc w:val="center"/>
              <w:rPr>
                <w:rFonts w:ascii="宋体" w:hAnsi="宋体"/>
              </w:rPr>
            </w:pPr>
            <w:r>
              <w:rPr>
                <w:rFonts w:hint="eastAsia" w:ascii="宋体" w:hAnsi="宋体"/>
              </w:rPr>
              <w:t>4</w:t>
            </w:r>
          </w:p>
        </w:tc>
        <w:tc>
          <w:tcPr>
            <w:tcW w:w="454" w:type="pct"/>
            <w:vAlign w:val="center"/>
          </w:tcPr>
          <w:p w14:paraId="3C3B2E72">
            <w:pPr>
              <w:pStyle w:val="12"/>
              <w:jc w:val="center"/>
              <w:rPr>
                <w:rFonts w:ascii="宋体" w:hAnsi="宋体"/>
              </w:rPr>
            </w:pPr>
            <w:r>
              <w:rPr>
                <w:rFonts w:hint="eastAsia" w:ascii="宋体" w:hAnsi="宋体"/>
              </w:rPr>
              <w:t>3500</w:t>
            </w:r>
          </w:p>
        </w:tc>
        <w:tc>
          <w:tcPr>
            <w:tcW w:w="454" w:type="pct"/>
            <w:vAlign w:val="center"/>
          </w:tcPr>
          <w:p w14:paraId="0168FC4D">
            <w:pPr>
              <w:pStyle w:val="12"/>
              <w:jc w:val="center"/>
              <w:rPr>
                <w:rFonts w:ascii="宋体" w:hAnsi="宋体"/>
              </w:rPr>
            </w:pPr>
            <w:r>
              <w:rPr>
                <w:rFonts w:hint="eastAsia" w:ascii="宋体" w:hAnsi="宋体"/>
              </w:rPr>
              <w:t>2</w:t>
            </w:r>
          </w:p>
        </w:tc>
        <w:tc>
          <w:tcPr>
            <w:tcW w:w="454" w:type="pct"/>
            <w:vAlign w:val="center"/>
          </w:tcPr>
          <w:p w14:paraId="49300533">
            <w:pPr>
              <w:pStyle w:val="12"/>
              <w:jc w:val="center"/>
              <w:rPr>
                <w:rFonts w:ascii="宋体" w:hAnsi="宋体"/>
              </w:rPr>
            </w:pPr>
            <w:r>
              <w:rPr>
                <w:rFonts w:hint="eastAsia" w:ascii="宋体" w:hAnsi="宋体"/>
              </w:rPr>
              <w:t>1500</w:t>
            </w:r>
          </w:p>
        </w:tc>
        <w:tc>
          <w:tcPr>
            <w:tcW w:w="454" w:type="pct"/>
            <w:vAlign w:val="center"/>
          </w:tcPr>
          <w:p w14:paraId="3EFF5E17">
            <w:pPr>
              <w:pStyle w:val="12"/>
              <w:jc w:val="center"/>
              <w:rPr>
                <w:rFonts w:ascii="宋体" w:hAnsi="宋体"/>
              </w:rPr>
            </w:pPr>
            <w:r>
              <w:rPr>
                <w:rFonts w:hint="eastAsia" w:ascii="宋体" w:hAnsi="宋体"/>
              </w:rPr>
              <w:t>1</w:t>
            </w:r>
          </w:p>
        </w:tc>
        <w:tc>
          <w:tcPr>
            <w:tcW w:w="454" w:type="pct"/>
            <w:vAlign w:val="center"/>
          </w:tcPr>
          <w:p w14:paraId="642DAEF3">
            <w:pPr>
              <w:pStyle w:val="12"/>
              <w:jc w:val="center"/>
              <w:rPr>
                <w:rFonts w:ascii="宋体" w:hAnsi="宋体"/>
              </w:rPr>
            </w:pPr>
            <w:r>
              <w:rPr>
                <w:rFonts w:hint="eastAsia" w:ascii="宋体" w:hAnsi="宋体"/>
              </w:rPr>
              <w:t>1250</w:t>
            </w:r>
          </w:p>
        </w:tc>
        <w:tc>
          <w:tcPr>
            <w:tcW w:w="454" w:type="pct"/>
            <w:vAlign w:val="center"/>
          </w:tcPr>
          <w:p w14:paraId="1165B996">
            <w:pPr>
              <w:pStyle w:val="12"/>
              <w:jc w:val="center"/>
              <w:rPr>
                <w:rFonts w:ascii="宋体" w:hAnsi="宋体"/>
              </w:rPr>
            </w:pPr>
            <w:r>
              <w:rPr>
                <w:rFonts w:hint="eastAsia" w:ascii="宋体" w:hAnsi="宋体"/>
              </w:rPr>
              <w:t>—</w:t>
            </w:r>
          </w:p>
        </w:tc>
        <w:tc>
          <w:tcPr>
            <w:tcW w:w="454" w:type="pct"/>
            <w:vAlign w:val="center"/>
          </w:tcPr>
          <w:p w14:paraId="12920860">
            <w:pPr>
              <w:pStyle w:val="12"/>
              <w:jc w:val="center"/>
              <w:rPr>
                <w:rFonts w:ascii="宋体" w:hAnsi="宋体"/>
              </w:rPr>
            </w:pPr>
            <w:r>
              <w:rPr>
                <w:rFonts w:hint="eastAsia" w:ascii="宋体" w:hAnsi="宋体"/>
              </w:rPr>
              <w:t>—</w:t>
            </w:r>
          </w:p>
        </w:tc>
        <w:tc>
          <w:tcPr>
            <w:tcW w:w="455" w:type="pct"/>
            <w:vAlign w:val="center"/>
          </w:tcPr>
          <w:p w14:paraId="637093CD">
            <w:pPr>
              <w:pStyle w:val="12"/>
              <w:jc w:val="center"/>
              <w:rPr>
                <w:rFonts w:ascii="宋体" w:hAnsi="宋体"/>
              </w:rPr>
            </w:pPr>
            <w:r>
              <w:rPr>
                <w:rFonts w:hint="eastAsia" w:ascii="宋体" w:hAnsi="宋体"/>
              </w:rPr>
              <w:t>1</w:t>
            </w:r>
          </w:p>
        </w:tc>
        <w:tc>
          <w:tcPr>
            <w:tcW w:w="455" w:type="pct"/>
            <w:vAlign w:val="center"/>
          </w:tcPr>
          <w:p w14:paraId="18CB8884">
            <w:pPr>
              <w:pStyle w:val="12"/>
              <w:jc w:val="center"/>
              <w:rPr>
                <w:rFonts w:ascii="宋体" w:hAnsi="宋体"/>
              </w:rPr>
            </w:pPr>
            <w:r>
              <w:rPr>
                <w:rFonts w:hint="eastAsia" w:ascii="宋体" w:hAnsi="宋体"/>
              </w:rPr>
              <w:t>750</w:t>
            </w:r>
          </w:p>
        </w:tc>
      </w:tr>
      <w:tr w14:paraId="15F47E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14:paraId="7B4551DF">
            <w:pPr>
              <w:pStyle w:val="12"/>
              <w:jc w:val="center"/>
              <w:rPr>
                <w:rFonts w:ascii="宋体" w:hAnsi="宋体"/>
              </w:rPr>
            </w:pPr>
            <w:r>
              <w:rPr>
                <w:rFonts w:hint="eastAsia" w:ascii="宋体" w:hAnsi="宋体"/>
              </w:rPr>
              <w:t>湖口</w:t>
            </w:r>
          </w:p>
        </w:tc>
        <w:tc>
          <w:tcPr>
            <w:tcW w:w="454" w:type="pct"/>
            <w:vAlign w:val="center"/>
          </w:tcPr>
          <w:p w14:paraId="5D6EB1F9">
            <w:pPr>
              <w:pStyle w:val="12"/>
              <w:jc w:val="center"/>
              <w:rPr>
                <w:rFonts w:ascii="宋体" w:hAnsi="宋体"/>
              </w:rPr>
            </w:pPr>
            <w:r>
              <w:rPr>
                <w:rFonts w:hint="eastAsia" w:ascii="宋体" w:hAnsi="宋体"/>
              </w:rPr>
              <w:t>3</w:t>
            </w:r>
          </w:p>
        </w:tc>
        <w:tc>
          <w:tcPr>
            <w:tcW w:w="454" w:type="pct"/>
            <w:vAlign w:val="center"/>
          </w:tcPr>
          <w:p w14:paraId="5BAB8E16">
            <w:pPr>
              <w:pStyle w:val="12"/>
              <w:jc w:val="center"/>
              <w:rPr>
                <w:rFonts w:ascii="宋体" w:hAnsi="宋体"/>
              </w:rPr>
            </w:pPr>
            <w:r>
              <w:rPr>
                <w:rFonts w:hint="eastAsia" w:ascii="宋体" w:hAnsi="宋体"/>
              </w:rPr>
              <w:t>2750</w:t>
            </w:r>
          </w:p>
        </w:tc>
        <w:tc>
          <w:tcPr>
            <w:tcW w:w="454" w:type="pct"/>
            <w:vAlign w:val="center"/>
          </w:tcPr>
          <w:p w14:paraId="5BECB090">
            <w:pPr>
              <w:pStyle w:val="12"/>
              <w:jc w:val="center"/>
              <w:rPr>
                <w:rFonts w:ascii="宋体" w:hAnsi="宋体"/>
              </w:rPr>
            </w:pPr>
            <w:r>
              <w:rPr>
                <w:rFonts w:hint="eastAsia" w:ascii="宋体" w:hAnsi="宋体"/>
              </w:rPr>
              <w:t>1</w:t>
            </w:r>
          </w:p>
        </w:tc>
        <w:tc>
          <w:tcPr>
            <w:tcW w:w="454" w:type="pct"/>
            <w:vAlign w:val="center"/>
          </w:tcPr>
          <w:p w14:paraId="4E432A41">
            <w:pPr>
              <w:pStyle w:val="12"/>
              <w:jc w:val="center"/>
              <w:rPr>
                <w:rFonts w:ascii="宋体" w:hAnsi="宋体"/>
              </w:rPr>
            </w:pPr>
            <w:r>
              <w:rPr>
                <w:rFonts w:hint="eastAsia" w:ascii="宋体" w:hAnsi="宋体"/>
              </w:rPr>
              <w:t>750</w:t>
            </w:r>
          </w:p>
        </w:tc>
        <w:tc>
          <w:tcPr>
            <w:tcW w:w="454" w:type="pct"/>
            <w:vAlign w:val="center"/>
          </w:tcPr>
          <w:p w14:paraId="5736F0C1">
            <w:pPr>
              <w:pStyle w:val="12"/>
              <w:jc w:val="center"/>
              <w:rPr>
                <w:rFonts w:ascii="宋体" w:hAnsi="宋体"/>
              </w:rPr>
            </w:pPr>
            <w:r>
              <w:rPr>
                <w:rFonts w:hint="eastAsia" w:ascii="宋体" w:hAnsi="宋体"/>
              </w:rPr>
              <w:t>2</w:t>
            </w:r>
          </w:p>
        </w:tc>
        <w:tc>
          <w:tcPr>
            <w:tcW w:w="454" w:type="pct"/>
            <w:vAlign w:val="center"/>
          </w:tcPr>
          <w:p w14:paraId="457395B5">
            <w:pPr>
              <w:pStyle w:val="12"/>
              <w:jc w:val="center"/>
              <w:rPr>
                <w:rFonts w:ascii="宋体" w:hAnsi="宋体"/>
              </w:rPr>
            </w:pPr>
            <w:r>
              <w:rPr>
                <w:rFonts w:hint="eastAsia" w:ascii="宋体" w:hAnsi="宋体"/>
              </w:rPr>
              <w:t>2000</w:t>
            </w:r>
          </w:p>
        </w:tc>
        <w:tc>
          <w:tcPr>
            <w:tcW w:w="454" w:type="pct"/>
            <w:vAlign w:val="center"/>
          </w:tcPr>
          <w:p w14:paraId="2EDD1085">
            <w:pPr>
              <w:pStyle w:val="12"/>
              <w:jc w:val="center"/>
              <w:rPr>
                <w:rFonts w:ascii="宋体" w:hAnsi="宋体"/>
              </w:rPr>
            </w:pPr>
            <w:r>
              <w:rPr>
                <w:rFonts w:hint="eastAsia" w:ascii="宋体" w:hAnsi="宋体"/>
              </w:rPr>
              <w:t>—</w:t>
            </w:r>
          </w:p>
        </w:tc>
        <w:tc>
          <w:tcPr>
            <w:tcW w:w="454" w:type="pct"/>
            <w:vAlign w:val="center"/>
          </w:tcPr>
          <w:p w14:paraId="66BC5480">
            <w:pPr>
              <w:pStyle w:val="12"/>
              <w:jc w:val="center"/>
              <w:rPr>
                <w:rFonts w:ascii="宋体" w:hAnsi="宋体"/>
              </w:rPr>
            </w:pPr>
            <w:r>
              <w:rPr>
                <w:rFonts w:hint="eastAsia" w:ascii="宋体" w:hAnsi="宋体"/>
              </w:rPr>
              <w:t>—</w:t>
            </w:r>
          </w:p>
        </w:tc>
        <w:tc>
          <w:tcPr>
            <w:tcW w:w="455" w:type="pct"/>
            <w:vAlign w:val="center"/>
          </w:tcPr>
          <w:p w14:paraId="7E4D1442">
            <w:pPr>
              <w:pStyle w:val="12"/>
              <w:jc w:val="center"/>
              <w:rPr>
                <w:rFonts w:ascii="宋体" w:hAnsi="宋体"/>
              </w:rPr>
            </w:pPr>
            <w:r>
              <w:rPr>
                <w:rFonts w:hint="eastAsia" w:ascii="宋体" w:hAnsi="宋体"/>
              </w:rPr>
              <w:t>—</w:t>
            </w:r>
          </w:p>
        </w:tc>
        <w:tc>
          <w:tcPr>
            <w:tcW w:w="455" w:type="pct"/>
            <w:vAlign w:val="center"/>
          </w:tcPr>
          <w:p w14:paraId="46DD4D02">
            <w:pPr>
              <w:pStyle w:val="12"/>
              <w:jc w:val="center"/>
              <w:rPr>
                <w:rFonts w:ascii="宋体" w:hAnsi="宋体"/>
              </w:rPr>
            </w:pPr>
            <w:r>
              <w:rPr>
                <w:rFonts w:hint="eastAsia" w:ascii="宋体" w:hAnsi="宋体"/>
              </w:rPr>
              <w:t>—</w:t>
            </w:r>
          </w:p>
        </w:tc>
      </w:tr>
      <w:tr w14:paraId="12770F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14:paraId="7C62EBBF">
            <w:pPr>
              <w:pStyle w:val="12"/>
              <w:jc w:val="center"/>
              <w:rPr>
                <w:rFonts w:ascii="宋体" w:hAnsi="宋体"/>
              </w:rPr>
            </w:pPr>
            <w:r>
              <w:rPr>
                <w:rFonts w:hint="eastAsia" w:ascii="宋体" w:hAnsi="宋体"/>
              </w:rPr>
              <w:t>梅岭</w:t>
            </w:r>
          </w:p>
        </w:tc>
        <w:tc>
          <w:tcPr>
            <w:tcW w:w="454" w:type="pct"/>
            <w:vAlign w:val="center"/>
          </w:tcPr>
          <w:p w14:paraId="5012009A">
            <w:pPr>
              <w:pStyle w:val="12"/>
              <w:jc w:val="center"/>
              <w:rPr>
                <w:rFonts w:ascii="宋体" w:hAnsi="宋体"/>
              </w:rPr>
            </w:pPr>
            <w:r>
              <w:rPr>
                <w:rFonts w:hint="eastAsia" w:ascii="宋体" w:hAnsi="宋体"/>
              </w:rPr>
              <w:t>2</w:t>
            </w:r>
          </w:p>
        </w:tc>
        <w:tc>
          <w:tcPr>
            <w:tcW w:w="454" w:type="pct"/>
            <w:vAlign w:val="center"/>
          </w:tcPr>
          <w:p w14:paraId="78FEE044">
            <w:pPr>
              <w:pStyle w:val="12"/>
              <w:jc w:val="center"/>
              <w:rPr>
                <w:rFonts w:ascii="宋体" w:hAnsi="宋体"/>
              </w:rPr>
            </w:pPr>
            <w:r>
              <w:rPr>
                <w:rFonts w:hint="eastAsia" w:ascii="宋体" w:hAnsi="宋体"/>
              </w:rPr>
              <w:t>500</w:t>
            </w:r>
          </w:p>
        </w:tc>
        <w:tc>
          <w:tcPr>
            <w:tcW w:w="454" w:type="pct"/>
            <w:vAlign w:val="center"/>
          </w:tcPr>
          <w:p w14:paraId="0A9A1775">
            <w:pPr>
              <w:pStyle w:val="12"/>
              <w:jc w:val="center"/>
              <w:rPr>
                <w:rFonts w:ascii="宋体" w:hAnsi="宋体"/>
              </w:rPr>
            </w:pPr>
            <w:r>
              <w:rPr>
                <w:rFonts w:hint="eastAsia" w:ascii="宋体" w:hAnsi="宋体"/>
              </w:rPr>
              <w:t>—</w:t>
            </w:r>
          </w:p>
        </w:tc>
        <w:tc>
          <w:tcPr>
            <w:tcW w:w="454" w:type="pct"/>
            <w:vAlign w:val="center"/>
          </w:tcPr>
          <w:p w14:paraId="41EE7EBA">
            <w:pPr>
              <w:pStyle w:val="12"/>
              <w:jc w:val="center"/>
              <w:rPr>
                <w:rFonts w:ascii="宋体" w:hAnsi="宋体"/>
              </w:rPr>
            </w:pPr>
            <w:r>
              <w:rPr>
                <w:rFonts w:hint="eastAsia" w:ascii="宋体" w:hAnsi="宋体"/>
              </w:rPr>
              <w:t>—</w:t>
            </w:r>
          </w:p>
        </w:tc>
        <w:tc>
          <w:tcPr>
            <w:tcW w:w="454" w:type="pct"/>
            <w:vAlign w:val="center"/>
          </w:tcPr>
          <w:p w14:paraId="27195A65">
            <w:pPr>
              <w:pStyle w:val="12"/>
              <w:jc w:val="center"/>
              <w:rPr>
                <w:rFonts w:ascii="宋体" w:hAnsi="宋体"/>
              </w:rPr>
            </w:pPr>
            <w:r>
              <w:rPr>
                <w:rFonts w:hint="eastAsia" w:ascii="宋体" w:hAnsi="宋体"/>
              </w:rPr>
              <w:t>—</w:t>
            </w:r>
          </w:p>
        </w:tc>
        <w:tc>
          <w:tcPr>
            <w:tcW w:w="454" w:type="pct"/>
            <w:vAlign w:val="center"/>
          </w:tcPr>
          <w:p w14:paraId="3F33EB94">
            <w:pPr>
              <w:pStyle w:val="12"/>
              <w:jc w:val="center"/>
              <w:rPr>
                <w:rFonts w:ascii="宋体" w:hAnsi="宋体"/>
              </w:rPr>
            </w:pPr>
            <w:r>
              <w:rPr>
                <w:rFonts w:hint="eastAsia" w:ascii="宋体" w:hAnsi="宋体"/>
              </w:rPr>
              <w:t>—</w:t>
            </w:r>
          </w:p>
        </w:tc>
        <w:tc>
          <w:tcPr>
            <w:tcW w:w="454" w:type="pct"/>
            <w:vAlign w:val="center"/>
          </w:tcPr>
          <w:p w14:paraId="27FBB4CC">
            <w:pPr>
              <w:pStyle w:val="12"/>
              <w:jc w:val="center"/>
              <w:rPr>
                <w:rFonts w:ascii="宋体" w:hAnsi="宋体"/>
              </w:rPr>
            </w:pPr>
            <w:r>
              <w:rPr>
                <w:rFonts w:hint="eastAsia" w:ascii="宋体" w:hAnsi="宋体"/>
              </w:rPr>
              <w:t>—</w:t>
            </w:r>
          </w:p>
        </w:tc>
        <w:tc>
          <w:tcPr>
            <w:tcW w:w="454" w:type="pct"/>
            <w:vAlign w:val="center"/>
          </w:tcPr>
          <w:p w14:paraId="3EF15C6D">
            <w:pPr>
              <w:pStyle w:val="12"/>
              <w:jc w:val="center"/>
              <w:rPr>
                <w:rFonts w:ascii="宋体" w:hAnsi="宋体"/>
              </w:rPr>
            </w:pPr>
            <w:r>
              <w:rPr>
                <w:rFonts w:hint="eastAsia" w:ascii="宋体" w:hAnsi="宋体"/>
              </w:rPr>
              <w:t>—</w:t>
            </w:r>
          </w:p>
        </w:tc>
        <w:tc>
          <w:tcPr>
            <w:tcW w:w="455" w:type="pct"/>
            <w:vAlign w:val="center"/>
          </w:tcPr>
          <w:p w14:paraId="42AD5649">
            <w:pPr>
              <w:pStyle w:val="12"/>
              <w:jc w:val="center"/>
              <w:rPr>
                <w:rFonts w:ascii="宋体" w:hAnsi="宋体"/>
              </w:rPr>
            </w:pPr>
            <w:r>
              <w:rPr>
                <w:rFonts w:hint="eastAsia" w:ascii="宋体" w:hAnsi="宋体"/>
              </w:rPr>
              <w:t>2</w:t>
            </w:r>
          </w:p>
        </w:tc>
        <w:tc>
          <w:tcPr>
            <w:tcW w:w="455" w:type="pct"/>
            <w:vAlign w:val="center"/>
          </w:tcPr>
          <w:p w14:paraId="7A391435">
            <w:pPr>
              <w:pStyle w:val="12"/>
              <w:jc w:val="center"/>
              <w:rPr>
                <w:rFonts w:ascii="宋体" w:hAnsi="宋体"/>
              </w:rPr>
            </w:pPr>
            <w:r>
              <w:rPr>
                <w:rFonts w:hint="eastAsia" w:ascii="宋体" w:hAnsi="宋体"/>
              </w:rPr>
              <w:t>500</w:t>
            </w:r>
          </w:p>
        </w:tc>
      </w:tr>
      <w:tr w14:paraId="072AD6E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14:paraId="7CFB5096">
            <w:pPr>
              <w:pStyle w:val="12"/>
              <w:jc w:val="center"/>
              <w:rPr>
                <w:rFonts w:ascii="宋体" w:hAnsi="宋体"/>
              </w:rPr>
            </w:pPr>
            <w:r>
              <w:rPr>
                <w:rFonts w:hint="eastAsia" w:ascii="宋体" w:hAnsi="宋体"/>
              </w:rPr>
              <w:t>黄坑</w:t>
            </w:r>
          </w:p>
        </w:tc>
        <w:tc>
          <w:tcPr>
            <w:tcW w:w="454" w:type="pct"/>
            <w:vAlign w:val="center"/>
          </w:tcPr>
          <w:p w14:paraId="70944B64">
            <w:pPr>
              <w:pStyle w:val="12"/>
              <w:jc w:val="center"/>
              <w:rPr>
                <w:rFonts w:ascii="宋体" w:hAnsi="宋体"/>
              </w:rPr>
            </w:pPr>
            <w:r>
              <w:rPr>
                <w:rFonts w:hint="eastAsia" w:ascii="宋体" w:hAnsi="宋体"/>
              </w:rPr>
              <w:t>4</w:t>
            </w:r>
          </w:p>
        </w:tc>
        <w:tc>
          <w:tcPr>
            <w:tcW w:w="454" w:type="pct"/>
            <w:vAlign w:val="center"/>
          </w:tcPr>
          <w:p w14:paraId="5437A86E">
            <w:pPr>
              <w:pStyle w:val="12"/>
              <w:jc w:val="center"/>
              <w:rPr>
                <w:rFonts w:ascii="宋体" w:hAnsi="宋体"/>
              </w:rPr>
            </w:pPr>
            <w:r>
              <w:rPr>
                <w:rFonts w:hint="eastAsia" w:ascii="宋体" w:hAnsi="宋体"/>
              </w:rPr>
              <w:t>2500</w:t>
            </w:r>
          </w:p>
        </w:tc>
        <w:tc>
          <w:tcPr>
            <w:tcW w:w="454" w:type="pct"/>
            <w:vAlign w:val="center"/>
          </w:tcPr>
          <w:p w14:paraId="3EDC4518">
            <w:pPr>
              <w:pStyle w:val="12"/>
              <w:jc w:val="center"/>
              <w:rPr>
                <w:rFonts w:ascii="宋体" w:hAnsi="宋体"/>
              </w:rPr>
            </w:pPr>
            <w:r>
              <w:rPr>
                <w:rFonts w:hint="eastAsia" w:ascii="宋体" w:hAnsi="宋体"/>
              </w:rPr>
              <w:t>1</w:t>
            </w:r>
          </w:p>
        </w:tc>
        <w:tc>
          <w:tcPr>
            <w:tcW w:w="454" w:type="pct"/>
            <w:vAlign w:val="center"/>
          </w:tcPr>
          <w:p w14:paraId="55A7047D">
            <w:pPr>
              <w:pStyle w:val="12"/>
              <w:jc w:val="center"/>
              <w:rPr>
                <w:rFonts w:ascii="宋体" w:hAnsi="宋体"/>
              </w:rPr>
            </w:pPr>
            <w:r>
              <w:rPr>
                <w:rFonts w:hint="eastAsia" w:ascii="宋体" w:hAnsi="宋体"/>
              </w:rPr>
              <w:t>1000</w:t>
            </w:r>
          </w:p>
        </w:tc>
        <w:tc>
          <w:tcPr>
            <w:tcW w:w="454" w:type="pct"/>
            <w:vAlign w:val="center"/>
          </w:tcPr>
          <w:p w14:paraId="3AA3DEF8">
            <w:pPr>
              <w:pStyle w:val="12"/>
              <w:jc w:val="center"/>
              <w:rPr>
                <w:rFonts w:ascii="宋体" w:hAnsi="宋体"/>
              </w:rPr>
            </w:pPr>
            <w:r>
              <w:rPr>
                <w:rFonts w:hint="eastAsia" w:ascii="宋体" w:hAnsi="宋体"/>
              </w:rPr>
              <w:t>1</w:t>
            </w:r>
          </w:p>
        </w:tc>
        <w:tc>
          <w:tcPr>
            <w:tcW w:w="454" w:type="pct"/>
            <w:vAlign w:val="center"/>
          </w:tcPr>
          <w:p w14:paraId="59204BF5">
            <w:pPr>
              <w:pStyle w:val="12"/>
              <w:jc w:val="center"/>
              <w:rPr>
                <w:rFonts w:ascii="宋体" w:hAnsi="宋体"/>
              </w:rPr>
            </w:pPr>
            <w:r>
              <w:rPr>
                <w:rFonts w:hint="eastAsia" w:ascii="宋体" w:hAnsi="宋体"/>
              </w:rPr>
              <w:t>800</w:t>
            </w:r>
          </w:p>
        </w:tc>
        <w:tc>
          <w:tcPr>
            <w:tcW w:w="454" w:type="pct"/>
            <w:vAlign w:val="center"/>
          </w:tcPr>
          <w:p w14:paraId="36920E57">
            <w:pPr>
              <w:pStyle w:val="12"/>
              <w:jc w:val="center"/>
              <w:rPr>
                <w:rFonts w:ascii="宋体" w:hAnsi="宋体"/>
              </w:rPr>
            </w:pPr>
            <w:r>
              <w:rPr>
                <w:rFonts w:hint="eastAsia" w:ascii="宋体" w:hAnsi="宋体"/>
              </w:rPr>
              <w:t>—</w:t>
            </w:r>
          </w:p>
        </w:tc>
        <w:tc>
          <w:tcPr>
            <w:tcW w:w="454" w:type="pct"/>
            <w:vAlign w:val="center"/>
          </w:tcPr>
          <w:p w14:paraId="7723342D">
            <w:pPr>
              <w:pStyle w:val="12"/>
              <w:jc w:val="center"/>
              <w:rPr>
                <w:rFonts w:ascii="宋体" w:hAnsi="宋体"/>
              </w:rPr>
            </w:pPr>
            <w:r>
              <w:rPr>
                <w:rFonts w:hint="eastAsia" w:ascii="宋体" w:hAnsi="宋体"/>
              </w:rPr>
              <w:t>—</w:t>
            </w:r>
          </w:p>
        </w:tc>
        <w:tc>
          <w:tcPr>
            <w:tcW w:w="455" w:type="pct"/>
            <w:vAlign w:val="center"/>
          </w:tcPr>
          <w:p w14:paraId="2E73EE40">
            <w:pPr>
              <w:pStyle w:val="12"/>
              <w:jc w:val="center"/>
              <w:rPr>
                <w:rFonts w:ascii="宋体" w:hAnsi="宋体"/>
              </w:rPr>
            </w:pPr>
            <w:r>
              <w:rPr>
                <w:rFonts w:hint="eastAsia" w:ascii="宋体" w:hAnsi="宋体"/>
              </w:rPr>
              <w:t>2</w:t>
            </w:r>
          </w:p>
        </w:tc>
        <w:tc>
          <w:tcPr>
            <w:tcW w:w="455" w:type="pct"/>
            <w:vAlign w:val="center"/>
          </w:tcPr>
          <w:p w14:paraId="4C34F0CA">
            <w:pPr>
              <w:pStyle w:val="12"/>
              <w:jc w:val="center"/>
              <w:rPr>
                <w:rFonts w:ascii="宋体" w:hAnsi="宋体"/>
              </w:rPr>
            </w:pPr>
            <w:r>
              <w:rPr>
                <w:rFonts w:hint="eastAsia" w:ascii="宋体" w:hAnsi="宋体"/>
              </w:rPr>
              <w:t>700</w:t>
            </w:r>
          </w:p>
        </w:tc>
      </w:tr>
      <w:tr w14:paraId="334B36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14:paraId="74F31761">
            <w:pPr>
              <w:pStyle w:val="12"/>
              <w:jc w:val="center"/>
              <w:rPr>
                <w:rFonts w:ascii="宋体" w:hAnsi="宋体"/>
              </w:rPr>
            </w:pPr>
            <w:r>
              <w:rPr>
                <w:rFonts w:hint="eastAsia" w:ascii="宋体" w:hAnsi="宋体"/>
              </w:rPr>
              <w:t>大塘</w:t>
            </w:r>
          </w:p>
        </w:tc>
        <w:tc>
          <w:tcPr>
            <w:tcW w:w="454" w:type="pct"/>
            <w:vAlign w:val="center"/>
          </w:tcPr>
          <w:p w14:paraId="0786D53E">
            <w:pPr>
              <w:pStyle w:val="12"/>
              <w:jc w:val="center"/>
              <w:rPr>
                <w:rFonts w:ascii="宋体" w:hAnsi="宋体"/>
              </w:rPr>
            </w:pPr>
            <w:r>
              <w:rPr>
                <w:rFonts w:hint="eastAsia" w:ascii="宋体" w:hAnsi="宋体"/>
              </w:rPr>
              <w:t>4</w:t>
            </w:r>
          </w:p>
        </w:tc>
        <w:tc>
          <w:tcPr>
            <w:tcW w:w="454" w:type="pct"/>
            <w:vAlign w:val="center"/>
          </w:tcPr>
          <w:p w14:paraId="60C4B9B1">
            <w:pPr>
              <w:pStyle w:val="12"/>
              <w:jc w:val="center"/>
              <w:rPr>
                <w:rFonts w:ascii="宋体" w:hAnsi="宋体"/>
              </w:rPr>
            </w:pPr>
            <w:r>
              <w:rPr>
                <w:rFonts w:hint="eastAsia" w:ascii="宋体" w:hAnsi="宋体"/>
              </w:rPr>
              <w:t>2750</w:t>
            </w:r>
          </w:p>
        </w:tc>
        <w:tc>
          <w:tcPr>
            <w:tcW w:w="454" w:type="pct"/>
            <w:vAlign w:val="center"/>
          </w:tcPr>
          <w:p w14:paraId="4AD358A4">
            <w:pPr>
              <w:pStyle w:val="12"/>
              <w:jc w:val="center"/>
              <w:rPr>
                <w:rFonts w:ascii="宋体" w:hAnsi="宋体"/>
              </w:rPr>
            </w:pPr>
            <w:r>
              <w:rPr>
                <w:rFonts w:hint="eastAsia" w:ascii="宋体" w:hAnsi="宋体"/>
              </w:rPr>
              <w:t>3</w:t>
            </w:r>
          </w:p>
        </w:tc>
        <w:tc>
          <w:tcPr>
            <w:tcW w:w="454" w:type="pct"/>
            <w:vAlign w:val="center"/>
          </w:tcPr>
          <w:p w14:paraId="6FFAB378">
            <w:pPr>
              <w:pStyle w:val="12"/>
              <w:jc w:val="center"/>
              <w:rPr>
                <w:rFonts w:ascii="宋体" w:hAnsi="宋体"/>
              </w:rPr>
            </w:pPr>
            <w:r>
              <w:rPr>
                <w:rFonts w:hint="eastAsia" w:ascii="宋体" w:hAnsi="宋体"/>
              </w:rPr>
              <w:t>1750</w:t>
            </w:r>
          </w:p>
        </w:tc>
        <w:tc>
          <w:tcPr>
            <w:tcW w:w="454" w:type="pct"/>
            <w:vAlign w:val="center"/>
          </w:tcPr>
          <w:p w14:paraId="6308A70E">
            <w:pPr>
              <w:pStyle w:val="12"/>
              <w:jc w:val="center"/>
              <w:rPr>
                <w:rFonts w:ascii="宋体" w:hAnsi="宋体"/>
              </w:rPr>
            </w:pPr>
            <w:r>
              <w:rPr>
                <w:rFonts w:hint="eastAsia" w:ascii="宋体" w:hAnsi="宋体"/>
              </w:rPr>
              <w:t>1</w:t>
            </w:r>
          </w:p>
        </w:tc>
        <w:tc>
          <w:tcPr>
            <w:tcW w:w="454" w:type="pct"/>
            <w:vAlign w:val="center"/>
          </w:tcPr>
          <w:p w14:paraId="25CCDCD9">
            <w:pPr>
              <w:pStyle w:val="12"/>
              <w:jc w:val="center"/>
              <w:rPr>
                <w:rFonts w:ascii="宋体" w:hAnsi="宋体"/>
              </w:rPr>
            </w:pPr>
            <w:r>
              <w:rPr>
                <w:rFonts w:hint="eastAsia" w:ascii="宋体" w:hAnsi="宋体"/>
              </w:rPr>
              <w:t>1000</w:t>
            </w:r>
          </w:p>
        </w:tc>
        <w:tc>
          <w:tcPr>
            <w:tcW w:w="454" w:type="pct"/>
            <w:vAlign w:val="center"/>
          </w:tcPr>
          <w:p w14:paraId="3CDC64BF">
            <w:pPr>
              <w:pStyle w:val="12"/>
              <w:jc w:val="center"/>
              <w:rPr>
                <w:rFonts w:ascii="宋体" w:hAnsi="宋体"/>
              </w:rPr>
            </w:pPr>
            <w:r>
              <w:rPr>
                <w:rFonts w:hint="eastAsia" w:ascii="宋体" w:hAnsi="宋体"/>
              </w:rPr>
              <w:t>—</w:t>
            </w:r>
          </w:p>
        </w:tc>
        <w:tc>
          <w:tcPr>
            <w:tcW w:w="454" w:type="pct"/>
            <w:vAlign w:val="center"/>
          </w:tcPr>
          <w:p w14:paraId="051A3700">
            <w:pPr>
              <w:pStyle w:val="12"/>
              <w:jc w:val="center"/>
              <w:rPr>
                <w:rFonts w:ascii="宋体" w:hAnsi="宋体"/>
              </w:rPr>
            </w:pPr>
            <w:r>
              <w:rPr>
                <w:rFonts w:hint="eastAsia" w:ascii="宋体" w:hAnsi="宋体"/>
              </w:rPr>
              <w:t>—</w:t>
            </w:r>
          </w:p>
        </w:tc>
        <w:tc>
          <w:tcPr>
            <w:tcW w:w="455" w:type="pct"/>
            <w:vAlign w:val="center"/>
          </w:tcPr>
          <w:p w14:paraId="6FF757F6">
            <w:pPr>
              <w:pStyle w:val="12"/>
              <w:jc w:val="center"/>
              <w:rPr>
                <w:rFonts w:ascii="宋体" w:hAnsi="宋体"/>
              </w:rPr>
            </w:pPr>
            <w:r>
              <w:rPr>
                <w:rFonts w:hint="eastAsia" w:ascii="宋体" w:hAnsi="宋体"/>
              </w:rPr>
              <w:t>—</w:t>
            </w:r>
          </w:p>
        </w:tc>
        <w:tc>
          <w:tcPr>
            <w:tcW w:w="455" w:type="pct"/>
            <w:vAlign w:val="center"/>
          </w:tcPr>
          <w:p w14:paraId="621BCE1B">
            <w:pPr>
              <w:pStyle w:val="12"/>
              <w:jc w:val="center"/>
              <w:rPr>
                <w:rFonts w:ascii="宋体" w:hAnsi="宋体"/>
              </w:rPr>
            </w:pPr>
            <w:r>
              <w:rPr>
                <w:rFonts w:hint="eastAsia" w:ascii="宋体" w:hAnsi="宋体"/>
              </w:rPr>
              <w:t>—</w:t>
            </w:r>
          </w:p>
        </w:tc>
      </w:tr>
      <w:tr w14:paraId="3C00DA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14:paraId="4D0C28FF">
            <w:pPr>
              <w:pStyle w:val="12"/>
              <w:jc w:val="center"/>
              <w:rPr>
                <w:rFonts w:ascii="宋体" w:hAnsi="宋体"/>
              </w:rPr>
            </w:pPr>
            <w:r>
              <w:rPr>
                <w:rFonts w:hint="eastAsia" w:ascii="宋体" w:hAnsi="宋体"/>
              </w:rPr>
              <w:t>油山</w:t>
            </w:r>
          </w:p>
        </w:tc>
        <w:tc>
          <w:tcPr>
            <w:tcW w:w="454" w:type="pct"/>
            <w:vAlign w:val="center"/>
          </w:tcPr>
          <w:p w14:paraId="357058BA">
            <w:pPr>
              <w:pStyle w:val="12"/>
              <w:jc w:val="center"/>
              <w:rPr>
                <w:rFonts w:ascii="宋体" w:hAnsi="宋体"/>
              </w:rPr>
            </w:pPr>
            <w:r>
              <w:rPr>
                <w:rFonts w:hint="eastAsia" w:ascii="宋体" w:hAnsi="宋体"/>
              </w:rPr>
              <w:t>2</w:t>
            </w:r>
          </w:p>
        </w:tc>
        <w:tc>
          <w:tcPr>
            <w:tcW w:w="454" w:type="pct"/>
            <w:vAlign w:val="center"/>
          </w:tcPr>
          <w:p w14:paraId="64AA2CD8">
            <w:pPr>
              <w:pStyle w:val="12"/>
              <w:jc w:val="center"/>
              <w:rPr>
                <w:rFonts w:ascii="宋体" w:hAnsi="宋体"/>
              </w:rPr>
            </w:pPr>
            <w:r>
              <w:rPr>
                <w:rFonts w:hint="eastAsia" w:ascii="宋体" w:hAnsi="宋体"/>
              </w:rPr>
              <w:t>500</w:t>
            </w:r>
          </w:p>
        </w:tc>
        <w:tc>
          <w:tcPr>
            <w:tcW w:w="454" w:type="pct"/>
            <w:vAlign w:val="center"/>
          </w:tcPr>
          <w:p w14:paraId="66BEC797">
            <w:pPr>
              <w:pStyle w:val="12"/>
              <w:jc w:val="center"/>
              <w:rPr>
                <w:rFonts w:ascii="宋体" w:hAnsi="宋体"/>
              </w:rPr>
            </w:pPr>
            <w:r>
              <w:rPr>
                <w:rFonts w:hint="eastAsia" w:ascii="宋体" w:hAnsi="宋体"/>
              </w:rPr>
              <w:t>2</w:t>
            </w:r>
          </w:p>
        </w:tc>
        <w:tc>
          <w:tcPr>
            <w:tcW w:w="454" w:type="pct"/>
            <w:vAlign w:val="center"/>
          </w:tcPr>
          <w:p w14:paraId="4BA224AD">
            <w:pPr>
              <w:pStyle w:val="12"/>
              <w:jc w:val="center"/>
              <w:rPr>
                <w:rFonts w:ascii="宋体" w:hAnsi="宋体"/>
              </w:rPr>
            </w:pPr>
            <w:r>
              <w:rPr>
                <w:rFonts w:hint="eastAsia" w:ascii="宋体" w:hAnsi="宋体"/>
              </w:rPr>
              <w:t>500</w:t>
            </w:r>
          </w:p>
        </w:tc>
        <w:tc>
          <w:tcPr>
            <w:tcW w:w="454" w:type="pct"/>
            <w:vAlign w:val="center"/>
          </w:tcPr>
          <w:p w14:paraId="4449DBDF">
            <w:pPr>
              <w:pStyle w:val="12"/>
              <w:jc w:val="center"/>
              <w:rPr>
                <w:rFonts w:ascii="宋体" w:hAnsi="宋体"/>
              </w:rPr>
            </w:pPr>
            <w:r>
              <w:rPr>
                <w:rFonts w:hint="eastAsia" w:ascii="宋体" w:hAnsi="宋体"/>
              </w:rPr>
              <w:t>—</w:t>
            </w:r>
          </w:p>
        </w:tc>
        <w:tc>
          <w:tcPr>
            <w:tcW w:w="454" w:type="pct"/>
            <w:vAlign w:val="center"/>
          </w:tcPr>
          <w:p w14:paraId="68856F28">
            <w:pPr>
              <w:pStyle w:val="12"/>
              <w:jc w:val="center"/>
              <w:rPr>
                <w:rFonts w:ascii="宋体" w:hAnsi="宋体"/>
              </w:rPr>
            </w:pPr>
            <w:r>
              <w:rPr>
                <w:rFonts w:hint="eastAsia" w:ascii="宋体" w:hAnsi="宋体"/>
              </w:rPr>
              <w:t>—</w:t>
            </w:r>
          </w:p>
        </w:tc>
        <w:tc>
          <w:tcPr>
            <w:tcW w:w="454" w:type="pct"/>
            <w:vAlign w:val="center"/>
          </w:tcPr>
          <w:p w14:paraId="668B5554">
            <w:pPr>
              <w:pStyle w:val="12"/>
              <w:jc w:val="center"/>
              <w:rPr>
                <w:rFonts w:ascii="宋体" w:hAnsi="宋体"/>
              </w:rPr>
            </w:pPr>
            <w:r>
              <w:rPr>
                <w:rFonts w:hint="eastAsia" w:ascii="宋体" w:hAnsi="宋体"/>
              </w:rPr>
              <w:t>—</w:t>
            </w:r>
          </w:p>
        </w:tc>
        <w:tc>
          <w:tcPr>
            <w:tcW w:w="454" w:type="pct"/>
            <w:vAlign w:val="center"/>
          </w:tcPr>
          <w:p w14:paraId="61E2877F">
            <w:pPr>
              <w:pStyle w:val="12"/>
              <w:jc w:val="center"/>
              <w:rPr>
                <w:rFonts w:ascii="宋体" w:hAnsi="宋体"/>
              </w:rPr>
            </w:pPr>
            <w:r>
              <w:rPr>
                <w:rFonts w:hint="eastAsia" w:ascii="宋体" w:hAnsi="宋体"/>
              </w:rPr>
              <w:t>—</w:t>
            </w:r>
          </w:p>
        </w:tc>
        <w:tc>
          <w:tcPr>
            <w:tcW w:w="455" w:type="pct"/>
            <w:vAlign w:val="center"/>
          </w:tcPr>
          <w:p w14:paraId="78D7025C">
            <w:pPr>
              <w:pStyle w:val="12"/>
              <w:jc w:val="center"/>
              <w:rPr>
                <w:rFonts w:ascii="宋体" w:hAnsi="宋体"/>
              </w:rPr>
            </w:pPr>
            <w:r>
              <w:rPr>
                <w:rFonts w:hint="eastAsia" w:ascii="宋体" w:hAnsi="宋体"/>
              </w:rPr>
              <w:t>—</w:t>
            </w:r>
          </w:p>
        </w:tc>
        <w:tc>
          <w:tcPr>
            <w:tcW w:w="455" w:type="pct"/>
            <w:vAlign w:val="center"/>
          </w:tcPr>
          <w:p w14:paraId="5C317E76">
            <w:pPr>
              <w:pStyle w:val="12"/>
              <w:jc w:val="center"/>
              <w:rPr>
                <w:rFonts w:ascii="宋体" w:hAnsi="宋体"/>
              </w:rPr>
            </w:pPr>
            <w:r>
              <w:rPr>
                <w:rFonts w:hint="eastAsia" w:ascii="宋体" w:hAnsi="宋体"/>
              </w:rPr>
              <w:t>—</w:t>
            </w:r>
          </w:p>
        </w:tc>
      </w:tr>
      <w:tr w14:paraId="1AAAE7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14:paraId="27F2356B">
            <w:pPr>
              <w:pStyle w:val="12"/>
              <w:jc w:val="center"/>
              <w:rPr>
                <w:rFonts w:ascii="宋体" w:hAnsi="宋体"/>
              </w:rPr>
            </w:pPr>
            <w:r>
              <w:rPr>
                <w:rFonts w:hint="eastAsia" w:ascii="宋体" w:hAnsi="宋体"/>
              </w:rPr>
              <w:t>邓坊</w:t>
            </w:r>
          </w:p>
        </w:tc>
        <w:tc>
          <w:tcPr>
            <w:tcW w:w="454" w:type="pct"/>
            <w:vAlign w:val="center"/>
          </w:tcPr>
          <w:p w14:paraId="41F80FC2">
            <w:pPr>
              <w:pStyle w:val="12"/>
              <w:jc w:val="center"/>
              <w:rPr>
                <w:rFonts w:ascii="宋体" w:hAnsi="宋体"/>
              </w:rPr>
            </w:pPr>
            <w:r>
              <w:rPr>
                <w:rFonts w:hint="eastAsia" w:ascii="宋体" w:hAnsi="宋体"/>
              </w:rPr>
              <w:t>3</w:t>
            </w:r>
          </w:p>
        </w:tc>
        <w:tc>
          <w:tcPr>
            <w:tcW w:w="454" w:type="pct"/>
            <w:vAlign w:val="center"/>
          </w:tcPr>
          <w:p w14:paraId="088C561F">
            <w:pPr>
              <w:pStyle w:val="12"/>
              <w:jc w:val="center"/>
              <w:rPr>
                <w:rFonts w:ascii="宋体" w:hAnsi="宋体"/>
              </w:rPr>
            </w:pPr>
            <w:r>
              <w:rPr>
                <w:rFonts w:hint="eastAsia" w:ascii="宋体" w:hAnsi="宋体"/>
              </w:rPr>
              <w:t>1000</w:t>
            </w:r>
          </w:p>
        </w:tc>
        <w:tc>
          <w:tcPr>
            <w:tcW w:w="454" w:type="pct"/>
            <w:vAlign w:val="center"/>
          </w:tcPr>
          <w:p w14:paraId="55C3EDBB">
            <w:pPr>
              <w:pStyle w:val="12"/>
              <w:jc w:val="center"/>
              <w:rPr>
                <w:rFonts w:ascii="宋体" w:hAnsi="宋体"/>
              </w:rPr>
            </w:pPr>
            <w:r>
              <w:rPr>
                <w:rFonts w:hint="eastAsia" w:ascii="宋体" w:hAnsi="宋体"/>
              </w:rPr>
              <w:t>2</w:t>
            </w:r>
          </w:p>
        </w:tc>
        <w:tc>
          <w:tcPr>
            <w:tcW w:w="454" w:type="pct"/>
            <w:vAlign w:val="center"/>
          </w:tcPr>
          <w:p w14:paraId="52B9AA86">
            <w:pPr>
              <w:pStyle w:val="12"/>
              <w:jc w:val="center"/>
              <w:rPr>
                <w:rFonts w:ascii="宋体" w:hAnsi="宋体"/>
              </w:rPr>
            </w:pPr>
            <w:r>
              <w:rPr>
                <w:rFonts w:hint="eastAsia" w:ascii="宋体" w:hAnsi="宋体"/>
              </w:rPr>
              <w:t>750</w:t>
            </w:r>
          </w:p>
        </w:tc>
        <w:tc>
          <w:tcPr>
            <w:tcW w:w="454" w:type="pct"/>
            <w:vAlign w:val="center"/>
          </w:tcPr>
          <w:p w14:paraId="13D0D5C2">
            <w:pPr>
              <w:pStyle w:val="12"/>
              <w:jc w:val="center"/>
              <w:rPr>
                <w:rFonts w:ascii="宋体" w:hAnsi="宋体"/>
              </w:rPr>
            </w:pPr>
            <w:r>
              <w:rPr>
                <w:rFonts w:hint="eastAsia" w:ascii="宋体" w:hAnsi="宋体"/>
              </w:rPr>
              <w:t>—</w:t>
            </w:r>
          </w:p>
        </w:tc>
        <w:tc>
          <w:tcPr>
            <w:tcW w:w="454" w:type="pct"/>
            <w:vAlign w:val="center"/>
          </w:tcPr>
          <w:p w14:paraId="011572E4">
            <w:pPr>
              <w:pStyle w:val="12"/>
              <w:jc w:val="center"/>
              <w:rPr>
                <w:rFonts w:ascii="宋体" w:hAnsi="宋体"/>
              </w:rPr>
            </w:pPr>
            <w:r>
              <w:rPr>
                <w:rFonts w:hint="eastAsia" w:ascii="宋体" w:hAnsi="宋体"/>
              </w:rPr>
              <w:t>—</w:t>
            </w:r>
          </w:p>
        </w:tc>
        <w:tc>
          <w:tcPr>
            <w:tcW w:w="454" w:type="pct"/>
            <w:vAlign w:val="center"/>
          </w:tcPr>
          <w:p w14:paraId="4EFD3A3F">
            <w:pPr>
              <w:pStyle w:val="12"/>
              <w:jc w:val="center"/>
              <w:rPr>
                <w:rFonts w:ascii="宋体" w:hAnsi="宋体"/>
              </w:rPr>
            </w:pPr>
            <w:r>
              <w:rPr>
                <w:rFonts w:hint="eastAsia" w:ascii="宋体" w:hAnsi="宋体"/>
              </w:rPr>
              <w:t>—</w:t>
            </w:r>
          </w:p>
        </w:tc>
        <w:tc>
          <w:tcPr>
            <w:tcW w:w="454" w:type="pct"/>
            <w:vAlign w:val="center"/>
          </w:tcPr>
          <w:p w14:paraId="249F61C2">
            <w:pPr>
              <w:pStyle w:val="12"/>
              <w:jc w:val="center"/>
              <w:rPr>
                <w:rFonts w:ascii="宋体" w:hAnsi="宋体"/>
              </w:rPr>
            </w:pPr>
            <w:r>
              <w:rPr>
                <w:rFonts w:hint="eastAsia" w:ascii="宋体" w:hAnsi="宋体"/>
              </w:rPr>
              <w:t>—</w:t>
            </w:r>
          </w:p>
        </w:tc>
        <w:tc>
          <w:tcPr>
            <w:tcW w:w="455" w:type="pct"/>
            <w:vAlign w:val="center"/>
          </w:tcPr>
          <w:p w14:paraId="6CBBEBF2">
            <w:pPr>
              <w:pStyle w:val="12"/>
              <w:jc w:val="center"/>
              <w:rPr>
                <w:rFonts w:ascii="宋体" w:hAnsi="宋体"/>
              </w:rPr>
            </w:pPr>
            <w:r>
              <w:rPr>
                <w:rFonts w:hint="eastAsia" w:ascii="宋体" w:hAnsi="宋体"/>
              </w:rPr>
              <w:t>1</w:t>
            </w:r>
          </w:p>
        </w:tc>
        <w:tc>
          <w:tcPr>
            <w:tcW w:w="455" w:type="pct"/>
            <w:vAlign w:val="center"/>
          </w:tcPr>
          <w:p w14:paraId="233637BB">
            <w:pPr>
              <w:pStyle w:val="12"/>
              <w:jc w:val="center"/>
              <w:rPr>
                <w:rFonts w:ascii="宋体" w:hAnsi="宋体"/>
              </w:rPr>
            </w:pPr>
            <w:r>
              <w:rPr>
                <w:rFonts w:hint="eastAsia" w:ascii="宋体" w:hAnsi="宋体"/>
              </w:rPr>
              <w:t>250</w:t>
            </w:r>
          </w:p>
        </w:tc>
      </w:tr>
      <w:tr w14:paraId="0F2B27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454" w:type="pct"/>
            <w:vAlign w:val="center"/>
          </w:tcPr>
          <w:p w14:paraId="27BBB6F6">
            <w:pPr>
              <w:pStyle w:val="12"/>
              <w:jc w:val="center"/>
              <w:rPr>
                <w:rFonts w:ascii="宋体" w:hAnsi="宋体"/>
              </w:rPr>
            </w:pPr>
            <w:r>
              <w:rPr>
                <w:rFonts w:hint="eastAsia" w:ascii="宋体" w:hAnsi="宋体"/>
              </w:rPr>
              <w:t>乌迳</w:t>
            </w:r>
          </w:p>
        </w:tc>
        <w:tc>
          <w:tcPr>
            <w:tcW w:w="454" w:type="pct"/>
            <w:vAlign w:val="center"/>
          </w:tcPr>
          <w:p w14:paraId="3CA5CFBF">
            <w:pPr>
              <w:pStyle w:val="12"/>
              <w:jc w:val="center"/>
              <w:rPr>
                <w:rFonts w:ascii="宋体" w:hAnsi="宋体"/>
              </w:rPr>
            </w:pPr>
            <w:r>
              <w:rPr>
                <w:rFonts w:hint="eastAsia" w:ascii="宋体" w:hAnsi="宋体"/>
              </w:rPr>
              <w:t>9</w:t>
            </w:r>
          </w:p>
        </w:tc>
        <w:tc>
          <w:tcPr>
            <w:tcW w:w="454" w:type="pct"/>
            <w:vAlign w:val="center"/>
          </w:tcPr>
          <w:p w14:paraId="6C38EC55">
            <w:pPr>
              <w:pStyle w:val="12"/>
              <w:jc w:val="center"/>
              <w:rPr>
                <w:rFonts w:ascii="宋体" w:hAnsi="宋体"/>
              </w:rPr>
            </w:pPr>
            <w:r>
              <w:rPr>
                <w:rFonts w:hint="eastAsia" w:ascii="宋体" w:hAnsi="宋体"/>
              </w:rPr>
              <w:t>4500</w:t>
            </w:r>
          </w:p>
        </w:tc>
        <w:tc>
          <w:tcPr>
            <w:tcW w:w="454" w:type="pct"/>
            <w:vAlign w:val="center"/>
          </w:tcPr>
          <w:p w14:paraId="305FFAF8">
            <w:pPr>
              <w:pStyle w:val="12"/>
              <w:jc w:val="center"/>
              <w:rPr>
                <w:rFonts w:ascii="宋体" w:hAnsi="宋体"/>
              </w:rPr>
            </w:pPr>
            <w:r>
              <w:rPr>
                <w:rFonts w:hint="eastAsia" w:ascii="宋体" w:hAnsi="宋体"/>
              </w:rPr>
              <w:t>3</w:t>
            </w:r>
          </w:p>
        </w:tc>
        <w:tc>
          <w:tcPr>
            <w:tcW w:w="454" w:type="pct"/>
            <w:vAlign w:val="center"/>
          </w:tcPr>
          <w:p w14:paraId="71FC6B4A">
            <w:pPr>
              <w:pStyle w:val="12"/>
              <w:jc w:val="center"/>
              <w:rPr>
                <w:rFonts w:ascii="宋体" w:hAnsi="宋体"/>
              </w:rPr>
            </w:pPr>
            <w:r>
              <w:rPr>
                <w:rFonts w:hint="eastAsia" w:ascii="宋体" w:hAnsi="宋体"/>
              </w:rPr>
              <w:t>2250</w:t>
            </w:r>
          </w:p>
        </w:tc>
        <w:tc>
          <w:tcPr>
            <w:tcW w:w="454" w:type="pct"/>
            <w:vAlign w:val="center"/>
          </w:tcPr>
          <w:p w14:paraId="4DE5C1C2">
            <w:pPr>
              <w:pStyle w:val="12"/>
              <w:jc w:val="center"/>
              <w:rPr>
                <w:rFonts w:ascii="宋体" w:hAnsi="宋体"/>
              </w:rPr>
            </w:pPr>
            <w:r>
              <w:rPr>
                <w:rFonts w:hint="eastAsia" w:ascii="宋体" w:hAnsi="宋体"/>
              </w:rPr>
              <w:t>—</w:t>
            </w:r>
          </w:p>
        </w:tc>
        <w:tc>
          <w:tcPr>
            <w:tcW w:w="454" w:type="pct"/>
            <w:vAlign w:val="center"/>
          </w:tcPr>
          <w:p w14:paraId="668525D4">
            <w:pPr>
              <w:pStyle w:val="12"/>
              <w:jc w:val="center"/>
              <w:rPr>
                <w:rFonts w:ascii="宋体" w:hAnsi="宋体"/>
              </w:rPr>
            </w:pPr>
            <w:r>
              <w:rPr>
                <w:rFonts w:hint="eastAsia" w:ascii="宋体" w:hAnsi="宋体"/>
              </w:rPr>
              <w:t>—</w:t>
            </w:r>
          </w:p>
        </w:tc>
        <w:tc>
          <w:tcPr>
            <w:tcW w:w="454" w:type="pct"/>
            <w:vAlign w:val="center"/>
          </w:tcPr>
          <w:p w14:paraId="18B7C828">
            <w:pPr>
              <w:pStyle w:val="12"/>
              <w:jc w:val="center"/>
              <w:rPr>
                <w:rFonts w:ascii="宋体" w:hAnsi="宋体"/>
              </w:rPr>
            </w:pPr>
            <w:r>
              <w:rPr>
                <w:rFonts w:hint="eastAsia" w:ascii="宋体" w:hAnsi="宋体"/>
              </w:rPr>
              <w:t>4</w:t>
            </w:r>
          </w:p>
        </w:tc>
        <w:tc>
          <w:tcPr>
            <w:tcW w:w="454" w:type="pct"/>
            <w:vAlign w:val="center"/>
          </w:tcPr>
          <w:p w14:paraId="1E87151A">
            <w:pPr>
              <w:pStyle w:val="12"/>
              <w:jc w:val="center"/>
              <w:rPr>
                <w:rFonts w:ascii="宋体" w:hAnsi="宋体"/>
              </w:rPr>
            </w:pPr>
            <w:r>
              <w:rPr>
                <w:rFonts w:hint="eastAsia" w:ascii="宋体" w:hAnsi="宋体"/>
              </w:rPr>
              <w:t>1000</w:t>
            </w:r>
          </w:p>
        </w:tc>
        <w:tc>
          <w:tcPr>
            <w:tcW w:w="455" w:type="pct"/>
            <w:vAlign w:val="center"/>
          </w:tcPr>
          <w:p w14:paraId="7B192C5D">
            <w:pPr>
              <w:pStyle w:val="12"/>
              <w:jc w:val="center"/>
              <w:rPr>
                <w:rFonts w:ascii="宋体" w:hAnsi="宋体"/>
              </w:rPr>
            </w:pPr>
            <w:r>
              <w:rPr>
                <w:rFonts w:hint="eastAsia" w:ascii="宋体" w:hAnsi="宋体"/>
              </w:rPr>
              <w:t>2</w:t>
            </w:r>
          </w:p>
        </w:tc>
        <w:tc>
          <w:tcPr>
            <w:tcW w:w="455" w:type="pct"/>
            <w:vAlign w:val="center"/>
          </w:tcPr>
          <w:p w14:paraId="5FE4072C">
            <w:pPr>
              <w:pStyle w:val="12"/>
              <w:jc w:val="center"/>
              <w:rPr>
                <w:rFonts w:ascii="宋体" w:hAnsi="宋体"/>
              </w:rPr>
            </w:pPr>
            <w:r>
              <w:rPr>
                <w:rFonts w:hint="eastAsia" w:ascii="宋体" w:hAnsi="宋体"/>
              </w:rPr>
              <w:t>1400</w:t>
            </w:r>
          </w:p>
        </w:tc>
      </w:tr>
      <w:tr w14:paraId="054EF9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14:paraId="11F9A0A4">
            <w:pPr>
              <w:pStyle w:val="12"/>
              <w:jc w:val="center"/>
              <w:rPr>
                <w:rFonts w:ascii="宋体" w:hAnsi="宋体"/>
              </w:rPr>
            </w:pPr>
            <w:r>
              <w:rPr>
                <w:rFonts w:hint="eastAsia" w:ascii="宋体" w:hAnsi="宋体"/>
              </w:rPr>
              <w:t>孔江</w:t>
            </w:r>
          </w:p>
        </w:tc>
        <w:tc>
          <w:tcPr>
            <w:tcW w:w="454" w:type="pct"/>
            <w:vAlign w:val="center"/>
          </w:tcPr>
          <w:p w14:paraId="0FEE1586">
            <w:pPr>
              <w:pStyle w:val="12"/>
              <w:jc w:val="center"/>
              <w:rPr>
                <w:rFonts w:ascii="宋体" w:hAnsi="宋体"/>
              </w:rPr>
            </w:pPr>
            <w:r>
              <w:rPr>
                <w:rFonts w:hint="eastAsia" w:ascii="宋体" w:hAnsi="宋体"/>
              </w:rPr>
              <w:t>1</w:t>
            </w:r>
          </w:p>
        </w:tc>
        <w:tc>
          <w:tcPr>
            <w:tcW w:w="454" w:type="pct"/>
            <w:vAlign w:val="center"/>
          </w:tcPr>
          <w:p w14:paraId="14E3A7C6">
            <w:pPr>
              <w:pStyle w:val="12"/>
              <w:jc w:val="center"/>
              <w:rPr>
                <w:rFonts w:ascii="宋体" w:hAnsi="宋体"/>
              </w:rPr>
            </w:pPr>
            <w:r>
              <w:rPr>
                <w:rFonts w:hint="eastAsia" w:ascii="宋体" w:hAnsi="宋体"/>
              </w:rPr>
              <w:t>500</w:t>
            </w:r>
          </w:p>
        </w:tc>
        <w:tc>
          <w:tcPr>
            <w:tcW w:w="454" w:type="pct"/>
            <w:vAlign w:val="center"/>
          </w:tcPr>
          <w:p w14:paraId="0034DA31">
            <w:pPr>
              <w:pStyle w:val="12"/>
              <w:jc w:val="center"/>
              <w:rPr>
                <w:rFonts w:ascii="宋体" w:hAnsi="宋体"/>
              </w:rPr>
            </w:pPr>
            <w:r>
              <w:rPr>
                <w:rFonts w:hint="eastAsia" w:ascii="宋体" w:hAnsi="宋体"/>
              </w:rPr>
              <w:t>1</w:t>
            </w:r>
          </w:p>
        </w:tc>
        <w:tc>
          <w:tcPr>
            <w:tcW w:w="454" w:type="pct"/>
            <w:vAlign w:val="center"/>
          </w:tcPr>
          <w:p w14:paraId="792B97BC">
            <w:pPr>
              <w:pStyle w:val="12"/>
              <w:jc w:val="center"/>
              <w:rPr>
                <w:rFonts w:ascii="宋体" w:hAnsi="宋体"/>
              </w:rPr>
            </w:pPr>
            <w:r>
              <w:rPr>
                <w:rFonts w:hint="eastAsia" w:ascii="宋体" w:hAnsi="宋体"/>
              </w:rPr>
              <w:t>500</w:t>
            </w:r>
          </w:p>
        </w:tc>
        <w:tc>
          <w:tcPr>
            <w:tcW w:w="454" w:type="pct"/>
            <w:vAlign w:val="center"/>
          </w:tcPr>
          <w:p w14:paraId="0C67DA21">
            <w:pPr>
              <w:pStyle w:val="12"/>
              <w:jc w:val="center"/>
              <w:rPr>
                <w:rFonts w:ascii="宋体" w:hAnsi="宋体"/>
              </w:rPr>
            </w:pPr>
            <w:r>
              <w:rPr>
                <w:rFonts w:hint="eastAsia" w:ascii="宋体" w:hAnsi="宋体"/>
              </w:rPr>
              <w:t>—</w:t>
            </w:r>
          </w:p>
        </w:tc>
        <w:tc>
          <w:tcPr>
            <w:tcW w:w="454" w:type="pct"/>
            <w:vAlign w:val="center"/>
          </w:tcPr>
          <w:p w14:paraId="6AE57B20">
            <w:pPr>
              <w:pStyle w:val="12"/>
              <w:jc w:val="center"/>
              <w:rPr>
                <w:rFonts w:ascii="宋体" w:hAnsi="宋体"/>
              </w:rPr>
            </w:pPr>
            <w:r>
              <w:rPr>
                <w:rFonts w:hint="eastAsia" w:ascii="宋体" w:hAnsi="宋体"/>
              </w:rPr>
              <w:t>—</w:t>
            </w:r>
          </w:p>
        </w:tc>
        <w:tc>
          <w:tcPr>
            <w:tcW w:w="454" w:type="pct"/>
            <w:vAlign w:val="center"/>
          </w:tcPr>
          <w:p w14:paraId="5BECC88B">
            <w:pPr>
              <w:pStyle w:val="12"/>
              <w:jc w:val="center"/>
              <w:rPr>
                <w:rFonts w:ascii="宋体" w:hAnsi="宋体"/>
              </w:rPr>
            </w:pPr>
            <w:r>
              <w:rPr>
                <w:rFonts w:hint="eastAsia" w:ascii="宋体" w:hAnsi="宋体"/>
              </w:rPr>
              <w:t>—</w:t>
            </w:r>
          </w:p>
        </w:tc>
        <w:tc>
          <w:tcPr>
            <w:tcW w:w="454" w:type="pct"/>
            <w:vAlign w:val="center"/>
          </w:tcPr>
          <w:p w14:paraId="35231D05">
            <w:pPr>
              <w:pStyle w:val="12"/>
              <w:jc w:val="center"/>
              <w:rPr>
                <w:rFonts w:ascii="宋体" w:hAnsi="宋体"/>
              </w:rPr>
            </w:pPr>
            <w:r>
              <w:rPr>
                <w:rFonts w:hint="eastAsia" w:ascii="宋体" w:hAnsi="宋体"/>
              </w:rPr>
              <w:t>—</w:t>
            </w:r>
          </w:p>
        </w:tc>
        <w:tc>
          <w:tcPr>
            <w:tcW w:w="455" w:type="pct"/>
            <w:vAlign w:val="center"/>
          </w:tcPr>
          <w:p w14:paraId="1A135FC2">
            <w:pPr>
              <w:pStyle w:val="12"/>
              <w:jc w:val="center"/>
              <w:rPr>
                <w:rFonts w:ascii="宋体" w:hAnsi="宋体"/>
              </w:rPr>
            </w:pPr>
            <w:r>
              <w:rPr>
                <w:rFonts w:hint="eastAsia" w:ascii="宋体" w:hAnsi="宋体"/>
              </w:rPr>
              <w:t>—</w:t>
            </w:r>
          </w:p>
        </w:tc>
        <w:tc>
          <w:tcPr>
            <w:tcW w:w="455" w:type="pct"/>
            <w:vAlign w:val="center"/>
          </w:tcPr>
          <w:p w14:paraId="1C3C0E84">
            <w:pPr>
              <w:pStyle w:val="12"/>
              <w:jc w:val="center"/>
              <w:rPr>
                <w:rFonts w:ascii="宋体" w:hAnsi="宋体"/>
              </w:rPr>
            </w:pPr>
            <w:r>
              <w:rPr>
                <w:rFonts w:hint="eastAsia" w:ascii="宋体" w:hAnsi="宋体"/>
              </w:rPr>
              <w:t>—</w:t>
            </w:r>
          </w:p>
        </w:tc>
      </w:tr>
      <w:tr w14:paraId="36881A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14:paraId="339F17D6">
            <w:pPr>
              <w:pStyle w:val="12"/>
              <w:jc w:val="center"/>
              <w:rPr>
                <w:rFonts w:ascii="宋体" w:hAnsi="宋体"/>
              </w:rPr>
            </w:pPr>
            <w:r>
              <w:rPr>
                <w:rFonts w:hint="eastAsia" w:ascii="宋体" w:hAnsi="宋体"/>
              </w:rPr>
              <w:t>新龙</w:t>
            </w:r>
          </w:p>
        </w:tc>
        <w:tc>
          <w:tcPr>
            <w:tcW w:w="454" w:type="pct"/>
            <w:vAlign w:val="center"/>
          </w:tcPr>
          <w:p w14:paraId="4000135D">
            <w:pPr>
              <w:pStyle w:val="12"/>
              <w:jc w:val="center"/>
              <w:rPr>
                <w:rFonts w:ascii="宋体" w:hAnsi="宋体"/>
              </w:rPr>
            </w:pPr>
            <w:r>
              <w:rPr>
                <w:rFonts w:hint="eastAsia" w:ascii="宋体" w:hAnsi="宋体"/>
              </w:rPr>
              <w:t>3</w:t>
            </w:r>
          </w:p>
        </w:tc>
        <w:tc>
          <w:tcPr>
            <w:tcW w:w="454" w:type="pct"/>
            <w:vAlign w:val="center"/>
          </w:tcPr>
          <w:p w14:paraId="581F6C5A">
            <w:pPr>
              <w:pStyle w:val="12"/>
              <w:jc w:val="center"/>
              <w:rPr>
                <w:rFonts w:ascii="宋体" w:hAnsi="宋体"/>
              </w:rPr>
            </w:pPr>
            <w:r>
              <w:rPr>
                <w:rFonts w:hint="eastAsia" w:ascii="宋体" w:hAnsi="宋体"/>
              </w:rPr>
              <w:t>2250</w:t>
            </w:r>
          </w:p>
        </w:tc>
        <w:tc>
          <w:tcPr>
            <w:tcW w:w="454" w:type="pct"/>
            <w:vAlign w:val="center"/>
          </w:tcPr>
          <w:p w14:paraId="1B2DBE58">
            <w:pPr>
              <w:pStyle w:val="12"/>
              <w:jc w:val="center"/>
              <w:rPr>
                <w:rFonts w:ascii="宋体" w:hAnsi="宋体"/>
              </w:rPr>
            </w:pPr>
            <w:r>
              <w:rPr>
                <w:rFonts w:hint="eastAsia" w:ascii="宋体" w:hAnsi="宋体"/>
              </w:rPr>
              <w:t>2</w:t>
            </w:r>
          </w:p>
        </w:tc>
        <w:tc>
          <w:tcPr>
            <w:tcW w:w="454" w:type="pct"/>
            <w:vAlign w:val="center"/>
          </w:tcPr>
          <w:p w14:paraId="617F08E9">
            <w:pPr>
              <w:pStyle w:val="12"/>
              <w:jc w:val="center"/>
              <w:rPr>
                <w:rFonts w:ascii="宋体" w:hAnsi="宋体"/>
              </w:rPr>
            </w:pPr>
            <w:r>
              <w:rPr>
                <w:rFonts w:hint="eastAsia" w:ascii="宋体" w:hAnsi="宋体"/>
              </w:rPr>
              <w:t>1000</w:t>
            </w:r>
          </w:p>
        </w:tc>
        <w:tc>
          <w:tcPr>
            <w:tcW w:w="454" w:type="pct"/>
            <w:vAlign w:val="center"/>
          </w:tcPr>
          <w:p w14:paraId="57B65A4D">
            <w:pPr>
              <w:pStyle w:val="12"/>
              <w:jc w:val="center"/>
              <w:rPr>
                <w:rFonts w:ascii="宋体" w:hAnsi="宋体"/>
              </w:rPr>
            </w:pPr>
            <w:r>
              <w:rPr>
                <w:rFonts w:hint="eastAsia" w:ascii="宋体" w:hAnsi="宋体"/>
              </w:rPr>
              <w:t>1</w:t>
            </w:r>
          </w:p>
        </w:tc>
        <w:tc>
          <w:tcPr>
            <w:tcW w:w="454" w:type="pct"/>
            <w:vAlign w:val="center"/>
          </w:tcPr>
          <w:p w14:paraId="5608B18F">
            <w:pPr>
              <w:pStyle w:val="12"/>
              <w:jc w:val="center"/>
              <w:rPr>
                <w:rFonts w:ascii="宋体" w:hAnsi="宋体"/>
              </w:rPr>
            </w:pPr>
            <w:r>
              <w:rPr>
                <w:rFonts w:hint="eastAsia" w:ascii="宋体" w:hAnsi="宋体"/>
              </w:rPr>
              <w:t>1250</w:t>
            </w:r>
          </w:p>
        </w:tc>
        <w:tc>
          <w:tcPr>
            <w:tcW w:w="454" w:type="pct"/>
            <w:vAlign w:val="center"/>
          </w:tcPr>
          <w:p w14:paraId="639C4FC7">
            <w:pPr>
              <w:pStyle w:val="12"/>
              <w:jc w:val="center"/>
              <w:rPr>
                <w:rFonts w:ascii="宋体" w:hAnsi="宋体"/>
              </w:rPr>
            </w:pPr>
            <w:r>
              <w:rPr>
                <w:rFonts w:hint="eastAsia" w:ascii="宋体" w:hAnsi="宋体"/>
              </w:rPr>
              <w:t>—</w:t>
            </w:r>
          </w:p>
        </w:tc>
        <w:tc>
          <w:tcPr>
            <w:tcW w:w="454" w:type="pct"/>
            <w:vAlign w:val="center"/>
          </w:tcPr>
          <w:p w14:paraId="5D10CE7B">
            <w:pPr>
              <w:pStyle w:val="12"/>
              <w:jc w:val="center"/>
              <w:rPr>
                <w:rFonts w:ascii="宋体" w:hAnsi="宋体"/>
              </w:rPr>
            </w:pPr>
            <w:r>
              <w:rPr>
                <w:rFonts w:hint="eastAsia" w:ascii="宋体" w:hAnsi="宋体"/>
              </w:rPr>
              <w:t>—</w:t>
            </w:r>
          </w:p>
        </w:tc>
        <w:tc>
          <w:tcPr>
            <w:tcW w:w="455" w:type="pct"/>
            <w:vAlign w:val="center"/>
          </w:tcPr>
          <w:p w14:paraId="121CEFDD">
            <w:pPr>
              <w:pStyle w:val="12"/>
              <w:jc w:val="center"/>
              <w:rPr>
                <w:rFonts w:ascii="宋体" w:hAnsi="宋体"/>
              </w:rPr>
            </w:pPr>
            <w:r>
              <w:rPr>
                <w:rFonts w:hint="eastAsia" w:ascii="宋体" w:hAnsi="宋体"/>
              </w:rPr>
              <w:t>—</w:t>
            </w:r>
          </w:p>
        </w:tc>
        <w:tc>
          <w:tcPr>
            <w:tcW w:w="455" w:type="pct"/>
            <w:vAlign w:val="center"/>
          </w:tcPr>
          <w:p w14:paraId="7A3F2DAD">
            <w:pPr>
              <w:pStyle w:val="12"/>
              <w:jc w:val="center"/>
              <w:rPr>
                <w:rFonts w:ascii="宋体" w:hAnsi="宋体"/>
              </w:rPr>
            </w:pPr>
            <w:r>
              <w:rPr>
                <w:rFonts w:hint="eastAsia" w:ascii="宋体" w:hAnsi="宋体"/>
              </w:rPr>
              <w:t>—</w:t>
            </w:r>
          </w:p>
        </w:tc>
      </w:tr>
      <w:tr w14:paraId="2214E3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14:paraId="33636AF0">
            <w:pPr>
              <w:pStyle w:val="12"/>
              <w:jc w:val="center"/>
              <w:rPr>
                <w:rFonts w:ascii="宋体" w:hAnsi="宋体"/>
              </w:rPr>
            </w:pPr>
            <w:r>
              <w:rPr>
                <w:rFonts w:hint="eastAsia" w:ascii="宋体" w:hAnsi="宋体"/>
              </w:rPr>
              <w:t>坪田</w:t>
            </w:r>
          </w:p>
        </w:tc>
        <w:tc>
          <w:tcPr>
            <w:tcW w:w="454" w:type="pct"/>
            <w:vAlign w:val="center"/>
          </w:tcPr>
          <w:p w14:paraId="12C698C4">
            <w:pPr>
              <w:pStyle w:val="12"/>
              <w:jc w:val="center"/>
              <w:rPr>
                <w:rFonts w:ascii="宋体" w:hAnsi="宋体"/>
              </w:rPr>
            </w:pPr>
            <w:r>
              <w:rPr>
                <w:rFonts w:hint="eastAsia" w:ascii="宋体" w:hAnsi="宋体"/>
              </w:rPr>
              <w:t>2</w:t>
            </w:r>
          </w:p>
        </w:tc>
        <w:tc>
          <w:tcPr>
            <w:tcW w:w="454" w:type="pct"/>
            <w:vAlign w:val="center"/>
          </w:tcPr>
          <w:p w14:paraId="234DFCA5">
            <w:pPr>
              <w:pStyle w:val="12"/>
              <w:jc w:val="center"/>
              <w:rPr>
                <w:rFonts w:ascii="宋体" w:hAnsi="宋体"/>
              </w:rPr>
            </w:pPr>
            <w:r>
              <w:rPr>
                <w:rFonts w:hint="eastAsia" w:ascii="宋体" w:hAnsi="宋体"/>
              </w:rPr>
              <w:t>750</w:t>
            </w:r>
          </w:p>
        </w:tc>
        <w:tc>
          <w:tcPr>
            <w:tcW w:w="454" w:type="pct"/>
            <w:vAlign w:val="center"/>
          </w:tcPr>
          <w:p w14:paraId="360A155A">
            <w:pPr>
              <w:pStyle w:val="12"/>
              <w:jc w:val="center"/>
              <w:rPr>
                <w:rFonts w:ascii="宋体" w:hAnsi="宋体"/>
              </w:rPr>
            </w:pPr>
            <w:r>
              <w:rPr>
                <w:rFonts w:hint="eastAsia" w:ascii="宋体" w:hAnsi="宋体"/>
              </w:rPr>
              <w:t>1</w:t>
            </w:r>
          </w:p>
        </w:tc>
        <w:tc>
          <w:tcPr>
            <w:tcW w:w="454" w:type="pct"/>
            <w:vAlign w:val="center"/>
          </w:tcPr>
          <w:p w14:paraId="64E1A319">
            <w:pPr>
              <w:pStyle w:val="12"/>
              <w:jc w:val="center"/>
              <w:rPr>
                <w:rFonts w:ascii="宋体" w:hAnsi="宋体"/>
              </w:rPr>
            </w:pPr>
            <w:r>
              <w:rPr>
                <w:rFonts w:hint="eastAsia" w:ascii="宋体" w:hAnsi="宋体"/>
              </w:rPr>
              <w:t>250</w:t>
            </w:r>
          </w:p>
        </w:tc>
        <w:tc>
          <w:tcPr>
            <w:tcW w:w="454" w:type="pct"/>
            <w:vAlign w:val="center"/>
          </w:tcPr>
          <w:p w14:paraId="239E0D24">
            <w:pPr>
              <w:pStyle w:val="12"/>
              <w:jc w:val="center"/>
              <w:rPr>
                <w:rFonts w:ascii="宋体" w:hAnsi="宋体"/>
              </w:rPr>
            </w:pPr>
            <w:r>
              <w:rPr>
                <w:rFonts w:hint="eastAsia" w:ascii="宋体" w:hAnsi="宋体"/>
              </w:rPr>
              <w:t>1</w:t>
            </w:r>
          </w:p>
        </w:tc>
        <w:tc>
          <w:tcPr>
            <w:tcW w:w="454" w:type="pct"/>
            <w:vAlign w:val="center"/>
          </w:tcPr>
          <w:p w14:paraId="2C1D8B73">
            <w:pPr>
              <w:pStyle w:val="12"/>
              <w:jc w:val="center"/>
              <w:rPr>
                <w:rFonts w:ascii="宋体" w:hAnsi="宋体"/>
              </w:rPr>
            </w:pPr>
            <w:r>
              <w:rPr>
                <w:rFonts w:hint="eastAsia" w:ascii="宋体" w:hAnsi="宋体"/>
              </w:rPr>
              <w:t>500</w:t>
            </w:r>
          </w:p>
        </w:tc>
        <w:tc>
          <w:tcPr>
            <w:tcW w:w="454" w:type="pct"/>
            <w:vAlign w:val="center"/>
          </w:tcPr>
          <w:p w14:paraId="732747B0">
            <w:pPr>
              <w:pStyle w:val="12"/>
              <w:jc w:val="center"/>
              <w:rPr>
                <w:rFonts w:ascii="宋体" w:hAnsi="宋体"/>
              </w:rPr>
            </w:pPr>
            <w:r>
              <w:rPr>
                <w:rFonts w:hint="eastAsia" w:ascii="宋体" w:hAnsi="宋体"/>
              </w:rPr>
              <w:t>—</w:t>
            </w:r>
          </w:p>
        </w:tc>
        <w:tc>
          <w:tcPr>
            <w:tcW w:w="454" w:type="pct"/>
            <w:vAlign w:val="center"/>
          </w:tcPr>
          <w:p w14:paraId="67CF06BF">
            <w:pPr>
              <w:pStyle w:val="12"/>
              <w:jc w:val="center"/>
              <w:rPr>
                <w:rFonts w:ascii="宋体" w:hAnsi="宋体"/>
              </w:rPr>
            </w:pPr>
            <w:r>
              <w:rPr>
                <w:rFonts w:hint="eastAsia" w:ascii="宋体" w:hAnsi="宋体"/>
              </w:rPr>
              <w:t>—</w:t>
            </w:r>
          </w:p>
        </w:tc>
        <w:tc>
          <w:tcPr>
            <w:tcW w:w="455" w:type="pct"/>
            <w:vAlign w:val="center"/>
          </w:tcPr>
          <w:p w14:paraId="3BA24C25">
            <w:pPr>
              <w:pStyle w:val="12"/>
              <w:jc w:val="center"/>
              <w:rPr>
                <w:rFonts w:ascii="宋体" w:hAnsi="宋体"/>
              </w:rPr>
            </w:pPr>
            <w:r>
              <w:rPr>
                <w:rFonts w:hint="eastAsia" w:ascii="宋体" w:hAnsi="宋体"/>
              </w:rPr>
              <w:t>—</w:t>
            </w:r>
          </w:p>
        </w:tc>
        <w:tc>
          <w:tcPr>
            <w:tcW w:w="455" w:type="pct"/>
            <w:vAlign w:val="center"/>
          </w:tcPr>
          <w:p w14:paraId="306E55D0">
            <w:pPr>
              <w:pStyle w:val="12"/>
              <w:jc w:val="center"/>
              <w:rPr>
                <w:rFonts w:ascii="宋体" w:hAnsi="宋体"/>
              </w:rPr>
            </w:pPr>
            <w:r>
              <w:rPr>
                <w:rFonts w:hint="eastAsia" w:ascii="宋体" w:hAnsi="宋体"/>
              </w:rPr>
              <w:t>—</w:t>
            </w:r>
          </w:p>
        </w:tc>
      </w:tr>
      <w:tr w14:paraId="250734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14:paraId="550B98BD">
            <w:pPr>
              <w:pStyle w:val="12"/>
              <w:jc w:val="center"/>
              <w:rPr>
                <w:rFonts w:ascii="宋体" w:hAnsi="宋体"/>
              </w:rPr>
            </w:pPr>
            <w:r>
              <w:rPr>
                <w:rFonts w:hint="eastAsia" w:ascii="宋体" w:hAnsi="宋体"/>
              </w:rPr>
              <w:t>界址</w:t>
            </w:r>
          </w:p>
        </w:tc>
        <w:tc>
          <w:tcPr>
            <w:tcW w:w="454" w:type="pct"/>
            <w:vAlign w:val="center"/>
          </w:tcPr>
          <w:p w14:paraId="7A3D2132">
            <w:pPr>
              <w:pStyle w:val="12"/>
              <w:jc w:val="center"/>
              <w:rPr>
                <w:rFonts w:ascii="宋体" w:hAnsi="宋体"/>
              </w:rPr>
            </w:pPr>
            <w:r>
              <w:rPr>
                <w:rFonts w:hint="eastAsia" w:ascii="宋体" w:hAnsi="宋体"/>
              </w:rPr>
              <w:t>2</w:t>
            </w:r>
          </w:p>
        </w:tc>
        <w:tc>
          <w:tcPr>
            <w:tcW w:w="454" w:type="pct"/>
            <w:vAlign w:val="center"/>
          </w:tcPr>
          <w:p w14:paraId="28DE17C4">
            <w:pPr>
              <w:pStyle w:val="12"/>
              <w:jc w:val="center"/>
              <w:rPr>
                <w:rFonts w:ascii="宋体" w:hAnsi="宋体"/>
              </w:rPr>
            </w:pPr>
            <w:r>
              <w:rPr>
                <w:rFonts w:hint="eastAsia" w:ascii="宋体" w:hAnsi="宋体"/>
              </w:rPr>
              <w:t>1250</w:t>
            </w:r>
          </w:p>
        </w:tc>
        <w:tc>
          <w:tcPr>
            <w:tcW w:w="454" w:type="pct"/>
            <w:vAlign w:val="center"/>
          </w:tcPr>
          <w:p w14:paraId="3A171E3B">
            <w:pPr>
              <w:pStyle w:val="12"/>
              <w:jc w:val="center"/>
              <w:rPr>
                <w:rFonts w:ascii="宋体" w:hAnsi="宋体"/>
              </w:rPr>
            </w:pPr>
            <w:r>
              <w:rPr>
                <w:rFonts w:hint="eastAsia" w:ascii="宋体" w:hAnsi="宋体"/>
              </w:rPr>
              <w:t>—</w:t>
            </w:r>
          </w:p>
        </w:tc>
        <w:tc>
          <w:tcPr>
            <w:tcW w:w="454" w:type="pct"/>
            <w:vAlign w:val="center"/>
          </w:tcPr>
          <w:p w14:paraId="6634F885">
            <w:pPr>
              <w:pStyle w:val="12"/>
              <w:jc w:val="center"/>
              <w:rPr>
                <w:rFonts w:ascii="宋体" w:hAnsi="宋体"/>
              </w:rPr>
            </w:pPr>
            <w:r>
              <w:rPr>
                <w:rFonts w:hint="eastAsia" w:ascii="宋体" w:hAnsi="宋体"/>
              </w:rPr>
              <w:t>—</w:t>
            </w:r>
          </w:p>
        </w:tc>
        <w:tc>
          <w:tcPr>
            <w:tcW w:w="454" w:type="pct"/>
            <w:vAlign w:val="center"/>
          </w:tcPr>
          <w:p w14:paraId="54BC98D1">
            <w:pPr>
              <w:pStyle w:val="12"/>
              <w:jc w:val="center"/>
              <w:rPr>
                <w:rFonts w:ascii="宋体" w:hAnsi="宋体"/>
              </w:rPr>
            </w:pPr>
            <w:r>
              <w:rPr>
                <w:rFonts w:hint="eastAsia" w:ascii="宋体" w:hAnsi="宋体"/>
              </w:rPr>
              <w:t>1</w:t>
            </w:r>
          </w:p>
        </w:tc>
        <w:tc>
          <w:tcPr>
            <w:tcW w:w="454" w:type="pct"/>
            <w:vAlign w:val="center"/>
          </w:tcPr>
          <w:p w14:paraId="48E4FE0A">
            <w:pPr>
              <w:pStyle w:val="12"/>
              <w:jc w:val="center"/>
              <w:rPr>
                <w:rFonts w:ascii="宋体" w:hAnsi="宋体"/>
              </w:rPr>
            </w:pPr>
            <w:r>
              <w:rPr>
                <w:rFonts w:hint="eastAsia" w:ascii="宋体" w:hAnsi="宋体"/>
              </w:rPr>
              <w:t>750</w:t>
            </w:r>
          </w:p>
        </w:tc>
        <w:tc>
          <w:tcPr>
            <w:tcW w:w="454" w:type="pct"/>
            <w:vAlign w:val="center"/>
          </w:tcPr>
          <w:p w14:paraId="32D5836C">
            <w:pPr>
              <w:pStyle w:val="12"/>
              <w:jc w:val="center"/>
              <w:rPr>
                <w:rFonts w:ascii="宋体" w:hAnsi="宋体"/>
              </w:rPr>
            </w:pPr>
            <w:r>
              <w:rPr>
                <w:rFonts w:hint="eastAsia" w:ascii="宋体" w:hAnsi="宋体"/>
              </w:rPr>
              <w:t>—</w:t>
            </w:r>
          </w:p>
        </w:tc>
        <w:tc>
          <w:tcPr>
            <w:tcW w:w="454" w:type="pct"/>
            <w:vAlign w:val="center"/>
          </w:tcPr>
          <w:p w14:paraId="47DDEB8B">
            <w:pPr>
              <w:pStyle w:val="12"/>
              <w:jc w:val="center"/>
              <w:rPr>
                <w:rFonts w:ascii="宋体" w:hAnsi="宋体"/>
              </w:rPr>
            </w:pPr>
            <w:r>
              <w:rPr>
                <w:rFonts w:hint="eastAsia" w:ascii="宋体" w:hAnsi="宋体"/>
              </w:rPr>
              <w:t>—</w:t>
            </w:r>
          </w:p>
        </w:tc>
        <w:tc>
          <w:tcPr>
            <w:tcW w:w="455" w:type="pct"/>
            <w:vAlign w:val="center"/>
          </w:tcPr>
          <w:p w14:paraId="74586641">
            <w:pPr>
              <w:pStyle w:val="12"/>
              <w:jc w:val="center"/>
              <w:rPr>
                <w:rFonts w:ascii="宋体" w:hAnsi="宋体"/>
              </w:rPr>
            </w:pPr>
            <w:r>
              <w:rPr>
                <w:rFonts w:hint="eastAsia" w:ascii="宋体" w:hAnsi="宋体"/>
              </w:rPr>
              <w:t>1</w:t>
            </w:r>
          </w:p>
        </w:tc>
        <w:tc>
          <w:tcPr>
            <w:tcW w:w="455" w:type="pct"/>
            <w:vAlign w:val="center"/>
          </w:tcPr>
          <w:p w14:paraId="32DA25F1">
            <w:pPr>
              <w:pStyle w:val="12"/>
              <w:jc w:val="center"/>
              <w:rPr>
                <w:rFonts w:ascii="宋体" w:hAnsi="宋体"/>
              </w:rPr>
            </w:pPr>
            <w:r>
              <w:rPr>
                <w:rFonts w:hint="eastAsia" w:ascii="宋体" w:hAnsi="宋体"/>
              </w:rPr>
              <w:t>500</w:t>
            </w:r>
          </w:p>
        </w:tc>
      </w:tr>
      <w:tr w14:paraId="13D758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14:paraId="6363747F">
            <w:pPr>
              <w:pStyle w:val="12"/>
              <w:jc w:val="center"/>
              <w:rPr>
                <w:rFonts w:ascii="宋体" w:hAnsi="宋体"/>
              </w:rPr>
            </w:pPr>
            <w:r>
              <w:rPr>
                <w:rFonts w:hint="eastAsia" w:ascii="宋体" w:hAnsi="宋体"/>
              </w:rPr>
              <w:t>水口</w:t>
            </w:r>
          </w:p>
        </w:tc>
        <w:tc>
          <w:tcPr>
            <w:tcW w:w="454" w:type="pct"/>
            <w:vAlign w:val="center"/>
          </w:tcPr>
          <w:p w14:paraId="08FC9E1B">
            <w:pPr>
              <w:pStyle w:val="12"/>
              <w:jc w:val="center"/>
              <w:rPr>
                <w:rFonts w:ascii="宋体" w:hAnsi="宋体"/>
              </w:rPr>
            </w:pPr>
            <w:r>
              <w:rPr>
                <w:rFonts w:hint="eastAsia" w:ascii="宋体" w:hAnsi="宋体"/>
              </w:rPr>
              <w:t>3</w:t>
            </w:r>
          </w:p>
        </w:tc>
        <w:tc>
          <w:tcPr>
            <w:tcW w:w="454" w:type="pct"/>
            <w:vAlign w:val="center"/>
          </w:tcPr>
          <w:p w14:paraId="50ED6005">
            <w:pPr>
              <w:pStyle w:val="12"/>
              <w:jc w:val="center"/>
              <w:rPr>
                <w:rFonts w:ascii="宋体" w:hAnsi="宋体"/>
              </w:rPr>
            </w:pPr>
            <w:r>
              <w:rPr>
                <w:rFonts w:hint="eastAsia" w:ascii="宋体" w:hAnsi="宋体"/>
              </w:rPr>
              <w:t>2500</w:t>
            </w:r>
          </w:p>
        </w:tc>
        <w:tc>
          <w:tcPr>
            <w:tcW w:w="454" w:type="pct"/>
            <w:vAlign w:val="center"/>
          </w:tcPr>
          <w:p w14:paraId="7127ACF7">
            <w:pPr>
              <w:pStyle w:val="12"/>
              <w:jc w:val="center"/>
              <w:rPr>
                <w:rFonts w:ascii="宋体" w:hAnsi="宋体"/>
              </w:rPr>
            </w:pPr>
            <w:r>
              <w:rPr>
                <w:rFonts w:hint="eastAsia" w:ascii="宋体" w:hAnsi="宋体"/>
              </w:rPr>
              <w:t>2</w:t>
            </w:r>
          </w:p>
        </w:tc>
        <w:tc>
          <w:tcPr>
            <w:tcW w:w="454" w:type="pct"/>
            <w:vAlign w:val="center"/>
          </w:tcPr>
          <w:p w14:paraId="42B3C7D5">
            <w:pPr>
              <w:pStyle w:val="12"/>
              <w:jc w:val="center"/>
              <w:rPr>
                <w:rFonts w:ascii="宋体" w:hAnsi="宋体"/>
              </w:rPr>
            </w:pPr>
            <w:r>
              <w:rPr>
                <w:rFonts w:hint="eastAsia" w:ascii="宋体" w:hAnsi="宋体"/>
              </w:rPr>
              <w:t>1250</w:t>
            </w:r>
          </w:p>
        </w:tc>
        <w:tc>
          <w:tcPr>
            <w:tcW w:w="454" w:type="pct"/>
            <w:vAlign w:val="center"/>
          </w:tcPr>
          <w:p w14:paraId="4B0BC4A6">
            <w:pPr>
              <w:pStyle w:val="12"/>
              <w:jc w:val="center"/>
              <w:rPr>
                <w:rFonts w:ascii="宋体" w:hAnsi="宋体"/>
              </w:rPr>
            </w:pPr>
            <w:r>
              <w:rPr>
                <w:rFonts w:hint="eastAsia" w:ascii="宋体" w:hAnsi="宋体"/>
              </w:rPr>
              <w:t>1</w:t>
            </w:r>
          </w:p>
        </w:tc>
        <w:tc>
          <w:tcPr>
            <w:tcW w:w="454" w:type="pct"/>
            <w:vAlign w:val="center"/>
          </w:tcPr>
          <w:p w14:paraId="351B55A8">
            <w:pPr>
              <w:pStyle w:val="12"/>
              <w:jc w:val="center"/>
              <w:rPr>
                <w:rFonts w:ascii="宋体" w:hAnsi="宋体"/>
              </w:rPr>
            </w:pPr>
            <w:r>
              <w:rPr>
                <w:rFonts w:hint="eastAsia" w:ascii="宋体" w:hAnsi="宋体"/>
              </w:rPr>
              <w:t>1250</w:t>
            </w:r>
          </w:p>
        </w:tc>
        <w:tc>
          <w:tcPr>
            <w:tcW w:w="454" w:type="pct"/>
            <w:vAlign w:val="center"/>
          </w:tcPr>
          <w:p w14:paraId="78CB6EEE">
            <w:pPr>
              <w:pStyle w:val="12"/>
              <w:jc w:val="center"/>
              <w:rPr>
                <w:rFonts w:ascii="宋体" w:hAnsi="宋体"/>
              </w:rPr>
            </w:pPr>
            <w:r>
              <w:rPr>
                <w:rFonts w:hint="eastAsia" w:ascii="宋体" w:hAnsi="宋体"/>
              </w:rPr>
              <w:t>—</w:t>
            </w:r>
          </w:p>
        </w:tc>
        <w:tc>
          <w:tcPr>
            <w:tcW w:w="454" w:type="pct"/>
            <w:vAlign w:val="center"/>
          </w:tcPr>
          <w:p w14:paraId="68F1D2BE">
            <w:pPr>
              <w:pStyle w:val="12"/>
              <w:jc w:val="center"/>
              <w:rPr>
                <w:rFonts w:ascii="宋体" w:hAnsi="宋体"/>
              </w:rPr>
            </w:pPr>
            <w:r>
              <w:rPr>
                <w:rFonts w:hint="eastAsia" w:ascii="宋体" w:hAnsi="宋体"/>
              </w:rPr>
              <w:t>—</w:t>
            </w:r>
          </w:p>
        </w:tc>
        <w:tc>
          <w:tcPr>
            <w:tcW w:w="455" w:type="pct"/>
            <w:vAlign w:val="center"/>
          </w:tcPr>
          <w:p w14:paraId="186A2B79">
            <w:pPr>
              <w:pStyle w:val="12"/>
              <w:jc w:val="center"/>
              <w:rPr>
                <w:rFonts w:ascii="宋体" w:hAnsi="宋体"/>
              </w:rPr>
            </w:pPr>
            <w:r>
              <w:rPr>
                <w:rFonts w:hint="eastAsia" w:ascii="宋体" w:hAnsi="宋体"/>
              </w:rPr>
              <w:t>—</w:t>
            </w:r>
          </w:p>
        </w:tc>
        <w:tc>
          <w:tcPr>
            <w:tcW w:w="455" w:type="pct"/>
            <w:vAlign w:val="center"/>
          </w:tcPr>
          <w:p w14:paraId="6025FA76">
            <w:pPr>
              <w:pStyle w:val="12"/>
              <w:jc w:val="center"/>
              <w:rPr>
                <w:rFonts w:ascii="宋体" w:hAnsi="宋体"/>
              </w:rPr>
            </w:pPr>
            <w:r>
              <w:rPr>
                <w:rFonts w:hint="eastAsia" w:ascii="宋体" w:hAnsi="宋体"/>
              </w:rPr>
              <w:t>—</w:t>
            </w:r>
          </w:p>
        </w:tc>
      </w:tr>
      <w:tr w14:paraId="42CC834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14:paraId="204533F0">
            <w:pPr>
              <w:pStyle w:val="12"/>
              <w:jc w:val="center"/>
              <w:rPr>
                <w:rFonts w:ascii="宋体" w:hAnsi="宋体"/>
              </w:rPr>
            </w:pPr>
            <w:r>
              <w:rPr>
                <w:rFonts w:hint="eastAsia" w:ascii="宋体" w:hAnsi="宋体"/>
              </w:rPr>
              <w:t>江头</w:t>
            </w:r>
          </w:p>
        </w:tc>
        <w:tc>
          <w:tcPr>
            <w:tcW w:w="454" w:type="pct"/>
            <w:vAlign w:val="center"/>
          </w:tcPr>
          <w:p w14:paraId="75B5667B">
            <w:pPr>
              <w:pStyle w:val="12"/>
              <w:jc w:val="center"/>
              <w:rPr>
                <w:rFonts w:ascii="宋体" w:hAnsi="宋体"/>
              </w:rPr>
            </w:pPr>
            <w:r>
              <w:rPr>
                <w:rFonts w:hint="eastAsia" w:ascii="宋体" w:hAnsi="宋体"/>
              </w:rPr>
              <w:t>3</w:t>
            </w:r>
          </w:p>
        </w:tc>
        <w:tc>
          <w:tcPr>
            <w:tcW w:w="454" w:type="pct"/>
            <w:vAlign w:val="center"/>
          </w:tcPr>
          <w:p w14:paraId="4C06AC71">
            <w:pPr>
              <w:pStyle w:val="12"/>
              <w:jc w:val="center"/>
              <w:rPr>
                <w:rFonts w:ascii="宋体" w:hAnsi="宋体"/>
              </w:rPr>
            </w:pPr>
            <w:r>
              <w:rPr>
                <w:rFonts w:hint="eastAsia" w:ascii="宋体" w:hAnsi="宋体"/>
              </w:rPr>
              <w:t>1000</w:t>
            </w:r>
          </w:p>
        </w:tc>
        <w:tc>
          <w:tcPr>
            <w:tcW w:w="454" w:type="pct"/>
            <w:vAlign w:val="center"/>
          </w:tcPr>
          <w:p w14:paraId="1ACB290E">
            <w:pPr>
              <w:pStyle w:val="12"/>
              <w:jc w:val="center"/>
              <w:rPr>
                <w:rFonts w:ascii="宋体" w:hAnsi="宋体"/>
              </w:rPr>
            </w:pPr>
            <w:r>
              <w:rPr>
                <w:rFonts w:hint="eastAsia" w:ascii="宋体" w:hAnsi="宋体"/>
              </w:rPr>
              <w:t>3</w:t>
            </w:r>
          </w:p>
        </w:tc>
        <w:tc>
          <w:tcPr>
            <w:tcW w:w="454" w:type="pct"/>
            <w:vAlign w:val="center"/>
          </w:tcPr>
          <w:p w14:paraId="0BB147BB">
            <w:pPr>
              <w:pStyle w:val="12"/>
              <w:jc w:val="center"/>
              <w:rPr>
                <w:rFonts w:ascii="宋体" w:hAnsi="宋体"/>
              </w:rPr>
            </w:pPr>
            <w:r>
              <w:rPr>
                <w:rFonts w:hint="eastAsia" w:ascii="宋体" w:hAnsi="宋体"/>
              </w:rPr>
              <w:t>1000</w:t>
            </w:r>
          </w:p>
        </w:tc>
        <w:tc>
          <w:tcPr>
            <w:tcW w:w="454" w:type="pct"/>
            <w:vAlign w:val="center"/>
          </w:tcPr>
          <w:p w14:paraId="2F6594FE">
            <w:pPr>
              <w:pStyle w:val="12"/>
              <w:jc w:val="center"/>
              <w:rPr>
                <w:rFonts w:ascii="宋体" w:hAnsi="宋体"/>
              </w:rPr>
            </w:pPr>
            <w:r>
              <w:rPr>
                <w:rFonts w:hint="eastAsia" w:ascii="宋体" w:hAnsi="宋体"/>
              </w:rPr>
              <w:t>—</w:t>
            </w:r>
          </w:p>
        </w:tc>
        <w:tc>
          <w:tcPr>
            <w:tcW w:w="454" w:type="pct"/>
            <w:vAlign w:val="center"/>
          </w:tcPr>
          <w:p w14:paraId="460E1835">
            <w:pPr>
              <w:pStyle w:val="12"/>
              <w:jc w:val="center"/>
              <w:rPr>
                <w:rFonts w:ascii="宋体" w:hAnsi="宋体"/>
              </w:rPr>
            </w:pPr>
            <w:r>
              <w:rPr>
                <w:rFonts w:hint="eastAsia" w:ascii="宋体" w:hAnsi="宋体"/>
              </w:rPr>
              <w:t>—</w:t>
            </w:r>
          </w:p>
        </w:tc>
        <w:tc>
          <w:tcPr>
            <w:tcW w:w="454" w:type="pct"/>
            <w:vAlign w:val="center"/>
          </w:tcPr>
          <w:p w14:paraId="1090ABD2">
            <w:pPr>
              <w:pStyle w:val="12"/>
              <w:jc w:val="center"/>
              <w:rPr>
                <w:rFonts w:ascii="宋体" w:hAnsi="宋体"/>
              </w:rPr>
            </w:pPr>
            <w:r>
              <w:rPr>
                <w:rFonts w:hint="eastAsia" w:ascii="宋体" w:hAnsi="宋体"/>
              </w:rPr>
              <w:t>—</w:t>
            </w:r>
          </w:p>
        </w:tc>
        <w:tc>
          <w:tcPr>
            <w:tcW w:w="454" w:type="pct"/>
            <w:vAlign w:val="center"/>
          </w:tcPr>
          <w:p w14:paraId="58C92E3E">
            <w:pPr>
              <w:pStyle w:val="12"/>
              <w:jc w:val="center"/>
              <w:rPr>
                <w:rFonts w:ascii="宋体" w:hAnsi="宋体"/>
              </w:rPr>
            </w:pPr>
            <w:r>
              <w:rPr>
                <w:rFonts w:hint="eastAsia" w:ascii="宋体" w:hAnsi="宋体"/>
              </w:rPr>
              <w:t>—</w:t>
            </w:r>
          </w:p>
        </w:tc>
        <w:tc>
          <w:tcPr>
            <w:tcW w:w="455" w:type="pct"/>
            <w:vAlign w:val="center"/>
          </w:tcPr>
          <w:p w14:paraId="5237B05E">
            <w:pPr>
              <w:pStyle w:val="12"/>
              <w:jc w:val="center"/>
              <w:rPr>
                <w:rFonts w:ascii="宋体" w:hAnsi="宋体"/>
              </w:rPr>
            </w:pPr>
            <w:r>
              <w:rPr>
                <w:rFonts w:hint="eastAsia" w:ascii="宋体" w:hAnsi="宋体"/>
              </w:rPr>
              <w:t>—</w:t>
            </w:r>
          </w:p>
        </w:tc>
        <w:tc>
          <w:tcPr>
            <w:tcW w:w="455" w:type="pct"/>
            <w:vAlign w:val="center"/>
          </w:tcPr>
          <w:p w14:paraId="5ED2E129">
            <w:pPr>
              <w:pStyle w:val="12"/>
              <w:jc w:val="center"/>
              <w:rPr>
                <w:rFonts w:ascii="宋体" w:hAnsi="宋体"/>
              </w:rPr>
            </w:pPr>
            <w:r>
              <w:rPr>
                <w:rFonts w:hint="eastAsia" w:ascii="宋体" w:hAnsi="宋体"/>
              </w:rPr>
              <w:t>—</w:t>
            </w:r>
          </w:p>
        </w:tc>
      </w:tr>
      <w:tr w14:paraId="1CD66B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14:paraId="2C171495">
            <w:pPr>
              <w:pStyle w:val="12"/>
              <w:jc w:val="center"/>
              <w:rPr>
                <w:rFonts w:ascii="宋体" w:hAnsi="宋体"/>
              </w:rPr>
            </w:pPr>
            <w:r>
              <w:rPr>
                <w:rFonts w:hint="eastAsia" w:ascii="宋体" w:hAnsi="宋体"/>
              </w:rPr>
              <w:t>南亩</w:t>
            </w:r>
          </w:p>
        </w:tc>
        <w:tc>
          <w:tcPr>
            <w:tcW w:w="454" w:type="pct"/>
            <w:vAlign w:val="center"/>
          </w:tcPr>
          <w:p w14:paraId="235C3090">
            <w:pPr>
              <w:pStyle w:val="12"/>
              <w:jc w:val="center"/>
              <w:rPr>
                <w:rFonts w:ascii="宋体" w:hAnsi="宋体"/>
              </w:rPr>
            </w:pPr>
            <w:r>
              <w:rPr>
                <w:rFonts w:hint="eastAsia" w:ascii="宋体" w:hAnsi="宋体"/>
              </w:rPr>
              <w:t>3</w:t>
            </w:r>
          </w:p>
        </w:tc>
        <w:tc>
          <w:tcPr>
            <w:tcW w:w="454" w:type="pct"/>
            <w:vAlign w:val="center"/>
          </w:tcPr>
          <w:p w14:paraId="0A26B75F">
            <w:pPr>
              <w:pStyle w:val="12"/>
              <w:jc w:val="center"/>
              <w:rPr>
                <w:rFonts w:ascii="宋体" w:hAnsi="宋体"/>
              </w:rPr>
            </w:pPr>
            <w:r>
              <w:rPr>
                <w:rFonts w:hint="eastAsia" w:ascii="宋体" w:hAnsi="宋体"/>
              </w:rPr>
              <w:t>2250</w:t>
            </w:r>
          </w:p>
        </w:tc>
        <w:tc>
          <w:tcPr>
            <w:tcW w:w="454" w:type="pct"/>
            <w:vAlign w:val="center"/>
          </w:tcPr>
          <w:p w14:paraId="588B51BB">
            <w:pPr>
              <w:pStyle w:val="12"/>
              <w:jc w:val="center"/>
              <w:rPr>
                <w:rFonts w:ascii="宋体" w:hAnsi="宋体"/>
              </w:rPr>
            </w:pPr>
            <w:r>
              <w:rPr>
                <w:rFonts w:hint="eastAsia" w:ascii="宋体" w:hAnsi="宋体"/>
              </w:rPr>
              <w:t>1</w:t>
            </w:r>
          </w:p>
        </w:tc>
        <w:tc>
          <w:tcPr>
            <w:tcW w:w="454" w:type="pct"/>
            <w:vAlign w:val="center"/>
          </w:tcPr>
          <w:p w14:paraId="5F5E1291">
            <w:pPr>
              <w:pStyle w:val="12"/>
              <w:jc w:val="center"/>
              <w:rPr>
                <w:rFonts w:ascii="宋体" w:hAnsi="宋体"/>
              </w:rPr>
            </w:pPr>
            <w:r>
              <w:rPr>
                <w:rFonts w:hint="eastAsia" w:ascii="宋体" w:hAnsi="宋体"/>
              </w:rPr>
              <w:t>500</w:t>
            </w:r>
          </w:p>
        </w:tc>
        <w:tc>
          <w:tcPr>
            <w:tcW w:w="454" w:type="pct"/>
            <w:vAlign w:val="center"/>
          </w:tcPr>
          <w:p w14:paraId="54E6A5D3">
            <w:pPr>
              <w:pStyle w:val="12"/>
              <w:jc w:val="center"/>
              <w:rPr>
                <w:rFonts w:ascii="宋体" w:hAnsi="宋体"/>
              </w:rPr>
            </w:pPr>
            <w:r>
              <w:rPr>
                <w:rFonts w:hint="eastAsia" w:ascii="宋体" w:hAnsi="宋体"/>
              </w:rPr>
              <w:t>1</w:t>
            </w:r>
          </w:p>
        </w:tc>
        <w:tc>
          <w:tcPr>
            <w:tcW w:w="454" w:type="pct"/>
            <w:vAlign w:val="center"/>
          </w:tcPr>
          <w:p w14:paraId="71483F9A">
            <w:pPr>
              <w:pStyle w:val="12"/>
              <w:jc w:val="center"/>
              <w:rPr>
                <w:rFonts w:ascii="宋体" w:hAnsi="宋体"/>
              </w:rPr>
            </w:pPr>
            <w:r>
              <w:rPr>
                <w:rFonts w:hint="eastAsia" w:ascii="宋体" w:hAnsi="宋体"/>
              </w:rPr>
              <w:t>1250</w:t>
            </w:r>
          </w:p>
        </w:tc>
        <w:tc>
          <w:tcPr>
            <w:tcW w:w="454" w:type="pct"/>
            <w:vAlign w:val="center"/>
          </w:tcPr>
          <w:p w14:paraId="287CE605">
            <w:pPr>
              <w:pStyle w:val="12"/>
              <w:jc w:val="center"/>
              <w:rPr>
                <w:rFonts w:ascii="宋体" w:hAnsi="宋体"/>
              </w:rPr>
            </w:pPr>
            <w:r>
              <w:rPr>
                <w:rFonts w:hint="eastAsia" w:ascii="宋体" w:hAnsi="宋体"/>
              </w:rPr>
              <w:t>—</w:t>
            </w:r>
          </w:p>
        </w:tc>
        <w:tc>
          <w:tcPr>
            <w:tcW w:w="454" w:type="pct"/>
            <w:vAlign w:val="center"/>
          </w:tcPr>
          <w:p w14:paraId="09FA3259">
            <w:pPr>
              <w:pStyle w:val="12"/>
              <w:jc w:val="center"/>
              <w:rPr>
                <w:rFonts w:ascii="宋体" w:hAnsi="宋体"/>
              </w:rPr>
            </w:pPr>
            <w:r>
              <w:rPr>
                <w:rFonts w:hint="eastAsia" w:ascii="宋体" w:hAnsi="宋体"/>
              </w:rPr>
              <w:t>—</w:t>
            </w:r>
          </w:p>
        </w:tc>
        <w:tc>
          <w:tcPr>
            <w:tcW w:w="455" w:type="pct"/>
            <w:vAlign w:val="center"/>
          </w:tcPr>
          <w:p w14:paraId="1FAEFE3E">
            <w:pPr>
              <w:pStyle w:val="12"/>
              <w:jc w:val="center"/>
              <w:rPr>
                <w:rFonts w:ascii="宋体" w:hAnsi="宋体"/>
              </w:rPr>
            </w:pPr>
            <w:r>
              <w:rPr>
                <w:rFonts w:hint="eastAsia" w:ascii="宋体" w:hAnsi="宋体"/>
              </w:rPr>
              <w:t>1</w:t>
            </w:r>
          </w:p>
        </w:tc>
        <w:tc>
          <w:tcPr>
            <w:tcW w:w="455" w:type="pct"/>
            <w:vAlign w:val="center"/>
          </w:tcPr>
          <w:p w14:paraId="1BCE1306">
            <w:pPr>
              <w:pStyle w:val="12"/>
              <w:jc w:val="center"/>
              <w:rPr>
                <w:rFonts w:ascii="宋体" w:hAnsi="宋体"/>
              </w:rPr>
            </w:pPr>
            <w:r>
              <w:rPr>
                <w:rFonts w:hint="eastAsia" w:ascii="宋体" w:hAnsi="宋体"/>
              </w:rPr>
              <w:t>500</w:t>
            </w:r>
          </w:p>
        </w:tc>
      </w:tr>
      <w:tr w14:paraId="5D3075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14:paraId="32DDDC9F">
            <w:pPr>
              <w:pStyle w:val="12"/>
              <w:jc w:val="center"/>
              <w:rPr>
                <w:rFonts w:ascii="宋体" w:hAnsi="宋体"/>
              </w:rPr>
            </w:pPr>
            <w:r>
              <w:rPr>
                <w:rFonts w:hint="eastAsia" w:ascii="宋体" w:hAnsi="宋体"/>
              </w:rPr>
              <w:t>全安</w:t>
            </w:r>
          </w:p>
        </w:tc>
        <w:tc>
          <w:tcPr>
            <w:tcW w:w="454" w:type="pct"/>
            <w:vAlign w:val="center"/>
          </w:tcPr>
          <w:p w14:paraId="7A8910E1">
            <w:pPr>
              <w:pStyle w:val="12"/>
              <w:jc w:val="center"/>
              <w:rPr>
                <w:rFonts w:ascii="宋体" w:hAnsi="宋体"/>
              </w:rPr>
            </w:pPr>
            <w:r>
              <w:rPr>
                <w:rFonts w:hint="eastAsia" w:ascii="宋体" w:hAnsi="宋体"/>
              </w:rPr>
              <w:t>4</w:t>
            </w:r>
          </w:p>
        </w:tc>
        <w:tc>
          <w:tcPr>
            <w:tcW w:w="454" w:type="pct"/>
            <w:vAlign w:val="center"/>
          </w:tcPr>
          <w:p w14:paraId="4C4453B2">
            <w:pPr>
              <w:pStyle w:val="12"/>
              <w:jc w:val="center"/>
              <w:rPr>
                <w:rFonts w:ascii="宋体" w:hAnsi="宋体"/>
              </w:rPr>
            </w:pPr>
            <w:r>
              <w:rPr>
                <w:rFonts w:hint="eastAsia" w:ascii="宋体" w:hAnsi="宋体"/>
              </w:rPr>
              <w:t>3500</w:t>
            </w:r>
          </w:p>
        </w:tc>
        <w:tc>
          <w:tcPr>
            <w:tcW w:w="454" w:type="pct"/>
            <w:vAlign w:val="center"/>
          </w:tcPr>
          <w:p w14:paraId="7F730097">
            <w:pPr>
              <w:pStyle w:val="12"/>
              <w:jc w:val="center"/>
              <w:rPr>
                <w:rFonts w:ascii="宋体" w:hAnsi="宋体"/>
              </w:rPr>
            </w:pPr>
            <w:r>
              <w:rPr>
                <w:rFonts w:hint="eastAsia" w:ascii="宋体" w:hAnsi="宋体"/>
              </w:rPr>
              <w:t>1</w:t>
            </w:r>
          </w:p>
        </w:tc>
        <w:tc>
          <w:tcPr>
            <w:tcW w:w="454" w:type="pct"/>
            <w:vAlign w:val="center"/>
          </w:tcPr>
          <w:p w14:paraId="40B8B8D0">
            <w:pPr>
              <w:pStyle w:val="12"/>
              <w:jc w:val="center"/>
              <w:rPr>
                <w:rFonts w:ascii="宋体" w:hAnsi="宋体"/>
              </w:rPr>
            </w:pPr>
            <w:r>
              <w:rPr>
                <w:rFonts w:hint="eastAsia" w:ascii="宋体" w:hAnsi="宋体"/>
              </w:rPr>
              <w:t>500</w:t>
            </w:r>
          </w:p>
        </w:tc>
        <w:tc>
          <w:tcPr>
            <w:tcW w:w="454" w:type="pct"/>
            <w:vAlign w:val="center"/>
          </w:tcPr>
          <w:p w14:paraId="4750C0CE">
            <w:pPr>
              <w:pStyle w:val="12"/>
              <w:jc w:val="center"/>
              <w:rPr>
                <w:rFonts w:ascii="宋体" w:hAnsi="宋体"/>
              </w:rPr>
            </w:pPr>
            <w:r>
              <w:rPr>
                <w:rFonts w:hint="eastAsia" w:ascii="宋体" w:hAnsi="宋体"/>
              </w:rPr>
              <w:t>2</w:t>
            </w:r>
          </w:p>
        </w:tc>
        <w:tc>
          <w:tcPr>
            <w:tcW w:w="454" w:type="pct"/>
            <w:vAlign w:val="center"/>
          </w:tcPr>
          <w:p w14:paraId="5B41D6F6">
            <w:pPr>
              <w:pStyle w:val="12"/>
              <w:jc w:val="center"/>
              <w:rPr>
                <w:rFonts w:ascii="宋体" w:hAnsi="宋体"/>
              </w:rPr>
            </w:pPr>
            <w:r>
              <w:rPr>
                <w:rFonts w:hint="eastAsia" w:ascii="宋体" w:hAnsi="宋体"/>
              </w:rPr>
              <w:t>2750</w:t>
            </w:r>
          </w:p>
        </w:tc>
        <w:tc>
          <w:tcPr>
            <w:tcW w:w="454" w:type="pct"/>
            <w:vAlign w:val="center"/>
          </w:tcPr>
          <w:p w14:paraId="74FE70B7">
            <w:pPr>
              <w:pStyle w:val="12"/>
              <w:jc w:val="center"/>
              <w:rPr>
                <w:rFonts w:ascii="宋体" w:hAnsi="宋体"/>
              </w:rPr>
            </w:pPr>
            <w:r>
              <w:rPr>
                <w:rFonts w:hint="eastAsia" w:ascii="宋体" w:hAnsi="宋体"/>
              </w:rPr>
              <w:t>—</w:t>
            </w:r>
          </w:p>
        </w:tc>
        <w:tc>
          <w:tcPr>
            <w:tcW w:w="454" w:type="pct"/>
            <w:vAlign w:val="center"/>
          </w:tcPr>
          <w:p w14:paraId="2F8E66CC">
            <w:pPr>
              <w:pStyle w:val="12"/>
              <w:jc w:val="center"/>
              <w:rPr>
                <w:rFonts w:ascii="宋体" w:hAnsi="宋体"/>
              </w:rPr>
            </w:pPr>
            <w:r>
              <w:rPr>
                <w:rFonts w:hint="eastAsia" w:ascii="宋体" w:hAnsi="宋体"/>
              </w:rPr>
              <w:t>—</w:t>
            </w:r>
          </w:p>
        </w:tc>
        <w:tc>
          <w:tcPr>
            <w:tcW w:w="455" w:type="pct"/>
            <w:vAlign w:val="center"/>
          </w:tcPr>
          <w:p w14:paraId="479135E9">
            <w:pPr>
              <w:pStyle w:val="12"/>
              <w:jc w:val="center"/>
              <w:rPr>
                <w:rFonts w:ascii="宋体" w:hAnsi="宋体"/>
              </w:rPr>
            </w:pPr>
            <w:r>
              <w:rPr>
                <w:rFonts w:hint="eastAsia" w:ascii="宋体" w:hAnsi="宋体"/>
              </w:rPr>
              <w:t>1</w:t>
            </w:r>
          </w:p>
        </w:tc>
        <w:tc>
          <w:tcPr>
            <w:tcW w:w="455" w:type="pct"/>
            <w:vAlign w:val="center"/>
          </w:tcPr>
          <w:p w14:paraId="1324ECEA">
            <w:pPr>
              <w:pStyle w:val="12"/>
              <w:jc w:val="center"/>
              <w:rPr>
                <w:rFonts w:ascii="宋体" w:hAnsi="宋体"/>
              </w:rPr>
            </w:pPr>
            <w:r>
              <w:rPr>
                <w:rFonts w:hint="eastAsia" w:ascii="宋体" w:hAnsi="宋体"/>
              </w:rPr>
              <w:t>250</w:t>
            </w:r>
          </w:p>
        </w:tc>
      </w:tr>
      <w:tr w14:paraId="3FD625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14:paraId="3870A783">
            <w:pPr>
              <w:pStyle w:val="12"/>
              <w:jc w:val="center"/>
              <w:rPr>
                <w:rFonts w:ascii="宋体" w:hAnsi="宋体"/>
              </w:rPr>
            </w:pPr>
            <w:r>
              <w:rPr>
                <w:rFonts w:hint="eastAsia" w:ascii="宋体" w:hAnsi="宋体"/>
              </w:rPr>
              <w:t>苍石</w:t>
            </w:r>
          </w:p>
        </w:tc>
        <w:tc>
          <w:tcPr>
            <w:tcW w:w="454" w:type="pct"/>
            <w:vAlign w:val="center"/>
          </w:tcPr>
          <w:p w14:paraId="44C00BF1">
            <w:pPr>
              <w:pStyle w:val="12"/>
              <w:jc w:val="center"/>
              <w:rPr>
                <w:rFonts w:ascii="宋体" w:hAnsi="宋体"/>
              </w:rPr>
            </w:pPr>
            <w:r>
              <w:rPr>
                <w:rFonts w:hint="eastAsia" w:ascii="宋体" w:hAnsi="宋体"/>
              </w:rPr>
              <w:t>1</w:t>
            </w:r>
          </w:p>
        </w:tc>
        <w:tc>
          <w:tcPr>
            <w:tcW w:w="454" w:type="pct"/>
            <w:vAlign w:val="center"/>
          </w:tcPr>
          <w:p w14:paraId="272D1D51">
            <w:pPr>
              <w:pStyle w:val="12"/>
              <w:jc w:val="center"/>
              <w:rPr>
                <w:rFonts w:ascii="宋体" w:hAnsi="宋体"/>
              </w:rPr>
            </w:pPr>
            <w:r>
              <w:rPr>
                <w:rFonts w:hint="eastAsia" w:ascii="宋体" w:hAnsi="宋体"/>
              </w:rPr>
              <w:t>250</w:t>
            </w:r>
          </w:p>
        </w:tc>
        <w:tc>
          <w:tcPr>
            <w:tcW w:w="454" w:type="pct"/>
            <w:vAlign w:val="center"/>
          </w:tcPr>
          <w:p w14:paraId="77C17402">
            <w:pPr>
              <w:pStyle w:val="12"/>
              <w:jc w:val="center"/>
              <w:rPr>
                <w:rFonts w:ascii="宋体" w:hAnsi="宋体"/>
              </w:rPr>
            </w:pPr>
            <w:r>
              <w:rPr>
                <w:rFonts w:hint="eastAsia" w:ascii="宋体" w:hAnsi="宋体"/>
              </w:rPr>
              <w:t>—</w:t>
            </w:r>
          </w:p>
        </w:tc>
        <w:tc>
          <w:tcPr>
            <w:tcW w:w="454" w:type="pct"/>
            <w:vAlign w:val="center"/>
          </w:tcPr>
          <w:p w14:paraId="7C243897">
            <w:pPr>
              <w:pStyle w:val="12"/>
              <w:jc w:val="center"/>
              <w:rPr>
                <w:rFonts w:ascii="宋体" w:hAnsi="宋体"/>
              </w:rPr>
            </w:pPr>
            <w:r>
              <w:rPr>
                <w:rFonts w:hint="eastAsia" w:ascii="宋体" w:hAnsi="宋体"/>
              </w:rPr>
              <w:t>—</w:t>
            </w:r>
          </w:p>
        </w:tc>
        <w:tc>
          <w:tcPr>
            <w:tcW w:w="454" w:type="pct"/>
            <w:vAlign w:val="center"/>
          </w:tcPr>
          <w:p w14:paraId="79BC0FBA">
            <w:pPr>
              <w:pStyle w:val="12"/>
              <w:jc w:val="center"/>
              <w:rPr>
                <w:rFonts w:ascii="宋体" w:hAnsi="宋体"/>
              </w:rPr>
            </w:pPr>
            <w:r>
              <w:rPr>
                <w:rFonts w:hint="eastAsia" w:ascii="宋体" w:hAnsi="宋体"/>
              </w:rPr>
              <w:t>—</w:t>
            </w:r>
          </w:p>
        </w:tc>
        <w:tc>
          <w:tcPr>
            <w:tcW w:w="454" w:type="pct"/>
            <w:vAlign w:val="center"/>
          </w:tcPr>
          <w:p w14:paraId="308B6FF4">
            <w:pPr>
              <w:pStyle w:val="12"/>
              <w:jc w:val="center"/>
              <w:rPr>
                <w:rFonts w:ascii="宋体" w:hAnsi="宋体"/>
              </w:rPr>
            </w:pPr>
            <w:r>
              <w:rPr>
                <w:rFonts w:hint="eastAsia" w:ascii="宋体" w:hAnsi="宋体"/>
              </w:rPr>
              <w:t>—</w:t>
            </w:r>
          </w:p>
        </w:tc>
        <w:tc>
          <w:tcPr>
            <w:tcW w:w="454" w:type="pct"/>
            <w:vAlign w:val="center"/>
          </w:tcPr>
          <w:p w14:paraId="244A4F9D">
            <w:pPr>
              <w:pStyle w:val="12"/>
              <w:jc w:val="center"/>
              <w:rPr>
                <w:rFonts w:ascii="宋体" w:hAnsi="宋体"/>
              </w:rPr>
            </w:pPr>
            <w:r>
              <w:rPr>
                <w:rFonts w:hint="eastAsia" w:ascii="宋体" w:hAnsi="宋体"/>
              </w:rPr>
              <w:t>—</w:t>
            </w:r>
          </w:p>
        </w:tc>
        <w:tc>
          <w:tcPr>
            <w:tcW w:w="454" w:type="pct"/>
            <w:vAlign w:val="center"/>
          </w:tcPr>
          <w:p w14:paraId="2E8D8BC8">
            <w:pPr>
              <w:pStyle w:val="12"/>
              <w:jc w:val="center"/>
              <w:rPr>
                <w:rFonts w:ascii="宋体" w:hAnsi="宋体"/>
              </w:rPr>
            </w:pPr>
            <w:r>
              <w:rPr>
                <w:rFonts w:hint="eastAsia" w:ascii="宋体" w:hAnsi="宋体"/>
              </w:rPr>
              <w:t>—</w:t>
            </w:r>
          </w:p>
        </w:tc>
        <w:tc>
          <w:tcPr>
            <w:tcW w:w="455" w:type="pct"/>
            <w:vAlign w:val="center"/>
          </w:tcPr>
          <w:p w14:paraId="2A2295C0">
            <w:pPr>
              <w:pStyle w:val="12"/>
              <w:jc w:val="center"/>
              <w:rPr>
                <w:rFonts w:ascii="宋体" w:hAnsi="宋体"/>
              </w:rPr>
            </w:pPr>
            <w:r>
              <w:rPr>
                <w:rFonts w:hint="eastAsia" w:ascii="宋体" w:hAnsi="宋体"/>
              </w:rPr>
              <w:t>1</w:t>
            </w:r>
          </w:p>
        </w:tc>
        <w:tc>
          <w:tcPr>
            <w:tcW w:w="455" w:type="pct"/>
            <w:vAlign w:val="center"/>
          </w:tcPr>
          <w:p w14:paraId="33FB0492">
            <w:pPr>
              <w:pStyle w:val="12"/>
              <w:jc w:val="center"/>
              <w:rPr>
                <w:rFonts w:ascii="宋体" w:hAnsi="宋体"/>
              </w:rPr>
            </w:pPr>
            <w:r>
              <w:rPr>
                <w:rFonts w:hint="eastAsia" w:ascii="宋体" w:hAnsi="宋体"/>
              </w:rPr>
              <w:t>250</w:t>
            </w:r>
          </w:p>
        </w:tc>
      </w:tr>
      <w:tr w14:paraId="585594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14:paraId="73404744">
            <w:pPr>
              <w:pStyle w:val="12"/>
              <w:jc w:val="center"/>
              <w:rPr>
                <w:rFonts w:ascii="宋体" w:hAnsi="宋体"/>
              </w:rPr>
            </w:pPr>
            <w:r>
              <w:rPr>
                <w:rFonts w:hint="eastAsia" w:ascii="宋体" w:hAnsi="宋体"/>
              </w:rPr>
              <w:t>主田</w:t>
            </w:r>
          </w:p>
        </w:tc>
        <w:tc>
          <w:tcPr>
            <w:tcW w:w="454" w:type="pct"/>
            <w:vAlign w:val="center"/>
          </w:tcPr>
          <w:p w14:paraId="4CD10982">
            <w:pPr>
              <w:pStyle w:val="12"/>
              <w:jc w:val="center"/>
              <w:rPr>
                <w:rFonts w:ascii="宋体" w:hAnsi="宋体"/>
              </w:rPr>
            </w:pPr>
            <w:r>
              <w:rPr>
                <w:rFonts w:hint="eastAsia" w:ascii="宋体" w:hAnsi="宋体"/>
              </w:rPr>
              <w:t>2</w:t>
            </w:r>
          </w:p>
        </w:tc>
        <w:tc>
          <w:tcPr>
            <w:tcW w:w="454" w:type="pct"/>
            <w:vAlign w:val="center"/>
          </w:tcPr>
          <w:p w14:paraId="15B1C96D">
            <w:pPr>
              <w:pStyle w:val="12"/>
              <w:jc w:val="center"/>
              <w:rPr>
                <w:rFonts w:ascii="宋体" w:hAnsi="宋体"/>
              </w:rPr>
            </w:pPr>
            <w:r>
              <w:rPr>
                <w:rFonts w:hint="eastAsia" w:ascii="宋体" w:hAnsi="宋体"/>
              </w:rPr>
              <w:t>1200</w:t>
            </w:r>
          </w:p>
        </w:tc>
        <w:tc>
          <w:tcPr>
            <w:tcW w:w="454" w:type="pct"/>
            <w:vAlign w:val="center"/>
          </w:tcPr>
          <w:p w14:paraId="59823606">
            <w:pPr>
              <w:pStyle w:val="12"/>
              <w:jc w:val="center"/>
              <w:rPr>
                <w:rFonts w:ascii="宋体" w:hAnsi="宋体"/>
              </w:rPr>
            </w:pPr>
            <w:r>
              <w:rPr>
                <w:rFonts w:hint="eastAsia" w:ascii="宋体" w:hAnsi="宋体"/>
              </w:rPr>
              <w:t>1</w:t>
            </w:r>
          </w:p>
        </w:tc>
        <w:tc>
          <w:tcPr>
            <w:tcW w:w="454" w:type="pct"/>
            <w:vAlign w:val="center"/>
          </w:tcPr>
          <w:p w14:paraId="221682FE">
            <w:pPr>
              <w:pStyle w:val="12"/>
              <w:jc w:val="center"/>
              <w:rPr>
                <w:rFonts w:ascii="宋体" w:hAnsi="宋体"/>
              </w:rPr>
            </w:pPr>
            <w:r>
              <w:rPr>
                <w:rFonts w:hint="eastAsia" w:ascii="宋体" w:hAnsi="宋体"/>
              </w:rPr>
              <w:t>700</w:t>
            </w:r>
          </w:p>
        </w:tc>
        <w:tc>
          <w:tcPr>
            <w:tcW w:w="454" w:type="pct"/>
            <w:vAlign w:val="center"/>
          </w:tcPr>
          <w:p w14:paraId="6E1B3557">
            <w:pPr>
              <w:pStyle w:val="12"/>
              <w:jc w:val="center"/>
              <w:rPr>
                <w:rFonts w:ascii="宋体" w:hAnsi="宋体"/>
              </w:rPr>
            </w:pPr>
            <w:r>
              <w:rPr>
                <w:rFonts w:hint="eastAsia" w:ascii="宋体" w:hAnsi="宋体"/>
              </w:rPr>
              <w:t>1</w:t>
            </w:r>
          </w:p>
        </w:tc>
        <w:tc>
          <w:tcPr>
            <w:tcW w:w="454" w:type="pct"/>
            <w:vAlign w:val="center"/>
          </w:tcPr>
          <w:p w14:paraId="60999C27">
            <w:pPr>
              <w:pStyle w:val="12"/>
              <w:jc w:val="center"/>
              <w:rPr>
                <w:rFonts w:ascii="宋体" w:hAnsi="宋体"/>
              </w:rPr>
            </w:pPr>
            <w:r>
              <w:rPr>
                <w:rFonts w:hint="eastAsia" w:ascii="宋体" w:hAnsi="宋体"/>
              </w:rPr>
              <w:t>500</w:t>
            </w:r>
          </w:p>
        </w:tc>
        <w:tc>
          <w:tcPr>
            <w:tcW w:w="454" w:type="pct"/>
            <w:vAlign w:val="center"/>
          </w:tcPr>
          <w:p w14:paraId="287212DF">
            <w:pPr>
              <w:pStyle w:val="12"/>
              <w:jc w:val="center"/>
              <w:rPr>
                <w:rFonts w:ascii="宋体" w:hAnsi="宋体"/>
              </w:rPr>
            </w:pPr>
            <w:r>
              <w:rPr>
                <w:rFonts w:hint="eastAsia" w:ascii="宋体" w:hAnsi="宋体"/>
              </w:rPr>
              <w:t>—</w:t>
            </w:r>
          </w:p>
        </w:tc>
        <w:tc>
          <w:tcPr>
            <w:tcW w:w="454" w:type="pct"/>
            <w:vAlign w:val="center"/>
          </w:tcPr>
          <w:p w14:paraId="306FB146">
            <w:pPr>
              <w:pStyle w:val="12"/>
              <w:jc w:val="center"/>
              <w:rPr>
                <w:rFonts w:ascii="宋体" w:hAnsi="宋体"/>
              </w:rPr>
            </w:pPr>
            <w:r>
              <w:rPr>
                <w:rFonts w:hint="eastAsia" w:ascii="宋体" w:hAnsi="宋体"/>
              </w:rPr>
              <w:t>—</w:t>
            </w:r>
          </w:p>
        </w:tc>
        <w:tc>
          <w:tcPr>
            <w:tcW w:w="455" w:type="pct"/>
            <w:vAlign w:val="center"/>
          </w:tcPr>
          <w:p w14:paraId="57851AD9">
            <w:pPr>
              <w:pStyle w:val="12"/>
              <w:jc w:val="center"/>
              <w:rPr>
                <w:rFonts w:ascii="宋体" w:hAnsi="宋体"/>
              </w:rPr>
            </w:pPr>
            <w:r>
              <w:rPr>
                <w:rFonts w:hint="eastAsia" w:ascii="宋体" w:hAnsi="宋体"/>
              </w:rPr>
              <w:t>—</w:t>
            </w:r>
          </w:p>
        </w:tc>
        <w:tc>
          <w:tcPr>
            <w:tcW w:w="455" w:type="pct"/>
            <w:vAlign w:val="center"/>
          </w:tcPr>
          <w:p w14:paraId="681738B4">
            <w:pPr>
              <w:pStyle w:val="12"/>
              <w:jc w:val="center"/>
              <w:rPr>
                <w:rFonts w:ascii="宋体" w:hAnsi="宋体"/>
              </w:rPr>
            </w:pPr>
            <w:r>
              <w:rPr>
                <w:rFonts w:hint="eastAsia" w:ascii="宋体" w:hAnsi="宋体"/>
              </w:rPr>
              <w:t>—</w:t>
            </w:r>
          </w:p>
        </w:tc>
      </w:tr>
      <w:tr w14:paraId="524815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14:paraId="10B23355">
            <w:pPr>
              <w:pStyle w:val="12"/>
              <w:jc w:val="center"/>
              <w:rPr>
                <w:rFonts w:ascii="宋体" w:hAnsi="宋体"/>
              </w:rPr>
            </w:pPr>
            <w:r>
              <w:rPr>
                <w:rFonts w:hint="eastAsia" w:ascii="宋体" w:hAnsi="宋体"/>
              </w:rPr>
              <w:t>古市</w:t>
            </w:r>
          </w:p>
        </w:tc>
        <w:tc>
          <w:tcPr>
            <w:tcW w:w="454" w:type="pct"/>
            <w:vAlign w:val="center"/>
          </w:tcPr>
          <w:p w14:paraId="174B30E7">
            <w:pPr>
              <w:pStyle w:val="12"/>
              <w:jc w:val="center"/>
              <w:rPr>
                <w:rFonts w:ascii="宋体" w:hAnsi="宋体"/>
              </w:rPr>
            </w:pPr>
            <w:r>
              <w:rPr>
                <w:rFonts w:hint="eastAsia" w:ascii="宋体" w:hAnsi="宋体"/>
              </w:rPr>
              <w:t>4</w:t>
            </w:r>
          </w:p>
        </w:tc>
        <w:tc>
          <w:tcPr>
            <w:tcW w:w="454" w:type="pct"/>
            <w:vAlign w:val="center"/>
          </w:tcPr>
          <w:p w14:paraId="648C7AF9">
            <w:pPr>
              <w:pStyle w:val="12"/>
              <w:jc w:val="center"/>
              <w:rPr>
                <w:rFonts w:ascii="宋体" w:hAnsi="宋体"/>
              </w:rPr>
            </w:pPr>
            <w:r>
              <w:rPr>
                <w:rFonts w:hint="eastAsia" w:ascii="宋体" w:hAnsi="宋体"/>
              </w:rPr>
              <w:t>3500</w:t>
            </w:r>
          </w:p>
        </w:tc>
        <w:tc>
          <w:tcPr>
            <w:tcW w:w="454" w:type="pct"/>
            <w:vAlign w:val="center"/>
          </w:tcPr>
          <w:p w14:paraId="6A233561">
            <w:pPr>
              <w:pStyle w:val="12"/>
              <w:jc w:val="center"/>
              <w:rPr>
                <w:rFonts w:ascii="宋体" w:hAnsi="宋体"/>
              </w:rPr>
            </w:pPr>
            <w:r>
              <w:rPr>
                <w:rFonts w:hint="eastAsia" w:ascii="宋体" w:hAnsi="宋体"/>
              </w:rPr>
              <w:t>—</w:t>
            </w:r>
          </w:p>
        </w:tc>
        <w:tc>
          <w:tcPr>
            <w:tcW w:w="454" w:type="pct"/>
            <w:vAlign w:val="center"/>
          </w:tcPr>
          <w:p w14:paraId="7BF3A662">
            <w:pPr>
              <w:pStyle w:val="12"/>
              <w:jc w:val="center"/>
              <w:rPr>
                <w:rFonts w:ascii="宋体" w:hAnsi="宋体"/>
              </w:rPr>
            </w:pPr>
            <w:r>
              <w:rPr>
                <w:rFonts w:hint="eastAsia" w:ascii="宋体" w:hAnsi="宋体"/>
              </w:rPr>
              <w:t>—</w:t>
            </w:r>
          </w:p>
        </w:tc>
        <w:tc>
          <w:tcPr>
            <w:tcW w:w="454" w:type="pct"/>
            <w:vAlign w:val="center"/>
          </w:tcPr>
          <w:p w14:paraId="2B052B12">
            <w:pPr>
              <w:pStyle w:val="12"/>
              <w:jc w:val="center"/>
              <w:rPr>
                <w:rFonts w:ascii="宋体" w:hAnsi="宋体"/>
              </w:rPr>
            </w:pPr>
            <w:r>
              <w:rPr>
                <w:rFonts w:hint="eastAsia" w:ascii="宋体" w:hAnsi="宋体"/>
              </w:rPr>
              <w:t>3</w:t>
            </w:r>
          </w:p>
        </w:tc>
        <w:tc>
          <w:tcPr>
            <w:tcW w:w="454" w:type="pct"/>
            <w:vAlign w:val="center"/>
          </w:tcPr>
          <w:p w14:paraId="5D4CA3FC">
            <w:pPr>
              <w:pStyle w:val="12"/>
              <w:jc w:val="center"/>
              <w:rPr>
                <w:rFonts w:ascii="宋体" w:hAnsi="宋体"/>
              </w:rPr>
            </w:pPr>
            <w:r>
              <w:rPr>
                <w:rFonts w:hint="eastAsia" w:ascii="宋体" w:hAnsi="宋体"/>
              </w:rPr>
              <w:t>3000</w:t>
            </w:r>
          </w:p>
        </w:tc>
        <w:tc>
          <w:tcPr>
            <w:tcW w:w="454" w:type="pct"/>
            <w:vAlign w:val="center"/>
          </w:tcPr>
          <w:p w14:paraId="34CAC9E9">
            <w:pPr>
              <w:pStyle w:val="12"/>
              <w:jc w:val="center"/>
              <w:rPr>
                <w:rFonts w:ascii="宋体" w:hAnsi="宋体"/>
              </w:rPr>
            </w:pPr>
            <w:r>
              <w:rPr>
                <w:rFonts w:hint="eastAsia" w:ascii="宋体" w:hAnsi="宋体"/>
              </w:rPr>
              <w:t>—</w:t>
            </w:r>
          </w:p>
        </w:tc>
        <w:tc>
          <w:tcPr>
            <w:tcW w:w="454" w:type="pct"/>
            <w:vAlign w:val="center"/>
          </w:tcPr>
          <w:p w14:paraId="016A1387">
            <w:pPr>
              <w:pStyle w:val="12"/>
              <w:jc w:val="center"/>
              <w:rPr>
                <w:rFonts w:ascii="宋体" w:hAnsi="宋体"/>
              </w:rPr>
            </w:pPr>
            <w:r>
              <w:rPr>
                <w:rFonts w:hint="eastAsia" w:ascii="宋体" w:hAnsi="宋体"/>
              </w:rPr>
              <w:t>—</w:t>
            </w:r>
          </w:p>
        </w:tc>
        <w:tc>
          <w:tcPr>
            <w:tcW w:w="455" w:type="pct"/>
            <w:vAlign w:val="center"/>
          </w:tcPr>
          <w:p w14:paraId="70D675F1">
            <w:pPr>
              <w:pStyle w:val="12"/>
              <w:jc w:val="center"/>
              <w:rPr>
                <w:rFonts w:ascii="宋体" w:hAnsi="宋体"/>
              </w:rPr>
            </w:pPr>
            <w:r>
              <w:rPr>
                <w:rFonts w:hint="eastAsia" w:ascii="宋体" w:hAnsi="宋体"/>
              </w:rPr>
              <w:t>1</w:t>
            </w:r>
          </w:p>
        </w:tc>
        <w:tc>
          <w:tcPr>
            <w:tcW w:w="455" w:type="pct"/>
            <w:vAlign w:val="center"/>
          </w:tcPr>
          <w:p w14:paraId="1C1227FB">
            <w:pPr>
              <w:pStyle w:val="12"/>
              <w:jc w:val="center"/>
              <w:rPr>
                <w:rFonts w:ascii="宋体" w:hAnsi="宋体"/>
              </w:rPr>
            </w:pPr>
            <w:r>
              <w:rPr>
                <w:rFonts w:hint="eastAsia" w:ascii="宋体" w:hAnsi="宋体"/>
              </w:rPr>
              <w:t>500</w:t>
            </w:r>
          </w:p>
        </w:tc>
      </w:tr>
      <w:tr w14:paraId="67DF0E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14:paraId="65714014">
            <w:pPr>
              <w:pStyle w:val="12"/>
              <w:jc w:val="center"/>
              <w:rPr>
                <w:rFonts w:ascii="宋体" w:hAnsi="宋体"/>
              </w:rPr>
            </w:pPr>
            <w:r>
              <w:rPr>
                <w:rFonts w:hint="eastAsia" w:ascii="宋体" w:hAnsi="宋体"/>
              </w:rPr>
              <w:t>帽子峰</w:t>
            </w:r>
          </w:p>
        </w:tc>
        <w:tc>
          <w:tcPr>
            <w:tcW w:w="454" w:type="pct"/>
            <w:vAlign w:val="center"/>
          </w:tcPr>
          <w:p w14:paraId="6C711010">
            <w:pPr>
              <w:pStyle w:val="12"/>
              <w:jc w:val="center"/>
              <w:rPr>
                <w:rFonts w:ascii="宋体" w:hAnsi="宋体"/>
              </w:rPr>
            </w:pPr>
            <w:r>
              <w:rPr>
                <w:rFonts w:hint="eastAsia" w:ascii="宋体" w:hAnsi="宋体"/>
              </w:rPr>
              <w:t>3</w:t>
            </w:r>
          </w:p>
        </w:tc>
        <w:tc>
          <w:tcPr>
            <w:tcW w:w="454" w:type="pct"/>
            <w:vAlign w:val="center"/>
          </w:tcPr>
          <w:p w14:paraId="30A4CC94">
            <w:pPr>
              <w:pStyle w:val="12"/>
              <w:jc w:val="center"/>
              <w:rPr>
                <w:rFonts w:ascii="宋体" w:hAnsi="宋体"/>
              </w:rPr>
            </w:pPr>
            <w:r>
              <w:rPr>
                <w:rFonts w:hint="eastAsia" w:ascii="宋体" w:hAnsi="宋体"/>
              </w:rPr>
              <w:t>1250</w:t>
            </w:r>
          </w:p>
        </w:tc>
        <w:tc>
          <w:tcPr>
            <w:tcW w:w="454" w:type="pct"/>
            <w:vAlign w:val="center"/>
          </w:tcPr>
          <w:p w14:paraId="0B09B768">
            <w:pPr>
              <w:pStyle w:val="12"/>
              <w:jc w:val="center"/>
              <w:rPr>
                <w:rFonts w:ascii="宋体" w:hAnsi="宋体"/>
              </w:rPr>
            </w:pPr>
            <w:r>
              <w:rPr>
                <w:rFonts w:hint="eastAsia" w:ascii="宋体" w:hAnsi="宋体"/>
              </w:rPr>
              <w:t>—</w:t>
            </w:r>
          </w:p>
        </w:tc>
        <w:tc>
          <w:tcPr>
            <w:tcW w:w="454" w:type="pct"/>
            <w:vAlign w:val="center"/>
          </w:tcPr>
          <w:p w14:paraId="47883919">
            <w:pPr>
              <w:pStyle w:val="12"/>
              <w:jc w:val="center"/>
              <w:rPr>
                <w:rFonts w:ascii="宋体" w:hAnsi="宋体"/>
              </w:rPr>
            </w:pPr>
            <w:r>
              <w:rPr>
                <w:rFonts w:hint="eastAsia" w:ascii="宋体" w:hAnsi="宋体"/>
              </w:rPr>
              <w:t>—</w:t>
            </w:r>
          </w:p>
        </w:tc>
        <w:tc>
          <w:tcPr>
            <w:tcW w:w="454" w:type="pct"/>
            <w:vAlign w:val="center"/>
          </w:tcPr>
          <w:p w14:paraId="2C3567C3">
            <w:pPr>
              <w:pStyle w:val="12"/>
              <w:jc w:val="center"/>
              <w:rPr>
                <w:rFonts w:ascii="宋体" w:hAnsi="宋体"/>
              </w:rPr>
            </w:pPr>
            <w:r>
              <w:rPr>
                <w:rFonts w:hint="eastAsia" w:ascii="宋体" w:hAnsi="宋体"/>
              </w:rPr>
              <w:t>—</w:t>
            </w:r>
          </w:p>
        </w:tc>
        <w:tc>
          <w:tcPr>
            <w:tcW w:w="454" w:type="pct"/>
            <w:vAlign w:val="center"/>
          </w:tcPr>
          <w:p w14:paraId="435D2398">
            <w:pPr>
              <w:pStyle w:val="12"/>
              <w:jc w:val="center"/>
              <w:rPr>
                <w:rFonts w:ascii="宋体" w:hAnsi="宋体"/>
              </w:rPr>
            </w:pPr>
            <w:r>
              <w:rPr>
                <w:rFonts w:hint="eastAsia" w:ascii="宋体" w:hAnsi="宋体"/>
              </w:rPr>
              <w:t>—</w:t>
            </w:r>
          </w:p>
        </w:tc>
        <w:tc>
          <w:tcPr>
            <w:tcW w:w="454" w:type="pct"/>
            <w:vAlign w:val="center"/>
          </w:tcPr>
          <w:p w14:paraId="43FF5A1B">
            <w:pPr>
              <w:pStyle w:val="12"/>
              <w:jc w:val="center"/>
              <w:rPr>
                <w:rFonts w:ascii="宋体" w:hAnsi="宋体"/>
              </w:rPr>
            </w:pPr>
            <w:r>
              <w:rPr>
                <w:rFonts w:hint="eastAsia" w:ascii="宋体" w:hAnsi="宋体"/>
              </w:rPr>
              <w:t>—</w:t>
            </w:r>
          </w:p>
        </w:tc>
        <w:tc>
          <w:tcPr>
            <w:tcW w:w="454" w:type="pct"/>
            <w:vAlign w:val="center"/>
          </w:tcPr>
          <w:p w14:paraId="3D123D76">
            <w:pPr>
              <w:pStyle w:val="12"/>
              <w:jc w:val="center"/>
              <w:rPr>
                <w:rFonts w:ascii="宋体" w:hAnsi="宋体"/>
              </w:rPr>
            </w:pPr>
            <w:r>
              <w:rPr>
                <w:rFonts w:hint="eastAsia" w:ascii="宋体" w:hAnsi="宋体"/>
              </w:rPr>
              <w:t>—</w:t>
            </w:r>
          </w:p>
        </w:tc>
        <w:tc>
          <w:tcPr>
            <w:tcW w:w="455" w:type="pct"/>
            <w:vAlign w:val="center"/>
          </w:tcPr>
          <w:p w14:paraId="51616C8F">
            <w:pPr>
              <w:pStyle w:val="12"/>
              <w:jc w:val="center"/>
              <w:rPr>
                <w:rFonts w:ascii="宋体" w:hAnsi="宋体"/>
              </w:rPr>
            </w:pPr>
            <w:r>
              <w:rPr>
                <w:rFonts w:hint="eastAsia" w:ascii="宋体" w:hAnsi="宋体"/>
              </w:rPr>
              <w:t>3</w:t>
            </w:r>
          </w:p>
        </w:tc>
        <w:tc>
          <w:tcPr>
            <w:tcW w:w="455" w:type="pct"/>
            <w:vAlign w:val="center"/>
          </w:tcPr>
          <w:p w14:paraId="3E3C281A">
            <w:pPr>
              <w:pStyle w:val="12"/>
              <w:jc w:val="center"/>
              <w:rPr>
                <w:rFonts w:ascii="宋体" w:hAnsi="宋体"/>
              </w:rPr>
            </w:pPr>
            <w:r>
              <w:rPr>
                <w:rFonts w:hint="eastAsia" w:ascii="宋体" w:hAnsi="宋体"/>
              </w:rPr>
              <w:t>1250</w:t>
            </w:r>
          </w:p>
        </w:tc>
      </w:tr>
      <w:tr w14:paraId="3E44063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14:paraId="3A0ECF90">
            <w:pPr>
              <w:pStyle w:val="12"/>
              <w:jc w:val="center"/>
              <w:rPr>
                <w:rFonts w:ascii="宋体" w:hAnsi="宋体"/>
              </w:rPr>
            </w:pPr>
            <w:r>
              <w:rPr>
                <w:rFonts w:hint="eastAsia" w:ascii="宋体" w:hAnsi="宋体"/>
              </w:rPr>
              <w:t>澜河</w:t>
            </w:r>
          </w:p>
        </w:tc>
        <w:tc>
          <w:tcPr>
            <w:tcW w:w="454" w:type="pct"/>
            <w:vAlign w:val="center"/>
          </w:tcPr>
          <w:p w14:paraId="5E2D824A">
            <w:pPr>
              <w:pStyle w:val="12"/>
              <w:jc w:val="center"/>
              <w:rPr>
                <w:rFonts w:ascii="宋体" w:hAnsi="宋体"/>
              </w:rPr>
            </w:pPr>
            <w:r>
              <w:rPr>
                <w:rFonts w:hint="eastAsia" w:ascii="宋体" w:hAnsi="宋体"/>
              </w:rPr>
              <w:t>2</w:t>
            </w:r>
          </w:p>
        </w:tc>
        <w:tc>
          <w:tcPr>
            <w:tcW w:w="454" w:type="pct"/>
            <w:vAlign w:val="center"/>
          </w:tcPr>
          <w:p w14:paraId="1CB28CA0">
            <w:pPr>
              <w:pStyle w:val="12"/>
              <w:jc w:val="center"/>
              <w:rPr>
                <w:rFonts w:ascii="宋体" w:hAnsi="宋体"/>
              </w:rPr>
            </w:pPr>
            <w:r>
              <w:rPr>
                <w:rFonts w:hint="eastAsia" w:ascii="宋体" w:hAnsi="宋体"/>
              </w:rPr>
              <w:t>1000</w:t>
            </w:r>
          </w:p>
        </w:tc>
        <w:tc>
          <w:tcPr>
            <w:tcW w:w="454" w:type="pct"/>
            <w:vAlign w:val="center"/>
          </w:tcPr>
          <w:p w14:paraId="5382CF46">
            <w:pPr>
              <w:pStyle w:val="12"/>
              <w:jc w:val="center"/>
              <w:rPr>
                <w:rFonts w:ascii="宋体" w:hAnsi="宋体"/>
              </w:rPr>
            </w:pPr>
            <w:r>
              <w:rPr>
                <w:rFonts w:hint="eastAsia" w:ascii="宋体" w:hAnsi="宋体"/>
              </w:rPr>
              <w:t>2</w:t>
            </w:r>
          </w:p>
        </w:tc>
        <w:tc>
          <w:tcPr>
            <w:tcW w:w="454" w:type="pct"/>
            <w:vAlign w:val="center"/>
          </w:tcPr>
          <w:p w14:paraId="0C83B8E2">
            <w:pPr>
              <w:pStyle w:val="12"/>
              <w:jc w:val="center"/>
              <w:rPr>
                <w:rFonts w:ascii="宋体" w:hAnsi="宋体"/>
              </w:rPr>
            </w:pPr>
            <w:r>
              <w:rPr>
                <w:rFonts w:hint="eastAsia" w:ascii="宋体" w:hAnsi="宋体"/>
              </w:rPr>
              <w:t>1000</w:t>
            </w:r>
          </w:p>
        </w:tc>
        <w:tc>
          <w:tcPr>
            <w:tcW w:w="454" w:type="pct"/>
            <w:vAlign w:val="center"/>
          </w:tcPr>
          <w:p w14:paraId="3872D6A0">
            <w:pPr>
              <w:pStyle w:val="12"/>
              <w:jc w:val="center"/>
              <w:rPr>
                <w:rFonts w:ascii="宋体" w:hAnsi="宋体"/>
              </w:rPr>
            </w:pPr>
            <w:r>
              <w:rPr>
                <w:rFonts w:hint="eastAsia" w:ascii="宋体" w:hAnsi="宋体"/>
              </w:rPr>
              <w:t>—</w:t>
            </w:r>
          </w:p>
        </w:tc>
        <w:tc>
          <w:tcPr>
            <w:tcW w:w="454" w:type="pct"/>
            <w:vAlign w:val="center"/>
          </w:tcPr>
          <w:p w14:paraId="0E1C9140">
            <w:pPr>
              <w:pStyle w:val="12"/>
              <w:jc w:val="center"/>
              <w:rPr>
                <w:rFonts w:ascii="宋体" w:hAnsi="宋体"/>
              </w:rPr>
            </w:pPr>
            <w:r>
              <w:rPr>
                <w:rFonts w:hint="eastAsia" w:ascii="宋体" w:hAnsi="宋体"/>
              </w:rPr>
              <w:t>—</w:t>
            </w:r>
          </w:p>
        </w:tc>
        <w:tc>
          <w:tcPr>
            <w:tcW w:w="454" w:type="pct"/>
            <w:vAlign w:val="center"/>
          </w:tcPr>
          <w:p w14:paraId="169A67E8">
            <w:pPr>
              <w:pStyle w:val="12"/>
              <w:jc w:val="center"/>
              <w:rPr>
                <w:rFonts w:ascii="宋体" w:hAnsi="宋体"/>
              </w:rPr>
            </w:pPr>
            <w:r>
              <w:rPr>
                <w:rFonts w:hint="eastAsia" w:ascii="宋体" w:hAnsi="宋体"/>
              </w:rPr>
              <w:t>—</w:t>
            </w:r>
          </w:p>
        </w:tc>
        <w:tc>
          <w:tcPr>
            <w:tcW w:w="454" w:type="pct"/>
            <w:vAlign w:val="center"/>
          </w:tcPr>
          <w:p w14:paraId="68BD3140">
            <w:pPr>
              <w:pStyle w:val="12"/>
              <w:jc w:val="center"/>
              <w:rPr>
                <w:rFonts w:ascii="宋体" w:hAnsi="宋体"/>
              </w:rPr>
            </w:pPr>
            <w:r>
              <w:rPr>
                <w:rFonts w:hint="eastAsia" w:ascii="宋体" w:hAnsi="宋体"/>
              </w:rPr>
              <w:t>—</w:t>
            </w:r>
          </w:p>
        </w:tc>
        <w:tc>
          <w:tcPr>
            <w:tcW w:w="455" w:type="pct"/>
            <w:vAlign w:val="center"/>
          </w:tcPr>
          <w:p w14:paraId="1B28C3DB">
            <w:pPr>
              <w:pStyle w:val="12"/>
              <w:jc w:val="center"/>
              <w:rPr>
                <w:rFonts w:ascii="宋体" w:hAnsi="宋体"/>
              </w:rPr>
            </w:pPr>
            <w:r>
              <w:rPr>
                <w:rFonts w:hint="eastAsia" w:ascii="宋体" w:hAnsi="宋体"/>
              </w:rPr>
              <w:t>—</w:t>
            </w:r>
          </w:p>
        </w:tc>
        <w:tc>
          <w:tcPr>
            <w:tcW w:w="455" w:type="pct"/>
            <w:vAlign w:val="center"/>
          </w:tcPr>
          <w:p w14:paraId="6BDC40B9">
            <w:pPr>
              <w:pStyle w:val="12"/>
              <w:jc w:val="center"/>
              <w:rPr>
                <w:rFonts w:ascii="宋体" w:hAnsi="宋体"/>
              </w:rPr>
            </w:pPr>
            <w:r>
              <w:rPr>
                <w:rFonts w:hint="eastAsia" w:ascii="宋体" w:hAnsi="宋体"/>
              </w:rPr>
              <w:t>—</w:t>
            </w:r>
          </w:p>
        </w:tc>
      </w:tr>
      <w:tr w14:paraId="1AD1B6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14:paraId="23EB3438">
            <w:pPr>
              <w:pStyle w:val="12"/>
              <w:jc w:val="center"/>
              <w:rPr>
                <w:rFonts w:ascii="宋体" w:hAnsi="宋体"/>
              </w:rPr>
            </w:pPr>
            <w:r>
              <w:rPr>
                <w:rFonts w:hint="eastAsia" w:ascii="宋体" w:hAnsi="宋体"/>
              </w:rPr>
              <w:t>百顺</w:t>
            </w:r>
          </w:p>
        </w:tc>
        <w:tc>
          <w:tcPr>
            <w:tcW w:w="454" w:type="pct"/>
            <w:vAlign w:val="center"/>
          </w:tcPr>
          <w:p w14:paraId="24E4649F">
            <w:pPr>
              <w:pStyle w:val="12"/>
              <w:jc w:val="center"/>
              <w:rPr>
                <w:rFonts w:ascii="宋体" w:hAnsi="宋体"/>
              </w:rPr>
            </w:pPr>
            <w:r>
              <w:rPr>
                <w:rFonts w:hint="eastAsia" w:ascii="宋体" w:hAnsi="宋体"/>
              </w:rPr>
              <w:t>2</w:t>
            </w:r>
          </w:p>
        </w:tc>
        <w:tc>
          <w:tcPr>
            <w:tcW w:w="454" w:type="pct"/>
            <w:vAlign w:val="center"/>
          </w:tcPr>
          <w:p w14:paraId="55280D87">
            <w:pPr>
              <w:pStyle w:val="12"/>
              <w:jc w:val="center"/>
              <w:rPr>
                <w:rFonts w:ascii="宋体" w:hAnsi="宋体"/>
              </w:rPr>
            </w:pPr>
            <w:r>
              <w:rPr>
                <w:rFonts w:hint="eastAsia" w:ascii="宋体" w:hAnsi="宋体"/>
              </w:rPr>
              <w:t>1000</w:t>
            </w:r>
          </w:p>
        </w:tc>
        <w:tc>
          <w:tcPr>
            <w:tcW w:w="454" w:type="pct"/>
            <w:vAlign w:val="center"/>
          </w:tcPr>
          <w:p w14:paraId="4A1DE65B">
            <w:pPr>
              <w:pStyle w:val="12"/>
              <w:jc w:val="center"/>
              <w:rPr>
                <w:rFonts w:ascii="宋体" w:hAnsi="宋体"/>
              </w:rPr>
            </w:pPr>
            <w:r>
              <w:rPr>
                <w:rFonts w:hint="eastAsia" w:ascii="宋体" w:hAnsi="宋体"/>
              </w:rPr>
              <w:t>2</w:t>
            </w:r>
          </w:p>
        </w:tc>
        <w:tc>
          <w:tcPr>
            <w:tcW w:w="454" w:type="pct"/>
            <w:vAlign w:val="center"/>
          </w:tcPr>
          <w:p w14:paraId="720C32EA">
            <w:pPr>
              <w:pStyle w:val="12"/>
              <w:jc w:val="center"/>
              <w:rPr>
                <w:rFonts w:ascii="宋体" w:hAnsi="宋体"/>
              </w:rPr>
            </w:pPr>
            <w:r>
              <w:rPr>
                <w:rFonts w:hint="eastAsia" w:ascii="宋体" w:hAnsi="宋体"/>
              </w:rPr>
              <w:t>1000</w:t>
            </w:r>
          </w:p>
        </w:tc>
        <w:tc>
          <w:tcPr>
            <w:tcW w:w="454" w:type="pct"/>
            <w:vAlign w:val="center"/>
          </w:tcPr>
          <w:p w14:paraId="0A7AC31E">
            <w:pPr>
              <w:pStyle w:val="12"/>
              <w:jc w:val="center"/>
              <w:rPr>
                <w:rFonts w:ascii="宋体" w:hAnsi="宋体"/>
              </w:rPr>
            </w:pPr>
            <w:r>
              <w:rPr>
                <w:rFonts w:hint="eastAsia" w:ascii="宋体" w:hAnsi="宋体"/>
              </w:rPr>
              <w:t>—</w:t>
            </w:r>
          </w:p>
        </w:tc>
        <w:tc>
          <w:tcPr>
            <w:tcW w:w="454" w:type="pct"/>
            <w:vAlign w:val="center"/>
          </w:tcPr>
          <w:p w14:paraId="1811C81E">
            <w:pPr>
              <w:pStyle w:val="12"/>
              <w:jc w:val="center"/>
              <w:rPr>
                <w:rFonts w:ascii="宋体" w:hAnsi="宋体"/>
              </w:rPr>
            </w:pPr>
            <w:r>
              <w:rPr>
                <w:rFonts w:hint="eastAsia" w:ascii="宋体" w:hAnsi="宋体"/>
              </w:rPr>
              <w:t>—</w:t>
            </w:r>
          </w:p>
        </w:tc>
        <w:tc>
          <w:tcPr>
            <w:tcW w:w="454" w:type="pct"/>
            <w:vAlign w:val="center"/>
          </w:tcPr>
          <w:p w14:paraId="60AB32EE">
            <w:pPr>
              <w:pStyle w:val="12"/>
              <w:jc w:val="center"/>
              <w:rPr>
                <w:rFonts w:ascii="宋体" w:hAnsi="宋体"/>
              </w:rPr>
            </w:pPr>
            <w:r>
              <w:rPr>
                <w:rFonts w:hint="eastAsia" w:ascii="宋体" w:hAnsi="宋体"/>
              </w:rPr>
              <w:t>—</w:t>
            </w:r>
          </w:p>
        </w:tc>
        <w:tc>
          <w:tcPr>
            <w:tcW w:w="454" w:type="pct"/>
            <w:vAlign w:val="center"/>
          </w:tcPr>
          <w:p w14:paraId="2720BDDF">
            <w:pPr>
              <w:pStyle w:val="12"/>
              <w:jc w:val="center"/>
              <w:rPr>
                <w:rFonts w:ascii="宋体" w:hAnsi="宋体"/>
              </w:rPr>
            </w:pPr>
            <w:r>
              <w:rPr>
                <w:rFonts w:hint="eastAsia" w:ascii="宋体" w:hAnsi="宋体"/>
              </w:rPr>
              <w:t>—</w:t>
            </w:r>
          </w:p>
        </w:tc>
        <w:tc>
          <w:tcPr>
            <w:tcW w:w="455" w:type="pct"/>
            <w:vAlign w:val="center"/>
          </w:tcPr>
          <w:p w14:paraId="711D8A10">
            <w:pPr>
              <w:pStyle w:val="12"/>
              <w:jc w:val="center"/>
              <w:rPr>
                <w:rFonts w:ascii="宋体" w:hAnsi="宋体"/>
              </w:rPr>
            </w:pPr>
            <w:r>
              <w:rPr>
                <w:rFonts w:hint="eastAsia" w:ascii="宋体" w:hAnsi="宋体"/>
              </w:rPr>
              <w:t>—</w:t>
            </w:r>
          </w:p>
        </w:tc>
        <w:tc>
          <w:tcPr>
            <w:tcW w:w="455" w:type="pct"/>
            <w:vAlign w:val="center"/>
          </w:tcPr>
          <w:p w14:paraId="54BBE8CD">
            <w:pPr>
              <w:pStyle w:val="12"/>
              <w:jc w:val="center"/>
              <w:rPr>
                <w:rFonts w:ascii="宋体" w:hAnsi="宋体"/>
              </w:rPr>
            </w:pPr>
            <w:r>
              <w:rPr>
                <w:rFonts w:hint="eastAsia" w:ascii="宋体" w:hAnsi="宋体"/>
              </w:rPr>
              <w:t>—</w:t>
            </w:r>
          </w:p>
        </w:tc>
      </w:tr>
      <w:tr w14:paraId="0A4F21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14:paraId="5234E2B9">
            <w:pPr>
              <w:pStyle w:val="12"/>
              <w:jc w:val="center"/>
              <w:rPr>
                <w:rFonts w:ascii="宋体" w:hAnsi="宋体"/>
              </w:rPr>
            </w:pPr>
            <w:r>
              <w:rPr>
                <w:rFonts w:hint="eastAsia" w:ascii="宋体" w:hAnsi="宋体"/>
              </w:rPr>
              <w:t>雄州</w:t>
            </w:r>
          </w:p>
        </w:tc>
        <w:tc>
          <w:tcPr>
            <w:tcW w:w="454" w:type="pct"/>
            <w:vAlign w:val="center"/>
          </w:tcPr>
          <w:p w14:paraId="00A3D67A">
            <w:pPr>
              <w:pStyle w:val="12"/>
              <w:jc w:val="center"/>
              <w:rPr>
                <w:rFonts w:ascii="宋体" w:hAnsi="宋体"/>
              </w:rPr>
            </w:pPr>
            <w:r>
              <w:rPr>
                <w:rFonts w:hint="eastAsia" w:ascii="宋体" w:hAnsi="宋体"/>
              </w:rPr>
              <w:t>14</w:t>
            </w:r>
          </w:p>
        </w:tc>
        <w:tc>
          <w:tcPr>
            <w:tcW w:w="454" w:type="pct"/>
            <w:vAlign w:val="center"/>
          </w:tcPr>
          <w:p w14:paraId="22CB191A">
            <w:pPr>
              <w:pStyle w:val="12"/>
              <w:jc w:val="center"/>
              <w:rPr>
                <w:rFonts w:ascii="宋体" w:hAnsi="宋体"/>
              </w:rPr>
            </w:pPr>
            <w:r>
              <w:rPr>
                <w:rFonts w:hint="eastAsia" w:ascii="宋体" w:hAnsi="宋体"/>
              </w:rPr>
              <w:t>12800</w:t>
            </w:r>
          </w:p>
        </w:tc>
        <w:tc>
          <w:tcPr>
            <w:tcW w:w="454" w:type="pct"/>
            <w:vAlign w:val="center"/>
          </w:tcPr>
          <w:p w14:paraId="302EC5E9">
            <w:pPr>
              <w:pStyle w:val="12"/>
              <w:jc w:val="center"/>
              <w:rPr>
                <w:rFonts w:ascii="宋体" w:hAnsi="宋体"/>
              </w:rPr>
            </w:pPr>
            <w:r>
              <w:rPr>
                <w:rFonts w:hint="eastAsia" w:ascii="宋体" w:hAnsi="宋体"/>
              </w:rPr>
              <w:t>9</w:t>
            </w:r>
          </w:p>
        </w:tc>
        <w:tc>
          <w:tcPr>
            <w:tcW w:w="454" w:type="pct"/>
            <w:vAlign w:val="center"/>
          </w:tcPr>
          <w:p w14:paraId="21774A8C">
            <w:pPr>
              <w:pStyle w:val="12"/>
              <w:jc w:val="center"/>
              <w:rPr>
                <w:rFonts w:ascii="宋体" w:hAnsi="宋体"/>
              </w:rPr>
            </w:pPr>
            <w:r>
              <w:rPr>
                <w:rFonts w:hint="eastAsia" w:ascii="宋体" w:hAnsi="宋体"/>
              </w:rPr>
              <w:t>6800</w:t>
            </w:r>
          </w:p>
        </w:tc>
        <w:tc>
          <w:tcPr>
            <w:tcW w:w="454" w:type="pct"/>
            <w:vAlign w:val="center"/>
          </w:tcPr>
          <w:p w14:paraId="4B7A053C">
            <w:pPr>
              <w:pStyle w:val="12"/>
              <w:jc w:val="center"/>
              <w:rPr>
                <w:rFonts w:ascii="宋体" w:hAnsi="宋体"/>
              </w:rPr>
            </w:pPr>
            <w:r>
              <w:rPr>
                <w:rFonts w:hint="eastAsia" w:ascii="宋体" w:hAnsi="宋体"/>
              </w:rPr>
              <w:t>4</w:t>
            </w:r>
          </w:p>
        </w:tc>
        <w:tc>
          <w:tcPr>
            <w:tcW w:w="454" w:type="pct"/>
            <w:vAlign w:val="center"/>
          </w:tcPr>
          <w:p w14:paraId="10B8ED23">
            <w:pPr>
              <w:pStyle w:val="12"/>
              <w:jc w:val="center"/>
              <w:rPr>
                <w:rFonts w:ascii="宋体" w:hAnsi="宋体"/>
              </w:rPr>
            </w:pPr>
            <w:r>
              <w:rPr>
                <w:rFonts w:hint="eastAsia" w:ascii="宋体" w:hAnsi="宋体"/>
              </w:rPr>
              <w:t>4000</w:t>
            </w:r>
          </w:p>
        </w:tc>
        <w:tc>
          <w:tcPr>
            <w:tcW w:w="454" w:type="pct"/>
            <w:vAlign w:val="center"/>
          </w:tcPr>
          <w:p w14:paraId="7C3E0E67">
            <w:pPr>
              <w:pStyle w:val="12"/>
              <w:jc w:val="center"/>
              <w:rPr>
                <w:rFonts w:ascii="宋体" w:hAnsi="宋体"/>
              </w:rPr>
            </w:pPr>
            <w:r>
              <w:rPr>
                <w:rFonts w:hint="eastAsia" w:ascii="宋体" w:hAnsi="宋体"/>
              </w:rPr>
              <w:t>1</w:t>
            </w:r>
          </w:p>
        </w:tc>
        <w:tc>
          <w:tcPr>
            <w:tcW w:w="454" w:type="pct"/>
            <w:vAlign w:val="center"/>
          </w:tcPr>
          <w:p w14:paraId="2C4BF570">
            <w:pPr>
              <w:pStyle w:val="12"/>
              <w:jc w:val="center"/>
              <w:rPr>
                <w:rFonts w:ascii="宋体" w:hAnsi="宋体"/>
              </w:rPr>
            </w:pPr>
            <w:r>
              <w:rPr>
                <w:rFonts w:hint="eastAsia" w:ascii="宋体" w:hAnsi="宋体"/>
              </w:rPr>
              <w:t>2000</w:t>
            </w:r>
          </w:p>
        </w:tc>
        <w:tc>
          <w:tcPr>
            <w:tcW w:w="455" w:type="pct"/>
            <w:vAlign w:val="center"/>
          </w:tcPr>
          <w:p w14:paraId="3958E716">
            <w:pPr>
              <w:pStyle w:val="12"/>
              <w:jc w:val="center"/>
              <w:rPr>
                <w:rFonts w:ascii="宋体" w:hAnsi="宋体"/>
              </w:rPr>
            </w:pPr>
            <w:r>
              <w:rPr>
                <w:rFonts w:hint="eastAsia" w:ascii="宋体" w:hAnsi="宋体"/>
              </w:rPr>
              <w:t>—</w:t>
            </w:r>
          </w:p>
        </w:tc>
        <w:tc>
          <w:tcPr>
            <w:tcW w:w="455" w:type="pct"/>
            <w:vAlign w:val="center"/>
          </w:tcPr>
          <w:p w14:paraId="60D9596A">
            <w:pPr>
              <w:pStyle w:val="12"/>
              <w:jc w:val="center"/>
              <w:rPr>
                <w:rFonts w:ascii="宋体" w:hAnsi="宋体"/>
              </w:rPr>
            </w:pPr>
            <w:r>
              <w:rPr>
                <w:rFonts w:hint="eastAsia" w:ascii="宋体" w:hAnsi="宋体"/>
              </w:rPr>
              <w:t>—</w:t>
            </w:r>
          </w:p>
        </w:tc>
      </w:tr>
    </w:tbl>
    <w:p w14:paraId="1D05D36F">
      <w:pPr>
        <w:pStyle w:val="5"/>
        <w:rPr>
          <w:rFonts w:ascii="宋体" w:hAnsi="宋体"/>
        </w:rPr>
      </w:pPr>
      <w:r>
        <w:rPr>
          <w:rFonts w:hint="eastAsia" w:ascii="宋体" w:hAnsi="宋体"/>
        </w:rPr>
        <w:t>二、保管</w:t>
      </w:r>
    </w:p>
    <w:p w14:paraId="0ECC5899">
      <w:pPr>
        <w:ind w:firstLine="420"/>
        <w:rPr>
          <w:rFonts w:ascii="宋体" w:hAnsi="宋体"/>
          <w:szCs w:val="21"/>
        </w:rPr>
      </w:pPr>
      <w:r>
        <w:rPr>
          <w:rFonts w:hint="eastAsia" w:ascii="宋体" w:hAnsi="宋体"/>
          <w:szCs w:val="21"/>
        </w:rPr>
        <w:t>贯彻“以防为主，综合防治”的保粮方针，落实清洁卫生防治、机械物理防治、社会防治、化学药剂防治。</w:t>
      </w:r>
    </w:p>
    <w:p w14:paraId="3A7D9A98">
      <w:pPr>
        <w:ind w:firstLine="420"/>
        <w:rPr>
          <w:rFonts w:ascii="宋体" w:hAnsi="宋体"/>
          <w:szCs w:val="21"/>
        </w:rPr>
      </w:pPr>
      <w:r>
        <w:rPr>
          <w:rFonts w:hint="eastAsia" w:ascii="宋体" w:hAnsi="宋体"/>
          <w:szCs w:val="21"/>
        </w:rPr>
        <w:t>在保管工具方面，新中国成立初，粮质检验工具以木制验谷板、手木砻为主，结合眼看、手摸、牙咬等感观验谷办法。</w:t>
      </w:r>
      <w:r>
        <w:rPr>
          <w:rFonts w:ascii="宋体" w:hAnsi="宋体"/>
          <w:szCs w:val="21"/>
        </w:rPr>
        <w:t>1951年，开始使用油蒸式、油浴式水分测定</w:t>
      </w:r>
      <w:r>
        <w:rPr>
          <w:rFonts w:hint="eastAsia" w:ascii="宋体" w:hAnsi="宋体"/>
          <w:szCs w:val="21"/>
        </w:rPr>
        <w:t>器。除杂工具仍是是古老的木风车、溜筛、人力操作风过筛，效率低且劳动强度大，入库粮质也难以达到国家要求。</w:t>
      </w:r>
      <w:r>
        <w:rPr>
          <w:rFonts w:ascii="宋体" w:hAnsi="宋体"/>
          <w:szCs w:val="21"/>
        </w:rPr>
        <w:t>20世纪60年代开始，工具不断革新。1987年，保管</w:t>
      </w:r>
      <w:r>
        <w:rPr>
          <w:rFonts w:hint="eastAsia" w:ascii="宋体" w:hAnsi="宋体"/>
          <w:szCs w:val="21"/>
        </w:rPr>
        <w:t>粮食的主要工具有数字式自动巡回粮食温度遥测仪、电动取样器、阿贝析光仪、分光仪、电机测粉筛、电恒温箱、电动出糙机、电子测温表、除杂设备、机械通风设备、水分测定器、虫筛等</w:t>
      </w:r>
      <w:r>
        <w:rPr>
          <w:rFonts w:ascii="宋体" w:hAnsi="宋体"/>
          <w:szCs w:val="21"/>
        </w:rPr>
        <w:t>80多台（套）。</w:t>
      </w:r>
    </w:p>
    <w:p w14:paraId="28B506A6">
      <w:pPr>
        <w:ind w:firstLine="420"/>
        <w:rPr>
          <w:rFonts w:ascii="宋体" w:hAnsi="宋体"/>
          <w:szCs w:val="21"/>
        </w:rPr>
      </w:pPr>
      <w:r>
        <w:rPr>
          <w:rFonts w:ascii="宋体" w:hAnsi="宋体"/>
          <w:szCs w:val="21"/>
        </w:rPr>
        <w:t>1990年后，配备有电动插样器、电动粉碎分离机、电动振荡器、电冰箱、高温</w:t>
      </w:r>
      <w:r>
        <w:rPr>
          <w:rFonts w:hint="eastAsia" w:ascii="宋体" w:hAnsi="宋体"/>
          <w:szCs w:val="21"/>
        </w:rPr>
        <w:t>电炉、电动搅拌机、显微镜、机械自动加码万分之一分析天平，使粮油检测手段从自然物理检验向化学分析阶段发展，检测仪器设备日趋完善，为实现科学保粮奠定了基础。</w:t>
      </w:r>
    </w:p>
    <w:p w14:paraId="50DB30C2">
      <w:pPr>
        <w:pStyle w:val="5"/>
        <w:rPr>
          <w:rFonts w:ascii="宋体" w:hAnsi="宋体"/>
        </w:rPr>
      </w:pPr>
      <w:r>
        <w:rPr>
          <w:rFonts w:hint="eastAsia" w:ascii="宋体" w:hAnsi="宋体"/>
        </w:rPr>
        <w:t>三、调运</w:t>
      </w:r>
    </w:p>
    <w:p w14:paraId="30DEDF12">
      <w:pPr>
        <w:ind w:firstLine="420"/>
        <w:rPr>
          <w:rFonts w:ascii="宋体" w:hAnsi="宋体"/>
          <w:szCs w:val="21"/>
        </w:rPr>
      </w:pPr>
      <w:r>
        <w:rPr>
          <w:rFonts w:hint="eastAsia" w:ascii="宋体" w:hAnsi="宋体"/>
          <w:szCs w:val="21"/>
        </w:rPr>
        <w:t>新中国成立初的粮食调运，水运占总运输量的</w:t>
      </w:r>
      <w:r>
        <w:rPr>
          <w:rFonts w:ascii="宋体" w:hAnsi="宋体"/>
          <w:szCs w:val="21"/>
        </w:rPr>
        <w:t>60%以上。对交通不便的山区，</w:t>
      </w:r>
      <w:r>
        <w:rPr>
          <w:rFonts w:hint="eastAsia" w:ascii="宋体" w:hAnsi="宋体"/>
          <w:szCs w:val="21"/>
        </w:rPr>
        <w:t>采取两步集运的方法：首先在农闲季节组织劳动力用肩挑、牛角手推车运到沿河两岸或公路线上的仓站，再用汽车、木船转运县城或直接外调韶关。</w:t>
      </w:r>
      <w:r>
        <w:rPr>
          <w:rFonts w:ascii="宋体" w:hAnsi="宋体"/>
          <w:szCs w:val="21"/>
        </w:rPr>
        <w:t>20世纪60年代，由</w:t>
      </w:r>
      <w:r>
        <w:rPr>
          <w:rFonts w:hint="eastAsia" w:ascii="宋体" w:hAnsi="宋体"/>
          <w:szCs w:val="21"/>
        </w:rPr>
        <w:t>于河道淤塞，粮食水运量逐年下降。浈江航道原</w:t>
      </w:r>
      <w:r>
        <w:rPr>
          <w:rFonts w:ascii="宋体" w:hAnsi="宋体"/>
          <w:szCs w:val="21"/>
        </w:rPr>
        <w:t>18个航运点，1969年只剩下弱过、</w:t>
      </w:r>
      <w:r>
        <w:rPr>
          <w:rFonts w:hint="eastAsia" w:ascii="宋体" w:hAnsi="宋体"/>
          <w:szCs w:val="21"/>
        </w:rPr>
        <w:t>水口、涌溪、坪岗、三洲、五渡</w:t>
      </w:r>
      <w:r>
        <w:rPr>
          <w:rFonts w:ascii="宋体" w:hAnsi="宋体"/>
          <w:szCs w:val="21"/>
        </w:rPr>
        <w:t>6个点。1975年，县内粮食全部停止水运，转为车</w:t>
      </w:r>
      <w:r>
        <w:rPr>
          <w:rFonts w:hint="eastAsia" w:ascii="宋体" w:hAnsi="宋体"/>
          <w:szCs w:val="21"/>
        </w:rPr>
        <w:t>运。</w:t>
      </w:r>
      <w:r>
        <w:rPr>
          <w:rFonts w:ascii="宋体" w:hAnsi="宋体"/>
          <w:szCs w:val="21"/>
        </w:rPr>
        <w:t>1979年成立粮食车队，1984年4月改为粮食局汽车运输服务公司，由原有2辆8</w:t>
      </w:r>
      <w:r>
        <w:rPr>
          <w:rFonts w:hint="eastAsia" w:ascii="宋体" w:hAnsi="宋体"/>
          <w:szCs w:val="21"/>
        </w:rPr>
        <w:t>吨位汽车增至</w:t>
      </w:r>
      <w:r>
        <w:rPr>
          <w:rFonts w:ascii="宋体" w:hAnsi="宋体"/>
          <w:szCs w:val="21"/>
        </w:rPr>
        <w:t>7辆33.5吨位，担负全县粮食集运和外调运输任务的60%～70%。</w:t>
      </w:r>
    </w:p>
    <w:p w14:paraId="56CA815D">
      <w:pPr>
        <w:ind w:firstLine="420"/>
        <w:rPr>
          <w:rFonts w:ascii="宋体" w:hAnsi="宋体"/>
          <w:szCs w:val="21"/>
        </w:rPr>
      </w:pPr>
      <w:r>
        <w:rPr>
          <w:rFonts w:hint="eastAsia" w:ascii="宋体" w:hAnsi="宋体"/>
          <w:szCs w:val="21"/>
        </w:rPr>
        <w:t>随着粮食企业向市场经济转轨，放开粮食经营。粮食局汽车运输服务公司于</w:t>
      </w:r>
      <w:r>
        <w:rPr>
          <w:rFonts w:ascii="宋体" w:hAnsi="宋体"/>
          <w:szCs w:val="21"/>
        </w:rPr>
        <w:t>1998年转制解体。</w:t>
      </w:r>
    </w:p>
    <w:p w14:paraId="28812041">
      <w:pPr>
        <w:pStyle w:val="4"/>
        <w:rPr>
          <w:rFonts w:ascii="宋体" w:hAnsi="宋体"/>
        </w:rPr>
      </w:pPr>
      <w:r>
        <w:rPr>
          <w:rFonts w:hint="eastAsia" w:ascii="宋体" w:hAnsi="宋体"/>
        </w:rPr>
        <w:t>第四节  加工</w:t>
      </w:r>
    </w:p>
    <w:p w14:paraId="53BBAC2E">
      <w:pPr>
        <w:ind w:firstLine="420"/>
        <w:rPr>
          <w:rFonts w:ascii="宋体" w:hAnsi="宋体"/>
          <w:szCs w:val="21"/>
        </w:rPr>
      </w:pPr>
      <w:r>
        <w:rPr>
          <w:rFonts w:hint="eastAsia" w:ascii="宋体" w:hAnsi="宋体"/>
          <w:szCs w:val="21"/>
        </w:rPr>
        <w:t>新中国成立后，国营加工厂主要有二家：一为县城粮食加工厂，主要生产设备</w:t>
      </w:r>
      <w:r>
        <w:rPr>
          <w:rFonts w:ascii="宋体" w:hAnsi="宋体"/>
          <w:szCs w:val="21"/>
        </w:rPr>
        <w:t>18台（套），动力机械能力389千瓦，年加工大米能力4万吨；二为</w:t>
      </w:r>
      <w:r>
        <w:rPr>
          <w:rFonts w:hint="eastAsia" w:ascii="宋体" w:hAnsi="宋体"/>
          <w:szCs w:val="21"/>
        </w:rPr>
        <w:t>乌</w:t>
      </w:r>
      <w:r>
        <w:rPr>
          <w:rFonts w:ascii="宋体" w:hAnsi="宋体"/>
          <w:szCs w:val="21"/>
        </w:rPr>
        <w:t>迳粮食加工</w:t>
      </w:r>
      <w:r>
        <w:rPr>
          <w:rFonts w:hint="eastAsia" w:ascii="宋体" w:hAnsi="宋体"/>
          <w:szCs w:val="21"/>
        </w:rPr>
        <w:t>厂，主要生产设备</w:t>
      </w:r>
      <w:r>
        <w:rPr>
          <w:rFonts w:ascii="宋体" w:hAnsi="宋体"/>
          <w:szCs w:val="21"/>
        </w:rPr>
        <w:t>16台（套），动力机械能力298千瓦，年加工大米能力1.21万吨。</w:t>
      </w:r>
      <w:r>
        <w:rPr>
          <w:rFonts w:hint="eastAsia" w:ascii="宋体" w:hAnsi="宋体"/>
          <w:szCs w:val="21"/>
        </w:rPr>
        <w:t>此外还在大塘、百顺、澜河、主田建立</w:t>
      </w:r>
      <w:r>
        <w:rPr>
          <w:rFonts w:ascii="宋体" w:hAnsi="宋体"/>
          <w:szCs w:val="21"/>
        </w:rPr>
        <w:t>4间小型加工厂，动力多为柴油机，设备均</w:t>
      </w:r>
      <w:r>
        <w:rPr>
          <w:rFonts w:hint="eastAsia" w:ascii="宋体" w:hAnsi="宋体"/>
          <w:szCs w:val="21"/>
        </w:rPr>
        <w:t>一横磨、一朴磨、一统糠机，加工大米和统糠，自己经营或代农民加工。</w:t>
      </w:r>
    </w:p>
    <w:p w14:paraId="33B063CD">
      <w:pPr>
        <w:ind w:firstLine="420"/>
        <w:rPr>
          <w:rFonts w:ascii="宋体" w:hAnsi="宋体"/>
          <w:szCs w:val="21"/>
        </w:rPr>
      </w:pPr>
      <w:r>
        <w:rPr>
          <w:rFonts w:ascii="宋体" w:hAnsi="宋体"/>
          <w:szCs w:val="21"/>
        </w:rPr>
        <w:t>1979年后，随着农村经济的发展，乡镇村兴办粮油加工厂，个别农民也自办小</w:t>
      </w:r>
      <w:r>
        <w:rPr>
          <w:rFonts w:hint="eastAsia" w:ascii="宋体" w:hAnsi="宋体"/>
          <w:szCs w:val="21"/>
        </w:rPr>
        <w:t>型米机厂。</w:t>
      </w:r>
      <w:r>
        <w:rPr>
          <w:rFonts w:ascii="宋体" w:hAnsi="宋体"/>
          <w:szCs w:val="21"/>
        </w:rPr>
        <w:t>1987年，乡办、村办及个体户办粮食加工厂195间，从业455人。油料加</w:t>
      </w:r>
      <w:r>
        <w:rPr>
          <w:rFonts w:hint="eastAsia" w:ascii="宋体" w:hAnsi="宋体"/>
          <w:szCs w:val="21"/>
        </w:rPr>
        <w:t>工厂</w:t>
      </w:r>
      <w:r>
        <w:rPr>
          <w:rFonts w:ascii="宋体" w:hAnsi="宋体"/>
          <w:szCs w:val="21"/>
        </w:rPr>
        <w:t>111间，从业408人。2004年底，全市共有各种型号碾米机1479台，年生产能</w:t>
      </w:r>
      <w:r>
        <w:rPr>
          <w:rFonts w:hint="eastAsia" w:ascii="宋体" w:hAnsi="宋体"/>
          <w:szCs w:val="21"/>
        </w:rPr>
        <w:t>力大米</w:t>
      </w:r>
      <w:r>
        <w:rPr>
          <w:rFonts w:ascii="宋体" w:hAnsi="宋体"/>
          <w:szCs w:val="21"/>
        </w:rPr>
        <w:t>86000余吨</w:t>
      </w:r>
      <w:r>
        <w:rPr>
          <w:rFonts w:hint="eastAsia" w:ascii="宋体" w:hAnsi="宋体"/>
          <w:szCs w:val="21"/>
        </w:rPr>
        <w:t>。</w:t>
      </w:r>
    </w:p>
    <w:p w14:paraId="6AB1D708">
      <w:pPr>
        <w:pStyle w:val="4"/>
        <w:rPr>
          <w:rFonts w:ascii="宋体" w:hAnsi="宋体"/>
        </w:rPr>
      </w:pPr>
      <w:r>
        <w:rPr>
          <w:rFonts w:hint="eastAsia" w:ascii="宋体" w:hAnsi="宋体"/>
        </w:rPr>
        <w:t>第五节  经营效益</w:t>
      </w:r>
    </w:p>
    <w:p w14:paraId="475975D4">
      <w:pPr>
        <w:ind w:firstLine="420"/>
        <w:rPr>
          <w:rFonts w:ascii="宋体" w:hAnsi="宋体"/>
          <w:szCs w:val="21"/>
        </w:rPr>
      </w:pPr>
      <w:r>
        <w:rPr>
          <w:rFonts w:hint="eastAsia" w:ascii="宋体" w:hAnsi="宋体"/>
          <w:szCs w:val="21"/>
        </w:rPr>
        <w:t>粮食商业是国家政策性亏损企业，从</w:t>
      </w:r>
      <w:r>
        <w:rPr>
          <w:rFonts w:ascii="宋体" w:hAnsi="宋体"/>
          <w:szCs w:val="21"/>
        </w:rPr>
        <w:t>1953年至2000年，全县粮食商业共亏损5242.12万元。</w:t>
      </w:r>
    </w:p>
    <w:p w14:paraId="6C3E1FCA">
      <w:pPr>
        <w:ind w:firstLine="420"/>
        <w:rPr>
          <w:rFonts w:ascii="宋体" w:hAnsi="宋体"/>
          <w:szCs w:val="21"/>
        </w:rPr>
      </w:pPr>
      <w:r>
        <w:rPr>
          <w:rFonts w:hint="eastAsia" w:ascii="宋体" w:hAnsi="宋体"/>
          <w:szCs w:val="21"/>
        </w:rPr>
        <w:t>粮食加工业和粮食议价贸易是粮食企业中的微利企业。粮食加工业从</w:t>
      </w:r>
      <w:r>
        <w:rPr>
          <w:rFonts w:ascii="宋体" w:hAnsi="宋体"/>
          <w:szCs w:val="21"/>
        </w:rPr>
        <w:t>1953年至2000年共赢利215.96万元，粮食议价贸易从1979年至1992年共赢利115.82万元</w:t>
      </w:r>
      <w:r>
        <w:rPr>
          <w:rFonts w:hint="eastAsia" w:ascii="宋体" w:hAnsi="宋体"/>
          <w:szCs w:val="21"/>
        </w:rPr>
        <w:t>，详见表</w:t>
      </w:r>
      <w:r>
        <w:rPr>
          <w:rFonts w:ascii="宋体" w:hAnsi="宋体"/>
          <w:szCs w:val="21"/>
        </w:rPr>
        <w:t>2-45</w:t>
      </w:r>
      <w:r>
        <w:rPr>
          <w:rFonts w:hint="eastAsia" w:ascii="宋体" w:hAnsi="宋体"/>
          <w:szCs w:val="21"/>
        </w:rPr>
        <w:t>：</w:t>
      </w:r>
    </w:p>
    <w:p w14:paraId="122D8108">
      <w:pPr>
        <w:ind w:firstLine="0" w:firstLineChars="0"/>
        <w:jc w:val="center"/>
        <w:rPr>
          <w:rFonts w:ascii="宋体" w:hAnsi="宋体"/>
          <w:b/>
          <w:szCs w:val="21"/>
        </w:rPr>
      </w:pPr>
      <w:r>
        <w:rPr>
          <w:rFonts w:hint="eastAsia" w:ascii="宋体" w:hAnsi="宋体"/>
          <w:b/>
          <w:szCs w:val="21"/>
        </w:rPr>
        <w:t>南雄市几个年度粮食企业经营效益情况</w:t>
      </w:r>
    </w:p>
    <w:p w14:paraId="55205549">
      <w:pPr>
        <w:ind w:firstLine="0" w:firstLineChars="0"/>
        <w:rPr>
          <w:rFonts w:ascii="宋体" w:hAnsi="宋体"/>
          <w:b/>
        </w:rPr>
      </w:pPr>
      <w:r>
        <w:rPr>
          <w:rFonts w:hint="eastAsia" w:ascii="宋体" w:hAnsi="宋体"/>
          <w:b/>
        </w:rPr>
        <w:t>表2-45</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5"/>
        <w:gridCol w:w="1245"/>
        <w:gridCol w:w="1245"/>
        <w:gridCol w:w="1245"/>
        <w:gridCol w:w="1245"/>
        <w:gridCol w:w="1245"/>
        <w:gridCol w:w="1246"/>
        <w:gridCol w:w="1246"/>
      </w:tblGrid>
      <w:tr w14:paraId="6DFE6F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restart"/>
            <w:vAlign w:val="center"/>
          </w:tcPr>
          <w:p w14:paraId="6BE90FAA">
            <w:pPr>
              <w:pStyle w:val="12"/>
              <w:jc w:val="center"/>
              <w:rPr>
                <w:rFonts w:ascii="宋体" w:hAnsi="宋体"/>
                <w:b/>
              </w:rPr>
            </w:pPr>
            <w:r>
              <w:rPr>
                <w:rFonts w:hint="eastAsia" w:ascii="宋体" w:hAnsi="宋体"/>
                <w:b/>
              </w:rPr>
              <w:t>年度</w:t>
            </w:r>
          </w:p>
        </w:tc>
        <w:tc>
          <w:tcPr>
            <w:tcW w:w="1875" w:type="pct"/>
            <w:gridSpan w:val="3"/>
            <w:vAlign w:val="center"/>
          </w:tcPr>
          <w:p w14:paraId="614F07CA">
            <w:pPr>
              <w:pStyle w:val="12"/>
              <w:jc w:val="center"/>
              <w:rPr>
                <w:rFonts w:ascii="宋体" w:hAnsi="宋体"/>
                <w:b/>
              </w:rPr>
            </w:pPr>
            <w:r>
              <w:rPr>
                <w:rFonts w:hint="eastAsia" w:ascii="宋体" w:hAnsi="宋体"/>
                <w:b/>
              </w:rPr>
              <w:t>盈亏（万元）</w:t>
            </w:r>
          </w:p>
        </w:tc>
        <w:tc>
          <w:tcPr>
            <w:tcW w:w="1250" w:type="pct"/>
            <w:gridSpan w:val="2"/>
            <w:vAlign w:val="center"/>
          </w:tcPr>
          <w:p w14:paraId="4232E99D">
            <w:pPr>
              <w:pStyle w:val="12"/>
              <w:jc w:val="center"/>
              <w:rPr>
                <w:rFonts w:ascii="宋体" w:hAnsi="宋体"/>
                <w:b/>
              </w:rPr>
            </w:pPr>
            <w:r>
              <w:rPr>
                <w:rFonts w:hint="eastAsia" w:ascii="宋体" w:hAnsi="宋体"/>
                <w:b/>
              </w:rPr>
              <w:t>商品流通费</w:t>
            </w:r>
          </w:p>
        </w:tc>
        <w:tc>
          <w:tcPr>
            <w:tcW w:w="1250" w:type="pct"/>
            <w:gridSpan w:val="2"/>
            <w:vAlign w:val="center"/>
          </w:tcPr>
          <w:p w14:paraId="320B14D4">
            <w:pPr>
              <w:pStyle w:val="12"/>
              <w:jc w:val="center"/>
              <w:rPr>
                <w:rFonts w:ascii="宋体" w:hAnsi="宋体"/>
                <w:b/>
              </w:rPr>
            </w:pPr>
            <w:r>
              <w:rPr>
                <w:rFonts w:hint="eastAsia" w:ascii="宋体" w:hAnsi="宋体"/>
                <w:b/>
              </w:rPr>
              <w:t>每吨商品费用</w:t>
            </w:r>
          </w:p>
        </w:tc>
      </w:tr>
      <w:tr w14:paraId="608DCE6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14:paraId="57CC5723">
            <w:pPr>
              <w:pStyle w:val="12"/>
              <w:jc w:val="center"/>
              <w:rPr>
                <w:rFonts w:ascii="宋体" w:hAnsi="宋体"/>
                <w:b/>
              </w:rPr>
            </w:pPr>
          </w:p>
        </w:tc>
        <w:tc>
          <w:tcPr>
            <w:tcW w:w="625" w:type="pct"/>
            <w:vAlign w:val="center"/>
          </w:tcPr>
          <w:p w14:paraId="5C06737C">
            <w:pPr>
              <w:pStyle w:val="12"/>
              <w:jc w:val="center"/>
              <w:rPr>
                <w:rFonts w:ascii="宋体" w:hAnsi="宋体"/>
                <w:b/>
              </w:rPr>
            </w:pPr>
            <w:r>
              <w:rPr>
                <w:rFonts w:hint="eastAsia" w:ascii="宋体" w:hAnsi="宋体"/>
                <w:b/>
              </w:rPr>
              <w:t>粮食商业</w:t>
            </w:r>
          </w:p>
        </w:tc>
        <w:tc>
          <w:tcPr>
            <w:tcW w:w="625" w:type="pct"/>
            <w:vAlign w:val="center"/>
          </w:tcPr>
          <w:p w14:paraId="1273F3A5">
            <w:pPr>
              <w:pStyle w:val="12"/>
              <w:jc w:val="center"/>
              <w:rPr>
                <w:rFonts w:ascii="宋体" w:hAnsi="宋体"/>
                <w:b/>
              </w:rPr>
            </w:pPr>
            <w:r>
              <w:rPr>
                <w:rFonts w:hint="eastAsia" w:ascii="宋体" w:hAnsi="宋体"/>
                <w:b/>
              </w:rPr>
              <w:t>粮食工业</w:t>
            </w:r>
          </w:p>
        </w:tc>
        <w:tc>
          <w:tcPr>
            <w:tcW w:w="625" w:type="pct"/>
            <w:vAlign w:val="center"/>
          </w:tcPr>
          <w:p w14:paraId="0B75A027">
            <w:pPr>
              <w:pStyle w:val="12"/>
              <w:jc w:val="center"/>
              <w:rPr>
                <w:rFonts w:ascii="宋体" w:hAnsi="宋体"/>
                <w:b/>
              </w:rPr>
            </w:pPr>
            <w:r>
              <w:rPr>
                <w:rFonts w:hint="eastAsia" w:ascii="宋体" w:hAnsi="宋体"/>
                <w:b/>
              </w:rPr>
              <w:t>粮食议价贸易</w:t>
            </w:r>
          </w:p>
        </w:tc>
        <w:tc>
          <w:tcPr>
            <w:tcW w:w="625" w:type="pct"/>
            <w:vAlign w:val="center"/>
          </w:tcPr>
          <w:p w14:paraId="77099A61">
            <w:pPr>
              <w:pStyle w:val="12"/>
              <w:jc w:val="center"/>
              <w:rPr>
                <w:rFonts w:ascii="宋体" w:hAnsi="宋体"/>
                <w:b/>
              </w:rPr>
            </w:pPr>
            <w:r>
              <w:rPr>
                <w:rFonts w:hint="eastAsia" w:ascii="宋体" w:hAnsi="宋体"/>
                <w:b/>
              </w:rPr>
              <w:t>费用总额（万元）</w:t>
            </w:r>
          </w:p>
        </w:tc>
        <w:tc>
          <w:tcPr>
            <w:tcW w:w="625" w:type="pct"/>
            <w:vAlign w:val="center"/>
          </w:tcPr>
          <w:p w14:paraId="7E3620C2">
            <w:pPr>
              <w:pStyle w:val="12"/>
              <w:jc w:val="center"/>
              <w:rPr>
                <w:rFonts w:ascii="宋体" w:hAnsi="宋体"/>
                <w:b/>
              </w:rPr>
            </w:pPr>
            <w:r>
              <w:rPr>
                <w:rFonts w:hint="eastAsia" w:ascii="宋体" w:hAnsi="宋体"/>
                <w:b/>
              </w:rPr>
              <w:t>费用水平（%）</w:t>
            </w:r>
          </w:p>
        </w:tc>
        <w:tc>
          <w:tcPr>
            <w:tcW w:w="625" w:type="pct"/>
            <w:vAlign w:val="center"/>
          </w:tcPr>
          <w:p w14:paraId="1F6AEEC8">
            <w:pPr>
              <w:pStyle w:val="12"/>
              <w:jc w:val="center"/>
              <w:rPr>
                <w:rFonts w:ascii="宋体" w:hAnsi="宋体"/>
                <w:b/>
              </w:rPr>
            </w:pPr>
            <w:r>
              <w:rPr>
                <w:rFonts w:hint="eastAsia" w:ascii="宋体" w:hAnsi="宋体"/>
                <w:b/>
              </w:rPr>
              <w:t>经营量费用（元）</w:t>
            </w:r>
          </w:p>
        </w:tc>
        <w:tc>
          <w:tcPr>
            <w:tcW w:w="625" w:type="pct"/>
            <w:vAlign w:val="center"/>
          </w:tcPr>
          <w:p w14:paraId="71C70B0F">
            <w:pPr>
              <w:pStyle w:val="12"/>
              <w:jc w:val="center"/>
              <w:rPr>
                <w:rFonts w:ascii="宋体" w:hAnsi="宋体"/>
                <w:b/>
              </w:rPr>
            </w:pPr>
            <w:r>
              <w:rPr>
                <w:rFonts w:hint="eastAsia" w:ascii="宋体" w:hAnsi="宋体"/>
                <w:b/>
              </w:rPr>
              <w:t>储存量保管费（元）</w:t>
            </w:r>
          </w:p>
        </w:tc>
      </w:tr>
      <w:tr w14:paraId="70DA92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32E9B439">
            <w:pPr>
              <w:pStyle w:val="12"/>
              <w:jc w:val="center"/>
              <w:rPr>
                <w:rFonts w:ascii="宋体" w:hAnsi="宋体"/>
              </w:rPr>
            </w:pPr>
            <w:r>
              <w:rPr>
                <w:rFonts w:ascii="宋体" w:hAnsi="宋体"/>
              </w:rPr>
              <w:t>1953</w:t>
            </w:r>
          </w:p>
        </w:tc>
        <w:tc>
          <w:tcPr>
            <w:tcW w:w="625" w:type="pct"/>
            <w:vAlign w:val="center"/>
          </w:tcPr>
          <w:p w14:paraId="1FDEEDF9">
            <w:pPr>
              <w:pStyle w:val="12"/>
              <w:jc w:val="center"/>
              <w:rPr>
                <w:rFonts w:ascii="宋体" w:hAnsi="宋体"/>
              </w:rPr>
            </w:pPr>
            <w:r>
              <w:rPr>
                <w:rFonts w:ascii="宋体" w:hAnsi="宋体"/>
              </w:rPr>
              <w:t>-2.13</w:t>
            </w:r>
          </w:p>
        </w:tc>
        <w:tc>
          <w:tcPr>
            <w:tcW w:w="625" w:type="pct"/>
            <w:vAlign w:val="center"/>
          </w:tcPr>
          <w:p w14:paraId="58FDBAE8">
            <w:pPr>
              <w:pStyle w:val="12"/>
              <w:jc w:val="center"/>
              <w:rPr>
                <w:rFonts w:ascii="宋体" w:hAnsi="宋体"/>
              </w:rPr>
            </w:pPr>
            <w:r>
              <w:rPr>
                <w:rFonts w:ascii="宋体" w:hAnsi="宋体"/>
              </w:rPr>
              <w:t>0.034</w:t>
            </w:r>
          </w:p>
        </w:tc>
        <w:tc>
          <w:tcPr>
            <w:tcW w:w="625" w:type="pct"/>
            <w:vAlign w:val="center"/>
          </w:tcPr>
          <w:p w14:paraId="5BA99F69">
            <w:pPr>
              <w:pStyle w:val="12"/>
              <w:jc w:val="center"/>
              <w:rPr>
                <w:rFonts w:ascii="宋体" w:hAnsi="宋体"/>
              </w:rPr>
            </w:pPr>
            <w:r>
              <w:rPr>
                <w:rFonts w:ascii="宋体" w:hAnsi="宋体"/>
              </w:rPr>
              <w:t>—</w:t>
            </w:r>
          </w:p>
        </w:tc>
        <w:tc>
          <w:tcPr>
            <w:tcW w:w="625" w:type="pct"/>
            <w:vAlign w:val="center"/>
          </w:tcPr>
          <w:p w14:paraId="07EA835A">
            <w:pPr>
              <w:pStyle w:val="12"/>
              <w:jc w:val="center"/>
              <w:rPr>
                <w:rFonts w:ascii="宋体" w:hAnsi="宋体"/>
              </w:rPr>
            </w:pPr>
            <w:r>
              <w:rPr>
                <w:rFonts w:ascii="宋体" w:hAnsi="宋体"/>
              </w:rPr>
              <w:t>66.4</w:t>
            </w:r>
          </w:p>
        </w:tc>
        <w:tc>
          <w:tcPr>
            <w:tcW w:w="625" w:type="pct"/>
            <w:vAlign w:val="center"/>
          </w:tcPr>
          <w:p w14:paraId="5760799A">
            <w:pPr>
              <w:pStyle w:val="12"/>
              <w:jc w:val="center"/>
              <w:rPr>
                <w:rFonts w:ascii="宋体" w:hAnsi="宋体"/>
              </w:rPr>
            </w:pPr>
            <w:r>
              <w:rPr>
                <w:rFonts w:ascii="宋体" w:hAnsi="宋体"/>
              </w:rPr>
              <w:t>24.7</w:t>
            </w:r>
          </w:p>
        </w:tc>
        <w:tc>
          <w:tcPr>
            <w:tcW w:w="625" w:type="pct"/>
            <w:vAlign w:val="center"/>
          </w:tcPr>
          <w:p w14:paraId="67B766BC">
            <w:pPr>
              <w:pStyle w:val="12"/>
              <w:jc w:val="center"/>
              <w:rPr>
                <w:rFonts w:ascii="宋体" w:hAnsi="宋体"/>
              </w:rPr>
            </w:pPr>
            <w:r>
              <w:rPr>
                <w:rFonts w:ascii="宋体" w:hAnsi="宋体"/>
              </w:rPr>
              <w:t>13.9</w:t>
            </w:r>
          </w:p>
        </w:tc>
        <w:tc>
          <w:tcPr>
            <w:tcW w:w="625" w:type="pct"/>
            <w:vAlign w:val="center"/>
          </w:tcPr>
          <w:p w14:paraId="4A300F8B">
            <w:pPr>
              <w:pStyle w:val="12"/>
              <w:jc w:val="center"/>
              <w:rPr>
                <w:rFonts w:ascii="宋体" w:hAnsi="宋体"/>
              </w:rPr>
            </w:pPr>
            <w:r>
              <w:rPr>
                <w:rFonts w:ascii="宋体" w:hAnsi="宋体"/>
              </w:rPr>
              <w:t>3.7</w:t>
            </w:r>
          </w:p>
        </w:tc>
      </w:tr>
      <w:tr w14:paraId="02F1E2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2F9EBA6E">
            <w:pPr>
              <w:pStyle w:val="12"/>
              <w:jc w:val="center"/>
              <w:rPr>
                <w:rFonts w:ascii="宋体" w:hAnsi="宋体"/>
              </w:rPr>
            </w:pPr>
            <w:r>
              <w:rPr>
                <w:rFonts w:ascii="宋体" w:hAnsi="宋体"/>
              </w:rPr>
              <w:t>1957</w:t>
            </w:r>
          </w:p>
        </w:tc>
        <w:tc>
          <w:tcPr>
            <w:tcW w:w="625" w:type="pct"/>
            <w:vAlign w:val="center"/>
          </w:tcPr>
          <w:p w14:paraId="5ED1FDE2">
            <w:pPr>
              <w:pStyle w:val="12"/>
              <w:jc w:val="center"/>
              <w:rPr>
                <w:rFonts w:ascii="宋体" w:hAnsi="宋体"/>
              </w:rPr>
            </w:pPr>
            <w:r>
              <w:rPr>
                <w:rFonts w:ascii="宋体" w:hAnsi="宋体"/>
              </w:rPr>
              <w:t>-66.8</w:t>
            </w:r>
          </w:p>
        </w:tc>
        <w:tc>
          <w:tcPr>
            <w:tcW w:w="625" w:type="pct"/>
            <w:vAlign w:val="center"/>
          </w:tcPr>
          <w:p w14:paraId="136FF5DE">
            <w:pPr>
              <w:pStyle w:val="12"/>
              <w:jc w:val="center"/>
              <w:rPr>
                <w:rFonts w:ascii="宋体" w:hAnsi="宋体"/>
              </w:rPr>
            </w:pPr>
            <w:r>
              <w:rPr>
                <w:rFonts w:ascii="宋体" w:hAnsi="宋体"/>
              </w:rPr>
              <w:t>2.8</w:t>
            </w:r>
          </w:p>
        </w:tc>
        <w:tc>
          <w:tcPr>
            <w:tcW w:w="625" w:type="pct"/>
            <w:vAlign w:val="center"/>
          </w:tcPr>
          <w:p w14:paraId="63FE9711">
            <w:pPr>
              <w:pStyle w:val="12"/>
              <w:jc w:val="center"/>
              <w:rPr>
                <w:rFonts w:ascii="宋体" w:hAnsi="宋体"/>
              </w:rPr>
            </w:pPr>
            <w:r>
              <w:rPr>
                <w:rFonts w:ascii="宋体" w:hAnsi="宋体"/>
              </w:rPr>
              <w:t>—</w:t>
            </w:r>
          </w:p>
        </w:tc>
        <w:tc>
          <w:tcPr>
            <w:tcW w:w="625" w:type="pct"/>
            <w:vAlign w:val="center"/>
          </w:tcPr>
          <w:p w14:paraId="4F782508">
            <w:pPr>
              <w:pStyle w:val="12"/>
              <w:jc w:val="center"/>
              <w:rPr>
                <w:rFonts w:ascii="宋体" w:hAnsi="宋体"/>
              </w:rPr>
            </w:pPr>
            <w:r>
              <w:rPr>
                <w:rFonts w:ascii="宋体" w:hAnsi="宋体"/>
              </w:rPr>
              <w:t>81.5</w:t>
            </w:r>
          </w:p>
        </w:tc>
        <w:tc>
          <w:tcPr>
            <w:tcW w:w="625" w:type="pct"/>
            <w:vAlign w:val="center"/>
          </w:tcPr>
          <w:p w14:paraId="5C8D4A60">
            <w:pPr>
              <w:pStyle w:val="12"/>
              <w:jc w:val="center"/>
              <w:rPr>
                <w:rFonts w:ascii="宋体" w:hAnsi="宋体"/>
              </w:rPr>
            </w:pPr>
            <w:r>
              <w:rPr>
                <w:rFonts w:ascii="宋体" w:hAnsi="宋体"/>
              </w:rPr>
              <w:t>16.7</w:t>
            </w:r>
          </w:p>
        </w:tc>
        <w:tc>
          <w:tcPr>
            <w:tcW w:w="625" w:type="pct"/>
            <w:vAlign w:val="center"/>
          </w:tcPr>
          <w:p w14:paraId="08AD1D36">
            <w:pPr>
              <w:pStyle w:val="12"/>
              <w:jc w:val="center"/>
              <w:rPr>
                <w:rFonts w:ascii="宋体" w:hAnsi="宋体"/>
              </w:rPr>
            </w:pPr>
            <w:r>
              <w:rPr>
                <w:rFonts w:ascii="宋体" w:hAnsi="宋体"/>
              </w:rPr>
              <w:t>12.5</w:t>
            </w:r>
          </w:p>
        </w:tc>
        <w:tc>
          <w:tcPr>
            <w:tcW w:w="625" w:type="pct"/>
            <w:vAlign w:val="center"/>
          </w:tcPr>
          <w:p w14:paraId="4409260C">
            <w:pPr>
              <w:pStyle w:val="12"/>
              <w:jc w:val="center"/>
              <w:rPr>
                <w:rFonts w:ascii="宋体" w:hAnsi="宋体"/>
              </w:rPr>
            </w:pPr>
            <w:r>
              <w:rPr>
                <w:rFonts w:ascii="宋体" w:hAnsi="宋体"/>
              </w:rPr>
              <w:t>2.6</w:t>
            </w:r>
          </w:p>
        </w:tc>
      </w:tr>
      <w:tr w14:paraId="6D1137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74921C2F">
            <w:pPr>
              <w:pStyle w:val="12"/>
              <w:jc w:val="center"/>
              <w:rPr>
                <w:rFonts w:ascii="宋体" w:hAnsi="宋体"/>
              </w:rPr>
            </w:pPr>
            <w:r>
              <w:rPr>
                <w:rFonts w:ascii="宋体" w:hAnsi="宋体"/>
              </w:rPr>
              <w:t>1963</w:t>
            </w:r>
          </w:p>
        </w:tc>
        <w:tc>
          <w:tcPr>
            <w:tcW w:w="625" w:type="pct"/>
            <w:vAlign w:val="center"/>
          </w:tcPr>
          <w:p w14:paraId="46C7EAFA">
            <w:pPr>
              <w:pStyle w:val="12"/>
              <w:jc w:val="center"/>
              <w:rPr>
                <w:rFonts w:ascii="宋体" w:hAnsi="宋体"/>
              </w:rPr>
            </w:pPr>
            <w:r>
              <w:rPr>
                <w:rFonts w:ascii="宋体" w:hAnsi="宋体"/>
              </w:rPr>
              <w:t>-68.74</w:t>
            </w:r>
          </w:p>
        </w:tc>
        <w:tc>
          <w:tcPr>
            <w:tcW w:w="625" w:type="pct"/>
            <w:vAlign w:val="center"/>
          </w:tcPr>
          <w:p w14:paraId="29D32239">
            <w:pPr>
              <w:pStyle w:val="12"/>
              <w:jc w:val="center"/>
              <w:rPr>
                <w:rFonts w:ascii="宋体" w:hAnsi="宋体"/>
              </w:rPr>
            </w:pPr>
            <w:r>
              <w:rPr>
                <w:rFonts w:ascii="宋体" w:hAnsi="宋体"/>
              </w:rPr>
              <w:t>7.52</w:t>
            </w:r>
          </w:p>
        </w:tc>
        <w:tc>
          <w:tcPr>
            <w:tcW w:w="625" w:type="pct"/>
            <w:vAlign w:val="center"/>
          </w:tcPr>
          <w:p w14:paraId="31957768">
            <w:pPr>
              <w:pStyle w:val="12"/>
              <w:jc w:val="center"/>
              <w:rPr>
                <w:rFonts w:ascii="宋体" w:hAnsi="宋体"/>
              </w:rPr>
            </w:pPr>
            <w:r>
              <w:rPr>
                <w:rFonts w:ascii="宋体" w:hAnsi="宋体"/>
              </w:rPr>
              <w:t>—</w:t>
            </w:r>
          </w:p>
        </w:tc>
        <w:tc>
          <w:tcPr>
            <w:tcW w:w="625" w:type="pct"/>
            <w:vAlign w:val="center"/>
          </w:tcPr>
          <w:p w14:paraId="3D52C526">
            <w:pPr>
              <w:pStyle w:val="12"/>
              <w:jc w:val="center"/>
              <w:rPr>
                <w:rFonts w:ascii="宋体" w:hAnsi="宋体"/>
              </w:rPr>
            </w:pPr>
            <w:r>
              <w:rPr>
                <w:rFonts w:ascii="宋体" w:hAnsi="宋体"/>
              </w:rPr>
              <w:t>52.87</w:t>
            </w:r>
          </w:p>
        </w:tc>
        <w:tc>
          <w:tcPr>
            <w:tcW w:w="625" w:type="pct"/>
            <w:vAlign w:val="center"/>
          </w:tcPr>
          <w:p w14:paraId="47C990CE">
            <w:pPr>
              <w:pStyle w:val="12"/>
              <w:jc w:val="center"/>
              <w:rPr>
                <w:rFonts w:ascii="宋体" w:hAnsi="宋体"/>
              </w:rPr>
            </w:pPr>
            <w:r>
              <w:rPr>
                <w:rFonts w:ascii="宋体" w:hAnsi="宋体"/>
              </w:rPr>
              <w:t>12.1</w:t>
            </w:r>
          </w:p>
        </w:tc>
        <w:tc>
          <w:tcPr>
            <w:tcW w:w="625" w:type="pct"/>
            <w:vAlign w:val="center"/>
          </w:tcPr>
          <w:p w14:paraId="3E2CF55D">
            <w:pPr>
              <w:pStyle w:val="12"/>
              <w:jc w:val="center"/>
              <w:rPr>
                <w:rFonts w:ascii="宋体" w:hAnsi="宋体"/>
              </w:rPr>
            </w:pPr>
            <w:r>
              <w:rPr>
                <w:rFonts w:ascii="宋体" w:hAnsi="宋体"/>
              </w:rPr>
              <w:t>12.5</w:t>
            </w:r>
          </w:p>
        </w:tc>
        <w:tc>
          <w:tcPr>
            <w:tcW w:w="625" w:type="pct"/>
            <w:vAlign w:val="center"/>
          </w:tcPr>
          <w:p w14:paraId="5D6F3056">
            <w:pPr>
              <w:pStyle w:val="12"/>
              <w:jc w:val="center"/>
              <w:rPr>
                <w:rFonts w:ascii="宋体" w:hAnsi="宋体"/>
              </w:rPr>
            </w:pPr>
            <w:r>
              <w:rPr>
                <w:rFonts w:ascii="宋体" w:hAnsi="宋体"/>
              </w:rPr>
              <w:t>1.3</w:t>
            </w:r>
          </w:p>
        </w:tc>
      </w:tr>
      <w:tr w14:paraId="7773B0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3AE0A0EB">
            <w:pPr>
              <w:pStyle w:val="12"/>
              <w:jc w:val="center"/>
              <w:rPr>
                <w:rFonts w:ascii="宋体" w:hAnsi="宋体"/>
              </w:rPr>
            </w:pPr>
            <w:r>
              <w:rPr>
                <w:rFonts w:ascii="宋体" w:hAnsi="宋体"/>
              </w:rPr>
              <w:t>1970</w:t>
            </w:r>
          </w:p>
        </w:tc>
        <w:tc>
          <w:tcPr>
            <w:tcW w:w="625" w:type="pct"/>
            <w:vAlign w:val="center"/>
          </w:tcPr>
          <w:p w14:paraId="62108011">
            <w:pPr>
              <w:pStyle w:val="12"/>
              <w:jc w:val="center"/>
              <w:rPr>
                <w:rFonts w:ascii="宋体" w:hAnsi="宋体"/>
              </w:rPr>
            </w:pPr>
            <w:r>
              <w:rPr>
                <w:rFonts w:ascii="宋体" w:hAnsi="宋体"/>
              </w:rPr>
              <w:t>-63.11</w:t>
            </w:r>
          </w:p>
        </w:tc>
        <w:tc>
          <w:tcPr>
            <w:tcW w:w="625" w:type="pct"/>
            <w:vAlign w:val="center"/>
          </w:tcPr>
          <w:p w14:paraId="7BFB83E4">
            <w:pPr>
              <w:pStyle w:val="12"/>
              <w:jc w:val="center"/>
              <w:rPr>
                <w:rFonts w:ascii="宋体" w:hAnsi="宋体"/>
              </w:rPr>
            </w:pPr>
            <w:r>
              <w:rPr>
                <w:rFonts w:ascii="宋体" w:hAnsi="宋体"/>
              </w:rPr>
              <w:t>6.1</w:t>
            </w:r>
          </w:p>
        </w:tc>
        <w:tc>
          <w:tcPr>
            <w:tcW w:w="625" w:type="pct"/>
            <w:vAlign w:val="center"/>
          </w:tcPr>
          <w:p w14:paraId="26655F5F">
            <w:pPr>
              <w:pStyle w:val="12"/>
              <w:jc w:val="center"/>
              <w:rPr>
                <w:rFonts w:ascii="宋体" w:hAnsi="宋体"/>
              </w:rPr>
            </w:pPr>
            <w:r>
              <w:rPr>
                <w:rFonts w:ascii="宋体" w:hAnsi="宋体"/>
              </w:rPr>
              <w:t>—</w:t>
            </w:r>
          </w:p>
        </w:tc>
        <w:tc>
          <w:tcPr>
            <w:tcW w:w="625" w:type="pct"/>
            <w:vAlign w:val="center"/>
          </w:tcPr>
          <w:p w14:paraId="156C73E6">
            <w:pPr>
              <w:pStyle w:val="12"/>
              <w:jc w:val="center"/>
              <w:rPr>
                <w:rFonts w:ascii="宋体" w:hAnsi="宋体"/>
              </w:rPr>
            </w:pPr>
            <w:r>
              <w:rPr>
                <w:rFonts w:ascii="宋体" w:hAnsi="宋体"/>
              </w:rPr>
              <w:t>93</w:t>
            </w:r>
          </w:p>
        </w:tc>
        <w:tc>
          <w:tcPr>
            <w:tcW w:w="625" w:type="pct"/>
            <w:vAlign w:val="center"/>
          </w:tcPr>
          <w:p w14:paraId="32DF69C2">
            <w:pPr>
              <w:pStyle w:val="12"/>
              <w:jc w:val="center"/>
              <w:rPr>
                <w:rFonts w:ascii="宋体" w:hAnsi="宋体"/>
              </w:rPr>
            </w:pPr>
            <w:r>
              <w:rPr>
                <w:rFonts w:ascii="宋体" w:hAnsi="宋体"/>
              </w:rPr>
              <w:t>12.1</w:t>
            </w:r>
          </w:p>
        </w:tc>
        <w:tc>
          <w:tcPr>
            <w:tcW w:w="625" w:type="pct"/>
            <w:vAlign w:val="center"/>
          </w:tcPr>
          <w:p w14:paraId="3D4742C0">
            <w:pPr>
              <w:pStyle w:val="12"/>
              <w:jc w:val="center"/>
              <w:rPr>
                <w:rFonts w:ascii="宋体" w:hAnsi="宋体"/>
              </w:rPr>
            </w:pPr>
            <w:r>
              <w:rPr>
                <w:rFonts w:ascii="宋体" w:hAnsi="宋体"/>
              </w:rPr>
              <w:t>—</w:t>
            </w:r>
          </w:p>
        </w:tc>
        <w:tc>
          <w:tcPr>
            <w:tcW w:w="625" w:type="pct"/>
            <w:vAlign w:val="center"/>
          </w:tcPr>
          <w:p w14:paraId="0D1A2E1E">
            <w:pPr>
              <w:pStyle w:val="12"/>
              <w:jc w:val="center"/>
              <w:rPr>
                <w:rFonts w:ascii="宋体" w:hAnsi="宋体"/>
              </w:rPr>
            </w:pPr>
            <w:r>
              <w:rPr>
                <w:rFonts w:ascii="宋体" w:hAnsi="宋体"/>
              </w:rPr>
              <w:t>1.2</w:t>
            </w:r>
          </w:p>
        </w:tc>
      </w:tr>
      <w:tr w14:paraId="38A0BF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09A4D2A2">
            <w:pPr>
              <w:pStyle w:val="12"/>
              <w:jc w:val="center"/>
              <w:rPr>
                <w:rFonts w:ascii="宋体" w:hAnsi="宋体"/>
              </w:rPr>
            </w:pPr>
            <w:r>
              <w:rPr>
                <w:rFonts w:ascii="宋体" w:hAnsi="宋体"/>
              </w:rPr>
              <w:t>1979</w:t>
            </w:r>
          </w:p>
        </w:tc>
        <w:tc>
          <w:tcPr>
            <w:tcW w:w="625" w:type="pct"/>
            <w:vAlign w:val="center"/>
          </w:tcPr>
          <w:p w14:paraId="1F2BC6B0">
            <w:pPr>
              <w:pStyle w:val="12"/>
              <w:jc w:val="center"/>
              <w:rPr>
                <w:rFonts w:ascii="宋体" w:hAnsi="宋体"/>
              </w:rPr>
            </w:pPr>
            <w:r>
              <w:rPr>
                <w:rFonts w:ascii="宋体" w:hAnsi="宋体"/>
              </w:rPr>
              <w:t>1.1</w:t>
            </w:r>
          </w:p>
        </w:tc>
        <w:tc>
          <w:tcPr>
            <w:tcW w:w="625" w:type="pct"/>
            <w:vAlign w:val="center"/>
          </w:tcPr>
          <w:p w14:paraId="482321FC">
            <w:pPr>
              <w:pStyle w:val="12"/>
              <w:jc w:val="center"/>
              <w:rPr>
                <w:rFonts w:ascii="宋体" w:hAnsi="宋体"/>
              </w:rPr>
            </w:pPr>
            <w:r>
              <w:rPr>
                <w:rFonts w:ascii="宋体" w:hAnsi="宋体"/>
              </w:rPr>
              <w:t>19.4</w:t>
            </w:r>
          </w:p>
        </w:tc>
        <w:tc>
          <w:tcPr>
            <w:tcW w:w="625" w:type="pct"/>
            <w:vAlign w:val="center"/>
          </w:tcPr>
          <w:p w14:paraId="2A579C11">
            <w:pPr>
              <w:pStyle w:val="12"/>
              <w:jc w:val="center"/>
              <w:rPr>
                <w:rFonts w:ascii="宋体" w:hAnsi="宋体"/>
              </w:rPr>
            </w:pPr>
            <w:r>
              <w:rPr>
                <w:rFonts w:ascii="宋体" w:hAnsi="宋体"/>
              </w:rPr>
              <w:t>8.3</w:t>
            </w:r>
          </w:p>
        </w:tc>
        <w:tc>
          <w:tcPr>
            <w:tcW w:w="625" w:type="pct"/>
            <w:vAlign w:val="center"/>
          </w:tcPr>
          <w:p w14:paraId="671A8FEF">
            <w:pPr>
              <w:pStyle w:val="12"/>
              <w:jc w:val="center"/>
              <w:rPr>
                <w:rFonts w:ascii="宋体" w:hAnsi="宋体"/>
              </w:rPr>
            </w:pPr>
            <w:r>
              <w:rPr>
                <w:rFonts w:ascii="宋体" w:hAnsi="宋体"/>
              </w:rPr>
              <w:t>76.7</w:t>
            </w:r>
          </w:p>
        </w:tc>
        <w:tc>
          <w:tcPr>
            <w:tcW w:w="625" w:type="pct"/>
            <w:vAlign w:val="center"/>
          </w:tcPr>
          <w:p w14:paraId="49EE11B8">
            <w:pPr>
              <w:pStyle w:val="12"/>
              <w:jc w:val="center"/>
              <w:rPr>
                <w:rFonts w:ascii="宋体" w:hAnsi="宋体"/>
              </w:rPr>
            </w:pPr>
            <w:r>
              <w:rPr>
                <w:rFonts w:ascii="宋体" w:hAnsi="宋体"/>
              </w:rPr>
              <w:t>7.6</w:t>
            </w:r>
          </w:p>
        </w:tc>
        <w:tc>
          <w:tcPr>
            <w:tcW w:w="625" w:type="pct"/>
            <w:vAlign w:val="center"/>
          </w:tcPr>
          <w:p w14:paraId="59C5D82E">
            <w:pPr>
              <w:pStyle w:val="12"/>
              <w:jc w:val="center"/>
              <w:rPr>
                <w:rFonts w:ascii="宋体" w:hAnsi="宋体"/>
              </w:rPr>
            </w:pPr>
            <w:r>
              <w:rPr>
                <w:rFonts w:ascii="宋体" w:hAnsi="宋体"/>
              </w:rPr>
              <w:t>8.1</w:t>
            </w:r>
          </w:p>
        </w:tc>
        <w:tc>
          <w:tcPr>
            <w:tcW w:w="625" w:type="pct"/>
            <w:vAlign w:val="center"/>
          </w:tcPr>
          <w:p w14:paraId="04DF862E">
            <w:pPr>
              <w:pStyle w:val="12"/>
              <w:jc w:val="center"/>
              <w:rPr>
                <w:rFonts w:ascii="宋体" w:hAnsi="宋体"/>
              </w:rPr>
            </w:pPr>
            <w:r>
              <w:rPr>
                <w:rFonts w:ascii="宋体" w:hAnsi="宋体"/>
              </w:rPr>
              <w:t>1.1</w:t>
            </w:r>
          </w:p>
        </w:tc>
      </w:tr>
      <w:tr w14:paraId="3A1F47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7B812E83">
            <w:pPr>
              <w:pStyle w:val="12"/>
              <w:jc w:val="center"/>
              <w:rPr>
                <w:rFonts w:ascii="宋体" w:hAnsi="宋体"/>
              </w:rPr>
            </w:pPr>
            <w:r>
              <w:rPr>
                <w:rFonts w:ascii="宋体" w:hAnsi="宋体"/>
              </w:rPr>
              <w:t>1982</w:t>
            </w:r>
          </w:p>
        </w:tc>
        <w:tc>
          <w:tcPr>
            <w:tcW w:w="625" w:type="pct"/>
            <w:vAlign w:val="center"/>
          </w:tcPr>
          <w:p w14:paraId="0F93FA53">
            <w:pPr>
              <w:pStyle w:val="12"/>
              <w:jc w:val="center"/>
              <w:rPr>
                <w:rFonts w:ascii="宋体" w:hAnsi="宋体"/>
              </w:rPr>
            </w:pPr>
            <w:r>
              <w:rPr>
                <w:rFonts w:ascii="宋体" w:hAnsi="宋体"/>
              </w:rPr>
              <w:t>-61.8</w:t>
            </w:r>
          </w:p>
        </w:tc>
        <w:tc>
          <w:tcPr>
            <w:tcW w:w="625" w:type="pct"/>
            <w:vAlign w:val="center"/>
          </w:tcPr>
          <w:p w14:paraId="456A3F23">
            <w:pPr>
              <w:pStyle w:val="12"/>
              <w:jc w:val="center"/>
              <w:rPr>
                <w:rFonts w:ascii="宋体" w:hAnsi="宋体"/>
              </w:rPr>
            </w:pPr>
            <w:r>
              <w:rPr>
                <w:rFonts w:ascii="宋体" w:hAnsi="宋体"/>
              </w:rPr>
              <w:t>16</w:t>
            </w:r>
          </w:p>
        </w:tc>
        <w:tc>
          <w:tcPr>
            <w:tcW w:w="625" w:type="pct"/>
            <w:vAlign w:val="center"/>
          </w:tcPr>
          <w:p w14:paraId="44454A40">
            <w:pPr>
              <w:pStyle w:val="12"/>
              <w:jc w:val="center"/>
              <w:rPr>
                <w:rFonts w:ascii="宋体" w:hAnsi="宋体"/>
              </w:rPr>
            </w:pPr>
            <w:r>
              <w:rPr>
                <w:rFonts w:ascii="宋体" w:hAnsi="宋体"/>
              </w:rPr>
              <w:t>56.7</w:t>
            </w:r>
          </w:p>
        </w:tc>
        <w:tc>
          <w:tcPr>
            <w:tcW w:w="625" w:type="pct"/>
            <w:vAlign w:val="center"/>
          </w:tcPr>
          <w:p w14:paraId="71CB72AA">
            <w:pPr>
              <w:pStyle w:val="12"/>
              <w:jc w:val="center"/>
              <w:rPr>
                <w:rFonts w:ascii="宋体" w:hAnsi="宋体"/>
              </w:rPr>
            </w:pPr>
            <w:r>
              <w:rPr>
                <w:rFonts w:ascii="宋体" w:hAnsi="宋体"/>
              </w:rPr>
              <w:t>126.6</w:t>
            </w:r>
          </w:p>
        </w:tc>
        <w:tc>
          <w:tcPr>
            <w:tcW w:w="625" w:type="pct"/>
            <w:vAlign w:val="center"/>
          </w:tcPr>
          <w:p w14:paraId="2D1F50A9">
            <w:pPr>
              <w:pStyle w:val="12"/>
              <w:jc w:val="center"/>
              <w:rPr>
                <w:rFonts w:ascii="宋体" w:hAnsi="宋体"/>
              </w:rPr>
            </w:pPr>
            <w:r>
              <w:rPr>
                <w:rFonts w:ascii="宋体" w:hAnsi="宋体"/>
              </w:rPr>
              <w:t>9.6</w:t>
            </w:r>
          </w:p>
        </w:tc>
        <w:tc>
          <w:tcPr>
            <w:tcW w:w="625" w:type="pct"/>
            <w:vAlign w:val="center"/>
          </w:tcPr>
          <w:p w14:paraId="0004F3F7">
            <w:pPr>
              <w:pStyle w:val="12"/>
              <w:jc w:val="center"/>
              <w:rPr>
                <w:rFonts w:ascii="宋体" w:hAnsi="宋体"/>
              </w:rPr>
            </w:pPr>
            <w:r>
              <w:rPr>
                <w:rFonts w:ascii="宋体" w:hAnsi="宋体"/>
              </w:rPr>
              <w:t>11.2</w:t>
            </w:r>
          </w:p>
        </w:tc>
        <w:tc>
          <w:tcPr>
            <w:tcW w:w="625" w:type="pct"/>
            <w:vAlign w:val="center"/>
          </w:tcPr>
          <w:p w14:paraId="3E12C5EA">
            <w:pPr>
              <w:pStyle w:val="12"/>
              <w:jc w:val="center"/>
              <w:rPr>
                <w:rFonts w:ascii="宋体" w:hAnsi="宋体"/>
              </w:rPr>
            </w:pPr>
            <w:r>
              <w:rPr>
                <w:rFonts w:ascii="宋体" w:hAnsi="宋体"/>
              </w:rPr>
              <w:t>1.2</w:t>
            </w:r>
          </w:p>
        </w:tc>
      </w:tr>
      <w:tr w14:paraId="4B5D58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0A538895">
            <w:pPr>
              <w:pStyle w:val="12"/>
              <w:jc w:val="center"/>
              <w:rPr>
                <w:rFonts w:ascii="宋体" w:hAnsi="宋体"/>
              </w:rPr>
            </w:pPr>
            <w:r>
              <w:rPr>
                <w:rFonts w:ascii="宋体" w:hAnsi="宋体"/>
              </w:rPr>
              <w:t>1987</w:t>
            </w:r>
          </w:p>
        </w:tc>
        <w:tc>
          <w:tcPr>
            <w:tcW w:w="625" w:type="pct"/>
            <w:vAlign w:val="center"/>
          </w:tcPr>
          <w:p w14:paraId="7816290E">
            <w:pPr>
              <w:pStyle w:val="12"/>
              <w:jc w:val="center"/>
              <w:rPr>
                <w:rFonts w:ascii="宋体" w:hAnsi="宋体"/>
              </w:rPr>
            </w:pPr>
            <w:r>
              <w:rPr>
                <w:rFonts w:ascii="宋体" w:hAnsi="宋体"/>
              </w:rPr>
              <w:t>-111.5</w:t>
            </w:r>
          </w:p>
        </w:tc>
        <w:tc>
          <w:tcPr>
            <w:tcW w:w="625" w:type="pct"/>
            <w:vAlign w:val="center"/>
          </w:tcPr>
          <w:p w14:paraId="4A85446F">
            <w:pPr>
              <w:pStyle w:val="12"/>
              <w:jc w:val="center"/>
              <w:rPr>
                <w:rFonts w:ascii="宋体" w:hAnsi="宋体"/>
              </w:rPr>
            </w:pPr>
            <w:r>
              <w:rPr>
                <w:rFonts w:ascii="宋体" w:hAnsi="宋体"/>
              </w:rPr>
              <w:t>2.2</w:t>
            </w:r>
          </w:p>
        </w:tc>
        <w:tc>
          <w:tcPr>
            <w:tcW w:w="625" w:type="pct"/>
            <w:vAlign w:val="center"/>
          </w:tcPr>
          <w:p w14:paraId="67D98A7F">
            <w:pPr>
              <w:pStyle w:val="12"/>
              <w:jc w:val="center"/>
              <w:rPr>
                <w:rFonts w:ascii="宋体" w:hAnsi="宋体"/>
              </w:rPr>
            </w:pPr>
            <w:r>
              <w:rPr>
                <w:rFonts w:ascii="宋体" w:hAnsi="宋体"/>
              </w:rPr>
              <w:t>6.07</w:t>
            </w:r>
          </w:p>
        </w:tc>
        <w:tc>
          <w:tcPr>
            <w:tcW w:w="625" w:type="pct"/>
            <w:vAlign w:val="center"/>
          </w:tcPr>
          <w:p w14:paraId="4BE382AB">
            <w:pPr>
              <w:pStyle w:val="12"/>
              <w:jc w:val="center"/>
              <w:rPr>
                <w:rFonts w:ascii="宋体" w:hAnsi="宋体"/>
              </w:rPr>
            </w:pPr>
            <w:r>
              <w:rPr>
                <w:rFonts w:ascii="宋体" w:hAnsi="宋体"/>
              </w:rPr>
              <w:t>193.4</w:t>
            </w:r>
          </w:p>
        </w:tc>
        <w:tc>
          <w:tcPr>
            <w:tcW w:w="625" w:type="pct"/>
            <w:vAlign w:val="center"/>
          </w:tcPr>
          <w:p w14:paraId="45B9A89D">
            <w:pPr>
              <w:pStyle w:val="12"/>
              <w:jc w:val="center"/>
              <w:rPr>
                <w:rFonts w:ascii="宋体" w:hAnsi="宋体"/>
              </w:rPr>
            </w:pPr>
            <w:r>
              <w:rPr>
                <w:rFonts w:ascii="宋体" w:hAnsi="宋体"/>
              </w:rPr>
              <w:t>20.6</w:t>
            </w:r>
          </w:p>
        </w:tc>
        <w:tc>
          <w:tcPr>
            <w:tcW w:w="625" w:type="pct"/>
            <w:vAlign w:val="center"/>
          </w:tcPr>
          <w:p w14:paraId="0CBBCDE5">
            <w:pPr>
              <w:pStyle w:val="12"/>
              <w:jc w:val="center"/>
              <w:rPr>
                <w:rFonts w:ascii="宋体" w:hAnsi="宋体"/>
              </w:rPr>
            </w:pPr>
            <w:r>
              <w:rPr>
                <w:rFonts w:ascii="宋体" w:hAnsi="宋体"/>
              </w:rPr>
              <w:t>18.9</w:t>
            </w:r>
          </w:p>
        </w:tc>
        <w:tc>
          <w:tcPr>
            <w:tcW w:w="625" w:type="pct"/>
            <w:vAlign w:val="center"/>
          </w:tcPr>
          <w:p w14:paraId="71890C3F">
            <w:pPr>
              <w:pStyle w:val="12"/>
              <w:jc w:val="center"/>
              <w:rPr>
                <w:rFonts w:ascii="宋体" w:hAnsi="宋体"/>
              </w:rPr>
            </w:pPr>
            <w:r>
              <w:rPr>
                <w:rFonts w:ascii="宋体" w:hAnsi="宋体"/>
              </w:rPr>
              <w:t>2.95</w:t>
            </w:r>
          </w:p>
        </w:tc>
      </w:tr>
      <w:tr w14:paraId="34CBAC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0793AD48">
            <w:pPr>
              <w:pStyle w:val="12"/>
              <w:jc w:val="center"/>
              <w:rPr>
                <w:rFonts w:ascii="宋体" w:hAnsi="宋体"/>
              </w:rPr>
            </w:pPr>
            <w:r>
              <w:rPr>
                <w:rFonts w:ascii="宋体" w:hAnsi="宋体"/>
              </w:rPr>
              <w:t>1992</w:t>
            </w:r>
          </w:p>
        </w:tc>
        <w:tc>
          <w:tcPr>
            <w:tcW w:w="625" w:type="pct"/>
            <w:vAlign w:val="center"/>
          </w:tcPr>
          <w:p w14:paraId="6F3BE8AE">
            <w:pPr>
              <w:pStyle w:val="12"/>
              <w:jc w:val="center"/>
              <w:rPr>
                <w:rFonts w:ascii="宋体" w:hAnsi="宋体"/>
              </w:rPr>
            </w:pPr>
            <w:r>
              <w:rPr>
                <w:rFonts w:ascii="宋体" w:hAnsi="宋体"/>
              </w:rPr>
              <w:t>-322.38</w:t>
            </w:r>
          </w:p>
        </w:tc>
        <w:tc>
          <w:tcPr>
            <w:tcW w:w="625" w:type="pct"/>
            <w:vAlign w:val="center"/>
          </w:tcPr>
          <w:p w14:paraId="0768F670">
            <w:pPr>
              <w:pStyle w:val="12"/>
              <w:jc w:val="center"/>
              <w:rPr>
                <w:rFonts w:ascii="宋体" w:hAnsi="宋体"/>
              </w:rPr>
            </w:pPr>
            <w:r>
              <w:rPr>
                <w:rFonts w:ascii="宋体" w:hAnsi="宋体"/>
              </w:rPr>
              <w:t>-1.61</w:t>
            </w:r>
          </w:p>
        </w:tc>
        <w:tc>
          <w:tcPr>
            <w:tcW w:w="625" w:type="pct"/>
            <w:vAlign w:val="center"/>
          </w:tcPr>
          <w:p w14:paraId="08D51F21">
            <w:pPr>
              <w:pStyle w:val="12"/>
              <w:jc w:val="center"/>
              <w:rPr>
                <w:rFonts w:ascii="宋体" w:hAnsi="宋体"/>
              </w:rPr>
            </w:pPr>
            <w:r>
              <w:rPr>
                <w:rFonts w:ascii="宋体" w:hAnsi="宋体"/>
              </w:rPr>
              <w:t>-159.68</w:t>
            </w:r>
          </w:p>
        </w:tc>
        <w:tc>
          <w:tcPr>
            <w:tcW w:w="625" w:type="pct"/>
            <w:vAlign w:val="center"/>
          </w:tcPr>
          <w:p w14:paraId="60BA476C">
            <w:pPr>
              <w:pStyle w:val="12"/>
              <w:jc w:val="center"/>
              <w:rPr>
                <w:rFonts w:ascii="宋体" w:hAnsi="宋体"/>
              </w:rPr>
            </w:pPr>
            <w:r>
              <w:rPr>
                <w:rFonts w:ascii="宋体" w:hAnsi="宋体"/>
              </w:rPr>
              <w:t>572.88</w:t>
            </w:r>
          </w:p>
        </w:tc>
        <w:tc>
          <w:tcPr>
            <w:tcW w:w="625" w:type="pct"/>
            <w:vAlign w:val="center"/>
          </w:tcPr>
          <w:p w14:paraId="767CF34D">
            <w:pPr>
              <w:pStyle w:val="12"/>
              <w:jc w:val="center"/>
              <w:rPr>
                <w:rFonts w:ascii="宋体" w:hAnsi="宋体"/>
              </w:rPr>
            </w:pPr>
            <w:r>
              <w:rPr>
                <w:rFonts w:ascii="宋体" w:hAnsi="宋体"/>
              </w:rPr>
              <w:t>26.4</w:t>
            </w:r>
          </w:p>
        </w:tc>
        <w:tc>
          <w:tcPr>
            <w:tcW w:w="625" w:type="pct"/>
            <w:vAlign w:val="center"/>
          </w:tcPr>
          <w:p w14:paraId="2EF29ACE">
            <w:pPr>
              <w:pStyle w:val="12"/>
              <w:jc w:val="center"/>
              <w:rPr>
                <w:rFonts w:ascii="宋体" w:hAnsi="宋体"/>
              </w:rPr>
            </w:pPr>
            <w:r>
              <w:rPr>
                <w:rFonts w:ascii="宋体" w:hAnsi="宋体"/>
              </w:rPr>
              <w:t>52.8</w:t>
            </w:r>
          </w:p>
        </w:tc>
        <w:tc>
          <w:tcPr>
            <w:tcW w:w="625" w:type="pct"/>
            <w:vAlign w:val="center"/>
          </w:tcPr>
          <w:p w14:paraId="516D1047">
            <w:pPr>
              <w:pStyle w:val="12"/>
              <w:jc w:val="center"/>
              <w:rPr>
                <w:rFonts w:ascii="宋体" w:hAnsi="宋体"/>
              </w:rPr>
            </w:pPr>
            <w:r>
              <w:rPr>
                <w:rFonts w:ascii="宋体" w:hAnsi="宋体"/>
              </w:rPr>
              <w:t>4.10</w:t>
            </w:r>
          </w:p>
        </w:tc>
      </w:tr>
      <w:tr w14:paraId="273B08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68C7C892">
            <w:pPr>
              <w:pStyle w:val="12"/>
              <w:jc w:val="center"/>
              <w:rPr>
                <w:rFonts w:ascii="宋体" w:hAnsi="宋体"/>
              </w:rPr>
            </w:pPr>
            <w:r>
              <w:rPr>
                <w:rFonts w:ascii="宋体" w:hAnsi="宋体"/>
              </w:rPr>
              <w:t>1997</w:t>
            </w:r>
          </w:p>
        </w:tc>
        <w:tc>
          <w:tcPr>
            <w:tcW w:w="625" w:type="pct"/>
            <w:vAlign w:val="center"/>
          </w:tcPr>
          <w:p w14:paraId="2C38C97C">
            <w:pPr>
              <w:pStyle w:val="12"/>
              <w:jc w:val="center"/>
              <w:rPr>
                <w:rFonts w:ascii="宋体" w:hAnsi="宋体"/>
              </w:rPr>
            </w:pPr>
            <w:r>
              <w:rPr>
                <w:rFonts w:ascii="宋体" w:hAnsi="宋体"/>
              </w:rPr>
              <w:t>-801</w:t>
            </w:r>
          </w:p>
        </w:tc>
        <w:tc>
          <w:tcPr>
            <w:tcW w:w="625" w:type="pct"/>
            <w:vAlign w:val="center"/>
          </w:tcPr>
          <w:p w14:paraId="13F810C6">
            <w:pPr>
              <w:pStyle w:val="12"/>
              <w:jc w:val="center"/>
              <w:rPr>
                <w:rFonts w:ascii="宋体" w:hAnsi="宋体"/>
              </w:rPr>
            </w:pPr>
            <w:r>
              <w:rPr>
                <w:rFonts w:ascii="宋体" w:hAnsi="宋体"/>
              </w:rPr>
              <w:t>-24</w:t>
            </w:r>
          </w:p>
        </w:tc>
        <w:tc>
          <w:tcPr>
            <w:tcW w:w="625" w:type="pct"/>
            <w:vAlign w:val="center"/>
          </w:tcPr>
          <w:p w14:paraId="7C3A8C6D">
            <w:pPr>
              <w:pStyle w:val="12"/>
              <w:jc w:val="center"/>
              <w:rPr>
                <w:rFonts w:ascii="宋体" w:hAnsi="宋体"/>
              </w:rPr>
            </w:pPr>
            <w:r>
              <w:rPr>
                <w:rFonts w:ascii="宋体" w:hAnsi="宋体"/>
              </w:rPr>
              <w:t>—</w:t>
            </w:r>
          </w:p>
        </w:tc>
        <w:tc>
          <w:tcPr>
            <w:tcW w:w="625" w:type="pct"/>
            <w:vAlign w:val="center"/>
          </w:tcPr>
          <w:p w14:paraId="7B6A611A">
            <w:pPr>
              <w:pStyle w:val="12"/>
              <w:jc w:val="center"/>
              <w:rPr>
                <w:rFonts w:ascii="宋体" w:hAnsi="宋体"/>
              </w:rPr>
            </w:pPr>
            <w:r>
              <w:rPr>
                <w:rFonts w:ascii="宋体" w:hAnsi="宋体"/>
              </w:rPr>
              <w:t>1397</w:t>
            </w:r>
          </w:p>
        </w:tc>
        <w:tc>
          <w:tcPr>
            <w:tcW w:w="625" w:type="pct"/>
            <w:vAlign w:val="center"/>
          </w:tcPr>
          <w:p w14:paraId="11929780">
            <w:pPr>
              <w:pStyle w:val="12"/>
              <w:jc w:val="center"/>
              <w:rPr>
                <w:rFonts w:ascii="宋体" w:hAnsi="宋体"/>
              </w:rPr>
            </w:pPr>
            <w:r>
              <w:rPr>
                <w:rFonts w:ascii="宋体" w:hAnsi="宋体"/>
              </w:rPr>
              <w:t>41.6</w:t>
            </w:r>
          </w:p>
        </w:tc>
        <w:tc>
          <w:tcPr>
            <w:tcW w:w="625" w:type="pct"/>
            <w:vAlign w:val="center"/>
          </w:tcPr>
          <w:p w14:paraId="68611693">
            <w:pPr>
              <w:pStyle w:val="12"/>
              <w:jc w:val="center"/>
              <w:rPr>
                <w:rFonts w:ascii="宋体" w:hAnsi="宋体"/>
              </w:rPr>
            </w:pPr>
            <w:r>
              <w:rPr>
                <w:rFonts w:ascii="宋体" w:hAnsi="宋体"/>
              </w:rPr>
              <w:t>116</w:t>
            </w:r>
          </w:p>
        </w:tc>
        <w:tc>
          <w:tcPr>
            <w:tcW w:w="625" w:type="pct"/>
            <w:vAlign w:val="center"/>
          </w:tcPr>
          <w:p w14:paraId="451B598E">
            <w:pPr>
              <w:pStyle w:val="12"/>
              <w:jc w:val="center"/>
              <w:rPr>
                <w:rFonts w:ascii="宋体" w:hAnsi="宋体"/>
              </w:rPr>
            </w:pPr>
            <w:r>
              <w:rPr>
                <w:rFonts w:ascii="宋体" w:hAnsi="宋体"/>
              </w:rPr>
              <w:t>8.20</w:t>
            </w:r>
          </w:p>
        </w:tc>
      </w:tr>
      <w:tr w14:paraId="61A252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173E6567">
            <w:pPr>
              <w:pStyle w:val="12"/>
              <w:jc w:val="center"/>
              <w:rPr>
                <w:rFonts w:ascii="宋体" w:hAnsi="宋体"/>
              </w:rPr>
            </w:pPr>
            <w:r>
              <w:rPr>
                <w:rFonts w:ascii="宋体" w:hAnsi="宋体"/>
              </w:rPr>
              <w:t>2000</w:t>
            </w:r>
          </w:p>
        </w:tc>
        <w:tc>
          <w:tcPr>
            <w:tcW w:w="625" w:type="pct"/>
            <w:vAlign w:val="center"/>
          </w:tcPr>
          <w:p w14:paraId="43F43EC7">
            <w:pPr>
              <w:pStyle w:val="12"/>
              <w:jc w:val="center"/>
              <w:rPr>
                <w:rFonts w:ascii="宋体" w:hAnsi="宋体"/>
              </w:rPr>
            </w:pPr>
            <w:r>
              <w:rPr>
                <w:rFonts w:ascii="宋体" w:hAnsi="宋体"/>
              </w:rPr>
              <w:t>-481.00</w:t>
            </w:r>
          </w:p>
        </w:tc>
        <w:tc>
          <w:tcPr>
            <w:tcW w:w="625" w:type="pct"/>
            <w:vAlign w:val="center"/>
          </w:tcPr>
          <w:p w14:paraId="5E96B054">
            <w:pPr>
              <w:pStyle w:val="12"/>
              <w:jc w:val="center"/>
              <w:rPr>
                <w:rFonts w:ascii="宋体" w:hAnsi="宋体"/>
              </w:rPr>
            </w:pPr>
            <w:r>
              <w:rPr>
                <w:rFonts w:ascii="宋体" w:hAnsi="宋体"/>
              </w:rPr>
              <w:t>-22</w:t>
            </w:r>
          </w:p>
        </w:tc>
        <w:tc>
          <w:tcPr>
            <w:tcW w:w="625" w:type="pct"/>
            <w:vAlign w:val="center"/>
          </w:tcPr>
          <w:p w14:paraId="6800CAE3">
            <w:pPr>
              <w:pStyle w:val="12"/>
              <w:jc w:val="center"/>
              <w:rPr>
                <w:rFonts w:ascii="宋体" w:hAnsi="宋体"/>
              </w:rPr>
            </w:pPr>
            <w:r>
              <w:rPr>
                <w:rFonts w:ascii="宋体" w:hAnsi="宋体"/>
              </w:rPr>
              <w:t>—</w:t>
            </w:r>
          </w:p>
        </w:tc>
        <w:tc>
          <w:tcPr>
            <w:tcW w:w="625" w:type="pct"/>
            <w:vAlign w:val="center"/>
          </w:tcPr>
          <w:p w14:paraId="4C1A44C8">
            <w:pPr>
              <w:pStyle w:val="12"/>
              <w:jc w:val="center"/>
              <w:rPr>
                <w:rFonts w:ascii="宋体" w:hAnsi="宋体"/>
              </w:rPr>
            </w:pPr>
            <w:r>
              <w:rPr>
                <w:rFonts w:ascii="宋体" w:hAnsi="宋体"/>
              </w:rPr>
              <w:t>1108</w:t>
            </w:r>
          </w:p>
        </w:tc>
        <w:tc>
          <w:tcPr>
            <w:tcW w:w="625" w:type="pct"/>
            <w:vAlign w:val="center"/>
          </w:tcPr>
          <w:p w14:paraId="32EE23F0">
            <w:pPr>
              <w:pStyle w:val="12"/>
              <w:jc w:val="center"/>
              <w:rPr>
                <w:rFonts w:ascii="宋体" w:hAnsi="宋体"/>
              </w:rPr>
            </w:pPr>
            <w:r>
              <w:rPr>
                <w:rFonts w:ascii="宋体" w:hAnsi="宋体"/>
              </w:rPr>
              <w:t>13.7</w:t>
            </w:r>
          </w:p>
        </w:tc>
        <w:tc>
          <w:tcPr>
            <w:tcW w:w="625" w:type="pct"/>
            <w:vAlign w:val="center"/>
          </w:tcPr>
          <w:p w14:paraId="34A3444D">
            <w:pPr>
              <w:pStyle w:val="12"/>
              <w:jc w:val="center"/>
              <w:rPr>
                <w:rFonts w:ascii="宋体" w:hAnsi="宋体"/>
              </w:rPr>
            </w:pPr>
            <w:r>
              <w:rPr>
                <w:rFonts w:ascii="宋体" w:hAnsi="宋体"/>
              </w:rPr>
              <w:t>76.4</w:t>
            </w:r>
          </w:p>
        </w:tc>
        <w:tc>
          <w:tcPr>
            <w:tcW w:w="625" w:type="pct"/>
            <w:vAlign w:val="center"/>
          </w:tcPr>
          <w:p w14:paraId="55494357">
            <w:pPr>
              <w:pStyle w:val="12"/>
              <w:jc w:val="center"/>
              <w:rPr>
                <w:rFonts w:ascii="宋体" w:hAnsi="宋体"/>
              </w:rPr>
            </w:pPr>
            <w:r>
              <w:rPr>
                <w:rFonts w:ascii="宋体" w:hAnsi="宋体"/>
              </w:rPr>
              <w:t>2.60</w:t>
            </w:r>
          </w:p>
        </w:tc>
      </w:tr>
    </w:tbl>
    <w:p w14:paraId="4DAB0676">
      <w:pPr>
        <w:pStyle w:val="4"/>
        <w:rPr>
          <w:rFonts w:ascii="宋体" w:hAnsi="宋体"/>
        </w:rPr>
      </w:pPr>
      <w:r>
        <w:rPr>
          <w:rFonts w:hint="eastAsia" w:ascii="宋体" w:hAnsi="宋体"/>
        </w:rPr>
        <w:t>第六节  金友公司</w:t>
      </w:r>
    </w:p>
    <w:p w14:paraId="530C4BDB">
      <w:pPr>
        <w:ind w:firstLine="420"/>
        <w:rPr>
          <w:rFonts w:ascii="宋体" w:hAnsi="宋体"/>
          <w:szCs w:val="21"/>
        </w:rPr>
      </w:pPr>
      <w:r>
        <w:rPr>
          <w:rFonts w:hint="eastAsia" w:ascii="宋体" w:hAnsi="宋体"/>
          <w:szCs w:val="21"/>
        </w:rPr>
        <w:t>金友公司前身是邓坊金友发展总公司，创办于</w:t>
      </w:r>
      <w:r>
        <w:rPr>
          <w:rFonts w:ascii="宋体" w:hAnsi="宋体"/>
          <w:szCs w:val="21"/>
        </w:rPr>
        <w:t>1992年底，属邓坊镇办企业，引</w:t>
      </w:r>
      <w:r>
        <w:rPr>
          <w:rFonts w:hint="eastAsia" w:ascii="宋体" w:hAnsi="宋体"/>
          <w:szCs w:val="21"/>
        </w:rPr>
        <w:t>进优质稻生产，加工金友牌优质米，取得了较好的社会效益和经济效益。</w:t>
      </w:r>
      <w:r>
        <w:rPr>
          <w:rFonts w:ascii="宋体" w:hAnsi="宋体"/>
          <w:szCs w:val="21"/>
        </w:rPr>
        <w:t>1995年5</w:t>
      </w:r>
      <w:r>
        <w:rPr>
          <w:rFonts w:hint="eastAsia" w:ascii="宋体" w:hAnsi="宋体"/>
          <w:szCs w:val="21"/>
        </w:rPr>
        <w:t>月，为了企业的进一步发展，由县粮食局出资收购接管，组建集良种、种植、收购、储藏、加工、销售、科研于一体的综合性经营公司一南雄金友粮食企业集团有限公司，实施“公司</w:t>
      </w:r>
      <w:r>
        <w:rPr>
          <w:rFonts w:ascii="宋体" w:hAnsi="宋体"/>
          <w:szCs w:val="21"/>
        </w:rPr>
        <w:t>＋农户＋基地＋市场</w:t>
      </w:r>
      <w:r>
        <w:rPr>
          <w:rFonts w:hint="eastAsia" w:ascii="宋体" w:hAnsi="宋体"/>
          <w:szCs w:val="21"/>
        </w:rPr>
        <w:t>”</w:t>
      </w:r>
      <w:r>
        <w:rPr>
          <w:rFonts w:ascii="宋体" w:hAnsi="宋体"/>
          <w:szCs w:val="21"/>
        </w:rPr>
        <w:t>的经营模式。在7个镇各建立了连片千亩以</w:t>
      </w:r>
      <w:r>
        <w:rPr>
          <w:rFonts w:hint="eastAsia" w:ascii="宋体" w:hAnsi="宋体"/>
          <w:szCs w:val="21"/>
        </w:rPr>
        <w:t>上的优质稻生产基地。生产优质谷万利香、万家香、新万香、长丝粘和金友桂九九等品种。年种植优质稻66</w:t>
      </w:r>
      <w:r>
        <w:rPr>
          <w:rFonts w:ascii="宋体" w:hAnsi="宋体"/>
          <w:szCs w:val="21"/>
        </w:rPr>
        <w:t>66.67公顷左右，年加工销售优质米3000吨左右。</w:t>
      </w:r>
      <w:r>
        <w:rPr>
          <w:rFonts w:hint="eastAsia" w:ascii="宋体" w:hAnsi="宋体"/>
          <w:szCs w:val="21"/>
        </w:rPr>
        <w:t>“</w:t>
      </w:r>
      <w:r>
        <w:rPr>
          <w:rFonts w:ascii="宋体" w:hAnsi="宋体"/>
          <w:szCs w:val="21"/>
        </w:rPr>
        <w:t>金友牌”</w:t>
      </w:r>
      <w:r>
        <w:rPr>
          <w:rFonts w:hint="eastAsia" w:ascii="宋体" w:hAnsi="宋体"/>
          <w:szCs w:val="21"/>
        </w:rPr>
        <w:t>优质米各项指标均超过国家标准。</w:t>
      </w:r>
      <w:r>
        <w:rPr>
          <w:rFonts w:ascii="宋体" w:hAnsi="宋体"/>
          <w:szCs w:val="21"/>
        </w:rPr>
        <w:t>1996年被中国名优食品博览会授予</w:t>
      </w:r>
      <w:r>
        <w:rPr>
          <w:rFonts w:hint="eastAsia" w:ascii="宋体" w:hAnsi="宋体"/>
          <w:szCs w:val="21"/>
        </w:rPr>
        <w:t>“</w:t>
      </w:r>
      <w:r>
        <w:rPr>
          <w:rFonts w:ascii="宋体" w:hAnsi="宋体"/>
          <w:szCs w:val="21"/>
        </w:rPr>
        <w:t>中国名优食</w:t>
      </w:r>
      <w:r>
        <w:rPr>
          <w:rFonts w:hint="eastAsia" w:ascii="宋体" w:hAnsi="宋体"/>
          <w:szCs w:val="21"/>
        </w:rPr>
        <w:t>品”奖。</w:t>
      </w:r>
      <w:r>
        <w:rPr>
          <w:rFonts w:ascii="宋体" w:hAnsi="宋体"/>
          <w:szCs w:val="21"/>
        </w:rPr>
        <w:t>1999年9月，被国家农业部稻</w:t>
      </w:r>
      <w:r>
        <w:rPr>
          <w:rFonts w:hint="eastAsia" w:ascii="宋体" w:hAnsi="宋体"/>
          <w:szCs w:val="21"/>
        </w:rPr>
        <w:t>米</w:t>
      </w:r>
      <w:r>
        <w:rPr>
          <w:rFonts w:ascii="宋体" w:hAnsi="宋体"/>
          <w:szCs w:val="21"/>
        </w:rPr>
        <w:t>及制品质量监督检验测试中心授予部颁优</w:t>
      </w:r>
      <w:r>
        <w:rPr>
          <w:rFonts w:hint="eastAsia" w:ascii="宋体" w:hAnsi="宋体"/>
          <w:szCs w:val="21"/>
        </w:rPr>
        <w:t>质食用稻米标准。又被中国国际农业博览会认定为“</w:t>
      </w:r>
      <w:r>
        <w:rPr>
          <w:rFonts w:ascii="宋体" w:hAnsi="宋体"/>
          <w:szCs w:val="21"/>
        </w:rPr>
        <w:t>1999年中国国际农业博览会名</w:t>
      </w:r>
      <w:r>
        <w:rPr>
          <w:rFonts w:hint="eastAsia" w:ascii="宋体" w:hAnsi="宋体"/>
          <w:szCs w:val="21"/>
        </w:rPr>
        <w:t>牌产品”。产品畅销韶关、广州等地。</w:t>
      </w:r>
    </w:p>
    <w:p w14:paraId="2F1390B3">
      <w:pPr>
        <w:ind w:firstLine="420"/>
        <w:rPr>
          <w:rFonts w:ascii="宋体" w:hAnsi="宋体"/>
          <w:szCs w:val="21"/>
        </w:rPr>
      </w:pPr>
      <w:r>
        <w:rPr>
          <w:rFonts w:ascii="宋体" w:hAnsi="宋体"/>
          <w:szCs w:val="21"/>
        </w:rPr>
        <w:t>2002年，金友粮食企业集团有限公司与市粮食加工厂进行资产优化组合，重组</w:t>
      </w:r>
      <w:r>
        <w:rPr>
          <w:rFonts w:hint="eastAsia" w:ascii="宋体" w:hAnsi="宋体"/>
          <w:szCs w:val="21"/>
        </w:rPr>
        <w:t>为金友公司，并转换经营机制，实行租赁承包经营。公司拥有固定资产</w:t>
      </w:r>
      <w:r>
        <w:rPr>
          <w:rFonts w:ascii="宋体" w:hAnsi="宋体"/>
          <w:szCs w:val="21"/>
        </w:rPr>
        <w:t>3000多万元，</w:t>
      </w:r>
      <w:r>
        <w:rPr>
          <w:rFonts w:hint="eastAsia" w:ascii="宋体" w:hAnsi="宋体"/>
          <w:szCs w:val="21"/>
        </w:rPr>
        <w:t>具有年加工优质大米</w:t>
      </w:r>
      <w:r>
        <w:rPr>
          <w:rFonts w:ascii="宋体" w:hAnsi="宋体"/>
          <w:szCs w:val="21"/>
        </w:rPr>
        <w:t>1.2万吨生产能力</w:t>
      </w:r>
      <w:r>
        <w:rPr>
          <w:rFonts w:hint="eastAsia" w:ascii="宋体" w:hAnsi="宋体"/>
          <w:szCs w:val="21"/>
        </w:rPr>
        <w:t>。</w:t>
      </w:r>
    </w:p>
    <w:p w14:paraId="2256CA7E">
      <w:pPr>
        <w:pStyle w:val="3"/>
        <w:rPr>
          <w:rFonts w:ascii="宋体" w:hAnsi="宋体"/>
        </w:rPr>
      </w:pPr>
      <w:r>
        <w:rPr>
          <w:rFonts w:hint="eastAsia" w:ascii="宋体" w:hAnsi="宋体"/>
        </w:rPr>
        <w:t>第十一章  乡镇企业</w:t>
      </w:r>
    </w:p>
    <w:p w14:paraId="04767A33">
      <w:pPr>
        <w:pStyle w:val="4"/>
        <w:rPr>
          <w:rFonts w:ascii="宋体" w:hAnsi="宋体"/>
        </w:rPr>
      </w:pPr>
      <w:r>
        <w:rPr>
          <w:rFonts w:hint="eastAsia" w:ascii="宋体" w:hAnsi="宋体"/>
        </w:rPr>
        <w:t>第一节  发展概况</w:t>
      </w:r>
    </w:p>
    <w:p w14:paraId="38660D40">
      <w:pPr>
        <w:pStyle w:val="5"/>
        <w:rPr>
          <w:rFonts w:ascii="宋体" w:hAnsi="宋体"/>
        </w:rPr>
      </w:pPr>
      <w:r>
        <w:rPr>
          <w:rFonts w:hint="eastAsia" w:ascii="宋体" w:hAnsi="宋体"/>
        </w:rPr>
        <w:t>一、社队企业的建立</w:t>
      </w:r>
    </w:p>
    <w:p w14:paraId="24A7221F">
      <w:pPr>
        <w:ind w:firstLine="420"/>
        <w:rPr>
          <w:rFonts w:ascii="宋体" w:hAnsi="宋体"/>
          <w:szCs w:val="21"/>
        </w:rPr>
      </w:pPr>
      <w:r>
        <w:rPr>
          <w:rFonts w:hint="eastAsia" w:ascii="宋体" w:hAnsi="宋体"/>
          <w:szCs w:val="21"/>
        </w:rPr>
        <w:t>随着对农业和手工业进行社会主义改造。</w:t>
      </w:r>
      <w:r>
        <w:rPr>
          <w:rFonts w:ascii="宋体" w:hAnsi="宋体"/>
          <w:szCs w:val="21"/>
        </w:rPr>
        <w:t>1954年首先在圩镇的木器行业成立木</w:t>
      </w:r>
      <w:r>
        <w:rPr>
          <w:rFonts w:hint="eastAsia" w:ascii="宋体" w:hAnsi="宋体"/>
          <w:szCs w:val="21"/>
        </w:rPr>
        <w:t>器手工业生产合作社。合作社按照入社自愿、退社自由的原则吸收社员。社内实行生产资料集体所有，共同劳动，民主管理，按劳分配。从</w:t>
      </w:r>
      <w:r>
        <w:rPr>
          <w:rFonts w:ascii="宋体" w:hAnsi="宋体"/>
          <w:szCs w:val="21"/>
        </w:rPr>
        <w:t>1954年至1956年12月底止，</w:t>
      </w:r>
      <w:r>
        <w:rPr>
          <w:rFonts w:hint="eastAsia" w:ascii="宋体" w:hAnsi="宋体"/>
          <w:szCs w:val="21"/>
        </w:rPr>
        <w:t>全县组织起来的手工业生产合作社有</w:t>
      </w:r>
      <w:r>
        <w:rPr>
          <w:rFonts w:ascii="宋体" w:hAnsi="宋体"/>
          <w:szCs w:val="21"/>
        </w:rPr>
        <w:t>67个，入社人员1576人。1971年，在发展</w:t>
      </w:r>
      <w:r>
        <w:rPr>
          <w:rFonts w:hint="eastAsia" w:ascii="宋体" w:hAnsi="宋体"/>
          <w:szCs w:val="21"/>
        </w:rPr>
        <w:t>“五小工业”（即小化肥、小水电、小水泥、小煤矿、小钢铁）的推动下，社队企业有较大发展。</w:t>
      </w:r>
      <w:r>
        <w:rPr>
          <w:rFonts w:ascii="宋体" w:hAnsi="宋体"/>
          <w:szCs w:val="21"/>
        </w:rPr>
        <w:t>1976年11月，成立</w:t>
      </w:r>
      <w:r>
        <w:rPr>
          <w:rFonts w:hint="eastAsia" w:ascii="宋体" w:hAnsi="宋体"/>
          <w:szCs w:val="21"/>
        </w:rPr>
        <w:t>“</w:t>
      </w:r>
      <w:r>
        <w:rPr>
          <w:rFonts w:ascii="宋体" w:hAnsi="宋体"/>
          <w:szCs w:val="21"/>
        </w:rPr>
        <w:t>南雄县社队企业管理局</w:t>
      </w:r>
      <w:r>
        <w:rPr>
          <w:rFonts w:hint="eastAsia" w:ascii="宋体" w:hAnsi="宋体"/>
          <w:szCs w:val="21"/>
        </w:rPr>
        <w:t>”</w:t>
      </w:r>
      <w:r>
        <w:rPr>
          <w:rFonts w:ascii="宋体" w:hAnsi="宋体"/>
          <w:szCs w:val="21"/>
        </w:rPr>
        <w:t>，1978年南雄县政府决</w:t>
      </w:r>
      <w:r>
        <w:rPr>
          <w:rFonts w:hint="eastAsia" w:ascii="宋体" w:hAnsi="宋体"/>
          <w:szCs w:val="21"/>
        </w:rPr>
        <w:t>定把二轻管辖的铁木社，车缝社划归各公社为社队企业。至</w:t>
      </w:r>
      <w:r>
        <w:rPr>
          <w:rFonts w:ascii="宋体" w:hAnsi="宋体"/>
          <w:szCs w:val="21"/>
        </w:rPr>
        <w:t>1979年，全县共有社队</w:t>
      </w:r>
      <w:r>
        <w:rPr>
          <w:rFonts w:hint="eastAsia" w:ascii="宋体" w:hAnsi="宋体"/>
          <w:szCs w:val="21"/>
        </w:rPr>
        <w:t>企业</w:t>
      </w:r>
      <w:r>
        <w:rPr>
          <w:rFonts w:ascii="宋体" w:hAnsi="宋体"/>
          <w:szCs w:val="21"/>
        </w:rPr>
        <w:t>681个，年总产值1166.9万元，为农村社会总产值的12.17%</w:t>
      </w:r>
      <w:r>
        <w:rPr>
          <w:rFonts w:hint="eastAsia" w:ascii="宋体" w:hAnsi="宋体"/>
          <w:szCs w:val="21"/>
        </w:rPr>
        <w:t>。</w:t>
      </w:r>
    </w:p>
    <w:p w14:paraId="29E26807">
      <w:pPr>
        <w:pStyle w:val="5"/>
        <w:rPr>
          <w:rFonts w:ascii="宋体" w:hAnsi="宋体"/>
        </w:rPr>
      </w:pPr>
      <w:r>
        <w:rPr>
          <w:rFonts w:hint="eastAsia" w:ascii="宋体" w:hAnsi="宋体"/>
        </w:rPr>
        <w:t>二、乡镇企业的发展</w:t>
      </w:r>
    </w:p>
    <w:p w14:paraId="732FC7E9">
      <w:pPr>
        <w:ind w:firstLine="420"/>
        <w:rPr>
          <w:rFonts w:ascii="宋体" w:hAnsi="宋体"/>
          <w:szCs w:val="21"/>
        </w:rPr>
      </w:pPr>
      <w:r>
        <w:rPr>
          <w:rFonts w:hint="eastAsia" w:ascii="宋体" w:hAnsi="宋体"/>
          <w:szCs w:val="21"/>
        </w:rPr>
        <w:t>中共十一届三中全会后，县政府把发展乡镇企业作为农村治穷致富的突破口，利用本地资源优势，采取一系列优惠政策，促进乡镇企业发展。县政府从</w:t>
      </w:r>
      <w:r>
        <w:rPr>
          <w:rFonts w:ascii="宋体" w:hAnsi="宋体"/>
          <w:szCs w:val="21"/>
        </w:rPr>
        <w:t>1985年起，</w:t>
      </w:r>
      <w:r>
        <w:rPr>
          <w:rFonts w:hint="eastAsia" w:ascii="宋体" w:hAnsi="宋体"/>
          <w:szCs w:val="21"/>
        </w:rPr>
        <w:t>每年由地方财政拨出低息、贴息贷款支持发展乡镇企业，税务部门对新办企业免征</w:t>
      </w:r>
      <w:r>
        <w:rPr>
          <w:rFonts w:ascii="宋体" w:hAnsi="宋体"/>
          <w:szCs w:val="21"/>
        </w:rPr>
        <w:t>3</w:t>
      </w:r>
      <w:r>
        <w:rPr>
          <w:rFonts w:hint="eastAsia" w:ascii="宋体" w:hAnsi="宋体"/>
          <w:szCs w:val="21"/>
        </w:rPr>
        <w:t>年所得税，科研部门提供技术咨询服务。</w:t>
      </w:r>
      <w:r>
        <w:rPr>
          <w:rFonts w:ascii="宋体" w:hAnsi="宋体"/>
          <w:szCs w:val="21"/>
        </w:rPr>
        <w:t>1985年，县地方财政及有关部门发放低息</w:t>
      </w:r>
      <w:r>
        <w:rPr>
          <w:rFonts w:hint="eastAsia" w:ascii="宋体" w:hAnsi="宋体"/>
          <w:szCs w:val="21"/>
        </w:rPr>
        <w:t>贷款</w:t>
      </w:r>
      <w:r>
        <w:rPr>
          <w:rFonts w:ascii="宋体" w:hAnsi="宋体"/>
          <w:szCs w:val="21"/>
        </w:rPr>
        <w:t>141万元，贴息贷款100万元，重点扶持新上项目及龙头企业，更新改造机械设</w:t>
      </w:r>
      <w:r>
        <w:rPr>
          <w:rFonts w:hint="eastAsia" w:ascii="宋体" w:hAnsi="宋体"/>
          <w:szCs w:val="21"/>
        </w:rPr>
        <w:t>备，增设新生产线。</w:t>
      </w:r>
      <w:r>
        <w:rPr>
          <w:rFonts w:ascii="宋体" w:hAnsi="宋体"/>
          <w:szCs w:val="21"/>
        </w:rPr>
        <w:t>1986年又发放低息贷款300万元，贴息贷款100万元。1987年</w:t>
      </w:r>
      <w:r>
        <w:rPr>
          <w:rFonts w:hint="eastAsia" w:ascii="宋体" w:hAnsi="宋体"/>
          <w:szCs w:val="21"/>
        </w:rPr>
        <w:t>县政府从各方筹集美元</w:t>
      </w:r>
      <w:r>
        <w:rPr>
          <w:rFonts w:ascii="宋体" w:hAnsi="宋体"/>
          <w:szCs w:val="21"/>
        </w:rPr>
        <w:t>195万元、人民币950万元，以贴息和低息贷给投资少、见效</w:t>
      </w:r>
      <w:r>
        <w:rPr>
          <w:rFonts w:hint="eastAsia" w:ascii="宋体" w:hAnsi="宋体"/>
          <w:szCs w:val="21"/>
        </w:rPr>
        <w:t>快、效益高的乡镇企业发展项目。至</w:t>
      </w:r>
      <w:r>
        <w:rPr>
          <w:rFonts w:ascii="宋体" w:hAnsi="宋体"/>
          <w:szCs w:val="21"/>
        </w:rPr>
        <w:t>1987年底止，全县乡镇、村办的各类企业共有11132个，其中乡镇办企业301个，村办企业839个，联办企业368个，户办企业9624个。4类企业拥有固定资产4368.61万元，从业人员26962人，年总产值10767</w:t>
      </w:r>
      <w:r>
        <w:rPr>
          <w:rFonts w:hint="eastAsia" w:ascii="宋体" w:hAnsi="宋体"/>
          <w:szCs w:val="21"/>
        </w:rPr>
        <w:t>万元，占农村社会总产值</w:t>
      </w:r>
      <w:r>
        <w:rPr>
          <w:rFonts w:ascii="宋体" w:hAnsi="宋体"/>
          <w:szCs w:val="21"/>
        </w:rPr>
        <w:t>25.5%，创税收457万元，实现利润2266.74万元。</w:t>
      </w:r>
    </w:p>
    <w:p w14:paraId="25C8F1C8">
      <w:pPr>
        <w:pStyle w:val="5"/>
        <w:rPr>
          <w:rFonts w:ascii="宋体" w:hAnsi="宋体"/>
        </w:rPr>
      </w:pPr>
      <w:r>
        <w:rPr>
          <w:rFonts w:hint="eastAsia" w:ascii="宋体" w:hAnsi="宋体"/>
        </w:rPr>
        <w:t>三、股份合作制企业</w:t>
      </w:r>
    </w:p>
    <w:p w14:paraId="4EE787EC">
      <w:pPr>
        <w:ind w:firstLine="420"/>
        <w:rPr>
          <w:rFonts w:ascii="宋体" w:hAnsi="宋体"/>
          <w:szCs w:val="21"/>
        </w:rPr>
      </w:pPr>
      <w:r>
        <w:rPr>
          <w:rFonts w:hint="eastAsia" w:ascii="宋体" w:hAnsi="宋体"/>
          <w:szCs w:val="21"/>
        </w:rPr>
        <w:t>随着社会主义市场经济的发展，</w:t>
      </w:r>
      <w:r>
        <w:rPr>
          <w:rFonts w:ascii="宋体" w:hAnsi="宋体"/>
          <w:szCs w:val="21"/>
        </w:rPr>
        <w:t>1993年后，乡镇企业中的股份合作制企业由原</w:t>
      </w:r>
      <w:r>
        <w:rPr>
          <w:rFonts w:hint="eastAsia" w:ascii="宋体" w:hAnsi="宋体"/>
          <w:szCs w:val="21"/>
        </w:rPr>
        <w:t>来单一的资金合股经营，发展到多种合作制经营形式。其主要有以下四种：一是以私人资金股形式经营；二是以土地作价合作形式经营；三是中外合资合作形式经营；四是国有（营）企业与乡镇企业的股份合作制形式经营。</w:t>
      </w:r>
      <w:r>
        <w:rPr>
          <w:rFonts w:ascii="宋体" w:hAnsi="宋体"/>
          <w:szCs w:val="21"/>
        </w:rPr>
        <w:t>1997年底止，全市乡镇企业</w:t>
      </w:r>
      <w:r>
        <w:rPr>
          <w:rFonts w:hint="eastAsia" w:ascii="宋体" w:hAnsi="宋体"/>
          <w:szCs w:val="21"/>
        </w:rPr>
        <w:t>股份合作制企业有</w:t>
      </w:r>
      <w:r>
        <w:rPr>
          <w:rFonts w:ascii="宋体" w:hAnsi="宋体"/>
          <w:szCs w:val="21"/>
        </w:rPr>
        <w:t>310家，拥有控股资金3.5亿元。</w:t>
      </w:r>
    </w:p>
    <w:p w14:paraId="1E142DB6">
      <w:pPr>
        <w:pStyle w:val="4"/>
        <w:rPr>
          <w:rFonts w:ascii="宋体" w:hAnsi="宋体"/>
        </w:rPr>
      </w:pPr>
      <w:r>
        <w:rPr>
          <w:rFonts w:hint="eastAsia" w:ascii="宋体" w:hAnsi="宋体"/>
        </w:rPr>
        <w:t>第二节  经营体制改革</w:t>
      </w:r>
    </w:p>
    <w:p w14:paraId="09A13967">
      <w:pPr>
        <w:pStyle w:val="5"/>
        <w:rPr>
          <w:rFonts w:ascii="宋体" w:hAnsi="宋体"/>
        </w:rPr>
      </w:pPr>
      <w:r>
        <w:rPr>
          <w:rFonts w:hint="eastAsia" w:ascii="宋体" w:hAnsi="宋体"/>
        </w:rPr>
        <w:t>一、推行多种形式的承包经营制</w:t>
      </w:r>
    </w:p>
    <w:p w14:paraId="72A59572">
      <w:pPr>
        <w:ind w:firstLine="420"/>
        <w:rPr>
          <w:rFonts w:ascii="宋体" w:hAnsi="宋体"/>
          <w:szCs w:val="21"/>
        </w:rPr>
      </w:pPr>
      <w:r>
        <w:rPr>
          <w:rFonts w:ascii="宋体" w:hAnsi="宋体"/>
          <w:szCs w:val="21"/>
        </w:rPr>
        <w:t>1993年、1994年，全市乡镇企业进行改革，从计划经济经营模式向市场经济经</w:t>
      </w:r>
      <w:r>
        <w:rPr>
          <w:rFonts w:hint="eastAsia" w:ascii="宋体" w:hAnsi="宋体"/>
          <w:szCs w:val="21"/>
        </w:rPr>
        <w:t>营模式转换，走自主经营，自负盈亏，自我发展之路，依托市场，参与市场竞争。采取企业职工集体承包，还本承包，个人招标承包，租赁经营承包，资产有偿转让承包等多种形式。企业的经营效益有所增长，至</w:t>
      </w:r>
      <w:r>
        <w:rPr>
          <w:rFonts w:ascii="宋体" w:hAnsi="宋体"/>
          <w:szCs w:val="21"/>
        </w:rPr>
        <w:t>1997年，全市乡镇企业总产值113163万</w:t>
      </w:r>
      <w:r>
        <w:rPr>
          <w:rFonts w:hint="eastAsia" w:ascii="宋体" w:hAnsi="宋体"/>
          <w:szCs w:val="21"/>
        </w:rPr>
        <w:t>元，比</w:t>
      </w:r>
      <w:r>
        <w:rPr>
          <w:rFonts w:ascii="宋体" w:hAnsi="宋体"/>
          <w:szCs w:val="21"/>
        </w:rPr>
        <w:t>1992年增长8.2倍，利润12153万元，比1992年增长3.5倍，上缴税收1538</w:t>
      </w:r>
      <w:r>
        <w:rPr>
          <w:rFonts w:hint="eastAsia" w:ascii="宋体" w:hAnsi="宋体"/>
          <w:szCs w:val="21"/>
        </w:rPr>
        <w:t>万元，比</w:t>
      </w:r>
      <w:r>
        <w:rPr>
          <w:rFonts w:ascii="宋体" w:hAnsi="宋体"/>
          <w:szCs w:val="21"/>
        </w:rPr>
        <w:t>1992年增长2.4倍</w:t>
      </w:r>
      <w:r>
        <w:rPr>
          <w:rFonts w:hint="eastAsia" w:ascii="宋体" w:hAnsi="宋体"/>
          <w:szCs w:val="21"/>
        </w:rPr>
        <w:t>。</w:t>
      </w:r>
    </w:p>
    <w:p w14:paraId="3DD46A3D">
      <w:pPr>
        <w:pStyle w:val="5"/>
        <w:rPr>
          <w:rFonts w:ascii="宋体" w:hAnsi="宋体"/>
        </w:rPr>
      </w:pPr>
      <w:r>
        <w:rPr>
          <w:rFonts w:hint="eastAsia" w:ascii="宋体" w:hAnsi="宋体"/>
        </w:rPr>
        <w:t>二、企业全面转制</w:t>
      </w:r>
    </w:p>
    <w:p w14:paraId="7A803F3E">
      <w:pPr>
        <w:ind w:firstLine="420"/>
        <w:rPr>
          <w:rFonts w:ascii="宋体" w:hAnsi="宋体"/>
          <w:szCs w:val="21"/>
        </w:rPr>
      </w:pPr>
      <w:r>
        <w:rPr>
          <w:rFonts w:ascii="宋体" w:hAnsi="宋体"/>
          <w:szCs w:val="21"/>
        </w:rPr>
        <w:t>1998年后，镇、村所办企业，全面推行转轨转制，实行产业结构调整，逐步将</w:t>
      </w:r>
      <w:r>
        <w:rPr>
          <w:rFonts w:hint="eastAsia" w:ascii="宋体" w:hAnsi="宋体"/>
          <w:szCs w:val="21"/>
        </w:rPr>
        <w:t>镇、村办的各类企业转为个体经营或其他成分的企业。镇办企业至</w:t>
      </w:r>
      <w:r>
        <w:rPr>
          <w:rFonts w:ascii="宋体" w:hAnsi="宋体"/>
          <w:szCs w:val="21"/>
        </w:rPr>
        <w:t>2001年止，只剩</w:t>
      </w:r>
      <w:r>
        <w:rPr>
          <w:rFonts w:hint="eastAsia" w:ascii="宋体" w:hAnsi="宋体"/>
          <w:szCs w:val="21"/>
        </w:rPr>
        <w:t>下南亩镇的果味加工厂，帽子峰镇的新跃林场。村办企业至</w:t>
      </w:r>
      <w:r>
        <w:rPr>
          <w:rFonts w:ascii="宋体" w:hAnsi="宋体"/>
          <w:szCs w:val="21"/>
        </w:rPr>
        <w:t>2001年止，全部转制成</w:t>
      </w:r>
      <w:r>
        <w:rPr>
          <w:rFonts w:hint="eastAsia" w:ascii="宋体" w:hAnsi="宋体"/>
          <w:szCs w:val="21"/>
        </w:rPr>
        <w:t>为个体经营。</w:t>
      </w:r>
      <w:r>
        <w:rPr>
          <w:rFonts w:ascii="宋体" w:hAnsi="宋体"/>
          <w:szCs w:val="21"/>
        </w:rPr>
        <w:t>2001年机构改革撤销乡镇企业管理局。</w:t>
      </w:r>
    </w:p>
    <w:p w14:paraId="4D8CA7F5">
      <w:pPr>
        <w:pStyle w:val="4"/>
        <w:rPr>
          <w:rFonts w:ascii="宋体" w:hAnsi="宋体"/>
        </w:rPr>
      </w:pPr>
      <w:r>
        <w:rPr>
          <w:rFonts w:hint="eastAsia" w:ascii="宋体" w:hAnsi="宋体"/>
        </w:rPr>
        <w:t>第三节  主要企业</w:t>
      </w:r>
    </w:p>
    <w:p w14:paraId="2A20FD37">
      <w:pPr>
        <w:ind w:firstLine="422"/>
        <w:rPr>
          <w:rFonts w:ascii="宋体" w:hAnsi="宋体"/>
          <w:szCs w:val="21"/>
        </w:rPr>
      </w:pPr>
      <w:r>
        <w:rPr>
          <w:rFonts w:hint="eastAsia" w:ascii="宋体" w:hAnsi="宋体"/>
          <w:b/>
          <w:szCs w:val="21"/>
        </w:rPr>
        <w:t>雄州镇建材厂</w:t>
      </w:r>
      <w:r>
        <w:rPr>
          <w:rFonts w:hint="eastAsia" w:ascii="宋体" w:hAnsi="宋体"/>
          <w:szCs w:val="21"/>
        </w:rPr>
        <w:t>（原红砖厂）  该厂创建于</w:t>
      </w:r>
      <w:r>
        <w:rPr>
          <w:rFonts w:ascii="宋体" w:hAnsi="宋体"/>
          <w:szCs w:val="21"/>
        </w:rPr>
        <w:t>1971年，由街道13名居民自筹资金，</w:t>
      </w:r>
      <w:r>
        <w:rPr>
          <w:rFonts w:hint="eastAsia" w:ascii="宋体" w:hAnsi="宋体"/>
          <w:szCs w:val="21"/>
        </w:rPr>
        <w:t>自带工具，以手工制模打坯，用土围窑烧制红砖。</w:t>
      </w:r>
      <w:r>
        <w:rPr>
          <w:rFonts w:ascii="宋体" w:hAnsi="宋体"/>
          <w:szCs w:val="21"/>
        </w:rPr>
        <w:t>1974年购置机砖设备，扩建第</w:t>
      </w:r>
      <w:r>
        <w:rPr>
          <w:rFonts w:hint="eastAsia" w:ascii="宋体" w:hAnsi="宋体"/>
          <w:szCs w:val="21"/>
        </w:rPr>
        <w:t>一座</w:t>
      </w:r>
      <w:r>
        <w:rPr>
          <w:rFonts w:ascii="宋体" w:hAnsi="宋体"/>
          <w:szCs w:val="21"/>
        </w:rPr>
        <w:t>14门轮窑投产。1980年以后，增置350型制砖机1台，30千瓦发电机组1套，东</w:t>
      </w:r>
      <w:r>
        <w:rPr>
          <w:rFonts w:hint="eastAsia" w:ascii="宋体" w:hAnsi="宋体"/>
          <w:szCs w:val="21"/>
        </w:rPr>
        <w:t>风牌自动卸车</w:t>
      </w:r>
      <w:r>
        <w:rPr>
          <w:rFonts w:ascii="宋体" w:hAnsi="宋体"/>
          <w:szCs w:val="21"/>
        </w:rPr>
        <w:t>5辆25吨，推土机及各种机床16台（套），增建1座24门轮窑。1987</w:t>
      </w:r>
      <w:r>
        <w:rPr>
          <w:rFonts w:hint="eastAsia" w:ascii="宋体" w:hAnsi="宋体"/>
          <w:szCs w:val="21"/>
        </w:rPr>
        <w:t>年有职工</w:t>
      </w:r>
      <w:r>
        <w:rPr>
          <w:rFonts w:ascii="宋体" w:hAnsi="宋体"/>
          <w:szCs w:val="21"/>
        </w:rPr>
        <w:t>327人，生产红砖23</w:t>
      </w:r>
      <w:r>
        <w:rPr>
          <w:rFonts w:hint="eastAsia" w:ascii="宋体" w:hAnsi="宋体"/>
          <w:szCs w:val="21"/>
        </w:rPr>
        <w:t>2</w:t>
      </w:r>
      <w:r>
        <w:rPr>
          <w:rFonts w:ascii="宋体" w:hAnsi="宋体"/>
          <w:szCs w:val="21"/>
        </w:rPr>
        <w:t>2.24万块，总产值119.7万元，纳税21.8万元，实</w:t>
      </w:r>
      <w:r>
        <w:rPr>
          <w:rFonts w:hint="eastAsia" w:ascii="宋体" w:hAnsi="宋体"/>
          <w:szCs w:val="21"/>
        </w:rPr>
        <w:t>现利润</w:t>
      </w:r>
      <w:r>
        <w:rPr>
          <w:rFonts w:ascii="宋体" w:hAnsi="宋体"/>
          <w:szCs w:val="21"/>
        </w:rPr>
        <w:t>12万元。1988年后，由于管理混乱，产品质量低下，使该厂的经营效益连年</w:t>
      </w:r>
      <w:r>
        <w:rPr>
          <w:rFonts w:hint="eastAsia" w:ascii="宋体" w:hAnsi="宋体"/>
          <w:szCs w:val="21"/>
        </w:rPr>
        <w:t>下降，</w:t>
      </w:r>
      <w:r>
        <w:rPr>
          <w:rFonts w:ascii="宋体" w:hAnsi="宋体"/>
          <w:szCs w:val="21"/>
        </w:rPr>
        <w:t>1994年该厂实行停产转制。</w:t>
      </w:r>
    </w:p>
    <w:p w14:paraId="0F752BE7">
      <w:pPr>
        <w:ind w:firstLine="422"/>
        <w:rPr>
          <w:rFonts w:ascii="宋体" w:hAnsi="宋体"/>
          <w:szCs w:val="21"/>
        </w:rPr>
      </w:pPr>
      <w:r>
        <w:rPr>
          <w:rFonts w:hint="eastAsia" w:ascii="宋体" w:hAnsi="宋体"/>
          <w:b/>
          <w:szCs w:val="21"/>
        </w:rPr>
        <w:t>雄州镇筷子厂</w:t>
      </w:r>
      <w:r>
        <w:rPr>
          <w:rFonts w:hint="eastAsia" w:ascii="宋体" w:hAnsi="宋体"/>
          <w:szCs w:val="21"/>
        </w:rPr>
        <w:t xml:space="preserve">  </w:t>
      </w:r>
      <w:r>
        <w:rPr>
          <w:rFonts w:ascii="宋体" w:hAnsi="宋体"/>
          <w:szCs w:val="21"/>
        </w:rPr>
        <w:t>1969年创办时，仅有1个生产车间，14台简易生产设备。1985</w:t>
      </w:r>
      <w:r>
        <w:rPr>
          <w:rFonts w:hint="eastAsia" w:ascii="宋体" w:hAnsi="宋体"/>
          <w:szCs w:val="21"/>
        </w:rPr>
        <w:t>年发展为</w:t>
      </w:r>
      <w:r>
        <w:rPr>
          <w:rFonts w:ascii="宋体" w:hAnsi="宋体"/>
          <w:szCs w:val="21"/>
        </w:rPr>
        <w:t>6个车间，各种机械设备52台（套），全部采用半机械化和机械化生产工艺</w:t>
      </w:r>
      <w:r>
        <w:rPr>
          <w:rFonts w:hint="eastAsia" w:ascii="宋体" w:hAnsi="宋体"/>
          <w:szCs w:val="21"/>
        </w:rPr>
        <w:t>流程。产品有高级筷子、特种漆筷、优质贴花筷、优质印花筷、烙花原色筷、普通漆筷及卫生筷</w:t>
      </w:r>
      <w:r>
        <w:rPr>
          <w:rFonts w:ascii="宋体" w:hAnsi="宋体"/>
          <w:szCs w:val="21"/>
        </w:rPr>
        <w:t>7大类46个花色品种。1987年，拥有固定资产100万元，在册职工337</w:t>
      </w:r>
      <w:r>
        <w:rPr>
          <w:rFonts w:hint="eastAsia" w:ascii="宋体" w:hAnsi="宋体"/>
          <w:szCs w:val="21"/>
        </w:rPr>
        <w:t>人，年产各类品种筷子</w:t>
      </w:r>
      <w:r>
        <w:rPr>
          <w:rFonts w:ascii="宋体" w:hAnsi="宋体"/>
          <w:szCs w:val="21"/>
        </w:rPr>
        <w:t>21.38万大筒，总产值112.08万元，实现利润4.6万元。1989年后，由于资金周转不灵，加上管理不善，使生产连年下降，造成严重亏损，</w:t>
      </w:r>
      <w:r>
        <w:rPr>
          <w:rFonts w:hint="eastAsia" w:ascii="宋体" w:hAnsi="宋体"/>
          <w:szCs w:val="21"/>
        </w:rPr>
        <w:t>无法偿还债务，于</w:t>
      </w:r>
      <w:r>
        <w:rPr>
          <w:rFonts w:ascii="宋体" w:hAnsi="宋体"/>
          <w:szCs w:val="21"/>
        </w:rPr>
        <w:t>1997年停产转制</w:t>
      </w:r>
      <w:r>
        <w:rPr>
          <w:rFonts w:hint="eastAsia" w:ascii="宋体" w:hAnsi="宋体"/>
          <w:szCs w:val="21"/>
        </w:rPr>
        <w:t>。</w:t>
      </w:r>
    </w:p>
    <w:p w14:paraId="3182D019">
      <w:pPr>
        <w:ind w:firstLine="422"/>
        <w:rPr>
          <w:rFonts w:ascii="宋体" w:hAnsi="宋体"/>
          <w:szCs w:val="21"/>
        </w:rPr>
      </w:pPr>
      <w:r>
        <w:rPr>
          <w:rFonts w:hint="eastAsia" w:ascii="宋体" w:hAnsi="宋体"/>
          <w:b/>
          <w:szCs w:val="21"/>
        </w:rPr>
        <w:t>雄州镇童服厂</w:t>
      </w:r>
      <w:r>
        <w:rPr>
          <w:rFonts w:hint="eastAsia" w:ascii="宋体" w:hAnsi="宋体"/>
          <w:szCs w:val="21"/>
        </w:rPr>
        <w:t xml:space="preserve">  </w:t>
      </w:r>
      <w:r>
        <w:rPr>
          <w:rFonts w:ascii="宋体" w:hAnsi="宋体"/>
          <w:szCs w:val="21"/>
        </w:rPr>
        <w:t>1976年由街道10多个家庭妇女自带家用脚踏缝纫机组办起来</w:t>
      </w:r>
      <w:r>
        <w:rPr>
          <w:rFonts w:hint="eastAsia" w:ascii="宋体" w:hAnsi="宋体"/>
          <w:szCs w:val="21"/>
        </w:rPr>
        <w:t>，承接门市和代县百货公司加工一般服装产品，年产值仅</w:t>
      </w:r>
      <w:r>
        <w:rPr>
          <w:rFonts w:ascii="宋体" w:hAnsi="宋体"/>
          <w:szCs w:val="21"/>
        </w:rPr>
        <w:t>8万元。1980年后，发展对</w:t>
      </w:r>
      <w:r>
        <w:rPr>
          <w:rFonts w:hint="eastAsia" w:ascii="宋体" w:hAnsi="宋体"/>
          <w:szCs w:val="21"/>
        </w:rPr>
        <w:t>外加工，生产设备逐步增加，产品不断更新。</w:t>
      </w:r>
      <w:r>
        <w:rPr>
          <w:rFonts w:ascii="宋体" w:hAnsi="宋体"/>
          <w:szCs w:val="21"/>
        </w:rPr>
        <w:t>1987年，购置进口高速电剪、纽纹机、</w:t>
      </w:r>
      <w:r>
        <w:rPr>
          <w:rFonts w:hint="eastAsia" w:ascii="宋体" w:hAnsi="宋体"/>
          <w:szCs w:val="21"/>
        </w:rPr>
        <w:t>五线机、万能机、国产高速平缝机等先进设备</w:t>
      </w:r>
      <w:r>
        <w:rPr>
          <w:rFonts w:ascii="宋体" w:hAnsi="宋体"/>
          <w:szCs w:val="21"/>
        </w:rPr>
        <w:t>113台（套），形成具有裁剪、绣花、</w:t>
      </w:r>
      <w:r>
        <w:rPr>
          <w:rFonts w:hint="eastAsia" w:ascii="宋体" w:hAnsi="宋体"/>
          <w:szCs w:val="21"/>
        </w:rPr>
        <w:t>锁纽、自动钉扣、缝纫的流水生产线。该厂固定资产</w:t>
      </w:r>
      <w:r>
        <w:rPr>
          <w:rFonts w:ascii="宋体" w:hAnsi="宋体"/>
          <w:szCs w:val="21"/>
        </w:rPr>
        <w:t>43万元，从业人员290人。年</w:t>
      </w:r>
      <w:r>
        <w:rPr>
          <w:rFonts w:hint="eastAsia" w:ascii="宋体" w:hAnsi="宋体"/>
          <w:szCs w:val="21"/>
        </w:rPr>
        <w:t>可生产各种童服、睡衣</w:t>
      </w:r>
      <w:r>
        <w:rPr>
          <w:rFonts w:ascii="宋体" w:hAnsi="宋体"/>
          <w:szCs w:val="21"/>
        </w:rPr>
        <w:t>1万余打，产值100余万元。从1990年开始，该厂经济效益</w:t>
      </w:r>
      <w:r>
        <w:rPr>
          <w:rFonts w:hint="eastAsia" w:ascii="宋体" w:hAnsi="宋体"/>
          <w:szCs w:val="21"/>
        </w:rPr>
        <w:t>下降，企业连年亏损。</w:t>
      </w:r>
      <w:r>
        <w:rPr>
          <w:rFonts w:ascii="宋体" w:hAnsi="宋体"/>
          <w:szCs w:val="21"/>
        </w:rPr>
        <w:t>1996年停产转制。</w:t>
      </w:r>
    </w:p>
    <w:p w14:paraId="5D04807A">
      <w:pPr>
        <w:ind w:firstLine="422"/>
        <w:rPr>
          <w:rFonts w:ascii="宋体" w:hAnsi="宋体"/>
          <w:szCs w:val="21"/>
        </w:rPr>
      </w:pPr>
      <w:r>
        <w:rPr>
          <w:rFonts w:hint="eastAsia" w:ascii="宋体" w:hAnsi="宋体"/>
          <w:b/>
          <w:szCs w:val="21"/>
        </w:rPr>
        <w:t>江头镇萤矿厂</w:t>
      </w:r>
      <w:r>
        <w:rPr>
          <w:rFonts w:hint="eastAsia" w:ascii="宋体" w:hAnsi="宋体"/>
          <w:szCs w:val="21"/>
        </w:rPr>
        <w:t xml:space="preserve">  </w:t>
      </w:r>
      <w:r>
        <w:rPr>
          <w:rFonts w:ascii="宋体" w:hAnsi="宋体"/>
          <w:szCs w:val="21"/>
        </w:rPr>
        <w:t>1965年兴办，由公社组织采矿民工100余人，以人工采掘作业，</w:t>
      </w:r>
      <w:r>
        <w:rPr>
          <w:rFonts w:hint="eastAsia" w:ascii="宋体" w:hAnsi="宋体"/>
          <w:szCs w:val="21"/>
        </w:rPr>
        <w:t>人均年产量</w:t>
      </w:r>
      <w:r>
        <w:rPr>
          <w:rFonts w:ascii="宋体" w:hAnsi="宋体"/>
          <w:szCs w:val="21"/>
        </w:rPr>
        <w:t>1吨～5吨。1973年由县矿产管理局接管经营后，逐步使用打眼机、凿岩</w:t>
      </w:r>
      <w:r>
        <w:rPr>
          <w:rFonts w:hint="eastAsia" w:ascii="宋体" w:hAnsi="宋体"/>
          <w:szCs w:val="21"/>
        </w:rPr>
        <w:t>机、井下绞车等半机械化采矿作业，采矿民工增至</w:t>
      </w:r>
      <w:r>
        <w:rPr>
          <w:rFonts w:ascii="宋体" w:hAnsi="宋体"/>
          <w:szCs w:val="21"/>
        </w:rPr>
        <w:t>300多人，年产萤矿4000多吨</w:t>
      </w:r>
      <w:r>
        <w:rPr>
          <w:rFonts w:hint="eastAsia" w:ascii="宋体" w:hAnsi="宋体"/>
          <w:szCs w:val="21"/>
        </w:rPr>
        <w:t>。</w:t>
      </w:r>
      <w:r>
        <w:rPr>
          <w:rFonts w:ascii="宋体" w:hAnsi="宋体"/>
          <w:szCs w:val="21"/>
        </w:rPr>
        <w:t>1980年达8500吨。1985年，该矿移交江头乡办，自产自销。1986年以后，由于矿井</w:t>
      </w:r>
      <w:r>
        <w:rPr>
          <w:rFonts w:hint="eastAsia" w:ascii="宋体" w:hAnsi="宋体"/>
          <w:szCs w:val="21"/>
        </w:rPr>
        <w:t>采掘太深，加上透水严重，产量逐年下降。</w:t>
      </w:r>
      <w:r>
        <w:rPr>
          <w:rFonts w:ascii="宋体" w:hAnsi="宋体"/>
          <w:szCs w:val="21"/>
        </w:rPr>
        <w:t>1991年停产。2000年9月，江头镇政府</w:t>
      </w:r>
      <w:r>
        <w:rPr>
          <w:rFonts w:hint="eastAsia" w:ascii="宋体" w:hAnsi="宋体"/>
          <w:szCs w:val="21"/>
        </w:rPr>
        <w:t>引进河源市个体老板，投资</w:t>
      </w:r>
      <w:r>
        <w:rPr>
          <w:rFonts w:ascii="宋体" w:hAnsi="宋体"/>
          <w:szCs w:val="21"/>
        </w:rPr>
        <w:t>300万元重新开采，并在当地加工成粉末，以增加效益</w:t>
      </w:r>
      <w:r>
        <w:rPr>
          <w:rFonts w:hint="eastAsia" w:ascii="宋体" w:hAnsi="宋体"/>
          <w:szCs w:val="21"/>
        </w:rPr>
        <w:t>。江头镇政府每年收取电费资源管理费及税金共</w:t>
      </w:r>
      <w:r>
        <w:rPr>
          <w:rFonts w:ascii="宋体" w:hAnsi="宋体"/>
          <w:szCs w:val="21"/>
        </w:rPr>
        <w:t>30万元。</w:t>
      </w:r>
    </w:p>
    <w:p w14:paraId="6169A591">
      <w:pPr>
        <w:ind w:firstLine="422"/>
        <w:rPr>
          <w:rFonts w:ascii="宋体" w:hAnsi="宋体"/>
          <w:szCs w:val="21"/>
        </w:rPr>
      </w:pPr>
      <w:r>
        <w:rPr>
          <w:rFonts w:hint="eastAsia" w:ascii="宋体" w:hAnsi="宋体"/>
          <w:b/>
          <w:szCs w:val="21"/>
        </w:rPr>
        <w:t>梅岭镇石灰厂</w:t>
      </w:r>
      <w:r>
        <w:rPr>
          <w:rFonts w:hint="eastAsia" w:ascii="宋体" w:hAnsi="宋体"/>
          <w:szCs w:val="21"/>
        </w:rPr>
        <w:t xml:space="preserve">  </w:t>
      </w:r>
      <w:r>
        <w:rPr>
          <w:rFonts w:ascii="宋体" w:hAnsi="宋体"/>
          <w:szCs w:val="21"/>
        </w:rPr>
        <w:t>1966年兴办，以土围窑烧制石灰，次年改用立窑，1978年逐步</w:t>
      </w:r>
      <w:r>
        <w:rPr>
          <w:rFonts w:hint="eastAsia" w:ascii="宋体" w:hAnsi="宋体"/>
          <w:szCs w:val="21"/>
        </w:rPr>
        <w:t>改建循环窑。</w:t>
      </w:r>
      <w:r>
        <w:rPr>
          <w:rFonts w:ascii="宋体" w:hAnsi="宋体"/>
          <w:szCs w:val="21"/>
        </w:rPr>
        <w:t>1986年有循环石灰窑22座，年产石灰3598吨，收入约30万元。1992</w:t>
      </w:r>
      <w:r>
        <w:rPr>
          <w:rFonts w:hint="eastAsia" w:ascii="宋体" w:hAnsi="宋体"/>
          <w:szCs w:val="21"/>
        </w:rPr>
        <w:t>年冬，由集体经营转为个体承包经营。</w:t>
      </w:r>
    </w:p>
    <w:p w14:paraId="36FFE9A7">
      <w:pPr>
        <w:ind w:firstLine="422"/>
        <w:rPr>
          <w:rFonts w:ascii="宋体" w:hAnsi="宋体"/>
          <w:szCs w:val="21"/>
        </w:rPr>
      </w:pPr>
      <w:r>
        <w:rPr>
          <w:rFonts w:hint="eastAsia" w:ascii="宋体" w:hAnsi="宋体"/>
          <w:b/>
          <w:szCs w:val="21"/>
        </w:rPr>
        <w:t>香江竹木制品厂</w:t>
      </w:r>
      <w:r>
        <w:rPr>
          <w:rFonts w:hint="eastAsia" w:ascii="宋体" w:hAnsi="宋体"/>
          <w:szCs w:val="21"/>
        </w:rPr>
        <w:t xml:space="preserve">  是江头镇政府与港商合作兴办的企业。始建于</w:t>
      </w:r>
      <w:r>
        <w:rPr>
          <w:rFonts w:ascii="宋体" w:hAnsi="宋体"/>
          <w:szCs w:val="21"/>
        </w:rPr>
        <w:t>1994年，主要</w:t>
      </w:r>
      <w:r>
        <w:rPr>
          <w:rFonts w:hint="eastAsia" w:ascii="宋体" w:hAnsi="宋体"/>
          <w:szCs w:val="21"/>
        </w:rPr>
        <w:t>生产高中档次家具及办公用品，产品主要销售内地，部分产品出口国外和我国港澳地区。该厂不断推进先进的生产技术和工艺流程，产品质量和档次不断提高。</w:t>
      </w:r>
      <w:r>
        <w:rPr>
          <w:rFonts w:ascii="宋体" w:hAnsi="宋体"/>
          <w:szCs w:val="21"/>
        </w:rPr>
        <w:t>2004年</w:t>
      </w:r>
      <w:r>
        <w:rPr>
          <w:rFonts w:hint="eastAsia" w:ascii="宋体" w:hAnsi="宋体"/>
          <w:szCs w:val="21"/>
        </w:rPr>
        <w:t>，年产值达到</w:t>
      </w:r>
      <w:r>
        <w:rPr>
          <w:rFonts w:ascii="宋体" w:hAnsi="宋体"/>
          <w:szCs w:val="21"/>
        </w:rPr>
        <w:t>500万元，实现税利100万元。</w:t>
      </w:r>
    </w:p>
    <w:p w14:paraId="69FE809C">
      <w:pPr>
        <w:ind w:firstLine="422"/>
        <w:rPr>
          <w:rFonts w:ascii="宋体" w:hAnsi="宋体"/>
          <w:szCs w:val="21"/>
        </w:rPr>
      </w:pPr>
      <w:r>
        <w:rPr>
          <w:rFonts w:hint="eastAsia" w:ascii="宋体" w:hAnsi="宋体"/>
          <w:b/>
          <w:szCs w:val="21"/>
        </w:rPr>
        <w:t>南亩果场</w:t>
      </w:r>
      <w:r>
        <w:rPr>
          <w:rFonts w:hint="eastAsia" w:ascii="宋体" w:hAnsi="宋体"/>
          <w:szCs w:val="21"/>
        </w:rPr>
        <w:t xml:space="preserve">  </w:t>
      </w:r>
      <w:r>
        <w:rPr>
          <w:rFonts w:ascii="宋体" w:hAnsi="宋体"/>
          <w:szCs w:val="21"/>
        </w:rPr>
        <w:t>1983年冬由南亩乡创办，面积42.67公顷，种植以温州柑为主的各</w:t>
      </w:r>
      <w:r>
        <w:rPr>
          <w:rFonts w:hint="eastAsia" w:ascii="宋体" w:hAnsi="宋体"/>
          <w:szCs w:val="21"/>
        </w:rPr>
        <w:t>种水果。</w:t>
      </w:r>
      <w:r>
        <w:rPr>
          <w:rFonts w:ascii="宋体" w:hAnsi="宋体"/>
          <w:szCs w:val="21"/>
        </w:rPr>
        <w:t>1990年年产值达30万元。由于经营不善，产品产量质量下降，1996年产值</w:t>
      </w:r>
      <w:r>
        <w:rPr>
          <w:rFonts w:hint="eastAsia" w:ascii="宋体" w:hAnsi="宋体"/>
          <w:szCs w:val="21"/>
        </w:rPr>
        <w:t>仅</w:t>
      </w:r>
      <w:r>
        <w:rPr>
          <w:rFonts w:ascii="宋体" w:hAnsi="宋体"/>
          <w:szCs w:val="21"/>
        </w:rPr>
        <w:t>10万元左右。1997年承包给个人经营，效益亦不佳。2001年以后改种白果、</w:t>
      </w:r>
      <w:r>
        <w:rPr>
          <w:rFonts w:hint="eastAsia" w:ascii="宋体" w:hAnsi="宋体"/>
          <w:szCs w:val="21"/>
        </w:rPr>
        <w:t>油茶。</w:t>
      </w:r>
    </w:p>
    <w:p w14:paraId="1AADD028">
      <w:pPr>
        <w:ind w:firstLine="422"/>
        <w:rPr>
          <w:rFonts w:ascii="宋体" w:hAnsi="宋体"/>
          <w:szCs w:val="21"/>
        </w:rPr>
      </w:pPr>
      <w:r>
        <w:rPr>
          <w:rFonts w:hint="eastAsia" w:ascii="宋体" w:hAnsi="宋体"/>
          <w:b/>
          <w:szCs w:val="21"/>
        </w:rPr>
        <w:t>帽子峰镇新跃林场</w:t>
      </w:r>
      <w:r>
        <w:rPr>
          <w:rFonts w:hint="eastAsia" w:ascii="宋体" w:hAnsi="宋体"/>
          <w:szCs w:val="21"/>
        </w:rPr>
        <w:t xml:space="preserve">  </w:t>
      </w:r>
      <w:r>
        <w:rPr>
          <w:rFonts w:ascii="宋体" w:hAnsi="宋体"/>
          <w:szCs w:val="21"/>
        </w:rPr>
        <w:t>1971年创办，经营面积1666.67公顷。该场坚持“营林为</w:t>
      </w:r>
      <w:r>
        <w:rPr>
          <w:rFonts w:hint="eastAsia" w:ascii="宋体" w:hAnsi="宋体"/>
          <w:szCs w:val="21"/>
        </w:rPr>
        <w:t>基础，采育结合，造管并举，多种经营，综合利用”的生产方针。至</w:t>
      </w:r>
      <w:r>
        <w:rPr>
          <w:rFonts w:ascii="宋体" w:hAnsi="宋体"/>
          <w:szCs w:val="21"/>
        </w:rPr>
        <w:t>2004年，年采</w:t>
      </w:r>
      <w:r>
        <w:rPr>
          <w:rFonts w:hint="eastAsia" w:ascii="宋体" w:hAnsi="宋体"/>
          <w:szCs w:val="21"/>
        </w:rPr>
        <w:t>伐量</w:t>
      </w:r>
      <w:r>
        <w:rPr>
          <w:rFonts w:ascii="宋体" w:hAnsi="宋体"/>
          <w:szCs w:val="21"/>
        </w:rPr>
        <w:t>2500立方米，上交镇政府20万元，国家税费8万元左右。木材蓄积量12万立</w:t>
      </w:r>
      <w:r>
        <w:rPr>
          <w:rFonts w:hint="eastAsia" w:ascii="宋体" w:hAnsi="宋体"/>
          <w:szCs w:val="21"/>
        </w:rPr>
        <w:t>方米，其中人工造杉树林</w:t>
      </w:r>
      <w:r>
        <w:rPr>
          <w:rFonts w:ascii="宋体" w:hAnsi="宋体"/>
          <w:szCs w:val="21"/>
        </w:rPr>
        <w:t>500多公顷。</w:t>
      </w:r>
    </w:p>
    <w:p w14:paraId="6FD9292B">
      <w:pPr>
        <w:ind w:firstLine="422"/>
        <w:rPr>
          <w:rFonts w:ascii="宋体" w:hAnsi="宋体"/>
          <w:szCs w:val="21"/>
        </w:rPr>
      </w:pPr>
      <w:r>
        <w:rPr>
          <w:rFonts w:hint="eastAsia" w:ascii="宋体" w:hAnsi="宋体"/>
          <w:b/>
          <w:szCs w:val="21"/>
        </w:rPr>
        <w:t>南亩镇金味果品加工厂</w:t>
      </w:r>
      <w:r>
        <w:rPr>
          <w:rFonts w:hint="eastAsia" w:ascii="宋体" w:hAnsi="宋体"/>
          <w:szCs w:val="21"/>
        </w:rPr>
        <w:t xml:space="preserve">  属镇办企业，创办于</w:t>
      </w:r>
      <w:r>
        <w:rPr>
          <w:rFonts w:ascii="宋体" w:hAnsi="宋体"/>
          <w:szCs w:val="21"/>
        </w:rPr>
        <w:t>1986年，有员工6人，忙时另招</w:t>
      </w:r>
      <w:r>
        <w:rPr>
          <w:rFonts w:hint="eastAsia" w:ascii="宋体" w:hAnsi="宋体"/>
          <w:szCs w:val="21"/>
        </w:rPr>
        <w:t>季节工</w:t>
      </w:r>
      <w:r>
        <w:rPr>
          <w:rFonts w:ascii="宋体" w:hAnsi="宋体"/>
          <w:szCs w:val="21"/>
        </w:rPr>
        <w:t>40多人。主要产品有相思梅、相思李、甜酸荞头、酸萝卜等品种。2002年产</w:t>
      </w:r>
      <w:r>
        <w:rPr>
          <w:rFonts w:hint="eastAsia" w:ascii="宋体" w:hAnsi="宋体"/>
          <w:szCs w:val="21"/>
        </w:rPr>
        <w:t>值</w:t>
      </w:r>
      <w:r>
        <w:rPr>
          <w:rFonts w:ascii="宋体" w:hAnsi="宋体"/>
          <w:szCs w:val="21"/>
        </w:rPr>
        <w:t>60万元，上交镇财政25万元。2004年加工鲜果900吨，产值90万元。</w:t>
      </w:r>
    </w:p>
    <w:p w14:paraId="5A3315AC">
      <w:pPr>
        <w:ind w:firstLine="422"/>
        <w:rPr>
          <w:rFonts w:ascii="宋体" w:hAnsi="宋体"/>
          <w:szCs w:val="21"/>
        </w:rPr>
      </w:pPr>
      <w:r>
        <w:rPr>
          <w:rFonts w:hint="eastAsia" w:ascii="宋体" w:hAnsi="宋体"/>
          <w:b/>
          <w:szCs w:val="21"/>
        </w:rPr>
        <w:t>南雄田七开发有限公司</w:t>
      </w:r>
      <w:r>
        <w:rPr>
          <w:rFonts w:hint="eastAsia" w:ascii="宋体" w:hAnsi="宋体"/>
          <w:szCs w:val="21"/>
        </w:rPr>
        <w:t xml:space="preserve">  属原苍石镇（今全安镇）办的企业。于</w:t>
      </w:r>
      <w:r>
        <w:rPr>
          <w:rFonts w:ascii="宋体" w:hAnsi="宋体"/>
          <w:szCs w:val="21"/>
        </w:rPr>
        <w:t>1996年6月创</w:t>
      </w:r>
      <w:r>
        <w:rPr>
          <w:rFonts w:hint="eastAsia" w:ascii="宋体" w:hAnsi="宋体"/>
          <w:szCs w:val="21"/>
        </w:rPr>
        <w:t>办，有员工</w:t>
      </w:r>
      <w:r>
        <w:rPr>
          <w:rFonts w:ascii="宋体" w:hAnsi="宋体"/>
          <w:szCs w:val="21"/>
        </w:rPr>
        <w:t>40多人。采取公司＋基地＋农户，产、供、销一条龙经营方式。建立田</w:t>
      </w:r>
      <w:r>
        <w:rPr>
          <w:rFonts w:hint="eastAsia" w:ascii="宋体" w:hAnsi="宋体"/>
          <w:szCs w:val="21"/>
        </w:rPr>
        <w:t>七基地</w:t>
      </w:r>
      <w:r>
        <w:rPr>
          <w:rFonts w:ascii="宋体" w:hAnsi="宋体"/>
          <w:szCs w:val="21"/>
        </w:rPr>
        <w:t>133.33公顷，白果（银杏）基地186.67公顷，每年生产田七花（干）7.5</w:t>
      </w:r>
      <w:r>
        <w:rPr>
          <w:rFonts w:hint="eastAsia" w:ascii="宋体" w:hAnsi="宋体"/>
          <w:szCs w:val="21"/>
        </w:rPr>
        <w:t>吨，田七（干）</w:t>
      </w:r>
      <w:r>
        <w:rPr>
          <w:rFonts w:ascii="宋体" w:hAnsi="宋体"/>
          <w:szCs w:val="21"/>
        </w:rPr>
        <w:t>60吨，白果叶（干）70吨。引进广州中医药大学的配方，生产珠玑</w:t>
      </w:r>
      <w:r>
        <w:rPr>
          <w:rFonts w:hint="eastAsia" w:ascii="宋体" w:hAnsi="宋体"/>
          <w:szCs w:val="21"/>
        </w:rPr>
        <w:t>银田茶、花叶仙茶等产品。</w:t>
      </w:r>
      <w:r>
        <w:rPr>
          <w:rFonts w:ascii="宋体" w:hAnsi="宋体"/>
          <w:szCs w:val="21"/>
        </w:rPr>
        <w:t>2004年产值130万元，实现利润37.5万元。</w:t>
      </w:r>
    </w:p>
    <w:p w14:paraId="5ED3A471">
      <w:pPr>
        <w:pStyle w:val="3"/>
        <w:rPr>
          <w:rFonts w:ascii="宋体" w:hAnsi="宋体"/>
        </w:rPr>
      </w:pPr>
      <w:r>
        <w:rPr>
          <w:rFonts w:hint="eastAsia" w:ascii="宋体" w:hAnsi="宋体"/>
        </w:rPr>
        <w:t>第十二章  金融保险</w:t>
      </w:r>
    </w:p>
    <w:p w14:paraId="0E7708FF">
      <w:pPr>
        <w:pStyle w:val="4"/>
        <w:rPr>
          <w:rFonts w:ascii="宋体" w:hAnsi="宋体"/>
        </w:rPr>
      </w:pPr>
      <w:r>
        <w:rPr>
          <w:rFonts w:hint="eastAsia" w:ascii="宋体" w:hAnsi="宋体"/>
        </w:rPr>
        <w:t>第一节  金融</w:t>
      </w:r>
    </w:p>
    <w:p w14:paraId="51FBE6DB">
      <w:pPr>
        <w:pStyle w:val="5"/>
        <w:rPr>
          <w:rFonts w:ascii="宋体" w:hAnsi="宋体"/>
        </w:rPr>
      </w:pPr>
      <w:r>
        <w:rPr>
          <w:rFonts w:hint="eastAsia" w:ascii="宋体" w:hAnsi="宋体"/>
        </w:rPr>
        <w:t>一、机构</w:t>
      </w:r>
    </w:p>
    <w:p w14:paraId="41F866B5">
      <w:pPr>
        <w:ind w:firstLine="420"/>
        <w:rPr>
          <w:rFonts w:ascii="宋体" w:hAnsi="宋体"/>
          <w:szCs w:val="21"/>
        </w:rPr>
      </w:pPr>
      <w:r>
        <w:rPr>
          <w:rFonts w:ascii="宋体" w:hAnsi="宋体"/>
          <w:szCs w:val="21"/>
        </w:rPr>
        <w:t>1949年以来的50多年间，南雄境内金融事业迅速发展。至1997年，全市有金融</w:t>
      </w:r>
      <w:r>
        <w:rPr>
          <w:rFonts w:hint="eastAsia" w:ascii="宋体" w:hAnsi="宋体"/>
          <w:szCs w:val="21"/>
        </w:rPr>
        <w:t>机构</w:t>
      </w:r>
      <w:r>
        <w:rPr>
          <w:rFonts w:ascii="宋体" w:hAnsi="宋体"/>
          <w:szCs w:val="21"/>
        </w:rPr>
        <w:t>11家，业务网点115个，从业人员719人。2001年机构改革，金融机构网点通</w:t>
      </w:r>
      <w:r>
        <w:rPr>
          <w:rFonts w:hint="eastAsia" w:ascii="宋体" w:hAnsi="宋体"/>
          <w:szCs w:val="21"/>
        </w:rPr>
        <w:t>过撤并整合，保留</w:t>
      </w:r>
      <w:r>
        <w:rPr>
          <w:rFonts w:ascii="宋体" w:hAnsi="宋体"/>
          <w:szCs w:val="21"/>
        </w:rPr>
        <w:t>6家，53个网点，从业人员490人。分述如下。</w:t>
      </w:r>
    </w:p>
    <w:p w14:paraId="0EFF599E">
      <w:pPr>
        <w:ind w:firstLine="422"/>
        <w:rPr>
          <w:rFonts w:ascii="宋体" w:hAnsi="宋体"/>
          <w:szCs w:val="21"/>
        </w:rPr>
      </w:pPr>
      <w:r>
        <w:rPr>
          <w:rFonts w:ascii="宋体" w:hAnsi="宋体"/>
          <w:b/>
          <w:szCs w:val="21"/>
        </w:rPr>
        <w:t>1.中国人民银行南雄市支行</w:t>
      </w:r>
      <w:r>
        <w:rPr>
          <w:rFonts w:hint="eastAsia" w:ascii="宋体" w:hAnsi="宋体"/>
          <w:szCs w:val="21"/>
        </w:rPr>
        <w:t xml:space="preserve">  </w:t>
      </w:r>
      <w:r>
        <w:rPr>
          <w:rFonts w:ascii="宋体" w:hAnsi="宋体"/>
          <w:szCs w:val="21"/>
        </w:rPr>
        <w:t>其前身为1949年10月设立的中国人民银行南雄</w:t>
      </w:r>
      <w:r>
        <w:rPr>
          <w:rFonts w:hint="eastAsia" w:ascii="宋体" w:hAnsi="宋体"/>
          <w:szCs w:val="21"/>
        </w:rPr>
        <w:t>办事处，</w:t>
      </w:r>
      <w:r>
        <w:rPr>
          <w:rFonts w:ascii="宋体" w:hAnsi="宋体"/>
          <w:szCs w:val="21"/>
        </w:rPr>
        <w:t>1955年4月1日改为中国人民银行南雄县支行。</w:t>
      </w:r>
    </w:p>
    <w:p w14:paraId="3D23A7AC">
      <w:pPr>
        <w:ind w:firstLine="420"/>
        <w:rPr>
          <w:rFonts w:ascii="宋体" w:hAnsi="宋体"/>
          <w:szCs w:val="21"/>
        </w:rPr>
      </w:pPr>
      <w:r>
        <w:rPr>
          <w:rFonts w:hint="eastAsia" w:ascii="宋体" w:hAnsi="宋体"/>
          <w:szCs w:val="21"/>
        </w:rPr>
        <w:t>该行于</w:t>
      </w:r>
      <w:r>
        <w:rPr>
          <w:rFonts w:ascii="宋体" w:hAnsi="宋体"/>
          <w:szCs w:val="21"/>
        </w:rPr>
        <w:t>1949年至1979年为综合性金融机构。1987年1月起，开始专门行使中央</w:t>
      </w:r>
      <w:r>
        <w:rPr>
          <w:rFonts w:hint="eastAsia" w:ascii="宋体" w:hAnsi="宋体"/>
          <w:szCs w:val="21"/>
        </w:rPr>
        <w:t>银行职能，逐步过渡成为金融管理机构。至</w:t>
      </w:r>
      <w:r>
        <w:rPr>
          <w:rFonts w:ascii="宋体" w:hAnsi="宋体"/>
          <w:szCs w:val="21"/>
        </w:rPr>
        <w:t>1993年12月起，逐步建立规范化的现代</w:t>
      </w:r>
      <w:r>
        <w:rPr>
          <w:rFonts w:hint="eastAsia" w:ascii="宋体" w:hAnsi="宋体"/>
          <w:szCs w:val="21"/>
        </w:rPr>
        <w:t>中央银行体制，与政策性业务和商业银行业务脱钩，把工作重点转向金融监管、金融宏观调控和金融服务。</w:t>
      </w:r>
    </w:p>
    <w:p w14:paraId="6F4D5805">
      <w:pPr>
        <w:ind w:firstLine="422"/>
        <w:rPr>
          <w:rFonts w:ascii="宋体" w:hAnsi="宋体"/>
          <w:szCs w:val="21"/>
        </w:rPr>
      </w:pPr>
      <w:r>
        <w:rPr>
          <w:rFonts w:ascii="宋体" w:hAnsi="宋体"/>
          <w:b/>
          <w:szCs w:val="21"/>
        </w:rPr>
        <w:t>2.中国农业银行南雄市支行</w:t>
      </w:r>
      <w:r>
        <w:rPr>
          <w:rFonts w:hint="eastAsia" w:ascii="宋体" w:hAnsi="宋体"/>
          <w:szCs w:val="21"/>
        </w:rPr>
        <w:t xml:space="preserve">  </w:t>
      </w:r>
      <w:r>
        <w:rPr>
          <w:rFonts w:ascii="宋体" w:hAnsi="宋体"/>
          <w:szCs w:val="21"/>
        </w:rPr>
        <w:t>1956年4月设立。1957年5月并入人民银行。1964年1月分设。1965年11月再并入人行。1980年再从人行分设。1988年，在城</w:t>
      </w:r>
      <w:r>
        <w:rPr>
          <w:rFonts w:hint="eastAsia" w:ascii="宋体" w:hAnsi="宋体"/>
          <w:szCs w:val="21"/>
        </w:rPr>
        <w:t>乡设网点</w:t>
      </w:r>
      <w:r>
        <w:rPr>
          <w:rFonts w:ascii="宋体" w:hAnsi="宋体"/>
          <w:szCs w:val="21"/>
        </w:rPr>
        <w:t>24个，有员工170多人。经过机构改革，撤并网点，裁减人员。2002年保</w:t>
      </w:r>
      <w:r>
        <w:rPr>
          <w:rFonts w:hint="eastAsia" w:ascii="宋体" w:hAnsi="宋体"/>
          <w:szCs w:val="21"/>
        </w:rPr>
        <w:t>留网点</w:t>
      </w:r>
      <w:r>
        <w:rPr>
          <w:rFonts w:ascii="宋体" w:hAnsi="宋体"/>
          <w:szCs w:val="21"/>
        </w:rPr>
        <w:t>7个，员工73人</w:t>
      </w:r>
      <w:r>
        <w:rPr>
          <w:rFonts w:hint="eastAsia" w:ascii="宋体" w:hAnsi="宋体"/>
          <w:szCs w:val="21"/>
        </w:rPr>
        <w:t>。</w:t>
      </w:r>
    </w:p>
    <w:p w14:paraId="19031154">
      <w:pPr>
        <w:ind w:firstLine="420"/>
        <w:rPr>
          <w:rFonts w:ascii="宋体" w:hAnsi="宋体"/>
          <w:szCs w:val="21"/>
        </w:rPr>
      </w:pPr>
      <w:r>
        <w:rPr>
          <w:rFonts w:hint="eastAsia" w:ascii="宋体" w:hAnsi="宋体"/>
          <w:szCs w:val="21"/>
        </w:rPr>
        <w:t>经营范围，除人民币存款、贷款等传统业务外，大力开创新业务，及时推出电子货币一金穗万事顺卡、金穗信用卡、金穗借记卡和个人电子汇兑及银证自动转账业务；开办各项代理业务。</w:t>
      </w:r>
      <w:r>
        <w:rPr>
          <w:rFonts w:ascii="宋体" w:hAnsi="宋体"/>
          <w:szCs w:val="21"/>
        </w:rPr>
        <w:t>1998年，在全市金融机构中率先开办楼宇按揭贷款业务。1999年开办个人住房贷款系列业务。2000年在全市率先推出综合消费贷款系列业务。2004年各项存款余额58445万元，各项贷款余额9322万元，</w:t>
      </w:r>
      <w:r>
        <w:rPr>
          <w:rFonts w:hint="eastAsia" w:ascii="宋体" w:hAnsi="宋体"/>
          <w:szCs w:val="21"/>
        </w:rPr>
        <w:t>赢</w:t>
      </w:r>
      <w:r>
        <w:rPr>
          <w:rFonts w:ascii="宋体" w:hAnsi="宋体"/>
          <w:szCs w:val="21"/>
        </w:rPr>
        <w:t>利969万元。</w:t>
      </w:r>
    </w:p>
    <w:p w14:paraId="21664F5E">
      <w:pPr>
        <w:ind w:firstLine="422"/>
        <w:rPr>
          <w:rFonts w:ascii="宋体" w:hAnsi="宋体"/>
          <w:szCs w:val="21"/>
        </w:rPr>
      </w:pPr>
      <w:r>
        <w:rPr>
          <w:rFonts w:ascii="宋体" w:hAnsi="宋体"/>
          <w:b/>
          <w:szCs w:val="21"/>
        </w:rPr>
        <w:t>3.中国建设银行南雄市支行</w:t>
      </w:r>
      <w:r>
        <w:rPr>
          <w:rFonts w:hint="eastAsia" w:ascii="宋体" w:hAnsi="宋体"/>
          <w:szCs w:val="21"/>
        </w:rPr>
        <w:t xml:space="preserve">  </w:t>
      </w:r>
      <w:r>
        <w:rPr>
          <w:rFonts w:ascii="宋体" w:hAnsi="宋体"/>
          <w:szCs w:val="21"/>
        </w:rPr>
        <w:t>1959年2月设立中国人民建设银行南雄县支行</w:t>
      </w:r>
      <w:r>
        <w:rPr>
          <w:rFonts w:hint="eastAsia" w:ascii="宋体" w:hAnsi="宋体"/>
          <w:szCs w:val="21"/>
        </w:rPr>
        <w:t>，</w:t>
      </w:r>
      <w:r>
        <w:rPr>
          <w:rFonts w:ascii="宋体" w:hAnsi="宋体"/>
          <w:szCs w:val="21"/>
        </w:rPr>
        <w:t>1962年撤销，并入县财政局。1979年3月复设，1996年向商业银行转轨，改为今</w:t>
      </w:r>
      <w:r>
        <w:rPr>
          <w:rFonts w:hint="eastAsia" w:ascii="宋体" w:hAnsi="宋体"/>
          <w:szCs w:val="21"/>
        </w:rPr>
        <w:t>名。</w:t>
      </w:r>
      <w:r>
        <w:rPr>
          <w:rFonts w:ascii="宋体" w:hAnsi="宋体"/>
          <w:szCs w:val="21"/>
        </w:rPr>
        <w:t>2002年机构改革前有网点8个，员工100多人，机构改革后，保留网点4个，员</w:t>
      </w:r>
      <w:r>
        <w:rPr>
          <w:rFonts w:hint="eastAsia" w:ascii="宋体" w:hAnsi="宋体"/>
          <w:szCs w:val="21"/>
        </w:rPr>
        <w:t>工</w:t>
      </w:r>
      <w:r>
        <w:rPr>
          <w:rFonts w:ascii="宋体" w:hAnsi="宋体"/>
          <w:szCs w:val="21"/>
        </w:rPr>
        <w:t>59人。2004年，存款余额34689万元，贷款余额4143万元，赢利49万元</w:t>
      </w:r>
      <w:r>
        <w:rPr>
          <w:rFonts w:hint="eastAsia" w:ascii="宋体" w:hAnsi="宋体"/>
          <w:szCs w:val="21"/>
        </w:rPr>
        <w:t>。</w:t>
      </w:r>
    </w:p>
    <w:p w14:paraId="488A7A47">
      <w:pPr>
        <w:ind w:firstLine="422"/>
        <w:rPr>
          <w:rFonts w:ascii="宋体" w:hAnsi="宋体"/>
          <w:szCs w:val="21"/>
        </w:rPr>
      </w:pPr>
      <w:r>
        <w:rPr>
          <w:rFonts w:ascii="宋体" w:hAnsi="宋体"/>
          <w:b/>
          <w:szCs w:val="21"/>
        </w:rPr>
        <w:t>4.中国工商银行南雄市支行</w:t>
      </w:r>
      <w:r>
        <w:rPr>
          <w:rFonts w:hint="eastAsia" w:ascii="宋体" w:hAnsi="宋体"/>
          <w:szCs w:val="21"/>
        </w:rPr>
        <w:t xml:space="preserve">  </w:t>
      </w:r>
      <w:r>
        <w:rPr>
          <w:rFonts w:ascii="宋体" w:hAnsi="宋体"/>
          <w:szCs w:val="21"/>
        </w:rPr>
        <w:t>1984年11月1日成立。设14个网点，员工89</w:t>
      </w:r>
      <w:r>
        <w:rPr>
          <w:rFonts w:hint="eastAsia" w:ascii="宋体" w:hAnsi="宋体"/>
          <w:szCs w:val="21"/>
        </w:rPr>
        <w:t>人。</w:t>
      </w:r>
      <w:r>
        <w:rPr>
          <w:rFonts w:ascii="宋体" w:hAnsi="宋体"/>
          <w:szCs w:val="21"/>
        </w:rPr>
        <w:t>1994年增至132人。2002年机构改革后，保留网点4个，员工60人。2004年</w:t>
      </w:r>
      <w:r>
        <w:rPr>
          <w:rFonts w:hint="eastAsia" w:ascii="宋体" w:hAnsi="宋体"/>
          <w:szCs w:val="21"/>
        </w:rPr>
        <w:t>底，各项存款余额</w:t>
      </w:r>
      <w:r>
        <w:rPr>
          <w:rFonts w:ascii="宋体" w:hAnsi="宋体"/>
          <w:szCs w:val="21"/>
        </w:rPr>
        <w:t>33193万元，各项贷款余额9322万元，赢利</w:t>
      </w:r>
      <w:r>
        <w:rPr>
          <w:rFonts w:hint="eastAsia" w:ascii="宋体" w:hAnsi="宋体"/>
          <w:szCs w:val="21"/>
        </w:rPr>
        <w:t>—</w:t>
      </w:r>
      <w:r>
        <w:rPr>
          <w:rFonts w:ascii="宋体" w:hAnsi="宋体"/>
          <w:szCs w:val="21"/>
        </w:rPr>
        <w:t>174万元。</w:t>
      </w:r>
    </w:p>
    <w:p w14:paraId="1D6F511A">
      <w:pPr>
        <w:ind w:firstLine="422"/>
        <w:rPr>
          <w:rFonts w:ascii="宋体" w:hAnsi="宋体"/>
          <w:szCs w:val="21"/>
        </w:rPr>
      </w:pPr>
      <w:r>
        <w:rPr>
          <w:rFonts w:ascii="宋体" w:hAnsi="宋体"/>
          <w:b/>
          <w:szCs w:val="21"/>
        </w:rPr>
        <w:t>5.中国银行南雄市支行</w:t>
      </w:r>
      <w:r>
        <w:rPr>
          <w:rFonts w:hint="eastAsia" w:ascii="宋体" w:hAnsi="宋体"/>
          <w:szCs w:val="21"/>
        </w:rPr>
        <w:t xml:space="preserve">  </w:t>
      </w:r>
      <w:r>
        <w:rPr>
          <w:rFonts w:ascii="宋体" w:hAnsi="宋体"/>
          <w:szCs w:val="21"/>
        </w:rPr>
        <w:t>1987年11月设立。原属外汇外贸专业银行，后转为</w:t>
      </w:r>
      <w:r>
        <w:rPr>
          <w:rFonts w:hint="eastAsia" w:ascii="宋体" w:hAnsi="宋体"/>
          <w:szCs w:val="21"/>
        </w:rPr>
        <w:t>国有商业银行，有</w:t>
      </w:r>
      <w:r>
        <w:rPr>
          <w:rFonts w:ascii="宋体" w:hAnsi="宋体"/>
          <w:szCs w:val="21"/>
        </w:rPr>
        <w:t>9个网点。2000年机构改革，只保留支行营业部，其余网点撤销</w:t>
      </w:r>
      <w:r>
        <w:rPr>
          <w:rFonts w:hint="eastAsia" w:ascii="宋体" w:hAnsi="宋体"/>
          <w:szCs w:val="21"/>
        </w:rPr>
        <w:t>。</w:t>
      </w:r>
      <w:r>
        <w:rPr>
          <w:rFonts w:ascii="宋体" w:hAnsi="宋体"/>
          <w:szCs w:val="21"/>
        </w:rPr>
        <w:t>2004年底，各项人民币存款余额222</w:t>
      </w:r>
      <w:r>
        <w:rPr>
          <w:rFonts w:hint="eastAsia" w:ascii="宋体" w:hAnsi="宋体"/>
          <w:szCs w:val="21"/>
        </w:rPr>
        <w:t>3</w:t>
      </w:r>
      <w:r>
        <w:rPr>
          <w:rFonts w:ascii="宋体" w:hAnsi="宋体"/>
          <w:szCs w:val="21"/>
        </w:rPr>
        <w:t>4万元，各项外币存款余额180万美元，各项贷</w:t>
      </w:r>
      <w:r>
        <w:rPr>
          <w:rFonts w:hint="eastAsia" w:ascii="宋体" w:hAnsi="宋体"/>
          <w:szCs w:val="21"/>
        </w:rPr>
        <w:t>款余额</w:t>
      </w:r>
      <w:r>
        <w:rPr>
          <w:rFonts w:ascii="宋体" w:hAnsi="宋体"/>
          <w:szCs w:val="21"/>
        </w:rPr>
        <w:t>196万元，赢利242万元</w:t>
      </w:r>
      <w:r>
        <w:rPr>
          <w:rFonts w:hint="eastAsia" w:ascii="宋体" w:hAnsi="宋体"/>
          <w:szCs w:val="21"/>
        </w:rPr>
        <w:t>。</w:t>
      </w:r>
    </w:p>
    <w:p w14:paraId="10ECB095">
      <w:pPr>
        <w:ind w:firstLine="422"/>
        <w:rPr>
          <w:rFonts w:ascii="宋体" w:hAnsi="宋体"/>
          <w:szCs w:val="21"/>
        </w:rPr>
      </w:pPr>
      <w:r>
        <w:rPr>
          <w:rFonts w:ascii="宋体" w:hAnsi="宋体"/>
          <w:b/>
          <w:szCs w:val="21"/>
        </w:rPr>
        <w:t>6.南雄市农村信用合作社联合社</w:t>
      </w:r>
      <w:r>
        <w:rPr>
          <w:rFonts w:hint="eastAsia" w:ascii="宋体" w:hAnsi="宋体"/>
          <w:szCs w:val="21"/>
        </w:rPr>
        <w:t xml:space="preserve">  </w:t>
      </w:r>
      <w:r>
        <w:rPr>
          <w:rFonts w:ascii="宋体" w:hAnsi="宋体"/>
          <w:szCs w:val="21"/>
        </w:rPr>
        <w:t>1952年成立。1992年以前与农业银行合署，1996年12月从农行分立。1998年8月，调整网点，由原来31个调整为26个。其中</w:t>
      </w:r>
      <w:r>
        <w:rPr>
          <w:rFonts w:hint="eastAsia" w:ascii="宋体" w:hAnsi="宋体"/>
          <w:szCs w:val="21"/>
        </w:rPr>
        <w:t>独立核算社（含营业部）由</w:t>
      </w:r>
      <w:r>
        <w:rPr>
          <w:rFonts w:ascii="宋体" w:hAnsi="宋体"/>
          <w:szCs w:val="21"/>
        </w:rPr>
        <w:t>24个调整为11个，非独立核算的分社调整为15个。2</w:t>
      </w:r>
      <w:r>
        <w:rPr>
          <w:rFonts w:hint="eastAsia" w:ascii="宋体" w:hAnsi="宋体"/>
          <w:szCs w:val="21"/>
        </w:rPr>
        <w:t>0</w:t>
      </w:r>
      <w:r>
        <w:rPr>
          <w:rFonts w:ascii="宋体" w:hAnsi="宋体"/>
          <w:szCs w:val="21"/>
        </w:rPr>
        <w:t>04年底，各项存款余额54561万元，各项贷款余额36827万元。</w:t>
      </w:r>
    </w:p>
    <w:p w14:paraId="5DBD962B">
      <w:pPr>
        <w:pStyle w:val="5"/>
        <w:rPr>
          <w:rFonts w:ascii="宋体" w:hAnsi="宋体"/>
        </w:rPr>
      </w:pPr>
      <w:r>
        <w:rPr>
          <w:rFonts w:hint="eastAsia" w:ascii="宋体" w:hAnsi="宋体"/>
        </w:rPr>
        <w:t>二、存款、贷款</w:t>
      </w:r>
    </w:p>
    <w:p w14:paraId="6A923E7C">
      <w:pPr>
        <w:ind w:firstLine="422"/>
        <w:rPr>
          <w:rFonts w:ascii="宋体" w:hAnsi="宋体"/>
          <w:b/>
          <w:szCs w:val="21"/>
        </w:rPr>
      </w:pPr>
      <w:r>
        <w:rPr>
          <w:rFonts w:hint="eastAsia" w:ascii="宋体" w:hAnsi="宋体"/>
          <w:b/>
          <w:szCs w:val="21"/>
        </w:rPr>
        <w:t>（一）存款</w:t>
      </w:r>
    </w:p>
    <w:p w14:paraId="2B15947C">
      <w:pPr>
        <w:ind w:firstLine="0" w:firstLineChars="0"/>
        <w:jc w:val="center"/>
        <w:rPr>
          <w:rFonts w:ascii="宋体" w:hAnsi="宋体"/>
          <w:b/>
          <w:szCs w:val="21"/>
        </w:rPr>
      </w:pPr>
      <w:r>
        <w:rPr>
          <w:rFonts w:ascii="宋体" w:hAnsi="宋体"/>
          <w:b/>
          <w:szCs w:val="21"/>
        </w:rPr>
        <w:t>1987年前南雄县金融系统主要年份期末存款余额</w:t>
      </w:r>
    </w:p>
    <w:p w14:paraId="44E13851">
      <w:pPr>
        <w:ind w:firstLine="0" w:firstLineChars="0"/>
        <w:rPr>
          <w:rFonts w:ascii="宋体" w:hAnsi="宋体"/>
          <w:b/>
          <w:szCs w:val="21"/>
        </w:rPr>
      </w:pPr>
      <w:r>
        <w:rPr>
          <w:rFonts w:hint="eastAsia" w:ascii="宋体" w:hAnsi="宋体"/>
          <w:b/>
          <w:szCs w:val="21"/>
        </w:rPr>
        <w:t>表</w:t>
      </w:r>
      <w:r>
        <w:rPr>
          <w:rFonts w:ascii="宋体" w:hAnsi="宋体"/>
          <w:b/>
          <w:szCs w:val="21"/>
        </w:rPr>
        <w:t>2-46</w:t>
      </w:r>
    </w:p>
    <w:p w14:paraId="2DA3BAED">
      <w:pPr>
        <w:ind w:firstLine="422"/>
        <w:jc w:val="right"/>
        <w:rPr>
          <w:rFonts w:ascii="宋体" w:hAnsi="宋体"/>
          <w:b/>
          <w:szCs w:val="21"/>
        </w:rPr>
      </w:pPr>
      <w:r>
        <w:rPr>
          <w:rFonts w:ascii="宋体" w:hAnsi="宋体"/>
          <w:b/>
          <w:szCs w:val="21"/>
        </w:rPr>
        <w:t>单位：万元</w:t>
      </w:r>
    </w:p>
    <w:tbl>
      <w:tblPr>
        <w:tblStyle w:val="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5"/>
        <w:gridCol w:w="1105"/>
        <w:gridCol w:w="1108"/>
        <w:gridCol w:w="1108"/>
        <w:gridCol w:w="1108"/>
        <w:gridCol w:w="1108"/>
        <w:gridCol w:w="1108"/>
        <w:gridCol w:w="1108"/>
        <w:gridCol w:w="1104"/>
      </w:tblGrid>
      <w:tr w14:paraId="125DE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2D6AC300">
            <w:pPr>
              <w:pStyle w:val="12"/>
              <w:jc w:val="center"/>
              <w:rPr>
                <w:rFonts w:ascii="宋体" w:hAnsi="宋体"/>
                <w:b/>
              </w:rPr>
            </w:pPr>
            <w:r>
              <w:rPr>
                <w:rFonts w:hint="eastAsia" w:ascii="宋体" w:hAnsi="宋体"/>
                <w:b/>
              </w:rPr>
              <w:t>年份</w:t>
            </w:r>
          </w:p>
        </w:tc>
        <w:tc>
          <w:tcPr>
            <w:tcW w:w="555" w:type="pct"/>
            <w:vAlign w:val="center"/>
          </w:tcPr>
          <w:p w14:paraId="35545F8E">
            <w:pPr>
              <w:pStyle w:val="12"/>
              <w:jc w:val="center"/>
              <w:rPr>
                <w:rFonts w:ascii="宋体" w:hAnsi="宋体"/>
                <w:b/>
              </w:rPr>
            </w:pPr>
            <w:r>
              <w:rPr>
                <w:rFonts w:hint="eastAsia" w:ascii="宋体" w:hAnsi="宋体"/>
                <w:b/>
              </w:rPr>
              <w:t>各项存款余额</w:t>
            </w:r>
          </w:p>
        </w:tc>
        <w:tc>
          <w:tcPr>
            <w:tcW w:w="556" w:type="pct"/>
            <w:vAlign w:val="center"/>
          </w:tcPr>
          <w:p w14:paraId="6E620C54">
            <w:pPr>
              <w:pStyle w:val="12"/>
              <w:jc w:val="center"/>
              <w:rPr>
                <w:rFonts w:ascii="宋体" w:hAnsi="宋体"/>
                <w:b/>
              </w:rPr>
            </w:pPr>
            <w:r>
              <w:rPr>
                <w:rFonts w:hint="eastAsia" w:ascii="宋体" w:hAnsi="宋体"/>
                <w:b/>
              </w:rPr>
              <w:t>一、企事业存款余额</w:t>
            </w:r>
          </w:p>
        </w:tc>
        <w:tc>
          <w:tcPr>
            <w:tcW w:w="556" w:type="pct"/>
            <w:vAlign w:val="center"/>
          </w:tcPr>
          <w:p w14:paraId="105A71D2">
            <w:pPr>
              <w:pStyle w:val="12"/>
              <w:jc w:val="center"/>
              <w:rPr>
                <w:rFonts w:ascii="宋体" w:hAnsi="宋体"/>
                <w:b/>
              </w:rPr>
            </w:pPr>
            <w:r>
              <w:rPr>
                <w:rFonts w:hint="eastAsia" w:ascii="宋体" w:hAnsi="宋体"/>
                <w:b/>
              </w:rPr>
              <w:t>二、财政性存款余额</w:t>
            </w:r>
          </w:p>
        </w:tc>
        <w:tc>
          <w:tcPr>
            <w:tcW w:w="556" w:type="pct"/>
            <w:vAlign w:val="center"/>
          </w:tcPr>
          <w:p w14:paraId="45C5C813">
            <w:pPr>
              <w:pStyle w:val="12"/>
              <w:jc w:val="center"/>
              <w:rPr>
                <w:rFonts w:ascii="宋体" w:hAnsi="宋体"/>
                <w:b/>
              </w:rPr>
            </w:pPr>
            <w:r>
              <w:rPr>
                <w:rFonts w:hint="eastAsia" w:ascii="宋体" w:hAnsi="宋体"/>
                <w:b/>
              </w:rPr>
              <w:t>三、农村存款余额</w:t>
            </w:r>
          </w:p>
        </w:tc>
        <w:tc>
          <w:tcPr>
            <w:tcW w:w="556" w:type="pct"/>
            <w:vAlign w:val="center"/>
          </w:tcPr>
          <w:p w14:paraId="3E492196">
            <w:pPr>
              <w:pStyle w:val="12"/>
              <w:jc w:val="center"/>
              <w:rPr>
                <w:rFonts w:ascii="宋体" w:hAnsi="宋体"/>
                <w:b/>
              </w:rPr>
            </w:pPr>
            <w:r>
              <w:rPr>
                <w:rFonts w:hint="eastAsia" w:ascii="宋体" w:hAnsi="宋体"/>
                <w:b/>
              </w:rPr>
              <w:t>其中：信用社存款余额</w:t>
            </w:r>
          </w:p>
        </w:tc>
        <w:tc>
          <w:tcPr>
            <w:tcW w:w="556" w:type="pct"/>
            <w:vAlign w:val="center"/>
          </w:tcPr>
          <w:p w14:paraId="1F6873A3">
            <w:pPr>
              <w:pStyle w:val="12"/>
              <w:jc w:val="center"/>
              <w:rPr>
                <w:rFonts w:ascii="宋体" w:hAnsi="宋体"/>
                <w:b/>
              </w:rPr>
            </w:pPr>
            <w:r>
              <w:rPr>
                <w:rFonts w:hint="eastAsia" w:ascii="宋体" w:hAnsi="宋体"/>
                <w:b/>
              </w:rPr>
              <w:t>四、基建存款余额</w:t>
            </w:r>
          </w:p>
        </w:tc>
        <w:tc>
          <w:tcPr>
            <w:tcW w:w="556" w:type="pct"/>
            <w:vAlign w:val="center"/>
          </w:tcPr>
          <w:p w14:paraId="7850EDA6">
            <w:pPr>
              <w:pStyle w:val="12"/>
              <w:jc w:val="center"/>
              <w:rPr>
                <w:rFonts w:ascii="宋体" w:hAnsi="宋体"/>
                <w:b/>
              </w:rPr>
            </w:pPr>
            <w:r>
              <w:rPr>
                <w:rFonts w:hint="eastAsia" w:ascii="宋体" w:hAnsi="宋体"/>
                <w:b/>
              </w:rPr>
              <w:t>五、城镇储蓄存款余额</w:t>
            </w:r>
          </w:p>
        </w:tc>
        <w:tc>
          <w:tcPr>
            <w:tcW w:w="556" w:type="pct"/>
            <w:vAlign w:val="center"/>
          </w:tcPr>
          <w:p w14:paraId="72D44B81">
            <w:pPr>
              <w:pStyle w:val="12"/>
              <w:jc w:val="center"/>
              <w:rPr>
                <w:rFonts w:ascii="宋体" w:hAnsi="宋体"/>
                <w:b/>
              </w:rPr>
            </w:pPr>
            <w:r>
              <w:rPr>
                <w:rFonts w:hint="eastAsia" w:ascii="宋体" w:hAnsi="宋体"/>
                <w:b/>
              </w:rPr>
              <w:t>六、信托及其他存款余额</w:t>
            </w:r>
          </w:p>
        </w:tc>
      </w:tr>
      <w:tr w14:paraId="7CC94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06AD142A">
            <w:pPr>
              <w:pStyle w:val="12"/>
              <w:jc w:val="center"/>
              <w:rPr>
                <w:rFonts w:ascii="宋体" w:hAnsi="宋体"/>
              </w:rPr>
            </w:pPr>
            <w:r>
              <w:rPr>
                <w:rFonts w:ascii="宋体" w:hAnsi="宋体"/>
              </w:rPr>
              <w:t>1952</w:t>
            </w:r>
          </w:p>
        </w:tc>
        <w:tc>
          <w:tcPr>
            <w:tcW w:w="555" w:type="pct"/>
            <w:vAlign w:val="center"/>
          </w:tcPr>
          <w:p w14:paraId="77534D56">
            <w:pPr>
              <w:pStyle w:val="12"/>
              <w:jc w:val="center"/>
              <w:rPr>
                <w:rFonts w:ascii="宋体" w:hAnsi="宋体"/>
              </w:rPr>
            </w:pPr>
            <w:r>
              <w:rPr>
                <w:rFonts w:ascii="宋体" w:hAnsi="宋体"/>
              </w:rPr>
              <w:t>62.6</w:t>
            </w:r>
          </w:p>
        </w:tc>
        <w:tc>
          <w:tcPr>
            <w:tcW w:w="556" w:type="pct"/>
            <w:vAlign w:val="center"/>
          </w:tcPr>
          <w:p w14:paraId="2AA5B64E">
            <w:pPr>
              <w:pStyle w:val="12"/>
              <w:jc w:val="center"/>
              <w:rPr>
                <w:rFonts w:ascii="宋体" w:hAnsi="宋体"/>
              </w:rPr>
            </w:pPr>
            <w:r>
              <w:rPr>
                <w:rFonts w:ascii="宋体" w:hAnsi="宋体"/>
              </w:rPr>
              <w:t>10.1</w:t>
            </w:r>
          </w:p>
        </w:tc>
        <w:tc>
          <w:tcPr>
            <w:tcW w:w="556" w:type="pct"/>
            <w:vAlign w:val="center"/>
          </w:tcPr>
          <w:p w14:paraId="6A3AFBF5">
            <w:pPr>
              <w:pStyle w:val="12"/>
              <w:jc w:val="center"/>
              <w:rPr>
                <w:rFonts w:ascii="宋体" w:hAnsi="宋体"/>
              </w:rPr>
            </w:pPr>
            <w:r>
              <w:rPr>
                <w:rFonts w:ascii="宋体" w:hAnsi="宋体"/>
              </w:rPr>
              <w:t>36.8</w:t>
            </w:r>
          </w:p>
        </w:tc>
        <w:tc>
          <w:tcPr>
            <w:tcW w:w="556" w:type="pct"/>
            <w:vAlign w:val="center"/>
          </w:tcPr>
          <w:p w14:paraId="1EF9E32E">
            <w:pPr>
              <w:pStyle w:val="12"/>
              <w:jc w:val="center"/>
              <w:rPr>
                <w:rFonts w:ascii="宋体" w:hAnsi="宋体"/>
              </w:rPr>
            </w:pPr>
            <w:r>
              <w:rPr>
                <w:rFonts w:ascii="宋体" w:hAnsi="宋体"/>
              </w:rPr>
              <w:t>—</w:t>
            </w:r>
          </w:p>
        </w:tc>
        <w:tc>
          <w:tcPr>
            <w:tcW w:w="556" w:type="pct"/>
            <w:vAlign w:val="center"/>
          </w:tcPr>
          <w:p w14:paraId="718F3CF9">
            <w:pPr>
              <w:pStyle w:val="12"/>
              <w:jc w:val="center"/>
              <w:rPr>
                <w:rFonts w:ascii="宋体" w:hAnsi="宋体"/>
              </w:rPr>
            </w:pPr>
            <w:r>
              <w:rPr>
                <w:rFonts w:ascii="宋体" w:hAnsi="宋体"/>
              </w:rPr>
              <w:t>—</w:t>
            </w:r>
          </w:p>
        </w:tc>
        <w:tc>
          <w:tcPr>
            <w:tcW w:w="556" w:type="pct"/>
            <w:vAlign w:val="center"/>
          </w:tcPr>
          <w:p w14:paraId="0E02B2B6">
            <w:pPr>
              <w:pStyle w:val="12"/>
              <w:jc w:val="center"/>
              <w:rPr>
                <w:rFonts w:ascii="宋体" w:hAnsi="宋体"/>
              </w:rPr>
            </w:pPr>
            <w:r>
              <w:rPr>
                <w:rFonts w:ascii="宋体" w:hAnsi="宋体"/>
              </w:rPr>
              <w:t>—</w:t>
            </w:r>
          </w:p>
        </w:tc>
        <w:tc>
          <w:tcPr>
            <w:tcW w:w="556" w:type="pct"/>
            <w:vAlign w:val="center"/>
          </w:tcPr>
          <w:p w14:paraId="6E225832">
            <w:pPr>
              <w:pStyle w:val="12"/>
              <w:jc w:val="center"/>
              <w:rPr>
                <w:rFonts w:ascii="宋体" w:hAnsi="宋体"/>
              </w:rPr>
            </w:pPr>
            <w:r>
              <w:rPr>
                <w:rFonts w:ascii="宋体" w:hAnsi="宋体"/>
              </w:rPr>
              <w:t>15.7</w:t>
            </w:r>
          </w:p>
        </w:tc>
        <w:tc>
          <w:tcPr>
            <w:tcW w:w="556" w:type="pct"/>
            <w:vAlign w:val="center"/>
          </w:tcPr>
          <w:p w14:paraId="5C419830">
            <w:pPr>
              <w:pStyle w:val="12"/>
              <w:jc w:val="center"/>
              <w:rPr>
                <w:rFonts w:ascii="宋体" w:hAnsi="宋体"/>
              </w:rPr>
            </w:pPr>
            <w:r>
              <w:rPr>
                <w:rFonts w:ascii="宋体" w:hAnsi="宋体"/>
              </w:rPr>
              <w:t>—</w:t>
            </w:r>
          </w:p>
        </w:tc>
      </w:tr>
      <w:tr w14:paraId="01D239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0D0AEC5A">
            <w:pPr>
              <w:pStyle w:val="12"/>
              <w:jc w:val="center"/>
              <w:rPr>
                <w:rFonts w:ascii="宋体" w:hAnsi="宋体"/>
              </w:rPr>
            </w:pPr>
            <w:r>
              <w:rPr>
                <w:rFonts w:ascii="宋体" w:hAnsi="宋体"/>
              </w:rPr>
              <w:t>1957</w:t>
            </w:r>
          </w:p>
        </w:tc>
        <w:tc>
          <w:tcPr>
            <w:tcW w:w="555" w:type="pct"/>
            <w:vAlign w:val="center"/>
          </w:tcPr>
          <w:p w14:paraId="393EE923">
            <w:pPr>
              <w:pStyle w:val="12"/>
              <w:jc w:val="center"/>
              <w:rPr>
                <w:rFonts w:ascii="宋体" w:hAnsi="宋体"/>
              </w:rPr>
            </w:pPr>
            <w:r>
              <w:rPr>
                <w:rFonts w:ascii="宋体" w:hAnsi="宋体"/>
              </w:rPr>
              <w:t>249.4</w:t>
            </w:r>
          </w:p>
        </w:tc>
        <w:tc>
          <w:tcPr>
            <w:tcW w:w="556" w:type="pct"/>
            <w:vAlign w:val="center"/>
          </w:tcPr>
          <w:p w14:paraId="6AD9647B">
            <w:pPr>
              <w:pStyle w:val="12"/>
              <w:jc w:val="center"/>
              <w:rPr>
                <w:rFonts w:ascii="宋体" w:hAnsi="宋体"/>
              </w:rPr>
            </w:pPr>
            <w:r>
              <w:rPr>
                <w:rFonts w:ascii="宋体" w:hAnsi="宋体"/>
              </w:rPr>
              <w:t>59.2</w:t>
            </w:r>
          </w:p>
        </w:tc>
        <w:tc>
          <w:tcPr>
            <w:tcW w:w="556" w:type="pct"/>
            <w:vAlign w:val="center"/>
          </w:tcPr>
          <w:p w14:paraId="147FA29D">
            <w:pPr>
              <w:pStyle w:val="12"/>
              <w:jc w:val="center"/>
              <w:rPr>
                <w:rFonts w:ascii="宋体" w:hAnsi="宋体"/>
              </w:rPr>
            </w:pPr>
            <w:r>
              <w:rPr>
                <w:rFonts w:ascii="宋体" w:hAnsi="宋体"/>
              </w:rPr>
              <w:t>63.8</w:t>
            </w:r>
          </w:p>
        </w:tc>
        <w:tc>
          <w:tcPr>
            <w:tcW w:w="556" w:type="pct"/>
            <w:vAlign w:val="center"/>
          </w:tcPr>
          <w:p w14:paraId="50C852E8">
            <w:pPr>
              <w:pStyle w:val="12"/>
              <w:jc w:val="center"/>
              <w:rPr>
                <w:rFonts w:ascii="宋体" w:hAnsi="宋体"/>
              </w:rPr>
            </w:pPr>
            <w:r>
              <w:rPr>
                <w:rFonts w:ascii="宋体" w:hAnsi="宋体"/>
              </w:rPr>
              <w:t>101.3</w:t>
            </w:r>
          </w:p>
        </w:tc>
        <w:tc>
          <w:tcPr>
            <w:tcW w:w="556" w:type="pct"/>
            <w:vAlign w:val="center"/>
          </w:tcPr>
          <w:p w14:paraId="54534C28">
            <w:pPr>
              <w:pStyle w:val="12"/>
              <w:jc w:val="center"/>
              <w:rPr>
                <w:rFonts w:ascii="宋体" w:hAnsi="宋体"/>
              </w:rPr>
            </w:pPr>
            <w:r>
              <w:rPr>
                <w:rFonts w:ascii="宋体" w:hAnsi="宋体"/>
              </w:rPr>
              <w:t>101.3</w:t>
            </w:r>
          </w:p>
        </w:tc>
        <w:tc>
          <w:tcPr>
            <w:tcW w:w="556" w:type="pct"/>
            <w:vAlign w:val="center"/>
          </w:tcPr>
          <w:p w14:paraId="00CD00E0">
            <w:pPr>
              <w:pStyle w:val="12"/>
              <w:jc w:val="center"/>
              <w:rPr>
                <w:rFonts w:ascii="宋体" w:hAnsi="宋体"/>
              </w:rPr>
            </w:pPr>
            <w:r>
              <w:rPr>
                <w:rFonts w:ascii="宋体" w:hAnsi="宋体"/>
              </w:rPr>
              <w:t>—</w:t>
            </w:r>
          </w:p>
        </w:tc>
        <w:tc>
          <w:tcPr>
            <w:tcW w:w="556" w:type="pct"/>
            <w:vAlign w:val="center"/>
          </w:tcPr>
          <w:p w14:paraId="3F16F18D">
            <w:pPr>
              <w:pStyle w:val="12"/>
              <w:jc w:val="center"/>
              <w:rPr>
                <w:rFonts w:ascii="宋体" w:hAnsi="宋体"/>
              </w:rPr>
            </w:pPr>
            <w:r>
              <w:rPr>
                <w:rFonts w:ascii="宋体" w:hAnsi="宋体"/>
              </w:rPr>
              <w:t>25.1</w:t>
            </w:r>
          </w:p>
        </w:tc>
        <w:tc>
          <w:tcPr>
            <w:tcW w:w="556" w:type="pct"/>
            <w:vAlign w:val="center"/>
          </w:tcPr>
          <w:p w14:paraId="31E66AA9">
            <w:pPr>
              <w:pStyle w:val="12"/>
              <w:jc w:val="center"/>
              <w:rPr>
                <w:rFonts w:ascii="宋体" w:hAnsi="宋体"/>
              </w:rPr>
            </w:pPr>
            <w:r>
              <w:rPr>
                <w:rFonts w:ascii="宋体" w:hAnsi="宋体"/>
              </w:rPr>
              <w:t>—</w:t>
            </w:r>
          </w:p>
        </w:tc>
      </w:tr>
      <w:tr w14:paraId="7DC3AD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067D089F">
            <w:pPr>
              <w:pStyle w:val="12"/>
              <w:jc w:val="center"/>
              <w:rPr>
                <w:rFonts w:ascii="宋体" w:hAnsi="宋体"/>
              </w:rPr>
            </w:pPr>
            <w:r>
              <w:rPr>
                <w:rFonts w:ascii="宋体" w:hAnsi="宋体"/>
              </w:rPr>
              <w:t>1965</w:t>
            </w:r>
          </w:p>
        </w:tc>
        <w:tc>
          <w:tcPr>
            <w:tcW w:w="555" w:type="pct"/>
            <w:vAlign w:val="center"/>
          </w:tcPr>
          <w:p w14:paraId="6980A4B6">
            <w:pPr>
              <w:pStyle w:val="12"/>
              <w:jc w:val="center"/>
              <w:rPr>
                <w:rFonts w:ascii="宋体" w:hAnsi="宋体"/>
              </w:rPr>
            </w:pPr>
            <w:r>
              <w:rPr>
                <w:rFonts w:ascii="宋体" w:hAnsi="宋体"/>
              </w:rPr>
              <w:t>777.6</w:t>
            </w:r>
          </w:p>
        </w:tc>
        <w:tc>
          <w:tcPr>
            <w:tcW w:w="556" w:type="pct"/>
            <w:vAlign w:val="center"/>
          </w:tcPr>
          <w:p w14:paraId="010CA569">
            <w:pPr>
              <w:pStyle w:val="12"/>
              <w:jc w:val="center"/>
              <w:rPr>
                <w:rFonts w:ascii="宋体" w:hAnsi="宋体"/>
              </w:rPr>
            </w:pPr>
            <w:r>
              <w:rPr>
                <w:rFonts w:ascii="宋体" w:hAnsi="宋体"/>
              </w:rPr>
              <w:t>201.8</w:t>
            </w:r>
          </w:p>
        </w:tc>
        <w:tc>
          <w:tcPr>
            <w:tcW w:w="556" w:type="pct"/>
            <w:vAlign w:val="center"/>
          </w:tcPr>
          <w:p w14:paraId="5EC83E8D">
            <w:pPr>
              <w:pStyle w:val="12"/>
              <w:jc w:val="center"/>
              <w:rPr>
                <w:rFonts w:ascii="宋体" w:hAnsi="宋体"/>
              </w:rPr>
            </w:pPr>
            <w:r>
              <w:rPr>
                <w:rFonts w:ascii="宋体" w:hAnsi="宋体"/>
              </w:rPr>
              <w:t>250.8</w:t>
            </w:r>
          </w:p>
        </w:tc>
        <w:tc>
          <w:tcPr>
            <w:tcW w:w="556" w:type="pct"/>
            <w:vAlign w:val="center"/>
          </w:tcPr>
          <w:p w14:paraId="2B32E663">
            <w:pPr>
              <w:pStyle w:val="12"/>
              <w:jc w:val="center"/>
              <w:rPr>
                <w:rFonts w:ascii="宋体" w:hAnsi="宋体"/>
              </w:rPr>
            </w:pPr>
            <w:r>
              <w:rPr>
                <w:rFonts w:ascii="宋体" w:hAnsi="宋体"/>
              </w:rPr>
              <w:t>241.7</w:t>
            </w:r>
          </w:p>
        </w:tc>
        <w:tc>
          <w:tcPr>
            <w:tcW w:w="556" w:type="pct"/>
            <w:vAlign w:val="center"/>
          </w:tcPr>
          <w:p w14:paraId="3BA40EC2">
            <w:pPr>
              <w:pStyle w:val="12"/>
              <w:jc w:val="center"/>
              <w:rPr>
                <w:rFonts w:ascii="宋体" w:hAnsi="宋体"/>
              </w:rPr>
            </w:pPr>
            <w:r>
              <w:rPr>
                <w:rFonts w:ascii="宋体" w:hAnsi="宋体"/>
              </w:rPr>
              <w:t>233.2</w:t>
            </w:r>
          </w:p>
        </w:tc>
        <w:tc>
          <w:tcPr>
            <w:tcW w:w="556" w:type="pct"/>
            <w:vAlign w:val="center"/>
          </w:tcPr>
          <w:p w14:paraId="2DC1934A">
            <w:pPr>
              <w:pStyle w:val="12"/>
              <w:jc w:val="center"/>
              <w:rPr>
                <w:rFonts w:ascii="宋体" w:hAnsi="宋体"/>
              </w:rPr>
            </w:pPr>
            <w:r>
              <w:rPr>
                <w:rFonts w:ascii="宋体" w:hAnsi="宋体"/>
              </w:rPr>
              <w:t>—</w:t>
            </w:r>
          </w:p>
        </w:tc>
        <w:tc>
          <w:tcPr>
            <w:tcW w:w="556" w:type="pct"/>
            <w:vAlign w:val="center"/>
          </w:tcPr>
          <w:p w14:paraId="55679182">
            <w:pPr>
              <w:pStyle w:val="12"/>
              <w:jc w:val="center"/>
              <w:rPr>
                <w:rFonts w:ascii="宋体" w:hAnsi="宋体"/>
              </w:rPr>
            </w:pPr>
            <w:r>
              <w:rPr>
                <w:rFonts w:ascii="宋体" w:hAnsi="宋体"/>
              </w:rPr>
              <w:t>83.3</w:t>
            </w:r>
          </w:p>
        </w:tc>
        <w:tc>
          <w:tcPr>
            <w:tcW w:w="556" w:type="pct"/>
            <w:vAlign w:val="center"/>
          </w:tcPr>
          <w:p w14:paraId="2F77E620">
            <w:pPr>
              <w:pStyle w:val="12"/>
              <w:jc w:val="center"/>
              <w:rPr>
                <w:rFonts w:ascii="宋体" w:hAnsi="宋体"/>
              </w:rPr>
            </w:pPr>
            <w:r>
              <w:rPr>
                <w:rFonts w:ascii="宋体" w:hAnsi="宋体"/>
              </w:rPr>
              <w:t>—</w:t>
            </w:r>
          </w:p>
        </w:tc>
      </w:tr>
      <w:tr w14:paraId="1FF2A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5CA01D4B">
            <w:pPr>
              <w:pStyle w:val="12"/>
              <w:jc w:val="center"/>
              <w:rPr>
                <w:rFonts w:ascii="宋体" w:hAnsi="宋体"/>
              </w:rPr>
            </w:pPr>
            <w:r>
              <w:rPr>
                <w:rFonts w:ascii="宋体" w:hAnsi="宋体"/>
              </w:rPr>
              <w:t>1978</w:t>
            </w:r>
          </w:p>
        </w:tc>
        <w:tc>
          <w:tcPr>
            <w:tcW w:w="555" w:type="pct"/>
            <w:vAlign w:val="center"/>
          </w:tcPr>
          <w:p w14:paraId="48047682">
            <w:pPr>
              <w:pStyle w:val="12"/>
              <w:jc w:val="center"/>
              <w:rPr>
                <w:rFonts w:ascii="宋体" w:hAnsi="宋体"/>
              </w:rPr>
            </w:pPr>
            <w:r>
              <w:rPr>
                <w:rFonts w:ascii="宋体" w:hAnsi="宋体"/>
              </w:rPr>
              <w:t>1261.9</w:t>
            </w:r>
          </w:p>
        </w:tc>
        <w:tc>
          <w:tcPr>
            <w:tcW w:w="556" w:type="pct"/>
            <w:vAlign w:val="center"/>
          </w:tcPr>
          <w:p w14:paraId="2078EB24">
            <w:pPr>
              <w:pStyle w:val="12"/>
              <w:jc w:val="center"/>
              <w:rPr>
                <w:rFonts w:ascii="宋体" w:hAnsi="宋体"/>
              </w:rPr>
            </w:pPr>
            <w:r>
              <w:rPr>
                <w:rFonts w:ascii="宋体" w:hAnsi="宋体"/>
              </w:rPr>
              <w:t>348.5</w:t>
            </w:r>
          </w:p>
        </w:tc>
        <w:tc>
          <w:tcPr>
            <w:tcW w:w="556" w:type="pct"/>
            <w:vAlign w:val="center"/>
          </w:tcPr>
          <w:p w14:paraId="608A5104">
            <w:pPr>
              <w:pStyle w:val="12"/>
              <w:jc w:val="center"/>
              <w:rPr>
                <w:rFonts w:ascii="宋体" w:hAnsi="宋体"/>
              </w:rPr>
            </w:pPr>
            <w:r>
              <w:rPr>
                <w:rFonts w:ascii="宋体" w:hAnsi="宋体"/>
              </w:rPr>
              <w:t>259.9</w:t>
            </w:r>
          </w:p>
        </w:tc>
        <w:tc>
          <w:tcPr>
            <w:tcW w:w="556" w:type="pct"/>
            <w:vAlign w:val="center"/>
          </w:tcPr>
          <w:p w14:paraId="58454490">
            <w:pPr>
              <w:pStyle w:val="12"/>
              <w:jc w:val="center"/>
              <w:rPr>
                <w:rFonts w:ascii="宋体" w:hAnsi="宋体"/>
              </w:rPr>
            </w:pPr>
            <w:r>
              <w:rPr>
                <w:rFonts w:ascii="宋体" w:hAnsi="宋体"/>
              </w:rPr>
              <w:t>378</w:t>
            </w:r>
          </w:p>
        </w:tc>
        <w:tc>
          <w:tcPr>
            <w:tcW w:w="556" w:type="pct"/>
            <w:vAlign w:val="center"/>
          </w:tcPr>
          <w:p w14:paraId="14093DA2">
            <w:pPr>
              <w:pStyle w:val="12"/>
              <w:jc w:val="center"/>
              <w:rPr>
                <w:rFonts w:ascii="宋体" w:hAnsi="宋体"/>
              </w:rPr>
            </w:pPr>
            <w:r>
              <w:rPr>
                <w:rFonts w:ascii="宋体" w:hAnsi="宋体"/>
              </w:rPr>
              <w:t>355.2</w:t>
            </w:r>
          </w:p>
        </w:tc>
        <w:tc>
          <w:tcPr>
            <w:tcW w:w="556" w:type="pct"/>
            <w:vAlign w:val="center"/>
          </w:tcPr>
          <w:p w14:paraId="10EED3C5">
            <w:pPr>
              <w:pStyle w:val="12"/>
              <w:jc w:val="center"/>
              <w:rPr>
                <w:rFonts w:ascii="宋体" w:hAnsi="宋体"/>
              </w:rPr>
            </w:pPr>
            <w:r>
              <w:rPr>
                <w:rFonts w:ascii="宋体" w:hAnsi="宋体"/>
              </w:rPr>
              <w:t>53.2</w:t>
            </w:r>
          </w:p>
        </w:tc>
        <w:tc>
          <w:tcPr>
            <w:tcW w:w="556" w:type="pct"/>
            <w:vAlign w:val="center"/>
          </w:tcPr>
          <w:p w14:paraId="41387820">
            <w:pPr>
              <w:pStyle w:val="12"/>
              <w:jc w:val="center"/>
              <w:rPr>
                <w:rFonts w:ascii="宋体" w:hAnsi="宋体"/>
              </w:rPr>
            </w:pPr>
            <w:r>
              <w:rPr>
                <w:rFonts w:ascii="宋体" w:hAnsi="宋体"/>
              </w:rPr>
              <w:t>222.3</w:t>
            </w:r>
          </w:p>
        </w:tc>
        <w:tc>
          <w:tcPr>
            <w:tcW w:w="556" w:type="pct"/>
            <w:vAlign w:val="center"/>
          </w:tcPr>
          <w:p w14:paraId="3BAB6181">
            <w:pPr>
              <w:pStyle w:val="12"/>
              <w:jc w:val="center"/>
              <w:rPr>
                <w:rFonts w:ascii="宋体" w:hAnsi="宋体"/>
              </w:rPr>
            </w:pPr>
            <w:r>
              <w:rPr>
                <w:rFonts w:ascii="宋体" w:hAnsi="宋体"/>
              </w:rPr>
              <w:t>—</w:t>
            </w:r>
          </w:p>
        </w:tc>
      </w:tr>
      <w:tr w14:paraId="7AB0D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3BE2CD5A">
            <w:pPr>
              <w:pStyle w:val="12"/>
              <w:jc w:val="center"/>
              <w:rPr>
                <w:rFonts w:ascii="宋体" w:hAnsi="宋体"/>
              </w:rPr>
            </w:pPr>
            <w:r>
              <w:rPr>
                <w:rFonts w:ascii="宋体" w:hAnsi="宋体"/>
              </w:rPr>
              <w:t>1985</w:t>
            </w:r>
          </w:p>
        </w:tc>
        <w:tc>
          <w:tcPr>
            <w:tcW w:w="555" w:type="pct"/>
            <w:vAlign w:val="center"/>
          </w:tcPr>
          <w:p w14:paraId="433C8B2D">
            <w:pPr>
              <w:pStyle w:val="12"/>
              <w:jc w:val="center"/>
              <w:rPr>
                <w:rFonts w:ascii="宋体" w:hAnsi="宋体"/>
              </w:rPr>
            </w:pPr>
            <w:r>
              <w:rPr>
                <w:rFonts w:ascii="宋体" w:hAnsi="宋体"/>
              </w:rPr>
              <w:t>7406.3</w:t>
            </w:r>
          </w:p>
        </w:tc>
        <w:tc>
          <w:tcPr>
            <w:tcW w:w="556" w:type="pct"/>
            <w:vAlign w:val="center"/>
          </w:tcPr>
          <w:p w14:paraId="003B66BB">
            <w:pPr>
              <w:pStyle w:val="12"/>
              <w:jc w:val="center"/>
              <w:rPr>
                <w:rFonts w:ascii="宋体" w:hAnsi="宋体"/>
              </w:rPr>
            </w:pPr>
            <w:r>
              <w:rPr>
                <w:rFonts w:ascii="宋体" w:hAnsi="宋体"/>
              </w:rPr>
              <w:t>1560.9</w:t>
            </w:r>
          </w:p>
        </w:tc>
        <w:tc>
          <w:tcPr>
            <w:tcW w:w="556" w:type="pct"/>
            <w:vAlign w:val="center"/>
          </w:tcPr>
          <w:p w14:paraId="5D7BF645">
            <w:pPr>
              <w:pStyle w:val="12"/>
              <w:jc w:val="center"/>
              <w:rPr>
                <w:rFonts w:ascii="宋体" w:hAnsi="宋体"/>
              </w:rPr>
            </w:pPr>
            <w:r>
              <w:rPr>
                <w:rFonts w:ascii="宋体" w:hAnsi="宋体"/>
              </w:rPr>
              <w:t>141.3</w:t>
            </w:r>
          </w:p>
        </w:tc>
        <w:tc>
          <w:tcPr>
            <w:tcW w:w="556" w:type="pct"/>
            <w:vAlign w:val="center"/>
          </w:tcPr>
          <w:p w14:paraId="60B8849A">
            <w:pPr>
              <w:pStyle w:val="12"/>
              <w:jc w:val="center"/>
              <w:rPr>
                <w:rFonts w:ascii="宋体" w:hAnsi="宋体"/>
              </w:rPr>
            </w:pPr>
            <w:r>
              <w:rPr>
                <w:rFonts w:ascii="宋体" w:hAnsi="宋体"/>
              </w:rPr>
              <w:t>2507.6</w:t>
            </w:r>
          </w:p>
        </w:tc>
        <w:tc>
          <w:tcPr>
            <w:tcW w:w="556" w:type="pct"/>
            <w:vAlign w:val="center"/>
          </w:tcPr>
          <w:p w14:paraId="486CD2B3">
            <w:pPr>
              <w:pStyle w:val="12"/>
              <w:jc w:val="center"/>
              <w:rPr>
                <w:rFonts w:ascii="宋体" w:hAnsi="宋体"/>
              </w:rPr>
            </w:pPr>
            <w:r>
              <w:rPr>
                <w:rFonts w:ascii="宋体" w:hAnsi="宋体"/>
              </w:rPr>
              <w:t>909.2</w:t>
            </w:r>
          </w:p>
        </w:tc>
        <w:tc>
          <w:tcPr>
            <w:tcW w:w="556" w:type="pct"/>
            <w:vAlign w:val="center"/>
          </w:tcPr>
          <w:p w14:paraId="14488EE6">
            <w:pPr>
              <w:pStyle w:val="12"/>
              <w:jc w:val="center"/>
              <w:rPr>
                <w:rFonts w:ascii="宋体" w:hAnsi="宋体"/>
              </w:rPr>
            </w:pPr>
            <w:r>
              <w:rPr>
                <w:rFonts w:ascii="宋体" w:hAnsi="宋体"/>
              </w:rPr>
              <w:t>826.6</w:t>
            </w:r>
          </w:p>
        </w:tc>
        <w:tc>
          <w:tcPr>
            <w:tcW w:w="556" w:type="pct"/>
            <w:vAlign w:val="center"/>
          </w:tcPr>
          <w:p w14:paraId="377A4AA1">
            <w:pPr>
              <w:pStyle w:val="12"/>
              <w:jc w:val="center"/>
              <w:rPr>
                <w:rFonts w:ascii="宋体" w:hAnsi="宋体"/>
              </w:rPr>
            </w:pPr>
            <w:r>
              <w:rPr>
                <w:rFonts w:ascii="宋体" w:hAnsi="宋体"/>
              </w:rPr>
              <w:t>2349.9</w:t>
            </w:r>
          </w:p>
        </w:tc>
        <w:tc>
          <w:tcPr>
            <w:tcW w:w="556" w:type="pct"/>
            <w:vAlign w:val="center"/>
          </w:tcPr>
          <w:p w14:paraId="093E7106">
            <w:pPr>
              <w:pStyle w:val="12"/>
              <w:jc w:val="center"/>
              <w:rPr>
                <w:rFonts w:ascii="宋体" w:hAnsi="宋体"/>
              </w:rPr>
            </w:pPr>
            <w:r>
              <w:rPr>
                <w:rFonts w:ascii="宋体" w:hAnsi="宋体"/>
              </w:rPr>
              <w:t>20</w:t>
            </w:r>
          </w:p>
        </w:tc>
      </w:tr>
      <w:tr w14:paraId="0A879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4537CE58">
            <w:pPr>
              <w:pStyle w:val="12"/>
              <w:jc w:val="center"/>
              <w:rPr>
                <w:rFonts w:ascii="宋体" w:hAnsi="宋体"/>
              </w:rPr>
            </w:pPr>
            <w:r>
              <w:rPr>
                <w:rFonts w:ascii="宋体" w:hAnsi="宋体"/>
              </w:rPr>
              <w:t>1987</w:t>
            </w:r>
          </w:p>
        </w:tc>
        <w:tc>
          <w:tcPr>
            <w:tcW w:w="555" w:type="pct"/>
            <w:vAlign w:val="center"/>
          </w:tcPr>
          <w:p w14:paraId="114A3554">
            <w:pPr>
              <w:pStyle w:val="12"/>
              <w:jc w:val="center"/>
              <w:rPr>
                <w:rFonts w:ascii="宋体" w:hAnsi="宋体"/>
              </w:rPr>
            </w:pPr>
            <w:r>
              <w:rPr>
                <w:rFonts w:ascii="宋体" w:hAnsi="宋体"/>
              </w:rPr>
              <w:t>17607.5</w:t>
            </w:r>
          </w:p>
        </w:tc>
        <w:tc>
          <w:tcPr>
            <w:tcW w:w="556" w:type="pct"/>
            <w:vAlign w:val="center"/>
          </w:tcPr>
          <w:p w14:paraId="77C0F538">
            <w:pPr>
              <w:pStyle w:val="12"/>
              <w:jc w:val="center"/>
              <w:rPr>
                <w:rFonts w:ascii="宋体" w:hAnsi="宋体"/>
              </w:rPr>
            </w:pPr>
            <w:r>
              <w:rPr>
                <w:rFonts w:ascii="宋体" w:hAnsi="宋体"/>
              </w:rPr>
              <w:t>4269.6</w:t>
            </w:r>
          </w:p>
        </w:tc>
        <w:tc>
          <w:tcPr>
            <w:tcW w:w="556" w:type="pct"/>
            <w:vAlign w:val="center"/>
          </w:tcPr>
          <w:p w14:paraId="301EF5FD">
            <w:pPr>
              <w:pStyle w:val="12"/>
              <w:jc w:val="center"/>
              <w:rPr>
                <w:rFonts w:ascii="宋体" w:hAnsi="宋体"/>
              </w:rPr>
            </w:pPr>
            <w:r>
              <w:rPr>
                <w:rFonts w:ascii="宋体" w:hAnsi="宋体"/>
              </w:rPr>
              <w:t>1174</w:t>
            </w:r>
          </w:p>
        </w:tc>
        <w:tc>
          <w:tcPr>
            <w:tcW w:w="556" w:type="pct"/>
            <w:vAlign w:val="center"/>
          </w:tcPr>
          <w:p w14:paraId="097D1785">
            <w:pPr>
              <w:pStyle w:val="12"/>
              <w:jc w:val="center"/>
              <w:rPr>
                <w:rFonts w:ascii="宋体" w:hAnsi="宋体"/>
              </w:rPr>
            </w:pPr>
            <w:r>
              <w:rPr>
                <w:rFonts w:ascii="宋体" w:hAnsi="宋体"/>
              </w:rPr>
              <w:t>4200.6</w:t>
            </w:r>
          </w:p>
        </w:tc>
        <w:tc>
          <w:tcPr>
            <w:tcW w:w="556" w:type="pct"/>
            <w:vAlign w:val="center"/>
          </w:tcPr>
          <w:p w14:paraId="1A85424D">
            <w:pPr>
              <w:pStyle w:val="12"/>
              <w:jc w:val="center"/>
              <w:rPr>
                <w:rFonts w:ascii="宋体" w:hAnsi="宋体"/>
              </w:rPr>
            </w:pPr>
            <w:r>
              <w:rPr>
                <w:rFonts w:ascii="宋体" w:hAnsi="宋体"/>
              </w:rPr>
              <w:t>1117.6</w:t>
            </w:r>
          </w:p>
        </w:tc>
        <w:tc>
          <w:tcPr>
            <w:tcW w:w="556" w:type="pct"/>
            <w:vAlign w:val="center"/>
          </w:tcPr>
          <w:p w14:paraId="29757FEE">
            <w:pPr>
              <w:pStyle w:val="12"/>
              <w:jc w:val="center"/>
              <w:rPr>
                <w:rFonts w:ascii="宋体" w:hAnsi="宋体"/>
              </w:rPr>
            </w:pPr>
            <w:r>
              <w:rPr>
                <w:rFonts w:ascii="宋体" w:hAnsi="宋体"/>
              </w:rPr>
              <w:t>1502.6</w:t>
            </w:r>
          </w:p>
        </w:tc>
        <w:tc>
          <w:tcPr>
            <w:tcW w:w="556" w:type="pct"/>
            <w:vAlign w:val="center"/>
          </w:tcPr>
          <w:p w14:paraId="3DAA7D0C">
            <w:pPr>
              <w:pStyle w:val="12"/>
              <w:jc w:val="center"/>
              <w:rPr>
                <w:rFonts w:ascii="宋体" w:hAnsi="宋体"/>
              </w:rPr>
            </w:pPr>
            <w:r>
              <w:rPr>
                <w:rFonts w:ascii="宋体" w:hAnsi="宋体"/>
              </w:rPr>
              <w:t>5714.1</w:t>
            </w:r>
          </w:p>
        </w:tc>
        <w:tc>
          <w:tcPr>
            <w:tcW w:w="556" w:type="pct"/>
            <w:vAlign w:val="center"/>
          </w:tcPr>
          <w:p w14:paraId="1629FE76">
            <w:pPr>
              <w:pStyle w:val="12"/>
              <w:jc w:val="center"/>
              <w:rPr>
                <w:rFonts w:ascii="宋体" w:hAnsi="宋体"/>
              </w:rPr>
            </w:pPr>
            <w:r>
              <w:rPr>
                <w:rFonts w:ascii="宋体" w:hAnsi="宋体"/>
              </w:rPr>
              <w:t>746.6</w:t>
            </w:r>
          </w:p>
        </w:tc>
      </w:tr>
    </w:tbl>
    <w:p w14:paraId="47A76013">
      <w:pPr>
        <w:ind w:firstLine="0" w:firstLineChars="0"/>
        <w:jc w:val="center"/>
        <w:rPr>
          <w:rFonts w:ascii="宋体" w:hAnsi="宋体"/>
          <w:b/>
        </w:rPr>
      </w:pPr>
      <w:r>
        <w:rPr>
          <w:rFonts w:hint="eastAsia" w:ascii="宋体" w:hAnsi="宋体"/>
          <w:b/>
        </w:rPr>
        <w:t>1988年至2004年南雄市金融系统存款情况</w:t>
      </w:r>
    </w:p>
    <w:p w14:paraId="7F329B11">
      <w:pPr>
        <w:ind w:firstLine="0" w:firstLineChars="0"/>
        <w:rPr>
          <w:rFonts w:ascii="宋体" w:hAnsi="宋体"/>
          <w:b/>
        </w:rPr>
      </w:pPr>
      <w:r>
        <w:rPr>
          <w:rFonts w:hint="eastAsia" w:ascii="宋体" w:hAnsi="宋体"/>
          <w:b/>
        </w:rPr>
        <w:t>表2-47</w:t>
      </w:r>
    </w:p>
    <w:p w14:paraId="570E1263">
      <w:pPr>
        <w:ind w:firstLine="0" w:firstLineChars="0"/>
        <w:jc w:val="right"/>
        <w:rPr>
          <w:rFonts w:ascii="宋体" w:hAnsi="宋体"/>
          <w:b/>
        </w:rPr>
      </w:pPr>
      <w:r>
        <w:rPr>
          <w:rFonts w:hint="eastAsia" w:ascii="宋体" w:hAnsi="宋体"/>
          <w:b/>
        </w:rPr>
        <w:t>单位：万元</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2490"/>
        <w:gridCol w:w="2491"/>
        <w:gridCol w:w="2491"/>
      </w:tblGrid>
      <w:tr w14:paraId="46D57F7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89DB693">
            <w:pPr>
              <w:pStyle w:val="12"/>
              <w:jc w:val="center"/>
              <w:rPr>
                <w:rFonts w:ascii="宋体" w:hAnsi="宋体"/>
                <w:b/>
              </w:rPr>
            </w:pPr>
            <w:r>
              <w:rPr>
                <w:rFonts w:hint="eastAsia" w:ascii="宋体" w:hAnsi="宋体"/>
                <w:b/>
              </w:rPr>
              <w:t>年份</w:t>
            </w:r>
          </w:p>
        </w:tc>
        <w:tc>
          <w:tcPr>
            <w:tcW w:w="1250" w:type="pct"/>
            <w:vAlign w:val="center"/>
          </w:tcPr>
          <w:p w14:paraId="1F26CEFC">
            <w:pPr>
              <w:pStyle w:val="12"/>
              <w:jc w:val="center"/>
              <w:rPr>
                <w:rFonts w:ascii="宋体" w:hAnsi="宋体"/>
                <w:b/>
              </w:rPr>
            </w:pPr>
            <w:r>
              <w:rPr>
                <w:rFonts w:hint="eastAsia" w:ascii="宋体" w:hAnsi="宋体"/>
                <w:b/>
              </w:rPr>
              <w:t>各项存款</w:t>
            </w:r>
          </w:p>
        </w:tc>
        <w:tc>
          <w:tcPr>
            <w:tcW w:w="1250" w:type="pct"/>
            <w:vAlign w:val="center"/>
          </w:tcPr>
          <w:p w14:paraId="0A22B0D2">
            <w:pPr>
              <w:pStyle w:val="12"/>
              <w:jc w:val="center"/>
              <w:rPr>
                <w:rFonts w:ascii="宋体" w:hAnsi="宋体"/>
                <w:b/>
              </w:rPr>
            </w:pPr>
            <w:r>
              <w:rPr>
                <w:rFonts w:hint="eastAsia" w:ascii="宋体" w:hAnsi="宋体"/>
                <w:b/>
              </w:rPr>
              <w:t>其中储蓄存款</w:t>
            </w:r>
          </w:p>
        </w:tc>
        <w:tc>
          <w:tcPr>
            <w:tcW w:w="1250" w:type="pct"/>
            <w:vAlign w:val="center"/>
          </w:tcPr>
          <w:p w14:paraId="620BEBA8">
            <w:pPr>
              <w:pStyle w:val="12"/>
              <w:jc w:val="center"/>
              <w:rPr>
                <w:rFonts w:ascii="宋体" w:hAnsi="宋体"/>
                <w:b/>
              </w:rPr>
            </w:pPr>
            <w:r>
              <w:rPr>
                <w:rFonts w:hint="eastAsia" w:ascii="宋体" w:hAnsi="宋体"/>
                <w:b/>
              </w:rPr>
              <w:t>现金投放（回笼）数</w:t>
            </w:r>
          </w:p>
        </w:tc>
      </w:tr>
      <w:tr w14:paraId="79E921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D9C5C8B">
            <w:pPr>
              <w:pStyle w:val="12"/>
              <w:jc w:val="center"/>
              <w:rPr>
                <w:rFonts w:ascii="宋体" w:hAnsi="宋体"/>
              </w:rPr>
            </w:pPr>
            <w:r>
              <w:rPr>
                <w:rFonts w:ascii="宋体" w:hAnsi="宋体"/>
              </w:rPr>
              <w:t>1988</w:t>
            </w:r>
          </w:p>
        </w:tc>
        <w:tc>
          <w:tcPr>
            <w:tcW w:w="1250" w:type="pct"/>
            <w:vAlign w:val="center"/>
          </w:tcPr>
          <w:p w14:paraId="7DDFFEEE">
            <w:pPr>
              <w:pStyle w:val="12"/>
              <w:jc w:val="center"/>
              <w:rPr>
                <w:rFonts w:ascii="宋体" w:hAnsi="宋体"/>
              </w:rPr>
            </w:pPr>
            <w:r>
              <w:rPr>
                <w:rFonts w:ascii="宋体" w:hAnsi="宋体"/>
              </w:rPr>
              <w:t>15854</w:t>
            </w:r>
          </w:p>
        </w:tc>
        <w:tc>
          <w:tcPr>
            <w:tcW w:w="1250" w:type="pct"/>
            <w:vAlign w:val="center"/>
          </w:tcPr>
          <w:p w14:paraId="548D3440">
            <w:pPr>
              <w:pStyle w:val="12"/>
              <w:jc w:val="center"/>
              <w:rPr>
                <w:rFonts w:ascii="宋体" w:hAnsi="宋体"/>
              </w:rPr>
            </w:pPr>
            <w:r>
              <w:rPr>
                <w:rFonts w:ascii="宋体" w:hAnsi="宋体"/>
              </w:rPr>
              <w:t>6630</w:t>
            </w:r>
          </w:p>
        </w:tc>
        <w:tc>
          <w:tcPr>
            <w:tcW w:w="1250" w:type="pct"/>
            <w:vAlign w:val="center"/>
          </w:tcPr>
          <w:p w14:paraId="25B96CD6">
            <w:pPr>
              <w:pStyle w:val="12"/>
              <w:jc w:val="center"/>
              <w:rPr>
                <w:rFonts w:ascii="宋体" w:hAnsi="宋体"/>
              </w:rPr>
            </w:pPr>
            <w:r>
              <w:rPr>
                <w:rFonts w:ascii="宋体" w:hAnsi="宋体"/>
              </w:rPr>
              <w:t>8608</w:t>
            </w:r>
          </w:p>
        </w:tc>
      </w:tr>
      <w:tr w14:paraId="46FE123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B5EA1E1">
            <w:pPr>
              <w:pStyle w:val="12"/>
              <w:jc w:val="center"/>
              <w:rPr>
                <w:rFonts w:ascii="宋体" w:hAnsi="宋体"/>
              </w:rPr>
            </w:pPr>
            <w:r>
              <w:rPr>
                <w:rFonts w:ascii="宋体" w:hAnsi="宋体"/>
              </w:rPr>
              <w:t>1989</w:t>
            </w:r>
          </w:p>
        </w:tc>
        <w:tc>
          <w:tcPr>
            <w:tcW w:w="1250" w:type="pct"/>
            <w:vAlign w:val="center"/>
          </w:tcPr>
          <w:p w14:paraId="5D5EEA07">
            <w:pPr>
              <w:pStyle w:val="12"/>
              <w:jc w:val="center"/>
              <w:rPr>
                <w:rFonts w:ascii="宋体" w:hAnsi="宋体"/>
              </w:rPr>
            </w:pPr>
            <w:r>
              <w:rPr>
                <w:rFonts w:ascii="宋体" w:hAnsi="宋体"/>
              </w:rPr>
              <w:t>17574</w:t>
            </w:r>
          </w:p>
        </w:tc>
        <w:tc>
          <w:tcPr>
            <w:tcW w:w="1250" w:type="pct"/>
            <w:vAlign w:val="center"/>
          </w:tcPr>
          <w:p w14:paraId="7FAC7701">
            <w:pPr>
              <w:pStyle w:val="12"/>
              <w:jc w:val="center"/>
              <w:rPr>
                <w:rFonts w:ascii="宋体" w:hAnsi="宋体"/>
              </w:rPr>
            </w:pPr>
            <w:r>
              <w:rPr>
                <w:rFonts w:ascii="宋体" w:hAnsi="宋体"/>
              </w:rPr>
              <w:t>9478</w:t>
            </w:r>
          </w:p>
        </w:tc>
        <w:tc>
          <w:tcPr>
            <w:tcW w:w="1250" w:type="pct"/>
            <w:vAlign w:val="center"/>
          </w:tcPr>
          <w:p w14:paraId="1CBCB9B9">
            <w:pPr>
              <w:pStyle w:val="12"/>
              <w:jc w:val="center"/>
              <w:rPr>
                <w:rFonts w:ascii="宋体" w:hAnsi="宋体"/>
              </w:rPr>
            </w:pPr>
            <w:r>
              <w:rPr>
                <w:rFonts w:ascii="宋体" w:hAnsi="宋体"/>
              </w:rPr>
              <w:t>8454</w:t>
            </w:r>
          </w:p>
        </w:tc>
      </w:tr>
      <w:tr w14:paraId="52B87F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70C836B">
            <w:pPr>
              <w:pStyle w:val="12"/>
              <w:jc w:val="center"/>
              <w:rPr>
                <w:rFonts w:ascii="宋体" w:hAnsi="宋体"/>
              </w:rPr>
            </w:pPr>
            <w:r>
              <w:rPr>
                <w:rFonts w:ascii="宋体" w:hAnsi="宋体"/>
              </w:rPr>
              <w:t>1990</w:t>
            </w:r>
          </w:p>
        </w:tc>
        <w:tc>
          <w:tcPr>
            <w:tcW w:w="1250" w:type="pct"/>
            <w:vAlign w:val="center"/>
          </w:tcPr>
          <w:p w14:paraId="27ADE647">
            <w:pPr>
              <w:pStyle w:val="12"/>
              <w:jc w:val="center"/>
              <w:rPr>
                <w:rFonts w:ascii="宋体" w:hAnsi="宋体"/>
              </w:rPr>
            </w:pPr>
            <w:r>
              <w:rPr>
                <w:rFonts w:ascii="宋体" w:hAnsi="宋体"/>
              </w:rPr>
              <w:t>28712</w:t>
            </w:r>
          </w:p>
        </w:tc>
        <w:tc>
          <w:tcPr>
            <w:tcW w:w="1250" w:type="pct"/>
            <w:vAlign w:val="center"/>
          </w:tcPr>
          <w:p w14:paraId="1499DC37">
            <w:pPr>
              <w:pStyle w:val="12"/>
              <w:jc w:val="center"/>
              <w:rPr>
                <w:rFonts w:ascii="宋体" w:hAnsi="宋体"/>
              </w:rPr>
            </w:pPr>
            <w:r>
              <w:rPr>
                <w:rFonts w:ascii="宋体" w:hAnsi="宋体"/>
              </w:rPr>
              <w:t>17349</w:t>
            </w:r>
          </w:p>
        </w:tc>
        <w:tc>
          <w:tcPr>
            <w:tcW w:w="1250" w:type="pct"/>
            <w:vAlign w:val="center"/>
          </w:tcPr>
          <w:p w14:paraId="48D91DAB">
            <w:pPr>
              <w:pStyle w:val="12"/>
              <w:jc w:val="center"/>
              <w:rPr>
                <w:rFonts w:ascii="宋体" w:hAnsi="宋体"/>
              </w:rPr>
            </w:pPr>
            <w:r>
              <w:rPr>
                <w:rFonts w:ascii="宋体" w:hAnsi="宋体"/>
              </w:rPr>
              <w:t>5073</w:t>
            </w:r>
          </w:p>
        </w:tc>
      </w:tr>
      <w:tr w14:paraId="1E5C8C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4860299">
            <w:pPr>
              <w:pStyle w:val="12"/>
              <w:jc w:val="center"/>
              <w:rPr>
                <w:rFonts w:ascii="宋体" w:hAnsi="宋体"/>
              </w:rPr>
            </w:pPr>
            <w:r>
              <w:rPr>
                <w:rFonts w:ascii="宋体" w:hAnsi="宋体"/>
              </w:rPr>
              <w:t>1991</w:t>
            </w:r>
          </w:p>
        </w:tc>
        <w:tc>
          <w:tcPr>
            <w:tcW w:w="1250" w:type="pct"/>
            <w:vAlign w:val="center"/>
          </w:tcPr>
          <w:p w14:paraId="1DA44DD9">
            <w:pPr>
              <w:pStyle w:val="12"/>
              <w:jc w:val="center"/>
              <w:rPr>
                <w:rFonts w:ascii="宋体" w:hAnsi="宋体"/>
              </w:rPr>
            </w:pPr>
            <w:r>
              <w:rPr>
                <w:rFonts w:ascii="宋体" w:hAnsi="宋体"/>
              </w:rPr>
              <w:t>36165</w:t>
            </w:r>
          </w:p>
        </w:tc>
        <w:tc>
          <w:tcPr>
            <w:tcW w:w="1250" w:type="pct"/>
            <w:vAlign w:val="center"/>
          </w:tcPr>
          <w:p w14:paraId="55E5A5B2">
            <w:pPr>
              <w:pStyle w:val="12"/>
              <w:jc w:val="center"/>
              <w:rPr>
                <w:rFonts w:ascii="宋体" w:hAnsi="宋体"/>
              </w:rPr>
            </w:pPr>
            <w:r>
              <w:rPr>
                <w:rFonts w:ascii="宋体" w:hAnsi="宋体"/>
              </w:rPr>
              <w:t>23169</w:t>
            </w:r>
          </w:p>
        </w:tc>
        <w:tc>
          <w:tcPr>
            <w:tcW w:w="1250" w:type="pct"/>
            <w:vAlign w:val="center"/>
          </w:tcPr>
          <w:p w14:paraId="781CCCD8">
            <w:pPr>
              <w:pStyle w:val="12"/>
              <w:jc w:val="center"/>
              <w:rPr>
                <w:rFonts w:ascii="宋体" w:hAnsi="宋体"/>
              </w:rPr>
            </w:pPr>
            <w:r>
              <w:rPr>
                <w:rFonts w:ascii="宋体" w:hAnsi="宋体"/>
              </w:rPr>
              <w:t>9448</w:t>
            </w:r>
          </w:p>
        </w:tc>
      </w:tr>
      <w:tr w14:paraId="1D4B71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58A8D70C">
            <w:pPr>
              <w:pStyle w:val="12"/>
              <w:jc w:val="center"/>
              <w:rPr>
                <w:rFonts w:ascii="宋体" w:hAnsi="宋体"/>
              </w:rPr>
            </w:pPr>
            <w:r>
              <w:rPr>
                <w:rFonts w:ascii="宋体" w:hAnsi="宋体"/>
              </w:rPr>
              <w:t>1992</w:t>
            </w:r>
          </w:p>
        </w:tc>
        <w:tc>
          <w:tcPr>
            <w:tcW w:w="1250" w:type="pct"/>
            <w:vAlign w:val="center"/>
          </w:tcPr>
          <w:p w14:paraId="706AAA37">
            <w:pPr>
              <w:pStyle w:val="12"/>
              <w:jc w:val="center"/>
              <w:rPr>
                <w:rFonts w:ascii="宋体" w:hAnsi="宋体"/>
              </w:rPr>
            </w:pPr>
            <w:r>
              <w:rPr>
                <w:rFonts w:ascii="宋体" w:hAnsi="宋体"/>
              </w:rPr>
              <w:t>44057</w:t>
            </w:r>
          </w:p>
        </w:tc>
        <w:tc>
          <w:tcPr>
            <w:tcW w:w="1250" w:type="pct"/>
            <w:vAlign w:val="center"/>
          </w:tcPr>
          <w:p w14:paraId="51FB70D8">
            <w:pPr>
              <w:pStyle w:val="12"/>
              <w:jc w:val="center"/>
              <w:rPr>
                <w:rFonts w:ascii="宋体" w:hAnsi="宋体"/>
              </w:rPr>
            </w:pPr>
            <w:r>
              <w:rPr>
                <w:rFonts w:ascii="宋体" w:hAnsi="宋体"/>
              </w:rPr>
              <w:t>29057</w:t>
            </w:r>
          </w:p>
        </w:tc>
        <w:tc>
          <w:tcPr>
            <w:tcW w:w="1250" w:type="pct"/>
            <w:vAlign w:val="center"/>
          </w:tcPr>
          <w:p w14:paraId="39C30002">
            <w:pPr>
              <w:pStyle w:val="12"/>
              <w:jc w:val="center"/>
              <w:rPr>
                <w:rFonts w:ascii="宋体" w:hAnsi="宋体"/>
              </w:rPr>
            </w:pPr>
            <w:r>
              <w:rPr>
                <w:rFonts w:ascii="宋体" w:hAnsi="宋体"/>
              </w:rPr>
              <w:t>14947</w:t>
            </w:r>
          </w:p>
        </w:tc>
      </w:tr>
      <w:tr w14:paraId="368E06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0DD3FFBF">
            <w:pPr>
              <w:pStyle w:val="12"/>
              <w:jc w:val="center"/>
              <w:rPr>
                <w:rFonts w:ascii="宋体" w:hAnsi="宋体"/>
              </w:rPr>
            </w:pPr>
            <w:r>
              <w:rPr>
                <w:rFonts w:ascii="宋体" w:hAnsi="宋体"/>
              </w:rPr>
              <w:t>1993</w:t>
            </w:r>
          </w:p>
        </w:tc>
        <w:tc>
          <w:tcPr>
            <w:tcW w:w="1250" w:type="pct"/>
            <w:vAlign w:val="center"/>
          </w:tcPr>
          <w:p w14:paraId="60BD9682">
            <w:pPr>
              <w:pStyle w:val="12"/>
              <w:jc w:val="center"/>
              <w:rPr>
                <w:rFonts w:ascii="宋体" w:hAnsi="宋体"/>
              </w:rPr>
            </w:pPr>
            <w:r>
              <w:rPr>
                <w:rFonts w:ascii="宋体" w:hAnsi="宋体"/>
              </w:rPr>
              <w:t>47592</w:t>
            </w:r>
          </w:p>
        </w:tc>
        <w:tc>
          <w:tcPr>
            <w:tcW w:w="1250" w:type="pct"/>
            <w:vAlign w:val="center"/>
          </w:tcPr>
          <w:p w14:paraId="0D7B3413">
            <w:pPr>
              <w:pStyle w:val="12"/>
              <w:jc w:val="center"/>
              <w:rPr>
                <w:rFonts w:ascii="宋体" w:hAnsi="宋体"/>
              </w:rPr>
            </w:pPr>
            <w:r>
              <w:rPr>
                <w:rFonts w:ascii="宋体" w:hAnsi="宋体"/>
              </w:rPr>
              <w:t>35307</w:t>
            </w:r>
          </w:p>
        </w:tc>
        <w:tc>
          <w:tcPr>
            <w:tcW w:w="1250" w:type="pct"/>
            <w:vAlign w:val="center"/>
          </w:tcPr>
          <w:p w14:paraId="26E73A32">
            <w:pPr>
              <w:pStyle w:val="12"/>
              <w:jc w:val="center"/>
              <w:rPr>
                <w:rFonts w:ascii="宋体" w:hAnsi="宋体"/>
              </w:rPr>
            </w:pPr>
            <w:r>
              <w:rPr>
                <w:rFonts w:ascii="宋体" w:hAnsi="宋体"/>
              </w:rPr>
              <w:t>13210</w:t>
            </w:r>
          </w:p>
        </w:tc>
      </w:tr>
      <w:tr w14:paraId="79C2C7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06BF8E7B">
            <w:pPr>
              <w:pStyle w:val="12"/>
              <w:jc w:val="center"/>
              <w:rPr>
                <w:rFonts w:ascii="宋体" w:hAnsi="宋体"/>
              </w:rPr>
            </w:pPr>
            <w:r>
              <w:rPr>
                <w:rFonts w:ascii="宋体" w:hAnsi="宋体"/>
              </w:rPr>
              <w:t>1994</w:t>
            </w:r>
          </w:p>
        </w:tc>
        <w:tc>
          <w:tcPr>
            <w:tcW w:w="1250" w:type="pct"/>
            <w:vAlign w:val="center"/>
          </w:tcPr>
          <w:p w14:paraId="58A66DC2">
            <w:pPr>
              <w:pStyle w:val="12"/>
              <w:jc w:val="center"/>
              <w:rPr>
                <w:rFonts w:ascii="宋体" w:hAnsi="宋体"/>
              </w:rPr>
            </w:pPr>
            <w:r>
              <w:rPr>
                <w:rFonts w:ascii="宋体" w:hAnsi="宋体"/>
              </w:rPr>
              <w:t>65673</w:t>
            </w:r>
          </w:p>
        </w:tc>
        <w:tc>
          <w:tcPr>
            <w:tcW w:w="1250" w:type="pct"/>
            <w:vAlign w:val="center"/>
          </w:tcPr>
          <w:p w14:paraId="6CDD8EF9">
            <w:pPr>
              <w:pStyle w:val="12"/>
              <w:jc w:val="center"/>
              <w:rPr>
                <w:rFonts w:ascii="宋体" w:hAnsi="宋体"/>
              </w:rPr>
            </w:pPr>
            <w:r>
              <w:rPr>
                <w:rFonts w:ascii="宋体" w:hAnsi="宋体"/>
              </w:rPr>
              <w:t>48547</w:t>
            </w:r>
          </w:p>
        </w:tc>
        <w:tc>
          <w:tcPr>
            <w:tcW w:w="1250" w:type="pct"/>
            <w:vAlign w:val="center"/>
          </w:tcPr>
          <w:p w14:paraId="2C2044E7">
            <w:pPr>
              <w:pStyle w:val="12"/>
              <w:jc w:val="center"/>
              <w:rPr>
                <w:rFonts w:ascii="宋体" w:hAnsi="宋体"/>
              </w:rPr>
            </w:pPr>
            <w:r>
              <w:rPr>
                <w:rFonts w:ascii="宋体" w:hAnsi="宋体"/>
              </w:rPr>
              <w:t>10606</w:t>
            </w:r>
          </w:p>
        </w:tc>
      </w:tr>
      <w:tr w14:paraId="59FCF1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09BB61E">
            <w:pPr>
              <w:pStyle w:val="12"/>
              <w:jc w:val="center"/>
              <w:rPr>
                <w:rFonts w:ascii="宋体" w:hAnsi="宋体"/>
              </w:rPr>
            </w:pPr>
            <w:r>
              <w:rPr>
                <w:rFonts w:ascii="宋体" w:hAnsi="宋体"/>
              </w:rPr>
              <w:t>1995</w:t>
            </w:r>
          </w:p>
        </w:tc>
        <w:tc>
          <w:tcPr>
            <w:tcW w:w="1250" w:type="pct"/>
            <w:vAlign w:val="center"/>
          </w:tcPr>
          <w:p w14:paraId="6767E133">
            <w:pPr>
              <w:pStyle w:val="12"/>
              <w:jc w:val="center"/>
              <w:rPr>
                <w:rFonts w:ascii="宋体" w:hAnsi="宋体"/>
              </w:rPr>
            </w:pPr>
            <w:r>
              <w:rPr>
                <w:rFonts w:ascii="宋体" w:hAnsi="宋体"/>
              </w:rPr>
              <w:t>83420</w:t>
            </w:r>
          </w:p>
        </w:tc>
        <w:tc>
          <w:tcPr>
            <w:tcW w:w="1250" w:type="pct"/>
            <w:vAlign w:val="center"/>
          </w:tcPr>
          <w:p w14:paraId="23F979D7">
            <w:pPr>
              <w:pStyle w:val="12"/>
              <w:jc w:val="center"/>
              <w:rPr>
                <w:rFonts w:ascii="宋体" w:hAnsi="宋体"/>
              </w:rPr>
            </w:pPr>
            <w:r>
              <w:rPr>
                <w:rFonts w:ascii="宋体" w:hAnsi="宋体"/>
              </w:rPr>
              <w:t>63054</w:t>
            </w:r>
          </w:p>
        </w:tc>
        <w:tc>
          <w:tcPr>
            <w:tcW w:w="1250" w:type="pct"/>
            <w:vAlign w:val="center"/>
          </w:tcPr>
          <w:p w14:paraId="60E76955">
            <w:pPr>
              <w:pStyle w:val="12"/>
              <w:jc w:val="center"/>
              <w:rPr>
                <w:rFonts w:ascii="宋体" w:hAnsi="宋体"/>
              </w:rPr>
            </w:pPr>
            <w:r>
              <w:rPr>
                <w:rFonts w:ascii="宋体" w:hAnsi="宋体"/>
              </w:rPr>
              <w:t>11722</w:t>
            </w:r>
          </w:p>
        </w:tc>
      </w:tr>
      <w:tr w14:paraId="71D90A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DBBDA2C">
            <w:pPr>
              <w:pStyle w:val="12"/>
              <w:jc w:val="center"/>
              <w:rPr>
                <w:rFonts w:ascii="宋体" w:hAnsi="宋体"/>
              </w:rPr>
            </w:pPr>
            <w:r>
              <w:rPr>
                <w:rFonts w:ascii="宋体" w:hAnsi="宋体"/>
              </w:rPr>
              <w:t>1996</w:t>
            </w:r>
          </w:p>
        </w:tc>
        <w:tc>
          <w:tcPr>
            <w:tcW w:w="1250" w:type="pct"/>
            <w:vAlign w:val="center"/>
          </w:tcPr>
          <w:p w14:paraId="22507138">
            <w:pPr>
              <w:pStyle w:val="12"/>
              <w:jc w:val="center"/>
              <w:rPr>
                <w:rFonts w:ascii="宋体" w:hAnsi="宋体"/>
              </w:rPr>
            </w:pPr>
            <w:r>
              <w:rPr>
                <w:rFonts w:ascii="宋体" w:hAnsi="宋体"/>
              </w:rPr>
              <w:t>110987</w:t>
            </w:r>
          </w:p>
        </w:tc>
        <w:tc>
          <w:tcPr>
            <w:tcW w:w="1250" w:type="pct"/>
            <w:vAlign w:val="center"/>
          </w:tcPr>
          <w:p w14:paraId="0FD1D039">
            <w:pPr>
              <w:pStyle w:val="12"/>
              <w:jc w:val="center"/>
              <w:rPr>
                <w:rFonts w:ascii="宋体" w:hAnsi="宋体"/>
              </w:rPr>
            </w:pPr>
            <w:r>
              <w:rPr>
                <w:rFonts w:ascii="宋体" w:hAnsi="宋体"/>
              </w:rPr>
              <w:t>86383</w:t>
            </w:r>
          </w:p>
        </w:tc>
        <w:tc>
          <w:tcPr>
            <w:tcW w:w="1250" w:type="pct"/>
            <w:vAlign w:val="center"/>
          </w:tcPr>
          <w:p w14:paraId="740143A5">
            <w:pPr>
              <w:pStyle w:val="12"/>
              <w:jc w:val="center"/>
              <w:rPr>
                <w:rFonts w:ascii="宋体" w:hAnsi="宋体"/>
              </w:rPr>
            </w:pPr>
            <w:r>
              <w:rPr>
                <w:rFonts w:ascii="宋体" w:hAnsi="宋体"/>
              </w:rPr>
              <w:t>17622</w:t>
            </w:r>
          </w:p>
        </w:tc>
      </w:tr>
      <w:tr w14:paraId="5EAE8B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55E5FE3E">
            <w:pPr>
              <w:pStyle w:val="12"/>
              <w:jc w:val="center"/>
              <w:rPr>
                <w:rFonts w:ascii="宋体" w:hAnsi="宋体"/>
              </w:rPr>
            </w:pPr>
            <w:r>
              <w:rPr>
                <w:rFonts w:ascii="宋体" w:hAnsi="宋体"/>
              </w:rPr>
              <w:t>1997</w:t>
            </w:r>
          </w:p>
        </w:tc>
        <w:tc>
          <w:tcPr>
            <w:tcW w:w="1250" w:type="pct"/>
            <w:vAlign w:val="center"/>
          </w:tcPr>
          <w:p w14:paraId="3A77E6C3">
            <w:pPr>
              <w:pStyle w:val="12"/>
              <w:jc w:val="center"/>
              <w:rPr>
                <w:rFonts w:ascii="宋体" w:hAnsi="宋体"/>
              </w:rPr>
            </w:pPr>
            <w:r>
              <w:rPr>
                <w:rFonts w:ascii="宋体" w:hAnsi="宋体"/>
              </w:rPr>
              <w:t>123110</w:t>
            </w:r>
          </w:p>
        </w:tc>
        <w:tc>
          <w:tcPr>
            <w:tcW w:w="1250" w:type="pct"/>
            <w:vAlign w:val="center"/>
          </w:tcPr>
          <w:p w14:paraId="7689D1A9">
            <w:pPr>
              <w:pStyle w:val="12"/>
              <w:jc w:val="center"/>
              <w:rPr>
                <w:rFonts w:ascii="宋体" w:hAnsi="宋体"/>
              </w:rPr>
            </w:pPr>
            <w:r>
              <w:rPr>
                <w:rFonts w:ascii="宋体" w:hAnsi="宋体"/>
              </w:rPr>
              <w:t>93536</w:t>
            </w:r>
          </w:p>
        </w:tc>
        <w:tc>
          <w:tcPr>
            <w:tcW w:w="1250" w:type="pct"/>
            <w:vAlign w:val="center"/>
          </w:tcPr>
          <w:p w14:paraId="1A4198EE">
            <w:pPr>
              <w:pStyle w:val="12"/>
              <w:jc w:val="center"/>
              <w:rPr>
                <w:rFonts w:ascii="宋体" w:hAnsi="宋体"/>
              </w:rPr>
            </w:pPr>
            <w:r>
              <w:rPr>
                <w:rFonts w:ascii="宋体" w:hAnsi="宋体"/>
              </w:rPr>
              <w:t>25950</w:t>
            </w:r>
          </w:p>
        </w:tc>
      </w:tr>
      <w:tr w14:paraId="46FCE5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1DEBCE6">
            <w:pPr>
              <w:pStyle w:val="12"/>
              <w:jc w:val="center"/>
              <w:rPr>
                <w:rFonts w:ascii="宋体" w:hAnsi="宋体"/>
              </w:rPr>
            </w:pPr>
            <w:r>
              <w:rPr>
                <w:rFonts w:ascii="宋体" w:hAnsi="宋体"/>
              </w:rPr>
              <w:t>1998</w:t>
            </w:r>
          </w:p>
        </w:tc>
        <w:tc>
          <w:tcPr>
            <w:tcW w:w="1250" w:type="pct"/>
            <w:vAlign w:val="center"/>
          </w:tcPr>
          <w:p w14:paraId="7D49EFEE">
            <w:pPr>
              <w:pStyle w:val="12"/>
              <w:jc w:val="center"/>
              <w:rPr>
                <w:rFonts w:ascii="宋体" w:hAnsi="宋体"/>
              </w:rPr>
            </w:pPr>
            <w:r>
              <w:rPr>
                <w:rFonts w:ascii="宋体" w:hAnsi="宋体"/>
              </w:rPr>
              <w:t>133041</w:t>
            </w:r>
          </w:p>
        </w:tc>
        <w:tc>
          <w:tcPr>
            <w:tcW w:w="1250" w:type="pct"/>
            <w:vAlign w:val="center"/>
          </w:tcPr>
          <w:p w14:paraId="05A07405">
            <w:pPr>
              <w:pStyle w:val="12"/>
              <w:jc w:val="center"/>
              <w:rPr>
                <w:rFonts w:ascii="宋体" w:hAnsi="宋体"/>
              </w:rPr>
            </w:pPr>
            <w:r>
              <w:rPr>
                <w:rFonts w:ascii="宋体" w:hAnsi="宋体"/>
              </w:rPr>
              <w:t>101340</w:t>
            </w:r>
          </w:p>
        </w:tc>
        <w:tc>
          <w:tcPr>
            <w:tcW w:w="1250" w:type="pct"/>
            <w:vAlign w:val="center"/>
          </w:tcPr>
          <w:p w14:paraId="6E2E0DD4">
            <w:pPr>
              <w:pStyle w:val="12"/>
              <w:jc w:val="center"/>
              <w:rPr>
                <w:rFonts w:ascii="宋体" w:hAnsi="宋体"/>
              </w:rPr>
            </w:pPr>
            <w:r>
              <w:rPr>
                <w:rFonts w:ascii="宋体" w:hAnsi="宋体"/>
              </w:rPr>
              <w:t>15630</w:t>
            </w:r>
          </w:p>
        </w:tc>
      </w:tr>
      <w:tr w14:paraId="4CC58B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55FA753F">
            <w:pPr>
              <w:pStyle w:val="12"/>
              <w:jc w:val="center"/>
              <w:rPr>
                <w:rFonts w:ascii="宋体" w:hAnsi="宋体"/>
              </w:rPr>
            </w:pPr>
            <w:r>
              <w:rPr>
                <w:rFonts w:ascii="宋体" w:hAnsi="宋体"/>
              </w:rPr>
              <w:t>1999</w:t>
            </w:r>
          </w:p>
        </w:tc>
        <w:tc>
          <w:tcPr>
            <w:tcW w:w="1250" w:type="pct"/>
            <w:vAlign w:val="center"/>
          </w:tcPr>
          <w:p w14:paraId="63565C55">
            <w:pPr>
              <w:pStyle w:val="12"/>
              <w:jc w:val="center"/>
              <w:rPr>
                <w:rFonts w:ascii="宋体" w:hAnsi="宋体"/>
              </w:rPr>
            </w:pPr>
            <w:r>
              <w:rPr>
                <w:rFonts w:ascii="宋体" w:hAnsi="宋体"/>
              </w:rPr>
              <w:t>142803</w:t>
            </w:r>
          </w:p>
        </w:tc>
        <w:tc>
          <w:tcPr>
            <w:tcW w:w="1250" w:type="pct"/>
            <w:vAlign w:val="center"/>
          </w:tcPr>
          <w:p w14:paraId="0AB1B529">
            <w:pPr>
              <w:pStyle w:val="12"/>
              <w:jc w:val="center"/>
              <w:rPr>
                <w:rFonts w:ascii="宋体" w:hAnsi="宋体"/>
              </w:rPr>
            </w:pPr>
            <w:r>
              <w:rPr>
                <w:rFonts w:ascii="宋体" w:hAnsi="宋体"/>
              </w:rPr>
              <w:t>98730</w:t>
            </w:r>
          </w:p>
        </w:tc>
        <w:tc>
          <w:tcPr>
            <w:tcW w:w="1250" w:type="pct"/>
            <w:vAlign w:val="center"/>
          </w:tcPr>
          <w:p w14:paraId="30D6F3E5">
            <w:pPr>
              <w:pStyle w:val="12"/>
              <w:jc w:val="center"/>
              <w:rPr>
                <w:rFonts w:ascii="宋体" w:hAnsi="宋体"/>
              </w:rPr>
            </w:pPr>
            <w:r>
              <w:rPr>
                <w:rFonts w:ascii="宋体" w:hAnsi="宋体"/>
              </w:rPr>
              <w:t>22024</w:t>
            </w:r>
          </w:p>
        </w:tc>
      </w:tr>
      <w:tr w14:paraId="7C3A3A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ADE5339">
            <w:pPr>
              <w:pStyle w:val="12"/>
              <w:jc w:val="center"/>
              <w:rPr>
                <w:rFonts w:ascii="宋体" w:hAnsi="宋体"/>
              </w:rPr>
            </w:pPr>
            <w:r>
              <w:rPr>
                <w:rFonts w:ascii="宋体" w:hAnsi="宋体"/>
              </w:rPr>
              <w:t>2000</w:t>
            </w:r>
          </w:p>
        </w:tc>
        <w:tc>
          <w:tcPr>
            <w:tcW w:w="1250" w:type="pct"/>
            <w:vAlign w:val="center"/>
          </w:tcPr>
          <w:p w14:paraId="61BFEAD8">
            <w:pPr>
              <w:pStyle w:val="12"/>
              <w:jc w:val="center"/>
              <w:rPr>
                <w:rFonts w:ascii="宋体" w:hAnsi="宋体"/>
              </w:rPr>
            </w:pPr>
            <w:r>
              <w:rPr>
                <w:rFonts w:ascii="宋体" w:hAnsi="宋体"/>
              </w:rPr>
              <w:t>144271</w:t>
            </w:r>
          </w:p>
        </w:tc>
        <w:tc>
          <w:tcPr>
            <w:tcW w:w="1250" w:type="pct"/>
            <w:vAlign w:val="center"/>
          </w:tcPr>
          <w:p w14:paraId="312B9793">
            <w:pPr>
              <w:pStyle w:val="12"/>
              <w:jc w:val="center"/>
              <w:rPr>
                <w:rFonts w:ascii="宋体" w:hAnsi="宋体"/>
              </w:rPr>
            </w:pPr>
            <w:r>
              <w:rPr>
                <w:rFonts w:ascii="宋体" w:hAnsi="宋体"/>
              </w:rPr>
              <w:t>111314</w:t>
            </w:r>
          </w:p>
        </w:tc>
        <w:tc>
          <w:tcPr>
            <w:tcW w:w="1250" w:type="pct"/>
            <w:vAlign w:val="center"/>
          </w:tcPr>
          <w:p w14:paraId="48B620F1">
            <w:pPr>
              <w:pStyle w:val="12"/>
              <w:jc w:val="center"/>
              <w:rPr>
                <w:rFonts w:ascii="宋体" w:hAnsi="宋体"/>
              </w:rPr>
            </w:pPr>
            <w:r>
              <w:rPr>
                <w:rFonts w:ascii="宋体" w:hAnsi="宋体"/>
              </w:rPr>
              <w:t>22291</w:t>
            </w:r>
          </w:p>
        </w:tc>
      </w:tr>
      <w:tr w14:paraId="6BB622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65782991">
            <w:pPr>
              <w:pStyle w:val="12"/>
              <w:jc w:val="center"/>
              <w:rPr>
                <w:rFonts w:ascii="宋体" w:hAnsi="宋体"/>
              </w:rPr>
            </w:pPr>
            <w:r>
              <w:rPr>
                <w:rFonts w:ascii="宋体" w:hAnsi="宋体"/>
              </w:rPr>
              <w:t>2001</w:t>
            </w:r>
          </w:p>
        </w:tc>
        <w:tc>
          <w:tcPr>
            <w:tcW w:w="1250" w:type="pct"/>
            <w:vAlign w:val="center"/>
          </w:tcPr>
          <w:p w14:paraId="4C0E3C34">
            <w:pPr>
              <w:pStyle w:val="12"/>
              <w:jc w:val="center"/>
              <w:rPr>
                <w:rFonts w:ascii="宋体" w:hAnsi="宋体"/>
              </w:rPr>
            </w:pPr>
            <w:r>
              <w:rPr>
                <w:rFonts w:ascii="宋体" w:hAnsi="宋体"/>
              </w:rPr>
              <w:t>159217</w:t>
            </w:r>
          </w:p>
        </w:tc>
        <w:tc>
          <w:tcPr>
            <w:tcW w:w="1250" w:type="pct"/>
            <w:vAlign w:val="center"/>
          </w:tcPr>
          <w:p w14:paraId="2B1F40C1">
            <w:pPr>
              <w:pStyle w:val="12"/>
              <w:jc w:val="center"/>
              <w:rPr>
                <w:rFonts w:ascii="宋体" w:hAnsi="宋体"/>
              </w:rPr>
            </w:pPr>
            <w:r>
              <w:rPr>
                <w:rFonts w:ascii="宋体" w:hAnsi="宋体"/>
              </w:rPr>
              <w:t>126661</w:t>
            </w:r>
          </w:p>
        </w:tc>
        <w:tc>
          <w:tcPr>
            <w:tcW w:w="1250" w:type="pct"/>
            <w:vAlign w:val="center"/>
          </w:tcPr>
          <w:p w14:paraId="34A376C1">
            <w:pPr>
              <w:pStyle w:val="12"/>
              <w:jc w:val="center"/>
              <w:rPr>
                <w:rFonts w:ascii="宋体" w:hAnsi="宋体"/>
              </w:rPr>
            </w:pPr>
            <w:r>
              <w:rPr>
                <w:rFonts w:ascii="宋体" w:hAnsi="宋体"/>
              </w:rPr>
              <w:t>28435</w:t>
            </w:r>
          </w:p>
        </w:tc>
      </w:tr>
      <w:tr w14:paraId="640EC4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602AFA48">
            <w:pPr>
              <w:pStyle w:val="12"/>
              <w:jc w:val="center"/>
              <w:rPr>
                <w:rFonts w:ascii="宋体" w:hAnsi="宋体"/>
              </w:rPr>
            </w:pPr>
            <w:r>
              <w:rPr>
                <w:rFonts w:ascii="宋体" w:hAnsi="宋体"/>
              </w:rPr>
              <w:t>2002</w:t>
            </w:r>
          </w:p>
        </w:tc>
        <w:tc>
          <w:tcPr>
            <w:tcW w:w="1250" w:type="pct"/>
            <w:vAlign w:val="center"/>
          </w:tcPr>
          <w:p w14:paraId="08907CCC">
            <w:pPr>
              <w:pStyle w:val="12"/>
              <w:jc w:val="center"/>
              <w:rPr>
                <w:rFonts w:ascii="宋体" w:hAnsi="宋体"/>
              </w:rPr>
            </w:pPr>
            <w:r>
              <w:rPr>
                <w:rFonts w:ascii="宋体" w:hAnsi="宋体"/>
              </w:rPr>
              <w:t>192848</w:t>
            </w:r>
          </w:p>
        </w:tc>
        <w:tc>
          <w:tcPr>
            <w:tcW w:w="1250" w:type="pct"/>
            <w:vAlign w:val="center"/>
          </w:tcPr>
          <w:p w14:paraId="53BD5373">
            <w:pPr>
              <w:pStyle w:val="12"/>
              <w:jc w:val="center"/>
              <w:rPr>
                <w:rFonts w:ascii="宋体" w:hAnsi="宋体"/>
              </w:rPr>
            </w:pPr>
            <w:r>
              <w:rPr>
                <w:rFonts w:ascii="宋体" w:hAnsi="宋体"/>
              </w:rPr>
              <w:t>150686</w:t>
            </w:r>
          </w:p>
        </w:tc>
        <w:tc>
          <w:tcPr>
            <w:tcW w:w="1250" w:type="pct"/>
            <w:vAlign w:val="center"/>
          </w:tcPr>
          <w:p w14:paraId="504CCF83">
            <w:pPr>
              <w:pStyle w:val="12"/>
              <w:jc w:val="center"/>
              <w:rPr>
                <w:rFonts w:ascii="宋体" w:hAnsi="宋体"/>
              </w:rPr>
            </w:pPr>
            <w:r>
              <w:rPr>
                <w:rFonts w:ascii="宋体" w:hAnsi="宋体"/>
              </w:rPr>
              <w:t>5200</w:t>
            </w:r>
          </w:p>
        </w:tc>
      </w:tr>
      <w:tr w14:paraId="21C3A8D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82B453E">
            <w:pPr>
              <w:pStyle w:val="12"/>
              <w:jc w:val="center"/>
              <w:rPr>
                <w:rFonts w:ascii="宋体" w:hAnsi="宋体"/>
              </w:rPr>
            </w:pPr>
            <w:r>
              <w:rPr>
                <w:rFonts w:hint="eastAsia" w:ascii="宋体" w:hAnsi="宋体"/>
              </w:rPr>
              <w:t>2003</w:t>
            </w:r>
          </w:p>
        </w:tc>
        <w:tc>
          <w:tcPr>
            <w:tcW w:w="1250" w:type="pct"/>
            <w:vAlign w:val="center"/>
          </w:tcPr>
          <w:p w14:paraId="1550306C">
            <w:pPr>
              <w:pStyle w:val="12"/>
              <w:jc w:val="center"/>
              <w:rPr>
                <w:rFonts w:ascii="宋体" w:hAnsi="宋体"/>
              </w:rPr>
            </w:pPr>
            <w:r>
              <w:rPr>
                <w:rFonts w:hint="eastAsia" w:ascii="宋体" w:hAnsi="宋体"/>
              </w:rPr>
              <w:t>214374</w:t>
            </w:r>
          </w:p>
        </w:tc>
        <w:tc>
          <w:tcPr>
            <w:tcW w:w="1250" w:type="pct"/>
            <w:vAlign w:val="center"/>
          </w:tcPr>
          <w:p w14:paraId="1DF250BD">
            <w:pPr>
              <w:pStyle w:val="12"/>
              <w:jc w:val="center"/>
              <w:rPr>
                <w:rFonts w:ascii="宋体" w:hAnsi="宋体"/>
              </w:rPr>
            </w:pPr>
            <w:r>
              <w:rPr>
                <w:rFonts w:hint="eastAsia" w:ascii="宋体" w:hAnsi="宋体"/>
              </w:rPr>
              <w:t>171359</w:t>
            </w:r>
          </w:p>
        </w:tc>
        <w:tc>
          <w:tcPr>
            <w:tcW w:w="1250" w:type="pct"/>
            <w:vAlign w:val="center"/>
          </w:tcPr>
          <w:p w14:paraId="5462C145">
            <w:pPr>
              <w:pStyle w:val="12"/>
              <w:jc w:val="center"/>
              <w:rPr>
                <w:rFonts w:ascii="宋体" w:hAnsi="宋体"/>
              </w:rPr>
            </w:pPr>
            <w:r>
              <w:rPr>
                <w:rFonts w:hint="eastAsia" w:ascii="宋体" w:hAnsi="宋体"/>
              </w:rPr>
              <w:t>-475（回笼）</w:t>
            </w:r>
          </w:p>
        </w:tc>
      </w:tr>
      <w:tr w14:paraId="284365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71FA657">
            <w:pPr>
              <w:pStyle w:val="12"/>
              <w:jc w:val="center"/>
              <w:rPr>
                <w:rFonts w:ascii="宋体" w:hAnsi="宋体"/>
              </w:rPr>
            </w:pPr>
            <w:r>
              <w:rPr>
                <w:rFonts w:ascii="宋体" w:hAnsi="宋体"/>
              </w:rPr>
              <w:t>2004</w:t>
            </w:r>
          </w:p>
        </w:tc>
        <w:tc>
          <w:tcPr>
            <w:tcW w:w="1250" w:type="pct"/>
            <w:vAlign w:val="center"/>
          </w:tcPr>
          <w:p w14:paraId="281BDAA3">
            <w:pPr>
              <w:pStyle w:val="12"/>
              <w:jc w:val="center"/>
              <w:rPr>
                <w:rFonts w:ascii="宋体" w:hAnsi="宋体"/>
              </w:rPr>
            </w:pPr>
            <w:r>
              <w:rPr>
                <w:rFonts w:ascii="宋体" w:hAnsi="宋体"/>
              </w:rPr>
              <w:t>239062</w:t>
            </w:r>
          </w:p>
        </w:tc>
        <w:tc>
          <w:tcPr>
            <w:tcW w:w="1250" w:type="pct"/>
            <w:vAlign w:val="center"/>
          </w:tcPr>
          <w:p w14:paraId="551F937B">
            <w:pPr>
              <w:pStyle w:val="12"/>
              <w:jc w:val="center"/>
              <w:rPr>
                <w:rFonts w:ascii="宋体" w:hAnsi="宋体"/>
              </w:rPr>
            </w:pPr>
            <w:r>
              <w:rPr>
                <w:rFonts w:ascii="宋体" w:hAnsi="宋体"/>
              </w:rPr>
              <w:t>191984</w:t>
            </w:r>
          </w:p>
        </w:tc>
        <w:tc>
          <w:tcPr>
            <w:tcW w:w="1250" w:type="pct"/>
            <w:vAlign w:val="center"/>
          </w:tcPr>
          <w:p w14:paraId="649FA7DB">
            <w:pPr>
              <w:pStyle w:val="12"/>
              <w:jc w:val="center"/>
              <w:rPr>
                <w:rFonts w:ascii="宋体" w:hAnsi="宋体"/>
              </w:rPr>
            </w:pPr>
            <w:r>
              <w:rPr>
                <w:rFonts w:ascii="宋体" w:hAnsi="宋体"/>
              </w:rPr>
              <w:t>2250</w:t>
            </w:r>
          </w:p>
        </w:tc>
      </w:tr>
    </w:tbl>
    <w:p w14:paraId="0A876848">
      <w:pPr>
        <w:ind w:firstLine="422"/>
        <w:rPr>
          <w:rFonts w:ascii="宋体" w:hAnsi="宋体"/>
          <w:b/>
          <w:szCs w:val="21"/>
        </w:rPr>
      </w:pPr>
      <w:r>
        <w:rPr>
          <w:rFonts w:hint="eastAsia" w:ascii="宋体" w:hAnsi="宋体"/>
          <w:b/>
          <w:szCs w:val="21"/>
        </w:rPr>
        <w:t>（二）贷款</w:t>
      </w:r>
    </w:p>
    <w:p w14:paraId="4117F4B8">
      <w:pPr>
        <w:ind w:firstLine="0" w:firstLineChars="0"/>
        <w:jc w:val="center"/>
        <w:rPr>
          <w:rFonts w:ascii="宋体" w:hAnsi="宋体"/>
          <w:b/>
          <w:szCs w:val="21"/>
        </w:rPr>
      </w:pPr>
      <w:r>
        <w:rPr>
          <w:rFonts w:hint="eastAsia" w:ascii="宋体" w:hAnsi="宋体"/>
          <w:b/>
          <w:szCs w:val="21"/>
        </w:rPr>
        <w:t>南雄县</w:t>
      </w:r>
      <w:r>
        <w:rPr>
          <w:rFonts w:ascii="宋体" w:hAnsi="宋体"/>
          <w:b/>
          <w:szCs w:val="21"/>
        </w:rPr>
        <w:t>1987年前几个主要年份金融系统贷款情况</w:t>
      </w:r>
    </w:p>
    <w:p w14:paraId="292249E0">
      <w:pPr>
        <w:ind w:firstLine="0" w:firstLineChars="0"/>
        <w:rPr>
          <w:rFonts w:ascii="宋体" w:hAnsi="宋体"/>
          <w:b/>
          <w:szCs w:val="21"/>
        </w:rPr>
      </w:pPr>
      <w:r>
        <w:rPr>
          <w:rFonts w:hint="eastAsia" w:ascii="宋体" w:hAnsi="宋体"/>
          <w:b/>
          <w:szCs w:val="21"/>
        </w:rPr>
        <w:t>表</w:t>
      </w:r>
      <w:r>
        <w:rPr>
          <w:rFonts w:ascii="宋体" w:hAnsi="宋体"/>
          <w:b/>
          <w:szCs w:val="21"/>
        </w:rPr>
        <w:t>2-48</w:t>
      </w:r>
    </w:p>
    <w:p w14:paraId="60D77060">
      <w:pPr>
        <w:ind w:firstLine="0" w:firstLineChars="0"/>
        <w:jc w:val="right"/>
        <w:rPr>
          <w:rFonts w:ascii="宋体" w:hAnsi="宋体"/>
          <w:b/>
          <w:szCs w:val="21"/>
        </w:rPr>
      </w:pPr>
      <w:r>
        <w:rPr>
          <w:rFonts w:ascii="宋体" w:hAnsi="宋体"/>
          <w:b/>
          <w:szCs w:val="21"/>
        </w:rPr>
        <w:t>单位：万元</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59"/>
        <w:gridCol w:w="1659"/>
        <w:gridCol w:w="1662"/>
        <w:gridCol w:w="1662"/>
        <w:gridCol w:w="1662"/>
        <w:gridCol w:w="1658"/>
      </w:tblGrid>
      <w:tr w14:paraId="3E9A589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2AE8183C">
            <w:pPr>
              <w:pStyle w:val="12"/>
              <w:jc w:val="center"/>
              <w:rPr>
                <w:rFonts w:ascii="宋体" w:hAnsi="宋体"/>
                <w:b/>
              </w:rPr>
            </w:pPr>
            <w:r>
              <w:rPr>
                <w:rFonts w:hint="eastAsia" w:ascii="宋体" w:hAnsi="宋体"/>
                <w:b/>
              </w:rPr>
              <w:t>年份</w:t>
            </w:r>
          </w:p>
        </w:tc>
        <w:tc>
          <w:tcPr>
            <w:tcW w:w="833" w:type="pct"/>
            <w:vAlign w:val="center"/>
          </w:tcPr>
          <w:p w14:paraId="1AF86FE3">
            <w:pPr>
              <w:pStyle w:val="12"/>
              <w:jc w:val="center"/>
              <w:rPr>
                <w:rFonts w:ascii="宋体" w:hAnsi="宋体"/>
                <w:b/>
              </w:rPr>
            </w:pPr>
            <w:r>
              <w:rPr>
                <w:rFonts w:hint="eastAsia" w:ascii="宋体" w:hAnsi="宋体"/>
                <w:b/>
              </w:rPr>
              <w:t>合计</w:t>
            </w:r>
          </w:p>
        </w:tc>
        <w:tc>
          <w:tcPr>
            <w:tcW w:w="834" w:type="pct"/>
            <w:vAlign w:val="center"/>
          </w:tcPr>
          <w:p w14:paraId="34348CCB">
            <w:pPr>
              <w:pStyle w:val="12"/>
              <w:jc w:val="center"/>
              <w:rPr>
                <w:rFonts w:ascii="宋体" w:hAnsi="宋体"/>
                <w:b/>
              </w:rPr>
            </w:pPr>
            <w:r>
              <w:rPr>
                <w:rFonts w:hint="eastAsia" w:ascii="宋体" w:hAnsi="宋体"/>
                <w:b/>
              </w:rPr>
              <w:t>工业贷款</w:t>
            </w:r>
          </w:p>
        </w:tc>
        <w:tc>
          <w:tcPr>
            <w:tcW w:w="834" w:type="pct"/>
            <w:vAlign w:val="center"/>
          </w:tcPr>
          <w:p w14:paraId="3025768A">
            <w:pPr>
              <w:pStyle w:val="12"/>
              <w:jc w:val="center"/>
              <w:rPr>
                <w:rFonts w:ascii="宋体" w:hAnsi="宋体"/>
                <w:b/>
              </w:rPr>
            </w:pPr>
            <w:r>
              <w:rPr>
                <w:rFonts w:hint="eastAsia" w:ascii="宋体" w:hAnsi="宋体"/>
                <w:b/>
              </w:rPr>
              <w:t>商业贷款</w:t>
            </w:r>
          </w:p>
        </w:tc>
        <w:tc>
          <w:tcPr>
            <w:tcW w:w="834" w:type="pct"/>
            <w:vAlign w:val="center"/>
          </w:tcPr>
          <w:p w14:paraId="28A51515">
            <w:pPr>
              <w:pStyle w:val="12"/>
              <w:jc w:val="center"/>
              <w:rPr>
                <w:rFonts w:ascii="宋体" w:hAnsi="宋体"/>
                <w:b/>
              </w:rPr>
            </w:pPr>
            <w:r>
              <w:rPr>
                <w:rFonts w:hint="eastAsia" w:ascii="宋体" w:hAnsi="宋体"/>
                <w:b/>
              </w:rPr>
              <w:t>农业贷款</w:t>
            </w:r>
          </w:p>
        </w:tc>
        <w:tc>
          <w:tcPr>
            <w:tcW w:w="834" w:type="pct"/>
            <w:vAlign w:val="center"/>
          </w:tcPr>
          <w:p w14:paraId="3AFF93E3">
            <w:pPr>
              <w:pStyle w:val="12"/>
              <w:jc w:val="center"/>
              <w:rPr>
                <w:rFonts w:ascii="宋体" w:hAnsi="宋体"/>
                <w:b/>
              </w:rPr>
            </w:pPr>
            <w:r>
              <w:rPr>
                <w:rFonts w:hint="eastAsia" w:ascii="宋体" w:hAnsi="宋体"/>
                <w:b/>
              </w:rPr>
              <w:t>其他贷款</w:t>
            </w:r>
          </w:p>
        </w:tc>
      </w:tr>
      <w:tr w14:paraId="35373E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4675329B">
            <w:pPr>
              <w:pStyle w:val="12"/>
              <w:jc w:val="center"/>
              <w:rPr>
                <w:rFonts w:ascii="宋体" w:hAnsi="宋体"/>
              </w:rPr>
            </w:pPr>
            <w:r>
              <w:rPr>
                <w:rFonts w:ascii="宋体" w:hAnsi="宋体"/>
              </w:rPr>
              <w:t>1952</w:t>
            </w:r>
          </w:p>
        </w:tc>
        <w:tc>
          <w:tcPr>
            <w:tcW w:w="833" w:type="pct"/>
            <w:vAlign w:val="center"/>
          </w:tcPr>
          <w:p w14:paraId="771B9D4C">
            <w:pPr>
              <w:pStyle w:val="12"/>
              <w:jc w:val="center"/>
              <w:rPr>
                <w:rFonts w:ascii="宋体" w:hAnsi="宋体"/>
              </w:rPr>
            </w:pPr>
            <w:r>
              <w:rPr>
                <w:rFonts w:ascii="宋体" w:hAnsi="宋体"/>
              </w:rPr>
              <w:t>74.3</w:t>
            </w:r>
          </w:p>
        </w:tc>
        <w:tc>
          <w:tcPr>
            <w:tcW w:w="834" w:type="pct"/>
            <w:vAlign w:val="center"/>
          </w:tcPr>
          <w:p w14:paraId="38B3C2B5">
            <w:pPr>
              <w:pStyle w:val="12"/>
              <w:jc w:val="center"/>
              <w:rPr>
                <w:rFonts w:ascii="宋体" w:hAnsi="宋体"/>
              </w:rPr>
            </w:pPr>
            <w:r>
              <w:rPr>
                <w:rFonts w:ascii="宋体" w:hAnsi="宋体"/>
              </w:rPr>
              <w:t>0.3</w:t>
            </w:r>
          </w:p>
        </w:tc>
        <w:tc>
          <w:tcPr>
            <w:tcW w:w="834" w:type="pct"/>
            <w:vAlign w:val="center"/>
          </w:tcPr>
          <w:p w14:paraId="710AD062">
            <w:pPr>
              <w:pStyle w:val="12"/>
              <w:jc w:val="center"/>
              <w:rPr>
                <w:rFonts w:ascii="宋体" w:hAnsi="宋体"/>
              </w:rPr>
            </w:pPr>
            <w:r>
              <w:rPr>
                <w:rFonts w:ascii="宋体" w:hAnsi="宋体"/>
              </w:rPr>
              <w:t>23.3</w:t>
            </w:r>
          </w:p>
        </w:tc>
        <w:tc>
          <w:tcPr>
            <w:tcW w:w="834" w:type="pct"/>
            <w:vAlign w:val="center"/>
          </w:tcPr>
          <w:p w14:paraId="3CB838D5">
            <w:pPr>
              <w:pStyle w:val="12"/>
              <w:jc w:val="center"/>
              <w:rPr>
                <w:rFonts w:ascii="宋体" w:hAnsi="宋体"/>
              </w:rPr>
            </w:pPr>
            <w:r>
              <w:rPr>
                <w:rFonts w:ascii="宋体" w:hAnsi="宋体"/>
              </w:rPr>
              <w:t>50.7</w:t>
            </w:r>
          </w:p>
        </w:tc>
        <w:tc>
          <w:tcPr>
            <w:tcW w:w="834" w:type="pct"/>
            <w:vAlign w:val="center"/>
          </w:tcPr>
          <w:p w14:paraId="0CE4FDDE">
            <w:pPr>
              <w:pStyle w:val="12"/>
              <w:jc w:val="center"/>
              <w:rPr>
                <w:rFonts w:ascii="宋体" w:hAnsi="宋体"/>
              </w:rPr>
            </w:pPr>
            <w:r>
              <w:rPr>
                <w:rFonts w:ascii="宋体" w:hAnsi="宋体"/>
              </w:rPr>
              <w:t>—</w:t>
            </w:r>
          </w:p>
        </w:tc>
      </w:tr>
      <w:tr w14:paraId="6DC0AF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0849DEBE">
            <w:pPr>
              <w:pStyle w:val="12"/>
              <w:jc w:val="center"/>
              <w:rPr>
                <w:rFonts w:ascii="宋体" w:hAnsi="宋体"/>
              </w:rPr>
            </w:pPr>
            <w:r>
              <w:rPr>
                <w:rFonts w:ascii="宋体" w:hAnsi="宋体"/>
              </w:rPr>
              <w:t>1957</w:t>
            </w:r>
          </w:p>
        </w:tc>
        <w:tc>
          <w:tcPr>
            <w:tcW w:w="833" w:type="pct"/>
            <w:vAlign w:val="center"/>
          </w:tcPr>
          <w:p w14:paraId="0E8A560E">
            <w:pPr>
              <w:pStyle w:val="12"/>
              <w:jc w:val="center"/>
              <w:rPr>
                <w:rFonts w:ascii="宋体" w:hAnsi="宋体"/>
              </w:rPr>
            </w:pPr>
            <w:r>
              <w:rPr>
                <w:rFonts w:ascii="宋体" w:hAnsi="宋体"/>
              </w:rPr>
              <w:t>583.3</w:t>
            </w:r>
          </w:p>
        </w:tc>
        <w:tc>
          <w:tcPr>
            <w:tcW w:w="834" w:type="pct"/>
            <w:vAlign w:val="center"/>
          </w:tcPr>
          <w:p w14:paraId="6E15C996">
            <w:pPr>
              <w:pStyle w:val="12"/>
              <w:jc w:val="center"/>
              <w:rPr>
                <w:rFonts w:ascii="宋体" w:hAnsi="宋体"/>
              </w:rPr>
            </w:pPr>
            <w:r>
              <w:rPr>
                <w:rFonts w:ascii="宋体" w:hAnsi="宋体"/>
              </w:rPr>
              <w:t>14</w:t>
            </w:r>
          </w:p>
        </w:tc>
        <w:tc>
          <w:tcPr>
            <w:tcW w:w="834" w:type="pct"/>
            <w:vAlign w:val="center"/>
          </w:tcPr>
          <w:p w14:paraId="7B4C90EE">
            <w:pPr>
              <w:pStyle w:val="12"/>
              <w:jc w:val="center"/>
              <w:rPr>
                <w:rFonts w:ascii="宋体" w:hAnsi="宋体"/>
              </w:rPr>
            </w:pPr>
            <w:r>
              <w:rPr>
                <w:rFonts w:ascii="宋体" w:hAnsi="宋体"/>
              </w:rPr>
              <w:t>450.2</w:t>
            </w:r>
          </w:p>
        </w:tc>
        <w:tc>
          <w:tcPr>
            <w:tcW w:w="834" w:type="pct"/>
            <w:vAlign w:val="center"/>
          </w:tcPr>
          <w:p w14:paraId="68B1ACE0">
            <w:pPr>
              <w:pStyle w:val="12"/>
              <w:jc w:val="center"/>
              <w:rPr>
                <w:rFonts w:ascii="宋体" w:hAnsi="宋体"/>
              </w:rPr>
            </w:pPr>
            <w:r>
              <w:rPr>
                <w:rFonts w:ascii="宋体" w:hAnsi="宋体"/>
              </w:rPr>
              <w:t>119.1</w:t>
            </w:r>
          </w:p>
        </w:tc>
        <w:tc>
          <w:tcPr>
            <w:tcW w:w="834" w:type="pct"/>
            <w:vAlign w:val="center"/>
          </w:tcPr>
          <w:p w14:paraId="649C7C2D">
            <w:pPr>
              <w:pStyle w:val="12"/>
              <w:jc w:val="center"/>
              <w:rPr>
                <w:rFonts w:ascii="宋体" w:hAnsi="宋体"/>
              </w:rPr>
            </w:pPr>
            <w:r>
              <w:rPr>
                <w:rFonts w:ascii="宋体" w:hAnsi="宋体"/>
              </w:rPr>
              <w:t>—</w:t>
            </w:r>
          </w:p>
        </w:tc>
      </w:tr>
      <w:tr w14:paraId="40F0FA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7AD85534">
            <w:pPr>
              <w:pStyle w:val="12"/>
              <w:jc w:val="center"/>
              <w:rPr>
                <w:rFonts w:ascii="宋体" w:hAnsi="宋体"/>
              </w:rPr>
            </w:pPr>
            <w:r>
              <w:rPr>
                <w:rFonts w:ascii="宋体" w:hAnsi="宋体"/>
              </w:rPr>
              <w:t>1965</w:t>
            </w:r>
          </w:p>
        </w:tc>
        <w:tc>
          <w:tcPr>
            <w:tcW w:w="833" w:type="pct"/>
            <w:vAlign w:val="center"/>
          </w:tcPr>
          <w:p w14:paraId="581DA5BD">
            <w:pPr>
              <w:pStyle w:val="12"/>
              <w:jc w:val="center"/>
              <w:rPr>
                <w:rFonts w:ascii="宋体" w:hAnsi="宋体"/>
              </w:rPr>
            </w:pPr>
            <w:r>
              <w:rPr>
                <w:rFonts w:ascii="宋体" w:hAnsi="宋体"/>
              </w:rPr>
              <w:t>1603.4</w:t>
            </w:r>
          </w:p>
        </w:tc>
        <w:tc>
          <w:tcPr>
            <w:tcW w:w="834" w:type="pct"/>
            <w:vAlign w:val="center"/>
          </w:tcPr>
          <w:p w14:paraId="18FAF731">
            <w:pPr>
              <w:pStyle w:val="12"/>
              <w:jc w:val="center"/>
              <w:rPr>
                <w:rFonts w:ascii="宋体" w:hAnsi="宋体"/>
              </w:rPr>
            </w:pPr>
            <w:r>
              <w:rPr>
                <w:rFonts w:ascii="宋体" w:hAnsi="宋体"/>
              </w:rPr>
              <w:t>76.6</w:t>
            </w:r>
          </w:p>
        </w:tc>
        <w:tc>
          <w:tcPr>
            <w:tcW w:w="834" w:type="pct"/>
            <w:vAlign w:val="center"/>
          </w:tcPr>
          <w:p w14:paraId="01C6B010">
            <w:pPr>
              <w:pStyle w:val="12"/>
              <w:jc w:val="center"/>
              <w:rPr>
                <w:rFonts w:ascii="宋体" w:hAnsi="宋体"/>
              </w:rPr>
            </w:pPr>
            <w:r>
              <w:rPr>
                <w:rFonts w:ascii="宋体" w:hAnsi="宋体"/>
              </w:rPr>
              <w:t>1356.7</w:t>
            </w:r>
          </w:p>
        </w:tc>
        <w:tc>
          <w:tcPr>
            <w:tcW w:w="834" w:type="pct"/>
            <w:vAlign w:val="center"/>
          </w:tcPr>
          <w:p w14:paraId="2A7A08D6">
            <w:pPr>
              <w:pStyle w:val="12"/>
              <w:jc w:val="center"/>
              <w:rPr>
                <w:rFonts w:ascii="宋体" w:hAnsi="宋体"/>
              </w:rPr>
            </w:pPr>
            <w:r>
              <w:rPr>
                <w:rFonts w:ascii="宋体" w:hAnsi="宋体"/>
              </w:rPr>
              <w:t>170.1</w:t>
            </w:r>
          </w:p>
        </w:tc>
        <w:tc>
          <w:tcPr>
            <w:tcW w:w="834" w:type="pct"/>
            <w:vAlign w:val="center"/>
          </w:tcPr>
          <w:p w14:paraId="2D3E9C08">
            <w:pPr>
              <w:pStyle w:val="12"/>
              <w:jc w:val="center"/>
              <w:rPr>
                <w:rFonts w:ascii="宋体" w:hAnsi="宋体"/>
              </w:rPr>
            </w:pPr>
            <w:r>
              <w:rPr>
                <w:rFonts w:ascii="宋体" w:hAnsi="宋体"/>
              </w:rPr>
              <w:t>—</w:t>
            </w:r>
          </w:p>
        </w:tc>
      </w:tr>
      <w:tr w14:paraId="5B168D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08E04C98">
            <w:pPr>
              <w:pStyle w:val="12"/>
              <w:jc w:val="center"/>
              <w:rPr>
                <w:rFonts w:ascii="宋体" w:hAnsi="宋体"/>
              </w:rPr>
            </w:pPr>
            <w:r>
              <w:rPr>
                <w:rFonts w:ascii="宋体" w:hAnsi="宋体"/>
              </w:rPr>
              <w:t>1978</w:t>
            </w:r>
          </w:p>
        </w:tc>
        <w:tc>
          <w:tcPr>
            <w:tcW w:w="833" w:type="pct"/>
            <w:vAlign w:val="center"/>
          </w:tcPr>
          <w:p w14:paraId="3E04DE4D">
            <w:pPr>
              <w:pStyle w:val="12"/>
              <w:jc w:val="center"/>
              <w:rPr>
                <w:rFonts w:ascii="宋体" w:hAnsi="宋体"/>
              </w:rPr>
            </w:pPr>
            <w:r>
              <w:rPr>
                <w:rFonts w:ascii="宋体" w:hAnsi="宋体"/>
              </w:rPr>
              <w:t>2595.9</w:t>
            </w:r>
          </w:p>
        </w:tc>
        <w:tc>
          <w:tcPr>
            <w:tcW w:w="834" w:type="pct"/>
            <w:vAlign w:val="center"/>
          </w:tcPr>
          <w:p w14:paraId="33F3007E">
            <w:pPr>
              <w:pStyle w:val="12"/>
              <w:jc w:val="center"/>
              <w:rPr>
                <w:rFonts w:ascii="宋体" w:hAnsi="宋体"/>
              </w:rPr>
            </w:pPr>
            <w:r>
              <w:rPr>
                <w:rFonts w:ascii="宋体" w:hAnsi="宋体"/>
              </w:rPr>
              <w:t>435</w:t>
            </w:r>
          </w:p>
        </w:tc>
        <w:tc>
          <w:tcPr>
            <w:tcW w:w="834" w:type="pct"/>
            <w:vAlign w:val="center"/>
          </w:tcPr>
          <w:p w14:paraId="025FF93C">
            <w:pPr>
              <w:pStyle w:val="12"/>
              <w:jc w:val="center"/>
              <w:rPr>
                <w:rFonts w:ascii="宋体" w:hAnsi="宋体"/>
              </w:rPr>
            </w:pPr>
            <w:r>
              <w:rPr>
                <w:rFonts w:ascii="宋体" w:hAnsi="宋体"/>
              </w:rPr>
              <w:t>2005.4</w:t>
            </w:r>
          </w:p>
        </w:tc>
        <w:tc>
          <w:tcPr>
            <w:tcW w:w="834" w:type="pct"/>
            <w:vAlign w:val="center"/>
          </w:tcPr>
          <w:p w14:paraId="40DA26FC">
            <w:pPr>
              <w:pStyle w:val="12"/>
              <w:jc w:val="center"/>
              <w:rPr>
                <w:rFonts w:ascii="宋体" w:hAnsi="宋体"/>
              </w:rPr>
            </w:pPr>
            <w:r>
              <w:rPr>
                <w:rFonts w:ascii="宋体" w:hAnsi="宋体"/>
              </w:rPr>
              <w:t>155.5</w:t>
            </w:r>
          </w:p>
        </w:tc>
        <w:tc>
          <w:tcPr>
            <w:tcW w:w="834" w:type="pct"/>
            <w:vAlign w:val="center"/>
          </w:tcPr>
          <w:p w14:paraId="56FCF55C">
            <w:pPr>
              <w:pStyle w:val="12"/>
              <w:jc w:val="center"/>
              <w:rPr>
                <w:rFonts w:ascii="宋体" w:hAnsi="宋体"/>
              </w:rPr>
            </w:pPr>
            <w:r>
              <w:rPr>
                <w:rFonts w:ascii="宋体" w:hAnsi="宋体"/>
              </w:rPr>
              <w:t>—</w:t>
            </w:r>
          </w:p>
        </w:tc>
      </w:tr>
      <w:tr w14:paraId="3DBFFE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7763CC48">
            <w:pPr>
              <w:pStyle w:val="12"/>
              <w:jc w:val="center"/>
              <w:rPr>
                <w:rFonts w:ascii="宋体" w:hAnsi="宋体"/>
              </w:rPr>
            </w:pPr>
            <w:r>
              <w:rPr>
                <w:rFonts w:ascii="宋体" w:hAnsi="宋体"/>
              </w:rPr>
              <w:t>1985</w:t>
            </w:r>
          </w:p>
        </w:tc>
        <w:tc>
          <w:tcPr>
            <w:tcW w:w="833" w:type="pct"/>
            <w:vAlign w:val="center"/>
          </w:tcPr>
          <w:p w14:paraId="0AF6EF1E">
            <w:pPr>
              <w:pStyle w:val="12"/>
              <w:jc w:val="center"/>
              <w:rPr>
                <w:rFonts w:ascii="宋体" w:hAnsi="宋体"/>
              </w:rPr>
            </w:pPr>
            <w:r>
              <w:rPr>
                <w:rFonts w:ascii="宋体" w:hAnsi="宋体"/>
              </w:rPr>
              <w:t>8607.9</w:t>
            </w:r>
          </w:p>
        </w:tc>
        <w:tc>
          <w:tcPr>
            <w:tcW w:w="834" w:type="pct"/>
            <w:vAlign w:val="center"/>
          </w:tcPr>
          <w:p w14:paraId="24889EEE">
            <w:pPr>
              <w:pStyle w:val="12"/>
              <w:jc w:val="center"/>
              <w:rPr>
                <w:rFonts w:ascii="宋体" w:hAnsi="宋体"/>
              </w:rPr>
            </w:pPr>
            <w:r>
              <w:rPr>
                <w:rFonts w:ascii="宋体" w:hAnsi="宋体"/>
              </w:rPr>
              <w:t>2007.4</w:t>
            </w:r>
          </w:p>
        </w:tc>
        <w:tc>
          <w:tcPr>
            <w:tcW w:w="834" w:type="pct"/>
            <w:vAlign w:val="center"/>
          </w:tcPr>
          <w:p w14:paraId="1574D22A">
            <w:pPr>
              <w:pStyle w:val="12"/>
              <w:jc w:val="center"/>
              <w:rPr>
                <w:rFonts w:ascii="宋体" w:hAnsi="宋体"/>
              </w:rPr>
            </w:pPr>
            <w:r>
              <w:rPr>
                <w:rFonts w:ascii="宋体" w:hAnsi="宋体"/>
              </w:rPr>
              <w:t>4645.3</w:t>
            </w:r>
          </w:p>
        </w:tc>
        <w:tc>
          <w:tcPr>
            <w:tcW w:w="834" w:type="pct"/>
            <w:vAlign w:val="center"/>
          </w:tcPr>
          <w:p w14:paraId="26DA9330">
            <w:pPr>
              <w:pStyle w:val="12"/>
              <w:jc w:val="center"/>
              <w:rPr>
                <w:rFonts w:ascii="宋体" w:hAnsi="宋体"/>
              </w:rPr>
            </w:pPr>
            <w:r>
              <w:rPr>
                <w:rFonts w:ascii="宋体" w:hAnsi="宋体"/>
              </w:rPr>
              <w:t>1444.5</w:t>
            </w:r>
          </w:p>
        </w:tc>
        <w:tc>
          <w:tcPr>
            <w:tcW w:w="834" w:type="pct"/>
            <w:vAlign w:val="center"/>
          </w:tcPr>
          <w:p w14:paraId="6610F6C0">
            <w:pPr>
              <w:pStyle w:val="12"/>
              <w:jc w:val="center"/>
              <w:rPr>
                <w:rFonts w:ascii="宋体" w:hAnsi="宋体"/>
              </w:rPr>
            </w:pPr>
            <w:r>
              <w:rPr>
                <w:rFonts w:ascii="宋体" w:hAnsi="宋体"/>
              </w:rPr>
              <w:t>510.7</w:t>
            </w:r>
          </w:p>
        </w:tc>
      </w:tr>
      <w:tr w14:paraId="011EF9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275EA0EE">
            <w:pPr>
              <w:pStyle w:val="12"/>
              <w:jc w:val="center"/>
              <w:rPr>
                <w:rFonts w:ascii="宋体" w:hAnsi="宋体"/>
              </w:rPr>
            </w:pPr>
            <w:r>
              <w:rPr>
                <w:rFonts w:ascii="宋体" w:hAnsi="宋体"/>
              </w:rPr>
              <w:t>1987</w:t>
            </w:r>
          </w:p>
        </w:tc>
        <w:tc>
          <w:tcPr>
            <w:tcW w:w="833" w:type="pct"/>
            <w:vAlign w:val="center"/>
          </w:tcPr>
          <w:p w14:paraId="4FC55D03">
            <w:pPr>
              <w:pStyle w:val="12"/>
              <w:jc w:val="center"/>
              <w:rPr>
                <w:rFonts w:ascii="宋体" w:hAnsi="宋体"/>
              </w:rPr>
            </w:pPr>
            <w:r>
              <w:rPr>
                <w:rFonts w:ascii="宋体" w:hAnsi="宋体"/>
              </w:rPr>
              <w:t>18476.7</w:t>
            </w:r>
          </w:p>
        </w:tc>
        <w:tc>
          <w:tcPr>
            <w:tcW w:w="834" w:type="pct"/>
            <w:vAlign w:val="center"/>
          </w:tcPr>
          <w:p w14:paraId="0390CC93">
            <w:pPr>
              <w:pStyle w:val="12"/>
              <w:jc w:val="center"/>
              <w:rPr>
                <w:rFonts w:ascii="宋体" w:hAnsi="宋体"/>
              </w:rPr>
            </w:pPr>
            <w:r>
              <w:rPr>
                <w:rFonts w:ascii="宋体" w:hAnsi="宋体"/>
              </w:rPr>
              <w:t>5849.4</w:t>
            </w:r>
          </w:p>
        </w:tc>
        <w:tc>
          <w:tcPr>
            <w:tcW w:w="834" w:type="pct"/>
            <w:vAlign w:val="center"/>
          </w:tcPr>
          <w:p w14:paraId="6C78F127">
            <w:pPr>
              <w:pStyle w:val="12"/>
              <w:jc w:val="center"/>
              <w:rPr>
                <w:rFonts w:ascii="宋体" w:hAnsi="宋体"/>
              </w:rPr>
            </w:pPr>
            <w:r>
              <w:rPr>
                <w:rFonts w:ascii="宋体" w:hAnsi="宋体"/>
              </w:rPr>
              <w:t>6972.5</w:t>
            </w:r>
          </w:p>
        </w:tc>
        <w:tc>
          <w:tcPr>
            <w:tcW w:w="834" w:type="pct"/>
            <w:vAlign w:val="center"/>
          </w:tcPr>
          <w:p w14:paraId="6767EC50">
            <w:pPr>
              <w:pStyle w:val="12"/>
              <w:jc w:val="center"/>
              <w:rPr>
                <w:rFonts w:ascii="宋体" w:hAnsi="宋体"/>
              </w:rPr>
            </w:pPr>
            <w:r>
              <w:rPr>
                <w:rFonts w:ascii="宋体" w:hAnsi="宋体"/>
              </w:rPr>
              <w:t>4548.4</w:t>
            </w:r>
          </w:p>
        </w:tc>
        <w:tc>
          <w:tcPr>
            <w:tcW w:w="834" w:type="pct"/>
            <w:vAlign w:val="center"/>
          </w:tcPr>
          <w:p w14:paraId="45B0B8CC">
            <w:pPr>
              <w:pStyle w:val="12"/>
              <w:jc w:val="center"/>
              <w:rPr>
                <w:rFonts w:ascii="宋体" w:hAnsi="宋体"/>
              </w:rPr>
            </w:pPr>
            <w:r>
              <w:rPr>
                <w:rFonts w:ascii="宋体" w:hAnsi="宋体"/>
              </w:rPr>
              <w:t>1106.4</w:t>
            </w:r>
          </w:p>
        </w:tc>
      </w:tr>
    </w:tbl>
    <w:p w14:paraId="1AF43952">
      <w:pPr>
        <w:ind w:firstLine="0" w:firstLineChars="0"/>
        <w:jc w:val="center"/>
        <w:rPr>
          <w:rFonts w:ascii="宋体" w:hAnsi="宋体"/>
          <w:b/>
        </w:rPr>
      </w:pPr>
      <w:r>
        <w:rPr>
          <w:rFonts w:hint="eastAsia" w:ascii="宋体" w:hAnsi="宋体"/>
          <w:b/>
        </w:rPr>
        <w:t>1988年至2004年南雄市金融系统贷款情况</w:t>
      </w:r>
    </w:p>
    <w:p w14:paraId="7DE282A1">
      <w:pPr>
        <w:ind w:firstLine="0" w:firstLineChars="0"/>
        <w:rPr>
          <w:rFonts w:ascii="宋体" w:hAnsi="宋体"/>
          <w:b/>
        </w:rPr>
      </w:pPr>
      <w:r>
        <w:rPr>
          <w:rFonts w:hint="eastAsia" w:ascii="宋体" w:hAnsi="宋体"/>
          <w:b/>
        </w:rPr>
        <w:t>表2-49</w:t>
      </w:r>
    </w:p>
    <w:p w14:paraId="18D76686">
      <w:pPr>
        <w:ind w:firstLine="0" w:firstLineChars="0"/>
        <w:jc w:val="right"/>
        <w:rPr>
          <w:rFonts w:ascii="宋体" w:hAnsi="宋体"/>
          <w:b/>
        </w:rPr>
      </w:pPr>
      <w:r>
        <w:rPr>
          <w:rFonts w:hint="eastAsia" w:ascii="宋体" w:hAnsi="宋体"/>
          <w:b/>
        </w:rPr>
        <w:t>单位：万元</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59"/>
        <w:gridCol w:w="1659"/>
        <w:gridCol w:w="1662"/>
        <w:gridCol w:w="1662"/>
        <w:gridCol w:w="1662"/>
        <w:gridCol w:w="1658"/>
      </w:tblGrid>
      <w:tr w14:paraId="4C02D6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4849A399">
            <w:pPr>
              <w:pStyle w:val="12"/>
              <w:jc w:val="center"/>
              <w:rPr>
                <w:rFonts w:ascii="宋体" w:hAnsi="宋体"/>
                <w:b/>
              </w:rPr>
            </w:pPr>
            <w:r>
              <w:rPr>
                <w:rFonts w:hint="eastAsia" w:ascii="宋体" w:hAnsi="宋体"/>
                <w:b/>
              </w:rPr>
              <w:t>年份</w:t>
            </w:r>
          </w:p>
        </w:tc>
        <w:tc>
          <w:tcPr>
            <w:tcW w:w="833" w:type="pct"/>
            <w:vAlign w:val="center"/>
          </w:tcPr>
          <w:p w14:paraId="06B1E21C">
            <w:pPr>
              <w:pStyle w:val="12"/>
              <w:jc w:val="center"/>
              <w:rPr>
                <w:rFonts w:ascii="宋体" w:hAnsi="宋体"/>
                <w:b/>
              </w:rPr>
            </w:pPr>
            <w:r>
              <w:rPr>
                <w:rFonts w:hint="eastAsia" w:ascii="宋体" w:hAnsi="宋体"/>
                <w:b/>
              </w:rPr>
              <w:t>各项贷款余额</w:t>
            </w:r>
          </w:p>
        </w:tc>
        <w:tc>
          <w:tcPr>
            <w:tcW w:w="834" w:type="pct"/>
            <w:vAlign w:val="center"/>
          </w:tcPr>
          <w:p w14:paraId="6C6B3DD1">
            <w:pPr>
              <w:pStyle w:val="12"/>
              <w:jc w:val="center"/>
              <w:rPr>
                <w:rFonts w:ascii="宋体" w:hAnsi="宋体"/>
                <w:b/>
              </w:rPr>
            </w:pPr>
            <w:r>
              <w:rPr>
                <w:rFonts w:hint="eastAsia" w:ascii="宋体" w:hAnsi="宋体"/>
                <w:b/>
              </w:rPr>
              <w:t>工业贷款</w:t>
            </w:r>
          </w:p>
        </w:tc>
        <w:tc>
          <w:tcPr>
            <w:tcW w:w="834" w:type="pct"/>
            <w:vAlign w:val="center"/>
          </w:tcPr>
          <w:p w14:paraId="5AE58C77">
            <w:pPr>
              <w:pStyle w:val="12"/>
              <w:jc w:val="center"/>
              <w:rPr>
                <w:rFonts w:ascii="宋体" w:hAnsi="宋体"/>
                <w:b/>
              </w:rPr>
            </w:pPr>
            <w:r>
              <w:rPr>
                <w:rFonts w:hint="eastAsia" w:ascii="宋体" w:hAnsi="宋体"/>
                <w:b/>
              </w:rPr>
              <w:t>商业贷款</w:t>
            </w:r>
          </w:p>
        </w:tc>
        <w:tc>
          <w:tcPr>
            <w:tcW w:w="834" w:type="pct"/>
            <w:vAlign w:val="center"/>
          </w:tcPr>
          <w:p w14:paraId="0B6E4807">
            <w:pPr>
              <w:pStyle w:val="12"/>
              <w:jc w:val="center"/>
              <w:rPr>
                <w:rFonts w:ascii="宋体" w:hAnsi="宋体"/>
                <w:b/>
              </w:rPr>
            </w:pPr>
            <w:r>
              <w:rPr>
                <w:rFonts w:hint="eastAsia" w:ascii="宋体" w:hAnsi="宋体"/>
                <w:b/>
              </w:rPr>
              <w:t>农业贷款</w:t>
            </w:r>
          </w:p>
        </w:tc>
        <w:tc>
          <w:tcPr>
            <w:tcW w:w="834" w:type="pct"/>
            <w:vAlign w:val="center"/>
          </w:tcPr>
          <w:p w14:paraId="50355B7E">
            <w:pPr>
              <w:pStyle w:val="12"/>
              <w:jc w:val="center"/>
              <w:rPr>
                <w:rFonts w:ascii="宋体" w:hAnsi="宋体"/>
                <w:b/>
              </w:rPr>
            </w:pPr>
            <w:r>
              <w:rPr>
                <w:rFonts w:hint="eastAsia" w:ascii="宋体" w:hAnsi="宋体"/>
                <w:b/>
              </w:rPr>
              <w:t>其他贷款</w:t>
            </w:r>
          </w:p>
        </w:tc>
      </w:tr>
      <w:tr w14:paraId="3BAF48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4AF380A9">
            <w:pPr>
              <w:pStyle w:val="12"/>
              <w:jc w:val="center"/>
              <w:rPr>
                <w:rFonts w:ascii="宋体" w:hAnsi="宋体"/>
              </w:rPr>
            </w:pPr>
            <w:r>
              <w:rPr>
                <w:rFonts w:ascii="宋体" w:hAnsi="宋体"/>
              </w:rPr>
              <w:t>1988</w:t>
            </w:r>
          </w:p>
        </w:tc>
        <w:tc>
          <w:tcPr>
            <w:tcW w:w="833" w:type="pct"/>
            <w:vAlign w:val="center"/>
          </w:tcPr>
          <w:p w14:paraId="7CBAFC0B">
            <w:pPr>
              <w:pStyle w:val="12"/>
              <w:jc w:val="center"/>
              <w:rPr>
                <w:rFonts w:ascii="宋体" w:hAnsi="宋体"/>
              </w:rPr>
            </w:pPr>
            <w:r>
              <w:rPr>
                <w:rFonts w:ascii="宋体" w:hAnsi="宋体"/>
              </w:rPr>
              <w:t>19125</w:t>
            </w:r>
          </w:p>
        </w:tc>
        <w:tc>
          <w:tcPr>
            <w:tcW w:w="834" w:type="pct"/>
            <w:vAlign w:val="center"/>
          </w:tcPr>
          <w:p w14:paraId="651FF7DD">
            <w:pPr>
              <w:pStyle w:val="12"/>
              <w:jc w:val="center"/>
              <w:rPr>
                <w:rFonts w:ascii="宋体" w:hAnsi="宋体"/>
              </w:rPr>
            </w:pPr>
            <w:r>
              <w:rPr>
                <w:rFonts w:ascii="宋体" w:hAnsi="宋体"/>
              </w:rPr>
              <w:t>5515</w:t>
            </w:r>
          </w:p>
        </w:tc>
        <w:tc>
          <w:tcPr>
            <w:tcW w:w="834" w:type="pct"/>
            <w:vAlign w:val="center"/>
          </w:tcPr>
          <w:p w14:paraId="79544F47">
            <w:pPr>
              <w:pStyle w:val="12"/>
              <w:jc w:val="center"/>
              <w:rPr>
                <w:rFonts w:ascii="宋体" w:hAnsi="宋体"/>
              </w:rPr>
            </w:pPr>
            <w:r>
              <w:rPr>
                <w:rFonts w:ascii="宋体" w:hAnsi="宋体"/>
              </w:rPr>
              <w:t>7922</w:t>
            </w:r>
          </w:p>
        </w:tc>
        <w:tc>
          <w:tcPr>
            <w:tcW w:w="834" w:type="pct"/>
            <w:vAlign w:val="center"/>
          </w:tcPr>
          <w:p w14:paraId="1E5BB61E">
            <w:pPr>
              <w:pStyle w:val="12"/>
              <w:jc w:val="center"/>
              <w:rPr>
                <w:rFonts w:ascii="宋体" w:hAnsi="宋体"/>
              </w:rPr>
            </w:pPr>
            <w:r>
              <w:rPr>
                <w:rFonts w:ascii="宋体" w:hAnsi="宋体"/>
              </w:rPr>
              <w:t>3136</w:t>
            </w:r>
          </w:p>
        </w:tc>
        <w:tc>
          <w:tcPr>
            <w:tcW w:w="834" w:type="pct"/>
            <w:vAlign w:val="center"/>
          </w:tcPr>
          <w:p w14:paraId="3A5623F2">
            <w:pPr>
              <w:pStyle w:val="12"/>
              <w:jc w:val="center"/>
              <w:rPr>
                <w:rFonts w:ascii="宋体" w:hAnsi="宋体"/>
              </w:rPr>
            </w:pPr>
            <w:r>
              <w:rPr>
                <w:rFonts w:ascii="宋体" w:hAnsi="宋体"/>
              </w:rPr>
              <w:t>2552</w:t>
            </w:r>
          </w:p>
        </w:tc>
      </w:tr>
      <w:tr w14:paraId="297A81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788F4089">
            <w:pPr>
              <w:pStyle w:val="12"/>
              <w:jc w:val="center"/>
              <w:rPr>
                <w:rFonts w:ascii="宋体" w:hAnsi="宋体"/>
              </w:rPr>
            </w:pPr>
            <w:r>
              <w:rPr>
                <w:rFonts w:ascii="宋体" w:hAnsi="宋体"/>
              </w:rPr>
              <w:t>1989</w:t>
            </w:r>
          </w:p>
        </w:tc>
        <w:tc>
          <w:tcPr>
            <w:tcW w:w="833" w:type="pct"/>
            <w:vAlign w:val="center"/>
          </w:tcPr>
          <w:p w14:paraId="77DA3F0B">
            <w:pPr>
              <w:pStyle w:val="12"/>
              <w:jc w:val="center"/>
              <w:rPr>
                <w:rFonts w:ascii="宋体" w:hAnsi="宋体"/>
              </w:rPr>
            </w:pPr>
            <w:r>
              <w:rPr>
                <w:rFonts w:ascii="宋体" w:hAnsi="宋体"/>
              </w:rPr>
              <w:t>20901</w:t>
            </w:r>
          </w:p>
        </w:tc>
        <w:tc>
          <w:tcPr>
            <w:tcW w:w="834" w:type="pct"/>
            <w:vAlign w:val="center"/>
          </w:tcPr>
          <w:p w14:paraId="6F31163C">
            <w:pPr>
              <w:pStyle w:val="12"/>
              <w:jc w:val="center"/>
              <w:rPr>
                <w:rFonts w:ascii="宋体" w:hAnsi="宋体"/>
              </w:rPr>
            </w:pPr>
            <w:r>
              <w:rPr>
                <w:rFonts w:ascii="宋体" w:hAnsi="宋体"/>
              </w:rPr>
              <w:t>5788</w:t>
            </w:r>
          </w:p>
        </w:tc>
        <w:tc>
          <w:tcPr>
            <w:tcW w:w="834" w:type="pct"/>
            <w:vAlign w:val="center"/>
          </w:tcPr>
          <w:p w14:paraId="61DA80EA">
            <w:pPr>
              <w:pStyle w:val="12"/>
              <w:jc w:val="center"/>
              <w:rPr>
                <w:rFonts w:ascii="宋体" w:hAnsi="宋体"/>
              </w:rPr>
            </w:pPr>
            <w:r>
              <w:rPr>
                <w:rFonts w:ascii="宋体" w:hAnsi="宋体"/>
              </w:rPr>
              <w:t>9480</w:t>
            </w:r>
          </w:p>
        </w:tc>
        <w:tc>
          <w:tcPr>
            <w:tcW w:w="834" w:type="pct"/>
            <w:vAlign w:val="center"/>
          </w:tcPr>
          <w:p w14:paraId="48A39854">
            <w:pPr>
              <w:pStyle w:val="12"/>
              <w:jc w:val="center"/>
              <w:rPr>
                <w:rFonts w:ascii="宋体" w:hAnsi="宋体"/>
              </w:rPr>
            </w:pPr>
            <w:r>
              <w:rPr>
                <w:rFonts w:ascii="宋体" w:hAnsi="宋体"/>
              </w:rPr>
              <w:t>498</w:t>
            </w:r>
          </w:p>
        </w:tc>
        <w:tc>
          <w:tcPr>
            <w:tcW w:w="834" w:type="pct"/>
            <w:vAlign w:val="center"/>
          </w:tcPr>
          <w:p w14:paraId="76AD2298">
            <w:pPr>
              <w:pStyle w:val="12"/>
              <w:jc w:val="center"/>
              <w:rPr>
                <w:rFonts w:ascii="宋体" w:hAnsi="宋体"/>
              </w:rPr>
            </w:pPr>
            <w:r>
              <w:rPr>
                <w:rFonts w:ascii="宋体" w:hAnsi="宋体"/>
              </w:rPr>
              <w:t>5135</w:t>
            </w:r>
          </w:p>
        </w:tc>
      </w:tr>
      <w:tr w14:paraId="312562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7ABDE26B">
            <w:pPr>
              <w:pStyle w:val="12"/>
              <w:jc w:val="center"/>
              <w:rPr>
                <w:rFonts w:ascii="宋体" w:hAnsi="宋体"/>
              </w:rPr>
            </w:pPr>
            <w:r>
              <w:rPr>
                <w:rFonts w:ascii="宋体" w:hAnsi="宋体"/>
              </w:rPr>
              <w:t>1990</w:t>
            </w:r>
          </w:p>
        </w:tc>
        <w:tc>
          <w:tcPr>
            <w:tcW w:w="833" w:type="pct"/>
            <w:vAlign w:val="center"/>
          </w:tcPr>
          <w:p w14:paraId="77E71F1F">
            <w:pPr>
              <w:pStyle w:val="12"/>
              <w:jc w:val="center"/>
              <w:rPr>
                <w:rFonts w:ascii="宋体" w:hAnsi="宋体"/>
              </w:rPr>
            </w:pPr>
            <w:r>
              <w:rPr>
                <w:rFonts w:ascii="宋体" w:hAnsi="宋体"/>
              </w:rPr>
              <w:t>28018</w:t>
            </w:r>
          </w:p>
        </w:tc>
        <w:tc>
          <w:tcPr>
            <w:tcW w:w="834" w:type="pct"/>
            <w:vAlign w:val="center"/>
          </w:tcPr>
          <w:p w14:paraId="41F4F6F5">
            <w:pPr>
              <w:pStyle w:val="12"/>
              <w:jc w:val="center"/>
              <w:rPr>
                <w:rFonts w:ascii="宋体" w:hAnsi="宋体"/>
              </w:rPr>
            </w:pPr>
            <w:r>
              <w:rPr>
                <w:rFonts w:ascii="宋体" w:hAnsi="宋体"/>
              </w:rPr>
              <w:t>8749</w:t>
            </w:r>
          </w:p>
        </w:tc>
        <w:tc>
          <w:tcPr>
            <w:tcW w:w="834" w:type="pct"/>
            <w:vAlign w:val="center"/>
          </w:tcPr>
          <w:p w14:paraId="16F6A22B">
            <w:pPr>
              <w:pStyle w:val="12"/>
              <w:jc w:val="center"/>
              <w:rPr>
                <w:rFonts w:ascii="宋体" w:hAnsi="宋体"/>
              </w:rPr>
            </w:pPr>
            <w:r>
              <w:rPr>
                <w:rFonts w:ascii="宋体" w:hAnsi="宋体"/>
              </w:rPr>
              <w:t>9691</w:t>
            </w:r>
          </w:p>
        </w:tc>
        <w:tc>
          <w:tcPr>
            <w:tcW w:w="834" w:type="pct"/>
            <w:vAlign w:val="center"/>
          </w:tcPr>
          <w:p w14:paraId="27FDE842">
            <w:pPr>
              <w:pStyle w:val="12"/>
              <w:jc w:val="center"/>
              <w:rPr>
                <w:rFonts w:ascii="宋体" w:hAnsi="宋体"/>
              </w:rPr>
            </w:pPr>
            <w:r>
              <w:rPr>
                <w:rFonts w:ascii="宋体" w:hAnsi="宋体"/>
              </w:rPr>
              <w:t>3131</w:t>
            </w:r>
          </w:p>
        </w:tc>
        <w:tc>
          <w:tcPr>
            <w:tcW w:w="834" w:type="pct"/>
            <w:vAlign w:val="center"/>
          </w:tcPr>
          <w:p w14:paraId="0B1064D3">
            <w:pPr>
              <w:pStyle w:val="12"/>
              <w:jc w:val="center"/>
              <w:rPr>
                <w:rFonts w:ascii="宋体" w:hAnsi="宋体"/>
              </w:rPr>
            </w:pPr>
            <w:r>
              <w:rPr>
                <w:rFonts w:ascii="宋体" w:hAnsi="宋体"/>
              </w:rPr>
              <w:t>6447</w:t>
            </w:r>
          </w:p>
        </w:tc>
      </w:tr>
      <w:tr w14:paraId="43AFE2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5EDD7735">
            <w:pPr>
              <w:pStyle w:val="12"/>
              <w:jc w:val="center"/>
              <w:rPr>
                <w:rFonts w:ascii="宋体" w:hAnsi="宋体"/>
              </w:rPr>
            </w:pPr>
            <w:r>
              <w:rPr>
                <w:rFonts w:ascii="宋体" w:hAnsi="宋体"/>
              </w:rPr>
              <w:t>1991</w:t>
            </w:r>
          </w:p>
        </w:tc>
        <w:tc>
          <w:tcPr>
            <w:tcW w:w="833" w:type="pct"/>
            <w:vAlign w:val="center"/>
          </w:tcPr>
          <w:p w14:paraId="45DD7F1E">
            <w:pPr>
              <w:pStyle w:val="12"/>
              <w:jc w:val="center"/>
              <w:rPr>
                <w:rFonts w:ascii="宋体" w:hAnsi="宋体"/>
              </w:rPr>
            </w:pPr>
            <w:r>
              <w:rPr>
                <w:rFonts w:ascii="宋体" w:hAnsi="宋体"/>
              </w:rPr>
              <w:t>33838</w:t>
            </w:r>
          </w:p>
        </w:tc>
        <w:tc>
          <w:tcPr>
            <w:tcW w:w="834" w:type="pct"/>
            <w:vAlign w:val="center"/>
          </w:tcPr>
          <w:p w14:paraId="3AC0ED22">
            <w:pPr>
              <w:pStyle w:val="12"/>
              <w:jc w:val="center"/>
              <w:rPr>
                <w:rFonts w:ascii="宋体" w:hAnsi="宋体"/>
              </w:rPr>
            </w:pPr>
            <w:r>
              <w:rPr>
                <w:rFonts w:ascii="宋体" w:hAnsi="宋体"/>
              </w:rPr>
              <w:t>9191</w:t>
            </w:r>
          </w:p>
        </w:tc>
        <w:tc>
          <w:tcPr>
            <w:tcW w:w="834" w:type="pct"/>
            <w:vAlign w:val="center"/>
          </w:tcPr>
          <w:p w14:paraId="1445B13E">
            <w:pPr>
              <w:pStyle w:val="12"/>
              <w:jc w:val="center"/>
              <w:rPr>
                <w:rFonts w:ascii="宋体" w:hAnsi="宋体"/>
              </w:rPr>
            </w:pPr>
            <w:r>
              <w:rPr>
                <w:rFonts w:ascii="宋体" w:hAnsi="宋体"/>
              </w:rPr>
              <w:t>11390</w:t>
            </w:r>
          </w:p>
        </w:tc>
        <w:tc>
          <w:tcPr>
            <w:tcW w:w="834" w:type="pct"/>
            <w:vAlign w:val="center"/>
          </w:tcPr>
          <w:p w14:paraId="73E9A6D1">
            <w:pPr>
              <w:pStyle w:val="12"/>
              <w:jc w:val="center"/>
              <w:rPr>
                <w:rFonts w:ascii="宋体" w:hAnsi="宋体"/>
              </w:rPr>
            </w:pPr>
            <w:r>
              <w:rPr>
                <w:rFonts w:ascii="宋体" w:hAnsi="宋体"/>
              </w:rPr>
              <w:t>5423</w:t>
            </w:r>
          </w:p>
        </w:tc>
        <w:tc>
          <w:tcPr>
            <w:tcW w:w="834" w:type="pct"/>
            <w:vAlign w:val="center"/>
          </w:tcPr>
          <w:p w14:paraId="258548C9">
            <w:pPr>
              <w:pStyle w:val="12"/>
              <w:jc w:val="center"/>
              <w:rPr>
                <w:rFonts w:ascii="宋体" w:hAnsi="宋体"/>
              </w:rPr>
            </w:pPr>
            <w:r>
              <w:rPr>
                <w:rFonts w:ascii="宋体" w:hAnsi="宋体"/>
              </w:rPr>
              <w:t>7835</w:t>
            </w:r>
          </w:p>
        </w:tc>
      </w:tr>
      <w:tr w14:paraId="5DAF99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411BF13B">
            <w:pPr>
              <w:pStyle w:val="12"/>
              <w:jc w:val="center"/>
              <w:rPr>
                <w:rFonts w:ascii="宋体" w:hAnsi="宋体"/>
              </w:rPr>
            </w:pPr>
            <w:r>
              <w:rPr>
                <w:rFonts w:ascii="宋体" w:hAnsi="宋体"/>
              </w:rPr>
              <w:t>1992</w:t>
            </w:r>
          </w:p>
        </w:tc>
        <w:tc>
          <w:tcPr>
            <w:tcW w:w="833" w:type="pct"/>
            <w:vAlign w:val="center"/>
          </w:tcPr>
          <w:p w14:paraId="629C6ADE">
            <w:pPr>
              <w:pStyle w:val="12"/>
              <w:jc w:val="center"/>
              <w:rPr>
                <w:rFonts w:ascii="宋体" w:hAnsi="宋体"/>
              </w:rPr>
            </w:pPr>
            <w:r>
              <w:rPr>
                <w:rFonts w:ascii="宋体" w:hAnsi="宋体"/>
              </w:rPr>
              <w:t>39206</w:t>
            </w:r>
          </w:p>
        </w:tc>
        <w:tc>
          <w:tcPr>
            <w:tcW w:w="834" w:type="pct"/>
            <w:vAlign w:val="center"/>
          </w:tcPr>
          <w:p w14:paraId="44F82FE5">
            <w:pPr>
              <w:pStyle w:val="12"/>
              <w:jc w:val="center"/>
              <w:rPr>
                <w:rFonts w:ascii="宋体" w:hAnsi="宋体"/>
              </w:rPr>
            </w:pPr>
            <w:r>
              <w:rPr>
                <w:rFonts w:ascii="宋体" w:hAnsi="宋体"/>
              </w:rPr>
              <w:t>9461</w:t>
            </w:r>
          </w:p>
        </w:tc>
        <w:tc>
          <w:tcPr>
            <w:tcW w:w="834" w:type="pct"/>
            <w:vAlign w:val="center"/>
          </w:tcPr>
          <w:p w14:paraId="3F565937">
            <w:pPr>
              <w:pStyle w:val="12"/>
              <w:jc w:val="center"/>
              <w:rPr>
                <w:rFonts w:ascii="宋体" w:hAnsi="宋体"/>
              </w:rPr>
            </w:pPr>
            <w:r>
              <w:rPr>
                <w:rFonts w:ascii="宋体" w:hAnsi="宋体"/>
              </w:rPr>
              <w:t>13839</w:t>
            </w:r>
          </w:p>
        </w:tc>
        <w:tc>
          <w:tcPr>
            <w:tcW w:w="834" w:type="pct"/>
            <w:vAlign w:val="center"/>
          </w:tcPr>
          <w:p w14:paraId="3F390A2C">
            <w:pPr>
              <w:pStyle w:val="12"/>
              <w:jc w:val="center"/>
              <w:rPr>
                <w:rFonts w:ascii="宋体" w:hAnsi="宋体"/>
              </w:rPr>
            </w:pPr>
            <w:r>
              <w:rPr>
                <w:rFonts w:ascii="宋体" w:hAnsi="宋体"/>
              </w:rPr>
              <w:t>8763</w:t>
            </w:r>
          </w:p>
        </w:tc>
        <w:tc>
          <w:tcPr>
            <w:tcW w:w="834" w:type="pct"/>
            <w:vAlign w:val="center"/>
          </w:tcPr>
          <w:p w14:paraId="0B371764">
            <w:pPr>
              <w:pStyle w:val="12"/>
              <w:jc w:val="center"/>
              <w:rPr>
                <w:rFonts w:ascii="宋体" w:hAnsi="宋体"/>
              </w:rPr>
            </w:pPr>
            <w:r>
              <w:rPr>
                <w:rFonts w:ascii="宋体" w:hAnsi="宋体"/>
              </w:rPr>
              <w:t>7143</w:t>
            </w:r>
          </w:p>
        </w:tc>
      </w:tr>
      <w:tr w14:paraId="190C13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365E4244">
            <w:pPr>
              <w:pStyle w:val="12"/>
              <w:jc w:val="center"/>
              <w:rPr>
                <w:rFonts w:ascii="宋体" w:hAnsi="宋体"/>
              </w:rPr>
            </w:pPr>
            <w:r>
              <w:rPr>
                <w:rFonts w:ascii="宋体" w:hAnsi="宋体"/>
              </w:rPr>
              <w:t>1993</w:t>
            </w:r>
          </w:p>
        </w:tc>
        <w:tc>
          <w:tcPr>
            <w:tcW w:w="833" w:type="pct"/>
            <w:vAlign w:val="center"/>
          </w:tcPr>
          <w:p w14:paraId="5FF78C66">
            <w:pPr>
              <w:pStyle w:val="12"/>
              <w:jc w:val="center"/>
              <w:rPr>
                <w:rFonts w:ascii="宋体" w:hAnsi="宋体"/>
              </w:rPr>
            </w:pPr>
            <w:r>
              <w:rPr>
                <w:rFonts w:ascii="宋体" w:hAnsi="宋体"/>
              </w:rPr>
              <w:t>45481</w:t>
            </w:r>
          </w:p>
        </w:tc>
        <w:tc>
          <w:tcPr>
            <w:tcW w:w="834" w:type="pct"/>
            <w:vAlign w:val="center"/>
          </w:tcPr>
          <w:p w14:paraId="603D4BFD">
            <w:pPr>
              <w:pStyle w:val="12"/>
              <w:jc w:val="center"/>
              <w:rPr>
                <w:rFonts w:ascii="宋体" w:hAnsi="宋体"/>
              </w:rPr>
            </w:pPr>
            <w:r>
              <w:rPr>
                <w:rFonts w:ascii="宋体" w:hAnsi="宋体"/>
              </w:rPr>
              <w:t>10847</w:t>
            </w:r>
          </w:p>
        </w:tc>
        <w:tc>
          <w:tcPr>
            <w:tcW w:w="834" w:type="pct"/>
            <w:vAlign w:val="center"/>
          </w:tcPr>
          <w:p w14:paraId="1E56E253">
            <w:pPr>
              <w:pStyle w:val="12"/>
              <w:jc w:val="center"/>
              <w:rPr>
                <w:rFonts w:ascii="宋体" w:hAnsi="宋体"/>
              </w:rPr>
            </w:pPr>
            <w:r>
              <w:rPr>
                <w:rFonts w:ascii="宋体" w:hAnsi="宋体"/>
              </w:rPr>
              <w:t>13972</w:t>
            </w:r>
          </w:p>
        </w:tc>
        <w:tc>
          <w:tcPr>
            <w:tcW w:w="834" w:type="pct"/>
            <w:vAlign w:val="center"/>
          </w:tcPr>
          <w:p w14:paraId="3947D0C1">
            <w:pPr>
              <w:pStyle w:val="12"/>
              <w:jc w:val="center"/>
              <w:rPr>
                <w:rFonts w:ascii="宋体" w:hAnsi="宋体"/>
              </w:rPr>
            </w:pPr>
            <w:r>
              <w:rPr>
                <w:rFonts w:ascii="宋体" w:hAnsi="宋体"/>
              </w:rPr>
              <w:t>3114</w:t>
            </w:r>
          </w:p>
        </w:tc>
        <w:tc>
          <w:tcPr>
            <w:tcW w:w="834" w:type="pct"/>
            <w:vAlign w:val="center"/>
          </w:tcPr>
          <w:p w14:paraId="3C4EC9BE">
            <w:pPr>
              <w:pStyle w:val="12"/>
              <w:jc w:val="center"/>
              <w:rPr>
                <w:rFonts w:ascii="宋体" w:hAnsi="宋体"/>
              </w:rPr>
            </w:pPr>
            <w:r>
              <w:rPr>
                <w:rFonts w:ascii="宋体" w:hAnsi="宋体"/>
              </w:rPr>
              <w:t>17548</w:t>
            </w:r>
          </w:p>
        </w:tc>
      </w:tr>
      <w:tr w14:paraId="421B21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2CDBE5BB">
            <w:pPr>
              <w:pStyle w:val="12"/>
              <w:jc w:val="center"/>
              <w:rPr>
                <w:rFonts w:ascii="宋体" w:hAnsi="宋体"/>
              </w:rPr>
            </w:pPr>
            <w:r>
              <w:rPr>
                <w:rFonts w:ascii="宋体" w:hAnsi="宋体"/>
              </w:rPr>
              <w:t>1994</w:t>
            </w:r>
          </w:p>
        </w:tc>
        <w:tc>
          <w:tcPr>
            <w:tcW w:w="833" w:type="pct"/>
            <w:vAlign w:val="center"/>
          </w:tcPr>
          <w:p w14:paraId="595A032B">
            <w:pPr>
              <w:pStyle w:val="12"/>
              <w:jc w:val="center"/>
              <w:rPr>
                <w:rFonts w:ascii="宋体" w:hAnsi="宋体"/>
              </w:rPr>
            </w:pPr>
            <w:r>
              <w:rPr>
                <w:rFonts w:ascii="宋体" w:hAnsi="宋体"/>
              </w:rPr>
              <w:t>53148</w:t>
            </w:r>
          </w:p>
        </w:tc>
        <w:tc>
          <w:tcPr>
            <w:tcW w:w="834" w:type="pct"/>
            <w:vAlign w:val="center"/>
          </w:tcPr>
          <w:p w14:paraId="4739B75B">
            <w:pPr>
              <w:pStyle w:val="12"/>
              <w:jc w:val="center"/>
              <w:rPr>
                <w:rFonts w:ascii="宋体" w:hAnsi="宋体"/>
              </w:rPr>
            </w:pPr>
            <w:r>
              <w:rPr>
                <w:rFonts w:ascii="宋体" w:hAnsi="宋体"/>
              </w:rPr>
              <w:t>13463</w:t>
            </w:r>
          </w:p>
        </w:tc>
        <w:tc>
          <w:tcPr>
            <w:tcW w:w="834" w:type="pct"/>
            <w:vAlign w:val="center"/>
          </w:tcPr>
          <w:p w14:paraId="3B2BC69F">
            <w:pPr>
              <w:pStyle w:val="12"/>
              <w:jc w:val="center"/>
              <w:rPr>
                <w:rFonts w:ascii="宋体" w:hAnsi="宋体"/>
              </w:rPr>
            </w:pPr>
            <w:r>
              <w:rPr>
                <w:rFonts w:ascii="宋体" w:hAnsi="宋体"/>
              </w:rPr>
              <w:t>17049</w:t>
            </w:r>
          </w:p>
        </w:tc>
        <w:tc>
          <w:tcPr>
            <w:tcW w:w="834" w:type="pct"/>
            <w:vAlign w:val="center"/>
          </w:tcPr>
          <w:p w14:paraId="54DA3826">
            <w:pPr>
              <w:pStyle w:val="12"/>
              <w:jc w:val="center"/>
              <w:rPr>
                <w:rFonts w:ascii="宋体" w:hAnsi="宋体"/>
              </w:rPr>
            </w:pPr>
            <w:r>
              <w:rPr>
                <w:rFonts w:ascii="宋体" w:hAnsi="宋体"/>
              </w:rPr>
              <w:t>3570</w:t>
            </w:r>
          </w:p>
        </w:tc>
        <w:tc>
          <w:tcPr>
            <w:tcW w:w="834" w:type="pct"/>
            <w:vAlign w:val="center"/>
          </w:tcPr>
          <w:p w14:paraId="5800D4B2">
            <w:pPr>
              <w:pStyle w:val="12"/>
              <w:jc w:val="center"/>
              <w:rPr>
                <w:rFonts w:ascii="宋体" w:hAnsi="宋体"/>
              </w:rPr>
            </w:pPr>
            <w:r>
              <w:rPr>
                <w:rFonts w:ascii="宋体" w:hAnsi="宋体"/>
              </w:rPr>
              <w:t>19066</w:t>
            </w:r>
          </w:p>
        </w:tc>
      </w:tr>
      <w:tr w14:paraId="3A730D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179C447E">
            <w:pPr>
              <w:pStyle w:val="12"/>
              <w:jc w:val="center"/>
              <w:rPr>
                <w:rFonts w:ascii="宋体" w:hAnsi="宋体"/>
              </w:rPr>
            </w:pPr>
            <w:r>
              <w:rPr>
                <w:rFonts w:ascii="宋体" w:hAnsi="宋体"/>
              </w:rPr>
              <w:t>1995</w:t>
            </w:r>
          </w:p>
        </w:tc>
        <w:tc>
          <w:tcPr>
            <w:tcW w:w="833" w:type="pct"/>
            <w:vAlign w:val="center"/>
          </w:tcPr>
          <w:p w14:paraId="3F9A237B">
            <w:pPr>
              <w:pStyle w:val="12"/>
              <w:jc w:val="center"/>
              <w:rPr>
                <w:rFonts w:ascii="宋体" w:hAnsi="宋体"/>
              </w:rPr>
            </w:pPr>
            <w:r>
              <w:rPr>
                <w:rFonts w:ascii="宋体" w:hAnsi="宋体"/>
              </w:rPr>
              <w:t>67754</w:t>
            </w:r>
          </w:p>
        </w:tc>
        <w:tc>
          <w:tcPr>
            <w:tcW w:w="834" w:type="pct"/>
            <w:vAlign w:val="center"/>
          </w:tcPr>
          <w:p w14:paraId="63F51343">
            <w:pPr>
              <w:pStyle w:val="12"/>
              <w:jc w:val="center"/>
              <w:rPr>
                <w:rFonts w:ascii="宋体" w:hAnsi="宋体"/>
              </w:rPr>
            </w:pPr>
            <w:r>
              <w:rPr>
                <w:rFonts w:ascii="宋体" w:hAnsi="宋体"/>
              </w:rPr>
              <w:t>17562</w:t>
            </w:r>
          </w:p>
        </w:tc>
        <w:tc>
          <w:tcPr>
            <w:tcW w:w="834" w:type="pct"/>
            <w:vAlign w:val="center"/>
          </w:tcPr>
          <w:p w14:paraId="614C2A59">
            <w:pPr>
              <w:pStyle w:val="12"/>
              <w:jc w:val="center"/>
              <w:rPr>
                <w:rFonts w:ascii="宋体" w:hAnsi="宋体"/>
              </w:rPr>
            </w:pPr>
            <w:r>
              <w:rPr>
                <w:rFonts w:ascii="宋体" w:hAnsi="宋体"/>
              </w:rPr>
              <w:t>17049</w:t>
            </w:r>
          </w:p>
        </w:tc>
        <w:tc>
          <w:tcPr>
            <w:tcW w:w="834" w:type="pct"/>
            <w:vAlign w:val="center"/>
          </w:tcPr>
          <w:p w14:paraId="5656D59A">
            <w:pPr>
              <w:pStyle w:val="12"/>
              <w:jc w:val="center"/>
              <w:rPr>
                <w:rFonts w:ascii="宋体" w:hAnsi="宋体"/>
              </w:rPr>
            </w:pPr>
            <w:r>
              <w:rPr>
                <w:rFonts w:ascii="宋体" w:hAnsi="宋体"/>
              </w:rPr>
              <w:t>6110</w:t>
            </w:r>
          </w:p>
        </w:tc>
        <w:tc>
          <w:tcPr>
            <w:tcW w:w="834" w:type="pct"/>
            <w:vAlign w:val="center"/>
          </w:tcPr>
          <w:p w14:paraId="35A454C9">
            <w:pPr>
              <w:pStyle w:val="12"/>
              <w:jc w:val="center"/>
              <w:rPr>
                <w:rFonts w:ascii="宋体" w:hAnsi="宋体"/>
              </w:rPr>
            </w:pPr>
            <w:r>
              <w:rPr>
                <w:rFonts w:ascii="宋体" w:hAnsi="宋体"/>
              </w:rPr>
              <w:t>27033</w:t>
            </w:r>
          </w:p>
        </w:tc>
      </w:tr>
      <w:tr w14:paraId="4CC112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2B8BED52">
            <w:pPr>
              <w:pStyle w:val="12"/>
              <w:jc w:val="center"/>
              <w:rPr>
                <w:rFonts w:ascii="宋体" w:hAnsi="宋体"/>
              </w:rPr>
            </w:pPr>
            <w:r>
              <w:rPr>
                <w:rFonts w:ascii="宋体" w:hAnsi="宋体"/>
              </w:rPr>
              <w:t>1996</w:t>
            </w:r>
          </w:p>
        </w:tc>
        <w:tc>
          <w:tcPr>
            <w:tcW w:w="833" w:type="pct"/>
            <w:vAlign w:val="center"/>
          </w:tcPr>
          <w:p w14:paraId="53672D3D">
            <w:pPr>
              <w:pStyle w:val="12"/>
              <w:jc w:val="center"/>
              <w:rPr>
                <w:rFonts w:ascii="宋体" w:hAnsi="宋体"/>
              </w:rPr>
            </w:pPr>
            <w:r>
              <w:rPr>
                <w:rFonts w:ascii="宋体" w:hAnsi="宋体"/>
              </w:rPr>
              <w:t>74453</w:t>
            </w:r>
          </w:p>
        </w:tc>
        <w:tc>
          <w:tcPr>
            <w:tcW w:w="834" w:type="pct"/>
            <w:vAlign w:val="center"/>
          </w:tcPr>
          <w:p w14:paraId="1567B748">
            <w:pPr>
              <w:pStyle w:val="12"/>
              <w:jc w:val="center"/>
              <w:rPr>
                <w:rFonts w:ascii="宋体" w:hAnsi="宋体"/>
              </w:rPr>
            </w:pPr>
            <w:r>
              <w:rPr>
                <w:rFonts w:ascii="宋体" w:hAnsi="宋体"/>
              </w:rPr>
              <w:t>16372</w:t>
            </w:r>
          </w:p>
        </w:tc>
        <w:tc>
          <w:tcPr>
            <w:tcW w:w="834" w:type="pct"/>
            <w:vAlign w:val="center"/>
          </w:tcPr>
          <w:p w14:paraId="79E67F4C">
            <w:pPr>
              <w:pStyle w:val="12"/>
              <w:jc w:val="center"/>
              <w:rPr>
                <w:rFonts w:ascii="宋体" w:hAnsi="宋体"/>
              </w:rPr>
            </w:pPr>
            <w:r>
              <w:rPr>
                <w:rFonts w:ascii="宋体" w:hAnsi="宋体"/>
              </w:rPr>
              <w:t>16903</w:t>
            </w:r>
          </w:p>
        </w:tc>
        <w:tc>
          <w:tcPr>
            <w:tcW w:w="834" w:type="pct"/>
            <w:vAlign w:val="center"/>
          </w:tcPr>
          <w:p w14:paraId="4FB4B959">
            <w:pPr>
              <w:pStyle w:val="12"/>
              <w:jc w:val="center"/>
              <w:rPr>
                <w:rFonts w:ascii="宋体" w:hAnsi="宋体"/>
              </w:rPr>
            </w:pPr>
            <w:r>
              <w:rPr>
                <w:rFonts w:ascii="宋体" w:hAnsi="宋体"/>
              </w:rPr>
              <w:t>10313</w:t>
            </w:r>
          </w:p>
        </w:tc>
        <w:tc>
          <w:tcPr>
            <w:tcW w:w="834" w:type="pct"/>
            <w:vAlign w:val="center"/>
          </w:tcPr>
          <w:p w14:paraId="4A41040E">
            <w:pPr>
              <w:pStyle w:val="12"/>
              <w:jc w:val="center"/>
              <w:rPr>
                <w:rFonts w:ascii="宋体" w:hAnsi="宋体"/>
              </w:rPr>
            </w:pPr>
            <w:r>
              <w:rPr>
                <w:rFonts w:ascii="宋体" w:hAnsi="宋体"/>
              </w:rPr>
              <w:t>30865</w:t>
            </w:r>
          </w:p>
        </w:tc>
      </w:tr>
      <w:tr w14:paraId="006A65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1AD09331">
            <w:pPr>
              <w:pStyle w:val="12"/>
              <w:jc w:val="center"/>
              <w:rPr>
                <w:rFonts w:ascii="宋体" w:hAnsi="宋体"/>
              </w:rPr>
            </w:pPr>
            <w:r>
              <w:rPr>
                <w:rFonts w:ascii="宋体" w:hAnsi="宋体"/>
              </w:rPr>
              <w:t>1997</w:t>
            </w:r>
          </w:p>
        </w:tc>
        <w:tc>
          <w:tcPr>
            <w:tcW w:w="833" w:type="pct"/>
            <w:vAlign w:val="center"/>
          </w:tcPr>
          <w:p w14:paraId="5A705AC4">
            <w:pPr>
              <w:pStyle w:val="12"/>
              <w:jc w:val="center"/>
              <w:rPr>
                <w:rFonts w:ascii="宋体" w:hAnsi="宋体"/>
              </w:rPr>
            </w:pPr>
            <w:r>
              <w:rPr>
                <w:rFonts w:ascii="宋体" w:hAnsi="宋体"/>
              </w:rPr>
              <w:t>77594</w:t>
            </w:r>
          </w:p>
        </w:tc>
        <w:tc>
          <w:tcPr>
            <w:tcW w:w="834" w:type="pct"/>
            <w:vAlign w:val="center"/>
          </w:tcPr>
          <w:p w14:paraId="71E68A58">
            <w:pPr>
              <w:pStyle w:val="12"/>
              <w:jc w:val="center"/>
              <w:rPr>
                <w:rFonts w:ascii="宋体" w:hAnsi="宋体"/>
              </w:rPr>
            </w:pPr>
            <w:r>
              <w:rPr>
                <w:rFonts w:ascii="宋体" w:hAnsi="宋体"/>
              </w:rPr>
              <w:t>21051</w:t>
            </w:r>
          </w:p>
        </w:tc>
        <w:tc>
          <w:tcPr>
            <w:tcW w:w="834" w:type="pct"/>
            <w:vAlign w:val="center"/>
          </w:tcPr>
          <w:p w14:paraId="4D2CB458">
            <w:pPr>
              <w:pStyle w:val="12"/>
              <w:jc w:val="center"/>
              <w:rPr>
                <w:rFonts w:ascii="宋体" w:hAnsi="宋体"/>
              </w:rPr>
            </w:pPr>
            <w:r>
              <w:rPr>
                <w:rFonts w:ascii="宋体" w:hAnsi="宋体"/>
              </w:rPr>
              <w:t>14015</w:t>
            </w:r>
          </w:p>
        </w:tc>
        <w:tc>
          <w:tcPr>
            <w:tcW w:w="834" w:type="pct"/>
            <w:vAlign w:val="center"/>
          </w:tcPr>
          <w:p w14:paraId="775CEAB2">
            <w:pPr>
              <w:pStyle w:val="12"/>
              <w:jc w:val="center"/>
              <w:rPr>
                <w:rFonts w:ascii="宋体" w:hAnsi="宋体"/>
              </w:rPr>
            </w:pPr>
            <w:r>
              <w:rPr>
                <w:rFonts w:ascii="宋体" w:hAnsi="宋体"/>
              </w:rPr>
              <w:t>11030</w:t>
            </w:r>
          </w:p>
        </w:tc>
        <w:tc>
          <w:tcPr>
            <w:tcW w:w="834" w:type="pct"/>
            <w:vAlign w:val="center"/>
          </w:tcPr>
          <w:p w14:paraId="3A3DA66A">
            <w:pPr>
              <w:pStyle w:val="12"/>
              <w:jc w:val="center"/>
              <w:rPr>
                <w:rFonts w:ascii="宋体" w:hAnsi="宋体"/>
              </w:rPr>
            </w:pPr>
            <w:r>
              <w:rPr>
                <w:rFonts w:ascii="宋体" w:hAnsi="宋体"/>
              </w:rPr>
              <w:t>31498</w:t>
            </w:r>
          </w:p>
        </w:tc>
      </w:tr>
      <w:tr w14:paraId="3C9D9B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1BA1697A">
            <w:pPr>
              <w:pStyle w:val="12"/>
              <w:jc w:val="center"/>
              <w:rPr>
                <w:rFonts w:ascii="宋体" w:hAnsi="宋体"/>
              </w:rPr>
            </w:pPr>
            <w:r>
              <w:rPr>
                <w:rFonts w:ascii="宋体" w:hAnsi="宋体"/>
              </w:rPr>
              <w:t>1998</w:t>
            </w:r>
          </w:p>
        </w:tc>
        <w:tc>
          <w:tcPr>
            <w:tcW w:w="833" w:type="pct"/>
            <w:vAlign w:val="center"/>
          </w:tcPr>
          <w:p w14:paraId="5562658B">
            <w:pPr>
              <w:pStyle w:val="12"/>
              <w:jc w:val="center"/>
              <w:rPr>
                <w:rFonts w:ascii="宋体" w:hAnsi="宋体"/>
              </w:rPr>
            </w:pPr>
            <w:r>
              <w:rPr>
                <w:rFonts w:ascii="宋体" w:hAnsi="宋体"/>
              </w:rPr>
              <w:t>76514</w:t>
            </w:r>
          </w:p>
        </w:tc>
        <w:tc>
          <w:tcPr>
            <w:tcW w:w="834" w:type="pct"/>
            <w:vAlign w:val="center"/>
          </w:tcPr>
          <w:p w14:paraId="3EBA918E">
            <w:pPr>
              <w:pStyle w:val="12"/>
              <w:jc w:val="center"/>
              <w:rPr>
                <w:rFonts w:ascii="宋体" w:hAnsi="宋体"/>
              </w:rPr>
            </w:pPr>
            <w:r>
              <w:rPr>
                <w:rFonts w:ascii="宋体" w:hAnsi="宋体"/>
              </w:rPr>
              <w:t>13715</w:t>
            </w:r>
          </w:p>
        </w:tc>
        <w:tc>
          <w:tcPr>
            <w:tcW w:w="834" w:type="pct"/>
            <w:vAlign w:val="center"/>
          </w:tcPr>
          <w:p w14:paraId="6785CDE7">
            <w:pPr>
              <w:pStyle w:val="12"/>
              <w:jc w:val="center"/>
              <w:rPr>
                <w:rFonts w:ascii="宋体" w:hAnsi="宋体"/>
              </w:rPr>
            </w:pPr>
            <w:r>
              <w:rPr>
                <w:rFonts w:ascii="宋体" w:hAnsi="宋体"/>
              </w:rPr>
              <w:t>18828</w:t>
            </w:r>
          </w:p>
        </w:tc>
        <w:tc>
          <w:tcPr>
            <w:tcW w:w="834" w:type="pct"/>
            <w:vAlign w:val="center"/>
          </w:tcPr>
          <w:p w14:paraId="110C4EAD">
            <w:pPr>
              <w:pStyle w:val="12"/>
              <w:jc w:val="center"/>
              <w:rPr>
                <w:rFonts w:ascii="宋体" w:hAnsi="宋体"/>
              </w:rPr>
            </w:pPr>
            <w:r>
              <w:rPr>
                <w:rFonts w:ascii="宋体" w:hAnsi="宋体"/>
              </w:rPr>
              <w:t>11055</w:t>
            </w:r>
          </w:p>
        </w:tc>
        <w:tc>
          <w:tcPr>
            <w:tcW w:w="834" w:type="pct"/>
            <w:vAlign w:val="center"/>
          </w:tcPr>
          <w:p w14:paraId="090F1DA4">
            <w:pPr>
              <w:pStyle w:val="12"/>
              <w:jc w:val="center"/>
              <w:rPr>
                <w:rFonts w:ascii="宋体" w:hAnsi="宋体"/>
              </w:rPr>
            </w:pPr>
            <w:r>
              <w:rPr>
                <w:rFonts w:ascii="宋体" w:hAnsi="宋体"/>
              </w:rPr>
              <w:t>32916</w:t>
            </w:r>
          </w:p>
        </w:tc>
      </w:tr>
      <w:tr w14:paraId="29EAF5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1FAC03AF">
            <w:pPr>
              <w:pStyle w:val="12"/>
              <w:jc w:val="center"/>
              <w:rPr>
                <w:rFonts w:ascii="宋体" w:hAnsi="宋体"/>
              </w:rPr>
            </w:pPr>
            <w:r>
              <w:rPr>
                <w:rFonts w:ascii="宋体" w:hAnsi="宋体"/>
              </w:rPr>
              <w:t>1999</w:t>
            </w:r>
          </w:p>
        </w:tc>
        <w:tc>
          <w:tcPr>
            <w:tcW w:w="833" w:type="pct"/>
            <w:vAlign w:val="center"/>
          </w:tcPr>
          <w:p w14:paraId="56CDB2B0">
            <w:pPr>
              <w:pStyle w:val="12"/>
              <w:jc w:val="center"/>
              <w:rPr>
                <w:rFonts w:ascii="宋体" w:hAnsi="宋体"/>
              </w:rPr>
            </w:pPr>
            <w:r>
              <w:rPr>
                <w:rFonts w:ascii="宋体" w:hAnsi="宋体"/>
              </w:rPr>
              <w:t>69956</w:t>
            </w:r>
          </w:p>
        </w:tc>
        <w:tc>
          <w:tcPr>
            <w:tcW w:w="834" w:type="pct"/>
            <w:vAlign w:val="center"/>
          </w:tcPr>
          <w:p w14:paraId="7A4259C0">
            <w:pPr>
              <w:pStyle w:val="12"/>
              <w:jc w:val="center"/>
              <w:rPr>
                <w:rFonts w:ascii="宋体" w:hAnsi="宋体"/>
              </w:rPr>
            </w:pPr>
            <w:r>
              <w:rPr>
                <w:rFonts w:ascii="宋体" w:hAnsi="宋体"/>
              </w:rPr>
              <w:t>13826</w:t>
            </w:r>
          </w:p>
        </w:tc>
        <w:tc>
          <w:tcPr>
            <w:tcW w:w="834" w:type="pct"/>
            <w:vAlign w:val="center"/>
          </w:tcPr>
          <w:p w14:paraId="03B17061">
            <w:pPr>
              <w:pStyle w:val="12"/>
              <w:jc w:val="center"/>
              <w:rPr>
                <w:rFonts w:ascii="宋体" w:hAnsi="宋体"/>
              </w:rPr>
            </w:pPr>
            <w:r>
              <w:rPr>
                <w:rFonts w:ascii="宋体" w:hAnsi="宋体"/>
              </w:rPr>
              <w:t>12848</w:t>
            </w:r>
          </w:p>
        </w:tc>
        <w:tc>
          <w:tcPr>
            <w:tcW w:w="834" w:type="pct"/>
            <w:vAlign w:val="center"/>
          </w:tcPr>
          <w:p w14:paraId="0440E7F0">
            <w:pPr>
              <w:pStyle w:val="12"/>
              <w:jc w:val="center"/>
              <w:rPr>
                <w:rFonts w:ascii="宋体" w:hAnsi="宋体"/>
              </w:rPr>
            </w:pPr>
            <w:r>
              <w:rPr>
                <w:rFonts w:ascii="宋体" w:hAnsi="宋体"/>
              </w:rPr>
              <w:t>11011</w:t>
            </w:r>
          </w:p>
        </w:tc>
        <w:tc>
          <w:tcPr>
            <w:tcW w:w="834" w:type="pct"/>
            <w:vAlign w:val="center"/>
          </w:tcPr>
          <w:p w14:paraId="04B60D8D">
            <w:pPr>
              <w:pStyle w:val="12"/>
              <w:jc w:val="center"/>
              <w:rPr>
                <w:rFonts w:ascii="宋体" w:hAnsi="宋体"/>
              </w:rPr>
            </w:pPr>
            <w:r>
              <w:rPr>
                <w:rFonts w:ascii="宋体" w:hAnsi="宋体"/>
              </w:rPr>
              <w:t>32271</w:t>
            </w:r>
          </w:p>
        </w:tc>
      </w:tr>
      <w:tr w14:paraId="4C899E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5E3EED40">
            <w:pPr>
              <w:pStyle w:val="12"/>
              <w:jc w:val="center"/>
              <w:rPr>
                <w:rFonts w:ascii="宋体" w:hAnsi="宋体"/>
              </w:rPr>
            </w:pPr>
            <w:r>
              <w:rPr>
                <w:rFonts w:ascii="宋体" w:hAnsi="宋体"/>
              </w:rPr>
              <w:t>2000</w:t>
            </w:r>
          </w:p>
        </w:tc>
        <w:tc>
          <w:tcPr>
            <w:tcW w:w="833" w:type="pct"/>
            <w:vAlign w:val="center"/>
          </w:tcPr>
          <w:p w14:paraId="34724279">
            <w:pPr>
              <w:pStyle w:val="12"/>
              <w:jc w:val="center"/>
              <w:rPr>
                <w:rFonts w:ascii="宋体" w:hAnsi="宋体"/>
              </w:rPr>
            </w:pPr>
            <w:r>
              <w:rPr>
                <w:rFonts w:ascii="宋体" w:hAnsi="宋体"/>
              </w:rPr>
              <w:t>52644</w:t>
            </w:r>
          </w:p>
        </w:tc>
        <w:tc>
          <w:tcPr>
            <w:tcW w:w="834" w:type="pct"/>
            <w:vAlign w:val="center"/>
          </w:tcPr>
          <w:p w14:paraId="213E2285">
            <w:pPr>
              <w:pStyle w:val="12"/>
              <w:jc w:val="center"/>
              <w:rPr>
                <w:rFonts w:ascii="宋体" w:hAnsi="宋体"/>
              </w:rPr>
            </w:pPr>
            <w:r>
              <w:rPr>
                <w:rFonts w:ascii="宋体" w:hAnsi="宋体"/>
              </w:rPr>
              <w:t>13068</w:t>
            </w:r>
          </w:p>
        </w:tc>
        <w:tc>
          <w:tcPr>
            <w:tcW w:w="834" w:type="pct"/>
            <w:vAlign w:val="center"/>
          </w:tcPr>
          <w:p w14:paraId="4D6E1197">
            <w:pPr>
              <w:pStyle w:val="12"/>
              <w:jc w:val="center"/>
              <w:rPr>
                <w:rFonts w:ascii="宋体" w:hAnsi="宋体"/>
              </w:rPr>
            </w:pPr>
            <w:r>
              <w:rPr>
                <w:rFonts w:ascii="宋体" w:hAnsi="宋体"/>
              </w:rPr>
              <w:t>5553</w:t>
            </w:r>
          </w:p>
        </w:tc>
        <w:tc>
          <w:tcPr>
            <w:tcW w:w="834" w:type="pct"/>
            <w:vAlign w:val="center"/>
          </w:tcPr>
          <w:p w14:paraId="4B24B1B8">
            <w:pPr>
              <w:pStyle w:val="12"/>
              <w:jc w:val="center"/>
              <w:rPr>
                <w:rFonts w:ascii="宋体" w:hAnsi="宋体"/>
              </w:rPr>
            </w:pPr>
            <w:r>
              <w:rPr>
                <w:rFonts w:ascii="宋体" w:hAnsi="宋体"/>
              </w:rPr>
              <w:t>11285</w:t>
            </w:r>
          </w:p>
        </w:tc>
        <w:tc>
          <w:tcPr>
            <w:tcW w:w="834" w:type="pct"/>
            <w:vAlign w:val="center"/>
          </w:tcPr>
          <w:p w14:paraId="7C2524A6">
            <w:pPr>
              <w:pStyle w:val="12"/>
              <w:jc w:val="center"/>
              <w:rPr>
                <w:rFonts w:ascii="宋体" w:hAnsi="宋体"/>
              </w:rPr>
            </w:pPr>
            <w:r>
              <w:rPr>
                <w:rFonts w:ascii="宋体" w:hAnsi="宋体"/>
              </w:rPr>
              <w:t>22738</w:t>
            </w:r>
          </w:p>
        </w:tc>
      </w:tr>
      <w:tr w14:paraId="79A609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75283330">
            <w:pPr>
              <w:pStyle w:val="12"/>
              <w:jc w:val="center"/>
              <w:rPr>
                <w:rFonts w:ascii="宋体" w:hAnsi="宋体"/>
              </w:rPr>
            </w:pPr>
            <w:r>
              <w:rPr>
                <w:rFonts w:ascii="宋体" w:hAnsi="宋体"/>
              </w:rPr>
              <w:t>2001</w:t>
            </w:r>
          </w:p>
        </w:tc>
        <w:tc>
          <w:tcPr>
            <w:tcW w:w="833" w:type="pct"/>
            <w:vAlign w:val="center"/>
          </w:tcPr>
          <w:p w14:paraId="223867EB">
            <w:pPr>
              <w:pStyle w:val="12"/>
              <w:jc w:val="center"/>
              <w:rPr>
                <w:rFonts w:ascii="宋体" w:hAnsi="宋体"/>
              </w:rPr>
            </w:pPr>
            <w:r>
              <w:rPr>
                <w:rFonts w:ascii="宋体" w:hAnsi="宋体"/>
              </w:rPr>
              <w:t>53950</w:t>
            </w:r>
          </w:p>
        </w:tc>
        <w:tc>
          <w:tcPr>
            <w:tcW w:w="834" w:type="pct"/>
            <w:vAlign w:val="center"/>
          </w:tcPr>
          <w:p w14:paraId="08C7050E">
            <w:pPr>
              <w:pStyle w:val="12"/>
              <w:jc w:val="center"/>
              <w:rPr>
                <w:rFonts w:ascii="宋体" w:hAnsi="宋体"/>
              </w:rPr>
            </w:pPr>
            <w:r>
              <w:rPr>
                <w:rFonts w:ascii="宋体" w:hAnsi="宋体"/>
              </w:rPr>
              <w:t>15557</w:t>
            </w:r>
          </w:p>
        </w:tc>
        <w:tc>
          <w:tcPr>
            <w:tcW w:w="834" w:type="pct"/>
            <w:vAlign w:val="center"/>
          </w:tcPr>
          <w:p w14:paraId="51F5EE9B">
            <w:pPr>
              <w:pStyle w:val="12"/>
              <w:jc w:val="center"/>
              <w:rPr>
                <w:rFonts w:ascii="宋体" w:hAnsi="宋体"/>
              </w:rPr>
            </w:pPr>
            <w:r>
              <w:rPr>
                <w:rFonts w:ascii="宋体" w:hAnsi="宋体"/>
              </w:rPr>
              <w:t>4178</w:t>
            </w:r>
          </w:p>
        </w:tc>
        <w:tc>
          <w:tcPr>
            <w:tcW w:w="834" w:type="pct"/>
            <w:vAlign w:val="center"/>
          </w:tcPr>
          <w:p w14:paraId="15E7A873">
            <w:pPr>
              <w:pStyle w:val="12"/>
              <w:jc w:val="center"/>
              <w:rPr>
                <w:rFonts w:ascii="宋体" w:hAnsi="宋体"/>
              </w:rPr>
            </w:pPr>
            <w:r>
              <w:rPr>
                <w:rFonts w:ascii="宋体" w:hAnsi="宋体"/>
              </w:rPr>
              <w:t>10799</w:t>
            </w:r>
          </w:p>
        </w:tc>
        <w:tc>
          <w:tcPr>
            <w:tcW w:w="834" w:type="pct"/>
            <w:vAlign w:val="center"/>
          </w:tcPr>
          <w:p w14:paraId="742AEEFF">
            <w:pPr>
              <w:pStyle w:val="12"/>
              <w:jc w:val="center"/>
              <w:rPr>
                <w:rFonts w:ascii="宋体" w:hAnsi="宋体"/>
              </w:rPr>
            </w:pPr>
            <w:r>
              <w:rPr>
                <w:rFonts w:ascii="宋体" w:hAnsi="宋体"/>
              </w:rPr>
              <w:t>23416</w:t>
            </w:r>
          </w:p>
        </w:tc>
      </w:tr>
      <w:tr w14:paraId="23A178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6380FA48">
            <w:pPr>
              <w:pStyle w:val="12"/>
              <w:jc w:val="center"/>
              <w:rPr>
                <w:rFonts w:ascii="宋体" w:hAnsi="宋体"/>
              </w:rPr>
            </w:pPr>
            <w:r>
              <w:rPr>
                <w:rFonts w:ascii="宋体" w:hAnsi="宋体"/>
              </w:rPr>
              <w:t>2002</w:t>
            </w:r>
          </w:p>
        </w:tc>
        <w:tc>
          <w:tcPr>
            <w:tcW w:w="833" w:type="pct"/>
            <w:vAlign w:val="center"/>
          </w:tcPr>
          <w:p w14:paraId="11C01B58">
            <w:pPr>
              <w:pStyle w:val="12"/>
              <w:jc w:val="center"/>
              <w:rPr>
                <w:rFonts w:ascii="宋体" w:hAnsi="宋体"/>
              </w:rPr>
            </w:pPr>
            <w:r>
              <w:rPr>
                <w:rFonts w:ascii="宋体" w:hAnsi="宋体"/>
              </w:rPr>
              <w:t>46102</w:t>
            </w:r>
          </w:p>
        </w:tc>
        <w:tc>
          <w:tcPr>
            <w:tcW w:w="834" w:type="pct"/>
            <w:vAlign w:val="center"/>
          </w:tcPr>
          <w:p w14:paraId="1AA70D80">
            <w:pPr>
              <w:pStyle w:val="12"/>
              <w:jc w:val="center"/>
              <w:rPr>
                <w:rFonts w:ascii="宋体" w:hAnsi="宋体"/>
              </w:rPr>
            </w:pPr>
            <w:r>
              <w:rPr>
                <w:rFonts w:ascii="宋体" w:hAnsi="宋体"/>
              </w:rPr>
              <w:t>6119</w:t>
            </w:r>
          </w:p>
        </w:tc>
        <w:tc>
          <w:tcPr>
            <w:tcW w:w="834" w:type="pct"/>
            <w:vAlign w:val="center"/>
          </w:tcPr>
          <w:p w14:paraId="269A9A42">
            <w:pPr>
              <w:pStyle w:val="12"/>
              <w:jc w:val="center"/>
              <w:rPr>
                <w:rFonts w:ascii="宋体" w:hAnsi="宋体"/>
              </w:rPr>
            </w:pPr>
            <w:r>
              <w:rPr>
                <w:rFonts w:ascii="宋体" w:hAnsi="宋体"/>
              </w:rPr>
              <w:t>3579</w:t>
            </w:r>
          </w:p>
        </w:tc>
        <w:tc>
          <w:tcPr>
            <w:tcW w:w="834" w:type="pct"/>
            <w:vAlign w:val="center"/>
          </w:tcPr>
          <w:p w14:paraId="3CC7B8D0">
            <w:pPr>
              <w:pStyle w:val="12"/>
              <w:jc w:val="center"/>
              <w:rPr>
                <w:rFonts w:ascii="宋体" w:hAnsi="宋体"/>
              </w:rPr>
            </w:pPr>
            <w:r>
              <w:rPr>
                <w:rFonts w:ascii="宋体" w:hAnsi="宋体"/>
              </w:rPr>
              <w:t>11885</w:t>
            </w:r>
          </w:p>
        </w:tc>
        <w:tc>
          <w:tcPr>
            <w:tcW w:w="834" w:type="pct"/>
            <w:vAlign w:val="center"/>
          </w:tcPr>
          <w:p w14:paraId="34E57B40">
            <w:pPr>
              <w:pStyle w:val="12"/>
              <w:jc w:val="center"/>
              <w:rPr>
                <w:rFonts w:ascii="宋体" w:hAnsi="宋体"/>
              </w:rPr>
            </w:pPr>
            <w:r>
              <w:rPr>
                <w:rFonts w:ascii="宋体" w:hAnsi="宋体"/>
              </w:rPr>
              <w:t>24519</w:t>
            </w:r>
          </w:p>
        </w:tc>
      </w:tr>
      <w:tr w14:paraId="335E5B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7BBB799F">
            <w:pPr>
              <w:pStyle w:val="12"/>
              <w:jc w:val="center"/>
              <w:rPr>
                <w:rFonts w:ascii="宋体" w:hAnsi="宋体"/>
              </w:rPr>
            </w:pPr>
            <w:r>
              <w:rPr>
                <w:rFonts w:ascii="宋体" w:hAnsi="宋体"/>
              </w:rPr>
              <w:t>2003</w:t>
            </w:r>
          </w:p>
        </w:tc>
        <w:tc>
          <w:tcPr>
            <w:tcW w:w="833" w:type="pct"/>
            <w:vAlign w:val="center"/>
          </w:tcPr>
          <w:p w14:paraId="43DD046D">
            <w:pPr>
              <w:pStyle w:val="12"/>
              <w:jc w:val="center"/>
              <w:rPr>
                <w:rFonts w:ascii="宋体" w:hAnsi="宋体"/>
              </w:rPr>
            </w:pPr>
            <w:r>
              <w:rPr>
                <w:rFonts w:ascii="宋体" w:hAnsi="宋体"/>
              </w:rPr>
              <w:t>60640</w:t>
            </w:r>
          </w:p>
        </w:tc>
        <w:tc>
          <w:tcPr>
            <w:tcW w:w="834" w:type="pct"/>
            <w:vAlign w:val="center"/>
          </w:tcPr>
          <w:p w14:paraId="48C4EA69">
            <w:pPr>
              <w:pStyle w:val="12"/>
              <w:jc w:val="center"/>
              <w:rPr>
                <w:rFonts w:ascii="宋体" w:hAnsi="宋体"/>
              </w:rPr>
            </w:pPr>
            <w:r>
              <w:rPr>
                <w:rFonts w:ascii="宋体" w:hAnsi="宋体"/>
              </w:rPr>
              <w:t>5434</w:t>
            </w:r>
          </w:p>
        </w:tc>
        <w:tc>
          <w:tcPr>
            <w:tcW w:w="834" w:type="pct"/>
            <w:vAlign w:val="center"/>
          </w:tcPr>
          <w:p w14:paraId="7B22F45C">
            <w:pPr>
              <w:pStyle w:val="12"/>
              <w:jc w:val="center"/>
              <w:rPr>
                <w:rFonts w:ascii="宋体" w:hAnsi="宋体"/>
              </w:rPr>
            </w:pPr>
            <w:r>
              <w:rPr>
                <w:rFonts w:ascii="宋体" w:hAnsi="宋体"/>
              </w:rPr>
              <w:t>3327</w:t>
            </w:r>
          </w:p>
        </w:tc>
        <w:tc>
          <w:tcPr>
            <w:tcW w:w="834" w:type="pct"/>
            <w:vAlign w:val="center"/>
          </w:tcPr>
          <w:p w14:paraId="0C2B00F9">
            <w:pPr>
              <w:pStyle w:val="12"/>
              <w:jc w:val="center"/>
              <w:rPr>
                <w:rFonts w:ascii="宋体" w:hAnsi="宋体"/>
              </w:rPr>
            </w:pPr>
            <w:r>
              <w:rPr>
                <w:rFonts w:ascii="宋体" w:hAnsi="宋体"/>
              </w:rPr>
              <w:t>15496</w:t>
            </w:r>
          </w:p>
        </w:tc>
        <w:tc>
          <w:tcPr>
            <w:tcW w:w="834" w:type="pct"/>
            <w:vAlign w:val="center"/>
          </w:tcPr>
          <w:p w14:paraId="7B2E5F9C">
            <w:pPr>
              <w:pStyle w:val="12"/>
              <w:jc w:val="center"/>
              <w:rPr>
                <w:rFonts w:ascii="宋体" w:hAnsi="宋体"/>
              </w:rPr>
            </w:pPr>
            <w:r>
              <w:rPr>
                <w:rFonts w:ascii="宋体" w:hAnsi="宋体"/>
              </w:rPr>
              <w:t>36383</w:t>
            </w:r>
          </w:p>
        </w:tc>
      </w:tr>
      <w:tr w14:paraId="4B581B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57AD04FE">
            <w:pPr>
              <w:pStyle w:val="12"/>
              <w:jc w:val="center"/>
              <w:rPr>
                <w:rFonts w:ascii="宋体" w:hAnsi="宋体"/>
              </w:rPr>
            </w:pPr>
            <w:r>
              <w:rPr>
                <w:rFonts w:ascii="宋体" w:hAnsi="宋体"/>
              </w:rPr>
              <w:t>2004</w:t>
            </w:r>
          </w:p>
        </w:tc>
        <w:tc>
          <w:tcPr>
            <w:tcW w:w="833" w:type="pct"/>
            <w:vAlign w:val="center"/>
          </w:tcPr>
          <w:p w14:paraId="4D2B178A">
            <w:pPr>
              <w:pStyle w:val="12"/>
              <w:jc w:val="center"/>
              <w:rPr>
                <w:rFonts w:ascii="宋体" w:hAnsi="宋体"/>
              </w:rPr>
            </w:pPr>
            <w:r>
              <w:rPr>
                <w:rFonts w:ascii="宋体" w:hAnsi="宋体"/>
              </w:rPr>
              <w:t>61277</w:t>
            </w:r>
          </w:p>
        </w:tc>
        <w:tc>
          <w:tcPr>
            <w:tcW w:w="834" w:type="pct"/>
            <w:vAlign w:val="center"/>
          </w:tcPr>
          <w:p w14:paraId="2B20F6EB">
            <w:pPr>
              <w:pStyle w:val="12"/>
              <w:jc w:val="center"/>
              <w:rPr>
                <w:rFonts w:ascii="宋体" w:hAnsi="宋体"/>
              </w:rPr>
            </w:pPr>
            <w:r>
              <w:rPr>
                <w:rFonts w:ascii="宋体" w:hAnsi="宋体"/>
              </w:rPr>
              <w:t>2189</w:t>
            </w:r>
          </w:p>
        </w:tc>
        <w:tc>
          <w:tcPr>
            <w:tcW w:w="834" w:type="pct"/>
            <w:vAlign w:val="center"/>
          </w:tcPr>
          <w:p w14:paraId="72BC87A6">
            <w:pPr>
              <w:pStyle w:val="12"/>
              <w:jc w:val="center"/>
              <w:rPr>
                <w:rFonts w:ascii="宋体" w:hAnsi="宋体"/>
              </w:rPr>
            </w:pPr>
            <w:r>
              <w:rPr>
                <w:rFonts w:ascii="宋体" w:hAnsi="宋体"/>
              </w:rPr>
              <w:t>788</w:t>
            </w:r>
          </w:p>
        </w:tc>
        <w:tc>
          <w:tcPr>
            <w:tcW w:w="834" w:type="pct"/>
            <w:vAlign w:val="center"/>
          </w:tcPr>
          <w:p w14:paraId="162E53F0">
            <w:pPr>
              <w:pStyle w:val="12"/>
              <w:jc w:val="center"/>
              <w:rPr>
                <w:rFonts w:ascii="宋体" w:hAnsi="宋体"/>
              </w:rPr>
            </w:pPr>
            <w:r>
              <w:rPr>
                <w:rFonts w:ascii="宋体" w:hAnsi="宋体"/>
              </w:rPr>
              <w:t>20523</w:t>
            </w:r>
          </w:p>
        </w:tc>
        <w:tc>
          <w:tcPr>
            <w:tcW w:w="834" w:type="pct"/>
            <w:vAlign w:val="center"/>
          </w:tcPr>
          <w:p w14:paraId="0A5F81E2">
            <w:pPr>
              <w:pStyle w:val="12"/>
              <w:jc w:val="center"/>
              <w:rPr>
                <w:rFonts w:ascii="宋体" w:hAnsi="宋体"/>
              </w:rPr>
            </w:pPr>
            <w:r>
              <w:rPr>
                <w:rFonts w:ascii="宋体" w:hAnsi="宋体"/>
              </w:rPr>
              <w:t>3777</w:t>
            </w:r>
          </w:p>
        </w:tc>
      </w:tr>
    </w:tbl>
    <w:p w14:paraId="2EC33A39">
      <w:pPr>
        <w:ind w:firstLine="420"/>
        <w:rPr>
          <w:rFonts w:ascii="宋体" w:hAnsi="宋体"/>
          <w:szCs w:val="21"/>
        </w:rPr>
      </w:pPr>
      <w:r>
        <w:rPr>
          <w:rFonts w:ascii="宋体" w:hAnsi="宋体"/>
          <w:szCs w:val="21"/>
        </w:rPr>
        <w:t>1998年至2002年，南雄金融系统配合本市城市经营战略，加大对全市基础建设</w:t>
      </w:r>
      <w:r>
        <w:rPr>
          <w:rFonts w:hint="eastAsia" w:ascii="宋体" w:hAnsi="宋体"/>
          <w:szCs w:val="21"/>
        </w:rPr>
        <w:t>贷款。</w:t>
      </w:r>
      <w:r>
        <w:rPr>
          <w:rFonts w:ascii="宋体" w:hAnsi="宋体"/>
          <w:szCs w:val="21"/>
        </w:rPr>
        <w:t>5年间为农村电网改造贷款4500万元，支持社会公益性固定资产建设贷款2500万元，住房消费贷款11866万元，与建设开发商签订受信住房按揭贷款意向合</w:t>
      </w:r>
      <w:r>
        <w:rPr>
          <w:rFonts w:hint="eastAsia" w:ascii="宋体" w:hAnsi="宋体"/>
          <w:szCs w:val="21"/>
        </w:rPr>
        <w:t>同</w:t>
      </w:r>
      <w:r>
        <w:rPr>
          <w:rFonts w:ascii="宋体" w:hAnsi="宋体"/>
          <w:szCs w:val="21"/>
        </w:rPr>
        <w:t>14000万元。加大民营企业贷款扶持，支持产品有市场、信誉良好的民营企业发</w:t>
      </w:r>
      <w:r>
        <w:rPr>
          <w:rFonts w:hint="eastAsia" w:ascii="宋体" w:hAnsi="宋体"/>
          <w:szCs w:val="21"/>
        </w:rPr>
        <w:t>展。</w:t>
      </w:r>
      <w:r>
        <w:rPr>
          <w:rFonts w:ascii="宋体" w:hAnsi="宋体"/>
          <w:szCs w:val="21"/>
        </w:rPr>
        <w:t>2002年发放民营企业贷款159笔，总金额1968万元。加大支农贷款力度。多年</w:t>
      </w:r>
      <w:r>
        <w:rPr>
          <w:rFonts w:hint="eastAsia" w:ascii="宋体" w:hAnsi="宋体"/>
          <w:szCs w:val="21"/>
        </w:rPr>
        <w:t>来，平均每年收购黄烟</w:t>
      </w:r>
      <w:r>
        <w:rPr>
          <w:rFonts w:ascii="宋体" w:hAnsi="宋体"/>
          <w:szCs w:val="21"/>
        </w:rPr>
        <w:t>1.5万吨，收购资金逾2亿元。对此，均由南雄金融机构设法</w:t>
      </w:r>
      <w:r>
        <w:rPr>
          <w:rFonts w:hint="eastAsia" w:ascii="宋体" w:hAnsi="宋体"/>
          <w:szCs w:val="21"/>
        </w:rPr>
        <w:t>融通资金，确保收购黄烟不打“白条”。</w:t>
      </w:r>
    </w:p>
    <w:p w14:paraId="59C86399">
      <w:pPr>
        <w:pStyle w:val="5"/>
        <w:rPr>
          <w:rFonts w:ascii="宋体" w:hAnsi="宋体"/>
        </w:rPr>
      </w:pPr>
      <w:r>
        <w:rPr>
          <w:rFonts w:hint="eastAsia" w:ascii="宋体" w:hAnsi="宋体"/>
        </w:rPr>
        <w:t>三、金融监管</w:t>
      </w:r>
    </w:p>
    <w:p w14:paraId="5E0DE473">
      <w:pPr>
        <w:ind w:firstLine="420"/>
        <w:rPr>
          <w:rFonts w:ascii="宋体" w:hAnsi="宋体"/>
          <w:szCs w:val="21"/>
        </w:rPr>
      </w:pPr>
      <w:r>
        <w:rPr>
          <w:rFonts w:hint="eastAsia" w:ascii="宋体" w:hAnsi="宋体"/>
          <w:szCs w:val="21"/>
        </w:rPr>
        <w:t>围绕防范和化解金融风险这个中心，加强金融监管。为适应本地资金需求，建立了由人民银行领导下的金融市场。</w:t>
      </w:r>
      <w:r>
        <w:rPr>
          <w:rFonts w:ascii="宋体" w:hAnsi="宋体"/>
          <w:szCs w:val="21"/>
        </w:rPr>
        <w:t>1998年至1992年共从外地拆入拆出资金46898万</w:t>
      </w:r>
      <w:r>
        <w:rPr>
          <w:rFonts w:hint="eastAsia" w:ascii="宋体" w:hAnsi="宋体"/>
          <w:szCs w:val="21"/>
        </w:rPr>
        <w:t>元。制定金融机构存款利率执行公约，严禁非法集资，遏制恶性竞争行为。</w:t>
      </w:r>
      <w:r>
        <w:rPr>
          <w:rFonts w:ascii="宋体" w:hAnsi="宋体"/>
          <w:szCs w:val="21"/>
        </w:rPr>
        <w:t>1998年</w:t>
      </w:r>
      <w:r>
        <w:rPr>
          <w:rFonts w:hint="eastAsia" w:ascii="宋体" w:hAnsi="宋体"/>
          <w:szCs w:val="21"/>
        </w:rPr>
        <w:t>至</w:t>
      </w:r>
      <w:r>
        <w:rPr>
          <w:rFonts w:ascii="宋体" w:hAnsi="宋体"/>
          <w:szCs w:val="21"/>
        </w:rPr>
        <w:t>2002年，南雄市金融机构通过剥离、核销等手段处置不良贷款。2002年末，不良</w:t>
      </w:r>
      <w:r>
        <w:rPr>
          <w:rFonts w:hint="eastAsia" w:ascii="宋体" w:hAnsi="宋体"/>
          <w:szCs w:val="21"/>
        </w:rPr>
        <w:t>贷款余额为</w:t>
      </w:r>
      <w:r>
        <w:rPr>
          <w:rFonts w:ascii="宋体" w:hAnsi="宋体"/>
          <w:szCs w:val="21"/>
        </w:rPr>
        <w:t>1.7亿元，占各项贷款余额的36%；比1997年末的5.2亿元减少3.5亿</w:t>
      </w:r>
      <w:r>
        <w:rPr>
          <w:rFonts w:hint="eastAsia" w:ascii="宋体" w:hAnsi="宋体"/>
          <w:szCs w:val="21"/>
        </w:rPr>
        <w:t>元。提高了金融资产质量。</w:t>
      </w:r>
    </w:p>
    <w:p w14:paraId="0A4FCB47">
      <w:pPr>
        <w:pStyle w:val="4"/>
        <w:rPr>
          <w:rFonts w:ascii="宋体" w:hAnsi="宋体"/>
        </w:rPr>
      </w:pPr>
      <w:r>
        <w:rPr>
          <w:rFonts w:hint="eastAsia" w:ascii="宋体" w:hAnsi="宋体"/>
        </w:rPr>
        <w:t>第二节  保险</w:t>
      </w:r>
    </w:p>
    <w:p w14:paraId="03194AF6">
      <w:pPr>
        <w:pStyle w:val="5"/>
        <w:rPr>
          <w:rFonts w:ascii="宋体" w:hAnsi="宋体"/>
        </w:rPr>
      </w:pPr>
      <w:r>
        <w:rPr>
          <w:rFonts w:hint="eastAsia" w:ascii="宋体" w:hAnsi="宋体"/>
        </w:rPr>
        <w:t>一、人寿保险</w:t>
      </w:r>
    </w:p>
    <w:p w14:paraId="27AC4742">
      <w:pPr>
        <w:ind w:firstLine="420"/>
        <w:rPr>
          <w:rFonts w:ascii="宋体" w:hAnsi="宋体"/>
          <w:szCs w:val="21"/>
        </w:rPr>
      </w:pPr>
      <w:r>
        <w:rPr>
          <w:rFonts w:hint="eastAsia" w:ascii="宋体" w:hAnsi="宋体"/>
          <w:szCs w:val="21"/>
        </w:rPr>
        <w:t>中国人寿保险公司南雄市支公司。于</w:t>
      </w:r>
      <w:r>
        <w:rPr>
          <w:rFonts w:ascii="宋体" w:hAnsi="宋体"/>
          <w:szCs w:val="21"/>
        </w:rPr>
        <w:t>1996年4月从原中国人民保险公司南雄市</w:t>
      </w:r>
      <w:r>
        <w:rPr>
          <w:rFonts w:hint="eastAsia" w:ascii="宋体" w:hAnsi="宋体"/>
          <w:szCs w:val="21"/>
        </w:rPr>
        <w:t>支公司分出设立。</w:t>
      </w:r>
      <w:r>
        <w:rPr>
          <w:rFonts w:ascii="宋体" w:hAnsi="宋体"/>
          <w:szCs w:val="21"/>
        </w:rPr>
        <w:t>1996年至2002年开办的险种有：学生、幼儿团体平安保险，学</w:t>
      </w:r>
      <w:r>
        <w:rPr>
          <w:rFonts w:hint="eastAsia" w:ascii="宋体" w:hAnsi="宋体"/>
          <w:szCs w:val="21"/>
        </w:rPr>
        <w:t>生、幼儿团体平安保险附加意外伤害医疗保险，妇女安康保险，机动车驾驶员人身意外伤害保险，少年儿童幸福保障计划保险，简易人身保险，个人养老保险，人身意外综合保险，独生子女两全保险，住院医疗保险，鸿寿养老金保险，重大疾病终身保险，航空人身意外伤害保险，福寿安康保险，内河渡船乘客人身意外伤害保险，国寿个人养老金保险，交通吉祥卡保险等。</w:t>
      </w:r>
      <w:r>
        <w:rPr>
          <w:rFonts w:ascii="宋体" w:hAnsi="宋体"/>
          <w:szCs w:val="21"/>
        </w:rPr>
        <w:t>1996年至2002年，保费收入35198.71万元，</w:t>
      </w:r>
      <w:r>
        <w:rPr>
          <w:rFonts w:hint="eastAsia" w:ascii="宋体" w:hAnsi="宋体"/>
          <w:szCs w:val="21"/>
        </w:rPr>
        <w:t>保险金赔付</w:t>
      </w:r>
      <w:r>
        <w:rPr>
          <w:rFonts w:ascii="宋体" w:hAnsi="宋体"/>
          <w:szCs w:val="21"/>
        </w:rPr>
        <w:t>1006.33万元，保费结余34192.38万元。重大赔案有2宗：一是1999年7月8日江头镇刘某被害赔付保险金12万元；二是2001年被保险人黄某因病死亡，</w:t>
      </w:r>
      <w:r>
        <w:rPr>
          <w:rFonts w:hint="eastAsia" w:ascii="宋体" w:hAnsi="宋体"/>
          <w:szCs w:val="21"/>
        </w:rPr>
        <w:t>赔付保险金</w:t>
      </w:r>
      <w:r>
        <w:rPr>
          <w:rFonts w:ascii="宋体" w:hAnsi="宋体"/>
          <w:szCs w:val="21"/>
        </w:rPr>
        <w:t>8万元。2003年保费收入3395万元，赔付237万元。2004年保费收入3456万元，赔付257万元</w:t>
      </w:r>
      <w:r>
        <w:rPr>
          <w:rFonts w:hint="eastAsia" w:ascii="宋体" w:hAnsi="宋体"/>
          <w:szCs w:val="21"/>
        </w:rPr>
        <w:t>。</w:t>
      </w:r>
    </w:p>
    <w:p w14:paraId="320ABCC4">
      <w:pPr>
        <w:pStyle w:val="5"/>
        <w:rPr>
          <w:rFonts w:ascii="宋体" w:hAnsi="宋体"/>
        </w:rPr>
      </w:pPr>
      <w:r>
        <w:rPr>
          <w:rFonts w:hint="eastAsia" w:ascii="宋体" w:hAnsi="宋体"/>
        </w:rPr>
        <w:t>二、财产保险</w:t>
      </w:r>
    </w:p>
    <w:p w14:paraId="1B59E285">
      <w:pPr>
        <w:ind w:firstLine="420"/>
        <w:rPr>
          <w:rFonts w:ascii="宋体" w:hAnsi="宋体"/>
          <w:szCs w:val="21"/>
        </w:rPr>
      </w:pPr>
      <w:r>
        <w:rPr>
          <w:rFonts w:hint="eastAsia" w:ascii="宋体" w:hAnsi="宋体"/>
          <w:szCs w:val="21"/>
        </w:rPr>
        <w:t>中国人民保险公司南雄市支公司。成立于</w:t>
      </w:r>
      <w:r>
        <w:rPr>
          <w:rFonts w:ascii="宋体" w:hAnsi="宋体"/>
          <w:szCs w:val="21"/>
        </w:rPr>
        <w:t>1981年6月。至1996年6月与中国人</w:t>
      </w:r>
      <w:r>
        <w:rPr>
          <w:rFonts w:hint="eastAsia" w:ascii="宋体" w:hAnsi="宋体"/>
          <w:szCs w:val="21"/>
        </w:rPr>
        <w:t>寿保险公司分设时，更名为中保财产保险有限公司南雄市支公司。</w:t>
      </w:r>
      <w:r>
        <w:rPr>
          <w:rFonts w:ascii="宋体" w:hAnsi="宋体"/>
          <w:szCs w:val="21"/>
        </w:rPr>
        <w:t>1999年8月恢复</w:t>
      </w:r>
      <w:r>
        <w:rPr>
          <w:rFonts w:hint="eastAsia" w:ascii="宋体" w:hAnsi="宋体"/>
          <w:szCs w:val="21"/>
        </w:rPr>
        <w:t>今名。公司内设总经理、综合部、业务一部和业务二部，公司下设新城、雄东和乌迳</w:t>
      </w:r>
      <w:r>
        <w:rPr>
          <w:rFonts w:ascii="宋体" w:hAnsi="宋体"/>
          <w:szCs w:val="21"/>
        </w:rPr>
        <w:t>3个营销服务网点。共有员工及营销员28人</w:t>
      </w:r>
      <w:r>
        <w:rPr>
          <w:rFonts w:hint="eastAsia" w:ascii="宋体" w:hAnsi="宋体"/>
          <w:szCs w:val="21"/>
        </w:rPr>
        <w:t>。</w:t>
      </w:r>
    </w:p>
    <w:p w14:paraId="5C3FA3C7">
      <w:pPr>
        <w:ind w:firstLine="420"/>
        <w:rPr>
          <w:rFonts w:ascii="宋体" w:hAnsi="宋体"/>
          <w:szCs w:val="21"/>
        </w:rPr>
      </w:pPr>
      <w:r>
        <w:rPr>
          <w:rFonts w:ascii="宋体" w:hAnsi="宋体"/>
          <w:szCs w:val="21"/>
        </w:rPr>
        <w:t>19</w:t>
      </w:r>
      <w:r>
        <w:rPr>
          <w:rFonts w:hint="eastAsia" w:ascii="宋体" w:hAnsi="宋体"/>
          <w:szCs w:val="21"/>
        </w:rPr>
        <w:t>9</w:t>
      </w:r>
      <w:r>
        <w:rPr>
          <w:rFonts w:ascii="宋体" w:hAnsi="宋体"/>
          <w:szCs w:val="21"/>
        </w:rPr>
        <w:t>6年以来经营险种有机动车辆险（含摩托车、汽车、拖拉机险），自行车险，</w:t>
      </w:r>
      <w:r>
        <w:rPr>
          <w:rFonts w:hint="eastAsia" w:ascii="宋体" w:hAnsi="宋体"/>
          <w:szCs w:val="21"/>
        </w:rPr>
        <w:t>企业财产险，家庭财产险，农村房屋险，长效家财险，种植业保险，养殖业保险，住房按揭贷款保险，“金销”家财险，公安责任险、供电责任险等。</w:t>
      </w:r>
    </w:p>
    <w:p w14:paraId="34A8CC47">
      <w:pPr>
        <w:ind w:firstLine="420"/>
        <w:rPr>
          <w:rFonts w:ascii="宋体" w:hAnsi="宋体"/>
          <w:szCs w:val="21"/>
        </w:rPr>
      </w:pPr>
      <w:r>
        <w:rPr>
          <w:rFonts w:ascii="宋体" w:hAnsi="宋体"/>
          <w:szCs w:val="21"/>
        </w:rPr>
        <w:t>1996年至2004年，保费收入10024万元，向社会支付各类赔款5007万元，9年</w:t>
      </w:r>
      <w:r>
        <w:rPr>
          <w:rFonts w:hint="eastAsia" w:ascii="宋体" w:hAnsi="宋体"/>
          <w:szCs w:val="21"/>
        </w:rPr>
        <w:t>综合赔付率为</w:t>
      </w:r>
      <w:r>
        <w:rPr>
          <w:rFonts w:ascii="宋体" w:hAnsi="宋体"/>
          <w:szCs w:val="21"/>
        </w:rPr>
        <w:t>49.95%。</w:t>
      </w:r>
    </w:p>
    <w:p w14:paraId="1D0C1CD3">
      <w:pPr>
        <w:pStyle w:val="4"/>
        <w:rPr>
          <w:rFonts w:ascii="宋体" w:hAnsi="宋体"/>
        </w:rPr>
      </w:pPr>
      <w:r>
        <w:rPr>
          <w:rFonts w:hint="eastAsia" w:ascii="宋体" w:hAnsi="宋体"/>
        </w:rPr>
        <w:t>第三节  证券</w:t>
      </w:r>
    </w:p>
    <w:p w14:paraId="45CE2CB0">
      <w:pPr>
        <w:ind w:firstLine="420"/>
        <w:rPr>
          <w:rFonts w:ascii="宋体" w:hAnsi="宋体"/>
          <w:szCs w:val="21"/>
        </w:rPr>
      </w:pPr>
      <w:r>
        <w:rPr>
          <w:rFonts w:hint="eastAsia" w:ascii="宋体" w:hAnsi="宋体"/>
          <w:szCs w:val="21"/>
        </w:rPr>
        <w:t>广发证券韶关文化街营业部于</w:t>
      </w:r>
      <w:r>
        <w:rPr>
          <w:rFonts w:ascii="宋体" w:hAnsi="宋体"/>
          <w:szCs w:val="21"/>
        </w:rPr>
        <w:t>2001年5月30日在南雄市林阴东路26号中国银</w:t>
      </w:r>
      <w:r>
        <w:rPr>
          <w:rFonts w:hint="eastAsia" w:ascii="宋体" w:hAnsi="宋体"/>
          <w:szCs w:val="21"/>
        </w:rPr>
        <w:t>行支行大楼一、二楼设立南雄服务部，营业面积</w:t>
      </w:r>
      <w:r>
        <w:rPr>
          <w:rFonts w:ascii="宋体" w:hAnsi="宋体"/>
          <w:szCs w:val="21"/>
        </w:rPr>
        <w:t>800多平方米，设有营业厅、中户</w:t>
      </w:r>
      <w:r>
        <w:rPr>
          <w:rFonts w:hint="eastAsia" w:ascii="宋体" w:hAnsi="宋体"/>
          <w:szCs w:val="21"/>
        </w:rPr>
        <w:t>室、大户室和专户室，开展证券经纪业务和开放式基金代销业务，并依托广发证券的信息收集与服务平台，为各种不同类型的客户提供实时、高效的信息咨询服务。</w:t>
      </w:r>
    </w:p>
    <w:p w14:paraId="0FA01B62">
      <w:pPr>
        <w:pStyle w:val="3"/>
        <w:rPr>
          <w:rFonts w:ascii="宋体" w:hAnsi="宋体"/>
        </w:rPr>
      </w:pPr>
      <w:r>
        <w:rPr>
          <w:rFonts w:hint="eastAsia" w:ascii="宋体" w:hAnsi="宋体"/>
        </w:rPr>
        <w:t>第十三章  财政  税收  审计</w:t>
      </w:r>
    </w:p>
    <w:p w14:paraId="4ED84ABA">
      <w:pPr>
        <w:pStyle w:val="4"/>
        <w:rPr>
          <w:rFonts w:ascii="宋体" w:hAnsi="宋体"/>
        </w:rPr>
      </w:pPr>
      <w:r>
        <w:rPr>
          <w:rFonts w:hint="eastAsia" w:ascii="宋体" w:hAnsi="宋体"/>
        </w:rPr>
        <w:t>第一节  财政</w:t>
      </w:r>
    </w:p>
    <w:p w14:paraId="0A85A6C0">
      <w:pPr>
        <w:pStyle w:val="5"/>
        <w:rPr>
          <w:rFonts w:ascii="宋体" w:hAnsi="宋体"/>
        </w:rPr>
      </w:pPr>
      <w:r>
        <w:rPr>
          <w:rFonts w:hint="eastAsia" w:ascii="宋体" w:hAnsi="宋体"/>
        </w:rPr>
        <w:t>一、机构</w:t>
      </w:r>
    </w:p>
    <w:p w14:paraId="13E6B72C">
      <w:pPr>
        <w:ind w:firstLine="420"/>
        <w:rPr>
          <w:rFonts w:ascii="宋体" w:hAnsi="宋体"/>
          <w:szCs w:val="21"/>
        </w:rPr>
      </w:pPr>
      <w:r>
        <w:rPr>
          <w:rFonts w:ascii="宋体" w:hAnsi="宋体"/>
          <w:szCs w:val="21"/>
        </w:rPr>
        <w:t>1950年5月，县人民政府设财政科。1958年财政科、税务局和建设银行合并为</w:t>
      </w:r>
      <w:r>
        <w:rPr>
          <w:rFonts w:hint="eastAsia" w:ascii="宋体" w:hAnsi="宋体"/>
          <w:szCs w:val="21"/>
        </w:rPr>
        <w:t>财政局。</w:t>
      </w:r>
      <w:r>
        <w:rPr>
          <w:rFonts w:ascii="宋体" w:hAnsi="宋体"/>
          <w:szCs w:val="21"/>
        </w:rPr>
        <w:t>1960年，财政、税务和建设银行分开。</w:t>
      </w:r>
      <w:r>
        <w:rPr>
          <w:rFonts w:hint="eastAsia" w:ascii="宋体" w:hAnsi="宋体"/>
          <w:szCs w:val="21"/>
        </w:rPr>
        <w:t>“</w:t>
      </w:r>
      <w:r>
        <w:rPr>
          <w:rFonts w:ascii="宋体" w:hAnsi="宋体"/>
          <w:szCs w:val="21"/>
        </w:rPr>
        <w:t>文化大革命</w:t>
      </w:r>
      <w:r>
        <w:rPr>
          <w:rFonts w:hint="eastAsia" w:ascii="宋体" w:hAnsi="宋体"/>
          <w:szCs w:val="21"/>
        </w:rPr>
        <w:t>”</w:t>
      </w:r>
      <w:r>
        <w:rPr>
          <w:rFonts w:ascii="宋体" w:hAnsi="宋体"/>
          <w:szCs w:val="21"/>
        </w:rPr>
        <w:t>期间又有分并。1984</w:t>
      </w:r>
      <w:r>
        <w:rPr>
          <w:rFonts w:hint="eastAsia" w:ascii="宋体" w:hAnsi="宋体"/>
          <w:szCs w:val="21"/>
        </w:rPr>
        <w:t>年财政局单列，内设人秘、行财、预算、农财、企财、地财</w:t>
      </w:r>
      <w:r>
        <w:rPr>
          <w:rFonts w:ascii="宋体" w:hAnsi="宋体"/>
          <w:szCs w:val="21"/>
        </w:rPr>
        <w:t>6股。1986年实行财政</w:t>
      </w:r>
      <w:r>
        <w:rPr>
          <w:rFonts w:hint="eastAsia" w:ascii="宋体" w:hAnsi="宋体"/>
          <w:szCs w:val="21"/>
        </w:rPr>
        <w:t>包干，设立</w:t>
      </w:r>
      <w:r>
        <w:rPr>
          <w:rFonts w:ascii="宋体" w:hAnsi="宋体"/>
          <w:szCs w:val="21"/>
        </w:rPr>
        <w:t>24个乡镇财政所。1997年增设社会保障股、基本建设股、国有资产管理</w:t>
      </w:r>
      <w:r>
        <w:rPr>
          <w:rFonts w:hint="eastAsia" w:ascii="宋体" w:hAnsi="宋体"/>
          <w:szCs w:val="21"/>
        </w:rPr>
        <w:t>局、住房公积金中心。</w:t>
      </w:r>
      <w:r>
        <w:rPr>
          <w:rFonts w:ascii="宋体" w:hAnsi="宋体"/>
          <w:szCs w:val="21"/>
        </w:rPr>
        <w:t>2000年8月，成立市政府招投标采购中心。</w:t>
      </w:r>
    </w:p>
    <w:p w14:paraId="14D9EC61">
      <w:pPr>
        <w:pStyle w:val="5"/>
        <w:rPr>
          <w:rFonts w:ascii="宋体" w:hAnsi="宋体"/>
        </w:rPr>
      </w:pPr>
      <w:r>
        <w:rPr>
          <w:rFonts w:hint="eastAsia" w:ascii="宋体" w:hAnsi="宋体"/>
        </w:rPr>
        <w:t>二、预算管理</w:t>
      </w:r>
    </w:p>
    <w:p w14:paraId="37943DCA">
      <w:pPr>
        <w:ind w:firstLine="422"/>
        <w:rPr>
          <w:rFonts w:ascii="宋体" w:hAnsi="宋体"/>
          <w:b/>
          <w:szCs w:val="21"/>
        </w:rPr>
      </w:pPr>
      <w:r>
        <w:rPr>
          <w:rFonts w:hint="eastAsia" w:ascii="宋体" w:hAnsi="宋体"/>
          <w:b/>
          <w:szCs w:val="21"/>
        </w:rPr>
        <w:t>（一）管理体制</w:t>
      </w:r>
    </w:p>
    <w:p w14:paraId="2C511A1E">
      <w:pPr>
        <w:ind w:firstLine="420"/>
        <w:rPr>
          <w:rFonts w:ascii="宋体" w:hAnsi="宋体"/>
          <w:szCs w:val="21"/>
        </w:rPr>
      </w:pPr>
      <w:r>
        <w:rPr>
          <w:rFonts w:ascii="宋体" w:hAnsi="宋体"/>
          <w:szCs w:val="21"/>
        </w:rPr>
        <w:t>1950年至1952年执行高度集中的统收统支体制，一切项目、收支办法和标准，</w:t>
      </w:r>
      <w:r>
        <w:rPr>
          <w:rFonts w:hint="eastAsia" w:ascii="宋体" w:hAnsi="宋体"/>
          <w:szCs w:val="21"/>
        </w:rPr>
        <w:t>均由中央和省制定，纳入国家预算，收入金额上交，支出由中央、省拨付。</w:t>
      </w:r>
    </w:p>
    <w:p w14:paraId="1A8CC75B">
      <w:pPr>
        <w:ind w:firstLine="420"/>
        <w:rPr>
          <w:rFonts w:ascii="宋体" w:hAnsi="宋体"/>
          <w:szCs w:val="21"/>
        </w:rPr>
      </w:pPr>
      <w:r>
        <w:rPr>
          <w:rFonts w:ascii="宋体" w:hAnsi="宋体"/>
          <w:szCs w:val="21"/>
        </w:rPr>
        <w:t>1953年至1957年执行划分收支，分级管理政策，建立县级财政管理体制。收入</w:t>
      </w:r>
      <w:r>
        <w:rPr>
          <w:rFonts w:hint="eastAsia" w:ascii="宋体" w:hAnsi="宋体"/>
          <w:szCs w:val="21"/>
        </w:rPr>
        <w:t>方面划有固定收入，固定比例分成收入，调剂收入；支出按隶属关系支付，采取一年一定的预算管理办法。这一时期，财政收入逐年增长。</w:t>
      </w:r>
      <w:r>
        <w:rPr>
          <w:rFonts w:ascii="宋体" w:hAnsi="宋体"/>
          <w:szCs w:val="21"/>
        </w:rPr>
        <w:t>1957年财政收入146.9万元</w:t>
      </w:r>
      <w:r>
        <w:rPr>
          <w:rFonts w:hint="eastAsia" w:ascii="宋体" w:hAnsi="宋体"/>
          <w:szCs w:val="21"/>
        </w:rPr>
        <w:t>（不含上级补助，下同），比</w:t>
      </w:r>
      <w:r>
        <w:rPr>
          <w:rFonts w:ascii="宋体" w:hAnsi="宋体"/>
          <w:szCs w:val="21"/>
        </w:rPr>
        <w:t>1952年增长195.57%</w:t>
      </w:r>
      <w:r>
        <w:rPr>
          <w:rFonts w:hint="eastAsia" w:ascii="宋体" w:hAnsi="宋体"/>
          <w:szCs w:val="21"/>
        </w:rPr>
        <w:t>。</w:t>
      </w:r>
    </w:p>
    <w:p w14:paraId="428962D5">
      <w:pPr>
        <w:ind w:firstLine="420"/>
        <w:rPr>
          <w:rFonts w:ascii="宋体" w:hAnsi="宋体"/>
          <w:szCs w:val="21"/>
        </w:rPr>
      </w:pPr>
      <w:r>
        <w:rPr>
          <w:rFonts w:ascii="宋体" w:hAnsi="宋体"/>
          <w:szCs w:val="21"/>
        </w:rPr>
        <w:t>1958年实行总额分成，收支挂钩，一年一定的预算管理体制。由于受</w:t>
      </w:r>
      <w:r>
        <w:rPr>
          <w:rFonts w:hint="eastAsia" w:ascii="宋体" w:hAnsi="宋体"/>
          <w:szCs w:val="21"/>
        </w:rPr>
        <w:t>“</w:t>
      </w:r>
      <w:r>
        <w:rPr>
          <w:rFonts w:ascii="宋体" w:hAnsi="宋体"/>
          <w:szCs w:val="21"/>
        </w:rPr>
        <w:t>大跃进</w:t>
      </w:r>
      <w:r>
        <w:rPr>
          <w:rFonts w:hint="eastAsia" w:ascii="宋体" w:hAnsi="宋体"/>
          <w:szCs w:val="21"/>
        </w:rPr>
        <w:t>”浮夸风影响，财政工作违反客观经济规律，盲目提出大收大支，大放“财政卫星”，造成</w:t>
      </w:r>
      <w:r>
        <w:rPr>
          <w:rFonts w:ascii="宋体" w:hAnsi="宋体"/>
          <w:szCs w:val="21"/>
        </w:rPr>
        <w:t>3年财政收入大幅度虚假上升。1961年，贯彻“调整、巩固、充实、提高”方</w:t>
      </w:r>
      <w:r>
        <w:rPr>
          <w:rFonts w:hint="eastAsia" w:ascii="宋体" w:hAnsi="宋体"/>
          <w:szCs w:val="21"/>
        </w:rPr>
        <w:t>针，整顿财政金融制度，国民经济逐步恢复发展。</w:t>
      </w:r>
    </w:p>
    <w:p w14:paraId="0C477270">
      <w:pPr>
        <w:ind w:firstLine="420"/>
        <w:rPr>
          <w:rFonts w:ascii="宋体" w:hAnsi="宋体"/>
          <w:szCs w:val="21"/>
        </w:rPr>
      </w:pPr>
      <w:r>
        <w:rPr>
          <w:rFonts w:ascii="宋体" w:hAnsi="宋体"/>
          <w:szCs w:val="21"/>
        </w:rPr>
        <w:t>1971年执行财政大包干预算管理体制，1974年改为按固定比例留成，超收部分</w:t>
      </w:r>
      <w:r>
        <w:rPr>
          <w:rFonts w:hint="eastAsia" w:ascii="宋体" w:hAnsi="宋体"/>
          <w:szCs w:val="21"/>
        </w:rPr>
        <w:t>比例分成，支出按指标包干。</w:t>
      </w:r>
      <w:r>
        <w:rPr>
          <w:rFonts w:ascii="宋体" w:hAnsi="宋体"/>
          <w:szCs w:val="21"/>
        </w:rPr>
        <w:t>1976年实行收支挂钩，总额分成，增收分成的预算管</w:t>
      </w:r>
      <w:r>
        <w:rPr>
          <w:rFonts w:hint="eastAsia" w:ascii="宋体" w:hAnsi="宋体"/>
          <w:szCs w:val="21"/>
        </w:rPr>
        <w:t>理体制。</w:t>
      </w:r>
    </w:p>
    <w:p w14:paraId="6D80F6DF">
      <w:pPr>
        <w:ind w:firstLine="420"/>
        <w:rPr>
          <w:rFonts w:ascii="宋体" w:hAnsi="宋体"/>
          <w:szCs w:val="21"/>
        </w:rPr>
      </w:pPr>
      <w:r>
        <w:rPr>
          <w:rFonts w:ascii="宋体" w:hAnsi="宋体"/>
          <w:szCs w:val="21"/>
        </w:rPr>
        <w:t>1980年执行划分收支，分级包干，分灶吃饭，一定5年的预算管理体制。固定</w:t>
      </w:r>
      <w:r>
        <w:rPr>
          <w:rFonts w:hint="eastAsia" w:ascii="宋体" w:hAnsi="宋体"/>
          <w:szCs w:val="21"/>
        </w:rPr>
        <w:t>收入全部留县，调剂收入</w:t>
      </w:r>
      <w:r>
        <w:rPr>
          <w:rFonts w:ascii="宋体" w:hAnsi="宋体"/>
          <w:szCs w:val="21"/>
        </w:rPr>
        <w:t>72.29%留县，其余上解，打破了财政吃上级“大锅饭”的</w:t>
      </w:r>
      <w:r>
        <w:rPr>
          <w:rFonts w:hint="eastAsia" w:ascii="宋体" w:hAnsi="宋体"/>
          <w:szCs w:val="21"/>
        </w:rPr>
        <w:t>局面，调动了地方理财的积极性。</w:t>
      </w:r>
    </w:p>
    <w:p w14:paraId="7586579A">
      <w:pPr>
        <w:ind w:firstLine="420"/>
        <w:rPr>
          <w:rFonts w:ascii="宋体" w:hAnsi="宋体"/>
          <w:szCs w:val="21"/>
        </w:rPr>
      </w:pPr>
      <w:r>
        <w:rPr>
          <w:rFonts w:ascii="宋体" w:hAnsi="宋体"/>
          <w:szCs w:val="21"/>
        </w:rPr>
        <w:t>1985年执行划分税种，核定收支，分级包干，一定5年的预算管理体制，以1983年预算内收支决算为基数，核定1985年上解基数为9.24万元，每年增7%</w:t>
      </w:r>
      <w:r>
        <w:rPr>
          <w:rFonts w:hint="eastAsia" w:ascii="宋体" w:hAnsi="宋体"/>
          <w:szCs w:val="21"/>
        </w:rPr>
        <w:t>。</w:t>
      </w:r>
      <w:r>
        <w:rPr>
          <w:rFonts w:ascii="宋体" w:hAnsi="宋体"/>
          <w:szCs w:val="21"/>
        </w:rPr>
        <w:t>1994年，国家实行分税管理体制，把税种的属性划分中央税与地方税及共享税。</w:t>
      </w:r>
    </w:p>
    <w:p w14:paraId="7AA6B873">
      <w:pPr>
        <w:ind w:firstLine="420"/>
        <w:rPr>
          <w:rFonts w:ascii="宋体" w:hAnsi="宋体"/>
          <w:szCs w:val="21"/>
        </w:rPr>
      </w:pPr>
      <w:r>
        <w:rPr>
          <w:rFonts w:hint="eastAsia" w:ascii="宋体" w:hAnsi="宋体"/>
          <w:szCs w:val="21"/>
        </w:rPr>
        <w:t>消费税为中央收入，增值税为共享收入，其中中央为</w:t>
      </w:r>
      <w:r>
        <w:rPr>
          <w:rFonts w:ascii="宋体" w:hAnsi="宋体"/>
          <w:szCs w:val="21"/>
        </w:rPr>
        <w:t>75%，地方为25%：</w:t>
      </w:r>
    </w:p>
    <w:p w14:paraId="3661A8E8">
      <w:pPr>
        <w:ind w:firstLine="422"/>
        <w:rPr>
          <w:rFonts w:ascii="宋体" w:hAnsi="宋体"/>
          <w:b/>
          <w:szCs w:val="21"/>
        </w:rPr>
      </w:pPr>
      <w:r>
        <w:rPr>
          <w:rFonts w:hint="eastAsia" w:ascii="宋体" w:hAnsi="宋体"/>
          <w:b/>
          <w:szCs w:val="21"/>
        </w:rPr>
        <w:t>（二）财政收支</w:t>
      </w:r>
    </w:p>
    <w:p w14:paraId="55D65641">
      <w:pPr>
        <w:ind w:firstLine="0" w:firstLineChars="0"/>
        <w:jc w:val="center"/>
        <w:rPr>
          <w:rFonts w:ascii="宋体" w:hAnsi="宋体"/>
          <w:b/>
          <w:szCs w:val="21"/>
        </w:rPr>
      </w:pPr>
      <w:r>
        <w:rPr>
          <w:rFonts w:hint="eastAsia" w:ascii="宋体" w:hAnsi="宋体"/>
          <w:b/>
          <w:szCs w:val="21"/>
        </w:rPr>
        <w:t>南雄市（县）</w:t>
      </w:r>
      <w:r>
        <w:rPr>
          <w:rFonts w:ascii="宋体" w:hAnsi="宋体"/>
          <w:b/>
          <w:szCs w:val="21"/>
        </w:rPr>
        <w:t>1978年至1987年财政收支情况</w:t>
      </w:r>
    </w:p>
    <w:p w14:paraId="5B8039E6">
      <w:pPr>
        <w:ind w:firstLine="0" w:firstLineChars="0"/>
        <w:rPr>
          <w:rFonts w:ascii="宋体" w:hAnsi="宋体"/>
          <w:b/>
        </w:rPr>
      </w:pPr>
      <w:r>
        <w:rPr>
          <w:rFonts w:hint="eastAsia" w:ascii="宋体" w:hAnsi="宋体"/>
          <w:b/>
        </w:rPr>
        <w:t>表2-50</w:t>
      </w:r>
    </w:p>
    <w:p w14:paraId="122FC5EC">
      <w:pPr>
        <w:ind w:firstLine="0" w:firstLineChars="0"/>
        <w:jc w:val="right"/>
        <w:rPr>
          <w:rFonts w:ascii="宋体" w:hAnsi="宋体"/>
          <w:b/>
        </w:rPr>
      </w:pPr>
      <w:r>
        <w:rPr>
          <w:rFonts w:hint="eastAsia" w:ascii="宋体" w:hAnsi="宋体"/>
          <w:b/>
        </w:rPr>
        <w:t>单位：万元</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8"/>
        <w:gridCol w:w="808"/>
        <w:gridCol w:w="808"/>
        <w:gridCol w:w="760"/>
        <w:gridCol w:w="698"/>
        <w:gridCol w:w="698"/>
        <w:gridCol w:w="808"/>
        <w:gridCol w:w="808"/>
        <w:gridCol w:w="808"/>
        <w:gridCol w:w="762"/>
        <w:gridCol w:w="762"/>
        <w:gridCol w:w="667"/>
        <w:gridCol w:w="767"/>
      </w:tblGrid>
      <w:tr w14:paraId="29CE5D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7" w:type="pct"/>
            <w:vMerge w:val="restart"/>
            <w:vAlign w:val="center"/>
          </w:tcPr>
          <w:p w14:paraId="0E921875">
            <w:pPr>
              <w:pStyle w:val="12"/>
              <w:jc w:val="center"/>
              <w:rPr>
                <w:rFonts w:ascii="宋体" w:hAnsi="宋体"/>
                <w:b/>
              </w:rPr>
            </w:pPr>
            <w:r>
              <w:rPr>
                <w:rFonts w:hint="eastAsia" w:ascii="宋体" w:hAnsi="宋体"/>
                <w:b/>
              </w:rPr>
              <w:t>年份</w:t>
            </w:r>
          </w:p>
        </w:tc>
        <w:tc>
          <w:tcPr>
            <w:tcW w:w="1901" w:type="pct"/>
            <w:gridSpan w:val="5"/>
            <w:vAlign w:val="center"/>
          </w:tcPr>
          <w:p w14:paraId="7D908E8F">
            <w:pPr>
              <w:pStyle w:val="12"/>
              <w:jc w:val="center"/>
              <w:rPr>
                <w:rFonts w:ascii="宋体" w:hAnsi="宋体"/>
                <w:b/>
              </w:rPr>
            </w:pPr>
            <w:r>
              <w:rPr>
                <w:rFonts w:hint="eastAsia" w:ascii="宋体" w:hAnsi="宋体"/>
                <w:b/>
              </w:rPr>
              <w:t>地方财政收入</w:t>
            </w:r>
          </w:p>
        </w:tc>
        <w:tc>
          <w:tcPr>
            <w:tcW w:w="407" w:type="pct"/>
            <w:vMerge w:val="restart"/>
            <w:vAlign w:val="center"/>
          </w:tcPr>
          <w:p w14:paraId="7FBB4F86">
            <w:pPr>
              <w:pStyle w:val="12"/>
              <w:jc w:val="center"/>
              <w:rPr>
                <w:rFonts w:ascii="宋体" w:hAnsi="宋体"/>
                <w:b/>
              </w:rPr>
            </w:pPr>
            <w:r>
              <w:rPr>
                <w:rFonts w:hint="eastAsia" w:ascii="宋体" w:hAnsi="宋体"/>
                <w:b/>
              </w:rPr>
              <w:t>上级补助</w:t>
            </w:r>
          </w:p>
        </w:tc>
        <w:tc>
          <w:tcPr>
            <w:tcW w:w="1899" w:type="pct"/>
            <w:gridSpan w:val="5"/>
            <w:vAlign w:val="center"/>
          </w:tcPr>
          <w:p w14:paraId="723DF6A4">
            <w:pPr>
              <w:pStyle w:val="12"/>
              <w:jc w:val="center"/>
              <w:rPr>
                <w:rFonts w:ascii="宋体" w:hAnsi="宋体"/>
                <w:b/>
              </w:rPr>
            </w:pPr>
            <w:r>
              <w:rPr>
                <w:rFonts w:hint="eastAsia" w:ascii="宋体" w:hAnsi="宋体"/>
                <w:b/>
              </w:rPr>
              <w:t>地方财政支出</w:t>
            </w:r>
          </w:p>
        </w:tc>
        <w:tc>
          <w:tcPr>
            <w:tcW w:w="387" w:type="pct"/>
            <w:vMerge w:val="restart"/>
            <w:vAlign w:val="center"/>
          </w:tcPr>
          <w:p w14:paraId="5A95CB8D">
            <w:pPr>
              <w:pStyle w:val="12"/>
              <w:jc w:val="center"/>
              <w:rPr>
                <w:rFonts w:ascii="宋体" w:hAnsi="宋体"/>
                <w:b/>
              </w:rPr>
            </w:pPr>
            <w:r>
              <w:rPr>
                <w:rFonts w:hint="eastAsia" w:ascii="宋体" w:hAnsi="宋体"/>
                <w:b/>
              </w:rPr>
              <w:t>上解</w:t>
            </w:r>
          </w:p>
        </w:tc>
      </w:tr>
      <w:tr w14:paraId="57069F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7" w:type="pct"/>
            <w:vMerge w:val="continue"/>
            <w:vAlign w:val="center"/>
          </w:tcPr>
          <w:p w14:paraId="3A977FBC">
            <w:pPr>
              <w:pStyle w:val="12"/>
              <w:jc w:val="center"/>
              <w:rPr>
                <w:rFonts w:ascii="宋体" w:hAnsi="宋体"/>
              </w:rPr>
            </w:pPr>
          </w:p>
        </w:tc>
        <w:tc>
          <w:tcPr>
            <w:tcW w:w="407" w:type="pct"/>
            <w:vMerge w:val="restart"/>
            <w:vAlign w:val="center"/>
          </w:tcPr>
          <w:p w14:paraId="75DE58A9">
            <w:pPr>
              <w:pStyle w:val="12"/>
              <w:jc w:val="center"/>
              <w:rPr>
                <w:rFonts w:ascii="宋体" w:hAnsi="宋体"/>
                <w:b/>
              </w:rPr>
            </w:pPr>
            <w:r>
              <w:rPr>
                <w:rFonts w:hint="eastAsia" w:ascii="宋体" w:hAnsi="宋体"/>
                <w:b/>
              </w:rPr>
              <w:t>总收入</w:t>
            </w:r>
          </w:p>
        </w:tc>
        <w:tc>
          <w:tcPr>
            <w:tcW w:w="407" w:type="pct"/>
            <w:vMerge w:val="restart"/>
            <w:vAlign w:val="center"/>
          </w:tcPr>
          <w:p w14:paraId="26FC8962">
            <w:pPr>
              <w:pStyle w:val="12"/>
              <w:jc w:val="center"/>
              <w:rPr>
                <w:rFonts w:ascii="宋体" w:hAnsi="宋体"/>
                <w:b/>
              </w:rPr>
            </w:pPr>
            <w:r>
              <w:rPr>
                <w:rFonts w:hint="eastAsia" w:ascii="宋体" w:hAnsi="宋体"/>
                <w:b/>
              </w:rPr>
              <w:t>其中：预算内</w:t>
            </w:r>
          </w:p>
        </w:tc>
        <w:tc>
          <w:tcPr>
            <w:tcW w:w="1087" w:type="pct"/>
            <w:gridSpan w:val="3"/>
            <w:vAlign w:val="center"/>
          </w:tcPr>
          <w:p w14:paraId="46136581">
            <w:pPr>
              <w:pStyle w:val="12"/>
              <w:jc w:val="center"/>
              <w:rPr>
                <w:rFonts w:ascii="宋体" w:hAnsi="宋体"/>
                <w:b/>
              </w:rPr>
            </w:pPr>
            <w:r>
              <w:rPr>
                <w:rFonts w:hint="eastAsia" w:ascii="宋体" w:hAnsi="宋体"/>
                <w:b/>
              </w:rPr>
              <w:t>其中：按收入项目分</w:t>
            </w:r>
          </w:p>
        </w:tc>
        <w:tc>
          <w:tcPr>
            <w:tcW w:w="407" w:type="pct"/>
            <w:vMerge w:val="continue"/>
            <w:vAlign w:val="center"/>
          </w:tcPr>
          <w:p w14:paraId="1BD36B76">
            <w:pPr>
              <w:pStyle w:val="12"/>
              <w:jc w:val="center"/>
              <w:rPr>
                <w:rFonts w:ascii="宋体" w:hAnsi="宋体"/>
              </w:rPr>
            </w:pPr>
          </w:p>
        </w:tc>
        <w:tc>
          <w:tcPr>
            <w:tcW w:w="407" w:type="pct"/>
            <w:vMerge w:val="restart"/>
            <w:vAlign w:val="center"/>
          </w:tcPr>
          <w:p w14:paraId="43329343">
            <w:pPr>
              <w:pStyle w:val="12"/>
              <w:jc w:val="center"/>
              <w:rPr>
                <w:rFonts w:ascii="宋体" w:hAnsi="宋体"/>
                <w:b/>
              </w:rPr>
            </w:pPr>
            <w:r>
              <w:rPr>
                <w:rFonts w:hint="eastAsia" w:ascii="宋体" w:hAnsi="宋体"/>
                <w:b/>
              </w:rPr>
              <w:t>总支出</w:t>
            </w:r>
          </w:p>
        </w:tc>
        <w:tc>
          <w:tcPr>
            <w:tcW w:w="407" w:type="pct"/>
            <w:vMerge w:val="restart"/>
            <w:vAlign w:val="center"/>
          </w:tcPr>
          <w:p w14:paraId="4D0ADEB2">
            <w:pPr>
              <w:pStyle w:val="12"/>
              <w:jc w:val="center"/>
              <w:rPr>
                <w:rFonts w:ascii="宋体" w:hAnsi="宋体"/>
                <w:b/>
              </w:rPr>
            </w:pPr>
            <w:r>
              <w:rPr>
                <w:rFonts w:hint="eastAsia" w:ascii="宋体" w:hAnsi="宋体"/>
                <w:b/>
              </w:rPr>
              <w:t>其中：预算内</w:t>
            </w:r>
          </w:p>
        </w:tc>
        <w:tc>
          <w:tcPr>
            <w:tcW w:w="1084" w:type="pct"/>
            <w:gridSpan w:val="3"/>
            <w:vAlign w:val="center"/>
          </w:tcPr>
          <w:p w14:paraId="66DBE6DD">
            <w:pPr>
              <w:pStyle w:val="12"/>
              <w:jc w:val="center"/>
              <w:rPr>
                <w:rFonts w:ascii="宋体" w:hAnsi="宋体"/>
                <w:b/>
              </w:rPr>
            </w:pPr>
            <w:r>
              <w:rPr>
                <w:rFonts w:hint="eastAsia" w:ascii="宋体" w:hAnsi="宋体"/>
                <w:b/>
              </w:rPr>
              <w:t>其中：按支出费类分</w:t>
            </w:r>
          </w:p>
        </w:tc>
        <w:tc>
          <w:tcPr>
            <w:tcW w:w="387" w:type="pct"/>
            <w:vMerge w:val="continue"/>
            <w:vAlign w:val="center"/>
          </w:tcPr>
          <w:p w14:paraId="066AD16B">
            <w:pPr>
              <w:pStyle w:val="12"/>
              <w:jc w:val="center"/>
              <w:rPr>
                <w:rFonts w:ascii="宋体" w:hAnsi="宋体"/>
              </w:rPr>
            </w:pPr>
          </w:p>
        </w:tc>
      </w:tr>
      <w:tr w14:paraId="28B9AE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7" w:type="pct"/>
            <w:vMerge w:val="continue"/>
            <w:vAlign w:val="center"/>
          </w:tcPr>
          <w:p w14:paraId="50DC30DF">
            <w:pPr>
              <w:pStyle w:val="12"/>
              <w:jc w:val="center"/>
              <w:rPr>
                <w:rFonts w:ascii="宋体" w:hAnsi="宋体"/>
              </w:rPr>
            </w:pPr>
          </w:p>
        </w:tc>
        <w:tc>
          <w:tcPr>
            <w:tcW w:w="407" w:type="pct"/>
            <w:vMerge w:val="continue"/>
            <w:vAlign w:val="center"/>
          </w:tcPr>
          <w:p w14:paraId="2FB6C917">
            <w:pPr>
              <w:pStyle w:val="12"/>
              <w:jc w:val="center"/>
              <w:rPr>
                <w:rFonts w:ascii="宋体" w:hAnsi="宋体"/>
                <w:b/>
              </w:rPr>
            </w:pPr>
          </w:p>
        </w:tc>
        <w:tc>
          <w:tcPr>
            <w:tcW w:w="407" w:type="pct"/>
            <w:vMerge w:val="continue"/>
            <w:vAlign w:val="center"/>
          </w:tcPr>
          <w:p w14:paraId="5AA3F5B3">
            <w:pPr>
              <w:pStyle w:val="12"/>
              <w:jc w:val="center"/>
              <w:rPr>
                <w:rFonts w:ascii="宋体" w:hAnsi="宋体"/>
                <w:b/>
              </w:rPr>
            </w:pPr>
          </w:p>
        </w:tc>
        <w:tc>
          <w:tcPr>
            <w:tcW w:w="383" w:type="pct"/>
            <w:vAlign w:val="center"/>
          </w:tcPr>
          <w:p w14:paraId="48437FD4">
            <w:pPr>
              <w:pStyle w:val="12"/>
              <w:jc w:val="center"/>
              <w:rPr>
                <w:rFonts w:ascii="宋体" w:hAnsi="宋体"/>
                <w:b/>
              </w:rPr>
            </w:pPr>
            <w:r>
              <w:rPr>
                <w:rFonts w:hint="eastAsia" w:ascii="宋体" w:hAnsi="宋体"/>
                <w:b/>
              </w:rPr>
              <w:t>工商各税</w:t>
            </w:r>
          </w:p>
        </w:tc>
        <w:tc>
          <w:tcPr>
            <w:tcW w:w="352" w:type="pct"/>
            <w:vAlign w:val="center"/>
          </w:tcPr>
          <w:p w14:paraId="4F3FC33F">
            <w:pPr>
              <w:pStyle w:val="12"/>
              <w:jc w:val="center"/>
              <w:rPr>
                <w:rFonts w:ascii="宋体" w:hAnsi="宋体"/>
                <w:b/>
              </w:rPr>
            </w:pPr>
            <w:r>
              <w:rPr>
                <w:rFonts w:hint="eastAsia" w:ascii="宋体" w:hAnsi="宋体"/>
                <w:b/>
              </w:rPr>
              <w:t>农业税</w:t>
            </w:r>
          </w:p>
        </w:tc>
        <w:tc>
          <w:tcPr>
            <w:tcW w:w="352" w:type="pct"/>
            <w:vAlign w:val="center"/>
          </w:tcPr>
          <w:p w14:paraId="20FFF077">
            <w:pPr>
              <w:pStyle w:val="12"/>
              <w:jc w:val="center"/>
              <w:rPr>
                <w:rFonts w:ascii="宋体" w:hAnsi="宋体"/>
                <w:b/>
              </w:rPr>
            </w:pPr>
            <w:r>
              <w:rPr>
                <w:rFonts w:hint="eastAsia" w:ascii="宋体" w:hAnsi="宋体"/>
                <w:b/>
              </w:rPr>
              <w:t>企业收入</w:t>
            </w:r>
          </w:p>
        </w:tc>
        <w:tc>
          <w:tcPr>
            <w:tcW w:w="407" w:type="pct"/>
            <w:vMerge w:val="continue"/>
            <w:vAlign w:val="center"/>
          </w:tcPr>
          <w:p w14:paraId="788B4D5E">
            <w:pPr>
              <w:pStyle w:val="12"/>
              <w:jc w:val="center"/>
              <w:rPr>
                <w:rFonts w:ascii="宋体" w:hAnsi="宋体"/>
              </w:rPr>
            </w:pPr>
          </w:p>
        </w:tc>
        <w:tc>
          <w:tcPr>
            <w:tcW w:w="407" w:type="pct"/>
            <w:vMerge w:val="continue"/>
            <w:vAlign w:val="center"/>
          </w:tcPr>
          <w:p w14:paraId="280AC408">
            <w:pPr>
              <w:pStyle w:val="12"/>
              <w:jc w:val="center"/>
              <w:rPr>
                <w:rFonts w:ascii="宋体" w:hAnsi="宋体"/>
                <w:b/>
              </w:rPr>
            </w:pPr>
          </w:p>
        </w:tc>
        <w:tc>
          <w:tcPr>
            <w:tcW w:w="407" w:type="pct"/>
            <w:vMerge w:val="continue"/>
            <w:vAlign w:val="center"/>
          </w:tcPr>
          <w:p w14:paraId="47DA01BA">
            <w:pPr>
              <w:pStyle w:val="12"/>
              <w:jc w:val="center"/>
              <w:rPr>
                <w:rFonts w:ascii="宋体" w:hAnsi="宋体"/>
                <w:b/>
              </w:rPr>
            </w:pPr>
          </w:p>
        </w:tc>
        <w:tc>
          <w:tcPr>
            <w:tcW w:w="384" w:type="pct"/>
            <w:vAlign w:val="center"/>
          </w:tcPr>
          <w:p w14:paraId="674C5222">
            <w:pPr>
              <w:pStyle w:val="12"/>
              <w:jc w:val="center"/>
              <w:rPr>
                <w:rFonts w:ascii="宋体" w:hAnsi="宋体"/>
                <w:b/>
              </w:rPr>
            </w:pPr>
            <w:r>
              <w:rPr>
                <w:rFonts w:hint="eastAsia" w:ascii="宋体" w:hAnsi="宋体"/>
                <w:b/>
              </w:rPr>
              <w:t>经济建设费</w:t>
            </w:r>
          </w:p>
        </w:tc>
        <w:tc>
          <w:tcPr>
            <w:tcW w:w="384" w:type="pct"/>
            <w:vAlign w:val="center"/>
          </w:tcPr>
          <w:p w14:paraId="7D598B24">
            <w:pPr>
              <w:pStyle w:val="12"/>
              <w:jc w:val="center"/>
              <w:rPr>
                <w:rFonts w:ascii="宋体" w:hAnsi="宋体"/>
                <w:b/>
              </w:rPr>
            </w:pPr>
            <w:r>
              <w:rPr>
                <w:rFonts w:hint="eastAsia" w:ascii="宋体" w:hAnsi="宋体"/>
                <w:b/>
              </w:rPr>
              <w:t>社会文教费</w:t>
            </w:r>
          </w:p>
        </w:tc>
        <w:tc>
          <w:tcPr>
            <w:tcW w:w="317" w:type="pct"/>
            <w:vAlign w:val="center"/>
          </w:tcPr>
          <w:p w14:paraId="70F01F4F">
            <w:pPr>
              <w:pStyle w:val="12"/>
              <w:jc w:val="center"/>
              <w:rPr>
                <w:rFonts w:ascii="宋体" w:hAnsi="宋体"/>
                <w:b/>
              </w:rPr>
            </w:pPr>
            <w:r>
              <w:rPr>
                <w:rFonts w:hint="eastAsia" w:ascii="宋体" w:hAnsi="宋体"/>
                <w:b/>
              </w:rPr>
              <w:t>行政管理费</w:t>
            </w:r>
          </w:p>
        </w:tc>
        <w:tc>
          <w:tcPr>
            <w:tcW w:w="387" w:type="pct"/>
            <w:vMerge w:val="continue"/>
            <w:vAlign w:val="center"/>
          </w:tcPr>
          <w:p w14:paraId="3922FC1A">
            <w:pPr>
              <w:pStyle w:val="12"/>
              <w:jc w:val="center"/>
              <w:rPr>
                <w:rFonts w:ascii="宋体" w:hAnsi="宋体"/>
              </w:rPr>
            </w:pPr>
          </w:p>
        </w:tc>
      </w:tr>
      <w:tr w14:paraId="7471AC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7" w:type="pct"/>
            <w:vAlign w:val="center"/>
          </w:tcPr>
          <w:p w14:paraId="678032B6">
            <w:pPr>
              <w:pStyle w:val="12"/>
              <w:jc w:val="center"/>
              <w:rPr>
                <w:rFonts w:ascii="宋体" w:hAnsi="宋体"/>
                <w:sz w:val="18"/>
                <w:szCs w:val="18"/>
              </w:rPr>
            </w:pPr>
            <w:r>
              <w:rPr>
                <w:rFonts w:ascii="宋体" w:hAnsi="宋体"/>
                <w:sz w:val="18"/>
                <w:szCs w:val="18"/>
              </w:rPr>
              <w:t>1978</w:t>
            </w:r>
          </w:p>
        </w:tc>
        <w:tc>
          <w:tcPr>
            <w:tcW w:w="407" w:type="pct"/>
            <w:vAlign w:val="center"/>
          </w:tcPr>
          <w:p w14:paraId="2B35333B">
            <w:pPr>
              <w:pStyle w:val="12"/>
              <w:jc w:val="center"/>
              <w:rPr>
                <w:rFonts w:ascii="宋体" w:hAnsi="宋体"/>
                <w:sz w:val="18"/>
                <w:szCs w:val="18"/>
              </w:rPr>
            </w:pPr>
            <w:r>
              <w:rPr>
                <w:rFonts w:ascii="宋体" w:hAnsi="宋体"/>
                <w:sz w:val="18"/>
                <w:szCs w:val="18"/>
              </w:rPr>
              <w:t>1067.4</w:t>
            </w:r>
          </w:p>
        </w:tc>
        <w:tc>
          <w:tcPr>
            <w:tcW w:w="407" w:type="pct"/>
            <w:vAlign w:val="center"/>
          </w:tcPr>
          <w:p w14:paraId="712CED3D">
            <w:pPr>
              <w:pStyle w:val="12"/>
              <w:jc w:val="center"/>
              <w:rPr>
                <w:rFonts w:ascii="宋体" w:hAnsi="宋体"/>
                <w:sz w:val="18"/>
                <w:szCs w:val="18"/>
              </w:rPr>
            </w:pPr>
            <w:r>
              <w:rPr>
                <w:rFonts w:ascii="宋体" w:hAnsi="宋体"/>
                <w:sz w:val="18"/>
                <w:szCs w:val="18"/>
              </w:rPr>
              <w:t>1029.3</w:t>
            </w:r>
          </w:p>
        </w:tc>
        <w:tc>
          <w:tcPr>
            <w:tcW w:w="383" w:type="pct"/>
            <w:vAlign w:val="center"/>
          </w:tcPr>
          <w:p w14:paraId="653E69F1">
            <w:pPr>
              <w:pStyle w:val="12"/>
              <w:jc w:val="center"/>
              <w:rPr>
                <w:rFonts w:ascii="宋体" w:hAnsi="宋体"/>
                <w:sz w:val="18"/>
                <w:szCs w:val="18"/>
              </w:rPr>
            </w:pPr>
            <w:r>
              <w:rPr>
                <w:rFonts w:ascii="宋体" w:hAnsi="宋体"/>
                <w:sz w:val="18"/>
                <w:szCs w:val="18"/>
              </w:rPr>
              <w:t>704.4</w:t>
            </w:r>
          </w:p>
        </w:tc>
        <w:tc>
          <w:tcPr>
            <w:tcW w:w="352" w:type="pct"/>
            <w:vAlign w:val="center"/>
          </w:tcPr>
          <w:p w14:paraId="7A0517C8">
            <w:pPr>
              <w:pStyle w:val="12"/>
              <w:jc w:val="center"/>
              <w:rPr>
                <w:rFonts w:ascii="宋体" w:hAnsi="宋体"/>
                <w:sz w:val="18"/>
                <w:szCs w:val="18"/>
              </w:rPr>
            </w:pPr>
            <w:r>
              <w:rPr>
                <w:rFonts w:ascii="宋体" w:hAnsi="宋体"/>
                <w:sz w:val="18"/>
                <w:szCs w:val="18"/>
              </w:rPr>
              <w:t>191.4</w:t>
            </w:r>
          </w:p>
        </w:tc>
        <w:tc>
          <w:tcPr>
            <w:tcW w:w="352" w:type="pct"/>
            <w:vAlign w:val="center"/>
          </w:tcPr>
          <w:p w14:paraId="68004D24">
            <w:pPr>
              <w:pStyle w:val="12"/>
              <w:jc w:val="center"/>
              <w:rPr>
                <w:rFonts w:ascii="宋体" w:hAnsi="宋体"/>
                <w:sz w:val="18"/>
                <w:szCs w:val="18"/>
              </w:rPr>
            </w:pPr>
            <w:r>
              <w:rPr>
                <w:rFonts w:ascii="宋体" w:hAnsi="宋体"/>
                <w:sz w:val="18"/>
                <w:szCs w:val="18"/>
              </w:rPr>
              <w:t>166.5</w:t>
            </w:r>
          </w:p>
        </w:tc>
        <w:tc>
          <w:tcPr>
            <w:tcW w:w="407" w:type="pct"/>
            <w:vAlign w:val="center"/>
          </w:tcPr>
          <w:p w14:paraId="38B1CE6A">
            <w:pPr>
              <w:pStyle w:val="12"/>
              <w:jc w:val="center"/>
              <w:rPr>
                <w:rFonts w:ascii="宋体" w:hAnsi="宋体"/>
                <w:sz w:val="18"/>
                <w:szCs w:val="18"/>
              </w:rPr>
            </w:pPr>
            <w:r>
              <w:rPr>
                <w:rFonts w:ascii="宋体" w:hAnsi="宋体"/>
                <w:sz w:val="18"/>
                <w:szCs w:val="18"/>
              </w:rPr>
              <w:t>251.1</w:t>
            </w:r>
          </w:p>
        </w:tc>
        <w:tc>
          <w:tcPr>
            <w:tcW w:w="407" w:type="pct"/>
            <w:vAlign w:val="center"/>
          </w:tcPr>
          <w:p w14:paraId="5266DB9E">
            <w:pPr>
              <w:pStyle w:val="12"/>
              <w:jc w:val="center"/>
              <w:rPr>
                <w:rFonts w:ascii="宋体" w:hAnsi="宋体"/>
                <w:sz w:val="18"/>
                <w:szCs w:val="18"/>
              </w:rPr>
            </w:pPr>
            <w:r>
              <w:rPr>
                <w:rFonts w:ascii="宋体" w:hAnsi="宋体"/>
                <w:sz w:val="18"/>
                <w:szCs w:val="18"/>
              </w:rPr>
              <w:t>644.4</w:t>
            </w:r>
          </w:p>
        </w:tc>
        <w:tc>
          <w:tcPr>
            <w:tcW w:w="407" w:type="pct"/>
            <w:vAlign w:val="center"/>
          </w:tcPr>
          <w:p w14:paraId="6C319010">
            <w:pPr>
              <w:pStyle w:val="12"/>
              <w:jc w:val="center"/>
              <w:rPr>
                <w:rFonts w:ascii="宋体" w:hAnsi="宋体"/>
                <w:sz w:val="18"/>
                <w:szCs w:val="18"/>
              </w:rPr>
            </w:pPr>
            <w:r>
              <w:rPr>
                <w:rFonts w:ascii="宋体" w:hAnsi="宋体"/>
                <w:sz w:val="18"/>
                <w:szCs w:val="18"/>
              </w:rPr>
              <w:t>600.4</w:t>
            </w:r>
          </w:p>
        </w:tc>
        <w:tc>
          <w:tcPr>
            <w:tcW w:w="384" w:type="pct"/>
            <w:vAlign w:val="center"/>
          </w:tcPr>
          <w:p w14:paraId="11D1B0D7">
            <w:pPr>
              <w:pStyle w:val="12"/>
              <w:jc w:val="center"/>
              <w:rPr>
                <w:rFonts w:ascii="宋体" w:hAnsi="宋体"/>
                <w:sz w:val="18"/>
                <w:szCs w:val="18"/>
              </w:rPr>
            </w:pPr>
            <w:r>
              <w:rPr>
                <w:rFonts w:ascii="宋体" w:hAnsi="宋体"/>
                <w:sz w:val="18"/>
                <w:szCs w:val="18"/>
              </w:rPr>
              <w:t>248.4</w:t>
            </w:r>
          </w:p>
        </w:tc>
        <w:tc>
          <w:tcPr>
            <w:tcW w:w="384" w:type="pct"/>
            <w:vAlign w:val="center"/>
          </w:tcPr>
          <w:p w14:paraId="543CB1BE">
            <w:pPr>
              <w:pStyle w:val="12"/>
              <w:jc w:val="center"/>
              <w:rPr>
                <w:rFonts w:ascii="宋体" w:hAnsi="宋体"/>
                <w:sz w:val="18"/>
                <w:szCs w:val="18"/>
              </w:rPr>
            </w:pPr>
            <w:r>
              <w:rPr>
                <w:rFonts w:ascii="宋体" w:hAnsi="宋体"/>
                <w:sz w:val="18"/>
                <w:szCs w:val="18"/>
              </w:rPr>
              <w:t>287.5</w:t>
            </w:r>
          </w:p>
        </w:tc>
        <w:tc>
          <w:tcPr>
            <w:tcW w:w="317" w:type="pct"/>
            <w:vAlign w:val="center"/>
          </w:tcPr>
          <w:p w14:paraId="2FD59D10">
            <w:pPr>
              <w:pStyle w:val="12"/>
              <w:jc w:val="center"/>
              <w:rPr>
                <w:rFonts w:ascii="宋体" w:hAnsi="宋体"/>
                <w:sz w:val="18"/>
                <w:szCs w:val="18"/>
              </w:rPr>
            </w:pPr>
            <w:r>
              <w:rPr>
                <w:rFonts w:ascii="宋体" w:hAnsi="宋体"/>
                <w:sz w:val="18"/>
                <w:szCs w:val="18"/>
              </w:rPr>
              <w:t>101.7</w:t>
            </w:r>
          </w:p>
        </w:tc>
        <w:tc>
          <w:tcPr>
            <w:tcW w:w="387" w:type="pct"/>
            <w:vAlign w:val="center"/>
          </w:tcPr>
          <w:p w14:paraId="2E20674D">
            <w:pPr>
              <w:pStyle w:val="12"/>
              <w:jc w:val="center"/>
              <w:rPr>
                <w:rFonts w:ascii="宋体" w:hAnsi="宋体"/>
                <w:sz w:val="18"/>
                <w:szCs w:val="18"/>
              </w:rPr>
            </w:pPr>
            <w:r>
              <w:rPr>
                <w:rFonts w:ascii="宋体" w:hAnsi="宋体"/>
                <w:sz w:val="18"/>
                <w:szCs w:val="18"/>
              </w:rPr>
              <w:t>673.5</w:t>
            </w:r>
          </w:p>
        </w:tc>
      </w:tr>
      <w:tr w14:paraId="52225B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7" w:type="pct"/>
            <w:vAlign w:val="center"/>
          </w:tcPr>
          <w:p w14:paraId="22C93014">
            <w:pPr>
              <w:pStyle w:val="12"/>
              <w:jc w:val="center"/>
              <w:rPr>
                <w:rFonts w:ascii="宋体" w:hAnsi="宋体"/>
                <w:sz w:val="18"/>
                <w:szCs w:val="18"/>
              </w:rPr>
            </w:pPr>
            <w:r>
              <w:rPr>
                <w:rFonts w:ascii="宋体" w:hAnsi="宋体"/>
                <w:sz w:val="18"/>
                <w:szCs w:val="18"/>
              </w:rPr>
              <w:t>1979</w:t>
            </w:r>
          </w:p>
        </w:tc>
        <w:tc>
          <w:tcPr>
            <w:tcW w:w="407" w:type="pct"/>
            <w:vAlign w:val="center"/>
          </w:tcPr>
          <w:p w14:paraId="2AE5DFD6">
            <w:pPr>
              <w:pStyle w:val="12"/>
              <w:jc w:val="center"/>
              <w:rPr>
                <w:rFonts w:ascii="宋体" w:hAnsi="宋体"/>
                <w:sz w:val="18"/>
                <w:szCs w:val="18"/>
              </w:rPr>
            </w:pPr>
            <w:r>
              <w:rPr>
                <w:rFonts w:ascii="宋体" w:hAnsi="宋体"/>
                <w:sz w:val="18"/>
                <w:szCs w:val="18"/>
              </w:rPr>
              <w:t>909</w:t>
            </w:r>
          </w:p>
        </w:tc>
        <w:tc>
          <w:tcPr>
            <w:tcW w:w="407" w:type="pct"/>
            <w:vAlign w:val="center"/>
          </w:tcPr>
          <w:p w14:paraId="2457BB15">
            <w:pPr>
              <w:pStyle w:val="12"/>
              <w:jc w:val="center"/>
              <w:rPr>
                <w:rFonts w:ascii="宋体" w:hAnsi="宋体"/>
                <w:sz w:val="18"/>
                <w:szCs w:val="18"/>
              </w:rPr>
            </w:pPr>
            <w:r>
              <w:rPr>
                <w:rFonts w:ascii="宋体" w:hAnsi="宋体"/>
                <w:sz w:val="18"/>
                <w:szCs w:val="18"/>
              </w:rPr>
              <w:t>885.8</w:t>
            </w:r>
          </w:p>
        </w:tc>
        <w:tc>
          <w:tcPr>
            <w:tcW w:w="383" w:type="pct"/>
            <w:vAlign w:val="center"/>
          </w:tcPr>
          <w:p w14:paraId="77E5B574">
            <w:pPr>
              <w:pStyle w:val="12"/>
              <w:jc w:val="center"/>
              <w:rPr>
                <w:rFonts w:ascii="宋体" w:hAnsi="宋体"/>
                <w:sz w:val="18"/>
                <w:szCs w:val="18"/>
              </w:rPr>
            </w:pPr>
            <w:r>
              <w:rPr>
                <w:rFonts w:ascii="宋体" w:hAnsi="宋体"/>
                <w:sz w:val="18"/>
                <w:szCs w:val="18"/>
              </w:rPr>
              <w:t>685.7</w:t>
            </w:r>
          </w:p>
        </w:tc>
        <w:tc>
          <w:tcPr>
            <w:tcW w:w="352" w:type="pct"/>
            <w:vAlign w:val="center"/>
          </w:tcPr>
          <w:p w14:paraId="28F71465">
            <w:pPr>
              <w:pStyle w:val="12"/>
              <w:jc w:val="center"/>
              <w:rPr>
                <w:rFonts w:ascii="宋体" w:hAnsi="宋体"/>
                <w:sz w:val="18"/>
                <w:szCs w:val="18"/>
              </w:rPr>
            </w:pPr>
            <w:r>
              <w:rPr>
                <w:rFonts w:ascii="宋体" w:hAnsi="宋体"/>
                <w:sz w:val="18"/>
                <w:szCs w:val="18"/>
              </w:rPr>
              <w:t>193</w:t>
            </w:r>
          </w:p>
        </w:tc>
        <w:tc>
          <w:tcPr>
            <w:tcW w:w="352" w:type="pct"/>
            <w:vAlign w:val="center"/>
          </w:tcPr>
          <w:p w14:paraId="27713655">
            <w:pPr>
              <w:pStyle w:val="12"/>
              <w:jc w:val="center"/>
              <w:rPr>
                <w:rFonts w:ascii="宋体" w:hAnsi="宋体"/>
                <w:sz w:val="18"/>
                <w:szCs w:val="18"/>
              </w:rPr>
            </w:pPr>
            <w:r>
              <w:rPr>
                <w:rFonts w:ascii="宋体" w:hAnsi="宋体"/>
                <w:sz w:val="18"/>
                <w:szCs w:val="18"/>
              </w:rPr>
              <w:t>29.7</w:t>
            </w:r>
          </w:p>
        </w:tc>
        <w:tc>
          <w:tcPr>
            <w:tcW w:w="407" w:type="pct"/>
            <w:vAlign w:val="center"/>
          </w:tcPr>
          <w:p w14:paraId="3D4F208A">
            <w:pPr>
              <w:pStyle w:val="12"/>
              <w:jc w:val="center"/>
              <w:rPr>
                <w:rFonts w:ascii="宋体" w:hAnsi="宋体"/>
                <w:sz w:val="18"/>
                <w:szCs w:val="18"/>
              </w:rPr>
            </w:pPr>
            <w:r>
              <w:rPr>
                <w:rFonts w:ascii="宋体" w:hAnsi="宋体"/>
                <w:sz w:val="18"/>
                <w:szCs w:val="18"/>
              </w:rPr>
              <w:t>288.8</w:t>
            </w:r>
          </w:p>
        </w:tc>
        <w:tc>
          <w:tcPr>
            <w:tcW w:w="407" w:type="pct"/>
            <w:vAlign w:val="center"/>
          </w:tcPr>
          <w:p w14:paraId="7AB648DA">
            <w:pPr>
              <w:pStyle w:val="12"/>
              <w:jc w:val="center"/>
              <w:rPr>
                <w:rFonts w:ascii="宋体" w:hAnsi="宋体"/>
                <w:sz w:val="18"/>
                <w:szCs w:val="18"/>
              </w:rPr>
            </w:pPr>
            <w:r>
              <w:rPr>
                <w:rFonts w:ascii="宋体" w:hAnsi="宋体"/>
                <w:sz w:val="18"/>
                <w:szCs w:val="18"/>
              </w:rPr>
              <w:t>737.1</w:t>
            </w:r>
          </w:p>
        </w:tc>
        <w:tc>
          <w:tcPr>
            <w:tcW w:w="407" w:type="pct"/>
            <w:vAlign w:val="center"/>
          </w:tcPr>
          <w:p w14:paraId="021E7298">
            <w:pPr>
              <w:pStyle w:val="12"/>
              <w:jc w:val="center"/>
              <w:rPr>
                <w:rFonts w:ascii="宋体" w:hAnsi="宋体"/>
                <w:sz w:val="18"/>
                <w:szCs w:val="18"/>
              </w:rPr>
            </w:pPr>
            <w:r>
              <w:rPr>
                <w:rFonts w:ascii="宋体" w:hAnsi="宋体"/>
                <w:sz w:val="18"/>
                <w:szCs w:val="18"/>
              </w:rPr>
              <w:t>717.8</w:t>
            </w:r>
          </w:p>
        </w:tc>
        <w:tc>
          <w:tcPr>
            <w:tcW w:w="384" w:type="pct"/>
            <w:vAlign w:val="center"/>
          </w:tcPr>
          <w:p w14:paraId="62EC0B08">
            <w:pPr>
              <w:pStyle w:val="12"/>
              <w:jc w:val="center"/>
              <w:rPr>
                <w:rFonts w:ascii="宋体" w:hAnsi="宋体"/>
                <w:sz w:val="18"/>
                <w:szCs w:val="18"/>
              </w:rPr>
            </w:pPr>
            <w:r>
              <w:rPr>
                <w:rFonts w:ascii="宋体" w:hAnsi="宋体"/>
                <w:sz w:val="18"/>
                <w:szCs w:val="18"/>
              </w:rPr>
              <w:t>222.8</w:t>
            </w:r>
          </w:p>
        </w:tc>
        <w:tc>
          <w:tcPr>
            <w:tcW w:w="384" w:type="pct"/>
            <w:vAlign w:val="center"/>
          </w:tcPr>
          <w:p w14:paraId="3C2A0B90">
            <w:pPr>
              <w:pStyle w:val="12"/>
              <w:jc w:val="center"/>
              <w:rPr>
                <w:rFonts w:ascii="宋体" w:hAnsi="宋体"/>
                <w:sz w:val="18"/>
                <w:szCs w:val="18"/>
              </w:rPr>
            </w:pPr>
            <w:r>
              <w:rPr>
                <w:rFonts w:ascii="宋体" w:hAnsi="宋体"/>
                <w:sz w:val="18"/>
                <w:szCs w:val="18"/>
              </w:rPr>
              <w:t>364.6</w:t>
            </w:r>
          </w:p>
        </w:tc>
        <w:tc>
          <w:tcPr>
            <w:tcW w:w="317" w:type="pct"/>
            <w:vAlign w:val="center"/>
          </w:tcPr>
          <w:p w14:paraId="5488FFD2">
            <w:pPr>
              <w:pStyle w:val="12"/>
              <w:jc w:val="center"/>
              <w:rPr>
                <w:rFonts w:ascii="宋体" w:hAnsi="宋体"/>
                <w:sz w:val="18"/>
                <w:szCs w:val="18"/>
              </w:rPr>
            </w:pPr>
            <w:r>
              <w:rPr>
                <w:rFonts w:ascii="宋体" w:hAnsi="宋体"/>
                <w:sz w:val="18"/>
                <w:szCs w:val="18"/>
              </w:rPr>
              <w:t>125.7</w:t>
            </w:r>
          </w:p>
        </w:tc>
        <w:tc>
          <w:tcPr>
            <w:tcW w:w="387" w:type="pct"/>
            <w:vAlign w:val="center"/>
          </w:tcPr>
          <w:p w14:paraId="3BBEBFB3">
            <w:pPr>
              <w:pStyle w:val="12"/>
              <w:jc w:val="center"/>
              <w:rPr>
                <w:rFonts w:ascii="宋体" w:hAnsi="宋体"/>
                <w:sz w:val="18"/>
                <w:szCs w:val="18"/>
              </w:rPr>
            </w:pPr>
            <w:r>
              <w:rPr>
                <w:rFonts w:ascii="宋体" w:hAnsi="宋体"/>
                <w:sz w:val="18"/>
                <w:szCs w:val="18"/>
              </w:rPr>
              <w:t>516.7</w:t>
            </w:r>
          </w:p>
        </w:tc>
      </w:tr>
      <w:tr w14:paraId="32555B6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7" w:type="pct"/>
            <w:vAlign w:val="center"/>
          </w:tcPr>
          <w:p w14:paraId="691C8CB6">
            <w:pPr>
              <w:pStyle w:val="12"/>
              <w:jc w:val="center"/>
              <w:rPr>
                <w:rFonts w:ascii="宋体" w:hAnsi="宋体"/>
                <w:sz w:val="18"/>
                <w:szCs w:val="18"/>
              </w:rPr>
            </w:pPr>
            <w:r>
              <w:rPr>
                <w:rFonts w:ascii="宋体" w:hAnsi="宋体"/>
                <w:sz w:val="18"/>
                <w:szCs w:val="18"/>
              </w:rPr>
              <w:t>1980</w:t>
            </w:r>
          </w:p>
        </w:tc>
        <w:tc>
          <w:tcPr>
            <w:tcW w:w="407" w:type="pct"/>
            <w:vAlign w:val="center"/>
          </w:tcPr>
          <w:p w14:paraId="42904C86">
            <w:pPr>
              <w:pStyle w:val="12"/>
              <w:jc w:val="center"/>
              <w:rPr>
                <w:rFonts w:ascii="宋体" w:hAnsi="宋体"/>
                <w:sz w:val="18"/>
                <w:szCs w:val="18"/>
              </w:rPr>
            </w:pPr>
            <w:r>
              <w:rPr>
                <w:rFonts w:ascii="宋体" w:hAnsi="宋体"/>
                <w:sz w:val="18"/>
                <w:szCs w:val="18"/>
              </w:rPr>
              <w:t>925.7</w:t>
            </w:r>
          </w:p>
        </w:tc>
        <w:tc>
          <w:tcPr>
            <w:tcW w:w="407" w:type="pct"/>
            <w:vAlign w:val="center"/>
          </w:tcPr>
          <w:p w14:paraId="506D25E3">
            <w:pPr>
              <w:pStyle w:val="12"/>
              <w:jc w:val="center"/>
              <w:rPr>
                <w:rFonts w:ascii="宋体" w:hAnsi="宋体"/>
                <w:sz w:val="18"/>
                <w:szCs w:val="18"/>
              </w:rPr>
            </w:pPr>
            <w:r>
              <w:rPr>
                <w:rFonts w:ascii="宋体" w:hAnsi="宋体"/>
                <w:sz w:val="18"/>
                <w:szCs w:val="18"/>
              </w:rPr>
              <w:t>880.2</w:t>
            </w:r>
          </w:p>
        </w:tc>
        <w:tc>
          <w:tcPr>
            <w:tcW w:w="383" w:type="pct"/>
            <w:vAlign w:val="center"/>
          </w:tcPr>
          <w:p w14:paraId="4B18BD32">
            <w:pPr>
              <w:pStyle w:val="12"/>
              <w:jc w:val="center"/>
              <w:rPr>
                <w:rFonts w:ascii="宋体" w:hAnsi="宋体"/>
                <w:sz w:val="18"/>
                <w:szCs w:val="18"/>
              </w:rPr>
            </w:pPr>
            <w:r>
              <w:rPr>
                <w:rFonts w:ascii="宋体" w:hAnsi="宋体"/>
                <w:sz w:val="18"/>
                <w:szCs w:val="18"/>
              </w:rPr>
              <w:t>706.2</w:t>
            </w:r>
          </w:p>
        </w:tc>
        <w:tc>
          <w:tcPr>
            <w:tcW w:w="352" w:type="pct"/>
            <w:vAlign w:val="center"/>
          </w:tcPr>
          <w:p w14:paraId="3DB5AAA3">
            <w:pPr>
              <w:pStyle w:val="12"/>
              <w:jc w:val="center"/>
              <w:rPr>
                <w:rFonts w:ascii="宋体" w:hAnsi="宋体"/>
                <w:sz w:val="18"/>
                <w:szCs w:val="18"/>
              </w:rPr>
            </w:pPr>
            <w:r>
              <w:rPr>
                <w:rFonts w:ascii="宋体" w:hAnsi="宋体"/>
                <w:sz w:val="18"/>
                <w:szCs w:val="18"/>
              </w:rPr>
              <w:t>173.3</w:t>
            </w:r>
          </w:p>
        </w:tc>
        <w:tc>
          <w:tcPr>
            <w:tcW w:w="352" w:type="pct"/>
            <w:vAlign w:val="center"/>
          </w:tcPr>
          <w:p w14:paraId="003AD629">
            <w:pPr>
              <w:pStyle w:val="12"/>
              <w:jc w:val="center"/>
              <w:rPr>
                <w:rFonts w:ascii="宋体" w:hAnsi="宋体"/>
                <w:sz w:val="18"/>
                <w:szCs w:val="18"/>
              </w:rPr>
            </w:pPr>
            <w:r>
              <w:rPr>
                <w:rFonts w:ascii="宋体" w:hAnsi="宋体"/>
                <w:sz w:val="18"/>
                <w:szCs w:val="18"/>
              </w:rPr>
              <w:t>44.1</w:t>
            </w:r>
          </w:p>
        </w:tc>
        <w:tc>
          <w:tcPr>
            <w:tcW w:w="407" w:type="pct"/>
            <w:vAlign w:val="center"/>
          </w:tcPr>
          <w:p w14:paraId="69EBF73E">
            <w:pPr>
              <w:pStyle w:val="12"/>
              <w:jc w:val="center"/>
              <w:rPr>
                <w:rFonts w:ascii="宋体" w:hAnsi="宋体"/>
                <w:sz w:val="18"/>
                <w:szCs w:val="18"/>
              </w:rPr>
            </w:pPr>
            <w:r>
              <w:rPr>
                <w:rFonts w:ascii="宋体" w:hAnsi="宋体"/>
                <w:sz w:val="18"/>
                <w:szCs w:val="18"/>
              </w:rPr>
              <w:t>316.9</w:t>
            </w:r>
          </w:p>
        </w:tc>
        <w:tc>
          <w:tcPr>
            <w:tcW w:w="407" w:type="pct"/>
            <w:vAlign w:val="center"/>
          </w:tcPr>
          <w:p w14:paraId="4ACE49FB">
            <w:pPr>
              <w:pStyle w:val="12"/>
              <w:jc w:val="center"/>
              <w:rPr>
                <w:rFonts w:ascii="宋体" w:hAnsi="宋体"/>
                <w:sz w:val="18"/>
                <w:szCs w:val="18"/>
              </w:rPr>
            </w:pPr>
            <w:r>
              <w:rPr>
                <w:rFonts w:ascii="宋体" w:hAnsi="宋体"/>
                <w:sz w:val="18"/>
                <w:szCs w:val="18"/>
              </w:rPr>
              <w:t>836.6</w:t>
            </w:r>
          </w:p>
        </w:tc>
        <w:tc>
          <w:tcPr>
            <w:tcW w:w="407" w:type="pct"/>
            <w:vAlign w:val="center"/>
          </w:tcPr>
          <w:p w14:paraId="6904AD69">
            <w:pPr>
              <w:pStyle w:val="12"/>
              <w:jc w:val="center"/>
              <w:rPr>
                <w:rFonts w:ascii="宋体" w:hAnsi="宋体"/>
                <w:sz w:val="18"/>
                <w:szCs w:val="18"/>
              </w:rPr>
            </w:pPr>
            <w:r>
              <w:rPr>
                <w:rFonts w:ascii="宋体" w:hAnsi="宋体"/>
                <w:sz w:val="18"/>
                <w:szCs w:val="18"/>
              </w:rPr>
              <w:t>809.3</w:t>
            </w:r>
          </w:p>
        </w:tc>
        <w:tc>
          <w:tcPr>
            <w:tcW w:w="384" w:type="pct"/>
            <w:vAlign w:val="center"/>
          </w:tcPr>
          <w:p w14:paraId="75EBA165">
            <w:pPr>
              <w:pStyle w:val="12"/>
              <w:jc w:val="center"/>
              <w:rPr>
                <w:rFonts w:ascii="宋体" w:hAnsi="宋体"/>
                <w:sz w:val="18"/>
                <w:szCs w:val="18"/>
              </w:rPr>
            </w:pPr>
            <w:r>
              <w:rPr>
                <w:rFonts w:ascii="宋体" w:hAnsi="宋体"/>
                <w:sz w:val="18"/>
                <w:szCs w:val="18"/>
              </w:rPr>
              <w:t>254.2</w:t>
            </w:r>
          </w:p>
        </w:tc>
        <w:tc>
          <w:tcPr>
            <w:tcW w:w="384" w:type="pct"/>
            <w:vAlign w:val="center"/>
          </w:tcPr>
          <w:p w14:paraId="21B7159A">
            <w:pPr>
              <w:pStyle w:val="12"/>
              <w:jc w:val="center"/>
              <w:rPr>
                <w:rFonts w:ascii="宋体" w:hAnsi="宋体"/>
                <w:sz w:val="18"/>
                <w:szCs w:val="18"/>
              </w:rPr>
            </w:pPr>
            <w:r>
              <w:rPr>
                <w:rFonts w:ascii="宋体" w:hAnsi="宋体"/>
                <w:sz w:val="18"/>
                <w:szCs w:val="18"/>
              </w:rPr>
              <w:t>433.2</w:t>
            </w:r>
          </w:p>
        </w:tc>
        <w:tc>
          <w:tcPr>
            <w:tcW w:w="317" w:type="pct"/>
            <w:vAlign w:val="center"/>
          </w:tcPr>
          <w:p w14:paraId="4989627D">
            <w:pPr>
              <w:pStyle w:val="12"/>
              <w:jc w:val="center"/>
              <w:rPr>
                <w:rFonts w:ascii="宋体" w:hAnsi="宋体"/>
                <w:sz w:val="18"/>
                <w:szCs w:val="18"/>
              </w:rPr>
            </w:pPr>
            <w:r>
              <w:rPr>
                <w:rFonts w:ascii="宋体" w:hAnsi="宋体"/>
                <w:sz w:val="18"/>
                <w:szCs w:val="18"/>
              </w:rPr>
              <w:t>138.2</w:t>
            </w:r>
          </w:p>
        </w:tc>
        <w:tc>
          <w:tcPr>
            <w:tcW w:w="387" w:type="pct"/>
            <w:vAlign w:val="center"/>
          </w:tcPr>
          <w:p w14:paraId="1E323C9B">
            <w:pPr>
              <w:pStyle w:val="12"/>
              <w:jc w:val="center"/>
              <w:rPr>
                <w:rFonts w:ascii="宋体" w:hAnsi="宋体"/>
                <w:sz w:val="18"/>
                <w:szCs w:val="18"/>
              </w:rPr>
            </w:pPr>
            <w:r>
              <w:rPr>
                <w:rFonts w:ascii="宋体" w:hAnsi="宋体"/>
                <w:sz w:val="18"/>
                <w:szCs w:val="18"/>
              </w:rPr>
              <w:t>391</w:t>
            </w:r>
          </w:p>
        </w:tc>
      </w:tr>
      <w:tr w14:paraId="298661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7" w:type="pct"/>
            <w:vAlign w:val="center"/>
          </w:tcPr>
          <w:p w14:paraId="325B6A07">
            <w:pPr>
              <w:pStyle w:val="12"/>
              <w:jc w:val="center"/>
              <w:rPr>
                <w:rFonts w:ascii="宋体" w:hAnsi="宋体"/>
                <w:sz w:val="18"/>
                <w:szCs w:val="18"/>
              </w:rPr>
            </w:pPr>
            <w:r>
              <w:rPr>
                <w:rFonts w:ascii="宋体" w:hAnsi="宋体"/>
                <w:sz w:val="18"/>
                <w:szCs w:val="18"/>
              </w:rPr>
              <w:t>1981</w:t>
            </w:r>
          </w:p>
        </w:tc>
        <w:tc>
          <w:tcPr>
            <w:tcW w:w="407" w:type="pct"/>
            <w:vAlign w:val="center"/>
          </w:tcPr>
          <w:p w14:paraId="121FFFB0">
            <w:pPr>
              <w:pStyle w:val="12"/>
              <w:jc w:val="center"/>
              <w:rPr>
                <w:rFonts w:ascii="宋体" w:hAnsi="宋体"/>
                <w:sz w:val="18"/>
                <w:szCs w:val="18"/>
              </w:rPr>
            </w:pPr>
            <w:r>
              <w:rPr>
                <w:rFonts w:ascii="宋体" w:hAnsi="宋体"/>
                <w:sz w:val="18"/>
                <w:szCs w:val="18"/>
              </w:rPr>
              <w:t>1232.3</w:t>
            </w:r>
          </w:p>
        </w:tc>
        <w:tc>
          <w:tcPr>
            <w:tcW w:w="407" w:type="pct"/>
            <w:vAlign w:val="center"/>
          </w:tcPr>
          <w:p w14:paraId="07076575">
            <w:pPr>
              <w:pStyle w:val="12"/>
              <w:jc w:val="center"/>
              <w:rPr>
                <w:rFonts w:ascii="宋体" w:hAnsi="宋体"/>
                <w:sz w:val="18"/>
                <w:szCs w:val="18"/>
              </w:rPr>
            </w:pPr>
            <w:r>
              <w:rPr>
                <w:rFonts w:ascii="宋体" w:hAnsi="宋体"/>
                <w:sz w:val="18"/>
                <w:szCs w:val="18"/>
              </w:rPr>
              <w:t>1186.7</w:t>
            </w:r>
          </w:p>
        </w:tc>
        <w:tc>
          <w:tcPr>
            <w:tcW w:w="383" w:type="pct"/>
            <w:vAlign w:val="center"/>
          </w:tcPr>
          <w:p w14:paraId="078EA6AE">
            <w:pPr>
              <w:pStyle w:val="12"/>
              <w:jc w:val="center"/>
              <w:rPr>
                <w:rFonts w:ascii="宋体" w:hAnsi="宋体"/>
                <w:sz w:val="18"/>
                <w:szCs w:val="18"/>
              </w:rPr>
            </w:pPr>
            <w:r>
              <w:rPr>
                <w:rFonts w:ascii="宋体" w:hAnsi="宋体"/>
                <w:sz w:val="18"/>
                <w:szCs w:val="18"/>
              </w:rPr>
              <w:t>953.8</w:t>
            </w:r>
          </w:p>
        </w:tc>
        <w:tc>
          <w:tcPr>
            <w:tcW w:w="352" w:type="pct"/>
            <w:vAlign w:val="center"/>
          </w:tcPr>
          <w:p w14:paraId="47933270">
            <w:pPr>
              <w:pStyle w:val="12"/>
              <w:jc w:val="center"/>
              <w:rPr>
                <w:rFonts w:ascii="宋体" w:hAnsi="宋体"/>
                <w:sz w:val="18"/>
                <w:szCs w:val="18"/>
              </w:rPr>
            </w:pPr>
            <w:r>
              <w:rPr>
                <w:rFonts w:ascii="宋体" w:hAnsi="宋体"/>
                <w:sz w:val="18"/>
                <w:szCs w:val="18"/>
              </w:rPr>
              <w:t>174.6</w:t>
            </w:r>
          </w:p>
        </w:tc>
        <w:tc>
          <w:tcPr>
            <w:tcW w:w="352" w:type="pct"/>
            <w:vAlign w:val="center"/>
          </w:tcPr>
          <w:p w14:paraId="24943EDA">
            <w:pPr>
              <w:pStyle w:val="12"/>
              <w:jc w:val="center"/>
              <w:rPr>
                <w:rFonts w:ascii="宋体" w:hAnsi="宋体"/>
                <w:sz w:val="18"/>
                <w:szCs w:val="18"/>
              </w:rPr>
            </w:pPr>
            <w:r>
              <w:rPr>
                <w:rFonts w:ascii="宋体" w:hAnsi="宋体"/>
                <w:sz w:val="18"/>
                <w:szCs w:val="18"/>
              </w:rPr>
              <w:t>100.4</w:t>
            </w:r>
          </w:p>
        </w:tc>
        <w:tc>
          <w:tcPr>
            <w:tcW w:w="407" w:type="pct"/>
            <w:vAlign w:val="center"/>
          </w:tcPr>
          <w:p w14:paraId="28ACA327">
            <w:pPr>
              <w:pStyle w:val="12"/>
              <w:jc w:val="center"/>
              <w:rPr>
                <w:rFonts w:ascii="宋体" w:hAnsi="宋体"/>
                <w:sz w:val="18"/>
                <w:szCs w:val="18"/>
              </w:rPr>
            </w:pPr>
            <w:r>
              <w:rPr>
                <w:rFonts w:ascii="宋体" w:hAnsi="宋体"/>
                <w:sz w:val="18"/>
                <w:szCs w:val="18"/>
              </w:rPr>
              <w:t>201.4</w:t>
            </w:r>
          </w:p>
        </w:tc>
        <w:tc>
          <w:tcPr>
            <w:tcW w:w="407" w:type="pct"/>
            <w:vAlign w:val="center"/>
          </w:tcPr>
          <w:p w14:paraId="4DDB1FEC">
            <w:pPr>
              <w:pStyle w:val="12"/>
              <w:jc w:val="center"/>
              <w:rPr>
                <w:rFonts w:ascii="宋体" w:hAnsi="宋体"/>
                <w:sz w:val="18"/>
                <w:szCs w:val="18"/>
              </w:rPr>
            </w:pPr>
            <w:r>
              <w:rPr>
                <w:rFonts w:ascii="宋体" w:hAnsi="宋体"/>
                <w:sz w:val="18"/>
                <w:szCs w:val="18"/>
              </w:rPr>
              <w:t>1065.2</w:t>
            </w:r>
          </w:p>
        </w:tc>
        <w:tc>
          <w:tcPr>
            <w:tcW w:w="407" w:type="pct"/>
            <w:vAlign w:val="center"/>
          </w:tcPr>
          <w:p w14:paraId="76D931C2">
            <w:pPr>
              <w:pStyle w:val="12"/>
              <w:jc w:val="center"/>
              <w:rPr>
                <w:rFonts w:ascii="宋体" w:hAnsi="宋体"/>
                <w:sz w:val="18"/>
                <w:szCs w:val="18"/>
              </w:rPr>
            </w:pPr>
            <w:r>
              <w:rPr>
                <w:rFonts w:ascii="宋体" w:hAnsi="宋体"/>
                <w:sz w:val="18"/>
                <w:szCs w:val="18"/>
              </w:rPr>
              <w:t>1033.2</w:t>
            </w:r>
          </w:p>
        </w:tc>
        <w:tc>
          <w:tcPr>
            <w:tcW w:w="384" w:type="pct"/>
            <w:vAlign w:val="center"/>
          </w:tcPr>
          <w:p w14:paraId="6D22C6F3">
            <w:pPr>
              <w:pStyle w:val="12"/>
              <w:jc w:val="center"/>
              <w:rPr>
                <w:rFonts w:ascii="宋体" w:hAnsi="宋体"/>
                <w:sz w:val="18"/>
                <w:szCs w:val="18"/>
              </w:rPr>
            </w:pPr>
            <w:r>
              <w:rPr>
                <w:rFonts w:ascii="宋体" w:hAnsi="宋体"/>
                <w:sz w:val="18"/>
                <w:szCs w:val="18"/>
              </w:rPr>
              <w:t>309.3</w:t>
            </w:r>
          </w:p>
        </w:tc>
        <w:tc>
          <w:tcPr>
            <w:tcW w:w="384" w:type="pct"/>
            <w:vAlign w:val="center"/>
          </w:tcPr>
          <w:p w14:paraId="04016F72">
            <w:pPr>
              <w:pStyle w:val="12"/>
              <w:jc w:val="center"/>
              <w:rPr>
                <w:rFonts w:ascii="宋体" w:hAnsi="宋体"/>
                <w:sz w:val="18"/>
                <w:szCs w:val="18"/>
              </w:rPr>
            </w:pPr>
            <w:r>
              <w:rPr>
                <w:rFonts w:ascii="宋体" w:hAnsi="宋体"/>
                <w:sz w:val="18"/>
                <w:szCs w:val="18"/>
              </w:rPr>
              <w:t>504</w:t>
            </w:r>
          </w:p>
        </w:tc>
        <w:tc>
          <w:tcPr>
            <w:tcW w:w="317" w:type="pct"/>
            <w:vAlign w:val="center"/>
          </w:tcPr>
          <w:p w14:paraId="3A97B252">
            <w:pPr>
              <w:pStyle w:val="12"/>
              <w:jc w:val="center"/>
              <w:rPr>
                <w:rFonts w:ascii="宋体" w:hAnsi="宋体"/>
                <w:sz w:val="18"/>
                <w:szCs w:val="18"/>
              </w:rPr>
            </w:pPr>
            <w:r>
              <w:rPr>
                <w:rFonts w:ascii="宋体" w:hAnsi="宋体"/>
                <w:sz w:val="18"/>
                <w:szCs w:val="18"/>
              </w:rPr>
              <w:t>171.2</w:t>
            </w:r>
          </w:p>
        </w:tc>
        <w:tc>
          <w:tcPr>
            <w:tcW w:w="387" w:type="pct"/>
            <w:vAlign w:val="center"/>
          </w:tcPr>
          <w:p w14:paraId="50087D33">
            <w:pPr>
              <w:pStyle w:val="12"/>
              <w:jc w:val="center"/>
              <w:rPr>
                <w:rFonts w:ascii="宋体" w:hAnsi="宋体"/>
                <w:sz w:val="18"/>
                <w:szCs w:val="18"/>
              </w:rPr>
            </w:pPr>
            <w:r>
              <w:rPr>
                <w:rFonts w:ascii="宋体" w:hAnsi="宋体"/>
                <w:sz w:val="18"/>
                <w:szCs w:val="18"/>
              </w:rPr>
              <w:t>357.1</w:t>
            </w:r>
          </w:p>
        </w:tc>
      </w:tr>
      <w:tr w14:paraId="7C2AAA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7" w:type="pct"/>
            <w:vAlign w:val="center"/>
          </w:tcPr>
          <w:p w14:paraId="4B5F6D27">
            <w:pPr>
              <w:pStyle w:val="12"/>
              <w:jc w:val="center"/>
              <w:rPr>
                <w:rFonts w:ascii="宋体" w:hAnsi="宋体"/>
                <w:sz w:val="18"/>
                <w:szCs w:val="18"/>
              </w:rPr>
            </w:pPr>
            <w:r>
              <w:rPr>
                <w:rFonts w:ascii="宋体" w:hAnsi="宋体"/>
                <w:sz w:val="18"/>
                <w:szCs w:val="18"/>
              </w:rPr>
              <w:t>1982</w:t>
            </w:r>
          </w:p>
        </w:tc>
        <w:tc>
          <w:tcPr>
            <w:tcW w:w="407" w:type="pct"/>
            <w:vAlign w:val="center"/>
          </w:tcPr>
          <w:p w14:paraId="3676399E">
            <w:pPr>
              <w:pStyle w:val="12"/>
              <w:jc w:val="center"/>
              <w:rPr>
                <w:rFonts w:ascii="宋体" w:hAnsi="宋体"/>
                <w:sz w:val="18"/>
                <w:szCs w:val="18"/>
              </w:rPr>
            </w:pPr>
            <w:r>
              <w:rPr>
                <w:rFonts w:ascii="宋体" w:hAnsi="宋体"/>
                <w:sz w:val="18"/>
                <w:szCs w:val="18"/>
              </w:rPr>
              <w:t>1298.5</w:t>
            </w:r>
          </w:p>
        </w:tc>
        <w:tc>
          <w:tcPr>
            <w:tcW w:w="407" w:type="pct"/>
            <w:vAlign w:val="center"/>
          </w:tcPr>
          <w:p w14:paraId="0ECD7787">
            <w:pPr>
              <w:pStyle w:val="12"/>
              <w:jc w:val="center"/>
              <w:rPr>
                <w:rFonts w:ascii="宋体" w:hAnsi="宋体"/>
                <w:sz w:val="18"/>
                <w:szCs w:val="18"/>
              </w:rPr>
            </w:pPr>
            <w:r>
              <w:rPr>
                <w:rFonts w:ascii="宋体" w:hAnsi="宋体"/>
                <w:sz w:val="18"/>
                <w:szCs w:val="18"/>
              </w:rPr>
              <w:t>1261.7</w:t>
            </w:r>
          </w:p>
        </w:tc>
        <w:tc>
          <w:tcPr>
            <w:tcW w:w="383" w:type="pct"/>
            <w:vAlign w:val="center"/>
          </w:tcPr>
          <w:p w14:paraId="47E06395">
            <w:pPr>
              <w:pStyle w:val="12"/>
              <w:jc w:val="center"/>
              <w:rPr>
                <w:rFonts w:ascii="宋体" w:hAnsi="宋体"/>
                <w:sz w:val="18"/>
                <w:szCs w:val="18"/>
              </w:rPr>
            </w:pPr>
            <w:r>
              <w:rPr>
                <w:rFonts w:ascii="宋体" w:hAnsi="宋体"/>
                <w:sz w:val="18"/>
                <w:szCs w:val="18"/>
              </w:rPr>
              <w:t>1028.1</w:t>
            </w:r>
          </w:p>
        </w:tc>
        <w:tc>
          <w:tcPr>
            <w:tcW w:w="352" w:type="pct"/>
            <w:vAlign w:val="center"/>
          </w:tcPr>
          <w:p w14:paraId="41B8E4C9">
            <w:pPr>
              <w:pStyle w:val="12"/>
              <w:jc w:val="center"/>
              <w:rPr>
                <w:rFonts w:ascii="宋体" w:hAnsi="宋体"/>
                <w:sz w:val="18"/>
                <w:szCs w:val="18"/>
              </w:rPr>
            </w:pPr>
            <w:r>
              <w:rPr>
                <w:rFonts w:ascii="宋体" w:hAnsi="宋体"/>
                <w:sz w:val="18"/>
                <w:szCs w:val="18"/>
              </w:rPr>
              <w:t>178.8</w:t>
            </w:r>
          </w:p>
        </w:tc>
        <w:tc>
          <w:tcPr>
            <w:tcW w:w="352" w:type="pct"/>
            <w:vAlign w:val="center"/>
          </w:tcPr>
          <w:p w14:paraId="414F6E3F">
            <w:pPr>
              <w:pStyle w:val="12"/>
              <w:jc w:val="center"/>
              <w:rPr>
                <w:rFonts w:ascii="宋体" w:hAnsi="宋体"/>
                <w:sz w:val="18"/>
                <w:szCs w:val="18"/>
              </w:rPr>
            </w:pPr>
            <w:r>
              <w:rPr>
                <w:rFonts w:ascii="宋体" w:hAnsi="宋体"/>
                <w:sz w:val="18"/>
                <w:szCs w:val="18"/>
              </w:rPr>
              <w:t>83.8</w:t>
            </w:r>
          </w:p>
        </w:tc>
        <w:tc>
          <w:tcPr>
            <w:tcW w:w="407" w:type="pct"/>
            <w:vAlign w:val="center"/>
          </w:tcPr>
          <w:p w14:paraId="574D86F5">
            <w:pPr>
              <w:pStyle w:val="12"/>
              <w:jc w:val="center"/>
              <w:rPr>
                <w:rFonts w:ascii="宋体" w:hAnsi="宋体"/>
                <w:sz w:val="18"/>
                <w:szCs w:val="18"/>
              </w:rPr>
            </w:pPr>
            <w:r>
              <w:rPr>
                <w:rFonts w:ascii="宋体" w:hAnsi="宋体"/>
                <w:sz w:val="18"/>
                <w:szCs w:val="18"/>
              </w:rPr>
              <w:t>263.9</w:t>
            </w:r>
          </w:p>
        </w:tc>
        <w:tc>
          <w:tcPr>
            <w:tcW w:w="407" w:type="pct"/>
            <w:vAlign w:val="center"/>
          </w:tcPr>
          <w:p w14:paraId="3864EF9F">
            <w:pPr>
              <w:pStyle w:val="12"/>
              <w:jc w:val="center"/>
              <w:rPr>
                <w:rFonts w:ascii="宋体" w:hAnsi="宋体"/>
                <w:sz w:val="18"/>
                <w:szCs w:val="18"/>
              </w:rPr>
            </w:pPr>
            <w:r>
              <w:rPr>
                <w:rFonts w:ascii="宋体" w:hAnsi="宋体"/>
                <w:sz w:val="18"/>
                <w:szCs w:val="18"/>
              </w:rPr>
              <w:t>1193.5</w:t>
            </w:r>
          </w:p>
        </w:tc>
        <w:tc>
          <w:tcPr>
            <w:tcW w:w="407" w:type="pct"/>
            <w:vAlign w:val="center"/>
          </w:tcPr>
          <w:p w14:paraId="7B514495">
            <w:pPr>
              <w:pStyle w:val="12"/>
              <w:jc w:val="center"/>
              <w:rPr>
                <w:rFonts w:ascii="宋体" w:hAnsi="宋体"/>
                <w:sz w:val="18"/>
                <w:szCs w:val="18"/>
              </w:rPr>
            </w:pPr>
            <w:r>
              <w:rPr>
                <w:rFonts w:ascii="宋体" w:hAnsi="宋体"/>
                <w:sz w:val="18"/>
                <w:szCs w:val="18"/>
              </w:rPr>
              <w:t>1166.2</w:t>
            </w:r>
          </w:p>
        </w:tc>
        <w:tc>
          <w:tcPr>
            <w:tcW w:w="384" w:type="pct"/>
            <w:vAlign w:val="center"/>
          </w:tcPr>
          <w:p w14:paraId="0B44B2CB">
            <w:pPr>
              <w:pStyle w:val="12"/>
              <w:jc w:val="center"/>
              <w:rPr>
                <w:rFonts w:ascii="宋体" w:hAnsi="宋体"/>
                <w:sz w:val="18"/>
                <w:szCs w:val="18"/>
              </w:rPr>
            </w:pPr>
            <w:r>
              <w:rPr>
                <w:rFonts w:ascii="宋体" w:hAnsi="宋体"/>
                <w:sz w:val="18"/>
                <w:szCs w:val="18"/>
              </w:rPr>
              <w:t>261.4</w:t>
            </w:r>
          </w:p>
        </w:tc>
        <w:tc>
          <w:tcPr>
            <w:tcW w:w="384" w:type="pct"/>
            <w:vAlign w:val="center"/>
          </w:tcPr>
          <w:p w14:paraId="06898FB6">
            <w:pPr>
              <w:pStyle w:val="12"/>
              <w:jc w:val="center"/>
              <w:rPr>
                <w:rFonts w:ascii="宋体" w:hAnsi="宋体"/>
                <w:sz w:val="18"/>
                <w:szCs w:val="18"/>
              </w:rPr>
            </w:pPr>
            <w:r>
              <w:rPr>
                <w:rFonts w:ascii="宋体" w:hAnsi="宋体"/>
                <w:sz w:val="18"/>
                <w:szCs w:val="18"/>
              </w:rPr>
              <w:t>643.3</w:t>
            </w:r>
          </w:p>
        </w:tc>
        <w:tc>
          <w:tcPr>
            <w:tcW w:w="317" w:type="pct"/>
            <w:vAlign w:val="center"/>
          </w:tcPr>
          <w:p w14:paraId="63C0FF4B">
            <w:pPr>
              <w:pStyle w:val="12"/>
              <w:jc w:val="center"/>
              <w:rPr>
                <w:rFonts w:ascii="宋体" w:hAnsi="宋体"/>
                <w:sz w:val="18"/>
                <w:szCs w:val="18"/>
              </w:rPr>
            </w:pPr>
            <w:r>
              <w:rPr>
                <w:rFonts w:ascii="宋体" w:hAnsi="宋体"/>
                <w:sz w:val="18"/>
                <w:szCs w:val="18"/>
              </w:rPr>
              <w:t>210.8</w:t>
            </w:r>
          </w:p>
        </w:tc>
        <w:tc>
          <w:tcPr>
            <w:tcW w:w="387" w:type="pct"/>
            <w:vAlign w:val="center"/>
          </w:tcPr>
          <w:p w14:paraId="3AF4AAA9">
            <w:pPr>
              <w:pStyle w:val="12"/>
              <w:jc w:val="center"/>
              <w:rPr>
                <w:rFonts w:ascii="宋体" w:hAnsi="宋体"/>
                <w:sz w:val="18"/>
                <w:szCs w:val="18"/>
              </w:rPr>
            </w:pPr>
            <w:r>
              <w:rPr>
                <w:rFonts w:ascii="宋体" w:hAnsi="宋体"/>
                <w:sz w:val="18"/>
                <w:szCs w:val="18"/>
              </w:rPr>
              <w:t>348.5</w:t>
            </w:r>
          </w:p>
        </w:tc>
      </w:tr>
      <w:tr w14:paraId="2114C3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7" w:type="pct"/>
            <w:vAlign w:val="center"/>
          </w:tcPr>
          <w:p w14:paraId="18F5ADDB">
            <w:pPr>
              <w:pStyle w:val="12"/>
              <w:jc w:val="center"/>
              <w:rPr>
                <w:rFonts w:ascii="宋体" w:hAnsi="宋体"/>
                <w:sz w:val="18"/>
                <w:szCs w:val="18"/>
              </w:rPr>
            </w:pPr>
            <w:r>
              <w:rPr>
                <w:rFonts w:ascii="宋体" w:hAnsi="宋体"/>
                <w:sz w:val="18"/>
                <w:szCs w:val="18"/>
              </w:rPr>
              <w:t>1983</w:t>
            </w:r>
          </w:p>
        </w:tc>
        <w:tc>
          <w:tcPr>
            <w:tcW w:w="407" w:type="pct"/>
            <w:vAlign w:val="center"/>
          </w:tcPr>
          <w:p w14:paraId="15AC6369">
            <w:pPr>
              <w:pStyle w:val="12"/>
              <w:jc w:val="center"/>
              <w:rPr>
                <w:rFonts w:ascii="宋体" w:hAnsi="宋体"/>
                <w:sz w:val="18"/>
                <w:szCs w:val="18"/>
              </w:rPr>
            </w:pPr>
            <w:r>
              <w:rPr>
                <w:rFonts w:ascii="宋体" w:hAnsi="宋体"/>
                <w:sz w:val="18"/>
                <w:szCs w:val="18"/>
              </w:rPr>
              <w:t>1466.2</w:t>
            </w:r>
          </w:p>
        </w:tc>
        <w:tc>
          <w:tcPr>
            <w:tcW w:w="407" w:type="pct"/>
            <w:vAlign w:val="center"/>
          </w:tcPr>
          <w:p w14:paraId="2DE90766">
            <w:pPr>
              <w:pStyle w:val="12"/>
              <w:jc w:val="center"/>
              <w:rPr>
                <w:rFonts w:ascii="宋体" w:hAnsi="宋体"/>
                <w:sz w:val="18"/>
                <w:szCs w:val="18"/>
              </w:rPr>
            </w:pPr>
            <w:r>
              <w:rPr>
                <w:rFonts w:ascii="宋体" w:hAnsi="宋体"/>
                <w:sz w:val="18"/>
                <w:szCs w:val="18"/>
              </w:rPr>
              <w:t>1339.7</w:t>
            </w:r>
          </w:p>
        </w:tc>
        <w:tc>
          <w:tcPr>
            <w:tcW w:w="383" w:type="pct"/>
            <w:vAlign w:val="center"/>
          </w:tcPr>
          <w:p w14:paraId="256B044C">
            <w:pPr>
              <w:pStyle w:val="12"/>
              <w:jc w:val="center"/>
              <w:rPr>
                <w:rFonts w:ascii="宋体" w:hAnsi="宋体"/>
                <w:sz w:val="18"/>
                <w:szCs w:val="18"/>
              </w:rPr>
            </w:pPr>
            <w:r>
              <w:rPr>
                <w:rFonts w:ascii="宋体" w:hAnsi="宋体"/>
                <w:sz w:val="18"/>
                <w:szCs w:val="18"/>
              </w:rPr>
              <w:t>1112.9</w:t>
            </w:r>
          </w:p>
        </w:tc>
        <w:tc>
          <w:tcPr>
            <w:tcW w:w="352" w:type="pct"/>
            <w:vAlign w:val="center"/>
          </w:tcPr>
          <w:p w14:paraId="240BED05">
            <w:pPr>
              <w:pStyle w:val="12"/>
              <w:jc w:val="center"/>
              <w:rPr>
                <w:rFonts w:ascii="宋体" w:hAnsi="宋体"/>
                <w:sz w:val="18"/>
                <w:szCs w:val="18"/>
              </w:rPr>
            </w:pPr>
            <w:r>
              <w:rPr>
                <w:rFonts w:ascii="宋体" w:hAnsi="宋体"/>
                <w:sz w:val="18"/>
                <w:szCs w:val="18"/>
              </w:rPr>
              <w:t>212.8</w:t>
            </w:r>
          </w:p>
        </w:tc>
        <w:tc>
          <w:tcPr>
            <w:tcW w:w="352" w:type="pct"/>
            <w:vAlign w:val="center"/>
          </w:tcPr>
          <w:p w14:paraId="6D75F11D">
            <w:pPr>
              <w:pStyle w:val="12"/>
              <w:jc w:val="center"/>
              <w:rPr>
                <w:rFonts w:ascii="宋体" w:hAnsi="宋体"/>
                <w:sz w:val="18"/>
                <w:szCs w:val="18"/>
              </w:rPr>
            </w:pPr>
            <w:r>
              <w:rPr>
                <w:rFonts w:ascii="宋体" w:hAnsi="宋体"/>
                <w:sz w:val="18"/>
                <w:szCs w:val="18"/>
              </w:rPr>
              <w:t>133.4</w:t>
            </w:r>
          </w:p>
        </w:tc>
        <w:tc>
          <w:tcPr>
            <w:tcW w:w="407" w:type="pct"/>
            <w:vAlign w:val="center"/>
          </w:tcPr>
          <w:p w14:paraId="587102B2">
            <w:pPr>
              <w:pStyle w:val="12"/>
              <w:jc w:val="center"/>
              <w:rPr>
                <w:rFonts w:ascii="宋体" w:hAnsi="宋体"/>
                <w:sz w:val="18"/>
                <w:szCs w:val="18"/>
              </w:rPr>
            </w:pPr>
            <w:r>
              <w:rPr>
                <w:rFonts w:ascii="宋体" w:hAnsi="宋体"/>
                <w:sz w:val="18"/>
                <w:szCs w:val="18"/>
              </w:rPr>
              <w:t>347.4</w:t>
            </w:r>
          </w:p>
        </w:tc>
        <w:tc>
          <w:tcPr>
            <w:tcW w:w="407" w:type="pct"/>
            <w:vAlign w:val="center"/>
          </w:tcPr>
          <w:p w14:paraId="162B3743">
            <w:pPr>
              <w:pStyle w:val="12"/>
              <w:jc w:val="center"/>
              <w:rPr>
                <w:rFonts w:ascii="宋体" w:hAnsi="宋体"/>
                <w:sz w:val="18"/>
                <w:szCs w:val="18"/>
              </w:rPr>
            </w:pPr>
            <w:r>
              <w:rPr>
                <w:rFonts w:ascii="宋体" w:hAnsi="宋体"/>
                <w:sz w:val="18"/>
                <w:szCs w:val="18"/>
              </w:rPr>
              <w:t>1529.1</w:t>
            </w:r>
          </w:p>
        </w:tc>
        <w:tc>
          <w:tcPr>
            <w:tcW w:w="407" w:type="pct"/>
            <w:vAlign w:val="center"/>
          </w:tcPr>
          <w:p w14:paraId="2413D7CF">
            <w:pPr>
              <w:pStyle w:val="12"/>
              <w:jc w:val="center"/>
              <w:rPr>
                <w:rFonts w:ascii="宋体" w:hAnsi="宋体"/>
                <w:sz w:val="18"/>
                <w:szCs w:val="18"/>
              </w:rPr>
            </w:pPr>
            <w:r>
              <w:rPr>
                <w:rFonts w:ascii="宋体" w:hAnsi="宋体"/>
                <w:sz w:val="18"/>
                <w:szCs w:val="18"/>
              </w:rPr>
              <w:t>1378.4</w:t>
            </w:r>
          </w:p>
        </w:tc>
        <w:tc>
          <w:tcPr>
            <w:tcW w:w="384" w:type="pct"/>
            <w:vAlign w:val="center"/>
          </w:tcPr>
          <w:p w14:paraId="1562C113">
            <w:pPr>
              <w:pStyle w:val="12"/>
              <w:jc w:val="center"/>
              <w:rPr>
                <w:rFonts w:ascii="宋体" w:hAnsi="宋体"/>
                <w:sz w:val="18"/>
                <w:szCs w:val="18"/>
              </w:rPr>
            </w:pPr>
            <w:r>
              <w:rPr>
                <w:rFonts w:ascii="宋体" w:hAnsi="宋体"/>
                <w:sz w:val="18"/>
                <w:szCs w:val="18"/>
              </w:rPr>
              <w:t>276.5</w:t>
            </w:r>
          </w:p>
        </w:tc>
        <w:tc>
          <w:tcPr>
            <w:tcW w:w="384" w:type="pct"/>
            <w:vAlign w:val="center"/>
          </w:tcPr>
          <w:p w14:paraId="1BFD8867">
            <w:pPr>
              <w:pStyle w:val="12"/>
              <w:jc w:val="center"/>
              <w:rPr>
                <w:rFonts w:ascii="宋体" w:hAnsi="宋体"/>
                <w:sz w:val="18"/>
                <w:szCs w:val="18"/>
              </w:rPr>
            </w:pPr>
            <w:r>
              <w:rPr>
                <w:rFonts w:ascii="宋体" w:hAnsi="宋体"/>
                <w:sz w:val="18"/>
                <w:szCs w:val="18"/>
              </w:rPr>
              <w:t>757</w:t>
            </w:r>
          </w:p>
        </w:tc>
        <w:tc>
          <w:tcPr>
            <w:tcW w:w="317" w:type="pct"/>
            <w:vAlign w:val="center"/>
          </w:tcPr>
          <w:p w14:paraId="32C39937">
            <w:pPr>
              <w:pStyle w:val="12"/>
              <w:jc w:val="center"/>
              <w:rPr>
                <w:rFonts w:ascii="宋体" w:hAnsi="宋体"/>
                <w:sz w:val="18"/>
                <w:szCs w:val="18"/>
              </w:rPr>
            </w:pPr>
            <w:r>
              <w:rPr>
                <w:rFonts w:ascii="宋体" w:hAnsi="宋体"/>
                <w:sz w:val="18"/>
                <w:szCs w:val="18"/>
              </w:rPr>
              <w:t>373.6</w:t>
            </w:r>
          </w:p>
        </w:tc>
        <w:tc>
          <w:tcPr>
            <w:tcW w:w="387" w:type="pct"/>
            <w:vAlign w:val="center"/>
          </w:tcPr>
          <w:p w14:paraId="48B5215C">
            <w:pPr>
              <w:pStyle w:val="12"/>
              <w:jc w:val="center"/>
              <w:rPr>
                <w:rFonts w:ascii="宋体" w:hAnsi="宋体"/>
                <w:sz w:val="18"/>
                <w:szCs w:val="18"/>
              </w:rPr>
            </w:pPr>
            <w:r>
              <w:rPr>
                <w:rFonts w:ascii="宋体" w:hAnsi="宋体"/>
                <w:sz w:val="18"/>
                <w:szCs w:val="18"/>
              </w:rPr>
              <w:t>293.2</w:t>
            </w:r>
          </w:p>
        </w:tc>
      </w:tr>
      <w:tr w14:paraId="45A0113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7" w:type="pct"/>
            <w:vAlign w:val="center"/>
          </w:tcPr>
          <w:p w14:paraId="40FBD8AC">
            <w:pPr>
              <w:pStyle w:val="12"/>
              <w:jc w:val="center"/>
              <w:rPr>
                <w:rFonts w:ascii="宋体" w:hAnsi="宋体"/>
                <w:sz w:val="18"/>
                <w:szCs w:val="18"/>
              </w:rPr>
            </w:pPr>
            <w:r>
              <w:rPr>
                <w:rFonts w:ascii="宋体" w:hAnsi="宋体"/>
                <w:sz w:val="18"/>
                <w:szCs w:val="18"/>
              </w:rPr>
              <w:t>1984</w:t>
            </w:r>
          </w:p>
        </w:tc>
        <w:tc>
          <w:tcPr>
            <w:tcW w:w="407" w:type="pct"/>
            <w:vAlign w:val="center"/>
          </w:tcPr>
          <w:p w14:paraId="44FFD076">
            <w:pPr>
              <w:pStyle w:val="12"/>
              <w:jc w:val="center"/>
              <w:rPr>
                <w:rFonts w:ascii="宋体" w:hAnsi="宋体"/>
                <w:sz w:val="18"/>
                <w:szCs w:val="18"/>
              </w:rPr>
            </w:pPr>
            <w:r>
              <w:rPr>
                <w:rFonts w:ascii="宋体" w:hAnsi="宋体"/>
                <w:sz w:val="18"/>
                <w:szCs w:val="18"/>
              </w:rPr>
              <w:t>1601.4</w:t>
            </w:r>
          </w:p>
        </w:tc>
        <w:tc>
          <w:tcPr>
            <w:tcW w:w="407" w:type="pct"/>
            <w:vAlign w:val="center"/>
          </w:tcPr>
          <w:p w14:paraId="772A5CCB">
            <w:pPr>
              <w:pStyle w:val="12"/>
              <w:jc w:val="center"/>
              <w:rPr>
                <w:rFonts w:ascii="宋体" w:hAnsi="宋体"/>
                <w:sz w:val="18"/>
                <w:szCs w:val="18"/>
              </w:rPr>
            </w:pPr>
            <w:r>
              <w:rPr>
                <w:rFonts w:ascii="宋体" w:hAnsi="宋体"/>
                <w:sz w:val="18"/>
                <w:szCs w:val="18"/>
              </w:rPr>
              <w:t>1412.4</w:t>
            </w:r>
          </w:p>
        </w:tc>
        <w:tc>
          <w:tcPr>
            <w:tcW w:w="383" w:type="pct"/>
            <w:vAlign w:val="center"/>
          </w:tcPr>
          <w:p w14:paraId="4027ECA0">
            <w:pPr>
              <w:pStyle w:val="12"/>
              <w:jc w:val="center"/>
              <w:rPr>
                <w:rFonts w:ascii="宋体" w:hAnsi="宋体"/>
                <w:sz w:val="18"/>
                <w:szCs w:val="18"/>
              </w:rPr>
            </w:pPr>
            <w:r>
              <w:rPr>
                <w:rFonts w:ascii="宋体" w:hAnsi="宋体"/>
                <w:sz w:val="18"/>
                <w:szCs w:val="18"/>
              </w:rPr>
              <w:t>1209.9</w:t>
            </w:r>
          </w:p>
        </w:tc>
        <w:tc>
          <w:tcPr>
            <w:tcW w:w="352" w:type="pct"/>
            <w:vAlign w:val="center"/>
          </w:tcPr>
          <w:p w14:paraId="76F7F3AF">
            <w:pPr>
              <w:pStyle w:val="12"/>
              <w:jc w:val="center"/>
              <w:rPr>
                <w:rFonts w:ascii="宋体" w:hAnsi="宋体"/>
                <w:sz w:val="18"/>
                <w:szCs w:val="18"/>
              </w:rPr>
            </w:pPr>
            <w:r>
              <w:rPr>
                <w:rFonts w:ascii="宋体" w:hAnsi="宋体"/>
                <w:sz w:val="18"/>
                <w:szCs w:val="18"/>
              </w:rPr>
              <w:t>221</w:t>
            </w:r>
          </w:p>
        </w:tc>
        <w:tc>
          <w:tcPr>
            <w:tcW w:w="352" w:type="pct"/>
            <w:vAlign w:val="center"/>
          </w:tcPr>
          <w:p w14:paraId="095598BE">
            <w:pPr>
              <w:pStyle w:val="12"/>
              <w:jc w:val="center"/>
              <w:rPr>
                <w:rFonts w:ascii="宋体" w:hAnsi="宋体"/>
                <w:sz w:val="18"/>
                <w:szCs w:val="18"/>
              </w:rPr>
            </w:pPr>
            <w:r>
              <w:rPr>
                <w:rFonts w:ascii="宋体" w:hAnsi="宋体"/>
                <w:sz w:val="18"/>
                <w:szCs w:val="18"/>
              </w:rPr>
              <w:t>121.5</w:t>
            </w:r>
          </w:p>
        </w:tc>
        <w:tc>
          <w:tcPr>
            <w:tcW w:w="407" w:type="pct"/>
            <w:vAlign w:val="center"/>
          </w:tcPr>
          <w:p w14:paraId="0589F5C1">
            <w:pPr>
              <w:pStyle w:val="12"/>
              <w:jc w:val="center"/>
              <w:rPr>
                <w:rFonts w:ascii="宋体" w:hAnsi="宋体"/>
                <w:sz w:val="18"/>
                <w:szCs w:val="18"/>
              </w:rPr>
            </w:pPr>
            <w:r>
              <w:rPr>
                <w:rFonts w:ascii="宋体" w:hAnsi="宋体"/>
                <w:sz w:val="18"/>
                <w:szCs w:val="18"/>
              </w:rPr>
              <w:t>377.9</w:t>
            </w:r>
          </w:p>
        </w:tc>
        <w:tc>
          <w:tcPr>
            <w:tcW w:w="407" w:type="pct"/>
            <w:vAlign w:val="center"/>
          </w:tcPr>
          <w:p w14:paraId="7CA76A88">
            <w:pPr>
              <w:pStyle w:val="12"/>
              <w:jc w:val="center"/>
              <w:rPr>
                <w:rFonts w:ascii="宋体" w:hAnsi="宋体"/>
                <w:sz w:val="18"/>
                <w:szCs w:val="18"/>
              </w:rPr>
            </w:pPr>
            <w:r>
              <w:rPr>
                <w:rFonts w:ascii="宋体" w:hAnsi="宋体"/>
                <w:sz w:val="18"/>
                <w:szCs w:val="18"/>
              </w:rPr>
              <w:t>1699.1</w:t>
            </w:r>
          </w:p>
        </w:tc>
        <w:tc>
          <w:tcPr>
            <w:tcW w:w="407" w:type="pct"/>
            <w:vAlign w:val="center"/>
          </w:tcPr>
          <w:p w14:paraId="1E0CEAA3">
            <w:pPr>
              <w:pStyle w:val="12"/>
              <w:jc w:val="center"/>
              <w:rPr>
                <w:rFonts w:ascii="宋体" w:hAnsi="宋体"/>
                <w:sz w:val="18"/>
                <w:szCs w:val="18"/>
              </w:rPr>
            </w:pPr>
            <w:r>
              <w:rPr>
                <w:rFonts w:ascii="宋体" w:hAnsi="宋体"/>
                <w:sz w:val="18"/>
                <w:szCs w:val="18"/>
              </w:rPr>
              <w:t>1483.2</w:t>
            </w:r>
          </w:p>
        </w:tc>
        <w:tc>
          <w:tcPr>
            <w:tcW w:w="384" w:type="pct"/>
            <w:vAlign w:val="center"/>
          </w:tcPr>
          <w:p w14:paraId="2929FD77">
            <w:pPr>
              <w:pStyle w:val="12"/>
              <w:jc w:val="center"/>
              <w:rPr>
                <w:rFonts w:ascii="宋体" w:hAnsi="宋体"/>
                <w:sz w:val="18"/>
                <w:szCs w:val="18"/>
              </w:rPr>
            </w:pPr>
            <w:r>
              <w:rPr>
                <w:rFonts w:ascii="宋体" w:hAnsi="宋体"/>
                <w:sz w:val="18"/>
                <w:szCs w:val="18"/>
              </w:rPr>
              <w:t>406.5</w:t>
            </w:r>
          </w:p>
        </w:tc>
        <w:tc>
          <w:tcPr>
            <w:tcW w:w="384" w:type="pct"/>
            <w:vAlign w:val="center"/>
          </w:tcPr>
          <w:p w14:paraId="58A1E3BD">
            <w:pPr>
              <w:pStyle w:val="12"/>
              <w:jc w:val="center"/>
              <w:rPr>
                <w:rFonts w:ascii="宋体" w:hAnsi="宋体"/>
                <w:sz w:val="18"/>
                <w:szCs w:val="18"/>
              </w:rPr>
            </w:pPr>
            <w:r>
              <w:rPr>
                <w:rFonts w:ascii="宋体" w:hAnsi="宋体"/>
                <w:sz w:val="18"/>
                <w:szCs w:val="18"/>
              </w:rPr>
              <w:t>821</w:t>
            </w:r>
          </w:p>
        </w:tc>
        <w:tc>
          <w:tcPr>
            <w:tcW w:w="317" w:type="pct"/>
            <w:vAlign w:val="center"/>
          </w:tcPr>
          <w:p w14:paraId="059115C7">
            <w:pPr>
              <w:pStyle w:val="12"/>
              <w:jc w:val="center"/>
              <w:rPr>
                <w:rFonts w:ascii="宋体" w:hAnsi="宋体"/>
                <w:sz w:val="18"/>
                <w:szCs w:val="18"/>
              </w:rPr>
            </w:pPr>
            <w:r>
              <w:rPr>
                <w:rFonts w:ascii="宋体" w:hAnsi="宋体"/>
                <w:sz w:val="18"/>
                <w:szCs w:val="18"/>
              </w:rPr>
              <w:t>341.2</w:t>
            </w:r>
          </w:p>
        </w:tc>
        <w:tc>
          <w:tcPr>
            <w:tcW w:w="387" w:type="pct"/>
            <w:vAlign w:val="center"/>
          </w:tcPr>
          <w:p w14:paraId="40C0987B">
            <w:pPr>
              <w:pStyle w:val="12"/>
              <w:jc w:val="center"/>
              <w:rPr>
                <w:rFonts w:ascii="宋体" w:hAnsi="宋体"/>
                <w:sz w:val="18"/>
                <w:szCs w:val="18"/>
              </w:rPr>
            </w:pPr>
            <w:r>
              <w:rPr>
                <w:rFonts w:ascii="宋体" w:hAnsi="宋体"/>
                <w:sz w:val="18"/>
                <w:szCs w:val="18"/>
              </w:rPr>
              <w:t>326.8</w:t>
            </w:r>
          </w:p>
        </w:tc>
      </w:tr>
      <w:tr w14:paraId="3E0CA9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7" w:type="pct"/>
            <w:vAlign w:val="center"/>
          </w:tcPr>
          <w:p w14:paraId="4E7EC9CA">
            <w:pPr>
              <w:pStyle w:val="12"/>
              <w:jc w:val="center"/>
              <w:rPr>
                <w:rFonts w:ascii="宋体" w:hAnsi="宋体"/>
                <w:sz w:val="18"/>
                <w:szCs w:val="18"/>
              </w:rPr>
            </w:pPr>
            <w:r>
              <w:rPr>
                <w:rFonts w:ascii="宋体" w:hAnsi="宋体"/>
                <w:sz w:val="18"/>
                <w:szCs w:val="18"/>
              </w:rPr>
              <w:t>1985</w:t>
            </w:r>
          </w:p>
        </w:tc>
        <w:tc>
          <w:tcPr>
            <w:tcW w:w="407" w:type="pct"/>
            <w:vAlign w:val="center"/>
          </w:tcPr>
          <w:p w14:paraId="253E83A4">
            <w:pPr>
              <w:pStyle w:val="12"/>
              <w:jc w:val="center"/>
              <w:rPr>
                <w:rFonts w:ascii="宋体" w:hAnsi="宋体"/>
                <w:sz w:val="18"/>
                <w:szCs w:val="18"/>
              </w:rPr>
            </w:pPr>
            <w:r>
              <w:rPr>
                <w:rFonts w:ascii="宋体" w:hAnsi="宋体"/>
                <w:sz w:val="18"/>
                <w:szCs w:val="18"/>
              </w:rPr>
              <w:t>2159.7</w:t>
            </w:r>
          </w:p>
        </w:tc>
        <w:tc>
          <w:tcPr>
            <w:tcW w:w="407" w:type="pct"/>
            <w:vAlign w:val="center"/>
          </w:tcPr>
          <w:p w14:paraId="0A0F7BD8">
            <w:pPr>
              <w:pStyle w:val="12"/>
              <w:jc w:val="center"/>
              <w:rPr>
                <w:rFonts w:ascii="宋体" w:hAnsi="宋体"/>
                <w:sz w:val="18"/>
                <w:szCs w:val="18"/>
              </w:rPr>
            </w:pPr>
            <w:r>
              <w:rPr>
                <w:rFonts w:ascii="宋体" w:hAnsi="宋体"/>
                <w:sz w:val="18"/>
                <w:szCs w:val="18"/>
              </w:rPr>
              <w:t>1959.9</w:t>
            </w:r>
          </w:p>
        </w:tc>
        <w:tc>
          <w:tcPr>
            <w:tcW w:w="383" w:type="pct"/>
            <w:vAlign w:val="center"/>
          </w:tcPr>
          <w:p w14:paraId="7D94B4DD">
            <w:pPr>
              <w:pStyle w:val="12"/>
              <w:jc w:val="center"/>
              <w:rPr>
                <w:rFonts w:ascii="宋体" w:hAnsi="宋体"/>
                <w:sz w:val="18"/>
                <w:szCs w:val="18"/>
              </w:rPr>
            </w:pPr>
            <w:r>
              <w:rPr>
                <w:rFonts w:ascii="宋体" w:hAnsi="宋体"/>
                <w:sz w:val="18"/>
                <w:szCs w:val="18"/>
              </w:rPr>
              <w:t>1877</w:t>
            </w:r>
          </w:p>
        </w:tc>
        <w:tc>
          <w:tcPr>
            <w:tcW w:w="352" w:type="pct"/>
            <w:vAlign w:val="center"/>
          </w:tcPr>
          <w:p w14:paraId="3C80E5A9">
            <w:pPr>
              <w:pStyle w:val="12"/>
              <w:jc w:val="center"/>
              <w:rPr>
                <w:rFonts w:ascii="宋体" w:hAnsi="宋体"/>
                <w:sz w:val="18"/>
                <w:szCs w:val="18"/>
              </w:rPr>
            </w:pPr>
            <w:r>
              <w:rPr>
                <w:rFonts w:ascii="宋体" w:hAnsi="宋体"/>
                <w:sz w:val="18"/>
                <w:szCs w:val="18"/>
              </w:rPr>
              <w:t>294.1</w:t>
            </w:r>
          </w:p>
        </w:tc>
        <w:tc>
          <w:tcPr>
            <w:tcW w:w="352" w:type="pct"/>
            <w:vAlign w:val="center"/>
          </w:tcPr>
          <w:p w14:paraId="481CE4F6">
            <w:pPr>
              <w:pStyle w:val="12"/>
              <w:jc w:val="center"/>
              <w:rPr>
                <w:rFonts w:ascii="宋体" w:hAnsi="宋体"/>
                <w:sz w:val="18"/>
                <w:szCs w:val="18"/>
              </w:rPr>
            </w:pPr>
            <w:r>
              <w:rPr>
                <w:rFonts w:ascii="宋体" w:hAnsi="宋体"/>
                <w:sz w:val="18"/>
                <w:szCs w:val="18"/>
              </w:rPr>
              <w:t>81.9</w:t>
            </w:r>
          </w:p>
        </w:tc>
        <w:tc>
          <w:tcPr>
            <w:tcW w:w="407" w:type="pct"/>
            <w:vAlign w:val="center"/>
          </w:tcPr>
          <w:p w14:paraId="109E006B">
            <w:pPr>
              <w:pStyle w:val="12"/>
              <w:jc w:val="center"/>
              <w:rPr>
                <w:rFonts w:ascii="宋体" w:hAnsi="宋体"/>
                <w:sz w:val="18"/>
                <w:szCs w:val="18"/>
              </w:rPr>
            </w:pPr>
            <w:r>
              <w:rPr>
                <w:rFonts w:ascii="宋体" w:hAnsi="宋体"/>
                <w:sz w:val="18"/>
                <w:szCs w:val="18"/>
              </w:rPr>
              <w:t>438.1</w:t>
            </w:r>
          </w:p>
        </w:tc>
        <w:tc>
          <w:tcPr>
            <w:tcW w:w="407" w:type="pct"/>
            <w:vAlign w:val="center"/>
          </w:tcPr>
          <w:p w14:paraId="78AA960D">
            <w:pPr>
              <w:pStyle w:val="12"/>
              <w:jc w:val="center"/>
              <w:rPr>
                <w:rFonts w:ascii="宋体" w:hAnsi="宋体"/>
                <w:sz w:val="18"/>
                <w:szCs w:val="18"/>
              </w:rPr>
            </w:pPr>
            <w:r>
              <w:rPr>
                <w:rFonts w:ascii="宋体" w:hAnsi="宋体"/>
                <w:sz w:val="18"/>
                <w:szCs w:val="18"/>
              </w:rPr>
              <w:t>2551.9</w:t>
            </w:r>
          </w:p>
        </w:tc>
        <w:tc>
          <w:tcPr>
            <w:tcW w:w="407" w:type="pct"/>
            <w:vAlign w:val="center"/>
          </w:tcPr>
          <w:p w14:paraId="52C4E4FB">
            <w:pPr>
              <w:pStyle w:val="12"/>
              <w:jc w:val="center"/>
              <w:rPr>
                <w:rFonts w:ascii="宋体" w:hAnsi="宋体"/>
                <w:sz w:val="18"/>
                <w:szCs w:val="18"/>
              </w:rPr>
            </w:pPr>
            <w:r>
              <w:rPr>
                <w:rFonts w:ascii="宋体" w:hAnsi="宋体"/>
                <w:sz w:val="18"/>
                <w:szCs w:val="18"/>
              </w:rPr>
              <w:t>2354.9</w:t>
            </w:r>
          </w:p>
        </w:tc>
        <w:tc>
          <w:tcPr>
            <w:tcW w:w="384" w:type="pct"/>
            <w:vAlign w:val="center"/>
          </w:tcPr>
          <w:p w14:paraId="54B4C4AE">
            <w:pPr>
              <w:pStyle w:val="12"/>
              <w:jc w:val="center"/>
              <w:rPr>
                <w:rFonts w:ascii="宋体" w:hAnsi="宋体"/>
                <w:sz w:val="18"/>
                <w:szCs w:val="18"/>
              </w:rPr>
            </w:pPr>
            <w:r>
              <w:rPr>
                <w:rFonts w:ascii="宋体" w:hAnsi="宋体"/>
                <w:sz w:val="18"/>
                <w:szCs w:val="18"/>
              </w:rPr>
              <w:t>798</w:t>
            </w:r>
          </w:p>
        </w:tc>
        <w:tc>
          <w:tcPr>
            <w:tcW w:w="384" w:type="pct"/>
            <w:vAlign w:val="center"/>
          </w:tcPr>
          <w:p w14:paraId="54351B55">
            <w:pPr>
              <w:pStyle w:val="12"/>
              <w:jc w:val="center"/>
              <w:rPr>
                <w:rFonts w:ascii="宋体" w:hAnsi="宋体"/>
                <w:sz w:val="18"/>
                <w:szCs w:val="18"/>
              </w:rPr>
            </w:pPr>
            <w:r>
              <w:rPr>
                <w:rFonts w:ascii="宋体" w:hAnsi="宋体"/>
                <w:sz w:val="18"/>
                <w:szCs w:val="18"/>
              </w:rPr>
              <w:t>1063.9</w:t>
            </w:r>
          </w:p>
        </w:tc>
        <w:tc>
          <w:tcPr>
            <w:tcW w:w="317" w:type="pct"/>
            <w:vAlign w:val="center"/>
          </w:tcPr>
          <w:p w14:paraId="38A6E469">
            <w:pPr>
              <w:pStyle w:val="12"/>
              <w:jc w:val="center"/>
              <w:rPr>
                <w:rFonts w:ascii="宋体" w:hAnsi="宋体"/>
                <w:sz w:val="18"/>
                <w:szCs w:val="18"/>
              </w:rPr>
            </w:pPr>
            <w:r>
              <w:rPr>
                <w:rFonts w:ascii="宋体" w:hAnsi="宋体"/>
                <w:sz w:val="18"/>
                <w:szCs w:val="18"/>
              </w:rPr>
              <w:t>404.7</w:t>
            </w:r>
          </w:p>
        </w:tc>
        <w:tc>
          <w:tcPr>
            <w:tcW w:w="387" w:type="pct"/>
            <w:vAlign w:val="center"/>
          </w:tcPr>
          <w:p w14:paraId="5A1A0A53">
            <w:pPr>
              <w:pStyle w:val="12"/>
              <w:jc w:val="center"/>
              <w:rPr>
                <w:rFonts w:ascii="宋体" w:hAnsi="宋体"/>
                <w:sz w:val="18"/>
                <w:szCs w:val="18"/>
              </w:rPr>
            </w:pPr>
            <w:r>
              <w:rPr>
                <w:rFonts w:ascii="宋体" w:hAnsi="宋体"/>
                <w:sz w:val="18"/>
                <w:szCs w:val="18"/>
              </w:rPr>
              <w:t>48</w:t>
            </w:r>
          </w:p>
        </w:tc>
      </w:tr>
      <w:tr w14:paraId="2B589F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7" w:type="pct"/>
            <w:vAlign w:val="center"/>
          </w:tcPr>
          <w:p w14:paraId="57ABDBFD">
            <w:pPr>
              <w:pStyle w:val="12"/>
              <w:jc w:val="center"/>
              <w:rPr>
                <w:rFonts w:ascii="宋体" w:hAnsi="宋体"/>
                <w:sz w:val="18"/>
                <w:szCs w:val="18"/>
              </w:rPr>
            </w:pPr>
            <w:r>
              <w:rPr>
                <w:rFonts w:ascii="宋体" w:hAnsi="宋体"/>
                <w:sz w:val="18"/>
                <w:szCs w:val="18"/>
              </w:rPr>
              <w:t>1986</w:t>
            </w:r>
          </w:p>
        </w:tc>
        <w:tc>
          <w:tcPr>
            <w:tcW w:w="407" w:type="pct"/>
            <w:vAlign w:val="center"/>
          </w:tcPr>
          <w:p w14:paraId="32A39A91">
            <w:pPr>
              <w:pStyle w:val="12"/>
              <w:jc w:val="center"/>
              <w:rPr>
                <w:rFonts w:ascii="宋体" w:hAnsi="宋体"/>
                <w:sz w:val="18"/>
                <w:szCs w:val="18"/>
              </w:rPr>
            </w:pPr>
            <w:r>
              <w:rPr>
                <w:rFonts w:ascii="宋体" w:hAnsi="宋体"/>
                <w:sz w:val="18"/>
                <w:szCs w:val="18"/>
              </w:rPr>
              <w:t>3906</w:t>
            </w:r>
          </w:p>
        </w:tc>
        <w:tc>
          <w:tcPr>
            <w:tcW w:w="407" w:type="pct"/>
            <w:vAlign w:val="center"/>
          </w:tcPr>
          <w:p w14:paraId="203A9B73">
            <w:pPr>
              <w:pStyle w:val="12"/>
              <w:jc w:val="center"/>
              <w:rPr>
                <w:rFonts w:ascii="宋体" w:hAnsi="宋体"/>
                <w:sz w:val="18"/>
                <w:szCs w:val="18"/>
              </w:rPr>
            </w:pPr>
            <w:r>
              <w:rPr>
                <w:rFonts w:ascii="宋体" w:hAnsi="宋体"/>
                <w:sz w:val="18"/>
                <w:szCs w:val="18"/>
              </w:rPr>
              <w:t>3608.2</w:t>
            </w:r>
          </w:p>
        </w:tc>
        <w:tc>
          <w:tcPr>
            <w:tcW w:w="383" w:type="pct"/>
            <w:vAlign w:val="center"/>
          </w:tcPr>
          <w:p w14:paraId="56C94E47">
            <w:pPr>
              <w:pStyle w:val="12"/>
              <w:jc w:val="center"/>
              <w:rPr>
                <w:rFonts w:ascii="宋体" w:hAnsi="宋体"/>
                <w:sz w:val="18"/>
                <w:szCs w:val="18"/>
              </w:rPr>
            </w:pPr>
            <w:r>
              <w:rPr>
                <w:rFonts w:ascii="宋体" w:hAnsi="宋体"/>
                <w:sz w:val="18"/>
                <w:szCs w:val="18"/>
              </w:rPr>
              <w:t>3375.9</w:t>
            </w:r>
          </w:p>
        </w:tc>
        <w:tc>
          <w:tcPr>
            <w:tcW w:w="352" w:type="pct"/>
            <w:vAlign w:val="center"/>
          </w:tcPr>
          <w:p w14:paraId="3D477B11">
            <w:pPr>
              <w:pStyle w:val="12"/>
              <w:jc w:val="center"/>
              <w:rPr>
                <w:rFonts w:ascii="宋体" w:hAnsi="宋体"/>
                <w:sz w:val="18"/>
                <w:szCs w:val="18"/>
              </w:rPr>
            </w:pPr>
            <w:r>
              <w:rPr>
                <w:rFonts w:ascii="宋体" w:hAnsi="宋体"/>
                <w:sz w:val="18"/>
                <w:szCs w:val="18"/>
              </w:rPr>
              <w:t>282</w:t>
            </w:r>
          </w:p>
        </w:tc>
        <w:tc>
          <w:tcPr>
            <w:tcW w:w="352" w:type="pct"/>
            <w:vAlign w:val="center"/>
          </w:tcPr>
          <w:p w14:paraId="49E46583">
            <w:pPr>
              <w:pStyle w:val="12"/>
              <w:jc w:val="center"/>
              <w:rPr>
                <w:rFonts w:ascii="宋体" w:hAnsi="宋体"/>
                <w:sz w:val="18"/>
                <w:szCs w:val="18"/>
              </w:rPr>
            </w:pPr>
            <w:r>
              <w:rPr>
                <w:rFonts w:ascii="宋体" w:hAnsi="宋体"/>
                <w:sz w:val="18"/>
                <w:szCs w:val="18"/>
              </w:rPr>
              <w:t>185.5</w:t>
            </w:r>
          </w:p>
        </w:tc>
        <w:tc>
          <w:tcPr>
            <w:tcW w:w="407" w:type="pct"/>
            <w:vAlign w:val="center"/>
          </w:tcPr>
          <w:p w14:paraId="24DB6BEF">
            <w:pPr>
              <w:pStyle w:val="12"/>
              <w:jc w:val="center"/>
              <w:rPr>
                <w:rFonts w:ascii="宋体" w:hAnsi="宋体"/>
                <w:sz w:val="18"/>
                <w:szCs w:val="18"/>
              </w:rPr>
            </w:pPr>
            <w:r>
              <w:rPr>
                <w:rFonts w:ascii="宋体" w:hAnsi="宋体"/>
                <w:sz w:val="18"/>
                <w:szCs w:val="18"/>
              </w:rPr>
              <w:t>638</w:t>
            </w:r>
          </w:p>
        </w:tc>
        <w:tc>
          <w:tcPr>
            <w:tcW w:w="407" w:type="pct"/>
            <w:vAlign w:val="center"/>
          </w:tcPr>
          <w:p w14:paraId="0049D036">
            <w:pPr>
              <w:pStyle w:val="12"/>
              <w:jc w:val="center"/>
              <w:rPr>
                <w:rFonts w:ascii="宋体" w:hAnsi="宋体"/>
                <w:sz w:val="18"/>
                <w:szCs w:val="18"/>
              </w:rPr>
            </w:pPr>
            <w:r>
              <w:rPr>
                <w:rFonts w:ascii="宋体" w:hAnsi="宋体"/>
                <w:sz w:val="18"/>
                <w:szCs w:val="18"/>
              </w:rPr>
              <w:t>4471.2</w:t>
            </w:r>
          </w:p>
        </w:tc>
        <w:tc>
          <w:tcPr>
            <w:tcW w:w="407" w:type="pct"/>
            <w:vAlign w:val="center"/>
          </w:tcPr>
          <w:p w14:paraId="781D885C">
            <w:pPr>
              <w:pStyle w:val="12"/>
              <w:jc w:val="center"/>
              <w:rPr>
                <w:rFonts w:ascii="宋体" w:hAnsi="宋体"/>
                <w:sz w:val="18"/>
                <w:szCs w:val="18"/>
              </w:rPr>
            </w:pPr>
            <w:r>
              <w:rPr>
                <w:rFonts w:ascii="宋体" w:hAnsi="宋体"/>
                <w:sz w:val="18"/>
                <w:szCs w:val="18"/>
              </w:rPr>
              <w:t>4183.4</w:t>
            </w:r>
          </w:p>
        </w:tc>
        <w:tc>
          <w:tcPr>
            <w:tcW w:w="384" w:type="pct"/>
            <w:vAlign w:val="center"/>
          </w:tcPr>
          <w:p w14:paraId="01F8D7FC">
            <w:pPr>
              <w:pStyle w:val="12"/>
              <w:jc w:val="center"/>
              <w:rPr>
                <w:rFonts w:ascii="宋体" w:hAnsi="宋体"/>
                <w:sz w:val="18"/>
                <w:szCs w:val="18"/>
              </w:rPr>
            </w:pPr>
            <w:r>
              <w:rPr>
                <w:rFonts w:ascii="宋体" w:hAnsi="宋体"/>
                <w:sz w:val="18"/>
                <w:szCs w:val="18"/>
              </w:rPr>
              <w:t>1615.9</w:t>
            </w:r>
          </w:p>
        </w:tc>
        <w:tc>
          <w:tcPr>
            <w:tcW w:w="384" w:type="pct"/>
            <w:vAlign w:val="center"/>
          </w:tcPr>
          <w:p w14:paraId="0E359EF1">
            <w:pPr>
              <w:pStyle w:val="12"/>
              <w:jc w:val="center"/>
              <w:rPr>
                <w:rFonts w:ascii="宋体" w:hAnsi="宋体"/>
                <w:sz w:val="18"/>
                <w:szCs w:val="18"/>
              </w:rPr>
            </w:pPr>
            <w:r>
              <w:rPr>
                <w:rFonts w:ascii="宋体" w:hAnsi="宋体"/>
                <w:sz w:val="18"/>
                <w:szCs w:val="18"/>
              </w:rPr>
              <w:t>1558.8</w:t>
            </w:r>
          </w:p>
        </w:tc>
        <w:tc>
          <w:tcPr>
            <w:tcW w:w="317" w:type="pct"/>
            <w:vAlign w:val="center"/>
          </w:tcPr>
          <w:p w14:paraId="0DB170F0">
            <w:pPr>
              <w:pStyle w:val="12"/>
              <w:jc w:val="center"/>
              <w:rPr>
                <w:rFonts w:ascii="宋体" w:hAnsi="宋体"/>
                <w:sz w:val="18"/>
                <w:szCs w:val="18"/>
              </w:rPr>
            </w:pPr>
            <w:r>
              <w:rPr>
                <w:rFonts w:ascii="宋体" w:hAnsi="宋体"/>
                <w:sz w:val="18"/>
                <w:szCs w:val="18"/>
              </w:rPr>
              <w:t>651.6</w:t>
            </w:r>
          </w:p>
        </w:tc>
        <w:tc>
          <w:tcPr>
            <w:tcW w:w="387" w:type="pct"/>
            <w:vAlign w:val="center"/>
          </w:tcPr>
          <w:p w14:paraId="21028501">
            <w:pPr>
              <w:pStyle w:val="12"/>
              <w:jc w:val="center"/>
              <w:rPr>
                <w:rFonts w:ascii="宋体" w:hAnsi="宋体"/>
                <w:sz w:val="18"/>
                <w:szCs w:val="18"/>
              </w:rPr>
            </w:pPr>
            <w:r>
              <w:rPr>
                <w:rFonts w:ascii="宋体" w:hAnsi="宋体"/>
                <w:sz w:val="18"/>
                <w:szCs w:val="18"/>
              </w:rPr>
              <w:t>53.6</w:t>
            </w:r>
          </w:p>
        </w:tc>
      </w:tr>
      <w:tr w14:paraId="454409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7" w:type="pct"/>
            <w:vAlign w:val="center"/>
          </w:tcPr>
          <w:p w14:paraId="7B3EDA36">
            <w:pPr>
              <w:pStyle w:val="12"/>
              <w:jc w:val="center"/>
              <w:rPr>
                <w:rFonts w:ascii="宋体" w:hAnsi="宋体"/>
                <w:sz w:val="18"/>
                <w:szCs w:val="18"/>
              </w:rPr>
            </w:pPr>
            <w:r>
              <w:rPr>
                <w:rFonts w:ascii="宋体" w:hAnsi="宋体"/>
                <w:sz w:val="18"/>
                <w:szCs w:val="18"/>
              </w:rPr>
              <w:t>1987</w:t>
            </w:r>
          </w:p>
        </w:tc>
        <w:tc>
          <w:tcPr>
            <w:tcW w:w="407" w:type="pct"/>
            <w:vAlign w:val="center"/>
          </w:tcPr>
          <w:p w14:paraId="734CD709">
            <w:pPr>
              <w:pStyle w:val="12"/>
              <w:jc w:val="center"/>
              <w:rPr>
                <w:rFonts w:ascii="宋体" w:hAnsi="宋体"/>
                <w:sz w:val="18"/>
                <w:szCs w:val="18"/>
              </w:rPr>
            </w:pPr>
            <w:r>
              <w:rPr>
                <w:rFonts w:ascii="宋体" w:hAnsi="宋体"/>
                <w:sz w:val="18"/>
                <w:szCs w:val="18"/>
              </w:rPr>
              <w:t>5132.4</w:t>
            </w:r>
          </w:p>
        </w:tc>
        <w:tc>
          <w:tcPr>
            <w:tcW w:w="407" w:type="pct"/>
            <w:vAlign w:val="center"/>
          </w:tcPr>
          <w:p w14:paraId="4131AC31">
            <w:pPr>
              <w:pStyle w:val="12"/>
              <w:jc w:val="center"/>
              <w:rPr>
                <w:rFonts w:ascii="宋体" w:hAnsi="宋体"/>
                <w:sz w:val="18"/>
                <w:szCs w:val="18"/>
              </w:rPr>
            </w:pPr>
            <w:r>
              <w:rPr>
                <w:rFonts w:ascii="宋体" w:hAnsi="宋体"/>
                <w:sz w:val="18"/>
                <w:szCs w:val="18"/>
              </w:rPr>
              <w:t>5017.9</w:t>
            </w:r>
          </w:p>
        </w:tc>
        <w:tc>
          <w:tcPr>
            <w:tcW w:w="383" w:type="pct"/>
            <w:vAlign w:val="center"/>
          </w:tcPr>
          <w:p w14:paraId="5446A703">
            <w:pPr>
              <w:pStyle w:val="12"/>
              <w:jc w:val="center"/>
              <w:rPr>
                <w:rFonts w:ascii="宋体" w:hAnsi="宋体"/>
                <w:sz w:val="18"/>
                <w:szCs w:val="18"/>
              </w:rPr>
            </w:pPr>
            <w:r>
              <w:rPr>
                <w:rFonts w:ascii="宋体" w:hAnsi="宋体"/>
                <w:sz w:val="18"/>
                <w:szCs w:val="18"/>
              </w:rPr>
              <w:t>4794.3</w:t>
            </w:r>
          </w:p>
        </w:tc>
        <w:tc>
          <w:tcPr>
            <w:tcW w:w="352" w:type="pct"/>
            <w:vAlign w:val="center"/>
          </w:tcPr>
          <w:p w14:paraId="4EF7F45F">
            <w:pPr>
              <w:pStyle w:val="12"/>
              <w:jc w:val="center"/>
              <w:rPr>
                <w:rFonts w:ascii="宋体" w:hAnsi="宋体"/>
                <w:sz w:val="18"/>
                <w:szCs w:val="18"/>
              </w:rPr>
            </w:pPr>
            <w:r>
              <w:rPr>
                <w:rFonts w:ascii="宋体" w:hAnsi="宋体"/>
                <w:sz w:val="18"/>
                <w:szCs w:val="18"/>
              </w:rPr>
              <w:t>310</w:t>
            </w:r>
          </w:p>
        </w:tc>
        <w:tc>
          <w:tcPr>
            <w:tcW w:w="352" w:type="pct"/>
            <w:vAlign w:val="center"/>
          </w:tcPr>
          <w:p w14:paraId="6C51E9EE">
            <w:pPr>
              <w:pStyle w:val="12"/>
              <w:jc w:val="center"/>
              <w:rPr>
                <w:rFonts w:ascii="宋体" w:hAnsi="宋体"/>
                <w:sz w:val="18"/>
                <w:szCs w:val="18"/>
              </w:rPr>
            </w:pPr>
            <w:r>
              <w:rPr>
                <w:rFonts w:ascii="宋体" w:hAnsi="宋体"/>
                <w:sz w:val="18"/>
                <w:szCs w:val="18"/>
              </w:rPr>
              <w:t>-38.7</w:t>
            </w:r>
          </w:p>
        </w:tc>
        <w:tc>
          <w:tcPr>
            <w:tcW w:w="407" w:type="pct"/>
            <w:vAlign w:val="center"/>
          </w:tcPr>
          <w:p w14:paraId="0CB36E28">
            <w:pPr>
              <w:pStyle w:val="12"/>
              <w:jc w:val="center"/>
              <w:rPr>
                <w:rFonts w:ascii="宋体" w:hAnsi="宋体"/>
                <w:sz w:val="18"/>
                <w:szCs w:val="18"/>
              </w:rPr>
            </w:pPr>
            <w:r>
              <w:rPr>
                <w:rFonts w:ascii="宋体" w:hAnsi="宋体"/>
                <w:sz w:val="18"/>
                <w:szCs w:val="18"/>
              </w:rPr>
              <w:t>725.8</w:t>
            </w:r>
          </w:p>
        </w:tc>
        <w:tc>
          <w:tcPr>
            <w:tcW w:w="407" w:type="pct"/>
            <w:vAlign w:val="center"/>
          </w:tcPr>
          <w:p w14:paraId="1B9E45F2">
            <w:pPr>
              <w:pStyle w:val="12"/>
              <w:jc w:val="center"/>
              <w:rPr>
                <w:rFonts w:ascii="宋体" w:hAnsi="宋体"/>
                <w:sz w:val="18"/>
                <w:szCs w:val="18"/>
              </w:rPr>
            </w:pPr>
            <w:r>
              <w:rPr>
                <w:rFonts w:ascii="宋体" w:hAnsi="宋体"/>
                <w:sz w:val="18"/>
                <w:szCs w:val="18"/>
              </w:rPr>
              <w:t>5475.3</w:t>
            </w:r>
          </w:p>
        </w:tc>
        <w:tc>
          <w:tcPr>
            <w:tcW w:w="407" w:type="pct"/>
            <w:vAlign w:val="center"/>
          </w:tcPr>
          <w:p w14:paraId="74BA2AAB">
            <w:pPr>
              <w:pStyle w:val="12"/>
              <w:jc w:val="center"/>
              <w:rPr>
                <w:rFonts w:ascii="宋体" w:hAnsi="宋体"/>
                <w:sz w:val="18"/>
                <w:szCs w:val="18"/>
              </w:rPr>
            </w:pPr>
            <w:r>
              <w:rPr>
                <w:rFonts w:ascii="宋体" w:hAnsi="宋体"/>
                <w:sz w:val="18"/>
                <w:szCs w:val="18"/>
              </w:rPr>
              <w:t>5377.4</w:t>
            </w:r>
          </w:p>
        </w:tc>
        <w:tc>
          <w:tcPr>
            <w:tcW w:w="384" w:type="pct"/>
            <w:vAlign w:val="center"/>
          </w:tcPr>
          <w:p w14:paraId="47B27AA6">
            <w:pPr>
              <w:pStyle w:val="12"/>
              <w:jc w:val="center"/>
              <w:rPr>
                <w:rFonts w:ascii="宋体" w:hAnsi="宋体"/>
                <w:sz w:val="18"/>
                <w:szCs w:val="18"/>
              </w:rPr>
            </w:pPr>
            <w:r>
              <w:rPr>
                <w:rFonts w:ascii="宋体" w:hAnsi="宋体"/>
                <w:sz w:val="18"/>
                <w:szCs w:val="18"/>
              </w:rPr>
              <w:t>1587</w:t>
            </w:r>
          </w:p>
        </w:tc>
        <w:tc>
          <w:tcPr>
            <w:tcW w:w="384" w:type="pct"/>
            <w:vAlign w:val="center"/>
          </w:tcPr>
          <w:p w14:paraId="315DB24E">
            <w:pPr>
              <w:pStyle w:val="12"/>
              <w:jc w:val="center"/>
              <w:rPr>
                <w:rFonts w:ascii="宋体" w:hAnsi="宋体"/>
                <w:sz w:val="18"/>
                <w:szCs w:val="18"/>
              </w:rPr>
            </w:pPr>
            <w:r>
              <w:rPr>
                <w:rFonts w:ascii="宋体" w:hAnsi="宋体"/>
                <w:sz w:val="18"/>
                <w:szCs w:val="18"/>
              </w:rPr>
              <w:t>2254.6</w:t>
            </w:r>
          </w:p>
        </w:tc>
        <w:tc>
          <w:tcPr>
            <w:tcW w:w="317" w:type="pct"/>
            <w:vAlign w:val="center"/>
          </w:tcPr>
          <w:p w14:paraId="2BD005E1">
            <w:pPr>
              <w:pStyle w:val="12"/>
              <w:jc w:val="center"/>
              <w:rPr>
                <w:rFonts w:ascii="宋体" w:hAnsi="宋体"/>
                <w:sz w:val="18"/>
                <w:szCs w:val="18"/>
              </w:rPr>
            </w:pPr>
            <w:r>
              <w:rPr>
                <w:rFonts w:ascii="宋体" w:hAnsi="宋体"/>
                <w:sz w:val="18"/>
                <w:szCs w:val="18"/>
              </w:rPr>
              <w:t>577.4</w:t>
            </w:r>
          </w:p>
        </w:tc>
        <w:tc>
          <w:tcPr>
            <w:tcW w:w="387" w:type="pct"/>
            <w:vAlign w:val="center"/>
          </w:tcPr>
          <w:p w14:paraId="1BD4EAD3">
            <w:pPr>
              <w:pStyle w:val="12"/>
              <w:jc w:val="center"/>
              <w:rPr>
                <w:rFonts w:ascii="宋体" w:hAnsi="宋体"/>
                <w:sz w:val="18"/>
                <w:szCs w:val="18"/>
              </w:rPr>
            </w:pPr>
            <w:r>
              <w:rPr>
                <w:rFonts w:ascii="宋体" w:hAnsi="宋体"/>
                <w:sz w:val="18"/>
                <w:szCs w:val="18"/>
              </w:rPr>
              <w:t>418.1</w:t>
            </w:r>
          </w:p>
        </w:tc>
      </w:tr>
    </w:tbl>
    <w:p w14:paraId="7AC230E7">
      <w:pPr>
        <w:ind w:firstLine="422"/>
        <w:rPr>
          <w:rFonts w:ascii="宋体" w:hAnsi="宋体"/>
          <w:b/>
        </w:rPr>
      </w:pPr>
      <w:r>
        <w:rPr>
          <w:rFonts w:hint="eastAsia" w:ascii="宋体" w:hAnsi="宋体"/>
          <w:b/>
        </w:rPr>
        <w:t>说明：1985年总收入中含粮油煤炭价差补贴-109.5万元，其他收支末单列一栏。</w:t>
      </w:r>
    </w:p>
    <w:p w14:paraId="3A357B5E">
      <w:pPr>
        <w:ind w:firstLine="0" w:firstLineChars="0"/>
        <w:jc w:val="center"/>
        <w:rPr>
          <w:rFonts w:ascii="宋体" w:hAnsi="宋体"/>
          <w:b/>
        </w:rPr>
      </w:pPr>
      <w:r>
        <w:rPr>
          <w:rFonts w:hint="eastAsia" w:ascii="宋体" w:hAnsi="宋体"/>
          <w:b/>
        </w:rPr>
        <w:t>1988年至2004年南雄市（县）财政收支情况</w:t>
      </w:r>
    </w:p>
    <w:p w14:paraId="24057770">
      <w:pPr>
        <w:ind w:firstLine="0" w:firstLineChars="0"/>
        <w:rPr>
          <w:rFonts w:ascii="宋体" w:hAnsi="宋体"/>
          <w:b/>
        </w:rPr>
      </w:pPr>
      <w:r>
        <w:rPr>
          <w:rFonts w:hint="eastAsia" w:ascii="宋体" w:hAnsi="宋体"/>
          <w:b/>
        </w:rPr>
        <w:t>表2-51</w:t>
      </w:r>
    </w:p>
    <w:p w14:paraId="72AFFC18">
      <w:pPr>
        <w:ind w:firstLine="0" w:firstLineChars="0"/>
        <w:jc w:val="right"/>
        <w:rPr>
          <w:rFonts w:ascii="宋体" w:hAnsi="宋体"/>
          <w:b/>
        </w:rPr>
      </w:pPr>
      <w:r>
        <w:rPr>
          <w:rFonts w:hint="eastAsia" w:ascii="宋体" w:hAnsi="宋体"/>
          <w:b/>
        </w:rPr>
        <w:t>单位：万元</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37"/>
        <w:gridCol w:w="741"/>
        <w:gridCol w:w="636"/>
        <w:gridCol w:w="636"/>
        <w:gridCol w:w="636"/>
        <w:gridCol w:w="636"/>
        <w:gridCol w:w="637"/>
        <w:gridCol w:w="741"/>
        <w:gridCol w:w="741"/>
        <w:gridCol w:w="636"/>
        <w:gridCol w:w="741"/>
        <w:gridCol w:w="636"/>
        <w:gridCol w:w="636"/>
        <w:gridCol w:w="637"/>
        <w:gridCol w:w="636"/>
      </w:tblGrid>
      <w:tr w14:paraId="01B39D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 w:type="pct"/>
            <w:vMerge w:val="restart"/>
            <w:vAlign w:val="center"/>
          </w:tcPr>
          <w:p w14:paraId="53BF54EA">
            <w:pPr>
              <w:pStyle w:val="12"/>
              <w:jc w:val="center"/>
              <w:rPr>
                <w:rFonts w:ascii="宋体" w:hAnsi="宋体"/>
                <w:b/>
              </w:rPr>
            </w:pPr>
            <w:r>
              <w:rPr>
                <w:rFonts w:hint="eastAsia" w:ascii="宋体" w:hAnsi="宋体"/>
                <w:b/>
              </w:rPr>
              <w:t>年份</w:t>
            </w:r>
          </w:p>
        </w:tc>
        <w:tc>
          <w:tcPr>
            <w:tcW w:w="372" w:type="pct"/>
            <w:vMerge w:val="restart"/>
            <w:vAlign w:val="center"/>
          </w:tcPr>
          <w:p w14:paraId="1125E44A">
            <w:pPr>
              <w:pStyle w:val="12"/>
              <w:jc w:val="center"/>
              <w:rPr>
                <w:rFonts w:ascii="宋体" w:hAnsi="宋体"/>
                <w:b/>
              </w:rPr>
            </w:pPr>
            <w:r>
              <w:rPr>
                <w:rFonts w:hint="eastAsia" w:ascii="宋体" w:hAnsi="宋体"/>
                <w:b/>
              </w:rPr>
              <w:t>地方收入</w:t>
            </w:r>
          </w:p>
        </w:tc>
        <w:tc>
          <w:tcPr>
            <w:tcW w:w="1596" w:type="pct"/>
            <w:gridSpan w:val="5"/>
            <w:vAlign w:val="center"/>
          </w:tcPr>
          <w:p w14:paraId="677D9301">
            <w:pPr>
              <w:pStyle w:val="12"/>
              <w:jc w:val="center"/>
              <w:rPr>
                <w:rFonts w:ascii="宋体" w:hAnsi="宋体"/>
                <w:b/>
              </w:rPr>
            </w:pPr>
            <w:r>
              <w:rPr>
                <w:rFonts w:hint="eastAsia" w:ascii="宋体" w:hAnsi="宋体"/>
                <w:b/>
              </w:rPr>
              <w:t>其中</w:t>
            </w:r>
          </w:p>
        </w:tc>
        <w:tc>
          <w:tcPr>
            <w:tcW w:w="372" w:type="pct"/>
            <w:vMerge w:val="restart"/>
            <w:vAlign w:val="center"/>
          </w:tcPr>
          <w:p w14:paraId="7E40D790">
            <w:pPr>
              <w:pStyle w:val="12"/>
              <w:jc w:val="center"/>
              <w:rPr>
                <w:rFonts w:ascii="宋体" w:hAnsi="宋体"/>
                <w:b/>
              </w:rPr>
            </w:pPr>
            <w:r>
              <w:rPr>
                <w:rFonts w:hint="eastAsia" w:ascii="宋体" w:hAnsi="宋体"/>
                <w:b/>
              </w:rPr>
              <w:t>上级补助收入</w:t>
            </w:r>
          </w:p>
        </w:tc>
        <w:tc>
          <w:tcPr>
            <w:tcW w:w="372" w:type="pct"/>
            <w:vMerge w:val="restart"/>
            <w:vAlign w:val="center"/>
          </w:tcPr>
          <w:p w14:paraId="08D1EB2F">
            <w:pPr>
              <w:pStyle w:val="12"/>
              <w:jc w:val="center"/>
              <w:rPr>
                <w:rFonts w:ascii="宋体" w:hAnsi="宋体"/>
                <w:b/>
              </w:rPr>
            </w:pPr>
            <w:r>
              <w:rPr>
                <w:rFonts w:hint="eastAsia" w:ascii="宋体" w:hAnsi="宋体"/>
                <w:b/>
              </w:rPr>
              <w:t>财政支出</w:t>
            </w:r>
          </w:p>
        </w:tc>
        <w:tc>
          <w:tcPr>
            <w:tcW w:w="1649" w:type="pct"/>
            <w:gridSpan w:val="5"/>
            <w:vAlign w:val="center"/>
          </w:tcPr>
          <w:p w14:paraId="15A6E481">
            <w:pPr>
              <w:pStyle w:val="12"/>
              <w:jc w:val="center"/>
              <w:rPr>
                <w:rFonts w:ascii="宋体" w:hAnsi="宋体"/>
                <w:b/>
              </w:rPr>
            </w:pPr>
            <w:r>
              <w:rPr>
                <w:rFonts w:hint="eastAsia" w:ascii="宋体" w:hAnsi="宋体"/>
                <w:b/>
              </w:rPr>
              <w:t>其中</w:t>
            </w:r>
          </w:p>
        </w:tc>
        <w:tc>
          <w:tcPr>
            <w:tcW w:w="319" w:type="pct"/>
            <w:vMerge w:val="restart"/>
            <w:vAlign w:val="center"/>
          </w:tcPr>
          <w:p w14:paraId="06D45BB6">
            <w:pPr>
              <w:pStyle w:val="12"/>
              <w:jc w:val="center"/>
              <w:rPr>
                <w:rFonts w:ascii="宋体" w:hAnsi="宋体"/>
                <w:b/>
              </w:rPr>
            </w:pPr>
            <w:r>
              <w:rPr>
                <w:rFonts w:hint="eastAsia" w:ascii="宋体" w:hAnsi="宋体"/>
                <w:b/>
              </w:rPr>
              <w:t>上解支出</w:t>
            </w:r>
          </w:p>
        </w:tc>
      </w:tr>
      <w:tr w14:paraId="45D575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 w:type="pct"/>
            <w:vMerge w:val="continue"/>
            <w:vAlign w:val="center"/>
          </w:tcPr>
          <w:p w14:paraId="69439E4D">
            <w:pPr>
              <w:pStyle w:val="12"/>
              <w:jc w:val="center"/>
              <w:rPr>
                <w:rFonts w:ascii="宋体" w:hAnsi="宋体"/>
                <w:b/>
              </w:rPr>
            </w:pPr>
          </w:p>
        </w:tc>
        <w:tc>
          <w:tcPr>
            <w:tcW w:w="372" w:type="pct"/>
            <w:vMerge w:val="continue"/>
            <w:vAlign w:val="center"/>
          </w:tcPr>
          <w:p w14:paraId="040B0A6E">
            <w:pPr>
              <w:pStyle w:val="12"/>
              <w:jc w:val="center"/>
              <w:rPr>
                <w:rFonts w:ascii="宋体" w:hAnsi="宋体"/>
                <w:b/>
              </w:rPr>
            </w:pPr>
          </w:p>
        </w:tc>
        <w:tc>
          <w:tcPr>
            <w:tcW w:w="319" w:type="pct"/>
            <w:vAlign w:val="center"/>
          </w:tcPr>
          <w:p w14:paraId="4840C026">
            <w:pPr>
              <w:pStyle w:val="12"/>
              <w:jc w:val="center"/>
              <w:rPr>
                <w:rFonts w:ascii="宋体" w:hAnsi="宋体"/>
                <w:b/>
              </w:rPr>
            </w:pPr>
            <w:r>
              <w:rPr>
                <w:rFonts w:hint="eastAsia" w:ascii="宋体" w:hAnsi="宋体"/>
                <w:b/>
              </w:rPr>
              <w:t>增值税</w:t>
            </w:r>
          </w:p>
        </w:tc>
        <w:tc>
          <w:tcPr>
            <w:tcW w:w="319" w:type="pct"/>
            <w:vAlign w:val="center"/>
          </w:tcPr>
          <w:p w14:paraId="4CA39B03">
            <w:pPr>
              <w:pStyle w:val="12"/>
              <w:jc w:val="center"/>
              <w:rPr>
                <w:rFonts w:ascii="宋体" w:hAnsi="宋体"/>
                <w:b/>
              </w:rPr>
            </w:pPr>
            <w:r>
              <w:rPr>
                <w:rFonts w:hint="eastAsia" w:ascii="宋体" w:hAnsi="宋体"/>
                <w:b/>
              </w:rPr>
              <w:t>消费税</w:t>
            </w:r>
          </w:p>
        </w:tc>
        <w:tc>
          <w:tcPr>
            <w:tcW w:w="319" w:type="pct"/>
            <w:vAlign w:val="center"/>
          </w:tcPr>
          <w:p w14:paraId="3F7338FB">
            <w:pPr>
              <w:pStyle w:val="12"/>
              <w:jc w:val="center"/>
              <w:rPr>
                <w:rFonts w:ascii="宋体" w:hAnsi="宋体"/>
                <w:b/>
              </w:rPr>
            </w:pPr>
            <w:r>
              <w:rPr>
                <w:rFonts w:hint="eastAsia" w:ascii="宋体" w:hAnsi="宋体"/>
                <w:b/>
              </w:rPr>
              <w:t>营业税</w:t>
            </w:r>
          </w:p>
        </w:tc>
        <w:tc>
          <w:tcPr>
            <w:tcW w:w="319" w:type="pct"/>
            <w:vAlign w:val="center"/>
          </w:tcPr>
          <w:p w14:paraId="6DB78BA6">
            <w:pPr>
              <w:pStyle w:val="12"/>
              <w:jc w:val="center"/>
              <w:rPr>
                <w:rFonts w:ascii="宋体" w:hAnsi="宋体"/>
                <w:b/>
              </w:rPr>
            </w:pPr>
            <w:r>
              <w:rPr>
                <w:rFonts w:hint="eastAsia" w:ascii="宋体" w:hAnsi="宋体"/>
                <w:b/>
              </w:rPr>
              <w:t>农业四税</w:t>
            </w:r>
          </w:p>
        </w:tc>
        <w:tc>
          <w:tcPr>
            <w:tcW w:w="319" w:type="pct"/>
            <w:vAlign w:val="center"/>
          </w:tcPr>
          <w:p w14:paraId="475FD5DB">
            <w:pPr>
              <w:pStyle w:val="12"/>
              <w:jc w:val="center"/>
              <w:rPr>
                <w:rFonts w:ascii="宋体" w:hAnsi="宋体"/>
                <w:b/>
              </w:rPr>
            </w:pPr>
            <w:r>
              <w:rPr>
                <w:rFonts w:hint="eastAsia" w:ascii="宋体" w:hAnsi="宋体"/>
                <w:b/>
              </w:rPr>
              <w:t>产品税</w:t>
            </w:r>
          </w:p>
        </w:tc>
        <w:tc>
          <w:tcPr>
            <w:tcW w:w="372" w:type="pct"/>
            <w:vMerge w:val="continue"/>
            <w:vAlign w:val="center"/>
          </w:tcPr>
          <w:p w14:paraId="0FADF8D4">
            <w:pPr>
              <w:pStyle w:val="12"/>
              <w:jc w:val="center"/>
              <w:rPr>
                <w:rFonts w:ascii="宋体" w:hAnsi="宋体"/>
                <w:b/>
              </w:rPr>
            </w:pPr>
          </w:p>
        </w:tc>
        <w:tc>
          <w:tcPr>
            <w:tcW w:w="372" w:type="pct"/>
            <w:vMerge w:val="continue"/>
            <w:vAlign w:val="center"/>
          </w:tcPr>
          <w:p w14:paraId="07A1E98D">
            <w:pPr>
              <w:pStyle w:val="12"/>
              <w:jc w:val="center"/>
              <w:rPr>
                <w:rFonts w:ascii="宋体" w:hAnsi="宋体"/>
                <w:b/>
              </w:rPr>
            </w:pPr>
          </w:p>
        </w:tc>
        <w:tc>
          <w:tcPr>
            <w:tcW w:w="319" w:type="pct"/>
            <w:vAlign w:val="center"/>
          </w:tcPr>
          <w:p w14:paraId="5BC3DE65">
            <w:pPr>
              <w:pStyle w:val="12"/>
              <w:jc w:val="center"/>
              <w:rPr>
                <w:rFonts w:ascii="宋体" w:hAnsi="宋体"/>
                <w:b/>
              </w:rPr>
            </w:pPr>
            <w:r>
              <w:rPr>
                <w:rFonts w:hint="eastAsia" w:ascii="宋体" w:hAnsi="宋体"/>
                <w:b/>
              </w:rPr>
              <w:t>经济建设</w:t>
            </w:r>
          </w:p>
        </w:tc>
        <w:tc>
          <w:tcPr>
            <w:tcW w:w="372" w:type="pct"/>
            <w:vAlign w:val="center"/>
          </w:tcPr>
          <w:p w14:paraId="11B64738">
            <w:pPr>
              <w:pStyle w:val="12"/>
              <w:jc w:val="center"/>
              <w:rPr>
                <w:rFonts w:ascii="宋体" w:hAnsi="宋体"/>
                <w:b/>
              </w:rPr>
            </w:pPr>
            <w:r>
              <w:rPr>
                <w:rFonts w:hint="eastAsia" w:ascii="宋体" w:hAnsi="宋体"/>
                <w:b/>
              </w:rPr>
              <w:t>文教科卫</w:t>
            </w:r>
          </w:p>
        </w:tc>
        <w:tc>
          <w:tcPr>
            <w:tcW w:w="319" w:type="pct"/>
            <w:vAlign w:val="center"/>
          </w:tcPr>
          <w:p w14:paraId="595B169E">
            <w:pPr>
              <w:pStyle w:val="12"/>
              <w:jc w:val="center"/>
              <w:rPr>
                <w:rFonts w:ascii="宋体" w:hAnsi="宋体"/>
                <w:b/>
              </w:rPr>
            </w:pPr>
            <w:r>
              <w:rPr>
                <w:rFonts w:hint="eastAsia" w:ascii="宋体" w:hAnsi="宋体"/>
                <w:b/>
              </w:rPr>
              <w:t>社会保障</w:t>
            </w:r>
          </w:p>
        </w:tc>
        <w:tc>
          <w:tcPr>
            <w:tcW w:w="319" w:type="pct"/>
            <w:vAlign w:val="center"/>
          </w:tcPr>
          <w:p w14:paraId="565AE0CD">
            <w:pPr>
              <w:pStyle w:val="12"/>
              <w:jc w:val="center"/>
              <w:rPr>
                <w:rFonts w:ascii="宋体" w:hAnsi="宋体"/>
                <w:b/>
              </w:rPr>
            </w:pPr>
            <w:r>
              <w:rPr>
                <w:rFonts w:hint="eastAsia" w:ascii="宋体" w:hAnsi="宋体"/>
                <w:b/>
              </w:rPr>
              <w:t>行政管理</w:t>
            </w:r>
          </w:p>
        </w:tc>
        <w:tc>
          <w:tcPr>
            <w:tcW w:w="319" w:type="pct"/>
            <w:vAlign w:val="center"/>
          </w:tcPr>
          <w:p w14:paraId="0EB81A2E">
            <w:pPr>
              <w:pStyle w:val="12"/>
              <w:jc w:val="center"/>
              <w:rPr>
                <w:rFonts w:ascii="宋体" w:hAnsi="宋体"/>
                <w:b/>
              </w:rPr>
            </w:pPr>
            <w:r>
              <w:rPr>
                <w:rFonts w:hint="eastAsia" w:ascii="宋体" w:hAnsi="宋体"/>
                <w:b/>
              </w:rPr>
              <w:t>其他</w:t>
            </w:r>
          </w:p>
        </w:tc>
        <w:tc>
          <w:tcPr>
            <w:tcW w:w="319" w:type="pct"/>
            <w:vMerge w:val="continue"/>
            <w:vAlign w:val="center"/>
          </w:tcPr>
          <w:p w14:paraId="6FE44F3A">
            <w:pPr>
              <w:pStyle w:val="12"/>
              <w:jc w:val="center"/>
              <w:rPr>
                <w:rFonts w:ascii="宋体" w:hAnsi="宋体"/>
                <w:b/>
              </w:rPr>
            </w:pPr>
          </w:p>
        </w:tc>
      </w:tr>
      <w:tr w14:paraId="10E928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 w:type="pct"/>
            <w:vAlign w:val="center"/>
          </w:tcPr>
          <w:p w14:paraId="0D04AA87">
            <w:pPr>
              <w:pStyle w:val="12"/>
              <w:jc w:val="center"/>
              <w:rPr>
                <w:rFonts w:ascii="宋体" w:hAnsi="宋体"/>
              </w:rPr>
            </w:pPr>
            <w:r>
              <w:rPr>
                <w:rFonts w:ascii="宋体" w:hAnsi="宋体"/>
              </w:rPr>
              <w:t>1988</w:t>
            </w:r>
          </w:p>
        </w:tc>
        <w:tc>
          <w:tcPr>
            <w:tcW w:w="372" w:type="pct"/>
            <w:vAlign w:val="center"/>
          </w:tcPr>
          <w:p w14:paraId="5FD1566D">
            <w:pPr>
              <w:pStyle w:val="12"/>
              <w:jc w:val="center"/>
              <w:rPr>
                <w:rFonts w:ascii="宋体" w:hAnsi="宋体"/>
              </w:rPr>
            </w:pPr>
            <w:r>
              <w:rPr>
                <w:rFonts w:ascii="宋体" w:hAnsi="宋体"/>
              </w:rPr>
              <w:t>6181</w:t>
            </w:r>
          </w:p>
        </w:tc>
        <w:tc>
          <w:tcPr>
            <w:tcW w:w="319" w:type="pct"/>
            <w:vAlign w:val="center"/>
          </w:tcPr>
          <w:p w14:paraId="0D194810">
            <w:pPr>
              <w:pStyle w:val="12"/>
              <w:jc w:val="center"/>
              <w:rPr>
                <w:rFonts w:ascii="宋体" w:hAnsi="宋体"/>
              </w:rPr>
            </w:pPr>
            <w:r>
              <w:rPr>
                <w:rFonts w:ascii="宋体" w:hAnsi="宋体"/>
              </w:rPr>
              <w:t>77</w:t>
            </w:r>
          </w:p>
        </w:tc>
        <w:tc>
          <w:tcPr>
            <w:tcW w:w="319" w:type="pct"/>
            <w:vAlign w:val="center"/>
          </w:tcPr>
          <w:p w14:paraId="7D9FAFE9">
            <w:pPr>
              <w:pStyle w:val="12"/>
              <w:jc w:val="center"/>
              <w:rPr>
                <w:rFonts w:ascii="宋体" w:hAnsi="宋体"/>
              </w:rPr>
            </w:pPr>
            <w:r>
              <w:rPr>
                <w:rFonts w:ascii="宋体" w:hAnsi="宋体"/>
              </w:rPr>
              <w:t>—</w:t>
            </w:r>
          </w:p>
        </w:tc>
        <w:tc>
          <w:tcPr>
            <w:tcW w:w="319" w:type="pct"/>
            <w:vAlign w:val="center"/>
          </w:tcPr>
          <w:p w14:paraId="635C82BE">
            <w:pPr>
              <w:pStyle w:val="12"/>
              <w:jc w:val="center"/>
              <w:rPr>
                <w:rFonts w:ascii="宋体" w:hAnsi="宋体"/>
              </w:rPr>
            </w:pPr>
            <w:r>
              <w:rPr>
                <w:rFonts w:ascii="宋体" w:hAnsi="宋体"/>
              </w:rPr>
              <w:t>822</w:t>
            </w:r>
          </w:p>
        </w:tc>
        <w:tc>
          <w:tcPr>
            <w:tcW w:w="319" w:type="pct"/>
            <w:vAlign w:val="center"/>
          </w:tcPr>
          <w:p w14:paraId="1CD146DC">
            <w:pPr>
              <w:pStyle w:val="12"/>
              <w:jc w:val="center"/>
              <w:rPr>
                <w:rFonts w:ascii="宋体" w:hAnsi="宋体"/>
              </w:rPr>
            </w:pPr>
            <w:r>
              <w:rPr>
                <w:rFonts w:ascii="宋体" w:hAnsi="宋体"/>
              </w:rPr>
              <w:t>325</w:t>
            </w:r>
          </w:p>
        </w:tc>
        <w:tc>
          <w:tcPr>
            <w:tcW w:w="319" w:type="pct"/>
            <w:vAlign w:val="center"/>
          </w:tcPr>
          <w:p w14:paraId="59B7A7CE">
            <w:pPr>
              <w:pStyle w:val="12"/>
              <w:jc w:val="center"/>
              <w:rPr>
                <w:rFonts w:ascii="宋体" w:hAnsi="宋体"/>
              </w:rPr>
            </w:pPr>
            <w:r>
              <w:rPr>
                <w:rFonts w:ascii="宋体" w:hAnsi="宋体"/>
              </w:rPr>
              <w:t>4286</w:t>
            </w:r>
          </w:p>
        </w:tc>
        <w:tc>
          <w:tcPr>
            <w:tcW w:w="372" w:type="pct"/>
            <w:vAlign w:val="center"/>
          </w:tcPr>
          <w:p w14:paraId="131060A0">
            <w:pPr>
              <w:pStyle w:val="12"/>
              <w:jc w:val="center"/>
              <w:rPr>
                <w:rFonts w:ascii="宋体" w:hAnsi="宋体"/>
              </w:rPr>
            </w:pPr>
            <w:r>
              <w:rPr>
                <w:rFonts w:ascii="宋体" w:hAnsi="宋体"/>
              </w:rPr>
              <w:t>536</w:t>
            </w:r>
          </w:p>
        </w:tc>
        <w:tc>
          <w:tcPr>
            <w:tcW w:w="372" w:type="pct"/>
            <w:vAlign w:val="center"/>
          </w:tcPr>
          <w:p w14:paraId="797E0600">
            <w:pPr>
              <w:pStyle w:val="12"/>
              <w:jc w:val="center"/>
              <w:rPr>
                <w:rFonts w:ascii="宋体" w:hAnsi="宋体"/>
              </w:rPr>
            </w:pPr>
            <w:r>
              <w:rPr>
                <w:rFonts w:ascii="宋体" w:hAnsi="宋体"/>
              </w:rPr>
              <w:t>6291</w:t>
            </w:r>
          </w:p>
        </w:tc>
        <w:tc>
          <w:tcPr>
            <w:tcW w:w="319" w:type="pct"/>
            <w:vAlign w:val="center"/>
          </w:tcPr>
          <w:p w14:paraId="38FE6F05">
            <w:pPr>
              <w:pStyle w:val="12"/>
              <w:jc w:val="center"/>
              <w:rPr>
                <w:rFonts w:ascii="宋体" w:hAnsi="宋体"/>
              </w:rPr>
            </w:pPr>
            <w:r>
              <w:rPr>
                <w:rFonts w:ascii="宋体" w:hAnsi="宋体"/>
              </w:rPr>
              <w:t>1835</w:t>
            </w:r>
          </w:p>
        </w:tc>
        <w:tc>
          <w:tcPr>
            <w:tcW w:w="372" w:type="pct"/>
            <w:vAlign w:val="center"/>
          </w:tcPr>
          <w:p w14:paraId="54D1477E">
            <w:pPr>
              <w:pStyle w:val="12"/>
              <w:jc w:val="center"/>
              <w:rPr>
                <w:rFonts w:ascii="宋体" w:hAnsi="宋体"/>
              </w:rPr>
            </w:pPr>
            <w:r>
              <w:rPr>
                <w:rFonts w:ascii="宋体" w:hAnsi="宋体"/>
              </w:rPr>
              <w:t>2024</w:t>
            </w:r>
          </w:p>
        </w:tc>
        <w:tc>
          <w:tcPr>
            <w:tcW w:w="319" w:type="pct"/>
            <w:vAlign w:val="center"/>
          </w:tcPr>
          <w:p w14:paraId="2F1FEBFE">
            <w:pPr>
              <w:pStyle w:val="12"/>
              <w:jc w:val="center"/>
              <w:rPr>
                <w:rFonts w:ascii="宋体" w:hAnsi="宋体"/>
              </w:rPr>
            </w:pPr>
            <w:r>
              <w:rPr>
                <w:rFonts w:ascii="宋体" w:hAnsi="宋体"/>
              </w:rPr>
              <w:t>107</w:t>
            </w:r>
          </w:p>
        </w:tc>
        <w:tc>
          <w:tcPr>
            <w:tcW w:w="319" w:type="pct"/>
            <w:vAlign w:val="center"/>
          </w:tcPr>
          <w:p w14:paraId="366267A6">
            <w:pPr>
              <w:pStyle w:val="12"/>
              <w:jc w:val="center"/>
              <w:rPr>
                <w:rFonts w:ascii="宋体" w:hAnsi="宋体"/>
              </w:rPr>
            </w:pPr>
            <w:r>
              <w:rPr>
                <w:rFonts w:ascii="宋体" w:hAnsi="宋体"/>
              </w:rPr>
              <w:t>740</w:t>
            </w:r>
          </w:p>
        </w:tc>
        <w:tc>
          <w:tcPr>
            <w:tcW w:w="319" w:type="pct"/>
            <w:vAlign w:val="center"/>
          </w:tcPr>
          <w:p w14:paraId="742F1B37">
            <w:pPr>
              <w:pStyle w:val="12"/>
              <w:jc w:val="center"/>
              <w:rPr>
                <w:rFonts w:ascii="宋体" w:hAnsi="宋体"/>
              </w:rPr>
            </w:pPr>
            <w:r>
              <w:rPr>
                <w:rFonts w:ascii="宋体" w:hAnsi="宋体"/>
              </w:rPr>
              <w:t>1569</w:t>
            </w:r>
          </w:p>
        </w:tc>
        <w:tc>
          <w:tcPr>
            <w:tcW w:w="319" w:type="pct"/>
            <w:vAlign w:val="center"/>
          </w:tcPr>
          <w:p w14:paraId="7F700F6F">
            <w:pPr>
              <w:pStyle w:val="12"/>
              <w:jc w:val="center"/>
              <w:rPr>
                <w:rFonts w:ascii="宋体" w:hAnsi="宋体"/>
              </w:rPr>
            </w:pPr>
            <w:r>
              <w:rPr>
                <w:rFonts w:ascii="宋体" w:hAnsi="宋体"/>
              </w:rPr>
              <w:t>563</w:t>
            </w:r>
          </w:p>
        </w:tc>
      </w:tr>
      <w:tr w14:paraId="4050E2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 w:type="pct"/>
            <w:vAlign w:val="center"/>
          </w:tcPr>
          <w:p w14:paraId="60590D75">
            <w:pPr>
              <w:pStyle w:val="12"/>
              <w:jc w:val="center"/>
              <w:rPr>
                <w:rFonts w:ascii="宋体" w:hAnsi="宋体"/>
              </w:rPr>
            </w:pPr>
            <w:r>
              <w:rPr>
                <w:rFonts w:ascii="宋体" w:hAnsi="宋体"/>
              </w:rPr>
              <w:t>1989</w:t>
            </w:r>
          </w:p>
        </w:tc>
        <w:tc>
          <w:tcPr>
            <w:tcW w:w="372" w:type="pct"/>
            <w:vAlign w:val="center"/>
          </w:tcPr>
          <w:p w14:paraId="30A01F96">
            <w:pPr>
              <w:pStyle w:val="12"/>
              <w:jc w:val="center"/>
              <w:rPr>
                <w:rFonts w:ascii="宋体" w:hAnsi="宋体"/>
              </w:rPr>
            </w:pPr>
            <w:r>
              <w:rPr>
                <w:rFonts w:ascii="宋体" w:hAnsi="宋体"/>
              </w:rPr>
              <w:t>6868</w:t>
            </w:r>
          </w:p>
        </w:tc>
        <w:tc>
          <w:tcPr>
            <w:tcW w:w="319" w:type="pct"/>
            <w:vAlign w:val="center"/>
          </w:tcPr>
          <w:p w14:paraId="60D81046">
            <w:pPr>
              <w:pStyle w:val="12"/>
              <w:jc w:val="center"/>
              <w:rPr>
                <w:rFonts w:ascii="宋体" w:hAnsi="宋体"/>
              </w:rPr>
            </w:pPr>
            <w:r>
              <w:rPr>
                <w:rFonts w:ascii="宋体" w:hAnsi="宋体"/>
              </w:rPr>
              <w:t>238</w:t>
            </w:r>
          </w:p>
        </w:tc>
        <w:tc>
          <w:tcPr>
            <w:tcW w:w="319" w:type="pct"/>
            <w:vAlign w:val="center"/>
          </w:tcPr>
          <w:p w14:paraId="0B93C3F7">
            <w:pPr>
              <w:pStyle w:val="12"/>
              <w:jc w:val="center"/>
              <w:rPr>
                <w:rFonts w:ascii="宋体" w:hAnsi="宋体"/>
              </w:rPr>
            </w:pPr>
            <w:r>
              <w:rPr>
                <w:rFonts w:ascii="宋体" w:hAnsi="宋体"/>
              </w:rPr>
              <w:t>—</w:t>
            </w:r>
          </w:p>
        </w:tc>
        <w:tc>
          <w:tcPr>
            <w:tcW w:w="319" w:type="pct"/>
            <w:vAlign w:val="center"/>
          </w:tcPr>
          <w:p w14:paraId="275B4E5B">
            <w:pPr>
              <w:pStyle w:val="12"/>
              <w:jc w:val="center"/>
              <w:rPr>
                <w:rFonts w:ascii="宋体" w:hAnsi="宋体"/>
              </w:rPr>
            </w:pPr>
            <w:r>
              <w:rPr>
                <w:rFonts w:ascii="宋体" w:hAnsi="宋体"/>
              </w:rPr>
              <w:t>1023</w:t>
            </w:r>
          </w:p>
        </w:tc>
        <w:tc>
          <w:tcPr>
            <w:tcW w:w="319" w:type="pct"/>
            <w:vAlign w:val="center"/>
          </w:tcPr>
          <w:p w14:paraId="2C431ABC">
            <w:pPr>
              <w:pStyle w:val="12"/>
              <w:jc w:val="center"/>
              <w:rPr>
                <w:rFonts w:ascii="宋体" w:hAnsi="宋体"/>
              </w:rPr>
            </w:pPr>
            <w:r>
              <w:rPr>
                <w:rFonts w:ascii="宋体" w:hAnsi="宋体"/>
              </w:rPr>
              <w:t>371</w:t>
            </w:r>
          </w:p>
        </w:tc>
        <w:tc>
          <w:tcPr>
            <w:tcW w:w="319" w:type="pct"/>
            <w:vAlign w:val="center"/>
          </w:tcPr>
          <w:p w14:paraId="56164CD1">
            <w:pPr>
              <w:pStyle w:val="12"/>
              <w:jc w:val="center"/>
              <w:rPr>
                <w:rFonts w:ascii="宋体" w:hAnsi="宋体"/>
              </w:rPr>
            </w:pPr>
            <w:r>
              <w:rPr>
                <w:rFonts w:ascii="宋体" w:hAnsi="宋体"/>
              </w:rPr>
              <w:t>4492</w:t>
            </w:r>
          </w:p>
        </w:tc>
        <w:tc>
          <w:tcPr>
            <w:tcW w:w="372" w:type="pct"/>
            <w:vAlign w:val="center"/>
          </w:tcPr>
          <w:p w14:paraId="60D8EC7B">
            <w:pPr>
              <w:pStyle w:val="12"/>
              <w:jc w:val="center"/>
              <w:rPr>
                <w:rFonts w:ascii="宋体" w:hAnsi="宋体"/>
              </w:rPr>
            </w:pPr>
            <w:r>
              <w:rPr>
                <w:rFonts w:ascii="宋体" w:hAnsi="宋体"/>
              </w:rPr>
              <w:t>723</w:t>
            </w:r>
          </w:p>
        </w:tc>
        <w:tc>
          <w:tcPr>
            <w:tcW w:w="372" w:type="pct"/>
            <w:vAlign w:val="center"/>
          </w:tcPr>
          <w:p w14:paraId="140164E9">
            <w:pPr>
              <w:pStyle w:val="12"/>
              <w:jc w:val="center"/>
              <w:rPr>
                <w:rFonts w:ascii="宋体" w:hAnsi="宋体"/>
              </w:rPr>
            </w:pPr>
            <w:r>
              <w:rPr>
                <w:rFonts w:ascii="宋体" w:hAnsi="宋体"/>
              </w:rPr>
              <w:t>7059</w:t>
            </w:r>
          </w:p>
        </w:tc>
        <w:tc>
          <w:tcPr>
            <w:tcW w:w="319" w:type="pct"/>
            <w:vAlign w:val="center"/>
          </w:tcPr>
          <w:p w14:paraId="49672D9A">
            <w:pPr>
              <w:pStyle w:val="12"/>
              <w:jc w:val="center"/>
              <w:rPr>
                <w:rFonts w:ascii="宋体" w:hAnsi="宋体"/>
              </w:rPr>
            </w:pPr>
            <w:r>
              <w:rPr>
                <w:rFonts w:ascii="宋体" w:hAnsi="宋体"/>
              </w:rPr>
              <w:t>910</w:t>
            </w:r>
          </w:p>
        </w:tc>
        <w:tc>
          <w:tcPr>
            <w:tcW w:w="372" w:type="pct"/>
            <w:vAlign w:val="center"/>
          </w:tcPr>
          <w:p w14:paraId="24452FBB">
            <w:pPr>
              <w:pStyle w:val="12"/>
              <w:jc w:val="center"/>
              <w:rPr>
                <w:rFonts w:ascii="宋体" w:hAnsi="宋体"/>
              </w:rPr>
            </w:pPr>
            <w:r>
              <w:rPr>
                <w:rFonts w:ascii="宋体" w:hAnsi="宋体"/>
              </w:rPr>
              <w:t>2338</w:t>
            </w:r>
          </w:p>
        </w:tc>
        <w:tc>
          <w:tcPr>
            <w:tcW w:w="319" w:type="pct"/>
            <w:vAlign w:val="center"/>
          </w:tcPr>
          <w:p w14:paraId="7744B070">
            <w:pPr>
              <w:pStyle w:val="12"/>
              <w:jc w:val="center"/>
              <w:rPr>
                <w:rFonts w:ascii="宋体" w:hAnsi="宋体"/>
              </w:rPr>
            </w:pPr>
            <w:r>
              <w:rPr>
                <w:rFonts w:ascii="宋体" w:hAnsi="宋体"/>
              </w:rPr>
              <w:t>116</w:t>
            </w:r>
          </w:p>
        </w:tc>
        <w:tc>
          <w:tcPr>
            <w:tcW w:w="319" w:type="pct"/>
            <w:vAlign w:val="center"/>
          </w:tcPr>
          <w:p w14:paraId="5A1118FE">
            <w:pPr>
              <w:pStyle w:val="12"/>
              <w:jc w:val="center"/>
              <w:rPr>
                <w:rFonts w:ascii="宋体" w:hAnsi="宋体"/>
              </w:rPr>
            </w:pPr>
            <w:r>
              <w:rPr>
                <w:rFonts w:ascii="宋体" w:hAnsi="宋体"/>
              </w:rPr>
              <w:t>833</w:t>
            </w:r>
          </w:p>
        </w:tc>
        <w:tc>
          <w:tcPr>
            <w:tcW w:w="319" w:type="pct"/>
            <w:vAlign w:val="center"/>
          </w:tcPr>
          <w:p w14:paraId="4F29F042">
            <w:pPr>
              <w:pStyle w:val="12"/>
              <w:jc w:val="center"/>
              <w:rPr>
                <w:rFonts w:ascii="宋体" w:hAnsi="宋体"/>
              </w:rPr>
            </w:pPr>
            <w:r>
              <w:rPr>
                <w:rFonts w:ascii="宋体" w:hAnsi="宋体"/>
              </w:rPr>
              <w:t>2862</w:t>
            </w:r>
          </w:p>
        </w:tc>
        <w:tc>
          <w:tcPr>
            <w:tcW w:w="319" w:type="pct"/>
            <w:vAlign w:val="center"/>
          </w:tcPr>
          <w:p w14:paraId="060BF838">
            <w:pPr>
              <w:pStyle w:val="12"/>
              <w:jc w:val="center"/>
              <w:rPr>
                <w:rFonts w:ascii="宋体" w:hAnsi="宋体"/>
              </w:rPr>
            </w:pPr>
            <w:r>
              <w:rPr>
                <w:rFonts w:ascii="宋体" w:hAnsi="宋体"/>
              </w:rPr>
              <w:t>632</w:t>
            </w:r>
          </w:p>
        </w:tc>
      </w:tr>
      <w:tr w14:paraId="3800359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 w:type="pct"/>
            <w:vAlign w:val="center"/>
          </w:tcPr>
          <w:p w14:paraId="50A6B403">
            <w:pPr>
              <w:pStyle w:val="12"/>
              <w:jc w:val="center"/>
              <w:rPr>
                <w:rFonts w:ascii="宋体" w:hAnsi="宋体"/>
              </w:rPr>
            </w:pPr>
            <w:r>
              <w:rPr>
                <w:rFonts w:ascii="宋体" w:hAnsi="宋体"/>
              </w:rPr>
              <w:t>1990</w:t>
            </w:r>
          </w:p>
        </w:tc>
        <w:tc>
          <w:tcPr>
            <w:tcW w:w="372" w:type="pct"/>
            <w:vAlign w:val="center"/>
          </w:tcPr>
          <w:p w14:paraId="39DA535A">
            <w:pPr>
              <w:pStyle w:val="12"/>
              <w:jc w:val="center"/>
              <w:rPr>
                <w:rFonts w:ascii="宋体" w:hAnsi="宋体"/>
              </w:rPr>
            </w:pPr>
            <w:r>
              <w:rPr>
                <w:rFonts w:ascii="宋体" w:hAnsi="宋体"/>
              </w:rPr>
              <w:t>7226</w:t>
            </w:r>
          </w:p>
        </w:tc>
        <w:tc>
          <w:tcPr>
            <w:tcW w:w="319" w:type="pct"/>
            <w:vAlign w:val="center"/>
          </w:tcPr>
          <w:p w14:paraId="5A9F9D55">
            <w:pPr>
              <w:pStyle w:val="12"/>
              <w:jc w:val="center"/>
              <w:rPr>
                <w:rFonts w:ascii="宋体" w:hAnsi="宋体"/>
              </w:rPr>
            </w:pPr>
            <w:r>
              <w:rPr>
                <w:rFonts w:ascii="宋体" w:hAnsi="宋体"/>
              </w:rPr>
              <w:t>279</w:t>
            </w:r>
          </w:p>
        </w:tc>
        <w:tc>
          <w:tcPr>
            <w:tcW w:w="319" w:type="pct"/>
            <w:vAlign w:val="center"/>
          </w:tcPr>
          <w:p w14:paraId="00C7B0B1">
            <w:pPr>
              <w:pStyle w:val="12"/>
              <w:jc w:val="center"/>
              <w:rPr>
                <w:rFonts w:ascii="宋体" w:hAnsi="宋体"/>
              </w:rPr>
            </w:pPr>
            <w:r>
              <w:rPr>
                <w:rFonts w:ascii="宋体" w:hAnsi="宋体"/>
              </w:rPr>
              <w:t>—</w:t>
            </w:r>
          </w:p>
        </w:tc>
        <w:tc>
          <w:tcPr>
            <w:tcW w:w="319" w:type="pct"/>
            <w:vAlign w:val="center"/>
          </w:tcPr>
          <w:p w14:paraId="44D5CA38">
            <w:pPr>
              <w:pStyle w:val="12"/>
              <w:jc w:val="center"/>
              <w:rPr>
                <w:rFonts w:ascii="宋体" w:hAnsi="宋体"/>
              </w:rPr>
            </w:pPr>
            <w:r>
              <w:rPr>
                <w:rFonts w:ascii="宋体" w:hAnsi="宋体"/>
              </w:rPr>
              <w:t>789</w:t>
            </w:r>
          </w:p>
        </w:tc>
        <w:tc>
          <w:tcPr>
            <w:tcW w:w="319" w:type="pct"/>
            <w:vAlign w:val="center"/>
          </w:tcPr>
          <w:p w14:paraId="54D9E852">
            <w:pPr>
              <w:pStyle w:val="12"/>
              <w:jc w:val="center"/>
              <w:rPr>
                <w:rFonts w:ascii="宋体" w:hAnsi="宋体"/>
              </w:rPr>
            </w:pPr>
            <w:r>
              <w:rPr>
                <w:rFonts w:ascii="宋体" w:hAnsi="宋体"/>
              </w:rPr>
              <w:t>323</w:t>
            </w:r>
          </w:p>
        </w:tc>
        <w:tc>
          <w:tcPr>
            <w:tcW w:w="319" w:type="pct"/>
            <w:vAlign w:val="center"/>
          </w:tcPr>
          <w:p w14:paraId="49D607E7">
            <w:pPr>
              <w:pStyle w:val="12"/>
              <w:jc w:val="center"/>
              <w:rPr>
                <w:rFonts w:ascii="宋体" w:hAnsi="宋体"/>
              </w:rPr>
            </w:pPr>
            <w:r>
              <w:rPr>
                <w:rFonts w:ascii="宋体" w:hAnsi="宋体"/>
              </w:rPr>
              <w:t>5090</w:t>
            </w:r>
          </w:p>
        </w:tc>
        <w:tc>
          <w:tcPr>
            <w:tcW w:w="372" w:type="pct"/>
            <w:vAlign w:val="center"/>
          </w:tcPr>
          <w:p w14:paraId="7CEA75B1">
            <w:pPr>
              <w:pStyle w:val="12"/>
              <w:jc w:val="center"/>
              <w:rPr>
                <w:rFonts w:ascii="宋体" w:hAnsi="宋体"/>
              </w:rPr>
            </w:pPr>
            <w:r>
              <w:rPr>
                <w:rFonts w:ascii="宋体" w:hAnsi="宋体"/>
              </w:rPr>
              <w:t>756</w:t>
            </w:r>
          </w:p>
        </w:tc>
        <w:tc>
          <w:tcPr>
            <w:tcW w:w="372" w:type="pct"/>
            <w:vAlign w:val="center"/>
          </w:tcPr>
          <w:p w14:paraId="4C2209B7">
            <w:pPr>
              <w:pStyle w:val="12"/>
              <w:jc w:val="center"/>
              <w:rPr>
                <w:rFonts w:ascii="宋体" w:hAnsi="宋体"/>
              </w:rPr>
            </w:pPr>
            <w:r>
              <w:rPr>
                <w:rFonts w:ascii="宋体" w:hAnsi="宋体"/>
              </w:rPr>
              <w:t>6542</w:t>
            </w:r>
          </w:p>
        </w:tc>
        <w:tc>
          <w:tcPr>
            <w:tcW w:w="319" w:type="pct"/>
            <w:vAlign w:val="center"/>
          </w:tcPr>
          <w:p w14:paraId="2E087A08">
            <w:pPr>
              <w:pStyle w:val="12"/>
              <w:jc w:val="center"/>
              <w:rPr>
                <w:rFonts w:ascii="宋体" w:hAnsi="宋体"/>
              </w:rPr>
            </w:pPr>
            <w:r>
              <w:rPr>
                <w:rFonts w:ascii="宋体" w:hAnsi="宋体"/>
              </w:rPr>
              <w:t>769</w:t>
            </w:r>
          </w:p>
        </w:tc>
        <w:tc>
          <w:tcPr>
            <w:tcW w:w="372" w:type="pct"/>
            <w:vAlign w:val="center"/>
          </w:tcPr>
          <w:p w14:paraId="37D45B00">
            <w:pPr>
              <w:pStyle w:val="12"/>
              <w:jc w:val="center"/>
              <w:rPr>
                <w:rFonts w:ascii="宋体" w:hAnsi="宋体"/>
              </w:rPr>
            </w:pPr>
            <w:r>
              <w:rPr>
                <w:rFonts w:ascii="宋体" w:hAnsi="宋体"/>
              </w:rPr>
              <w:t>2493</w:t>
            </w:r>
          </w:p>
        </w:tc>
        <w:tc>
          <w:tcPr>
            <w:tcW w:w="319" w:type="pct"/>
            <w:vAlign w:val="center"/>
          </w:tcPr>
          <w:p w14:paraId="335E45D5">
            <w:pPr>
              <w:pStyle w:val="12"/>
              <w:jc w:val="center"/>
              <w:rPr>
                <w:rFonts w:ascii="宋体" w:hAnsi="宋体"/>
              </w:rPr>
            </w:pPr>
            <w:r>
              <w:rPr>
                <w:rFonts w:ascii="宋体" w:hAnsi="宋体"/>
              </w:rPr>
              <w:t>111</w:t>
            </w:r>
          </w:p>
        </w:tc>
        <w:tc>
          <w:tcPr>
            <w:tcW w:w="319" w:type="pct"/>
            <w:vAlign w:val="center"/>
          </w:tcPr>
          <w:p w14:paraId="39109A29">
            <w:pPr>
              <w:pStyle w:val="12"/>
              <w:jc w:val="center"/>
              <w:rPr>
                <w:rFonts w:ascii="宋体" w:hAnsi="宋体"/>
              </w:rPr>
            </w:pPr>
            <w:r>
              <w:rPr>
                <w:rFonts w:ascii="宋体" w:hAnsi="宋体"/>
              </w:rPr>
              <w:t>1006</w:t>
            </w:r>
          </w:p>
        </w:tc>
        <w:tc>
          <w:tcPr>
            <w:tcW w:w="319" w:type="pct"/>
            <w:vAlign w:val="center"/>
          </w:tcPr>
          <w:p w14:paraId="22FC5A7A">
            <w:pPr>
              <w:pStyle w:val="12"/>
              <w:jc w:val="center"/>
              <w:rPr>
                <w:rFonts w:ascii="宋体" w:hAnsi="宋体"/>
              </w:rPr>
            </w:pPr>
            <w:r>
              <w:rPr>
                <w:rFonts w:ascii="宋体" w:hAnsi="宋体"/>
              </w:rPr>
              <w:t>2163</w:t>
            </w:r>
          </w:p>
        </w:tc>
        <w:tc>
          <w:tcPr>
            <w:tcW w:w="319" w:type="pct"/>
            <w:vAlign w:val="center"/>
          </w:tcPr>
          <w:p w14:paraId="2B1D92CE">
            <w:pPr>
              <w:pStyle w:val="12"/>
              <w:jc w:val="center"/>
              <w:rPr>
                <w:rFonts w:ascii="宋体" w:hAnsi="宋体"/>
              </w:rPr>
            </w:pPr>
            <w:r>
              <w:rPr>
                <w:rFonts w:ascii="宋体" w:hAnsi="宋体"/>
              </w:rPr>
              <w:t>1521</w:t>
            </w:r>
          </w:p>
        </w:tc>
      </w:tr>
      <w:tr w14:paraId="0F1739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 w:type="pct"/>
            <w:vAlign w:val="center"/>
          </w:tcPr>
          <w:p w14:paraId="4351783C">
            <w:pPr>
              <w:pStyle w:val="12"/>
              <w:jc w:val="center"/>
              <w:rPr>
                <w:rFonts w:ascii="宋体" w:hAnsi="宋体"/>
              </w:rPr>
            </w:pPr>
            <w:r>
              <w:rPr>
                <w:rFonts w:ascii="宋体" w:hAnsi="宋体"/>
              </w:rPr>
              <w:t>1991</w:t>
            </w:r>
          </w:p>
        </w:tc>
        <w:tc>
          <w:tcPr>
            <w:tcW w:w="372" w:type="pct"/>
            <w:vAlign w:val="center"/>
          </w:tcPr>
          <w:p w14:paraId="7627C55F">
            <w:pPr>
              <w:pStyle w:val="12"/>
              <w:jc w:val="center"/>
              <w:rPr>
                <w:rFonts w:ascii="宋体" w:hAnsi="宋体"/>
              </w:rPr>
            </w:pPr>
            <w:r>
              <w:rPr>
                <w:rFonts w:ascii="宋体" w:hAnsi="宋体"/>
              </w:rPr>
              <w:t>8417</w:t>
            </w:r>
          </w:p>
        </w:tc>
        <w:tc>
          <w:tcPr>
            <w:tcW w:w="319" w:type="pct"/>
            <w:vAlign w:val="center"/>
          </w:tcPr>
          <w:p w14:paraId="17BB1BDE">
            <w:pPr>
              <w:pStyle w:val="12"/>
              <w:jc w:val="center"/>
              <w:rPr>
                <w:rFonts w:ascii="宋体" w:hAnsi="宋体"/>
              </w:rPr>
            </w:pPr>
            <w:r>
              <w:rPr>
                <w:rFonts w:ascii="宋体" w:hAnsi="宋体"/>
              </w:rPr>
              <w:t>289</w:t>
            </w:r>
          </w:p>
        </w:tc>
        <w:tc>
          <w:tcPr>
            <w:tcW w:w="319" w:type="pct"/>
            <w:vAlign w:val="center"/>
          </w:tcPr>
          <w:p w14:paraId="79906D4A">
            <w:pPr>
              <w:pStyle w:val="12"/>
              <w:jc w:val="center"/>
              <w:rPr>
                <w:rFonts w:ascii="宋体" w:hAnsi="宋体"/>
              </w:rPr>
            </w:pPr>
            <w:r>
              <w:rPr>
                <w:rFonts w:ascii="宋体" w:hAnsi="宋体"/>
              </w:rPr>
              <w:t>—</w:t>
            </w:r>
          </w:p>
        </w:tc>
        <w:tc>
          <w:tcPr>
            <w:tcW w:w="319" w:type="pct"/>
            <w:vAlign w:val="center"/>
          </w:tcPr>
          <w:p w14:paraId="23C0C807">
            <w:pPr>
              <w:pStyle w:val="12"/>
              <w:jc w:val="center"/>
              <w:rPr>
                <w:rFonts w:ascii="宋体" w:hAnsi="宋体"/>
              </w:rPr>
            </w:pPr>
            <w:r>
              <w:rPr>
                <w:rFonts w:ascii="宋体" w:hAnsi="宋体"/>
              </w:rPr>
              <w:t>711</w:t>
            </w:r>
          </w:p>
        </w:tc>
        <w:tc>
          <w:tcPr>
            <w:tcW w:w="319" w:type="pct"/>
            <w:vAlign w:val="center"/>
          </w:tcPr>
          <w:p w14:paraId="160F07EF">
            <w:pPr>
              <w:pStyle w:val="12"/>
              <w:jc w:val="center"/>
              <w:rPr>
                <w:rFonts w:ascii="宋体" w:hAnsi="宋体"/>
              </w:rPr>
            </w:pPr>
            <w:r>
              <w:rPr>
                <w:rFonts w:ascii="宋体" w:hAnsi="宋体"/>
              </w:rPr>
              <w:t>425</w:t>
            </w:r>
          </w:p>
        </w:tc>
        <w:tc>
          <w:tcPr>
            <w:tcW w:w="319" w:type="pct"/>
            <w:vAlign w:val="center"/>
          </w:tcPr>
          <w:p w14:paraId="3D959441">
            <w:pPr>
              <w:pStyle w:val="12"/>
              <w:jc w:val="center"/>
              <w:rPr>
                <w:rFonts w:ascii="宋体" w:hAnsi="宋体"/>
              </w:rPr>
            </w:pPr>
            <w:r>
              <w:rPr>
                <w:rFonts w:ascii="宋体" w:hAnsi="宋体"/>
              </w:rPr>
              <w:t>5640</w:t>
            </w:r>
          </w:p>
        </w:tc>
        <w:tc>
          <w:tcPr>
            <w:tcW w:w="372" w:type="pct"/>
            <w:vAlign w:val="center"/>
          </w:tcPr>
          <w:p w14:paraId="0C414CA1">
            <w:pPr>
              <w:pStyle w:val="12"/>
              <w:jc w:val="center"/>
              <w:rPr>
                <w:rFonts w:ascii="宋体" w:hAnsi="宋体"/>
              </w:rPr>
            </w:pPr>
            <w:r>
              <w:rPr>
                <w:rFonts w:ascii="宋体" w:hAnsi="宋体"/>
              </w:rPr>
              <w:t>1696</w:t>
            </w:r>
          </w:p>
        </w:tc>
        <w:tc>
          <w:tcPr>
            <w:tcW w:w="372" w:type="pct"/>
            <w:vAlign w:val="center"/>
          </w:tcPr>
          <w:p w14:paraId="43D28A0C">
            <w:pPr>
              <w:pStyle w:val="12"/>
              <w:jc w:val="center"/>
              <w:rPr>
                <w:rFonts w:ascii="宋体" w:hAnsi="宋体"/>
              </w:rPr>
            </w:pPr>
            <w:r>
              <w:rPr>
                <w:rFonts w:ascii="宋体" w:hAnsi="宋体"/>
              </w:rPr>
              <w:t>8108</w:t>
            </w:r>
          </w:p>
        </w:tc>
        <w:tc>
          <w:tcPr>
            <w:tcW w:w="319" w:type="pct"/>
            <w:vAlign w:val="center"/>
          </w:tcPr>
          <w:p w14:paraId="66435C63">
            <w:pPr>
              <w:pStyle w:val="12"/>
              <w:jc w:val="center"/>
              <w:rPr>
                <w:rFonts w:ascii="宋体" w:hAnsi="宋体"/>
              </w:rPr>
            </w:pPr>
            <w:r>
              <w:rPr>
                <w:rFonts w:ascii="宋体" w:hAnsi="宋体"/>
              </w:rPr>
              <w:t>1700</w:t>
            </w:r>
          </w:p>
        </w:tc>
        <w:tc>
          <w:tcPr>
            <w:tcW w:w="372" w:type="pct"/>
            <w:vAlign w:val="center"/>
          </w:tcPr>
          <w:p w14:paraId="5F83A0D5">
            <w:pPr>
              <w:pStyle w:val="12"/>
              <w:jc w:val="center"/>
              <w:rPr>
                <w:rFonts w:ascii="宋体" w:hAnsi="宋体"/>
              </w:rPr>
            </w:pPr>
            <w:r>
              <w:rPr>
                <w:rFonts w:ascii="宋体" w:hAnsi="宋体"/>
              </w:rPr>
              <w:t>2515</w:t>
            </w:r>
          </w:p>
        </w:tc>
        <w:tc>
          <w:tcPr>
            <w:tcW w:w="319" w:type="pct"/>
            <w:vAlign w:val="center"/>
          </w:tcPr>
          <w:p w14:paraId="126B91BA">
            <w:pPr>
              <w:pStyle w:val="12"/>
              <w:jc w:val="center"/>
              <w:rPr>
                <w:rFonts w:ascii="宋体" w:hAnsi="宋体"/>
              </w:rPr>
            </w:pPr>
            <w:r>
              <w:rPr>
                <w:rFonts w:ascii="宋体" w:hAnsi="宋体"/>
              </w:rPr>
              <w:t>179</w:t>
            </w:r>
          </w:p>
        </w:tc>
        <w:tc>
          <w:tcPr>
            <w:tcW w:w="319" w:type="pct"/>
            <w:vAlign w:val="center"/>
          </w:tcPr>
          <w:p w14:paraId="1880EF5D">
            <w:pPr>
              <w:pStyle w:val="12"/>
              <w:jc w:val="center"/>
              <w:rPr>
                <w:rFonts w:ascii="宋体" w:hAnsi="宋体"/>
              </w:rPr>
            </w:pPr>
            <w:r>
              <w:rPr>
                <w:rFonts w:ascii="宋体" w:hAnsi="宋体"/>
              </w:rPr>
              <w:t>1119</w:t>
            </w:r>
          </w:p>
        </w:tc>
        <w:tc>
          <w:tcPr>
            <w:tcW w:w="319" w:type="pct"/>
            <w:vAlign w:val="center"/>
          </w:tcPr>
          <w:p w14:paraId="3C962541">
            <w:pPr>
              <w:pStyle w:val="12"/>
              <w:jc w:val="center"/>
              <w:rPr>
                <w:rFonts w:ascii="宋体" w:hAnsi="宋体"/>
              </w:rPr>
            </w:pPr>
            <w:r>
              <w:rPr>
                <w:rFonts w:ascii="宋体" w:hAnsi="宋体"/>
              </w:rPr>
              <w:t>2595</w:t>
            </w:r>
          </w:p>
        </w:tc>
        <w:tc>
          <w:tcPr>
            <w:tcW w:w="319" w:type="pct"/>
            <w:vAlign w:val="center"/>
          </w:tcPr>
          <w:p w14:paraId="4774D504">
            <w:pPr>
              <w:pStyle w:val="12"/>
              <w:jc w:val="center"/>
              <w:rPr>
                <w:rFonts w:ascii="宋体" w:hAnsi="宋体"/>
              </w:rPr>
            </w:pPr>
            <w:r>
              <w:rPr>
                <w:rFonts w:ascii="宋体" w:hAnsi="宋体"/>
              </w:rPr>
              <w:t>2081</w:t>
            </w:r>
          </w:p>
        </w:tc>
      </w:tr>
      <w:tr w14:paraId="74F52E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 w:type="pct"/>
            <w:vAlign w:val="center"/>
          </w:tcPr>
          <w:p w14:paraId="51FBAAA0">
            <w:pPr>
              <w:pStyle w:val="12"/>
              <w:jc w:val="center"/>
              <w:rPr>
                <w:rFonts w:ascii="宋体" w:hAnsi="宋体"/>
              </w:rPr>
            </w:pPr>
            <w:r>
              <w:rPr>
                <w:rFonts w:ascii="宋体" w:hAnsi="宋体"/>
              </w:rPr>
              <w:t>1992</w:t>
            </w:r>
          </w:p>
        </w:tc>
        <w:tc>
          <w:tcPr>
            <w:tcW w:w="372" w:type="pct"/>
            <w:vAlign w:val="center"/>
          </w:tcPr>
          <w:p w14:paraId="583C9DE2">
            <w:pPr>
              <w:pStyle w:val="12"/>
              <w:jc w:val="center"/>
              <w:rPr>
                <w:rFonts w:ascii="宋体" w:hAnsi="宋体"/>
              </w:rPr>
            </w:pPr>
            <w:r>
              <w:rPr>
                <w:rFonts w:ascii="宋体" w:hAnsi="宋体"/>
              </w:rPr>
              <w:t>9259</w:t>
            </w:r>
          </w:p>
        </w:tc>
        <w:tc>
          <w:tcPr>
            <w:tcW w:w="319" w:type="pct"/>
            <w:vAlign w:val="center"/>
          </w:tcPr>
          <w:p w14:paraId="0197EBB2">
            <w:pPr>
              <w:pStyle w:val="12"/>
              <w:jc w:val="center"/>
              <w:rPr>
                <w:rFonts w:ascii="宋体" w:hAnsi="宋体"/>
              </w:rPr>
            </w:pPr>
            <w:r>
              <w:rPr>
                <w:rFonts w:ascii="宋体" w:hAnsi="宋体"/>
              </w:rPr>
              <w:t>275</w:t>
            </w:r>
          </w:p>
        </w:tc>
        <w:tc>
          <w:tcPr>
            <w:tcW w:w="319" w:type="pct"/>
            <w:vAlign w:val="center"/>
          </w:tcPr>
          <w:p w14:paraId="45D6F910">
            <w:pPr>
              <w:pStyle w:val="12"/>
              <w:jc w:val="center"/>
              <w:rPr>
                <w:rFonts w:ascii="宋体" w:hAnsi="宋体"/>
              </w:rPr>
            </w:pPr>
            <w:r>
              <w:rPr>
                <w:rFonts w:ascii="宋体" w:hAnsi="宋体"/>
              </w:rPr>
              <w:t>—</w:t>
            </w:r>
          </w:p>
        </w:tc>
        <w:tc>
          <w:tcPr>
            <w:tcW w:w="319" w:type="pct"/>
            <w:vAlign w:val="center"/>
          </w:tcPr>
          <w:p w14:paraId="43B193B8">
            <w:pPr>
              <w:pStyle w:val="12"/>
              <w:jc w:val="center"/>
              <w:rPr>
                <w:rFonts w:ascii="宋体" w:hAnsi="宋体"/>
              </w:rPr>
            </w:pPr>
            <w:r>
              <w:rPr>
                <w:rFonts w:ascii="宋体" w:hAnsi="宋体"/>
              </w:rPr>
              <w:t>1446</w:t>
            </w:r>
          </w:p>
        </w:tc>
        <w:tc>
          <w:tcPr>
            <w:tcW w:w="319" w:type="pct"/>
            <w:vAlign w:val="center"/>
          </w:tcPr>
          <w:p w14:paraId="1022C8E6">
            <w:pPr>
              <w:pStyle w:val="12"/>
              <w:jc w:val="center"/>
              <w:rPr>
                <w:rFonts w:ascii="宋体" w:hAnsi="宋体"/>
              </w:rPr>
            </w:pPr>
            <w:r>
              <w:rPr>
                <w:rFonts w:ascii="宋体" w:hAnsi="宋体"/>
              </w:rPr>
              <w:t>543</w:t>
            </w:r>
          </w:p>
        </w:tc>
        <w:tc>
          <w:tcPr>
            <w:tcW w:w="319" w:type="pct"/>
            <w:vAlign w:val="center"/>
          </w:tcPr>
          <w:p w14:paraId="3FF17971">
            <w:pPr>
              <w:pStyle w:val="12"/>
              <w:jc w:val="center"/>
              <w:rPr>
                <w:rFonts w:ascii="宋体" w:hAnsi="宋体"/>
              </w:rPr>
            </w:pPr>
            <w:r>
              <w:rPr>
                <w:rFonts w:ascii="宋体" w:hAnsi="宋体"/>
              </w:rPr>
              <w:t>6001</w:t>
            </w:r>
          </w:p>
        </w:tc>
        <w:tc>
          <w:tcPr>
            <w:tcW w:w="372" w:type="pct"/>
            <w:vAlign w:val="center"/>
          </w:tcPr>
          <w:p w14:paraId="1D09EAA6">
            <w:pPr>
              <w:pStyle w:val="12"/>
              <w:jc w:val="center"/>
              <w:rPr>
                <w:rFonts w:ascii="宋体" w:hAnsi="宋体"/>
              </w:rPr>
            </w:pPr>
            <w:r>
              <w:rPr>
                <w:rFonts w:ascii="宋体" w:hAnsi="宋体"/>
              </w:rPr>
              <w:t>1122</w:t>
            </w:r>
          </w:p>
        </w:tc>
        <w:tc>
          <w:tcPr>
            <w:tcW w:w="372" w:type="pct"/>
            <w:vAlign w:val="center"/>
          </w:tcPr>
          <w:p w14:paraId="3A5A7108">
            <w:pPr>
              <w:pStyle w:val="12"/>
              <w:jc w:val="center"/>
              <w:rPr>
                <w:rFonts w:ascii="宋体" w:hAnsi="宋体"/>
              </w:rPr>
            </w:pPr>
            <w:r>
              <w:rPr>
                <w:rFonts w:ascii="宋体" w:hAnsi="宋体"/>
              </w:rPr>
              <w:t>8846</w:t>
            </w:r>
          </w:p>
        </w:tc>
        <w:tc>
          <w:tcPr>
            <w:tcW w:w="319" w:type="pct"/>
            <w:vAlign w:val="center"/>
          </w:tcPr>
          <w:p w14:paraId="7D61EF80">
            <w:pPr>
              <w:pStyle w:val="12"/>
              <w:jc w:val="center"/>
              <w:rPr>
                <w:rFonts w:ascii="宋体" w:hAnsi="宋体"/>
              </w:rPr>
            </w:pPr>
            <w:r>
              <w:rPr>
                <w:rFonts w:ascii="宋体" w:hAnsi="宋体"/>
              </w:rPr>
              <w:t>1541</w:t>
            </w:r>
          </w:p>
        </w:tc>
        <w:tc>
          <w:tcPr>
            <w:tcW w:w="372" w:type="pct"/>
            <w:vAlign w:val="center"/>
          </w:tcPr>
          <w:p w14:paraId="19D04337">
            <w:pPr>
              <w:pStyle w:val="12"/>
              <w:jc w:val="center"/>
              <w:rPr>
                <w:rFonts w:ascii="宋体" w:hAnsi="宋体"/>
              </w:rPr>
            </w:pPr>
            <w:r>
              <w:rPr>
                <w:rFonts w:ascii="宋体" w:hAnsi="宋体"/>
              </w:rPr>
              <w:t>3249</w:t>
            </w:r>
          </w:p>
        </w:tc>
        <w:tc>
          <w:tcPr>
            <w:tcW w:w="319" w:type="pct"/>
            <w:vAlign w:val="center"/>
          </w:tcPr>
          <w:p w14:paraId="78761738">
            <w:pPr>
              <w:pStyle w:val="12"/>
              <w:jc w:val="center"/>
              <w:rPr>
                <w:rFonts w:ascii="宋体" w:hAnsi="宋体"/>
              </w:rPr>
            </w:pPr>
            <w:r>
              <w:rPr>
                <w:rFonts w:ascii="宋体" w:hAnsi="宋体"/>
              </w:rPr>
              <w:t>141</w:t>
            </w:r>
          </w:p>
        </w:tc>
        <w:tc>
          <w:tcPr>
            <w:tcW w:w="319" w:type="pct"/>
            <w:vAlign w:val="center"/>
          </w:tcPr>
          <w:p w14:paraId="79036BE7">
            <w:pPr>
              <w:pStyle w:val="12"/>
              <w:jc w:val="center"/>
              <w:rPr>
                <w:rFonts w:ascii="宋体" w:hAnsi="宋体"/>
              </w:rPr>
            </w:pPr>
            <w:r>
              <w:rPr>
                <w:rFonts w:ascii="宋体" w:hAnsi="宋体"/>
              </w:rPr>
              <w:t>1304</w:t>
            </w:r>
          </w:p>
        </w:tc>
        <w:tc>
          <w:tcPr>
            <w:tcW w:w="319" w:type="pct"/>
            <w:vAlign w:val="center"/>
          </w:tcPr>
          <w:p w14:paraId="1D8F3C9C">
            <w:pPr>
              <w:pStyle w:val="12"/>
              <w:jc w:val="center"/>
              <w:rPr>
                <w:rFonts w:ascii="宋体" w:hAnsi="宋体"/>
              </w:rPr>
            </w:pPr>
            <w:r>
              <w:rPr>
                <w:rFonts w:ascii="宋体" w:hAnsi="宋体"/>
              </w:rPr>
              <w:t>2611</w:t>
            </w:r>
          </w:p>
        </w:tc>
        <w:tc>
          <w:tcPr>
            <w:tcW w:w="319" w:type="pct"/>
            <w:vAlign w:val="center"/>
          </w:tcPr>
          <w:p w14:paraId="7AE78943">
            <w:pPr>
              <w:pStyle w:val="12"/>
              <w:jc w:val="center"/>
              <w:rPr>
                <w:rFonts w:ascii="宋体" w:hAnsi="宋体"/>
              </w:rPr>
            </w:pPr>
            <w:r>
              <w:rPr>
                <w:rFonts w:ascii="宋体" w:hAnsi="宋体"/>
              </w:rPr>
              <w:t>2082</w:t>
            </w:r>
          </w:p>
        </w:tc>
      </w:tr>
      <w:tr w14:paraId="06E2A53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 w:type="pct"/>
            <w:vAlign w:val="center"/>
          </w:tcPr>
          <w:p w14:paraId="21AD94BB">
            <w:pPr>
              <w:pStyle w:val="12"/>
              <w:jc w:val="center"/>
              <w:rPr>
                <w:rFonts w:ascii="宋体" w:hAnsi="宋体"/>
              </w:rPr>
            </w:pPr>
            <w:r>
              <w:rPr>
                <w:rFonts w:ascii="宋体" w:hAnsi="宋体"/>
              </w:rPr>
              <w:t>1993</w:t>
            </w:r>
          </w:p>
        </w:tc>
        <w:tc>
          <w:tcPr>
            <w:tcW w:w="372" w:type="pct"/>
            <w:vAlign w:val="center"/>
          </w:tcPr>
          <w:p w14:paraId="6EFA0CFD">
            <w:pPr>
              <w:pStyle w:val="12"/>
              <w:jc w:val="center"/>
              <w:rPr>
                <w:rFonts w:ascii="宋体" w:hAnsi="宋体"/>
              </w:rPr>
            </w:pPr>
            <w:r>
              <w:rPr>
                <w:rFonts w:ascii="宋体" w:hAnsi="宋体"/>
              </w:rPr>
              <w:t>11978</w:t>
            </w:r>
          </w:p>
        </w:tc>
        <w:tc>
          <w:tcPr>
            <w:tcW w:w="319" w:type="pct"/>
            <w:vAlign w:val="center"/>
          </w:tcPr>
          <w:p w14:paraId="01EAC788">
            <w:pPr>
              <w:pStyle w:val="12"/>
              <w:jc w:val="center"/>
              <w:rPr>
                <w:rFonts w:ascii="宋体" w:hAnsi="宋体"/>
              </w:rPr>
            </w:pPr>
            <w:r>
              <w:rPr>
                <w:rFonts w:ascii="宋体" w:hAnsi="宋体"/>
              </w:rPr>
              <w:t>547</w:t>
            </w:r>
          </w:p>
        </w:tc>
        <w:tc>
          <w:tcPr>
            <w:tcW w:w="319" w:type="pct"/>
            <w:vAlign w:val="center"/>
          </w:tcPr>
          <w:p w14:paraId="6D7A33DE">
            <w:pPr>
              <w:pStyle w:val="12"/>
              <w:jc w:val="center"/>
              <w:rPr>
                <w:rFonts w:ascii="宋体" w:hAnsi="宋体"/>
              </w:rPr>
            </w:pPr>
            <w:r>
              <w:rPr>
                <w:rFonts w:ascii="宋体" w:hAnsi="宋体"/>
              </w:rPr>
              <w:t>—</w:t>
            </w:r>
          </w:p>
        </w:tc>
        <w:tc>
          <w:tcPr>
            <w:tcW w:w="319" w:type="pct"/>
            <w:vAlign w:val="center"/>
          </w:tcPr>
          <w:p w14:paraId="1401DD7B">
            <w:pPr>
              <w:pStyle w:val="12"/>
              <w:jc w:val="center"/>
              <w:rPr>
                <w:rFonts w:ascii="宋体" w:hAnsi="宋体"/>
              </w:rPr>
            </w:pPr>
            <w:r>
              <w:rPr>
                <w:rFonts w:ascii="宋体" w:hAnsi="宋体"/>
              </w:rPr>
              <w:t>1592</w:t>
            </w:r>
          </w:p>
        </w:tc>
        <w:tc>
          <w:tcPr>
            <w:tcW w:w="319" w:type="pct"/>
            <w:vAlign w:val="center"/>
          </w:tcPr>
          <w:p w14:paraId="1D239392">
            <w:pPr>
              <w:pStyle w:val="12"/>
              <w:jc w:val="center"/>
              <w:rPr>
                <w:rFonts w:ascii="宋体" w:hAnsi="宋体"/>
              </w:rPr>
            </w:pPr>
            <w:r>
              <w:rPr>
                <w:rFonts w:ascii="宋体" w:hAnsi="宋体"/>
              </w:rPr>
              <w:t>492</w:t>
            </w:r>
          </w:p>
        </w:tc>
        <w:tc>
          <w:tcPr>
            <w:tcW w:w="319" w:type="pct"/>
            <w:vAlign w:val="center"/>
          </w:tcPr>
          <w:p w14:paraId="5E0BD9D8">
            <w:pPr>
              <w:pStyle w:val="12"/>
              <w:jc w:val="center"/>
              <w:rPr>
                <w:rFonts w:ascii="宋体" w:hAnsi="宋体"/>
              </w:rPr>
            </w:pPr>
            <w:r>
              <w:rPr>
                <w:rFonts w:ascii="宋体" w:hAnsi="宋体"/>
              </w:rPr>
              <w:t>8351</w:t>
            </w:r>
          </w:p>
        </w:tc>
        <w:tc>
          <w:tcPr>
            <w:tcW w:w="372" w:type="pct"/>
            <w:vAlign w:val="center"/>
          </w:tcPr>
          <w:p w14:paraId="60C202F0">
            <w:pPr>
              <w:pStyle w:val="12"/>
              <w:jc w:val="center"/>
              <w:rPr>
                <w:rFonts w:ascii="宋体" w:hAnsi="宋体"/>
              </w:rPr>
            </w:pPr>
            <w:r>
              <w:rPr>
                <w:rFonts w:ascii="宋体" w:hAnsi="宋体"/>
              </w:rPr>
              <w:t>1256</w:t>
            </w:r>
          </w:p>
        </w:tc>
        <w:tc>
          <w:tcPr>
            <w:tcW w:w="372" w:type="pct"/>
            <w:vAlign w:val="center"/>
          </w:tcPr>
          <w:p w14:paraId="43C3E5CB">
            <w:pPr>
              <w:pStyle w:val="12"/>
              <w:jc w:val="center"/>
              <w:rPr>
                <w:rFonts w:ascii="宋体" w:hAnsi="宋体"/>
              </w:rPr>
            </w:pPr>
            <w:r>
              <w:rPr>
                <w:rFonts w:ascii="宋体" w:hAnsi="宋体"/>
              </w:rPr>
              <w:t>10879</w:t>
            </w:r>
          </w:p>
        </w:tc>
        <w:tc>
          <w:tcPr>
            <w:tcW w:w="319" w:type="pct"/>
            <w:vAlign w:val="center"/>
          </w:tcPr>
          <w:p w14:paraId="3F31E6E5">
            <w:pPr>
              <w:pStyle w:val="12"/>
              <w:jc w:val="center"/>
              <w:rPr>
                <w:rFonts w:ascii="宋体" w:hAnsi="宋体"/>
              </w:rPr>
            </w:pPr>
            <w:r>
              <w:rPr>
                <w:rFonts w:ascii="宋体" w:hAnsi="宋体"/>
              </w:rPr>
              <w:t>1856</w:t>
            </w:r>
          </w:p>
        </w:tc>
        <w:tc>
          <w:tcPr>
            <w:tcW w:w="372" w:type="pct"/>
            <w:vAlign w:val="center"/>
          </w:tcPr>
          <w:p w14:paraId="64ACB3A4">
            <w:pPr>
              <w:pStyle w:val="12"/>
              <w:jc w:val="center"/>
              <w:rPr>
                <w:rFonts w:ascii="宋体" w:hAnsi="宋体"/>
              </w:rPr>
            </w:pPr>
            <w:r>
              <w:rPr>
                <w:rFonts w:ascii="宋体" w:hAnsi="宋体"/>
              </w:rPr>
              <w:t>3844</w:t>
            </w:r>
          </w:p>
        </w:tc>
        <w:tc>
          <w:tcPr>
            <w:tcW w:w="319" w:type="pct"/>
            <w:vAlign w:val="center"/>
          </w:tcPr>
          <w:p w14:paraId="7A448595">
            <w:pPr>
              <w:pStyle w:val="12"/>
              <w:jc w:val="center"/>
              <w:rPr>
                <w:rFonts w:ascii="宋体" w:hAnsi="宋体"/>
              </w:rPr>
            </w:pPr>
            <w:r>
              <w:rPr>
                <w:rFonts w:ascii="宋体" w:hAnsi="宋体"/>
              </w:rPr>
              <w:t>411</w:t>
            </w:r>
          </w:p>
        </w:tc>
        <w:tc>
          <w:tcPr>
            <w:tcW w:w="319" w:type="pct"/>
            <w:vAlign w:val="center"/>
          </w:tcPr>
          <w:p w14:paraId="6DA79590">
            <w:pPr>
              <w:pStyle w:val="12"/>
              <w:jc w:val="center"/>
              <w:rPr>
                <w:rFonts w:ascii="宋体" w:hAnsi="宋体"/>
              </w:rPr>
            </w:pPr>
            <w:r>
              <w:rPr>
                <w:rFonts w:ascii="宋体" w:hAnsi="宋体"/>
              </w:rPr>
              <w:t>1562</w:t>
            </w:r>
          </w:p>
        </w:tc>
        <w:tc>
          <w:tcPr>
            <w:tcW w:w="319" w:type="pct"/>
            <w:vAlign w:val="center"/>
          </w:tcPr>
          <w:p w14:paraId="3EE60E69">
            <w:pPr>
              <w:pStyle w:val="12"/>
              <w:jc w:val="center"/>
              <w:rPr>
                <w:rFonts w:ascii="宋体" w:hAnsi="宋体"/>
              </w:rPr>
            </w:pPr>
            <w:r>
              <w:rPr>
                <w:rFonts w:ascii="宋体" w:hAnsi="宋体"/>
              </w:rPr>
              <w:t>3206</w:t>
            </w:r>
          </w:p>
        </w:tc>
        <w:tc>
          <w:tcPr>
            <w:tcW w:w="319" w:type="pct"/>
            <w:vAlign w:val="center"/>
          </w:tcPr>
          <w:p w14:paraId="6C7263AB">
            <w:pPr>
              <w:pStyle w:val="12"/>
              <w:jc w:val="center"/>
              <w:rPr>
                <w:rFonts w:ascii="宋体" w:hAnsi="宋体"/>
              </w:rPr>
            </w:pPr>
            <w:r>
              <w:rPr>
                <w:rFonts w:ascii="宋体" w:hAnsi="宋体"/>
              </w:rPr>
              <w:t>2377</w:t>
            </w:r>
          </w:p>
        </w:tc>
      </w:tr>
      <w:tr w14:paraId="7AE84E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 w:type="pct"/>
            <w:vAlign w:val="center"/>
          </w:tcPr>
          <w:p w14:paraId="21A5F8CE">
            <w:pPr>
              <w:pStyle w:val="12"/>
              <w:jc w:val="center"/>
              <w:rPr>
                <w:rFonts w:ascii="宋体" w:hAnsi="宋体"/>
              </w:rPr>
            </w:pPr>
            <w:r>
              <w:rPr>
                <w:rFonts w:ascii="宋体" w:hAnsi="宋体"/>
              </w:rPr>
              <w:t>1994</w:t>
            </w:r>
          </w:p>
        </w:tc>
        <w:tc>
          <w:tcPr>
            <w:tcW w:w="372" w:type="pct"/>
            <w:vAlign w:val="center"/>
          </w:tcPr>
          <w:p w14:paraId="51C84DA7">
            <w:pPr>
              <w:pStyle w:val="12"/>
              <w:jc w:val="center"/>
              <w:rPr>
                <w:rFonts w:ascii="宋体" w:hAnsi="宋体"/>
              </w:rPr>
            </w:pPr>
            <w:r>
              <w:rPr>
                <w:rFonts w:ascii="宋体" w:hAnsi="宋体"/>
              </w:rPr>
              <w:t>4184</w:t>
            </w:r>
          </w:p>
        </w:tc>
        <w:tc>
          <w:tcPr>
            <w:tcW w:w="319" w:type="pct"/>
            <w:vAlign w:val="center"/>
          </w:tcPr>
          <w:p w14:paraId="4D564A32">
            <w:pPr>
              <w:pStyle w:val="12"/>
              <w:jc w:val="center"/>
              <w:rPr>
                <w:rFonts w:ascii="宋体" w:hAnsi="宋体"/>
              </w:rPr>
            </w:pPr>
            <w:r>
              <w:rPr>
                <w:rFonts w:ascii="宋体" w:hAnsi="宋体"/>
              </w:rPr>
              <w:t>1050</w:t>
            </w:r>
          </w:p>
        </w:tc>
        <w:tc>
          <w:tcPr>
            <w:tcW w:w="319" w:type="pct"/>
            <w:vAlign w:val="center"/>
          </w:tcPr>
          <w:p w14:paraId="32DD5A57">
            <w:pPr>
              <w:pStyle w:val="12"/>
              <w:jc w:val="center"/>
              <w:rPr>
                <w:rFonts w:ascii="宋体" w:hAnsi="宋体"/>
              </w:rPr>
            </w:pPr>
            <w:r>
              <w:rPr>
                <w:rFonts w:ascii="宋体" w:hAnsi="宋体"/>
              </w:rPr>
              <w:t>5321</w:t>
            </w:r>
          </w:p>
        </w:tc>
        <w:tc>
          <w:tcPr>
            <w:tcW w:w="319" w:type="pct"/>
            <w:vAlign w:val="center"/>
          </w:tcPr>
          <w:p w14:paraId="1525F55E">
            <w:pPr>
              <w:pStyle w:val="12"/>
              <w:jc w:val="center"/>
              <w:rPr>
                <w:rFonts w:ascii="宋体" w:hAnsi="宋体"/>
              </w:rPr>
            </w:pPr>
            <w:r>
              <w:rPr>
                <w:rFonts w:ascii="宋体" w:hAnsi="宋体"/>
              </w:rPr>
              <w:t>585</w:t>
            </w:r>
          </w:p>
        </w:tc>
        <w:tc>
          <w:tcPr>
            <w:tcW w:w="319" w:type="pct"/>
            <w:vAlign w:val="center"/>
          </w:tcPr>
          <w:p w14:paraId="1F314A5C">
            <w:pPr>
              <w:pStyle w:val="12"/>
              <w:jc w:val="center"/>
              <w:rPr>
                <w:rFonts w:ascii="宋体" w:hAnsi="宋体"/>
              </w:rPr>
            </w:pPr>
            <w:r>
              <w:rPr>
                <w:rFonts w:ascii="宋体" w:hAnsi="宋体"/>
              </w:rPr>
              <w:t>1462</w:t>
            </w:r>
          </w:p>
        </w:tc>
        <w:tc>
          <w:tcPr>
            <w:tcW w:w="319" w:type="pct"/>
            <w:vAlign w:val="center"/>
          </w:tcPr>
          <w:p w14:paraId="0593F6CE">
            <w:pPr>
              <w:pStyle w:val="12"/>
              <w:jc w:val="center"/>
              <w:rPr>
                <w:rFonts w:ascii="宋体" w:hAnsi="宋体"/>
              </w:rPr>
            </w:pPr>
            <w:r>
              <w:rPr>
                <w:rFonts w:ascii="宋体" w:hAnsi="宋体"/>
              </w:rPr>
              <w:t>—</w:t>
            </w:r>
          </w:p>
        </w:tc>
        <w:tc>
          <w:tcPr>
            <w:tcW w:w="372" w:type="pct"/>
            <w:vAlign w:val="center"/>
          </w:tcPr>
          <w:p w14:paraId="142D0738">
            <w:pPr>
              <w:pStyle w:val="12"/>
              <w:jc w:val="center"/>
              <w:rPr>
                <w:rFonts w:ascii="宋体" w:hAnsi="宋体"/>
              </w:rPr>
            </w:pPr>
            <w:r>
              <w:rPr>
                <w:rFonts w:ascii="宋体" w:hAnsi="宋体"/>
              </w:rPr>
              <w:t>8992</w:t>
            </w:r>
          </w:p>
        </w:tc>
        <w:tc>
          <w:tcPr>
            <w:tcW w:w="372" w:type="pct"/>
            <w:vAlign w:val="center"/>
          </w:tcPr>
          <w:p w14:paraId="4E019075">
            <w:pPr>
              <w:pStyle w:val="12"/>
              <w:jc w:val="center"/>
              <w:rPr>
                <w:rFonts w:ascii="宋体" w:hAnsi="宋体"/>
              </w:rPr>
            </w:pPr>
            <w:r>
              <w:rPr>
                <w:rFonts w:ascii="宋体" w:hAnsi="宋体"/>
              </w:rPr>
              <w:t>10334</w:t>
            </w:r>
          </w:p>
        </w:tc>
        <w:tc>
          <w:tcPr>
            <w:tcW w:w="319" w:type="pct"/>
            <w:vAlign w:val="center"/>
          </w:tcPr>
          <w:p w14:paraId="56B1774E">
            <w:pPr>
              <w:pStyle w:val="12"/>
              <w:jc w:val="center"/>
              <w:rPr>
                <w:rFonts w:ascii="宋体" w:hAnsi="宋体"/>
              </w:rPr>
            </w:pPr>
            <w:r>
              <w:rPr>
                <w:rFonts w:ascii="宋体" w:hAnsi="宋体"/>
              </w:rPr>
              <w:t>1211</w:t>
            </w:r>
          </w:p>
        </w:tc>
        <w:tc>
          <w:tcPr>
            <w:tcW w:w="372" w:type="pct"/>
            <w:vAlign w:val="center"/>
          </w:tcPr>
          <w:p w14:paraId="05D127BA">
            <w:pPr>
              <w:pStyle w:val="12"/>
              <w:jc w:val="center"/>
              <w:rPr>
                <w:rFonts w:ascii="宋体" w:hAnsi="宋体"/>
              </w:rPr>
            </w:pPr>
            <w:r>
              <w:rPr>
                <w:rFonts w:ascii="宋体" w:hAnsi="宋体"/>
              </w:rPr>
              <w:t>4620</w:t>
            </w:r>
          </w:p>
        </w:tc>
        <w:tc>
          <w:tcPr>
            <w:tcW w:w="319" w:type="pct"/>
            <w:vAlign w:val="center"/>
          </w:tcPr>
          <w:p w14:paraId="33C6EDDD">
            <w:pPr>
              <w:pStyle w:val="12"/>
              <w:jc w:val="center"/>
              <w:rPr>
                <w:rFonts w:ascii="宋体" w:hAnsi="宋体"/>
              </w:rPr>
            </w:pPr>
            <w:r>
              <w:rPr>
                <w:rFonts w:ascii="宋体" w:hAnsi="宋体"/>
              </w:rPr>
              <w:t>289</w:t>
            </w:r>
          </w:p>
        </w:tc>
        <w:tc>
          <w:tcPr>
            <w:tcW w:w="319" w:type="pct"/>
            <w:vAlign w:val="center"/>
          </w:tcPr>
          <w:p w14:paraId="609D3B46">
            <w:pPr>
              <w:pStyle w:val="12"/>
              <w:jc w:val="center"/>
              <w:rPr>
                <w:rFonts w:ascii="宋体" w:hAnsi="宋体"/>
              </w:rPr>
            </w:pPr>
            <w:r>
              <w:rPr>
                <w:rFonts w:ascii="宋体" w:hAnsi="宋体"/>
              </w:rPr>
              <w:t>1889</w:t>
            </w:r>
          </w:p>
        </w:tc>
        <w:tc>
          <w:tcPr>
            <w:tcW w:w="319" w:type="pct"/>
            <w:vAlign w:val="center"/>
          </w:tcPr>
          <w:p w14:paraId="1782D044">
            <w:pPr>
              <w:pStyle w:val="12"/>
              <w:jc w:val="center"/>
              <w:rPr>
                <w:rFonts w:ascii="宋体" w:hAnsi="宋体"/>
              </w:rPr>
            </w:pPr>
            <w:r>
              <w:rPr>
                <w:rFonts w:ascii="宋体" w:hAnsi="宋体"/>
              </w:rPr>
              <w:t>2325</w:t>
            </w:r>
          </w:p>
        </w:tc>
        <w:tc>
          <w:tcPr>
            <w:tcW w:w="319" w:type="pct"/>
            <w:vAlign w:val="center"/>
          </w:tcPr>
          <w:p w14:paraId="69F8D8A5">
            <w:pPr>
              <w:pStyle w:val="12"/>
              <w:jc w:val="center"/>
              <w:rPr>
                <w:rFonts w:ascii="宋体" w:hAnsi="宋体"/>
              </w:rPr>
            </w:pPr>
            <w:r>
              <w:rPr>
                <w:rFonts w:ascii="宋体" w:hAnsi="宋体"/>
              </w:rPr>
              <w:t>2948</w:t>
            </w:r>
          </w:p>
        </w:tc>
      </w:tr>
      <w:tr w14:paraId="53F2E40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 w:type="pct"/>
            <w:vAlign w:val="center"/>
          </w:tcPr>
          <w:p w14:paraId="5C62662B">
            <w:pPr>
              <w:pStyle w:val="12"/>
              <w:jc w:val="center"/>
              <w:rPr>
                <w:rFonts w:ascii="宋体" w:hAnsi="宋体"/>
              </w:rPr>
            </w:pPr>
            <w:r>
              <w:rPr>
                <w:rFonts w:ascii="宋体" w:hAnsi="宋体"/>
              </w:rPr>
              <w:t>1995</w:t>
            </w:r>
          </w:p>
        </w:tc>
        <w:tc>
          <w:tcPr>
            <w:tcW w:w="372" w:type="pct"/>
            <w:vAlign w:val="center"/>
          </w:tcPr>
          <w:p w14:paraId="3DC4EB6D">
            <w:pPr>
              <w:pStyle w:val="12"/>
              <w:jc w:val="center"/>
              <w:rPr>
                <w:rFonts w:ascii="宋体" w:hAnsi="宋体"/>
              </w:rPr>
            </w:pPr>
            <w:r>
              <w:rPr>
                <w:rFonts w:ascii="宋体" w:hAnsi="宋体"/>
              </w:rPr>
              <w:t>4787</w:t>
            </w:r>
          </w:p>
        </w:tc>
        <w:tc>
          <w:tcPr>
            <w:tcW w:w="319" w:type="pct"/>
            <w:vAlign w:val="center"/>
          </w:tcPr>
          <w:p w14:paraId="61D87555">
            <w:pPr>
              <w:pStyle w:val="12"/>
              <w:jc w:val="center"/>
              <w:rPr>
                <w:rFonts w:ascii="宋体" w:hAnsi="宋体"/>
              </w:rPr>
            </w:pPr>
            <w:r>
              <w:rPr>
                <w:rFonts w:ascii="宋体" w:hAnsi="宋体"/>
              </w:rPr>
              <w:t>1000</w:t>
            </w:r>
          </w:p>
        </w:tc>
        <w:tc>
          <w:tcPr>
            <w:tcW w:w="319" w:type="pct"/>
            <w:vAlign w:val="center"/>
          </w:tcPr>
          <w:p w14:paraId="5B6C7471">
            <w:pPr>
              <w:pStyle w:val="12"/>
              <w:jc w:val="center"/>
              <w:rPr>
                <w:rFonts w:ascii="宋体" w:hAnsi="宋体"/>
              </w:rPr>
            </w:pPr>
            <w:r>
              <w:rPr>
                <w:rFonts w:ascii="宋体" w:hAnsi="宋体"/>
              </w:rPr>
              <w:t>5882</w:t>
            </w:r>
          </w:p>
        </w:tc>
        <w:tc>
          <w:tcPr>
            <w:tcW w:w="319" w:type="pct"/>
            <w:vAlign w:val="center"/>
          </w:tcPr>
          <w:p w14:paraId="7E37AE1D">
            <w:pPr>
              <w:pStyle w:val="12"/>
              <w:jc w:val="center"/>
              <w:rPr>
                <w:rFonts w:ascii="宋体" w:hAnsi="宋体"/>
              </w:rPr>
            </w:pPr>
            <w:r>
              <w:rPr>
                <w:rFonts w:ascii="宋体" w:hAnsi="宋体"/>
              </w:rPr>
              <w:t>640</w:t>
            </w:r>
          </w:p>
        </w:tc>
        <w:tc>
          <w:tcPr>
            <w:tcW w:w="319" w:type="pct"/>
            <w:vAlign w:val="center"/>
          </w:tcPr>
          <w:p w14:paraId="40A711C3">
            <w:pPr>
              <w:pStyle w:val="12"/>
              <w:jc w:val="center"/>
              <w:rPr>
                <w:rFonts w:ascii="宋体" w:hAnsi="宋体"/>
              </w:rPr>
            </w:pPr>
            <w:r>
              <w:rPr>
                <w:rFonts w:ascii="宋体" w:hAnsi="宋体"/>
              </w:rPr>
              <w:t>1809</w:t>
            </w:r>
          </w:p>
        </w:tc>
        <w:tc>
          <w:tcPr>
            <w:tcW w:w="319" w:type="pct"/>
            <w:vAlign w:val="center"/>
          </w:tcPr>
          <w:p w14:paraId="28286082">
            <w:pPr>
              <w:pStyle w:val="12"/>
              <w:jc w:val="center"/>
              <w:rPr>
                <w:rFonts w:ascii="宋体" w:hAnsi="宋体"/>
              </w:rPr>
            </w:pPr>
            <w:r>
              <w:rPr>
                <w:rFonts w:ascii="宋体" w:hAnsi="宋体"/>
              </w:rPr>
              <w:t>—</w:t>
            </w:r>
          </w:p>
        </w:tc>
        <w:tc>
          <w:tcPr>
            <w:tcW w:w="372" w:type="pct"/>
            <w:vAlign w:val="center"/>
          </w:tcPr>
          <w:p w14:paraId="35AF4B19">
            <w:pPr>
              <w:pStyle w:val="12"/>
              <w:jc w:val="center"/>
              <w:rPr>
                <w:rFonts w:ascii="宋体" w:hAnsi="宋体"/>
              </w:rPr>
            </w:pPr>
            <w:r>
              <w:rPr>
                <w:rFonts w:ascii="宋体" w:hAnsi="宋体"/>
              </w:rPr>
              <w:t>10283</w:t>
            </w:r>
          </w:p>
        </w:tc>
        <w:tc>
          <w:tcPr>
            <w:tcW w:w="372" w:type="pct"/>
            <w:vAlign w:val="center"/>
          </w:tcPr>
          <w:p w14:paraId="5C6B529A">
            <w:pPr>
              <w:pStyle w:val="12"/>
              <w:jc w:val="center"/>
              <w:rPr>
                <w:rFonts w:ascii="宋体" w:hAnsi="宋体"/>
              </w:rPr>
            </w:pPr>
            <w:r>
              <w:rPr>
                <w:rFonts w:ascii="宋体" w:hAnsi="宋体"/>
              </w:rPr>
              <w:t>12608</w:t>
            </w:r>
          </w:p>
        </w:tc>
        <w:tc>
          <w:tcPr>
            <w:tcW w:w="319" w:type="pct"/>
            <w:vAlign w:val="center"/>
          </w:tcPr>
          <w:p w14:paraId="11C4B1D2">
            <w:pPr>
              <w:pStyle w:val="12"/>
              <w:jc w:val="center"/>
              <w:rPr>
                <w:rFonts w:ascii="宋体" w:hAnsi="宋体"/>
              </w:rPr>
            </w:pPr>
            <w:r>
              <w:rPr>
                <w:rFonts w:ascii="宋体" w:hAnsi="宋体"/>
              </w:rPr>
              <w:t>1557</w:t>
            </w:r>
          </w:p>
        </w:tc>
        <w:tc>
          <w:tcPr>
            <w:tcW w:w="372" w:type="pct"/>
            <w:vAlign w:val="center"/>
          </w:tcPr>
          <w:p w14:paraId="6B9E94E0">
            <w:pPr>
              <w:pStyle w:val="12"/>
              <w:jc w:val="center"/>
              <w:rPr>
                <w:rFonts w:ascii="宋体" w:hAnsi="宋体"/>
              </w:rPr>
            </w:pPr>
            <w:r>
              <w:rPr>
                <w:rFonts w:ascii="宋体" w:hAnsi="宋体"/>
              </w:rPr>
              <w:t>5727</w:t>
            </w:r>
          </w:p>
        </w:tc>
        <w:tc>
          <w:tcPr>
            <w:tcW w:w="319" w:type="pct"/>
            <w:vAlign w:val="center"/>
          </w:tcPr>
          <w:p w14:paraId="6B35EF8A">
            <w:pPr>
              <w:pStyle w:val="12"/>
              <w:jc w:val="center"/>
              <w:rPr>
                <w:rFonts w:ascii="宋体" w:hAnsi="宋体"/>
              </w:rPr>
            </w:pPr>
            <w:r>
              <w:rPr>
                <w:rFonts w:ascii="宋体" w:hAnsi="宋体"/>
              </w:rPr>
              <w:t>213</w:t>
            </w:r>
          </w:p>
        </w:tc>
        <w:tc>
          <w:tcPr>
            <w:tcW w:w="319" w:type="pct"/>
            <w:vAlign w:val="center"/>
          </w:tcPr>
          <w:p w14:paraId="2E94F57D">
            <w:pPr>
              <w:pStyle w:val="12"/>
              <w:jc w:val="center"/>
              <w:rPr>
                <w:rFonts w:ascii="宋体" w:hAnsi="宋体"/>
              </w:rPr>
            </w:pPr>
            <w:r>
              <w:rPr>
                <w:rFonts w:ascii="宋体" w:hAnsi="宋体"/>
              </w:rPr>
              <w:t>2115</w:t>
            </w:r>
          </w:p>
        </w:tc>
        <w:tc>
          <w:tcPr>
            <w:tcW w:w="319" w:type="pct"/>
            <w:vAlign w:val="center"/>
          </w:tcPr>
          <w:p w14:paraId="2C017B82">
            <w:pPr>
              <w:pStyle w:val="12"/>
              <w:jc w:val="center"/>
              <w:rPr>
                <w:rFonts w:ascii="宋体" w:hAnsi="宋体"/>
              </w:rPr>
            </w:pPr>
            <w:r>
              <w:rPr>
                <w:rFonts w:ascii="宋体" w:hAnsi="宋体"/>
              </w:rPr>
              <w:t>2996</w:t>
            </w:r>
          </w:p>
        </w:tc>
        <w:tc>
          <w:tcPr>
            <w:tcW w:w="319" w:type="pct"/>
            <w:vAlign w:val="center"/>
          </w:tcPr>
          <w:p w14:paraId="0F6E2046">
            <w:pPr>
              <w:pStyle w:val="12"/>
              <w:jc w:val="center"/>
              <w:rPr>
                <w:rFonts w:ascii="宋体" w:hAnsi="宋体"/>
              </w:rPr>
            </w:pPr>
            <w:r>
              <w:rPr>
                <w:rFonts w:ascii="宋体" w:hAnsi="宋体"/>
              </w:rPr>
              <w:t>3068</w:t>
            </w:r>
          </w:p>
        </w:tc>
      </w:tr>
      <w:tr w14:paraId="584B80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 w:type="pct"/>
            <w:vAlign w:val="center"/>
          </w:tcPr>
          <w:p w14:paraId="35BF6C48">
            <w:pPr>
              <w:pStyle w:val="12"/>
              <w:jc w:val="center"/>
              <w:rPr>
                <w:rFonts w:ascii="宋体" w:hAnsi="宋体"/>
              </w:rPr>
            </w:pPr>
            <w:r>
              <w:rPr>
                <w:rFonts w:ascii="宋体" w:hAnsi="宋体"/>
              </w:rPr>
              <w:t>1996</w:t>
            </w:r>
          </w:p>
        </w:tc>
        <w:tc>
          <w:tcPr>
            <w:tcW w:w="372" w:type="pct"/>
            <w:vAlign w:val="center"/>
          </w:tcPr>
          <w:p w14:paraId="328932D6">
            <w:pPr>
              <w:pStyle w:val="12"/>
              <w:jc w:val="center"/>
              <w:rPr>
                <w:rFonts w:ascii="宋体" w:hAnsi="宋体"/>
              </w:rPr>
            </w:pPr>
            <w:r>
              <w:rPr>
                <w:rFonts w:ascii="宋体" w:hAnsi="宋体"/>
              </w:rPr>
              <w:t>5440</w:t>
            </w:r>
          </w:p>
        </w:tc>
        <w:tc>
          <w:tcPr>
            <w:tcW w:w="319" w:type="pct"/>
            <w:vAlign w:val="center"/>
          </w:tcPr>
          <w:p w14:paraId="65F9E019">
            <w:pPr>
              <w:pStyle w:val="12"/>
              <w:jc w:val="center"/>
              <w:rPr>
                <w:rFonts w:ascii="宋体" w:hAnsi="宋体"/>
              </w:rPr>
            </w:pPr>
            <w:r>
              <w:rPr>
                <w:rFonts w:ascii="宋体" w:hAnsi="宋体"/>
              </w:rPr>
              <w:t>1100</w:t>
            </w:r>
          </w:p>
        </w:tc>
        <w:tc>
          <w:tcPr>
            <w:tcW w:w="319" w:type="pct"/>
            <w:vAlign w:val="center"/>
          </w:tcPr>
          <w:p w14:paraId="525FDF7A">
            <w:pPr>
              <w:pStyle w:val="12"/>
              <w:jc w:val="center"/>
              <w:rPr>
                <w:rFonts w:ascii="宋体" w:hAnsi="宋体"/>
              </w:rPr>
            </w:pPr>
            <w:r>
              <w:rPr>
                <w:rFonts w:ascii="宋体" w:hAnsi="宋体"/>
              </w:rPr>
              <w:t>5841</w:t>
            </w:r>
          </w:p>
        </w:tc>
        <w:tc>
          <w:tcPr>
            <w:tcW w:w="319" w:type="pct"/>
            <w:vAlign w:val="center"/>
          </w:tcPr>
          <w:p w14:paraId="0FBE2B34">
            <w:pPr>
              <w:pStyle w:val="12"/>
              <w:jc w:val="center"/>
              <w:rPr>
                <w:rFonts w:ascii="宋体" w:hAnsi="宋体"/>
              </w:rPr>
            </w:pPr>
            <w:r>
              <w:rPr>
                <w:rFonts w:ascii="宋体" w:hAnsi="宋体"/>
              </w:rPr>
              <w:t>370</w:t>
            </w:r>
          </w:p>
        </w:tc>
        <w:tc>
          <w:tcPr>
            <w:tcW w:w="319" w:type="pct"/>
            <w:vAlign w:val="center"/>
          </w:tcPr>
          <w:p w14:paraId="10DD9700">
            <w:pPr>
              <w:pStyle w:val="12"/>
              <w:jc w:val="center"/>
              <w:rPr>
                <w:rFonts w:ascii="宋体" w:hAnsi="宋体"/>
              </w:rPr>
            </w:pPr>
            <w:r>
              <w:rPr>
                <w:rFonts w:ascii="宋体" w:hAnsi="宋体"/>
              </w:rPr>
              <w:t>2278</w:t>
            </w:r>
          </w:p>
        </w:tc>
        <w:tc>
          <w:tcPr>
            <w:tcW w:w="319" w:type="pct"/>
            <w:vAlign w:val="center"/>
          </w:tcPr>
          <w:p w14:paraId="181123FA">
            <w:pPr>
              <w:pStyle w:val="12"/>
              <w:jc w:val="center"/>
              <w:rPr>
                <w:rFonts w:ascii="宋体" w:hAnsi="宋体"/>
              </w:rPr>
            </w:pPr>
            <w:r>
              <w:rPr>
                <w:rFonts w:ascii="宋体" w:hAnsi="宋体"/>
              </w:rPr>
              <w:t>—</w:t>
            </w:r>
          </w:p>
        </w:tc>
        <w:tc>
          <w:tcPr>
            <w:tcW w:w="372" w:type="pct"/>
            <w:vAlign w:val="center"/>
          </w:tcPr>
          <w:p w14:paraId="2355B13B">
            <w:pPr>
              <w:pStyle w:val="12"/>
              <w:jc w:val="center"/>
              <w:rPr>
                <w:rFonts w:ascii="宋体" w:hAnsi="宋体"/>
              </w:rPr>
            </w:pPr>
            <w:r>
              <w:rPr>
                <w:rFonts w:ascii="宋体" w:hAnsi="宋体"/>
              </w:rPr>
              <w:t>8289</w:t>
            </w:r>
          </w:p>
        </w:tc>
        <w:tc>
          <w:tcPr>
            <w:tcW w:w="372" w:type="pct"/>
            <w:vAlign w:val="center"/>
          </w:tcPr>
          <w:p w14:paraId="0D1DD503">
            <w:pPr>
              <w:pStyle w:val="12"/>
              <w:jc w:val="center"/>
              <w:rPr>
                <w:rFonts w:ascii="宋体" w:hAnsi="宋体"/>
              </w:rPr>
            </w:pPr>
            <w:r>
              <w:rPr>
                <w:rFonts w:ascii="宋体" w:hAnsi="宋体"/>
              </w:rPr>
              <w:t>13427</w:t>
            </w:r>
          </w:p>
        </w:tc>
        <w:tc>
          <w:tcPr>
            <w:tcW w:w="319" w:type="pct"/>
            <w:vAlign w:val="center"/>
          </w:tcPr>
          <w:p w14:paraId="0FC90D6E">
            <w:pPr>
              <w:pStyle w:val="12"/>
              <w:jc w:val="center"/>
              <w:rPr>
                <w:rFonts w:ascii="宋体" w:hAnsi="宋体"/>
              </w:rPr>
            </w:pPr>
            <w:r>
              <w:rPr>
                <w:rFonts w:ascii="宋体" w:hAnsi="宋体"/>
              </w:rPr>
              <w:t>1304</w:t>
            </w:r>
          </w:p>
        </w:tc>
        <w:tc>
          <w:tcPr>
            <w:tcW w:w="372" w:type="pct"/>
            <w:vAlign w:val="center"/>
          </w:tcPr>
          <w:p w14:paraId="61CB55B3">
            <w:pPr>
              <w:pStyle w:val="12"/>
              <w:jc w:val="center"/>
              <w:rPr>
                <w:rFonts w:ascii="宋体" w:hAnsi="宋体"/>
              </w:rPr>
            </w:pPr>
            <w:r>
              <w:rPr>
                <w:rFonts w:ascii="宋体" w:hAnsi="宋体"/>
              </w:rPr>
              <w:t>6248</w:t>
            </w:r>
          </w:p>
        </w:tc>
        <w:tc>
          <w:tcPr>
            <w:tcW w:w="319" w:type="pct"/>
            <w:vAlign w:val="center"/>
          </w:tcPr>
          <w:p w14:paraId="5A60386D">
            <w:pPr>
              <w:pStyle w:val="12"/>
              <w:jc w:val="center"/>
              <w:rPr>
                <w:rFonts w:ascii="宋体" w:hAnsi="宋体"/>
              </w:rPr>
            </w:pPr>
            <w:r>
              <w:rPr>
                <w:rFonts w:ascii="宋体" w:hAnsi="宋体"/>
              </w:rPr>
              <w:t>227</w:t>
            </w:r>
          </w:p>
        </w:tc>
        <w:tc>
          <w:tcPr>
            <w:tcW w:w="319" w:type="pct"/>
            <w:vAlign w:val="center"/>
          </w:tcPr>
          <w:p w14:paraId="20844E47">
            <w:pPr>
              <w:pStyle w:val="12"/>
              <w:jc w:val="center"/>
              <w:rPr>
                <w:rFonts w:ascii="宋体" w:hAnsi="宋体"/>
              </w:rPr>
            </w:pPr>
            <w:r>
              <w:rPr>
                <w:rFonts w:ascii="宋体" w:hAnsi="宋体"/>
              </w:rPr>
              <w:t>2333</w:t>
            </w:r>
          </w:p>
        </w:tc>
        <w:tc>
          <w:tcPr>
            <w:tcW w:w="319" w:type="pct"/>
            <w:vAlign w:val="center"/>
          </w:tcPr>
          <w:p w14:paraId="14F643D6">
            <w:pPr>
              <w:pStyle w:val="12"/>
              <w:jc w:val="center"/>
              <w:rPr>
                <w:rFonts w:ascii="宋体" w:hAnsi="宋体"/>
              </w:rPr>
            </w:pPr>
            <w:r>
              <w:rPr>
                <w:rFonts w:ascii="宋体" w:hAnsi="宋体"/>
              </w:rPr>
              <w:t>3315</w:t>
            </w:r>
          </w:p>
        </w:tc>
        <w:tc>
          <w:tcPr>
            <w:tcW w:w="319" w:type="pct"/>
            <w:vAlign w:val="center"/>
          </w:tcPr>
          <w:p w14:paraId="7D566EFD">
            <w:pPr>
              <w:pStyle w:val="12"/>
              <w:jc w:val="center"/>
              <w:rPr>
                <w:rFonts w:ascii="宋体" w:hAnsi="宋体"/>
              </w:rPr>
            </w:pPr>
            <w:r>
              <w:rPr>
                <w:rFonts w:ascii="宋体" w:hAnsi="宋体"/>
              </w:rPr>
              <w:t>449</w:t>
            </w:r>
          </w:p>
        </w:tc>
      </w:tr>
      <w:tr w14:paraId="17B473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 w:type="pct"/>
            <w:vAlign w:val="center"/>
          </w:tcPr>
          <w:p w14:paraId="4E33DBC3">
            <w:pPr>
              <w:pStyle w:val="12"/>
              <w:jc w:val="center"/>
              <w:rPr>
                <w:rFonts w:ascii="宋体" w:hAnsi="宋体"/>
              </w:rPr>
            </w:pPr>
            <w:r>
              <w:rPr>
                <w:rFonts w:ascii="宋体" w:hAnsi="宋体"/>
              </w:rPr>
              <w:t>1997</w:t>
            </w:r>
          </w:p>
        </w:tc>
        <w:tc>
          <w:tcPr>
            <w:tcW w:w="372" w:type="pct"/>
            <w:vAlign w:val="center"/>
          </w:tcPr>
          <w:p w14:paraId="4C4850F2">
            <w:pPr>
              <w:pStyle w:val="12"/>
              <w:jc w:val="center"/>
              <w:rPr>
                <w:rFonts w:ascii="宋体" w:hAnsi="宋体"/>
              </w:rPr>
            </w:pPr>
            <w:r>
              <w:rPr>
                <w:rFonts w:ascii="宋体" w:hAnsi="宋体"/>
              </w:rPr>
              <w:t>6357</w:t>
            </w:r>
          </w:p>
        </w:tc>
        <w:tc>
          <w:tcPr>
            <w:tcW w:w="319" w:type="pct"/>
            <w:vAlign w:val="center"/>
          </w:tcPr>
          <w:p w14:paraId="24E16C1D">
            <w:pPr>
              <w:pStyle w:val="12"/>
              <w:jc w:val="center"/>
              <w:rPr>
                <w:rFonts w:ascii="宋体" w:hAnsi="宋体"/>
              </w:rPr>
            </w:pPr>
            <w:r>
              <w:rPr>
                <w:rFonts w:ascii="宋体" w:hAnsi="宋体"/>
              </w:rPr>
              <w:t>1100</w:t>
            </w:r>
          </w:p>
        </w:tc>
        <w:tc>
          <w:tcPr>
            <w:tcW w:w="319" w:type="pct"/>
            <w:vAlign w:val="center"/>
          </w:tcPr>
          <w:p w14:paraId="2188EE9C">
            <w:pPr>
              <w:pStyle w:val="12"/>
              <w:jc w:val="center"/>
              <w:rPr>
                <w:rFonts w:ascii="宋体" w:hAnsi="宋体"/>
              </w:rPr>
            </w:pPr>
            <w:r>
              <w:rPr>
                <w:rFonts w:ascii="宋体" w:hAnsi="宋体"/>
              </w:rPr>
              <w:t>6405</w:t>
            </w:r>
          </w:p>
        </w:tc>
        <w:tc>
          <w:tcPr>
            <w:tcW w:w="319" w:type="pct"/>
            <w:vAlign w:val="center"/>
          </w:tcPr>
          <w:p w14:paraId="253CB49F">
            <w:pPr>
              <w:pStyle w:val="12"/>
              <w:jc w:val="center"/>
              <w:rPr>
                <w:rFonts w:ascii="宋体" w:hAnsi="宋体"/>
              </w:rPr>
            </w:pPr>
            <w:r>
              <w:rPr>
                <w:rFonts w:ascii="宋体" w:hAnsi="宋体"/>
              </w:rPr>
              <w:t>429</w:t>
            </w:r>
          </w:p>
        </w:tc>
        <w:tc>
          <w:tcPr>
            <w:tcW w:w="319" w:type="pct"/>
            <w:vAlign w:val="center"/>
          </w:tcPr>
          <w:p w14:paraId="08D1E21F">
            <w:pPr>
              <w:pStyle w:val="12"/>
              <w:jc w:val="center"/>
              <w:rPr>
                <w:rFonts w:ascii="宋体" w:hAnsi="宋体"/>
              </w:rPr>
            </w:pPr>
            <w:r>
              <w:rPr>
                <w:rFonts w:ascii="宋体" w:hAnsi="宋体"/>
              </w:rPr>
              <w:t>2612</w:t>
            </w:r>
          </w:p>
        </w:tc>
        <w:tc>
          <w:tcPr>
            <w:tcW w:w="319" w:type="pct"/>
            <w:vAlign w:val="center"/>
          </w:tcPr>
          <w:p w14:paraId="6C9E2606">
            <w:pPr>
              <w:pStyle w:val="12"/>
              <w:jc w:val="center"/>
              <w:rPr>
                <w:rFonts w:ascii="宋体" w:hAnsi="宋体"/>
              </w:rPr>
            </w:pPr>
            <w:r>
              <w:rPr>
                <w:rFonts w:ascii="宋体" w:hAnsi="宋体"/>
              </w:rPr>
              <w:t>—</w:t>
            </w:r>
          </w:p>
        </w:tc>
        <w:tc>
          <w:tcPr>
            <w:tcW w:w="372" w:type="pct"/>
            <w:vAlign w:val="center"/>
          </w:tcPr>
          <w:p w14:paraId="66E471D8">
            <w:pPr>
              <w:pStyle w:val="12"/>
              <w:jc w:val="center"/>
              <w:rPr>
                <w:rFonts w:ascii="宋体" w:hAnsi="宋体"/>
              </w:rPr>
            </w:pPr>
            <w:r>
              <w:rPr>
                <w:rFonts w:ascii="宋体" w:hAnsi="宋体"/>
              </w:rPr>
              <w:t>8303</w:t>
            </w:r>
          </w:p>
        </w:tc>
        <w:tc>
          <w:tcPr>
            <w:tcW w:w="372" w:type="pct"/>
            <w:vAlign w:val="center"/>
          </w:tcPr>
          <w:p w14:paraId="77697DCE">
            <w:pPr>
              <w:pStyle w:val="12"/>
              <w:jc w:val="center"/>
              <w:rPr>
                <w:rFonts w:ascii="宋体" w:hAnsi="宋体"/>
              </w:rPr>
            </w:pPr>
            <w:r>
              <w:rPr>
                <w:rFonts w:ascii="宋体" w:hAnsi="宋体"/>
              </w:rPr>
              <w:t>14433</w:t>
            </w:r>
          </w:p>
        </w:tc>
        <w:tc>
          <w:tcPr>
            <w:tcW w:w="319" w:type="pct"/>
            <w:vAlign w:val="center"/>
          </w:tcPr>
          <w:p w14:paraId="569DA993">
            <w:pPr>
              <w:pStyle w:val="12"/>
              <w:jc w:val="center"/>
              <w:rPr>
                <w:rFonts w:ascii="宋体" w:hAnsi="宋体"/>
              </w:rPr>
            </w:pPr>
            <w:r>
              <w:rPr>
                <w:rFonts w:ascii="宋体" w:hAnsi="宋体"/>
              </w:rPr>
              <w:t>1045</w:t>
            </w:r>
          </w:p>
        </w:tc>
        <w:tc>
          <w:tcPr>
            <w:tcW w:w="372" w:type="pct"/>
            <w:vAlign w:val="center"/>
          </w:tcPr>
          <w:p w14:paraId="0A098649">
            <w:pPr>
              <w:pStyle w:val="12"/>
              <w:jc w:val="center"/>
              <w:rPr>
                <w:rFonts w:ascii="宋体" w:hAnsi="宋体"/>
              </w:rPr>
            </w:pPr>
            <w:r>
              <w:rPr>
                <w:rFonts w:ascii="宋体" w:hAnsi="宋体"/>
              </w:rPr>
              <w:t>5757</w:t>
            </w:r>
          </w:p>
        </w:tc>
        <w:tc>
          <w:tcPr>
            <w:tcW w:w="319" w:type="pct"/>
            <w:vAlign w:val="center"/>
          </w:tcPr>
          <w:p w14:paraId="7E36AF04">
            <w:pPr>
              <w:pStyle w:val="12"/>
              <w:jc w:val="center"/>
              <w:rPr>
                <w:rFonts w:ascii="宋体" w:hAnsi="宋体"/>
              </w:rPr>
            </w:pPr>
            <w:r>
              <w:rPr>
                <w:rFonts w:ascii="宋体" w:hAnsi="宋体"/>
              </w:rPr>
              <w:t>1566</w:t>
            </w:r>
          </w:p>
        </w:tc>
        <w:tc>
          <w:tcPr>
            <w:tcW w:w="319" w:type="pct"/>
            <w:vAlign w:val="center"/>
          </w:tcPr>
          <w:p w14:paraId="725AC083">
            <w:pPr>
              <w:pStyle w:val="12"/>
              <w:jc w:val="center"/>
              <w:rPr>
                <w:rFonts w:ascii="宋体" w:hAnsi="宋体"/>
              </w:rPr>
            </w:pPr>
            <w:r>
              <w:rPr>
                <w:rFonts w:ascii="宋体" w:hAnsi="宋体"/>
              </w:rPr>
              <w:t>2284</w:t>
            </w:r>
          </w:p>
        </w:tc>
        <w:tc>
          <w:tcPr>
            <w:tcW w:w="319" w:type="pct"/>
            <w:vAlign w:val="center"/>
          </w:tcPr>
          <w:p w14:paraId="3342846A">
            <w:pPr>
              <w:pStyle w:val="12"/>
              <w:jc w:val="center"/>
              <w:rPr>
                <w:rFonts w:ascii="宋体" w:hAnsi="宋体"/>
              </w:rPr>
            </w:pPr>
            <w:r>
              <w:rPr>
                <w:rFonts w:ascii="宋体" w:hAnsi="宋体"/>
              </w:rPr>
              <w:t>3781</w:t>
            </w:r>
          </w:p>
        </w:tc>
        <w:tc>
          <w:tcPr>
            <w:tcW w:w="319" w:type="pct"/>
            <w:vAlign w:val="center"/>
          </w:tcPr>
          <w:p w14:paraId="5120F682">
            <w:pPr>
              <w:pStyle w:val="12"/>
              <w:jc w:val="center"/>
              <w:rPr>
                <w:rFonts w:ascii="宋体" w:hAnsi="宋体"/>
              </w:rPr>
            </w:pPr>
            <w:r>
              <w:rPr>
                <w:rFonts w:ascii="宋体" w:hAnsi="宋体"/>
              </w:rPr>
              <w:t>480</w:t>
            </w:r>
          </w:p>
        </w:tc>
      </w:tr>
      <w:tr w14:paraId="526F4A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 w:type="pct"/>
            <w:vAlign w:val="center"/>
          </w:tcPr>
          <w:p w14:paraId="162E5290">
            <w:pPr>
              <w:pStyle w:val="12"/>
              <w:jc w:val="center"/>
              <w:rPr>
                <w:rFonts w:ascii="宋体" w:hAnsi="宋体"/>
              </w:rPr>
            </w:pPr>
            <w:r>
              <w:rPr>
                <w:rFonts w:ascii="宋体" w:hAnsi="宋体"/>
              </w:rPr>
              <w:t>1998</w:t>
            </w:r>
          </w:p>
        </w:tc>
        <w:tc>
          <w:tcPr>
            <w:tcW w:w="372" w:type="pct"/>
            <w:vAlign w:val="center"/>
          </w:tcPr>
          <w:p w14:paraId="13FCBC0B">
            <w:pPr>
              <w:pStyle w:val="12"/>
              <w:jc w:val="center"/>
              <w:rPr>
                <w:rFonts w:ascii="宋体" w:hAnsi="宋体"/>
              </w:rPr>
            </w:pPr>
            <w:r>
              <w:rPr>
                <w:rFonts w:ascii="宋体" w:hAnsi="宋体"/>
              </w:rPr>
              <w:t>7011</w:t>
            </w:r>
          </w:p>
        </w:tc>
        <w:tc>
          <w:tcPr>
            <w:tcW w:w="319" w:type="pct"/>
            <w:vAlign w:val="center"/>
          </w:tcPr>
          <w:p w14:paraId="44ADAF73">
            <w:pPr>
              <w:pStyle w:val="12"/>
              <w:jc w:val="center"/>
              <w:rPr>
                <w:rFonts w:ascii="宋体" w:hAnsi="宋体"/>
              </w:rPr>
            </w:pPr>
            <w:r>
              <w:rPr>
                <w:rFonts w:ascii="宋体" w:hAnsi="宋体"/>
              </w:rPr>
              <w:t>1388</w:t>
            </w:r>
          </w:p>
        </w:tc>
        <w:tc>
          <w:tcPr>
            <w:tcW w:w="319" w:type="pct"/>
            <w:vAlign w:val="center"/>
          </w:tcPr>
          <w:p w14:paraId="35D8C427">
            <w:pPr>
              <w:pStyle w:val="12"/>
              <w:jc w:val="center"/>
              <w:rPr>
                <w:rFonts w:ascii="宋体" w:hAnsi="宋体"/>
              </w:rPr>
            </w:pPr>
            <w:r>
              <w:rPr>
                <w:rFonts w:ascii="宋体" w:hAnsi="宋体"/>
              </w:rPr>
              <w:t>8142</w:t>
            </w:r>
          </w:p>
        </w:tc>
        <w:tc>
          <w:tcPr>
            <w:tcW w:w="319" w:type="pct"/>
            <w:vAlign w:val="center"/>
          </w:tcPr>
          <w:p w14:paraId="2B6EF178">
            <w:pPr>
              <w:pStyle w:val="12"/>
              <w:jc w:val="center"/>
              <w:rPr>
                <w:rFonts w:ascii="宋体" w:hAnsi="宋体"/>
              </w:rPr>
            </w:pPr>
            <w:r>
              <w:rPr>
                <w:rFonts w:ascii="宋体" w:hAnsi="宋体"/>
              </w:rPr>
              <w:t>441</w:t>
            </w:r>
          </w:p>
        </w:tc>
        <w:tc>
          <w:tcPr>
            <w:tcW w:w="319" w:type="pct"/>
            <w:vAlign w:val="center"/>
          </w:tcPr>
          <w:p w14:paraId="5F9993A1">
            <w:pPr>
              <w:pStyle w:val="12"/>
              <w:jc w:val="center"/>
              <w:rPr>
                <w:rFonts w:ascii="宋体" w:hAnsi="宋体"/>
              </w:rPr>
            </w:pPr>
            <w:r>
              <w:rPr>
                <w:rFonts w:ascii="宋体" w:hAnsi="宋体"/>
              </w:rPr>
              <w:t>2345</w:t>
            </w:r>
          </w:p>
        </w:tc>
        <w:tc>
          <w:tcPr>
            <w:tcW w:w="319" w:type="pct"/>
            <w:vAlign w:val="center"/>
          </w:tcPr>
          <w:p w14:paraId="29F1128F">
            <w:pPr>
              <w:pStyle w:val="12"/>
              <w:jc w:val="center"/>
              <w:rPr>
                <w:rFonts w:ascii="宋体" w:hAnsi="宋体"/>
              </w:rPr>
            </w:pPr>
            <w:r>
              <w:rPr>
                <w:rFonts w:ascii="宋体" w:hAnsi="宋体"/>
              </w:rPr>
              <w:t>—</w:t>
            </w:r>
          </w:p>
        </w:tc>
        <w:tc>
          <w:tcPr>
            <w:tcW w:w="372" w:type="pct"/>
            <w:vAlign w:val="center"/>
          </w:tcPr>
          <w:p w14:paraId="729456C8">
            <w:pPr>
              <w:pStyle w:val="12"/>
              <w:jc w:val="center"/>
              <w:rPr>
                <w:rFonts w:ascii="宋体" w:hAnsi="宋体"/>
              </w:rPr>
            </w:pPr>
            <w:r>
              <w:rPr>
                <w:rFonts w:ascii="宋体" w:hAnsi="宋体"/>
              </w:rPr>
              <w:t>8556</w:t>
            </w:r>
          </w:p>
        </w:tc>
        <w:tc>
          <w:tcPr>
            <w:tcW w:w="372" w:type="pct"/>
            <w:vAlign w:val="center"/>
          </w:tcPr>
          <w:p w14:paraId="37FC8A3C">
            <w:pPr>
              <w:pStyle w:val="12"/>
              <w:jc w:val="center"/>
              <w:rPr>
                <w:rFonts w:ascii="宋体" w:hAnsi="宋体"/>
              </w:rPr>
            </w:pPr>
            <w:r>
              <w:rPr>
                <w:rFonts w:ascii="宋体" w:hAnsi="宋体"/>
              </w:rPr>
              <w:t>15592</w:t>
            </w:r>
          </w:p>
        </w:tc>
        <w:tc>
          <w:tcPr>
            <w:tcW w:w="319" w:type="pct"/>
            <w:vAlign w:val="center"/>
          </w:tcPr>
          <w:p w14:paraId="65198408">
            <w:pPr>
              <w:pStyle w:val="12"/>
              <w:jc w:val="center"/>
              <w:rPr>
                <w:rFonts w:ascii="宋体" w:hAnsi="宋体"/>
              </w:rPr>
            </w:pPr>
            <w:r>
              <w:rPr>
                <w:rFonts w:ascii="宋体" w:hAnsi="宋体"/>
              </w:rPr>
              <w:t>1334</w:t>
            </w:r>
          </w:p>
        </w:tc>
        <w:tc>
          <w:tcPr>
            <w:tcW w:w="372" w:type="pct"/>
            <w:vAlign w:val="center"/>
          </w:tcPr>
          <w:p w14:paraId="116B943B">
            <w:pPr>
              <w:pStyle w:val="12"/>
              <w:jc w:val="center"/>
              <w:rPr>
                <w:rFonts w:ascii="宋体" w:hAnsi="宋体"/>
              </w:rPr>
            </w:pPr>
            <w:r>
              <w:rPr>
                <w:rFonts w:ascii="宋体" w:hAnsi="宋体"/>
              </w:rPr>
              <w:t>6098</w:t>
            </w:r>
          </w:p>
        </w:tc>
        <w:tc>
          <w:tcPr>
            <w:tcW w:w="319" w:type="pct"/>
            <w:vAlign w:val="center"/>
          </w:tcPr>
          <w:p w14:paraId="649D6762">
            <w:pPr>
              <w:pStyle w:val="12"/>
              <w:jc w:val="center"/>
              <w:rPr>
                <w:rFonts w:ascii="宋体" w:hAnsi="宋体"/>
              </w:rPr>
            </w:pPr>
            <w:r>
              <w:rPr>
                <w:rFonts w:ascii="宋体" w:hAnsi="宋体"/>
              </w:rPr>
              <w:t>1729</w:t>
            </w:r>
          </w:p>
        </w:tc>
        <w:tc>
          <w:tcPr>
            <w:tcW w:w="319" w:type="pct"/>
            <w:vAlign w:val="center"/>
          </w:tcPr>
          <w:p w14:paraId="3EC2E305">
            <w:pPr>
              <w:pStyle w:val="12"/>
              <w:jc w:val="center"/>
              <w:rPr>
                <w:rFonts w:ascii="宋体" w:hAnsi="宋体"/>
              </w:rPr>
            </w:pPr>
            <w:r>
              <w:rPr>
                <w:rFonts w:ascii="宋体" w:hAnsi="宋体"/>
              </w:rPr>
              <w:t>2419</w:t>
            </w:r>
          </w:p>
        </w:tc>
        <w:tc>
          <w:tcPr>
            <w:tcW w:w="319" w:type="pct"/>
            <w:vAlign w:val="center"/>
          </w:tcPr>
          <w:p w14:paraId="1CB79FA4">
            <w:pPr>
              <w:pStyle w:val="12"/>
              <w:jc w:val="center"/>
              <w:rPr>
                <w:rFonts w:ascii="宋体" w:hAnsi="宋体"/>
              </w:rPr>
            </w:pPr>
            <w:r>
              <w:rPr>
                <w:rFonts w:ascii="宋体" w:hAnsi="宋体"/>
              </w:rPr>
              <w:t>4012</w:t>
            </w:r>
          </w:p>
        </w:tc>
        <w:tc>
          <w:tcPr>
            <w:tcW w:w="319" w:type="pct"/>
            <w:vAlign w:val="center"/>
          </w:tcPr>
          <w:p w14:paraId="61043529">
            <w:pPr>
              <w:pStyle w:val="12"/>
              <w:jc w:val="center"/>
              <w:rPr>
                <w:rFonts w:ascii="宋体" w:hAnsi="宋体"/>
              </w:rPr>
            </w:pPr>
            <w:r>
              <w:rPr>
                <w:rFonts w:ascii="宋体" w:hAnsi="宋体"/>
              </w:rPr>
              <w:t>498</w:t>
            </w:r>
          </w:p>
        </w:tc>
      </w:tr>
      <w:tr w14:paraId="598A0A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 w:type="pct"/>
            <w:vAlign w:val="center"/>
          </w:tcPr>
          <w:p w14:paraId="0D4BCB51">
            <w:pPr>
              <w:pStyle w:val="12"/>
              <w:jc w:val="center"/>
              <w:rPr>
                <w:rFonts w:ascii="宋体" w:hAnsi="宋体"/>
              </w:rPr>
            </w:pPr>
            <w:r>
              <w:rPr>
                <w:rFonts w:ascii="宋体" w:hAnsi="宋体"/>
              </w:rPr>
              <w:t>1999</w:t>
            </w:r>
          </w:p>
        </w:tc>
        <w:tc>
          <w:tcPr>
            <w:tcW w:w="372" w:type="pct"/>
            <w:vAlign w:val="center"/>
          </w:tcPr>
          <w:p w14:paraId="398F6BE7">
            <w:pPr>
              <w:pStyle w:val="12"/>
              <w:jc w:val="center"/>
              <w:rPr>
                <w:rFonts w:ascii="宋体" w:hAnsi="宋体"/>
              </w:rPr>
            </w:pPr>
            <w:r>
              <w:rPr>
                <w:rFonts w:ascii="宋体" w:hAnsi="宋体"/>
              </w:rPr>
              <w:t>7798</w:t>
            </w:r>
          </w:p>
        </w:tc>
        <w:tc>
          <w:tcPr>
            <w:tcW w:w="319" w:type="pct"/>
            <w:vAlign w:val="center"/>
          </w:tcPr>
          <w:p w14:paraId="70B1C1C2">
            <w:pPr>
              <w:pStyle w:val="12"/>
              <w:jc w:val="center"/>
              <w:rPr>
                <w:rFonts w:ascii="宋体" w:hAnsi="宋体"/>
              </w:rPr>
            </w:pPr>
            <w:r>
              <w:rPr>
                <w:rFonts w:ascii="宋体" w:hAnsi="宋体"/>
              </w:rPr>
              <w:t>1409</w:t>
            </w:r>
          </w:p>
        </w:tc>
        <w:tc>
          <w:tcPr>
            <w:tcW w:w="319" w:type="pct"/>
            <w:vAlign w:val="center"/>
          </w:tcPr>
          <w:p w14:paraId="616B5FEE">
            <w:pPr>
              <w:pStyle w:val="12"/>
              <w:jc w:val="center"/>
              <w:rPr>
                <w:rFonts w:ascii="宋体" w:hAnsi="宋体"/>
              </w:rPr>
            </w:pPr>
            <w:r>
              <w:rPr>
                <w:rFonts w:ascii="宋体" w:hAnsi="宋体"/>
              </w:rPr>
              <w:t>7749</w:t>
            </w:r>
          </w:p>
        </w:tc>
        <w:tc>
          <w:tcPr>
            <w:tcW w:w="319" w:type="pct"/>
            <w:vAlign w:val="center"/>
          </w:tcPr>
          <w:p w14:paraId="72A4BFA6">
            <w:pPr>
              <w:pStyle w:val="12"/>
              <w:jc w:val="center"/>
              <w:rPr>
                <w:rFonts w:ascii="宋体" w:hAnsi="宋体"/>
              </w:rPr>
            </w:pPr>
            <w:r>
              <w:rPr>
                <w:rFonts w:ascii="宋体" w:hAnsi="宋体"/>
              </w:rPr>
              <w:t>539</w:t>
            </w:r>
          </w:p>
        </w:tc>
        <w:tc>
          <w:tcPr>
            <w:tcW w:w="319" w:type="pct"/>
            <w:vAlign w:val="center"/>
          </w:tcPr>
          <w:p w14:paraId="65544CFD">
            <w:pPr>
              <w:pStyle w:val="12"/>
              <w:jc w:val="center"/>
              <w:rPr>
                <w:rFonts w:ascii="宋体" w:hAnsi="宋体"/>
              </w:rPr>
            </w:pPr>
            <w:r>
              <w:rPr>
                <w:rFonts w:ascii="宋体" w:hAnsi="宋体"/>
              </w:rPr>
              <w:t>2835</w:t>
            </w:r>
          </w:p>
        </w:tc>
        <w:tc>
          <w:tcPr>
            <w:tcW w:w="319" w:type="pct"/>
            <w:vAlign w:val="center"/>
          </w:tcPr>
          <w:p w14:paraId="22D966D3">
            <w:pPr>
              <w:pStyle w:val="12"/>
              <w:jc w:val="center"/>
              <w:rPr>
                <w:rFonts w:ascii="宋体" w:hAnsi="宋体"/>
              </w:rPr>
            </w:pPr>
            <w:r>
              <w:rPr>
                <w:rFonts w:ascii="宋体" w:hAnsi="宋体"/>
              </w:rPr>
              <w:t>—</w:t>
            </w:r>
          </w:p>
        </w:tc>
        <w:tc>
          <w:tcPr>
            <w:tcW w:w="372" w:type="pct"/>
            <w:vAlign w:val="center"/>
          </w:tcPr>
          <w:p w14:paraId="3D226424">
            <w:pPr>
              <w:pStyle w:val="12"/>
              <w:jc w:val="center"/>
              <w:rPr>
                <w:rFonts w:ascii="宋体" w:hAnsi="宋体"/>
              </w:rPr>
            </w:pPr>
            <w:r>
              <w:rPr>
                <w:rFonts w:ascii="宋体" w:hAnsi="宋体"/>
              </w:rPr>
              <w:t>9227</w:t>
            </w:r>
          </w:p>
        </w:tc>
        <w:tc>
          <w:tcPr>
            <w:tcW w:w="372" w:type="pct"/>
            <w:vAlign w:val="center"/>
          </w:tcPr>
          <w:p w14:paraId="45891B9E">
            <w:pPr>
              <w:pStyle w:val="12"/>
              <w:jc w:val="center"/>
              <w:rPr>
                <w:rFonts w:ascii="宋体" w:hAnsi="宋体"/>
              </w:rPr>
            </w:pPr>
            <w:r>
              <w:rPr>
                <w:rFonts w:ascii="宋体" w:hAnsi="宋体"/>
              </w:rPr>
              <w:t>16215</w:t>
            </w:r>
          </w:p>
        </w:tc>
        <w:tc>
          <w:tcPr>
            <w:tcW w:w="319" w:type="pct"/>
            <w:vAlign w:val="center"/>
          </w:tcPr>
          <w:p w14:paraId="3DB84FBA">
            <w:pPr>
              <w:pStyle w:val="12"/>
              <w:jc w:val="center"/>
              <w:rPr>
                <w:rFonts w:ascii="宋体" w:hAnsi="宋体"/>
              </w:rPr>
            </w:pPr>
            <w:r>
              <w:rPr>
                <w:rFonts w:ascii="宋体" w:hAnsi="宋体"/>
              </w:rPr>
              <w:t>1226</w:t>
            </w:r>
          </w:p>
        </w:tc>
        <w:tc>
          <w:tcPr>
            <w:tcW w:w="372" w:type="pct"/>
            <w:vAlign w:val="center"/>
          </w:tcPr>
          <w:p w14:paraId="66D461BD">
            <w:pPr>
              <w:pStyle w:val="12"/>
              <w:jc w:val="center"/>
              <w:rPr>
                <w:rFonts w:ascii="宋体" w:hAnsi="宋体"/>
              </w:rPr>
            </w:pPr>
            <w:r>
              <w:rPr>
                <w:rFonts w:ascii="宋体" w:hAnsi="宋体"/>
              </w:rPr>
              <w:t>6527</w:t>
            </w:r>
          </w:p>
        </w:tc>
        <w:tc>
          <w:tcPr>
            <w:tcW w:w="319" w:type="pct"/>
            <w:vAlign w:val="center"/>
          </w:tcPr>
          <w:p w14:paraId="735FFB63">
            <w:pPr>
              <w:pStyle w:val="12"/>
              <w:jc w:val="center"/>
              <w:rPr>
                <w:rFonts w:ascii="宋体" w:hAnsi="宋体"/>
              </w:rPr>
            </w:pPr>
            <w:r>
              <w:rPr>
                <w:rFonts w:ascii="宋体" w:hAnsi="宋体"/>
              </w:rPr>
              <w:t>2245</w:t>
            </w:r>
          </w:p>
        </w:tc>
        <w:tc>
          <w:tcPr>
            <w:tcW w:w="319" w:type="pct"/>
            <w:vAlign w:val="center"/>
          </w:tcPr>
          <w:p w14:paraId="37BEDE73">
            <w:pPr>
              <w:pStyle w:val="12"/>
              <w:jc w:val="center"/>
              <w:rPr>
                <w:rFonts w:ascii="宋体" w:hAnsi="宋体"/>
              </w:rPr>
            </w:pPr>
            <w:r>
              <w:rPr>
                <w:rFonts w:ascii="宋体" w:hAnsi="宋体"/>
              </w:rPr>
              <w:t>2454</w:t>
            </w:r>
          </w:p>
        </w:tc>
        <w:tc>
          <w:tcPr>
            <w:tcW w:w="319" w:type="pct"/>
            <w:vAlign w:val="center"/>
          </w:tcPr>
          <w:p w14:paraId="57DA152E">
            <w:pPr>
              <w:pStyle w:val="12"/>
              <w:jc w:val="center"/>
              <w:rPr>
                <w:rFonts w:ascii="宋体" w:hAnsi="宋体"/>
              </w:rPr>
            </w:pPr>
            <w:r>
              <w:rPr>
                <w:rFonts w:ascii="宋体" w:hAnsi="宋体"/>
              </w:rPr>
              <w:t>3763</w:t>
            </w:r>
          </w:p>
        </w:tc>
        <w:tc>
          <w:tcPr>
            <w:tcW w:w="319" w:type="pct"/>
            <w:vAlign w:val="center"/>
          </w:tcPr>
          <w:p w14:paraId="5EB3C996">
            <w:pPr>
              <w:pStyle w:val="12"/>
              <w:jc w:val="center"/>
              <w:rPr>
                <w:rFonts w:ascii="宋体" w:hAnsi="宋体"/>
              </w:rPr>
            </w:pPr>
            <w:r>
              <w:rPr>
                <w:rFonts w:ascii="宋体" w:hAnsi="宋体"/>
              </w:rPr>
              <w:t>707</w:t>
            </w:r>
          </w:p>
        </w:tc>
      </w:tr>
      <w:tr w14:paraId="5F0472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 w:type="pct"/>
            <w:vAlign w:val="center"/>
          </w:tcPr>
          <w:p w14:paraId="4EC05A26">
            <w:pPr>
              <w:pStyle w:val="12"/>
              <w:jc w:val="center"/>
              <w:rPr>
                <w:rFonts w:ascii="宋体" w:hAnsi="宋体"/>
              </w:rPr>
            </w:pPr>
            <w:r>
              <w:rPr>
                <w:rFonts w:ascii="宋体" w:hAnsi="宋体"/>
              </w:rPr>
              <w:t>2000</w:t>
            </w:r>
          </w:p>
        </w:tc>
        <w:tc>
          <w:tcPr>
            <w:tcW w:w="372" w:type="pct"/>
            <w:vAlign w:val="center"/>
          </w:tcPr>
          <w:p w14:paraId="7EC62299">
            <w:pPr>
              <w:pStyle w:val="12"/>
              <w:jc w:val="center"/>
              <w:rPr>
                <w:rFonts w:ascii="宋体" w:hAnsi="宋体"/>
              </w:rPr>
            </w:pPr>
            <w:r>
              <w:rPr>
                <w:rFonts w:ascii="宋体" w:hAnsi="宋体"/>
              </w:rPr>
              <w:t>7854</w:t>
            </w:r>
          </w:p>
        </w:tc>
        <w:tc>
          <w:tcPr>
            <w:tcW w:w="319" w:type="pct"/>
            <w:vAlign w:val="center"/>
          </w:tcPr>
          <w:p w14:paraId="605683A2">
            <w:pPr>
              <w:pStyle w:val="12"/>
              <w:jc w:val="center"/>
              <w:rPr>
                <w:rFonts w:ascii="宋体" w:hAnsi="宋体"/>
              </w:rPr>
            </w:pPr>
            <w:r>
              <w:rPr>
                <w:rFonts w:ascii="宋体" w:hAnsi="宋体"/>
              </w:rPr>
              <w:t>1807</w:t>
            </w:r>
          </w:p>
        </w:tc>
        <w:tc>
          <w:tcPr>
            <w:tcW w:w="319" w:type="pct"/>
            <w:vAlign w:val="center"/>
          </w:tcPr>
          <w:p w14:paraId="0B86BE92">
            <w:pPr>
              <w:pStyle w:val="12"/>
              <w:jc w:val="center"/>
              <w:rPr>
                <w:rFonts w:ascii="宋体" w:hAnsi="宋体"/>
              </w:rPr>
            </w:pPr>
            <w:r>
              <w:rPr>
                <w:rFonts w:ascii="宋体" w:hAnsi="宋体"/>
              </w:rPr>
              <w:t>7596</w:t>
            </w:r>
          </w:p>
        </w:tc>
        <w:tc>
          <w:tcPr>
            <w:tcW w:w="319" w:type="pct"/>
            <w:vAlign w:val="center"/>
          </w:tcPr>
          <w:p w14:paraId="539135C3">
            <w:pPr>
              <w:pStyle w:val="12"/>
              <w:jc w:val="center"/>
              <w:rPr>
                <w:rFonts w:ascii="宋体" w:hAnsi="宋体"/>
              </w:rPr>
            </w:pPr>
            <w:r>
              <w:rPr>
                <w:rFonts w:ascii="宋体" w:hAnsi="宋体"/>
              </w:rPr>
              <w:t>574</w:t>
            </w:r>
          </w:p>
        </w:tc>
        <w:tc>
          <w:tcPr>
            <w:tcW w:w="319" w:type="pct"/>
            <w:vAlign w:val="center"/>
          </w:tcPr>
          <w:p w14:paraId="216895A0">
            <w:pPr>
              <w:pStyle w:val="12"/>
              <w:jc w:val="center"/>
              <w:rPr>
                <w:rFonts w:ascii="宋体" w:hAnsi="宋体"/>
              </w:rPr>
            </w:pPr>
            <w:r>
              <w:rPr>
                <w:rFonts w:ascii="宋体" w:hAnsi="宋体"/>
              </w:rPr>
              <w:t>2305</w:t>
            </w:r>
          </w:p>
        </w:tc>
        <w:tc>
          <w:tcPr>
            <w:tcW w:w="319" w:type="pct"/>
            <w:vAlign w:val="center"/>
          </w:tcPr>
          <w:p w14:paraId="7F25F617">
            <w:pPr>
              <w:pStyle w:val="12"/>
              <w:jc w:val="center"/>
              <w:rPr>
                <w:rFonts w:ascii="宋体" w:hAnsi="宋体"/>
              </w:rPr>
            </w:pPr>
            <w:r>
              <w:rPr>
                <w:rFonts w:ascii="宋体" w:hAnsi="宋体"/>
              </w:rPr>
              <w:t>—</w:t>
            </w:r>
          </w:p>
        </w:tc>
        <w:tc>
          <w:tcPr>
            <w:tcW w:w="372" w:type="pct"/>
            <w:vAlign w:val="center"/>
          </w:tcPr>
          <w:p w14:paraId="25D5E2DC">
            <w:pPr>
              <w:pStyle w:val="12"/>
              <w:jc w:val="center"/>
              <w:rPr>
                <w:rFonts w:ascii="宋体" w:hAnsi="宋体"/>
              </w:rPr>
            </w:pPr>
            <w:r>
              <w:rPr>
                <w:rFonts w:ascii="宋体" w:hAnsi="宋体"/>
              </w:rPr>
              <w:t>9258</w:t>
            </w:r>
          </w:p>
        </w:tc>
        <w:tc>
          <w:tcPr>
            <w:tcW w:w="372" w:type="pct"/>
            <w:vAlign w:val="center"/>
          </w:tcPr>
          <w:p w14:paraId="2C149EE5">
            <w:pPr>
              <w:pStyle w:val="12"/>
              <w:jc w:val="center"/>
              <w:rPr>
                <w:rFonts w:ascii="宋体" w:hAnsi="宋体"/>
              </w:rPr>
            </w:pPr>
            <w:r>
              <w:rPr>
                <w:rFonts w:ascii="宋体" w:hAnsi="宋体"/>
              </w:rPr>
              <w:t>17177</w:t>
            </w:r>
          </w:p>
        </w:tc>
        <w:tc>
          <w:tcPr>
            <w:tcW w:w="319" w:type="pct"/>
            <w:vAlign w:val="center"/>
          </w:tcPr>
          <w:p w14:paraId="247BF20D">
            <w:pPr>
              <w:pStyle w:val="12"/>
              <w:jc w:val="center"/>
              <w:rPr>
                <w:rFonts w:ascii="宋体" w:hAnsi="宋体"/>
              </w:rPr>
            </w:pPr>
            <w:r>
              <w:rPr>
                <w:rFonts w:ascii="宋体" w:hAnsi="宋体"/>
              </w:rPr>
              <w:t>1846</w:t>
            </w:r>
          </w:p>
        </w:tc>
        <w:tc>
          <w:tcPr>
            <w:tcW w:w="372" w:type="pct"/>
            <w:vAlign w:val="center"/>
          </w:tcPr>
          <w:p w14:paraId="0205D417">
            <w:pPr>
              <w:pStyle w:val="12"/>
              <w:jc w:val="center"/>
              <w:rPr>
                <w:rFonts w:ascii="宋体" w:hAnsi="宋体"/>
              </w:rPr>
            </w:pPr>
            <w:r>
              <w:rPr>
                <w:rFonts w:ascii="宋体" w:hAnsi="宋体"/>
              </w:rPr>
              <w:t>6873</w:t>
            </w:r>
          </w:p>
        </w:tc>
        <w:tc>
          <w:tcPr>
            <w:tcW w:w="319" w:type="pct"/>
            <w:vAlign w:val="center"/>
          </w:tcPr>
          <w:p w14:paraId="5513C077">
            <w:pPr>
              <w:pStyle w:val="12"/>
              <w:jc w:val="center"/>
              <w:rPr>
                <w:rFonts w:ascii="宋体" w:hAnsi="宋体"/>
              </w:rPr>
            </w:pPr>
            <w:r>
              <w:rPr>
                <w:rFonts w:ascii="宋体" w:hAnsi="宋体"/>
              </w:rPr>
              <w:t>2392</w:t>
            </w:r>
          </w:p>
        </w:tc>
        <w:tc>
          <w:tcPr>
            <w:tcW w:w="319" w:type="pct"/>
            <w:vAlign w:val="center"/>
          </w:tcPr>
          <w:p w14:paraId="5CDDFB96">
            <w:pPr>
              <w:pStyle w:val="12"/>
              <w:jc w:val="center"/>
              <w:rPr>
                <w:rFonts w:ascii="宋体" w:hAnsi="宋体"/>
              </w:rPr>
            </w:pPr>
            <w:r>
              <w:rPr>
                <w:rFonts w:ascii="宋体" w:hAnsi="宋体"/>
              </w:rPr>
              <w:t>2647</w:t>
            </w:r>
          </w:p>
        </w:tc>
        <w:tc>
          <w:tcPr>
            <w:tcW w:w="319" w:type="pct"/>
            <w:vAlign w:val="center"/>
          </w:tcPr>
          <w:p w14:paraId="21CA6D3C">
            <w:pPr>
              <w:pStyle w:val="12"/>
              <w:jc w:val="center"/>
              <w:rPr>
                <w:rFonts w:ascii="宋体" w:hAnsi="宋体"/>
              </w:rPr>
            </w:pPr>
            <w:r>
              <w:rPr>
                <w:rFonts w:ascii="宋体" w:hAnsi="宋体"/>
              </w:rPr>
              <w:t>3419</w:t>
            </w:r>
          </w:p>
        </w:tc>
        <w:tc>
          <w:tcPr>
            <w:tcW w:w="319" w:type="pct"/>
            <w:vAlign w:val="center"/>
          </w:tcPr>
          <w:p w14:paraId="58DE3761">
            <w:pPr>
              <w:pStyle w:val="12"/>
              <w:jc w:val="center"/>
              <w:rPr>
                <w:rFonts w:ascii="宋体" w:hAnsi="宋体"/>
              </w:rPr>
            </w:pPr>
            <w:r>
              <w:rPr>
                <w:rFonts w:ascii="宋体" w:hAnsi="宋体"/>
              </w:rPr>
              <w:t>722</w:t>
            </w:r>
          </w:p>
        </w:tc>
      </w:tr>
      <w:tr w14:paraId="543A67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 w:type="pct"/>
            <w:vAlign w:val="center"/>
          </w:tcPr>
          <w:p w14:paraId="0E40157E">
            <w:pPr>
              <w:pStyle w:val="12"/>
              <w:jc w:val="center"/>
              <w:rPr>
                <w:rFonts w:ascii="宋体" w:hAnsi="宋体"/>
              </w:rPr>
            </w:pPr>
            <w:r>
              <w:rPr>
                <w:rFonts w:ascii="宋体" w:hAnsi="宋体"/>
              </w:rPr>
              <w:t>2001</w:t>
            </w:r>
          </w:p>
        </w:tc>
        <w:tc>
          <w:tcPr>
            <w:tcW w:w="372" w:type="pct"/>
            <w:vAlign w:val="center"/>
          </w:tcPr>
          <w:p w14:paraId="4B9CEF4E">
            <w:pPr>
              <w:pStyle w:val="12"/>
              <w:jc w:val="center"/>
              <w:rPr>
                <w:rFonts w:ascii="宋体" w:hAnsi="宋体"/>
              </w:rPr>
            </w:pPr>
            <w:r>
              <w:rPr>
                <w:rFonts w:ascii="宋体" w:hAnsi="宋体"/>
              </w:rPr>
              <w:t>8355</w:t>
            </w:r>
          </w:p>
        </w:tc>
        <w:tc>
          <w:tcPr>
            <w:tcW w:w="319" w:type="pct"/>
            <w:vAlign w:val="center"/>
          </w:tcPr>
          <w:p w14:paraId="4C9483BE">
            <w:pPr>
              <w:pStyle w:val="12"/>
              <w:jc w:val="center"/>
              <w:rPr>
                <w:rFonts w:ascii="宋体" w:hAnsi="宋体"/>
              </w:rPr>
            </w:pPr>
            <w:r>
              <w:rPr>
                <w:rFonts w:ascii="宋体" w:hAnsi="宋体"/>
              </w:rPr>
              <w:t>1800</w:t>
            </w:r>
          </w:p>
        </w:tc>
        <w:tc>
          <w:tcPr>
            <w:tcW w:w="319" w:type="pct"/>
            <w:vAlign w:val="center"/>
          </w:tcPr>
          <w:p w14:paraId="49531AE5">
            <w:pPr>
              <w:pStyle w:val="12"/>
              <w:jc w:val="center"/>
              <w:rPr>
                <w:rFonts w:ascii="宋体" w:hAnsi="宋体"/>
              </w:rPr>
            </w:pPr>
            <w:r>
              <w:rPr>
                <w:rFonts w:ascii="宋体" w:hAnsi="宋体"/>
              </w:rPr>
              <w:t>3912</w:t>
            </w:r>
          </w:p>
        </w:tc>
        <w:tc>
          <w:tcPr>
            <w:tcW w:w="319" w:type="pct"/>
            <w:vAlign w:val="center"/>
          </w:tcPr>
          <w:p w14:paraId="13F5319E">
            <w:pPr>
              <w:pStyle w:val="12"/>
              <w:jc w:val="center"/>
              <w:rPr>
                <w:rFonts w:ascii="宋体" w:hAnsi="宋体"/>
              </w:rPr>
            </w:pPr>
            <w:r>
              <w:rPr>
                <w:rFonts w:ascii="宋体" w:hAnsi="宋体"/>
              </w:rPr>
              <w:t>629</w:t>
            </w:r>
          </w:p>
        </w:tc>
        <w:tc>
          <w:tcPr>
            <w:tcW w:w="319" w:type="pct"/>
            <w:vAlign w:val="center"/>
          </w:tcPr>
          <w:p w14:paraId="75A645F5">
            <w:pPr>
              <w:pStyle w:val="12"/>
              <w:jc w:val="center"/>
              <w:rPr>
                <w:rFonts w:ascii="宋体" w:hAnsi="宋体"/>
              </w:rPr>
            </w:pPr>
            <w:r>
              <w:rPr>
                <w:rFonts w:ascii="宋体" w:hAnsi="宋体"/>
              </w:rPr>
              <w:t>2399</w:t>
            </w:r>
          </w:p>
        </w:tc>
        <w:tc>
          <w:tcPr>
            <w:tcW w:w="319" w:type="pct"/>
            <w:vAlign w:val="center"/>
          </w:tcPr>
          <w:p w14:paraId="14645EB0">
            <w:pPr>
              <w:pStyle w:val="12"/>
              <w:jc w:val="center"/>
              <w:rPr>
                <w:rFonts w:ascii="宋体" w:hAnsi="宋体"/>
              </w:rPr>
            </w:pPr>
            <w:r>
              <w:rPr>
                <w:rFonts w:ascii="宋体" w:hAnsi="宋体"/>
              </w:rPr>
              <w:t>—</w:t>
            </w:r>
          </w:p>
        </w:tc>
        <w:tc>
          <w:tcPr>
            <w:tcW w:w="372" w:type="pct"/>
            <w:vAlign w:val="center"/>
          </w:tcPr>
          <w:p w14:paraId="6382211F">
            <w:pPr>
              <w:pStyle w:val="12"/>
              <w:jc w:val="center"/>
              <w:rPr>
                <w:rFonts w:ascii="宋体" w:hAnsi="宋体"/>
              </w:rPr>
            </w:pPr>
            <w:r>
              <w:rPr>
                <w:rFonts w:ascii="宋体" w:hAnsi="宋体"/>
              </w:rPr>
              <w:t>13033</w:t>
            </w:r>
          </w:p>
        </w:tc>
        <w:tc>
          <w:tcPr>
            <w:tcW w:w="372" w:type="pct"/>
            <w:vAlign w:val="center"/>
          </w:tcPr>
          <w:p w14:paraId="14183435">
            <w:pPr>
              <w:pStyle w:val="12"/>
              <w:jc w:val="center"/>
              <w:rPr>
                <w:rFonts w:ascii="宋体" w:hAnsi="宋体"/>
              </w:rPr>
            </w:pPr>
            <w:r>
              <w:rPr>
                <w:rFonts w:ascii="宋体" w:hAnsi="宋体"/>
              </w:rPr>
              <w:t>19096</w:t>
            </w:r>
          </w:p>
        </w:tc>
        <w:tc>
          <w:tcPr>
            <w:tcW w:w="319" w:type="pct"/>
            <w:vAlign w:val="center"/>
          </w:tcPr>
          <w:p w14:paraId="69622AC7">
            <w:pPr>
              <w:pStyle w:val="12"/>
              <w:jc w:val="center"/>
              <w:rPr>
                <w:rFonts w:ascii="宋体" w:hAnsi="宋体"/>
              </w:rPr>
            </w:pPr>
            <w:r>
              <w:rPr>
                <w:rFonts w:ascii="宋体" w:hAnsi="宋体"/>
              </w:rPr>
              <w:t>1551</w:t>
            </w:r>
          </w:p>
        </w:tc>
        <w:tc>
          <w:tcPr>
            <w:tcW w:w="372" w:type="pct"/>
            <w:vAlign w:val="center"/>
          </w:tcPr>
          <w:p w14:paraId="2159DC64">
            <w:pPr>
              <w:pStyle w:val="12"/>
              <w:jc w:val="center"/>
              <w:rPr>
                <w:rFonts w:ascii="宋体" w:hAnsi="宋体"/>
              </w:rPr>
            </w:pPr>
            <w:r>
              <w:rPr>
                <w:rFonts w:ascii="宋体" w:hAnsi="宋体"/>
              </w:rPr>
              <w:t>7498</w:t>
            </w:r>
          </w:p>
        </w:tc>
        <w:tc>
          <w:tcPr>
            <w:tcW w:w="319" w:type="pct"/>
            <w:vAlign w:val="center"/>
          </w:tcPr>
          <w:p w14:paraId="4B233F6A">
            <w:pPr>
              <w:pStyle w:val="12"/>
              <w:jc w:val="center"/>
              <w:rPr>
                <w:rFonts w:ascii="宋体" w:hAnsi="宋体"/>
              </w:rPr>
            </w:pPr>
            <w:r>
              <w:rPr>
                <w:rFonts w:ascii="宋体" w:hAnsi="宋体"/>
              </w:rPr>
              <w:t>2809</w:t>
            </w:r>
          </w:p>
        </w:tc>
        <w:tc>
          <w:tcPr>
            <w:tcW w:w="319" w:type="pct"/>
            <w:vAlign w:val="center"/>
          </w:tcPr>
          <w:p w14:paraId="78FAFA0F">
            <w:pPr>
              <w:pStyle w:val="12"/>
              <w:jc w:val="center"/>
              <w:rPr>
                <w:rFonts w:ascii="宋体" w:hAnsi="宋体"/>
              </w:rPr>
            </w:pPr>
            <w:r>
              <w:rPr>
                <w:rFonts w:ascii="宋体" w:hAnsi="宋体"/>
              </w:rPr>
              <w:t>3164</w:t>
            </w:r>
          </w:p>
        </w:tc>
        <w:tc>
          <w:tcPr>
            <w:tcW w:w="319" w:type="pct"/>
            <w:vAlign w:val="center"/>
          </w:tcPr>
          <w:p w14:paraId="0CC37242">
            <w:pPr>
              <w:pStyle w:val="12"/>
              <w:jc w:val="center"/>
              <w:rPr>
                <w:rFonts w:ascii="宋体" w:hAnsi="宋体"/>
              </w:rPr>
            </w:pPr>
            <w:r>
              <w:rPr>
                <w:rFonts w:ascii="宋体" w:hAnsi="宋体"/>
              </w:rPr>
              <w:t>4074</w:t>
            </w:r>
          </w:p>
        </w:tc>
        <w:tc>
          <w:tcPr>
            <w:tcW w:w="319" w:type="pct"/>
            <w:vAlign w:val="center"/>
          </w:tcPr>
          <w:p w14:paraId="01D70878">
            <w:pPr>
              <w:pStyle w:val="12"/>
              <w:jc w:val="center"/>
              <w:rPr>
                <w:rFonts w:ascii="宋体" w:hAnsi="宋体"/>
              </w:rPr>
            </w:pPr>
            <w:r>
              <w:rPr>
                <w:rFonts w:ascii="宋体" w:hAnsi="宋体"/>
              </w:rPr>
              <w:t>777</w:t>
            </w:r>
          </w:p>
        </w:tc>
      </w:tr>
      <w:tr w14:paraId="710D46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 w:type="pct"/>
            <w:vAlign w:val="center"/>
          </w:tcPr>
          <w:p w14:paraId="2E6B638A">
            <w:pPr>
              <w:pStyle w:val="12"/>
              <w:jc w:val="center"/>
              <w:rPr>
                <w:rFonts w:ascii="宋体" w:hAnsi="宋体"/>
              </w:rPr>
            </w:pPr>
            <w:r>
              <w:rPr>
                <w:rFonts w:ascii="宋体" w:hAnsi="宋体"/>
              </w:rPr>
              <w:t>2002</w:t>
            </w:r>
          </w:p>
        </w:tc>
        <w:tc>
          <w:tcPr>
            <w:tcW w:w="372" w:type="pct"/>
            <w:vAlign w:val="center"/>
          </w:tcPr>
          <w:p w14:paraId="023CD924">
            <w:pPr>
              <w:pStyle w:val="12"/>
              <w:jc w:val="center"/>
              <w:rPr>
                <w:rFonts w:ascii="宋体" w:hAnsi="宋体"/>
              </w:rPr>
            </w:pPr>
            <w:r>
              <w:rPr>
                <w:rFonts w:ascii="宋体" w:hAnsi="宋体"/>
              </w:rPr>
              <w:t>6913</w:t>
            </w:r>
          </w:p>
        </w:tc>
        <w:tc>
          <w:tcPr>
            <w:tcW w:w="319" w:type="pct"/>
            <w:vAlign w:val="center"/>
          </w:tcPr>
          <w:p w14:paraId="24CE8C53">
            <w:pPr>
              <w:pStyle w:val="12"/>
              <w:jc w:val="center"/>
              <w:rPr>
                <w:rFonts w:ascii="宋体" w:hAnsi="宋体"/>
              </w:rPr>
            </w:pPr>
            <w:r>
              <w:rPr>
                <w:rFonts w:ascii="宋体" w:hAnsi="宋体"/>
              </w:rPr>
              <w:t>1495</w:t>
            </w:r>
          </w:p>
        </w:tc>
        <w:tc>
          <w:tcPr>
            <w:tcW w:w="319" w:type="pct"/>
            <w:vAlign w:val="center"/>
          </w:tcPr>
          <w:p w14:paraId="187AD121">
            <w:pPr>
              <w:pStyle w:val="12"/>
              <w:jc w:val="center"/>
              <w:rPr>
                <w:rFonts w:ascii="宋体" w:hAnsi="宋体"/>
              </w:rPr>
            </w:pPr>
            <w:r>
              <w:rPr>
                <w:rFonts w:ascii="宋体" w:hAnsi="宋体"/>
              </w:rPr>
              <w:t>1</w:t>
            </w:r>
          </w:p>
        </w:tc>
        <w:tc>
          <w:tcPr>
            <w:tcW w:w="319" w:type="pct"/>
            <w:vAlign w:val="center"/>
          </w:tcPr>
          <w:p w14:paraId="3441E116">
            <w:pPr>
              <w:pStyle w:val="12"/>
              <w:jc w:val="center"/>
              <w:rPr>
                <w:rFonts w:ascii="宋体" w:hAnsi="宋体"/>
              </w:rPr>
            </w:pPr>
            <w:r>
              <w:rPr>
                <w:rFonts w:ascii="宋体" w:hAnsi="宋体"/>
              </w:rPr>
              <w:t>769</w:t>
            </w:r>
          </w:p>
        </w:tc>
        <w:tc>
          <w:tcPr>
            <w:tcW w:w="319" w:type="pct"/>
            <w:vAlign w:val="center"/>
          </w:tcPr>
          <w:p w14:paraId="079A6A76">
            <w:pPr>
              <w:pStyle w:val="12"/>
              <w:jc w:val="center"/>
              <w:rPr>
                <w:rFonts w:ascii="宋体" w:hAnsi="宋体"/>
              </w:rPr>
            </w:pPr>
            <w:r>
              <w:rPr>
                <w:rFonts w:ascii="宋体" w:hAnsi="宋体"/>
              </w:rPr>
              <w:t>2665</w:t>
            </w:r>
          </w:p>
        </w:tc>
        <w:tc>
          <w:tcPr>
            <w:tcW w:w="319" w:type="pct"/>
            <w:vAlign w:val="center"/>
          </w:tcPr>
          <w:p w14:paraId="417C7263">
            <w:pPr>
              <w:pStyle w:val="12"/>
              <w:jc w:val="center"/>
              <w:rPr>
                <w:rFonts w:ascii="宋体" w:hAnsi="宋体"/>
              </w:rPr>
            </w:pPr>
            <w:r>
              <w:rPr>
                <w:rFonts w:ascii="宋体" w:hAnsi="宋体"/>
              </w:rPr>
              <w:t>—</w:t>
            </w:r>
          </w:p>
        </w:tc>
        <w:tc>
          <w:tcPr>
            <w:tcW w:w="372" w:type="pct"/>
            <w:vAlign w:val="center"/>
          </w:tcPr>
          <w:p w14:paraId="15BE0B14">
            <w:pPr>
              <w:pStyle w:val="12"/>
              <w:jc w:val="center"/>
              <w:rPr>
                <w:rFonts w:ascii="宋体" w:hAnsi="宋体"/>
              </w:rPr>
            </w:pPr>
            <w:r>
              <w:rPr>
                <w:rFonts w:ascii="宋体" w:hAnsi="宋体"/>
              </w:rPr>
              <w:t>15703</w:t>
            </w:r>
          </w:p>
        </w:tc>
        <w:tc>
          <w:tcPr>
            <w:tcW w:w="372" w:type="pct"/>
            <w:vAlign w:val="center"/>
          </w:tcPr>
          <w:p w14:paraId="6C937CC3">
            <w:pPr>
              <w:pStyle w:val="12"/>
              <w:jc w:val="center"/>
              <w:rPr>
                <w:rFonts w:ascii="宋体" w:hAnsi="宋体"/>
              </w:rPr>
            </w:pPr>
            <w:r>
              <w:rPr>
                <w:rFonts w:ascii="宋体" w:hAnsi="宋体"/>
              </w:rPr>
              <w:t>23581</w:t>
            </w:r>
          </w:p>
        </w:tc>
        <w:tc>
          <w:tcPr>
            <w:tcW w:w="319" w:type="pct"/>
            <w:vAlign w:val="center"/>
          </w:tcPr>
          <w:p w14:paraId="527BE918">
            <w:pPr>
              <w:pStyle w:val="12"/>
              <w:jc w:val="center"/>
              <w:rPr>
                <w:rFonts w:ascii="宋体" w:hAnsi="宋体"/>
              </w:rPr>
            </w:pPr>
            <w:r>
              <w:rPr>
                <w:rFonts w:ascii="宋体" w:hAnsi="宋体"/>
              </w:rPr>
              <w:t>1493</w:t>
            </w:r>
          </w:p>
        </w:tc>
        <w:tc>
          <w:tcPr>
            <w:tcW w:w="372" w:type="pct"/>
            <w:vAlign w:val="center"/>
          </w:tcPr>
          <w:p w14:paraId="50EBFE45">
            <w:pPr>
              <w:pStyle w:val="12"/>
              <w:jc w:val="center"/>
              <w:rPr>
                <w:rFonts w:ascii="宋体" w:hAnsi="宋体"/>
              </w:rPr>
            </w:pPr>
            <w:r>
              <w:rPr>
                <w:rFonts w:ascii="宋体" w:hAnsi="宋体"/>
              </w:rPr>
              <w:t>10983</w:t>
            </w:r>
          </w:p>
        </w:tc>
        <w:tc>
          <w:tcPr>
            <w:tcW w:w="319" w:type="pct"/>
            <w:vAlign w:val="center"/>
          </w:tcPr>
          <w:p w14:paraId="3B4E848B">
            <w:pPr>
              <w:pStyle w:val="12"/>
              <w:jc w:val="center"/>
              <w:rPr>
                <w:rFonts w:ascii="宋体" w:hAnsi="宋体"/>
              </w:rPr>
            </w:pPr>
            <w:r>
              <w:rPr>
                <w:rFonts w:ascii="宋体" w:hAnsi="宋体"/>
              </w:rPr>
              <w:t>3750</w:t>
            </w:r>
          </w:p>
        </w:tc>
        <w:tc>
          <w:tcPr>
            <w:tcW w:w="319" w:type="pct"/>
            <w:vAlign w:val="center"/>
          </w:tcPr>
          <w:p w14:paraId="3F04294B">
            <w:pPr>
              <w:pStyle w:val="12"/>
              <w:jc w:val="center"/>
              <w:rPr>
                <w:rFonts w:ascii="宋体" w:hAnsi="宋体"/>
              </w:rPr>
            </w:pPr>
            <w:r>
              <w:rPr>
                <w:rFonts w:ascii="宋体" w:hAnsi="宋体"/>
              </w:rPr>
              <w:t>3312</w:t>
            </w:r>
          </w:p>
        </w:tc>
        <w:tc>
          <w:tcPr>
            <w:tcW w:w="319" w:type="pct"/>
            <w:vAlign w:val="center"/>
          </w:tcPr>
          <w:p w14:paraId="622465E1">
            <w:pPr>
              <w:pStyle w:val="12"/>
              <w:jc w:val="center"/>
              <w:rPr>
                <w:rFonts w:ascii="宋体" w:hAnsi="宋体"/>
              </w:rPr>
            </w:pPr>
            <w:r>
              <w:rPr>
                <w:rFonts w:ascii="宋体" w:hAnsi="宋体"/>
              </w:rPr>
              <w:t>4043</w:t>
            </w:r>
          </w:p>
        </w:tc>
        <w:tc>
          <w:tcPr>
            <w:tcW w:w="319" w:type="pct"/>
            <w:vAlign w:val="center"/>
          </w:tcPr>
          <w:p w14:paraId="68D0D40E">
            <w:pPr>
              <w:pStyle w:val="12"/>
              <w:jc w:val="center"/>
              <w:rPr>
                <w:rFonts w:ascii="宋体" w:hAnsi="宋体"/>
              </w:rPr>
            </w:pPr>
            <w:r>
              <w:rPr>
                <w:rFonts w:ascii="宋体" w:hAnsi="宋体"/>
              </w:rPr>
              <w:t>889</w:t>
            </w:r>
          </w:p>
        </w:tc>
      </w:tr>
      <w:tr w14:paraId="5B95FE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 w:type="pct"/>
            <w:vAlign w:val="center"/>
          </w:tcPr>
          <w:p w14:paraId="71839716">
            <w:pPr>
              <w:pStyle w:val="12"/>
              <w:jc w:val="center"/>
              <w:rPr>
                <w:rFonts w:ascii="宋体" w:hAnsi="宋体"/>
              </w:rPr>
            </w:pPr>
            <w:r>
              <w:rPr>
                <w:rFonts w:ascii="宋体" w:hAnsi="宋体"/>
              </w:rPr>
              <w:t>2003</w:t>
            </w:r>
          </w:p>
        </w:tc>
        <w:tc>
          <w:tcPr>
            <w:tcW w:w="372" w:type="pct"/>
            <w:vAlign w:val="center"/>
          </w:tcPr>
          <w:p w14:paraId="10046952">
            <w:pPr>
              <w:pStyle w:val="12"/>
              <w:jc w:val="center"/>
              <w:rPr>
                <w:rFonts w:ascii="宋体" w:hAnsi="宋体"/>
              </w:rPr>
            </w:pPr>
            <w:r>
              <w:rPr>
                <w:rFonts w:ascii="宋体" w:hAnsi="宋体"/>
              </w:rPr>
              <w:t>7312</w:t>
            </w:r>
          </w:p>
        </w:tc>
        <w:tc>
          <w:tcPr>
            <w:tcW w:w="319" w:type="pct"/>
            <w:vAlign w:val="center"/>
          </w:tcPr>
          <w:p w14:paraId="54308F76">
            <w:pPr>
              <w:pStyle w:val="12"/>
              <w:jc w:val="center"/>
              <w:rPr>
                <w:rFonts w:ascii="宋体" w:hAnsi="宋体"/>
              </w:rPr>
            </w:pPr>
            <w:r>
              <w:rPr>
                <w:rFonts w:ascii="宋体" w:hAnsi="宋体"/>
              </w:rPr>
              <w:t>1546</w:t>
            </w:r>
          </w:p>
        </w:tc>
        <w:tc>
          <w:tcPr>
            <w:tcW w:w="319" w:type="pct"/>
            <w:vAlign w:val="center"/>
          </w:tcPr>
          <w:p w14:paraId="7C59FF6E">
            <w:pPr>
              <w:pStyle w:val="12"/>
              <w:jc w:val="center"/>
              <w:rPr>
                <w:rFonts w:ascii="宋体" w:hAnsi="宋体"/>
              </w:rPr>
            </w:pPr>
            <w:r>
              <w:rPr>
                <w:rFonts w:ascii="宋体" w:hAnsi="宋体"/>
              </w:rPr>
              <w:t>1</w:t>
            </w:r>
          </w:p>
        </w:tc>
        <w:tc>
          <w:tcPr>
            <w:tcW w:w="319" w:type="pct"/>
            <w:vAlign w:val="center"/>
          </w:tcPr>
          <w:p w14:paraId="51FCF066">
            <w:pPr>
              <w:pStyle w:val="12"/>
              <w:jc w:val="center"/>
              <w:rPr>
                <w:rFonts w:ascii="宋体" w:hAnsi="宋体"/>
              </w:rPr>
            </w:pPr>
            <w:r>
              <w:rPr>
                <w:rFonts w:ascii="宋体" w:hAnsi="宋体"/>
              </w:rPr>
              <w:t>744</w:t>
            </w:r>
          </w:p>
        </w:tc>
        <w:tc>
          <w:tcPr>
            <w:tcW w:w="319" w:type="pct"/>
            <w:vAlign w:val="center"/>
          </w:tcPr>
          <w:p w14:paraId="710D9B7C">
            <w:pPr>
              <w:pStyle w:val="12"/>
              <w:jc w:val="center"/>
              <w:rPr>
                <w:rFonts w:ascii="宋体" w:hAnsi="宋体"/>
              </w:rPr>
            </w:pPr>
            <w:r>
              <w:rPr>
                <w:rFonts w:ascii="宋体" w:hAnsi="宋体"/>
              </w:rPr>
              <w:t>2680</w:t>
            </w:r>
          </w:p>
        </w:tc>
        <w:tc>
          <w:tcPr>
            <w:tcW w:w="319" w:type="pct"/>
            <w:vAlign w:val="center"/>
          </w:tcPr>
          <w:p w14:paraId="75D6B4E5">
            <w:pPr>
              <w:pStyle w:val="12"/>
              <w:jc w:val="center"/>
              <w:rPr>
                <w:rFonts w:ascii="宋体" w:hAnsi="宋体"/>
              </w:rPr>
            </w:pPr>
            <w:r>
              <w:rPr>
                <w:rFonts w:ascii="宋体" w:hAnsi="宋体"/>
              </w:rPr>
              <w:t>—</w:t>
            </w:r>
          </w:p>
        </w:tc>
        <w:tc>
          <w:tcPr>
            <w:tcW w:w="372" w:type="pct"/>
            <w:vAlign w:val="center"/>
          </w:tcPr>
          <w:p w14:paraId="3E6E374D">
            <w:pPr>
              <w:pStyle w:val="12"/>
              <w:jc w:val="center"/>
              <w:rPr>
                <w:rFonts w:ascii="宋体" w:hAnsi="宋体"/>
              </w:rPr>
            </w:pPr>
            <w:r>
              <w:rPr>
                <w:rFonts w:ascii="宋体" w:hAnsi="宋体"/>
              </w:rPr>
              <w:t>19158</w:t>
            </w:r>
          </w:p>
        </w:tc>
        <w:tc>
          <w:tcPr>
            <w:tcW w:w="372" w:type="pct"/>
            <w:vAlign w:val="center"/>
          </w:tcPr>
          <w:p w14:paraId="7F4C43D0">
            <w:pPr>
              <w:pStyle w:val="12"/>
              <w:jc w:val="center"/>
              <w:rPr>
                <w:rFonts w:ascii="宋体" w:hAnsi="宋体"/>
              </w:rPr>
            </w:pPr>
            <w:r>
              <w:rPr>
                <w:rFonts w:ascii="宋体" w:hAnsi="宋体"/>
              </w:rPr>
              <w:t>27030</w:t>
            </w:r>
          </w:p>
        </w:tc>
        <w:tc>
          <w:tcPr>
            <w:tcW w:w="319" w:type="pct"/>
            <w:vAlign w:val="center"/>
          </w:tcPr>
          <w:p w14:paraId="00F230B5">
            <w:pPr>
              <w:pStyle w:val="12"/>
              <w:jc w:val="center"/>
              <w:rPr>
                <w:rFonts w:ascii="宋体" w:hAnsi="宋体"/>
              </w:rPr>
            </w:pPr>
            <w:r>
              <w:rPr>
                <w:rFonts w:ascii="宋体" w:hAnsi="宋体"/>
              </w:rPr>
              <w:t>627</w:t>
            </w:r>
          </w:p>
        </w:tc>
        <w:tc>
          <w:tcPr>
            <w:tcW w:w="372" w:type="pct"/>
            <w:vAlign w:val="center"/>
          </w:tcPr>
          <w:p w14:paraId="7B40C397">
            <w:pPr>
              <w:pStyle w:val="12"/>
              <w:jc w:val="center"/>
              <w:rPr>
                <w:rFonts w:ascii="宋体" w:hAnsi="宋体"/>
              </w:rPr>
            </w:pPr>
            <w:r>
              <w:rPr>
                <w:rFonts w:ascii="宋体" w:hAnsi="宋体"/>
              </w:rPr>
              <w:t>11878</w:t>
            </w:r>
          </w:p>
        </w:tc>
        <w:tc>
          <w:tcPr>
            <w:tcW w:w="319" w:type="pct"/>
            <w:vAlign w:val="center"/>
          </w:tcPr>
          <w:p w14:paraId="2E13CA2F">
            <w:pPr>
              <w:pStyle w:val="12"/>
              <w:jc w:val="center"/>
              <w:rPr>
                <w:rFonts w:ascii="宋体" w:hAnsi="宋体"/>
              </w:rPr>
            </w:pPr>
            <w:r>
              <w:rPr>
                <w:rFonts w:ascii="宋体" w:hAnsi="宋体"/>
              </w:rPr>
              <w:t>4358</w:t>
            </w:r>
          </w:p>
        </w:tc>
        <w:tc>
          <w:tcPr>
            <w:tcW w:w="319" w:type="pct"/>
            <w:vAlign w:val="center"/>
          </w:tcPr>
          <w:p w14:paraId="2A23AB8D">
            <w:pPr>
              <w:pStyle w:val="12"/>
              <w:jc w:val="center"/>
              <w:rPr>
                <w:rFonts w:ascii="宋体" w:hAnsi="宋体"/>
              </w:rPr>
            </w:pPr>
            <w:r>
              <w:rPr>
                <w:rFonts w:ascii="宋体" w:hAnsi="宋体"/>
              </w:rPr>
              <w:t>3726</w:t>
            </w:r>
          </w:p>
        </w:tc>
        <w:tc>
          <w:tcPr>
            <w:tcW w:w="319" w:type="pct"/>
            <w:vAlign w:val="center"/>
          </w:tcPr>
          <w:p w14:paraId="16B0145C">
            <w:pPr>
              <w:pStyle w:val="12"/>
              <w:jc w:val="center"/>
              <w:rPr>
                <w:rFonts w:ascii="宋体" w:hAnsi="宋体"/>
              </w:rPr>
            </w:pPr>
            <w:r>
              <w:rPr>
                <w:rFonts w:ascii="宋体" w:hAnsi="宋体"/>
              </w:rPr>
              <w:t>6396</w:t>
            </w:r>
          </w:p>
        </w:tc>
        <w:tc>
          <w:tcPr>
            <w:tcW w:w="319" w:type="pct"/>
            <w:vAlign w:val="center"/>
          </w:tcPr>
          <w:p w14:paraId="61F0FE10">
            <w:pPr>
              <w:pStyle w:val="12"/>
              <w:jc w:val="center"/>
              <w:rPr>
                <w:rFonts w:ascii="宋体" w:hAnsi="宋体"/>
              </w:rPr>
            </w:pPr>
            <w:r>
              <w:rPr>
                <w:rFonts w:ascii="宋体" w:hAnsi="宋体"/>
              </w:rPr>
              <w:t>923</w:t>
            </w:r>
          </w:p>
        </w:tc>
      </w:tr>
      <w:tr w14:paraId="146B2D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 w:type="pct"/>
            <w:vAlign w:val="center"/>
          </w:tcPr>
          <w:p w14:paraId="51E65E40">
            <w:pPr>
              <w:pStyle w:val="12"/>
              <w:jc w:val="center"/>
              <w:rPr>
                <w:rFonts w:ascii="宋体" w:hAnsi="宋体"/>
              </w:rPr>
            </w:pPr>
            <w:r>
              <w:rPr>
                <w:rFonts w:ascii="宋体" w:hAnsi="宋体"/>
              </w:rPr>
              <w:t>2004</w:t>
            </w:r>
          </w:p>
        </w:tc>
        <w:tc>
          <w:tcPr>
            <w:tcW w:w="372" w:type="pct"/>
            <w:vAlign w:val="center"/>
          </w:tcPr>
          <w:p w14:paraId="5A0B8778">
            <w:pPr>
              <w:pStyle w:val="12"/>
              <w:jc w:val="center"/>
              <w:rPr>
                <w:rFonts w:ascii="宋体" w:hAnsi="宋体"/>
              </w:rPr>
            </w:pPr>
            <w:r>
              <w:rPr>
                <w:rFonts w:ascii="宋体" w:hAnsi="宋体"/>
              </w:rPr>
              <w:t>8077</w:t>
            </w:r>
          </w:p>
        </w:tc>
        <w:tc>
          <w:tcPr>
            <w:tcW w:w="319" w:type="pct"/>
            <w:vAlign w:val="center"/>
          </w:tcPr>
          <w:p w14:paraId="17EDC080">
            <w:pPr>
              <w:pStyle w:val="12"/>
              <w:jc w:val="center"/>
              <w:rPr>
                <w:rFonts w:ascii="宋体" w:hAnsi="宋体"/>
              </w:rPr>
            </w:pPr>
            <w:r>
              <w:rPr>
                <w:rFonts w:ascii="宋体" w:hAnsi="宋体"/>
              </w:rPr>
              <w:t>1772</w:t>
            </w:r>
          </w:p>
        </w:tc>
        <w:tc>
          <w:tcPr>
            <w:tcW w:w="319" w:type="pct"/>
            <w:vAlign w:val="center"/>
          </w:tcPr>
          <w:p w14:paraId="09D820FB">
            <w:pPr>
              <w:pStyle w:val="12"/>
              <w:jc w:val="center"/>
              <w:rPr>
                <w:rFonts w:ascii="宋体" w:hAnsi="宋体"/>
              </w:rPr>
            </w:pPr>
            <w:r>
              <w:rPr>
                <w:rFonts w:ascii="宋体" w:hAnsi="宋体"/>
              </w:rPr>
              <w:t>1</w:t>
            </w:r>
          </w:p>
        </w:tc>
        <w:tc>
          <w:tcPr>
            <w:tcW w:w="319" w:type="pct"/>
            <w:vAlign w:val="center"/>
          </w:tcPr>
          <w:p w14:paraId="6CFE2DBE">
            <w:pPr>
              <w:pStyle w:val="12"/>
              <w:jc w:val="center"/>
              <w:rPr>
                <w:rFonts w:ascii="宋体" w:hAnsi="宋体"/>
              </w:rPr>
            </w:pPr>
            <w:r>
              <w:rPr>
                <w:rFonts w:ascii="宋体" w:hAnsi="宋体"/>
              </w:rPr>
              <w:t>833</w:t>
            </w:r>
          </w:p>
        </w:tc>
        <w:tc>
          <w:tcPr>
            <w:tcW w:w="319" w:type="pct"/>
            <w:vAlign w:val="center"/>
          </w:tcPr>
          <w:p w14:paraId="72DF2FCF">
            <w:pPr>
              <w:pStyle w:val="12"/>
              <w:jc w:val="center"/>
              <w:rPr>
                <w:rFonts w:ascii="宋体" w:hAnsi="宋体"/>
              </w:rPr>
            </w:pPr>
            <w:r>
              <w:rPr>
                <w:rFonts w:ascii="宋体" w:hAnsi="宋体"/>
              </w:rPr>
              <w:t>7540</w:t>
            </w:r>
          </w:p>
        </w:tc>
        <w:tc>
          <w:tcPr>
            <w:tcW w:w="319" w:type="pct"/>
            <w:vAlign w:val="center"/>
          </w:tcPr>
          <w:p w14:paraId="7D961508">
            <w:pPr>
              <w:pStyle w:val="12"/>
              <w:jc w:val="center"/>
              <w:rPr>
                <w:rFonts w:ascii="宋体" w:hAnsi="宋体"/>
              </w:rPr>
            </w:pPr>
            <w:r>
              <w:rPr>
                <w:rFonts w:ascii="宋体" w:hAnsi="宋体"/>
              </w:rPr>
              <w:t>—</w:t>
            </w:r>
          </w:p>
        </w:tc>
        <w:tc>
          <w:tcPr>
            <w:tcW w:w="372" w:type="pct"/>
            <w:vAlign w:val="center"/>
          </w:tcPr>
          <w:p w14:paraId="27C24526">
            <w:pPr>
              <w:pStyle w:val="12"/>
              <w:jc w:val="center"/>
              <w:rPr>
                <w:rFonts w:ascii="宋体" w:hAnsi="宋体"/>
              </w:rPr>
            </w:pPr>
            <w:r>
              <w:rPr>
                <w:rFonts w:ascii="宋体" w:hAnsi="宋体"/>
              </w:rPr>
              <w:t>24590</w:t>
            </w:r>
          </w:p>
        </w:tc>
        <w:tc>
          <w:tcPr>
            <w:tcW w:w="372" w:type="pct"/>
            <w:vAlign w:val="center"/>
          </w:tcPr>
          <w:p w14:paraId="127E0FC7">
            <w:pPr>
              <w:pStyle w:val="12"/>
              <w:jc w:val="center"/>
              <w:rPr>
                <w:rFonts w:ascii="宋体" w:hAnsi="宋体"/>
              </w:rPr>
            </w:pPr>
            <w:r>
              <w:rPr>
                <w:rFonts w:ascii="宋体" w:hAnsi="宋体"/>
              </w:rPr>
              <w:t>31334</w:t>
            </w:r>
          </w:p>
        </w:tc>
        <w:tc>
          <w:tcPr>
            <w:tcW w:w="319" w:type="pct"/>
            <w:vAlign w:val="center"/>
          </w:tcPr>
          <w:p w14:paraId="695F4E13">
            <w:pPr>
              <w:pStyle w:val="12"/>
              <w:jc w:val="center"/>
              <w:rPr>
                <w:rFonts w:ascii="宋体" w:hAnsi="宋体"/>
              </w:rPr>
            </w:pPr>
            <w:r>
              <w:rPr>
                <w:rFonts w:ascii="宋体" w:hAnsi="宋体"/>
              </w:rPr>
              <w:t>916</w:t>
            </w:r>
          </w:p>
        </w:tc>
        <w:tc>
          <w:tcPr>
            <w:tcW w:w="372" w:type="pct"/>
            <w:vAlign w:val="center"/>
          </w:tcPr>
          <w:p w14:paraId="588383F7">
            <w:pPr>
              <w:pStyle w:val="12"/>
              <w:jc w:val="center"/>
              <w:rPr>
                <w:rFonts w:ascii="宋体" w:hAnsi="宋体"/>
              </w:rPr>
            </w:pPr>
            <w:r>
              <w:rPr>
                <w:rFonts w:ascii="宋体" w:hAnsi="宋体"/>
              </w:rPr>
              <w:t>22524</w:t>
            </w:r>
          </w:p>
        </w:tc>
        <w:tc>
          <w:tcPr>
            <w:tcW w:w="319" w:type="pct"/>
            <w:vAlign w:val="center"/>
          </w:tcPr>
          <w:p w14:paraId="61C735B9">
            <w:pPr>
              <w:pStyle w:val="12"/>
              <w:jc w:val="center"/>
              <w:rPr>
                <w:rFonts w:ascii="宋体" w:hAnsi="宋体"/>
              </w:rPr>
            </w:pPr>
            <w:r>
              <w:rPr>
                <w:rFonts w:ascii="宋体" w:hAnsi="宋体"/>
              </w:rPr>
              <w:t>4556</w:t>
            </w:r>
          </w:p>
        </w:tc>
        <w:tc>
          <w:tcPr>
            <w:tcW w:w="319" w:type="pct"/>
            <w:vAlign w:val="center"/>
          </w:tcPr>
          <w:p w14:paraId="6517252E">
            <w:pPr>
              <w:pStyle w:val="12"/>
              <w:jc w:val="center"/>
              <w:rPr>
                <w:rFonts w:ascii="宋体" w:hAnsi="宋体"/>
              </w:rPr>
            </w:pPr>
            <w:r>
              <w:rPr>
                <w:rFonts w:ascii="宋体" w:hAnsi="宋体"/>
              </w:rPr>
              <w:t>4057</w:t>
            </w:r>
          </w:p>
        </w:tc>
        <w:tc>
          <w:tcPr>
            <w:tcW w:w="319" w:type="pct"/>
            <w:vAlign w:val="center"/>
          </w:tcPr>
          <w:p w14:paraId="3FC25E7C">
            <w:pPr>
              <w:pStyle w:val="12"/>
              <w:jc w:val="center"/>
              <w:rPr>
                <w:rFonts w:ascii="宋体" w:hAnsi="宋体"/>
              </w:rPr>
            </w:pPr>
            <w:r>
              <w:rPr>
                <w:rFonts w:ascii="宋体" w:hAnsi="宋体"/>
              </w:rPr>
              <w:t>9281</w:t>
            </w:r>
          </w:p>
        </w:tc>
        <w:tc>
          <w:tcPr>
            <w:tcW w:w="319" w:type="pct"/>
            <w:vAlign w:val="center"/>
          </w:tcPr>
          <w:p w14:paraId="0902D58E">
            <w:pPr>
              <w:pStyle w:val="12"/>
              <w:jc w:val="center"/>
              <w:rPr>
                <w:rFonts w:ascii="宋体" w:hAnsi="宋体"/>
              </w:rPr>
            </w:pPr>
            <w:r>
              <w:rPr>
                <w:rFonts w:ascii="宋体" w:hAnsi="宋体"/>
              </w:rPr>
              <w:t>995</w:t>
            </w:r>
          </w:p>
        </w:tc>
      </w:tr>
    </w:tbl>
    <w:p w14:paraId="332096C6">
      <w:pPr>
        <w:ind w:firstLine="422"/>
        <w:rPr>
          <w:rFonts w:ascii="宋体" w:hAnsi="宋体"/>
          <w:b/>
          <w:szCs w:val="21"/>
        </w:rPr>
      </w:pPr>
      <w:r>
        <w:rPr>
          <w:rFonts w:hint="eastAsia" w:ascii="宋体" w:hAnsi="宋体"/>
          <w:b/>
          <w:szCs w:val="21"/>
        </w:rPr>
        <w:t>说明：①19</w:t>
      </w:r>
      <w:r>
        <w:rPr>
          <w:rFonts w:ascii="宋体" w:hAnsi="宋体"/>
          <w:b/>
          <w:szCs w:val="21"/>
        </w:rPr>
        <w:t>94年实行中央与地方分税制，取消产品税，原产品税分别划为消费税、增值</w:t>
      </w:r>
      <w:r>
        <w:rPr>
          <w:rFonts w:hint="eastAsia" w:ascii="宋体" w:hAnsi="宋体"/>
          <w:b/>
          <w:szCs w:val="21"/>
        </w:rPr>
        <w:t>税和农业特产税。②1</w:t>
      </w:r>
      <w:r>
        <w:rPr>
          <w:rFonts w:ascii="宋体" w:hAnsi="宋体"/>
          <w:b/>
          <w:szCs w:val="21"/>
        </w:rPr>
        <w:t>9</w:t>
      </w:r>
      <w:r>
        <w:rPr>
          <w:rFonts w:hint="eastAsia" w:ascii="宋体" w:hAnsi="宋体"/>
          <w:b/>
          <w:szCs w:val="21"/>
        </w:rPr>
        <w:t>9</w:t>
      </w:r>
      <w:r>
        <w:rPr>
          <w:rFonts w:ascii="宋体" w:hAnsi="宋体"/>
          <w:b/>
          <w:szCs w:val="21"/>
        </w:rPr>
        <w:t>4年后的增值税与之前的增值税不可比。消费税为中央收入，增值</w:t>
      </w:r>
      <w:r>
        <w:rPr>
          <w:rFonts w:hint="eastAsia" w:ascii="宋体" w:hAnsi="宋体"/>
          <w:b/>
          <w:szCs w:val="21"/>
        </w:rPr>
        <w:t>税为共享收入，其中中央为</w:t>
      </w:r>
      <w:r>
        <w:rPr>
          <w:rFonts w:ascii="宋体" w:hAnsi="宋体"/>
          <w:b/>
          <w:szCs w:val="21"/>
        </w:rPr>
        <w:t>75%，地方为25%。③1996年起省对地方实行分税制，对</w:t>
      </w:r>
      <w:r>
        <w:rPr>
          <w:rFonts w:hint="eastAsia" w:ascii="宋体" w:hAnsi="宋体"/>
          <w:b/>
          <w:szCs w:val="21"/>
        </w:rPr>
        <w:t>一般营业税、非国企所得税、个人所得税、土地增值税进行四六分成。④2</w:t>
      </w:r>
      <w:r>
        <w:rPr>
          <w:rFonts w:ascii="宋体" w:hAnsi="宋体"/>
          <w:b/>
          <w:szCs w:val="21"/>
        </w:rPr>
        <w:t>00</w:t>
      </w:r>
      <w:r>
        <w:rPr>
          <w:rFonts w:hint="eastAsia" w:ascii="宋体" w:hAnsi="宋体"/>
          <w:b/>
          <w:szCs w:val="21"/>
        </w:rPr>
        <w:t>2</w:t>
      </w:r>
      <w:r>
        <w:rPr>
          <w:rFonts w:ascii="宋体" w:hAnsi="宋体"/>
          <w:b/>
          <w:szCs w:val="21"/>
        </w:rPr>
        <w:t>年起，卷烟厂</w:t>
      </w:r>
      <w:r>
        <w:rPr>
          <w:rFonts w:hint="eastAsia" w:ascii="宋体" w:hAnsi="宋体"/>
          <w:b/>
          <w:szCs w:val="21"/>
        </w:rPr>
        <w:t>被兼并；中央把所得税划为共享收入，当年共享比例为五五分成，</w:t>
      </w:r>
      <w:r>
        <w:rPr>
          <w:rFonts w:ascii="宋体" w:hAnsi="宋体"/>
          <w:b/>
          <w:szCs w:val="21"/>
        </w:rPr>
        <w:t>2003年起六四分成，对</w:t>
      </w:r>
      <w:r>
        <w:rPr>
          <w:rFonts w:hint="eastAsia" w:ascii="宋体" w:hAnsi="宋体"/>
          <w:b/>
          <w:szCs w:val="21"/>
        </w:rPr>
        <w:t>地方收入影响很大，中央收入消费税大减。⑤2</w:t>
      </w:r>
      <w:r>
        <w:rPr>
          <w:rFonts w:ascii="宋体" w:hAnsi="宋体"/>
          <w:b/>
          <w:szCs w:val="21"/>
        </w:rPr>
        <w:t>004年农业税减半征收</w:t>
      </w:r>
      <w:r>
        <w:rPr>
          <w:rFonts w:hint="eastAsia" w:ascii="宋体" w:hAnsi="宋体"/>
          <w:b/>
          <w:szCs w:val="21"/>
        </w:rPr>
        <w:t>。</w:t>
      </w:r>
    </w:p>
    <w:p w14:paraId="5E9F787E">
      <w:pPr>
        <w:pStyle w:val="5"/>
        <w:rPr>
          <w:rFonts w:ascii="宋体" w:hAnsi="宋体"/>
        </w:rPr>
      </w:pPr>
      <w:r>
        <w:rPr>
          <w:rFonts w:hint="eastAsia" w:ascii="宋体" w:hAnsi="宋体"/>
        </w:rPr>
        <w:t>三、乡镇财政</w:t>
      </w:r>
    </w:p>
    <w:p w14:paraId="121DC758">
      <w:pPr>
        <w:ind w:firstLine="420"/>
        <w:rPr>
          <w:rFonts w:ascii="宋体" w:hAnsi="宋体"/>
          <w:szCs w:val="21"/>
        </w:rPr>
      </w:pPr>
      <w:r>
        <w:rPr>
          <w:rFonts w:ascii="宋体" w:hAnsi="宋体"/>
          <w:szCs w:val="21"/>
        </w:rPr>
        <w:t>1985年以前县对乡镇财政基本上实行统收统支制度，即乡镇工商各税、农业税和其他</w:t>
      </w:r>
      <w:r>
        <w:rPr>
          <w:rFonts w:hint="eastAsia" w:ascii="宋体" w:hAnsi="宋体"/>
          <w:szCs w:val="21"/>
        </w:rPr>
        <w:t>收入均上交县财政，乡镇经费由县拨给。</w:t>
      </w:r>
      <w:r>
        <w:rPr>
          <w:rFonts w:ascii="宋体" w:hAnsi="宋体"/>
          <w:szCs w:val="21"/>
        </w:rPr>
        <w:t>1985年，县对乡镇实行</w:t>
      </w:r>
      <w:r>
        <w:rPr>
          <w:rFonts w:hint="eastAsia" w:ascii="宋体" w:hAnsi="宋体"/>
          <w:szCs w:val="21"/>
        </w:rPr>
        <w:t>“</w:t>
      </w:r>
      <w:r>
        <w:rPr>
          <w:rFonts w:ascii="宋体" w:hAnsi="宋体"/>
          <w:szCs w:val="21"/>
        </w:rPr>
        <w:t>定收定支，超收分成，</w:t>
      </w:r>
      <w:r>
        <w:rPr>
          <w:rFonts w:hint="eastAsia" w:ascii="宋体" w:hAnsi="宋体"/>
          <w:szCs w:val="21"/>
        </w:rPr>
        <w:t>超支不补，短收少支，一定一年”的财政包干体制，乡镇管辖范围内征收的工商各税、农业税均列入包干；工商和政法部门的罚没收入以及国营所得税，不列入包干范围；乡镇行政管理、公安派出所、林业站、农技站、计划生育指导站、文化站、村干部定额补贴等经费均列入支出包干范围。每年实际收入超过包干任务的，按</w:t>
      </w:r>
      <w:r>
        <w:rPr>
          <w:rFonts w:ascii="宋体" w:hAnsi="宋体"/>
          <w:szCs w:val="21"/>
        </w:rPr>
        <w:t>60%～100%的不同比例归乡</w:t>
      </w:r>
      <w:r>
        <w:rPr>
          <w:rFonts w:hint="eastAsia" w:ascii="宋体" w:hAnsi="宋体"/>
          <w:szCs w:val="21"/>
        </w:rPr>
        <w:t>镇。如实际收入完不成包干任务的，按未完成部分的</w:t>
      </w:r>
      <w:r>
        <w:rPr>
          <w:rFonts w:ascii="宋体" w:hAnsi="宋体"/>
          <w:szCs w:val="21"/>
        </w:rPr>
        <w:t>5%扣减其支出定额。</w:t>
      </w:r>
    </w:p>
    <w:p w14:paraId="184AAD8C">
      <w:pPr>
        <w:ind w:firstLine="420"/>
        <w:rPr>
          <w:rFonts w:ascii="宋体" w:hAnsi="宋体"/>
          <w:szCs w:val="21"/>
        </w:rPr>
      </w:pPr>
      <w:r>
        <w:rPr>
          <w:rFonts w:ascii="宋体" w:hAnsi="宋体"/>
          <w:szCs w:val="21"/>
        </w:rPr>
        <w:t>1988年至1998年，市镇财政</w:t>
      </w:r>
      <w:r>
        <w:rPr>
          <w:rFonts w:hint="eastAsia" w:ascii="宋体" w:hAnsi="宋体"/>
          <w:szCs w:val="21"/>
        </w:rPr>
        <w:t>采</w:t>
      </w:r>
      <w:r>
        <w:rPr>
          <w:rFonts w:ascii="宋体" w:hAnsi="宋体"/>
          <w:szCs w:val="21"/>
        </w:rPr>
        <w:t>取</w:t>
      </w:r>
      <w:r>
        <w:rPr>
          <w:rFonts w:hint="eastAsia" w:ascii="宋体" w:hAnsi="宋体"/>
          <w:szCs w:val="21"/>
        </w:rPr>
        <w:t>“</w:t>
      </w:r>
      <w:r>
        <w:rPr>
          <w:rFonts w:ascii="宋体" w:hAnsi="宋体"/>
          <w:szCs w:val="21"/>
        </w:rPr>
        <w:t>核定收支，一定三年不变</w:t>
      </w:r>
      <w:r>
        <w:rPr>
          <w:rFonts w:hint="eastAsia" w:ascii="宋体" w:hAnsi="宋体"/>
          <w:szCs w:val="21"/>
        </w:rPr>
        <w:t>”</w:t>
      </w:r>
      <w:r>
        <w:rPr>
          <w:rFonts w:ascii="宋体" w:hAnsi="宋体"/>
          <w:szCs w:val="21"/>
        </w:rPr>
        <w:t>的管理体制。1998年</w:t>
      </w:r>
      <w:r>
        <w:rPr>
          <w:rFonts w:hint="eastAsia" w:ascii="宋体" w:hAnsi="宋体"/>
          <w:szCs w:val="21"/>
        </w:rPr>
        <w:t>至</w:t>
      </w:r>
      <w:r>
        <w:rPr>
          <w:rFonts w:ascii="宋体" w:hAnsi="宋体"/>
          <w:szCs w:val="21"/>
        </w:rPr>
        <w:t>2000年把税收分两部分计算，第一部分，为烟叶特产税划出单列分成，以突出该税的</w:t>
      </w:r>
      <w:r>
        <w:rPr>
          <w:rFonts w:hint="eastAsia" w:ascii="宋体" w:hAnsi="宋体"/>
          <w:szCs w:val="21"/>
        </w:rPr>
        <w:t>经济支柱地位；第二部分，为剔除烟叶税后的各项税收，按一定比例分成。</w:t>
      </w:r>
      <w:r>
        <w:rPr>
          <w:rFonts w:ascii="宋体" w:hAnsi="宋体"/>
          <w:szCs w:val="21"/>
        </w:rPr>
        <w:t>1999年，实行</w:t>
      </w:r>
      <w:r>
        <w:rPr>
          <w:rFonts w:hint="eastAsia" w:ascii="宋体" w:hAnsi="宋体"/>
          <w:szCs w:val="21"/>
        </w:rPr>
        <w:t>“三金”（预算内，预算外、其他资金）统一管理，进一步完成镇级各项的管理制度。</w:t>
      </w:r>
    </w:p>
    <w:p w14:paraId="2C33194F">
      <w:pPr>
        <w:pStyle w:val="5"/>
        <w:rPr>
          <w:rFonts w:ascii="宋体" w:hAnsi="宋体"/>
        </w:rPr>
      </w:pPr>
      <w:r>
        <w:rPr>
          <w:rFonts w:hint="eastAsia" w:ascii="宋体" w:hAnsi="宋体"/>
        </w:rPr>
        <w:t>四、农业税</w:t>
      </w:r>
    </w:p>
    <w:p w14:paraId="5B6AB71B">
      <w:pPr>
        <w:ind w:firstLine="422"/>
        <w:rPr>
          <w:rFonts w:ascii="宋体" w:hAnsi="宋体"/>
          <w:b/>
          <w:szCs w:val="21"/>
        </w:rPr>
      </w:pPr>
      <w:r>
        <w:rPr>
          <w:rFonts w:hint="eastAsia" w:ascii="宋体" w:hAnsi="宋体"/>
          <w:b/>
          <w:szCs w:val="21"/>
        </w:rPr>
        <w:t>（一）税种税制</w:t>
      </w:r>
    </w:p>
    <w:p w14:paraId="13A35DAC">
      <w:pPr>
        <w:ind w:firstLine="420"/>
        <w:rPr>
          <w:rFonts w:ascii="宋体" w:hAnsi="宋体"/>
          <w:szCs w:val="21"/>
        </w:rPr>
      </w:pPr>
      <w:r>
        <w:rPr>
          <w:rFonts w:hint="eastAsia" w:ascii="宋体" w:hAnsi="宋体"/>
          <w:szCs w:val="21"/>
        </w:rPr>
        <w:t>新中国成立后农业税种有四种：农业税、农业特产税、契税、耕地占用税。</w:t>
      </w:r>
    </w:p>
    <w:p w14:paraId="1767CF81">
      <w:pPr>
        <w:ind w:firstLine="420"/>
        <w:rPr>
          <w:rFonts w:ascii="宋体" w:hAnsi="宋体"/>
          <w:szCs w:val="21"/>
        </w:rPr>
      </w:pPr>
      <w:r>
        <w:rPr>
          <w:rFonts w:hint="eastAsia" w:ascii="宋体" w:hAnsi="宋体"/>
          <w:szCs w:val="21"/>
        </w:rPr>
        <w:t>农业税：即公粮，按面积产量计征。</w:t>
      </w:r>
      <w:r>
        <w:rPr>
          <w:rFonts w:ascii="宋体" w:hAnsi="宋体"/>
          <w:szCs w:val="21"/>
        </w:rPr>
        <w:t>1953年全面丈量田地，核定全县耕地计税面积3600</w:t>
      </w:r>
      <w:r>
        <w:rPr>
          <w:rFonts w:hint="eastAsia" w:ascii="宋体" w:hAnsi="宋体"/>
          <w:szCs w:val="21"/>
        </w:rPr>
        <w:t>9</w:t>
      </w:r>
      <w:r>
        <w:rPr>
          <w:rFonts w:ascii="宋体" w:hAnsi="宋体"/>
          <w:szCs w:val="21"/>
        </w:rPr>
        <w:t>.67公顷，常年计税稻谷产量8.72万吨，每亩平均计税产量155公斤。1958年6月，</w:t>
      </w:r>
      <w:r>
        <w:rPr>
          <w:rFonts w:hint="eastAsia" w:ascii="宋体" w:hAnsi="宋体"/>
          <w:szCs w:val="21"/>
        </w:rPr>
        <w:t>按照《中华人民共和国农业税条例》实行农业税制改革，统一采取地区差别比例税制。当时全省平均税率为</w:t>
      </w:r>
      <w:r>
        <w:rPr>
          <w:rFonts w:ascii="宋体" w:hAnsi="宋体"/>
          <w:szCs w:val="21"/>
        </w:rPr>
        <w:t>15.5%，南雄县执行结果是15.4%。1979年对农业税实行起征点办法。</w:t>
      </w:r>
      <w:r>
        <w:rPr>
          <w:rFonts w:hint="eastAsia" w:ascii="宋体" w:hAnsi="宋体"/>
          <w:szCs w:val="21"/>
        </w:rPr>
        <w:t>人均收入稻谷</w:t>
      </w:r>
      <w:r>
        <w:rPr>
          <w:rFonts w:ascii="宋体" w:hAnsi="宋体"/>
          <w:szCs w:val="21"/>
        </w:rPr>
        <w:t>200公斤以下和农业收入60元以下的生产队免征，1980年一定3年，农业</w:t>
      </w:r>
      <w:r>
        <w:rPr>
          <w:rFonts w:hint="eastAsia" w:ascii="宋体" w:hAnsi="宋体"/>
          <w:szCs w:val="21"/>
        </w:rPr>
        <w:t>税分为夏秋两季征收，水稻征收实物，经济作物征收税金。</w:t>
      </w:r>
    </w:p>
    <w:p w14:paraId="4451ECDB">
      <w:pPr>
        <w:ind w:firstLine="420"/>
        <w:rPr>
          <w:rFonts w:ascii="宋体" w:hAnsi="宋体"/>
          <w:szCs w:val="21"/>
        </w:rPr>
      </w:pPr>
      <w:r>
        <w:rPr>
          <w:rFonts w:hint="eastAsia" w:ascii="宋体" w:hAnsi="宋体"/>
          <w:szCs w:val="21"/>
        </w:rPr>
        <w:t>农业特产税：即农业特产产品税，</w:t>
      </w:r>
      <w:r>
        <w:rPr>
          <w:rFonts w:ascii="宋体" w:hAnsi="宋体"/>
          <w:szCs w:val="21"/>
        </w:rPr>
        <w:t>1994年《广东省对农业特产收入征收农业税实施</w:t>
      </w:r>
      <w:r>
        <w:rPr>
          <w:rFonts w:hint="eastAsia" w:ascii="宋体" w:hAnsi="宋体"/>
          <w:szCs w:val="21"/>
        </w:rPr>
        <w:t>办法》规定，对烟叶、园艺、水产、林木、牲畜、食用菌、贵重食品等农业特产产品收入征收农业特产税。其税目、税率全省统一。根据税目的不同，分别按</w:t>
      </w:r>
      <w:r>
        <w:rPr>
          <w:rFonts w:ascii="宋体" w:hAnsi="宋体"/>
          <w:szCs w:val="21"/>
        </w:rPr>
        <w:t>5%～30%征收，并</w:t>
      </w:r>
      <w:r>
        <w:rPr>
          <w:rFonts w:hint="eastAsia" w:ascii="宋体" w:hAnsi="宋体"/>
          <w:szCs w:val="21"/>
        </w:rPr>
        <w:t>按正税税额的</w:t>
      </w:r>
      <w:r>
        <w:rPr>
          <w:rFonts w:ascii="宋体" w:hAnsi="宋体"/>
          <w:szCs w:val="21"/>
        </w:rPr>
        <w:t>10%征收地方附加。农业特产税应纳税额，按产品实际收入或农业特产品收</w:t>
      </w:r>
      <w:r>
        <w:rPr>
          <w:rFonts w:hint="eastAsia" w:ascii="宋体" w:hAnsi="宋体"/>
          <w:szCs w:val="21"/>
        </w:rPr>
        <w:t>购年支付的金额和规定税率计征。</w:t>
      </w:r>
    </w:p>
    <w:p w14:paraId="0FC3A5CD">
      <w:pPr>
        <w:ind w:firstLine="420"/>
        <w:rPr>
          <w:rFonts w:ascii="宋体" w:hAnsi="宋体"/>
          <w:szCs w:val="21"/>
        </w:rPr>
      </w:pPr>
      <w:r>
        <w:rPr>
          <w:rFonts w:hint="eastAsia" w:ascii="宋体" w:hAnsi="宋体"/>
          <w:szCs w:val="21"/>
        </w:rPr>
        <w:t>契税：即土地使用权转移证照税。</w:t>
      </w:r>
      <w:r>
        <w:rPr>
          <w:rFonts w:ascii="宋体" w:hAnsi="宋体"/>
          <w:szCs w:val="21"/>
        </w:rPr>
        <w:t>1997年颁布的《广东省契税实施办法》规定，契</w:t>
      </w:r>
      <w:r>
        <w:rPr>
          <w:rFonts w:hint="eastAsia" w:ascii="宋体" w:hAnsi="宋体"/>
          <w:szCs w:val="21"/>
        </w:rPr>
        <w:t>税税率为</w:t>
      </w:r>
      <w:r>
        <w:rPr>
          <w:rFonts w:ascii="宋体" w:hAnsi="宋体"/>
          <w:szCs w:val="21"/>
        </w:rPr>
        <w:t>3%，计税依视情况而定：国有土地出让、土地使用权出售、房屋买卖按成交价</w:t>
      </w:r>
      <w:r>
        <w:rPr>
          <w:rFonts w:hint="eastAsia" w:ascii="宋体" w:hAnsi="宋体"/>
          <w:szCs w:val="21"/>
        </w:rPr>
        <w:t>；土地使用权赠与房屋赠与，由征收机关参照土地使用权出售、房屋买卖的市场价格核定；土地使用权交换，房屋交换为所交换的土地使用权，房屋的价格的差额。以划拨方式取得土地使用权的，经批准转让房地产，应由房地产转让者补缴契税，其计税依据为补缴的土地使用权出让费或者土地收益。</w:t>
      </w:r>
    </w:p>
    <w:p w14:paraId="22B52989">
      <w:pPr>
        <w:ind w:firstLine="420"/>
        <w:rPr>
          <w:rFonts w:ascii="宋体" w:hAnsi="宋体"/>
          <w:szCs w:val="21"/>
        </w:rPr>
      </w:pPr>
      <w:r>
        <w:rPr>
          <w:rFonts w:hint="eastAsia" w:ascii="宋体" w:hAnsi="宋体"/>
          <w:szCs w:val="21"/>
        </w:rPr>
        <w:t>耕地占用税：</w:t>
      </w:r>
      <w:r>
        <w:rPr>
          <w:rFonts w:ascii="宋体" w:hAnsi="宋体"/>
          <w:szCs w:val="21"/>
        </w:rPr>
        <w:t>1987年颁布的《广东省耕地占用税征收管理实施办法》规定，占用耕</w:t>
      </w:r>
      <w:r>
        <w:rPr>
          <w:rFonts w:hint="eastAsia" w:ascii="宋体" w:hAnsi="宋体"/>
          <w:szCs w:val="21"/>
        </w:rPr>
        <w:t>地建房或从事其他非农业建设的单位和个人应缴纳耕地占用税。该税以纳税人实际占用耕地面积计税，按照规定税额一次性征收，并实行定额征收。</w:t>
      </w:r>
    </w:p>
    <w:p w14:paraId="2BAE98D4">
      <w:pPr>
        <w:ind w:firstLine="422"/>
        <w:rPr>
          <w:rFonts w:ascii="宋体" w:hAnsi="宋体"/>
          <w:b/>
          <w:szCs w:val="21"/>
        </w:rPr>
      </w:pPr>
      <w:r>
        <w:rPr>
          <w:rFonts w:hint="eastAsia" w:ascii="宋体" w:hAnsi="宋体"/>
          <w:b/>
          <w:szCs w:val="21"/>
        </w:rPr>
        <w:t>（二）农业税负担</w:t>
      </w:r>
    </w:p>
    <w:p w14:paraId="77F0A628">
      <w:pPr>
        <w:ind w:firstLine="420"/>
        <w:rPr>
          <w:rFonts w:ascii="宋体" w:hAnsi="宋体"/>
          <w:szCs w:val="21"/>
        </w:rPr>
      </w:pPr>
      <w:r>
        <w:rPr>
          <w:rFonts w:ascii="宋体" w:hAnsi="宋体"/>
          <w:szCs w:val="21"/>
        </w:rPr>
        <w:t>20世纪50年代，粮食产量10万吨以下，税1.5万吨，农民负担较重。1961年调整税</w:t>
      </w:r>
      <w:r>
        <w:rPr>
          <w:rFonts w:hint="eastAsia" w:ascii="宋体" w:hAnsi="宋体"/>
          <w:szCs w:val="21"/>
        </w:rPr>
        <w:t>额为</w:t>
      </w:r>
      <w:r>
        <w:rPr>
          <w:rFonts w:ascii="宋体" w:hAnsi="宋体"/>
          <w:szCs w:val="21"/>
        </w:rPr>
        <w:t>1万吨，此后长期执行增产不增税的稳定负担政策，促进了生产发展。1957年农业人</w:t>
      </w:r>
      <w:r>
        <w:rPr>
          <w:rFonts w:hint="eastAsia" w:ascii="宋体" w:hAnsi="宋体"/>
          <w:szCs w:val="21"/>
        </w:rPr>
        <w:t>口平均每人负担实征税</w:t>
      </w:r>
      <w:r>
        <w:rPr>
          <w:rFonts w:ascii="宋体" w:hAnsi="宋体"/>
          <w:szCs w:val="21"/>
        </w:rPr>
        <w:t>76公斤，1987年只有24.54公斤，为人均实产量的2.8%，1988年</w:t>
      </w:r>
      <w:r>
        <w:rPr>
          <w:rFonts w:hint="eastAsia" w:ascii="宋体" w:hAnsi="宋体"/>
          <w:szCs w:val="21"/>
        </w:rPr>
        <w:t>至</w:t>
      </w:r>
      <w:r>
        <w:rPr>
          <w:rFonts w:ascii="宋体" w:hAnsi="宋体"/>
          <w:szCs w:val="21"/>
        </w:rPr>
        <w:t>2000年，基本延续60年代计征办法。将税额折价为现金，合计征收农业税119</w:t>
      </w:r>
      <w:r>
        <w:rPr>
          <w:rFonts w:hint="eastAsia" w:ascii="宋体" w:hAnsi="宋体"/>
          <w:szCs w:val="21"/>
        </w:rPr>
        <w:t>2</w:t>
      </w:r>
      <w:r>
        <w:rPr>
          <w:rFonts w:ascii="宋体" w:hAnsi="宋体"/>
          <w:szCs w:val="21"/>
        </w:rPr>
        <w:t>万元，</w:t>
      </w:r>
      <w:r>
        <w:rPr>
          <w:rFonts w:hint="eastAsia" w:ascii="宋体" w:hAnsi="宋体"/>
          <w:szCs w:val="21"/>
        </w:rPr>
        <w:t>农户人均负担农业税为</w:t>
      </w:r>
      <w:r>
        <w:rPr>
          <w:rFonts w:ascii="宋体" w:hAnsi="宋体"/>
          <w:szCs w:val="21"/>
        </w:rPr>
        <w:t>26.19元。</w:t>
      </w:r>
    </w:p>
    <w:p w14:paraId="2787CD1F">
      <w:pPr>
        <w:ind w:firstLine="0" w:firstLineChars="0"/>
        <w:jc w:val="center"/>
        <w:rPr>
          <w:rFonts w:ascii="宋体" w:hAnsi="宋体"/>
          <w:b/>
          <w:szCs w:val="21"/>
        </w:rPr>
      </w:pPr>
      <w:r>
        <w:rPr>
          <w:rFonts w:hint="eastAsia" w:ascii="宋体" w:hAnsi="宋体"/>
          <w:b/>
          <w:szCs w:val="21"/>
        </w:rPr>
        <w:t>南雄市</w:t>
      </w:r>
      <w:r>
        <w:rPr>
          <w:rFonts w:ascii="宋体" w:hAnsi="宋体"/>
          <w:b/>
          <w:szCs w:val="21"/>
        </w:rPr>
        <w:t>19</w:t>
      </w:r>
      <w:r>
        <w:rPr>
          <w:rFonts w:hint="eastAsia" w:ascii="宋体" w:hAnsi="宋体"/>
          <w:b/>
          <w:szCs w:val="21"/>
        </w:rPr>
        <w:t>5</w:t>
      </w:r>
      <w:r>
        <w:rPr>
          <w:rFonts w:ascii="宋体" w:hAnsi="宋体"/>
          <w:b/>
          <w:szCs w:val="21"/>
        </w:rPr>
        <w:t>7年至1987年主要年份农业税负担情况</w:t>
      </w:r>
    </w:p>
    <w:p w14:paraId="79D3E57F">
      <w:pPr>
        <w:ind w:firstLine="0" w:firstLineChars="0"/>
        <w:rPr>
          <w:rFonts w:ascii="宋体" w:hAnsi="宋体"/>
          <w:b/>
          <w:szCs w:val="21"/>
        </w:rPr>
      </w:pPr>
      <w:r>
        <w:rPr>
          <w:rFonts w:hint="eastAsia" w:ascii="宋体" w:hAnsi="宋体"/>
          <w:b/>
          <w:szCs w:val="21"/>
        </w:rPr>
        <w:t>表2-52</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22"/>
        <w:gridCol w:w="1422"/>
        <w:gridCol w:w="1423"/>
        <w:gridCol w:w="1425"/>
        <w:gridCol w:w="1425"/>
        <w:gridCol w:w="1213"/>
        <w:gridCol w:w="1632"/>
      </w:tblGrid>
      <w:tr w14:paraId="79708E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E6298A7">
            <w:pPr>
              <w:pStyle w:val="12"/>
              <w:jc w:val="center"/>
              <w:rPr>
                <w:rFonts w:ascii="宋体" w:hAnsi="宋体"/>
                <w:b/>
              </w:rPr>
            </w:pPr>
            <w:r>
              <w:rPr>
                <w:rFonts w:hint="eastAsia" w:ascii="宋体" w:hAnsi="宋体"/>
                <w:b/>
              </w:rPr>
              <w:t>年份</w:t>
            </w:r>
          </w:p>
        </w:tc>
        <w:tc>
          <w:tcPr>
            <w:tcW w:w="714" w:type="pct"/>
            <w:vAlign w:val="center"/>
          </w:tcPr>
          <w:p w14:paraId="7EF53B71">
            <w:pPr>
              <w:pStyle w:val="12"/>
              <w:jc w:val="center"/>
              <w:rPr>
                <w:rFonts w:ascii="宋体" w:hAnsi="宋体"/>
                <w:b/>
              </w:rPr>
            </w:pPr>
            <w:r>
              <w:rPr>
                <w:rFonts w:hint="eastAsia" w:ascii="宋体" w:hAnsi="宋体"/>
                <w:b/>
              </w:rPr>
              <w:t>农业实产量（吨）</w:t>
            </w:r>
          </w:p>
        </w:tc>
        <w:tc>
          <w:tcPr>
            <w:tcW w:w="714" w:type="pct"/>
            <w:vAlign w:val="center"/>
          </w:tcPr>
          <w:p w14:paraId="3879751A">
            <w:pPr>
              <w:pStyle w:val="12"/>
              <w:jc w:val="center"/>
              <w:rPr>
                <w:rFonts w:ascii="宋体" w:hAnsi="宋体"/>
                <w:b/>
              </w:rPr>
            </w:pPr>
            <w:r>
              <w:rPr>
                <w:rFonts w:hint="eastAsia" w:ascii="宋体" w:hAnsi="宋体"/>
                <w:b/>
              </w:rPr>
              <w:t>税额（吨）</w:t>
            </w:r>
          </w:p>
        </w:tc>
        <w:tc>
          <w:tcPr>
            <w:tcW w:w="715" w:type="pct"/>
            <w:vAlign w:val="center"/>
          </w:tcPr>
          <w:p w14:paraId="268849F6">
            <w:pPr>
              <w:pStyle w:val="12"/>
              <w:jc w:val="center"/>
              <w:rPr>
                <w:rFonts w:ascii="宋体" w:hAnsi="宋体"/>
                <w:b/>
              </w:rPr>
            </w:pPr>
            <w:r>
              <w:rPr>
                <w:rFonts w:hint="eastAsia" w:ascii="宋体" w:hAnsi="宋体"/>
                <w:b/>
              </w:rPr>
              <w:t>减免（吨）</w:t>
            </w:r>
          </w:p>
        </w:tc>
        <w:tc>
          <w:tcPr>
            <w:tcW w:w="715" w:type="pct"/>
            <w:vAlign w:val="center"/>
          </w:tcPr>
          <w:p w14:paraId="59A54751">
            <w:pPr>
              <w:pStyle w:val="12"/>
              <w:jc w:val="center"/>
              <w:rPr>
                <w:rFonts w:ascii="宋体" w:hAnsi="宋体"/>
                <w:b/>
              </w:rPr>
            </w:pPr>
            <w:r>
              <w:rPr>
                <w:rFonts w:hint="eastAsia" w:ascii="宋体" w:hAnsi="宋体"/>
                <w:b/>
              </w:rPr>
              <w:t>实征正税（吨）</w:t>
            </w:r>
          </w:p>
        </w:tc>
        <w:tc>
          <w:tcPr>
            <w:tcW w:w="609" w:type="pct"/>
            <w:vAlign w:val="center"/>
          </w:tcPr>
          <w:p w14:paraId="00B12ED3">
            <w:pPr>
              <w:pStyle w:val="12"/>
              <w:jc w:val="center"/>
              <w:rPr>
                <w:rFonts w:ascii="宋体" w:hAnsi="宋体"/>
                <w:b/>
              </w:rPr>
            </w:pPr>
            <w:r>
              <w:rPr>
                <w:rFonts w:hint="eastAsia" w:ascii="宋体" w:hAnsi="宋体"/>
                <w:b/>
              </w:rPr>
              <w:t>实产量</w:t>
            </w:r>
          </w:p>
          <w:p w14:paraId="5263A324">
            <w:pPr>
              <w:pStyle w:val="12"/>
              <w:jc w:val="center"/>
              <w:rPr>
                <w:rFonts w:ascii="宋体" w:hAnsi="宋体"/>
                <w:b/>
              </w:rPr>
            </w:pPr>
            <w:r>
              <w:rPr>
                <w:rFonts w:hint="eastAsia" w:ascii="宋体" w:hAnsi="宋体"/>
                <w:b/>
              </w:rPr>
              <w:t>（公斤）</w:t>
            </w:r>
          </w:p>
        </w:tc>
        <w:tc>
          <w:tcPr>
            <w:tcW w:w="819" w:type="pct"/>
            <w:vAlign w:val="center"/>
          </w:tcPr>
          <w:p w14:paraId="426F1827">
            <w:pPr>
              <w:pStyle w:val="12"/>
              <w:jc w:val="center"/>
              <w:rPr>
                <w:rFonts w:ascii="宋体" w:hAnsi="宋体"/>
                <w:b/>
              </w:rPr>
            </w:pPr>
            <w:r>
              <w:rPr>
                <w:rFonts w:hint="eastAsia" w:ascii="宋体" w:hAnsi="宋体"/>
                <w:b/>
              </w:rPr>
              <w:t>负担实征正税（公斤）</w:t>
            </w:r>
          </w:p>
        </w:tc>
      </w:tr>
      <w:tr w14:paraId="681A18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2D5FA74">
            <w:pPr>
              <w:pStyle w:val="12"/>
              <w:jc w:val="center"/>
              <w:rPr>
                <w:rFonts w:ascii="宋体" w:hAnsi="宋体"/>
              </w:rPr>
            </w:pPr>
            <w:r>
              <w:rPr>
                <w:rFonts w:ascii="宋体" w:hAnsi="宋体"/>
              </w:rPr>
              <w:t>1957</w:t>
            </w:r>
          </w:p>
        </w:tc>
        <w:tc>
          <w:tcPr>
            <w:tcW w:w="714" w:type="pct"/>
            <w:vAlign w:val="center"/>
          </w:tcPr>
          <w:p w14:paraId="427BB7EC">
            <w:pPr>
              <w:pStyle w:val="12"/>
              <w:jc w:val="center"/>
              <w:rPr>
                <w:rFonts w:ascii="宋体" w:hAnsi="宋体"/>
              </w:rPr>
            </w:pPr>
            <w:r>
              <w:rPr>
                <w:rFonts w:ascii="宋体" w:hAnsi="宋体"/>
              </w:rPr>
              <w:t>103350</w:t>
            </w:r>
          </w:p>
        </w:tc>
        <w:tc>
          <w:tcPr>
            <w:tcW w:w="714" w:type="pct"/>
            <w:vAlign w:val="center"/>
          </w:tcPr>
          <w:p w14:paraId="7F7FA820">
            <w:pPr>
              <w:pStyle w:val="12"/>
              <w:jc w:val="center"/>
              <w:rPr>
                <w:rFonts w:ascii="宋体" w:hAnsi="宋体"/>
              </w:rPr>
            </w:pPr>
            <w:r>
              <w:rPr>
                <w:rFonts w:ascii="宋体" w:hAnsi="宋体"/>
              </w:rPr>
              <w:t>15830</w:t>
            </w:r>
          </w:p>
        </w:tc>
        <w:tc>
          <w:tcPr>
            <w:tcW w:w="715" w:type="pct"/>
            <w:vAlign w:val="center"/>
          </w:tcPr>
          <w:p w14:paraId="00D7E362">
            <w:pPr>
              <w:pStyle w:val="12"/>
              <w:jc w:val="center"/>
              <w:rPr>
                <w:rFonts w:ascii="宋体" w:hAnsi="宋体"/>
              </w:rPr>
            </w:pPr>
            <w:r>
              <w:rPr>
                <w:rFonts w:ascii="宋体" w:hAnsi="宋体"/>
              </w:rPr>
              <w:t>715</w:t>
            </w:r>
          </w:p>
        </w:tc>
        <w:tc>
          <w:tcPr>
            <w:tcW w:w="715" w:type="pct"/>
            <w:vAlign w:val="center"/>
          </w:tcPr>
          <w:p w14:paraId="2047EC0F">
            <w:pPr>
              <w:pStyle w:val="12"/>
              <w:jc w:val="center"/>
              <w:rPr>
                <w:rFonts w:ascii="宋体" w:hAnsi="宋体"/>
              </w:rPr>
            </w:pPr>
            <w:r>
              <w:rPr>
                <w:rFonts w:ascii="宋体" w:hAnsi="宋体"/>
              </w:rPr>
              <w:t>15115</w:t>
            </w:r>
          </w:p>
        </w:tc>
        <w:tc>
          <w:tcPr>
            <w:tcW w:w="609" w:type="pct"/>
            <w:vAlign w:val="center"/>
          </w:tcPr>
          <w:p w14:paraId="3BC63B2A">
            <w:pPr>
              <w:pStyle w:val="12"/>
              <w:jc w:val="center"/>
              <w:rPr>
                <w:rFonts w:ascii="宋体" w:hAnsi="宋体"/>
              </w:rPr>
            </w:pPr>
            <w:r>
              <w:rPr>
                <w:rFonts w:ascii="宋体" w:hAnsi="宋体"/>
              </w:rPr>
              <w:t>497.5</w:t>
            </w:r>
          </w:p>
        </w:tc>
        <w:tc>
          <w:tcPr>
            <w:tcW w:w="819" w:type="pct"/>
            <w:vAlign w:val="center"/>
          </w:tcPr>
          <w:p w14:paraId="4F2AB993">
            <w:pPr>
              <w:pStyle w:val="12"/>
              <w:jc w:val="center"/>
              <w:rPr>
                <w:rFonts w:ascii="宋体" w:hAnsi="宋体"/>
              </w:rPr>
            </w:pPr>
            <w:r>
              <w:rPr>
                <w:rFonts w:ascii="宋体" w:hAnsi="宋体"/>
              </w:rPr>
              <w:t>76</w:t>
            </w:r>
          </w:p>
        </w:tc>
      </w:tr>
      <w:tr w14:paraId="399A86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F806A4B">
            <w:pPr>
              <w:pStyle w:val="12"/>
              <w:jc w:val="center"/>
              <w:rPr>
                <w:rFonts w:ascii="宋体" w:hAnsi="宋体"/>
              </w:rPr>
            </w:pPr>
            <w:r>
              <w:rPr>
                <w:rFonts w:ascii="宋体" w:hAnsi="宋体"/>
              </w:rPr>
              <w:t>1961</w:t>
            </w:r>
          </w:p>
        </w:tc>
        <w:tc>
          <w:tcPr>
            <w:tcW w:w="714" w:type="pct"/>
            <w:vAlign w:val="center"/>
          </w:tcPr>
          <w:p w14:paraId="6C5C3793">
            <w:pPr>
              <w:pStyle w:val="12"/>
              <w:jc w:val="center"/>
              <w:rPr>
                <w:rFonts w:ascii="宋体" w:hAnsi="宋体"/>
              </w:rPr>
            </w:pPr>
            <w:r>
              <w:rPr>
                <w:rFonts w:ascii="宋体" w:hAnsi="宋体"/>
              </w:rPr>
              <w:t>75165</w:t>
            </w:r>
          </w:p>
        </w:tc>
        <w:tc>
          <w:tcPr>
            <w:tcW w:w="714" w:type="pct"/>
            <w:vAlign w:val="center"/>
          </w:tcPr>
          <w:p w14:paraId="34976F7C">
            <w:pPr>
              <w:pStyle w:val="12"/>
              <w:jc w:val="center"/>
              <w:rPr>
                <w:rFonts w:ascii="宋体" w:hAnsi="宋体"/>
              </w:rPr>
            </w:pPr>
            <w:r>
              <w:rPr>
                <w:rFonts w:ascii="宋体" w:hAnsi="宋体"/>
              </w:rPr>
              <w:t>10385</w:t>
            </w:r>
          </w:p>
        </w:tc>
        <w:tc>
          <w:tcPr>
            <w:tcW w:w="715" w:type="pct"/>
            <w:vAlign w:val="center"/>
          </w:tcPr>
          <w:p w14:paraId="13DE5562">
            <w:pPr>
              <w:pStyle w:val="12"/>
              <w:jc w:val="center"/>
              <w:rPr>
                <w:rFonts w:ascii="宋体" w:hAnsi="宋体"/>
              </w:rPr>
            </w:pPr>
            <w:r>
              <w:rPr>
                <w:rFonts w:ascii="宋体" w:hAnsi="宋体"/>
              </w:rPr>
              <w:t>595</w:t>
            </w:r>
          </w:p>
        </w:tc>
        <w:tc>
          <w:tcPr>
            <w:tcW w:w="715" w:type="pct"/>
            <w:vAlign w:val="center"/>
          </w:tcPr>
          <w:p w14:paraId="64811421">
            <w:pPr>
              <w:pStyle w:val="12"/>
              <w:jc w:val="center"/>
              <w:rPr>
                <w:rFonts w:ascii="宋体" w:hAnsi="宋体"/>
              </w:rPr>
            </w:pPr>
            <w:r>
              <w:rPr>
                <w:rFonts w:ascii="宋体" w:hAnsi="宋体"/>
              </w:rPr>
              <w:t>9790</w:t>
            </w:r>
          </w:p>
        </w:tc>
        <w:tc>
          <w:tcPr>
            <w:tcW w:w="609" w:type="pct"/>
            <w:vAlign w:val="center"/>
          </w:tcPr>
          <w:p w14:paraId="4111728D">
            <w:pPr>
              <w:pStyle w:val="12"/>
              <w:jc w:val="center"/>
              <w:rPr>
                <w:rFonts w:ascii="宋体" w:hAnsi="宋体"/>
              </w:rPr>
            </w:pPr>
            <w:r>
              <w:rPr>
                <w:rFonts w:ascii="宋体" w:hAnsi="宋体"/>
              </w:rPr>
              <w:t>368</w:t>
            </w:r>
          </w:p>
        </w:tc>
        <w:tc>
          <w:tcPr>
            <w:tcW w:w="819" w:type="pct"/>
            <w:vAlign w:val="center"/>
          </w:tcPr>
          <w:p w14:paraId="208F1E1B">
            <w:pPr>
              <w:pStyle w:val="12"/>
              <w:jc w:val="center"/>
              <w:rPr>
                <w:rFonts w:ascii="宋体" w:hAnsi="宋体"/>
              </w:rPr>
            </w:pPr>
            <w:r>
              <w:rPr>
                <w:rFonts w:ascii="宋体" w:hAnsi="宋体"/>
              </w:rPr>
              <w:t>48</w:t>
            </w:r>
          </w:p>
        </w:tc>
      </w:tr>
      <w:tr w14:paraId="66E45C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4BFBA0D7">
            <w:pPr>
              <w:pStyle w:val="12"/>
              <w:jc w:val="center"/>
              <w:rPr>
                <w:rFonts w:ascii="宋体" w:hAnsi="宋体"/>
              </w:rPr>
            </w:pPr>
            <w:r>
              <w:rPr>
                <w:rFonts w:ascii="宋体" w:hAnsi="宋体"/>
              </w:rPr>
              <w:t>1965</w:t>
            </w:r>
          </w:p>
        </w:tc>
        <w:tc>
          <w:tcPr>
            <w:tcW w:w="714" w:type="pct"/>
            <w:vAlign w:val="center"/>
          </w:tcPr>
          <w:p w14:paraId="5948380A">
            <w:pPr>
              <w:pStyle w:val="12"/>
              <w:jc w:val="center"/>
              <w:rPr>
                <w:rFonts w:ascii="宋体" w:hAnsi="宋体"/>
              </w:rPr>
            </w:pPr>
            <w:r>
              <w:rPr>
                <w:rFonts w:ascii="宋体" w:hAnsi="宋体"/>
              </w:rPr>
              <w:t>130840</w:t>
            </w:r>
          </w:p>
        </w:tc>
        <w:tc>
          <w:tcPr>
            <w:tcW w:w="714" w:type="pct"/>
            <w:vAlign w:val="center"/>
          </w:tcPr>
          <w:p w14:paraId="0B2CEA77">
            <w:pPr>
              <w:pStyle w:val="12"/>
              <w:jc w:val="center"/>
              <w:rPr>
                <w:rFonts w:ascii="宋体" w:hAnsi="宋体"/>
              </w:rPr>
            </w:pPr>
            <w:r>
              <w:rPr>
                <w:rFonts w:ascii="宋体" w:hAnsi="宋体"/>
              </w:rPr>
              <w:t>10240</w:t>
            </w:r>
          </w:p>
        </w:tc>
        <w:tc>
          <w:tcPr>
            <w:tcW w:w="715" w:type="pct"/>
            <w:vAlign w:val="center"/>
          </w:tcPr>
          <w:p w14:paraId="7917F318">
            <w:pPr>
              <w:pStyle w:val="12"/>
              <w:jc w:val="center"/>
              <w:rPr>
                <w:rFonts w:ascii="宋体" w:hAnsi="宋体"/>
              </w:rPr>
            </w:pPr>
            <w:r>
              <w:rPr>
                <w:rFonts w:ascii="宋体" w:hAnsi="宋体"/>
              </w:rPr>
              <w:t>790</w:t>
            </w:r>
          </w:p>
        </w:tc>
        <w:tc>
          <w:tcPr>
            <w:tcW w:w="715" w:type="pct"/>
            <w:vAlign w:val="center"/>
          </w:tcPr>
          <w:p w14:paraId="26C6B115">
            <w:pPr>
              <w:pStyle w:val="12"/>
              <w:jc w:val="center"/>
              <w:rPr>
                <w:rFonts w:ascii="宋体" w:hAnsi="宋体"/>
              </w:rPr>
            </w:pPr>
            <w:r>
              <w:rPr>
                <w:rFonts w:ascii="宋体" w:hAnsi="宋体"/>
              </w:rPr>
              <w:t>9450</w:t>
            </w:r>
          </w:p>
        </w:tc>
        <w:tc>
          <w:tcPr>
            <w:tcW w:w="609" w:type="pct"/>
            <w:vAlign w:val="center"/>
          </w:tcPr>
          <w:p w14:paraId="65C690EE">
            <w:pPr>
              <w:pStyle w:val="12"/>
              <w:jc w:val="center"/>
              <w:rPr>
                <w:rFonts w:ascii="宋体" w:hAnsi="宋体"/>
              </w:rPr>
            </w:pPr>
            <w:r>
              <w:rPr>
                <w:rFonts w:ascii="宋体" w:hAnsi="宋体"/>
              </w:rPr>
              <w:t>567</w:t>
            </w:r>
          </w:p>
        </w:tc>
        <w:tc>
          <w:tcPr>
            <w:tcW w:w="819" w:type="pct"/>
            <w:vAlign w:val="center"/>
          </w:tcPr>
          <w:p w14:paraId="520C89CE">
            <w:pPr>
              <w:pStyle w:val="12"/>
              <w:jc w:val="center"/>
              <w:rPr>
                <w:rFonts w:ascii="宋体" w:hAnsi="宋体"/>
              </w:rPr>
            </w:pPr>
            <w:r>
              <w:rPr>
                <w:rFonts w:ascii="宋体" w:hAnsi="宋体"/>
              </w:rPr>
              <w:t>41</w:t>
            </w:r>
          </w:p>
        </w:tc>
      </w:tr>
      <w:tr w14:paraId="0802FC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DBCB834">
            <w:pPr>
              <w:pStyle w:val="12"/>
              <w:jc w:val="center"/>
              <w:rPr>
                <w:rFonts w:ascii="宋体" w:hAnsi="宋体"/>
              </w:rPr>
            </w:pPr>
            <w:r>
              <w:rPr>
                <w:rFonts w:ascii="宋体" w:hAnsi="宋体"/>
              </w:rPr>
              <w:t>1970</w:t>
            </w:r>
          </w:p>
        </w:tc>
        <w:tc>
          <w:tcPr>
            <w:tcW w:w="714" w:type="pct"/>
            <w:vAlign w:val="center"/>
          </w:tcPr>
          <w:p w14:paraId="46C56957">
            <w:pPr>
              <w:pStyle w:val="12"/>
              <w:jc w:val="center"/>
              <w:rPr>
                <w:rFonts w:ascii="宋体" w:hAnsi="宋体"/>
              </w:rPr>
            </w:pPr>
            <w:r>
              <w:rPr>
                <w:rFonts w:ascii="宋体" w:hAnsi="宋体"/>
              </w:rPr>
              <w:t>135855</w:t>
            </w:r>
          </w:p>
        </w:tc>
        <w:tc>
          <w:tcPr>
            <w:tcW w:w="714" w:type="pct"/>
            <w:vAlign w:val="center"/>
          </w:tcPr>
          <w:p w14:paraId="61D1CD5D">
            <w:pPr>
              <w:pStyle w:val="12"/>
              <w:jc w:val="center"/>
              <w:rPr>
                <w:rFonts w:ascii="宋体" w:hAnsi="宋体"/>
              </w:rPr>
            </w:pPr>
            <w:r>
              <w:rPr>
                <w:rFonts w:ascii="宋体" w:hAnsi="宋体"/>
              </w:rPr>
              <w:t>10010</w:t>
            </w:r>
          </w:p>
        </w:tc>
        <w:tc>
          <w:tcPr>
            <w:tcW w:w="715" w:type="pct"/>
            <w:vAlign w:val="center"/>
          </w:tcPr>
          <w:p w14:paraId="1961CB05">
            <w:pPr>
              <w:pStyle w:val="12"/>
              <w:jc w:val="center"/>
              <w:rPr>
                <w:rFonts w:ascii="宋体" w:hAnsi="宋体"/>
              </w:rPr>
            </w:pPr>
            <w:r>
              <w:rPr>
                <w:rFonts w:ascii="宋体" w:hAnsi="宋体"/>
              </w:rPr>
              <w:t>715</w:t>
            </w:r>
          </w:p>
        </w:tc>
        <w:tc>
          <w:tcPr>
            <w:tcW w:w="715" w:type="pct"/>
            <w:vAlign w:val="center"/>
          </w:tcPr>
          <w:p w14:paraId="24BD935E">
            <w:pPr>
              <w:pStyle w:val="12"/>
              <w:jc w:val="center"/>
              <w:rPr>
                <w:rFonts w:ascii="宋体" w:hAnsi="宋体"/>
              </w:rPr>
            </w:pPr>
            <w:r>
              <w:rPr>
                <w:rFonts w:ascii="宋体" w:hAnsi="宋体"/>
              </w:rPr>
              <w:t>9295</w:t>
            </w:r>
          </w:p>
        </w:tc>
        <w:tc>
          <w:tcPr>
            <w:tcW w:w="609" w:type="pct"/>
            <w:vAlign w:val="center"/>
          </w:tcPr>
          <w:p w14:paraId="01E591A1">
            <w:pPr>
              <w:pStyle w:val="12"/>
              <w:jc w:val="center"/>
              <w:rPr>
                <w:rFonts w:ascii="宋体" w:hAnsi="宋体"/>
              </w:rPr>
            </w:pPr>
            <w:r>
              <w:rPr>
                <w:rFonts w:ascii="宋体" w:hAnsi="宋体"/>
              </w:rPr>
              <w:t>488.5</w:t>
            </w:r>
          </w:p>
        </w:tc>
        <w:tc>
          <w:tcPr>
            <w:tcW w:w="819" w:type="pct"/>
            <w:vAlign w:val="center"/>
          </w:tcPr>
          <w:p w14:paraId="78E8A462">
            <w:pPr>
              <w:pStyle w:val="12"/>
              <w:jc w:val="center"/>
              <w:rPr>
                <w:rFonts w:ascii="宋体" w:hAnsi="宋体"/>
              </w:rPr>
            </w:pPr>
            <w:r>
              <w:rPr>
                <w:rFonts w:ascii="宋体" w:hAnsi="宋体"/>
              </w:rPr>
              <w:t>33.5</w:t>
            </w:r>
          </w:p>
        </w:tc>
      </w:tr>
      <w:tr w14:paraId="1141AE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B7E9895">
            <w:pPr>
              <w:pStyle w:val="12"/>
              <w:jc w:val="center"/>
              <w:rPr>
                <w:rFonts w:ascii="宋体" w:hAnsi="宋体"/>
              </w:rPr>
            </w:pPr>
            <w:r>
              <w:rPr>
                <w:rFonts w:ascii="宋体" w:hAnsi="宋体"/>
              </w:rPr>
              <w:t>1976</w:t>
            </w:r>
          </w:p>
        </w:tc>
        <w:tc>
          <w:tcPr>
            <w:tcW w:w="714" w:type="pct"/>
            <w:vAlign w:val="center"/>
          </w:tcPr>
          <w:p w14:paraId="76909E68">
            <w:pPr>
              <w:pStyle w:val="12"/>
              <w:jc w:val="center"/>
              <w:rPr>
                <w:rFonts w:ascii="宋体" w:hAnsi="宋体"/>
              </w:rPr>
            </w:pPr>
            <w:r>
              <w:rPr>
                <w:rFonts w:ascii="宋体" w:hAnsi="宋体"/>
              </w:rPr>
              <w:t>168545</w:t>
            </w:r>
          </w:p>
        </w:tc>
        <w:tc>
          <w:tcPr>
            <w:tcW w:w="714" w:type="pct"/>
            <w:vAlign w:val="center"/>
          </w:tcPr>
          <w:p w14:paraId="3462D4C2">
            <w:pPr>
              <w:pStyle w:val="12"/>
              <w:jc w:val="center"/>
              <w:rPr>
                <w:rFonts w:ascii="宋体" w:hAnsi="宋体"/>
              </w:rPr>
            </w:pPr>
            <w:r>
              <w:rPr>
                <w:rFonts w:ascii="宋体" w:hAnsi="宋体"/>
              </w:rPr>
              <w:t>9970</w:t>
            </w:r>
          </w:p>
        </w:tc>
        <w:tc>
          <w:tcPr>
            <w:tcW w:w="715" w:type="pct"/>
            <w:vAlign w:val="center"/>
          </w:tcPr>
          <w:p w14:paraId="6DEACC0B">
            <w:pPr>
              <w:pStyle w:val="12"/>
              <w:jc w:val="center"/>
              <w:rPr>
                <w:rFonts w:ascii="宋体" w:hAnsi="宋体"/>
              </w:rPr>
            </w:pPr>
            <w:r>
              <w:rPr>
                <w:rFonts w:ascii="宋体" w:hAnsi="宋体"/>
              </w:rPr>
              <w:t>700</w:t>
            </w:r>
          </w:p>
        </w:tc>
        <w:tc>
          <w:tcPr>
            <w:tcW w:w="715" w:type="pct"/>
            <w:vAlign w:val="center"/>
          </w:tcPr>
          <w:p w14:paraId="719AD17A">
            <w:pPr>
              <w:pStyle w:val="12"/>
              <w:jc w:val="center"/>
              <w:rPr>
                <w:rFonts w:ascii="宋体" w:hAnsi="宋体"/>
              </w:rPr>
            </w:pPr>
            <w:r>
              <w:rPr>
                <w:rFonts w:ascii="宋体" w:hAnsi="宋体"/>
              </w:rPr>
              <w:t>9270</w:t>
            </w:r>
          </w:p>
        </w:tc>
        <w:tc>
          <w:tcPr>
            <w:tcW w:w="609" w:type="pct"/>
            <w:vAlign w:val="center"/>
          </w:tcPr>
          <w:p w14:paraId="32EAB8EB">
            <w:pPr>
              <w:pStyle w:val="12"/>
              <w:jc w:val="center"/>
              <w:rPr>
                <w:rFonts w:ascii="宋体" w:hAnsi="宋体"/>
              </w:rPr>
            </w:pPr>
            <w:r>
              <w:rPr>
                <w:rFonts w:ascii="宋体" w:hAnsi="宋体"/>
              </w:rPr>
              <w:t>521.5</w:t>
            </w:r>
          </w:p>
        </w:tc>
        <w:tc>
          <w:tcPr>
            <w:tcW w:w="819" w:type="pct"/>
            <w:vAlign w:val="center"/>
          </w:tcPr>
          <w:p w14:paraId="043DBDD6">
            <w:pPr>
              <w:pStyle w:val="12"/>
              <w:jc w:val="center"/>
              <w:rPr>
                <w:rFonts w:ascii="宋体" w:hAnsi="宋体"/>
              </w:rPr>
            </w:pPr>
            <w:r>
              <w:rPr>
                <w:rFonts w:ascii="宋体" w:hAnsi="宋体"/>
              </w:rPr>
              <w:t>28.5</w:t>
            </w:r>
          </w:p>
        </w:tc>
      </w:tr>
      <w:tr w14:paraId="25D68C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BA2F222">
            <w:pPr>
              <w:pStyle w:val="12"/>
              <w:jc w:val="center"/>
              <w:rPr>
                <w:rFonts w:ascii="宋体" w:hAnsi="宋体"/>
              </w:rPr>
            </w:pPr>
            <w:r>
              <w:rPr>
                <w:rFonts w:ascii="宋体" w:hAnsi="宋体"/>
              </w:rPr>
              <w:t>1979</w:t>
            </w:r>
          </w:p>
        </w:tc>
        <w:tc>
          <w:tcPr>
            <w:tcW w:w="714" w:type="pct"/>
            <w:vAlign w:val="center"/>
          </w:tcPr>
          <w:p w14:paraId="4C470617">
            <w:pPr>
              <w:pStyle w:val="12"/>
              <w:jc w:val="center"/>
              <w:rPr>
                <w:rFonts w:ascii="宋体" w:hAnsi="宋体"/>
              </w:rPr>
            </w:pPr>
            <w:r>
              <w:rPr>
                <w:rFonts w:ascii="宋体" w:hAnsi="宋体"/>
              </w:rPr>
              <w:t>194555</w:t>
            </w:r>
          </w:p>
        </w:tc>
        <w:tc>
          <w:tcPr>
            <w:tcW w:w="714" w:type="pct"/>
            <w:vAlign w:val="center"/>
          </w:tcPr>
          <w:p w14:paraId="54025F35">
            <w:pPr>
              <w:pStyle w:val="12"/>
              <w:jc w:val="center"/>
              <w:rPr>
                <w:rFonts w:ascii="宋体" w:hAnsi="宋体"/>
              </w:rPr>
            </w:pPr>
            <w:r>
              <w:rPr>
                <w:rFonts w:ascii="宋体" w:hAnsi="宋体"/>
              </w:rPr>
              <w:t>9970</w:t>
            </w:r>
          </w:p>
        </w:tc>
        <w:tc>
          <w:tcPr>
            <w:tcW w:w="715" w:type="pct"/>
            <w:vAlign w:val="center"/>
          </w:tcPr>
          <w:p w14:paraId="13AC8794">
            <w:pPr>
              <w:pStyle w:val="12"/>
              <w:jc w:val="center"/>
              <w:rPr>
                <w:rFonts w:ascii="宋体" w:hAnsi="宋体"/>
              </w:rPr>
            </w:pPr>
            <w:r>
              <w:rPr>
                <w:rFonts w:ascii="宋体" w:hAnsi="宋体"/>
              </w:rPr>
              <w:t>2120</w:t>
            </w:r>
          </w:p>
        </w:tc>
        <w:tc>
          <w:tcPr>
            <w:tcW w:w="715" w:type="pct"/>
            <w:vAlign w:val="center"/>
          </w:tcPr>
          <w:p w14:paraId="5F32258B">
            <w:pPr>
              <w:pStyle w:val="12"/>
              <w:jc w:val="center"/>
              <w:rPr>
                <w:rFonts w:ascii="宋体" w:hAnsi="宋体"/>
              </w:rPr>
            </w:pPr>
            <w:r>
              <w:rPr>
                <w:rFonts w:ascii="宋体" w:hAnsi="宋体"/>
              </w:rPr>
              <w:t>7850</w:t>
            </w:r>
          </w:p>
        </w:tc>
        <w:tc>
          <w:tcPr>
            <w:tcW w:w="609" w:type="pct"/>
            <w:vAlign w:val="center"/>
          </w:tcPr>
          <w:p w14:paraId="32F4FAA3">
            <w:pPr>
              <w:pStyle w:val="12"/>
              <w:jc w:val="center"/>
              <w:rPr>
                <w:rFonts w:ascii="宋体" w:hAnsi="宋体"/>
              </w:rPr>
            </w:pPr>
            <w:r>
              <w:rPr>
                <w:rFonts w:ascii="宋体" w:hAnsi="宋体"/>
              </w:rPr>
              <w:t>570.5</w:t>
            </w:r>
          </w:p>
        </w:tc>
        <w:tc>
          <w:tcPr>
            <w:tcW w:w="819" w:type="pct"/>
            <w:vAlign w:val="center"/>
          </w:tcPr>
          <w:p w14:paraId="0CED0528">
            <w:pPr>
              <w:pStyle w:val="12"/>
              <w:jc w:val="center"/>
              <w:rPr>
                <w:rFonts w:ascii="宋体" w:hAnsi="宋体"/>
              </w:rPr>
            </w:pPr>
            <w:r>
              <w:rPr>
                <w:rFonts w:ascii="宋体" w:hAnsi="宋体"/>
              </w:rPr>
              <w:t>23</w:t>
            </w:r>
          </w:p>
        </w:tc>
      </w:tr>
      <w:tr w14:paraId="07EFE1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C7CCBC9">
            <w:pPr>
              <w:pStyle w:val="12"/>
              <w:jc w:val="center"/>
              <w:rPr>
                <w:rFonts w:ascii="宋体" w:hAnsi="宋体"/>
              </w:rPr>
            </w:pPr>
            <w:r>
              <w:rPr>
                <w:rFonts w:ascii="宋体" w:hAnsi="宋体"/>
              </w:rPr>
              <w:t>1981</w:t>
            </w:r>
          </w:p>
        </w:tc>
        <w:tc>
          <w:tcPr>
            <w:tcW w:w="714" w:type="pct"/>
            <w:vAlign w:val="center"/>
          </w:tcPr>
          <w:p w14:paraId="675385B8">
            <w:pPr>
              <w:pStyle w:val="12"/>
              <w:jc w:val="center"/>
              <w:rPr>
                <w:rFonts w:ascii="宋体" w:hAnsi="宋体"/>
              </w:rPr>
            </w:pPr>
            <w:r>
              <w:rPr>
                <w:rFonts w:ascii="宋体" w:hAnsi="宋体"/>
              </w:rPr>
              <w:t>214855</w:t>
            </w:r>
          </w:p>
        </w:tc>
        <w:tc>
          <w:tcPr>
            <w:tcW w:w="714" w:type="pct"/>
            <w:vAlign w:val="center"/>
          </w:tcPr>
          <w:p w14:paraId="2705870E">
            <w:pPr>
              <w:pStyle w:val="12"/>
              <w:jc w:val="center"/>
              <w:rPr>
                <w:rFonts w:ascii="宋体" w:hAnsi="宋体"/>
              </w:rPr>
            </w:pPr>
            <w:r>
              <w:rPr>
                <w:rFonts w:ascii="宋体" w:hAnsi="宋体"/>
              </w:rPr>
              <w:t>9970</w:t>
            </w:r>
          </w:p>
        </w:tc>
        <w:tc>
          <w:tcPr>
            <w:tcW w:w="715" w:type="pct"/>
            <w:vAlign w:val="center"/>
          </w:tcPr>
          <w:p w14:paraId="26F0DE9C">
            <w:pPr>
              <w:pStyle w:val="12"/>
              <w:jc w:val="center"/>
              <w:rPr>
                <w:rFonts w:ascii="宋体" w:hAnsi="宋体"/>
              </w:rPr>
            </w:pPr>
            <w:r>
              <w:rPr>
                <w:rFonts w:ascii="宋体" w:hAnsi="宋体"/>
              </w:rPr>
              <w:t>2995</w:t>
            </w:r>
          </w:p>
        </w:tc>
        <w:tc>
          <w:tcPr>
            <w:tcW w:w="715" w:type="pct"/>
            <w:vAlign w:val="center"/>
          </w:tcPr>
          <w:p w14:paraId="3BA61D70">
            <w:pPr>
              <w:pStyle w:val="12"/>
              <w:jc w:val="center"/>
              <w:rPr>
                <w:rFonts w:ascii="宋体" w:hAnsi="宋体"/>
              </w:rPr>
            </w:pPr>
            <w:r>
              <w:rPr>
                <w:rFonts w:ascii="宋体" w:hAnsi="宋体"/>
              </w:rPr>
              <w:t>6975</w:t>
            </w:r>
          </w:p>
        </w:tc>
        <w:tc>
          <w:tcPr>
            <w:tcW w:w="609" w:type="pct"/>
            <w:vAlign w:val="center"/>
          </w:tcPr>
          <w:p w14:paraId="508487CE">
            <w:pPr>
              <w:pStyle w:val="12"/>
              <w:jc w:val="center"/>
              <w:rPr>
                <w:rFonts w:ascii="宋体" w:hAnsi="宋体"/>
              </w:rPr>
            </w:pPr>
            <w:r>
              <w:rPr>
                <w:rFonts w:ascii="宋体" w:hAnsi="宋体"/>
              </w:rPr>
              <w:t>614.5</w:t>
            </w:r>
          </w:p>
        </w:tc>
        <w:tc>
          <w:tcPr>
            <w:tcW w:w="819" w:type="pct"/>
            <w:vAlign w:val="center"/>
          </w:tcPr>
          <w:p w14:paraId="117D39ED">
            <w:pPr>
              <w:pStyle w:val="12"/>
              <w:jc w:val="center"/>
              <w:rPr>
                <w:rFonts w:ascii="宋体" w:hAnsi="宋体"/>
              </w:rPr>
            </w:pPr>
            <w:r>
              <w:rPr>
                <w:rFonts w:ascii="宋体" w:hAnsi="宋体"/>
              </w:rPr>
              <w:t>20</w:t>
            </w:r>
          </w:p>
        </w:tc>
      </w:tr>
      <w:tr w14:paraId="5262ED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9D8F77A">
            <w:pPr>
              <w:pStyle w:val="12"/>
              <w:jc w:val="center"/>
              <w:rPr>
                <w:rFonts w:ascii="宋体" w:hAnsi="宋体"/>
              </w:rPr>
            </w:pPr>
            <w:r>
              <w:rPr>
                <w:rFonts w:ascii="宋体" w:hAnsi="宋体"/>
              </w:rPr>
              <w:t>1983</w:t>
            </w:r>
          </w:p>
        </w:tc>
        <w:tc>
          <w:tcPr>
            <w:tcW w:w="714" w:type="pct"/>
            <w:vAlign w:val="center"/>
          </w:tcPr>
          <w:p w14:paraId="200052D2">
            <w:pPr>
              <w:pStyle w:val="12"/>
              <w:jc w:val="center"/>
              <w:rPr>
                <w:rFonts w:ascii="宋体" w:hAnsi="宋体"/>
              </w:rPr>
            </w:pPr>
            <w:r>
              <w:rPr>
                <w:rFonts w:ascii="宋体" w:hAnsi="宋体"/>
              </w:rPr>
              <w:t>260975</w:t>
            </w:r>
          </w:p>
        </w:tc>
        <w:tc>
          <w:tcPr>
            <w:tcW w:w="714" w:type="pct"/>
            <w:vAlign w:val="center"/>
          </w:tcPr>
          <w:p w14:paraId="0B5D3619">
            <w:pPr>
              <w:pStyle w:val="12"/>
              <w:jc w:val="center"/>
              <w:rPr>
                <w:rFonts w:ascii="宋体" w:hAnsi="宋体"/>
              </w:rPr>
            </w:pPr>
            <w:r>
              <w:rPr>
                <w:rFonts w:ascii="宋体" w:hAnsi="宋体"/>
              </w:rPr>
              <w:t>9970</w:t>
            </w:r>
          </w:p>
        </w:tc>
        <w:tc>
          <w:tcPr>
            <w:tcW w:w="715" w:type="pct"/>
            <w:vAlign w:val="center"/>
          </w:tcPr>
          <w:p w14:paraId="214A3952">
            <w:pPr>
              <w:pStyle w:val="12"/>
              <w:jc w:val="center"/>
              <w:rPr>
                <w:rFonts w:ascii="宋体" w:hAnsi="宋体"/>
              </w:rPr>
            </w:pPr>
            <w:r>
              <w:rPr>
                <w:rFonts w:ascii="宋体" w:hAnsi="宋体"/>
              </w:rPr>
              <w:t>1325</w:t>
            </w:r>
          </w:p>
        </w:tc>
        <w:tc>
          <w:tcPr>
            <w:tcW w:w="715" w:type="pct"/>
            <w:vAlign w:val="center"/>
          </w:tcPr>
          <w:p w14:paraId="5E6B3C5D">
            <w:pPr>
              <w:pStyle w:val="12"/>
              <w:jc w:val="center"/>
              <w:rPr>
                <w:rFonts w:ascii="宋体" w:hAnsi="宋体"/>
              </w:rPr>
            </w:pPr>
            <w:r>
              <w:rPr>
                <w:rFonts w:ascii="宋体" w:hAnsi="宋体"/>
              </w:rPr>
              <w:t>8645</w:t>
            </w:r>
          </w:p>
        </w:tc>
        <w:tc>
          <w:tcPr>
            <w:tcW w:w="609" w:type="pct"/>
            <w:vAlign w:val="center"/>
          </w:tcPr>
          <w:p w14:paraId="72F240F5">
            <w:pPr>
              <w:pStyle w:val="12"/>
              <w:jc w:val="center"/>
              <w:rPr>
                <w:rFonts w:ascii="宋体" w:hAnsi="宋体"/>
              </w:rPr>
            </w:pPr>
            <w:r>
              <w:rPr>
                <w:rFonts w:ascii="宋体" w:hAnsi="宋体"/>
              </w:rPr>
              <w:t>732</w:t>
            </w:r>
          </w:p>
        </w:tc>
        <w:tc>
          <w:tcPr>
            <w:tcW w:w="819" w:type="pct"/>
            <w:vAlign w:val="center"/>
          </w:tcPr>
          <w:p w14:paraId="476CD0CA">
            <w:pPr>
              <w:pStyle w:val="12"/>
              <w:jc w:val="center"/>
              <w:rPr>
                <w:rFonts w:ascii="宋体" w:hAnsi="宋体"/>
              </w:rPr>
            </w:pPr>
            <w:r>
              <w:rPr>
                <w:rFonts w:ascii="宋体" w:hAnsi="宋体"/>
              </w:rPr>
              <w:t>24</w:t>
            </w:r>
          </w:p>
        </w:tc>
      </w:tr>
      <w:tr w14:paraId="4968E9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BF64E4A">
            <w:pPr>
              <w:pStyle w:val="12"/>
              <w:jc w:val="center"/>
              <w:rPr>
                <w:rFonts w:ascii="宋体" w:hAnsi="宋体"/>
              </w:rPr>
            </w:pPr>
            <w:r>
              <w:rPr>
                <w:rFonts w:ascii="宋体" w:hAnsi="宋体"/>
              </w:rPr>
              <w:t>1985</w:t>
            </w:r>
          </w:p>
        </w:tc>
        <w:tc>
          <w:tcPr>
            <w:tcW w:w="714" w:type="pct"/>
            <w:vAlign w:val="center"/>
          </w:tcPr>
          <w:p w14:paraId="646AD869">
            <w:pPr>
              <w:pStyle w:val="12"/>
              <w:jc w:val="center"/>
              <w:rPr>
                <w:rFonts w:ascii="宋体" w:hAnsi="宋体"/>
              </w:rPr>
            </w:pPr>
            <w:r>
              <w:rPr>
                <w:rFonts w:ascii="宋体" w:hAnsi="宋体"/>
              </w:rPr>
              <w:t>279800</w:t>
            </w:r>
          </w:p>
        </w:tc>
        <w:tc>
          <w:tcPr>
            <w:tcW w:w="714" w:type="pct"/>
            <w:vAlign w:val="center"/>
          </w:tcPr>
          <w:p w14:paraId="72C5CD75">
            <w:pPr>
              <w:pStyle w:val="12"/>
              <w:jc w:val="center"/>
              <w:rPr>
                <w:rFonts w:ascii="宋体" w:hAnsi="宋体"/>
              </w:rPr>
            </w:pPr>
            <w:r>
              <w:rPr>
                <w:rFonts w:ascii="宋体" w:hAnsi="宋体"/>
              </w:rPr>
              <w:t>9970</w:t>
            </w:r>
          </w:p>
        </w:tc>
        <w:tc>
          <w:tcPr>
            <w:tcW w:w="715" w:type="pct"/>
            <w:vAlign w:val="center"/>
          </w:tcPr>
          <w:p w14:paraId="6209D78C">
            <w:pPr>
              <w:pStyle w:val="12"/>
              <w:jc w:val="center"/>
              <w:rPr>
                <w:rFonts w:ascii="宋体" w:hAnsi="宋体"/>
              </w:rPr>
            </w:pPr>
            <w:r>
              <w:rPr>
                <w:rFonts w:ascii="宋体" w:hAnsi="宋体"/>
              </w:rPr>
              <w:t>995</w:t>
            </w:r>
          </w:p>
        </w:tc>
        <w:tc>
          <w:tcPr>
            <w:tcW w:w="715" w:type="pct"/>
            <w:vAlign w:val="center"/>
          </w:tcPr>
          <w:p w14:paraId="4121F160">
            <w:pPr>
              <w:pStyle w:val="12"/>
              <w:jc w:val="center"/>
              <w:rPr>
                <w:rFonts w:ascii="宋体" w:hAnsi="宋体"/>
              </w:rPr>
            </w:pPr>
            <w:r>
              <w:rPr>
                <w:rFonts w:ascii="宋体" w:hAnsi="宋体"/>
              </w:rPr>
              <w:t>8975</w:t>
            </w:r>
          </w:p>
        </w:tc>
        <w:tc>
          <w:tcPr>
            <w:tcW w:w="609" w:type="pct"/>
            <w:vAlign w:val="center"/>
          </w:tcPr>
          <w:p w14:paraId="70745FEB">
            <w:pPr>
              <w:pStyle w:val="12"/>
              <w:jc w:val="center"/>
              <w:rPr>
                <w:rFonts w:ascii="宋体" w:hAnsi="宋体"/>
              </w:rPr>
            </w:pPr>
            <w:r>
              <w:rPr>
                <w:rFonts w:ascii="宋体" w:hAnsi="宋体"/>
              </w:rPr>
              <w:t>806</w:t>
            </w:r>
          </w:p>
        </w:tc>
        <w:tc>
          <w:tcPr>
            <w:tcW w:w="819" w:type="pct"/>
            <w:vAlign w:val="center"/>
          </w:tcPr>
          <w:p w14:paraId="3F97D6D8">
            <w:pPr>
              <w:pStyle w:val="12"/>
              <w:jc w:val="center"/>
              <w:rPr>
                <w:rFonts w:ascii="宋体" w:hAnsi="宋体"/>
              </w:rPr>
            </w:pPr>
            <w:r>
              <w:rPr>
                <w:rFonts w:ascii="宋体" w:hAnsi="宋体"/>
              </w:rPr>
              <w:t>26</w:t>
            </w:r>
          </w:p>
        </w:tc>
      </w:tr>
      <w:tr w14:paraId="6FB378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8833319">
            <w:pPr>
              <w:pStyle w:val="12"/>
              <w:jc w:val="center"/>
              <w:rPr>
                <w:rFonts w:ascii="宋体" w:hAnsi="宋体"/>
              </w:rPr>
            </w:pPr>
            <w:r>
              <w:rPr>
                <w:rFonts w:ascii="宋体" w:hAnsi="宋体"/>
              </w:rPr>
              <w:t>1987</w:t>
            </w:r>
          </w:p>
        </w:tc>
        <w:tc>
          <w:tcPr>
            <w:tcW w:w="714" w:type="pct"/>
            <w:vAlign w:val="center"/>
          </w:tcPr>
          <w:p w14:paraId="45995471">
            <w:pPr>
              <w:pStyle w:val="12"/>
              <w:jc w:val="center"/>
              <w:rPr>
                <w:rFonts w:ascii="宋体" w:hAnsi="宋体"/>
              </w:rPr>
            </w:pPr>
            <w:r>
              <w:rPr>
                <w:rFonts w:ascii="宋体" w:hAnsi="宋体"/>
              </w:rPr>
              <w:t>305355</w:t>
            </w:r>
          </w:p>
        </w:tc>
        <w:tc>
          <w:tcPr>
            <w:tcW w:w="714" w:type="pct"/>
            <w:vAlign w:val="center"/>
          </w:tcPr>
          <w:p w14:paraId="28A65CBB">
            <w:pPr>
              <w:pStyle w:val="12"/>
              <w:jc w:val="center"/>
              <w:rPr>
                <w:rFonts w:ascii="宋体" w:hAnsi="宋体"/>
              </w:rPr>
            </w:pPr>
            <w:r>
              <w:rPr>
                <w:rFonts w:ascii="宋体" w:hAnsi="宋体"/>
              </w:rPr>
              <w:t>9970</w:t>
            </w:r>
          </w:p>
        </w:tc>
        <w:tc>
          <w:tcPr>
            <w:tcW w:w="715" w:type="pct"/>
            <w:vAlign w:val="center"/>
          </w:tcPr>
          <w:p w14:paraId="7A83D4DF">
            <w:pPr>
              <w:pStyle w:val="12"/>
              <w:jc w:val="center"/>
              <w:rPr>
                <w:rFonts w:ascii="宋体" w:hAnsi="宋体"/>
              </w:rPr>
            </w:pPr>
            <w:r>
              <w:rPr>
                <w:rFonts w:ascii="宋体" w:hAnsi="宋体"/>
              </w:rPr>
              <w:t>1395</w:t>
            </w:r>
          </w:p>
        </w:tc>
        <w:tc>
          <w:tcPr>
            <w:tcW w:w="715" w:type="pct"/>
            <w:vAlign w:val="center"/>
          </w:tcPr>
          <w:p w14:paraId="454A64DB">
            <w:pPr>
              <w:pStyle w:val="12"/>
              <w:jc w:val="center"/>
              <w:rPr>
                <w:rFonts w:ascii="宋体" w:hAnsi="宋体"/>
              </w:rPr>
            </w:pPr>
            <w:r>
              <w:rPr>
                <w:rFonts w:ascii="宋体" w:hAnsi="宋体"/>
              </w:rPr>
              <w:t>8575</w:t>
            </w:r>
          </w:p>
        </w:tc>
        <w:tc>
          <w:tcPr>
            <w:tcW w:w="609" w:type="pct"/>
            <w:vAlign w:val="center"/>
          </w:tcPr>
          <w:p w14:paraId="02C31879">
            <w:pPr>
              <w:pStyle w:val="12"/>
              <w:jc w:val="center"/>
              <w:rPr>
                <w:rFonts w:ascii="宋体" w:hAnsi="宋体"/>
              </w:rPr>
            </w:pPr>
            <w:r>
              <w:rPr>
                <w:rFonts w:ascii="宋体" w:hAnsi="宋体"/>
              </w:rPr>
              <w:t>873</w:t>
            </w:r>
          </w:p>
        </w:tc>
        <w:tc>
          <w:tcPr>
            <w:tcW w:w="819" w:type="pct"/>
            <w:vAlign w:val="center"/>
          </w:tcPr>
          <w:p w14:paraId="7F5249C1">
            <w:pPr>
              <w:pStyle w:val="12"/>
              <w:jc w:val="center"/>
              <w:rPr>
                <w:rFonts w:ascii="宋体" w:hAnsi="宋体"/>
              </w:rPr>
            </w:pPr>
            <w:r>
              <w:rPr>
                <w:rFonts w:ascii="宋体" w:hAnsi="宋体"/>
              </w:rPr>
              <w:t>24.5</w:t>
            </w:r>
          </w:p>
        </w:tc>
      </w:tr>
    </w:tbl>
    <w:p w14:paraId="053A5C4E">
      <w:pPr>
        <w:ind w:firstLine="422"/>
        <w:rPr>
          <w:rFonts w:ascii="宋体" w:hAnsi="宋体"/>
          <w:b/>
          <w:szCs w:val="21"/>
        </w:rPr>
      </w:pPr>
      <w:r>
        <w:rPr>
          <w:rFonts w:hint="eastAsia" w:ascii="宋体" w:hAnsi="宋体"/>
          <w:b/>
          <w:szCs w:val="21"/>
        </w:rPr>
        <w:t>说明：农业实产量包括粮食和经济作物，均折为稻谷。</w:t>
      </w:r>
    </w:p>
    <w:p w14:paraId="6B55E4DF">
      <w:pPr>
        <w:ind w:firstLine="0" w:firstLineChars="0"/>
        <w:jc w:val="center"/>
        <w:rPr>
          <w:rFonts w:ascii="宋体" w:hAnsi="宋体"/>
          <w:b/>
          <w:szCs w:val="21"/>
        </w:rPr>
      </w:pPr>
      <w:r>
        <w:rPr>
          <w:rFonts w:hint="eastAsia" w:ascii="宋体" w:hAnsi="宋体"/>
          <w:b/>
          <w:szCs w:val="21"/>
        </w:rPr>
        <w:t>南雄市1988年至2000年农业税负担情况</w:t>
      </w:r>
    </w:p>
    <w:p w14:paraId="185BCF6F">
      <w:pPr>
        <w:ind w:firstLine="0" w:firstLineChars="0"/>
        <w:rPr>
          <w:rFonts w:ascii="宋体" w:hAnsi="宋体"/>
          <w:b/>
        </w:rPr>
      </w:pPr>
      <w:r>
        <w:rPr>
          <w:rFonts w:hint="eastAsia" w:ascii="宋体" w:hAnsi="宋体"/>
          <w:b/>
        </w:rPr>
        <w:t>表2-53</w:t>
      </w:r>
    </w:p>
    <w:p w14:paraId="0057E9C0">
      <w:pPr>
        <w:ind w:firstLine="0" w:firstLineChars="0"/>
        <w:jc w:val="right"/>
        <w:rPr>
          <w:rFonts w:ascii="宋体" w:hAnsi="宋体"/>
          <w:b/>
        </w:rPr>
      </w:pPr>
      <w:r>
        <w:rPr>
          <w:rFonts w:hint="eastAsia" w:ascii="宋体" w:hAnsi="宋体"/>
          <w:b/>
        </w:rPr>
        <w:t>单位：元</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2490"/>
        <w:gridCol w:w="2491"/>
        <w:gridCol w:w="2491"/>
      </w:tblGrid>
      <w:tr w14:paraId="21D775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78F625C">
            <w:pPr>
              <w:pStyle w:val="12"/>
              <w:jc w:val="center"/>
              <w:rPr>
                <w:rFonts w:ascii="宋体" w:hAnsi="宋体"/>
                <w:b/>
                <w:szCs w:val="21"/>
              </w:rPr>
            </w:pPr>
            <w:r>
              <w:rPr>
                <w:rFonts w:hint="eastAsia" w:ascii="宋体" w:hAnsi="宋体"/>
                <w:b/>
                <w:szCs w:val="21"/>
              </w:rPr>
              <w:t>年份</w:t>
            </w:r>
          </w:p>
        </w:tc>
        <w:tc>
          <w:tcPr>
            <w:tcW w:w="1250" w:type="pct"/>
            <w:vAlign w:val="center"/>
          </w:tcPr>
          <w:p w14:paraId="66BE3C91">
            <w:pPr>
              <w:pStyle w:val="12"/>
              <w:jc w:val="center"/>
              <w:rPr>
                <w:rFonts w:ascii="宋体" w:hAnsi="宋体"/>
                <w:b/>
                <w:szCs w:val="21"/>
              </w:rPr>
            </w:pPr>
            <w:r>
              <w:rPr>
                <w:rFonts w:hint="eastAsia" w:ascii="宋体" w:hAnsi="宋体"/>
                <w:b/>
                <w:szCs w:val="21"/>
              </w:rPr>
              <w:t>征收税额</w:t>
            </w:r>
          </w:p>
        </w:tc>
        <w:tc>
          <w:tcPr>
            <w:tcW w:w="1250" w:type="pct"/>
            <w:vAlign w:val="center"/>
          </w:tcPr>
          <w:p w14:paraId="2211BF9E">
            <w:pPr>
              <w:pStyle w:val="12"/>
              <w:jc w:val="center"/>
              <w:rPr>
                <w:rFonts w:ascii="宋体" w:hAnsi="宋体"/>
                <w:b/>
                <w:szCs w:val="21"/>
              </w:rPr>
            </w:pPr>
            <w:r>
              <w:rPr>
                <w:rFonts w:hint="eastAsia" w:ascii="宋体" w:hAnsi="宋体"/>
                <w:b/>
                <w:szCs w:val="21"/>
              </w:rPr>
              <w:t>减免</w:t>
            </w:r>
          </w:p>
        </w:tc>
        <w:tc>
          <w:tcPr>
            <w:tcW w:w="1250" w:type="pct"/>
            <w:vAlign w:val="center"/>
          </w:tcPr>
          <w:p w14:paraId="3BC0BEF1">
            <w:pPr>
              <w:pStyle w:val="12"/>
              <w:jc w:val="center"/>
              <w:rPr>
                <w:rFonts w:ascii="宋体" w:hAnsi="宋体"/>
                <w:b/>
                <w:szCs w:val="21"/>
              </w:rPr>
            </w:pPr>
            <w:r>
              <w:rPr>
                <w:rFonts w:hint="eastAsia" w:ascii="宋体" w:hAnsi="宋体"/>
                <w:b/>
                <w:szCs w:val="21"/>
              </w:rPr>
              <w:t>实征正税</w:t>
            </w:r>
          </w:p>
        </w:tc>
      </w:tr>
      <w:tr w14:paraId="02CE29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FD9FBBE">
            <w:pPr>
              <w:pStyle w:val="12"/>
              <w:jc w:val="center"/>
              <w:rPr>
                <w:rFonts w:ascii="宋体" w:hAnsi="宋体"/>
                <w:szCs w:val="21"/>
              </w:rPr>
            </w:pPr>
            <w:r>
              <w:rPr>
                <w:rFonts w:ascii="宋体" w:hAnsi="宋体"/>
                <w:szCs w:val="21"/>
              </w:rPr>
              <w:t>1988</w:t>
            </w:r>
          </w:p>
        </w:tc>
        <w:tc>
          <w:tcPr>
            <w:tcW w:w="1250" w:type="pct"/>
            <w:vAlign w:val="center"/>
          </w:tcPr>
          <w:p w14:paraId="567D6FA0">
            <w:pPr>
              <w:pStyle w:val="12"/>
              <w:jc w:val="center"/>
              <w:rPr>
                <w:rFonts w:ascii="宋体" w:hAnsi="宋体"/>
                <w:szCs w:val="21"/>
              </w:rPr>
            </w:pPr>
            <w:r>
              <w:rPr>
                <w:rFonts w:ascii="宋体" w:hAnsi="宋体"/>
                <w:szCs w:val="21"/>
              </w:rPr>
              <w:t>4377304</w:t>
            </w:r>
          </w:p>
        </w:tc>
        <w:tc>
          <w:tcPr>
            <w:tcW w:w="1250" w:type="pct"/>
            <w:vAlign w:val="center"/>
          </w:tcPr>
          <w:p w14:paraId="417E34BA">
            <w:pPr>
              <w:pStyle w:val="12"/>
              <w:jc w:val="center"/>
              <w:rPr>
                <w:rFonts w:ascii="宋体" w:hAnsi="宋体"/>
                <w:szCs w:val="21"/>
              </w:rPr>
            </w:pPr>
            <w:r>
              <w:rPr>
                <w:rFonts w:ascii="宋体" w:hAnsi="宋体"/>
                <w:szCs w:val="21"/>
              </w:rPr>
              <w:t>183450</w:t>
            </w:r>
          </w:p>
        </w:tc>
        <w:tc>
          <w:tcPr>
            <w:tcW w:w="1250" w:type="pct"/>
            <w:vAlign w:val="center"/>
          </w:tcPr>
          <w:p w14:paraId="55E36048">
            <w:pPr>
              <w:pStyle w:val="12"/>
              <w:jc w:val="center"/>
              <w:rPr>
                <w:rFonts w:ascii="宋体" w:hAnsi="宋体"/>
                <w:szCs w:val="21"/>
              </w:rPr>
            </w:pPr>
            <w:r>
              <w:rPr>
                <w:rFonts w:ascii="宋体" w:hAnsi="宋体"/>
                <w:szCs w:val="21"/>
              </w:rPr>
              <w:t>3939574</w:t>
            </w:r>
          </w:p>
        </w:tc>
      </w:tr>
      <w:tr w14:paraId="0F340E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569578D">
            <w:pPr>
              <w:pStyle w:val="12"/>
              <w:jc w:val="center"/>
              <w:rPr>
                <w:rFonts w:ascii="宋体" w:hAnsi="宋体"/>
                <w:szCs w:val="21"/>
              </w:rPr>
            </w:pPr>
            <w:r>
              <w:rPr>
                <w:rFonts w:ascii="宋体" w:hAnsi="宋体"/>
                <w:szCs w:val="21"/>
              </w:rPr>
              <w:t>1989</w:t>
            </w:r>
          </w:p>
        </w:tc>
        <w:tc>
          <w:tcPr>
            <w:tcW w:w="1250" w:type="pct"/>
            <w:vAlign w:val="center"/>
          </w:tcPr>
          <w:p w14:paraId="6ED9E7D1">
            <w:pPr>
              <w:pStyle w:val="12"/>
              <w:jc w:val="center"/>
              <w:rPr>
                <w:rFonts w:ascii="宋体" w:hAnsi="宋体"/>
                <w:szCs w:val="21"/>
              </w:rPr>
            </w:pPr>
            <w:r>
              <w:rPr>
                <w:rFonts w:ascii="宋体" w:hAnsi="宋体"/>
                <w:szCs w:val="21"/>
              </w:rPr>
              <w:t>3838416</w:t>
            </w:r>
          </w:p>
        </w:tc>
        <w:tc>
          <w:tcPr>
            <w:tcW w:w="1250" w:type="pct"/>
            <w:vAlign w:val="center"/>
          </w:tcPr>
          <w:p w14:paraId="2A04457B">
            <w:pPr>
              <w:pStyle w:val="12"/>
              <w:jc w:val="center"/>
              <w:rPr>
                <w:rFonts w:ascii="宋体" w:hAnsi="宋体"/>
                <w:szCs w:val="21"/>
              </w:rPr>
            </w:pPr>
            <w:r>
              <w:rPr>
                <w:rFonts w:ascii="宋体" w:hAnsi="宋体"/>
                <w:szCs w:val="21"/>
              </w:rPr>
              <w:t>314190</w:t>
            </w:r>
          </w:p>
        </w:tc>
        <w:tc>
          <w:tcPr>
            <w:tcW w:w="1250" w:type="pct"/>
            <w:vAlign w:val="center"/>
          </w:tcPr>
          <w:p w14:paraId="5A0728EB">
            <w:pPr>
              <w:pStyle w:val="12"/>
              <w:jc w:val="center"/>
              <w:rPr>
                <w:rFonts w:ascii="宋体" w:hAnsi="宋体"/>
                <w:szCs w:val="21"/>
              </w:rPr>
            </w:pPr>
            <w:r>
              <w:rPr>
                <w:rFonts w:ascii="宋体" w:hAnsi="宋体"/>
                <w:szCs w:val="21"/>
              </w:rPr>
              <w:t>3454574</w:t>
            </w:r>
          </w:p>
        </w:tc>
      </w:tr>
      <w:tr w14:paraId="60EA10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DEFF2EF">
            <w:pPr>
              <w:pStyle w:val="12"/>
              <w:jc w:val="center"/>
              <w:rPr>
                <w:rFonts w:ascii="宋体" w:hAnsi="宋体"/>
                <w:szCs w:val="21"/>
              </w:rPr>
            </w:pPr>
            <w:r>
              <w:rPr>
                <w:rFonts w:ascii="宋体" w:hAnsi="宋体"/>
                <w:szCs w:val="21"/>
              </w:rPr>
              <w:t>1990</w:t>
            </w:r>
          </w:p>
        </w:tc>
        <w:tc>
          <w:tcPr>
            <w:tcW w:w="1250" w:type="pct"/>
            <w:vAlign w:val="center"/>
          </w:tcPr>
          <w:p w14:paraId="72557EA4">
            <w:pPr>
              <w:pStyle w:val="12"/>
              <w:jc w:val="center"/>
              <w:rPr>
                <w:rFonts w:ascii="宋体" w:hAnsi="宋体"/>
                <w:szCs w:val="21"/>
              </w:rPr>
            </w:pPr>
            <w:r>
              <w:rPr>
                <w:rFonts w:ascii="宋体" w:hAnsi="宋体"/>
                <w:szCs w:val="21"/>
              </w:rPr>
              <w:t>6270417</w:t>
            </w:r>
          </w:p>
        </w:tc>
        <w:tc>
          <w:tcPr>
            <w:tcW w:w="1250" w:type="pct"/>
            <w:vAlign w:val="center"/>
          </w:tcPr>
          <w:p w14:paraId="47890B45">
            <w:pPr>
              <w:pStyle w:val="12"/>
              <w:jc w:val="center"/>
              <w:rPr>
                <w:rFonts w:ascii="宋体" w:hAnsi="宋体"/>
                <w:szCs w:val="21"/>
              </w:rPr>
            </w:pPr>
            <w:r>
              <w:rPr>
                <w:rFonts w:ascii="宋体" w:hAnsi="宋体"/>
                <w:szCs w:val="21"/>
              </w:rPr>
              <w:t>163195</w:t>
            </w:r>
          </w:p>
        </w:tc>
        <w:tc>
          <w:tcPr>
            <w:tcW w:w="1250" w:type="pct"/>
            <w:vAlign w:val="center"/>
          </w:tcPr>
          <w:p w14:paraId="322A6192">
            <w:pPr>
              <w:pStyle w:val="12"/>
              <w:jc w:val="center"/>
              <w:rPr>
                <w:rFonts w:ascii="宋体" w:hAnsi="宋体"/>
                <w:szCs w:val="21"/>
              </w:rPr>
            </w:pPr>
            <w:r>
              <w:rPr>
                <w:rFonts w:ascii="宋体" w:hAnsi="宋体"/>
                <w:szCs w:val="21"/>
              </w:rPr>
              <w:t>5643375</w:t>
            </w:r>
          </w:p>
        </w:tc>
      </w:tr>
      <w:tr w14:paraId="7D1C19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060DB4B">
            <w:pPr>
              <w:pStyle w:val="12"/>
              <w:jc w:val="center"/>
              <w:rPr>
                <w:rFonts w:ascii="宋体" w:hAnsi="宋体"/>
                <w:szCs w:val="21"/>
              </w:rPr>
            </w:pPr>
            <w:r>
              <w:rPr>
                <w:rFonts w:ascii="宋体" w:hAnsi="宋体"/>
                <w:szCs w:val="21"/>
              </w:rPr>
              <w:t>1991</w:t>
            </w:r>
          </w:p>
        </w:tc>
        <w:tc>
          <w:tcPr>
            <w:tcW w:w="1250" w:type="pct"/>
            <w:vAlign w:val="center"/>
          </w:tcPr>
          <w:p w14:paraId="572CE397">
            <w:pPr>
              <w:pStyle w:val="12"/>
              <w:jc w:val="center"/>
              <w:rPr>
                <w:rFonts w:ascii="宋体" w:hAnsi="宋体"/>
                <w:szCs w:val="21"/>
              </w:rPr>
            </w:pPr>
            <w:r>
              <w:rPr>
                <w:rFonts w:ascii="宋体" w:hAnsi="宋体"/>
                <w:szCs w:val="21"/>
              </w:rPr>
              <w:t>5219529</w:t>
            </w:r>
          </w:p>
        </w:tc>
        <w:tc>
          <w:tcPr>
            <w:tcW w:w="1250" w:type="pct"/>
            <w:vAlign w:val="center"/>
          </w:tcPr>
          <w:p w14:paraId="5244CF8E">
            <w:pPr>
              <w:pStyle w:val="12"/>
              <w:jc w:val="center"/>
              <w:rPr>
                <w:rFonts w:ascii="宋体" w:hAnsi="宋体"/>
                <w:szCs w:val="21"/>
              </w:rPr>
            </w:pPr>
            <w:r>
              <w:rPr>
                <w:rFonts w:ascii="宋体" w:hAnsi="宋体"/>
                <w:szCs w:val="21"/>
              </w:rPr>
              <w:t>—</w:t>
            </w:r>
          </w:p>
        </w:tc>
        <w:tc>
          <w:tcPr>
            <w:tcW w:w="1250" w:type="pct"/>
            <w:vAlign w:val="center"/>
          </w:tcPr>
          <w:p w14:paraId="0DBD705F">
            <w:pPr>
              <w:pStyle w:val="12"/>
              <w:jc w:val="center"/>
              <w:rPr>
                <w:rFonts w:ascii="宋体" w:hAnsi="宋体"/>
                <w:szCs w:val="21"/>
              </w:rPr>
            </w:pPr>
            <w:r>
              <w:rPr>
                <w:rFonts w:ascii="宋体" w:hAnsi="宋体"/>
                <w:szCs w:val="21"/>
              </w:rPr>
              <w:t>4697576</w:t>
            </w:r>
          </w:p>
        </w:tc>
      </w:tr>
      <w:tr w14:paraId="15C4B3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0DEE580">
            <w:pPr>
              <w:pStyle w:val="12"/>
              <w:jc w:val="center"/>
              <w:rPr>
                <w:rFonts w:ascii="宋体" w:hAnsi="宋体"/>
                <w:szCs w:val="21"/>
              </w:rPr>
            </w:pPr>
            <w:r>
              <w:rPr>
                <w:rFonts w:ascii="宋体" w:hAnsi="宋体"/>
                <w:szCs w:val="21"/>
              </w:rPr>
              <w:t>1992</w:t>
            </w:r>
          </w:p>
        </w:tc>
        <w:tc>
          <w:tcPr>
            <w:tcW w:w="1250" w:type="pct"/>
            <w:vAlign w:val="center"/>
          </w:tcPr>
          <w:p w14:paraId="55993A97">
            <w:pPr>
              <w:pStyle w:val="12"/>
              <w:jc w:val="center"/>
              <w:rPr>
                <w:rFonts w:ascii="宋体" w:hAnsi="宋体"/>
                <w:szCs w:val="21"/>
              </w:rPr>
            </w:pPr>
            <w:r>
              <w:rPr>
                <w:rFonts w:ascii="宋体" w:hAnsi="宋体"/>
                <w:szCs w:val="21"/>
              </w:rPr>
              <w:t>5053763</w:t>
            </w:r>
          </w:p>
        </w:tc>
        <w:tc>
          <w:tcPr>
            <w:tcW w:w="1250" w:type="pct"/>
            <w:vAlign w:val="center"/>
          </w:tcPr>
          <w:p w14:paraId="795CFD7B">
            <w:pPr>
              <w:pStyle w:val="12"/>
              <w:jc w:val="center"/>
              <w:rPr>
                <w:rFonts w:ascii="宋体" w:hAnsi="宋体"/>
                <w:szCs w:val="21"/>
              </w:rPr>
            </w:pPr>
            <w:r>
              <w:rPr>
                <w:rFonts w:ascii="宋体" w:hAnsi="宋体"/>
                <w:szCs w:val="21"/>
              </w:rPr>
              <w:t>—</w:t>
            </w:r>
          </w:p>
        </w:tc>
        <w:tc>
          <w:tcPr>
            <w:tcW w:w="1250" w:type="pct"/>
            <w:vAlign w:val="center"/>
          </w:tcPr>
          <w:p w14:paraId="29A53F3A">
            <w:pPr>
              <w:pStyle w:val="12"/>
              <w:jc w:val="center"/>
              <w:rPr>
                <w:rFonts w:ascii="宋体" w:hAnsi="宋体"/>
                <w:szCs w:val="21"/>
              </w:rPr>
            </w:pPr>
            <w:r>
              <w:rPr>
                <w:rFonts w:ascii="宋体" w:hAnsi="宋体"/>
                <w:szCs w:val="21"/>
              </w:rPr>
              <w:t>4548387</w:t>
            </w:r>
          </w:p>
        </w:tc>
      </w:tr>
      <w:tr w14:paraId="7F90ED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8631A98">
            <w:pPr>
              <w:pStyle w:val="12"/>
              <w:jc w:val="center"/>
              <w:rPr>
                <w:rFonts w:ascii="宋体" w:hAnsi="宋体"/>
                <w:szCs w:val="21"/>
              </w:rPr>
            </w:pPr>
            <w:r>
              <w:rPr>
                <w:rFonts w:ascii="宋体" w:hAnsi="宋体"/>
                <w:szCs w:val="21"/>
              </w:rPr>
              <w:t>1993</w:t>
            </w:r>
          </w:p>
        </w:tc>
        <w:tc>
          <w:tcPr>
            <w:tcW w:w="1250" w:type="pct"/>
            <w:vAlign w:val="center"/>
          </w:tcPr>
          <w:p w14:paraId="34AB8A3B">
            <w:pPr>
              <w:pStyle w:val="12"/>
              <w:jc w:val="center"/>
              <w:rPr>
                <w:rFonts w:ascii="宋体" w:hAnsi="宋体"/>
                <w:szCs w:val="21"/>
              </w:rPr>
            </w:pPr>
            <w:r>
              <w:rPr>
                <w:rFonts w:ascii="宋体" w:hAnsi="宋体"/>
                <w:szCs w:val="21"/>
              </w:rPr>
              <w:t>6846871</w:t>
            </w:r>
          </w:p>
        </w:tc>
        <w:tc>
          <w:tcPr>
            <w:tcW w:w="1250" w:type="pct"/>
            <w:vAlign w:val="center"/>
          </w:tcPr>
          <w:p w14:paraId="0D3CC4D1">
            <w:pPr>
              <w:pStyle w:val="12"/>
              <w:jc w:val="center"/>
              <w:rPr>
                <w:rFonts w:ascii="宋体" w:hAnsi="宋体"/>
                <w:szCs w:val="21"/>
              </w:rPr>
            </w:pPr>
            <w:r>
              <w:rPr>
                <w:rFonts w:ascii="宋体" w:hAnsi="宋体"/>
                <w:szCs w:val="21"/>
              </w:rPr>
              <w:t>—</w:t>
            </w:r>
          </w:p>
        </w:tc>
        <w:tc>
          <w:tcPr>
            <w:tcW w:w="1250" w:type="pct"/>
            <w:vAlign w:val="center"/>
          </w:tcPr>
          <w:p w14:paraId="77E28905">
            <w:pPr>
              <w:pStyle w:val="12"/>
              <w:jc w:val="center"/>
              <w:rPr>
                <w:rFonts w:ascii="宋体" w:hAnsi="宋体"/>
                <w:szCs w:val="21"/>
              </w:rPr>
            </w:pPr>
            <w:r>
              <w:rPr>
                <w:rFonts w:ascii="宋体" w:hAnsi="宋体"/>
                <w:szCs w:val="21"/>
              </w:rPr>
              <w:t>6162184</w:t>
            </w:r>
          </w:p>
        </w:tc>
      </w:tr>
      <w:tr w14:paraId="31C0FE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3E9B387">
            <w:pPr>
              <w:pStyle w:val="12"/>
              <w:jc w:val="center"/>
              <w:rPr>
                <w:rFonts w:ascii="宋体" w:hAnsi="宋体"/>
                <w:szCs w:val="21"/>
              </w:rPr>
            </w:pPr>
            <w:r>
              <w:rPr>
                <w:rFonts w:ascii="宋体" w:hAnsi="宋体"/>
                <w:szCs w:val="21"/>
              </w:rPr>
              <w:t>1994</w:t>
            </w:r>
          </w:p>
        </w:tc>
        <w:tc>
          <w:tcPr>
            <w:tcW w:w="1250" w:type="pct"/>
            <w:vAlign w:val="center"/>
          </w:tcPr>
          <w:p w14:paraId="3483C3AE">
            <w:pPr>
              <w:pStyle w:val="12"/>
              <w:jc w:val="center"/>
              <w:rPr>
                <w:rFonts w:ascii="宋体" w:hAnsi="宋体"/>
                <w:szCs w:val="21"/>
              </w:rPr>
            </w:pPr>
            <w:r>
              <w:rPr>
                <w:rFonts w:ascii="宋体" w:hAnsi="宋体"/>
                <w:szCs w:val="21"/>
              </w:rPr>
              <w:t>10951184</w:t>
            </w:r>
          </w:p>
        </w:tc>
        <w:tc>
          <w:tcPr>
            <w:tcW w:w="1250" w:type="pct"/>
            <w:vAlign w:val="center"/>
          </w:tcPr>
          <w:p w14:paraId="50F6E2A0">
            <w:pPr>
              <w:pStyle w:val="12"/>
              <w:jc w:val="center"/>
              <w:rPr>
                <w:rFonts w:ascii="宋体" w:hAnsi="宋体"/>
                <w:szCs w:val="21"/>
              </w:rPr>
            </w:pPr>
            <w:r>
              <w:rPr>
                <w:rFonts w:ascii="宋体" w:hAnsi="宋体"/>
                <w:szCs w:val="21"/>
              </w:rPr>
              <w:t>—</w:t>
            </w:r>
          </w:p>
        </w:tc>
        <w:tc>
          <w:tcPr>
            <w:tcW w:w="1250" w:type="pct"/>
            <w:vAlign w:val="center"/>
          </w:tcPr>
          <w:p w14:paraId="4DC26FBE">
            <w:pPr>
              <w:pStyle w:val="12"/>
              <w:jc w:val="center"/>
              <w:rPr>
                <w:rFonts w:ascii="宋体" w:hAnsi="宋体"/>
                <w:szCs w:val="21"/>
              </w:rPr>
            </w:pPr>
            <w:r>
              <w:rPr>
                <w:rFonts w:ascii="宋体" w:hAnsi="宋体"/>
                <w:szCs w:val="21"/>
              </w:rPr>
              <w:t>9856066</w:t>
            </w:r>
          </w:p>
        </w:tc>
      </w:tr>
      <w:tr w14:paraId="7838DF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45548D4">
            <w:pPr>
              <w:pStyle w:val="12"/>
              <w:jc w:val="center"/>
              <w:rPr>
                <w:rFonts w:ascii="宋体" w:hAnsi="宋体"/>
                <w:szCs w:val="21"/>
              </w:rPr>
            </w:pPr>
            <w:r>
              <w:rPr>
                <w:rFonts w:ascii="宋体" w:hAnsi="宋体"/>
                <w:szCs w:val="21"/>
              </w:rPr>
              <w:t>1995</w:t>
            </w:r>
          </w:p>
        </w:tc>
        <w:tc>
          <w:tcPr>
            <w:tcW w:w="1250" w:type="pct"/>
            <w:vAlign w:val="center"/>
          </w:tcPr>
          <w:p w14:paraId="3DE95447">
            <w:pPr>
              <w:pStyle w:val="12"/>
              <w:jc w:val="center"/>
              <w:rPr>
                <w:rFonts w:ascii="宋体" w:hAnsi="宋体"/>
                <w:szCs w:val="21"/>
              </w:rPr>
            </w:pPr>
            <w:r>
              <w:rPr>
                <w:rFonts w:ascii="宋体" w:hAnsi="宋体"/>
                <w:szCs w:val="21"/>
              </w:rPr>
              <w:t>1435155</w:t>
            </w:r>
          </w:p>
        </w:tc>
        <w:tc>
          <w:tcPr>
            <w:tcW w:w="1250" w:type="pct"/>
            <w:vAlign w:val="center"/>
          </w:tcPr>
          <w:p w14:paraId="429B61AC">
            <w:pPr>
              <w:pStyle w:val="12"/>
              <w:jc w:val="center"/>
              <w:rPr>
                <w:rFonts w:ascii="宋体" w:hAnsi="宋体"/>
                <w:szCs w:val="21"/>
              </w:rPr>
            </w:pPr>
            <w:r>
              <w:rPr>
                <w:rFonts w:ascii="宋体" w:hAnsi="宋体"/>
                <w:szCs w:val="21"/>
              </w:rPr>
              <w:t>—</w:t>
            </w:r>
          </w:p>
        </w:tc>
        <w:tc>
          <w:tcPr>
            <w:tcW w:w="1250" w:type="pct"/>
            <w:vAlign w:val="center"/>
          </w:tcPr>
          <w:p w14:paraId="5ECBDDD1">
            <w:pPr>
              <w:pStyle w:val="12"/>
              <w:jc w:val="center"/>
              <w:rPr>
                <w:rFonts w:ascii="宋体" w:hAnsi="宋体"/>
                <w:szCs w:val="21"/>
              </w:rPr>
            </w:pPr>
            <w:r>
              <w:rPr>
                <w:rFonts w:ascii="宋体" w:hAnsi="宋体"/>
                <w:szCs w:val="21"/>
              </w:rPr>
              <w:t>12917839</w:t>
            </w:r>
          </w:p>
        </w:tc>
      </w:tr>
      <w:tr w14:paraId="55C301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F441269">
            <w:pPr>
              <w:pStyle w:val="12"/>
              <w:jc w:val="center"/>
              <w:rPr>
                <w:rFonts w:ascii="宋体" w:hAnsi="宋体"/>
                <w:szCs w:val="21"/>
              </w:rPr>
            </w:pPr>
            <w:r>
              <w:rPr>
                <w:rFonts w:ascii="宋体" w:hAnsi="宋体"/>
                <w:szCs w:val="21"/>
              </w:rPr>
              <w:t>1996</w:t>
            </w:r>
          </w:p>
        </w:tc>
        <w:tc>
          <w:tcPr>
            <w:tcW w:w="1250" w:type="pct"/>
            <w:vAlign w:val="center"/>
          </w:tcPr>
          <w:p w14:paraId="6BFE2EBF">
            <w:pPr>
              <w:pStyle w:val="12"/>
              <w:jc w:val="center"/>
              <w:rPr>
                <w:rFonts w:ascii="宋体" w:hAnsi="宋体"/>
                <w:szCs w:val="21"/>
              </w:rPr>
            </w:pPr>
            <w:r>
              <w:rPr>
                <w:rFonts w:ascii="宋体" w:hAnsi="宋体"/>
                <w:szCs w:val="21"/>
              </w:rPr>
              <w:t>12062825</w:t>
            </w:r>
          </w:p>
        </w:tc>
        <w:tc>
          <w:tcPr>
            <w:tcW w:w="1250" w:type="pct"/>
            <w:vAlign w:val="center"/>
          </w:tcPr>
          <w:p w14:paraId="7CCA57F8">
            <w:pPr>
              <w:pStyle w:val="12"/>
              <w:jc w:val="center"/>
              <w:rPr>
                <w:rFonts w:ascii="宋体" w:hAnsi="宋体"/>
                <w:szCs w:val="21"/>
              </w:rPr>
            </w:pPr>
            <w:r>
              <w:rPr>
                <w:rFonts w:ascii="宋体" w:hAnsi="宋体"/>
                <w:szCs w:val="21"/>
              </w:rPr>
              <w:t>—</w:t>
            </w:r>
          </w:p>
        </w:tc>
        <w:tc>
          <w:tcPr>
            <w:tcW w:w="1250" w:type="pct"/>
            <w:vAlign w:val="center"/>
          </w:tcPr>
          <w:p w14:paraId="4D7DB561">
            <w:pPr>
              <w:pStyle w:val="12"/>
              <w:jc w:val="center"/>
              <w:rPr>
                <w:rFonts w:ascii="宋体" w:hAnsi="宋体"/>
                <w:szCs w:val="21"/>
              </w:rPr>
            </w:pPr>
            <w:r>
              <w:rPr>
                <w:rFonts w:ascii="宋体" w:hAnsi="宋体"/>
                <w:szCs w:val="21"/>
              </w:rPr>
              <w:t>10856542</w:t>
            </w:r>
          </w:p>
        </w:tc>
      </w:tr>
      <w:tr w14:paraId="192BA5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85C6454">
            <w:pPr>
              <w:pStyle w:val="12"/>
              <w:jc w:val="center"/>
              <w:rPr>
                <w:rFonts w:ascii="宋体" w:hAnsi="宋体"/>
                <w:szCs w:val="21"/>
              </w:rPr>
            </w:pPr>
            <w:r>
              <w:rPr>
                <w:rFonts w:ascii="宋体" w:hAnsi="宋体"/>
                <w:szCs w:val="21"/>
              </w:rPr>
              <w:t>1997</w:t>
            </w:r>
          </w:p>
        </w:tc>
        <w:tc>
          <w:tcPr>
            <w:tcW w:w="1250" w:type="pct"/>
            <w:vAlign w:val="center"/>
          </w:tcPr>
          <w:p w14:paraId="67B0402F">
            <w:pPr>
              <w:pStyle w:val="12"/>
              <w:jc w:val="center"/>
              <w:rPr>
                <w:rFonts w:ascii="宋体" w:hAnsi="宋体"/>
                <w:szCs w:val="21"/>
              </w:rPr>
            </w:pPr>
            <w:r>
              <w:rPr>
                <w:rFonts w:ascii="宋体" w:hAnsi="宋体"/>
                <w:szCs w:val="21"/>
              </w:rPr>
              <w:t>16031798</w:t>
            </w:r>
          </w:p>
        </w:tc>
        <w:tc>
          <w:tcPr>
            <w:tcW w:w="1250" w:type="pct"/>
            <w:vAlign w:val="center"/>
          </w:tcPr>
          <w:p w14:paraId="223F28AF">
            <w:pPr>
              <w:pStyle w:val="12"/>
              <w:jc w:val="center"/>
              <w:rPr>
                <w:rFonts w:ascii="宋体" w:hAnsi="宋体"/>
                <w:szCs w:val="21"/>
              </w:rPr>
            </w:pPr>
            <w:r>
              <w:rPr>
                <w:rFonts w:ascii="宋体" w:hAnsi="宋体"/>
                <w:szCs w:val="21"/>
              </w:rPr>
              <w:t>—</w:t>
            </w:r>
          </w:p>
        </w:tc>
        <w:tc>
          <w:tcPr>
            <w:tcW w:w="1250" w:type="pct"/>
            <w:vAlign w:val="center"/>
          </w:tcPr>
          <w:p w14:paraId="03568943">
            <w:pPr>
              <w:pStyle w:val="12"/>
              <w:jc w:val="center"/>
              <w:rPr>
                <w:rFonts w:ascii="宋体" w:hAnsi="宋体"/>
                <w:szCs w:val="21"/>
              </w:rPr>
            </w:pPr>
            <w:r>
              <w:rPr>
                <w:rFonts w:ascii="宋体" w:hAnsi="宋体"/>
                <w:szCs w:val="21"/>
              </w:rPr>
              <w:t>14428618</w:t>
            </w:r>
          </w:p>
        </w:tc>
      </w:tr>
      <w:tr w14:paraId="3D6721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5C5746AB">
            <w:pPr>
              <w:pStyle w:val="12"/>
              <w:jc w:val="center"/>
              <w:rPr>
                <w:rFonts w:ascii="宋体" w:hAnsi="宋体"/>
                <w:szCs w:val="21"/>
              </w:rPr>
            </w:pPr>
            <w:r>
              <w:rPr>
                <w:rFonts w:ascii="宋体" w:hAnsi="宋体"/>
                <w:szCs w:val="21"/>
              </w:rPr>
              <w:t>1998</w:t>
            </w:r>
          </w:p>
        </w:tc>
        <w:tc>
          <w:tcPr>
            <w:tcW w:w="1250" w:type="pct"/>
            <w:vAlign w:val="center"/>
          </w:tcPr>
          <w:p w14:paraId="53DB4133">
            <w:pPr>
              <w:pStyle w:val="12"/>
              <w:jc w:val="center"/>
              <w:rPr>
                <w:rFonts w:ascii="宋体" w:hAnsi="宋体"/>
                <w:szCs w:val="21"/>
              </w:rPr>
            </w:pPr>
            <w:r>
              <w:rPr>
                <w:rFonts w:ascii="宋体" w:hAnsi="宋体"/>
                <w:szCs w:val="21"/>
              </w:rPr>
              <w:t>13679155</w:t>
            </w:r>
          </w:p>
        </w:tc>
        <w:tc>
          <w:tcPr>
            <w:tcW w:w="1250" w:type="pct"/>
            <w:vAlign w:val="center"/>
          </w:tcPr>
          <w:p w14:paraId="03832D9A">
            <w:pPr>
              <w:pStyle w:val="12"/>
              <w:jc w:val="center"/>
              <w:rPr>
                <w:rFonts w:ascii="宋体" w:hAnsi="宋体"/>
                <w:szCs w:val="21"/>
              </w:rPr>
            </w:pPr>
            <w:r>
              <w:rPr>
                <w:rFonts w:ascii="宋体" w:hAnsi="宋体"/>
                <w:szCs w:val="21"/>
              </w:rPr>
              <w:t>—</w:t>
            </w:r>
          </w:p>
        </w:tc>
        <w:tc>
          <w:tcPr>
            <w:tcW w:w="1250" w:type="pct"/>
            <w:vAlign w:val="center"/>
          </w:tcPr>
          <w:p w14:paraId="43C92B95">
            <w:pPr>
              <w:pStyle w:val="12"/>
              <w:jc w:val="center"/>
              <w:rPr>
                <w:rFonts w:ascii="宋体" w:hAnsi="宋体"/>
                <w:szCs w:val="21"/>
              </w:rPr>
            </w:pPr>
            <w:r>
              <w:rPr>
                <w:rFonts w:ascii="宋体" w:hAnsi="宋体"/>
                <w:szCs w:val="21"/>
              </w:rPr>
              <w:t>12311240</w:t>
            </w:r>
          </w:p>
        </w:tc>
      </w:tr>
      <w:tr w14:paraId="625D80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4A18FDA">
            <w:pPr>
              <w:pStyle w:val="12"/>
              <w:jc w:val="center"/>
              <w:rPr>
                <w:rFonts w:ascii="宋体" w:hAnsi="宋体"/>
                <w:szCs w:val="21"/>
              </w:rPr>
            </w:pPr>
            <w:r>
              <w:rPr>
                <w:rFonts w:ascii="宋体" w:hAnsi="宋体"/>
                <w:szCs w:val="21"/>
              </w:rPr>
              <w:t>1999</w:t>
            </w:r>
          </w:p>
        </w:tc>
        <w:tc>
          <w:tcPr>
            <w:tcW w:w="1250" w:type="pct"/>
            <w:vAlign w:val="center"/>
          </w:tcPr>
          <w:p w14:paraId="15193FDF">
            <w:pPr>
              <w:pStyle w:val="12"/>
              <w:jc w:val="center"/>
              <w:rPr>
                <w:rFonts w:ascii="宋体" w:hAnsi="宋体"/>
                <w:szCs w:val="21"/>
              </w:rPr>
            </w:pPr>
            <w:r>
              <w:rPr>
                <w:rFonts w:ascii="宋体" w:hAnsi="宋体"/>
                <w:szCs w:val="21"/>
              </w:rPr>
              <w:t>12567073</w:t>
            </w:r>
          </w:p>
        </w:tc>
        <w:tc>
          <w:tcPr>
            <w:tcW w:w="1250" w:type="pct"/>
            <w:vAlign w:val="center"/>
          </w:tcPr>
          <w:p w14:paraId="019CDBAE">
            <w:pPr>
              <w:pStyle w:val="12"/>
              <w:jc w:val="center"/>
              <w:rPr>
                <w:rFonts w:ascii="宋体" w:hAnsi="宋体"/>
                <w:szCs w:val="21"/>
              </w:rPr>
            </w:pPr>
            <w:r>
              <w:rPr>
                <w:rFonts w:ascii="宋体" w:hAnsi="宋体"/>
                <w:szCs w:val="21"/>
              </w:rPr>
              <w:t>250000</w:t>
            </w:r>
          </w:p>
        </w:tc>
        <w:tc>
          <w:tcPr>
            <w:tcW w:w="1250" w:type="pct"/>
            <w:vAlign w:val="center"/>
          </w:tcPr>
          <w:p w14:paraId="3933FE67">
            <w:pPr>
              <w:pStyle w:val="12"/>
              <w:jc w:val="center"/>
              <w:rPr>
                <w:rFonts w:ascii="宋体" w:hAnsi="宋体"/>
                <w:szCs w:val="21"/>
              </w:rPr>
            </w:pPr>
            <w:r>
              <w:rPr>
                <w:rFonts w:ascii="宋体" w:hAnsi="宋体"/>
                <w:szCs w:val="21"/>
              </w:rPr>
              <w:t>11310365</w:t>
            </w:r>
          </w:p>
        </w:tc>
      </w:tr>
      <w:tr w14:paraId="0D5C7B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0E474AA">
            <w:pPr>
              <w:pStyle w:val="12"/>
              <w:jc w:val="center"/>
              <w:rPr>
                <w:rFonts w:ascii="宋体" w:hAnsi="宋体"/>
                <w:szCs w:val="21"/>
              </w:rPr>
            </w:pPr>
            <w:r>
              <w:rPr>
                <w:rFonts w:ascii="宋体" w:hAnsi="宋体"/>
                <w:szCs w:val="21"/>
              </w:rPr>
              <w:t>2000</w:t>
            </w:r>
          </w:p>
        </w:tc>
        <w:tc>
          <w:tcPr>
            <w:tcW w:w="1250" w:type="pct"/>
            <w:vAlign w:val="center"/>
          </w:tcPr>
          <w:p w14:paraId="0C936379">
            <w:pPr>
              <w:pStyle w:val="12"/>
              <w:jc w:val="center"/>
              <w:rPr>
                <w:rFonts w:ascii="宋体" w:hAnsi="宋体"/>
                <w:szCs w:val="21"/>
              </w:rPr>
            </w:pPr>
            <w:r>
              <w:rPr>
                <w:rFonts w:ascii="宋体" w:hAnsi="宋体"/>
                <w:szCs w:val="21"/>
              </w:rPr>
              <w:t>8030954</w:t>
            </w:r>
          </w:p>
        </w:tc>
        <w:tc>
          <w:tcPr>
            <w:tcW w:w="1250" w:type="pct"/>
            <w:vAlign w:val="center"/>
          </w:tcPr>
          <w:p w14:paraId="2ECEC0C9">
            <w:pPr>
              <w:pStyle w:val="12"/>
              <w:jc w:val="center"/>
              <w:rPr>
                <w:rFonts w:ascii="宋体" w:hAnsi="宋体"/>
                <w:szCs w:val="21"/>
              </w:rPr>
            </w:pPr>
            <w:r>
              <w:rPr>
                <w:rFonts w:ascii="宋体" w:hAnsi="宋体"/>
                <w:szCs w:val="21"/>
              </w:rPr>
              <w:t>450000</w:t>
            </w:r>
          </w:p>
        </w:tc>
        <w:tc>
          <w:tcPr>
            <w:tcW w:w="1250" w:type="pct"/>
            <w:vAlign w:val="center"/>
          </w:tcPr>
          <w:p w14:paraId="0F81FB68">
            <w:pPr>
              <w:pStyle w:val="12"/>
              <w:jc w:val="center"/>
              <w:rPr>
                <w:rFonts w:ascii="宋体" w:hAnsi="宋体"/>
                <w:szCs w:val="21"/>
              </w:rPr>
            </w:pPr>
            <w:r>
              <w:rPr>
                <w:rFonts w:ascii="宋体" w:hAnsi="宋体"/>
                <w:szCs w:val="21"/>
              </w:rPr>
              <w:t>7227859</w:t>
            </w:r>
          </w:p>
        </w:tc>
      </w:tr>
      <w:tr w14:paraId="6BC2EA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67778C32">
            <w:pPr>
              <w:pStyle w:val="12"/>
              <w:jc w:val="center"/>
              <w:rPr>
                <w:rFonts w:ascii="宋体" w:hAnsi="宋体"/>
                <w:szCs w:val="21"/>
              </w:rPr>
            </w:pPr>
            <w:r>
              <w:rPr>
                <w:rFonts w:ascii="宋体" w:hAnsi="宋体"/>
                <w:szCs w:val="21"/>
              </w:rPr>
              <w:t>2001</w:t>
            </w:r>
          </w:p>
        </w:tc>
        <w:tc>
          <w:tcPr>
            <w:tcW w:w="1250" w:type="pct"/>
            <w:vAlign w:val="center"/>
          </w:tcPr>
          <w:p w14:paraId="4C49346D">
            <w:pPr>
              <w:pStyle w:val="12"/>
              <w:jc w:val="center"/>
              <w:rPr>
                <w:rFonts w:ascii="宋体" w:hAnsi="宋体"/>
                <w:szCs w:val="21"/>
              </w:rPr>
            </w:pPr>
            <w:r>
              <w:rPr>
                <w:rFonts w:ascii="宋体" w:hAnsi="宋体"/>
                <w:szCs w:val="21"/>
              </w:rPr>
              <w:t>7852471</w:t>
            </w:r>
          </w:p>
        </w:tc>
        <w:tc>
          <w:tcPr>
            <w:tcW w:w="1250" w:type="pct"/>
            <w:vAlign w:val="center"/>
          </w:tcPr>
          <w:p w14:paraId="72367CD3">
            <w:pPr>
              <w:pStyle w:val="12"/>
              <w:jc w:val="center"/>
              <w:rPr>
                <w:rFonts w:ascii="宋体" w:hAnsi="宋体"/>
                <w:szCs w:val="21"/>
              </w:rPr>
            </w:pPr>
            <w:r>
              <w:rPr>
                <w:rFonts w:ascii="宋体" w:hAnsi="宋体"/>
                <w:szCs w:val="21"/>
              </w:rPr>
              <w:t>610000</w:t>
            </w:r>
          </w:p>
        </w:tc>
        <w:tc>
          <w:tcPr>
            <w:tcW w:w="1250" w:type="pct"/>
            <w:vAlign w:val="center"/>
          </w:tcPr>
          <w:p w14:paraId="63A476A5">
            <w:pPr>
              <w:pStyle w:val="12"/>
              <w:jc w:val="center"/>
              <w:rPr>
                <w:rFonts w:ascii="宋体" w:hAnsi="宋体"/>
                <w:szCs w:val="21"/>
              </w:rPr>
            </w:pPr>
            <w:r>
              <w:rPr>
                <w:rFonts w:ascii="宋体" w:hAnsi="宋体"/>
                <w:szCs w:val="21"/>
              </w:rPr>
              <w:t>7242471</w:t>
            </w:r>
          </w:p>
        </w:tc>
      </w:tr>
      <w:tr w14:paraId="2D0BF7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54DFB3F">
            <w:pPr>
              <w:pStyle w:val="12"/>
              <w:jc w:val="center"/>
              <w:rPr>
                <w:rFonts w:ascii="宋体" w:hAnsi="宋体"/>
                <w:szCs w:val="21"/>
              </w:rPr>
            </w:pPr>
            <w:r>
              <w:rPr>
                <w:rFonts w:ascii="宋体" w:hAnsi="宋体"/>
                <w:szCs w:val="21"/>
              </w:rPr>
              <w:t>2002</w:t>
            </w:r>
          </w:p>
        </w:tc>
        <w:tc>
          <w:tcPr>
            <w:tcW w:w="1250" w:type="pct"/>
            <w:vAlign w:val="center"/>
          </w:tcPr>
          <w:p w14:paraId="7C4E2D10">
            <w:pPr>
              <w:pStyle w:val="12"/>
              <w:jc w:val="center"/>
              <w:rPr>
                <w:rFonts w:ascii="宋体" w:hAnsi="宋体"/>
                <w:szCs w:val="21"/>
              </w:rPr>
            </w:pPr>
            <w:r>
              <w:rPr>
                <w:rFonts w:ascii="宋体" w:hAnsi="宋体"/>
                <w:szCs w:val="21"/>
              </w:rPr>
              <w:t>4972307</w:t>
            </w:r>
          </w:p>
        </w:tc>
        <w:tc>
          <w:tcPr>
            <w:tcW w:w="1250" w:type="pct"/>
            <w:vAlign w:val="center"/>
          </w:tcPr>
          <w:p w14:paraId="2632EAE2">
            <w:pPr>
              <w:pStyle w:val="12"/>
              <w:jc w:val="center"/>
              <w:rPr>
                <w:rFonts w:ascii="宋体" w:hAnsi="宋体"/>
                <w:szCs w:val="21"/>
              </w:rPr>
            </w:pPr>
            <w:r>
              <w:rPr>
                <w:rFonts w:ascii="宋体" w:hAnsi="宋体"/>
                <w:szCs w:val="21"/>
              </w:rPr>
              <w:t>600000</w:t>
            </w:r>
          </w:p>
        </w:tc>
        <w:tc>
          <w:tcPr>
            <w:tcW w:w="1250" w:type="pct"/>
            <w:vAlign w:val="center"/>
          </w:tcPr>
          <w:p w14:paraId="7D046D78">
            <w:pPr>
              <w:pStyle w:val="12"/>
              <w:jc w:val="center"/>
              <w:rPr>
                <w:rFonts w:ascii="宋体" w:hAnsi="宋体"/>
                <w:szCs w:val="21"/>
              </w:rPr>
            </w:pPr>
            <w:r>
              <w:rPr>
                <w:rFonts w:ascii="宋体" w:hAnsi="宋体"/>
                <w:szCs w:val="21"/>
              </w:rPr>
              <w:t>8872307</w:t>
            </w:r>
          </w:p>
        </w:tc>
      </w:tr>
      <w:tr w14:paraId="05D756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5907CC6A">
            <w:pPr>
              <w:pStyle w:val="12"/>
              <w:jc w:val="center"/>
              <w:rPr>
                <w:rFonts w:ascii="宋体" w:hAnsi="宋体"/>
                <w:szCs w:val="21"/>
              </w:rPr>
            </w:pPr>
            <w:r>
              <w:rPr>
                <w:rFonts w:ascii="宋体" w:hAnsi="宋体"/>
                <w:szCs w:val="21"/>
              </w:rPr>
              <w:t>2003</w:t>
            </w:r>
          </w:p>
        </w:tc>
        <w:tc>
          <w:tcPr>
            <w:tcW w:w="1250" w:type="pct"/>
            <w:vAlign w:val="center"/>
          </w:tcPr>
          <w:p w14:paraId="3119CC63">
            <w:pPr>
              <w:pStyle w:val="12"/>
              <w:jc w:val="center"/>
              <w:rPr>
                <w:rFonts w:ascii="宋体" w:hAnsi="宋体"/>
                <w:szCs w:val="21"/>
              </w:rPr>
            </w:pPr>
            <w:r>
              <w:rPr>
                <w:rFonts w:ascii="宋体" w:hAnsi="宋体"/>
                <w:szCs w:val="21"/>
              </w:rPr>
              <w:t>9679843</w:t>
            </w:r>
          </w:p>
        </w:tc>
        <w:tc>
          <w:tcPr>
            <w:tcW w:w="1250" w:type="pct"/>
            <w:vAlign w:val="center"/>
          </w:tcPr>
          <w:p w14:paraId="64BF7186">
            <w:pPr>
              <w:pStyle w:val="12"/>
              <w:jc w:val="center"/>
              <w:rPr>
                <w:rFonts w:ascii="宋体" w:hAnsi="宋体"/>
                <w:szCs w:val="21"/>
              </w:rPr>
            </w:pPr>
            <w:r>
              <w:rPr>
                <w:rFonts w:ascii="宋体" w:hAnsi="宋体"/>
                <w:szCs w:val="21"/>
              </w:rPr>
              <w:t>520000</w:t>
            </w:r>
          </w:p>
        </w:tc>
        <w:tc>
          <w:tcPr>
            <w:tcW w:w="1250" w:type="pct"/>
            <w:vAlign w:val="center"/>
          </w:tcPr>
          <w:p w14:paraId="20A3AC37">
            <w:pPr>
              <w:pStyle w:val="12"/>
              <w:jc w:val="center"/>
              <w:rPr>
                <w:rFonts w:ascii="宋体" w:hAnsi="宋体"/>
                <w:szCs w:val="21"/>
              </w:rPr>
            </w:pPr>
            <w:r>
              <w:rPr>
                <w:rFonts w:ascii="宋体" w:hAnsi="宋体"/>
                <w:szCs w:val="21"/>
              </w:rPr>
              <w:t>9159843</w:t>
            </w:r>
          </w:p>
        </w:tc>
      </w:tr>
      <w:tr w14:paraId="257346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80081D6">
            <w:pPr>
              <w:pStyle w:val="12"/>
              <w:jc w:val="center"/>
              <w:rPr>
                <w:rFonts w:ascii="宋体" w:hAnsi="宋体"/>
                <w:szCs w:val="21"/>
              </w:rPr>
            </w:pPr>
            <w:r>
              <w:rPr>
                <w:rFonts w:ascii="宋体" w:hAnsi="宋体"/>
                <w:szCs w:val="21"/>
              </w:rPr>
              <w:t>2004</w:t>
            </w:r>
          </w:p>
        </w:tc>
        <w:tc>
          <w:tcPr>
            <w:tcW w:w="1250" w:type="pct"/>
            <w:vAlign w:val="center"/>
          </w:tcPr>
          <w:p w14:paraId="2D5821FD">
            <w:pPr>
              <w:pStyle w:val="12"/>
              <w:jc w:val="center"/>
              <w:rPr>
                <w:rFonts w:ascii="宋体" w:hAnsi="宋体"/>
                <w:szCs w:val="21"/>
              </w:rPr>
            </w:pPr>
            <w:r>
              <w:rPr>
                <w:rFonts w:ascii="宋体" w:hAnsi="宋体"/>
                <w:szCs w:val="21"/>
              </w:rPr>
              <w:t>8444426</w:t>
            </w:r>
          </w:p>
        </w:tc>
        <w:tc>
          <w:tcPr>
            <w:tcW w:w="1250" w:type="pct"/>
            <w:vAlign w:val="center"/>
          </w:tcPr>
          <w:p w14:paraId="1BE9053C">
            <w:pPr>
              <w:pStyle w:val="12"/>
              <w:jc w:val="center"/>
              <w:rPr>
                <w:rFonts w:ascii="宋体" w:hAnsi="宋体"/>
                <w:szCs w:val="21"/>
              </w:rPr>
            </w:pPr>
            <w:r>
              <w:rPr>
                <w:rFonts w:ascii="宋体" w:hAnsi="宋体"/>
                <w:szCs w:val="21"/>
              </w:rPr>
              <w:t>4222213</w:t>
            </w:r>
          </w:p>
        </w:tc>
        <w:tc>
          <w:tcPr>
            <w:tcW w:w="1250" w:type="pct"/>
            <w:vAlign w:val="center"/>
          </w:tcPr>
          <w:p w14:paraId="2690E8B2">
            <w:pPr>
              <w:pStyle w:val="12"/>
              <w:jc w:val="center"/>
              <w:rPr>
                <w:rFonts w:ascii="宋体" w:hAnsi="宋体"/>
                <w:szCs w:val="21"/>
              </w:rPr>
            </w:pPr>
            <w:r>
              <w:rPr>
                <w:rFonts w:ascii="宋体" w:hAnsi="宋体"/>
                <w:szCs w:val="21"/>
              </w:rPr>
              <w:t>4222213</w:t>
            </w:r>
          </w:p>
        </w:tc>
      </w:tr>
    </w:tbl>
    <w:p w14:paraId="39E136AC">
      <w:pPr>
        <w:ind w:firstLine="422"/>
        <w:rPr>
          <w:rFonts w:ascii="宋体" w:hAnsi="宋体"/>
          <w:b/>
          <w:szCs w:val="21"/>
        </w:rPr>
      </w:pPr>
      <w:r>
        <w:rPr>
          <w:rFonts w:hint="eastAsia" w:ascii="宋体" w:hAnsi="宋体"/>
          <w:b/>
          <w:szCs w:val="21"/>
        </w:rPr>
        <w:t>（三）农村税费改革</w:t>
      </w:r>
    </w:p>
    <w:p w14:paraId="48B0D207">
      <w:pPr>
        <w:ind w:firstLine="420"/>
        <w:rPr>
          <w:rFonts w:ascii="宋体" w:hAnsi="宋体"/>
          <w:szCs w:val="21"/>
        </w:rPr>
      </w:pPr>
      <w:r>
        <w:rPr>
          <w:rFonts w:hint="eastAsia" w:ascii="宋体" w:hAnsi="宋体"/>
          <w:szCs w:val="21"/>
        </w:rPr>
        <w:t>本市于</w:t>
      </w:r>
      <w:r>
        <w:rPr>
          <w:rFonts w:ascii="宋体" w:hAnsi="宋体"/>
          <w:szCs w:val="21"/>
        </w:rPr>
        <w:t>2003年7月1日开展农村税费改革。其主要内容是</w:t>
      </w:r>
      <w:r>
        <w:rPr>
          <w:rFonts w:hint="eastAsia" w:ascii="宋体" w:hAnsi="宋体"/>
          <w:szCs w:val="21"/>
        </w:rPr>
        <w:t>“</w:t>
      </w:r>
      <w:r>
        <w:rPr>
          <w:rFonts w:ascii="宋体" w:hAnsi="宋体"/>
          <w:szCs w:val="21"/>
        </w:rPr>
        <w:t>五取消，一改革，一种</w:t>
      </w:r>
      <w:r>
        <w:rPr>
          <w:rFonts w:hint="eastAsia" w:ascii="宋体" w:hAnsi="宋体"/>
          <w:szCs w:val="21"/>
        </w:rPr>
        <w:t>税”。“五取消”即取消镇统筹费、村提留、农村教育集资等专门面向农民征收的行政事业性收费和政府性基金、集资；取消屠宰税；取消面向农民征收的农业特产税（烟叶除外）；取消劳动积累工和义务工；取消农业税附加。“一改革”，即改革村级经费筹集和管理，实行村内事务“一事一议”制度。对农民只收农业税。</w:t>
      </w:r>
    </w:p>
    <w:p w14:paraId="317A235E">
      <w:pPr>
        <w:ind w:firstLine="420"/>
        <w:rPr>
          <w:rFonts w:ascii="宋体" w:hAnsi="宋体"/>
          <w:szCs w:val="21"/>
        </w:rPr>
      </w:pPr>
      <w:r>
        <w:rPr>
          <w:rFonts w:hint="eastAsia" w:ascii="宋体" w:hAnsi="宋体"/>
          <w:szCs w:val="21"/>
        </w:rPr>
        <w:t>改革前的</w:t>
      </w:r>
      <w:r>
        <w:rPr>
          <w:rFonts w:ascii="宋体" w:hAnsi="宋体"/>
          <w:szCs w:val="21"/>
        </w:rPr>
        <w:t>2002年，全市农民人均负担108.5元，亩均负担103.9元，改革后的2003</w:t>
      </w:r>
      <w:r>
        <w:rPr>
          <w:rFonts w:hint="eastAsia" w:ascii="宋体" w:hAnsi="宋体"/>
          <w:szCs w:val="21"/>
        </w:rPr>
        <w:t>年人均负担降为</w:t>
      </w:r>
      <w:r>
        <w:rPr>
          <w:rFonts w:ascii="宋体" w:hAnsi="宋体"/>
          <w:szCs w:val="21"/>
        </w:rPr>
        <w:t>22.7元，亩均担24.3元。全市农民负担由2002年的4057.7万元，降为2003年的849.1万元，整体减负率为79.1%。2004年，本市在2003年农业税征收的基础</w:t>
      </w:r>
      <w:r>
        <w:rPr>
          <w:rFonts w:hint="eastAsia" w:ascii="宋体" w:hAnsi="宋体"/>
          <w:szCs w:val="21"/>
        </w:rPr>
        <w:t>上，再进行减半征收，</w:t>
      </w:r>
      <w:r>
        <w:rPr>
          <w:rFonts w:ascii="宋体" w:hAnsi="宋体"/>
          <w:szCs w:val="21"/>
        </w:rPr>
        <w:t>2005年对农业税实行全面免征，实现了</w:t>
      </w:r>
      <w:r>
        <w:rPr>
          <w:rFonts w:hint="eastAsia" w:ascii="宋体" w:hAnsi="宋体"/>
          <w:szCs w:val="21"/>
        </w:rPr>
        <w:t>“</w:t>
      </w:r>
      <w:r>
        <w:rPr>
          <w:rFonts w:ascii="宋体" w:hAnsi="宋体"/>
          <w:szCs w:val="21"/>
        </w:rPr>
        <w:t>零税负</w:t>
      </w:r>
      <w:r>
        <w:rPr>
          <w:rFonts w:hint="eastAsia" w:ascii="宋体" w:hAnsi="宋体"/>
          <w:szCs w:val="21"/>
        </w:rPr>
        <w:t>”。</w:t>
      </w:r>
    </w:p>
    <w:p w14:paraId="4881DE3F">
      <w:pPr>
        <w:pStyle w:val="5"/>
        <w:rPr>
          <w:rFonts w:ascii="宋体" w:hAnsi="宋体"/>
        </w:rPr>
      </w:pPr>
      <w:r>
        <w:rPr>
          <w:rFonts w:hint="eastAsia" w:ascii="宋体" w:hAnsi="宋体"/>
        </w:rPr>
        <w:t>五、财政检查</w:t>
      </w:r>
    </w:p>
    <w:p w14:paraId="071D3F06">
      <w:pPr>
        <w:ind w:firstLine="420"/>
        <w:rPr>
          <w:rFonts w:ascii="宋体" w:hAnsi="宋体"/>
          <w:szCs w:val="21"/>
        </w:rPr>
      </w:pPr>
      <w:r>
        <w:rPr>
          <w:rFonts w:ascii="宋体" w:hAnsi="宋体"/>
          <w:szCs w:val="21"/>
        </w:rPr>
        <w:t>1978年至1987年财政监督检</w:t>
      </w:r>
      <w:r>
        <w:rPr>
          <w:rFonts w:hint="eastAsia" w:ascii="宋体" w:hAnsi="宋体"/>
          <w:szCs w:val="21"/>
        </w:rPr>
        <w:t>查</w:t>
      </w:r>
      <w:r>
        <w:rPr>
          <w:rFonts w:ascii="宋体" w:hAnsi="宋体"/>
          <w:szCs w:val="21"/>
        </w:rPr>
        <w:t>发现违纪金额567.4万元，上缴财政278.3万元，1988</w:t>
      </w:r>
      <w:r>
        <w:rPr>
          <w:rFonts w:hint="eastAsia" w:ascii="宋体" w:hAnsi="宋体"/>
          <w:szCs w:val="21"/>
        </w:rPr>
        <w:t>年至</w:t>
      </w:r>
      <w:r>
        <w:rPr>
          <w:rFonts w:ascii="宋体" w:hAnsi="宋体"/>
          <w:szCs w:val="21"/>
        </w:rPr>
        <w:t>1998年继续加大财政监督检查力度，共组织专项检查15次，查出违纪金额1298万</w:t>
      </w:r>
      <w:r>
        <w:rPr>
          <w:rFonts w:hint="eastAsia" w:ascii="宋体" w:hAnsi="宋体"/>
          <w:szCs w:val="21"/>
        </w:rPr>
        <w:t>元，其中上缴财政</w:t>
      </w:r>
      <w:r>
        <w:rPr>
          <w:rFonts w:ascii="宋体" w:hAnsi="宋体"/>
          <w:szCs w:val="21"/>
        </w:rPr>
        <w:t>1074万元，1999年把专项检</w:t>
      </w:r>
      <w:r>
        <w:rPr>
          <w:rFonts w:hint="eastAsia" w:ascii="宋体" w:hAnsi="宋体"/>
          <w:szCs w:val="21"/>
        </w:rPr>
        <w:t>查</w:t>
      </w:r>
      <w:r>
        <w:rPr>
          <w:rFonts w:ascii="宋体" w:hAnsi="宋体"/>
          <w:szCs w:val="21"/>
        </w:rPr>
        <w:t>调整为日常检查</w:t>
      </w:r>
      <w:r>
        <w:rPr>
          <w:rFonts w:hint="eastAsia" w:ascii="宋体" w:hAnsi="宋体"/>
          <w:szCs w:val="21"/>
        </w:rPr>
        <w:t>。</w:t>
      </w:r>
    </w:p>
    <w:p w14:paraId="08E5355A">
      <w:pPr>
        <w:pStyle w:val="4"/>
        <w:rPr>
          <w:rFonts w:ascii="宋体" w:hAnsi="宋体"/>
        </w:rPr>
      </w:pPr>
      <w:r>
        <w:rPr>
          <w:rFonts w:hint="eastAsia" w:ascii="宋体" w:hAnsi="宋体"/>
        </w:rPr>
        <w:t>第二节  税收</w:t>
      </w:r>
    </w:p>
    <w:p w14:paraId="3A374039">
      <w:pPr>
        <w:pStyle w:val="5"/>
        <w:rPr>
          <w:rFonts w:ascii="宋体" w:hAnsi="宋体"/>
        </w:rPr>
      </w:pPr>
      <w:r>
        <w:rPr>
          <w:rFonts w:hint="eastAsia" w:ascii="宋体" w:hAnsi="宋体"/>
        </w:rPr>
        <w:t>一、机构</w:t>
      </w:r>
    </w:p>
    <w:p w14:paraId="778AFE2F">
      <w:pPr>
        <w:ind w:firstLine="420"/>
        <w:rPr>
          <w:rFonts w:ascii="宋体" w:hAnsi="宋体"/>
          <w:szCs w:val="21"/>
        </w:rPr>
      </w:pPr>
      <w:r>
        <w:rPr>
          <w:rFonts w:ascii="宋体" w:hAnsi="宋体"/>
          <w:szCs w:val="21"/>
        </w:rPr>
        <w:t>1949年11月，南雄县人民政府成立南雄县税务局，负责工商各税征收。1958年，税</w:t>
      </w:r>
      <w:r>
        <w:rPr>
          <w:rFonts w:hint="eastAsia" w:ascii="宋体" w:hAnsi="宋体"/>
          <w:szCs w:val="21"/>
        </w:rPr>
        <w:t>务局与财政科，建设银行合并为财政局。</w:t>
      </w:r>
      <w:r>
        <w:rPr>
          <w:rFonts w:ascii="宋体" w:hAnsi="宋体"/>
          <w:szCs w:val="21"/>
        </w:rPr>
        <w:t>1962年财税分开。“文化大革命”期间，又有分</w:t>
      </w:r>
      <w:r>
        <w:rPr>
          <w:rFonts w:hint="eastAsia" w:ascii="宋体" w:hAnsi="宋体"/>
          <w:szCs w:val="21"/>
        </w:rPr>
        <w:t>并。</w:t>
      </w:r>
      <w:r>
        <w:rPr>
          <w:rFonts w:ascii="宋体" w:hAnsi="宋体"/>
          <w:szCs w:val="21"/>
        </w:rPr>
        <w:t>1984年，税务局单列，下设20个税务所，1987年1月，成立南雄县税务局雄州分局</w:t>
      </w:r>
      <w:r>
        <w:rPr>
          <w:rFonts w:hint="eastAsia" w:ascii="宋体" w:hAnsi="宋体"/>
          <w:szCs w:val="21"/>
        </w:rPr>
        <w:t>。</w:t>
      </w:r>
      <w:r>
        <w:rPr>
          <w:rFonts w:ascii="宋体" w:hAnsi="宋体"/>
          <w:szCs w:val="21"/>
        </w:rPr>
        <w:t>1994年12月，县税务局分设为国家税务局和地方税务局。</w:t>
      </w:r>
    </w:p>
    <w:p w14:paraId="2BF8B59F">
      <w:pPr>
        <w:ind w:firstLine="420"/>
        <w:rPr>
          <w:rFonts w:ascii="宋体" w:hAnsi="宋体"/>
          <w:szCs w:val="21"/>
        </w:rPr>
      </w:pPr>
      <w:r>
        <w:rPr>
          <w:rFonts w:hint="eastAsia" w:ascii="宋体" w:hAnsi="宋体"/>
          <w:szCs w:val="21"/>
        </w:rPr>
        <w:t>南雄市国家税务局为中央直属正科级行政单位，下设乌迳、黄坑、水口、珠玑、全安、澜河</w:t>
      </w:r>
      <w:r>
        <w:rPr>
          <w:rFonts w:ascii="宋体" w:hAnsi="宋体"/>
          <w:szCs w:val="21"/>
        </w:rPr>
        <w:t>7个分局和城区直属征收分局。</w:t>
      </w:r>
    </w:p>
    <w:p w14:paraId="0DEB7811">
      <w:pPr>
        <w:ind w:firstLine="420"/>
        <w:rPr>
          <w:rFonts w:ascii="宋体" w:hAnsi="宋体"/>
          <w:szCs w:val="21"/>
        </w:rPr>
      </w:pPr>
      <w:r>
        <w:rPr>
          <w:rFonts w:hint="eastAsia" w:ascii="宋体" w:hAnsi="宋体"/>
          <w:szCs w:val="21"/>
        </w:rPr>
        <w:t>南雄市地方税务局，为省属正科级征政单位，下设乌迳、黄坑、水口、黎口、珠玑、澜河</w:t>
      </w:r>
      <w:r>
        <w:rPr>
          <w:rFonts w:ascii="宋体" w:hAnsi="宋体"/>
          <w:szCs w:val="21"/>
        </w:rPr>
        <w:t>6个中心分局和城区直属分局</w:t>
      </w:r>
      <w:r>
        <w:rPr>
          <w:rFonts w:hint="eastAsia" w:ascii="宋体" w:hAnsi="宋体"/>
          <w:szCs w:val="21"/>
        </w:rPr>
        <w:t>。</w:t>
      </w:r>
    </w:p>
    <w:p w14:paraId="2C3BAD91">
      <w:pPr>
        <w:pStyle w:val="5"/>
        <w:rPr>
          <w:rFonts w:ascii="宋体" w:hAnsi="宋体"/>
        </w:rPr>
      </w:pPr>
      <w:r>
        <w:rPr>
          <w:rFonts w:hint="eastAsia" w:ascii="宋体" w:hAnsi="宋体"/>
        </w:rPr>
        <w:t>二、税制</w:t>
      </w:r>
    </w:p>
    <w:p w14:paraId="75564714">
      <w:pPr>
        <w:ind w:firstLine="420"/>
        <w:rPr>
          <w:rFonts w:ascii="宋体" w:hAnsi="宋体"/>
          <w:szCs w:val="21"/>
        </w:rPr>
      </w:pPr>
      <w:r>
        <w:rPr>
          <w:rFonts w:ascii="宋体" w:hAnsi="宋体"/>
          <w:szCs w:val="21"/>
        </w:rPr>
        <w:t>1953年至1973年税制进行了3次简化。由于受“左”倾指导思想影响，片面强调单</w:t>
      </w:r>
      <w:r>
        <w:rPr>
          <w:rFonts w:hint="eastAsia" w:ascii="宋体" w:hAnsi="宋体"/>
          <w:szCs w:val="21"/>
        </w:rPr>
        <w:t>一的计划调节，盲目简化税种，造成企业之间负担极不合理，出现企业吃国家“大锅饭”现象，国家财政收入不稳定，税收调节经济的杠杆作用被削弱。</w:t>
      </w:r>
    </w:p>
    <w:p w14:paraId="152AE6B9">
      <w:pPr>
        <w:ind w:firstLine="420"/>
        <w:rPr>
          <w:rFonts w:ascii="宋体" w:hAnsi="宋体"/>
          <w:szCs w:val="21"/>
        </w:rPr>
      </w:pPr>
      <w:r>
        <w:rPr>
          <w:rFonts w:ascii="宋体" w:hAnsi="宋体"/>
          <w:szCs w:val="21"/>
        </w:rPr>
        <w:t>1983年8月，试行利改税。1984年10月，进行第二步利改税。以后又新开征一些税</w:t>
      </w:r>
      <w:r>
        <w:rPr>
          <w:rFonts w:hint="eastAsia" w:ascii="宋体" w:hAnsi="宋体"/>
          <w:szCs w:val="21"/>
        </w:rPr>
        <w:t>种。</w:t>
      </w:r>
      <w:r>
        <w:rPr>
          <w:rFonts w:ascii="宋体" w:hAnsi="宋体"/>
          <w:szCs w:val="21"/>
        </w:rPr>
        <w:t>1988年至1993年底，普遍实行国营企业“利改税”和全面改革工商税收制度，将新</w:t>
      </w:r>
      <w:r>
        <w:rPr>
          <w:rFonts w:hint="eastAsia" w:ascii="宋体" w:hAnsi="宋体"/>
          <w:szCs w:val="21"/>
        </w:rPr>
        <w:t>中国成立</w:t>
      </w:r>
      <w:r>
        <w:rPr>
          <w:rFonts w:ascii="宋体" w:hAnsi="宋体"/>
          <w:szCs w:val="21"/>
        </w:rPr>
        <w:t>30多年来国有企业向国家上缴利润的制度改为缴纳企业所得税的制度。同时对</w:t>
      </w:r>
      <w:r>
        <w:rPr>
          <w:rFonts w:hint="eastAsia" w:ascii="宋体" w:hAnsi="宋体"/>
          <w:szCs w:val="21"/>
        </w:rPr>
        <w:t>工商税制进行了</w:t>
      </w:r>
      <w:r>
        <w:rPr>
          <w:rFonts w:ascii="宋体" w:hAnsi="宋体"/>
          <w:szCs w:val="21"/>
        </w:rPr>
        <w:t>3次改革和完善，形成了比较科学合理，适应时宜的税制体系，包括32</w:t>
      </w:r>
      <w:r>
        <w:rPr>
          <w:rFonts w:hint="eastAsia" w:ascii="宋体" w:hAnsi="宋体"/>
          <w:szCs w:val="21"/>
        </w:rPr>
        <w:t>个税种。</w:t>
      </w:r>
      <w:r>
        <w:rPr>
          <w:rFonts w:ascii="宋体" w:hAnsi="宋体"/>
          <w:szCs w:val="21"/>
        </w:rPr>
        <w:t>19</w:t>
      </w:r>
      <w:r>
        <w:rPr>
          <w:rFonts w:hint="eastAsia" w:ascii="宋体" w:hAnsi="宋体"/>
          <w:szCs w:val="21"/>
        </w:rPr>
        <w:t>9</w:t>
      </w:r>
      <w:r>
        <w:rPr>
          <w:rFonts w:ascii="宋体" w:hAnsi="宋体"/>
          <w:szCs w:val="21"/>
        </w:rPr>
        <w:t>4年又进行了新税制改革，这次改革是新中国成立50多年来规模最大、范围</w:t>
      </w:r>
      <w:r>
        <w:rPr>
          <w:rFonts w:hint="eastAsia" w:ascii="宋体" w:hAnsi="宋体"/>
          <w:szCs w:val="21"/>
        </w:rPr>
        <w:t>最广泛、内容最深刻的一次税制改革。全面实行了比较规范的增值税为主体，消费税、营业税并行，内外统一的流转税制。将过去对国营企业、集体企业和私营企业分别征收的多种所得税合并为统一的企业所得税。将过去对外国人征收的个人所得税、对中国人征收的个人收入调节税和个体工商业户所得税合并为统一的个人所得税。对资源税、特别目的税、财产税、行为税等类税收作了较大幅度调整。</w:t>
      </w:r>
    </w:p>
    <w:p w14:paraId="3FDB7A9E">
      <w:pPr>
        <w:ind w:firstLine="420"/>
        <w:rPr>
          <w:rFonts w:ascii="宋体" w:hAnsi="宋体"/>
          <w:szCs w:val="21"/>
        </w:rPr>
      </w:pPr>
      <w:r>
        <w:rPr>
          <w:rFonts w:ascii="宋体" w:hAnsi="宋体"/>
          <w:szCs w:val="21"/>
        </w:rPr>
        <w:t>1994年12月，南雄市国家税务局征收的主要税种是增值税、消费税、企业所得税</w:t>
      </w:r>
      <w:r>
        <w:rPr>
          <w:rFonts w:hint="eastAsia" w:ascii="宋体" w:hAnsi="宋体"/>
          <w:szCs w:val="21"/>
        </w:rPr>
        <w:t>、外商投资企业和外国企业所得税、车辆购置税等。南雄市地方税务局主要征收营业税、个人和企业所得税、外商投资企业和外国企业所得税、房产税、城市房地产税、车船使用税、车辆牌照使用税、印花税、固定资产投资方向调节税、城建税、屠宰税、社保费、教育费附加、文化事业建设费、堤围费。</w:t>
      </w:r>
      <w:r>
        <w:rPr>
          <w:rFonts w:ascii="宋体" w:hAnsi="宋体"/>
          <w:szCs w:val="21"/>
        </w:rPr>
        <w:t>200</w:t>
      </w:r>
      <w:r>
        <w:rPr>
          <w:rFonts w:hint="eastAsia" w:ascii="宋体" w:hAnsi="宋体"/>
          <w:szCs w:val="21"/>
        </w:rPr>
        <w:t>2</w:t>
      </w:r>
      <w:r>
        <w:rPr>
          <w:rFonts w:ascii="宋体" w:hAnsi="宋体"/>
          <w:szCs w:val="21"/>
        </w:rPr>
        <w:t>年至2003年先后停征固定资产投资方向调节</w:t>
      </w:r>
      <w:r>
        <w:rPr>
          <w:rFonts w:hint="eastAsia" w:ascii="宋体" w:hAnsi="宋体"/>
          <w:szCs w:val="21"/>
        </w:rPr>
        <w:t>税和屠宰税。</w:t>
      </w:r>
    </w:p>
    <w:p w14:paraId="3CEC6C21">
      <w:pPr>
        <w:pStyle w:val="5"/>
        <w:rPr>
          <w:rFonts w:ascii="宋体" w:hAnsi="宋体"/>
        </w:rPr>
      </w:pPr>
      <w:r>
        <w:rPr>
          <w:rFonts w:hint="eastAsia" w:ascii="宋体" w:hAnsi="宋体"/>
        </w:rPr>
        <w:t>三、税收</w:t>
      </w:r>
    </w:p>
    <w:p w14:paraId="36E96F7D">
      <w:pPr>
        <w:ind w:firstLine="420"/>
        <w:rPr>
          <w:rFonts w:ascii="宋体" w:hAnsi="宋体"/>
          <w:szCs w:val="21"/>
        </w:rPr>
      </w:pPr>
      <w:r>
        <w:rPr>
          <w:rFonts w:hint="eastAsia" w:ascii="宋体" w:hAnsi="宋体"/>
          <w:szCs w:val="21"/>
        </w:rPr>
        <w:t>国税局和地税局分开前的</w:t>
      </w:r>
      <w:r>
        <w:rPr>
          <w:rFonts w:ascii="宋体" w:hAnsi="宋体"/>
          <w:szCs w:val="21"/>
        </w:rPr>
        <w:t>1994年，工商各税收收入11250万元，比1987年增加6455.7万元。</w:t>
      </w:r>
    </w:p>
    <w:p w14:paraId="3C6655D8">
      <w:pPr>
        <w:ind w:firstLine="420"/>
        <w:rPr>
          <w:rFonts w:ascii="宋体" w:hAnsi="宋体"/>
          <w:szCs w:val="21"/>
        </w:rPr>
      </w:pPr>
      <w:r>
        <w:rPr>
          <w:rFonts w:ascii="宋体" w:hAnsi="宋体"/>
          <w:szCs w:val="21"/>
        </w:rPr>
        <w:t>1995年为国税局和地税局分开后的第一年，也是执行新税制的第一年。当年，国税局</w:t>
      </w:r>
      <w:r>
        <w:rPr>
          <w:rFonts w:hint="eastAsia" w:ascii="宋体" w:hAnsi="宋体"/>
          <w:szCs w:val="21"/>
        </w:rPr>
        <w:t>征收税收9</w:t>
      </w:r>
      <w:r>
        <w:rPr>
          <w:rFonts w:ascii="宋体" w:hAnsi="宋体"/>
          <w:szCs w:val="21"/>
        </w:rPr>
        <w:t>652万元，1996年收</w:t>
      </w:r>
      <w:r>
        <w:rPr>
          <w:rFonts w:hint="eastAsia" w:ascii="宋体" w:hAnsi="宋体"/>
          <w:szCs w:val="21"/>
        </w:rPr>
        <w:t>入</w:t>
      </w:r>
      <w:r>
        <w:rPr>
          <w:rFonts w:ascii="宋体" w:hAnsi="宋体"/>
          <w:szCs w:val="21"/>
        </w:rPr>
        <w:t>10256万元。此后，每年以10%的增长幅度持续稳定增</w:t>
      </w:r>
      <w:r>
        <w:rPr>
          <w:rFonts w:hint="eastAsia" w:ascii="宋体" w:hAnsi="宋体"/>
          <w:szCs w:val="21"/>
        </w:rPr>
        <w:t>长，</w:t>
      </w:r>
      <w:r>
        <w:rPr>
          <w:rFonts w:ascii="宋体" w:hAnsi="宋体"/>
          <w:szCs w:val="21"/>
        </w:rPr>
        <w:t>2000年，税收收</w:t>
      </w:r>
      <w:r>
        <w:rPr>
          <w:rFonts w:hint="eastAsia" w:ascii="宋体" w:hAnsi="宋体"/>
          <w:szCs w:val="21"/>
        </w:rPr>
        <w:t>入</w:t>
      </w:r>
      <w:r>
        <w:rPr>
          <w:rFonts w:ascii="宋体" w:hAnsi="宋体"/>
          <w:szCs w:val="21"/>
        </w:rPr>
        <w:t>1.54亿元，200</w:t>
      </w:r>
      <w:r>
        <w:rPr>
          <w:rFonts w:hint="eastAsia" w:ascii="宋体" w:hAnsi="宋体"/>
          <w:szCs w:val="21"/>
        </w:rPr>
        <w:t>2</w:t>
      </w:r>
      <w:r>
        <w:rPr>
          <w:rFonts w:ascii="宋体" w:hAnsi="宋体"/>
          <w:szCs w:val="21"/>
        </w:rPr>
        <w:t>年烟厂撤并后，税源结构变化，税收收</w:t>
      </w:r>
      <w:r>
        <w:rPr>
          <w:rFonts w:hint="eastAsia" w:ascii="宋体" w:hAnsi="宋体"/>
          <w:szCs w:val="21"/>
        </w:rPr>
        <w:t>入</w:t>
      </w:r>
      <w:r>
        <w:rPr>
          <w:rFonts w:ascii="宋体" w:hAnsi="宋体"/>
          <w:szCs w:val="21"/>
        </w:rPr>
        <w:t>有所减</w:t>
      </w:r>
      <w:r>
        <w:rPr>
          <w:rFonts w:hint="eastAsia" w:ascii="宋体" w:hAnsi="宋体"/>
          <w:szCs w:val="21"/>
        </w:rPr>
        <w:t>少，但能超额完成任务，</w:t>
      </w:r>
      <w:r>
        <w:rPr>
          <w:rFonts w:ascii="宋体" w:hAnsi="宋体"/>
          <w:szCs w:val="21"/>
        </w:rPr>
        <w:t>2</w:t>
      </w:r>
      <w:r>
        <w:rPr>
          <w:rFonts w:hint="eastAsia" w:ascii="宋体" w:hAnsi="宋体"/>
          <w:szCs w:val="21"/>
        </w:rPr>
        <w:t>0</w:t>
      </w:r>
      <w:r>
        <w:rPr>
          <w:rFonts w:ascii="宋体" w:hAnsi="宋体"/>
          <w:szCs w:val="21"/>
        </w:rPr>
        <w:t>04年税收收</w:t>
      </w:r>
      <w:r>
        <w:rPr>
          <w:rFonts w:hint="eastAsia" w:ascii="宋体" w:hAnsi="宋体"/>
          <w:szCs w:val="21"/>
        </w:rPr>
        <w:t>入</w:t>
      </w:r>
      <w:r>
        <w:rPr>
          <w:rFonts w:ascii="宋体" w:hAnsi="宋体"/>
          <w:szCs w:val="21"/>
        </w:rPr>
        <w:t>为7329万元。国税局曾3次被国家税务总局授</w:t>
      </w:r>
      <w:r>
        <w:rPr>
          <w:rFonts w:hint="eastAsia" w:ascii="宋体" w:hAnsi="宋体"/>
          <w:szCs w:val="21"/>
        </w:rPr>
        <w:t>予全国税务系统先进单位和文明单位。地税局</w:t>
      </w:r>
      <w:r>
        <w:rPr>
          <w:rFonts w:ascii="宋体" w:hAnsi="宋体"/>
          <w:szCs w:val="21"/>
        </w:rPr>
        <w:t>1995年组织地方税收收</w:t>
      </w:r>
      <w:r>
        <w:rPr>
          <w:rFonts w:hint="eastAsia" w:ascii="宋体" w:hAnsi="宋体"/>
          <w:szCs w:val="21"/>
        </w:rPr>
        <w:t>入</w:t>
      </w:r>
      <w:r>
        <w:rPr>
          <w:rFonts w:ascii="宋体" w:hAnsi="宋体"/>
          <w:szCs w:val="21"/>
        </w:rPr>
        <w:t>1901万元，1996</w:t>
      </w:r>
      <w:r>
        <w:rPr>
          <w:rFonts w:hint="eastAsia" w:ascii="宋体" w:hAnsi="宋体"/>
          <w:szCs w:val="21"/>
        </w:rPr>
        <w:t>年为</w:t>
      </w:r>
      <w:r>
        <w:rPr>
          <w:rFonts w:ascii="宋体" w:hAnsi="宋体"/>
          <w:szCs w:val="21"/>
        </w:rPr>
        <w:t>2212万元，2002年为4582万元。2004年为8026万元，比1995年、1996年和2002年</w:t>
      </w:r>
      <w:r>
        <w:rPr>
          <w:rFonts w:hint="eastAsia" w:ascii="宋体" w:hAnsi="宋体"/>
          <w:szCs w:val="21"/>
        </w:rPr>
        <w:t>分别增长</w:t>
      </w:r>
      <w:r>
        <w:rPr>
          <w:rFonts w:ascii="宋体" w:hAnsi="宋体"/>
          <w:szCs w:val="21"/>
        </w:rPr>
        <w:t>3</w:t>
      </w:r>
      <w:r>
        <w:rPr>
          <w:rFonts w:hint="eastAsia" w:ascii="宋体" w:hAnsi="宋体"/>
          <w:szCs w:val="21"/>
        </w:rPr>
        <w:t>2</w:t>
      </w:r>
      <w:r>
        <w:rPr>
          <w:rFonts w:ascii="宋体" w:hAnsi="宋体"/>
          <w:szCs w:val="21"/>
        </w:rPr>
        <w:t>2%、263%、75%</w:t>
      </w:r>
      <w:r>
        <w:rPr>
          <w:rFonts w:hint="eastAsia" w:ascii="宋体" w:hAnsi="宋体"/>
          <w:szCs w:val="21"/>
        </w:rPr>
        <w:t>。</w:t>
      </w:r>
    </w:p>
    <w:p w14:paraId="56807681">
      <w:pPr>
        <w:pStyle w:val="5"/>
        <w:rPr>
          <w:rFonts w:ascii="宋体" w:hAnsi="宋体"/>
        </w:rPr>
      </w:pPr>
      <w:r>
        <w:rPr>
          <w:rFonts w:hint="eastAsia" w:ascii="宋体" w:hAnsi="宋体"/>
        </w:rPr>
        <w:t>四、税务稽查</w:t>
      </w:r>
    </w:p>
    <w:p w14:paraId="38036DF7">
      <w:pPr>
        <w:ind w:firstLine="420"/>
        <w:rPr>
          <w:rFonts w:ascii="宋体" w:hAnsi="宋体"/>
          <w:szCs w:val="21"/>
        </w:rPr>
      </w:pPr>
      <w:r>
        <w:rPr>
          <w:rFonts w:ascii="宋体" w:hAnsi="宋体"/>
          <w:szCs w:val="21"/>
        </w:rPr>
        <w:t>19</w:t>
      </w:r>
      <w:r>
        <w:rPr>
          <w:rFonts w:hint="eastAsia" w:ascii="宋体" w:hAnsi="宋体"/>
          <w:szCs w:val="21"/>
        </w:rPr>
        <w:t>9</w:t>
      </w:r>
      <w:r>
        <w:rPr>
          <w:rFonts w:ascii="宋体" w:hAnsi="宋体"/>
          <w:szCs w:val="21"/>
        </w:rPr>
        <w:t>7年以前南雄国税的税收征管模式是征、管、查三分离，以手工操作为主，保姆式</w:t>
      </w:r>
      <w:r>
        <w:rPr>
          <w:rFonts w:hint="eastAsia" w:ascii="宋体" w:hAnsi="宋体"/>
          <w:szCs w:val="21"/>
        </w:rPr>
        <w:t>服务。以后建立起了“以计算机为依托，以申报纳税为基础，集中征收，重点稽查”的征管模式。以经济区域实行集中征收，纳税人自觉主动申报纳税，税务机关积极做好纳税辅导、服务和管理检查，征管手段由手工操作转变为电子科技化，电脑普遍应用于税收征管的各个领域。建立了包括认证、报税、稽核、协查</w:t>
      </w:r>
      <w:r>
        <w:rPr>
          <w:rFonts w:ascii="宋体" w:hAnsi="宋体"/>
          <w:szCs w:val="21"/>
        </w:rPr>
        <w:t>4个子系统的金税工程和推行了由1.2</w:t>
      </w:r>
      <w:r>
        <w:rPr>
          <w:rFonts w:hint="eastAsia" w:ascii="宋体" w:hAnsi="宋体"/>
          <w:szCs w:val="21"/>
        </w:rPr>
        <w:t>版升至</w:t>
      </w:r>
      <w:r>
        <w:rPr>
          <w:rFonts w:ascii="宋体" w:hAnsi="宋体"/>
          <w:szCs w:val="21"/>
        </w:rPr>
        <w:t>2.4版的征管软件系统，实施了防伪税控系统。在税务检</w:t>
      </w:r>
      <w:r>
        <w:rPr>
          <w:rFonts w:hint="eastAsia" w:ascii="宋体" w:hAnsi="宋体"/>
          <w:szCs w:val="21"/>
        </w:rPr>
        <w:t>查</w:t>
      </w:r>
      <w:r>
        <w:rPr>
          <w:rFonts w:ascii="宋体" w:hAnsi="宋体"/>
          <w:szCs w:val="21"/>
        </w:rPr>
        <w:t>方面建立、受理、执</w:t>
      </w:r>
      <w:r>
        <w:rPr>
          <w:rFonts w:hint="eastAsia" w:ascii="宋体" w:hAnsi="宋体"/>
          <w:szCs w:val="21"/>
        </w:rPr>
        <w:t>行、稽查的四级工，对纳税人的纳税义务履行情况进行全程监督，做到事前预防，事中监督，事后处理。近</w:t>
      </w:r>
      <w:r>
        <w:rPr>
          <w:rFonts w:ascii="宋体" w:hAnsi="宋体"/>
          <w:szCs w:val="21"/>
        </w:rPr>
        <w:t>5年来，南雄国税的税务稽查在反偷抗骗税中发挥了尖刀作用，平均每</w:t>
      </w:r>
      <w:r>
        <w:rPr>
          <w:rFonts w:hint="eastAsia" w:ascii="宋体" w:hAnsi="宋体"/>
          <w:szCs w:val="21"/>
        </w:rPr>
        <w:t>年查处案件</w:t>
      </w:r>
      <w:r>
        <w:rPr>
          <w:rFonts w:ascii="宋体" w:hAnsi="宋体"/>
          <w:szCs w:val="21"/>
        </w:rPr>
        <w:t>38宗，</w:t>
      </w:r>
      <w:r>
        <w:rPr>
          <w:rFonts w:hint="eastAsia" w:ascii="宋体" w:hAnsi="宋体"/>
          <w:szCs w:val="21"/>
        </w:rPr>
        <w:t>查</w:t>
      </w:r>
      <w:r>
        <w:rPr>
          <w:rFonts w:ascii="宋体" w:hAnsi="宋体"/>
          <w:szCs w:val="21"/>
        </w:rPr>
        <w:t>补税款440多万元，还查处了几宗重大涉税案件。</w:t>
      </w:r>
    </w:p>
    <w:p w14:paraId="7901997C">
      <w:pPr>
        <w:ind w:firstLine="420"/>
        <w:rPr>
          <w:rFonts w:ascii="宋体" w:hAnsi="宋体"/>
          <w:szCs w:val="21"/>
        </w:rPr>
      </w:pPr>
      <w:r>
        <w:rPr>
          <w:rFonts w:hint="eastAsia" w:ascii="宋体" w:hAnsi="宋体"/>
          <w:szCs w:val="21"/>
        </w:rPr>
        <w:t>地税局地从</w:t>
      </w:r>
      <w:r>
        <w:rPr>
          <w:rFonts w:ascii="宋体" w:hAnsi="宋体"/>
          <w:szCs w:val="21"/>
        </w:rPr>
        <w:t>1995年起逐步实现了税收征管从手工操作到现代化转变，改变了原来</w:t>
      </w:r>
      <w:r>
        <w:rPr>
          <w:rFonts w:hint="eastAsia" w:ascii="宋体" w:hAnsi="宋体"/>
          <w:szCs w:val="21"/>
        </w:rPr>
        <w:t>“一人进厂，各税统管，征管查集于一身”的旧模式，建立了以“税务登记、申报纳税和优化服务为基础，以计算机网络为依托，统一登记，集中征收，属地管理，重点稽查”的新模式。</w:t>
      </w:r>
      <w:r>
        <w:rPr>
          <w:rFonts w:ascii="宋体" w:hAnsi="宋体"/>
          <w:szCs w:val="21"/>
        </w:rPr>
        <w:t>1995年地税局被国家税务总局授予全国税务系统1995年度纪检监察先进单位。</w:t>
      </w:r>
    </w:p>
    <w:p w14:paraId="23DAF87F">
      <w:pPr>
        <w:pStyle w:val="4"/>
        <w:rPr>
          <w:rFonts w:ascii="宋体" w:hAnsi="宋体"/>
        </w:rPr>
      </w:pPr>
      <w:r>
        <w:rPr>
          <w:rFonts w:hint="eastAsia" w:ascii="宋体" w:hAnsi="宋体"/>
        </w:rPr>
        <w:t>第三节  审计</w:t>
      </w:r>
    </w:p>
    <w:p w14:paraId="4112425F">
      <w:pPr>
        <w:ind w:firstLine="420"/>
        <w:rPr>
          <w:rFonts w:ascii="宋体" w:hAnsi="宋体"/>
          <w:szCs w:val="21"/>
        </w:rPr>
      </w:pPr>
      <w:r>
        <w:rPr>
          <w:rFonts w:ascii="宋体" w:hAnsi="宋体"/>
          <w:szCs w:val="21"/>
        </w:rPr>
        <w:t>1984年1月，南雄县审计局成立，开展对本级财政预算执行情况和其他财政收支情况</w:t>
      </w:r>
      <w:r>
        <w:rPr>
          <w:rFonts w:hint="eastAsia" w:ascii="宋体" w:hAnsi="宋体"/>
          <w:szCs w:val="21"/>
        </w:rPr>
        <w:t>的审计监督工作。</w:t>
      </w:r>
      <w:r>
        <w:rPr>
          <w:rFonts w:ascii="宋体" w:hAnsi="宋体"/>
          <w:szCs w:val="21"/>
        </w:rPr>
        <w:t>1988年至2004年底共审计单位（项目）965个，查出违纪违规金额6198万元，应上缴财政884万元，已上缴财政737万元；应归还原渠道资金金额1565万</w:t>
      </w:r>
      <w:r>
        <w:rPr>
          <w:rFonts w:hint="eastAsia" w:ascii="宋体" w:hAnsi="宋体"/>
          <w:szCs w:val="21"/>
        </w:rPr>
        <w:t>元；应自行纠正金额</w:t>
      </w:r>
      <w:r>
        <w:rPr>
          <w:rFonts w:ascii="宋体" w:hAnsi="宋体"/>
          <w:szCs w:val="21"/>
        </w:rPr>
        <w:t>15179万元。在此期间，查出经济案件线索6起。其中，移送司法机</w:t>
      </w:r>
      <w:r>
        <w:rPr>
          <w:rFonts w:hint="eastAsia" w:ascii="宋体" w:hAnsi="宋体"/>
          <w:szCs w:val="21"/>
        </w:rPr>
        <w:t>关处理的</w:t>
      </w:r>
      <w:r>
        <w:rPr>
          <w:rFonts w:ascii="宋体" w:hAnsi="宋体"/>
          <w:szCs w:val="21"/>
        </w:rPr>
        <w:t>2人，交党纪政纪部门处理的8人。</w:t>
      </w:r>
    </w:p>
    <w:p w14:paraId="63788862">
      <w:pPr>
        <w:ind w:firstLine="420"/>
        <w:rPr>
          <w:rFonts w:ascii="宋体" w:hAnsi="宋体"/>
          <w:szCs w:val="21"/>
        </w:rPr>
      </w:pPr>
      <w:r>
        <w:rPr>
          <w:rFonts w:hint="eastAsia" w:ascii="宋体" w:hAnsi="宋体"/>
          <w:szCs w:val="21"/>
        </w:rPr>
        <w:t>在积极开展审计监督的同时，抓好内部审计工作，建立内部审计机构</w:t>
      </w:r>
      <w:r>
        <w:rPr>
          <w:rFonts w:ascii="宋体" w:hAnsi="宋体"/>
          <w:szCs w:val="21"/>
        </w:rPr>
        <w:t>28个，配备内</w:t>
      </w:r>
      <w:r>
        <w:rPr>
          <w:rFonts w:hint="eastAsia" w:ascii="宋体" w:hAnsi="宋体"/>
          <w:szCs w:val="21"/>
        </w:rPr>
        <w:t>部审计人员</w:t>
      </w:r>
      <w:r>
        <w:rPr>
          <w:rFonts w:ascii="宋体" w:hAnsi="宋体"/>
          <w:szCs w:val="21"/>
        </w:rPr>
        <w:t>70人。1988年至2004年底止，共审计836个单位（项目），查出损失浪费金</w:t>
      </w:r>
      <w:r>
        <w:rPr>
          <w:rFonts w:hint="eastAsia" w:ascii="宋体" w:hAnsi="宋体"/>
          <w:szCs w:val="21"/>
        </w:rPr>
        <w:t>额</w:t>
      </w:r>
      <w:r>
        <w:rPr>
          <w:rFonts w:ascii="宋体" w:hAnsi="宋体"/>
          <w:szCs w:val="21"/>
        </w:rPr>
        <w:t>22万元，促进增收节支金额512万元，纠正违规金额404万元，移送司法机关处理3</w:t>
      </w:r>
      <w:r>
        <w:rPr>
          <w:rFonts w:hint="eastAsia" w:ascii="宋体" w:hAnsi="宋体"/>
          <w:szCs w:val="21"/>
        </w:rPr>
        <w:t>人，建议给予行政处分</w:t>
      </w:r>
      <w:r>
        <w:rPr>
          <w:rFonts w:ascii="宋体" w:hAnsi="宋体"/>
          <w:szCs w:val="21"/>
        </w:rPr>
        <w:t>8人。</w:t>
      </w:r>
    </w:p>
    <w:p w14:paraId="6F8834CE">
      <w:pPr>
        <w:pStyle w:val="3"/>
        <w:rPr>
          <w:rFonts w:ascii="宋体" w:hAnsi="宋体"/>
        </w:rPr>
      </w:pPr>
      <w:r>
        <w:rPr>
          <w:rFonts w:hint="eastAsia" w:ascii="宋体" w:hAnsi="宋体"/>
        </w:rPr>
        <w:t>第十四章  工商行政与标准计量管理</w:t>
      </w:r>
    </w:p>
    <w:p w14:paraId="09C2979A">
      <w:pPr>
        <w:pStyle w:val="4"/>
        <w:rPr>
          <w:rFonts w:ascii="宋体" w:hAnsi="宋体"/>
        </w:rPr>
      </w:pPr>
      <w:r>
        <w:rPr>
          <w:rFonts w:hint="eastAsia" w:ascii="宋体" w:hAnsi="宋体"/>
        </w:rPr>
        <w:t>第一节  机构</w:t>
      </w:r>
    </w:p>
    <w:p w14:paraId="75B2D8E9">
      <w:pPr>
        <w:ind w:firstLine="420"/>
        <w:rPr>
          <w:rFonts w:ascii="宋体" w:hAnsi="宋体"/>
          <w:szCs w:val="21"/>
        </w:rPr>
      </w:pPr>
      <w:r>
        <w:rPr>
          <w:rFonts w:hint="eastAsia" w:ascii="宋体" w:hAnsi="宋体"/>
          <w:szCs w:val="21"/>
        </w:rPr>
        <w:t>新中国成立后，县人民政府于</w:t>
      </w:r>
      <w:r>
        <w:rPr>
          <w:rFonts w:ascii="宋体" w:hAnsi="宋体"/>
          <w:szCs w:val="21"/>
        </w:rPr>
        <w:t>1950年成立工商科。1956年成立市场管理委员会</w:t>
      </w:r>
      <w:r>
        <w:rPr>
          <w:rFonts w:hint="eastAsia" w:ascii="宋体" w:hAnsi="宋体"/>
          <w:szCs w:val="21"/>
        </w:rPr>
        <w:t>。</w:t>
      </w:r>
      <w:r>
        <w:rPr>
          <w:rFonts w:ascii="宋体" w:hAnsi="宋体"/>
          <w:szCs w:val="21"/>
        </w:rPr>
        <w:t>1</w:t>
      </w:r>
      <w:r>
        <w:rPr>
          <w:rFonts w:hint="eastAsia" w:ascii="宋体" w:hAnsi="宋体"/>
          <w:szCs w:val="21"/>
        </w:rPr>
        <w:t>9</w:t>
      </w:r>
      <w:r>
        <w:rPr>
          <w:rFonts w:ascii="宋体" w:hAnsi="宋体"/>
          <w:szCs w:val="21"/>
        </w:rPr>
        <w:t>65年3月成立工商行政管理局。1969年撤销工商行政管理局业务，归财贸工作站。1974</w:t>
      </w:r>
      <w:r>
        <w:rPr>
          <w:rFonts w:hint="eastAsia" w:ascii="宋体" w:hAnsi="宋体"/>
          <w:szCs w:val="21"/>
        </w:rPr>
        <w:t>年</w:t>
      </w:r>
      <w:r>
        <w:rPr>
          <w:rFonts w:ascii="宋体" w:hAnsi="宋体"/>
          <w:szCs w:val="21"/>
        </w:rPr>
        <w:t>3月恢复工商行政管理局，撤销市场管理委员会。19</w:t>
      </w:r>
      <w:r>
        <w:rPr>
          <w:rFonts w:hint="eastAsia" w:ascii="宋体" w:hAnsi="宋体"/>
          <w:szCs w:val="21"/>
        </w:rPr>
        <w:t>7</w:t>
      </w:r>
      <w:r>
        <w:rPr>
          <w:rFonts w:ascii="宋体" w:hAnsi="宋体"/>
          <w:szCs w:val="21"/>
        </w:rPr>
        <w:t>9年县局设人事秘书股，工商股，</w:t>
      </w:r>
      <w:r>
        <w:rPr>
          <w:rFonts w:hint="eastAsia" w:ascii="宋体" w:hAnsi="宋体"/>
          <w:szCs w:val="21"/>
        </w:rPr>
        <w:t>市场管理股，基层设</w:t>
      </w:r>
      <w:r>
        <w:rPr>
          <w:rFonts w:ascii="宋体" w:hAnsi="宋体"/>
          <w:szCs w:val="21"/>
        </w:rPr>
        <w:t>7个工商行政管理所。1982年10月增设经济合同管理股。1984年成</w:t>
      </w:r>
      <w:r>
        <w:rPr>
          <w:rFonts w:hint="eastAsia" w:ascii="宋体" w:hAnsi="宋体"/>
          <w:szCs w:val="21"/>
        </w:rPr>
        <w:t>立经济合同仲裁委员会，基层工商所增至</w:t>
      </w:r>
      <w:r>
        <w:rPr>
          <w:rFonts w:ascii="宋体" w:hAnsi="宋体"/>
          <w:szCs w:val="21"/>
        </w:rPr>
        <w:t>14个。1986年增设个体经济管理股，原工商股</w:t>
      </w:r>
      <w:r>
        <w:rPr>
          <w:rFonts w:hint="eastAsia" w:ascii="宋体" w:hAnsi="宋体"/>
          <w:szCs w:val="21"/>
        </w:rPr>
        <w:t>改为企业登记股。</w:t>
      </w:r>
      <w:r>
        <w:rPr>
          <w:rFonts w:ascii="宋体" w:hAnsi="宋体"/>
          <w:szCs w:val="21"/>
        </w:rPr>
        <w:t>1997年机构改革，局设人秘股，财会股、市场股、合同股、商标股、个</w:t>
      </w:r>
      <w:r>
        <w:rPr>
          <w:rFonts w:hint="eastAsia" w:ascii="宋体" w:hAnsi="宋体"/>
          <w:szCs w:val="21"/>
        </w:rPr>
        <w:t>体私营管理股、企业登记股、经济检查大队，局下辖</w:t>
      </w:r>
      <w:r>
        <w:rPr>
          <w:rFonts w:ascii="宋体" w:hAnsi="宋体"/>
          <w:szCs w:val="21"/>
        </w:rPr>
        <w:t>15个工商所，在职干部、职工181</w:t>
      </w:r>
      <w:r>
        <w:rPr>
          <w:rFonts w:hint="eastAsia" w:ascii="宋体" w:hAnsi="宋体"/>
          <w:szCs w:val="21"/>
        </w:rPr>
        <w:t>人。</w:t>
      </w:r>
      <w:r>
        <w:rPr>
          <w:rFonts w:ascii="宋体" w:hAnsi="宋体"/>
          <w:szCs w:val="21"/>
        </w:rPr>
        <w:t>2001年，全国工商系统机构改革，实行省以下垂直管理，局设8个股（室）：办公室、</w:t>
      </w:r>
      <w:r>
        <w:rPr>
          <w:rFonts w:hint="eastAsia" w:ascii="宋体" w:hAnsi="宋体"/>
          <w:szCs w:val="21"/>
        </w:rPr>
        <w:t>经济检查股、人事监察股、法规股、登记注册股、企业监督管理股、商标广告管理股、市场合同管理股；另设经济检查大队；局下辖雄州、珠玑、水口、黄坑、湖口、乌迳、澜河</w:t>
      </w:r>
      <w:r>
        <w:rPr>
          <w:rFonts w:ascii="宋体" w:hAnsi="宋体"/>
          <w:szCs w:val="21"/>
        </w:rPr>
        <w:t>7个工商所。全局在职干部、职工129人</w:t>
      </w:r>
      <w:r>
        <w:rPr>
          <w:rFonts w:hint="eastAsia" w:ascii="宋体" w:hAnsi="宋体"/>
          <w:szCs w:val="21"/>
        </w:rPr>
        <w:t>。</w:t>
      </w:r>
    </w:p>
    <w:p w14:paraId="585B9A3C">
      <w:pPr>
        <w:ind w:firstLine="420"/>
        <w:rPr>
          <w:rFonts w:ascii="宋体" w:hAnsi="宋体"/>
          <w:szCs w:val="21"/>
        </w:rPr>
      </w:pPr>
      <w:r>
        <w:rPr>
          <w:rFonts w:hint="eastAsia" w:ascii="宋体" w:hAnsi="宋体"/>
          <w:szCs w:val="21"/>
        </w:rPr>
        <w:t>南雄县于</w:t>
      </w:r>
      <w:r>
        <w:rPr>
          <w:rFonts w:ascii="宋体" w:hAnsi="宋体"/>
          <w:szCs w:val="21"/>
        </w:rPr>
        <w:t>1986年成立标准计量管理局，1990年改为技术监督局。1999年，技术监督</w:t>
      </w:r>
      <w:r>
        <w:rPr>
          <w:rFonts w:hint="eastAsia" w:ascii="宋体" w:hAnsi="宋体"/>
          <w:szCs w:val="21"/>
        </w:rPr>
        <w:t>系统实行省以下垂直管理，南雄市技术监督局改为质量技术监督局。</w:t>
      </w:r>
      <w:r>
        <w:rPr>
          <w:rFonts w:ascii="宋体" w:hAnsi="宋体"/>
          <w:szCs w:val="21"/>
        </w:rPr>
        <w:t>2001年机构改革，编</w:t>
      </w:r>
      <w:r>
        <w:rPr>
          <w:rFonts w:hint="eastAsia" w:ascii="宋体" w:hAnsi="宋体"/>
          <w:szCs w:val="21"/>
        </w:rPr>
        <w:t>制由</w:t>
      </w:r>
      <w:r>
        <w:rPr>
          <w:rFonts w:ascii="宋体" w:hAnsi="宋体"/>
          <w:szCs w:val="21"/>
        </w:rPr>
        <w:t>7人增至21人，局设办公室、法制股、稽查股（稽</w:t>
      </w:r>
      <w:r>
        <w:rPr>
          <w:rFonts w:hint="eastAsia" w:ascii="宋体" w:hAnsi="宋体"/>
          <w:szCs w:val="21"/>
        </w:rPr>
        <w:t>查</w:t>
      </w:r>
      <w:r>
        <w:rPr>
          <w:rFonts w:ascii="宋体" w:hAnsi="宋体"/>
          <w:szCs w:val="21"/>
        </w:rPr>
        <w:t>队）、质量股、计量股、标准化</w:t>
      </w:r>
      <w:r>
        <w:rPr>
          <w:rFonts w:hint="eastAsia" w:ascii="宋体" w:hAnsi="宋体"/>
          <w:szCs w:val="21"/>
        </w:rPr>
        <w:t>股、锅容管特安全监察股。下设事业单位：南雄市计量检定测试所、南雄市产品监督检验所。</w:t>
      </w:r>
    </w:p>
    <w:p w14:paraId="36C8658C">
      <w:pPr>
        <w:pStyle w:val="4"/>
        <w:rPr>
          <w:rFonts w:ascii="宋体" w:hAnsi="宋体"/>
        </w:rPr>
      </w:pPr>
      <w:r>
        <w:rPr>
          <w:rFonts w:hint="eastAsia" w:ascii="宋体" w:hAnsi="宋体"/>
        </w:rPr>
        <w:t>第二节  集市贸易管理</w:t>
      </w:r>
    </w:p>
    <w:p w14:paraId="5B60D89F">
      <w:pPr>
        <w:pStyle w:val="5"/>
        <w:rPr>
          <w:rFonts w:ascii="宋体" w:hAnsi="宋体"/>
        </w:rPr>
      </w:pPr>
      <w:r>
        <w:rPr>
          <w:rFonts w:hint="eastAsia" w:ascii="宋体" w:hAnsi="宋体"/>
        </w:rPr>
        <w:t>一、管理政策</w:t>
      </w:r>
    </w:p>
    <w:p w14:paraId="66CD76F8">
      <w:pPr>
        <w:ind w:firstLine="420"/>
        <w:rPr>
          <w:rFonts w:ascii="宋体" w:hAnsi="宋体"/>
          <w:szCs w:val="21"/>
        </w:rPr>
      </w:pPr>
      <w:r>
        <w:rPr>
          <w:rFonts w:hint="eastAsia" w:ascii="宋体" w:hAnsi="宋体"/>
          <w:szCs w:val="21"/>
        </w:rPr>
        <w:t>新中国成立初期，集市贸易仍保留私有制为基础的商品交换形式。</w:t>
      </w:r>
      <w:r>
        <w:rPr>
          <w:rFonts w:ascii="宋体" w:hAnsi="宋体"/>
          <w:szCs w:val="21"/>
        </w:rPr>
        <w:t>1953年12</w:t>
      </w:r>
      <w:r>
        <w:rPr>
          <w:rFonts w:hint="eastAsia" w:ascii="宋体" w:hAnsi="宋体"/>
          <w:szCs w:val="21"/>
        </w:rPr>
        <w:t>月，实行粮食统购统销，取缔粮食市场。</w:t>
      </w:r>
      <w:r>
        <w:rPr>
          <w:rFonts w:ascii="宋体" w:hAnsi="宋体"/>
          <w:szCs w:val="21"/>
        </w:rPr>
        <w:t>1956年，对产品采取分类管理，凡属国家</w:t>
      </w:r>
      <w:r>
        <w:rPr>
          <w:rFonts w:hint="eastAsia" w:ascii="宋体" w:hAnsi="宋体"/>
          <w:szCs w:val="21"/>
        </w:rPr>
        <w:t>统购统销的粮食等第一类物资，属国家派购的茶叶、生猪等</w:t>
      </w:r>
      <w:r>
        <w:rPr>
          <w:rFonts w:ascii="宋体" w:hAnsi="宋体"/>
          <w:szCs w:val="21"/>
        </w:rPr>
        <w:t>28种二类产品，不准上</w:t>
      </w:r>
      <w:r>
        <w:rPr>
          <w:rFonts w:hint="eastAsia" w:ascii="宋体" w:hAnsi="宋体"/>
          <w:szCs w:val="21"/>
        </w:rPr>
        <w:t>市和私商经营。</w:t>
      </w:r>
      <w:r>
        <w:rPr>
          <w:rFonts w:ascii="宋体" w:hAnsi="宋体"/>
          <w:szCs w:val="21"/>
        </w:rPr>
        <w:t>1958年至1960年“大跃进”期间，取消集市贸易。1960年11月贯</w:t>
      </w:r>
      <w:r>
        <w:rPr>
          <w:rFonts w:hint="eastAsia" w:ascii="宋体" w:hAnsi="宋体"/>
          <w:szCs w:val="21"/>
        </w:rPr>
        <w:t>彻中共中央《关于农村人民公社当前政策问题的紧急指示信》，开放集市贸易，三类农副产品和完成国家交售业务后的二类产品允许上市，并恢复传统的圩日。</w:t>
      </w:r>
      <w:r>
        <w:rPr>
          <w:rFonts w:ascii="宋体" w:hAnsi="宋体"/>
          <w:szCs w:val="21"/>
        </w:rPr>
        <w:t>1966年</w:t>
      </w:r>
      <w:r>
        <w:rPr>
          <w:rFonts w:hint="eastAsia" w:ascii="宋体" w:hAnsi="宋体"/>
          <w:szCs w:val="21"/>
        </w:rPr>
        <w:t>至</w:t>
      </w:r>
      <w:r>
        <w:rPr>
          <w:rFonts w:ascii="宋体" w:hAnsi="宋体"/>
          <w:szCs w:val="21"/>
        </w:rPr>
        <w:t>1976年</w:t>
      </w:r>
      <w:r>
        <w:rPr>
          <w:rFonts w:hint="eastAsia" w:ascii="宋体" w:hAnsi="宋体"/>
          <w:szCs w:val="21"/>
        </w:rPr>
        <w:t>“</w:t>
      </w:r>
      <w:r>
        <w:rPr>
          <w:rFonts w:ascii="宋体" w:hAnsi="宋体"/>
          <w:szCs w:val="21"/>
        </w:rPr>
        <w:t>文化大革命</w:t>
      </w:r>
      <w:r>
        <w:rPr>
          <w:rFonts w:hint="eastAsia" w:ascii="宋体" w:hAnsi="宋体"/>
          <w:szCs w:val="21"/>
        </w:rPr>
        <w:t>”</w:t>
      </w:r>
      <w:r>
        <w:rPr>
          <w:rFonts w:ascii="宋体" w:hAnsi="宋体"/>
          <w:szCs w:val="21"/>
        </w:rPr>
        <w:t>期间，</w:t>
      </w:r>
      <w:r>
        <w:rPr>
          <w:rFonts w:hint="eastAsia" w:ascii="宋体" w:hAnsi="宋体"/>
          <w:szCs w:val="21"/>
        </w:rPr>
        <w:t>“</w:t>
      </w:r>
      <w:r>
        <w:rPr>
          <w:rFonts w:ascii="宋体" w:hAnsi="宋体"/>
          <w:szCs w:val="21"/>
        </w:rPr>
        <w:t>大批资本主义</w:t>
      </w:r>
      <w:r>
        <w:rPr>
          <w:rFonts w:hint="eastAsia" w:ascii="宋体" w:hAnsi="宋体"/>
          <w:szCs w:val="21"/>
        </w:rPr>
        <w:t>”</w:t>
      </w:r>
      <w:r>
        <w:rPr>
          <w:rFonts w:ascii="宋体" w:hAnsi="宋体"/>
          <w:szCs w:val="21"/>
        </w:rPr>
        <w:t>限制养猪、养三鸟，减少农民自</w:t>
      </w:r>
      <w:r>
        <w:rPr>
          <w:rFonts w:hint="eastAsia" w:ascii="宋体" w:hAnsi="宋体"/>
          <w:szCs w:val="21"/>
        </w:rPr>
        <w:t>留地，对集贸市场严格限制，全县各市场统一以星期日为圩日，农忙时封闭市场，以致农贸市场一片萧条。</w:t>
      </w:r>
      <w:r>
        <w:rPr>
          <w:rFonts w:ascii="宋体" w:hAnsi="宋体"/>
          <w:szCs w:val="21"/>
        </w:rPr>
        <w:t>1979年以后，在对外开放、对内搞活的方针政策指导下，恢</w:t>
      </w:r>
      <w:r>
        <w:rPr>
          <w:rFonts w:hint="eastAsia" w:ascii="宋体" w:hAnsi="宋体"/>
          <w:szCs w:val="21"/>
        </w:rPr>
        <w:t>复传统圩日，主要集市圩期增至隔日一圩。农村产品除粮食、油脂油料、黄烟、木材等实行合同定购或计划收购外，其余产品允许上市。</w:t>
      </w:r>
      <w:r>
        <w:rPr>
          <w:rFonts w:ascii="宋体" w:hAnsi="宋体"/>
          <w:szCs w:val="21"/>
        </w:rPr>
        <w:t>1981年农村实行联产承包责任</w:t>
      </w:r>
      <w:r>
        <w:rPr>
          <w:rFonts w:hint="eastAsia" w:ascii="宋体" w:hAnsi="宋体"/>
          <w:szCs w:val="21"/>
        </w:rPr>
        <w:t>制，农民到圩场摆摊设档的越来越多。在市场管理上，从过去单纯的管、卡、罚，转变为允许多种经济成分，多种流通渠道，多种经营形式并存的经营模式，提倡文明经营，使市场更加活跃。</w:t>
      </w:r>
    </w:p>
    <w:p w14:paraId="1486F223">
      <w:pPr>
        <w:ind w:firstLine="420"/>
        <w:rPr>
          <w:rFonts w:ascii="宋体" w:hAnsi="宋体"/>
          <w:szCs w:val="21"/>
        </w:rPr>
      </w:pPr>
      <w:r>
        <w:rPr>
          <w:rFonts w:ascii="宋体" w:hAnsi="宋体"/>
          <w:szCs w:val="21"/>
        </w:rPr>
        <w:t>1999年为加强市场内的肉食检疫工作，对进入市区6个市场的猪肉、牛肉集中</w:t>
      </w:r>
      <w:r>
        <w:rPr>
          <w:rFonts w:hint="eastAsia" w:ascii="宋体" w:hAnsi="宋体"/>
          <w:szCs w:val="21"/>
        </w:rPr>
        <w:t>进行检疫，确认无病后，加盖“兽区验讫”印章，才能进入市场摆卖。</w:t>
      </w:r>
      <w:r>
        <w:rPr>
          <w:rFonts w:ascii="宋体" w:hAnsi="宋体"/>
          <w:szCs w:val="21"/>
        </w:rPr>
        <w:t>2004年2月，</w:t>
      </w:r>
      <w:r>
        <w:rPr>
          <w:rFonts w:hint="eastAsia" w:ascii="宋体" w:hAnsi="宋体"/>
          <w:szCs w:val="21"/>
        </w:rPr>
        <w:t>南雄市发生高致病禽流感疫情，制定了</w:t>
      </w:r>
      <w:r>
        <w:rPr>
          <w:rFonts w:ascii="宋体" w:hAnsi="宋体"/>
          <w:szCs w:val="21"/>
        </w:rPr>
        <w:t>23条防治措施，在禽流感期间，封闭了黄坑、</w:t>
      </w:r>
      <w:r>
        <w:rPr>
          <w:rFonts w:hint="eastAsia" w:ascii="宋体" w:hAnsi="宋体"/>
          <w:szCs w:val="21"/>
        </w:rPr>
        <w:t>邓坊、湖口、里东、大塘、水口</w:t>
      </w:r>
      <w:r>
        <w:rPr>
          <w:rFonts w:ascii="宋体" w:hAnsi="宋体"/>
          <w:szCs w:val="21"/>
        </w:rPr>
        <w:t>6个农贸市场，有效地控制了禽流感的蔓延</w:t>
      </w:r>
      <w:r>
        <w:rPr>
          <w:rFonts w:hint="eastAsia" w:ascii="宋体" w:hAnsi="宋体"/>
          <w:szCs w:val="21"/>
        </w:rPr>
        <w:t>。</w:t>
      </w:r>
    </w:p>
    <w:p w14:paraId="4BC968FB">
      <w:pPr>
        <w:pStyle w:val="5"/>
        <w:rPr>
          <w:rFonts w:ascii="宋体" w:hAnsi="宋体"/>
        </w:rPr>
      </w:pPr>
      <w:r>
        <w:rPr>
          <w:rFonts w:hint="eastAsia" w:ascii="宋体" w:hAnsi="宋体"/>
        </w:rPr>
        <w:t>二、市场整顿</w:t>
      </w:r>
    </w:p>
    <w:p w14:paraId="2F241367">
      <w:pPr>
        <w:ind w:firstLine="420"/>
        <w:rPr>
          <w:rFonts w:ascii="宋体" w:hAnsi="宋体"/>
          <w:szCs w:val="21"/>
        </w:rPr>
      </w:pPr>
      <w:r>
        <w:rPr>
          <w:rFonts w:hint="eastAsia" w:ascii="宋体" w:hAnsi="宋体"/>
          <w:szCs w:val="21"/>
        </w:rPr>
        <w:t>改革开放后，不断加强市场管理工作，整顿和规范市场经济秩序。</w:t>
      </w:r>
      <w:r>
        <w:rPr>
          <w:rFonts w:ascii="宋体" w:hAnsi="宋体"/>
          <w:szCs w:val="21"/>
        </w:rPr>
        <w:t>1983年10</w:t>
      </w:r>
      <w:r>
        <w:rPr>
          <w:rFonts w:hint="eastAsia" w:ascii="宋体" w:hAnsi="宋体"/>
          <w:szCs w:val="21"/>
        </w:rPr>
        <w:t>月，贯彻国务院颁发的《城乡集市贸易管理办法》对市场进行整顿，查处倒卖假冒伪劣产品</w:t>
      </w:r>
      <w:r>
        <w:rPr>
          <w:rFonts w:ascii="宋体" w:hAnsi="宋体"/>
          <w:szCs w:val="21"/>
        </w:rPr>
        <w:t>1020件，对短斤少两者实行以两罚斤，收缴失准衡器878件，依法查处4</w:t>
      </w:r>
      <w:r>
        <w:rPr>
          <w:rFonts w:hint="eastAsia" w:ascii="宋体" w:hAnsi="宋体"/>
          <w:szCs w:val="21"/>
        </w:rPr>
        <w:t>名欺行霸市的“肉霸”。</w:t>
      </w:r>
      <w:r>
        <w:rPr>
          <w:rFonts w:ascii="宋体" w:hAnsi="宋体"/>
          <w:szCs w:val="21"/>
        </w:rPr>
        <w:t>1987年，查处各种违章案件246宗，销毁病死猪肉、牛肉1250公斤，没收失准衡器139件。1993年查处各类违法违章行为463起，办理经济</w:t>
      </w:r>
      <w:r>
        <w:rPr>
          <w:rFonts w:hint="eastAsia" w:ascii="宋体" w:hAnsi="宋体"/>
          <w:szCs w:val="21"/>
        </w:rPr>
        <w:t>案件</w:t>
      </w:r>
      <w:r>
        <w:rPr>
          <w:rFonts w:ascii="宋体" w:hAnsi="宋体"/>
          <w:szCs w:val="21"/>
        </w:rPr>
        <w:t>312宗，移送公安、劳动部门处理的2宗，涉案总金额120万元。1998年查处销</w:t>
      </w:r>
      <w:r>
        <w:rPr>
          <w:rFonts w:hint="eastAsia" w:ascii="宋体" w:hAnsi="宋体"/>
          <w:szCs w:val="21"/>
        </w:rPr>
        <w:t>毁进口旧衣服</w:t>
      </w:r>
      <w:r>
        <w:rPr>
          <w:rFonts w:ascii="宋体" w:hAnsi="宋体"/>
          <w:szCs w:val="21"/>
        </w:rPr>
        <w:t>500多件。1999年至2004年对农贸市场、建材市场、食品市场、药品</w:t>
      </w:r>
      <w:r>
        <w:rPr>
          <w:rFonts w:hint="eastAsia" w:ascii="宋体" w:hAnsi="宋体"/>
          <w:szCs w:val="21"/>
        </w:rPr>
        <w:t>市场、酒类市场、通讯器材市场、汽车和摩托车配件市场、成品油市场、文化娱乐行业、化学危险品市场进行全面清查整治，查处违法违章行为</w:t>
      </w:r>
      <w:r>
        <w:rPr>
          <w:rFonts w:ascii="宋体" w:hAnsi="宋体"/>
          <w:szCs w:val="21"/>
        </w:rPr>
        <w:t>1434起，立案查处523</w:t>
      </w:r>
      <w:r>
        <w:rPr>
          <w:rFonts w:hint="eastAsia" w:ascii="宋体" w:hAnsi="宋体"/>
          <w:szCs w:val="21"/>
        </w:rPr>
        <w:t>宗，案值</w:t>
      </w:r>
      <w:r>
        <w:rPr>
          <w:rFonts w:ascii="宋体" w:hAnsi="宋体"/>
          <w:szCs w:val="21"/>
        </w:rPr>
        <w:t>212万元，罚没入库55万元</w:t>
      </w:r>
      <w:r>
        <w:rPr>
          <w:rFonts w:hint="eastAsia" w:ascii="宋体" w:hAnsi="宋体"/>
          <w:szCs w:val="21"/>
        </w:rPr>
        <w:t>。</w:t>
      </w:r>
    </w:p>
    <w:p w14:paraId="2A7580D5">
      <w:pPr>
        <w:pStyle w:val="5"/>
        <w:rPr>
          <w:rFonts w:ascii="宋体" w:hAnsi="宋体"/>
        </w:rPr>
      </w:pPr>
      <w:r>
        <w:rPr>
          <w:rFonts w:hint="eastAsia" w:ascii="宋体" w:hAnsi="宋体"/>
        </w:rPr>
        <w:t>三、管理收费</w:t>
      </w:r>
    </w:p>
    <w:p w14:paraId="1028DA2C">
      <w:pPr>
        <w:ind w:firstLine="420"/>
        <w:rPr>
          <w:rFonts w:ascii="宋体" w:hAnsi="宋体"/>
          <w:szCs w:val="21"/>
        </w:rPr>
      </w:pPr>
      <w:r>
        <w:rPr>
          <w:rFonts w:hint="eastAsia" w:ascii="宋体" w:hAnsi="宋体"/>
          <w:szCs w:val="21"/>
        </w:rPr>
        <w:t>市场管理收费，按成交额的一定比例收取，其费用主要用于市场服务人员的工资福利，市场建设维修及补贴行政事业经费等。</w:t>
      </w:r>
      <w:r>
        <w:rPr>
          <w:rFonts w:ascii="宋体" w:hAnsi="宋体"/>
          <w:szCs w:val="21"/>
        </w:rPr>
        <w:t>1987年收费39万多元，1998年为150</w:t>
      </w:r>
      <w:r>
        <w:rPr>
          <w:rFonts w:hint="eastAsia" w:ascii="宋体" w:hAnsi="宋体"/>
          <w:szCs w:val="21"/>
        </w:rPr>
        <w:t>万元。</w:t>
      </w:r>
      <w:r>
        <w:rPr>
          <w:rFonts w:ascii="宋体" w:hAnsi="宋体"/>
          <w:szCs w:val="21"/>
        </w:rPr>
        <w:t>2002年工商机构改革，市组建了物业管理公司，市场收费由物业管理公司负</w:t>
      </w:r>
      <w:r>
        <w:rPr>
          <w:rFonts w:hint="eastAsia" w:ascii="宋体" w:hAnsi="宋体"/>
          <w:szCs w:val="21"/>
        </w:rPr>
        <w:t>责，所收的管理费全额上交市财政。</w:t>
      </w:r>
      <w:r>
        <w:rPr>
          <w:rFonts w:ascii="宋体" w:hAnsi="宋体"/>
          <w:szCs w:val="21"/>
        </w:rPr>
        <w:t>2004年收费180万元。</w:t>
      </w:r>
    </w:p>
    <w:p w14:paraId="26D04D97">
      <w:pPr>
        <w:pStyle w:val="4"/>
        <w:rPr>
          <w:rFonts w:ascii="宋体" w:hAnsi="宋体"/>
        </w:rPr>
      </w:pPr>
      <w:r>
        <w:rPr>
          <w:rFonts w:hint="eastAsia" w:ascii="宋体" w:hAnsi="宋体"/>
        </w:rPr>
        <w:t>第三节  查处违法经济活动</w:t>
      </w:r>
    </w:p>
    <w:p w14:paraId="467359FD">
      <w:pPr>
        <w:ind w:firstLine="420"/>
        <w:rPr>
          <w:rFonts w:ascii="宋体" w:hAnsi="宋体"/>
          <w:szCs w:val="21"/>
        </w:rPr>
      </w:pPr>
      <w:r>
        <w:rPr>
          <w:rFonts w:hint="eastAsia" w:ascii="宋体" w:hAnsi="宋体"/>
          <w:szCs w:val="21"/>
        </w:rPr>
        <w:t>新中国成立初，工商、税务、公安等部门协同开展打击私商投机倒把、抢购物资、囤积居奇、哄抬物价、炒买炒卖等活动，稳定了市场物价。</w:t>
      </w:r>
      <w:r>
        <w:rPr>
          <w:rFonts w:ascii="宋体" w:hAnsi="宋体"/>
          <w:szCs w:val="21"/>
        </w:rPr>
        <w:t>1958年由于</w:t>
      </w:r>
      <w:r>
        <w:rPr>
          <w:rFonts w:hint="eastAsia" w:ascii="宋体" w:hAnsi="宋体"/>
          <w:szCs w:val="21"/>
        </w:rPr>
        <w:t>“</w:t>
      </w:r>
      <w:r>
        <w:rPr>
          <w:rFonts w:ascii="宋体" w:hAnsi="宋体"/>
          <w:szCs w:val="21"/>
        </w:rPr>
        <w:t>大跃</w:t>
      </w:r>
      <w:r>
        <w:rPr>
          <w:rFonts w:hint="eastAsia" w:ascii="宋体" w:hAnsi="宋体"/>
          <w:szCs w:val="21"/>
        </w:rPr>
        <w:t>进”的失误，造成市场商品紧缺，黑市交易猖獗，物价暴涨。</w:t>
      </w:r>
      <w:r>
        <w:rPr>
          <w:rFonts w:ascii="宋体" w:hAnsi="宋体"/>
          <w:szCs w:val="21"/>
        </w:rPr>
        <w:t>1960年3月贯彻国务</w:t>
      </w:r>
      <w:r>
        <w:rPr>
          <w:rFonts w:hint="eastAsia" w:ascii="宋体" w:hAnsi="宋体"/>
          <w:szCs w:val="21"/>
        </w:rPr>
        <w:t>院《关于打击投机倒把和取缔私商长途贩运的几个界线的暂行规定》，开展打击投机倒把违法活动，在查处工作中由于“左”的路线影响，打击面过宽，把一些合法经营和正当的家庭副业作投机倒把活动处理。</w:t>
      </w:r>
      <w:r>
        <w:rPr>
          <w:rFonts w:ascii="宋体" w:hAnsi="宋体"/>
          <w:szCs w:val="21"/>
        </w:rPr>
        <w:t>1961年查处的883宗案件中属于</w:t>
      </w:r>
      <w:r>
        <w:rPr>
          <w:rFonts w:hint="eastAsia" w:ascii="宋体" w:hAnsi="宋体"/>
          <w:szCs w:val="21"/>
        </w:rPr>
        <w:t>“</w:t>
      </w:r>
      <w:r>
        <w:rPr>
          <w:rFonts w:ascii="宋体" w:hAnsi="宋体"/>
          <w:szCs w:val="21"/>
        </w:rPr>
        <w:t>弃农</w:t>
      </w:r>
      <w:r>
        <w:rPr>
          <w:rFonts w:hint="eastAsia" w:ascii="宋体" w:hAnsi="宋体"/>
          <w:szCs w:val="21"/>
        </w:rPr>
        <w:t>经商”、“弃工经商”的有</w:t>
      </w:r>
      <w:r>
        <w:rPr>
          <w:rFonts w:ascii="宋体" w:hAnsi="宋体"/>
          <w:szCs w:val="21"/>
        </w:rPr>
        <w:t>236宗。</w:t>
      </w:r>
      <w:r>
        <w:rPr>
          <w:rFonts w:hint="eastAsia" w:ascii="宋体" w:hAnsi="宋体"/>
          <w:szCs w:val="21"/>
        </w:rPr>
        <w:t>“</w:t>
      </w:r>
      <w:r>
        <w:rPr>
          <w:rFonts w:ascii="宋体" w:hAnsi="宋体"/>
          <w:szCs w:val="21"/>
        </w:rPr>
        <w:t>文化大革命</w:t>
      </w:r>
      <w:r>
        <w:rPr>
          <w:rFonts w:hint="eastAsia" w:ascii="宋体" w:hAnsi="宋体"/>
          <w:szCs w:val="21"/>
        </w:rPr>
        <w:t>”</w:t>
      </w:r>
      <w:r>
        <w:rPr>
          <w:rFonts w:ascii="宋体" w:hAnsi="宋体"/>
          <w:szCs w:val="21"/>
        </w:rPr>
        <w:t>期间，打击投机倒把活动再次扩大</w:t>
      </w:r>
      <w:r>
        <w:rPr>
          <w:rFonts w:hint="eastAsia" w:ascii="宋体" w:hAnsi="宋体"/>
          <w:szCs w:val="21"/>
        </w:rPr>
        <w:t>化。</w:t>
      </w:r>
      <w:r>
        <w:rPr>
          <w:rFonts w:ascii="宋体" w:hAnsi="宋体"/>
          <w:szCs w:val="21"/>
        </w:rPr>
        <w:t>1976年查处所谓</w:t>
      </w:r>
      <w:r>
        <w:rPr>
          <w:rFonts w:hint="eastAsia" w:ascii="宋体" w:hAnsi="宋体"/>
          <w:szCs w:val="21"/>
        </w:rPr>
        <w:t>“</w:t>
      </w:r>
      <w:r>
        <w:rPr>
          <w:rFonts w:ascii="宋体" w:hAnsi="宋体"/>
          <w:szCs w:val="21"/>
        </w:rPr>
        <w:t>长途贩运</w:t>
      </w:r>
      <w:r>
        <w:rPr>
          <w:rFonts w:hint="eastAsia" w:ascii="宋体" w:hAnsi="宋体"/>
          <w:szCs w:val="21"/>
        </w:rPr>
        <w:t>”</w:t>
      </w:r>
      <w:r>
        <w:rPr>
          <w:rFonts w:ascii="宋体" w:hAnsi="宋体"/>
          <w:szCs w:val="21"/>
        </w:rPr>
        <w:t>104宗，</w:t>
      </w:r>
      <w:r>
        <w:rPr>
          <w:rFonts w:hint="eastAsia" w:ascii="宋体" w:hAnsi="宋体"/>
          <w:szCs w:val="21"/>
        </w:rPr>
        <w:t>“</w:t>
      </w:r>
      <w:r>
        <w:rPr>
          <w:rFonts w:ascii="宋体" w:hAnsi="宋体"/>
          <w:szCs w:val="21"/>
        </w:rPr>
        <w:t>弃农经商</w:t>
      </w:r>
      <w:r>
        <w:rPr>
          <w:rFonts w:hint="eastAsia" w:ascii="宋体" w:hAnsi="宋体"/>
          <w:szCs w:val="21"/>
        </w:rPr>
        <w:t>”</w:t>
      </w:r>
      <w:r>
        <w:rPr>
          <w:rFonts w:ascii="宋体" w:hAnsi="宋体"/>
          <w:szCs w:val="21"/>
        </w:rPr>
        <w:t>、</w:t>
      </w:r>
      <w:r>
        <w:rPr>
          <w:rFonts w:hint="eastAsia" w:ascii="宋体" w:hAnsi="宋体"/>
          <w:szCs w:val="21"/>
        </w:rPr>
        <w:t>“</w:t>
      </w:r>
      <w:r>
        <w:rPr>
          <w:rFonts w:ascii="宋体" w:hAnsi="宋体"/>
          <w:szCs w:val="21"/>
        </w:rPr>
        <w:t>弃农就工</w:t>
      </w:r>
      <w:r>
        <w:rPr>
          <w:rFonts w:hint="eastAsia" w:ascii="宋体" w:hAnsi="宋体"/>
          <w:szCs w:val="21"/>
        </w:rPr>
        <w:t>”</w:t>
      </w:r>
      <w:r>
        <w:rPr>
          <w:rFonts w:ascii="宋体" w:hAnsi="宋体"/>
          <w:szCs w:val="21"/>
        </w:rPr>
        <w:t>168人。</w:t>
      </w:r>
    </w:p>
    <w:p w14:paraId="598AF8B2">
      <w:pPr>
        <w:ind w:firstLine="420"/>
        <w:rPr>
          <w:rFonts w:ascii="宋体" w:hAnsi="宋体"/>
          <w:szCs w:val="21"/>
        </w:rPr>
      </w:pPr>
      <w:r>
        <w:rPr>
          <w:rFonts w:hint="eastAsia" w:ascii="宋体" w:hAnsi="宋体"/>
          <w:szCs w:val="21"/>
        </w:rPr>
        <w:t>改革开放后，主要查处倒卖黄金、白银、伪币、银元、钨砂、卷烟、假酒、假药等走私贩私，从</w:t>
      </w:r>
      <w:r>
        <w:rPr>
          <w:rFonts w:ascii="宋体" w:hAnsi="宋体"/>
          <w:szCs w:val="21"/>
        </w:rPr>
        <w:t>1979年至1983年，共查处走私贩私367宗，其中千元以上的71宗，</w:t>
      </w:r>
      <w:r>
        <w:rPr>
          <w:rFonts w:hint="eastAsia" w:ascii="宋体" w:hAnsi="宋体"/>
          <w:szCs w:val="21"/>
        </w:rPr>
        <w:t>万元以上</w:t>
      </w:r>
      <w:r>
        <w:rPr>
          <w:rFonts w:ascii="宋体" w:hAnsi="宋体"/>
          <w:szCs w:val="21"/>
        </w:rPr>
        <w:t>7宗，罚没入库24万元，1984年至1987年，重点查处倒卖进口汽车，共查</w:t>
      </w:r>
      <w:r>
        <w:rPr>
          <w:rFonts w:hint="eastAsia" w:ascii="宋体" w:hAnsi="宋体"/>
          <w:szCs w:val="21"/>
        </w:rPr>
        <w:t>处倒卖汽车</w:t>
      </w:r>
      <w:r>
        <w:rPr>
          <w:rFonts w:ascii="宋体" w:hAnsi="宋体"/>
          <w:szCs w:val="21"/>
        </w:rPr>
        <w:t>79辆，罚没入库金额48.8万元。</w:t>
      </w:r>
    </w:p>
    <w:p w14:paraId="625FE261">
      <w:pPr>
        <w:ind w:firstLine="420"/>
        <w:rPr>
          <w:rFonts w:ascii="宋体" w:hAnsi="宋体"/>
          <w:szCs w:val="21"/>
        </w:rPr>
      </w:pPr>
      <w:r>
        <w:rPr>
          <w:rFonts w:ascii="宋体" w:hAnsi="宋体"/>
          <w:szCs w:val="21"/>
        </w:rPr>
        <w:t>1988年至1993年主要查处无照制造业和倒卖假冒伪劣产品，涉案金额43754元。1994年至1999年主要查处假农药、假肥、假药品，涉案总价值31.1万元。2000年</w:t>
      </w:r>
      <w:r>
        <w:rPr>
          <w:rFonts w:hint="eastAsia" w:ascii="宋体" w:hAnsi="宋体"/>
          <w:szCs w:val="21"/>
        </w:rPr>
        <w:t>至</w:t>
      </w:r>
      <w:r>
        <w:rPr>
          <w:rFonts w:ascii="宋体" w:hAnsi="宋体"/>
          <w:szCs w:val="21"/>
        </w:rPr>
        <w:t>2004年共查处各类违法违章案件2536起，查办案件1315宗，其中立案查处521</w:t>
      </w:r>
      <w:r>
        <w:rPr>
          <w:rFonts w:hint="eastAsia" w:ascii="宋体" w:hAnsi="宋体"/>
          <w:szCs w:val="21"/>
        </w:rPr>
        <w:t>宗，涉案金额</w:t>
      </w:r>
      <w:r>
        <w:rPr>
          <w:rFonts w:ascii="宋体" w:hAnsi="宋体"/>
          <w:szCs w:val="21"/>
        </w:rPr>
        <w:t>520万元，罚没入库92.5万元</w:t>
      </w:r>
      <w:r>
        <w:rPr>
          <w:rFonts w:hint="eastAsia" w:ascii="宋体" w:hAnsi="宋体"/>
          <w:szCs w:val="21"/>
        </w:rPr>
        <w:t>。</w:t>
      </w:r>
    </w:p>
    <w:p w14:paraId="7C384DD7">
      <w:pPr>
        <w:pStyle w:val="4"/>
        <w:rPr>
          <w:rFonts w:ascii="宋体" w:hAnsi="宋体"/>
        </w:rPr>
      </w:pPr>
      <w:r>
        <w:rPr>
          <w:rFonts w:hint="eastAsia" w:ascii="宋体" w:hAnsi="宋体"/>
        </w:rPr>
        <w:t>第四节  工商业登记管理</w:t>
      </w:r>
    </w:p>
    <w:p w14:paraId="5D9AD26C">
      <w:pPr>
        <w:pStyle w:val="5"/>
        <w:rPr>
          <w:rFonts w:ascii="宋体" w:hAnsi="宋体"/>
        </w:rPr>
      </w:pPr>
      <w:r>
        <w:rPr>
          <w:rFonts w:hint="eastAsia" w:ascii="宋体" w:hAnsi="宋体"/>
        </w:rPr>
        <w:t>一、私营工商业登记管理</w:t>
      </w:r>
    </w:p>
    <w:p w14:paraId="15DCAE70">
      <w:pPr>
        <w:ind w:firstLine="420"/>
        <w:rPr>
          <w:rFonts w:ascii="宋体" w:hAnsi="宋体"/>
          <w:szCs w:val="21"/>
        </w:rPr>
      </w:pPr>
      <w:r>
        <w:rPr>
          <w:rFonts w:ascii="宋体" w:hAnsi="宋体"/>
          <w:szCs w:val="21"/>
        </w:rPr>
        <w:t>1950年9月，根据中南区颁布的《工商业登记管理办法》，开展工商业普查登记</w:t>
      </w:r>
      <w:r>
        <w:rPr>
          <w:rFonts w:hint="eastAsia" w:ascii="宋体" w:hAnsi="宋体"/>
          <w:szCs w:val="21"/>
        </w:rPr>
        <w:t>工作。至</w:t>
      </w:r>
      <w:r>
        <w:rPr>
          <w:rFonts w:ascii="宋体" w:hAnsi="宋体"/>
          <w:szCs w:val="21"/>
        </w:rPr>
        <w:t>1951年，全县登记商业户2087户，从业4492人；饮食业148户，从业259</w:t>
      </w:r>
      <w:r>
        <w:rPr>
          <w:rFonts w:hint="eastAsia" w:ascii="宋体" w:hAnsi="宋体"/>
          <w:szCs w:val="21"/>
        </w:rPr>
        <w:t>人；服务业</w:t>
      </w:r>
      <w:r>
        <w:rPr>
          <w:rFonts w:ascii="宋体" w:hAnsi="宋体"/>
          <w:szCs w:val="21"/>
        </w:rPr>
        <w:t>151户，从业281人；工业3户，手工业1471户。通过审核发证和开业</w:t>
      </w:r>
      <w:r>
        <w:rPr>
          <w:rFonts w:hint="eastAsia" w:ascii="宋体" w:hAnsi="宋体"/>
          <w:szCs w:val="21"/>
        </w:rPr>
        <w:t>审批，核定私营工商业的经营范围，限制跨行业经营。</w:t>
      </w:r>
    </w:p>
    <w:p w14:paraId="5D652BA1">
      <w:pPr>
        <w:ind w:firstLine="420"/>
        <w:rPr>
          <w:rFonts w:ascii="宋体" w:hAnsi="宋体"/>
          <w:szCs w:val="21"/>
        </w:rPr>
      </w:pPr>
      <w:r>
        <w:rPr>
          <w:rFonts w:ascii="宋体" w:hAnsi="宋体"/>
          <w:szCs w:val="21"/>
        </w:rPr>
        <w:t>1952年至1956年，配合对私营工商业的改造，加强对企业开业、歇业、停业、</w:t>
      </w:r>
      <w:r>
        <w:rPr>
          <w:rFonts w:hint="eastAsia" w:ascii="宋体" w:hAnsi="宋体"/>
          <w:szCs w:val="21"/>
        </w:rPr>
        <w:t>转业的登记管理。对有利于国计民生、繁荣经济的工商企业，鼓励经营；对有害于国计民生的迷信品行业，组织其转业。</w:t>
      </w:r>
      <w:r>
        <w:rPr>
          <w:rFonts w:ascii="宋体" w:hAnsi="宋体"/>
          <w:szCs w:val="21"/>
        </w:rPr>
        <w:t>1955年，全县经清理登记，有商业1398户，从</w:t>
      </w:r>
      <w:r>
        <w:rPr>
          <w:rFonts w:hint="eastAsia" w:ascii="宋体" w:hAnsi="宋体"/>
          <w:szCs w:val="21"/>
        </w:rPr>
        <w:t>业</w:t>
      </w:r>
      <w:r>
        <w:rPr>
          <w:rFonts w:ascii="宋体" w:hAnsi="宋体"/>
          <w:szCs w:val="21"/>
        </w:rPr>
        <w:t>1985人；饮食业743户，从业886人；服务业144户，从业287人；个体手工业4661户，从业5866人。</w:t>
      </w:r>
    </w:p>
    <w:p w14:paraId="1D89C57B">
      <w:pPr>
        <w:ind w:firstLine="420"/>
        <w:rPr>
          <w:rFonts w:ascii="宋体" w:hAnsi="宋体"/>
          <w:szCs w:val="21"/>
        </w:rPr>
      </w:pPr>
      <w:r>
        <w:rPr>
          <w:rFonts w:ascii="宋体" w:hAnsi="宋体"/>
          <w:szCs w:val="21"/>
        </w:rPr>
        <w:t>1979年中共十一届三中全会后，个体工商户有较大发展。1980年个体工商户发</w:t>
      </w:r>
      <w:r>
        <w:rPr>
          <w:rFonts w:hint="eastAsia" w:ascii="宋体" w:hAnsi="宋体"/>
          <w:szCs w:val="21"/>
        </w:rPr>
        <w:t>展至</w:t>
      </w:r>
      <w:r>
        <w:rPr>
          <w:rFonts w:ascii="宋体" w:hAnsi="宋体"/>
          <w:szCs w:val="21"/>
        </w:rPr>
        <w:t>648户，从业人员1049人。1991年，全县私营工商户为6250户。但绝大多数都</w:t>
      </w:r>
      <w:r>
        <w:rPr>
          <w:rFonts w:hint="eastAsia" w:ascii="宋体" w:hAnsi="宋体"/>
          <w:szCs w:val="21"/>
        </w:rPr>
        <w:t>是小规模经营。</w:t>
      </w:r>
      <w:r>
        <w:rPr>
          <w:rFonts w:ascii="宋体" w:hAnsi="宋体"/>
          <w:szCs w:val="21"/>
        </w:rPr>
        <w:t>1992年起按雇请8人以上经营者为私营企业标准登记。2004年，全</w:t>
      </w:r>
      <w:r>
        <w:rPr>
          <w:rFonts w:hint="eastAsia" w:ascii="宋体" w:hAnsi="宋体"/>
          <w:szCs w:val="21"/>
        </w:rPr>
        <w:t>市有</w:t>
      </w:r>
      <w:r>
        <w:rPr>
          <w:rFonts w:ascii="宋体" w:hAnsi="宋体"/>
          <w:szCs w:val="21"/>
        </w:rPr>
        <w:t>239户私营工商企业，从业人员13158人，注册资金5652万元。</w:t>
      </w:r>
    </w:p>
    <w:p w14:paraId="61572FB2">
      <w:pPr>
        <w:pStyle w:val="5"/>
        <w:rPr>
          <w:rFonts w:ascii="宋体" w:hAnsi="宋体"/>
        </w:rPr>
      </w:pPr>
      <w:r>
        <w:rPr>
          <w:rFonts w:hint="eastAsia" w:ascii="宋体" w:hAnsi="宋体"/>
        </w:rPr>
        <w:t>二、全民和集体企业登记管理</w:t>
      </w:r>
    </w:p>
    <w:p w14:paraId="69C8053A">
      <w:pPr>
        <w:ind w:firstLine="420"/>
        <w:rPr>
          <w:rFonts w:ascii="宋体" w:hAnsi="宋体"/>
          <w:szCs w:val="21"/>
        </w:rPr>
      </w:pPr>
      <w:r>
        <w:rPr>
          <w:rFonts w:ascii="宋体" w:hAnsi="宋体"/>
          <w:szCs w:val="21"/>
        </w:rPr>
        <w:t>1963年，对国营和集体工商企业进行清理整顿，全面登记，重新确定各行业的</w:t>
      </w:r>
      <w:r>
        <w:rPr>
          <w:rFonts w:hint="eastAsia" w:ascii="宋体" w:hAnsi="宋体"/>
          <w:szCs w:val="21"/>
        </w:rPr>
        <w:t>生产经营范围，调整网点布局，取缔无证经营。至</w:t>
      </w:r>
      <w:r>
        <w:rPr>
          <w:rFonts w:ascii="宋体" w:hAnsi="宋体"/>
          <w:szCs w:val="21"/>
        </w:rPr>
        <w:t>1964年底核发营业证书67户</w:t>
      </w:r>
      <w:r>
        <w:rPr>
          <w:rFonts w:hint="eastAsia" w:ascii="宋体" w:hAnsi="宋体"/>
          <w:szCs w:val="21"/>
        </w:rPr>
        <w:t>。</w:t>
      </w:r>
    </w:p>
    <w:p w14:paraId="40B097E9">
      <w:pPr>
        <w:ind w:firstLine="420"/>
        <w:rPr>
          <w:rFonts w:ascii="宋体" w:hAnsi="宋体"/>
          <w:szCs w:val="21"/>
        </w:rPr>
      </w:pPr>
      <w:r>
        <w:rPr>
          <w:rFonts w:ascii="宋体" w:hAnsi="宋体"/>
          <w:szCs w:val="21"/>
        </w:rPr>
        <w:t>1980年初开展工业企业普查登记工作。核发营业执照296户，其中国营118户，</w:t>
      </w:r>
      <w:r>
        <w:rPr>
          <w:rFonts w:hint="eastAsia" w:ascii="宋体" w:hAnsi="宋体"/>
          <w:szCs w:val="21"/>
        </w:rPr>
        <w:t>集体</w:t>
      </w:r>
      <w:r>
        <w:rPr>
          <w:rFonts w:ascii="宋体" w:hAnsi="宋体"/>
          <w:szCs w:val="21"/>
        </w:rPr>
        <w:t>157户。1987年全县实有企业496户，分支机构874个，注册资金14250万元，</w:t>
      </w:r>
      <w:r>
        <w:rPr>
          <w:rFonts w:hint="eastAsia" w:ascii="宋体" w:hAnsi="宋体"/>
          <w:szCs w:val="21"/>
        </w:rPr>
        <w:t>从业人员</w:t>
      </w:r>
      <w:r>
        <w:rPr>
          <w:rFonts w:ascii="宋体" w:hAnsi="宋体"/>
          <w:szCs w:val="21"/>
        </w:rPr>
        <w:t>22812人。其中全民所有制企业136户，分支机构405个，注册资金6397</w:t>
      </w:r>
      <w:r>
        <w:rPr>
          <w:rFonts w:hint="eastAsia" w:ascii="宋体" w:hAnsi="宋体"/>
          <w:szCs w:val="21"/>
        </w:rPr>
        <w:t>万元，从业人员</w:t>
      </w:r>
      <w:r>
        <w:rPr>
          <w:rFonts w:ascii="宋体" w:hAnsi="宋体"/>
          <w:szCs w:val="21"/>
        </w:rPr>
        <w:t>10495人；集体所有制企业346户，分支机构469个，注册资金6034</w:t>
      </w:r>
      <w:r>
        <w:rPr>
          <w:rFonts w:hint="eastAsia" w:ascii="宋体" w:hAnsi="宋体"/>
          <w:szCs w:val="21"/>
        </w:rPr>
        <w:t>万元，从业人员</w:t>
      </w:r>
      <w:r>
        <w:rPr>
          <w:rFonts w:ascii="宋体" w:hAnsi="宋体"/>
          <w:szCs w:val="21"/>
        </w:rPr>
        <w:t>10403人；联营企业14户，资金1556万元，从业人员2014人，另</w:t>
      </w:r>
      <w:r>
        <w:rPr>
          <w:rFonts w:hint="eastAsia" w:ascii="宋体" w:hAnsi="宋体"/>
          <w:szCs w:val="21"/>
        </w:rPr>
        <w:t>有外来企</w:t>
      </w:r>
      <w:r>
        <w:rPr>
          <w:rFonts w:ascii="宋体" w:hAnsi="宋体"/>
          <w:szCs w:val="21"/>
        </w:rPr>
        <w:t>18户。1993年至1999年认真贯彻《中华人民共和国公司法》，支持国有企</w:t>
      </w:r>
      <w:r>
        <w:rPr>
          <w:rFonts w:hint="eastAsia" w:ascii="宋体" w:hAnsi="宋体"/>
          <w:szCs w:val="21"/>
        </w:rPr>
        <w:t>业、集体企业转换经营机制，以股份制有限公司和有限责任公司进行登记注册，并对挂靠国有企业、集体企业进行清理，共清了挂靠企业</w:t>
      </w:r>
      <w:r>
        <w:rPr>
          <w:rFonts w:ascii="宋体" w:hAnsi="宋体"/>
          <w:szCs w:val="21"/>
        </w:rPr>
        <w:t>86户，其中26户实行重新登记</w:t>
      </w:r>
      <w:r>
        <w:rPr>
          <w:rFonts w:hint="eastAsia" w:ascii="宋体" w:hAnsi="宋体"/>
          <w:szCs w:val="21"/>
        </w:rPr>
        <w:t>注册。</w:t>
      </w:r>
      <w:r>
        <w:rPr>
          <w:rFonts w:ascii="宋体" w:hAnsi="宋体"/>
          <w:szCs w:val="21"/>
        </w:rPr>
        <w:t>2004年底国有企业394户，注册资金27977万元</w:t>
      </w:r>
      <w:r>
        <w:rPr>
          <w:rFonts w:hint="eastAsia" w:ascii="宋体" w:hAnsi="宋体"/>
          <w:szCs w:val="21"/>
        </w:rPr>
        <w:t>。</w:t>
      </w:r>
    </w:p>
    <w:p w14:paraId="149AB0A8">
      <w:pPr>
        <w:pStyle w:val="5"/>
        <w:rPr>
          <w:rFonts w:ascii="宋体" w:hAnsi="宋体"/>
        </w:rPr>
      </w:pPr>
      <w:r>
        <w:rPr>
          <w:rFonts w:hint="eastAsia" w:ascii="宋体" w:hAnsi="宋体"/>
        </w:rPr>
        <w:t>三、个体工商业户登记管理</w:t>
      </w:r>
    </w:p>
    <w:p w14:paraId="72D55CFD">
      <w:pPr>
        <w:ind w:firstLine="420"/>
        <w:rPr>
          <w:rFonts w:ascii="宋体" w:hAnsi="宋体"/>
          <w:szCs w:val="21"/>
        </w:rPr>
      </w:pPr>
      <w:r>
        <w:rPr>
          <w:rFonts w:ascii="宋体" w:hAnsi="宋体"/>
          <w:szCs w:val="21"/>
        </w:rPr>
        <w:t>1957年，全县有个体商贩945户，从业人员1184人。其中商业521户，从业人</w:t>
      </w:r>
      <w:r>
        <w:rPr>
          <w:rFonts w:hint="eastAsia" w:ascii="宋体" w:hAnsi="宋体"/>
          <w:szCs w:val="21"/>
        </w:rPr>
        <w:t>员</w:t>
      </w:r>
      <w:r>
        <w:rPr>
          <w:rFonts w:ascii="宋体" w:hAnsi="宋体"/>
          <w:szCs w:val="21"/>
        </w:rPr>
        <w:t>660人，饮食业307户，从业人员379人，服务业117户，从业人员145人，个体</w:t>
      </w:r>
      <w:r>
        <w:rPr>
          <w:rFonts w:hint="eastAsia" w:ascii="宋体" w:hAnsi="宋体"/>
          <w:szCs w:val="21"/>
        </w:rPr>
        <w:t>手工业</w:t>
      </w:r>
      <w:r>
        <w:rPr>
          <w:rFonts w:ascii="宋体" w:hAnsi="宋体"/>
          <w:szCs w:val="21"/>
        </w:rPr>
        <w:t>235户，从业人员354人。“大跃进”期间，在“左”的思想指导下，对个体</w:t>
      </w:r>
      <w:r>
        <w:rPr>
          <w:rFonts w:hint="eastAsia" w:ascii="宋体" w:hAnsi="宋体"/>
          <w:szCs w:val="21"/>
        </w:rPr>
        <w:t>小商贩进行整顿，安排回乡务农的</w:t>
      </w:r>
      <w:r>
        <w:rPr>
          <w:rFonts w:ascii="宋体" w:hAnsi="宋体"/>
          <w:szCs w:val="21"/>
        </w:rPr>
        <w:t>21户48人，转入合作店组的669户772人。1965</w:t>
      </w:r>
      <w:r>
        <w:rPr>
          <w:rFonts w:hint="eastAsia" w:ascii="宋体" w:hAnsi="宋体"/>
          <w:szCs w:val="21"/>
        </w:rPr>
        <w:t>年初，准许保留营业的只有</w:t>
      </w:r>
      <w:r>
        <w:rPr>
          <w:rFonts w:ascii="宋体" w:hAnsi="宋体"/>
          <w:szCs w:val="21"/>
        </w:rPr>
        <w:t>110户。</w:t>
      </w:r>
      <w:r>
        <w:rPr>
          <w:rFonts w:hint="eastAsia" w:ascii="宋体" w:hAnsi="宋体"/>
          <w:szCs w:val="21"/>
        </w:rPr>
        <w:t>“</w:t>
      </w:r>
      <w:r>
        <w:rPr>
          <w:rFonts w:ascii="宋体" w:hAnsi="宋体"/>
          <w:szCs w:val="21"/>
        </w:rPr>
        <w:t>文化大革命</w:t>
      </w:r>
      <w:r>
        <w:rPr>
          <w:rFonts w:hint="eastAsia" w:ascii="宋体" w:hAnsi="宋体"/>
          <w:szCs w:val="21"/>
        </w:rPr>
        <w:t>”</w:t>
      </w:r>
      <w:r>
        <w:rPr>
          <w:rFonts w:ascii="宋体" w:hAnsi="宋体"/>
          <w:szCs w:val="21"/>
        </w:rPr>
        <w:t>期间，取消个体商贩。凡农村户</w:t>
      </w:r>
      <w:r>
        <w:rPr>
          <w:rFonts w:hint="eastAsia" w:ascii="宋体" w:hAnsi="宋体"/>
          <w:szCs w:val="21"/>
        </w:rPr>
        <w:t>口的一律回农村务农，城镇户口的，由街道组织集体经营，或纳入合作商店。中共十一届三中全会后，个体工商户有较大的发展。</w:t>
      </w:r>
      <w:r>
        <w:rPr>
          <w:rFonts w:ascii="宋体" w:hAnsi="宋体"/>
          <w:szCs w:val="21"/>
        </w:rPr>
        <w:t>1980年个体商业户发展到648户，从</w:t>
      </w:r>
      <w:r>
        <w:rPr>
          <w:rFonts w:hint="eastAsia" w:ascii="宋体" w:hAnsi="宋体"/>
          <w:szCs w:val="21"/>
        </w:rPr>
        <w:t>业人员</w:t>
      </w:r>
      <w:r>
        <w:rPr>
          <w:rFonts w:ascii="宋体" w:hAnsi="宋体"/>
          <w:szCs w:val="21"/>
        </w:rPr>
        <w:t>1049人。1982年，国务院颁布《关于城镇非农业个体经济若干政策的规定》，</w:t>
      </w:r>
      <w:r>
        <w:rPr>
          <w:rFonts w:hint="eastAsia" w:ascii="宋体" w:hAnsi="宋体"/>
          <w:szCs w:val="21"/>
        </w:rPr>
        <w:t>县工商部门组织人员到街道进行调查摸底，主动帮助待业青年个体经营，自谋职业。至</w:t>
      </w:r>
      <w:r>
        <w:rPr>
          <w:rFonts w:ascii="宋体" w:hAnsi="宋体"/>
          <w:szCs w:val="21"/>
        </w:rPr>
        <w:t>1987年底，全县有个体工商户5505户，从业人员8582人。1988年至1995年，为</w:t>
      </w:r>
      <w:r>
        <w:rPr>
          <w:rFonts w:hint="eastAsia" w:ascii="宋体" w:hAnsi="宋体"/>
          <w:szCs w:val="21"/>
        </w:rPr>
        <w:t>适应社会主义市场经济的发展，做到三放宽、一简化、一提高，即放宽经营政策，放宽经营范围，放宽流通渠道，简化工商登记注册手续，提高办事效率，有力地促进了全市个体工商户的发展。</w:t>
      </w:r>
      <w:r>
        <w:rPr>
          <w:rFonts w:ascii="宋体" w:hAnsi="宋体"/>
          <w:szCs w:val="21"/>
        </w:rPr>
        <w:t>1995年新发展个体工商户1249户。至2004年底，全市共有</w:t>
      </w:r>
      <w:r>
        <w:rPr>
          <w:rFonts w:hint="eastAsia" w:ascii="宋体" w:hAnsi="宋体"/>
          <w:szCs w:val="21"/>
        </w:rPr>
        <w:t>个体工商户</w:t>
      </w:r>
      <w:r>
        <w:rPr>
          <w:rFonts w:ascii="宋体" w:hAnsi="宋体"/>
          <w:szCs w:val="21"/>
        </w:rPr>
        <w:t>7526户，从业人员13158人，注册资金21942万元。</w:t>
      </w:r>
    </w:p>
    <w:p w14:paraId="48D1011C">
      <w:pPr>
        <w:pStyle w:val="4"/>
        <w:rPr>
          <w:rFonts w:ascii="宋体" w:hAnsi="宋体"/>
        </w:rPr>
      </w:pPr>
      <w:r>
        <w:rPr>
          <w:rFonts w:hint="eastAsia" w:ascii="宋体" w:hAnsi="宋体"/>
        </w:rPr>
        <w:t>第五节  经济合同管理</w:t>
      </w:r>
    </w:p>
    <w:p w14:paraId="653BD6C3">
      <w:pPr>
        <w:ind w:firstLine="420"/>
        <w:rPr>
          <w:rFonts w:ascii="宋体" w:hAnsi="宋体"/>
          <w:szCs w:val="21"/>
        </w:rPr>
      </w:pPr>
      <w:r>
        <w:rPr>
          <w:rFonts w:ascii="宋体" w:hAnsi="宋体"/>
          <w:szCs w:val="21"/>
        </w:rPr>
        <w:t>1953年，县供销部门在收购农副产品过程中，推行经济合同制。在计划经济时</w:t>
      </w:r>
      <w:r>
        <w:rPr>
          <w:rFonts w:hint="eastAsia" w:ascii="宋体" w:hAnsi="宋体"/>
          <w:szCs w:val="21"/>
        </w:rPr>
        <w:t>期，以计划收购代替经济合同制。</w:t>
      </w:r>
      <w:r>
        <w:rPr>
          <w:rFonts w:ascii="宋体" w:hAnsi="宋体"/>
          <w:szCs w:val="21"/>
        </w:rPr>
        <w:t>1982年贯彻《中华人民共和国经济合同法》，各企</w:t>
      </w:r>
      <w:r>
        <w:rPr>
          <w:rFonts w:hint="eastAsia" w:ascii="宋体" w:hAnsi="宋体"/>
          <w:szCs w:val="21"/>
        </w:rPr>
        <w:t>业均建立合同管理机构，聘请律师，初步形成了合同管理网络。</w:t>
      </w:r>
    </w:p>
    <w:p w14:paraId="06714937">
      <w:pPr>
        <w:ind w:firstLine="420"/>
        <w:rPr>
          <w:rFonts w:ascii="宋体" w:hAnsi="宋体"/>
          <w:szCs w:val="21"/>
        </w:rPr>
      </w:pPr>
      <w:r>
        <w:rPr>
          <w:rFonts w:ascii="宋体" w:hAnsi="宋体"/>
          <w:szCs w:val="21"/>
        </w:rPr>
        <w:t>1986年起开展“重合同，守信用”评审工作，由县人民政府授予“重合同，守</w:t>
      </w:r>
      <w:r>
        <w:rPr>
          <w:rFonts w:hint="eastAsia" w:ascii="宋体" w:hAnsi="宋体"/>
          <w:szCs w:val="21"/>
        </w:rPr>
        <w:t>信用”荣誉称号的单位</w:t>
      </w:r>
      <w:r>
        <w:rPr>
          <w:rFonts w:ascii="宋体" w:hAnsi="宋体"/>
          <w:szCs w:val="21"/>
        </w:rPr>
        <w:t>20户，1987年增加到32户，1994年为40户。</w:t>
      </w:r>
    </w:p>
    <w:p w14:paraId="1F5D721E">
      <w:pPr>
        <w:ind w:firstLine="420"/>
        <w:rPr>
          <w:rFonts w:ascii="宋体" w:hAnsi="宋体"/>
          <w:szCs w:val="21"/>
        </w:rPr>
      </w:pPr>
      <w:r>
        <w:rPr>
          <w:rFonts w:hint="eastAsia" w:ascii="宋体" w:hAnsi="宋体"/>
          <w:szCs w:val="21"/>
        </w:rPr>
        <w:t>经济合同的鉴证、调解、仲裁工作不断加强。</w:t>
      </w:r>
      <w:r>
        <w:rPr>
          <w:rFonts w:ascii="宋体" w:hAnsi="宋体"/>
          <w:szCs w:val="21"/>
        </w:rPr>
        <w:t>1990年增设了珠玑、宾阳门、黄</w:t>
      </w:r>
      <w:r>
        <w:rPr>
          <w:rFonts w:hint="eastAsia" w:ascii="宋体" w:hAnsi="宋体"/>
          <w:szCs w:val="21"/>
        </w:rPr>
        <w:t>坑、水口、雄州、百顺</w:t>
      </w:r>
      <w:r>
        <w:rPr>
          <w:rFonts w:ascii="宋体" w:hAnsi="宋体"/>
          <w:szCs w:val="21"/>
        </w:rPr>
        <w:t>6个派出仲裁庭。全市共有仲裁庭7个，人员28名。1991年</w:t>
      </w:r>
      <w:r>
        <w:rPr>
          <w:rFonts w:hint="eastAsia" w:ascii="宋体" w:hAnsi="宋体"/>
          <w:szCs w:val="21"/>
        </w:rPr>
        <w:t>受理经济纠纷案件</w:t>
      </w:r>
      <w:r>
        <w:rPr>
          <w:rFonts w:ascii="宋体" w:hAnsi="宋体"/>
          <w:szCs w:val="21"/>
        </w:rPr>
        <w:t>31件，争议金额10.5万元。1994年，鉴证合同28份，涉及金额205.7万元，庭外调解合同纠纷2宗，避免经济损失16万元。1999年贯彻新的“合</w:t>
      </w:r>
      <w:r>
        <w:rPr>
          <w:rFonts w:hint="eastAsia" w:ascii="宋体" w:hAnsi="宋体"/>
          <w:szCs w:val="21"/>
        </w:rPr>
        <w:t>同法”，经济合同管理走向正常化轨道。</w:t>
      </w:r>
      <w:r>
        <w:rPr>
          <w:rFonts w:ascii="宋体" w:hAnsi="宋体"/>
          <w:szCs w:val="21"/>
        </w:rPr>
        <w:t>1999年鉴证财产租赁合同612份，合同金额1380万元。2001年鉴证建筑施工合同40份，鉴证金额4957万元。鉴证拍卖合同4</w:t>
      </w:r>
      <w:r>
        <w:rPr>
          <w:rFonts w:hint="eastAsia" w:ascii="宋体" w:hAnsi="宋体"/>
          <w:szCs w:val="21"/>
        </w:rPr>
        <w:t>份，鉴证金额</w:t>
      </w:r>
      <w:r>
        <w:rPr>
          <w:rFonts w:ascii="宋体" w:hAnsi="宋体"/>
          <w:szCs w:val="21"/>
        </w:rPr>
        <w:t>150万元。2001年至2004年鉴证各类合同1006份</w:t>
      </w:r>
      <w:r>
        <w:rPr>
          <w:rFonts w:hint="eastAsia" w:ascii="宋体" w:hAnsi="宋体"/>
          <w:szCs w:val="21"/>
        </w:rPr>
        <w:t>。</w:t>
      </w:r>
    </w:p>
    <w:p w14:paraId="2ED1AB24">
      <w:pPr>
        <w:pStyle w:val="4"/>
        <w:rPr>
          <w:rFonts w:ascii="宋体" w:hAnsi="宋体"/>
        </w:rPr>
      </w:pPr>
      <w:r>
        <w:rPr>
          <w:rFonts w:hint="eastAsia" w:ascii="宋体" w:hAnsi="宋体"/>
        </w:rPr>
        <w:t>第六节  商标广告管理</w:t>
      </w:r>
    </w:p>
    <w:p w14:paraId="4FC8E86E">
      <w:pPr>
        <w:ind w:firstLine="420"/>
        <w:rPr>
          <w:rFonts w:ascii="宋体" w:hAnsi="宋体"/>
          <w:szCs w:val="21"/>
        </w:rPr>
      </w:pPr>
      <w:r>
        <w:rPr>
          <w:rFonts w:hint="eastAsia" w:ascii="宋体" w:hAnsi="宋体"/>
          <w:szCs w:val="21"/>
        </w:rPr>
        <w:t>商标管理。从</w:t>
      </w:r>
      <w:r>
        <w:rPr>
          <w:rFonts w:ascii="宋体" w:hAnsi="宋体"/>
          <w:szCs w:val="21"/>
        </w:rPr>
        <w:t>1979年开始，至2004年，全市申请注册商标65个，核准使用51</w:t>
      </w:r>
      <w:r>
        <w:rPr>
          <w:rFonts w:hint="eastAsia" w:ascii="宋体" w:hAnsi="宋体"/>
          <w:szCs w:val="21"/>
        </w:rPr>
        <w:t>个。主要商标：浈江商标牌服装，使用单位县服装厂；喜鹊牌蚊香，使用单位县烤胶厂；梅关牌米酒，使用单位南雄县酒厂；珠玑牌香烟、雄叶牌香烟、百顺牌香烟、富加乐牌香烟，使用单位均为卷烟厂；鸿运牌凉拖鞋，使用单位华兴塑料公司，南粤牌烤胶，使用单位县烤胶厂；珠玑巷牌康寿奶，使用单位县酒厂；油山牌榨油机，使用单位县农机厂；帽威牌米酒，使用单位帽子峰酒厂；梅关牌松香，使用单位南雄市松香厂；贵妃塔牌漆，使用单位南雄县水南化工厂；雅露佳牌卫生纸，使用单位县宏达卫生巾厂；金箍锁，使用单位县五金配件厂；顺达牌电池，使用单位县电池厂；粤旺牌饼食，使用人钟礼旺；雄鹰牌拖拉机，使用单位县农机厂；一帆风顺牌、天鹅牌、通欧牌竹制工艺品，使用单位县竹制工艺厂；松立牌，使用单位县骏豪陶瓷厂；雄得利牌石板材，使用单位雄得利花岗石开发公司；玉潭牌，使用单位南雄县羽绒厂；豪冠牌花园椅，使用单位南雄县豪冠花园椅厂；金友牌米，使用单位金友粮食企业集团有限公司。</w:t>
      </w:r>
    </w:p>
    <w:p w14:paraId="61B75DA1">
      <w:pPr>
        <w:ind w:firstLine="420"/>
        <w:rPr>
          <w:rFonts w:ascii="宋体" w:hAnsi="宋体"/>
          <w:szCs w:val="21"/>
        </w:rPr>
      </w:pPr>
      <w:r>
        <w:rPr>
          <w:rFonts w:hint="eastAsia" w:ascii="宋体" w:hAnsi="宋体"/>
          <w:szCs w:val="21"/>
        </w:rPr>
        <w:t>广告管理。</w:t>
      </w:r>
      <w:r>
        <w:rPr>
          <w:rFonts w:ascii="宋体" w:hAnsi="宋体"/>
          <w:szCs w:val="21"/>
        </w:rPr>
        <w:t>1980年起贯彻国务院颁布的《广告管理暂行条例》，至2004年全市</w:t>
      </w:r>
      <w:r>
        <w:rPr>
          <w:rFonts w:hint="eastAsia" w:ascii="宋体" w:hAnsi="宋体"/>
          <w:szCs w:val="21"/>
        </w:rPr>
        <w:t>有广告经营单位</w:t>
      </w:r>
      <w:r>
        <w:rPr>
          <w:rFonts w:ascii="宋体" w:hAnsi="宋体"/>
          <w:szCs w:val="21"/>
        </w:rPr>
        <w:t>19户，其中专营16户，兼营3户，从业人员共55人。</w:t>
      </w:r>
    </w:p>
    <w:p w14:paraId="6AA7D177">
      <w:pPr>
        <w:pStyle w:val="4"/>
        <w:rPr>
          <w:rFonts w:ascii="宋体" w:hAnsi="宋体"/>
        </w:rPr>
      </w:pPr>
      <w:r>
        <w:rPr>
          <w:rFonts w:hint="eastAsia" w:ascii="宋体" w:hAnsi="宋体"/>
        </w:rPr>
        <w:t>第七节  标准计量管理</w:t>
      </w:r>
    </w:p>
    <w:p w14:paraId="27626018">
      <w:pPr>
        <w:pStyle w:val="5"/>
        <w:rPr>
          <w:rFonts w:ascii="宋体" w:hAnsi="宋体"/>
        </w:rPr>
      </w:pPr>
      <w:r>
        <w:rPr>
          <w:rFonts w:hint="eastAsia" w:ascii="宋体" w:hAnsi="宋体"/>
        </w:rPr>
        <w:t>一、计量管理</w:t>
      </w:r>
    </w:p>
    <w:p w14:paraId="48650896">
      <w:pPr>
        <w:ind w:firstLine="420"/>
        <w:rPr>
          <w:rFonts w:ascii="宋体" w:hAnsi="宋体"/>
          <w:szCs w:val="21"/>
        </w:rPr>
      </w:pPr>
      <w:r>
        <w:rPr>
          <w:rFonts w:hint="eastAsia" w:ascii="宋体" w:hAnsi="宋体"/>
          <w:szCs w:val="21"/>
        </w:rPr>
        <w:t>新中国成立初期，度量衡比较混乱，尺有排线尺、鲁班尺。排线尺</w:t>
      </w:r>
      <w:r>
        <w:rPr>
          <w:rFonts w:ascii="宋体" w:hAnsi="宋体"/>
          <w:szCs w:val="21"/>
        </w:rPr>
        <w:t>1尺等于1.11市尺，鲁班尺1尺等于1.17市尺。重量单位有司码斤，1司码斤等于1.176市</w:t>
      </w:r>
      <w:r>
        <w:rPr>
          <w:rFonts w:hint="eastAsia" w:ascii="宋体" w:hAnsi="宋体"/>
          <w:szCs w:val="21"/>
        </w:rPr>
        <w:t>斤。</w:t>
      </w:r>
      <w:r>
        <w:rPr>
          <w:rFonts w:ascii="宋体" w:hAnsi="宋体"/>
          <w:szCs w:val="21"/>
        </w:rPr>
        <w:t>1953年后，逐步废除司码斤、排线尺、鲁班尺。1964年，改十六两秤为十两秤。1977年组织秤工钉制7000把千克戥秤在全县推广。1979年完成县中医药处方用药计</w:t>
      </w:r>
      <w:r>
        <w:rPr>
          <w:rFonts w:hint="eastAsia" w:ascii="宋体" w:hAnsi="宋体"/>
          <w:szCs w:val="21"/>
        </w:rPr>
        <w:t>量单位的改制工作。</w:t>
      </w:r>
      <w:r>
        <w:rPr>
          <w:rFonts w:ascii="宋体" w:hAnsi="宋体"/>
          <w:szCs w:val="21"/>
        </w:rPr>
        <w:t>1986年成立标准计量管理局，推行法定计量单位，改革市制，</w:t>
      </w:r>
      <w:r>
        <w:rPr>
          <w:rFonts w:hint="eastAsia" w:ascii="宋体" w:hAnsi="宋体"/>
          <w:szCs w:val="21"/>
        </w:rPr>
        <w:t>逐步推行千克杆秤，组织秤工生产上万支千克秤。</w:t>
      </w:r>
      <w:r>
        <w:rPr>
          <w:rFonts w:ascii="宋体" w:hAnsi="宋体"/>
          <w:szCs w:val="21"/>
        </w:rPr>
        <w:t>1987年3月，县政府布告，要求</w:t>
      </w:r>
      <w:r>
        <w:rPr>
          <w:rFonts w:hint="eastAsia" w:ascii="宋体" w:hAnsi="宋体"/>
          <w:szCs w:val="21"/>
        </w:rPr>
        <w:t>全面推行法定计量单位。至</w:t>
      </w:r>
      <w:r>
        <w:rPr>
          <w:rFonts w:ascii="宋体" w:hAnsi="宋体"/>
          <w:szCs w:val="21"/>
        </w:rPr>
        <w:t>1988年8月完成第一批计量器具检测，检定竹木直尺322</w:t>
      </w:r>
      <w:r>
        <w:rPr>
          <w:rFonts w:hint="eastAsia" w:ascii="宋体" w:hAnsi="宋体"/>
          <w:szCs w:val="21"/>
        </w:rPr>
        <w:t>件，砝码</w:t>
      </w:r>
      <w:r>
        <w:rPr>
          <w:rFonts w:ascii="宋体" w:hAnsi="宋体"/>
          <w:szCs w:val="21"/>
        </w:rPr>
        <w:t>25942件，天平42台，秤23742件，液体量提1217件，售油器7台，水表2498件，压力表341件，血压器101件，电度表6812件。2001年至2004年按省市</w:t>
      </w:r>
      <w:r>
        <w:rPr>
          <w:rFonts w:hint="eastAsia" w:ascii="宋体" w:hAnsi="宋体"/>
          <w:szCs w:val="21"/>
        </w:rPr>
        <w:t>技术监督局的统一部署，完成了全市</w:t>
      </w:r>
      <w:r>
        <w:rPr>
          <w:rFonts w:ascii="宋体" w:hAnsi="宋体"/>
          <w:szCs w:val="21"/>
        </w:rPr>
        <w:t>16家加油站的三级计量保证体系确认，完成贸</w:t>
      </w:r>
      <w:r>
        <w:rPr>
          <w:rFonts w:hint="eastAsia" w:ascii="宋体" w:hAnsi="宋体"/>
          <w:szCs w:val="21"/>
        </w:rPr>
        <w:t>易结算、安全防护、环境监测、医疗卫生等单位使用的计量器具检定工作，完成强检计量器具</w:t>
      </w:r>
      <w:r>
        <w:rPr>
          <w:rFonts w:ascii="宋体" w:hAnsi="宋体"/>
          <w:szCs w:val="21"/>
        </w:rPr>
        <w:t>1914台（件）</w:t>
      </w:r>
      <w:r>
        <w:rPr>
          <w:rFonts w:hint="eastAsia" w:ascii="宋体" w:hAnsi="宋体"/>
          <w:szCs w:val="21"/>
        </w:rPr>
        <w:t>。</w:t>
      </w:r>
    </w:p>
    <w:p w14:paraId="47B9F17E">
      <w:pPr>
        <w:pStyle w:val="5"/>
        <w:rPr>
          <w:rFonts w:ascii="宋体" w:hAnsi="宋体"/>
        </w:rPr>
      </w:pPr>
      <w:r>
        <w:rPr>
          <w:rFonts w:hint="eastAsia" w:ascii="宋体" w:hAnsi="宋体"/>
        </w:rPr>
        <w:t>二、标准化管理</w:t>
      </w:r>
    </w:p>
    <w:p w14:paraId="6B2599A2">
      <w:pPr>
        <w:ind w:firstLine="420"/>
        <w:rPr>
          <w:rFonts w:ascii="宋体" w:hAnsi="宋体"/>
          <w:szCs w:val="21"/>
        </w:rPr>
      </w:pPr>
      <w:r>
        <w:rPr>
          <w:rFonts w:ascii="宋体" w:hAnsi="宋体"/>
          <w:szCs w:val="21"/>
        </w:rPr>
        <w:t>1986年5月，贯彻《中华人民共和国标准化管理条例》。在全县70个企业的74</w:t>
      </w:r>
      <w:r>
        <w:rPr>
          <w:rFonts w:hint="eastAsia" w:ascii="宋体" w:hAnsi="宋体"/>
          <w:szCs w:val="21"/>
        </w:rPr>
        <w:t>个产品中，进行标准化检验。采用国家标准</w:t>
      </w:r>
      <w:r>
        <w:rPr>
          <w:rFonts w:ascii="宋体" w:hAnsi="宋体"/>
          <w:szCs w:val="21"/>
        </w:rPr>
        <w:t>9个，部级标准18个，省级标准7个，</w:t>
      </w:r>
      <w:r>
        <w:rPr>
          <w:rFonts w:hint="eastAsia" w:ascii="宋体" w:hAnsi="宋体"/>
          <w:szCs w:val="21"/>
        </w:rPr>
        <w:t>市（地）级标准</w:t>
      </w:r>
      <w:r>
        <w:rPr>
          <w:rFonts w:ascii="宋体" w:hAnsi="宋体"/>
          <w:szCs w:val="21"/>
        </w:rPr>
        <w:t>5个，企业标准22个，无标13个。1998年为消灭无标生产，进行</w:t>
      </w:r>
      <w:r>
        <w:rPr>
          <w:rFonts w:hint="eastAsia" w:ascii="宋体" w:hAnsi="宋体"/>
          <w:szCs w:val="21"/>
        </w:rPr>
        <w:t>全面普查摸底。</w:t>
      </w:r>
      <w:r>
        <w:rPr>
          <w:rFonts w:ascii="宋体" w:hAnsi="宋体"/>
          <w:szCs w:val="21"/>
        </w:rPr>
        <w:t>1999年，为279家企业370个产品</w:t>
      </w:r>
      <w:r>
        <w:rPr>
          <w:rFonts w:hint="eastAsia" w:ascii="宋体" w:hAnsi="宋体"/>
          <w:szCs w:val="21"/>
        </w:rPr>
        <w:t>查</w:t>
      </w:r>
      <w:r>
        <w:rPr>
          <w:rFonts w:ascii="宋体" w:hAnsi="宋体"/>
          <w:szCs w:val="21"/>
        </w:rPr>
        <w:t>找制定了产品标准。是年8月，</w:t>
      </w:r>
      <w:r>
        <w:rPr>
          <w:rFonts w:hint="eastAsia" w:ascii="宋体" w:hAnsi="宋体"/>
          <w:szCs w:val="21"/>
        </w:rPr>
        <w:t>国家质量技术监督局授予南雄市为“消灭无标生产市”。</w:t>
      </w:r>
      <w:r>
        <w:rPr>
          <w:rFonts w:ascii="宋体" w:hAnsi="宋体"/>
          <w:szCs w:val="21"/>
        </w:rPr>
        <w:t>2002年，又为280多家企业370多个产品查找制定了标准，使全市产品标准覆盖率达98.4%。</w:t>
      </w:r>
    </w:p>
    <w:p w14:paraId="16C88725">
      <w:pPr>
        <w:pStyle w:val="3"/>
        <w:rPr>
          <w:rFonts w:ascii="宋体" w:hAnsi="宋体"/>
        </w:rPr>
      </w:pPr>
      <w:r>
        <w:rPr>
          <w:rFonts w:hint="eastAsia" w:ascii="宋体" w:hAnsi="宋体"/>
        </w:rPr>
        <w:t>第十五章  物价</w:t>
      </w:r>
    </w:p>
    <w:p w14:paraId="4C0EA557">
      <w:pPr>
        <w:ind w:firstLine="420"/>
        <w:rPr>
          <w:rFonts w:ascii="宋体" w:hAnsi="宋体"/>
          <w:szCs w:val="21"/>
        </w:rPr>
      </w:pPr>
      <w:r>
        <w:rPr>
          <w:rFonts w:hint="eastAsia" w:ascii="宋体" w:hAnsi="宋体"/>
          <w:szCs w:val="21"/>
        </w:rPr>
        <w:t>新中国成立初，物价工作先后归属县工商科和商业科主管。</w:t>
      </w:r>
      <w:r>
        <w:rPr>
          <w:rFonts w:ascii="宋体" w:hAnsi="宋体"/>
          <w:szCs w:val="21"/>
        </w:rPr>
        <w:t>1955年成立物价办</w:t>
      </w:r>
      <w:r>
        <w:rPr>
          <w:rFonts w:hint="eastAsia" w:ascii="宋体" w:hAnsi="宋体"/>
          <w:szCs w:val="21"/>
        </w:rPr>
        <w:t>公室。</w:t>
      </w:r>
      <w:r>
        <w:rPr>
          <w:rFonts w:ascii="宋体" w:hAnsi="宋体"/>
          <w:szCs w:val="21"/>
        </w:rPr>
        <w:t>1956年成立物价科，1984年5月成立物价局</w:t>
      </w:r>
      <w:r>
        <w:rPr>
          <w:rFonts w:hint="eastAsia" w:ascii="宋体" w:hAnsi="宋体"/>
          <w:szCs w:val="21"/>
        </w:rPr>
        <w:t>。</w:t>
      </w:r>
    </w:p>
    <w:p w14:paraId="31C1F1B8">
      <w:pPr>
        <w:pStyle w:val="4"/>
        <w:rPr>
          <w:rFonts w:ascii="宋体" w:hAnsi="宋体"/>
        </w:rPr>
      </w:pPr>
      <w:r>
        <w:rPr>
          <w:rFonts w:hint="eastAsia" w:ascii="宋体" w:hAnsi="宋体"/>
        </w:rPr>
        <w:t>第一节  商品价格</w:t>
      </w:r>
    </w:p>
    <w:p w14:paraId="4F9A994E">
      <w:pPr>
        <w:pStyle w:val="5"/>
        <w:rPr>
          <w:rFonts w:ascii="宋体" w:hAnsi="宋体"/>
        </w:rPr>
      </w:pPr>
      <w:r>
        <w:rPr>
          <w:rFonts w:hint="eastAsia" w:ascii="宋体" w:hAnsi="宋体"/>
        </w:rPr>
        <w:t>一、计划经济时期的商品价格</w:t>
      </w:r>
    </w:p>
    <w:p w14:paraId="250881BD">
      <w:pPr>
        <w:ind w:firstLine="420"/>
        <w:rPr>
          <w:rFonts w:ascii="宋体" w:hAnsi="宋体"/>
          <w:szCs w:val="21"/>
        </w:rPr>
      </w:pPr>
      <w:r>
        <w:rPr>
          <w:rFonts w:hint="eastAsia" w:ascii="宋体" w:hAnsi="宋体"/>
          <w:szCs w:val="21"/>
        </w:rPr>
        <w:t>新中国成立后，实行计划经济，物价由国家统一管理，一切商品价格均由中央、省、地（市）、县四级政府的物价管理部门制定、调整或审批，除极少数农副产品外，整个商品流通过程的各个环节都执行国家计划价格，物价稳定。但由于过于集中统一，长期强调单一的计划价格，商品价格同价值背离日益严重，商品经济的发展受到束缚。</w:t>
      </w:r>
    </w:p>
    <w:p w14:paraId="4F0D143A">
      <w:pPr>
        <w:ind w:firstLine="420"/>
        <w:rPr>
          <w:rFonts w:ascii="宋体" w:hAnsi="宋体"/>
          <w:szCs w:val="21"/>
        </w:rPr>
      </w:pPr>
      <w:r>
        <w:rPr>
          <w:rFonts w:ascii="宋体" w:hAnsi="宋体"/>
          <w:szCs w:val="21"/>
        </w:rPr>
        <w:t>1953年起，国家对主要农产品逐步实行统购统销和派购政策，市场物价稳定</w:t>
      </w:r>
      <w:r>
        <w:rPr>
          <w:rFonts w:hint="eastAsia" w:ascii="宋体" w:hAnsi="宋体"/>
          <w:szCs w:val="21"/>
        </w:rPr>
        <w:t>。</w:t>
      </w:r>
      <w:r>
        <w:rPr>
          <w:rFonts w:ascii="宋体" w:hAnsi="宋体"/>
          <w:szCs w:val="21"/>
        </w:rPr>
        <w:t>1957年比1952年，农产品收购价格指数仅上升23.49%，商品零售价格指数则上</w:t>
      </w:r>
      <w:r>
        <w:rPr>
          <w:rFonts w:hint="eastAsia" w:ascii="宋体" w:hAnsi="宋体"/>
          <w:szCs w:val="21"/>
        </w:rPr>
        <w:t>升</w:t>
      </w:r>
      <w:r>
        <w:rPr>
          <w:rFonts w:ascii="宋体" w:hAnsi="宋体"/>
          <w:szCs w:val="21"/>
        </w:rPr>
        <w:t>12.5%</w:t>
      </w:r>
      <w:r>
        <w:rPr>
          <w:rFonts w:hint="eastAsia" w:ascii="宋体" w:hAnsi="宋体"/>
          <w:szCs w:val="21"/>
        </w:rPr>
        <w:t>。</w:t>
      </w:r>
    </w:p>
    <w:p w14:paraId="30726296">
      <w:pPr>
        <w:ind w:firstLine="420"/>
        <w:rPr>
          <w:rFonts w:ascii="宋体" w:hAnsi="宋体"/>
          <w:szCs w:val="21"/>
        </w:rPr>
      </w:pPr>
      <w:r>
        <w:rPr>
          <w:rFonts w:ascii="宋体" w:hAnsi="宋体"/>
          <w:szCs w:val="21"/>
        </w:rPr>
        <w:t>1958年“大跃进”失误，导致国民经济比例严重失调，物价一度暴涨。1961年</w:t>
      </w:r>
      <w:r>
        <w:rPr>
          <w:rFonts w:hint="eastAsia" w:ascii="宋体" w:hAnsi="宋体"/>
          <w:szCs w:val="21"/>
        </w:rPr>
        <w:t>后，贯彻调整方针，国民经济逐步恢复正常，市场物价随之恢复稳定。</w:t>
      </w:r>
      <w:r>
        <w:rPr>
          <w:rFonts w:ascii="宋体" w:hAnsi="宋体"/>
          <w:szCs w:val="21"/>
        </w:rPr>
        <w:t>1965年比1957年，农产品收购价格指数上升51.63%，商品零售价格指数上升25.2%</w:t>
      </w:r>
      <w:r>
        <w:rPr>
          <w:rFonts w:hint="eastAsia" w:ascii="宋体" w:hAnsi="宋体"/>
          <w:szCs w:val="21"/>
        </w:rPr>
        <w:t>。</w:t>
      </w:r>
    </w:p>
    <w:p w14:paraId="22FDB47D">
      <w:pPr>
        <w:ind w:firstLine="420"/>
        <w:rPr>
          <w:rFonts w:ascii="宋体" w:hAnsi="宋体"/>
          <w:szCs w:val="21"/>
        </w:rPr>
      </w:pPr>
      <w:r>
        <w:rPr>
          <w:rFonts w:hint="eastAsia" w:ascii="宋体" w:hAnsi="宋体"/>
          <w:szCs w:val="21"/>
        </w:rPr>
        <w:t>“文化大革命”期间，物价基本冻结。市场物价长期执行固定性计划价格。</w:t>
      </w:r>
      <w:r>
        <w:rPr>
          <w:rFonts w:ascii="宋体" w:hAnsi="宋体"/>
          <w:szCs w:val="21"/>
        </w:rPr>
        <w:t>1976</w:t>
      </w:r>
      <w:r>
        <w:rPr>
          <w:rFonts w:hint="eastAsia" w:ascii="宋体" w:hAnsi="宋体"/>
          <w:szCs w:val="21"/>
        </w:rPr>
        <w:t>年比</w:t>
      </w:r>
      <w:r>
        <w:rPr>
          <w:rFonts w:ascii="宋体" w:hAnsi="宋体"/>
          <w:szCs w:val="21"/>
        </w:rPr>
        <w:t>1965年，全县农产品收购价格指数上升13.27%，商品零售价格指数上</w:t>
      </w:r>
      <w:r>
        <w:rPr>
          <w:rFonts w:hint="eastAsia" w:ascii="宋体" w:hAnsi="宋体"/>
          <w:szCs w:val="21"/>
        </w:rPr>
        <w:t>升</w:t>
      </w:r>
      <w:r>
        <w:rPr>
          <w:rFonts w:ascii="宋体" w:hAnsi="宋体"/>
          <w:szCs w:val="21"/>
        </w:rPr>
        <w:t>0.7%。</w:t>
      </w:r>
    </w:p>
    <w:p w14:paraId="20431D70">
      <w:pPr>
        <w:pStyle w:val="5"/>
        <w:rPr>
          <w:rFonts w:ascii="宋体" w:hAnsi="宋体"/>
        </w:rPr>
      </w:pPr>
      <w:r>
        <w:rPr>
          <w:rFonts w:hint="eastAsia" w:ascii="宋体" w:hAnsi="宋体"/>
        </w:rPr>
        <w:t>二、改革开放时期的商品价格</w:t>
      </w:r>
    </w:p>
    <w:p w14:paraId="2C37B29A">
      <w:pPr>
        <w:ind w:firstLine="420"/>
        <w:rPr>
          <w:rFonts w:ascii="宋体" w:hAnsi="宋体"/>
          <w:szCs w:val="21"/>
        </w:rPr>
      </w:pPr>
      <w:r>
        <w:rPr>
          <w:rFonts w:ascii="宋体" w:hAnsi="宋体"/>
          <w:szCs w:val="21"/>
        </w:rPr>
        <w:t>1979年以后，物价工作进入改革时期，工农业商品价格逐步放开</w:t>
      </w:r>
      <w:r>
        <w:rPr>
          <w:rFonts w:hint="eastAsia" w:ascii="宋体" w:hAnsi="宋体"/>
          <w:szCs w:val="21"/>
        </w:rPr>
        <w:t>。</w:t>
      </w:r>
    </w:p>
    <w:p w14:paraId="461D514E">
      <w:pPr>
        <w:ind w:firstLine="420"/>
        <w:rPr>
          <w:rFonts w:ascii="宋体" w:hAnsi="宋体"/>
          <w:szCs w:val="21"/>
        </w:rPr>
      </w:pPr>
      <w:r>
        <w:rPr>
          <w:rFonts w:hint="eastAsia" w:ascii="宋体" w:hAnsi="宋体"/>
          <w:szCs w:val="21"/>
        </w:rPr>
        <w:t>农产品价格改革。</w:t>
      </w:r>
      <w:r>
        <w:rPr>
          <w:rFonts w:ascii="宋体" w:hAnsi="宋体"/>
          <w:szCs w:val="21"/>
        </w:rPr>
        <w:t>1984年放开计划外粮食、木材、毛竹购销价，烟叶收购实行</w:t>
      </w:r>
      <w:r>
        <w:rPr>
          <w:rFonts w:hint="eastAsia" w:ascii="宋体" w:hAnsi="宋体"/>
          <w:szCs w:val="21"/>
        </w:rPr>
        <w:t>价外补贴。</w:t>
      </w:r>
      <w:r>
        <w:rPr>
          <w:rFonts w:ascii="宋体" w:hAnsi="宋体"/>
          <w:szCs w:val="21"/>
        </w:rPr>
        <w:t>1985年1月取消生猪派购，价格放开，同时取消城镇居民猪肉牌价供应，</w:t>
      </w:r>
      <w:r>
        <w:rPr>
          <w:rFonts w:hint="eastAsia" w:ascii="宋体" w:hAnsi="宋体"/>
          <w:szCs w:val="21"/>
        </w:rPr>
        <w:t>给居民肉差补贴每人每年</w:t>
      </w:r>
      <w:r>
        <w:rPr>
          <w:rFonts w:ascii="宋体" w:hAnsi="宋体"/>
          <w:szCs w:val="21"/>
        </w:rPr>
        <w:t>8元。同年4月1日，取消粮食统购制度，改为合同定购，</w:t>
      </w:r>
      <w:r>
        <w:rPr>
          <w:rFonts w:hint="eastAsia" w:ascii="宋体" w:hAnsi="宋体"/>
          <w:szCs w:val="21"/>
        </w:rPr>
        <w:t>同时调整价格。</w:t>
      </w:r>
      <w:r>
        <w:rPr>
          <w:rFonts w:ascii="宋体" w:hAnsi="宋体"/>
          <w:szCs w:val="21"/>
        </w:rPr>
        <w:t>11月15日又取消集体林区木材统购制度，放开购销价格，实行国家</w:t>
      </w:r>
      <w:r>
        <w:rPr>
          <w:rFonts w:hint="eastAsia" w:ascii="宋体" w:hAnsi="宋体"/>
          <w:szCs w:val="21"/>
        </w:rPr>
        <w:t>指导价（浮动价）。同年还放开水产品价格，实行议购议销。至</w:t>
      </w:r>
      <w:r>
        <w:rPr>
          <w:rFonts w:ascii="宋体" w:hAnsi="宋体"/>
          <w:szCs w:val="21"/>
        </w:rPr>
        <w:t>1987年止，农产品</w:t>
      </w:r>
      <w:r>
        <w:rPr>
          <w:rFonts w:hint="eastAsia" w:ascii="宋体" w:hAnsi="宋体"/>
          <w:szCs w:val="21"/>
        </w:rPr>
        <w:t>除粮、油、烟、麻、蔗和国营木材的价格仍由国家定价外，其余均已放开，实行国家指导价或市场调节价。</w:t>
      </w:r>
      <w:r>
        <w:rPr>
          <w:rFonts w:ascii="宋体" w:hAnsi="宋体"/>
          <w:szCs w:val="21"/>
        </w:rPr>
        <w:t>1987年农产品收购价格指数比1978年上升156.37%。</w:t>
      </w:r>
    </w:p>
    <w:p w14:paraId="75D11742">
      <w:pPr>
        <w:ind w:firstLine="420"/>
        <w:rPr>
          <w:rFonts w:ascii="宋体" w:hAnsi="宋体"/>
          <w:szCs w:val="21"/>
        </w:rPr>
      </w:pPr>
      <w:r>
        <w:rPr>
          <w:rFonts w:hint="eastAsia" w:ascii="宋体" w:hAnsi="宋体"/>
          <w:szCs w:val="21"/>
        </w:rPr>
        <w:t>工业品价格改革。从放开日用工业品中的小商品价格着手，</w:t>
      </w:r>
      <w:r>
        <w:rPr>
          <w:rFonts w:ascii="宋体" w:hAnsi="宋体"/>
          <w:szCs w:val="21"/>
        </w:rPr>
        <w:t>1982年放开200多</w:t>
      </w:r>
      <w:r>
        <w:rPr>
          <w:rFonts w:hint="eastAsia" w:ascii="宋体" w:hAnsi="宋体"/>
          <w:szCs w:val="21"/>
        </w:rPr>
        <w:t>个品种，</w:t>
      </w:r>
      <w:r>
        <w:rPr>
          <w:rFonts w:ascii="宋体" w:hAnsi="宋体"/>
          <w:szCs w:val="21"/>
        </w:rPr>
        <w:t>1983年又放开350个品种。1983年10月，百货文化用品除手表、火柴、缝</w:t>
      </w:r>
      <w:r>
        <w:rPr>
          <w:rFonts w:hint="eastAsia" w:ascii="宋体" w:hAnsi="宋体"/>
          <w:szCs w:val="21"/>
        </w:rPr>
        <w:t>纫机、肥皂、胶鞋、洗衣粉、电筒、热水瓶、电池、纸、铅笔</w:t>
      </w:r>
      <w:r>
        <w:rPr>
          <w:rFonts w:ascii="宋体" w:hAnsi="宋体"/>
          <w:szCs w:val="21"/>
        </w:rPr>
        <w:t>11种商品外，其他均</w:t>
      </w:r>
      <w:r>
        <w:rPr>
          <w:rFonts w:hint="eastAsia" w:ascii="宋体" w:hAnsi="宋体"/>
          <w:szCs w:val="21"/>
        </w:rPr>
        <w:t>由企业定价，针棉织品、五金、交电、化工、糖、烟、酒、药品、日用杂品以及小农具等大部分品种也先后实行浮动价或放开。</w:t>
      </w:r>
      <w:r>
        <w:rPr>
          <w:rFonts w:ascii="宋体" w:hAnsi="宋体"/>
          <w:szCs w:val="21"/>
        </w:rPr>
        <w:t>1985年提高燃料价格，同时给每个职工</w:t>
      </w:r>
      <w:r>
        <w:rPr>
          <w:rFonts w:hint="eastAsia" w:ascii="宋体" w:hAnsi="宋体"/>
          <w:szCs w:val="21"/>
        </w:rPr>
        <w:t>每月补贴</w:t>
      </w:r>
      <w:r>
        <w:rPr>
          <w:rFonts w:ascii="宋体" w:hAnsi="宋体"/>
          <w:szCs w:val="21"/>
        </w:rPr>
        <w:t>10元，至1987年止。工业消费品除食盐、食糖、肥皂、火柴仍实行国家定</w:t>
      </w:r>
      <w:r>
        <w:rPr>
          <w:rFonts w:hint="eastAsia" w:ascii="宋体" w:hAnsi="宋体"/>
          <w:szCs w:val="21"/>
        </w:rPr>
        <w:t>价外，其余均实行国家指导价或放开。三类日用品价格全部放开，高档消费品除彩电实行国家指导价外，其余放开。生产资料实行“双轨价格”，即计划内执行国家定价或指导价，计划外实行市场调节价。</w:t>
      </w:r>
    </w:p>
    <w:p w14:paraId="12192E46">
      <w:pPr>
        <w:ind w:firstLine="420"/>
        <w:rPr>
          <w:rFonts w:ascii="宋体" w:hAnsi="宋体"/>
          <w:szCs w:val="21"/>
        </w:rPr>
      </w:pPr>
      <w:r>
        <w:rPr>
          <w:rFonts w:hint="eastAsia" w:ascii="宋体" w:hAnsi="宋体"/>
          <w:szCs w:val="21"/>
        </w:rPr>
        <w:t>这一时期出现多次较大的物价上涨。第一次是在</w:t>
      </w:r>
      <w:r>
        <w:rPr>
          <w:rFonts w:ascii="宋体" w:hAnsi="宋体"/>
          <w:szCs w:val="21"/>
        </w:rPr>
        <w:t>1979年冬提高8种副食品销售</w:t>
      </w:r>
      <w:r>
        <w:rPr>
          <w:rFonts w:hint="eastAsia" w:ascii="宋体" w:hAnsi="宋体"/>
          <w:szCs w:val="21"/>
        </w:rPr>
        <w:t>价后，引起了连锁反应。</w:t>
      </w:r>
      <w:r>
        <w:rPr>
          <w:rFonts w:ascii="宋体" w:hAnsi="宋体"/>
          <w:szCs w:val="21"/>
        </w:rPr>
        <w:t>1980年商品零售物价指数比上年上升10.3%，1981年又比</w:t>
      </w:r>
      <w:r>
        <w:rPr>
          <w:rFonts w:hint="eastAsia" w:ascii="宋体" w:hAnsi="宋体"/>
          <w:szCs w:val="21"/>
        </w:rPr>
        <w:t>上年上升</w:t>
      </w:r>
      <w:r>
        <w:rPr>
          <w:rFonts w:ascii="宋体" w:hAnsi="宋体"/>
          <w:szCs w:val="21"/>
        </w:rPr>
        <w:t>5.1%。第二次是在1985年，企业定价权逐步扩大，价格放开品种不断增</w:t>
      </w:r>
      <w:r>
        <w:rPr>
          <w:rFonts w:hint="eastAsia" w:ascii="宋体" w:hAnsi="宋体"/>
          <w:szCs w:val="21"/>
        </w:rPr>
        <w:t>加，商品流通环节增多，倒买倒卖之风盛行，出现乱涨价、乱收费、乱罚款的现象。</w:t>
      </w:r>
      <w:r>
        <w:rPr>
          <w:rFonts w:ascii="宋体" w:hAnsi="宋体"/>
          <w:szCs w:val="21"/>
        </w:rPr>
        <w:t>1985年零售物价指数比上年上升14.5%。第三次涨价是在1987年，全县商品零售物</w:t>
      </w:r>
      <w:r>
        <w:rPr>
          <w:rFonts w:hint="eastAsia" w:ascii="宋体" w:hAnsi="宋体"/>
          <w:szCs w:val="21"/>
        </w:rPr>
        <w:t>价指数比上年升</w:t>
      </w:r>
      <w:r>
        <w:rPr>
          <w:rFonts w:ascii="宋体" w:hAnsi="宋体"/>
          <w:szCs w:val="21"/>
        </w:rPr>
        <w:t>16.2%。这次物价上涨的主要原因是总需求超过总供给，信贷资金</w:t>
      </w:r>
      <w:r>
        <w:rPr>
          <w:rFonts w:hint="eastAsia" w:ascii="宋体" w:hAnsi="宋体"/>
          <w:szCs w:val="21"/>
        </w:rPr>
        <w:t>膨胀，固定资产投资规模过大。</w:t>
      </w:r>
    </w:p>
    <w:p w14:paraId="20E47A06">
      <w:pPr>
        <w:ind w:firstLine="420"/>
        <w:rPr>
          <w:rFonts w:ascii="宋体" w:hAnsi="宋体"/>
          <w:szCs w:val="21"/>
        </w:rPr>
      </w:pPr>
      <w:r>
        <w:rPr>
          <w:rFonts w:ascii="宋体" w:hAnsi="宋体"/>
          <w:szCs w:val="21"/>
        </w:rPr>
        <w:t>1989年，县物价局根据省、韶关市物价局的指示精神，制定了《关于加强物价</w:t>
      </w:r>
      <w:r>
        <w:rPr>
          <w:rFonts w:hint="eastAsia" w:ascii="宋体" w:hAnsi="宋体"/>
          <w:szCs w:val="21"/>
        </w:rPr>
        <w:t>管理、控制物价上涨的若干规述》，即开放竞争性的商品价格和劳务收费，又对不宜竞争的商品和劳务价格作出比较合理的调整，使价格能真实反映价值，调节供求，物价涨幅逐步回落。从</w:t>
      </w:r>
      <w:r>
        <w:rPr>
          <w:rFonts w:ascii="宋体" w:hAnsi="宋体"/>
          <w:szCs w:val="21"/>
        </w:rPr>
        <w:t>1988年至1993年，物价上涨水平分别为：13.9%、22%18.8%、19.8%、25.3%、15.8%。从1995年起，社会商品零售价格增幅回落</w:t>
      </w:r>
      <w:r>
        <w:rPr>
          <w:rFonts w:hint="eastAsia" w:ascii="宋体" w:hAnsi="宋体"/>
          <w:szCs w:val="21"/>
        </w:rPr>
        <w:t>。</w:t>
      </w:r>
      <w:r>
        <w:rPr>
          <w:rFonts w:ascii="宋体" w:hAnsi="宋体"/>
          <w:szCs w:val="21"/>
        </w:rPr>
        <w:t>1995年社会商品零售价格上升12.8%，对比上年回落7.3个百分点。1</w:t>
      </w:r>
      <w:r>
        <w:rPr>
          <w:rFonts w:hint="eastAsia" w:ascii="宋体" w:hAnsi="宋体"/>
          <w:szCs w:val="21"/>
        </w:rPr>
        <w:t>9</w:t>
      </w:r>
      <w:r>
        <w:rPr>
          <w:rFonts w:ascii="宋体" w:hAnsi="宋体"/>
          <w:szCs w:val="21"/>
        </w:rPr>
        <w:t>96年社会商</w:t>
      </w:r>
      <w:r>
        <w:rPr>
          <w:rFonts w:hint="eastAsia" w:ascii="宋体" w:hAnsi="宋体"/>
          <w:szCs w:val="21"/>
        </w:rPr>
        <w:t>品零售价格上升</w:t>
      </w:r>
      <w:r>
        <w:rPr>
          <w:rFonts w:ascii="宋体" w:hAnsi="宋体"/>
          <w:szCs w:val="21"/>
        </w:rPr>
        <w:t>5.9%，对比上年回落3.4个百分点。1997年商品零售价格上升1%，</w:t>
      </w:r>
      <w:r>
        <w:rPr>
          <w:rFonts w:hint="eastAsia" w:ascii="宋体" w:hAnsi="宋体"/>
          <w:szCs w:val="21"/>
        </w:rPr>
        <w:t>经济进入低膨胀高增长的良性阶级。</w:t>
      </w:r>
    </w:p>
    <w:p w14:paraId="6D227C10">
      <w:pPr>
        <w:ind w:firstLine="420"/>
        <w:rPr>
          <w:rFonts w:ascii="宋体" w:hAnsi="宋体"/>
          <w:szCs w:val="21"/>
        </w:rPr>
      </w:pPr>
      <w:r>
        <w:rPr>
          <w:rFonts w:ascii="宋体" w:hAnsi="宋体"/>
          <w:szCs w:val="21"/>
        </w:rPr>
        <w:t>1998年5月，贯彻执行《中华人民共和国价格法》，实行依法治价。在实施宏观</w:t>
      </w:r>
      <w:r>
        <w:rPr>
          <w:rFonts w:hint="eastAsia" w:ascii="宋体" w:hAnsi="宋体"/>
          <w:szCs w:val="21"/>
        </w:rPr>
        <w:t>调控的同时，加强对关系国计民生的“米袋子”、“菜篮子”及各种重要商品价格的监审管理。</w:t>
      </w:r>
      <w:r>
        <w:rPr>
          <w:rFonts w:ascii="宋体" w:hAnsi="宋体"/>
          <w:szCs w:val="21"/>
        </w:rPr>
        <w:t>1995年以来，调整价格17种（类），取消收费项目138个，降低收费标</w:t>
      </w:r>
      <w:r>
        <w:rPr>
          <w:rFonts w:hint="eastAsia" w:ascii="宋体" w:hAnsi="宋体"/>
          <w:szCs w:val="21"/>
        </w:rPr>
        <w:t>准</w:t>
      </w:r>
      <w:r>
        <w:rPr>
          <w:rFonts w:ascii="宋体" w:hAnsi="宋体"/>
          <w:szCs w:val="21"/>
        </w:rPr>
        <w:t>18项，涉及全额约1000万元。对关系群众切身利益的重大价格和收费标准的调</w:t>
      </w:r>
      <w:r>
        <w:rPr>
          <w:rFonts w:hint="eastAsia" w:ascii="宋体" w:hAnsi="宋体"/>
          <w:szCs w:val="21"/>
        </w:rPr>
        <w:t>整，实行决策听证会制度，建立涉农收费公示制度，完善收费许可证和交费登记监督制度。从而逐步建立起在宏观经济调控下，主要由市场形成价格的新机制。</w:t>
      </w:r>
    </w:p>
    <w:p w14:paraId="7D55BFA9">
      <w:pPr>
        <w:ind w:firstLine="420"/>
        <w:rPr>
          <w:rFonts w:ascii="宋体" w:hAnsi="宋体"/>
          <w:szCs w:val="21"/>
        </w:rPr>
      </w:pPr>
      <w:r>
        <w:rPr>
          <w:rFonts w:hint="eastAsia" w:ascii="宋体" w:hAnsi="宋体"/>
          <w:szCs w:val="21"/>
        </w:rPr>
        <w:t>黄烟专用肥料，从</w:t>
      </w:r>
      <w:r>
        <w:rPr>
          <w:rFonts w:ascii="宋体" w:hAnsi="宋体"/>
          <w:szCs w:val="21"/>
        </w:rPr>
        <w:t>1996年起由烟草公司统一供应，保证质量，价格稳定。</w:t>
      </w:r>
    </w:p>
    <w:p w14:paraId="6FF0BEF9">
      <w:pPr>
        <w:ind w:firstLine="0" w:firstLineChars="0"/>
        <w:jc w:val="center"/>
        <w:rPr>
          <w:rFonts w:ascii="宋体" w:hAnsi="宋体"/>
          <w:b/>
          <w:szCs w:val="21"/>
        </w:rPr>
      </w:pPr>
      <w:r>
        <w:rPr>
          <w:rFonts w:ascii="宋体" w:hAnsi="宋体"/>
          <w:b/>
          <w:szCs w:val="21"/>
        </w:rPr>
        <w:t>1999年至2003年黄烟专用肥价格情况</w:t>
      </w:r>
    </w:p>
    <w:p w14:paraId="44E380ED">
      <w:pPr>
        <w:ind w:firstLine="0" w:firstLineChars="0"/>
        <w:rPr>
          <w:rFonts w:ascii="宋体" w:hAnsi="宋体"/>
          <w:b/>
          <w:szCs w:val="21"/>
        </w:rPr>
      </w:pPr>
      <w:r>
        <w:rPr>
          <w:rFonts w:hint="eastAsia" w:ascii="宋体" w:hAnsi="宋体"/>
          <w:b/>
          <w:szCs w:val="21"/>
        </w:rPr>
        <w:t>表</w:t>
      </w:r>
      <w:r>
        <w:rPr>
          <w:rFonts w:ascii="宋体" w:hAnsi="宋体"/>
          <w:b/>
          <w:szCs w:val="21"/>
        </w:rPr>
        <w:t>2-54</w:t>
      </w:r>
    </w:p>
    <w:p w14:paraId="36CE5D87">
      <w:pPr>
        <w:ind w:firstLine="422"/>
        <w:jc w:val="right"/>
        <w:rPr>
          <w:rFonts w:ascii="宋体" w:hAnsi="宋体"/>
          <w:b/>
          <w:szCs w:val="21"/>
        </w:rPr>
      </w:pPr>
      <w:r>
        <w:rPr>
          <w:rFonts w:ascii="宋体" w:hAnsi="宋体"/>
          <w:b/>
          <w:szCs w:val="21"/>
        </w:rPr>
        <w:t>单位：元／50公斤</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59"/>
        <w:gridCol w:w="1659"/>
        <w:gridCol w:w="1662"/>
        <w:gridCol w:w="1662"/>
        <w:gridCol w:w="1662"/>
        <w:gridCol w:w="1658"/>
      </w:tblGrid>
      <w:tr w14:paraId="62AC69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3EB099C2">
            <w:pPr>
              <w:pStyle w:val="12"/>
              <w:jc w:val="center"/>
              <w:rPr>
                <w:rFonts w:ascii="宋体" w:hAnsi="宋体"/>
                <w:b/>
              </w:rPr>
            </w:pPr>
            <w:r>
              <w:rPr>
                <w:rFonts w:hint="eastAsia" w:ascii="宋体" w:hAnsi="宋体"/>
                <w:b/>
              </w:rPr>
              <w:t>品种</w:t>
            </w:r>
          </w:p>
        </w:tc>
        <w:tc>
          <w:tcPr>
            <w:tcW w:w="833" w:type="pct"/>
            <w:vAlign w:val="center"/>
          </w:tcPr>
          <w:p w14:paraId="1A870C50">
            <w:pPr>
              <w:pStyle w:val="12"/>
              <w:jc w:val="center"/>
              <w:rPr>
                <w:rFonts w:ascii="宋体" w:hAnsi="宋体"/>
                <w:b/>
              </w:rPr>
            </w:pPr>
            <w:r>
              <w:rPr>
                <w:rFonts w:hint="eastAsia" w:ascii="宋体" w:hAnsi="宋体"/>
                <w:b/>
              </w:rPr>
              <w:t>1999年</w:t>
            </w:r>
          </w:p>
        </w:tc>
        <w:tc>
          <w:tcPr>
            <w:tcW w:w="834" w:type="pct"/>
            <w:vAlign w:val="center"/>
          </w:tcPr>
          <w:p w14:paraId="579AD26C">
            <w:pPr>
              <w:pStyle w:val="12"/>
              <w:jc w:val="center"/>
              <w:rPr>
                <w:rFonts w:ascii="宋体" w:hAnsi="宋体"/>
                <w:b/>
              </w:rPr>
            </w:pPr>
            <w:r>
              <w:rPr>
                <w:rFonts w:hint="eastAsia" w:ascii="宋体" w:hAnsi="宋体"/>
                <w:b/>
              </w:rPr>
              <w:t>2000年</w:t>
            </w:r>
          </w:p>
        </w:tc>
        <w:tc>
          <w:tcPr>
            <w:tcW w:w="834" w:type="pct"/>
            <w:vAlign w:val="center"/>
          </w:tcPr>
          <w:p w14:paraId="4C35F176">
            <w:pPr>
              <w:pStyle w:val="12"/>
              <w:jc w:val="center"/>
              <w:rPr>
                <w:rFonts w:ascii="宋体" w:hAnsi="宋体"/>
                <w:b/>
              </w:rPr>
            </w:pPr>
            <w:r>
              <w:rPr>
                <w:rFonts w:hint="eastAsia" w:ascii="宋体" w:hAnsi="宋体"/>
                <w:b/>
              </w:rPr>
              <w:t>2001年</w:t>
            </w:r>
          </w:p>
        </w:tc>
        <w:tc>
          <w:tcPr>
            <w:tcW w:w="834" w:type="pct"/>
            <w:vAlign w:val="center"/>
          </w:tcPr>
          <w:p w14:paraId="119EFF4B">
            <w:pPr>
              <w:pStyle w:val="12"/>
              <w:jc w:val="center"/>
              <w:rPr>
                <w:rFonts w:ascii="宋体" w:hAnsi="宋体"/>
                <w:b/>
              </w:rPr>
            </w:pPr>
            <w:r>
              <w:rPr>
                <w:rFonts w:hint="eastAsia" w:ascii="宋体" w:hAnsi="宋体"/>
                <w:b/>
              </w:rPr>
              <w:t>2002年</w:t>
            </w:r>
          </w:p>
        </w:tc>
        <w:tc>
          <w:tcPr>
            <w:tcW w:w="834" w:type="pct"/>
            <w:vAlign w:val="center"/>
          </w:tcPr>
          <w:p w14:paraId="205922E8">
            <w:pPr>
              <w:pStyle w:val="12"/>
              <w:jc w:val="center"/>
              <w:rPr>
                <w:rFonts w:ascii="宋体" w:hAnsi="宋体"/>
                <w:b/>
              </w:rPr>
            </w:pPr>
            <w:r>
              <w:rPr>
                <w:rFonts w:hint="eastAsia" w:ascii="宋体" w:hAnsi="宋体"/>
                <w:b/>
              </w:rPr>
              <w:t>2003年</w:t>
            </w:r>
          </w:p>
        </w:tc>
      </w:tr>
      <w:tr w14:paraId="1F5A32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2145A35C">
            <w:pPr>
              <w:pStyle w:val="12"/>
              <w:jc w:val="center"/>
              <w:rPr>
                <w:rFonts w:ascii="宋体" w:hAnsi="宋体"/>
              </w:rPr>
            </w:pPr>
            <w:r>
              <w:rPr>
                <w:rFonts w:hint="eastAsia" w:ascii="宋体" w:hAnsi="宋体"/>
              </w:rPr>
              <w:t>复合肥</w:t>
            </w:r>
          </w:p>
        </w:tc>
        <w:tc>
          <w:tcPr>
            <w:tcW w:w="833" w:type="pct"/>
            <w:vAlign w:val="center"/>
          </w:tcPr>
          <w:p w14:paraId="69362263">
            <w:pPr>
              <w:pStyle w:val="12"/>
              <w:jc w:val="center"/>
              <w:rPr>
                <w:rFonts w:ascii="宋体" w:hAnsi="宋体"/>
              </w:rPr>
            </w:pPr>
            <w:r>
              <w:rPr>
                <w:rFonts w:hint="eastAsia" w:ascii="宋体" w:hAnsi="宋体"/>
              </w:rPr>
              <w:t>80.00</w:t>
            </w:r>
          </w:p>
        </w:tc>
        <w:tc>
          <w:tcPr>
            <w:tcW w:w="834" w:type="pct"/>
            <w:vAlign w:val="center"/>
          </w:tcPr>
          <w:p w14:paraId="0D6D9B6C">
            <w:pPr>
              <w:pStyle w:val="12"/>
              <w:jc w:val="center"/>
              <w:rPr>
                <w:rFonts w:ascii="宋体" w:hAnsi="宋体"/>
              </w:rPr>
            </w:pPr>
            <w:r>
              <w:rPr>
                <w:rFonts w:hint="eastAsia" w:ascii="宋体" w:hAnsi="宋体"/>
              </w:rPr>
              <w:t>80.00</w:t>
            </w:r>
          </w:p>
        </w:tc>
        <w:tc>
          <w:tcPr>
            <w:tcW w:w="834" w:type="pct"/>
            <w:vAlign w:val="center"/>
          </w:tcPr>
          <w:p w14:paraId="16B79043">
            <w:pPr>
              <w:pStyle w:val="12"/>
              <w:jc w:val="center"/>
              <w:rPr>
                <w:rFonts w:ascii="宋体" w:hAnsi="宋体"/>
              </w:rPr>
            </w:pPr>
            <w:r>
              <w:rPr>
                <w:rFonts w:hint="eastAsia" w:ascii="宋体" w:hAnsi="宋体"/>
              </w:rPr>
              <w:t>80.00</w:t>
            </w:r>
          </w:p>
        </w:tc>
        <w:tc>
          <w:tcPr>
            <w:tcW w:w="834" w:type="pct"/>
            <w:vAlign w:val="center"/>
          </w:tcPr>
          <w:p w14:paraId="38EB78C9">
            <w:pPr>
              <w:pStyle w:val="12"/>
              <w:jc w:val="center"/>
              <w:rPr>
                <w:rFonts w:ascii="宋体" w:hAnsi="宋体"/>
              </w:rPr>
            </w:pPr>
            <w:r>
              <w:rPr>
                <w:rFonts w:hint="eastAsia" w:ascii="宋体" w:hAnsi="宋体"/>
              </w:rPr>
              <w:t>85.00</w:t>
            </w:r>
          </w:p>
        </w:tc>
        <w:tc>
          <w:tcPr>
            <w:tcW w:w="834" w:type="pct"/>
            <w:vAlign w:val="center"/>
          </w:tcPr>
          <w:p w14:paraId="67F15856">
            <w:pPr>
              <w:pStyle w:val="12"/>
              <w:jc w:val="center"/>
              <w:rPr>
                <w:rFonts w:ascii="宋体" w:hAnsi="宋体"/>
              </w:rPr>
            </w:pPr>
            <w:r>
              <w:rPr>
                <w:rFonts w:hint="eastAsia" w:ascii="宋体" w:hAnsi="宋体"/>
              </w:rPr>
              <w:t>85.00</w:t>
            </w:r>
          </w:p>
        </w:tc>
      </w:tr>
      <w:tr w14:paraId="76A932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60797EFB">
            <w:pPr>
              <w:pStyle w:val="12"/>
              <w:jc w:val="center"/>
              <w:rPr>
                <w:rFonts w:ascii="宋体" w:hAnsi="宋体"/>
              </w:rPr>
            </w:pPr>
            <w:r>
              <w:rPr>
                <w:rFonts w:hint="eastAsia" w:ascii="宋体" w:hAnsi="宋体"/>
              </w:rPr>
              <w:t>麸肥</w:t>
            </w:r>
          </w:p>
        </w:tc>
        <w:tc>
          <w:tcPr>
            <w:tcW w:w="833" w:type="pct"/>
            <w:vAlign w:val="center"/>
          </w:tcPr>
          <w:p w14:paraId="27F010F6">
            <w:pPr>
              <w:pStyle w:val="12"/>
              <w:jc w:val="center"/>
              <w:rPr>
                <w:rFonts w:ascii="宋体" w:hAnsi="宋体"/>
              </w:rPr>
            </w:pPr>
            <w:r>
              <w:rPr>
                <w:rFonts w:hint="eastAsia" w:ascii="宋体" w:hAnsi="宋体"/>
              </w:rPr>
              <w:t>70.00</w:t>
            </w:r>
          </w:p>
        </w:tc>
        <w:tc>
          <w:tcPr>
            <w:tcW w:w="834" w:type="pct"/>
            <w:vAlign w:val="center"/>
          </w:tcPr>
          <w:p w14:paraId="3E692E3C">
            <w:pPr>
              <w:pStyle w:val="12"/>
              <w:jc w:val="center"/>
              <w:rPr>
                <w:rFonts w:ascii="宋体" w:hAnsi="宋体"/>
              </w:rPr>
            </w:pPr>
            <w:r>
              <w:rPr>
                <w:rFonts w:hint="eastAsia" w:ascii="宋体" w:hAnsi="宋体"/>
              </w:rPr>
              <w:t>65.00</w:t>
            </w:r>
          </w:p>
        </w:tc>
        <w:tc>
          <w:tcPr>
            <w:tcW w:w="834" w:type="pct"/>
            <w:vAlign w:val="center"/>
          </w:tcPr>
          <w:p w14:paraId="11E3DA79">
            <w:pPr>
              <w:pStyle w:val="12"/>
              <w:jc w:val="center"/>
              <w:rPr>
                <w:rFonts w:ascii="宋体" w:hAnsi="宋体"/>
              </w:rPr>
            </w:pPr>
            <w:r>
              <w:rPr>
                <w:rFonts w:hint="eastAsia" w:ascii="宋体" w:hAnsi="宋体"/>
              </w:rPr>
              <w:t>55.00</w:t>
            </w:r>
          </w:p>
        </w:tc>
        <w:tc>
          <w:tcPr>
            <w:tcW w:w="834" w:type="pct"/>
            <w:vAlign w:val="center"/>
          </w:tcPr>
          <w:p w14:paraId="148816C1">
            <w:pPr>
              <w:pStyle w:val="12"/>
              <w:jc w:val="center"/>
              <w:rPr>
                <w:rFonts w:ascii="宋体" w:hAnsi="宋体"/>
              </w:rPr>
            </w:pPr>
            <w:r>
              <w:rPr>
                <w:rFonts w:hint="eastAsia" w:ascii="宋体" w:hAnsi="宋体"/>
              </w:rPr>
              <w:t>55.00</w:t>
            </w:r>
          </w:p>
        </w:tc>
        <w:tc>
          <w:tcPr>
            <w:tcW w:w="834" w:type="pct"/>
            <w:vAlign w:val="center"/>
          </w:tcPr>
          <w:p w14:paraId="257992D3">
            <w:pPr>
              <w:pStyle w:val="12"/>
              <w:jc w:val="center"/>
              <w:rPr>
                <w:rFonts w:ascii="宋体" w:hAnsi="宋体"/>
              </w:rPr>
            </w:pPr>
            <w:r>
              <w:rPr>
                <w:rFonts w:hint="eastAsia" w:ascii="宋体" w:hAnsi="宋体"/>
              </w:rPr>
              <w:t>50.00</w:t>
            </w:r>
          </w:p>
        </w:tc>
      </w:tr>
      <w:tr w14:paraId="635AE9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4CC7375F">
            <w:pPr>
              <w:pStyle w:val="12"/>
              <w:jc w:val="center"/>
              <w:rPr>
                <w:rFonts w:ascii="宋体" w:hAnsi="宋体"/>
              </w:rPr>
            </w:pPr>
            <w:r>
              <w:rPr>
                <w:rFonts w:hint="eastAsia" w:ascii="宋体" w:hAnsi="宋体"/>
              </w:rPr>
              <w:t>硝酸钾肥</w:t>
            </w:r>
          </w:p>
        </w:tc>
        <w:tc>
          <w:tcPr>
            <w:tcW w:w="833" w:type="pct"/>
            <w:vAlign w:val="center"/>
          </w:tcPr>
          <w:p w14:paraId="7E888CE8">
            <w:pPr>
              <w:pStyle w:val="12"/>
              <w:jc w:val="center"/>
              <w:rPr>
                <w:rFonts w:ascii="宋体" w:hAnsi="宋体"/>
              </w:rPr>
            </w:pPr>
            <w:r>
              <w:rPr>
                <w:rFonts w:hint="eastAsia" w:ascii="宋体" w:hAnsi="宋体"/>
              </w:rPr>
              <w:t>90.00</w:t>
            </w:r>
          </w:p>
        </w:tc>
        <w:tc>
          <w:tcPr>
            <w:tcW w:w="834" w:type="pct"/>
            <w:vAlign w:val="center"/>
          </w:tcPr>
          <w:p w14:paraId="5DEC15DF">
            <w:pPr>
              <w:pStyle w:val="12"/>
              <w:jc w:val="center"/>
              <w:rPr>
                <w:rFonts w:ascii="宋体" w:hAnsi="宋体"/>
              </w:rPr>
            </w:pPr>
            <w:r>
              <w:rPr>
                <w:rFonts w:hint="eastAsia" w:ascii="宋体" w:hAnsi="宋体"/>
              </w:rPr>
              <w:t>85.00</w:t>
            </w:r>
          </w:p>
        </w:tc>
        <w:tc>
          <w:tcPr>
            <w:tcW w:w="834" w:type="pct"/>
            <w:vAlign w:val="center"/>
          </w:tcPr>
          <w:p w14:paraId="419FBCF2">
            <w:pPr>
              <w:pStyle w:val="12"/>
              <w:jc w:val="center"/>
              <w:rPr>
                <w:rFonts w:ascii="宋体" w:hAnsi="宋体"/>
              </w:rPr>
            </w:pPr>
            <w:r>
              <w:rPr>
                <w:rFonts w:hint="eastAsia" w:ascii="宋体" w:hAnsi="宋体"/>
              </w:rPr>
              <w:t>150.00</w:t>
            </w:r>
          </w:p>
        </w:tc>
        <w:tc>
          <w:tcPr>
            <w:tcW w:w="834" w:type="pct"/>
            <w:vAlign w:val="center"/>
          </w:tcPr>
          <w:p w14:paraId="3DB62392">
            <w:pPr>
              <w:pStyle w:val="12"/>
              <w:jc w:val="center"/>
              <w:rPr>
                <w:rFonts w:ascii="宋体" w:hAnsi="宋体"/>
              </w:rPr>
            </w:pPr>
            <w:r>
              <w:rPr>
                <w:rFonts w:hint="eastAsia" w:ascii="宋体" w:hAnsi="宋体"/>
              </w:rPr>
              <w:t>150.00</w:t>
            </w:r>
          </w:p>
        </w:tc>
        <w:tc>
          <w:tcPr>
            <w:tcW w:w="834" w:type="pct"/>
            <w:vAlign w:val="center"/>
          </w:tcPr>
          <w:p w14:paraId="2B818FD1">
            <w:pPr>
              <w:pStyle w:val="12"/>
              <w:jc w:val="center"/>
              <w:rPr>
                <w:rFonts w:ascii="宋体" w:hAnsi="宋体"/>
              </w:rPr>
            </w:pPr>
            <w:r>
              <w:rPr>
                <w:rFonts w:hint="eastAsia" w:ascii="宋体" w:hAnsi="宋体"/>
              </w:rPr>
              <w:t>140.00</w:t>
            </w:r>
          </w:p>
        </w:tc>
      </w:tr>
      <w:tr w14:paraId="52852B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222E2F1F">
            <w:pPr>
              <w:pStyle w:val="12"/>
              <w:jc w:val="center"/>
              <w:rPr>
                <w:rFonts w:ascii="宋体" w:hAnsi="宋体"/>
              </w:rPr>
            </w:pPr>
            <w:r>
              <w:rPr>
                <w:rFonts w:hint="eastAsia" w:ascii="宋体" w:hAnsi="宋体"/>
              </w:rPr>
              <w:t>硫酸钾肥</w:t>
            </w:r>
          </w:p>
        </w:tc>
        <w:tc>
          <w:tcPr>
            <w:tcW w:w="833" w:type="pct"/>
            <w:vAlign w:val="center"/>
          </w:tcPr>
          <w:p w14:paraId="1C0B35A0">
            <w:pPr>
              <w:pStyle w:val="12"/>
              <w:jc w:val="center"/>
              <w:rPr>
                <w:rFonts w:ascii="宋体" w:hAnsi="宋体"/>
              </w:rPr>
            </w:pPr>
            <w:r>
              <w:rPr>
                <w:rFonts w:hint="eastAsia" w:ascii="宋体" w:hAnsi="宋体"/>
              </w:rPr>
              <w:t>105.00</w:t>
            </w:r>
          </w:p>
        </w:tc>
        <w:tc>
          <w:tcPr>
            <w:tcW w:w="834" w:type="pct"/>
            <w:vAlign w:val="center"/>
          </w:tcPr>
          <w:p w14:paraId="255244C7">
            <w:pPr>
              <w:pStyle w:val="12"/>
              <w:jc w:val="center"/>
              <w:rPr>
                <w:rFonts w:ascii="宋体" w:hAnsi="宋体"/>
              </w:rPr>
            </w:pPr>
            <w:r>
              <w:rPr>
                <w:rFonts w:hint="eastAsia" w:ascii="宋体" w:hAnsi="宋体"/>
              </w:rPr>
              <w:t>105.00</w:t>
            </w:r>
          </w:p>
        </w:tc>
        <w:tc>
          <w:tcPr>
            <w:tcW w:w="834" w:type="pct"/>
            <w:vAlign w:val="center"/>
          </w:tcPr>
          <w:p w14:paraId="2431B31C">
            <w:pPr>
              <w:pStyle w:val="12"/>
              <w:jc w:val="center"/>
              <w:rPr>
                <w:rFonts w:ascii="宋体" w:hAnsi="宋体"/>
              </w:rPr>
            </w:pPr>
            <w:r>
              <w:rPr>
                <w:rFonts w:hint="eastAsia" w:ascii="宋体" w:hAnsi="宋体"/>
              </w:rPr>
              <w:t>100.00</w:t>
            </w:r>
          </w:p>
        </w:tc>
        <w:tc>
          <w:tcPr>
            <w:tcW w:w="834" w:type="pct"/>
            <w:vAlign w:val="center"/>
          </w:tcPr>
          <w:p w14:paraId="076186C9">
            <w:pPr>
              <w:pStyle w:val="12"/>
              <w:jc w:val="center"/>
              <w:rPr>
                <w:rFonts w:ascii="宋体" w:hAnsi="宋体"/>
              </w:rPr>
            </w:pPr>
            <w:r>
              <w:rPr>
                <w:rFonts w:hint="eastAsia" w:ascii="宋体" w:hAnsi="宋体"/>
              </w:rPr>
              <w:t>100.00</w:t>
            </w:r>
          </w:p>
        </w:tc>
        <w:tc>
          <w:tcPr>
            <w:tcW w:w="834" w:type="pct"/>
            <w:vAlign w:val="center"/>
          </w:tcPr>
          <w:p w14:paraId="306604C2">
            <w:pPr>
              <w:pStyle w:val="12"/>
              <w:jc w:val="center"/>
              <w:rPr>
                <w:rFonts w:ascii="宋体" w:hAnsi="宋体"/>
              </w:rPr>
            </w:pPr>
            <w:r>
              <w:rPr>
                <w:rFonts w:hint="eastAsia" w:ascii="宋体" w:hAnsi="宋体"/>
              </w:rPr>
              <w:t>—</w:t>
            </w:r>
          </w:p>
        </w:tc>
      </w:tr>
    </w:tbl>
    <w:p w14:paraId="044003CA">
      <w:pPr>
        <w:pStyle w:val="4"/>
        <w:rPr>
          <w:rFonts w:ascii="宋体" w:hAnsi="宋体"/>
        </w:rPr>
      </w:pPr>
      <w:r>
        <w:rPr>
          <w:rFonts w:hint="eastAsia" w:ascii="宋体" w:hAnsi="宋体"/>
        </w:rPr>
        <w:t>第二节  非商品收费</w:t>
      </w:r>
    </w:p>
    <w:p w14:paraId="04A9BB37">
      <w:pPr>
        <w:pStyle w:val="5"/>
        <w:rPr>
          <w:rFonts w:ascii="宋体" w:hAnsi="宋体"/>
        </w:rPr>
      </w:pPr>
      <w:r>
        <w:rPr>
          <w:rFonts w:hint="eastAsia" w:ascii="宋体" w:hAnsi="宋体"/>
        </w:rPr>
        <w:t>一、汽车客运价</w:t>
      </w:r>
    </w:p>
    <w:p w14:paraId="7D27C394">
      <w:pPr>
        <w:ind w:firstLine="420"/>
        <w:rPr>
          <w:rFonts w:ascii="宋体" w:hAnsi="宋体"/>
          <w:szCs w:val="21"/>
        </w:rPr>
      </w:pPr>
      <w:r>
        <w:rPr>
          <w:rFonts w:ascii="宋体" w:hAnsi="宋体"/>
          <w:szCs w:val="21"/>
        </w:rPr>
        <w:t>1956年7月1日起执行全国统一票价，每人每公里0.0297元（人民币，下同）</w:t>
      </w:r>
      <w:r>
        <w:rPr>
          <w:rFonts w:hint="eastAsia" w:ascii="宋体" w:hAnsi="宋体"/>
          <w:szCs w:val="21"/>
        </w:rPr>
        <w:t>。1</w:t>
      </w:r>
      <w:r>
        <w:rPr>
          <w:rFonts w:ascii="宋体" w:hAnsi="宋体"/>
          <w:szCs w:val="21"/>
        </w:rPr>
        <w:t>967年4月调为0.025元。1985年始春节期间（前后30天）允许上浮15%／30%</w:t>
      </w:r>
      <w:r>
        <w:rPr>
          <w:rFonts w:hint="eastAsia" w:ascii="宋体" w:hAnsi="宋体"/>
          <w:szCs w:val="21"/>
        </w:rPr>
        <w:t>。1</w:t>
      </w:r>
      <w:r>
        <w:rPr>
          <w:rFonts w:ascii="宋体" w:hAnsi="宋体"/>
          <w:szCs w:val="21"/>
        </w:rPr>
        <w:t>989年开始对汽车客运价格实行较大调整。大型客车改为三段运价结构，并实行递远</w:t>
      </w:r>
      <w:r>
        <w:rPr>
          <w:rFonts w:hint="eastAsia" w:ascii="宋体" w:hAnsi="宋体"/>
          <w:szCs w:val="21"/>
        </w:rPr>
        <w:t>递减，递近递增价格。</w:t>
      </w:r>
      <w:r>
        <w:rPr>
          <w:rFonts w:ascii="宋体" w:hAnsi="宋体"/>
          <w:szCs w:val="21"/>
        </w:rPr>
        <w:t>1992年，客运票价实行基准价和浮动价管理。基准价由物价部</w:t>
      </w:r>
      <w:r>
        <w:rPr>
          <w:rFonts w:hint="eastAsia" w:ascii="宋体" w:hAnsi="宋体"/>
          <w:szCs w:val="21"/>
        </w:rPr>
        <w:t>门管理，浮动价由运输企业根据基准价上下浮动。</w:t>
      </w:r>
    </w:p>
    <w:p w14:paraId="28D8DE8E">
      <w:pPr>
        <w:ind w:firstLine="0" w:firstLineChars="0"/>
        <w:jc w:val="center"/>
        <w:rPr>
          <w:rFonts w:ascii="宋体" w:hAnsi="宋体"/>
          <w:b/>
          <w:szCs w:val="21"/>
        </w:rPr>
      </w:pPr>
      <w:r>
        <w:rPr>
          <w:rFonts w:hint="eastAsia" w:ascii="宋体" w:hAnsi="宋体"/>
          <w:b/>
          <w:szCs w:val="21"/>
        </w:rPr>
        <w:t>南雄市汽车客运基价</w:t>
      </w:r>
    </w:p>
    <w:p w14:paraId="21087AFB">
      <w:pPr>
        <w:ind w:firstLine="0" w:firstLineChars="0"/>
        <w:rPr>
          <w:rFonts w:ascii="宋体" w:hAnsi="宋体"/>
          <w:b/>
          <w:szCs w:val="21"/>
        </w:rPr>
      </w:pPr>
      <w:r>
        <w:rPr>
          <w:rFonts w:hint="eastAsia" w:ascii="宋体" w:hAnsi="宋体"/>
          <w:b/>
          <w:szCs w:val="21"/>
        </w:rPr>
        <w:t>表</w:t>
      </w:r>
      <w:r>
        <w:rPr>
          <w:rFonts w:ascii="宋体" w:hAnsi="宋体"/>
          <w:b/>
          <w:szCs w:val="21"/>
        </w:rPr>
        <w:t>2-55</w:t>
      </w:r>
    </w:p>
    <w:p w14:paraId="108F6F23">
      <w:pPr>
        <w:ind w:firstLine="422"/>
        <w:jc w:val="right"/>
        <w:rPr>
          <w:rFonts w:ascii="宋体" w:hAnsi="宋体"/>
          <w:b/>
          <w:szCs w:val="21"/>
        </w:rPr>
      </w:pPr>
      <w:r>
        <w:rPr>
          <w:rFonts w:ascii="宋体" w:hAnsi="宋体"/>
          <w:b/>
          <w:szCs w:val="21"/>
        </w:rPr>
        <w:t>单位：元／人·公里</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2490"/>
        <w:gridCol w:w="2491"/>
        <w:gridCol w:w="2491"/>
      </w:tblGrid>
      <w:tr w14:paraId="517041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698C7BD">
            <w:pPr>
              <w:pStyle w:val="12"/>
              <w:jc w:val="center"/>
              <w:rPr>
                <w:rFonts w:ascii="宋体" w:hAnsi="宋体"/>
                <w:b/>
              </w:rPr>
            </w:pPr>
            <w:r>
              <w:rPr>
                <w:rFonts w:hint="eastAsia" w:ascii="宋体" w:hAnsi="宋体"/>
                <w:b/>
              </w:rPr>
              <w:t>车型</w:t>
            </w:r>
          </w:p>
        </w:tc>
        <w:tc>
          <w:tcPr>
            <w:tcW w:w="1250" w:type="pct"/>
            <w:vAlign w:val="center"/>
          </w:tcPr>
          <w:p w14:paraId="34F74B48">
            <w:pPr>
              <w:pStyle w:val="12"/>
              <w:jc w:val="center"/>
              <w:rPr>
                <w:rFonts w:ascii="宋体" w:hAnsi="宋体"/>
                <w:b/>
              </w:rPr>
            </w:pPr>
            <w:r>
              <w:rPr>
                <w:rFonts w:hint="eastAsia" w:ascii="宋体" w:hAnsi="宋体"/>
                <w:b/>
              </w:rPr>
              <w:t>普通</w:t>
            </w:r>
          </w:p>
        </w:tc>
        <w:tc>
          <w:tcPr>
            <w:tcW w:w="1250" w:type="pct"/>
            <w:vAlign w:val="center"/>
          </w:tcPr>
          <w:p w14:paraId="11777227">
            <w:pPr>
              <w:pStyle w:val="12"/>
              <w:jc w:val="center"/>
              <w:rPr>
                <w:rFonts w:ascii="宋体" w:hAnsi="宋体"/>
                <w:b/>
              </w:rPr>
            </w:pPr>
            <w:r>
              <w:rPr>
                <w:rFonts w:hint="eastAsia" w:ascii="宋体" w:hAnsi="宋体"/>
                <w:b/>
              </w:rPr>
              <w:t>中级</w:t>
            </w:r>
          </w:p>
        </w:tc>
        <w:tc>
          <w:tcPr>
            <w:tcW w:w="1250" w:type="pct"/>
            <w:vAlign w:val="center"/>
          </w:tcPr>
          <w:p w14:paraId="6935EBD8">
            <w:pPr>
              <w:pStyle w:val="12"/>
              <w:jc w:val="center"/>
              <w:rPr>
                <w:rFonts w:ascii="宋体" w:hAnsi="宋体"/>
                <w:b/>
              </w:rPr>
            </w:pPr>
            <w:r>
              <w:rPr>
                <w:rFonts w:hint="eastAsia" w:ascii="宋体" w:hAnsi="宋体"/>
                <w:b/>
              </w:rPr>
              <w:t>高级</w:t>
            </w:r>
          </w:p>
        </w:tc>
      </w:tr>
      <w:tr w14:paraId="0CB8A4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58BE0247">
            <w:pPr>
              <w:pStyle w:val="12"/>
              <w:jc w:val="center"/>
              <w:rPr>
                <w:rFonts w:ascii="宋体" w:hAnsi="宋体"/>
              </w:rPr>
            </w:pPr>
            <w:r>
              <w:rPr>
                <w:rFonts w:hint="eastAsia" w:ascii="宋体" w:hAnsi="宋体"/>
              </w:rPr>
              <w:t>31座及以上大型客车</w:t>
            </w:r>
          </w:p>
        </w:tc>
        <w:tc>
          <w:tcPr>
            <w:tcW w:w="1250" w:type="pct"/>
            <w:vAlign w:val="center"/>
          </w:tcPr>
          <w:p w14:paraId="1B8AF717">
            <w:pPr>
              <w:pStyle w:val="12"/>
              <w:jc w:val="center"/>
              <w:rPr>
                <w:rFonts w:ascii="宋体" w:hAnsi="宋体"/>
              </w:rPr>
            </w:pPr>
            <w:r>
              <w:rPr>
                <w:rFonts w:hint="eastAsia" w:ascii="宋体" w:hAnsi="宋体"/>
              </w:rPr>
              <w:t>0.07</w:t>
            </w:r>
          </w:p>
        </w:tc>
        <w:tc>
          <w:tcPr>
            <w:tcW w:w="1250" w:type="pct"/>
            <w:vAlign w:val="center"/>
          </w:tcPr>
          <w:p w14:paraId="6CC93D92">
            <w:pPr>
              <w:pStyle w:val="12"/>
              <w:jc w:val="center"/>
              <w:rPr>
                <w:rFonts w:ascii="宋体" w:hAnsi="宋体"/>
              </w:rPr>
            </w:pPr>
            <w:r>
              <w:rPr>
                <w:rFonts w:hint="eastAsia" w:ascii="宋体" w:hAnsi="宋体"/>
              </w:rPr>
              <w:t>0.09</w:t>
            </w:r>
          </w:p>
        </w:tc>
        <w:tc>
          <w:tcPr>
            <w:tcW w:w="1250" w:type="pct"/>
            <w:vAlign w:val="center"/>
          </w:tcPr>
          <w:p w14:paraId="32268BFE">
            <w:pPr>
              <w:pStyle w:val="12"/>
              <w:jc w:val="center"/>
              <w:rPr>
                <w:rFonts w:ascii="宋体" w:hAnsi="宋体"/>
              </w:rPr>
            </w:pPr>
            <w:r>
              <w:rPr>
                <w:rFonts w:hint="eastAsia" w:ascii="宋体" w:hAnsi="宋体"/>
              </w:rPr>
              <w:t>0.14</w:t>
            </w:r>
          </w:p>
        </w:tc>
      </w:tr>
      <w:tr w14:paraId="5ECBFD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7300C44">
            <w:pPr>
              <w:pStyle w:val="12"/>
              <w:jc w:val="center"/>
              <w:rPr>
                <w:rFonts w:ascii="宋体" w:hAnsi="宋体"/>
              </w:rPr>
            </w:pPr>
            <w:r>
              <w:rPr>
                <w:rFonts w:hint="eastAsia" w:ascii="宋体" w:hAnsi="宋体"/>
              </w:rPr>
              <w:t>16座～30座中型客车</w:t>
            </w:r>
          </w:p>
        </w:tc>
        <w:tc>
          <w:tcPr>
            <w:tcW w:w="1250" w:type="pct"/>
            <w:vAlign w:val="center"/>
          </w:tcPr>
          <w:p w14:paraId="74ADB09F">
            <w:pPr>
              <w:pStyle w:val="12"/>
              <w:jc w:val="center"/>
              <w:rPr>
                <w:rFonts w:ascii="宋体" w:hAnsi="宋体"/>
              </w:rPr>
            </w:pPr>
            <w:r>
              <w:rPr>
                <w:rFonts w:hint="eastAsia" w:ascii="宋体" w:hAnsi="宋体"/>
              </w:rPr>
              <w:t>0.08</w:t>
            </w:r>
          </w:p>
        </w:tc>
        <w:tc>
          <w:tcPr>
            <w:tcW w:w="1250" w:type="pct"/>
            <w:vAlign w:val="center"/>
          </w:tcPr>
          <w:p w14:paraId="296A48A5">
            <w:pPr>
              <w:pStyle w:val="12"/>
              <w:jc w:val="center"/>
              <w:rPr>
                <w:rFonts w:ascii="宋体" w:hAnsi="宋体"/>
              </w:rPr>
            </w:pPr>
            <w:r>
              <w:rPr>
                <w:rFonts w:hint="eastAsia" w:ascii="宋体" w:hAnsi="宋体"/>
              </w:rPr>
              <w:t>0.10</w:t>
            </w:r>
          </w:p>
        </w:tc>
        <w:tc>
          <w:tcPr>
            <w:tcW w:w="1250" w:type="pct"/>
            <w:vAlign w:val="center"/>
          </w:tcPr>
          <w:p w14:paraId="77DEBD9E">
            <w:pPr>
              <w:pStyle w:val="12"/>
              <w:jc w:val="center"/>
              <w:rPr>
                <w:rFonts w:ascii="宋体" w:hAnsi="宋体"/>
              </w:rPr>
            </w:pPr>
            <w:r>
              <w:rPr>
                <w:rFonts w:hint="eastAsia" w:ascii="宋体" w:hAnsi="宋体"/>
              </w:rPr>
              <w:t>0.15</w:t>
            </w:r>
          </w:p>
        </w:tc>
      </w:tr>
      <w:tr w14:paraId="409B7B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717C16D">
            <w:pPr>
              <w:pStyle w:val="12"/>
              <w:jc w:val="center"/>
              <w:rPr>
                <w:rFonts w:ascii="宋体" w:hAnsi="宋体"/>
              </w:rPr>
            </w:pPr>
            <w:r>
              <w:rPr>
                <w:rFonts w:hint="eastAsia" w:ascii="宋体" w:hAnsi="宋体"/>
              </w:rPr>
              <w:t>6座～15座小型客车</w:t>
            </w:r>
          </w:p>
        </w:tc>
        <w:tc>
          <w:tcPr>
            <w:tcW w:w="1250" w:type="pct"/>
            <w:vAlign w:val="center"/>
          </w:tcPr>
          <w:p w14:paraId="1793CEC1">
            <w:pPr>
              <w:pStyle w:val="12"/>
              <w:jc w:val="center"/>
              <w:rPr>
                <w:rFonts w:ascii="宋体" w:hAnsi="宋体"/>
              </w:rPr>
            </w:pPr>
            <w:r>
              <w:rPr>
                <w:rFonts w:hint="eastAsia" w:ascii="宋体" w:hAnsi="宋体"/>
              </w:rPr>
              <w:t>0.11</w:t>
            </w:r>
          </w:p>
        </w:tc>
        <w:tc>
          <w:tcPr>
            <w:tcW w:w="1250" w:type="pct"/>
            <w:vAlign w:val="center"/>
          </w:tcPr>
          <w:p w14:paraId="26E800AA">
            <w:pPr>
              <w:pStyle w:val="12"/>
              <w:jc w:val="center"/>
              <w:rPr>
                <w:rFonts w:ascii="宋体" w:hAnsi="宋体"/>
              </w:rPr>
            </w:pPr>
            <w:r>
              <w:rPr>
                <w:rFonts w:hint="eastAsia" w:ascii="宋体" w:hAnsi="宋体"/>
              </w:rPr>
              <w:t>0.13</w:t>
            </w:r>
          </w:p>
        </w:tc>
        <w:tc>
          <w:tcPr>
            <w:tcW w:w="1250" w:type="pct"/>
            <w:vAlign w:val="center"/>
          </w:tcPr>
          <w:p w14:paraId="64223487">
            <w:pPr>
              <w:pStyle w:val="12"/>
              <w:jc w:val="center"/>
              <w:rPr>
                <w:rFonts w:ascii="宋体" w:hAnsi="宋体"/>
              </w:rPr>
            </w:pPr>
            <w:r>
              <w:rPr>
                <w:rFonts w:hint="eastAsia" w:ascii="宋体" w:hAnsi="宋体"/>
              </w:rPr>
              <w:t>0.18</w:t>
            </w:r>
          </w:p>
        </w:tc>
      </w:tr>
      <w:tr w14:paraId="1AC29B0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56B8A3C9">
            <w:pPr>
              <w:pStyle w:val="12"/>
              <w:jc w:val="center"/>
              <w:rPr>
                <w:rFonts w:ascii="宋体" w:hAnsi="宋体"/>
              </w:rPr>
            </w:pPr>
            <w:r>
              <w:rPr>
                <w:rFonts w:hint="eastAsia" w:ascii="宋体" w:hAnsi="宋体"/>
              </w:rPr>
              <w:t>5座及以下小型客车</w:t>
            </w:r>
          </w:p>
        </w:tc>
        <w:tc>
          <w:tcPr>
            <w:tcW w:w="1250" w:type="pct"/>
            <w:vAlign w:val="center"/>
          </w:tcPr>
          <w:p w14:paraId="61D94A64">
            <w:pPr>
              <w:pStyle w:val="12"/>
              <w:jc w:val="center"/>
              <w:rPr>
                <w:rFonts w:ascii="宋体" w:hAnsi="宋体"/>
              </w:rPr>
            </w:pPr>
            <w:r>
              <w:rPr>
                <w:rFonts w:hint="eastAsia" w:ascii="宋体" w:hAnsi="宋体"/>
              </w:rPr>
              <w:t>1.20</w:t>
            </w:r>
          </w:p>
        </w:tc>
        <w:tc>
          <w:tcPr>
            <w:tcW w:w="1250" w:type="pct"/>
            <w:vAlign w:val="center"/>
          </w:tcPr>
          <w:p w14:paraId="09BEE7A5">
            <w:pPr>
              <w:pStyle w:val="12"/>
              <w:jc w:val="center"/>
              <w:rPr>
                <w:rFonts w:ascii="宋体" w:hAnsi="宋体"/>
              </w:rPr>
            </w:pPr>
            <w:r>
              <w:rPr>
                <w:rFonts w:hint="eastAsia" w:ascii="宋体" w:hAnsi="宋体"/>
              </w:rPr>
              <w:t>1.40</w:t>
            </w:r>
          </w:p>
        </w:tc>
        <w:tc>
          <w:tcPr>
            <w:tcW w:w="1250" w:type="pct"/>
            <w:vAlign w:val="center"/>
          </w:tcPr>
          <w:p w14:paraId="6EA143B4">
            <w:pPr>
              <w:pStyle w:val="12"/>
              <w:jc w:val="center"/>
              <w:rPr>
                <w:rFonts w:ascii="宋体" w:hAnsi="宋体"/>
              </w:rPr>
            </w:pPr>
            <w:r>
              <w:rPr>
                <w:rFonts w:hint="eastAsia" w:ascii="宋体" w:hAnsi="宋体"/>
              </w:rPr>
              <w:t>1.60</w:t>
            </w:r>
          </w:p>
        </w:tc>
      </w:tr>
    </w:tbl>
    <w:p w14:paraId="1DFC5784">
      <w:pPr>
        <w:ind w:firstLine="420"/>
        <w:rPr>
          <w:rFonts w:ascii="宋体" w:hAnsi="宋体"/>
          <w:szCs w:val="21"/>
        </w:rPr>
      </w:pPr>
      <w:r>
        <w:rPr>
          <w:rFonts w:ascii="宋体" w:hAnsi="宋体"/>
          <w:szCs w:val="21"/>
        </w:rPr>
        <w:t>1995年开通市内公共汽车线路二条：一条由市区人民大会堂至珠玑，全程票价2</w:t>
      </w:r>
      <w:r>
        <w:rPr>
          <w:rFonts w:hint="eastAsia" w:ascii="宋体" w:hAnsi="宋体"/>
          <w:szCs w:val="21"/>
        </w:rPr>
        <w:t>元；一条由市区人民大会堂至湖口，全程票价</w:t>
      </w:r>
      <w:r>
        <w:rPr>
          <w:rFonts w:ascii="宋体" w:hAnsi="宋体"/>
          <w:szCs w:val="21"/>
        </w:rPr>
        <w:t>2元。2000年开始出租车营运，起步</w:t>
      </w:r>
      <w:r>
        <w:rPr>
          <w:rFonts w:hint="eastAsia" w:ascii="宋体" w:hAnsi="宋体"/>
          <w:szCs w:val="21"/>
        </w:rPr>
        <w:t>价（</w:t>
      </w:r>
      <w:r>
        <w:rPr>
          <w:rFonts w:ascii="宋体" w:hAnsi="宋体"/>
          <w:szCs w:val="21"/>
        </w:rPr>
        <w:t>2.5公里）白天4元，晚上5元。运价标准：营运2.5公里以上至10公里以下</w:t>
      </w:r>
      <w:r>
        <w:rPr>
          <w:rFonts w:hint="eastAsia" w:ascii="宋体" w:hAnsi="宋体"/>
          <w:szCs w:val="21"/>
        </w:rPr>
        <w:t>，每公里白天</w:t>
      </w:r>
      <w:r>
        <w:rPr>
          <w:rFonts w:ascii="宋体" w:hAnsi="宋体"/>
          <w:szCs w:val="21"/>
        </w:rPr>
        <w:t>1.5元，晚上2元；营运10公里以上，每公里白天2.4元，晚上3元。2</w:t>
      </w:r>
      <w:r>
        <w:rPr>
          <w:rFonts w:hint="eastAsia" w:ascii="宋体" w:hAnsi="宋体"/>
          <w:szCs w:val="21"/>
        </w:rPr>
        <w:t>0</w:t>
      </w:r>
      <w:r>
        <w:rPr>
          <w:rFonts w:ascii="宋体" w:hAnsi="宋体"/>
          <w:szCs w:val="21"/>
        </w:rPr>
        <w:t>03年对运输企业实行运价备案制度管理，全市申报明细路线73条，主要路线客运</w:t>
      </w:r>
      <w:r>
        <w:rPr>
          <w:rFonts w:hint="eastAsia" w:ascii="宋体" w:hAnsi="宋体"/>
          <w:szCs w:val="21"/>
        </w:rPr>
        <w:t>价格备案见表</w:t>
      </w:r>
      <w:r>
        <w:rPr>
          <w:rFonts w:ascii="宋体" w:hAnsi="宋体"/>
          <w:szCs w:val="21"/>
        </w:rPr>
        <w:t>2-56：</w:t>
      </w:r>
    </w:p>
    <w:p w14:paraId="41709F24">
      <w:pPr>
        <w:ind w:firstLine="0" w:firstLineChars="0"/>
        <w:jc w:val="center"/>
        <w:rPr>
          <w:rFonts w:ascii="宋体" w:hAnsi="宋体"/>
          <w:b/>
          <w:szCs w:val="21"/>
        </w:rPr>
      </w:pPr>
      <w:r>
        <w:rPr>
          <w:rFonts w:hint="eastAsia" w:ascii="宋体" w:hAnsi="宋体"/>
          <w:b/>
          <w:szCs w:val="21"/>
        </w:rPr>
        <w:t>南雄市公路客运企业运价备案</w:t>
      </w:r>
    </w:p>
    <w:p w14:paraId="455A1145">
      <w:pPr>
        <w:ind w:firstLine="0" w:firstLineChars="0"/>
        <w:rPr>
          <w:rFonts w:ascii="宋体" w:hAnsi="宋体"/>
          <w:b/>
        </w:rPr>
      </w:pPr>
      <w:r>
        <w:rPr>
          <w:rFonts w:hint="eastAsia" w:ascii="宋体" w:hAnsi="宋体"/>
          <w:b/>
        </w:rPr>
        <w:t>表2-56</w:t>
      </w:r>
    </w:p>
    <w:tbl>
      <w:tblPr>
        <w:tblStyle w:val="9"/>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1332"/>
        <w:gridCol w:w="568"/>
        <w:gridCol w:w="708"/>
        <w:gridCol w:w="568"/>
        <w:gridCol w:w="568"/>
        <w:gridCol w:w="568"/>
        <w:gridCol w:w="566"/>
        <w:gridCol w:w="568"/>
        <w:gridCol w:w="566"/>
        <w:gridCol w:w="568"/>
        <w:gridCol w:w="566"/>
        <w:gridCol w:w="568"/>
        <w:gridCol w:w="566"/>
        <w:gridCol w:w="568"/>
        <w:gridCol w:w="566"/>
        <w:gridCol w:w="446"/>
      </w:tblGrid>
      <w:tr w14:paraId="7AC07D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76" w:type="pct"/>
            <w:vAlign w:val="center"/>
          </w:tcPr>
          <w:p w14:paraId="30F46BBA">
            <w:pPr>
              <w:ind w:firstLine="0" w:firstLineChars="0"/>
              <w:jc w:val="center"/>
              <w:rPr>
                <w:b/>
                <w:sz w:val="18"/>
                <w:szCs w:val="18"/>
              </w:rPr>
            </w:pPr>
            <w:r>
              <w:rPr>
                <w:rFonts w:hint="eastAsia"/>
                <w:b/>
                <w:sz w:val="18"/>
                <w:szCs w:val="18"/>
              </w:rPr>
              <w:t>线路名称</w:t>
            </w:r>
          </w:p>
        </w:tc>
        <w:tc>
          <w:tcPr>
            <w:tcW w:w="288" w:type="pct"/>
            <w:vAlign w:val="center"/>
          </w:tcPr>
          <w:p w14:paraId="2D497875">
            <w:pPr>
              <w:ind w:firstLine="0" w:firstLineChars="0"/>
              <w:jc w:val="center"/>
              <w:rPr>
                <w:b/>
                <w:sz w:val="18"/>
                <w:szCs w:val="18"/>
              </w:rPr>
            </w:pPr>
            <w:r>
              <w:rPr>
                <w:rFonts w:hint="eastAsia"/>
                <w:b/>
                <w:sz w:val="18"/>
                <w:szCs w:val="18"/>
              </w:rPr>
              <w:t>线路类别</w:t>
            </w:r>
          </w:p>
        </w:tc>
        <w:tc>
          <w:tcPr>
            <w:tcW w:w="359" w:type="pct"/>
            <w:vAlign w:val="center"/>
          </w:tcPr>
          <w:p w14:paraId="4E4A2EF2">
            <w:pPr>
              <w:ind w:firstLine="0" w:firstLineChars="0"/>
              <w:jc w:val="center"/>
              <w:rPr>
                <w:b/>
                <w:sz w:val="18"/>
                <w:szCs w:val="18"/>
              </w:rPr>
            </w:pPr>
            <w:r>
              <w:rPr>
                <w:rFonts w:hint="eastAsia"/>
                <w:b/>
                <w:sz w:val="18"/>
                <w:szCs w:val="18"/>
              </w:rPr>
              <w:t>车辆等级</w:t>
            </w:r>
          </w:p>
        </w:tc>
        <w:tc>
          <w:tcPr>
            <w:tcW w:w="288" w:type="pct"/>
            <w:vAlign w:val="center"/>
          </w:tcPr>
          <w:p w14:paraId="195CC899">
            <w:pPr>
              <w:ind w:firstLine="0" w:firstLineChars="0"/>
              <w:jc w:val="center"/>
              <w:rPr>
                <w:b/>
                <w:sz w:val="18"/>
                <w:szCs w:val="18"/>
              </w:rPr>
            </w:pPr>
            <w:r>
              <w:rPr>
                <w:rFonts w:hint="eastAsia"/>
                <w:b/>
                <w:sz w:val="18"/>
                <w:szCs w:val="18"/>
              </w:rPr>
              <w:t>车型</w:t>
            </w:r>
          </w:p>
        </w:tc>
        <w:tc>
          <w:tcPr>
            <w:tcW w:w="288" w:type="pct"/>
            <w:vAlign w:val="center"/>
          </w:tcPr>
          <w:p w14:paraId="7A5872B5">
            <w:pPr>
              <w:ind w:firstLine="0" w:firstLineChars="0"/>
              <w:jc w:val="center"/>
              <w:rPr>
                <w:b/>
                <w:sz w:val="18"/>
                <w:szCs w:val="18"/>
              </w:rPr>
            </w:pPr>
            <w:r>
              <w:rPr>
                <w:rFonts w:hint="eastAsia"/>
                <w:b/>
                <w:sz w:val="18"/>
                <w:szCs w:val="18"/>
              </w:rPr>
              <w:t>座位（个）</w:t>
            </w:r>
          </w:p>
        </w:tc>
        <w:tc>
          <w:tcPr>
            <w:tcW w:w="288" w:type="pct"/>
            <w:vAlign w:val="center"/>
          </w:tcPr>
          <w:p w14:paraId="65D1B625">
            <w:pPr>
              <w:ind w:firstLine="0" w:firstLineChars="0"/>
              <w:jc w:val="center"/>
              <w:rPr>
                <w:b/>
                <w:sz w:val="18"/>
                <w:szCs w:val="18"/>
              </w:rPr>
            </w:pPr>
            <w:r>
              <w:rPr>
                <w:rFonts w:hint="eastAsia"/>
                <w:b/>
                <w:sz w:val="18"/>
                <w:szCs w:val="18"/>
              </w:rPr>
              <w:t>单程里程（公里）</w:t>
            </w:r>
          </w:p>
        </w:tc>
        <w:tc>
          <w:tcPr>
            <w:tcW w:w="287" w:type="pct"/>
            <w:vAlign w:val="center"/>
          </w:tcPr>
          <w:p w14:paraId="71259077">
            <w:pPr>
              <w:ind w:firstLine="0" w:firstLineChars="0"/>
              <w:jc w:val="center"/>
              <w:rPr>
                <w:b/>
                <w:sz w:val="18"/>
                <w:szCs w:val="18"/>
              </w:rPr>
            </w:pPr>
            <w:r>
              <w:rPr>
                <w:rFonts w:hint="eastAsia"/>
                <w:b/>
                <w:sz w:val="18"/>
                <w:szCs w:val="18"/>
              </w:rPr>
              <w:t>单程通行费总额（元）</w:t>
            </w:r>
          </w:p>
        </w:tc>
        <w:tc>
          <w:tcPr>
            <w:tcW w:w="288" w:type="pct"/>
            <w:vAlign w:val="center"/>
          </w:tcPr>
          <w:p w14:paraId="34184E36">
            <w:pPr>
              <w:ind w:firstLine="0" w:firstLineChars="0"/>
              <w:jc w:val="center"/>
              <w:rPr>
                <w:b/>
                <w:sz w:val="18"/>
                <w:szCs w:val="18"/>
              </w:rPr>
            </w:pPr>
            <w:r>
              <w:rPr>
                <w:rFonts w:hint="eastAsia"/>
                <w:b/>
                <w:sz w:val="18"/>
                <w:szCs w:val="18"/>
              </w:rPr>
              <w:t>通行代收费（元/人·公里）</w:t>
            </w:r>
          </w:p>
        </w:tc>
        <w:tc>
          <w:tcPr>
            <w:tcW w:w="287" w:type="pct"/>
            <w:vAlign w:val="center"/>
          </w:tcPr>
          <w:p w14:paraId="6757C6E8">
            <w:pPr>
              <w:ind w:firstLine="0" w:firstLineChars="0"/>
              <w:jc w:val="center"/>
              <w:rPr>
                <w:b/>
                <w:sz w:val="18"/>
                <w:szCs w:val="18"/>
              </w:rPr>
            </w:pPr>
            <w:r>
              <w:rPr>
                <w:rFonts w:hint="eastAsia"/>
                <w:b/>
                <w:sz w:val="18"/>
                <w:szCs w:val="18"/>
              </w:rPr>
              <w:t>代收费合计（元/人·公里）</w:t>
            </w:r>
          </w:p>
        </w:tc>
        <w:tc>
          <w:tcPr>
            <w:tcW w:w="288" w:type="pct"/>
            <w:vAlign w:val="center"/>
          </w:tcPr>
          <w:p w14:paraId="580E4D7F">
            <w:pPr>
              <w:ind w:firstLine="0" w:firstLineChars="0"/>
              <w:jc w:val="center"/>
              <w:rPr>
                <w:b/>
                <w:sz w:val="18"/>
                <w:szCs w:val="18"/>
              </w:rPr>
            </w:pPr>
            <w:r>
              <w:rPr>
                <w:rFonts w:hint="eastAsia"/>
                <w:b/>
                <w:sz w:val="18"/>
                <w:szCs w:val="18"/>
              </w:rPr>
              <w:t>车型基本运价（元/人·公里）</w:t>
            </w:r>
          </w:p>
        </w:tc>
        <w:tc>
          <w:tcPr>
            <w:tcW w:w="287" w:type="pct"/>
            <w:vAlign w:val="center"/>
          </w:tcPr>
          <w:p w14:paraId="5266CE57">
            <w:pPr>
              <w:ind w:firstLine="0" w:firstLineChars="0"/>
              <w:jc w:val="center"/>
              <w:rPr>
                <w:b/>
                <w:sz w:val="18"/>
                <w:szCs w:val="18"/>
              </w:rPr>
            </w:pPr>
            <w:r>
              <w:rPr>
                <w:rFonts w:hint="eastAsia"/>
                <w:b/>
                <w:sz w:val="18"/>
                <w:szCs w:val="18"/>
              </w:rPr>
              <w:t>保本运价（元/人·公里）</w:t>
            </w:r>
          </w:p>
        </w:tc>
        <w:tc>
          <w:tcPr>
            <w:tcW w:w="288" w:type="pct"/>
            <w:vAlign w:val="center"/>
          </w:tcPr>
          <w:p w14:paraId="0C693CF8">
            <w:pPr>
              <w:ind w:firstLine="0" w:firstLineChars="0"/>
              <w:jc w:val="center"/>
              <w:rPr>
                <w:b/>
                <w:sz w:val="18"/>
                <w:szCs w:val="18"/>
              </w:rPr>
            </w:pPr>
            <w:r>
              <w:rPr>
                <w:rFonts w:hint="eastAsia"/>
                <w:b/>
                <w:sz w:val="18"/>
                <w:szCs w:val="18"/>
              </w:rPr>
              <w:t>上限运价（元/人·公里）</w:t>
            </w:r>
          </w:p>
        </w:tc>
        <w:tc>
          <w:tcPr>
            <w:tcW w:w="287" w:type="pct"/>
            <w:vAlign w:val="center"/>
          </w:tcPr>
          <w:p w14:paraId="1C353D4D">
            <w:pPr>
              <w:ind w:firstLine="0" w:firstLineChars="0"/>
              <w:jc w:val="center"/>
              <w:rPr>
                <w:b/>
                <w:sz w:val="18"/>
                <w:szCs w:val="18"/>
              </w:rPr>
            </w:pPr>
            <w:r>
              <w:rPr>
                <w:rFonts w:hint="eastAsia"/>
                <w:b/>
                <w:sz w:val="18"/>
                <w:szCs w:val="18"/>
              </w:rPr>
              <w:t>基准运费（元）</w:t>
            </w:r>
          </w:p>
        </w:tc>
        <w:tc>
          <w:tcPr>
            <w:tcW w:w="288" w:type="pct"/>
            <w:vAlign w:val="center"/>
          </w:tcPr>
          <w:p w14:paraId="51B02481">
            <w:pPr>
              <w:ind w:firstLine="0" w:firstLineChars="0"/>
              <w:jc w:val="center"/>
              <w:rPr>
                <w:b/>
                <w:sz w:val="18"/>
                <w:szCs w:val="18"/>
              </w:rPr>
            </w:pPr>
            <w:r>
              <w:rPr>
                <w:rFonts w:hint="eastAsia"/>
                <w:b/>
                <w:sz w:val="18"/>
                <w:szCs w:val="18"/>
              </w:rPr>
              <w:t>保本运费（元）</w:t>
            </w:r>
          </w:p>
        </w:tc>
        <w:tc>
          <w:tcPr>
            <w:tcW w:w="287" w:type="pct"/>
            <w:vAlign w:val="center"/>
          </w:tcPr>
          <w:p w14:paraId="7B47291D">
            <w:pPr>
              <w:ind w:firstLine="0" w:firstLineChars="0"/>
              <w:jc w:val="center"/>
              <w:rPr>
                <w:b/>
                <w:sz w:val="18"/>
                <w:szCs w:val="18"/>
              </w:rPr>
            </w:pPr>
            <w:r>
              <w:rPr>
                <w:rFonts w:hint="eastAsia"/>
                <w:b/>
                <w:sz w:val="18"/>
                <w:szCs w:val="18"/>
              </w:rPr>
              <w:t>上限运费（元）</w:t>
            </w:r>
          </w:p>
        </w:tc>
        <w:tc>
          <w:tcPr>
            <w:tcW w:w="226" w:type="pct"/>
            <w:vAlign w:val="center"/>
          </w:tcPr>
          <w:p w14:paraId="05D11D4B">
            <w:pPr>
              <w:ind w:firstLine="0" w:firstLineChars="0"/>
              <w:jc w:val="center"/>
              <w:rPr>
                <w:b/>
                <w:sz w:val="18"/>
                <w:szCs w:val="18"/>
              </w:rPr>
            </w:pPr>
            <w:r>
              <w:rPr>
                <w:rFonts w:hint="eastAsia"/>
                <w:b/>
                <w:sz w:val="18"/>
                <w:szCs w:val="18"/>
              </w:rPr>
              <w:t>收费站数（个）</w:t>
            </w:r>
          </w:p>
        </w:tc>
      </w:tr>
      <w:tr w14:paraId="2EF76A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76" w:type="pct"/>
            <w:vAlign w:val="center"/>
          </w:tcPr>
          <w:p w14:paraId="5DB2FD58">
            <w:pPr>
              <w:ind w:firstLine="0" w:firstLineChars="0"/>
              <w:jc w:val="center"/>
              <w:rPr>
                <w:sz w:val="18"/>
                <w:szCs w:val="18"/>
              </w:rPr>
            </w:pPr>
            <w:r>
              <w:rPr>
                <w:rFonts w:hint="eastAsia"/>
                <w:sz w:val="18"/>
                <w:szCs w:val="18"/>
              </w:rPr>
              <w:t>南雄—赣州</w:t>
            </w:r>
          </w:p>
        </w:tc>
        <w:tc>
          <w:tcPr>
            <w:tcW w:w="288" w:type="pct"/>
            <w:vAlign w:val="center"/>
          </w:tcPr>
          <w:p w14:paraId="498230A1">
            <w:pPr>
              <w:ind w:firstLine="0" w:firstLineChars="0"/>
              <w:jc w:val="center"/>
              <w:rPr>
                <w:sz w:val="18"/>
                <w:szCs w:val="18"/>
              </w:rPr>
            </w:pPr>
            <w:r>
              <w:rPr>
                <w:rFonts w:hint="eastAsia"/>
                <w:sz w:val="18"/>
                <w:szCs w:val="18"/>
              </w:rPr>
              <w:t>普通</w:t>
            </w:r>
          </w:p>
        </w:tc>
        <w:tc>
          <w:tcPr>
            <w:tcW w:w="359" w:type="pct"/>
            <w:vAlign w:val="center"/>
          </w:tcPr>
          <w:p w14:paraId="4622E94E">
            <w:pPr>
              <w:ind w:firstLine="0" w:firstLineChars="0"/>
              <w:jc w:val="center"/>
              <w:rPr>
                <w:sz w:val="18"/>
                <w:szCs w:val="18"/>
              </w:rPr>
            </w:pPr>
            <w:r>
              <w:rPr>
                <w:rFonts w:hint="eastAsia"/>
                <w:sz w:val="18"/>
                <w:szCs w:val="18"/>
              </w:rPr>
              <w:t>中级</w:t>
            </w:r>
          </w:p>
        </w:tc>
        <w:tc>
          <w:tcPr>
            <w:tcW w:w="288" w:type="pct"/>
            <w:vAlign w:val="center"/>
          </w:tcPr>
          <w:p w14:paraId="7DBB7882">
            <w:pPr>
              <w:ind w:firstLine="0" w:firstLineChars="0"/>
              <w:jc w:val="center"/>
              <w:rPr>
                <w:sz w:val="18"/>
                <w:szCs w:val="18"/>
              </w:rPr>
            </w:pPr>
            <w:r>
              <w:rPr>
                <w:rFonts w:hint="eastAsia"/>
                <w:sz w:val="18"/>
                <w:szCs w:val="18"/>
              </w:rPr>
              <w:t>中型</w:t>
            </w:r>
          </w:p>
        </w:tc>
        <w:tc>
          <w:tcPr>
            <w:tcW w:w="288" w:type="pct"/>
            <w:vAlign w:val="center"/>
          </w:tcPr>
          <w:p w14:paraId="6ED5357C">
            <w:pPr>
              <w:ind w:firstLine="0" w:firstLineChars="0"/>
              <w:jc w:val="center"/>
              <w:rPr>
                <w:sz w:val="18"/>
                <w:szCs w:val="18"/>
              </w:rPr>
            </w:pPr>
            <w:r>
              <w:rPr>
                <w:rFonts w:hint="eastAsia"/>
                <w:sz w:val="18"/>
                <w:szCs w:val="18"/>
              </w:rPr>
              <w:t>30</w:t>
            </w:r>
          </w:p>
        </w:tc>
        <w:tc>
          <w:tcPr>
            <w:tcW w:w="288" w:type="pct"/>
            <w:vAlign w:val="center"/>
          </w:tcPr>
          <w:p w14:paraId="5BB1B606">
            <w:pPr>
              <w:ind w:firstLine="0" w:firstLineChars="0"/>
              <w:jc w:val="center"/>
              <w:rPr>
                <w:sz w:val="18"/>
                <w:szCs w:val="18"/>
              </w:rPr>
            </w:pPr>
            <w:r>
              <w:rPr>
                <w:rFonts w:hint="eastAsia"/>
                <w:sz w:val="18"/>
                <w:szCs w:val="18"/>
              </w:rPr>
              <w:t>129</w:t>
            </w:r>
          </w:p>
        </w:tc>
        <w:tc>
          <w:tcPr>
            <w:tcW w:w="287" w:type="pct"/>
            <w:vAlign w:val="center"/>
          </w:tcPr>
          <w:p w14:paraId="53949DC7">
            <w:pPr>
              <w:ind w:firstLine="0" w:firstLineChars="0"/>
              <w:jc w:val="center"/>
              <w:rPr>
                <w:sz w:val="18"/>
                <w:szCs w:val="18"/>
              </w:rPr>
            </w:pPr>
            <w:r>
              <w:rPr>
                <w:rFonts w:hint="eastAsia"/>
                <w:sz w:val="18"/>
                <w:szCs w:val="18"/>
              </w:rPr>
              <w:t>90</w:t>
            </w:r>
          </w:p>
        </w:tc>
        <w:tc>
          <w:tcPr>
            <w:tcW w:w="288" w:type="pct"/>
            <w:vAlign w:val="center"/>
          </w:tcPr>
          <w:p w14:paraId="3ED254F9">
            <w:pPr>
              <w:ind w:firstLine="0" w:firstLineChars="0"/>
              <w:jc w:val="center"/>
              <w:rPr>
                <w:sz w:val="18"/>
                <w:szCs w:val="18"/>
              </w:rPr>
            </w:pPr>
            <w:r>
              <w:rPr>
                <w:rFonts w:hint="eastAsia"/>
                <w:sz w:val="18"/>
                <w:szCs w:val="18"/>
              </w:rPr>
              <w:t>0.052</w:t>
            </w:r>
          </w:p>
        </w:tc>
        <w:tc>
          <w:tcPr>
            <w:tcW w:w="287" w:type="pct"/>
            <w:vAlign w:val="center"/>
          </w:tcPr>
          <w:p w14:paraId="373DCFE5">
            <w:pPr>
              <w:ind w:firstLine="0" w:firstLineChars="0"/>
              <w:jc w:val="center"/>
              <w:rPr>
                <w:sz w:val="18"/>
                <w:szCs w:val="18"/>
              </w:rPr>
            </w:pPr>
            <w:r>
              <w:rPr>
                <w:rFonts w:hint="eastAsia"/>
                <w:sz w:val="18"/>
                <w:szCs w:val="18"/>
              </w:rPr>
              <w:t>0.082</w:t>
            </w:r>
          </w:p>
        </w:tc>
        <w:tc>
          <w:tcPr>
            <w:tcW w:w="288" w:type="pct"/>
            <w:vAlign w:val="center"/>
          </w:tcPr>
          <w:p w14:paraId="5B023B6F">
            <w:pPr>
              <w:ind w:firstLine="0" w:firstLineChars="0"/>
              <w:jc w:val="center"/>
              <w:rPr>
                <w:sz w:val="18"/>
                <w:szCs w:val="18"/>
              </w:rPr>
            </w:pPr>
            <w:r>
              <w:rPr>
                <w:rFonts w:hint="eastAsia"/>
                <w:sz w:val="18"/>
                <w:szCs w:val="18"/>
              </w:rPr>
              <w:t>0.13</w:t>
            </w:r>
          </w:p>
        </w:tc>
        <w:tc>
          <w:tcPr>
            <w:tcW w:w="287" w:type="pct"/>
            <w:vAlign w:val="center"/>
          </w:tcPr>
          <w:p w14:paraId="67BDA5B9">
            <w:pPr>
              <w:ind w:firstLine="0" w:firstLineChars="0"/>
              <w:jc w:val="center"/>
              <w:rPr>
                <w:sz w:val="18"/>
                <w:szCs w:val="18"/>
              </w:rPr>
            </w:pPr>
            <w:r>
              <w:rPr>
                <w:rFonts w:hint="eastAsia"/>
                <w:sz w:val="18"/>
                <w:szCs w:val="18"/>
              </w:rPr>
              <w:t>0.09</w:t>
            </w:r>
          </w:p>
        </w:tc>
        <w:tc>
          <w:tcPr>
            <w:tcW w:w="288" w:type="pct"/>
            <w:vAlign w:val="center"/>
          </w:tcPr>
          <w:p w14:paraId="7EB6F787">
            <w:pPr>
              <w:ind w:firstLine="0" w:firstLineChars="0"/>
              <w:jc w:val="center"/>
              <w:rPr>
                <w:sz w:val="18"/>
                <w:szCs w:val="18"/>
              </w:rPr>
            </w:pPr>
            <w:r>
              <w:rPr>
                <w:rFonts w:hint="eastAsia"/>
                <w:sz w:val="18"/>
                <w:szCs w:val="18"/>
              </w:rPr>
              <w:t>0.169</w:t>
            </w:r>
          </w:p>
        </w:tc>
        <w:tc>
          <w:tcPr>
            <w:tcW w:w="287" w:type="pct"/>
            <w:vAlign w:val="center"/>
          </w:tcPr>
          <w:p w14:paraId="299F1131">
            <w:pPr>
              <w:ind w:firstLine="0" w:firstLineChars="0"/>
              <w:jc w:val="center"/>
              <w:rPr>
                <w:sz w:val="18"/>
                <w:szCs w:val="18"/>
              </w:rPr>
            </w:pPr>
            <w:r>
              <w:rPr>
                <w:rFonts w:hint="eastAsia"/>
                <w:sz w:val="18"/>
                <w:szCs w:val="18"/>
              </w:rPr>
              <w:t>28</w:t>
            </w:r>
          </w:p>
        </w:tc>
        <w:tc>
          <w:tcPr>
            <w:tcW w:w="288" w:type="pct"/>
            <w:vAlign w:val="center"/>
          </w:tcPr>
          <w:p w14:paraId="372AC80D">
            <w:pPr>
              <w:ind w:firstLine="0" w:firstLineChars="0"/>
              <w:jc w:val="center"/>
              <w:rPr>
                <w:sz w:val="18"/>
                <w:szCs w:val="18"/>
              </w:rPr>
            </w:pPr>
            <w:r>
              <w:rPr>
                <w:rFonts w:hint="eastAsia"/>
                <w:sz w:val="18"/>
                <w:szCs w:val="18"/>
              </w:rPr>
              <w:t>23</w:t>
            </w:r>
          </w:p>
        </w:tc>
        <w:tc>
          <w:tcPr>
            <w:tcW w:w="287" w:type="pct"/>
            <w:vAlign w:val="center"/>
          </w:tcPr>
          <w:p w14:paraId="4D42E7E6">
            <w:pPr>
              <w:ind w:firstLine="0" w:firstLineChars="0"/>
              <w:jc w:val="center"/>
              <w:rPr>
                <w:sz w:val="18"/>
                <w:szCs w:val="18"/>
              </w:rPr>
            </w:pPr>
            <w:r>
              <w:rPr>
                <w:rFonts w:hint="eastAsia"/>
                <w:sz w:val="18"/>
                <w:szCs w:val="18"/>
              </w:rPr>
              <w:t>33</w:t>
            </w:r>
          </w:p>
        </w:tc>
        <w:tc>
          <w:tcPr>
            <w:tcW w:w="226" w:type="pct"/>
            <w:vAlign w:val="center"/>
          </w:tcPr>
          <w:p w14:paraId="4C0053EA">
            <w:pPr>
              <w:ind w:firstLine="0" w:firstLineChars="0"/>
              <w:jc w:val="center"/>
              <w:rPr>
                <w:sz w:val="18"/>
                <w:szCs w:val="18"/>
              </w:rPr>
            </w:pPr>
            <w:r>
              <w:rPr>
                <w:rFonts w:hint="eastAsia"/>
                <w:sz w:val="18"/>
                <w:szCs w:val="18"/>
              </w:rPr>
              <w:t>6</w:t>
            </w:r>
          </w:p>
        </w:tc>
      </w:tr>
      <w:tr w14:paraId="31269D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76" w:type="pct"/>
            <w:vAlign w:val="center"/>
          </w:tcPr>
          <w:p w14:paraId="5D42713C">
            <w:pPr>
              <w:ind w:firstLine="0" w:firstLineChars="0"/>
              <w:jc w:val="center"/>
              <w:rPr>
                <w:sz w:val="18"/>
                <w:szCs w:val="18"/>
              </w:rPr>
            </w:pPr>
            <w:r>
              <w:rPr>
                <w:rFonts w:hint="eastAsia"/>
                <w:sz w:val="18"/>
                <w:szCs w:val="18"/>
              </w:rPr>
              <w:t>南雄—信丰</w:t>
            </w:r>
          </w:p>
        </w:tc>
        <w:tc>
          <w:tcPr>
            <w:tcW w:w="288" w:type="pct"/>
            <w:vAlign w:val="center"/>
          </w:tcPr>
          <w:p w14:paraId="643D2412">
            <w:pPr>
              <w:ind w:firstLine="0" w:firstLineChars="0"/>
              <w:jc w:val="center"/>
              <w:rPr>
                <w:sz w:val="18"/>
                <w:szCs w:val="18"/>
              </w:rPr>
            </w:pPr>
            <w:r>
              <w:rPr>
                <w:rFonts w:hint="eastAsia"/>
                <w:sz w:val="18"/>
                <w:szCs w:val="18"/>
              </w:rPr>
              <w:t>普通</w:t>
            </w:r>
          </w:p>
        </w:tc>
        <w:tc>
          <w:tcPr>
            <w:tcW w:w="359" w:type="pct"/>
            <w:vAlign w:val="center"/>
          </w:tcPr>
          <w:p w14:paraId="233C0464">
            <w:pPr>
              <w:ind w:firstLine="0" w:firstLineChars="0"/>
              <w:jc w:val="center"/>
              <w:rPr>
                <w:sz w:val="18"/>
                <w:szCs w:val="18"/>
              </w:rPr>
            </w:pPr>
            <w:r>
              <w:rPr>
                <w:rFonts w:hint="eastAsia"/>
                <w:sz w:val="18"/>
                <w:szCs w:val="18"/>
              </w:rPr>
              <w:t>中级</w:t>
            </w:r>
          </w:p>
        </w:tc>
        <w:tc>
          <w:tcPr>
            <w:tcW w:w="288" w:type="pct"/>
            <w:vAlign w:val="center"/>
          </w:tcPr>
          <w:p w14:paraId="40CD6337">
            <w:pPr>
              <w:ind w:firstLine="0" w:firstLineChars="0"/>
              <w:jc w:val="center"/>
              <w:rPr>
                <w:sz w:val="18"/>
                <w:szCs w:val="18"/>
              </w:rPr>
            </w:pPr>
            <w:r>
              <w:rPr>
                <w:rFonts w:hint="eastAsia"/>
                <w:sz w:val="18"/>
                <w:szCs w:val="18"/>
              </w:rPr>
              <w:t>中型</w:t>
            </w:r>
          </w:p>
        </w:tc>
        <w:tc>
          <w:tcPr>
            <w:tcW w:w="288" w:type="pct"/>
            <w:vAlign w:val="center"/>
          </w:tcPr>
          <w:p w14:paraId="09958189">
            <w:pPr>
              <w:ind w:firstLine="0" w:firstLineChars="0"/>
              <w:jc w:val="center"/>
              <w:rPr>
                <w:sz w:val="18"/>
                <w:szCs w:val="18"/>
              </w:rPr>
            </w:pPr>
            <w:r>
              <w:rPr>
                <w:rFonts w:hint="eastAsia"/>
                <w:sz w:val="18"/>
                <w:szCs w:val="18"/>
              </w:rPr>
              <w:t>30</w:t>
            </w:r>
          </w:p>
        </w:tc>
        <w:tc>
          <w:tcPr>
            <w:tcW w:w="288" w:type="pct"/>
            <w:vAlign w:val="center"/>
          </w:tcPr>
          <w:p w14:paraId="74A1A545">
            <w:pPr>
              <w:ind w:firstLine="0" w:firstLineChars="0"/>
              <w:jc w:val="center"/>
              <w:rPr>
                <w:sz w:val="18"/>
                <w:szCs w:val="18"/>
              </w:rPr>
            </w:pPr>
            <w:r>
              <w:rPr>
                <w:rFonts w:hint="eastAsia"/>
                <w:sz w:val="18"/>
                <w:szCs w:val="18"/>
              </w:rPr>
              <w:t>78</w:t>
            </w:r>
          </w:p>
        </w:tc>
        <w:tc>
          <w:tcPr>
            <w:tcW w:w="287" w:type="pct"/>
            <w:vAlign w:val="center"/>
          </w:tcPr>
          <w:p w14:paraId="4F5861FC">
            <w:pPr>
              <w:ind w:firstLine="0" w:firstLineChars="0"/>
              <w:jc w:val="center"/>
              <w:rPr>
                <w:sz w:val="18"/>
                <w:szCs w:val="18"/>
              </w:rPr>
            </w:pPr>
            <w:r>
              <w:rPr>
                <w:rFonts w:hint="eastAsia"/>
                <w:sz w:val="18"/>
                <w:szCs w:val="18"/>
              </w:rPr>
              <w:t>0</w:t>
            </w:r>
          </w:p>
        </w:tc>
        <w:tc>
          <w:tcPr>
            <w:tcW w:w="288" w:type="pct"/>
            <w:vAlign w:val="center"/>
          </w:tcPr>
          <w:p w14:paraId="2DEDD81C">
            <w:pPr>
              <w:ind w:firstLine="0" w:firstLineChars="0"/>
              <w:jc w:val="center"/>
              <w:rPr>
                <w:sz w:val="18"/>
                <w:szCs w:val="18"/>
              </w:rPr>
            </w:pPr>
            <w:r>
              <w:rPr>
                <w:rFonts w:hint="eastAsia"/>
                <w:sz w:val="18"/>
                <w:szCs w:val="18"/>
              </w:rPr>
              <w:t>0</w:t>
            </w:r>
          </w:p>
        </w:tc>
        <w:tc>
          <w:tcPr>
            <w:tcW w:w="287" w:type="pct"/>
            <w:vAlign w:val="center"/>
          </w:tcPr>
          <w:p w14:paraId="17A43E71">
            <w:pPr>
              <w:ind w:firstLine="0" w:firstLineChars="0"/>
              <w:jc w:val="center"/>
              <w:rPr>
                <w:sz w:val="18"/>
                <w:szCs w:val="18"/>
              </w:rPr>
            </w:pPr>
            <w:r>
              <w:rPr>
                <w:rFonts w:hint="eastAsia"/>
                <w:sz w:val="18"/>
                <w:szCs w:val="18"/>
              </w:rPr>
              <w:t>0.03</w:t>
            </w:r>
          </w:p>
        </w:tc>
        <w:tc>
          <w:tcPr>
            <w:tcW w:w="288" w:type="pct"/>
            <w:vAlign w:val="center"/>
          </w:tcPr>
          <w:p w14:paraId="5B138E34">
            <w:pPr>
              <w:ind w:firstLine="0" w:firstLineChars="0"/>
              <w:jc w:val="center"/>
              <w:rPr>
                <w:sz w:val="18"/>
                <w:szCs w:val="18"/>
              </w:rPr>
            </w:pPr>
            <w:r>
              <w:rPr>
                <w:rFonts w:hint="eastAsia"/>
                <w:sz w:val="18"/>
                <w:szCs w:val="18"/>
              </w:rPr>
              <w:t>0.13</w:t>
            </w:r>
          </w:p>
        </w:tc>
        <w:tc>
          <w:tcPr>
            <w:tcW w:w="287" w:type="pct"/>
            <w:vAlign w:val="center"/>
          </w:tcPr>
          <w:p w14:paraId="03FB5BD5">
            <w:pPr>
              <w:ind w:firstLine="0" w:firstLineChars="0"/>
              <w:jc w:val="center"/>
              <w:rPr>
                <w:sz w:val="18"/>
                <w:szCs w:val="18"/>
              </w:rPr>
            </w:pPr>
            <w:r>
              <w:rPr>
                <w:rFonts w:hint="eastAsia"/>
                <w:sz w:val="18"/>
                <w:szCs w:val="18"/>
              </w:rPr>
              <w:t>0.09</w:t>
            </w:r>
          </w:p>
        </w:tc>
        <w:tc>
          <w:tcPr>
            <w:tcW w:w="288" w:type="pct"/>
            <w:vAlign w:val="center"/>
          </w:tcPr>
          <w:p w14:paraId="560F9A00">
            <w:pPr>
              <w:ind w:firstLine="0" w:firstLineChars="0"/>
              <w:jc w:val="center"/>
              <w:rPr>
                <w:sz w:val="18"/>
                <w:szCs w:val="18"/>
              </w:rPr>
            </w:pPr>
            <w:r>
              <w:rPr>
                <w:rFonts w:hint="eastAsia"/>
                <w:sz w:val="18"/>
                <w:szCs w:val="18"/>
              </w:rPr>
              <w:t>0.169</w:t>
            </w:r>
          </w:p>
        </w:tc>
        <w:tc>
          <w:tcPr>
            <w:tcW w:w="287" w:type="pct"/>
            <w:vAlign w:val="center"/>
          </w:tcPr>
          <w:p w14:paraId="1BA2649C">
            <w:pPr>
              <w:ind w:firstLine="0" w:firstLineChars="0"/>
              <w:jc w:val="center"/>
              <w:rPr>
                <w:sz w:val="18"/>
                <w:szCs w:val="18"/>
              </w:rPr>
            </w:pPr>
            <w:r>
              <w:rPr>
                <w:rFonts w:hint="eastAsia"/>
                <w:sz w:val="18"/>
                <w:szCs w:val="18"/>
              </w:rPr>
              <w:t>13</w:t>
            </w:r>
          </w:p>
        </w:tc>
        <w:tc>
          <w:tcPr>
            <w:tcW w:w="288" w:type="pct"/>
            <w:vAlign w:val="center"/>
          </w:tcPr>
          <w:p w14:paraId="69478CD4">
            <w:pPr>
              <w:ind w:firstLine="0" w:firstLineChars="0"/>
              <w:jc w:val="center"/>
              <w:rPr>
                <w:sz w:val="18"/>
                <w:szCs w:val="18"/>
              </w:rPr>
            </w:pPr>
            <w:r>
              <w:rPr>
                <w:rFonts w:hint="eastAsia"/>
                <w:sz w:val="18"/>
                <w:szCs w:val="18"/>
              </w:rPr>
              <w:t>10</w:t>
            </w:r>
          </w:p>
        </w:tc>
        <w:tc>
          <w:tcPr>
            <w:tcW w:w="287" w:type="pct"/>
            <w:vAlign w:val="center"/>
          </w:tcPr>
          <w:p w14:paraId="2EFF9F7B">
            <w:pPr>
              <w:ind w:firstLine="0" w:firstLineChars="0"/>
              <w:jc w:val="center"/>
              <w:rPr>
                <w:sz w:val="18"/>
                <w:szCs w:val="18"/>
              </w:rPr>
            </w:pPr>
            <w:r>
              <w:rPr>
                <w:rFonts w:hint="eastAsia"/>
                <w:sz w:val="18"/>
                <w:szCs w:val="18"/>
              </w:rPr>
              <w:t>17</w:t>
            </w:r>
          </w:p>
        </w:tc>
        <w:tc>
          <w:tcPr>
            <w:tcW w:w="226" w:type="pct"/>
            <w:vAlign w:val="center"/>
          </w:tcPr>
          <w:p w14:paraId="77E1719A">
            <w:pPr>
              <w:ind w:firstLine="0" w:firstLineChars="0"/>
              <w:jc w:val="center"/>
              <w:rPr>
                <w:sz w:val="18"/>
                <w:szCs w:val="18"/>
              </w:rPr>
            </w:pPr>
            <w:r>
              <w:rPr>
                <w:rFonts w:hint="eastAsia"/>
                <w:sz w:val="18"/>
                <w:szCs w:val="18"/>
              </w:rPr>
              <w:t>0</w:t>
            </w:r>
          </w:p>
        </w:tc>
      </w:tr>
      <w:tr w14:paraId="7341A1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76" w:type="pct"/>
            <w:vAlign w:val="center"/>
          </w:tcPr>
          <w:p w14:paraId="0E287531">
            <w:pPr>
              <w:ind w:firstLine="0" w:firstLineChars="0"/>
              <w:jc w:val="center"/>
              <w:rPr>
                <w:sz w:val="18"/>
                <w:szCs w:val="18"/>
              </w:rPr>
            </w:pPr>
            <w:r>
              <w:rPr>
                <w:rFonts w:hint="eastAsia"/>
                <w:sz w:val="18"/>
                <w:szCs w:val="18"/>
              </w:rPr>
              <w:t>南雄—全南</w:t>
            </w:r>
          </w:p>
        </w:tc>
        <w:tc>
          <w:tcPr>
            <w:tcW w:w="288" w:type="pct"/>
            <w:vAlign w:val="center"/>
          </w:tcPr>
          <w:p w14:paraId="0B287C7A">
            <w:pPr>
              <w:ind w:firstLine="0" w:firstLineChars="0"/>
              <w:jc w:val="center"/>
              <w:rPr>
                <w:sz w:val="18"/>
                <w:szCs w:val="18"/>
              </w:rPr>
            </w:pPr>
            <w:r>
              <w:rPr>
                <w:rFonts w:hint="eastAsia"/>
                <w:sz w:val="18"/>
                <w:szCs w:val="18"/>
              </w:rPr>
              <w:t>普通</w:t>
            </w:r>
          </w:p>
        </w:tc>
        <w:tc>
          <w:tcPr>
            <w:tcW w:w="359" w:type="pct"/>
            <w:vAlign w:val="center"/>
          </w:tcPr>
          <w:p w14:paraId="79830C12">
            <w:pPr>
              <w:ind w:firstLine="0" w:firstLineChars="0"/>
              <w:jc w:val="center"/>
              <w:rPr>
                <w:sz w:val="18"/>
                <w:szCs w:val="18"/>
              </w:rPr>
            </w:pPr>
            <w:r>
              <w:rPr>
                <w:rFonts w:hint="eastAsia"/>
                <w:sz w:val="18"/>
                <w:szCs w:val="18"/>
              </w:rPr>
              <w:t>中级</w:t>
            </w:r>
          </w:p>
        </w:tc>
        <w:tc>
          <w:tcPr>
            <w:tcW w:w="288" w:type="pct"/>
            <w:vAlign w:val="center"/>
          </w:tcPr>
          <w:p w14:paraId="5EC4075A">
            <w:pPr>
              <w:ind w:firstLine="0" w:firstLineChars="0"/>
              <w:jc w:val="center"/>
              <w:rPr>
                <w:sz w:val="18"/>
                <w:szCs w:val="18"/>
              </w:rPr>
            </w:pPr>
            <w:r>
              <w:rPr>
                <w:rFonts w:hint="eastAsia"/>
                <w:sz w:val="18"/>
                <w:szCs w:val="18"/>
              </w:rPr>
              <w:t>中型</w:t>
            </w:r>
          </w:p>
        </w:tc>
        <w:tc>
          <w:tcPr>
            <w:tcW w:w="288" w:type="pct"/>
            <w:vAlign w:val="center"/>
          </w:tcPr>
          <w:p w14:paraId="4503A804">
            <w:pPr>
              <w:ind w:firstLine="0" w:firstLineChars="0"/>
              <w:jc w:val="center"/>
              <w:rPr>
                <w:sz w:val="18"/>
                <w:szCs w:val="18"/>
              </w:rPr>
            </w:pPr>
            <w:r>
              <w:rPr>
                <w:rFonts w:hint="eastAsia"/>
                <w:sz w:val="18"/>
                <w:szCs w:val="18"/>
              </w:rPr>
              <w:t>30</w:t>
            </w:r>
          </w:p>
        </w:tc>
        <w:tc>
          <w:tcPr>
            <w:tcW w:w="288" w:type="pct"/>
            <w:vAlign w:val="center"/>
          </w:tcPr>
          <w:p w14:paraId="38C86C15">
            <w:pPr>
              <w:ind w:firstLine="0" w:firstLineChars="0"/>
              <w:jc w:val="center"/>
              <w:rPr>
                <w:sz w:val="18"/>
                <w:szCs w:val="18"/>
              </w:rPr>
            </w:pPr>
            <w:r>
              <w:rPr>
                <w:rFonts w:hint="eastAsia"/>
                <w:sz w:val="18"/>
                <w:szCs w:val="18"/>
              </w:rPr>
              <w:t>54</w:t>
            </w:r>
          </w:p>
        </w:tc>
        <w:tc>
          <w:tcPr>
            <w:tcW w:w="287" w:type="pct"/>
            <w:vAlign w:val="center"/>
          </w:tcPr>
          <w:p w14:paraId="7C29130B">
            <w:pPr>
              <w:ind w:firstLine="0" w:firstLineChars="0"/>
              <w:jc w:val="center"/>
              <w:rPr>
                <w:sz w:val="18"/>
                <w:szCs w:val="18"/>
              </w:rPr>
            </w:pPr>
            <w:r>
              <w:rPr>
                <w:rFonts w:hint="eastAsia"/>
                <w:sz w:val="18"/>
                <w:szCs w:val="18"/>
              </w:rPr>
              <w:t>0</w:t>
            </w:r>
          </w:p>
        </w:tc>
        <w:tc>
          <w:tcPr>
            <w:tcW w:w="288" w:type="pct"/>
            <w:vAlign w:val="center"/>
          </w:tcPr>
          <w:p w14:paraId="3C00B63E">
            <w:pPr>
              <w:ind w:firstLine="0" w:firstLineChars="0"/>
              <w:jc w:val="center"/>
              <w:rPr>
                <w:sz w:val="18"/>
                <w:szCs w:val="18"/>
              </w:rPr>
            </w:pPr>
            <w:r>
              <w:rPr>
                <w:rFonts w:hint="eastAsia"/>
                <w:sz w:val="18"/>
                <w:szCs w:val="18"/>
              </w:rPr>
              <w:t>0</w:t>
            </w:r>
          </w:p>
        </w:tc>
        <w:tc>
          <w:tcPr>
            <w:tcW w:w="287" w:type="pct"/>
            <w:vAlign w:val="center"/>
          </w:tcPr>
          <w:p w14:paraId="76C21D76">
            <w:pPr>
              <w:ind w:firstLine="0" w:firstLineChars="0"/>
              <w:jc w:val="center"/>
              <w:rPr>
                <w:sz w:val="18"/>
                <w:szCs w:val="18"/>
              </w:rPr>
            </w:pPr>
            <w:r>
              <w:rPr>
                <w:rFonts w:hint="eastAsia"/>
                <w:sz w:val="18"/>
                <w:szCs w:val="18"/>
              </w:rPr>
              <w:t>0.03</w:t>
            </w:r>
          </w:p>
        </w:tc>
        <w:tc>
          <w:tcPr>
            <w:tcW w:w="288" w:type="pct"/>
            <w:vAlign w:val="center"/>
          </w:tcPr>
          <w:p w14:paraId="4AB1CF9E">
            <w:pPr>
              <w:ind w:firstLine="0" w:firstLineChars="0"/>
              <w:jc w:val="center"/>
              <w:rPr>
                <w:sz w:val="18"/>
                <w:szCs w:val="18"/>
              </w:rPr>
            </w:pPr>
            <w:r>
              <w:rPr>
                <w:rFonts w:hint="eastAsia"/>
                <w:sz w:val="18"/>
                <w:szCs w:val="18"/>
              </w:rPr>
              <w:t>0.13</w:t>
            </w:r>
          </w:p>
        </w:tc>
        <w:tc>
          <w:tcPr>
            <w:tcW w:w="287" w:type="pct"/>
            <w:vAlign w:val="center"/>
          </w:tcPr>
          <w:p w14:paraId="7B1EAABC">
            <w:pPr>
              <w:ind w:firstLine="0" w:firstLineChars="0"/>
              <w:jc w:val="center"/>
              <w:rPr>
                <w:sz w:val="18"/>
                <w:szCs w:val="18"/>
              </w:rPr>
            </w:pPr>
            <w:r>
              <w:rPr>
                <w:rFonts w:hint="eastAsia"/>
                <w:sz w:val="18"/>
                <w:szCs w:val="18"/>
              </w:rPr>
              <w:t>0.09</w:t>
            </w:r>
          </w:p>
        </w:tc>
        <w:tc>
          <w:tcPr>
            <w:tcW w:w="288" w:type="pct"/>
            <w:vAlign w:val="center"/>
          </w:tcPr>
          <w:p w14:paraId="28C491F4">
            <w:pPr>
              <w:ind w:firstLine="0" w:firstLineChars="0"/>
              <w:jc w:val="center"/>
              <w:rPr>
                <w:sz w:val="18"/>
                <w:szCs w:val="18"/>
              </w:rPr>
            </w:pPr>
            <w:r>
              <w:rPr>
                <w:rFonts w:hint="eastAsia"/>
                <w:sz w:val="18"/>
                <w:szCs w:val="18"/>
              </w:rPr>
              <w:t>0.169</w:t>
            </w:r>
          </w:p>
        </w:tc>
        <w:tc>
          <w:tcPr>
            <w:tcW w:w="287" w:type="pct"/>
            <w:vAlign w:val="center"/>
          </w:tcPr>
          <w:p w14:paraId="72E283BD">
            <w:pPr>
              <w:ind w:firstLine="0" w:firstLineChars="0"/>
              <w:jc w:val="center"/>
              <w:rPr>
                <w:sz w:val="18"/>
                <w:szCs w:val="18"/>
              </w:rPr>
            </w:pPr>
            <w:r>
              <w:rPr>
                <w:rFonts w:hint="eastAsia"/>
                <w:sz w:val="18"/>
                <w:szCs w:val="18"/>
              </w:rPr>
              <w:t>10</w:t>
            </w:r>
          </w:p>
        </w:tc>
        <w:tc>
          <w:tcPr>
            <w:tcW w:w="288" w:type="pct"/>
            <w:vAlign w:val="center"/>
          </w:tcPr>
          <w:p w14:paraId="13549278">
            <w:pPr>
              <w:ind w:firstLine="0" w:firstLineChars="0"/>
              <w:jc w:val="center"/>
              <w:rPr>
                <w:sz w:val="18"/>
                <w:szCs w:val="18"/>
              </w:rPr>
            </w:pPr>
            <w:r>
              <w:rPr>
                <w:rFonts w:hint="eastAsia"/>
                <w:sz w:val="18"/>
                <w:szCs w:val="18"/>
              </w:rPr>
              <w:t>7.50</w:t>
            </w:r>
          </w:p>
        </w:tc>
        <w:tc>
          <w:tcPr>
            <w:tcW w:w="287" w:type="pct"/>
            <w:vAlign w:val="center"/>
          </w:tcPr>
          <w:p w14:paraId="134A3B43">
            <w:pPr>
              <w:ind w:firstLine="0" w:firstLineChars="0"/>
              <w:jc w:val="center"/>
              <w:rPr>
                <w:sz w:val="18"/>
                <w:szCs w:val="18"/>
              </w:rPr>
            </w:pPr>
            <w:r>
              <w:rPr>
                <w:rFonts w:hint="eastAsia"/>
                <w:sz w:val="18"/>
                <w:szCs w:val="18"/>
              </w:rPr>
              <w:t>12</w:t>
            </w:r>
          </w:p>
        </w:tc>
        <w:tc>
          <w:tcPr>
            <w:tcW w:w="226" w:type="pct"/>
            <w:vAlign w:val="center"/>
          </w:tcPr>
          <w:p w14:paraId="0CC426A9">
            <w:pPr>
              <w:ind w:firstLine="0" w:firstLineChars="0"/>
              <w:jc w:val="center"/>
              <w:rPr>
                <w:sz w:val="18"/>
                <w:szCs w:val="18"/>
              </w:rPr>
            </w:pPr>
            <w:r>
              <w:rPr>
                <w:rFonts w:hint="eastAsia"/>
                <w:sz w:val="18"/>
                <w:szCs w:val="18"/>
              </w:rPr>
              <w:t>0</w:t>
            </w:r>
          </w:p>
        </w:tc>
      </w:tr>
      <w:tr w14:paraId="5B4881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76" w:type="pct"/>
            <w:vAlign w:val="center"/>
          </w:tcPr>
          <w:p w14:paraId="57662007">
            <w:pPr>
              <w:ind w:firstLine="0" w:firstLineChars="0"/>
              <w:jc w:val="center"/>
              <w:rPr>
                <w:sz w:val="18"/>
                <w:szCs w:val="18"/>
              </w:rPr>
            </w:pPr>
            <w:r>
              <w:rPr>
                <w:rFonts w:hint="eastAsia"/>
                <w:sz w:val="18"/>
                <w:szCs w:val="18"/>
              </w:rPr>
              <w:t>南雄—广州</w:t>
            </w:r>
          </w:p>
        </w:tc>
        <w:tc>
          <w:tcPr>
            <w:tcW w:w="288" w:type="pct"/>
            <w:vAlign w:val="center"/>
          </w:tcPr>
          <w:p w14:paraId="27352AC8">
            <w:pPr>
              <w:ind w:firstLine="0" w:firstLineChars="0"/>
              <w:jc w:val="center"/>
              <w:rPr>
                <w:sz w:val="18"/>
                <w:szCs w:val="18"/>
              </w:rPr>
            </w:pPr>
            <w:r>
              <w:rPr>
                <w:rFonts w:hint="eastAsia"/>
                <w:sz w:val="18"/>
                <w:szCs w:val="18"/>
              </w:rPr>
              <w:t>直达</w:t>
            </w:r>
          </w:p>
        </w:tc>
        <w:tc>
          <w:tcPr>
            <w:tcW w:w="359" w:type="pct"/>
            <w:vAlign w:val="center"/>
          </w:tcPr>
          <w:p w14:paraId="6C884F9F">
            <w:pPr>
              <w:ind w:firstLine="0" w:firstLineChars="0"/>
              <w:jc w:val="center"/>
              <w:rPr>
                <w:sz w:val="18"/>
                <w:szCs w:val="18"/>
              </w:rPr>
            </w:pPr>
            <w:r>
              <w:rPr>
                <w:rFonts w:hint="eastAsia"/>
                <w:sz w:val="18"/>
                <w:szCs w:val="18"/>
              </w:rPr>
              <w:t>中级</w:t>
            </w:r>
          </w:p>
        </w:tc>
        <w:tc>
          <w:tcPr>
            <w:tcW w:w="288" w:type="pct"/>
            <w:vAlign w:val="center"/>
          </w:tcPr>
          <w:p w14:paraId="677F394D">
            <w:pPr>
              <w:ind w:firstLine="0" w:firstLineChars="0"/>
              <w:jc w:val="center"/>
              <w:rPr>
                <w:sz w:val="18"/>
                <w:szCs w:val="18"/>
              </w:rPr>
            </w:pPr>
            <w:r>
              <w:rPr>
                <w:rFonts w:hint="eastAsia"/>
                <w:sz w:val="18"/>
                <w:szCs w:val="18"/>
              </w:rPr>
              <w:t>大型</w:t>
            </w:r>
          </w:p>
        </w:tc>
        <w:tc>
          <w:tcPr>
            <w:tcW w:w="288" w:type="pct"/>
            <w:vAlign w:val="center"/>
          </w:tcPr>
          <w:p w14:paraId="2EB16238">
            <w:pPr>
              <w:ind w:firstLine="0" w:firstLineChars="0"/>
              <w:jc w:val="center"/>
              <w:rPr>
                <w:sz w:val="18"/>
                <w:szCs w:val="18"/>
              </w:rPr>
            </w:pPr>
            <w:r>
              <w:rPr>
                <w:rFonts w:hint="eastAsia"/>
                <w:sz w:val="18"/>
                <w:szCs w:val="18"/>
              </w:rPr>
              <w:t>43</w:t>
            </w:r>
          </w:p>
        </w:tc>
        <w:tc>
          <w:tcPr>
            <w:tcW w:w="288" w:type="pct"/>
            <w:vAlign w:val="center"/>
          </w:tcPr>
          <w:p w14:paraId="279EFC9F">
            <w:pPr>
              <w:ind w:firstLine="0" w:firstLineChars="0"/>
              <w:jc w:val="center"/>
              <w:rPr>
                <w:sz w:val="18"/>
                <w:szCs w:val="18"/>
              </w:rPr>
            </w:pPr>
            <w:r>
              <w:rPr>
                <w:rFonts w:hint="eastAsia"/>
                <w:sz w:val="18"/>
                <w:szCs w:val="18"/>
              </w:rPr>
              <w:t>412</w:t>
            </w:r>
          </w:p>
        </w:tc>
        <w:tc>
          <w:tcPr>
            <w:tcW w:w="287" w:type="pct"/>
            <w:vAlign w:val="center"/>
          </w:tcPr>
          <w:p w14:paraId="67AC1E99">
            <w:pPr>
              <w:ind w:firstLine="0" w:firstLineChars="0"/>
              <w:jc w:val="center"/>
              <w:rPr>
                <w:sz w:val="18"/>
                <w:szCs w:val="18"/>
              </w:rPr>
            </w:pPr>
            <w:r>
              <w:rPr>
                <w:rFonts w:hint="eastAsia"/>
                <w:sz w:val="18"/>
                <w:szCs w:val="18"/>
              </w:rPr>
              <w:t>160</w:t>
            </w:r>
          </w:p>
        </w:tc>
        <w:tc>
          <w:tcPr>
            <w:tcW w:w="288" w:type="pct"/>
            <w:vAlign w:val="center"/>
          </w:tcPr>
          <w:p w14:paraId="3F0E4608">
            <w:pPr>
              <w:ind w:firstLine="0" w:firstLineChars="0"/>
              <w:jc w:val="center"/>
              <w:rPr>
                <w:sz w:val="18"/>
                <w:szCs w:val="18"/>
              </w:rPr>
            </w:pPr>
            <w:r>
              <w:rPr>
                <w:rFonts w:hint="eastAsia"/>
                <w:sz w:val="18"/>
                <w:szCs w:val="18"/>
              </w:rPr>
              <w:t>0.018</w:t>
            </w:r>
          </w:p>
        </w:tc>
        <w:tc>
          <w:tcPr>
            <w:tcW w:w="287" w:type="pct"/>
            <w:vAlign w:val="center"/>
          </w:tcPr>
          <w:p w14:paraId="19EDA149">
            <w:pPr>
              <w:ind w:firstLine="0" w:firstLineChars="0"/>
              <w:jc w:val="center"/>
              <w:rPr>
                <w:sz w:val="18"/>
                <w:szCs w:val="18"/>
              </w:rPr>
            </w:pPr>
            <w:r>
              <w:rPr>
                <w:rFonts w:hint="eastAsia"/>
                <w:sz w:val="18"/>
                <w:szCs w:val="18"/>
              </w:rPr>
              <w:t>0.048</w:t>
            </w:r>
          </w:p>
        </w:tc>
        <w:tc>
          <w:tcPr>
            <w:tcW w:w="288" w:type="pct"/>
            <w:vAlign w:val="center"/>
          </w:tcPr>
          <w:p w14:paraId="03356653">
            <w:pPr>
              <w:ind w:firstLine="0" w:firstLineChars="0"/>
              <w:jc w:val="center"/>
              <w:rPr>
                <w:sz w:val="18"/>
                <w:szCs w:val="18"/>
              </w:rPr>
            </w:pPr>
            <w:r>
              <w:rPr>
                <w:rFonts w:hint="eastAsia"/>
                <w:sz w:val="18"/>
                <w:szCs w:val="18"/>
              </w:rPr>
              <w:t>0.17</w:t>
            </w:r>
          </w:p>
        </w:tc>
        <w:tc>
          <w:tcPr>
            <w:tcW w:w="287" w:type="pct"/>
            <w:vAlign w:val="center"/>
          </w:tcPr>
          <w:p w14:paraId="70D9D74B">
            <w:pPr>
              <w:ind w:firstLine="0" w:firstLineChars="0"/>
              <w:jc w:val="center"/>
              <w:rPr>
                <w:sz w:val="18"/>
                <w:szCs w:val="18"/>
              </w:rPr>
            </w:pPr>
            <w:r>
              <w:rPr>
                <w:rFonts w:hint="eastAsia"/>
                <w:sz w:val="18"/>
                <w:szCs w:val="18"/>
              </w:rPr>
              <w:t>0.12</w:t>
            </w:r>
          </w:p>
        </w:tc>
        <w:tc>
          <w:tcPr>
            <w:tcW w:w="288" w:type="pct"/>
            <w:vAlign w:val="center"/>
          </w:tcPr>
          <w:p w14:paraId="6A0FD168">
            <w:pPr>
              <w:ind w:firstLine="0" w:firstLineChars="0"/>
              <w:jc w:val="center"/>
              <w:rPr>
                <w:sz w:val="18"/>
                <w:szCs w:val="18"/>
              </w:rPr>
            </w:pPr>
            <w:r>
              <w:rPr>
                <w:rFonts w:hint="eastAsia"/>
                <w:sz w:val="18"/>
                <w:szCs w:val="18"/>
              </w:rPr>
              <w:t>0.221</w:t>
            </w:r>
          </w:p>
        </w:tc>
        <w:tc>
          <w:tcPr>
            <w:tcW w:w="287" w:type="pct"/>
            <w:vAlign w:val="center"/>
          </w:tcPr>
          <w:p w14:paraId="48DB94BA">
            <w:pPr>
              <w:ind w:firstLine="0" w:firstLineChars="0"/>
              <w:jc w:val="center"/>
              <w:rPr>
                <w:sz w:val="18"/>
                <w:szCs w:val="18"/>
              </w:rPr>
            </w:pPr>
            <w:r>
              <w:rPr>
                <w:rFonts w:hint="eastAsia"/>
                <w:sz w:val="18"/>
                <w:szCs w:val="18"/>
              </w:rPr>
              <w:t>91</w:t>
            </w:r>
          </w:p>
        </w:tc>
        <w:tc>
          <w:tcPr>
            <w:tcW w:w="288" w:type="pct"/>
            <w:vAlign w:val="center"/>
          </w:tcPr>
          <w:p w14:paraId="1773A879">
            <w:pPr>
              <w:ind w:firstLine="0" w:firstLineChars="0"/>
              <w:jc w:val="center"/>
              <w:rPr>
                <w:sz w:val="18"/>
                <w:szCs w:val="18"/>
              </w:rPr>
            </w:pPr>
            <w:r>
              <w:rPr>
                <w:rFonts w:hint="eastAsia"/>
                <w:sz w:val="18"/>
                <w:szCs w:val="18"/>
              </w:rPr>
              <w:t>70</w:t>
            </w:r>
          </w:p>
        </w:tc>
        <w:tc>
          <w:tcPr>
            <w:tcW w:w="287" w:type="pct"/>
            <w:vAlign w:val="center"/>
          </w:tcPr>
          <w:p w14:paraId="37ADF569">
            <w:pPr>
              <w:ind w:firstLine="0" w:firstLineChars="0"/>
              <w:jc w:val="center"/>
              <w:rPr>
                <w:sz w:val="18"/>
                <w:szCs w:val="18"/>
              </w:rPr>
            </w:pPr>
            <w:r>
              <w:rPr>
                <w:rFonts w:hint="eastAsia"/>
                <w:sz w:val="18"/>
                <w:szCs w:val="18"/>
              </w:rPr>
              <w:t>112</w:t>
            </w:r>
          </w:p>
        </w:tc>
        <w:tc>
          <w:tcPr>
            <w:tcW w:w="226" w:type="pct"/>
            <w:vAlign w:val="center"/>
          </w:tcPr>
          <w:p w14:paraId="59FF61EA">
            <w:pPr>
              <w:ind w:firstLine="0" w:firstLineChars="0"/>
              <w:jc w:val="center"/>
              <w:rPr>
                <w:sz w:val="18"/>
                <w:szCs w:val="18"/>
              </w:rPr>
            </w:pPr>
            <w:r>
              <w:rPr>
                <w:rFonts w:hint="eastAsia"/>
                <w:sz w:val="18"/>
                <w:szCs w:val="18"/>
              </w:rPr>
              <w:t>11</w:t>
            </w:r>
          </w:p>
        </w:tc>
      </w:tr>
      <w:tr w14:paraId="56CB7B7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76" w:type="pct"/>
            <w:vAlign w:val="center"/>
          </w:tcPr>
          <w:p w14:paraId="4F596302">
            <w:pPr>
              <w:ind w:firstLine="0" w:firstLineChars="0"/>
              <w:jc w:val="center"/>
              <w:rPr>
                <w:sz w:val="18"/>
                <w:szCs w:val="18"/>
              </w:rPr>
            </w:pPr>
            <w:r>
              <w:rPr>
                <w:rFonts w:hint="eastAsia"/>
                <w:sz w:val="18"/>
                <w:szCs w:val="18"/>
              </w:rPr>
              <w:t>南雄—深圳</w:t>
            </w:r>
          </w:p>
        </w:tc>
        <w:tc>
          <w:tcPr>
            <w:tcW w:w="288" w:type="pct"/>
            <w:vAlign w:val="center"/>
          </w:tcPr>
          <w:p w14:paraId="25546895">
            <w:pPr>
              <w:ind w:firstLine="0" w:firstLineChars="0"/>
              <w:jc w:val="center"/>
              <w:rPr>
                <w:sz w:val="18"/>
                <w:szCs w:val="18"/>
              </w:rPr>
            </w:pPr>
            <w:r>
              <w:rPr>
                <w:rFonts w:hint="eastAsia"/>
                <w:sz w:val="18"/>
                <w:szCs w:val="18"/>
              </w:rPr>
              <w:t>直达</w:t>
            </w:r>
          </w:p>
        </w:tc>
        <w:tc>
          <w:tcPr>
            <w:tcW w:w="359" w:type="pct"/>
            <w:vAlign w:val="center"/>
          </w:tcPr>
          <w:p w14:paraId="2582A0FE">
            <w:pPr>
              <w:ind w:firstLine="0" w:firstLineChars="0"/>
              <w:jc w:val="center"/>
              <w:rPr>
                <w:sz w:val="18"/>
                <w:szCs w:val="18"/>
              </w:rPr>
            </w:pPr>
            <w:r>
              <w:rPr>
                <w:rFonts w:hint="eastAsia"/>
                <w:sz w:val="18"/>
                <w:szCs w:val="18"/>
              </w:rPr>
              <w:t>中级</w:t>
            </w:r>
          </w:p>
        </w:tc>
        <w:tc>
          <w:tcPr>
            <w:tcW w:w="288" w:type="pct"/>
            <w:vAlign w:val="center"/>
          </w:tcPr>
          <w:p w14:paraId="418344D6">
            <w:pPr>
              <w:ind w:firstLine="0" w:firstLineChars="0"/>
              <w:jc w:val="center"/>
              <w:rPr>
                <w:sz w:val="18"/>
                <w:szCs w:val="18"/>
              </w:rPr>
            </w:pPr>
            <w:r>
              <w:rPr>
                <w:rFonts w:hint="eastAsia"/>
                <w:sz w:val="18"/>
                <w:szCs w:val="18"/>
              </w:rPr>
              <w:t>大型</w:t>
            </w:r>
          </w:p>
        </w:tc>
        <w:tc>
          <w:tcPr>
            <w:tcW w:w="288" w:type="pct"/>
            <w:vAlign w:val="center"/>
          </w:tcPr>
          <w:p w14:paraId="42420074">
            <w:pPr>
              <w:ind w:firstLine="0" w:firstLineChars="0"/>
              <w:jc w:val="center"/>
              <w:rPr>
                <w:sz w:val="18"/>
                <w:szCs w:val="18"/>
              </w:rPr>
            </w:pPr>
            <w:r>
              <w:rPr>
                <w:rFonts w:hint="eastAsia"/>
                <w:sz w:val="18"/>
                <w:szCs w:val="18"/>
              </w:rPr>
              <w:t>48</w:t>
            </w:r>
          </w:p>
        </w:tc>
        <w:tc>
          <w:tcPr>
            <w:tcW w:w="288" w:type="pct"/>
            <w:vAlign w:val="center"/>
          </w:tcPr>
          <w:p w14:paraId="51F727F7">
            <w:pPr>
              <w:ind w:firstLine="0" w:firstLineChars="0"/>
              <w:jc w:val="center"/>
              <w:rPr>
                <w:sz w:val="18"/>
                <w:szCs w:val="18"/>
              </w:rPr>
            </w:pPr>
            <w:r>
              <w:rPr>
                <w:rFonts w:hint="eastAsia"/>
                <w:sz w:val="18"/>
                <w:szCs w:val="18"/>
              </w:rPr>
              <w:t>575</w:t>
            </w:r>
          </w:p>
        </w:tc>
        <w:tc>
          <w:tcPr>
            <w:tcW w:w="287" w:type="pct"/>
            <w:vAlign w:val="center"/>
          </w:tcPr>
          <w:p w14:paraId="26200538">
            <w:pPr>
              <w:ind w:firstLine="0" w:firstLineChars="0"/>
              <w:jc w:val="center"/>
              <w:rPr>
                <w:sz w:val="18"/>
                <w:szCs w:val="18"/>
              </w:rPr>
            </w:pPr>
            <w:r>
              <w:rPr>
                <w:rFonts w:hint="eastAsia"/>
                <w:sz w:val="18"/>
                <w:szCs w:val="18"/>
              </w:rPr>
              <w:t>180</w:t>
            </w:r>
          </w:p>
        </w:tc>
        <w:tc>
          <w:tcPr>
            <w:tcW w:w="288" w:type="pct"/>
            <w:vAlign w:val="center"/>
          </w:tcPr>
          <w:p w14:paraId="11CDC918">
            <w:pPr>
              <w:ind w:firstLine="0" w:firstLineChars="0"/>
              <w:jc w:val="center"/>
              <w:rPr>
                <w:sz w:val="18"/>
                <w:szCs w:val="18"/>
              </w:rPr>
            </w:pPr>
            <w:r>
              <w:rPr>
                <w:rFonts w:hint="eastAsia"/>
                <w:sz w:val="18"/>
                <w:szCs w:val="18"/>
              </w:rPr>
              <w:t>0.04</w:t>
            </w:r>
          </w:p>
        </w:tc>
        <w:tc>
          <w:tcPr>
            <w:tcW w:w="287" w:type="pct"/>
            <w:vAlign w:val="center"/>
          </w:tcPr>
          <w:p w14:paraId="30FB8E99">
            <w:pPr>
              <w:ind w:firstLine="0" w:firstLineChars="0"/>
              <w:jc w:val="center"/>
              <w:rPr>
                <w:sz w:val="18"/>
                <w:szCs w:val="18"/>
              </w:rPr>
            </w:pPr>
            <w:r>
              <w:rPr>
                <w:rFonts w:hint="eastAsia"/>
                <w:sz w:val="18"/>
                <w:szCs w:val="18"/>
              </w:rPr>
              <w:t>0.044</w:t>
            </w:r>
          </w:p>
        </w:tc>
        <w:tc>
          <w:tcPr>
            <w:tcW w:w="288" w:type="pct"/>
            <w:vAlign w:val="center"/>
          </w:tcPr>
          <w:p w14:paraId="63BF72C9">
            <w:pPr>
              <w:ind w:firstLine="0" w:firstLineChars="0"/>
              <w:jc w:val="center"/>
              <w:rPr>
                <w:sz w:val="18"/>
                <w:szCs w:val="18"/>
              </w:rPr>
            </w:pPr>
            <w:r>
              <w:rPr>
                <w:rFonts w:hint="eastAsia"/>
                <w:sz w:val="18"/>
                <w:szCs w:val="18"/>
              </w:rPr>
              <w:t>0.13</w:t>
            </w:r>
          </w:p>
        </w:tc>
        <w:tc>
          <w:tcPr>
            <w:tcW w:w="287" w:type="pct"/>
            <w:vAlign w:val="center"/>
          </w:tcPr>
          <w:p w14:paraId="05EF009E">
            <w:pPr>
              <w:ind w:firstLine="0" w:firstLineChars="0"/>
              <w:jc w:val="center"/>
              <w:rPr>
                <w:sz w:val="18"/>
                <w:szCs w:val="18"/>
              </w:rPr>
            </w:pPr>
            <w:r>
              <w:rPr>
                <w:rFonts w:hint="eastAsia"/>
                <w:sz w:val="18"/>
                <w:szCs w:val="18"/>
              </w:rPr>
              <w:t>0.09</w:t>
            </w:r>
          </w:p>
        </w:tc>
        <w:tc>
          <w:tcPr>
            <w:tcW w:w="288" w:type="pct"/>
            <w:vAlign w:val="center"/>
          </w:tcPr>
          <w:p w14:paraId="388C3DDF">
            <w:pPr>
              <w:ind w:firstLine="0" w:firstLineChars="0"/>
              <w:jc w:val="center"/>
              <w:rPr>
                <w:sz w:val="18"/>
                <w:szCs w:val="18"/>
              </w:rPr>
            </w:pPr>
            <w:r>
              <w:rPr>
                <w:rFonts w:hint="eastAsia"/>
                <w:sz w:val="18"/>
                <w:szCs w:val="18"/>
              </w:rPr>
              <w:t>0.169</w:t>
            </w:r>
          </w:p>
        </w:tc>
        <w:tc>
          <w:tcPr>
            <w:tcW w:w="287" w:type="pct"/>
            <w:vAlign w:val="center"/>
          </w:tcPr>
          <w:p w14:paraId="62B8144E">
            <w:pPr>
              <w:ind w:firstLine="0" w:firstLineChars="0"/>
              <w:jc w:val="center"/>
              <w:rPr>
                <w:sz w:val="18"/>
                <w:szCs w:val="18"/>
              </w:rPr>
            </w:pPr>
            <w:r>
              <w:rPr>
                <w:rFonts w:hint="eastAsia"/>
                <w:sz w:val="18"/>
                <w:szCs w:val="18"/>
              </w:rPr>
              <w:t>101</w:t>
            </w:r>
          </w:p>
        </w:tc>
        <w:tc>
          <w:tcPr>
            <w:tcW w:w="288" w:type="pct"/>
            <w:vAlign w:val="center"/>
          </w:tcPr>
          <w:p w14:paraId="2A2C3E0D">
            <w:pPr>
              <w:ind w:firstLine="0" w:firstLineChars="0"/>
              <w:jc w:val="center"/>
              <w:rPr>
                <w:sz w:val="18"/>
                <w:szCs w:val="18"/>
              </w:rPr>
            </w:pPr>
            <w:r>
              <w:rPr>
                <w:rFonts w:hint="eastAsia"/>
                <w:sz w:val="18"/>
                <w:szCs w:val="18"/>
              </w:rPr>
              <w:t>78</w:t>
            </w:r>
          </w:p>
        </w:tc>
        <w:tc>
          <w:tcPr>
            <w:tcW w:w="287" w:type="pct"/>
            <w:vAlign w:val="center"/>
          </w:tcPr>
          <w:p w14:paraId="7D02E3F5">
            <w:pPr>
              <w:ind w:firstLine="0" w:firstLineChars="0"/>
              <w:jc w:val="center"/>
              <w:rPr>
                <w:sz w:val="18"/>
                <w:szCs w:val="18"/>
              </w:rPr>
            </w:pPr>
            <w:r>
              <w:rPr>
                <w:rFonts w:hint="eastAsia"/>
                <w:sz w:val="18"/>
                <w:szCs w:val="18"/>
              </w:rPr>
              <w:t>1.34</w:t>
            </w:r>
          </w:p>
        </w:tc>
        <w:tc>
          <w:tcPr>
            <w:tcW w:w="226" w:type="pct"/>
            <w:vAlign w:val="center"/>
          </w:tcPr>
          <w:p w14:paraId="5CDF5D95">
            <w:pPr>
              <w:ind w:firstLine="0" w:firstLineChars="0"/>
              <w:jc w:val="center"/>
              <w:rPr>
                <w:sz w:val="18"/>
                <w:szCs w:val="18"/>
              </w:rPr>
            </w:pPr>
            <w:r>
              <w:rPr>
                <w:rFonts w:hint="eastAsia"/>
                <w:sz w:val="18"/>
                <w:szCs w:val="18"/>
              </w:rPr>
              <w:t>12</w:t>
            </w:r>
          </w:p>
        </w:tc>
      </w:tr>
      <w:tr w14:paraId="3EE9A5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76" w:type="pct"/>
            <w:vAlign w:val="center"/>
          </w:tcPr>
          <w:p w14:paraId="7160D467">
            <w:pPr>
              <w:ind w:firstLine="0" w:firstLineChars="0"/>
              <w:jc w:val="center"/>
              <w:rPr>
                <w:sz w:val="18"/>
                <w:szCs w:val="18"/>
              </w:rPr>
            </w:pPr>
            <w:r>
              <w:rPr>
                <w:rFonts w:hint="eastAsia"/>
                <w:sz w:val="18"/>
                <w:szCs w:val="18"/>
              </w:rPr>
              <w:t>南雄—珠海</w:t>
            </w:r>
          </w:p>
        </w:tc>
        <w:tc>
          <w:tcPr>
            <w:tcW w:w="288" w:type="pct"/>
            <w:vAlign w:val="center"/>
          </w:tcPr>
          <w:p w14:paraId="5E9F0906">
            <w:pPr>
              <w:ind w:firstLine="0" w:firstLineChars="0"/>
              <w:jc w:val="center"/>
              <w:rPr>
                <w:sz w:val="18"/>
                <w:szCs w:val="18"/>
              </w:rPr>
            </w:pPr>
            <w:r>
              <w:rPr>
                <w:rFonts w:hint="eastAsia"/>
                <w:sz w:val="18"/>
                <w:szCs w:val="18"/>
              </w:rPr>
              <w:t>普通</w:t>
            </w:r>
          </w:p>
        </w:tc>
        <w:tc>
          <w:tcPr>
            <w:tcW w:w="359" w:type="pct"/>
            <w:vAlign w:val="center"/>
          </w:tcPr>
          <w:p w14:paraId="5B423DD4">
            <w:pPr>
              <w:ind w:firstLine="0" w:firstLineChars="0"/>
              <w:jc w:val="center"/>
              <w:rPr>
                <w:sz w:val="18"/>
                <w:szCs w:val="18"/>
              </w:rPr>
            </w:pPr>
            <w:r>
              <w:rPr>
                <w:rFonts w:hint="eastAsia"/>
                <w:sz w:val="18"/>
                <w:szCs w:val="18"/>
              </w:rPr>
              <w:t>中级</w:t>
            </w:r>
          </w:p>
        </w:tc>
        <w:tc>
          <w:tcPr>
            <w:tcW w:w="288" w:type="pct"/>
            <w:vAlign w:val="center"/>
          </w:tcPr>
          <w:p w14:paraId="26B33841">
            <w:pPr>
              <w:ind w:firstLine="0" w:firstLineChars="0"/>
              <w:jc w:val="center"/>
              <w:rPr>
                <w:sz w:val="18"/>
                <w:szCs w:val="18"/>
              </w:rPr>
            </w:pPr>
            <w:r>
              <w:rPr>
                <w:rFonts w:hint="eastAsia"/>
                <w:sz w:val="18"/>
                <w:szCs w:val="18"/>
              </w:rPr>
              <w:t>大型</w:t>
            </w:r>
          </w:p>
        </w:tc>
        <w:tc>
          <w:tcPr>
            <w:tcW w:w="288" w:type="pct"/>
            <w:vAlign w:val="center"/>
          </w:tcPr>
          <w:p w14:paraId="49003D1A">
            <w:pPr>
              <w:ind w:firstLine="0" w:firstLineChars="0"/>
              <w:jc w:val="center"/>
              <w:rPr>
                <w:sz w:val="18"/>
                <w:szCs w:val="18"/>
              </w:rPr>
            </w:pPr>
            <w:r>
              <w:rPr>
                <w:rFonts w:hint="eastAsia"/>
                <w:sz w:val="18"/>
                <w:szCs w:val="18"/>
              </w:rPr>
              <w:t>38</w:t>
            </w:r>
          </w:p>
        </w:tc>
        <w:tc>
          <w:tcPr>
            <w:tcW w:w="288" w:type="pct"/>
            <w:vAlign w:val="center"/>
          </w:tcPr>
          <w:p w14:paraId="0DC7E73D">
            <w:pPr>
              <w:ind w:firstLine="0" w:firstLineChars="0"/>
              <w:jc w:val="center"/>
              <w:rPr>
                <w:sz w:val="18"/>
                <w:szCs w:val="18"/>
              </w:rPr>
            </w:pPr>
            <w:r>
              <w:rPr>
                <w:rFonts w:hint="eastAsia"/>
                <w:sz w:val="18"/>
                <w:szCs w:val="18"/>
              </w:rPr>
              <w:t>565</w:t>
            </w:r>
          </w:p>
        </w:tc>
        <w:tc>
          <w:tcPr>
            <w:tcW w:w="287" w:type="pct"/>
            <w:vAlign w:val="center"/>
          </w:tcPr>
          <w:p w14:paraId="268F68FD">
            <w:pPr>
              <w:ind w:firstLine="0" w:firstLineChars="0"/>
              <w:jc w:val="center"/>
              <w:rPr>
                <w:sz w:val="18"/>
                <w:szCs w:val="18"/>
              </w:rPr>
            </w:pPr>
            <w:r>
              <w:rPr>
                <w:rFonts w:hint="eastAsia"/>
                <w:sz w:val="18"/>
                <w:szCs w:val="18"/>
              </w:rPr>
              <w:t>265</w:t>
            </w:r>
          </w:p>
        </w:tc>
        <w:tc>
          <w:tcPr>
            <w:tcW w:w="288" w:type="pct"/>
            <w:vAlign w:val="center"/>
          </w:tcPr>
          <w:p w14:paraId="69CE9763">
            <w:pPr>
              <w:ind w:firstLine="0" w:firstLineChars="0"/>
              <w:jc w:val="center"/>
              <w:rPr>
                <w:sz w:val="18"/>
                <w:szCs w:val="18"/>
              </w:rPr>
            </w:pPr>
            <w:r>
              <w:rPr>
                <w:rFonts w:hint="eastAsia"/>
                <w:sz w:val="18"/>
                <w:szCs w:val="18"/>
              </w:rPr>
              <w:t>0.025</w:t>
            </w:r>
          </w:p>
        </w:tc>
        <w:tc>
          <w:tcPr>
            <w:tcW w:w="287" w:type="pct"/>
            <w:vAlign w:val="center"/>
          </w:tcPr>
          <w:p w14:paraId="632B0E96">
            <w:pPr>
              <w:ind w:firstLine="0" w:firstLineChars="0"/>
              <w:jc w:val="center"/>
              <w:rPr>
                <w:sz w:val="18"/>
                <w:szCs w:val="18"/>
              </w:rPr>
            </w:pPr>
            <w:r>
              <w:rPr>
                <w:rFonts w:hint="eastAsia"/>
                <w:sz w:val="18"/>
                <w:szCs w:val="18"/>
              </w:rPr>
              <w:t>0.055</w:t>
            </w:r>
          </w:p>
        </w:tc>
        <w:tc>
          <w:tcPr>
            <w:tcW w:w="288" w:type="pct"/>
            <w:vAlign w:val="center"/>
          </w:tcPr>
          <w:p w14:paraId="6CD9FCF4">
            <w:pPr>
              <w:ind w:firstLine="0" w:firstLineChars="0"/>
              <w:jc w:val="center"/>
              <w:rPr>
                <w:sz w:val="18"/>
                <w:szCs w:val="18"/>
              </w:rPr>
            </w:pPr>
            <w:r>
              <w:rPr>
                <w:rFonts w:hint="eastAsia"/>
                <w:sz w:val="18"/>
                <w:szCs w:val="18"/>
              </w:rPr>
              <w:t>0.17</w:t>
            </w:r>
          </w:p>
        </w:tc>
        <w:tc>
          <w:tcPr>
            <w:tcW w:w="287" w:type="pct"/>
            <w:vAlign w:val="center"/>
          </w:tcPr>
          <w:p w14:paraId="5D89ADF0">
            <w:pPr>
              <w:ind w:firstLine="0" w:firstLineChars="0"/>
              <w:jc w:val="center"/>
              <w:rPr>
                <w:sz w:val="18"/>
                <w:szCs w:val="18"/>
              </w:rPr>
            </w:pPr>
            <w:r>
              <w:rPr>
                <w:rFonts w:hint="eastAsia"/>
                <w:sz w:val="18"/>
                <w:szCs w:val="18"/>
              </w:rPr>
              <w:t>0.12</w:t>
            </w:r>
          </w:p>
        </w:tc>
        <w:tc>
          <w:tcPr>
            <w:tcW w:w="288" w:type="pct"/>
            <w:vAlign w:val="center"/>
          </w:tcPr>
          <w:p w14:paraId="33649DD9">
            <w:pPr>
              <w:ind w:firstLine="0" w:firstLineChars="0"/>
              <w:jc w:val="center"/>
              <w:rPr>
                <w:sz w:val="18"/>
                <w:szCs w:val="18"/>
              </w:rPr>
            </w:pPr>
            <w:r>
              <w:rPr>
                <w:rFonts w:hint="eastAsia"/>
                <w:sz w:val="18"/>
                <w:szCs w:val="18"/>
              </w:rPr>
              <w:t>0.221</w:t>
            </w:r>
          </w:p>
        </w:tc>
        <w:tc>
          <w:tcPr>
            <w:tcW w:w="287" w:type="pct"/>
            <w:vAlign w:val="center"/>
          </w:tcPr>
          <w:p w14:paraId="4698DDFD">
            <w:pPr>
              <w:ind w:firstLine="0" w:firstLineChars="0"/>
              <w:jc w:val="center"/>
              <w:rPr>
                <w:sz w:val="18"/>
                <w:szCs w:val="18"/>
              </w:rPr>
            </w:pPr>
            <w:r>
              <w:rPr>
                <w:rFonts w:hint="eastAsia"/>
                <w:sz w:val="18"/>
                <w:szCs w:val="18"/>
              </w:rPr>
              <w:t>128</w:t>
            </w:r>
          </w:p>
        </w:tc>
        <w:tc>
          <w:tcPr>
            <w:tcW w:w="288" w:type="pct"/>
            <w:vAlign w:val="center"/>
          </w:tcPr>
          <w:p w14:paraId="0F650E87">
            <w:pPr>
              <w:ind w:firstLine="0" w:firstLineChars="0"/>
              <w:jc w:val="center"/>
              <w:rPr>
                <w:sz w:val="18"/>
                <w:szCs w:val="18"/>
              </w:rPr>
            </w:pPr>
            <w:r>
              <w:rPr>
                <w:rFonts w:hint="eastAsia"/>
                <w:sz w:val="18"/>
                <w:szCs w:val="18"/>
              </w:rPr>
              <w:t>100</w:t>
            </w:r>
          </w:p>
        </w:tc>
        <w:tc>
          <w:tcPr>
            <w:tcW w:w="287" w:type="pct"/>
            <w:vAlign w:val="center"/>
          </w:tcPr>
          <w:p w14:paraId="7119EA03">
            <w:pPr>
              <w:ind w:firstLine="0" w:firstLineChars="0"/>
              <w:jc w:val="center"/>
              <w:rPr>
                <w:sz w:val="18"/>
                <w:szCs w:val="18"/>
              </w:rPr>
            </w:pPr>
            <w:r>
              <w:rPr>
                <w:rFonts w:hint="eastAsia"/>
                <w:sz w:val="18"/>
                <w:szCs w:val="18"/>
              </w:rPr>
              <w:t>157</w:t>
            </w:r>
          </w:p>
        </w:tc>
        <w:tc>
          <w:tcPr>
            <w:tcW w:w="226" w:type="pct"/>
            <w:vAlign w:val="center"/>
          </w:tcPr>
          <w:p w14:paraId="26C338BB">
            <w:pPr>
              <w:ind w:firstLine="0" w:firstLineChars="0"/>
              <w:jc w:val="center"/>
              <w:rPr>
                <w:sz w:val="18"/>
                <w:szCs w:val="18"/>
              </w:rPr>
            </w:pPr>
            <w:r>
              <w:rPr>
                <w:rFonts w:hint="eastAsia"/>
                <w:sz w:val="18"/>
                <w:szCs w:val="18"/>
              </w:rPr>
              <w:t>18</w:t>
            </w:r>
          </w:p>
        </w:tc>
      </w:tr>
      <w:tr w14:paraId="60A6A3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76" w:type="pct"/>
            <w:vAlign w:val="center"/>
          </w:tcPr>
          <w:p w14:paraId="0CB17C61">
            <w:pPr>
              <w:ind w:firstLine="0" w:firstLineChars="0"/>
              <w:jc w:val="center"/>
              <w:rPr>
                <w:sz w:val="18"/>
                <w:szCs w:val="18"/>
              </w:rPr>
            </w:pPr>
            <w:r>
              <w:rPr>
                <w:rFonts w:hint="eastAsia"/>
                <w:sz w:val="18"/>
                <w:szCs w:val="18"/>
              </w:rPr>
              <w:t>南雄—韶关</w:t>
            </w:r>
          </w:p>
        </w:tc>
        <w:tc>
          <w:tcPr>
            <w:tcW w:w="288" w:type="pct"/>
            <w:vAlign w:val="center"/>
          </w:tcPr>
          <w:p w14:paraId="4ECF827B">
            <w:pPr>
              <w:ind w:firstLine="0" w:firstLineChars="0"/>
              <w:jc w:val="center"/>
              <w:rPr>
                <w:sz w:val="18"/>
                <w:szCs w:val="18"/>
              </w:rPr>
            </w:pPr>
            <w:r>
              <w:rPr>
                <w:rFonts w:hint="eastAsia"/>
                <w:sz w:val="18"/>
                <w:szCs w:val="18"/>
              </w:rPr>
              <w:t>普通</w:t>
            </w:r>
          </w:p>
        </w:tc>
        <w:tc>
          <w:tcPr>
            <w:tcW w:w="359" w:type="pct"/>
            <w:vAlign w:val="center"/>
          </w:tcPr>
          <w:p w14:paraId="1A620698">
            <w:pPr>
              <w:ind w:firstLine="0" w:firstLineChars="0"/>
              <w:jc w:val="center"/>
              <w:rPr>
                <w:sz w:val="18"/>
                <w:szCs w:val="18"/>
              </w:rPr>
            </w:pPr>
            <w:r>
              <w:rPr>
                <w:rFonts w:hint="eastAsia"/>
                <w:sz w:val="18"/>
                <w:szCs w:val="18"/>
              </w:rPr>
              <w:t>中级</w:t>
            </w:r>
          </w:p>
        </w:tc>
        <w:tc>
          <w:tcPr>
            <w:tcW w:w="288" w:type="pct"/>
            <w:vAlign w:val="center"/>
          </w:tcPr>
          <w:p w14:paraId="1B88AA33">
            <w:pPr>
              <w:ind w:firstLine="0" w:firstLineChars="0"/>
              <w:jc w:val="center"/>
              <w:rPr>
                <w:sz w:val="18"/>
                <w:szCs w:val="18"/>
              </w:rPr>
            </w:pPr>
            <w:r>
              <w:rPr>
                <w:rFonts w:hint="eastAsia"/>
                <w:sz w:val="18"/>
                <w:szCs w:val="18"/>
              </w:rPr>
              <w:t>大型</w:t>
            </w:r>
          </w:p>
        </w:tc>
        <w:tc>
          <w:tcPr>
            <w:tcW w:w="288" w:type="pct"/>
            <w:vAlign w:val="center"/>
          </w:tcPr>
          <w:p w14:paraId="15B2CC7C">
            <w:pPr>
              <w:ind w:firstLine="0" w:firstLineChars="0"/>
              <w:jc w:val="center"/>
              <w:rPr>
                <w:sz w:val="18"/>
                <w:szCs w:val="18"/>
              </w:rPr>
            </w:pPr>
            <w:r>
              <w:rPr>
                <w:rFonts w:hint="eastAsia"/>
                <w:sz w:val="18"/>
                <w:szCs w:val="18"/>
              </w:rPr>
              <w:t>37</w:t>
            </w:r>
          </w:p>
        </w:tc>
        <w:tc>
          <w:tcPr>
            <w:tcW w:w="288" w:type="pct"/>
            <w:vAlign w:val="center"/>
          </w:tcPr>
          <w:p w14:paraId="76A96186">
            <w:pPr>
              <w:ind w:firstLine="0" w:firstLineChars="0"/>
              <w:jc w:val="center"/>
              <w:rPr>
                <w:sz w:val="18"/>
                <w:szCs w:val="18"/>
              </w:rPr>
            </w:pPr>
            <w:r>
              <w:rPr>
                <w:rFonts w:hint="eastAsia"/>
                <w:sz w:val="18"/>
                <w:szCs w:val="18"/>
              </w:rPr>
              <w:t>103</w:t>
            </w:r>
          </w:p>
        </w:tc>
        <w:tc>
          <w:tcPr>
            <w:tcW w:w="287" w:type="pct"/>
            <w:vAlign w:val="center"/>
          </w:tcPr>
          <w:p w14:paraId="34A9AB48">
            <w:pPr>
              <w:ind w:firstLine="0" w:firstLineChars="0"/>
              <w:jc w:val="center"/>
              <w:rPr>
                <w:sz w:val="18"/>
                <w:szCs w:val="18"/>
              </w:rPr>
            </w:pPr>
            <w:r>
              <w:rPr>
                <w:rFonts w:hint="eastAsia"/>
                <w:sz w:val="18"/>
                <w:szCs w:val="18"/>
              </w:rPr>
              <w:t>33</w:t>
            </w:r>
          </w:p>
        </w:tc>
        <w:tc>
          <w:tcPr>
            <w:tcW w:w="288" w:type="pct"/>
            <w:vAlign w:val="center"/>
          </w:tcPr>
          <w:p w14:paraId="1BDE8128">
            <w:pPr>
              <w:ind w:firstLine="0" w:firstLineChars="0"/>
              <w:jc w:val="center"/>
              <w:rPr>
                <w:sz w:val="18"/>
                <w:szCs w:val="18"/>
              </w:rPr>
            </w:pPr>
            <w:r>
              <w:rPr>
                <w:rFonts w:hint="eastAsia"/>
                <w:sz w:val="18"/>
                <w:szCs w:val="18"/>
              </w:rPr>
              <w:t>0.019</w:t>
            </w:r>
          </w:p>
        </w:tc>
        <w:tc>
          <w:tcPr>
            <w:tcW w:w="287" w:type="pct"/>
            <w:vAlign w:val="center"/>
          </w:tcPr>
          <w:p w14:paraId="262C2829">
            <w:pPr>
              <w:ind w:firstLine="0" w:firstLineChars="0"/>
              <w:jc w:val="center"/>
              <w:rPr>
                <w:sz w:val="18"/>
                <w:szCs w:val="18"/>
              </w:rPr>
            </w:pPr>
            <w:r>
              <w:rPr>
                <w:rFonts w:hint="eastAsia"/>
                <w:sz w:val="18"/>
                <w:szCs w:val="18"/>
              </w:rPr>
              <w:t>0.049</w:t>
            </w:r>
          </w:p>
        </w:tc>
        <w:tc>
          <w:tcPr>
            <w:tcW w:w="288" w:type="pct"/>
            <w:vAlign w:val="center"/>
          </w:tcPr>
          <w:p w14:paraId="7DF898A1">
            <w:pPr>
              <w:ind w:firstLine="0" w:firstLineChars="0"/>
              <w:jc w:val="center"/>
              <w:rPr>
                <w:sz w:val="18"/>
                <w:szCs w:val="18"/>
              </w:rPr>
            </w:pPr>
            <w:r>
              <w:rPr>
                <w:rFonts w:hint="eastAsia"/>
                <w:sz w:val="18"/>
                <w:szCs w:val="18"/>
              </w:rPr>
              <w:t>0.16</w:t>
            </w:r>
          </w:p>
        </w:tc>
        <w:tc>
          <w:tcPr>
            <w:tcW w:w="287" w:type="pct"/>
            <w:vAlign w:val="center"/>
          </w:tcPr>
          <w:p w14:paraId="7DA4E839">
            <w:pPr>
              <w:ind w:firstLine="0" w:firstLineChars="0"/>
              <w:jc w:val="center"/>
              <w:rPr>
                <w:sz w:val="18"/>
                <w:szCs w:val="18"/>
              </w:rPr>
            </w:pPr>
            <w:r>
              <w:rPr>
                <w:rFonts w:hint="eastAsia"/>
                <w:sz w:val="18"/>
                <w:szCs w:val="18"/>
              </w:rPr>
              <w:t>0.09</w:t>
            </w:r>
          </w:p>
        </w:tc>
        <w:tc>
          <w:tcPr>
            <w:tcW w:w="288" w:type="pct"/>
            <w:vAlign w:val="center"/>
          </w:tcPr>
          <w:p w14:paraId="0C1F32D3">
            <w:pPr>
              <w:ind w:firstLine="0" w:firstLineChars="0"/>
              <w:jc w:val="center"/>
              <w:rPr>
                <w:sz w:val="18"/>
                <w:szCs w:val="18"/>
              </w:rPr>
            </w:pPr>
            <w:r>
              <w:rPr>
                <w:rFonts w:hint="eastAsia"/>
                <w:sz w:val="18"/>
                <w:szCs w:val="18"/>
              </w:rPr>
              <w:t>0.169</w:t>
            </w:r>
          </w:p>
        </w:tc>
        <w:tc>
          <w:tcPr>
            <w:tcW w:w="287" w:type="pct"/>
            <w:vAlign w:val="center"/>
          </w:tcPr>
          <w:p w14:paraId="4B2DDF92">
            <w:pPr>
              <w:ind w:firstLine="0" w:firstLineChars="0"/>
              <w:jc w:val="center"/>
              <w:rPr>
                <w:sz w:val="18"/>
                <w:szCs w:val="18"/>
              </w:rPr>
            </w:pPr>
            <w:r>
              <w:rPr>
                <w:rFonts w:hint="eastAsia"/>
                <w:sz w:val="18"/>
                <w:szCs w:val="18"/>
              </w:rPr>
              <w:t>19</w:t>
            </w:r>
          </w:p>
        </w:tc>
        <w:tc>
          <w:tcPr>
            <w:tcW w:w="288" w:type="pct"/>
            <w:vAlign w:val="center"/>
          </w:tcPr>
          <w:p w14:paraId="7827C00E">
            <w:pPr>
              <w:ind w:firstLine="0" w:firstLineChars="0"/>
              <w:jc w:val="center"/>
              <w:rPr>
                <w:sz w:val="18"/>
                <w:szCs w:val="18"/>
              </w:rPr>
            </w:pPr>
            <w:r>
              <w:rPr>
                <w:rFonts w:hint="eastAsia"/>
                <w:sz w:val="18"/>
                <w:szCs w:val="18"/>
              </w:rPr>
              <w:t>15</w:t>
            </w:r>
          </w:p>
        </w:tc>
        <w:tc>
          <w:tcPr>
            <w:tcW w:w="287" w:type="pct"/>
            <w:vAlign w:val="center"/>
          </w:tcPr>
          <w:p w14:paraId="722B73D9">
            <w:pPr>
              <w:ind w:firstLine="0" w:firstLineChars="0"/>
              <w:jc w:val="center"/>
              <w:rPr>
                <w:sz w:val="18"/>
                <w:szCs w:val="18"/>
              </w:rPr>
            </w:pPr>
            <w:r>
              <w:rPr>
                <w:rFonts w:hint="eastAsia"/>
                <w:sz w:val="18"/>
                <w:szCs w:val="18"/>
              </w:rPr>
              <w:t>23</w:t>
            </w:r>
          </w:p>
        </w:tc>
        <w:tc>
          <w:tcPr>
            <w:tcW w:w="226" w:type="pct"/>
            <w:vAlign w:val="center"/>
          </w:tcPr>
          <w:p w14:paraId="1B559CFB">
            <w:pPr>
              <w:ind w:firstLine="0" w:firstLineChars="0"/>
              <w:jc w:val="center"/>
              <w:rPr>
                <w:sz w:val="18"/>
                <w:szCs w:val="18"/>
              </w:rPr>
            </w:pPr>
            <w:r>
              <w:rPr>
                <w:rFonts w:hint="eastAsia"/>
                <w:sz w:val="18"/>
                <w:szCs w:val="18"/>
              </w:rPr>
              <w:t>3</w:t>
            </w:r>
          </w:p>
        </w:tc>
      </w:tr>
      <w:tr w14:paraId="7342F0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76" w:type="pct"/>
            <w:vAlign w:val="center"/>
          </w:tcPr>
          <w:p w14:paraId="64109435">
            <w:pPr>
              <w:ind w:firstLine="0" w:firstLineChars="0"/>
              <w:jc w:val="center"/>
              <w:rPr>
                <w:sz w:val="18"/>
                <w:szCs w:val="18"/>
              </w:rPr>
            </w:pPr>
            <w:r>
              <w:rPr>
                <w:rFonts w:hint="eastAsia"/>
                <w:sz w:val="18"/>
                <w:szCs w:val="18"/>
              </w:rPr>
              <w:t>南雄—百顺</w:t>
            </w:r>
          </w:p>
        </w:tc>
        <w:tc>
          <w:tcPr>
            <w:tcW w:w="288" w:type="pct"/>
            <w:vAlign w:val="center"/>
          </w:tcPr>
          <w:p w14:paraId="33073A85">
            <w:pPr>
              <w:ind w:firstLine="0" w:firstLineChars="0"/>
              <w:jc w:val="center"/>
              <w:rPr>
                <w:sz w:val="18"/>
                <w:szCs w:val="18"/>
              </w:rPr>
            </w:pPr>
            <w:r>
              <w:rPr>
                <w:rFonts w:hint="eastAsia"/>
                <w:sz w:val="18"/>
                <w:szCs w:val="18"/>
              </w:rPr>
              <w:t>普通</w:t>
            </w:r>
          </w:p>
        </w:tc>
        <w:tc>
          <w:tcPr>
            <w:tcW w:w="359" w:type="pct"/>
            <w:vAlign w:val="center"/>
          </w:tcPr>
          <w:p w14:paraId="0BB1CBAD">
            <w:pPr>
              <w:ind w:firstLine="0" w:firstLineChars="0"/>
              <w:jc w:val="center"/>
              <w:rPr>
                <w:sz w:val="18"/>
                <w:szCs w:val="18"/>
              </w:rPr>
            </w:pPr>
            <w:r>
              <w:rPr>
                <w:rFonts w:hint="eastAsia"/>
                <w:sz w:val="18"/>
                <w:szCs w:val="18"/>
              </w:rPr>
              <w:t>中级</w:t>
            </w:r>
          </w:p>
        </w:tc>
        <w:tc>
          <w:tcPr>
            <w:tcW w:w="288" w:type="pct"/>
            <w:vAlign w:val="center"/>
          </w:tcPr>
          <w:p w14:paraId="5BC3326B">
            <w:pPr>
              <w:ind w:firstLine="0" w:firstLineChars="0"/>
              <w:jc w:val="center"/>
              <w:rPr>
                <w:sz w:val="18"/>
                <w:szCs w:val="18"/>
              </w:rPr>
            </w:pPr>
            <w:r>
              <w:rPr>
                <w:rFonts w:hint="eastAsia"/>
                <w:sz w:val="18"/>
                <w:szCs w:val="18"/>
              </w:rPr>
              <w:t>中型</w:t>
            </w:r>
          </w:p>
        </w:tc>
        <w:tc>
          <w:tcPr>
            <w:tcW w:w="288" w:type="pct"/>
            <w:vAlign w:val="center"/>
          </w:tcPr>
          <w:p w14:paraId="7C3DB234">
            <w:pPr>
              <w:ind w:firstLine="0" w:firstLineChars="0"/>
              <w:jc w:val="center"/>
              <w:rPr>
                <w:sz w:val="18"/>
                <w:szCs w:val="18"/>
              </w:rPr>
            </w:pPr>
            <w:r>
              <w:rPr>
                <w:rFonts w:hint="eastAsia"/>
                <w:sz w:val="18"/>
                <w:szCs w:val="18"/>
              </w:rPr>
              <w:t>21</w:t>
            </w:r>
          </w:p>
        </w:tc>
        <w:tc>
          <w:tcPr>
            <w:tcW w:w="288" w:type="pct"/>
            <w:vAlign w:val="center"/>
          </w:tcPr>
          <w:p w14:paraId="57A1E7A5">
            <w:pPr>
              <w:ind w:firstLine="0" w:firstLineChars="0"/>
              <w:jc w:val="center"/>
              <w:rPr>
                <w:sz w:val="18"/>
                <w:szCs w:val="18"/>
              </w:rPr>
            </w:pPr>
            <w:r>
              <w:rPr>
                <w:rFonts w:hint="eastAsia"/>
                <w:sz w:val="18"/>
                <w:szCs w:val="18"/>
              </w:rPr>
              <w:t>58</w:t>
            </w:r>
          </w:p>
        </w:tc>
        <w:tc>
          <w:tcPr>
            <w:tcW w:w="287" w:type="pct"/>
            <w:vAlign w:val="center"/>
          </w:tcPr>
          <w:p w14:paraId="489B00E7">
            <w:pPr>
              <w:ind w:firstLine="0" w:firstLineChars="0"/>
              <w:jc w:val="center"/>
              <w:rPr>
                <w:sz w:val="18"/>
                <w:szCs w:val="18"/>
              </w:rPr>
            </w:pPr>
            <w:r>
              <w:rPr>
                <w:rFonts w:hint="eastAsia"/>
                <w:sz w:val="18"/>
                <w:szCs w:val="18"/>
              </w:rPr>
              <w:t>0</w:t>
            </w:r>
          </w:p>
        </w:tc>
        <w:tc>
          <w:tcPr>
            <w:tcW w:w="288" w:type="pct"/>
            <w:vAlign w:val="center"/>
          </w:tcPr>
          <w:p w14:paraId="16C30A61">
            <w:pPr>
              <w:ind w:firstLine="0" w:firstLineChars="0"/>
              <w:jc w:val="center"/>
              <w:rPr>
                <w:sz w:val="18"/>
                <w:szCs w:val="18"/>
              </w:rPr>
            </w:pPr>
            <w:r>
              <w:rPr>
                <w:rFonts w:hint="eastAsia"/>
                <w:sz w:val="18"/>
                <w:szCs w:val="18"/>
              </w:rPr>
              <w:t>0</w:t>
            </w:r>
          </w:p>
        </w:tc>
        <w:tc>
          <w:tcPr>
            <w:tcW w:w="287" w:type="pct"/>
            <w:vAlign w:val="center"/>
          </w:tcPr>
          <w:p w14:paraId="7C8964AC">
            <w:pPr>
              <w:ind w:firstLine="0" w:firstLineChars="0"/>
              <w:jc w:val="center"/>
              <w:rPr>
                <w:sz w:val="18"/>
                <w:szCs w:val="18"/>
              </w:rPr>
            </w:pPr>
            <w:r>
              <w:rPr>
                <w:rFonts w:hint="eastAsia"/>
                <w:sz w:val="18"/>
                <w:szCs w:val="18"/>
              </w:rPr>
              <w:t>0.03</w:t>
            </w:r>
          </w:p>
        </w:tc>
        <w:tc>
          <w:tcPr>
            <w:tcW w:w="288" w:type="pct"/>
            <w:vAlign w:val="center"/>
          </w:tcPr>
          <w:p w14:paraId="6355EB3D">
            <w:pPr>
              <w:ind w:firstLine="0" w:firstLineChars="0"/>
              <w:jc w:val="center"/>
              <w:rPr>
                <w:sz w:val="18"/>
                <w:szCs w:val="18"/>
              </w:rPr>
            </w:pPr>
            <w:r>
              <w:rPr>
                <w:rFonts w:hint="eastAsia"/>
                <w:sz w:val="18"/>
                <w:szCs w:val="18"/>
              </w:rPr>
              <w:t>0.13</w:t>
            </w:r>
          </w:p>
        </w:tc>
        <w:tc>
          <w:tcPr>
            <w:tcW w:w="287" w:type="pct"/>
            <w:vAlign w:val="center"/>
          </w:tcPr>
          <w:p w14:paraId="71523FEC">
            <w:pPr>
              <w:ind w:firstLine="0" w:firstLineChars="0"/>
              <w:jc w:val="center"/>
              <w:rPr>
                <w:sz w:val="18"/>
                <w:szCs w:val="18"/>
              </w:rPr>
            </w:pPr>
            <w:r>
              <w:rPr>
                <w:rFonts w:hint="eastAsia"/>
                <w:sz w:val="18"/>
                <w:szCs w:val="18"/>
              </w:rPr>
              <w:t>0.09</w:t>
            </w:r>
          </w:p>
        </w:tc>
        <w:tc>
          <w:tcPr>
            <w:tcW w:w="288" w:type="pct"/>
            <w:vAlign w:val="center"/>
          </w:tcPr>
          <w:p w14:paraId="5C69C9B1">
            <w:pPr>
              <w:ind w:firstLine="0" w:firstLineChars="0"/>
              <w:jc w:val="center"/>
              <w:rPr>
                <w:sz w:val="18"/>
                <w:szCs w:val="18"/>
              </w:rPr>
            </w:pPr>
            <w:r>
              <w:rPr>
                <w:rFonts w:hint="eastAsia"/>
                <w:sz w:val="18"/>
                <w:szCs w:val="18"/>
              </w:rPr>
              <w:t>0.169</w:t>
            </w:r>
          </w:p>
        </w:tc>
        <w:tc>
          <w:tcPr>
            <w:tcW w:w="287" w:type="pct"/>
            <w:vAlign w:val="center"/>
          </w:tcPr>
          <w:p w14:paraId="58B8066E">
            <w:pPr>
              <w:ind w:firstLine="0" w:firstLineChars="0"/>
              <w:jc w:val="center"/>
              <w:rPr>
                <w:sz w:val="18"/>
                <w:szCs w:val="18"/>
              </w:rPr>
            </w:pPr>
            <w:r>
              <w:rPr>
                <w:rFonts w:hint="eastAsia"/>
                <w:sz w:val="18"/>
                <w:szCs w:val="18"/>
              </w:rPr>
              <w:t>10</w:t>
            </w:r>
          </w:p>
        </w:tc>
        <w:tc>
          <w:tcPr>
            <w:tcW w:w="288" w:type="pct"/>
            <w:vAlign w:val="center"/>
          </w:tcPr>
          <w:p w14:paraId="7B342B9E">
            <w:pPr>
              <w:ind w:firstLine="0" w:firstLineChars="0"/>
              <w:jc w:val="center"/>
              <w:rPr>
                <w:sz w:val="18"/>
                <w:szCs w:val="18"/>
              </w:rPr>
            </w:pPr>
            <w:r>
              <w:rPr>
                <w:rFonts w:hint="eastAsia"/>
                <w:sz w:val="18"/>
                <w:szCs w:val="18"/>
              </w:rPr>
              <w:t>8</w:t>
            </w:r>
          </w:p>
        </w:tc>
        <w:tc>
          <w:tcPr>
            <w:tcW w:w="287" w:type="pct"/>
            <w:vAlign w:val="center"/>
          </w:tcPr>
          <w:p w14:paraId="16490FEA">
            <w:pPr>
              <w:ind w:firstLine="0" w:firstLineChars="0"/>
              <w:jc w:val="center"/>
              <w:rPr>
                <w:sz w:val="18"/>
                <w:szCs w:val="18"/>
              </w:rPr>
            </w:pPr>
            <w:r>
              <w:rPr>
                <w:rFonts w:hint="eastAsia"/>
                <w:sz w:val="18"/>
                <w:szCs w:val="18"/>
              </w:rPr>
              <w:t>13</w:t>
            </w:r>
          </w:p>
        </w:tc>
        <w:tc>
          <w:tcPr>
            <w:tcW w:w="226" w:type="pct"/>
            <w:vAlign w:val="center"/>
          </w:tcPr>
          <w:p w14:paraId="240C0521">
            <w:pPr>
              <w:ind w:firstLine="0" w:firstLineChars="0"/>
              <w:jc w:val="center"/>
              <w:rPr>
                <w:sz w:val="18"/>
                <w:szCs w:val="18"/>
              </w:rPr>
            </w:pPr>
            <w:r>
              <w:rPr>
                <w:rFonts w:hint="eastAsia"/>
                <w:sz w:val="18"/>
                <w:szCs w:val="18"/>
              </w:rPr>
              <w:t>0</w:t>
            </w:r>
          </w:p>
        </w:tc>
      </w:tr>
      <w:tr w14:paraId="4B568A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76" w:type="pct"/>
            <w:vAlign w:val="center"/>
          </w:tcPr>
          <w:p w14:paraId="15BB5F28">
            <w:pPr>
              <w:ind w:firstLine="0" w:firstLineChars="0"/>
              <w:jc w:val="center"/>
              <w:rPr>
                <w:sz w:val="18"/>
                <w:szCs w:val="18"/>
              </w:rPr>
            </w:pPr>
            <w:r>
              <w:rPr>
                <w:rFonts w:hint="eastAsia"/>
                <w:sz w:val="18"/>
                <w:szCs w:val="18"/>
              </w:rPr>
              <w:t>南雄—大塘</w:t>
            </w:r>
          </w:p>
        </w:tc>
        <w:tc>
          <w:tcPr>
            <w:tcW w:w="288" w:type="pct"/>
            <w:vAlign w:val="center"/>
          </w:tcPr>
          <w:p w14:paraId="312D2C26">
            <w:pPr>
              <w:ind w:firstLine="0" w:firstLineChars="0"/>
              <w:jc w:val="center"/>
              <w:rPr>
                <w:sz w:val="18"/>
                <w:szCs w:val="18"/>
              </w:rPr>
            </w:pPr>
            <w:r>
              <w:rPr>
                <w:rFonts w:hint="eastAsia"/>
                <w:sz w:val="18"/>
                <w:szCs w:val="18"/>
              </w:rPr>
              <w:t>普通</w:t>
            </w:r>
          </w:p>
        </w:tc>
        <w:tc>
          <w:tcPr>
            <w:tcW w:w="359" w:type="pct"/>
            <w:vAlign w:val="center"/>
          </w:tcPr>
          <w:p w14:paraId="017091DA">
            <w:pPr>
              <w:ind w:firstLine="0" w:firstLineChars="0"/>
              <w:jc w:val="center"/>
              <w:rPr>
                <w:sz w:val="18"/>
                <w:szCs w:val="18"/>
              </w:rPr>
            </w:pPr>
            <w:r>
              <w:rPr>
                <w:rFonts w:hint="eastAsia"/>
                <w:sz w:val="18"/>
                <w:szCs w:val="18"/>
              </w:rPr>
              <w:t>中级</w:t>
            </w:r>
          </w:p>
        </w:tc>
        <w:tc>
          <w:tcPr>
            <w:tcW w:w="288" w:type="pct"/>
            <w:vAlign w:val="center"/>
          </w:tcPr>
          <w:p w14:paraId="78B9D611">
            <w:pPr>
              <w:ind w:firstLine="0" w:firstLineChars="0"/>
              <w:jc w:val="center"/>
              <w:rPr>
                <w:sz w:val="18"/>
                <w:szCs w:val="18"/>
              </w:rPr>
            </w:pPr>
            <w:r>
              <w:rPr>
                <w:rFonts w:hint="eastAsia"/>
                <w:sz w:val="18"/>
                <w:szCs w:val="18"/>
              </w:rPr>
              <w:t>中型</w:t>
            </w:r>
          </w:p>
        </w:tc>
        <w:tc>
          <w:tcPr>
            <w:tcW w:w="288" w:type="pct"/>
            <w:vAlign w:val="center"/>
          </w:tcPr>
          <w:p w14:paraId="2CEE3B97">
            <w:pPr>
              <w:ind w:firstLine="0" w:firstLineChars="0"/>
              <w:jc w:val="center"/>
              <w:rPr>
                <w:sz w:val="18"/>
                <w:szCs w:val="18"/>
              </w:rPr>
            </w:pPr>
            <w:r>
              <w:rPr>
                <w:rFonts w:hint="eastAsia"/>
                <w:sz w:val="18"/>
                <w:szCs w:val="18"/>
              </w:rPr>
              <w:t>21</w:t>
            </w:r>
          </w:p>
        </w:tc>
        <w:tc>
          <w:tcPr>
            <w:tcW w:w="288" w:type="pct"/>
            <w:vAlign w:val="center"/>
          </w:tcPr>
          <w:p w14:paraId="6A1D64F7">
            <w:pPr>
              <w:ind w:firstLine="0" w:firstLineChars="0"/>
              <w:jc w:val="center"/>
              <w:rPr>
                <w:sz w:val="18"/>
                <w:szCs w:val="18"/>
              </w:rPr>
            </w:pPr>
            <w:r>
              <w:rPr>
                <w:rFonts w:hint="eastAsia"/>
                <w:sz w:val="18"/>
                <w:szCs w:val="18"/>
              </w:rPr>
              <w:t>30</w:t>
            </w:r>
          </w:p>
        </w:tc>
        <w:tc>
          <w:tcPr>
            <w:tcW w:w="287" w:type="pct"/>
            <w:vAlign w:val="center"/>
          </w:tcPr>
          <w:p w14:paraId="5BA1238E">
            <w:pPr>
              <w:ind w:firstLine="0" w:firstLineChars="0"/>
              <w:jc w:val="center"/>
              <w:rPr>
                <w:sz w:val="18"/>
                <w:szCs w:val="18"/>
              </w:rPr>
            </w:pPr>
            <w:r>
              <w:rPr>
                <w:rFonts w:hint="eastAsia"/>
                <w:sz w:val="18"/>
                <w:szCs w:val="18"/>
              </w:rPr>
              <w:t>0</w:t>
            </w:r>
          </w:p>
        </w:tc>
        <w:tc>
          <w:tcPr>
            <w:tcW w:w="288" w:type="pct"/>
            <w:vAlign w:val="center"/>
          </w:tcPr>
          <w:p w14:paraId="3915B72F">
            <w:pPr>
              <w:ind w:firstLine="0" w:firstLineChars="0"/>
              <w:jc w:val="center"/>
              <w:rPr>
                <w:sz w:val="18"/>
                <w:szCs w:val="18"/>
              </w:rPr>
            </w:pPr>
            <w:r>
              <w:rPr>
                <w:rFonts w:hint="eastAsia"/>
                <w:sz w:val="18"/>
                <w:szCs w:val="18"/>
              </w:rPr>
              <w:t>0</w:t>
            </w:r>
          </w:p>
        </w:tc>
        <w:tc>
          <w:tcPr>
            <w:tcW w:w="287" w:type="pct"/>
            <w:vAlign w:val="center"/>
          </w:tcPr>
          <w:p w14:paraId="37504DB2">
            <w:pPr>
              <w:ind w:firstLine="0" w:firstLineChars="0"/>
              <w:jc w:val="center"/>
              <w:rPr>
                <w:sz w:val="18"/>
                <w:szCs w:val="18"/>
              </w:rPr>
            </w:pPr>
            <w:r>
              <w:rPr>
                <w:rFonts w:hint="eastAsia"/>
                <w:sz w:val="18"/>
                <w:szCs w:val="18"/>
              </w:rPr>
              <w:t>0.03</w:t>
            </w:r>
          </w:p>
        </w:tc>
        <w:tc>
          <w:tcPr>
            <w:tcW w:w="288" w:type="pct"/>
            <w:vAlign w:val="center"/>
          </w:tcPr>
          <w:p w14:paraId="1DBC2788">
            <w:pPr>
              <w:ind w:firstLine="0" w:firstLineChars="0"/>
              <w:jc w:val="center"/>
              <w:rPr>
                <w:sz w:val="18"/>
                <w:szCs w:val="18"/>
              </w:rPr>
            </w:pPr>
            <w:r>
              <w:rPr>
                <w:rFonts w:hint="eastAsia"/>
                <w:sz w:val="18"/>
                <w:szCs w:val="18"/>
              </w:rPr>
              <w:t>0.10</w:t>
            </w:r>
          </w:p>
        </w:tc>
        <w:tc>
          <w:tcPr>
            <w:tcW w:w="287" w:type="pct"/>
            <w:vAlign w:val="center"/>
          </w:tcPr>
          <w:p w14:paraId="0E56F1D1">
            <w:pPr>
              <w:ind w:firstLine="0" w:firstLineChars="0"/>
              <w:jc w:val="center"/>
              <w:rPr>
                <w:sz w:val="18"/>
                <w:szCs w:val="18"/>
              </w:rPr>
            </w:pPr>
            <w:r>
              <w:rPr>
                <w:rFonts w:hint="eastAsia"/>
                <w:sz w:val="18"/>
                <w:szCs w:val="18"/>
              </w:rPr>
              <w:t>0.07</w:t>
            </w:r>
          </w:p>
        </w:tc>
        <w:tc>
          <w:tcPr>
            <w:tcW w:w="288" w:type="pct"/>
            <w:vAlign w:val="center"/>
          </w:tcPr>
          <w:p w14:paraId="0F3DA627">
            <w:pPr>
              <w:ind w:firstLine="0" w:firstLineChars="0"/>
              <w:jc w:val="center"/>
              <w:rPr>
                <w:sz w:val="18"/>
                <w:szCs w:val="18"/>
              </w:rPr>
            </w:pPr>
            <w:r>
              <w:rPr>
                <w:rFonts w:hint="eastAsia"/>
                <w:sz w:val="18"/>
                <w:szCs w:val="18"/>
              </w:rPr>
              <w:t>0.13</w:t>
            </w:r>
          </w:p>
        </w:tc>
        <w:tc>
          <w:tcPr>
            <w:tcW w:w="287" w:type="pct"/>
            <w:vAlign w:val="center"/>
          </w:tcPr>
          <w:p w14:paraId="02BCD95E">
            <w:pPr>
              <w:ind w:firstLine="0" w:firstLineChars="0"/>
              <w:jc w:val="center"/>
              <w:rPr>
                <w:sz w:val="18"/>
                <w:szCs w:val="18"/>
              </w:rPr>
            </w:pPr>
            <w:r>
              <w:rPr>
                <w:rFonts w:hint="eastAsia"/>
                <w:sz w:val="18"/>
                <w:szCs w:val="18"/>
              </w:rPr>
              <w:t>5.00</w:t>
            </w:r>
          </w:p>
        </w:tc>
        <w:tc>
          <w:tcPr>
            <w:tcW w:w="288" w:type="pct"/>
            <w:vAlign w:val="center"/>
          </w:tcPr>
          <w:p w14:paraId="6418158E">
            <w:pPr>
              <w:ind w:firstLine="0" w:firstLineChars="0"/>
              <w:jc w:val="center"/>
              <w:rPr>
                <w:sz w:val="18"/>
                <w:szCs w:val="18"/>
              </w:rPr>
            </w:pPr>
            <w:r>
              <w:rPr>
                <w:rFonts w:hint="eastAsia"/>
                <w:sz w:val="18"/>
                <w:szCs w:val="18"/>
              </w:rPr>
              <w:t>4.00</w:t>
            </w:r>
          </w:p>
        </w:tc>
        <w:tc>
          <w:tcPr>
            <w:tcW w:w="287" w:type="pct"/>
            <w:vAlign w:val="center"/>
          </w:tcPr>
          <w:p w14:paraId="63726198">
            <w:pPr>
              <w:ind w:firstLine="0" w:firstLineChars="0"/>
              <w:jc w:val="center"/>
              <w:rPr>
                <w:sz w:val="18"/>
                <w:szCs w:val="18"/>
              </w:rPr>
            </w:pPr>
            <w:r>
              <w:rPr>
                <w:rFonts w:hint="eastAsia"/>
                <w:sz w:val="18"/>
                <w:szCs w:val="18"/>
              </w:rPr>
              <w:t>6.00</w:t>
            </w:r>
          </w:p>
        </w:tc>
        <w:tc>
          <w:tcPr>
            <w:tcW w:w="226" w:type="pct"/>
            <w:vAlign w:val="center"/>
          </w:tcPr>
          <w:p w14:paraId="3BC459D6">
            <w:pPr>
              <w:ind w:firstLine="0" w:firstLineChars="0"/>
              <w:jc w:val="center"/>
              <w:rPr>
                <w:sz w:val="18"/>
                <w:szCs w:val="18"/>
              </w:rPr>
            </w:pPr>
            <w:r>
              <w:rPr>
                <w:rFonts w:hint="eastAsia"/>
                <w:sz w:val="18"/>
                <w:szCs w:val="18"/>
              </w:rPr>
              <w:t>0</w:t>
            </w:r>
          </w:p>
        </w:tc>
      </w:tr>
      <w:tr w14:paraId="34FA9C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76" w:type="pct"/>
            <w:vAlign w:val="center"/>
          </w:tcPr>
          <w:p w14:paraId="23F72F68">
            <w:pPr>
              <w:ind w:firstLine="0" w:firstLineChars="0"/>
              <w:jc w:val="center"/>
              <w:rPr>
                <w:sz w:val="18"/>
                <w:szCs w:val="18"/>
              </w:rPr>
            </w:pPr>
            <w:r>
              <w:rPr>
                <w:rFonts w:hint="eastAsia"/>
                <w:sz w:val="18"/>
                <w:szCs w:val="18"/>
              </w:rPr>
              <w:t>南雄—乌迳</w:t>
            </w:r>
          </w:p>
        </w:tc>
        <w:tc>
          <w:tcPr>
            <w:tcW w:w="288" w:type="pct"/>
            <w:vAlign w:val="center"/>
          </w:tcPr>
          <w:p w14:paraId="30A2F735">
            <w:pPr>
              <w:ind w:firstLine="0" w:firstLineChars="0"/>
              <w:jc w:val="center"/>
              <w:rPr>
                <w:sz w:val="18"/>
                <w:szCs w:val="18"/>
              </w:rPr>
            </w:pPr>
            <w:r>
              <w:rPr>
                <w:rFonts w:hint="eastAsia"/>
                <w:sz w:val="18"/>
                <w:szCs w:val="18"/>
              </w:rPr>
              <w:t>普通</w:t>
            </w:r>
          </w:p>
        </w:tc>
        <w:tc>
          <w:tcPr>
            <w:tcW w:w="359" w:type="pct"/>
            <w:vAlign w:val="center"/>
          </w:tcPr>
          <w:p w14:paraId="0DBFF1B5">
            <w:pPr>
              <w:ind w:firstLine="0" w:firstLineChars="0"/>
              <w:jc w:val="center"/>
              <w:rPr>
                <w:sz w:val="18"/>
                <w:szCs w:val="18"/>
              </w:rPr>
            </w:pPr>
            <w:r>
              <w:rPr>
                <w:rFonts w:hint="eastAsia"/>
                <w:sz w:val="18"/>
                <w:szCs w:val="18"/>
              </w:rPr>
              <w:t>中级</w:t>
            </w:r>
          </w:p>
        </w:tc>
        <w:tc>
          <w:tcPr>
            <w:tcW w:w="288" w:type="pct"/>
            <w:vAlign w:val="center"/>
          </w:tcPr>
          <w:p w14:paraId="01FE7226">
            <w:pPr>
              <w:ind w:firstLine="0" w:firstLineChars="0"/>
              <w:jc w:val="center"/>
              <w:rPr>
                <w:sz w:val="18"/>
                <w:szCs w:val="18"/>
              </w:rPr>
            </w:pPr>
            <w:r>
              <w:rPr>
                <w:rFonts w:hint="eastAsia"/>
                <w:sz w:val="18"/>
                <w:szCs w:val="18"/>
              </w:rPr>
              <w:t>中型</w:t>
            </w:r>
          </w:p>
        </w:tc>
        <w:tc>
          <w:tcPr>
            <w:tcW w:w="288" w:type="pct"/>
            <w:vAlign w:val="center"/>
          </w:tcPr>
          <w:p w14:paraId="025A71A4">
            <w:pPr>
              <w:ind w:firstLine="0" w:firstLineChars="0"/>
              <w:jc w:val="center"/>
              <w:rPr>
                <w:sz w:val="18"/>
                <w:szCs w:val="18"/>
              </w:rPr>
            </w:pPr>
            <w:r>
              <w:rPr>
                <w:rFonts w:hint="eastAsia"/>
                <w:sz w:val="18"/>
                <w:szCs w:val="18"/>
              </w:rPr>
              <w:t>21</w:t>
            </w:r>
          </w:p>
        </w:tc>
        <w:tc>
          <w:tcPr>
            <w:tcW w:w="288" w:type="pct"/>
            <w:vAlign w:val="center"/>
          </w:tcPr>
          <w:p w14:paraId="109734E9">
            <w:pPr>
              <w:ind w:firstLine="0" w:firstLineChars="0"/>
              <w:jc w:val="center"/>
              <w:rPr>
                <w:sz w:val="18"/>
                <w:szCs w:val="18"/>
              </w:rPr>
            </w:pPr>
            <w:r>
              <w:rPr>
                <w:rFonts w:hint="eastAsia"/>
                <w:sz w:val="18"/>
                <w:szCs w:val="18"/>
              </w:rPr>
              <w:t>35</w:t>
            </w:r>
          </w:p>
        </w:tc>
        <w:tc>
          <w:tcPr>
            <w:tcW w:w="287" w:type="pct"/>
            <w:vAlign w:val="center"/>
          </w:tcPr>
          <w:p w14:paraId="1C0257A9">
            <w:pPr>
              <w:ind w:firstLine="0" w:firstLineChars="0"/>
              <w:jc w:val="center"/>
              <w:rPr>
                <w:sz w:val="18"/>
                <w:szCs w:val="18"/>
              </w:rPr>
            </w:pPr>
            <w:r>
              <w:rPr>
                <w:rFonts w:hint="eastAsia"/>
                <w:sz w:val="18"/>
                <w:szCs w:val="18"/>
              </w:rPr>
              <w:t>0</w:t>
            </w:r>
          </w:p>
        </w:tc>
        <w:tc>
          <w:tcPr>
            <w:tcW w:w="288" w:type="pct"/>
            <w:vAlign w:val="center"/>
          </w:tcPr>
          <w:p w14:paraId="6AA19A8A">
            <w:pPr>
              <w:ind w:firstLine="0" w:firstLineChars="0"/>
              <w:jc w:val="center"/>
              <w:rPr>
                <w:sz w:val="18"/>
                <w:szCs w:val="18"/>
              </w:rPr>
            </w:pPr>
            <w:r>
              <w:rPr>
                <w:rFonts w:hint="eastAsia"/>
                <w:sz w:val="18"/>
                <w:szCs w:val="18"/>
              </w:rPr>
              <w:t>0</w:t>
            </w:r>
          </w:p>
        </w:tc>
        <w:tc>
          <w:tcPr>
            <w:tcW w:w="287" w:type="pct"/>
            <w:vAlign w:val="center"/>
          </w:tcPr>
          <w:p w14:paraId="7A5DE8A9">
            <w:pPr>
              <w:ind w:firstLine="0" w:firstLineChars="0"/>
              <w:jc w:val="center"/>
              <w:rPr>
                <w:sz w:val="18"/>
                <w:szCs w:val="18"/>
              </w:rPr>
            </w:pPr>
            <w:r>
              <w:rPr>
                <w:rFonts w:hint="eastAsia"/>
                <w:sz w:val="18"/>
                <w:szCs w:val="18"/>
              </w:rPr>
              <w:t>0.03</w:t>
            </w:r>
          </w:p>
        </w:tc>
        <w:tc>
          <w:tcPr>
            <w:tcW w:w="288" w:type="pct"/>
            <w:vAlign w:val="center"/>
          </w:tcPr>
          <w:p w14:paraId="6F3FBFDB">
            <w:pPr>
              <w:ind w:firstLine="0" w:firstLineChars="0"/>
              <w:jc w:val="center"/>
              <w:rPr>
                <w:sz w:val="18"/>
                <w:szCs w:val="18"/>
              </w:rPr>
            </w:pPr>
            <w:r>
              <w:rPr>
                <w:rFonts w:hint="eastAsia"/>
                <w:sz w:val="18"/>
                <w:szCs w:val="18"/>
              </w:rPr>
              <w:t>0.10</w:t>
            </w:r>
          </w:p>
        </w:tc>
        <w:tc>
          <w:tcPr>
            <w:tcW w:w="287" w:type="pct"/>
            <w:vAlign w:val="center"/>
          </w:tcPr>
          <w:p w14:paraId="54291CB8">
            <w:pPr>
              <w:ind w:firstLine="0" w:firstLineChars="0"/>
              <w:jc w:val="center"/>
              <w:rPr>
                <w:sz w:val="18"/>
                <w:szCs w:val="18"/>
              </w:rPr>
            </w:pPr>
            <w:r>
              <w:rPr>
                <w:rFonts w:hint="eastAsia"/>
                <w:sz w:val="18"/>
                <w:szCs w:val="18"/>
              </w:rPr>
              <w:t>0.07</w:t>
            </w:r>
          </w:p>
        </w:tc>
        <w:tc>
          <w:tcPr>
            <w:tcW w:w="288" w:type="pct"/>
            <w:vAlign w:val="center"/>
          </w:tcPr>
          <w:p w14:paraId="61359F02">
            <w:pPr>
              <w:ind w:firstLine="0" w:firstLineChars="0"/>
              <w:jc w:val="center"/>
              <w:rPr>
                <w:sz w:val="18"/>
                <w:szCs w:val="18"/>
              </w:rPr>
            </w:pPr>
            <w:r>
              <w:rPr>
                <w:rFonts w:hint="eastAsia"/>
                <w:sz w:val="18"/>
                <w:szCs w:val="18"/>
              </w:rPr>
              <w:t>0.13</w:t>
            </w:r>
          </w:p>
        </w:tc>
        <w:tc>
          <w:tcPr>
            <w:tcW w:w="287" w:type="pct"/>
            <w:vAlign w:val="center"/>
          </w:tcPr>
          <w:p w14:paraId="3977C5A7">
            <w:pPr>
              <w:ind w:firstLine="0" w:firstLineChars="0"/>
              <w:jc w:val="center"/>
              <w:rPr>
                <w:sz w:val="18"/>
                <w:szCs w:val="18"/>
              </w:rPr>
            </w:pPr>
            <w:r>
              <w:rPr>
                <w:rFonts w:hint="eastAsia"/>
                <w:sz w:val="18"/>
                <w:szCs w:val="18"/>
              </w:rPr>
              <w:t>6</w:t>
            </w:r>
          </w:p>
        </w:tc>
        <w:tc>
          <w:tcPr>
            <w:tcW w:w="288" w:type="pct"/>
            <w:vAlign w:val="center"/>
          </w:tcPr>
          <w:p w14:paraId="51DE2C19">
            <w:pPr>
              <w:ind w:firstLine="0" w:firstLineChars="0"/>
              <w:jc w:val="center"/>
              <w:rPr>
                <w:sz w:val="18"/>
                <w:szCs w:val="18"/>
              </w:rPr>
            </w:pPr>
            <w:r>
              <w:rPr>
                <w:rFonts w:hint="eastAsia"/>
                <w:sz w:val="18"/>
                <w:szCs w:val="18"/>
              </w:rPr>
              <w:t>4.50</w:t>
            </w:r>
          </w:p>
        </w:tc>
        <w:tc>
          <w:tcPr>
            <w:tcW w:w="287" w:type="pct"/>
            <w:vAlign w:val="center"/>
          </w:tcPr>
          <w:p w14:paraId="4278FA27">
            <w:pPr>
              <w:ind w:firstLine="0" w:firstLineChars="0"/>
              <w:jc w:val="center"/>
              <w:rPr>
                <w:sz w:val="18"/>
                <w:szCs w:val="18"/>
              </w:rPr>
            </w:pPr>
            <w:r>
              <w:rPr>
                <w:rFonts w:hint="eastAsia"/>
                <w:sz w:val="18"/>
                <w:szCs w:val="18"/>
              </w:rPr>
              <w:t>7</w:t>
            </w:r>
          </w:p>
        </w:tc>
        <w:tc>
          <w:tcPr>
            <w:tcW w:w="226" w:type="pct"/>
            <w:vAlign w:val="center"/>
          </w:tcPr>
          <w:p w14:paraId="614CDAA7">
            <w:pPr>
              <w:ind w:firstLine="0" w:firstLineChars="0"/>
              <w:jc w:val="center"/>
              <w:rPr>
                <w:sz w:val="18"/>
                <w:szCs w:val="18"/>
              </w:rPr>
            </w:pPr>
            <w:r>
              <w:rPr>
                <w:rFonts w:hint="eastAsia"/>
                <w:sz w:val="18"/>
                <w:szCs w:val="18"/>
              </w:rPr>
              <w:t>0</w:t>
            </w:r>
          </w:p>
        </w:tc>
      </w:tr>
      <w:tr w14:paraId="4074CA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76" w:type="pct"/>
            <w:vAlign w:val="center"/>
          </w:tcPr>
          <w:p w14:paraId="69F8FB42">
            <w:pPr>
              <w:ind w:firstLine="0" w:firstLineChars="0"/>
              <w:jc w:val="center"/>
              <w:rPr>
                <w:sz w:val="18"/>
                <w:szCs w:val="18"/>
              </w:rPr>
            </w:pPr>
            <w:r>
              <w:rPr>
                <w:rFonts w:hint="eastAsia"/>
                <w:sz w:val="18"/>
                <w:szCs w:val="18"/>
              </w:rPr>
              <w:t>南雄—南亩</w:t>
            </w:r>
          </w:p>
        </w:tc>
        <w:tc>
          <w:tcPr>
            <w:tcW w:w="288" w:type="pct"/>
            <w:vAlign w:val="center"/>
          </w:tcPr>
          <w:p w14:paraId="7046DBBE">
            <w:pPr>
              <w:ind w:firstLine="0" w:firstLineChars="0"/>
              <w:jc w:val="center"/>
              <w:rPr>
                <w:sz w:val="18"/>
                <w:szCs w:val="18"/>
              </w:rPr>
            </w:pPr>
            <w:r>
              <w:rPr>
                <w:rFonts w:hint="eastAsia"/>
                <w:sz w:val="18"/>
                <w:szCs w:val="18"/>
              </w:rPr>
              <w:t>普通</w:t>
            </w:r>
          </w:p>
        </w:tc>
        <w:tc>
          <w:tcPr>
            <w:tcW w:w="359" w:type="pct"/>
            <w:vAlign w:val="center"/>
          </w:tcPr>
          <w:p w14:paraId="255FC8BE">
            <w:pPr>
              <w:ind w:firstLine="0" w:firstLineChars="0"/>
              <w:jc w:val="center"/>
              <w:rPr>
                <w:sz w:val="18"/>
                <w:szCs w:val="18"/>
              </w:rPr>
            </w:pPr>
            <w:r>
              <w:rPr>
                <w:rFonts w:hint="eastAsia"/>
                <w:sz w:val="18"/>
                <w:szCs w:val="18"/>
              </w:rPr>
              <w:t>普通</w:t>
            </w:r>
          </w:p>
        </w:tc>
        <w:tc>
          <w:tcPr>
            <w:tcW w:w="288" w:type="pct"/>
            <w:vAlign w:val="center"/>
          </w:tcPr>
          <w:p w14:paraId="3A13BD91">
            <w:pPr>
              <w:ind w:firstLine="0" w:firstLineChars="0"/>
              <w:jc w:val="center"/>
              <w:rPr>
                <w:sz w:val="18"/>
                <w:szCs w:val="18"/>
              </w:rPr>
            </w:pPr>
            <w:r>
              <w:rPr>
                <w:rFonts w:hint="eastAsia"/>
                <w:sz w:val="18"/>
                <w:szCs w:val="18"/>
              </w:rPr>
              <w:t>中型</w:t>
            </w:r>
          </w:p>
        </w:tc>
        <w:tc>
          <w:tcPr>
            <w:tcW w:w="288" w:type="pct"/>
            <w:vAlign w:val="center"/>
          </w:tcPr>
          <w:p w14:paraId="2B78B6C6">
            <w:pPr>
              <w:ind w:firstLine="0" w:firstLineChars="0"/>
              <w:jc w:val="center"/>
              <w:rPr>
                <w:sz w:val="18"/>
                <w:szCs w:val="18"/>
              </w:rPr>
            </w:pPr>
            <w:r>
              <w:rPr>
                <w:rFonts w:hint="eastAsia"/>
                <w:sz w:val="18"/>
                <w:szCs w:val="18"/>
              </w:rPr>
              <w:t>30</w:t>
            </w:r>
          </w:p>
        </w:tc>
        <w:tc>
          <w:tcPr>
            <w:tcW w:w="288" w:type="pct"/>
            <w:vAlign w:val="center"/>
          </w:tcPr>
          <w:p w14:paraId="2171FB1A">
            <w:pPr>
              <w:ind w:firstLine="0" w:firstLineChars="0"/>
              <w:jc w:val="center"/>
              <w:rPr>
                <w:sz w:val="18"/>
                <w:szCs w:val="18"/>
              </w:rPr>
            </w:pPr>
            <w:r>
              <w:rPr>
                <w:rFonts w:hint="eastAsia"/>
                <w:sz w:val="18"/>
                <w:szCs w:val="18"/>
              </w:rPr>
              <w:t>30</w:t>
            </w:r>
          </w:p>
        </w:tc>
        <w:tc>
          <w:tcPr>
            <w:tcW w:w="287" w:type="pct"/>
            <w:vAlign w:val="center"/>
          </w:tcPr>
          <w:p w14:paraId="00D26989">
            <w:pPr>
              <w:ind w:firstLine="0" w:firstLineChars="0"/>
              <w:jc w:val="center"/>
              <w:rPr>
                <w:sz w:val="18"/>
                <w:szCs w:val="18"/>
              </w:rPr>
            </w:pPr>
            <w:r>
              <w:rPr>
                <w:rFonts w:hint="eastAsia"/>
                <w:sz w:val="18"/>
                <w:szCs w:val="18"/>
              </w:rPr>
              <w:t>0</w:t>
            </w:r>
          </w:p>
        </w:tc>
        <w:tc>
          <w:tcPr>
            <w:tcW w:w="288" w:type="pct"/>
            <w:vAlign w:val="center"/>
          </w:tcPr>
          <w:p w14:paraId="21FC8F7A">
            <w:pPr>
              <w:ind w:firstLine="0" w:firstLineChars="0"/>
              <w:jc w:val="center"/>
              <w:rPr>
                <w:sz w:val="18"/>
                <w:szCs w:val="18"/>
              </w:rPr>
            </w:pPr>
            <w:r>
              <w:rPr>
                <w:rFonts w:hint="eastAsia"/>
                <w:sz w:val="18"/>
                <w:szCs w:val="18"/>
              </w:rPr>
              <w:t>0</w:t>
            </w:r>
          </w:p>
        </w:tc>
        <w:tc>
          <w:tcPr>
            <w:tcW w:w="287" w:type="pct"/>
            <w:vAlign w:val="center"/>
          </w:tcPr>
          <w:p w14:paraId="015B10B4">
            <w:pPr>
              <w:ind w:firstLine="0" w:firstLineChars="0"/>
              <w:jc w:val="center"/>
              <w:rPr>
                <w:sz w:val="18"/>
                <w:szCs w:val="18"/>
              </w:rPr>
            </w:pPr>
            <w:r>
              <w:rPr>
                <w:rFonts w:hint="eastAsia"/>
                <w:sz w:val="18"/>
                <w:szCs w:val="18"/>
              </w:rPr>
              <w:t>0.03</w:t>
            </w:r>
          </w:p>
        </w:tc>
        <w:tc>
          <w:tcPr>
            <w:tcW w:w="288" w:type="pct"/>
            <w:vAlign w:val="center"/>
          </w:tcPr>
          <w:p w14:paraId="54D56A73">
            <w:pPr>
              <w:ind w:firstLine="0" w:firstLineChars="0"/>
              <w:jc w:val="center"/>
              <w:rPr>
                <w:sz w:val="18"/>
                <w:szCs w:val="18"/>
              </w:rPr>
            </w:pPr>
            <w:r>
              <w:rPr>
                <w:rFonts w:hint="eastAsia"/>
                <w:sz w:val="18"/>
                <w:szCs w:val="18"/>
              </w:rPr>
              <w:t>0.10</w:t>
            </w:r>
          </w:p>
        </w:tc>
        <w:tc>
          <w:tcPr>
            <w:tcW w:w="287" w:type="pct"/>
            <w:vAlign w:val="center"/>
          </w:tcPr>
          <w:p w14:paraId="26147DB3">
            <w:pPr>
              <w:ind w:firstLine="0" w:firstLineChars="0"/>
              <w:jc w:val="center"/>
              <w:rPr>
                <w:sz w:val="18"/>
                <w:szCs w:val="18"/>
              </w:rPr>
            </w:pPr>
            <w:r>
              <w:rPr>
                <w:rFonts w:hint="eastAsia"/>
                <w:sz w:val="18"/>
                <w:szCs w:val="18"/>
              </w:rPr>
              <w:t>0.07</w:t>
            </w:r>
          </w:p>
        </w:tc>
        <w:tc>
          <w:tcPr>
            <w:tcW w:w="288" w:type="pct"/>
            <w:vAlign w:val="center"/>
          </w:tcPr>
          <w:p w14:paraId="069799AA">
            <w:pPr>
              <w:ind w:firstLine="0" w:firstLineChars="0"/>
              <w:jc w:val="center"/>
              <w:rPr>
                <w:sz w:val="18"/>
                <w:szCs w:val="18"/>
              </w:rPr>
            </w:pPr>
            <w:r>
              <w:rPr>
                <w:rFonts w:hint="eastAsia"/>
                <w:sz w:val="18"/>
                <w:szCs w:val="18"/>
              </w:rPr>
              <w:t>0.13</w:t>
            </w:r>
          </w:p>
        </w:tc>
        <w:tc>
          <w:tcPr>
            <w:tcW w:w="287" w:type="pct"/>
            <w:vAlign w:val="center"/>
          </w:tcPr>
          <w:p w14:paraId="7F21E5CD">
            <w:pPr>
              <w:ind w:firstLine="0" w:firstLineChars="0"/>
              <w:jc w:val="center"/>
              <w:rPr>
                <w:sz w:val="18"/>
                <w:szCs w:val="18"/>
              </w:rPr>
            </w:pPr>
            <w:r>
              <w:rPr>
                <w:rFonts w:hint="eastAsia"/>
                <w:sz w:val="18"/>
                <w:szCs w:val="18"/>
              </w:rPr>
              <w:t>5</w:t>
            </w:r>
          </w:p>
        </w:tc>
        <w:tc>
          <w:tcPr>
            <w:tcW w:w="288" w:type="pct"/>
            <w:vAlign w:val="center"/>
          </w:tcPr>
          <w:p w14:paraId="161EF54D">
            <w:pPr>
              <w:ind w:firstLine="0" w:firstLineChars="0"/>
              <w:jc w:val="center"/>
              <w:rPr>
                <w:sz w:val="18"/>
                <w:szCs w:val="18"/>
              </w:rPr>
            </w:pPr>
            <w:r>
              <w:rPr>
                <w:rFonts w:hint="eastAsia"/>
                <w:sz w:val="18"/>
                <w:szCs w:val="18"/>
              </w:rPr>
              <w:t>4</w:t>
            </w:r>
          </w:p>
        </w:tc>
        <w:tc>
          <w:tcPr>
            <w:tcW w:w="287" w:type="pct"/>
            <w:vAlign w:val="center"/>
          </w:tcPr>
          <w:p w14:paraId="6DF3FA66">
            <w:pPr>
              <w:ind w:firstLine="0" w:firstLineChars="0"/>
              <w:jc w:val="center"/>
              <w:rPr>
                <w:sz w:val="18"/>
                <w:szCs w:val="18"/>
              </w:rPr>
            </w:pPr>
            <w:r>
              <w:rPr>
                <w:rFonts w:hint="eastAsia"/>
                <w:sz w:val="18"/>
                <w:szCs w:val="18"/>
              </w:rPr>
              <w:t>6</w:t>
            </w:r>
          </w:p>
        </w:tc>
        <w:tc>
          <w:tcPr>
            <w:tcW w:w="226" w:type="pct"/>
            <w:vAlign w:val="center"/>
          </w:tcPr>
          <w:p w14:paraId="2D068057">
            <w:pPr>
              <w:ind w:firstLine="0" w:firstLineChars="0"/>
              <w:jc w:val="center"/>
              <w:rPr>
                <w:sz w:val="18"/>
                <w:szCs w:val="18"/>
              </w:rPr>
            </w:pPr>
            <w:r>
              <w:rPr>
                <w:rFonts w:hint="eastAsia"/>
                <w:sz w:val="18"/>
                <w:szCs w:val="18"/>
              </w:rPr>
              <w:t>0</w:t>
            </w:r>
          </w:p>
        </w:tc>
      </w:tr>
      <w:tr w14:paraId="719525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76" w:type="pct"/>
            <w:vAlign w:val="center"/>
          </w:tcPr>
          <w:p w14:paraId="068CCC1E">
            <w:pPr>
              <w:ind w:firstLine="0" w:firstLineChars="0"/>
              <w:jc w:val="center"/>
              <w:rPr>
                <w:sz w:val="18"/>
                <w:szCs w:val="18"/>
              </w:rPr>
            </w:pPr>
            <w:r>
              <w:rPr>
                <w:rFonts w:hint="eastAsia"/>
                <w:sz w:val="18"/>
                <w:szCs w:val="18"/>
              </w:rPr>
              <w:t>南雄—界址</w:t>
            </w:r>
          </w:p>
        </w:tc>
        <w:tc>
          <w:tcPr>
            <w:tcW w:w="288" w:type="pct"/>
            <w:vAlign w:val="center"/>
          </w:tcPr>
          <w:p w14:paraId="17764906">
            <w:pPr>
              <w:ind w:firstLine="0" w:firstLineChars="0"/>
              <w:jc w:val="center"/>
              <w:rPr>
                <w:sz w:val="18"/>
                <w:szCs w:val="18"/>
              </w:rPr>
            </w:pPr>
            <w:r>
              <w:rPr>
                <w:rFonts w:hint="eastAsia"/>
                <w:sz w:val="18"/>
                <w:szCs w:val="18"/>
              </w:rPr>
              <w:t>普通</w:t>
            </w:r>
          </w:p>
        </w:tc>
        <w:tc>
          <w:tcPr>
            <w:tcW w:w="359" w:type="pct"/>
            <w:vAlign w:val="center"/>
          </w:tcPr>
          <w:p w14:paraId="2A8A5625">
            <w:pPr>
              <w:ind w:firstLine="0" w:firstLineChars="0"/>
              <w:jc w:val="center"/>
              <w:rPr>
                <w:sz w:val="18"/>
                <w:szCs w:val="18"/>
              </w:rPr>
            </w:pPr>
            <w:r>
              <w:rPr>
                <w:rFonts w:hint="eastAsia"/>
                <w:sz w:val="18"/>
                <w:szCs w:val="18"/>
              </w:rPr>
              <w:t>普通</w:t>
            </w:r>
          </w:p>
        </w:tc>
        <w:tc>
          <w:tcPr>
            <w:tcW w:w="288" w:type="pct"/>
            <w:vAlign w:val="center"/>
          </w:tcPr>
          <w:p w14:paraId="3139CF7D">
            <w:pPr>
              <w:ind w:firstLine="0" w:firstLineChars="0"/>
              <w:jc w:val="center"/>
              <w:rPr>
                <w:sz w:val="18"/>
                <w:szCs w:val="18"/>
              </w:rPr>
            </w:pPr>
            <w:r>
              <w:rPr>
                <w:rFonts w:hint="eastAsia"/>
                <w:sz w:val="18"/>
                <w:szCs w:val="18"/>
              </w:rPr>
              <w:t>中型</w:t>
            </w:r>
          </w:p>
        </w:tc>
        <w:tc>
          <w:tcPr>
            <w:tcW w:w="288" w:type="pct"/>
            <w:vAlign w:val="center"/>
          </w:tcPr>
          <w:p w14:paraId="31E46B3A">
            <w:pPr>
              <w:ind w:firstLine="0" w:firstLineChars="0"/>
              <w:jc w:val="center"/>
              <w:rPr>
                <w:sz w:val="18"/>
                <w:szCs w:val="18"/>
              </w:rPr>
            </w:pPr>
            <w:r>
              <w:rPr>
                <w:rFonts w:hint="eastAsia"/>
                <w:sz w:val="18"/>
                <w:szCs w:val="18"/>
              </w:rPr>
              <w:t>21</w:t>
            </w:r>
          </w:p>
        </w:tc>
        <w:tc>
          <w:tcPr>
            <w:tcW w:w="288" w:type="pct"/>
            <w:vAlign w:val="center"/>
          </w:tcPr>
          <w:p w14:paraId="18116C32">
            <w:pPr>
              <w:ind w:firstLine="0" w:firstLineChars="0"/>
              <w:jc w:val="center"/>
              <w:rPr>
                <w:sz w:val="18"/>
                <w:szCs w:val="18"/>
              </w:rPr>
            </w:pPr>
            <w:r>
              <w:rPr>
                <w:rFonts w:hint="eastAsia"/>
                <w:sz w:val="18"/>
                <w:szCs w:val="18"/>
              </w:rPr>
              <w:t>56</w:t>
            </w:r>
          </w:p>
        </w:tc>
        <w:tc>
          <w:tcPr>
            <w:tcW w:w="287" w:type="pct"/>
            <w:vAlign w:val="center"/>
          </w:tcPr>
          <w:p w14:paraId="63623F1B">
            <w:pPr>
              <w:ind w:firstLine="0" w:firstLineChars="0"/>
              <w:jc w:val="center"/>
              <w:rPr>
                <w:sz w:val="18"/>
                <w:szCs w:val="18"/>
              </w:rPr>
            </w:pPr>
            <w:r>
              <w:rPr>
                <w:rFonts w:hint="eastAsia"/>
                <w:sz w:val="18"/>
                <w:szCs w:val="18"/>
              </w:rPr>
              <w:t>0</w:t>
            </w:r>
          </w:p>
        </w:tc>
        <w:tc>
          <w:tcPr>
            <w:tcW w:w="288" w:type="pct"/>
            <w:vAlign w:val="center"/>
          </w:tcPr>
          <w:p w14:paraId="064CC0B4">
            <w:pPr>
              <w:ind w:firstLine="0" w:firstLineChars="0"/>
              <w:jc w:val="center"/>
              <w:rPr>
                <w:sz w:val="18"/>
                <w:szCs w:val="18"/>
              </w:rPr>
            </w:pPr>
            <w:r>
              <w:rPr>
                <w:rFonts w:hint="eastAsia"/>
                <w:sz w:val="18"/>
                <w:szCs w:val="18"/>
              </w:rPr>
              <w:t>0</w:t>
            </w:r>
          </w:p>
        </w:tc>
        <w:tc>
          <w:tcPr>
            <w:tcW w:w="287" w:type="pct"/>
            <w:vAlign w:val="center"/>
          </w:tcPr>
          <w:p w14:paraId="465BB1D9">
            <w:pPr>
              <w:ind w:firstLine="0" w:firstLineChars="0"/>
              <w:jc w:val="center"/>
              <w:rPr>
                <w:sz w:val="18"/>
                <w:szCs w:val="18"/>
              </w:rPr>
            </w:pPr>
            <w:r>
              <w:rPr>
                <w:rFonts w:hint="eastAsia"/>
                <w:sz w:val="18"/>
                <w:szCs w:val="18"/>
              </w:rPr>
              <w:t>0.03</w:t>
            </w:r>
          </w:p>
        </w:tc>
        <w:tc>
          <w:tcPr>
            <w:tcW w:w="288" w:type="pct"/>
            <w:vAlign w:val="center"/>
          </w:tcPr>
          <w:p w14:paraId="13B9EA56">
            <w:pPr>
              <w:ind w:firstLine="0" w:firstLineChars="0"/>
              <w:jc w:val="center"/>
              <w:rPr>
                <w:sz w:val="18"/>
                <w:szCs w:val="18"/>
              </w:rPr>
            </w:pPr>
            <w:r>
              <w:rPr>
                <w:rFonts w:hint="eastAsia"/>
                <w:sz w:val="18"/>
                <w:szCs w:val="18"/>
              </w:rPr>
              <w:t>0.10</w:t>
            </w:r>
          </w:p>
        </w:tc>
        <w:tc>
          <w:tcPr>
            <w:tcW w:w="287" w:type="pct"/>
            <w:vAlign w:val="center"/>
          </w:tcPr>
          <w:p w14:paraId="75290A2D">
            <w:pPr>
              <w:ind w:firstLine="0" w:firstLineChars="0"/>
              <w:jc w:val="center"/>
              <w:rPr>
                <w:sz w:val="18"/>
                <w:szCs w:val="18"/>
              </w:rPr>
            </w:pPr>
            <w:r>
              <w:rPr>
                <w:rFonts w:hint="eastAsia"/>
                <w:sz w:val="18"/>
                <w:szCs w:val="18"/>
              </w:rPr>
              <w:t>0.07</w:t>
            </w:r>
          </w:p>
        </w:tc>
        <w:tc>
          <w:tcPr>
            <w:tcW w:w="288" w:type="pct"/>
            <w:vAlign w:val="center"/>
          </w:tcPr>
          <w:p w14:paraId="25FC46EE">
            <w:pPr>
              <w:ind w:firstLine="0" w:firstLineChars="0"/>
              <w:jc w:val="center"/>
              <w:rPr>
                <w:sz w:val="18"/>
                <w:szCs w:val="18"/>
              </w:rPr>
            </w:pPr>
            <w:r>
              <w:rPr>
                <w:rFonts w:hint="eastAsia"/>
                <w:sz w:val="18"/>
                <w:szCs w:val="18"/>
              </w:rPr>
              <w:t>0.13</w:t>
            </w:r>
          </w:p>
        </w:tc>
        <w:tc>
          <w:tcPr>
            <w:tcW w:w="287" w:type="pct"/>
            <w:vAlign w:val="center"/>
          </w:tcPr>
          <w:p w14:paraId="218AE2D1">
            <w:pPr>
              <w:ind w:firstLine="0" w:firstLineChars="0"/>
              <w:jc w:val="center"/>
              <w:rPr>
                <w:sz w:val="18"/>
                <w:szCs w:val="18"/>
              </w:rPr>
            </w:pPr>
            <w:r>
              <w:rPr>
                <w:rFonts w:hint="eastAsia"/>
                <w:sz w:val="18"/>
                <w:szCs w:val="18"/>
              </w:rPr>
              <w:t>8.50</w:t>
            </w:r>
          </w:p>
        </w:tc>
        <w:tc>
          <w:tcPr>
            <w:tcW w:w="288" w:type="pct"/>
            <w:vAlign w:val="center"/>
          </w:tcPr>
          <w:p w14:paraId="7908AA9D">
            <w:pPr>
              <w:ind w:firstLine="0" w:firstLineChars="0"/>
              <w:jc w:val="center"/>
              <w:rPr>
                <w:sz w:val="18"/>
                <w:szCs w:val="18"/>
              </w:rPr>
            </w:pPr>
            <w:r>
              <w:rPr>
                <w:rFonts w:hint="eastAsia"/>
                <w:sz w:val="18"/>
                <w:szCs w:val="18"/>
              </w:rPr>
              <w:t>7.00</w:t>
            </w:r>
          </w:p>
        </w:tc>
        <w:tc>
          <w:tcPr>
            <w:tcW w:w="287" w:type="pct"/>
            <w:vAlign w:val="center"/>
          </w:tcPr>
          <w:p w14:paraId="3A04D888">
            <w:pPr>
              <w:ind w:firstLine="0" w:firstLineChars="0"/>
              <w:jc w:val="center"/>
              <w:rPr>
                <w:sz w:val="18"/>
                <w:szCs w:val="18"/>
              </w:rPr>
            </w:pPr>
            <w:r>
              <w:rPr>
                <w:rFonts w:hint="eastAsia"/>
                <w:sz w:val="18"/>
                <w:szCs w:val="18"/>
              </w:rPr>
              <w:t>10</w:t>
            </w:r>
          </w:p>
        </w:tc>
        <w:tc>
          <w:tcPr>
            <w:tcW w:w="226" w:type="pct"/>
            <w:vAlign w:val="center"/>
          </w:tcPr>
          <w:p w14:paraId="02DC6596">
            <w:pPr>
              <w:ind w:firstLine="0" w:firstLineChars="0"/>
              <w:jc w:val="center"/>
              <w:rPr>
                <w:sz w:val="18"/>
                <w:szCs w:val="18"/>
              </w:rPr>
            </w:pPr>
            <w:r>
              <w:rPr>
                <w:rFonts w:hint="eastAsia"/>
                <w:sz w:val="18"/>
                <w:szCs w:val="18"/>
              </w:rPr>
              <w:t>0</w:t>
            </w:r>
          </w:p>
        </w:tc>
      </w:tr>
      <w:tr w14:paraId="48FCFA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76" w:type="pct"/>
            <w:vAlign w:val="center"/>
          </w:tcPr>
          <w:p w14:paraId="59796A56">
            <w:pPr>
              <w:ind w:firstLine="0" w:firstLineChars="0"/>
              <w:jc w:val="center"/>
              <w:rPr>
                <w:sz w:val="18"/>
                <w:szCs w:val="18"/>
              </w:rPr>
            </w:pPr>
            <w:r>
              <w:rPr>
                <w:rFonts w:hint="eastAsia"/>
                <w:sz w:val="18"/>
                <w:szCs w:val="18"/>
              </w:rPr>
              <w:t>南雄—苍石</w:t>
            </w:r>
          </w:p>
        </w:tc>
        <w:tc>
          <w:tcPr>
            <w:tcW w:w="288" w:type="pct"/>
            <w:vAlign w:val="center"/>
          </w:tcPr>
          <w:p w14:paraId="57736B7C">
            <w:pPr>
              <w:ind w:firstLine="0" w:firstLineChars="0"/>
              <w:jc w:val="center"/>
              <w:rPr>
                <w:sz w:val="18"/>
                <w:szCs w:val="18"/>
              </w:rPr>
            </w:pPr>
            <w:r>
              <w:rPr>
                <w:rFonts w:hint="eastAsia"/>
                <w:sz w:val="18"/>
                <w:szCs w:val="18"/>
              </w:rPr>
              <w:t>普通</w:t>
            </w:r>
          </w:p>
        </w:tc>
        <w:tc>
          <w:tcPr>
            <w:tcW w:w="359" w:type="pct"/>
            <w:vAlign w:val="center"/>
          </w:tcPr>
          <w:p w14:paraId="145F3660">
            <w:pPr>
              <w:ind w:firstLine="0" w:firstLineChars="0"/>
              <w:jc w:val="center"/>
              <w:rPr>
                <w:sz w:val="18"/>
                <w:szCs w:val="18"/>
              </w:rPr>
            </w:pPr>
            <w:r>
              <w:rPr>
                <w:rFonts w:hint="eastAsia"/>
                <w:sz w:val="18"/>
                <w:szCs w:val="18"/>
              </w:rPr>
              <w:t>普通</w:t>
            </w:r>
          </w:p>
        </w:tc>
        <w:tc>
          <w:tcPr>
            <w:tcW w:w="288" w:type="pct"/>
            <w:vAlign w:val="center"/>
          </w:tcPr>
          <w:p w14:paraId="298014E0">
            <w:pPr>
              <w:ind w:firstLine="0" w:firstLineChars="0"/>
              <w:jc w:val="center"/>
              <w:rPr>
                <w:sz w:val="18"/>
                <w:szCs w:val="18"/>
              </w:rPr>
            </w:pPr>
            <w:r>
              <w:rPr>
                <w:rFonts w:hint="eastAsia"/>
                <w:sz w:val="18"/>
                <w:szCs w:val="18"/>
              </w:rPr>
              <w:t>中型</w:t>
            </w:r>
          </w:p>
        </w:tc>
        <w:tc>
          <w:tcPr>
            <w:tcW w:w="288" w:type="pct"/>
            <w:vAlign w:val="center"/>
          </w:tcPr>
          <w:p w14:paraId="007ED3AD">
            <w:pPr>
              <w:ind w:firstLine="0" w:firstLineChars="0"/>
              <w:jc w:val="center"/>
              <w:rPr>
                <w:sz w:val="18"/>
                <w:szCs w:val="18"/>
              </w:rPr>
            </w:pPr>
            <w:r>
              <w:rPr>
                <w:rFonts w:hint="eastAsia"/>
                <w:sz w:val="18"/>
                <w:szCs w:val="18"/>
              </w:rPr>
              <w:t>30</w:t>
            </w:r>
          </w:p>
        </w:tc>
        <w:tc>
          <w:tcPr>
            <w:tcW w:w="288" w:type="pct"/>
            <w:vAlign w:val="center"/>
          </w:tcPr>
          <w:p w14:paraId="774FFBCF">
            <w:pPr>
              <w:ind w:firstLine="0" w:firstLineChars="0"/>
              <w:jc w:val="center"/>
              <w:rPr>
                <w:sz w:val="18"/>
                <w:szCs w:val="18"/>
              </w:rPr>
            </w:pPr>
            <w:r>
              <w:rPr>
                <w:rFonts w:hint="eastAsia"/>
                <w:sz w:val="18"/>
                <w:szCs w:val="18"/>
              </w:rPr>
              <w:t>15</w:t>
            </w:r>
          </w:p>
        </w:tc>
        <w:tc>
          <w:tcPr>
            <w:tcW w:w="287" w:type="pct"/>
            <w:vAlign w:val="center"/>
          </w:tcPr>
          <w:p w14:paraId="0D65BC35">
            <w:pPr>
              <w:ind w:firstLine="0" w:firstLineChars="0"/>
              <w:jc w:val="center"/>
              <w:rPr>
                <w:sz w:val="18"/>
                <w:szCs w:val="18"/>
              </w:rPr>
            </w:pPr>
            <w:r>
              <w:rPr>
                <w:rFonts w:hint="eastAsia"/>
                <w:sz w:val="18"/>
                <w:szCs w:val="18"/>
              </w:rPr>
              <w:t>0</w:t>
            </w:r>
          </w:p>
        </w:tc>
        <w:tc>
          <w:tcPr>
            <w:tcW w:w="288" w:type="pct"/>
            <w:vAlign w:val="center"/>
          </w:tcPr>
          <w:p w14:paraId="0E9461DF">
            <w:pPr>
              <w:ind w:firstLine="0" w:firstLineChars="0"/>
              <w:jc w:val="center"/>
              <w:rPr>
                <w:sz w:val="18"/>
                <w:szCs w:val="18"/>
              </w:rPr>
            </w:pPr>
            <w:r>
              <w:rPr>
                <w:rFonts w:hint="eastAsia"/>
                <w:sz w:val="18"/>
                <w:szCs w:val="18"/>
              </w:rPr>
              <w:t>0</w:t>
            </w:r>
          </w:p>
        </w:tc>
        <w:tc>
          <w:tcPr>
            <w:tcW w:w="287" w:type="pct"/>
            <w:vAlign w:val="center"/>
          </w:tcPr>
          <w:p w14:paraId="086713BE">
            <w:pPr>
              <w:ind w:firstLine="0" w:firstLineChars="0"/>
              <w:jc w:val="center"/>
              <w:rPr>
                <w:sz w:val="18"/>
                <w:szCs w:val="18"/>
              </w:rPr>
            </w:pPr>
            <w:r>
              <w:rPr>
                <w:rFonts w:hint="eastAsia"/>
                <w:sz w:val="18"/>
                <w:szCs w:val="18"/>
              </w:rPr>
              <w:t>0.03</w:t>
            </w:r>
          </w:p>
        </w:tc>
        <w:tc>
          <w:tcPr>
            <w:tcW w:w="288" w:type="pct"/>
            <w:vAlign w:val="center"/>
          </w:tcPr>
          <w:p w14:paraId="7278D187">
            <w:pPr>
              <w:ind w:firstLine="0" w:firstLineChars="0"/>
              <w:jc w:val="center"/>
              <w:rPr>
                <w:sz w:val="18"/>
                <w:szCs w:val="18"/>
              </w:rPr>
            </w:pPr>
            <w:r>
              <w:rPr>
                <w:rFonts w:hint="eastAsia"/>
                <w:sz w:val="18"/>
                <w:szCs w:val="18"/>
              </w:rPr>
              <w:t>0.10</w:t>
            </w:r>
          </w:p>
        </w:tc>
        <w:tc>
          <w:tcPr>
            <w:tcW w:w="287" w:type="pct"/>
            <w:vAlign w:val="center"/>
          </w:tcPr>
          <w:p w14:paraId="40E5A211">
            <w:pPr>
              <w:ind w:firstLine="0" w:firstLineChars="0"/>
              <w:jc w:val="center"/>
              <w:rPr>
                <w:sz w:val="18"/>
                <w:szCs w:val="18"/>
              </w:rPr>
            </w:pPr>
            <w:r>
              <w:rPr>
                <w:rFonts w:hint="eastAsia"/>
                <w:sz w:val="18"/>
                <w:szCs w:val="18"/>
              </w:rPr>
              <w:t>0.07</w:t>
            </w:r>
          </w:p>
        </w:tc>
        <w:tc>
          <w:tcPr>
            <w:tcW w:w="288" w:type="pct"/>
            <w:vAlign w:val="center"/>
          </w:tcPr>
          <w:p w14:paraId="3060C21B">
            <w:pPr>
              <w:ind w:firstLine="0" w:firstLineChars="0"/>
              <w:jc w:val="center"/>
              <w:rPr>
                <w:sz w:val="18"/>
                <w:szCs w:val="18"/>
              </w:rPr>
            </w:pPr>
            <w:r>
              <w:rPr>
                <w:rFonts w:hint="eastAsia"/>
                <w:sz w:val="18"/>
                <w:szCs w:val="18"/>
              </w:rPr>
              <w:t>0.13</w:t>
            </w:r>
          </w:p>
        </w:tc>
        <w:tc>
          <w:tcPr>
            <w:tcW w:w="287" w:type="pct"/>
            <w:vAlign w:val="center"/>
          </w:tcPr>
          <w:p w14:paraId="511BC924">
            <w:pPr>
              <w:ind w:firstLine="0" w:firstLineChars="0"/>
              <w:jc w:val="center"/>
              <w:rPr>
                <w:sz w:val="18"/>
                <w:szCs w:val="18"/>
              </w:rPr>
            </w:pPr>
            <w:r>
              <w:rPr>
                <w:rFonts w:hint="eastAsia"/>
                <w:sz w:val="18"/>
                <w:szCs w:val="18"/>
              </w:rPr>
              <w:t>3.00</w:t>
            </w:r>
          </w:p>
        </w:tc>
        <w:tc>
          <w:tcPr>
            <w:tcW w:w="288" w:type="pct"/>
            <w:vAlign w:val="center"/>
          </w:tcPr>
          <w:p w14:paraId="12218A73">
            <w:pPr>
              <w:ind w:firstLine="0" w:firstLineChars="0"/>
              <w:jc w:val="center"/>
              <w:rPr>
                <w:sz w:val="18"/>
                <w:szCs w:val="18"/>
              </w:rPr>
            </w:pPr>
            <w:r>
              <w:rPr>
                <w:rFonts w:hint="eastAsia"/>
                <w:sz w:val="18"/>
                <w:szCs w:val="18"/>
              </w:rPr>
              <w:t>2.5</w:t>
            </w:r>
          </w:p>
        </w:tc>
        <w:tc>
          <w:tcPr>
            <w:tcW w:w="287" w:type="pct"/>
            <w:vAlign w:val="center"/>
          </w:tcPr>
          <w:p w14:paraId="52EF5142">
            <w:pPr>
              <w:ind w:firstLine="0" w:firstLineChars="0"/>
              <w:jc w:val="center"/>
              <w:rPr>
                <w:sz w:val="18"/>
                <w:szCs w:val="18"/>
              </w:rPr>
            </w:pPr>
            <w:r>
              <w:rPr>
                <w:rFonts w:hint="eastAsia"/>
                <w:sz w:val="18"/>
                <w:szCs w:val="18"/>
              </w:rPr>
              <w:t>3.5</w:t>
            </w:r>
          </w:p>
        </w:tc>
        <w:tc>
          <w:tcPr>
            <w:tcW w:w="226" w:type="pct"/>
            <w:vAlign w:val="center"/>
          </w:tcPr>
          <w:p w14:paraId="05B51906">
            <w:pPr>
              <w:ind w:firstLine="0" w:firstLineChars="0"/>
              <w:jc w:val="center"/>
              <w:rPr>
                <w:sz w:val="18"/>
                <w:szCs w:val="18"/>
              </w:rPr>
            </w:pPr>
            <w:r>
              <w:rPr>
                <w:rFonts w:hint="eastAsia"/>
                <w:sz w:val="18"/>
                <w:szCs w:val="18"/>
              </w:rPr>
              <w:t>0</w:t>
            </w:r>
          </w:p>
        </w:tc>
      </w:tr>
      <w:tr w14:paraId="7DDA50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676" w:type="pct"/>
            <w:vAlign w:val="center"/>
          </w:tcPr>
          <w:p w14:paraId="5AAD8FC5">
            <w:pPr>
              <w:ind w:firstLine="0" w:firstLineChars="0"/>
              <w:jc w:val="center"/>
              <w:rPr>
                <w:sz w:val="18"/>
                <w:szCs w:val="18"/>
              </w:rPr>
            </w:pPr>
            <w:r>
              <w:rPr>
                <w:rFonts w:hint="eastAsia"/>
                <w:sz w:val="18"/>
                <w:szCs w:val="18"/>
              </w:rPr>
              <w:t>南雄—江头</w:t>
            </w:r>
          </w:p>
        </w:tc>
        <w:tc>
          <w:tcPr>
            <w:tcW w:w="288" w:type="pct"/>
            <w:vAlign w:val="center"/>
          </w:tcPr>
          <w:p w14:paraId="5CB6E703">
            <w:pPr>
              <w:ind w:firstLine="0" w:firstLineChars="0"/>
              <w:jc w:val="center"/>
              <w:rPr>
                <w:sz w:val="18"/>
                <w:szCs w:val="18"/>
              </w:rPr>
            </w:pPr>
            <w:r>
              <w:rPr>
                <w:rFonts w:hint="eastAsia"/>
                <w:sz w:val="18"/>
                <w:szCs w:val="18"/>
              </w:rPr>
              <w:t>普通</w:t>
            </w:r>
          </w:p>
        </w:tc>
        <w:tc>
          <w:tcPr>
            <w:tcW w:w="359" w:type="pct"/>
            <w:vAlign w:val="center"/>
          </w:tcPr>
          <w:p w14:paraId="35845F80">
            <w:pPr>
              <w:ind w:firstLine="0" w:firstLineChars="0"/>
              <w:jc w:val="center"/>
              <w:rPr>
                <w:sz w:val="18"/>
                <w:szCs w:val="18"/>
              </w:rPr>
            </w:pPr>
            <w:r>
              <w:rPr>
                <w:rFonts w:hint="eastAsia"/>
                <w:sz w:val="18"/>
                <w:szCs w:val="18"/>
              </w:rPr>
              <w:t>普通</w:t>
            </w:r>
          </w:p>
        </w:tc>
        <w:tc>
          <w:tcPr>
            <w:tcW w:w="288" w:type="pct"/>
            <w:vAlign w:val="center"/>
          </w:tcPr>
          <w:p w14:paraId="4B779F72">
            <w:pPr>
              <w:ind w:firstLine="0" w:firstLineChars="0"/>
              <w:jc w:val="center"/>
              <w:rPr>
                <w:sz w:val="18"/>
                <w:szCs w:val="18"/>
              </w:rPr>
            </w:pPr>
            <w:r>
              <w:rPr>
                <w:rFonts w:hint="eastAsia"/>
                <w:sz w:val="18"/>
                <w:szCs w:val="18"/>
              </w:rPr>
              <w:t>中型</w:t>
            </w:r>
          </w:p>
        </w:tc>
        <w:tc>
          <w:tcPr>
            <w:tcW w:w="288" w:type="pct"/>
            <w:vAlign w:val="center"/>
          </w:tcPr>
          <w:p w14:paraId="6B5A9A23">
            <w:pPr>
              <w:ind w:firstLine="0" w:firstLineChars="0"/>
              <w:jc w:val="center"/>
              <w:rPr>
                <w:sz w:val="18"/>
                <w:szCs w:val="18"/>
              </w:rPr>
            </w:pPr>
            <w:r>
              <w:rPr>
                <w:rFonts w:hint="eastAsia"/>
                <w:sz w:val="18"/>
                <w:szCs w:val="18"/>
              </w:rPr>
              <w:t>21</w:t>
            </w:r>
          </w:p>
        </w:tc>
        <w:tc>
          <w:tcPr>
            <w:tcW w:w="288" w:type="pct"/>
            <w:vAlign w:val="center"/>
          </w:tcPr>
          <w:p w14:paraId="22CB04BD">
            <w:pPr>
              <w:ind w:firstLine="0" w:firstLineChars="0"/>
              <w:jc w:val="center"/>
              <w:rPr>
                <w:sz w:val="18"/>
                <w:szCs w:val="18"/>
              </w:rPr>
            </w:pPr>
            <w:r>
              <w:rPr>
                <w:rFonts w:hint="eastAsia"/>
                <w:sz w:val="18"/>
                <w:szCs w:val="18"/>
              </w:rPr>
              <w:t>17</w:t>
            </w:r>
          </w:p>
        </w:tc>
        <w:tc>
          <w:tcPr>
            <w:tcW w:w="287" w:type="pct"/>
            <w:vAlign w:val="center"/>
          </w:tcPr>
          <w:p w14:paraId="282664EC">
            <w:pPr>
              <w:ind w:firstLine="0" w:firstLineChars="0"/>
              <w:jc w:val="center"/>
              <w:rPr>
                <w:sz w:val="18"/>
                <w:szCs w:val="18"/>
              </w:rPr>
            </w:pPr>
            <w:r>
              <w:rPr>
                <w:rFonts w:hint="eastAsia"/>
                <w:sz w:val="18"/>
                <w:szCs w:val="18"/>
              </w:rPr>
              <w:t>0</w:t>
            </w:r>
          </w:p>
        </w:tc>
        <w:tc>
          <w:tcPr>
            <w:tcW w:w="288" w:type="pct"/>
            <w:vAlign w:val="center"/>
          </w:tcPr>
          <w:p w14:paraId="17F3CC3C">
            <w:pPr>
              <w:ind w:firstLine="0" w:firstLineChars="0"/>
              <w:jc w:val="center"/>
              <w:rPr>
                <w:sz w:val="18"/>
                <w:szCs w:val="18"/>
              </w:rPr>
            </w:pPr>
            <w:r>
              <w:rPr>
                <w:rFonts w:hint="eastAsia"/>
                <w:sz w:val="18"/>
                <w:szCs w:val="18"/>
              </w:rPr>
              <w:t>0</w:t>
            </w:r>
          </w:p>
        </w:tc>
        <w:tc>
          <w:tcPr>
            <w:tcW w:w="287" w:type="pct"/>
            <w:vAlign w:val="center"/>
          </w:tcPr>
          <w:p w14:paraId="6DB4F142">
            <w:pPr>
              <w:ind w:firstLine="0" w:firstLineChars="0"/>
              <w:jc w:val="center"/>
              <w:rPr>
                <w:sz w:val="18"/>
                <w:szCs w:val="18"/>
              </w:rPr>
            </w:pPr>
            <w:r>
              <w:rPr>
                <w:rFonts w:hint="eastAsia"/>
                <w:sz w:val="18"/>
                <w:szCs w:val="18"/>
              </w:rPr>
              <w:t>0.03</w:t>
            </w:r>
          </w:p>
        </w:tc>
        <w:tc>
          <w:tcPr>
            <w:tcW w:w="288" w:type="pct"/>
            <w:vAlign w:val="center"/>
          </w:tcPr>
          <w:p w14:paraId="28A0EC7C">
            <w:pPr>
              <w:ind w:firstLine="0" w:firstLineChars="0"/>
              <w:jc w:val="center"/>
              <w:rPr>
                <w:sz w:val="18"/>
                <w:szCs w:val="18"/>
              </w:rPr>
            </w:pPr>
            <w:r>
              <w:rPr>
                <w:rFonts w:hint="eastAsia"/>
                <w:sz w:val="18"/>
                <w:szCs w:val="18"/>
              </w:rPr>
              <w:t>0.10</w:t>
            </w:r>
          </w:p>
        </w:tc>
        <w:tc>
          <w:tcPr>
            <w:tcW w:w="287" w:type="pct"/>
            <w:vAlign w:val="center"/>
          </w:tcPr>
          <w:p w14:paraId="1E62C3DD">
            <w:pPr>
              <w:ind w:firstLine="0" w:firstLineChars="0"/>
              <w:jc w:val="center"/>
              <w:rPr>
                <w:sz w:val="18"/>
                <w:szCs w:val="18"/>
              </w:rPr>
            </w:pPr>
            <w:r>
              <w:rPr>
                <w:rFonts w:hint="eastAsia"/>
                <w:sz w:val="18"/>
                <w:szCs w:val="18"/>
              </w:rPr>
              <w:t>0.07</w:t>
            </w:r>
          </w:p>
        </w:tc>
        <w:tc>
          <w:tcPr>
            <w:tcW w:w="288" w:type="pct"/>
            <w:vAlign w:val="center"/>
          </w:tcPr>
          <w:p w14:paraId="14F1306F">
            <w:pPr>
              <w:ind w:firstLine="0" w:firstLineChars="0"/>
              <w:jc w:val="center"/>
              <w:rPr>
                <w:sz w:val="18"/>
                <w:szCs w:val="18"/>
              </w:rPr>
            </w:pPr>
            <w:r>
              <w:rPr>
                <w:rFonts w:hint="eastAsia"/>
                <w:sz w:val="18"/>
                <w:szCs w:val="18"/>
              </w:rPr>
              <w:t>0.13</w:t>
            </w:r>
          </w:p>
        </w:tc>
        <w:tc>
          <w:tcPr>
            <w:tcW w:w="287" w:type="pct"/>
            <w:vAlign w:val="center"/>
          </w:tcPr>
          <w:p w14:paraId="1A8A8546">
            <w:pPr>
              <w:ind w:firstLine="0" w:firstLineChars="0"/>
              <w:jc w:val="center"/>
              <w:rPr>
                <w:sz w:val="18"/>
                <w:szCs w:val="18"/>
              </w:rPr>
            </w:pPr>
            <w:r>
              <w:rPr>
                <w:rFonts w:hint="eastAsia"/>
                <w:sz w:val="18"/>
                <w:szCs w:val="18"/>
              </w:rPr>
              <w:t>3.50</w:t>
            </w:r>
          </w:p>
        </w:tc>
        <w:tc>
          <w:tcPr>
            <w:tcW w:w="288" w:type="pct"/>
            <w:vAlign w:val="center"/>
          </w:tcPr>
          <w:p w14:paraId="4295174E">
            <w:pPr>
              <w:ind w:firstLine="0" w:firstLineChars="0"/>
              <w:jc w:val="center"/>
              <w:rPr>
                <w:sz w:val="18"/>
                <w:szCs w:val="18"/>
              </w:rPr>
            </w:pPr>
            <w:r>
              <w:rPr>
                <w:rFonts w:hint="eastAsia"/>
                <w:sz w:val="18"/>
                <w:szCs w:val="18"/>
              </w:rPr>
              <w:t>3.00</w:t>
            </w:r>
          </w:p>
        </w:tc>
        <w:tc>
          <w:tcPr>
            <w:tcW w:w="287" w:type="pct"/>
            <w:vAlign w:val="center"/>
          </w:tcPr>
          <w:p w14:paraId="72346894">
            <w:pPr>
              <w:ind w:firstLine="0" w:firstLineChars="0"/>
              <w:jc w:val="center"/>
              <w:rPr>
                <w:sz w:val="18"/>
                <w:szCs w:val="18"/>
              </w:rPr>
            </w:pPr>
            <w:r>
              <w:rPr>
                <w:rFonts w:hint="eastAsia"/>
                <w:sz w:val="18"/>
                <w:szCs w:val="18"/>
              </w:rPr>
              <w:t>4.00</w:t>
            </w:r>
          </w:p>
        </w:tc>
        <w:tc>
          <w:tcPr>
            <w:tcW w:w="226" w:type="pct"/>
            <w:vAlign w:val="center"/>
          </w:tcPr>
          <w:p w14:paraId="45927940">
            <w:pPr>
              <w:ind w:firstLine="0" w:firstLineChars="0"/>
              <w:jc w:val="center"/>
              <w:rPr>
                <w:sz w:val="18"/>
                <w:szCs w:val="18"/>
              </w:rPr>
            </w:pPr>
            <w:r>
              <w:rPr>
                <w:rFonts w:hint="eastAsia"/>
                <w:sz w:val="18"/>
                <w:szCs w:val="18"/>
              </w:rPr>
              <w:t>0</w:t>
            </w:r>
          </w:p>
        </w:tc>
      </w:tr>
    </w:tbl>
    <w:p w14:paraId="72F05D88">
      <w:pPr>
        <w:pStyle w:val="5"/>
        <w:rPr>
          <w:rFonts w:ascii="宋体" w:hAnsi="宋体"/>
        </w:rPr>
      </w:pPr>
      <w:r>
        <w:rPr>
          <w:rFonts w:hint="eastAsia" w:ascii="宋体" w:hAnsi="宋体"/>
        </w:rPr>
        <w:t>二、水电收费</w:t>
      </w:r>
    </w:p>
    <w:p w14:paraId="7E8E3107">
      <w:pPr>
        <w:ind w:firstLine="422"/>
        <w:rPr>
          <w:rFonts w:ascii="宋体" w:hAnsi="宋体"/>
          <w:b/>
          <w:szCs w:val="21"/>
        </w:rPr>
      </w:pPr>
      <w:r>
        <w:rPr>
          <w:rFonts w:hint="eastAsia" w:ascii="宋体" w:hAnsi="宋体"/>
          <w:b/>
          <w:szCs w:val="21"/>
        </w:rPr>
        <w:t>（一）城市供水价格</w:t>
      </w:r>
    </w:p>
    <w:p w14:paraId="0D35B569">
      <w:pPr>
        <w:ind w:firstLine="420"/>
        <w:rPr>
          <w:rFonts w:ascii="宋体" w:hAnsi="宋体"/>
          <w:szCs w:val="21"/>
        </w:rPr>
      </w:pPr>
      <w:r>
        <w:rPr>
          <w:rFonts w:hint="eastAsia" w:ascii="宋体" w:hAnsi="宋体"/>
          <w:szCs w:val="21"/>
        </w:rPr>
        <w:t>市区自来水厂于</w:t>
      </w:r>
      <w:r>
        <w:rPr>
          <w:rFonts w:ascii="宋体" w:hAnsi="宋体"/>
          <w:szCs w:val="21"/>
        </w:rPr>
        <w:t>1969年建成投产，每立方米收费0.2元。1987年公共用水调为</w:t>
      </w:r>
      <w:r>
        <w:rPr>
          <w:rFonts w:hint="eastAsia" w:ascii="宋体" w:hAnsi="宋体"/>
          <w:szCs w:val="21"/>
        </w:rPr>
        <w:t>每立方米</w:t>
      </w:r>
      <w:r>
        <w:rPr>
          <w:rFonts w:ascii="宋体" w:hAnsi="宋体"/>
          <w:szCs w:val="21"/>
        </w:rPr>
        <w:t>0.28元，居民用水不变。从1988年至1998年，由于生产成本的不断上升</w:t>
      </w:r>
      <w:r>
        <w:rPr>
          <w:rFonts w:hint="eastAsia" w:ascii="宋体" w:hAnsi="宋体"/>
          <w:szCs w:val="21"/>
        </w:rPr>
        <w:t>和对供水的质量要求越来越高。先后进行了六次水价调整。</w:t>
      </w:r>
      <w:r>
        <w:rPr>
          <w:rFonts w:ascii="宋体" w:hAnsi="宋体"/>
          <w:szCs w:val="21"/>
        </w:rPr>
        <w:t>1998年调整为居民住宅</w:t>
      </w:r>
      <w:r>
        <w:rPr>
          <w:rFonts w:hint="eastAsia" w:ascii="宋体" w:hAnsi="宋体"/>
          <w:szCs w:val="21"/>
        </w:rPr>
        <w:t>用水</w:t>
      </w:r>
      <w:r>
        <w:rPr>
          <w:rFonts w:ascii="宋体" w:hAnsi="宋体"/>
          <w:szCs w:val="21"/>
        </w:rPr>
        <w:t>0.95元／立方，公共用水1元／立方米，建筑用水及经营用水1.6元／立方米</w:t>
      </w:r>
      <w:r>
        <w:rPr>
          <w:rFonts w:hint="eastAsia" w:ascii="宋体" w:hAnsi="宋体"/>
          <w:szCs w:val="21"/>
        </w:rPr>
        <w:t>。</w:t>
      </w:r>
    </w:p>
    <w:p w14:paraId="587D356B">
      <w:pPr>
        <w:ind w:firstLine="422"/>
        <w:rPr>
          <w:rFonts w:ascii="宋体" w:hAnsi="宋体"/>
          <w:b/>
          <w:szCs w:val="21"/>
        </w:rPr>
      </w:pPr>
      <w:r>
        <w:rPr>
          <w:rFonts w:hint="eastAsia" w:ascii="宋体" w:hAnsi="宋体"/>
          <w:b/>
          <w:szCs w:val="21"/>
        </w:rPr>
        <w:t>（二）小水电收购价和电力销售价格</w:t>
      </w:r>
    </w:p>
    <w:p w14:paraId="230A42B3">
      <w:pPr>
        <w:ind w:firstLine="420"/>
        <w:rPr>
          <w:rFonts w:ascii="宋体" w:hAnsi="宋体"/>
          <w:szCs w:val="21"/>
        </w:rPr>
      </w:pPr>
      <w:r>
        <w:rPr>
          <w:rFonts w:ascii="宋体" w:hAnsi="宋体"/>
          <w:szCs w:val="21"/>
        </w:rPr>
        <w:t>1964年以前，普通工业用电电价为0.35元／千瓦时，照明0.5元／千瓦时。1964</w:t>
      </w:r>
      <w:r>
        <w:rPr>
          <w:rFonts w:hint="eastAsia" w:ascii="宋体" w:hAnsi="宋体"/>
          <w:szCs w:val="21"/>
        </w:rPr>
        <w:t>年起，用电价格工业为</w:t>
      </w:r>
      <w:r>
        <w:rPr>
          <w:rFonts w:ascii="宋体" w:hAnsi="宋体"/>
          <w:szCs w:val="21"/>
        </w:rPr>
        <w:t>0.12元／千瓦时，农业为0.06元／千瓦时，照明为0.2元／千</w:t>
      </w:r>
      <w:r>
        <w:rPr>
          <w:rFonts w:hint="eastAsia" w:ascii="宋体" w:hAnsi="宋体"/>
          <w:szCs w:val="21"/>
        </w:rPr>
        <w:t>瓦时。至</w:t>
      </w:r>
      <w:r>
        <w:rPr>
          <w:rFonts w:ascii="宋体" w:hAnsi="宋体"/>
          <w:szCs w:val="21"/>
        </w:rPr>
        <w:t>1987年电价基本不变，但分丰水期和枯水期计价。照明用电价丰水期为0.225元／千瓦时，枯水期为0.288元／千瓦时；普通工业用电价丰水期为0.128元／千</w:t>
      </w:r>
      <w:r>
        <w:rPr>
          <w:rFonts w:hint="eastAsia" w:ascii="宋体" w:hAnsi="宋体"/>
          <w:szCs w:val="21"/>
        </w:rPr>
        <w:t>瓦时，枯水期为</w:t>
      </w:r>
      <w:r>
        <w:rPr>
          <w:rFonts w:ascii="宋体" w:hAnsi="宋体"/>
          <w:szCs w:val="21"/>
        </w:rPr>
        <w:t>0.161元／千瓦时；农业用电价丰水期为0.103元／千瓦时，枯水期为0.136元／千瓦时。1988年起，国家对电力价格逐步实行改革，电力价格经多次调整，1999年小水电收购价为丰水期峰期0.30元／千瓦时，谷期0.13元／千瓦时；枯水期峰</w:t>
      </w:r>
      <w:r>
        <w:rPr>
          <w:rFonts w:hint="eastAsia" w:ascii="宋体" w:hAnsi="宋体"/>
          <w:szCs w:val="21"/>
        </w:rPr>
        <w:t>期</w:t>
      </w:r>
      <w:r>
        <w:rPr>
          <w:rFonts w:ascii="宋体" w:hAnsi="宋体"/>
          <w:szCs w:val="21"/>
        </w:rPr>
        <w:t>0.43元／千瓦时，谷期0.2元／千瓦时。2003年销售电价见表2-57：</w:t>
      </w:r>
    </w:p>
    <w:p w14:paraId="7E6A0A2B">
      <w:pPr>
        <w:ind w:firstLine="0" w:firstLineChars="0"/>
        <w:jc w:val="center"/>
        <w:rPr>
          <w:rFonts w:ascii="宋体" w:hAnsi="宋体"/>
          <w:b/>
          <w:szCs w:val="21"/>
        </w:rPr>
      </w:pPr>
      <w:r>
        <w:rPr>
          <w:rFonts w:ascii="宋体" w:hAnsi="宋体"/>
          <w:b/>
          <w:szCs w:val="21"/>
        </w:rPr>
        <w:t>2003年南雄市用电价格一览</w:t>
      </w:r>
    </w:p>
    <w:p w14:paraId="1B061567">
      <w:pPr>
        <w:ind w:firstLine="0" w:firstLineChars="0"/>
        <w:rPr>
          <w:rFonts w:ascii="宋体" w:hAnsi="宋体"/>
          <w:b/>
          <w:szCs w:val="21"/>
        </w:rPr>
      </w:pPr>
      <w:r>
        <w:rPr>
          <w:rFonts w:hint="eastAsia" w:ascii="宋体" w:hAnsi="宋体"/>
          <w:b/>
          <w:szCs w:val="21"/>
        </w:rPr>
        <w:t>表</w:t>
      </w:r>
      <w:r>
        <w:rPr>
          <w:rFonts w:ascii="宋体" w:hAnsi="宋体"/>
          <w:b/>
          <w:szCs w:val="21"/>
        </w:rPr>
        <w:t>2-57</w:t>
      </w:r>
    </w:p>
    <w:p w14:paraId="3D8A40EA">
      <w:pPr>
        <w:ind w:firstLine="422"/>
        <w:jc w:val="right"/>
        <w:rPr>
          <w:rFonts w:ascii="宋体" w:hAnsi="宋体"/>
          <w:b/>
          <w:szCs w:val="21"/>
        </w:rPr>
      </w:pPr>
      <w:r>
        <w:rPr>
          <w:rFonts w:ascii="宋体" w:hAnsi="宋体"/>
          <w:b/>
          <w:szCs w:val="21"/>
        </w:rPr>
        <w:t>单位：元／千瓦时</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26"/>
        <w:gridCol w:w="2550"/>
        <w:gridCol w:w="1986"/>
        <w:gridCol w:w="1982"/>
        <w:gridCol w:w="1918"/>
      </w:tblGrid>
      <w:tr w14:paraId="2361CD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46" w:type="pct"/>
            <w:gridSpan w:val="2"/>
            <w:vAlign w:val="center"/>
          </w:tcPr>
          <w:p w14:paraId="26FAD9DE">
            <w:pPr>
              <w:pStyle w:val="12"/>
              <w:jc w:val="center"/>
              <w:rPr>
                <w:b/>
              </w:rPr>
            </w:pPr>
            <w:r>
              <w:rPr>
                <w:rFonts w:hint="eastAsia"/>
                <w:b/>
              </w:rPr>
              <w:t>用电分类</w:t>
            </w:r>
          </w:p>
        </w:tc>
        <w:tc>
          <w:tcPr>
            <w:tcW w:w="997" w:type="pct"/>
            <w:vAlign w:val="center"/>
          </w:tcPr>
          <w:p w14:paraId="2EA91934">
            <w:pPr>
              <w:pStyle w:val="12"/>
              <w:jc w:val="center"/>
              <w:rPr>
                <w:b/>
              </w:rPr>
            </w:pPr>
            <w:r>
              <w:rPr>
                <w:rFonts w:hint="eastAsia"/>
                <w:b/>
              </w:rPr>
              <w:t>电价</w:t>
            </w:r>
          </w:p>
        </w:tc>
        <w:tc>
          <w:tcPr>
            <w:tcW w:w="995" w:type="pct"/>
            <w:vAlign w:val="center"/>
          </w:tcPr>
          <w:p w14:paraId="79CF533E">
            <w:pPr>
              <w:pStyle w:val="12"/>
              <w:jc w:val="center"/>
              <w:rPr>
                <w:b/>
              </w:rPr>
            </w:pPr>
            <w:r>
              <w:rPr>
                <w:rFonts w:hint="eastAsia"/>
                <w:b/>
              </w:rPr>
              <w:t>城市建设附加费</w:t>
            </w:r>
          </w:p>
        </w:tc>
        <w:tc>
          <w:tcPr>
            <w:tcW w:w="962" w:type="pct"/>
            <w:vAlign w:val="center"/>
          </w:tcPr>
          <w:p w14:paraId="4DFBA62D">
            <w:pPr>
              <w:pStyle w:val="12"/>
              <w:jc w:val="center"/>
              <w:rPr>
                <w:b/>
              </w:rPr>
            </w:pPr>
            <w:r>
              <w:rPr>
                <w:rFonts w:hint="eastAsia"/>
                <w:b/>
              </w:rPr>
              <w:t>合计</w:t>
            </w:r>
          </w:p>
        </w:tc>
      </w:tr>
      <w:tr w14:paraId="08D533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6" w:type="pct"/>
            <w:vMerge w:val="restart"/>
            <w:vAlign w:val="center"/>
          </w:tcPr>
          <w:p w14:paraId="758F3644">
            <w:pPr>
              <w:pStyle w:val="12"/>
              <w:jc w:val="center"/>
            </w:pPr>
            <w:r>
              <w:rPr>
                <w:rFonts w:hint="eastAsia"/>
              </w:rPr>
              <w:t>一、大工业电价</w:t>
            </w:r>
          </w:p>
        </w:tc>
        <w:tc>
          <w:tcPr>
            <w:tcW w:w="1280" w:type="pct"/>
            <w:vAlign w:val="center"/>
          </w:tcPr>
          <w:p w14:paraId="775A156F">
            <w:pPr>
              <w:pStyle w:val="12"/>
              <w:jc w:val="left"/>
            </w:pPr>
            <w:r>
              <w:rPr>
                <w:rFonts w:hint="eastAsia"/>
              </w:rPr>
              <w:t>变压器容量（元/KVA月）</w:t>
            </w:r>
          </w:p>
        </w:tc>
        <w:tc>
          <w:tcPr>
            <w:tcW w:w="997" w:type="pct"/>
            <w:vAlign w:val="center"/>
          </w:tcPr>
          <w:p w14:paraId="5092528F">
            <w:pPr>
              <w:pStyle w:val="12"/>
              <w:jc w:val="center"/>
            </w:pPr>
            <w:r>
              <w:rPr>
                <w:rFonts w:hint="eastAsia"/>
              </w:rPr>
              <w:t>9.00</w:t>
            </w:r>
          </w:p>
        </w:tc>
        <w:tc>
          <w:tcPr>
            <w:tcW w:w="995" w:type="pct"/>
            <w:vAlign w:val="center"/>
          </w:tcPr>
          <w:p w14:paraId="765BD01C">
            <w:pPr>
              <w:pStyle w:val="12"/>
              <w:jc w:val="center"/>
            </w:pPr>
            <w:r>
              <w:rPr>
                <w:rFonts w:hint="eastAsia"/>
              </w:rPr>
              <w:t>—</w:t>
            </w:r>
          </w:p>
        </w:tc>
        <w:tc>
          <w:tcPr>
            <w:tcW w:w="962" w:type="pct"/>
            <w:vAlign w:val="center"/>
          </w:tcPr>
          <w:p w14:paraId="17548A23">
            <w:pPr>
              <w:pStyle w:val="12"/>
              <w:jc w:val="center"/>
            </w:pPr>
            <w:r>
              <w:rPr>
                <w:rFonts w:hint="eastAsia"/>
              </w:rPr>
              <w:t>9.00</w:t>
            </w:r>
          </w:p>
        </w:tc>
      </w:tr>
      <w:tr w14:paraId="79A32F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6" w:type="pct"/>
            <w:vMerge w:val="continue"/>
            <w:vAlign w:val="center"/>
          </w:tcPr>
          <w:p w14:paraId="3301F336">
            <w:pPr>
              <w:pStyle w:val="12"/>
              <w:jc w:val="center"/>
            </w:pPr>
          </w:p>
        </w:tc>
        <w:tc>
          <w:tcPr>
            <w:tcW w:w="1280" w:type="pct"/>
            <w:vAlign w:val="center"/>
          </w:tcPr>
          <w:p w14:paraId="35AB4D5C">
            <w:pPr>
              <w:pStyle w:val="12"/>
              <w:jc w:val="left"/>
            </w:pPr>
            <w:r>
              <w:rPr>
                <w:rFonts w:hint="eastAsia"/>
              </w:rPr>
              <w:t>最大需量</w:t>
            </w:r>
          </w:p>
        </w:tc>
        <w:tc>
          <w:tcPr>
            <w:tcW w:w="997" w:type="pct"/>
            <w:vAlign w:val="center"/>
          </w:tcPr>
          <w:p w14:paraId="077B20E1">
            <w:pPr>
              <w:pStyle w:val="12"/>
              <w:jc w:val="center"/>
            </w:pPr>
            <w:r>
              <w:rPr>
                <w:rFonts w:hint="eastAsia"/>
              </w:rPr>
              <w:t>13.50</w:t>
            </w:r>
          </w:p>
        </w:tc>
        <w:tc>
          <w:tcPr>
            <w:tcW w:w="995" w:type="pct"/>
            <w:vAlign w:val="center"/>
          </w:tcPr>
          <w:p w14:paraId="1A74191C">
            <w:pPr>
              <w:pStyle w:val="12"/>
              <w:jc w:val="center"/>
            </w:pPr>
            <w:r>
              <w:rPr>
                <w:rFonts w:hint="eastAsia"/>
              </w:rPr>
              <w:t>—</w:t>
            </w:r>
          </w:p>
        </w:tc>
        <w:tc>
          <w:tcPr>
            <w:tcW w:w="962" w:type="pct"/>
            <w:vAlign w:val="center"/>
          </w:tcPr>
          <w:p w14:paraId="5447070A">
            <w:pPr>
              <w:pStyle w:val="12"/>
              <w:jc w:val="center"/>
            </w:pPr>
            <w:r>
              <w:rPr>
                <w:rFonts w:hint="eastAsia"/>
              </w:rPr>
              <w:t>13.50</w:t>
            </w:r>
          </w:p>
        </w:tc>
      </w:tr>
      <w:tr w14:paraId="400982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6" w:type="pct"/>
            <w:vMerge w:val="continue"/>
            <w:vAlign w:val="center"/>
          </w:tcPr>
          <w:p w14:paraId="2E01127E">
            <w:pPr>
              <w:pStyle w:val="12"/>
              <w:jc w:val="center"/>
            </w:pPr>
          </w:p>
        </w:tc>
        <w:tc>
          <w:tcPr>
            <w:tcW w:w="1280" w:type="pct"/>
            <w:vAlign w:val="center"/>
          </w:tcPr>
          <w:p w14:paraId="29B8A107">
            <w:pPr>
              <w:pStyle w:val="12"/>
              <w:jc w:val="left"/>
            </w:pPr>
            <w:r>
              <w:rPr>
                <w:rFonts w:hint="eastAsia"/>
              </w:rPr>
              <w:t>用电电价</w:t>
            </w:r>
          </w:p>
        </w:tc>
        <w:tc>
          <w:tcPr>
            <w:tcW w:w="997" w:type="pct"/>
            <w:vAlign w:val="center"/>
          </w:tcPr>
          <w:p w14:paraId="3373BFC8">
            <w:pPr>
              <w:pStyle w:val="12"/>
              <w:jc w:val="center"/>
            </w:pPr>
            <w:r>
              <w:rPr>
                <w:rFonts w:hint="eastAsia"/>
              </w:rPr>
              <w:t>0.544</w:t>
            </w:r>
          </w:p>
        </w:tc>
        <w:tc>
          <w:tcPr>
            <w:tcW w:w="995" w:type="pct"/>
            <w:vAlign w:val="center"/>
          </w:tcPr>
          <w:p w14:paraId="16CBA3FF">
            <w:pPr>
              <w:pStyle w:val="12"/>
              <w:jc w:val="center"/>
            </w:pPr>
            <w:r>
              <w:rPr>
                <w:rFonts w:hint="eastAsia"/>
              </w:rPr>
              <w:t>0.014</w:t>
            </w:r>
          </w:p>
        </w:tc>
        <w:tc>
          <w:tcPr>
            <w:tcW w:w="962" w:type="pct"/>
            <w:vAlign w:val="center"/>
          </w:tcPr>
          <w:p w14:paraId="046E544F">
            <w:pPr>
              <w:pStyle w:val="12"/>
              <w:jc w:val="center"/>
            </w:pPr>
            <w:r>
              <w:rPr>
                <w:rFonts w:hint="eastAsia"/>
              </w:rPr>
              <w:t>0.558</w:t>
            </w:r>
          </w:p>
        </w:tc>
      </w:tr>
      <w:tr w14:paraId="2F25A6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46" w:type="pct"/>
            <w:gridSpan w:val="2"/>
            <w:vAlign w:val="center"/>
          </w:tcPr>
          <w:p w14:paraId="5B6F9841">
            <w:pPr>
              <w:pStyle w:val="12"/>
              <w:jc w:val="left"/>
            </w:pPr>
            <w:r>
              <w:rPr>
                <w:rFonts w:hint="eastAsia"/>
              </w:rPr>
              <w:t>二、工业、普通工业电价</w:t>
            </w:r>
          </w:p>
        </w:tc>
        <w:tc>
          <w:tcPr>
            <w:tcW w:w="997" w:type="pct"/>
            <w:vAlign w:val="center"/>
          </w:tcPr>
          <w:p w14:paraId="2A586D62">
            <w:pPr>
              <w:pStyle w:val="12"/>
              <w:jc w:val="center"/>
            </w:pPr>
            <w:r>
              <w:rPr>
                <w:rFonts w:hint="eastAsia"/>
              </w:rPr>
              <w:t>0.593</w:t>
            </w:r>
          </w:p>
        </w:tc>
        <w:tc>
          <w:tcPr>
            <w:tcW w:w="995" w:type="pct"/>
            <w:vAlign w:val="center"/>
          </w:tcPr>
          <w:p w14:paraId="62F6FDFC">
            <w:pPr>
              <w:pStyle w:val="12"/>
              <w:jc w:val="center"/>
            </w:pPr>
            <w:r>
              <w:rPr>
                <w:rFonts w:hint="eastAsia"/>
              </w:rPr>
              <w:t>0.014</w:t>
            </w:r>
          </w:p>
        </w:tc>
        <w:tc>
          <w:tcPr>
            <w:tcW w:w="962" w:type="pct"/>
            <w:vAlign w:val="center"/>
          </w:tcPr>
          <w:p w14:paraId="45DA1A16">
            <w:pPr>
              <w:pStyle w:val="12"/>
              <w:jc w:val="center"/>
            </w:pPr>
            <w:r>
              <w:rPr>
                <w:rFonts w:hint="eastAsia"/>
              </w:rPr>
              <w:t>0.607</w:t>
            </w:r>
          </w:p>
        </w:tc>
      </w:tr>
      <w:tr w14:paraId="5CEEB0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46" w:type="pct"/>
            <w:gridSpan w:val="2"/>
            <w:vAlign w:val="center"/>
          </w:tcPr>
          <w:p w14:paraId="318674D4">
            <w:pPr>
              <w:pStyle w:val="12"/>
              <w:jc w:val="left"/>
            </w:pPr>
            <w:r>
              <w:rPr>
                <w:rFonts w:hint="eastAsia"/>
              </w:rPr>
              <w:t>三、商业电价</w:t>
            </w:r>
          </w:p>
        </w:tc>
        <w:tc>
          <w:tcPr>
            <w:tcW w:w="997" w:type="pct"/>
            <w:vAlign w:val="center"/>
          </w:tcPr>
          <w:p w14:paraId="35C85C09">
            <w:pPr>
              <w:pStyle w:val="12"/>
              <w:jc w:val="center"/>
            </w:pPr>
            <w:r>
              <w:rPr>
                <w:rFonts w:hint="eastAsia"/>
              </w:rPr>
              <w:t>0.926</w:t>
            </w:r>
          </w:p>
        </w:tc>
        <w:tc>
          <w:tcPr>
            <w:tcW w:w="995" w:type="pct"/>
            <w:vAlign w:val="center"/>
          </w:tcPr>
          <w:p w14:paraId="5C300828">
            <w:pPr>
              <w:pStyle w:val="12"/>
              <w:jc w:val="center"/>
            </w:pPr>
            <w:r>
              <w:rPr>
                <w:rFonts w:hint="eastAsia"/>
              </w:rPr>
              <w:t>0.014</w:t>
            </w:r>
          </w:p>
        </w:tc>
        <w:tc>
          <w:tcPr>
            <w:tcW w:w="962" w:type="pct"/>
            <w:vAlign w:val="center"/>
          </w:tcPr>
          <w:p w14:paraId="00E05309">
            <w:pPr>
              <w:pStyle w:val="12"/>
              <w:jc w:val="center"/>
            </w:pPr>
            <w:r>
              <w:rPr>
                <w:rFonts w:hint="eastAsia"/>
              </w:rPr>
              <w:t>0.94</w:t>
            </w:r>
          </w:p>
        </w:tc>
      </w:tr>
      <w:tr w14:paraId="5EB842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46" w:type="pct"/>
            <w:gridSpan w:val="2"/>
            <w:vAlign w:val="center"/>
          </w:tcPr>
          <w:p w14:paraId="1EC07DB9">
            <w:pPr>
              <w:pStyle w:val="12"/>
              <w:jc w:val="left"/>
            </w:pPr>
            <w:r>
              <w:rPr>
                <w:rFonts w:hint="eastAsia"/>
              </w:rPr>
              <w:t>四、城市住宅电价</w:t>
            </w:r>
          </w:p>
        </w:tc>
        <w:tc>
          <w:tcPr>
            <w:tcW w:w="997" w:type="pct"/>
            <w:vAlign w:val="center"/>
          </w:tcPr>
          <w:p w14:paraId="2E2FCE83">
            <w:pPr>
              <w:pStyle w:val="12"/>
              <w:jc w:val="center"/>
            </w:pPr>
            <w:r>
              <w:rPr>
                <w:rFonts w:hint="eastAsia"/>
              </w:rPr>
              <w:t>0.626</w:t>
            </w:r>
          </w:p>
        </w:tc>
        <w:tc>
          <w:tcPr>
            <w:tcW w:w="995" w:type="pct"/>
            <w:vAlign w:val="center"/>
          </w:tcPr>
          <w:p w14:paraId="46A36944">
            <w:pPr>
              <w:pStyle w:val="12"/>
              <w:jc w:val="center"/>
            </w:pPr>
            <w:r>
              <w:rPr>
                <w:rFonts w:hint="eastAsia"/>
              </w:rPr>
              <w:t>0.014</w:t>
            </w:r>
          </w:p>
        </w:tc>
        <w:tc>
          <w:tcPr>
            <w:tcW w:w="962" w:type="pct"/>
            <w:vAlign w:val="center"/>
          </w:tcPr>
          <w:p w14:paraId="3235C98C">
            <w:pPr>
              <w:pStyle w:val="12"/>
              <w:jc w:val="center"/>
            </w:pPr>
            <w:r>
              <w:rPr>
                <w:rFonts w:hint="eastAsia"/>
              </w:rPr>
              <w:t>0.64</w:t>
            </w:r>
          </w:p>
        </w:tc>
      </w:tr>
      <w:tr w14:paraId="5A3588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46" w:type="pct"/>
            <w:gridSpan w:val="2"/>
            <w:vAlign w:val="center"/>
          </w:tcPr>
          <w:p w14:paraId="43377BD2">
            <w:pPr>
              <w:pStyle w:val="12"/>
              <w:jc w:val="left"/>
            </w:pPr>
            <w:r>
              <w:rPr>
                <w:rFonts w:hint="eastAsia"/>
              </w:rPr>
              <w:t>五、农村住宅电价</w:t>
            </w:r>
          </w:p>
        </w:tc>
        <w:tc>
          <w:tcPr>
            <w:tcW w:w="997" w:type="pct"/>
            <w:vAlign w:val="center"/>
          </w:tcPr>
          <w:p w14:paraId="6F42D03E">
            <w:pPr>
              <w:pStyle w:val="12"/>
              <w:jc w:val="center"/>
            </w:pPr>
            <w:r>
              <w:rPr>
                <w:rFonts w:hint="eastAsia"/>
              </w:rPr>
              <w:t>0.79</w:t>
            </w:r>
          </w:p>
        </w:tc>
        <w:tc>
          <w:tcPr>
            <w:tcW w:w="995" w:type="pct"/>
            <w:vAlign w:val="center"/>
          </w:tcPr>
          <w:p w14:paraId="6E73884E">
            <w:pPr>
              <w:pStyle w:val="12"/>
              <w:jc w:val="center"/>
            </w:pPr>
            <w:r>
              <w:rPr>
                <w:rFonts w:hint="eastAsia"/>
              </w:rPr>
              <w:t>—</w:t>
            </w:r>
          </w:p>
        </w:tc>
        <w:tc>
          <w:tcPr>
            <w:tcW w:w="962" w:type="pct"/>
            <w:vAlign w:val="center"/>
          </w:tcPr>
          <w:p w14:paraId="7FA56280">
            <w:pPr>
              <w:pStyle w:val="12"/>
              <w:jc w:val="center"/>
            </w:pPr>
            <w:r>
              <w:rPr>
                <w:rFonts w:hint="eastAsia"/>
              </w:rPr>
              <w:t>0.79</w:t>
            </w:r>
          </w:p>
        </w:tc>
      </w:tr>
      <w:tr w14:paraId="1731F0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46" w:type="pct"/>
            <w:gridSpan w:val="2"/>
            <w:vAlign w:val="center"/>
          </w:tcPr>
          <w:p w14:paraId="793F26AA">
            <w:pPr>
              <w:pStyle w:val="12"/>
              <w:jc w:val="left"/>
            </w:pPr>
            <w:r>
              <w:rPr>
                <w:rFonts w:hint="eastAsia"/>
              </w:rPr>
              <w:t>六、稻田排灌、脱粒电价</w:t>
            </w:r>
          </w:p>
        </w:tc>
        <w:tc>
          <w:tcPr>
            <w:tcW w:w="997" w:type="pct"/>
            <w:vAlign w:val="center"/>
          </w:tcPr>
          <w:p w14:paraId="117DA692">
            <w:pPr>
              <w:pStyle w:val="12"/>
              <w:jc w:val="center"/>
            </w:pPr>
            <w:r>
              <w:rPr>
                <w:rFonts w:hint="eastAsia"/>
              </w:rPr>
              <w:t>0.40</w:t>
            </w:r>
          </w:p>
        </w:tc>
        <w:tc>
          <w:tcPr>
            <w:tcW w:w="995" w:type="pct"/>
            <w:vAlign w:val="center"/>
          </w:tcPr>
          <w:p w14:paraId="484DFCE5">
            <w:pPr>
              <w:pStyle w:val="12"/>
              <w:jc w:val="center"/>
            </w:pPr>
            <w:r>
              <w:rPr>
                <w:rFonts w:hint="eastAsia"/>
              </w:rPr>
              <w:t>—</w:t>
            </w:r>
          </w:p>
        </w:tc>
        <w:tc>
          <w:tcPr>
            <w:tcW w:w="962" w:type="pct"/>
            <w:vAlign w:val="center"/>
          </w:tcPr>
          <w:p w14:paraId="4B687F84">
            <w:pPr>
              <w:pStyle w:val="12"/>
              <w:jc w:val="center"/>
            </w:pPr>
            <w:r>
              <w:rPr>
                <w:rFonts w:hint="eastAsia"/>
              </w:rPr>
              <w:t>0.40</w:t>
            </w:r>
          </w:p>
        </w:tc>
      </w:tr>
      <w:tr w14:paraId="0FF193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46" w:type="pct"/>
            <w:gridSpan w:val="2"/>
            <w:vAlign w:val="center"/>
          </w:tcPr>
          <w:p w14:paraId="1EB9B534">
            <w:pPr>
              <w:pStyle w:val="12"/>
              <w:jc w:val="left"/>
            </w:pPr>
            <w:r>
              <w:rPr>
                <w:rFonts w:hint="eastAsia"/>
              </w:rPr>
              <w:t>七、农业生产电价</w:t>
            </w:r>
          </w:p>
        </w:tc>
        <w:tc>
          <w:tcPr>
            <w:tcW w:w="997" w:type="pct"/>
            <w:vAlign w:val="center"/>
          </w:tcPr>
          <w:p w14:paraId="09B9A522">
            <w:pPr>
              <w:pStyle w:val="12"/>
              <w:jc w:val="center"/>
            </w:pPr>
            <w:r>
              <w:rPr>
                <w:rFonts w:hint="eastAsia"/>
              </w:rPr>
              <w:t>0.593</w:t>
            </w:r>
          </w:p>
        </w:tc>
        <w:tc>
          <w:tcPr>
            <w:tcW w:w="995" w:type="pct"/>
            <w:vAlign w:val="center"/>
          </w:tcPr>
          <w:p w14:paraId="1EAA23EB">
            <w:pPr>
              <w:pStyle w:val="12"/>
              <w:jc w:val="center"/>
            </w:pPr>
            <w:r>
              <w:rPr>
                <w:rFonts w:hint="eastAsia"/>
              </w:rPr>
              <w:t>0.014</w:t>
            </w:r>
          </w:p>
        </w:tc>
        <w:tc>
          <w:tcPr>
            <w:tcW w:w="962" w:type="pct"/>
            <w:vAlign w:val="center"/>
          </w:tcPr>
          <w:p w14:paraId="1F9C02F3">
            <w:pPr>
              <w:pStyle w:val="12"/>
              <w:jc w:val="center"/>
            </w:pPr>
            <w:r>
              <w:rPr>
                <w:rFonts w:hint="eastAsia"/>
              </w:rPr>
              <w:t>0.607</w:t>
            </w:r>
          </w:p>
        </w:tc>
      </w:tr>
    </w:tbl>
    <w:p w14:paraId="0F0E1D5A">
      <w:pPr>
        <w:pStyle w:val="5"/>
        <w:rPr>
          <w:rFonts w:ascii="宋体" w:hAnsi="宋体"/>
        </w:rPr>
      </w:pPr>
      <w:r>
        <w:rPr>
          <w:rFonts w:hint="eastAsia" w:ascii="宋体" w:hAnsi="宋体"/>
        </w:rPr>
        <w:t>三、中小学收费</w:t>
      </w:r>
    </w:p>
    <w:p w14:paraId="6920E8C7">
      <w:pPr>
        <w:ind w:firstLine="420"/>
        <w:rPr>
          <w:rFonts w:ascii="宋体" w:hAnsi="宋体"/>
          <w:szCs w:val="21"/>
        </w:rPr>
      </w:pPr>
      <w:r>
        <w:rPr>
          <w:rFonts w:ascii="宋体" w:hAnsi="宋体"/>
          <w:szCs w:val="21"/>
        </w:rPr>
        <w:t>1951年，小学每生每学期收学米7.5公斤～12.5公斤，1953年改收现金。1961</w:t>
      </w:r>
      <w:r>
        <w:rPr>
          <w:rFonts w:hint="eastAsia" w:ascii="宋体" w:hAnsi="宋体"/>
          <w:szCs w:val="21"/>
        </w:rPr>
        <w:t>年至</w:t>
      </w:r>
      <w:r>
        <w:rPr>
          <w:rFonts w:ascii="宋体" w:hAnsi="宋体"/>
          <w:szCs w:val="21"/>
        </w:rPr>
        <w:t>1980年，小学学杂费每生每学期1元～3元，初中2元～4元，高中3元～6元。1981年2月起，收取民办教师费、水电费、仪器设备费、体育器材费，加上学杂费</w:t>
      </w:r>
      <w:r>
        <w:rPr>
          <w:rFonts w:hint="eastAsia" w:ascii="宋体" w:hAnsi="宋体"/>
          <w:szCs w:val="21"/>
        </w:rPr>
        <w:t>合计小学每生每学期收费</w:t>
      </w:r>
      <w:r>
        <w:rPr>
          <w:rFonts w:ascii="宋体" w:hAnsi="宋体"/>
          <w:szCs w:val="21"/>
        </w:rPr>
        <w:t>12.5元，初中13元，高中15元。此后收费标准逐年提高，1985年起开收集资费。至1987年，学校各种收费合计每生每学期为小学34元，初中49元，高中50.5元，均不包课本费资料费。</w:t>
      </w:r>
    </w:p>
    <w:p w14:paraId="1C6876F3">
      <w:pPr>
        <w:ind w:firstLine="420"/>
        <w:rPr>
          <w:rFonts w:ascii="宋体" w:hAnsi="宋体"/>
          <w:szCs w:val="21"/>
        </w:rPr>
      </w:pPr>
      <w:r>
        <w:rPr>
          <w:rFonts w:ascii="宋体" w:hAnsi="宋体"/>
          <w:szCs w:val="21"/>
        </w:rPr>
        <w:t>1988年至2001年8月，这一时期中小学收费由省物价局定项目，各级政府制定</w:t>
      </w:r>
      <w:r>
        <w:rPr>
          <w:rFonts w:hint="eastAsia" w:ascii="宋体" w:hAnsi="宋体"/>
          <w:szCs w:val="21"/>
        </w:rPr>
        <w:t>具体的收费标准。</w:t>
      </w:r>
      <w:r>
        <w:rPr>
          <w:rFonts w:ascii="宋体" w:hAnsi="宋体"/>
          <w:szCs w:val="21"/>
        </w:rPr>
        <w:t>1997年8月收费标准见表2-58：</w:t>
      </w:r>
    </w:p>
    <w:p w14:paraId="6838DC4E">
      <w:pPr>
        <w:ind w:firstLine="0" w:firstLineChars="0"/>
        <w:jc w:val="center"/>
        <w:rPr>
          <w:rFonts w:ascii="宋体" w:hAnsi="宋体"/>
          <w:b/>
          <w:szCs w:val="21"/>
        </w:rPr>
      </w:pPr>
      <w:r>
        <w:rPr>
          <w:rFonts w:hint="eastAsia" w:ascii="宋体" w:hAnsi="宋体"/>
          <w:b/>
          <w:szCs w:val="21"/>
        </w:rPr>
        <w:t>南雄市</w:t>
      </w:r>
      <w:r>
        <w:rPr>
          <w:rFonts w:ascii="宋体" w:hAnsi="宋体"/>
          <w:b/>
          <w:szCs w:val="21"/>
        </w:rPr>
        <w:t>1997年8月中小学收费标准一览</w:t>
      </w:r>
    </w:p>
    <w:p w14:paraId="69C1E424">
      <w:pPr>
        <w:ind w:firstLine="0" w:firstLineChars="0"/>
        <w:rPr>
          <w:rFonts w:ascii="宋体" w:hAnsi="宋体"/>
          <w:b/>
          <w:szCs w:val="21"/>
        </w:rPr>
      </w:pPr>
      <w:r>
        <w:rPr>
          <w:rFonts w:hint="eastAsia" w:ascii="宋体" w:hAnsi="宋体"/>
          <w:b/>
          <w:szCs w:val="21"/>
        </w:rPr>
        <w:t>表</w:t>
      </w:r>
      <w:r>
        <w:rPr>
          <w:rFonts w:ascii="宋体" w:hAnsi="宋体"/>
          <w:b/>
          <w:szCs w:val="21"/>
        </w:rPr>
        <w:t>2-58</w:t>
      </w:r>
    </w:p>
    <w:p w14:paraId="1699A62A">
      <w:pPr>
        <w:ind w:firstLine="422"/>
        <w:jc w:val="right"/>
        <w:rPr>
          <w:rFonts w:ascii="宋体" w:hAnsi="宋体"/>
          <w:b/>
          <w:szCs w:val="21"/>
        </w:rPr>
      </w:pPr>
      <w:r>
        <w:rPr>
          <w:rFonts w:ascii="宋体" w:hAnsi="宋体"/>
          <w:b/>
          <w:szCs w:val="21"/>
        </w:rPr>
        <w:t>单位：元／生·学期</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1"/>
        <w:gridCol w:w="1544"/>
        <w:gridCol w:w="655"/>
        <w:gridCol w:w="655"/>
        <w:gridCol w:w="657"/>
        <w:gridCol w:w="655"/>
        <w:gridCol w:w="661"/>
        <w:gridCol w:w="703"/>
        <w:gridCol w:w="685"/>
        <w:gridCol w:w="687"/>
        <w:gridCol w:w="687"/>
        <w:gridCol w:w="637"/>
        <w:gridCol w:w="637"/>
        <w:gridCol w:w="428"/>
      </w:tblGrid>
      <w:tr w14:paraId="2D3507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16" w:type="pct"/>
            <w:gridSpan w:val="2"/>
            <w:vMerge w:val="restart"/>
            <w:vAlign w:val="center"/>
          </w:tcPr>
          <w:p w14:paraId="51BAE13D">
            <w:pPr>
              <w:pStyle w:val="12"/>
              <w:jc w:val="center"/>
              <w:rPr>
                <w:rFonts w:ascii="宋体" w:hAnsi="宋体"/>
                <w:b/>
              </w:rPr>
            </w:pPr>
            <w:r>
              <w:rPr>
                <w:rFonts w:hint="eastAsia" w:ascii="宋体" w:hAnsi="宋体"/>
                <w:b/>
              </w:rPr>
              <w:t>学校类别</w:t>
            </w:r>
          </w:p>
        </w:tc>
        <w:tc>
          <w:tcPr>
            <w:tcW w:w="1658" w:type="pct"/>
            <w:gridSpan w:val="5"/>
            <w:vAlign w:val="center"/>
          </w:tcPr>
          <w:p w14:paraId="16DB91B0">
            <w:pPr>
              <w:pStyle w:val="12"/>
              <w:jc w:val="center"/>
              <w:rPr>
                <w:rFonts w:ascii="宋体" w:hAnsi="宋体"/>
                <w:b/>
              </w:rPr>
            </w:pPr>
            <w:r>
              <w:rPr>
                <w:rFonts w:hint="eastAsia" w:ascii="宋体" w:hAnsi="宋体"/>
                <w:b/>
              </w:rPr>
              <w:t>应收费</w:t>
            </w:r>
          </w:p>
        </w:tc>
        <w:tc>
          <w:tcPr>
            <w:tcW w:w="2012" w:type="pct"/>
            <w:gridSpan w:val="6"/>
            <w:vAlign w:val="center"/>
          </w:tcPr>
          <w:p w14:paraId="29F86357">
            <w:pPr>
              <w:pStyle w:val="12"/>
              <w:jc w:val="center"/>
              <w:rPr>
                <w:rFonts w:ascii="宋体" w:hAnsi="宋体"/>
                <w:b/>
              </w:rPr>
            </w:pPr>
            <w:r>
              <w:rPr>
                <w:rFonts w:hint="eastAsia" w:ascii="宋体" w:hAnsi="宋体"/>
                <w:b/>
              </w:rPr>
              <w:t>代收代管费</w:t>
            </w:r>
          </w:p>
        </w:tc>
        <w:tc>
          <w:tcPr>
            <w:tcW w:w="214" w:type="pct"/>
            <w:vMerge w:val="restart"/>
            <w:vAlign w:val="center"/>
          </w:tcPr>
          <w:p w14:paraId="79E7BE27">
            <w:pPr>
              <w:pStyle w:val="12"/>
              <w:jc w:val="center"/>
              <w:rPr>
                <w:rFonts w:ascii="宋体" w:hAnsi="宋体"/>
                <w:b/>
              </w:rPr>
            </w:pPr>
            <w:r>
              <w:rPr>
                <w:rFonts w:hint="eastAsia" w:ascii="宋体" w:hAnsi="宋体"/>
                <w:b/>
              </w:rPr>
              <w:t>备注</w:t>
            </w:r>
          </w:p>
        </w:tc>
      </w:tr>
      <w:tr w14:paraId="5E0886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1116" w:type="pct"/>
            <w:gridSpan w:val="2"/>
            <w:vMerge w:val="continue"/>
            <w:vAlign w:val="center"/>
          </w:tcPr>
          <w:p w14:paraId="2D898A45">
            <w:pPr>
              <w:pStyle w:val="12"/>
              <w:jc w:val="center"/>
              <w:rPr>
                <w:rFonts w:ascii="宋体" w:hAnsi="宋体"/>
                <w:b/>
              </w:rPr>
            </w:pPr>
          </w:p>
        </w:tc>
        <w:tc>
          <w:tcPr>
            <w:tcW w:w="331" w:type="pct"/>
            <w:vMerge w:val="restart"/>
            <w:vAlign w:val="center"/>
          </w:tcPr>
          <w:p w14:paraId="14958174">
            <w:pPr>
              <w:pStyle w:val="12"/>
              <w:jc w:val="center"/>
              <w:rPr>
                <w:rFonts w:ascii="宋体" w:hAnsi="宋体"/>
                <w:b/>
              </w:rPr>
            </w:pPr>
            <w:r>
              <w:rPr>
                <w:rFonts w:hint="eastAsia" w:ascii="宋体" w:hAnsi="宋体"/>
                <w:b/>
              </w:rPr>
              <w:t>学费</w:t>
            </w:r>
          </w:p>
        </w:tc>
        <w:tc>
          <w:tcPr>
            <w:tcW w:w="331" w:type="pct"/>
            <w:vMerge w:val="restart"/>
            <w:vAlign w:val="center"/>
          </w:tcPr>
          <w:p w14:paraId="7B74E802">
            <w:pPr>
              <w:pStyle w:val="12"/>
              <w:jc w:val="center"/>
              <w:rPr>
                <w:rFonts w:ascii="宋体" w:hAnsi="宋体"/>
                <w:b/>
              </w:rPr>
            </w:pPr>
            <w:r>
              <w:rPr>
                <w:rFonts w:hint="eastAsia" w:ascii="宋体" w:hAnsi="宋体"/>
                <w:b/>
              </w:rPr>
              <w:t>杂费</w:t>
            </w:r>
          </w:p>
        </w:tc>
        <w:tc>
          <w:tcPr>
            <w:tcW w:w="332" w:type="pct"/>
            <w:vMerge w:val="restart"/>
            <w:vAlign w:val="center"/>
          </w:tcPr>
          <w:p w14:paraId="2CA0BB32">
            <w:pPr>
              <w:pStyle w:val="12"/>
              <w:jc w:val="center"/>
              <w:rPr>
                <w:rFonts w:ascii="宋体" w:hAnsi="宋体"/>
                <w:b/>
              </w:rPr>
            </w:pPr>
            <w:r>
              <w:rPr>
                <w:rFonts w:hint="eastAsia" w:ascii="宋体" w:hAnsi="宋体"/>
                <w:b/>
              </w:rPr>
              <w:t>住宿费</w:t>
            </w:r>
          </w:p>
        </w:tc>
        <w:tc>
          <w:tcPr>
            <w:tcW w:w="331" w:type="pct"/>
            <w:vMerge w:val="restart"/>
            <w:vAlign w:val="center"/>
          </w:tcPr>
          <w:p w14:paraId="371DDBC0">
            <w:pPr>
              <w:pStyle w:val="12"/>
              <w:jc w:val="center"/>
              <w:rPr>
                <w:rFonts w:ascii="宋体" w:hAnsi="宋体"/>
                <w:b/>
              </w:rPr>
            </w:pPr>
            <w:r>
              <w:rPr>
                <w:rFonts w:hint="eastAsia" w:ascii="宋体" w:hAnsi="宋体"/>
                <w:b/>
              </w:rPr>
              <w:t>借读费</w:t>
            </w:r>
          </w:p>
        </w:tc>
        <w:tc>
          <w:tcPr>
            <w:tcW w:w="334" w:type="pct"/>
            <w:vMerge w:val="restart"/>
            <w:vAlign w:val="center"/>
          </w:tcPr>
          <w:p w14:paraId="763B0C17">
            <w:pPr>
              <w:pStyle w:val="12"/>
              <w:jc w:val="center"/>
              <w:rPr>
                <w:rFonts w:ascii="宋体" w:hAnsi="宋体"/>
                <w:b/>
              </w:rPr>
            </w:pPr>
            <w:r>
              <w:rPr>
                <w:rFonts w:hint="eastAsia" w:ascii="宋体" w:hAnsi="宋体"/>
                <w:b/>
              </w:rPr>
              <w:t>民师费</w:t>
            </w:r>
          </w:p>
        </w:tc>
        <w:tc>
          <w:tcPr>
            <w:tcW w:w="355" w:type="pct"/>
            <w:vMerge w:val="restart"/>
            <w:vAlign w:val="center"/>
          </w:tcPr>
          <w:p w14:paraId="1AE27649">
            <w:pPr>
              <w:pStyle w:val="12"/>
              <w:jc w:val="center"/>
              <w:rPr>
                <w:rFonts w:ascii="宋体" w:hAnsi="宋体"/>
                <w:b/>
              </w:rPr>
            </w:pPr>
            <w:r>
              <w:rPr>
                <w:rFonts w:hint="eastAsia" w:ascii="宋体" w:hAnsi="宋体"/>
                <w:b/>
              </w:rPr>
              <w:t>课本资料费</w:t>
            </w:r>
          </w:p>
        </w:tc>
        <w:tc>
          <w:tcPr>
            <w:tcW w:w="346" w:type="pct"/>
            <w:vMerge w:val="restart"/>
            <w:vAlign w:val="center"/>
          </w:tcPr>
          <w:p w14:paraId="537BBD58">
            <w:pPr>
              <w:pStyle w:val="12"/>
              <w:jc w:val="center"/>
              <w:rPr>
                <w:rFonts w:ascii="宋体" w:hAnsi="宋体"/>
                <w:b/>
              </w:rPr>
            </w:pPr>
            <w:r>
              <w:rPr>
                <w:rFonts w:hint="eastAsia" w:ascii="宋体" w:hAnsi="宋体"/>
                <w:b/>
              </w:rPr>
              <w:t>练习本费</w:t>
            </w:r>
          </w:p>
        </w:tc>
        <w:tc>
          <w:tcPr>
            <w:tcW w:w="694" w:type="pct"/>
            <w:gridSpan w:val="2"/>
            <w:vAlign w:val="center"/>
          </w:tcPr>
          <w:p w14:paraId="0BE26677">
            <w:pPr>
              <w:pStyle w:val="12"/>
              <w:jc w:val="center"/>
              <w:rPr>
                <w:rFonts w:ascii="宋体" w:hAnsi="宋体"/>
                <w:b/>
              </w:rPr>
            </w:pPr>
            <w:r>
              <w:rPr>
                <w:rFonts w:hint="eastAsia" w:ascii="宋体" w:hAnsi="宋体"/>
                <w:b/>
              </w:rPr>
              <w:t>厨工费</w:t>
            </w:r>
          </w:p>
        </w:tc>
        <w:tc>
          <w:tcPr>
            <w:tcW w:w="298" w:type="pct"/>
            <w:vMerge w:val="restart"/>
            <w:vAlign w:val="center"/>
          </w:tcPr>
          <w:p w14:paraId="1A8715FC">
            <w:pPr>
              <w:pStyle w:val="12"/>
              <w:jc w:val="center"/>
              <w:rPr>
                <w:rFonts w:ascii="宋体" w:hAnsi="宋体"/>
                <w:b/>
              </w:rPr>
            </w:pPr>
            <w:r>
              <w:rPr>
                <w:rFonts w:hint="eastAsia" w:ascii="宋体" w:hAnsi="宋体"/>
                <w:b/>
              </w:rPr>
              <w:t>手册证书费</w:t>
            </w:r>
          </w:p>
        </w:tc>
        <w:tc>
          <w:tcPr>
            <w:tcW w:w="319" w:type="pct"/>
            <w:vMerge w:val="restart"/>
            <w:vAlign w:val="center"/>
          </w:tcPr>
          <w:p w14:paraId="32AB51B0">
            <w:pPr>
              <w:pStyle w:val="12"/>
              <w:jc w:val="center"/>
              <w:rPr>
                <w:rFonts w:ascii="宋体" w:hAnsi="宋体"/>
                <w:b/>
              </w:rPr>
            </w:pPr>
            <w:r>
              <w:rPr>
                <w:rFonts w:hint="eastAsia" w:ascii="宋体" w:hAnsi="宋体"/>
                <w:b/>
              </w:rPr>
              <w:t>体检费</w:t>
            </w:r>
          </w:p>
        </w:tc>
        <w:tc>
          <w:tcPr>
            <w:tcW w:w="214" w:type="pct"/>
            <w:vMerge w:val="continue"/>
            <w:vAlign w:val="center"/>
          </w:tcPr>
          <w:p w14:paraId="2F26A0B9">
            <w:pPr>
              <w:pStyle w:val="12"/>
              <w:jc w:val="center"/>
              <w:rPr>
                <w:rFonts w:ascii="宋体" w:hAnsi="宋体"/>
              </w:rPr>
            </w:pPr>
          </w:p>
        </w:tc>
      </w:tr>
      <w:tr w14:paraId="0F00F8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1116" w:type="pct"/>
            <w:gridSpan w:val="2"/>
            <w:vMerge w:val="continue"/>
            <w:vAlign w:val="center"/>
          </w:tcPr>
          <w:p w14:paraId="2D143554">
            <w:pPr>
              <w:pStyle w:val="12"/>
              <w:jc w:val="center"/>
              <w:rPr>
                <w:rFonts w:ascii="宋体" w:hAnsi="宋体"/>
              </w:rPr>
            </w:pPr>
          </w:p>
        </w:tc>
        <w:tc>
          <w:tcPr>
            <w:tcW w:w="331" w:type="pct"/>
            <w:vMerge w:val="continue"/>
            <w:vAlign w:val="center"/>
          </w:tcPr>
          <w:p w14:paraId="226EFF43">
            <w:pPr>
              <w:pStyle w:val="12"/>
              <w:jc w:val="center"/>
              <w:rPr>
                <w:rFonts w:ascii="宋体" w:hAnsi="宋体"/>
              </w:rPr>
            </w:pPr>
          </w:p>
        </w:tc>
        <w:tc>
          <w:tcPr>
            <w:tcW w:w="331" w:type="pct"/>
            <w:vMerge w:val="continue"/>
            <w:vAlign w:val="center"/>
          </w:tcPr>
          <w:p w14:paraId="5B0ABCEB">
            <w:pPr>
              <w:pStyle w:val="12"/>
              <w:jc w:val="center"/>
              <w:rPr>
                <w:rFonts w:ascii="宋体" w:hAnsi="宋体"/>
              </w:rPr>
            </w:pPr>
          </w:p>
        </w:tc>
        <w:tc>
          <w:tcPr>
            <w:tcW w:w="332" w:type="pct"/>
            <w:vMerge w:val="continue"/>
            <w:vAlign w:val="center"/>
          </w:tcPr>
          <w:p w14:paraId="0EE45C25">
            <w:pPr>
              <w:pStyle w:val="12"/>
              <w:jc w:val="center"/>
              <w:rPr>
                <w:rFonts w:ascii="宋体" w:hAnsi="宋体"/>
              </w:rPr>
            </w:pPr>
          </w:p>
        </w:tc>
        <w:tc>
          <w:tcPr>
            <w:tcW w:w="331" w:type="pct"/>
            <w:vMerge w:val="continue"/>
            <w:vAlign w:val="center"/>
          </w:tcPr>
          <w:p w14:paraId="606F8637">
            <w:pPr>
              <w:pStyle w:val="12"/>
              <w:jc w:val="center"/>
              <w:rPr>
                <w:rFonts w:ascii="宋体" w:hAnsi="宋体"/>
              </w:rPr>
            </w:pPr>
          </w:p>
        </w:tc>
        <w:tc>
          <w:tcPr>
            <w:tcW w:w="334" w:type="pct"/>
            <w:vMerge w:val="continue"/>
            <w:vAlign w:val="center"/>
          </w:tcPr>
          <w:p w14:paraId="4F97226F">
            <w:pPr>
              <w:pStyle w:val="12"/>
              <w:jc w:val="center"/>
              <w:rPr>
                <w:rFonts w:ascii="宋体" w:hAnsi="宋体"/>
              </w:rPr>
            </w:pPr>
          </w:p>
        </w:tc>
        <w:tc>
          <w:tcPr>
            <w:tcW w:w="355" w:type="pct"/>
            <w:vMerge w:val="continue"/>
            <w:vAlign w:val="center"/>
          </w:tcPr>
          <w:p w14:paraId="47949986">
            <w:pPr>
              <w:pStyle w:val="12"/>
              <w:jc w:val="center"/>
              <w:rPr>
                <w:rFonts w:ascii="宋体" w:hAnsi="宋体"/>
              </w:rPr>
            </w:pPr>
          </w:p>
        </w:tc>
        <w:tc>
          <w:tcPr>
            <w:tcW w:w="346" w:type="pct"/>
            <w:vMerge w:val="continue"/>
            <w:vAlign w:val="center"/>
          </w:tcPr>
          <w:p w14:paraId="7BF34C0E">
            <w:pPr>
              <w:pStyle w:val="12"/>
              <w:jc w:val="center"/>
              <w:rPr>
                <w:rFonts w:ascii="宋体" w:hAnsi="宋体"/>
              </w:rPr>
            </w:pPr>
          </w:p>
        </w:tc>
        <w:tc>
          <w:tcPr>
            <w:tcW w:w="347" w:type="pct"/>
            <w:vAlign w:val="center"/>
          </w:tcPr>
          <w:p w14:paraId="68FAFAE1">
            <w:pPr>
              <w:pStyle w:val="12"/>
              <w:jc w:val="center"/>
              <w:rPr>
                <w:rFonts w:ascii="宋体" w:hAnsi="宋体"/>
                <w:b/>
              </w:rPr>
            </w:pPr>
            <w:r>
              <w:rPr>
                <w:rFonts w:hint="eastAsia" w:ascii="宋体" w:hAnsi="宋体"/>
                <w:b/>
              </w:rPr>
              <w:t>全天</w:t>
            </w:r>
          </w:p>
        </w:tc>
        <w:tc>
          <w:tcPr>
            <w:tcW w:w="347" w:type="pct"/>
            <w:vAlign w:val="center"/>
          </w:tcPr>
          <w:p w14:paraId="05A0F5DB">
            <w:pPr>
              <w:pStyle w:val="12"/>
              <w:jc w:val="center"/>
              <w:rPr>
                <w:rFonts w:ascii="宋体" w:hAnsi="宋体"/>
                <w:b/>
              </w:rPr>
            </w:pPr>
            <w:r>
              <w:rPr>
                <w:rFonts w:hint="eastAsia" w:ascii="宋体" w:hAnsi="宋体"/>
                <w:b/>
              </w:rPr>
              <w:t>半天</w:t>
            </w:r>
          </w:p>
        </w:tc>
        <w:tc>
          <w:tcPr>
            <w:tcW w:w="298" w:type="pct"/>
            <w:vMerge w:val="continue"/>
            <w:vAlign w:val="center"/>
          </w:tcPr>
          <w:p w14:paraId="2F3FAB6B">
            <w:pPr>
              <w:pStyle w:val="12"/>
              <w:jc w:val="center"/>
              <w:rPr>
                <w:rFonts w:ascii="宋体" w:hAnsi="宋体"/>
              </w:rPr>
            </w:pPr>
          </w:p>
        </w:tc>
        <w:tc>
          <w:tcPr>
            <w:tcW w:w="319" w:type="pct"/>
            <w:vMerge w:val="continue"/>
            <w:vAlign w:val="center"/>
          </w:tcPr>
          <w:p w14:paraId="11938761">
            <w:pPr>
              <w:pStyle w:val="12"/>
              <w:jc w:val="center"/>
              <w:rPr>
                <w:rFonts w:ascii="宋体" w:hAnsi="宋体"/>
              </w:rPr>
            </w:pPr>
          </w:p>
        </w:tc>
        <w:tc>
          <w:tcPr>
            <w:tcW w:w="214" w:type="pct"/>
            <w:vMerge w:val="continue"/>
            <w:vAlign w:val="center"/>
          </w:tcPr>
          <w:p w14:paraId="28C175BA">
            <w:pPr>
              <w:pStyle w:val="12"/>
              <w:jc w:val="center"/>
              <w:rPr>
                <w:rFonts w:ascii="宋体" w:hAnsi="宋体"/>
              </w:rPr>
            </w:pPr>
          </w:p>
        </w:tc>
      </w:tr>
      <w:tr w14:paraId="3A0373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9" w:type="pct"/>
            <w:vMerge w:val="restart"/>
            <w:vAlign w:val="center"/>
          </w:tcPr>
          <w:p w14:paraId="18B5BBDB">
            <w:pPr>
              <w:pStyle w:val="12"/>
              <w:jc w:val="center"/>
              <w:rPr>
                <w:rFonts w:ascii="宋体" w:hAnsi="宋体"/>
              </w:rPr>
            </w:pPr>
            <w:r>
              <w:rPr>
                <w:rFonts w:hint="eastAsia" w:ascii="宋体" w:hAnsi="宋体"/>
              </w:rPr>
              <w:t>小学</w:t>
            </w:r>
          </w:p>
        </w:tc>
        <w:tc>
          <w:tcPr>
            <w:tcW w:w="777" w:type="pct"/>
            <w:vAlign w:val="center"/>
          </w:tcPr>
          <w:p w14:paraId="49E5B742">
            <w:pPr>
              <w:pStyle w:val="12"/>
              <w:jc w:val="center"/>
              <w:rPr>
                <w:rFonts w:ascii="宋体" w:hAnsi="宋体"/>
              </w:rPr>
            </w:pPr>
            <w:r>
              <w:rPr>
                <w:rFonts w:hint="eastAsia" w:ascii="宋体" w:hAnsi="宋体"/>
              </w:rPr>
              <w:t>韶关市一级</w:t>
            </w:r>
          </w:p>
        </w:tc>
        <w:tc>
          <w:tcPr>
            <w:tcW w:w="331" w:type="pct"/>
            <w:vAlign w:val="center"/>
          </w:tcPr>
          <w:p w14:paraId="4C820283">
            <w:pPr>
              <w:pStyle w:val="12"/>
              <w:jc w:val="center"/>
              <w:rPr>
                <w:rFonts w:ascii="宋体" w:hAnsi="宋体"/>
              </w:rPr>
            </w:pPr>
            <w:r>
              <w:rPr>
                <w:rFonts w:hint="eastAsia" w:ascii="宋体" w:hAnsi="宋体"/>
              </w:rPr>
              <w:t>—</w:t>
            </w:r>
          </w:p>
        </w:tc>
        <w:tc>
          <w:tcPr>
            <w:tcW w:w="331" w:type="pct"/>
            <w:vAlign w:val="center"/>
          </w:tcPr>
          <w:p w14:paraId="4024EE9B">
            <w:pPr>
              <w:pStyle w:val="12"/>
              <w:jc w:val="center"/>
              <w:rPr>
                <w:rFonts w:ascii="宋体" w:hAnsi="宋体"/>
              </w:rPr>
            </w:pPr>
            <w:r>
              <w:rPr>
                <w:rFonts w:hint="eastAsia" w:ascii="宋体" w:hAnsi="宋体"/>
              </w:rPr>
              <w:t>140</w:t>
            </w:r>
          </w:p>
        </w:tc>
        <w:tc>
          <w:tcPr>
            <w:tcW w:w="332" w:type="pct"/>
            <w:vAlign w:val="center"/>
          </w:tcPr>
          <w:p w14:paraId="51F37BA3">
            <w:pPr>
              <w:pStyle w:val="12"/>
              <w:jc w:val="center"/>
              <w:rPr>
                <w:rFonts w:ascii="宋体" w:hAnsi="宋体"/>
              </w:rPr>
            </w:pPr>
            <w:r>
              <w:rPr>
                <w:rFonts w:hint="eastAsia" w:ascii="宋体" w:hAnsi="宋体"/>
              </w:rPr>
              <w:t>60</w:t>
            </w:r>
          </w:p>
        </w:tc>
        <w:tc>
          <w:tcPr>
            <w:tcW w:w="331" w:type="pct"/>
            <w:vAlign w:val="center"/>
          </w:tcPr>
          <w:p w14:paraId="288A35DB">
            <w:pPr>
              <w:pStyle w:val="12"/>
              <w:jc w:val="center"/>
              <w:rPr>
                <w:rFonts w:ascii="宋体" w:hAnsi="宋体"/>
              </w:rPr>
            </w:pPr>
            <w:r>
              <w:rPr>
                <w:rFonts w:hint="eastAsia" w:ascii="宋体" w:hAnsi="宋体"/>
              </w:rPr>
              <w:t>120</w:t>
            </w:r>
          </w:p>
        </w:tc>
        <w:tc>
          <w:tcPr>
            <w:tcW w:w="334" w:type="pct"/>
            <w:vAlign w:val="center"/>
          </w:tcPr>
          <w:p w14:paraId="28EAAF52">
            <w:pPr>
              <w:pStyle w:val="12"/>
              <w:jc w:val="center"/>
              <w:rPr>
                <w:rFonts w:ascii="宋体" w:hAnsi="宋体"/>
              </w:rPr>
            </w:pPr>
            <w:r>
              <w:rPr>
                <w:rFonts w:hint="eastAsia" w:ascii="宋体" w:hAnsi="宋体"/>
              </w:rPr>
              <w:t>25</w:t>
            </w:r>
          </w:p>
        </w:tc>
        <w:tc>
          <w:tcPr>
            <w:tcW w:w="355" w:type="pct"/>
            <w:vAlign w:val="center"/>
          </w:tcPr>
          <w:p w14:paraId="190B922F">
            <w:pPr>
              <w:pStyle w:val="12"/>
              <w:jc w:val="center"/>
              <w:rPr>
                <w:rFonts w:ascii="宋体" w:hAnsi="宋体"/>
              </w:rPr>
            </w:pPr>
            <w:r>
              <w:rPr>
                <w:rFonts w:hint="eastAsia" w:ascii="宋体" w:hAnsi="宋体"/>
              </w:rPr>
              <w:t>120</w:t>
            </w:r>
          </w:p>
        </w:tc>
        <w:tc>
          <w:tcPr>
            <w:tcW w:w="346" w:type="pct"/>
            <w:vAlign w:val="center"/>
          </w:tcPr>
          <w:p w14:paraId="0F419238">
            <w:pPr>
              <w:pStyle w:val="12"/>
              <w:jc w:val="center"/>
              <w:rPr>
                <w:rFonts w:ascii="宋体" w:hAnsi="宋体"/>
              </w:rPr>
            </w:pPr>
            <w:r>
              <w:rPr>
                <w:rFonts w:hint="eastAsia" w:ascii="宋体" w:hAnsi="宋体"/>
              </w:rPr>
              <w:t>10</w:t>
            </w:r>
          </w:p>
        </w:tc>
        <w:tc>
          <w:tcPr>
            <w:tcW w:w="347" w:type="pct"/>
            <w:vAlign w:val="center"/>
          </w:tcPr>
          <w:p w14:paraId="29575944">
            <w:pPr>
              <w:pStyle w:val="12"/>
              <w:jc w:val="center"/>
              <w:rPr>
                <w:rFonts w:ascii="宋体" w:hAnsi="宋体"/>
              </w:rPr>
            </w:pPr>
            <w:r>
              <w:rPr>
                <w:rFonts w:hint="eastAsia" w:ascii="宋体" w:hAnsi="宋体"/>
              </w:rPr>
              <w:t>60</w:t>
            </w:r>
          </w:p>
        </w:tc>
        <w:tc>
          <w:tcPr>
            <w:tcW w:w="347" w:type="pct"/>
            <w:vAlign w:val="center"/>
          </w:tcPr>
          <w:p w14:paraId="3BA72687">
            <w:pPr>
              <w:pStyle w:val="12"/>
              <w:jc w:val="center"/>
              <w:rPr>
                <w:rFonts w:ascii="宋体" w:hAnsi="宋体"/>
              </w:rPr>
            </w:pPr>
            <w:r>
              <w:rPr>
                <w:rFonts w:hint="eastAsia" w:ascii="宋体" w:hAnsi="宋体"/>
              </w:rPr>
              <w:t>30</w:t>
            </w:r>
          </w:p>
        </w:tc>
        <w:tc>
          <w:tcPr>
            <w:tcW w:w="298" w:type="pct"/>
            <w:vMerge w:val="restart"/>
            <w:vAlign w:val="center"/>
          </w:tcPr>
          <w:p w14:paraId="2748E03A">
            <w:pPr>
              <w:pStyle w:val="12"/>
              <w:jc w:val="center"/>
              <w:rPr>
                <w:rFonts w:ascii="宋体" w:hAnsi="宋体"/>
              </w:rPr>
            </w:pPr>
            <w:r>
              <w:rPr>
                <w:rFonts w:hint="eastAsia" w:ascii="宋体" w:hAnsi="宋体"/>
              </w:rPr>
              <w:t>新生一次性收取8.00元</w:t>
            </w:r>
          </w:p>
        </w:tc>
        <w:tc>
          <w:tcPr>
            <w:tcW w:w="319" w:type="pct"/>
            <w:vMerge w:val="restart"/>
            <w:vAlign w:val="center"/>
          </w:tcPr>
          <w:p w14:paraId="643822A0">
            <w:pPr>
              <w:pStyle w:val="12"/>
              <w:jc w:val="center"/>
              <w:rPr>
                <w:rFonts w:ascii="宋体" w:hAnsi="宋体"/>
              </w:rPr>
            </w:pPr>
            <w:r>
              <w:rPr>
                <w:rFonts w:hint="eastAsia" w:ascii="宋体" w:hAnsi="宋体"/>
              </w:rPr>
              <w:t>常规体检5.00元，X光3元</w:t>
            </w:r>
          </w:p>
        </w:tc>
        <w:tc>
          <w:tcPr>
            <w:tcW w:w="214" w:type="pct"/>
            <w:vMerge w:val="restart"/>
            <w:vAlign w:val="center"/>
          </w:tcPr>
          <w:p w14:paraId="53691377">
            <w:pPr>
              <w:pStyle w:val="12"/>
              <w:jc w:val="center"/>
              <w:rPr>
                <w:rFonts w:ascii="宋体" w:hAnsi="宋体"/>
              </w:rPr>
            </w:pPr>
            <w:r>
              <w:rPr>
                <w:rFonts w:hint="eastAsia" w:ascii="宋体" w:hAnsi="宋体"/>
              </w:rPr>
              <w:t>饭菜票不得再含厨工费</w:t>
            </w:r>
          </w:p>
        </w:tc>
      </w:tr>
      <w:tr w14:paraId="63F4A8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9" w:type="pct"/>
            <w:vMerge w:val="continue"/>
            <w:vAlign w:val="center"/>
          </w:tcPr>
          <w:p w14:paraId="38563E25">
            <w:pPr>
              <w:pStyle w:val="12"/>
              <w:jc w:val="center"/>
              <w:rPr>
                <w:rFonts w:ascii="宋体" w:hAnsi="宋体"/>
              </w:rPr>
            </w:pPr>
          </w:p>
        </w:tc>
        <w:tc>
          <w:tcPr>
            <w:tcW w:w="777" w:type="pct"/>
            <w:vAlign w:val="center"/>
          </w:tcPr>
          <w:p w14:paraId="3E02AD6B">
            <w:pPr>
              <w:pStyle w:val="12"/>
              <w:jc w:val="center"/>
              <w:rPr>
                <w:rFonts w:ascii="宋体" w:hAnsi="宋体"/>
              </w:rPr>
            </w:pPr>
            <w:r>
              <w:rPr>
                <w:rFonts w:hint="eastAsia" w:ascii="宋体" w:hAnsi="宋体"/>
              </w:rPr>
              <w:t>南雄市一级</w:t>
            </w:r>
          </w:p>
        </w:tc>
        <w:tc>
          <w:tcPr>
            <w:tcW w:w="331" w:type="pct"/>
            <w:vAlign w:val="center"/>
          </w:tcPr>
          <w:p w14:paraId="5343E30F">
            <w:pPr>
              <w:pStyle w:val="12"/>
              <w:jc w:val="center"/>
              <w:rPr>
                <w:rFonts w:ascii="宋体" w:hAnsi="宋体"/>
              </w:rPr>
            </w:pPr>
            <w:r>
              <w:rPr>
                <w:rFonts w:hint="eastAsia" w:ascii="宋体" w:hAnsi="宋体"/>
              </w:rPr>
              <w:t>—</w:t>
            </w:r>
          </w:p>
        </w:tc>
        <w:tc>
          <w:tcPr>
            <w:tcW w:w="331" w:type="pct"/>
            <w:vAlign w:val="center"/>
          </w:tcPr>
          <w:p w14:paraId="3546E159">
            <w:pPr>
              <w:pStyle w:val="12"/>
              <w:jc w:val="center"/>
              <w:rPr>
                <w:rFonts w:ascii="宋体" w:hAnsi="宋体"/>
              </w:rPr>
            </w:pPr>
            <w:r>
              <w:rPr>
                <w:rFonts w:hint="eastAsia" w:ascii="宋体" w:hAnsi="宋体"/>
              </w:rPr>
              <w:t>130</w:t>
            </w:r>
          </w:p>
        </w:tc>
        <w:tc>
          <w:tcPr>
            <w:tcW w:w="332" w:type="pct"/>
            <w:vAlign w:val="center"/>
          </w:tcPr>
          <w:p w14:paraId="14E52B76">
            <w:pPr>
              <w:pStyle w:val="12"/>
              <w:jc w:val="center"/>
              <w:rPr>
                <w:rFonts w:ascii="宋体" w:hAnsi="宋体"/>
              </w:rPr>
            </w:pPr>
            <w:r>
              <w:rPr>
                <w:rFonts w:hint="eastAsia" w:ascii="宋体" w:hAnsi="宋体"/>
              </w:rPr>
              <w:t>60</w:t>
            </w:r>
          </w:p>
        </w:tc>
        <w:tc>
          <w:tcPr>
            <w:tcW w:w="331" w:type="pct"/>
            <w:vAlign w:val="center"/>
          </w:tcPr>
          <w:p w14:paraId="53E0D55F">
            <w:pPr>
              <w:pStyle w:val="12"/>
              <w:jc w:val="center"/>
              <w:rPr>
                <w:rFonts w:ascii="宋体" w:hAnsi="宋体"/>
              </w:rPr>
            </w:pPr>
            <w:r>
              <w:rPr>
                <w:rFonts w:hint="eastAsia" w:ascii="宋体" w:hAnsi="宋体"/>
              </w:rPr>
              <w:t>120</w:t>
            </w:r>
          </w:p>
        </w:tc>
        <w:tc>
          <w:tcPr>
            <w:tcW w:w="334" w:type="pct"/>
            <w:vAlign w:val="center"/>
          </w:tcPr>
          <w:p w14:paraId="258BA406">
            <w:pPr>
              <w:pStyle w:val="12"/>
              <w:jc w:val="center"/>
              <w:rPr>
                <w:rFonts w:ascii="宋体" w:hAnsi="宋体"/>
              </w:rPr>
            </w:pPr>
            <w:r>
              <w:rPr>
                <w:rFonts w:hint="eastAsia" w:ascii="宋体" w:hAnsi="宋体"/>
              </w:rPr>
              <w:t>25</w:t>
            </w:r>
          </w:p>
        </w:tc>
        <w:tc>
          <w:tcPr>
            <w:tcW w:w="355" w:type="pct"/>
            <w:vAlign w:val="center"/>
          </w:tcPr>
          <w:p w14:paraId="701F6D77">
            <w:pPr>
              <w:pStyle w:val="12"/>
              <w:jc w:val="center"/>
              <w:rPr>
                <w:rFonts w:ascii="宋体" w:hAnsi="宋体"/>
              </w:rPr>
            </w:pPr>
            <w:r>
              <w:rPr>
                <w:rFonts w:hint="eastAsia" w:ascii="宋体" w:hAnsi="宋体"/>
              </w:rPr>
              <w:t>120</w:t>
            </w:r>
          </w:p>
        </w:tc>
        <w:tc>
          <w:tcPr>
            <w:tcW w:w="346" w:type="pct"/>
            <w:vAlign w:val="center"/>
          </w:tcPr>
          <w:p w14:paraId="52AF39E0">
            <w:pPr>
              <w:pStyle w:val="12"/>
              <w:jc w:val="center"/>
              <w:rPr>
                <w:rFonts w:ascii="宋体" w:hAnsi="宋体"/>
              </w:rPr>
            </w:pPr>
            <w:r>
              <w:rPr>
                <w:rFonts w:hint="eastAsia" w:ascii="宋体" w:hAnsi="宋体"/>
              </w:rPr>
              <w:t>10</w:t>
            </w:r>
          </w:p>
        </w:tc>
        <w:tc>
          <w:tcPr>
            <w:tcW w:w="347" w:type="pct"/>
            <w:vAlign w:val="center"/>
          </w:tcPr>
          <w:p w14:paraId="39421DDE">
            <w:pPr>
              <w:pStyle w:val="12"/>
              <w:jc w:val="center"/>
              <w:rPr>
                <w:rFonts w:ascii="宋体" w:hAnsi="宋体"/>
              </w:rPr>
            </w:pPr>
            <w:r>
              <w:rPr>
                <w:rFonts w:hint="eastAsia" w:ascii="宋体" w:hAnsi="宋体"/>
              </w:rPr>
              <w:t>60</w:t>
            </w:r>
          </w:p>
        </w:tc>
        <w:tc>
          <w:tcPr>
            <w:tcW w:w="347" w:type="pct"/>
            <w:vAlign w:val="center"/>
          </w:tcPr>
          <w:p w14:paraId="11499D65">
            <w:pPr>
              <w:pStyle w:val="12"/>
              <w:jc w:val="center"/>
              <w:rPr>
                <w:rFonts w:ascii="宋体" w:hAnsi="宋体"/>
              </w:rPr>
            </w:pPr>
            <w:r>
              <w:rPr>
                <w:rFonts w:hint="eastAsia" w:ascii="宋体" w:hAnsi="宋体"/>
              </w:rPr>
              <w:t>30</w:t>
            </w:r>
          </w:p>
        </w:tc>
        <w:tc>
          <w:tcPr>
            <w:tcW w:w="298" w:type="pct"/>
            <w:vMerge w:val="continue"/>
            <w:vAlign w:val="center"/>
          </w:tcPr>
          <w:p w14:paraId="4682670A">
            <w:pPr>
              <w:pStyle w:val="12"/>
              <w:jc w:val="center"/>
              <w:rPr>
                <w:rFonts w:ascii="宋体" w:hAnsi="宋体"/>
              </w:rPr>
            </w:pPr>
          </w:p>
        </w:tc>
        <w:tc>
          <w:tcPr>
            <w:tcW w:w="319" w:type="pct"/>
            <w:vMerge w:val="continue"/>
            <w:vAlign w:val="center"/>
          </w:tcPr>
          <w:p w14:paraId="591F8DA4">
            <w:pPr>
              <w:pStyle w:val="12"/>
              <w:jc w:val="center"/>
              <w:rPr>
                <w:rFonts w:ascii="宋体" w:hAnsi="宋体"/>
              </w:rPr>
            </w:pPr>
          </w:p>
        </w:tc>
        <w:tc>
          <w:tcPr>
            <w:tcW w:w="214" w:type="pct"/>
            <w:vMerge w:val="continue"/>
            <w:vAlign w:val="center"/>
          </w:tcPr>
          <w:p w14:paraId="5CB18049">
            <w:pPr>
              <w:pStyle w:val="12"/>
              <w:jc w:val="center"/>
              <w:rPr>
                <w:rFonts w:ascii="宋体" w:hAnsi="宋体"/>
              </w:rPr>
            </w:pPr>
          </w:p>
        </w:tc>
      </w:tr>
      <w:tr w14:paraId="0EFFD2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9" w:type="pct"/>
            <w:vMerge w:val="continue"/>
            <w:vAlign w:val="center"/>
          </w:tcPr>
          <w:p w14:paraId="06188F80">
            <w:pPr>
              <w:pStyle w:val="12"/>
              <w:jc w:val="center"/>
              <w:rPr>
                <w:rFonts w:ascii="宋体" w:hAnsi="宋体"/>
              </w:rPr>
            </w:pPr>
          </w:p>
        </w:tc>
        <w:tc>
          <w:tcPr>
            <w:tcW w:w="777" w:type="pct"/>
            <w:vAlign w:val="center"/>
          </w:tcPr>
          <w:p w14:paraId="261862CD">
            <w:pPr>
              <w:pStyle w:val="12"/>
              <w:jc w:val="center"/>
              <w:rPr>
                <w:rFonts w:ascii="宋体" w:hAnsi="宋体"/>
              </w:rPr>
            </w:pPr>
            <w:r>
              <w:rPr>
                <w:rFonts w:hint="eastAsia" w:ascii="宋体" w:hAnsi="宋体"/>
              </w:rPr>
              <w:t>普通含农村</w:t>
            </w:r>
          </w:p>
        </w:tc>
        <w:tc>
          <w:tcPr>
            <w:tcW w:w="331" w:type="pct"/>
            <w:vAlign w:val="center"/>
          </w:tcPr>
          <w:p w14:paraId="01EC7BA6">
            <w:pPr>
              <w:pStyle w:val="12"/>
              <w:jc w:val="center"/>
              <w:rPr>
                <w:rFonts w:ascii="宋体" w:hAnsi="宋体"/>
              </w:rPr>
            </w:pPr>
            <w:r>
              <w:rPr>
                <w:rFonts w:hint="eastAsia" w:ascii="宋体" w:hAnsi="宋体"/>
              </w:rPr>
              <w:t>—</w:t>
            </w:r>
          </w:p>
        </w:tc>
        <w:tc>
          <w:tcPr>
            <w:tcW w:w="331" w:type="pct"/>
            <w:vAlign w:val="center"/>
          </w:tcPr>
          <w:p w14:paraId="260F0087">
            <w:pPr>
              <w:pStyle w:val="12"/>
              <w:jc w:val="center"/>
              <w:rPr>
                <w:rFonts w:ascii="宋体" w:hAnsi="宋体"/>
              </w:rPr>
            </w:pPr>
            <w:r>
              <w:rPr>
                <w:rFonts w:hint="eastAsia" w:ascii="宋体" w:hAnsi="宋体"/>
              </w:rPr>
              <w:t>100</w:t>
            </w:r>
          </w:p>
        </w:tc>
        <w:tc>
          <w:tcPr>
            <w:tcW w:w="332" w:type="pct"/>
            <w:vAlign w:val="center"/>
          </w:tcPr>
          <w:p w14:paraId="4535EF7D">
            <w:pPr>
              <w:pStyle w:val="12"/>
              <w:jc w:val="center"/>
              <w:rPr>
                <w:rFonts w:ascii="宋体" w:hAnsi="宋体"/>
              </w:rPr>
            </w:pPr>
            <w:r>
              <w:rPr>
                <w:rFonts w:hint="eastAsia" w:ascii="宋体" w:hAnsi="宋体"/>
              </w:rPr>
              <w:t>60</w:t>
            </w:r>
          </w:p>
        </w:tc>
        <w:tc>
          <w:tcPr>
            <w:tcW w:w="331" w:type="pct"/>
            <w:vAlign w:val="center"/>
          </w:tcPr>
          <w:p w14:paraId="7A61D721">
            <w:pPr>
              <w:pStyle w:val="12"/>
              <w:jc w:val="center"/>
              <w:rPr>
                <w:rFonts w:ascii="宋体" w:hAnsi="宋体"/>
              </w:rPr>
            </w:pPr>
            <w:r>
              <w:rPr>
                <w:rFonts w:hint="eastAsia" w:ascii="宋体" w:hAnsi="宋体"/>
              </w:rPr>
              <w:t>120</w:t>
            </w:r>
          </w:p>
        </w:tc>
        <w:tc>
          <w:tcPr>
            <w:tcW w:w="334" w:type="pct"/>
            <w:vAlign w:val="center"/>
          </w:tcPr>
          <w:p w14:paraId="55004C5A">
            <w:pPr>
              <w:pStyle w:val="12"/>
              <w:jc w:val="center"/>
              <w:rPr>
                <w:rFonts w:ascii="宋体" w:hAnsi="宋体"/>
              </w:rPr>
            </w:pPr>
            <w:r>
              <w:rPr>
                <w:rFonts w:hint="eastAsia" w:ascii="宋体" w:hAnsi="宋体"/>
              </w:rPr>
              <w:t>25</w:t>
            </w:r>
          </w:p>
        </w:tc>
        <w:tc>
          <w:tcPr>
            <w:tcW w:w="355" w:type="pct"/>
            <w:vAlign w:val="center"/>
          </w:tcPr>
          <w:p w14:paraId="722F1C87">
            <w:pPr>
              <w:pStyle w:val="12"/>
              <w:jc w:val="center"/>
              <w:rPr>
                <w:rFonts w:ascii="宋体" w:hAnsi="宋体"/>
              </w:rPr>
            </w:pPr>
            <w:r>
              <w:rPr>
                <w:rFonts w:hint="eastAsia" w:ascii="宋体" w:hAnsi="宋体"/>
              </w:rPr>
              <w:t>120</w:t>
            </w:r>
          </w:p>
        </w:tc>
        <w:tc>
          <w:tcPr>
            <w:tcW w:w="346" w:type="pct"/>
            <w:vAlign w:val="center"/>
          </w:tcPr>
          <w:p w14:paraId="31B7D36B">
            <w:pPr>
              <w:pStyle w:val="12"/>
              <w:jc w:val="center"/>
              <w:rPr>
                <w:rFonts w:ascii="宋体" w:hAnsi="宋体"/>
              </w:rPr>
            </w:pPr>
            <w:r>
              <w:rPr>
                <w:rFonts w:hint="eastAsia" w:ascii="宋体" w:hAnsi="宋体"/>
              </w:rPr>
              <w:t>10</w:t>
            </w:r>
          </w:p>
        </w:tc>
        <w:tc>
          <w:tcPr>
            <w:tcW w:w="347" w:type="pct"/>
            <w:vAlign w:val="center"/>
          </w:tcPr>
          <w:p w14:paraId="5ECEAF85">
            <w:pPr>
              <w:pStyle w:val="12"/>
              <w:jc w:val="center"/>
              <w:rPr>
                <w:rFonts w:ascii="宋体" w:hAnsi="宋体"/>
              </w:rPr>
            </w:pPr>
            <w:r>
              <w:rPr>
                <w:rFonts w:hint="eastAsia" w:ascii="宋体" w:hAnsi="宋体"/>
              </w:rPr>
              <w:t>60</w:t>
            </w:r>
          </w:p>
        </w:tc>
        <w:tc>
          <w:tcPr>
            <w:tcW w:w="347" w:type="pct"/>
            <w:vAlign w:val="center"/>
          </w:tcPr>
          <w:p w14:paraId="2230C6DE">
            <w:pPr>
              <w:pStyle w:val="12"/>
              <w:jc w:val="center"/>
              <w:rPr>
                <w:rFonts w:ascii="宋体" w:hAnsi="宋体"/>
              </w:rPr>
            </w:pPr>
            <w:r>
              <w:rPr>
                <w:rFonts w:hint="eastAsia" w:ascii="宋体" w:hAnsi="宋体"/>
              </w:rPr>
              <w:t>30</w:t>
            </w:r>
          </w:p>
        </w:tc>
        <w:tc>
          <w:tcPr>
            <w:tcW w:w="298" w:type="pct"/>
            <w:vMerge w:val="continue"/>
            <w:vAlign w:val="center"/>
          </w:tcPr>
          <w:p w14:paraId="0B0D008D">
            <w:pPr>
              <w:pStyle w:val="12"/>
              <w:jc w:val="center"/>
              <w:rPr>
                <w:rFonts w:ascii="宋体" w:hAnsi="宋体"/>
              </w:rPr>
            </w:pPr>
          </w:p>
        </w:tc>
        <w:tc>
          <w:tcPr>
            <w:tcW w:w="319" w:type="pct"/>
            <w:vMerge w:val="continue"/>
            <w:vAlign w:val="center"/>
          </w:tcPr>
          <w:p w14:paraId="71650245">
            <w:pPr>
              <w:pStyle w:val="12"/>
              <w:jc w:val="center"/>
              <w:rPr>
                <w:rFonts w:ascii="宋体" w:hAnsi="宋体"/>
              </w:rPr>
            </w:pPr>
          </w:p>
        </w:tc>
        <w:tc>
          <w:tcPr>
            <w:tcW w:w="214" w:type="pct"/>
            <w:vMerge w:val="continue"/>
            <w:vAlign w:val="center"/>
          </w:tcPr>
          <w:p w14:paraId="56320073">
            <w:pPr>
              <w:pStyle w:val="12"/>
              <w:jc w:val="center"/>
              <w:rPr>
                <w:rFonts w:ascii="宋体" w:hAnsi="宋体"/>
              </w:rPr>
            </w:pPr>
          </w:p>
        </w:tc>
      </w:tr>
      <w:tr w14:paraId="424713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9" w:type="pct"/>
            <w:vMerge w:val="restart"/>
            <w:vAlign w:val="center"/>
          </w:tcPr>
          <w:p w14:paraId="6F812918">
            <w:pPr>
              <w:pStyle w:val="12"/>
              <w:jc w:val="center"/>
              <w:rPr>
                <w:rFonts w:ascii="宋体" w:hAnsi="宋体"/>
              </w:rPr>
            </w:pPr>
            <w:r>
              <w:rPr>
                <w:rFonts w:hint="eastAsia" w:ascii="宋体" w:hAnsi="宋体"/>
              </w:rPr>
              <w:t>初中</w:t>
            </w:r>
          </w:p>
        </w:tc>
        <w:tc>
          <w:tcPr>
            <w:tcW w:w="777" w:type="pct"/>
            <w:vAlign w:val="center"/>
          </w:tcPr>
          <w:p w14:paraId="202024BC">
            <w:pPr>
              <w:pStyle w:val="12"/>
              <w:jc w:val="center"/>
              <w:rPr>
                <w:rFonts w:ascii="宋体" w:hAnsi="宋体"/>
              </w:rPr>
            </w:pPr>
            <w:r>
              <w:rPr>
                <w:rFonts w:hint="eastAsia" w:ascii="宋体" w:hAnsi="宋体"/>
              </w:rPr>
              <w:t>初中重点、市一级</w:t>
            </w:r>
          </w:p>
        </w:tc>
        <w:tc>
          <w:tcPr>
            <w:tcW w:w="331" w:type="pct"/>
            <w:vAlign w:val="center"/>
          </w:tcPr>
          <w:p w14:paraId="2354B959">
            <w:pPr>
              <w:pStyle w:val="12"/>
              <w:jc w:val="center"/>
              <w:rPr>
                <w:rFonts w:ascii="宋体" w:hAnsi="宋体"/>
              </w:rPr>
            </w:pPr>
            <w:r>
              <w:rPr>
                <w:rFonts w:hint="eastAsia" w:ascii="宋体" w:hAnsi="宋体"/>
              </w:rPr>
              <w:t>—</w:t>
            </w:r>
          </w:p>
        </w:tc>
        <w:tc>
          <w:tcPr>
            <w:tcW w:w="331" w:type="pct"/>
            <w:vAlign w:val="center"/>
          </w:tcPr>
          <w:p w14:paraId="111A6547">
            <w:pPr>
              <w:pStyle w:val="12"/>
              <w:jc w:val="center"/>
              <w:rPr>
                <w:rFonts w:ascii="宋体" w:hAnsi="宋体"/>
              </w:rPr>
            </w:pPr>
            <w:r>
              <w:rPr>
                <w:rFonts w:hint="eastAsia" w:ascii="宋体" w:hAnsi="宋体"/>
              </w:rPr>
              <w:t>164</w:t>
            </w:r>
          </w:p>
        </w:tc>
        <w:tc>
          <w:tcPr>
            <w:tcW w:w="332" w:type="pct"/>
            <w:vAlign w:val="center"/>
          </w:tcPr>
          <w:p w14:paraId="326461CD">
            <w:pPr>
              <w:pStyle w:val="12"/>
              <w:jc w:val="center"/>
              <w:rPr>
                <w:rFonts w:ascii="宋体" w:hAnsi="宋体"/>
              </w:rPr>
            </w:pPr>
            <w:r>
              <w:rPr>
                <w:rFonts w:hint="eastAsia" w:ascii="宋体" w:hAnsi="宋体"/>
              </w:rPr>
              <w:t>100</w:t>
            </w:r>
          </w:p>
        </w:tc>
        <w:tc>
          <w:tcPr>
            <w:tcW w:w="331" w:type="pct"/>
            <w:vAlign w:val="center"/>
          </w:tcPr>
          <w:p w14:paraId="3F600565">
            <w:pPr>
              <w:pStyle w:val="12"/>
              <w:jc w:val="center"/>
              <w:rPr>
                <w:rFonts w:ascii="宋体" w:hAnsi="宋体"/>
              </w:rPr>
            </w:pPr>
            <w:r>
              <w:rPr>
                <w:rFonts w:hint="eastAsia" w:ascii="宋体" w:hAnsi="宋体"/>
              </w:rPr>
              <w:t>190</w:t>
            </w:r>
          </w:p>
        </w:tc>
        <w:tc>
          <w:tcPr>
            <w:tcW w:w="334" w:type="pct"/>
            <w:vAlign w:val="center"/>
          </w:tcPr>
          <w:p w14:paraId="7D08F03F">
            <w:pPr>
              <w:pStyle w:val="12"/>
              <w:jc w:val="center"/>
              <w:rPr>
                <w:rFonts w:ascii="宋体" w:hAnsi="宋体"/>
              </w:rPr>
            </w:pPr>
            <w:r>
              <w:rPr>
                <w:rFonts w:hint="eastAsia" w:ascii="宋体" w:hAnsi="宋体"/>
              </w:rPr>
              <w:t>25</w:t>
            </w:r>
          </w:p>
        </w:tc>
        <w:tc>
          <w:tcPr>
            <w:tcW w:w="355" w:type="pct"/>
            <w:vAlign w:val="center"/>
          </w:tcPr>
          <w:p w14:paraId="04B430DA">
            <w:pPr>
              <w:pStyle w:val="12"/>
              <w:jc w:val="center"/>
              <w:rPr>
                <w:rFonts w:ascii="宋体" w:hAnsi="宋体"/>
              </w:rPr>
            </w:pPr>
            <w:r>
              <w:rPr>
                <w:rFonts w:hint="eastAsia" w:ascii="宋体" w:hAnsi="宋体"/>
              </w:rPr>
              <w:t>150</w:t>
            </w:r>
          </w:p>
        </w:tc>
        <w:tc>
          <w:tcPr>
            <w:tcW w:w="346" w:type="pct"/>
            <w:vAlign w:val="center"/>
          </w:tcPr>
          <w:p w14:paraId="08787420">
            <w:pPr>
              <w:pStyle w:val="12"/>
              <w:jc w:val="center"/>
              <w:rPr>
                <w:rFonts w:ascii="宋体" w:hAnsi="宋体"/>
              </w:rPr>
            </w:pPr>
            <w:r>
              <w:rPr>
                <w:rFonts w:hint="eastAsia" w:ascii="宋体" w:hAnsi="宋体"/>
              </w:rPr>
              <w:t>15</w:t>
            </w:r>
          </w:p>
        </w:tc>
        <w:tc>
          <w:tcPr>
            <w:tcW w:w="347" w:type="pct"/>
            <w:vAlign w:val="center"/>
          </w:tcPr>
          <w:p w14:paraId="6E7F55BE">
            <w:pPr>
              <w:pStyle w:val="12"/>
              <w:jc w:val="center"/>
              <w:rPr>
                <w:rFonts w:ascii="宋体" w:hAnsi="宋体"/>
              </w:rPr>
            </w:pPr>
            <w:r>
              <w:rPr>
                <w:rFonts w:hint="eastAsia" w:ascii="宋体" w:hAnsi="宋体"/>
              </w:rPr>
              <w:t>60</w:t>
            </w:r>
          </w:p>
        </w:tc>
        <w:tc>
          <w:tcPr>
            <w:tcW w:w="347" w:type="pct"/>
            <w:vAlign w:val="center"/>
          </w:tcPr>
          <w:p w14:paraId="3F4F532A">
            <w:pPr>
              <w:pStyle w:val="12"/>
              <w:jc w:val="center"/>
              <w:rPr>
                <w:rFonts w:ascii="宋体" w:hAnsi="宋体"/>
              </w:rPr>
            </w:pPr>
            <w:r>
              <w:rPr>
                <w:rFonts w:hint="eastAsia" w:ascii="宋体" w:hAnsi="宋体"/>
              </w:rPr>
              <w:t>30</w:t>
            </w:r>
          </w:p>
        </w:tc>
        <w:tc>
          <w:tcPr>
            <w:tcW w:w="298" w:type="pct"/>
            <w:vMerge w:val="continue"/>
            <w:vAlign w:val="center"/>
          </w:tcPr>
          <w:p w14:paraId="1EBE9463">
            <w:pPr>
              <w:pStyle w:val="12"/>
              <w:jc w:val="center"/>
              <w:rPr>
                <w:rFonts w:ascii="宋体" w:hAnsi="宋体"/>
              </w:rPr>
            </w:pPr>
          </w:p>
        </w:tc>
        <w:tc>
          <w:tcPr>
            <w:tcW w:w="319" w:type="pct"/>
            <w:vMerge w:val="continue"/>
            <w:vAlign w:val="center"/>
          </w:tcPr>
          <w:p w14:paraId="0094FF99">
            <w:pPr>
              <w:pStyle w:val="12"/>
              <w:jc w:val="center"/>
              <w:rPr>
                <w:rFonts w:ascii="宋体" w:hAnsi="宋体"/>
              </w:rPr>
            </w:pPr>
          </w:p>
        </w:tc>
        <w:tc>
          <w:tcPr>
            <w:tcW w:w="214" w:type="pct"/>
            <w:vMerge w:val="continue"/>
            <w:vAlign w:val="center"/>
          </w:tcPr>
          <w:p w14:paraId="4B4E105A">
            <w:pPr>
              <w:pStyle w:val="12"/>
              <w:jc w:val="center"/>
              <w:rPr>
                <w:rFonts w:ascii="宋体" w:hAnsi="宋体"/>
              </w:rPr>
            </w:pPr>
          </w:p>
        </w:tc>
      </w:tr>
      <w:tr w14:paraId="2A659A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9" w:type="pct"/>
            <w:vMerge w:val="continue"/>
            <w:vAlign w:val="center"/>
          </w:tcPr>
          <w:p w14:paraId="36474368">
            <w:pPr>
              <w:pStyle w:val="12"/>
              <w:jc w:val="center"/>
              <w:rPr>
                <w:rFonts w:ascii="宋体" w:hAnsi="宋体"/>
              </w:rPr>
            </w:pPr>
          </w:p>
        </w:tc>
        <w:tc>
          <w:tcPr>
            <w:tcW w:w="777" w:type="pct"/>
            <w:vAlign w:val="center"/>
          </w:tcPr>
          <w:p w14:paraId="5AF534BD">
            <w:pPr>
              <w:pStyle w:val="12"/>
              <w:jc w:val="center"/>
              <w:rPr>
                <w:rFonts w:ascii="宋体" w:hAnsi="宋体"/>
              </w:rPr>
            </w:pPr>
            <w:r>
              <w:rPr>
                <w:rFonts w:hint="eastAsia" w:ascii="宋体" w:hAnsi="宋体"/>
              </w:rPr>
              <w:t>普通含农村</w:t>
            </w:r>
          </w:p>
        </w:tc>
        <w:tc>
          <w:tcPr>
            <w:tcW w:w="331" w:type="pct"/>
            <w:vAlign w:val="center"/>
          </w:tcPr>
          <w:p w14:paraId="1913BEB8">
            <w:pPr>
              <w:pStyle w:val="12"/>
              <w:jc w:val="center"/>
              <w:rPr>
                <w:rFonts w:ascii="宋体" w:hAnsi="宋体"/>
              </w:rPr>
            </w:pPr>
            <w:r>
              <w:rPr>
                <w:rFonts w:hint="eastAsia" w:ascii="宋体" w:hAnsi="宋体"/>
              </w:rPr>
              <w:t>—</w:t>
            </w:r>
          </w:p>
        </w:tc>
        <w:tc>
          <w:tcPr>
            <w:tcW w:w="331" w:type="pct"/>
            <w:vAlign w:val="center"/>
          </w:tcPr>
          <w:p w14:paraId="711F4ADD">
            <w:pPr>
              <w:pStyle w:val="12"/>
              <w:jc w:val="center"/>
              <w:rPr>
                <w:rFonts w:ascii="宋体" w:hAnsi="宋体"/>
              </w:rPr>
            </w:pPr>
            <w:r>
              <w:rPr>
                <w:rFonts w:hint="eastAsia" w:ascii="宋体" w:hAnsi="宋体"/>
              </w:rPr>
              <w:t>140</w:t>
            </w:r>
          </w:p>
        </w:tc>
        <w:tc>
          <w:tcPr>
            <w:tcW w:w="332" w:type="pct"/>
            <w:vAlign w:val="center"/>
          </w:tcPr>
          <w:p w14:paraId="3A3F84C9">
            <w:pPr>
              <w:pStyle w:val="12"/>
              <w:jc w:val="center"/>
              <w:rPr>
                <w:rFonts w:ascii="宋体" w:hAnsi="宋体"/>
              </w:rPr>
            </w:pPr>
            <w:r>
              <w:rPr>
                <w:rFonts w:hint="eastAsia" w:ascii="宋体" w:hAnsi="宋体"/>
              </w:rPr>
              <w:t>100</w:t>
            </w:r>
          </w:p>
        </w:tc>
        <w:tc>
          <w:tcPr>
            <w:tcW w:w="331" w:type="pct"/>
            <w:vAlign w:val="center"/>
          </w:tcPr>
          <w:p w14:paraId="10964080">
            <w:pPr>
              <w:pStyle w:val="12"/>
              <w:jc w:val="center"/>
              <w:rPr>
                <w:rFonts w:ascii="宋体" w:hAnsi="宋体"/>
              </w:rPr>
            </w:pPr>
            <w:r>
              <w:rPr>
                <w:rFonts w:hint="eastAsia" w:ascii="宋体" w:hAnsi="宋体"/>
              </w:rPr>
              <w:t>190</w:t>
            </w:r>
          </w:p>
        </w:tc>
        <w:tc>
          <w:tcPr>
            <w:tcW w:w="334" w:type="pct"/>
            <w:vAlign w:val="center"/>
          </w:tcPr>
          <w:p w14:paraId="24437F27">
            <w:pPr>
              <w:pStyle w:val="12"/>
              <w:jc w:val="center"/>
              <w:rPr>
                <w:rFonts w:ascii="宋体" w:hAnsi="宋体"/>
              </w:rPr>
            </w:pPr>
            <w:r>
              <w:rPr>
                <w:rFonts w:hint="eastAsia" w:ascii="宋体" w:hAnsi="宋体"/>
              </w:rPr>
              <w:t>25</w:t>
            </w:r>
          </w:p>
        </w:tc>
        <w:tc>
          <w:tcPr>
            <w:tcW w:w="355" w:type="pct"/>
            <w:vAlign w:val="center"/>
          </w:tcPr>
          <w:p w14:paraId="68CF863D">
            <w:pPr>
              <w:pStyle w:val="12"/>
              <w:jc w:val="center"/>
              <w:rPr>
                <w:rFonts w:ascii="宋体" w:hAnsi="宋体"/>
              </w:rPr>
            </w:pPr>
            <w:r>
              <w:rPr>
                <w:rFonts w:hint="eastAsia" w:ascii="宋体" w:hAnsi="宋体"/>
              </w:rPr>
              <w:t>150</w:t>
            </w:r>
          </w:p>
        </w:tc>
        <w:tc>
          <w:tcPr>
            <w:tcW w:w="346" w:type="pct"/>
            <w:vAlign w:val="center"/>
          </w:tcPr>
          <w:p w14:paraId="407A3512">
            <w:pPr>
              <w:pStyle w:val="12"/>
              <w:jc w:val="center"/>
              <w:rPr>
                <w:rFonts w:ascii="宋体" w:hAnsi="宋体"/>
              </w:rPr>
            </w:pPr>
            <w:r>
              <w:rPr>
                <w:rFonts w:hint="eastAsia" w:ascii="宋体" w:hAnsi="宋体"/>
              </w:rPr>
              <w:t>15</w:t>
            </w:r>
          </w:p>
        </w:tc>
        <w:tc>
          <w:tcPr>
            <w:tcW w:w="347" w:type="pct"/>
            <w:vAlign w:val="center"/>
          </w:tcPr>
          <w:p w14:paraId="028540C9">
            <w:pPr>
              <w:pStyle w:val="12"/>
              <w:jc w:val="center"/>
              <w:rPr>
                <w:rFonts w:ascii="宋体" w:hAnsi="宋体"/>
              </w:rPr>
            </w:pPr>
            <w:r>
              <w:rPr>
                <w:rFonts w:hint="eastAsia" w:ascii="宋体" w:hAnsi="宋体"/>
              </w:rPr>
              <w:t>60</w:t>
            </w:r>
          </w:p>
        </w:tc>
        <w:tc>
          <w:tcPr>
            <w:tcW w:w="347" w:type="pct"/>
            <w:vAlign w:val="center"/>
          </w:tcPr>
          <w:p w14:paraId="038C4FD5">
            <w:pPr>
              <w:pStyle w:val="12"/>
              <w:jc w:val="center"/>
              <w:rPr>
                <w:rFonts w:ascii="宋体" w:hAnsi="宋体"/>
              </w:rPr>
            </w:pPr>
            <w:r>
              <w:rPr>
                <w:rFonts w:hint="eastAsia" w:ascii="宋体" w:hAnsi="宋体"/>
              </w:rPr>
              <w:t>30</w:t>
            </w:r>
          </w:p>
        </w:tc>
        <w:tc>
          <w:tcPr>
            <w:tcW w:w="298" w:type="pct"/>
            <w:vMerge w:val="continue"/>
            <w:vAlign w:val="center"/>
          </w:tcPr>
          <w:p w14:paraId="20EBC69B">
            <w:pPr>
              <w:pStyle w:val="12"/>
              <w:jc w:val="center"/>
              <w:rPr>
                <w:rFonts w:ascii="宋体" w:hAnsi="宋体"/>
              </w:rPr>
            </w:pPr>
          </w:p>
        </w:tc>
        <w:tc>
          <w:tcPr>
            <w:tcW w:w="319" w:type="pct"/>
            <w:vMerge w:val="continue"/>
            <w:vAlign w:val="center"/>
          </w:tcPr>
          <w:p w14:paraId="67E0D69D">
            <w:pPr>
              <w:pStyle w:val="12"/>
              <w:jc w:val="center"/>
              <w:rPr>
                <w:rFonts w:ascii="宋体" w:hAnsi="宋体"/>
              </w:rPr>
            </w:pPr>
          </w:p>
        </w:tc>
        <w:tc>
          <w:tcPr>
            <w:tcW w:w="214" w:type="pct"/>
            <w:vMerge w:val="continue"/>
            <w:vAlign w:val="center"/>
          </w:tcPr>
          <w:p w14:paraId="77181047">
            <w:pPr>
              <w:pStyle w:val="12"/>
              <w:jc w:val="center"/>
              <w:rPr>
                <w:rFonts w:ascii="宋体" w:hAnsi="宋体"/>
              </w:rPr>
            </w:pPr>
          </w:p>
        </w:tc>
      </w:tr>
      <w:tr w14:paraId="06F2D21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9" w:type="pct"/>
            <w:vMerge w:val="restart"/>
            <w:vAlign w:val="center"/>
          </w:tcPr>
          <w:p w14:paraId="795EE670">
            <w:pPr>
              <w:pStyle w:val="12"/>
              <w:jc w:val="center"/>
              <w:rPr>
                <w:rFonts w:ascii="宋体" w:hAnsi="宋体"/>
              </w:rPr>
            </w:pPr>
            <w:r>
              <w:rPr>
                <w:rFonts w:hint="eastAsia" w:ascii="宋体" w:hAnsi="宋体"/>
              </w:rPr>
              <w:t>高中</w:t>
            </w:r>
          </w:p>
        </w:tc>
        <w:tc>
          <w:tcPr>
            <w:tcW w:w="777" w:type="pct"/>
            <w:vAlign w:val="center"/>
          </w:tcPr>
          <w:p w14:paraId="7F5E2496">
            <w:pPr>
              <w:pStyle w:val="12"/>
              <w:jc w:val="center"/>
              <w:rPr>
                <w:rFonts w:ascii="宋体" w:hAnsi="宋体"/>
              </w:rPr>
            </w:pPr>
            <w:r>
              <w:rPr>
                <w:rFonts w:hint="eastAsia" w:ascii="宋体" w:hAnsi="宋体"/>
              </w:rPr>
              <w:t>重点、市一级</w:t>
            </w:r>
          </w:p>
        </w:tc>
        <w:tc>
          <w:tcPr>
            <w:tcW w:w="331" w:type="pct"/>
            <w:vAlign w:val="center"/>
          </w:tcPr>
          <w:p w14:paraId="6075E4AE">
            <w:pPr>
              <w:pStyle w:val="12"/>
              <w:jc w:val="center"/>
              <w:rPr>
                <w:rFonts w:ascii="宋体" w:hAnsi="宋体"/>
              </w:rPr>
            </w:pPr>
            <w:r>
              <w:rPr>
                <w:rFonts w:hint="eastAsia" w:ascii="宋体" w:hAnsi="宋体"/>
              </w:rPr>
              <w:t>350</w:t>
            </w:r>
          </w:p>
        </w:tc>
        <w:tc>
          <w:tcPr>
            <w:tcW w:w="331" w:type="pct"/>
            <w:vAlign w:val="center"/>
          </w:tcPr>
          <w:p w14:paraId="73372BF4">
            <w:pPr>
              <w:pStyle w:val="12"/>
              <w:jc w:val="center"/>
              <w:rPr>
                <w:rFonts w:ascii="宋体" w:hAnsi="宋体"/>
              </w:rPr>
            </w:pPr>
            <w:r>
              <w:rPr>
                <w:rFonts w:hint="eastAsia" w:ascii="宋体" w:hAnsi="宋体"/>
              </w:rPr>
              <w:t>—</w:t>
            </w:r>
          </w:p>
        </w:tc>
        <w:tc>
          <w:tcPr>
            <w:tcW w:w="332" w:type="pct"/>
            <w:vAlign w:val="center"/>
          </w:tcPr>
          <w:p w14:paraId="2479630C">
            <w:pPr>
              <w:pStyle w:val="12"/>
              <w:jc w:val="center"/>
              <w:rPr>
                <w:rFonts w:ascii="宋体" w:hAnsi="宋体"/>
              </w:rPr>
            </w:pPr>
            <w:r>
              <w:rPr>
                <w:rFonts w:hint="eastAsia" w:ascii="宋体" w:hAnsi="宋体"/>
              </w:rPr>
              <w:t>100</w:t>
            </w:r>
          </w:p>
        </w:tc>
        <w:tc>
          <w:tcPr>
            <w:tcW w:w="331" w:type="pct"/>
            <w:vAlign w:val="center"/>
          </w:tcPr>
          <w:p w14:paraId="2234DBC7">
            <w:pPr>
              <w:pStyle w:val="12"/>
              <w:jc w:val="center"/>
              <w:rPr>
                <w:rFonts w:ascii="宋体" w:hAnsi="宋体"/>
              </w:rPr>
            </w:pPr>
            <w:r>
              <w:rPr>
                <w:rFonts w:hint="eastAsia" w:ascii="宋体" w:hAnsi="宋体"/>
              </w:rPr>
              <w:t>400</w:t>
            </w:r>
          </w:p>
        </w:tc>
        <w:tc>
          <w:tcPr>
            <w:tcW w:w="334" w:type="pct"/>
            <w:vAlign w:val="center"/>
          </w:tcPr>
          <w:p w14:paraId="6999295A">
            <w:pPr>
              <w:pStyle w:val="12"/>
              <w:jc w:val="center"/>
              <w:rPr>
                <w:rFonts w:ascii="宋体" w:hAnsi="宋体"/>
              </w:rPr>
            </w:pPr>
            <w:r>
              <w:rPr>
                <w:rFonts w:hint="eastAsia" w:ascii="宋体" w:hAnsi="宋体"/>
              </w:rPr>
              <w:t>25</w:t>
            </w:r>
          </w:p>
        </w:tc>
        <w:tc>
          <w:tcPr>
            <w:tcW w:w="355" w:type="pct"/>
            <w:vAlign w:val="center"/>
          </w:tcPr>
          <w:p w14:paraId="65FB25E7">
            <w:pPr>
              <w:pStyle w:val="12"/>
              <w:jc w:val="center"/>
              <w:rPr>
                <w:rFonts w:ascii="宋体" w:hAnsi="宋体"/>
              </w:rPr>
            </w:pPr>
            <w:r>
              <w:rPr>
                <w:rFonts w:hint="eastAsia" w:ascii="宋体" w:hAnsi="宋体"/>
              </w:rPr>
              <w:t>150</w:t>
            </w:r>
          </w:p>
        </w:tc>
        <w:tc>
          <w:tcPr>
            <w:tcW w:w="346" w:type="pct"/>
            <w:vAlign w:val="center"/>
          </w:tcPr>
          <w:p w14:paraId="3B2EB74F">
            <w:pPr>
              <w:pStyle w:val="12"/>
              <w:jc w:val="center"/>
              <w:rPr>
                <w:rFonts w:ascii="宋体" w:hAnsi="宋体"/>
              </w:rPr>
            </w:pPr>
            <w:r>
              <w:rPr>
                <w:rFonts w:hint="eastAsia" w:ascii="宋体" w:hAnsi="宋体"/>
              </w:rPr>
              <w:t>15</w:t>
            </w:r>
          </w:p>
        </w:tc>
        <w:tc>
          <w:tcPr>
            <w:tcW w:w="347" w:type="pct"/>
            <w:vAlign w:val="center"/>
          </w:tcPr>
          <w:p w14:paraId="0170CD3F">
            <w:pPr>
              <w:pStyle w:val="12"/>
              <w:jc w:val="center"/>
              <w:rPr>
                <w:rFonts w:ascii="宋体" w:hAnsi="宋体"/>
              </w:rPr>
            </w:pPr>
            <w:r>
              <w:rPr>
                <w:rFonts w:hint="eastAsia" w:ascii="宋体" w:hAnsi="宋体"/>
              </w:rPr>
              <w:t>60</w:t>
            </w:r>
          </w:p>
        </w:tc>
        <w:tc>
          <w:tcPr>
            <w:tcW w:w="347" w:type="pct"/>
            <w:vAlign w:val="center"/>
          </w:tcPr>
          <w:p w14:paraId="51E783D7">
            <w:pPr>
              <w:pStyle w:val="12"/>
              <w:jc w:val="center"/>
              <w:rPr>
                <w:rFonts w:ascii="宋体" w:hAnsi="宋体"/>
              </w:rPr>
            </w:pPr>
            <w:r>
              <w:rPr>
                <w:rFonts w:hint="eastAsia" w:ascii="宋体" w:hAnsi="宋体"/>
              </w:rPr>
              <w:t>30</w:t>
            </w:r>
          </w:p>
        </w:tc>
        <w:tc>
          <w:tcPr>
            <w:tcW w:w="298" w:type="pct"/>
            <w:vMerge w:val="continue"/>
            <w:vAlign w:val="center"/>
          </w:tcPr>
          <w:p w14:paraId="42C95348">
            <w:pPr>
              <w:pStyle w:val="12"/>
              <w:jc w:val="center"/>
              <w:rPr>
                <w:rFonts w:ascii="宋体" w:hAnsi="宋体"/>
              </w:rPr>
            </w:pPr>
          </w:p>
        </w:tc>
        <w:tc>
          <w:tcPr>
            <w:tcW w:w="319" w:type="pct"/>
            <w:vMerge w:val="continue"/>
            <w:vAlign w:val="center"/>
          </w:tcPr>
          <w:p w14:paraId="3A9850B6">
            <w:pPr>
              <w:pStyle w:val="12"/>
              <w:jc w:val="center"/>
              <w:rPr>
                <w:rFonts w:ascii="宋体" w:hAnsi="宋体"/>
              </w:rPr>
            </w:pPr>
          </w:p>
        </w:tc>
        <w:tc>
          <w:tcPr>
            <w:tcW w:w="214" w:type="pct"/>
            <w:vMerge w:val="continue"/>
            <w:vAlign w:val="center"/>
          </w:tcPr>
          <w:p w14:paraId="5519EF5B">
            <w:pPr>
              <w:pStyle w:val="12"/>
              <w:jc w:val="center"/>
              <w:rPr>
                <w:rFonts w:ascii="宋体" w:hAnsi="宋体"/>
              </w:rPr>
            </w:pPr>
          </w:p>
        </w:tc>
      </w:tr>
      <w:tr w14:paraId="5E44BE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9" w:type="pct"/>
            <w:vMerge w:val="continue"/>
            <w:vAlign w:val="center"/>
          </w:tcPr>
          <w:p w14:paraId="66C8E164">
            <w:pPr>
              <w:pStyle w:val="12"/>
              <w:jc w:val="center"/>
              <w:rPr>
                <w:rFonts w:ascii="宋体" w:hAnsi="宋体"/>
              </w:rPr>
            </w:pPr>
          </w:p>
        </w:tc>
        <w:tc>
          <w:tcPr>
            <w:tcW w:w="777" w:type="pct"/>
            <w:vAlign w:val="center"/>
          </w:tcPr>
          <w:p w14:paraId="15B7E2DB">
            <w:pPr>
              <w:pStyle w:val="12"/>
              <w:jc w:val="center"/>
              <w:rPr>
                <w:rFonts w:ascii="宋体" w:hAnsi="宋体"/>
              </w:rPr>
            </w:pPr>
            <w:r>
              <w:rPr>
                <w:rFonts w:hint="eastAsia" w:ascii="宋体" w:hAnsi="宋体"/>
              </w:rPr>
              <w:t>普通含农村</w:t>
            </w:r>
          </w:p>
        </w:tc>
        <w:tc>
          <w:tcPr>
            <w:tcW w:w="331" w:type="pct"/>
            <w:vAlign w:val="center"/>
          </w:tcPr>
          <w:p w14:paraId="0B5FFF47">
            <w:pPr>
              <w:pStyle w:val="12"/>
              <w:jc w:val="center"/>
              <w:rPr>
                <w:rFonts w:ascii="宋体" w:hAnsi="宋体"/>
              </w:rPr>
            </w:pPr>
            <w:r>
              <w:rPr>
                <w:rFonts w:hint="eastAsia" w:ascii="宋体" w:hAnsi="宋体"/>
              </w:rPr>
              <w:t>330</w:t>
            </w:r>
          </w:p>
        </w:tc>
        <w:tc>
          <w:tcPr>
            <w:tcW w:w="331" w:type="pct"/>
            <w:vAlign w:val="center"/>
          </w:tcPr>
          <w:p w14:paraId="5B30B7DD">
            <w:pPr>
              <w:pStyle w:val="12"/>
              <w:jc w:val="center"/>
              <w:rPr>
                <w:rFonts w:ascii="宋体" w:hAnsi="宋体"/>
              </w:rPr>
            </w:pPr>
            <w:r>
              <w:rPr>
                <w:rFonts w:hint="eastAsia" w:ascii="宋体" w:hAnsi="宋体"/>
              </w:rPr>
              <w:t>—</w:t>
            </w:r>
          </w:p>
        </w:tc>
        <w:tc>
          <w:tcPr>
            <w:tcW w:w="332" w:type="pct"/>
            <w:vAlign w:val="center"/>
          </w:tcPr>
          <w:p w14:paraId="55725F9B">
            <w:pPr>
              <w:pStyle w:val="12"/>
              <w:jc w:val="center"/>
              <w:rPr>
                <w:rFonts w:ascii="宋体" w:hAnsi="宋体"/>
              </w:rPr>
            </w:pPr>
            <w:r>
              <w:rPr>
                <w:rFonts w:hint="eastAsia" w:ascii="宋体" w:hAnsi="宋体"/>
              </w:rPr>
              <w:t>100</w:t>
            </w:r>
          </w:p>
        </w:tc>
        <w:tc>
          <w:tcPr>
            <w:tcW w:w="331" w:type="pct"/>
            <w:vAlign w:val="center"/>
          </w:tcPr>
          <w:p w14:paraId="464C0AA3">
            <w:pPr>
              <w:pStyle w:val="12"/>
              <w:jc w:val="center"/>
              <w:rPr>
                <w:rFonts w:ascii="宋体" w:hAnsi="宋体"/>
              </w:rPr>
            </w:pPr>
            <w:r>
              <w:rPr>
                <w:rFonts w:hint="eastAsia" w:ascii="宋体" w:hAnsi="宋体"/>
              </w:rPr>
              <w:t>400</w:t>
            </w:r>
          </w:p>
        </w:tc>
        <w:tc>
          <w:tcPr>
            <w:tcW w:w="334" w:type="pct"/>
            <w:vAlign w:val="center"/>
          </w:tcPr>
          <w:p w14:paraId="636B2D78">
            <w:pPr>
              <w:pStyle w:val="12"/>
              <w:jc w:val="center"/>
              <w:rPr>
                <w:rFonts w:ascii="宋体" w:hAnsi="宋体"/>
              </w:rPr>
            </w:pPr>
            <w:r>
              <w:rPr>
                <w:rFonts w:hint="eastAsia" w:ascii="宋体" w:hAnsi="宋体"/>
              </w:rPr>
              <w:t>25</w:t>
            </w:r>
          </w:p>
        </w:tc>
        <w:tc>
          <w:tcPr>
            <w:tcW w:w="355" w:type="pct"/>
            <w:vAlign w:val="center"/>
          </w:tcPr>
          <w:p w14:paraId="07EEA2D4">
            <w:pPr>
              <w:pStyle w:val="12"/>
              <w:jc w:val="center"/>
              <w:rPr>
                <w:rFonts w:ascii="宋体" w:hAnsi="宋体"/>
              </w:rPr>
            </w:pPr>
            <w:r>
              <w:rPr>
                <w:rFonts w:hint="eastAsia" w:ascii="宋体" w:hAnsi="宋体"/>
              </w:rPr>
              <w:t>150</w:t>
            </w:r>
          </w:p>
        </w:tc>
        <w:tc>
          <w:tcPr>
            <w:tcW w:w="346" w:type="pct"/>
            <w:vAlign w:val="center"/>
          </w:tcPr>
          <w:p w14:paraId="787CCDC1">
            <w:pPr>
              <w:pStyle w:val="12"/>
              <w:jc w:val="center"/>
              <w:rPr>
                <w:rFonts w:ascii="宋体" w:hAnsi="宋体"/>
              </w:rPr>
            </w:pPr>
            <w:r>
              <w:rPr>
                <w:rFonts w:hint="eastAsia" w:ascii="宋体" w:hAnsi="宋体"/>
              </w:rPr>
              <w:t>15</w:t>
            </w:r>
          </w:p>
        </w:tc>
        <w:tc>
          <w:tcPr>
            <w:tcW w:w="347" w:type="pct"/>
            <w:vAlign w:val="center"/>
          </w:tcPr>
          <w:p w14:paraId="1F482692">
            <w:pPr>
              <w:pStyle w:val="12"/>
              <w:jc w:val="center"/>
              <w:rPr>
                <w:rFonts w:ascii="宋体" w:hAnsi="宋体"/>
              </w:rPr>
            </w:pPr>
            <w:r>
              <w:rPr>
                <w:rFonts w:hint="eastAsia" w:ascii="宋体" w:hAnsi="宋体"/>
              </w:rPr>
              <w:t>60</w:t>
            </w:r>
          </w:p>
        </w:tc>
        <w:tc>
          <w:tcPr>
            <w:tcW w:w="347" w:type="pct"/>
            <w:vAlign w:val="center"/>
          </w:tcPr>
          <w:p w14:paraId="545E686A">
            <w:pPr>
              <w:pStyle w:val="12"/>
              <w:jc w:val="center"/>
              <w:rPr>
                <w:rFonts w:ascii="宋体" w:hAnsi="宋体"/>
              </w:rPr>
            </w:pPr>
            <w:r>
              <w:rPr>
                <w:rFonts w:hint="eastAsia" w:ascii="宋体" w:hAnsi="宋体"/>
              </w:rPr>
              <w:t>30</w:t>
            </w:r>
          </w:p>
        </w:tc>
        <w:tc>
          <w:tcPr>
            <w:tcW w:w="298" w:type="pct"/>
            <w:vMerge w:val="continue"/>
            <w:vAlign w:val="center"/>
          </w:tcPr>
          <w:p w14:paraId="4A904CA4">
            <w:pPr>
              <w:pStyle w:val="12"/>
              <w:jc w:val="center"/>
              <w:rPr>
                <w:rFonts w:ascii="宋体" w:hAnsi="宋体"/>
              </w:rPr>
            </w:pPr>
          </w:p>
        </w:tc>
        <w:tc>
          <w:tcPr>
            <w:tcW w:w="319" w:type="pct"/>
            <w:vMerge w:val="continue"/>
            <w:vAlign w:val="center"/>
          </w:tcPr>
          <w:p w14:paraId="6A7DFB07">
            <w:pPr>
              <w:pStyle w:val="12"/>
              <w:jc w:val="center"/>
              <w:rPr>
                <w:rFonts w:ascii="宋体" w:hAnsi="宋体"/>
              </w:rPr>
            </w:pPr>
          </w:p>
        </w:tc>
        <w:tc>
          <w:tcPr>
            <w:tcW w:w="214" w:type="pct"/>
            <w:vMerge w:val="continue"/>
            <w:vAlign w:val="center"/>
          </w:tcPr>
          <w:p w14:paraId="187A0A06">
            <w:pPr>
              <w:pStyle w:val="12"/>
              <w:jc w:val="center"/>
              <w:rPr>
                <w:rFonts w:ascii="宋体" w:hAnsi="宋体"/>
              </w:rPr>
            </w:pPr>
          </w:p>
        </w:tc>
      </w:tr>
      <w:tr w14:paraId="0AB9C1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9" w:type="pct"/>
            <w:vMerge w:val="continue"/>
            <w:vAlign w:val="center"/>
          </w:tcPr>
          <w:p w14:paraId="15C29668">
            <w:pPr>
              <w:pStyle w:val="12"/>
              <w:jc w:val="center"/>
              <w:rPr>
                <w:rFonts w:ascii="宋体" w:hAnsi="宋体"/>
              </w:rPr>
            </w:pPr>
          </w:p>
        </w:tc>
        <w:tc>
          <w:tcPr>
            <w:tcW w:w="777" w:type="pct"/>
            <w:vAlign w:val="center"/>
          </w:tcPr>
          <w:p w14:paraId="15FC6CE4">
            <w:pPr>
              <w:pStyle w:val="12"/>
              <w:jc w:val="center"/>
              <w:rPr>
                <w:rFonts w:ascii="宋体" w:hAnsi="宋体"/>
              </w:rPr>
            </w:pPr>
            <w:r>
              <w:rPr>
                <w:rFonts w:hint="eastAsia" w:ascii="宋体" w:hAnsi="宋体"/>
              </w:rPr>
              <w:t>重点职中</w:t>
            </w:r>
          </w:p>
        </w:tc>
        <w:tc>
          <w:tcPr>
            <w:tcW w:w="331" w:type="pct"/>
            <w:vAlign w:val="center"/>
          </w:tcPr>
          <w:p w14:paraId="6B49D401">
            <w:pPr>
              <w:pStyle w:val="12"/>
              <w:jc w:val="center"/>
              <w:rPr>
                <w:rFonts w:ascii="宋体" w:hAnsi="宋体"/>
              </w:rPr>
            </w:pPr>
            <w:r>
              <w:rPr>
                <w:rFonts w:hint="eastAsia" w:ascii="宋体" w:hAnsi="宋体"/>
              </w:rPr>
              <w:t>350</w:t>
            </w:r>
          </w:p>
        </w:tc>
        <w:tc>
          <w:tcPr>
            <w:tcW w:w="331" w:type="pct"/>
            <w:vAlign w:val="center"/>
          </w:tcPr>
          <w:p w14:paraId="4069D929">
            <w:pPr>
              <w:pStyle w:val="12"/>
              <w:jc w:val="center"/>
              <w:rPr>
                <w:rFonts w:ascii="宋体" w:hAnsi="宋体"/>
              </w:rPr>
            </w:pPr>
            <w:r>
              <w:rPr>
                <w:rFonts w:hint="eastAsia" w:ascii="宋体" w:hAnsi="宋体"/>
              </w:rPr>
              <w:t>—</w:t>
            </w:r>
          </w:p>
        </w:tc>
        <w:tc>
          <w:tcPr>
            <w:tcW w:w="332" w:type="pct"/>
            <w:vAlign w:val="center"/>
          </w:tcPr>
          <w:p w14:paraId="300B4809">
            <w:pPr>
              <w:pStyle w:val="12"/>
              <w:jc w:val="center"/>
              <w:rPr>
                <w:rFonts w:ascii="宋体" w:hAnsi="宋体"/>
              </w:rPr>
            </w:pPr>
            <w:r>
              <w:rPr>
                <w:rFonts w:hint="eastAsia" w:ascii="宋体" w:hAnsi="宋体"/>
              </w:rPr>
              <w:t>100</w:t>
            </w:r>
          </w:p>
        </w:tc>
        <w:tc>
          <w:tcPr>
            <w:tcW w:w="331" w:type="pct"/>
            <w:vAlign w:val="center"/>
          </w:tcPr>
          <w:p w14:paraId="19F5B151">
            <w:pPr>
              <w:pStyle w:val="12"/>
              <w:jc w:val="center"/>
              <w:rPr>
                <w:rFonts w:ascii="宋体" w:hAnsi="宋体"/>
              </w:rPr>
            </w:pPr>
            <w:r>
              <w:rPr>
                <w:rFonts w:hint="eastAsia" w:ascii="宋体" w:hAnsi="宋体"/>
              </w:rPr>
              <w:t>400</w:t>
            </w:r>
          </w:p>
        </w:tc>
        <w:tc>
          <w:tcPr>
            <w:tcW w:w="334" w:type="pct"/>
            <w:vAlign w:val="center"/>
          </w:tcPr>
          <w:p w14:paraId="11A8EDC6">
            <w:pPr>
              <w:pStyle w:val="12"/>
              <w:jc w:val="center"/>
              <w:rPr>
                <w:rFonts w:ascii="宋体" w:hAnsi="宋体"/>
              </w:rPr>
            </w:pPr>
            <w:r>
              <w:rPr>
                <w:rFonts w:hint="eastAsia" w:ascii="宋体" w:hAnsi="宋体"/>
              </w:rPr>
              <w:t>25</w:t>
            </w:r>
          </w:p>
        </w:tc>
        <w:tc>
          <w:tcPr>
            <w:tcW w:w="355" w:type="pct"/>
            <w:vAlign w:val="center"/>
          </w:tcPr>
          <w:p w14:paraId="4D11A7F1">
            <w:pPr>
              <w:pStyle w:val="12"/>
              <w:jc w:val="center"/>
              <w:rPr>
                <w:rFonts w:ascii="宋体" w:hAnsi="宋体"/>
              </w:rPr>
            </w:pPr>
            <w:r>
              <w:rPr>
                <w:rFonts w:hint="eastAsia" w:ascii="宋体" w:hAnsi="宋体"/>
              </w:rPr>
              <w:t>150</w:t>
            </w:r>
          </w:p>
        </w:tc>
        <w:tc>
          <w:tcPr>
            <w:tcW w:w="346" w:type="pct"/>
            <w:vAlign w:val="center"/>
          </w:tcPr>
          <w:p w14:paraId="5A533982">
            <w:pPr>
              <w:pStyle w:val="12"/>
              <w:jc w:val="center"/>
              <w:rPr>
                <w:rFonts w:ascii="宋体" w:hAnsi="宋体"/>
              </w:rPr>
            </w:pPr>
            <w:r>
              <w:rPr>
                <w:rFonts w:hint="eastAsia" w:ascii="宋体" w:hAnsi="宋体"/>
              </w:rPr>
              <w:t>15</w:t>
            </w:r>
          </w:p>
        </w:tc>
        <w:tc>
          <w:tcPr>
            <w:tcW w:w="347" w:type="pct"/>
            <w:vAlign w:val="center"/>
          </w:tcPr>
          <w:p w14:paraId="017CBD55">
            <w:pPr>
              <w:pStyle w:val="12"/>
              <w:jc w:val="center"/>
              <w:rPr>
                <w:rFonts w:ascii="宋体" w:hAnsi="宋体"/>
              </w:rPr>
            </w:pPr>
            <w:r>
              <w:rPr>
                <w:rFonts w:hint="eastAsia" w:ascii="宋体" w:hAnsi="宋体"/>
              </w:rPr>
              <w:t>60</w:t>
            </w:r>
          </w:p>
        </w:tc>
        <w:tc>
          <w:tcPr>
            <w:tcW w:w="347" w:type="pct"/>
            <w:vAlign w:val="center"/>
          </w:tcPr>
          <w:p w14:paraId="7F7DBC3E">
            <w:pPr>
              <w:pStyle w:val="12"/>
              <w:jc w:val="center"/>
              <w:rPr>
                <w:rFonts w:ascii="宋体" w:hAnsi="宋体"/>
              </w:rPr>
            </w:pPr>
            <w:r>
              <w:rPr>
                <w:rFonts w:hint="eastAsia" w:ascii="宋体" w:hAnsi="宋体"/>
              </w:rPr>
              <w:t>30</w:t>
            </w:r>
          </w:p>
        </w:tc>
        <w:tc>
          <w:tcPr>
            <w:tcW w:w="298" w:type="pct"/>
            <w:vMerge w:val="continue"/>
            <w:vAlign w:val="center"/>
          </w:tcPr>
          <w:p w14:paraId="322E16DA">
            <w:pPr>
              <w:pStyle w:val="12"/>
              <w:jc w:val="center"/>
              <w:rPr>
                <w:rFonts w:ascii="宋体" w:hAnsi="宋体"/>
              </w:rPr>
            </w:pPr>
          </w:p>
        </w:tc>
        <w:tc>
          <w:tcPr>
            <w:tcW w:w="319" w:type="pct"/>
            <w:vMerge w:val="continue"/>
            <w:vAlign w:val="center"/>
          </w:tcPr>
          <w:p w14:paraId="2427087F">
            <w:pPr>
              <w:pStyle w:val="12"/>
              <w:jc w:val="center"/>
              <w:rPr>
                <w:rFonts w:ascii="宋体" w:hAnsi="宋体"/>
              </w:rPr>
            </w:pPr>
          </w:p>
        </w:tc>
        <w:tc>
          <w:tcPr>
            <w:tcW w:w="214" w:type="pct"/>
            <w:vMerge w:val="continue"/>
            <w:vAlign w:val="center"/>
          </w:tcPr>
          <w:p w14:paraId="5A937DDE">
            <w:pPr>
              <w:pStyle w:val="12"/>
              <w:jc w:val="center"/>
              <w:rPr>
                <w:rFonts w:ascii="宋体" w:hAnsi="宋体"/>
              </w:rPr>
            </w:pPr>
          </w:p>
        </w:tc>
      </w:tr>
      <w:tr w14:paraId="77A7C6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9" w:type="pct"/>
            <w:vMerge w:val="continue"/>
            <w:vAlign w:val="center"/>
          </w:tcPr>
          <w:p w14:paraId="3462DB0C">
            <w:pPr>
              <w:pStyle w:val="12"/>
              <w:jc w:val="center"/>
              <w:rPr>
                <w:rFonts w:ascii="宋体" w:hAnsi="宋体"/>
              </w:rPr>
            </w:pPr>
          </w:p>
        </w:tc>
        <w:tc>
          <w:tcPr>
            <w:tcW w:w="777" w:type="pct"/>
            <w:vAlign w:val="center"/>
          </w:tcPr>
          <w:p w14:paraId="06DF093C">
            <w:pPr>
              <w:pStyle w:val="12"/>
              <w:jc w:val="center"/>
              <w:rPr>
                <w:rFonts w:ascii="宋体" w:hAnsi="宋体"/>
              </w:rPr>
            </w:pPr>
            <w:r>
              <w:rPr>
                <w:rFonts w:hint="eastAsia" w:ascii="宋体" w:hAnsi="宋体"/>
              </w:rPr>
              <w:t>普通职中</w:t>
            </w:r>
          </w:p>
        </w:tc>
        <w:tc>
          <w:tcPr>
            <w:tcW w:w="331" w:type="pct"/>
            <w:vAlign w:val="center"/>
          </w:tcPr>
          <w:p w14:paraId="27BEA618">
            <w:pPr>
              <w:pStyle w:val="12"/>
              <w:jc w:val="center"/>
              <w:rPr>
                <w:rFonts w:ascii="宋体" w:hAnsi="宋体"/>
              </w:rPr>
            </w:pPr>
            <w:r>
              <w:rPr>
                <w:rFonts w:hint="eastAsia" w:ascii="宋体" w:hAnsi="宋体"/>
              </w:rPr>
              <w:t>330</w:t>
            </w:r>
          </w:p>
        </w:tc>
        <w:tc>
          <w:tcPr>
            <w:tcW w:w="331" w:type="pct"/>
            <w:vAlign w:val="center"/>
          </w:tcPr>
          <w:p w14:paraId="1667B052">
            <w:pPr>
              <w:pStyle w:val="12"/>
              <w:jc w:val="center"/>
              <w:rPr>
                <w:rFonts w:ascii="宋体" w:hAnsi="宋体"/>
              </w:rPr>
            </w:pPr>
            <w:r>
              <w:rPr>
                <w:rFonts w:hint="eastAsia" w:ascii="宋体" w:hAnsi="宋体"/>
              </w:rPr>
              <w:t>—</w:t>
            </w:r>
          </w:p>
        </w:tc>
        <w:tc>
          <w:tcPr>
            <w:tcW w:w="332" w:type="pct"/>
            <w:vAlign w:val="center"/>
          </w:tcPr>
          <w:p w14:paraId="097606AE">
            <w:pPr>
              <w:pStyle w:val="12"/>
              <w:jc w:val="center"/>
              <w:rPr>
                <w:rFonts w:ascii="宋体" w:hAnsi="宋体"/>
              </w:rPr>
            </w:pPr>
            <w:r>
              <w:rPr>
                <w:rFonts w:hint="eastAsia" w:ascii="宋体" w:hAnsi="宋体"/>
              </w:rPr>
              <w:t>100</w:t>
            </w:r>
          </w:p>
        </w:tc>
        <w:tc>
          <w:tcPr>
            <w:tcW w:w="331" w:type="pct"/>
            <w:vAlign w:val="center"/>
          </w:tcPr>
          <w:p w14:paraId="79DD6F17">
            <w:pPr>
              <w:pStyle w:val="12"/>
              <w:jc w:val="center"/>
              <w:rPr>
                <w:rFonts w:ascii="宋体" w:hAnsi="宋体"/>
              </w:rPr>
            </w:pPr>
            <w:r>
              <w:rPr>
                <w:rFonts w:hint="eastAsia" w:ascii="宋体" w:hAnsi="宋体"/>
              </w:rPr>
              <w:t>400</w:t>
            </w:r>
          </w:p>
        </w:tc>
        <w:tc>
          <w:tcPr>
            <w:tcW w:w="334" w:type="pct"/>
            <w:vAlign w:val="center"/>
          </w:tcPr>
          <w:p w14:paraId="2DD218CB">
            <w:pPr>
              <w:pStyle w:val="12"/>
              <w:jc w:val="center"/>
              <w:rPr>
                <w:rFonts w:ascii="宋体" w:hAnsi="宋体"/>
              </w:rPr>
            </w:pPr>
            <w:r>
              <w:rPr>
                <w:rFonts w:hint="eastAsia" w:ascii="宋体" w:hAnsi="宋体"/>
              </w:rPr>
              <w:t>25</w:t>
            </w:r>
          </w:p>
        </w:tc>
        <w:tc>
          <w:tcPr>
            <w:tcW w:w="355" w:type="pct"/>
            <w:vAlign w:val="center"/>
          </w:tcPr>
          <w:p w14:paraId="59688315">
            <w:pPr>
              <w:pStyle w:val="12"/>
              <w:jc w:val="center"/>
              <w:rPr>
                <w:rFonts w:ascii="宋体" w:hAnsi="宋体"/>
              </w:rPr>
            </w:pPr>
            <w:r>
              <w:rPr>
                <w:rFonts w:hint="eastAsia" w:ascii="宋体" w:hAnsi="宋体"/>
              </w:rPr>
              <w:t>150</w:t>
            </w:r>
          </w:p>
        </w:tc>
        <w:tc>
          <w:tcPr>
            <w:tcW w:w="346" w:type="pct"/>
            <w:vAlign w:val="center"/>
          </w:tcPr>
          <w:p w14:paraId="28292BA5">
            <w:pPr>
              <w:pStyle w:val="12"/>
              <w:jc w:val="center"/>
              <w:rPr>
                <w:rFonts w:ascii="宋体" w:hAnsi="宋体"/>
              </w:rPr>
            </w:pPr>
            <w:r>
              <w:rPr>
                <w:rFonts w:hint="eastAsia" w:ascii="宋体" w:hAnsi="宋体"/>
              </w:rPr>
              <w:t>15</w:t>
            </w:r>
          </w:p>
        </w:tc>
        <w:tc>
          <w:tcPr>
            <w:tcW w:w="347" w:type="pct"/>
            <w:vAlign w:val="center"/>
          </w:tcPr>
          <w:p w14:paraId="09A1D70B">
            <w:pPr>
              <w:pStyle w:val="12"/>
              <w:jc w:val="center"/>
              <w:rPr>
                <w:rFonts w:ascii="宋体" w:hAnsi="宋体"/>
              </w:rPr>
            </w:pPr>
            <w:r>
              <w:rPr>
                <w:rFonts w:hint="eastAsia" w:ascii="宋体" w:hAnsi="宋体"/>
              </w:rPr>
              <w:t>60</w:t>
            </w:r>
          </w:p>
        </w:tc>
        <w:tc>
          <w:tcPr>
            <w:tcW w:w="347" w:type="pct"/>
            <w:vAlign w:val="center"/>
          </w:tcPr>
          <w:p w14:paraId="7E2C2576">
            <w:pPr>
              <w:pStyle w:val="12"/>
              <w:jc w:val="center"/>
              <w:rPr>
                <w:rFonts w:ascii="宋体" w:hAnsi="宋体"/>
              </w:rPr>
            </w:pPr>
            <w:r>
              <w:rPr>
                <w:rFonts w:hint="eastAsia" w:ascii="宋体" w:hAnsi="宋体"/>
              </w:rPr>
              <w:t>30</w:t>
            </w:r>
          </w:p>
        </w:tc>
        <w:tc>
          <w:tcPr>
            <w:tcW w:w="298" w:type="pct"/>
            <w:vMerge w:val="continue"/>
            <w:vAlign w:val="center"/>
          </w:tcPr>
          <w:p w14:paraId="2F847551">
            <w:pPr>
              <w:pStyle w:val="12"/>
              <w:jc w:val="center"/>
              <w:rPr>
                <w:rFonts w:ascii="宋体" w:hAnsi="宋体"/>
              </w:rPr>
            </w:pPr>
          </w:p>
        </w:tc>
        <w:tc>
          <w:tcPr>
            <w:tcW w:w="319" w:type="pct"/>
            <w:vMerge w:val="continue"/>
            <w:vAlign w:val="center"/>
          </w:tcPr>
          <w:p w14:paraId="0608943E">
            <w:pPr>
              <w:pStyle w:val="12"/>
              <w:jc w:val="center"/>
              <w:rPr>
                <w:rFonts w:ascii="宋体" w:hAnsi="宋体"/>
              </w:rPr>
            </w:pPr>
          </w:p>
        </w:tc>
        <w:tc>
          <w:tcPr>
            <w:tcW w:w="214" w:type="pct"/>
            <w:vMerge w:val="continue"/>
            <w:vAlign w:val="center"/>
          </w:tcPr>
          <w:p w14:paraId="578BA4DD">
            <w:pPr>
              <w:pStyle w:val="12"/>
              <w:jc w:val="center"/>
              <w:rPr>
                <w:rFonts w:ascii="宋体" w:hAnsi="宋体"/>
              </w:rPr>
            </w:pPr>
          </w:p>
        </w:tc>
      </w:tr>
    </w:tbl>
    <w:p w14:paraId="24D1CCFA">
      <w:pPr>
        <w:ind w:firstLine="420"/>
        <w:rPr>
          <w:rFonts w:ascii="宋体" w:hAnsi="宋体"/>
          <w:szCs w:val="21"/>
        </w:rPr>
      </w:pPr>
      <w:r>
        <w:rPr>
          <w:rFonts w:hint="eastAsia" w:ascii="宋体" w:hAnsi="宋体"/>
          <w:szCs w:val="21"/>
        </w:rPr>
        <w:t>择校生一次性交纳择校费的收费标准为高中生：南雄中学、市一中、省重点职中</w:t>
      </w:r>
      <w:r>
        <w:rPr>
          <w:rFonts w:ascii="宋体" w:hAnsi="宋体"/>
          <w:szCs w:val="21"/>
        </w:rPr>
        <w:t>4800元／生，其他高中（含职中）3600元／生；初中生：南雄中学、市一中3000元／</w:t>
      </w:r>
      <w:r>
        <w:rPr>
          <w:rFonts w:hint="eastAsia" w:ascii="宋体" w:hAnsi="宋体"/>
          <w:szCs w:val="21"/>
        </w:rPr>
        <w:t>生，其他中学</w:t>
      </w:r>
      <w:r>
        <w:rPr>
          <w:rFonts w:ascii="宋体" w:hAnsi="宋体"/>
          <w:szCs w:val="21"/>
        </w:rPr>
        <w:t>2400元／生；小学生：重点小学1500元／生，其他小学1000元／生。</w:t>
      </w:r>
      <w:r>
        <w:rPr>
          <w:rFonts w:hint="eastAsia" w:ascii="宋体" w:hAnsi="宋体"/>
          <w:szCs w:val="21"/>
        </w:rPr>
        <w:t>以上收费标准经多次调整，至</w:t>
      </w:r>
      <w:r>
        <w:rPr>
          <w:rFonts w:ascii="宋体" w:hAnsi="宋体"/>
          <w:szCs w:val="21"/>
        </w:rPr>
        <w:t>2001年8月，中小学收费标准为：</w:t>
      </w:r>
    </w:p>
    <w:p w14:paraId="642A3EC9">
      <w:pPr>
        <w:ind w:firstLine="420"/>
        <w:rPr>
          <w:rFonts w:ascii="宋体" w:hAnsi="宋体"/>
          <w:szCs w:val="21"/>
        </w:rPr>
      </w:pPr>
      <w:r>
        <w:rPr>
          <w:rFonts w:ascii="宋体" w:hAnsi="宋体"/>
          <w:szCs w:val="21"/>
        </w:rPr>
        <w:t>1.高中生学费：重点高中、职中600元／生·学期，普通高中、职中550元／生·</w:t>
      </w:r>
      <w:r>
        <w:rPr>
          <w:rFonts w:hint="eastAsia" w:ascii="宋体" w:hAnsi="宋体"/>
          <w:szCs w:val="21"/>
        </w:rPr>
        <w:t>学期；</w:t>
      </w:r>
    </w:p>
    <w:p w14:paraId="53B75041">
      <w:pPr>
        <w:ind w:firstLine="420"/>
        <w:rPr>
          <w:rFonts w:ascii="宋体" w:hAnsi="宋体"/>
          <w:szCs w:val="21"/>
        </w:rPr>
      </w:pPr>
      <w:r>
        <w:rPr>
          <w:rFonts w:ascii="宋体" w:hAnsi="宋体"/>
          <w:szCs w:val="21"/>
        </w:rPr>
        <w:t>2.初中生杂费：市重点、市一级学校240元/生·学期，普通中学和农村中学200元／生·学期；</w:t>
      </w:r>
    </w:p>
    <w:p w14:paraId="7D8C189E">
      <w:pPr>
        <w:ind w:firstLine="420"/>
        <w:rPr>
          <w:rFonts w:ascii="宋体" w:hAnsi="宋体"/>
          <w:szCs w:val="21"/>
        </w:rPr>
      </w:pPr>
      <w:r>
        <w:rPr>
          <w:rFonts w:ascii="宋体" w:hAnsi="宋体"/>
          <w:szCs w:val="21"/>
        </w:rPr>
        <w:t>3.小学生杂费：韶关市一级学校160元／生·学期，南雄市一级学校150元／生·</w:t>
      </w:r>
      <w:r>
        <w:rPr>
          <w:rFonts w:hint="eastAsia" w:ascii="宋体" w:hAnsi="宋体"/>
          <w:szCs w:val="21"/>
        </w:rPr>
        <w:t>学期，市区普通学校</w:t>
      </w:r>
      <w:r>
        <w:rPr>
          <w:rFonts w:ascii="宋体" w:hAnsi="宋体"/>
          <w:szCs w:val="21"/>
        </w:rPr>
        <w:t>140元／生·学期，农村普通学校130元／生·学期。</w:t>
      </w:r>
    </w:p>
    <w:p w14:paraId="6B13CD8B">
      <w:pPr>
        <w:ind w:firstLine="420"/>
        <w:rPr>
          <w:rFonts w:ascii="宋体" w:hAnsi="宋体"/>
          <w:szCs w:val="21"/>
        </w:rPr>
      </w:pPr>
      <w:r>
        <w:rPr>
          <w:rFonts w:ascii="宋体" w:hAnsi="宋体"/>
          <w:szCs w:val="21"/>
        </w:rPr>
        <w:t>4.住宿费：小学240元／生·学期，初中和高中160元／生·学期。</w:t>
      </w:r>
    </w:p>
    <w:p w14:paraId="585C89D1">
      <w:pPr>
        <w:ind w:firstLine="420"/>
        <w:rPr>
          <w:rFonts w:ascii="宋体" w:hAnsi="宋体"/>
          <w:szCs w:val="21"/>
        </w:rPr>
      </w:pPr>
      <w:r>
        <w:rPr>
          <w:rFonts w:ascii="宋体" w:hAnsi="宋体"/>
          <w:szCs w:val="21"/>
        </w:rPr>
        <w:t>5.课本资料费：小学100元／生·学期，初中130元／生·学期，高中150元/生·</w:t>
      </w:r>
      <w:r>
        <w:rPr>
          <w:rFonts w:hint="eastAsia" w:ascii="宋体" w:hAnsi="宋体"/>
          <w:szCs w:val="21"/>
        </w:rPr>
        <w:t>学期。</w:t>
      </w:r>
    </w:p>
    <w:p w14:paraId="47FF1FC0">
      <w:pPr>
        <w:ind w:firstLine="420"/>
        <w:rPr>
          <w:rFonts w:ascii="宋体" w:hAnsi="宋体"/>
          <w:szCs w:val="21"/>
        </w:rPr>
      </w:pPr>
      <w:r>
        <w:rPr>
          <w:rFonts w:ascii="宋体" w:hAnsi="宋体"/>
          <w:szCs w:val="21"/>
        </w:rPr>
        <w:t>6.择校费：南雄中学、市一中、省重点、职中、黄坑中学，高中60</w:t>
      </w:r>
      <w:r>
        <w:rPr>
          <w:rFonts w:hint="eastAsia" w:ascii="宋体" w:hAnsi="宋体"/>
          <w:szCs w:val="21"/>
        </w:rPr>
        <w:t>00</w:t>
      </w:r>
      <w:r>
        <w:rPr>
          <w:rFonts w:ascii="宋体" w:hAnsi="宋体"/>
          <w:szCs w:val="21"/>
        </w:rPr>
        <w:t>元／生，</w:t>
      </w:r>
      <w:r>
        <w:rPr>
          <w:rFonts w:hint="eastAsia" w:ascii="宋体" w:hAnsi="宋体"/>
          <w:szCs w:val="21"/>
        </w:rPr>
        <w:t>其他高中（含职中）</w:t>
      </w:r>
      <w:r>
        <w:rPr>
          <w:rFonts w:ascii="宋体" w:hAnsi="宋体"/>
          <w:szCs w:val="21"/>
        </w:rPr>
        <w:t>5000元／生。</w:t>
      </w:r>
    </w:p>
    <w:p w14:paraId="2972DF2B">
      <w:pPr>
        <w:ind w:firstLine="420"/>
        <w:rPr>
          <w:rFonts w:ascii="宋体" w:hAnsi="宋体"/>
          <w:szCs w:val="21"/>
        </w:rPr>
      </w:pPr>
      <w:r>
        <w:rPr>
          <w:rFonts w:ascii="宋体" w:hAnsi="宋体"/>
          <w:szCs w:val="21"/>
        </w:rPr>
        <w:t>2002年8月实行“一费制”收费标准见表2-59：</w:t>
      </w:r>
    </w:p>
    <w:p w14:paraId="79BDB3FB">
      <w:pPr>
        <w:ind w:firstLine="0" w:firstLineChars="0"/>
        <w:jc w:val="center"/>
        <w:rPr>
          <w:rFonts w:ascii="宋体" w:hAnsi="宋体"/>
          <w:b/>
          <w:szCs w:val="21"/>
        </w:rPr>
      </w:pPr>
      <w:r>
        <w:rPr>
          <w:rFonts w:hint="eastAsia" w:ascii="宋体" w:hAnsi="宋体"/>
          <w:b/>
          <w:szCs w:val="21"/>
        </w:rPr>
        <w:t>南雄市中小学实行“一费制”收费标准一览</w:t>
      </w:r>
    </w:p>
    <w:p w14:paraId="458BC39D">
      <w:pPr>
        <w:ind w:firstLine="0" w:firstLineChars="0"/>
        <w:rPr>
          <w:rFonts w:ascii="宋体" w:hAnsi="宋体"/>
          <w:b/>
          <w:szCs w:val="21"/>
        </w:rPr>
      </w:pPr>
      <w:r>
        <w:rPr>
          <w:rFonts w:hint="eastAsia" w:ascii="宋体" w:hAnsi="宋体"/>
          <w:b/>
          <w:szCs w:val="21"/>
        </w:rPr>
        <w:t>表2-59</w:t>
      </w:r>
    </w:p>
    <w:p w14:paraId="1A2D6C0A">
      <w:pPr>
        <w:ind w:firstLine="0" w:firstLineChars="0"/>
        <w:jc w:val="right"/>
        <w:rPr>
          <w:rFonts w:ascii="宋体" w:hAnsi="宋体"/>
          <w:b/>
          <w:szCs w:val="21"/>
        </w:rPr>
      </w:pPr>
      <w:r>
        <w:rPr>
          <w:rFonts w:hint="eastAsia" w:ascii="宋体" w:hAnsi="宋体"/>
          <w:b/>
          <w:szCs w:val="21"/>
        </w:rPr>
        <w:t>单位：元/生·学期</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97"/>
        <w:gridCol w:w="660"/>
        <w:gridCol w:w="973"/>
        <w:gridCol w:w="917"/>
        <w:gridCol w:w="917"/>
        <w:gridCol w:w="917"/>
        <w:gridCol w:w="917"/>
        <w:gridCol w:w="917"/>
        <w:gridCol w:w="917"/>
        <w:gridCol w:w="917"/>
        <w:gridCol w:w="913"/>
      </w:tblGrid>
      <w:tr w14:paraId="336606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1" w:type="pct"/>
            <w:vMerge w:val="restart"/>
            <w:vAlign w:val="center"/>
          </w:tcPr>
          <w:p w14:paraId="1965A724">
            <w:pPr>
              <w:pStyle w:val="12"/>
              <w:jc w:val="center"/>
              <w:rPr>
                <w:b/>
              </w:rPr>
            </w:pPr>
            <w:r>
              <w:rPr>
                <w:rFonts w:hint="eastAsia"/>
                <w:b/>
              </w:rPr>
              <w:t>类别</w:t>
            </w:r>
          </w:p>
        </w:tc>
        <w:tc>
          <w:tcPr>
            <w:tcW w:w="821" w:type="pct"/>
            <w:gridSpan w:val="2"/>
            <w:vMerge w:val="restart"/>
            <w:vAlign w:val="center"/>
          </w:tcPr>
          <w:p w14:paraId="03EC4388">
            <w:pPr>
              <w:pStyle w:val="12"/>
              <w:jc w:val="center"/>
              <w:rPr>
                <w:b/>
              </w:rPr>
            </w:pPr>
            <w:r>
              <w:rPr>
                <w:rFonts w:hint="eastAsia"/>
                <w:b/>
              </w:rPr>
              <w:t>学校级别</w:t>
            </w:r>
          </w:p>
        </w:tc>
        <w:tc>
          <w:tcPr>
            <w:tcW w:w="1839" w:type="pct"/>
            <w:gridSpan w:val="4"/>
            <w:vAlign w:val="center"/>
          </w:tcPr>
          <w:p w14:paraId="0B658218">
            <w:pPr>
              <w:pStyle w:val="12"/>
              <w:jc w:val="center"/>
              <w:rPr>
                <w:b/>
              </w:rPr>
            </w:pPr>
            <w:r>
              <w:rPr>
                <w:rFonts w:hint="eastAsia"/>
                <w:b/>
              </w:rPr>
              <w:t>普通生</w:t>
            </w:r>
          </w:p>
        </w:tc>
        <w:tc>
          <w:tcPr>
            <w:tcW w:w="1839" w:type="pct"/>
            <w:gridSpan w:val="4"/>
            <w:vAlign w:val="center"/>
          </w:tcPr>
          <w:p w14:paraId="1A6FFB56">
            <w:pPr>
              <w:pStyle w:val="12"/>
              <w:jc w:val="center"/>
              <w:rPr>
                <w:b/>
              </w:rPr>
            </w:pPr>
            <w:r>
              <w:rPr>
                <w:rFonts w:hint="eastAsia"/>
                <w:b/>
              </w:rPr>
              <w:t>借读生</w:t>
            </w:r>
          </w:p>
        </w:tc>
      </w:tr>
      <w:tr w14:paraId="77C20EE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1" w:type="pct"/>
            <w:vMerge w:val="continue"/>
            <w:vAlign w:val="center"/>
          </w:tcPr>
          <w:p w14:paraId="1422D1D8">
            <w:pPr>
              <w:pStyle w:val="12"/>
              <w:jc w:val="center"/>
              <w:rPr>
                <w:b/>
              </w:rPr>
            </w:pPr>
          </w:p>
        </w:tc>
        <w:tc>
          <w:tcPr>
            <w:tcW w:w="821" w:type="pct"/>
            <w:gridSpan w:val="2"/>
            <w:vMerge w:val="continue"/>
            <w:vAlign w:val="center"/>
          </w:tcPr>
          <w:p w14:paraId="42A413A8">
            <w:pPr>
              <w:pStyle w:val="12"/>
              <w:jc w:val="center"/>
              <w:rPr>
                <w:b/>
              </w:rPr>
            </w:pPr>
          </w:p>
        </w:tc>
        <w:tc>
          <w:tcPr>
            <w:tcW w:w="919" w:type="pct"/>
            <w:gridSpan w:val="2"/>
            <w:vAlign w:val="center"/>
          </w:tcPr>
          <w:p w14:paraId="2D1E71EF">
            <w:pPr>
              <w:pStyle w:val="12"/>
              <w:jc w:val="center"/>
              <w:rPr>
                <w:b/>
              </w:rPr>
            </w:pPr>
            <w:r>
              <w:rPr>
                <w:rFonts w:hint="eastAsia"/>
                <w:b/>
              </w:rPr>
              <w:t>城镇</w:t>
            </w:r>
          </w:p>
        </w:tc>
        <w:tc>
          <w:tcPr>
            <w:tcW w:w="919" w:type="pct"/>
            <w:gridSpan w:val="2"/>
            <w:vAlign w:val="center"/>
          </w:tcPr>
          <w:p w14:paraId="3C59D8A3">
            <w:pPr>
              <w:pStyle w:val="12"/>
              <w:jc w:val="center"/>
              <w:rPr>
                <w:b/>
              </w:rPr>
            </w:pPr>
            <w:r>
              <w:rPr>
                <w:rFonts w:hint="eastAsia"/>
                <w:b/>
              </w:rPr>
              <w:t>农村</w:t>
            </w:r>
          </w:p>
        </w:tc>
        <w:tc>
          <w:tcPr>
            <w:tcW w:w="919" w:type="pct"/>
            <w:gridSpan w:val="2"/>
            <w:vAlign w:val="center"/>
          </w:tcPr>
          <w:p w14:paraId="15CD4BC7">
            <w:pPr>
              <w:pStyle w:val="12"/>
              <w:jc w:val="center"/>
              <w:rPr>
                <w:b/>
              </w:rPr>
            </w:pPr>
            <w:r>
              <w:rPr>
                <w:rFonts w:hint="eastAsia"/>
                <w:b/>
              </w:rPr>
              <w:t>城镇</w:t>
            </w:r>
          </w:p>
        </w:tc>
        <w:tc>
          <w:tcPr>
            <w:tcW w:w="919" w:type="pct"/>
            <w:gridSpan w:val="2"/>
            <w:vAlign w:val="center"/>
          </w:tcPr>
          <w:p w14:paraId="31992039">
            <w:pPr>
              <w:pStyle w:val="12"/>
              <w:jc w:val="center"/>
              <w:rPr>
                <w:b/>
              </w:rPr>
            </w:pPr>
            <w:r>
              <w:rPr>
                <w:rFonts w:hint="eastAsia"/>
                <w:b/>
              </w:rPr>
              <w:t>农村</w:t>
            </w:r>
          </w:p>
        </w:tc>
      </w:tr>
      <w:tr w14:paraId="2829EB4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1" w:type="pct"/>
            <w:vMerge w:val="continue"/>
            <w:vAlign w:val="center"/>
          </w:tcPr>
          <w:p w14:paraId="47D57E77">
            <w:pPr>
              <w:pStyle w:val="12"/>
              <w:jc w:val="center"/>
            </w:pPr>
          </w:p>
        </w:tc>
        <w:tc>
          <w:tcPr>
            <w:tcW w:w="821" w:type="pct"/>
            <w:gridSpan w:val="2"/>
            <w:vMerge w:val="continue"/>
            <w:vAlign w:val="center"/>
          </w:tcPr>
          <w:p w14:paraId="6EEDBB73">
            <w:pPr>
              <w:pStyle w:val="12"/>
              <w:jc w:val="center"/>
            </w:pPr>
          </w:p>
        </w:tc>
        <w:tc>
          <w:tcPr>
            <w:tcW w:w="460" w:type="pct"/>
            <w:vAlign w:val="center"/>
          </w:tcPr>
          <w:p w14:paraId="75B2A57D">
            <w:pPr>
              <w:pStyle w:val="12"/>
              <w:jc w:val="center"/>
              <w:rPr>
                <w:b/>
              </w:rPr>
            </w:pPr>
            <w:r>
              <w:rPr>
                <w:rFonts w:hint="eastAsia"/>
                <w:b/>
              </w:rPr>
              <w:t>书杂费</w:t>
            </w:r>
          </w:p>
        </w:tc>
        <w:tc>
          <w:tcPr>
            <w:tcW w:w="460" w:type="pct"/>
            <w:vAlign w:val="center"/>
          </w:tcPr>
          <w:p w14:paraId="2E0A763C">
            <w:pPr>
              <w:pStyle w:val="12"/>
              <w:jc w:val="center"/>
              <w:rPr>
                <w:b/>
              </w:rPr>
            </w:pPr>
            <w:r>
              <w:rPr>
                <w:rFonts w:hint="eastAsia"/>
                <w:b/>
              </w:rPr>
              <w:t>学杂费</w:t>
            </w:r>
          </w:p>
        </w:tc>
        <w:tc>
          <w:tcPr>
            <w:tcW w:w="460" w:type="pct"/>
            <w:vAlign w:val="center"/>
          </w:tcPr>
          <w:p w14:paraId="00212B7B">
            <w:pPr>
              <w:pStyle w:val="12"/>
              <w:jc w:val="center"/>
              <w:rPr>
                <w:b/>
              </w:rPr>
            </w:pPr>
            <w:r>
              <w:rPr>
                <w:rFonts w:hint="eastAsia"/>
                <w:b/>
              </w:rPr>
              <w:t>书杂费</w:t>
            </w:r>
          </w:p>
        </w:tc>
        <w:tc>
          <w:tcPr>
            <w:tcW w:w="460" w:type="pct"/>
            <w:vAlign w:val="center"/>
          </w:tcPr>
          <w:p w14:paraId="13CF6664">
            <w:pPr>
              <w:pStyle w:val="12"/>
              <w:jc w:val="center"/>
              <w:rPr>
                <w:b/>
              </w:rPr>
            </w:pPr>
            <w:r>
              <w:rPr>
                <w:rFonts w:hint="eastAsia"/>
                <w:b/>
              </w:rPr>
              <w:t>学杂费</w:t>
            </w:r>
          </w:p>
        </w:tc>
        <w:tc>
          <w:tcPr>
            <w:tcW w:w="460" w:type="pct"/>
            <w:vAlign w:val="center"/>
          </w:tcPr>
          <w:p w14:paraId="2F46E77F">
            <w:pPr>
              <w:pStyle w:val="12"/>
              <w:jc w:val="center"/>
              <w:rPr>
                <w:b/>
              </w:rPr>
            </w:pPr>
            <w:r>
              <w:rPr>
                <w:rFonts w:hint="eastAsia"/>
                <w:b/>
              </w:rPr>
              <w:t>书杂费</w:t>
            </w:r>
          </w:p>
        </w:tc>
        <w:tc>
          <w:tcPr>
            <w:tcW w:w="460" w:type="pct"/>
            <w:vAlign w:val="center"/>
          </w:tcPr>
          <w:p w14:paraId="29257EDC">
            <w:pPr>
              <w:pStyle w:val="12"/>
              <w:jc w:val="center"/>
              <w:rPr>
                <w:b/>
              </w:rPr>
            </w:pPr>
            <w:r>
              <w:rPr>
                <w:rFonts w:hint="eastAsia"/>
                <w:b/>
              </w:rPr>
              <w:t>学杂费</w:t>
            </w:r>
          </w:p>
        </w:tc>
        <w:tc>
          <w:tcPr>
            <w:tcW w:w="460" w:type="pct"/>
            <w:vAlign w:val="center"/>
          </w:tcPr>
          <w:p w14:paraId="3B964CBF">
            <w:pPr>
              <w:pStyle w:val="12"/>
              <w:jc w:val="center"/>
              <w:rPr>
                <w:b/>
              </w:rPr>
            </w:pPr>
            <w:r>
              <w:rPr>
                <w:rFonts w:hint="eastAsia"/>
                <w:b/>
              </w:rPr>
              <w:t>书杂费</w:t>
            </w:r>
          </w:p>
        </w:tc>
        <w:tc>
          <w:tcPr>
            <w:tcW w:w="460" w:type="pct"/>
            <w:vAlign w:val="center"/>
          </w:tcPr>
          <w:p w14:paraId="4B8E008E">
            <w:pPr>
              <w:pStyle w:val="12"/>
              <w:jc w:val="center"/>
              <w:rPr>
                <w:b/>
              </w:rPr>
            </w:pPr>
            <w:r>
              <w:rPr>
                <w:rFonts w:hint="eastAsia"/>
                <w:b/>
              </w:rPr>
              <w:t>学杂费</w:t>
            </w:r>
          </w:p>
        </w:tc>
      </w:tr>
      <w:tr w14:paraId="65C125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1" w:type="pct"/>
            <w:vMerge w:val="restart"/>
            <w:vAlign w:val="center"/>
          </w:tcPr>
          <w:p w14:paraId="44F67E99">
            <w:pPr>
              <w:pStyle w:val="12"/>
              <w:jc w:val="center"/>
            </w:pPr>
            <w:r>
              <w:rPr>
                <w:rFonts w:hint="eastAsia"/>
              </w:rPr>
              <w:t>小学</w:t>
            </w:r>
          </w:p>
        </w:tc>
        <w:tc>
          <w:tcPr>
            <w:tcW w:w="821" w:type="pct"/>
            <w:gridSpan w:val="2"/>
            <w:vAlign w:val="center"/>
          </w:tcPr>
          <w:p w14:paraId="7FBF1907">
            <w:pPr>
              <w:pStyle w:val="12"/>
              <w:jc w:val="center"/>
            </w:pPr>
            <w:r>
              <w:rPr>
                <w:rFonts w:hint="eastAsia"/>
              </w:rPr>
              <w:t>省一级</w:t>
            </w:r>
          </w:p>
        </w:tc>
        <w:tc>
          <w:tcPr>
            <w:tcW w:w="460" w:type="pct"/>
            <w:vAlign w:val="center"/>
          </w:tcPr>
          <w:p w14:paraId="09F537C0">
            <w:pPr>
              <w:pStyle w:val="12"/>
              <w:jc w:val="center"/>
            </w:pPr>
            <w:r>
              <w:rPr>
                <w:rFonts w:hint="eastAsia"/>
              </w:rPr>
              <w:t>243</w:t>
            </w:r>
          </w:p>
        </w:tc>
        <w:tc>
          <w:tcPr>
            <w:tcW w:w="460" w:type="pct"/>
            <w:vAlign w:val="center"/>
          </w:tcPr>
          <w:p w14:paraId="5B6A2D9D">
            <w:pPr>
              <w:pStyle w:val="12"/>
              <w:jc w:val="center"/>
            </w:pPr>
            <w:r>
              <w:rPr>
                <w:rFonts w:hint="eastAsia"/>
              </w:rPr>
              <w:t>—</w:t>
            </w:r>
          </w:p>
        </w:tc>
        <w:tc>
          <w:tcPr>
            <w:tcW w:w="460" w:type="pct"/>
            <w:vAlign w:val="center"/>
          </w:tcPr>
          <w:p w14:paraId="463958F7">
            <w:pPr>
              <w:pStyle w:val="12"/>
              <w:jc w:val="center"/>
            </w:pPr>
            <w:r>
              <w:rPr>
                <w:rFonts w:hint="eastAsia"/>
              </w:rPr>
              <w:t>243</w:t>
            </w:r>
          </w:p>
        </w:tc>
        <w:tc>
          <w:tcPr>
            <w:tcW w:w="460" w:type="pct"/>
            <w:vAlign w:val="center"/>
          </w:tcPr>
          <w:p w14:paraId="322552B8">
            <w:pPr>
              <w:pStyle w:val="12"/>
              <w:jc w:val="center"/>
            </w:pPr>
            <w:r>
              <w:rPr>
                <w:rFonts w:hint="eastAsia"/>
              </w:rPr>
              <w:t>—</w:t>
            </w:r>
          </w:p>
        </w:tc>
        <w:tc>
          <w:tcPr>
            <w:tcW w:w="460" w:type="pct"/>
            <w:vAlign w:val="center"/>
          </w:tcPr>
          <w:p w14:paraId="66F4EEF0">
            <w:pPr>
              <w:pStyle w:val="12"/>
              <w:jc w:val="center"/>
            </w:pPr>
            <w:r>
              <w:rPr>
                <w:rFonts w:hint="eastAsia"/>
              </w:rPr>
              <w:t>550</w:t>
            </w:r>
          </w:p>
        </w:tc>
        <w:tc>
          <w:tcPr>
            <w:tcW w:w="460" w:type="pct"/>
            <w:vAlign w:val="center"/>
          </w:tcPr>
          <w:p w14:paraId="6E8D7E98">
            <w:pPr>
              <w:pStyle w:val="12"/>
              <w:jc w:val="center"/>
            </w:pPr>
            <w:r>
              <w:rPr>
                <w:rFonts w:hint="eastAsia"/>
              </w:rPr>
              <w:t>—</w:t>
            </w:r>
          </w:p>
        </w:tc>
        <w:tc>
          <w:tcPr>
            <w:tcW w:w="460" w:type="pct"/>
            <w:vAlign w:val="center"/>
          </w:tcPr>
          <w:p w14:paraId="705992B3">
            <w:pPr>
              <w:pStyle w:val="12"/>
              <w:jc w:val="center"/>
            </w:pPr>
            <w:r>
              <w:rPr>
                <w:rFonts w:hint="eastAsia"/>
              </w:rPr>
              <w:t>550</w:t>
            </w:r>
          </w:p>
        </w:tc>
        <w:tc>
          <w:tcPr>
            <w:tcW w:w="460" w:type="pct"/>
            <w:vAlign w:val="center"/>
          </w:tcPr>
          <w:p w14:paraId="38767AD2">
            <w:pPr>
              <w:pStyle w:val="12"/>
              <w:jc w:val="center"/>
            </w:pPr>
            <w:r>
              <w:rPr>
                <w:rFonts w:hint="eastAsia"/>
              </w:rPr>
              <w:t>—</w:t>
            </w:r>
          </w:p>
        </w:tc>
      </w:tr>
      <w:tr w14:paraId="04667F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1" w:type="pct"/>
            <w:vMerge w:val="continue"/>
            <w:vAlign w:val="center"/>
          </w:tcPr>
          <w:p w14:paraId="51B9608E">
            <w:pPr>
              <w:pStyle w:val="12"/>
              <w:jc w:val="center"/>
            </w:pPr>
          </w:p>
        </w:tc>
        <w:tc>
          <w:tcPr>
            <w:tcW w:w="821" w:type="pct"/>
            <w:gridSpan w:val="2"/>
            <w:vAlign w:val="center"/>
          </w:tcPr>
          <w:p w14:paraId="1CB39B66">
            <w:pPr>
              <w:pStyle w:val="12"/>
              <w:jc w:val="center"/>
            </w:pPr>
            <w:r>
              <w:rPr>
                <w:rFonts w:hint="eastAsia"/>
              </w:rPr>
              <w:t>韶关市一级</w:t>
            </w:r>
          </w:p>
        </w:tc>
        <w:tc>
          <w:tcPr>
            <w:tcW w:w="460" w:type="pct"/>
            <w:vAlign w:val="center"/>
          </w:tcPr>
          <w:p w14:paraId="133F4B2F">
            <w:pPr>
              <w:pStyle w:val="12"/>
              <w:jc w:val="center"/>
            </w:pPr>
            <w:r>
              <w:rPr>
                <w:rFonts w:hint="eastAsia"/>
              </w:rPr>
              <w:t>223</w:t>
            </w:r>
          </w:p>
        </w:tc>
        <w:tc>
          <w:tcPr>
            <w:tcW w:w="460" w:type="pct"/>
            <w:vAlign w:val="center"/>
          </w:tcPr>
          <w:p w14:paraId="039BA575">
            <w:pPr>
              <w:pStyle w:val="12"/>
              <w:jc w:val="center"/>
            </w:pPr>
            <w:r>
              <w:rPr>
                <w:rFonts w:hint="eastAsia"/>
              </w:rPr>
              <w:t>—</w:t>
            </w:r>
          </w:p>
        </w:tc>
        <w:tc>
          <w:tcPr>
            <w:tcW w:w="460" w:type="pct"/>
            <w:vAlign w:val="center"/>
          </w:tcPr>
          <w:p w14:paraId="6E4403D6">
            <w:pPr>
              <w:pStyle w:val="12"/>
              <w:jc w:val="center"/>
            </w:pPr>
            <w:r>
              <w:rPr>
                <w:rFonts w:hint="eastAsia"/>
              </w:rPr>
              <w:t>223</w:t>
            </w:r>
          </w:p>
        </w:tc>
        <w:tc>
          <w:tcPr>
            <w:tcW w:w="460" w:type="pct"/>
            <w:vAlign w:val="center"/>
          </w:tcPr>
          <w:p w14:paraId="7BD35A07">
            <w:pPr>
              <w:pStyle w:val="12"/>
              <w:jc w:val="center"/>
            </w:pPr>
            <w:r>
              <w:rPr>
                <w:rFonts w:hint="eastAsia"/>
              </w:rPr>
              <w:t>—</w:t>
            </w:r>
          </w:p>
        </w:tc>
        <w:tc>
          <w:tcPr>
            <w:tcW w:w="460" w:type="pct"/>
            <w:vAlign w:val="center"/>
          </w:tcPr>
          <w:p w14:paraId="17C6FF34">
            <w:pPr>
              <w:pStyle w:val="12"/>
              <w:jc w:val="center"/>
            </w:pPr>
            <w:r>
              <w:rPr>
                <w:rFonts w:hint="eastAsia"/>
              </w:rPr>
              <w:t>510</w:t>
            </w:r>
          </w:p>
        </w:tc>
        <w:tc>
          <w:tcPr>
            <w:tcW w:w="460" w:type="pct"/>
            <w:vAlign w:val="center"/>
          </w:tcPr>
          <w:p w14:paraId="29D3D3B8">
            <w:pPr>
              <w:pStyle w:val="12"/>
              <w:jc w:val="center"/>
            </w:pPr>
            <w:r>
              <w:rPr>
                <w:rFonts w:hint="eastAsia"/>
              </w:rPr>
              <w:t>—</w:t>
            </w:r>
          </w:p>
        </w:tc>
        <w:tc>
          <w:tcPr>
            <w:tcW w:w="460" w:type="pct"/>
            <w:vAlign w:val="center"/>
          </w:tcPr>
          <w:p w14:paraId="3F0CF8B2">
            <w:pPr>
              <w:pStyle w:val="12"/>
              <w:jc w:val="center"/>
            </w:pPr>
            <w:r>
              <w:rPr>
                <w:rFonts w:hint="eastAsia"/>
              </w:rPr>
              <w:t>510</w:t>
            </w:r>
          </w:p>
        </w:tc>
        <w:tc>
          <w:tcPr>
            <w:tcW w:w="460" w:type="pct"/>
            <w:vAlign w:val="center"/>
          </w:tcPr>
          <w:p w14:paraId="2A7E5570">
            <w:pPr>
              <w:pStyle w:val="12"/>
              <w:jc w:val="center"/>
            </w:pPr>
            <w:r>
              <w:rPr>
                <w:rFonts w:hint="eastAsia"/>
              </w:rPr>
              <w:t>—</w:t>
            </w:r>
          </w:p>
        </w:tc>
      </w:tr>
      <w:tr w14:paraId="34AA64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1" w:type="pct"/>
            <w:vMerge w:val="continue"/>
            <w:vAlign w:val="center"/>
          </w:tcPr>
          <w:p w14:paraId="53DED4C6">
            <w:pPr>
              <w:pStyle w:val="12"/>
              <w:jc w:val="center"/>
            </w:pPr>
          </w:p>
        </w:tc>
        <w:tc>
          <w:tcPr>
            <w:tcW w:w="821" w:type="pct"/>
            <w:gridSpan w:val="2"/>
            <w:vAlign w:val="center"/>
          </w:tcPr>
          <w:p w14:paraId="5D3FF22A">
            <w:pPr>
              <w:pStyle w:val="12"/>
              <w:jc w:val="center"/>
            </w:pPr>
            <w:r>
              <w:rPr>
                <w:rFonts w:hint="eastAsia"/>
              </w:rPr>
              <w:t>南雄市一级</w:t>
            </w:r>
          </w:p>
        </w:tc>
        <w:tc>
          <w:tcPr>
            <w:tcW w:w="460" w:type="pct"/>
            <w:vAlign w:val="center"/>
          </w:tcPr>
          <w:p w14:paraId="0BCC199A">
            <w:pPr>
              <w:pStyle w:val="12"/>
              <w:jc w:val="center"/>
            </w:pPr>
            <w:r>
              <w:rPr>
                <w:rFonts w:hint="eastAsia"/>
              </w:rPr>
              <w:t>213</w:t>
            </w:r>
          </w:p>
        </w:tc>
        <w:tc>
          <w:tcPr>
            <w:tcW w:w="460" w:type="pct"/>
            <w:vAlign w:val="center"/>
          </w:tcPr>
          <w:p w14:paraId="4D054505">
            <w:pPr>
              <w:pStyle w:val="12"/>
              <w:jc w:val="center"/>
            </w:pPr>
            <w:r>
              <w:rPr>
                <w:rFonts w:hint="eastAsia"/>
              </w:rPr>
              <w:t>—</w:t>
            </w:r>
          </w:p>
        </w:tc>
        <w:tc>
          <w:tcPr>
            <w:tcW w:w="460" w:type="pct"/>
            <w:vAlign w:val="center"/>
          </w:tcPr>
          <w:p w14:paraId="20B6A34F">
            <w:pPr>
              <w:pStyle w:val="12"/>
              <w:jc w:val="center"/>
            </w:pPr>
            <w:r>
              <w:rPr>
                <w:rFonts w:hint="eastAsia"/>
              </w:rPr>
              <w:t>213</w:t>
            </w:r>
          </w:p>
        </w:tc>
        <w:tc>
          <w:tcPr>
            <w:tcW w:w="460" w:type="pct"/>
            <w:vAlign w:val="center"/>
          </w:tcPr>
          <w:p w14:paraId="566F04EC">
            <w:pPr>
              <w:pStyle w:val="12"/>
              <w:jc w:val="center"/>
            </w:pPr>
            <w:r>
              <w:rPr>
                <w:rFonts w:hint="eastAsia"/>
              </w:rPr>
              <w:t>—</w:t>
            </w:r>
          </w:p>
        </w:tc>
        <w:tc>
          <w:tcPr>
            <w:tcW w:w="460" w:type="pct"/>
            <w:vAlign w:val="center"/>
          </w:tcPr>
          <w:p w14:paraId="50354636">
            <w:pPr>
              <w:pStyle w:val="12"/>
              <w:jc w:val="center"/>
            </w:pPr>
            <w:r>
              <w:rPr>
                <w:rFonts w:hint="eastAsia"/>
              </w:rPr>
              <w:t>480</w:t>
            </w:r>
          </w:p>
        </w:tc>
        <w:tc>
          <w:tcPr>
            <w:tcW w:w="460" w:type="pct"/>
            <w:vAlign w:val="center"/>
          </w:tcPr>
          <w:p w14:paraId="0CAF8A97">
            <w:pPr>
              <w:pStyle w:val="12"/>
              <w:jc w:val="center"/>
            </w:pPr>
            <w:r>
              <w:rPr>
                <w:rFonts w:hint="eastAsia"/>
              </w:rPr>
              <w:t>—</w:t>
            </w:r>
          </w:p>
        </w:tc>
        <w:tc>
          <w:tcPr>
            <w:tcW w:w="460" w:type="pct"/>
            <w:vAlign w:val="center"/>
          </w:tcPr>
          <w:p w14:paraId="59CAF789">
            <w:pPr>
              <w:pStyle w:val="12"/>
              <w:jc w:val="center"/>
            </w:pPr>
            <w:r>
              <w:rPr>
                <w:rFonts w:hint="eastAsia"/>
              </w:rPr>
              <w:t>480</w:t>
            </w:r>
          </w:p>
        </w:tc>
        <w:tc>
          <w:tcPr>
            <w:tcW w:w="460" w:type="pct"/>
            <w:vAlign w:val="center"/>
          </w:tcPr>
          <w:p w14:paraId="268BC95B">
            <w:pPr>
              <w:pStyle w:val="12"/>
              <w:jc w:val="center"/>
            </w:pPr>
            <w:r>
              <w:rPr>
                <w:rFonts w:hint="eastAsia"/>
              </w:rPr>
              <w:t>—</w:t>
            </w:r>
          </w:p>
        </w:tc>
      </w:tr>
      <w:tr w14:paraId="61B275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1" w:type="pct"/>
            <w:vMerge w:val="continue"/>
            <w:vAlign w:val="center"/>
          </w:tcPr>
          <w:p w14:paraId="374535F2">
            <w:pPr>
              <w:pStyle w:val="12"/>
              <w:jc w:val="center"/>
            </w:pPr>
          </w:p>
        </w:tc>
        <w:tc>
          <w:tcPr>
            <w:tcW w:w="821" w:type="pct"/>
            <w:gridSpan w:val="2"/>
            <w:vAlign w:val="center"/>
          </w:tcPr>
          <w:p w14:paraId="098231F3">
            <w:pPr>
              <w:pStyle w:val="12"/>
              <w:jc w:val="center"/>
            </w:pPr>
            <w:r>
              <w:rPr>
                <w:rFonts w:hint="eastAsia"/>
              </w:rPr>
              <w:t>普通</w:t>
            </w:r>
          </w:p>
        </w:tc>
        <w:tc>
          <w:tcPr>
            <w:tcW w:w="460" w:type="pct"/>
            <w:vAlign w:val="center"/>
          </w:tcPr>
          <w:p w14:paraId="58A7C527">
            <w:pPr>
              <w:pStyle w:val="12"/>
              <w:jc w:val="center"/>
            </w:pPr>
            <w:r>
              <w:rPr>
                <w:rFonts w:hint="eastAsia"/>
              </w:rPr>
              <w:t>194</w:t>
            </w:r>
          </w:p>
        </w:tc>
        <w:tc>
          <w:tcPr>
            <w:tcW w:w="460" w:type="pct"/>
            <w:vAlign w:val="center"/>
          </w:tcPr>
          <w:p w14:paraId="373BEBF3">
            <w:pPr>
              <w:pStyle w:val="12"/>
              <w:jc w:val="center"/>
            </w:pPr>
            <w:r>
              <w:rPr>
                <w:rFonts w:hint="eastAsia"/>
              </w:rPr>
              <w:t>—</w:t>
            </w:r>
          </w:p>
        </w:tc>
        <w:tc>
          <w:tcPr>
            <w:tcW w:w="460" w:type="pct"/>
            <w:vAlign w:val="center"/>
          </w:tcPr>
          <w:p w14:paraId="3FA73EE3">
            <w:pPr>
              <w:pStyle w:val="12"/>
              <w:jc w:val="center"/>
            </w:pPr>
            <w:r>
              <w:rPr>
                <w:rFonts w:hint="eastAsia"/>
              </w:rPr>
              <w:t>180</w:t>
            </w:r>
          </w:p>
        </w:tc>
        <w:tc>
          <w:tcPr>
            <w:tcW w:w="460" w:type="pct"/>
            <w:vAlign w:val="center"/>
          </w:tcPr>
          <w:p w14:paraId="4F2251E7">
            <w:pPr>
              <w:pStyle w:val="12"/>
              <w:jc w:val="center"/>
            </w:pPr>
            <w:r>
              <w:rPr>
                <w:rFonts w:hint="eastAsia"/>
              </w:rPr>
              <w:t>—</w:t>
            </w:r>
          </w:p>
        </w:tc>
        <w:tc>
          <w:tcPr>
            <w:tcW w:w="460" w:type="pct"/>
            <w:vAlign w:val="center"/>
          </w:tcPr>
          <w:p w14:paraId="47B2503E">
            <w:pPr>
              <w:pStyle w:val="12"/>
              <w:jc w:val="center"/>
            </w:pPr>
            <w:r>
              <w:rPr>
                <w:rFonts w:hint="eastAsia"/>
              </w:rPr>
              <w:t>440</w:t>
            </w:r>
          </w:p>
        </w:tc>
        <w:tc>
          <w:tcPr>
            <w:tcW w:w="460" w:type="pct"/>
            <w:vAlign w:val="center"/>
          </w:tcPr>
          <w:p w14:paraId="5582C775">
            <w:pPr>
              <w:pStyle w:val="12"/>
              <w:jc w:val="center"/>
            </w:pPr>
            <w:r>
              <w:rPr>
                <w:rFonts w:hint="eastAsia"/>
              </w:rPr>
              <w:t>—</w:t>
            </w:r>
          </w:p>
        </w:tc>
        <w:tc>
          <w:tcPr>
            <w:tcW w:w="460" w:type="pct"/>
            <w:vAlign w:val="center"/>
          </w:tcPr>
          <w:p w14:paraId="28D26E9E">
            <w:pPr>
              <w:pStyle w:val="12"/>
              <w:jc w:val="center"/>
            </w:pPr>
            <w:r>
              <w:rPr>
                <w:rFonts w:hint="eastAsia"/>
              </w:rPr>
              <w:t>440</w:t>
            </w:r>
          </w:p>
        </w:tc>
        <w:tc>
          <w:tcPr>
            <w:tcW w:w="460" w:type="pct"/>
            <w:vAlign w:val="center"/>
          </w:tcPr>
          <w:p w14:paraId="47D9F100">
            <w:pPr>
              <w:pStyle w:val="12"/>
              <w:jc w:val="center"/>
            </w:pPr>
            <w:r>
              <w:rPr>
                <w:rFonts w:hint="eastAsia"/>
              </w:rPr>
              <w:t>—</w:t>
            </w:r>
          </w:p>
        </w:tc>
      </w:tr>
      <w:tr w14:paraId="48AD46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1" w:type="pct"/>
            <w:vMerge w:val="restart"/>
            <w:vAlign w:val="center"/>
          </w:tcPr>
          <w:p w14:paraId="6F55FD67">
            <w:pPr>
              <w:pStyle w:val="12"/>
              <w:jc w:val="center"/>
            </w:pPr>
            <w:r>
              <w:rPr>
                <w:rFonts w:hint="eastAsia"/>
              </w:rPr>
              <w:t>初中</w:t>
            </w:r>
          </w:p>
        </w:tc>
        <w:tc>
          <w:tcPr>
            <w:tcW w:w="821" w:type="pct"/>
            <w:gridSpan w:val="2"/>
            <w:vAlign w:val="center"/>
          </w:tcPr>
          <w:p w14:paraId="551E8A20">
            <w:pPr>
              <w:pStyle w:val="12"/>
              <w:jc w:val="center"/>
            </w:pPr>
            <w:r>
              <w:rPr>
                <w:rFonts w:hint="eastAsia"/>
              </w:rPr>
              <w:t>韶关市一级</w:t>
            </w:r>
          </w:p>
        </w:tc>
        <w:tc>
          <w:tcPr>
            <w:tcW w:w="460" w:type="pct"/>
            <w:vAlign w:val="center"/>
          </w:tcPr>
          <w:p w14:paraId="5E51C83B">
            <w:pPr>
              <w:pStyle w:val="12"/>
              <w:jc w:val="center"/>
            </w:pPr>
            <w:r>
              <w:rPr>
                <w:rFonts w:hint="eastAsia"/>
              </w:rPr>
              <w:t>328</w:t>
            </w:r>
          </w:p>
        </w:tc>
        <w:tc>
          <w:tcPr>
            <w:tcW w:w="460" w:type="pct"/>
            <w:vAlign w:val="center"/>
          </w:tcPr>
          <w:p w14:paraId="13E659FE">
            <w:pPr>
              <w:pStyle w:val="12"/>
              <w:jc w:val="center"/>
            </w:pPr>
            <w:r>
              <w:rPr>
                <w:rFonts w:hint="eastAsia"/>
              </w:rPr>
              <w:t>—</w:t>
            </w:r>
          </w:p>
        </w:tc>
        <w:tc>
          <w:tcPr>
            <w:tcW w:w="460" w:type="pct"/>
            <w:vAlign w:val="center"/>
          </w:tcPr>
          <w:p w14:paraId="449BEA78">
            <w:pPr>
              <w:pStyle w:val="12"/>
              <w:jc w:val="center"/>
            </w:pPr>
            <w:r>
              <w:rPr>
                <w:rFonts w:hint="eastAsia"/>
              </w:rPr>
              <w:t>328</w:t>
            </w:r>
          </w:p>
        </w:tc>
        <w:tc>
          <w:tcPr>
            <w:tcW w:w="460" w:type="pct"/>
            <w:vAlign w:val="center"/>
          </w:tcPr>
          <w:p w14:paraId="3FE0B12D">
            <w:pPr>
              <w:pStyle w:val="12"/>
              <w:jc w:val="center"/>
            </w:pPr>
            <w:r>
              <w:rPr>
                <w:rFonts w:hint="eastAsia"/>
              </w:rPr>
              <w:t>—</w:t>
            </w:r>
          </w:p>
        </w:tc>
        <w:tc>
          <w:tcPr>
            <w:tcW w:w="460" w:type="pct"/>
            <w:vAlign w:val="center"/>
          </w:tcPr>
          <w:p w14:paraId="6C5A18E5">
            <w:pPr>
              <w:pStyle w:val="12"/>
              <w:jc w:val="center"/>
            </w:pPr>
            <w:r>
              <w:rPr>
                <w:rFonts w:hint="eastAsia"/>
              </w:rPr>
              <w:t>740</w:t>
            </w:r>
          </w:p>
        </w:tc>
        <w:tc>
          <w:tcPr>
            <w:tcW w:w="460" w:type="pct"/>
            <w:vAlign w:val="center"/>
          </w:tcPr>
          <w:p w14:paraId="19721540">
            <w:pPr>
              <w:pStyle w:val="12"/>
              <w:jc w:val="center"/>
            </w:pPr>
            <w:r>
              <w:rPr>
                <w:rFonts w:hint="eastAsia"/>
              </w:rPr>
              <w:t>—</w:t>
            </w:r>
          </w:p>
        </w:tc>
        <w:tc>
          <w:tcPr>
            <w:tcW w:w="460" w:type="pct"/>
            <w:vAlign w:val="center"/>
          </w:tcPr>
          <w:p w14:paraId="3824E30C">
            <w:pPr>
              <w:pStyle w:val="12"/>
              <w:jc w:val="center"/>
            </w:pPr>
            <w:r>
              <w:rPr>
                <w:rFonts w:hint="eastAsia"/>
              </w:rPr>
              <w:t>670</w:t>
            </w:r>
          </w:p>
        </w:tc>
        <w:tc>
          <w:tcPr>
            <w:tcW w:w="460" w:type="pct"/>
            <w:vAlign w:val="center"/>
          </w:tcPr>
          <w:p w14:paraId="06E9B941">
            <w:pPr>
              <w:pStyle w:val="12"/>
              <w:jc w:val="center"/>
            </w:pPr>
            <w:r>
              <w:rPr>
                <w:rFonts w:hint="eastAsia"/>
              </w:rPr>
              <w:t>—</w:t>
            </w:r>
          </w:p>
        </w:tc>
      </w:tr>
      <w:tr w14:paraId="2C474F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1" w:type="pct"/>
            <w:vMerge w:val="continue"/>
            <w:vAlign w:val="center"/>
          </w:tcPr>
          <w:p w14:paraId="42A36F42">
            <w:pPr>
              <w:pStyle w:val="12"/>
              <w:jc w:val="center"/>
            </w:pPr>
          </w:p>
        </w:tc>
        <w:tc>
          <w:tcPr>
            <w:tcW w:w="821" w:type="pct"/>
            <w:gridSpan w:val="2"/>
            <w:vAlign w:val="center"/>
          </w:tcPr>
          <w:p w14:paraId="0A3BFD00">
            <w:pPr>
              <w:pStyle w:val="12"/>
              <w:jc w:val="center"/>
            </w:pPr>
            <w:r>
              <w:rPr>
                <w:rFonts w:hint="eastAsia"/>
              </w:rPr>
              <w:t>南雄市一级</w:t>
            </w:r>
          </w:p>
        </w:tc>
        <w:tc>
          <w:tcPr>
            <w:tcW w:w="460" w:type="pct"/>
            <w:vAlign w:val="center"/>
          </w:tcPr>
          <w:p w14:paraId="5A12480B">
            <w:pPr>
              <w:pStyle w:val="12"/>
              <w:jc w:val="center"/>
            </w:pPr>
            <w:r>
              <w:rPr>
                <w:rFonts w:hint="eastAsia"/>
              </w:rPr>
              <w:t>323</w:t>
            </w:r>
          </w:p>
        </w:tc>
        <w:tc>
          <w:tcPr>
            <w:tcW w:w="460" w:type="pct"/>
            <w:vAlign w:val="center"/>
          </w:tcPr>
          <w:p w14:paraId="03AED6FE">
            <w:pPr>
              <w:pStyle w:val="12"/>
              <w:jc w:val="center"/>
            </w:pPr>
            <w:r>
              <w:rPr>
                <w:rFonts w:hint="eastAsia"/>
              </w:rPr>
              <w:t>—</w:t>
            </w:r>
          </w:p>
        </w:tc>
        <w:tc>
          <w:tcPr>
            <w:tcW w:w="460" w:type="pct"/>
            <w:vAlign w:val="center"/>
          </w:tcPr>
          <w:p w14:paraId="76981C89">
            <w:pPr>
              <w:pStyle w:val="12"/>
              <w:jc w:val="center"/>
            </w:pPr>
            <w:r>
              <w:rPr>
                <w:rFonts w:hint="eastAsia"/>
              </w:rPr>
              <w:t>323</w:t>
            </w:r>
          </w:p>
        </w:tc>
        <w:tc>
          <w:tcPr>
            <w:tcW w:w="460" w:type="pct"/>
            <w:vAlign w:val="center"/>
          </w:tcPr>
          <w:p w14:paraId="43493311">
            <w:pPr>
              <w:pStyle w:val="12"/>
              <w:jc w:val="center"/>
            </w:pPr>
            <w:r>
              <w:rPr>
                <w:rFonts w:hint="eastAsia"/>
              </w:rPr>
              <w:t>—</w:t>
            </w:r>
          </w:p>
        </w:tc>
        <w:tc>
          <w:tcPr>
            <w:tcW w:w="460" w:type="pct"/>
            <w:vAlign w:val="center"/>
          </w:tcPr>
          <w:p w14:paraId="797EB4EA">
            <w:pPr>
              <w:pStyle w:val="12"/>
              <w:jc w:val="center"/>
            </w:pPr>
            <w:r>
              <w:rPr>
                <w:rFonts w:hint="eastAsia"/>
              </w:rPr>
              <w:t>700</w:t>
            </w:r>
          </w:p>
        </w:tc>
        <w:tc>
          <w:tcPr>
            <w:tcW w:w="460" w:type="pct"/>
            <w:vAlign w:val="center"/>
          </w:tcPr>
          <w:p w14:paraId="6EE28033">
            <w:pPr>
              <w:pStyle w:val="12"/>
              <w:jc w:val="center"/>
            </w:pPr>
            <w:r>
              <w:rPr>
                <w:rFonts w:hint="eastAsia"/>
              </w:rPr>
              <w:t>—</w:t>
            </w:r>
          </w:p>
        </w:tc>
        <w:tc>
          <w:tcPr>
            <w:tcW w:w="460" w:type="pct"/>
            <w:vAlign w:val="center"/>
          </w:tcPr>
          <w:p w14:paraId="6AA889F5">
            <w:pPr>
              <w:pStyle w:val="12"/>
              <w:jc w:val="center"/>
            </w:pPr>
            <w:r>
              <w:rPr>
                <w:rFonts w:hint="eastAsia"/>
              </w:rPr>
              <w:t>650</w:t>
            </w:r>
          </w:p>
        </w:tc>
        <w:tc>
          <w:tcPr>
            <w:tcW w:w="460" w:type="pct"/>
            <w:vAlign w:val="center"/>
          </w:tcPr>
          <w:p w14:paraId="4FCF5414">
            <w:pPr>
              <w:pStyle w:val="12"/>
              <w:jc w:val="center"/>
            </w:pPr>
            <w:r>
              <w:rPr>
                <w:rFonts w:hint="eastAsia"/>
              </w:rPr>
              <w:t>—</w:t>
            </w:r>
          </w:p>
        </w:tc>
      </w:tr>
      <w:tr w14:paraId="07B46E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1" w:type="pct"/>
            <w:vMerge w:val="continue"/>
            <w:vAlign w:val="center"/>
          </w:tcPr>
          <w:p w14:paraId="4D33A2E8">
            <w:pPr>
              <w:pStyle w:val="12"/>
              <w:jc w:val="center"/>
            </w:pPr>
          </w:p>
        </w:tc>
        <w:tc>
          <w:tcPr>
            <w:tcW w:w="821" w:type="pct"/>
            <w:gridSpan w:val="2"/>
            <w:vAlign w:val="center"/>
          </w:tcPr>
          <w:p w14:paraId="31BC7302">
            <w:pPr>
              <w:pStyle w:val="12"/>
              <w:jc w:val="center"/>
            </w:pPr>
            <w:r>
              <w:rPr>
                <w:rFonts w:hint="eastAsia"/>
              </w:rPr>
              <w:t>普通</w:t>
            </w:r>
          </w:p>
        </w:tc>
        <w:tc>
          <w:tcPr>
            <w:tcW w:w="460" w:type="pct"/>
            <w:vAlign w:val="center"/>
          </w:tcPr>
          <w:p w14:paraId="21B6049F">
            <w:pPr>
              <w:pStyle w:val="12"/>
              <w:jc w:val="center"/>
            </w:pPr>
            <w:r>
              <w:rPr>
                <w:rFonts w:hint="eastAsia"/>
              </w:rPr>
              <w:t>294</w:t>
            </w:r>
          </w:p>
        </w:tc>
        <w:tc>
          <w:tcPr>
            <w:tcW w:w="460" w:type="pct"/>
            <w:vAlign w:val="center"/>
          </w:tcPr>
          <w:p w14:paraId="78B0DB55">
            <w:pPr>
              <w:pStyle w:val="12"/>
              <w:jc w:val="center"/>
            </w:pPr>
            <w:r>
              <w:rPr>
                <w:rFonts w:hint="eastAsia"/>
              </w:rPr>
              <w:t>—</w:t>
            </w:r>
          </w:p>
        </w:tc>
        <w:tc>
          <w:tcPr>
            <w:tcW w:w="460" w:type="pct"/>
            <w:vAlign w:val="center"/>
          </w:tcPr>
          <w:p w14:paraId="10DAB5FB">
            <w:pPr>
              <w:pStyle w:val="12"/>
              <w:jc w:val="center"/>
            </w:pPr>
            <w:r>
              <w:rPr>
                <w:rFonts w:hint="eastAsia"/>
              </w:rPr>
              <w:t>280</w:t>
            </w:r>
          </w:p>
        </w:tc>
        <w:tc>
          <w:tcPr>
            <w:tcW w:w="460" w:type="pct"/>
            <w:vAlign w:val="center"/>
          </w:tcPr>
          <w:p w14:paraId="02C6520C">
            <w:pPr>
              <w:pStyle w:val="12"/>
              <w:jc w:val="center"/>
            </w:pPr>
            <w:r>
              <w:rPr>
                <w:rFonts w:hint="eastAsia"/>
              </w:rPr>
              <w:t>—</w:t>
            </w:r>
          </w:p>
        </w:tc>
        <w:tc>
          <w:tcPr>
            <w:tcW w:w="460" w:type="pct"/>
            <w:vAlign w:val="center"/>
          </w:tcPr>
          <w:p w14:paraId="46B90A39">
            <w:pPr>
              <w:pStyle w:val="12"/>
              <w:jc w:val="center"/>
            </w:pPr>
            <w:r>
              <w:rPr>
                <w:rFonts w:hint="eastAsia"/>
              </w:rPr>
              <w:t>640</w:t>
            </w:r>
          </w:p>
        </w:tc>
        <w:tc>
          <w:tcPr>
            <w:tcW w:w="460" w:type="pct"/>
            <w:vAlign w:val="center"/>
          </w:tcPr>
          <w:p w14:paraId="68B2C2AA">
            <w:pPr>
              <w:pStyle w:val="12"/>
              <w:jc w:val="center"/>
            </w:pPr>
            <w:r>
              <w:rPr>
                <w:rFonts w:hint="eastAsia"/>
              </w:rPr>
              <w:t>—</w:t>
            </w:r>
          </w:p>
        </w:tc>
        <w:tc>
          <w:tcPr>
            <w:tcW w:w="460" w:type="pct"/>
            <w:vAlign w:val="center"/>
          </w:tcPr>
          <w:p w14:paraId="31C95B2B">
            <w:pPr>
              <w:pStyle w:val="12"/>
              <w:jc w:val="center"/>
            </w:pPr>
            <w:r>
              <w:rPr>
                <w:rFonts w:hint="eastAsia"/>
              </w:rPr>
              <w:t>550</w:t>
            </w:r>
          </w:p>
        </w:tc>
        <w:tc>
          <w:tcPr>
            <w:tcW w:w="460" w:type="pct"/>
            <w:vAlign w:val="center"/>
          </w:tcPr>
          <w:p w14:paraId="3CEE063A">
            <w:pPr>
              <w:pStyle w:val="12"/>
              <w:jc w:val="center"/>
            </w:pPr>
            <w:r>
              <w:rPr>
                <w:rFonts w:hint="eastAsia"/>
              </w:rPr>
              <w:t>—</w:t>
            </w:r>
          </w:p>
        </w:tc>
      </w:tr>
      <w:tr w14:paraId="1E3EF8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1" w:type="pct"/>
            <w:vMerge w:val="restart"/>
            <w:vAlign w:val="center"/>
          </w:tcPr>
          <w:p w14:paraId="62FE5093">
            <w:pPr>
              <w:pStyle w:val="12"/>
              <w:jc w:val="center"/>
            </w:pPr>
            <w:r>
              <w:rPr>
                <w:rFonts w:hint="eastAsia"/>
              </w:rPr>
              <w:t>高中</w:t>
            </w:r>
          </w:p>
        </w:tc>
        <w:tc>
          <w:tcPr>
            <w:tcW w:w="821" w:type="pct"/>
            <w:gridSpan w:val="2"/>
            <w:vAlign w:val="center"/>
          </w:tcPr>
          <w:p w14:paraId="12A462EF">
            <w:pPr>
              <w:pStyle w:val="12"/>
              <w:jc w:val="center"/>
            </w:pPr>
            <w:r>
              <w:rPr>
                <w:rFonts w:hint="eastAsia"/>
              </w:rPr>
              <w:t>市重点市一级</w:t>
            </w:r>
          </w:p>
        </w:tc>
        <w:tc>
          <w:tcPr>
            <w:tcW w:w="460" w:type="pct"/>
            <w:vAlign w:val="center"/>
          </w:tcPr>
          <w:p w14:paraId="736F206B">
            <w:pPr>
              <w:pStyle w:val="12"/>
              <w:jc w:val="center"/>
            </w:pPr>
            <w:r>
              <w:rPr>
                <w:rFonts w:hint="eastAsia"/>
              </w:rPr>
              <w:t>—</w:t>
            </w:r>
          </w:p>
        </w:tc>
        <w:tc>
          <w:tcPr>
            <w:tcW w:w="460" w:type="pct"/>
            <w:vAlign w:val="center"/>
          </w:tcPr>
          <w:p w14:paraId="43DEB3DC">
            <w:pPr>
              <w:pStyle w:val="12"/>
              <w:jc w:val="center"/>
            </w:pPr>
            <w:r>
              <w:rPr>
                <w:rFonts w:hint="eastAsia"/>
              </w:rPr>
              <w:t>900</w:t>
            </w:r>
          </w:p>
        </w:tc>
        <w:tc>
          <w:tcPr>
            <w:tcW w:w="460" w:type="pct"/>
            <w:vAlign w:val="center"/>
          </w:tcPr>
          <w:p w14:paraId="39BF25F8">
            <w:pPr>
              <w:pStyle w:val="12"/>
              <w:jc w:val="center"/>
            </w:pPr>
            <w:r>
              <w:rPr>
                <w:rFonts w:hint="eastAsia"/>
              </w:rPr>
              <w:t>—</w:t>
            </w:r>
          </w:p>
        </w:tc>
        <w:tc>
          <w:tcPr>
            <w:tcW w:w="460" w:type="pct"/>
            <w:vAlign w:val="center"/>
          </w:tcPr>
          <w:p w14:paraId="7B369E0D">
            <w:pPr>
              <w:pStyle w:val="12"/>
              <w:jc w:val="center"/>
            </w:pPr>
            <w:r>
              <w:rPr>
                <w:rFonts w:hint="eastAsia"/>
              </w:rPr>
              <w:t>900</w:t>
            </w:r>
          </w:p>
        </w:tc>
        <w:tc>
          <w:tcPr>
            <w:tcW w:w="460" w:type="pct"/>
            <w:vAlign w:val="center"/>
          </w:tcPr>
          <w:p w14:paraId="4C930C19">
            <w:pPr>
              <w:pStyle w:val="12"/>
              <w:jc w:val="center"/>
            </w:pPr>
            <w:r>
              <w:rPr>
                <w:rFonts w:hint="eastAsia"/>
              </w:rPr>
              <w:t>—</w:t>
            </w:r>
          </w:p>
        </w:tc>
        <w:tc>
          <w:tcPr>
            <w:tcW w:w="460" w:type="pct"/>
            <w:vAlign w:val="center"/>
          </w:tcPr>
          <w:p w14:paraId="6FC987BF">
            <w:pPr>
              <w:pStyle w:val="12"/>
              <w:jc w:val="center"/>
            </w:pPr>
            <w:r>
              <w:rPr>
                <w:rFonts w:hint="eastAsia"/>
              </w:rPr>
              <w:t>1700</w:t>
            </w:r>
          </w:p>
        </w:tc>
        <w:tc>
          <w:tcPr>
            <w:tcW w:w="460" w:type="pct"/>
            <w:vAlign w:val="center"/>
          </w:tcPr>
          <w:p w14:paraId="3796B259">
            <w:pPr>
              <w:pStyle w:val="12"/>
              <w:jc w:val="center"/>
            </w:pPr>
            <w:r>
              <w:rPr>
                <w:rFonts w:hint="eastAsia"/>
              </w:rPr>
              <w:t>—</w:t>
            </w:r>
          </w:p>
        </w:tc>
        <w:tc>
          <w:tcPr>
            <w:tcW w:w="460" w:type="pct"/>
            <w:vAlign w:val="center"/>
          </w:tcPr>
          <w:p w14:paraId="16BDD84C">
            <w:pPr>
              <w:pStyle w:val="12"/>
              <w:jc w:val="center"/>
            </w:pPr>
            <w:r>
              <w:rPr>
                <w:rFonts w:hint="eastAsia"/>
              </w:rPr>
              <w:t>1700</w:t>
            </w:r>
          </w:p>
        </w:tc>
      </w:tr>
      <w:tr w14:paraId="29BFBD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1" w:type="pct"/>
            <w:vMerge w:val="continue"/>
            <w:vAlign w:val="center"/>
          </w:tcPr>
          <w:p w14:paraId="2676B26C">
            <w:pPr>
              <w:pStyle w:val="12"/>
              <w:jc w:val="center"/>
            </w:pPr>
          </w:p>
        </w:tc>
        <w:tc>
          <w:tcPr>
            <w:tcW w:w="821" w:type="pct"/>
            <w:gridSpan w:val="2"/>
            <w:vAlign w:val="center"/>
          </w:tcPr>
          <w:p w14:paraId="06408A25">
            <w:pPr>
              <w:pStyle w:val="12"/>
              <w:jc w:val="center"/>
            </w:pPr>
            <w:r>
              <w:rPr>
                <w:rFonts w:hint="eastAsia"/>
              </w:rPr>
              <w:t>普通中学</w:t>
            </w:r>
          </w:p>
        </w:tc>
        <w:tc>
          <w:tcPr>
            <w:tcW w:w="460" w:type="pct"/>
            <w:vAlign w:val="center"/>
          </w:tcPr>
          <w:p w14:paraId="48FD5732">
            <w:pPr>
              <w:pStyle w:val="12"/>
              <w:jc w:val="center"/>
            </w:pPr>
            <w:r>
              <w:rPr>
                <w:rFonts w:hint="eastAsia"/>
              </w:rPr>
              <w:t>—</w:t>
            </w:r>
          </w:p>
        </w:tc>
        <w:tc>
          <w:tcPr>
            <w:tcW w:w="460" w:type="pct"/>
            <w:vAlign w:val="center"/>
          </w:tcPr>
          <w:p w14:paraId="55DE091B">
            <w:pPr>
              <w:pStyle w:val="12"/>
              <w:jc w:val="center"/>
            </w:pPr>
            <w:r>
              <w:rPr>
                <w:rFonts w:hint="eastAsia"/>
              </w:rPr>
              <w:t>850</w:t>
            </w:r>
          </w:p>
        </w:tc>
        <w:tc>
          <w:tcPr>
            <w:tcW w:w="460" w:type="pct"/>
            <w:vAlign w:val="center"/>
          </w:tcPr>
          <w:p w14:paraId="13EF20E5">
            <w:pPr>
              <w:pStyle w:val="12"/>
              <w:jc w:val="center"/>
            </w:pPr>
            <w:r>
              <w:rPr>
                <w:rFonts w:hint="eastAsia"/>
              </w:rPr>
              <w:t>—</w:t>
            </w:r>
          </w:p>
        </w:tc>
        <w:tc>
          <w:tcPr>
            <w:tcW w:w="460" w:type="pct"/>
            <w:vAlign w:val="center"/>
          </w:tcPr>
          <w:p w14:paraId="44816610">
            <w:pPr>
              <w:pStyle w:val="12"/>
              <w:jc w:val="center"/>
            </w:pPr>
            <w:r>
              <w:rPr>
                <w:rFonts w:hint="eastAsia"/>
              </w:rPr>
              <w:t>850</w:t>
            </w:r>
          </w:p>
        </w:tc>
        <w:tc>
          <w:tcPr>
            <w:tcW w:w="460" w:type="pct"/>
            <w:vAlign w:val="center"/>
          </w:tcPr>
          <w:p w14:paraId="185DF670">
            <w:pPr>
              <w:pStyle w:val="12"/>
              <w:jc w:val="center"/>
            </w:pPr>
            <w:r>
              <w:rPr>
                <w:rFonts w:hint="eastAsia"/>
              </w:rPr>
              <w:t>—</w:t>
            </w:r>
          </w:p>
        </w:tc>
        <w:tc>
          <w:tcPr>
            <w:tcW w:w="460" w:type="pct"/>
            <w:vAlign w:val="center"/>
          </w:tcPr>
          <w:p w14:paraId="79B4BFD4">
            <w:pPr>
              <w:pStyle w:val="12"/>
              <w:jc w:val="center"/>
            </w:pPr>
            <w:r>
              <w:rPr>
                <w:rFonts w:hint="eastAsia"/>
              </w:rPr>
              <w:t>1650</w:t>
            </w:r>
          </w:p>
        </w:tc>
        <w:tc>
          <w:tcPr>
            <w:tcW w:w="460" w:type="pct"/>
            <w:vAlign w:val="center"/>
          </w:tcPr>
          <w:p w14:paraId="6ECB8A25">
            <w:pPr>
              <w:pStyle w:val="12"/>
              <w:jc w:val="center"/>
            </w:pPr>
            <w:r>
              <w:rPr>
                <w:rFonts w:hint="eastAsia"/>
              </w:rPr>
              <w:t>—</w:t>
            </w:r>
          </w:p>
        </w:tc>
        <w:tc>
          <w:tcPr>
            <w:tcW w:w="460" w:type="pct"/>
            <w:vAlign w:val="center"/>
          </w:tcPr>
          <w:p w14:paraId="502ECA33">
            <w:pPr>
              <w:pStyle w:val="12"/>
              <w:jc w:val="center"/>
            </w:pPr>
            <w:r>
              <w:rPr>
                <w:rFonts w:hint="eastAsia"/>
              </w:rPr>
              <w:t>1650</w:t>
            </w:r>
          </w:p>
        </w:tc>
      </w:tr>
      <w:tr w14:paraId="2F8C7F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1" w:type="pct"/>
            <w:vMerge w:val="continue"/>
            <w:vAlign w:val="center"/>
          </w:tcPr>
          <w:p w14:paraId="3DF0A05A">
            <w:pPr>
              <w:pStyle w:val="12"/>
              <w:jc w:val="center"/>
            </w:pPr>
          </w:p>
        </w:tc>
        <w:tc>
          <w:tcPr>
            <w:tcW w:w="332" w:type="pct"/>
            <w:vMerge w:val="restart"/>
            <w:vAlign w:val="center"/>
          </w:tcPr>
          <w:p w14:paraId="77E32DA4">
            <w:pPr>
              <w:pStyle w:val="12"/>
              <w:jc w:val="center"/>
            </w:pPr>
            <w:r>
              <w:rPr>
                <w:rFonts w:hint="eastAsia"/>
              </w:rPr>
              <w:t>重点职中</w:t>
            </w:r>
          </w:p>
        </w:tc>
        <w:tc>
          <w:tcPr>
            <w:tcW w:w="489" w:type="pct"/>
            <w:vAlign w:val="center"/>
          </w:tcPr>
          <w:p w14:paraId="46E18E61">
            <w:pPr>
              <w:pStyle w:val="12"/>
              <w:jc w:val="center"/>
            </w:pPr>
            <w:r>
              <w:rPr>
                <w:rFonts w:hint="eastAsia"/>
              </w:rPr>
              <w:t>A类</w:t>
            </w:r>
          </w:p>
        </w:tc>
        <w:tc>
          <w:tcPr>
            <w:tcW w:w="460" w:type="pct"/>
            <w:vAlign w:val="center"/>
          </w:tcPr>
          <w:p w14:paraId="7D42894B">
            <w:pPr>
              <w:pStyle w:val="12"/>
              <w:jc w:val="center"/>
            </w:pPr>
            <w:r>
              <w:rPr>
                <w:rFonts w:hint="eastAsia"/>
              </w:rPr>
              <w:t>—</w:t>
            </w:r>
          </w:p>
        </w:tc>
        <w:tc>
          <w:tcPr>
            <w:tcW w:w="460" w:type="pct"/>
            <w:vAlign w:val="center"/>
          </w:tcPr>
          <w:p w14:paraId="20FD54F1">
            <w:pPr>
              <w:pStyle w:val="12"/>
              <w:jc w:val="center"/>
            </w:pPr>
            <w:r>
              <w:rPr>
                <w:rFonts w:hint="eastAsia"/>
              </w:rPr>
              <w:t>1025</w:t>
            </w:r>
          </w:p>
        </w:tc>
        <w:tc>
          <w:tcPr>
            <w:tcW w:w="460" w:type="pct"/>
            <w:vAlign w:val="center"/>
          </w:tcPr>
          <w:p w14:paraId="243B6436">
            <w:pPr>
              <w:pStyle w:val="12"/>
              <w:jc w:val="center"/>
            </w:pPr>
            <w:r>
              <w:rPr>
                <w:rFonts w:hint="eastAsia"/>
              </w:rPr>
              <w:t>—</w:t>
            </w:r>
          </w:p>
        </w:tc>
        <w:tc>
          <w:tcPr>
            <w:tcW w:w="460" w:type="pct"/>
            <w:vAlign w:val="center"/>
          </w:tcPr>
          <w:p w14:paraId="37DA25C6">
            <w:pPr>
              <w:pStyle w:val="12"/>
              <w:jc w:val="center"/>
            </w:pPr>
            <w:r>
              <w:rPr>
                <w:rFonts w:hint="eastAsia"/>
              </w:rPr>
              <w:t>1025</w:t>
            </w:r>
          </w:p>
        </w:tc>
        <w:tc>
          <w:tcPr>
            <w:tcW w:w="460" w:type="pct"/>
            <w:vAlign w:val="center"/>
          </w:tcPr>
          <w:p w14:paraId="553702EE">
            <w:pPr>
              <w:pStyle w:val="12"/>
              <w:jc w:val="center"/>
            </w:pPr>
            <w:r>
              <w:rPr>
                <w:rFonts w:hint="eastAsia"/>
              </w:rPr>
              <w:t>—</w:t>
            </w:r>
          </w:p>
        </w:tc>
        <w:tc>
          <w:tcPr>
            <w:tcW w:w="460" w:type="pct"/>
            <w:vAlign w:val="center"/>
          </w:tcPr>
          <w:p w14:paraId="43C3099E">
            <w:pPr>
              <w:pStyle w:val="12"/>
              <w:jc w:val="center"/>
            </w:pPr>
            <w:r>
              <w:rPr>
                <w:rFonts w:hint="eastAsia"/>
              </w:rPr>
              <w:t>1825</w:t>
            </w:r>
          </w:p>
        </w:tc>
        <w:tc>
          <w:tcPr>
            <w:tcW w:w="460" w:type="pct"/>
            <w:vAlign w:val="center"/>
          </w:tcPr>
          <w:p w14:paraId="4801524B">
            <w:pPr>
              <w:pStyle w:val="12"/>
              <w:jc w:val="center"/>
            </w:pPr>
            <w:r>
              <w:rPr>
                <w:rFonts w:hint="eastAsia"/>
              </w:rPr>
              <w:t>—</w:t>
            </w:r>
          </w:p>
        </w:tc>
        <w:tc>
          <w:tcPr>
            <w:tcW w:w="460" w:type="pct"/>
            <w:vAlign w:val="center"/>
          </w:tcPr>
          <w:p w14:paraId="43F82746">
            <w:pPr>
              <w:pStyle w:val="12"/>
              <w:jc w:val="center"/>
            </w:pPr>
            <w:r>
              <w:rPr>
                <w:rFonts w:hint="eastAsia"/>
              </w:rPr>
              <w:t>1725</w:t>
            </w:r>
          </w:p>
        </w:tc>
      </w:tr>
      <w:tr w14:paraId="0C76F3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1" w:type="pct"/>
            <w:vMerge w:val="continue"/>
            <w:vAlign w:val="center"/>
          </w:tcPr>
          <w:p w14:paraId="400DA5D5">
            <w:pPr>
              <w:pStyle w:val="12"/>
              <w:jc w:val="center"/>
            </w:pPr>
          </w:p>
        </w:tc>
        <w:tc>
          <w:tcPr>
            <w:tcW w:w="332" w:type="pct"/>
            <w:vMerge w:val="continue"/>
            <w:vAlign w:val="center"/>
          </w:tcPr>
          <w:p w14:paraId="6877A8DA">
            <w:pPr>
              <w:pStyle w:val="12"/>
              <w:jc w:val="center"/>
            </w:pPr>
          </w:p>
        </w:tc>
        <w:tc>
          <w:tcPr>
            <w:tcW w:w="489" w:type="pct"/>
            <w:vAlign w:val="center"/>
          </w:tcPr>
          <w:p w14:paraId="70CB09E0">
            <w:pPr>
              <w:pStyle w:val="12"/>
              <w:jc w:val="center"/>
            </w:pPr>
            <w:r>
              <w:rPr>
                <w:rFonts w:hint="eastAsia"/>
              </w:rPr>
              <w:t>B类</w:t>
            </w:r>
          </w:p>
        </w:tc>
        <w:tc>
          <w:tcPr>
            <w:tcW w:w="460" w:type="pct"/>
            <w:vAlign w:val="center"/>
          </w:tcPr>
          <w:p w14:paraId="4495A5B9">
            <w:pPr>
              <w:pStyle w:val="12"/>
              <w:jc w:val="center"/>
            </w:pPr>
            <w:r>
              <w:rPr>
                <w:rFonts w:hint="eastAsia"/>
              </w:rPr>
              <w:t>—</w:t>
            </w:r>
          </w:p>
        </w:tc>
        <w:tc>
          <w:tcPr>
            <w:tcW w:w="460" w:type="pct"/>
            <w:vAlign w:val="center"/>
          </w:tcPr>
          <w:p w14:paraId="3D576FDD">
            <w:pPr>
              <w:pStyle w:val="12"/>
              <w:jc w:val="center"/>
            </w:pPr>
            <w:r>
              <w:rPr>
                <w:rFonts w:hint="eastAsia"/>
              </w:rPr>
              <w:t>1100</w:t>
            </w:r>
          </w:p>
        </w:tc>
        <w:tc>
          <w:tcPr>
            <w:tcW w:w="460" w:type="pct"/>
            <w:vAlign w:val="center"/>
          </w:tcPr>
          <w:p w14:paraId="6ACA3CFE">
            <w:pPr>
              <w:pStyle w:val="12"/>
              <w:jc w:val="center"/>
            </w:pPr>
            <w:r>
              <w:rPr>
                <w:rFonts w:hint="eastAsia"/>
              </w:rPr>
              <w:t>—</w:t>
            </w:r>
          </w:p>
        </w:tc>
        <w:tc>
          <w:tcPr>
            <w:tcW w:w="460" w:type="pct"/>
            <w:vAlign w:val="center"/>
          </w:tcPr>
          <w:p w14:paraId="539FAC87">
            <w:pPr>
              <w:pStyle w:val="12"/>
              <w:jc w:val="center"/>
            </w:pPr>
            <w:r>
              <w:rPr>
                <w:rFonts w:hint="eastAsia"/>
              </w:rPr>
              <w:t>1100</w:t>
            </w:r>
          </w:p>
        </w:tc>
        <w:tc>
          <w:tcPr>
            <w:tcW w:w="460" w:type="pct"/>
            <w:vAlign w:val="center"/>
          </w:tcPr>
          <w:p w14:paraId="15104DFD">
            <w:pPr>
              <w:pStyle w:val="12"/>
              <w:jc w:val="center"/>
            </w:pPr>
            <w:r>
              <w:rPr>
                <w:rFonts w:hint="eastAsia"/>
              </w:rPr>
              <w:t>—</w:t>
            </w:r>
          </w:p>
        </w:tc>
        <w:tc>
          <w:tcPr>
            <w:tcW w:w="460" w:type="pct"/>
            <w:vAlign w:val="center"/>
          </w:tcPr>
          <w:p w14:paraId="2DAE2F53">
            <w:pPr>
              <w:pStyle w:val="12"/>
              <w:jc w:val="center"/>
            </w:pPr>
            <w:r>
              <w:rPr>
                <w:rFonts w:hint="eastAsia"/>
              </w:rPr>
              <w:t>1900</w:t>
            </w:r>
          </w:p>
        </w:tc>
        <w:tc>
          <w:tcPr>
            <w:tcW w:w="460" w:type="pct"/>
            <w:vAlign w:val="center"/>
          </w:tcPr>
          <w:p w14:paraId="433DA614">
            <w:pPr>
              <w:pStyle w:val="12"/>
              <w:jc w:val="center"/>
            </w:pPr>
            <w:r>
              <w:rPr>
                <w:rFonts w:hint="eastAsia"/>
              </w:rPr>
              <w:t>—</w:t>
            </w:r>
          </w:p>
        </w:tc>
        <w:tc>
          <w:tcPr>
            <w:tcW w:w="460" w:type="pct"/>
            <w:vAlign w:val="center"/>
          </w:tcPr>
          <w:p w14:paraId="16F31C17">
            <w:pPr>
              <w:pStyle w:val="12"/>
              <w:jc w:val="center"/>
            </w:pPr>
            <w:r>
              <w:rPr>
                <w:rFonts w:hint="eastAsia"/>
              </w:rPr>
              <w:t>1625</w:t>
            </w:r>
          </w:p>
        </w:tc>
      </w:tr>
      <w:tr w14:paraId="321014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1" w:type="pct"/>
            <w:vMerge w:val="continue"/>
            <w:vAlign w:val="center"/>
          </w:tcPr>
          <w:p w14:paraId="5B07305A">
            <w:pPr>
              <w:pStyle w:val="12"/>
              <w:jc w:val="center"/>
            </w:pPr>
          </w:p>
        </w:tc>
        <w:tc>
          <w:tcPr>
            <w:tcW w:w="332" w:type="pct"/>
            <w:vMerge w:val="restart"/>
            <w:vAlign w:val="center"/>
          </w:tcPr>
          <w:p w14:paraId="01472C9F">
            <w:pPr>
              <w:pStyle w:val="12"/>
              <w:jc w:val="center"/>
            </w:pPr>
            <w:r>
              <w:rPr>
                <w:rFonts w:hint="eastAsia"/>
              </w:rPr>
              <w:t>普通职中</w:t>
            </w:r>
          </w:p>
        </w:tc>
        <w:tc>
          <w:tcPr>
            <w:tcW w:w="489" w:type="pct"/>
            <w:vAlign w:val="center"/>
          </w:tcPr>
          <w:p w14:paraId="48D2DAC5">
            <w:pPr>
              <w:pStyle w:val="12"/>
              <w:jc w:val="center"/>
            </w:pPr>
            <w:r>
              <w:rPr>
                <w:rFonts w:hint="eastAsia"/>
              </w:rPr>
              <w:t>A类</w:t>
            </w:r>
          </w:p>
        </w:tc>
        <w:tc>
          <w:tcPr>
            <w:tcW w:w="460" w:type="pct"/>
            <w:vAlign w:val="center"/>
          </w:tcPr>
          <w:p w14:paraId="7D5CE16B">
            <w:pPr>
              <w:pStyle w:val="12"/>
              <w:jc w:val="center"/>
            </w:pPr>
            <w:r>
              <w:rPr>
                <w:rFonts w:hint="eastAsia"/>
              </w:rPr>
              <w:t>—</w:t>
            </w:r>
          </w:p>
        </w:tc>
        <w:tc>
          <w:tcPr>
            <w:tcW w:w="460" w:type="pct"/>
            <w:vAlign w:val="center"/>
          </w:tcPr>
          <w:p w14:paraId="3C92C271">
            <w:pPr>
              <w:pStyle w:val="12"/>
              <w:jc w:val="center"/>
            </w:pPr>
            <w:r>
              <w:rPr>
                <w:rFonts w:hint="eastAsia"/>
              </w:rPr>
              <w:t>900</w:t>
            </w:r>
          </w:p>
        </w:tc>
        <w:tc>
          <w:tcPr>
            <w:tcW w:w="460" w:type="pct"/>
            <w:vAlign w:val="center"/>
          </w:tcPr>
          <w:p w14:paraId="5655B813">
            <w:pPr>
              <w:pStyle w:val="12"/>
              <w:jc w:val="center"/>
            </w:pPr>
            <w:r>
              <w:rPr>
                <w:rFonts w:hint="eastAsia"/>
              </w:rPr>
              <w:t>—</w:t>
            </w:r>
          </w:p>
        </w:tc>
        <w:tc>
          <w:tcPr>
            <w:tcW w:w="460" w:type="pct"/>
            <w:vAlign w:val="center"/>
          </w:tcPr>
          <w:p w14:paraId="7C5EF6EC">
            <w:pPr>
              <w:pStyle w:val="12"/>
              <w:jc w:val="center"/>
            </w:pPr>
            <w:r>
              <w:rPr>
                <w:rFonts w:hint="eastAsia"/>
              </w:rPr>
              <w:t>900</w:t>
            </w:r>
          </w:p>
        </w:tc>
        <w:tc>
          <w:tcPr>
            <w:tcW w:w="460" w:type="pct"/>
            <w:vAlign w:val="center"/>
          </w:tcPr>
          <w:p w14:paraId="25032A5D">
            <w:pPr>
              <w:pStyle w:val="12"/>
              <w:jc w:val="center"/>
            </w:pPr>
            <w:r>
              <w:rPr>
                <w:rFonts w:hint="eastAsia"/>
              </w:rPr>
              <w:t>—</w:t>
            </w:r>
          </w:p>
        </w:tc>
        <w:tc>
          <w:tcPr>
            <w:tcW w:w="460" w:type="pct"/>
            <w:vAlign w:val="center"/>
          </w:tcPr>
          <w:p w14:paraId="6CDEC4AE">
            <w:pPr>
              <w:pStyle w:val="12"/>
              <w:jc w:val="center"/>
            </w:pPr>
            <w:r>
              <w:rPr>
                <w:rFonts w:hint="eastAsia"/>
              </w:rPr>
              <w:t>1700</w:t>
            </w:r>
          </w:p>
        </w:tc>
        <w:tc>
          <w:tcPr>
            <w:tcW w:w="460" w:type="pct"/>
            <w:vAlign w:val="center"/>
          </w:tcPr>
          <w:p w14:paraId="6CA280E5">
            <w:pPr>
              <w:pStyle w:val="12"/>
              <w:jc w:val="center"/>
            </w:pPr>
            <w:r>
              <w:rPr>
                <w:rFonts w:hint="eastAsia"/>
              </w:rPr>
              <w:t>—</w:t>
            </w:r>
          </w:p>
        </w:tc>
        <w:tc>
          <w:tcPr>
            <w:tcW w:w="460" w:type="pct"/>
            <w:vAlign w:val="center"/>
          </w:tcPr>
          <w:p w14:paraId="3F89B818">
            <w:pPr>
              <w:pStyle w:val="12"/>
              <w:jc w:val="center"/>
            </w:pPr>
            <w:r>
              <w:rPr>
                <w:rFonts w:hint="eastAsia"/>
              </w:rPr>
              <w:t>1600</w:t>
            </w:r>
          </w:p>
        </w:tc>
      </w:tr>
      <w:tr w14:paraId="68434A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1" w:type="pct"/>
            <w:vMerge w:val="continue"/>
            <w:vAlign w:val="center"/>
          </w:tcPr>
          <w:p w14:paraId="2283A423">
            <w:pPr>
              <w:pStyle w:val="12"/>
              <w:jc w:val="center"/>
            </w:pPr>
          </w:p>
        </w:tc>
        <w:tc>
          <w:tcPr>
            <w:tcW w:w="332" w:type="pct"/>
            <w:vMerge w:val="continue"/>
            <w:vAlign w:val="center"/>
          </w:tcPr>
          <w:p w14:paraId="31E4021B">
            <w:pPr>
              <w:pStyle w:val="12"/>
              <w:jc w:val="center"/>
            </w:pPr>
          </w:p>
        </w:tc>
        <w:tc>
          <w:tcPr>
            <w:tcW w:w="489" w:type="pct"/>
            <w:vAlign w:val="center"/>
          </w:tcPr>
          <w:p w14:paraId="7B9727DC">
            <w:pPr>
              <w:pStyle w:val="12"/>
              <w:jc w:val="center"/>
            </w:pPr>
            <w:r>
              <w:rPr>
                <w:rFonts w:hint="eastAsia"/>
              </w:rPr>
              <w:t>B类</w:t>
            </w:r>
          </w:p>
        </w:tc>
        <w:tc>
          <w:tcPr>
            <w:tcW w:w="460" w:type="pct"/>
            <w:vAlign w:val="center"/>
          </w:tcPr>
          <w:p w14:paraId="42BEC98D">
            <w:pPr>
              <w:pStyle w:val="12"/>
              <w:jc w:val="center"/>
            </w:pPr>
            <w:r>
              <w:rPr>
                <w:rFonts w:hint="eastAsia"/>
              </w:rPr>
              <w:t>—</w:t>
            </w:r>
          </w:p>
        </w:tc>
        <w:tc>
          <w:tcPr>
            <w:tcW w:w="460" w:type="pct"/>
            <w:vAlign w:val="center"/>
          </w:tcPr>
          <w:p w14:paraId="7B7B2A05">
            <w:pPr>
              <w:pStyle w:val="12"/>
              <w:jc w:val="center"/>
            </w:pPr>
            <w:r>
              <w:rPr>
                <w:rFonts w:hint="eastAsia"/>
              </w:rPr>
              <w:t>950</w:t>
            </w:r>
          </w:p>
        </w:tc>
        <w:tc>
          <w:tcPr>
            <w:tcW w:w="460" w:type="pct"/>
            <w:vAlign w:val="center"/>
          </w:tcPr>
          <w:p w14:paraId="3317CF86">
            <w:pPr>
              <w:pStyle w:val="12"/>
              <w:jc w:val="center"/>
            </w:pPr>
            <w:r>
              <w:rPr>
                <w:rFonts w:hint="eastAsia"/>
              </w:rPr>
              <w:t>—</w:t>
            </w:r>
          </w:p>
        </w:tc>
        <w:tc>
          <w:tcPr>
            <w:tcW w:w="460" w:type="pct"/>
            <w:vAlign w:val="center"/>
          </w:tcPr>
          <w:p w14:paraId="17908088">
            <w:pPr>
              <w:pStyle w:val="12"/>
              <w:jc w:val="center"/>
            </w:pPr>
            <w:r>
              <w:rPr>
                <w:rFonts w:hint="eastAsia"/>
              </w:rPr>
              <w:t>950</w:t>
            </w:r>
          </w:p>
        </w:tc>
        <w:tc>
          <w:tcPr>
            <w:tcW w:w="460" w:type="pct"/>
            <w:vAlign w:val="center"/>
          </w:tcPr>
          <w:p w14:paraId="028E12C6">
            <w:pPr>
              <w:pStyle w:val="12"/>
              <w:jc w:val="center"/>
            </w:pPr>
            <w:r>
              <w:rPr>
                <w:rFonts w:hint="eastAsia"/>
              </w:rPr>
              <w:t>—</w:t>
            </w:r>
          </w:p>
        </w:tc>
        <w:tc>
          <w:tcPr>
            <w:tcW w:w="460" w:type="pct"/>
            <w:vAlign w:val="center"/>
          </w:tcPr>
          <w:p w14:paraId="3B768A1E">
            <w:pPr>
              <w:pStyle w:val="12"/>
              <w:jc w:val="center"/>
            </w:pPr>
            <w:r>
              <w:rPr>
                <w:rFonts w:hint="eastAsia"/>
              </w:rPr>
              <w:t>1750</w:t>
            </w:r>
          </w:p>
        </w:tc>
        <w:tc>
          <w:tcPr>
            <w:tcW w:w="460" w:type="pct"/>
            <w:vAlign w:val="center"/>
          </w:tcPr>
          <w:p w14:paraId="6AFC0292">
            <w:pPr>
              <w:pStyle w:val="12"/>
              <w:jc w:val="center"/>
            </w:pPr>
            <w:r>
              <w:rPr>
                <w:rFonts w:hint="eastAsia"/>
              </w:rPr>
              <w:t>—</w:t>
            </w:r>
          </w:p>
        </w:tc>
        <w:tc>
          <w:tcPr>
            <w:tcW w:w="460" w:type="pct"/>
            <w:vAlign w:val="center"/>
          </w:tcPr>
          <w:p w14:paraId="7670BFF3">
            <w:pPr>
              <w:pStyle w:val="12"/>
              <w:jc w:val="center"/>
            </w:pPr>
            <w:r>
              <w:rPr>
                <w:rFonts w:hint="eastAsia"/>
              </w:rPr>
              <w:t>1550</w:t>
            </w:r>
          </w:p>
        </w:tc>
      </w:tr>
    </w:tbl>
    <w:p w14:paraId="79FE2821">
      <w:pPr>
        <w:ind w:firstLine="422"/>
        <w:rPr>
          <w:rFonts w:ascii="宋体" w:hAnsi="宋体"/>
          <w:b/>
          <w:szCs w:val="21"/>
        </w:rPr>
      </w:pPr>
      <w:r>
        <w:rPr>
          <w:rFonts w:hint="eastAsia" w:ascii="宋体" w:hAnsi="宋体"/>
          <w:b/>
          <w:szCs w:val="21"/>
        </w:rPr>
        <w:t>说明：住宿生的住宿费标准：公寓式</w:t>
      </w:r>
      <w:r>
        <w:rPr>
          <w:rFonts w:ascii="宋体" w:hAnsi="宋体"/>
          <w:b/>
          <w:szCs w:val="21"/>
        </w:rPr>
        <w:t>200元／生·学期；楼房式190元／生·学</w:t>
      </w:r>
      <w:r>
        <w:rPr>
          <w:rFonts w:hint="eastAsia" w:ascii="宋体" w:hAnsi="宋体"/>
          <w:b/>
          <w:szCs w:val="21"/>
        </w:rPr>
        <w:t>期；平房式</w:t>
      </w:r>
      <w:r>
        <w:rPr>
          <w:rFonts w:ascii="宋体" w:hAnsi="宋体"/>
          <w:b/>
          <w:szCs w:val="21"/>
        </w:rPr>
        <w:t>160元／生·学期；小学生120元／生·学期</w:t>
      </w:r>
      <w:r>
        <w:rPr>
          <w:rFonts w:hint="eastAsia" w:ascii="宋体" w:hAnsi="宋体"/>
          <w:b/>
          <w:szCs w:val="21"/>
        </w:rPr>
        <w:t>。</w:t>
      </w:r>
    </w:p>
    <w:p w14:paraId="0C2ED839">
      <w:pPr>
        <w:pStyle w:val="5"/>
        <w:rPr>
          <w:rFonts w:ascii="宋体" w:hAnsi="宋体"/>
        </w:rPr>
      </w:pPr>
      <w:r>
        <w:rPr>
          <w:rFonts w:hint="eastAsia" w:ascii="宋体" w:hAnsi="宋体"/>
        </w:rPr>
        <w:t>四、医疗收费</w:t>
      </w:r>
    </w:p>
    <w:p w14:paraId="474BF536">
      <w:pPr>
        <w:ind w:firstLine="420"/>
        <w:rPr>
          <w:rFonts w:ascii="宋体" w:hAnsi="宋体"/>
          <w:szCs w:val="21"/>
        </w:rPr>
      </w:pPr>
      <w:r>
        <w:rPr>
          <w:rFonts w:ascii="宋体" w:hAnsi="宋体"/>
          <w:szCs w:val="21"/>
        </w:rPr>
        <w:t>1949年9月，县人民医院挂号费初诊每人每次0.1元，复诊0.05元，普通病床</w:t>
      </w:r>
      <w:r>
        <w:rPr>
          <w:rFonts w:hint="eastAsia" w:ascii="宋体" w:hAnsi="宋体"/>
          <w:szCs w:val="21"/>
        </w:rPr>
        <w:t>每人每天</w:t>
      </w:r>
      <w:r>
        <w:rPr>
          <w:rFonts w:ascii="宋体" w:hAnsi="宋体"/>
          <w:szCs w:val="21"/>
        </w:rPr>
        <w:t>0.2元～0.3元。以后，经多次调整，至1984年9月，门诊挂号不分初诊复</w:t>
      </w:r>
      <w:r>
        <w:rPr>
          <w:rFonts w:hint="eastAsia" w:ascii="宋体" w:hAnsi="宋体"/>
          <w:szCs w:val="21"/>
        </w:rPr>
        <w:t>诊，主治医生</w:t>
      </w:r>
      <w:r>
        <w:rPr>
          <w:rFonts w:ascii="宋体" w:hAnsi="宋体"/>
          <w:szCs w:val="21"/>
        </w:rPr>
        <w:t>0.3元／人次，非主治医生0.2元／人次，急诊0.3元／人次，单双人病</w:t>
      </w:r>
      <w:r>
        <w:rPr>
          <w:rFonts w:hint="eastAsia" w:ascii="宋体" w:hAnsi="宋体"/>
          <w:szCs w:val="21"/>
        </w:rPr>
        <w:t>床</w:t>
      </w:r>
      <w:r>
        <w:rPr>
          <w:rFonts w:ascii="宋体" w:hAnsi="宋体"/>
          <w:szCs w:val="21"/>
        </w:rPr>
        <w:t>2.4元／人天。</w:t>
      </w:r>
    </w:p>
    <w:p w14:paraId="2638BCBD">
      <w:pPr>
        <w:ind w:firstLine="420"/>
        <w:rPr>
          <w:rFonts w:ascii="宋体" w:hAnsi="宋体"/>
          <w:szCs w:val="21"/>
        </w:rPr>
      </w:pPr>
      <w:r>
        <w:rPr>
          <w:rFonts w:ascii="宋体" w:hAnsi="宋体"/>
          <w:szCs w:val="21"/>
        </w:rPr>
        <w:t>1988年以后，对医疗收费项目和标准进行了两次较大的调整</w:t>
      </w:r>
      <w:r>
        <w:rPr>
          <w:rFonts w:hint="eastAsia" w:ascii="宋体" w:hAnsi="宋体"/>
          <w:szCs w:val="21"/>
        </w:rPr>
        <w:t>。</w:t>
      </w:r>
    </w:p>
    <w:p w14:paraId="412023E7">
      <w:pPr>
        <w:ind w:firstLine="420"/>
        <w:rPr>
          <w:rFonts w:ascii="宋体" w:hAnsi="宋体"/>
          <w:szCs w:val="21"/>
        </w:rPr>
      </w:pPr>
      <w:r>
        <w:rPr>
          <w:rFonts w:hint="eastAsia" w:ascii="宋体" w:hAnsi="宋体"/>
          <w:szCs w:val="21"/>
        </w:rPr>
        <w:t>一次是</w:t>
      </w:r>
      <w:r>
        <w:rPr>
          <w:rFonts w:ascii="宋体" w:hAnsi="宋体"/>
          <w:szCs w:val="21"/>
        </w:rPr>
        <w:t>1992年，根据省卫生厅、物价局、财政厅规定精神，调整医疗收费标准：</w:t>
      </w:r>
      <w:r>
        <w:rPr>
          <w:rFonts w:hint="eastAsia" w:ascii="宋体" w:hAnsi="宋体"/>
          <w:szCs w:val="21"/>
        </w:rPr>
        <w:t>诊金：普通诊金</w:t>
      </w:r>
      <w:r>
        <w:rPr>
          <w:rFonts w:ascii="宋体" w:hAnsi="宋体"/>
          <w:szCs w:val="21"/>
        </w:rPr>
        <w:t>0.45元／科次，急诊诊金0.9元／科次，教授、名老中医师、副主任</w:t>
      </w:r>
      <w:r>
        <w:rPr>
          <w:rFonts w:hint="eastAsia" w:ascii="宋体" w:hAnsi="宋体"/>
          <w:szCs w:val="21"/>
        </w:rPr>
        <w:t>以上医师、专家咨询门诊</w:t>
      </w:r>
      <w:r>
        <w:rPr>
          <w:rFonts w:ascii="宋体" w:hAnsi="宋体"/>
          <w:szCs w:val="21"/>
        </w:rPr>
        <w:t>4.50元／科次，专科门诊0.90元／科次；出诊费7.00元／</w:t>
      </w:r>
      <w:r>
        <w:rPr>
          <w:rFonts w:hint="eastAsia" w:ascii="宋体" w:hAnsi="宋体"/>
          <w:szCs w:val="21"/>
        </w:rPr>
        <w:t>次，救护车出诊</w:t>
      </w:r>
      <w:r>
        <w:rPr>
          <w:rFonts w:ascii="宋体" w:hAnsi="宋体"/>
          <w:szCs w:val="21"/>
        </w:rPr>
        <w:t>12.00元／车次（从第5公里起每超1公里加2元）；病房费：三等病</w:t>
      </w:r>
      <w:r>
        <w:rPr>
          <w:rFonts w:hint="eastAsia" w:ascii="宋体" w:hAnsi="宋体"/>
          <w:szCs w:val="21"/>
        </w:rPr>
        <w:t>床甲级</w:t>
      </w:r>
      <w:r>
        <w:rPr>
          <w:rFonts w:ascii="宋体" w:hAnsi="宋体"/>
          <w:szCs w:val="21"/>
        </w:rPr>
        <w:t>8元／天，乙级6元天；护理费：一级护理2元／天；经常性的一般检查治疗</w:t>
      </w:r>
      <w:r>
        <w:rPr>
          <w:rFonts w:hint="eastAsia" w:ascii="宋体" w:hAnsi="宋体"/>
          <w:szCs w:val="21"/>
        </w:rPr>
        <w:t>收费都有明细标准。</w:t>
      </w:r>
    </w:p>
    <w:p w14:paraId="3DCCC99D">
      <w:pPr>
        <w:ind w:firstLine="420"/>
        <w:rPr>
          <w:rFonts w:ascii="宋体" w:hAnsi="宋体"/>
          <w:szCs w:val="21"/>
        </w:rPr>
      </w:pPr>
      <w:r>
        <w:rPr>
          <w:rFonts w:hint="eastAsia" w:ascii="宋体" w:hAnsi="宋体"/>
          <w:szCs w:val="21"/>
        </w:rPr>
        <w:t>再一次是从</w:t>
      </w:r>
      <w:r>
        <w:rPr>
          <w:rFonts w:ascii="宋体" w:hAnsi="宋体"/>
          <w:szCs w:val="21"/>
        </w:rPr>
        <w:t>1999年起对医疗收费实行“总量控制，结构调整”的管理办法，大</w:t>
      </w:r>
      <w:r>
        <w:rPr>
          <w:rFonts w:hint="eastAsia" w:ascii="宋体" w:hAnsi="宋体"/>
          <w:szCs w:val="21"/>
        </w:rPr>
        <w:t>幅度降低大型医疗设备的检查费，同时提高了技术含量较高的手术费标准，并对医疗机构划分为非营利性医疗机构（即市人民医院、中医院、妇幼保健院、慢病站、职控防治中心、各乡镇医院等），营利性医疗机构（社会上各种私人开办的各类门诊）。对非营利性医疗机构提供的医疗服务由政府定价改为实行政府指导价管理，医疗机构可以在按照价格主管部门制定的基准价和其浮动幅度内确定本单位的实际医疗服务价格，而对营利性医疗机构提供的医疗服务价格实行市场调节价管理，可以根据实际的服务成本和市场供求情况自主制定价格。南雄市非营利医院的医疗收费主要项目和标准：挂号、诊金、出诊费：挂号费</w:t>
      </w:r>
      <w:r>
        <w:rPr>
          <w:rFonts w:ascii="宋体" w:hAnsi="宋体"/>
          <w:szCs w:val="21"/>
        </w:rPr>
        <w:t>1.00元／科次，门诊诊金3.00元／科次，急诊诊金6.00元／科次，专家门诊诊金（主任医师、副主任医师）6.00元／科次，住院诊金3.00元／日床，普通出诊费18.00元／次，救护车出诊费40元／次，（从第5公里起，</w:t>
      </w:r>
      <w:r>
        <w:rPr>
          <w:rFonts w:hint="eastAsia" w:ascii="宋体" w:hAnsi="宋体"/>
          <w:szCs w:val="21"/>
        </w:rPr>
        <w:t>每超</w:t>
      </w:r>
      <w:r>
        <w:rPr>
          <w:rFonts w:ascii="宋体" w:hAnsi="宋体"/>
          <w:szCs w:val="21"/>
        </w:rPr>
        <w:t>1公里加收3元），医护人员随车出诊费25元／车次，担架员随车出诊费15元</w:t>
      </w:r>
      <w:r>
        <w:rPr>
          <w:rFonts w:hint="eastAsia" w:ascii="宋体" w:hAnsi="宋体"/>
          <w:szCs w:val="21"/>
        </w:rPr>
        <w:t>次（二楼以上每层加</w:t>
      </w:r>
      <w:r>
        <w:rPr>
          <w:rFonts w:ascii="宋体" w:hAnsi="宋体"/>
          <w:szCs w:val="21"/>
        </w:rPr>
        <w:t>2元），院外会诊费80元／科次（途中差旅费由邀请单位负担</w:t>
      </w:r>
      <w:r>
        <w:rPr>
          <w:rFonts w:hint="eastAsia" w:ascii="宋体" w:hAnsi="宋体"/>
          <w:szCs w:val="21"/>
        </w:rPr>
        <w:t>）。普通病床收费：</w:t>
      </w:r>
      <w:r>
        <w:rPr>
          <w:rFonts w:ascii="宋体" w:hAnsi="宋体"/>
          <w:szCs w:val="21"/>
        </w:rPr>
        <w:t>A级病房一人房间50元／天·床，二人房间35元／天·床，三人房间32元／天·床，四人以上房间25元／天·床，B级病房一人房间40元／天·床，二人</w:t>
      </w:r>
      <w:r>
        <w:rPr>
          <w:rFonts w:hint="eastAsia" w:ascii="宋体" w:hAnsi="宋体"/>
          <w:szCs w:val="21"/>
        </w:rPr>
        <w:t>房间</w:t>
      </w:r>
      <w:r>
        <w:rPr>
          <w:rFonts w:ascii="宋体" w:hAnsi="宋体"/>
          <w:szCs w:val="21"/>
        </w:rPr>
        <w:t>32元／天·床，三人房间25元／天·床，四人以上房间23元／天·床，陪人床5</w:t>
      </w:r>
      <w:r>
        <w:rPr>
          <w:rFonts w:hint="eastAsia" w:ascii="宋体" w:hAnsi="宋体"/>
          <w:szCs w:val="21"/>
        </w:rPr>
        <w:t>元</w:t>
      </w:r>
      <w:r>
        <w:rPr>
          <w:rFonts w:ascii="宋体" w:hAnsi="宋体"/>
          <w:szCs w:val="21"/>
        </w:rPr>
        <w:t>／天·床，家庭病床巡诊15元／天。护理费：一级护理6元／天。体格检查费：婴</w:t>
      </w:r>
      <w:r>
        <w:rPr>
          <w:rFonts w:hint="eastAsia" w:ascii="宋体" w:hAnsi="宋体"/>
          <w:szCs w:val="21"/>
        </w:rPr>
        <w:t>儿、学龄前儿童体格检查</w:t>
      </w:r>
      <w:r>
        <w:rPr>
          <w:rFonts w:ascii="宋体" w:hAnsi="宋体"/>
          <w:szCs w:val="21"/>
        </w:rPr>
        <w:t>4元／次，高等、中、小学生体格检查4元／次，成人及婚前</w:t>
      </w:r>
      <w:r>
        <w:rPr>
          <w:rFonts w:hint="eastAsia" w:ascii="宋体" w:hAnsi="宋体"/>
          <w:szCs w:val="21"/>
        </w:rPr>
        <w:t>体格检查</w:t>
      </w:r>
      <w:r>
        <w:rPr>
          <w:rFonts w:ascii="宋体" w:hAnsi="宋体"/>
          <w:szCs w:val="21"/>
        </w:rPr>
        <w:t>10元／次，出国体格检查30元／次，残废等级鉴定20元／次，司机体格检</w:t>
      </w:r>
      <w:r>
        <w:rPr>
          <w:rFonts w:hint="eastAsia" w:ascii="宋体" w:hAnsi="宋体"/>
          <w:szCs w:val="21"/>
        </w:rPr>
        <w:t>查</w:t>
      </w:r>
      <w:r>
        <w:rPr>
          <w:rFonts w:ascii="宋体" w:hAnsi="宋体"/>
          <w:szCs w:val="21"/>
        </w:rPr>
        <w:t>20元／次。</w:t>
      </w:r>
    </w:p>
    <w:p w14:paraId="2A125EE6">
      <w:pPr>
        <w:pStyle w:val="5"/>
        <w:rPr>
          <w:rFonts w:ascii="宋体" w:hAnsi="宋体"/>
        </w:rPr>
      </w:pPr>
      <w:r>
        <w:rPr>
          <w:rFonts w:hint="eastAsia" w:ascii="宋体" w:hAnsi="宋体"/>
        </w:rPr>
        <w:t>五、行政事业性收费</w:t>
      </w:r>
    </w:p>
    <w:p w14:paraId="4526CD37">
      <w:pPr>
        <w:ind w:firstLine="420"/>
        <w:rPr>
          <w:rFonts w:ascii="宋体" w:hAnsi="宋体"/>
          <w:szCs w:val="21"/>
        </w:rPr>
      </w:pPr>
      <w:r>
        <w:rPr>
          <w:rFonts w:ascii="宋体" w:hAnsi="宋体"/>
          <w:szCs w:val="21"/>
        </w:rPr>
        <w:t>1986年，按照《广东省行政事业性收费项目标准目录》的规定，物价局核发了814个收费项目的</w:t>
      </w:r>
      <w:r>
        <w:rPr>
          <w:rFonts w:hint="eastAsia" w:ascii="宋体" w:hAnsi="宋体"/>
          <w:szCs w:val="21"/>
        </w:rPr>
        <w:t>“</w:t>
      </w:r>
      <w:r>
        <w:rPr>
          <w:rFonts w:ascii="宋体" w:hAnsi="宋体"/>
          <w:szCs w:val="21"/>
        </w:rPr>
        <w:t>行政事业收费许可证</w:t>
      </w:r>
      <w:r>
        <w:rPr>
          <w:rFonts w:hint="eastAsia" w:ascii="宋体" w:hAnsi="宋体"/>
          <w:szCs w:val="21"/>
        </w:rPr>
        <w:t>”</w:t>
      </w:r>
      <w:r>
        <w:rPr>
          <w:rFonts w:ascii="宋体" w:hAnsi="宋体"/>
          <w:szCs w:val="21"/>
        </w:rPr>
        <w:t>共206证。1990年至1991年底，对行政</w:t>
      </w:r>
      <w:r>
        <w:rPr>
          <w:rFonts w:hint="eastAsia" w:ascii="宋体" w:hAnsi="宋体"/>
          <w:szCs w:val="21"/>
        </w:rPr>
        <w:t>事业收费进行了两次清理整顿，共清理乱收费项目</w:t>
      </w:r>
      <w:r>
        <w:rPr>
          <w:rFonts w:ascii="宋体" w:hAnsi="宋体"/>
          <w:szCs w:val="21"/>
        </w:rPr>
        <w:t>41项，减轻企业和群众负担413</w:t>
      </w:r>
      <w:r>
        <w:rPr>
          <w:rFonts w:hint="eastAsia" w:ascii="宋体" w:hAnsi="宋体"/>
          <w:szCs w:val="21"/>
        </w:rPr>
        <w:t>万元。</w:t>
      </w:r>
      <w:r>
        <w:rPr>
          <w:rFonts w:ascii="宋体" w:hAnsi="宋体"/>
          <w:szCs w:val="21"/>
        </w:rPr>
        <w:t>1993年初，又进行了第三次清理整顿，主要是对涉及农民负担的收费进行清</w:t>
      </w:r>
      <w:r>
        <w:rPr>
          <w:rFonts w:hint="eastAsia" w:ascii="宋体" w:hAnsi="宋体"/>
          <w:szCs w:val="21"/>
        </w:rPr>
        <w:t>理，共取消、纠正收费</w:t>
      </w:r>
      <w:r>
        <w:rPr>
          <w:rFonts w:ascii="宋体" w:hAnsi="宋体"/>
          <w:szCs w:val="21"/>
        </w:rPr>
        <w:t>46项，减轻企业和人民群众负担5000</w:t>
      </w:r>
      <w:r>
        <w:rPr>
          <w:rFonts w:hint="eastAsia" w:ascii="宋体" w:hAnsi="宋体"/>
          <w:szCs w:val="21"/>
        </w:rPr>
        <w:t>万</w:t>
      </w:r>
      <w:r>
        <w:rPr>
          <w:rFonts w:ascii="宋体" w:hAnsi="宋体"/>
          <w:szCs w:val="21"/>
        </w:rPr>
        <w:t>元。此后，行政事业</w:t>
      </w:r>
      <w:r>
        <w:rPr>
          <w:rFonts w:hint="eastAsia" w:ascii="宋体" w:hAnsi="宋体"/>
          <w:szCs w:val="21"/>
        </w:rPr>
        <w:t>收费逐步走上正轨，建立和健全有关管理制度，实施综合年审制度。</w:t>
      </w:r>
    </w:p>
    <w:p w14:paraId="5EE5F8BA">
      <w:pPr>
        <w:pStyle w:val="4"/>
        <w:rPr>
          <w:rFonts w:ascii="宋体" w:hAnsi="宋体"/>
        </w:rPr>
      </w:pPr>
      <w:r>
        <w:rPr>
          <w:rFonts w:hint="eastAsia" w:ascii="宋体" w:hAnsi="宋体"/>
        </w:rPr>
        <w:t>第三节  价格成本调查</w:t>
      </w:r>
    </w:p>
    <w:p w14:paraId="4168488E">
      <w:pPr>
        <w:ind w:firstLine="420"/>
        <w:rPr>
          <w:rFonts w:ascii="宋体" w:hAnsi="宋体"/>
          <w:szCs w:val="21"/>
        </w:rPr>
      </w:pPr>
      <w:r>
        <w:rPr>
          <w:rFonts w:hint="eastAsia" w:ascii="宋体" w:hAnsi="宋体"/>
          <w:szCs w:val="21"/>
        </w:rPr>
        <w:t>从</w:t>
      </w:r>
      <w:r>
        <w:rPr>
          <w:rFonts w:ascii="宋体" w:hAnsi="宋体"/>
          <w:szCs w:val="21"/>
        </w:rPr>
        <w:t>1984年开始，开展了主要以农副产品为主的价格成本调查工作。1988年1月</w:t>
      </w:r>
      <w:r>
        <w:rPr>
          <w:rFonts w:hint="eastAsia" w:ascii="宋体" w:hAnsi="宋体"/>
          <w:szCs w:val="21"/>
        </w:rPr>
        <w:t>选定乌迳镇长龙村、黄坑镇上象公陂坑村、湖口镇坪地村为国家、省的早稻、晚稻、黄烟生产成本调查点，每个点</w:t>
      </w:r>
      <w:r>
        <w:rPr>
          <w:rFonts w:ascii="宋体" w:hAnsi="宋体"/>
          <w:szCs w:val="21"/>
        </w:rPr>
        <w:t>3户，每一品种的调查户为9户，一定5年不变。1991</w:t>
      </w:r>
      <w:r>
        <w:rPr>
          <w:rFonts w:hint="eastAsia" w:ascii="宋体" w:hAnsi="宋体"/>
          <w:szCs w:val="21"/>
        </w:rPr>
        <w:t>年</w:t>
      </w:r>
      <w:r>
        <w:rPr>
          <w:rFonts w:ascii="宋体" w:hAnsi="宋体"/>
          <w:szCs w:val="21"/>
        </w:rPr>
        <w:t>4月，价格成本调查延伸到服务收费成本调查等领域。1998年5月1日《中华人</w:t>
      </w:r>
      <w:r>
        <w:rPr>
          <w:rFonts w:hint="eastAsia" w:ascii="宋体" w:hAnsi="宋体"/>
          <w:szCs w:val="21"/>
        </w:rPr>
        <w:t>民共和国价格法》实施后，开展了对所有政府列管的商品、服务、收费项目定价前的成本核算以及生产、经营、市场供求形势的价格成本调查、监测。</w:t>
      </w:r>
      <w:r>
        <w:rPr>
          <w:rFonts w:ascii="宋体" w:hAnsi="宋体"/>
          <w:szCs w:val="21"/>
        </w:rPr>
        <w:t>2000年起每年</w:t>
      </w:r>
      <w:r>
        <w:rPr>
          <w:rFonts w:hint="eastAsia" w:ascii="宋体" w:hAnsi="宋体"/>
          <w:szCs w:val="21"/>
        </w:rPr>
        <w:t>度还开展农户存粮、购买农资、种植意向等专项调查，并建立了城市供水价格成本调查制度和中、小学教育成本调查制度。全市选定了</w:t>
      </w:r>
      <w:r>
        <w:rPr>
          <w:rFonts w:ascii="宋体" w:hAnsi="宋体"/>
          <w:szCs w:val="21"/>
        </w:rPr>
        <w:t>6种类型的中学12间，5种类型</w:t>
      </w:r>
      <w:r>
        <w:rPr>
          <w:rFonts w:hint="eastAsia" w:ascii="宋体" w:hAnsi="宋体"/>
          <w:szCs w:val="21"/>
        </w:rPr>
        <w:t>的小学</w:t>
      </w:r>
      <w:r>
        <w:rPr>
          <w:rFonts w:ascii="宋体" w:hAnsi="宋体"/>
          <w:szCs w:val="21"/>
        </w:rPr>
        <w:t>13间作为调查点，一定5年不变</w:t>
      </w:r>
      <w:r>
        <w:rPr>
          <w:rFonts w:hint="eastAsia" w:ascii="宋体" w:hAnsi="宋体"/>
          <w:szCs w:val="21"/>
        </w:rPr>
        <w:t>。</w:t>
      </w:r>
    </w:p>
    <w:p w14:paraId="1891CE59">
      <w:pPr>
        <w:pStyle w:val="4"/>
        <w:rPr>
          <w:rFonts w:ascii="宋体" w:hAnsi="宋体"/>
        </w:rPr>
      </w:pPr>
      <w:r>
        <w:rPr>
          <w:rFonts w:hint="eastAsia" w:ascii="宋体" w:hAnsi="宋体"/>
        </w:rPr>
        <w:t>第四节  物价监督检查</w:t>
      </w:r>
    </w:p>
    <w:p w14:paraId="29393820">
      <w:pPr>
        <w:pStyle w:val="5"/>
        <w:rPr>
          <w:rFonts w:ascii="宋体" w:hAnsi="宋体"/>
        </w:rPr>
      </w:pPr>
      <w:r>
        <w:rPr>
          <w:rFonts w:hint="eastAsia" w:ascii="宋体" w:hAnsi="宋体"/>
        </w:rPr>
        <w:t>一、监督检查机构</w:t>
      </w:r>
    </w:p>
    <w:p w14:paraId="725394AB">
      <w:pPr>
        <w:ind w:firstLine="420"/>
        <w:rPr>
          <w:rFonts w:ascii="宋体" w:hAnsi="宋体"/>
          <w:szCs w:val="21"/>
        </w:rPr>
      </w:pPr>
      <w:r>
        <w:rPr>
          <w:rFonts w:ascii="宋体" w:hAnsi="宋体"/>
          <w:szCs w:val="21"/>
        </w:rPr>
        <w:t>1984年3月，物价检查所成立，为物价主管部门的内设机构。2002年机构改革，</w:t>
      </w:r>
      <w:r>
        <w:rPr>
          <w:rFonts w:hint="eastAsia" w:ascii="宋体" w:hAnsi="宋体"/>
          <w:szCs w:val="21"/>
        </w:rPr>
        <w:t>改为市发展计划局的内设机构。</w:t>
      </w:r>
    </w:p>
    <w:p w14:paraId="1382627F">
      <w:pPr>
        <w:ind w:firstLine="420"/>
        <w:rPr>
          <w:rFonts w:ascii="宋体" w:hAnsi="宋体"/>
          <w:szCs w:val="21"/>
        </w:rPr>
      </w:pPr>
      <w:r>
        <w:rPr>
          <w:rFonts w:ascii="宋体" w:hAnsi="宋体"/>
          <w:szCs w:val="21"/>
        </w:rPr>
        <w:t>2003年4月，在20个镇和18个市直企事业单位设立了物价员。在221个行政村</w:t>
      </w:r>
      <w:r>
        <w:rPr>
          <w:rFonts w:hint="eastAsia" w:ascii="宋体" w:hAnsi="宋体"/>
          <w:szCs w:val="21"/>
        </w:rPr>
        <w:t>聘请了价格监督员。构建了覆盖全社会的价格监督网络，形成市、镇、村三级价格监管体系。</w:t>
      </w:r>
    </w:p>
    <w:p w14:paraId="46226BA5">
      <w:pPr>
        <w:ind w:firstLine="420"/>
        <w:rPr>
          <w:rFonts w:ascii="宋体" w:hAnsi="宋体"/>
          <w:szCs w:val="21"/>
        </w:rPr>
      </w:pPr>
      <w:r>
        <w:rPr>
          <w:rFonts w:ascii="宋体" w:hAnsi="宋体"/>
          <w:szCs w:val="21"/>
        </w:rPr>
        <w:t>2000年5月，物价检查所被国家发展计划委员会授予规范化物价检查所</w:t>
      </w:r>
      <w:r>
        <w:rPr>
          <w:rFonts w:hint="eastAsia" w:ascii="宋体" w:hAnsi="宋体"/>
          <w:szCs w:val="21"/>
        </w:rPr>
        <w:t>。</w:t>
      </w:r>
    </w:p>
    <w:p w14:paraId="7A524E56">
      <w:pPr>
        <w:pStyle w:val="5"/>
        <w:rPr>
          <w:rFonts w:ascii="宋体" w:hAnsi="宋体"/>
        </w:rPr>
      </w:pPr>
      <w:r>
        <w:rPr>
          <w:rFonts w:hint="eastAsia" w:ascii="宋体" w:hAnsi="宋体"/>
        </w:rPr>
        <w:t>二、推行明码标价</w:t>
      </w:r>
    </w:p>
    <w:p w14:paraId="17DE5454">
      <w:pPr>
        <w:ind w:firstLine="420"/>
        <w:rPr>
          <w:rFonts w:ascii="宋体" w:hAnsi="宋体"/>
          <w:szCs w:val="21"/>
        </w:rPr>
      </w:pPr>
      <w:r>
        <w:rPr>
          <w:rFonts w:hint="eastAsia" w:ascii="宋体" w:hAnsi="宋体"/>
          <w:szCs w:val="21"/>
        </w:rPr>
        <w:t>从</w:t>
      </w:r>
      <w:r>
        <w:rPr>
          <w:rFonts w:ascii="宋体" w:hAnsi="宋体"/>
          <w:szCs w:val="21"/>
        </w:rPr>
        <w:t>20世纪90年代始，每年都对明码标价进行检查和广泛宣传，帮助和指导经营</w:t>
      </w:r>
      <w:r>
        <w:rPr>
          <w:rFonts w:hint="eastAsia" w:ascii="宋体" w:hAnsi="宋体"/>
          <w:szCs w:val="21"/>
        </w:rPr>
        <w:t>者规范标价行为，提高执行明码标价的自觉性。除抓好商品明码标价外，还抓了公用电话、饮食、旅业、照相、理发等服务行业收费的明码标价工作。近几年来，建立明码标价“五个一”示范单位，实行以点带面。同时还结合我市的实际，先后规范了市区主要街道两旁商铺商品的明码标价和教育、医疗、邮政、电信、旅游等部门以及经营药品（包括农村乡镇）、手机等行业的明码标价。从</w:t>
      </w:r>
      <w:r>
        <w:rPr>
          <w:rFonts w:ascii="宋体" w:hAnsi="宋体"/>
          <w:szCs w:val="21"/>
        </w:rPr>
        <w:t>2</w:t>
      </w:r>
      <w:r>
        <w:rPr>
          <w:rFonts w:hint="eastAsia" w:ascii="宋体" w:hAnsi="宋体"/>
          <w:szCs w:val="21"/>
        </w:rPr>
        <w:t>0</w:t>
      </w:r>
      <w:r>
        <w:rPr>
          <w:rFonts w:ascii="宋体" w:hAnsi="宋体"/>
          <w:szCs w:val="21"/>
        </w:rPr>
        <w:t>03年起，标价签直接委</w:t>
      </w:r>
      <w:r>
        <w:rPr>
          <w:rFonts w:hint="eastAsia" w:ascii="宋体" w:hAnsi="宋体"/>
          <w:szCs w:val="21"/>
        </w:rPr>
        <w:t>托厂家印制并联系有关单位代销，从而减少流通环节，降低了商品标价签销售价格。两年来已销售标价签近</w:t>
      </w:r>
      <w:r>
        <w:rPr>
          <w:rFonts w:ascii="宋体" w:hAnsi="宋体"/>
          <w:szCs w:val="21"/>
        </w:rPr>
        <w:t>30万张，推动了商品明码标价工作的开展。</w:t>
      </w:r>
    </w:p>
    <w:p w14:paraId="50842B80">
      <w:pPr>
        <w:pStyle w:val="5"/>
        <w:rPr>
          <w:rFonts w:ascii="宋体" w:hAnsi="宋体"/>
        </w:rPr>
      </w:pPr>
      <w:r>
        <w:rPr>
          <w:rFonts w:hint="eastAsia" w:ascii="宋体" w:hAnsi="宋体"/>
        </w:rPr>
        <w:t>三、查处物价违纪案件</w:t>
      </w:r>
    </w:p>
    <w:p w14:paraId="570BED91">
      <w:pPr>
        <w:ind w:firstLine="420"/>
        <w:rPr>
          <w:rFonts w:ascii="宋体" w:hAnsi="宋体"/>
          <w:szCs w:val="21"/>
        </w:rPr>
      </w:pPr>
      <w:r>
        <w:rPr>
          <w:rFonts w:ascii="宋体" w:hAnsi="宋体"/>
          <w:szCs w:val="21"/>
        </w:rPr>
        <w:t>1988年10月，成立南雄县税收、财务、物价大检查领导小组，每年开展一次物</w:t>
      </w:r>
      <w:r>
        <w:rPr>
          <w:rFonts w:hint="eastAsia" w:ascii="宋体" w:hAnsi="宋体"/>
          <w:szCs w:val="21"/>
        </w:rPr>
        <w:t>价大检查，对社会关注、群众反映强烈的价费热点开展有针对性的专项检查。</w:t>
      </w:r>
      <w:r>
        <w:rPr>
          <w:rFonts w:ascii="宋体" w:hAnsi="宋体"/>
          <w:szCs w:val="21"/>
        </w:rPr>
        <w:t>2003</w:t>
      </w:r>
      <w:r>
        <w:rPr>
          <w:rFonts w:hint="eastAsia" w:ascii="宋体" w:hAnsi="宋体"/>
          <w:szCs w:val="21"/>
        </w:rPr>
        <w:t>年</w:t>
      </w:r>
      <w:r>
        <w:rPr>
          <w:rFonts w:ascii="宋体" w:hAnsi="宋体"/>
          <w:szCs w:val="21"/>
        </w:rPr>
        <w:t>6月开通12358价格举报专用电话。</w:t>
      </w:r>
    </w:p>
    <w:p w14:paraId="728ABFF1">
      <w:pPr>
        <w:ind w:firstLine="420"/>
        <w:rPr>
          <w:rFonts w:ascii="宋体" w:hAnsi="宋体"/>
          <w:szCs w:val="21"/>
        </w:rPr>
      </w:pPr>
      <w:r>
        <w:rPr>
          <w:rFonts w:ascii="宋体" w:hAnsi="宋体"/>
          <w:szCs w:val="21"/>
        </w:rPr>
        <w:t>1988年至2004年，共查处物价违纪案件284宗，违纪金额1551.09万元。没收</w:t>
      </w:r>
      <w:r>
        <w:rPr>
          <w:rFonts w:hint="eastAsia" w:ascii="宋体" w:hAnsi="宋体"/>
          <w:szCs w:val="21"/>
        </w:rPr>
        <w:t>上缴财政</w:t>
      </w:r>
      <w:r>
        <w:rPr>
          <w:rFonts w:ascii="宋体" w:hAnsi="宋体"/>
          <w:szCs w:val="21"/>
        </w:rPr>
        <w:t>351.39万元，退回消费者879.04万元</w:t>
      </w:r>
      <w:r>
        <w:rPr>
          <w:rFonts w:hint="eastAsia" w:ascii="宋体" w:hAnsi="宋体"/>
          <w:szCs w:val="21"/>
        </w:rPr>
        <w:t>。</w:t>
      </w:r>
    </w:p>
    <w:p w14:paraId="2D114CDA">
      <w:pPr>
        <w:pStyle w:val="3"/>
        <w:rPr>
          <w:rFonts w:ascii="宋体" w:hAnsi="宋体"/>
        </w:rPr>
      </w:pPr>
      <w:r>
        <w:rPr>
          <w:rFonts w:hint="eastAsia" w:ascii="宋体" w:hAnsi="宋体"/>
        </w:rPr>
        <w:t>第十六章  旅游业</w:t>
      </w:r>
    </w:p>
    <w:p w14:paraId="7CE4338E">
      <w:pPr>
        <w:pStyle w:val="4"/>
        <w:rPr>
          <w:rFonts w:ascii="宋体" w:hAnsi="宋体"/>
        </w:rPr>
      </w:pPr>
      <w:r>
        <w:rPr>
          <w:rFonts w:hint="eastAsia" w:ascii="宋体" w:hAnsi="宋体"/>
        </w:rPr>
        <w:t>第一节  机构</w:t>
      </w:r>
    </w:p>
    <w:p w14:paraId="4EDCA44E">
      <w:pPr>
        <w:ind w:firstLine="420"/>
        <w:rPr>
          <w:rFonts w:ascii="宋体" w:hAnsi="宋体"/>
          <w:szCs w:val="21"/>
        </w:rPr>
      </w:pPr>
      <w:r>
        <w:rPr>
          <w:rFonts w:hint="eastAsia" w:ascii="宋体" w:hAnsi="宋体"/>
          <w:szCs w:val="21"/>
        </w:rPr>
        <w:t>南雄旅游公司于</w:t>
      </w:r>
      <w:r>
        <w:rPr>
          <w:rFonts w:ascii="宋体" w:hAnsi="宋体"/>
          <w:szCs w:val="21"/>
        </w:rPr>
        <w:t>1984年7月成立，副科级建制，为县外经委下属企业单位。1989年8月成立南雄县旅游局，旅游公司划归旅游局管理。1996年7月改称为南雄</w:t>
      </w:r>
      <w:r>
        <w:rPr>
          <w:rFonts w:hint="eastAsia" w:ascii="宋体" w:hAnsi="宋体"/>
          <w:szCs w:val="21"/>
        </w:rPr>
        <w:t>旅游总公司，与旅游局两块牌子一套人马，下设办公室、旅游部、汽车队、服务部、售票室。</w:t>
      </w:r>
      <w:r>
        <w:rPr>
          <w:rFonts w:ascii="宋体" w:hAnsi="宋体"/>
          <w:szCs w:val="21"/>
        </w:rPr>
        <w:t>2004年有员工100人，其中获国家导游员资格证书的导游12人。同年11月</w:t>
      </w:r>
      <w:r>
        <w:rPr>
          <w:rFonts w:hint="eastAsia" w:ascii="宋体" w:hAnsi="宋体"/>
          <w:szCs w:val="21"/>
        </w:rPr>
        <w:t>实施政、企分离，恢复旅游局、旅游公司两块牌子两套人马。</w:t>
      </w:r>
    </w:p>
    <w:p w14:paraId="56512AF2">
      <w:pPr>
        <w:pStyle w:val="4"/>
        <w:rPr>
          <w:rFonts w:ascii="宋体" w:hAnsi="宋体"/>
        </w:rPr>
      </w:pPr>
      <w:r>
        <w:rPr>
          <w:rFonts w:hint="eastAsia" w:ascii="宋体" w:hAnsi="宋体"/>
        </w:rPr>
        <w:t>第二节  旅游资源保护与开发</w:t>
      </w:r>
    </w:p>
    <w:p w14:paraId="5F18F5EA">
      <w:pPr>
        <w:ind w:firstLine="420"/>
        <w:rPr>
          <w:rFonts w:ascii="宋体" w:hAnsi="宋体"/>
          <w:szCs w:val="21"/>
        </w:rPr>
      </w:pPr>
      <w:r>
        <w:rPr>
          <w:rFonts w:hint="eastAsia" w:ascii="宋体" w:hAnsi="宋体"/>
          <w:szCs w:val="21"/>
        </w:rPr>
        <w:t>梅关古道。为唐宋建筑。年代久远，废圮严重。</w:t>
      </w:r>
      <w:r>
        <w:rPr>
          <w:rFonts w:ascii="宋体" w:hAnsi="宋体"/>
          <w:szCs w:val="21"/>
        </w:rPr>
        <w:t>1989年以来，政府拨款30万元</w:t>
      </w:r>
      <w:r>
        <w:rPr>
          <w:rFonts w:hint="eastAsia" w:ascii="宋体" w:hAnsi="宋体"/>
          <w:szCs w:val="21"/>
        </w:rPr>
        <w:t>及各方捐款赞助，修补了梅关关楼，并在景区内新建夫人庙、挂角亭、六祖寺、来雁亭，古道两旁增植梅树上万株，并新建碑亭、诗碑廊。</w:t>
      </w:r>
      <w:r>
        <w:rPr>
          <w:rFonts w:ascii="宋体" w:hAnsi="宋体"/>
          <w:szCs w:val="21"/>
        </w:rPr>
        <w:t>1996年完善钟鼓岩至梅关古</w:t>
      </w:r>
      <w:r>
        <w:rPr>
          <w:rFonts w:hint="eastAsia" w:ascii="宋体" w:hAnsi="宋体"/>
          <w:szCs w:val="21"/>
        </w:rPr>
        <w:t>道半山亭</w:t>
      </w:r>
      <w:r>
        <w:rPr>
          <w:rFonts w:ascii="宋体" w:hAnsi="宋体"/>
          <w:szCs w:val="21"/>
        </w:rPr>
        <w:t>3公里长的水泥路面铺设。2003年修建了梅关古道停车场。</w:t>
      </w:r>
    </w:p>
    <w:p w14:paraId="7B9B25DF">
      <w:pPr>
        <w:ind w:firstLine="420"/>
        <w:rPr>
          <w:rFonts w:ascii="宋体" w:hAnsi="宋体"/>
          <w:szCs w:val="21"/>
        </w:rPr>
      </w:pPr>
      <w:r>
        <w:rPr>
          <w:rFonts w:hint="eastAsia" w:ascii="宋体" w:hAnsi="宋体"/>
          <w:szCs w:val="21"/>
        </w:rPr>
        <w:t>珠玑古巷。始名于唐，兴盛于宋，是南迁氏族发祥之地。</w:t>
      </w:r>
      <w:r>
        <w:rPr>
          <w:rFonts w:ascii="宋体" w:hAnsi="宋体"/>
          <w:szCs w:val="21"/>
        </w:rPr>
        <w:t>1994年以前小有修葺。1994年10月珠玑巷南迁后裔联谊会成立后，通过各种渠道筹集资金数千万元，经10</w:t>
      </w:r>
      <w:r>
        <w:rPr>
          <w:rFonts w:hint="eastAsia" w:ascii="宋体" w:hAnsi="宋体"/>
          <w:szCs w:val="21"/>
        </w:rPr>
        <w:t>多年修建，古巷面貌一新。新建张昌故居、沙水湖、胡妃塑像、胡妃纪念馆、博物馆、祖居纪念区、大雄禅寺等。对古巷街道、古门楼、古塔、古井、古桥、古榕等进行维修保护。修复后，唐宋风貌犹存，并在古巷种植花草树木，使景区更加秀丽。</w:t>
      </w:r>
    </w:p>
    <w:p w14:paraId="3D1EC176">
      <w:pPr>
        <w:ind w:firstLine="420"/>
        <w:rPr>
          <w:rFonts w:ascii="宋体" w:hAnsi="宋体"/>
          <w:szCs w:val="21"/>
        </w:rPr>
      </w:pPr>
      <w:r>
        <w:rPr>
          <w:rFonts w:hint="eastAsia" w:ascii="宋体" w:hAnsi="宋体"/>
          <w:szCs w:val="21"/>
        </w:rPr>
        <w:t>三影古塔。建于公元</w:t>
      </w:r>
      <w:r>
        <w:rPr>
          <w:rFonts w:ascii="宋体" w:hAnsi="宋体"/>
          <w:szCs w:val="21"/>
        </w:rPr>
        <w:t>1009年的宋塔。经千载风霜，塔顶早已倾倒、塔身残破不</w:t>
      </w:r>
      <w:r>
        <w:rPr>
          <w:rFonts w:hint="eastAsia" w:ascii="宋体" w:hAnsi="宋体"/>
          <w:szCs w:val="21"/>
        </w:rPr>
        <w:t>堪。</w:t>
      </w:r>
      <w:r>
        <w:rPr>
          <w:rFonts w:ascii="宋体" w:hAnsi="宋体"/>
          <w:szCs w:val="21"/>
        </w:rPr>
        <w:t>1982年，由政府拨款及港澳同胞资助，经一年多的修整，古貌犹存。2002年至2003年，引进外商，投资5000多万元，开发2000多平方米的三影塔广场，同时在三</w:t>
      </w:r>
      <w:r>
        <w:rPr>
          <w:rFonts w:hint="eastAsia" w:ascii="宋体" w:hAnsi="宋体"/>
          <w:szCs w:val="21"/>
        </w:rPr>
        <w:t>影塔广场附近建两条三影塔步行街，有门店、商铺</w:t>
      </w:r>
      <w:r>
        <w:rPr>
          <w:rFonts w:ascii="宋体" w:hAnsi="宋体"/>
          <w:szCs w:val="21"/>
        </w:rPr>
        <w:t>400多间，成为城区购物、娱乐融</w:t>
      </w:r>
      <w:r>
        <w:rPr>
          <w:rFonts w:hint="eastAsia" w:ascii="宋体" w:hAnsi="宋体"/>
          <w:szCs w:val="21"/>
        </w:rPr>
        <w:t>为一体的休闲中心。</w:t>
      </w:r>
    </w:p>
    <w:p w14:paraId="2655EDCA">
      <w:pPr>
        <w:ind w:firstLine="420"/>
        <w:rPr>
          <w:rFonts w:ascii="宋体" w:hAnsi="宋体"/>
          <w:szCs w:val="21"/>
        </w:rPr>
      </w:pPr>
      <w:r>
        <w:rPr>
          <w:rFonts w:hint="eastAsia" w:ascii="宋体" w:hAnsi="宋体"/>
          <w:szCs w:val="21"/>
        </w:rPr>
        <w:t>梅花长廊。2</w:t>
      </w:r>
      <w:r>
        <w:rPr>
          <w:rFonts w:ascii="宋体" w:hAnsi="宋体"/>
          <w:szCs w:val="21"/>
        </w:rPr>
        <w:t>002年，有关部门拨款资助，机关、乡镇工作人员投工投劳，从南</w:t>
      </w:r>
      <w:r>
        <w:rPr>
          <w:rFonts w:hint="eastAsia" w:ascii="宋体" w:hAnsi="宋体"/>
          <w:szCs w:val="21"/>
        </w:rPr>
        <w:t>雄城东</w:t>
      </w:r>
      <w:r>
        <w:rPr>
          <w:rFonts w:ascii="宋体" w:hAnsi="宋体"/>
          <w:szCs w:val="21"/>
        </w:rPr>
        <w:t>323线三岔路口至梅岭顶路段，27公里长的国道两侧，种植各种梅树1.2万</w:t>
      </w:r>
      <w:r>
        <w:rPr>
          <w:rFonts w:hint="eastAsia" w:ascii="宋体" w:hAnsi="宋体"/>
          <w:szCs w:val="21"/>
        </w:rPr>
        <w:t>多株，形成梅花长廊。</w:t>
      </w:r>
    </w:p>
    <w:p w14:paraId="3E0DFDF4">
      <w:pPr>
        <w:ind w:firstLine="420"/>
        <w:rPr>
          <w:rFonts w:ascii="宋体" w:hAnsi="宋体"/>
          <w:szCs w:val="21"/>
        </w:rPr>
      </w:pPr>
      <w:r>
        <w:rPr>
          <w:rFonts w:hint="eastAsia" w:ascii="宋体" w:hAnsi="宋体"/>
          <w:szCs w:val="21"/>
        </w:rPr>
        <w:t>莲开净寺。在莲社庵原地重建。在高僧本焕大和尚的倡导下，于</w:t>
      </w:r>
      <w:r>
        <w:rPr>
          <w:rFonts w:ascii="宋体" w:hAnsi="宋体"/>
          <w:szCs w:val="21"/>
        </w:rPr>
        <w:t>1996年11月8</w:t>
      </w:r>
      <w:r>
        <w:rPr>
          <w:rFonts w:hint="eastAsia" w:ascii="宋体" w:hAnsi="宋体"/>
          <w:szCs w:val="21"/>
        </w:rPr>
        <w:t>日正式动土开工，至</w:t>
      </w:r>
      <w:r>
        <w:rPr>
          <w:rFonts w:ascii="宋体" w:hAnsi="宋体"/>
          <w:szCs w:val="21"/>
        </w:rPr>
        <w:t>1999年12月全面落成，建筑面积7000多平方米，建筑造价2500多万元。其建筑风貌，以古建筑和园林水建筑融为一体，继承了仿宋古建筑风</w:t>
      </w:r>
      <w:r>
        <w:rPr>
          <w:rFonts w:hint="eastAsia" w:ascii="宋体" w:hAnsi="宋体"/>
          <w:szCs w:val="21"/>
        </w:rPr>
        <w:t>格，展示了佛教文化气氛。</w:t>
      </w:r>
    </w:p>
    <w:p w14:paraId="23561752">
      <w:pPr>
        <w:ind w:firstLine="420"/>
        <w:rPr>
          <w:rFonts w:ascii="宋体" w:hAnsi="宋体"/>
          <w:szCs w:val="21"/>
        </w:rPr>
      </w:pPr>
      <w:r>
        <w:rPr>
          <w:rFonts w:hint="eastAsia" w:ascii="宋体" w:hAnsi="宋体"/>
          <w:szCs w:val="21"/>
        </w:rPr>
        <w:t>苍石寨。是一处屹立着形态奇特的红石山群，寨内自然景观丰富，有峡谷奇峰、五龙瀑布、情人幽谷、流水、小桥等自然景观。</w:t>
      </w:r>
      <w:r>
        <w:rPr>
          <w:rFonts w:ascii="宋体" w:hAnsi="宋体"/>
          <w:szCs w:val="21"/>
        </w:rPr>
        <w:t>2000年，全安镇引进外商投资2000</w:t>
      </w:r>
      <w:r>
        <w:rPr>
          <w:rFonts w:hint="eastAsia" w:ascii="宋体" w:hAnsi="宋体"/>
          <w:szCs w:val="21"/>
        </w:rPr>
        <w:t>多万元，进行全面开发。旅游景区面积为</w:t>
      </w:r>
      <w:r>
        <w:rPr>
          <w:rFonts w:ascii="宋体" w:hAnsi="宋体"/>
          <w:szCs w:val="21"/>
        </w:rPr>
        <w:t>4.5平方公里，逐步建成旅游观赏区、温泉</w:t>
      </w:r>
      <w:r>
        <w:rPr>
          <w:rFonts w:hint="eastAsia" w:ascii="宋体" w:hAnsi="宋体"/>
          <w:szCs w:val="21"/>
        </w:rPr>
        <w:t>休闲山庄、山寨风情度假村、射击娱乐场等。</w:t>
      </w:r>
    </w:p>
    <w:p w14:paraId="450D6710">
      <w:pPr>
        <w:ind w:firstLine="420"/>
        <w:rPr>
          <w:rFonts w:ascii="宋体" w:hAnsi="宋体"/>
          <w:szCs w:val="21"/>
        </w:rPr>
      </w:pPr>
      <w:r>
        <w:rPr>
          <w:rFonts w:hint="eastAsia" w:ascii="宋体" w:hAnsi="宋体"/>
          <w:szCs w:val="21"/>
        </w:rPr>
        <w:t>龙华山温泉。是一处天然温泉，从</w:t>
      </w:r>
      <w:r>
        <w:rPr>
          <w:rFonts w:ascii="宋体" w:hAnsi="宋体"/>
          <w:szCs w:val="21"/>
        </w:rPr>
        <w:t>1996年起，由翠屏股份有限公司经营，2001</w:t>
      </w:r>
      <w:r>
        <w:rPr>
          <w:rFonts w:hint="eastAsia" w:ascii="宋体" w:hAnsi="宋体"/>
          <w:szCs w:val="21"/>
        </w:rPr>
        <w:t>年引进港商投资</w:t>
      </w:r>
      <w:r>
        <w:rPr>
          <w:rFonts w:ascii="宋体" w:hAnsi="宋体"/>
          <w:szCs w:val="21"/>
        </w:rPr>
        <w:t>3000多万元，对温泉进行改造和装修，占地面积2000多平方米，内</w:t>
      </w:r>
      <w:r>
        <w:rPr>
          <w:rFonts w:hint="eastAsia" w:ascii="宋体" w:hAnsi="宋体"/>
          <w:szCs w:val="21"/>
        </w:rPr>
        <w:t>设有度假村、餐饮业、旅业及露天冲浪池、室内游泳池、日式泡浴池等。</w:t>
      </w:r>
    </w:p>
    <w:p w14:paraId="7BA8992C">
      <w:pPr>
        <w:ind w:firstLine="420"/>
        <w:rPr>
          <w:rFonts w:ascii="宋体" w:hAnsi="宋体"/>
          <w:szCs w:val="21"/>
        </w:rPr>
      </w:pPr>
      <w:r>
        <w:rPr>
          <w:rFonts w:hint="eastAsia" w:ascii="宋体" w:hAnsi="宋体"/>
          <w:szCs w:val="21"/>
        </w:rPr>
        <w:t>青幛山自然风景区。位于南雄东南群山之中，有狮子岩、云峰寺古迹、竹海、天池、寨下水库、温泉。</w:t>
      </w:r>
      <w:r>
        <w:rPr>
          <w:rFonts w:ascii="宋体" w:hAnsi="宋体"/>
          <w:szCs w:val="21"/>
        </w:rPr>
        <w:t>1998年开发，已投资2000多万元修建通往各景点公路十几公</w:t>
      </w:r>
      <w:r>
        <w:rPr>
          <w:rFonts w:hint="eastAsia" w:ascii="宋体" w:hAnsi="宋体"/>
          <w:szCs w:val="21"/>
        </w:rPr>
        <w:t>里，在山上建有观竹亭，在温泉旁建有别墅、宾馆、酒楼、旅游度假村、娱乐场所。</w:t>
      </w:r>
    </w:p>
    <w:p w14:paraId="3F560CA0">
      <w:pPr>
        <w:ind w:firstLine="420"/>
        <w:rPr>
          <w:rFonts w:ascii="宋体" w:hAnsi="宋体"/>
          <w:szCs w:val="21"/>
        </w:rPr>
      </w:pPr>
      <w:r>
        <w:rPr>
          <w:rFonts w:hint="eastAsia" w:ascii="宋体" w:hAnsi="宋体"/>
          <w:szCs w:val="21"/>
        </w:rPr>
        <w:t>红色旅游资源开发。南雄是革命老区之一，是广东省唯数不多的中央苏区县，从</w:t>
      </w:r>
      <w:r>
        <w:rPr>
          <w:rFonts w:ascii="宋体" w:hAnsi="宋体"/>
          <w:szCs w:val="21"/>
        </w:rPr>
        <w:t>1925年至1949年，南雄人民在中国共产党领导下，革命斗争不断，留下了许多革命</w:t>
      </w:r>
      <w:r>
        <w:rPr>
          <w:rFonts w:hint="eastAsia" w:ascii="宋体" w:hAnsi="宋体"/>
          <w:szCs w:val="21"/>
        </w:rPr>
        <w:t>活动遗址。经历年开发，重要遗址有：湖口老屋下花楼，是中共南雄县委创建时办公旧址；油山上朔洋楼，是南雄县苏维埃政府遗址；市人民医院门诊部双榕树下（原城隍庙），是毛泽东、朱德等召开群众大会遗址；水口圩，是著名“水口战役”遗址；钟鼓岩，是陈毅代表南方游击队与国民党代表谈判团结抗日遗址；瑶坑，是抗日战争时期中共广东省委办公遗址；帽子峰油箩坑，是五岭地委、粤赣湘边人民解放总队机关旧址；梅关，是南下大军与北江第二支队会师旧址。</w:t>
      </w:r>
    </w:p>
    <w:p w14:paraId="337B6B34">
      <w:pPr>
        <w:pStyle w:val="4"/>
        <w:rPr>
          <w:rFonts w:ascii="宋体" w:hAnsi="宋体"/>
        </w:rPr>
      </w:pPr>
      <w:r>
        <w:rPr>
          <w:rFonts w:hint="eastAsia" w:ascii="宋体" w:hAnsi="宋体"/>
        </w:rPr>
        <w:t>第三节  旅游景点</w:t>
      </w:r>
    </w:p>
    <w:p w14:paraId="18A0C6A8">
      <w:pPr>
        <w:ind w:firstLine="422"/>
        <w:rPr>
          <w:rFonts w:ascii="宋体" w:hAnsi="宋体"/>
          <w:szCs w:val="21"/>
        </w:rPr>
      </w:pPr>
      <w:r>
        <w:rPr>
          <w:rFonts w:hint="eastAsia" w:ascii="宋体" w:hAnsi="宋体"/>
          <w:b/>
          <w:szCs w:val="21"/>
        </w:rPr>
        <w:t>三影古塔</w:t>
      </w:r>
      <w:r>
        <w:rPr>
          <w:rFonts w:hint="eastAsia" w:ascii="宋体" w:hAnsi="宋体"/>
          <w:szCs w:val="21"/>
        </w:rPr>
        <w:t xml:space="preserve">  位于南雄市区中心。建于北宋大中祥符二年（</w:t>
      </w:r>
      <w:r>
        <w:rPr>
          <w:rFonts w:ascii="宋体" w:hAnsi="宋体"/>
          <w:szCs w:val="21"/>
        </w:rPr>
        <w:t>1009年），是广东省唯</w:t>
      </w:r>
      <w:r>
        <w:rPr>
          <w:rFonts w:hint="eastAsia" w:ascii="宋体" w:hAnsi="宋体"/>
          <w:szCs w:val="21"/>
        </w:rPr>
        <w:t>一有绝对年代记载的宋塔，属全国重点文物保护单位。古道上有传说中的三影奇观虽不复见，而宋代建筑艺术风格犹存，一塔古朴雄伟，矗立广场之中，与市博物馆、广场景色、街市风光相衬映。登塔一览，南雄古城风貌尽收眼底。</w:t>
      </w:r>
    </w:p>
    <w:p w14:paraId="05604519">
      <w:pPr>
        <w:ind w:firstLine="422"/>
        <w:rPr>
          <w:rFonts w:ascii="宋体" w:hAnsi="宋体"/>
          <w:szCs w:val="21"/>
        </w:rPr>
      </w:pPr>
      <w:r>
        <w:rPr>
          <w:rFonts w:hint="eastAsia" w:ascii="宋体" w:hAnsi="宋体"/>
          <w:b/>
          <w:szCs w:val="21"/>
        </w:rPr>
        <w:t>珠玑古巷</w:t>
      </w:r>
      <w:r>
        <w:rPr>
          <w:rFonts w:hint="eastAsia" w:ascii="宋体" w:hAnsi="宋体"/>
          <w:szCs w:val="21"/>
        </w:rPr>
        <w:t xml:space="preserve">  位于南雄城北</w:t>
      </w:r>
      <w:r>
        <w:rPr>
          <w:rFonts w:ascii="宋体" w:hAnsi="宋体"/>
          <w:szCs w:val="21"/>
        </w:rPr>
        <w:t>6公里处的梅关古驿道上，全长1500多米。她是古代</w:t>
      </w:r>
      <w:r>
        <w:rPr>
          <w:rFonts w:hint="eastAsia" w:ascii="宋体" w:hAnsi="宋体"/>
          <w:szCs w:val="21"/>
        </w:rPr>
        <w:t>中原和江南通往嶺南驿道上的一个商业重镇，</w:t>
      </w:r>
      <w:r>
        <w:rPr>
          <w:rFonts w:ascii="宋体" w:hAnsi="宋体"/>
          <w:szCs w:val="21"/>
        </w:rPr>
        <w:t>100多姓南迁氏族发祥之地，岭南文化</w:t>
      </w:r>
      <w:r>
        <w:rPr>
          <w:rFonts w:hint="eastAsia" w:ascii="宋体" w:hAnsi="宋体"/>
          <w:szCs w:val="21"/>
        </w:rPr>
        <w:t>源头之一。改革开放以来，经</w:t>
      </w:r>
      <w:r>
        <w:rPr>
          <w:rFonts w:ascii="宋体" w:hAnsi="宋体"/>
          <w:szCs w:val="21"/>
        </w:rPr>
        <w:t>10多年的重建修葺，重现珠玑古巷千年历史文化，有</w:t>
      </w:r>
      <w:r>
        <w:rPr>
          <w:rFonts w:hint="eastAsia" w:ascii="宋体" w:hAnsi="宋体"/>
          <w:szCs w:val="21"/>
        </w:rPr>
        <w:t>唐宋祖居及先人南迁遗迹，有众多姓氏纪念馆，展现各姓氏宗族文化，成为海内外南迁后裔寻根拜祖、旅游观光胜地。千万南迁后裔在这里找到“根”之源流，瞻仰先祖艰苦创业奇迹，体验桑梓宗亲的温馨，观赏珠玑巷文化特有的风采，增进爱国爱乡情谊。</w:t>
      </w:r>
      <w:r>
        <w:rPr>
          <w:rFonts w:ascii="宋体" w:hAnsi="宋体"/>
          <w:szCs w:val="21"/>
        </w:rPr>
        <w:t>1995年被韶关市人民政府列为爱国主义教育基地。2005年6月，珠玑古巷被</w:t>
      </w:r>
      <w:r>
        <w:rPr>
          <w:rFonts w:hint="eastAsia" w:ascii="宋体" w:hAnsi="宋体"/>
          <w:szCs w:val="21"/>
        </w:rPr>
        <w:t>《中国地理》杂志社、《南方都市报》举办的“广东省最美的地方”评选活动中评为广东最美的街区。</w:t>
      </w:r>
    </w:p>
    <w:p w14:paraId="0FEC3A09">
      <w:pPr>
        <w:ind w:firstLine="422"/>
        <w:rPr>
          <w:rFonts w:ascii="宋体" w:hAnsi="宋体"/>
          <w:szCs w:val="21"/>
        </w:rPr>
      </w:pPr>
      <w:r>
        <w:rPr>
          <w:rFonts w:hint="eastAsia" w:ascii="宋体" w:hAnsi="宋体"/>
          <w:b/>
          <w:szCs w:val="21"/>
        </w:rPr>
        <w:t>梅关古道</w:t>
      </w:r>
      <w:r>
        <w:rPr>
          <w:rFonts w:hint="eastAsia" w:ascii="宋体" w:hAnsi="宋体"/>
          <w:szCs w:val="21"/>
        </w:rPr>
        <w:t xml:space="preserve">  位于南雄城北</w:t>
      </w:r>
      <w:r>
        <w:rPr>
          <w:rFonts w:ascii="宋体" w:hAnsi="宋体"/>
          <w:szCs w:val="21"/>
        </w:rPr>
        <w:t>28公里，是古代连接长江、珠江水系的陆路交通孔道，</w:t>
      </w:r>
      <w:r>
        <w:rPr>
          <w:rFonts w:hint="eastAsia" w:ascii="宋体" w:hAnsi="宋体"/>
          <w:szCs w:val="21"/>
        </w:rPr>
        <w:t>广东省重点文物保护单位。古道上有“南粤雄关”、“驿道寒梅”列为南雄十大景点。有秦汉时十万户侯梅鋗故城遗址，唐相张九龄开凿古道的蹄痕足印，宋关残楼、六祖禅宗，犹历历在目。古道旁重立了余靖、苏东坡、朱熹、文天祥、戚继光、何香凝、陈毅、陶铸等名人度岭题写的诗碑。每当寒冬，岭梅盛开，锁关夹道，漫山遍野，十里飘香，为岭南所罕见。</w:t>
      </w:r>
    </w:p>
    <w:p w14:paraId="09560F5A">
      <w:pPr>
        <w:ind w:firstLine="422"/>
        <w:rPr>
          <w:rFonts w:ascii="宋体" w:hAnsi="宋体"/>
          <w:szCs w:val="21"/>
        </w:rPr>
      </w:pPr>
      <w:r>
        <w:rPr>
          <w:rFonts w:hint="eastAsia" w:ascii="宋体" w:hAnsi="宋体"/>
          <w:b/>
          <w:szCs w:val="21"/>
        </w:rPr>
        <w:t>莲开净寺</w:t>
      </w:r>
      <w:r>
        <w:rPr>
          <w:rFonts w:hint="eastAsia" w:ascii="宋体" w:hAnsi="宋体"/>
          <w:szCs w:val="21"/>
        </w:rPr>
        <w:t xml:space="preserve">  坐落在南雄城南郊</w:t>
      </w:r>
      <w:r>
        <w:rPr>
          <w:rFonts w:ascii="宋体" w:hAnsi="宋体"/>
          <w:szCs w:val="21"/>
        </w:rPr>
        <w:t>1公里浈江河南岸。殿堂庄明精雅，环境优美清</w:t>
      </w:r>
      <w:r>
        <w:rPr>
          <w:rFonts w:hint="eastAsia" w:ascii="宋体" w:hAnsi="宋体"/>
          <w:szCs w:val="21"/>
        </w:rPr>
        <w:t>静，为岭南尼众学佛修身的最大寺院，也是游人到此悟禅养性、领略佛教文化的好地方。</w:t>
      </w:r>
    </w:p>
    <w:p w14:paraId="09A0B557">
      <w:pPr>
        <w:ind w:firstLine="422"/>
        <w:rPr>
          <w:rFonts w:ascii="宋体" w:hAnsi="宋体"/>
          <w:szCs w:val="21"/>
        </w:rPr>
      </w:pPr>
      <w:r>
        <w:rPr>
          <w:rFonts w:hint="eastAsia" w:ascii="宋体" w:hAnsi="宋体"/>
          <w:b/>
          <w:szCs w:val="21"/>
        </w:rPr>
        <w:t>翠屏钟鼓</w:t>
      </w:r>
      <w:r>
        <w:rPr>
          <w:rFonts w:hint="eastAsia" w:ascii="宋体" w:hAnsi="宋体"/>
          <w:szCs w:val="21"/>
        </w:rPr>
        <w:t xml:space="preserve">  钟鼓岩又称翠屏山，位于南雄城北</w:t>
      </w:r>
      <w:r>
        <w:rPr>
          <w:rFonts w:ascii="宋体" w:hAnsi="宋体"/>
          <w:szCs w:val="21"/>
        </w:rPr>
        <w:t>27公里处，国道323线旁，与梅</w:t>
      </w:r>
      <w:r>
        <w:rPr>
          <w:rFonts w:hint="eastAsia" w:ascii="宋体" w:hAnsi="宋体"/>
          <w:szCs w:val="21"/>
        </w:rPr>
        <w:t>关相望。山脚下有天然的石灰岩溶洞，一名钟岩，一名鼓岩。岩洞里外摩崖石刻</w:t>
      </w:r>
      <w:r>
        <w:rPr>
          <w:rFonts w:ascii="宋体" w:hAnsi="宋体"/>
          <w:szCs w:val="21"/>
        </w:rPr>
        <w:t>23</w:t>
      </w:r>
      <w:r>
        <w:rPr>
          <w:rFonts w:hint="eastAsia" w:ascii="宋体" w:hAnsi="宋体"/>
          <w:szCs w:val="21"/>
        </w:rPr>
        <w:t>处，琳琅满目。此处又是岭南道教圣地之一。相传东晋道学家葛洪曾到此采药炼丹。唐贞观六年建洞真观，有道人到此住持。此处还有</w:t>
      </w:r>
      <w:r>
        <w:rPr>
          <w:rFonts w:ascii="宋体" w:hAnsi="宋体"/>
          <w:szCs w:val="21"/>
        </w:rPr>
        <w:t>1937年8月陈毅与国民党代表谈</w:t>
      </w:r>
      <w:r>
        <w:rPr>
          <w:rFonts w:hint="eastAsia" w:ascii="宋体" w:hAnsi="宋体"/>
          <w:szCs w:val="21"/>
        </w:rPr>
        <w:t>判团结抗日旧址。</w:t>
      </w:r>
    </w:p>
    <w:p w14:paraId="08AAA465">
      <w:pPr>
        <w:ind w:firstLine="422"/>
        <w:rPr>
          <w:rFonts w:ascii="宋体" w:hAnsi="宋体"/>
          <w:szCs w:val="21"/>
        </w:rPr>
      </w:pPr>
      <w:r>
        <w:rPr>
          <w:rFonts w:hint="eastAsia" w:ascii="宋体" w:hAnsi="宋体"/>
          <w:b/>
          <w:szCs w:val="21"/>
        </w:rPr>
        <w:t>青嶂碧水</w:t>
      </w:r>
      <w:r>
        <w:rPr>
          <w:rFonts w:hint="eastAsia" w:ascii="宋体" w:hAnsi="宋体"/>
          <w:szCs w:val="21"/>
        </w:rPr>
        <w:t xml:space="preserve">  青嶂山在南雄城南，距市区</w:t>
      </w:r>
      <w:r>
        <w:rPr>
          <w:rFonts w:ascii="宋体" w:hAnsi="宋体"/>
          <w:szCs w:val="21"/>
        </w:rPr>
        <w:t>15公里。游客驱车可揽狮子岩、竹海、</w:t>
      </w:r>
      <w:r>
        <w:rPr>
          <w:rFonts w:hint="eastAsia" w:ascii="宋体" w:hAnsi="宋体"/>
          <w:szCs w:val="21"/>
        </w:rPr>
        <w:t>满山红等优美景色，攀登则可探天池之奇观。山下有硫黄温泉可泡，消除疲劳，保健强身。</w:t>
      </w:r>
    </w:p>
    <w:p w14:paraId="2737F203">
      <w:pPr>
        <w:ind w:firstLine="422"/>
        <w:rPr>
          <w:rFonts w:ascii="宋体" w:hAnsi="宋体"/>
          <w:szCs w:val="21"/>
        </w:rPr>
      </w:pPr>
      <w:r>
        <w:rPr>
          <w:rFonts w:hint="eastAsia" w:ascii="宋体" w:hAnsi="宋体"/>
          <w:b/>
          <w:szCs w:val="21"/>
        </w:rPr>
        <w:t>苍石奇谷</w:t>
      </w:r>
      <w:r>
        <w:rPr>
          <w:rFonts w:hint="eastAsia" w:ascii="宋体" w:hAnsi="宋体"/>
          <w:szCs w:val="21"/>
        </w:rPr>
        <w:t xml:space="preserve">  苍石寨位于市区西北</w:t>
      </w:r>
      <w:r>
        <w:rPr>
          <w:rFonts w:ascii="宋体" w:hAnsi="宋体"/>
          <w:szCs w:val="21"/>
        </w:rPr>
        <w:t>15公里，属丹霞地貌自然景区。全寨由9个形</w:t>
      </w:r>
      <w:r>
        <w:rPr>
          <w:rFonts w:hint="eastAsia" w:ascii="宋体" w:hAnsi="宋体"/>
          <w:szCs w:val="21"/>
        </w:rPr>
        <w:t>态各异的山峰组成，一条大峡谷贯穿于九峰之中。有幽美的情人谷，还有著名的“五龙瀑布”。</w:t>
      </w:r>
    </w:p>
    <w:p w14:paraId="2074B608">
      <w:pPr>
        <w:pStyle w:val="4"/>
        <w:rPr>
          <w:rFonts w:ascii="宋体" w:hAnsi="宋体"/>
        </w:rPr>
      </w:pPr>
      <w:r>
        <w:rPr>
          <w:rFonts w:hint="eastAsia" w:ascii="宋体" w:hAnsi="宋体"/>
        </w:rPr>
        <w:t>第四节  旅游业务</w:t>
      </w:r>
    </w:p>
    <w:p w14:paraId="0D363194">
      <w:pPr>
        <w:pStyle w:val="5"/>
        <w:rPr>
          <w:rFonts w:ascii="宋体" w:hAnsi="宋体"/>
        </w:rPr>
      </w:pPr>
      <w:r>
        <w:rPr>
          <w:rFonts w:hint="eastAsia" w:ascii="宋体" w:hAnsi="宋体"/>
        </w:rPr>
        <w:t>一、旅游线路</w:t>
      </w:r>
    </w:p>
    <w:p w14:paraId="740F2B64">
      <w:pPr>
        <w:ind w:firstLine="420"/>
        <w:rPr>
          <w:rFonts w:ascii="宋体" w:hAnsi="宋体"/>
          <w:szCs w:val="21"/>
        </w:rPr>
      </w:pPr>
      <w:r>
        <w:rPr>
          <w:rFonts w:hint="eastAsia" w:ascii="宋体" w:hAnsi="宋体"/>
          <w:szCs w:val="21"/>
        </w:rPr>
        <w:t>南雄旅游业，立足于南雄“四古”独特的旅游景区，着力拓揽港澳地区、珠江三角洲地区客源。</w:t>
      </w:r>
      <w:r>
        <w:rPr>
          <w:rFonts w:ascii="宋体" w:hAnsi="宋体"/>
          <w:szCs w:val="21"/>
        </w:rPr>
        <w:t>1995年在原开辟桂林、北京、华东五市、井冈山、庐山等旅游线</w:t>
      </w:r>
      <w:r>
        <w:rPr>
          <w:rFonts w:hint="eastAsia" w:ascii="宋体" w:hAnsi="宋体"/>
          <w:szCs w:val="21"/>
        </w:rPr>
        <w:t>路的基础上，又开辟了厦门、西双版纳、海南岛、西安、成都、重庆、长江三峡、黄果树瀑布、泰山等专线。</w:t>
      </w:r>
      <w:r>
        <w:rPr>
          <w:rFonts w:ascii="宋体" w:hAnsi="宋体"/>
          <w:szCs w:val="21"/>
        </w:rPr>
        <w:t>1998年至2003年，推出丹霞山一南华寺、南雄二日游，丹</w:t>
      </w:r>
      <w:r>
        <w:rPr>
          <w:rFonts w:hint="eastAsia" w:ascii="宋体" w:hAnsi="宋体"/>
          <w:szCs w:val="21"/>
        </w:rPr>
        <w:t>霞山—南雄—</w:t>
      </w:r>
      <w:r>
        <w:rPr>
          <w:rFonts w:ascii="宋体" w:hAnsi="宋体"/>
          <w:szCs w:val="21"/>
        </w:rPr>
        <w:t>赣州四日游。2004年12月又推出南雄红色专线一日游。1997年接待游</w:t>
      </w:r>
      <w:r>
        <w:rPr>
          <w:rFonts w:hint="eastAsia" w:ascii="宋体" w:hAnsi="宋体"/>
          <w:szCs w:val="21"/>
        </w:rPr>
        <w:t>客</w:t>
      </w:r>
      <w:r>
        <w:rPr>
          <w:rFonts w:ascii="宋体" w:hAnsi="宋体"/>
          <w:szCs w:val="21"/>
        </w:rPr>
        <w:t>5万多人次，旅游总收入300万元。2003年接待游客27万人次，旅游总收入达2900万元。2005年接待游客35万人次，旅游总收</w:t>
      </w:r>
      <w:r>
        <w:rPr>
          <w:rFonts w:hint="eastAsia" w:ascii="宋体" w:hAnsi="宋体"/>
          <w:szCs w:val="21"/>
        </w:rPr>
        <w:t>入</w:t>
      </w:r>
      <w:r>
        <w:rPr>
          <w:rFonts w:ascii="宋体" w:hAnsi="宋体"/>
          <w:szCs w:val="21"/>
        </w:rPr>
        <w:t>1.3亿元。旅游业成为南雄经济</w:t>
      </w:r>
      <w:r>
        <w:rPr>
          <w:rFonts w:hint="eastAsia" w:ascii="宋体" w:hAnsi="宋体"/>
          <w:szCs w:val="21"/>
        </w:rPr>
        <w:t>发展新的增长点。</w:t>
      </w:r>
    </w:p>
    <w:p w14:paraId="57497877">
      <w:pPr>
        <w:pStyle w:val="5"/>
        <w:rPr>
          <w:rFonts w:ascii="宋体" w:hAnsi="宋体"/>
        </w:rPr>
      </w:pPr>
      <w:r>
        <w:rPr>
          <w:rFonts w:hint="eastAsia" w:ascii="宋体" w:hAnsi="宋体"/>
        </w:rPr>
        <w:t>二、旅游服务业</w:t>
      </w:r>
    </w:p>
    <w:p w14:paraId="6AC50092">
      <w:pPr>
        <w:ind w:firstLine="420"/>
        <w:rPr>
          <w:rFonts w:ascii="宋体" w:hAnsi="宋体"/>
          <w:szCs w:val="21"/>
        </w:rPr>
      </w:pPr>
      <w:r>
        <w:rPr>
          <w:rFonts w:hint="eastAsia" w:ascii="宋体" w:hAnsi="宋体"/>
          <w:szCs w:val="21"/>
        </w:rPr>
        <w:t>围绕“食、住、行、游、购、娱”六要素，狠抓基础配套设施建设，提高旅业、餐饮业档次。</w:t>
      </w:r>
      <w:r>
        <w:rPr>
          <w:rFonts w:ascii="宋体" w:hAnsi="宋体"/>
          <w:szCs w:val="21"/>
        </w:rPr>
        <w:t>1996年投资100万元改建南雄迎宾馆，成为花园式的三星级宾馆</w:t>
      </w:r>
      <w:r>
        <w:rPr>
          <w:rFonts w:hint="eastAsia" w:ascii="宋体" w:hAnsi="宋体"/>
          <w:szCs w:val="21"/>
        </w:rPr>
        <w:t>。</w:t>
      </w:r>
      <w:r>
        <w:rPr>
          <w:rFonts w:ascii="宋体" w:hAnsi="宋体"/>
          <w:szCs w:val="21"/>
        </w:rPr>
        <w:t>2001年市政府引进外商投资3000万元，重新装修珠玑大酒店，成为涉外三星级酒</w:t>
      </w:r>
      <w:r>
        <w:rPr>
          <w:rFonts w:hint="eastAsia" w:ascii="宋体" w:hAnsi="宋体"/>
          <w:szCs w:val="21"/>
        </w:rPr>
        <w:t>店。</w:t>
      </w:r>
      <w:r>
        <w:rPr>
          <w:rFonts w:ascii="宋体" w:hAnsi="宋体"/>
          <w:szCs w:val="21"/>
        </w:rPr>
        <w:t>2004年三星级金雄鹰宾馆建成开业。此外，还有金友宾馆、永康楼、万宝楼</w:t>
      </w:r>
      <w:r>
        <w:rPr>
          <w:rFonts w:hint="eastAsia" w:ascii="宋体" w:hAnsi="宋体"/>
          <w:szCs w:val="21"/>
        </w:rPr>
        <w:t>、海天酒楼等</w:t>
      </w:r>
      <w:r>
        <w:rPr>
          <w:rFonts w:ascii="宋体" w:hAnsi="宋体"/>
          <w:szCs w:val="21"/>
        </w:rPr>
        <w:t>10多家较大型的餐旅业，拥有客房800多间，其中套房400多间，具有</w:t>
      </w:r>
      <w:r>
        <w:rPr>
          <w:rFonts w:hint="eastAsia" w:ascii="宋体" w:hAnsi="宋体"/>
          <w:szCs w:val="21"/>
        </w:rPr>
        <w:t>较高的旅游综合接待能力。</w:t>
      </w:r>
    </w:p>
    <w:p w14:paraId="26B04EBD">
      <w:pPr>
        <w:pStyle w:val="4"/>
        <w:rPr>
          <w:rFonts w:ascii="宋体" w:hAnsi="宋体"/>
        </w:rPr>
      </w:pPr>
      <w:r>
        <w:rPr>
          <w:rFonts w:hint="eastAsia" w:ascii="宋体" w:hAnsi="宋体"/>
        </w:rPr>
        <w:t>第五节  旅游效益</w:t>
      </w:r>
    </w:p>
    <w:p w14:paraId="75612944">
      <w:pPr>
        <w:ind w:firstLine="420"/>
        <w:rPr>
          <w:rFonts w:ascii="宋体" w:hAnsi="宋体"/>
          <w:szCs w:val="21"/>
        </w:rPr>
      </w:pPr>
      <w:r>
        <w:rPr>
          <w:rFonts w:hint="eastAsia" w:ascii="宋体" w:hAnsi="宋体"/>
          <w:szCs w:val="21"/>
        </w:rPr>
        <w:t>旅游业的发展，促进了南雄“食、住、行、购、娱”等相关产业的发展，拉动了南雄的人流、物流、信息流，带动了南雄经济的联动发展。据统计，</w:t>
      </w:r>
      <w:r>
        <w:rPr>
          <w:rFonts w:ascii="宋体" w:hAnsi="宋体"/>
          <w:szCs w:val="21"/>
        </w:rPr>
        <w:t>1998年至2005年，游客由10万人次增加到35万人次，旅游收入由600万元增加到1.3亿元，</w:t>
      </w:r>
      <w:r>
        <w:rPr>
          <w:rFonts w:hint="eastAsia" w:ascii="宋体" w:hAnsi="宋体"/>
          <w:szCs w:val="21"/>
        </w:rPr>
        <w:t>对比分别增长</w:t>
      </w:r>
      <w:r>
        <w:rPr>
          <w:rFonts w:ascii="宋体" w:hAnsi="宋体"/>
          <w:szCs w:val="21"/>
        </w:rPr>
        <w:t>2.5倍和20.6倍。</w:t>
      </w:r>
    </w:p>
    <w:p w14:paraId="535EB0CC">
      <w:pPr>
        <w:ind w:firstLine="0" w:firstLineChars="0"/>
        <w:jc w:val="center"/>
        <w:rPr>
          <w:rFonts w:ascii="宋体" w:hAnsi="宋体"/>
          <w:b/>
          <w:szCs w:val="21"/>
        </w:rPr>
      </w:pPr>
      <w:r>
        <w:rPr>
          <w:rFonts w:hint="eastAsia" w:ascii="宋体" w:hAnsi="宋体"/>
          <w:b/>
          <w:szCs w:val="21"/>
        </w:rPr>
        <w:t>南雄市旅游人次、旅游收入一览</w:t>
      </w:r>
    </w:p>
    <w:p w14:paraId="1BF10950">
      <w:pPr>
        <w:ind w:firstLine="0" w:firstLineChars="0"/>
        <w:rPr>
          <w:rFonts w:ascii="宋体" w:hAnsi="宋体"/>
          <w:b/>
          <w:szCs w:val="21"/>
        </w:rPr>
      </w:pPr>
      <w:r>
        <w:rPr>
          <w:rFonts w:hint="eastAsia" w:ascii="宋体" w:hAnsi="宋体"/>
          <w:b/>
          <w:szCs w:val="21"/>
        </w:rPr>
        <w:t>表</w:t>
      </w:r>
      <w:r>
        <w:rPr>
          <w:rFonts w:ascii="宋体" w:hAnsi="宋体"/>
          <w:b/>
          <w:szCs w:val="21"/>
        </w:rPr>
        <w:t>2-60</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43"/>
        <w:gridCol w:w="880"/>
        <w:gridCol w:w="880"/>
        <w:gridCol w:w="881"/>
        <w:gridCol w:w="881"/>
        <w:gridCol w:w="881"/>
        <w:gridCol w:w="881"/>
        <w:gridCol w:w="881"/>
        <w:gridCol w:w="881"/>
        <w:gridCol w:w="873"/>
      </w:tblGrid>
      <w:tr w14:paraId="591F77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6" w:type="pct"/>
            <w:vAlign w:val="center"/>
          </w:tcPr>
          <w:p w14:paraId="57A0FC0B">
            <w:pPr>
              <w:pStyle w:val="12"/>
              <w:jc w:val="center"/>
              <w:rPr>
                <w:rFonts w:ascii="宋体" w:hAnsi="宋体"/>
                <w:b/>
              </w:rPr>
            </w:pPr>
            <w:r>
              <w:rPr>
                <w:rFonts w:hint="eastAsia" w:ascii="宋体" w:hAnsi="宋体"/>
                <w:b/>
              </w:rPr>
              <w:t>年份</w:t>
            </w:r>
          </w:p>
        </w:tc>
        <w:tc>
          <w:tcPr>
            <w:tcW w:w="442" w:type="pct"/>
            <w:vAlign w:val="center"/>
          </w:tcPr>
          <w:p w14:paraId="22BB5C58">
            <w:pPr>
              <w:pStyle w:val="12"/>
              <w:jc w:val="center"/>
              <w:rPr>
                <w:rFonts w:ascii="宋体" w:hAnsi="宋体"/>
                <w:b/>
              </w:rPr>
            </w:pPr>
            <w:r>
              <w:rPr>
                <w:rFonts w:hint="eastAsia" w:ascii="宋体" w:hAnsi="宋体"/>
                <w:b/>
              </w:rPr>
              <w:t>1997</w:t>
            </w:r>
          </w:p>
        </w:tc>
        <w:tc>
          <w:tcPr>
            <w:tcW w:w="442" w:type="pct"/>
            <w:vAlign w:val="center"/>
          </w:tcPr>
          <w:p w14:paraId="736E804C">
            <w:pPr>
              <w:pStyle w:val="12"/>
              <w:jc w:val="center"/>
              <w:rPr>
                <w:rFonts w:ascii="宋体" w:hAnsi="宋体"/>
                <w:b/>
              </w:rPr>
            </w:pPr>
            <w:r>
              <w:rPr>
                <w:rFonts w:hint="eastAsia" w:ascii="宋体" w:hAnsi="宋体"/>
                <w:b/>
              </w:rPr>
              <w:t>1998</w:t>
            </w:r>
          </w:p>
        </w:tc>
        <w:tc>
          <w:tcPr>
            <w:tcW w:w="442" w:type="pct"/>
            <w:vAlign w:val="center"/>
          </w:tcPr>
          <w:p w14:paraId="7B223E13">
            <w:pPr>
              <w:pStyle w:val="12"/>
              <w:jc w:val="center"/>
              <w:rPr>
                <w:rFonts w:ascii="宋体" w:hAnsi="宋体"/>
                <w:b/>
              </w:rPr>
            </w:pPr>
            <w:r>
              <w:rPr>
                <w:rFonts w:hint="eastAsia" w:ascii="宋体" w:hAnsi="宋体"/>
                <w:b/>
              </w:rPr>
              <w:t>1999</w:t>
            </w:r>
          </w:p>
        </w:tc>
        <w:tc>
          <w:tcPr>
            <w:tcW w:w="442" w:type="pct"/>
            <w:vAlign w:val="center"/>
          </w:tcPr>
          <w:p w14:paraId="3CB504DD">
            <w:pPr>
              <w:pStyle w:val="12"/>
              <w:jc w:val="center"/>
              <w:rPr>
                <w:rFonts w:ascii="宋体" w:hAnsi="宋体"/>
                <w:b/>
              </w:rPr>
            </w:pPr>
            <w:r>
              <w:rPr>
                <w:rFonts w:hint="eastAsia" w:ascii="宋体" w:hAnsi="宋体"/>
                <w:b/>
              </w:rPr>
              <w:t>2000</w:t>
            </w:r>
          </w:p>
        </w:tc>
        <w:tc>
          <w:tcPr>
            <w:tcW w:w="442" w:type="pct"/>
            <w:vAlign w:val="center"/>
          </w:tcPr>
          <w:p w14:paraId="2729A15F">
            <w:pPr>
              <w:pStyle w:val="12"/>
              <w:jc w:val="center"/>
              <w:rPr>
                <w:rFonts w:ascii="宋体" w:hAnsi="宋体"/>
                <w:b/>
              </w:rPr>
            </w:pPr>
            <w:r>
              <w:rPr>
                <w:rFonts w:hint="eastAsia" w:ascii="宋体" w:hAnsi="宋体"/>
                <w:b/>
              </w:rPr>
              <w:t>2001</w:t>
            </w:r>
          </w:p>
        </w:tc>
        <w:tc>
          <w:tcPr>
            <w:tcW w:w="442" w:type="pct"/>
            <w:vAlign w:val="center"/>
          </w:tcPr>
          <w:p w14:paraId="096F91C6">
            <w:pPr>
              <w:pStyle w:val="12"/>
              <w:jc w:val="center"/>
              <w:rPr>
                <w:rFonts w:ascii="宋体" w:hAnsi="宋体"/>
                <w:b/>
              </w:rPr>
            </w:pPr>
            <w:r>
              <w:rPr>
                <w:rFonts w:hint="eastAsia" w:ascii="宋体" w:hAnsi="宋体"/>
                <w:b/>
              </w:rPr>
              <w:t>2002</w:t>
            </w:r>
          </w:p>
        </w:tc>
        <w:tc>
          <w:tcPr>
            <w:tcW w:w="442" w:type="pct"/>
            <w:vAlign w:val="center"/>
          </w:tcPr>
          <w:p w14:paraId="18A8C836">
            <w:pPr>
              <w:pStyle w:val="12"/>
              <w:jc w:val="center"/>
              <w:rPr>
                <w:rFonts w:ascii="宋体" w:hAnsi="宋体"/>
                <w:b/>
              </w:rPr>
            </w:pPr>
            <w:r>
              <w:rPr>
                <w:rFonts w:hint="eastAsia" w:ascii="宋体" w:hAnsi="宋体"/>
                <w:b/>
              </w:rPr>
              <w:t>2003</w:t>
            </w:r>
          </w:p>
        </w:tc>
        <w:tc>
          <w:tcPr>
            <w:tcW w:w="442" w:type="pct"/>
            <w:vAlign w:val="center"/>
          </w:tcPr>
          <w:p w14:paraId="39AB8DC1">
            <w:pPr>
              <w:pStyle w:val="12"/>
              <w:jc w:val="center"/>
              <w:rPr>
                <w:rFonts w:ascii="宋体" w:hAnsi="宋体"/>
                <w:b/>
              </w:rPr>
            </w:pPr>
            <w:r>
              <w:rPr>
                <w:rFonts w:hint="eastAsia" w:ascii="宋体" w:hAnsi="宋体"/>
                <w:b/>
              </w:rPr>
              <w:t>2004</w:t>
            </w:r>
          </w:p>
        </w:tc>
        <w:tc>
          <w:tcPr>
            <w:tcW w:w="442" w:type="pct"/>
            <w:vAlign w:val="center"/>
          </w:tcPr>
          <w:p w14:paraId="1FCC6726">
            <w:pPr>
              <w:pStyle w:val="12"/>
              <w:jc w:val="center"/>
              <w:rPr>
                <w:rFonts w:ascii="宋体" w:hAnsi="宋体"/>
                <w:b/>
              </w:rPr>
            </w:pPr>
            <w:r>
              <w:rPr>
                <w:rFonts w:hint="eastAsia" w:ascii="宋体" w:hAnsi="宋体"/>
                <w:b/>
              </w:rPr>
              <w:t>2005</w:t>
            </w:r>
          </w:p>
        </w:tc>
      </w:tr>
      <w:tr w14:paraId="79B554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6" w:type="pct"/>
            <w:vAlign w:val="center"/>
          </w:tcPr>
          <w:p w14:paraId="734C083B">
            <w:pPr>
              <w:pStyle w:val="12"/>
              <w:jc w:val="center"/>
              <w:rPr>
                <w:rFonts w:ascii="宋体" w:hAnsi="宋体"/>
              </w:rPr>
            </w:pPr>
            <w:r>
              <w:rPr>
                <w:rFonts w:hint="eastAsia" w:ascii="宋体" w:hAnsi="宋体"/>
              </w:rPr>
              <w:t>游客（万人次）</w:t>
            </w:r>
          </w:p>
        </w:tc>
        <w:tc>
          <w:tcPr>
            <w:tcW w:w="442" w:type="pct"/>
            <w:vAlign w:val="center"/>
          </w:tcPr>
          <w:p w14:paraId="5769DD0D">
            <w:pPr>
              <w:pStyle w:val="12"/>
              <w:jc w:val="center"/>
              <w:rPr>
                <w:rFonts w:ascii="宋体" w:hAnsi="宋体"/>
              </w:rPr>
            </w:pPr>
            <w:r>
              <w:rPr>
                <w:rFonts w:hint="eastAsia" w:ascii="宋体" w:hAnsi="宋体"/>
              </w:rPr>
              <w:t>5</w:t>
            </w:r>
          </w:p>
        </w:tc>
        <w:tc>
          <w:tcPr>
            <w:tcW w:w="442" w:type="pct"/>
            <w:vAlign w:val="center"/>
          </w:tcPr>
          <w:p w14:paraId="72D702C9">
            <w:pPr>
              <w:pStyle w:val="12"/>
              <w:jc w:val="center"/>
              <w:rPr>
                <w:rFonts w:ascii="宋体" w:hAnsi="宋体"/>
              </w:rPr>
            </w:pPr>
            <w:r>
              <w:rPr>
                <w:rFonts w:hint="eastAsia" w:ascii="宋体" w:hAnsi="宋体"/>
              </w:rPr>
              <w:t>10</w:t>
            </w:r>
          </w:p>
        </w:tc>
        <w:tc>
          <w:tcPr>
            <w:tcW w:w="442" w:type="pct"/>
            <w:vAlign w:val="center"/>
          </w:tcPr>
          <w:p w14:paraId="63D31611">
            <w:pPr>
              <w:pStyle w:val="12"/>
              <w:jc w:val="center"/>
              <w:rPr>
                <w:rFonts w:ascii="宋体" w:hAnsi="宋体"/>
              </w:rPr>
            </w:pPr>
            <w:r>
              <w:rPr>
                <w:rFonts w:hint="eastAsia" w:ascii="宋体" w:hAnsi="宋体"/>
              </w:rPr>
              <w:t>13</w:t>
            </w:r>
          </w:p>
        </w:tc>
        <w:tc>
          <w:tcPr>
            <w:tcW w:w="442" w:type="pct"/>
            <w:vAlign w:val="center"/>
          </w:tcPr>
          <w:p w14:paraId="5F3A598A">
            <w:pPr>
              <w:pStyle w:val="12"/>
              <w:jc w:val="center"/>
              <w:rPr>
                <w:rFonts w:ascii="宋体" w:hAnsi="宋体"/>
              </w:rPr>
            </w:pPr>
            <w:r>
              <w:rPr>
                <w:rFonts w:hint="eastAsia" w:ascii="宋体" w:hAnsi="宋体"/>
              </w:rPr>
              <w:t>15</w:t>
            </w:r>
          </w:p>
        </w:tc>
        <w:tc>
          <w:tcPr>
            <w:tcW w:w="442" w:type="pct"/>
            <w:vAlign w:val="center"/>
          </w:tcPr>
          <w:p w14:paraId="52EEF965">
            <w:pPr>
              <w:pStyle w:val="12"/>
              <w:jc w:val="center"/>
              <w:rPr>
                <w:rFonts w:ascii="宋体" w:hAnsi="宋体"/>
              </w:rPr>
            </w:pPr>
            <w:r>
              <w:rPr>
                <w:rFonts w:hint="eastAsia" w:ascii="宋体" w:hAnsi="宋体"/>
              </w:rPr>
              <w:t>17</w:t>
            </w:r>
          </w:p>
        </w:tc>
        <w:tc>
          <w:tcPr>
            <w:tcW w:w="442" w:type="pct"/>
            <w:vAlign w:val="center"/>
          </w:tcPr>
          <w:p w14:paraId="09594F27">
            <w:pPr>
              <w:pStyle w:val="12"/>
              <w:jc w:val="center"/>
              <w:rPr>
                <w:rFonts w:ascii="宋体" w:hAnsi="宋体"/>
              </w:rPr>
            </w:pPr>
            <w:r>
              <w:rPr>
                <w:rFonts w:hint="eastAsia" w:ascii="宋体" w:hAnsi="宋体"/>
              </w:rPr>
              <w:t>22</w:t>
            </w:r>
          </w:p>
        </w:tc>
        <w:tc>
          <w:tcPr>
            <w:tcW w:w="442" w:type="pct"/>
            <w:vAlign w:val="center"/>
          </w:tcPr>
          <w:p w14:paraId="1E3AE069">
            <w:pPr>
              <w:pStyle w:val="12"/>
              <w:jc w:val="center"/>
              <w:rPr>
                <w:rFonts w:ascii="宋体" w:hAnsi="宋体"/>
              </w:rPr>
            </w:pPr>
            <w:r>
              <w:rPr>
                <w:rFonts w:hint="eastAsia" w:ascii="宋体" w:hAnsi="宋体"/>
              </w:rPr>
              <w:t>27</w:t>
            </w:r>
          </w:p>
        </w:tc>
        <w:tc>
          <w:tcPr>
            <w:tcW w:w="442" w:type="pct"/>
            <w:vAlign w:val="center"/>
          </w:tcPr>
          <w:p w14:paraId="05BB97C8">
            <w:pPr>
              <w:pStyle w:val="12"/>
              <w:jc w:val="center"/>
              <w:rPr>
                <w:rFonts w:ascii="宋体" w:hAnsi="宋体"/>
              </w:rPr>
            </w:pPr>
            <w:r>
              <w:rPr>
                <w:rFonts w:hint="eastAsia" w:ascii="宋体" w:hAnsi="宋体"/>
              </w:rPr>
              <w:t>28</w:t>
            </w:r>
          </w:p>
        </w:tc>
        <w:tc>
          <w:tcPr>
            <w:tcW w:w="442" w:type="pct"/>
            <w:vAlign w:val="center"/>
          </w:tcPr>
          <w:p w14:paraId="4FA1EB82">
            <w:pPr>
              <w:pStyle w:val="12"/>
              <w:jc w:val="center"/>
              <w:rPr>
                <w:rFonts w:ascii="宋体" w:hAnsi="宋体"/>
              </w:rPr>
            </w:pPr>
            <w:r>
              <w:rPr>
                <w:rFonts w:hint="eastAsia" w:ascii="宋体" w:hAnsi="宋体"/>
              </w:rPr>
              <w:t>35</w:t>
            </w:r>
          </w:p>
        </w:tc>
      </w:tr>
      <w:tr w14:paraId="2FA6520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6" w:type="pct"/>
            <w:vAlign w:val="center"/>
          </w:tcPr>
          <w:p w14:paraId="160F2FB1">
            <w:pPr>
              <w:pStyle w:val="12"/>
              <w:jc w:val="center"/>
              <w:rPr>
                <w:rFonts w:ascii="宋体" w:hAnsi="宋体"/>
              </w:rPr>
            </w:pPr>
            <w:r>
              <w:rPr>
                <w:rFonts w:hint="eastAsia" w:ascii="宋体" w:hAnsi="宋体"/>
              </w:rPr>
              <w:t>比上年增长（%）</w:t>
            </w:r>
          </w:p>
        </w:tc>
        <w:tc>
          <w:tcPr>
            <w:tcW w:w="442" w:type="pct"/>
            <w:vAlign w:val="center"/>
          </w:tcPr>
          <w:p w14:paraId="757434D4">
            <w:pPr>
              <w:pStyle w:val="12"/>
              <w:jc w:val="center"/>
              <w:rPr>
                <w:rFonts w:ascii="宋体" w:hAnsi="宋体"/>
              </w:rPr>
            </w:pPr>
            <w:r>
              <w:rPr>
                <w:rFonts w:hint="eastAsia" w:ascii="宋体" w:hAnsi="宋体"/>
              </w:rPr>
              <w:t>—</w:t>
            </w:r>
          </w:p>
        </w:tc>
        <w:tc>
          <w:tcPr>
            <w:tcW w:w="442" w:type="pct"/>
            <w:vAlign w:val="center"/>
          </w:tcPr>
          <w:p w14:paraId="509DDDA7">
            <w:pPr>
              <w:pStyle w:val="12"/>
              <w:jc w:val="center"/>
              <w:rPr>
                <w:rFonts w:ascii="宋体" w:hAnsi="宋体"/>
              </w:rPr>
            </w:pPr>
            <w:r>
              <w:rPr>
                <w:rFonts w:hint="eastAsia" w:ascii="宋体" w:hAnsi="宋体"/>
              </w:rPr>
              <w:t>100</w:t>
            </w:r>
          </w:p>
        </w:tc>
        <w:tc>
          <w:tcPr>
            <w:tcW w:w="442" w:type="pct"/>
            <w:vAlign w:val="center"/>
          </w:tcPr>
          <w:p w14:paraId="2AEA0703">
            <w:pPr>
              <w:pStyle w:val="12"/>
              <w:jc w:val="center"/>
              <w:rPr>
                <w:rFonts w:ascii="宋体" w:hAnsi="宋体"/>
              </w:rPr>
            </w:pPr>
            <w:r>
              <w:rPr>
                <w:rFonts w:hint="eastAsia" w:ascii="宋体" w:hAnsi="宋体"/>
              </w:rPr>
              <w:t>30</w:t>
            </w:r>
          </w:p>
        </w:tc>
        <w:tc>
          <w:tcPr>
            <w:tcW w:w="442" w:type="pct"/>
            <w:vAlign w:val="center"/>
          </w:tcPr>
          <w:p w14:paraId="5B69F804">
            <w:pPr>
              <w:pStyle w:val="12"/>
              <w:jc w:val="center"/>
              <w:rPr>
                <w:rFonts w:ascii="宋体" w:hAnsi="宋体"/>
              </w:rPr>
            </w:pPr>
            <w:r>
              <w:rPr>
                <w:rFonts w:hint="eastAsia" w:ascii="宋体" w:hAnsi="宋体"/>
              </w:rPr>
              <w:t>15.38</w:t>
            </w:r>
          </w:p>
        </w:tc>
        <w:tc>
          <w:tcPr>
            <w:tcW w:w="442" w:type="pct"/>
            <w:vAlign w:val="center"/>
          </w:tcPr>
          <w:p w14:paraId="1F628E13">
            <w:pPr>
              <w:pStyle w:val="12"/>
              <w:jc w:val="center"/>
              <w:rPr>
                <w:rFonts w:ascii="宋体" w:hAnsi="宋体"/>
              </w:rPr>
            </w:pPr>
            <w:r>
              <w:rPr>
                <w:rFonts w:hint="eastAsia" w:ascii="宋体" w:hAnsi="宋体"/>
              </w:rPr>
              <w:t>13.33</w:t>
            </w:r>
          </w:p>
        </w:tc>
        <w:tc>
          <w:tcPr>
            <w:tcW w:w="442" w:type="pct"/>
            <w:vAlign w:val="center"/>
          </w:tcPr>
          <w:p w14:paraId="5DE4163F">
            <w:pPr>
              <w:pStyle w:val="12"/>
              <w:jc w:val="center"/>
              <w:rPr>
                <w:rFonts w:ascii="宋体" w:hAnsi="宋体"/>
              </w:rPr>
            </w:pPr>
            <w:r>
              <w:rPr>
                <w:rFonts w:hint="eastAsia" w:ascii="宋体" w:hAnsi="宋体"/>
              </w:rPr>
              <w:t>29.42</w:t>
            </w:r>
          </w:p>
        </w:tc>
        <w:tc>
          <w:tcPr>
            <w:tcW w:w="442" w:type="pct"/>
            <w:vAlign w:val="center"/>
          </w:tcPr>
          <w:p w14:paraId="73EF7BA1">
            <w:pPr>
              <w:pStyle w:val="12"/>
              <w:jc w:val="center"/>
              <w:rPr>
                <w:rFonts w:ascii="宋体" w:hAnsi="宋体"/>
              </w:rPr>
            </w:pPr>
            <w:r>
              <w:rPr>
                <w:rFonts w:hint="eastAsia" w:ascii="宋体" w:hAnsi="宋体"/>
              </w:rPr>
              <w:t>22.7</w:t>
            </w:r>
          </w:p>
        </w:tc>
        <w:tc>
          <w:tcPr>
            <w:tcW w:w="442" w:type="pct"/>
            <w:vAlign w:val="center"/>
          </w:tcPr>
          <w:p w14:paraId="4C9BD1E1">
            <w:pPr>
              <w:pStyle w:val="12"/>
              <w:jc w:val="center"/>
              <w:rPr>
                <w:rFonts w:ascii="宋体" w:hAnsi="宋体"/>
              </w:rPr>
            </w:pPr>
            <w:r>
              <w:rPr>
                <w:rFonts w:hint="eastAsia" w:ascii="宋体" w:hAnsi="宋体"/>
              </w:rPr>
              <w:t>3.7</w:t>
            </w:r>
          </w:p>
        </w:tc>
        <w:tc>
          <w:tcPr>
            <w:tcW w:w="442" w:type="pct"/>
            <w:vAlign w:val="center"/>
          </w:tcPr>
          <w:p w14:paraId="72F321FB">
            <w:pPr>
              <w:pStyle w:val="12"/>
              <w:jc w:val="center"/>
              <w:rPr>
                <w:rFonts w:ascii="宋体" w:hAnsi="宋体"/>
              </w:rPr>
            </w:pPr>
            <w:r>
              <w:rPr>
                <w:rFonts w:hint="eastAsia" w:ascii="宋体" w:hAnsi="宋体"/>
              </w:rPr>
              <w:t>25</w:t>
            </w:r>
          </w:p>
        </w:tc>
      </w:tr>
      <w:tr w14:paraId="5A3D83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6" w:type="pct"/>
            <w:vAlign w:val="center"/>
          </w:tcPr>
          <w:p w14:paraId="4FB82014">
            <w:pPr>
              <w:pStyle w:val="12"/>
              <w:jc w:val="center"/>
              <w:rPr>
                <w:rFonts w:ascii="宋体" w:hAnsi="宋体"/>
              </w:rPr>
            </w:pPr>
            <w:r>
              <w:rPr>
                <w:rFonts w:hint="eastAsia" w:ascii="宋体" w:hAnsi="宋体"/>
              </w:rPr>
              <w:t>旅游总收入（万元）</w:t>
            </w:r>
          </w:p>
        </w:tc>
        <w:tc>
          <w:tcPr>
            <w:tcW w:w="442" w:type="pct"/>
            <w:vAlign w:val="center"/>
          </w:tcPr>
          <w:p w14:paraId="2EF1021A">
            <w:pPr>
              <w:pStyle w:val="12"/>
              <w:jc w:val="center"/>
              <w:rPr>
                <w:rFonts w:ascii="宋体" w:hAnsi="宋体"/>
              </w:rPr>
            </w:pPr>
            <w:r>
              <w:rPr>
                <w:rFonts w:hint="eastAsia" w:ascii="宋体" w:hAnsi="宋体"/>
              </w:rPr>
              <w:t>300</w:t>
            </w:r>
          </w:p>
        </w:tc>
        <w:tc>
          <w:tcPr>
            <w:tcW w:w="442" w:type="pct"/>
            <w:vAlign w:val="center"/>
          </w:tcPr>
          <w:p w14:paraId="779E18F9">
            <w:pPr>
              <w:pStyle w:val="12"/>
              <w:jc w:val="center"/>
              <w:rPr>
                <w:rFonts w:ascii="宋体" w:hAnsi="宋体"/>
              </w:rPr>
            </w:pPr>
            <w:r>
              <w:rPr>
                <w:rFonts w:hint="eastAsia" w:ascii="宋体" w:hAnsi="宋体"/>
              </w:rPr>
              <w:t>600</w:t>
            </w:r>
          </w:p>
        </w:tc>
        <w:tc>
          <w:tcPr>
            <w:tcW w:w="442" w:type="pct"/>
            <w:vAlign w:val="center"/>
          </w:tcPr>
          <w:p w14:paraId="42C53434">
            <w:pPr>
              <w:pStyle w:val="12"/>
              <w:jc w:val="center"/>
              <w:rPr>
                <w:rFonts w:ascii="宋体" w:hAnsi="宋体"/>
              </w:rPr>
            </w:pPr>
            <w:r>
              <w:rPr>
                <w:rFonts w:hint="eastAsia" w:ascii="宋体" w:hAnsi="宋体"/>
              </w:rPr>
              <w:t>800</w:t>
            </w:r>
          </w:p>
        </w:tc>
        <w:tc>
          <w:tcPr>
            <w:tcW w:w="442" w:type="pct"/>
            <w:vAlign w:val="center"/>
          </w:tcPr>
          <w:p w14:paraId="5A3DBB19">
            <w:pPr>
              <w:pStyle w:val="12"/>
              <w:jc w:val="center"/>
              <w:rPr>
                <w:rFonts w:ascii="宋体" w:hAnsi="宋体"/>
              </w:rPr>
            </w:pPr>
            <w:r>
              <w:rPr>
                <w:rFonts w:hint="eastAsia" w:ascii="宋体" w:hAnsi="宋体"/>
              </w:rPr>
              <w:t>1000</w:t>
            </w:r>
          </w:p>
        </w:tc>
        <w:tc>
          <w:tcPr>
            <w:tcW w:w="442" w:type="pct"/>
            <w:vAlign w:val="center"/>
          </w:tcPr>
          <w:p w14:paraId="78EB907D">
            <w:pPr>
              <w:pStyle w:val="12"/>
              <w:jc w:val="center"/>
              <w:rPr>
                <w:rFonts w:ascii="宋体" w:hAnsi="宋体"/>
              </w:rPr>
            </w:pPr>
            <w:r>
              <w:rPr>
                <w:rFonts w:hint="eastAsia" w:ascii="宋体" w:hAnsi="宋体"/>
              </w:rPr>
              <w:t>1300</w:t>
            </w:r>
          </w:p>
        </w:tc>
        <w:tc>
          <w:tcPr>
            <w:tcW w:w="442" w:type="pct"/>
            <w:vAlign w:val="center"/>
          </w:tcPr>
          <w:p w14:paraId="51BE62B6">
            <w:pPr>
              <w:pStyle w:val="12"/>
              <w:jc w:val="center"/>
              <w:rPr>
                <w:rFonts w:ascii="宋体" w:hAnsi="宋体"/>
              </w:rPr>
            </w:pPr>
            <w:r>
              <w:rPr>
                <w:rFonts w:hint="eastAsia" w:ascii="宋体" w:hAnsi="宋体"/>
              </w:rPr>
              <w:t>2400</w:t>
            </w:r>
          </w:p>
        </w:tc>
        <w:tc>
          <w:tcPr>
            <w:tcW w:w="442" w:type="pct"/>
            <w:vAlign w:val="center"/>
          </w:tcPr>
          <w:p w14:paraId="2889F546">
            <w:pPr>
              <w:pStyle w:val="12"/>
              <w:jc w:val="center"/>
              <w:rPr>
                <w:rFonts w:ascii="宋体" w:hAnsi="宋体"/>
              </w:rPr>
            </w:pPr>
            <w:r>
              <w:rPr>
                <w:rFonts w:hint="eastAsia" w:ascii="宋体" w:hAnsi="宋体"/>
              </w:rPr>
              <w:t>2900</w:t>
            </w:r>
          </w:p>
        </w:tc>
        <w:tc>
          <w:tcPr>
            <w:tcW w:w="442" w:type="pct"/>
            <w:vAlign w:val="center"/>
          </w:tcPr>
          <w:p w14:paraId="12119C20">
            <w:pPr>
              <w:pStyle w:val="12"/>
              <w:jc w:val="center"/>
              <w:rPr>
                <w:rFonts w:ascii="宋体" w:hAnsi="宋体"/>
              </w:rPr>
            </w:pPr>
            <w:r>
              <w:rPr>
                <w:rFonts w:hint="eastAsia" w:ascii="宋体" w:hAnsi="宋体"/>
              </w:rPr>
              <w:t>8400</w:t>
            </w:r>
          </w:p>
        </w:tc>
        <w:tc>
          <w:tcPr>
            <w:tcW w:w="442" w:type="pct"/>
            <w:vAlign w:val="center"/>
          </w:tcPr>
          <w:p w14:paraId="5FA4FF95">
            <w:pPr>
              <w:pStyle w:val="12"/>
              <w:jc w:val="center"/>
              <w:rPr>
                <w:rFonts w:ascii="宋体" w:hAnsi="宋体"/>
              </w:rPr>
            </w:pPr>
            <w:r>
              <w:rPr>
                <w:rFonts w:hint="eastAsia" w:ascii="宋体" w:hAnsi="宋体"/>
              </w:rPr>
              <w:t>13000</w:t>
            </w:r>
          </w:p>
        </w:tc>
      </w:tr>
      <w:tr w14:paraId="5C4B1F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6" w:type="pct"/>
            <w:vAlign w:val="center"/>
          </w:tcPr>
          <w:p w14:paraId="0AB61CAE">
            <w:pPr>
              <w:pStyle w:val="12"/>
              <w:jc w:val="center"/>
              <w:rPr>
                <w:rFonts w:ascii="宋体" w:hAnsi="宋体"/>
              </w:rPr>
            </w:pPr>
            <w:r>
              <w:rPr>
                <w:rFonts w:hint="eastAsia" w:ascii="宋体" w:hAnsi="宋体"/>
              </w:rPr>
              <w:t>比上年增长（%）</w:t>
            </w:r>
          </w:p>
        </w:tc>
        <w:tc>
          <w:tcPr>
            <w:tcW w:w="442" w:type="pct"/>
            <w:vAlign w:val="center"/>
          </w:tcPr>
          <w:p w14:paraId="5F059E23">
            <w:pPr>
              <w:pStyle w:val="12"/>
              <w:jc w:val="center"/>
              <w:rPr>
                <w:rFonts w:ascii="宋体" w:hAnsi="宋体"/>
              </w:rPr>
            </w:pPr>
            <w:r>
              <w:rPr>
                <w:rFonts w:hint="eastAsia" w:ascii="宋体" w:hAnsi="宋体"/>
              </w:rPr>
              <w:t>—</w:t>
            </w:r>
          </w:p>
        </w:tc>
        <w:tc>
          <w:tcPr>
            <w:tcW w:w="442" w:type="pct"/>
            <w:vAlign w:val="center"/>
          </w:tcPr>
          <w:p w14:paraId="0B4CB239">
            <w:pPr>
              <w:pStyle w:val="12"/>
              <w:jc w:val="center"/>
              <w:rPr>
                <w:rFonts w:ascii="宋体" w:hAnsi="宋体"/>
              </w:rPr>
            </w:pPr>
            <w:r>
              <w:rPr>
                <w:rFonts w:hint="eastAsia" w:ascii="宋体" w:hAnsi="宋体"/>
              </w:rPr>
              <w:t>100</w:t>
            </w:r>
          </w:p>
        </w:tc>
        <w:tc>
          <w:tcPr>
            <w:tcW w:w="442" w:type="pct"/>
            <w:vAlign w:val="center"/>
          </w:tcPr>
          <w:p w14:paraId="25CD0DCD">
            <w:pPr>
              <w:pStyle w:val="12"/>
              <w:jc w:val="center"/>
              <w:rPr>
                <w:rFonts w:ascii="宋体" w:hAnsi="宋体"/>
              </w:rPr>
            </w:pPr>
            <w:r>
              <w:rPr>
                <w:rFonts w:hint="eastAsia" w:ascii="宋体" w:hAnsi="宋体"/>
              </w:rPr>
              <w:t>33.33</w:t>
            </w:r>
          </w:p>
        </w:tc>
        <w:tc>
          <w:tcPr>
            <w:tcW w:w="442" w:type="pct"/>
            <w:vAlign w:val="center"/>
          </w:tcPr>
          <w:p w14:paraId="2FC1C2C3">
            <w:pPr>
              <w:pStyle w:val="12"/>
              <w:jc w:val="center"/>
              <w:rPr>
                <w:rFonts w:ascii="宋体" w:hAnsi="宋体"/>
              </w:rPr>
            </w:pPr>
            <w:r>
              <w:rPr>
                <w:rFonts w:hint="eastAsia" w:ascii="宋体" w:hAnsi="宋体"/>
              </w:rPr>
              <w:t>25.00</w:t>
            </w:r>
          </w:p>
        </w:tc>
        <w:tc>
          <w:tcPr>
            <w:tcW w:w="442" w:type="pct"/>
            <w:vAlign w:val="center"/>
          </w:tcPr>
          <w:p w14:paraId="10968A04">
            <w:pPr>
              <w:pStyle w:val="12"/>
              <w:jc w:val="center"/>
              <w:rPr>
                <w:rFonts w:ascii="宋体" w:hAnsi="宋体"/>
              </w:rPr>
            </w:pPr>
            <w:r>
              <w:rPr>
                <w:rFonts w:hint="eastAsia" w:ascii="宋体" w:hAnsi="宋体"/>
              </w:rPr>
              <w:t>30.00</w:t>
            </w:r>
          </w:p>
        </w:tc>
        <w:tc>
          <w:tcPr>
            <w:tcW w:w="442" w:type="pct"/>
            <w:vAlign w:val="center"/>
          </w:tcPr>
          <w:p w14:paraId="4C8AE8C4">
            <w:pPr>
              <w:pStyle w:val="12"/>
              <w:jc w:val="center"/>
              <w:rPr>
                <w:rFonts w:ascii="宋体" w:hAnsi="宋体"/>
              </w:rPr>
            </w:pPr>
            <w:r>
              <w:rPr>
                <w:rFonts w:hint="eastAsia" w:ascii="宋体" w:hAnsi="宋体"/>
              </w:rPr>
              <w:t>84.46</w:t>
            </w:r>
          </w:p>
        </w:tc>
        <w:tc>
          <w:tcPr>
            <w:tcW w:w="442" w:type="pct"/>
            <w:vAlign w:val="center"/>
          </w:tcPr>
          <w:p w14:paraId="1B89FB18">
            <w:pPr>
              <w:pStyle w:val="12"/>
              <w:jc w:val="center"/>
              <w:rPr>
                <w:rFonts w:ascii="宋体" w:hAnsi="宋体"/>
              </w:rPr>
            </w:pPr>
            <w:r>
              <w:rPr>
                <w:rFonts w:hint="eastAsia" w:ascii="宋体" w:hAnsi="宋体"/>
              </w:rPr>
              <w:t>20.80</w:t>
            </w:r>
          </w:p>
        </w:tc>
        <w:tc>
          <w:tcPr>
            <w:tcW w:w="442" w:type="pct"/>
            <w:vAlign w:val="center"/>
          </w:tcPr>
          <w:p w14:paraId="40748E86">
            <w:pPr>
              <w:pStyle w:val="12"/>
              <w:jc w:val="center"/>
              <w:rPr>
                <w:rFonts w:ascii="宋体" w:hAnsi="宋体"/>
              </w:rPr>
            </w:pPr>
            <w:r>
              <w:rPr>
                <w:rFonts w:hint="eastAsia" w:ascii="宋体" w:hAnsi="宋体"/>
              </w:rPr>
              <w:t>189.6</w:t>
            </w:r>
          </w:p>
        </w:tc>
        <w:tc>
          <w:tcPr>
            <w:tcW w:w="442" w:type="pct"/>
            <w:vAlign w:val="center"/>
          </w:tcPr>
          <w:p w14:paraId="5385A038">
            <w:pPr>
              <w:pStyle w:val="12"/>
              <w:jc w:val="center"/>
              <w:rPr>
                <w:rFonts w:ascii="宋体" w:hAnsi="宋体"/>
              </w:rPr>
            </w:pPr>
            <w:r>
              <w:rPr>
                <w:rFonts w:hint="eastAsia" w:ascii="宋体" w:hAnsi="宋体"/>
              </w:rPr>
              <w:t>54.8</w:t>
            </w:r>
          </w:p>
        </w:tc>
      </w:tr>
    </w:tbl>
    <w:p w14:paraId="20EE0CEC">
      <w:pPr>
        <w:pStyle w:val="3"/>
        <w:rPr>
          <w:rFonts w:ascii="宋体" w:hAnsi="宋体"/>
        </w:rPr>
      </w:pPr>
      <w:r>
        <w:rPr>
          <w:rFonts w:hint="eastAsia" w:ascii="宋体" w:hAnsi="宋体"/>
        </w:rPr>
        <w:t>第十七  章统计</w:t>
      </w:r>
    </w:p>
    <w:p w14:paraId="392F4F38">
      <w:pPr>
        <w:pStyle w:val="4"/>
        <w:rPr>
          <w:rFonts w:ascii="宋体" w:hAnsi="宋体"/>
        </w:rPr>
      </w:pPr>
      <w:r>
        <w:rPr>
          <w:rFonts w:hint="eastAsia" w:ascii="宋体" w:hAnsi="宋体"/>
        </w:rPr>
        <w:t>第一节  机构和信息化建设</w:t>
      </w:r>
    </w:p>
    <w:p w14:paraId="66BA07B3">
      <w:pPr>
        <w:ind w:firstLine="420"/>
        <w:rPr>
          <w:rFonts w:ascii="宋体" w:hAnsi="宋体"/>
          <w:szCs w:val="21"/>
        </w:rPr>
      </w:pPr>
      <w:r>
        <w:rPr>
          <w:rFonts w:ascii="宋体" w:hAnsi="宋体"/>
          <w:szCs w:val="21"/>
        </w:rPr>
        <w:t>1954年设立县计划统计科。1955年11月，改计划统计科为计划委员会，内设统</w:t>
      </w:r>
      <w:r>
        <w:rPr>
          <w:rFonts w:hint="eastAsia" w:ascii="宋体" w:hAnsi="宋体"/>
          <w:szCs w:val="21"/>
        </w:rPr>
        <w:t>计组。</w:t>
      </w:r>
      <w:r>
        <w:rPr>
          <w:rFonts w:ascii="宋体" w:hAnsi="宋体"/>
          <w:szCs w:val="21"/>
        </w:rPr>
        <w:t>1962年将统计业务从计划委员会划出成立统计局。统计计算技术和数据传输</w:t>
      </w:r>
      <w:r>
        <w:rPr>
          <w:rFonts w:hint="eastAsia" w:ascii="宋体" w:hAnsi="宋体"/>
          <w:szCs w:val="21"/>
        </w:rPr>
        <w:t>技术逐步实现现代化。从</w:t>
      </w:r>
      <w:r>
        <w:rPr>
          <w:rFonts w:ascii="宋体" w:hAnsi="宋体"/>
          <w:szCs w:val="21"/>
        </w:rPr>
        <w:t>1987年配备第一台计算机开始，至2004年底，统计局已拥</w:t>
      </w:r>
      <w:r>
        <w:rPr>
          <w:rFonts w:hint="eastAsia" w:ascii="宋体" w:hAnsi="宋体"/>
          <w:szCs w:val="21"/>
        </w:rPr>
        <w:t>有电脑</w:t>
      </w:r>
      <w:r>
        <w:rPr>
          <w:rFonts w:ascii="宋体" w:hAnsi="宋体"/>
          <w:szCs w:val="21"/>
        </w:rPr>
        <w:t>19台，网络服务器1台、传真机3台、激光打印机5台、复印机1台、速印</w:t>
      </w:r>
      <w:r>
        <w:rPr>
          <w:rFonts w:hint="eastAsia" w:ascii="宋体" w:hAnsi="宋体"/>
          <w:szCs w:val="21"/>
        </w:rPr>
        <w:t>机</w:t>
      </w:r>
      <w:r>
        <w:rPr>
          <w:rFonts w:ascii="宋体" w:hAnsi="宋体"/>
          <w:szCs w:val="21"/>
        </w:rPr>
        <w:t>1台，建设了局域网和南雄统计网站，实现了国家、省、市、县四级统计内网的互</w:t>
      </w:r>
      <w:r>
        <w:rPr>
          <w:rFonts w:hint="eastAsia" w:ascii="宋体" w:hAnsi="宋体"/>
          <w:szCs w:val="21"/>
        </w:rPr>
        <w:t>联互通，统计站有数据网络传输、重点企业的统计数据实现网上直报。</w:t>
      </w:r>
    </w:p>
    <w:p w14:paraId="7631FF0D">
      <w:pPr>
        <w:pStyle w:val="4"/>
        <w:rPr>
          <w:rFonts w:ascii="宋体" w:hAnsi="宋体"/>
        </w:rPr>
      </w:pPr>
      <w:r>
        <w:rPr>
          <w:rFonts w:hint="eastAsia" w:ascii="宋体" w:hAnsi="宋体"/>
        </w:rPr>
        <w:t>第二节  国民经济和社会统计</w:t>
      </w:r>
    </w:p>
    <w:p w14:paraId="00B9ABF9">
      <w:pPr>
        <w:ind w:firstLine="420"/>
        <w:rPr>
          <w:rFonts w:ascii="宋体" w:hAnsi="宋体"/>
          <w:szCs w:val="21"/>
        </w:rPr>
      </w:pPr>
      <w:r>
        <w:rPr>
          <w:rFonts w:ascii="宋体" w:hAnsi="宋体"/>
          <w:szCs w:val="21"/>
        </w:rPr>
        <w:t>1979年，全县国民经济基础和社会统计项目有基本情况、农业、收益分配、工</w:t>
      </w:r>
      <w:r>
        <w:rPr>
          <w:rFonts w:hint="eastAsia" w:ascii="宋体" w:hAnsi="宋体"/>
          <w:szCs w:val="21"/>
        </w:rPr>
        <w:t>业、交通、运输、邮电、商业、财政、劳动工资、基本建设、教育卫生、气象、水文等。</w:t>
      </w:r>
      <w:r>
        <w:rPr>
          <w:rFonts w:ascii="宋体" w:hAnsi="宋体"/>
          <w:szCs w:val="21"/>
        </w:rPr>
        <w:t>1985年新建立了国内生产总值、国民收入和旅游、外经统计。</w:t>
      </w:r>
    </w:p>
    <w:p w14:paraId="4AEEDD4F">
      <w:pPr>
        <w:ind w:firstLine="420"/>
        <w:rPr>
          <w:rFonts w:ascii="宋体" w:hAnsi="宋体"/>
          <w:szCs w:val="21"/>
        </w:rPr>
      </w:pPr>
      <w:r>
        <w:rPr>
          <w:rFonts w:hint="eastAsia" w:ascii="宋体" w:hAnsi="宋体"/>
          <w:szCs w:val="21"/>
        </w:rPr>
        <w:t>农业统计。</w:t>
      </w:r>
      <w:r>
        <w:rPr>
          <w:rFonts w:ascii="宋体" w:hAnsi="宋体"/>
          <w:szCs w:val="21"/>
        </w:rPr>
        <w:t>1991年根据省的统一部署，全面推行农村一套表制度，内容涉及农、</w:t>
      </w:r>
      <w:r>
        <w:rPr>
          <w:rFonts w:hint="eastAsia" w:ascii="宋体" w:hAnsi="宋体"/>
          <w:szCs w:val="21"/>
        </w:rPr>
        <w:t>林、牧、副、渔生产情况以及农田水利、农业机械和农村社会、科技、文教卫生等各个方面。</w:t>
      </w:r>
      <w:r>
        <w:rPr>
          <w:rFonts w:ascii="宋体" w:hAnsi="宋体"/>
          <w:szCs w:val="21"/>
        </w:rPr>
        <w:t>1993年停止实施“一套表”制度。1995年建立了农业统计、农业综合统计</w:t>
      </w:r>
      <w:r>
        <w:rPr>
          <w:rFonts w:hint="eastAsia" w:ascii="宋体" w:hAnsi="宋体"/>
          <w:szCs w:val="21"/>
        </w:rPr>
        <w:t>由政府部门直接统计，其他农村专业统计由各专业部门承担，并向政府部门报送有关资料的制度。</w:t>
      </w:r>
      <w:r>
        <w:rPr>
          <w:rFonts w:ascii="宋体" w:hAnsi="宋体"/>
          <w:szCs w:val="21"/>
        </w:rPr>
        <w:t>2000年起建立了农村住户多目标复合抽样调查（简称MPPS调查）制</w:t>
      </w:r>
      <w:r>
        <w:rPr>
          <w:rFonts w:hint="eastAsia" w:ascii="宋体" w:hAnsi="宋体"/>
          <w:szCs w:val="21"/>
        </w:rPr>
        <w:t>度。调查统计内容由过去只注重进度向注重效益和质量上转变。</w:t>
      </w:r>
    </w:p>
    <w:p w14:paraId="463DF92F">
      <w:pPr>
        <w:ind w:firstLine="420"/>
        <w:rPr>
          <w:rFonts w:ascii="宋体" w:hAnsi="宋体"/>
          <w:szCs w:val="21"/>
        </w:rPr>
      </w:pPr>
      <w:r>
        <w:rPr>
          <w:rFonts w:hint="eastAsia" w:ascii="宋体" w:hAnsi="宋体"/>
          <w:szCs w:val="21"/>
        </w:rPr>
        <w:t>工业统计。随着经济的发展，企业属性多元化格局成形，工业统计相应地由全面统计调整为对年主营收入</w:t>
      </w:r>
      <w:r>
        <w:rPr>
          <w:rFonts w:ascii="宋体" w:hAnsi="宋体"/>
          <w:szCs w:val="21"/>
        </w:rPr>
        <w:t>500万元以上的国有及非国有工业企业（简称规模以上工</w:t>
      </w:r>
      <w:r>
        <w:rPr>
          <w:rFonts w:hint="eastAsia" w:ascii="宋体" w:hAnsi="宋体"/>
          <w:szCs w:val="21"/>
        </w:rPr>
        <w:t>业）实行全面调查，规模以下工业实行抽样调查的统计制度。商业饮食服务业也由过去逐级统计汇总上报的全面统计调整为限额以上企业实行全面统计，限下企业和个体户实行抽样调查。</w:t>
      </w:r>
    </w:p>
    <w:p w14:paraId="09F4E1EB">
      <w:pPr>
        <w:ind w:firstLine="420"/>
        <w:rPr>
          <w:rFonts w:ascii="宋体" w:hAnsi="宋体"/>
          <w:szCs w:val="21"/>
        </w:rPr>
      </w:pPr>
      <w:r>
        <w:rPr>
          <w:rFonts w:hint="eastAsia" w:ascii="宋体" w:hAnsi="宋体"/>
          <w:szCs w:val="21"/>
        </w:rPr>
        <w:t>固定资产投资统计。主要有建筑业统计、更新改造投资统计、房地产企业统计、城镇集体和私人投资、农村集体和私人投资统计等。</w:t>
      </w:r>
    </w:p>
    <w:p w14:paraId="622054B7">
      <w:pPr>
        <w:ind w:firstLine="420"/>
        <w:rPr>
          <w:rFonts w:ascii="宋体" w:hAnsi="宋体"/>
          <w:szCs w:val="21"/>
        </w:rPr>
      </w:pPr>
      <w:r>
        <w:rPr>
          <w:rFonts w:hint="eastAsia" w:ascii="宋体" w:hAnsi="宋体"/>
          <w:szCs w:val="21"/>
        </w:rPr>
        <w:t>劳动工资统计。在实行全面统计的基础上，近年来逐步增加了工资水平调查、人口变动与劳动力抽样调查以及群众安全感调查等内容。</w:t>
      </w:r>
    </w:p>
    <w:p w14:paraId="05933551">
      <w:pPr>
        <w:ind w:firstLine="420"/>
        <w:rPr>
          <w:rFonts w:ascii="宋体" w:hAnsi="宋体"/>
          <w:szCs w:val="21"/>
        </w:rPr>
      </w:pPr>
      <w:r>
        <w:rPr>
          <w:rFonts w:hint="eastAsia" w:ascii="宋体" w:hAnsi="宋体"/>
          <w:szCs w:val="21"/>
        </w:rPr>
        <w:t>其他文化教育、体育、医疗卫生、交通、运输、邮电等相关数据的统计，由各业务主管部门负责统计并报政府统计部门。</w:t>
      </w:r>
    </w:p>
    <w:p w14:paraId="20D81524">
      <w:pPr>
        <w:ind w:firstLine="420"/>
        <w:rPr>
          <w:rFonts w:ascii="宋体" w:hAnsi="宋体"/>
          <w:szCs w:val="21"/>
        </w:rPr>
      </w:pPr>
      <w:r>
        <w:rPr>
          <w:rFonts w:hint="eastAsia" w:ascii="宋体" w:hAnsi="宋体"/>
          <w:szCs w:val="21"/>
        </w:rPr>
        <w:t>统计年报编制，由市统计局负责审核、汇总、上报。定期统计报表编制，</w:t>
      </w:r>
      <w:r>
        <w:rPr>
          <w:rFonts w:ascii="宋体" w:hAnsi="宋体"/>
          <w:szCs w:val="21"/>
        </w:rPr>
        <w:t>1980</w:t>
      </w:r>
      <w:r>
        <w:rPr>
          <w:rFonts w:hint="eastAsia" w:ascii="宋体" w:hAnsi="宋体"/>
          <w:szCs w:val="21"/>
        </w:rPr>
        <w:t>年有</w:t>
      </w:r>
      <w:r>
        <w:rPr>
          <w:rFonts w:ascii="宋体" w:hAnsi="宋体"/>
          <w:szCs w:val="21"/>
        </w:rPr>
        <w:t>10个专业，2000年底增加到20个专业。各个项目统计涉及指标少则几十个，</w:t>
      </w:r>
      <w:r>
        <w:rPr>
          <w:rFonts w:hint="eastAsia" w:ascii="宋体" w:hAnsi="宋体"/>
          <w:szCs w:val="21"/>
        </w:rPr>
        <w:t>多则数百个。统计报表制度由国家统计局制度法规司统一制定，统一审批，统一标准，统一管理。</w:t>
      </w:r>
    </w:p>
    <w:p w14:paraId="58FF74BA">
      <w:pPr>
        <w:pStyle w:val="4"/>
        <w:rPr>
          <w:rFonts w:ascii="宋体" w:hAnsi="宋体"/>
        </w:rPr>
      </w:pPr>
      <w:r>
        <w:rPr>
          <w:rFonts w:hint="eastAsia" w:ascii="宋体" w:hAnsi="宋体"/>
        </w:rPr>
        <w:t>第三节  统计调查与统计资料分析汇编</w:t>
      </w:r>
    </w:p>
    <w:p w14:paraId="3DF95798">
      <w:pPr>
        <w:pStyle w:val="5"/>
        <w:rPr>
          <w:rFonts w:ascii="宋体" w:hAnsi="宋体"/>
        </w:rPr>
      </w:pPr>
      <w:r>
        <w:rPr>
          <w:rFonts w:hint="eastAsia" w:ascii="宋体" w:hAnsi="宋体"/>
        </w:rPr>
        <w:t>一、普查</w:t>
      </w:r>
    </w:p>
    <w:p w14:paraId="01B89507">
      <w:pPr>
        <w:ind w:firstLine="420"/>
        <w:rPr>
          <w:rFonts w:ascii="宋体" w:hAnsi="宋体"/>
          <w:szCs w:val="21"/>
        </w:rPr>
      </w:pPr>
      <w:r>
        <w:rPr>
          <w:rFonts w:ascii="宋体" w:hAnsi="宋体"/>
          <w:szCs w:val="21"/>
        </w:rPr>
        <w:t>2004年前，南雄市举办过农业普查、工业普查、人口普查、基本单位普查、第</w:t>
      </w:r>
      <w:r>
        <w:rPr>
          <w:rFonts w:hint="eastAsia" w:ascii="宋体" w:hAnsi="宋体"/>
          <w:szCs w:val="21"/>
        </w:rPr>
        <w:t>三产业普查工作。从</w:t>
      </w:r>
      <w:r>
        <w:rPr>
          <w:rFonts w:ascii="宋体" w:hAnsi="宋体"/>
          <w:szCs w:val="21"/>
        </w:rPr>
        <w:t>2004年开始，为了整合资源，统一把工业普查、基本单位普查、</w:t>
      </w:r>
      <w:r>
        <w:rPr>
          <w:rFonts w:hint="eastAsia" w:ascii="宋体" w:hAnsi="宋体"/>
          <w:szCs w:val="21"/>
        </w:rPr>
        <w:t>第三产业普查合并为经济普查，并把建筑业的内容纳入其中，普查频率为每</w:t>
      </w:r>
      <w:r>
        <w:rPr>
          <w:rFonts w:ascii="宋体" w:hAnsi="宋体"/>
          <w:szCs w:val="21"/>
        </w:rPr>
        <w:t>5年进行1次，分别在尾数逢3、逢8的年份实施。人口普</w:t>
      </w:r>
      <w:r>
        <w:rPr>
          <w:rFonts w:hint="eastAsia" w:ascii="宋体" w:hAnsi="宋体"/>
          <w:szCs w:val="21"/>
        </w:rPr>
        <w:t>查</w:t>
      </w:r>
      <w:r>
        <w:rPr>
          <w:rFonts w:ascii="宋体" w:hAnsi="宋体"/>
          <w:szCs w:val="21"/>
        </w:rPr>
        <w:t>、农业普查每10年举行1次，农</w:t>
      </w:r>
      <w:r>
        <w:rPr>
          <w:rFonts w:hint="eastAsia" w:ascii="宋体" w:hAnsi="宋体"/>
          <w:szCs w:val="21"/>
        </w:rPr>
        <w:t>业普查在尾数逢</w:t>
      </w:r>
      <w:r>
        <w:rPr>
          <w:rFonts w:ascii="宋体" w:hAnsi="宋体"/>
          <w:szCs w:val="21"/>
        </w:rPr>
        <w:t>6的年份实施，人口普查在尾数逢0的年份举行1次，在尾数逢5的</w:t>
      </w:r>
      <w:r>
        <w:rPr>
          <w:rFonts w:hint="eastAsia" w:ascii="宋体" w:hAnsi="宋体"/>
          <w:szCs w:val="21"/>
        </w:rPr>
        <w:t>年份再实施一次小普查（</w:t>
      </w:r>
      <w:r>
        <w:rPr>
          <w:rFonts w:ascii="宋体" w:hAnsi="宋体"/>
          <w:szCs w:val="21"/>
        </w:rPr>
        <w:t>1%人口调查）</w:t>
      </w:r>
      <w:r>
        <w:rPr>
          <w:rFonts w:hint="eastAsia" w:ascii="宋体" w:hAnsi="宋体"/>
          <w:szCs w:val="21"/>
        </w:rPr>
        <w:t>。</w:t>
      </w:r>
    </w:p>
    <w:p w14:paraId="0C907DE5">
      <w:pPr>
        <w:pStyle w:val="5"/>
        <w:rPr>
          <w:rFonts w:ascii="宋体" w:hAnsi="宋体"/>
        </w:rPr>
      </w:pPr>
      <w:r>
        <w:rPr>
          <w:rFonts w:hint="eastAsia" w:ascii="宋体" w:hAnsi="宋体"/>
        </w:rPr>
        <w:t>二、抽样调查</w:t>
      </w:r>
    </w:p>
    <w:p w14:paraId="33FAA1D3">
      <w:pPr>
        <w:ind w:firstLine="420"/>
        <w:rPr>
          <w:rFonts w:ascii="宋体" w:hAnsi="宋体"/>
          <w:szCs w:val="21"/>
        </w:rPr>
      </w:pPr>
      <w:r>
        <w:rPr>
          <w:rFonts w:hint="eastAsia" w:ascii="宋体" w:hAnsi="宋体"/>
          <w:szCs w:val="21"/>
        </w:rPr>
        <w:t>农产量抽样调查。</w:t>
      </w:r>
      <w:r>
        <w:rPr>
          <w:rFonts w:ascii="宋体" w:hAnsi="宋体"/>
          <w:szCs w:val="21"/>
        </w:rPr>
        <w:t>1979年南雄县全面恢复早、晚造水稻的农产量抽样调查。1986年起全县各乡（镇）开展村村农产量实割实测产量调查，以实割实测推算每个</w:t>
      </w:r>
      <w:r>
        <w:rPr>
          <w:rFonts w:hint="eastAsia" w:ascii="宋体" w:hAnsi="宋体"/>
          <w:szCs w:val="21"/>
        </w:rPr>
        <w:t>村的水稻总产量并作为年报的定案数，以此验证各级的粮食产量数据。</w:t>
      </w:r>
    </w:p>
    <w:p w14:paraId="0D4D1EE7">
      <w:pPr>
        <w:ind w:firstLine="420"/>
        <w:rPr>
          <w:rFonts w:ascii="宋体" w:hAnsi="宋体"/>
          <w:szCs w:val="21"/>
        </w:rPr>
      </w:pPr>
      <w:r>
        <w:rPr>
          <w:rFonts w:hint="eastAsia" w:ascii="宋体" w:hAnsi="宋体"/>
          <w:szCs w:val="21"/>
        </w:rPr>
        <w:t>农村住户调查。</w:t>
      </w:r>
      <w:r>
        <w:rPr>
          <w:rFonts w:ascii="宋体" w:hAnsi="宋体"/>
          <w:szCs w:val="21"/>
        </w:rPr>
        <w:t>1988年开始，采用对称等距抽样的方法，每个镇抽取3个村</w:t>
      </w:r>
      <w:r>
        <w:rPr>
          <w:rFonts w:hint="eastAsia" w:ascii="宋体" w:hAnsi="宋体"/>
          <w:szCs w:val="21"/>
        </w:rPr>
        <w:t>、每村抽取</w:t>
      </w:r>
      <w:r>
        <w:rPr>
          <w:rFonts w:ascii="宋体" w:hAnsi="宋体"/>
          <w:szCs w:val="21"/>
        </w:rPr>
        <w:t>10户共720户农村住户作为调查户，借以推算农民的生产、收入、支出、</w:t>
      </w:r>
      <w:r>
        <w:rPr>
          <w:rFonts w:hint="eastAsia" w:ascii="宋体" w:hAnsi="宋体"/>
          <w:szCs w:val="21"/>
        </w:rPr>
        <w:t>生活和消费情况。</w:t>
      </w:r>
      <w:r>
        <w:rPr>
          <w:rFonts w:ascii="宋体" w:hAnsi="宋体"/>
          <w:szCs w:val="21"/>
        </w:rPr>
        <w:t>2000年后，根据省统计局的统一部署，改为回忆记账的方式，即</w:t>
      </w:r>
      <w:r>
        <w:rPr>
          <w:rFonts w:hint="eastAsia" w:ascii="宋体" w:hAnsi="宋体"/>
          <w:szCs w:val="21"/>
        </w:rPr>
        <w:t>农村住户多目标复合抽样调查（即</w:t>
      </w:r>
      <w:r>
        <w:rPr>
          <w:rFonts w:ascii="宋体" w:hAnsi="宋体"/>
          <w:szCs w:val="21"/>
        </w:rPr>
        <w:t>MPPS调查），来取得相关的数据</w:t>
      </w:r>
      <w:r>
        <w:rPr>
          <w:rFonts w:hint="eastAsia" w:ascii="宋体" w:hAnsi="宋体"/>
          <w:szCs w:val="21"/>
        </w:rPr>
        <w:t>。</w:t>
      </w:r>
    </w:p>
    <w:p w14:paraId="726E4B3A">
      <w:pPr>
        <w:ind w:firstLine="420"/>
        <w:rPr>
          <w:rFonts w:ascii="宋体" w:hAnsi="宋体"/>
          <w:szCs w:val="21"/>
        </w:rPr>
      </w:pPr>
      <w:r>
        <w:rPr>
          <w:rFonts w:hint="eastAsia" w:ascii="宋体" w:hAnsi="宋体"/>
          <w:szCs w:val="21"/>
        </w:rPr>
        <w:t>专项抽样调查。</w:t>
      </w:r>
      <w:r>
        <w:rPr>
          <w:rFonts w:ascii="宋体" w:hAnsi="宋体"/>
          <w:szCs w:val="21"/>
        </w:rPr>
        <w:t>1998年开始，工业统计实行规模以下工业抽样调查、企业景气</w:t>
      </w:r>
      <w:r>
        <w:rPr>
          <w:rFonts w:hint="eastAsia" w:ascii="宋体" w:hAnsi="宋体"/>
          <w:szCs w:val="21"/>
        </w:rPr>
        <w:t>调查，贸易业统计实行限额以下批发、零售、住宿餐饮业抽样调查，劳动工资统计进行工资水平调查、劳动力抽样调查等。</w:t>
      </w:r>
    </w:p>
    <w:p w14:paraId="0B67268E">
      <w:pPr>
        <w:pStyle w:val="5"/>
        <w:rPr>
          <w:rFonts w:ascii="宋体" w:hAnsi="宋体"/>
        </w:rPr>
      </w:pPr>
      <w:r>
        <w:rPr>
          <w:rFonts w:hint="eastAsia" w:ascii="宋体" w:hAnsi="宋体"/>
        </w:rPr>
        <w:t>三、统计资料分析与汇编</w:t>
      </w:r>
    </w:p>
    <w:p w14:paraId="12775933">
      <w:pPr>
        <w:ind w:firstLine="420"/>
        <w:rPr>
          <w:rFonts w:ascii="宋体" w:hAnsi="宋体"/>
          <w:szCs w:val="21"/>
        </w:rPr>
      </w:pPr>
      <w:r>
        <w:rPr>
          <w:rFonts w:hint="eastAsia" w:ascii="宋体" w:hAnsi="宋体"/>
          <w:szCs w:val="21"/>
        </w:rPr>
        <w:t>市统计局每月</w:t>
      </w:r>
      <w:r>
        <w:rPr>
          <w:rFonts w:ascii="宋体" w:hAnsi="宋体"/>
          <w:szCs w:val="21"/>
        </w:rPr>
        <w:t>10日前向市党政领导和有关部门提供宏观经济监测月报，每季提</w:t>
      </w:r>
      <w:r>
        <w:rPr>
          <w:rFonts w:hint="eastAsia" w:ascii="宋体" w:hAnsi="宋体"/>
          <w:szCs w:val="21"/>
        </w:rPr>
        <w:t>供经济运行情况分析，第四季度进行全年经济预测并提供全年经济预测分析，使市委、市政府能够及时掌握全市经济运行动态。同时，围绕市委、市政府工作中心及经济热点难点问题进行重点分析和专题研究，为领导决策提供参考。</w:t>
      </w:r>
      <w:r>
        <w:rPr>
          <w:rFonts w:ascii="宋体" w:hAnsi="宋体"/>
          <w:szCs w:val="21"/>
        </w:rPr>
        <w:t>1996年以来，统</w:t>
      </w:r>
      <w:r>
        <w:rPr>
          <w:rFonts w:hint="eastAsia" w:ascii="宋体" w:hAnsi="宋体"/>
          <w:szCs w:val="21"/>
        </w:rPr>
        <w:t>计局每年均有统计分析在省市评比中获奖，统计分析、政务信息经常被省统计局、南雄市政府网站、韶关市电台、南雄市电台、电视台及《南雄调研》采用。另外市统计局还坚持办好《南雄统计》和《南雄农村调查》两种刊物。</w:t>
      </w:r>
    </w:p>
    <w:p w14:paraId="13B2BF80">
      <w:pPr>
        <w:ind w:firstLine="420"/>
        <w:rPr>
          <w:rFonts w:ascii="宋体" w:hAnsi="宋体"/>
          <w:szCs w:val="21"/>
        </w:rPr>
      </w:pPr>
      <w:r>
        <w:rPr>
          <w:rFonts w:ascii="宋体" w:hAnsi="宋体"/>
          <w:szCs w:val="21"/>
        </w:rPr>
        <w:t>1987年，初步实现县、乡统计数字台账化。1998年起，实现市、镇、村三级历</w:t>
      </w:r>
      <w:r>
        <w:rPr>
          <w:rFonts w:hint="eastAsia" w:ascii="宋体" w:hAnsi="宋体"/>
          <w:szCs w:val="21"/>
        </w:rPr>
        <w:t>史统计台账制度化和规范化。</w:t>
      </w:r>
    </w:p>
    <w:p w14:paraId="597576AD">
      <w:pPr>
        <w:ind w:firstLine="420"/>
        <w:rPr>
          <w:rFonts w:ascii="宋体" w:hAnsi="宋体"/>
          <w:szCs w:val="21"/>
        </w:rPr>
      </w:pPr>
      <w:r>
        <w:rPr>
          <w:rFonts w:ascii="宋体" w:hAnsi="宋体"/>
          <w:szCs w:val="21"/>
        </w:rPr>
        <w:t>1980年以后，编印年度统计资料的工作转入正常，编印的质量也逐年提高，资</w:t>
      </w:r>
      <w:r>
        <w:rPr>
          <w:rFonts w:hint="eastAsia" w:ascii="宋体" w:hAnsi="宋体"/>
          <w:szCs w:val="21"/>
        </w:rPr>
        <w:t>料的内容日益翔实。每年编印的《南雄市国民经济统计资料》主要内容有：年度社会经济发展公报、综合、农业、工业、商业、乡镇企业、文教体育卫生、人民生活、农村基本情况和韶关市属各县（市）、区主要指标对比表等。</w:t>
      </w:r>
    </w:p>
    <w:p w14:paraId="3056F279">
      <w:pPr>
        <w:pStyle w:val="4"/>
        <w:rPr>
          <w:rFonts w:ascii="宋体" w:hAnsi="宋体"/>
        </w:rPr>
      </w:pPr>
      <w:r>
        <w:rPr>
          <w:rFonts w:hint="eastAsia" w:ascii="宋体" w:hAnsi="宋体"/>
        </w:rPr>
        <w:t>第四节  统计监督</w:t>
      </w:r>
    </w:p>
    <w:p w14:paraId="6D21712D">
      <w:pPr>
        <w:ind w:firstLine="420"/>
        <w:rPr>
          <w:rFonts w:ascii="宋体" w:hAnsi="宋体"/>
          <w:szCs w:val="21"/>
        </w:rPr>
      </w:pPr>
      <w:r>
        <w:rPr>
          <w:rFonts w:ascii="宋体" w:hAnsi="宋体"/>
          <w:szCs w:val="21"/>
        </w:rPr>
        <w:t>1984年1月1日开始施行《中华人民共和国统计法》。从1993年起，按照省</w:t>
      </w:r>
      <w:r>
        <w:rPr>
          <w:rFonts w:hint="eastAsia" w:ascii="宋体" w:hAnsi="宋体"/>
          <w:szCs w:val="21"/>
        </w:rPr>
        <w:t>、市的统一部署，每年进行一次以上的统计数据质量和执法检查，发现统计违法案件均进行了严肃查处。</w:t>
      </w:r>
      <w:r>
        <w:rPr>
          <w:rFonts w:ascii="宋体" w:hAnsi="宋体"/>
          <w:szCs w:val="21"/>
        </w:rPr>
        <w:t>2002年至2004年共查处了16个单位统计违法行为。2001以来</w:t>
      </w:r>
      <w:r>
        <w:rPr>
          <w:rFonts w:hint="eastAsia" w:ascii="宋体" w:hAnsi="宋体"/>
          <w:szCs w:val="21"/>
        </w:rPr>
        <w:t>全局所有在编人员都取得了省政府颁发的行政执法证或省统计局颁发的统计执法证。</w:t>
      </w:r>
      <w:r>
        <w:rPr>
          <w:rFonts w:ascii="宋体" w:hAnsi="宋体"/>
          <w:szCs w:val="21"/>
        </w:rPr>
        <w:t>2004年，举办有副科级以上单位的统计主管领导和统计人员参加的统计法规学习培</w:t>
      </w:r>
      <w:r>
        <w:rPr>
          <w:rFonts w:hint="eastAsia" w:ascii="宋体" w:hAnsi="宋体"/>
          <w:szCs w:val="21"/>
        </w:rPr>
        <w:t>训班。是年，市统计局被评为“全省依法统计先进单位”。</w:t>
      </w:r>
    </w:p>
    <w:p w14:paraId="37C1DADE">
      <w:pPr>
        <w:pStyle w:val="4"/>
        <w:rPr>
          <w:rFonts w:ascii="宋体" w:hAnsi="宋体"/>
        </w:rPr>
      </w:pPr>
      <w:r>
        <w:rPr>
          <w:rFonts w:hint="eastAsia" w:ascii="宋体" w:hAnsi="宋体"/>
        </w:rPr>
        <w:t>第五节  国家统计局南雄调查队</w:t>
      </w:r>
    </w:p>
    <w:p w14:paraId="1DF8AD90">
      <w:pPr>
        <w:ind w:firstLine="420"/>
        <w:rPr>
          <w:rFonts w:ascii="宋体" w:hAnsi="宋体"/>
          <w:szCs w:val="21"/>
        </w:rPr>
      </w:pPr>
      <w:r>
        <w:rPr>
          <w:rFonts w:hint="eastAsia" w:ascii="宋体" w:hAnsi="宋体"/>
          <w:szCs w:val="21"/>
        </w:rPr>
        <w:t>南雄市是全省</w:t>
      </w:r>
      <w:r>
        <w:rPr>
          <w:rFonts w:ascii="宋体" w:hAnsi="宋体"/>
          <w:szCs w:val="21"/>
        </w:rPr>
        <w:t>30个国家统计局县级农村调查队之一。1984年，省调查队在南雄</w:t>
      </w:r>
      <w:r>
        <w:rPr>
          <w:rFonts w:hint="eastAsia" w:ascii="宋体" w:hAnsi="宋体"/>
          <w:szCs w:val="21"/>
        </w:rPr>
        <w:t>县设立南雄县农村抽样调查队，为副科级单位，人员编制</w:t>
      </w:r>
      <w:r>
        <w:rPr>
          <w:rFonts w:ascii="宋体" w:hAnsi="宋体"/>
          <w:szCs w:val="21"/>
        </w:rPr>
        <w:t>6人。调查队的主要职能是</w:t>
      </w:r>
      <w:r>
        <w:rPr>
          <w:rFonts w:hint="eastAsia" w:ascii="宋体" w:hAnsi="宋体"/>
          <w:szCs w:val="21"/>
        </w:rPr>
        <w:t>收集、整理农村</w:t>
      </w:r>
      <w:r>
        <w:rPr>
          <w:rFonts w:ascii="宋体" w:hAnsi="宋体"/>
          <w:szCs w:val="21"/>
        </w:rPr>
        <w:t>80户定点住户调查资料、15个村小组水稻实割实测产量调查资料和</w:t>
      </w:r>
      <w:r>
        <w:rPr>
          <w:rFonts w:hint="eastAsia" w:ascii="宋体" w:hAnsi="宋体"/>
          <w:szCs w:val="21"/>
        </w:rPr>
        <w:t>专项调查资料，调查数据直接上报省调查队参与全省的推算，对地方不具有代表性。</w:t>
      </w:r>
      <w:r>
        <w:rPr>
          <w:rFonts w:ascii="宋体" w:hAnsi="宋体"/>
          <w:szCs w:val="21"/>
        </w:rPr>
        <w:t>1990年，撤销南雄县农村抽样调查队，设立南雄县农村社会经济调查队，并于1998</w:t>
      </w:r>
      <w:r>
        <w:rPr>
          <w:rFonts w:hint="eastAsia" w:ascii="宋体" w:hAnsi="宋体"/>
          <w:szCs w:val="21"/>
        </w:rPr>
        <w:t>年升格为正科级单位。</w:t>
      </w:r>
      <w:r>
        <w:rPr>
          <w:rFonts w:ascii="宋体" w:hAnsi="宋体"/>
          <w:szCs w:val="21"/>
        </w:rPr>
        <w:t>2007年10月，撤销南雄市农村社会经济调查队，设立国家统</w:t>
      </w:r>
      <w:r>
        <w:rPr>
          <w:rFonts w:hint="eastAsia" w:ascii="宋体" w:hAnsi="宋体"/>
          <w:szCs w:val="21"/>
        </w:rPr>
        <w:t>计局南雄市调查队，为正科级机构。</w:t>
      </w:r>
      <w:r>
        <w:rPr>
          <w:rFonts w:ascii="宋体" w:hAnsi="宋体"/>
          <w:szCs w:val="21"/>
        </w:rPr>
        <w:t>20多年来，南雄调查队为国家和省提供了大量</w:t>
      </w:r>
      <w:r>
        <w:rPr>
          <w:rFonts w:hint="eastAsia" w:ascii="宋体" w:hAnsi="宋体"/>
          <w:szCs w:val="21"/>
        </w:rPr>
        <w:t>的统计数据和信息，所撰写的农村重大信息曾得到国家和省领导的批示，连续</w:t>
      </w:r>
      <w:r>
        <w:rPr>
          <w:rFonts w:ascii="宋体" w:hAnsi="宋体"/>
          <w:szCs w:val="21"/>
        </w:rPr>
        <w:t>7年被</w:t>
      </w:r>
      <w:r>
        <w:rPr>
          <w:rFonts w:hint="eastAsia" w:ascii="宋体" w:hAnsi="宋体"/>
          <w:szCs w:val="21"/>
        </w:rPr>
        <w:t>广东省调查总队评为“先进集体”。</w:t>
      </w:r>
    </w:p>
    <w:p w14:paraId="5EA9215B">
      <w:pPr>
        <w:pStyle w:val="2"/>
        <w:rPr>
          <w:rFonts w:ascii="宋体" w:hAnsi="宋体"/>
        </w:rPr>
      </w:pPr>
      <w:r>
        <w:rPr>
          <w:rFonts w:hint="eastAsia" w:ascii="宋体" w:hAnsi="宋体"/>
        </w:rPr>
        <w:t>第三编  基础设施</w:t>
      </w:r>
    </w:p>
    <w:p w14:paraId="7D7006DB">
      <w:pPr>
        <w:pStyle w:val="3"/>
        <w:rPr>
          <w:rFonts w:ascii="宋体" w:hAnsi="宋体"/>
        </w:rPr>
      </w:pPr>
      <w:r>
        <w:rPr>
          <w:rFonts w:hint="eastAsia" w:ascii="宋体" w:hAnsi="宋体"/>
        </w:rPr>
        <w:t>第一章  交通</w:t>
      </w:r>
    </w:p>
    <w:p w14:paraId="52541CAF">
      <w:pPr>
        <w:pStyle w:val="4"/>
        <w:rPr>
          <w:rFonts w:ascii="宋体" w:hAnsi="宋体"/>
        </w:rPr>
      </w:pPr>
      <w:r>
        <w:rPr>
          <w:rFonts w:hint="eastAsia" w:ascii="宋体" w:hAnsi="宋体"/>
        </w:rPr>
        <w:t>第一节  古道概况</w:t>
      </w:r>
    </w:p>
    <w:p w14:paraId="0C414A70">
      <w:pPr>
        <w:pStyle w:val="5"/>
        <w:rPr>
          <w:rFonts w:ascii="宋体" w:hAnsi="宋体"/>
        </w:rPr>
      </w:pPr>
      <w:r>
        <w:rPr>
          <w:rFonts w:hint="eastAsia" w:ascii="宋体" w:hAnsi="宋体"/>
        </w:rPr>
        <w:t>一、梅关古驿道</w:t>
      </w:r>
    </w:p>
    <w:p w14:paraId="790A0376">
      <w:pPr>
        <w:ind w:firstLine="420"/>
        <w:rPr>
          <w:rFonts w:ascii="宋体" w:hAnsi="宋体"/>
          <w:szCs w:val="21"/>
        </w:rPr>
      </w:pPr>
      <w:r>
        <w:rPr>
          <w:rFonts w:hint="eastAsia" w:ascii="宋体" w:hAnsi="宋体"/>
          <w:szCs w:val="21"/>
        </w:rPr>
        <w:t>梅关古驿道，自南雄州门铺北行，途经长宁铺、长迳铺、沙水铺、石塘铺、里东铺、火迳铺、小岭铺至红梅铺，越过梅关，进入江西南安（今大余）境内，全程长</w:t>
      </w:r>
      <w:r>
        <w:rPr>
          <w:rFonts w:ascii="宋体" w:hAnsi="宋体"/>
          <w:szCs w:val="21"/>
        </w:rPr>
        <w:t>45公里</w:t>
      </w:r>
      <w:r>
        <w:rPr>
          <w:rFonts w:hint="eastAsia" w:ascii="宋体" w:hAnsi="宋体"/>
          <w:szCs w:val="21"/>
        </w:rPr>
        <w:t>。</w:t>
      </w:r>
    </w:p>
    <w:p w14:paraId="1C838D55">
      <w:pPr>
        <w:ind w:firstLine="420"/>
        <w:rPr>
          <w:rFonts w:ascii="宋体" w:hAnsi="宋体"/>
          <w:szCs w:val="21"/>
        </w:rPr>
      </w:pPr>
      <w:r>
        <w:rPr>
          <w:rFonts w:hint="eastAsia" w:ascii="宋体" w:hAnsi="宋体"/>
          <w:szCs w:val="21"/>
        </w:rPr>
        <w:t>古道始辟于秦，主要用于军事。到了唐代，南北商品流通日益频繁，原来的道路已很不适应了。开元四年（</w:t>
      </w:r>
      <w:r>
        <w:rPr>
          <w:rFonts w:ascii="宋体" w:hAnsi="宋体"/>
          <w:szCs w:val="21"/>
        </w:rPr>
        <w:t>716年），左拾遗张九龄奉诏开凿岭路，在梅岭顶上凿通</w:t>
      </w:r>
      <w:r>
        <w:rPr>
          <w:rFonts w:hint="eastAsia" w:ascii="宋体" w:hAnsi="宋体"/>
          <w:szCs w:val="21"/>
        </w:rPr>
        <w:t>了一座长</w:t>
      </w:r>
      <w:r>
        <w:rPr>
          <w:rFonts w:ascii="宋体" w:hAnsi="宋体"/>
          <w:szCs w:val="21"/>
        </w:rPr>
        <w:t>66.6米，高33.3米余的大山坳，拓宽路面，使梅关古道变成</w:t>
      </w:r>
      <w:r>
        <w:rPr>
          <w:rFonts w:hint="eastAsia" w:ascii="宋体" w:hAnsi="宋体"/>
          <w:szCs w:val="21"/>
        </w:rPr>
        <w:t>“</w:t>
      </w:r>
      <w:r>
        <w:rPr>
          <w:rFonts w:ascii="宋体" w:hAnsi="宋体"/>
          <w:szCs w:val="21"/>
        </w:rPr>
        <w:t>坦坦而方五</w:t>
      </w:r>
      <w:r>
        <w:rPr>
          <w:rFonts w:hint="eastAsia" w:ascii="宋体" w:hAnsi="宋体"/>
          <w:szCs w:val="21"/>
        </w:rPr>
        <w:t>轨，阗阗而走四通”的大道。历代对这条古道的维护极为重视，曾多次进行修葺。宋嘉祐八年（</w:t>
      </w:r>
      <w:r>
        <w:rPr>
          <w:rFonts w:ascii="宋体" w:hAnsi="宋体"/>
          <w:szCs w:val="21"/>
        </w:rPr>
        <w:t>1063年）广东转运使蔡抗与其任江西提点刑狱公事的胞兄蔡挺协商议</w:t>
      </w:r>
      <w:r>
        <w:rPr>
          <w:rFonts w:hint="eastAsia" w:ascii="宋体" w:hAnsi="宋体"/>
          <w:szCs w:val="21"/>
        </w:rPr>
        <w:t>定，分别修筑各自所辖境内路段，补种松、梅，立表梅关。明英宗正统十一年（</w:t>
      </w:r>
      <w:r>
        <w:rPr>
          <w:rFonts w:ascii="宋体" w:hAnsi="宋体"/>
          <w:szCs w:val="21"/>
        </w:rPr>
        <w:t>1446</w:t>
      </w:r>
      <w:r>
        <w:rPr>
          <w:rFonts w:hint="eastAsia" w:ascii="宋体" w:hAnsi="宋体"/>
          <w:szCs w:val="21"/>
        </w:rPr>
        <w:t>年）南雄知府郑述征集民工，用鹅卵石、花岗片石铺砌岭道路面</w:t>
      </w:r>
      <w:r>
        <w:rPr>
          <w:rFonts w:ascii="宋体" w:hAnsi="宋体"/>
          <w:szCs w:val="21"/>
        </w:rPr>
        <w:t>45余公里。直到明</w:t>
      </w:r>
      <w:r>
        <w:rPr>
          <w:rFonts w:hint="eastAsia" w:ascii="宋体" w:hAnsi="宋体"/>
          <w:szCs w:val="21"/>
        </w:rPr>
        <w:t>末清初，岭道历经</w:t>
      </w:r>
      <w:r>
        <w:rPr>
          <w:rFonts w:ascii="宋体" w:hAnsi="宋体"/>
          <w:szCs w:val="21"/>
        </w:rPr>
        <w:t>800多年，兴旺不衰，且古松夹道，形如虬龙，竟成雄州一景</w:t>
      </w:r>
      <w:r>
        <w:rPr>
          <w:rFonts w:hint="eastAsia" w:ascii="宋体" w:hAnsi="宋体"/>
          <w:szCs w:val="21"/>
        </w:rPr>
        <w:t>“</w:t>
      </w:r>
      <w:r>
        <w:rPr>
          <w:rFonts w:ascii="宋体" w:hAnsi="宋体"/>
          <w:szCs w:val="21"/>
        </w:rPr>
        <w:t>官</w:t>
      </w:r>
      <w:r>
        <w:rPr>
          <w:rFonts w:hint="eastAsia" w:ascii="宋体" w:hAnsi="宋体"/>
          <w:szCs w:val="21"/>
        </w:rPr>
        <w:t>道虬松”。</w:t>
      </w:r>
    </w:p>
    <w:p w14:paraId="51E6C8A5">
      <w:pPr>
        <w:ind w:firstLine="420"/>
        <w:rPr>
          <w:rFonts w:ascii="宋体" w:hAnsi="宋体"/>
          <w:szCs w:val="21"/>
        </w:rPr>
      </w:pPr>
      <w:r>
        <w:rPr>
          <w:rFonts w:hint="eastAsia" w:ascii="宋体" w:hAnsi="宋体"/>
          <w:szCs w:val="21"/>
        </w:rPr>
        <w:t>梅关古道是联结珠江水系与长江水系的纽带。岭南货物，溯北江，入浈江，到达南雄，然后经梅关古道越大庾岭至南安，再沿章水，下赣江，出长江。而岭北货物，也多沿此道，下浈水入北江至珠江。两宋时期，每天来往于古道夫力不下千人。明代，梅关古道上设置了</w:t>
      </w:r>
      <w:r>
        <w:rPr>
          <w:rFonts w:ascii="宋体" w:hAnsi="宋体"/>
          <w:szCs w:val="21"/>
        </w:rPr>
        <w:t>7条街（珠玑街、石塘街、里东街、灵潭街、中站街、火迳</w:t>
      </w:r>
      <w:r>
        <w:rPr>
          <w:rFonts w:hint="eastAsia" w:ascii="宋体" w:hAnsi="宋体"/>
          <w:szCs w:val="21"/>
        </w:rPr>
        <w:t>街、小岭街），茶楼客店，鳞次栉比，为商旅提供食宿方便。清代，外贸日益发展，由广州进出口货物越来越多，古道交通更为繁忙。</w:t>
      </w:r>
    </w:p>
    <w:p w14:paraId="4D6CCCB3">
      <w:pPr>
        <w:ind w:firstLine="420"/>
        <w:rPr>
          <w:rFonts w:ascii="宋体" w:hAnsi="宋体"/>
          <w:szCs w:val="21"/>
        </w:rPr>
      </w:pPr>
      <w:r>
        <w:rPr>
          <w:rFonts w:hint="eastAsia" w:ascii="宋体" w:hAnsi="宋体"/>
          <w:szCs w:val="21"/>
        </w:rPr>
        <w:t>鸦片战争后，沿海口岸开放，海运日盛，加上粤汉铁路筑成通车，南北货物及商旅通过梅关古道的数量逐年减少。民国</w:t>
      </w:r>
      <w:r>
        <w:rPr>
          <w:rFonts w:ascii="宋体" w:hAnsi="宋体"/>
          <w:szCs w:val="21"/>
        </w:rPr>
        <w:t>23年（1934年），韶关至大余公路建成通车，</w:t>
      </w:r>
      <w:r>
        <w:rPr>
          <w:rFonts w:hint="eastAsia" w:ascii="宋体" w:hAnsi="宋体"/>
          <w:szCs w:val="21"/>
        </w:rPr>
        <w:t>但当时车辆很少，主要仍靠挑夫走古道运输货物，南雄仍有夫力</w:t>
      </w:r>
      <w:r>
        <w:rPr>
          <w:rFonts w:ascii="宋体" w:hAnsi="宋体"/>
          <w:szCs w:val="21"/>
        </w:rPr>
        <w:t>2500多名，运价为</w:t>
      </w:r>
      <w:r>
        <w:rPr>
          <w:rFonts w:hint="eastAsia" w:ascii="宋体" w:hAnsi="宋体"/>
          <w:szCs w:val="21"/>
        </w:rPr>
        <w:t>每百斤每</w:t>
      </w:r>
      <w:r>
        <w:rPr>
          <w:rFonts w:ascii="宋体" w:hAnsi="宋体"/>
          <w:szCs w:val="21"/>
        </w:rPr>
        <w:t>10里夫力银毫3毫。轿</w:t>
      </w:r>
      <w:r>
        <w:rPr>
          <w:rFonts w:hint="eastAsia" w:ascii="宋体" w:hAnsi="宋体"/>
          <w:szCs w:val="21"/>
        </w:rPr>
        <w:t>夫</w:t>
      </w:r>
      <w:r>
        <w:rPr>
          <w:rFonts w:ascii="宋体" w:hAnsi="宋体"/>
          <w:szCs w:val="21"/>
        </w:rPr>
        <w:t>每10里6毫。抗日战争时期，沿海地区被侵华日</w:t>
      </w:r>
      <w:r>
        <w:rPr>
          <w:rFonts w:hint="eastAsia" w:ascii="宋体" w:hAnsi="宋体"/>
          <w:szCs w:val="21"/>
        </w:rPr>
        <w:t>军封锁，南雄成为广东抗日后方。民国</w:t>
      </w:r>
      <w:r>
        <w:rPr>
          <w:rFonts w:ascii="宋体" w:hAnsi="宋体"/>
          <w:szCs w:val="21"/>
        </w:rPr>
        <w:t>29年，广东省成立战时驿站，运输各种货物，</w:t>
      </w:r>
      <w:r>
        <w:rPr>
          <w:rFonts w:hint="eastAsia" w:ascii="宋体" w:hAnsi="宋体"/>
          <w:szCs w:val="21"/>
        </w:rPr>
        <w:t>保证军需民食。新中国成立后，随着汽车运输的发展，梅关古道逐步失去作用。</w:t>
      </w:r>
    </w:p>
    <w:p w14:paraId="4454C9DF">
      <w:pPr>
        <w:pStyle w:val="5"/>
        <w:rPr>
          <w:rFonts w:ascii="宋体" w:hAnsi="宋体"/>
        </w:rPr>
      </w:pPr>
      <w:r>
        <w:rPr>
          <w:rFonts w:hint="eastAsia" w:ascii="宋体" w:hAnsi="宋体"/>
        </w:rPr>
        <w:t>二、乌迳路</w:t>
      </w:r>
    </w:p>
    <w:p w14:paraId="6090E561">
      <w:pPr>
        <w:ind w:firstLine="420"/>
        <w:rPr>
          <w:rFonts w:ascii="宋体" w:hAnsi="宋体"/>
          <w:szCs w:val="21"/>
        </w:rPr>
      </w:pPr>
      <w:r>
        <w:rPr>
          <w:rFonts w:hint="eastAsia" w:ascii="宋体" w:hAnsi="宋体"/>
          <w:szCs w:val="21"/>
        </w:rPr>
        <w:t>乌迳路是一条仅次于梅关古道的贯通南北、水陆联运的古道。由南雄城溯浈水而上，</w:t>
      </w:r>
      <w:r>
        <w:rPr>
          <w:rFonts w:ascii="宋体" w:hAnsi="宋体"/>
          <w:szCs w:val="21"/>
        </w:rPr>
        <w:t>30余公里到达乌迳，转陆路经田心、松木塘、鹤子坑、鸭子口、石迳圩、老背</w:t>
      </w:r>
      <w:r>
        <w:rPr>
          <w:rFonts w:hint="eastAsia" w:ascii="宋体" w:hAnsi="宋体"/>
          <w:szCs w:val="21"/>
        </w:rPr>
        <w:t>塘、犁木坵、焦坑俚，进入江西信丰县九渡圩码头转水运，以小艇（每艇载四五十石）沿九渡水下桃江，入贡水，出赣江，运程</w:t>
      </w:r>
      <w:r>
        <w:rPr>
          <w:rFonts w:ascii="宋体" w:hAnsi="宋体"/>
          <w:szCs w:val="21"/>
        </w:rPr>
        <w:t>100多公里，三四天到达虔州（今赣</w:t>
      </w:r>
      <w:r>
        <w:rPr>
          <w:rFonts w:hint="eastAsia" w:ascii="宋体" w:hAnsi="宋体"/>
          <w:szCs w:val="21"/>
        </w:rPr>
        <w:t>州）。明嘉靖年间，每日来往于乌迳路牛车约</w:t>
      </w:r>
      <w:r>
        <w:rPr>
          <w:rFonts w:ascii="宋体" w:hAnsi="宋体"/>
          <w:szCs w:val="21"/>
        </w:rPr>
        <w:t>100辆，往来于南雄至新田乌迳的木帆</w:t>
      </w:r>
      <w:r>
        <w:rPr>
          <w:rFonts w:hint="eastAsia" w:ascii="宋体" w:hAnsi="宋体"/>
          <w:szCs w:val="21"/>
        </w:rPr>
        <w:t>船约</w:t>
      </w:r>
      <w:r>
        <w:rPr>
          <w:rFonts w:ascii="宋体" w:hAnsi="宋体"/>
          <w:szCs w:val="21"/>
        </w:rPr>
        <w:t>500艘。民国22年（1933年），县城至新田往返需六七天，有小民船240余只</w:t>
      </w:r>
      <w:r>
        <w:rPr>
          <w:rFonts w:hint="eastAsia" w:ascii="宋体" w:hAnsi="宋体"/>
          <w:szCs w:val="21"/>
        </w:rPr>
        <w:t>。民国</w:t>
      </w:r>
      <w:r>
        <w:rPr>
          <w:rFonts w:ascii="宋体" w:hAnsi="宋体"/>
          <w:szCs w:val="21"/>
        </w:rPr>
        <w:t>23年雄信公路建成通车，逐步替代了乌迳路。</w:t>
      </w:r>
    </w:p>
    <w:p w14:paraId="34C759AC">
      <w:pPr>
        <w:pStyle w:val="5"/>
        <w:rPr>
          <w:rFonts w:ascii="宋体" w:hAnsi="宋体"/>
        </w:rPr>
      </w:pPr>
      <w:r>
        <w:rPr>
          <w:rFonts w:hint="eastAsia" w:ascii="宋体" w:hAnsi="宋体"/>
        </w:rPr>
        <w:t>三、乡道</w:t>
      </w:r>
    </w:p>
    <w:p w14:paraId="74C19B7C">
      <w:pPr>
        <w:ind w:firstLine="420"/>
        <w:rPr>
          <w:rFonts w:ascii="宋体" w:hAnsi="宋体"/>
          <w:szCs w:val="21"/>
        </w:rPr>
      </w:pPr>
      <w:r>
        <w:rPr>
          <w:rFonts w:hint="eastAsia" w:ascii="宋体" w:hAnsi="宋体"/>
          <w:szCs w:val="21"/>
        </w:rPr>
        <w:t>古代南雄的乡道，以州城为中心，向四乡辐射。主要乡道有</w:t>
      </w:r>
      <w:r>
        <w:rPr>
          <w:rFonts w:ascii="宋体" w:hAnsi="宋体"/>
          <w:szCs w:val="21"/>
        </w:rPr>
        <w:t>8条，偏东南及西北</w:t>
      </w:r>
      <w:r>
        <w:rPr>
          <w:rFonts w:hint="eastAsia" w:ascii="宋体" w:hAnsi="宋体"/>
          <w:szCs w:val="21"/>
        </w:rPr>
        <w:t>乡道属山道，多弯曲，险峻难行；而东、南乡道属丘陵，平坦宽阔。乡道大都为鹅卵石或花岗石路面，部分路段可行单轮手推车。新中国成立后，乡道多为公路所取代。详见表</w:t>
      </w:r>
      <w:r>
        <w:rPr>
          <w:rFonts w:ascii="宋体" w:hAnsi="宋体"/>
          <w:szCs w:val="21"/>
        </w:rPr>
        <w:t>3-1</w:t>
      </w:r>
      <w:r>
        <w:rPr>
          <w:rFonts w:hint="eastAsia" w:ascii="宋体" w:hAnsi="宋体"/>
          <w:szCs w:val="21"/>
        </w:rPr>
        <w:t>。</w:t>
      </w:r>
    </w:p>
    <w:p w14:paraId="71E30B5A">
      <w:pPr>
        <w:ind w:firstLine="0" w:firstLineChars="0"/>
        <w:jc w:val="center"/>
        <w:rPr>
          <w:rFonts w:ascii="宋体" w:hAnsi="宋体"/>
          <w:b/>
          <w:szCs w:val="21"/>
        </w:rPr>
      </w:pPr>
      <w:r>
        <w:rPr>
          <w:rFonts w:hint="eastAsia" w:ascii="宋体" w:hAnsi="宋体"/>
          <w:b/>
          <w:szCs w:val="21"/>
        </w:rPr>
        <w:t>南雄州清代主要乡道线路一览</w:t>
      </w:r>
    </w:p>
    <w:p w14:paraId="130AC2EC">
      <w:pPr>
        <w:ind w:firstLine="0" w:firstLineChars="0"/>
        <w:rPr>
          <w:rFonts w:ascii="宋体" w:hAnsi="宋体"/>
          <w:b/>
          <w:szCs w:val="21"/>
        </w:rPr>
      </w:pPr>
      <w:r>
        <w:rPr>
          <w:rFonts w:hint="eastAsia" w:ascii="宋体" w:hAnsi="宋体"/>
          <w:b/>
          <w:szCs w:val="21"/>
        </w:rPr>
        <w:t>表</w:t>
      </w:r>
      <w:r>
        <w:rPr>
          <w:rFonts w:ascii="宋体" w:hAnsi="宋体"/>
          <w:b/>
          <w:szCs w:val="21"/>
        </w:rPr>
        <w:t>3-1</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68"/>
        <w:gridCol w:w="4435"/>
        <w:gridCol w:w="1094"/>
        <w:gridCol w:w="2765"/>
      </w:tblGrid>
      <w:tr w14:paraId="376131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6D80ADC4">
            <w:pPr>
              <w:pStyle w:val="12"/>
              <w:jc w:val="center"/>
              <w:rPr>
                <w:b/>
              </w:rPr>
            </w:pPr>
            <w:r>
              <w:rPr>
                <w:rFonts w:hint="eastAsia"/>
                <w:b/>
              </w:rPr>
              <w:t>线路起讫</w:t>
            </w:r>
          </w:p>
        </w:tc>
        <w:tc>
          <w:tcPr>
            <w:tcW w:w="2226" w:type="pct"/>
            <w:vAlign w:val="center"/>
          </w:tcPr>
          <w:p w14:paraId="35FFE9B7">
            <w:pPr>
              <w:pStyle w:val="12"/>
              <w:jc w:val="center"/>
              <w:rPr>
                <w:b/>
              </w:rPr>
            </w:pPr>
            <w:r>
              <w:rPr>
                <w:rFonts w:hint="eastAsia"/>
                <w:b/>
              </w:rPr>
              <w:t>途经主要村落</w:t>
            </w:r>
          </w:p>
        </w:tc>
        <w:tc>
          <w:tcPr>
            <w:tcW w:w="549" w:type="pct"/>
            <w:vAlign w:val="center"/>
          </w:tcPr>
          <w:p w14:paraId="3BED93DD">
            <w:pPr>
              <w:pStyle w:val="12"/>
              <w:jc w:val="center"/>
              <w:rPr>
                <w:b/>
              </w:rPr>
            </w:pPr>
            <w:r>
              <w:rPr>
                <w:rFonts w:hint="eastAsia"/>
                <w:b/>
              </w:rPr>
              <w:t>里程</w:t>
            </w:r>
          </w:p>
          <w:p w14:paraId="139DF826">
            <w:pPr>
              <w:pStyle w:val="12"/>
              <w:jc w:val="center"/>
              <w:rPr>
                <w:b/>
              </w:rPr>
            </w:pPr>
            <w:r>
              <w:rPr>
                <w:rFonts w:hint="eastAsia"/>
                <w:b/>
              </w:rPr>
              <w:t>（公里）</w:t>
            </w:r>
          </w:p>
        </w:tc>
        <w:tc>
          <w:tcPr>
            <w:tcW w:w="1388" w:type="pct"/>
            <w:vAlign w:val="center"/>
          </w:tcPr>
          <w:p w14:paraId="3C329710">
            <w:pPr>
              <w:pStyle w:val="12"/>
              <w:jc w:val="center"/>
              <w:rPr>
                <w:b/>
              </w:rPr>
            </w:pPr>
            <w:r>
              <w:rPr>
                <w:rFonts w:hint="eastAsia"/>
                <w:b/>
              </w:rPr>
              <w:t>延伸方向</w:t>
            </w:r>
          </w:p>
        </w:tc>
      </w:tr>
      <w:tr w14:paraId="748EC1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4C38E7D3">
            <w:pPr>
              <w:pStyle w:val="12"/>
              <w:jc w:val="center"/>
            </w:pPr>
            <w:r>
              <w:rPr>
                <w:rFonts w:hint="eastAsia"/>
              </w:rPr>
              <w:t>州城至蕉坑</w:t>
            </w:r>
          </w:p>
        </w:tc>
        <w:tc>
          <w:tcPr>
            <w:tcW w:w="2226" w:type="pct"/>
            <w:vAlign w:val="center"/>
          </w:tcPr>
          <w:p w14:paraId="7699F74E">
            <w:pPr>
              <w:pStyle w:val="12"/>
              <w:jc w:val="left"/>
            </w:pPr>
            <w:r>
              <w:rPr>
                <w:rFonts w:hint="eastAsia"/>
              </w:rPr>
              <w:t>拱桥、午田、洋坋、太和、湖口、长市、许村、黄坑、长龙、新田、乌迳、田心、松木塘、鹤子坑、鸭子口、石迳圩、老背塘、犁木坵</w:t>
            </w:r>
          </w:p>
        </w:tc>
        <w:tc>
          <w:tcPr>
            <w:tcW w:w="549" w:type="pct"/>
            <w:vAlign w:val="center"/>
          </w:tcPr>
          <w:p w14:paraId="5854F523">
            <w:pPr>
              <w:pStyle w:val="12"/>
              <w:jc w:val="center"/>
            </w:pPr>
            <w:r>
              <w:rPr>
                <w:rFonts w:hint="eastAsia"/>
              </w:rPr>
              <w:t>80</w:t>
            </w:r>
          </w:p>
        </w:tc>
        <w:tc>
          <w:tcPr>
            <w:tcW w:w="1388" w:type="pct"/>
            <w:vAlign w:val="center"/>
          </w:tcPr>
          <w:p w14:paraId="44F61349">
            <w:pPr>
              <w:pStyle w:val="12"/>
              <w:jc w:val="left"/>
            </w:pPr>
            <w:r>
              <w:rPr>
                <w:rFonts w:hint="eastAsia"/>
              </w:rPr>
              <w:t>往东进入江西省信丰县九渡圩</w:t>
            </w:r>
          </w:p>
        </w:tc>
      </w:tr>
      <w:tr w14:paraId="18104B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62522BE1">
            <w:pPr>
              <w:pStyle w:val="12"/>
              <w:jc w:val="center"/>
            </w:pPr>
            <w:r>
              <w:rPr>
                <w:rFonts w:hint="eastAsia"/>
              </w:rPr>
              <w:t>州城至南甫</w:t>
            </w:r>
          </w:p>
        </w:tc>
        <w:tc>
          <w:tcPr>
            <w:tcW w:w="2226" w:type="pct"/>
            <w:vAlign w:val="center"/>
          </w:tcPr>
          <w:p w14:paraId="043E8F59">
            <w:pPr>
              <w:pStyle w:val="12"/>
              <w:jc w:val="left"/>
            </w:pPr>
            <w:r>
              <w:rPr>
                <w:rFonts w:hint="eastAsia"/>
              </w:rPr>
              <w:t>黎口桥、荆岗、谷树塘、江头、长潭尾</w:t>
            </w:r>
          </w:p>
        </w:tc>
        <w:tc>
          <w:tcPr>
            <w:tcW w:w="549" w:type="pct"/>
            <w:vAlign w:val="center"/>
          </w:tcPr>
          <w:p w14:paraId="607ED617">
            <w:pPr>
              <w:pStyle w:val="12"/>
              <w:jc w:val="center"/>
            </w:pPr>
            <w:r>
              <w:rPr>
                <w:rFonts w:hint="eastAsia"/>
              </w:rPr>
              <w:t>50</w:t>
            </w:r>
          </w:p>
        </w:tc>
        <w:tc>
          <w:tcPr>
            <w:tcW w:w="1388" w:type="pct"/>
            <w:vAlign w:val="center"/>
          </w:tcPr>
          <w:p w14:paraId="1F499BAD">
            <w:pPr>
              <w:pStyle w:val="12"/>
              <w:jc w:val="left"/>
            </w:pPr>
            <w:r>
              <w:rPr>
                <w:rFonts w:hint="eastAsia"/>
              </w:rPr>
              <w:t>进入江西省全南县境</w:t>
            </w:r>
          </w:p>
        </w:tc>
      </w:tr>
      <w:tr w14:paraId="4E0966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52F8429C">
            <w:pPr>
              <w:pStyle w:val="12"/>
              <w:jc w:val="center"/>
            </w:pPr>
            <w:r>
              <w:rPr>
                <w:rFonts w:hint="eastAsia"/>
              </w:rPr>
              <w:t>州城至长洞</w:t>
            </w:r>
          </w:p>
        </w:tc>
        <w:tc>
          <w:tcPr>
            <w:tcW w:w="2226" w:type="pct"/>
            <w:vAlign w:val="center"/>
          </w:tcPr>
          <w:p w14:paraId="5FF5F1B3">
            <w:pPr>
              <w:pStyle w:val="12"/>
              <w:jc w:val="left"/>
            </w:pPr>
            <w:r>
              <w:rPr>
                <w:rFonts w:hint="eastAsia"/>
              </w:rPr>
              <w:t>哈乐、沙头、河坪、头渡、大部、水口、弱过、清水塘、南亩</w:t>
            </w:r>
          </w:p>
        </w:tc>
        <w:tc>
          <w:tcPr>
            <w:tcW w:w="549" w:type="pct"/>
            <w:vAlign w:val="center"/>
          </w:tcPr>
          <w:p w14:paraId="71D6BAFE">
            <w:pPr>
              <w:pStyle w:val="12"/>
              <w:jc w:val="center"/>
            </w:pPr>
            <w:r>
              <w:rPr>
                <w:rFonts w:hint="eastAsia"/>
              </w:rPr>
              <w:t>45</w:t>
            </w:r>
          </w:p>
        </w:tc>
        <w:tc>
          <w:tcPr>
            <w:tcW w:w="1388" w:type="pct"/>
            <w:vAlign w:val="center"/>
          </w:tcPr>
          <w:p w14:paraId="06247ACA">
            <w:pPr>
              <w:pStyle w:val="12"/>
              <w:jc w:val="left"/>
            </w:pPr>
            <w:r>
              <w:rPr>
                <w:rFonts w:hint="eastAsia"/>
              </w:rPr>
              <w:t>进入江西省全南县陂头</w:t>
            </w:r>
          </w:p>
        </w:tc>
      </w:tr>
      <w:tr w14:paraId="637B4A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0C1E0E5E">
            <w:pPr>
              <w:pStyle w:val="12"/>
              <w:jc w:val="center"/>
            </w:pPr>
            <w:r>
              <w:rPr>
                <w:rFonts w:hint="eastAsia"/>
              </w:rPr>
              <w:t>州城至大兰</w:t>
            </w:r>
          </w:p>
        </w:tc>
        <w:tc>
          <w:tcPr>
            <w:tcW w:w="2226" w:type="pct"/>
            <w:vAlign w:val="center"/>
          </w:tcPr>
          <w:p w14:paraId="5A2144B1">
            <w:pPr>
              <w:pStyle w:val="12"/>
              <w:jc w:val="left"/>
            </w:pPr>
            <w:r>
              <w:rPr>
                <w:rFonts w:hint="eastAsia"/>
              </w:rPr>
              <w:t>承平、太和、湖口、长市、许村、黄坑、大塘、坪田坳</w:t>
            </w:r>
          </w:p>
        </w:tc>
        <w:tc>
          <w:tcPr>
            <w:tcW w:w="549" w:type="pct"/>
            <w:vAlign w:val="center"/>
          </w:tcPr>
          <w:p w14:paraId="0CFE3412">
            <w:pPr>
              <w:pStyle w:val="12"/>
              <w:jc w:val="center"/>
            </w:pPr>
            <w:r>
              <w:rPr>
                <w:rFonts w:hint="eastAsia"/>
              </w:rPr>
              <w:t>60</w:t>
            </w:r>
          </w:p>
        </w:tc>
        <w:tc>
          <w:tcPr>
            <w:tcW w:w="1388" w:type="pct"/>
            <w:vAlign w:val="center"/>
          </w:tcPr>
          <w:p w14:paraId="43E0631D">
            <w:pPr>
              <w:pStyle w:val="12"/>
              <w:jc w:val="left"/>
            </w:pPr>
            <w:r>
              <w:rPr>
                <w:rFonts w:hint="eastAsia"/>
              </w:rPr>
              <w:t>往北入江西省南安境</w:t>
            </w:r>
          </w:p>
        </w:tc>
      </w:tr>
      <w:tr w14:paraId="72413C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7B02A84C">
            <w:pPr>
              <w:pStyle w:val="12"/>
              <w:jc w:val="center"/>
            </w:pPr>
            <w:r>
              <w:rPr>
                <w:rFonts w:hint="eastAsia"/>
              </w:rPr>
              <w:t>州城至老村</w:t>
            </w:r>
          </w:p>
        </w:tc>
        <w:tc>
          <w:tcPr>
            <w:tcW w:w="2226" w:type="pct"/>
            <w:vAlign w:val="center"/>
          </w:tcPr>
          <w:p w14:paraId="6DCA659F">
            <w:pPr>
              <w:pStyle w:val="12"/>
              <w:jc w:val="left"/>
            </w:pPr>
            <w:r>
              <w:rPr>
                <w:rFonts w:hint="eastAsia"/>
              </w:rPr>
              <w:t>水南、石子桥、泷下、黄龙坪、窑合洞</w:t>
            </w:r>
          </w:p>
        </w:tc>
        <w:tc>
          <w:tcPr>
            <w:tcW w:w="549" w:type="pct"/>
            <w:vAlign w:val="center"/>
          </w:tcPr>
          <w:p w14:paraId="50AEBFE5">
            <w:pPr>
              <w:pStyle w:val="12"/>
              <w:jc w:val="center"/>
            </w:pPr>
            <w:r>
              <w:rPr>
                <w:rFonts w:hint="eastAsia"/>
              </w:rPr>
              <w:t>32.5</w:t>
            </w:r>
          </w:p>
        </w:tc>
        <w:tc>
          <w:tcPr>
            <w:tcW w:w="1388" w:type="pct"/>
            <w:vAlign w:val="center"/>
          </w:tcPr>
          <w:p w14:paraId="47E031EC">
            <w:pPr>
              <w:pStyle w:val="12"/>
              <w:jc w:val="left"/>
            </w:pPr>
            <w:r>
              <w:rPr>
                <w:rFonts w:hint="eastAsia"/>
              </w:rPr>
              <w:t>南入江西省全南县境、西南至始兴澄江</w:t>
            </w:r>
          </w:p>
        </w:tc>
      </w:tr>
      <w:tr w14:paraId="167AA1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48328A9A">
            <w:pPr>
              <w:pStyle w:val="12"/>
              <w:jc w:val="center"/>
            </w:pPr>
            <w:r>
              <w:rPr>
                <w:rFonts w:hint="eastAsia"/>
              </w:rPr>
              <w:t>州城至闻韶</w:t>
            </w:r>
          </w:p>
        </w:tc>
        <w:tc>
          <w:tcPr>
            <w:tcW w:w="2226" w:type="pct"/>
            <w:vAlign w:val="center"/>
          </w:tcPr>
          <w:p w14:paraId="5FAE7170">
            <w:pPr>
              <w:pStyle w:val="12"/>
              <w:jc w:val="left"/>
            </w:pPr>
            <w:r>
              <w:rPr>
                <w:rFonts w:hint="eastAsia"/>
              </w:rPr>
              <w:t>水西、三枫、古塘、营堡前、苍石、半迳水、塘坑、大坪、石溪水、百顺、甘地、邓洞</w:t>
            </w:r>
          </w:p>
        </w:tc>
        <w:tc>
          <w:tcPr>
            <w:tcW w:w="549" w:type="pct"/>
            <w:vAlign w:val="center"/>
          </w:tcPr>
          <w:p w14:paraId="04CF024A">
            <w:pPr>
              <w:pStyle w:val="12"/>
              <w:jc w:val="center"/>
            </w:pPr>
            <w:r>
              <w:rPr>
                <w:rFonts w:hint="eastAsia"/>
              </w:rPr>
              <w:t>80</w:t>
            </w:r>
          </w:p>
        </w:tc>
        <w:tc>
          <w:tcPr>
            <w:tcW w:w="1388" w:type="pct"/>
            <w:vAlign w:val="center"/>
          </w:tcPr>
          <w:p w14:paraId="342EDB7E">
            <w:pPr>
              <w:pStyle w:val="12"/>
              <w:jc w:val="left"/>
            </w:pPr>
            <w:r>
              <w:rPr>
                <w:rFonts w:hint="eastAsia"/>
              </w:rPr>
              <w:t>往西进入仁化县境（闻韶今隶仁化县）</w:t>
            </w:r>
          </w:p>
        </w:tc>
      </w:tr>
      <w:tr w14:paraId="2556B4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31816E67">
            <w:pPr>
              <w:pStyle w:val="12"/>
              <w:jc w:val="center"/>
            </w:pPr>
            <w:r>
              <w:rPr>
                <w:rFonts w:hint="eastAsia"/>
              </w:rPr>
              <w:t>州城至白云</w:t>
            </w:r>
          </w:p>
        </w:tc>
        <w:tc>
          <w:tcPr>
            <w:tcW w:w="2226" w:type="pct"/>
            <w:vAlign w:val="center"/>
          </w:tcPr>
          <w:p w14:paraId="6E2B1396">
            <w:pPr>
              <w:pStyle w:val="12"/>
              <w:jc w:val="left"/>
            </w:pPr>
            <w:r>
              <w:rPr>
                <w:rFonts w:hint="eastAsia"/>
              </w:rPr>
              <w:t>借村、羊角岭、河塘、密下水、富竹、潭溪、澜河</w:t>
            </w:r>
          </w:p>
        </w:tc>
        <w:tc>
          <w:tcPr>
            <w:tcW w:w="549" w:type="pct"/>
            <w:vAlign w:val="center"/>
          </w:tcPr>
          <w:p w14:paraId="3DEC8698">
            <w:pPr>
              <w:pStyle w:val="12"/>
              <w:jc w:val="center"/>
            </w:pPr>
            <w:r>
              <w:rPr>
                <w:rFonts w:hint="eastAsia"/>
              </w:rPr>
              <w:t>55</w:t>
            </w:r>
          </w:p>
        </w:tc>
        <w:tc>
          <w:tcPr>
            <w:tcW w:w="1388" w:type="pct"/>
            <w:vAlign w:val="center"/>
          </w:tcPr>
          <w:p w14:paraId="67E7B734">
            <w:pPr>
              <w:pStyle w:val="12"/>
              <w:jc w:val="left"/>
            </w:pPr>
            <w:r>
              <w:rPr>
                <w:rFonts w:hint="eastAsia"/>
              </w:rPr>
              <w:t>西北通境内百顺</w:t>
            </w:r>
          </w:p>
        </w:tc>
      </w:tr>
      <w:tr w14:paraId="0271F9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40B07F83">
            <w:pPr>
              <w:pStyle w:val="12"/>
              <w:jc w:val="center"/>
            </w:pPr>
            <w:r>
              <w:rPr>
                <w:rFonts w:hint="eastAsia"/>
              </w:rPr>
              <w:t>州城至璎珞铺</w:t>
            </w:r>
          </w:p>
        </w:tc>
        <w:tc>
          <w:tcPr>
            <w:tcW w:w="2226" w:type="pct"/>
            <w:vAlign w:val="center"/>
          </w:tcPr>
          <w:p w14:paraId="15EDA3FF">
            <w:pPr>
              <w:pStyle w:val="12"/>
              <w:jc w:val="left"/>
            </w:pPr>
            <w:r>
              <w:rPr>
                <w:rFonts w:hint="eastAsia"/>
              </w:rPr>
              <w:t>河南街、东厢铺、修仁、丹铺、古录</w:t>
            </w:r>
          </w:p>
        </w:tc>
        <w:tc>
          <w:tcPr>
            <w:tcW w:w="549" w:type="pct"/>
            <w:vAlign w:val="center"/>
          </w:tcPr>
          <w:p w14:paraId="08CE5300">
            <w:pPr>
              <w:pStyle w:val="12"/>
              <w:jc w:val="center"/>
            </w:pPr>
            <w:r>
              <w:rPr>
                <w:rFonts w:hint="eastAsia"/>
              </w:rPr>
              <w:t>30.5</w:t>
            </w:r>
          </w:p>
        </w:tc>
        <w:tc>
          <w:tcPr>
            <w:tcW w:w="1388" w:type="pct"/>
            <w:vAlign w:val="center"/>
          </w:tcPr>
          <w:p w14:paraId="240C186E">
            <w:pPr>
              <w:pStyle w:val="12"/>
              <w:jc w:val="left"/>
            </w:pPr>
            <w:r>
              <w:rPr>
                <w:rFonts w:hint="eastAsia"/>
              </w:rPr>
              <w:t>南入始兴县境（璎珞铺今隶始兴）</w:t>
            </w:r>
          </w:p>
        </w:tc>
      </w:tr>
    </w:tbl>
    <w:p w14:paraId="45787AE0">
      <w:pPr>
        <w:pStyle w:val="4"/>
        <w:rPr>
          <w:rFonts w:ascii="宋体" w:hAnsi="宋体"/>
        </w:rPr>
      </w:pPr>
      <w:r>
        <w:rPr>
          <w:rFonts w:hint="eastAsia" w:ascii="宋体" w:hAnsi="宋体"/>
        </w:rPr>
        <w:t>第二节  公路交通</w:t>
      </w:r>
    </w:p>
    <w:p w14:paraId="694554BF">
      <w:pPr>
        <w:ind w:firstLine="420"/>
        <w:rPr>
          <w:rFonts w:ascii="宋体" w:hAnsi="宋体"/>
          <w:szCs w:val="21"/>
        </w:rPr>
      </w:pPr>
      <w:r>
        <w:rPr>
          <w:rFonts w:hint="eastAsia" w:ascii="宋体" w:hAnsi="宋体"/>
          <w:szCs w:val="21"/>
        </w:rPr>
        <w:t>新中国成立前，全县境内仅有于</w:t>
      </w:r>
      <w:r>
        <w:rPr>
          <w:rFonts w:ascii="宋体" w:hAnsi="宋体"/>
          <w:szCs w:val="21"/>
        </w:rPr>
        <w:t>1934年开通的韶关至大余、南雄至信丰两条公</w:t>
      </w:r>
      <w:r>
        <w:rPr>
          <w:rFonts w:hint="eastAsia" w:ascii="宋体" w:hAnsi="宋体"/>
          <w:szCs w:val="21"/>
        </w:rPr>
        <w:t>路，全长</w:t>
      </w:r>
      <w:r>
        <w:rPr>
          <w:rFonts w:ascii="宋体" w:hAnsi="宋体"/>
          <w:szCs w:val="21"/>
        </w:rPr>
        <w:t>91.6公里。新中国成立后，公路交通日益发展。2004年，市辖20个镇、22</w:t>
      </w:r>
      <w:r>
        <w:rPr>
          <w:rFonts w:hint="eastAsia" w:ascii="宋体" w:hAnsi="宋体"/>
          <w:szCs w:val="21"/>
        </w:rPr>
        <w:t>1</w:t>
      </w:r>
      <w:r>
        <w:rPr>
          <w:rFonts w:ascii="宋体" w:hAnsi="宋体"/>
          <w:szCs w:val="21"/>
        </w:rPr>
        <w:t>个行政村，实现村村通汽车，通车里程为1242.7公里，公路密度是每百平方公</w:t>
      </w:r>
      <w:r>
        <w:rPr>
          <w:rFonts w:hint="eastAsia" w:ascii="宋体" w:hAnsi="宋体"/>
          <w:szCs w:val="21"/>
        </w:rPr>
        <w:t>里面积有公路</w:t>
      </w:r>
      <w:r>
        <w:rPr>
          <w:rFonts w:ascii="宋体" w:hAnsi="宋体"/>
          <w:szCs w:val="21"/>
        </w:rPr>
        <w:t>53公里。其中国道1条43.9公里，省道1条129.1公里，县道8条242.9公里，乡道138条826.8公里，初步形成了四纵三横二环的公路网络</w:t>
      </w:r>
      <w:r>
        <w:rPr>
          <w:rFonts w:hint="eastAsia" w:ascii="宋体" w:hAnsi="宋体"/>
          <w:szCs w:val="21"/>
        </w:rPr>
        <w:t>。</w:t>
      </w:r>
    </w:p>
    <w:p w14:paraId="0573408B">
      <w:pPr>
        <w:pStyle w:val="5"/>
        <w:rPr>
          <w:rFonts w:ascii="宋体" w:hAnsi="宋体"/>
        </w:rPr>
      </w:pPr>
      <w:r>
        <w:rPr>
          <w:rFonts w:hint="eastAsia" w:ascii="宋体" w:hAnsi="宋体"/>
        </w:rPr>
        <w:t>一、公路  桥梁</w:t>
      </w:r>
    </w:p>
    <w:p w14:paraId="014E3511">
      <w:pPr>
        <w:ind w:firstLine="422"/>
        <w:rPr>
          <w:rFonts w:ascii="宋体" w:hAnsi="宋体"/>
          <w:b/>
          <w:szCs w:val="21"/>
        </w:rPr>
      </w:pPr>
      <w:r>
        <w:rPr>
          <w:rFonts w:hint="eastAsia" w:ascii="宋体" w:hAnsi="宋体"/>
          <w:b/>
          <w:szCs w:val="21"/>
        </w:rPr>
        <w:t>（一）国属、省属公路</w:t>
      </w:r>
    </w:p>
    <w:p w14:paraId="6280EC74">
      <w:pPr>
        <w:ind w:firstLine="422"/>
        <w:rPr>
          <w:rFonts w:ascii="宋体" w:hAnsi="宋体"/>
          <w:szCs w:val="21"/>
        </w:rPr>
      </w:pPr>
      <w:r>
        <w:rPr>
          <w:rFonts w:hint="eastAsia" w:ascii="宋体" w:hAnsi="宋体"/>
          <w:b/>
          <w:szCs w:val="21"/>
        </w:rPr>
        <w:t>韶余公路。</w:t>
      </w:r>
      <w:r>
        <w:rPr>
          <w:rFonts w:hint="eastAsia" w:ascii="宋体" w:hAnsi="宋体"/>
          <w:szCs w:val="21"/>
        </w:rPr>
        <w:t>是粤北山区主要干线之一，也是粤赣省际线路，原属</w:t>
      </w:r>
      <w:r>
        <w:rPr>
          <w:rFonts w:ascii="宋体" w:hAnsi="宋体"/>
          <w:szCs w:val="21"/>
        </w:rPr>
        <w:t>105国道，1985</w:t>
      </w:r>
      <w:r>
        <w:rPr>
          <w:rFonts w:hint="eastAsia" w:ascii="宋体" w:hAnsi="宋体"/>
          <w:szCs w:val="21"/>
        </w:rPr>
        <w:t>年改为</w:t>
      </w:r>
      <w:r>
        <w:rPr>
          <w:rFonts w:ascii="宋体" w:hAnsi="宋体"/>
          <w:szCs w:val="21"/>
        </w:rPr>
        <w:t>323国道。该路由广东韶关起至江西大余止，途经曲江、始兴，于南雄小梅关132.1公里处进入江西大余县，全程长142公里。南雄城至韶关段，称南韶公路，长103公里，其中县境内14公里；南雄城至大余段，称雄余公路（曾称红梅公路），全</w:t>
      </w:r>
      <w:r>
        <w:rPr>
          <w:rFonts w:hint="eastAsia" w:ascii="宋体" w:hAnsi="宋体"/>
          <w:szCs w:val="21"/>
        </w:rPr>
        <w:t>长</w:t>
      </w:r>
      <w:r>
        <w:rPr>
          <w:rFonts w:ascii="宋体" w:hAnsi="宋体"/>
          <w:szCs w:val="21"/>
        </w:rPr>
        <w:t>42公里，其中县境内段32.1公里。韶余公路南雄至韶关段，于民国20年（1931</w:t>
      </w:r>
      <w:r>
        <w:rPr>
          <w:rFonts w:hint="eastAsia" w:ascii="宋体" w:hAnsi="宋体"/>
          <w:szCs w:val="21"/>
        </w:rPr>
        <w:t>年）</w:t>
      </w:r>
      <w:r>
        <w:rPr>
          <w:rFonts w:ascii="宋体" w:hAnsi="宋体"/>
          <w:szCs w:val="21"/>
        </w:rPr>
        <w:t>6月，由驻军和地方筹款兴建，民国22年1月竣工通车。南雄至大余段，由雄</w:t>
      </w:r>
      <w:r>
        <w:rPr>
          <w:rFonts w:hint="eastAsia" w:ascii="宋体" w:hAnsi="宋体"/>
          <w:szCs w:val="21"/>
        </w:rPr>
        <w:t>余民营公路有限公司承建，于民国</w:t>
      </w:r>
      <w:r>
        <w:rPr>
          <w:rFonts w:ascii="宋体" w:hAnsi="宋体"/>
          <w:szCs w:val="21"/>
        </w:rPr>
        <w:t>21年5月10日动工，民国23年3月建成通车。</w:t>
      </w:r>
      <w:r>
        <w:rPr>
          <w:rFonts w:hint="eastAsia" w:ascii="宋体" w:hAnsi="宋体"/>
          <w:szCs w:val="21"/>
        </w:rPr>
        <w:t>该路为泥沙路面，路基宽</w:t>
      </w:r>
      <w:r>
        <w:rPr>
          <w:rFonts w:ascii="宋体" w:hAnsi="宋体"/>
          <w:szCs w:val="21"/>
        </w:rPr>
        <w:t>6米～7米。1974年以后，路基逐步拓为8米～9米，并铺</w:t>
      </w:r>
      <w:r>
        <w:rPr>
          <w:rFonts w:hint="eastAsia" w:ascii="宋体" w:hAnsi="宋体"/>
          <w:szCs w:val="21"/>
        </w:rPr>
        <w:t>渣油路面。</w:t>
      </w:r>
      <w:r>
        <w:rPr>
          <w:rFonts w:ascii="宋体" w:hAnsi="宋体"/>
          <w:szCs w:val="21"/>
        </w:rPr>
        <w:t>1986年起，该线在县境段的路基再次扩为10米～12米，各项技术指标均</w:t>
      </w:r>
      <w:r>
        <w:rPr>
          <w:rFonts w:hint="eastAsia" w:ascii="宋体" w:hAnsi="宋体"/>
          <w:szCs w:val="21"/>
        </w:rPr>
        <w:t>达到国家平丘</w:t>
      </w:r>
      <w:r>
        <w:rPr>
          <w:rFonts w:ascii="宋体" w:hAnsi="宋体"/>
          <w:szCs w:val="21"/>
        </w:rPr>
        <w:t>3级公路标准。1991年1月至1995年11月分两期对县境17公里进行</w:t>
      </w:r>
      <w:r>
        <w:rPr>
          <w:rFonts w:hint="eastAsia" w:ascii="宋体" w:hAnsi="宋体"/>
          <w:szCs w:val="21"/>
        </w:rPr>
        <w:t>改建，路面为国标平丘二级水泥砼路面。</w:t>
      </w:r>
      <w:r>
        <w:rPr>
          <w:rFonts w:ascii="宋体" w:hAnsi="宋体"/>
          <w:szCs w:val="21"/>
        </w:rPr>
        <w:t>1998年12月动工，改建南雄城东三岔路口</w:t>
      </w:r>
      <w:r>
        <w:rPr>
          <w:rFonts w:hint="eastAsia" w:ascii="宋体" w:hAnsi="宋体"/>
          <w:szCs w:val="21"/>
        </w:rPr>
        <w:t>至梅关路段</w:t>
      </w:r>
      <w:r>
        <w:rPr>
          <w:rFonts w:ascii="宋体" w:hAnsi="宋体"/>
          <w:szCs w:val="21"/>
        </w:rPr>
        <w:t>26.9公里，加宽取直，成为平丘超二级沥青砼路面</w:t>
      </w:r>
      <w:r>
        <w:rPr>
          <w:rFonts w:hint="eastAsia" w:ascii="宋体" w:hAnsi="宋体"/>
          <w:szCs w:val="21"/>
        </w:rPr>
        <w:t>。</w:t>
      </w:r>
    </w:p>
    <w:p w14:paraId="6B6E8839">
      <w:pPr>
        <w:ind w:firstLine="422"/>
        <w:rPr>
          <w:rFonts w:ascii="宋体" w:hAnsi="宋体"/>
          <w:szCs w:val="21"/>
        </w:rPr>
      </w:pPr>
      <w:r>
        <w:rPr>
          <w:rFonts w:hint="eastAsia" w:ascii="宋体" w:hAnsi="宋体"/>
          <w:b/>
          <w:szCs w:val="21"/>
        </w:rPr>
        <w:t>雄信公路。</w:t>
      </w:r>
      <w:r>
        <w:rPr>
          <w:rFonts w:hint="eastAsia" w:ascii="宋体" w:hAnsi="宋体"/>
          <w:szCs w:val="21"/>
        </w:rPr>
        <w:t>由南雄城至江西信丰县城，于民国</w:t>
      </w:r>
      <w:r>
        <w:rPr>
          <w:rFonts w:ascii="宋体" w:hAnsi="宋体"/>
          <w:szCs w:val="21"/>
        </w:rPr>
        <w:t>22年4月14日动工，次年11月</w:t>
      </w:r>
      <w:r>
        <w:rPr>
          <w:rFonts w:hint="eastAsia" w:ascii="宋体" w:hAnsi="宋体"/>
          <w:szCs w:val="21"/>
        </w:rPr>
        <w:t>建成通车。该线由南雄县政府与江西信丰县政府组成“雄信公路筑路委员会”，征集民工兴筑，全程</w:t>
      </w:r>
      <w:r>
        <w:rPr>
          <w:rFonts w:ascii="宋体" w:hAnsi="宋体"/>
          <w:szCs w:val="21"/>
        </w:rPr>
        <w:t>77公里，其中南雄境内段（县城至分水坳）49公里，出分水坳至信</w:t>
      </w:r>
      <w:r>
        <w:rPr>
          <w:rFonts w:hint="eastAsia" w:ascii="宋体" w:hAnsi="宋体"/>
          <w:szCs w:val="21"/>
        </w:rPr>
        <w:t>丰县城</w:t>
      </w:r>
      <w:r>
        <w:rPr>
          <w:rFonts w:ascii="宋体" w:hAnsi="宋体"/>
          <w:szCs w:val="21"/>
        </w:rPr>
        <w:t>28公里。1958年后逐步加宽路基，改善路面。路基宽6米，属平丘3级公路。1989年改为1950线，1998年改为S342线。1996年至2000年12月对S342线南雄城</w:t>
      </w:r>
      <w:r>
        <w:rPr>
          <w:rFonts w:hint="eastAsia" w:ascii="宋体" w:hAnsi="宋体"/>
          <w:szCs w:val="21"/>
        </w:rPr>
        <w:t>东三岔路口至界址镇分水坳路段分三期工程改建，扩宽路面</w:t>
      </w:r>
      <w:r>
        <w:rPr>
          <w:rFonts w:ascii="宋体" w:hAnsi="宋体"/>
          <w:szCs w:val="21"/>
        </w:rPr>
        <w:t>9米，达到平丘二级水泥</w:t>
      </w:r>
      <w:r>
        <w:rPr>
          <w:rFonts w:hint="eastAsia" w:ascii="宋体" w:hAnsi="宋体"/>
          <w:szCs w:val="21"/>
        </w:rPr>
        <w:t>砼路面标准。</w:t>
      </w:r>
    </w:p>
    <w:p w14:paraId="4A4CB7DA">
      <w:pPr>
        <w:ind w:firstLine="422"/>
        <w:rPr>
          <w:rFonts w:ascii="宋体" w:hAnsi="宋体"/>
          <w:szCs w:val="21"/>
        </w:rPr>
      </w:pPr>
      <w:r>
        <w:rPr>
          <w:rFonts w:hint="eastAsia" w:ascii="宋体" w:hAnsi="宋体"/>
          <w:b/>
          <w:szCs w:val="21"/>
        </w:rPr>
        <w:t>雄塘公路。</w:t>
      </w:r>
      <w:r>
        <w:rPr>
          <w:rFonts w:hint="eastAsia" w:ascii="宋体" w:hAnsi="宋体"/>
          <w:szCs w:val="21"/>
        </w:rPr>
        <w:t>又称雄百公路，从南雄城起，途经全安、富竹、澜河、百顺至塘面，由塘面进入仁化县境，是通往境内西北山区的一条重要公路，全长</w:t>
      </w:r>
      <w:r>
        <w:rPr>
          <w:rFonts w:ascii="宋体" w:hAnsi="宋体"/>
          <w:szCs w:val="21"/>
        </w:rPr>
        <w:t>71.1公里。该线</w:t>
      </w:r>
      <w:r>
        <w:rPr>
          <w:rFonts w:hint="eastAsia" w:ascii="宋体" w:hAnsi="宋体"/>
          <w:szCs w:val="21"/>
        </w:rPr>
        <w:t>分两期兴建。第一期是</w:t>
      </w:r>
      <w:r>
        <w:rPr>
          <w:rFonts w:ascii="宋体" w:hAnsi="宋体"/>
          <w:szCs w:val="21"/>
        </w:rPr>
        <w:t>1956年至1959年9月，由县政府组织民工开筑南雄至百顺</w:t>
      </w:r>
      <w:r>
        <w:rPr>
          <w:rFonts w:hint="eastAsia" w:ascii="宋体" w:hAnsi="宋体"/>
          <w:szCs w:val="21"/>
        </w:rPr>
        <w:t>段，全长</w:t>
      </w:r>
      <w:r>
        <w:rPr>
          <w:rFonts w:ascii="宋体" w:hAnsi="宋体"/>
          <w:szCs w:val="21"/>
        </w:rPr>
        <w:t>57公里，丘陵地段的路基宽7米～8米，山区（重丘）地段路基5米～6</w:t>
      </w:r>
      <w:r>
        <w:rPr>
          <w:rFonts w:hint="eastAsia" w:ascii="宋体" w:hAnsi="宋体"/>
          <w:szCs w:val="21"/>
        </w:rPr>
        <w:t>米，均属黄泥河沙碎石路面。第二期是</w:t>
      </w:r>
      <w:r>
        <w:rPr>
          <w:rFonts w:ascii="宋体" w:hAnsi="宋体"/>
          <w:szCs w:val="21"/>
        </w:rPr>
        <w:t>1970年至1972年，组织民兵兴筑百顺至塘面</w:t>
      </w:r>
      <w:r>
        <w:rPr>
          <w:rFonts w:hint="eastAsia" w:ascii="宋体" w:hAnsi="宋体"/>
          <w:szCs w:val="21"/>
        </w:rPr>
        <w:t>段，时称</w:t>
      </w:r>
      <w:r>
        <w:rPr>
          <w:rFonts w:ascii="宋体" w:hAnsi="宋体"/>
          <w:szCs w:val="21"/>
        </w:rPr>
        <w:t>07033工程，公路长14.1公里，与仁化至闻韶公路接通，路面达重丘3级</w:t>
      </w:r>
      <w:r>
        <w:rPr>
          <w:rFonts w:hint="eastAsia" w:ascii="宋体" w:hAnsi="宋体"/>
          <w:szCs w:val="21"/>
        </w:rPr>
        <w:t>公路标准。该路</w:t>
      </w:r>
      <w:r>
        <w:rPr>
          <w:rFonts w:ascii="宋体" w:hAnsi="宋体"/>
          <w:szCs w:val="21"/>
        </w:rPr>
        <w:t>1989年称1950线，1998年改称S342线。该线从1997年至2001年</w:t>
      </w:r>
      <w:r>
        <w:rPr>
          <w:rFonts w:hint="eastAsia" w:ascii="宋体" w:hAnsi="宋体"/>
          <w:szCs w:val="21"/>
        </w:rPr>
        <w:t>分五期改建，丘陵地段路面宽</w:t>
      </w:r>
      <w:r>
        <w:rPr>
          <w:rFonts w:ascii="宋体" w:hAnsi="宋体"/>
          <w:szCs w:val="21"/>
        </w:rPr>
        <w:t>9米，为平丘二级水泥公路；山区地段路面宽6至7</w:t>
      </w:r>
      <w:r>
        <w:rPr>
          <w:rFonts w:hint="eastAsia" w:ascii="宋体" w:hAnsi="宋体"/>
          <w:szCs w:val="21"/>
        </w:rPr>
        <w:t>米，为山岭重丘三级水泥公路。</w:t>
      </w:r>
    </w:p>
    <w:p w14:paraId="2D5BBA65">
      <w:pPr>
        <w:ind w:firstLine="422"/>
        <w:rPr>
          <w:rFonts w:ascii="宋体" w:hAnsi="宋体"/>
          <w:szCs w:val="21"/>
        </w:rPr>
      </w:pPr>
      <w:r>
        <w:rPr>
          <w:rFonts w:hint="eastAsia" w:ascii="宋体" w:hAnsi="宋体"/>
          <w:b/>
          <w:szCs w:val="21"/>
        </w:rPr>
        <w:t>犁马公路南雄塘面路段。</w:t>
      </w:r>
      <w:r>
        <w:rPr>
          <w:rFonts w:hint="eastAsia" w:ascii="宋体" w:hAnsi="宋体"/>
          <w:szCs w:val="21"/>
        </w:rPr>
        <w:t>犁马公路原称</w:t>
      </w:r>
      <w:r>
        <w:rPr>
          <w:rFonts w:ascii="宋体" w:hAnsi="宋体"/>
          <w:szCs w:val="21"/>
        </w:rPr>
        <w:t>07033国防公路，1972年建成。该路西</w:t>
      </w:r>
      <w:r>
        <w:rPr>
          <w:rFonts w:hint="eastAsia" w:ascii="宋体" w:hAnsi="宋体"/>
          <w:szCs w:val="21"/>
        </w:rPr>
        <w:t>起曲江犁市，东至始兴马市，与韶余公路接通，全长</w:t>
      </w:r>
      <w:r>
        <w:rPr>
          <w:rFonts w:ascii="宋体" w:hAnsi="宋体"/>
          <w:szCs w:val="21"/>
        </w:rPr>
        <w:t>130.79公里。路经南雄县百顺</w:t>
      </w:r>
      <w:r>
        <w:rPr>
          <w:rFonts w:hint="eastAsia" w:ascii="宋体" w:hAnsi="宋体"/>
          <w:szCs w:val="21"/>
        </w:rPr>
        <w:t>镇塘面、水源村。南雄境内路段长</w:t>
      </w:r>
      <w:r>
        <w:rPr>
          <w:rFonts w:ascii="宋体" w:hAnsi="宋体"/>
          <w:szCs w:val="21"/>
        </w:rPr>
        <w:t>7.8公里，路基宽7米～8米，路面宽4米～5米，</w:t>
      </w:r>
      <w:r>
        <w:rPr>
          <w:rFonts w:hint="eastAsia" w:ascii="宋体" w:hAnsi="宋体"/>
          <w:szCs w:val="21"/>
        </w:rPr>
        <w:t>黄泥河沙碎石结构，达重丘</w:t>
      </w:r>
      <w:r>
        <w:rPr>
          <w:rFonts w:ascii="宋体" w:hAnsi="宋体"/>
          <w:szCs w:val="21"/>
        </w:rPr>
        <w:t>3级公路标准。1989年改为1949线，2001年改为S244</w:t>
      </w:r>
      <w:r>
        <w:rPr>
          <w:rFonts w:hint="eastAsia" w:ascii="宋体" w:hAnsi="宋体"/>
          <w:szCs w:val="21"/>
        </w:rPr>
        <w:t>线，</w:t>
      </w:r>
      <w:r>
        <w:rPr>
          <w:rFonts w:ascii="宋体" w:hAnsi="宋体"/>
          <w:szCs w:val="21"/>
        </w:rPr>
        <w:t>2002年12月至2003年12月，对百顺湖地路段11.8公里的沙石路面进行改建，</w:t>
      </w:r>
      <w:r>
        <w:rPr>
          <w:rFonts w:hint="eastAsia" w:ascii="宋体" w:hAnsi="宋体"/>
          <w:szCs w:val="21"/>
        </w:rPr>
        <w:t>为山岭重丘三级沥青砼路面。</w:t>
      </w:r>
    </w:p>
    <w:p w14:paraId="28B4CCA4">
      <w:pPr>
        <w:ind w:firstLine="422"/>
        <w:rPr>
          <w:rFonts w:ascii="宋体" w:hAnsi="宋体"/>
          <w:b/>
          <w:szCs w:val="21"/>
        </w:rPr>
      </w:pPr>
      <w:r>
        <w:rPr>
          <w:rFonts w:hint="eastAsia" w:ascii="宋体" w:hAnsi="宋体"/>
          <w:b/>
          <w:szCs w:val="21"/>
        </w:rPr>
        <w:t>（二）县属公路</w:t>
      </w:r>
    </w:p>
    <w:p w14:paraId="7C38322D">
      <w:pPr>
        <w:ind w:firstLine="420"/>
        <w:rPr>
          <w:rFonts w:ascii="宋体" w:hAnsi="宋体"/>
          <w:szCs w:val="21"/>
        </w:rPr>
      </w:pPr>
      <w:r>
        <w:rPr>
          <w:rFonts w:hint="eastAsia" w:ascii="宋体" w:hAnsi="宋体"/>
          <w:szCs w:val="21"/>
        </w:rPr>
        <w:t>县道</w:t>
      </w:r>
      <w:r>
        <w:rPr>
          <w:rFonts w:ascii="宋体" w:hAnsi="宋体"/>
          <w:szCs w:val="21"/>
        </w:rPr>
        <w:t>8条，详见表3-2</w:t>
      </w:r>
      <w:r>
        <w:rPr>
          <w:rFonts w:hint="eastAsia" w:ascii="宋体" w:hAnsi="宋体"/>
          <w:szCs w:val="21"/>
        </w:rPr>
        <w:t>。</w:t>
      </w:r>
    </w:p>
    <w:p w14:paraId="724A039A">
      <w:pPr>
        <w:ind w:firstLine="0" w:firstLineChars="0"/>
        <w:jc w:val="center"/>
        <w:rPr>
          <w:rFonts w:ascii="宋体" w:hAnsi="宋体"/>
          <w:b/>
          <w:szCs w:val="21"/>
        </w:rPr>
      </w:pPr>
      <w:r>
        <w:rPr>
          <w:rFonts w:hint="eastAsia" w:ascii="宋体" w:hAnsi="宋体"/>
          <w:b/>
          <w:szCs w:val="21"/>
        </w:rPr>
        <w:t>南雄市县属公路一览</w:t>
      </w:r>
    </w:p>
    <w:p w14:paraId="3827A762">
      <w:pPr>
        <w:ind w:firstLine="0" w:firstLineChars="0"/>
        <w:rPr>
          <w:rFonts w:ascii="宋体" w:hAnsi="宋体"/>
          <w:b/>
          <w:szCs w:val="21"/>
        </w:rPr>
      </w:pPr>
      <w:r>
        <w:rPr>
          <w:rFonts w:hint="eastAsia" w:ascii="宋体" w:hAnsi="宋体"/>
          <w:b/>
          <w:szCs w:val="21"/>
        </w:rPr>
        <w:t>表</w:t>
      </w:r>
      <w:r>
        <w:rPr>
          <w:rFonts w:ascii="宋体" w:hAnsi="宋体"/>
          <w:b/>
          <w:szCs w:val="21"/>
        </w:rPr>
        <w:t>3-2</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63"/>
        <w:gridCol w:w="2164"/>
        <w:gridCol w:w="2164"/>
        <w:gridCol w:w="3471"/>
      </w:tblGrid>
      <w:tr w14:paraId="7E414E1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5DA53C86">
            <w:pPr>
              <w:pStyle w:val="12"/>
              <w:jc w:val="center"/>
              <w:rPr>
                <w:b/>
              </w:rPr>
            </w:pPr>
            <w:r>
              <w:rPr>
                <w:rFonts w:hint="eastAsia"/>
                <w:b/>
              </w:rPr>
              <w:t>线路编码</w:t>
            </w:r>
          </w:p>
        </w:tc>
        <w:tc>
          <w:tcPr>
            <w:tcW w:w="1086" w:type="pct"/>
            <w:vAlign w:val="center"/>
          </w:tcPr>
          <w:p w14:paraId="15170E0B">
            <w:pPr>
              <w:pStyle w:val="12"/>
              <w:jc w:val="center"/>
              <w:rPr>
                <w:b/>
              </w:rPr>
            </w:pPr>
            <w:r>
              <w:rPr>
                <w:rFonts w:hint="eastAsia"/>
                <w:b/>
              </w:rPr>
              <w:t>起止地点</w:t>
            </w:r>
          </w:p>
        </w:tc>
        <w:tc>
          <w:tcPr>
            <w:tcW w:w="1086" w:type="pct"/>
            <w:vAlign w:val="center"/>
          </w:tcPr>
          <w:p w14:paraId="61A9F32B">
            <w:pPr>
              <w:pStyle w:val="12"/>
              <w:jc w:val="center"/>
              <w:rPr>
                <w:b/>
              </w:rPr>
            </w:pPr>
            <w:r>
              <w:rPr>
                <w:rFonts w:hint="eastAsia"/>
                <w:b/>
              </w:rPr>
              <w:t>里程（公里）</w:t>
            </w:r>
          </w:p>
        </w:tc>
        <w:tc>
          <w:tcPr>
            <w:tcW w:w="1743" w:type="pct"/>
            <w:vAlign w:val="center"/>
          </w:tcPr>
          <w:p w14:paraId="79DF668A">
            <w:pPr>
              <w:pStyle w:val="12"/>
              <w:jc w:val="center"/>
              <w:rPr>
                <w:b/>
              </w:rPr>
            </w:pPr>
            <w:r>
              <w:rPr>
                <w:rFonts w:hint="eastAsia"/>
                <w:b/>
              </w:rPr>
              <w:t>管养道班名称</w:t>
            </w:r>
          </w:p>
        </w:tc>
      </w:tr>
      <w:tr w14:paraId="2744FC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02B567CF">
            <w:pPr>
              <w:pStyle w:val="12"/>
              <w:jc w:val="center"/>
            </w:pPr>
            <w:r>
              <w:rPr>
                <w:rFonts w:hint="eastAsia"/>
              </w:rPr>
              <w:t>X337</w:t>
            </w:r>
          </w:p>
        </w:tc>
        <w:tc>
          <w:tcPr>
            <w:tcW w:w="1086" w:type="pct"/>
            <w:vAlign w:val="center"/>
          </w:tcPr>
          <w:p w14:paraId="5C6D54CA">
            <w:pPr>
              <w:pStyle w:val="12"/>
              <w:jc w:val="center"/>
            </w:pPr>
            <w:r>
              <w:rPr>
                <w:rFonts w:hint="eastAsia"/>
              </w:rPr>
              <w:t>南亩—马迳前</w:t>
            </w:r>
          </w:p>
        </w:tc>
        <w:tc>
          <w:tcPr>
            <w:tcW w:w="1086" w:type="pct"/>
            <w:vAlign w:val="center"/>
          </w:tcPr>
          <w:p w14:paraId="7360AB95">
            <w:pPr>
              <w:pStyle w:val="12"/>
              <w:jc w:val="center"/>
            </w:pPr>
            <w:r>
              <w:rPr>
                <w:rFonts w:hint="eastAsia"/>
              </w:rPr>
              <w:t>14</w:t>
            </w:r>
          </w:p>
        </w:tc>
        <w:tc>
          <w:tcPr>
            <w:tcW w:w="1743" w:type="pct"/>
            <w:vAlign w:val="center"/>
          </w:tcPr>
          <w:p w14:paraId="66ECFE72">
            <w:pPr>
              <w:pStyle w:val="12"/>
              <w:jc w:val="left"/>
            </w:pPr>
            <w:r>
              <w:rPr>
                <w:rFonts w:hint="eastAsia"/>
              </w:rPr>
              <w:t>南亩</w:t>
            </w:r>
          </w:p>
        </w:tc>
      </w:tr>
      <w:tr w14:paraId="39B4CE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073C0DF3">
            <w:pPr>
              <w:pStyle w:val="12"/>
              <w:jc w:val="center"/>
            </w:pPr>
            <w:r>
              <w:rPr>
                <w:rFonts w:hint="eastAsia"/>
              </w:rPr>
              <w:t>X338</w:t>
            </w:r>
          </w:p>
        </w:tc>
        <w:tc>
          <w:tcPr>
            <w:tcW w:w="1086" w:type="pct"/>
            <w:vAlign w:val="center"/>
          </w:tcPr>
          <w:p w14:paraId="116FB135">
            <w:pPr>
              <w:pStyle w:val="12"/>
              <w:jc w:val="center"/>
            </w:pPr>
            <w:r>
              <w:rPr>
                <w:rFonts w:hint="eastAsia"/>
              </w:rPr>
              <w:t>黎口—大兰</w:t>
            </w:r>
          </w:p>
        </w:tc>
        <w:tc>
          <w:tcPr>
            <w:tcW w:w="1086" w:type="pct"/>
            <w:vAlign w:val="center"/>
          </w:tcPr>
          <w:p w14:paraId="5F98259A">
            <w:pPr>
              <w:pStyle w:val="12"/>
              <w:jc w:val="center"/>
            </w:pPr>
            <w:r>
              <w:rPr>
                <w:rFonts w:hint="eastAsia"/>
              </w:rPr>
              <w:t>60</w:t>
            </w:r>
          </w:p>
        </w:tc>
        <w:tc>
          <w:tcPr>
            <w:tcW w:w="1743" w:type="pct"/>
            <w:vAlign w:val="center"/>
          </w:tcPr>
          <w:p w14:paraId="2D00B472">
            <w:pPr>
              <w:pStyle w:val="12"/>
              <w:jc w:val="left"/>
            </w:pPr>
            <w:r>
              <w:rPr>
                <w:rFonts w:hint="eastAsia"/>
              </w:rPr>
              <w:t>黎口，江头，上坑，油山，大塘</w:t>
            </w:r>
          </w:p>
        </w:tc>
      </w:tr>
      <w:tr w14:paraId="0F7369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64623F66">
            <w:pPr>
              <w:pStyle w:val="12"/>
              <w:jc w:val="center"/>
            </w:pPr>
            <w:r>
              <w:rPr>
                <w:rFonts w:hint="eastAsia"/>
              </w:rPr>
              <w:t>X339</w:t>
            </w:r>
          </w:p>
        </w:tc>
        <w:tc>
          <w:tcPr>
            <w:tcW w:w="1086" w:type="pct"/>
            <w:vAlign w:val="center"/>
          </w:tcPr>
          <w:p w14:paraId="7826E02E">
            <w:pPr>
              <w:pStyle w:val="12"/>
              <w:jc w:val="center"/>
            </w:pPr>
            <w:r>
              <w:rPr>
                <w:rFonts w:hint="eastAsia"/>
              </w:rPr>
              <w:t>河南—主田</w:t>
            </w:r>
          </w:p>
        </w:tc>
        <w:tc>
          <w:tcPr>
            <w:tcW w:w="1086" w:type="pct"/>
            <w:vAlign w:val="center"/>
          </w:tcPr>
          <w:p w14:paraId="55CB3B9E">
            <w:pPr>
              <w:pStyle w:val="12"/>
              <w:jc w:val="center"/>
            </w:pPr>
            <w:r>
              <w:rPr>
                <w:rFonts w:hint="eastAsia"/>
              </w:rPr>
              <w:t>7</w:t>
            </w:r>
          </w:p>
        </w:tc>
        <w:tc>
          <w:tcPr>
            <w:tcW w:w="1743" w:type="pct"/>
            <w:vAlign w:val="center"/>
          </w:tcPr>
          <w:p w14:paraId="325D8128">
            <w:pPr>
              <w:pStyle w:val="12"/>
              <w:jc w:val="left"/>
            </w:pPr>
            <w:r>
              <w:rPr>
                <w:rFonts w:hint="eastAsia"/>
              </w:rPr>
              <w:t>主田</w:t>
            </w:r>
          </w:p>
        </w:tc>
      </w:tr>
      <w:tr w14:paraId="0B30D7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45D9884A">
            <w:pPr>
              <w:pStyle w:val="12"/>
              <w:jc w:val="center"/>
            </w:pPr>
            <w:r>
              <w:rPr>
                <w:rFonts w:hint="eastAsia"/>
              </w:rPr>
              <w:t>X340</w:t>
            </w:r>
          </w:p>
        </w:tc>
        <w:tc>
          <w:tcPr>
            <w:tcW w:w="1086" w:type="pct"/>
            <w:vAlign w:val="center"/>
          </w:tcPr>
          <w:p w14:paraId="0A1F7D2A">
            <w:pPr>
              <w:pStyle w:val="12"/>
              <w:jc w:val="center"/>
            </w:pPr>
            <w:r>
              <w:rPr>
                <w:rFonts w:hint="eastAsia"/>
              </w:rPr>
              <w:t>全安—百顺</w:t>
            </w:r>
          </w:p>
        </w:tc>
        <w:tc>
          <w:tcPr>
            <w:tcW w:w="1086" w:type="pct"/>
            <w:vAlign w:val="center"/>
          </w:tcPr>
          <w:p w14:paraId="6FF499D1">
            <w:pPr>
              <w:pStyle w:val="12"/>
              <w:jc w:val="center"/>
            </w:pPr>
            <w:r>
              <w:rPr>
                <w:rFonts w:hint="eastAsia"/>
              </w:rPr>
              <w:t>45.2</w:t>
            </w:r>
          </w:p>
        </w:tc>
        <w:tc>
          <w:tcPr>
            <w:tcW w:w="1743" w:type="pct"/>
            <w:vAlign w:val="center"/>
          </w:tcPr>
          <w:p w14:paraId="56A35027">
            <w:pPr>
              <w:pStyle w:val="12"/>
              <w:jc w:val="left"/>
            </w:pPr>
            <w:r>
              <w:rPr>
                <w:rFonts w:hint="eastAsia"/>
              </w:rPr>
              <w:t>全安，大坪</w:t>
            </w:r>
          </w:p>
        </w:tc>
      </w:tr>
      <w:tr w14:paraId="047F1A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2066C07E">
            <w:pPr>
              <w:pStyle w:val="12"/>
              <w:jc w:val="center"/>
            </w:pPr>
            <w:r>
              <w:rPr>
                <w:rFonts w:hint="eastAsia"/>
              </w:rPr>
              <w:t>X341</w:t>
            </w:r>
          </w:p>
        </w:tc>
        <w:tc>
          <w:tcPr>
            <w:tcW w:w="1086" w:type="pct"/>
            <w:vAlign w:val="center"/>
          </w:tcPr>
          <w:p w14:paraId="1E42BD35">
            <w:pPr>
              <w:pStyle w:val="12"/>
              <w:jc w:val="center"/>
            </w:pPr>
            <w:r>
              <w:rPr>
                <w:rFonts w:hint="eastAsia"/>
              </w:rPr>
              <w:t>长市—长龙</w:t>
            </w:r>
          </w:p>
        </w:tc>
        <w:tc>
          <w:tcPr>
            <w:tcW w:w="1086" w:type="pct"/>
            <w:vAlign w:val="center"/>
          </w:tcPr>
          <w:p w14:paraId="1E4DF012">
            <w:pPr>
              <w:pStyle w:val="12"/>
              <w:jc w:val="center"/>
            </w:pPr>
            <w:r>
              <w:rPr>
                <w:rFonts w:hint="eastAsia"/>
              </w:rPr>
              <w:t>26.1</w:t>
            </w:r>
          </w:p>
        </w:tc>
        <w:tc>
          <w:tcPr>
            <w:tcW w:w="1743" w:type="pct"/>
            <w:vAlign w:val="center"/>
          </w:tcPr>
          <w:p w14:paraId="191B3D4B">
            <w:pPr>
              <w:pStyle w:val="12"/>
              <w:jc w:val="left"/>
            </w:pPr>
            <w:r>
              <w:rPr>
                <w:rFonts w:hint="eastAsia"/>
              </w:rPr>
              <w:t>邓坊，大塘</w:t>
            </w:r>
          </w:p>
        </w:tc>
      </w:tr>
      <w:tr w14:paraId="521AF5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13CE7F25">
            <w:pPr>
              <w:pStyle w:val="12"/>
              <w:jc w:val="center"/>
            </w:pPr>
            <w:r>
              <w:rPr>
                <w:rFonts w:hint="eastAsia"/>
              </w:rPr>
              <w:t>X342</w:t>
            </w:r>
          </w:p>
        </w:tc>
        <w:tc>
          <w:tcPr>
            <w:tcW w:w="1086" w:type="pct"/>
            <w:vAlign w:val="center"/>
          </w:tcPr>
          <w:p w14:paraId="71D1914A">
            <w:pPr>
              <w:pStyle w:val="12"/>
              <w:jc w:val="center"/>
            </w:pPr>
            <w:r>
              <w:rPr>
                <w:rFonts w:hint="eastAsia"/>
              </w:rPr>
              <w:t>珠玑—坳下</w:t>
            </w:r>
          </w:p>
        </w:tc>
        <w:tc>
          <w:tcPr>
            <w:tcW w:w="1086" w:type="pct"/>
            <w:vAlign w:val="center"/>
          </w:tcPr>
          <w:p w14:paraId="09BAD071">
            <w:pPr>
              <w:pStyle w:val="12"/>
              <w:jc w:val="center"/>
            </w:pPr>
            <w:r>
              <w:rPr>
                <w:rFonts w:hint="eastAsia"/>
              </w:rPr>
              <w:t>55.8</w:t>
            </w:r>
          </w:p>
        </w:tc>
        <w:tc>
          <w:tcPr>
            <w:tcW w:w="1743" w:type="pct"/>
            <w:vAlign w:val="center"/>
          </w:tcPr>
          <w:p w14:paraId="2BD39C9A">
            <w:pPr>
              <w:pStyle w:val="12"/>
              <w:jc w:val="left"/>
            </w:pPr>
            <w:r>
              <w:rPr>
                <w:rFonts w:hint="eastAsia"/>
              </w:rPr>
              <w:t>头渡，南亩，界址，新龙</w:t>
            </w:r>
          </w:p>
        </w:tc>
      </w:tr>
      <w:tr w14:paraId="0B3659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48CA13C9">
            <w:pPr>
              <w:pStyle w:val="12"/>
              <w:jc w:val="center"/>
            </w:pPr>
            <w:r>
              <w:rPr>
                <w:rFonts w:hint="eastAsia"/>
              </w:rPr>
              <w:t>X343</w:t>
            </w:r>
          </w:p>
        </w:tc>
        <w:tc>
          <w:tcPr>
            <w:tcW w:w="1086" w:type="pct"/>
            <w:vAlign w:val="center"/>
          </w:tcPr>
          <w:p w14:paraId="5991961A">
            <w:pPr>
              <w:pStyle w:val="12"/>
              <w:jc w:val="center"/>
            </w:pPr>
            <w:r>
              <w:rPr>
                <w:rFonts w:hint="eastAsia"/>
              </w:rPr>
              <w:t>孔江—坪田</w:t>
            </w:r>
          </w:p>
        </w:tc>
        <w:tc>
          <w:tcPr>
            <w:tcW w:w="1086" w:type="pct"/>
            <w:vAlign w:val="center"/>
          </w:tcPr>
          <w:p w14:paraId="48805190">
            <w:pPr>
              <w:pStyle w:val="12"/>
              <w:jc w:val="center"/>
            </w:pPr>
            <w:r>
              <w:rPr>
                <w:rFonts w:hint="eastAsia"/>
              </w:rPr>
              <w:t>22.1</w:t>
            </w:r>
          </w:p>
        </w:tc>
        <w:tc>
          <w:tcPr>
            <w:tcW w:w="1743" w:type="pct"/>
            <w:vAlign w:val="center"/>
          </w:tcPr>
          <w:p w14:paraId="4DDD2EF1">
            <w:pPr>
              <w:pStyle w:val="12"/>
              <w:jc w:val="left"/>
            </w:pPr>
            <w:r>
              <w:rPr>
                <w:rFonts w:hint="eastAsia"/>
              </w:rPr>
              <w:t>新龙、坪田</w:t>
            </w:r>
          </w:p>
        </w:tc>
      </w:tr>
      <w:tr w14:paraId="08B721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2B26F634">
            <w:pPr>
              <w:pStyle w:val="12"/>
              <w:jc w:val="center"/>
            </w:pPr>
            <w:r>
              <w:rPr>
                <w:rFonts w:hint="eastAsia"/>
              </w:rPr>
              <w:t>X360</w:t>
            </w:r>
          </w:p>
        </w:tc>
        <w:tc>
          <w:tcPr>
            <w:tcW w:w="1086" w:type="pct"/>
            <w:vAlign w:val="center"/>
          </w:tcPr>
          <w:p w14:paraId="48C5F263">
            <w:pPr>
              <w:pStyle w:val="12"/>
              <w:jc w:val="center"/>
            </w:pPr>
            <w:r>
              <w:rPr>
                <w:rFonts w:hint="eastAsia"/>
              </w:rPr>
              <w:t>角湾—许村</w:t>
            </w:r>
          </w:p>
        </w:tc>
        <w:tc>
          <w:tcPr>
            <w:tcW w:w="1086" w:type="pct"/>
            <w:vAlign w:val="center"/>
          </w:tcPr>
          <w:p w14:paraId="38630922">
            <w:pPr>
              <w:pStyle w:val="12"/>
              <w:jc w:val="center"/>
            </w:pPr>
            <w:r>
              <w:rPr>
                <w:rFonts w:hint="eastAsia"/>
              </w:rPr>
              <w:t>12.4</w:t>
            </w:r>
          </w:p>
        </w:tc>
        <w:tc>
          <w:tcPr>
            <w:tcW w:w="1743" w:type="pct"/>
            <w:vAlign w:val="center"/>
          </w:tcPr>
          <w:p w14:paraId="228D0F60">
            <w:pPr>
              <w:pStyle w:val="12"/>
              <w:jc w:val="left"/>
            </w:pPr>
            <w:r>
              <w:rPr>
                <w:rFonts w:hint="eastAsia"/>
              </w:rPr>
              <w:t>邓坊</w:t>
            </w:r>
          </w:p>
        </w:tc>
      </w:tr>
      <w:tr w14:paraId="175452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2222598B">
            <w:pPr>
              <w:pStyle w:val="12"/>
              <w:jc w:val="center"/>
            </w:pPr>
          </w:p>
        </w:tc>
        <w:tc>
          <w:tcPr>
            <w:tcW w:w="1086" w:type="pct"/>
            <w:vAlign w:val="center"/>
          </w:tcPr>
          <w:p w14:paraId="1A5909E3">
            <w:pPr>
              <w:pStyle w:val="12"/>
              <w:jc w:val="center"/>
            </w:pPr>
            <w:r>
              <w:rPr>
                <w:rFonts w:hint="eastAsia"/>
              </w:rPr>
              <w:t>合计</w:t>
            </w:r>
          </w:p>
        </w:tc>
        <w:tc>
          <w:tcPr>
            <w:tcW w:w="1086" w:type="pct"/>
            <w:vAlign w:val="center"/>
          </w:tcPr>
          <w:p w14:paraId="51F61CBD">
            <w:pPr>
              <w:pStyle w:val="12"/>
              <w:jc w:val="center"/>
            </w:pPr>
            <w:r>
              <w:rPr>
                <w:rFonts w:hint="eastAsia"/>
              </w:rPr>
              <w:t>242.6</w:t>
            </w:r>
          </w:p>
        </w:tc>
        <w:tc>
          <w:tcPr>
            <w:tcW w:w="1743" w:type="pct"/>
            <w:vAlign w:val="center"/>
          </w:tcPr>
          <w:p w14:paraId="69363C4F">
            <w:pPr>
              <w:pStyle w:val="12"/>
              <w:jc w:val="left"/>
            </w:pPr>
          </w:p>
        </w:tc>
      </w:tr>
    </w:tbl>
    <w:p w14:paraId="5C3274AE">
      <w:pPr>
        <w:ind w:firstLine="422"/>
        <w:rPr>
          <w:rFonts w:ascii="宋体" w:hAnsi="宋体"/>
          <w:b/>
          <w:szCs w:val="21"/>
        </w:rPr>
      </w:pPr>
      <w:r>
        <w:rPr>
          <w:rFonts w:hint="eastAsia" w:ascii="宋体" w:hAnsi="宋体"/>
          <w:b/>
          <w:szCs w:val="21"/>
        </w:rPr>
        <w:t>（三）桥梁</w:t>
      </w:r>
    </w:p>
    <w:p w14:paraId="2188F155">
      <w:pPr>
        <w:ind w:firstLine="420"/>
        <w:rPr>
          <w:rFonts w:ascii="宋体" w:hAnsi="宋体"/>
          <w:szCs w:val="21"/>
        </w:rPr>
      </w:pPr>
      <w:r>
        <w:rPr>
          <w:rFonts w:hint="eastAsia" w:ascii="宋体" w:hAnsi="宋体"/>
          <w:szCs w:val="21"/>
        </w:rPr>
        <w:t>市境国道</w:t>
      </w:r>
      <w:r>
        <w:rPr>
          <w:rFonts w:ascii="宋体" w:hAnsi="宋体"/>
          <w:szCs w:val="21"/>
        </w:rPr>
        <w:t>G323线，省道S342线及县道、乡道的公路桥梁，随着公路上等级改造</w:t>
      </w:r>
      <w:r>
        <w:rPr>
          <w:rFonts w:hint="eastAsia" w:ascii="宋体" w:hAnsi="宋体"/>
          <w:szCs w:val="21"/>
        </w:rPr>
        <w:t>工程的不断实施，大部分桥梁都进行了改造或大中修，且不断新建。</w:t>
      </w:r>
    </w:p>
    <w:p w14:paraId="70478747">
      <w:pPr>
        <w:ind w:firstLine="422"/>
        <w:rPr>
          <w:rFonts w:ascii="宋体" w:hAnsi="宋体"/>
          <w:b/>
          <w:szCs w:val="21"/>
        </w:rPr>
      </w:pPr>
      <w:r>
        <w:rPr>
          <w:rFonts w:ascii="宋体" w:hAnsi="宋体"/>
          <w:b/>
          <w:szCs w:val="21"/>
        </w:rPr>
        <w:t>1.国、省道大中型桥梁7座</w:t>
      </w:r>
    </w:p>
    <w:p w14:paraId="3C9D7F99">
      <w:pPr>
        <w:ind w:firstLine="420"/>
        <w:rPr>
          <w:rFonts w:ascii="宋体" w:hAnsi="宋体"/>
          <w:szCs w:val="21"/>
        </w:rPr>
      </w:pPr>
      <w:r>
        <w:rPr>
          <w:rFonts w:hint="eastAsia" w:ascii="宋体" w:hAnsi="宋体"/>
          <w:szCs w:val="21"/>
        </w:rPr>
        <w:t>国道</w:t>
      </w:r>
      <w:r>
        <w:rPr>
          <w:rFonts w:ascii="宋体" w:hAnsi="宋体"/>
          <w:szCs w:val="21"/>
        </w:rPr>
        <w:t>G323线南雄桥（水南大桥），中心桩号269K+084，跨市区浈江河。始建</w:t>
      </w:r>
      <w:r>
        <w:rPr>
          <w:rFonts w:hint="eastAsia" w:ascii="宋体" w:hAnsi="宋体"/>
          <w:szCs w:val="21"/>
        </w:rPr>
        <w:t>于</w:t>
      </w:r>
      <w:r>
        <w:rPr>
          <w:rFonts w:ascii="宋体" w:hAnsi="宋体"/>
          <w:szCs w:val="21"/>
        </w:rPr>
        <w:t>1956年10月，长125.1米，载重11级。于2</w:t>
      </w:r>
      <w:r>
        <w:rPr>
          <w:rFonts w:hint="eastAsia" w:ascii="宋体" w:hAnsi="宋体"/>
          <w:szCs w:val="21"/>
        </w:rPr>
        <w:t>0</w:t>
      </w:r>
      <w:r>
        <w:rPr>
          <w:rFonts w:ascii="宋体" w:hAnsi="宋体"/>
          <w:szCs w:val="21"/>
        </w:rPr>
        <w:t>02年10月动工改建，2004年5月</w:t>
      </w:r>
      <w:r>
        <w:rPr>
          <w:rFonts w:hint="eastAsia" w:ascii="宋体" w:hAnsi="宋体"/>
          <w:szCs w:val="21"/>
        </w:rPr>
        <w:t>建成通车，桥型结构为</w:t>
      </w:r>
      <w:r>
        <w:rPr>
          <w:rFonts w:ascii="宋体" w:hAnsi="宋体"/>
          <w:szCs w:val="21"/>
        </w:rPr>
        <w:t>T形梁。长128米，宽24米，载重20级</w:t>
      </w:r>
      <w:r>
        <w:rPr>
          <w:rFonts w:hint="eastAsia" w:ascii="宋体" w:hAnsi="宋体"/>
          <w:szCs w:val="21"/>
        </w:rPr>
        <w:t>。</w:t>
      </w:r>
    </w:p>
    <w:p w14:paraId="49849E5F">
      <w:pPr>
        <w:ind w:firstLine="420"/>
        <w:rPr>
          <w:rFonts w:ascii="宋体" w:hAnsi="宋体"/>
          <w:szCs w:val="21"/>
        </w:rPr>
      </w:pPr>
      <w:r>
        <w:rPr>
          <w:rFonts w:hint="eastAsia" w:ascii="宋体" w:hAnsi="宋体"/>
          <w:szCs w:val="21"/>
        </w:rPr>
        <w:t>国道</w:t>
      </w:r>
      <w:r>
        <w:rPr>
          <w:rFonts w:ascii="宋体" w:hAnsi="宋体"/>
          <w:szCs w:val="21"/>
        </w:rPr>
        <w:t>G323线洋湖桥（中桥），中心桩号258K+759，位于珠玑镇境内，跨浈江</w:t>
      </w:r>
      <w:r>
        <w:rPr>
          <w:rFonts w:hint="eastAsia" w:ascii="宋体" w:hAnsi="宋体"/>
          <w:szCs w:val="21"/>
        </w:rPr>
        <w:t>河支流小坑河，于</w:t>
      </w:r>
      <w:r>
        <w:rPr>
          <w:rFonts w:ascii="宋体" w:hAnsi="宋体"/>
          <w:szCs w:val="21"/>
        </w:rPr>
        <w:t>2000年12月新建通车，桥型结构为T形梁。长70.6米，宽20.5</w:t>
      </w:r>
      <w:r>
        <w:rPr>
          <w:rFonts w:hint="eastAsia" w:ascii="宋体" w:hAnsi="宋体"/>
          <w:szCs w:val="21"/>
        </w:rPr>
        <w:t>米，高</w:t>
      </w:r>
      <w:r>
        <w:rPr>
          <w:rFonts w:ascii="宋体" w:hAnsi="宋体"/>
          <w:szCs w:val="21"/>
        </w:rPr>
        <w:t>9米，载重20级。</w:t>
      </w:r>
    </w:p>
    <w:p w14:paraId="42D93477">
      <w:pPr>
        <w:ind w:firstLine="420"/>
        <w:rPr>
          <w:rFonts w:ascii="宋体" w:hAnsi="宋体"/>
          <w:szCs w:val="21"/>
        </w:rPr>
      </w:pPr>
      <w:r>
        <w:rPr>
          <w:rFonts w:hint="eastAsia" w:ascii="宋体" w:hAnsi="宋体"/>
          <w:szCs w:val="21"/>
        </w:rPr>
        <w:t>国道G</w:t>
      </w:r>
      <w:r>
        <w:rPr>
          <w:rFonts w:ascii="宋体" w:hAnsi="宋体"/>
          <w:szCs w:val="21"/>
        </w:rPr>
        <w:t>323线修仁桥（中桥），中心桩号276K+456，位于古市镇境内，跨浈江</w:t>
      </w:r>
      <w:r>
        <w:rPr>
          <w:rFonts w:hint="eastAsia" w:ascii="宋体" w:hAnsi="宋体"/>
          <w:szCs w:val="21"/>
        </w:rPr>
        <w:t>河支流瀑布河。该桥始建于</w:t>
      </w:r>
      <w:r>
        <w:rPr>
          <w:rFonts w:ascii="宋体" w:hAnsi="宋体"/>
          <w:szCs w:val="21"/>
        </w:rPr>
        <w:t>1967年，双曲拱桥，长57米。于1994年11月改址新</w:t>
      </w:r>
      <w:r>
        <w:rPr>
          <w:rFonts w:hint="eastAsia" w:ascii="宋体" w:hAnsi="宋体"/>
          <w:szCs w:val="21"/>
        </w:rPr>
        <w:t>建，桥型结构为</w:t>
      </w:r>
      <w:r>
        <w:rPr>
          <w:rFonts w:ascii="宋体" w:hAnsi="宋体"/>
          <w:szCs w:val="21"/>
        </w:rPr>
        <w:t>T形梁。长57.2米，宽12米，高9.2米，载重20级</w:t>
      </w:r>
      <w:r>
        <w:rPr>
          <w:rFonts w:hint="eastAsia" w:ascii="宋体" w:hAnsi="宋体"/>
          <w:szCs w:val="21"/>
        </w:rPr>
        <w:t>。</w:t>
      </w:r>
    </w:p>
    <w:p w14:paraId="7B9C89A2">
      <w:pPr>
        <w:ind w:firstLine="420"/>
        <w:rPr>
          <w:rFonts w:ascii="宋体" w:hAnsi="宋体"/>
          <w:szCs w:val="21"/>
        </w:rPr>
      </w:pPr>
      <w:r>
        <w:rPr>
          <w:rFonts w:hint="eastAsia" w:ascii="宋体" w:hAnsi="宋体"/>
          <w:szCs w:val="21"/>
        </w:rPr>
        <w:t>省道</w:t>
      </w:r>
      <w:r>
        <w:rPr>
          <w:rFonts w:ascii="宋体" w:hAnsi="宋体"/>
          <w:szCs w:val="21"/>
        </w:rPr>
        <w:t>S342线乌迳桥（中桥），中心桩号12K+681，位于</w:t>
      </w:r>
      <w:r>
        <w:rPr>
          <w:rFonts w:hint="eastAsia" w:ascii="宋体" w:hAnsi="宋体"/>
          <w:szCs w:val="21"/>
        </w:rPr>
        <w:t>乌</w:t>
      </w:r>
      <w:r>
        <w:rPr>
          <w:rFonts w:ascii="宋体" w:hAnsi="宋体"/>
          <w:szCs w:val="21"/>
        </w:rPr>
        <w:t>迳镇境内，跨浈江河</w:t>
      </w:r>
      <w:r>
        <w:rPr>
          <w:rFonts w:hint="eastAsia" w:ascii="宋体" w:hAnsi="宋体"/>
          <w:szCs w:val="21"/>
        </w:rPr>
        <w:t>支流小河。该桥始建于</w:t>
      </w:r>
      <w:r>
        <w:rPr>
          <w:rFonts w:ascii="宋体" w:hAnsi="宋体"/>
          <w:szCs w:val="21"/>
        </w:rPr>
        <w:t>1971年6月，石拱35.4米。于1997年12月新建，桥型结构</w:t>
      </w:r>
      <w:r>
        <w:rPr>
          <w:rFonts w:hint="eastAsia" w:ascii="宋体" w:hAnsi="宋体"/>
          <w:szCs w:val="21"/>
        </w:rPr>
        <w:t>为板梁（实心）。长</w:t>
      </w:r>
      <w:r>
        <w:rPr>
          <w:rFonts w:ascii="宋体" w:hAnsi="宋体"/>
          <w:szCs w:val="21"/>
        </w:rPr>
        <w:t>58米，宽12米，高5.3米，载重20级</w:t>
      </w:r>
      <w:r>
        <w:rPr>
          <w:rFonts w:hint="eastAsia" w:ascii="宋体" w:hAnsi="宋体"/>
          <w:szCs w:val="21"/>
        </w:rPr>
        <w:t>。</w:t>
      </w:r>
    </w:p>
    <w:p w14:paraId="54BD9B66">
      <w:pPr>
        <w:ind w:firstLine="420"/>
        <w:rPr>
          <w:rFonts w:ascii="宋体" w:hAnsi="宋体"/>
          <w:szCs w:val="21"/>
        </w:rPr>
      </w:pPr>
      <w:r>
        <w:rPr>
          <w:rFonts w:hint="eastAsia" w:ascii="宋体" w:hAnsi="宋体"/>
          <w:szCs w:val="21"/>
        </w:rPr>
        <w:t>省道</w:t>
      </w:r>
      <w:r>
        <w:rPr>
          <w:rFonts w:ascii="宋体" w:hAnsi="宋体"/>
          <w:szCs w:val="21"/>
        </w:rPr>
        <w:t>S342线新田桥（中桥），中心桩号16K+675，位于乌迳镇境内，跨浈江河</w:t>
      </w:r>
      <w:r>
        <w:rPr>
          <w:rFonts w:hint="eastAsia" w:ascii="宋体" w:hAnsi="宋体"/>
          <w:szCs w:val="21"/>
        </w:rPr>
        <w:t>支流小河。该桥始建于</w:t>
      </w:r>
      <w:r>
        <w:rPr>
          <w:rFonts w:ascii="宋体" w:hAnsi="宋体"/>
          <w:szCs w:val="21"/>
        </w:rPr>
        <w:t>1960年3月，石拱45米。于1997年12月新建，桥型结构为</w:t>
      </w:r>
      <w:r>
        <w:rPr>
          <w:rFonts w:hint="eastAsia" w:ascii="宋体" w:hAnsi="宋体"/>
          <w:szCs w:val="21"/>
        </w:rPr>
        <w:t>板梁（实心）。长</w:t>
      </w:r>
      <w:r>
        <w:rPr>
          <w:rFonts w:ascii="宋体" w:hAnsi="宋体"/>
          <w:szCs w:val="21"/>
        </w:rPr>
        <w:t>53.4米，宽12米，高5米，载重20级</w:t>
      </w:r>
      <w:r>
        <w:rPr>
          <w:rFonts w:hint="eastAsia" w:ascii="宋体" w:hAnsi="宋体"/>
          <w:szCs w:val="21"/>
        </w:rPr>
        <w:t>。</w:t>
      </w:r>
    </w:p>
    <w:p w14:paraId="50D9BC5F">
      <w:pPr>
        <w:ind w:firstLine="420"/>
        <w:rPr>
          <w:rFonts w:ascii="宋体" w:hAnsi="宋体"/>
          <w:szCs w:val="21"/>
        </w:rPr>
      </w:pPr>
      <w:r>
        <w:rPr>
          <w:rFonts w:hint="eastAsia" w:ascii="宋体" w:hAnsi="宋体"/>
          <w:szCs w:val="21"/>
        </w:rPr>
        <w:t>省道</w:t>
      </w:r>
      <w:r>
        <w:rPr>
          <w:rFonts w:ascii="宋体" w:hAnsi="宋体"/>
          <w:szCs w:val="21"/>
        </w:rPr>
        <w:t>S342线教场桥（中桥），中心桩号50K+312，位于雄州镇境内，跨浈江河</w:t>
      </w:r>
      <w:r>
        <w:rPr>
          <w:rFonts w:hint="eastAsia" w:ascii="宋体" w:hAnsi="宋体"/>
          <w:szCs w:val="21"/>
        </w:rPr>
        <w:t>支流凌江河。该桥始建于</w:t>
      </w:r>
      <w:r>
        <w:rPr>
          <w:rFonts w:ascii="宋体" w:hAnsi="宋体"/>
          <w:szCs w:val="21"/>
        </w:rPr>
        <w:t>1929年，为木结构简易桥。1971年冬重建为钢筋混凝土空</w:t>
      </w:r>
      <w:r>
        <w:rPr>
          <w:rFonts w:hint="eastAsia" w:ascii="宋体" w:hAnsi="宋体"/>
          <w:szCs w:val="21"/>
        </w:rPr>
        <w:t>腹双曲拱桥。</w:t>
      </w:r>
      <w:r>
        <w:rPr>
          <w:rFonts w:ascii="宋体" w:hAnsi="宋体"/>
          <w:szCs w:val="21"/>
        </w:rPr>
        <w:t>1998年大修，长88米，宽9.2米，高5.8米，载重10级</w:t>
      </w:r>
      <w:r>
        <w:rPr>
          <w:rFonts w:hint="eastAsia" w:ascii="宋体" w:hAnsi="宋体"/>
          <w:szCs w:val="21"/>
        </w:rPr>
        <w:t>。</w:t>
      </w:r>
    </w:p>
    <w:p w14:paraId="5198AFF2">
      <w:pPr>
        <w:ind w:firstLine="420"/>
        <w:rPr>
          <w:rFonts w:ascii="宋体" w:hAnsi="宋体"/>
          <w:szCs w:val="21"/>
        </w:rPr>
      </w:pPr>
      <w:r>
        <w:rPr>
          <w:rFonts w:hint="eastAsia" w:ascii="宋体" w:hAnsi="宋体"/>
          <w:szCs w:val="21"/>
        </w:rPr>
        <w:t>省道</w:t>
      </w:r>
      <w:r>
        <w:rPr>
          <w:rFonts w:ascii="宋体" w:hAnsi="宋体"/>
          <w:szCs w:val="21"/>
        </w:rPr>
        <w:t>S342线大沙州桥（中桥），中心桩号111K+896，位于百顺镇境内，跨北江</w:t>
      </w:r>
      <w:r>
        <w:rPr>
          <w:rFonts w:hint="eastAsia" w:ascii="宋体" w:hAnsi="宋体"/>
          <w:szCs w:val="21"/>
        </w:rPr>
        <w:t>河上游支流，于</w:t>
      </w:r>
      <w:r>
        <w:rPr>
          <w:rFonts w:ascii="宋体" w:hAnsi="宋体"/>
          <w:szCs w:val="21"/>
        </w:rPr>
        <w:t>1971年11月建成通车。桥型结构为石拱。长41.9米，宽7.5米，</w:t>
      </w:r>
      <w:r>
        <w:rPr>
          <w:rFonts w:hint="eastAsia" w:ascii="宋体" w:hAnsi="宋体"/>
          <w:szCs w:val="21"/>
        </w:rPr>
        <w:t>高</w:t>
      </w:r>
      <w:r>
        <w:rPr>
          <w:rFonts w:ascii="宋体" w:hAnsi="宋体"/>
          <w:szCs w:val="21"/>
        </w:rPr>
        <w:t>9.6米，载重10级。</w:t>
      </w:r>
    </w:p>
    <w:p w14:paraId="43F9FE53">
      <w:pPr>
        <w:ind w:firstLine="422"/>
        <w:rPr>
          <w:rFonts w:ascii="宋体" w:hAnsi="宋体"/>
          <w:b/>
          <w:szCs w:val="21"/>
        </w:rPr>
      </w:pPr>
      <w:r>
        <w:rPr>
          <w:rFonts w:ascii="宋体" w:hAnsi="宋体"/>
          <w:b/>
          <w:szCs w:val="21"/>
        </w:rPr>
        <w:t>2.县道公路桥梁47座，1124.7延米。</w:t>
      </w:r>
    </w:p>
    <w:p w14:paraId="6FE149E7">
      <w:pPr>
        <w:ind w:firstLine="0" w:firstLineChars="0"/>
        <w:jc w:val="center"/>
        <w:rPr>
          <w:rFonts w:ascii="宋体" w:hAnsi="宋体"/>
          <w:b/>
          <w:szCs w:val="21"/>
        </w:rPr>
      </w:pPr>
      <w:r>
        <w:rPr>
          <w:rFonts w:hint="eastAsia" w:ascii="宋体" w:hAnsi="宋体"/>
          <w:b/>
          <w:szCs w:val="21"/>
        </w:rPr>
        <w:t>南雄市县道公路主要桥梁一览</w:t>
      </w:r>
    </w:p>
    <w:p w14:paraId="1DC3E4B6">
      <w:pPr>
        <w:ind w:firstLine="0" w:firstLineChars="0"/>
        <w:rPr>
          <w:rFonts w:ascii="宋体" w:hAnsi="宋体"/>
          <w:b/>
          <w:szCs w:val="21"/>
        </w:rPr>
      </w:pPr>
      <w:r>
        <w:rPr>
          <w:rFonts w:hint="eastAsia" w:ascii="宋体" w:hAnsi="宋体"/>
          <w:b/>
          <w:szCs w:val="21"/>
        </w:rPr>
        <w:t>表</w:t>
      </w:r>
      <w:r>
        <w:rPr>
          <w:rFonts w:ascii="宋体" w:hAnsi="宋体"/>
          <w:b/>
          <w:szCs w:val="21"/>
        </w:rPr>
        <w:t>3-3</w:t>
      </w:r>
    </w:p>
    <w:p w14:paraId="78CD4CCA">
      <w:pPr>
        <w:ind w:firstLine="422"/>
        <w:jc w:val="right"/>
        <w:rPr>
          <w:rFonts w:ascii="宋体" w:hAnsi="宋体"/>
          <w:b/>
          <w:szCs w:val="21"/>
        </w:rPr>
      </w:pPr>
      <w:r>
        <w:rPr>
          <w:rFonts w:ascii="宋体" w:hAnsi="宋体"/>
          <w:b/>
          <w:szCs w:val="21"/>
        </w:rPr>
        <w:t>单位：米</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22"/>
        <w:gridCol w:w="1422"/>
        <w:gridCol w:w="1423"/>
        <w:gridCol w:w="1425"/>
        <w:gridCol w:w="1763"/>
        <w:gridCol w:w="1084"/>
        <w:gridCol w:w="1423"/>
      </w:tblGrid>
      <w:tr w14:paraId="719813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C22A16D">
            <w:pPr>
              <w:pStyle w:val="12"/>
              <w:jc w:val="center"/>
              <w:rPr>
                <w:b/>
              </w:rPr>
            </w:pPr>
            <w:r>
              <w:rPr>
                <w:rFonts w:hint="eastAsia"/>
                <w:b/>
              </w:rPr>
              <w:t>所属</w:t>
            </w:r>
          </w:p>
        </w:tc>
        <w:tc>
          <w:tcPr>
            <w:tcW w:w="714" w:type="pct"/>
            <w:vAlign w:val="center"/>
          </w:tcPr>
          <w:p w14:paraId="324DE5E2">
            <w:pPr>
              <w:pStyle w:val="12"/>
              <w:jc w:val="center"/>
              <w:rPr>
                <w:b/>
              </w:rPr>
            </w:pPr>
            <w:r>
              <w:rPr>
                <w:rFonts w:hint="eastAsia"/>
                <w:b/>
              </w:rPr>
              <w:t>桥梁名称</w:t>
            </w:r>
          </w:p>
        </w:tc>
        <w:tc>
          <w:tcPr>
            <w:tcW w:w="714" w:type="pct"/>
            <w:vAlign w:val="center"/>
          </w:tcPr>
          <w:p w14:paraId="2027BEE0">
            <w:pPr>
              <w:pStyle w:val="12"/>
              <w:jc w:val="center"/>
              <w:rPr>
                <w:b/>
              </w:rPr>
            </w:pPr>
            <w:r>
              <w:rPr>
                <w:rFonts w:hint="eastAsia"/>
                <w:b/>
              </w:rPr>
              <w:t>桥梁长度（米）</w:t>
            </w:r>
          </w:p>
        </w:tc>
        <w:tc>
          <w:tcPr>
            <w:tcW w:w="715" w:type="pct"/>
            <w:vAlign w:val="center"/>
          </w:tcPr>
          <w:p w14:paraId="7048D8E5">
            <w:pPr>
              <w:pStyle w:val="12"/>
              <w:jc w:val="center"/>
              <w:rPr>
                <w:b/>
              </w:rPr>
            </w:pPr>
            <w:r>
              <w:rPr>
                <w:rFonts w:hint="eastAsia"/>
                <w:b/>
              </w:rPr>
              <w:t>建成投产年月</w:t>
            </w:r>
          </w:p>
        </w:tc>
        <w:tc>
          <w:tcPr>
            <w:tcW w:w="885" w:type="pct"/>
            <w:vAlign w:val="center"/>
          </w:tcPr>
          <w:p w14:paraId="5176D029">
            <w:pPr>
              <w:pStyle w:val="12"/>
              <w:jc w:val="center"/>
              <w:rPr>
                <w:b/>
              </w:rPr>
            </w:pPr>
            <w:r>
              <w:rPr>
                <w:rFonts w:hint="eastAsia"/>
                <w:b/>
              </w:rPr>
              <w:t>上部结构与式样</w:t>
            </w:r>
          </w:p>
        </w:tc>
        <w:tc>
          <w:tcPr>
            <w:tcW w:w="544" w:type="pct"/>
            <w:vAlign w:val="center"/>
          </w:tcPr>
          <w:p w14:paraId="4CDC6FE5">
            <w:pPr>
              <w:pStyle w:val="12"/>
              <w:jc w:val="center"/>
              <w:rPr>
                <w:b/>
              </w:rPr>
            </w:pPr>
            <w:r>
              <w:rPr>
                <w:rFonts w:hint="eastAsia"/>
                <w:b/>
              </w:rPr>
              <w:t>孔数</w:t>
            </w:r>
          </w:p>
        </w:tc>
        <w:tc>
          <w:tcPr>
            <w:tcW w:w="715" w:type="pct"/>
            <w:vAlign w:val="center"/>
          </w:tcPr>
          <w:p w14:paraId="468974C9">
            <w:pPr>
              <w:pStyle w:val="12"/>
              <w:jc w:val="center"/>
              <w:rPr>
                <w:b/>
              </w:rPr>
            </w:pPr>
            <w:r>
              <w:rPr>
                <w:rFonts w:hint="eastAsia"/>
                <w:b/>
              </w:rPr>
              <w:t>设计荷载</w:t>
            </w:r>
          </w:p>
        </w:tc>
      </w:tr>
      <w:tr w14:paraId="4D55C2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E971389">
            <w:pPr>
              <w:pStyle w:val="12"/>
              <w:jc w:val="center"/>
            </w:pPr>
            <w:r>
              <w:rPr>
                <w:rFonts w:hint="eastAsia"/>
              </w:rPr>
              <w:t>X338</w:t>
            </w:r>
          </w:p>
        </w:tc>
        <w:tc>
          <w:tcPr>
            <w:tcW w:w="714" w:type="pct"/>
            <w:vAlign w:val="center"/>
          </w:tcPr>
          <w:p w14:paraId="6DABE1C1">
            <w:pPr>
              <w:pStyle w:val="12"/>
              <w:jc w:val="center"/>
            </w:pPr>
            <w:r>
              <w:rPr>
                <w:rFonts w:hint="eastAsia"/>
              </w:rPr>
              <w:t>黎口桥</w:t>
            </w:r>
          </w:p>
        </w:tc>
        <w:tc>
          <w:tcPr>
            <w:tcW w:w="714" w:type="pct"/>
            <w:vAlign w:val="center"/>
          </w:tcPr>
          <w:p w14:paraId="10E332F8">
            <w:pPr>
              <w:pStyle w:val="12"/>
              <w:jc w:val="center"/>
            </w:pPr>
            <w:r>
              <w:rPr>
                <w:rFonts w:hint="eastAsia"/>
              </w:rPr>
              <w:t>34</w:t>
            </w:r>
            <w:r>
              <w:rPr>
                <w:rFonts w:hint="eastAsia" w:ascii="宋体" w:hAnsi="宋体" w:cs="宋体"/>
              </w:rPr>
              <w:t>.</w:t>
            </w:r>
            <w:r>
              <w:rPr>
                <w:rFonts w:hint="eastAsia"/>
              </w:rPr>
              <w:t>4</w:t>
            </w:r>
          </w:p>
        </w:tc>
        <w:tc>
          <w:tcPr>
            <w:tcW w:w="715" w:type="pct"/>
            <w:vAlign w:val="center"/>
          </w:tcPr>
          <w:p w14:paraId="48C3EEE8">
            <w:pPr>
              <w:pStyle w:val="12"/>
              <w:jc w:val="center"/>
            </w:pPr>
            <w:r>
              <w:rPr>
                <w:rFonts w:hint="eastAsia"/>
              </w:rPr>
              <w:t>1992年12月</w:t>
            </w:r>
          </w:p>
        </w:tc>
        <w:tc>
          <w:tcPr>
            <w:tcW w:w="885" w:type="pct"/>
            <w:vAlign w:val="center"/>
          </w:tcPr>
          <w:p w14:paraId="2DE81506">
            <w:pPr>
              <w:pStyle w:val="12"/>
              <w:jc w:val="center"/>
            </w:pPr>
            <w:r>
              <w:rPr>
                <w:rFonts w:hint="eastAsia"/>
              </w:rPr>
              <w:t>石拱</w:t>
            </w:r>
          </w:p>
        </w:tc>
        <w:tc>
          <w:tcPr>
            <w:tcW w:w="544" w:type="pct"/>
            <w:vAlign w:val="center"/>
          </w:tcPr>
          <w:p w14:paraId="13ABE4A0">
            <w:pPr>
              <w:pStyle w:val="12"/>
              <w:jc w:val="center"/>
            </w:pPr>
            <w:r>
              <w:rPr>
                <w:rFonts w:hint="eastAsia"/>
              </w:rPr>
              <w:t>1</w:t>
            </w:r>
          </w:p>
        </w:tc>
        <w:tc>
          <w:tcPr>
            <w:tcW w:w="715" w:type="pct"/>
            <w:vAlign w:val="center"/>
          </w:tcPr>
          <w:p w14:paraId="33F823C6">
            <w:pPr>
              <w:pStyle w:val="12"/>
              <w:jc w:val="center"/>
            </w:pPr>
            <w:r>
              <w:rPr>
                <w:rFonts w:hint="eastAsia"/>
              </w:rPr>
              <w:t>汽车-15级</w:t>
            </w:r>
          </w:p>
        </w:tc>
      </w:tr>
      <w:tr w14:paraId="6C760B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2027548">
            <w:pPr>
              <w:pStyle w:val="12"/>
              <w:jc w:val="center"/>
            </w:pPr>
            <w:r>
              <w:rPr>
                <w:rFonts w:hint="eastAsia"/>
              </w:rPr>
              <w:t>X338</w:t>
            </w:r>
          </w:p>
        </w:tc>
        <w:tc>
          <w:tcPr>
            <w:tcW w:w="714" w:type="pct"/>
            <w:vAlign w:val="center"/>
          </w:tcPr>
          <w:p w14:paraId="0113B20D">
            <w:pPr>
              <w:pStyle w:val="12"/>
              <w:jc w:val="center"/>
            </w:pPr>
            <w:r>
              <w:rPr>
                <w:rFonts w:hint="eastAsia"/>
              </w:rPr>
              <w:t>勋口桥</w:t>
            </w:r>
          </w:p>
        </w:tc>
        <w:tc>
          <w:tcPr>
            <w:tcW w:w="714" w:type="pct"/>
            <w:vAlign w:val="center"/>
          </w:tcPr>
          <w:p w14:paraId="2B6BFA8C">
            <w:pPr>
              <w:pStyle w:val="12"/>
              <w:jc w:val="center"/>
            </w:pPr>
            <w:r>
              <w:rPr>
                <w:rFonts w:hint="eastAsia"/>
              </w:rPr>
              <w:t>19</w:t>
            </w:r>
            <w:r>
              <w:rPr>
                <w:rFonts w:hint="eastAsia" w:ascii="宋体" w:hAnsi="宋体" w:cs="宋体"/>
              </w:rPr>
              <w:t>.</w:t>
            </w:r>
            <w:r>
              <w:rPr>
                <w:rFonts w:hint="eastAsia"/>
              </w:rPr>
              <w:t>3</w:t>
            </w:r>
          </w:p>
        </w:tc>
        <w:tc>
          <w:tcPr>
            <w:tcW w:w="715" w:type="pct"/>
            <w:vAlign w:val="center"/>
          </w:tcPr>
          <w:p w14:paraId="7C1672A6">
            <w:pPr>
              <w:pStyle w:val="12"/>
              <w:jc w:val="center"/>
            </w:pPr>
            <w:r>
              <w:rPr>
                <w:rFonts w:hint="eastAsia"/>
              </w:rPr>
              <w:t>1993年10月</w:t>
            </w:r>
          </w:p>
        </w:tc>
        <w:tc>
          <w:tcPr>
            <w:tcW w:w="885" w:type="pct"/>
            <w:vAlign w:val="center"/>
          </w:tcPr>
          <w:p w14:paraId="232AA6FB">
            <w:pPr>
              <w:pStyle w:val="12"/>
              <w:jc w:val="center"/>
            </w:pPr>
            <w:r>
              <w:rPr>
                <w:rFonts w:hint="eastAsia"/>
              </w:rPr>
              <w:t>板梁（实心）</w:t>
            </w:r>
          </w:p>
        </w:tc>
        <w:tc>
          <w:tcPr>
            <w:tcW w:w="544" w:type="pct"/>
            <w:vAlign w:val="center"/>
          </w:tcPr>
          <w:p w14:paraId="076FEF8A">
            <w:pPr>
              <w:pStyle w:val="12"/>
              <w:jc w:val="center"/>
            </w:pPr>
            <w:r>
              <w:rPr>
                <w:rFonts w:hint="eastAsia"/>
              </w:rPr>
              <w:t>2</w:t>
            </w:r>
          </w:p>
        </w:tc>
        <w:tc>
          <w:tcPr>
            <w:tcW w:w="715" w:type="pct"/>
            <w:vAlign w:val="center"/>
          </w:tcPr>
          <w:p w14:paraId="3AC91491">
            <w:pPr>
              <w:pStyle w:val="12"/>
              <w:jc w:val="center"/>
            </w:pPr>
            <w:r>
              <w:rPr>
                <w:rFonts w:hint="eastAsia"/>
              </w:rPr>
              <w:t>汽车-15级</w:t>
            </w:r>
          </w:p>
        </w:tc>
      </w:tr>
      <w:tr w14:paraId="2BA49E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23C2FF97">
            <w:pPr>
              <w:pStyle w:val="12"/>
              <w:jc w:val="center"/>
            </w:pPr>
            <w:r>
              <w:rPr>
                <w:rFonts w:hint="eastAsia"/>
              </w:rPr>
              <w:t>X338</w:t>
            </w:r>
          </w:p>
        </w:tc>
        <w:tc>
          <w:tcPr>
            <w:tcW w:w="714" w:type="pct"/>
            <w:vAlign w:val="center"/>
          </w:tcPr>
          <w:p w14:paraId="0D852CDE">
            <w:pPr>
              <w:pStyle w:val="12"/>
              <w:jc w:val="center"/>
            </w:pPr>
            <w:r>
              <w:rPr>
                <w:rFonts w:hint="eastAsia"/>
              </w:rPr>
              <w:t>坪岗桥</w:t>
            </w:r>
          </w:p>
        </w:tc>
        <w:tc>
          <w:tcPr>
            <w:tcW w:w="714" w:type="pct"/>
            <w:vAlign w:val="center"/>
          </w:tcPr>
          <w:p w14:paraId="769C53F7">
            <w:pPr>
              <w:pStyle w:val="12"/>
              <w:jc w:val="center"/>
            </w:pPr>
            <w:r>
              <w:rPr>
                <w:rFonts w:hint="eastAsia"/>
              </w:rPr>
              <w:t>118</w:t>
            </w:r>
          </w:p>
        </w:tc>
        <w:tc>
          <w:tcPr>
            <w:tcW w:w="715" w:type="pct"/>
            <w:vAlign w:val="center"/>
          </w:tcPr>
          <w:p w14:paraId="4AAD2475">
            <w:pPr>
              <w:pStyle w:val="12"/>
              <w:jc w:val="center"/>
            </w:pPr>
            <w:r>
              <w:rPr>
                <w:rFonts w:hint="eastAsia"/>
              </w:rPr>
              <w:t>1982年6月</w:t>
            </w:r>
          </w:p>
        </w:tc>
        <w:tc>
          <w:tcPr>
            <w:tcW w:w="885" w:type="pct"/>
            <w:vAlign w:val="center"/>
          </w:tcPr>
          <w:p w14:paraId="7138B8AF">
            <w:pPr>
              <w:pStyle w:val="12"/>
              <w:jc w:val="center"/>
            </w:pPr>
            <w:r>
              <w:rPr>
                <w:rFonts w:hint="eastAsia"/>
              </w:rPr>
              <w:t>双曲拱</w:t>
            </w:r>
          </w:p>
        </w:tc>
        <w:tc>
          <w:tcPr>
            <w:tcW w:w="544" w:type="pct"/>
            <w:vAlign w:val="center"/>
          </w:tcPr>
          <w:p w14:paraId="38C42CF5">
            <w:pPr>
              <w:pStyle w:val="12"/>
              <w:jc w:val="center"/>
            </w:pPr>
            <w:r>
              <w:rPr>
                <w:rFonts w:hint="eastAsia"/>
              </w:rPr>
              <w:t>4</w:t>
            </w:r>
          </w:p>
        </w:tc>
        <w:tc>
          <w:tcPr>
            <w:tcW w:w="715" w:type="pct"/>
            <w:vAlign w:val="center"/>
          </w:tcPr>
          <w:p w14:paraId="636E7566">
            <w:pPr>
              <w:pStyle w:val="12"/>
              <w:jc w:val="center"/>
            </w:pPr>
            <w:r>
              <w:rPr>
                <w:rFonts w:hint="eastAsia"/>
              </w:rPr>
              <w:t>汽车-10级</w:t>
            </w:r>
          </w:p>
        </w:tc>
      </w:tr>
      <w:tr w14:paraId="6D7E2A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EFA0196">
            <w:pPr>
              <w:pStyle w:val="12"/>
              <w:jc w:val="center"/>
            </w:pPr>
            <w:r>
              <w:rPr>
                <w:rFonts w:hint="eastAsia"/>
              </w:rPr>
              <w:t>X338</w:t>
            </w:r>
          </w:p>
        </w:tc>
        <w:tc>
          <w:tcPr>
            <w:tcW w:w="714" w:type="pct"/>
            <w:vAlign w:val="center"/>
          </w:tcPr>
          <w:p w14:paraId="4F47FE39">
            <w:pPr>
              <w:pStyle w:val="12"/>
              <w:jc w:val="center"/>
            </w:pPr>
            <w:r>
              <w:rPr>
                <w:rFonts w:hint="eastAsia"/>
              </w:rPr>
              <w:t>涌溪桥</w:t>
            </w:r>
          </w:p>
        </w:tc>
        <w:tc>
          <w:tcPr>
            <w:tcW w:w="714" w:type="pct"/>
            <w:vAlign w:val="center"/>
          </w:tcPr>
          <w:p w14:paraId="05756EFE">
            <w:pPr>
              <w:pStyle w:val="12"/>
              <w:jc w:val="center"/>
            </w:pPr>
            <w:r>
              <w:rPr>
                <w:rFonts w:hint="eastAsia"/>
              </w:rPr>
              <w:t>34</w:t>
            </w:r>
            <w:r>
              <w:rPr>
                <w:rFonts w:hint="eastAsia" w:ascii="宋体" w:hAnsi="宋体" w:cs="宋体"/>
              </w:rPr>
              <w:t>.</w:t>
            </w:r>
            <w:r>
              <w:rPr>
                <w:rFonts w:hint="eastAsia"/>
              </w:rPr>
              <w:t>4</w:t>
            </w:r>
          </w:p>
        </w:tc>
        <w:tc>
          <w:tcPr>
            <w:tcW w:w="715" w:type="pct"/>
            <w:vAlign w:val="center"/>
          </w:tcPr>
          <w:p w14:paraId="198B68AD">
            <w:pPr>
              <w:pStyle w:val="12"/>
              <w:jc w:val="center"/>
            </w:pPr>
            <w:r>
              <w:rPr>
                <w:rFonts w:hint="eastAsia"/>
              </w:rPr>
              <w:t>1991年3月</w:t>
            </w:r>
          </w:p>
        </w:tc>
        <w:tc>
          <w:tcPr>
            <w:tcW w:w="885" w:type="pct"/>
            <w:vAlign w:val="center"/>
          </w:tcPr>
          <w:p w14:paraId="477373F0">
            <w:pPr>
              <w:pStyle w:val="12"/>
              <w:jc w:val="center"/>
            </w:pPr>
            <w:r>
              <w:rPr>
                <w:rFonts w:hint="eastAsia"/>
              </w:rPr>
              <w:t>石拱</w:t>
            </w:r>
          </w:p>
        </w:tc>
        <w:tc>
          <w:tcPr>
            <w:tcW w:w="544" w:type="pct"/>
            <w:vAlign w:val="center"/>
          </w:tcPr>
          <w:p w14:paraId="6FF6B098">
            <w:pPr>
              <w:pStyle w:val="12"/>
              <w:jc w:val="center"/>
            </w:pPr>
            <w:r>
              <w:rPr>
                <w:rFonts w:hint="eastAsia"/>
              </w:rPr>
              <w:t>1</w:t>
            </w:r>
          </w:p>
        </w:tc>
        <w:tc>
          <w:tcPr>
            <w:tcW w:w="715" w:type="pct"/>
            <w:vAlign w:val="center"/>
          </w:tcPr>
          <w:p w14:paraId="74336448">
            <w:pPr>
              <w:pStyle w:val="12"/>
              <w:jc w:val="center"/>
            </w:pPr>
            <w:r>
              <w:rPr>
                <w:rFonts w:hint="eastAsia"/>
              </w:rPr>
              <w:t>汽车-15级</w:t>
            </w:r>
          </w:p>
        </w:tc>
      </w:tr>
      <w:tr w14:paraId="0B321C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0BF22BE">
            <w:pPr>
              <w:pStyle w:val="12"/>
              <w:jc w:val="center"/>
            </w:pPr>
            <w:r>
              <w:rPr>
                <w:rFonts w:hint="eastAsia"/>
              </w:rPr>
              <w:t>X338</w:t>
            </w:r>
          </w:p>
        </w:tc>
        <w:tc>
          <w:tcPr>
            <w:tcW w:w="714" w:type="pct"/>
            <w:vAlign w:val="center"/>
          </w:tcPr>
          <w:p w14:paraId="279B9499">
            <w:pPr>
              <w:pStyle w:val="12"/>
              <w:jc w:val="center"/>
            </w:pPr>
            <w:r>
              <w:rPr>
                <w:rFonts w:hint="eastAsia"/>
              </w:rPr>
              <w:t>水口桥</w:t>
            </w:r>
          </w:p>
        </w:tc>
        <w:tc>
          <w:tcPr>
            <w:tcW w:w="714" w:type="pct"/>
            <w:vAlign w:val="center"/>
          </w:tcPr>
          <w:p w14:paraId="6725B1E3">
            <w:pPr>
              <w:pStyle w:val="12"/>
              <w:jc w:val="center"/>
            </w:pPr>
            <w:r>
              <w:rPr>
                <w:rFonts w:hint="eastAsia"/>
              </w:rPr>
              <w:t>25</w:t>
            </w:r>
          </w:p>
        </w:tc>
        <w:tc>
          <w:tcPr>
            <w:tcW w:w="715" w:type="pct"/>
            <w:vAlign w:val="center"/>
          </w:tcPr>
          <w:p w14:paraId="79DDF445">
            <w:pPr>
              <w:pStyle w:val="12"/>
              <w:jc w:val="center"/>
            </w:pPr>
            <w:r>
              <w:rPr>
                <w:rFonts w:hint="eastAsia"/>
              </w:rPr>
              <w:t>1997年2月</w:t>
            </w:r>
          </w:p>
        </w:tc>
        <w:tc>
          <w:tcPr>
            <w:tcW w:w="885" w:type="pct"/>
            <w:vAlign w:val="center"/>
          </w:tcPr>
          <w:p w14:paraId="0AB2B1BC">
            <w:pPr>
              <w:pStyle w:val="12"/>
              <w:jc w:val="center"/>
            </w:pPr>
            <w:r>
              <w:rPr>
                <w:rFonts w:hint="eastAsia"/>
              </w:rPr>
              <w:t>板梁（实心）</w:t>
            </w:r>
          </w:p>
        </w:tc>
        <w:tc>
          <w:tcPr>
            <w:tcW w:w="544" w:type="pct"/>
            <w:vAlign w:val="center"/>
          </w:tcPr>
          <w:p w14:paraId="1B98894B">
            <w:pPr>
              <w:pStyle w:val="12"/>
              <w:jc w:val="center"/>
            </w:pPr>
            <w:r>
              <w:rPr>
                <w:rFonts w:hint="eastAsia"/>
              </w:rPr>
              <w:t>3</w:t>
            </w:r>
          </w:p>
        </w:tc>
        <w:tc>
          <w:tcPr>
            <w:tcW w:w="715" w:type="pct"/>
            <w:vAlign w:val="center"/>
          </w:tcPr>
          <w:p w14:paraId="4455E33A">
            <w:pPr>
              <w:pStyle w:val="12"/>
              <w:jc w:val="center"/>
            </w:pPr>
            <w:r>
              <w:rPr>
                <w:rFonts w:hint="eastAsia"/>
              </w:rPr>
              <w:t>汽车-20级</w:t>
            </w:r>
          </w:p>
        </w:tc>
      </w:tr>
      <w:tr w14:paraId="51BBBA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4F433953">
            <w:pPr>
              <w:pStyle w:val="12"/>
              <w:jc w:val="center"/>
            </w:pPr>
            <w:r>
              <w:rPr>
                <w:rFonts w:hint="eastAsia"/>
              </w:rPr>
              <w:t>X338</w:t>
            </w:r>
          </w:p>
        </w:tc>
        <w:tc>
          <w:tcPr>
            <w:tcW w:w="714" w:type="pct"/>
            <w:vAlign w:val="center"/>
          </w:tcPr>
          <w:p w14:paraId="0C509233">
            <w:pPr>
              <w:pStyle w:val="12"/>
              <w:jc w:val="center"/>
            </w:pPr>
            <w:r>
              <w:rPr>
                <w:rFonts w:hint="eastAsia"/>
              </w:rPr>
              <w:t>弱过桥</w:t>
            </w:r>
          </w:p>
        </w:tc>
        <w:tc>
          <w:tcPr>
            <w:tcW w:w="714" w:type="pct"/>
            <w:vAlign w:val="center"/>
          </w:tcPr>
          <w:p w14:paraId="0099A23C">
            <w:pPr>
              <w:pStyle w:val="12"/>
              <w:jc w:val="center"/>
            </w:pPr>
            <w:r>
              <w:rPr>
                <w:rFonts w:hint="eastAsia"/>
              </w:rPr>
              <w:t>78</w:t>
            </w:r>
          </w:p>
        </w:tc>
        <w:tc>
          <w:tcPr>
            <w:tcW w:w="715" w:type="pct"/>
            <w:vAlign w:val="center"/>
          </w:tcPr>
          <w:p w14:paraId="1F1D57DE">
            <w:pPr>
              <w:pStyle w:val="12"/>
              <w:jc w:val="center"/>
            </w:pPr>
            <w:r>
              <w:rPr>
                <w:rFonts w:hint="eastAsia"/>
              </w:rPr>
              <w:t>1980年6月</w:t>
            </w:r>
          </w:p>
        </w:tc>
        <w:tc>
          <w:tcPr>
            <w:tcW w:w="885" w:type="pct"/>
            <w:vAlign w:val="center"/>
          </w:tcPr>
          <w:p w14:paraId="6727547A">
            <w:pPr>
              <w:pStyle w:val="12"/>
              <w:jc w:val="center"/>
            </w:pPr>
            <w:r>
              <w:rPr>
                <w:rFonts w:hint="eastAsia"/>
              </w:rPr>
              <w:t>双曲拱</w:t>
            </w:r>
          </w:p>
        </w:tc>
        <w:tc>
          <w:tcPr>
            <w:tcW w:w="544" w:type="pct"/>
            <w:vAlign w:val="center"/>
          </w:tcPr>
          <w:p w14:paraId="458C3072">
            <w:pPr>
              <w:pStyle w:val="12"/>
              <w:jc w:val="center"/>
            </w:pPr>
            <w:r>
              <w:rPr>
                <w:rFonts w:hint="eastAsia"/>
              </w:rPr>
              <w:t>3</w:t>
            </w:r>
          </w:p>
        </w:tc>
        <w:tc>
          <w:tcPr>
            <w:tcW w:w="715" w:type="pct"/>
            <w:vAlign w:val="center"/>
          </w:tcPr>
          <w:p w14:paraId="3CAEF6EC">
            <w:pPr>
              <w:pStyle w:val="12"/>
              <w:jc w:val="center"/>
            </w:pPr>
            <w:r>
              <w:rPr>
                <w:rFonts w:hint="eastAsia"/>
              </w:rPr>
              <w:t>汽车-10级</w:t>
            </w:r>
          </w:p>
        </w:tc>
      </w:tr>
      <w:tr w14:paraId="7AF089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CF26479">
            <w:pPr>
              <w:pStyle w:val="12"/>
              <w:jc w:val="center"/>
            </w:pPr>
            <w:r>
              <w:rPr>
                <w:rFonts w:hint="eastAsia"/>
              </w:rPr>
              <w:t>X339</w:t>
            </w:r>
          </w:p>
        </w:tc>
        <w:tc>
          <w:tcPr>
            <w:tcW w:w="714" w:type="pct"/>
            <w:vAlign w:val="center"/>
          </w:tcPr>
          <w:p w14:paraId="28430218">
            <w:pPr>
              <w:pStyle w:val="12"/>
              <w:jc w:val="center"/>
            </w:pPr>
            <w:r>
              <w:rPr>
                <w:rFonts w:hint="eastAsia"/>
              </w:rPr>
              <w:t>主田桥</w:t>
            </w:r>
          </w:p>
        </w:tc>
        <w:tc>
          <w:tcPr>
            <w:tcW w:w="714" w:type="pct"/>
            <w:vAlign w:val="center"/>
          </w:tcPr>
          <w:p w14:paraId="4127247B">
            <w:pPr>
              <w:pStyle w:val="12"/>
              <w:jc w:val="center"/>
            </w:pPr>
            <w:r>
              <w:rPr>
                <w:rFonts w:hint="eastAsia"/>
              </w:rPr>
              <w:t>32</w:t>
            </w:r>
          </w:p>
        </w:tc>
        <w:tc>
          <w:tcPr>
            <w:tcW w:w="715" w:type="pct"/>
            <w:vAlign w:val="center"/>
          </w:tcPr>
          <w:p w14:paraId="2EDF0DB4">
            <w:pPr>
              <w:pStyle w:val="12"/>
              <w:jc w:val="center"/>
            </w:pPr>
            <w:r>
              <w:rPr>
                <w:rFonts w:hint="eastAsia"/>
              </w:rPr>
              <w:t>1969年10月</w:t>
            </w:r>
          </w:p>
        </w:tc>
        <w:tc>
          <w:tcPr>
            <w:tcW w:w="885" w:type="pct"/>
            <w:vAlign w:val="center"/>
          </w:tcPr>
          <w:p w14:paraId="49803CEA">
            <w:pPr>
              <w:pStyle w:val="12"/>
              <w:jc w:val="center"/>
            </w:pPr>
            <w:r>
              <w:rPr>
                <w:rFonts w:hint="eastAsia"/>
              </w:rPr>
              <w:t>石拱</w:t>
            </w:r>
          </w:p>
        </w:tc>
        <w:tc>
          <w:tcPr>
            <w:tcW w:w="544" w:type="pct"/>
            <w:vAlign w:val="center"/>
          </w:tcPr>
          <w:p w14:paraId="78E05BBF">
            <w:pPr>
              <w:pStyle w:val="12"/>
              <w:jc w:val="center"/>
            </w:pPr>
            <w:r>
              <w:rPr>
                <w:rFonts w:hint="eastAsia"/>
              </w:rPr>
              <w:t>2</w:t>
            </w:r>
          </w:p>
        </w:tc>
        <w:tc>
          <w:tcPr>
            <w:tcW w:w="715" w:type="pct"/>
            <w:vAlign w:val="center"/>
          </w:tcPr>
          <w:p w14:paraId="789B4EA6">
            <w:pPr>
              <w:pStyle w:val="12"/>
              <w:jc w:val="center"/>
            </w:pPr>
            <w:r>
              <w:rPr>
                <w:rFonts w:hint="eastAsia"/>
              </w:rPr>
              <w:t>汽车-10级</w:t>
            </w:r>
          </w:p>
        </w:tc>
      </w:tr>
      <w:tr w14:paraId="791916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EE9CDD8">
            <w:pPr>
              <w:pStyle w:val="12"/>
              <w:jc w:val="center"/>
            </w:pPr>
            <w:r>
              <w:rPr>
                <w:rFonts w:hint="eastAsia"/>
              </w:rPr>
              <w:t>X340</w:t>
            </w:r>
          </w:p>
        </w:tc>
        <w:tc>
          <w:tcPr>
            <w:tcW w:w="714" w:type="pct"/>
            <w:vAlign w:val="center"/>
          </w:tcPr>
          <w:p w14:paraId="2574708F">
            <w:pPr>
              <w:pStyle w:val="12"/>
              <w:jc w:val="center"/>
            </w:pPr>
            <w:r>
              <w:rPr>
                <w:rFonts w:hint="eastAsia"/>
              </w:rPr>
              <w:t>苍石桥</w:t>
            </w:r>
          </w:p>
        </w:tc>
        <w:tc>
          <w:tcPr>
            <w:tcW w:w="714" w:type="pct"/>
            <w:vAlign w:val="center"/>
          </w:tcPr>
          <w:p w14:paraId="1CEEB500">
            <w:pPr>
              <w:pStyle w:val="12"/>
              <w:jc w:val="center"/>
            </w:pPr>
            <w:r>
              <w:rPr>
                <w:rFonts w:hint="eastAsia"/>
              </w:rPr>
              <w:t>30</w:t>
            </w:r>
          </w:p>
        </w:tc>
        <w:tc>
          <w:tcPr>
            <w:tcW w:w="715" w:type="pct"/>
            <w:vAlign w:val="center"/>
          </w:tcPr>
          <w:p w14:paraId="6DE0C599">
            <w:pPr>
              <w:pStyle w:val="12"/>
              <w:jc w:val="center"/>
            </w:pPr>
            <w:r>
              <w:rPr>
                <w:rFonts w:hint="eastAsia"/>
              </w:rPr>
              <w:t>1972年10月</w:t>
            </w:r>
          </w:p>
        </w:tc>
        <w:tc>
          <w:tcPr>
            <w:tcW w:w="885" w:type="pct"/>
            <w:vAlign w:val="center"/>
          </w:tcPr>
          <w:p w14:paraId="4B8EF16A">
            <w:pPr>
              <w:pStyle w:val="12"/>
              <w:jc w:val="center"/>
            </w:pPr>
            <w:r>
              <w:rPr>
                <w:rFonts w:hint="eastAsia"/>
              </w:rPr>
              <w:t>石拱</w:t>
            </w:r>
          </w:p>
        </w:tc>
        <w:tc>
          <w:tcPr>
            <w:tcW w:w="544" w:type="pct"/>
            <w:vAlign w:val="center"/>
          </w:tcPr>
          <w:p w14:paraId="4468FCFE">
            <w:pPr>
              <w:pStyle w:val="12"/>
              <w:jc w:val="center"/>
            </w:pPr>
            <w:r>
              <w:rPr>
                <w:rFonts w:hint="eastAsia"/>
              </w:rPr>
              <w:t>2</w:t>
            </w:r>
          </w:p>
        </w:tc>
        <w:tc>
          <w:tcPr>
            <w:tcW w:w="715" w:type="pct"/>
            <w:vAlign w:val="center"/>
          </w:tcPr>
          <w:p w14:paraId="7C5E3D0D">
            <w:pPr>
              <w:pStyle w:val="12"/>
              <w:jc w:val="center"/>
            </w:pPr>
            <w:r>
              <w:rPr>
                <w:rFonts w:hint="eastAsia"/>
              </w:rPr>
              <w:t>汽车-10级</w:t>
            </w:r>
          </w:p>
        </w:tc>
      </w:tr>
      <w:tr w14:paraId="10948F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DA2B3E3">
            <w:pPr>
              <w:pStyle w:val="12"/>
              <w:jc w:val="center"/>
            </w:pPr>
            <w:r>
              <w:rPr>
                <w:rFonts w:hint="eastAsia"/>
              </w:rPr>
              <w:t>X340</w:t>
            </w:r>
          </w:p>
        </w:tc>
        <w:tc>
          <w:tcPr>
            <w:tcW w:w="714" w:type="pct"/>
            <w:vAlign w:val="center"/>
          </w:tcPr>
          <w:p w14:paraId="4E80D1A2">
            <w:pPr>
              <w:pStyle w:val="12"/>
              <w:jc w:val="center"/>
            </w:pPr>
            <w:r>
              <w:rPr>
                <w:rFonts w:hint="eastAsia"/>
              </w:rPr>
              <w:t>长潭桥</w:t>
            </w:r>
          </w:p>
        </w:tc>
        <w:tc>
          <w:tcPr>
            <w:tcW w:w="714" w:type="pct"/>
            <w:vAlign w:val="center"/>
          </w:tcPr>
          <w:p w14:paraId="48882FCC">
            <w:pPr>
              <w:pStyle w:val="12"/>
              <w:jc w:val="center"/>
            </w:pPr>
            <w:r>
              <w:rPr>
                <w:rFonts w:hint="eastAsia"/>
              </w:rPr>
              <w:t>24</w:t>
            </w:r>
          </w:p>
        </w:tc>
        <w:tc>
          <w:tcPr>
            <w:tcW w:w="715" w:type="pct"/>
            <w:vAlign w:val="center"/>
          </w:tcPr>
          <w:p w14:paraId="779384D9">
            <w:pPr>
              <w:pStyle w:val="12"/>
              <w:jc w:val="center"/>
            </w:pPr>
            <w:r>
              <w:rPr>
                <w:rFonts w:hint="eastAsia"/>
              </w:rPr>
              <w:t>1972年9月</w:t>
            </w:r>
          </w:p>
        </w:tc>
        <w:tc>
          <w:tcPr>
            <w:tcW w:w="885" w:type="pct"/>
            <w:vAlign w:val="center"/>
          </w:tcPr>
          <w:p w14:paraId="506E7128">
            <w:pPr>
              <w:pStyle w:val="12"/>
              <w:jc w:val="center"/>
            </w:pPr>
            <w:r>
              <w:rPr>
                <w:rFonts w:hint="eastAsia"/>
              </w:rPr>
              <w:t>石拱</w:t>
            </w:r>
          </w:p>
        </w:tc>
        <w:tc>
          <w:tcPr>
            <w:tcW w:w="544" w:type="pct"/>
            <w:vAlign w:val="center"/>
          </w:tcPr>
          <w:p w14:paraId="5DAD09E8">
            <w:pPr>
              <w:pStyle w:val="12"/>
              <w:jc w:val="center"/>
            </w:pPr>
            <w:r>
              <w:rPr>
                <w:rFonts w:hint="eastAsia"/>
              </w:rPr>
              <w:t>1</w:t>
            </w:r>
          </w:p>
        </w:tc>
        <w:tc>
          <w:tcPr>
            <w:tcW w:w="715" w:type="pct"/>
            <w:vAlign w:val="center"/>
          </w:tcPr>
          <w:p w14:paraId="265F31E3">
            <w:pPr>
              <w:pStyle w:val="12"/>
              <w:jc w:val="center"/>
            </w:pPr>
            <w:r>
              <w:rPr>
                <w:rFonts w:hint="eastAsia"/>
              </w:rPr>
              <w:t>汽车-10级</w:t>
            </w:r>
          </w:p>
        </w:tc>
      </w:tr>
      <w:tr w14:paraId="2A382F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4A7C8C6">
            <w:pPr>
              <w:pStyle w:val="12"/>
              <w:jc w:val="center"/>
            </w:pPr>
            <w:r>
              <w:rPr>
                <w:rFonts w:hint="eastAsia"/>
              </w:rPr>
              <w:t>X341</w:t>
            </w:r>
          </w:p>
        </w:tc>
        <w:tc>
          <w:tcPr>
            <w:tcW w:w="714" w:type="pct"/>
            <w:vAlign w:val="center"/>
          </w:tcPr>
          <w:p w14:paraId="1422C2F4">
            <w:pPr>
              <w:pStyle w:val="12"/>
              <w:jc w:val="center"/>
            </w:pPr>
            <w:r>
              <w:rPr>
                <w:rFonts w:hint="eastAsia"/>
              </w:rPr>
              <w:t>新湖桥</w:t>
            </w:r>
          </w:p>
        </w:tc>
        <w:tc>
          <w:tcPr>
            <w:tcW w:w="714" w:type="pct"/>
            <w:vAlign w:val="center"/>
          </w:tcPr>
          <w:p w14:paraId="5BA039E4">
            <w:pPr>
              <w:pStyle w:val="12"/>
              <w:jc w:val="center"/>
            </w:pPr>
            <w:r>
              <w:rPr>
                <w:rFonts w:hint="eastAsia"/>
              </w:rPr>
              <w:t>20</w:t>
            </w:r>
            <w:r>
              <w:rPr>
                <w:rFonts w:hint="eastAsia" w:ascii="宋体" w:hAnsi="宋体" w:cs="宋体"/>
              </w:rPr>
              <w:t>.</w:t>
            </w:r>
            <w:r>
              <w:rPr>
                <w:rFonts w:hint="eastAsia"/>
              </w:rPr>
              <w:t>5</w:t>
            </w:r>
          </w:p>
        </w:tc>
        <w:tc>
          <w:tcPr>
            <w:tcW w:w="715" w:type="pct"/>
            <w:vAlign w:val="center"/>
          </w:tcPr>
          <w:p w14:paraId="699CF9A8">
            <w:pPr>
              <w:pStyle w:val="12"/>
              <w:jc w:val="center"/>
            </w:pPr>
            <w:r>
              <w:rPr>
                <w:rFonts w:hint="eastAsia"/>
              </w:rPr>
              <w:t>1992年10月</w:t>
            </w:r>
          </w:p>
        </w:tc>
        <w:tc>
          <w:tcPr>
            <w:tcW w:w="885" w:type="pct"/>
            <w:vAlign w:val="center"/>
          </w:tcPr>
          <w:p w14:paraId="6B3C9E7F">
            <w:pPr>
              <w:pStyle w:val="12"/>
              <w:jc w:val="center"/>
            </w:pPr>
            <w:r>
              <w:rPr>
                <w:rFonts w:hint="eastAsia"/>
              </w:rPr>
              <w:t>板梁（实心）</w:t>
            </w:r>
          </w:p>
        </w:tc>
        <w:tc>
          <w:tcPr>
            <w:tcW w:w="544" w:type="pct"/>
            <w:vAlign w:val="center"/>
          </w:tcPr>
          <w:p w14:paraId="3E7CA10A">
            <w:pPr>
              <w:pStyle w:val="12"/>
              <w:jc w:val="center"/>
            </w:pPr>
            <w:r>
              <w:rPr>
                <w:rFonts w:hint="eastAsia"/>
              </w:rPr>
              <w:t>4</w:t>
            </w:r>
          </w:p>
        </w:tc>
        <w:tc>
          <w:tcPr>
            <w:tcW w:w="715" w:type="pct"/>
            <w:vAlign w:val="center"/>
          </w:tcPr>
          <w:p w14:paraId="0DCB32D8">
            <w:pPr>
              <w:pStyle w:val="12"/>
              <w:jc w:val="center"/>
            </w:pPr>
            <w:r>
              <w:rPr>
                <w:rFonts w:hint="eastAsia"/>
              </w:rPr>
              <w:t>汽车-15级</w:t>
            </w:r>
          </w:p>
        </w:tc>
      </w:tr>
      <w:tr w14:paraId="171E89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AB86D98">
            <w:pPr>
              <w:pStyle w:val="12"/>
              <w:jc w:val="center"/>
            </w:pPr>
            <w:r>
              <w:rPr>
                <w:rFonts w:hint="eastAsia"/>
              </w:rPr>
              <w:t>X341</w:t>
            </w:r>
          </w:p>
        </w:tc>
        <w:tc>
          <w:tcPr>
            <w:tcW w:w="714" w:type="pct"/>
            <w:vAlign w:val="center"/>
          </w:tcPr>
          <w:p w14:paraId="2EA23F53">
            <w:pPr>
              <w:pStyle w:val="12"/>
              <w:jc w:val="center"/>
            </w:pPr>
            <w:r>
              <w:rPr>
                <w:rFonts w:hint="eastAsia"/>
              </w:rPr>
              <w:t>前坊桥</w:t>
            </w:r>
          </w:p>
        </w:tc>
        <w:tc>
          <w:tcPr>
            <w:tcW w:w="714" w:type="pct"/>
            <w:vAlign w:val="center"/>
          </w:tcPr>
          <w:p w14:paraId="7C672F00">
            <w:pPr>
              <w:pStyle w:val="12"/>
              <w:jc w:val="center"/>
            </w:pPr>
            <w:r>
              <w:rPr>
                <w:rFonts w:hint="eastAsia"/>
              </w:rPr>
              <w:t>38</w:t>
            </w:r>
            <w:r>
              <w:rPr>
                <w:rFonts w:hint="eastAsia" w:ascii="宋体" w:hAnsi="宋体" w:cs="宋体"/>
              </w:rPr>
              <w:t>.</w:t>
            </w:r>
            <w:r>
              <w:rPr>
                <w:rFonts w:hint="eastAsia"/>
              </w:rPr>
              <w:t>5</w:t>
            </w:r>
          </w:p>
        </w:tc>
        <w:tc>
          <w:tcPr>
            <w:tcW w:w="715" w:type="pct"/>
            <w:vAlign w:val="center"/>
          </w:tcPr>
          <w:p w14:paraId="60FFA230">
            <w:pPr>
              <w:pStyle w:val="12"/>
              <w:jc w:val="center"/>
            </w:pPr>
            <w:r>
              <w:rPr>
                <w:rFonts w:hint="eastAsia"/>
              </w:rPr>
              <w:t>1994年9月</w:t>
            </w:r>
          </w:p>
        </w:tc>
        <w:tc>
          <w:tcPr>
            <w:tcW w:w="885" w:type="pct"/>
            <w:vAlign w:val="center"/>
          </w:tcPr>
          <w:p w14:paraId="7DCBCA8F">
            <w:pPr>
              <w:pStyle w:val="12"/>
              <w:jc w:val="center"/>
            </w:pPr>
            <w:r>
              <w:rPr>
                <w:rFonts w:hint="eastAsia"/>
              </w:rPr>
              <w:t>板梁（实心）</w:t>
            </w:r>
          </w:p>
        </w:tc>
        <w:tc>
          <w:tcPr>
            <w:tcW w:w="544" w:type="pct"/>
            <w:vAlign w:val="center"/>
          </w:tcPr>
          <w:p w14:paraId="7BD0140D">
            <w:pPr>
              <w:pStyle w:val="12"/>
              <w:jc w:val="center"/>
            </w:pPr>
            <w:r>
              <w:rPr>
                <w:rFonts w:hint="eastAsia"/>
              </w:rPr>
              <w:t>4</w:t>
            </w:r>
          </w:p>
        </w:tc>
        <w:tc>
          <w:tcPr>
            <w:tcW w:w="715" w:type="pct"/>
            <w:vAlign w:val="center"/>
          </w:tcPr>
          <w:p w14:paraId="592C6970">
            <w:pPr>
              <w:pStyle w:val="12"/>
              <w:jc w:val="center"/>
            </w:pPr>
            <w:r>
              <w:rPr>
                <w:rFonts w:hint="eastAsia"/>
              </w:rPr>
              <w:t>汽车-15级</w:t>
            </w:r>
          </w:p>
        </w:tc>
      </w:tr>
      <w:tr w14:paraId="564926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97C6008">
            <w:pPr>
              <w:pStyle w:val="12"/>
              <w:jc w:val="center"/>
            </w:pPr>
            <w:r>
              <w:rPr>
                <w:rFonts w:hint="eastAsia"/>
              </w:rPr>
              <w:t>X342</w:t>
            </w:r>
          </w:p>
        </w:tc>
        <w:tc>
          <w:tcPr>
            <w:tcW w:w="714" w:type="pct"/>
            <w:vAlign w:val="center"/>
          </w:tcPr>
          <w:p w14:paraId="39200C08">
            <w:pPr>
              <w:pStyle w:val="12"/>
              <w:jc w:val="center"/>
            </w:pPr>
            <w:r>
              <w:rPr>
                <w:rFonts w:hint="eastAsia"/>
              </w:rPr>
              <w:t>头渡桥</w:t>
            </w:r>
          </w:p>
        </w:tc>
        <w:tc>
          <w:tcPr>
            <w:tcW w:w="714" w:type="pct"/>
            <w:vAlign w:val="center"/>
          </w:tcPr>
          <w:p w14:paraId="3EB1EC10">
            <w:pPr>
              <w:pStyle w:val="12"/>
              <w:jc w:val="center"/>
            </w:pPr>
            <w:r>
              <w:rPr>
                <w:rFonts w:hint="eastAsia"/>
              </w:rPr>
              <w:t>106</w:t>
            </w:r>
          </w:p>
        </w:tc>
        <w:tc>
          <w:tcPr>
            <w:tcW w:w="715" w:type="pct"/>
            <w:vAlign w:val="center"/>
          </w:tcPr>
          <w:p w14:paraId="2C24A293">
            <w:pPr>
              <w:pStyle w:val="12"/>
              <w:jc w:val="center"/>
            </w:pPr>
            <w:r>
              <w:rPr>
                <w:rFonts w:hint="eastAsia"/>
              </w:rPr>
              <w:t>2004年12月</w:t>
            </w:r>
          </w:p>
        </w:tc>
        <w:tc>
          <w:tcPr>
            <w:tcW w:w="885" w:type="pct"/>
            <w:vAlign w:val="center"/>
          </w:tcPr>
          <w:p w14:paraId="0EB7AA82">
            <w:pPr>
              <w:pStyle w:val="12"/>
              <w:jc w:val="center"/>
            </w:pPr>
            <w:r>
              <w:rPr>
                <w:rFonts w:hint="eastAsia"/>
              </w:rPr>
              <w:t>T梁</w:t>
            </w:r>
          </w:p>
        </w:tc>
        <w:tc>
          <w:tcPr>
            <w:tcW w:w="544" w:type="pct"/>
            <w:vAlign w:val="center"/>
          </w:tcPr>
          <w:p w14:paraId="0E00AEA0">
            <w:pPr>
              <w:pStyle w:val="12"/>
              <w:jc w:val="center"/>
            </w:pPr>
            <w:r>
              <w:rPr>
                <w:rFonts w:hint="eastAsia"/>
              </w:rPr>
              <w:t>5</w:t>
            </w:r>
          </w:p>
        </w:tc>
        <w:tc>
          <w:tcPr>
            <w:tcW w:w="715" w:type="pct"/>
            <w:vAlign w:val="center"/>
          </w:tcPr>
          <w:p w14:paraId="680C8DCD">
            <w:pPr>
              <w:pStyle w:val="12"/>
              <w:jc w:val="center"/>
            </w:pPr>
            <w:r>
              <w:rPr>
                <w:rFonts w:hint="eastAsia"/>
              </w:rPr>
              <w:t>汽车-20级</w:t>
            </w:r>
          </w:p>
        </w:tc>
      </w:tr>
      <w:tr w14:paraId="765754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B732824">
            <w:pPr>
              <w:pStyle w:val="12"/>
              <w:jc w:val="center"/>
            </w:pPr>
            <w:r>
              <w:rPr>
                <w:rFonts w:hint="eastAsia"/>
              </w:rPr>
              <w:t>X342</w:t>
            </w:r>
          </w:p>
        </w:tc>
        <w:tc>
          <w:tcPr>
            <w:tcW w:w="714" w:type="pct"/>
            <w:vAlign w:val="center"/>
          </w:tcPr>
          <w:p w14:paraId="59AEEBCF">
            <w:pPr>
              <w:pStyle w:val="12"/>
              <w:jc w:val="center"/>
            </w:pPr>
            <w:r>
              <w:rPr>
                <w:rFonts w:hint="eastAsia"/>
              </w:rPr>
              <w:t>南亩桥</w:t>
            </w:r>
          </w:p>
        </w:tc>
        <w:tc>
          <w:tcPr>
            <w:tcW w:w="714" w:type="pct"/>
            <w:vAlign w:val="center"/>
          </w:tcPr>
          <w:p w14:paraId="35F97E4B">
            <w:pPr>
              <w:pStyle w:val="12"/>
              <w:jc w:val="center"/>
            </w:pPr>
            <w:r>
              <w:rPr>
                <w:rFonts w:hint="eastAsia"/>
              </w:rPr>
              <w:t>24</w:t>
            </w:r>
            <w:r>
              <w:rPr>
                <w:rFonts w:hint="eastAsia" w:ascii="宋体" w:hAnsi="宋体" w:cs="宋体"/>
              </w:rPr>
              <w:t>.</w:t>
            </w:r>
            <w:r>
              <w:rPr>
                <w:rFonts w:hint="eastAsia"/>
              </w:rPr>
              <w:t>09</w:t>
            </w:r>
          </w:p>
        </w:tc>
        <w:tc>
          <w:tcPr>
            <w:tcW w:w="715" w:type="pct"/>
            <w:vAlign w:val="center"/>
          </w:tcPr>
          <w:p w14:paraId="525CD8C5">
            <w:pPr>
              <w:pStyle w:val="12"/>
              <w:jc w:val="center"/>
            </w:pPr>
            <w:r>
              <w:rPr>
                <w:rFonts w:hint="eastAsia"/>
              </w:rPr>
              <w:t>2000年12月</w:t>
            </w:r>
          </w:p>
        </w:tc>
        <w:tc>
          <w:tcPr>
            <w:tcW w:w="885" w:type="pct"/>
            <w:vAlign w:val="center"/>
          </w:tcPr>
          <w:p w14:paraId="0A7435C3">
            <w:pPr>
              <w:pStyle w:val="12"/>
              <w:jc w:val="center"/>
            </w:pPr>
            <w:r>
              <w:rPr>
                <w:rFonts w:hint="eastAsia"/>
              </w:rPr>
              <w:t>T梁</w:t>
            </w:r>
          </w:p>
        </w:tc>
        <w:tc>
          <w:tcPr>
            <w:tcW w:w="544" w:type="pct"/>
            <w:vAlign w:val="center"/>
          </w:tcPr>
          <w:p w14:paraId="3D7C02F9">
            <w:pPr>
              <w:pStyle w:val="12"/>
              <w:jc w:val="center"/>
            </w:pPr>
            <w:r>
              <w:rPr>
                <w:rFonts w:hint="eastAsia"/>
              </w:rPr>
              <w:t>2</w:t>
            </w:r>
          </w:p>
        </w:tc>
        <w:tc>
          <w:tcPr>
            <w:tcW w:w="715" w:type="pct"/>
            <w:vAlign w:val="center"/>
          </w:tcPr>
          <w:p w14:paraId="1EA99480">
            <w:pPr>
              <w:pStyle w:val="12"/>
              <w:jc w:val="center"/>
            </w:pPr>
            <w:r>
              <w:rPr>
                <w:rFonts w:hint="eastAsia"/>
              </w:rPr>
              <w:t>汽车-20级</w:t>
            </w:r>
          </w:p>
        </w:tc>
      </w:tr>
      <w:tr w14:paraId="27E470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EF058DC">
            <w:pPr>
              <w:pStyle w:val="12"/>
              <w:jc w:val="center"/>
            </w:pPr>
            <w:r>
              <w:rPr>
                <w:rFonts w:hint="eastAsia"/>
              </w:rPr>
              <w:t>X342</w:t>
            </w:r>
          </w:p>
        </w:tc>
        <w:tc>
          <w:tcPr>
            <w:tcW w:w="714" w:type="pct"/>
            <w:vAlign w:val="center"/>
          </w:tcPr>
          <w:p w14:paraId="67E01672">
            <w:pPr>
              <w:pStyle w:val="12"/>
              <w:jc w:val="center"/>
            </w:pPr>
            <w:r>
              <w:rPr>
                <w:rFonts w:hint="eastAsia"/>
              </w:rPr>
              <w:t>官陂桥</w:t>
            </w:r>
          </w:p>
        </w:tc>
        <w:tc>
          <w:tcPr>
            <w:tcW w:w="714" w:type="pct"/>
            <w:vAlign w:val="center"/>
          </w:tcPr>
          <w:p w14:paraId="64609267">
            <w:pPr>
              <w:pStyle w:val="12"/>
              <w:jc w:val="center"/>
            </w:pPr>
            <w:r>
              <w:rPr>
                <w:rFonts w:hint="eastAsia"/>
              </w:rPr>
              <w:t>31</w:t>
            </w:r>
            <w:r>
              <w:rPr>
                <w:rFonts w:hint="eastAsia" w:ascii="宋体" w:hAnsi="宋体" w:cs="宋体"/>
              </w:rPr>
              <w:t>.</w:t>
            </w:r>
            <w:r>
              <w:rPr>
                <w:rFonts w:hint="eastAsia"/>
              </w:rPr>
              <w:t>2</w:t>
            </w:r>
          </w:p>
        </w:tc>
        <w:tc>
          <w:tcPr>
            <w:tcW w:w="715" w:type="pct"/>
            <w:vAlign w:val="center"/>
          </w:tcPr>
          <w:p w14:paraId="1CC944FD">
            <w:pPr>
              <w:pStyle w:val="12"/>
              <w:jc w:val="center"/>
            </w:pPr>
            <w:r>
              <w:rPr>
                <w:rFonts w:hint="eastAsia"/>
              </w:rPr>
              <w:t>2000年12月</w:t>
            </w:r>
          </w:p>
        </w:tc>
        <w:tc>
          <w:tcPr>
            <w:tcW w:w="885" w:type="pct"/>
            <w:vAlign w:val="center"/>
          </w:tcPr>
          <w:p w14:paraId="12CD591B">
            <w:pPr>
              <w:pStyle w:val="12"/>
              <w:jc w:val="center"/>
            </w:pPr>
            <w:r>
              <w:rPr>
                <w:rFonts w:hint="eastAsia"/>
              </w:rPr>
              <w:t>T梁</w:t>
            </w:r>
          </w:p>
        </w:tc>
        <w:tc>
          <w:tcPr>
            <w:tcW w:w="544" w:type="pct"/>
            <w:vAlign w:val="center"/>
          </w:tcPr>
          <w:p w14:paraId="7CD40B22">
            <w:pPr>
              <w:pStyle w:val="12"/>
              <w:jc w:val="center"/>
            </w:pPr>
            <w:r>
              <w:rPr>
                <w:rFonts w:hint="eastAsia"/>
              </w:rPr>
              <w:t>2</w:t>
            </w:r>
          </w:p>
        </w:tc>
        <w:tc>
          <w:tcPr>
            <w:tcW w:w="715" w:type="pct"/>
            <w:vAlign w:val="center"/>
          </w:tcPr>
          <w:p w14:paraId="38CC7E6D">
            <w:pPr>
              <w:pStyle w:val="12"/>
              <w:jc w:val="center"/>
            </w:pPr>
            <w:r>
              <w:rPr>
                <w:rFonts w:hint="eastAsia"/>
              </w:rPr>
              <w:t>汽车-20级</w:t>
            </w:r>
          </w:p>
        </w:tc>
      </w:tr>
      <w:tr w14:paraId="7E8931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E1E8481">
            <w:pPr>
              <w:pStyle w:val="12"/>
              <w:jc w:val="center"/>
            </w:pPr>
            <w:r>
              <w:rPr>
                <w:rFonts w:hint="eastAsia"/>
              </w:rPr>
              <w:t>X360</w:t>
            </w:r>
          </w:p>
        </w:tc>
        <w:tc>
          <w:tcPr>
            <w:tcW w:w="714" w:type="pct"/>
            <w:vAlign w:val="center"/>
          </w:tcPr>
          <w:p w14:paraId="10EA5600">
            <w:pPr>
              <w:pStyle w:val="12"/>
              <w:jc w:val="center"/>
            </w:pPr>
            <w:r>
              <w:rPr>
                <w:rFonts w:hint="eastAsia"/>
              </w:rPr>
              <w:t>角湾桥</w:t>
            </w:r>
          </w:p>
        </w:tc>
        <w:tc>
          <w:tcPr>
            <w:tcW w:w="714" w:type="pct"/>
            <w:vAlign w:val="center"/>
          </w:tcPr>
          <w:p w14:paraId="4AED1BCA">
            <w:pPr>
              <w:pStyle w:val="12"/>
              <w:jc w:val="center"/>
            </w:pPr>
            <w:r>
              <w:rPr>
                <w:rFonts w:hint="eastAsia"/>
              </w:rPr>
              <w:t>27</w:t>
            </w:r>
            <w:r>
              <w:rPr>
                <w:rFonts w:hint="eastAsia" w:ascii="宋体" w:hAnsi="宋体" w:cs="宋体"/>
              </w:rPr>
              <w:t>.</w:t>
            </w:r>
            <w:r>
              <w:rPr>
                <w:rFonts w:hint="eastAsia"/>
              </w:rPr>
              <w:t>4</w:t>
            </w:r>
          </w:p>
        </w:tc>
        <w:tc>
          <w:tcPr>
            <w:tcW w:w="715" w:type="pct"/>
            <w:vAlign w:val="center"/>
          </w:tcPr>
          <w:p w14:paraId="050D5EAF">
            <w:pPr>
              <w:pStyle w:val="12"/>
              <w:jc w:val="center"/>
            </w:pPr>
            <w:r>
              <w:rPr>
                <w:rFonts w:hint="eastAsia"/>
              </w:rPr>
              <w:t>1995年10月</w:t>
            </w:r>
          </w:p>
        </w:tc>
        <w:tc>
          <w:tcPr>
            <w:tcW w:w="885" w:type="pct"/>
            <w:vAlign w:val="center"/>
          </w:tcPr>
          <w:p w14:paraId="4BAB6EEF">
            <w:pPr>
              <w:pStyle w:val="12"/>
              <w:jc w:val="center"/>
            </w:pPr>
            <w:r>
              <w:rPr>
                <w:rFonts w:hint="eastAsia"/>
              </w:rPr>
              <w:t>T梁</w:t>
            </w:r>
          </w:p>
        </w:tc>
        <w:tc>
          <w:tcPr>
            <w:tcW w:w="544" w:type="pct"/>
            <w:vAlign w:val="center"/>
          </w:tcPr>
          <w:p w14:paraId="754BB6C3">
            <w:pPr>
              <w:pStyle w:val="12"/>
              <w:jc w:val="center"/>
            </w:pPr>
            <w:r>
              <w:rPr>
                <w:rFonts w:hint="eastAsia"/>
              </w:rPr>
              <w:t>1</w:t>
            </w:r>
          </w:p>
        </w:tc>
        <w:tc>
          <w:tcPr>
            <w:tcW w:w="715" w:type="pct"/>
            <w:vAlign w:val="center"/>
          </w:tcPr>
          <w:p w14:paraId="419DAE2A">
            <w:pPr>
              <w:pStyle w:val="12"/>
              <w:jc w:val="center"/>
            </w:pPr>
            <w:r>
              <w:rPr>
                <w:rFonts w:hint="eastAsia"/>
              </w:rPr>
              <w:t>汽车-20级</w:t>
            </w:r>
          </w:p>
        </w:tc>
      </w:tr>
      <w:tr w14:paraId="7B6F70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410D6949">
            <w:pPr>
              <w:pStyle w:val="12"/>
              <w:jc w:val="center"/>
            </w:pPr>
            <w:r>
              <w:rPr>
                <w:rFonts w:hint="eastAsia"/>
              </w:rPr>
              <w:t>X360</w:t>
            </w:r>
          </w:p>
        </w:tc>
        <w:tc>
          <w:tcPr>
            <w:tcW w:w="714" w:type="pct"/>
            <w:vAlign w:val="center"/>
          </w:tcPr>
          <w:p w14:paraId="58175D4C">
            <w:pPr>
              <w:pStyle w:val="12"/>
              <w:jc w:val="center"/>
            </w:pPr>
            <w:r>
              <w:rPr>
                <w:rFonts w:hint="eastAsia"/>
              </w:rPr>
              <w:t>邓坊桥</w:t>
            </w:r>
          </w:p>
        </w:tc>
        <w:tc>
          <w:tcPr>
            <w:tcW w:w="714" w:type="pct"/>
            <w:vAlign w:val="center"/>
          </w:tcPr>
          <w:p w14:paraId="72BAD957">
            <w:pPr>
              <w:pStyle w:val="12"/>
              <w:jc w:val="center"/>
            </w:pPr>
            <w:r>
              <w:rPr>
                <w:rFonts w:hint="eastAsia"/>
              </w:rPr>
              <w:t>27</w:t>
            </w:r>
          </w:p>
        </w:tc>
        <w:tc>
          <w:tcPr>
            <w:tcW w:w="715" w:type="pct"/>
            <w:vAlign w:val="center"/>
          </w:tcPr>
          <w:p w14:paraId="29ADE453">
            <w:pPr>
              <w:pStyle w:val="12"/>
              <w:jc w:val="center"/>
            </w:pPr>
            <w:r>
              <w:rPr>
                <w:rFonts w:hint="eastAsia"/>
              </w:rPr>
              <w:t>1988年10月</w:t>
            </w:r>
          </w:p>
        </w:tc>
        <w:tc>
          <w:tcPr>
            <w:tcW w:w="885" w:type="pct"/>
            <w:vAlign w:val="center"/>
          </w:tcPr>
          <w:p w14:paraId="4949F55E">
            <w:pPr>
              <w:pStyle w:val="12"/>
              <w:jc w:val="center"/>
            </w:pPr>
            <w:r>
              <w:rPr>
                <w:rFonts w:hint="eastAsia"/>
              </w:rPr>
              <w:t>石拱</w:t>
            </w:r>
          </w:p>
        </w:tc>
        <w:tc>
          <w:tcPr>
            <w:tcW w:w="544" w:type="pct"/>
            <w:vAlign w:val="center"/>
          </w:tcPr>
          <w:p w14:paraId="1880D6B7">
            <w:pPr>
              <w:pStyle w:val="12"/>
              <w:jc w:val="center"/>
            </w:pPr>
            <w:r>
              <w:rPr>
                <w:rFonts w:hint="eastAsia"/>
              </w:rPr>
              <w:t>1</w:t>
            </w:r>
          </w:p>
        </w:tc>
        <w:tc>
          <w:tcPr>
            <w:tcW w:w="715" w:type="pct"/>
            <w:vAlign w:val="center"/>
          </w:tcPr>
          <w:p w14:paraId="1C9C7595">
            <w:pPr>
              <w:pStyle w:val="12"/>
              <w:jc w:val="center"/>
            </w:pPr>
            <w:r>
              <w:rPr>
                <w:rFonts w:hint="eastAsia"/>
              </w:rPr>
              <w:t>汽车-20级</w:t>
            </w:r>
          </w:p>
        </w:tc>
      </w:tr>
    </w:tbl>
    <w:p w14:paraId="5D297B41">
      <w:pPr>
        <w:ind w:firstLine="422"/>
        <w:rPr>
          <w:rFonts w:ascii="宋体" w:hAnsi="宋体"/>
          <w:b/>
          <w:szCs w:val="21"/>
        </w:rPr>
      </w:pPr>
      <w:r>
        <w:rPr>
          <w:rFonts w:ascii="宋体" w:hAnsi="宋体"/>
          <w:b/>
          <w:szCs w:val="21"/>
        </w:rPr>
        <w:t>3.乡道公路桥（中桥以上）18座，1124.7延米</w:t>
      </w:r>
    </w:p>
    <w:p w14:paraId="01759A5A">
      <w:pPr>
        <w:ind w:firstLine="0" w:firstLineChars="0"/>
        <w:jc w:val="center"/>
        <w:rPr>
          <w:rFonts w:ascii="宋体" w:hAnsi="宋体"/>
          <w:b/>
          <w:szCs w:val="21"/>
        </w:rPr>
      </w:pPr>
      <w:r>
        <w:rPr>
          <w:rFonts w:hint="eastAsia" w:ascii="宋体" w:hAnsi="宋体"/>
          <w:b/>
          <w:szCs w:val="21"/>
        </w:rPr>
        <w:t>南雄市乡道公路主要桥梁一览</w:t>
      </w:r>
    </w:p>
    <w:p w14:paraId="1BAED2AE">
      <w:pPr>
        <w:ind w:firstLine="0" w:firstLineChars="0"/>
        <w:rPr>
          <w:rFonts w:ascii="宋体" w:hAnsi="宋体"/>
          <w:b/>
          <w:szCs w:val="21"/>
        </w:rPr>
      </w:pPr>
      <w:r>
        <w:rPr>
          <w:rFonts w:hint="eastAsia" w:ascii="宋体" w:hAnsi="宋体"/>
          <w:b/>
          <w:szCs w:val="21"/>
        </w:rPr>
        <w:t>表</w:t>
      </w:r>
      <w:r>
        <w:rPr>
          <w:rFonts w:ascii="宋体" w:hAnsi="宋体"/>
          <w:b/>
          <w:szCs w:val="21"/>
        </w:rPr>
        <w:t>3-4</w:t>
      </w:r>
    </w:p>
    <w:p w14:paraId="16B09FEF">
      <w:pPr>
        <w:ind w:firstLine="422"/>
        <w:jc w:val="right"/>
        <w:rPr>
          <w:rFonts w:ascii="宋体" w:hAnsi="宋体"/>
          <w:b/>
          <w:szCs w:val="21"/>
        </w:rPr>
      </w:pPr>
      <w:r>
        <w:rPr>
          <w:rFonts w:ascii="宋体" w:hAnsi="宋体"/>
          <w:b/>
          <w:szCs w:val="21"/>
        </w:rPr>
        <w:t>单位：米</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22"/>
        <w:gridCol w:w="1422"/>
        <w:gridCol w:w="1423"/>
        <w:gridCol w:w="1425"/>
        <w:gridCol w:w="1763"/>
        <w:gridCol w:w="1084"/>
        <w:gridCol w:w="1423"/>
      </w:tblGrid>
      <w:tr w14:paraId="7DB88C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2DC167C">
            <w:pPr>
              <w:pStyle w:val="12"/>
              <w:jc w:val="center"/>
              <w:rPr>
                <w:b/>
              </w:rPr>
            </w:pPr>
            <w:r>
              <w:rPr>
                <w:rFonts w:hint="eastAsia"/>
                <w:b/>
              </w:rPr>
              <w:t>所属</w:t>
            </w:r>
          </w:p>
        </w:tc>
        <w:tc>
          <w:tcPr>
            <w:tcW w:w="714" w:type="pct"/>
            <w:vAlign w:val="center"/>
          </w:tcPr>
          <w:p w14:paraId="15B1AC6D">
            <w:pPr>
              <w:pStyle w:val="12"/>
              <w:jc w:val="center"/>
              <w:rPr>
                <w:b/>
              </w:rPr>
            </w:pPr>
            <w:r>
              <w:rPr>
                <w:rFonts w:hint="eastAsia"/>
                <w:b/>
              </w:rPr>
              <w:t>桥梁名称</w:t>
            </w:r>
          </w:p>
        </w:tc>
        <w:tc>
          <w:tcPr>
            <w:tcW w:w="714" w:type="pct"/>
            <w:vAlign w:val="center"/>
          </w:tcPr>
          <w:p w14:paraId="3CCDA05D">
            <w:pPr>
              <w:pStyle w:val="12"/>
              <w:jc w:val="center"/>
              <w:rPr>
                <w:b/>
              </w:rPr>
            </w:pPr>
            <w:r>
              <w:rPr>
                <w:rFonts w:hint="eastAsia"/>
                <w:b/>
              </w:rPr>
              <w:t>桥梁长度（米）</w:t>
            </w:r>
          </w:p>
        </w:tc>
        <w:tc>
          <w:tcPr>
            <w:tcW w:w="715" w:type="pct"/>
            <w:vAlign w:val="center"/>
          </w:tcPr>
          <w:p w14:paraId="58A8C3B4">
            <w:pPr>
              <w:pStyle w:val="12"/>
              <w:jc w:val="center"/>
              <w:rPr>
                <w:b/>
              </w:rPr>
            </w:pPr>
            <w:r>
              <w:rPr>
                <w:rFonts w:hint="eastAsia"/>
                <w:b/>
              </w:rPr>
              <w:t>建成投产时间</w:t>
            </w:r>
          </w:p>
        </w:tc>
        <w:tc>
          <w:tcPr>
            <w:tcW w:w="885" w:type="pct"/>
            <w:vAlign w:val="center"/>
          </w:tcPr>
          <w:p w14:paraId="6DEF2BFC">
            <w:pPr>
              <w:pStyle w:val="12"/>
              <w:jc w:val="center"/>
              <w:rPr>
                <w:b/>
              </w:rPr>
            </w:pPr>
            <w:r>
              <w:rPr>
                <w:rFonts w:hint="eastAsia"/>
                <w:b/>
              </w:rPr>
              <w:t>上部结构与式样</w:t>
            </w:r>
          </w:p>
        </w:tc>
        <w:tc>
          <w:tcPr>
            <w:tcW w:w="544" w:type="pct"/>
            <w:vAlign w:val="center"/>
          </w:tcPr>
          <w:p w14:paraId="16A1B32C">
            <w:pPr>
              <w:pStyle w:val="12"/>
              <w:jc w:val="center"/>
              <w:rPr>
                <w:b/>
              </w:rPr>
            </w:pPr>
            <w:r>
              <w:rPr>
                <w:rFonts w:hint="eastAsia"/>
                <w:b/>
              </w:rPr>
              <w:t>孔数</w:t>
            </w:r>
          </w:p>
        </w:tc>
        <w:tc>
          <w:tcPr>
            <w:tcW w:w="715" w:type="pct"/>
            <w:vAlign w:val="center"/>
          </w:tcPr>
          <w:p w14:paraId="6BD83DFB">
            <w:pPr>
              <w:pStyle w:val="12"/>
              <w:jc w:val="center"/>
              <w:rPr>
                <w:b/>
              </w:rPr>
            </w:pPr>
            <w:r>
              <w:rPr>
                <w:rFonts w:hint="eastAsia"/>
                <w:b/>
              </w:rPr>
              <w:t>设计荷载</w:t>
            </w:r>
          </w:p>
        </w:tc>
      </w:tr>
      <w:tr w14:paraId="59135B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3C72CC0">
            <w:pPr>
              <w:pStyle w:val="12"/>
              <w:jc w:val="center"/>
            </w:pPr>
            <w:r>
              <w:rPr>
                <w:rFonts w:hint="eastAsia"/>
              </w:rPr>
              <w:t>Y406</w:t>
            </w:r>
          </w:p>
        </w:tc>
        <w:tc>
          <w:tcPr>
            <w:tcW w:w="714" w:type="pct"/>
            <w:vAlign w:val="center"/>
          </w:tcPr>
          <w:p w14:paraId="408AAF5A">
            <w:pPr>
              <w:pStyle w:val="12"/>
              <w:jc w:val="center"/>
            </w:pPr>
            <w:r>
              <w:rPr>
                <w:rFonts w:hint="eastAsia"/>
              </w:rPr>
              <w:t>古市桥</w:t>
            </w:r>
          </w:p>
        </w:tc>
        <w:tc>
          <w:tcPr>
            <w:tcW w:w="714" w:type="pct"/>
            <w:vAlign w:val="center"/>
          </w:tcPr>
          <w:p w14:paraId="733921ED">
            <w:pPr>
              <w:pStyle w:val="12"/>
              <w:jc w:val="center"/>
            </w:pPr>
            <w:r>
              <w:rPr>
                <w:rFonts w:hint="eastAsia"/>
              </w:rPr>
              <w:t>159</w:t>
            </w:r>
          </w:p>
        </w:tc>
        <w:tc>
          <w:tcPr>
            <w:tcW w:w="715" w:type="pct"/>
            <w:vAlign w:val="center"/>
          </w:tcPr>
          <w:p w14:paraId="41BCE039">
            <w:pPr>
              <w:pStyle w:val="12"/>
              <w:jc w:val="center"/>
            </w:pPr>
            <w:r>
              <w:rPr>
                <w:rFonts w:hint="eastAsia"/>
              </w:rPr>
              <w:t>1993年12月</w:t>
            </w:r>
          </w:p>
        </w:tc>
        <w:tc>
          <w:tcPr>
            <w:tcW w:w="885" w:type="pct"/>
            <w:vAlign w:val="center"/>
          </w:tcPr>
          <w:p w14:paraId="6A010439">
            <w:pPr>
              <w:pStyle w:val="12"/>
              <w:jc w:val="center"/>
            </w:pPr>
            <w:r>
              <w:rPr>
                <w:rFonts w:hint="eastAsia"/>
              </w:rPr>
              <w:t>石拱</w:t>
            </w:r>
          </w:p>
        </w:tc>
        <w:tc>
          <w:tcPr>
            <w:tcW w:w="544" w:type="pct"/>
            <w:vAlign w:val="center"/>
          </w:tcPr>
          <w:p w14:paraId="3AB0B241">
            <w:pPr>
              <w:pStyle w:val="12"/>
              <w:jc w:val="center"/>
            </w:pPr>
            <w:r>
              <w:rPr>
                <w:rFonts w:hint="eastAsia"/>
              </w:rPr>
              <w:t>5</w:t>
            </w:r>
          </w:p>
        </w:tc>
        <w:tc>
          <w:tcPr>
            <w:tcW w:w="715" w:type="pct"/>
            <w:vAlign w:val="center"/>
          </w:tcPr>
          <w:p w14:paraId="376CA6BE">
            <w:pPr>
              <w:pStyle w:val="12"/>
              <w:jc w:val="center"/>
            </w:pPr>
            <w:r>
              <w:rPr>
                <w:rFonts w:hint="eastAsia"/>
              </w:rPr>
              <w:t>汽车-15级</w:t>
            </w:r>
          </w:p>
        </w:tc>
      </w:tr>
      <w:tr w14:paraId="688779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9C92F49">
            <w:pPr>
              <w:pStyle w:val="12"/>
              <w:jc w:val="center"/>
            </w:pPr>
            <w:r>
              <w:rPr>
                <w:rFonts w:hint="eastAsia"/>
              </w:rPr>
              <w:t>Y411</w:t>
            </w:r>
          </w:p>
        </w:tc>
        <w:tc>
          <w:tcPr>
            <w:tcW w:w="714" w:type="pct"/>
            <w:vAlign w:val="center"/>
          </w:tcPr>
          <w:p w14:paraId="59F205AB">
            <w:pPr>
              <w:pStyle w:val="12"/>
              <w:jc w:val="center"/>
            </w:pPr>
            <w:r>
              <w:rPr>
                <w:rFonts w:hint="eastAsia"/>
              </w:rPr>
              <w:t>叟里元桥</w:t>
            </w:r>
          </w:p>
        </w:tc>
        <w:tc>
          <w:tcPr>
            <w:tcW w:w="714" w:type="pct"/>
            <w:vAlign w:val="center"/>
          </w:tcPr>
          <w:p w14:paraId="36692CE1">
            <w:pPr>
              <w:pStyle w:val="12"/>
              <w:jc w:val="center"/>
            </w:pPr>
            <w:r>
              <w:rPr>
                <w:rFonts w:hint="eastAsia"/>
              </w:rPr>
              <w:t>28</w:t>
            </w:r>
          </w:p>
        </w:tc>
        <w:tc>
          <w:tcPr>
            <w:tcW w:w="715" w:type="pct"/>
            <w:vAlign w:val="center"/>
          </w:tcPr>
          <w:p w14:paraId="516D0AEF">
            <w:pPr>
              <w:pStyle w:val="12"/>
              <w:jc w:val="center"/>
            </w:pPr>
            <w:r>
              <w:rPr>
                <w:rFonts w:hint="eastAsia"/>
              </w:rPr>
              <w:t>1988年1月</w:t>
            </w:r>
          </w:p>
        </w:tc>
        <w:tc>
          <w:tcPr>
            <w:tcW w:w="885" w:type="pct"/>
            <w:vAlign w:val="center"/>
          </w:tcPr>
          <w:p w14:paraId="408DCF50">
            <w:pPr>
              <w:pStyle w:val="12"/>
              <w:jc w:val="center"/>
            </w:pPr>
            <w:r>
              <w:rPr>
                <w:rFonts w:hint="eastAsia"/>
              </w:rPr>
              <w:t>石拱</w:t>
            </w:r>
          </w:p>
        </w:tc>
        <w:tc>
          <w:tcPr>
            <w:tcW w:w="544" w:type="pct"/>
            <w:vAlign w:val="center"/>
          </w:tcPr>
          <w:p w14:paraId="6DEAB24E">
            <w:pPr>
              <w:pStyle w:val="12"/>
              <w:jc w:val="center"/>
            </w:pPr>
            <w:r>
              <w:rPr>
                <w:rFonts w:hint="eastAsia"/>
              </w:rPr>
              <w:t>1</w:t>
            </w:r>
          </w:p>
        </w:tc>
        <w:tc>
          <w:tcPr>
            <w:tcW w:w="715" w:type="pct"/>
            <w:vAlign w:val="center"/>
          </w:tcPr>
          <w:p w14:paraId="5D551995">
            <w:pPr>
              <w:pStyle w:val="12"/>
              <w:jc w:val="center"/>
            </w:pPr>
            <w:r>
              <w:rPr>
                <w:rFonts w:hint="eastAsia"/>
              </w:rPr>
              <w:t>汽车-10级</w:t>
            </w:r>
          </w:p>
        </w:tc>
      </w:tr>
      <w:tr w14:paraId="31890C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77A1467">
            <w:pPr>
              <w:pStyle w:val="12"/>
              <w:jc w:val="center"/>
            </w:pPr>
            <w:r>
              <w:rPr>
                <w:rFonts w:hint="eastAsia"/>
              </w:rPr>
              <w:t>Y434</w:t>
            </w:r>
          </w:p>
        </w:tc>
        <w:tc>
          <w:tcPr>
            <w:tcW w:w="714" w:type="pct"/>
            <w:vAlign w:val="center"/>
          </w:tcPr>
          <w:p w14:paraId="37C59BFB">
            <w:pPr>
              <w:pStyle w:val="12"/>
              <w:jc w:val="center"/>
            </w:pPr>
            <w:r>
              <w:rPr>
                <w:rFonts w:hint="eastAsia"/>
              </w:rPr>
              <w:t>富竹桥</w:t>
            </w:r>
          </w:p>
        </w:tc>
        <w:tc>
          <w:tcPr>
            <w:tcW w:w="714" w:type="pct"/>
            <w:vAlign w:val="center"/>
          </w:tcPr>
          <w:p w14:paraId="596C25FB">
            <w:pPr>
              <w:pStyle w:val="12"/>
              <w:jc w:val="center"/>
            </w:pPr>
            <w:r>
              <w:rPr>
                <w:rFonts w:hint="eastAsia"/>
              </w:rPr>
              <w:t>52</w:t>
            </w:r>
          </w:p>
        </w:tc>
        <w:tc>
          <w:tcPr>
            <w:tcW w:w="715" w:type="pct"/>
            <w:vAlign w:val="center"/>
          </w:tcPr>
          <w:p w14:paraId="31D61C7E">
            <w:pPr>
              <w:pStyle w:val="12"/>
              <w:jc w:val="center"/>
            </w:pPr>
            <w:r>
              <w:rPr>
                <w:rFonts w:hint="eastAsia"/>
              </w:rPr>
              <w:t>1971年1月</w:t>
            </w:r>
          </w:p>
        </w:tc>
        <w:tc>
          <w:tcPr>
            <w:tcW w:w="885" w:type="pct"/>
            <w:vAlign w:val="center"/>
          </w:tcPr>
          <w:p w14:paraId="23112ADD">
            <w:pPr>
              <w:pStyle w:val="12"/>
              <w:jc w:val="center"/>
            </w:pPr>
            <w:r>
              <w:rPr>
                <w:rFonts w:hint="eastAsia"/>
              </w:rPr>
              <w:t>石拱</w:t>
            </w:r>
          </w:p>
        </w:tc>
        <w:tc>
          <w:tcPr>
            <w:tcW w:w="544" w:type="pct"/>
            <w:vAlign w:val="center"/>
          </w:tcPr>
          <w:p w14:paraId="00B5AE36">
            <w:pPr>
              <w:pStyle w:val="12"/>
              <w:jc w:val="center"/>
            </w:pPr>
            <w:r>
              <w:rPr>
                <w:rFonts w:hint="eastAsia"/>
              </w:rPr>
              <w:t>3</w:t>
            </w:r>
          </w:p>
        </w:tc>
        <w:tc>
          <w:tcPr>
            <w:tcW w:w="715" w:type="pct"/>
            <w:vAlign w:val="center"/>
          </w:tcPr>
          <w:p w14:paraId="5F9A803B">
            <w:pPr>
              <w:pStyle w:val="12"/>
              <w:jc w:val="center"/>
            </w:pPr>
            <w:r>
              <w:rPr>
                <w:rFonts w:hint="eastAsia"/>
              </w:rPr>
              <w:t>汽车-10级</w:t>
            </w:r>
          </w:p>
        </w:tc>
      </w:tr>
      <w:tr w14:paraId="0CBDE6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4E7652F1">
            <w:pPr>
              <w:pStyle w:val="12"/>
              <w:jc w:val="center"/>
            </w:pPr>
            <w:r>
              <w:rPr>
                <w:rFonts w:hint="eastAsia"/>
              </w:rPr>
              <w:t>Y440</w:t>
            </w:r>
          </w:p>
        </w:tc>
        <w:tc>
          <w:tcPr>
            <w:tcW w:w="714" w:type="pct"/>
            <w:vAlign w:val="center"/>
          </w:tcPr>
          <w:p w14:paraId="146FF3BC">
            <w:pPr>
              <w:pStyle w:val="12"/>
              <w:jc w:val="center"/>
            </w:pPr>
            <w:r>
              <w:rPr>
                <w:rFonts w:hint="eastAsia"/>
              </w:rPr>
              <w:t>佛岭下桥</w:t>
            </w:r>
          </w:p>
        </w:tc>
        <w:tc>
          <w:tcPr>
            <w:tcW w:w="714" w:type="pct"/>
            <w:vAlign w:val="center"/>
          </w:tcPr>
          <w:p w14:paraId="68815CDF">
            <w:pPr>
              <w:pStyle w:val="12"/>
              <w:jc w:val="center"/>
            </w:pPr>
            <w:r>
              <w:rPr>
                <w:rFonts w:hint="eastAsia"/>
              </w:rPr>
              <w:t>43</w:t>
            </w:r>
          </w:p>
        </w:tc>
        <w:tc>
          <w:tcPr>
            <w:tcW w:w="715" w:type="pct"/>
            <w:vAlign w:val="center"/>
          </w:tcPr>
          <w:p w14:paraId="2442ECA1">
            <w:pPr>
              <w:pStyle w:val="12"/>
              <w:jc w:val="center"/>
            </w:pPr>
            <w:r>
              <w:rPr>
                <w:rFonts w:hint="eastAsia"/>
              </w:rPr>
              <w:t>1992年10月</w:t>
            </w:r>
          </w:p>
        </w:tc>
        <w:tc>
          <w:tcPr>
            <w:tcW w:w="885" w:type="pct"/>
            <w:vAlign w:val="center"/>
          </w:tcPr>
          <w:p w14:paraId="4B51BDC2">
            <w:pPr>
              <w:pStyle w:val="12"/>
              <w:jc w:val="center"/>
            </w:pPr>
            <w:r>
              <w:rPr>
                <w:rFonts w:hint="eastAsia"/>
              </w:rPr>
              <w:t>石拱</w:t>
            </w:r>
          </w:p>
        </w:tc>
        <w:tc>
          <w:tcPr>
            <w:tcW w:w="544" w:type="pct"/>
            <w:vAlign w:val="center"/>
          </w:tcPr>
          <w:p w14:paraId="1D742BBB">
            <w:pPr>
              <w:pStyle w:val="12"/>
              <w:jc w:val="center"/>
            </w:pPr>
            <w:r>
              <w:rPr>
                <w:rFonts w:hint="eastAsia"/>
              </w:rPr>
              <w:t>2</w:t>
            </w:r>
          </w:p>
        </w:tc>
        <w:tc>
          <w:tcPr>
            <w:tcW w:w="715" w:type="pct"/>
            <w:vAlign w:val="center"/>
          </w:tcPr>
          <w:p w14:paraId="13783A2D">
            <w:pPr>
              <w:pStyle w:val="12"/>
              <w:jc w:val="center"/>
            </w:pPr>
            <w:r>
              <w:rPr>
                <w:rFonts w:hint="eastAsia"/>
              </w:rPr>
              <w:t>汽车-15级</w:t>
            </w:r>
          </w:p>
        </w:tc>
      </w:tr>
      <w:tr w14:paraId="46C2AD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8F58396">
            <w:pPr>
              <w:pStyle w:val="12"/>
              <w:jc w:val="center"/>
            </w:pPr>
            <w:r>
              <w:rPr>
                <w:rFonts w:hint="eastAsia"/>
              </w:rPr>
              <w:t>Y443</w:t>
            </w:r>
          </w:p>
        </w:tc>
        <w:tc>
          <w:tcPr>
            <w:tcW w:w="714" w:type="pct"/>
            <w:vAlign w:val="center"/>
          </w:tcPr>
          <w:p w14:paraId="34FEBEA0">
            <w:pPr>
              <w:pStyle w:val="12"/>
              <w:jc w:val="center"/>
            </w:pPr>
            <w:r>
              <w:rPr>
                <w:rFonts w:hint="eastAsia"/>
              </w:rPr>
              <w:t>密下水桥</w:t>
            </w:r>
          </w:p>
        </w:tc>
        <w:tc>
          <w:tcPr>
            <w:tcW w:w="714" w:type="pct"/>
            <w:vAlign w:val="center"/>
          </w:tcPr>
          <w:p w14:paraId="48FDF33C">
            <w:pPr>
              <w:pStyle w:val="12"/>
              <w:jc w:val="center"/>
            </w:pPr>
            <w:r>
              <w:rPr>
                <w:rFonts w:hint="eastAsia"/>
              </w:rPr>
              <w:t>49</w:t>
            </w:r>
          </w:p>
        </w:tc>
        <w:tc>
          <w:tcPr>
            <w:tcW w:w="715" w:type="pct"/>
            <w:vAlign w:val="center"/>
          </w:tcPr>
          <w:p w14:paraId="29E3BC98">
            <w:pPr>
              <w:pStyle w:val="12"/>
              <w:jc w:val="center"/>
            </w:pPr>
            <w:r>
              <w:rPr>
                <w:rFonts w:hint="eastAsia"/>
              </w:rPr>
              <w:t>1994年12月</w:t>
            </w:r>
          </w:p>
        </w:tc>
        <w:tc>
          <w:tcPr>
            <w:tcW w:w="885" w:type="pct"/>
            <w:vAlign w:val="center"/>
          </w:tcPr>
          <w:p w14:paraId="174ED52A">
            <w:pPr>
              <w:pStyle w:val="12"/>
              <w:jc w:val="center"/>
            </w:pPr>
            <w:r>
              <w:rPr>
                <w:rFonts w:hint="eastAsia"/>
              </w:rPr>
              <w:t>板梁（实心）</w:t>
            </w:r>
          </w:p>
        </w:tc>
        <w:tc>
          <w:tcPr>
            <w:tcW w:w="544" w:type="pct"/>
            <w:vAlign w:val="center"/>
          </w:tcPr>
          <w:p w14:paraId="79F03DCE">
            <w:pPr>
              <w:pStyle w:val="12"/>
              <w:jc w:val="center"/>
            </w:pPr>
            <w:r>
              <w:rPr>
                <w:rFonts w:hint="eastAsia"/>
              </w:rPr>
              <w:t>6</w:t>
            </w:r>
          </w:p>
        </w:tc>
        <w:tc>
          <w:tcPr>
            <w:tcW w:w="715" w:type="pct"/>
            <w:vAlign w:val="center"/>
          </w:tcPr>
          <w:p w14:paraId="4A939ADD">
            <w:pPr>
              <w:pStyle w:val="12"/>
              <w:jc w:val="center"/>
            </w:pPr>
            <w:r>
              <w:rPr>
                <w:rFonts w:hint="eastAsia"/>
              </w:rPr>
              <w:t>汽车-15级</w:t>
            </w:r>
          </w:p>
        </w:tc>
      </w:tr>
      <w:tr w14:paraId="090BD1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4C54CE10">
            <w:pPr>
              <w:pStyle w:val="12"/>
              <w:jc w:val="center"/>
            </w:pPr>
            <w:r>
              <w:rPr>
                <w:rFonts w:hint="eastAsia"/>
              </w:rPr>
              <w:t>Y444</w:t>
            </w:r>
          </w:p>
        </w:tc>
        <w:tc>
          <w:tcPr>
            <w:tcW w:w="714" w:type="pct"/>
            <w:vAlign w:val="center"/>
          </w:tcPr>
          <w:p w14:paraId="2F714B56">
            <w:pPr>
              <w:pStyle w:val="12"/>
              <w:jc w:val="center"/>
            </w:pPr>
            <w:r>
              <w:rPr>
                <w:rFonts w:hint="eastAsia"/>
              </w:rPr>
              <w:t>莲塘桥</w:t>
            </w:r>
          </w:p>
        </w:tc>
        <w:tc>
          <w:tcPr>
            <w:tcW w:w="714" w:type="pct"/>
            <w:vAlign w:val="center"/>
          </w:tcPr>
          <w:p w14:paraId="5F5D183D">
            <w:pPr>
              <w:pStyle w:val="12"/>
              <w:jc w:val="center"/>
            </w:pPr>
            <w:r>
              <w:rPr>
                <w:rFonts w:hint="eastAsia"/>
              </w:rPr>
              <w:t>66</w:t>
            </w:r>
          </w:p>
        </w:tc>
        <w:tc>
          <w:tcPr>
            <w:tcW w:w="715" w:type="pct"/>
            <w:vAlign w:val="center"/>
          </w:tcPr>
          <w:p w14:paraId="17F1A625">
            <w:pPr>
              <w:pStyle w:val="12"/>
              <w:jc w:val="center"/>
            </w:pPr>
            <w:r>
              <w:rPr>
                <w:rFonts w:hint="eastAsia"/>
              </w:rPr>
              <w:t>1990年1月</w:t>
            </w:r>
          </w:p>
        </w:tc>
        <w:tc>
          <w:tcPr>
            <w:tcW w:w="885" w:type="pct"/>
            <w:vAlign w:val="center"/>
          </w:tcPr>
          <w:p w14:paraId="64B136C5">
            <w:pPr>
              <w:pStyle w:val="12"/>
              <w:jc w:val="center"/>
            </w:pPr>
            <w:r>
              <w:rPr>
                <w:rFonts w:hint="eastAsia"/>
              </w:rPr>
              <w:t>板梁（实心）</w:t>
            </w:r>
          </w:p>
        </w:tc>
        <w:tc>
          <w:tcPr>
            <w:tcW w:w="544" w:type="pct"/>
            <w:vAlign w:val="center"/>
          </w:tcPr>
          <w:p w14:paraId="7E12DA25">
            <w:pPr>
              <w:pStyle w:val="12"/>
              <w:jc w:val="center"/>
            </w:pPr>
            <w:r>
              <w:rPr>
                <w:rFonts w:hint="eastAsia"/>
              </w:rPr>
              <w:t>3</w:t>
            </w:r>
          </w:p>
        </w:tc>
        <w:tc>
          <w:tcPr>
            <w:tcW w:w="715" w:type="pct"/>
            <w:vAlign w:val="center"/>
          </w:tcPr>
          <w:p w14:paraId="3DA847C7">
            <w:pPr>
              <w:pStyle w:val="12"/>
              <w:jc w:val="center"/>
            </w:pPr>
            <w:r>
              <w:rPr>
                <w:rFonts w:hint="eastAsia"/>
              </w:rPr>
              <w:t>汽车-10级</w:t>
            </w:r>
          </w:p>
        </w:tc>
      </w:tr>
      <w:tr w14:paraId="138BE8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B81B655">
            <w:pPr>
              <w:pStyle w:val="12"/>
              <w:jc w:val="center"/>
            </w:pPr>
            <w:r>
              <w:rPr>
                <w:rFonts w:hint="eastAsia"/>
              </w:rPr>
              <w:t>Y445</w:t>
            </w:r>
          </w:p>
        </w:tc>
        <w:tc>
          <w:tcPr>
            <w:tcW w:w="714" w:type="pct"/>
            <w:vAlign w:val="center"/>
          </w:tcPr>
          <w:p w14:paraId="4C5DFAB2">
            <w:pPr>
              <w:pStyle w:val="12"/>
              <w:jc w:val="center"/>
            </w:pPr>
            <w:r>
              <w:rPr>
                <w:rFonts w:hint="eastAsia"/>
              </w:rPr>
              <w:t>艻迳桥</w:t>
            </w:r>
          </w:p>
        </w:tc>
        <w:tc>
          <w:tcPr>
            <w:tcW w:w="714" w:type="pct"/>
            <w:vAlign w:val="center"/>
          </w:tcPr>
          <w:p w14:paraId="2C4844FF">
            <w:pPr>
              <w:pStyle w:val="12"/>
              <w:jc w:val="center"/>
            </w:pPr>
            <w:r>
              <w:rPr>
                <w:rFonts w:hint="eastAsia"/>
              </w:rPr>
              <w:t>57</w:t>
            </w:r>
            <w:r>
              <w:rPr>
                <w:rFonts w:hint="eastAsia" w:ascii="宋体" w:hAnsi="宋体" w:cs="宋体"/>
              </w:rPr>
              <w:t>.</w:t>
            </w:r>
            <w:r>
              <w:rPr>
                <w:rFonts w:hint="eastAsia"/>
              </w:rPr>
              <w:t>5</w:t>
            </w:r>
          </w:p>
        </w:tc>
        <w:tc>
          <w:tcPr>
            <w:tcW w:w="715" w:type="pct"/>
            <w:vAlign w:val="center"/>
          </w:tcPr>
          <w:p w14:paraId="7FEB1D83">
            <w:pPr>
              <w:pStyle w:val="12"/>
              <w:jc w:val="center"/>
            </w:pPr>
            <w:r>
              <w:rPr>
                <w:rFonts w:hint="eastAsia"/>
              </w:rPr>
              <w:t>1994年12月</w:t>
            </w:r>
          </w:p>
        </w:tc>
        <w:tc>
          <w:tcPr>
            <w:tcW w:w="885" w:type="pct"/>
            <w:vAlign w:val="center"/>
          </w:tcPr>
          <w:p w14:paraId="41D9B64E">
            <w:pPr>
              <w:pStyle w:val="12"/>
              <w:jc w:val="center"/>
            </w:pPr>
            <w:r>
              <w:rPr>
                <w:rFonts w:hint="eastAsia"/>
              </w:rPr>
              <w:t>石拱</w:t>
            </w:r>
          </w:p>
        </w:tc>
        <w:tc>
          <w:tcPr>
            <w:tcW w:w="544" w:type="pct"/>
            <w:vAlign w:val="center"/>
          </w:tcPr>
          <w:p w14:paraId="5BC40BB8">
            <w:pPr>
              <w:pStyle w:val="12"/>
              <w:jc w:val="center"/>
            </w:pPr>
            <w:r>
              <w:rPr>
                <w:rFonts w:hint="eastAsia"/>
              </w:rPr>
              <w:t>2</w:t>
            </w:r>
          </w:p>
        </w:tc>
        <w:tc>
          <w:tcPr>
            <w:tcW w:w="715" w:type="pct"/>
            <w:vAlign w:val="center"/>
          </w:tcPr>
          <w:p w14:paraId="517B9546">
            <w:pPr>
              <w:pStyle w:val="12"/>
              <w:jc w:val="center"/>
            </w:pPr>
            <w:r>
              <w:rPr>
                <w:rFonts w:hint="eastAsia"/>
              </w:rPr>
              <w:t>汽车-15级</w:t>
            </w:r>
          </w:p>
        </w:tc>
      </w:tr>
      <w:tr w14:paraId="5FB213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4C12BE1C">
            <w:pPr>
              <w:pStyle w:val="12"/>
              <w:jc w:val="center"/>
            </w:pPr>
            <w:r>
              <w:rPr>
                <w:rFonts w:hint="eastAsia"/>
              </w:rPr>
              <w:t>Y447</w:t>
            </w:r>
          </w:p>
        </w:tc>
        <w:tc>
          <w:tcPr>
            <w:tcW w:w="714" w:type="pct"/>
            <w:vAlign w:val="center"/>
          </w:tcPr>
          <w:p w14:paraId="58A5D31C">
            <w:pPr>
              <w:pStyle w:val="12"/>
              <w:jc w:val="center"/>
            </w:pPr>
            <w:r>
              <w:rPr>
                <w:rFonts w:hint="eastAsia"/>
              </w:rPr>
              <w:t>东江岭桥</w:t>
            </w:r>
          </w:p>
        </w:tc>
        <w:tc>
          <w:tcPr>
            <w:tcW w:w="714" w:type="pct"/>
            <w:vAlign w:val="center"/>
          </w:tcPr>
          <w:p w14:paraId="3C867ED5">
            <w:pPr>
              <w:pStyle w:val="12"/>
              <w:jc w:val="center"/>
            </w:pPr>
            <w:r>
              <w:rPr>
                <w:rFonts w:hint="eastAsia"/>
              </w:rPr>
              <w:t>53</w:t>
            </w:r>
            <w:r>
              <w:rPr>
                <w:rFonts w:hint="eastAsia" w:ascii="宋体" w:hAnsi="宋体" w:cs="宋体"/>
              </w:rPr>
              <w:t>.</w:t>
            </w:r>
            <w:r>
              <w:rPr>
                <w:rFonts w:hint="eastAsia"/>
              </w:rPr>
              <w:t>6</w:t>
            </w:r>
          </w:p>
        </w:tc>
        <w:tc>
          <w:tcPr>
            <w:tcW w:w="715" w:type="pct"/>
            <w:vAlign w:val="center"/>
          </w:tcPr>
          <w:p w14:paraId="0753C820">
            <w:pPr>
              <w:pStyle w:val="12"/>
              <w:jc w:val="center"/>
            </w:pPr>
            <w:r>
              <w:rPr>
                <w:rFonts w:hint="eastAsia"/>
              </w:rPr>
              <w:t>1994年1月</w:t>
            </w:r>
          </w:p>
        </w:tc>
        <w:tc>
          <w:tcPr>
            <w:tcW w:w="885" w:type="pct"/>
            <w:vAlign w:val="center"/>
          </w:tcPr>
          <w:p w14:paraId="48E5E3A3">
            <w:pPr>
              <w:pStyle w:val="12"/>
              <w:jc w:val="center"/>
            </w:pPr>
            <w:r>
              <w:rPr>
                <w:rFonts w:hint="eastAsia"/>
              </w:rPr>
              <w:t>T梁</w:t>
            </w:r>
          </w:p>
        </w:tc>
        <w:tc>
          <w:tcPr>
            <w:tcW w:w="544" w:type="pct"/>
            <w:vAlign w:val="center"/>
          </w:tcPr>
          <w:p w14:paraId="5060A1C9">
            <w:pPr>
              <w:pStyle w:val="12"/>
              <w:jc w:val="center"/>
            </w:pPr>
            <w:r>
              <w:rPr>
                <w:rFonts w:hint="eastAsia"/>
              </w:rPr>
              <w:t>4</w:t>
            </w:r>
          </w:p>
        </w:tc>
        <w:tc>
          <w:tcPr>
            <w:tcW w:w="715" w:type="pct"/>
            <w:vAlign w:val="center"/>
          </w:tcPr>
          <w:p w14:paraId="142FA46C">
            <w:pPr>
              <w:pStyle w:val="12"/>
              <w:jc w:val="center"/>
            </w:pPr>
            <w:r>
              <w:rPr>
                <w:rFonts w:hint="eastAsia"/>
              </w:rPr>
              <w:t>汽车-15级</w:t>
            </w:r>
          </w:p>
        </w:tc>
      </w:tr>
      <w:tr w14:paraId="0BF3BB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11B9033">
            <w:pPr>
              <w:pStyle w:val="12"/>
              <w:jc w:val="center"/>
            </w:pPr>
            <w:r>
              <w:rPr>
                <w:rFonts w:hint="eastAsia"/>
              </w:rPr>
              <w:t>Y447</w:t>
            </w:r>
          </w:p>
        </w:tc>
        <w:tc>
          <w:tcPr>
            <w:tcW w:w="714" w:type="pct"/>
            <w:vAlign w:val="center"/>
          </w:tcPr>
          <w:p w14:paraId="1C8E32D6">
            <w:pPr>
              <w:pStyle w:val="12"/>
              <w:jc w:val="center"/>
            </w:pPr>
            <w:r>
              <w:rPr>
                <w:rFonts w:hint="eastAsia"/>
              </w:rPr>
              <w:t>陂头桥</w:t>
            </w:r>
          </w:p>
        </w:tc>
        <w:tc>
          <w:tcPr>
            <w:tcW w:w="714" w:type="pct"/>
            <w:vAlign w:val="center"/>
          </w:tcPr>
          <w:p w14:paraId="7241339D">
            <w:pPr>
              <w:pStyle w:val="12"/>
              <w:jc w:val="center"/>
            </w:pPr>
            <w:r>
              <w:rPr>
                <w:rFonts w:hint="eastAsia"/>
              </w:rPr>
              <w:t>42</w:t>
            </w:r>
          </w:p>
        </w:tc>
        <w:tc>
          <w:tcPr>
            <w:tcW w:w="715" w:type="pct"/>
            <w:vAlign w:val="center"/>
          </w:tcPr>
          <w:p w14:paraId="58E6D124">
            <w:pPr>
              <w:pStyle w:val="12"/>
              <w:jc w:val="center"/>
            </w:pPr>
            <w:r>
              <w:rPr>
                <w:rFonts w:hint="eastAsia"/>
              </w:rPr>
              <w:t>2002年12月</w:t>
            </w:r>
          </w:p>
        </w:tc>
        <w:tc>
          <w:tcPr>
            <w:tcW w:w="885" w:type="pct"/>
            <w:vAlign w:val="center"/>
          </w:tcPr>
          <w:p w14:paraId="38A8379B">
            <w:pPr>
              <w:pStyle w:val="12"/>
              <w:jc w:val="center"/>
            </w:pPr>
            <w:r>
              <w:rPr>
                <w:rFonts w:hint="eastAsia"/>
              </w:rPr>
              <w:t>板梁（实心）</w:t>
            </w:r>
          </w:p>
        </w:tc>
        <w:tc>
          <w:tcPr>
            <w:tcW w:w="544" w:type="pct"/>
            <w:vAlign w:val="center"/>
          </w:tcPr>
          <w:p w14:paraId="6F90CDF5">
            <w:pPr>
              <w:pStyle w:val="12"/>
              <w:jc w:val="center"/>
            </w:pPr>
            <w:r>
              <w:rPr>
                <w:rFonts w:hint="eastAsia"/>
              </w:rPr>
              <w:t>5</w:t>
            </w:r>
          </w:p>
        </w:tc>
        <w:tc>
          <w:tcPr>
            <w:tcW w:w="715" w:type="pct"/>
            <w:vAlign w:val="center"/>
          </w:tcPr>
          <w:p w14:paraId="33C2ED12">
            <w:pPr>
              <w:pStyle w:val="12"/>
              <w:jc w:val="center"/>
            </w:pPr>
            <w:r>
              <w:rPr>
                <w:rFonts w:hint="eastAsia"/>
              </w:rPr>
              <w:t>汽车-15级</w:t>
            </w:r>
          </w:p>
        </w:tc>
      </w:tr>
      <w:tr w14:paraId="2E0605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2273C11F">
            <w:pPr>
              <w:pStyle w:val="12"/>
              <w:jc w:val="center"/>
            </w:pPr>
            <w:r>
              <w:rPr>
                <w:rFonts w:hint="eastAsia"/>
              </w:rPr>
              <w:t>Y461</w:t>
            </w:r>
          </w:p>
        </w:tc>
        <w:tc>
          <w:tcPr>
            <w:tcW w:w="714" w:type="pct"/>
            <w:vAlign w:val="center"/>
          </w:tcPr>
          <w:p w14:paraId="042A9F2C">
            <w:pPr>
              <w:pStyle w:val="12"/>
              <w:jc w:val="center"/>
            </w:pPr>
            <w:r>
              <w:rPr>
                <w:rFonts w:hint="eastAsia"/>
              </w:rPr>
              <w:t>上下陂桥</w:t>
            </w:r>
          </w:p>
        </w:tc>
        <w:tc>
          <w:tcPr>
            <w:tcW w:w="714" w:type="pct"/>
            <w:vAlign w:val="center"/>
          </w:tcPr>
          <w:p w14:paraId="672D2C32">
            <w:pPr>
              <w:pStyle w:val="12"/>
              <w:jc w:val="center"/>
            </w:pPr>
            <w:r>
              <w:rPr>
                <w:rFonts w:hint="eastAsia"/>
              </w:rPr>
              <w:t>31</w:t>
            </w:r>
          </w:p>
        </w:tc>
        <w:tc>
          <w:tcPr>
            <w:tcW w:w="715" w:type="pct"/>
            <w:vAlign w:val="center"/>
          </w:tcPr>
          <w:p w14:paraId="71AD2F00">
            <w:pPr>
              <w:pStyle w:val="12"/>
              <w:jc w:val="center"/>
            </w:pPr>
            <w:r>
              <w:rPr>
                <w:rFonts w:hint="eastAsia"/>
              </w:rPr>
              <w:t>1968年1月</w:t>
            </w:r>
          </w:p>
        </w:tc>
        <w:tc>
          <w:tcPr>
            <w:tcW w:w="885" w:type="pct"/>
            <w:vAlign w:val="center"/>
          </w:tcPr>
          <w:p w14:paraId="6EEB5149">
            <w:pPr>
              <w:pStyle w:val="12"/>
              <w:jc w:val="center"/>
            </w:pPr>
            <w:r>
              <w:rPr>
                <w:rFonts w:hint="eastAsia"/>
              </w:rPr>
              <w:t>石拱</w:t>
            </w:r>
          </w:p>
        </w:tc>
        <w:tc>
          <w:tcPr>
            <w:tcW w:w="544" w:type="pct"/>
            <w:vAlign w:val="center"/>
          </w:tcPr>
          <w:p w14:paraId="729436BE">
            <w:pPr>
              <w:pStyle w:val="12"/>
              <w:jc w:val="center"/>
            </w:pPr>
            <w:r>
              <w:rPr>
                <w:rFonts w:hint="eastAsia"/>
              </w:rPr>
              <w:t>1</w:t>
            </w:r>
          </w:p>
        </w:tc>
        <w:tc>
          <w:tcPr>
            <w:tcW w:w="715" w:type="pct"/>
            <w:vAlign w:val="center"/>
          </w:tcPr>
          <w:p w14:paraId="6994EC10">
            <w:pPr>
              <w:pStyle w:val="12"/>
              <w:jc w:val="center"/>
            </w:pPr>
            <w:r>
              <w:rPr>
                <w:rFonts w:hint="eastAsia"/>
              </w:rPr>
              <w:t>汽车-10级</w:t>
            </w:r>
          </w:p>
        </w:tc>
      </w:tr>
      <w:tr w14:paraId="3C8BD8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2D3EF5A5">
            <w:pPr>
              <w:pStyle w:val="12"/>
              <w:jc w:val="center"/>
            </w:pPr>
            <w:r>
              <w:rPr>
                <w:rFonts w:hint="eastAsia"/>
              </w:rPr>
              <w:t>Y463</w:t>
            </w:r>
          </w:p>
        </w:tc>
        <w:tc>
          <w:tcPr>
            <w:tcW w:w="714" w:type="pct"/>
            <w:vAlign w:val="center"/>
          </w:tcPr>
          <w:p w14:paraId="54848CE9">
            <w:pPr>
              <w:pStyle w:val="12"/>
              <w:jc w:val="center"/>
            </w:pPr>
            <w:r>
              <w:rPr>
                <w:rFonts w:hint="eastAsia"/>
              </w:rPr>
              <w:t>牛口潭桥</w:t>
            </w:r>
          </w:p>
        </w:tc>
        <w:tc>
          <w:tcPr>
            <w:tcW w:w="714" w:type="pct"/>
            <w:vAlign w:val="center"/>
          </w:tcPr>
          <w:p w14:paraId="0AF21526">
            <w:pPr>
              <w:pStyle w:val="12"/>
              <w:jc w:val="center"/>
            </w:pPr>
            <w:r>
              <w:rPr>
                <w:rFonts w:hint="eastAsia"/>
              </w:rPr>
              <w:t>77</w:t>
            </w:r>
            <w:r>
              <w:rPr>
                <w:rFonts w:hint="eastAsia" w:ascii="宋体" w:hAnsi="宋体" w:cs="宋体"/>
              </w:rPr>
              <w:t>.</w:t>
            </w:r>
            <w:r>
              <w:rPr>
                <w:rFonts w:hint="eastAsia"/>
              </w:rPr>
              <w:t>6</w:t>
            </w:r>
          </w:p>
        </w:tc>
        <w:tc>
          <w:tcPr>
            <w:tcW w:w="715" w:type="pct"/>
            <w:vAlign w:val="center"/>
          </w:tcPr>
          <w:p w14:paraId="586A93EF">
            <w:pPr>
              <w:pStyle w:val="12"/>
              <w:jc w:val="center"/>
            </w:pPr>
            <w:r>
              <w:rPr>
                <w:rFonts w:hint="eastAsia"/>
              </w:rPr>
              <w:t>1992年1月</w:t>
            </w:r>
          </w:p>
        </w:tc>
        <w:tc>
          <w:tcPr>
            <w:tcW w:w="885" w:type="pct"/>
            <w:vAlign w:val="center"/>
          </w:tcPr>
          <w:p w14:paraId="1D3D5A20">
            <w:pPr>
              <w:pStyle w:val="12"/>
              <w:jc w:val="center"/>
            </w:pPr>
            <w:r>
              <w:rPr>
                <w:rFonts w:hint="eastAsia"/>
              </w:rPr>
              <w:t>石拱</w:t>
            </w:r>
          </w:p>
        </w:tc>
        <w:tc>
          <w:tcPr>
            <w:tcW w:w="544" w:type="pct"/>
            <w:vAlign w:val="center"/>
          </w:tcPr>
          <w:p w14:paraId="1FA3A067">
            <w:pPr>
              <w:pStyle w:val="12"/>
              <w:jc w:val="center"/>
            </w:pPr>
            <w:r>
              <w:rPr>
                <w:rFonts w:hint="eastAsia"/>
              </w:rPr>
              <w:t>5</w:t>
            </w:r>
          </w:p>
        </w:tc>
        <w:tc>
          <w:tcPr>
            <w:tcW w:w="715" w:type="pct"/>
            <w:vAlign w:val="center"/>
          </w:tcPr>
          <w:p w14:paraId="172814B2">
            <w:pPr>
              <w:pStyle w:val="12"/>
              <w:jc w:val="center"/>
            </w:pPr>
            <w:r>
              <w:rPr>
                <w:rFonts w:hint="eastAsia"/>
              </w:rPr>
              <w:t>汽车-15级</w:t>
            </w:r>
          </w:p>
        </w:tc>
      </w:tr>
      <w:tr w14:paraId="520F28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56C4868">
            <w:pPr>
              <w:pStyle w:val="12"/>
              <w:jc w:val="center"/>
            </w:pPr>
            <w:r>
              <w:rPr>
                <w:rFonts w:hint="eastAsia"/>
              </w:rPr>
              <w:t>Y473</w:t>
            </w:r>
          </w:p>
        </w:tc>
        <w:tc>
          <w:tcPr>
            <w:tcW w:w="714" w:type="pct"/>
            <w:vAlign w:val="center"/>
          </w:tcPr>
          <w:p w14:paraId="5DF8278B">
            <w:pPr>
              <w:pStyle w:val="12"/>
              <w:jc w:val="center"/>
            </w:pPr>
            <w:r>
              <w:rPr>
                <w:rFonts w:hint="eastAsia"/>
              </w:rPr>
              <w:t>江口桥</w:t>
            </w:r>
          </w:p>
        </w:tc>
        <w:tc>
          <w:tcPr>
            <w:tcW w:w="714" w:type="pct"/>
            <w:vAlign w:val="center"/>
          </w:tcPr>
          <w:p w14:paraId="1BB1C627">
            <w:pPr>
              <w:pStyle w:val="12"/>
              <w:jc w:val="center"/>
            </w:pPr>
            <w:r>
              <w:rPr>
                <w:rFonts w:hint="eastAsia"/>
              </w:rPr>
              <w:t>84</w:t>
            </w:r>
            <w:r>
              <w:rPr>
                <w:rFonts w:hint="eastAsia" w:ascii="宋体" w:hAnsi="宋体" w:cs="宋体"/>
              </w:rPr>
              <w:t>.</w:t>
            </w:r>
            <w:r>
              <w:rPr>
                <w:rFonts w:hint="eastAsia"/>
              </w:rPr>
              <w:t>4</w:t>
            </w:r>
          </w:p>
        </w:tc>
        <w:tc>
          <w:tcPr>
            <w:tcW w:w="715" w:type="pct"/>
            <w:vAlign w:val="center"/>
          </w:tcPr>
          <w:p w14:paraId="1DE850F2">
            <w:pPr>
              <w:pStyle w:val="12"/>
              <w:jc w:val="center"/>
            </w:pPr>
            <w:r>
              <w:rPr>
                <w:rFonts w:hint="eastAsia"/>
              </w:rPr>
              <w:t>1994年1月</w:t>
            </w:r>
          </w:p>
        </w:tc>
        <w:tc>
          <w:tcPr>
            <w:tcW w:w="885" w:type="pct"/>
            <w:vAlign w:val="center"/>
          </w:tcPr>
          <w:p w14:paraId="45A5A474">
            <w:pPr>
              <w:pStyle w:val="12"/>
              <w:jc w:val="center"/>
            </w:pPr>
            <w:r>
              <w:rPr>
                <w:rFonts w:hint="eastAsia"/>
              </w:rPr>
              <w:t>石拱</w:t>
            </w:r>
          </w:p>
        </w:tc>
        <w:tc>
          <w:tcPr>
            <w:tcW w:w="544" w:type="pct"/>
            <w:vAlign w:val="center"/>
          </w:tcPr>
          <w:p w14:paraId="7C364D0C">
            <w:pPr>
              <w:pStyle w:val="12"/>
              <w:jc w:val="center"/>
            </w:pPr>
            <w:r>
              <w:rPr>
                <w:rFonts w:hint="eastAsia"/>
              </w:rPr>
              <w:t>3</w:t>
            </w:r>
          </w:p>
        </w:tc>
        <w:tc>
          <w:tcPr>
            <w:tcW w:w="715" w:type="pct"/>
            <w:vAlign w:val="center"/>
          </w:tcPr>
          <w:p w14:paraId="5CFAC2ED">
            <w:pPr>
              <w:pStyle w:val="12"/>
              <w:jc w:val="center"/>
            </w:pPr>
            <w:r>
              <w:rPr>
                <w:rFonts w:hint="eastAsia"/>
              </w:rPr>
              <w:t>汽车-15级</w:t>
            </w:r>
          </w:p>
        </w:tc>
      </w:tr>
      <w:tr w14:paraId="1A0176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C4C5C1A">
            <w:pPr>
              <w:pStyle w:val="12"/>
              <w:jc w:val="center"/>
            </w:pPr>
            <w:r>
              <w:rPr>
                <w:rFonts w:hint="eastAsia"/>
              </w:rPr>
              <w:t>Y474</w:t>
            </w:r>
          </w:p>
        </w:tc>
        <w:tc>
          <w:tcPr>
            <w:tcW w:w="714" w:type="pct"/>
            <w:vAlign w:val="center"/>
          </w:tcPr>
          <w:p w14:paraId="5DDC23AF">
            <w:pPr>
              <w:pStyle w:val="12"/>
              <w:jc w:val="center"/>
            </w:pPr>
            <w:r>
              <w:rPr>
                <w:rFonts w:hint="eastAsia"/>
              </w:rPr>
              <w:t>坪塘桥</w:t>
            </w:r>
          </w:p>
        </w:tc>
        <w:tc>
          <w:tcPr>
            <w:tcW w:w="714" w:type="pct"/>
            <w:vAlign w:val="center"/>
          </w:tcPr>
          <w:p w14:paraId="40EAFC66">
            <w:pPr>
              <w:pStyle w:val="12"/>
              <w:jc w:val="center"/>
            </w:pPr>
            <w:r>
              <w:rPr>
                <w:rFonts w:hint="eastAsia"/>
              </w:rPr>
              <w:t>63</w:t>
            </w:r>
            <w:r>
              <w:rPr>
                <w:rFonts w:hint="eastAsia" w:ascii="宋体" w:hAnsi="宋体" w:cs="宋体"/>
              </w:rPr>
              <w:t>.</w:t>
            </w:r>
            <w:r>
              <w:rPr>
                <w:rFonts w:hint="eastAsia"/>
              </w:rPr>
              <w:t>5</w:t>
            </w:r>
          </w:p>
        </w:tc>
        <w:tc>
          <w:tcPr>
            <w:tcW w:w="715" w:type="pct"/>
            <w:vAlign w:val="center"/>
          </w:tcPr>
          <w:p w14:paraId="40E629A2">
            <w:pPr>
              <w:pStyle w:val="12"/>
              <w:jc w:val="center"/>
            </w:pPr>
            <w:r>
              <w:rPr>
                <w:rFonts w:hint="eastAsia"/>
              </w:rPr>
              <w:t>1992年1月</w:t>
            </w:r>
          </w:p>
        </w:tc>
        <w:tc>
          <w:tcPr>
            <w:tcW w:w="885" w:type="pct"/>
            <w:vAlign w:val="center"/>
          </w:tcPr>
          <w:p w14:paraId="1C9BCD4B">
            <w:pPr>
              <w:pStyle w:val="12"/>
              <w:jc w:val="center"/>
            </w:pPr>
            <w:r>
              <w:rPr>
                <w:rFonts w:hint="eastAsia"/>
              </w:rPr>
              <w:t>石拱</w:t>
            </w:r>
          </w:p>
        </w:tc>
        <w:tc>
          <w:tcPr>
            <w:tcW w:w="544" w:type="pct"/>
            <w:vAlign w:val="center"/>
          </w:tcPr>
          <w:p w14:paraId="1A2A3CB8">
            <w:pPr>
              <w:pStyle w:val="12"/>
              <w:jc w:val="center"/>
            </w:pPr>
            <w:r>
              <w:rPr>
                <w:rFonts w:hint="eastAsia"/>
              </w:rPr>
              <w:t>3</w:t>
            </w:r>
          </w:p>
        </w:tc>
        <w:tc>
          <w:tcPr>
            <w:tcW w:w="715" w:type="pct"/>
            <w:vAlign w:val="center"/>
          </w:tcPr>
          <w:p w14:paraId="224B9FFE">
            <w:pPr>
              <w:pStyle w:val="12"/>
              <w:jc w:val="center"/>
            </w:pPr>
            <w:r>
              <w:rPr>
                <w:rFonts w:hint="eastAsia"/>
              </w:rPr>
              <w:t>汽车-15级</w:t>
            </w:r>
          </w:p>
        </w:tc>
      </w:tr>
      <w:tr w14:paraId="1E379B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B9C77DC">
            <w:pPr>
              <w:pStyle w:val="12"/>
              <w:jc w:val="center"/>
            </w:pPr>
            <w:r>
              <w:rPr>
                <w:rFonts w:hint="eastAsia"/>
              </w:rPr>
              <w:t>Y476</w:t>
            </w:r>
          </w:p>
        </w:tc>
        <w:tc>
          <w:tcPr>
            <w:tcW w:w="714" w:type="pct"/>
            <w:vAlign w:val="center"/>
          </w:tcPr>
          <w:p w14:paraId="22DD3AC0">
            <w:pPr>
              <w:pStyle w:val="12"/>
              <w:jc w:val="center"/>
            </w:pPr>
            <w:r>
              <w:rPr>
                <w:rFonts w:hint="eastAsia"/>
              </w:rPr>
              <w:t>新田桥</w:t>
            </w:r>
          </w:p>
        </w:tc>
        <w:tc>
          <w:tcPr>
            <w:tcW w:w="714" w:type="pct"/>
            <w:vAlign w:val="center"/>
          </w:tcPr>
          <w:p w14:paraId="668A0441">
            <w:pPr>
              <w:pStyle w:val="12"/>
              <w:jc w:val="center"/>
            </w:pPr>
            <w:r>
              <w:rPr>
                <w:rFonts w:hint="eastAsia"/>
              </w:rPr>
              <w:t>40</w:t>
            </w:r>
          </w:p>
        </w:tc>
        <w:tc>
          <w:tcPr>
            <w:tcW w:w="715" w:type="pct"/>
            <w:vAlign w:val="center"/>
          </w:tcPr>
          <w:p w14:paraId="1F6A1165">
            <w:pPr>
              <w:pStyle w:val="12"/>
              <w:jc w:val="center"/>
            </w:pPr>
            <w:r>
              <w:rPr>
                <w:rFonts w:hint="eastAsia"/>
              </w:rPr>
              <w:t>1967年1月</w:t>
            </w:r>
          </w:p>
        </w:tc>
        <w:tc>
          <w:tcPr>
            <w:tcW w:w="885" w:type="pct"/>
            <w:vAlign w:val="center"/>
          </w:tcPr>
          <w:p w14:paraId="0C8F9CB6">
            <w:pPr>
              <w:pStyle w:val="12"/>
              <w:jc w:val="center"/>
            </w:pPr>
            <w:r>
              <w:rPr>
                <w:rFonts w:hint="eastAsia"/>
              </w:rPr>
              <w:t>石拱</w:t>
            </w:r>
          </w:p>
        </w:tc>
        <w:tc>
          <w:tcPr>
            <w:tcW w:w="544" w:type="pct"/>
            <w:vAlign w:val="center"/>
          </w:tcPr>
          <w:p w14:paraId="580AF34C">
            <w:pPr>
              <w:pStyle w:val="12"/>
              <w:jc w:val="center"/>
            </w:pPr>
            <w:r>
              <w:rPr>
                <w:rFonts w:hint="eastAsia"/>
              </w:rPr>
              <w:t>3</w:t>
            </w:r>
          </w:p>
        </w:tc>
        <w:tc>
          <w:tcPr>
            <w:tcW w:w="715" w:type="pct"/>
            <w:vAlign w:val="center"/>
          </w:tcPr>
          <w:p w14:paraId="1147563A">
            <w:pPr>
              <w:pStyle w:val="12"/>
              <w:jc w:val="center"/>
            </w:pPr>
            <w:r>
              <w:rPr>
                <w:rFonts w:hint="eastAsia"/>
              </w:rPr>
              <w:t>汽车-10级</w:t>
            </w:r>
          </w:p>
        </w:tc>
      </w:tr>
      <w:tr w14:paraId="0A8A1C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2C9F0D3">
            <w:pPr>
              <w:pStyle w:val="12"/>
              <w:jc w:val="center"/>
            </w:pPr>
            <w:r>
              <w:rPr>
                <w:rFonts w:hint="eastAsia"/>
              </w:rPr>
              <w:t>Y484</w:t>
            </w:r>
          </w:p>
        </w:tc>
        <w:tc>
          <w:tcPr>
            <w:tcW w:w="714" w:type="pct"/>
            <w:vAlign w:val="center"/>
          </w:tcPr>
          <w:p w14:paraId="37B9B0E1">
            <w:pPr>
              <w:pStyle w:val="12"/>
              <w:jc w:val="center"/>
            </w:pPr>
            <w:r>
              <w:rPr>
                <w:rFonts w:hint="eastAsia"/>
              </w:rPr>
              <w:t>上坪桥</w:t>
            </w:r>
          </w:p>
        </w:tc>
        <w:tc>
          <w:tcPr>
            <w:tcW w:w="714" w:type="pct"/>
            <w:vAlign w:val="center"/>
          </w:tcPr>
          <w:p w14:paraId="4D888609">
            <w:pPr>
              <w:pStyle w:val="12"/>
              <w:jc w:val="center"/>
            </w:pPr>
            <w:r>
              <w:rPr>
                <w:rFonts w:hint="eastAsia"/>
              </w:rPr>
              <w:t>99</w:t>
            </w:r>
            <w:r>
              <w:rPr>
                <w:rFonts w:hint="eastAsia" w:ascii="宋体" w:hAnsi="宋体" w:cs="宋体"/>
              </w:rPr>
              <w:t>.</w:t>
            </w:r>
            <w:r>
              <w:rPr>
                <w:rFonts w:hint="eastAsia"/>
              </w:rPr>
              <w:t>8</w:t>
            </w:r>
          </w:p>
        </w:tc>
        <w:tc>
          <w:tcPr>
            <w:tcW w:w="715" w:type="pct"/>
            <w:vAlign w:val="center"/>
          </w:tcPr>
          <w:p w14:paraId="5EDB1913">
            <w:pPr>
              <w:pStyle w:val="12"/>
              <w:jc w:val="center"/>
            </w:pPr>
            <w:r>
              <w:rPr>
                <w:rFonts w:hint="eastAsia"/>
              </w:rPr>
              <w:t>1992年1月</w:t>
            </w:r>
          </w:p>
        </w:tc>
        <w:tc>
          <w:tcPr>
            <w:tcW w:w="885" w:type="pct"/>
            <w:vAlign w:val="center"/>
          </w:tcPr>
          <w:p w14:paraId="57CD2E07">
            <w:pPr>
              <w:pStyle w:val="12"/>
              <w:jc w:val="center"/>
            </w:pPr>
            <w:r>
              <w:rPr>
                <w:rFonts w:hint="eastAsia"/>
              </w:rPr>
              <w:t>石拱</w:t>
            </w:r>
          </w:p>
        </w:tc>
        <w:tc>
          <w:tcPr>
            <w:tcW w:w="544" w:type="pct"/>
            <w:vAlign w:val="center"/>
          </w:tcPr>
          <w:p w14:paraId="2896E002">
            <w:pPr>
              <w:pStyle w:val="12"/>
              <w:jc w:val="center"/>
            </w:pPr>
            <w:r>
              <w:rPr>
                <w:rFonts w:hint="eastAsia"/>
              </w:rPr>
              <w:t>4</w:t>
            </w:r>
          </w:p>
        </w:tc>
        <w:tc>
          <w:tcPr>
            <w:tcW w:w="715" w:type="pct"/>
            <w:vAlign w:val="center"/>
          </w:tcPr>
          <w:p w14:paraId="581DB3B5">
            <w:pPr>
              <w:pStyle w:val="12"/>
              <w:jc w:val="center"/>
            </w:pPr>
            <w:r>
              <w:rPr>
                <w:rFonts w:hint="eastAsia"/>
              </w:rPr>
              <w:t>汽车-15级</w:t>
            </w:r>
          </w:p>
        </w:tc>
      </w:tr>
      <w:tr w14:paraId="53292C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45E1C96">
            <w:pPr>
              <w:pStyle w:val="12"/>
              <w:jc w:val="center"/>
            </w:pPr>
            <w:r>
              <w:rPr>
                <w:rFonts w:hint="eastAsia"/>
              </w:rPr>
              <w:t>Y488</w:t>
            </w:r>
          </w:p>
        </w:tc>
        <w:tc>
          <w:tcPr>
            <w:tcW w:w="714" w:type="pct"/>
            <w:vAlign w:val="center"/>
          </w:tcPr>
          <w:p w14:paraId="1AA042E9">
            <w:pPr>
              <w:pStyle w:val="12"/>
              <w:jc w:val="center"/>
            </w:pPr>
            <w:r>
              <w:rPr>
                <w:rFonts w:hint="eastAsia"/>
              </w:rPr>
              <w:t>江头桥</w:t>
            </w:r>
          </w:p>
        </w:tc>
        <w:tc>
          <w:tcPr>
            <w:tcW w:w="714" w:type="pct"/>
            <w:vAlign w:val="center"/>
          </w:tcPr>
          <w:p w14:paraId="3CFD9333">
            <w:pPr>
              <w:pStyle w:val="12"/>
              <w:jc w:val="center"/>
            </w:pPr>
            <w:r>
              <w:rPr>
                <w:rFonts w:hint="eastAsia"/>
              </w:rPr>
              <w:t>40</w:t>
            </w:r>
          </w:p>
        </w:tc>
        <w:tc>
          <w:tcPr>
            <w:tcW w:w="715" w:type="pct"/>
            <w:vAlign w:val="center"/>
          </w:tcPr>
          <w:p w14:paraId="54A9077C">
            <w:pPr>
              <w:pStyle w:val="12"/>
              <w:jc w:val="center"/>
            </w:pPr>
            <w:r>
              <w:rPr>
                <w:rFonts w:hint="eastAsia"/>
              </w:rPr>
              <w:t>1976年1月</w:t>
            </w:r>
          </w:p>
        </w:tc>
        <w:tc>
          <w:tcPr>
            <w:tcW w:w="885" w:type="pct"/>
            <w:vAlign w:val="center"/>
          </w:tcPr>
          <w:p w14:paraId="3ECAFDBA">
            <w:pPr>
              <w:pStyle w:val="12"/>
              <w:jc w:val="center"/>
            </w:pPr>
            <w:r>
              <w:rPr>
                <w:rFonts w:hint="eastAsia"/>
              </w:rPr>
              <w:t>双曲拱</w:t>
            </w:r>
          </w:p>
        </w:tc>
        <w:tc>
          <w:tcPr>
            <w:tcW w:w="544" w:type="pct"/>
            <w:vAlign w:val="center"/>
          </w:tcPr>
          <w:p w14:paraId="20EDA731">
            <w:pPr>
              <w:pStyle w:val="12"/>
              <w:jc w:val="center"/>
            </w:pPr>
            <w:r>
              <w:rPr>
                <w:rFonts w:hint="eastAsia"/>
              </w:rPr>
              <w:t>1</w:t>
            </w:r>
          </w:p>
        </w:tc>
        <w:tc>
          <w:tcPr>
            <w:tcW w:w="715" w:type="pct"/>
            <w:vAlign w:val="center"/>
          </w:tcPr>
          <w:p w14:paraId="77F8F783">
            <w:pPr>
              <w:pStyle w:val="12"/>
              <w:jc w:val="center"/>
            </w:pPr>
            <w:r>
              <w:rPr>
                <w:rFonts w:hint="eastAsia"/>
              </w:rPr>
              <w:t>汽车-10级</w:t>
            </w:r>
          </w:p>
        </w:tc>
      </w:tr>
      <w:tr w14:paraId="3FADD6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49DCBE5">
            <w:pPr>
              <w:pStyle w:val="12"/>
              <w:jc w:val="center"/>
            </w:pPr>
            <w:r>
              <w:rPr>
                <w:rFonts w:hint="eastAsia"/>
              </w:rPr>
              <w:t>Y488</w:t>
            </w:r>
          </w:p>
        </w:tc>
        <w:tc>
          <w:tcPr>
            <w:tcW w:w="714" w:type="pct"/>
            <w:vAlign w:val="center"/>
          </w:tcPr>
          <w:p w14:paraId="12B6A5E4">
            <w:pPr>
              <w:pStyle w:val="12"/>
              <w:jc w:val="center"/>
            </w:pPr>
            <w:r>
              <w:rPr>
                <w:rFonts w:hint="eastAsia"/>
              </w:rPr>
              <w:t>庄山坳桥</w:t>
            </w:r>
          </w:p>
        </w:tc>
        <w:tc>
          <w:tcPr>
            <w:tcW w:w="714" w:type="pct"/>
            <w:vAlign w:val="center"/>
          </w:tcPr>
          <w:p w14:paraId="305D3687">
            <w:pPr>
              <w:pStyle w:val="12"/>
              <w:jc w:val="center"/>
            </w:pPr>
            <w:r>
              <w:rPr>
                <w:rFonts w:hint="eastAsia"/>
              </w:rPr>
              <w:t>38</w:t>
            </w:r>
            <w:r>
              <w:rPr>
                <w:rFonts w:hint="eastAsia" w:ascii="宋体" w:hAnsi="宋体" w:cs="宋体"/>
              </w:rPr>
              <w:t>.</w:t>
            </w:r>
            <w:r>
              <w:rPr>
                <w:rFonts w:hint="eastAsia"/>
              </w:rPr>
              <w:t>5</w:t>
            </w:r>
          </w:p>
        </w:tc>
        <w:tc>
          <w:tcPr>
            <w:tcW w:w="715" w:type="pct"/>
            <w:vAlign w:val="center"/>
          </w:tcPr>
          <w:p w14:paraId="0E3D7816">
            <w:pPr>
              <w:pStyle w:val="12"/>
              <w:jc w:val="center"/>
            </w:pPr>
            <w:r>
              <w:rPr>
                <w:rFonts w:hint="eastAsia"/>
              </w:rPr>
              <w:t>1970年1月</w:t>
            </w:r>
          </w:p>
        </w:tc>
        <w:tc>
          <w:tcPr>
            <w:tcW w:w="885" w:type="pct"/>
            <w:vAlign w:val="center"/>
          </w:tcPr>
          <w:p w14:paraId="7F625CAF">
            <w:pPr>
              <w:pStyle w:val="12"/>
              <w:jc w:val="center"/>
            </w:pPr>
            <w:r>
              <w:rPr>
                <w:rFonts w:hint="eastAsia"/>
              </w:rPr>
              <w:t>双曲拱</w:t>
            </w:r>
          </w:p>
        </w:tc>
        <w:tc>
          <w:tcPr>
            <w:tcW w:w="544" w:type="pct"/>
            <w:vAlign w:val="center"/>
          </w:tcPr>
          <w:p w14:paraId="7462361E">
            <w:pPr>
              <w:pStyle w:val="12"/>
              <w:jc w:val="center"/>
            </w:pPr>
            <w:r>
              <w:rPr>
                <w:rFonts w:hint="eastAsia"/>
              </w:rPr>
              <w:t>3</w:t>
            </w:r>
          </w:p>
        </w:tc>
        <w:tc>
          <w:tcPr>
            <w:tcW w:w="715" w:type="pct"/>
            <w:vAlign w:val="center"/>
          </w:tcPr>
          <w:p w14:paraId="67F28320">
            <w:pPr>
              <w:pStyle w:val="12"/>
              <w:jc w:val="center"/>
            </w:pPr>
            <w:r>
              <w:rPr>
                <w:rFonts w:hint="eastAsia"/>
              </w:rPr>
              <w:t>汽车-10级</w:t>
            </w:r>
          </w:p>
        </w:tc>
      </w:tr>
      <w:tr w14:paraId="09825C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C0CFBD9">
            <w:pPr>
              <w:pStyle w:val="12"/>
              <w:jc w:val="center"/>
            </w:pPr>
            <w:r>
              <w:rPr>
                <w:rFonts w:hint="eastAsia"/>
              </w:rPr>
              <w:t>Y498</w:t>
            </w:r>
          </w:p>
        </w:tc>
        <w:tc>
          <w:tcPr>
            <w:tcW w:w="714" w:type="pct"/>
            <w:vAlign w:val="center"/>
          </w:tcPr>
          <w:p w14:paraId="7DDE6F47">
            <w:pPr>
              <w:pStyle w:val="12"/>
              <w:jc w:val="center"/>
            </w:pPr>
            <w:r>
              <w:rPr>
                <w:rFonts w:hint="eastAsia"/>
              </w:rPr>
              <w:t>群星桥</w:t>
            </w:r>
          </w:p>
        </w:tc>
        <w:tc>
          <w:tcPr>
            <w:tcW w:w="714" w:type="pct"/>
            <w:vAlign w:val="center"/>
          </w:tcPr>
          <w:p w14:paraId="4DFD34AB">
            <w:pPr>
              <w:pStyle w:val="12"/>
              <w:jc w:val="center"/>
            </w:pPr>
            <w:r>
              <w:rPr>
                <w:rFonts w:hint="eastAsia"/>
              </w:rPr>
              <w:t>99</w:t>
            </w:r>
            <w:r>
              <w:rPr>
                <w:rFonts w:hint="eastAsia" w:ascii="宋体" w:hAnsi="宋体" w:cs="宋体"/>
              </w:rPr>
              <w:t>.</w:t>
            </w:r>
            <w:r>
              <w:rPr>
                <w:rFonts w:hint="eastAsia"/>
              </w:rPr>
              <w:t>8</w:t>
            </w:r>
          </w:p>
        </w:tc>
        <w:tc>
          <w:tcPr>
            <w:tcW w:w="715" w:type="pct"/>
            <w:vAlign w:val="center"/>
          </w:tcPr>
          <w:p w14:paraId="7EF3F908">
            <w:pPr>
              <w:pStyle w:val="12"/>
              <w:jc w:val="center"/>
            </w:pPr>
            <w:r>
              <w:rPr>
                <w:rFonts w:hint="eastAsia"/>
              </w:rPr>
              <w:t>1993年10月</w:t>
            </w:r>
          </w:p>
        </w:tc>
        <w:tc>
          <w:tcPr>
            <w:tcW w:w="885" w:type="pct"/>
            <w:vAlign w:val="center"/>
          </w:tcPr>
          <w:p w14:paraId="42ED6E46">
            <w:pPr>
              <w:pStyle w:val="12"/>
              <w:jc w:val="center"/>
            </w:pPr>
            <w:r>
              <w:rPr>
                <w:rFonts w:hint="eastAsia"/>
              </w:rPr>
              <w:t>石拱</w:t>
            </w:r>
          </w:p>
        </w:tc>
        <w:tc>
          <w:tcPr>
            <w:tcW w:w="544" w:type="pct"/>
            <w:vAlign w:val="center"/>
          </w:tcPr>
          <w:p w14:paraId="4C91025D">
            <w:pPr>
              <w:pStyle w:val="12"/>
              <w:jc w:val="center"/>
            </w:pPr>
            <w:r>
              <w:rPr>
                <w:rFonts w:hint="eastAsia"/>
              </w:rPr>
              <w:t>4</w:t>
            </w:r>
          </w:p>
        </w:tc>
        <w:tc>
          <w:tcPr>
            <w:tcW w:w="715" w:type="pct"/>
            <w:vAlign w:val="center"/>
          </w:tcPr>
          <w:p w14:paraId="22140003">
            <w:pPr>
              <w:pStyle w:val="12"/>
              <w:jc w:val="center"/>
            </w:pPr>
            <w:r>
              <w:rPr>
                <w:rFonts w:hint="eastAsia"/>
              </w:rPr>
              <w:t>汽车-15级</w:t>
            </w:r>
          </w:p>
        </w:tc>
      </w:tr>
    </w:tbl>
    <w:p w14:paraId="03265232">
      <w:pPr>
        <w:ind w:firstLine="422"/>
        <w:rPr>
          <w:rFonts w:ascii="宋体" w:hAnsi="宋体"/>
          <w:b/>
          <w:szCs w:val="21"/>
        </w:rPr>
      </w:pPr>
      <w:r>
        <w:rPr>
          <w:rFonts w:ascii="宋体" w:hAnsi="宋体"/>
          <w:b/>
          <w:szCs w:val="21"/>
        </w:rPr>
        <w:t>4.市政桥梁</w:t>
      </w:r>
    </w:p>
    <w:p w14:paraId="2BB45F8F">
      <w:pPr>
        <w:ind w:firstLine="422"/>
        <w:rPr>
          <w:rFonts w:ascii="宋体" w:hAnsi="宋体"/>
          <w:szCs w:val="21"/>
        </w:rPr>
      </w:pPr>
      <w:r>
        <w:rPr>
          <w:rFonts w:hint="eastAsia" w:ascii="宋体" w:hAnsi="宋体"/>
          <w:b/>
          <w:szCs w:val="21"/>
        </w:rPr>
        <w:t>河南桥。</w:t>
      </w:r>
      <w:r>
        <w:rPr>
          <w:rFonts w:hint="eastAsia" w:ascii="宋体" w:hAnsi="宋体"/>
          <w:szCs w:val="21"/>
        </w:rPr>
        <w:t>位于城南河南街，横跨浈江河。该桥原是南雄最早的石砌拱桥，始建于宋开禧二年（</w:t>
      </w:r>
      <w:r>
        <w:rPr>
          <w:rFonts w:ascii="宋体" w:hAnsi="宋体"/>
          <w:szCs w:val="21"/>
        </w:rPr>
        <w:t>1206年），称平政桥，后改称太平桥、万寿桥，又称南门桥。民国22</w:t>
      </w:r>
      <w:r>
        <w:rPr>
          <w:rFonts w:hint="eastAsia" w:ascii="宋体" w:hAnsi="宋体"/>
          <w:szCs w:val="21"/>
        </w:rPr>
        <w:t>年（</w:t>
      </w:r>
      <w:r>
        <w:rPr>
          <w:rFonts w:ascii="宋体" w:hAnsi="宋体"/>
          <w:szCs w:val="21"/>
        </w:rPr>
        <w:t>1933年），南韶公路建成，在原桥面3米宽基础上，采用钢筋混凝土加宽为5</w:t>
      </w:r>
      <w:r>
        <w:rPr>
          <w:rFonts w:hint="eastAsia" w:ascii="宋体" w:hAnsi="宋体"/>
          <w:szCs w:val="21"/>
        </w:rPr>
        <w:t>米。民国</w:t>
      </w:r>
      <w:r>
        <w:rPr>
          <w:rFonts w:ascii="宋体" w:hAnsi="宋体"/>
          <w:szCs w:val="21"/>
        </w:rPr>
        <w:t>34年2月日本侵略军攻占南雄前夕，驻军炸毁该桥3个拱。次年，用木排</w:t>
      </w:r>
      <w:r>
        <w:rPr>
          <w:rFonts w:hint="eastAsia" w:ascii="宋体" w:hAnsi="宋体"/>
          <w:szCs w:val="21"/>
        </w:rPr>
        <w:t>架修建使用。</w:t>
      </w:r>
      <w:r>
        <w:rPr>
          <w:rFonts w:ascii="宋体" w:hAnsi="宋体"/>
          <w:szCs w:val="21"/>
        </w:rPr>
        <w:t>1964年，县人民政府与七四三矿合资16.5万元重建，1965年7月建成</w:t>
      </w:r>
      <w:r>
        <w:rPr>
          <w:rFonts w:hint="eastAsia" w:ascii="宋体" w:hAnsi="宋体"/>
          <w:szCs w:val="21"/>
        </w:rPr>
        <w:t>通车。该桥采用原岩石条块及混凝土预制块砌拱，桥面为钢筋混凝土，有古拱桥建筑风格。桥长</w:t>
      </w:r>
      <w:r>
        <w:rPr>
          <w:rFonts w:ascii="宋体" w:hAnsi="宋体"/>
          <w:szCs w:val="21"/>
        </w:rPr>
        <w:t>103米，宽8.5米，高5米，载重13吨。2003年重修桥面。</w:t>
      </w:r>
    </w:p>
    <w:p w14:paraId="508EF732">
      <w:pPr>
        <w:ind w:firstLine="422"/>
        <w:rPr>
          <w:rFonts w:ascii="宋体" w:hAnsi="宋体"/>
          <w:szCs w:val="21"/>
        </w:rPr>
      </w:pPr>
      <w:r>
        <w:rPr>
          <w:rFonts w:hint="eastAsia" w:ascii="宋体" w:hAnsi="宋体"/>
          <w:b/>
          <w:szCs w:val="21"/>
        </w:rPr>
        <w:t>青云大桥。</w:t>
      </w:r>
      <w:r>
        <w:rPr>
          <w:rFonts w:hint="eastAsia" w:ascii="宋体" w:hAnsi="宋体"/>
          <w:szCs w:val="21"/>
        </w:rPr>
        <w:t>是沟通县城新老城区的市政桥梁，横跨浈江，位于南雄大桥与河南桥之间。</w:t>
      </w:r>
      <w:r>
        <w:rPr>
          <w:rFonts w:ascii="宋体" w:hAnsi="宋体"/>
          <w:szCs w:val="21"/>
        </w:rPr>
        <w:t>1984年10月动工，1985年8月竣工。该桥全长98米，桥面净宽10米，人行</w:t>
      </w:r>
      <w:r>
        <w:rPr>
          <w:rFonts w:hint="eastAsia" w:ascii="宋体" w:hAnsi="宋体"/>
          <w:szCs w:val="21"/>
        </w:rPr>
        <w:t>道各</w:t>
      </w:r>
      <w:r>
        <w:rPr>
          <w:rFonts w:ascii="宋体" w:hAnsi="宋体"/>
          <w:szCs w:val="21"/>
        </w:rPr>
        <w:t>2.5米，承载量为汽</w:t>
      </w:r>
      <w:r>
        <w:rPr>
          <w:rFonts w:hint="eastAsia" w:ascii="宋体" w:hAnsi="宋体"/>
          <w:szCs w:val="21"/>
        </w:rPr>
        <w:t>—</w:t>
      </w:r>
      <w:r>
        <w:rPr>
          <w:rFonts w:ascii="宋体" w:hAnsi="宋体"/>
          <w:szCs w:val="21"/>
        </w:rPr>
        <w:t>15吨，挂</w:t>
      </w:r>
      <w:r>
        <w:rPr>
          <w:rFonts w:hint="eastAsia" w:ascii="宋体" w:hAnsi="宋体"/>
          <w:szCs w:val="21"/>
        </w:rPr>
        <w:t>—</w:t>
      </w:r>
      <w:r>
        <w:rPr>
          <w:rFonts w:ascii="宋体" w:hAnsi="宋体"/>
          <w:szCs w:val="21"/>
        </w:rPr>
        <w:t>80吨</w:t>
      </w:r>
      <w:r>
        <w:rPr>
          <w:rFonts w:hint="eastAsia" w:ascii="宋体" w:hAnsi="宋体"/>
          <w:szCs w:val="21"/>
        </w:rPr>
        <w:t>。</w:t>
      </w:r>
    </w:p>
    <w:p w14:paraId="08FD0F14">
      <w:pPr>
        <w:ind w:firstLine="422"/>
        <w:rPr>
          <w:rFonts w:ascii="宋体" w:hAnsi="宋体"/>
          <w:szCs w:val="21"/>
        </w:rPr>
      </w:pPr>
      <w:r>
        <w:rPr>
          <w:rFonts w:hint="eastAsia" w:ascii="宋体" w:hAnsi="宋体"/>
          <w:b/>
          <w:szCs w:val="21"/>
        </w:rPr>
        <w:t>水西桥。</w:t>
      </w:r>
      <w:r>
        <w:rPr>
          <w:rFonts w:hint="eastAsia" w:ascii="宋体" w:hAnsi="宋体"/>
          <w:szCs w:val="21"/>
        </w:rPr>
        <w:t>在市郊水西村，古称万年桥，建于明万历年间，为七墩八孔石筑平桥。桥长</w:t>
      </w:r>
      <w:r>
        <w:rPr>
          <w:rFonts w:ascii="宋体" w:hAnsi="宋体"/>
          <w:szCs w:val="21"/>
        </w:rPr>
        <w:t>104米，宽4.3米，高约5米。1987年修建桥面，改为钢筋水泥结构，详见本编</w:t>
      </w:r>
      <w:r>
        <w:rPr>
          <w:rFonts w:hint="eastAsia" w:ascii="宋体" w:hAnsi="宋体"/>
          <w:szCs w:val="21"/>
        </w:rPr>
        <w:t>文物章。</w:t>
      </w:r>
    </w:p>
    <w:p w14:paraId="15CED7C8">
      <w:pPr>
        <w:ind w:firstLine="422"/>
        <w:rPr>
          <w:rFonts w:ascii="宋体" w:hAnsi="宋体"/>
          <w:szCs w:val="21"/>
        </w:rPr>
      </w:pPr>
      <w:r>
        <w:rPr>
          <w:rFonts w:hint="eastAsia" w:ascii="宋体" w:hAnsi="宋体"/>
          <w:b/>
          <w:szCs w:val="21"/>
        </w:rPr>
        <w:t>羊角大桥。</w:t>
      </w:r>
      <w:r>
        <w:rPr>
          <w:rFonts w:hint="eastAsia" w:ascii="宋体" w:hAnsi="宋体"/>
          <w:szCs w:val="21"/>
        </w:rPr>
        <w:t>位于水西小岛西，横跨新开的凌江。</w:t>
      </w:r>
      <w:r>
        <w:rPr>
          <w:rFonts w:ascii="宋体" w:hAnsi="宋体"/>
          <w:szCs w:val="21"/>
        </w:rPr>
        <w:t>2000年6月动工，2004年4月</w:t>
      </w:r>
      <w:r>
        <w:rPr>
          <w:rFonts w:hint="eastAsia" w:ascii="宋体" w:hAnsi="宋体"/>
          <w:szCs w:val="21"/>
        </w:rPr>
        <w:t>落成。桥长</w:t>
      </w:r>
      <w:r>
        <w:rPr>
          <w:rFonts w:ascii="宋体" w:hAnsi="宋体"/>
          <w:szCs w:val="21"/>
        </w:rPr>
        <w:t>110米，宽12米，5跨，每跨20米，为预制钢筋混凝土</w:t>
      </w:r>
      <w:r>
        <w:rPr>
          <w:rFonts w:hint="eastAsia" w:ascii="宋体" w:hAnsi="宋体"/>
          <w:szCs w:val="21"/>
        </w:rPr>
        <w:t>“</w:t>
      </w:r>
      <w:r>
        <w:rPr>
          <w:rFonts w:ascii="宋体" w:hAnsi="宋体"/>
          <w:szCs w:val="21"/>
        </w:rPr>
        <w:t>T</w:t>
      </w:r>
      <w:r>
        <w:rPr>
          <w:rFonts w:hint="eastAsia" w:ascii="宋体" w:hAnsi="宋体"/>
          <w:szCs w:val="21"/>
        </w:rPr>
        <w:t>”</w:t>
      </w:r>
      <w:r>
        <w:rPr>
          <w:rFonts w:ascii="宋体" w:hAnsi="宋体"/>
          <w:szCs w:val="21"/>
        </w:rPr>
        <w:t>梁结构</w:t>
      </w:r>
      <w:r>
        <w:rPr>
          <w:rFonts w:hint="eastAsia" w:ascii="宋体" w:hAnsi="宋体"/>
          <w:szCs w:val="21"/>
        </w:rPr>
        <w:t>。投资</w:t>
      </w:r>
      <w:r>
        <w:rPr>
          <w:rFonts w:ascii="宋体" w:hAnsi="宋体"/>
          <w:szCs w:val="21"/>
        </w:rPr>
        <w:t>200万元。</w:t>
      </w:r>
    </w:p>
    <w:p w14:paraId="483898DF">
      <w:pPr>
        <w:pStyle w:val="5"/>
        <w:rPr>
          <w:rFonts w:ascii="宋体" w:hAnsi="宋体"/>
        </w:rPr>
      </w:pPr>
      <w:r>
        <w:rPr>
          <w:rFonts w:hint="eastAsia" w:ascii="宋体" w:hAnsi="宋体"/>
        </w:rPr>
        <w:t>二、公路运输</w:t>
      </w:r>
    </w:p>
    <w:p w14:paraId="01EA2123">
      <w:pPr>
        <w:ind w:firstLine="422"/>
        <w:rPr>
          <w:rFonts w:ascii="宋体" w:hAnsi="宋体"/>
          <w:b/>
          <w:szCs w:val="21"/>
        </w:rPr>
      </w:pPr>
      <w:r>
        <w:rPr>
          <w:rFonts w:hint="eastAsia" w:ascii="宋体" w:hAnsi="宋体"/>
          <w:b/>
          <w:szCs w:val="21"/>
        </w:rPr>
        <w:t>（一）客运</w:t>
      </w:r>
    </w:p>
    <w:p w14:paraId="26C8229E">
      <w:pPr>
        <w:ind w:firstLine="420"/>
        <w:rPr>
          <w:rFonts w:ascii="宋体" w:hAnsi="宋体"/>
          <w:szCs w:val="21"/>
        </w:rPr>
      </w:pPr>
      <w:r>
        <w:rPr>
          <w:rFonts w:hint="eastAsia" w:ascii="宋体" w:hAnsi="宋体"/>
          <w:szCs w:val="21"/>
        </w:rPr>
        <w:t>新中国成立后，于</w:t>
      </w:r>
      <w:r>
        <w:rPr>
          <w:rFonts w:ascii="宋体" w:hAnsi="宋体"/>
          <w:szCs w:val="21"/>
        </w:rPr>
        <w:t>1951年7月成立工商汽车联营社。次年，车辆实行</w:t>
      </w:r>
      <w:r>
        <w:rPr>
          <w:rFonts w:hint="eastAsia" w:ascii="宋体" w:hAnsi="宋体"/>
          <w:szCs w:val="21"/>
        </w:rPr>
        <w:t>“</w:t>
      </w:r>
      <w:r>
        <w:rPr>
          <w:rFonts w:ascii="宋体" w:hAnsi="宋体"/>
          <w:szCs w:val="21"/>
        </w:rPr>
        <w:t>三统</w:t>
      </w:r>
      <w:r>
        <w:rPr>
          <w:rFonts w:hint="eastAsia" w:ascii="宋体" w:hAnsi="宋体"/>
          <w:szCs w:val="21"/>
        </w:rPr>
        <w:t>”（即统一调度、统一运价、统一管理）。</w:t>
      </w:r>
      <w:r>
        <w:rPr>
          <w:rFonts w:ascii="宋体" w:hAnsi="宋体"/>
          <w:szCs w:val="21"/>
        </w:rPr>
        <w:t>1953年转为公私合营。1956年纳入国营，营</w:t>
      </w:r>
      <w:r>
        <w:rPr>
          <w:rFonts w:hint="eastAsia" w:ascii="宋体" w:hAnsi="宋体"/>
          <w:szCs w:val="21"/>
        </w:rPr>
        <w:t>运线路只有韶余、雄信</w:t>
      </w:r>
      <w:r>
        <w:rPr>
          <w:rFonts w:ascii="宋体" w:hAnsi="宋体"/>
          <w:szCs w:val="21"/>
        </w:rPr>
        <w:t>2条公路。是年，省公路运输局拨款，在城东黄泥塘处兴建南</w:t>
      </w:r>
      <w:r>
        <w:rPr>
          <w:rFonts w:hint="eastAsia" w:ascii="宋体" w:hAnsi="宋体"/>
          <w:szCs w:val="21"/>
        </w:rPr>
        <w:t>雄汽车站。此后，公路客运全由韶关汽车运输公司下属南雄汽车站经营。</w:t>
      </w:r>
      <w:r>
        <w:rPr>
          <w:rFonts w:ascii="宋体" w:hAnsi="宋体"/>
          <w:szCs w:val="21"/>
        </w:rPr>
        <w:t>1987年全</w:t>
      </w:r>
      <w:r>
        <w:rPr>
          <w:rFonts w:hint="eastAsia" w:ascii="宋体" w:hAnsi="宋体"/>
          <w:szCs w:val="21"/>
        </w:rPr>
        <w:t>县客运线路</w:t>
      </w:r>
      <w:r>
        <w:rPr>
          <w:rFonts w:ascii="宋体" w:hAnsi="宋体"/>
          <w:szCs w:val="21"/>
        </w:rPr>
        <w:t>35条，692.5公里，班车可达广州、兴宁、韶关、乐昌、仁化、和平</w:t>
      </w:r>
      <w:r>
        <w:rPr>
          <w:rFonts w:hint="eastAsia" w:ascii="宋体" w:hAnsi="宋体"/>
          <w:szCs w:val="21"/>
        </w:rPr>
        <w:t>、始兴以及江西省的赣州、唐江、南康、大余、信丰、陂头。全县有客车</w:t>
      </w:r>
      <w:r>
        <w:rPr>
          <w:rFonts w:ascii="宋体" w:hAnsi="宋体"/>
          <w:szCs w:val="21"/>
        </w:rPr>
        <w:t>42辆，其中</w:t>
      </w:r>
      <w:r>
        <w:rPr>
          <w:rFonts w:hint="eastAsia" w:ascii="宋体" w:hAnsi="宋体"/>
          <w:szCs w:val="21"/>
        </w:rPr>
        <w:t>汽车站</w:t>
      </w:r>
      <w:r>
        <w:rPr>
          <w:rFonts w:ascii="宋体" w:hAnsi="宋体"/>
          <w:szCs w:val="21"/>
        </w:rPr>
        <w:t>34辆；每天客运班车往返72班次，其中汽车站60班次；年客运量达271万</w:t>
      </w:r>
      <w:r>
        <w:rPr>
          <w:rFonts w:hint="eastAsia" w:ascii="宋体" w:hAnsi="宋体"/>
          <w:szCs w:val="21"/>
        </w:rPr>
        <w:t>人次，周转量为</w:t>
      </w:r>
      <w:r>
        <w:rPr>
          <w:rFonts w:ascii="宋体" w:hAnsi="宋体"/>
          <w:szCs w:val="21"/>
        </w:rPr>
        <w:t>8771万人公里。同1950年相比，客运量增134.5倍，客运周转量增89倍。</w:t>
      </w:r>
    </w:p>
    <w:p w14:paraId="60A31DA0">
      <w:pPr>
        <w:ind w:firstLine="420"/>
        <w:rPr>
          <w:rFonts w:ascii="宋体" w:hAnsi="宋体"/>
          <w:szCs w:val="21"/>
        </w:rPr>
      </w:pPr>
      <w:r>
        <w:rPr>
          <w:rFonts w:ascii="宋体" w:hAnsi="宋体"/>
          <w:szCs w:val="21"/>
        </w:rPr>
        <w:t>1993年至1996年汽车运输行业受市场竞争的影响，客货运输量起伏大。1996年</w:t>
      </w:r>
      <w:r>
        <w:rPr>
          <w:rFonts w:hint="eastAsia" w:ascii="宋体" w:hAnsi="宋体"/>
          <w:szCs w:val="21"/>
        </w:rPr>
        <w:t>客运量仅为</w:t>
      </w:r>
      <w:r>
        <w:rPr>
          <w:rFonts w:ascii="宋体" w:hAnsi="宋体"/>
          <w:szCs w:val="21"/>
        </w:rPr>
        <w:t>91万人次，对比1987年下降66.4%，客运周转量3829万人公里，对比1987年下降56.34%。1997年南雄汽车站与韶关客运站联合开通南雄至韶关信誉车，改善服务质量，</w:t>
      </w:r>
      <w:r>
        <w:rPr>
          <w:rFonts w:hint="eastAsia" w:ascii="宋体" w:hAnsi="宋体"/>
          <w:szCs w:val="21"/>
        </w:rPr>
        <w:t>获得百姓好评，使企业摆脱了困境。客车增至</w:t>
      </w:r>
      <w:r>
        <w:rPr>
          <w:rFonts w:ascii="宋体" w:hAnsi="宋体"/>
          <w:szCs w:val="21"/>
        </w:rPr>
        <w:t>62辆，1999年客运量119.75万人次，2004年达185.9万人次。详见表3-5</w:t>
      </w:r>
      <w:r>
        <w:rPr>
          <w:rFonts w:hint="eastAsia" w:ascii="宋体" w:hAnsi="宋体"/>
          <w:szCs w:val="21"/>
        </w:rPr>
        <w:t>。</w:t>
      </w:r>
    </w:p>
    <w:p w14:paraId="14EBCD05">
      <w:pPr>
        <w:ind w:firstLine="420"/>
        <w:rPr>
          <w:rFonts w:ascii="宋体" w:hAnsi="宋体"/>
          <w:szCs w:val="21"/>
        </w:rPr>
      </w:pPr>
      <w:r>
        <w:rPr>
          <w:rFonts w:hint="eastAsia" w:ascii="宋体" w:hAnsi="宋体"/>
          <w:szCs w:val="21"/>
        </w:rPr>
        <w:t>城乡公共汽车。</w:t>
      </w:r>
      <w:r>
        <w:rPr>
          <w:rFonts w:ascii="宋体" w:hAnsi="宋体"/>
          <w:szCs w:val="21"/>
        </w:rPr>
        <w:t>2001年引进外资，成立南雄陆通汽车客运有限公司，投放16台</w:t>
      </w:r>
      <w:r>
        <w:rPr>
          <w:rFonts w:hint="eastAsia" w:ascii="宋体" w:hAnsi="宋体"/>
          <w:szCs w:val="21"/>
        </w:rPr>
        <w:t>中巴车，后又增至</w:t>
      </w:r>
      <w:r>
        <w:rPr>
          <w:rFonts w:ascii="宋体" w:hAnsi="宋体"/>
          <w:szCs w:val="21"/>
        </w:rPr>
        <w:t>22台，但经营不善，于2003年转让韶关汽运集团有限公司，由南</w:t>
      </w:r>
      <w:r>
        <w:rPr>
          <w:rFonts w:hint="eastAsia" w:ascii="宋体" w:hAnsi="宋体"/>
          <w:szCs w:val="21"/>
        </w:rPr>
        <w:t>雄汽车站代为管理。其运行线从南雄新城体育馆经浈江路、大成街、市政府、电影院、八一街、汽车站开往各镇，具体运行路线详见城乡公共汽车运行表。</w:t>
      </w:r>
    </w:p>
    <w:p w14:paraId="4C890EEA">
      <w:pPr>
        <w:ind w:firstLine="420"/>
        <w:rPr>
          <w:rFonts w:ascii="宋体" w:hAnsi="宋体"/>
          <w:szCs w:val="21"/>
        </w:rPr>
      </w:pPr>
      <w:r>
        <w:rPr>
          <w:rFonts w:hint="eastAsia" w:ascii="宋体" w:hAnsi="宋体"/>
          <w:szCs w:val="21"/>
        </w:rPr>
        <w:t>市区公共汽车。</w:t>
      </w:r>
      <w:r>
        <w:rPr>
          <w:rFonts w:ascii="宋体" w:hAnsi="宋体"/>
          <w:szCs w:val="21"/>
        </w:rPr>
        <w:t>1985年6月开通，只有2辆客车对开，由汽车站至氮肥厂，每</w:t>
      </w:r>
      <w:r>
        <w:rPr>
          <w:rFonts w:hint="eastAsia" w:ascii="宋体" w:hAnsi="宋体"/>
          <w:szCs w:val="21"/>
        </w:rPr>
        <w:t>天</w:t>
      </w:r>
      <w:r>
        <w:rPr>
          <w:rFonts w:ascii="宋体" w:hAnsi="宋体"/>
          <w:szCs w:val="21"/>
        </w:rPr>
        <w:t>24班，日输客量约1500人次。2000年南雄市政府引进外资成立了珠玑出租汽车有</w:t>
      </w:r>
      <w:r>
        <w:rPr>
          <w:rFonts w:hint="eastAsia" w:ascii="宋体" w:hAnsi="宋体"/>
          <w:szCs w:val="21"/>
        </w:rPr>
        <w:t>限公司，有的士</w:t>
      </w:r>
      <w:r>
        <w:rPr>
          <w:rFonts w:ascii="宋体" w:hAnsi="宋体"/>
          <w:szCs w:val="21"/>
        </w:rPr>
        <w:t>30辆。</w:t>
      </w:r>
    </w:p>
    <w:p w14:paraId="07FA6C98">
      <w:pPr>
        <w:ind w:firstLine="422"/>
        <w:rPr>
          <w:rFonts w:ascii="宋体" w:hAnsi="宋体"/>
          <w:b/>
          <w:szCs w:val="21"/>
        </w:rPr>
      </w:pPr>
      <w:r>
        <w:rPr>
          <w:rFonts w:hint="eastAsia" w:ascii="宋体" w:hAnsi="宋体"/>
          <w:b/>
          <w:szCs w:val="21"/>
        </w:rPr>
        <w:t>（二）货运</w:t>
      </w:r>
    </w:p>
    <w:p w14:paraId="3901DAEB">
      <w:pPr>
        <w:ind w:firstLine="420"/>
        <w:rPr>
          <w:rFonts w:ascii="宋体" w:hAnsi="宋体"/>
          <w:szCs w:val="21"/>
        </w:rPr>
      </w:pPr>
      <w:r>
        <w:rPr>
          <w:rFonts w:ascii="宋体" w:hAnsi="宋体"/>
          <w:szCs w:val="21"/>
        </w:rPr>
        <w:t>1956年汽车运输纳入国营，运力有较大发展。南雄汽车站有货车25辆，货运量</w:t>
      </w:r>
      <w:r>
        <w:rPr>
          <w:rFonts w:hint="eastAsia" w:ascii="宋体" w:hAnsi="宋体"/>
          <w:szCs w:val="21"/>
        </w:rPr>
        <w:t>为</w:t>
      </w:r>
      <w:r>
        <w:rPr>
          <w:rFonts w:ascii="宋体" w:hAnsi="宋体"/>
          <w:szCs w:val="21"/>
        </w:rPr>
        <w:t>8.08万吨，货运周转量142.39万吨公里。1969年，南雄汽车站成立610车队。是</w:t>
      </w:r>
      <w:r>
        <w:rPr>
          <w:rFonts w:hint="eastAsia" w:ascii="宋体" w:hAnsi="宋体"/>
          <w:szCs w:val="21"/>
        </w:rPr>
        <w:t>年</w:t>
      </w:r>
      <w:r>
        <w:rPr>
          <w:rFonts w:ascii="宋体" w:hAnsi="宋体"/>
          <w:szCs w:val="21"/>
        </w:rPr>
        <w:t>8月，县属各企、事业单位18辆货运汽车并入610车队，全队共有货车43辆。1972年12月，各企、事业单位货运汽车从车队分出。尔后，单位货运汽车逐年增</w:t>
      </w:r>
      <w:r>
        <w:rPr>
          <w:rFonts w:hint="eastAsia" w:ascii="宋体" w:hAnsi="宋体"/>
          <w:szCs w:val="21"/>
        </w:rPr>
        <w:t>多。</w:t>
      </w:r>
      <w:r>
        <w:rPr>
          <w:rFonts w:ascii="宋体" w:hAnsi="宋体"/>
          <w:szCs w:val="21"/>
        </w:rPr>
        <w:t>1980年，城乡个体户或联户开始购买汽车和拖拉机搞运输，此后，个体货运汽</w:t>
      </w:r>
      <w:r>
        <w:rPr>
          <w:rFonts w:hint="eastAsia" w:ascii="宋体" w:hAnsi="宋体"/>
          <w:szCs w:val="21"/>
        </w:rPr>
        <w:t>车不断增多，至</w:t>
      </w:r>
      <w:r>
        <w:rPr>
          <w:rFonts w:ascii="宋体" w:hAnsi="宋体"/>
          <w:szCs w:val="21"/>
        </w:rPr>
        <w:t>1990年全县有货运汽车870多辆，多数为企事业单位或个体运输汽</w:t>
      </w:r>
      <w:r>
        <w:rPr>
          <w:rFonts w:hint="eastAsia" w:ascii="宋体" w:hAnsi="宋体"/>
          <w:szCs w:val="21"/>
        </w:rPr>
        <w:t>车。汽车站货运业务大幅下降，至</w:t>
      </w:r>
      <w:r>
        <w:rPr>
          <w:rFonts w:ascii="宋体" w:hAnsi="宋体"/>
          <w:szCs w:val="21"/>
        </w:rPr>
        <w:t>1994年货运量为0.07万吨，1995年货运全部</w:t>
      </w:r>
      <w:r>
        <w:rPr>
          <w:rFonts w:hint="eastAsia" w:ascii="宋体" w:hAnsi="宋体"/>
          <w:szCs w:val="21"/>
        </w:rPr>
        <w:t>终止。</w:t>
      </w:r>
    </w:p>
    <w:p w14:paraId="52733531">
      <w:pPr>
        <w:ind w:firstLine="0" w:firstLineChars="0"/>
        <w:jc w:val="center"/>
        <w:rPr>
          <w:rFonts w:ascii="宋体" w:hAnsi="宋体"/>
          <w:b/>
          <w:szCs w:val="21"/>
        </w:rPr>
      </w:pPr>
      <w:r>
        <w:rPr>
          <w:rFonts w:hint="eastAsia" w:ascii="宋体" w:hAnsi="宋体"/>
          <w:b/>
          <w:szCs w:val="21"/>
        </w:rPr>
        <w:t>南雄汽车站客、货运输情况统计</w:t>
      </w:r>
    </w:p>
    <w:p w14:paraId="24A96748">
      <w:pPr>
        <w:ind w:firstLine="0" w:firstLineChars="0"/>
        <w:rPr>
          <w:rFonts w:ascii="宋体" w:hAnsi="宋体"/>
          <w:b/>
          <w:szCs w:val="21"/>
        </w:rPr>
      </w:pPr>
      <w:r>
        <w:rPr>
          <w:rFonts w:hint="eastAsia" w:ascii="宋体" w:hAnsi="宋体"/>
          <w:b/>
          <w:szCs w:val="21"/>
        </w:rPr>
        <w:t>表</w:t>
      </w:r>
      <w:r>
        <w:rPr>
          <w:rFonts w:ascii="宋体" w:hAnsi="宋体"/>
          <w:b/>
          <w:szCs w:val="21"/>
        </w:rPr>
        <w:t>3-5</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84"/>
        <w:gridCol w:w="1843"/>
        <w:gridCol w:w="1700"/>
        <w:gridCol w:w="1845"/>
        <w:gridCol w:w="1532"/>
        <w:gridCol w:w="1658"/>
      </w:tblGrid>
      <w:tr w14:paraId="0C72A14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2F6A84F8">
            <w:pPr>
              <w:pStyle w:val="12"/>
              <w:jc w:val="center"/>
              <w:rPr>
                <w:rFonts w:ascii="宋体" w:hAnsi="宋体"/>
                <w:b/>
              </w:rPr>
            </w:pPr>
            <w:r>
              <w:rPr>
                <w:rFonts w:hint="eastAsia" w:ascii="宋体" w:hAnsi="宋体"/>
                <w:b/>
              </w:rPr>
              <w:t>年份</w:t>
            </w:r>
          </w:p>
        </w:tc>
        <w:tc>
          <w:tcPr>
            <w:tcW w:w="925" w:type="pct"/>
            <w:vAlign w:val="center"/>
          </w:tcPr>
          <w:p w14:paraId="223BEAD8">
            <w:pPr>
              <w:pStyle w:val="12"/>
              <w:jc w:val="center"/>
              <w:rPr>
                <w:rFonts w:ascii="宋体" w:hAnsi="宋体"/>
                <w:b/>
              </w:rPr>
            </w:pPr>
            <w:r>
              <w:rPr>
                <w:rFonts w:hint="eastAsia" w:ascii="宋体" w:hAnsi="宋体"/>
                <w:b/>
              </w:rPr>
              <w:t>公路通车</w:t>
            </w:r>
          </w:p>
          <w:p w14:paraId="3E74DD94">
            <w:pPr>
              <w:pStyle w:val="12"/>
              <w:jc w:val="center"/>
              <w:rPr>
                <w:rFonts w:ascii="宋体" w:hAnsi="宋体"/>
                <w:b/>
              </w:rPr>
            </w:pPr>
            <w:r>
              <w:rPr>
                <w:rFonts w:hint="eastAsia" w:ascii="宋体" w:hAnsi="宋体"/>
                <w:b/>
              </w:rPr>
              <w:t>（公里）</w:t>
            </w:r>
          </w:p>
        </w:tc>
        <w:tc>
          <w:tcPr>
            <w:tcW w:w="853" w:type="pct"/>
            <w:vAlign w:val="center"/>
          </w:tcPr>
          <w:p w14:paraId="7205201A">
            <w:pPr>
              <w:pStyle w:val="12"/>
              <w:jc w:val="center"/>
              <w:rPr>
                <w:rFonts w:ascii="宋体" w:hAnsi="宋体"/>
                <w:b/>
              </w:rPr>
            </w:pPr>
            <w:r>
              <w:rPr>
                <w:rFonts w:hint="eastAsia" w:ascii="宋体" w:hAnsi="宋体"/>
                <w:b/>
              </w:rPr>
              <w:t>客运量</w:t>
            </w:r>
          </w:p>
          <w:p w14:paraId="5DAE76E7">
            <w:pPr>
              <w:pStyle w:val="12"/>
              <w:jc w:val="center"/>
              <w:rPr>
                <w:rFonts w:ascii="宋体" w:hAnsi="宋体"/>
                <w:b/>
              </w:rPr>
            </w:pPr>
            <w:r>
              <w:rPr>
                <w:rFonts w:hint="eastAsia" w:ascii="宋体" w:hAnsi="宋体"/>
                <w:b/>
              </w:rPr>
              <w:t>（万人次）</w:t>
            </w:r>
          </w:p>
        </w:tc>
        <w:tc>
          <w:tcPr>
            <w:tcW w:w="926" w:type="pct"/>
            <w:vAlign w:val="center"/>
          </w:tcPr>
          <w:p w14:paraId="7E30C270">
            <w:pPr>
              <w:pStyle w:val="12"/>
              <w:jc w:val="center"/>
              <w:rPr>
                <w:rFonts w:ascii="宋体" w:hAnsi="宋体"/>
                <w:b/>
              </w:rPr>
            </w:pPr>
            <w:r>
              <w:rPr>
                <w:rFonts w:hint="eastAsia" w:ascii="宋体" w:hAnsi="宋体"/>
                <w:b/>
              </w:rPr>
              <w:t>旅客周转量</w:t>
            </w:r>
          </w:p>
          <w:p w14:paraId="63D54584">
            <w:pPr>
              <w:pStyle w:val="12"/>
              <w:jc w:val="center"/>
              <w:rPr>
                <w:rFonts w:ascii="宋体" w:hAnsi="宋体"/>
                <w:b/>
              </w:rPr>
            </w:pPr>
            <w:r>
              <w:rPr>
                <w:rFonts w:hint="eastAsia" w:ascii="宋体" w:hAnsi="宋体"/>
                <w:b/>
              </w:rPr>
              <w:t>（万人公里）</w:t>
            </w:r>
          </w:p>
        </w:tc>
        <w:tc>
          <w:tcPr>
            <w:tcW w:w="769" w:type="pct"/>
            <w:vAlign w:val="center"/>
          </w:tcPr>
          <w:p w14:paraId="1294B37F">
            <w:pPr>
              <w:pStyle w:val="12"/>
              <w:jc w:val="center"/>
              <w:rPr>
                <w:rFonts w:ascii="宋体" w:hAnsi="宋体"/>
                <w:b/>
              </w:rPr>
            </w:pPr>
            <w:r>
              <w:rPr>
                <w:rFonts w:hint="eastAsia" w:ascii="宋体" w:hAnsi="宋体"/>
                <w:b/>
              </w:rPr>
              <w:t>货运量</w:t>
            </w:r>
          </w:p>
          <w:p w14:paraId="2DEDAC23">
            <w:pPr>
              <w:pStyle w:val="12"/>
              <w:jc w:val="center"/>
              <w:rPr>
                <w:rFonts w:ascii="宋体" w:hAnsi="宋体"/>
                <w:b/>
              </w:rPr>
            </w:pPr>
            <w:r>
              <w:rPr>
                <w:rFonts w:hint="eastAsia" w:ascii="宋体" w:hAnsi="宋体"/>
                <w:b/>
              </w:rPr>
              <w:t>（万吨）</w:t>
            </w:r>
          </w:p>
        </w:tc>
        <w:tc>
          <w:tcPr>
            <w:tcW w:w="832" w:type="pct"/>
            <w:vAlign w:val="center"/>
          </w:tcPr>
          <w:p w14:paraId="160DA23A">
            <w:pPr>
              <w:pStyle w:val="12"/>
              <w:jc w:val="center"/>
              <w:rPr>
                <w:rFonts w:ascii="宋体" w:hAnsi="宋体"/>
                <w:b/>
              </w:rPr>
            </w:pPr>
            <w:r>
              <w:rPr>
                <w:rFonts w:hint="eastAsia" w:ascii="宋体" w:hAnsi="宋体"/>
                <w:b/>
              </w:rPr>
              <w:t>货运周转量</w:t>
            </w:r>
          </w:p>
          <w:p w14:paraId="6EA31B71">
            <w:pPr>
              <w:pStyle w:val="12"/>
              <w:jc w:val="center"/>
              <w:rPr>
                <w:rFonts w:ascii="宋体" w:hAnsi="宋体"/>
                <w:b/>
              </w:rPr>
            </w:pPr>
            <w:r>
              <w:rPr>
                <w:rFonts w:hint="eastAsia" w:ascii="宋体" w:hAnsi="宋体"/>
                <w:b/>
              </w:rPr>
              <w:t>（万吨公里）</w:t>
            </w:r>
          </w:p>
        </w:tc>
      </w:tr>
      <w:tr w14:paraId="330F3B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50E5E7AB">
            <w:pPr>
              <w:pStyle w:val="12"/>
              <w:jc w:val="center"/>
              <w:rPr>
                <w:rFonts w:ascii="宋体" w:hAnsi="宋体"/>
              </w:rPr>
            </w:pPr>
            <w:r>
              <w:rPr>
                <w:rFonts w:ascii="宋体" w:hAnsi="宋体"/>
              </w:rPr>
              <w:t>1950</w:t>
            </w:r>
          </w:p>
        </w:tc>
        <w:tc>
          <w:tcPr>
            <w:tcW w:w="925" w:type="pct"/>
            <w:vAlign w:val="center"/>
          </w:tcPr>
          <w:p w14:paraId="191247A5">
            <w:pPr>
              <w:pStyle w:val="12"/>
              <w:jc w:val="center"/>
              <w:rPr>
                <w:rFonts w:ascii="宋体" w:hAnsi="宋体"/>
              </w:rPr>
            </w:pPr>
            <w:r>
              <w:rPr>
                <w:rFonts w:ascii="宋体" w:hAnsi="宋体"/>
              </w:rPr>
              <w:t>91.4</w:t>
            </w:r>
          </w:p>
        </w:tc>
        <w:tc>
          <w:tcPr>
            <w:tcW w:w="853" w:type="pct"/>
            <w:vAlign w:val="center"/>
          </w:tcPr>
          <w:p w14:paraId="596B1964">
            <w:pPr>
              <w:pStyle w:val="12"/>
              <w:jc w:val="center"/>
              <w:rPr>
                <w:rFonts w:ascii="宋体" w:hAnsi="宋体"/>
              </w:rPr>
            </w:pPr>
            <w:r>
              <w:rPr>
                <w:rFonts w:ascii="宋体" w:hAnsi="宋体"/>
              </w:rPr>
              <w:t>2</w:t>
            </w:r>
          </w:p>
        </w:tc>
        <w:tc>
          <w:tcPr>
            <w:tcW w:w="926" w:type="pct"/>
            <w:vAlign w:val="center"/>
          </w:tcPr>
          <w:p w14:paraId="27573131">
            <w:pPr>
              <w:pStyle w:val="12"/>
              <w:jc w:val="center"/>
              <w:rPr>
                <w:rFonts w:ascii="宋体" w:hAnsi="宋体"/>
              </w:rPr>
            </w:pPr>
            <w:r>
              <w:rPr>
                <w:rFonts w:ascii="宋体" w:hAnsi="宋体"/>
              </w:rPr>
              <w:t>97</w:t>
            </w:r>
          </w:p>
        </w:tc>
        <w:tc>
          <w:tcPr>
            <w:tcW w:w="769" w:type="pct"/>
            <w:vAlign w:val="center"/>
          </w:tcPr>
          <w:p w14:paraId="3D1CA7A0">
            <w:pPr>
              <w:pStyle w:val="12"/>
              <w:jc w:val="center"/>
              <w:rPr>
                <w:rFonts w:ascii="宋体" w:hAnsi="宋体"/>
              </w:rPr>
            </w:pPr>
            <w:r>
              <w:rPr>
                <w:rFonts w:ascii="宋体" w:hAnsi="宋体"/>
              </w:rPr>
              <w:t>0.7</w:t>
            </w:r>
          </w:p>
        </w:tc>
        <w:tc>
          <w:tcPr>
            <w:tcW w:w="832" w:type="pct"/>
            <w:vAlign w:val="center"/>
          </w:tcPr>
          <w:p w14:paraId="04C3FCC2">
            <w:pPr>
              <w:pStyle w:val="12"/>
              <w:jc w:val="center"/>
              <w:rPr>
                <w:rFonts w:ascii="宋体" w:hAnsi="宋体"/>
              </w:rPr>
            </w:pPr>
            <w:r>
              <w:rPr>
                <w:rFonts w:ascii="宋体" w:hAnsi="宋体"/>
              </w:rPr>
              <w:t>72</w:t>
            </w:r>
          </w:p>
        </w:tc>
      </w:tr>
      <w:tr w14:paraId="7E8FA1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6FD43948">
            <w:pPr>
              <w:pStyle w:val="12"/>
              <w:jc w:val="center"/>
              <w:rPr>
                <w:rFonts w:ascii="宋体" w:hAnsi="宋体"/>
              </w:rPr>
            </w:pPr>
            <w:r>
              <w:rPr>
                <w:rFonts w:ascii="宋体" w:hAnsi="宋体"/>
              </w:rPr>
              <w:t>1953</w:t>
            </w:r>
          </w:p>
        </w:tc>
        <w:tc>
          <w:tcPr>
            <w:tcW w:w="925" w:type="pct"/>
            <w:vAlign w:val="center"/>
          </w:tcPr>
          <w:p w14:paraId="353DB779">
            <w:pPr>
              <w:pStyle w:val="12"/>
              <w:jc w:val="center"/>
              <w:rPr>
                <w:rFonts w:ascii="宋体" w:hAnsi="宋体"/>
              </w:rPr>
            </w:pPr>
            <w:r>
              <w:rPr>
                <w:rFonts w:ascii="宋体" w:hAnsi="宋体"/>
              </w:rPr>
              <w:t>91.4</w:t>
            </w:r>
          </w:p>
        </w:tc>
        <w:tc>
          <w:tcPr>
            <w:tcW w:w="853" w:type="pct"/>
            <w:vAlign w:val="center"/>
          </w:tcPr>
          <w:p w14:paraId="54A7F653">
            <w:pPr>
              <w:pStyle w:val="12"/>
              <w:jc w:val="center"/>
              <w:rPr>
                <w:rFonts w:ascii="宋体" w:hAnsi="宋体"/>
              </w:rPr>
            </w:pPr>
            <w:r>
              <w:rPr>
                <w:rFonts w:ascii="宋体" w:hAnsi="宋体"/>
              </w:rPr>
              <w:t>5</w:t>
            </w:r>
          </w:p>
        </w:tc>
        <w:tc>
          <w:tcPr>
            <w:tcW w:w="926" w:type="pct"/>
            <w:vAlign w:val="center"/>
          </w:tcPr>
          <w:p w14:paraId="2872D11B">
            <w:pPr>
              <w:pStyle w:val="12"/>
              <w:jc w:val="center"/>
              <w:rPr>
                <w:rFonts w:ascii="宋体" w:hAnsi="宋体"/>
              </w:rPr>
            </w:pPr>
            <w:r>
              <w:rPr>
                <w:rFonts w:ascii="宋体" w:hAnsi="宋体"/>
              </w:rPr>
              <w:t>204.58</w:t>
            </w:r>
          </w:p>
        </w:tc>
        <w:tc>
          <w:tcPr>
            <w:tcW w:w="769" w:type="pct"/>
            <w:vAlign w:val="center"/>
          </w:tcPr>
          <w:p w14:paraId="5D286D7F">
            <w:pPr>
              <w:pStyle w:val="12"/>
              <w:jc w:val="center"/>
              <w:rPr>
                <w:rFonts w:ascii="宋体" w:hAnsi="宋体"/>
              </w:rPr>
            </w:pPr>
            <w:r>
              <w:rPr>
                <w:rFonts w:ascii="宋体" w:hAnsi="宋体"/>
              </w:rPr>
              <w:t>1.6</w:t>
            </w:r>
          </w:p>
        </w:tc>
        <w:tc>
          <w:tcPr>
            <w:tcW w:w="832" w:type="pct"/>
            <w:vAlign w:val="center"/>
          </w:tcPr>
          <w:p w14:paraId="3B8830D1">
            <w:pPr>
              <w:pStyle w:val="12"/>
              <w:jc w:val="center"/>
              <w:rPr>
                <w:rFonts w:ascii="宋体" w:hAnsi="宋体"/>
              </w:rPr>
            </w:pPr>
            <w:r>
              <w:rPr>
                <w:rFonts w:ascii="宋体" w:hAnsi="宋体"/>
              </w:rPr>
              <w:t>156.20</w:t>
            </w:r>
          </w:p>
        </w:tc>
      </w:tr>
      <w:tr w14:paraId="28B1F8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72958CD7">
            <w:pPr>
              <w:pStyle w:val="12"/>
              <w:jc w:val="center"/>
              <w:rPr>
                <w:rFonts w:ascii="宋体" w:hAnsi="宋体"/>
              </w:rPr>
            </w:pPr>
            <w:r>
              <w:rPr>
                <w:rFonts w:ascii="宋体" w:hAnsi="宋体"/>
              </w:rPr>
              <w:t>1957</w:t>
            </w:r>
          </w:p>
        </w:tc>
        <w:tc>
          <w:tcPr>
            <w:tcW w:w="925" w:type="pct"/>
            <w:vAlign w:val="center"/>
          </w:tcPr>
          <w:p w14:paraId="186F7185">
            <w:pPr>
              <w:pStyle w:val="12"/>
              <w:jc w:val="center"/>
              <w:rPr>
                <w:rFonts w:ascii="宋体" w:hAnsi="宋体"/>
              </w:rPr>
            </w:pPr>
            <w:r>
              <w:rPr>
                <w:rFonts w:ascii="宋体" w:hAnsi="宋体"/>
              </w:rPr>
              <w:t>154.4</w:t>
            </w:r>
          </w:p>
        </w:tc>
        <w:tc>
          <w:tcPr>
            <w:tcW w:w="853" w:type="pct"/>
            <w:vAlign w:val="center"/>
          </w:tcPr>
          <w:p w14:paraId="46FA39B7">
            <w:pPr>
              <w:pStyle w:val="12"/>
              <w:jc w:val="center"/>
              <w:rPr>
                <w:rFonts w:ascii="宋体" w:hAnsi="宋体"/>
              </w:rPr>
            </w:pPr>
            <w:r>
              <w:rPr>
                <w:rFonts w:ascii="宋体" w:hAnsi="宋体"/>
              </w:rPr>
              <w:t>11.60</w:t>
            </w:r>
          </w:p>
        </w:tc>
        <w:tc>
          <w:tcPr>
            <w:tcW w:w="926" w:type="pct"/>
            <w:vAlign w:val="center"/>
          </w:tcPr>
          <w:p w14:paraId="241595BA">
            <w:pPr>
              <w:pStyle w:val="12"/>
              <w:jc w:val="center"/>
              <w:rPr>
                <w:rFonts w:ascii="宋体" w:hAnsi="宋体"/>
              </w:rPr>
            </w:pPr>
            <w:r>
              <w:rPr>
                <w:rFonts w:ascii="宋体" w:hAnsi="宋体"/>
              </w:rPr>
              <w:t>397.80</w:t>
            </w:r>
          </w:p>
        </w:tc>
        <w:tc>
          <w:tcPr>
            <w:tcW w:w="769" w:type="pct"/>
            <w:vAlign w:val="center"/>
          </w:tcPr>
          <w:p w14:paraId="6C35FA0C">
            <w:pPr>
              <w:pStyle w:val="12"/>
              <w:jc w:val="center"/>
              <w:rPr>
                <w:rFonts w:ascii="宋体" w:hAnsi="宋体"/>
              </w:rPr>
            </w:pPr>
            <w:r>
              <w:rPr>
                <w:rFonts w:ascii="宋体" w:hAnsi="宋体"/>
              </w:rPr>
              <w:t>6.2</w:t>
            </w:r>
          </w:p>
        </w:tc>
        <w:tc>
          <w:tcPr>
            <w:tcW w:w="832" w:type="pct"/>
            <w:vAlign w:val="center"/>
          </w:tcPr>
          <w:p w14:paraId="3E9B232C">
            <w:pPr>
              <w:pStyle w:val="12"/>
              <w:jc w:val="center"/>
              <w:rPr>
                <w:rFonts w:ascii="宋体" w:hAnsi="宋体"/>
              </w:rPr>
            </w:pPr>
            <w:r>
              <w:rPr>
                <w:rFonts w:ascii="宋体" w:hAnsi="宋体"/>
              </w:rPr>
              <w:t>358.6</w:t>
            </w:r>
          </w:p>
        </w:tc>
      </w:tr>
      <w:tr w14:paraId="0A7522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2E6CEF3B">
            <w:pPr>
              <w:pStyle w:val="12"/>
              <w:jc w:val="center"/>
              <w:rPr>
                <w:rFonts w:ascii="宋体" w:hAnsi="宋体"/>
              </w:rPr>
            </w:pPr>
            <w:r>
              <w:rPr>
                <w:rFonts w:ascii="宋体" w:hAnsi="宋体"/>
              </w:rPr>
              <w:t>1960</w:t>
            </w:r>
          </w:p>
        </w:tc>
        <w:tc>
          <w:tcPr>
            <w:tcW w:w="925" w:type="pct"/>
            <w:vAlign w:val="center"/>
          </w:tcPr>
          <w:p w14:paraId="532BC93E">
            <w:pPr>
              <w:pStyle w:val="12"/>
              <w:jc w:val="center"/>
              <w:rPr>
                <w:rFonts w:ascii="宋体" w:hAnsi="宋体"/>
              </w:rPr>
            </w:pPr>
            <w:r>
              <w:rPr>
                <w:rFonts w:ascii="宋体" w:hAnsi="宋体"/>
              </w:rPr>
              <w:t>275.7</w:t>
            </w:r>
          </w:p>
        </w:tc>
        <w:tc>
          <w:tcPr>
            <w:tcW w:w="853" w:type="pct"/>
            <w:vAlign w:val="center"/>
          </w:tcPr>
          <w:p w14:paraId="2851DAFE">
            <w:pPr>
              <w:pStyle w:val="12"/>
              <w:jc w:val="center"/>
              <w:rPr>
                <w:rFonts w:ascii="宋体" w:hAnsi="宋体"/>
              </w:rPr>
            </w:pPr>
            <w:r>
              <w:rPr>
                <w:rFonts w:ascii="宋体" w:hAnsi="宋体"/>
              </w:rPr>
              <w:t>20.83</w:t>
            </w:r>
          </w:p>
        </w:tc>
        <w:tc>
          <w:tcPr>
            <w:tcW w:w="926" w:type="pct"/>
            <w:vAlign w:val="center"/>
          </w:tcPr>
          <w:p w14:paraId="56ED71AD">
            <w:pPr>
              <w:pStyle w:val="12"/>
              <w:jc w:val="center"/>
              <w:rPr>
                <w:rFonts w:ascii="宋体" w:hAnsi="宋体"/>
              </w:rPr>
            </w:pPr>
            <w:r>
              <w:rPr>
                <w:rFonts w:ascii="宋体" w:hAnsi="宋体"/>
              </w:rPr>
              <w:t>820.23</w:t>
            </w:r>
          </w:p>
        </w:tc>
        <w:tc>
          <w:tcPr>
            <w:tcW w:w="769" w:type="pct"/>
            <w:vAlign w:val="center"/>
          </w:tcPr>
          <w:p w14:paraId="66F981AC">
            <w:pPr>
              <w:pStyle w:val="12"/>
              <w:jc w:val="center"/>
              <w:rPr>
                <w:rFonts w:ascii="宋体" w:hAnsi="宋体"/>
              </w:rPr>
            </w:pPr>
            <w:r>
              <w:rPr>
                <w:rFonts w:ascii="宋体" w:hAnsi="宋体"/>
              </w:rPr>
              <w:t>14.2</w:t>
            </w:r>
          </w:p>
        </w:tc>
        <w:tc>
          <w:tcPr>
            <w:tcW w:w="832" w:type="pct"/>
            <w:vAlign w:val="center"/>
          </w:tcPr>
          <w:p w14:paraId="4CF80809">
            <w:pPr>
              <w:pStyle w:val="12"/>
              <w:jc w:val="center"/>
              <w:rPr>
                <w:rFonts w:ascii="宋体" w:hAnsi="宋体"/>
              </w:rPr>
            </w:pPr>
            <w:r>
              <w:rPr>
                <w:rFonts w:ascii="宋体" w:hAnsi="宋体"/>
              </w:rPr>
              <w:t>1235.5</w:t>
            </w:r>
          </w:p>
        </w:tc>
      </w:tr>
      <w:tr w14:paraId="2197FA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59692AF3">
            <w:pPr>
              <w:pStyle w:val="12"/>
              <w:jc w:val="center"/>
              <w:rPr>
                <w:rFonts w:ascii="宋体" w:hAnsi="宋体"/>
              </w:rPr>
            </w:pPr>
            <w:r>
              <w:rPr>
                <w:rFonts w:ascii="宋体" w:hAnsi="宋体"/>
              </w:rPr>
              <w:t>1965</w:t>
            </w:r>
          </w:p>
        </w:tc>
        <w:tc>
          <w:tcPr>
            <w:tcW w:w="925" w:type="pct"/>
            <w:vAlign w:val="center"/>
          </w:tcPr>
          <w:p w14:paraId="1DAA98E7">
            <w:pPr>
              <w:pStyle w:val="12"/>
              <w:jc w:val="center"/>
              <w:rPr>
                <w:rFonts w:ascii="宋体" w:hAnsi="宋体"/>
              </w:rPr>
            </w:pPr>
            <w:r>
              <w:rPr>
                <w:rFonts w:ascii="宋体" w:hAnsi="宋体"/>
              </w:rPr>
              <w:t>342.8</w:t>
            </w:r>
          </w:p>
        </w:tc>
        <w:tc>
          <w:tcPr>
            <w:tcW w:w="853" w:type="pct"/>
            <w:vAlign w:val="center"/>
          </w:tcPr>
          <w:p w14:paraId="2902EB82">
            <w:pPr>
              <w:pStyle w:val="12"/>
              <w:jc w:val="center"/>
              <w:rPr>
                <w:rFonts w:ascii="宋体" w:hAnsi="宋体"/>
              </w:rPr>
            </w:pPr>
            <w:r>
              <w:rPr>
                <w:rFonts w:ascii="宋体" w:hAnsi="宋体"/>
              </w:rPr>
              <w:t>32.40</w:t>
            </w:r>
          </w:p>
        </w:tc>
        <w:tc>
          <w:tcPr>
            <w:tcW w:w="926" w:type="pct"/>
            <w:vAlign w:val="center"/>
          </w:tcPr>
          <w:p w14:paraId="7CFC29BB">
            <w:pPr>
              <w:pStyle w:val="12"/>
              <w:jc w:val="center"/>
              <w:rPr>
                <w:rFonts w:ascii="宋体" w:hAnsi="宋体"/>
              </w:rPr>
            </w:pPr>
            <w:r>
              <w:rPr>
                <w:rFonts w:ascii="宋体" w:hAnsi="宋体"/>
              </w:rPr>
              <w:t>1125.56</w:t>
            </w:r>
          </w:p>
        </w:tc>
        <w:tc>
          <w:tcPr>
            <w:tcW w:w="769" w:type="pct"/>
            <w:vAlign w:val="center"/>
          </w:tcPr>
          <w:p w14:paraId="185E2749">
            <w:pPr>
              <w:pStyle w:val="12"/>
              <w:jc w:val="center"/>
              <w:rPr>
                <w:rFonts w:ascii="宋体" w:hAnsi="宋体"/>
              </w:rPr>
            </w:pPr>
            <w:r>
              <w:rPr>
                <w:rFonts w:ascii="宋体" w:hAnsi="宋体"/>
              </w:rPr>
              <w:t>23.2</w:t>
            </w:r>
          </w:p>
        </w:tc>
        <w:tc>
          <w:tcPr>
            <w:tcW w:w="832" w:type="pct"/>
            <w:vAlign w:val="center"/>
          </w:tcPr>
          <w:p w14:paraId="2A693863">
            <w:pPr>
              <w:pStyle w:val="12"/>
              <w:jc w:val="center"/>
              <w:rPr>
                <w:rFonts w:ascii="宋体" w:hAnsi="宋体"/>
              </w:rPr>
            </w:pPr>
            <w:r>
              <w:rPr>
                <w:rFonts w:ascii="宋体" w:hAnsi="宋体"/>
              </w:rPr>
              <w:t>913.1</w:t>
            </w:r>
          </w:p>
        </w:tc>
      </w:tr>
      <w:tr w14:paraId="358328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39079D82">
            <w:pPr>
              <w:pStyle w:val="12"/>
              <w:jc w:val="center"/>
              <w:rPr>
                <w:rFonts w:ascii="宋体" w:hAnsi="宋体"/>
              </w:rPr>
            </w:pPr>
            <w:r>
              <w:rPr>
                <w:rFonts w:ascii="宋体" w:hAnsi="宋体"/>
              </w:rPr>
              <w:t>1972</w:t>
            </w:r>
          </w:p>
        </w:tc>
        <w:tc>
          <w:tcPr>
            <w:tcW w:w="925" w:type="pct"/>
            <w:vAlign w:val="center"/>
          </w:tcPr>
          <w:p w14:paraId="67590655">
            <w:pPr>
              <w:pStyle w:val="12"/>
              <w:jc w:val="center"/>
              <w:rPr>
                <w:rFonts w:ascii="宋体" w:hAnsi="宋体"/>
              </w:rPr>
            </w:pPr>
            <w:r>
              <w:rPr>
                <w:rFonts w:ascii="宋体" w:hAnsi="宋体"/>
              </w:rPr>
              <w:t>584</w:t>
            </w:r>
          </w:p>
        </w:tc>
        <w:tc>
          <w:tcPr>
            <w:tcW w:w="853" w:type="pct"/>
            <w:vAlign w:val="center"/>
          </w:tcPr>
          <w:p w14:paraId="14BA2023">
            <w:pPr>
              <w:pStyle w:val="12"/>
              <w:jc w:val="center"/>
              <w:rPr>
                <w:rFonts w:ascii="宋体" w:hAnsi="宋体"/>
              </w:rPr>
            </w:pPr>
            <w:r>
              <w:rPr>
                <w:rFonts w:ascii="宋体" w:hAnsi="宋体"/>
              </w:rPr>
              <w:t>38.9</w:t>
            </w:r>
          </w:p>
        </w:tc>
        <w:tc>
          <w:tcPr>
            <w:tcW w:w="926" w:type="pct"/>
            <w:vAlign w:val="center"/>
          </w:tcPr>
          <w:p w14:paraId="34644D42">
            <w:pPr>
              <w:pStyle w:val="12"/>
              <w:jc w:val="center"/>
              <w:rPr>
                <w:rFonts w:ascii="宋体" w:hAnsi="宋体"/>
              </w:rPr>
            </w:pPr>
            <w:r>
              <w:rPr>
                <w:rFonts w:ascii="宋体" w:hAnsi="宋体"/>
              </w:rPr>
              <w:t>1391.89</w:t>
            </w:r>
          </w:p>
        </w:tc>
        <w:tc>
          <w:tcPr>
            <w:tcW w:w="769" w:type="pct"/>
            <w:vAlign w:val="center"/>
          </w:tcPr>
          <w:p w14:paraId="061F35C5">
            <w:pPr>
              <w:pStyle w:val="12"/>
              <w:jc w:val="center"/>
              <w:rPr>
                <w:rFonts w:ascii="宋体" w:hAnsi="宋体"/>
              </w:rPr>
            </w:pPr>
            <w:r>
              <w:rPr>
                <w:rFonts w:ascii="宋体" w:hAnsi="宋体"/>
              </w:rPr>
              <w:t>38.6</w:t>
            </w:r>
          </w:p>
        </w:tc>
        <w:tc>
          <w:tcPr>
            <w:tcW w:w="832" w:type="pct"/>
            <w:vAlign w:val="center"/>
          </w:tcPr>
          <w:p w14:paraId="12181718">
            <w:pPr>
              <w:pStyle w:val="12"/>
              <w:jc w:val="center"/>
              <w:rPr>
                <w:rFonts w:ascii="宋体" w:hAnsi="宋体"/>
              </w:rPr>
            </w:pPr>
            <w:r>
              <w:rPr>
                <w:rFonts w:ascii="宋体" w:hAnsi="宋体"/>
              </w:rPr>
              <w:t>1916.2</w:t>
            </w:r>
          </w:p>
        </w:tc>
      </w:tr>
      <w:tr w14:paraId="3D6611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660C76CE">
            <w:pPr>
              <w:pStyle w:val="12"/>
              <w:jc w:val="center"/>
              <w:rPr>
                <w:rFonts w:ascii="宋体" w:hAnsi="宋体"/>
              </w:rPr>
            </w:pPr>
            <w:r>
              <w:rPr>
                <w:rFonts w:ascii="宋体" w:hAnsi="宋体"/>
              </w:rPr>
              <w:t>1976</w:t>
            </w:r>
          </w:p>
        </w:tc>
        <w:tc>
          <w:tcPr>
            <w:tcW w:w="925" w:type="pct"/>
            <w:vAlign w:val="center"/>
          </w:tcPr>
          <w:p w14:paraId="4CC936F0">
            <w:pPr>
              <w:pStyle w:val="12"/>
              <w:jc w:val="center"/>
              <w:rPr>
                <w:rFonts w:ascii="宋体" w:hAnsi="宋体"/>
              </w:rPr>
            </w:pPr>
            <w:r>
              <w:rPr>
                <w:rFonts w:ascii="宋体" w:hAnsi="宋体"/>
              </w:rPr>
              <w:t>655.4</w:t>
            </w:r>
          </w:p>
        </w:tc>
        <w:tc>
          <w:tcPr>
            <w:tcW w:w="853" w:type="pct"/>
            <w:vAlign w:val="center"/>
          </w:tcPr>
          <w:p w14:paraId="30EA5805">
            <w:pPr>
              <w:pStyle w:val="12"/>
              <w:jc w:val="center"/>
              <w:rPr>
                <w:rFonts w:ascii="宋体" w:hAnsi="宋体"/>
              </w:rPr>
            </w:pPr>
            <w:r>
              <w:rPr>
                <w:rFonts w:ascii="宋体" w:hAnsi="宋体"/>
              </w:rPr>
              <w:t>53.9</w:t>
            </w:r>
          </w:p>
        </w:tc>
        <w:tc>
          <w:tcPr>
            <w:tcW w:w="926" w:type="pct"/>
            <w:vAlign w:val="center"/>
          </w:tcPr>
          <w:p w14:paraId="75BDD6BC">
            <w:pPr>
              <w:pStyle w:val="12"/>
              <w:jc w:val="center"/>
              <w:rPr>
                <w:rFonts w:ascii="宋体" w:hAnsi="宋体"/>
              </w:rPr>
            </w:pPr>
            <w:r>
              <w:rPr>
                <w:rFonts w:ascii="宋体" w:hAnsi="宋体"/>
              </w:rPr>
              <w:t>1521.70</w:t>
            </w:r>
          </w:p>
        </w:tc>
        <w:tc>
          <w:tcPr>
            <w:tcW w:w="769" w:type="pct"/>
            <w:vAlign w:val="center"/>
          </w:tcPr>
          <w:p w14:paraId="57E60F38">
            <w:pPr>
              <w:pStyle w:val="12"/>
              <w:jc w:val="center"/>
              <w:rPr>
                <w:rFonts w:ascii="宋体" w:hAnsi="宋体"/>
              </w:rPr>
            </w:pPr>
            <w:r>
              <w:rPr>
                <w:rFonts w:ascii="宋体" w:hAnsi="宋体"/>
              </w:rPr>
              <w:t>21.70</w:t>
            </w:r>
          </w:p>
        </w:tc>
        <w:tc>
          <w:tcPr>
            <w:tcW w:w="832" w:type="pct"/>
            <w:vAlign w:val="center"/>
          </w:tcPr>
          <w:p w14:paraId="57C700EA">
            <w:pPr>
              <w:pStyle w:val="12"/>
              <w:jc w:val="center"/>
              <w:rPr>
                <w:rFonts w:ascii="宋体" w:hAnsi="宋体"/>
              </w:rPr>
            </w:pPr>
            <w:r>
              <w:rPr>
                <w:rFonts w:ascii="宋体" w:hAnsi="宋体"/>
              </w:rPr>
              <w:t>1513.6</w:t>
            </w:r>
          </w:p>
        </w:tc>
      </w:tr>
      <w:tr w14:paraId="54E609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3AA75C57">
            <w:pPr>
              <w:pStyle w:val="12"/>
              <w:jc w:val="center"/>
              <w:rPr>
                <w:rFonts w:ascii="宋体" w:hAnsi="宋体"/>
              </w:rPr>
            </w:pPr>
            <w:r>
              <w:rPr>
                <w:rFonts w:ascii="宋体" w:hAnsi="宋体"/>
              </w:rPr>
              <w:t>1978</w:t>
            </w:r>
          </w:p>
        </w:tc>
        <w:tc>
          <w:tcPr>
            <w:tcW w:w="925" w:type="pct"/>
            <w:vAlign w:val="center"/>
          </w:tcPr>
          <w:p w14:paraId="551B7AE8">
            <w:pPr>
              <w:pStyle w:val="12"/>
              <w:jc w:val="center"/>
              <w:rPr>
                <w:rFonts w:ascii="宋体" w:hAnsi="宋体"/>
              </w:rPr>
            </w:pPr>
            <w:r>
              <w:rPr>
                <w:rFonts w:ascii="宋体" w:hAnsi="宋体"/>
              </w:rPr>
              <w:t>676.4</w:t>
            </w:r>
          </w:p>
        </w:tc>
        <w:tc>
          <w:tcPr>
            <w:tcW w:w="853" w:type="pct"/>
            <w:vAlign w:val="center"/>
          </w:tcPr>
          <w:p w14:paraId="51B7F573">
            <w:pPr>
              <w:pStyle w:val="12"/>
              <w:jc w:val="center"/>
              <w:rPr>
                <w:rFonts w:ascii="宋体" w:hAnsi="宋体"/>
              </w:rPr>
            </w:pPr>
            <w:r>
              <w:rPr>
                <w:rFonts w:ascii="宋体" w:hAnsi="宋体"/>
              </w:rPr>
              <w:t>80.23</w:t>
            </w:r>
          </w:p>
        </w:tc>
        <w:tc>
          <w:tcPr>
            <w:tcW w:w="926" w:type="pct"/>
            <w:vAlign w:val="center"/>
          </w:tcPr>
          <w:p w14:paraId="131D6C1D">
            <w:pPr>
              <w:pStyle w:val="12"/>
              <w:jc w:val="center"/>
              <w:rPr>
                <w:rFonts w:ascii="宋体" w:hAnsi="宋体"/>
              </w:rPr>
            </w:pPr>
            <w:r>
              <w:rPr>
                <w:rFonts w:ascii="宋体" w:hAnsi="宋体"/>
              </w:rPr>
              <w:t>1749.60</w:t>
            </w:r>
          </w:p>
        </w:tc>
        <w:tc>
          <w:tcPr>
            <w:tcW w:w="769" w:type="pct"/>
            <w:vAlign w:val="center"/>
          </w:tcPr>
          <w:p w14:paraId="012865C3">
            <w:pPr>
              <w:pStyle w:val="12"/>
              <w:jc w:val="center"/>
              <w:rPr>
                <w:rFonts w:ascii="宋体" w:hAnsi="宋体"/>
              </w:rPr>
            </w:pPr>
            <w:r>
              <w:rPr>
                <w:rFonts w:ascii="宋体" w:hAnsi="宋体"/>
              </w:rPr>
              <w:t>26.7</w:t>
            </w:r>
          </w:p>
        </w:tc>
        <w:tc>
          <w:tcPr>
            <w:tcW w:w="832" w:type="pct"/>
            <w:vAlign w:val="center"/>
          </w:tcPr>
          <w:p w14:paraId="3F8E83E9">
            <w:pPr>
              <w:pStyle w:val="12"/>
              <w:jc w:val="center"/>
              <w:rPr>
                <w:rFonts w:ascii="宋体" w:hAnsi="宋体"/>
              </w:rPr>
            </w:pPr>
            <w:r>
              <w:rPr>
                <w:rFonts w:ascii="宋体" w:hAnsi="宋体"/>
              </w:rPr>
              <w:t>2101.6</w:t>
            </w:r>
          </w:p>
        </w:tc>
      </w:tr>
      <w:tr w14:paraId="31BEFD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138B5A40">
            <w:pPr>
              <w:pStyle w:val="12"/>
              <w:jc w:val="center"/>
              <w:rPr>
                <w:rFonts w:ascii="宋体" w:hAnsi="宋体"/>
              </w:rPr>
            </w:pPr>
            <w:r>
              <w:rPr>
                <w:rFonts w:ascii="宋体" w:hAnsi="宋体"/>
              </w:rPr>
              <w:t>1980</w:t>
            </w:r>
          </w:p>
        </w:tc>
        <w:tc>
          <w:tcPr>
            <w:tcW w:w="925" w:type="pct"/>
            <w:vAlign w:val="center"/>
          </w:tcPr>
          <w:p w14:paraId="2E44EB53">
            <w:pPr>
              <w:pStyle w:val="12"/>
              <w:jc w:val="center"/>
              <w:rPr>
                <w:rFonts w:ascii="宋体" w:hAnsi="宋体"/>
              </w:rPr>
            </w:pPr>
            <w:r>
              <w:rPr>
                <w:rFonts w:ascii="宋体" w:hAnsi="宋体"/>
              </w:rPr>
              <w:t>677.6</w:t>
            </w:r>
          </w:p>
        </w:tc>
        <w:tc>
          <w:tcPr>
            <w:tcW w:w="853" w:type="pct"/>
            <w:vAlign w:val="center"/>
          </w:tcPr>
          <w:p w14:paraId="102485DB">
            <w:pPr>
              <w:pStyle w:val="12"/>
              <w:jc w:val="center"/>
              <w:rPr>
                <w:rFonts w:ascii="宋体" w:hAnsi="宋体"/>
              </w:rPr>
            </w:pPr>
            <w:r>
              <w:rPr>
                <w:rFonts w:ascii="宋体" w:hAnsi="宋体"/>
              </w:rPr>
              <w:t>86.53</w:t>
            </w:r>
          </w:p>
        </w:tc>
        <w:tc>
          <w:tcPr>
            <w:tcW w:w="926" w:type="pct"/>
            <w:vAlign w:val="center"/>
          </w:tcPr>
          <w:p w14:paraId="547FF37E">
            <w:pPr>
              <w:pStyle w:val="12"/>
              <w:jc w:val="center"/>
              <w:rPr>
                <w:rFonts w:ascii="宋体" w:hAnsi="宋体"/>
              </w:rPr>
            </w:pPr>
            <w:r>
              <w:rPr>
                <w:rFonts w:ascii="宋体" w:hAnsi="宋体"/>
              </w:rPr>
              <w:t>2462.97</w:t>
            </w:r>
          </w:p>
        </w:tc>
        <w:tc>
          <w:tcPr>
            <w:tcW w:w="769" w:type="pct"/>
            <w:vAlign w:val="center"/>
          </w:tcPr>
          <w:p w14:paraId="0D202844">
            <w:pPr>
              <w:pStyle w:val="12"/>
              <w:jc w:val="center"/>
              <w:rPr>
                <w:rFonts w:ascii="宋体" w:hAnsi="宋体"/>
              </w:rPr>
            </w:pPr>
            <w:r>
              <w:rPr>
                <w:rFonts w:ascii="宋体" w:hAnsi="宋体"/>
              </w:rPr>
              <w:t>15.81</w:t>
            </w:r>
          </w:p>
        </w:tc>
        <w:tc>
          <w:tcPr>
            <w:tcW w:w="832" w:type="pct"/>
            <w:vAlign w:val="center"/>
          </w:tcPr>
          <w:p w14:paraId="1D588BDB">
            <w:pPr>
              <w:pStyle w:val="12"/>
              <w:jc w:val="center"/>
              <w:rPr>
                <w:rFonts w:ascii="宋体" w:hAnsi="宋体"/>
              </w:rPr>
            </w:pPr>
            <w:r>
              <w:rPr>
                <w:rFonts w:ascii="宋体" w:hAnsi="宋体"/>
              </w:rPr>
              <w:t>1572.8</w:t>
            </w:r>
          </w:p>
        </w:tc>
      </w:tr>
      <w:tr w14:paraId="366445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7854740E">
            <w:pPr>
              <w:pStyle w:val="12"/>
              <w:jc w:val="center"/>
              <w:rPr>
                <w:rFonts w:ascii="宋体" w:hAnsi="宋体"/>
              </w:rPr>
            </w:pPr>
            <w:r>
              <w:rPr>
                <w:rFonts w:ascii="宋体" w:hAnsi="宋体"/>
              </w:rPr>
              <w:t>1982</w:t>
            </w:r>
          </w:p>
        </w:tc>
        <w:tc>
          <w:tcPr>
            <w:tcW w:w="925" w:type="pct"/>
            <w:vAlign w:val="center"/>
          </w:tcPr>
          <w:p w14:paraId="37F365B1">
            <w:pPr>
              <w:pStyle w:val="12"/>
              <w:jc w:val="center"/>
              <w:rPr>
                <w:rFonts w:ascii="宋体" w:hAnsi="宋体"/>
              </w:rPr>
            </w:pPr>
            <w:r>
              <w:rPr>
                <w:rFonts w:ascii="宋体" w:hAnsi="宋体"/>
              </w:rPr>
              <w:t>678</w:t>
            </w:r>
          </w:p>
        </w:tc>
        <w:tc>
          <w:tcPr>
            <w:tcW w:w="853" w:type="pct"/>
            <w:vAlign w:val="center"/>
          </w:tcPr>
          <w:p w14:paraId="5803F21B">
            <w:pPr>
              <w:pStyle w:val="12"/>
              <w:jc w:val="center"/>
              <w:rPr>
                <w:rFonts w:ascii="宋体" w:hAnsi="宋体"/>
              </w:rPr>
            </w:pPr>
            <w:r>
              <w:rPr>
                <w:rFonts w:ascii="宋体" w:hAnsi="宋体"/>
              </w:rPr>
              <w:t>129.72</w:t>
            </w:r>
          </w:p>
        </w:tc>
        <w:tc>
          <w:tcPr>
            <w:tcW w:w="926" w:type="pct"/>
            <w:vAlign w:val="center"/>
          </w:tcPr>
          <w:p w14:paraId="707E7478">
            <w:pPr>
              <w:pStyle w:val="12"/>
              <w:jc w:val="center"/>
              <w:rPr>
                <w:rFonts w:ascii="宋体" w:hAnsi="宋体"/>
              </w:rPr>
            </w:pPr>
            <w:r>
              <w:rPr>
                <w:rFonts w:ascii="宋体" w:hAnsi="宋体"/>
              </w:rPr>
              <w:t>4249.99</w:t>
            </w:r>
          </w:p>
        </w:tc>
        <w:tc>
          <w:tcPr>
            <w:tcW w:w="769" w:type="pct"/>
            <w:vAlign w:val="center"/>
          </w:tcPr>
          <w:p w14:paraId="3F4B2EE1">
            <w:pPr>
              <w:pStyle w:val="12"/>
              <w:jc w:val="center"/>
              <w:rPr>
                <w:rFonts w:ascii="宋体" w:hAnsi="宋体"/>
              </w:rPr>
            </w:pPr>
            <w:r>
              <w:rPr>
                <w:rFonts w:ascii="宋体" w:hAnsi="宋体"/>
              </w:rPr>
              <w:t>18.6</w:t>
            </w:r>
          </w:p>
        </w:tc>
        <w:tc>
          <w:tcPr>
            <w:tcW w:w="832" w:type="pct"/>
            <w:vAlign w:val="center"/>
          </w:tcPr>
          <w:p w14:paraId="05F9B437">
            <w:pPr>
              <w:pStyle w:val="12"/>
              <w:jc w:val="center"/>
              <w:rPr>
                <w:rFonts w:ascii="宋体" w:hAnsi="宋体"/>
              </w:rPr>
            </w:pPr>
            <w:r>
              <w:rPr>
                <w:rFonts w:ascii="宋体" w:hAnsi="宋体"/>
              </w:rPr>
              <w:t>1975.2</w:t>
            </w:r>
          </w:p>
        </w:tc>
      </w:tr>
      <w:tr w14:paraId="0445FA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162B8457">
            <w:pPr>
              <w:pStyle w:val="12"/>
              <w:jc w:val="center"/>
              <w:rPr>
                <w:rFonts w:ascii="宋体" w:hAnsi="宋体"/>
              </w:rPr>
            </w:pPr>
            <w:r>
              <w:rPr>
                <w:rFonts w:ascii="宋体" w:hAnsi="宋体"/>
              </w:rPr>
              <w:t>1984</w:t>
            </w:r>
          </w:p>
        </w:tc>
        <w:tc>
          <w:tcPr>
            <w:tcW w:w="925" w:type="pct"/>
            <w:vAlign w:val="center"/>
          </w:tcPr>
          <w:p w14:paraId="5DEC7981">
            <w:pPr>
              <w:pStyle w:val="12"/>
              <w:jc w:val="center"/>
              <w:rPr>
                <w:rFonts w:ascii="宋体" w:hAnsi="宋体"/>
              </w:rPr>
            </w:pPr>
            <w:r>
              <w:rPr>
                <w:rFonts w:ascii="宋体" w:hAnsi="宋体"/>
              </w:rPr>
              <w:t>698.3</w:t>
            </w:r>
          </w:p>
        </w:tc>
        <w:tc>
          <w:tcPr>
            <w:tcW w:w="853" w:type="pct"/>
            <w:vAlign w:val="center"/>
          </w:tcPr>
          <w:p w14:paraId="2F62FABE">
            <w:pPr>
              <w:pStyle w:val="12"/>
              <w:jc w:val="center"/>
              <w:rPr>
                <w:rFonts w:ascii="宋体" w:hAnsi="宋体"/>
              </w:rPr>
            </w:pPr>
            <w:r>
              <w:rPr>
                <w:rFonts w:ascii="宋体" w:hAnsi="宋体"/>
              </w:rPr>
              <w:t>149.94</w:t>
            </w:r>
          </w:p>
        </w:tc>
        <w:tc>
          <w:tcPr>
            <w:tcW w:w="926" w:type="pct"/>
            <w:vAlign w:val="center"/>
          </w:tcPr>
          <w:p w14:paraId="608A5983">
            <w:pPr>
              <w:pStyle w:val="12"/>
              <w:jc w:val="center"/>
              <w:rPr>
                <w:rFonts w:ascii="宋体" w:hAnsi="宋体"/>
              </w:rPr>
            </w:pPr>
            <w:r>
              <w:rPr>
                <w:rFonts w:ascii="宋体" w:hAnsi="宋体"/>
              </w:rPr>
              <w:t>5202.5</w:t>
            </w:r>
          </w:p>
        </w:tc>
        <w:tc>
          <w:tcPr>
            <w:tcW w:w="769" w:type="pct"/>
            <w:vAlign w:val="center"/>
          </w:tcPr>
          <w:p w14:paraId="34AF77CC">
            <w:pPr>
              <w:pStyle w:val="12"/>
              <w:jc w:val="center"/>
              <w:rPr>
                <w:rFonts w:ascii="宋体" w:hAnsi="宋体"/>
              </w:rPr>
            </w:pPr>
            <w:r>
              <w:rPr>
                <w:rFonts w:ascii="宋体" w:hAnsi="宋体"/>
              </w:rPr>
              <w:t>17.3</w:t>
            </w:r>
          </w:p>
        </w:tc>
        <w:tc>
          <w:tcPr>
            <w:tcW w:w="832" w:type="pct"/>
            <w:vAlign w:val="center"/>
          </w:tcPr>
          <w:p w14:paraId="2E5B10A4">
            <w:pPr>
              <w:pStyle w:val="12"/>
              <w:jc w:val="center"/>
              <w:rPr>
                <w:rFonts w:ascii="宋体" w:hAnsi="宋体"/>
              </w:rPr>
            </w:pPr>
            <w:r>
              <w:rPr>
                <w:rFonts w:ascii="宋体" w:hAnsi="宋体"/>
              </w:rPr>
              <w:t>1774.5</w:t>
            </w:r>
          </w:p>
        </w:tc>
      </w:tr>
      <w:tr w14:paraId="38F615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763AF016">
            <w:pPr>
              <w:pStyle w:val="12"/>
              <w:jc w:val="center"/>
              <w:rPr>
                <w:rFonts w:ascii="宋体" w:hAnsi="宋体"/>
              </w:rPr>
            </w:pPr>
            <w:r>
              <w:rPr>
                <w:rFonts w:ascii="宋体" w:hAnsi="宋体"/>
              </w:rPr>
              <w:t>1985</w:t>
            </w:r>
          </w:p>
        </w:tc>
        <w:tc>
          <w:tcPr>
            <w:tcW w:w="925" w:type="pct"/>
            <w:vAlign w:val="center"/>
          </w:tcPr>
          <w:p w14:paraId="74576D63">
            <w:pPr>
              <w:pStyle w:val="12"/>
              <w:jc w:val="center"/>
              <w:rPr>
                <w:rFonts w:ascii="宋体" w:hAnsi="宋体"/>
              </w:rPr>
            </w:pPr>
            <w:r>
              <w:rPr>
                <w:rFonts w:ascii="宋体" w:hAnsi="宋体"/>
              </w:rPr>
              <w:t>702.8</w:t>
            </w:r>
          </w:p>
        </w:tc>
        <w:tc>
          <w:tcPr>
            <w:tcW w:w="853" w:type="pct"/>
            <w:vAlign w:val="center"/>
          </w:tcPr>
          <w:p w14:paraId="4DF9ED0B">
            <w:pPr>
              <w:pStyle w:val="12"/>
              <w:jc w:val="center"/>
              <w:rPr>
                <w:rFonts w:ascii="宋体" w:hAnsi="宋体"/>
              </w:rPr>
            </w:pPr>
            <w:r>
              <w:rPr>
                <w:rFonts w:ascii="宋体" w:hAnsi="宋体"/>
              </w:rPr>
              <w:t>227.10</w:t>
            </w:r>
          </w:p>
        </w:tc>
        <w:tc>
          <w:tcPr>
            <w:tcW w:w="926" w:type="pct"/>
            <w:vAlign w:val="center"/>
          </w:tcPr>
          <w:p w14:paraId="454CA488">
            <w:pPr>
              <w:pStyle w:val="12"/>
              <w:jc w:val="center"/>
              <w:rPr>
                <w:rFonts w:ascii="宋体" w:hAnsi="宋体"/>
              </w:rPr>
            </w:pPr>
            <w:r>
              <w:rPr>
                <w:rFonts w:ascii="宋体" w:hAnsi="宋体"/>
              </w:rPr>
              <w:t>7348.10</w:t>
            </w:r>
          </w:p>
        </w:tc>
        <w:tc>
          <w:tcPr>
            <w:tcW w:w="769" w:type="pct"/>
            <w:vAlign w:val="center"/>
          </w:tcPr>
          <w:p w14:paraId="78113F0B">
            <w:pPr>
              <w:pStyle w:val="12"/>
              <w:jc w:val="center"/>
              <w:rPr>
                <w:rFonts w:ascii="宋体" w:hAnsi="宋体"/>
              </w:rPr>
            </w:pPr>
            <w:r>
              <w:rPr>
                <w:rFonts w:ascii="宋体" w:hAnsi="宋体"/>
              </w:rPr>
              <w:t>57.6</w:t>
            </w:r>
          </w:p>
        </w:tc>
        <w:tc>
          <w:tcPr>
            <w:tcW w:w="832" w:type="pct"/>
            <w:vAlign w:val="center"/>
          </w:tcPr>
          <w:p w14:paraId="31248BF5">
            <w:pPr>
              <w:pStyle w:val="12"/>
              <w:jc w:val="center"/>
              <w:rPr>
                <w:rFonts w:ascii="宋体" w:hAnsi="宋体"/>
              </w:rPr>
            </w:pPr>
            <w:r>
              <w:rPr>
                <w:rFonts w:ascii="宋体" w:hAnsi="宋体"/>
              </w:rPr>
              <w:t>5774.5</w:t>
            </w:r>
          </w:p>
        </w:tc>
      </w:tr>
      <w:tr w14:paraId="18DCA1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73BEE2CF">
            <w:pPr>
              <w:pStyle w:val="12"/>
              <w:jc w:val="center"/>
              <w:rPr>
                <w:rFonts w:ascii="宋体" w:hAnsi="宋体"/>
              </w:rPr>
            </w:pPr>
            <w:r>
              <w:rPr>
                <w:rFonts w:ascii="宋体" w:hAnsi="宋体"/>
              </w:rPr>
              <w:t>1986</w:t>
            </w:r>
          </w:p>
        </w:tc>
        <w:tc>
          <w:tcPr>
            <w:tcW w:w="925" w:type="pct"/>
            <w:vAlign w:val="center"/>
          </w:tcPr>
          <w:p w14:paraId="3D091CA6">
            <w:pPr>
              <w:pStyle w:val="12"/>
              <w:jc w:val="center"/>
              <w:rPr>
                <w:rFonts w:ascii="宋体" w:hAnsi="宋体"/>
              </w:rPr>
            </w:pPr>
            <w:r>
              <w:rPr>
                <w:rFonts w:ascii="宋体" w:hAnsi="宋体"/>
              </w:rPr>
              <w:t>702.8</w:t>
            </w:r>
          </w:p>
        </w:tc>
        <w:tc>
          <w:tcPr>
            <w:tcW w:w="853" w:type="pct"/>
            <w:vAlign w:val="center"/>
          </w:tcPr>
          <w:p w14:paraId="3F4595BE">
            <w:pPr>
              <w:pStyle w:val="12"/>
              <w:jc w:val="center"/>
              <w:rPr>
                <w:rFonts w:ascii="宋体" w:hAnsi="宋体"/>
              </w:rPr>
            </w:pPr>
            <w:r>
              <w:rPr>
                <w:rFonts w:ascii="宋体" w:hAnsi="宋体"/>
              </w:rPr>
              <w:t>262.86</w:t>
            </w:r>
          </w:p>
        </w:tc>
        <w:tc>
          <w:tcPr>
            <w:tcW w:w="926" w:type="pct"/>
            <w:vAlign w:val="center"/>
          </w:tcPr>
          <w:p w14:paraId="57C66E07">
            <w:pPr>
              <w:pStyle w:val="12"/>
              <w:jc w:val="center"/>
              <w:rPr>
                <w:rFonts w:ascii="宋体" w:hAnsi="宋体"/>
              </w:rPr>
            </w:pPr>
            <w:r>
              <w:rPr>
                <w:rFonts w:ascii="宋体" w:hAnsi="宋体"/>
              </w:rPr>
              <w:t>8166.11</w:t>
            </w:r>
          </w:p>
        </w:tc>
        <w:tc>
          <w:tcPr>
            <w:tcW w:w="769" w:type="pct"/>
            <w:vAlign w:val="center"/>
          </w:tcPr>
          <w:p w14:paraId="175E4374">
            <w:pPr>
              <w:pStyle w:val="12"/>
              <w:jc w:val="center"/>
              <w:rPr>
                <w:rFonts w:ascii="宋体" w:hAnsi="宋体"/>
              </w:rPr>
            </w:pPr>
            <w:r>
              <w:rPr>
                <w:rFonts w:ascii="宋体" w:hAnsi="宋体"/>
              </w:rPr>
              <w:t>79</w:t>
            </w:r>
          </w:p>
        </w:tc>
        <w:tc>
          <w:tcPr>
            <w:tcW w:w="832" w:type="pct"/>
            <w:vAlign w:val="center"/>
          </w:tcPr>
          <w:p w14:paraId="56468281">
            <w:pPr>
              <w:pStyle w:val="12"/>
              <w:jc w:val="center"/>
              <w:rPr>
                <w:rFonts w:ascii="宋体" w:hAnsi="宋体"/>
              </w:rPr>
            </w:pPr>
            <w:r>
              <w:rPr>
                <w:rFonts w:ascii="宋体" w:hAnsi="宋体"/>
              </w:rPr>
              <w:t>6940</w:t>
            </w:r>
          </w:p>
        </w:tc>
      </w:tr>
      <w:tr w14:paraId="15E6A4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7B13A094">
            <w:pPr>
              <w:pStyle w:val="12"/>
              <w:jc w:val="center"/>
              <w:rPr>
                <w:rFonts w:ascii="宋体" w:hAnsi="宋体"/>
              </w:rPr>
            </w:pPr>
            <w:r>
              <w:rPr>
                <w:rFonts w:ascii="宋体" w:hAnsi="宋体"/>
              </w:rPr>
              <w:t>1987</w:t>
            </w:r>
          </w:p>
        </w:tc>
        <w:tc>
          <w:tcPr>
            <w:tcW w:w="925" w:type="pct"/>
            <w:vAlign w:val="center"/>
          </w:tcPr>
          <w:p w14:paraId="20D721D9">
            <w:pPr>
              <w:pStyle w:val="12"/>
              <w:jc w:val="center"/>
              <w:rPr>
                <w:rFonts w:ascii="宋体" w:hAnsi="宋体"/>
              </w:rPr>
            </w:pPr>
            <w:r>
              <w:rPr>
                <w:rFonts w:ascii="宋体" w:hAnsi="宋体"/>
              </w:rPr>
              <w:t>702.8</w:t>
            </w:r>
          </w:p>
        </w:tc>
        <w:tc>
          <w:tcPr>
            <w:tcW w:w="853" w:type="pct"/>
            <w:vAlign w:val="center"/>
          </w:tcPr>
          <w:p w14:paraId="204D95C7">
            <w:pPr>
              <w:pStyle w:val="12"/>
              <w:jc w:val="center"/>
              <w:rPr>
                <w:rFonts w:ascii="宋体" w:hAnsi="宋体"/>
              </w:rPr>
            </w:pPr>
            <w:r>
              <w:rPr>
                <w:rFonts w:ascii="宋体" w:hAnsi="宋体"/>
              </w:rPr>
              <w:t>271</w:t>
            </w:r>
          </w:p>
        </w:tc>
        <w:tc>
          <w:tcPr>
            <w:tcW w:w="926" w:type="pct"/>
            <w:vAlign w:val="center"/>
          </w:tcPr>
          <w:p w14:paraId="16E79CE1">
            <w:pPr>
              <w:pStyle w:val="12"/>
              <w:jc w:val="center"/>
              <w:rPr>
                <w:rFonts w:ascii="宋体" w:hAnsi="宋体"/>
              </w:rPr>
            </w:pPr>
            <w:r>
              <w:rPr>
                <w:rFonts w:ascii="宋体" w:hAnsi="宋体"/>
              </w:rPr>
              <w:t>8771</w:t>
            </w:r>
          </w:p>
        </w:tc>
        <w:tc>
          <w:tcPr>
            <w:tcW w:w="769" w:type="pct"/>
            <w:vAlign w:val="center"/>
          </w:tcPr>
          <w:p w14:paraId="1983FBDB">
            <w:pPr>
              <w:pStyle w:val="12"/>
              <w:jc w:val="center"/>
              <w:rPr>
                <w:rFonts w:ascii="宋体" w:hAnsi="宋体"/>
              </w:rPr>
            </w:pPr>
            <w:r>
              <w:rPr>
                <w:rFonts w:ascii="宋体" w:hAnsi="宋体"/>
              </w:rPr>
              <w:t>78</w:t>
            </w:r>
          </w:p>
        </w:tc>
        <w:tc>
          <w:tcPr>
            <w:tcW w:w="832" w:type="pct"/>
            <w:vAlign w:val="center"/>
          </w:tcPr>
          <w:p w14:paraId="5D7E9C50">
            <w:pPr>
              <w:pStyle w:val="12"/>
              <w:jc w:val="center"/>
              <w:rPr>
                <w:rFonts w:ascii="宋体" w:hAnsi="宋体"/>
              </w:rPr>
            </w:pPr>
            <w:r>
              <w:rPr>
                <w:rFonts w:ascii="宋体" w:hAnsi="宋体"/>
              </w:rPr>
              <w:t>8370</w:t>
            </w:r>
          </w:p>
        </w:tc>
      </w:tr>
      <w:tr w14:paraId="42F952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2A11E9F7">
            <w:pPr>
              <w:pStyle w:val="12"/>
              <w:jc w:val="center"/>
              <w:rPr>
                <w:rFonts w:ascii="宋体" w:hAnsi="宋体"/>
              </w:rPr>
            </w:pPr>
            <w:r>
              <w:rPr>
                <w:rFonts w:ascii="宋体" w:hAnsi="宋体"/>
              </w:rPr>
              <w:t>1989</w:t>
            </w:r>
          </w:p>
        </w:tc>
        <w:tc>
          <w:tcPr>
            <w:tcW w:w="925" w:type="pct"/>
            <w:vAlign w:val="center"/>
          </w:tcPr>
          <w:p w14:paraId="55305639">
            <w:pPr>
              <w:pStyle w:val="12"/>
              <w:jc w:val="center"/>
              <w:rPr>
                <w:rFonts w:ascii="宋体" w:hAnsi="宋体"/>
              </w:rPr>
            </w:pPr>
            <w:r>
              <w:rPr>
                <w:rFonts w:ascii="宋体" w:hAnsi="宋体"/>
              </w:rPr>
              <w:t>—</w:t>
            </w:r>
          </w:p>
        </w:tc>
        <w:tc>
          <w:tcPr>
            <w:tcW w:w="853" w:type="pct"/>
            <w:vAlign w:val="center"/>
          </w:tcPr>
          <w:p w14:paraId="397D6CDE">
            <w:pPr>
              <w:pStyle w:val="12"/>
              <w:jc w:val="center"/>
              <w:rPr>
                <w:rFonts w:ascii="宋体" w:hAnsi="宋体"/>
              </w:rPr>
            </w:pPr>
            <w:r>
              <w:rPr>
                <w:rFonts w:ascii="宋体" w:hAnsi="宋体"/>
              </w:rPr>
              <w:t>231.74</w:t>
            </w:r>
          </w:p>
        </w:tc>
        <w:tc>
          <w:tcPr>
            <w:tcW w:w="926" w:type="pct"/>
            <w:vAlign w:val="center"/>
          </w:tcPr>
          <w:p w14:paraId="0E652230">
            <w:pPr>
              <w:pStyle w:val="12"/>
              <w:jc w:val="center"/>
              <w:rPr>
                <w:rFonts w:ascii="宋体" w:hAnsi="宋体"/>
              </w:rPr>
            </w:pPr>
            <w:r>
              <w:rPr>
                <w:rFonts w:ascii="宋体" w:hAnsi="宋体"/>
              </w:rPr>
              <w:t>6592.49</w:t>
            </w:r>
          </w:p>
        </w:tc>
        <w:tc>
          <w:tcPr>
            <w:tcW w:w="769" w:type="pct"/>
            <w:vAlign w:val="center"/>
          </w:tcPr>
          <w:p w14:paraId="3E35B812">
            <w:pPr>
              <w:pStyle w:val="12"/>
              <w:jc w:val="center"/>
              <w:rPr>
                <w:rFonts w:ascii="宋体" w:hAnsi="宋体"/>
              </w:rPr>
            </w:pPr>
            <w:r>
              <w:rPr>
                <w:rFonts w:ascii="宋体" w:hAnsi="宋体"/>
              </w:rPr>
              <w:t>1.78</w:t>
            </w:r>
          </w:p>
        </w:tc>
        <w:tc>
          <w:tcPr>
            <w:tcW w:w="832" w:type="pct"/>
            <w:vAlign w:val="center"/>
          </w:tcPr>
          <w:p w14:paraId="294F23FA">
            <w:pPr>
              <w:pStyle w:val="12"/>
              <w:jc w:val="center"/>
              <w:rPr>
                <w:rFonts w:ascii="宋体" w:hAnsi="宋体"/>
              </w:rPr>
            </w:pPr>
            <w:r>
              <w:rPr>
                <w:rFonts w:ascii="宋体" w:hAnsi="宋体"/>
              </w:rPr>
              <w:t>217.36</w:t>
            </w:r>
          </w:p>
        </w:tc>
      </w:tr>
      <w:tr w14:paraId="3C697A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4B23D42B">
            <w:pPr>
              <w:pStyle w:val="12"/>
              <w:jc w:val="center"/>
              <w:rPr>
                <w:rFonts w:ascii="宋体" w:hAnsi="宋体"/>
              </w:rPr>
            </w:pPr>
            <w:r>
              <w:rPr>
                <w:rFonts w:ascii="宋体" w:hAnsi="宋体"/>
              </w:rPr>
              <w:t>1992</w:t>
            </w:r>
          </w:p>
        </w:tc>
        <w:tc>
          <w:tcPr>
            <w:tcW w:w="925" w:type="pct"/>
            <w:vAlign w:val="center"/>
          </w:tcPr>
          <w:p w14:paraId="749DDD2F">
            <w:pPr>
              <w:pStyle w:val="12"/>
              <w:jc w:val="center"/>
              <w:rPr>
                <w:rFonts w:ascii="宋体" w:hAnsi="宋体"/>
              </w:rPr>
            </w:pPr>
            <w:r>
              <w:rPr>
                <w:rFonts w:ascii="宋体" w:hAnsi="宋体"/>
              </w:rPr>
              <w:t>—</w:t>
            </w:r>
          </w:p>
        </w:tc>
        <w:tc>
          <w:tcPr>
            <w:tcW w:w="853" w:type="pct"/>
            <w:vAlign w:val="center"/>
          </w:tcPr>
          <w:p w14:paraId="0C5A797A">
            <w:pPr>
              <w:pStyle w:val="12"/>
              <w:jc w:val="center"/>
              <w:rPr>
                <w:rFonts w:ascii="宋体" w:hAnsi="宋体"/>
              </w:rPr>
            </w:pPr>
            <w:r>
              <w:rPr>
                <w:rFonts w:ascii="宋体" w:hAnsi="宋体"/>
              </w:rPr>
              <w:t>152.65</w:t>
            </w:r>
          </w:p>
        </w:tc>
        <w:tc>
          <w:tcPr>
            <w:tcW w:w="926" w:type="pct"/>
            <w:vAlign w:val="center"/>
          </w:tcPr>
          <w:p w14:paraId="18C931D6">
            <w:pPr>
              <w:pStyle w:val="12"/>
              <w:jc w:val="center"/>
              <w:rPr>
                <w:rFonts w:ascii="宋体" w:hAnsi="宋体"/>
              </w:rPr>
            </w:pPr>
            <w:r>
              <w:rPr>
                <w:rFonts w:ascii="宋体" w:hAnsi="宋体"/>
              </w:rPr>
              <w:t>4872.03</w:t>
            </w:r>
          </w:p>
        </w:tc>
        <w:tc>
          <w:tcPr>
            <w:tcW w:w="769" w:type="pct"/>
            <w:vAlign w:val="center"/>
          </w:tcPr>
          <w:p w14:paraId="420C2E17">
            <w:pPr>
              <w:pStyle w:val="12"/>
              <w:jc w:val="center"/>
              <w:rPr>
                <w:rFonts w:ascii="宋体" w:hAnsi="宋体"/>
              </w:rPr>
            </w:pPr>
            <w:r>
              <w:rPr>
                <w:rFonts w:ascii="宋体" w:hAnsi="宋体"/>
              </w:rPr>
              <w:t>1.82</w:t>
            </w:r>
          </w:p>
        </w:tc>
        <w:tc>
          <w:tcPr>
            <w:tcW w:w="832" w:type="pct"/>
            <w:vAlign w:val="center"/>
          </w:tcPr>
          <w:p w14:paraId="03AC0DB7">
            <w:pPr>
              <w:pStyle w:val="12"/>
              <w:jc w:val="center"/>
              <w:rPr>
                <w:rFonts w:ascii="宋体" w:hAnsi="宋体"/>
              </w:rPr>
            </w:pPr>
            <w:r>
              <w:rPr>
                <w:rFonts w:ascii="宋体" w:hAnsi="宋体"/>
              </w:rPr>
              <w:t>191.39</w:t>
            </w:r>
          </w:p>
        </w:tc>
      </w:tr>
      <w:tr w14:paraId="1672593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73C20F43">
            <w:pPr>
              <w:pStyle w:val="12"/>
              <w:jc w:val="center"/>
              <w:rPr>
                <w:rFonts w:ascii="宋体" w:hAnsi="宋体"/>
              </w:rPr>
            </w:pPr>
            <w:r>
              <w:rPr>
                <w:rFonts w:ascii="宋体" w:hAnsi="宋体"/>
              </w:rPr>
              <w:t>1994</w:t>
            </w:r>
          </w:p>
        </w:tc>
        <w:tc>
          <w:tcPr>
            <w:tcW w:w="925" w:type="pct"/>
            <w:vAlign w:val="center"/>
          </w:tcPr>
          <w:p w14:paraId="7CE2223D">
            <w:pPr>
              <w:pStyle w:val="12"/>
              <w:jc w:val="center"/>
              <w:rPr>
                <w:rFonts w:ascii="宋体" w:hAnsi="宋体"/>
              </w:rPr>
            </w:pPr>
            <w:r>
              <w:rPr>
                <w:rFonts w:ascii="宋体" w:hAnsi="宋体"/>
              </w:rPr>
              <w:t>—</w:t>
            </w:r>
          </w:p>
        </w:tc>
        <w:tc>
          <w:tcPr>
            <w:tcW w:w="853" w:type="pct"/>
            <w:vAlign w:val="center"/>
          </w:tcPr>
          <w:p w14:paraId="0C8D034E">
            <w:pPr>
              <w:pStyle w:val="12"/>
              <w:jc w:val="center"/>
              <w:rPr>
                <w:rFonts w:ascii="宋体" w:hAnsi="宋体"/>
              </w:rPr>
            </w:pPr>
            <w:r>
              <w:rPr>
                <w:rFonts w:ascii="宋体" w:hAnsi="宋体"/>
              </w:rPr>
              <w:t>130.03</w:t>
            </w:r>
          </w:p>
        </w:tc>
        <w:tc>
          <w:tcPr>
            <w:tcW w:w="926" w:type="pct"/>
            <w:vAlign w:val="center"/>
          </w:tcPr>
          <w:p w14:paraId="4259A182">
            <w:pPr>
              <w:pStyle w:val="12"/>
              <w:jc w:val="center"/>
              <w:rPr>
                <w:rFonts w:ascii="宋体" w:hAnsi="宋体"/>
              </w:rPr>
            </w:pPr>
            <w:r>
              <w:rPr>
                <w:rFonts w:ascii="宋体" w:hAnsi="宋体"/>
              </w:rPr>
              <w:t>4205.57</w:t>
            </w:r>
          </w:p>
        </w:tc>
        <w:tc>
          <w:tcPr>
            <w:tcW w:w="769" w:type="pct"/>
            <w:vAlign w:val="center"/>
          </w:tcPr>
          <w:p w14:paraId="58366A3A">
            <w:pPr>
              <w:pStyle w:val="12"/>
              <w:jc w:val="center"/>
              <w:rPr>
                <w:rFonts w:ascii="宋体" w:hAnsi="宋体"/>
              </w:rPr>
            </w:pPr>
            <w:r>
              <w:rPr>
                <w:rFonts w:ascii="宋体" w:hAnsi="宋体"/>
              </w:rPr>
              <w:t>0.07</w:t>
            </w:r>
          </w:p>
        </w:tc>
        <w:tc>
          <w:tcPr>
            <w:tcW w:w="832" w:type="pct"/>
            <w:vAlign w:val="center"/>
          </w:tcPr>
          <w:p w14:paraId="19CC633A">
            <w:pPr>
              <w:pStyle w:val="12"/>
              <w:jc w:val="center"/>
              <w:rPr>
                <w:rFonts w:ascii="宋体" w:hAnsi="宋体"/>
              </w:rPr>
            </w:pPr>
            <w:r>
              <w:rPr>
                <w:rFonts w:ascii="宋体" w:hAnsi="宋体"/>
              </w:rPr>
              <w:t>8.78</w:t>
            </w:r>
          </w:p>
        </w:tc>
      </w:tr>
      <w:tr w14:paraId="673E7A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79007ABE">
            <w:pPr>
              <w:pStyle w:val="12"/>
              <w:jc w:val="center"/>
              <w:rPr>
                <w:rFonts w:ascii="宋体" w:hAnsi="宋体"/>
              </w:rPr>
            </w:pPr>
            <w:r>
              <w:rPr>
                <w:rFonts w:hint="eastAsia" w:ascii="宋体" w:hAnsi="宋体"/>
              </w:rPr>
              <w:t>1998</w:t>
            </w:r>
          </w:p>
        </w:tc>
        <w:tc>
          <w:tcPr>
            <w:tcW w:w="925" w:type="pct"/>
            <w:vAlign w:val="center"/>
          </w:tcPr>
          <w:p w14:paraId="6D70EDFA">
            <w:pPr>
              <w:pStyle w:val="12"/>
              <w:jc w:val="center"/>
              <w:rPr>
                <w:rFonts w:ascii="宋体" w:hAnsi="宋体"/>
              </w:rPr>
            </w:pPr>
            <w:r>
              <w:rPr>
                <w:rFonts w:hint="eastAsia" w:ascii="宋体" w:hAnsi="宋体"/>
              </w:rPr>
              <w:t>—</w:t>
            </w:r>
          </w:p>
        </w:tc>
        <w:tc>
          <w:tcPr>
            <w:tcW w:w="853" w:type="pct"/>
            <w:vAlign w:val="center"/>
          </w:tcPr>
          <w:p w14:paraId="0ABE33E0">
            <w:pPr>
              <w:pStyle w:val="12"/>
              <w:jc w:val="center"/>
              <w:rPr>
                <w:rFonts w:ascii="宋体" w:hAnsi="宋体"/>
              </w:rPr>
            </w:pPr>
            <w:r>
              <w:rPr>
                <w:rFonts w:hint="eastAsia" w:ascii="宋体" w:hAnsi="宋体"/>
              </w:rPr>
              <w:t>89.85</w:t>
            </w:r>
          </w:p>
        </w:tc>
        <w:tc>
          <w:tcPr>
            <w:tcW w:w="926" w:type="pct"/>
            <w:vAlign w:val="center"/>
          </w:tcPr>
          <w:p w14:paraId="29FEE5EE">
            <w:pPr>
              <w:pStyle w:val="12"/>
              <w:jc w:val="center"/>
              <w:rPr>
                <w:rFonts w:ascii="宋体" w:hAnsi="宋体"/>
              </w:rPr>
            </w:pPr>
            <w:r>
              <w:rPr>
                <w:rFonts w:hint="eastAsia" w:ascii="宋体" w:hAnsi="宋体"/>
              </w:rPr>
              <w:t>4627.10</w:t>
            </w:r>
          </w:p>
        </w:tc>
        <w:tc>
          <w:tcPr>
            <w:tcW w:w="769" w:type="pct"/>
            <w:vAlign w:val="center"/>
          </w:tcPr>
          <w:p w14:paraId="2D4065BF">
            <w:pPr>
              <w:pStyle w:val="12"/>
              <w:jc w:val="center"/>
              <w:rPr>
                <w:rFonts w:ascii="宋体" w:hAnsi="宋体"/>
              </w:rPr>
            </w:pPr>
            <w:r>
              <w:rPr>
                <w:rFonts w:hint="eastAsia" w:ascii="宋体" w:hAnsi="宋体"/>
              </w:rPr>
              <w:t>终止</w:t>
            </w:r>
          </w:p>
        </w:tc>
        <w:tc>
          <w:tcPr>
            <w:tcW w:w="832" w:type="pct"/>
            <w:vAlign w:val="center"/>
          </w:tcPr>
          <w:p w14:paraId="10A62F04">
            <w:pPr>
              <w:pStyle w:val="12"/>
              <w:jc w:val="center"/>
              <w:rPr>
                <w:rFonts w:ascii="宋体" w:hAnsi="宋体"/>
              </w:rPr>
            </w:pPr>
            <w:r>
              <w:rPr>
                <w:rFonts w:hint="eastAsia" w:ascii="宋体" w:hAnsi="宋体"/>
              </w:rPr>
              <w:t>—</w:t>
            </w:r>
          </w:p>
        </w:tc>
      </w:tr>
      <w:tr w14:paraId="05B21F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50342275">
            <w:pPr>
              <w:pStyle w:val="12"/>
              <w:jc w:val="center"/>
              <w:rPr>
                <w:rFonts w:ascii="宋体" w:hAnsi="宋体"/>
              </w:rPr>
            </w:pPr>
            <w:r>
              <w:rPr>
                <w:rFonts w:ascii="宋体" w:hAnsi="宋体"/>
              </w:rPr>
              <w:t>2001</w:t>
            </w:r>
          </w:p>
        </w:tc>
        <w:tc>
          <w:tcPr>
            <w:tcW w:w="925" w:type="pct"/>
            <w:vAlign w:val="center"/>
          </w:tcPr>
          <w:p w14:paraId="308D326D">
            <w:pPr>
              <w:pStyle w:val="12"/>
              <w:jc w:val="center"/>
              <w:rPr>
                <w:rFonts w:ascii="宋体" w:hAnsi="宋体"/>
              </w:rPr>
            </w:pPr>
            <w:r>
              <w:rPr>
                <w:rFonts w:ascii="宋体" w:hAnsi="宋体"/>
              </w:rPr>
              <w:t>—</w:t>
            </w:r>
          </w:p>
        </w:tc>
        <w:tc>
          <w:tcPr>
            <w:tcW w:w="853" w:type="pct"/>
            <w:vAlign w:val="center"/>
          </w:tcPr>
          <w:p w14:paraId="3DB1E76F">
            <w:pPr>
              <w:pStyle w:val="12"/>
              <w:jc w:val="center"/>
              <w:rPr>
                <w:rFonts w:ascii="宋体" w:hAnsi="宋体"/>
              </w:rPr>
            </w:pPr>
            <w:r>
              <w:rPr>
                <w:rFonts w:ascii="宋体" w:hAnsi="宋体"/>
              </w:rPr>
              <w:t>181.72</w:t>
            </w:r>
          </w:p>
        </w:tc>
        <w:tc>
          <w:tcPr>
            <w:tcW w:w="926" w:type="pct"/>
            <w:vAlign w:val="center"/>
          </w:tcPr>
          <w:p w14:paraId="07CB3B37">
            <w:pPr>
              <w:pStyle w:val="12"/>
              <w:jc w:val="center"/>
              <w:rPr>
                <w:rFonts w:ascii="宋体" w:hAnsi="宋体"/>
              </w:rPr>
            </w:pPr>
            <w:r>
              <w:rPr>
                <w:rFonts w:ascii="宋体" w:hAnsi="宋体"/>
              </w:rPr>
              <w:t>11325.75</w:t>
            </w:r>
          </w:p>
        </w:tc>
        <w:tc>
          <w:tcPr>
            <w:tcW w:w="769" w:type="pct"/>
            <w:vAlign w:val="center"/>
          </w:tcPr>
          <w:p w14:paraId="246E526E">
            <w:pPr>
              <w:pStyle w:val="12"/>
              <w:jc w:val="center"/>
              <w:rPr>
                <w:rFonts w:ascii="宋体" w:hAnsi="宋体"/>
              </w:rPr>
            </w:pPr>
            <w:r>
              <w:rPr>
                <w:rFonts w:ascii="宋体" w:hAnsi="宋体"/>
              </w:rPr>
              <w:t>—</w:t>
            </w:r>
          </w:p>
        </w:tc>
        <w:tc>
          <w:tcPr>
            <w:tcW w:w="832" w:type="pct"/>
            <w:vAlign w:val="center"/>
          </w:tcPr>
          <w:p w14:paraId="481AD560">
            <w:pPr>
              <w:pStyle w:val="12"/>
              <w:jc w:val="center"/>
              <w:rPr>
                <w:rFonts w:ascii="宋体" w:hAnsi="宋体"/>
              </w:rPr>
            </w:pPr>
            <w:r>
              <w:rPr>
                <w:rFonts w:ascii="宋体" w:hAnsi="宋体"/>
              </w:rPr>
              <w:t>—</w:t>
            </w:r>
          </w:p>
        </w:tc>
      </w:tr>
      <w:tr w14:paraId="4C787FB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14:paraId="28D2D816">
            <w:pPr>
              <w:pStyle w:val="12"/>
              <w:jc w:val="center"/>
              <w:rPr>
                <w:rFonts w:ascii="宋体" w:hAnsi="宋体"/>
              </w:rPr>
            </w:pPr>
            <w:r>
              <w:rPr>
                <w:rFonts w:ascii="宋体" w:hAnsi="宋体"/>
              </w:rPr>
              <w:t>2004</w:t>
            </w:r>
          </w:p>
        </w:tc>
        <w:tc>
          <w:tcPr>
            <w:tcW w:w="925" w:type="pct"/>
            <w:vAlign w:val="center"/>
          </w:tcPr>
          <w:p w14:paraId="391EB806">
            <w:pPr>
              <w:pStyle w:val="12"/>
              <w:jc w:val="center"/>
              <w:rPr>
                <w:rFonts w:ascii="宋体" w:hAnsi="宋体"/>
              </w:rPr>
            </w:pPr>
            <w:r>
              <w:rPr>
                <w:rFonts w:ascii="宋体" w:hAnsi="宋体"/>
              </w:rPr>
              <w:t>—</w:t>
            </w:r>
          </w:p>
        </w:tc>
        <w:tc>
          <w:tcPr>
            <w:tcW w:w="853" w:type="pct"/>
            <w:vAlign w:val="center"/>
          </w:tcPr>
          <w:p w14:paraId="5AF8183D">
            <w:pPr>
              <w:pStyle w:val="12"/>
              <w:jc w:val="center"/>
              <w:rPr>
                <w:rFonts w:ascii="宋体" w:hAnsi="宋体"/>
              </w:rPr>
            </w:pPr>
            <w:r>
              <w:rPr>
                <w:rFonts w:ascii="宋体" w:hAnsi="宋体"/>
              </w:rPr>
              <w:t>185.91</w:t>
            </w:r>
          </w:p>
        </w:tc>
        <w:tc>
          <w:tcPr>
            <w:tcW w:w="926" w:type="pct"/>
            <w:vAlign w:val="center"/>
          </w:tcPr>
          <w:p w14:paraId="5CBDE863">
            <w:pPr>
              <w:pStyle w:val="12"/>
              <w:jc w:val="center"/>
              <w:rPr>
                <w:rFonts w:ascii="宋体" w:hAnsi="宋体"/>
              </w:rPr>
            </w:pPr>
            <w:r>
              <w:rPr>
                <w:rFonts w:ascii="宋体" w:hAnsi="宋体"/>
              </w:rPr>
              <w:t>11967.31</w:t>
            </w:r>
          </w:p>
        </w:tc>
        <w:tc>
          <w:tcPr>
            <w:tcW w:w="769" w:type="pct"/>
            <w:vAlign w:val="center"/>
          </w:tcPr>
          <w:p w14:paraId="6E861CBA">
            <w:pPr>
              <w:pStyle w:val="12"/>
              <w:jc w:val="center"/>
              <w:rPr>
                <w:rFonts w:ascii="宋体" w:hAnsi="宋体"/>
              </w:rPr>
            </w:pPr>
            <w:r>
              <w:rPr>
                <w:rFonts w:ascii="宋体" w:hAnsi="宋体"/>
              </w:rPr>
              <w:t>—</w:t>
            </w:r>
          </w:p>
        </w:tc>
        <w:tc>
          <w:tcPr>
            <w:tcW w:w="832" w:type="pct"/>
            <w:vAlign w:val="center"/>
          </w:tcPr>
          <w:p w14:paraId="2E3505CA">
            <w:pPr>
              <w:pStyle w:val="12"/>
              <w:jc w:val="center"/>
              <w:rPr>
                <w:rFonts w:ascii="宋体" w:hAnsi="宋体"/>
              </w:rPr>
            </w:pPr>
            <w:r>
              <w:rPr>
                <w:rFonts w:ascii="宋体" w:hAnsi="宋体"/>
              </w:rPr>
              <w:t>—</w:t>
            </w:r>
          </w:p>
        </w:tc>
      </w:tr>
    </w:tbl>
    <w:p w14:paraId="5C47C850">
      <w:pPr>
        <w:tabs>
          <w:tab w:val="left" w:pos="3018"/>
        </w:tabs>
        <w:ind w:firstLine="0" w:firstLineChars="0"/>
        <w:jc w:val="center"/>
        <w:rPr>
          <w:rFonts w:ascii="宋体" w:hAnsi="宋体"/>
          <w:b/>
          <w:szCs w:val="21"/>
        </w:rPr>
      </w:pPr>
      <w:r>
        <w:rPr>
          <w:rFonts w:hint="eastAsia" w:ascii="宋体" w:hAnsi="宋体"/>
          <w:b/>
          <w:szCs w:val="21"/>
        </w:rPr>
        <w:t>南雄汽车站1987年客车运行</w:t>
      </w:r>
    </w:p>
    <w:p w14:paraId="7102743B">
      <w:pPr>
        <w:ind w:firstLine="0" w:firstLineChars="0"/>
        <w:rPr>
          <w:rFonts w:ascii="宋体" w:hAnsi="宋体"/>
          <w:b/>
        </w:rPr>
      </w:pPr>
      <w:r>
        <w:rPr>
          <w:rFonts w:hint="eastAsia" w:ascii="宋体" w:hAnsi="宋体"/>
          <w:b/>
        </w:rPr>
        <w:t>表3-6</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59"/>
        <w:gridCol w:w="1660"/>
        <w:gridCol w:w="1662"/>
        <w:gridCol w:w="1791"/>
        <w:gridCol w:w="1532"/>
        <w:gridCol w:w="1658"/>
      </w:tblGrid>
      <w:tr w14:paraId="280562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451FFCF2">
            <w:pPr>
              <w:pStyle w:val="12"/>
              <w:jc w:val="center"/>
              <w:rPr>
                <w:b/>
              </w:rPr>
            </w:pPr>
            <w:r>
              <w:rPr>
                <w:rFonts w:hint="eastAsia"/>
                <w:b/>
              </w:rPr>
              <w:t>起讫站</w:t>
            </w:r>
          </w:p>
        </w:tc>
        <w:tc>
          <w:tcPr>
            <w:tcW w:w="833" w:type="pct"/>
            <w:vAlign w:val="center"/>
          </w:tcPr>
          <w:p w14:paraId="78E4C04C">
            <w:pPr>
              <w:pStyle w:val="12"/>
              <w:jc w:val="center"/>
              <w:rPr>
                <w:b/>
              </w:rPr>
            </w:pPr>
            <w:r>
              <w:rPr>
                <w:rFonts w:hint="eastAsia"/>
                <w:b/>
              </w:rPr>
              <w:t>里程（公里）</w:t>
            </w:r>
          </w:p>
        </w:tc>
        <w:tc>
          <w:tcPr>
            <w:tcW w:w="834" w:type="pct"/>
            <w:vAlign w:val="center"/>
          </w:tcPr>
          <w:p w14:paraId="31FEFF10">
            <w:pPr>
              <w:pStyle w:val="12"/>
              <w:jc w:val="center"/>
              <w:rPr>
                <w:b/>
              </w:rPr>
            </w:pPr>
            <w:r>
              <w:rPr>
                <w:rFonts w:hint="eastAsia"/>
                <w:b/>
              </w:rPr>
              <w:t>每天开出班次</w:t>
            </w:r>
          </w:p>
        </w:tc>
        <w:tc>
          <w:tcPr>
            <w:tcW w:w="899" w:type="pct"/>
            <w:vAlign w:val="center"/>
          </w:tcPr>
          <w:p w14:paraId="21DA7A9A">
            <w:pPr>
              <w:pStyle w:val="12"/>
              <w:jc w:val="center"/>
              <w:rPr>
                <w:b/>
              </w:rPr>
            </w:pPr>
            <w:r>
              <w:rPr>
                <w:rFonts w:hint="eastAsia"/>
                <w:b/>
              </w:rPr>
              <w:t>起讫站</w:t>
            </w:r>
          </w:p>
        </w:tc>
        <w:tc>
          <w:tcPr>
            <w:tcW w:w="769" w:type="pct"/>
            <w:vAlign w:val="center"/>
          </w:tcPr>
          <w:p w14:paraId="6B496BD0">
            <w:pPr>
              <w:pStyle w:val="12"/>
              <w:jc w:val="center"/>
              <w:rPr>
                <w:b/>
              </w:rPr>
            </w:pPr>
            <w:r>
              <w:rPr>
                <w:rFonts w:hint="eastAsia"/>
                <w:b/>
              </w:rPr>
              <w:t>里程（公里）</w:t>
            </w:r>
          </w:p>
        </w:tc>
        <w:tc>
          <w:tcPr>
            <w:tcW w:w="832" w:type="pct"/>
            <w:vAlign w:val="center"/>
          </w:tcPr>
          <w:p w14:paraId="11A3FAF2">
            <w:pPr>
              <w:pStyle w:val="12"/>
              <w:jc w:val="center"/>
              <w:rPr>
                <w:b/>
              </w:rPr>
            </w:pPr>
            <w:r>
              <w:rPr>
                <w:rFonts w:hint="eastAsia"/>
                <w:b/>
              </w:rPr>
              <w:t>每天开出班次</w:t>
            </w:r>
          </w:p>
        </w:tc>
      </w:tr>
      <w:tr w14:paraId="6B612F1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69BDC780">
            <w:pPr>
              <w:pStyle w:val="12"/>
              <w:jc w:val="center"/>
            </w:pPr>
            <w:r>
              <w:rPr>
                <w:rFonts w:hint="eastAsia"/>
              </w:rPr>
              <w:t>南雄—广州</w:t>
            </w:r>
          </w:p>
        </w:tc>
        <w:tc>
          <w:tcPr>
            <w:tcW w:w="833" w:type="pct"/>
            <w:vAlign w:val="center"/>
          </w:tcPr>
          <w:p w14:paraId="24C4C229">
            <w:pPr>
              <w:pStyle w:val="12"/>
              <w:jc w:val="center"/>
            </w:pPr>
            <w:r>
              <w:rPr>
                <w:rFonts w:hint="eastAsia"/>
              </w:rPr>
              <w:t>364</w:t>
            </w:r>
          </w:p>
        </w:tc>
        <w:tc>
          <w:tcPr>
            <w:tcW w:w="834" w:type="pct"/>
            <w:vAlign w:val="center"/>
          </w:tcPr>
          <w:p w14:paraId="36DA13E8">
            <w:pPr>
              <w:pStyle w:val="12"/>
              <w:jc w:val="center"/>
            </w:pPr>
            <w:r>
              <w:rPr>
                <w:rFonts w:hint="eastAsia"/>
              </w:rPr>
              <w:t>1</w:t>
            </w:r>
          </w:p>
        </w:tc>
        <w:tc>
          <w:tcPr>
            <w:tcW w:w="899" w:type="pct"/>
            <w:vAlign w:val="center"/>
          </w:tcPr>
          <w:p w14:paraId="67B74908">
            <w:pPr>
              <w:pStyle w:val="12"/>
              <w:jc w:val="center"/>
            </w:pPr>
            <w:r>
              <w:rPr>
                <w:rFonts w:hint="eastAsia"/>
              </w:rPr>
              <w:t>南雄—黄坑</w:t>
            </w:r>
          </w:p>
        </w:tc>
        <w:tc>
          <w:tcPr>
            <w:tcW w:w="769" w:type="pct"/>
            <w:vAlign w:val="center"/>
          </w:tcPr>
          <w:p w14:paraId="52DEA14B">
            <w:pPr>
              <w:pStyle w:val="12"/>
              <w:jc w:val="center"/>
            </w:pPr>
            <w:r>
              <w:rPr>
                <w:rFonts w:hint="eastAsia"/>
              </w:rPr>
              <w:t>23</w:t>
            </w:r>
          </w:p>
        </w:tc>
        <w:tc>
          <w:tcPr>
            <w:tcW w:w="832" w:type="pct"/>
            <w:vAlign w:val="center"/>
          </w:tcPr>
          <w:p w14:paraId="5B232952">
            <w:pPr>
              <w:pStyle w:val="12"/>
              <w:jc w:val="center"/>
            </w:pPr>
            <w:r>
              <w:rPr>
                <w:rFonts w:hint="eastAsia"/>
              </w:rPr>
              <w:t>3</w:t>
            </w:r>
          </w:p>
        </w:tc>
      </w:tr>
      <w:tr w14:paraId="1ACAB0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29055595">
            <w:pPr>
              <w:pStyle w:val="12"/>
              <w:jc w:val="center"/>
            </w:pPr>
            <w:r>
              <w:rPr>
                <w:rFonts w:hint="eastAsia"/>
              </w:rPr>
              <w:t>南雄—兴宁</w:t>
            </w:r>
          </w:p>
        </w:tc>
        <w:tc>
          <w:tcPr>
            <w:tcW w:w="833" w:type="pct"/>
            <w:vAlign w:val="center"/>
          </w:tcPr>
          <w:p w14:paraId="315F2D50">
            <w:pPr>
              <w:pStyle w:val="12"/>
              <w:jc w:val="center"/>
            </w:pPr>
            <w:r>
              <w:rPr>
                <w:rFonts w:hint="eastAsia"/>
              </w:rPr>
              <w:t>400</w:t>
            </w:r>
          </w:p>
        </w:tc>
        <w:tc>
          <w:tcPr>
            <w:tcW w:w="834" w:type="pct"/>
            <w:vAlign w:val="center"/>
          </w:tcPr>
          <w:p w14:paraId="03724697">
            <w:pPr>
              <w:pStyle w:val="12"/>
              <w:jc w:val="center"/>
            </w:pPr>
            <w:r>
              <w:rPr>
                <w:rFonts w:hint="eastAsia"/>
              </w:rPr>
              <w:t>1（对开）</w:t>
            </w:r>
          </w:p>
        </w:tc>
        <w:tc>
          <w:tcPr>
            <w:tcW w:w="899" w:type="pct"/>
            <w:vAlign w:val="center"/>
          </w:tcPr>
          <w:p w14:paraId="157C515B">
            <w:pPr>
              <w:pStyle w:val="12"/>
              <w:jc w:val="center"/>
            </w:pPr>
            <w:r>
              <w:rPr>
                <w:rFonts w:hint="eastAsia"/>
              </w:rPr>
              <w:t>南雄—邓坊</w:t>
            </w:r>
          </w:p>
        </w:tc>
        <w:tc>
          <w:tcPr>
            <w:tcW w:w="769" w:type="pct"/>
            <w:vAlign w:val="center"/>
          </w:tcPr>
          <w:p w14:paraId="36C3D47B">
            <w:pPr>
              <w:pStyle w:val="12"/>
              <w:jc w:val="center"/>
            </w:pPr>
            <w:r>
              <w:rPr>
                <w:rFonts w:hint="eastAsia"/>
              </w:rPr>
              <w:t>26</w:t>
            </w:r>
          </w:p>
        </w:tc>
        <w:tc>
          <w:tcPr>
            <w:tcW w:w="832" w:type="pct"/>
            <w:vAlign w:val="center"/>
          </w:tcPr>
          <w:p w14:paraId="11ED40F6">
            <w:pPr>
              <w:pStyle w:val="12"/>
              <w:jc w:val="center"/>
            </w:pPr>
            <w:r>
              <w:rPr>
                <w:rFonts w:hint="eastAsia"/>
              </w:rPr>
              <w:t>2</w:t>
            </w:r>
          </w:p>
        </w:tc>
      </w:tr>
      <w:tr w14:paraId="2DDC66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084E6EE9">
            <w:pPr>
              <w:pStyle w:val="12"/>
              <w:jc w:val="center"/>
            </w:pPr>
            <w:r>
              <w:rPr>
                <w:rFonts w:hint="eastAsia"/>
              </w:rPr>
              <w:t>南雄—韶关</w:t>
            </w:r>
          </w:p>
        </w:tc>
        <w:tc>
          <w:tcPr>
            <w:tcW w:w="833" w:type="pct"/>
            <w:vAlign w:val="center"/>
          </w:tcPr>
          <w:p w14:paraId="42D97376">
            <w:pPr>
              <w:pStyle w:val="12"/>
              <w:jc w:val="center"/>
            </w:pPr>
            <w:r>
              <w:rPr>
                <w:rFonts w:hint="eastAsia"/>
              </w:rPr>
              <w:t>103</w:t>
            </w:r>
          </w:p>
        </w:tc>
        <w:tc>
          <w:tcPr>
            <w:tcW w:w="834" w:type="pct"/>
            <w:vAlign w:val="center"/>
          </w:tcPr>
          <w:p w14:paraId="2FE2C114">
            <w:pPr>
              <w:pStyle w:val="12"/>
              <w:jc w:val="center"/>
            </w:pPr>
            <w:r>
              <w:rPr>
                <w:rFonts w:hint="eastAsia"/>
              </w:rPr>
              <w:t>12</w:t>
            </w:r>
          </w:p>
        </w:tc>
        <w:tc>
          <w:tcPr>
            <w:tcW w:w="899" w:type="pct"/>
            <w:vAlign w:val="center"/>
          </w:tcPr>
          <w:p w14:paraId="541EDB16">
            <w:pPr>
              <w:pStyle w:val="12"/>
              <w:jc w:val="center"/>
            </w:pPr>
            <w:r>
              <w:rPr>
                <w:rFonts w:hint="eastAsia"/>
              </w:rPr>
              <w:t>南雄—江头</w:t>
            </w:r>
          </w:p>
        </w:tc>
        <w:tc>
          <w:tcPr>
            <w:tcW w:w="769" w:type="pct"/>
            <w:vAlign w:val="center"/>
          </w:tcPr>
          <w:p w14:paraId="68CA31A9">
            <w:pPr>
              <w:pStyle w:val="12"/>
              <w:jc w:val="center"/>
            </w:pPr>
            <w:r>
              <w:rPr>
                <w:rFonts w:hint="eastAsia"/>
              </w:rPr>
              <w:t>31</w:t>
            </w:r>
          </w:p>
        </w:tc>
        <w:tc>
          <w:tcPr>
            <w:tcW w:w="832" w:type="pct"/>
            <w:vAlign w:val="center"/>
          </w:tcPr>
          <w:p w14:paraId="106938FB">
            <w:pPr>
              <w:pStyle w:val="12"/>
              <w:jc w:val="center"/>
            </w:pPr>
            <w:r>
              <w:rPr>
                <w:rFonts w:hint="eastAsia"/>
              </w:rPr>
              <w:t>2</w:t>
            </w:r>
          </w:p>
        </w:tc>
      </w:tr>
      <w:tr w14:paraId="205EF6A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03EB5D58">
            <w:pPr>
              <w:pStyle w:val="12"/>
              <w:jc w:val="center"/>
            </w:pPr>
            <w:r>
              <w:rPr>
                <w:rFonts w:hint="eastAsia"/>
              </w:rPr>
              <w:t>南雄—乐昌</w:t>
            </w:r>
          </w:p>
        </w:tc>
        <w:tc>
          <w:tcPr>
            <w:tcW w:w="833" w:type="pct"/>
            <w:vAlign w:val="center"/>
          </w:tcPr>
          <w:p w14:paraId="429D5D4D">
            <w:pPr>
              <w:pStyle w:val="12"/>
              <w:jc w:val="center"/>
            </w:pPr>
            <w:r>
              <w:rPr>
                <w:rFonts w:hint="eastAsia"/>
              </w:rPr>
              <w:t>158</w:t>
            </w:r>
          </w:p>
        </w:tc>
        <w:tc>
          <w:tcPr>
            <w:tcW w:w="834" w:type="pct"/>
            <w:vAlign w:val="center"/>
          </w:tcPr>
          <w:p w14:paraId="17B4C742">
            <w:pPr>
              <w:pStyle w:val="12"/>
              <w:jc w:val="center"/>
            </w:pPr>
            <w:r>
              <w:rPr>
                <w:rFonts w:hint="eastAsia"/>
              </w:rPr>
              <w:t>2（对开）</w:t>
            </w:r>
          </w:p>
        </w:tc>
        <w:tc>
          <w:tcPr>
            <w:tcW w:w="899" w:type="pct"/>
            <w:vAlign w:val="center"/>
          </w:tcPr>
          <w:p w14:paraId="414DDB32">
            <w:pPr>
              <w:pStyle w:val="12"/>
              <w:jc w:val="center"/>
            </w:pPr>
            <w:r>
              <w:rPr>
                <w:rFonts w:hint="eastAsia"/>
              </w:rPr>
              <w:t>南雄—水口</w:t>
            </w:r>
          </w:p>
        </w:tc>
        <w:tc>
          <w:tcPr>
            <w:tcW w:w="769" w:type="pct"/>
            <w:vAlign w:val="center"/>
          </w:tcPr>
          <w:p w14:paraId="3C469A18">
            <w:pPr>
              <w:pStyle w:val="12"/>
              <w:jc w:val="center"/>
            </w:pPr>
            <w:r>
              <w:rPr>
                <w:rFonts w:hint="eastAsia"/>
              </w:rPr>
              <w:t>21</w:t>
            </w:r>
          </w:p>
        </w:tc>
        <w:tc>
          <w:tcPr>
            <w:tcW w:w="832" w:type="pct"/>
            <w:vAlign w:val="center"/>
          </w:tcPr>
          <w:p w14:paraId="7D8E7436">
            <w:pPr>
              <w:pStyle w:val="12"/>
              <w:jc w:val="center"/>
            </w:pPr>
            <w:r>
              <w:rPr>
                <w:rFonts w:hint="eastAsia"/>
              </w:rPr>
              <w:t>1</w:t>
            </w:r>
          </w:p>
        </w:tc>
      </w:tr>
      <w:tr w14:paraId="1592C6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2992F6D1">
            <w:pPr>
              <w:pStyle w:val="12"/>
              <w:jc w:val="center"/>
            </w:pPr>
            <w:r>
              <w:rPr>
                <w:rFonts w:hint="eastAsia"/>
              </w:rPr>
              <w:t>南雄—仁化</w:t>
            </w:r>
          </w:p>
        </w:tc>
        <w:tc>
          <w:tcPr>
            <w:tcW w:w="833" w:type="pct"/>
            <w:vAlign w:val="center"/>
          </w:tcPr>
          <w:p w14:paraId="7046D0A6">
            <w:pPr>
              <w:pStyle w:val="12"/>
              <w:jc w:val="center"/>
            </w:pPr>
            <w:r>
              <w:rPr>
                <w:rFonts w:hint="eastAsia"/>
              </w:rPr>
              <w:t>87</w:t>
            </w:r>
          </w:p>
        </w:tc>
        <w:tc>
          <w:tcPr>
            <w:tcW w:w="834" w:type="pct"/>
            <w:vAlign w:val="center"/>
          </w:tcPr>
          <w:p w14:paraId="30991E36">
            <w:pPr>
              <w:pStyle w:val="12"/>
              <w:jc w:val="center"/>
            </w:pPr>
            <w:r>
              <w:rPr>
                <w:rFonts w:hint="eastAsia"/>
              </w:rPr>
              <w:t>2（对开）</w:t>
            </w:r>
          </w:p>
        </w:tc>
        <w:tc>
          <w:tcPr>
            <w:tcW w:w="899" w:type="pct"/>
            <w:vAlign w:val="center"/>
          </w:tcPr>
          <w:p w14:paraId="79472900">
            <w:pPr>
              <w:pStyle w:val="12"/>
              <w:jc w:val="center"/>
            </w:pPr>
            <w:r>
              <w:rPr>
                <w:rFonts w:hint="eastAsia"/>
              </w:rPr>
              <w:t>南雄—南亩</w:t>
            </w:r>
          </w:p>
        </w:tc>
        <w:tc>
          <w:tcPr>
            <w:tcW w:w="769" w:type="pct"/>
            <w:vAlign w:val="center"/>
          </w:tcPr>
          <w:p w14:paraId="5F031787">
            <w:pPr>
              <w:pStyle w:val="12"/>
              <w:jc w:val="center"/>
            </w:pPr>
            <w:r>
              <w:rPr>
                <w:rFonts w:hint="eastAsia"/>
              </w:rPr>
              <w:t>30</w:t>
            </w:r>
          </w:p>
        </w:tc>
        <w:tc>
          <w:tcPr>
            <w:tcW w:w="832" w:type="pct"/>
            <w:vAlign w:val="center"/>
          </w:tcPr>
          <w:p w14:paraId="1D5E804D">
            <w:pPr>
              <w:pStyle w:val="12"/>
              <w:jc w:val="center"/>
            </w:pPr>
            <w:r>
              <w:rPr>
                <w:rFonts w:hint="eastAsia"/>
              </w:rPr>
              <w:t>2</w:t>
            </w:r>
          </w:p>
        </w:tc>
      </w:tr>
      <w:tr w14:paraId="52DAC9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26C9FE7C">
            <w:pPr>
              <w:pStyle w:val="12"/>
              <w:jc w:val="center"/>
            </w:pPr>
            <w:r>
              <w:rPr>
                <w:rFonts w:hint="eastAsia"/>
              </w:rPr>
              <w:t>南雄—始兴</w:t>
            </w:r>
          </w:p>
        </w:tc>
        <w:tc>
          <w:tcPr>
            <w:tcW w:w="833" w:type="pct"/>
            <w:vAlign w:val="center"/>
          </w:tcPr>
          <w:p w14:paraId="36215232">
            <w:pPr>
              <w:pStyle w:val="12"/>
              <w:jc w:val="center"/>
            </w:pPr>
            <w:r>
              <w:rPr>
                <w:rFonts w:hint="eastAsia"/>
              </w:rPr>
              <w:t>38</w:t>
            </w:r>
          </w:p>
        </w:tc>
        <w:tc>
          <w:tcPr>
            <w:tcW w:w="834" w:type="pct"/>
            <w:vAlign w:val="center"/>
          </w:tcPr>
          <w:p w14:paraId="0BA88668">
            <w:pPr>
              <w:pStyle w:val="12"/>
              <w:jc w:val="center"/>
            </w:pPr>
            <w:r>
              <w:rPr>
                <w:rFonts w:hint="eastAsia"/>
              </w:rPr>
              <w:t>2（对开）</w:t>
            </w:r>
          </w:p>
        </w:tc>
        <w:tc>
          <w:tcPr>
            <w:tcW w:w="899" w:type="pct"/>
            <w:vAlign w:val="center"/>
          </w:tcPr>
          <w:p w14:paraId="2DAD47A0">
            <w:pPr>
              <w:pStyle w:val="12"/>
              <w:jc w:val="center"/>
            </w:pPr>
            <w:r>
              <w:rPr>
                <w:rFonts w:hint="eastAsia"/>
              </w:rPr>
              <w:t>南雄—陂头</w:t>
            </w:r>
          </w:p>
        </w:tc>
        <w:tc>
          <w:tcPr>
            <w:tcW w:w="769" w:type="pct"/>
            <w:vAlign w:val="center"/>
          </w:tcPr>
          <w:p w14:paraId="1431ECA1">
            <w:pPr>
              <w:pStyle w:val="12"/>
              <w:jc w:val="center"/>
            </w:pPr>
            <w:r>
              <w:rPr>
                <w:rFonts w:hint="eastAsia"/>
              </w:rPr>
              <w:t>54</w:t>
            </w:r>
          </w:p>
        </w:tc>
        <w:tc>
          <w:tcPr>
            <w:tcW w:w="832" w:type="pct"/>
            <w:vAlign w:val="center"/>
          </w:tcPr>
          <w:p w14:paraId="3587725A">
            <w:pPr>
              <w:pStyle w:val="12"/>
              <w:jc w:val="center"/>
            </w:pPr>
            <w:r>
              <w:rPr>
                <w:rFonts w:hint="eastAsia"/>
              </w:rPr>
              <w:t>3</w:t>
            </w:r>
          </w:p>
        </w:tc>
      </w:tr>
      <w:tr w14:paraId="65E1D9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1BBA841F">
            <w:pPr>
              <w:pStyle w:val="12"/>
              <w:jc w:val="center"/>
            </w:pPr>
            <w:r>
              <w:rPr>
                <w:rFonts w:hint="eastAsia"/>
              </w:rPr>
              <w:t>南雄—赣州</w:t>
            </w:r>
          </w:p>
        </w:tc>
        <w:tc>
          <w:tcPr>
            <w:tcW w:w="833" w:type="pct"/>
            <w:vAlign w:val="center"/>
          </w:tcPr>
          <w:p w14:paraId="39B529EB">
            <w:pPr>
              <w:pStyle w:val="12"/>
              <w:jc w:val="center"/>
            </w:pPr>
            <w:r>
              <w:rPr>
                <w:rFonts w:hint="eastAsia"/>
              </w:rPr>
              <w:t>129</w:t>
            </w:r>
          </w:p>
        </w:tc>
        <w:tc>
          <w:tcPr>
            <w:tcW w:w="834" w:type="pct"/>
            <w:vAlign w:val="center"/>
          </w:tcPr>
          <w:p w14:paraId="2B89DAB2">
            <w:pPr>
              <w:pStyle w:val="12"/>
              <w:jc w:val="center"/>
            </w:pPr>
            <w:r>
              <w:rPr>
                <w:rFonts w:hint="eastAsia"/>
              </w:rPr>
              <w:t>2（对开）</w:t>
            </w:r>
          </w:p>
        </w:tc>
        <w:tc>
          <w:tcPr>
            <w:tcW w:w="899" w:type="pct"/>
            <w:vAlign w:val="center"/>
          </w:tcPr>
          <w:p w14:paraId="56DA0C9F">
            <w:pPr>
              <w:pStyle w:val="12"/>
              <w:jc w:val="center"/>
            </w:pPr>
            <w:r>
              <w:rPr>
                <w:rFonts w:hint="eastAsia"/>
              </w:rPr>
              <w:t>南雄—长市</w:t>
            </w:r>
          </w:p>
        </w:tc>
        <w:tc>
          <w:tcPr>
            <w:tcW w:w="769" w:type="pct"/>
            <w:vAlign w:val="center"/>
          </w:tcPr>
          <w:p w14:paraId="6378E150">
            <w:pPr>
              <w:pStyle w:val="12"/>
              <w:jc w:val="center"/>
            </w:pPr>
            <w:r>
              <w:rPr>
                <w:rFonts w:hint="eastAsia"/>
              </w:rPr>
              <w:t>13</w:t>
            </w:r>
          </w:p>
        </w:tc>
        <w:tc>
          <w:tcPr>
            <w:tcW w:w="832" w:type="pct"/>
            <w:vAlign w:val="center"/>
          </w:tcPr>
          <w:p w14:paraId="43590A1E">
            <w:pPr>
              <w:pStyle w:val="12"/>
              <w:jc w:val="center"/>
            </w:pPr>
            <w:r>
              <w:rPr>
                <w:rFonts w:hint="eastAsia"/>
              </w:rPr>
              <w:t>1</w:t>
            </w:r>
          </w:p>
        </w:tc>
      </w:tr>
      <w:tr w14:paraId="75158E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32793906">
            <w:pPr>
              <w:pStyle w:val="12"/>
              <w:jc w:val="center"/>
            </w:pPr>
            <w:r>
              <w:rPr>
                <w:rFonts w:hint="eastAsia"/>
              </w:rPr>
              <w:t>南雄—唐江</w:t>
            </w:r>
          </w:p>
        </w:tc>
        <w:tc>
          <w:tcPr>
            <w:tcW w:w="833" w:type="pct"/>
            <w:vAlign w:val="center"/>
          </w:tcPr>
          <w:p w14:paraId="20573460">
            <w:pPr>
              <w:pStyle w:val="12"/>
              <w:jc w:val="center"/>
            </w:pPr>
            <w:r>
              <w:rPr>
                <w:rFonts w:hint="eastAsia"/>
              </w:rPr>
              <w:t>114</w:t>
            </w:r>
          </w:p>
        </w:tc>
        <w:tc>
          <w:tcPr>
            <w:tcW w:w="834" w:type="pct"/>
            <w:vAlign w:val="center"/>
          </w:tcPr>
          <w:p w14:paraId="772B041D">
            <w:pPr>
              <w:pStyle w:val="12"/>
              <w:jc w:val="center"/>
            </w:pPr>
            <w:r>
              <w:rPr>
                <w:rFonts w:hint="eastAsia"/>
              </w:rPr>
              <w:t>1（轮开）</w:t>
            </w:r>
          </w:p>
        </w:tc>
        <w:tc>
          <w:tcPr>
            <w:tcW w:w="899" w:type="pct"/>
            <w:vAlign w:val="center"/>
          </w:tcPr>
          <w:p w14:paraId="2111B246">
            <w:pPr>
              <w:pStyle w:val="12"/>
              <w:jc w:val="center"/>
            </w:pPr>
            <w:r>
              <w:rPr>
                <w:rFonts w:hint="eastAsia"/>
              </w:rPr>
              <w:t>南雄—棉土窝矿</w:t>
            </w:r>
          </w:p>
        </w:tc>
        <w:tc>
          <w:tcPr>
            <w:tcW w:w="769" w:type="pct"/>
            <w:vAlign w:val="center"/>
          </w:tcPr>
          <w:p w14:paraId="16A1CF65">
            <w:pPr>
              <w:pStyle w:val="12"/>
              <w:jc w:val="center"/>
            </w:pPr>
            <w:r>
              <w:rPr>
                <w:rFonts w:hint="eastAsia"/>
              </w:rPr>
              <w:t>16</w:t>
            </w:r>
          </w:p>
        </w:tc>
        <w:tc>
          <w:tcPr>
            <w:tcW w:w="832" w:type="pct"/>
            <w:vAlign w:val="center"/>
          </w:tcPr>
          <w:p w14:paraId="317F3CE2">
            <w:pPr>
              <w:pStyle w:val="12"/>
              <w:jc w:val="center"/>
            </w:pPr>
            <w:r>
              <w:rPr>
                <w:rFonts w:hint="eastAsia"/>
              </w:rPr>
              <w:t>1</w:t>
            </w:r>
          </w:p>
        </w:tc>
      </w:tr>
      <w:tr w14:paraId="7A0ADC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3305BC73">
            <w:pPr>
              <w:pStyle w:val="12"/>
              <w:jc w:val="center"/>
            </w:pPr>
            <w:r>
              <w:rPr>
                <w:rFonts w:hint="eastAsia"/>
              </w:rPr>
              <w:t>南雄—南康</w:t>
            </w:r>
          </w:p>
        </w:tc>
        <w:tc>
          <w:tcPr>
            <w:tcW w:w="833" w:type="pct"/>
            <w:vAlign w:val="center"/>
          </w:tcPr>
          <w:p w14:paraId="5C35EE85">
            <w:pPr>
              <w:pStyle w:val="12"/>
              <w:jc w:val="center"/>
            </w:pPr>
            <w:r>
              <w:rPr>
                <w:rFonts w:hint="eastAsia"/>
              </w:rPr>
              <w:t>96</w:t>
            </w:r>
          </w:p>
        </w:tc>
        <w:tc>
          <w:tcPr>
            <w:tcW w:w="834" w:type="pct"/>
            <w:vAlign w:val="center"/>
          </w:tcPr>
          <w:p w14:paraId="33E5E80C">
            <w:pPr>
              <w:pStyle w:val="12"/>
              <w:jc w:val="center"/>
            </w:pPr>
            <w:r>
              <w:rPr>
                <w:rFonts w:hint="eastAsia"/>
              </w:rPr>
              <w:t>1（对开）</w:t>
            </w:r>
          </w:p>
        </w:tc>
        <w:tc>
          <w:tcPr>
            <w:tcW w:w="899" w:type="pct"/>
            <w:vAlign w:val="center"/>
          </w:tcPr>
          <w:p w14:paraId="214D4596">
            <w:pPr>
              <w:pStyle w:val="12"/>
              <w:jc w:val="center"/>
            </w:pPr>
            <w:r>
              <w:rPr>
                <w:rFonts w:hint="eastAsia"/>
              </w:rPr>
              <w:t>南雄—百顺</w:t>
            </w:r>
          </w:p>
        </w:tc>
        <w:tc>
          <w:tcPr>
            <w:tcW w:w="769" w:type="pct"/>
            <w:vAlign w:val="center"/>
          </w:tcPr>
          <w:p w14:paraId="1B868AB8">
            <w:pPr>
              <w:pStyle w:val="12"/>
              <w:jc w:val="center"/>
            </w:pPr>
            <w:r>
              <w:rPr>
                <w:rFonts w:hint="eastAsia"/>
              </w:rPr>
              <w:t>58</w:t>
            </w:r>
          </w:p>
        </w:tc>
        <w:tc>
          <w:tcPr>
            <w:tcW w:w="832" w:type="pct"/>
            <w:vAlign w:val="center"/>
          </w:tcPr>
          <w:p w14:paraId="530D5ECF">
            <w:pPr>
              <w:pStyle w:val="12"/>
              <w:jc w:val="center"/>
            </w:pPr>
            <w:r>
              <w:rPr>
                <w:rFonts w:hint="eastAsia"/>
              </w:rPr>
              <w:t>2</w:t>
            </w:r>
          </w:p>
        </w:tc>
      </w:tr>
      <w:tr w14:paraId="4B2F87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365701B3">
            <w:pPr>
              <w:pStyle w:val="12"/>
              <w:jc w:val="center"/>
            </w:pPr>
            <w:r>
              <w:rPr>
                <w:rFonts w:hint="eastAsia"/>
              </w:rPr>
              <w:t>南雄—大余</w:t>
            </w:r>
          </w:p>
        </w:tc>
        <w:tc>
          <w:tcPr>
            <w:tcW w:w="833" w:type="pct"/>
            <w:vAlign w:val="center"/>
          </w:tcPr>
          <w:p w14:paraId="7AB85BC5">
            <w:pPr>
              <w:pStyle w:val="12"/>
              <w:jc w:val="center"/>
            </w:pPr>
            <w:r>
              <w:rPr>
                <w:rFonts w:hint="eastAsia"/>
              </w:rPr>
              <w:t>41</w:t>
            </w:r>
          </w:p>
        </w:tc>
        <w:tc>
          <w:tcPr>
            <w:tcW w:w="834" w:type="pct"/>
            <w:vAlign w:val="center"/>
          </w:tcPr>
          <w:p w14:paraId="75F498B6">
            <w:pPr>
              <w:pStyle w:val="12"/>
              <w:jc w:val="center"/>
            </w:pPr>
            <w:r>
              <w:rPr>
                <w:rFonts w:hint="eastAsia"/>
              </w:rPr>
              <w:t>4（对开）</w:t>
            </w:r>
          </w:p>
        </w:tc>
        <w:tc>
          <w:tcPr>
            <w:tcW w:w="899" w:type="pct"/>
            <w:vAlign w:val="center"/>
          </w:tcPr>
          <w:p w14:paraId="64007178">
            <w:pPr>
              <w:pStyle w:val="12"/>
              <w:jc w:val="center"/>
            </w:pPr>
            <w:r>
              <w:rPr>
                <w:rFonts w:hint="eastAsia"/>
              </w:rPr>
              <w:t>南雄—澜河</w:t>
            </w:r>
          </w:p>
        </w:tc>
        <w:tc>
          <w:tcPr>
            <w:tcW w:w="769" w:type="pct"/>
            <w:vAlign w:val="center"/>
          </w:tcPr>
          <w:p w14:paraId="36E49B7D">
            <w:pPr>
              <w:pStyle w:val="12"/>
              <w:jc w:val="center"/>
            </w:pPr>
            <w:r>
              <w:rPr>
                <w:rFonts w:hint="eastAsia"/>
              </w:rPr>
              <w:t>35</w:t>
            </w:r>
          </w:p>
        </w:tc>
        <w:tc>
          <w:tcPr>
            <w:tcW w:w="832" w:type="pct"/>
            <w:vAlign w:val="center"/>
          </w:tcPr>
          <w:p w14:paraId="2EEA0B04">
            <w:pPr>
              <w:pStyle w:val="12"/>
              <w:jc w:val="center"/>
            </w:pPr>
            <w:r>
              <w:rPr>
                <w:rFonts w:hint="eastAsia"/>
              </w:rPr>
              <w:t>2</w:t>
            </w:r>
          </w:p>
        </w:tc>
      </w:tr>
      <w:tr w14:paraId="6E0426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362B00C8">
            <w:pPr>
              <w:pStyle w:val="12"/>
              <w:jc w:val="center"/>
            </w:pPr>
            <w:r>
              <w:rPr>
                <w:rFonts w:hint="eastAsia"/>
              </w:rPr>
              <w:t>南雄—坳上</w:t>
            </w:r>
          </w:p>
        </w:tc>
        <w:tc>
          <w:tcPr>
            <w:tcW w:w="833" w:type="pct"/>
            <w:vAlign w:val="center"/>
          </w:tcPr>
          <w:p w14:paraId="2F867D50">
            <w:pPr>
              <w:pStyle w:val="12"/>
              <w:jc w:val="center"/>
            </w:pPr>
            <w:r>
              <w:rPr>
                <w:rFonts w:hint="eastAsia"/>
              </w:rPr>
              <w:t>29</w:t>
            </w:r>
          </w:p>
        </w:tc>
        <w:tc>
          <w:tcPr>
            <w:tcW w:w="834" w:type="pct"/>
            <w:vAlign w:val="center"/>
          </w:tcPr>
          <w:p w14:paraId="2E104DBE">
            <w:pPr>
              <w:pStyle w:val="12"/>
              <w:jc w:val="center"/>
            </w:pPr>
            <w:r>
              <w:rPr>
                <w:rFonts w:hint="eastAsia"/>
              </w:rPr>
              <w:t>1</w:t>
            </w:r>
          </w:p>
        </w:tc>
        <w:tc>
          <w:tcPr>
            <w:tcW w:w="899" w:type="pct"/>
            <w:vAlign w:val="center"/>
          </w:tcPr>
          <w:p w14:paraId="6A35AD54">
            <w:pPr>
              <w:pStyle w:val="12"/>
              <w:jc w:val="center"/>
            </w:pPr>
            <w:r>
              <w:rPr>
                <w:rFonts w:hint="eastAsia"/>
              </w:rPr>
              <w:t>南雄—芳坑</w:t>
            </w:r>
          </w:p>
        </w:tc>
        <w:tc>
          <w:tcPr>
            <w:tcW w:w="769" w:type="pct"/>
            <w:vAlign w:val="center"/>
          </w:tcPr>
          <w:p w14:paraId="6408C23B">
            <w:pPr>
              <w:pStyle w:val="12"/>
              <w:jc w:val="center"/>
            </w:pPr>
            <w:r>
              <w:rPr>
                <w:rFonts w:hint="eastAsia"/>
              </w:rPr>
              <w:t>42</w:t>
            </w:r>
          </w:p>
        </w:tc>
        <w:tc>
          <w:tcPr>
            <w:tcW w:w="832" w:type="pct"/>
            <w:vAlign w:val="center"/>
          </w:tcPr>
          <w:p w14:paraId="231029F0">
            <w:pPr>
              <w:pStyle w:val="12"/>
              <w:jc w:val="center"/>
            </w:pPr>
            <w:r>
              <w:rPr>
                <w:rFonts w:hint="eastAsia"/>
              </w:rPr>
              <w:t>1</w:t>
            </w:r>
          </w:p>
        </w:tc>
      </w:tr>
      <w:tr w14:paraId="2BEA1C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1A9CF508">
            <w:pPr>
              <w:pStyle w:val="12"/>
              <w:jc w:val="center"/>
            </w:pPr>
            <w:r>
              <w:rPr>
                <w:rFonts w:hint="eastAsia"/>
              </w:rPr>
              <w:t>南雄—钟鼓岩</w:t>
            </w:r>
          </w:p>
        </w:tc>
        <w:tc>
          <w:tcPr>
            <w:tcW w:w="833" w:type="pct"/>
            <w:vAlign w:val="center"/>
          </w:tcPr>
          <w:p w14:paraId="7274E141">
            <w:pPr>
              <w:pStyle w:val="12"/>
              <w:jc w:val="center"/>
            </w:pPr>
            <w:r>
              <w:rPr>
                <w:rFonts w:hint="eastAsia"/>
              </w:rPr>
              <w:t>28</w:t>
            </w:r>
          </w:p>
        </w:tc>
        <w:tc>
          <w:tcPr>
            <w:tcW w:w="834" w:type="pct"/>
            <w:vAlign w:val="center"/>
          </w:tcPr>
          <w:p w14:paraId="5E660016">
            <w:pPr>
              <w:pStyle w:val="12"/>
              <w:jc w:val="center"/>
            </w:pPr>
            <w:r>
              <w:rPr>
                <w:rFonts w:hint="eastAsia"/>
              </w:rPr>
              <w:t>1</w:t>
            </w:r>
          </w:p>
        </w:tc>
        <w:tc>
          <w:tcPr>
            <w:tcW w:w="899" w:type="pct"/>
            <w:vAlign w:val="center"/>
          </w:tcPr>
          <w:p w14:paraId="5E59F4D0">
            <w:pPr>
              <w:pStyle w:val="12"/>
              <w:jc w:val="center"/>
            </w:pPr>
            <w:r>
              <w:rPr>
                <w:rFonts w:hint="eastAsia"/>
              </w:rPr>
              <w:t>南雄—洞头</w:t>
            </w:r>
          </w:p>
        </w:tc>
        <w:tc>
          <w:tcPr>
            <w:tcW w:w="769" w:type="pct"/>
            <w:vAlign w:val="center"/>
          </w:tcPr>
          <w:p w14:paraId="1995D6A6">
            <w:pPr>
              <w:pStyle w:val="12"/>
              <w:jc w:val="center"/>
            </w:pPr>
            <w:r>
              <w:rPr>
                <w:rFonts w:hint="eastAsia"/>
              </w:rPr>
              <w:t>30</w:t>
            </w:r>
          </w:p>
        </w:tc>
        <w:tc>
          <w:tcPr>
            <w:tcW w:w="832" w:type="pct"/>
            <w:vAlign w:val="center"/>
          </w:tcPr>
          <w:p w14:paraId="57F2B0C9">
            <w:pPr>
              <w:pStyle w:val="12"/>
              <w:jc w:val="center"/>
            </w:pPr>
            <w:r>
              <w:rPr>
                <w:rFonts w:hint="eastAsia"/>
              </w:rPr>
              <w:t>1</w:t>
            </w:r>
          </w:p>
        </w:tc>
      </w:tr>
      <w:tr w14:paraId="0C7D31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7FB49CF9">
            <w:pPr>
              <w:pStyle w:val="12"/>
              <w:jc w:val="center"/>
            </w:pPr>
            <w:r>
              <w:rPr>
                <w:rFonts w:hint="eastAsia"/>
              </w:rPr>
              <w:t>南雄—和平</w:t>
            </w:r>
          </w:p>
        </w:tc>
        <w:tc>
          <w:tcPr>
            <w:tcW w:w="833" w:type="pct"/>
            <w:vAlign w:val="center"/>
          </w:tcPr>
          <w:p w14:paraId="34E601A6">
            <w:pPr>
              <w:pStyle w:val="12"/>
              <w:jc w:val="center"/>
            </w:pPr>
            <w:r>
              <w:rPr>
                <w:rFonts w:hint="eastAsia"/>
              </w:rPr>
              <w:t>253</w:t>
            </w:r>
          </w:p>
        </w:tc>
        <w:tc>
          <w:tcPr>
            <w:tcW w:w="834" w:type="pct"/>
            <w:vAlign w:val="center"/>
          </w:tcPr>
          <w:p w14:paraId="60970F98">
            <w:pPr>
              <w:pStyle w:val="12"/>
              <w:jc w:val="center"/>
            </w:pPr>
            <w:r>
              <w:rPr>
                <w:rFonts w:hint="eastAsia"/>
              </w:rPr>
              <w:t>隔天班</w:t>
            </w:r>
          </w:p>
        </w:tc>
        <w:tc>
          <w:tcPr>
            <w:tcW w:w="899" w:type="pct"/>
            <w:vAlign w:val="center"/>
          </w:tcPr>
          <w:p w14:paraId="78EE1E4A">
            <w:pPr>
              <w:pStyle w:val="12"/>
              <w:jc w:val="center"/>
            </w:pPr>
            <w:r>
              <w:rPr>
                <w:rFonts w:hint="eastAsia"/>
              </w:rPr>
              <w:t>南雄—大坪</w:t>
            </w:r>
          </w:p>
        </w:tc>
        <w:tc>
          <w:tcPr>
            <w:tcW w:w="769" w:type="pct"/>
            <w:vAlign w:val="center"/>
          </w:tcPr>
          <w:p w14:paraId="6EB67DC8">
            <w:pPr>
              <w:pStyle w:val="12"/>
              <w:jc w:val="center"/>
            </w:pPr>
            <w:r>
              <w:rPr>
                <w:rFonts w:hint="eastAsia"/>
              </w:rPr>
              <w:t>27</w:t>
            </w:r>
          </w:p>
        </w:tc>
        <w:tc>
          <w:tcPr>
            <w:tcW w:w="832" w:type="pct"/>
            <w:vAlign w:val="center"/>
          </w:tcPr>
          <w:p w14:paraId="10DF7A8B">
            <w:pPr>
              <w:pStyle w:val="12"/>
              <w:jc w:val="center"/>
            </w:pPr>
            <w:r>
              <w:rPr>
                <w:rFonts w:hint="eastAsia"/>
              </w:rPr>
              <w:t>1</w:t>
            </w:r>
          </w:p>
        </w:tc>
      </w:tr>
      <w:tr w14:paraId="38115E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54676841">
            <w:pPr>
              <w:pStyle w:val="12"/>
              <w:jc w:val="center"/>
            </w:pPr>
            <w:r>
              <w:rPr>
                <w:rFonts w:hint="eastAsia"/>
              </w:rPr>
              <w:t>南雄—信丰</w:t>
            </w:r>
          </w:p>
        </w:tc>
        <w:tc>
          <w:tcPr>
            <w:tcW w:w="833" w:type="pct"/>
            <w:vAlign w:val="center"/>
          </w:tcPr>
          <w:p w14:paraId="2B7869EE">
            <w:pPr>
              <w:pStyle w:val="12"/>
              <w:jc w:val="center"/>
            </w:pPr>
            <w:r>
              <w:rPr>
                <w:rFonts w:hint="eastAsia"/>
              </w:rPr>
              <w:t>78</w:t>
            </w:r>
          </w:p>
        </w:tc>
        <w:tc>
          <w:tcPr>
            <w:tcW w:w="834" w:type="pct"/>
            <w:vAlign w:val="center"/>
          </w:tcPr>
          <w:p w14:paraId="15FF4D81">
            <w:pPr>
              <w:pStyle w:val="12"/>
              <w:jc w:val="center"/>
            </w:pPr>
            <w:r>
              <w:rPr>
                <w:rFonts w:hint="eastAsia"/>
              </w:rPr>
              <w:t>2（对开）</w:t>
            </w:r>
          </w:p>
        </w:tc>
        <w:tc>
          <w:tcPr>
            <w:tcW w:w="899" w:type="pct"/>
            <w:vAlign w:val="center"/>
          </w:tcPr>
          <w:p w14:paraId="56490CFA">
            <w:pPr>
              <w:pStyle w:val="12"/>
              <w:jc w:val="center"/>
            </w:pPr>
            <w:r>
              <w:rPr>
                <w:rFonts w:hint="eastAsia"/>
              </w:rPr>
              <w:t>乌迳—韶关</w:t>
            </w:r>
          </w:p>
        </w:tc>
        <w:tc>
          <w:tcPr>
            <w:tcW w:w="769" w:type="pct"/>
            <w:vAlign w:val="center"/>
          </w:tcPr>
          <w:p w14:paraId="13C4CE97">
            <w:pPr>
              <w:pStyle w:val="12"/>
              <w:jc w:val="center"/>
            </w:pPr>
            <w:r>
              <w:rPr>
                <w:rFonts w:hint="eastAsia"/>
              </w:rPr>
              <w:t>138</w:t>
            </w:r>
          </w:p>
        </w:tc>
        <w:tc>
          <w:tcPr>
            <w:tcW w:w="832" w:type="pct"/>
            <w:vAlign w:val="center"/>
          </w:tcPr>
          <w:p w14:paraId="35B86E46">
            <w:pPr>
              <w:pStyle w:val="12"/>
              <w:jc w:val="center"/>
            </w:pPr>
            <w:r>
              <w:rPr>
                <w:rFonts w:hint="eastAsia"/>
              </w:rPr>
              <w:t>2</w:t>
            </w:r>
          </w:p>
        </w:tc>
      </w:tr>
      <w:tr w14:paraId="0995F8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64EF08A0">
            <w:pPr>
              <w:pStyle w:val="12"/>
              <w:jc w:val="center"/>
            </w:pPr>
            <w:r>
              <w:rPr>
                <w:rFonts w:hint="eastAsia"/>
              </w:rPr>
              <w:t>南雄—界址</w:t>
            </w:r>
          </w:p>
        </w:tc>
        <w:tc>
          <w:tcPr>
            <w:tcW w:w="833" w:type="pct"/>
            <w:vAlign w:val="center"/>
          </w:tcPr>
          <w:p w14:paraId="2D3FBB96">
            <w:pPr>
              <w:pStyle w:val="12"/>
              <w:jc w:val="center"/>
            </w:pPr>
            <w:r>
              <w:rPr>
                <w:rFonts w:hint="eastAsia"/>
              </w:rPr>
              <w:t>56</w:t>
            </w:r>
          </w:p>
        </w:tc>
        <w:tc>
          <w:tcPr>
            <w:tcW w:w="834" w:type="pct"/>
            <w:vAlign w:val="center"/>
          </w:tcPr>
          <w:p w14:paraId="69913E0D">
            <w:pPr>
              <w:pStyle w:val="12"/>
              <w:jc w:val="center"/>
            </w:pPr>
            <w:r>
              <w:rPr>
                <w:rFonts w:hint="eastAsia"/>
              </w:rPr>
              <w:t>1</w:t>
            </w:r>
          </w:p>
        </w:tc>
        <w:tc>
          <w:tcPr>
            <w:tcW w:w="899" w:type="pct"/>
            <w:vAlign w:val="center"/>
          </w:tcPr>
          <w:p w14:paraId="7E39B1D9">
            <w:pPr>
              <w:pStyle w:val="12"/>
              <w:jc w:val="center"/>
            </w:pPr>
            <w:r>
              <w:rPr>
                <w:rFonts w:hint="eastAsia"/>
              </w:rPr>
              <w:t>界址—韶关</w:t>
            </w:r>
          </w:p>
        </w:tc>
        <w:tc>
          <w:tcPr>
            <w:tcW w:w="769" w:type="pct"/>
            <w:vAlign w:val="center"/>
          </w:tcPr>
          <w:p w14:paraId="380C9865">
            <w:pPr>
              <w:pStyle w:val="12"/>
              <w:jc w:val="center"/>
            </w:pPr>
            <w:r>
              <w:rPr>
                <w:rFonts w:hint="eastAsia"/>
              </w:rPr>
              <w:t>159</w:t>
            </w:r>
          </w:p>
        </w:tc>
        <w:tc>
          <w:tcPr>
            <w:tcW w:w="832" w:type="pct"/>
            <w:vAlign w:val="center"/>
          </w:tcPr>
          <w:p w14:paraId="4B31241F">
            <w:pPr>
              <w:pStyle w:val="12"/>
              <w:jc w:val="center"/>
            </w:pPr>
            <w:r>
              <w:rPr>
                <w:rFonts w:hint="eastAsia"/>
              </w:rPr>
              <w:t>1</w:t>
            </w:r>
          </w:p>
        </w:tc>
      </w:tr>
      <w:tr w14:paraId="18388F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1D537F49">
            <w:pPr>
              <w:pStyle w:val="12"/>
              <w:jc w:val="center"/>
            </w:pPr>
            <w:r>
              <w:rPr>
                <w:rFonts w:hint="eastAsia"/>
              </w:rPr>
              <w:t>南雄—孔江</w:t>
            </w:r>
          </w:p>
        </w:tc>
        <w:tc>
          <w:tcPr>
            <w:tcW w:w="833" w:type="pct"/>
            <w:vAlign w:val="center"/>
          </w:tcPr>
          <w:p w14:paraId="60CFC3BF">
            <w:pPr>
              <w:pStyle w:val="12"/>
              <w:jc w:val="center"/>
            </w:pPr>
            <w:r>
              <w:rPr>
                <w:rFonts w:hint="eastAsia"/>
              </w:rPr>
              <w:t>39</w:t>
            </w:r>
          </w:p>
        </w:tc>
        <w:tc>
          <w:tcPr>
            <w:tcW w:w="834" w:type="pct"/>
            <w:vAlign w:val="center"/>
          </w:tcPr>
          <w:p w14:paraId="0BBBD83C">
            <w:pPr>
              <w:pStyle w:val="12"/>
              <w:jc w:val="center"/>
            </w:pPr>
            <w:r>
              <w:rPr>
                <w:rFonts w:hint="eastAsia"/>
              </w:rPr>
              <w:t>1</w:t>
            </w:r>
          </w:p>
        </w:tc>
        <w:tc>
          <w:tcPr>
            <w:tcW w:w="899" w:type="pct"/>
            <w:vAlign w:val="center"/>
          </w:tcPr>
          <w:p w14:paraId="6209D066">
            <w:pPr>
              <w:pStyle w:val="12"/>
              <w:jc w:val="center"/>
            </w:pPr>
            <w:r>
              <w:rPr>
                <w:rFonts w:hint="eastAsia"/>
              </w:rPr>
              <w:t>韶关—界址</w:t>
            </w:r>
          </w:p>
        </w:tc>
        <w:tc>
          <w:tcPr>
            <w:tcW w:w="769" w:type="pct"/>
            <w:vAlign w:val="center"/>
          </w:tcPr>
          <w:p w14:paraId="725B3F42">
            <w:pPr>
              <w:pStyle w:val="12"/>
              <w:jc w:val="center"/>
            </w:pPr>
            <w:r>
              <w:rPr>
                <w:rFonts w:hint="eastAsia"/>
              </w:rPr>
              <w:t>159</w:t>
            </w:r>
          </w:p>
        </w:tc>
        <w:tc>
          <w:tcPr>
            <w:tcW w:w="832" w:type="pct"/>
            <w:vAlign w:val="center"/>
          </w:tcPr>
          <w:p w14:paraId="20DE2F7E">
            <w:pPr>
              <w:pStyle w:val="12"/>
              <w:jc w:val="center"/>
            </w:pPr>
            <w:r>
              <w:rPr>
                <w:rFonts w:hint="eastAsia"/>
              </w:rPr>
              <w:t>1</w:t>
            </w:r>
          </w:p>
        </w:tc>
      </w:tr>
      <w:tr w14:paraId="5CCEC63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0476E339">
            <w:pPr>
              <w:pStyle w:val="12"/>
              <w:jc w:val="center"/>
            </w:pPr>
            <w:r>
              <w:rPr>
                <w:rFonts w:hint="eastAsia"/>
              </w:rPr>
              <w:t>南雄—乌迳</w:t>
            </w:r>
          </w:p>
        </w:tc>
        <w:tc>
          <w:tcPr>
            <w:tcW w:w="833" w:type="pct"/>
            <w:vAlign w:val="center"/>
          </w:tcPr>
          <w:p w14:paraId="495A6464">
            <w:pPr>
              <w:pStyle w:val="12"/>
              <w:jc w:val="center"/>
            </w:pPr>
            <w:r>
              <w:rPr>
                <w:rFonts w:hint="eastAsia"/>
              </w:rPr>
              <w:t>35</w:t>
            </w:r>
          </w:p>
        </w:tc>
        <w:tc>
          <w:tcPr>
            <w:tcW w:w="834" w:type="pct"/>
            <w:vAlign w:val="center"/>
          </w:tcPr>
          <w:p w14:paraId="4CD8BF2B">
            <w:pPr>
              <w:pStyle w:val="12"/>
              <w:jc w:val="center"/>
            </w:pPr>
            <w:r>
              <w:rPr>
                <w:rFonts w:hint="eastAsia"/>
              </w:rPr>
              <w:t>3</w:t>
            </w:r>
          </w:p>
        </w:tc>
        <w:tc>
          <w:tcPr>
            <w:tcW w:w="899" w:type="pct"/>
            <w:vAlign w:val="center"/>
          </w:tcPr>
          <w:p w14:paraId="0F3ACC3C">
            <w:pPr>
              <w:pStyle w:val="12"/>
              <w:jc w:val="center"/>
            </w:pPr>
            <w:r>
              <w:rPr>
                <w:rFonts w:hint="eastAsia"/>
              </w:rPr>
              <w:t>车站—氮肥厂</w:t>
            </w:r>
          </w:p>
        </w:tc>
        <w:tc>
          <w:tcPr>
            <w:tcW w:w="769" w:type="pct"/>
            <w:vAlign w:val="center"/>
          </w:tcPr>
          <w:p w14:paraId="7AC3460A">
            <w:pPr>
              <w:pStyle w:val="12"/>
              <w:jc w:val="center"/>
            </w:pPr>
            <w:r>
              <w:rPr>
                <w:rFonts w:hint="eastAsia"/>
              </w:rPr>
              <w:t>4</w:t>
            </w:r>
          </w:p>
        </w:tc>
        <w:tc>
          <w:tcPr>
            <w:tcW w:w="832" w:type="pct"/>
            <w:vAlign w:val="center"/>
          </w:tcPr>
          <w:p w14:paraId="5023EA58">
            <w:pPr>
              <w:pStyle w:val="12"/>
              <w:jc w:val="center"/>
            </w:pPr>
            <w:r>
              <w:rPr>
                <w:rFonts w:hint="eastAsia"/>
              </w:rPr>
              <w:t>34</w:t>
            </w:r>
          </w:p>
        </w:tc>
      </w:tr>
      <w:tr w14:paraId="4DC053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15376B46">
            <w:pPr>
              <w:pStyle w:val="12"/>
              <w:jc w:val="center"/>
            </w:pPr>
            <w:r>
              <w:rPr>
                <w:rFonts w:hint="eastAsia"/>
              </w:rPr>
              <w:t>南雄—坪田</w:t>
            </w:r>
          </w:p>
        </w:tc>
        <w:tc>
          <w:tcPr>
            <w:tcW w:w="833" w:type="pct"/>
            <w:vAlign w:val="center"/>
          </w:tcPr>
          <w:p w14:paraId="0CAB3E16">
            <w:pPr>
              <w:pStyle w:val="12"/>
              <w:jc w:val="center"/>
            </w:pPr>
            <w:r>
              <w:rPr>
                <w:rFonts w:hint="eastAsia"/>
              </w:rPr>
              <w:t>59</w:t>
            </w:r>
          </w:p>
        </w:tc>
        <w:tc>
          <w:tcPr>
            <w:tcW w:w="834" w:type="pct"/>
            <w:vAlign w:val="center"/>
          </w:tcPr>
          <w:p w14:paraId="080217AA">
            <w:pPr>
              <w:pStyle w:val="12"/>
              <w:jc w:val="center"/>
            </w:pPr>
            <w:r>
              <w:rPr>
                <w:rFonts w:hint="eastAsia"/>
              </w:rPr>
              <w:t>2</w:t>
            </w:r>
          </w:p>
        </w:tc>
        <w:tc>
          <w:tcPr>
            <w:tcW w:w="899" w:type="pct"/>
            <w:vAlign w:val="center"/>
          </w:tcPr>
          <w:p w14:paraId="5F278A9B">
            <w:pPr>
              <w:pStyle w:val="12"/>
              <w:jc w:val="center"/>
            </w:pPr>
            <w:r>
              <w:rPr>
                <w:rFonts w:hint="eastAsia"/>
              </w:rPr>
              <w:t>澜河—韶关</w:t>
            </w:r>
          </w:p>
        </w:tc>
        <w:tc>
          <w:tcPr>
            <w:tcW w:w="769" w:type="pct"/>
            <w:vAlign w:val="center"/>
          </w:tcPr>
          <w:p w14:paraId="10CCAF1F">
            <w:pPr>
              <w:pStyle w:val="12"/>
              <w:jc w:val="center"/>
            </w:pPr>
            <w:r>
              <w:rPr>
                <w:rFonts w:hint="eastAsia"/>
              </w:rPr>
              <w:t>138</w:t>
            </w:r>
          </w:p>
        </w:tc>
        <w:tc>
          <w:tcPr>
            <w:tcW w:w="832" w:type="pct"/>
            <w:vAlign w:val="center"/>
          </w:tcPr>
          <w:p w14:paraId="7654C355">
            <w:pPr>
              <w:pStyle w:val="12"/>
              <w:jc w:val="center"/>
            </w:pPr>
            <w:r>
              <w:rPr>
                <w:rFonts w:hint="eastAsia"/>
              </w:rPr>
              <w:t>1</w:t>
            </w:r>
          </w:p>
        </w:tc>
      </w:tr>
      <w:tr w14:paraId="21933D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55EC7827">
            <w:pPr>
              <w:pStyle w:val="12"/>
              <w:jc w:val="center"/>
            </w:pPr>
            <w:r>
              <w:rPr>
                <w:rFonts w:hint="eastAsia"/>
              </w:rPr>
              <w:t>南雄—老龙</w:t>
            </w:r>
          </w:p>
        </w:tc>
        <w:tc>
          <w:tcPr>
            <w:tcW w:w="833" w:type="pct"/>
            <w:vAlign w:val="center"/>
          </w:tcPr>
          <w:p w14:paraId="534B24E4">
            <w:pPr>
              <w:pStyle w:val="12"/>
              <w:jc w:val="center"/>
            </w:pPr>
            <w:r>
              <w:rPr>
                <w:rFonts w:hint="eastAsia"/>
              </w:rPr>
              <w:t>43</w:t>
            </w:r>
          </w:p>
        </w:tc>
        <w:tc>
          <w:tcPr>
            <w:tcW w:w="834" w:type="pct"/>
            <w:vAlign w:val="center"/>
          </w:tcPr>
          <w:p w14:paraId="18012404">
            <w:pPr>
              <w:pStyle w:val="12"/>
              <w:jc w:val="center"/>
            </w:pPr>
            <w:r>
              <w:rPr>
                <w:rFonts w:hint="eastAsia"/>
              </w:rPr>
              <w:t>1</w:t>
            </w:r>
          </w:p>
        </w:tc>
        <w:tc>
          <w:tcPr>
            <w:tcW w:w="899" w:type="pct"/>
            <w:vAlign w:val="center"/>
          </w:tcPr>
          <w:p w14:paraId="26A12C44">
            <w:pPr>
              <w:pStyle w:val="12"/>
              <w:jc w:val="center"/>
            </w:pPr>
            <w:r>
              <w:rPr>
                <w:rFonts w:hint="eastAsia"/>
              </w:rPr>
              <w:t>百顺—韶关</w:t>
            </w:r>
          </w:p>
        </w:tc>
        <w:tc>
          <w:tcPr>
            <w:tcW w:w="769" w:type="pct"/>
            <w:vAlign w:val="center"/>
          </w:tcPr>
          <w:p w14:paraId="0359D5E8">
            <w:pPr>
              <w:pStyle w:val="12"/>
              <w:jc w:val="center"/>
            </w:pPr>
            <w:r>
              <w:rPr>
                <w:rFonts w:hint="eastAsia"/>
              </w:rPr>
              <w:t>129</w:t>
            </w:r>
          </w:p>
        </w:tc>
        <w:tc>
          <w:tcPr>
            <w:tcW w:w="832" w:type="pct"/>
            <w:vAlign w:val="center"/>
          </w:tcPr>
          <w:p w14:paraId="02B647D3">
            <w:pPr>
              <w:pStyle w:val="12"/>
              <w:jc w:val="center"/>
            </w:pPr>
            <w:r>
              <w:rPr>
                <w:rFonts w:hint="eastAsia"/>
              </w:rPr>
              <w:t>1</w:t>
            </w:r>
          </w:p>
        </w:tc>
      </w:tr>
      <w:tr w14:paraId="1755C1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258ABD10">
            <w:pPr>
              <w:pStyle w:val="12"/>
              <w:jc w:val="center"/>
            </w:pPr>
            <w:r>
              <w:rPr>
                <w:rFonts w:hint="eastAsia"/>
              </w:rPr>
              <w:t>南雄—坪田坳</w:t>
            </w:r>
          </w:p>
        </w:tc>
        <w:tc>
          <w:tcPr>
            <w:tcW w:w="833" w:type="pct"/>
            <w:vAlign w:val="center"/>
          </w:tcPr>
          <w:p w14:paraId="2238BE59">
            <w:pPr>
              <w:pStyle w:val="12"/>
              <w:jc w:val="center"/>
            </w:pPr>
            <w:r>
              <w:rPr>
                <w:rFonts w:hint="eastAsia"/>
              </w:rPr>
              <w:t>40</w:t>
            </w:r>
          </w:p>
        </w:tc>
        <w:tc>
          <w:tcPr>
            <w:tcW w:w="834" w:type="pct"/>
            <w:vAlign w:val="center"/>
          </w:tcPr>
          <w:p w14:paraId="763A765F">
            <w:pPr>
              <w:pStyle w:val="12"/>
              <w:jc w:val="center"/>
            </w:pPr>
            <w:r>
              <w:rPr>
                <w:rFonts w:hint="eastAsia"/>
              </w:rPr>
              <w:t>1</w:t>
            </w:r>
          </w:p>
        </w:tc>
        <w:tc>
          <w:tcPr>
            <w:tcW w:w="899" w:type="pct"/>
            <w:vAlign w:val="center"/>
          </w:tcPr>
          <w:p w14:paraId="495E9CD2">
            <w:pPr>
              <w:pStyle w:val="12"/>
              <w:jc w:val="center"/>
            </w:pPr>
            <w:r>
              <w:rPr>
                <w:rFonts w:hint="eastAsia"/>
              </w:rPr>
              <w:t>南雄—瀑布电站</w:t>
            </w:r>
          </w:p>
        </w:tc>
        <w:tc>
          <w:tcPr>
            <w:tcW w:w="769" w:type="pct"/>
            <w:vAlign w:val="center"/>
          </w:tcPr>
          <w:p w14:paraId="374B5455">
            <w:pPr>
              <w:pStyle w:val="12"/>
              <w:jc w:val="center"/>
            </w:pPr>
            <w:r>
              <w:rPr>
                <w:rFonts w:hint="eastAsia"/>
              </w:rPr>
              <w:t>10</w:t>
            </w:r>
          </w:p>
        </w:tc>
        <w:tc>
          <w:tcPr>
            <w:tcW w:w="832" w:type="pct"/>
            <w:vAlign w:val="center"/>
          </w:tcPr>
          <w:p w14:paraId="042B775E">
            <w:pPr>
              <w:pStyle w:val="12"/>
              <w:jc w:val="center"/>
            </w:pPr>
            <w:r>
              <w:rPr>
                <w:rFonts w:hint="eastAsia"/>
              </w:rPr>
              <w:t>1</w:t>
            </w:r>
          </w:p>
        </w:tc>
      </w:tr>
      <w:tr w14:paraId="7D622F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7420EC79">
            <w:pPr>
              <w:pStyle w:val="12"/>
              <w:jc w:val="center"/>
            </w:pPr>
            <w:r>
              <w:rPr>
                <w:rFonts w:hint="eastAsia"/>
              </w:rPr>
              <w:t>南雄—大塘</w:t>
            </w:r>
          </w:p>
        </w:tc>
        <w:tc>
          <w:tcPr>
            <w:tcW w:w="833" w:type="pct"/>
            <w:vAlign w:val="center"/>
          </w:tcPr>
          <w:p w14:paraId="27EA4467">
            <w:pPr>
              <w:pStyle w:val="12"/>
              <w:jc w:val="center"/>
            </w:pPr>
            <w:r>
              <w:rPr>
                <w:rFonts w:hint="eastAsia"/>
              </w:rPr>
              <w:t>30</w:t>
            </w:r>
          </w:p>
        </w:tc>
        <w:tc>
          <w:tcPr>
            <w:tcW w:w="834" w:type="pct"/>
            <w:vAlign w:val="center"/>
          </w:tcPr>
          <w:p w14:paraId="536C4C8F">
            <w:pPr>
              <w:pStyle w:val="12"/>
              <w:jc w:val="center"/>
            </w:pPr>
            <w:r>
              <w:rPr>
                <w:rFonts w:hint="eastAsia"/>
              </w:rPr>
              <w:t>2</w:t>
            </w:r>
          </w:p>
        </w:tc>
        <w:tc>
          <w:tcPr>
            <w:tcW w:w="899" w:type="pct"/>
            <w:vAlign w:val="center"/>
          </w:tcPr>
          <w:p w14:paraId="09B5286F">
            <w:pPr>
              <w:pStyle w:val="12"/>
              <w:jc w:val="center"/>
            </w:pPr>
          </w:p>
        </w:tc>
        <w:tc>
          <w:tcPr>
            <w:tcW w:w="769" w:type="pct"/>
            <w:vAlign w:val="center"/>
          </w:tcPr>
          <w:p w14:paraId="07E09EE4">
            <w:pPr>
              <w:pStyle w:val="12"/>
              <w:jc w:val="center"/>
            </w:pPr>
          </w:p>
        </w:tc>
        <w:tc>
          <w:tcPr>
            <w:tcW w:w="832" w:type="pct"/>
            <w:vAlign w:val="center"/>
          </w:tcPr>
          <w:p w14:paraId="6D4CE2A6">
            <w:pPr>
              <w:pStyle w:val="12"/>
              <w:jc w:val="center"/>
            </w:pPr>
          </w:p>
        </w:tc>
      </w:tr>
    </w:tbl>
    <w:p w14:paraId="00A20D33">
      <w:pPr>
        <w:tabs>
          <w:tab w:val="left" w:pos="3018"/>
        </w:tabs>
        <w:ind w:firstLine="0" w:firstLineChars="0"/>
        <w:jc w:val="center"/>
        <w:rPr>
          <w:rFonts w:ascii="宋体" w:hAnsi="宋体"/>
          <w:b/>
          <w:szCs w:val="21"/>
        </w:rPr>
      </w:pPr>
      <w:r>
        <w:rPr>
          <w:rFonts w:hint="eastAsia" w:ascii="宋体" w:hAnsi="宋体"/>
          <w:b/>
          <w:szCs w:val="21"/>
        </w:rPr>
        <w:t>2004年南雄长途客运线路运行</w:t>
      </w:r>
    </w:p>
    <w:p w14:paraId="5AB0A7E2">
      <w:pPr>
        <w:ind w:firstLine="0" w:firstLineChars="0"/>
        <w:rPr>
          <w:rFonts w:ascii="宋体" w:hAnsi="宋体"/>
          <w:b/>
        </w:rPr>
      </w:pPr>
      <w:r>
        <w:rPr>
          <w:rFonts w:hint="eastAsia" w:ascii="宋体" w:hAnsi="宋体"/>
          <w:b/>
        </w:rPr>
        <w:t>表3-7</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68"/>
        <w:gridCol w:w="1737"/>
        <w:gridCol w:w="1737"/>
        <w:gridCol w:w="5020"/>
      </w:tblGrid>
      <w:tr w14:paraId="056434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7" w:type="pct"/>
            <w:vAlign w:val="center"/>
          </w:tcPr>
          <w:p w14:paraId="240AB818">
            <w:pPr>
              <w:pStyle w:val="12"/>
              <w:jc w:val="center"/>
              <w:rPr>
                <w:b/>
              </w:rPr>
            </w:pPr>
            <w:r>
              <w:rPr>
                <w:rFonts w:hint="eastAsia"/>
                <w:b/>
              </w:rPr>
              <w:t>起讫站</w:t>
            </w:r>
          </w:p>
        </w:tc>
        <w:tc>
          <w:tcPr>
            <w:tcW w:w="872" w:type="pct"/>
            <w:vAlign w:val="center"/>
          </w:tcPr>
          <w:p w14:paraId="2140D01E">
            <w:pPr>
              <w:pStyle w:val="12"/>
              <w:jc w:val="center"/>
              <w:rPr>
                <w:b/>
              </w:rPr>
            </w:pPr>
            <w:r>
              <w:rPr>
                <w:rFonts w:hint="eastAsia"/>
                <w:b/>
              </w:rPr>
              <w:t>里程（公里）</w:t>
            </w:r>
          </w:p>
        </w:tc>
        <w:tc>
          <w:tcPr>
            <w:tcW w:w="872" w:type="pct"/>
            <w:vAlign w:val="center"/>
          </w:tcPr>
          <w:p w14:paraId="39CD7AA3">
            <w:pPr>
              <w:pStyle w:val="12"/>
              <w:jc w:val="center"/>
              <w:rPr>
                <w:b/>
              </w:rPr>
            </w:pPr>
            <w:r>
              <w:rPr>
                <w:rFonts w:hint="eastAsia"/>
                <w:b/>
              </w:rPr>
              <w:t>每天开出班次</w:t>
            </w:r>
          </w:p>
        </w:tc>
        <w:tc>
          <w:tcPr>
            <w:tcW w:w="2519" w:type="pct"/>
            <w:vAlign w:val="center"/>
          </w:tcPr>
          <w:p w14:paraId="66B8957A">
            <w:pPr>
              <w:pStyle w:val="12"/>
              <w:jc w:val="center"/>
              <w:rPr>
                <w:b/>
              </w:rPr>
            </w:pPr>
            <w:r>
              <w:rPr>
                <w:rFonts w:hint="eastAsia"/>
                <w:b/>
              </w:rPr>
              <w:t>备    考</w:t>
            </w:r>
          </w:p>
        </w:tc>
      </w:tr>
      <w:tr w14:paraId="7F4FE1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7" w:type="pct"/>
            <w:vAlign w:val="center"/>
          </w:tcPr>
          <w:p w14:paraId="73E01A15">
            <w:pPr>
              <w:pStyle w:val="12"/>
              <w:jc w:val="center"/>
            </w:pPr>
            <w:r>
              <w:rPr>
                <w:rFonts w:hint="eastAsia"/>
              </w:rPr>
              <w:t>南雄—深圳</w:t>
            </w:r>
          </w:p>
        </w:tc>
        <w:tc>
          <w:tcPr>
            <w:tcW w:w="872" w:type="pct"/>
            <w:vAlign w:val="center"/>
          </w:tcPr>
          <w:p w14:paraId="115679B7">
            <w:pPr>
              <w:pStyle w:val="12"/>
              <w:jc w:val="center"/>
            </w:pPr>
            <w:r>
              <w:rPr>
                <w:rFonts w:hint="eastAsia"/>
              </w:rPr>
              <w:t>575</w:t>
            </w:r>
          </w:p>
        </w:tc>
        <w:tc>
          <w:tcPr>
            <w:tcW w:w="872" w:type="pct"/>
            <w:vAlign w:val="center"/>
          </w:tcPr>
          <w:p w14:paraId="6CFA82E5">
            <w:pPr>
              <w:pStyle w:val="12"/>
              <w:jc w:val="center"/>
            </w:pPr>
            <w:r>
              <w:rPr>
                <w:rFonts w:hint="eastAsia"/>
              </w:rPr>
              <w:t>6</w:t>
            </w:r>
          </w:p>
        </w:tc>
        <w:tc>
          <w:tcPr>
            <w:tcW w:w="2519" w:type="pct"/>
            <w:vAlign w:val="center"/>
          </w:tcPr>
          <w:p w14:paraId="191B9017">
            <w:pPr>
              <w:pStyle w:val="12"/>
              <w:jc w:val="center"/>
            </w:pPr>
          </w:p>
        </w:tc>
      </w:tr>
      <w:tr w14:paraId="6A9CF8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7" w:type="pct"/>
            <w:vAlign w:val="center"/>
          </w:tcPr>
          <w:p w14:paraId="16FF17FE">
            <w:pPr>
              <w:pStyle w:val="12"/>
              <w:jc w:val="center"/>
            </w:pPr>
            <w:r>
              <w:rPr>
                <w:rFonts w:hint="eastAsia"/>
              </w:rPr>
              <w:t>南雄—广州</w:t>
            </w:r>
          </w:p>
        </w:tc>
        <w:tc>
          <w:tcPr>
            <w:tcW w:w="872" w:type="pct"/>
            <w:vAlign w:val="center"/>
          </w:tcPr>
          <w:p w14:paraId="5628D95E">
            <w:pPr>
              <w:pStyle w:val="12"/>
              <w:jc w:val="center"/>
            </w:pPr>
            <w:r>
              <w:rPr>
                <w:rFonts w:hint="eastAsia"/>
              </w:rPr>
              <w:t>412</w:t>
            </w:r>
          </w:p>
        </w:tc>
        <w:tc>
          <w:tcPr>
            <w:tcW w:w="872" w:type="pct"/>
            <w:vAlign w:val="center"/>
          </w:tcPr>
          <w:p w14:paraId="4E46FB8C">
            <w:pPr>
              <w:pStyle w:val="12"/>
              <w:jc w:val="center"/>
            </w:pPr>
            <w:r>
              <w:rPr>
                <w:rFonts w:hint="eastAsia"/>
              </w:rPr>
              <w:t>9</w:t>
            </w:r>
          </w:p>
        </w:tc>
        <w:tc>
          <w:tcPr>
            <w:tcW w:w="2519" w:type="pct"/>
            <w:vAlign w:val="center"/>
          </w:tcPr>
          <w:p w14:paraId="3EEA7DBF">
            <w:pPr>
              <w:pStyle w:val="12"/>
              <w:jc w:val="center"/>
            </w:pPr>
          </w:p>
        </w:tc>
      </w:tr>
      <w:tr w14:paraId="299C5A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7" w:type="pct"/>
            <w:vAlign w:val="center"/>
          </w:tcPr>
          <w:p w14:paraId="23BFBF73">
            <w:pPr>
              <w:pStyle w:val="12"/>
              <w:jc w:val="center"/>
            </w:pPr>
            <w:r>
              <w:rPr>
                <w:rFonts w:hint="eastAsia"/>
              </w:rPr>
              <w:t>南雄—佛山</w:t>
            </w:r>
          </w:p>
        </w:tc>
        <w:tc>
          <w:tcPr>
            <w:tcW w:w="872" w:type="pct"/>
            <w:vAlign w:val="center"/>
          </w:tcPr>
          <w:p w14:paraId="114B084E">
            <w:pPr>
              <w:pStyle w:val="12"/>
              <w:jc w:val="center"/>
            </w:pPr>
            <w:r>
              <w:rPr>
                <w:rFonts w:hint="eastAsia"/>
              </w:rPr>
              <w:t>440</w:t>
            </w:r>
          </w:p>
        </w:tc>
        <w:tc>
          <w:tcPr>
            <w:tcW w:w="872" w:type="pct"/>
            <w:vAlign w:val="center"/>
          </w:tcPr>
          <w:p w14:paraId="3C3D11C2">
            <w:pPr>
              <w:pStyle w:val="12"/>
              <w:jc w:val="center"/>
            </w:pPr>
            <w:r>
              <w:rPr>
                <w:rFonts w:hint="eastAsia"/>
              </w:rPr>
              <w:t>2</w:t>
            </w:r>
          </w:p>
        </w:tc>
        <w:tc>
          <w:tcPr>
            <w:tcW w:w="2519" w:type="pct"/>
            <w:vAlign w:val="center"/>
          </w:tcPr>
          <w:p w14:paraId="35A4982B">
            <w:pPr>
              <w:pStyle w:val="12"/>
              <w:jc w:val="center"/>
            </w:pPr>
          </w:p>
        </w:tc>
      </w:tr>
      <w:tr w14:paraId="23F7ED0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7" w:type="pct"/>
            <w:vAlign w:val="center"/>
          </w:tcPr>
          <w:p w14:paraId="4C786493">
            <w:pPr>
              <w:pStyle w:val="12"/>
              <w:jc w:val="center"/>
            </w:pPr>
            <w:r>
              <w:rPr>
                <w:rFonts w:hint="eastAsia"/>
              </w:rPr>
              <w:t>南雄—珠海</w:t>
            </w:r>
          </w:p>
        </w:tc>
        <w:tc>
          <w:tcPr>
            <w:tcW w:w="872" w:type="pct"/>
            <w:vAlign w:val="center"/>
          </w:tcPr>
          <w:p w14:paraId="66CC37F3">
            <w:pPr>
              <w:pStyle w:val="12"/>
              <w:jc w:val="center"/>
            </w:pPr>
            <w:r>
              <w:rPr>
                <w:rFonts w:hint="eastAsia"/>
              </w:rPr>
              <w:t>565</w:t>
            </w:r>
          </w:p>
        </w:tc>
        <w:tc>
          <w:tcPr>
            <w:tcW w:w="872" w:type="pct"/>
            <w:vAlign w:val="center"/>
          </w:tcPr>
          <w:p w14:paraId="525D1C1D">
            <w:pPr>
              <w:pStyle w:val="12"/>
              <w:jc w:val="center"/>
            </w:pPr>
            <w:r>
              <w:rPr>
                <w:rFonts w:hint="eastAsia"/>
              </w:rPr>
              <w:t>2</w:t>
            </w:r>
          </w:p>
        </w:tc>
        <w:tc>
          <w:tcPr>
            <w:tcW w:w="2519" w:type="pct"/>
            <w:vAlign w:val="center"/>
          </w:tcPr>
          <w:p w14:paraId="62641A82">
            <w:pPr>
              <w:pStyle w:val="12"/>
              <w:jc w:val="center"/>
            </w:pPr>
          </w:p>
        </w:tc>
      </w:tr>
      <w:tr w14:paraId="4EC7F8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7" w:type="pct"/>
            <w:vAlign w:val="center"/>
          </w:tcPr>
          <w:p w14:paraId="6813940F">
            <w:pPr>
              <w:pStyle w:val="12"/>
              <w:jc w:val="center"/>
            </w:pPr>
            <w:r>
              <w:rPr>
                <w:rFonts w:hint="eastAsia"/>
              </w:rPr>
              <w:t>南雄—番禺</w:t>
            </w:r>
          </w:p>
        </w:tc>
        <w:tc>
          <w:tcPr>
            <w:tcW w:w="872" w:type="pct"/>
            <w:vAlign w:val="center"/>
          </w:tcPr>
          <w:p w14:paraId="64C7EF02">
            <w:pPr>
              <w:pStyle w:val="12"/>
              <w:jc w:val="center"/>
            </w:pPr>
            <w:r>
              <w:rPr>
                <w:rFonts w:hint="eastAsia"/>
              </w:rPr>
              <w:t>443</w:t>
            </w:r>
          </w:p>
        </w:tc>
        <w:tc>
          <w:tcPr>
            <w:tcW w:w="872" w:type="pct"/>
            <w:vAlign w:val="center"/>
          </w:tcPr>
          <w:p w14:paraId="6AC68959">
            <w:pPr>
              <w:pStyle w:val="12"/>
              <w:jc w:val="center"/>
            </w:pPr>
            <w:r>
              <w:rPr>
                <w:rFonts w:hint="eastAsia"/>
              </w:rPr>
              <w:t>2</w:t>
            </w:r>
          </w:p>
        </w:tc>
        <w:tc>
          <w:tcPr>
            <w:tcW w:w="2519" w:type="pct"/>
            <w:vAlign w:val="center"/>
          </w:tcPr>
          <w:p w14:paraId="3F9897B9">
            <w:pPr>
              <w:pStyle w:val="12"/>
              <w:jc w:val="center"/>
            </w:pPr>
          </w:p>
        </w:tc>
      </w:tr>
      <w:tr w14:paraId="705503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7" w:type="pct"/>
            <w:vAlign w:val="center"/>
          </w:tcPr>
          <w:p w14:paraId="6EB64710">
            <w:pPr>
              <w:pStyle w:val="12"/>
              <w:jc w:val="center"/>
            </w:pPr>
            <w:r>
              <w:rPr>
                <w:rFonts w:hint="eastAsia"/>
              </w:rPr>
              <w:t>南雄—东莞</w:t>
            </w:r>
          </w:p>
        </w:tc>
        <w:tc>
          <w:tcPr>
            <w:tcW w:w="872" w:type="pct"/>
            <w:vAlign w:val="center"/>
          </w:tcPr>
          <w:p w14:paraId="0111825D">
            <w:pPr>
              <w:pStyle w:val="12"/>
              <w:jc w:val="center"/>
            </w:pPr>
            <w:r>
              <w:rPr>
                <w:rFonts w:hint="eastAsia"/>
              </w:rPr>
              <w:t>424</w:t>
            </w:r>
          </w:p>
        </w:tc>
        <w:tc>
          <w:tcPr>
            <w:tcW w:w="872" w:type="pct"/>
            <w:vAlign w:val="center"/>
          </w:tcPr>
          <w:p w14:paraId="53E5F0E0">
            <w:pPr>
              <w:pStyle w:val="12"/>
              <w:jc w:val="center"/>
            </w:pPr>
            <w:r>
              <w:rPr>
                <w:rFonts w:hint="eastAsia"/>
              </w:rPr>
              <w:t>3</w:t>
            </w:r>
          </w:p>
        </w:tc>
        <w:tc>
          <w:tcPr>
            <w:tcW w:w="2519" w:type="pct"/>
            <w:vAlign w:val="center"/>
          </w:tcPr>
          <w:p w14:paraId="3BEECD8C">
            <w:pPr>
              <w:pStyle w:val="12"/>
              <w:jc w:val="center"/>
            </w:pPr>
          </w:p>
        </w:tc>
      </w:tr>
      <w:tr w14:paraId="57CBB38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7" w:type="pct"/>
            <w:vAlign w:val="center"/>
          </w:tcPr>
          <w:p w14:paraId="28406B82">
            <w:pPr>
              <w:pStyle w:val="12"/>
              <w:jc w:val="center"/>
            </w:pPr>
            <w:r>
              <w:rPr>
                <w:rFonts w:hint="eastAsia"/>
              </w:rPr>
              <w:t>南雄—兴宁</w:t>
            </w:r>
          </w:p>
        </w:tc>
        <w:tc>
          <w:tcPr>
            <w:tcW w:w="872" w:type="pct"/>
            <w:vAlign w:val="center"/>
          </w:tcPr>
          <w:p w14:paraId="5A8C5966">
            <w:pPr>
              <w:pStyle w:val="12"/>
              <w:jc w:val="center"/>
            </w:pPr>
            <w:r>
              <w:rPr>
                <w:rFonts w:hint="eastAsia"/>
              </w:rPr>
              <w:t>500</w:t>
            </w:r>
          </w:p>
        </w:tc>
        <w:tc>
          <w:tcPr>
            <w:tcW w:w="872" w:type="pct"/>
            <w:vAlign w:val="center"/>
          </w:tcPr>
          <w:p w14:paraId="48AB89A8">
            <w:pPr>
              <w:pStyle w:val="12"/>
              <w:jc w:val="center"/>
            </w:pPr>
            <w:r>
              <w:rPr>
                <w:rFonts w:hint="eastAsia"/>
              </w:rPr>
              <w:t>隔天班</w:t>
            </w:r>
          </w:p>
        </w:tc>
        <w:tc>
          <w:tcPr>
            <w:tcW w:w="2519" w:type="pct"/>
            <w:vAlign w:val="center"/>
          </w:tcPr>
          <w:p w14:paraId="7F4BC06F">
            <w:pPr>
              <w:pStyle w:val="12"/>
              <w:jc w:val="center"/>
            </w:pPr>
          </w:p>
        </w:tc>
      </w:tr>
      <w:tr w14:paraId="3AE0999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7" w:type="pct"/>
            <w:vAlign w:val="center"/>
          </w:tcPr>
          <w:p w14:paraId="271FDFAE">
            <w:pPr>
              <w:pStyle w:val="12"/>
              <w:jc w:val="center"/>
            </w:pPr>
            <w:r>
              <w:rPr>
                <w:rFonts w:hint="eastAsia"/>
              </w:rPr>
              <w:t>南雄—普宁</w:t>
            </w:r>
          </w:p>
        </w:tc>
        <w:tc>
          <w:tcPr>
            <w:tcW w:w="872" w:type="pct"/>
            <w:vAlign w:val="center"/>
          </w:tcPr>
          <w:p w14:paraId="731A4DB1">
            <w:pPr>
              <w:pStyle w:val="12"/>
              <w:jc w:val="center"/>
            </w:pPr>
            <w:r>
              <w:rPr>
                <w:rFonts w:hint="eastAsia"/>
              </w:rPr>
              <w:t>840</w:t>
            </w:r>
          </w:p>
        </w:tc>
        <w:tc>
          <w:tcPr>
            <w:tcW w:w="872" w:type="pct"/>
            <w:vAlign w:val="center"/>
          </w:tcPr>
          <w:p w14:paraId="14F5869C">
            <w:pPr>
              <w:pStyle w:val="12"/>
              <w:jc w:val="center"/>
            </w:pPr>
            <w:r>
              <w:rPr>
                <w:rFonts w:hint="eastAsia"/>
              </w:rPr>
              <w:t>隔天班</w:t>
            </w:r>
          </w:p>
        </w:tc>
        <w:tc>
          <w:tcPr>
            <w:tcW w:w="2519" w:type="pct"/>
            <w:vAlign w:val="center"/>
          </w:tcPr>
          <w:p w14:paraId="30C19274">
            <w:pPr>
              <w:pStyle w:val="12"/>
              <w:jc w:val="center"/>
            </w:pPr>
            <w:r>
              <w:rPr>
                <w:rFonts w:hint="eastAsia"/>
              </w:rPr>
              <w:t>以上线路均由南雄汽车站经营</w:t>
            </w:r>
          </w:p>
        </w:tc>
      </w:tr>
      <w:tr w14:paraId="04EDE8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7" w:type="pct"/>
            <w:vAlign w:val="center"/>
          </w:tcPr>
          <w:p w14:paraId="6C0FF54F">
            <w:pPr>
              <w:pStyle w:val="12"/>
              <w:jc w:val="center"/>
            </w:pPr>
            <w:r>
              <w:rPr>
                <w:rFonts w:hint="eastAsia"/>
              </w:rPr>
              <w:t>南雄—韶关</w:t>
            </w:r>
          </w:p>
        </w:tc>
        <w:tc>
          <w:tcPr>
            <w:tcW w:w="872" w:type="pct"/>
            <w:vAlign w:val="center"/>
          </w:tcPr>
          <w:p w14:paraId="037CECBA">
            <w:pPr>
              <w:pStyle w:val="12"/>
              <w:jc w:val="center"/>
            </w:pPr>
            <w:r>
              <w:rPr>
                <w:rFonts w:hint="eastAsia"/>
              </w:rPr>
              <w:t>103</w:t>
            </w:r>
          </w:p>
        </w:tc>
        <w:tc>
          <w:tcPr>
            <w:tcW w:w="872" w:type="pct"/>
            <w:vAlign w:val="center"/>
          </w:tcPr>
          <w:p w14:paraId="2884373C">
            <w:pPr>
              <w:pStyle w:val="12"/>
              <w:jc w:val="center"/>
            </w:pPr>
            <w:r>
              <w:rPr>
                <w:rFonts w:hint="eastAsia"/>
              </w:rPr>
              <w:t>64</w:t>
            </w:r>
          </w:p>
        </w:tc>
        <w:tc>
          <w:tcPr>
            <w:tcW w:w="2519" w:type="pct"/>
            <w:vAlign w:val="center"/>
          </w:tcPr>
          <w:p w14:paraId="310B4A09">
            <w:pPr>
              <w:pStyle w:val="12"/>
              <w:jc w:val="center"/>
            </w:pPr>
            <w:r>
              <w:rPr>
                <w:rFonts w:hint="eastAsia"/>
              </w:rPr>
              <w:t>每隔10分钟一趟（包括602车队、飞龙车等）</w:t>
            </w:r>
          </w:p>
        </w:tc>
      </w:tr>
      <w:tr w14:paraId="6BFB97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7" w:type="pct"/>
            <w:vAlign w:val="center"/>
          </w:tcPr>
          <w:p w14:paraId="0985CD05">
            <w:pPr>
              <w:pStyle w:val="12"/>
              <w:jc w:val="center"/>
            </w:pPr>
            <w:r>
              <w:rPr>
                <w:rFonts w:hint="eastAsia"/>
              </w:rPr>
              <w:t>南雄—大余</w:t>
            </w:r>
          </w:p>
        </w:tc>
        <w:tc>
          <w:tcPr>
            <w:tcW w:w="872" w:type="pct"/>
            <w:vAlign w:val="center"/>
          </w:tcPr>
          <w:p w14:paraId="0C464A48">
            <w:pPr>
              <w:pStyle w:val="12"/>
              <w:jc w:val="center"/>
            </w:pPr>
            <w:r>
              <w:rPr>
                <w:rFonts w:hint="eastAsia"/>
              </w:rPr>
              <w:t>41</w:t>
            </w:r>
          </w:p>
        </w:tc>
        <w:tc>
          <w:tcPr>
            <w:tcW w:w="872" w:type="pct"/>
            <w:vAlign w:val="center"/>
          </w:tcPr>
          <w:p w14:paraId="0DAD942D">
            <w:pPr>
              <w:pStyle w:val="12"/>
              <w:jc w:val="center"/>
            </w:pPr>
            <w:r>
              <w:rPr>
                <w:rFonts w:hint="eastAsia"/>
              </w:rPr>
              <w:t>24</w:t>
            </w:r>
          </w:p>
        </w:tc>
        <w:tc>
          <w:tcPr>
            <w:tcW w:w="2519" w:type="pct"/>
            <w:vAlign w:val="center"/>
          </w:tcPr>
          <w:p w14:paraId="0E8465DC">
            <w:pPr>
              <w:pStyle w:val="12"/>
              <w:jc w:val="center"/>
            </w:pPr>
            <w:r>
              <w:rPr>
                <w:rFonts w:hint="eastAsia"/>
              </w:rPr>
              <w:t>每隔30分钟一趟，与大余客运站对开</w:t>
            </w:r>
          </w:p>
        </w:tc>
      </w:tr>
      <w:tr w14:paraId="38AA1D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7" w:type="pct"/>
            <w:vAlign w:val="center"/>
          </w:tcPr>
          <w:p w14:paraId="652D49B0">
            <w:pPr>
              <w:pStyle w:val="12"/>
              <w:jc w:val="center"/>
            </w:pPr>
            <w:r>
              <w:rPr>
                <w:rFonts w:hint="eastAsia"/>
              </w:rPr>
              <w:t>南雄—仁化</w:t>
            </w:r>
          </w:p>
        </w:tc>
        <w:tc>
          <w:tcPr>
            <w:tcW w:w="872" w:type="pct"/>
            <w:vAlign w:val="center"/>
          </w:tcPr>
          <w:p w14:paraId="3293638F">
            <w:pPr>
              <w:pStyle w:val="12"/>
              <w:jc w:val="center"/>
            </w:pPr>
            <w:r>
              <w:rPr>
                <w:rFonts w:hint="eastAsia"/>
              </w:rPr>
              <w:t>87</w:t>
            </w:r>
          </w:p>
        </w:tc>
        <w:tc>
          <w:tcPr>
            <w:tcW w:w="872" w:type="pct"/>
            <w:vAlign w:val="center"/>
          </w:tcPr>
          <w:p w14:paraId="41DD77F3">
            <w:pPr>
              <w:pStyle w:val="12"/>
              <w:jc w:val="center"/>
            </w:pPr>
            <w:r>
              <w:rPr>
                <w:rFonts w:hint="eastAsia"/>
              </w:rPr>
              <w:t>1</w:t>
            </w:r>
          </w:p>
        </w:tc>
        <w:tc>
          <w:tcPr>
            <w:tcW w:w="2519" w:type="pct"/>
            <w:vAlign w:val="center"/>
          </w:tcPr>
          <w:p w14:paraId="19CF34DE">
            <w:pPr>
              <w:pStyle w:val="12"/>
              <w:jc w:val="center"/>
            </w:pPr>
            <w:r>
              <w:rPr>
                <w:rFonts w:hint="eastAsia"/>
              </w:rPr>
              <w:t>仁化班车</w:t>
            </w:r>
          </w:p>
        </w:tc>
      </w:tr>
      <w:tr w14:paraId="60B949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7" w:type="pct"/>
            <w:vAlign w:val="center"/>
          </w:tcPr>
          <w:p w14:paraId="1D90FE23">
            <w:pPr>
              <w:pStyle w:val="12"/>
              <w:jc w:val="center"/>
            </w:pPr>
            <w:r>
              <w:rPr>
                <w:rFonts w:hint="eastAsia"/>
              </w:rPr>
              <w:t>南雄—信丰</w:t>
            </w:r>
          </w:p>
        </w:tc>
        <w:tc>
          <w:tcPr>
            <w:tcW w:w="872" w:type="pct"/>
            <w:vAlign w:val="center"/>
          </w:tcPr>
          <w:p w14:paraId="6FD2F5E9">
            <w:pPr>
              <w:pStyle w:val="12"/>
              <w:jc w:val="center"/>
            </w:pPr>
            <w:r>
              <w:rPr>
                <w:rFonts w:hint="eastAsia"/>
              </w:rPr>
              <w:t>78</w:t>
            </w:r>
          </w:p>
        </w:tc>
        <w:tc>
          <w:tcPr>
            <w:tcW w:w="872" w:type="pct"/>
            <w:vAlign w:val="center"/>
          </w:tcPr>
          <w:p w14:paraId="69EDA524">
            <w:pPr>
              <w:pStyle w:val="12"/>
              <w:jc w:val="center"/>
            </w:pPr>
            <w:r>
              <w:rPr>
                <w:rFonts w:hint="eastAsia"/>
              </w:rPr>
              <w:t>2</w:t>
            </w:r>
          </w:p>
        </w:tc>
        <w:tc>
          <w:tcPr>
            <w:tcW w:w="2519" w:type="pct"/>
            <w:vAlign w:val="center"/>
          </w:tcPr>
          <w:p w14:paraId="520B5B70">
            <w:pPr>
              <w:pStyle w:val="12"/>
              <w:jc w:val="center"/>
            </w:pPr>
            <w:r>
              <w:rPr>
                <w:rFonts w:hint="eastAsia"/>
              </w:rPr>
              <w:t>个体车辆</w:t>
            </w:r>
          </w:p>
        </w:tc>
      </w:tr>
    </w:tbl>
    <w:p w14:paraId="18CB1AC7">
      <w:pPr>
        <w:ind w:firstLine="0" w:firstLineChars="0"/>
        <w:jc w:val="center"/>
        <w:rPr>
          <w:rFonts w:ascii="宋体" w:hAnsi="宋体"/>
          <w:b/>
        </w:rPr>
      </w:pPr>
      <w:r>
        <w:rPr>
          <w:rFonts w:hint="eastAsia" w:ascii="宋体" w:hAnsi="宋体"/>
          <w:b/>
        </w:rPr>
        <w:t>2004年南雄市城乡公共汽车运行路线</w:t>
      </w:r>
    </w:p>
    <w:p w14:paraId="7EA0FCF3">
      <w:pPr>
        <w:ind w:firstLine="0" w:firstLineChars="0"/>
        <w:rPr>
          <w:rFonts w:ascii="宋体" w:hAnsi="宋体"/>
          <w:b/>
        </w:rPr>
      </w:pPr>
      <w:r>
        <w:rPr>
          <w:rFonts w:hint="eastAsia" w:ascii="宋体" w:hAnsi="宋体"/>
          <w:b/>
        </w:rPr>
        <w:t>表3-8</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68"/>
        <w:gridCol w:w="1544"/>
        <w:gridCol w:w="1931"/>
        <w:gridCol w:w="5019"/>
      </w:tblGrid>
      <w:tr w14:paraId="358649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7" w:type="pct"/>
            <w:vAlign w:val="center"/>
          </w:tcPr>
          <w:p w14:paraId="02E610FC">
            <w:pPr>
              <w:pStyle w:val="12"/>
              <w:jc w:val="center"/>
              <w:rPr>
                <w:b/>
              </w:rPr>
            </w:pPr>
            <w:r>
              <w:rPr>
                <w:rFonts w:hint="eastAsia"/>
                <w:b/>
              </w:rPr>
              <w:t>起讫站</w:t>
            </w:r>
          </w:p>
        </w:tc>
        <w:tc>
          <w:tcPr>
            <w:tcW w:w="775" w:type="pct"/>
            <w:vAlign w:val="center"/>
          </w:tcPr>
          <w:p w14:paraId="1DAB580B">
            <w:pPr>
              <w:pStyle w:val="12"/>
              <w:jc w:val="center"/>
              <w:rPr>
                <w:b/>
              </w:rPr>
            </w:pPr>
            <w:r>
              <w:rPr>
                <w:rFonts w:hint="eastAsia"/>
                <w:b/>
              </w:rPr>
              <w:t>里程（公里）</w:t>
            </w:r>
          </w:p>
        </w:tc>
        <w:tc>
          <w:tcPr>
            <w:tcW w:w="969" w:type="pct"/>
            <w:vAlign w:val="center"/>
          </w:tcPr>
          <w:p w14:paraId="347B16D2">
            <w:pPr>
              <w:pStyle w:val="12"/>
              <w:jc w:val="center"/>
              <w:rPr>
                <w:b/>
              </w:rPr>
            </w:pPr>
            <w:r>
              <w:rPr>
                <w:rFonts w:hint="eastAsia"/>
                <w:b/>
              </w:rPr>
              <w:t>每天开出班次</w:t>
            </w:r>
          </w:p>
        </w:tc>
        <w:tc>
          <w:tcPr>
            <w:tcW w:w="2519" w:type="pct"/>
            <w:vAlign w:val="center"/>
          </w:tcPr>
          <w:p w14:paraId="68A27DE9">
            <w:pPr>
              <w:pStyle w:val="12"/>
              <w:jc w:val="center"/>
              <w:rPr>
                <w:b/>
              </w:rPr>
            </w:pPr>
            <w:r>
              <w:rPr>
                <w:rFonts w:hint="eastAsia"/>
                <w:b/>
              </w:rPr>
              <w:t>途经路线</w:t>
            </w:r>
          </w:p>
        </w:tc>
      </w:tr>
      <w:tr w14:paraId="188B4B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7" w:type="pct"/>
            <w:vAlign w:val="center"/>
          </w:tcPr>
          <w:p w14:paraId="001A3813">
            <w:pPr>
              <w:pStyle w:val="12"/>
              <w:jc w:val="center"/>
            </w:pPr>
            <w:r>
              <w:rPr>
                <w:rFonts w:hint="eastAsia"/>
              </w:rPr>
              <w:t>南雄—南亩</w:t>
            </w:r>
          </w:p>
        </w:tc>
        <w:tc>
          <w:tcPr>
            <w:tcW w:w="775" w:type="pct"/>
            <w:vAlign w:val="center"/>
          </w:tcPr>
          <w:p w14:paraId="447BEA5C">
            <w:pPr>
              <w:pStyle w:val="12"/>
              <w:jc w:val="center"/>
            </w:pPr>
            <w:r>
              <w:rPr>
                <w:rFonts w:hint="eastAsia"/>
              </w:rPr>
              <w:t>30</w:t>
            </w:r>
          </w:p>
        </w:tc>
        <w:tc>
          <w:tcPr>
            <w:tcW w:w="969" w:type="pct"/>
            <w:vAlign w:val="center"/>
          </w:tcPr>
          <w:p w14:paraId="7B07B7FD">
            <w:pPr>
              <w:pStyle w:val="12"/>
              <w:jc w:val="center"/>
            </w:pPr>
            <w:r>
              <w:rPr>
                <w:rFonts w:hint="eastAsia"/>
              </w:rPr>
              <w:t>32班</w:t>
            </w:r>
          </w:p>
        </w:tc>
        <w:tc>
          <w:tcPr>
            <w:tcW w:w="2519" w:type="pct"/>
            <w:vAlign w:val="center"/>
          </w:tcPr>
          <w:p w14:paraId="2E216E70">
            <w:pPr>
              <w:pStyle w:val="12"/>
              <w:jc w:val="left"/>
            </w:pPr>
            <w:r>
              <w:rPr>
                <w:rFonts w:hint="eastAsia"/>
              </w:rPr>
              <w:t>市区体育馆开出经市区雄中路、交通局、沿江东路、青云桥、大成街、市政府、总工会、电影院、八一街、汽车站、湖口圩、水口圩至南亩圩，返回时依原路进市区浈江路、林荫路、教育路、雄中西路至体育馆。</w:t>
            </w:r>
          </w:p>
        </w:tc>
      </w:tr>
      <w:tr w14:paraId="1DD962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7" w:type="pct"/>
            <w:vAlign w:val="center"/>
          </w:tcPr>
          <w:p w14:paraId="2BB8D7C6">
            <w:pPr>
              <w:pStyle w:val="12"/>
              <w:jc w:val="center"/>
            </w:pPr>
            <w:r>
              <w:rPr>
                <w:rFonts w:hint="eastAsia"/>
              </w:rPr>
              <w:t>南雄—界址</w:t>
            </w:r>
          </w:p>
        </w:tc>
        <w:tc>
          <w:tcPr>
            <w:tcW w:w="775" w:type="pct"/>
            <w:vAlign w:val="center"/>
          </w:tcPr>
          <w:p w14:paraId="4E952588">
            <w:pPr>
              <w:pStyle w:val="12"/>
              <w:jc w:val="center"/>
            </w:pPr>
            <w:r>
              <w:rPr>
                <w:rFonts w:hint="eastAsia"/>
              </w:rPr>
              <w:t>56</w:t>
            </w:r>
          </w:p>
        </w:tc>
        <w:tc>
          <w:tcPr>
            <w:tcW w:w="969" w:type="pct"/>
            <w:vAlign w:val="center"/>
          </w:tcPr>
          <w:p w14:paraId="33A3A158">
            <w:pPr>
              <w:pStyle w:val="12"/>
              <w:jc w:val="center"/>
            </w:pPr>
            <w:r>
              <w:rPr>
                <w:rFonts w:hint="eastAsia"/>
              </w:rPr>
              <w:t>6班</w:t>
            </w:r>
          </w:p>
        </w:tc>
        <w:tc>
          <w:tcPr>
            <w:tcW w:w="2519" w:type="pct"/>
            <w:vAlign w:val="center"/>
          </w:tcPr>
          <w:p w14:paraId="45FD6573">
            <w:pPr>
              <w:pStyle w:val="12"/>
              <w:jc w:val="left"/>
            </w:pPr>
            <w:r>
              <w:rPr>
                <w:rFonts w:hint="eastAsia"/>
              </w:rPr>
              <w:t>由体育馆开出经市区各站同上，出市区经湖口、里和、黄坑、乌迳、老龙、分水坳至界址圩，返回时依原路进入市区各站。</w:t>
            </w:r>
          </w:p>
        </w:tc>
      </w:tr>
      <w:tr w14:paraId="14C5A09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7" w:type="pct"/>
            <w:vAlign w:val="center"/>
          </w:tcPr>
          <w:p w14:paraId="08ED7CD5">
            <w:pPr>
              <w:pStyle w:val="12"/>
              <w:jc w:val="center"/>
            </w:pPr>
            <w:r>
              <w:rPr>
                <w:rFonts w:hint="eastAsia"/>
              </w:rPr>
              <w:t>南雄—大塘</w:t>
            </w:r>
          </w:p>
        </w:tc>
        <w:tc>
          <w:tcPr>
            <w:tcW w:w="775" w:type="pct"/>
            <w:vAlign w:val="center"/>
          </w:tcPr>
          <w:p w14:paraId="06C823C7">
            <w:pPr>
              <w:pStyle w:val="12"/>
              <w:jc w:val="center"/>
            </w:pPr>
            <w:r>
              <w:rPr>
                <w:rFonts w:hint="eastAsia"/>
              </w:rPr>
              <w:t>30</w:t>
            </w:r>
          </w:p>
        </w:tc>
        <w:tc>
          <w:tcPr>
            <w:tcW w:w="969" w:type="pct"/>
            <w:vAlign w:val="center"/>
          </w:tcPr>
          <w:p w14:paraId="1FFEE9BD">
            <w:pPr>
              <w:pStyle w:val="12"/>
              <w:jc w:val="center"/>
            </w:pPr>
            <w:r>
              <w:rPr>
                <w:rFonts w:hint="eastAsia"/>
              </w:rPr>
              <w:t>32班</w:t>
            </w:r>
          </w:p>
        </w:tc>
        <w:tc>
          <w:tcPr>
            <w:tcW w:w="2519" w:type="pct"/>
            <w:vAlign w:val="center"/>
          </w:tcPr>
          <w:p w14:paraId="07466C35">
            <w:pPr>
              <w:pStyle w:val="12"/>
              <w:jc w:val="left"/>
            </w:pPr>
            <w:r>
              <w:rPr>
                <w:rFonts w:hint="eastAsia"/>
              </w:rPr>
              <w:t>由体育馆开出经市区各站同上，至大塘圩，返回时依原路进市区各站同上。</w:t>
            </w:r>
          </w:p>
        </w:tc>
      </w:tr>
      <w:tr w14:paraId="2E3934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7" w:type="pct"/>
            <w:vAlign w:val="center"/>
          </w:tcPr>
          <w:p w14:paraId="7BE17735">
            <w:pPr>
              <w:pStyle w:val="12"/>
              <w:jc w:val="center"/>
            </w:pPr>
            <w:r>
              <w:rPr>
                <w:rFonts w:hint="eastAsia"/>
              </w:rPr>
              <w:t>南雄—邓坊</w:t>
            </w:r>
          </w:p>
        </w:tc>
        <w:tc>
          <w:tcPr>
            <w:tcW w:w="775" w:type="pct"/>
            <w:vAlign w:val="center"/>
          </w:tcPr>
          <w:p w14:paraId="21E20B66">
            <w:pPr>
              <w:pStyle w:val="12"/>
              <w:jc w:val="center"/>
            </w:pPr>
            <w:r>
              <w:rPr>
                <w:rFonts w:hint="eastAsia"/>
              </w:rPr>
              <w:t>28</w:t>
            </w:r>
          </w:p>
        </w:tc>
        <w:tc>
          <w:tcPr>
            <w:tcW w:w="969" w:type="pct"/>
            <w:vAlign w:val="center"/>
          </w:tcPr>
          <w:p w14:paraId="73EF1474">
            <w:pPr>
              <w:pStyle w:val="12"/>
              <w:jc w:val="center"/>
            </w:pPr>
            <w:r>
              <w:rPr>
                <w:rFonts w:hint="eastAsia"/>
              </w:rPr>
              <w:t>31班</w:t>
            </w:r>
          </w:p>
        </w:tc>
        <w:tc>
          <w:tcPr>
            <w:tcW w:w="2519" w:type="pct"/>
            <w:vAlign w:val="center"/>
          </w:tcPr>
          <w:p w14:paraId="39EBAD98">
            <w:pPr>
              <w:pStyle w:val="12"/>
              <w:jc w:val="left"/>
            </w:pPr>
            <w:r>
              <w:rPr>
                <w:rFonts w:hint="eastAsia"/>
              </w:rPr>
              <w:t>由体育馆开出经市区各站同上，出市区经长迳、新村、珠玑圩、湖口圩、白木、竹头坪至邓坊圩。返回依原路线至南雄市区各站同上。</w:t>
            </w:r>
          </w:p>
        </w:tc>
      </w:tr>
      <w:tr w14:paraId="68DF1A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7" w:type="pct"/>
            <w:vAlign w:val="center"/>
          </w:tcPr>
          <w:p w14:paraId="055BA52F">
            <w:pPr>
              <w:pStyle w:val="12"/>
              <w:jc w:val="center"/>
            </w:pPr>
            <w:r>
              <w:rPr>
                <w:rFonts w:hint="eastAsia"/>
              </w:rPr>
              <w:t>南雄—江头</w:t>
            </w:r>
          </w:p>
        </w:tc>
        <w:tc>
          <w:tcPr>
            <w:tcW w:w="775" w:type="pct"/>
            <w:vAlign w:val="center"/>
          </w:tcPr>
          <w:p w14:paraId="2C00F28C">
            <w:pPr>
              <w:pStyle w:val="12"/>
              <w:jc w:val="center"/>
            </w:pPr>
            <w:r>
              <w:rPr>
                <w:rFonts w:hint="eastAsia"/>
              </w:rPr>
              <w:t>17</w:t>
            </w:r>
          </w:p>
        </w:tc>
        <w:tc>
          <w:tcPr>
            <w:tcW w:w="969" w:type="pct"/>
            <w:vAlign w:val="center"/>
          </w:tcPr>
          <w:p w14:paraId="28298D8A">
            <w:pPr>
              <w:pStyle w:val="12"/>
              <w:jc w:val="center"/>
            </w:pPr>
            <w:r>
              <w:rPr>
                <w:rFonts w:hint="eastAsia"/>
              </w:rPr>
              <w:t>20班</w:t>
            </w:r>
          </w:p>
        </w:tc>
        <w:tc>
          <w:tcPr>
            <w:tcW w:w="2519" w:type="pct"/>
            <w:vAlign w:val="center"/>
          </w:tcPr>
          <w:p w14:paraId="4A47B20F">
            <w:pPr>
              <w:pStyle w:val="12"/>
              <w:jc w:val="left"/>
            </w:pPr>
            <w:r>
              <w:rPr>
                <w:rFonts w:hint="eastAsia"/>
              </w:rPr>
              <w:t>汽车站开出经黎口、荆岗、涌溪至江头圩。</w:t>
            </w:r>
          </w:p>
        </w:tc>
      </w:tr>
      <w:tr w14:paraId="67E762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7" w:type="pct"/>
            <w:vAlign w:val="center"/>
          </w:tcPr>
          <w:p w14:paraId="65BB3781">
            <w:pPr>
              <w:pStyle w:val="12"/>
              <w:jc w:val="center"/>
            </w:pPr>
            <w:r>
              <w:rPr>
                <w:rFonts w:hint="eastAsia"/>
              </w:rPr>
              <w:t>南雄—百顺</w:t>
            </w:r>
          </w:p>
        </w:tc>
        <w:tc>
          <w:tcPr>
            <w:tcW w:w="775" w:type="pct"/>
            <w:vAlign w:val="center"/>
          </w:tcPr>
          <w:p w14:paraId="46E88D2E">
            <w:pPr>
              <w:pStyle w:val="12"/>
              <w:jc w:val="center"/>
            </w:pPr>
            <w:r>
              <w:rPr>
                <w:rFonts w:hint="eastAsia"/>
              </w:rPr>
              <w:t>58</w:t>
            </w:r>
          </w:p>
        </w:tc>
        <w:tc>
          <w:tcPr>
            <w:tcW w:w="969" w:type="pct"/>
            <w:vAlign w:val="center"/>
          </w:tcPr>
          <w:p w14:paraId="5C2159BC">
            <w:pPr>
              <w:pStyle w:val="12"/>
              <w:jc w:val="center"/>
            </w:pPr>
            <w:r>
              <w:rPr>
                <w:rFonts w:hint="eastAsia"/>
              </w:rPr>
              <w:t>6班</w:t>
            </w:r>
          </w:p>
        </w:tc>
        <w:tc>
          <w:tcPr>
            <w:tcW w:w="2519" w:type="pct"/>
            <w:vAlign w:val="center"/>
          </w:tcPr>
          <w:p w14:paraId="1A0701BE">
            <w:pPr>
              <w:pStyle w:val="12"/>
              <w:jc w:val="left"/>
            </w:pPr>
            <w:r>
              <w:rPr>
                <w:rFonts w:hint="eastAsia"/>
              </w:rPr>
              <w:t>汽车站开出经北门、全安、帽子峰、澜河至百顺圩。</w:t>
            </w:r>
          </w:p>
        </w:tc>
      </w:tr>
      <w:tr w14:paraId="67A77D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7" w:type="pct"/>
            <w:vAlign w:val="center"/>
          </w:tcPr>
          <w:p w14:paraId="18B7AA11">
            <w:pPr>
              <w:pStyle w:val="12"/>
              <w:jc w:val="center"/>
            </w:pPr>
            <w:r>
              <w:rPr>
                <w:rFonts w:hint="eastAsia"/>
              </w:rPr>
              <w:t>南雄—坪田</w:t>
            </w:r>
          </w:p>
        </w:tc>
        <w:tc>
          <w:tcPr>
            <w:tcW w:w="775" w:type="pct"/>
            <w:vAlign w:val="center"/>
          </w:tcPr>
          <w:p w14:paraId="18A73C6C">
            <w:pPr>
              <w:pStyle w:val="12"/>
              <w:jc w:val="center"/>
            </w:pPr>
            <w:r>
              <w:rPr>
                <w:rFonts w:hint="eastAsia"/>
              </w:rPr>
              <w:t>58</w:t>
            </w:r>
          </w:p>
        </w:tc>
        <w:tc>
          <w:tcPr>
            <w:tcW w:w="969" w:type="pct"/>
            <w:vAlign w:val="center"/>
          </w:tcPr>
          <w:p w14:paraId="3D218690">
            <w:pPr>
              <w:pStyle w:val="12"/>
              <w:jc w:val="center"/>
            </w:pPr>
            <w:r>
              <w:rPr>
                <w:rFonts w:hint="eastAsia"/>
              </w:rPr>
              <w:t>2班</w:t>
            </w:r>
          </w:p>
        </w:tc>
        <w:tc>
          <w:tcPr>
            <w:tcW w:w="2519" w:type="pct"/>
            <w:vAlign w:val="center"/>
          </w:tcPr>
          <w:p w14:paraId="4DD194EF">
            <w:pPr>
              <w:pStyle w:val="12"/>
              <w:jc w:val="left"/>
            </w:pPr>
            <w:r>
              <w:rPr>
                <w:rFonts w:hint="eastAsia"/>
              </w:rPr>
              <w:t>汽车站开出经湖口、黄坑、乌迳、新龙至坪田圩。</w:t>
            </w:r>
          </w:p>
        </w:tc>
      </w:tr>
    </w:tbl>
    <w:p w14:paraId="189BAB0B">
      <w:pPr>
        <w:ind w:firstLine="422"/>
        <w:rPr>
          <w:rFonts w:ascii="宋体" w:hAnsi="宋体"/>
          <w:b/>
          <w:szCs w:val="21"/>
        </w:rPr>
      </w:pPr>
      <w:r>
        <w:rPr>
          <w:rFonts w:hint="eastAsia" w:ascii="宋体" w:hAnsi="宋体"/>
          <w:b/>
          <w:szCs w:val="21"/>
        </w:rPr>
        <w:t>（三）公路交通流量</w:t>
      </w:r>
    </w:p>
    <w:p w14:paraId="75F3A90D">
      <w:pPr>
        <w:ind w:firstLine="420"/>
        <w:rPr>
          <w:rFonts w:ascii="宋体" w:hAnsi="宋体"/>
          <w:szCs w:val="21"/>
        </w:rPr>
      </w:pPr>
      <w:r>
        <w:rPr>
          <w:rFonts w:hint="eastAsia" w:ascii="宋体" w:hAnsi="宋体"/>
          <w:szCs w:val="21"/>
        </w:rPr>
        <w:t>南雄为南北汽车运输主要通道之一，公路车辆流量大。</w:t>
      </w:r>
    </w:p>
    <w:p w14:paraId="0C314A2D">
      <w:pPr>
        <w:ind w:firstLine="0" w:firstLineChars="0"/>
        <w:jc w:val="center"/>
        <w:rPr>
          <w:rFonts w:ascii="宋体" w:hAnsi="宋体"/>
          <w:b/>
          <w:szCs w:val="21"/>
        </w:rPr>
      </w:pPr>
      <w:r>
        <w:rPr>
          <w:rFonts w:hint="eastAsia" w:ascii="宋体" w:hAnsi="宋体"/>
          <w:b/>
          <w:szCs w:val="21"/>
        </w:rPr>
        <w:t>南雄市境内干线公路交通机动车流量日测统计</w:t>
      </w:r>
    </w:p>
    <w:p w14:paraId="082C63AA">
      <w:pPr>
        <w:ind w:firstLine="0" w:firstLineChars="0"/>
        <w:rPr>
          <w:rFonts w:ascii="宋体" w:hAnsi="宋体"/>
          <w:b/>
          <w:szCs w:val="21"/>
        </w:rPr>
      </w:pPr>
      <w:r>
        <w:rPr>
          <w:rFonts w:hint="eastAsia" w:ascii="宋体" w:hAnsi="宋体"/>
          <w:b/>
          <w:szCs w:val="21"/>
        </w:rPr>
        <w:t>表</w:t>
      </w:r>
      <w:r>
        <w:rPr>
          <w:rFonts w:ascii="宋体" w:hAnsi="宋体"/>
          <w:b/>
          <w:szCs w:val="21"/>
        </w:rPr>
        <w:t>3-9</w:t>
      </w:r>
    </w:p>
    <w:p w14:paraId="129FF0BF">
      <w:pPr>
        <w:ind w:firstLine="422"/>
        <w:jc w:val="right"/>
        <w:rPr>
          <w:rFonts w:ascii="宋体" w:hAnsi="宋体"/>
          <w:b/>
          <w:szCs w:val="21"/>
        </w:rPr>
      </w:pPr>
      <w:r>
        <w:rPr>
          <w:rFonts w:ascii="宋体" w:hAnsi="宋体"/>
          <w:b/>
          <w:szCs w:val="21"/>
        </w:rPr>
        <w:t>单位：辆／日</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39"/>
        <w:gridCol w:w="964"/>
        <w:gridCol w:w="966"/>
        <w:gridCol w:w="966"/>
        <w:gridCol w:w="966"/>
        <w:gridCol w:w="964"/>
        <w:gridCol w:w="967"/>
        <w:gridCol w:w="967"/>
        <w:gridCol w:w="963"/>
      </w:tblGrid>
      <w:tr w14:paraId="4E99A6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5B683FA3">
            <w:pPr>
              <w:pStyle w:val="12"/>
              <w:jc w:val="center"/>
              <w:rPr>
                <w:b/>
              </w:rPr>
            </w:pPr>
            <w:r>
              <w:rPr>
                <w:rFonts w:hint="eastAsia"/>
                <w:b/>
              </w:rPr>
              <w:t>线  别</w:t>
            </w:r>
          </w:p>
        </w:tc>
        <w:tc>
          <w:tcPr>
            <w:tcW w:w="484" w:type="pct"/>
            <w:vAlign w:val="center"/>
          </w:tcPr>
          <w:p w14:paraId="273A4277">
            <w:pPr>
              <w:pStyle w:val="12"/>
              <w:jc w:val="center"/>
              <w:rPr>
                <w:b/>
              </w:rPr>
            </w:pPr>
            <w:r>
              <w:rPr>
                <w:rFonts w:hint="eastAsia"/>
                <w:b/>
              </w:rPr>
              <w:t>1981年</w:t>
            </w:r>
          </w:p>
        </w:tc>
        <w:tc>
          <w:tcPr>
            <w:tcW w:w="485" w:type="pct"/>
            <w:vAlign w:val="center"/>
          </w:tcPr>
          <w:p w14:paraId="213492B0">
            <w:pPr>
              <w:pStyle w:val="12"/>
              <w:jc w:val="center"/>
              <w:rPr>
                <w:b/>
              </w:rPr>
            </w:pPr>
            <w:r>
              <w:rPr>
                <w:rFonts w:hint="eastAsia"/>
                <w:b/>
              </w:rPr>
              <w:t>1985年</w:t>
            </w:r>
          </w:p>
        </w:tc>
        <w:tc>
          <w:tcPr>
            <w:tcW w:w="485" w:type="pct"/>
            <w:vAlign w:val="center"/>
          </w:tcPr>
          <w:p w14:paraId="7A903360">
            <w:pPr>
              <w:pStyle w:val="12"/>
              <w:jc w:val="center"/>
              <w:rPr>
                <w:b/>
              </w:rPr>
            </w:pPr>
            <w:r>
              <w:rPr>
                <w:rFonts w:hint="eastAsia"/>
                <w:b/>
              </w:rPr>
              <w:t>1989年</w:t>
            </w:r>
          </w:p>
        </w:tc>
        <w:tc>
          <w:tcPr>
            <w:tcW w:w="485" w:type="pct"/>
            <w:vAlign w:val="center"/>
          </w:tcPr>
          <w:p w14:paraId="4E08F190">
            <w:pPr>
              <w:pStyle w:val="12"/>
              <w:jc w:val="center"/>
              <w:rPr>
                <w:b/>
              </w:rPr>
            </w:pPr>
            <w:r>
              <w:rPr>
                <w:rFonts w:hint="eastAsia"/>
                <w:b/>
              </w:rPr>
              <w:t>1991年</w:t>
            </w:r>
          </w:p>
        </w:tc>
        <w:tc>
          <w:tcPr>
            <w:tcW w:w="484" w:type="pct"/>
            <w:vAlign w:val="center"/>
          </w:tcPr>
          <w:p w14:paraId="6AF0221F">
            <w:pPr>
              <w:pStyle w:val="12"/>
              <w:jc w:val="center"/>
              <w:rPr>
                <w:b/>
              </w:rPr>
            </w:pPr>
            <w:r>
              <w:rPr>
                <w:rFonts w:hint="eastAsia"/>
                <w:b/>
              </w:rPr>
              <w:t>1995年</w:t>
            </w:r>
          </w:p>
        </w:tc>
        <w:tc>
          <w:tcPr>
            <w:tcW w:w="485" w:type="pct"/>
            <w:vAlign w:val="center"/>
          </w:tcPr>
          <w:p w14:paraId="7704607C">
            <w:pPr>
              <w:pStyle w:val="12"/>
              <w:jc w:val="center"/>
              <w:rPr>
                <w:b/>
              </w:rPr>
            </w:pPr>
            <w:r>
              <w:rPr>
                <w:rFonts w:hint="eastAsia"/>
                <w:b/>
              </w:rPr>
              <w:t>1998年</w:t>
            </w:r>
          </w:p>
        </w:tc>
        <w:tc>
          <w:tcPr>
            <w:tcW w:w="485" w:type="pct"/>
            <w:vAlign w:val="center"/>
          </w:tcPr>
          <w:p w14:paraId="7F2A567D">
            <w:pPr>
              <w:pStyle w:val="12"/>
              <w:jc w:val="center"/>
              <w:rPr>
                <w:b/>
              </w:rPr>
            </w:pPr>
            <w:r>
              <w:rPr>
                <w:rFonts w:hint="eastAsia"/>
                <w:b/>
              </w:rPr>
              <w:t>2001年</w:t>
            </w:r>
          </w:p>
        </w:tc>
        <w:tc>
          <w:tcPr>
            <w:tcW w:w="485" w:type="pct"/>
            <w:vAlign w:val="center"/>
          </w:tcPr>
          <w:p w14:paraId="179B187B">
            <w:pPr>
              <w:pStyle w:val="12"/>
              <w:jc w:val="center"/>
              <w:rPr>
                <w:b/>
              </w:rPr>
            </w:pPr>
            <w:r>
              <w:rPr>
                <w:rFonts w:hint="eastAsia"/>
                <w:b/>
              </w:rPr>
              <w:t>2004年</w:t>
            </w:r>
          </w:p>
        </w:tc>
      </w:tr>
      <w:tr w14:paraId="0D831CC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345738CA">
            <w:pPr>
              <w:pStyle w:val="12"/>
              <w:jc w:val="center"/>
            </w:pPr>
            <w:r>
              <w:t>G323</w:t>
            </w:r>
          </w:p>
        </w:tc>
        <w:tc>
          <w:tcPr>
            <w:tcW w:w="484" w:type="pct"/>
            <w:vAlign w:val="center"/>
          </w:tcPr>
          <w:p w14:paraId="0456DB05">
            <w:pPr>
              <w:pStyle w:val="12"/>
              <w:jc w:val="center"/>
            </w:pPr>
            <w:r>
              <w:t>2072</w:t>
            </w:r>
          </w:p>
        </w:tc>
        <w:tc>
          <w:tcPr>
            <w:tcW w:w="485" w:type="pct"/>
            <w:vAlign w:val="center"/>
          </w:tcPr>
          <w:p w14:paraId="72804495">
            <w:pPr>
              <w:pStyle w:val="12"/>
              <w:jc w:val="center"/>
            </w:pPr>
            <w:r>
              <w:t>3615</w:t>
            </w:r>
          </w:p>
        </w:tc>
        <w:tc>
          <w:tcPr>
            <w:tcW w:w="485" w:type="pct"/>
            <w:vAlign w:val="center"/>
          </w:tcPr>
          <w:p w14:paraId="5F9B0BEE">
            <w:pPr>
              <w:pStyle w:val="12"/>
              <w:jc w:val="center"/>
            </w:pPr>
            <w:r>
              <w:t>5961</w:t>
            </w:r>
          </w:p>
        </w:tc>
        <w:tc>
          <w:tcPr>
            <w:tcW w:w="485" w:type="pct"/>
            <w:vAlign w:val="center"/>
          </w:tcPr>
          <w:p w14:paraId="65DB7368">
            <w:pPr>
              <w:pStyle w:val="12"/>
              <w:jc w:val="center"/>
            </w:pPr>
            <w:r>
              <w:t>4366</w:t>
            </w:r>
          </w:p>
        </w:tc>
        <w:tc>
          <w:tcPr>
            <w:tcW w:w="484" w:type="pct"/>
            <w:vAlign w:val="center"/>
          </w:tcPr>
          <w:p w14:paraId="11C4BCFC">
            <w:pPr>
              <w:pStyle w:val="12"/>
              <w:jc w:val="center"/>
            </w:pPr>
            <w:r>
              <w:t>4118</w:t>
            </w:r>
          </w:p>
        </w:tc>
        <w:tc>
          <w:tcPr>
            <w:tcW w:w="485" w:type="pct"/>
            <w:vAlign w:val="center"/>
          </w:tcPr>
          <w:p w14:paraId="355AEAB0">
            <w:pPr>
              <w:pStyle w:val="12"/>
              <w:jc w:val="center"/>
            </w:pPr>
            <w:r>
              <w:t>3253</w:t>
            </w:r>
          </w:p>
        </w:tc>
        <w:tc>
          <w:tcPr>
            <w:tcW w:w="485" w:type="pct"/>
            <w:vAlign w:val="center"/>
          </w:tcPr>
          <w:p w14:paraId="7738B9A7">
            <w:pPr>
              <w:pStyle w:val="12"/>
              <w:jc w:val="center"/>
            </w:pPr>
            <w:r>
              <w:t>2845</w:t>
            </w:r>
          </w:p>
        </w:tc>
        <w:tc>
          <w:tcPr>
            <w:tcW w:w="485" w:type="pct"/>
            <w:vAlign w:val="center"/>
          </w:tcPr>
          <w:p w14:paraId="731F14A3">
            <w:pPr>
              <w:pStyle w:val="12"/>
              <w:jc w:val="center"/>
            </w:pPr>
            <w:r>
              <w:t>6547</w:t>
            </w:r>
          </w:p>
        </w:tc>
      </w:tr>
      <w:tr w14:paraId="535628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17D4F4B5">
            <w:pPr>
              <w:pStyle w:val="12"/>
              <w:jc w:val="center"/>
            </w:pPr>
            <w:r>
              <w:t>S244</w:t>
            </w:r>
          </w:p>
        </w:tc>
        <w:tc>
          <w:tcPr>
            <w:tcW w:w="484" w:type="pct"/>
            <w:vAlign w:val="center"/>
          </w:tcPr>
          <w:p w14:paraId="70842AE3">
            <w:pPr>
              <w:pStyle w:val="12"/>
              <w:jc w:val="center"/>
            </w:pPr>
            <w:r>
              <w:t>1035</w:t>
            </w:r>
          </w:p>
        </w:tc>
        <w:tc>
          <w:tcPr>
            <w:tcW w:w="485" w:type="pct"/>
            <w:vAlign w:val="center"/>
          </w:tcPr>
          <w:p w14:paraId="0E89DB86">
            <w:pPr>
              <w:pStyle w:val="12"/>
              <w:jc w:val="center"/>
            </w:pPr>
            <w:r>
              <w:t>1237</w:t>
            </w:r>
          </w:p>
        </w:tc>
        <w:tc>
          <w:tcPr>
            <w:tcW w:w="485" w:type="pct"/>
            <w:vAlign w:val="center"/>
          </w:tcPr>
          <w:p w14:paraId="66AA4632">
            <w:pPr>
              <w:pStyle w:val="12"/>
              <w:jc w:val="center"/>
            </w:pPr>
            <w:r>
              <w:t>1604</w:t>
            </w:r>
          </w:p>
        </w:tc>
        <w:tc>
          <w:tcPr>
            <w:tcW w:w="485" w:type="pct"/>
            <w:vAlign w:val="center"/>
          </w:tcPr>
          <w:p w14:paraId="7F84F51B">
            <w:pPr>
              <w:pStyle w:val="12"/>
              <w:jc w:val="center"/>
            </w:pPr>
            <w:r>
              <w:t>1160</w:t>
            </w:r>
          </w:p>
        </w:tc>
        <w:tc>
          <w:tcPr>
            <w:tcW w:w="484" w:type="pct"/>
            <w:vAlign w:val="center"/>
          </w:tcPr>
          <w:p w14:paraId="055B5BAB">
            <w:pPr>
              <w:pStyle w:val="12"/>
              <w:jc w:val="center"/>
            </w:pPr>
            <w:r>
              <w:t>628</w:t>
            </w:r>
          </w:p>
        </w:tc>
        <w:tc>
          <w:tcPr>
            <w:tcW w:w="485" w:type="pct"/>
            <w:vAlign w:val="center"/>
          </w:tcPr>
          <w:p w14:paraId="510A9553">
            <w:pPr>
              <w:pStyle w:val="12"/>
              <w:jc w:val="center"/>
            </w:pPr>
            <w:r>
              <w:t>403</w:t>
            </w:r>
          </w:p>
        </w:tc>
        <w:tc>
          <w:tcPr>
            <w:tcW w:w="485" w:type="pct"/>
            <w:vAlign w:val="center"/>
          </w:tcPr>
          <w:p w14:paraId="6897121C">
            <w:pPr>
              <w:pStyle w:val="12"/>
              <w:jc w:val="center"/>
            </w:pPr>
            <w:r>
              <w:t>385</w:t>
            </w:r>
          </w:p>
        </w:tc>
        <w:tc>
          <w:tcPr>
            <w:tcW w:w="485" w:type="pct"/>
            <w:vAlign w:val="center"/>
          </w:tcPr>
          <w:p w14:paraId="7D5377DA">
            <w:pPr>
              <w:pStyle w:val="12"/>
              <w:jc w:val="center"/>
            </w:pPr>
            <w:r>
              <w:t>244</w:t>
            </w:r>
          </w:p>
        </w:tc>
      </w:tr>
      <w:tr w14:paraId="7A7E07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5F6FCF02">
            <w:pPr>
              <w:pStyle w:val="12"/>
              <w:jc w:val="center"/>
            </w:pPr>
            <w:r>
              <w:t>S342</w:t>
            </w:r>
          </w:p>
        </w:tc>
        <w:tc>
          <w:tcPr>
            <w:tcW w:w="484" w:type="pct"/>
            <w:vAlign w:val="center"/>
          </w:tcPr>
          <w:p w14:paraId="5A5F3A50">
            <w:pPr>
              <w:pStyle w:val="12"/>
              <w:jc w:val="center"/>
            </w:pPr>
            <w:r>
              <w:t>1217</w:t>
            </w:r>
          </w:p>
        </w:tc>
        <w:tc>
          <w:tcPr>
            <w:tcW w:w="485" w:type="pct"/>
            <w:vAlign w:val="center"/>
          </w:tcPr>
          <w:p w14:paraId="73434266">
            <w:pPr>
              <w:pStyle w:val="12"/>
              <w:jc w:val="center"/>
            </w:pPr>
            <w:r>
              <w:t>1378</w:t>
            </w:r>
          </w:p>
        </w:tc>
        <w:tc>
          <w:tcPr>
            <w:tcW w:w="485" w:type="pct"/>
            <w:vAlign w:val="center"/>
          </w:tcPr>
          <w:p w14:paraId="764E8A64">
            <w:pPr>
              <w:pStyle w:val="12"/>
              <w:jc w:val="center"/>
            </w:pPr>
            <w:r>
              <w:t>3200</w:t>
            </w:r>
          </w:p>
        </w:tc>
        <w:tc>
          <w:tcPr>
            <w:tcW w:w="485" w:type="pct"/>
            <w:vAlign w:val="center"/>
          </w:tcPr>
          <w:p w14:paraId="7A5D1A77">
            <w:pPr>
              <w:pStyle w:val="12"/>
              <w:jc w:val="center"/>
            </w:pPr>
            <w:r>
              <w:t>2722</w:t>
            </w:r>
          </w:p>
        </w:tc>
        <w:tc>
          <w:tcPr>
            <w:tcW w:w="484" w:type="pct"/>
            <w:vAlign w:val="center"/>
          </w:tcPr>
          <w:p w14:paraId="79548C97">
            <w:pPr>
              <w:pStyle w:val="12"/>
              <w:jc w:val="center"/>
            </w:pPr>
            <w:r>
              <w:t>1792</w:t>
            </w:r>
          </w:p>
        </w:tc>
        <w:tc>
          <w:tcPr>
            <w:tcW w:w="485" w:type="pct"/>
            <w:vAlign w:val="center"/>
          </w:tcPr>
          <w:p w14:paraId="612AD442">
            <w:pPr>
              <w:pStyle w:val="12"/>
              <w:jc w:val="center"/>
            </w:pPr>
            <w:r>
              <w:t>3719</w:t>
            </w:r>
          </w:p>
        </w:tc>
        <w:tc>
          <w:tcPr>
            <w:tcW w:w="485" w:type="pct"/>
            <w:vAlign w:val="center"/>
          </w:tcPr>
          <w:p w14:paraId="1FD8E017">
            <w:pPr>
              <w:pStyle w:val="12"/>
              <w:jc w:val="center"/>
            </w:pPr>
            <w:r>
              <w:t>3433</w:t>
            </w:r>
          </w:p>
        </w:tc>
        <w:tc>
          <w:tcPr>
            <w:tcW w:w="485" w:type="pct"/>
            <w:vAlign w:val="center"/>
          </w:tcPr>
          <w:p w14:paraId="74A7DCEE">
            <w:pPr>
              <w:pStyle w:val="12"/>
              <w:jc w:val="center"/>
            </w:pPr>
            <w:r>
              <w:t>4720</w:t>
            </w:r>
          </w:p>
        </w:tc>
      </w:tr>
      <w:tr w14:paraId="4C9963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69D3F35E">
            <w:pPr>
              <w:pStyle w:val="12"/>
              <w:jc w:val="center"/>
            </w:pPr>
            <w:r>
              <w:rPr>
                <w:rFonts w:hint="eastAsia"/>
              </w:rPr>
              <w:t>河南桥至氮肥厂路段</w:t>
            </w:r>
          </w:p>
        </w:tc>
        <w:tc>
          <w:tcPr>
            <w:tcW w:w="484" w:type="pct"/>
            <w:vAlign w:val="center"/>
          </w:tcPr>
          <w:p w14:paraId="1409A601">
            <w:pPr>
              <w:pStyle w:val="12"/>
              <w:jc w:val="center"/>
            </w:pPr>
            <w:r>
              <w:rPr>
                <w:rFonts w:hint="eastAsia"/>
              </w:rPr>
              <w:t>—</w:t>
            </w:r>
          </w:p>
        </w:tc>
        <w:tc>
          <w:tcPr>
            <w:tcW w:w="485" w:type="pct"/>
            <w:vAlign w:val="center"/>
          </w:tcPr>
          <w:p w14:paraId="1144BCB7">
            <w:pPr>
              <w:pStyle w:val="12"/>
              <w:jc w:val="center"/>
            </w:pPr>
            <w:r>
              <w:rPr>
                <w:rFonts w:hint="eastAsia"/>
              </w:rPr>
              <w:t>—</w:t>
            </w:r>
          </w:p>
        </w:tc>
        <w:tc>
          <w:tcPr>
            <w:tcW w:w="485" w:type="pct"/>
            <w:vAlign w:val="center"/>
          </w:tcPr>
          <w:p w14:paraId="586B9474">
            <w:pPr>
              <w:pStyle w:val="12"/>
              <w:jc w:val="center"/>
            </w:pPr>
            <w:r>
              <w:rPr>
                <w:rFonts w:hint="eastAsia"/>
              </w:rPr>
              <w:t>—</w:t>
            </w:r>
          </w:p>
        </w:tc>
        <w:tc>
          <w:tcPr>
            <w:tcW w:w="485" w:type="pct"/>
            <w:vAlign w:val="center"/>
          </w:tcPr>
          <w:p w14:paraId="7477DFCC">
            <w:pPr>
              <w:pStyle w:val="12"/>
              <w:jc w:val="center"/>
            </w:pPr>
            <w:r>
              <w:rPr>
                <w:rFonts w:hint="eastAsia"/>
              </w:rPr>
              <w:t>—</w:t>
            </w:r>
          </w:p>
        </w:tc>
        <w:tc>
          <w:tcPr>
            <w:tcW w:w="484" w:type="pct"/>
            <w:vAlign w:val="center"/>
          </w:tcPr>
          <w:p w14:paraId="48781D38">
            <w:pPr>
              <w:pStyle w:val="12"/>
              <w:jc w:val="center"/>
            </w:pPr>
            <w:r>
              <w:rPr>
                <w:rFonts w:hint="eastAsia"/>
              </w:rPr>
              <w:t>3144</w:t>
            </w:r>
          </w:p>
        </w:tc>
        <w:tc>
          <w:tcPr>
            <w:tcW w:w="485" w:type="pct"/>
            <w:vAlign w:val="center"/>
          </w:tcPr>
          <w:p w14:paraId="5E51AFDD">
            <w:pPr>
              <w:pStyle w:val="12"/>
              <w:jc w:val="center"/>
            </w:pPr>
            <w:r>
              <w:rPr>
                <w:rFonts w:hint="eastAsia"/>
              </w:rPr>
              <w:t>2170</w:t>
            </w:r>
          </w:p>
        </w:tc>
        <w:tc>
          <w:tcPr>
            <w:tcW w:w="485" w:type="pct"/>
            <w:vAlign w:val="center"/>
          </w:tcPr>
          <w:p w14:paraId="4101A9D5">
            <w:pPr>
              <w:pStyle w:val="12"/>
              <w:jc w:val="center"/>
            </w:pPr>
            <w:r>
              <w:rPr>
                <w:rFonts w:hint="eastAsia"/>
              </w:rPr>
              <w:t>2893</w:t>
            </w:r>
          </w:p>
        </w:tc>
        <w:tc>
          <w:tcPr>
            <w:tcW w:w="485" w:type="pct"/>
            <w:vAlign w:val="center"/>
          </w:tcPr>
          <w:p w14:paraId="173774D4">
            <w:pPr>
              <w:pStyle w:val="12"/>
              <w:jc w:val="center"/>
            </w:pPr>
            <w:r>
              <w:rPr>
                <w:rFonts w:hint="eastAsia"/>
              </w:rPr>
              <w:t>4750</w:t>
            </w:r>
          </w:p>
        </w:tc>
      </w:tr>
    </w:tbl>
    <w:p w14:paraId="0A4CD9D4">
      <w:pPr>
        <w:ind w:firstLine="0" w:firstLineChars="0"/>
        <w:jc w:val="center"/>
        <w:rPr>
          <w:rFonts w:ascii="宋体" w:hAnsi="宋体"/>
          <w:b/>
        </w:rPr>
      </w:pPr>
      <w:r>
        <w:rPr>
          <w:rFonts w:hint="eastAsia" w:ascii="宋体" w:hAnsi="宋体"/>
          <w:b/>
        </w:rPr>
        <w:t>南雄县县属公路交通流量日测统计</w:t>
      </w:r>
    </w:p>
    <w:p w14:paraId="4C3309DD">
      <w:pPr>
        <w:ind w:firstLine="0" w:firstLineChars="0"/>
        <w:rPr>
          <w:rFonts w:ascii="宋体" w:hAnsi="宋体"/>
          <w:b/>
        </w:rPr>
      </w:pPr>
      <w:r>
        <w:rPr>
          <w:rFonts w:hint="eastAsia" w:ascii="宋体" w:hAnsi="宋体"/>
          <w:b/>
        </w:rPr>
        <w:t>表3-10</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59"/>
        <w:gridCol w:w="1659"/>
        <w:gridCol w:w="1662"/>
        <w:gridCol w:w="1662"/>
        <w:gridCol w:w="1662"/>
        <w:gridCol w:w="1658"/>
      </w:tblGrid>
      <w:tr w14:paraId="68023C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Merge w:val="restart"/>
            <w:vAlign w:val="center"/>
          </w:tcPr>
          <w:p w14:paraId="683E98F1">
            <w:pPr>
              <w:pStyle w:val="12"/>
              <w:jc w:val="center"/>
              <w:rPr>
                <w:b/>
              </w:rPr>
            </w:pPr>
            <w:r>
              <w:rPr>
                <w:rFonts w:hint="eastAsia"/>
                <w:b/>
              </w:rPr>
              <w:t>路线名称</w:t>
            </w:r>
          </w:p>
        </w:tc>
        <w:tc>
          <w:tcPr>
            <w:tcW w:w="833" w:type="pct"/>
            <w:vMerge w:val="restart"/>
            <w:vAlign w:val="center"/>
          </w:tcPr>
          <w:p w14:paraId="240E24F0">
            <w:pPr>
              <w:pStyle w:val="12"/>
              <w:jc w:val="center"/>
              <w:rPr>
                <w:b/>
              </w:rPr>
            </w:pPr>
            <w:r>
              <w:rPr>
                <w:rFonts w:hint="eastAsia"/>
                <w:b/>
              </w:rPr>
              <w:t>里程（公里）</w:t>
            </w:r>
          </w:p>
        </w:tc>
        <w:tc>
          <w:tcPr>
            <w:tcW w:w="3334" w:type="pct"/>
            <w:gridSpan w:val="4"/>
            <w:vAlign w:val="center"/>
          </w:tcPr>
          <w:p w14:paraId="26C9ABEB">
            <w:pPr>
              <w:pStyle w:val="12"/>
              <w:jc w:val="center"/>
              <w:rPr>
                <w:b/>
              </w:rPr>
            </w:pPr>
            <w:r>
              <w:rPr>
                <w:rFonts w:hint="eastAsia"/>
                <w:b/>
              </w:rPr>
              <w:t>交通量（辆/日）</w:t>
            </w:r>
          </w:p>
        </w:tc>
      </w:tr>
      <w:tr w14:paraId="29A663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Merge w:val="continue"/>
            <w:vAlign w:val="center"/>
          </w:tcPr>
          <w:p w14:paraId="7F4A6120">
            <w:pPr>
              <w:pStyle w:val="12"/>
              <w:jc w:val="center"/>
            </w:pPr>
          </w:p>
        </w:tc>
        <w:tc>
          <w:tcPr>
            <w:tcW w:w="833" w:type="pct"/>
            <w:vMerge w:val="continue"/>
            <w:vAlign w:val="center"/>
          </w:tcPr>
          <w:p w14:paraId="7645D457">
            <w:pPr>
              <w:pStyle w:val="12"/>
              <w:jc w:val="center"/>
            </w:pPr>
          </w:p>
        </w:tc>
        <w:tc>
          <w:tcPr>
            <w:tcW w:w="834" w:type="pct"/>
            <w:vAlign w:val="center"/>
          </w:tcPr>
          <w:p w14:paraId="30CCCA6F">
            <w:pPr>
              <w:pStyle w:val="12"/>
              <w:jc w:val="center"/>
              <w:rPr>
                <w:b/>
              </w:rPr>
            </w:pPr>
            <w:r>
              <w:rPr>
                <w:rFonts w:hint="eastAsia"/>
                <w:b/>
              </w:rPr>
              <w:t>1981年</w:t>
            </w:r>
          </w:p>
        </w:tc>
        <w:tc>
          <w:tcPr>
            <w:tcW w:w="834" w:type="pct"/>
            <w:vAlign w:val="center"/>
          </w:tcPr>
          <w:p w14:paraId="4E605C3A">
            <w:pPr>
              <w:pStyle w:val="12"/>
              <w:jc w:val="center"/>
              <w:rPr>
                <w:b/>
              </w:rPr>
            </w:pPr>
            <w:r>
              <w:rPr>
                <w:rFonts w:hint="eastAsia"/>
                <w:b/>
              </w:rPr>
              <w:t>1984年</w:t>
            </w:r>
          </w:p>
        </w:tc>
        <w:tc>
          <w:tcPr>
            <w:tcW w:w="834" w:type="pct"/>
            <w:vAlign w:val="center"/>
          </w:tcPr>
          <w:p w14:paraId="43252F8A">
            <w:pPr>
              <w:pStyle w:val="12"/>
              <w:jc w:val="center"/>
              <w:rPr>
                <w:b/>
              </w:rPr>
            </w:pPr>
            <w:r>
              <w:rPr>
                <w:rFonts w:hint="eastAsia"/>
                <w:b/>
              </w:rPr>
              <w:t>1987年</w:t>
            </w:r>
          </w:p>
        </w:tc>
        <w:tc>
          <w:tcPr>
            <w:tcW w:w="834" w:type="pct"/>
            <w:vAlign w:val="center"/>
          </w:tcPr>
          <w:p w14:paraId="16CB4627">
            <w:pPr>
              <w:pStyle w:val="12"/>
              <w:jc w:val="center"/>
              <w:rPr>
                <w:b/>
              </w:rPr>
            </w:pPr>
            <w:r>
              <w:rPr>
                <w:rFonts w:hint="eastAsia"/>
                <w:b/>
              </w:rPr>
              <w:t>2005年</w:t>
            </w:r>
          </w:p>
        </w:tc>
      </w:tr>
      <w:tr w14:paraId="668B41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65FF03E1">
            <w:pPr>
              <w:pStyle w:val="12"/>
              <w:jc w:val="center"/>
            </w:pPr>
            <w:r>
              <w:rPr>
                <w:rFonts w:hint="eastAsia"/>
              </w:rPr>
              <w:t>黄泥井—坪田</w:t>
            </w:r>
          </w:p>
        </w:tc>
        <w:tc>
          <w:tcPr>
            <w:tcW w:w="833" w:type="pct"/>
            <w:vAlign w:val="center"/>
          </w:tcPr>
          <w:p w14:paraId="0CFAF7BC">
            <w:pPr>
              <w:pStyle w:val="12"/>
              <w:jc w:val="center"/>
            </w:pPr>
            <w:r>
              <w:rPr>
                <w:rFonts w:hint="eastAsia"/>
              </w:rPr>
              <w:t>20.7</w:t>
            </w:r>
          </w:p>
        </w:tc>
        <w:tc>
          <w:tcPr>
            <w:tcW w:w="834" w:type="pct"/>
            <w:vAlign w:val="center"/>
          </w:tcPr>
          <w:p w14:paraId="36FEB527">
            <w:pPr>
              <w:pStyle w:val="12"/>
              <w:jc w:val="center"/>
            </w:pPr>
            <w:r>
              <w:rPr>
                <w:rFonts w:hint="eastAsia"/>
              </w:rPr>
              <w:t>66</w:t>
            </w:r>
          </w:p>
        </w:tc>
        <w:tc>
          <w:tcPr>
            <w:tcW w:w="834" w:type="pct"/>
            <w:vAlign w:val="center"/>
          </w:tcPr>
          <w:p w14:paraId="6347CCFA">
            <w:pPr>
              <w:pStyle w:val="12"/>
              <w:jc w:val="center"/>
            </w:pPr>
            <w:r>
              <w:rPr>
                <w:rFonts w:hint="eastAsia"/>
              </w:rPr>
              <w:t>86</w:t>
            </w:r>
          </w:p>
        </w:tc>
        <w:tc>
          <w:tcPr>
            <w:tcW w:w="834" w:type="pct"/>
            <w:vAlign w:val="center"/>
          </w:tcPr>
          <w:p w14:paraId="5ED6368C">
            <w:pPr>
              <w:pStyle w:val="12"/>
              <w:jc w:val="center"/>
            </w:pPr>
            <w:r>
              <w:rPr>
                <w:rFonts w:hint="eastAsia"/>
              </w:rPr>
              <w:t>88</w:t>
            </w:r>
          </w:p>
        </w:tc>
        <w:tc>
          <w:tcPr>
            <w:tcW w:w="834" w:type="pct"/>
            <w:vAlign w:val="center"/>
          </w:tcPr>
          <w:p w14:paraId="5AD98020">
            <w:pPr>
              <w:pStyle w:val="12"/>
              <w:jc w:val="center"/>
            </w:pPr>
            <w:r>
              <w:rPr>
                <w:rFonts w:hint="eastAsia"/>
              </w:rPr>
              <w:t>1648</w:t>
            </w:r>
          </w:p>
        </w:tc>
      </w:tr>
      <w:tr w14:paraId="3EFEFD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4EF9E2F7">
            <w:pPr>
              <w:pStyle w:val="12"/>
              <w:jc w:val="center"/>
            </w:pPr>
            <w:r>
              <w:rPr>
                <w:rFonts w:hint="eastAsia"/>
              </w:rPr>
              <w:t>分水坳—界址</w:t>
            </w:r>
          </w:p>
        </w:tc>
        <w:tc>
          <w:tcPr>
            <w:tcW w:w="833" w:type="pct"/>
            <w:vAlign w:val="center"/>
          </w:tcPr>
          <w:p w14:paraId="79916965">
            <w:pPr>
              <w:pStyle w:val="12"/>
              <w:jc w:val="center"/>
            </w:pPr>
            <w:r>
              <w:rPr>
                <w:rFonts w:hint="eastAsia"/>
              </w:rPr>
              <w:t>6.9</w:t>
            </w:r>
          </w:p>
        </w:tc>
        <w:tc>
          <w:tcPr>
            <w:tcW w:w="834" w:type="pct"/>
            <w:vAlign w:val="center"/>
          </w:tcPr>
          <w:p w14:paraId="5A2A4087">
            <w:pPr>
              <w:pStyle w:val="12"/>
              <w:jc w:val="center"/>
            </w:pPr>
            <w:r>
              <w:rPr>
                <w:rFonts w:hint="eastAsia"/>
              </w:rPr>
              <w:t>64</w:t>
            </w:r>
          </w:p>
        </w:tc>
        <w:tc>
          <w:tcPr>
            <w:tcW w:w="834" w:type="pct"/>
            <w:vAlign w:val="center"/>
          </w:tcPr>
          <w:p w14:paraId="7F602394">
            <w:pPr>
              <w:pStyle w:val="12"/>
              <w:jc w:val="center"/>
            </w:pPr>
            <w:r>
              <w:rPr>
                <w:rFonts w:hint="eastAsia"/>
              </w:rPr>
              <w:t>94</w:t>
            </w:r>
          </w:p>
        </w:tc>
        <w:tc>
          <w:tcPr>
            <w:tcW w:w="834" w:type="pct"/>
            <w:vAlign w:val="center"/>
          </w:tcPr>
          <w:p w14:paraId="52E224C2">
            <w:pPr>
              <w:pStyle w:val="12"/>
              <w:jc w:val="center"/>
            </w:pPr>
            <w:r>
              <w:rPr>
                <w:rFonts w:hint="eastAsia"/>
              </w:rPr>
              <w:t>94</w:t>
            </w:r>
          </w:p>
        </w:tc>
        <w:tc>
          <w:tcPr>
            <w:tcW w:w="834" w:type="pct"/>
            <w:vAlign w:val="center"/>
          </w:tcPr>
          <w:p w14:paraId="086BCE52">
            <w:pPr>
              <w:pStyle w:val="12"/>
              <w:jc w:val="center"/>
            </w:pPr>
            <w:r>
              <w:rPr>
                <w:rFonts w:hint="eastAsia"/>
              </w:rPr>
              <w:t>980</w:t>
            </w:r>
          </w:p>
        </w:tc>
      </w:tr>
      <w:tr w14:paraId="6EF620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6B752421">
            <w:pPr>
              <w:pStyle w:val="12"/>
              <w:jc w:val="center"/>
            </w:pPr>
            <w:r>
              <w:rPr>
                <w:rFonts w:hint="eastAsia"/>
              </w:rPr>
              <w:t>水口—江头</w:t>
            </w:r>
          </w:p>
        </w:tc>
        <w:tc>
          <w:tcPr>
            <w:tcW w:w="833" w:type="pct"/>
            <w:vAlign w:val="center"/>
          </w:tcPr>
          <w:p w14:paraId="61C1DA33">
            <w:pPr>
              <w:pStyle w:val="12"/>
              <w:jc w:val="center"/>
            </w:pPr>
            <w:r>
              <w:rPr>
                <w:rFonts w:hint="eastAsia"/>
              </w:rPr>
              <w:t>9.5</w:t>
            </w:r>
          </w:p>
        </w:tc>
        <w:tc>
          <w:tcPr>
            <w:tcW w:w="834" w:type="pct"/>
            <w:vAlign w:val="center"/>
          </w:tcPr>
          <w:p w14:paraId="2833BAA3">
            <w:pPr>
              <w:pStyle w:val="12"/>
              <w:jc w:val="center"/>
            </w:pPr>
            <w:r>
              <w:rPr>
                <w:rFonts w:hint="eastAsia"/>
              </w:rPr>
              <w:t>68</w:t>
            </w:r>
          </w:p>
        </w:tc>
        <w:tc>
          <w:tcPr>
            <w:tcW w:w="834" w:type="pct"/>
            <w:vAlign w:val="center"/>
          </w:tcPr>
          <w:p w14:paraId="5267E475">
            <w:pPr>
              <w:pStyle w:val="12"/>
              <w:jc w:val="center"/>
            </w:pPr>
            <w:r>
              <w:rPr>
                <w:rFonts w:hint="eastAsia"/>
              </w:rPr>
              <w:t>73</w:t>
            </w:r>
          </w:p>
        </w:tc>
        <w:tc>
          <w:tcPr>
            <w:tcW w:w="834" w:type="pct"/>
            <w:vAlign w:val="center"/>
          </w:tcPr>
          <w:p w14:paraId="5E995158">
            <w:pPr>
              <w:pStyle w:val="12"/>
              <w:jc w:val="center"/>
            </w:pPr>
            <w:r>
              <w:rPr>
                <w:rFonts w:hint="eastAsia"/>
              </w:rPr>
              <w:t>85</w:t>
            </w:r>
          </w:p>
        </w:tc>
        <w:tc>
          <w:tcPr>
            <w:tcW w:w="834" w:type="pct"/>
            <w:vAlign w:val="center"/>
          </w:tcPr>
          <w:p w14:paraId="2F95817F">
            <w:pPr>
              <w:pStyle w:val="12"/>
              <w:jc w:val="center"/>
            </w:pPr>
            <w:r>
              <w:rPr>
                <w:rFonts w:hint="eastAsia"/>
              </w:rPr>
              <w:t>1340</w:t>
            </w:r>
          </w:p>
        </w:tc>
      </w:tr>
      <w:tr w14:paraId="3DDA68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29D0544A">
            <w:pPr>
              <w:pStyle w:val="12"/>
              <w:jc w:val="center"/>
            </w:pPr>
            <w:r>
              <w:rPr>
                <w:rFonts w:hint="eastAsia"/>
              </w:rPr>
              <w:t>许村—茶头背</w:t>
            </w:r>
          </w:p>
        </w:tc>
        <w:tc>
          <w:tcPr>
            <w:tcW w:w="833" w:type="pct"/>
            <w:vAlign w:val="center"/>
          </w:tcPr>
          <w:p w14:paraId="47EE612B">
            <w:pPr>
              <w:pStyle w:val="12"/>
              <w:jc w:val="center"/>
            </w:pPr>
            <w:r>
              <w:rPr>
                <w:rFonts w:hint="eastAsia"/>
              </w:rPr>
              <w:t>6.0</w:t>
            </w:r>
          </w:p>
        </w:tc>
        <w:tc>
          <w:tcPr>
            <w:tcW w:w="834" w:type="pct"/>
            <w:vAlign w:val="center"/>
          </w:tcPr>
          <w:p w14:paraId="30FF1728">
            <w:pPr>
              <w:pStyle w:val="12"/>
              <w:jc w:val="center"/>
            </w:pPr>
            <w:r>
              <w:rPr>
                <w:rFonts w:hint="eastAsia"/>
              </w:rPr>
              <w:t>66</w:t>
            </w:r>
          </w:p>
        </w:tc>
        <w:tc>
          <w:tcPr>
            <w:tcW w:w="834" w:type="pct"/>
            <w:vAlign w:val="center"/>
          </w:tcPr>
          <w:p w14:paraId="016A0CC1">
            <w:pPr>
              <w:pStyle w:val="12"/>
              <w:jc w:val="center"/>
            </w:pPr>
            <w:r>
              <w:rPr>
                <w:rFonts w:hint="eastAsia"/>
              </w:rPr>
              <w:t>74</w:t>
            </w:r>
          </w:p>
        </w:tc>
        <w:tc>
          <w:tcPr>
            <w:tcW w:w="834" w:type="pct"/>
            <w:vAlign w:val="center"/>
          </w:tcPr>
          <w:p w14:paraId="29F6B579">
            <w:pPr>
              <w:pStyle w:val="12"/>
              <w:jc w:val="center"/>
            </w:pPr>
            <w:r>
              <w:rPr>
                <w:rFonts w:hint="eastAsia"/>
              </w:rPr>
              <w:t>90</w:t>
            </w:r>
          </w:p>
        </w:tc>
        <w:tc>
          <w:tcPr>
            <w:tcW w:w="834" w:type="pct"/>
            <w:vAlign w:val="center"/>
          </w:tcPr>
          <w:p w14:paraId="3FA54D90">
            <w:pPr>
              <w:pStyle w:val="12"/>
              <w:jc w:val="center"/>
            </w:pPr>
            <w:r>
              <w:rPr>
                <w:rFonts w:hint="eastAsia"/>
              </w:rPr>
              <w:t>1803</w:t>
            </w:r>
          </w:p>
        </w:tc>
      </w:tr>
      <w:tr w14:paraId="72B809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2F723224">
            <w:pPr>
              <w:pStyle w:val="12"/>
              <w:jc w:val="center"/>
            </w:pPr>
            <w:r>
              <w:rPr>
                <w:rFonts w:hint="eastAsia"/>
              </w:rPr>
              <w:t>黄坑—大兰</w:t>
            </w:r>
          </w:p>
        </w:tc>
        <w:tc>
          <w:tcPr>
            <w:tcW w:w="833" w:type="pct"/>
            <w:vAlign w:val="center"/>
          </w:tcPr>
          <w:p w14:paraId="739737F6">
            <w:pPr>
              <w:pStyle w:val="12"/>
              <w:jc w:val="center"/>
            </w:pPr>
            <w:r>
              <w:rPr>
                <w:rFonts w:hint="eastAsia"/>
              </w:rPr>
              <w:t>17.0</w:t>
            </w:r>
          </w:p>
        </w:tc>
        <w:tc>
          <w:tcPr>
            <w:tcW w:w="834" w:type="pct"/>
            <w:vAlign w:val="center"/>
          </w:tcPr>
          <w:p w14:paraId="0327A9F9">
            <w:pPr>
              <w:pStyle w:val="12"/>
              <w:jc w:val="center"/>
            </w:pPr>
            <w:r>
              <w:rPr>
                <w:rFonts w:hint="eastAsia"/>
              </w:rPr>
              <w:t>83</w:t>
            </w:r>
          </w:p>
        </w:tc>
        <w:tc>
          <w:tcPr>
            <w:tcW w:w="834" w:type="pct"/>
            <w:vAlign w:val="center"/>
          </w:tcPr>
          <w:p w14:paraId="2A8A77AB">
            <w:pPr>
              <w:pStyle w:val="12"/>
              <w:jc w:val="center"/>
            </w:pPr>
            <w:r>
              <w:rPr>
                <w:rFonts w:hint="eastAsia"/>
              </w:rPr>
              <w:t>98</w:t>
            </w:r>
          </w:p>
        </w:tc>
        <w:tc>
          <w:tcPr>
            <w:tcW w:w="834" w:type="pct"/>
            <w:vAlign w:val="center"/>
          </w:tcPr>
          <w:p w14:paraId="3F6CF410">
            <w:pPr>
              <w:pStyle w:val="12"/>
              <w:jc w:val="center"/>
            </w:pPr>
            <w:r>
              <w:rPr>
                <w:rFonts w:hint="eastAsia"/>
              </w:rPr>
              <w:t>151</w:t>
            </w:r>
          </w:p>
        </w:tc>
        <w:tc>
          <w:tcPr>
            <w:tcW w:w="834" w:type="pct"/>
            <w:vAlign w:val="center"/>
          </w:tcPr>
          <w:p w14:paraId="1AE5DCB0">
            <w:pPr>
              <w:pStyle w:val="12"/>
              <w:jc w:val="center"/>
            </w:pPr>
            <w:r>
              <w:rPr>
                <w:rFonts w:hint="eastAsia"/>
              </w:rPr>
              <w:t>2012</w:t>
            </w:r>
          </w:p>
        </w:tc>
      </w:tr>
      <w:tr w14:paraId="7B1087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446804DC">
            <w:pPr>
              <w:pStyle w:val="12"/>
              <w:jc w:val="center"/>
            </w:pPr>
            <w:r>
              <w:rPr>
                <w:rFonts w:hint="eastAsia"/>
              </w:rPr>
              <w:t>南雄—棉土窝</w:t>
            </w:r>
          </w:p>
        </w:tc>
        <w:tc>
          <w:tcPr>
            <w:tcW w:w="833" w:type="pct"/>
            <w:vAlign w:val="center"/>
          </w:tcPr>
          <w:p w14:paraId="05E38E55">
            <w:pPr>
              <w:pStyle w:val="12"/>
              <w:jc w:val="center"/>
            </w:pPr>
            <w:r>
              <w:rPr>
                <w:rFonts w:hint="eastAsia"/>
              </w:rPr>
              <w:t>7.0</w:t>
            </w:r>
          </w:p>
        </w:tc>
        <w:tc>
          <w:tcPr>
            <w:tcW w:w="834" w:type="pct"/>
            <w:vAlign w:val="center"/>
          </w:tcPr>
          <w:p w14:paraId="1C7AB127">
            <w:pPr>
              <w:pStyle w:val="12"/>
              <w:jc w:val="center"/>
            </w:pPr>
            <w:r>
              <w:rPr>
                <w:rFonts w:hint="eastAsia"/>
              </w:rPr>
              <w:t>107</w:t>
            </w:r>
          </w:p>
        </w:tc>
        <w:tc>
          <w:tcPr>
            <w:tcW w:w="834" w:type="pct"/>
            <w:vAlign w:val="center"/>
          </w:tcPr>
          <w:p w14:paraId="68D6F7E5">
            <w:pPr>
              <w:pStyle w:val="12"/>
              <w:jc w:val="center"/>
            </w:pPr>
            <w:r>
              <w:rPr>
                <w:rFonts w:hint="eastAsia"/>
              </w:rPr>
              <w:t>141</w:t>
            </w:r>
          </w:p>
        </w:tc>
        <w:tc>
          <w:tcPr>
            <w:tcW w:w="834" w:type="pct"/>
            <w:vAlign w:val="center"/>
          </w:tcPr>
          <w:p w14:paraId="25002FDE">
            <w:pPr>
              <w:pStyle w:val="12"/>
              <w:jc w:val="center"/>
            </w:pPr>
            <w:r>
              <w:rPr>
                <w:rFonts w:hint="eastAsia"/>
              </w:rPr>
              <w:t>158</w:t>
            </w:r>
          </w:p>
        </w:tc>
        <w:tc>
          <w:tcPr>
            <w:tcW w:w="834" w:type="pct"/>
            <w:vAlign w:val="center"/>
          </w:tcPr>
          <w:p w14:paraId="62F2C849">
            <w:pPr>
              <w:pStyle w:val="12"/>
              <w:jc w:val="center"/>
            </w:pPr>
            <w:r>
              <w:rPr>
                <w:rFonts w:hint="eastAsia"/>
              </w:rPr>
              <w:t>1731</w:t>
            </w:r>
          </w:p>
        </w:tc>
      </w:tr>
      <w:tr w14:paraId="0DC71A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703AFA75">
            <w:pPr>
              <w:pStyle w:val="12"/>
              <w:jc w:val="center"/>
            </w:pPr>
            <w:r>
              <w:rPr>
                <w:rFonts w:hint="eastAsia"/>
              </w:rPr>
              <w:t>全安—苍石</w:t>
            </w:r>
          </w:p>
        </w:tc>
        <w:tc>
          <w:tcPr>
            <w:tcW w:w="833" w:type="pct"/>
            <w:vAlign w:val="center"/>
          </w:tcPr>
          <w:p w14:paraId="1A4E6960">
            <w:pPr>
              <w:pStyle w:val="12"/>
              <w:jc w:val="center"/>
            </w:pPr>
            <w:r>
              <w:rPr>
                <w:rFonts w:hint="eastAsia"/>
              </w:rPr>
              <w:t>8.0</w:t>
            </w:r>
          </w:p>
        </w:tc>
        <w:tc>
          <w:tcPr>
            <w:tcW w:w="834" w:type="pct"/>
            <w:vAlign w:val="center"/>
          </w:tcPr>
          <w:p w14:paraId="72BCE00E">
            <w:pPr>
              <w:pStyle w:val="12"/>
              <w:jc w:val="center"/>
            </w:pPr>
            <w:r>
              <w:rPr>
                <w:rFonts w:hint="eastAsia"/>
              </w:rPr>
              <w:t>75</w:t>
            </w:r>
          </w:p>
        </w:tc>
        <w:tc>
          <w:tcPr>
            <w:tcW w:w="834" w:type="pct"/>
            <w:vAlign w:val="center"/>
          </w:tcPr>
          <w:p w14:paraId="2435F7DD">
            <w:pPr>
              <w:pStyle w:val="12"/>
              <w:jc w:val="center"/>
            </w:pPr>
            <w:r>
              <w:rPr>
                <w:rFonts w:hint="eastAsia"/>
              </w:rPr>
              <w:t>97</w:t>
            </w:r>
          </w:p>
        </w:tc>
        <w:tc>
          <w:tcPr>
            <w:tcW w:w="834" w:type="pct"/>
            <w:vAlign w:val="center"/>
          </w:tcPr>
          <w:p w14:paraId="7D8F3714">
            <w:pPr>
              <w:pStyle w:val="12"/>
              <w:jc w:val="center"/>
            </w:pPr>
            <w:r>
              <w:rPr>
                <w:rFonts w:hint="eastAsia"/>
              </w:rPr>
              <w:t>130</w:t>
            </w:r>
          </w:p>
        </w:tc>
        <w:tc>
          <w:tcPr>
            <w:tcW w:w="834" w:type="pct"/>
            <w:vAlign w:val="center"/>
          </w:tcPr>
          <w:p w14:paraId="44C132B6">
            <w:pPr>
              <w:pStyle w:val="12"/>
              <w:jc w:val="center"/>
            </w:pPr>
            <w:r>
              <w:rPr>
                <w:rFonts w:hint="eastAsia"/>
              </w:rPr>
              <w:t>945</w:t>
            </w:r>
          </w:p>
        </w:tc>
      </w:tr>
      <w:tr w14:paraId="17553B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1BEABA7D">
            <w:pPr>
              <w:pStyle w:val="12"/>
              <w:jc w:val="center"/>
            </w:pPr>
            <w:r>
              <w:rPr>
                <w:rFonts w:hint="eastAsia"/>
              </w:rPr>
              <w:t>乌迳—孔江</w:t>
            </w:r>
          </w:p>
        </w:tc>
        <w:tc>
          <w:tcPr>
            <w:tcW w:w="833" w:type="pct"/>
            <w:vAlign w:val="center"/>
          </w:tcPr>
          <w:p w14:paraId="55478A53">
            <w:pPr>
              <w:pStyle w:val="12"/>
              <w:jc w:val="center"/>
            </w:pPr>
            <w:r>
              <w:rPr>
                <w:rFonts w:hint="eastAsia"/>
              </w:rPr>
              <w:t>3.2</w:t>
            </w:r>
          </w:p>
        </w:tc>
        <w:tc>
          <w:tcPr>
            <w:tcW w:w="834" w:type="pct"/>
            <w:vAlign w:val="center"/>
          </w:tcPr>
          <w:p w14:paraId="26DEB399">
            <w:pPr>
              <w:pStyle w:val="12"/>
              <w:jc w:val="center"/>
            </w:pPr>
            <w:r>
              <w:rPr>
                <w:rFonts w:hint="eastAsia"/>
              </w:rPr>
              <w:t>65</w:t>
            </w:r>
          </w:p>
        </w:tc>
        <w:tc>
          <w:tcPr>
            <w:tcW w:w="834" w:type="pct"/>
            <w:vAlign w:val="center"/>
          </w:tcPr>
          <w:p w14:paraId="452CA695">
            <w:pPr>
              <w:pStyle w:val="12"/>
              <w:jc w:val="center"/>
            </w:pPr>
            <w:r>
              <w:rPr>
                <w:rFonts w:hint="eastAsia"/>
              </w:rPr>
              <w:t>72</w:t>
            </w:r>
          </w:p>
        </w:tc>
        <w:tc>
          <w:tcPr>
            <w:tcW w:w="834" w:type="pct"/>
            <w:vAlign w:val="center"/>
          </w:tcPr>
          <w:p w14:paraId="7FB45E4A">
            <w:pPr>
              <w:pStyle w:val="12"/>
              <w:jc w:val="center"/>
            </w:pPr>
            <w:r>
              <w:rPr>
                <w:rFonts w:hint="eastAsia"/>
              </w:rPr>
              <w:t>81</w:t>
            </w:r>
          </w:p>
        </w:tc>
        <w:tc>
          <w:tcPr>
            <w:tcW w:w="834" w:type="pct"/>
            <w:vAlign w:val="center"/>
          </w:tcPr>
          <w:p w14:paraId="62F42DC3">
            <w:pPr>
              <w:pStyle w:val="12"/>
              <w:jc w:val="center"/>
            </w:pPr>
            <w:r>
              <w:rPr>
                <w:rFonts w:hint="eastAsia"/>
              </w:rPr>
              <w:t>465</w:t>
            </w:r>
          </w:p>
        </w:tc>
      </w:tr>
      <w:tr w14:paraId="0600F3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2B8F453F">
            <w:pPr>
              <w:pStyle w:val="12"/>
              <w:jc w:val="center"/>
            </w:pPr>
            <w:r>
              <w:rPr>
                <w:rFonts w:hint="eastAsia"/>
              </w:rPr>
              <w:t>湖口—南亩</w:t>
            </w:r>
          </w:p>
        </w:tc>
        <w:tc>
          <w:tcPr>
            <w:tcW w:w="833" w:type="pct"/>
            <w:vAlign w:val="center"/>
          </w:tcPr>
          <w:p w14:paraId="4474067E">
            <w:pPr>
              <w:pStyle w:val="12"/>
              <w:jc w:val="center"/>
            </w:pPr>
            <w:r>
              <w:rPr>
                <w:rFonts w:hint="eastAsia"/>
              </w:rPr>
              <w:t>19.6</w:t>
            </w:r>
          </w:p>
        </w:tc>
        <w:tc>
          <w:tcPr>
            <w:tcW w:w="834" w:type="pct"/>
            <w:vAlign w:val="center"/>
          </w:tcPr>
          <w:p w14:paraId="24E4AFC1">
            <w:pPr>
              <w:pStyle w:val="12"/>
              <w:jc w:val="center"/>
            </w:pPr>
            <w:r>
              <w:rPr>
                <w:rFonts w:hint="eastAsia"/>
              </w:rPr>
              <w:t>137</w:t>
            </w:r>
          </w:p>
        </w:tc>
        <w:tc>
          <w:tcPr>
            <w:tcW w:w="834" w:type="pct"/>
            <w:vAlign w:val="center"/>
          </w:tcPr>
          <w:p w14:paraId="7B51D8FD">
            <w:pPr>
              <w:pStyle w:val="12"/>
              <w:jc w:val="center"/>
            </w:pPr>
            <w:r>
              <w:rPr>
                <w:rFonts w:hint="eastAsia"/>
              </w:rPr>
              <w:t>179</w:t>
            </w:r>
          </w:p>
        </w:tc>
        <w:tc>
          <w:tcPr>
            <w:tcW w:w="834" w:type="pct"/>
            <w:vAlign w:val="center"/>
          </w:tcPr>
          <w:p w14:paraId="22AAB835">
            <w:pPr>
              <w:pStyle w:val="12"/>
              <w:jc w:val="center"/>
            </w:pPr>
            <w:r>
              <w:rPr>
                <w:rFonts w:hint="eastAsia"/>
              </w:rPr>
              <w:t>381</w:t>
            </w:r>
          </w:p>
        </w:tc>
        <w:tc>
          <w:tcPr>
            <w:tcW w:w="834" w:type="pct"/>
            <w:vAlign w:val="center"/>
          </w:tcPr>
          <w:p w14:paraId="477D95CB">
            <w:pPr>
              <w:pStyle w:val="12"/>
              <w:jc w:val="center"/>
            </w:pPr>
            <w:r>
              <w:rPr>
                <w:rFonts w:hint="eastAsia"/>
              </w:rPr>
              <w:t>1458</w:t>
            </w:r>
          </w:p>
        </w:tc>
      </w:tr>
      <w:tr w14:paraId="1C400F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2F4D13F7">
            <w:pPr>
              <w:pStyle w:val="12"/>
              <w:jc w:val="center"/>
            </w:pPr>
            <w:r>
              <w:rPr>
                <w:rFonts w:hint="eastAsia"/>
              </w:rPr>
              <w:t>角湾—邓坊</w:t>
            </w:r>
          </w:p>
        </w:tc>
        <w:tc>
          <w:tcPr>
            <w:tcW w:w="833" w:type="pct"/>
            <w:vAlign w:val="center"/>
          </w:tcPr>
          <w:p w14:paraId="63007DC6">
            <w:pPr>
              <w:pStyle w:val="12"/>
              <w:jc w:val="center"/>
            </w:pPr>
            <w:r>
              <w:rPr>
                <w:rFonts w:hint="eastAsia"/>
              </w:rPr>
              <w:t>7.5</w:t>
            </w:r>
          </w:p>
        </w:tc>
        <w:tc>
          <w:tcPr>
            <w:tcW w:w="834" w:type="pct"/>
            <w:vAlign w:val="center"/>
          </w:tcPr>
          <w:p w14:paraId="4F77C344">
            <w:pPr>
              <w:pStyle w:val="12"/>
              <w:jc w:val="center"/>
            </w:pPr>
            <w:r>
              <w:rPr>
                <w:rFonts w:hint="eastAsia"/>
              </w:rPr>
              <w:t>68</w:t>
            </w:r>
          </w:p>
        </w:tc>
        <w:tc>
          <w:tcPr>
            <w:tcW w:w="834" w:type="pct"/>
            <w:vAlign w:val="center"/>
          </w:tcPr>
          <w:p w14:paraId="37586895">
            <w:pPr>
              <w:pStyle w:val="12"/>
              <w:jc w:val="center"/>
            </w:pPr>
            <w:r>
              <w:rPr>
                <w:rFonts w:hint="eastAsia"/>
              </w:rPr>
              <w:t>51</w:t>
            </w:r>
          </w:p>
        </w:tc>
        <w:tc>
          <w:tcPr>
            <w:tcW w:w="834" w:type="pct"/>
            <w:vAlign w:val="center"/>
          </w:tcPr>
          <w:p w14:paraId="3BC13B88">
            <w:pPr>
              <w:pStyle w:val="12"/>
              <w:jc w:val="center"/>
            </w:pPr>
            <w:r>
              <w:rPr>
                <w:rFonts w:hint="eastAsia"/>
              </w:rPr>
              <w:t>176</w:t>
            </w:r>
          </w:p>
        </w:tc>
        <w:tc>
          <w:tcPr>
            <w:tcW w:w="834" w:type="pct"/>
            <w:vAlign w:val="center"/>
          </w:tcPr>
          <w:p w14:paraId="32626C70">
            <w:pPr>
              <w:pStyle w:val="12"/>
              <w:jc w:val="center"/>
            </w:pPr>
            <w:r>
              <w:rPr>
                <w:rFonts w:hint="eastAsia"/>
              </w:rPr>
              <w:t>860</w:t>
            </w:r>
          </w:p>
        </w:tc>
      </w:tr>
    </w:tbl>
    <w:p w14:paraId="7B432FE5">
      <w:pPr>
        <w:pStyle w:val="5"/>
        <w:rPr>
          <w:rFonts w:ascii="宋体" w:hAnsi="宋体"/>
        </w:rPr>
      </w:pPr>
      <w:r>
        <w:rPr>
          <w:rFonts w:hint="eastAsia" w:ascii="宋体" w:hAnsi="宋体"/>
        </w:rPr>
        <w:t>三、公路养护</w:t>
      </w:r>
    </w:p>
    <w:p w14:paraId="73FDABF1">
      <w:pPr>
        <w:ind w:firstLine="422"/>
        <w:rPr>
          <w:rFonts w:ascii="宋体" w:hAnsi="宋体"/>
          <w:b/>
          <w:szCs w:val="21"/>
        </w:rPr>
      </w:pPr>
      <w:r>
        <w:rPr>
          <w:rFonts w:hint="eastAsia" w:ascii="宋体" w:hAnsi="宋体"/>
          <w:b/>
          <w:szCs w:val="21"/>
        </w:rPr>
        <w:t>（一）养路机构</w:t>
      </w:r>
    </w:p>
    <w:p w14:paraId="53BB2736">
      <w:pPr>
        <w:ind w:firstLine="420"/>
        <w:rPr>
          <w:rFonts w:ascii="宋体" w:hAnsi="宋体"/>
          <w:szCs w:val="21"/>
        </w:rPr>
      </w:pPr>
      <w:r>
        <w:rPr>
          <w:rFonts w:hint="eastAsia" w:ascii="宋体" w:hAnsi="宋体"/>
          <w:szCs w:val="21"/>
        </w:rPr>
        <w:t>新中国成立后，于</w:t>
      </w:r>
      <w:r>
        <w:rPr>
          <w:rFonts w:ascii="宋体" w:hAnsi="宋体"/>
          <w:szCs w:val="21"/>
        </w:rPr>
        <w:t>1950年成立南雄县公路交通管理站，兼管养护境内2条公路。1952年建立养路段，招收养路工人64人。1956年更名为南雄养路工区。1963年成</w:t>
      </w:r>
      <w:r>
        <w:rPr>
          <w:rFonts w:hint="eastAsia" w:ascii="宋体" w:hAnsi="宋体"/>
          <w:szCs w:val="21"/>
        </w:rPr>
        <w:t>立南雄县地方公路管理站，负责县属公路养护。</w:t>
      </w:r>
      <w:r>
        <w:rPr>
          <w:rFonts w:ascii="宋体" w:hAnsi="宋体"/>
          <w:szCs w:val="21"/>
        </w:rPr>
        <w:t>1968年养路工区改名为公路工区。1983年7月，公路工区升格为科级单位，下设16个道班，其中韶余线境内段道班4</w:t>
      </w:r>
      <w:r>
        <w:rPr>
          <w:rFonts w:hint="eastAsia" w:ascii="宋体" w:hAnsi="宋体"/>
          <w:szCs w:val="21"/>
        </w:rPr>
        <w:t>个，雄信线境内段道班</w:t>
      </w:r>
      <w:r>
        <w:rPr>
          <w:rFonts w:ascii="宋体" w:hAnsi="宋体"/>
          <w:szCs w:val="21"/>
        </w:rPr>
        <w:t>4个，雄塘线道班7个，犁马线道班1个。地方公路道班14</w:t>
      </w:r>
      <w:r>
        <w:rPr>
          <w:rFonts w:hint="eastAsia" w:ascii="宋体" w:hAnsi="宋体"/>
          <w:szCs w:val="21"/>
        </w:rPr>
        <w:t>个（含托养公路），每个道班配备养路工</w:t>
      </w:r>
      <w:r>
        <w:rPr>
          <w:rFonts w:ascii="宋体" w:hAnsi="宋体"/>
          <w:szCs w:val="21"/>
        </w:rPr>
        <w:t>7人～11人。1989年，南雄公路工区改称</w:t>
      </w:r>
      <w:r>
        <w:rPr>
          <w:rFonts w:hint="eastAsia" w:ascii="宋体" w:hAnsi="宋体"/>
          <w:szCs w:val="21"/>
        </w:rPr>
        <w:t>南雄公路分局。</w:t>
      </w:r>
      <w:r>
        <w:rPr>
          <w:rFonts w:ascii="宋体" w:hAnsi="宋体"/>
          <w:szCs w:val="21"/>
        </w:rPr>
        <w:t>1996年改称为南雄市公路局。2004年底，全市有基层道班30个，其</w:t>
      </w:r>
      <w:r>
        <w:rPr>
          <w:rFonts w:hint="eastAsia" w:ascii="宋体" w:hAnsi="宋体"/>
          <w:szCs w:val="21"/>
        </w:rPr>
        <w:t>中公路局</w:t>
      </w:r>
      <w:r>
        <w:rPr>
          <w:rFonts w:ascii="宋体" w:hAnsi="宋体"/>
          <w:szCs w:val="21"/>
        </w:rPr>
        <w:t>16个，地方公路管理站14个；养护人员260人，其中公路局200人，地方</w:t>
      </w:r>
      <w:r>
        <w:rPr>
          <w:rFonts w:hint="eastAsia" w:ascii="宋体" w:hAnsi="宋体"/>
          <w:szCs w:val="21"/>
        </w:rPr>
        <w:t>公路站</w:t>
      </w:r>
      <w:r>
        <w:rPr>
          <w:rFonts w:ascii="宋体" w:hAnsi="宋体"/>
          <w:szCs w:val="21"/>
        </w:rPr>
        <w:t>60人。养护机械有小汽车、农用车15台，大、小货车3台。公路局还有装载</w:t>
      </w:r>
      <w:r>
        <w:rPr>
          <w:rFonts w:hint="eastAsia" w:ascii="宋体" w:hAnsi="宋体"/>
          <w:szCs w:val="21"/>
        </w:rPr>
        <w:t>机</w:t>
      </w:r>
      <w:r>
        <w:rPr>
          <w:rFonts w:ascii="宋体" w:hAnsi="宋体"/>
          <w:szCs w:val="21"/>
        </w:rPr>
        <w:t>1台，压路机2台，柴油动力碎石机4台，沥青搅拌机1台，手摇沥青溶液撒播机</w:t>
      </w:r>
      <w:r>
        <w:rPr>
          <w:rFonts w:hint="eastAsia" w:ascii="宋体" w:hAnsi="宋体"/>
          <w:szCs w:val="21"/>
        </w:rPr>
        <w:t>1台。</w:t>
      </w:r>
    </w:p>
    <w:p w14:paraId="5B91B82A">
      <w:pPr>
        <w:ind w:firstLine="422"/>
        <w:rPr>
          <w:rFonts w:ascii="宋体" w:hAnsi="宋体"/>
          <w:b/>
          <w:szCs w:val="21"/>
        </w:rPr>
      </w:pPr>
      <w:r>
        <w:rPr>
          <w:rFonts w:hint="eastAsia" w:ascii="宋体" w:hAnsi="宋体"/>
          <w:b/>
          <w:szCs w:val="21"/>
        </w:rPr>
        <w:t>（二）公路养护</w:t>
      </w:r>
    </w:p>
    <w:p w14:paraId="27805756">
      <w:pPr>
        <w:ind w:firstLine="420"/>
        <w:rPr>
          <w:rFonts w:ascii="宋体" w:hAnsi="宋体"/>
          <w:szCs w:val="21"/>
        </w:rPr>
      </w:pPr>
      <w:r>
        <w:rPr>
          <w:rFonts w:ascii="宋体" w:hAnsi="宋体"/>
          <w:szCs w:val="21"/>
        </w:rPr>
        <w:t>1954年，推广黄泥河沙碎石级配铺筑路面方法，改人力刮路面沙为牛拉刮沙</w:t>
      </w:r>
      <w:r>
        <w:rPr>
          <w:rFonts w:hint="eastAsia" w:ascii="宋体" w:hAnsi="宋体"/>
          <w:szCs w:val="21"/>
        </w:rPr>
        <w:t>，消灭路面出现排骨现象。</w:t>
      </w:r>
      <w:r>
        <w:rPr>
          <w:rFonts w:ascii="宋体" w:hAnsi="宋体"/>
          <w:szCs w:val="21"/>
        </w:rPr>
        <w:t>1971年，国省道干线公路桥涵全部实现永久化，机动车辆</w:t>
      </w:r>
      <w:r>
        <w:rPr>
          <w:rFonts w:hint="eastAsia" w:ascii="宋体" w:hAnsi="宋体"/>
          <w:szCs w:val="21"/>
        </w:rPr>
        <w:t>刮沙。随着干线公路铺筑渣油路面及水泥路面，经常清扫路面，随时修补缺陷，保持路基稳定，路面平整，排水畅通。全市公路路面达高级、次高级标准的有</w:t>
      </w:r>
      <w:r>
        <w:rPr>
          <w:rFonts w:ascii="宋体" w:hAnsi="宋体"/>
          <w:szCs w:val="21"/>
        </w:rPr>
        <w:t>75%，达</w:t>
      </w:r>
      <w:r>
        <w:rPr>
          <w:rFonts w:hint="eastAsia" w:ascii="宋体" w:hAnsi="宋体"/>
          <w:szCs w:val="21"/>
        </w:rPr>
        <w:t>中级的有</w:t>
      </w:r>
      <w:r>
        <w:rPr>
          <w:rFonts w:ascii="宋体" w:hAnsi="宋体"/>
          <w:szCs w:val="21"/>
        </w:rPr>
        <w:t>20%，低级占5%</w:t>
      </w:r>
      <w:r>
        <w:rPr>
          <w:rFonts w:hint="eastAsia" w:ascii="宋体" w:hAnsi="宋体"/>
          <w:szCs w:val="21"/>
        </w:rPr>
        <w:t>。</w:t>
      </w:r>
    </w:p>
    <w:p w14:paraId="06682689">
      <w:pPr>
        <w:ind w:firstLine="422"/>
        <w:rPr>
          <w:rFonts w:ascii="宋体" w:hAnsi="宋体"/>
          <w:b/>
          <w:szCs w:val="21"/>
        </w:rPr>
      </w:pPr>
      <w:r>
        <w:rPr>
          <w:rFonts w:hint="eastAsia" w:ascii="宋体" w:hAnsi="宋体"/>
          <w:b/>
          <w:szCs w:val="21"/>
        </w:rPr>
        <w:t>（三）公路绿化与标志、标线</w:t>
      </w:r>
    </w:p>
    <w:p w14:paraId="387A5EA5">
      <w:pPr>
        <w:ind w:firstLine="420"/>
        <w:rPr>
          <w:rFonts w:ascii="宋体" w:hAnsi="宋体"/>
          <w:szCs w:val="21"/>
        </w:rPr>
      </w:pPr>
      <w:r>
        <w:rPr>
          <w:rFonts w:ascii="宋体" w:hAnsi="宋体"/>
          <w:szCs w:val="21"/>
        </w:rPr>
        <w:t>1980年至1987年，每年补植路树1.65万株，7年共补植13.2万多株，成活率</w:t>
      </w:r>
      <w:r>
        <w:rPr>
          <w:rFonts w:hint="eastAsia" w:ascii="宋体" w:hAnsi="宋体"/>
          <w:szCs w:val="21"/>
        </w:rPr>
        <w:t>达</w:t>
      </w:r>
      <w:r>
        <w:rPr>
          <w:rFonts w:ascii="宋体" w:hAnsi="宋体"/>
          <w:szCs w:val="21"/>
        </w:rPr>
        <w:t>77.1%。1988年至1995年，辖区内公路应绿化路段的绿化里程已达到90%以上。1996年后，国道、省道公路不断上等级改造，加宽公路和绕道开辟新路，形成了许</w:t>
      </w:r>
      <w:r>
        <w:rPr>
          <w:rFonts w:hint="eastAsia" w:ascii="宋体" w:hAnsi="宋体"/>
          <w:szCs w:val="21"/>
        </w:rPr>
        <w:t>多新的绿化空白路段。</w:t>
      </w:r>
      <w:r>
        <w:rPr>
          <w:rFonts w:ascii="宋体" w:hAnsi="宋体"/>
          <w:szCs w:val="21"/>
        </w:rPr>
        <w:t>2004年国道、省道公路绿化达标里程只有50%左右。</w:t>
      </w:r>
    </w:p>
    <w:p w14:paraId="5223346F">
      <w:pPr>
        <w:ind w:firstLine="420"/>
        <w:rPr>
          <w:rFonts w:ascii="宋体" w:hAnsi="宋体"/>
          <w:szCs w:val="21"/>
        </w:rPr>
      </w:pPr>
      <w:r>
        <w:rPr>
          <w:rFonts w:hint="eastAsia" w:ascii="宋体" w:hAnsi="宋体"/>
          <w:szCs w:val="21"/>
        </w:rPr>
        <w:t>公路标志。从</w:t>
      </w:r>
      <w:r>
        <w:rPr>
          <w:rFonts w:ascii="宋体" w:hAnsi="宋体"/>
          <w:szCs w:val="21"/>
        </w:rPr>
        <w:t>1990年开始至2004年止，国属、省属、县属公路的里程碑、百米</w:t>
      </w:r>
      <w:r>
        <w:rPr>
          <w:rFonts w:hint="eastAsia" w:ascii="宋体" w:hAnsi="宋体"/>
          <w:szCs w:val="21"/>
        </w:rPr>
        <w:t>桩、指路指示牌、安全标志已基本完善。</w:t>
      </w:r>
    </w:p>
    <w:p w14:paraId="0C1442B6">
      <w:pPr>
        <w:ind w:firstLine="420"/>
        <w:rPr>
          <w:rFonts w:ascii="宋体" w:hAnsi="宋体"/>
          <w:szCs w:val="21"/>
        </w:rPr>
      </w:pPr>
      <w:r>
        <w:rPr>
          <w:rFonts w:hint="eastAsia" w:ascii="宋体" w:hAnsi="宋体"/>
          <w:szCs w:val="21"/>
        </w:rPr>
        <w:t>公路标线。在省道、国道、县道已基本实现路面标线。</w:t>
      </w:r>
    </w:p>
    <w:p w14:paraId="696DD150">
      <w:pPr>
        <w:pStyle w:val="5"/>
        <w:rPr>
          <w:rFonts w:ascii="宋体" w:hAnsi="宋体"/>
        </w:rPr>
      </w:pPr>
      <w:r>
        <w:rPr>
          <w:rFonts w:hint="eastAsia" w:ascii="宋体" w:hAnsi="宋体"/>
        </w:rPr>
        <w:t>四、交通管理</w:t>
      </w:r>
    </w:p>
    <w:p w14:paraId="55181AFE">
      <w:pPr>
        <w:ind w:firstLine="422"/>
        <w:rPr>
          <w:rFonts w:ascii="宋体" w:hAnsi="宋体"/>
          <w:b/>
          <w:szCs w:val="21"/>
        </w:rPr>
      </w:pPr>
      <w:r>
        <w:rPr>
          <w:rFonts w:hint="eastAsia" w:ascii="宋体" w:hAnsi="宋体"/>
          <w:b/>
          <w:szCs w:val="21"/>
        </w:rPr>
        <w:t>（一）交通安全监理</w:t>
      </w:r>
    </w:p>
    <w:p w14:paraId="0ECF1B31">
      <w:pPr>
        <w:ind w:firstLine="420"/>
        <w:rPr>
          <w:rFonts w:ascii="宋体" w:hAnsi="宋体"/>
          <w:szCs w:val="21"/>
        </w:rPr>
      </w:pPr>
      <w:r>
        <w:rPr>
          <w:rFonts w:ascii="宋体" w:hAnsi="宋体"/>
          <w:szCs w:val="21"/>
        </w:rPr>
        <w:t>1949年11月，县军事管制委员会接管汽车管理站。1954年南北站合并，定名公</w:t>
      </w:r>
      <w:r>
        <w:rPr>
          <w:rFonts w:hint="eastAsia" w:ascii="宋体" w:hAnsi="宋体"/>
          <w:szCs w:val="21"/>
        </w:rPr>
        <w:t>路管理站，次年易名公路交通管理站，定员</w:t>
      </w:r>
      <w:r>
        <w:rPr>
          <w:rFonts w:ascii="宋体" w:hAnsi="宋体"/>
          <w:szCs w:val="21"/>
        </w:rPr>
        <w:t>3人。1963年更名交通安全监督站，1969年并入汽车站，1972年分出。1982年称交通安全监理所，编制人员增至12人。1986年11月改为交通警察大队，隶属县公安局</w:t>
      </w:r>
      <w:r>
        <w:rPr>
          <w:rFonts w:hint="eastAsia" w:ascii="宋体" w:hAnsi="宋体"/>
          <w:szCs w:val="21"/>
        </w:rPr>
        <w:t>。</w:t>
      </w:r>
    </w:p>
    <w:p w14:paraId="619D65F4">
      <w:pPr>
        <w:ind w:firstLine="420"/>
        <w:rPr>
          <w:rFonts w:ascii="宋体" w:hAnsi="宋体"/>
          <w:szCs w:val="21"/>
        </w:rPr>
      </w:pPr>
      <w:r>
        <w:rPr>
          <w:rFonts w:ascii="宋体" w:hAnsi="宋体"/>
          <w:szCs w:val="21"/>
        </w:rPr>
        <w:t>1976年以来，交通安全监理所会同县交通、公安、农机等部门，开展安全教育</w:t>
      </w:r>
      <w:r>
        <w:rPr>
          <w:rFonts w:hint="eastAsia" w:ascii="宋体" w:hAnsi="宋体"/>
          <w:szCs w:val="21"/>
        </w:rPr>
        <w:t>活动，拆除障碍交通的房屋</w:t>
      </w:r>
      <w:r>
        <w:rPr>
          <w:rFonts w:ascii="宋体" w:hAnsi="宋体"/>
          <w:szCs w:val="21"/>
        </w:rPr>
        <w:t>43处，上路检</w:t>
      </w:r>
      <w:r>
        <w:rPr>
          <w:rFonts w:hint="eastAsia" w:ascii="宋体" w:hAnsi="宋体"/>
          <w:szCs w:val="21"/>
        </w:rPr>
        <w:t>查</w:t>
      </w:r>
      <w:r>
        <w:rPr>
          <w:rFonts w:ascii="宋体" w:hAnsi="宋体"/>
          <w:szCs w:val="21"/>
        </w:rPr>
        <w:t>来往车辆6640辆次，纠正违章970件，</w:t>
      </w:r>
      <w:r>
        <w:rPr>
          <w:rFonts w:hint="eastAsia" w:ascii="宋体" w:hAnsi="宋体"/>
          <w:szCs w:val="21"/>
        </w:rPr>
        <w:t>处理违章</w:t>
      </w:r>
      <w:r>
        <w:rPr>
          <w:rFonts w:ascii="宋体" w:hAnsi="宋体"/>
          <w:szCs w:val="21"/>
        </w:rPr>
        <w:t>225件</w:t>
      </w:r>
      <w:r>
        <w:rPr>
          <w:rFonts w:hint="eastAsia" w:ascii="宋体" w:hAnsi="宋体"/>
          <w:szCs w:val="21"/>
        </w:rPr>
        <w:t>。</w:t>
      </w:r>
    </w:p>
    <w:p w14:paraId="3C7046C7">
      <w:pPr>
        <w:ind w:firstLine="420"/>
        <w:rPr>
          <w:rFonts w:ascii="宋体" w:hAnsi="宋体"/>
          <w:szCs w:val="21"/>
        </w:rPr>
      </w:pPr>
      <w:r>
        <w:rPr>
          <w:rFonts w:hint="eastAsia" w:ascii="宋体" w:hAnsi="宋体"/>
          <w:szCs w:val="21"/>
        </w:rPr>
        <w:t>从</w:t>
      </w:r>
      <w:r>
        <w:rPr>
          <w:rFonts w:ascii="宋体" w:hAnsi="宋体"/>
          <w:szCs w:val="21"/>
        </w:rPr>
        <w:t>1976年起，实行安全联组活动制度，以每月28日为安全活动日，按系统或分</w:t>
      </w:r>
      <w:r>
        <w:rPr>
          <w:rFonts w:hint="eastAsia" w:ascii="宋体" w:hAnsi="宋体"/>
          <w:szCs w:val="21"/>
        </w:rPr>
        <w:t>片组织驾驶员学习有关交通安全方针、政策、规定，公布交通事故情况，交流安全行车经验，找出不安全因素，订出安全措施。</w:t>
      </w:r>
      <w:r>
        <w:rPr>
          <w:rFonts w:ascii="宋体" w:hAnsi="宋体"/>
          <w:szCs w:val="21"/>
        </w:rPr>
        <w:t>1985年，评出百万（公里）安全公路驾</w:t>
      </w:r>
      <w:r>
        <w:rPr>
          <w:rFonts w:hint="eastAsia" w:ascii="宋体" w:hAnsi="宋体"/>
          <w:szCs w:val="21"/>
        </w:rPr>
        <w:t>驶员</w:t>
      </w:r>
      <w:r>
        <w:rPr>
          <w:rFonts w:ascii="宋体" w:hAnsi="宋体"/>
          <w:szCs w:val="21"/>
        </w:rPr>
        <w:t>9名，先进单位65个，表彰先进个人884人。</w:t>
      </w:r>
    </w:p>
    <w:p w14:paraId="69D6535E">
      <w:pPr>
        <w:ind w:firstLine="422"/>
        <w:rPr>
          <w:rFonts w:ascii="宋体" w:hAnsi="宋体"/>
          <w:b/>
          <w:szCs w:val="21"/>
        </w:rPr>
      </w:pPr>
      <w:r>
        <w:rPr>
          <w:rFonts w:hint="eastAsia" w:ascii="宋体" w:hAnsi="宋体"/>
          <w:b/>
          <w:szCs w:val="21"/>
        </w:rPr>
        <w:t>（二）交通运输管理</w:t>
      </w:r>
    </w:p>
    <w:p w14:paraId="2BE1265C">
      <w:pPr>
        <w:ind w:firstLine="420"/>
        <w:rPr>
          <w:rFonts w:ascii="宋体" w:hAnsi="宋体"/>
          <w:szCs w:val="21"/>
        </w:rPr>
      </w:pPr>
      <w:r>
        <w:rPr>
          <w:rFonts w:ascii="宋体" w:hAnsi="宋体"/>
          <w:szCs w:val="21"/>
        </w:rPr>
        <w:t>1979年贯彻改革开放方针，允许个体或联户从事营业性机动车辆运输（含中拖、</w:t>
      </w:r>
      <w:r>
        <w:rPr>
          <w:rFonts w:hint="eastAsia" w:ascii="宋体" w:hAnsi="宋体"/>
          <w:szCs w:val="21"/>
        </w:rPr>
        <w:t>手扶拖拉机、摩托车）。运输管理主要任务是对国营、集体、联户、个体</w:t>
      </w:r>
      <w:r>
        <w:rPr>
          <w:rFonts w:ascii="宋体" w:hAnsi="宋体"/>
          <w:szCs w:val="21"/>
        </w:rPr>
        <w:t>4个层次的</w:t>
      </w:r>
      <w:r>
        <w:rPr>
          <w:rFonts w:hint="eastAsia" w:ascii="宋体" w:hAnsi="宋体"/>
          <w:szCs w:val="21"/>
        </w:rPr>
        <w:t>社会经营性机动车辆运输和维修车辆行业实行管理、登记；会同县工商、税务、保险等部门办理营业性的机动车辆运输和维修车辆行业的技术考核、发证和征收管理费；按物价部门统一规定，对客运、货运及货物装卸的价格实行管理、验证；协同交警大队、交通安全委员会、农机等部门开展安全宣传教育活动；检查境内交通安全事故；拆除障碍交通安全的建筑物；检查本县和进入境内各类机动车辆的准运证件和行车路单等。</w:t>
      </w:r>
    </w:p>
    <w:p w14:paraId="1EFD74AC">
      <w:pPr>
        <w:ind w:firstLine="420"/>
        <w:rPr>
          <w:rFonts w:ascii="宋体" w:hAnsi="宋体"/>
          <w:szCs w:val="21"/>
        </w:rPr>
      </w:pPr>
      <w:r>
        <w:rPr>
          <w:rFonts w:ascii="宋体" w:hAnsi="宋体"/>
          <w:szCs w:val="21"/>
        </w:rPr>
        <w:t>1988年后，交通部门坚持依法行政，强化管理，规范市场，促进交通运输业健</w:t>
      </w:r>
      <w:r>
        <w:rPr>
          <w:rFonts w:hint="eastAsia" w:ascii="宋体" w:hAnsi="宋体"/>
          <w:szCs w:val="21"/>
        </w:rPr>
        <w:t>康发展。建立统一、开放、公平、竞争、规范有序的交通运输市场体系。</w:t>
      </w:r>
    </w:p>
    <w:p w14:paraId="66CD1BDF">
      <w:pPr>
        <w:pStyle w:val="4"/>
        <w:rPr>
          <w:rFonts w:ascii="宋体" w:hAnsi="宋体"/>
        </w:rPr>
      </w:pPr>
      <w:r>
        <w:rPr>
          <w:rFonts w:hint="eastAsia" w:ascii="宋体" w:hAnsi="宋体"/>
        </w:rPr>
        <w:t>第三节  水路交通</w:t>
      </w:r>
    </w:p>
    <w:p w14:paraId="5C4277CD">
      <w:pPr>
        <w:ind w:firstLine="420"/>
        <w:rPr>
          <w:rFonts w:ascii="宋体" w:hAnsi="宋体"/>
          <w:szCs w:val="21"/>
        </w:rPr>
      </w:pPr>
      <w:r>
        <w:rPr>
          <w:rFonts w:ascii="宋体" w:hAnsi="宋体"/>
          <w:szCs w:val="21"/>
        </w:rPr>
        <w:t>1978年水上运输社改称水上运输公司，负责联系水上营运业务，调配劳力船队，</w:t>
      </w:r>
      <w:r>
        <w:rPr>
          <w:rFonts w:hint="eastAsia" w:ascii="宋体" w:hAnsi="宋体"/>
          <w:szCs w:val="21"/>
        </w:rPr>
        <w:t>以及企业各项管理。</w:t>
      </w:r>
      <w:r>
        <w:rPr>
          <w:rFonts w:ascii="宋体" w:hAnsi="宋体"/>
          <w:szCs w:val="21"/>
        </w:rPr>
        <w:t>1984年以来，随着机动车辆日增，公司业务日降，大部分船停</w:t>
      </w:r>
      <w:r>
        <w:rPr>
          <w:rFonts w:hint="eastAsia" w:ascii="宋体" w:hAnsi="宋体"/>
          <w:szCs w:val="21"/>
        </w:rPr>
        <w:t>航，公司连年亏损。</w:t>
      </w:r>
      <w:r>
        <w:rPr>
          <w:rFonts w:ascii="宋体" w:hAnsi="宋体"/>
          <w:szCs w:val="21"/>
        </w:rPr>
        <w:t>1987年有船民1239人，退休189人，在册职工408人，仅有101人参与水运，其余无法从业，在外做散工。是年，县政府除给予免税外，拨给救</w:t>
      </w:r>
      <w:r>
        <w:rPr>
          <w:rFonts w:hint="eastAsia" w:ascii="宋体" w:hAnsi="宋体"/>
          <w:szCs w:val="21"/>
        </w:rPr>
        <w:t>济款</w:t>
      </w:r>
      <w:r>
        <w:rPr>
          <w:rFonts w:ascii="宋体" w:hAnsi="宋体"/>
          <w:szCs w:val="21"/>
        </w:rPr>
        <w:t>8365元，一次性劳动保险金13.5万元。1996年水运停止后，142名在职人员实</w:t>
      </w:r>
      <w:r>
        <w:rPr>
          <w:rFonts w:hint="eastAsia" w:ascii="宋体" w:hAnsi="宋体"/>
          <w:szCs w:val="21"/>
        </w:rPr>
        <w:t>行自谋职业，社保统筹自负。退休人员</w:t>
      </w:r>
      <w:r>
        <w:rPr>
          <w:rFonts w:ascii="宋体" w:hAnsi="宋体"/>
          <w:szCs w:val="21"/>
        </w:rPr>
        <w:t>300人，每月领取退休金233元</w:t>
      </w:r>
      <w:r>
        <w:rPr>
          <w:rFonts w:hint="eastAsia" w:ascii="宋体" w:hAnsi="宋体"/>
          <w:szCs w:val="21"/>
        </w:rPr>
        <w:t>。</w:t>
      </w:r>
    </w:p>
    <w:p w14:paraId="2FDBB55A">
      <w:pPr>
        <w:pStyle w:val="4"/>
        <w:rPr>
          <w:rFonts w:ascii="宋体" w:hAnsi="宋体"/>
        </w:rPr>
      </w:pPr>
      <w:r>
        <w:rPr>
          <w:rFonts w:hint="eastAsia" w:ascii="宋体" w:hAnsi="宋体"/>
        </w:rPr>
        <w:t>第四节  其他运输</w:t>
      </w:r>
    </w:p>
    <w:p w14:paraId="0F740D34">
      <w:pPr>
        <w:pStyle w:val="5"/>
        <w:rPr>
          <w:rFonts w:ascii="宋体" w:hAnsi="宋体"/>
        </w:rPr>
      </w:pPr>
      <w:r>
        <w:rPr>
          <w:rFonts w:hint="eastAsia" w:ascii="宋体" w:hAnsi="宋体"/>
        </w:rPr>
        <w:t>人力运输</w:t>
      </w:r>
    </w:p>
    <w:p w14:paraId="14E1F169">
      <w:pPr>
        <w:ind w:firstLine="420"/>
        <w:rPr>
          <w:rFonts w:ascii="宋体" w:hAnsi="宋体"/>
          <w:szCs w:val="21"/>
        </w:rPr>
      </w:pPr>
      <w:r>
        <w:rPr>
          <w:rFonts w:hint="eastAsia" w:ascii="宋体" w:hAnsi="宋体"/>
          <w:szCs w:val="21"/>
        </w:rPr>
        <w:t>新中国成立初期，县城从业人力运输</w:t>
      </w:r>
      <w:r>
        <w:rPr>
          <w:rFonts w:ascii="宋体" w:hAnsi="宋体"/>
          <w:szCs w:val="21"/>
        </w:rPr>
        <w:t>458人。1952年成立搬运公司。1955年起</w:t>
      </w:r>
      <w:r>
        <w:rPr>
          <w:rFonts w:hint="eastAsia" w:ascii="宋体" w:hAnsi="宋体"/>
          <w:szCs w:val="21"/>
        </w:rPr>
        <w:t>逐步以木轮车、单轮手推车及马车取代肩挑运输。</w:t>
      </w:r>
      <w:r>
        <w:rPr>
          <w:rFonts w:ascii="宋体" w:hAnsi="宋体"/>
          <w:szCs w:val="21"/>
        </w:rPr>
        <w:t>1962年后，始用双轮汽轮车、自</w:t>
      </w:r>
      <w:r>
        <w:rPr>
          <w:rFonts w:hint="eastAsia" w:ascii="宋体" w:hAnsi="宋体"/>
          <w:szCs w:val="21"/>
        </w:rPr>
        <w:t>行车、三轮力车，同时购置汽车</w:t>
      </w:r>
      <w:r>
        <w:rPr>
          <w:rFonts w:ascii="宋体" w:hAnsi="宋体"/>
          <w:szCs w:val="21"/>
        </w:rPr>
        <w:t>2辆、轮式拖拉机12台投入营运。但是，由于社会</w:t>
      </w:r>
      <w:r>
        <w:rPr>
          <w:rFonts w:hint="eastAsia" w:ascii="宋体" w:hAnsi="宋体"/>
          <w:szCs w:val="21"/>
        </w:rPr>
        <w:t>机动车辆不断增加，搬运业务日益减少，公司连年亏损，遂于</w:t>
      </w:r>
      <w:r>
        <w:rPr>
          <w:rFonts w:ascii="宋体" w:hAnsi="宋体"/>
          <w:szCs w:val="21"/>
        </w:rPr>
        <w:t>1984年将所有机动车</w:t>
      </w:r>
      <w:r>
        <w:rPr>
          <w:rFonts w:hint="eastAsia" w:ascii="宋体" w:hAnsi="宋体"/>
          <w:szCs w:val="21"/>
        </w:rPr>
        <w:t>辆拍卖，专营货物装卸业务。</w:t>
      </w:r>
      <w:r>
        <w:rPr>
          <w:rFonts w:ascii="宋体" w:hAnsi="宋体"/>
          <w:szCs w:val="21"/>
        </w:rPr>
        <w:t>1987年，搬运公司在册职工161人（含伤、残人员16</w:t>
      </w:r>
      <w:r>
        <w:rPr>
          <w:rFonts w:hint="eastAsia" w:ascii="宋体" w:hAnsi="宋体"/>
          <w:szCs w:val="21"/>
        </w:rPr>
        <w:t>人），退休工人</w:t>
      </w:r>
      <w:r>
        <w:rPr>
          <w:rFonts w:ascii="宋体" w:hAnsi="宋体"/>
          <w:szCs w:val="21"/>
        </w:rPr>
        <w:t>151人，总收入47.32万元，入不敷出。政府除给予3年免税外，拨</w:t>
      </w:r>
      <w:r>
        <w:rPr>
          <w:rFonts w:hint="eastAsia" w:ascii="宋体" w:hAnsi="宋体"/>
          <w:szCs w:val="21"/>
        </w:rPr>
        <w:t>给救济款</w:t>
      </w:r>
      <w:r>
        <w:rPr>
          <w:rFonts w:ascii="宋体" w:hAnsi="宋体"/>
          <w:szCs w:val="21"/>
        </w:rPr>
        <w:t>1.32万元。</w:t>
      </w:r>
    </w:p>
    <w:p w14:paraId="30162813">
      <w:pPr>
        <w:ind w:firstLine="420"/>
        <w:rPr>
          <w:rFonts w:ascii="宋体" w:hAnsi="宋体"/>
          <w:szCs w:val="21"/>
        </w:rPr>
      </w:pPr>
      <w:r>
        <w:rPr>
          <w:rFonts w:ascii="宋体" w:hAnsi="宋体"/>
          <w:szCs w:val="21"/>
        </w:rPr>
        <w:t>1988年开始，搬运公司实施经济效益挂钩，收入73%职工自得，27%上交公司，</w:t>
      </w:r>
      <w:r>
        <w:rPr>
          <w:rFonts w:hint="eastAsia" w:ascii="宋体" w:hAnsi="宋体"/>
          <w:szCs w:val="21"/>
        </w:rPr>
        <w:t>由公司购买职工全民统筹金。至</w:t>
      </w:r>
      <w:r>
        <w:rPr>
          <w:rFonts w:ascii="宋体" w:hAnsi="宋体"/>
          <w:szCs w:val="21"/>
        </w:rPr>
        <w:t>2004年底，公司有干部职工202人，其中退休人员160人，退休人员实行老人老制度，新人新制度，老人领取退休金200多元，新人领</w:t>
      </w:r>
      <w:r>
        <w:rPr>
          <w:rFonts w:hint="eastAsia" w:ascii="宋体" w:hAnsi="宋体"/>
          <w:szCs w:val="21"/>
        </w:rPr>
        <w:t>取退休金</w:t>
      </w:r>
      <w:r>
        <w:rPr>
          <w:rFonts w:ascii="宋体" w:hAnsi="宋体"/>
          <w:szCs w:val="21"/>
        </w:rPr>
        <w:t>400多元</w:t>
      </w:r>
      <w:r>
        <w:rPr>
          <w:rFonts w:hint="eastAsia" w:ascii="宋体" w:hAnsi="宋体"/>
          <w:szCs w:val="21"/>
        </w:rPr>
        <w:t>。</w:t>
      </w:r>
    </w:p>
    <w:p w14:paraId="20BF7420">
      <w:pPr>
        <w:pStyle w:val="3"/>
        <w:rPr>
          <w:rFonts w:ascii="宋体" w:hAnsi="宋体"/>
        </w:rPr>
      </w:pPr>
      <w:r>
        <w:rPr>
          <w:rFonts w:hint="eastAsia" w:ascii="宋体" w:hAnsi="宋体"/>
        </w:rPr>
        <w:t>第二章  邮政  电信</w:t>
      </w:r>
    </w:p>
    <w:p w14:paraId="0B258A73">
      <w:pPr>
        <w:ind w:firstLine="420"/>
        <w:rPr>
          <w:rFonts w:ascii="宋体" w:hAnsi="宋体"/>
          <w:szCs w:val="21"/>
        </w:rPr>
      </w:pPr>
      <w:r>
        <w:rPr>
          <w:rFonts w:hint="eastAsia" w:ascii="宋体" w:hAnsi="宋体"/>
          <w:szCs w:val="21"/>
        </w:rPr>
        <w:t>南雄地处古代贯通南北之重要驿道，汉代即有驿使往来。唐光宅元年置浈昌县，设红梅驿，宋设沙水驿，明清设凌江驿。清光绪二十七年（</w:t>
      </w:r>
      <w:r>
        <w:rPr>
          <w:rFonts w:ascii="宋体" w:hAnsi="宋体"/>
          <w:szCs w:val="21"/>
        </w:rPr>
        <w:t>1901年）废驿站设南雄</w:t>
      </w:r>
      <w:r>
        <w:rPr>
          <w:rFonts w:hint="eastAsia" w:ascii="宋体" w:hAnsi="宋体"/>
          <w:szCs w:val="21"/>
        </w:rPr>
        <w:t>邮政局。民国时期，随着电报、电话事业发展，于民国</w:t>
      </w:r>
      <w:r>
        <w:rPr>
          <w:rFonts w:ascii="宋体" w:hAnsi="宋体"/>
          <w:szCs w:val="21"/>
        </w:rPr>
        <w:t>23年（1934年）成立南雄电</w:t>
      </w:r>
      <w:r>
        <w:rPr>
          <w:rFonts w:hint="eastAsia" w:ascii="宋体" w:hAnsi="宋体"/>
          <w:szCs w:val="21"/>
        </w:rPr>
        <w:t>信局。新中国成立后，县人民政府接管邮政局和电信局。</w:t>
      </w:r>
      <w:r>
        <w:rPr>
          <w:rFonts w:ascii="宋体" w:hAnsi="宋体"/>
          <w:szCs w:val="21"/>
        </w:rPr>
        <w:t>1951年3月，两局合并为</w:t>
      </w:r>
      <w:r>
        <w:rPr>
          <w:rFonts w:hint="eastAsia" w:ascii="宋体" w:hAnsi="宋体"/>
          <w:szCs w:val="21"/>
        </w:rPr>
        <w:t>邮电局。随着电信事业的发展，</w:t>
      </w:r>
      <w:r>
        <w:rPr>
          <w:rFonts w:ascii="宋体" w:hAnsi="宋体"/>
          <w:szCs w:val="21"/>
        </w:rPr>
        <w:t>1998年9月，实行邮电分营，分设南雄市邮政局</w:t>
      </w:r>
      <w:r>
        <w:rPr>
          <w:rFonts w:hint="eastAsia" w:ascii="宋体" w:hAnsi="宋体"/>
          <w:szCs w:val="21"/>
        </w:rPr>
        <w:t>、南雄市电信局。</w:t>
      </w:r>
      <w:r>
        <w:rPr>
          <w:rFonts w:ascii="宋体" w:hAnsi="宋体"/>
          <w:szCs w:val="21"/>
        </w:rPr>
        <w:t>2002年11月，南雄市电信局又转制为广东省电信有限公司南雄市分</w:t>
      </w:r>
      <w:r>
        <w:rPr>
          <w:rFonts w:hint="eastAsia" w:ascii="宋体" w:hAnsi="宋体"/>
          <w:szCs w:val="21"/>
        </w:rPr>
        <w:t>公司。</w:t>
      </w:r>
    </w:p>
    <w:p w14:paraId="2A628732">
      <w:pPr>
        <w:pStyle w:val="4"/>
        <w:rPr>
          <w:rFonts w:ascii="宋体" w:hAnsi="宋体"/>
        </w:rPr>
      </w:pPr>
      <w:r>
        <w:rPr>
          <w:rFonts w:hint="eastAsia" w:ascii="宋体" w:hAnsi="宋体"/>
        </w:rPr>
        <w:t>第一节  邮政</w:t>
      </w:r>
    </w:p>
    <w:p w14:paraId="3CCCF7F2">
      <w:pPr>
        <w:pStyle w:val="5"/>
        <w:rPr>
          <w:rFonts w:ascii="宋体" w:hAnsi="宋体"/>
        </w:rPr>
      </w:pPr>
      <w:r>
        <w:rPr>
          <w:rFonts w:hint="eastAsia" w:ascii="宋体" w:hAnsi="宋体"/>
        </w:rPr>
        <w:t>一、邮政业务</w:t>
      </w:r>
    </w:p>
    <w:p w14:paraId="197C0E08">
      <w:pPr>
        <w:ind w:firstLine="420"/>
        <w:rPr>
          <w:rFonts w:ascii="宋体" w:hAnsi="宋体"/>
          <w:szCs w:val="21"/>
        </w:rPr>
      </w:pPr>
      <w:r>
        <w:rPr>
          <w:rFonts w:hint="eastAsia" w:ascii="宋体" w:hAnsi="宋体"/>
          <w:szCs w:val="21"/>
        </w:rPr>
        <w:t>主要业务有储蓄、函件、包件、速递、汇兑、报刊发行、集邮、广告、礼仪、机要及各项代办业务。</w:t>
      </w:r>
    </w:p>
    <w:p w14:paraId="2B977EFD">
      <w:pPr>
        <w:ind w:firstLine="420"/>
        <w:rPr>
          <w:rFonts w:ascii="宋体" w:hAnsi="宋体"/>
          <w:szCs w:val="21"/>
        </w:rPr>
      </w:pPr>
      <w:r>
        <w:rPr>
          <w:rFonts w:hint="eastAsia" w:ascii="宋体" w:hAnsi="宋体"/>
          <w:szCs w:val="21"/>
        </w:rPr>
        <w:t>邮政储蓄成为邮政主业。全市已建立</w:t>
      </w:r>
      <w:r>
        <w:rPr>
          <w:rFonts w:ascii="宋体" w:hAnsi="宋体"/>
          <w:szCs w:val="21"/>
        </w:rPr>
        <w:t>11个储蓄网点，加入了全国全省联网工程，</w:t>
      </w:r>
      <w:r>
        <w:rPr>
          <w:rFonts w:hint="eastAsia" w:ascii="宋体" w:hAnsi="宋体"/>
          <w:szCs w:val="21"/>
        </w:rPr>
        <w:t>实现了全国城乡异地通存通取。电子汇款全国范围内</w:t>
      </w:r>
      <w:r>
        <w:rPr>
          <w:rFonts w:ascii="宋体" w:hAnsi="宋体"/>
          <w:szCs w:val="21"/>
        </w:rPr>
        <w:t>2小时到账。邮储金额1998年</w:t>
      </w:r>
      <w:r>
        <w:rPr>
          <w:rFonts w:hint="eastAsia" w:ascii="宋体" w:hAnsi="宋体"/>
          <w:szCs w:val="21"/>
        </w:rPr>
        <w:t>为</w:t>
      </w:r>
      <w:r>
        <w:rPr>
          <w:rFonts w:ascii="宋体" w:hAnsi="宋体"/>
          <w:szCs w:val="21"/>
        </w:rPr>
        <w:t>4000多万元，2004年增加到4亿元</w:t>
      </w:r>
      <w:r>
        <w:rPr>
          <w:rFonts w:hint="eastAsia" w:ascii="宋体" w:hAnsi="宋体"/>
          <w:szCs w:val="21"/>
        </w:rPr>
        <w:t>。</w:t>
      </w:r>
    </w:p>
    <w:p w14:paraId="363EE8A7">
      <w:pPr>
        <w:ind w:firstLine="420"/>
        <w:rPr>
          <w:rFonts w:ascii="宋体" w:hAnsi="宋体"/>
          <w:szCs w:val="21"/>
        </w:rPr>
      </w:pPr>
      <w:r>
        <w:rPr>
          <w:rFonts w:hint="eastAsia" w:ascii="宋体" w:hAnsi="宋体"/>
          <w:szCs w:val="21"/>
        </w:rPr>
        <w:t>报刊发行积极参与市场竞争，提高投递服务质量。市区投递频次由一日</w:t>
      </w:r>
      <w:r>
        <w:rPr>
          <w:rFonts w:ascii="宋体" w:hAnsi="宋体"/>
          <w:szCs w:val="21"/>
        </w:rPr>
        <w:t>2次增加</w:t>
      </w:r>
      <w:r>
        <w:rPr>
          <w:rFonts w:hint="eastAsia" w:ascii="宋体" w:hAnsi="宋体"/>
          <w:szCs w:val="21"/>
        </w:rPr>
        <w:t>到一日</w:t>
      </w:r>
      <w:r>
        <w:rPr>
          <w:rFonts w:ascii="宋体" w:hAnsi="宋体"/>
          <w:szCs w:val="21"/>
        </w:rPr>
        <w:t>3次。在市区繁华路段增设7间豪华邮亭，以拓展报刊发行的销售渠道。</w:t>
      </w:r>
    </w:p>
    <w:p w14:paraId="509AEA34">
      <w:pPr>
        <w:ind w:firstLine="420"/>
        <w:rPr>
          <w:rFonts w:ascii="宋体" w:hAnsi="宋体"/>
          <w:szCs w:val="21"/>
        </w:rPr>
      </w:pPr>
      <w:r>
        <w:rPr>
          <w:rFonts w:hint="eastAsia" w:ascii="宋体" w:hAnsi="宋体"/>
          <w:szCs w:val="21"/>
        </w:rPr>
        <w:t>代办业务已开发代缴电话费，代发工资，代缴手机费、税费、电费、车辆养路费，代理保险，代缴交通违法罚款，以及二代身份证换发及法律文书速递等等。</w:t>
      </w:r>
    </w:p>
    <w:p w14:paraId="31BCE8FA">
      <w:pPr>
        <w:ind w:firstLine="420"/>
        <w:rPr>
          <w:rFonts w:ascii="宋体" w:hAnsi="宋体"/>
          <w:szCs w:val="21"/>
        </w:rPr>
      </w:pPr>
      <w:r>
        <w:rPr>
          <w:rFonts w:hint="eastAsia" w:ascii="宋体" w:hAnsi="宋体"/>
          <w:szCs w:val="21"/>
        </w:rPr>
        <w:t>集邮广告。</w:t>
      </w:r>
      <w:r>
        <w:rPr>
          <w:rFonts w:ascii="宋体" w:hAnsi="宋体"/>
          <w:szCs w:val="21"/>
        </w:rPr>
        <w:t>1996年6月，南雄集邮协会成立，有会员400多人，在农村开办8个</w:t>
      </w:r>
      <w:r>
        <w:rPr>
          <w:rFonts w:hint="eastAsia" w:ascii="宋体" w:hAnsi="宋体"/>
          <w:szCs w:val="21"/>
        </w:rPr>
        <w:t>集邮代售点。针对客户要求，设计、制作户外广告、户外喷画宣传栏，开发风景区旅游风光明信片。</w:t>
      </w:r>
    </w:p>
    <w:p w14:paraId="0A5067EF">
      <w:pPr>
        <w:pStyle w:val="5"/>
        <w:rPr>
          <w:rFonts w:ascii="宋体" w:hAnsi="宋体"/>
        </w:rPr>
      </w:pPr>
      <w:r>
        <w:rPr>
          <w:rFonts w:hint="eastAsia" w:ascii="宋体" w:hAnsi="宋体"/>
        </w:rPr>
        <w:t>二、投递邮路</w:t>
      </w:r>
    </w:p>
    <w:p w14:paraId="56BCB24C">
      <w:pPr>
        <w:ind w:firstLine="420"/>
        <w:rPr>
          <w:rFonts w:ascii="宋体" w:hAnsi="宋体"/>
          <w:szCs w:val="21"/>
        </w:rPr>
      </w:pPr>
      <w:r>
        <w:rPr>
          <w:rFonts w:hint="eastAsia" w:ascii="宋体" w:hAnsi="宋体"/>
          <w:szCs w:val="21"/>
        </w:rPr>
        <w:t>历经几十年投资建设，投递网络遍布全市城乡各个角落，实现了村村通邮。邮政局下属</w:t>
      </w:r>
      <w:r>
        <w:rPr>
          <w:rFonts w:ascii="宋体" w:hAnsi="宋体"/>
          <w:szCs w:val="21"/>
        </w:rPr>
        <w:t>18个支局所，有40条邮路</w:t>
      </w:r>
      <w:r>
        <w:rPr>
          <w:rFonts w:hint="eastAsia" w:ascii="宋体" w:hAnsi="宋体"/>
          <w:szCs w:val="21"/>
        </w:rPr>
        <w:t>。</w:t>
      </w:r>
    </w:p>
    <w:p w14:paraId="5C6D26A5">
      <w:pPr>
        <w:ind w:firstLine="0" w:firstLineChars="0"/>
        <w:jc w:val="center"/>
        <w:rPr>
          <w:rFonts w:ascii="宋体" w:hAnsi="宋体"/>
          <w:b/>
          <w:szCs w:val="21"/>
        </w:rPr>
      </w:pPr>
      <w:r>
        <w:rPr>
          <w:rFonts w:hint="eastAsia" w:ascii="宋体" w:hAnsi="宋体"/>
          <w:b/>
          <w:szCs w:val="21"/>
        </w:rPr>
        <w:t>南雄市邮政局投递邮路一览</w:t>
      </w:r>
    </w:p>
    <w:p w14:paraId="5A0024DC">
      <w:pPr>
        <w:ind w:firstLine="0" w:firstLineChars="0"/>
        <w:rPr>
          <w:rFonts w:ascii="宋体" w:hAnsi="宋体"/>
          <w:b/>
          <w:szCs w:val="21"/>
        </w:rPr>
      </w:pPr>
      <w:r>
        <w:rPr>
          <w:rFonts w:hint="eastAsia" w:ascii="宋体" w:hAnsi="宋体"/>
          <w:b/>
          <w:szCs w:val="21"/>
        </w:rPr>
        <w:t>表2-11</w:t>
      </w:r>
    </w:p>
    <w:p w14:paraId="6D64881E">
      <w:pPr>
        <w:ind w:firstLine="0" w:firstLineChars="0"/>
        <w:jc w:val="right"/>
        <w:rPr>
          <w:rFonts w:ascii="宋体" w:hAnsi="宋体"/>
          <w:b/>
          <w:szCs w:val="21"/>
        </w:rPr>
      </w:pPr>
      <w:r>
        <w:rPr>
          <w:rFonts w:hint="eastAsia" w:ascii="宋体" w:hAnsi="宋体"/>
          <w:b/>
          <w:szCs w:val="21"/>
        </w:rPr>
        <w:t>单位：公里</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62"/>
        <w:gridCol w:w="966"/>
        <w:gridCol w:w="966"/>
        <w:gridCol w:w="966"/>
        <w:gridCol w:w="5402"/>
      </w:tblGrid>
      <w:tr w14:paraId="072707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184B85E1">
            <w:pPr>
              <w:pStyle w:val="12"/>
              <w:jc w:val="center"/>
              <w:rPr>
                <w:b/>
              </w:rPr>
            </w:pPr>
            <w:r>
              <w:rPr>
                <w:rFonts w:hint="eastAsia"/>
                <w:b/>
              </w:rPr>
              <w:t>邮路</w:t>
            </w:r>
          </w:p>
        </w:tc>
        <w:tc>
          <w:tcPr>
            <w:tcW w:w="485" w:type="pct"/>
            <w:vAlign w:val="center"/>
          </w:tcPr>
          <w:p w14:paraId="5C57BD9B">
            <w:pPr>
              <w:pStyle w:val="12"/>
              <w:jc w:val="center"/>
              <w:rPr>
                <w:b/>
              </w:rPr>
            </w:pPr>
            <w:r>
              <w:rPr>
                <w:rFonts w:hint="eastAsia"/>
                <w:b/>
              </w:rPr>
              <w:t>里程</w:t>
            </w:r>
          </w:p>
        </w:tc>
        <w:tc>
          <w:tcPr>
            <w:tcW w:w="485" w:type="pct"/>
            <w:vAlign w:val="center"/>
          </w:tcPr>
          <w:p w14:paraId="2AE3C47B">
            <w:pPr>
              <w:pStyle w:val="12"/>
              <w:jc w:val="center"/>
              <w:rPr>
                <w:b/>
              </w:rPr>
            </w:pPr>
            <w:r>
              <w:rPr>
                <w:rFonts w:hint="eastAsia"/>
                <w:b/>
              </w:rPr>
              <w:t>班期</w:t>
            </w:r>
          </w:p>
        </w:tc>
        <w:tc>
          <w:tcPr>
            <w:tcW w:w="485" w:type="pct"/>
            <w:vAlign w:val="center"/>
          </w:tcPr>
          <w:p w14:paraId="0BDF38CF">
            <w:pPr>
              <w:pStyle w:val="12"/>
              <w:jc w:val="center"/>
              <w:rPr>
                <w:b/>
              </w:rPr>
            </w:pPr>
            <w:r>
              <w:rPr>
                <w:rFonts w:hint="eastAsia"/>
                <w:b/>
              </w:rPr>
              <w:t>性质</w:t>
            </w:r>
          </w:p>
        </w:tc>
        <w:tc>
          <w:tcPr>
            <w:tcW w:w="2713" w:type="pct"/>
            <w:vAlign w:val="center"/>
          </w:tcPr>
          <w:p w14:paraId="314FC562">
            <w:pPr>
              <w:pStyle w:val="12"/>
              <w:jc w:val="center"/>
              <w:rPr>
                <w:b/>
              </w:rPr>
            </w:pPr>
            <w:r>
              <w:rPr>
                <w:rFonts w:hint="eastAsia"/>
                <w:b/>
              </w:rPr>
              <w:t>途径主要街道和村委会</w:t>
            </w:r>
          </w:p>
        </w:tc>
      </w:tr>
      <w:tr w14:paraId="262DF5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4C132620">
            <w:pPr>
              <w:pStyle w:val="12"/>
              <w:jc w:val="center"/>
            </w:pPr>
            <w:r>
              <w:rPr>
                <w:rFonts w:hint="eastAsia"/>
              </w:rPr>
              <w:t>市区一段</w:t>
            </w:r>
          </w:p>
        </w:tc>
        <w:tc>
          <w:tcPr>
            <w:tcW w:w="485" w:type="pct"/>
            <w:vAlign w:val="center"/>
          </w:tcPr>
          <w:p w14:paraId="6B86B25D">
            <w:pPr>
              <w:pStyle w:val="12"/>
              <w:jc w:val="center"/>
            </w:pPr>
            <w:r>
              <w:rPr>
                <w:rFonts w:hint="eastAsia"/>
              </w:rPr>
              <w:t>18</w:t>
            </w:r>
          </w:p>
        </w:tc>
        <w:tc>
          <w:tcPr>
            <w:tcW w:w="485" w:type="pct"/>
            <w:vAlign w:val="center"/>
          </w:tcPr>
          <w:p w14:paraId="4DEB1559">
            <w:pPr>
              <w:pStyle w:val="12"/>
              <w:jc w:val="center"/>
            </w:pPr>
            <w:r>
              <w:rPr>
                <w:rFonts w:hint="eastAsia"/>
              </w:rPr>
              <w:t>天天班</w:t>
            </w:r>
          </w:p>
        </w:tc>
        <w:tc>
          <w:tcPr>
            <w:tcW w:w="485" w:type="pct"/>
            <w:vAlign w:val="center"/>
          </w:tcPr>
          <w:p w14:paraId="481F0EB0">
            <w:pPr>
              <w:pStyle w:val="12"/>
              <w:jc w:val="center"/>
            </w:pPr>
            <w:r>
              <w:rPr>
                <w:rFonts w:hint="eastAsia"/>
              </w:rPr>
              <w:t>自办</w:t>
            </w:r>
          </w:p>
        </w:tc>
        <w:tc>
          <w:tcPr>
            <w:tcW w:w="2713" w:type="pct"/>
            <w:vAlign w:val="center"/>
          </w:tcPr>
          <w:p w14:paraId="42645129">
            <w:pPr>
              <w:pStyle w:val="12"/>
              <w:jc w:val="left"/>
            </w:pPr>
            <w:r>
              <w:rPr>
                <w:rFonts w:hint="eastAsia"/>
              </w:rPr>
              <w:t>雄州大道东、老虎塘、光明市场、宾阳路</w:t>
            </w:r>
          </w:p>
        </w:tc>
      </w:tr>
      <w:tr w14:paraId="0596EF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187138BC">
            <w:pPr>
              <w:pStyle w:val="12"/>
              <w:jc w:val="center"/>
            </w:pPr>
            <w:r>
              <w:rPr>
                <w:rFonts w:hint="eastAsia"/>
              </w:rPr>
              <w:t>市区二段</w:t>
            </w:r>
          </w:p>
        </w:tc>
        <w:tc>
          <w:tcPr>
            <w:tcW w:w="485" w:type="pct"/>
            <w:vAlign w:val="center"/>
          </w:tcPr>
          <w:p w14:paraId="6456BE59">
            <w:pPr>
              <w:pStyle w:val="12"/>
              <w:jc w:val="center"/>
            </w:pPr>
            <w:r>
              <w:rPr>
                <w:rFonts w:hint="eastAsia"/>
              </w:rPr>
              <w:t>17</w:t>
            </w:r>
          </w:p>
        </w:tc>
        <w:tc>
          <w:tcPr>
            <w:tcW w:w="485" w:type="pct"/>
            <w:vAlign w:val="center"/>
          </w:tcPr>
          <w:p w14:paraId="7E1B88CE">
            <w:pPr>
              <w:pStyle w:val="12"/>
              <w:jc w:val="center"/>
            </w:pPr>
            <w:r>
              <w:rPr>
                <w:rFonts w:hint="eastAsia"/>
              </w:rPr>
              <w:t>天天班</w:t>
            </w:r>
          </w:p>
        </w:tc>
        <w:tc>
          <w:tcPr>
            <w:tcW w:w="485" w:type="pct"/>
            <w:vAlign w:val="center"/>
          </w:tcPr>
          <w:p w14:paraId="7AD76571">
            <w:pPr>
              <w:pStyle w:val="12"/>
              <w:jc w:val="center"/>
            </w:pPr>
            <w:r>
              <w:rPr>
                <w:rFonts w:hint="eastAsia"/>
              </w:rPr>
              <w:t>自办</w:t>
            </w:r>
          </w:p>
        </w:tc>
        <w:tc>
          <w:tcPr>
            <w:tcW w:w="2713" w:type="pct"/>
            <w:vAlign w:val="center"/>
          </w:tcPr>
          <w:p w14:paraId="16DBFAD5">
            <w:pPr>
              <w:pStyle w:val="12"/>
              <w:jc w:val="left"/>
            </w:pPr>
            <w:r>
              <w:rPr>
                <w:rFonts w:hint="eastAsia"/>
              </w:rPr>
              <w:t>雄州大道中，上、下龙勾巷，永康路、三影塔</w:t>
            </w:r>
          </w:p>
        </w:tc>
      </w:tr>
      <w:tr w14:paraId="4878E5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20D33492">
            <w:pPr>
              <w:pStyle w:val="12"/>
              <w:jc w:val="center"/>
            </w:pPr>
            <w:r>
              <w:rPr>
                <w:rFonts w:hint="eastAsia"/>
              </w:rPr>
              <w:t>市区三段</w:t>
            </w:r>
          </w:p>
        </w:tc>
        <w:tc>
          <w:tcPr>
            <w:tcW w:w="485" w:type="pct"/>
            <w:vAlign w:val="center"/>
          </w:tcPr>
          <w:p w14:paraId="185C350C">
            <w:pPr>
              <w:pStyle w:val="12"/>
              <w:jc w:val="center"/>
            </w:pPr>
            <w:r>
              <w:rPr>
                <w:rFonts w:hint="eastAsia"/>
              </w:rPr>
              <w:t>19</w:t>
            </w:r>
          </w:p>
        </w:tc>
        <w:tc>
          <w:tcPr>
            <w:tcW w:w="485" w:type="pct"/>
            <w:vAlign w:val="center"/>
          </w:tcPr>
          <w:p w14:paraId="5181EF9D">
            <w:pPr>
              <w:pStyle w:val="12"/>
              <w:jc w:val="center"/>
            </w:pPr>
            <w:r>
              <w:rPr>
                <w:rFonts w:hint="eastAsia"/>
              </w:rPr>
              <w:t>天天班</w:t>
            </w:r>
          </w:p>
        </w:tc>
        <w:tc>
          <w:tcPr>
            <w:tcW w:w="485" w:type="pct"/>
            <w:vAlign w:val="center"/>
          </w:tcPr>
          <w:p w14:paraId="72D5FB91">
            <w:pPr>
              <w:pStyle w:val="12"/>
              <w:jc w:val="center"/>
            </w:pPr>
            <w:r>
              <w:rPr>
                <w:rFonts w:hint="eastAsia"/>
              </w:rPr>
              <w:t>自办</w:t>
            </w:r>
          </w:p>
        </w:tc>
        <w:tc>
          <w:tcPr>
            <w:tcW w:w="2713" w:type="pct"/>
            <w:vAlign w:val="center"/>
          </w:tcPr>
          <w:p w14:paraId="4C1040F1">
            <w:pPr>
              <w:pStyle w:val="12"/>
              <w:jc w:val="left"/>
            </w:pPr>
            <w:r>
              <w:rPr>
                <w:rFonts w:hint="eastAsia"/>
              </w:rPr>
              <w:t>雄州大道中、大成街、青云西路</w:t>
            </w:r>
          </w:p>
        </w:tc>
      </w:tr>
      <w:tr w14:paraId="3848AB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5BADCB56">
            <w:pPr>
              <w:pStyle w:val="12"/>
              <w:jc w:val="center"/>
            </w:pPr>
            <w:r>
              <w:rPr>
                <w:rFonts w:hint="eastAsia"/>
              </w:rPr>
              <w:t>市区四段</w:t>
            </w:r>
          </w:p>
        </w:tc>
        <w:tc>
          <w:tcPr>
            <w:tcW w:w="485" w:type="pct"/>
            <w:vAlign w:val="center"/>
          </w:tcPr>
          <w:p w14:paraId="06AC1B28">
            <w:pPr>
              <w:pStyle w:val="12"/>
              <w:jc w:val="center"/>
            </w:pPr>
            <w:r>
              <w:rPr>
                <w:rFonts w:hint="eastAsia"/>
              </w:rPr>
              <w:t>20</w:t>
            </w:r>
          </w:p>
        </w:tc>
        <w:tc>
          <w:tcPr>
            <w:tcW w:w="485" w:type="pct"/>
            <w:vAlign w:val="center"/>
          </w:tcPr>
          <w:p w14:paraId="4E9AC816">
            <w:pPr>
              <w:pStyle w:val="12"/>
              <w:jc w:val="center"/>
            </w:pPr>
            <w:r>
              <w:rPr>
                <w:rFonts w:hint="eastAsia"/>
              </w:rPr>
              <w:t>天天班</w:t>
            </w:r>
          </w:p>
        </w:tc>
        <w:tc>
          <w:tcPr>
            <w:tcW w:w="485" w:type="pct"/>
            <w:vAlign w:val="center"/>
          </w:tcPr>
          <w:p w14:paraId="19E64F99">
            <w:pPr>
              <w:pStyle w:val="12"/>
              <w:jc w:val="center"/>
            </w:pPr>
            <w:r>
              <w:rPr>
                <w:rFonts w:hint="eastAsia"/>
              </w:rPr>
              <w:t>自办</w:t>
            </w:r>
          </w:p>
        </w:tc>
        <w:tc>
          <w:tcPr>
            <w:tcW w:w="2713" w:type="pct"/>
            <w:vAlign w:val="center"/>
          </w:tcPr>
          <w:p w14:paraId="6FE4CC92">
            <w:pPr>
              <w:pStyle w:val="12"/>
              <w:jc w:val="left"/>
            </w:pPr>
            <w:r>
              <w:rPr>
                <w:rFonts w:hint="eastAsia"/>
              </w:rPr>
              <w:t>雄州大道西、维新路、繁荣市场</w:t>
            </w:r>
          </w:p>
        </w:tc>
      </w:tr>
      <w:tr w14:paraId="7A2AF3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1657173F">
            <w:pPr>
              <w:pStyle w:val="12"/>
              <w:jc w:val="center"/>
            </w:pPr>
            <w:r>
              <w:rPr>
                <w:rFonts w:hint="eastAsia"/>
              </w:rPr>
              <w:t>市区五段</w:t>
            </w:r>
          </w:p>
        </w:tc>
        <w:tc>
          <w:tcPr>
            <w:tcW w:w="485" w:type="pct"/>
            <w:vAlign w:val="center"/>
          </w:tcPr>
          <w:p w14:paraId="477A79CA">
            <w:pPr>
              <w:pStyle w:val="12"/>
              <w:jc w:val="center"/>
            </w:pPr>
            <w:r>
              <w:rPr>
                <w:rFonts w:hint="eastAsia"/>
              </w:rPr>
              <w:t>16</w:t>
            </w:r>
          </w:p>
        </w:tc>
        <w:tc>
          <w:tcPr>
            <w:tcW w:w="485" w:type="pct"/>
            <w:vAlign w:val="center"/>
          </w:tcPr>
          <w:p w14:paraId="373777DC">
            <w:pPr>
              <w:pStyle w:val="12"/>
              <w:jc w:val="center"/>
            </w:pPr>
            <w:r>
              <w:rPr>
                <w:rFonts w:hint="eastAsia"/>
              </w:rPr>
              <w:t>天天班</w:t>
            </w:r>
          </w:p>
        </w:tc>
        <w:tc>
          <w:tcPr>
            <w:tcW w:w="485" w:type="pct"/>
            <w:vAlign w:val="center"/>
          </w:tcPr>
          <w:p w14:paraId="2E27D880">
            <w:pPr>
              <w:pStyle w:val="12"/>
              <w:jc w:val="center"/>
            </w:pPr>
            <w:r>
              <w:rPr>
                <w:rFonts w:hint="eastAsia"/>
              </w:rPr>
              <w:t>自办</w:t>
            </w:r>
          </w:p>
        </w:tc>
        <w:tc>
          <w:tcPr>
            <w:tcW w:w="2713" w:type="pct"/>
            <w:vAlign w:val="center"/>
          </w:tcPr>
          <w:p w14:paraId="060F3779">
            <w:pPr>
              <w:pStyle w:val="12"/>
              <w:jc w:val="left"/>
            </w:pPr>
            <w:r>
              <w:rPr>
                <w:rFonts w:hint="eastAsia"/>
              </w:rPr>
              <w:t>新城中街、林荫东路、新城市场</w:t>
            </w:r>
          </w:p>
        </w:tc>
      </w:tr>
      <w:tr w14:paraId="4F60C66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6D14E2FD">
            <w:pPr>
              <w:pStyle w:val="12"/>
              <w:jc w:val="center"/>
            </w:pPr>
            <w:r>
              <w:rPr>
                <w:rFonts w:hint="eastAsia"/>
              </w:rPr>
              <w:t>市区六段</w:t>
            </w:r>
          </w:p>
        </w:tc>
        <w:tc>
          <w:tcPr>
            <w:tcW w:w="485" w:type="pct"/>
            <w:vAlign w:val="center"/>
          </w:tcPr>
          <w:p w14:paraId="5D865A4D">
            <w:pPr>
              <w:pStyle w:val="12"/>
              <w:jc w:val="center"/>
            </w:pPr>
            <w:r>
              <w:rPr>
                <w:rFonts w:hint="eastAsia"/>
              </w:rPr>
              <w:t>26</w:t>
            </w:r>
          </w:p>
        </w:tc>
        <w:tc>
          <w:tcPr>
            <w:tcW w:w="485" w:type="pct"/>
            <w:vAlign w:val="center"/>
          </w:tcPr>
          <w:p w14:paraId="5C672389">
            <w:pPr>
              <w:pStyle w:val="12"/>
              <w:jc w:val="center"/>
            </w:pPr>
            <w:r>
              <w:rPr>
                <w:rFonts w:hint="eastAsia"/>
              </w:rPr>
              <w:t>天天班</w:t>
            </w:r>
          </w:p>
        </w:tc>
        <w:tc>
          <w:tcPr>
            <w:tcW w:w="485" w:type="pct"/>
            <w:vAlign w:val="center"/>
          </w:tcPr>
          <w:p w14:paraId="346AF12A">
            <w:pPr>
              <w:pStyle w:val="12"/>
              <w:jc w:val="center"/>
            </w:pPr>
            <w:r>
              <w:rPr>
                <w:rFonts w:hint="eastAsia"/>
              </w:rPr>
              <w:t>自办</w:t>
            </w:r>
          </w:p>
        </w:tc>
        <w:tc>
          <w:tcPr>
            <w:tcW w:w="2713" w:type="pct"/>
            <w:vAlign w:val="center"/>
          </w:tcPr>
          <w:p w14:paraId="11B6B09C">
            <w:pPr>
              <w:pStyle w:val="12"/>
              <w:jc w:val="left"/>
            </w:pPr>
            <w:r>
              <w:rPr>
                <w:rFonts w:hint="eastAsia"/>
              </w:rPr>
              <w:t>林荫西路、教育路、沿江西路</w:t>
            </w:r>
          </w:p>
        </w:tc>
      </w:tr>
      <w:tr w14:paraId="11A3291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0A21CE95">
            <w:pPr>
              <w:pStyle w:val="12"/>
              <w:jc w:val="center"/>
            </w:pPr>
            <w:r>
              <w:rPr>
                <w:rFonts w:hint="eastAsia"/>
              </w:rPr>
              <w:t>市区七段</w:t>
            </w:r>
          </w:p>
        </w:tc>
        <w:tc>
          <w:tcPr>
            <w:tcW w:w="485" w:type="pct"/>
            <w:vAlign w:val="center"/>
          </w:tcPr>
          <w:p w14:paraId="7149A448">
            <w:pPr>
              <w:pStyle w:val="12"/>
              <w:jc w:val="center"/>
            </w:pPr>
            <w:r>
              <w:rPr>
                <w:rFonts w:hint="eastAsia"/>
              </w:rPr>
              <w:t>36</w:t>
            </w:r>
          </w:p>
        </w:tc>
        <w:tc>
          <w:tcPr>
            <w:tcW w:w="485" w:type="pct"/>
            <w:vAlign w:val="center"/>
          </w:tcPr>
          <w:p w14:paraId="5B3D2DDD">
            <w:pPr>
              <w:pStyle w:val="12"/>
              <w:jc w:val="center"/>
            </w:pPr>
            <w:r>
              <w:rPr>
                <w:rFonts w:hint="eastAsia"/>
              </w:rPr>
              <w:t>天天班</w:t>
            </w:r>
          </w:p>
        </w:tc>
        <w:tc>
          <w:tcPr>
            <w:tcW w:w="485" w:type="pct"/>
            <w:vAlign w:val="center"/>
          </w:tcPr>
          <w:p w14:paraId="28B719B5">
            <w:pPr>
              <w:pStyle w:val="12"/>
              <w:jc w:val="center"/>
            </w:pPr>
            <w:r>
              <w:rPr>
                <w:rFonts w:hint="eastAsia"/>
              </w:rPr>
              <w:t>自办</w:t>
            </w:r>
          </w:p>
        </w:tc>
        <w:tc>
          <w:tcPr>
            <w:tcW w:w="2713" w:type="pct"/>
            <w:vAlign w:val="center"/>
          </w:tcPr>
          <w:p w14:paraId="5E276743">
            <w:pPr>
              <w:pStyle w:val="12"/>
              <w:jc w:val="left"/>
            </w:pPr>
            <w:r>
              <w:rPr>
                <w:rFonts w:hint="eastAsia"/>
              </w:rPr>
              <w:t>环城东路、雄东路、陵园路、陂头</w:t>
            </w:r>
          </w:p>
        </w:tc>
      </w:tr>
      <w:tr w14:paraId="28EEAB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4A0D7059">
            <w:pPr>
              <w:pStyle w:val="12"/>
              <w:jc w:val="center"/>
            </w:pPr>
            <w:r>
              <w:rPr>
                <w:rFonts w:hint="eastAsia"/>
              </w:rPr>
              <w:t>市区全安段</w:t>
            </w:r>
          </w:p>
        </w:tc>
        <w:tc>
          <w:tcPr>
            <w:tcW w:w="485" w:type="pct"/>
            <w:vAlign w:val="center"/>
          </w:tcPr>
          <w:p w14:paraId="5B708DEB">
            <w:pPr>
              <w:pStyle w:val="12"/>
              <w:jc w:val="center"/>
            </w:pPr>
            <w:r>
              <w:rPr>
                <w:rFonts w:hint="eastAsia"/>
              </w:rPr>
              <w:t>50</w:t>
            </w:r>
          </w:p>
        </w:tc>
        <w:tc>
          <w:tcPr>
            <w:tcW w:w="485" w:type="pct"/>
            <w:vAlign w:val="center"/>
          </w:tcPr>
          <w:p w14:paraId="1E4AF5B3">
            <w:pPr>
              <w:pStyle w:val="12"/>
              <w:jc w:val="center"/>
            </w:pPr>
            <w:r>
              <w:rPr>
                <w:rFonts w:hint="eastAsia"/>
              </w:rPr>
              <w:t>周六班</w:t>
            </w:r>
          </w:p>
        </w:tc>
        <w:tc>
          <w:tcPr>
            <w:tcW w:w="485" w:type="pct"/>
            <w:vAlign w:val="center"/>
          </w:tcPr>
          <w:p w14:paraId="0197D2B1">
            <w:pPr>
              <w:pStyle w:val="12"/>
              <w:jc w:val="center"/>
            </w:pPr>
            <w:r>
              <w:rPr>
                <w:rFonts w:hint="eastAsia"/>
              </w:rPr>
              <w:t>自办</w:t>
            </w:r>
          </w:p>
        </w:tc>
        <w:tc>
          <w:tcPr>
            <w:tcW w:w="2713" w:type="pct"/>
            <w:vAlign w:val="center"/>
          </w:tcPr>
          <w:p w14:paraId="3B790883">
            <w:pPr>
              <w:pStyle w:val="12"/>
              <w:jc w:val="left"/>
            </w:pPr>
            <w:r>
              <w:rPr>
                <w:rFonts w:hint="eastAsia"/>
              </w:rPr>
              <w:t>羊角、王亭石、河塘、龙华山、杨沥、密下水</w:t>
            </w:r>
          </w:p>
        </w:tc>
      </w:tr>
      <w:tr w14:paraId="7FD486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0AC57EFB">
            <w:pPr>
              <w:pStyle w:val="12"/>
              <w:jc w:val="center"/>
            </w:pPr>
            <w:r>
              <w:rPr>
                <w:rFonts w:hint="eastAsia"/>
              </w:rPr>
              <w:t>市区苍石段</w:t>
            </w:r>
          </w:p>
        </w:tc>
        <w:tc>
          <w:tcPr>
            <w:tcW w:w="485" w:type="pct"/>
            <w:vAlign w:val="center"/>
          </w:tcPr>
          <w:p w14:paraId="471BE7CA">
            <w:pPr>
              <w:pStyle w:val="12"/>
              <w:jc w:val="center"/>
            </w:pPr>
            <w:r>
              <w:rPr>
                <w:rFonts w:hint="eastAsia"/>
              </w:rPr>
              <w:t>111</w:t>
            </w:r>
          </w:p>
        </w:tc>
        <w:tc>
          <w:tcPr>
            <w:tcW w:w="485" w:type="pct"/>
            <w:vAlign w:val="center"/>
          </w:tcPr>
          <w:p w14:paraId="0D2B15BF">
            <w:pPr>
              <w:pStyle w:val="12"/>
              <w:jc w:val="center"/>
            </w:pPr>
            <w:r>
              <w:rPr>
                <w:rFonts w:hint="eastAsia"/>
              </w:rPr>
              <w:t>周三班</w:t>
            </w:r>
          </w:p>
        </w:tc>
        <w:tc>
          <w:tcPr>
            <w:tcW w:w="485" w:type="pct"/>
            <w:vAlign w:val="center"/>
          </w:tcPr>
          <w:p w14:paraId="2E300727">
            <w:pPr>
              <w:pStyle w:val="12"/>
              <w:jc w:val="center"/>
            </w:pPr>
            <w:r>
              <w:rPr>
                <w:rFonts w:hint="eastAsia"/>
              </w:rPr>
              <w:t>自办</w:t>
            </w:r>
          </w:p>
        </w:tc>
        <w:tc>
          <w:tcPr>
            <w:tcW w:w="2713" w:type="pct"/>
            <w:vAlign w:val="center"/>
          </w:tcPr>
          <w:p w14:paraId="32894702">
            <w:pPr>
              <w:pStyle w:val="12"/>
              <w:jc w:val="left"/>
            </w:pPr>
            <w:r>
              <w:rPr>
                <w:rFonts w:hint="eastAsia"/>
              </w:rPr>
              <w:t>章禾洞、兰溪、大坪、溪头</w:t>
            </w:r>
          </w:p>
        </w:tc>
      </w:tr>
      <w:tr w14:paraId="658C0E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4FBFAEF1">
            <w:pPr>
              <w:pStyle w:val="12"/>
              <w:jc w:val="center"/>
            </w:pPr>
            <w:r>
              <w:rPr>
                <w:rFonts w:hint="eastAsia"/>
              </w:rPr>
              <w:t>市区黎口段</w:t>
            </w:r>
          </w:p>
        </w:tc>
        <w:tc>
          <w:tcPr>
            <w:tcW w:w="485" w:type="pct"/>
            <w:vAlign w:val="center"/>
          </w:tcPr>
          <w:p w14:paraId="0BB82EE6">
            <w:pPr>
              <w:pStyle w:val="12"/>
              <w:jc w:val="center"/>
            </w:pPr>
            <w:r>
              <w:rPr>
                <w:rFonts w:hint="eastAsia"/>
              </w:rPr>
              <w:t>76</w:t>
            </w:r>
          </w:p>
        </w:tc>
        <w:tc>
          <w:tcPr>
            <w:tcW w:w="485" w:type="pct"/>
            <w:vAlign w:val="center"/>
          </w:tcPr>
          <w:p w14:paraId="702A9EAD">
            <w:pPr>
              <w:pStyle w:val="12"/>
              <w:jc w:val="center"/>
            </w:pPr>
            <w:r>
              <w:rPr>
                <w:rFonts w:hint="eastAsia"/>
              </w:rPr>
              <w:t>周三班</w:t>
            </w:r>
          </w:p>
        </w:tc>
        <w:tc>
          <w:tcPr>
            <w:tcW w:w="485" w:type="pct"/>
            <w:vAlign w:val="center"/>
          </w:tcPr>
          <w:p w14:paraId="7EAA1A77">
            <w:pPr>
              <w:pStyle w:val="12"/>
              <w:jc w:val="center"/>
            </w:pPr>
            <w:r>
              <w:rPr>
                <w:rFonts w:hint="eastAsia"/>
              </w:rPr>
              <w:t>自办</w:t>
            </w:r>
          </w:p>
        </w:tc>
        <w:tc>
          <w:tcPr>
            <w:tcW w:w="2713" w:type="pct"/>
            <w:vAlign w:val="center"/>
          </w:tcPr>
          <w:p w14:paraId="0EF91BE4">
            <w:pPr>
              <w:pStyle w:val="12"/>
              <w:jc w:val="left"/>
            </w:pPr>
            <w:r>
              <w:rPr>
                <w:rFonts w:hint="eastAsia"/>
              </w:rPr>
              <w:t>荆岗、勋口、上坪、下坪、迳口、五洲</w:t>
            </w:r>
          </w:p>
        </w:tc>
      </w:tr>
      <w:tr w14:paraId="709425F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3DEFBF83">
            <w:pPr>
              <w:pStyle w:val="12"/>
              <w:jc w:val="center"/>
            </w:pPr>
            <w:r>
              <w:rPr>
                <w:rFonts w:hint="eastAsia"/>
              </w:rPr>
              <w:t>市区主田段</w:t>
            </w:r>
          </w:p>
        </w:tc>
        <w:tc>
          <w:tcPr>
            <w:tcW w:w="485" w:type="pct"/>
            <w:vAlign w:val="center"/>
          </w:tcPr>
          <w:p w14:paraId="283D9E42">
            <w:pPr>
              <w:pStyle w:val="12"/>
              <w:jc w:val="center"/>
            </w:pPr>
            <w:r>
              <w:rPr>
                <w:rFonts w:hint="eastAsia"/>
              </w:rPr>
              <w:t>144</w:t>
            </w:r>
          </w:p>
        </w:tc>
        <w:tc>
          <w:tcPr>
            <w:tcW w:w="485" w:type="pct"/>
            <w:vAlign w:val="center"/>
          </w:tcPr>
          <w:p w14:paraId="50AC8198">
            <w:pPr>
              <w:pStyle w:val="12"/>
              <w:jc w:val="center"/>
            </w:pPr>
            <w:r>
              <w:rPr>
                <w:rFonts w:hint="eastAsia"/>
              </w:rPr>
              <w:t>周三班</w:t>
            </w:r>
          </w:p>
        </w:tc>
        <w:tc>
          <w:tcPr>
            <w:tcW w:w="485" w:type="pct"/>
            <w:vAlign w:val="center"/>
          </w:tcPr>
          <w:p w14:paraId="099B00ED">
            <w:pPr>
              <w:pStyle w:val="12"/>
              <w:jc w:val="center"/>
            </w:pPr>
            <w:r>
              <w:rPr>
                <w:rFonts w:hint="eastAsia"/>
              </w:rPr>
              <w:t>自办</w:t>
            </w:r>
          </w:p>
        </w:tc>
        <w:tc>
          <w:tcPr>
            <w:tcW w:w="2713" w:type="pct"/>
            <w:vAlign w:val="center"/>
          </w:tcPr>
          <w:p w14:paraId="2771400D">
            <w:pPr>
              <w:pStyle w:val="12"/>
              <w:jc w:val="left"/>
            </w:pPr>
            <w:r>
              <w:rPr>
                <w:rFonts w:hint="eastAsia"/>
              </w:rPr>
              <w:t>城门、塘山、高峰、窑合、西洞、棉土窝矿</w:t>
            </w:r>
          </w:p>
        </w:tc>
      </w:tr>
      <w:tr w14:paraId="5B7C4E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61BD3541">
            <w:pPr>
              <w:pStyle w:val="12"/>
              <w:jc w:val="center"/>
            </w:pPr>
            <w:r>
              <w:rPr>
                <w:rFonts w:hint="eastAsia"/>
              </w:rPr>
              <w:t>市区零售段</w:t>
            </w:r>
          </w:p>
        </w:tc>
        <w:tc>
          <w:tcPr>
            <w:tcW w:w="485" w:type="pct"/>
            <w:vAlign w:val="center"/>
          </w:tcPr>
          <w:p w14:paraId="119D908B">
            <w:pPr>
              <w:pStyle w:val="12"/>
              <w:jc w:val="center"/>
            </w:pPr>
            <w:r>
              <w:rPr>
                <w:rFonts w:hint="eastAsia"/>
              </w:rPr>
              <w:t>56</w:t>
            </w:r>
          </w:p>
        </w:tc>
        <w:tc>
          <w:tcPr>
            <w:tcW w:w="485" w:type="pct"/>
            <w:vAlign w:val="center"/>
          </w:tcPr>
          <w:p w14:paraId="57276887">
            <w:pPr>
              <w:pStyle w:val="12"/>
              <w:jc w:val="center"/>
            </w:pPr>
            <w:r>
              <w:rPr>
                <w:rFonts w:hint="eastAsia"/>
              </w:rPr>
              <w:t>天天班</w:t>
            </w:r>
          </w:p>
        </w:tc>
        <w:tc>
          <w:tcPr>
            <w:tcW w:w="485" w:type="pct"/>
            <w:vAlign w:val="center"/>
          </w:tcPr>
          <w:p w14:paraId="46B8DB0E">
            <w:pPr>
              <w:pStyle w:val="12"/>
              <w:jc w:val="center"/>
            </w:pPr>
            <w:r>
              <w:rPr>
                <w:rFonts w:hint="eastAsia"/>
              </w:rPr>
              <w:t>自办</w:t>
            </w:r>
          </w:p>
        </w:tc>
        <w:tc>
          <w:tcPr>
            <w:tcW w:w="2713" w:type="pct"/>
            <w:vAlign w:val="center"/>
          </w:tcPr>
          <w:p w14:paraId="7BE7AE65">
            <w:pPr>
              <w:pStyle w:val="12"/>
              <w:jc w:val="left"/>
            </w:pPr>
            <w:r>
              <w:rPr>
                <w:rFonts w:hint="eastAsia"/>
              </w:rPr>
              <w:t>市区</w:t>
            </w:r>
          </w:p>
        </w:tc>
      </w:tr>
      <w:tr w14:paraId="0F7FEA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397B30B7">
            <w:pPr>
              <w:pStyle w:val="12"/>
              <w:jc w:val="center"/>
            </w:pPr>
            <w:r>
              <w:rPr>
                <w:rFonts w:hint="eastAsia"/>
              </w:rPr>
              <w:t>市区代投上城</w:t>
            </w:r>
          </w:p>
        </w:tc>
        <w:tc>
          <w:tcPr>
            <w:tcW w:w="485" w:type="pct"/>
            <w:vAlign w:val="center"/>
          </w:tcPr>
          <w:p w14:paraId="709AD256">
            <w:pPr>
              <w:pStyle w:val="12"/>
              <w:jc w:val="center"/>
            </w:pPr>
            <w:r>
              <w:rPr>
                <w:rFonts w:hint="eastAsia"/>
              </w:rPr>
              <w:t>37</w:t>
            </w:r>
          </w:p>
        </w:tc>
        <w:tc>
          <w:tcPr>
            <w:tcW w:w="485" w:type="pct"/>
            <w:vAlign w:val="center"/>
          </w:tcPr>
          <w:p w14:paraId="7A60287A">
            <w:pPr>
              <w:pStyle w:val="12"/>
              <w:jc w:val="center"/>
            </w:pPr>
            <w:r>
              <w:rPr>
                <w:rFonts w:hint="eastAsia"/>
              </w:rPr>
              <w:t>天天班</w:t>
            </w:r>
          </w:p>
        </w:tc>
        <w:tc>
          <w:tcPr>
            <w:tcW w:w="485" w:type="pct"/>
            <w:vAlign w:val="center"/>
          </w:tcPr>
          <w:p w14:paraId="275F9351">
            <w:pPr>
              <w:pStyle w:val="12"/>
              <w:jc w:val="center"/>
            </w:pPr>
            <w:r>
              <w:rPr>
                <w:rFonts w:hint="eastAsia"/>
              </w:rPr>
              <w:t>自办</w:t>
            </w:r>
          </w:p>
        </w:tc>
        <w:tc>
          <w:tcPr>
            <w:tcW w:w="2713" w:type="pct"/>
            <w:vAlign w:val="center"/>
          </w:tcPr>
          <w:p w14:paraId="6850F83E">
            <w:pPr>
              <w:pStyle w:val="12"/>
              <w:jc w:val="left"/>
            </w:pPr>
            <w:r>
              <w:rPr>
                <w:rFonts w:hint="eastAsia"/>
              </w:rPr>
              <w:t>大成街以东</w:t>
            </w:r>
          </w:p>
        </w:tc>
      </w:tr>
      <w:tr w14:paraId="6EC408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240ECAA5">
            <w:pPr>
              <w:pStyle w:val="12"/>
              <w:jc w:val="center"/>
            </w:pPr>
            <w:r>
              <w:rPr>
                <w:rFonts w:hint="eastAsia"/>
              </w:rPr>
              <w:t>市区代投下城</w:t>
            </w:r>
          </w:p>
        </w:tc>
        <w:tc>
          <w:tcPr>
            <w:tcW w:w="485" w:type="pct"/>
            <w:vAlign w:val="center"/>
          </w:tcPr>
          <w:p w14:paraId="1462B8AF">
            <w:pPr>
              <w:pStyle w:val="12"/>
              <w:jc w:val="center"/>
            </w:pPr>
            <w:r>
              <w:rPr>
                <w:rFonts w:hint="eastAsia"/>
              </w:rPr>
              <w:t>38</w:t>
            </w:r>
          </w:p>
        </w:tc>
        <w:tc>
          <w:tcPr>
            <w:tcW w:w="485" w:type="pct"/>
            <w:vAlign w:val="center"/>
          </w:tcPr>
          <w:p w14:paraId="32C06540">
            <w:pPr>
              <w:pStyle w:val="12"/>
              <w:jc w:val="center"/>
            </w:pPr>
            <w:r>
              <w:rPr>
                <w:rFonts w:hint="eastAsia"/>
              </w:rPr>
              <w:t>天天班</w:t>
            </w:r>
          </w:p>
        </w:tc>
        <w:tc>
          <w:tcPr>
            <w:tcW w:w="485" w:type="pct"/>
            <w:vAlign w:val="center"/>
          </w:tcPr>
          <w:p w14:paraId="1B039E08">
            <w:pPr>
              <w:pStyle w:val="12"/>
              <w:jc w:val="center"/>
            </w:pPr>
            <w:r>
              <w:rPr>
                <w:rFonts w:hint="eastAsia"/>
              </w:rPr>
              <w:t>自办</w:t>
            </w:r>
          </w:p>
        </w:tc>
        <w:tc>
          <w:tcPr>
            <w:tcW w:w="2713" w:type="pct"/>
            <w:vAlign w:val="center"/>
          </w:tcPr>
          <w:p w14:paraId="44FA757E">
            <w:pPr>
              <w:pStyle w:val="12"/>
              <w:jc w:val="left"/>
            </w:pPr>
            <w:r>
              <w:rPr>
                <w:rFonts w:hint="eastAsia"/>
              </w:rPr>
              <w:t>大成街以西</w:t>
            </w:r>
          </w:p>
        </w:tc>
      </w:tr>
      <w:tr w14:paraId="320D0F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7318FA6E">
            <w:pPr>
              <w:pStyle w:val="12"/>
              <w:jc w:val="center"/>
            </w:pPr>
            <w:r>
              <w:rPr>
                <w:rFonts w:hint="eastAsia"/>
              </w:rPr>
              <w:t>市区代投新城东</w:t>
            </w:r>
          </w:p>
        </w:tc>
        <w:tc>
          <w:tcPr>
            <w:tcW w:w="485" w:type="pct"/>
            <w:vAlign w:val="center"/>
          </w:tcPr>
          <w:p w14:paraId="218E653F">
            <w:pPr>
              <w:pStyle w:val="12"/>
              <w:jc w:val="center"/>
            </w:pPr>
            <w:r>
              <w:rPr>
                <w:rFonts w:hint="eastAsia"/>
              </w:rPr>
              <w:t>28</w:t>
            </w:r>
          </w:p>
        </w:tc>
        <w:tc>
          <w:tcPr>
            <w:tcW w:w="485" w:type="pct"/>
            <w:vAlign w:val="center"/>
          </w:tcPr>
          <w:p w14:paraId="3133E87D">
            <w:pPr>
              <w:pStyle w:val="12"/>
              <w:jc w:val="center"/>
            </w:pPr>
            <w:r>
              <w:rPr>
                <w:rFonts w:hint="eastAsia"/>
              </w:rPr>
              <w:t>天天班</w:t>
            </w:r>
          </w:p>
        </w:tc>
        <w:tc>
          <w:tcPr>
            <w:tcW w:w="485" w:type="pct"/>
            <w:vAlign w:val="center"/>
          </w:tcPr>
          <w:p w14:paraId="5C6CE471">
            <w:pPr>
              <w:pStyle w:val="12"/>
              <w:jc w:val="center"/>
            </w:pPr>
            <w:r>
              <w:rPr>
                <w:rFonts w:hint="eastAsia"/>
              </w:rPr>
              <w:t>自办</w:t>
            </w:r>
          </w:p>
        </w:tc>
        <w:tc>
          <w:tcPr>
            <w:tcW w:w="2713" w:type="pct"/>
            <w:vAlign w:val="center"/>
          </w:tcPr>
          <w:p w14:paraId="53F0C23D">
            <w:pPr>
              <w:pStyle w:val="12"/>
              <w:jc w:val="left"/>
            </w:pPr>
            <w:r>
              <w:rPr>
                <w:rFonts w:hint="eastAsia"/>
              </w:rPr>
              <w:t>浈江路以东</w:t>
            </w:r>
          </w:p>
        </w:tc>
      </w:tr>
      <w:tr w14:paraId="297CFC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7488E3B0">
            <w:pPr>
              <w:pStyle w:val="12"/>
              <w:jc w:val="center"/>
            </w:pPr>
            <w:r>
              <w:rPr>
                <w:rFonts w:hint="eastAsia"/>
              </w:rPr>
              <w:t>市区代投新城西</w:t>
            </w:r>
          </w:p>
        </w:tc>
        <w:tc>
          <w:tcPr>
            <w:tcW w:w="485" w:type="pct"/>
            <w:vAlign w:val="center"/>
          </w:tcPr>
          <w:p w14:paraId="73B2FD29">
            <w:pPr>
              <w:pStyle w:val="12"/>
              <w:jc w:val="center"/>
            </w:pPr>
            <w:r>
              <w:rPr>
                <w:rFonts w:hint="eastAsia"/>
              </w:rPr>
              <w:t>33</w:t>
            </w:r>
          </w:p>
        </w:tc>
        <w:tc>
          <w:tcPr>
            <w:tcW w:w="485" w:type="pct"/>
            <w:vAlign w:val="center"/>
          </w:tcPr>
          <w:p w14:paraId="15F18DA3">
            <w:pPr>
              <w:pStyle w:val="12"/>
              <w:jc w:val="center"/>
            </w:pPr>
            <w:r>
              <w:rPr>
                <w:rFonts w:hint="eastAsia"/>
              </w:rPr>
              <w:t>天天班</w:t>
            </w:r>
          </w:p>
        </w:tc>
        <w:tc>
          <w:tcPr>
            <w:tcW w:w="485" w:type="pct"/>
            <w:vAlign w:val="center"/>
          </w:tcPr>
          <w:p w14:paraId="7F2C7A64">
            <w:pPr>
              <w:pStyle w:val="12"/>
              <w:jc w:val="center"/>
            </w:pPr>
            <w:r>
              <w:rPr>
                <w:rFonts w:hint="eastAsia"/>
              </w:rPr>
              <w:t>自办</w:t>
            </w:r>
          </w:p>
        </w:tc>
        <w:tc>
          <w:tcPr>
            <w:tcW w:w="2713" w:type="pct"/>
            <w:vAlign w:val="center"/>
          </w:tcPr>
          <w:p w14:paraId="7C572573">
            <w:pPr>
              <w:pStyle w:val="12"/>
              <w:jc w:val="left"/>
            </w:pPr>
            <w:r>
              <w:rPr>
                <w:rFonts w:hint="eastAsia"/>
              </w:rPr>
              <w:t>浈江路以西</w:t>
            </w:r>
          </w:p>
        </w:tc>
      </w:tr>
      <w:tr w14:paraId="708D30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680047AD">
            <w:pPr>
              <w:pStyle w:val="12"/>
              <w:jc w:val="center"/>
            </w:pPr>
            <w:r>
              <w:rPr>
                <w:rFonts w:hint="eastAsia"/>
              </w:rPr>
              <w:t>古市</w:t>
            </w:r>
          </w:p>
        </w:tc>
        <w:tc>
          <w:tcPr>
            <w:tcW w:w="485" w:type="pct"/>
            <w:vAlign w:val="center"/>
          </w:tcPr>
          <w:p w14:paraId="6F5811D4">
            <w:pPr>
              <w:pStyle w:val="12"/>
              <w:jc w:val="center"/>
            </w:pPr>
            <w:r>
              <w:rPr>
                <w:rFonts w:hint="eastAsia"/>
              </w:rPr>
              <w:t>76</w:t>
            </w:r>
            <w:r>
              <w:rPr>
                <w:rFonts w:hint="eastAsia" w:ascii="宋体" w:hAnsi="宋体" w:cs="宋体"/>
              </w:rPr>
              <w:t></w:t>
            </w:r>
            <w:r>
              <w:rPr>
                <w:rFonts w:hint="eastAsia"/>
              </w:rPr>
              <w:t>6</w:t>
            </w:r>
          </w:p>
        </w:tc>
        <w:tc>
          <w:tcPr>
            <w:tcW w:w="485" w:type="pct"/>
            <w:vAlign w:val="center"/>
          </w:tcPr>
          <w:p w14:paraId="79000DF4">
            <w:pPr>
              <w:pStyle w:val="12"/>
              <w:jc w:val="center"/>
            </w:pPr>
            <w:r>
              <w:rPr>
                <w:rFonts w:hint="eastAsia"/>
              </w:rPr>
              <w:t>周三班</w:t>
            </w:r>
          </w:p>
        </w:tc>
        <w:tc>
          <w:tcPr>
            <w:tcW w:w="485" w:type="pct"/>
            <w:vAlign w:val="center"/>
          </w:tcPr>
          <w:p w14:paraId="06BB11E1">
            <w:pPr>
              <w:pStyle w:val="12"/>
              <w:jc w:val="center"/>
            </w:pPr>
            <w:r>
              <w:rPr>
                <w:rFonts w:hint="eastAsia"/>
              </w:rPr>
              <w:t>自办</w:t>
            </w:r>
          </w:p>
        </w:tc>
        <w:tc>
          <w:tcPr>
            <w:tcW w:w="2713" w:type="pct"/>
            <w:vAlign w:val="center"/>
          </w:tcPr>
          <w:p w14:paraId="61B69F14">
            <w:pPr>
              <w:pStyle w:val="12"/>
              <w:jc w:val="left"/>
            </w:pPr>
            <w:r>
              <w:rPr>
                <w:rFonts w:hint="eastAsia"/>
              </w:rPr>
              <w:t>丹布、小坑、溪口、修仁、柴岭、丰源</w:t>
            </w:r>
          </w:p>
        </w:tc>
      </w:tr>
      <w:tr w14:paraId="4FC508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0BB19915">
            <w:pPr>
              <w:pStyle w:val="12"/>
              <w:jc w:val="center"/>
            </w:pPr>
            <w:r>
              <w:rPr>
                <w:rFonts w:hint="eastAsia"/>
              </w:rPr>
              <w:t>乌迳市区</w:t>
            </w:r>
          </w:p>
        </w:tc>
        <w:tc>
          <w:tcPr>
            <w:tcW w:w="485" w:type="pct"/>
            <w:vAlign w:val="center"/>
          </w:tcPr>
          <w:p w14:paraId="18BC7218">
            <w:pPr>
              <w:pStyle w:val="12"/>
              <w:jc w:val="center"/>
            </w:pPr>
            <w:r>
              <w:rPr>
                <w:rFonts w:hint="eastAsia"/>
              </w:rPr>
              <w:t>25</w:t>
            </w:r>
          </w:p>
        </w:tc>
        <w:tc>
          <w:tcPr>
            <w:tcW w:w="485" w:type="pct"/>
            <w:vAlign w:val="center"/>
          </w:tcPr>
          <w:p w14:paraId="33F897D1">
            <w:pPr>
              <w:pStyle w:val="12"/>
              <w:jc w:val="center"/>
            </w:pPr>
            <w:r>
              <w:rPr>
                <w:rFonts w:hint="eastAsia"/>
              </w:rPr>
              <w:t>天天班</w:t>
            </w:r>
          </w:p>
        </w:tc>
        <w:tc>
          <w:tcPr>
            <w:tcW w:w="485" w:type="pct"/>
            <w:vAlign w:val="center"/>
          </w:tcPr>
          <w:p w14:paraId="6B5CA578">
            <w:pPr>
              <w:pStyle w:val="12"/>
              <w:jc w:val="center"/>
            </w:pPr>
            <w:r>
              <w:rPr>
                <w:rFonts w:hint="eastAsia"/>
              </w:rPr>
              <w:t>自办</w:t>
            </w:r>
          </w:p>
        </w:tc>
        <w:tc>
          <w:tcPr>
            <w:tcW w:w="2713" w:type="pct"/>
            <w:vAlign w:val="center"/>
          </w:tcPr>
          <w:p w14:paraId="2B164F4E">
            <w:pPr>
              <w:pStyle w:val="12"/>
              <w:jc w:val="left"/>
            </w:pPr>
            <w:r>
              <w:rPr>
                <w:rFonts w:hint="eastAsia"/>
              </w:rPr>
              <w:t>乌迳市区</w:t>
            </w:r>
          </w:p>
        </w:tc>
      </w:tr>
      <w:tr w14:paraId="1CBCB4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5778259F">
            <w:pPr>
              <w:pStyle w:val="12"/>
              <w:jc w:val="center"/>
            </w:pPr>
            <w:r>
              <w:rPr>
                <w:rFonts w:hint="eastAsia"/>
              </w:rPr>
              <w:t>乌迳孔江</w:t>
            </w:r>
          </w:p>
        </w:tc>
        <w:tc>
          <w:tcPr>
            <w:tcW w:w="485" w:type="pct"/>
            <w:vAlign w:val="center"/>
          </w:tcPr>
          <w:p w14:paraId="4D0EF1B7">
            <w:pPr>
              <w:pStyle w:val="12"/>
              <w:jc w:val="center"/>
            </w:pPr>
            <w:r>
              <w:rPr>
                <w:rFonts w:hint="eastAsia"/>
              </w:rPr>
              <w:t>46</w:t>
            </w:r>
          </w:p>
        </w:tc>
        <w:tc>
          <w:tcPr>
            <w:tcW w:w="485" w:type="pct"/>
            <w:vAlign w:val="center"/>
          </w:tcPr>
          <w:p w14:paraId="6A6E3FA8">
            <w:pPr>
              <w:pStyle w:val="12"/>
              <w:jc w:val="center"/>
            </w:pPr>
            <w:r>
              <w:rPr>
                <w:rFonts w:hint="eastAsia"/>
              </w:rPr>
              <w:t>周三班</w:t>
            </w:r>
          </w:p>
        </w:tc>
        <w:tc>
          <w:tcPr>
            <w:tcW w:w="485" w:type="pct"/>
            <w:vAlign w:val="center"/>
          </w:tcPr>
          <w:p w14:paraId="11CEDA17">
            <w:pPr>
              <w:pStyle w:val="12"/>
              <w:jc w:val="center"/>
            </w:pPr>
            <w:r>
              <w:rPr>
                <w:rFonts w:hint="eastAsia"/>
              </w:rPr>
              <w:t>自办</w:t>
            </w:r>
          </w:p>
        </w:tc>
        <w:tc>
          <w:tcPr>
            <w:tcW w:w="2713" w:type="pct"/>
            <w:vAlign w:val="center"/>
          </w:tcPr>
          <w:p w14:paraId="34064794">
            <w:pPr>
              <w:pStyle w:val="12"/>
              <w:jc w:val="left"/>
            </w:pPr>
            <w:r>
              <w:rPr>
                <w:rFonts w:hint="eastAsia"/>
              </w:rPr>
              <w:t>白胜、田心、孔江、兰坵、黄塘、龙迳</w:t>
            </w:r>
          </w:p>
        </w:tc>
      </w:tr>
      <w:tr w14:paraId="099BFD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53B16FB8">
            <w:pPr>
              <w:pStyle w:val="12"/>
              <w:jc w:val="center"/>
            </w:pPr>
            <w:r>
              <w:rPr>
                <w:rFonts w:hint="eastAsia"/>
              </w:rPr>
              <w:t>乌迳庙前</w:t>
            </w:r>
          </w:p>
        </w:tc>
        <w:tc>
          <w:tcPr>
            <w:tcW w:w="485" w:type="pct"/>
            <w:vAlign w:val="center"/>
          </w:tcPr>
          <w:p w14:paraId="4FCA08CA">
            <w:pPr>
              <w:pStyle w:val="12"/>
              <w:jc w:val="center"/>
            </w:pPr>
            <w:r>
              <w:rPr>
                <w:rFonts w:hint="eastAsia"/>
              </w:rPr>
              <w:t>44</w:t>
            </w:r>
          </w:p>
        </w:tc>
        <w:tc>
          <w:tcPr>
            <w:tcW w:w="485" w:type="pct"/>
            <w:vAlign w:val="center"/>
          </w:tcPr>
          <w:p w14:paraId="53CA7FD3">
            <w:pPr>
              <w:pStyle w:val="12"/>
              <w:jc w:val="center"/>
            </w:pPr>
            <w:r>
              <w:rPr>
                <w:rFonts w:hint="eastAsia"/>
              </w:rPr>
              <w:t>周三班</w:t>
            </w:r>
          </w:p>
        </w:tc>
        <w:tc>
          <w:tcPr>
            <w:tcW w:w="485" w:type="pct"/>
            <w:vAlign w:val="center"/>
          </w:tcPr>
          <w:p w14:paraId="721C9949">
            <w:pPr>
              <w:pStyle w:val="12"/>
              <w:jc w:val="center"/>
            </w:pPr>
            <w:r>
              <w:rPr>
                <w:rFonts w:hint="eastAsia"/>
              </w:rPr>
              <w:t>自办</w:t>
            </w:r>
          </w:p>
        </w:tc>
        <w:tc>
          <w:tcPr>
            <w:tcW w:w="2713" w:type="pct"/>
            <w:vAlign w:val="center"/>
          </w:tcPr>
          <w:p w14:paraId="20093AD9">
            <w:pPr>
              <w:pStyle w:val="12"/>
              <w:jc w:val="left"/>
            </w:pPr>
            <w:r>
              <w:rPr>
                <w:rFonts w:hint="eastAsia"/>
              </w:rPr>
              <w:t>黄洞、庙前、水松、响联、白龙、鱼塘</w:t>
            </w:r>
          </w:p>
        </w:tc>
      </w:tr>
      <w:tr w14:paraId="5F3EF8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31DB27E2">
            <w:pPr>
              <w:pStyle w:val="12"/>
              <w:jc w:val="center"/>
            </w:pPr>
            <w:r>
              <w:rPr>
                <w:rFonts w:hint="eastAsia"/>
              </w:rPr>
              <w:t>珠玑里东</w:t>
            </w:r>
          </w:p>
        </w:tc>
        <w:tc>
          <w:tcPr>
            <w:tcW w:w="485" w:type="pct"/>
            <w:vAlign w:val="center"/>
          </w:tcPr>
          <w:p w14:paraId="3AE31F08">
            <w:pPr>
              <w:pStyle w:val="12"/>
              <w:jc w:val="center"/>
            </w:pPr>
            <w:r>
              <w:rPr>
                <w:rFonts w:hint="eastAsia"/>
              </w:rPr>
              <w:t>49</w:t>
            </w:r>
          </w:p>
        </w:tc>
        <w:tc>
          <w:tcPr>
            <w:tcW w:w="485" w:type="pct"/>
            <w:vAlign w:val="center"/>
          </w:tcPr>
          <w:p w14:paraId="51135FC2">
            <w:pPr>
              <w:pStyle w:val="12"/>
              <w:jc w:val="center"/>
            </w:pPr>
            <w:r>
              <w:rPr>
                <w:rFonts w:hint="eastAsia"/>
              </w:rPr>
              <w:t>周六班</w:t>
            </w:r>
          </w:p>
        </w:tc>
        <w:tc>
          <w:tcPr>
            <w:tcW w:w="485" w:type="pct"/>
            <w:vAlign w:val="center"/>
          </w:tcPr>
          <w:p w14:paraId="0D2C1AE1">
            <w:pPr>
              <w:pStyle w:val="12"/>
              <w:jc w:val="center"/>
            </w:pPr>
            <w:r>
              <w:rPr>
                <w:rFonts w:hint="eastAsia"/>
              </w:rPr>
              <w:t>自办</w:t>
            </w:r>
          </w:p>
        </w:tc>
        <w:tc>
          <w:tcPr>
            <w:tcW w:w="2713" w:type="pct"/>
            <w:vAlign w:val="center"/>
          </w:tcPr>
          <w:p w14:paraId="0AC89AB9">
            <w:pPr>
              <w:pStyle w:val="12"/>
              <w:jc w:val="left"/>
            </w:pPr>
            <w:r>
              <w:rPr>
                <w:rFonts w:hint="eastAsia"/>
              </w:rPr>
              <w:t>石塘、横江、灵潭、祗芫、下坋、南山、罗田</w:t>
            </w:r>
          </w:p>
        </w:tc>
      </w:tr>
      <w:tr w14:paraId="42505D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08CC5D07">
            <w:pPr>
              <w:pStyle w:val="12"/>
              <w:jc w:val="center"/>
            </w:pPr>
            <w:r>
              <w:rPr>
                <w:rFonts w:hint="eastAsia"/>
              </w:rPr>
              <w:t>珠玑长迳</w:t>
            </w:r>
          </w:p>
        </w:tc>
        <w:tc>
          <w:tcPr>
            <w:tcW w:w="485" w:type="pct"/>
            <w:vAlign w:val="center"/>
          </w:tcPr>
          <w:p w14:paraId="7CAF3F08">
            <w:pPr>
              <w:pStyle w:val="12"/>
              <w:jc w:val="center"/>
            </w:pPr>
            <w:r>
              <w:rPr>
                <w:rFonts w:hint="eastAsia"/>
              </w:rPr>
              <w:t>47</w:t>
            </w:r>
            <w:r>
              <w:rPr>
                <w:rFonts w:hint="eastAsia" w:ascii="宋体" w:hAnsi="宋体" w:cs="宋体"/>
              </w:rPr>
              <w:t></w:t>
            </w:r>
            <w:r>
              <w:rPr>
                <w:rFonts w:hint="eastAsia"/>
              </w:rPr>
              <w:t>5</w:t>
            </w:r>
          </w:p>
        </w:tc>
        <w:tc>
          <w:tcPr>
            <w:tcW w:w="485" w:type="pct"/>
            <w:vAlign w:val="center"/>
          </w:tcPr>
          <w:p w14:paraId="3B9EB57D">
            <w:pPr>
              <w:pStyle w:val="12"/>
              <w:jc w:val="center"/>
            </w:pPr>
            <w:r>
              <w:rPr>
                <w:rFonts w:hint="eastAsia"/>
              </w:rPr>
              <w:t>周六班</w:t>
            </w:r>
          </w:p>
        </w:tc>
        <w:tc>
          <w:tcPr>
            <w:tcW w:w="485" w:type="pct"/>
            <w:vAlign w:val="center"/>
          </w:tcPr>
          <w:p w14:paraId="2026A1BB">
            <w:pPr>
              <w:pStyle w:val="12"/>
              <w:jc w:val="center"/>
            </w:pPr>
            <w:r>
              <w:rPr>
                <w:rFonts w:hint="eastAsia"/>
              </w:rPr>
              <w:t>自办</w:t>
            </w:r>
          </w:p>
        </w:tc>
        <w:tc>
          <w:tcPr>
            <w:tcW w:w="2713" w:type="pct"/>
            <w:vAlign w:val="center"/>
          </w:tcPr>
          <w:p w14:paraId="45F275F3">
            <w:pPr>
              <w:pStyle w:val="12"/>
              <w:jc w:val="left"/>
            </w:pPr>
            <w:r>
              <w:rPr>
                <w:rFonts w:hint="eastAsia"/>
              </w:rPr>
              <w:t>里仁、叟里元、长迳、古田、聪辈</w:t>
            </w:r>
          </w:p>
        </w:tc>
      </w:tr>
      <w:tr w14:paraId="6FBC0D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3EF12512">
            <w:pPr>
              <w:pStyle w:val="12"/>
              <w:jc w:val="center"/>
            </w:pPr>
            <w:r>
              <w:rPr>
                <w:rFonts w:hint="eastAsia"/>
              </w:rPr>
              <w:t>湖口承平</w:t>
            </w:r>
          </w:p>
        </w:tc>
        <w:tc>
          <w:tcPr>
            <w:tcW w:w="485" w:type="pct"/>
            <w:vAlign w:val="center"/>
          </w:tcPr>
          <w:p w14:paraId="450D60E2">
            <w:pPr>
              <w:pStyle w:val="12"/>
              <w:jc w:val="center"/>
            </w:pPr>
            <w:r>
              <w:rPr>
                <w:rFonts w:hint="eastAsia"/>
              </w:rPr>
              <w:t>41</w:t>
            </w:r>
          </w:p>
        </w:tc>
        <w:tc>
          <w:tcPr>
            <w:tcW w:w="485" w:type="pct"/>
            <w:vAlign w:val="center"/>
          </w:tcPr>
          <w:p w14:paraId="55980A9B">
            <w:pPr>
              <w:pStyle w:val="12"/>
              <w:jc w:val="center"/>
            </w:pPr>
            <w:r>
              <w:rPr>
                <w:rFonts w:hint="eastAsia"/>
              </w:rPr>
              <w:t>周六班</w:t>
            </w:r>
          </w:p>
        </w:tc>
        <w:tc>
          <w:tcPr>
            <w:tcW w:w="485" w:type="pct"/>
            <w:vAlign w:val="center"/>
          </w:tcPr>
          <w:p w14:paraId="2D10112C">
            <w:pPr>
              <w:pStyle w:val="12"/>
              <w:jc w:val="center"/>
            </w:pPr>
            <w:r>
              <w:rPr>
                <w:rFonts w:hint="eastAsia"/>
              </w:rPr>
              <w:t>自办</w:t>
            </w:r>
          </w:p>
        </w:tc>
        <w:tc>
          <w:tcPr>
            <w:tcW w:w="2713" w:type="pct"/>
            <w:vAlign w:val="center"/>
          </w:tcPr>
          <w:p w14:paraId="31E4CB25">
            <w:pPr>
              <w:pStyle w:val="12"/>
              <w:jc w:val="left"/>
            </w:pPr>
            <w:r>
              <w:rPr>
                <w:rFonts w:hint="eastAsia"/>
              </w:rPr>
              <w:t>太和、新迳、麻塔石、石坑、矿岭、岗围</w:t>
            </w:r>
          </w:p>
        </w:tc>
      </w:tr>
      <w:tr w14:paraId="0D753E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18692774">
            <w:pPr>
              <w:pStyle w:val="12"/>
              <w:jc w:val="center"/>
            </w:pPr>
            <w:r>
              <w:rPr>
                <w:rFonts w:hint="eastAsia"/>
              </w:rPr>
              <w:t>湖口长市</w:t>
            </w:r>
          </w:p>
        </w:tc>
        <w:tc>
          <w:tcPr>
            <w:tcW w:w="485" w:type="pct"/>
            <w:vAlign w:val="center"/>
          </w:tcPr>
          <w:p w14:paraId="5EE5CBEA">
            <w:pPr>
              <w:pStyle w:val="12"/>
              <w:jc w:val="center"/>
            </w:pPr>
            <w:r>
              <w:rPr>
                <w:rFonts w:hint="eastAsia"/>
              </w:rPr>
              <w:t>39</w:t>
            </w:r>
          </w:p>
        </w:tc>
        <w:tc>
          <w:tcPr>
            <w:tcW w:w="485" w:type="pct"/>
            <w:vAlign w:val="center"/>
          </w:tcPr>
          <w:p w14:paraId="588611FD">
            <w:pPr>
              <w:pStyle w:val="12"/>
              <w:jc w:val="center"/>
            </w:pPr>
            <w:r>
              <w:rPr>
                <w:rFonts w:hint="eastAsia"/>
              </w:rPr>
              <w:t>周六班</w:t>
            </w:r>
          </w:p>
        </w:tc>
        <w:tc>
          <w:tcPr>
            <w:tcW w:w="485" w:type="pct"/>
            <w:vAlign w:val="center"/>
          </w:tcPr>
          <w:p w14:paraId="67B61556">
            <w:pPr>
              <w:pStyle w:val="12"/>
              <w:jc w:val="center"/>
            </w:pPr>
            <w:r>
              <w:rPr>
                <w:rFonts w:hint="eastAsia"/>
              </w:rPr>
              <w:t>自办</w:t>
            </w:r>
          </w:p>
        </w:tc>
        <w:tc>
          <w:tcPr>
            <w:tcW w:w="2713" w:type="pct"/>
            <w:vAlign w:val="center"/>
          </w:tcPr>
          <w:p w14:paraId="4541CB67">
            <w:pPr>
              <w:pStyle w:val="12"/>
              <w:jc w:val="left"/>
            </w:pPr>
            <w:r>
              <w:rPr>
                <w:rFonts w:hint="eastAsia"/>
              </w:rPr>
              <w:t>新湖、里和、三角、三水、积塔</w:t>
            </w:r>
          </w:p>
        </w:tc>
      </w:tr>
      <w:tr w14:paraId="2721E8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72CA37A3">
            <w:pPr>
              <w:pStyle w:val="12"/>
              <w:jc w:val="center"/>
            </w:pPr>
            <w:r>
              <w:rPr>
                <w:rFonts w:hint="eastAsia"/>
              </w:rPr>
              <w:t>黄坑坪岗</w:t>
            </w:r>
          </w:p>
        </w:tc>
        <w:tc>
          <w:tcPr>
            <w:tcW w:w="485" w:type="pct"/>
            <w:vAlign w:val="center"/>
          </w:tcPr>
          <w:p w14:paraId="656EE186">
            <w:pPr>
              <w:pStyle w:val="12"/>
              <w:jc w:val="center"/>
            </w:pPr>
            <w:r>
              <w:rPr>
                <w:rFonts w:hint="eastAsia"/>
              </w:rPr>
              <w:t>29</w:t>
            </w:r>
          </w:p>
        </w:tc>
        <w:tc>
          <w:tcPr>
            <w:tcW w:w="485" w:type="pct"/>
            <w:vAlign w:val="center"/>
          </w:tcPr>
          <w:p w14:paraId="053C93EE">
            <w:pPr>
              <w:pStyle w:val="12"/>
              <w:jc w:val="center"/>
            </w:pPr>
            <w:r>
              <w:rPr>
                <w:rFonts w:hint="eastAsia"/>
              </w:rPr>
              <w:t>周六班</w:t>
            </w:r>
          </w:p>
        </w:tc>
        <w:tc>
          <w:tcPr>
            <w:tcW w:w="485" w:type="pct"/>
            <w:vAlign w:val="center"/>
          </w:tcPr>
          <w:p w14:paraId="51F95D7A">
            <w:pPr>
              <w:pStyle w:val="12"/>
              <w:jc w:val="center"/>
            </w:pPr>
            <w:r>
              <w:rPr>
                <w:rFonts w:hint="eastAsia"/>
              </w:rPr>
              <w:t>自办</w:t>
            </w:r>
          </w:p>
        </w:tc>
        <w:tc>
          <w:tcPr>
            <w:tcW w:w="2713" w:type="pct"/>
            <w:vAlign w:val="center"/>
          </w:tcPr>
          <w:p w14:paraId="2F6350D6">
            <w:pPr>
              <w:pStyle w:val="12"/>
              <w:jc w:val="left"/>
            </w:pPr>
            <w:r>
              <w:rPr>
                <w:rFonts w:hint="eastAsia"/>
              </w:rPr>
              <w:t>塘下、水西、溪塘、小陂、社前</w:t>
            </w:r>
          </w:p>
        </w:tc>
      </w:tr>
      <w:tr w14:paraId="1723BC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73D37238">
            <w:pPr>
              <w:pStyle w:val="12"/>
              <w:jc w:val="center"/>
            </w:pPr>
            <w:r>
              <w:rPr>
                <w:rFonts w:hint="eastAsia"/>
              </w:rPr>
              <w:t>黄坑许村</w:t>
            </w:r>
          </w:p>
        </w:tc>
        <w:tc>
          <w:tcPr>
            <w:tcW w:w="485" w:type="pct"/>
            <w:vAlign w:val="center"/>
          </w:tcPr>
          <w:p w14:paraId="1A97E4EE">
            <w:pPr>
              <w:pStyle w:val="12"/>
              <w:jc w:val="center"/>
            </w:pPr>
            <w:r>
              <w:rPr>
                <w:rFonts w:hint="eastAsia"/>
              </w:rPr>
              <w:t>23</w:t>
            </w:r>
          </w:p>
        </w:tc>
        <w:tc>
          <w:tcPr>
            <w:tcW w:w="485" w:type="pct"/>
            <w:vAlign w:val="center"/>
          </w:tcPr>
          <w:p w14:paraId="5B762C67">
            <w:pPr>
              <w:pStyle w:val="12"/>
              <w:jc w:val="center"/>
            </w:pPr>
            <w:r>
              <w:rPr>
                <w:rFonts w:hint="eastAsia"/>
              </w:rPr>
              <w:t>周六班</w:t>
            </w:r>
          </w:p>
        </w:tc>
        <w:tc>
          <w:tcPr>
            <w:tcW w:w="485" w:type="pct"/>
            <w:vAlign w:val="center"/>
          </w:tcPr>
          <w:p w14:paraId="24FB7A77">
            <w:pPr>
              <w:pStyle w:val="12"/>
              <w:jc w:val="center"/>
            </w:pPr>
            <w:r>
              <w:rPr>
                <w:rFonts w:hint="eastAsia"/>
              </w:rPr>
              <w:t>自办</w:t>
            </w:r>
          </w:p>
        </w:tc>
        <w:tc>
          <w:tcPr>
            <w:tcW w:w="2713" w:type="pct"/>
            <w:vAlign w:val="center"/>
          </w:tcPr>
          <w:p w14:paraId="7AC646D7">
            <w:pPr>
              <w:pStyle w:val="12"/>
              <w:jc w:val="left"/>
            </w:pPr>
            <w:r>
              <w:rPr>
                <w:rFonts w:hint="eastAsia"/>
              </w:rPr>
              <w:t>耶溪、中心、园岭、上象、围背</w:t>
            </w:r>
          </w:p>
        </w:tc>
      </w:tr>
      <w:tr w14:paraId="201EA47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62043C6D">
            <w:pPr>
              <w:pStyle w:val="12"/>
              <w:jc w:val="center"/>
            </w:pPr>
            <w:r>
              <w:rPr>
                <w:rFonts w:hint="eastAsia"/>
              </w:rPr>
              <w:t>水口泷头</w:t>
            </w:r>
          </w:p>
        </w:tc>
        <w:tc>
          <w:tcPr>
            <w:tcW w:w="485" w:type="pct"/>
            <w:vAlign w:val="center"/>
          </w:tcPr>
          <w:p w14:paraId="37040943">
            <w:pPr>
              <w:pStyle w:val="12"/>
              <w:jc w:val="center"/>
            </w:pPr>
            <w:r>
              <w:rPr>
                <w:rFonts w:hint="eastAsia"/>
              </w:rPr>
              <w:t>44</w:t>
            </w:r>
          </w:p>
        </w:tc>
        <w:tc>
          <w:tcPr>
            <w:tcW w:w="485" w:type="pct"/>
            <w:vAlign w:val="center"/>
          </w:tcPr>
          <w:p w14:paraId="7D2EE25E">
            <w:pPr>
              <w:pStyle w:val="12"/>
              <w:jc w:val="center"/>
            </w:pPr>
            <w:r>
              <w:rPr>
                <w:rFonts w:hint="eastAsia"/>
              </w:rPr>
              <w:t>周六班</w:t>
            </w:r>
          </w:p>
        </w:tc>
        <w:tc>
          <w:tcPr>
            <w:tcW w:w="485" w:type="pct"/>
            <w:vAlign w:val="center"/>
          </w:tcPr>
          <w:p w14:paraId="4EE57C06">
            <w:pPr>
              <w:pStyle w:val="12"/>
              <w:jc w:val="center"/>
            </w:pPr>
            <w:r>
              <w:rPr>
                <w:rFonts w:hint="eastAsia"/>
              </w:rPr>
              <w:t>自办</w:t>
            </w:r>
          </w:p>
        </w:tc>
        <w:tc>
          <w:tcPr>
            <w:tcW w:w="2713" w:type="pct"/>
            <w:vAlign w:val="center"/>
          </w:tcPr>
          <w:p w14:paraId="47017F40">
            <w:pPr>
              <w:pStyle w:val="12"/>
              <w:jc w:val="left"/>
            </w:pPr>
            <w:r>
              <w:rPr>
                <w:rFonts w:hint="eastAsia"/>
              </w:rPr>
              <w:t>弱过、云西、宝江、石庄</w:t>
            </w:r>
          </w:p>
        </w:tc>
      </w:tr>
      <w:tr w14:paraId="20403F5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13676F24">
            <w:pPr>
              <w:pStyle w:val="12"/>
              <w:jc w:val="center"/>
            </w:pPr>
            <w:r>
              <w:rPr>
                <w:rFonts w:hint="eastAsia"/>
              </w:rPr>
              <w:t>水口下湖</w:t>
            </w:r>
          </w:p>
        </w:tc>
        <w:tc>
          <w:tcPr>
            <w:tcW w:w="485" w:type="pct"/>
            <w:vAlign w:val="center"/>
          </w:tcPr>
          <w:p w14:paraId="7EF44080">
            <w:pPr>
              <w:pStyle w:val="12"/>
              <w:jc w:val="center"/>
            </w:pPr>
            <w:r>
              <w:rPr>
                <w:rFonts w:hint="eastAsia"/>
              </w:rPr>
              <w:t>36</w:t>
            </w:r>
          </w:p>
        </w:tc>
        <w:tc>
          <w:tcPr>
            <w:tcW w:w="485" w:type="pct"/>
            <w:vAlign w:val="center"/>
          </w:tcPr>
          <w:p w14:paraId="2F766812">
            <w:pPr>
              <w:pStyle w:val="12"/>
              <w:jc w:val="center"/>
            </w:pPr>
            <w:r>
              <w:rPr>
                <w:rFonts w:hint="eastAsia"/>
              </w:rPr>
              <w:t>周六班</w:t>
            </w:r>
          </w:p>
        </w:tc>
        <w:tc>
          <w:tcPr>
            <w:tcW w:w="485" w:type="pct"/>
            <w:vAlign w:val="center"/>
          </w:tcPr>
          <w:p w14:paraId="150E71C6">
            <w:pPr>
              <w:pStyle w:val="12"/>
              <w:jc w:val="center"/>
            </w:pPr>
            <w:r>
              <w:rPr>
                <w:rFonts w:hint="eastAsia"/>
              </w:rPr>
              <w:t>自办</w:t>
            </w:r>
          </w:p>
        </w:tc>
        <w:tc>
          <w:tcPr>
            <w:tcW w:w="2713" w:type="pct"/>
            <w:vAlign w:val="center"/>
          </w:tcPr>
          <w:p w14:paraId="6E58CFDA">
            <w:pPr>
              <w:pStyle w:val="12"/>
              <w:jc w:val="left"/>
            </w:pPr>
            <w:r>
              <w:rPr>
                <w:rFonts w:hint="eastAsia"/>
              </w:rPr>
              <w:t>大部、河村、大坪、赤岭、群星</w:t>
            </w:r>
          </w:p>
        </w:tc>
      </w:tr>
      <w:tr w14:paraId="35638F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3D4B7479">
            <w:pPr>
              <w:pStyle w:val="12"/>
              <w:jc w:val="center"/>
            </w:pPr>
            <w:r>
              <w:rPr>
                <w:rFonts w:hint="eastAsia"/>
              </w:rPr>
              <w:t>大塘</w:t>
            </w:r>
          </w:p>
        </w:tc>
        <w:tc>
          <w:tcPr>
            <w:tcW w:w="485" w:type="pct"/>
            <w:vAlign w:val="center"/>
          </w:tcPr>
          <w:p w14:paraId="5FF3D8C1">
            <w:pPr>
              <w:pStyle w:val="12"/>
              <w:jc w:val="center"/>
            </w:pPr>
            <w:r>
              <w:rPr>
                <w:rFonts w:hint="eastAsia"/>
              </w:rPr>
              <w:t>56</w:t>
            </w:r>
          </w:p>
        </w:tc>
        <w:tc>
          <w:tcPr>
            <w:tcW w:w="485" w:type="pct"/>
            <w:vAlign w:val="center"/>
          </w:tcPr>
          <w:p w14:paraId="6812A27A">
            <w:pPr>
              <w:pStyle w:val="12"/>
              <w:jc w:val="center"/>
            </w:pPr>
            <w:r>
              <w:rPr>
                <w:rFonts w:hint="eastAsia"/>
              </w:rPr>
              <w:t>周三班</w:t>
            </w:r>
          </w:p>
        </w:tc>
        <w:tc>
          <w:tcPr>
            <w:tcW w:w="485" w:type="pct"/>
            <w:vAlign w:val="center"/>
          </w:tcPr>
          <w:p w14:paraId="2FC73ED5">
            <w:pPr>
              <w:pStyle w:val="12"/>
              <w:jc w:val="center"/>
            </w:pPr>
            <w:r>
              <w:rPr>
                <w:rFonts w:hint="eastAsia"/>
              </w:rPr>
              <w:t>自办</w:t>
            </w:r>
          </w:p>
        </w:tc>
        <w:tc>
          <w:tcPr>
            <w:tcW w:w="2713" w:type="pct"/>
            <w:vAlign w:val="center"/>
          </w:tcPr>
          <w:p w14:paraId="3E649731">
            <w:pPr>
              <w:pStyle w:val="12"/>
              <w:jc w:val="left"/>
            </w:pPr>
            <w:r>
              <w:rPr>
                <w:rFonts w:hint="eastAsia"/>
              </w:rPr>
              <w:t>塘岭、上朔、锦陂、延村、古城、黄田、下惠</w:t>
            </w:r>
          </w:p>
        </w:tc>
      </w:tr>
      <w:tr w14:paraId="2FD180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6E855A3E">
            <w:pPr>
              <w:pStyle w:val="12"/>
              <w:jc w:val="center"/>
            </w:pPr>
            <w:r>
              <w:rPr>
                <w:rFonts w:hint="eastAsia"/>
              </w:rPr>
              <w:t>邓坊</w:t>
            </w:r>
          </w:p>
        </w:tc>
        <w:tc>
          <w:tcPr>
            <w:tcW w:w="485" w:type="pct"/>
            <w:vAlign w:val="center"/>
          </w:tcPr>
          <w:p w14:paraId="3F1E7133">
            <w:pPr>
              <w:pStyle w:val="12"/>
              <w:jc w:val="center"/>
            </w:pPr>
            <w:r>
              <w:rPr>
                <w:rFonts w:hint="eastAsia"/>
              </w:rPr>
              <w:t>38</w:t>
            </w:r>
          </w:p>
        </w:tc>
        <w:tc>
          <w:tcPr>
            <w:tcW w:w="485" w:type="pct"/>
            <w:vAlign w:val="center"/>
          </w:tcPr>
          <w:p w14:paraId="63001427">
            <w:pPr>
              <w:pStyle w:val="12"/>
              <w:jc w:val="center"/>
            </w:pPr>
            <w:r>
              <w:rPr>
                <w:rFonts w:hint="eastAsia"/>
              </w:rPr>
              <w:t>周三班</w:t>
            </w:r>
          </w:p>
        </w:tc>
        <w:tc>
          <w:tcPr>
            <w:tcW w:w="485" w:type="pct"/>
            <w:vAlign w:val="center"/>
          </w:tcPr>
          <w:p w14:paraId="2D5EC4CE">
            <w:pPr>
              <w:pStyle w:val="12"/>
              <w:jc w:val="center"/>
            </w:pPr>
            <w:r>
              <w:rPr>
                <w:rFonts w:hint="eastAsia"/>
              </w:rPr>
              <w:t>自办</w:t>
            </w:r>
          </w:p>
        </w:tc>
        <w:tc>
          <w:tcPr>
            <w:tcW w:w="2713" w:type="pct"/>
            <w:vAlign w:val="center"/>
          </w:tcPr>
          <w:p w14:paraId="3DB88A18">
            <w:pPr>
              <w:pStyle w:val="12"/>
              <w:jc w:val="left"/>
            </w:pPr>
            <w:r>
              <w:rPr>
                <w:rFonts w:hint="eastAsia"/>
              </w:rPr>
              <w:t>里元、茶头背、兰田、洋西、赤石、赤马、马战</w:t>
            </w:r>
          </w:p>
        </w:tc>
      </w:tr>
      <w:tr w14:paraId="0AC0DF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5149486F">
            <w:pPr>
              <w:pStyle w:val="12"/>
              <w:jc w:val="center"/>
            </w:pPr>
            <w:r>
              <w:rPr>
                <w:rFonts w:hint="eastAsia"/>
              </w:rPr>
              <w:t>油山</w:t>
            </w:r>
          </w:p>
        </w:tc>
        <w:tc>
          <w:tcPr>
            <w:tcW w:w="485" w:type="pct"/>
            <w:vAlign w:val="center"/>
          </w:tcPr>
          <w:p w14:paraId="7E554AEF">
            <w:pPr>
              <w:pStyle w:val="12"/>
              <w:jc w:val="center"/>
            </w:pPr>
            <w:r>
              <w:rPr>
                <w:rFonts w:hint="eastAsia"/>
              </w:rPr>
              <w:t>45</w:t>
            </w:r>
          </w:p>
        </w:tc>
        <w:tc>
          <w:tcPr>
            <w:tcW w:w="485" w:type="pct"/>
            <w:vAlign w:val="center"/>
          </w:tcPr>
          <w:p w14:paraId="32D494B2">
            <w:pPr>
              <w:pStyle w:val="12"/>
              <w:jc w:val="center"/>
            </w:pPr>
            <w:r>
              <w:rPr>
                <w:rFonts w:hint="eastAsia"/>
              </w:rPr>
              <w:t>周三班</w:t>
            </w:r>
          </w:p>
        </w:tc>
        <w:tc>
          <w:tcPr>
            <w:tcW w:w="485" w:type="pct"/>
            <w:vAlign w:val="center"/>
          </w:tcPr>
          <w:p w14:paraId="449A05A3">
            <w:pPr>
              <w:pStyle w:val="12"/>
              <w:jc w:val="center"/>
            </w:pPr>
            <w:r>
              <w:rPr>
                <w:rFonts w:hint="eastAsia"/>
              </w:rPr>
              <w:t>自办</w:t>
            </w:r>
          </w:p>
        </w:tc>
        <w:tc>
          <w:tcPr>
            <w:tcW w:w="2713" w:type="pct"/>
            <w:vAlign w:val="center"/>
          </w:tcPr>
          <w:p w14:paraId="018B299E">
            <w:pPr>
              <w:pStyle w:val="12"/>
              <w:jc w:val="left"/>
            </w:pPr>
            <w:r>
              <w:rPr>
                <w:rFonts w:hint="eastAsia"/>
              </w:rPr>
              <w:t>坪田坳、黄地、大兰、莲山、平林</w:t>
            </w:r>
          </w:p>
        </w:tc>
      </w:tr>
      <w:tr w14:paraId="291CC4D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525DDFD6">
            <w:pPr>
              <w:pStyle w:val="12"/>
              <w:jc w:val="center"/>
            </w:pPr>
            <w:r>
              <w:rPr>
                <w:rFonts w:hint="eastAsia"/>
              </w:rPr>
              <w:t>江头</w:t>
            </w:r>
          </w:p>
        </w:tc>
        <w:tc>
          <w:tcPr>
            <w:tcW w:w="485" w:type="pct"/>
            <w:vAlign w:val="center"/>
          </w:tcPr>
          <w:p w14:paraId="02C94002">
            <w:pPr>
              <w:pStyle w:val="12"/>
              <w:jc w:val="center"/>
            </w:pPr>
            <w:r>
              <w:rPr>
                <w:rFonts w:hint="eastAsia"/>
              </w:rPr>
              <w:t>43</w:t>
            </w:r>
          </w:p>
        </w:tc>
        <w:tc>
          <w:tcPr>
            <w:tcW w:w="485" w:type="pct"/>
            <w:vAlign w:val="center"/>
          </w:tcPr>
          <w:p w14:paraId="40F038FC">
            <w:pPr>
              <w:pStyle w:val="12"/>
              <w:jc w:val="center"/>
            </w:pPr>
            <w:r>
              <w:rPr>
                <w:rFonts w:hint="eastAsia"/>
              </w:rPr>
              <w:t>周二班</w:t>
            </w:r>
          </w:p>
        </w:tc>
        <w:tc>
          <w:tcPr>
            <w:tcW w:w="485" w:type="pct"/>
            <w:vAlign w:val="center"/>
          </w:tcPr>
          <w:p w14:paraId="66521AE0">
            <w:pPr>
              <w:pStyle w:val="12"/>
              <w:jc w:val="center"/>
            </w:pPr>
            <w:r>
              <w:rPr>
                <w:rFonts w:hint="eastAsia"/>
              </w:rPr>
              <w:t>自办</w:t>
            </w:r>
          </w:p>
        </w:tc>
        <w:tc>
          <w:tcPr>
            <w:tcW w:w="2713" w:type="pct"/>
            <w:vAlign w:val="center"/>
          </w:tcPr>
          <w:p w14:paraId="5EE16D07">
            <w:pPr>
              <w:pStyle w:val="12"/>
              <w:jc w:val="left"/>
            </w:pPr>
            <w:r>
              <w:rPr>
                <w:rFonts w:hint="eastAsia"/>
              </w:rPr>
              <w:t>园圃、涌溪、坪岗、鱼仙、山坑、南甫、武岭</w:t>
            </w:r>
          </w:p>
        </w:tc>
      </w:tr>
      <w:tr w14:paraId="3901AD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389A4A5E">
            <w:pPr>
              <w:pStyle w:val="12"/>
              <w:jc w:val="center"/>
            </w:pPr>
            <w:r>
              <w:rPr>
                <w:rFonts w:hint="eastAsia"/>
              </w:rPr>
              <w:t>梅岭</w:t>
            </w:r>
          </w:p>
        </w:tc>
        <w:tc>
          <w:tcPr>
            <w:tcW w:w="485" w:type="pct"/>
            <w:vAlign w:val="center"/>
          </w:tcPr>
          <w:p w14:paraId="36013FA4">
            <w:pPr>
              <w:pStyle w:val="12"/>
              <w:jc w:val="center"/>
            </w:pPr>
            <w:r>
              <w:rPr>
                <w:rFonts w:hint="eastAsia"/>
              </w:rPr>
              <w:t>30</w:t>
            </w:r>
          </w:p>
        </w:tc>
        <w:tc>
          <w:tcPr>
            <w:tcW w:w="485" w:type="pct"/>
            <w:vAlign w:val="center"/>
          </w:tcPr>
          <w:p w14:paraId="3B2AD827">
            <w:pPr>
              <w:pStyle w:val="12"/>
              <w:jc w:val="center"/>
            </w:pPr>
            <w:r>
              <w:rPr>
                <w:rFonts w:hint="eastAsia"/>
              </w:rPr>
              <w:t>周六班</w:t>
            </w:r>
          </w:p>
        </w:tc>
        <w:tc>
          <w:tcPr>
            <w:tcW w:w="485" w:type="pct"/>
            <w:vAlign w:val="center"/>
          </w:tcPr>
          <w:p w14:paraId="05E3BE27">
            <w:pPr>
              <w:pStyle w:val="12"/>
              <w:jc w:val="center"/>
            </w:pPr>
            <w:r>
              <w:rPr>
                <w:rFonts w:hint="eastAsia"/>
              </w:rPr>
              <w:t>自办</w:t>
            </w:r>
          </w:p>
        </w:tc>
        <w:tc>
          <w:tcPr>
            <w:tcW w:w="2713" w:type="pct"/>
            <w:vAlign w:val="center"/>
          </w:tcPr>
          <w:p w14:paraId="14FCAC08">
            <w:pPr>
              <w:pStyle w:val="12"/>
              <w:jc w:val="left"/>
            </w:pPr>
            <w:r>
              <w:rPr>
                <w:rFonts w:hint="eastAsia"/>
              </w:rPr>
              <w:t>中站、角湾、太源、梅关、古道</w:t>
            </w:r>
          </w:p>
        </w:tc>
      </w:tr>
      <w:tr w14:paraId="4E04EE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05284FA5">
            <w:pPr>
              <w:pStyle w:val="12"/>
              <w:jc w:val="center"/>
            </w:pPr>
            <w:r>
              <w:rPr>
                <w:rFonts w:hint="eastAsia"/>
              </w:rPr>
              <w:t>界址</w:t>
            </w:r>
          </w:p>
        </w:tc>
        <w:tc>
          <w:tcPr>
            <w:tcW w:w="485" w:type="pct"/>
            <w:vAlign w:val="center"/>
          </w:tcPr>
          <w:p w14:paraId="601902DA">
            <w:pPr>
              <w:pStyle w:val="12"/>
              <w:jc w:val="center"/>
            </w:pPr>
            <w:r>
              <w:rPr>
                <w:rFonts w:hint="eastAsia"/>
              </w:rPr>
              <w:t>24</w:t>
            </w:r>
          </w:p>
        </w:tc>
        <w:tc>
          <w:tcPr>
            <w:tcW w:w="485" w:type="pct"/>
            <w:vAlign w:val="center"/>
          </w:tcPr>
          <w:p w14:paraId="06EE17B8">
            <w:pPr>
              <w:pStyle w:val="12"/>
              <w:jc w:val="center"/>
            </w:pPr>
            <w:r>
              <w:rPr>
                <w:rFonts w:hint="eastAsia"/>
              </w:rPr>
              <w:t>周三班</w:t>
            </w:r>
          </w:p>
        </w:tc>
        <w:tc>
          <w:tcPr>
            <w:tcW w:w="485" w:type="pct"/>
            <w:vAlign w:val="center"/>
          </w:tcPr>
          <w:p w14:paraId="72D04869">
            <w:pPr>
              <w:pStyle w:val="12"/>
              <w:jc w:val="center"/>
            </w:pPr>
            <w:r>
              <w:rPr>
                <w:rFonts w:hint="eastAsia"/>
              </w:rPr>
              <w:t>自办</w:t>
            </w:r>
          </w:p>
        </w:tc>
        <w:tc>
          <w:tcPr>
            <w:tcW w:w="2713" w:type="pct"/>
            <w:vAlign w:val="center"/>
          </w:tcPr>
          <w:p w14:paraId="2F5E045D">
            <w:pPr>
              <w:pStyle w:val="12"/>
              <w:jc w:val="left"/>
            </w:pPr>
            <w:r>
              <w:rPr>
                <w:rFonts w:hint="eastAsia"/>
              </w:rPr>
              <w:t>百罗、赵屋、崇化、下屋、马芫、窑灶口、大坑</w:t>
            </w:r>
          </w:p>
        </w:tc>
      </w:tr>
      <w:tr w14:paraId="68D497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7BD0202C">
            <w:pPr>
              <w:pStyle w:val="12"/>
              <w:jc w:val="center"/>
            </w:pPr>
            <w:r>
              <w:rPr>
                <w:rFonts w:hint="eastAsia"/>
              </w:rPr>
              <w:t>新龙</w:t>
            </w:r>
          </w:p>
        </w:tc>
        <w:tc>
          <w:tcPr>
            <w:tcW w:w="485" w:type="pct"/>
            <w:vAlign w:val="center"/>
          </w:tcPr>
          <w:p w14:paraId="1554CB7D">
            <w:pPr>
              <w:pStyle w:val="12"/>
              <w:jc w:val="center"/>
            </w:pPr>
            <w:r>
              <w:rPr>
                <w:rFonts w:hint="eastAsia"/>
              </w:rPr>
              <w:t>22</w:t>
            </w:r>
          </w:p>
        </w:tc>
        <w:tc>
          <w:tcPr>
            <w:tcW w:w="485" w:type="pct"/>
            <w:vAlign w:val="center"/>
          </w:tcPr>
          <w:p w14:paraId="0C030CAC">
            <w:pPr>
              <w:pStyle w:val="12"/>
              <w:jc w:val="center"/>
            </w:pPr>
            <w:r>
              <w:rPr>
                <w:rFonts w:hint="eastAsia"/>
              </w:rPr>
              <w:t>周三班</w:t>
            </w:r>
          </w:p>
        </w:tc>
        <w:tc>
          <w:tcPr>
            <w:tcW w:w="485" w:type="pct"/>
            <w:vAlign w:val="center"/>
          </w:tcPr>
          <w:p w14:paraId="56F3B5B5">
            <w:pPr>
              <w:pStyle w:val="12"/>
              <w:jc w:val="center"/>
            </w:pPr>
            <w:r>
              <w:rPr>
                <w:rFonts w:hint="eastAsia"/>
              </w:rPr>
              <w:t>自办</w:t>
            </w:r>
          </w:p>
        </w:tc>
        <w:tc>
          <w:tcPr>
            <w:tcW w:w="2713" w:type="pct"/>
            <w:vAlign w:val="center"/>
          </w:tcPr>
          <w:p w14:paraId="4D9BC0A0">
            <w:pPr>
              <w:pStyle w:val="12"/>
              <w:jc w:val="left"/>
            </w:pPr>
            <w:r>
              <w:rPr>
                <w:rFonts w:hint="eastAsia"/>
              </w:rPr>
              <w:t>老龙、背迳、龙口、横岭、长坑、小塘、官陂</w:t>
            </w:r>
          </w:p>
        </w:tc>
      </w:tr>
      <w:tr w14:paraId="0C84DA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7B29A3E8">
            <w:pPr>
              <w:pStyle w:val="12"/>
              <w:jc w:val="center"/>
            </w:pPr>
            <w:r>
              <w:rPr>
                <w:rFonts w:hint="eastAsia"/>
              </w:rPr>
              <w:t>坪田</w:t>
            </w:r>
          </w:p>
        </w:tc>
        <w:tc>
          <w:tcPr>
            <w:tcW w:w="485" w:type="pct"/>
            <w:vAlign w:val="center"/>
          </w:tcPr>
          <w:p w14:paraId="638C88AF">
            <w:pPr>
              <w:pStyle w:val="12"/>
              <w:jc w:val="center"/>
            </w:pPr>
            <w:r>
              <w:rPr>
                <w:rFonts w:hint="eastAsia"/>
              </w:rPr>
              <w:t>25</w:t>
            </w:r>
          </w:p>
        </w:tc>
        <w:tc>
          <w:tcPr>
            <w:tcW w:w="485" w:type="pct"/>
            <w:vAlign w:val="center"/>
          </w:tcPr>
          <w:p w14:paraId="1BC425B5">
            <w:pPr>
              <w:pStyle w:val="12"/>
              <w:jc w:val="center"/>
            </w:pPr>
            <w:r>
              <w:rPr>
                <w:rFonts w:hint="eastAsia"/>
              </w:rPr>
              <w:t>周三班</w:t>
            </w:r>
          </w:p>
        </w:tc>
        <w:tc>
          <w:tcPr>
            <w:tcW w:w="485" w:type="pct"/>
            <w:vAlign w:val="center"/>
          </w:tcPr>
          <w:p w14:paraId="1EB5F483">
            <w:pPr>
              <w:pStyle w:val="12"/>
              <w:jc w:val="center"/>
            </w:pPr>
            <w:r>
              <w:rPr>
                <w:rFonts w:hint="eastAsia"/>
              </w:rPr>
              <w:t>自办</w:t>
            </w:r>
          </w:p>
        </w:tc>
        <w:tc>
          <w:tcPr>
            <w:tcW w:w="2713" w:type="pct"/>
            <w:vAlign w:val="center"/>
          </w:tcPr>
          <w:p w14:paraId="5408F150">
            <w:pPr>
              <w:pStyle w:val="12"/>
              <w:jc w:val="left"/>
            </w:pPr>
            <w:r>
              <w:rPr>
                <w:rFonts w:hint="eastAsia"/>
              </w:rPr>
              <w:t>老宅、坪湖、中坪、汪汤、迳洞、龙头</w:t>
            </w:r>
          </w:p>
        </w:tc>
      </w:tr>
      <w:tr w14:paraId="3DB00E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1C103C51">
            <w:pPr>
              <w:pStyle w:val="12"/>
              <w:jc w:val="center"/>
            </w:pPr>
            <w:r>
              <w:rPr>
                <w:rFonts w:hint="eastAsia"/>
              </w:rPr>
              <w:t>南亩</w:t>
            </w:r>
          </w:p>
        </w:tc>
        <w:tc>
          <w:tcPr>
            <w:tcW w:w="485" w:type="pct"/>
            <w:vAlign w:val="center"/>
          </w:tcPr>
          <w:p w14:paraId="5A084EB5">
            <w:pPr>
              <w:pStyle w:val="12"/>
              <w:jc w:val="center"/>
            </w:pPr>
            <w:r>
              <w:rPr>
                <w:rFonts w:hint="eastAsia"/>
              </w:rPr>
              <w:t>30</w:t>
            </w:r>
          </w:p>
        </w:tc>
        <w:tc>
          <w:tcPr>
            <w:tcW w:w="485" w:type="pct"/>
            <w:vAlign w:val="center"/>
          </w:tcPr>
          <w:p w14:paraId="0B549D42">
            <w:pPr>
              <w:pStyle w:val="12"/>
              <w:jc w:val="center"/>
            </w:pPr>
            <w:r>
              <w:rPr>
                <w:rFonts w:hint="eastAsia"/>
              </w:rPr>
              <w:t>周二班</w:t>
            </w:r>
          </w:p>
        </w:tc>
        <w:tc>
          <w:tcPr>
            <w:tcW w:w="485" w:type="pct"/>
            <w:vAlign w:val="center"/>
          </w:tcPr>
          <w:p w14:paraId="4E4CB868">
            <w:pPr>
              <w:pStyle w:val="12"/>
              <w:jc w:val="center"/>
            </w:pPr>
            <w:r>
              <w:rPr>
                <w:rFonts w:hint="eastAsia"/>
              </w:rPr>
              <w:t>自办</w:t>
            </w:r>
          </w:p>
        </w:tc>
        <w:tc>
          <w:tcPr>
            <w:tcW w:w="2713" w:type="pct"/>
            <w:vAlign w:val="center"/>
          </w:tcPr>
          <w:p w14:paraId="1ACA43CB">
            <w:pPr>
              <w:pStyle w:val="12"/>
              <w:jc w:val="left"/>
            </w:pPr>
            <w:r>
              <w:rPr>
                <w:rFonts w:hint="eastAsia"/>
              </w:rPr>
              <w:t>里溪、官田、樟屋、鱼鲜、芙蓉、水尾、中岭、水塘、长洞</w:t>
            </w:r>
          </w:p>
        </w:tc>
      </w:tr>
      <w:tr w14:paraId="72BF80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6B21353E">
            <w:pPr>
              <w:pStyle w:val="12"/>
              <w:jc w:val="center"/>
            </w:pPr>
            <w:r>
              <w:rPr>
                <w:rFonts w:hint="eastAsia"/>
              </w:rPr>
              <w:t>百顺</w:t>
            </w:r>
          </w:p>
        </w:tc>
        <w:tc>
          <w:tcPr>
            <w:tcW w:w="485" w:type="pct"/>
            <w:vAlign w:val="center"/>
          </w:tcPr>
          <w:p w14:paraId="39005C51">
            <w:pPr>
              <w:pStyle w:val="12"/>
              <w:jc w:val="center"/>
            </w:pPr>
            <w:r>
              <w:rPr>
                <w:rFonts w:hint="eastAsia"/>
              </w:rPr>
              <w:t>42</w:t>
            </w:r>
          </w:p>
        </w:tc>
        <w:tc>
          <w:tcPr>
            <w:tcW w:w="485" w:type="pct"/>
            <w:vAlign w:val="center"/>
          </w:tcPr>
          <w:p w14:paraId="75A4F474">
            <w:pPr>
              <w:pStyle w:val="12"/>
              <w:jc w:val="center"/>
            </w:pPr>
            <w:r>
              <w:rPr>
                <w:rFonts w:hint="eastAsia"/>
              </w:rPr>
              <w:t>周三班</w:t>
            </w:r>
          </w:p>
        </w:tc>
        <w:tc>
          <w:tcPr>
            <w:tcW w:w="485" w:type="pct"/>
            <w:vAlign w:val="center"/>
          </w:tcPr>
          <w:p w14:paraId="615A1143">
            <w:pPr>
              <w:pStyle w:val="12"/>
              <w:jc w:val="center"/>
            </w:pPr>
            <w:r>
              <w:rPr>
                <w:rFonts w:hint="eastAsia"/>
              </w:rPr>
              <w:t>自办</w:t>
            </w:r>
          </w:p>
        </w:tc>
        <w:tc>
          <w:tcPr>
            <w:tcW w:w="2713" w:type="pct"/>
            <w:vAlign w:val="center"/>
          </w:tcPr>
          <w:p w14:paraId="7C5CB6E9">
            <w:pPr>
              <w:pStyle w:val="12"/>
              <w:jc w:val="left"/>
            </w:pPr>
            <w:r>
              <w:rPr>
                <w:rFonts w:hint="eastAsia"/>
              </w:rPr>
              <w:t>东坑、汾水、杨梅、朱安、尚睦、大沙州、湖地</w:t>
            </w:r>
          </w:p>
        </w:tc>
      </w:tr>
      <w:tr w14:paraId="6C765A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5C5229D1">
            <w:pPr>
              <w:pStyle w:val="12"/>
              <w:jc w:val="center"/>
            </w:pPr>
            <w:r>
              <w:rPr>
                <w:rFonts w:hint="eastAsia"/>
              </w:rPr>
              <w:t>澜河</w:t>
            </w:r>
          </w:p>
        </w:tc>
        <w:tc>
          <w:tcPr>
            <w:tcW w:w="485" w:type="pct"/>
            <w:vAlign w:val="center"/>
          </w:tcPr>
          <w:p w14:paraId="3F160379">
            <w:pPr>
              <w:pStyle w:val="12"/>
              <w:jc w:val="center"/>
            </w:pPr>
            <w:r>
              <w:rPr>
                <w:rFonts w:hint="eastAsia"/>
              </w:rPr>
              <w:t>39</w:t>
            </w:r>
          </w:p>
        </w:tc>
        <w:tc>
          <w:tcPr>
            <w:tcW w:w="485" w:type="pct"/>
            <w:vAlign w:val="center"/>
          </w:tcPr>
          <w:p w14:paraId="54968F7E">
            <w:pPr>
              <w:pStyle w:val="12"/>
              <w:jc w:val="center"/>
            </w:pPr>
            <w:r>
              <w:rPr>
                <w:rFonts w:hint="eastAsia"/>
              </w:rPr>
              <w:t>周三班</w:t>
            </w:r>
          </w:p>
        </w:tc>
        <w:tc>
          <w:tcPr>
            <w:tcW w:w="485" w:type="pct"/>
            <w:vAlign w:val="center"/>
          </w:tcPr>
          <w:p w14:paraId="5A68AB37">
            <w:pPr>
              <w:pStyle w:val="12"/>
              <w:jc w:val="center"/>
            </w:pPr>
            <w:r>
              <w:rPr>
                <w:rFonts w:hint="eastAsia"/>
              </w:rPr>
              <w:t>自办</w:t>
            </w:r>
          </w:p>
        </w:tc>
        <w:tc>
          <w:tcPr>
            <w:tcW w:w="2713" w:type="pct"/>
            <w:vAlign w:val="center"/>
          </w:tcPr>
          <w:p w14:paraId="1C7FAECE">
            <w:pPr>
              <w:pStyle w:val="12"/>
              <w:jc w:val="left"/>
            </w:pPr>
            <w:r>
              <w:rPr>
                <w:rFonts w:hint="eastAsia"/>
              </w:rPr>
              <w:t>帽子峰林场、上澜、葛坪、白云、上石多、洞底</w:t>
            </w:r>
          </w:p>
        </w:tc>
      </w:tr>
      <w:tr w14:paraId="175E8A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41D0973E">
            <w:pPr>
              <w:pStyle w:val="12"/>
              <w:jc w:val="center"/>
            </w:pPr>
            <w:r>
              <w:rPr>
                <w:rFonts w:hint="eastAsia"/>
              </w:rPr>
              <w:t>富竹</w:t>
            </w:r>
          </w:p>
        </w:tc>
        <w:tc>
          <w:tcPr>
            <w:tcW w:w="485" w:type="pct"/>
            <w:vAlign w:val="center"/>
          </w:tcPr>
          <w:p w14:paraId="2FDE2198">
            <w:pPr>
              <w:pStyle w:val="12"/>
              <w:jc w:val="center"/>
            </w:pPr>
            <w:r>
              <w:rPr>
                <w:rFonts w:hint="eastAsia"/>
              </w:rPr>
              <w:t>22</w:t>
            </w:r>
          </w:p>
        </w:tc>
        <w:tc>
          <w:tcPr>
            <w:tcW w:w="485" w:type="pct"/>
            <w:vAlign w:val="center"/>
          </w:tcPr>
          <w:p w14:paraId="6D5CEB98">
            <w:pPr>
              <w:pStyle w:val="12"/>
              <w:jc w:val="center"/>
            </w:pPr>
            <w:r>
              <w:rPr>
                <w:rFonts w:hint="eastAsia"/>
              </w:rPr>
              <w:t>周六班</w:t>
            </w:r>
          </w:p>
        </w:tc>
        <w:tc>
          <w:tcPr>
            <w:tcW w:w="485" w:type="pct"/>
            <w:vAlign w:val="center"/>
          </w:tcPr>
          <w:p w14:paraId="6B95D4F3">
            <w:pPr>
              <w:pStyle w:val="12"/>
              <w:jc w:val="center"/>
            </w:pPr>
            <w:r>
              <w:rPr>
                <w:rFonts w:hint="eastAsia"/>
              </w:rPr>
              <w:t>自办</w:t>
            </w:r>
          </w:p>
        </w:tc>
        <w:tc>
          <w:tcPr>
            <w:tcW w:w="2713" w:type="pct"/>
            <w:vAlign w:val="center"/>
          </w:tcPr>
          <w:p w14:paraId="1ED6C19C">
            <w:pPr>
              <w:pStyle w:val="12"/>
              <w:jc w:val="left"/>
            </w:pPr>
            <w:r>
              <w:rPr>
                <w:rFonts w:hint="eastAsia"/>
              </w:rPr>
              <w:t>洞头、坪山、上龙、梨树</w:t>
            </w:r>
          </w:p>
        </w:tc>
      </w:tr>
    </w:tbl>
    <w:p w14:paraId="6517E99B">
      <w:pPr>
        <w:pStyle w:val="4"/>
        <w:rPr>
          <w:rFonts w:ascii="宋体" w:hAnsi="宋体"/>
        </w:rPr>
      </w:pPr>
      <w:r>
        <w:rPr>
          <w:rFonts w:hint="eastAsia" w:ascii="宋体" w:hAnsi="宋体"/>
        </w:rPr>
        <w:t>第二节  电信</w:t>
      </w:r>
    </w:p>
    <w:p w14:paraId="2E79B961">
      <w:pPr>
        <w:pStyle w:val="5"/>
        <w:rPr>
          <w:rFonts w:ascii="宋体" w:hAnsi="宋体"/>
        </w:rPr>
      </w:pPr>
      <w:r>
        <w:rPr>
          <w:rFonts w:hint="eastAsia" w:ascii="宋体" w:hAnsi="宋体"/>
        </w:rPr>
        <w:t>一、有线通信</w:t>
      </w:r>
    </w:p>
    <w:p w14:paraId="0DCFA247">
      <w:pPr>
        <w:ind w:firstLine="422"/>
        <w:rPr>
          <w:rFonts w:ascii="宋体" w:hAnsi="宋体"/>
          <w:b/>
          <w:szCs w:val="21"/>
        </w:rPr>
      </w:pPr>
      <w:r>
        <w:rPr>
          <w:rFonts w:hint="eastAsia" w:ascii="宋体" w:hAnsi="宋体"/>
          <w:b/>
          <w:szCs w:val="21"/>
        </w:rPr>
        <w:t>（一）长途报话通信</w:t>
      </w:r>
    </w:p>
    <w:p w14:paraId="5DA830F1">
      <w:pPr>
        <w:ind w:firstLine="420"/>
        <w:rPr>
          <w:rFonts w:ascii="宋体" w:hAnsi="宋体"/>
          <w:szCs w:val="21"/>
        </w:rPr>
      </w:pPr>
      <w:r>
        <w:rPr>
          <w:rFonts w:ascii="宋体" w:hAnsi="宋体"/>
          <w:szCs w:val="21"/>
        </w:rPr>
        <w:t>1972年，南雄至410机务站开通701叠加式长途3路载波机，增加长途电话2</w:t>
      </w:r>
      <w:r>
        <w:rPr>
          <w:rFonts w:hint="eastAsia" w:ascii="宋体" w:hAnsi="宋体"/>
          <w:szCs w:val="21"/>
        </w:rPr>
        <w:t>路。</w:t>
      </w:r>
      <w:r>
        <w:rPr>
          <w:rFonts w:ascii="宋体" w:hAnsi="宋体"/>
          <w:szCs w:val="21"/>
        </w:rPr>
        <w:t>1978年，装设2部51型电传收发报机。1983年2月，南雄至410机务站改装12</w:t>
      </w:r>
      <w:r>
        <w:rPr>
          <w:rFonts w:hint="eastAsia" w:ascii="宋体" w:hAnsi="宋体"/>
          <w:szCs w:val="21"/>
        </w:rPr>
        <w:t>路载波机，增加长途电路</w:t>
      </w:r>
      <w:r>
        <w:rPr>
          <w:rFonts w:ascii="宋体" w:hAnsi="宋体"/>
          <w:szCs w:val="21"/>
        </w:rPr>
        <w:t>3路。1985年1月，开通南雄至赣州长途1</w:t>
      </w:r>
      <w:r>
        <w:rPr>
          <w:rFonts w:hint="eastAsia" w:ascii="宋体" w:hAnsi="宋体"/>
          <w:szCs w:val="21"/>
        </w:rPr>
        <w:t>2</w:t>
      </w:r>
      <w:r>
        <w:rPr>
          <w:rFonts w:ascii="宋体" w:hAnsi="宋体"/>
          <w:szCs w:val="21"/>
        </w:rPr>
        <w:t>路载波机；11</w:t>
      </w:r>
      <w:r>
        <w:rPr>
          <w:rFonts w:hint="eastAsia" w:ascii="宋体" w:hAnsi="宋体"/>
          <w:szCs w:val="21"/>
        </w:rPr>
        <w:t>月开通南雄至广州的直达电路。</w:t>
      </w:r>
      <w:r>
        <w:rPr>
          <w:rFonts w:ascii="宋体" w:hAnsi="宋体"/>
          <w:szCs w:val="21"/>
        </w:rPr>
        <w:t>1987年4月20日，县局开通汉字电传打字机和凿孔</w:t>
      </w:r>
      <w:r>
        <w:rPr>
          <w:rFonts w:hint="eastAsia" w:ascii="宋体" w:hAnsi="宋体"/>
          <w:szCs w:val="21"/>
        </w:rPr>
        <w:t>机。</w:t>
      </w:r>
      <w:r>
        <w:rPr>
          <w:rFonts w:ascii="宋体" w:hAnsi="宋体"/>
          <w:szCs w:val="21"/>
        </w:rPr>
        <w:t>1988年7月开通长途半自动拨号。1989年，开通长途全自动拨号，增开长途电</w:t>
      </w:r>
      <w:r>
        <w:rPr>
          <w:rFonts w:hint="eastAsia" w:ascii="宋体" w:hAnsi="宋体"/>
          <w:szCs w:val="21"/>
        </w:rPr>
        <w:t>路</w:t>
      </w:r>
      <w:r>
        <w:rPr>
          <w:rFonts w:ascii="宋体" w:hAnsi="宋体"/>
          <w:szCs w:val="21"/>
        </w:rPr>
        <w:t>11条，发展长途用户300户，传真用户2户。1993年，粤沪微波建成，增加长途</w:t>
      </w:r>
      <w:r>
        <w:rPr>
          <w:rFonts w:hint="eastAsia" w:ascii="宋体" w:hAnsi="宋体"/>
          <w:szCs w:val="21"/>
        </w:rPr>
        <w:t>电路</w:t>
      </w:r>
      <w:r>
        <w:rPr>
          <w:rFonts w:ascii="宋体" w:hAnsi="宋体"/>
          <w:szCs w:val="21"/>
        </w:rPr>
        <w:t>480线，使长途电话一拨即通，长途有权用户达5375户。1994年长途线路达1680路端，长途有权用户达7599户。1995年建成南雄至韶关光缆，新增长途接口1200线，长途有权用户达15800户</w:t>
      </w:r>
      <w:r>
        <w:rPr>
          <w:rFonts w:hint="eastAsia" w:ascii="宋体" w:hAnsi="宋体"/>
          <w:szCs w:val="21"/>
        </w:rPr>
        <w:t>。</w:t>
      </w:r>
    </w:p>
    <w:p w14:paraId="0A09727E">
      <w:pPr>
        <w:ind w:firstLine="422"/>
        <w:rPr>
          <w:rFonts w:ascii="宋体" w:hAnsi="宋体"/>
          <w:b/>
          <w:szCs w:val="21"/>
        </w:rPr>
      </w:pPr>
      <w:r>
        <w:rPr>
          <w:rFonts w:hint="eastAsia" w:ascii="宋体" w:hAnsi="宋体"/>
          <w:b/>
          <w:szCs w:val="21"/>
        </w:rPr>
        <w:t>（二）市内电话通信</w:t>
      </w:r>
    </w:p>
    <w:p w14:paraId="183BF510">
      <w:pPr>
        <w:ind w:firstLine="420"/>
        <w:rPr>
          <w:rFonts w:ascii="宋体" w:hAnsi="宋体"/>
          <w:szCs w:val="21"/>
        </w:rPr>
      </w:pPr>
      <w:r>
        <w:rPr>
          <w:rFonts w:hint="eastAsia" w:ascii="宋体" w:hAnsi="宋体"/>
          <w:szCs w:val="21"/>
        </w:rPr>
        <w:t>新中国成立后，市内电话迅速发展。</w:t>
      </w:r>
      <w:r>
        <w:rPr>
          <w:rFonts w:ascii="宋体" w:hAnsi="宋体"/>
          <w:szCs w:val="21"/>
        </w:rPr>
        <w:t>1985年开通1000门自动电话。1993年3月21日，县城万门程控电话开通。1994年12月4日，全县电话号码升为7位。1995</w:t>
      </w:r>
      <w:r>
        <w:rPr>
          <w:rFonts w:hint="eastAsia" w:ascii="宋体" w:hAnsi="宋体"/>
          <w:szCs w:val="21"/>
        </w:rPr>
        <w:t>年，交换容量突破</w:t>
      </w:r>
      <w:r>
        <w:rPr>
          <w:rFonts w:ascii="宋体" w:hAnsi="宋体"/>
          <w:szCs w:val="21"/>
        </w:rPr>
        <w:t>3万门。1996年开通公用电话、磁卡电话，发行200电话卡。2001</w:t>
      </w:r>
      <w:r>
        <w:rPr>
          <w:rFonts w:hint="eastAsia" w:ascii="宋体" w:hAnsi="宋体"/>
          <w:szCs w:val="21"/>
        </w:rPr>
        <w:t>年发行有南雄风貌的</w:t>
      </w:r>
      <w:r>
        <w:rPr>
          <w:rFonts w:ascii="宋体" w:hAnsi="宋体"/>
          <w:szCs w:val="21"/>
        </w:rPr>
        <w:t>201电话卡。2005年，市话用户达19143户，普及率为45.77部／百人，主线普及率达57.76线／百人。</w:t>
      </w:r>
    </w:p>
    <w:p w14:paraId="16365314">
      <w:pPr>
        <w:ind w:firstLine="422"/>
        <w:rPr>
          <w:rFonts w:ascii="宋体" w:hAnsi="宋体"/>
          <w:b/>
          <w:szCs w:val="21"/>
        </w:rPr>
      </w:pPr>
      <w:r>
        <w:rPr>
          <w:rFonts w:hint="eastAsia" w:ascii="宋体" w:hAnsi="宋体"/>
          <w:b/>
          <w:szCs w:val="21"/>
        </w:rPr>
        <w:t>（三）农村电话通信</w:t>
      </w:r>
    </w:p>
    <w:p w14:paraId="1A7EE60D">
      <w:pPr>
        <w:ind w:firstLine="420"/>
        <w:rPr>
          <w:rFonts w:ascii="宋体" w:hAnsi="宋体"/>
          <w:szCs w:val="21"/>
        </w:rPr>
      </w:pPr>
      <w:r>
        <w:rPr>
          <w:rFonts w:hint="eastAsia" w:ascii="宋体" w:hAnsi="宋体"/>
          <w:szCs w:val="21"/>
        </w:rPr>
        <w:t>新中国成立后，农村电话通信迅速发展，至</w:t>
      </w:r>
      <w:r>
        <w:rPr>
          <w:rFonts w:ascii="宋体" w:hAnsi="宋体"/>
          <w:szCs w:val="21"/>
        </w:rPr>
        <w:t>1966年底，农村电话通信架空明线1380杆程公里，1230线对公里（其中中继线228杆程公里，422线对公里）。1970年</w:t>
      </w:r>
      <w:r>
        <w:rPr>
          <w:rFonts w:hint="eastAsia" w:ascii="宋体" w:hAnsi="宋体"/>
          <w:szCs w:val="21"/>
        </w:rPr>
        <w:t>起，逐步实现农话线路水泥杆化。</w:t>
      </w:r>
      <w:r>
        <w:rPr>
          <w:rFonts w:ascii="宋体" w:hAnsi="宋体"/>
          <w:szCs w:val="21"/>
        </w:rPr>
        <w:t>1973年起，县城至公社的中继线逐步向载波化发</w:t>
      </w:r>
      <w:r>
        <w:rPr>
          <w:rFonts w:hint="eastAsia" w:ascii="宋体" w:hAnsi="宋体"/>
          <w:szCs w:val="21"/>
        </w:rPr>
        <w:t>展。至</w:t>
      </w:r>
      <w:r>
        <w:rPr>
          <w:rFonts w:ascii="宋体" w:hAnsi="宋体"/>
          <w:szCs w:val="21"/>
        </w:rPr>
        <w:t>1990年，农村中继杆路实现水泥</w:t>
      </w:r>
      <w:r>
        <w:rPr>
          <w:rFonts w:hint="eastAsia" w:ascii="宋体" w:hAnsi="宋体"/>
          <w:szCs w:val="21"/>
        </w:rPr>
        <w:t>杆</w:t>
      </w:r>
      <w:r>
        <w:rPr>
          <w:rFonts w:ascii="宋体" w:hAnsi="宋体"/>
          <w:szCs w:val="21"/>
        </w:rPr>
        <w:t>化，传输实现载波化。1994年</w:t>
      </w:r>
      <w:r>
        <w:rPr>
          <w:rFonts w:hint="eastAsia" w:ascii="宋体" w:hAnsi="宋体"/>
          <w:szCs w:val="21"/>
        </w:rPr>
        <w:t>1</w:t>
      </w:r>
      <w:r>
        <w:rPr>
          <w:rFonts w:ascii="宋体" w:hAnsi="宋体"/>
          <w:szCs w:val="21"/>
        </w:rPr>
        <w:t>1月，实现</w:t>
      </w:r>
      <w:r>
        <w:rPr>
          <w:rFonts w:hint="eastAsia" w:ascii="宋体" w:hAnsi="宋体"/>
          <w:szCs w:val="21"/>
        </w:rPr>
        <w:t>全县电话交换程控化。</w:t>
      </w:r>
      <w:r>
        <w:rPr>
          <w:rFonts w:ascii="宋体" w:hAnsi="宋体"/>
          <w:szCs w:val="21"/>
        </w:rPr>
        <w:t>1996年全市农村电话传输实现数字化。2000年10月，全市221个村全部通了电话。2005年，农村电话用户达41667户，普及率为11部／百人</w:t>
      </w:r>
      <w:r>
        <w:rPr>
          <w:rFonts w:hint="eastAsia" w:ascii="宋体" w:hAnsi="宋体"/>
          <w:szCs w:val="21"/>
        </w:rPr>
        <w:t>。</w:t>
      </w:r>
    </w:p>
    <w:p w14:paraId="61A0E0B7">
      <w:pPr>
        <w:ind w:firstLine="422"/>
        <w:rPr>
          <w:rFonts w:ascii="宋体" w:hAnsi="宋体"/>
          <w:b/>
          <w:szCs w:val="21"/>
        </w:rPr>
      </w:pPr>
      <w:r>
        <w:rPr>
          <w:rFonts w:hint="eastAsia" w:ascii="宋体" w:hAnsi="宋体"/>
          <w:b/>
          <w:szCs w:val="21"/>
        </w:rPr>
        <w:t>（四）会议电话。</w:t>
      </w:r>
    </w:p>
    <w:p w14:paraId="6851271A">
      <w:pPr>
        <w:ind w:firstLine="420"/>
        <w:rPr>
          <w:rFonts w:ascii="宋体" w:hAnsi="宋体"/>
          <w:szCs w:val="21"/>
        </w:rPr>
      </w:pPr>
      <w:r>
        <w:rPr>
          <w:rFonts w:ascii="宋体" w:hAnsi="宋体"/>
          <w:szCs w:val="21"/>
        </w:rPr>
        <w:t>1956年开办会议电话业务。1998年建成电视电话会议系统。</w:t>
      </w:r>
    </w:p>
    <w:p w14:paraId="75A971B5">
      <w:pPr>
        <w:pStyle w:val="5"/>
        <w:rPr>
          <w:rFonts w:ascii="宋体" w:hAnsi="宋体"/>
        </w:rPr>
      </w:pPr>
      <w:r>
        <w:rPr>
          <w:rFonts w:hint="eastAsia" w:ascii="宋体" w:hAnsi="宋体"/>
        </w:rPr>
        <w:t>二、无线通信</w:t>
      </w:r>
    </w:p>
    <w:p w14:paraId="438C1B5B">
      <w:pPr>
        <w:ind w:firstLine="420"/>
        <w:rPr>
          <w:rFonts w:ascii="宋体" w:hAnsi="宋体"/>
          <w:szCs w:val="21"/>
        </w:rPr>
      </w:pPr>
      <w:r>
        <w:rPr>
          <w:rFonts w:ascii="宋体" w:hAnsi="宋体"/>
          <w:szCs w:val="21"/>
        </w:rPr>
        <w:t>20世纪90年代前，无线通信仅为极少数单位专用设置。</w:t>
      </w:r>
    </w:p>
    <w:p w14:paraId="5A2F20F4">
      <w:pPr>
        <w:ind w:firstLine="420"/>
        <w:rPr>
          <w:rFonts w:ascii="宋体" w:hAnsi="宋体"/>
          <w:szCs w:val="21"/>
        </w:rPr>
      </w:pPr>
      <w:r>
        <w:rPr>
          <w:rFonts w:ascii="宋体" w:hAnsi="宋体"/>
          <w:szCs w:val="21"/>
        </w:rPr>
        <w:t>1992年9月30日，开通无线寻呼业务，当年用户590户。1993年增设126联网</w:t>
      </w:r>
      <w:r>
        <w:rPr>
          <w:rFonts w:hint="eastAsia" w:ascii="宋体" w:hAnsi="宋体"/>
          <w:szCs w:val="21"/>
        </w:rPr>
        <w:t>台。</w:t>
      </w:r>
      <w:r>
        <w:rPr>
          <w:rFonts w:ascii="宋体" w:hAnsi="宋体"/>
          <w:szCs w:val="21"/>
        </w:rPr>
        <w:t>1994年181台全市联网实现人工自动兼容。1996年、1997年，分别增设澜河</w:t>
      </w:r>
      <w:r>
        <w:rPr>
          <w:rFonts w:hint="eastAsia" w:ascii="宋体" w:hAnsi="宋体"/>
          <w:szCs w:val="21"/>
        </w:rPr>
        <w:t>、乌迳无线寻呼发射点。</w:t>
      </w:r>
    </w:p>
    <w:p w14:paraId="64ECF931">
      <w:pPr>
        <w:ind w:firstLine="420"/>
        <w:rPr>
          <w:rFonts w:ascii="宋体" w:hAnsi="宋体"/>
          <w:szCs w:val="21"/>
        </w:rPr>
      </w:pPr>
      <w:r>
        <w:rPr>
          <w:rFonts w:ascii="宋体" w:hAnsi="宋体"/>
          <w:szCs w:val="21"/>
        </w:rPr>
        <w:t>1993年投资140万元开通移动电话，当年用户105户。1995年新建乌迳移动基</w:t>
      </w:r>
      <w:r>
        <w:rPr>
          <w:rFonts w:hint="eastAsia" w:ascii="宋体" w:hAnsi="宋体"/>
          <w:szCs w:val="21"/>
        </w:rPr>
        <w:t>站，县城扩容</w:t>
      </w:r>
      <w:r>
        <w:rPr>
          <w:rFonts w:ascii="宋体" w:hAnsi="宋体"/>
          <w:szCs w:val="21"/>
        </w:rPr>
        <w:t>1+7个信道。1996年5月中旬，开通数字移动电话。1997年新建珠玑</w:t>
      </w:r>
      <w:r>
        <w:rPr>
          <w:rFonts w:hint="eastAsia" w:ascii="宋体" w:hAnsi="宋体"/>
          <w:szCs w:val="21"/>
        </w:rPr>
        <w:t>等</w:t>
      </w:r>
      <w:r>
        <w:rPr>
          <w:rFonts w:ascii="宋体" w:hAnsi="宋体"/>
          <w:szCs w:val="21"/>
        </w:rPr>
        <w:t>6个移动基站。至1998年，移动电话用户达1662户。</w:t>
      </w:r>
    </w:p>
    <w:p w14:paraId="297A3D20">
      <w:pPr>
        <w:ind w:firstLine="420"/>
        <w:rPr>
          <w:rFonts w:ascii="宋体" w:hAnsi="宋体"/>
          <w:szCs w:val="21"/>
        </w:rPr>
      </w:pPr>
      <w:r>
        <w:rPr>
          <w:rFonts w:ascii="宋体" w:hAnsi="宋体"/>
          <w:szCs w:val="21"/>
        </w:rPr>
        <w:t>2001年9月7日，投资千万元的无线市话“小灵通”开通，先后推出后付费、</w:t>
      </w:r>
      <w:r>
        <w:rPr>
          <w:rFonts w:hint="eastAsia" w:ascii="宋体" w:hAnsi="宋体"/>
          <w:szCs w:val="21"/>
        </w:rPr>
        <w:t>预付费、机卡分离等业务，</w:t>
      </w:r>
      <w:r>
        <w:rPr>
          <w:rFonts w:ascii="宋体" w:hAnsi="宋体"/>
          <w:szCs w:val="21"/>
        </w:rPr>
        <w:t>2005年小灵通用户达18283户。</w:t>
      </w:r>
    </w:p>
    <w:p w14:paraId="6D7D75B0">
      <w:pPr>
        <w:ind w:firstLine="420"/>
        <w:rPr>
          <w:rFonts w:ascii="宋体" w:hAnsi="宋体"/>
          <w:szCs w:val="21"/>
        </w:rPr>
      </w:pPr>
      <w:r>
        <w:rPr>
          <w:rFonts w:ascii="宋体" w:hAnsi="宋体"/>
          <w:szCs w:val="21"/>
        </w:rPr>
        <w:t>1993年11月，160人工信息台成立。1994年投资75万元，增设9688自动声讯</w:t>
      </w:r>
      <w:r>
        <w:rPr>
          <w:rFonts w:hint="eastAsia" w:ascii="宋体" w:hAnsi="宋体"/>
          <w:szCs w:val="21"/>
        </w:rPr>
        <w:t>台，向社会提供更好的信息服务。</w:t>
      </w:r>
    </w:p>
    <w:p w14:paraId="6BBDE7CC">
      <w:pPr>
        <w:ind w:firstLine="420"/>
        <w:rPr>
          <w:rFonts w:ascii="宋体" w:hAnsi="宋体"/>
          <w:szCs w:val="21"/>
        </w:rPr>
      </w:pPr>
      <w:r>
        <w:rPr>
          <w:rFonts w:ascii="宋体" w:hAnsi="宋体"/>
          <w:szCs w:val="21"/>
        </w:rPr>
        <w:t>1996年开通数据通信业务、增值业务及电子信箱。1997年开通分组交换、视聆</w:t>
      </w:r>
      <w:r>
        <w:rPr>
          <w:rFonts w:hint="eastAsia" w:ascii="宋体" w:hAnsi="宋体"/>
          <w:szCs w:val="21"/>
        </w:rPr>
        <w:t>通、国际互联网络业务。</w:t>
      </w:r>
      <w:r>
        <w:rPr>
          <w:rFonts w:ascii="宋体" w:hAnsi="宋体"/>
          <w:szCs w:val="21"/>
        </w:rPr>
        <w:t>2001年11月开通ADSL宽带业务。2005年，互联网络用户</w:t>
      </w:r>
      <w:r>
        <w:rPr>
          <w:rFonts w:hint="eastAsia" w:ascii="宋体" w:hAnsi="宋体"/>
          <w:szCs w:val="21"/>
        </w:rPr>
        <w:t>总数达</w:t>
      </w:r>
      <w:r>
        <w:rPr>
          <w:rFonts w:ascii="宋体" w:hAnsi="宋体"/>
          <w:szCs w:val="21"/>
        </w:rPr>
        <w:t>3600户。一号通、彩铃、短信、双振铃、“11800”、IP电话等电信新业务也</w:t>
      </w:r>
      <w:r>
        <w:rPr>
          <w:rFonts w:hint="eastAsia" w:ascii="宋体" w:hAnsi="宋体"/>
          <w:szCs w:val="21"/>
        </w:rPr>
        <w:t>有了突破性的发展。</w:t>
      </w:r>
    </w:p>
    <w:p w14:paraId="6BD7C1CF">
      <w:pPr>
        <w:pStyle w:val="4"/>
        <w:rPr>
          <w:rFonts w:ascii="宋体" w:hAnsi="宋体"/>
        </w:rPr>
      </w:pPr>
      <w:r>
        <w:rPr>
          <w:rFonts w:hint="eastAsia" w:ascii="宋体" w:hAnsi="宋体"/>
        </w:rPr>
        <w:t>第三节  广东移动通信公司南雄分公司</w:t>
      </w:r>
    </w:p>
    <w:p w14:paraId="15A6DC7E">
      <w:pPr>
        <w:ind w:firstLine="420"/>
        <w:rPr>
          <w:rFonts w:ascii="宋体" w:hAnsi="宋体"/>
          <w:szCs w:val="21"/>
        </w:rPr>
      </w:pPr>
      <w:r>
        <w:rPr>
          <w:rFonts w:hint="eastAsia" w:ascii="宋体" w:hAnsi="宋体"/>
          <w:szCs w:val="21"/>
        </w:rPr>
        <w:t>广东移动通信有限责任公司南雄分公司于</w:t>
      </w:r>
      <w:r>
        <w:rPr>
          <w:rFonts w:ascii="宋体" w:hAnsi="宋体"/>
          <w:szCs w:val="21"/>
        </w:rPr>
        <w:t>1999年1月成立，公司下属3个自营</w:t>
      </w:r>
      <w:r>
        <w:rPr>
          <w:rFonts w:hint="eastAsia" w:ascii="宋体" w:hAnsi="宋体"/>
          <w:szCs w:val="21"/>
        </w:rPr>
        <w:t>服务厅：建设路服务厅，青云西路全球通服务厅，乌迳镇服务厅。下辖中域、天和、邮政、天音、新世界、华彩、新创、宇天、大众、新升行、华创、胡姣、千禧、迅发、华健、富彩、伟业</w:t>
      </w:r>
      <w:r>
        <w:rPr>
          <w:rFonts w:ascii="宋体" w:hAnsi="宋体"/>
          <w:szCs w:val="21"/>
        </w:rPr>
        <w:t>17个代办经营点。</w:t>
      </w:r>
    </w:p>
    <w:p w14:paraId="7D188FCB">
      <w:pPr>
        <w:ind w:firstLine="420"/>
        <w:rPr>
          <w:rFonts w:ascii="宋体" w:hAnsi="宋体"/>
          <w:szCs w:val="21"/>
        </w:rPr>
      </w:pPr>
      <w:r>
        <w:rPr>
          <w:rFonts w:hint="eastAsia" w:ascii="宋体" w:hAnsi="宋体"/>
          <w:szCs w:val="21"/>
        </w:rPr>
        <w:t>南雄分公司在南雄建基站</w:t>
      </w:r>
      <w:r>
        <w:rPr>
          <w:rFonts w:ascii="宋体" w:hAnsi="宋体"/>
          <w:szCs w:val="21"/>
        </w:rPr>
        <w:t>61个，放大器25个，网络覆盖全市乡镇达100%，村</w:t>
      </w:r>
      <w:r>
        <w:rPr>
          <w:rFonts w:hint="eastAsia" w:ascii="宋体" w:hAnsi="宋体"/>
          <w:szCs w:val="21"/>
        </w:rPr>
        <w:t>委会达</w:t>
      </w:r>
      <w:r>
        <w:rPr>
          <w:rFonts w:ascii="宋体" w:hAnsi="宋体"/>
          <w:szCs w:val="21"/>
        </w:rPr>
        <w:t>98%。移动网号有134、135、136、137、138、139，拥有4大品牌：全球通、</w:t>
      </w:r>
      <w:r>
        <w:rPr>
          <w:rFonts w:hint="eastAsia" w:ascii="宋体" w:hAnsi="宋体"/>
          <w:szCs w:val="21"/>
        </w:rPr>
        <w:t>神州行、动感地带、大众卡。新业务包括：来电显示、短信服务、</w:t>
      </w:r>
      <w:r>
        <w:rPr>
          <w:rFonts w:ascii="宋体" w:hAnsi="宋体"/>
          <w:szCs w:val="21"/>
        </w:rPr>
        <w:t>17951长途、IP电</w:t>
      </w:r>
      <w:r>
        <w:rPr>
          <w:rFonts w:hint="eastAsia" w:ascii="宋体" w:hAnsi="宋体"/>
          <w:szCs w:val="21"/>
        </w:rPr>
        <w:t>话、呼叫转移、呼叫等待、中文秘书、一卡双号、双卡双号、国际漫游、信息点播、手机银行、移动股市、</w:t>
      </w:r>
      <w:r>
        <w:rPr>
          <w:rFonts w:ascii="宋体" w:hAnsi="宋体"/>
          <w:szCs w:val="21"/>
        </w:rPr>
        <w:t>WAP等。2001年正式开通GPRS业务，进入了2.5代移动通</w:t>
      </w:r>
      <w:r>
        <w:rPr>
          <w:rFonts w:hint="eastAsia" w:ascii="宋体" w:hAnsi="宋体"/>
          <w:szCs w:val="21"/>
        </w:rPr>
        <w:t>信时代，同时为不同消费层次的用户量身定做各种优惠套餐。</w:t>
      </w:r>
      <w:r>
        <w:rPr>
          <w:rFonts w:ascii="宋体" w:hAnsi="宋体"/>
          <w:szCs w:val="21"/>
        </w:rPr>
        <w:t>2002年，公司推出了</w:t>
      </w:r>
      <w:r>
        <w:rPr>
          <w:rFonts w:hint="eastAsia" w:ascii="宋体" w:hAnsi="宋体"/>
          <w:szCs w:val="21"/>
        </w:rPr>
        <w:t>“集群网</w:t>
      </w:r>
      <w:r>
        <w:rPr>
          <w:rFonts w:ascii="宋体" w:hAnsi="宋体"/>
          <w:szCs w:val="21"/>
        </w:rPr>
        <w:t>VPMN”，让单位集群网用户享受内部通话免费的服务。2003年始，为提高</w:t>
      </w:r>
      <w:r>
        <w:rPr>
          <w:rFonts w:hint="eastAsia" w:ascii="宋体" w:hAnsi="宋体"/>
          <w:szCs w:val="21"/>
        </w:rPr>
        <w:t>企业的工作效率，公司还专门为集团客户提供企信通平台发送短信息，使用户更深刻感受到移动通信服务的方便和快捷。</w:t>
      </w:r>
      <w:r>
        <w:rPr>
          <w:rFonts w:ascii="宋体" w:hAnsi="宋体"/>
          <w:szCs w:val="21"/>
        </w:rPr>
        <w:t>2003年、2004年相继开通天气预报和彩铃新业</w:t>
      </w:r>
      <w:r>
        <w:rPr>
          <w:rFonts w:hint="eastAsia" w:ascii="宋体" w:hAnsi="宋体"/>
          <w:szCs w:val="21"/>
        </w:rPr>
        <w:t>务，还专门为省内漫游用户推出了商务套餐，为广大客户提供更多的个性化服务。</w:t>
      </w:r>
      <w:r>
        <w:rPr>
          <w:rFonts w:ascii="宋体" w:hAnsi="宋体"/>
          <w:szCs w:val="21"/>
        </w:rPr>
        <w:t>2004年，移动电话用户达8万多户，人均占有率达到17.78%。2005年，相继推出集</w:t>
      </w:r>
      <w:r>
        <w:rPr>
          <w:rFonts w:hint="eastAsia" w:ascii="宋体" w:hAnsi="宋体"/>
          <w:szCs w:val="21"/>
        </w:rPr>
        <w:t>团彩铃、</w:t>
      </w:r>
      <w:r>
        <w:rPr>
          <w:rFonts w:ascii="宋体" w:hAnsi="宋体"/>
          <w:szCs w:val="21"/>
        </w:rPr>
        <w:t>EDGE2.75代无线上网等信息化服务。</w:t>
      </w:r>
    </w:p>
    <w:p w14:paraId="3426650C">
      <w:pPr>
        <w:pStyle w:val="4"/>
        <w:rPr>
          <w:rFonts w:ascii="宋体" w:hAnsi="宋体"/>
        </w:rPr>
      </w:pPr>
      <w:r>
        <w:rPr>
          <w:rFonts w:hint="eastAsia" w:ascii="宋体" w:hAnsi="宋体"/>
        </w:rPr>
        <w:t>第四节  中国联通南雄分公司、中国铁通南雄经营部</w:t>
      </w:r>
    </w:p>
    <w:p w14:paraId="02D07E0D">
      <w:pPr>
        <w:pStyle w:val="5"/>
        <w:rPr>
          <w:rFonts w:ascii="宋体" w:hAnsi="宋体"/>
        </w:rPr>
      </w:pPr>
      <w:r>
        <w:rPr>
          <w:rFonts w:hint="eastAsia" w:ascii="宋体" w:hAnsi="宋体"/>
        </w:rPr>
        <w:t>一、中国联通南雄分公司</w:t>
      </w:r>
    </w:p>
    <w:p w14:paraId="7FACB44F">
      <w:pPr>
        <w:ind w:firstLine="420"/>
        <w:rPr>
          <w:rFonts w:ascii="宋体" w:hAnsi="宋体"/>
          <w:szCs w:val="21"/>
        </w:rPr>
      </w:pPr>
      <w:r>
        <w:rPr>
          <w:rFonts w:ascii="宋体" w:hAnsi="宋体"/>
          <w:szCs w:val="21"/>
        </w:rPr>
        <w:t>2000年9月，中国联通南雄分公司于青云西路12号开业。拥有1间自有营业厅，4间合作营业厅（其中：城区3间、乌迳1间），11间专营店（其中：城区8间、乌</w:t>
      </w:r>
      <w:r>
        <w:rPr>
          <w:rFonts w:hint="eastAsia" w:ascii="宋体" w:hAnsi="宋体"/>
          <w:szCs w:val="21"/>
        </w:rPr>
        <w:t>迳</w:t>
      </w:r>
      <w:r>
        <w:rPr>
          <w:rFonts w:ascii="宋体" w:hAnsi="宋体"/>
          <w:szCs w:val="21"/>
        </w:rPr>
        <w:t>3间），卡类铺货网点（含二级点）104个，IP超市27家。合约用户约有5000户</w:t>
      </w:r>
      <w:r>
        <w:rPr>
          <w:rFonts w:hint="eastAsia" w:ascii="宋体" w:hAnsi="宋体"/>
          <w:szCs w:val="21"/>
        </w:rPr>
        <w:t>（不含卡类用户）。</w:t>
      </w:r>
    </w:p>
    <w:p w14:paraId="5ED9A048">
      <w:pPr>
        <w:ind w:firstLine="420"/>
        <w:rPr>
          <w:rFonts w:ascii="宋体" w:hAnsi="宋体"/>
          <w:szCs w:val="21"/>
        </w:rPr>
      </w:pPr>
      <w:r>
        <w:rPr>
          <w:rFonts w:hint="eastAsia" w:ascii="宋体" w:hAnsi="宋体"/>
          <w:szCs w:val="21"/>
        </w:rPr>
        <w:t>公司在南雄建设基站</w:t>
      </w:r>
      <w:r>
        <w:rPr>
          <w:rFonts w:ascii="宋体" w:hAnsi="宋体"/>
          <w:szCs w:val="21"/>
        </w:rPr>
        <w:t>39个，已建成通达国内国际近400个城市和地区的193长</w:t>
      </w:r>
      <w:r>
        <w:rPr>
          <w:rFonts w:hint="eastAsia" w:ascii="宋体" w:hAnsi="宋体"/>
          <w:szCs w:val="21"/>
        </w:rPr>
        <w:t>途网络、I</w:t>
      </w:r>
      <w:r>
        <w:rPr>
          <w:rFonts w:ascii="宋体" w:hAnsi="宋体"/>
          <w:szCs w:val="21"/>
        </w:rPr>
        <w:t>P长途网络、互联网络。网络覆盖全市城乡、旅游景点及交通干道。业务</w:t>
      </w:r>
      <w:r>
        <w:rPr>
          <w:rFonts w:hint="eastAsia" w:ascii="宋体" w:hAnsi="宋体"/>
          <w:szCs w:val="21"/>
        </w:rPr>
        <w:t>有移动通信业务（</w:t>
      </w:r>
      <w:r>
        <w:rPr>
          <w:rFonts w:ascii="宋体" w:hAnsi="宋体"/>
          <w:szCs w:val="21"/>
        </w:rPr>
        <w:t>CDMA业务、GSM业务）、数据与固定业务（</w:t>
      </w:r>
      <w:r>
        <w:rPr>
          <w:rFonts w:hint="eastAsia" w:ascii="宋体" w:hAnsi="宋体"/>
          <w:szCs w:val="21"/>
        </w:rPr>
        <w:t>I</w:t>
      </w:r>
      <w:r>
        <w:rPr>
          <w:rFonts w:ascii="宋体" w:hAnsi="宋体"/>
          <w:szCs w:val="21"/>
        </w:rPr>
        <w:t>P电话、长途193</w:t>
      </w:r>
      <w:r>
        <w:rPr>
          <w:rFonts w:hint="eastAsia" w:ascii="宋体" w:hAnsi="宋体"/>
          <w:szCs w:val="21"/>
        </w:rPr>
        <w:t>、租线业务）、宝视通视讯业务、互联网业务（互联网</w:t>
      </w:r>
      <w:r>
        <w:rPr>
          <w:rFonts w:ascii="宋体" w:hAnsi="宋体"/>
          <w:szCs w:val="21"/>
        </w:rPr>
        <w:t>UNINET）、增值业务（互动世</w:t>
      </w:r>
      <w:r>
        <w:rPr>
          <w:rFonts w:hint="eastAsia" w:ascii="宋体" w:hAnsi="宋体"/>
          <w:szCs w:val="21"/>
        </w:rPr>
        <w:t>界、彩</w:t>
      </w:r>
      <w:r>
        <w:rPr>
          <w:rFonts w:ascii="宋体" w:hAnsi="宋体"/>
          <w:szCs w:val="21"/>
        </w:rPr>
        <w:t>E、掌中宽带、神奇宝典、联通在信、定位之星）、联通秘书（声控秘书、联</w:t>
      </w:r>
      <w:r>
        <w:rPr>
          <w:rFonts w:hint="eastAsia" w:ascii="宋体" w:hAnsi="宋体"/>
          <w:szCs w:val="21"/>
        </w:rPr>
        <w:t>通气象站、查费直通车、中文秘书、丽音秘书）等。</w:t>
      </w:r>
    </w:p>
    <w:p w14:paraId="607BA7F4">
      <w:pPr>
        <w:pStyle w:val="5"/>
        <w:rPr>
          <w:rFonts w:ascii="宋体" w:hAnsi="宋体"/>
        </w:rPr>
      </w:pPr>
      <w:r>
        <w:rPr>
          <w:rFonts w:hint="eastAsia" w:ascii="宋体" w:hAnsi="宋体"/>
        </w:rPr>
        <w:t>二、中国铁通南雄经营部</w:t>
      </w:r>
    </w:p>
    <w:p w14:paraId="255C4F74">
      <w:pPr>
        <w:ind w:firstLine="420"/>
        <w:rPr>
          <w:rFonts w:ascii="宋体" w:hAnsi="宋体"/>
          <w:szCs w:val="21"/>
        </w:rPr>
      </w:pPr>
      <w:r>
        <w:rPr>
          <w:rFonts w:hint="eastAsia" w:ascii="宋体" w:hAnsi="宋体"/>
          <w:szCs w:val="21"/>
        </w:rPr>
        <w:t>中国铁通南雄经营部于</w:t>
      </w:r>
      <w:r>
        <w:rPr>
          <w:rFonts w:ascii="宋体" w:hAnsi="宋体"/>
          <w:szCs w:val="21"/>
        </w:rPr>
        <w:t>2004年4月在南雄市青云西路开业。主要业务有固定电</w:t>
      </w:r>
      <w:r>
        <w:rPr>
          <w:rFonts w:hint="eastAsia" w:ascii="宋体" w:hAnsi="宋体"/>
          <w:szCs w:val="21"/>
        </w:rPr>
        <w:t>话和互联网业务以及其他电信业务。业务发展仅限于南雄城区，固定电话用户已达到</w:t>
      </w:r>
      <w:r>
        <w:rPr>
          <w:rFonts w:ascii="宋体" w:hAnsi="宋体"/>
          <w:szCs w:val="21"/>
        </w:rPr>
        <w:t>2000多户，ADSL（宽带）用户250户。已建2个机房，交换机总容量10000门，线</w:t>
      </w:r>
      <w:r>
        <w:rPr>
          <w:rFonts w:hint="eastAsia" w:ascii="宋体" w:hAnsi="宋体"/>
          <w:szCs w:val="21"/>
        </w:rPr>
        <w:t>路已覆盖整个城区。</w:t>
      </w:r>
    </w:p>
    <w:p w14:paraId="6B062545">
      <w:pPr>
        <w:pStyle w:val="3"/>
        <w:rPr>
          <w:rFonts w:ascii="宋体" w:hAnsi="宋体"/>
        </w:rPr>
      </w:pPr>
      <w:r>
        <w:rPr>
          <w:rFonts w:hint="eastAsia" w:ascii="宋体" w:hAnsi="宋体"/>
        </w:rPr>
        <w:t>第三章  城乡建设</w:t>
      </w:r>
    </w:p>
    <w:p w14:paraId="4AA70C53">
      <w:pPr>
        <w:pStyle w:val="4"/>
        <w:rPr>
          <w:rFonts w:ascii="宋体" w:hAnsi="宋体"/>
        </w:rPr>
      </w:pPr>
      <w:r>
        <w:rPr>
          <w:rFonts w:hint="eastAsia" w:ascii="宋体" w:hAnsi="宋体"/>
        </w:rPr>
        <w:t>第一节  市区建设</w:t>
      </w:r>
    </w:p>
    <w:p w14:paraId="1261A7A6">
      <w:pPr>
        <w:pStyle w:val="5"/>
        <w:rPr>
          <w:rFonts w:ascii="宋体" w:hAnsi="宋体"/>
        </w:rPr>
      </w:pPr>
      <w:r>
        <w:rPr>
          <w:rFonts w:hint="eastAsia" w:ascii="宋体" w:hAnsi="宋体"/>
        </w:rPr>
        <w:t>一、老城区改造</w:t>
      </w:r>
    </w:p>
    <w:p w14:paraId="71E7F3F1">
      <w:pPr>
        <w:ind w:firstLine="422"/>
        <w:rPr>
          <w:rFonts w:ascii="宋体" w:hAnsi="宋体"/>
          <w:b/>
          <w:szCs w:val="21"/>
        </w:rPr>
      </w:pPr>
      <w:r>
        <w:rPr>
          <w:rFonts w:hint="eastAsia" w:ascii="宋体" w:hAnsi="宋体"/>
          <w:b/>
          <w:szCs w:val="21"/>
        </w:rPr>
        <w:t>（一）城区扩展</w:t>
      </w:r>
    </w:p>
    <w:p w14:paraId="741546CC">
      <w:pPr>
        <w:ind w:firstLine="420"/>
        <w:rPr>
          <w:rFonts w:ascii="宋体" w:hAnsi="宋体"/>
          <w:szCs w:val="21"/>
        </w:rPr>
      </w:pPr>
      <w:r>
        <w:rPr>
          <w:rFonts w:hint="eastAsia" w:ascii="宋体" w:hAnsi="宋体"/>
          <w:szCs w:val="21"/>
        </w:rPr>
        <w:t>原老城面积</w:t>
      </w:r>
      <w:r>
        <w:rPr>
          <w:rFonts w:ascii="宋体" w:hAnsi="宋体"/>
          <w:szCs w:val="21"/>
        </w:rPr>
        <w:t>1.43平方公里。从1951年开始，县政府有计划地拆除县城东、北、</w:t>
      </w:r>
      <w:r>
        <w:rPr>
          <w:rFonts w:hint="eastAsia" w:ascii="宋体" w:hAnsi="宋体"/>
          <w:szCs w:val="21"/>
        </w:rPr>
        <w:t>西三面城墙，以城砖建设人民电影院、人民礼堂、县公安局等，保留南面临水城墙及码头，供水上运输和防洪。</w:t>
      </w:r>
    </w:p>
    <w:p w14:paraId="5799E5A7">
      <w:pPr>
        <w:ind w:firstLine="420"/>
        <w:rPr>
          <w:rFonts w:ascii="宋体" w:hAnsi="宋体"/>
          <w:szCs w:val="21"/>
        </w:rPr>
      </w:pPr>
      <w:r>
        <w:rPr>
          <w:rFonts w:ascii="宋体" w:hAnsi="宋体"/>
          <w:szCs w:val="21"/>
        </w:rPr>
        <w:t>1953年，县政府在五里山兴建革命烈士纪念碑和人民公园，县城开始向东扩展。</w:t>
      </w:r>
      <w:r>
        <w:rPr>
          <w:rFonts w:hint="eastAsia" w:ascii="宋体" w:hAnsi="宋体"/>
          <w:szCs w:val="21"/>
        </w:rPr>
        <w:t>此后，相继建成的有南雄松香厂、大城门粮仓、县汽车站、梅关旅店、城镇红砖厂、县第一中学、卫生学校、电视大学等，连成一片，县城向东扩大</w:t>
      </w:r>
      <w:r>
        <w:rPr>
          <w:rFonts w:ascii="宋体" w:hAnsi="宋体"/>
          <w:szCs w:val="21"/>
        </w:rPr>
        <w:t>1.36平方公里</w:t>
      </w:r>
      <w:r>
        <w:rPr>
          <w:rFonts w:hint="eastAsia" w:ascii="宋体" w:hAnsi="宋体"/>
          <w:szCs w:val="21"/>
        </w:rPr>
        <w:t>。</w:t>
      </w:r>
      <w:r>
        <w:rPr>
          <w:rFonts w:ascii="宋体" w:hAnsi="宋体"/>
          <w:szCs w:val="21"/>
        </w:rPr>
        <w:t>1978年县氮肥厂建成，县城开始向西南延伸，相继建成丝绸公司、五金配件厂、化</w:t>
      </w:r>
      <w:r>
        <w:rPr>
          <w:rFonts w:hint="eastAsia" w:ascii="宋体" w:hAnsi="宋体"/>
          <w:szCs w:val="21"/>
        </w:rPr>
        <w:t>工厂等。</w:t>
      </w:r>
    </w:p>
    <w:p w14:paraId="2277307F">
      <w:pPr>
        <w:ind w:firstLine="422"/>
        <w:rPr>
          <w:rFonts w:ascii="宋体" w:hAnsi="宋体"/>
          <w:b/>
          <w:szCs w:val="21"/>
        </w:rPr>
      </w:pPr>
      <w:r>
        <w:rPr>
          <w:rFonts w:hint="eastAsia" w:ascii="宋体" w:hAnsi="宋体"/>
          <w:b/>
          <w:szCs w:val="21"/>
        </w:rPr>
        <w:t>（二）大成街改建</w:t>
      </w:r>
    </w:p>
    <w:p w14:paraId="69063DD1">
      <w:pPr>
        <w:ind w:firstLine="420"/>
        <w:rPr>
          <w:rFonts w:ascii="宋体" w:hAnsi="宋体"/>
          <w:szCs w:val="21"/>
        </w:rPr>
      </w:pPr>
      <w:r>
        <w:rPr>
          <w:rFonts w:ascii="宋体" w:hAnsi="宋体"/>
          <w:szCs w:val="21"/>
        </w:rPr>
        <w:t>1991年3月18日动工，历时3年多，1994年冬基本完成。该工程将砖瓦平房改</w:t>
      </w:r>
      <w:r>
        <w:rPr>
          <w:rFonts w:hint="eastAsia" w:ascii="宋体" w:hAnsi="宋体"/>
          <w:szCs w:val="21"/>
        </w:rPr>
        <w:t>建框架结构</w:t>
      </w:r>
      <w:r>
        <w:rPr>
          <w:rFonts w:ascii="宋体" w:hAnsi="宋体"/>
          <w:szCs w:val="21"/>
        </w:rPr>
        <w:t>9层楼房，共有13幢，门店205间，住宅283套，写字楼面积2000平方</w:t>
      </w:r>
      <w:r>
        <w:rPr>
          <w:rFonts w:hint="eastAsia" w:ascii="宋体" w:hAnsi="宋体"/>
          <w:szCs w:val="21"/>
        </w:rPr>
        <w:t>米；街长</w:t>
      </w:r>
      <w:r>
        <w:rPr>
          <w:rFonts w:ascii="宋体" w:hAnsi="宋体"/>
          <w:szCs w:val="21"/>
        </w:rPr>
        <w:t>280米，由原宽13米加宽为24米水泥路面</w:t>
      </w:r>
      <w:r>
        <w:rPr>
          <w:rFonts w:hint="eastAsia" w:ascii="宋体" w:hAnsi="宋体"/>
          <w:szCs w:val="21"/>
        </w:rPr>
        <w:t>。</w:t>
      </w:r>
    </w:p>
    <w:p w14:paraId="6021564B">
      <w:pPr>
        <w:ind w:firstLine="422"/>
        <w:rPr>
          <w:rFonts w:ascii="宋体" w:hAnsi="宋体"/>
          <w:b/>
          <w:szCs w:val="21"/>
        </w:rPr>
      </w:pPr>
      <w:r>
        <w:rPr>
          <w:rFonts w:hint="eastAsia" w:ascii="宋体" w:hAnsi="宋体"/>
          <w:b/>
          <w:szCs w:val="21"/>
        </w:rPr>
        <w:t>（三）市场改建</w:t>
      </w:r>
    </w:p>
    <w:p w14:paraId="69C18130">
      <w:pPr>
        <w:ind w:firstLine="422"/>
        <w:rPr>
          <w:rFonts w:ascii="宋体" w:hAnsi="宋体"/>
          <w:b/>
          <w:szCs w:val="21"/>
        </w:rPr>
      </w:pPr>
      <w:r>
        <w:rPr>
          <w:rFonts w:ascii="宋体" w:hAnsi="宋体"/>
          <w:b/>
          <w:szCs w:val="21"/>
        </w:rPr>
        <w:t>1.改建繁荣市场</w:t>
      </w:r>
    </w:p>
    <w:p w14:paraId="09EC54FD">
      <w:pPr>
        <w:ind w:firstLine="420"/>
        <w:rPr>
          <w:rFonts w:ascii="宋体" w:hAnsi="宋体"/>
          <w:szCs w:val="21"/>
        </w:rPr>
      </w:pPr>
      <w:r>
        <w:rPr>
          <w:rFonts w:hint="eastAsia" w:ascii="宋体" w:hAnsi="宋体"/>
          <w:szCs w:val="21"/>
        </w:rPr>
        <w:t>原繁荣市场占地面积约</w:t>
      </w:r>
      <w:r>
        <w:rPr>
          <w:rFonts w:ascii="宋体" w:hAnsi="宋体"/>
          <w:szCs w:val="21"/>
        </w:rPr>
        <w:t>3500平方米，是市区容量最大的肉菜供应市场，早已超</w:t>
      </w:r>
      <w:r>
        <w:rPr>
          <w:rFonts w:hint="eastAsia" w:ascii="宋体" w:hAnsi="宋体"/>
          <w:szCs w:val="21"/>
        </w:rPr>
        <w:t>负荷运作。</w:t>
      </w:r>
      <w:r>
        <w:rPr>
          <w:rFonts w:ascii="宋体" w:hAnsi="宋体"/>
          <w:szCs w:val="21"/>
        </w:rPr>
        <w:t>1998年按照城市总体规划的要求，改建繁荣市场。改建后，市场占地面</w:t>
      </w:r>
      <w:r>
        <w:rPr>
          <w:rFonts w:hint="eastAsia" w:ascii="宋体" w:hAnsi="宋体"/>
          <w:szCs w:val="21"/>
        </w:rPr>
        <w:t>积</w:t>
      </w:r>
      <w:r>
        <w:rPr>
          <w:rFonts w:ascii="宋体" w:hAnsi="宋体"/>
          <w:szCs w:val="21"/>
        </w:rPr>
        <w:t>9000平方米，1、2层为综合市场，市场面积为6050平方米，周边为商业大街</w:t>
      </w:r>
      <w:r>
        <w:rPr>
          <w:rFonts w:hint="eastAsia" w:ascii="宋体" w:hAnsi="宋体"/>
          <w:szCs w:val="21"/>
        </w:rPr>
        <w:t>。</w:t>
      </w:r>
    </w:p>
    <w:p w14:paraId="5221A147">
      <w:pPr>
        <w:ind w:firstLine="422"/>
        <w:rPr>
          <w:rFonts w:ascii="宋体" w:hAnsi="宋体"/>
          <w:b/>
          <w:szCs w:val="21"/>
        </w:rPr>
      </w:pPr>
      <w:r>
        <w:rPr>
          <w:rFonts w:ascii="宋体" w:hAnsi="宋体"/>
          <w:b/>
          <w:szCs w:val="21"/>
        </w:rPr>
        <w:t>2.改建光明市场</w:t>
      </w:r>
    </w:p>
    <w:p w14:paraId="3B510BF6">
      <w:pPr>
        <w:ind w:firstLine="420"/>
        <w:rPr>
          <w:rFonts w:ascii="宋体" w:hAnsi="宋体"/>
          <w:szCs w:val="21"/>
        </w:rPr>
      </w:pPr>
      <w:r>
        <w:rPr>
          <w:rFonts w:hint="eastAsia" w:ascii="宋体" w:hAnsi="宋体"/>
          <w:szCs w:val="21"/>
        </w:rPr>
        <w:t>原光明市场位于老城区宾阳路，占地面积为</w:t>
      </w:r>
      <w:r>
        <w:rPr>
          <w:rFonts w:ascii="宋体" w:hAnsi="宋体"/>
          <w:szCs w:val="21"/>
        </w:rPr>
        <w:t>800平方米，是市区第二大肉菜供应</w:t>
      </w:r>
      <w:r>
        <w:rPr>
          <w:rFonts w:hint="eastAsia" w:ascii="宋体" w:hAnsi="宋体"/>
          <w:szCs w:val="21"/>
        </w:rPr>
        <w:t>市场。</w:t>
      </w:r>
      <w:r>
        <w:rPr>
          <w:rFonts w:ascii="宋体" w:hAnsi="宋体"/>
          <w:szCs w:val="21"/>
        </w:rPr>
        <w:t>2000年按照城市总体规划的要求，对光明市场进行改建。改建后的光明市场</w:t>
      </w:r>
      <w:r>
        <w:rPr>
          <w:rFonts w:hint="eastAsia" w:ascii="宋体" w:hAnsi="宋体"/>
          <w:szCs w:val="21"/>
        </w:rPr>
        <w:t>占地面积</w:t>
      </w:r>
      <w:r>
        <w:rPr>
          <w:rFonts w:ascii="宋体" w:hAnsi="宋体"/>
          <w:szCs w:val="21"/>
        </w:rPr>
        <w:t>3.9万平方米，市场面积6400平方米，周边及临街面有商业店铺400多间，</w:t>
      </w:r>
      <w:r>
        <w:rPr>
          <w:rFonts w:hint="eastAsia" w:ascii="宋体" w:hAnsi="宋体"/>
          <w:szCs w:val="21"/>
        </w:rPr>
        <w:t>建筑面积约</w:t>
      </w:r>
      <w:r>
        <w:rPr>
          <w:rFonts w:ascii="宋体" w:hAnsi="宋体"/>
          <w:szCs w:val="21"/>
        </w:rPr>
        <w:t>1.2万平方米</w:t>
      </w:r>
      <w:r>
        <w:rPr>
          <w:rFonts w:hint="eastAsia" w:ascii="宋体" w:hAnsi="宋体"/>
          <w:szCs w:val="21"/>
        </w:rPr>
        <w:t>。</w:t>
      </w:r>
    </w:p>
    <w:p w14:paraId="0A4BCA33">
      <w:pPr>
        <w:ind w:firstLine="422"/>
        <w:rPr>
          <w:rFonts w:ascii="宋体" w:hAnsi="宋体"/>
          <w:b/>
          <w:szCs w:val="21"/>
        </w:rPr>
      </w:pPr>
      <w:r>
        <w:rPr>
          <w:rFonts w:hint="eastAsia" w:ascii="宋体" w:hAnsi="宋体"/>
          <w:b/>
          <w:szCs w:val="21"/>
        </w:rPr>
        <w:t>（四）引进外资开展城市经营</w:t>
      </w:r>
    </w:p>
    <w:p w14:paraId="58194B3B">
      <w:pPr>
        <w:ind w:firstLine="420"/>
        <w:rPr>
          <w:rFonts w:ascii="宋体" w:hAnsi="宋体"/>
          <w:szCs w:val="21"/>
        </w:rPr>
      </w:pPr>
      <w:r>
        <w:rPr>
          <w:rFonts w:ascii="宋体" w:hAnsi="宋体"/>
          <w:szCs w:val="21"/>
        </w:rPr>
        <w:t>2000年起，引进外资开展城市经营，加快全面改造老城区步伐</w:t>
      </w:r>
      <w:r>
        <w:rPr>
          <w:rFonts w:hint="eastAsia" w:ascii="宋体" w:hAnsi="宋体"/>
          <w:szCs w:val="21"/>
        </w:rPr>
        <w:t>。</w:t>
      </w:r>
    </w:p>
    <w:p w14:paraId="55E3B1FC">
      <w:pPr>
        <w:ind w:firstLine="422"/>
        <w:rPr>
          <w:rFonts w:ascii="宋体" w:hAnsi="宋体"/>
          <w:b/>
          <w:szCs w:val="21"/>
        </w:rPr>
      </w:pPr>
      <w:r>
        <w:rPr>
          <w:rFonts w:ascii="宋体" w:hAnsi="宋体"/>
          <w:b/>
          <w:szCs w:val="21"/>
        </w:rPr>
        <w:t>1.三影塔广场兴建</w:t>
      </w:r>
    </w:p>
    <w:p w14:paraId="285B4828">
      <w:pPr>
        <w:ind w:firstLine="420"/>
        <w:rPr>
          <w:rFonts w:ascii="宋体" w:hAnsi="宋体"/>
          <w:szCs w:val="21"/>
        </w:rPr>
      </w:pPr>
      <w:r>
        <w:rPr>
          <w:rFonts w:hint="eastAsia" w:ascii="宋体" w:hAnsi="宋体"/>
          <w:szCs w:val="21"/>
        </w:rPr>
        <w:t>三影塔广场位于市区中心，东起永康路，南至青云路，西至延祥路（新建），北至成康路（新建）。</w:t>
      </w:r>
      <w:r>
        <w:rPr>
          <w:rFonts w:ascii="宋体" w:hAnsi="宋体"/>
          <w:szCs w:val="21"/>
        </w:rPr>
        <w:t>200</w:t>
      </w:r>
      <w:r>
        <w:rPr>
          <w:rFonts w:hint="eastAsia" w:ascii="宋体" w:hAnsi="宋体"/>
          <w:szCs w:val="21"/>
        </w:rPr>
        <w:t>2</w:t>
      </w:r>
      <w:r>
        <w:rPr>
          <w:rFonts w:ascii="宋体" w:hAnsi="宋体"/>
          <w:szCs w:val="21"/>
        </w:rPr>
        <w:t>年根据总体规划设计和结合文物保护的要求，开始拆迁建</w:t>
      </w:r>
      <w:r>
        <w:rPr>
          <w:rFonts w:hint="eastAsia" w:ascii="宋体" w:hAnsi="宋体"/>
          <w:szCs w:val="21"/>
        </w:rPr>
        <w:t>设，共拆迁旧房面积</w:t>
      </w:r>
      <w:r>
        <w:rPr>
          <w:rFonts w:ascii="宋体" w:hAnsi="宋体"/>
          <w:szCs w:val="21"/>
        </w:rPr>
        <w:t>4.9万平方米。新建广场小区总用地面积4.5万平方米，其中三</w:t>
      </w:r>
      <w:r>
        <w:rPr>
          <w:rFonts w:hint="eastAsia" w:ascii="宋体" w:hAnsi="宋体"/>
          <w:szCs w:val="21"/>
        </w:rPr>
        <w:t>影塔广场用地</w:t>
      </w:r>
      <w:r>
        <w:rPr>
          <w:rFonts w:ascii="宋体" w:hAnsi="宋体"/>
          <w:szCs w:val="21"/>
        </w:rPr>
        <w:t>2.2万平方米。广场以三影塔为中心，东西两边建有三层仿古建筑，北</w:t>
      </w:r>
      <w:r>
        <w:rPr>
          <w:rFonts w:hint="eastAsia" w:ascii="宋体" w:hAnsi="宋体"/>
          <w:szCs w:val="21"/>
        </w:rPr>
        <w:t>面有博物馆，南面广场建有音乐喷泉、园林小品、雕塑及开阔的文化活动场地。广场与河滨花园、古城墙、浈江河交相辉映，成为市区集休闲购物、旅游观光、文化娱乐于一体的开放式广场。</w:t>
      </w:r>
    </w:p>
    <w:p w14:paraId="06BC869A">
      <w:pPr>
        <w:ind w:firstLine="422"/>
        <w:rPr>
          <w:rFonts w:ascii="宋体" w:hAnsi="宋体"/>
          <w:b/>
          <w:szCs w:val="21"/>
        </w:rPr>
      </w:pPr>
      <w:r>
        <w:rPr>
          <w:rFonts w:ascii="宋体" w:hAnsi="宋体"/>
          <w:b/>
          <w:szCs w:val="21"/>
        </w:rPr>
        <w:t>2.中心大街改造建设</w:t>
      </w:r>
    </w:p>
    <w:p w14:paraId="70719B61">
      <w:pPr>
        <w:ind w:firstLine="420"/>
        <w:rPr>
          <w:rFonts w:ascii="宋体" w:hAnsi="宋体"/>
          <w:szCs w:val="21"/>
        </w:rPr>
      </w:pPr>
      <w:r>
        <w:rPr>
          <w:rFonts w:hint="eastAsia" w:ascii="宋体" w:hAnsi="宋体"/>
          <w:szCs w:val="21"/>
        </w:rPr>
        <w:t>中心大街改建工程东起汽车站，西至环城西路，统称雄州大道。道路规划总长</w:t>
      </w:r>
      <w:r>
        <w:rPr>
          <w:rFonts w:ascii="宋体" w:hAnsi="宋体"/>
          <w:szCs w:val="21"/>
        </w:rPr>
        <w:t>2464米，宽20米～27米不等，拆迁房屋面积4万平方米。该工程建设由市政府和沿</w:t>
      </w:r>
      <w:r>
        <w:rPr>
          <w:rFonts w:hint="eastAsia" w:ascii="宋体" w:hAnsi="宋体"/>
          <w:szCs w:val="21"/>
        </w:rPr>
        <w:t>线各开发组团共同承担。为适应现代城市发展的需要，中心大街局部平整，所有管线统一埋入地下，下水道实行雨污分流。工程于</w:t>
      </w:r>
      <w:r>
        <w:rPr>
          <w:rFonts w:ascii="宋体" w:hAnsi="宋体"/>
          <w:szCs w:val="21"/>
        </w:rPr>
        <w:t>2004年12月动工，至2005年底完成</w:t>
      </w:r>
      <w:r>
        <w:rPr>
          <w:rFonts w:hint="eastAsia" w:ascii="宋体" w:hAnsi="宋体"/>
          <w:szCs w:val="21"/>
        </w:rPr>
        <w:t>1</w:t>
      </w:r>
      <w:r>
        <w:rPr>
          <w:rFonts w:ascii="宋体" w:hAnsi="宋体"/>
          <w:szCs w:val="21"/>
        </w:rPr>
        <w:t>954米</w:t>
      </w:r>
      <w:r>
        <w:rPr>
          <w:rFonts w:hint="eastAsia" w:ascii="宋体" w:hAnsi="宋体"/>
          <w:szCs w:val="21"/>
        </w:rPr>
        <w:t>。</w:t>
      </w:r>
    </w:p>
    <w:p w14:paraId="3393094C">
      <w:pPr>
        <w:ind w:firstLine="422"/>
        <w:rPr>
          <w:rFonts w:ascii="宋体" w:hAnsi="宋体"/>
          <w:b/>
          <w:szCs w:val="21"/>
        </w:rPr>
      </w:pPr>
      <w:r>
        <w:rPr>
          <w:rFonts w:ascii="宋体" w:hAnsi="宋体"/>
          <w:b/>
          <w:szCs w:val="21"/>
        </w:rPr>
        <w:t>3.青云东西路改建和古城墙修复</w:t>
      </w:r>
    </w:p>
    <w:p w14:paraId="42BC496A">
      <w:pPr>
        <w:ind w:firstLine="420"/>
        <w:rPr>
          <w:rFonts w:ascii="宋体" w:hAnsi="宋体"/>
          <w:szCs w:val="21"/>
        </w:rPr>
      </w:pPr>
      <w:r>
        <w:rPr>
          <w:rFonts w:hint="eastAsia" w:ascii="宋体" w:hAnsi="宋体"/>
          <w:szCs w:val="21"/>
        </w:rPr>
        <w:t>青云东西路在老城区浈江河北岸，是贯通老城东西走向的主干道之一。该工程于</w:t>
      </w:r>
      <w:r>
        <w:rPr>
          <w:rFonts w:ascii="宋体" w:hAnsi="宋体"/>
          <w:szCs w:val="21"/>
        </w:rPr>
        <w:t>2001年动工兴建，2003年完成了长1800米、宽21米的道路浇筑、给水排水、路灯</w:t>
      </w:r>
      <w:r>
        <w:rPr>
          <w:rFonts w:hint="eastAsia" w:ascii="宋体" w:hAnsi="宋体"/>
          <w:szCs w:val="21"/>
        </w:rPr>
        <w:t>等市政设施，同时建好了河滨公园。修复的古城墙东起广州会馆，西至河南桥头，长1</w:t>
      </w:r>
      <w:r>
        <w:rPr>
          <w:rFonts w:ascii="宋体" w:hAnsi="宋体"/>
          <w:szCs w:val="21"/>
        </w:rPr>
        <w:t>4</w:t>
      </w:r>
      <w:r>
        <w:rPr>
          <w:rFonts w:hint="eastAsia" w:ascii="宋体" w:hAnsi="宋体"/>
          <w:szCs w:val="21"/>
        </w:rPr>
        <w:t>0</w:t>
      </w:r>
      <w:r>
        <w:rPr>
          <w:rFonts w:ascii="宋体" w:hAnsi="宋体"/>
          <w:szCs w:val="21"/>
        </w:rPr>
        <w:t>0米，城墙</w:t>
      </w:r>
      <w:r>
        <w:rPr>
          <w:rFonts w:hint="eastAsia" w:ascii="宋体" w:hAnsi="宋体"/>
          <w:szCs w:val="21"/>
        </w:rPr>
        <w:t>高</w:t>
      </w:r>
      <w:r>
        <w:rPr>
          <w:rFonts w:ascii="宋体" w:hAnsi="宋体"/>
          <w:szCs w:val="21"/>
        </w:rPr>
        <w:t>1.35米，宽0.46米。全部用青砖砌筑而成。在古城墙内侧永康路</w:t>
      </w:r>
      <w:r>
        <w:rPr>
          <w:rFonts w:hint="eastAsia" w:ascii="宋体" w:hAnsi="宋体"/>
          <w:szCs w:val="21"/>
        </w:rPr>
        <w:t>口、维新路口、银兴路口建设了青云、云衢、皇华</w:t>
      </w:r>
      <w:r>
        <w:rPr>
          <w:rFonts w:ascii="宋体" w:hAnsi="宋体"/>
          <w:szCs w:val="21"/>
        </w:rPr>
        <w:t>3座仿宋代风格的城门楼，楼</w:t>
      </w:r>
      <w:r>
        <w:rPr>
          <w:rFonts w:hint="eastAsia" w:ascii="宋体" w:hAnsi="宋体"/>
          <w:szCs w:val="21"/>
        </w:rPr>
        <w:t>高</w:t>
      </w:r>
      <w:r>
        <w:rPr>
          <w:rFonts w:ascii="宋体" w:hAnsi="宋体"/>
          <w:szCs w:val="21"/>
        </w:rPr>
        <w:t>8.3米，建筑面积110多平方米。基本保留了古城风貌</w:t>
      </w:r>
      <w:r>
        <w:rPr>
          <w:rFonts w:hint="eastAsia" w:ascii="宋体" w:hAnsi="宋体"/>
          <w:szCs w:val="21"/>
        </w:rPr>
        <w:t>。</w:t>
      </w:r>
    </w:p>
    <w:p w14:paraId="5737ADD4">
      <w:pPr>
        <w:ind w:firstLine="422"/>
        <w:rPr>
          <w:rFonts w:ascii="宋体" w:hAnsi="宋体"/>
          <w:b/>
          <w:szCs w:val="21"/>
        </w:rPr>
      </w:pPr>
      <w:r>
        <w:rPr>
          <w:rFonts w:ascii="宋体" w:hAnsi="宋体"/>
          <w:b/>
          <w:szCs w:val="21"/>
        </w:rPr>
        <w:t>4.小区建设</w:t>
      </w:r>
    </w:p>
    <w:p w14:paraId="2831E0B0">
      <w:pPr>
        <w:ind w:firstLine="422"/>
        <w:rPr>
          <w:rFonts w:ascii="宋体" w:hAnsi="宋体"/>
          <w:b/>
          <w:szCs w:val="21"/>
        </w:rPr>
      </w:pPr>
      <w:r>
        <w:rPr>
          <w:rFonts w:hint="eastAsia" w:ascii="宋体" w:hAnsi="宋体"/>
          <w:b/>
          <w:szCs w:val="21"/>
        </w:rPr>
        <w:t>仁寿巷步行街小区</w:t>
      </w:r>
    </w:p>
    <w:p w14:paraId="1028A69F">
      <w:pPr>
        <w:ind w:firstLine="420"/>
        <w:rPr>
          <w:rFonts w:ascii="宋体" w:hAnsi="宋体"/>
          <w:szCs w:val="21"/>
        </w:rPr>
      </w:pPr>
      <w:r>
        <w:rPr>
          <w:rFonts w:hint="eastAsia" w:ascii="宋体" w:hAnsi="宋体"/>
          <w:szCs w:val="21"/>
        </w:rPr>
        <w:t>仁寿巷步行街小区位于老城区的中心，东起大成街，南至浈江河，西至维新路，北至雄州大道中。规划用地面积</w:t>
      </w:r>
      <w:r>
        <w:rPr>
          <w:rFonts w:ascii="宋体" w:hAnsi="宋体"/>
          <w:szCs w:val="21"/>
        </w:rPr>
        <w:t>6.68万平方米。该小区于2002年初动工，共拆迁旧</w:t>
      </w:r>
      <w:r>
        <w:rPr>
          <w:rFonts w:hint="eastAsia" w:ascii="宋体" w:hAnsi="宋体"/>
          <w:szCs w:val="21"/>
        </w:rPr>
        <w:t>房</w:t>
      </w:r>
      <w:r>
        <w:rPr>
          <w:rFonts w:ascii="宋体" w:hAnsi="宋体"/>
          <w:szCs w:val="21"/>
        </w:rPr>
        <w:t>4.6万平方米，新建了一条连接大成街与维新路的商业骑楼式步行街，1、2层为</w:t>
      </w:r>
      <w:r>
        <w:rPr>
          <w:rFonts w:hint="eastAsia" w:ascii="宋体" w:hAnsi="宋体"/>
          <w:szCs w:val="21"/>
        </w:rPr>
        <w:t>商业店铺，</w:t>
      </w:r>
      <w:r>
        <w:rPr>
          <w:rFonts w:ascii="宋体" w:hAnsi="宋体"/>
          <w:szCs w:val="21"/>
        </w:rPr>
        <w:t>3层～8层为住宅，建筑面积10.44万平方米。2005年底基本完成整个小</w:t>
      </w:r>
      <w:r>
        <w:rPr>
          <w:rFonts w:hint="eastAsia" w:ascii="宋体" w:hAnsi="宋体"/>
          <w:szCs w:val="21"/>
        </w:rPr>
        <w:t>区建设。</w:t>
      </w:r>
    </w:p>
    <w:p w14:paraId="03B5BB25">
      <w:pPr>
        <w:ind w:firstLine="422"/>
        <w:rPr>
          <w:rFonts w:ascii="宋体" w:hAnsi="宋体"/>
          <w:b/>
          <w:szCs w:val="21"/>
        </w:rPr>
      </w:pPr>
      <w:r>
        <w:rPr>
          <w:rFonts w:hint="eastAsia" w:ascii="宋体" w:hAnsi="宋体"/>
          <w:b/>
          <w:szCs w:val="21"/>
        </w:rPr>
        <w:t>华瑞花园住宅小区</w:t>
      </w:r>
    </w:p>
    <w:p w14:paraId="71E1E089">
      <w:pPr>
        <w:ind w:firstLine="420"/>
        <w:rPr>
          <w:rFonts w:ascii="宋体" w:hAnsi="宋体"/>
          <w:szCs w:val="21"/>
        </w:rPr>
      </w:pPr>
      <w:r>
        <w:rPr>
          <w:rFonts w:hint="eastAsia" w:ascii="宋体" w:hAnsi="宋体"/>
          <w:szCs w:val="21"/>
        </w:rPr>
        <w:t>华瑞花园住宅小区位于老城上城区，东起龙沟巷，南至新规划的仓前街，西至永康路，北至雄州大道中，规划用地面积</w:t>
      </w:r>
      <w:r>
        <w:rPr>
          <w:rFonts w:ascii="宋体" w:hAnsi="宋体"/>
          <w:szCs w:val="21"/>
        </w:rPr>
        <w:t>3.83万平方米。区内规划拓宽光明西路至24</w:t>
      </w:r>
      <w:r>
        <w:rPr>
          <w:rFonts w:hint="eastAsia" w:ascii="宋体" w:hAnsi="宋体"/>
          <w:szCs w:val="21"/>
        </w:rPr>
        <w:t>米，永康路拓宽至</w:t>
      </w:r>
      <w:r>
        <w:rPr>
          <w:rFonts w:ascii="宋体" w:hAnsi="宋体"/>
          <w:szCs w:val="21"/>
        </w:rPr>
        <w:t>21米，规划上龙沟巷18米，仓前街为24米。房屋建筑沿道路围</w:t>
      </w:r>
      <w:r>
        <w:rPr>
          <w:rFonts w:hint="eastAsia" w:ascii="宋体" w:hAnsi="宋体"/>
          <w:szCs w:val="21"/>
        </w:rPr>
        <w:t>合式布局，小区绿化由组团绿地、庭院绿地和道路绿化三部分组成，在东西面各规划</w:t>
      </w:r>
      <w:r>
        <w:rPr>
          <w:rFonts w:ascii="宋体" w:hAnsi="宋体"/>
          <w:szCs w:val="21"/>
        </w:rPr>
        <w:t>2个出入口，南面规划1个出入口</w:t>
      </w:r>
      <w:r>
        <w:rPr>
          <w:rFonts w:hint="eastAsia" w:ascii="宋体" w:hAnsi="宋体"/>
          <w:szCs w:val="21"/>
        </w:rPr>
        <w:t>。</w:t>
      </w:r>
    </w:p>
    <w:p w14:paraId="24FEC5DC">
      <w:pPr>
        <w:ind w:firstLine="422"/>
        <w:rPr>
          <w:rFonts w:ascii="宋体" w:hAnsi="宋体"/>
          <w:b/>
          <w:szCs w:val="21"/>
        </w:rPr>
      </w:pPr>
      <w:r>
        <w:rPr>
          <w:rFonts w:hint="eastAsia" w:ascii="宋体" w:hAnsi="宋体"/>
          <w:b/>
          <w:szCs w:val="21"/>
        </w:rPr>
        <w:t>三秀花园商住小区</w:t>
      </w:r>
    </w:p>
    <w:p w14:paraId="1A83AAB1">
      <w:pPr>
        <w:ind w:firstLine="420"/>
        <w:rPr>
          <w:rFonts w:ascii="宋体" w:hAnsi="宋体"/>
          <w:szCs w:val="21"/>
        </w:rPr>
      </w:pPr>
      <w:r>
        <w:rPr>
          <w:rFonts w:hint="eastAsia" w:ascii="宋体" w:hAnsi="宋体"/>
          <w:szCs w:val="21"/>
        </w:rPr>
        <w:t>三秀花园商住小区位于老城下城区，东起维新路，南临浈江河，西至金叶大道，北至雄州大道西。规划用地面积</w:t>
      </w:r>
      <w:r>
        <w:rPr>
          <w:rFonts w:ascii="宋体" w:hAnsi="宋体"/>
          <w:szCs w:val="21"/>
        </w:rPr>
        <w:t>7.1万平方米，建设用地5.4万平方米，公共市政用</w:t>
      </w:r>
      <w:r>
        <w:rPr>
          <w:rFonts w:hint="eastAsia" w:ascii="宋体" w:hAnsi="宋体"/>
          <w:szCs w:val="21"/>
        </w:rPr>
        <w:t>地</w:t>
      </w:r>
      <w:r>
        <w:rPr>
          <w:rFonts w:ascii="宋体" w:hAnsi="宋体"/>
          <w:szCs w:val="21"/>
        </w:rPr>
        <w:t>1.78万平方米，保留用地1.62万平方米，该小区需拆迁旧房386户，拆迁4.8万</w:t>
      </w:r>
      <w:r>
        <w:rPr>
          <w:rFonts w:hint="eastAsia" w:ascii="宋体" w:hAnsi="宋体"/>
          <w:szCs w:val="21"/>
        </w:rPr>
        <w:t>平方米。</w:t>
      </w:r>
    </w:p>
    <w:p w14:paraId="1A70AEC9">
      <w:pPr>
        <w:pStyle w:val="5"/>
        <w:rPr>
          <w:rFonts w:ascii="宋体" w:hAnsi="宋体"/>
        </w:rPr>
      </w:pPr>
      <w:r>
        <w:rPr>
          <w:rFonts w:hint="eastAsia" w:ascii="宋体" w:hAnsi="宋体"/>
        </w:rPr>
        <w:t>二、新城区开辟</w:t>
      </w:r>
    </w:p>
    <w:p w14:paraId="13CC0C33">
      <w:pPr>
        <w:ind w:firstLine="420"/>
        <w:rPr>
          <w:rFonts w:ascii="宋体" w:hAnsi="宋体"/>
          <w:szCs w:val="21"/>
        </w:rPr>
      </w:pPr>
      <w:r>
        <w:rPr>
          <w:rFonts w:hint="eastAsia" w:ascii="宋体" w:hAnsi="宋体"/>
          <w:szCs w:val="21"/>
        </w:rPr>
        <w:t>新城坐落在浈江南面，与老城区隔河相望。</w:t>
      </w:r>
      <w:r>
        <w:rPr>
          <w:rFonts w:ascii="宋体" w:hAnsi="宋体"/>
          <w:szCs w:val="21"/>
        </w:rPr>
        <w:t>1985年县政府根据县城总体规划和</w:t>
      </w:r>
      <w:r>
        <w:rPr>
          <w:rFonts w:hint="eastAsia" w:ascii="宋体" w:hAnsi="宋体"/>
          <w:szCs w:val="21"/>
        </w:rPr>
        <w:t>城市发展的要求，决定在水南开发新城区。新城规划用地面积</w:t>
      </w:r>
      <w:r>
        <w:rPr>
          <w:rFonts w:ascii="宋体" w:hAnsi="宋体"/>
          <w:szCs w:val="21"/>
        </w:rPr>
        <w:t>1平方公里。1984年6</w:t>
      </w:r>
      <w:r>
        <w:rPr>
          <w:rFonts w:hint="eastAsia" w:ascii="宋体" w:hAnsi="宋体"/>
          <w:szCs w:val="21"/>
        </w:rPr>
        <w:t>月动工，至</w:t>
      </w:r>
      <w:r>
        <w:rPr>
          <w:rFonts w:ascii="宋体" w:hAnsi="宋体"/>
          <w:szCs w:val="21"/>
        </w:rPr>
        <w:t>2005年11月止，新城区面积达1.34平方公里，建成的街道有：浈江路</w:t>
      </w:r>
      <w:r>
        <w:rPr>
          <w:rFonts w:hint="eastAsia" w:ascii="宋体" w:hAnsi="宋体"/>
          <w:szCs w:val="21"/>
        </w:rPr>
        <w:t>、林荫东西路、沿江东西路、教育路、竹园路、乐园路、雄中路、仙人巷、市场路、中街，及水南新村的水南路、水南大道、新村大道、枣园路、新运路、麦岭路、沿湖路、环村路等。</w:t>
      </w:r>
    </w:p>
    <w:p w14:paraId="77FE7950">
      <w:pPr>
        <w:ind w:firstLine="420"/>
        <w:rPr>
          <w:rFonts w:ascii="宋体" w:hAnsi="宋体"/>
          <w:szCs w:val="21"/>
        </w:rPr>
      </w:pPr>
      <w:r>
        <w:rPr>
          <w:rFonts w:hint="eastAsia" w:ascii="宋体" w:hAnsi="宋体"/>
          <w:szCs w:val="21"/>
        </w:rPr>
        <w:t>金叶花园小区，位于新城区教育南路东侧，占地面积约</w:t>
      </w:r>
      <w:r>
        <w:rPr>
          <w:rFonts w:ascii="宋体" w:hAnsi="宋体"/>
          <w:szCs w:val="21"/>
        </w:rPr>
        <w:t>7000平方米，于2002年</w:t>
      </w:r>
      <w:r>
        <w:rPr>
          <w:rFonts w:hint="eastAsia" w:ascii="宋体" w:hAnsi="宋体"/>
          <w:szCs w:val="21"/>
        </w:rPr>
        <w:t>建成。建筑面积</w:t>
      </w:r>
      <w:r>
        <w:rPr>
          <w:rFonts w:ascii="宋体" w:hAnsi="宋体"/>
          <w:szCs w:val="21"/>
        </w:rPr>
        <w:t>24000平方米，均为3层～7层住宅楼。区内道路、绿化、游泳池</w:t>
      </w:r>
      <w:r>
        <w:rPr>
          <w:rFonts w:hint="eastAsia" w:ascii="宋体" w:hAnsi="宋体"/>
          <w:szCs w:val="21"/>
        </w:rPr>
        <w:t>、网球场、休闲区等建设较为完备。</w:t>
      </w:r>
    </w:p>
    <w:p w14:paraId="710F0053">
      <w:pPr>
        <w:pStyle w:val="5"/>
        <w:rPr>
          <w:rFonts w:ascii="宋体" w:hAnsi="宋体"/>
        </w:rPr>
      </w:pPr>
      <w:r>
        <w:rPr>
          <w:rFonts w:hint="eastAsia" w:ascii="宋体" w:hAnsi="宋体"/>
        </w:rPr>
        <w:t>三、水电设施</w:t>
      </w:r>
    </w:p>
    <w:p w14:paraId="4B30F0A6">
      <w:pPr>
        <w:ind w:firstLine="422"/>
        <w:rPr>
          <w:rFonts w:ascii="宋体" w:hAnsi="宋体"/>
          <w:b/>
          <w:szCs w:val="21"/>
        </w:rPr>
      </w:pPr>
      <w:r>
        <w:rPr>
          <w:rFonts w:hint="eastAsia" w:ascii="宋体" w:hAnsi="宋体"/>
          <w:b/>
          <w:szCs w:val="21"/>
        </w:rPr>
        <w:t>（一）供水设施</w:t>
      </w:r>
    </w:p>
    <w:p w14:paraId="3CD4207C">
      <w:pPr>
        <w:ind w:firstLine="420"/>
        <w:rPr>
          <w:rFonts w:ascii="宋体" w:hAnsi="宋体"/>
          <w:szCs w:val="21"/>
        </w:rPr>
      </w:pPr>
      <w:r>
        <w:rPr>
          <w:rFonts w:ascii="宋体" w:hAnsi="宋体"/>
          <w:szCs w:val="21"/>
        </w:rPr>
        <w:t>1969年以前，南雄县城无供水设施。1969年6月，县政府投资兴建南雄自来水</w:t>
      </w:r>
      <w:r>
        <w:rPr>
          <w:rFonts w:hint="eastAsia" w:ascii="宋体" w:hAnsi="宋体"/>
          <w:szCs w:val="21"/>
        </w:rPr>
        <w:t>厂，储水量为</w:t>
      </w:r>
      <w:r>
        <w:rPr>
          <w:rFonts w:ascii="宋体" w:hAnsi="宋体"/>
          <w:szCs w:val="21"/>
        </w:rPr>
        <w:t>560立方米，日供水量2000立方米，140个机关单位和65户居民装上</w:t>
      </w:r>
      <w:r>
        <w:rPr>
          <w:rFonts w:hint="eastAsia" w:ascii="宋体" w:hAnsi="宋体"/>
          <w:szCs w:val="21"/>
        </w:rPr>
        <w:t>自来水，并安装了</w:t>
      </w:r>
      <w:r>
        <w:rPr>
          <w:rFonts w:ascii="宋体" w:hAnsi="宋体"/>
          <w:szCs w:val="21"/>
        </w:rPr>
        <w:t>10个供水站。1980年9月集资100万元，扩建自来水厂，日供水</w:t>
      </w:r>
      <w:r>
        <w:rPr>
          <w:rFonts w:hint="eastAsia" w:ascii="宋体" w:hAnsi="宋体"/>
          <w:szCs w:val="21"/>
        </w:rPr>
        <w:t>量达到</w:t>
      </w:r>
      <w:r>
        <w:rPr>
          <w:rFonts w:ascii="宋体" w:hAnsi="宋体"/>
          <w:szCs w:val="21"/>
        </w:rPr>
        <w:t>5000立方米。1981年11月，再集资63万元，在城区铺设供水管道。至1982</w:t>
      </w:r>
      <w:r>
        <w:rPr>
          <w:rFonts w:hint="eastAsia" w:ascii="宋体" w:hAnsi="宋体"/>
          <w:szCs w:val="21"/>
        </w:rPr>
        <w:t>年</w:t>
      </w:r>
      <w:r>
        <w:rPr>
          <w:rFonts w:ascii="宋体" w:hAnsi="宋体"/>
          <w:szCs w:val="21"/>
        </w:rPr>
        <w:t>11月，县城74条街巷共7500户37100人用上自来水。1986年自来水厂日供水量</w:t>
      </w:r>
      <w:r>
        <w:rPr>
          <w:rFonts w:hint="eastAsia" w:ascii="宋体" w:hAnsi="宋体"/>
          <w:szCs w:val="21"/>
        </w:rPr>
        <w:t>达</w:t>
      </w:r>
      <w:r>
        <w:rPr>
          <w:rFonts w:ascii="宋体" w:hAnsi="宋体"/>
          <w:szCs w:val="21"/>
        </w:rPr>
        <w:t>7000立方米。1986年7月，在水南新城区新建一间引用瀑布水库水，日供水量为2万立方米的自来水厂。1992年县政府投资900万元全部完成了城区食用水改建工</w:t>
      </w:r>
      <w:r>
        <w:rPr>
          <w:rFonts w:hint="eastAsia" w:ascii="宋体" w:hAnsi="宋体"/>
          <w:szCs w:val="21"/>
        </w:rPr>
        <w:t>程。市区用水供水网</w:t>
      </w:r>
      <w:r>
        <w:rPr>
          <w:rFonts w:ascii="宋体" w:hAnsi="宋体"/>
          <w:szCs w:val="21"/>
        </w:rPr>
        <w:t>D25～D800管道35公里，供水范围东至三岔路口，西至古市中</w:t>
      </w:r>
      <w:r>
        <w:rPr>
          <w:rFonts w:hint="eastAsia" w:ascii="宋体" w:hAnsi="宋体"/>
          <w:szCs w:val="21"/>
        </w:rPr>
        <w:t>学（原县农校），以及黎口、莲塘等村，共</w:t>
      </w:r>
      <w:r>
        <w:rPr>
          <w:rFonts w:ascii="宋体" w:hAnsi="宋体"/>
          <w:szCs w:val="21"/>
        </w:rPr>
        <w:t>12平方公里，年供水550万立方米。</w:t>
      </w:r>
    </w:p>
    <w:p w14:paraId="28BD8780">
      <w:pPr>
        <w:ind w:firstLine="420"/>
        <w:rPr>
          <w:rFonts w:ascii="宋体" w:hAnsi="宋体"/>
          <w:szCs w:val="21"/>
        </w:rPr>
      </w:pPr>
      <w:r>
        <w:rPr>
          <w:rFonts w:ascii="宋体" w:hAnsi="宋体"/>
          <w:szCs w:val="21"/>
        </w:rPr>
        <w:t>2002年12月，自来水公司产权转让给香港星翔（国际）投资有限公司，转让资</w:t>
      </w:r>
      <w:r>
        <w:rPr>
          <w:rFonts w:hint="eastAsia" w:ascii="宋体" w:hAnsi="宋体"/>
          <w:szCs w:val="21"/>
        </w:rPr>
        <w:t>金为人民币</w:t>
      </w:r>
      <w:r>
        <w:rPr>
          <w:rFonts w:ascii="宋体" w:hAnsi="宋体"/>
          <w:szCs w:val="21"/>
        </w:rPr>
        <w:t>1000万元，经营期限为45年</w:t>
      </w:r>
      <w:r>
        <w:rPr>
          <w:rFonts w:hint="eastAsia" w:ascii="宋体" w:hAnsi="宋体"/>
          <w:szCs w:val="21"/>
        </w:rPr>
        <w:t>。</w:t>
      </w:r>
    </w:p>
    <w:p w14:paraId="40DAAA48">
      <w:pPr>
        <w:ind w:firstLine="422"/>
        <w:rPr>
          <w:rFonts w:ascii="宋体" w:hAnsi="宋体"/>
          <w:b/>
          <w:szCs w:val="21"/>
        </w:rPr>
      </w:pPr>
      <w:r>
        <w:rPr>
          <w:rFonts w:hint="eastAsia" w:ascii="宋体" w:hAnsi="宋体"/>
          <w:b/>
          <w:szCs w:val="21"/>
        </w:rPr>
        <w:t>（二）排水设施</w:t>
      </w:r>
    </w:p>
    <w:p w14:paraId="0E0BB648">
      <w:pPr>
        <w:ind w:firstLine="420"/>
        <w:rPr>
          <w:rFonts w:ascii="宋体" w:hAnsi="宋体"/>
          <w:szCs w:val="21"/>
        </w:rPr>
      </w:pPr>
      <w:r>
        <w:rPr>
          <w:rFonts w:hint="eastAsia" w:ascii="宋体" w:hAnsi="宋体"/>
          <w:szCs w:val="21"/>
        </w:rPr>
        <w:t>浈江河南北两岸共铺设</w:t>
      </w:r>
      <w:r>
        <w:rPr>
          <w:rFonts w:ascii="宋体" w:hAnsi="宋体"/>
          <w:szCs w:val="21"/>
        </w:rPr>
        <w:t>7条下水道：</w:t>
      </w:r>
    </w:p>
    <w:p w14:paraId="1F45F6E2">
      <w:pPr>
        <w:ind w:firstLine="420"/>
        <w:rPr>
          <w:rFonts w:ascii="宋体" w:hAnsi="宋体"/>
          <w:szCs w:val="21"/>
        </w:rPr>
      </w:pPr>
      <w:r>
        <w:rPr>
          <w:rFonts w:hint="eastAsia" w:ascii="宋体" w:hAnsi="宋体"/>
          <w:szCs w:val="21"/>
        </w:rPr>
        <w:t>青云东西路，铺设直径</w:t>
      </w:r>
      <w:r>
        <w:rPr>
          <w:rFonts w:ascii="宋体" w:hAnsi="宋体"/>
          <w:szCs w:val="21"/>
        </w:rPr>
        <w:t>600毫米～800毫米钢筋砼管，实行雨污水分流排入浈</w:t>
      </w:r>
      <w:r>
        <w:rPr>
          <w:rFonts w:hint="eastAsia" w:ascii="宋体" w:hAnsi="宋体"/>
          <w:szCs w:val="21"/>
        </w:rPr>
        <w:t>江，</w:t>
      </w:r>
      <w:r>
        <w:rPr>
          <w:rFonts w:ascii="宋体" w:hAnsi="宋体"/>
          <w:szCs w:val="21"/>
        </w:rPr>
        <w:t>2005年底已铺设2800米。</w:t>
      </w:r>
    </w:p>
    <w:p w14:paraId="11FB2577">
      <w:pPr>
        <w:ind w:firstLine="420"/>
        <w:rPr>
          <w:rFonts w:ascii="宋体" w:hAnsi="宋体"/>
          <w:szCs w:val="21"/>
        </w:rPr>
      </w:pPr>
      <w:r>
        <w:rPr>
          <w:rFonts w:hint="eastAsia" w:ascii="宋体" w:hAnsi="宋体"/>
          <w:szCs w:val="21"/>
        </w:rPr>
        <w:t>教育路，用片石砌拱涵，长度</w:t>
      </w:r>
      <w:r>
        <w:rPr>
          <w:rFonts w:ascii="宋体" w:hAnsi="宋体"/>
          <w:szCs w:val="21"/>
        </w:rPr>
        <w:t>427米，排入浈江</w:t>
      </w:r>
      <w:r>
        <w:rPr>
          <w:rFonts w:hint="eastAsia" w:ascii="宋体" w:hAnsi="宋体"/>
          <w:szCs w:val="21"/>
        </w:rPr>
        <w:t>。</w:t>
      </w:r>
    </w:p>
    <w:p w14:paraId="60C0BEB8">
      <w:pPr>
        <w:ind w:firstLine="420"/>
        <w:rPr>
          <w:rFonts w:ascii="宋体" w:hAnsi="宋体"/>
          <w:szCs w:val="21"/>
        </w:rPr>
      </w:pPr>
      <w:r>
        <w:rPr>
          <w:rFonts w:hint="eastAsia" w:ascii="宋体" w:hAnsi="宋体"/>
          <w:szCs w:val="21"/>
        </w:rPr>
        <w:t>沿江东西路，铺设直径</w:t>
      </w:r>
      <w:r>
        <w:rPr>
          <w:rFonts w:ascii="宋体" w:hAnsi="宋体"/>
          <w:szCs w:val="21"/>
        </w:rPr>
        <w:t>500毫米～800毫米钢筋砼涵管，全长2800米，排入浈</w:t>
      </w:r>
      <w:r>
        <w:rPr>
          <w:rFonts w:hint="eastAsia" w:ascii="宋体" w:hAnsi="宋体"/>
          <w:szCs w:val="21"/>
        </w:rPr>
        <w:t>江。</w:t>
      </w:r>
    </w:p>
    <w:p w14:paraId="3BFFF3D5">
      <w:pPr>
        <w:ind w:firstLine="420"/>
        <w:rPr>
          <w:rFonts w:ascii="宋体" w:hAnsi="宋体"/>
          <w:szCs w:val="21"/>
        </w:rPr>
      </w:pPr>
      <w:r>
        <w:rPr>
          <w:rFonts w:hint="eastAsia" w:ascii="宋体" w:hAnsi="宋体"/>
          <w:szCs w:val="21"/>
        </w:rPr>
        <w:t>大成街，铺设直径</w:t>
      </w:r>
      <w:r>
        <w:rPr>
          <w:rFonts w:ascii="宋体" w:hAnsi="宋体"/>
          <w:szCs w:val="21"/>
        </w:rPr>
        <w:t>800毫米钢筋砼涵管，长306米，排入浈江</w:t>
      </w:r>
      <w:r>
        <w:rPr>
          <w:rFonts w:hint="eastAsia" w:ascii="宋体" w:hAnsi="宋体"/>
          <w:szCs w:val="21"/>
        </w:rPr>
        <w:t>。</w:t>
      </w:r>
    </w:p>
    <w:p w14:paraId="0DF9D8E0">
      <w:pPr>
        <w:ind w:firstLine="420"/>
        <w:rPr>
          <w:rFonts w:ascii="宋体" w:hAnsi="宋体"/>
          <w:szCs w:val="21"/>
        </w:rPr>
      </w:pPr>
      <w:r>
        <w:rPr>
          <w:rFonts w:hint="eastAsia" w:ascii="宋体" w:hAnsi="宋体"/>
          <w:szCs w:val="21"/>
        </w:rPr>
        <w:t>永康路，铺设直径</w:t>
      </w:r>
      <w:r>
        <w:rPr>
          <w:rFonts w:ascii="宋体" w:hAnsi="宋体"/>
          <w:szCs w:val="21"/>
        </w:rPr>
        <w:t>600毫米钢筋砼涵管，长345米，排</w:t>
      </w:r>
      <w:r>
        <w:rPr>
          <w:rFonts w:hint="eastAsia" w:ascii="宋体" w:hAnsi="宋体"/>
          <w:szCs w:val="21"/>
        </w:rPr>
        <w:t>入</w:t>
      </w:r>
      <w:r>
        <w:rPr>
          <w:rFonts w:ascii="宋体" w:hAnsi="宋体"/>
          <w:szCs w:val="21"/>
        </w:rPr>
        <w:t>浈江。</w:t>
      </w:r>
    </w:p>
    <w:p w14:paraId="2E4038B8">
      <w:pPr>
        <w:ind w:firstLine="420"/>
        <w:rPr>
          <w:rFonts w:ascii="宋体" w:hAnsi="宋体"/>
          <w:szCs w:val="21"/>
        </w:rPr>
      </w:pPr>
      <w:r>
        <w:rPr>
          <w:rFonts w:hint="eastAsia" w:ascii="宋体" w:hAnsi="宋体"/>
          <w:szCs w:val="21"/>
        </w:rPr>
        <w:t>维新路，铺设直径</w:t>
      </w:r>
      <w:r>
        <w:rPr>
          <w:rFonts w:ascii="宋体" w:hAnsi="宋体"/>
          <w:szCs w:val="21"/>
        </w:rPr>
        <w:t>800毫米钢筋砼涵管，长290米，排入浈江。</w:t>
      </w:r>
    </w:p>
    <w:p w14:paraId="34CB5D1C">
      <w:pPr>
        <w:ind w:firstLine="420"/>
        <w:rPr>
          <w:rFonts w:ascii="宋体" w:hAnsi="宋体"/>
          <w:szCs w:val="21"/>
        </w:rPr>
      </w:pPr>
      <w:r>
        <w:rPr>
          <w:rFonts w:hint="eastAsia" w:ascii="宋体" w:hAnsi="宋体"/>
          <w:szCs w:val="21"/>
        </w:rPr>
        <w:t>三元里街，铺设直径6</w:t>
      </w:r>
      <w:r>
        <w:rPr>
          <w:rFonts w:ascii="宋体" w:hAnsi="宋体"/>
          <w:szCs w:val="21"/>
        </w:rPr>
        <w:t>00毫米钢筋砼涵管，长220米，接</w:t>
      </w:r>
      <w:r>
        <w:rPr>
          <w:rFonts w:hint="eastAsia" w:ascii="宋体" w:hAnsi="宋体"/>
          <w:szCs w:val="21"/>
        </w:rPr>
        <w:t>入</w:t>
      </w:r>
      <w:r>
        <w:rPr>
          <w:rFonts w:ascii="宋体" w:hAnsi="宋体"/>
          <w:szCs w:val="21"/>
        </w:rPr>
        <w:t>青云西路排水管，流</w:t>
      </w:r>
      <w:r>
        <w:rPr>
          <w:rFonts w:hint="eastAsia" w:ascii="宋体" w:hAnsi="宋体"/>
          <w:szCs w:val="21"/>
        </w:rPr>
        <w:t>入</w:t>
      </w:r>
      <w:r>
        <w:rPr>
          <w:rFonts w:ascii="宋体" w:hAnsi="宋体"/>
          <w:szCs w:val="21"/>
        </w:rPr>
        <w:t>浈</w:t>
      </w:r>
      <w:r>
        <w:rPr>
          <w:rFonts w:hint="eastAsia" w:ascii="宋体" w:hAnsi="宋体"/>
          <w:szCs w:val="21"/>
        </w:rPr>
        <w:t>江。</w:t>
      </w:r>
    </w:p>
    <w:p w14:paraId="353A35BD">
      <w:pPr>
        <w:ind w:firstLine="422"/>
        <w:rPr>
          <w:rFonts w:ascii="宋体" w:hAnsi="宋体"/>
          <w:b/>
          <w:szCs w:val="21"/>
        </w:rPr>
      </w:pPr>
      <w:r>
        <w:rPr>
          <w:rFonts w:hint="eastAsia" w:ascii="宋体" w:hAnsi="宋体"/>
          <w:b/>
          <w:szCs w:val="21"/>
        </w:rPr>
        <w:t>（三）路灯建设</w:t>
      </w:r>
    </w:p>
    <w:p w14:paraId="69BA373E">
      <w:pPr>
        <w:ind w:firstLine="420"/>
        <w:rPr>
          <w:rFonts w:ascii="宋体" w:hAnsi="宋体"/>
          <w:szCs w:val="21"/>
        </w:rPr>
      </w:pPr>
      <w:r>
        <w:rPr>
          <w:rFonts w:ascii="宋体" w:hAnsi="宋体"/>
          <w:szCs w:val="21"/>
        </w:rPr>
        <w:t>1990年至2003年共投入资金750多万元改造街巷路灯，详见表3-12：</w:t>
      </w:r>
    </w:p>
    <w:p w14:paraId="76B17008">
      <w:pPr>
        <w:ind w:firstLine="0" w:firstLineChars="0"/>
        <w:jc w:val="center"/>
        <w:rPr>
          <w:rFonts w:ascii="宋体" w:hAnsi="宋体"/>
          <w:b/>
          <w:szCs w:val="21"/>
        </w:rPr>
      </w:pPr>
      <w:r>
        <w:rPr>
          <w:rFonts w:hint="eastAsia" w:ascii="宋体" w:hAnsi="宋体"/>
          <w:b/>
          <w:szCs w:val="21"/>
        </w:rPr>
        <w:t>南雄市区路灯建设情况</w:t>
      </w:r>
    </w:p>
    <w:p w14:paraId="7240A68D">
      <w:pPr>
        <w:ind w:firstLine="0" w:firstLineChars="0"/>
        <w:rPr>
          <w:rFonts w:ascii="宋体" w:hAnsi="宋体"/>
          <w:b/>
          <w:szCs w:val="21"/>
        </w:rPr>
      </w:pPr>
      <w:r>
        <w:rPr>
          <w:rFonts w:hint="eastAsia" w:ascii="宋体" w:hAnsi="宋体"/>
          <w:b/>
          <w:szCs w:val="21"/>
        </w:rPr>
        <w:t>表</w:t>
      </w:r>
      <w:r>
        <w:rPr>
          <w:rFonts w:ascii="宋体" w:hAnsi="宋体"/>
          <w:b/>
          <w:szCs w:val="21"/>
        </w:rPr>
        <w:t>3-12</w:t>
      </w:r>
    </w:p>
    <w:p w14:paraId="4A63332E">
      <w:pPr>
        <w:ind w:firstLine="422"/>
        <w:jc w:val="right"/>
        <w:rPr>
          <w:rFonts w:ascii="宋体" w:hAnsi="宋体"/>
          <w:b/>
          <w:szCs w:val="21"/>
        </w:rPr>
      </w:pPr>
      <w:r>
        <w:rPr>
          <w:rFonts w:ascii="宋体" w:hAnsi="宋体"/>
          <w:b/>
          <w:szCs w:val="21"/>
        </w:rPr>
        <w:t>单位：万元</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8"/>
        <w:gridCol w:w="1136"/>
        <w:gridCol w:w="2977"/>
        <w:gridCol w:w="4891"/>
      </w:tblGrid>
      <w:tr w14:paraId="02DEB4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23CC9F88">
            <w:pPr>
              <w:pStyle w:val="12"/>
              <w:jc w:val="center"/>
              <w:rPr>
                <w:b/>
              </w:rPr>
            </w:pPr>
            <w:r>
              <w:rPr>
                <w:rFonts w:hint="eastAsia"/>
                <w:b/>
              </w:rPr>
              <w:t>年份</w:t>
            </w:r>
          </w:p>
        </w:tc>
        <w:tc>
          <w:tcPr>
            <w:tcW w:w="570" w:type="pct"/>
            <w:vAlign w:val="center"/>
          </w:tcPr>
          <w:p w14:paraId="17634B6E">
            <w:pPr>
              <w:pStyle w:val="12"/>
              <w:jc w:val="center"/>
              <w:rPr>
                <w:b/>
              </w:rPr>
            </w:pPr>
            <w:r>
              <w:rPr>
                <w:rFonts w:hint="eastAsia"/>
                <w:b/>
              </w:rPr>
              <w:t>投入资金</w:t>
            </w:r>
          </w:p>
        </w:tc>
        <w:tc>
          <w:tcPr>
            <w:tcW w:w="1494" w:type="pct"/>
            <w:vAlign w:val="center"/>
          </w:tcPr>
          <w:p w14:paraId="3205ED9E">
            <w:pPr>
              <w:pStyle w:val="12"/>
              <w:jc w:val="center"/>
              <w:rPr>
                <w:b/>
              </w:rPr>
            </w:pPr>
            <w:r>
              <w:rPr>
                <w:rFonts w:hint="eastAsia"/>
                <w:b/>
              </w:rPr>
              <w:t>建设（改造）地区</w:t>
            </w:r>
          </w:p>
        </w:tc>
        <w:tc>
          <w:tcPr>
            <w:tcW w:w="2455" w:type="pct"/>
            <w:vAlign w:val="center"/>
          </w:tcPr>
          <w:p w14:paraId="02A15B07">
            <w:pPr>
              <w:pStyle w:val="12"/>
              <w:jc w:val="center"/>
              <w:rPr>
                <w:b/>
              </w:rPr>
            </w:pPr>
            <w:r>
              <w:rPr>
                <w:rFonts w:hint="eastAsia"/>
                <w:b/>
              </w:rPr>
              <w:t>建设（改造）内容</w:t>
            </w:r>
          </w:p>
        </w:tc>
      </w:tr>
      <w:tr w14:paraId="7BAFB7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0D3F3598">
            <w:pPr>
              <w:pStyle w:val="12"/>
              <w:jc w:val="center"/>
            </w:pPr>
            <w:r>
              <w:rPr>
                <w:rFonts w:hint="eastAsia"/>
              </w:rPr>
              <w:t>1990</w:t>
            </w:r>
          </w:p>
        </w:tc>
        <w:tc>
          <w:tcPr>
            <w:tcW w:w="570" w:type="pct"/>
            <w:vAlign w:val="center"/>
          </w:tcPr>
          <w:p w14:paraId="39B2C925">
            <w:pPr>
              <w:pStyle w:val="12"/>
              <w:jc w:val="center"/>
            </w:pPr>
            <w:r>
              <w:rPr>
                <w:rFonts w:hint="eastAsia"/>
              </w:rPr>
              <w:t>8</w:t>
            </w:r>
          </w:p>
        </w:tc>
        <w:tc>
          <w:tcPr>
            <w:tcW w:w="1494" w:type="pct"/>
            <w:vAlign w:val="center"/>
          </w:tcPr>
          <w:p w14:paraId="5002B8A5">
            <w:pPr>
              <w:pStyle w:val="12"/>
              <w:jc w:val="left"/>
            </w:pPr>
            <w:r>
              <w:rPr>
                <w:rFonts w:hint="eastAsia"/>
              </w:rPr>
              <w:t>中山街、达德街、罗汉井等居民密集区</w:t>
            </w:r>
          </w:p>
        </w:tc>
        <w:tc>
          <w:tcPr>
            <w:tcW w:w="2455" w:type="pct"/>
            <w:vAlign w:val="center"/>
          </w:tcPr>
          <w:p w14:paraId="2AEF9A73">
            <w:pPr>
              <w:pStyle w:val="12"/>
              <w:jc w:val="left"/>
            </w:pPr>
            <w:r>
              <w:rPr>
                <w:rFonts w:hint="eastAsia"/>
              </w:rPr>
              <w:t>架设低压线路500米，新增路灯700多盏</w:t>
            </w:r>
          </w:p>
        </w:tc>
      </w:tr>
      <w:tr w14:paraId="5A5A26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566831EE">
            <w:pPr>
              <w:pStyle w:val="12"/>
              <w:jc w:val="center"/>
            </w:pPr>
            <w:r>
              <w:rPr>
                <w:rFonts w:hint="eastAsia"/>
              </w:rPr>
              <w:t>1992</w:t>
            </w:r>
          </w:p>
        </w:tc>
        <w:tc>
          <w:tcPr>
            <w:tcW w:w="570" w:type="pct"/>
            <w:vAlign w:val="center"/>
          </w:tcPr>
          <w:p w14:paraId="766723FF">
            <w:pPr>
              <w:pStyle w:val="12"/>
              <w:jc w:val="center"/>
            </w:pPr>
            <w:r>
              <w:rPr>
                <w:rFonts w:hint="eastAsia"/>
              </w:rPr>
              <w:t>20</w:t>
            </w:r>
          </w:p>
        </w:tc>
        <w:tc>
          <w:tcPr>
            <w:tcW w:w="1494" w:type="pct"/>
            <w:vAlign w:val="center"/>
          </w:tcPr>
          <w:p w14:paraId="66F91363">
            <w:pPr>
              <w:pStyle w:val="12"/>
              <w:jc w:val="left"/>
            </w:pPr>
            <w:r>
              <w:rPr>
                <w:rFonts w:hint="eastAsia"/>
              </w:rPr>
              <w:t>环城路、河南街、体育馆</w:t>
            </w:r>
          </w:p>
        </w:tc>
        <w:tc>
          <w:tcPr>
            <w:tcW w:w="2455" w:type="pct"/>
            <w:vAlign w:val="center"/>
          </w:tcPr>
          <w:p w14:paraId="498B863D">
            <w:pPr>
              <w:pStyle w:val="12"/>
              <w:jc w:val="left"/>
            </w:pPr>
            <w:r>
              <w:rPr>
                <w:rFonts w:hint="eastAsia"/>
              </w:rPr>
              <w:t>安装、更新路灯2070盏</w:t>
            </w:r>
          </w:p>
        </w:tc>
      </w:tr>
      <w:tr w14:paraId="64D713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2AF27155">
            <w:pPr>
              <w:pStyle w:val="12"/>
              <w:jc w:val="center"/>
            </w:pPr>
            <w:r>
              <w:rPr>
                <w:rFonts w:hint="eastAsia"/>
              </w:rPr>
              <w:t>1994</w:t>
            </w:r>
          </w:p>
        </w:tc>
        <w:tc>
          <w:tcPr>
            <w:tcW w:w="570" w:type="pct"/>
            <w:vAlign w:val="center"/>
          </w:tcPr>
          <w:p w14:paraId="7DF2C2DC">
            <w:pPr>
              <w:pStyle w:val="12"/>
              <w:jc w:val="center"/>
            </w:pPr>
            <w:r>
              <w:rPr>
                <w:rFonts w:hint="eastAsia"/>
              </w:rPr>
              <w:t>40</w:t>
            </w:r>
          </w:p>
        </w:tc>
        <w:tc>
          <w:tcPr>
            <w:tcW w:w="1494" w:type="pct"/>
            <w:vAlign w:val="center"/>
          </w:tcPr>
          <w:p w14:paraId="3C4AA0D1">
            <w:pPr>
              <w:pStyle w:val="12"/>
              <w:jc w:val="left"/>
            </w:pPr>
            <w:r>
              <w:rPr>
                <w:rFonts w:hint="eastAsia"/>
              </w:rPr>
              <w:t>大成街、汽车站广场</w:t>
            </w:r>
          </w:p>
        </w:tc>
        <w:tc>
          <w:tcPr>
            <w:tcW w:w="2455" w:type="pct"/>
            <w:vAlign w:val="center"/>
          </w:tcPr>
          <w:p w14:paraId="39A077AA">
            <w:pPr>
              <w:pStyle w:val="12"/>
              <w:jc w:val="left"/>
            </w:pPr>
            <w:r>
              <w:rPr>
                <w:rFonts w:hint="eastAsia"/>
              </w:rPr>
              <w:t>路灯改造，安装高架照明灯1座</w:t>
            </w:r>
          </w:p>
        </w:tc>
      </w:tr>
      <w:tr w14:paraId="229C03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310FE4D3">
            <w:pPr>
              <w:pStyle w:val="12"/>
              <w:jc w:val="center"/>
            </w:pPr>
            <w:r>
              <w:rPr>
                <w:rFonts w:hint="eastAsia"/>
              </w:rPr>
              <w:t>1995</w:t>
            </w:r>
          </w:p>
        </w:tc>
        <w:tc>
          <w:tcPr>
            <w:tcW w:w="570" w:type="pct"/>
            <w:vAlign w:val="center"/>
          </w:tcPr>
          <w:p w14:paraId="5786DA89">
            <w:pPr>
              <w:pStyle w:val="12"/>
              <w:jc w:val="center"/>
            </w:pPr>
            <w:r>
              <w:rPr>
                <w:rFonts w:hint="eastAsia"/>
              </w:rPr>
              <w:t>30</w:t>
            </w:r>
          </w:p>
        </w:tc>
        <w:tc>
          <w:tcPr>
            <w:tcW w:w="1494" w:type="pct"/>
            <w:vAlign w:val="center"/>
          </w:tcPr>
          <w:p w14:paraId="7415550B">
            <w:pPr>
              <w:pStyle w:val="12"/>
              <w:jc w:val="left"/>
            </w:pPr>
            <w:r>
              <w:rPr>
                <w:rFonts w:hint="eastAsia"/>
              </w:rPr>
              <w:t>北门街、新老城区</w:t>
            </w:r>
          </w:p>
        </w:tc>
        <w:tc>
          <w:tcPr>
            <w:tcW w:w="2455" w:type="pct"/>
            <w:vAlign w:val="center"/>
          </w:tcPr>
          <w:p w14:paraId="3A3AE7DE">
            <w:pPr>
              <w:pStyle w:val="12"/>
              <w:jc w:val="left"/>
            </w:pPr>
            <w:r>
              <w:rPr>
                <w:rFonts w:hint="eastAsia"/>
              </w:rPr>
              <w:t>改造路灯线路7600米，安装高架照明灯1座</w:t>
            </w:r>
          </w:p>
        </w:tc>
      </w:tr>
      <w:tr w14:paraId="2A64FA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632860D6">
            <w:pPr>
              <w:pStyle w:val="12"/>
              <w:jc w:val="center"/>
            </w:pPr>
            <w:r>
              <w:rPr>
                <w:rFonts w:hint="eastAsia"/>
              </w:rPr>
              <w:t>1996</w:t>
            </w:r>
          </w:p>
        </w:tc>
        <w:tc>
          <w:tcPr>
            <w:tcW w:w="570" w:type="pct"/>
            <w:vAlign w:val="center"/>
          </w:tcPr>
          <w:p w14:paraId="5288C774">
            <w:pPr>
              <w:pStyle w:val="12"/>
              <w:jc w:val="center"/>
            </w:pPr>
            <w:r>
              <w:rPr>
                <w:rFonts w:hint="eastAsia"/>
              </w:rPr>
              <w:t>70</w:t>
            </w:r>
          </w:p>
        </w:tc>
        <w:tc>
          <w:tcPr>
            <w:tcW w:w="1494" w:type="pct"/>
            <w:vAlign w:val="center"/>
          </w:tcPr>
          <w:p w14:paraId="0F895D74">
            <w:pPr>
              <w:pStyle w:val="12"/>
              <w:jc w:val="left"/>
            </w:pPr>
            <w:r>
              <w:rPr>
                <w:rFonts w:hint="eastAsia"/>
              </w:rPr>
              <w:t>G323线水南桥至三岔路口、沿江路</w:t>
            </w:r>
          </w:p>
        </w:tc>
        <w:tc>
          <w:tcPr>
            <w:tcW w:w="2455" w:type="pct"/>
            <w:vAlign w:val="center"/>
          </w:tcPr>
          <w:p w14:paraId="40B5327B">
            <w:pPr>
              <w:pStyle w:val="12"/>
              <w:jc w:val="left"/>
            </w:pPr>
            <w:r>
              <w:rPr>
                <w:rFonts w:hint="eastAsia"/>
              </w:rPr>
              <w:t>安装路灯</w:t>
            </w:r>
          </w:p>
        </w:tc>
      </w:tr>
      <w:tr w14:paraId="3F4166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0D11B7BF">
            <w:pPr>
              <w:pStyle w:val="12"/>
              <w:jc w:val="center"/>
            </w:pPr>
            <w:r>
              <w:rPr>
                <w:rFonts w:hint="eastAsia"/>
              </w:rPr>
              <w:t>1998</w:t>
            </w:r>
          </w:p>
        </w:tc>
        <w:tc>
          <w:tcPr>
            <w:tcW w:w="570" w:type="pct"/>
            <w:vAlign w:val="center"/>
          </w:tcPr>
          <w:p w14:paraId="2730847E">
            <w:pPr>
              <w:pStyle w:val="12"/>
              <w:jc w:val="center"/>
            </w:pPr>
            <w:r>
              <w:rPr>
                <w:rFonts w:hint="eastAsia"/>
              </w:rPr>
              <w:t>19.6</w:t>
            </w:r>
          </w:p>
        </w:tc>
        <w:tc>
          <w:tcPr>
            <w:tcW w:w="1494" w:type="pct"/>
            <w:vAlign w:val="center"/>
          </w:tcPr>
          <w:p w14:paraId="024B367F">
            <w:pPr>
              <w:pStyle w:val="12"/>
              <w:jc w:val="left"/>
            </w:pPr>
            <w:r>
              <w:rPr>
                <w:rFonts w:hint="eastAsia"/>
              </w:rPr>
              <w:t>市一中、青云桥、维新路、永康路、青云路、新城等路段</w:t>
            </w:r>
          </w:p>
        </w:tc>
        <w:tc>
          <w:tcPr>
            <w:tcW w:w="2455" w:type="pct"/>
            <w:vAlign w:val="center"/>
          </w:tcPr>
          <w:p w14:paraId="1EA1FC81">
            <w:pPr>
              <w:pStyle w:val="12"/>
              <w:jc w:val="left"/>
            </w:pPr>
            <w:r>
              <w:rPr>
                <w:rFonts w:hint="eastAsia"/>
              </w:rPr>
              <w:t>改造路灯线路6000米，新增250瓦~400瓦钠灯60盏，更换、完善路灯时控器和接触器</w:t>
            </w:r>
          </w:p>
        </w:tc>
      </w:tr>
      <w:tr w14:paraId="35E38E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5B68FD93">
            <w:pPr>
              <w:pStyle w:val="12"/>
              <w:jc w:val="center"/>
            </w:pPr>
            <w:r>
              <w:rPr>
                <w:rFonts w:hint="eastAsia"/>
              </w:rPr>
              <w:t>1999</w:t>
            </w:r>
          </w:p>
        </w:tc>
        <w:tc>
          <w:tcPr>
            <w:tcW w:w="570" w:type="pct"/>
            <w:vAlign w:val="center"/>
          </w:tcPr>
          <w:p w14:paraId="1DF09E1D">
            <w:pPr>
              <w:pStyle w:val="12"/>
              <w:jc w:val="center"/>
            </w:pPr>
            <w:r>
              <w:rPr>
                <w:rFonts w:hint="eastAsia"/>
              </w:rPr>
              <w:t>200</w:t>
            </w:r>
          </w:p>
        </w:tc>
        <w:tc>
          <w:tcPr>
            <w:tcW w:w="1494" w:type="pct"/>
            <w:vAlign w:val="center"/>
          </w:tcPr>
          <w:p w14:paraId="0C19BD1A">
            <w:pPr>
              <w:pStyle w:val="12"/>
              <w:jc w:val="left"/>
            </w:pPr>
            <w:r>
              <w:rPr>
                <w:rFonts w:hint="eastAsia"/>
              </w:rPr>
              <w:t>老城区、新城沿江路、河堤</w:t>
            </w:r>
          </w:p>
        </w:tc>
        <w:tc>
          <w:tcPr>
            <w:tcW w:w="2455" w:type="pct"/>
            <w:vAlign w:val="center"/>
          </w:tcPr>
          <w:p w14:paraId="4188FBEC">
            <w:pPr>
              <w:pStyle w:val="12"/>
              <w:jc w:val="left"/>
            </w:pPr>
            <w:r>
              <w:rPr>
                <w:rFonts w:hint="eastAsia"/>
              </w:rPr>
              <w:t>安装路灯179座共875盏，改造老城区路灯线路1500米</w:t>
            </w:r>
          </w:p>
        </w:tc>
      </w:tr>
      <w:tr w14:paraId="293D1A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1AE3153C">
            <w:pPr>
              <w:pStyle w:val="12"/>
              <w:jc w:val="center"/>
            </w:pPr>
            <w:r>
              <w:rPr>
                <w:rFonts w:hint="eastAsia"/>
              </w:rPr>
              <w:t>2000</w:t>
            </w:r>
          </w:p>
        </w:tc>
        <w:tc>
          <w:tcPr>
            <w:tcW w:w="570" w:type="pct"/>
            <w:vAlign w:val="center"/>
          </w:tcPr>
          <w:p w14:paraId="7AD63770">
            <w:pPr>
              <w:pStyle w:val="12"/>
              <w:jc w:val="center"/>
            </w:pPr>
            <w:r>
              <w:rPr>
                <w:rFonts w:hint="eastAsia"/>
              </w:rPr>
              <w:t>128</w:t>
            </w:r>
          </w:p>
        </w:tc>
        <w:tc>
          <w:tcPr>
            <w:tcW w:w="1494" w:type="pct"/>
            <w:vAlign w:val="center"/>
          </w:tcPr>
          <w:p w14:paraId="09823F64">
            <w:pPr>
              <w:pStyle w:val="12"/>
              <w:jc w:val="left"/>
            </w:pPr>
            <w:r>
              <w:rPr>
                <w:rFonts w:hint="eastAsia"/>
              </w:rPr>
              <w:t>G323线河南岭至古市中学、水南新村、灯光球场、部分小巷</w:t>
            </w:r>
          </w:p>
        </w:tc>
        <w:tc>
          <w:tcPr>
            <w:tcW w:w="2455" w:type="pct"/>
            <w:vAlign w:val="center"/>
          </w:tcPr>
          <w:p w14:paraId="13F54DA8">
            <w:pPr>
              <w:pStyle w:val="12"/>
              <w:jc w:val="left"/>
            </w:pPr>
            <w:r>
              <w:rPr>
                <w:rFonts w:hint="eastAsia"/>
              </w:rPr>
              <w:t>安装路灯158座，增加小巷路灯20盏，安装3台微电脑控制柜</w:t>
            </w:r>
          </w:p>
        </w:tc>
      </w:tr>
      <w:tr w14:paraId="620176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6CD07B97">
            <w:pPr>
              <w:pStyle w:val="12"/>
              <w:jc w:val="center"/>
            </w:pPr>
            <w:r>
              <w:rPr>
                <w:rFonts w:hint="eastAsia"/>
              </w:rPr>
              <w:t>2001</w:t>
            </w:r>
          </w:p>
        </w:tc>
        <w:tc>
          <w:tcPr>
            <w:tcW w:w="570" w:type="pct"/>
            <w:vAlign w:val="center"/>
          </w:tcPr>
          <w:p w14:paraId="3E63BC1B">
            <w:pPr>
              <w:pStyle w:val="12"/>
              <w:jc w:val="center"/>
            </w:pPr>
            <w:r>
              <w:rPr>
                <w:rFonts w:hint="eastAsia"/>
              </w:rPr>
              <w:t>25</w:t>
            </w:r>
          </w:p>
        </w:tc>
        <w:tc>
          <w:tcPr>
            <w:tcW w:w="1494" w:type="pct"/>
            <w:vAlign w:val="center"/>
          </w:tcPr>
          <w:p w14:paraId="254597CC">
            <w:pPr>
              <w:pStyle w:val="12"/>
              <w:jc w:val="left"/>
            </w:pPr>
            <w:r>
              <w:rPr>
                <w:rFonts w:hint="eastAsia"/>
              </w:rPr>
              <w:t>青云桥</w:t>
            </w:r>
          </w:p>
        </w:tc>
        <w:tc>
          <w:tcPr>
            <w:tcW w:w="2455" w:type="pct"/>
            <w:vAlign w:val="center"/>
          </w:tcPr>
          <w:p w14:paraId="79A80B8F">
            <w:pPr>
              <w:pStyle w:val="12"/>
              <w:jc w:val="left"/>
            </w:pPr>
            <w:r>
              <w:rPr>
                <w:rFonts w:hint="eastAsia"/>
              </w:rPr>
              <w:t>装设各类艺术灯386盏，安装“空中玫瑰”等高空探照灯6台</w:t>
            </w:r>
          </w:p>
        </w:tc>
      </w:tr>
      <w:tr w14:paraId="333B1C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0792853E">
            <w:pPr>
              <w:pStyle w:val="12"/>
              <w:jc w:val="center"/>
            </w:pPr>
            <w:r>
              <w:rPr>
                <w:rFonts w:hint="eastAsia"/>
              </w:rPr>
              <w:t>2002</w:t>
            </w:r>
          </w:p>
        </w:tc>
        <w:tc>
          <w:tcPr>
            <w:tcW w:w="570" w:type="pct"/>
            <w:vAlign w:val="center"/>
          </w:tcPr>
          <w:p w14:paraId="24D2C4D7">
            <w:pPr>
              <w:pStyle w:val="12"/>
              <w:jc w:val="center"/>
            </w:pPr>
            <w:r>
              <w:rPr>
                <w:rFonts w:hint="eastAsia"/>
              </w:rPr>
              <w:t>60</w:t>
            </w:r>
          </w:p>
        </w:tc>
        <w:tc>
          <w:tcPr>
            <w:tcW w:w="1494" w:type="pct"/>
            <w:vAlign w:val="center"/>
          </w:tcPr>
          <w:p w14:paraId="32BEC4B2">
            <w:pPr>
              <w:pStyle w:val="12"/>
              <w:jc w:val="left"/>
            </w:pPr>
            <w:r>
              <w:rPr>
                <w:rFonts w:hint="eastAsia"/>
              </w:rPr>
              <w:t>大成街、浈江路</w:t>
            </w:r>
          </w:p>
        </w:tc>
        <w:tc>
          <w:tcPr>
            <w:tcW w:w="2455" w:type="pct"/>
            <w:vAlign w:val="center"/>
          </w:tcPr>
          <w:p w14:paraId="1A5F6C8C">
            <w:pPr>
              <w:pStyle w:val="12"/>
              <w:jc w:val="left"/>
            </w:pPr>
            <w:r>
              <w:rPr>
                <w:rFonts w:hint="eastAsia"/>
              </w:rPr>
              <w:t>安装“中华之灯”、“奥运之光”等艺术路灯30盏</w:t>
            </w:r>
          </w:p>
        </w:tc>
      </w:tr>
      <w:tr w14:paraId="15B4DC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299724D1">
            <w:pPr>
              <w:pStyle w:val="12"/>
              <w:jc w:val="center"/>
            </w:pPr>
            <w:r>
              <w:rPr>
                <w:rFonts w:hint="eastAsia"/>
              </w:rPr>
              <w:t>2003</w:t>
            </w:r>
          </w:p>
        </w:tc>
        <w:tc>
          <w:tcPr>
            <w:tcW w:w="570" w:type="pct"/>
            <w:vAlign w:val="center"/>
          </w:tcPr>
          <w:p w14:paraId="335E63B6">
            <w:pPr>
              <w:pStyle w:val="12"/>
              <w:jc w:val="center"/>
            </w:pPr>
            <w:r>
              <w:rPr>
                <w:rFonts w:hint="eastAsia"/>
              </w:rPr>
              <w:t>150</w:t>
            </w:r>
          </w:p>
        </w:tc>
        <w:tc>
          <w:tcPr>
            <w:tcW w:w="1494" w:type="pct"/>
            <w:vAlign w:val="center"/>
          </w:tcPr>
          <w:p w14:paraId="23304EFA">
            <w:pPr>
              <w:pStyle w:val="12"/>
              <w:jc w:val="left"/>
            </w:pPr>
            <w:r>
              <w:rPr>
                <w:rFonts w:hint="eastAsia"/>
              </w:rPr>
              <w:t>青云路、沿江路、老城墙、水南新村、河南桥、三影塔广场</w:t>
            </w:r>
          </w:p>
        </w:tc>
        <w:tc>
          <w:tcPr>
            <w:tcW w:w="2455" w:type="pct"/>
            <w:vAlign w:val="center"/>
          </w:tcPr>
          <w:p w14:paraId="4E3F4673">
            <w:pPr>
              <w:pStyle w:val="12"/>
              <w:jc w:val="left"/>
            </w:pPr>
            <w:r>
              <w:rPr>
                <w:rFonts w:hint="eastAsia"/>
              </w:rPr>
              <w:t>安装路灯73座，装设艺术路灯72盏，改造原有路灯</w:t>
            </w:r>
          </w:p>
        </w:tc>
      </w:tr>
      <w:tr w14:paraId="47FB1DD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02B9069A">
            <w:pPr>
              <w:pStyle w:val="12"/>
              <w:jc w:val="center"/>
            </w:pPr>
            <w:r>
              <w:rPr>
                <w:rFonts w:hint="eastAsia"/>
              </w:rPr>
              <w:t>2004</w:t>
            </w:r>
          </w:p>
        </w:tc>
        <w:tc>
          <w:tcPr>
            <w:tcW w:w="570" w:type="pct"/>
            <w:vAlign w:val="center"/>
          </w:tcPr>
          <w:p w14:paraId="2D9733F9">
            <w:pPr>
              <w:pStyle w:val="12"/>
              <w:jc w:val="center"/>
            </w:pPr>
            <w:r>
              <w:rPr>
                <w:rFonts w:hint="eastAsia"/>
              </w:rPr>
              <w:t>13.5</w:t>
            </w:r>
          </w:p>
        </w:tc>
        <w:tc>
          <w:tcPr>
            <w:tcW w:w="1494" w:type="pct"/>
            <w:vAlign w:val="center"/>
          </w:tcPr>
          <w:p w14:paraId="448FBC74">
            <w:pPr>
              <w:pStyle w:val="12"/>
              <w:jc w:val="left"/>
            </w:pPr>
            <w:r>
              <w:rPr>
                <w:rFonts w:hint="eastAsia"/>
              </w:rPr>
              <w:t>朝阳东路、南路</w:t>
            </w:r>
          </w:p>
        </w:tc>
        <w:tc>
          <w:tcPr>
            <w:tcW w:w="2455" w:type="pct"/>
            <w:vAlign w:val="center"/>
          </w:tcPr>
          <w:p w14:paraId="497BF8AC">
            <w:pPr>
              <w:pStyle w:val="12"/>
              <w:jc w:val="left"/>
            </w:pPr>
            <w:r>
              <w:rPr>
                <w:rFonts w:hint="eastAsia"/>
              </w:rPr>
              <w:t>安装路灯39座</w:t>
            </w:r>
          </w:p>
        </w:tc>
      </w:tr>
    </w:tbl>
    <w:p w14:paraId="6C9E728A">
      <w:pPr>
        <w:pStyle w:val="5"/>
        <w:rPr>
          <w:rFonts w:ascii="宋体" w:hAnsi="宋体"/>
        </w:rPr>
      </w:pPr>
      <w:r>
        <w:rPr>
          <w:rFonts w:hint="eastAsia" w:ascii="宋体" w:hAnsi="宋体"/>
        </w:rPr>
        <w:t>四、环境绿化</w:t>
      </w:r>
    </w:p>
    <w:p w14:paraId="3680F7FE">
      <w:pPr>
        <w:ind w:firstLine="422"/>
        <w:rPr>
          <w:rFonts w:ascii="宋体" w:hAnsi="宋体"/>
          <w:b/>
          <w:szCs w:val="21"/>
        </w:rPr>
      </w:pPr>
      <w:r>
        <w:rPr>
          <w:rFonts w:hint="eastAsia" w:ascii="宋体" w:hAnsi="宋体"/>
          <w:b/>
          <w:szCs w:val="21"/>
        </w:rPr>
        <w:t>（一）环境卫生</w:t>
      </w:r>
    </w:p>
    <w:p w14:paraId="3C02CFCA">
      <w:pPr>
        <w:ind w:firstLine="420"/>
        <w:rPr>
          <w:rFonts w:ascii="宋体" w:hAnsi="宋体"/>
          <w:szCs w:val="21"/>
        </w:rPr>
      </w:pPr>
      <w:r>
        <w:rPr>
          <w:rFonts w:ascii="宋体" w:hAnsi="宋体"/>
          <w:szCs w:val="21"/>
        </w:rPr>
        <w:t>1987年，环卫所有干部职工88人，侧装式垃圾车2辆，洒水车1辆，铃木摩托</w:t>
      </w:r>
      <w:r>
        <w:rPr>
          <w:rFonts w:hint="eastAsia" w:ascii="宋体" w:hAnsi="宋体"/>
          <w:szCs w:val="21"/>
        </w:rPr>
        <w:t>车</w:t>
      </w:r>
      <w:r>
        <w:rPr>
          <w:rFonts w:ascii="宋体" w:hAnsi="宋体"/>
          <w:szCs w:val="21"/>
        </w:rPr>
        <w:t>1辆，双轮手推车15部，主要负责老城主次道路面积8万多平方米和81条小街小</w:t>
      </w:r>
      <w:r>
        <w:rPr>
          <w:rFonts w:hint="eastAsia" w:ascii="宋体" w:hAnsi="宋体"/>
          <w:szCs w:val="21"/>
        </w:rPr>
        <w:t>巷的垃圾清扫、收集运输、填埋工作，日处理垃圾</w:t>
      </w:r>
      <w:r>
        <w:rPr>
          <w:rFonts w:ascii="宋体" w:hAnsi="宋体"/>
          <w:szCs w:val="21"/>
        </w:rPr>
        <w:t>1</w:t>
      </w:r>
      <w:r>
        <w:rPr>
          <w:rFonts w:hint="eastAsia" w:ascii="宋体" w:hAnsi="宋体"/>
          <w:szCs w:val="21"/>
        </w:rPr>
        <w:t>1</w:t>
      </w:r>
      <w:r>
        <w:rPr>
          <w:rFonts w:ascii="宋体" w:hAnsi="宋体"/>
          <w:szCs w:val="21"/>
        </w:rPr>
        <w:t>吨</w:t>
      </w:r>
      <w:r>
        <w:rPr>
          <w:rFonts w:hint="eastAsia" w:ascii="宋体" w:hAnsi="宋体"/>
          <w:szCs w:val="21"/>
        </w:rPr>
        <w:t>。</w:t>
      </w:r>
    </w:p>
    <w:p w14:paraId="475DDF3B">
      <w:pPr>
        <w:ind w:firstLine="420"/>
        <w:rPr>
          <w:rFonts w:ascii="宋体" w:hAnsi="宋体"/>
          <w:szCs w:val="21"/>
        </w:rPr>
      </w:pPr>
      <w:r>
        <w:rPr>
          <w:rFonts w:ascii="宋体" w:hAnsi="宋体"/>
          <w:szCs w:val="21"/>
        </w:rPr>
        <w:t>2005年11月，环卫所干部职工增至208人，备有侧装式垃圾车3辆，翻斗式垃</w:t>
      </w:r>
      <w:r>
        <w:rPr>
          <w:rFonts w:hint="eastAsia" w:ascii="宋体" w:hAnsi="宋体"/>
          <w:szCs w:val="21"/>
        </w:rPr>
        <w:t>圾车</w:t>
      </w:r>
      <w:r>
        <w:rPr>
          <w:rFonts w:ascii="宋体" w:hAnsi="宋体"/>
          <w:szCs w:val="21"/>
        </w:rPr>
        <w:t>2辆，洒水车1辆，20型铲车1辆，面包车1辆，轻型小客车1辆，双轮人力车53部，负责老城区和新城区大街小巷、国道323线三岔路口至河南变电站路段、省</w:t>
      </w:r>
      <w:r>
        <w:rPr>
          <w:rFonts w:hint="eastAsia" w:ascii="宋体" w:hAnsi="宋体"/>
          <w:szCs w:val="21"/>
        </w:rPr>
        <w:t>道</w:t>
      </w:r>
      <w:r>
        <w:rPr>
          <w:rFonts w:ascii="宋体" w:hAnsi="宋体"/>
          <w:szCs w:val="21"/>
        </w:rPr>
        <w:t>342线车站恐龙花坛至校场桥路段以及陵园路共71.2649万平方米面积的地面垃圾</w:t>
      </w:r>
      <w:r>
        <w:rPr>
          <w:rFonts w:hint="eastAsia" w:ascii="宋体" w:hAnsi="宋体"/>
          <w:szCs w:val="21"/>
        </w:rPr>
        <w:t>收集、运输、填埋处理工作，日处理垃圾</w:t>
      </w:r>
      <w:r>
        <w:rPr>
          <w:rFonts w:ascii="宋体" w:hAnsi="宋体"/>
          <w:szCs w:val="21"/>
        </w:rPr>
        <w:t>86吨。全天21小时对城区地面进行清扫保</w:t>
      </w:r>
      <w:r>
        <w:rPr>
          <w:rFonts w:hint="eastAsia" w:ascii="宋体" w:hAnsi="宋体"/>
          <w:szCs w:val="21"/>
        </w:rPr>
        <w:t>洁，保洁时间从每日早上</w:t>
      </w:r>
      <w:r>
        <w:rPr>
          <w:rFonts w:ascii="宋体" w:hAnsi="宋体"/>
          <w:szCs w:val="21"/>
        </w:rPr>
        <w:t>5时30分至第二日凌晨2时30分，由保洁员按时定点将收</w:t>
      </w:r>
      <w:r>
        <w:rPr>
          <w:rFonts w:hint="eastAsia" w:ascii="宋体" w:hAnsi="宋体"/>
          <w:szCs w:val="21"/>
        </w:rPr>
        <w:t>集到的垃圾用双轮人力车推到林荫西路和环城西路</w:t>
      </w:r>
      <w:r>
        <w:rPr>
          <w:rFonts w:ascii="宋体" w:hAnsi="宋体"/>
          <w:szCs w:val="21"/>
        </w:rPr>
        <w:t>2个垃圾中转站，由环卫车辆转运</w:t>
      </w:r>
      <w:r>
        <w:rPr>
          <w:rFonts w:hint="eastAsia" w:ascii="宋体" w:hAnsi="宋体"/>
          <w:szCs w:val="21"/>
        </w:rPr>
        <w:t>到全安风雨亭垃圾场进行填埋处理。</w:t>
      </w:r>
    </w:p>
    <w:p w14:paraId="79E3BB1C">
      <w:pPr>
        <w:ind w:firstLine="420"/>
        <w:rPr>
          <w:rFonts w:ascii="宋体" w:hAnsi="宋体"/>
          <w:szCs w:val="21"/>
        </w:rPr>
      </w:pPr>
      <w:r>
        <w:rPr>
          <w:rFonts w:ascii="宋体" w:hAnsi="宋体"/>
          <w:szCs w:val="21"/>
        </w:rPr>
        <w:t>1987年以来，在城区曾设置垃圾桶660只，1997年撤除，仅在国道323线和省</w:t>
      </w:r>
      <w:r>
        <w:rPr>
          <w:rFonts w:hint="eastAsia" w:ascii="宋体" w:hAnsi="宋体"/>
          <w:szCs w:val="21"/>
        </w:rPr>
        <w:t>道</w:t>
      </w:r>
      <w:r>
        <w:rPr>
          <w:rFonts w:ascii="宋体" w:hAnsi="宋体"/>
          <w:szCs w:val="21"/>
        </w:rPr>
        <w:t>342线道路外侧保留了195只垃圾桶。垃圾中转站有二：一在新城林荫西路，面积467平方米；一在省道342线环城西路，面积227平方米。</w:t>
      </w:r>
    </w:p>
    <w:p w14:paraId="51AA1671">
      <w:pPr>
        <w:ind w:firstLine="420"/>
        <w:rPr>
          <w:rFonts w:ascii="宋体" w:hAnsi="宋体"/>
          <w:szCs w:val="21"/>
        </w:rPr>
      </w:pPr>
      <w:r>
        <w:rPr>
          <w:rFonts w:hint="eastAsia" w:ascii="宋体" w:hAnsi="宋体"/>
          <w:szCs w:val="21"/>
        </w:rPr>
        <w:t>市区公共厕所</w:t>
      </w:r>
      <w:r>
        <w:rPr>
          <w:rFonts w:ascii="宋体" w:hAnsi="宋体"/>
          <w:szCs w:val="21"/>
        </w:rPr>
        <w:t>10所，坐落在光明市场、八一街、宾阳路、大成街、中山街、洪</w:t>
      </w:r>
      <w:r>
        <w:rPr>
          <w:rFonts w:hint="eastAsia" w:ascii="宋体" w:hAnsi="宋体"/>
          <w:szCs w:val="21"/>
        </w:rPr>
        <w:t>山寺、繁荣市场、环城西路、新城市场、林荫西路，多为三类三格。</w:t>
      </w:r>
    </w:p>
    <w:p w14:paraId="6914A403">
      <w:pPr>
        <w:ind w:firstLine="422"/>
        <w:rPr>
          <w:rFonts w:ascii="宋体" w:hAnsi="宋体"/>
          <w:b/>
          <w:szCs w:val="21"/>
        </w:rPr>
      </w:pPr>
      <w:r>
        <w:rPr>
          <w:rFonts w:hint="eastAsia" w:ascii="宋体" w:hAnsi="宋体"/>
          <w:b/>
          <w:szCs w:val="21"/>
        </w:rPr>
        <w:t>（二）绿化美化</w:t>
      </w:r>
    </w:p>
    <w:p w14:paraId="6573A148">
      <w:pPr>
        <w:ind w:firstLine="420"/>
        <w:rPr>
          <w:rFonts w:ascii="宋体" w:hAnsi="宋体"/>
          <w:szCs w:val="21"/>
        </w:rPr>
      </w:pPr>
      <w:r>
        <w:rPr>
          <w:rFonts w:ascii="宋体" w:hAnsi="宋体"/>
          <w:szCs w:val="21"/>
        </w:rPr>
        <w:t>1987年至2005年，城市园林绿化经历了由简单植树种草的城市绿化到构园精美</w:t>
      </w:r>
      <w:r>
        <w:rPr>
          <w:rFonts w:hint="eastAsia" w:ascii="宋体" w:hAnsi="宋体"/>
          <w:szCs w:val="21"/>
        </w:rPr>
        <w:t>的城市美化。城市绿化覆盖面积由</w:t>
      </w:r>
      <w:r>
        <w:rPr>
          <w:rFonts w:ascii="宋体" w:hAnsi="宋体"/>
          <w:szCs w:val="21"/>
        </w:rPr>
        <w:t>1987年的14.63万平方米增至2005年的147.32</w:t>
      </w:r>
      <w:r>
        <w:rPr>
          <w:rFonts w:hint="eastAsia" w:ascii="宋体" w:hAnsi="宋体"/>
          <w:szCs w:val="21"/>
        </w:rPr>
        <w:t>万平方米，绿化覆盖率为</w:t>
      </w:r>
      <w:r>
        <w:rPr>
          <w:rFonts w:ascii="宋体" w:hAnsi="宋体"/>
          <w:szCs w:val="21"/>
        </w:rPr>
        <w:t>17.54%；绿化面积128.69万平方米，绿地率为15.32%；</w:t>
      </w:r>
      <w:r>
        <w:rPr>
          <w:rFonts w:hint="eastAsia" w:ascii="宋体" w:hAnsi="宋体"/>
          <w:szCs w:val="21"/>
        </w:rPr>
        <w:t>公共绿地面积</w:t>
      </w:r>
      <w:r>
        <w:rPr>
          <w:rFonts w:ascii="宋体" w:hAnsi="宋体"/>
          <w:szCs w:val="21"/>
        </w:rPr>
        <w:t>87.95万平方米，人均公共绿地面积8.8平方米。单位庭院和住宅小区</w:t>
      </w:r>
      <w:r>
        <w:rPr>
          <w:rFonts w:hint="eastAsia" w:ascii="宋体" w:hAnsi="宋体"/>
          <w:szCs w:val="21"/>
        </w:rPr>
        <w:t>的绿化有了较大的提高，建成园林式单位有：市政府大院、迎宾馆、人民医院留医部、南雄中学、市一中、地税局、民政局、气象局、建设村、金叶花园、电力苑。</w:t>
      </w:r>
    </w:p>
    <w:p w14:paraId="161ED6BA">
      <w:pPr>
        <w:ind w:firstLine="420"/>
        <w:rPr>
          <w:rFonts w:ascii="宋体" w:hAnsi="宋体"/>
          <w:szCs w:val="21"/>
        </w:rPr>
      </w:pPr>
      <w:r>
        <w:rPr>
          <w:rFonts w:hint="eastAsia" w:ascii="宋体" w:hAnsi="宋体"/>
          <w:szCs w:val="21"/>
        </w:rPr>
        <w:t>城区古树名木有：古榕、古柏、木棉、白玉兰、银杏、杨桃等，均已挂牌保护。</w:t>
      </w:r>
    </w:p>
    <w:p w14:paraId="6F9A030A">
      <w:pPr>
        <w:ind w:firstLine="420"/>
        <w:rPr>
          <w:rFonts w:ascii="宋体" w:hAnsi="宋体"/>
          <w:szCs w:val="21"/>
        </w:rPr>
      </w:pPr>
      <w:r>
        <w:rPr>
          <w:rFonts w:hint="eastAsia" w:ascii="宋体" w:hAnsi="宋体"/>
          <w:szCs w:val="21"/>
        </w:rPr>
        <w:t>市区公园有三：一为雄州森林公园，面积</w:t>
      </w:r>
      <w:r>
        <w:rPr>
          <w:rFonts w:ascii="宋体" w:hAnsi="宋体"/>
          <w:szCs w:val="21"/>
        </w:rPr>
        <w:t>83.2万平方米；二为沿江西路河滨公</w:t>
      </w:r>
      <w:r>
        <w:rPr>
          <w:rFonts w:hint="eastAsia" w:ascii="宋体" w:hAnsi="宋体"/>
          <w:szCs w:val="21"/>
        </w:rPr>
        <w:t>园，面积</w:t>
      </w:r>
      <w:r>
        <w:rPr>
          <w:rFonts w:ascii="宋体" w:hAnsi="宋体"/>
          <w:szCs w:val="21"/>
        </w:rPr>
        <w:t>2.33万平方米；三为青云东西路河滨公园，面积2.2万平方米。另开辟水</w:t>
      </w:r>
      <w:r>
        <w:rPr>
          <w:rFonts w:hint="eastAsia" w:ascii="宋体" w:hAnsi="宋体"/>
          <w:szCs w:val="21"/>
        </w:rPr>
        <w:t>南园林苗圃基地</w:t>
      </w:r>
      <w:r>
        <w:rPr>
          <w:rFonts w:ascii="宋体" w:hAnsi="宋体"/>
          <w:szCs w:val="21"/>
        </w:rPr>
        <w:t>1.14万平方米。新建、改建沿江路、浈江路、教育路、黎灿小学路</w:t>
      </w:r>
      <w:r>
        <w:rPr>
          <w:rFonts w:hint="eastAsia" w:ascii="宋体" w:hAnsi="宋体"/>
          <w:szCs w:val="21"/>
        </w:rPr>
        <w:t>段的绿化带，沿江西路银杏长廊上千米，种植银杏树</w:t>
      </w:r>
      <w:r>
        <w:rPr>
          <w:rFonts w:ascii="宋体" w:hAnsi="宋体"/>
          <w:szCs w:val="21"/>
        </w:rPr>
        <w:t>50多株。</w:t>
      </w:r>
    </w:p>
    <w:p w14:paraId="1DAD003B">
      <w:pPr>
        <w:pStyle w:val="5"/>
        <w:rPr>
          <w:rFonts w:ascii="宋体" w:hAnsi="宋体"/>
        </w:rPr>
      </w:pPr>
      <w:r>
        <w:rPr>
          <w:rFonts w:hint="eastAsia" w:ascii="宋体" w:hAnsi="宋体"/>
        </w:rPr>
        <w:t>五、堤防建设</w:t>
      </w:r>
    </w:p>
    <w:p w14:paraId="7296EEFE">
      <w:pPr>
        <w:ind w:firstLine="422"/>
        <w:rPr>
          <w:rFonts w:ascii="宋体" w:hAnsi="宋体"/>
          <w:b/>
          <w:szCs w:val="21"/>
        </w:rPr>
      </w:pPr>
      <w:r>
        <w:rPr>
          <w:rFonts w:hint="eastAsia" w:ascii="宋体" w:hAnsi="宋体"/>
          <w:b/>
          <w:szCs w:val="21"/>
        </w:rPr>
        <w:t>（一）凌江河飞机场段裁弯取直工程</w:t>
      </w:r>
    </w:p>
    <w:p w14:paraId="50D5DA7D">
      <w:pPr>
        <w:ind w:firstLine="420"/>
        <w:rPr>
          <w:rFonts w:ascii="宋体" w:hAnsi="宋体"/>
          <w:szCs w:val="21"/>
        </w:rPr>
      </w:pPr>
      <w:r>
        <w:rPr>
          <w:rFonts w:hint="eastAsia" w:ascii="宋体" w:hAnsi="宋体"/>
          <w:szCs w:val="21"/>
        </w:rPr>
        <w:t>工程于</w:t>
      </w:r>
      <w:r>
        <w:rPr>
          <w:rFonts w:ascii="宋体" w:hAnsi="宋体"/>
          <w:szCs w:val="21"/>
        </w:rPr>
        <w:t>1998年11月动工，2000年12月竣工。该工程被列</w:t>
      </w:r>
      <w:r>
        <w:rPr>
          <w:rFonts w:hint="eastAsia" w:ascii="宋体" w:hAnsi="宋体"/>
          <w:szCs w:val="21"/>
        </w:rPr>
        <w:t>入</w:t>
      </w:r>
      <w:r>
        <w:rPr>
          <w:rFonts w:ascii="宋体" w:hAnsi="宋体"/>
          <w:szCs w:val="21"/>
        </w:rPr>
        <w:t>1998年第一批国债</w:t>
      </w:r>
      <w:r>
        <w:rPr>
          <w:rFonts w:hint="eastAsia" w:ascii="宋体" w:hAnsi="宋体"/>
          <w:szCs w:val="21"/>
        </w:rPr>
        <w:t>建设项目，工程按</w:t>
      </w:r>
      <w:r>
        <w:rPr>
          <w:rFonts w:ascii="宋体" w:hAnsi="宋体"/>
          <w:szCs w:val="21"/>
        </w:rPr>
        <w:t>50年一遇洪水设计，项目包括：新开河道1.76公里，河两岸衬砌</w:t>
      </w:r>
      <w:r>
        <w:rPr>
          <w:rFonts w:hint="eastAsia" w:ascii="宋体" w:hAnsi="宋体"/>
          <w:szCs w:val="21"/>
        </w:rPr>
        <w:t>浆砌石护堤</w:t>
      </w:r>
      <w:r>
        <w:rPr>
          <w:rFonts w:ascii="宋体" w:hAnsi="宋体"/>
          <w:szCs w:val="21"/>
        </w:rPr>
        <w:t>3520米；建羊角大桥，长100米。总投资2500万元。</w:t>
      </w:r>
    </w:p>
    <w:p w14:paraId="29FED063">
      <w:pPr>
        <w:ind w:firstLine="422"/>
        <w:rPr>
          <w:rFonts w:ascii="宋体" w:hAnsi="宋体"/>
          <w:b/>
          <w:szCs w:val="21"/>
        </w:rPr>
      </w:pPr>
      <w:r>
        <w:rPr>
          <w:rFonts w:hint="eastAsia" w:ascii="宋体" w:hAnsi="宋体"/>
          <w:b/>
          <w:szCs w:val="21"/>
        </w:rPr>
        <w:t>（二）城区防洪堤工程工程</w:t>
      </w:r>
    </w:p>
    <w:p w14:paraId="04F76500">
      <w:pPr>
        <w:ind w:firstLine="420"/>
        <w:rPr>
          <w:rFonts w:ascii="宋体" w:hAnsi="宋体"/>
          <w:szCs w:val="21"/>
        </w:rPr>
      </w:pPr>
      <w:r>
        <w:rPr>
          <w:rFonts w:hint="eastAsia" w:ascii="宋体" w:hAnsi="宋体"/>
          <w:szCs w:val="21"/>
        </w:rPr>
        <w:t>列入</w:t>
      </w:r>
      <w:r>
        <w:rPr>
          <w:rFonts w:ascii="宋体" w:hAnsi="宋体"/>
          <w:szCs w:val="21"/>
        </w:rPr>
        <w:t>1998年国家水利建设项目。主要建筑项目包括：修建浆砌石河堤27.8</w:t>
      </w:r>
      <w:r>
        <w:rPr>
          <w:rFonts w:hint="eastAsia" w:ascii="宋体" w:hAnsi="宋体"/>
          <w:szCs w:val="21"/>
        </w:rPr>
        <w:t>公里，开挖河道</w:t>
      </w:r>
      <w:r>
        <w:rPr>
          <w:rFonts w:ascii="宋体" w:hAnsi="宋体"/>
          <w:szCs w:val="21"/>
        </w:rPr>
        <w:t>2.2公里，疏浚河道13.4公里，总投资8600万元。工程于1998年12月动工，2002年12月基本完成。</w:t>
      </w:r>
    </w:p>
    <w:p w14:paraId="34E8FAA8">
      <w:pPr>
        <w:ind w:firstLine="420"/>
        <w:rPr>
          <w:rFonts w:ascii="宋体" w:hAnsi="宋体"/>
          <w:szCs w:val="21"/>
        </w:rPr>
      </w:pPr>
      <w:r>
        <w:rPr>
          <w:rFonts w:hint="eastAsia" w:ascii="宋体" w:hAnsi="宋体"/>
          <w:szCs w:val="21"/>
        </w:rPr>
        <w:t>以上工程建设详见本编水利章</w:t>
      </w:r>
    </w:p>
    <w:p w14:paraId="2F744508">
      <w:pPr>
        <w:pStyle w:val="4"/>
        <w:rPr>
          <w:rFonts w:ascii="宋体" w:hAnsi="宋体"/>
        </w:rPr>
      </w:pPr>
      <w:r>
        <w:rPr>
          <w:rFonts w:hint="eastAsia" w:ascii="宋体" w:hAnsi="宋体"/>
        </w:rPr>
        <w:t>第二节圩镇、乡村建设</w:t>
      </w:r>
    </w:p>
    <w:p w14:paraId="5328DF23">
      <w:pPr>
        <w:pStyle w:val="5"/>
        <w:rPr>
          <w:rFonts w:ascii="宋体" w:hAnsi="宋体"/>
        </w:rPr>
      </w:pPr>
      <w:r>
        <w:rPr>
          <w:rFonts w:hint="eastAsia" w:ascii="宋体" w:hAnsi="宋体"/>
        </w:rPr>
        <w:t>一、中心镇建设</w:t>
      </w:r>
    </w:p>
    <w:p w14:paraId="04DF8B12">
      <w:pPr>
        <w:ind w:firstLine="422"/>
        <w:rPr>
          <w:rFonts w:ascii="宋体" w:hAnsi="宋体"/>
          <w:b/>
          <w:szCs w:val="21"/>
        </w:rPr>
      </w:pPr>
      <w:r>
        <w:rPr>
          <w:rFonts w:hint="eastAsia" w:ascii="宋体" w:hAnsi="宋体"/>
          <w:b/>
          <w:szCs w:val="21"/>
        </w:rPr>
        <w:t>（一）乌迳镇</w:t>
      </w:r>
    </w:p>
    <w:p w14:paraId="3B16F40C">
      <w:pPr>
        <w:ind w:firstLine="420"/>
        <w:rPr>
          <w:rFonts w:ascii="宋体" w:hAnsi="宋体"/>
          <w:szCs w:val="21"/>
        </w:rPr>
      </w:pPr>
      <w:r>
        <w:rPr>
          <w:rFonts w:hint="eastAsia" w:ascii="宋体" w:hAnsi="宋体"/>
          <w:szCs w:val="21"/>
        </w:rPr>
        <w:t>乌迳镇地处南雄市东北部，北距</w:t>
      </w:r>
      <w:r>
        <w:rPr>
          <w:rFonts w:ascii="宋体" w:hAnsi="宋体"/>
          <w:szCs w:val="21"/>
        </w:rPr>
        <w:t>105国道、京九铁路42公里，南离南雄市区及323国道31公里，省道S342线贯穿全镇。由于地理位置优越，明代为粤赣边贸重</w:t>
      </w:r>
      <w:r>
        <w:rPr>
          <w:rFonts w:hint="eastAsia" w:ascii="宋体" w:hAnsi="宋体"/>
          <w:szCs w:val="21"/>
        </w:rPr>
        <w:t>镇，称乌迳市，设巡检司。改革开放以来，城镇建设加速发展，已成为南雄东部五镇</w:t>
      </w:r>
      <w:r>
        <w:rPr>
          <w:rFonts w:ascii="宋体" w:hAnsi="宋体"/>
          <w:szCs w:val="21"/>
        </w:rPr>
        <w:t>15万人口的商贸中心。</w:t>
      </w:r>
    </w:p>
    <w:p w14:paraId="7CA9D74B">
      <w:pPr>
        <w:ind w:firstLine="420"/>
        <w:rPr>
          <w:rFonts w:ascii="宋体" w:hAnsi="宋体"/>
          <w:szCs w:val="21"/>
        </w:rPr>
      </w:pPr>
      <w:r>
        <w:rPr>
          <w:rFonts w:hint="eastAsia" w:ascii="宋体" w:hAnsi="宋体"/>
          <w:szCs w:val="21"/>
        </w:rPr>
        <w:t>圩市面积</w:t>
      </w:r>
      <w:r>
        <w:rPr>
          <w:rFonts w:ascii="宋体" w:hAnsi="宋体"/>
          <w:szCs w:val="21"/>
        </w:rPr>
        <w:t>3.5平方公里，居住人口1.5万人。有四条商业街，长3.23公里，1座</w:t>
      </w:r>
      <w:r>
        <w:rPr>
          <w:rFonts w:hint="eastAsia" w:ascii="宋体" w:hAnsi="宋体"/>
          <w:szCs w:val="21"/>
        </w:rPr>
        <w:t>商贸城，共有门店商铺</w:t>
      </w:r>
      <w:r>
        <w:rPr>
          <w:rFonts w:ascii="宋体" w:hAnsi="宋体"/>
          <w:szCs w:val="21"/>
        </w:rPr>
        <w:t>1180间，从业人员2560人，其中赣南商贩约占20%。圩市商</w:t>
      </w:r>
      <w:r>
        <w:rPr>
          <w:rFonts w:hint="eastAsia" w:ascii="宋体" w:hAnsi="宋体"/>
          <w:szCs w:val="21"/>
        </w:rPr>
        <w:t>贸繁荣，逢双日圩期，赴圩者近万人。农产品交易以辣椒为大宗，年外销</w:t>
      </w:r>
      <w:r>
        <w:rPr>
          <w:rFonts w:ascii="宋体" w:hAnsi="宋体"/>
          <w:szCs w:val="21"/>
        </w:rPr>
        <w:t>500万公</w:t>
      </w:r>
      <w:r>
        <w:rPr>
          <w:rFonts w:hint="eastAsia" w:ascii="宋体" w:hAnsi="宋体"/>
          <w:szCs w:val="21"/>
        </w:rPr>
        <w:t>斤。圩市水电通信设施完善。该镇为广东省中心镇之一。</w:t>
      </w:r>
    </w:p>
    <w:p w14:paraId="025D8F63">
      <w:pPr>
        <w:ind w:firstLine="422"/>
        <w:rPr>
          <w:rFonts w:ascii="宋体" w:hAnsi="宋体"/>
          <w:b/>
          <w:szCs w:val="21"/>
        </w:rPr>
      </w:pPr>
      <w:r>
        <w:rPr>
          <w:rFonts w:hint="eastAsia" w:ascii="宋体" w:hAnsi="宋体"/>
          <w:b/>
          <w:szCs w:val="21"/>
        </w:rPr>
        <w:t>（二）珠玑镇</w:t>
      </w:r>
    </w:p>
    <w:p w14:paraId="6C936B4D">
      <w:pPr>
        <w:ind w:firstLine="420"/>
        <w:rPr>
          <w:rFonts w:ascii="宋体" w:hAnsi="宋体"/>
          <w:szCs w:val="21"/>
        </w:rPr>
      </w:pPr>
      <w:r>
        <w:rPr>
          <w:rFonts w:hint="eastAsia" w:ascii="宋体" w:hAnsi="宋体"/>
          <w:szCs w:val="21"/>
        </w:rPr>
        <w:t>珠玑镇地处南雄市北面，距南雄市区仅</w:t>
      </w:r>
      <w:r>
        <w:rPr>
          <w:rFonts w:ascii="宋体" w:hAnsi="宋体"/>
          <w:szCs w:val="21"/>
        </w:rPr>
        <w:t>9公里，国道323线穿境而过，规划中的</w:t>
      </w:r>
      <w:r>
        <w:rPr>
          <w:rFonts w:hint="eastAsia" w:ascii="宋体" w:hAnsi="宋体"/>
          <w:szCs w:val="21"/>
        </w:rPr>
        <w:t>韶赣高速公路和韶赣铁路也经过珠玑，为广东省中心镇之一。</w:t>
      </w:r>
    </w:p>
    <w:p w14:paraId="1A2EA58F">
      <w:pPr>
        <w:ind w:firstLine="420"/>
        <w:rPr>
          <w:rFonts w:ascii="宋体" w:hAnsi="宋体"/>
          <w:szCs w:val="21"/>
        </w:rPr>
      </w:pPr>
      <w:r>
        <w:rPr>
          <w:rFonts w:hint="eastAsia" w:ascii="宋体" w:hAnsi="宋体"/>
          <w:szCs w:val="21"/>
        </w:rPr>
        <w:t>珠玑圩市历史悠久，古称沙水镇，是古代中原和江南通往岭南的一个商业重镇，是中原南迁氏族聚居发祥之地。唐宋时期有</w:t>
      </w:r>
      <w:r>
        <w:rPr>
          <w:rFonts w:ascii="宋体" w:hAnsi="宋体"/>
          <w:szCs w:val="21"/>
        </w:rPr>
        <w:t>140多姓氏族由此南迁珠江三角洲一带，</w:t>
      </w:r>
      <w:r>
        <w:rPr>
          <w:rFonts w:hint="eastAsia" w:ascii="宋体" w:hAnsi="宋体"/>
          <w:szCs w:val="21"/>
        </w:rPr>
        <w:t>而今散布国内外几千万后裔都以珠玑为</w:t>
      </w:r>
      <w:r>
        <w:rPr>
          <w:rFonts w:ascii="宋体" w:hAnsi="宋体"/>
          <w:szCs w:val="21"/>
        </w:rPr>
        <w:t>700年前桑梓乡。而今珠玑古巷唐宋风貌犹</w:t>
      </w:r>
      <w:r>
        <w:rPr>
          <w:rFonts w:hint="eastAsia" w:ascii="宋体" w:hAnsi="宋体"/>
          <w:szCs w:val="21"/>
        </w:rPr>
        <w:t>存，被评为广东最美丽的街区。现存的“贵妃塔”是广东省唯一有绝对年代可考的元代石塔。近</w:t>
      </w:r>
      <w:r>
        <w:rPr>
          <w:rFonts w:ascii="宋体" w:hAnsi="宋体"/>
          <w:szCs w:val="21"/>
        </w:rPr>
        <w:t>10年来，南迁后裔投资兴建的祖居纪念区内有各姓氏纪念馆，展示丰</w:t>
      </w:r>
      <w:r>
        <w:rPr>
          <w:rFonts w:hint="eastAsia" w:ascii="宋体" w:hAnsi="宋体"/>
          <w:szCs w:val="21"/>
        </w:rPr>
        <w:t>富的姓氏文化。</w:t>
      </w:r>
    </w:p>
    <w:p w14:paraId="56D1DDF9">
      <w:pPr>
        <w:ind w:firstLine="420"/>
        <w:rPr>
          <w:rFonts w:ascii="宋体" w:hAnsi="宋体"/>
          <w:szCs w:val="21"/>
        </w:rPr>
      </w:pPr>
      <w:r>
        <w:rPr>
          <w:rFonts w:hint="eastAsia" w:ascii="宋体" w:hAnsi="宋体"/>
          <w:szCs w:val="21"/>
        </w:rPr>
        <w:t>珠玑圩市面积</w:t>
      </w:r>
      <w:r>
        <w:rPr>
          <w:rFonts w:ascii="宋体" w:hAnsi="宋体"/>
          <w:szCs w:val="21"/>
        </w:rPr>
        <w:t>0.8平方公里，房屋建筑面积25426平方米，圩镇居民3000多人，</w:t>
      </w:r>
      <w:r>
        <w:rPr>
          <w:rFonts w:hint="eastAsia" w:ascii="宋体" w:hAnsi="宋体"/>
          <w:szCs w:val="21"/>
        </w:rPr>
        <w:t>主要街道</w:t>
      </w:r>
      <w:r>
        <w:rPr>
          <w:rFonts w:ascii="宋体" w:hAnsi="宋体"/>
          <w:szCs w:val="21"/>
        </w:rPr>
        <w:t>2条，总长1500米，有农贸市场2座，各类门店500余间，圩市水电通信</w:t>
      </w:r>
      <w:r>
        <w:rPr>
          <w:rFonts w:hint="eastAsia" w:ascii="宋体" w:hAnsi="宋体"/>
          <w:szCs w:val="21"/>
        </w:rPr>
        <w:t>设施完善，可为旅游观光者提供具有珠玑文化特色的各类服务。</w:t>
      </w:r>
    </w:p>
    <w:p w14:paraId="217B9991">
      <w:pPr>
        <w:ind w:firstLine="422"/>
        <w:rPr>
          <w:rFonts w:ascii="宋体" w:hAnsi="宋体"/>
          <w:b/>
          <w:szCs w:val="21"/>
        </w:rPr>
      </w:pPr>
      <w:r>
        <w:rPr>
          <w:rFonts w:hint="eastAsia" w:ascii="宋体" w:hAnsi="宋体"/>
          <w:b/>
          <w:szCs w:val="21"/>
        </w:rPr>
        <w:t>（三）黄坑镇</w:t>
      </w:r>
    </w:p>
    <w:p w14:paraId="3F363704">
      <w:pPr>
        <w:ind w:firstLine="420"/>
        <w:rPr>
          <w:rFonts w:ascii="宋体" w:hAnsi="宋体"/>
          <w:szCs w:val="21"/>
        </w:rPr>
      </w:pPr>
      <w:r>
        <w:rPr>
          <w:rFonts w:hint="eastAsia" w:ascii="宋体" w:hAnsi="宋体"/>
          <w:szCs w:val="21"/>
        </w:rPr>
        <w:t>黄坑镇位于南雄市区东北部</w:t>
      </w:r>
      <w:r>
        <w:rPr>
          <w:rFonts w:ascii="宋体" w:hAnsi="宋体"/>
          <w:szCs w:val="21"/>
        </w:rPr>
        <w:t>21公里处。省道342线纵贯其中，是南雄东北面9</w:t>
      </w:r>
      <w:r>
        <w:rPr>
          <w:rFonts w:hint="eastAsia" w:ascii="宋体" w:hAnsi="宋体"/>
          <w:szCs w:val="21"/>
        </w:rPr>
        <w:t>个镇农副产品交易集散地，被列为广东省中心小城镇建设示范镇。</w:t>
      </w:r>
    </w:p>
    <w:p w14:paraId="495DEF7E">
      <w:pPr>
        <w:ind w:firstLine="420"/>
        <w:rPr>
          <w:rFonts w:ascii="宋体" w:hAnsi="宋体"/>
          <w:szCs w:val="21"/>
        </w:rPr>
      </w:pPr>
      <w:r>
        <w:rPr>
          <w:rFonts w:hint="eastAsia" w:ascii="宋体" w:hAnsi="宋体"/>
          <w:szCs w:val="21"/>
        </w:rPr>
        <w:t>圩市区域面积达</w:t>
      </w:r>
      <w:r>
        <w:rPr>
          <w:rFonts w:ascii="宋体" w:hAnsi="宋体"/>
          <w:szCs w:val="21"/>
        </w:rPr>
        <w:t>2.25平方公里，已建成黄坑商贸城，总面积6.38公顷，是集商</w:t>
      </w:r>
      <w:r>
        <w:rPr>
          <w:rFonts w:hint="eastAsia" w:ascii="宋体" w:hAnsi="宋体"/>
          <w:szCs w:val="21"/>
        </w:rPr>
        <w:t>贸、娱乐、住宅为一体的农村商贸中心。</w:t>
      </w:r>
    </w:p>
    <w:p w14:paraId="6451A515">
      <w:pPr>
        <w:ind w:firstLine="420"/>
        <w:rPr>
          <w:rFonts w:ascii="宋体" w:hAnsi="宋体"/>
          <w:szCs w:val="21"/>
        </w:rPr>
      </w:pPr>
      <w:r>
        <w:rPr>
          <w:rFonts w:hint="eastAsia" w:ascii="宋体" w:hAnsi="宋体"/>
          <w:szCs w:val="21"/>
        </w:rPr>
        <w:t>主要街道有</w:t>
      </w:r>
      <w:r>
        <w:rPr>
          <w:rFonts w:ascii="宋体" w:hAnsi="宋体"/>
          <w:szCs w:val="21"/>
        </w:rPr>
        <w:t>5条，每条长2公里宽20米，门店300多间，从业人员2000多人，</w:t>
      </w:r>
      <w:r>
        <w:rPr>
          <w:rFonts w:hint="eastAsia" w:ascii="宋体" w:hAnsi="宋体"/>
          <w:szCs w:val="21"/>
        </w:rPr>
        <w:t>常住人口近万人。</w:t>
      </w:r>
    </w:p>
    <w:p w14:paraId="6EB9761C">
      <w:pPr>
        <w:pStyle w:val="5"/>
        <w:rPr>
          <w:rFonts w:ascii="宋体" w:hAnsi="宋体"/>
        </w:rPr>
      </w:pPr>
      <w:r>
        <w:rPr>
          <w:rFonts w:hint="eastAsia" w:ascii="宋体" w:hAnsi="宋体"/>
        </w:rPr>
        <w:t>二、圩市建设</w:t>
      </w:r>
    </w:p>
    <w:p w14:paraId="65372272">
      <w:pPr>
        <w:ind w:firstLine="420"/>
        <w:rPr>
          <w:rFonts w:ascii="宋体" w:hAnsi="宋体"/>
          <w:szCs w:val="21"/>
        </w:rPr>
      </w:pPr>
      <w:r>
        <w:rPr>
          <w:rFonts w:hint="eastAsia" w:ascii="宋体" w:hAnsi="宋体"/>
          <w:szCs w:val="21"/>
        </w:rPr>
        <w:t>明嘉靖《南雄府志》记载，全县有</w:t>
      </w:r>
      <w:r>
        <w:rPr>
          <w:rFonts w:ascii="宋体" w:hAnsi="宋体"/>
          <w:szCs w:val="21"/>
        </w:rPr>
        <w:t>5个圩市。清乾隆《南雄府志》记载，全县</w:t>
      </w:r>
      <w:r>
        <w:rPr>
          <w:rFonts w:hint="eastAsia" w:ascii="宋体" w:hAnsi="宋体"/>
          <w:szCs w:val="21"/>
        </w:rPr>
        <w:t>有</w:t>
      </w:r>
      <w:r>
        <w:rPr>
          <w:rFonts w:ascii="宋体" w:hAnsi="宋体"/>
          <w:szCs w:val="21"/>
        </w:rPr>
        <w:t>21个圩1个市。据口碑资料考证，1949年南雄有圩市26个。1987年全市有圩市20个，建设占地面积为192.3万平方米。南雄撤县设市后，各镇不断加大投入，完</w:t>
      </w:r>
      <w:r>
        <w:rPr>
          <w:rFonts w:hint="eastAsia" w:ascii="宋体" w:hAnsi="宋体"/>
          <w:szCs w:val="21"/>
        </w:rPr>
        <w:t>善圩市建设。主要圩市除中心镇的乌迳圩、珠玑圩、黄坑圩外，尚有：</w:t>
      </w:r>
    </w:p>
    <w:p w14:paraId="428E8988">
      <w:pPr>
        <w:ind w:firstLine="422"/>
        <w:rPr>
          <w:rFonts w:ascii="宋体" w:hAnsi="宋体"/>
          <w:szCs w:val="21"/>
        </w:rPr>
      </w:pPr>
      <w:r>
        <w:rPr>
          <w:rFonts w:hint="eastAsia" w:ascii="宋体" w:hAnsi="宋体"/>
          <w:b/>
          <w:szCs w:val="21"/>
        </w:rPr>
        <w:t>湖口圩</w:t>
      </w:r>
      <w:r>
        <w:rPr>
          <w:rFonts w:hint="eastAsia" w:ascii="宋体" w:hAnsi="宋体"/>
          <w:szCs w:val="21"/>
        </w:rPr>
        <w:t xml:space="preserve">  位于市区东北</w:t>
      </w:r>
      <w:r>
        <w:rPr>
          <w:rFonts w:ascii="宋体" w:hAnsi="宋体"/>
          <w:szCs w:val="21"/>
        </w:rPr>
        <w:t>9公里，建设用地11万平方米。原圩市建设比较分散</w:t>
      </w:r>
      <w:r>
        <w:rPr>
          <w:rFonts w:hint="eastAsia" w:ascii="宋体" w:hAnsi="宋体"/>
          <w:szCs w:val="21"/>
        </w:rPr>
        <w:t>。</w:t>
      </w:r>
      <w:r>
        <w:rPr>
          <w:rFonts w:ascii="宋体" w:hAnsi="宋体"/>
          <w:szCs w:val="21"/>
        </w:rPr>
        <w:t>1998年冬投入资金300多万元，兴建集商、工、住为一体的商贸中心。建筑面积18000平方米，有工商门店400间，从业1300人。其中耕牛市场是南雄具有悠久历史</w:t>
      </w:r>
      <w:r>
        <w:rPr>
          <w:rFonts w:hint="eastAsia" w:ascii="宋体" w:hAnsi="宋体"/>
          <w:szCs w:val="21"/>
        </w:rPr>
        <w:t>的传统市场。</w:t>
      </w:r>
    </w:p>
    <w:p w14:paraId="746B2ECA">
      <w:pPr>
        <w:ind w:firstLine="422"/>
        <w:rPr>
          <w:rFonts w:ascii="宋体" w:hAnsi="宋体"/>
          <w:szCs w:val="21"/>
        </w:rPr>
      </w:pPr>
      <w:r>
        <w:rPr>
          <w:rFonts w:hint="eastAsia" w:ascii="宋体" w:hAnsi="宋体"/>
          <w:b/>
          <w:szCs w:val="21"/>
        </w:rPr>
        <w:t>古市圩</w:t>
      </w:r>
      <w:r>
        <w:rPr>
          <w:rFonts w:hint="eastAsia" w:ascii="宋体" w:hAnsi="宋体"/>
          <w:szCs w:val="21"/>
        </w:rPr>
        <w:t xml:space="preserve">  位于市区南</w:t>
      </w:r>
      <w:r>
        <w:rPr>
          <w:rFonts w:ascii="宋体" w:hAnsi="宋体"/>
          <w:szCs w:val="21"/>
        </w:rPr>
        <w:t>13公里，圩市建设用地9.8万平方米。有投资650万元的</w:t>
      </w:r>
      <w:r>
        <w:rPr>
          <w:rFonts w:hint="eastAsia" w:ascii="宋体" w:hAnsi="宋体"/>
          <w:szCs w:val="21"/>
        </w:rPr>
        <w:t>古市综合大市场，占地面积</w:t>
      </w:r>
      <w:r>
        <w:rPr>
          <w:rFonts w:ascii="宋体" w:hAnsi="宋体"/>
          <w:szCs w:val="21"/>
        </w:rPr>
        <w:t>2500平方米，摊档1800平方米，门店1920平方米，店</w:t>
      </w:r>
      <w:r>
        <w:rPr>
          <w:rFonts w:hint="eastAsia" w:ascii="宋体" w:hAnsi="宋体"/>
          <w:szCs w:val="21"/>
        </w:rPr>
        <w:t>面</w:t>
      </w:r>
      <w:r>
        <w:rPr>
          <w:rFonts w:ascii="宋体" w:hAnsi="宋体"/>
          <w:szCs w:val="21"/>
        </w:rPr>
        <w:t>40间，市场街道1000米。圩市服务设施齐全，建有水厂，日供水量达1000多立</w:t>
      </w:r>
      <w:r>
        <w:rPr>
          <w:rFonts w:hint="eastAsia" w:ascii="宋体" w:hAnsi="宋体"/>
          <w:szCs w:val="21"/>
        </w:rPr>
        <w:t>方米。电信、邮政、信用社、工商、财政、粮所等服务机构设置齐全。圩市居民</w:t>
      </w:r>
      <w:r>
        <w:rPr>
          <w:rFonts w:ascii="宋体" w:hAnsi="宋体"/>
          <w:szCs w:val="21"/>
        </w:rPr>
        <w:t>2300多人。</w:t>
      </w:r>
    </w:p>
    <w:p w14:paraId="1B3E4CE2">
      <w:pPr>
        <w:ind w:firstLine="422"/>
        <w:rPr>
          <w:rFonts w:ascii="宋体" w:hAnsi="宋体"/>
          <w:szCs w:val="21"/>
        </w:rPr>
      </w:pPr>
      <w:r>
        <w:rPr>
          <w:rFonts w:hint="eastAsia" w:ascii="宋体" w:hAnsi="宋体"/>
          <w:b/>
          <w:szCs w:val="21"/>
        </w:rPr>
        <w:t>百顺圩</w:t>
      </w:r>
      <w:r>
        <w:rPr>
          <w:rFonts w:hint="eastAsia" w:ascii="宋体" w:hAnsi="宋体"/>
          <w:szCs w:val="21"/>
        </w:rPr>
        <w:t xml:space="preserve">  古称仁和圩。位于市区西</w:t>
      </w:r>
      <w:r>
        <w:rPr>
          <w:rFonts w:ascii="宋体" w:hAnsi="宋体"/>
          <w:szCs w:val="21"/>
        </w:rPr>
        <w:t>58公里的北山山区。西与仁化县闻韶接壤，</w:t>
      </w:r>
      <w:r>
        <w:rPr>
          <w:rFonts w:hint="eastAsia" w:ascii="宋体" w:hAnsi="宋体"/>
          <w:szCs w:val="21"/>
        </w:rPr>
        <w:t>南与曲江县黄坑相邻。圩镇有一条宽</w:t>
      </w:r>
      <w:r>
        <w:rPr>
          <w:rFonts w:ascii="宋体" w:hAnsi="宋体"/>
          <w:szCs w:val="21"/>
        </w:rPr>
        <w:t>8米，长1000米的“丁”字形街道，一座占地</w:t>
      </w:r>
      <w:r>
        <w:rPr>
          <w:rFonts w:hint="eastAsia" w:ascii="宋体" w:hAnsi="宋体"/>
          <w:szCs w:val="21"/>
        </w:rPr>
        <w:t>面积</w:t>
      </w:r>
      <w:r>
        <w:rPr>
          <w:rFonts w:ascii="宋体" w:hAnsi="宋体"/>
          <w:szCs w:val="21"/>
        </w:rPr>
        <w:t>1520平方米的农贸市场，有商业门店230间，从业人员750人。圩市全部用上</w:t>
      </w:r>
      <w:r>
        <w:rPr>
          <w:rFonts w:hint="eastAsia" w:ascii="宋体" w:hAnsi="宋体"/>
          <w:szCs w:val="21"/>
        </w:rPr>
        <w:t>了自来水。</w:t>
      </w:r>
    </w:p>
    <w:p w14:paraId="18300D8B">
      <w:pPr>
        <w:ind w:firstLine="422"/>
        <w:rPr>
          <w:rFonts w:ascii="宋体" w:hAnsi="宋体"/>
          <w:szCs w:val="21"/>
        </w:rPr>
      </w:pPr>
      <w:r>
        <w:rPr>
          <w:rFonts w:hint="eastAsia" w:ascii="宋体" w:hAnsi="宋体"/>
          <w:b/>
          <w:szCs w:val="21"/>
        </w:rPr>
        <w:t>邓坊圩</w:t>
      </w:r>
      <w:r>
        <w:rPr>
          <w:rFonts w:hint="eastAsia" w:ascii="宋体" w:hAnsi="宋体"/>
          <w:szCs w:val="21"/>
        </w:rPr>
        <w:t xml:space="preserve">  位于南雄市东北</w:t>
      </w:r>
      <w:r>
        <w:rPr>
          <w:rFonts w:ascii="宋体" w:hAnsi="宋体"/>
          <w:szCs w:val="21"/>
        </w:rPr>
        <w:t>24公里。1980年，由老圩搬迁重建。经多年投资建</w:t>
      </w:r>
      <w:r>
        <w:rPr>
          <w:rFonts w:hint="eastAsia" w:ascii="宋体" w:hAnsi="宋体"/>
          <w:szCs w:val="21"/>
        </w:rPr>
        <w:t>设，圩市占地面积达</w:t>
      </w:r>
      <w:r>
        <w:rPr>
          <w:rFonts w:ascii="宋体" w:hAnsi="宋体"/>
          <w:szCs w:val="21"/>
        </w:rPr>
        <w:t>2.3平方公里，居住人口近千人，建有占地9380平方米的金朋</w:t>
      </w:r>
      <w:r>
        <w:rPr>
          <w:rFonts w:hint="eastAsia" w:ascii="宋体" w:hAnsi="宋体"/>
          <w:szCs w:val="21"/>
        </w:rPr>
        <w:t>综合市场，</w:t>
      </w:r>
      <w:r>
        <w:rPr>
          <w:rFonts w:ascii="宋体" w:hAnsi="宋体"/>
          <w:szCs w:val="21"/>
        </w:rPr>
        <w:t>2公里长的农民商业街。工商门店126间，从业290人。</w:t>
      </w:r>
    </w:p>
    <w:p w14:paraId="49F7BF14">
      <w:pPr>
        <w:ind w:firstLine="422"/>
        <w:rPr>
          <w:rFonts w:ascii="宋体" w:hAnsi="宋体"/>
          <w:szCs w:val="21"/>
        </w:rPr>
      </w:pPr>
      <w:r>
        <w:rPr>
          <w:rFonts w:hint="eastAsia" w:ascii="宋体" w:hAnsi="宋体"/>
          <w:b/>
          <w:szCs w:val="21"/>
        </w:rPr>
        <w:t>江头圩</w:t>
      </w:r>
      <w:r>
        <w:rPr>
          <w:rFonts w:hint="eastAsia" w:ascii="宋体" w:hAnsi="宋体"/>
          <w:szCs w:val="21"/>
        </w:rPr>
        <w:t xml:space="preserve">  位于市区东南</w:t>
      </w:r>
      <w:r>
        <w:rPr>
          <w:rFonts w:ascii="宋体" w:hAnsi="宋体"/>
          <w:szCs w:val="21"/>
        </w:rPr>
        <w:t>13公里。旅游资源丰富，10多年来，不断开发青嶂山旅</w:t>
      </w:r>
      <w:r>
        <w:rPr>
          <w:rFonts w:hint="eastAsia" w:ascii="宋体" w:hAnsi="宋体"/>
          <w:szCs w:val="21"/>
        </w:rPr>
        <w:t>游景区，促进江头圩的建设。建有</w:t>
      </w:r>
      <w:r>
        <w:rPr>
          <w:rFonts w:ascii="宋体" w:hAnsi="宋体"/>
          <w:szCs w:val="21"/>
        </w:rPr>
        <w:t>8米宽1公里长的商贸大街，安装了水银路灯，架</w:t>
      </w:r>
      <w:r>
        <w:rPr>
          <w:rFonts w:hint="eastAsia" w:ascii="宋体" w:hAnsi="宋体"/>
          <w:szCs w:val="21"/>
        </w:rPr>
        <w:t>设了中学大桥和新区大桥，浆砌了</w:t>
      </w:r>
      <w:r>
        <w:rPr>
          <w:rFonts w:ascii="宋体" w:hAnsi="宋体"/>
          <w:szCs w:val="21"/>
        </w:rPr>
        <w:t>1600米的沿江河堤，建起100多套水泥钢筋楼房，</w:t>
      </w:r>
      <w:r>
        <w:rPr>
          <w:rFonts w:hint="eastAsia" w:ascii="宋体" w:hAnsi="宋体"/>
          <w:szCs w:val="21"/>
        </w:rPr>
        <w:t>安装了自来水。圩市面积达</w:t>
      </w:r>
      <w:r>
        <w:rPr>
          <w:rFonts w:ascii="宋体" w:hAnsi="宋体"/>
          <w:szCs w:val="21"/>
        </w:rPr>
        <w:t>1.5平方公里，居住人口1300多人</w:t>
      </w:r>
      <w:r>
        <w:rPr>
          <w:rFonts w:hint="eastAsia" w:ascii="宋体" w:hAnsi="宋体"/>
          <w:szCs w:val="21"/>
        </w:rPr>
        <w:t>。</w:t>
      </w:r>
    </w:p>
    <w:p w14:paraId="67B75977">
      <w:pPr>
        <w:ind w:firstLine="422"/>
        <w:rPr>
          <w:rFonts w:ascii="宋体" w:hAnsi="宋体"/>
          <w:szCs w:val="21"/>
        </w:rPr>
      </w:pPr>
      <w:r>
        <w:rPr>
          <w:rFonts w:hint="eastAsia" w:ascii="宋体" w:hAnsi="宋体"/>
          <w:b/>
          <w:szCs w:val="21"/>
        </w:rPr>
        <w:t>大塘圩</w:t>
      </w:r>
      <w:r>
        <w:rPr>
          <w:rFonts w:hint="eastAsia" w:ascii="宋体" w:hAnsi="宋体"/>
          <w:szCs w:val="21"/>
        </w:rPr>
        <w:t xml:space="preserve">  位于市区东北</w:t>
      </w:r>
      <w:r>
        <w:rPr>
          <w:rFonts w:ascii="宋体" w:hAnsi="宋体"/>
          <w:szCs w:val="21"/>
        </w:rPr>
        <w:t>30公里，为革命老区油山镇政府所在地。2003年新建油</w:t>
      </w:r>
      <w:r>
        <w:rPr>
          <w:rFonts w:hint="eastAsia" w:ascii="宋体" w:hAnsi="宋体"/>
          <w:szCs w:val="21"/>
        </w:rPr>
        <w:t>山农贸综合市场，占地</w:t>
      </w:r>
      <w:r>
        <w:rPr>
          <w:rFonts w:ascii="宋体" w:hAnsi="宋体"/>
          <w:szCs w:val="21"/>
        </w:rPr>
        <w:t>1.8万平方米，门店120间。圩市面积0.5平方公里，街道长900米。有居民3800多人。</w:t>
      </w:r>
    </w:p>
    <w:p w14:paraId="06816AC3">
      <w:pPr>
        <w:ind w:firstLine="420"/>
        <w:rPr>
          <w:rFonts w:ascii="宋体" w:hAnsi="宋体"/>
          <w:szCs w:val="21"/>
        </w:rPr>
      </w:pPr>
      <w:r>
        <w:rPr>
          <w:rFonts w:hint="eastAsia" w:ascii="宋体" w:hAnsi="宋体"/>
          <w:szCs w:val="21"/>
        </w:rPr>
        <w:t>此外，尚有水口圩、南亩圩、澜河圩等。</w:t>
      </w:r>
    </w:p>
    <w:p w14:paraId="4728F755">
      <w:pPr>
        <w:pStyle w:val="5"/>
        <w:rPr>
          <w:rFonts w:ascii="宋体" w:hAnsi="宋体"/>
        </w:rPr>
      </w:pPr>
      <w:r>
        <w:rPr>
          <w:rFonts w:hint="eastAsia" w:ascii="宋体" w:hAnsi="宋体"/>
        </w:rPr>
        <w:t>三、农村住宅建设</w:t>
      </w:r>
    </w:p>
    <w:p w14:paraId="6963466B">
      <w:pPr>
        <w:ind w:firstLine="420"/>
        <w:rPr>
          <w:rFonts w:ascii="宋体" w:hAnsi="宋体"/>
          <w:szCs w:val="21"/>
        </w:rPr>
      </w:pPr>
      <w:r>
        <w:rPr>
          <w:rFonts w:ascii="宋体" w:hAnsi="宋体"/>
          <w:szCs w:val="21"/>
        </w:rPr>
        <w:t>1980年以后，部分农民富裕起来，兴建钢筋水泥的楼房。特别是1995年以来，</w:t>
      </w:r>
      <w:r>
        <w:rPr>
          <w:rFonts w:hint="eastAsia" w:ascii="宋体" w:hAnsi="宋体"/>
          <w:szCs w:val="21"/>
        </w:rPr>
        <w:t>农村奔小康工程在南雄普遍展开。市政府抽调一大批技术人员对</w:t>
      </w:r>
      <w:r>
        <w:rPr>
          <w:rFonts w:ascii="宋体" w:hAnsi="宋体"/>
          <w:szCs w:val="21"/>
        </w:rPr>
        <w:t>24个镇和221个管</w:t>
      </w:r>
      <w:r>
        <w:rPr>
          <w:rFonts w:hint="eastAsia" w:ascii="宋体" w:hAnsi="宋体"/>
          <w:szCs w:val="21"/>
        </w:rPr>
        <w:t>理区农房改造进行了整体规划，一大批红砖瓦面或红砖混凝土民房相继拔地而起。至</w:t>
      </w:r>
      <w:r>
        <w:rPr>
          <w:rFonts w:ascii="宋体" w:hAnsi="宋体"/>
          <w:szCs w:val="21"/>
        </w:rPr>
        <w:t>1997年底，全市共建奔康新村、新街124个，完成农房改造19313套（户）；农村人</w:t>
      </w:r>
      <w:r>
        <w:rPr>
          <w:rFonts w:hint="eastAsia" w:ascii="宋体" w:hAnsi="宋体"/>
          <w:szCs w:val="21"/>
        </w:rPr>
        <w:t>均住房面积由</w:t>
      </w:r>
      <w:r>
        <w:rPr>
          <w:rFonts w:ascii="宋体" w:hAnsi="宋体"/>
          <w:szCs w:val="21"/>
        </w:rPr>
        <w:t>1992年的19.94平方米，增至23.82平方米，增长19.5%；农村人均</w:t>
      </w:r>
      <w:r>
        <w:rPr>
          <w:rFonts w:hint="eastAsia" w:ascii="宋体" w:hAnsi="宋体"/>
          <w:szCs w:val="21"/>
        </w:rPr>
        <w:t>红砖结构住房面积由</w:t>
      </w:r>
      <w:r>
        <w:rPr>
          <w:rFonts w:ascii="宋体" w:hAnsi="宋体"/>
          <w:szCs w:val="21"/>
        </w:rPr>
        <w:t>1992年的2.9平方米增至11平方米。至2004年底止，全市农</w:t>
      </w:r>
      <w:r>
        <w:rPr>
          <w:rFonts w:hint="eastAsia" w:ascii="宋体" w:hAnsi="宋体"/>
          <w:szCs w:val="21"/>
        </w:rPr>
        <w:t>村奔康工程住户</w:t>
      </w:r>
      <w:r>
        <w:rPr>
          <w:rFonts w:ascii="宋体" w:hAnsi="宋体"/>
          <w:szCs w:val="21"/>
        </w:rPr>
        <w:t>35809户，建筑面积501万平方米，全市农村45.52%人口住上了奔</w:t>
      </w:r>
      <w:r>
        <w:rPr>
          <w:rFonts w:hint="eastAsia" w:ascii="宋体" w:hAnsi="宋体"/>
          <w:szCs w:val="21"/>
        </w:rPr>
        <w:t>康房。</w:t>
      </w:r>
    </w:p>
    <w:p w14:paraId="55C69B07">
      <w:pPr>
        <w:ind w:firstLine="420"/>
        <w:rPr>
          <w:rFonts w:ascii="宋体" w:hAnsi="宋体"/>
          <w:szCs w:val="21"/>
        </w:rPr>
      </w:pPr>
      <w:r>
        <w:rPr>
          <w:rFonts w:hint="eastAsia" w:ascii="宋体" w:hAnsi="宋体"/>
          <w:szCs w:val="21"/>
        </w:rPr>
        <w:t>主要新村：</w:t>
      </w:r>
    </w:p>
    <w:p w14:paraId="3716ECB7">
      <w:pPr>
        <w:ind w:firstLine="422"/>
        <w:rPr>
          <w:rFonts w:ascii="宋体" w:hAnsi="宋体"/>
          <w:szCs w:val="21"/>
        </w:rPr>
      </w:pPr>
      <w:r>
        <w:rPr>
          <w:rFonts w:hint="eastAsia" w:ascii="宋体" w:hAnsi="宋体"/>
          <w:b/>
          <w:szCs w:val="21"/>
        </w:rPr>
        <w:t>水南新村</w:t>
      </w:r>
      <w:r>
        <w:rPr>
          <w:rFonts w:hint="eastAsia" w:ascii="宋体" w:hAnsi="宋体"/>
          <w:szCs w:val="21"/>
        </w:rPr>
        <w:t xml:space="preserve">  位于市区南郊，城乡结合部。</w:t>
      </w:r>
      <w:r>
        <w:rPr>
          <w:rFonts w:ascii="宋体" w:hAnsi="宋体"/>
          <w:szCs w:val="21"/>
        </w:rPr>
        <w:t>1993年开始大拆迁、大改造。历时11</w:t>
      </w:r>
      <w:r>
        <w:rPr>
          <w:rFonts w:hint="eastAsia" w:ascii="宋体" w:hAnsi="宋体"/>
          <w:szCs w:val="21"/>
        </w:rPr>
        <w:t>年，至</w:t>
      </w:r>
      <w:r>
        <w:rPr>
          <w:rFonts w:ascii="宋体" w:hAnsi="宋体"/>
          <w:szCs w:val="21"/>
        </w:rPr>
        <w:t>2004年底，共有住户498户，面积110216平方米，住宅全部是统一规划的水</w:t>
      </w:r>
      <w:r>
        <w:rPr>
          <w:rFonts w:hint="eastAsia" w:ascii="宋体" w:hAnsi="宋体"/>
          <w:szCs w:val="21"/>
        </w:rPr>
        <w:t>泥钢筋楼房，村内道路纵横，店铺林立，水电设施完善，无异市区。前广东省省长朱森林题额“粤北第一村”。</w:t>
      </w:r>
    </w:p>
    <w:p w14:paraId="5184C11B">
      <w:pPr>
        <w:ind w:firstLine="422"/>
        <w:rPr>
          <w:rFonts w:ascii="宋体" w:hAnsi="宋体"/>
          <w:szCs w:val="21"/>
        </w:rPr>
      </w:pPr>
      <w:r>
        <w:rPr>
          <w:rFonts w:hint="eastAsia" w:ascii="宋体" w:hAnsi="宋体"/>
          <w:b/>
          <w:szCs w:val="21"/>
        </w:rPr>
        <w:t>先锋新村</w:t>
      </w:r>
      <w:r>
        <w:rPr>
          <w:rFonts w:hint="eastAsia" w:ascii="宋体" w:hAnsi="宋体"/>
          <w:szCs w:val="21"/>
        </w:rPr>
        <w:t xml:space="preserve">  位于主田镇，距市区</w:t>
      </w:r>
      <w:r>
        <w:rPr>
          <w:rFonts w:ascii="宋体" w:hAnsi="宋体"/>
          <w:szCs w:val="21"/>
        </w:rPr>
        <w:t>5公里。1990年动工兴建，首期22户于1992年</w:t>
      </w:r>
      <w:r>
        <w:rPr>
          <w:rFonts w:hint="eastAsia" w:ascii="宋体" w:hAnsi="宋体"/>
          <w:szCs w:val="21"/>
        </w:rPr>
        <w:t>元旦迁入居住，</w:t>
      </w:r>
      <w:r>
        <w:rPr>
          <w:rFonts w:ascii="宋体" w:hAnsi="宋体"/>
          <w:szCs w:val="21"/>
        </w:rPr>
        <w:t>2004年底达50户，住宅均按照统一规划设计，每户占地面积180平</w:t>
      </w:r>
      <w:r>
        <w:rPr>
          <w:rFonts w:hint="eastAsia" w:ascii="宋体" w:hAnsi="宋体"/>
          <w:szCs w:val="21"/>
        </w:rPr>
        <w:t>方米，</w:t>
      </w:r>
      <w:r>
        <w:rPr>
          <w:rFonts w:ascii="宋体" w:hAnsi="宋体"/>
          <w:szCs w:val="21"/>
        </w:rPr>
        <w:t>2层砖混结构楼房，前后有小院。道路宽坦，水泥铺设。</w:t>
      </w:r>
    </w:p>
    <w:p w14:paraId="63946AAB">
      <w:pPr>
        <w:ind w:firstLine="422"/>
        <w:rPr>
          <w:rFonts w:ascii="宋体" w:hAnsi="宋体"/>
          <w:szCs w:val="21"/>
        </w:rPr>
      </w:pPr>
      <w:r>
        <w:rPr>
          <w:rFonts w:hint="eastAsia" w:ascii="宋体" w:hAnsi="宋体"/>
          <w:b/>
          <w:szCs w:val="21"/>
        </w:rPr>
        <w:t>仓边新村</w:t>
      </w:r>
      <w:r>
        <w:rPr>
          <w:rFonts w:hint="eastAsia" w:ascii="宋体" w:hAnsi="宋体"/>
          <w:szCs w:val="21"/>
        </w:rPr>
        <w:t xml:space="preserve">  由群众自筹资金，统一规划，统一施工，经</w:t>
      </w:r>
      <w:r>
        <w:rPr>
          <w:rFonts w:ascii="宋体" w:hAnsi="宋体"/>
          <w:szCs w:val="21"/>
        </w:rPr>
        <w:t>8年拆旧建新，建成长280米，宽60米的长方形街巷庭院式新村。全村共有48户。村庄由两排2层楼房组</w:t>
      </w:r>
      <w:r>
        <w:rPr>
          <w:rFonts w:hint="eastAsia" w:ascii="宋体" w:hAnsi="宋体"/>
          <w:szCs w:val="21"/>
        </w:rPr>
        <w:t>成，每户建筑面积</w:t>
      </w:r>
      <w:r>
        <w:rPr>
          <w:rFonts w:ascii="宋体" w:hAnsi="宋体"/>
          <w:szCs w:val="21"/>
        </w:rPr>
        <w:t>180平方米，楼房后建有10米×8米小院，院后建厨房和卫生间</w:t>
      </w:r>
      <w:r>
        <w:rPr>
          <w:rFonts w:hint="eastAsia" w:ascii="宋体" w:hAnsi="宋体"/>
          <w:szCs w:val="21"/>
        </w:rPr>
        <w:t>。房屋</w:t>
      </w:r>
      <w:r>
        <w:rPr>
          <w:rFonts w:ascii="宋体" w:hAnsi="宋体"/>
          <w:szCs w:val="21"/>
        </w:rPr>
        <w:t>1米以下为砖石结构，1米以上为土砖结构，石灰粉刷墙壁，整洁大方，便于</w:t>
      </w:r>
      <w:r>
        <w:rPr>
          <w:rFonts w:hint="eastAsia" w:ascii="宋体" w:hAnsi="宋体"/>
          <w:szCs w:val="21"/>
        </w:rPr>
        <w:t>居住。</w:t>
      </w:r>
    </w:p>
    <w:p w14:paraId="2ECBAF05">
      <w:pPr>
        <w:ind w:firstLine="422"/>
        <w:rPr>
          <w:rFonts w:ascii="宋体" w:hAnsi="宋体"/>
          <w:szCs w:val="21"/>
        </w:rPr>
      </w:pPr>
      <w:r>
        <w:rPr>
          <w:rFonts w:hint="eastAsia" w:ascii="宋体" w:hAnsi="宋体"/>
          <w:b/>
          <w:szCs w:val="21"/>
        </w:rPr>
        <w:t>珠玑新村</w:t>
      </w:r>
      <w:r>
        <w:rPr>
          <w:rFonts w:hint="eastAsia" w:ascii="宋体" w:hAnsi="宋体"/>
          <w:szCs w:val="21"/>
        </w:rPr>
        <w:t xml:space="preserve">  位于市区东北</w:t>
      </w:r>
      <w:r>
        <w:rPr>
          <w:rFonts w:ascii="宋体" w:hAnsi="宋体"/>
          <w:szCs w:val="21"/>
        </w:rPr>
        <w:t>6公里。1995年为发展珠玑古巷旅游区而迁居兴建。1996年完工交付使用。总面积35000平方米，已迁入居住70户。村内安装了自来水</w:t>
      </w:r>
      <w:r>
        <w:rPr>
          <w:rFonts w:hint="eastAsia" w:ascii="宋体" w:hAnsi="宋体"/>
          <w:szCs w:val="21"/>
        </w:rPr>
        <w:t>，有较完善的美化和绿化。</w:t>
      </w:r>
    </w:p>
    <w:p w14:paraId="472B705C">
      <w:pPr>
        <w:pStyle w:val="4"/>
        <w:rPr>
          <w:rFonts w:ascii="宋体" w:hAnsi="宋体"/>
        </w:rPr>
      </w:pPr>
      <w:r>
        <w:rPr>
          <w:rFonts w:hint="eastAsia" w:ascii="宋体" w:hAnsi="宋体"/>
        </w:rPr>
        <w:t>第三节  房地产管理</w:t>
      </w:r>
    </w:p>
    <w:p w14:paraId="13DB8198">
      <w:pPr>
        <w:pStyle w:val="5"/>
        <w:rPr>
          <w:rFonts w:ascii="宋体" w:hAnsi="宋体"/>
        </w:rPr>
      </w:pPr>
      <w:r>
        <w:rPr>
          <w:rFonts w:hint="eastAsia" w:ascii="宋体" w:hAnsi="宋体"/>
        </w:rPr>
        <w:t>一、地产管理</w:t>
      </w:r>
    </w:p>
    <w:p w14:paraId="11C70A36">
      <w:pPr>
        <w:ind w:firstLine="420"/>
        <w:rPr>
          <w:rFonts w:ascii="宋体" w:hAnsi="宋体"/>
          <w:szCs w:val="21"/>
        </w:rPr>
      </w:pPr>
      <w:r>
        <w:rPr>
          <w:rFonts w:hint="eastAsia" w:ascii="宋体" w:hAnsi="宋体"/>
          <w:szCs w:val="21"/>
        </w:rPr>
        <w:t>民国时期，地产由县民政科管理。新中国成立后直至</w:t>
      </w:r>
      <w:r>
        <w:rPr>
          <w:rFonts w:ascii="宋体" w:hAnsi="宋体"/>
          <w:szCs w:val="21"/>
        </w:rPr>
        <w:t>1978年，土地征用仍由县</w:t>
      </w:r>
      <w:r>
        <w:rPr>
          <w:rFonts w:hint="eastAsia" w:ascii="宋体" w:hAnsi="宋体"/>
          <w:szCs w:val="21"/>
        </w:rPr>
        <w:t>民政局主管。</w:t>
      </w:r>
      <w:r>
        <w:rPr>
          <w:rFonts w:ascii="宋体" w:hAnsi="宋体"/>
          <w:szCs w:val="21"/>
        </w:rPr>
        <w:t>1979年起改由县建设局主管。1984年10月，由县征地办公室主管</w:t>
      </w:r>
      <w:r>
        <w:rPr>
          <w:rFonts w:hint="eastAsia" w:ascii="宋体" w:hAnsi="宋体"/>
          <w:szCs w:val="21"/>
        </w:rPr>
        <w:t>。</w:t>
      </w:r>
      <w:r>
        <w:rPr>
          <w:rFonts w:ascii="宋体" w:hAnsi="宋体"/>
          <w:szCs w:val="21"/>
        </w:rPr>
        <w:t>1985年后由县国土局主管</w:t>
      </w:r>
      <w:r>
        <w:rPr>
          <w:rFonts w:hint="eastAsia" w:ascii="宋体" w:hAnsi="宋体"/>
          <w:szCs w:val="21"/>
        </w:rPr>
        <w:t>。</w:t>
      </w:r>
    </w:p>
    <w:p w14:paraId="058E3639">
      <w:pPr>
        <w:ind w:firstLine="420"/>
        <w:rPr>
          <w:rFonts w:ascii="宋体" w:hAnsi="宋体"/>
          <w:szCs w:val="21"/>
        </w:rPr>
      </w:pPr>
      <w:r>
        <w:rPr>
          <w:rFonts w:ascii="宋体" w:hAnsi="宋体"/>
          <w:szCs w:val="21"/>
        </w:rPr>
        <w:t>1988年以来，全市征用土地517.20公顷。其中河南工业开发区7.81公顷，苍石</w:t>
      </w:r>
      <w:r>
        <w:rPr>
          <w:rFonts w:hint="eastAsia" w:ascii="宋体" w:hAnsi="宋体"/>
          <w:szCs w:val="21"/>
        </w:rPr>
        <w:t>水库</w:t>
      </w:r>
      <w:r>
        <w:rPr>
          <w:rFonts w:ascii="宋体" w:hAnsi="宋体"/>
          <w:szCs w:val="21"/>
        </w:rPr>
        <w:t>74.20公顷，城市建设用地60多公顷，工业建设用地80公顷，公路建设用地73.33公顷，浈江河堤用地6.63公顷。征用土地补偿费按不同时期征用土地的年产</w:t>
      </w:r>
      <w:r>
        <w:rPr>
          <w:rFonts w:hint="eastAsia" w:ascii="宋体" w:hAnsi="宋体"/>
          <w:szCs w:val="21"/>
        </w:rPr>
        <w:t>值依例给予补偿。</w:t>
      </w:r>
    </w:p>
    <w:p w14:paraId="702CC5E2">
      <w:pPr>
        <w:ind w:firstLine="420"/>
        <w:rPr>
          <w:rFonts w:ascii="宋体" w:hAnsi="宋体"/>
          <w:szCs w:val="21"/>
        </w:rPr>
      </w:pPr>
      <w:r>
        <w:rPr>
          <w:rFonts w:ascii="宋体" w:hAnsi="宋体"/>
          <w:szCs w:val="21"/>
        </w:rPr>
        <w:t>2000年至2005年，共查处违法用地98宗，面积11261平方米，其中责令拆除5526平方米。</w:t>
      </w:r>
    </w:p>
    <w:p w14:paraId="7A0337A1">
      <w:pPr>
        <w:pStyle w:val="5"/>
        <w:rPr>
          <w:rFonts w:ascii="宋体" w:hAnsi="宋体"/>
        </w:rPr>
      </w:pPr>
      <w:r>
        <w:rPr>
          <w:rFonts w:hint="eastAsia" w:ascii="宋体" w:hAnsi="宋体"/>
        </w:rPr>
        <w:t>二、房产管理</w:t>
      </w:r>
    </w:p>
    <w:p w14:paraId="146CB4C7">
      <w:pPr>
        <w:ind w:firstLine="420"/>
        <w:rPr>
          <w:rFonts w:ascii="宋体" w:hAnsi="宋体"/>
          <w:szCs w:val="21"/>
        </w:rPr>
      </w:pPr>
      <w:r>
        <w:rPr>
          <w:rFonts w:hint="eastAsia" w:ascii="宋体" w:hAnsi="宋体"/>
          <w:szCs w:val="21"/>
        </w:rPr>
        <w:t>市房管所是自收自支的事业单位，隶属市建设局领导，主要负责公产房租赁管理以及房产发证、交易、评估、房地产抵押和白蚁防治等业务。</w:t>
      </w:r>
    </w:p>
    <w:p w14:paraId="4E379338">
      <w:pPr>
        <w:ind w:firstLine="420"/>
        <w:rPr>
          <w:rFonts w:ascii="宋体" w:hAnsi="宋体"/>
          <w:szCs w:val="21"/>
        </w:rPr>
      </w:pPr>
      <w:r>
        <w:rPr>
          <w:rFonts w:ascii="宋体" w:hAnsi="宋体"/>
          <w:szCs w:val="21"/>
        </w:rPr>
        <w:t>1998年前房管所直接管理的公产房有153708.91平方米，1998年至2003年因市</w:t>
      </w:r>
      <w:r>
        <w:rPr>
          <w:rFonts w:hint="eastAsia" w:ascii="宋体" w:hAnsi="宋体"/>
          <w:szCs w:val="21"/>
        </w:rPr>
        <w:t>商业、供销、粮食</w:t>
      </w:r>
      <w:r>
        <w:rPr>
          <w:rFonts w:ascii="宋体" w:hAnsi="宋体"/>
          <w:szCs w:val="21"/>
        </w:rPr>
        <w:t>3个单位转制，经市政府同意，共划</w:t>
      </w:r>
      <w:r>
        <w:rPr>
          <w:rFonts w:hint="eastAsia" w:ascii="宋体" w:hAnsi="宋体"/>
          <w:szCs w:val="21"/>
        </w:rPr>
        <w:t>拨</w:t>
      </w:r>
      <w:r>
        <w:rPr>
          <w:rFonts w:ascii="宋体" w:hAnsi="宋体"/>
          <w:szCs w:val="21"/>
        </w:rPr>
        <w:t>公产房面积21156.33平方</w:t>
      </w:r>
      <w:r>
        <w:rPr>
          <w:rFonts w:hint="eastAsia" w:ascii="宋体" w:hAnsi="宋体"/>
          <w:szCs w:val="21"/>
        </w:rPr>
        <w:t>米给以上</w:t>
      </w:r>
      <w:r>
        <w:rPr>
          <w:rFonts w:ascii="宋体" w:hAnsi="宋体"/>
          <w:szCs w:val="21"/>
        </w:rPr>
        <w:t>3个单位。1998年至2005年11月，因城市经营建设需要共拆除公房面积84552.58平方</w:t>
      </w:r>
      <w:r>
        <w:rPr>
          <w:rFonts w:hint="eastAsia" w:ascii="宋体" w:hAnsi="宋体"/>
          <w:szCs w:val="21"/>
        </w:rPr>
        <w:t>米</w:t>
      </w:r>
      <w:r>
        <w:rPr>
          <w:rFonts w:ascii="宋体" w:hAnsi="宋体"/>
          <w:szCs w:val="21"/>
        </w:rPr>
        <w:t>。房管所管理的公产房只剩下4.8万平方米，共1087户住户，其中</w:t>
      </w:r>
      <w:r>
        <w:rPr>
          <w:rFonts w:hint="eastAsia" w:ascii="宋体" w:hAnsi="宋体"/>
          <w:szCs w:val="21"/>
        </w:rPr>
        <w:t>小部分是经租房，部分是新建房。</w:t>
      </w:r>
    </w:p>
    <w:p w14:paraId="1D814A8C">
      <w:pPr>
        <w:pStyle w:val="5"/>
        <w:rPr>
          <w:rFonts w:ascii="宋体" w:hAnsi="宋体"/>
        </w:rPr>
      </w:pPr>
      <w:r>
        <w:rPr>
          <w:rFonts w:hint="eastAsia" w:ascii="宋体" w:hAnsi="宋体"/>
        </w:rPr>
        <w:t>三、住房制度改革</w:t>
      </w:r>
    </w:p>
    <w:p w14:paraId="5AD4152E">
      <w:pPr>
        <w:ind w:firstLine="420"/>
        <w:rPr>
          <w:rFonts w:ascii="宋体" w:hAnsi="宋体"/>
          <w:szCs w:val="21"/>
        </w:rPr>
      </w:pPr>
      <w:r>
        <w:rPr>
          <w:rFonts w:ascii="宋体" w:hAnsi="宋体"/>
          <w:szCs w:val="21"/>
        </w:rPr>
        <w:t>1988年2月，南雄县住房改革领导小组成立，同年8月，制定《南雄县住房制</w:t>
      </w:r>
      <w:r>
        <w:rPr>
          <w:rFonts w:hint="eastAsia" w:ascii="宋体" w:hAnsi="宋体"/>
          <w:szCs w:val="21"/>
        </w:rPr>
        <w:t>度改革方案》，</w:t>
      </w:r>
      <w:r>
        <w:rPr>
          <w:rFonts w:ascii="宋体" w:hAnsi="宋体"/>
          <w:szCs w:val="21"/>
        </w:rPr>
        <w:t>1989年试行。1997年9月，执行《南雄县深化住房制度改革方案》，</w:t>
      </w:r>
      <w:r>
        <w:rPr>
          <w:rFonts w:hint="eastAsia" w:ascii="宋体" w:hAnsi="宋体"/>
          <w:szCs w:val="21"/>
        </w:rPr>
        <w:t>实行住房公积金制度，公有住房按成本价出售，逐步实行住房商品化、私有化。至</w:t>
      </w:r>
      <w:r>
        <w:rPr>
          <w:rFonts w:ascii="宋体" w:hAnsi="宋体"/>
          <w:szCs w:val="21"/>
        </w:rPr>
        <w:t>1999年12月，全市出售公有住房4000套，面积40万平方米，回收资金1200万元</w:t>
      </w:r>
      <w:r>
        <w:rPr>
          <w:rFonts w:hint="eastAsia" w:ascii="宋体" w:hAnsi="宋体"/>
          <w:szCs w:val="21"/>
        </w:rPr>
        <w:t>。</w:t>
      </w:r>
      <w:r>
        <w:rPr>
          <w:rFonts w:ascii="宋体" w:hAnsi="宋体"/>
          <w:szCs w:val="21"/>
        </w:rPr>
        <w:t>2000年1月，全面实行住房货币制度，停止出售和出租公有住房，干部职工领取住</w:t>
      </w:r>
      <w:r>
        <w:rPr>
          <w:rFonts w:hint="eastAsia" w:ascii="宋体" w:hAnsi="宋体"/>
          <w:szCs w:val="21"/>
        </w:rPr>
        <w:t>房补贴。</w:t>
      </w:r>
    </w:p>
    <w:p w14:paraId="74F8C0CB">
      <w:pPr>
        <w:ind w:firstLine="420"/>
        <w:rPr>
          <w:rFonts w:ascii="宋体" w:hAnsi="宋体"/>
          <w:szCs w:val="21"/>
        </w:rPr>
      </w:pPr>
      <w:r>
        <w:rPr>
          <w:rFonts w:ascii="宋体" w:hAnsi="宋体"/>
          <w:szCs w:val="21"/>
        </w:rPr>
        <w:t>1997年9月颁布《南雄市住房公积金实施办法》，至2004年全市汇缴住房公积</w:t>
      </w:r>
      <w:r>
        <w:rPr>
          <w:rFonts w:hint="eastAsia" w:ascii="宋体" w:hAnsi="宋体"/>
          <w:szCs w:val="21"/>
        </w:rPr>
        <w:t>金单位</w:t>
      </w:r>
      <w:r>
        <w:rPr>
          <w:rFonts w:ascii="宋体" w:hAnsi="宋体"/>
          <w:szCs w:val="21"/>
        </w:rPr>
        <w:t>160个，7300多人，公积金余额4790多万元。</w:t>
      </w:r>
    </w:p>
    <w:p w14:paraId="5CB339AD">
      <w:pPr>
        <w:pStyle w:val="2"/>
        <w:rPr>
          <w:rFonts w:ascii="宋体" w:hAnsi="宋体"/>
        </w:rPr>
      </w:pPr>
      <w:r>
        <w:rPr>
          <w:rFonts w:hint="eastAsia" w:ascii="宋体" w:hAnsi="宋体"/>
        </w:rPr>
        <w:t>第四编  政治</w:t>
      </w:r>
    </w:p>
    <w:p w14:paraId="7E9BDC22">
      <w:pPr>
        <w:pStyle w:val="3"/>
        <w:rPr>
          <w:rFonts w:ascii="宋体" w:hAnsi="宋体"/>
        </w:rPr>
      </w:pPr>
      <w:r>
        <w:rPr>
          <w:rFonts w:hint="eastAsia" w:ascii="宋体" w:hAnsi="宋体"/>
        </w:rPr>
        <w:t>第一章  中共南雄市（县）委员会</w:t>
      </w:r>
    </w:p>
    <w:p w14:paraId="67E66F68">
      <w:pPr>
        <w:pStyle w:val="4"/>
        <w:rPr>
          <w:rFonts w:ascii="宋体" w:hAnsi="宋体"/>
        </w:rPr>
      </w:pPr>
      <w:r>
        <w:rPr>
          <w:rFonts w:hint="eastAsia" w:ascii="宋体" w:hAnsi="宋体"/>
        </w:rPr>
        <w:t>第一节  新中国成立后党员代表大会、市（县）委全委会、常委会</w:t>
      </w:r>
    </w:p>
    <w:p w14:paraId="2857A977">
      <w:pPr>
        <w:pStyle w:val="5"/>
        <w:rPr>
          <w:rFonts w:ascii="宋体" w:hAnsi="宋体"/>
        </w:rPr>
      </w:pPr>
      <w:r>
        <w:rPr>
          <w:rFonts w:hint="eastAsia" w:ascii="宋体" w:hAnsi="宋体"/>
        </w:rPr>
        <w:t>一、市（县）党员代表大会</w:t>
      </w:r>
    </w:p>
    <w:p w14:paraId="2E78AC54">
      <w:pPr>
        <w:ind w:firstLine="420"/>
        <w:rPr>
          <w:rFonts w:ascii="宋体" w:hAnsi="宋体"/>
          <w:szCs w:val="21"/>
        </w:rPr>
      </w:pPr>
      <w:r>
        <w:rPr>
          <w:rFonts w:ascii="宋体" w:hAnsi="宋体"/>
          <w:szCs w:val="21"/>
        </w:rPr>
        <w:t>1956年至2003年，共召开10次党员代表大会，每次大会均在市区（县城）召</w:t>
      </w:r>
      <w:r>
        <w:rPr>
          <w:rFonts w:hint="eastAsia" w:ascii="宋体" w:hAnsi="宋体"/>
          <w:szCs w:val="21"/>
        </w:rPr>
        <w:t>开。代表大会的主要任务是听取和审议市（县）委工作报告和市（县）纪检（监察）委员会工作报告及选举产生市（县）委员会和纪检（监察）委员会委员，并分别由市（县）委委员和纪检（监察）委员全体会议选举产生市（县）委常委、书记、副书记和纪检（监察）委员会常委、书记、副书记。</w:t>
      </w:r>
    </w:p>
    <w:p w14:paraId="502F5405">
      <w:pPr>
        <w:ind w:firstLine="422"/>
        <w:rPr>
          <w:rFonts w:ascii="宋体" w:hAnsi="宋体"/>
          <w:szCs w:val="21"/>
        </w:rPr>
      </w:pPr>
      <w:r>
        <w:rPr>
          <w:rFonts w:hint="eastAsia" w:ascii="宋体" w:hAnsi="宋体"/>
          <w:b/>
          <w:szCs w:val="21"/>
        </w:rPr>
        <w:t>第四次代表大会：</w:t>
      </w:r>
      <w:r>
        <w:rPr>
          <w:rFonts w:ascii="宋体" w:hAnsi="宋体"/>
          <w:szCs w:val="21"/>
        </w:rPr>
        <w:t>1980年6月28日至7月1日召开，出席代表297人。大会审</w:t>
      </w:r>
      <w:r>
        <w:rPr>
          <w:rFonts w:hint="eastAsia" w:ascii="宋体" w:hAnsi="宋体"/>
          <w:szCs w:val="21"/>
        </w:rPr>
        <w:t>议通过县委工作报告和县委纪律检查委员会工作报告。选举产生中共南雄县第四次委员会委员</w:t>
      </w:r>
      <w:r>
        <w:rPr>
          <w:rFonts w:ascii="宋体" w:hAnsi="宋体"/>
          <w:szCs w:val="21"/>
        </w:rPr>
        <w:t>25人、候补委员4人，选举出席广东省党代会代表3人、候补代表1人。</w:t>
      </w:r>
      <w:r>
        <w:rPr>
          <w:rFonts w:hint="eastAsia" w:ascii="宋体" w:hAnsi="宋体"/>
          <w:szCs w:val="21"/>
        </w:rPr>
        <w:t>四届一次全委会选举产生县委常委</w:t>
      </w:r>
      <w:r>
        <w:rPr>
          <w:rFonts w:ascii="宋体" w:hAnsi="宋体"/>
          <w:szCs w:val="21"/>
        </w:rPr>
        <w:t>11人，沈会峰为书记，赵焕宝、赖济标、王春堂</w:t>
      </w:r>
      <w:r>
        <w:rPr>
          <w:rFonts w:hint="eastAsia" w:ascii="宋体" w:hAnsi="宋体"/>
          <w:szCs w:val="21"/>
        </w:rPr>
        <w:t>、肖有根为副书记；选举产生县委纪律检查委员会委员</w:t>
      </w:r>
      <w:r>
        <w:rPr>
          <w:rFonts w:ascii="宋体" w:hAnsi="宋体"/>
          <w:szCs w:val="21"/>
        </w:rPr>
        <w:t>9人，王春堂为书记，卢章严</w:t>
      </w:r>
      <w:r>
        <w:rPr>
          <w:rFonts w:hint="eastAsia" w:ascii="宋体" w:hAnsi="宋体"/>
          <w:szCs w:val="21"/>
        </w:rPr>
        <w:t>、吴河清为副书记。</w:t>
      </w:r>
    </w:p>
    <w:p w14:paraId="6D45341D">
      <w:pPr>
        <w:ind w:firstLine="422"/>
        <w:rPr>
          <w:rFonts w:ascii="宋体" w:hAnsi="宋体"/>
          <w:szCs w:val="21"/>
        </w:rPr>
      </w:pPr>
      <w:r>
        <w:rPr>
          <w:rFonts w:hint="eastAsia" w:ascii="宋体" w:hAnsi="宋体"/>
          <w:b/>
          <w:szCs w:val="21"/>
        </w:rPr>
        <w:t>第五次代表大会：</w:t>
      </w:r>
      <w:r>
        <w:rPr>
          <w:rFonts w:ascii="宋体" w:hAnsi="宋体"/>
          <w:szCs w:val="21"/>
        </w:rPr>
        <w:t>1984年8月24日至26日召开，出席代表399人。大会听取和</w:t>
      </w:r>
      <w:r>
        <w:rPr>
          <w:rFonts w:hint="eastAsia" w:ascii="宋体" w:hAnsi="宋体"/>
          <w:szCs w:val="21"/>
        </w:rPr>
        <w:t>审议通过县委工作报告和县纪检会工作报告（以下简称“两报告”），选举产生中共南雄县第五届委员会委员</w:t>
      </w:r>
      <w:r>
        <w:rPr>
          <w:rFonts w:ascii="宋体" w:hAnsi="宋体"/>
          <w:szCs w:val="21"/>
        </w:rPr>
        <w:t>27名，候补委员4名，选举出席韶关市党员代表大会代表35名。五届一次全委会选举产生县委常委9名，肖有根为书记，黄武君、陈庆泉</w:t>
      </w:r>
      <w:r>
        <w:rPr>
          <w:rFonts w:hint="eastAsia" w:ascii="宋体" w:hAnsi="宋体"/>
          <w:szCs w:val="21"/>
        </w:rPr>
        <w:t>、赖济标为副书记。大会选举产生县纪律检查委员会委员</w:t>
      </w:r>
      <w:r>
        <w:rPr>
          <w:rFonts w:ascii="宋体" w:hAnsi="宋体"/>
          <w:szCs w:val="21"/>
        </w:rPr>
        <w:t>15名。五届纪委第一次会议</w:t>
      </w:r>
      <w:r>
        <w:rPr>
          <w:rFonts w:hint="eastAsia" w:ascii="宋体" w:hAnsi="宋体"/>
          <w:szCs w:val="21"/>
        </w:rPr>
        <w:t>选举产生县纪委常委</w:t>
      </w:r>
      <w:r>
        <w:rPr>
          <w:rFonts w:ascii="宋体" w:hAnsi="宋体"/>
          <w:szCs w:val="21"/>
        </w:rPr>
        <w:t>7名，陈庆泉为书记，谢兴宏、叶际法为副书记。</w:t>
      </w:r>
    </w:p>
    <w:p w14:paraId="7649F765">
      <w:pPr>
        <w:ind w:firstLine="422"/>
        <w:rPr>
          <w:rFonts w:ascii="宋体" w:hAnsi="宋体"/>
          <w:szCs w:val="21"/>
        </w:rPr>
      </w:pPr>
      <w:r>
        <w:rPr>
          <w:rFonts w:hint="eastAsia" w:ascii="宋体" w:hAnsi="宋体"/>
          <w:b/>
          <w:szCs w:val="21"/>
        </w:rPr>
        <w:t>第六次代表大会：</w:t>
      </w:r>
      <w:r>
        <w:rPr>
          <w:rFonts w:ascii="宋体" w:hAnsi="宋体"/>
          <w:szCs w:val="21"/>
        </w:rPr>
        <w:t>1987年4月7日至9日召开，出席代表384人。大会听取和审</w:t>
      </w:r>
      <w:r>
        <w:rPr>
          <w:rFonts w:hint="eastAsia" w:ascii="宋体" w:hAnsi="宋体"/>
          <w:szCs w:val="21"/>
        </w:rPr>
        <w:t>议通过“两报告”，选举产生中共南雄县第六届委员会委员</w:t>
      </w:r>
      <w:r>
        <w:rPr>
          <w:rFonts w:ascii="宋体" w:hAnsi="宋体"/>
          <w:szCs w:val="21"/>
        </w:rPr>
        <w:t>29人，候补委员4人。六</w:t>
      </w:r>
      <w:r>
        <w:rPr>
          <w:rFonts w:hint="eastAsia" w:ascii="宋体" w:hAnsi="宋体"/>
          <w:szCs w:val="21"/>
        </w:rPr>
        <w:t>届一次全体委员会议选举产生县委常委</w:t>
      </w:r>
      <w:r>
        <w:rPr>
          <w:rFonts w:ascii="宋体" w:hAnsi="宋体"/>
          <w:szCs w:val="21"/>
        </w:rPr>
        <w:t>10人，肖有根为书记，黄武君、黄永东、赖</w:t>
      </w:r>
      <w:r>
        <w:rPr>
          <w:rFonts w:hint="eastAsia" w:ascii="宋体" w:hAnsi="宋体"/>
          <w:szCs w:val="21"/>
        </w:rPr>
        <w:t>济标为副书记。大会选举产生县纪律检查委员会委员</w:t>
      </w:r>
      <w:r>
        <w:rPr>
          <w:rFonts w:ascii="宋体" w:hAnsi="宋体"/>
          <w:szCs w:val="21"/>
        </w:rPr>
        <w:t>15人。六届纪委一次全体委员</w:t>
      </w:r>
      <w:r>
        <w:rPr>
          <w:rFonts w:hint="eastAsia" w:ascii="宋体" w:hAnsi="宋体"/>
          <w:szCs w:val="21"/>
        </w:rPr>
        <w:t>会议选举产生纪委常委</w:t>
      </w:r>
      <w:r>
        <w:rPr>
          <w:rFonts w:ascii="宋体" w:hAnsi="宋体"/>
          <w:szCs w:val="21"/>
        </w:rPr>
        <w:t>7人，郭衍全为书记，谢兴宏、马水源为副书记</w:t>
      </w:r>
      <w:r>
        <w:rPr>
          <w:rFonts w:hint="eastAsia" w:ascii="宋体" w:hAnsi="宋体"/>
          <w:szCs w:val="21"/>
        </w:rPr>
        <w:t>。</w:t>
      </w:r>
    </w:p>
    <w:p w14:paraId="36A78401">
      <w:pPr>
        <w:ind w:firstLine="420"/>
        <w:rPr>
          <w:rFonts w:ascii="宋体" w:hAnsi="宋体"/>
          <w:szCs w:val="21"/>
        </w:rPr>
      </w:pPr>
      <w:r>
        <w:rPr>
          <w:rFonts w:ascii="宋体" w:hAnsi="宋体"/>
          <w:szCs w:val="21"/>
        </w:rPr>
        <w:t>1987年11月22日召开六届二次全体委员会议，补选吴承建、李干红为副书记，</w:t>
      </w:r>
      <w:r>
        <w:rPr>
          <w:rFonts w:hint="eastAsia" w:ascii="宋体" w:hAnsi="宋体"/>
          <w:szCs w:val="21"/>
        </w:rPr>
        <w:t>黄学才为常委。</w:t>
      </w:r>
    </w:p>
    <w:p w14:paraId="047A6ED6">
      <w:pPr>
        <w:ind w:firstLine="422"/>
        <w:rPr>
          <w:rFonts w:ascii="宋体" w:hAnsi="宋体"/>
          <w:szCs w:val="21"/>
        </w:rPr>
      </w:pPr>
      <w:r>
        <w:rPr>
          <w:rFonts w:hint="eastAsia" w:ascii="宋体" w:hAnsi="宋体"/>
          <w:b/>
          <w:szCs w:val="21"/>
        </w:rPr>
        <w:t>第七次代表大会：</w:t>
      </w:r>
      <w:r>
        <w:rPr>
          <w:rFonts w:ascii="宋体" w:hAnsi="宋体"/>
          <w:szCs w:val="21"/>
        </w:rPr>
        <w:t>1990年3月15日至19日召开，出席代表374人。大会听取和</w:t>
      </w:r>
      <w:r>
        <w:rPr>
          <w:rFonts w:hint="eastAsia" w:ascii="宋体" w:hAnsi="宋体"/>
          <w:szCs w:val="21"/>
        </w:rPr>
        <w:t>审议通过“两报告”，选举产生中共南雄县第七届委员会委员</w:t>
      </w:r>
      <w:r>
        <w:rPr>
          <w:rFonts w:ascii="宋体" w:hAnsi="宋体"/>
          <w:szCs w:val="21"/>
        </w:rPr>
        <w:t>29人，候补委员4人，</w:t>
      </w:r>
      <w:r>
        <w:rPr>
          <w:rFonts w:hint="eastAsia" w:ascii="宋体" w:hAnsi="宋体"/>
          <w:szCs w:val="21"/>
        </w:rPr>
        <w:t>纪检委员</w:t>
      </w:r>
      <w:r>
        <w:rPr>
          <w:rFonts w:ascii="宋体" w:hAnsi="宋体"/>
          <w:szCs w:val="21"/>
        </w:rPr>
        <w:t>15人。七届一次全委会选举产生县委常委7名，吴承建为书记，林志诚、</w:t>
      </w:r>
      <w:r>
        <w:rPr>
          <w:rFonts w:hint="eastAsia" w:ascii="宋体" w:hAnsi="宋体"/>
          <w:szCs w:val="21"/>
        </w:rPr>
        <w:t>郭衍全、江青粦为副书记。县纪委七届一次全委会选举谢兴宏为纪委书记。</w:t>
      </w:r>
    </w:p>
    <w:p w14:paraId="791E2E59">
      <w:pPr>
        <w:ind w:firstLine="422"/>
        <w:rPr>
          <w:rFonts w:ascii="宋体" w:hAnsi="宋体"/>
          <w:szCs w:val="21"/>
        </w:rPr>
      </w:pPr>
      <w:r>
        <w:rPr>
          <w:rFonts w:hint="eastAsia" w:ascii="宋体" w:hAnsi="宋体"/>
          <w:b/>
          <w:szCs w:val="21"/>
        </w:rPr>
        <w:t>第八次代表大会：</w:t>
      </w:r>
      <w:r>
        <w:rPr>
          <w:rFonts w:ascii="宋体" w:hAnsi="宋体"/>
          <w:szCs w:val="21"/>
        </w:rPr>
        <w:t>1993年2月22日至25日召开，出席代表380人。大会听取和</w:t>
      </w:r>
      <w:r>
        <w:rPr>
          <w:rFonts w:hint="eastAsia" w:ascii="宋体" w:hAnsi="宋体"/>
          <w:szCs w:val="21"/>
        </w:rPr>
        <w:t>审议通过“两报告”，选举产生中共南雄县委员会委员</w:t>
      </w:r>
      <w:r>
        <w:rPr>
          <w:rFonts w:ascii="宋体" w:hAnsi="宋体"/>
          <w:szCs w:val="21"/>
        </w:rPr>
        <w:t>29名，候补委员4名；选举产</w:t>
      </w:r>
      <w:r>
        <w:rPr>
          <w:rFonts w:hint="eastAsia" w:ascii="宋体" w:hAnsi="宋体"/>
          <w:szCs w:val="21"/>
        </w:rPr>
        <w:t>生中共南雄县纪律检查委员会委员</w:t>
      </w:r>
      <w:r>
        <w:rPr>
          <w:rFonts w:ascii="宋体" w:hAnsi="宋体"/>
          <w:szCs w:val="21"/>
        </w:rPr>
        <w:t>15名。八届一次全委会选举产生县委常委11名，</w:t>
      </w:r>
      <w:r>
        <w:rPr>
          <w:rFonts w:hint="eastAsia" w:ascii="宋体" w:hAnsi="宋体"/>
          <w:szCs w:val="21"/>
        </w:rPr>
        <w:t>江青粦为书记，郭衍全、丘隆基、沈学柏为副书记。八届纪委一次全委会议选举谢兴宏为纪委书记，何万飞、蔡伟庭为副书记。</w:t>
      </w:r>
    </w:p>
    <w:p w14:paraId="13FD6603">
      <w:pPr>
        <w:ind w:firstLine="422"/>
        <w:rPr>
          <w:rFonts w:ascii="宋体" w:hAnsi="宋体"/>
          <w:szCs w:val="21"/>
        </w:rPr>
      </w:pPr>
      <w:r>
        <w:rPr>
          <w:rFonts w:hint="eastAsia" w:ascii="宋体" w:hAnsi="宋体"/>
          <w:b/>
          <w:szCs w:val="21"/>
        </w:rPr>
        <w:t>第九次代表大会：</w:t>
      </w:r>
      <w:r>
        <w:rPr>
          <w:rFonts w:ascii="宋体" w:hAnsi="宋体"/>
          <w:szCs w:val="21"/>
        </w:rPr>
        <w:t>1998年3月7日至10日召开，出席代表388人。大会审议通</w:t>
      </w:r>
      <w:r>
        <w:rPr>
          <w:rFonts w:hint="eastAsia" w:ascii="宋体" w:hAnsi="宋体"/>
          <w:szCs w:val="21"/>
        </w:rPr>
        <w:t>过“两报告”，无记名投票选举产生中共南雄市第九届委员会委员</w:t>
      </w:r>
      <w:r>
        <w:rPr>
          <w:rFonts w:ascii="宋体" w:hAnsi="宋体"/>
          <w:szCs w:val="21"/>
        </w:rPr>
        <w:t>27名，候补委员6</w:t>
      </w:r>
      <w:r>
        <w:rPr>
          <w:rFonts w:hint="eastAsia" w:ascii="宋体" w:hAnsi="宋体"/>
          <w:szCs w:val="21"/>
        </w:rPr>
        <w:t>名，纪律检查委员会委员</w:t>
      </w:r>
      <w:r>
        <w:rPr>
          <w:rFonts w:ascii="宋体" w:hAnsi="宋体"/>
          <w:szCs w:val="21"/>
        </w:rPr>
        <w:t>15名。九届一次全委会议选举丘隆基为书记，沈明祥、罗</w:t>
      </w:r>
      <w:r>
        <w:rPr>
          <w:rFonts w:hint="eastAsia" w:ascii="宋体" w:hAnsi="宋体"/>
          <w:szCs w:val="21"/>
        </w:rPr>
        <w:t>展雄、张平为副书记。九届纪律检查委员会第一次全委会议选举产生市纪委常委</w:t>
      </w:r>
      <w:r>
        <w:rPr>
          <w:rFonts w:ascii="宋体" w:hAnsi="宋体"/>
          <w:szCs w:val="21"/>
        </w:rPr>
        <w:t>7</w:t>
      </w:r>
      <w:r>
        <w:rPr>
          <w:rFonts w:hint="eastAsia" w:ascii="宋体" w:hAnsi="宋体"/>
          <w:szCs w:val="21"/>
        </w:rPr>
        <w:t>名，曾昭佑为书记，何腾荣、刘开瑶为副书记。</w:t>
      </w:r>
    </w:p>
    <w:p w14:paraId="2550B2F6">
      <w:pPr>
        <w:ind w:firstLine="422"/>
        <w:rPr>
          <w:rFonts w:ascii="宋体" w:hAnsi="宋体"/>
          <w:szCs w:val="21"/>
        </w:rPr>
      </w:pPr>
      <w:r>
        <w:rPr>
          <w:rFonts w:hint="eastAsia" w:ascii="宋体" w:hAnsi="宋体"/>
          <w:b/>
          <w:szCs w:val="21"/>
        </w:rPr>
        <w:t>第十次代表大会：</w:t>
      </w:r>
      <w:r>
        <w:rPr>
          <w:rFonts w:ascii="宋体" w:hAnsi="宋体"/>
          <w:szCs w:val="21"/>
        </w:rPr>
        <w:t>2003年3月4日至6日召开，全体代表389名出席会议。大会</w:t>
      </w:r>
      <w:r>
        <w:rPr>
          <w:rFonts w:hint="eastAsia" w:ascii="宋体" w:hAnsi="宋体"/>
          <w:szCs w:val="21"/>
        </w:rPr>
        <w:t>听取和审议通过“两报告”，选举产生南雄市委第十届委员会委员</w:t>
      </w:r>
      <w:r>
        <w:rPr>
          <w:rFonts w:ascii="宋体" w:hAnsi="宋体"/>
          <w:szCs w:val="21"/>
        </w:rPr>
        <w:t>29名，候补委员6</w:t>
      </w:r>
      <w:r>
        <w:rPr>
          <w:rFonts w:hint="eastAsia" w:ascii="宋体" w:hAnsi="宋体"/>
          <w:szCs w:val="21"/>
        </w:rPr>
        <w:t>名，纪律检查委员会委员</w:t>
      </w:r>
      <w:r>
        <w:rPr>
          <w:rFonts w:ascii="宋体" w:hAnsi="宋体"/>
          <w:szCs w:val="21"/>
        </w:rPr>
        <w:t>15名。十届市委一次全会选举产生市委常委11名，何为星</w:t>
      </w:r>
      <w:r>
        <w:rPr>
          <w:rFonts w:hint="eastAsia" w:ascii="宋体" w:hAnsi="宋体"/>
          <w:szCs w:val="21"/>
        </w:rPr>
        <w:t>为书记，林楚欣、许建设、何万飞、许志新为副书记。十届纪委一次全体委员会议选举产生市纪委常委</w:t>
      </w:r>
      <w:r>
        <w:rPr>
          <w:rFonts w:ascii="宋体" w:hAnsi="宋体"/>
          <w:szCs w:val="21"/>
        </w:rPr>
        <w:t>7名，许志新为书记，何腾荣、张达明为副书记</w:t>
      </w:r>
      <w:r>
        <w:rPr>
          <w:rFonts w:hint="eastAsia" w:ascii="宋体" w:hAnsi="宋体"/>
          <w:szCs w:val="21"/>
        </w:rPr>
        <w:t>。</w:t>
      </w:r>
    </w:p>
    <w:p w14:paraId="4252F517">
      <w:pPr>
        <w:pStyle w:val="5"/>
        <w:rPr>
          <w:rFonts w:ascii="宋体" w:hAnsi="宋体"/>
        </w:rPr>
      </w:pPr>
      <w:r>
        <w:rPr>
          <w:rFonts w:hint="eastAsia" w:ascii="宋体" w:hAnsi="宋体"/>
        </w:rPr>
        <w:t>二、市（县）委全委（扩大）会议</w:t>
      </w:r>
    </w:p>
    <w:p w14:paraId="3ADEB415">
      <w:pPr>
        <w:ind w:firstLine="420"/>
        <w:rPr>
          <w:rFonts w:ascii="宋体" w:hAnsi="宋体"/>
          <w:szCs w:val="21"/>
        </w:rPr>
      </w:pPr>
      <w:r>
        <w:rPr>
          <w:rFonts w:hint="eastAsia" w:ascii="宋体" w:hAnsi="宋体"/>
          <w:szCs w:val="21"/>
        </w:rPr>
        <w:t>党代会闭幕期间召开的全委会主要任务是补选市（县）委委员、常委和副书记，传达学习党的方针政策，审议通过全市（县）五年计划和年度规划以及重要的行政措施。全委扩大会是由全体委员扩大到有关单位领导参加的会议，主要任务是传达贯彻上级党委有关方针政策精神和对本市（县）重大事项进行研究决策。主要全委扩大会议有：</w:t>
      </w:r>
    </w:p>
    <w:p w14:paraId="215849DF">
      <w:pPr>
        <w:ind w:firstLine="420"/>
        <w:rPr>
          <w:rFonts w:ascii="宋体" w:hAnsi="宋体"/>
          <w:szCs w:val="21"/>
        </w:rPr>
      </w:pPr>
      <w:r>
        <w:rPr>
          <w:rFonts w:ascii="宋体" w:hAnsi="宋体"/>
          <w:szCs w:val="21"/>
        </w:rPr>
        <w:t>1959年9月6日的全委扩大会议。会议议题是贯彻中共中央八届八中全会精神，</w:t>
      </w:r>
      <w:r>
        <w:rPr>
          <w:rFonts w:hint="eastAsia" w:ascii="宋体" w:hAnsi="宋体"/>
          <w:szCs w:val="21"/>
        </w:rPr>
        <w:t>反对右倾机会主义。会议把某些同志对社会主义总路线、“大跃进”、人民公社运动中的一些不同看法视为“右倾”思想加以揭发批判。接着召开四级干部会议，大会批判</w:t>
      </w:r>
      <w:r>
        <w:rPr>
          <w:rFonts w:ascii="宋体" w:hAnsi="宋体"/>
          <w:szCs w:val="21"/>
        </w:rPr>
        <w:t>77人，小组批判130人。并在农村开展社会主义教育整社运动，批判上中农为</w:t>
      </w:r>
      <w:r>
        <w:rPr>
          <w:rFonts w:hint="eastAsia" w:ascii="宋体" w:hAnsi="宋体"/>
          <w:szCs w:val="21"/>
        </w:rPr>
        <w:t>代表的“资本主义谬论”。在层层反右倾中伤害了一批干部群众。</w:t>
      </w:r>
    </w:p>
    <w:p w14:paraId="2DDBCA87">
      <w:pPr>
        <w:ind w:firstLine="420"/>
        <w:rPr>
          <w:rFonts w:ascii="宋体" w:hAnsi="宋体"/>
          <w:szCs w:val="21"/>
        </w:rPr>
      </w:pPr>
      <w:r>
        <w:rPr>
          <w:rFonts w:ascii="宋体" w:hAnsi="宋体"/>
          <w:szCs w:val="21"/>
        </w:rPr>
        <w:t>1961年9月9日至12日的全委扩大会议。会议议题充分发扬民主，系统总结1958年至1960年三年的经验教训，检查在刮共产风、浮夸风、瞎指挥而造成的危害</w:t>
      </w:r>
      <w:r>
        <w:rPr>
          <w:rFonts w:hint="eastAsia" w:ascii="宋体" w:hAnsi="宋体"/>
          <w:szCs w:val="21"/>
        </w:rPr>
        <w:t>和损失，找出原因，制定整改措施。接着召开三级干部会议，县委主要领导在大会上总结经验教训，听取到会干部的批评帮助，对反右倾运动中被错批判和处分的同志给予平反，从而达到统一思想，增强团结，纠正错误，继续前进的目的。</w:t>
      </w:r>
    </w:p>
    <w:p w14:paraId="55099DF3">
      <w:pPr>
        <w:ind w:firstLine="420"/>
        <w:rPr>
          <w:rFonts w:ascii="宋体" w:hAnsi="宋体"/>
          <w:szCs w:val="21"/>
        </w:rPr>
      </w:pPr>
      <w:r>
        <w:rPr>
          <w:rFonts w:ascii="宋体" w:hAnsi="宋体"/>
          <w:szCs w:val="21"/>
        </w:rPr>
        <w:t>1979年2月9日至11日的全委扩大会议。会议的主要议题是学习贯彻中共十</w:t>
      </w:r>
      <w:r>
        <w:rPr>
          <w:rFonts w:hint="eastAsia" w:ascii="宋体" w:hAnsi="宋体"/>
          <w:szCs w:val="21"/>
        </w:rPr>
        <w:t>一届三中全会路线、方针和政策，解放思想，拨乱反正，把工作重点转移到经济建设上来。这是全党从思想上、路线上、组织上转变的一次重要会议。</w:t>
      </w:r>
    </w:p>
    <w:p w14:paraId="09512B2E">
      <w:pPr>
        <w:ind w:firstLine="420"/>
        <w:rPr>
          <w:rFonts w:ascii="宋体" w:hAnsi="宋体"/>
          <w:szCs w:val="21"/>
        </w:rPr>
      </w:pPr>
      <w:r>
        <w:rPr>
          <w:rFonts w:ascii="宋体" w:hAnsi="宋体"/>
          <w:szCs w:val="21"/>
        </w:rPr>
        <w:t>1995年12月25日县委八届五次全委扩大会议。会议主题是：学习贯彻党的十四届五</w:t>
      </w:r>
      <w:r>
        <w:rPr>
          <w:rFonts w:hint="eastAsia" w:ascii="宋体" w:hAnsi="宋体"/>
          <w:szCs w:val="21"/>
        </w:rPr>
        <w:t>中全会和省委七届四次全会、韶关市委七届三次全会精神，回顾总结南雄“八五”时期的工作，研究提出“九五”时期国民经济和社会发展目标、任务及工作方针。</w:t>
      </w:r>
    </w:p>
    <w:p w14:paraId="6AE54555">
      <w:pPr>
        <w:ind w:firstLine="420"/>
        <w:rPr>
          <w:rFonts w:ascii="宋体" w:hAnsi="宋体"/>
          <w:szCs w:val="21"/>
        </w:rPr>
      </w:pPr>
      <w:r>
        <w:rPr>
          <w:rFonts w:ascii="宋体" w:hAnsi="宋体"/>
          <w:szCs w:val="21"/>
        </w:rPr>
        <w:t>1997年7月12日至14日市委八届八次全委扩大会议。议题是传达贯彻省委召开</w:t>
      </w:r>
      <w:r>
        <w:rPr>
          <w:rFonts w:hint="eastAsia" w:ascii="宋体" w:hAnsi="宋体"/>
          <w:szCs w:val="21"/>
        </w:rPr>
        <w:t>的县委书记会议精神和韶关市委七届六次全委扩大会议精神。会议提出坚持高标准严要求，把好干部选拔任用关；坚持全心全意为人民服务宗旨，树立正确权力观；坚持实事求是的思想路线，树立正确的政绩观；坚持民主集中制原则，努力建设团结协调、廉洁奉公的领导集体；坚持党要管党的原则，加强监督管理等五方面加强领导班子思想建设，推进社会分配制度和社会保障制度改革。</w:t>
      </w:r>
    </w:p>
    <w:p w14:paraId="2772E2D6">
      <w:pPr>
        <w:ind w:firstLine="420"/>
        <w:rPr>
          <w:rFonts w:ascii="宋体" w:hAnsi="宋体"/>
          <w:szCs w:val="21"/>
        </w:rPr>
      </w:pPr>
      <w:r>
        <w:rPr>
          <w:rFonts w:ascii="宋体" w:hAnsi="宋体"/>
          <w:szCs w:val="21"/>
        </w:rPr>
        <w:t>2000年12月28日市委九届七次全委扩大会。会议总结本市“九五”时期改革</w:t>
      </w:r>
      <w:r>
        <w:rPr>
          <w:rFonts w:hint="eastAsia" w:ascii="宋体" w:hAnsi="宋体"/>
          <w:szCs w:val="21"/>
        </w:rPr>
        <w:t>开放和现代化建设成就，研究部署“十五”时期奋斗目标和任务。会议审议通过《中共南雄市委关于制定全市国民经济和社会发展第十个五年计划的建议》。</w:t>
      </w:r>
    </w:p>
    <w:p w14:paraId="2274BD30">
      <w:pPr>
        <w:pStyle w:val="5"/>
        <w:rPr>
          <w:rFonts w:ascii="宋体" w:hAnsi="宋体"/>
        </w:rPr>
      </w:pPr>
      <w:r>
        <w:rPr>
          <w:rFonts w:hint="eastAsia" w:ascii="宋体" w:hAnsi="宋体"/>
        </w:rPr>
        <w:t>三、市（县）委常委会</w:t>
      </w:r>
    </w:p>
    <w:p w14:paraId="7FC2A49C">
      <w:pPr>
        <w:ind w:firstLine="420"/>
        <w:rPr>
          <w:rFonts w:ascii="宋体" w:hAnsi="宋体"/>
          <w:szCs w:val="21"/>
        </w:rPr>
      </w:pPr>
      <w:r>
        <w:rPr>
          <w:rFonts w:hint="eastAsia" w:ascii="宋体" w:hAnsi="宋体"/>
          <w:szCs w:val="21"/>
        </w:rPr>
        <w:t>市（县）委常委会是市（县）领导决策核心。全市（县）重要政策措施由常委会制定，重大问题由常委会集体讨论实施。</w:t>
      </w:r>
    </w:p>
    <w:p w14:paraId="6D3A06BC">
      <w:pPr>
        <w:ind w:firstLine="420"/>
        <w:rPr>
          <w:rFonts w:ascii="宋体" w:hAnsi="宋体"/>
          <w:szCs w:val="21"/>
        </w:rPr>
      </w:pPr>
      <w:r>
        <w:rPr>
          <w:rFonts w:ascii="宋体" w:hAnsi="宋体"/>
          <w:szCs w:val="21"/>
        </w:rPr>
        <w:t>20世纪90年代末，常委会议逐步制度化、规范化。常委会每月召开2次，会议</w:t>
      </w:r>
      <w:r>
        <w:rPr>
          <w:rFonts w:hint="eastAsia" w:ascii="宋体" w:hAnsi="宋体"/>
          <w:szCs w:val="21"/>
        </w:rPr>
        <w:t>由市（县）委书记主持，全体市委常委参加，不是市委常委的人大常委会主任、政协主席列席。常委会议题由各位常委和有关部门提出，会前交市委办公室主任汇总，报书记审定。主要内容：学习上级党委指示精神，结合南雄实际，提出具体的贯彻意见；制定全市（县）经济和社会发展规划方案；审议市人大、市政府、市政协党组提出的重大事项；研究解决全市各项工作重大政策性、倾向性及社会突发性的问题；审批有关干部任免事项等等。</w:t>
      </w:r>
    </w:p>
    <w:p w14:paraId="51C071A7">
      <w:pPr>
        <w:pStyle w:val="4"/>
        <w:rPr>
          <w:rFonts w:ascii="宋体" w:hAnsi="宋体"/>
        </w:rPr>
      </w:pPr>
      <w:r>
        <w:rPr>
          <w:rFonts w:hint="eastAsia" w:ascii="宋体" w:hAnsi="宋体"/>
        </w:rPr>
        <w:t>第二节  党的宣传教育工作</w:t>
      </w:r>
    </w:p>
    <w:p w14:paraId="33AD79AD">
      <w:pPr>
        <w:pStyle w:val="5"/>
        <w:rPr>
          <w:rFonts w:ascii="宋体" w:hAnsi="宋体"/>
        </w:rPr>
      </w:pPr>
      <w:r>
        <w:rPr>
          <w:rFonts w:hint="eastAsia" w:ascii="宋体" w:hAnsi="宋体"/>
        </w:rPr>
        <w:t>一、各项重大思想教育活动</w:t>
      </w:r>
    </w:p>
    <w:p w14:paraId="7285AA55">
      <w:pPr>
        <w:ind w:firstLine="422"/>
        <w:rPr>
          <w:rFonts w:ascii="宋体" w:hAnsi="宋体"/>
          <w:b/>
          <w:szCs w:val="21"/>
        </w:rPr>
      </w:pPr>
      <w:r>
        <w:rPr>
          <w:rFonts w:hint="eastAsia" w:ascii="宋体" w:hAnsi="宋体"/>
          <w:b/>
          <w:szCs w:val="21"/>
        </w:rPr>
        <w:t>（一）贯彻中共十一届三中全会精神，促进全党思想观念大转变</w:t>
      </w:r>
    </w:p>
    <w:p w14:paraId="35AE0986">
      <w:pPr>
        <w:ind w:firstLine="420"/>
        <w:rPr>
          <w:rFonts w:ascii="宋体" w:hAnsi="宋体"/>
          <w:szCs w:val="21"/>
        </w:rPr>
      </w:pPr>
      <w:r>
        <w:rPr>
          <w:rFonts w:ascii="宋体" w:hAnsi="宋体"/>
          <w:szCs w:val="21"/>
        </w:rPr>
        <w:t>1978年12月中共十一届三中全会后，县委围绕“实践是检验真理的唯一标准”</w:t>
      </w:r>
      <w:r>
        <w:rPr>
          <w:rFonts w:hint="eastAsia" w:ascii="宋体" w:hAnsi="宋体"/>
          <w:szCs w:val="21"/>
        </w:rPr>
        <w:t>理论原则、《关于新中国成立以来党的若干历史问题的决议》以及三中全会制定的路线、方针、政策，分别组织全体党员干部系统学习贯彻，使全党解放思想，破除迷信，实事求是，拨乱反正，树立以经济建设为中心，坚持四项基本原则，实行改革开放方针政策。</w:t>
      </w:r>
    </w:p>
    <w:p w14:paraId="5D338ED9">
      <w:pPr>
        <w:ind w:firstLine="422"/>
        <w:rPr>
          <w:rFonts w:ascii="宋体" w:hAnsi="宋体"/>
          <w:b/>
          <w:szCs w:val="21"/>
        </w:rPr>
      </w:pPr>
      <w:r>
        <w:rPr>
          <w:rFonts w:hint="eastAsia" w:ascii="宋体" w:hAnsi="宋体"/>
          <w:b/>
          <w:szCs w:val="21"/>
        </w:rPr>
        <w:t>（二）社会主义思想教育活动</w:t>
      </w:r>
    </w:p>
    <w:p w14:paraId="6B92DDA5">
      <w:pPr>
        <w:ind w:firstLine="420"/>
        <w:rPr>
          <w:rFonts w:ascii="宋体" w:hAnsi="宋体"/>
          <w:szCs w:val="21"/>
        </w:rPr>
      </w:pPr>
      <w:r>
        <w:rPr>
          <w:rFonts w:ascii="宋体" w:hAnsi="宋体"/>
          <w:szCs w:val="21"/>
        </w:rPr>
        <w:t>1991年8月至1992年12月，县委分期分批在全县24个乡镇，</w:t>
      </w:r>
      <w:r>
        <w:rPr>
          <w:rFonts w:hint="eastAsia" w:ascii="宋体" w:hAnsi="宋体"/>
          <w:szCs w:val="21"/>
        </w:rPr>
        <w:t>2</w:t>
      </w:r>
      <w:r>
        <w:rPr>
          <w:rFonts w:ascii="宋体" w:hAnsi="宋体"/>
          <w:szCs w:val="21"/>
        </w:rPr>
        <w:t>21个管理区开</w:t>
      </w:r>
      <w:r>
        <w:rPr>
          <w:rFonts w:hint="eastAsia" w:ascii="宋体" w:hAnsi="宋体"/>
          <w:szCs w:val="21"/>
        </w:rPr>
        <w:t>展社会主义思想教育活动。组织县直机关</w:t>
      </w:r>
      <w:r>
        <w:rPr>
          <w:rFonts w:ascii="宋体" w:hAnsi="宋体"/>
          <w:szCs w:val="21"/>
        </w:rPr>
        <w:t>1000多名干部到农村开展教育，重点提高</w:t>
      </w:r>
      <w:r>
        <w:rPr>
          <w:rFonts w:hint="eastAsia" w:ascii="宋体" w:hAnsi="宋体"/>
          <w:szCs w:val="21"/>
        </w:rPr>
        <w:t>农村广大党员干部和群众思想素质，加强以党支部为核心的农村基层组织建设，进一步完善统分结合的双层经营体制，促进农村两个文明建设。</w:t>
      </w:r>
    </w:p>
    <w:p w14:paraId="05DAF1E0">
      <w:pPr>
        <w:ind w:firstLine="422"/>
        <w:rPr>
          <w:rFonts w:ascii="宋体" w:hAnsi="宋体"/>
          <w:b/>
          <w:szCs w:val="21"/>
        </w:rPr>
      </w:pPr>
      <w:r>
        <w:rPr>
          <w:rFonts w:hint="eastAsia" w:ascii="宋体" w:hAnsi="宋体"/>
          <w:b/>
          <w:szCs w:val="21"/>
        </w:rPr>
        <w:t>（三）“三讲”教育活动</w:t>
      </w:r>
    </w:p>
    <w:p w14:paraId="6493A474">
      <w:pPr>
        <w:ind w:firstLine="420"/>
        <w:rPr>
          <w:rFonts w:ascii="宋体" w:hAnsi="宋体"/>
          <w:szCs w:val="21"/>
        </w:rPr>
      </w:pPr>
      <w:r>
        <w:rPr>
          <w:rFonts w:hint="eastAsia" w:ascii="宋体" w:hAnsi="宋体"/>
          <w:szCs w:val="21"/>
        </w:rPr>
        <w:t>根据中共中央《关于在县级以上党政领导班子、领导干部中深入开展以讲学习、讲政治、讲正气为主要内容的党性党风教育的意见》精神和广东省委、韶关市委的部署，南雄作为全省“三讲”教育试点，率先分三批进行“三讲”教育。第一批从</w:t>
      </w:r>
      <w:r>
        <w:rPr>
          <w:rFonts w:ascii="宋体" w:hAnsi="宋体"/>
          <w:szCs w:val="21"/>
        </w:rPr>
        <w:t>1999年11月10日至2000年1月16日结束，历时68天。这一批教育对象是市委、</w:t>
      </w:r>
      <w:r>
        <w:rPr>
          <w:rFonts w:hint="eastAsia" w:ascii="宋体" w:hAnsi="宋体"/>
          <w:szCs w:val="21"/>
        </w:rPr>
        <w:t>市人大、市政府、市政协、市纪委和市公安局、市法院、市检察院等领导班子及其成员。分四个阶段进行：①思想发动，学习提高；②自我剖析，听取意见；③交流思想，开展批评；④认真整改，巩固成果。这一批共收集干部、群众对领导班子及其成员的意见、建议</w:t>
      </w:r>
      <w:r>
        <w:rPr>
          <w:rFonts w:ascii="宋体" w:hAnsi="宋体"/>
          <w:szCs w:val="21"/>
        </w:rPr>
        <w:t>1999条，对领导班子及其成员的剖析材料表示满意和基本满意的都</w:t>
      </w:r>
      <w:r>
        <w:rPr>
          <w:rFonts w:hint="eastAsia" w:ascii="宋体" w:hAnsi="宋体"/>
          <w:szCs w:val="21"/>
        </w:rPr>
        <w:t>在</w:t>
      </w:r>
      <w:r>
        <w:rPr>
          <w:rFonts w:ascii="宋体" w:hAnsi="宋体"/>
          <w:szCs w:val="21"/>
        </w:rPr>
        <w:t>90%以上</w:t>
      </w:r>
      <w:r>
        <w:rPr>
          <w:rFonts w:hint="eastAsia" w:ascii="宋体" w:hAnsi="宋体"/>
          <w:szCs w:val="21"/>
        </w:rPr>
        <w:t>。</w:t>
      </w:r>
    </w:p>
    <w:p w14:paraId="68AE3DFC">
      <w:pPr>
        <w:ind w:firstLine="420"/>
        <w:rPr>
          <w:rFonts w:ascii="宋体" w:hAnsi="宋体"/>
          <w:szCs w:val="21"/>
        </w:rPr>
      </w:pPr>
      <w:r>
        <w:rPr>
          <w:rFonts w:hint="eastAsia" w:ascii="宋体" w:hAnsi="宋体"/>
          <w:szCs w:val="21"/>
        </w:rPr>
        <w:t>第二批从</w:t>
      </w:r>
      <w:r>
        <w:rPr>
          <w:rFonts w:ascii="宋体" w:hAnsi="宋体"/>
          <w:szCs w:val="21"/>
        </w:rPr>
        <w:t>2000年5月31日至7月18日止，为期50天。教育对象为镇级党委、</w:t>
      </w:r>
      <w:r>
        <w:rPr>
          <w:rFonts w:hint="eastAsia" w:ascii="宋体" w:hAnsi="宋体"/>
          <w:szCs w:val="21"/>
        </w:rPr>
        <w:t>人大、政府及其</w:t>
      </w:r>
      <w:r>
        <w:rPr>
          <w:rFonts w:ascii="宋体" w:hAnsi="宋体"/>
          <w:szCs w:val="21"/>
        </w:rPr>
        <w:t>334名领导干部。第三批从2000年7月28日至9月15日，为期50</w:t>
      </w:r>
      <w:r>
        <w:rPr>
          <w:rFonts w:hint="eastAsia" w:ascii="宋体" w:hAnsi="宋体"/>
          <w:szCs w:val="21"/>
        </w:rPr>
        <w:t>天。教育对象是党政机关和具有行政职能的事业单位及学校、医院中副科级以上单位领导班子及其正、副科级党员干部共</w:t>
      </w:r>
      <w:r>
        <w:rPr>
          <w:rFonts w:ascii="宋体" w:hAnsi="宋体"/>
          <w:szCs w:val="21"/>
        </w:rPr>
        <w:t>343人。第二、三批均分三个阶段进行：①思想</w:t>
      </w:r>
      <w:r>
        <w:rPr>
          <w:rFonts w:hint="eastAsia" w:ascii="宋体" w:hAnsi="宋体"/>
          <w:szCs w:val="21"/>
        </w:rPr>
        <w:t>发动，学习提高；②自我剖析，听取意见；③开展批评，认真整改。</w:t>
      </w:r>
    </w:p>
    <w:p w14:paraId="68562339">
      <w:pPr>
        <w:ind w:firstLine="420"/>
        <w:rPr>
          <w:rFonts w:ascii="宋体" w:hAnsi="宋体"/>
          <w:szCs w:val="21"/>
        </w:rPr>
      </w:pPr>
      <w:r>
        <w:rPr>
          <w:rFonts w:hint="eastAsia" w:ascii="宋体" w:hAnsi="宋体"/>
          <w:szCs w:val="21"/>
        </w:rPr>
        <w:t>“三讲”教育结束后，中共南雄市委“三讲”教育领导小组办公室出版了《南雄市“三讲”教育试点工作资料汇编》，发行</w:t>
      </w:r>
      <w:r>
        <w:rPr>
          <w:rFonts w:ascii="宋体" w:hAnsi="宋体"/>
          <w:szCs w:val="21"/>
        </w:rPr>
        <w:t>3000册</w:t>
      </w:r>
      <w:r>
        <w:rPr>
          <w:rFonts w:hint="eastAsia" w:ascii="宋体" w:hAnsi="宋体"/>
          <w:szCs w:val="21"/>
        </w:rPr>
        <w:t>。</w:t>
      </w:r>
    </w:p>
    <w:p w14:paraId="79F1B57D">
      <w:pPr>
        <w:ind w:firstLine="422"/>
        <w:rPr>
          <w:rFonts w:ascii="宋体" w:hAnsi="宋体"/>
          <w:b/>
          <w:szCs w:val="21"/>
        </w:rPr>
      </w:pPr>
      <w:r>
        <w:rPr>
          <w:rFonts w:hint="eastAsia" w:ascii="宋体" w:hAnsi="宋体"/>
          <w:b/>
          <w:szCs w:val="21"/>
        </w:rPr>
        <w:t>（四）“三个代表”重要思想教育活动</w:t>
      </w:r>
    </w:p>
    <w:p w14:paraId="0AE065D8">
      <w:pPr>
        <w:ind w:firstLine="420"/>
        <w:rPr>
          <w:rFonts w:ascii="宋体" w:hAnsi="宋体"/>
          <w:szCs w:val="21"/>
        </w:rPr>
      </w:pPr>
      <w:r>
        <w:rPr>
          <w:rFonts w:hint="eastAsia" w:ascii="宋体" w:hAnsi="宋体"/>
          <w:szCs w:val="21"/>
        </w:rPr>
        <w:t>根据广东省委和韶关市委的部署，南雄市“三个代表”（中国共产党是代表中国先进生产力的发展要求，代表中国先进文化的前进方向，代表中国最广大人民的根本利益）重要思想教育活动。从</w:t>
      </w:r>
      <w:r>
        <w:rPr>
          <w:rFonts w:ascii="宋体" w:hAnsi="宋体"/>
          <w:szCs w:val="21"/>
        </w:rPr>
        <w:t>2001年3月至2002年1月，分两批进行。第一批学习</w:t>
      </w:r>
      <w:r>
        <w:rPr>
          <w:rFonts w:hint="eastAsia" w:ascii="宋体" w:hAnsi="宋体"/>
          <w:szCs w:val="21"/>
        </w:rPr>
        <w:t>教育的对象为镇、市直单位的党员干部；第二批对象为村委会党员干部。教育活动分为“思想发动、学习培训；对照检查、听取意见；认真整改、巩固提高”三个阶段进行。全市参加教育活动的干部</w:t>
      </w:r>
      <w:r>
        <w:rPr>
          <w:rFonts w:ascii="宋体" w:hAnsi="宋体"/>
          <w:szCs w:val="21"/>
        </w:rPr>
        <w:t>6000多人，参与率达99%。第一批教育活动中，向</w:t>
      </w:r>
      <w:r>
        <w:rPr>
          <w:rFonts w:hint="eastAsia" w:ascii="宋体" w:hAnsi="宋体"/>
          <w:szCs w:val="21"/>
        </w:rPr>
        <w:t>全市</w:t>
      </w:r>
      <w:r>
        <w:rPr>
          <w:rFonts w:ascii="宋体" w:hAnsi="宋体"/>
          <w:szCs w:val="21"/>
        </w:rPr>
        <w:t>47804人征求意见，收集群众意见7184条。第二批教育活动中，进行个别谈话3432人次，走访农户45630户，占全市农户50%多，共收集群众意见6340条。针对</w:t>
      </w:r>
      <w:r>
        <w:rPr>
          <w:rFonts w:hint="eastAsia" w:ascii="宋体" w:hAnsi="宋体"/>
          <w:szCs w:val="21"/>
        </w:rPr>
        <w:t>存在问题，全市各单位领导成员进行了深刻反思，共制定整改方案</w:t>
      </w:r>
      <w:r>
        <w:rPr>
          <w:rFonts w:ascii="宋体" w:hAnsi="宋体"/>
          <w:szCs w:val="21"/>
        </w:rPr>
        <w:t>711个，个人整改</w:t>
      </w:r>
      <w:r>
        <w:rPr>
          <w:rFonts w:hint="eastAsia" w:ascii="宋体" w:hAnsi="宋体"/>
          <w:szCs w:val="21"/>
        </w:rPr>
        <w:t>计划</w:t>
      </w:r>
      <w:r>
        <w:rPr>
          <w:rFonts w:ascii="宋体" w:hAnsi="宋体"/>
          <w:szCs w:val="21"/>
        </w:rPr>
        <w:t>7327个，建立和完善各项规章制度2792个。先后为群众解决问题1183个，办</w:t>
      </w:r>
      <w:r>
        <w:rPr>
          <w:rFonts w:hint="eastAsia" w:ascii="宋体" w:hAnsi="宋体"/>
          <w:szCs w:val="21"/>
        </w:rPr>
        <w:t>实事</w:t>
      </w:r>
      <w:r>
        <w:rPr>
          <w:rFonts w:ascii="宋体" w:hAnsi="宋体"/>
          <w:szCs w:val="21"/>
        </w:rPr>
        <w:t>2799件。从2001年7月20日起，又分两批进行回访复查。第一批由2名副处</w:t>
      </w:r>
      <w:r>
        <w:rPr>
          <w:rFonts w:hint="eastAsia" w:ascii="宋体" w:hAnsi="宋体"/>
          <w:szCs w:val="21"/>
        </w:rPr>
        <w:t>级干部带领</w:t>
      </w:r>
      <w:r>
        <w:rPr>
          <w:rFonts w:ascii="宋体" w:hAnsi="宋体"/>
          <w:szCs w:val="21"/>
        </w:rPr>
        <w:t>114名干部对各镇采取“听、查、谈、评”方式进行全面复查，各镇的</w:t>
      </w:r>
      <w:r>
        <w:rPr>
          <w:rFonts w:hint="eastAsia" w:ascii="宋体" w:hAnsi="宋体"/>
          <w:szCs w:val="21"/>
        </w:rPr>
        <w:t>群众评分均在</w:t>
      </w:r>
      <w:r>
        <w:rPr>
          <w:rFonts w:ascii="宋体" w:hAnsi="宋体"/>
          <w:szCs w:val="21"/>
        </w:rPr>
        <w:t>80分以上。第二批由五套班子领导带队，抽查了40个市直部门、60</w:t>
      </w:r>
      <w:r>
        <w:rPr>
          <w:rFonts w:hint="eastAsia" w:ascii="宋体" w:hAnsi="宋体"/>
          <w:szCs w:val="21"/>
        </w:rPr>
        <w:t>个村、</w:t>
      </w:r>
      <w:r>
        <w:rPr>
          <w:rFonts w:ascii="宋体" w:hAnsi="宋体"/>
          <w:szCs w:val="21"/>
        </w:rPr>
        <w:t>60个镇部门、60个镇站所。还组织人大代表、政协委员、非公有制经济组织</w:t>
      </w:r>
      <w:r>
        <w:rPr>
          <w:rFonts w:hint="eastAsia" w:ascii="宋体" w:hAnsi="宋体"/>
          <w:szCs w:val="21"/>
        </w:rPr>
        <w:t>代表人士、民主党派和无党派人士</w:t>
      </w:r>
      <w:r>
        <w:rPr>
          <w:rFonts w:ascii="宋体" w:hAnsi="宋体"/>
          <w:szCs w:val="21"/>
        </w:rPr>
        <w:t>30多人组成评议团，以公开评议、现场质询方式</w:t>
      </w:r>
      <w:r>
        <w:rPr>
          <w:rFonts w:hint="eastAsia" w:ascii="宋体" w:hAnsi="宋体"/>
          <w:szCs w:val="21"/>
        </w:rPr>
        <w:t>对市农业局、建设局、国土资源局、教育局、工商局、公安局等窗口单位进行了评议，评分均在</w:t>
      </w:r>
      <w:r>
        <w:rPr>
          <w:rFonts w:ascii="宋体" w:hAnsi="宋体"/>
          <w:szCs w:val="21"/>
        </w:rPr>
        <w:t>90分以上。</w:t>
      </w:r>
    </w:p>
    <w:p w14:paraId="12262F5F">
      <w:pPr>
        <w:pStyle w:val="5"/>
        <w:rPr>
          <w:rFonts w:ascii="宋体" w:hAnsi="宋体"/>
        </w:rPr>
      </w:pPr>
      <w:r>
        <w:rPr>
          <w:rFonts w:hint="eastAsia" w:ascii="宋体" w:hAnsi="宋体"/>
        </w:rPr>
        <w:t>二、理论学习</w:t>
      </w:r>
    </w:p>
    <w:p w14:paraId="2A62ED91">
      <w:pPr>
        <w:ind w:firstLine="420"/>
        <w:rPr>
          <w:rFonts w:ascii="宋体" w:hAnsi="宋体"/>
          <w:szCs w:val="21"/>
        </w:rPr>
      </w:pPr>
      <w:r>
        <w:rPr>
          <w:rFonts w:hint="eastAsia" w:ascii="宋体" w:hAnsi="宋体"/>
          <w:szCs w:val="21"/>
        </w:rPr>
        <w:t>新中国成立初期，主要组织宣传员、报告员深入基层向广大群众开展宣传教育。同时设立理论教员，分中级组、初级组，在理论教员辅导下，组织机关干部系统进行理论学习。另外，每年举办</w:t>
      </w:r>
      <w:r>
        <w:rPr>
          <w:rFonts w:ascii="宋体" w:hAnsi="宋体"/>
          <w:szCs w:val="21"/>
        </w:rPr>
        <w:t>1期～3期党员训练班，结合党的中心工作进行党的知识</w:t>
      </w:r>
      <w:r>
        <w:rPr>
          <w:rFonts w:hint="eastAsia" w:ascii="宋体" w:hAnsi="宋体"/>
          <w:szCs w:val="21"/>
        </w:rPr>
        <w:t>和形势教育。</w:t>
      </w:r>
    </w:p>
    <w:p w14:paraId="6370EB5F">
      <w:pPr>
        <w:ind w:firstLine="420"/>
        <w:rPr>
          <w:rFonts w:ascii="宋体" w:hAnsi="宋体"/>
          <w:szCs w:val="21"/>
        </w:rPr>
      </w:pPr>
      <w:r>
        <w:rPr>
          <w:rFonts w:ascii="宋体" w:hAnsi="宋体"/>
          <w:szCs w:val="21"/>
        </w:rPr>
        <w:t>1984年，县委成立学习中心组，1989年成立讲师团，通过举办读书班、培训班、</w:t>
      </w:r>
      <w:r>
        <w:rPr>
          <w:rFonts w:hint="eastAsia" w:ascii="宋体" w:hAnsi="宋体"/>
          <w:szCs w:val="21"/>
        </w:rPr>
        <w:t>报告会等形式，围绕重大问题、重要文件及中心工作，有计划地组织党员干部开展理论学习。</w:t>
      </w:r>
      <w:r>
        <w:rPr>
          <w:rFonts w:ascii="宋体" w:hAnsi="宋体"/>
          <w:szCs w:val="21"/>
        </w:rPr>
        <w:t>1987年，县委把理论学习与南雄经济发展实践相结合，于6月举办了南雄</w:t>
      </w:r>
      <w:r>
        <w:rPr>
          <w:rFonts w:hint="eastAsia" w:ascii="宋体" w:hAnsi="宋体"/>
          <w:szCs w:val="21"/>
        </w:rPr>
        <w:t>山区经济发展研讨会，应邀参加的有北京、广州等地领导、专家、学者共</w:t>
      </w:r>
      <w:r>
        <w:rPr>
          <w:rFonts w:ascii="宋体" w:hAnsi="宋体"/>
          <w:szCs w:val="21"/>
        </w:rPr>
        <w:t>160多人</w:t>
      </w:r>
      <w:r>
        <w:rPr>
          <w:rFonts w:hint="eastAsia" w:ascii="宋体" w:hAnsi="宋体"/>
          <w:szCs w:val="21"/>
        </w:rPr>
        <w:t>。会后，出版专著《南雄特色研究》、《南雄发展之路》，并且促成了南雄县与广东省社会科学院联合在南雄建立山区经济研究所。</w:t>
      </w:r>
    </w:p>
    <w:p w14:paraId="149ACB8F">
      <w:pPr>
        <w:ind w:firstLine="420"/>
        <w:rPr>
          <w:rFonts w:ascii="宋体" w:hAnsi="宋体"/>
          <w:szCs w:val="21"/>
        </w:rPr>
      </w:pPr>
      <w:r>
        <w:rPr>
          <w:rFonts w:hint="eastAsia" w:ascii="宋体" w:hAnsi="宋体"/>
          <w:szCs w:val="21"/>
        </w:rPr>
        <w:t>市委在抓好中心组学习的同时，与基层建立联系点制度，以推动各镇党委中心组的学习，取得良好效果。</w:t>
      </w:r>
      <w:r>
        <w:rPr>
          <w:rFonts w:ascii="宋体" w:hAnsi="宋体"/>
          <w:szCs w:val="21"/>
        </w:rPr>
        <w:t>1998年获广东省基层宣传思想工作创新奖</w:t>
      </w:r>
      <w:r>
        <w:rPr>
          <w:rFonts w:hint="eastAsia" w:ascii="宋体" w:hAnsi="宋体"/>
          <w:szCs w:val="21"/>
        </w:rPr>
        <w:t>。</w:t>
      </w:r>
    </w:p>
    <w:p w14:paraId="3AC8EE3E">
      <w:pPr>
        <w:ind w:firstLine="420"/>
        <w:rPr>
          <w:rFonts w:ascii="宋体" w:hAnsi="宋体"/>
          <w:szCs w:val="21"/>
        </w:rPr>
      </w:pPr>
      <w:r>
        <w:rPr>
          <w:rFonts w:ascii="宋体" w:hAnsi="宋体"/>
          <w:szCs w:val="21"/>
        </w:rPr>
        <w:t>2004年，市委学习中心组在学习中共十六大精神中，认真学习科学发展观理论，</w:t>
      </w:r>
      <w:r>
        <w:rPr>
          <w:rFonts w:hint="eastAsia" w:ascii="宋体" w:hAnsi="宋体"/>
          <w:szCs w:val="21"/>
        </w:rPr>
        <w:t>学以致用，深入实际，调查研究，为南雄经济社会发展探索新路子，确立“招商引资、城市经营、发展民营经济”三大工作重点。</w:t>
      </w:r>
    </w:p>
    <w:p w14:paraId="0530C05A">
      <w:pPr>
        <w:pStyle w:val="5"/>
        <w:rPr>
          <w:rFonts w:ascii="宋体" w:hAnsi="宋体"/>
        </w:rPr>
      </w:pPr>
      <w:r>
        <w:rPr>
          <w:rFonts w:hint="eastAsia" w:ascii="宋体" w:hAnsi="宋体"/>
        </w:rPr>
        <w:t>三、党校教育</w:t>
      </w:r>
    </w:p>
    <w:p w14:paraId="7F1E86D6">
      <w:pPr>
        <w:ind w:firstLine="420"/>
        <w:rPr>
          <w:rFonts w:ascii="宋体" w:hAnsi="宋体"/>
          <w:szCs w:val="21"/>
        </w:rPr>
      </w:pPr>
      <w:r>
        <w:rPr>
          <w:rFonts w:ascii="宋体" w:hAnsi="宋体"/>
          <w:szCs w:val="21"/>
        </w:rPr>
        <w:t>1979年5月，党校由隶属县委宣传部的科（局）级单位改为县委直属单位，教</w:t>
      </w:r>
      <w:r>
        <w:rPr>
          <w:rFonts w:hint="eastAsia" w:ascii="宋体" w:hAnsi="宋体"/>
          <w:szCs w:val="21"/>
        </w:rPr>
        <w:t>职员工增至</w:t>
      </w:r>
      <w:r>
        <w:rPr>
          <w:rFonts w:ascii="宋体" w:hAnsi="宋体"/>
          <w:szCs w:val="21"/>
        </w:rPr>
        <w:t>21人。党校的教育形式多种多样，教育范围也不断扩大。</w:t>
      </w:r>
    </w:p>
    <w:p w14:paraId="1AD2AB8D">
      <w:pPr>
        <w:ind w:firstLine="422"/>
        <w:rPr>
          <w:rFonts w:ascii="宋体" w:hAnsi="宋体"/>
          <w:szCs w:val="21"/>
        </w:rPr>
      </w:pPr>
      <w:r>
        <w:rPr>
          <w:rFonts w:hint="eastAsia" w:ascii="宋体" w:hAnsi="宋体"/>
          <w:b/>
          <w:szCs w:val="21"/>
        </w:rPr>
        <w:t>举办各种干部培训班。</w:t>
      </w:r>
      <w:r>
        <w:rPr>
          <w:rFonts w:hint="eastAsia" w:ascii="宋体" w:hAnsi="宋体"/>
          <w:szCs w:val="21"/>
        </w:rPr>
        <w:t>类型多种多样，有中青年党员干部、企业厂长（经理）、村民委员会主任和党支部书记、妇女干部、人事干部、纪检干部、公务员岗位培训等，班期短的</w:t>
      </w:r>
      <w:r>
        <w:rPr>
          <w:rFonts w:ascii="宋体" w:hAnsi="宋体"/>
          <w:szCs w:val="21"/>
        </w:rPr>
        <w:t>2天，长的2个月。据统计，1993年至1997年5月，共举办培训班22</w:t>
      </w:r>
      <w:r>
        <w:rPr>
          <w:rFonts w:hint="eastAsia" w:ascii="宋体" w:hAnsi="宋体"/>
          <w:szCs w:val="21"/>
        </w:rPr>
        <w:t>期，平均每年</w:t>
      </w:r>
      <w:r>
        <w:rPr>
          <w:rFonts w:ascii="宋体" w:hAnsi="宋体"/>
          <w:szCs w:val="21"/>
        </w:rPr>
        <w:t>4.4期，5年共培训2691人</w:t>
      </w:r>
      <w:r>
        <w:rPr>
          <w:rFonts w:hint="eastAsia" w:ascii="宋体" w:hAnsi="宋体"/>
          <w:szCs w:val="21"/>
        </w:rPr>
        <w:t>。</w:t>
      </w:r>
    </w:p>
    <w:p w14:paraId="28B5C0B7">
      <w:pPr>
        <w:ind w:firstLine="422"/>
        <w:rPr>
          <w:rFonts w:ascii="宋体" w:hAnsi="宋体"/>
          <w:szCs w:val="21"/>
        </w:rPr>
      </w:pPr>
      <w:r>
        <w:rPr>
          <w:rFonts w:hint="eastAsia" w:ascii="宋体" w:hAnsi="宋体"/>
          <w:b/>
          <w:szCs w:val="21"/>
        </w:rPr>
        <w:t>自办中专班。</w:t>
      </w:r>
      <w:r>
        <w:rPr>
          <w:rFonts w:ascii="宋体" w:hAnsi="宋体"/>
          <w:szCs w:val="21"/>
        </w:rPr>
        <w:t>1988年9月至1998年7月，累计招生194人，毕业191人。其中</w:t>
      </w:r>
      <w:r>
        <w:rPr>
          <w:rFonts w:hint="eastAsia" w:ascii="宋体" w:hAnsi="宋体"/>
          <w:szCs w:val="21"/>
        </w:rPr>
        <w:t>二年制文秘专业干部中专班毕业</w:t>
      </w:r>
      <w:r>
        <w:rPr>
          <w:rFonts w:ascii="宋体" w:hAnsi="宋体"/>
          <w:szCs w:val="21"/>
        </w:rPr>
        <w:t>44人，三年制的经济管理干部函授中专班毕业52人。</w:t>
      </w:r>
    </w:p>
    <w:p w14:paraId="21557543">
      <w:pPr>
        <w:ind w:firstLine="422"/>
        <w:rPr>
          <w:rFonts w:ascii="宋体" w:hAnsi="宋体"/>
          <w:szCs w:val="21"/>
        </w:rPr>
      </w:pPr>
      <w:r>
        <w:rPr>
          <w:rFonts w:hint="eastAsia" w:ascii="宋体" w:hAnsi="宋体"/>
          <w:b/>
          <w:szCs w:val="21"/>
        </w:rPr>
        <w:t>协办函授大专班。</w:t>
      </w:r>
      <w:r>
        <w:rPr>
          <w:rFonts w:ascii="宋体" w:hAnsi="宋体"/>
          <w:szCs w:val="21"/>
        </w:rPr>
        <w:t>1985年开始协同省委党校举办函授大专学历班，学制三年。</w:t>
      </w:r>
      <w:r>
        <w:rPr>
          <w:rFonts w:hint="eastAsia" w:ascii="宋体" w:hAnsi="宋体"/>
          <w:szCs w:val="21"/>
        </w:rPr>
        <w:t>由南雄党校授课，省党校考核及发毕业证书。至</w:t>
      </w:r>
      <w:r>
        <w:rPr>
          <w:rFonts w:ascii="宋体" w:hAnsi="宋体"/>
          <w:szCs w:val="21"/>
        </w:rPr>
        <w:t>2003年4月，累计招生956人，毕</w:t>
      </w:r>
      <w:r>
        <w:rPr>
          <w:rFonts w:hint="eastAsia" w:ascii="宋体" w:hAnsi="宋体"/>
          <w:szCs w:val="21"/>
        </w:rPr>
        <w:t>业</w:t>
      </w:r>
      <w:r>
        <w:rPr>
          <w:rFonts w:ascii="宋体" w:hAnsi="宋体"/>
          <w:szCs w:val="21"/>
        </w:rPr>
        <w:t>911人。1996年至2003年4月，协同中共中央党校举办函授大学本科学历班，学</w:t>
      </w:r>
      <w:r>
        <w:rPr>
          <w:rFonts w:hint="eastAsia" w:ascii="宋体" w:hAnsi="宋体"/>
          <w:szCs w:val="21"/>
        </w:rPr>
        <w:t>制两年半。累计招生</w:t>
      </w:r>
      <w:r>
        <w:rPr>
          <w:rFonts w:ascii="宋体" w:hAnsi="宋体"/>
          <w:szCs w:val="21"/>
        </w:rPr>
        <w:t>234人，毕业110人。</w:t>
      </w:r>
    </w:p>
    <w:p w14:paraId="24BA942D">
      <w:pPr>
        <w:ind w:firstLine="420"/>
        <w:rPr>
          <w:rFonts w:ascii="宋体" w:hAnsi="宋体"/>
          <w:szCs w:val="21"/>
        </w:rPr>
      </w:pPr>
      <w:r>
        <w:rPr>
          <w:rFonts w:hint="eastAsia" w:ascii="宋体" w:hAnsi="宋体"/>
          <w:szCs w:val="21"/>
        </w:rPr>
        <w:t>教学设施不断完善。</w:t>
      </w:r>
      <w:r>
        <w:rPr>
          <w:rFonts w:ascii="宋体" w:hAnsi="宋体"/>
          <w:szCs w:val="21"/>
        </w:rPr>
        <w:t>1993年9月校址迁到新城雄中路横坑岭，新建教学大楼</w:t>
      </w:r>
      <w:r>
        <w:rPr>
          <w:rFonts w:hint="eastAsia" w:ascii="宋体" w:hAnsi="宋体"/>
          <w:szCs w:val="21"/>
        </w:rPr>
        <w:t>一座，建筑面积</w:t>
      </w:r>
      <w:r>
        <w:rPr>
          <w:rFonts w:ascii="宋体" w:hAnsi="宋体"/>
          <w:szCs w:val="21"/>
        </w:rPr>
        <w:t>2190平方米，有容纳300人课室5间，学生宿舍20间，现代化教学设</w:t>
      </w:r>
      <w:r>
        <w:rPr>
          <w:rFonts w:hint="eastAsia" w:ascii="宋体" w:hAnsi="宋体"/>
          <w:szCs w:val="21"/>
        </w:rPr>
        <w:t>备齐全。</w:t>
      </w:r>
      <w:r>
        <w:rPr>
          <w:rFonts w:ascii="宋体" w:hAnsi="宋体"/>
          <w:szCs w:val="21"/>
        </w:rPr>
        <w:t>2002年3月至7月，先后开通中共广东省委党校和中共中央党校干部教育</w:t>
      </w:r>
      <w:r>
        <w:rPr>
          <w:rFonts w:hint="eastAsia" w:ascii="宋体" w:hAnsi="宋体"/>
          <w:szCs w:val="21"/>
        </w:rPr>
        <w:t>卫星远程网络教学系统，可直播中央党校和广东省委党校授课及会议实况。</w:t>
      </w:r>
    </w:p>
    <w:p w14:paraId="61FF5DFD">
      <w:pPr>
        <w:ind w:firstLine="420"/>
        <w:rPr>
          <w:rFonts w:ascii="宋体" w:hAnsi="宋体"/>
          <w:szCs w:val="21"/>
        </w:rPr>
      </w:pPr>
      <w:r>
        <w:rPr>
          <w:rFonts w:ascii="宋体" w:hAnsi="宋体"/>
          <w:szCs w:val="21"/>
        </w:rPr>
        <w:t>2003年7月，中共南雄市委党校与南雄市广播电视大学、南雄市教师进修学校</w:t>
      </w:r>
      <w:r>
        <w:rPr>
          <w:rFonts w:hint="eastAsia" w:ascii="宋体" w:hAnsi="宋体"/>
          <w:szCs w:val="21"/>
        </w:rPr>
        <w:t>合并，挂三校牌子，一套人马。</w:t>
      </w:r>
    </w:p>
    <w:p w14:paraId="2BC81389">
      <w:pPr>
        <w:ind w:firstLine="420"/>
        <w:rPr>
          <w:rFonts w:ascii="宋体" w:hAnsi="宋体"/>
          <w:szCs w:val="21"/>
        </w:rPr>
      </w:pPr>
      <w:r>
        <w:rPr>
          <w:rFonts w:hint="eastAsia" w:ascii="宋体" w:hAnsi="宋体"/>
          <w:szCs w:val="21"/>
        </w:rPr>
        <w:t>三校合一后，为市委、市政府直属事业单位，归市委主管，与中央、省、韶关市关系不变。市委党校兼有一定的行政职能，负责协管市电大、市教师进修学校。有关业务，分别受市委组织部，人事局、教育局指导。校长由市委副书记兼任，实行校务委员会领导体制，重大事项由校委会讨论决定，常务副校长主持学校日常工作，并兼任市电大、市教师进修学校党组书记。</w:t>
      </w:r>
    </w:p>
    <w:p w14:paraId="0A73B57B">
      <w:pPr>
        <w:ind w:firstLine="420"/>
        <w:rPr>
          <w:rFonts w:ascii="宋体" w:hAnsi="宋体"/>
          <w:szCs w:val="21"/>
        </w:rPr>
      </w:pPr>
      <w:r>
        <w:rPr>
          <w:rFonts w:hint="eastAsia" w:ascii="宋体" w:hAnsi="宋体"/>
          <w:szCs w:val="21"/>
        </w:rPr>
        <w:t>合并后，以原雄东路电大为校址，三校资源整合，教学设施进一步完善。</w:t>
      </w:r>
      <w:r>
        <w:rPr>
          <w:rFonts w:ascii="宋体" w:hAnsi="宋体"/>
          <w:szCs w:val="21"/>
        </w:rPr>
        <w:t>2004</w:t>
      </w:r>
      <w:r>
        <w:rPr>
          <w:rFonts w:hint="eastAsia" w:ascii="宋体" w:hAnsi="宋体"/>
          <w:szCs w:val="21"/>
        </w:rPr>
        <w:t>年，成人学历教育在校生共</w:t>
      </w:r>
      <w:r>
        <w:rPr>
          <w:rFonts w:ascii="宋体" w:hAnsi="宋体"/>
          <w:szCs w:val="21"/>
        </w:rPr>
        <w:t>681人，其中，市委党校与中央党校协办的行政管理、法</w:t>
      </w:r>
      <w:r>
        <w:rPr>
          <w:rFonts w:hint="eastAsia" w:ascii="宋体" w:hAnsi="宋体"/>
          <w:szCs w:val="21"/>
        </w:rPr>
        <w:t>律专业函授本科班</w:t>
      </w:r>
      <w:r>
        <w:rPr>
          <w:rFonts w:ascii="宋体" w:hAnsi="宋体"/>
          <w:szCs w:val="21"/>
        </w:rPr>
        <w:t>110人；市广播电视大学举办的中央电大开放教育试点专业大专班456人；市教师进修学校与省教育学院和韶关教育学院联办的本科函授班115人</w:t>
      </w:r>
      <w:r>
        <w:rPr>
          <w:rFonts w:hint="eastAsia" w:ascii="宋体" w:hAnsi="宋体"/>
          <w:szCs w:val="21"/>
        </w:rPr>
        <w:t>。</w:t>
      </w:r>
    </w:p>
    <w:p w14:paraId="4347B6D3">
      <w:pPr>
        <w:pStyle w:val="5"/>
        <w:rPr>
          <w:rFonts w:ascii="宋体" w:hAnsi="宋体"/>
        </w:rPr>
      </w:pPr>
      <w:r>
        <w:rPr>
          <w:rFonts w:hint="eastAsia" w:ascii="宋体" w:hAnsi="宋体"/>
        </w:rPr>
        <w:t>四、精神文明建设</w:t>
      </w:r>
    </w:p>
    <w:p w14:paraId="0053A59B">
      <w:pPr>
        <w:ind w:firstLine="420"/>
        <w:rPr>
          <w:rFonts w:ascii="宋体" w:hAnsi="宋体"/>
          <w:szCs w:val="21"/>
        </w:rPr>
      </w:pPr>
      <w:r>
        <w:rPr>
          <w:rFonts w:hint="eastAsia" w:ascii="宋体" w:hAnsi="宋体"/>
          <w:szCs w:val="21"/>
        </w:rPr>
        <w:t>南雄市于</w:t>
      </w:r>
      <w:r>
        <w:rPr>
          <w:rFonts w:ascii="宋体" w:hAnsi="宋体"/>
          <w:szCs w:val="21"/>
        </w:rPr>
        <w:t>1990年5月设精神文明建设办公室，与中共南雄市委宣传部合署办公，</w:t>
      </w:r>
      <w:r>
        <w:rPr>
          <w:rFonts w:hint="eastAsia" w:ascii="宋体" w:hAnsi="宋体"/>
          <w:szCs w:val="21"/>
        </w:rPr>
        <w:t>负责组织实施全市精神文明建设工作。</w:t>
      </w:r>
    </w:p>
    <w:p w14:paraId="75622DAF">
      <w:pPr>
        <w:ind w:firstLine="420"/>
        <w:rPr>
          <w:rFonts w:ascii="宋体" w:hAnsi="宋体"/>
          <w:szCs w:val="21"/>
        </w:rPr>
      </w:pPr>
      <w:r>
        <w:rPr>
          <w:rFonts w:hint="eastAsia" w:ascii="宋体" w:hAnsi="宋体"/>
          <w:szCs w:val="21"/>
        </w:rPr>
        <w:t>开展创建文明城市活动。</w:t>
      </w:r>
      <w:r>
        <w:rPr>
          <w:rFonts w:ascii="宋体" w:hAnsi="宋体"/>
          <w:szCs w:val="21"/>
        </w:rPr>
        <w:t>2000年10月，制定《南雄市创建文明城市工作方案》，</w:t>
      </w:r>
      <w:r>
        <w:rPr>
          <w:rFonts w:hint="eastAsia" w:ascii="宋体" w:hAnsi="宋体"/>
          <w:szCs w:val="21"/>
        </w:rPr>
        <w:t>同年</w:t>
      </w:r>
      <w:r>
        <w:rPr>
          <w:rFonts w:ascii="宋体" w:hAnsi="宋体"/>
          <w:szCs w:val="21"/>
        </w:rPr>
        <w:t>12月30日，举行“迈向新世纪，建设新雄州，创文明城市，建美好家园，做文</w:t>
      </w:r>
      <w:r>
        <w:rPr>
          <w:rFonts w:hint="eastAsia" w:ascii="宋体" w:hAnsi="宋体"/>
          <w:szCs w:val="21"/>
        </w:rPr>
        <w:t>明市民”万人签名活动。</w:t>
      </w:r>
      <w:r>
        <w:rPr>
          <w:rFonts w:ascii="宋体" w:hAnsi="宋体"/>
          <w:szCs w:val="21"/>
        </w:rPr>
        <w:t>2001年7月3日，市委、市政府召开创建文明城市誓师大</w:t>
      </w:r>
      <w:r>
        <w:rPr>
          <w:rFonts w:hint="eastAsia" w:ascii="宋体" w:hAnsi="宋体"/>
          <w:szCs w:val="21"/>
        </w:rPr>
        <w:t>会，市政府与各职能部门签订了创建文明城市责任书。同年</w:t>
      </w:r>
      <w:r>
        <w:rPr>
          <w:rFonts w:ascii="宋体" w:hAnsi="宋体"/>
          <w:szCs w:val="21"/>
        </w:rPr>
        <w:t>9月与2003年12月，南</w:t>
      </w:r>
      <w:r>
        <w:rPr>
          <w:rFonts w:hint="eastAsia" w:ascii="宋体" w:hAnsi="宋体"/>
          <w:szCs w:val="21"/>
        </w:rPr>
        <w:t>雄市先后被省委、省政府授予“广东省创建文明城市先进单位”称号。</w:t>
      </w:r>
    </w:p>
    <w:p w14:paraId="07FFD22C">
      <w:pPr>
        <w:ind w:firstLine="420"/>
        <w:rPr>
          <w:rFonts w:ascii="宋体" w:hAnsi="宋体"/>
          <w:szCs w:val="21"/>
        </w:rPr>
      </w:pPr>
      <w:r>
        <w:rPr>
          <w:rFonts w:hint="eastAsia" w:ascii="宋体" w:hAnsi="宋体"/>
          <w:szCs w:val="21"/>
        </w:rPr>
        <w:t>开展创建文明单位、文明行业活动。按照“六好”（班子建设好、政治思想工作好、生产和业务好、社会风气好、阵地文化好、环境建设好）要求，开展评比考核。</w:t>
      </w:r>
    </w:p>
    <w:p w14:paraId="32FC0BF8">
      <w:pPr>
        <w:ind w:firstLine="420"/>
        <w:rPr>
          <w:rFonts w:ascii="宋体" w:hAnsi="宋体"/>
          <w:szCs w:val="21"/>
        </w:rPr>
      </w:pPr>
      <w:r>
        <w:rPr>
          <w:rFonts w:hint="eastAsia" w:ascii="宋体" w:hAnsi="宋体"/>
          <w:szCs w:val="21"/>
        </w:rPr>
        <w:t>开展创建文明村镇活动。采取“五结合”方法，即把创建活动与农房改造、重建家园、市镇建设、奔康工程、旅游开发紧密结合起来。至</w:t>
      </w:r>
      <w:r>
        <w:rPr>
          <w:rFonts w:ascii="宋体" w:hAnsi="宋体"/>
          <w:szCs w:val="21"/>
        </w:rPr>
        <w:t>2004年，全市共建各级</w:t>
      </w:r>
      <w:r>
        <w:rPr>
          <w:rFonts w:hint="eastAsia" w:ascii="宋体" w:hAnsi="宋体"/>
          <w:szCs w:val="21"/>
        </w:rPr>
        <w:t>文明小康村</w:t>
      </w:r>
      <w:r>
        <w:rPr>
          <w:rFonts w:ascii="宋体" w:hAnsi="宋体"/>
          <w:szCs w:val="21"/>
        </w:rPr>
        <w:t>1967个，占全市自然村数的84.6%，评出文明户68047户，占全市总户</w:t>
      </w:r>
      <w:r>
        <w:rPr>
          <w:rFonts w:hint="eastAsia" w:ascii="宋体" w:hAnsi="宋体"/>
          <w:szCs w:val="21"/>
        </w:rPr>
        <w:t>数的</w:t>
      </w:r>
      <w:r>
        <w:rPr>
          <w:rFonts w:ascii="宋体" w:hAnsi="宋体"/>
          <w:szCs w:val="21"/>
        </w:rPr>
        <w:t>82.7%。1997年，珠玑新村被定为全国创建文明村示范点</w:t>
      </w:r>
      <w:r>
        <w:rPr>
          <w:rFonts w:hint="eastAsia" w:ascii="宋体" w:hAnsi="宋体"/>
          <w:szCs w:val="21"/>
        </w:rPr>
        <w:t>。</w:t>
      </w:r>
    </w:p>
    <w:p w14:paraId="40A7B0C1">
      <w:pPr>
        <w:ind w:firstLine="420"/>
        <w:rPr>
          <w:rFonts w:ascii="宋体" w:hAnsi="宋体"/>
          <w:szCs w:val="21"/>
        </w:rPr>
      </w:pPr>
      <w:r>
        <w:rPr>
          <w:rFonts w:hint="eastAsia" w:ascii="宋体" w:hAnsi="宋体"/>
          <w:szCs w:val="21"/>
        </w:rPr>
        <w:t>此外，还广泛开展爱国主义、社会公德、职业道德、家庭美德教育。</w:t>
      </w:r>
    </w:p>
    <w:p w14:paraId="331CDD4F">
      <w:pPr>
        <w:pStyle w:val="4"/>
        <w:rPr>
          <w:rFonts w:ascii="宋体" w:hAnsi="宋体"/>
        </w:rPr>
      </w:pPr>
      <w:r>
        <w:rPr>
          <w:rFonts w:hint="eastAsia" w:ascii="宋体" w:hAnsi="宋体"/>
        </w:rPr>
        <w:t>第三节  党的组织建设</w:t>
      </w:r>
    </w:p>
    <w:p w14:paraId="1265E16E">
      <w:pPr>
        <w:pStyle w:val="5"/>
        <w:rPr>
          <w:rFonts w:ascii="宋体" w:hAnsi="宋体"/>
        </w:rPr>
      </w:pPr>
      <w:r>
        <w:rPr>
          <w:rFonts w:hint="eastAsia" w:ascii="宋体" w:hAnsi="宋体"/>
        </w:rPr>
        <w:t>一、整党建党</w:t>
      </w:r>
    </w:p>
    <w:p w14:paraId="2BE12A95">
      <w:pPr>
        <w:ind w:firstLine="420"/>
        <w:rPr>
          <w:rFonts w:ascii="宋体" w:hAnsi="宋体"/>
          <w:szCs w:val="21"/>
        </w:rPr>
      </w:pPr>
      <w:r>
        <w:rPr>
          <w:rFonts w:ascii="宋体" w:hAnsi="宋体"/>
          <w:szCs w:val="21"/>
        </w:rPr>
        <w:t>1952年至1985年，进行4次系统整党。</w:t>
      </w:r>
    </w:p>
    <w:p w14:paraId="510ECFF4">
      <w:pPr>
        <w:ind w:firstLine="420"/>
        <w:rPr>
          <w:rFonts w:ascii="宋体" w:hAnsi="宋体"/>
          <w:szCs w:val="21"/>
        </w:rPr>
      </w:pPr>
      <w:r>
        <w:rPr>
          <w:rFonts w:hint="eastAsia" w:ascii="宋体" w:hAnsi="宋体"/>
          <w:szCs w:val="21"/>
        </w:rPr>
        <w:t>第一次整党，在</w:t>
      </w:r>
      <w:r>
        <w:rPr>
          <w:rFonts w:ascii="宋体" w:hAnsi="宋体"/>
          <w:szCs w:val="21"/>
        </w:rPr>
        <w:t>1952年土地改革全面展开后，结合整队进行，以三查（查阶级、</w:t>
      </w:r>
      <w:r>
        <w:rPr>
          <w:rFonts w:hint="eastAsia" w:ascii="宋体" w:hAnsi="宋体"/>
          <w:szCs w:val="21"/>
        </w:rPr>
        <w:t>查思想、查作风）、三整（整顿组织、整顿思想、整顿作风）为主要内容。通过整党，保证土地改革胜利进行。在土改斗争中发展党的组织，是年吸收新党员</w:t>
      </w:r>
      <w:r>
        <w:rPr>
          <w:rFonts w:ascii="宋体" w:hAnsi="宋体"/>
          <w:szCs w:val="21"/>
        </w:rPr>
        <w:t>294人，</w:t>
      </w:r>
      <w:r>
        <w:rPr>
          <w:rFonts w:hint="eastAsia" w:ascii="宋体" w:hAnsi="宋体"/>
          <w:szCs w:val="21"/>
        </w:rPr>
        <w:t>新建支部</w:t>
      </w:r>
      <w:r>
        <w:rPr>
          <w:rFonts w:ascii="宋体" w:hAnsi="宋体"/>
          <w:szCs w:val="21"/>
        </w:rPr>
        <w:t>11个。至1955年，共发展党员1340人，党员总人数达1718人，成立基层</w:t>
      </w:r>
      <w:r>
        <w:rPr>
          <w:rFonts w:hint="eastAsia" w:ascii="宋体" w:hAnsi="宋体"/>
          <w:szCs w:val="21"/>
        </w:rPr>
        <w:t>党委</w:t>
      </w:r>
      <w:r>
        <w:rPr>
          <w:rFonts w:ascii="宋体" w:hAnsi="宋体"/>
          <w:szCs w:val="21"/>
        </w:rPr>
        <w:t>8个，支部111个</w:t>
      </w:r>
      <w:r>
        <w:rPr>
          <w:rFonts w:hint="eastAsia" w:ascii="宋体" w:hAnsi="宋体"/>
          <w:szCs w:val="21"/>
        </w:rPr>
        <w:t>。</w:t>
      </w:r>
    </w:p>
    <w:p w14:paraId="3A2D0635">
      <w:pPr>
        <w:ind w:firstLine="420"/>
        <w:rPr>
          <w:rFonts w:ascii="宋体" w:hAnsi="宋体"/>
          <w:szCs w:val="21"/>
        </w:rPr>
      </w:pPr>
      <w:r>
        <w:rPr>
          <w:rFonts w:hint="eastAsia" w:ascii="宋体" w:hAnsi="宋体"/>
          <w:szCs w:val="21"/>
        </w:rPr>
        <w:t>第二次整党，在</w:t>
      </w:r>
      <w:r>
        <w:rPr>
          <w:rFonts w:ascii="宋体" w:hAnsi="宋体"/>
          <w:szCs w:val="21"/>
        </w:rPr>
        <w:t>1955年12月进行。根据中共中央关于加快农业合作化步伐的精</w:t>
      </w:r>
      <w:r>
        <w:rPr>
          <w:rFonts w:hint="eastAsia" w:ascii="宋体" w:hAnsi="宋体"/>
          <w:szCs w:val="21"/>
        </w:rPr>
        <w:t>神，不适当地批判党员中的“富农思想”、“右倾情绪”和“个人主义”以及对合作化不热情、不积极等问题，因而导致农业合作化出现急躁冒进倾向。在整党中，有</w:t>
      </w:r>
      <w:r>
        <w:rPr>
          <w:rFonts w:ascii="宋体" w:hAnsi="宋体"/>
          <w:szCs w:val="21"/>
        </w:rPr>
        <w:t>123名党员受到县委的表扬，有49名党员受到处分，一名区委委员被开除。在合作</w:t>
      </w:r>
      <w:r>
        <w:rPr>
          <w:rFonts w:hint="eastAsia" w:ascii="宋体" w:hAnsi="宋体"/>
          <w:szCs w:val="21"/>
        </w:rPr>
        <w:t>化运动中吸收大批积极分子入党。至</w:t>
      </w:r>
      <w:r>
        <w:rPr>
          <w:rFonts w:ascii="宋体" w:hAnsi="宋体"/>
          <w:szCs w:val="21"/>
        </w:rPr>
        <w:t>1957年底，建立基层党委20个，支部266个，</w:t>
      </w:r>
      <w:r>
        <w:rPr>
          <w:rFonts w:hint="eastAsia" w:ascii="宋体" w:hAnsi="宋体"/>
          <w:szCs w:val="21"/>
        </w:rPr>
        <w:t>党员</w:t>
      </w:r>
      <w:r>
        <w:rPr>
          <w:rFonts w:ascii="宋体" w:hAnsi="宋体"/>
          <w:szCs w:val="21"/>
        </w:rPr>
        <w:t>3172人，其中女党员371人。</w:t>
      </w:r>
    </w:p>
    <w:p w14:paraId="1F1EF98F">
      <w:pPr>
        <w:ind w:firstLine="420"/>
        <w:rPr>
          <w:rFonts w:ascii="宋体" w:hAnsi="宋体"/>
          <w:szCs w:val="21"/>
        </w:rPr>
      </w:pPr>
      <w:r>
        <w:rPr>
          <w:rFonts w:hint="eastAsia" w:ascii="宋体" w:hAnsi="宋体"/>
          <w:szCs w:val="21"/>
        </w:rPr>
        <w:t>第三次整党，在</w:t>
      </w:r>
      <w:r>
        <w:rPr>
          <w:rFonts w:ascii="宋体" w:hAnsi="宋体"/>
          <w:szCs w:val="21"/>
        </w:rPr>
        <w:t>1969年至1971年进行。按照中共全国第九次代表大会制定的一</w:t>
      </w:r>
      <w:r>
        <w:rPr>
          <w:rFonts w:hint="eastAsia" w:ascii="宋体" w:hAnsi="宋体"/>
          <w:szCs w:val="21"/>
        </w:rPr>
        <w:t>系列“左”的方针，以“斗、批、改”为内容，进行“吐故纳新”。在整党中，混淆是非，颠倒敌我，把</w:t>
      </w:r>
      <w:r>
        <w:rPr>
          <w:rFonts w:ascii="宋体" w:hAnsi="宋体"/>
          <w:szCs w:val="21"/>
        </w:rPr>
        <w:t>50多名党员打成“叛徒”、“特务”、“死不改悔的走资派”和</w:t>
      </w:r>
      <w:r>
        <w:rPr>
          <w:rFonts w:hint="eastAsia" w:ascii="宋体" w:hAnsi="宋体"/>
          <w:szCs w:val="21"/>
        </w:rPr>
        <w:t>“阶级异己分子”而“吐”了出去（开除出党），把某些违法乱纪、帮派思想严重的人“纳”进党内，造成组织不纯。</w:t>
      </w:r>
      <w:r>
        <w:rPr>
          <w:rFonts w:ascii="宋体" w:hAnsi="宋体"/>
          <w:szCs w:val="21"/>
        </w:rPr>
        <w:t>1</w:t>
      </w:r>
      <w:r>
        <w:rPr>
          <w:rFonts w:hint="eastAsia" w:ascii="宋体" w:hAnsi="宋体"/>
          <w:szCs w:val="21"/>
        </w:rPr>
        <w:t>9</w:t>
      </w:r>
      <w:r>
        <w:rPr>
          <w:rFonts w:ascii="宋体" w:hAnsi="宋体"/>
          <w:szCs w:val="21"/>
        </w:rPr>
        <w:t>76年，建立基层党委24个，党支部499个，党</w:t>
      </w:r>
      <w:r>
        <w:rPr>
          <w:rFonts w:hint="eastAsia" w:ascii="宋体" w:hAnsi="宋体"/>
          <w:szCs w:val="21"/>
        </w:rPr>
        <w:t>员</w:t>
      </w:r>
      <w:r>
        <w:rPr>
          <w:rFonts w:ascii="宋体" w:hAnsi="宋体"/>
          <w:szCs w:val="21"/>
        </w:rPr>
        <w:t>9162人。</w:t>
      </w:r>
    </w:p>
    <w:p w14:paraId="27A96D59">
      <w:pPr>
        <w:ind w:firstLine="420"/>
        <w:rPr>
          <w:rFonts w:ascii="宋体" w:hAnsi="宋体"/>
          <w:szCs w:val="21"/>
        </w:rPr>
      </w:pPr>
      <w:r>
        <w:rPr>
          <w:rFonts w:hint="eastAsia" w:ascii="宋体" w:hAnsi="宋体"/>
          <w:szCs w:val="21"/>
        </w:rPr>
        <w:t>第四次整党，按照中共十二届二中全会通过的《中共中央关于整党的决定》精神，于</w:t>
      </w:r>
      <w:r>
        <w:rPr>
          <w:rFonts w:ascii="宋体" w:hAnsi="宋体"/>
          <w:szCs w:val="21"/>
        </w:rPr>
        <w:t>1985年7月下旬起至1986年底，对县、乡（镇）、村三级党组织分批进行整</w:t>
      </w:r>
      <w:r>
        <w:rPr>
          <w:rFonts w:hint="eastAsia" w:ascii="宋体" w:hAnsi="宋体"/>
          <w:szCs w:val="21"/>
        </w:rPr>
        <w:t>顿。这次整党的任务是：统一思想，整顿作风，加强纪律，纯洁组织。通过整党，端正业务指导思想，深入进行彻底否定“文化大革命”的教育；清理和制止乱发奖金、实物和乱涨价、乱收费、乱罚款等不正之风。最后进行党员登记，全县</w:t>
      </w:r>
      <w:r>
        <w:rPr>
          <w:rFonts w:ascii="宋体" w:hAnsi="宋体"/>
          <w:szCs w:val="21"/>
        </w:rPr>
        <w:t>11446名党员</w:t>
      </w:r>
      <w:r>
        <w:rPr>
          <w:rFonts w:hint="eastAsia" w:ascii="宋体" w:hAnsi="宋体"/>
          <w:szCs w:val="21"/>
        </w:rPr>
        <w:t>中，缓登记的党员</w:t>
      </w:r>
      <w:r>
        <w:rPr>
          <w:rFonts w:ascii="宋体" w:hAnsi="宋体"/>
          <w:szCs w:val="21"/>
        </w:rPr>
        <w:t>99名，不登记的党员20名，取消预备期的党员3名。在整党中受</w:t>
      </w:r>
      <w:r>
        <w:rPr>
          <w:rFonts w:hint="eastAsia" w:ascii="宋体" w:hAnsi="宋体"/>
          <w:szCs w:val="21"/>
        </w:rPr>
        <w:t>处分的</w:t>
      </w:r>
      <w:r>
        <w:rPr>
          <w:rFonts w:ascii="宋体" w:hAnsi="宋体"/>
          <w:szCs w:val="21"/>
        </w:rPr>
        <w:t>72名，其中警告14名，严重警告7名，撤销职务4名，留党察看15名，开</w:t>
      </w:r>
      <w:r>
        <w:rPr>
          <w:rFonts w:hint="eastAsia" w:ascii="宋体" w:hAnsi="宋体"/>
          <w:szCs w:val="21"/>
        </w:rPr>
        <w:t>除党籍</w:t>
      </w:r>
      <w:r>
        <w:rPr>
          <w:rFonts w:ascii="宋体" w:hAnsi="宋体"/>
          <w:szCs w:val="21"/>
        </w:rPr>
        <w:t>32名。在整党中发展党员852名，其中，中级专业技术人员和中小学校教师131名。1987年全市党员12897人，其中女党员1759人，占13.6%；大专以上文化</w:t>
      </w:r>
      <w:r>
        <w:rPr>
          <w:rFonts w:hint="eastAsia" w:ascii="宋体" w:hAnsi="宋体"/>
          <w:szCs w:val="21"/>
        </w:rPr>
        <w:t>程度</w:t>
      </w:r>
      <w:r>
        <w:rPr>
          <w:rFonts w:ascii="宋体" w:hAnsi="宋体"/>
          <w:szCs w:val="21"/>
        </w:rPr>
        <w:t>632人，占4.9%。</w:t>
      </w:r>
    </w:p>
    <w:p w14:paraId="04EA4DD7">
      <w:pPr>
        <w:ind w:firstLine="420"/>
        <w:rPr>
          <w:rFonts w:ascii="宋体" w:hAnsi="宋体"/>
          <w:szCs w:val="21"/>
        </w:rPr>
      </w:pPr>
      <w:r>
        <w:rPr>
          <w:rFonts w:ascii="宋体" w:hAnsi="宋体"/>
          <w:szCs w:val="21"/>
        </w:rPr>
        <w:t>1998年市委制定了《关于在农村、企业生产第一线发展党员工作的意见》，要求</w:t>
      </w:r>
      <w:r>
        <w:rPr>
          <w:rFonts w:hint="eastAsia" w:ascii="宋体" w:hAnsi="宋体"/>
          <w:szCs w:val="21"/>
        </w:rPr>
        <w:t>发展党员要以优化党员队伍结构为重点，向村干部、生产第一线、</w:t>
      </w:r>
      <w:r>
        <w:rPr>
          <w:rFonts w:ascii="宋体" w:hAnsi="宋体"/>
          <w:szCs w:val="21"/>
        </w:rPr>
        <w:t>35岁以下的青年</w:t>
      </w:r>
      <w:r>
        <w:rPr>
          <w:rFonts w:hint="eastAsia" w:ascii="宋体" w:hAnsi="宋体"/>
          <w:szCs w:val="21"/>
        </w:rPr>
        <w:t>和妇女积极分子倾斜。</w:t>
      </w:r>
      <w:r>
        <w:rPr>
          <w:rFonts w:ascii="宋体" w:hAnsi="宋体"/>
          <w:szCs w:val="21"/>
        </w:rPr>
        <w:t>2001年至2005年，全市新发展党员中，高中以上文化、35岁</w:t>
      </w:r>
      <w:r>
        <w:rPr>
          <w:rFonts w:hint="eastAsia" w:ascii="宋体" w:hAnsi="宋体"/>
          <w:szCs w:val="21"/>
        </w:rPr>
        <w:t>以下和女党员分别占发展党员总数的</w:t>
      </w:r>
      <w:r>
        <w:rPr>
          <w:rFonts w:ascii="宋体" w:hAnsi="宋体"/>
          <w:szCs w:val="21"/>
        </w:rPr>
        <w:t>46.7%、67.7%、19.9%。2004年，全市党员18349人，其中女党员2705人，占14.7%；45岁以下党员8385人，占45.7%；大</w:t>
      </w:r>
      <w:r>
        <w:rPr>
          <w:rFonts w:hint="eastAsia" w:ascii="宋体" w:hAnsi="宋体"/>
          <w:szCs w:val="21"/>
        </w:rPr>
        <w:t>学（含大专、本科）文化程度</w:t>
      </w:r>
      <w:r>
        <w:rPr>
          <w:rFonts w:ascii="宋体" w:hAnsi="宋体"/>
          <w:szCs w:val="21"/>
        </w:rPr>
        <w:t>3930人，占21.4%；高中（含中专）文化程度6308</w:t>
      </w:r>
      <w:r>
        <w:rPr>
          <w:rFonts w:hint="eastAsia" w:ascii="宋体" w:hAnsi="宋体"/>
          <w:szCs w:val="21"/>
        </w:rPr>
        <w:t>人，占</w:t>
      </w:r>
      <w:r>
        <w:rPr>
          <w:rFonts w:ascii="宋体" w:hAnsi="宋体"/>
          <w:szCs w:val="21"/>
        </w:rPr>
        <w:t>34.4%。</w:t>
      </w:r>
    </w:p>
    <w:p w14:paraId="65120AE1">
      <w:pPr>
        <w:ind w:firstLine="420"/>
        <w:rPr>
          <w:rFonts w:ascii="宋体" w:hAnsi="宋体"/>
          <w:szCs w:val="21"/>
        </w:rPr>
      </w:pPr>
      <w:r>
        <w:rPr>
          <w:rFonts w:hint="eastAsia" w:ascii="宋体" w:hAnsi="宋体"/>
          <w:szCs w:val="21"/>
        </w:rPr>
        <w:t>在发展党员时还注意在非公有制经济组织中发展党员，建立党组织。至</w:t>
      </w:r>
      <w:r>
        <w:rPr>
          <w:rFonts w:ascii="宋体" w:hAnsi="宋体"/>
          <w:szCs w:val="21"/>
        </w:rPr>
        <w:t>2005年，</w:t>
      </w:r>
      <w:r>
        <w:rPr>
          <w:rFonts w:hint="eastAsia" w:ascii="宋体" w:hAnsi="宋体"/>
          <w:szCs w:val="21"/>
        </w:rPr>
        <w:t>已有</w:t>
      </w:r>
      <w:r>
        <w:rPr>
          <w:rFonts w:ascii="宋体" w:hAnsi="宋体"/>
          <w:szCs w:val="21"/>
        </w:rPr>
        <w:t>16家非公有制企业建立了党组织</w:t>
      </w:r>
      <w:r>
        <w:rPr>
          <w:rFonts w:hint="eastAsia" w:ascii="宋体" w:hAnsi="宋体"/>
          <w:szCs w:val="21"/>
        </w:rPr>
        <w:t>。</w:t>
      </w:r>
    </w:p>
    <w:p w14:paraId="3A735558">
      <w:pPr>
        <w:ind w:firstLine="420"/>
        <w:rPr>
          <w:rFonts w:ascii="宋体" w:hAnsi="宋体"/>
          <w:szCs w:val="21"/>
        </w:rPr>
      </w:pPr>
      <w:r>
        <w:rPr>
          <w:rFonts w:hint="eastAsia" w:ascii="宋体" w:hAnsi="宋体"/>
          <w:szCs w:val="21"/>
        </w:rPr>
        <w:t>在发展党员工作中采取“发展党员公示制”方式，以更好地保证发展党员的质量。</w:t>
      </w:r>
    </w:p>
    <w:p w14:paraId="011EF7CA">
      <w:pPr>
        <w:ind w:firstLine="420"/>
        <w:rPr>
          <w:rFonts w:ascii="宋体" w:hAnsi="宋体"/>
          <w:szCs w:val="21"/>
        </w:rPr>
      </w:pPr>
      <w:r>
        <w:rPr>
          <w:rFonts w:ascii="宋体" w:hAnsi="宋体"/>
          <w:szCs w:val="21"/>
        </w:rPr>
        <w:t>1998年至2004年党员队伍基本情况，详见表4-1：</w:t>
      </w:r>
    </w:p>
    <w:p w14:paraId="640CF2FD">
      <w:pPr>
        <w:ind w:firstLine="0" w:firstLineChars="0"/>
        <w:jc w:val="center"/>
        <w:rPr>
          <w:rFonts w:ascii="宋体" w:hAnsi="宋体"/>
          <w:b/>
          <w:szCs w:val="21"/>
        </w:rPr>
      </w:pPr>
      <w:r>
        <w:rPr>
          <w:rFonts w:ascii="宋体" w:hAnsi="宋体"/>
          <w:b/>
          <w:szCs w:val="21"/>
        </w:rPr>
        <w:t>1998年至2004年南雄市党员队伍基本情况</w:t>
      </w:r>
    </w:p>
    <w:p w14:paraId="7B776398">
      <w:pPr>
        <w:ind w:firstLine="0" w:firstLineChars="0"/>
        <w:rPr>
          <w:rFonts w:ascii="宋体" w:hAnsi="宋体"/>
          <w:b/>
          <w:szCs w:val="21"/>
        </w:rPr>
      </w:pPr>
      <w:r>
        <w:rPr>
          <w:rFonts w:hint="eastAsia" w:ascii="宋体" w:hAnsi="宋体"/>
          <w:b/>
          <w:szCs w:val="21"/>
        </w:rPr>
        <w:t>表</w:t>
      </w:r>
      <w:r>
        <w:rPr>
          <w:rFonts w:ascii="宋体" w:hAnsi="宋体"/>
          <w:b/>
          <w:szCs w:val="21"/>
        </w:rPr>
        <w:t>4-1</w:t>
      </w:r>
    </w:p>
    <w:p w14:paraId="4CC7E62B">
      <w:pPr>
        <w:ind w:firstLine="0" w:firstLineChars="0"/>
        <w:jc w:val="right"/>
        <w:rPr>
          <w:rFonts w:ascii="宋体" w:hAnsi="宋体"/>
          <w:b/>
          <w:szCs w:val="21"/>
        </w:rPr>
      </w:pPr>
      <w:r>
        <w:rPr>
          <w:rFonts w:ascii="宋体" w:hAnsi="宋体"/>
          <w:b/>
          <w:szCs w:val="21"/>
        </w:rPr>
        <w:t>单位：人</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13"/>
        <w:gridCol w:w="2827"/>
        <w:gridCol w:w="847"/>
        <w:gridCol w:w="851"/>
        <w:gridCol w:w="849"/>
        <w:gridCol w:w="851"/>
        <w:gridCol w:w="851"/>
        <w:gridCol w:w="851"/>
        <w:gridCol w:w="922"/>
      </w:tblGrid>
      <w:tr w14:paraId="2C370E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78" w:type="pct"/>
            <w:gridSpan w:val="2"/>
            <w:tcBorders>
              <w:tl2br w:val="single" w:color="auto" w:sz="4" w:space="0"/>
            </w:tcBorders>
            <w:vAlign w:val="center"/>
          </w:tcPr>
          <w:p w14:paraId="7BFB1FB5">
            <w:pPr>
              <w:pStyle w:val="12"/>
              <w:ind w:right="420"/>
              <w:jc w:val="right"/>
              <w:rPr>
                <w:rFonts w:ascii="宋体" w:hAnsi="宋体"/>
                <w:b/>
              </w:rPr>
            </w:pPr>
            <w:r>
              <w:rPr>
                <w:rFonts w:hint="eastAsia" w:ascii="宋体" w:hAnsi="宋体"/>
                <w:b/>
              </w:rPr>
              <w:t>年份</w:t>
            </w:r>
          </w:p>
          <w:p w14:paraId="7CE95472">
            <w:pPr>
              <w:pStyle w:val="12"/>
              <w:ind w:firstLine="422" w:firstLineChars="200"/>
              <w:jc w:val="left"/>
              <w:rPr>
                <w:rFonts w:ascii="宋体" w:hAnsi="宋体"/>
                <w:b/>
              </w:rPr>
            </w:pPr>
            <w:r>
              <w:rPr>
                <w:rFonts w:hint="eastAsia" w:ascii="宋体" w:hAnsi="宋体"/>
                <w:b/>
              </w:rPr>
              <w:t>项目</w:t>
            </w:r>
          </w:p>
        </w:tc>
        <w:tc>
          <w:tcPr>
            <w:tcW w:w="425" w:type="pct"/>
            <w:vAlign w:val="center"/>
          </w:tcPr>
          <w:p w14:paraId="4EC0BC2D">
            <w:pPr>
              <w:pStyle w:val="12"/>
              <w:jc w:val="center"/>
              <w:rPr>
                <w:rFonts w:ascii="宋体" w:hAnsi="宋体"/>
                <w:b/>
              </w:rPr>
            </w:pPr>
            <w:r>
              <w:rPr>
                <w:rFonts w:hint="eastAsia" w:ascii="宋体" w:hAnsi="宋体"/>
                <w:b/>
              </w:rPr>
              <w:t>1998</w:t>
            </w:r>
          </w:p>
        </w:tc>
        <w:tc>
          <w:tcPr>
            <w:tcW w:w="427" w:type="pct"/>
            <w:vAlign w:val="center"/>
          </w:tcPr>
          <w:p w14:paraId="1BC022D0">
            <w:pPr>
              <w:pStyle w:val="12"/>
              <w:jc w:val="center"/>
              <w:rPr>
                <w:rFonts w:ascii="宋体" w:hAnsi="宋体"/>
                <w:b/>
              </w:rPr>
            </w:pPr>
            <w:r>
              <w:rPr>
                <w:rFonts w:hint="eastAsia" w:ascii="宋体" w:hAnsi="宋体"/>
                <w:b/>
              </w:rPr>
              <w:t>1999</w:t>
            </w:r>
          </w:p>
        </w:tc>
        <w:tc>
          <w:tcPr>
            <w:tcW w:w="426" w:type="pct"/>
            <w:vAlign w:val="center"/>
          </w:tcPr>
          <w:p w14:paraId="7A2F6647">
            <w:pPr>
              <w:pStyle w:val="12"/>
              <w:jc w:val="center"/>
              <w:rPr>
                <w:rFonts w:ascii="宋体" w:hAnsi="宋体"/>
                <w:b/>
              </w:rPr>
            </w:pPr>
            <w:r>
              <w:rPr>
                <w:rFonts w:hint="eastAsia" w:ascii="宋体" w:hAnsi="宋体"/>
                <w:b/>
              </w:rPr>
              <w:t>2000</w:t>
            </w:r>
          </w:p>
        </w:tc>
        <w:tc>
          <w:tcPr>
            <w:tcW w:w="427" w:type="pct"/>
            <w:vAlign w:val="center"/>
          </w:tcPr>
          <w:p w14:paraId="08A32E24">
            <w:pPr>
              <w:pStyle w:val="12"/>
              <w:jc w:val="center"/>
              <w:rPr>
                <w:rFonts w:ascii="宋体" w:hAnsi="宋体"/>
                <w:b/>
              </w:rPr>
            </w:pPr>
            <w:r>
              <w:rPr>
                <w:rFonts w:hint="eastAsia" w:ascii="宋体" w:hAnsi="宋体"/>
                <w:b/>
              </w:rPr>
              <w:t>2001</w:t>
            </w:r>
          </w:p>
        </w:tc>
        <w:tc>
          <w:tcPr>
            <w:tcW w:w="427" w:type="pct"/>
            <w:vAlign w:val="center"/>
          </w:tcPr>
          <w:p w14:paraId="2D7A6EF7">
            <w:pPr>
              <w:pStyle w:val="12"/>
              <w:jc w:val="center"/>
              <w:rPr>
                <w:rFonts w:ascii="宋体" w:hAnsi="宋体"/>
                <w:b/>
              </w:rPr>
            </w:pPr>
            <w:r>
              <w:rPr>
                <w:rFonts w:hint="eastAsia" w:ascii="宋体" w:hAnsi="宋体"/>
                <w:b/>
              </w:rPr>
              <w:t>2002</w:t>
            </w:r>
          </w:p>
        </w:tc>
        <w:tc>
          <w:tcPr>
            <w:tcW w:w="427" w:type="pct"/>
            <w:vAlign w:val="center"/>
          </w:tcPr>
          <w:p w14:paraId="6FFC9DDC">
            <w:pPr>
              <w:pStyle w:val="12"/>
              <w:jc w:val="center"/>
              <w:rPr>
                <w:rFonts w:ascii="宋体" w:hAnsi="宋体"/>
                <w:b/>
              </w:rPr>
            </w:pPr>
            <w:r>
              <w:rPr>
                <w:rFonts w:hint="eastAsia" w:ascii="宋体" w:hAnsi="宋体"/>
                <w:b/>
              </w:rPr>
              <w:t>2003</w:t>
            </w:r>
          </w:p>
        </w:tc>
        <w:tc>
          <w:tcPr>
            <w:tcW w:w="463" w:type="pct"/>
            <w:vAlign w:val="center"/>
          </w:tcPr>
          <w:p w14:paraId="6A0682E3">
            <w:pPr>
              <w:pStyle w:val="12"/>
              <w:jc w:val="center"/>
              <w:rPr>
                <w:rFonts w:ascii="宋体" w:hAnsi="宋体"/>
                <w:b/>
              </w:rPr>
            </w:pPr>
            <w:r>
              <w:rPr>
                <w:rFonts w:hint="eastAsia" w:ascii="宋体" w:hAnsi="宋体"/>
                <w:b/>
              </w:rPr>
              <w:t>2004</w:t>
            </w:r>
          </w:p>
        </w:tc>
      </w:tr>
      <w:tr w14:paraId="527361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restart"/>
            <w:vAlign w:val="center"/>
          </w:tcPr>
          <w:p w14:paraId="288B0C19">
            <w:pPr>
              <w:pStyle w:val="12"/>
              <w:jc w:val="center"/>
              <w:rPr>
                <w:rFonts w:ascii="宋体" w:hAnsi="宋体"/>
              </w:rPr>
            </w:pPr>
            <w:r>
              <w:rPr>
                <w:rFonts w:hint="eastAsia" w:ascii="宋体" w:hAnsi="宋体"/>
              </w:rPr>
              <w:t>总数</w:t>
            </w:r>
          </w:p>
        </w:tc>
        <w:tc>
          <w:tcPr>
            <w:tcW w:w="1419" w:type="pct"/>
            <w:vAlign w:val="center"/>
          </w:tcPr>
          <w:p w14:paraId="59C14CFD">
            <w:pPr>
              <w:pStyle w:val="12"/>
              <w:jc w:val="center"/>
              <w:rPr>
                <w:rFonts w:ascii="宋体" w:hAnsi="宋体"/>
              </w:rPr>
            </w:pPr>
            <w:r>
              <w:rPr>
                <w:rFonts w:hint="eastAsia" w:ascii="宋体" w:hAnsi="宋体"/>
              </w:rPr>
              <w:t>总数</w:t>
            </w:r>
          </w:p>
        </w:tc>
        <w:tc>
          <w:tcPr>
            <w:tcW w:w="425" w:type="pct"/>
            <w:vAlign w:val="center"/>
          </w:tcPr>
          <w:p w14:paraId="1ACE2458">
            <w:pPr>
              <w:pStyle w:val="12"/>
              <w:jc w:val="center"/>
              <w:rPr>
                <w:rFonts w:ascii="宋体" w:hAnsi="宋体"/>
              </w:rPr>
            </w:pPr>
            <w:r>
              <w:rPr>
                <w:rFonts w:hint="eastAsia" w:ascii="宋体" w:hAnsi="宋体"/>
              </w:rPr>
              <w:t>16585</w:t>
            </w:r>
          </w:p>
        </w:tc>
        <w:tc>
          <w:tcPr>
            <w:tcW w:w="427" w:type="pct"/>
            <w:vAlign w:val="center"/>
          </w:tcPr>
          <w:p w14:paraId="5DF48BDA">
            <w:pPr>
              <w:pStyle w:val="12"/>
              <w:jc w:val="center"/>
              <w:rPr>
                <w:rFonts w:ascii="宋体" w:hAnsi="宋体"/>
              </w:rPr>
            </w:pPr>
            <w:r>
              <w:rPr>
                <w:rFonts w:hint="eastAsia" w:ascii="宋体" w:hAnsi="宋体"/>
              </w:rPr>
              <w:t>16975</w:t>
            </w:r>
          </w:p>
        </w:tc>
        <w:tc>
          <w:tcPr>
            <w:tcW w:w="426" w:type="pct"/>
            <w:vAlign w:val="center"/>
          </w:tcPr>
          <w:p w14:paraId="0FB3A862">
            <w:pPr>
              <w:pStyle w:val="12"/>
              <w:jc w:val="center"/>
              <w:rPr>
                <w:rFonts w:ascii="宋体" w:hAnsi="宋体"/>
              </w:rPr>
            </w:pPr>
            <w:r>
              <w:rPr>
                <w:rFonts w:hint="eastAsia" w:ascii="宋体" w:hAnsi="宋体"/>
              </w:rPr>
              <w:t>17500</w:t>
            </w:r>
          </w:p>
        </w:tc>
        <w:tc>
          <w:tcPr>
            <w:tcW w:w="427" w:type="pct"/>
            <w:vAlign w:val="center"/>
          </w:tcPr>
          <w:p w14:paraId="1C1EDD9C">
            <w:pPr>
              <w:pStyle w:val="12"/>
              <w:jc w:val="center"/>
              <w:rPr>
                <w:rFonts w:ascii="宋体" w:hAnsi="宋体"/>
              </w:rPr>
            </w:pPr>
            <w:r>
              <w:rPr>
                <w:rFonts w:hint="eastAsia" w:ascii="宋体" w:hAnsi="宋体"/>
              </w:rPr>
              <w:t>17788</w:t>
            </w:r>
          </w:p>
        </w:tc>
        <w:tc>
          <w:tcPr>
            <w:tcW w:w="427" w:type="pct"/>
            <w:vAlign w:val="center"/>
          </w:tcPr>
          <w:p w14:paraId="209CB44C">
            <w:pPr>
              <w:pStyle w:val="12"/>
              <w:jc w:val="center"/>
              <w:rPr>
                <w:rFonts w:ascii="宋体" w:hAnsi="宋体"/>
              </w:rPr>
            </w:pPr>
            <w:r>
              <w:rPr>
                <w:rFonts w:hint="eastAsia" w:ascii="宋体" w:hAnsi="宋体"/>
              </w:rPr>
              <w:t>17885</w:t>
            </w:r>
          </w:p>
        </w:tc>
        <w:tc>
          <w:tcPr>
            <w:tcW w:w="427" w:type="pct"/>
            <w:vAlign w:val="center"/>
          </w:tcPr>
          <w:p w14:paraId="6855DB30">
            <w:pPr>
              <w:pStyle w:val="12"/>
              <w:jc w:val="center"/>
              <w:rPr>
                <w:rFonts w:ascii="宋体" w:hAnsi="宋体"/>
              </w:rPr>
            </w:pPr>
            <w:r>
              <w:rPr>
                <w:rFonts w:hint="eastAsia" w:ascii="宋体" w:hAnsi="宋体"/>
              </w:rPr>
              <w:t>18165</w:t>
            </w:r>
          </w:p>
        </w:tc>
        <w:tc>
          <w:tcPr>
            <w:tcW w:w="463" w:type="pct"/>
            <w:vAlign w:val="center"/>
          </w:tcPr>
          <w:p w14:paraId="17369B4D">
            <w:pPr>
              <w:pStyle w:val="12"/>
              <w:jc w:val="center"/>
              <w:rPr>
                <w:rFonts w:ascii="宋体" w:hAnsi="宋体"/>
              </w:rPr>
            </w:pPr>
            <w:r>
              <w:rPr>
                <w:rFonts w:hint="eastAsia" w:ascii="宋体" w:hAnsi="宋体"/>
              </w:rPr>
              <w:t>18349</w:t>
            </w:r>
          </w:p>
        </w:tc>
      </w:tr>
      <w:tr w14:paraId="015364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continue"/>
            <w:vAlign w:val="center"/>
          </w:tcPr>
          <w:p w14:paraId="1D6B506E">
            <w:pPr>
              <w:pStyle w:val="12"/>
              <w:jc w:val="center"/>
              <w:rPr>
                <w:rFonts w:ascii="宋体" w:hAnsi="宋体"/>
              </w:rPr>
            </w:pPr>
          </w:p>
        </w:tc>
        <w:tc>
          <w:tcPr>
            <w:tcW w:w="1419" w:type="pct"/>
            <w:vAlign w:val="center"/>
          </w:tcPr>
          <w:p w14:paraId="03B3C369">
            <w:pPr>
              <w:pStyle w:val="12"/>
              <w:jc w:val="center"/>
              <w:rPr>
                <w:rFonts w:ascii="宋体" w:hAnsi="宋体"/>
              </w:rPr>
            </w:pPr>
            <w:r>
              <w:rPr>
                <w:rFonts w:hint="eastAsia" w:ascii="宋体" w:hAnsi="宋体"/>
              </w:rPr>
              <w:t>正式党员</w:t>
            </w:r>
          </w:p>
        </w:tc>
        <w:tc>
          <w:tcPr>
            <w:tcW w:w="425" w:type="pct"/>
            <w:vAlign w:val="center"/>
          </w:tcPr>
          <w:p w14:paraId="10BD317A">
            <w:pPr>
              <w:pStyle w:val="12"/>
              <w:jc w:val="center"/>
              <w:rPr>
                <w:rFonts w:ascii="宋体" w:hAnsi="宋体"/>
              </w:rPr>
            </w:pPr>
            <w:r>
              <w:rPr>
                <w:rFonts w:hint="eastAsia" w:ascii="宋体" w:hAnsi="宋体"/>
              </w:rPr>
              <w:t>15939</w:t>
            </w:r>
          </w:p>
        </w:tc>
        <w:tc>
          <w:tcPr>
            <w:tcW w:w="427" w:type="pct"/>
            <w:vAlign w:val="center"/>
          </w:tcPr>
          <w:p w14:paraId="7404E34C">
            <w:pPr>
              <w:pStyle w:val="12"/>
              <w:jc w:val="center"/>
              <w:rPr>
                <w:rFonts w:ascii="宋体" w:hAnsi="宋体"/>
              </w:rPr>
            </w:pPr>
            <w:r>
              <w:rPr>
                <w:rFonts w:hint="eastAsia" w:ascii="宋体" w:hAnsi="宋体"/>
              </w:rPr>
              <w:t>16284</w:t>
            </w:r>
          </w:p>
        </w:tc>
        <w:tc>
          <w:tcPr>
            <w:tcW w:w="426" w:type="pct"/>
            <w:vAlign w:val="center"/>
          </w:tcPr>
          <w:p w14:paraId="174321A4">
            <w:pPr>
              <w:pStyle w:val="12"/>
              <w:jc w:val="center"/>
              <w:rPr>
                <w:rFonts w:ascii="宋体" w:hAnsi="宋体"/>
              </w:rPr>
            </w:pPr>
            <w:r>
              <w:rPr>
                <w:rFonts w:hint="eastAsia" w:ascii="宋体" w:hAnsi="宋体"/>
              </w:rPr>
              <w:t>16840</w:t>
            </w:r>
          </w:p>
        </w:tc>
        <w:tc>
          <w:tcPr>
            <w:tcW w:w="427" w:type="pct"/>
            <w:vAlign w:val="center"/>
          </w:tcPr>
          <w:p w14:paraId="2C0CB9A8">
            <w:pPr>
              <w:pStyle w:val="12"/>
              <w:jc w:val="center"/>
              <w:rPr>
                <w:rFonts w:ascii="宋体" w:hAnsi="宋体"/>
              </w:rPr>
            </w:pPr>
            <w:r>
              <w:rPr>
                <w:rFonts w:hint="eastAsia" w:ascii="宋体" w:hAnsi="宋体"/>
              </w:rPr>
              <w:t>17269</w:t>
            </w:r>
          </w:p>
        </w:tc>
        <w:tc>
          <w:tcPr>
            <w:tcW w:w="427" w:type="pct"/>
            <w:vAlign w:val="center"/>
          </w:tcPr>
          <w:p w14:paraId="212A0BD2">
            <w:pPr>
              <w:pStyle w:val="12"/>
              <w:jc w:val="center"/>
              <w:rPr>
                <w:rFonts w:ascii="宋体" w:hAnsi="宋体"/>
              </w:rPr>
            </w:pPr>
            <w:r>
              <w:rPr>
                <w:rFonts w:hint="eastAsia" w:ascii="宋体" w:hAnsi="宋体"/>
              </w:rPr>
              <w:t>17423</w:t>
            </w:r>
          </w:p>
        </w:tc>
        <w:tc>
          <w:tcPr>
            <w:tcW w:w="427" w:type="pct"/>
            <w:vAlign w:val="center"/>
          </w:tcPr>
          <w:p w14:paraId="20E9A827">
            <w:pPr>
              <w:pStyle w:val="12"/>
              <w:jc w:val="center"/>
              <w:rPr>
                <w:rFonts w:ascii="宋体" w:hAnsi="宋体"/>
              </w:rPr>
            </w:pPr>
            <w:r>
              <w:rPr>
                <w:rFonts w:hint="eastAsia" w:ascii="宋体" w:hAnsi="宋体"/>
              </w:rPr>
              <w:t>17564</w:t>
            </w:r>
          </w:p>
        </w:tc>
        <w:tc>
          <w:tcPr>
            <w:tcW w:w="463" w:type="pct"/>
            <w:vAlign w:val="center"/>
          </w:tcPr>
          <w:p w14:paraId="77F0ED23">
            <w:pPr>
              <w:pStyle w:val="12"/>
              <w:jc w:val="center"/>
              <w:rPr>
                <w:rFonts w:ascii="宋体" w:hAnsi="宋体"/>
              </w:rPr>
            </w:pPr>
            <w:r>
              <w:rPr>
                <w:rFonts w:hint="eastAsia" w:ascii="宋体" w:hAnsi="宋体"/>
              </w:rPr>
              <w:t>17890</w:t>
            </w:r>
          </w:p>
        </w:tc>
      </w:tr>
      <w:tr w14:paraId="753000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continue"/>
            <w:vAlign w:val="center"/>
          </w:tcPr>
          <w:p w14:paraId="1C056A8C">
            <w:pPr>
              <w:pStyle w:val="12"/>
              <w:jc w:val="center"/>
              <w:rPr>
                <w:rFonts w:ascii="宋体" w:hAnsi="宋体"/>
              </w:rPr>
            </w:pPr>
          </w:p>
        </w:tc>
        <w:tc>
          <w:tcPr>
            <w:tcW w:w="1419" w:type="pct"/>
            <w:vAlign w:val="center"/>
          </w:tcPr>
          <w:p w14:paraId="43EE1545">
            <w:pPr>
              <w:pStyle w:val="12"/>
              <w:jc w:val="center"/>
              <w:rPr>
                <w:rFonts w:ascii="宋体" w:hAnsi="宋体"/>
              </w:rPr>
            </w:pPr>
            <w:r>
              <w:rPr>
                <w:rFonts w:hint="eastAsia" w:ascii="宋体" w:hAnsi="宋体"/>
              </w:rPr>
              <w:t>预备党员</w:t>
            </w:r>
          </w:p>
        </w:tc>
        <w:tc>
          <w:tcPr>
            <w:tcW w:w="425" w:type="pct"/>
            <w:vAlign w:val="center"/>
          </w:tcPr>
          <w:p w14:paraId="720830FB">
            <w:pPr>
              <w:pStyle w:val="12"/>
              <w:jc w:val="center"/>
              <w:rPr>
                <w:rFonts w:ascii="宋体" w:hAnsi="宋体"/>
              </w:rPr>
            </w:pPr>
            <w:r>
              <w:rPr>
                <w:rFonts w:hint="eastAsia" w:ascii="宋体" w:hAnsi="宋体"/>
              </w:rPr>
              <w:t>646</w:t>
            </w:r>
          </w:p>
        </w:tc>
        <w:tc>
          <w:tcPr>
            <w:tcW w:w="427" w:type="pct"/>
            <w:vAlign w:val="center"/>
          </w:tcPr>
          <w:p w14:paraId="6B268289">
            <w:pPr>
              <w:pStyle w:val="12"/>
              <w:jc w:val="center"/>
              <w:rPr>
                <w:rFonts w:ascii="宋体" w:hAnsi="宋体"/>
              </w:rPr>
            </w:pPr>
            <w:r>
              <w:rPr>
                <w:rFonts w:hint="eastAsia" w:ascii="宋体" w:hAnsi="宋体"/>
              </w:rPr>
              <w:t>691</w:t>
            </w:r>
          </w:p>
        </w:tc>
        <w:tc>
          <w:tcPr>
            <w:tcW w:w="426" w:type="pct"/>
            <w:vAlign w:val="center"/>
          </w:tcPr>
          <w:p w14:paraId="42DB8AAD">
            <w:pPr>
              <w:pStyle w:val="12"/>
              <w:jc w:val="center"/>
              <w:rPr>
                <w:rFonts w:ascii="宋体" w:hAnsi="宋体"/>
              </w:rPr>
            </w:pPr>
            <w:r>
              <w:rPr>
                <w:rFonts w:hint="eastAsia" w:ascii="宋体" w:hAnsi="宋体"/>
              </w:rPr>
              <w:t>660</w:t>
            </w:r>
          </w:p>
        </w:tc>
        <w:tc>
          <w:tcPr>
            <w:tcW w:w="427" w:type="pct"/>
            <w:vAlign w:val="center"/>
          </w:tcPr>
          <w:p w14:paraId="561626BF">
            <w:pPr>
              <w:pStyle w:val="12"/>
              <w:jc w:val="center"/>
              <w:rPr>
                <w:rFonts w:ascii="宋体" w:hAnsi="宋体"/>
              </w:rPr>
            </w:pPr>
            <w:r>
              <w:rPr>
                <w:rFonts w:hint="eastAsia" w:ascii="宋体" w:hAnsi="宋体"/>
              </w:rPr>
              <w:t>519</w:t>
            </w:r>
          </w:p>
        </w:tc>
        <w:tc>
          <w:tcPr>
            <w:tcW w:w="427" w:type="pct"/>
            <w:vAlign w:val="center"/>
          </w:tcPr>
          <w:p w14:paraId="48FE359B">
            <w:pPr>
              <w:pStyle w:val="12"/>
              <w:jc w:val="center"/>
              <w:rPr>
                <w:rFonts w:ascii="宋体" w:hAnsi="宋体"/>
              </w:rPr>
            </w:pPr>
            <w:r>
              <w:rPr>
                <w:rFonts w:hint="eastAsia" w:ascii="宋体" w:hAnsi="宋体"/>
              </w:rPr>
              <w:t>462</w:t>
            </w:r>
          </w:p>
        </w:tc>
        <w:tc>
          <w:tcPr>
            <w:tcW w:w="427" w:type="pct"/>
            <w:vAlign w:val="center"/>
          </w:tcPr>
          <w:p w14:paraId="709A0EB8">
            <w:pPr>
              <w:pStyle w:val="12"/>
              <w:jc w:val="center"/>
              <w:rPr>
                <w:rFonts w:ascii="宋体" w:hAnsi="宋体"/>
              </w:rPr>
            </w:pPr>
            <w:r>
              <w:rPr>
                <w:rFonts w:hint="eastAsia" w:ascii="宋体" w:hAnsi="宋体"/>
              </w:rPr>
              <w:t>601</w:t>
            </w:r>
          </w:p>
        </w:tc>
        <w:tc>
          <w:tcPr>
            <w:tcW w:w="463" w:type="pct"/>
            <w:vAlign w:val="center"/>
          </w:tcPr>
          <w:p w14:paraId="745976E2">
            <w:pPr>
              <w:pStyle w:val="12"/>
              <w:jc w:val="center"/>
              <w:rPr>
                <w:rFonts w:ascii="宋体" w:hAnsi="宋体"/>
              </w:rPr>
            </w:pPr>
            <w:r>
              <w:rPr>
                <w:rFonts w:hint="eastAsia" w:ascii="宋体" w:hAnsi="宋体"/>
              </w:rPr>
              <w:t>459</w:t>
            </w:r>
          </w:p>
        </w:tc>
      </w:tr>
      <w:tr w14:paraId="11CA3A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restart"/>
            <w:vAlign w:val="center"/>
          </w:tcPr>
          <w:p w14:paraId="4C630000">
            <w:pPr>
              <w:pStyle w:val="12"/>
              <w:jc w:val="center"/>
              <w:rPr>
                <w:rFonts w:ascii="宋体" w:hAnsi="宋体"/>
              </w:rPr>
            </w:pPr>
            <w:r>
              <w:rPr>
                <w:rFonts w:hint="eastAsia" w:ascii="宋体" w:hAnsi="宋体"/>
              </w:rPr>
              <w:t>性别</w:t>
            </w:r>
          </w:p>
        </w:tc>
        <w:tc>
          <w:tcPr>
            <w:tcW w:w="1419" w:type="pct"/>
            <w:vAlign w:val="center"/>
          </w:tcPr>
          <w:p w14:paraId="235915A8">
            <w:pPr>
              <w:pStyle w:val="12"/>
              <w:jc w:val="center"/>
              <w:rPr>
                <w:rFonts w:ascii="宋体" w:hAnsi="宋体"/>
              </w:rPr>
            </w:pPr>
            <w:r>
              <w:rPr>
                <w:rFonts w:hint="eastAsia" w:ascii="宋体" w:hAnsi="宋体"/>
              </w:rPr>
              <w:t>男</w:t>
            </w:r>
          </w:p>
        </w:tc>
        <w:tc>
          <w:tcPr>
            <w:tcW w:w="425" w:type="pct"/>
            <w:vAlign w:val="center"/>
          </w:tcPr>
          <w:p w14:paraId="4F7FA3F9">
            <w:pPr>
              <w:pStyle w:val="12"/>
              <w:jc w:val="center"/>
              <w:rPr>
                <w:rFonts w:ascii="宋体" w:hAnsi="宋体"/>
              </w:rPr>
            </w:pPr>
            <w:r>
              <w:rPr>
                <w:rFonts w:hint="eastAsia" w:ascii="宋体" w:hAnsi="宋体"/>
              </w:rPr>
              <w:t>14248</w:t>
            </w:r>
          </w:p>
        </w:tc>
        <w:tc>
          <w:tcPr>
            <w:tcW w:w="427" w:type="pct"/>
            <w:vAlign w:val="center"/>
          </w:tcPr>
          <w:p w14:paraId="45304EA3">
            <w:pPr>
              <w:pStyle w:val="12"/>
              <w:jc w:val="center"/>
              <w:rPr>
                <w:rFonts w:ascii="宋体" w:hAnsi="宋体"/>
              </w:rPr>
            </w:pPr>
            <w:r>
              <w:rPr>
                <w:rFonts w:hint="eastAsia" w:ascii="宋体" w:hAnsi="宋体"/>
              </w:rPr>
              <w:t>14569</w:t>
            </w:r>
          </w:p>
        </w:tc>
        <w:tc>
          <w:tcPr>
            <w:tcW w:w="426" w:type="pct"/>
            <w:vAlign w:val="center"/>
          </w:tcPr>
          <w:p w14:paraId="3D1ED685">
            <w:pPr>
              <w:pStyle w:val="12"/>
              <w:jc w:val="center"/>
              <w:rPr>
                <w:rFonts w:ascii="宋体" w:hAnsi="宋体"/>
              </w:rPr>
            </w:pPr>
            <w:r>
              <w:rPr>
                <w:rFonts w:hint="eastAsia" w:ascii="宋体" w:hAnsi="宋体"/>
              </w:rPr>
              <w:t>14956</w:t>
            </w:r>
          </w:p>
        </w:tc>
        <w:tc>
          <w:tcPr>
            <w:tcW w:w="427" w:type="pct"/>
            <w:vAlign w:val="center"/>
          </w:tcPr>
          <w:p w14:paraId="4647B236">
            <w:pPr>
              <w:pStyle w:val="12"/>
              <w:jc w:val="center"/>
              <w:rPr>
                <w:rFonts w:ascii="宋体" w:hAnsi="宋体"/>
              </w:rPr>
            </w:pPr>
            <w:r>
              <w:rPr>
                <w:rFonts w:hint="eastAsia" w:ascii="宋体" w:hAnsi="宋体"/>
              </w:rPr>
              <w:t>15210</w:t>
            </w:r>
          </w:p>
        </w:tc>
        <w:tc>
          <w:tcPr>
            <w:tcW w:w="427" w:type="pct"/>
            <w:vAlign w:val="center"/>
          </w:tcPr>
          <w:p w14:paraId="3955752C">
            <w:pPr>
              <w:pStyle w:val="12"/>
              <w:jc w:val="center"/>
              <w:rPr>
                <w:rFonts w:ascii="宋体" w:hAnsi="宋体"/>
              </w:rPr>
            </w:pPr>
            <w:r>
              <w:rPr>
                <w:rFonts w:hint="eastAsia" w:ascii="宋体" w:hAnsi="宋体"/>
              </w:rPr>
              <w:t>15276</w:t>
            </w:r>
          </w:p>
        </w:tc>
        <w:tc>
          <w:tcPr>
            <w:tcW w:w="427" w:type="pct"/>
            <w:vAlign w:val="center"/>
          </w:tcPr>
          <w:p w14:paraId="65A8B01C">
            <w:pPr>
              <w:pStyle w:val="12"/>
              <w:jc w:val="center"/>
              <w:rPr>
                <w:rFonts w:ascii="宋体" w:hAnsi="宋体"/>
              </w:rPr>
            </w:pPr>
            <w:r>
              <w:rPr>
                <w:rFonts w:hint="eastAsia" w:ascii="宋体" w:hAnsi="宋体"/>
              </w:rPr>
              <w:t>15587</w:t>
            </w:r>
          </w:p>
        </w:tc>
        <w:tc>
          <w:tcPr>
            <w:tcW w:w="463" w:type="pct"/>
            <w:vAlign w:val="center"/>
          </w:tcPr>
          <w:p w14:paraId="79762C1A">
            <w:pPr>
              <w:pStyle w:val="12"/>
              <w:jc w:val="center"/>
              <w:rPr>
                <w:rFonts w:ascii="宋体" w:hAnsi="宋体"/>
              </w:rPr>
            </w:pPr>
            <w:r>
              <w:rPr>
                <w:rFonts w:hint="eastAsia" w:ascii="宋体" w:hAnsi="宋体"/>
              </w:rPr>
              <w:t>15644</w:t>
            </w:r>
          </w:p>
        </w:tc>
      </w:tr>
      <w:tr w14:paraId="69EB65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continue"/>
            <w:vAlign w:val="center"/>
          </w:tcPr>
          <w:p w14:paraId="4696235B">
            <w:pPr>
              <w:pStyle w:val="12"/>
              <w:jc w:val="center"/>
              <w:rPr>
                <w:rFonts w:ascii="宋体" w:hAnsi="宋体"/>
              </w:rPr>
            </w:pPr>
          </w:p>
        </w:tc>
        <w:tc>
          <w:tcPr>
            <w:tcW w:w="1419" w:type="pct"/>
            <w:vAlign w:val="center"/>
          </w:tcPr>
          <w:p w14:paraId="1AC39FCF">
            <w:pPr>
              <w:pStyle w:val="12"/>
              <w:jc w:val="center"/>
              <w:rPr>
                <w:rFonts w:ascii="宋体" w:hAnsi="宋体"/>
              </w:rPr>
            </w:pPr>
            <w:r>
              <w:rPr>
                <w:rFonts w:hint="eastAsia" w:ascii="宋体" w:hAnsi="宋体"/>
              </w:rPr>
              <w:t>女</w:t>
            </w:r>
          </w:p>
        </w:tc>
        <w:tc>
          <w:tcPr>
            <w:tcW w:w="425" w:type="pct"/>
            <w:vAlign w:val="center"/>
          </w:tcPr>
          <w:p w14:paraId="3C271287">
            <w:pPr>
              <w:pStyle w:val="12"/>
              <w:jc w:val="center"/>
              <w:rPr>
                <w:rFonts w:ascii="宋体" w:hAnsi="宋体"/>
              </w:rPr>
            </w:pPr>
            <w:r>
              <w:rPr>
                <w:rFonts w:hint="eastAsia" w:ascii="宋体" w:hAnsi="宋体"/>
              </w:rPr>
              <w:t>2337</w:t>
            </w:r>
          </w:p>
        </w:tc>
        <w:tc>
          <w:tcPr>
            <w:tcW w:w="427" w:type="pct"/>
            <w:vAlign w:val="center"/>
          </w:tcPr>
          <w:p w14:paraId="74E7F7AA">
            <w:pPr>
              <w:pStyle w:val="12"/>
              <w:jc w:val="center"/>
              <w:rPr>
                <w:rFonts w:ascii="宋体" w:hAnsi="宋体"/>
              </w:rPr>
            </w:pPr>
            <w:r>
              <w:rPr>
                <w:rFonts w:hint="eastAsia" w:ascii="宋体" w:hAnsi="宋体"/>
              </w:rPr>
              <w:t>2406</w:t>
            </w:r>
          </w:p>
        </w:tc>
        <w:tc>
          <w:tcPr>
            <w:tcW w:w="426" w:type="pct"/>
            <w:vAlign w:val="center"/>
          </w:tcPr>
          <w:p w14:paraId="62845D18">
            <w:pPr>
              <w:pStyle w:val="12"/>
              <w:jc w:val="center"/>
              <w:rPr>
                <w:rFonts w:ascii="宋体" w:hAnsi="宋体"/>
              </w:rPr>
            </w:pPr>
            <w:r>
              <w:rPr>
                <w:rFonts w:hint="eastAsia" w:ascii="宋体" w:hAnsi="宋体"/>
              </w:rPr>
              <w:t>2544</w:t>
            </w:r>
          </w:p>
        </w:tc>
        <w:tc>
          <w:tcPr>
            <w:tcW w:w="427" w:type="pct"/>
            <w:vAlign w:val="center"/>
          </w:tcPr>
          <w:p w14:paraId="68AC18FD">
            <w:pPr>
              <w:pStyle w:val="12"/>
              <w:jc w:val="center"/>
              <w:rPr>
                <w:rFonts w:ascii="宋体" w:hAnsi="宋体"/>
              </w:rPr>
            </w:pPr>
            <w:r>
              <w:rPr>
                <w:rFonts w:hint="eastAsia" w:ascii="宋体" w:hAnsi="宋体"/>
              </w:rPr>
              <w:t>2578</w:t>
            </w:r>
          </w:p>
        </w:tc>
        <w:tc>
          <w:tcPr>
            <w:tcW w:w="427" w:type="pct"/>
            <w:vAlign w:val="center"/>
          </w:tcPr>
          <w:p w14:paraId="11CFB490">
            <w:pPr>
              <w:pStyle w:val="12"/>
              <w:jc w:val="center"/>
              <w:rPr>
                <w:rFonts w:ascii="宋体" w:hAnsi="宋体"/>
              </w:rPr>
            </w:pPr>
            <w:r>
              <w:rPr>
                <w:rFonts w:hint="eastAsia" w:ascii="宋体" w:hAnsi="宋体"/>
              </w:rPr>
              <w:t>2609</w:t>
            </w:r>
          </w:p>
        </w:tc>
        <w:tc>
          <w:tcPr>
            <w:tcW w:w="427" w:type="pct"/>
            <w:vAlign w:val="center"/>
          </w:tcPr>
          <w:p w14:paraId="633DE740">
            <w:pPr>
              <w:pStyle w:val="12"/>
              <w:jc w:val="center"/>
              <w:rPr>
                <w:rFonts w:ascii="宋体" w:hAnsi="宋体"/>
              </w:rPr>
            </w:pPr>
            <w:r>
              <w:rPr>
                <w:rFonts w:hint="eastAsia" w:ascii="宋体" w:hAnsi="宋体"/>
              </w:rPr>
              <w:t>2578</w:t>
            </w:r>
          </w:p>
        </w:tc>
        <w:tc>
          <w:tcPr>
            <w:tcW w:w="463" w:type="pct"/>
            <w:vAlign w:val="center"/>
          </w:tcPr>
          <w:p w14:paraId="0A983050">
            <w:pPr>
              <w:pStyle w:val="12"/>
              <w:jc w:val="center"/>
              <w:rPr>
                <w:rFonts w:ascii="宋体" w:hAnsi="宋体"/>
              </w:rPr>
            </w:pPr>
            <w:r>
              <w:rPr>
                <w:rFonts w:hint="eastAsia" w:ascii="宋体" w:hAnsi="宋体"/>
              </w:rPr>
              <w:t>2705</w:t>
            </w:r>
          </w:p>
        </w:tc>
      </w:tr>
      <w:tr w14:paraId="2349EA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restart"/>
            <w:vAlign w:val="center"/>
          </w:tcPr>
          <w:p w14:paraId="12586AB0">
            <w:pPr>
              <w:pStyle w:val="12"/>
              <w:jc w:val="center"/>
              <w:rPr>
                <w:rFonts w:ascii="宋体" w:hAnsi="宋体"/>
              </w:rPr>
            </w:pPr>
            <w:r>
              <w:rPr>
                <w:rFonts w:hint="eastAsia" w:ascii="宋体" w:hAnsi="宋体"/>
              </w:rPr>
              <w:t>民族</w:t>
            </w:r>
          </w:p>
        </w:tc>
        <w:tc>
          <w:tcPr>
            <w:tcW w:w="1419" w:type="pct"/>
            <w:vAlign w:val="center"/>
          </w:tcPr>
          <w:p w14:paraId="07E571E4">
            <w:pPr>
              <w:pStyle w:val="12"/>
              <w:jc w:val="center"/>
              <w:rPr>
                <w:rFonts w:ascii="宋体" w:hAnsi="宋体"/>
              </w:rPr>
            </w:pPr>
            <w:r>
              <w:rPr>
                <w:rFonts w:hint="eastAsia" w:ascii="宋体" w:hAnsi="宋体"/>
              </w:rPr>
              <w:t>汉族</w:t>
            </w:r>
          </w:p>
        </w:tc>
        <w:tc>
          <w:tcPr>
            <w:tcW w:w="425" w:type="pct"/>
            <w:vAlign w:val="center"/>
          </w:tcPr>
          <w:p w14:paraId="3E9F849B">
            <w:pPr>
              <w:pStyle w:val="12"/>
              <w:jc w:val="center"/>
              <w:rPr>
                <w:rFonts w:ascii="宋体" w:hAnsi="宋体"/>
              </w:rPr>
            </w:pPr>
            <w:r>
              <w:rPr>
                <w:rFonts w:hint="eastAsia" w:ascii="宋体" w:hAnsi="宋体"/>
              </w:rPr>
              <w:t>16379</w:t>
            </w:r>
          </w:p>
        </w:tc>
        <w:tc>
          <w:tcPr>
            <w:tcW w:w="427" w:type="pct"/>
            <w:vAlign w:val="center"/>
          </w:tcPr>
          <w:p w14:paraId="2DA60008">
            <w:pPr>
              <w:pStyle w:val="12"/>
              <w:jc w:val="center"/>
              <w:rPr>
                <w:rFonts w:ascii="宋体" w:hAnsi="宋体"/>
              </w:rPr>
            </w:pPr>
            <w:r>
              <w:rPr>
                <w:rFonts w:hint="eastAsia" w:ascii="宋体" w:hAnsi="宋体"/>
              </w:rPr>
              <w:t>16780</w:t>
            </w:r>
          </w:p>
        </w:tc>
        <w:tc>
          <w:tcPr>
            <w:tcW w:w="426" w:type="pct"/>
            <w:vAlign w:val="center"/>
          </w:tcPr>
          <w:p w14:paraId="2D02AFA2">
            <w:pPr>
              <w:pStyle w:val="12"/>
              <w:jc w:val="center"/>
              <w:rPr>
                <w:rFonts w:ascii="宋体" w:hAnsi="宋体"/>
              </w:rPr>
            </w:pPr>
            <w:r>
              <w:rPr>
                <w:rFonts w:hint="eastAsia" w:ascii="宋体" w:hAnsi="宋体"/>
              </w:rPr>
              <w:t>17288</w:t>
            </w:r>
          </w:p>
        </w:tc>
        <w:tc>
          <w:tcPr>
            <w:tcW w:w="427" w:type="pct"/>
            <w:vAlign w:val="center"/>
          </w:tcPr>
          <w:p w14:paraId="5B41C1AF">
            <w:pPr>
              <w:pStyle w:val="12"/>
              <w:jc w:val="center"/>
              <w:rPr>
                <w:rFonts w:ascii="宋体" w:hAnsi="宋体"/>
              </w:rPr>
            </w:pPr>
            <w:r>
              <w:rPr>
                <w:rFonts w:hint="eastAsia" w:ascii="宋体" w:hAnsi="宋体"/>
              </w:rPr>
              <w:t>17573</w:t>
            </w:r>
          </w:p>
        </w:tc>
        <w:tc>
          <w:tcPr>
            <w:tcW w:w="427" w:type="pct"/>
            <w:vAlign w:val="center"/>
          </w:tcPr>
          <w:p w14:paraId="2B9C144C">
            <w:pPr>
              <w:pStyle w:val="12"/>
              <w:jc w:val="center"/>
              <w:rPr>
                <w:rFonts w:ascii="宋体" w:hAnsi="宋体"/>
              </w:rPr>
            </w:pPr>
            <w:r>
              <w:rPr>
                <w:rFonts w:hint="eastAsia" w:ascii="宋体" w:hAnsi="宋体"/>
              </w:rPr>
              <w:t>17673</w:t>
            </w:r>
          </w:p>
        </w:tc>
        <w:tc>
          <w:tcPr>
            <w:tcW w:w="427" w:type="pct"/>
            <w:vAlign w:val="center"/>
          </w:tcPr>
          <w:p w14:paraId="51F73258">
            <w:pPr>
              <w:pStyle w:val="12"/>
              <w:jc w:val="center"/>
              <w:rPr>
                <w:rFonts w:ascii="宋体" w:hAnsi="宋体"/>
              </w:rPr>
            </w:pPr>
            <w:r>
              <w:rPr>
                <w:rFonts w:hint="eastAsia" w:ascii="宋体" w:hAnsi="宋体"/>
              </w:rPr>
              <w:t>17950</w:t>
            </w:r>
          </w:p>
        </w:tc>
        <w:tc>
          <w:tcPr>
            <w:tcW w:w="463" w:type="pct"/>
            <w:vAlign w:val="center"/>
          </w:tcPr>
          <w:p w14:paraId="1585CD8D">
            <w:pPr>
              <w:pStyle w:val="12"/>
              <w:jc w:val="center"/>
              <w:rPr>
                <w:rFonts w:ascii="宋体" w:hAnsi="宋体"/>
              </w:rPr>
            </w:pPr>
            <w:r>
              <w:rPr>
                <w:rFonts w:hint="eastAsia" w:ascii="宋体" w:hAnsi="宋体"/>
              </w:rPr>
              <w:t>18132</w:t>
            </w:r>
          </w:p>
        </w:tc>
      </w:tr>
      <w:tr w14:paraId="6E981D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continue"/>
            <w:vAlign w:val="center"/>
          </w:tcPr>
          <w:p w14:paraId="71543419">
            <w:pPr>
              <w:pStyle w:val="12"/>
              <w:jc w:val="center"/>
              <w:rPr>
                <w:rFonts w:ascii="宋体" w:hAnsi="宋体"/>
              </w:rPr>
            </w:pPr>
          </w:p>
        </w:tc>
        <w:tc>
          <w:tcPr>
            <w:tcW w:w="1419" w:type="pct"/>
            <w:vAlign w:val="center"/>
          </w:tcPr>
          <w:p w14:paraId="58D523C9">
            <w:pPr>
              <w:pStyle w:val="12"/>
              <w:jc w:val="center"/>
              <w:rPr>
                <w:rFonts w:ascii="宋体" w:hAnsi="宋体"/>
              </w:rPr>
            </w:pPr>
            <w:r>
              <w:rPr>
                <w:rFonts w:hint="eastAsia" w:ascii="宋体" w:hAnsi="宋体"/>
              </w:rPr>
              <w:t>少数民族</w:t>
            </w:r>
          </w:p>
        </w:tc>
        <w:tc>
          <w:tcPr>
            <w:tcW w:w="425" w:type="pct"/>
            <w:vAlign w:val="center"/>
          </w:tcPr>
          <w:p w14:paraId="42F42290">
            <w:pPr>
              <w:pStyle w:val="12"/>
              <w:jc w:val="center"/>
              <w:rPr>
                <w:rFonts w:ascii="宋体" w:hAnsi="宋体"/>
              </w:rPr>
            </w:pPr>
            <w:r>
              <w:rPr>
                <w:rFonts w:hint="eastAsia" w:ascii="宋体" w:hAnsi="宋体"/>
              </w:rPr>
              <w:t>206</w:t>
            </w:r>
          </w:p>
        </w:tc>
        <w:tc>
          <w:tcPr>
            <w:tcW w:w="427" w:type="pct"/>
            <w:vAlign w:val="center"/>
          </w:tcPr>
          <w:p w14:paraId="4BEEB80B">
            <w:pPr>
              <w:pStyle w:val="12"/>
              <w:jc w:val="center"/>
              <w:rPr>
                <w:rFonts w:ascii="宋体" w:hAnsi="宋体"/>
              </w:rPr>
            </w:pPr>
            <w:r>
              <w:rPr>
                <w:rFonts w:hint="eastAsia" w:ascii="宋体" w:hAnsi="宋体"/>
              </w:rPr>
              <w:t>195</w:t>
            </w:r>
          </w:p>
        </w:tc>
        <w:tc>
          <w:tcPr>
            <w:tcW w:w="426" w:type="pct"/>
            <w:vAlign w:val="center"/>
          </w:tcPr>
          <w:p w14:paraId="3E220394">
            <w:pPr>
              <w:pStyle w:val="12"/>
              <w:jc w:val="center"/>
              <w:rPr>
                <w:rFonts w:ascii="宋体" w:hAnsi="宋体"/>
              </w:rPr>
            </w:pPr>
            <w:r>
              <w:rPr>
                <w:rFonts w:hint="eastAsia" w:ascii="宋体" w:hAnsi="宋体"/>
              </w:rPr>
              <w:t>212</w:t>
            </w:r>
          </w:p>
        </w:tc>
        <w:tc>
          <w:tcPr>
            <w:tcW w:w="427" w:type="pct"/>
            <w:vAlign w:val="center"/>
          </w:tcPr>
          <w:p w14:paraId="0D2E4687">
            <w:pPr>
              <w:pStyle w:val="12"/>
              <w:jc w:val="center"/>
              <w:rPr>
                <w:rFonts w:ascii="宋体" w:hAnsi="宋体"/>
              </w:rPr>
            </w:pPr>
            <w:r>
              <w:rPr>
                <w:rFonts w:hint="eastAsia" w:ascii="宋体" w:hAnsi="宋体"/>
              </w:rPr>
              <w:t>215</w:t>
            </w:r>
          </w:p>
        </w:tc>
        <w:tc>
          <w:tcPr>
            <w:tcW w:w="427" w:type="pct"/>
            <w:vAlign w:val="center"/>
          </w:tcPr>
          <w:p w14:paraId="3C241F10">
            <w:pPr>
              <w:pStyle w:val="12"/>
              <w:jc w:val="center"/>
              <w:rPr>
                <w:rFonts w:ascii="宋体" w:hAnsi="宋体"/>
              </w:rPr>
            </w:pPr>
            <w:r>
              <w:rPr>
                <w:rFonts w:hint="eastAsia" w:ascii="宋体" w:hAnsi="宋体"/>
              </w:rPr>
              <w:t>212</w:t>
            </w:r>
          </w:p>
        </w:tc>
        <w:tc>
          <w:tcPr>
            <w:tcW w:w="427" w:type="pct"/>
            <w:vAlign w:val="center"/>
          </w:tcPr>
          <w:p w14:paraId="44EC0AA8">
            <w:pPr>
              <w:pStyle w:val="12"/>
              <w:jc w:val="center"/>
              <w:rPr>
                <w:rFonts w:ascii="宋体" w:hAnsi="宋体"/>
              </w:rPr>
            </w:pPr>
            <w:r>
              <w:rPr>
                <w:rFonts w:hint="eastAsia" w:ascii="宋体" w:hAnsi="宋体"/>
              </w:rPr>
              <w:t>215</w:t>
            </w:r>
          </w:p>
        </w:tc>
        <w:tc>
          <w:tcPr>
            <w:tcW w:w="463" w:type="pct"/>
            <w:vAlign w:val="center"/>
          </w:tcPr>
          <w:p w14:paraId="51947244">
            <w:pPr>
              <w:pStyle w:val="12"/>
              <w:jc w:val="center"/>
              <w:rPr>
                <w:rFonts w:ascii="宋体" w:hAnsi="宋体"/>
              </w:rPr>
            </w:pPr>
            <w:r>
              <w:rPr>
                <w:rFonts w:hint="eastAsia" w:ascii="宋体" w:hAnsi="宋体"/>
              </w:rPr>
              <w:t>217</w:t>
            </w:r>
          </w:p>
        </w:tc>
      </w:tr>
      <w:tr w14:paraId="03DA44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restart"/>
            <w:vAlign w:val="center"/>
          </w:tcPr>
          <w:p w14:paraId="3450EE2F">
            <w:pPr>
              <w:pStyle w:val="12"/>
              <w:jc w:val="center"/>
              <w:rPr>
                <w:rFonts w:ascii="宋体" w:hAnsi="宋体"/>
              </w:rPr>
            </w:pPr>
            <w:r>
              <w:rPr>
                <w:rFonts w:hint="eastAsia" w:ascii="宋体" w:hAnsi="宋体"/>
              </w:rPr>
              <w:t>年龄</w:t>
            </w:r>
          </w:p>
        </w:tc>
        <w:tc>
          <w:tcPr>
            <w:tcW w:w="1419" w:type="pct"/>
            <w:vAlign w:val="center"/>
          </w:tcPr>
          <w:p w14:paraId="5B908BED">
            <w:pPr>
              <w:pStyle w:val="12"/>
              <w:jc w:val="center"/>
              <w:rPr>
                <w:rFonts w:ascii="宋体" w:hAnsi="宋体"/>
              </w:rPr>
            </w:pPr>
            <w:r>
              <w:rPr>
                <w:rFonts w:hint="eastAsia" w:ascii="宋体" w:hAnsi="宋体"/>
              </w:rPr>
              <w:t>25岁以下</w:t>
            </w:r>
          </w:p>
        </w:tc>
        <w:tc>
          <w:tcPr>
            <w:tcW w:w="425" w:type="pct"/>
            <w:vAlign w:val="center"/>
          </w:tcPr>
          <w:p w14:paraId="278465F7">
            <w:pPr>
              <w:pStyle w:val="12"/>
              <w:jc w:val="center"/>
              <w:rPr>
                <w:rFonts w:ascii="宋体" w:hAnsi="宋体"/>
              </w:rPr>
            </w:pPr>
            <w:r>
              <w:rPr>
                <w:rFonts w:hint="eastAsia" w:ascii="宋体" w:hAnsi="宋体"/>
              </w:rPr>
              <w:t>571</w:t>
            </w:r>
          </w:p>
        </w:tc>
        <w:tc>
          <w:tcPr>
            <w:tcW w:w="427" w:type="pct"/>
            <w:vAlign w:val="center"/>
          </w:tcPr>
          <w:p w14:paraId="72196C7F">
            <w:pPr>
              <w:pStyle w:val="12"/>
              <w:jc w:val="center"/>
              <w:rPr>
                <w:rFonts w:ascii="宋体" w:hAnsi="宋体"/>
              </w:rPr>
            </w:pPr>
            <w:r>
              <w:rPr>
                <w:rFonts w:hint="eastAsia" w:ascii="宋体" w:hAnsi="宋体"/>
              </w:rPr>
              <w:t>529</w:t>
            </w:r>
          </w:p>
        </w:tc>
        <w:tc>
          <w:tcPr>
            <w:tcW w:w="426" w:type="pct"/>
            <w:vAlign w:val="center"/>
          </w:tcPr>
          <w:p w14:paraId="15D7A85E">
            <w:pPr>
              <w:pStyle w:val="12"/>
              <w:jc w:val="center"/>
              <w:rPr>
                <w:rFonts w:ascii="宋体" w:hAnsi="宋体"/>
              </w:rPr>
            </w:pPr>
            <w:r>
              <w:rPr>
                <w:rFonts w:hint="eastAsia" w:ascii="宋体" w:hAnsi="宋体"/>
              </w:rPr>
              <w:t>548</w:t>
            </w:r>
          </w:p>
        </w:tc>
        <w:tc>
          <w:tcPr>
            <w:tcW w:w="427" w:type="pct"/>
            <w:vAlign w:val="center"/>
          </w:tcPr>
          <w:p w14:paraId="26D168F7">
            <w:pPr>
              <w:pStyle w:val="12"/>
              <w:jc w:val="center"/>
              <w:rPr>
                <w:rFonts w:ascii="宋体" w:hAnsi="宋体"/>
              </w:rPr>
            </w:pPr>
            <w:r>
              <w:rPr>
                <w:rFonts w:hint="eastAsia" w:ascii="宋体" w:hAnsi="宋体"/>
              </w:rPr>
              <w:t>549</w:t>
            </w:r>
          </w:p>
        </w:tc>
        <w:tc>
          <w:tcPr>
            <w:tcW w:w="427" w:type="pct"/>
            <w:vAlign w:val="center"/>
          </w:tcPr>
          <w:p w14:paraId="317F27D8">
            <w:pPr>
              <w:pStyle w:val="12"/>
              <w:jc w:val="center"/>
              <w:rPr>
                <w:rFonts w:ascii="宋体" w:hAnsi="宋体"/>
              </w:rPr>
            </w:pPr>
            <w:r>
              <w:rPr>
                <w:rFonts w:hint="eastAsia" w:ascii="宋体" w:hAnsi="宋体"/>
              </w:rPr>
              <w:t>481</w:t>
            </w:r>
          </w:p>
        </w:tc>
        <w:tc>
          <w:tcPr>
            <w:tcW w:w="427" w:type="pct"/>
            <w:vMerge w:val="restart"/>
            <w:vAlign w:val="center"/>
          </w:tcPr>
          <w:p w14:paraId="096383F5">
            <w:pPr>
              <w:pStyle w:val="12"/>
              <w:jc w:val="center"/>
              <w:rPr>
                <w:rFonts w:ascii="宋体" w:hAnsi="宋体"/>
              </w:rPr>
            </w:pPr>
            <w:r>
              <w:rPr>
                <w:rFonts w:hint="eastAsia" w:ascii="宋体" w:hAnsi="宋体"/>
              </w:rPr>
              <w:t>3813</w:t>
            </w:r>
          </w:p>
        </w:tc>
        <w:tc>
          <w:tcPr>
            <w:tcW w:w="463" w:type="pct"/>
            <w:vMerge w:val="restart"/>
            <w:vAlign w:val="center"/>
          </w:tcPr>
          <w:p w14:paraId="069AA919">
            <w:pPr>
              <w:pStyle w:val="12"/>
              <w:jc w:val="center"/>
              <w:rPr>
                <w:rFonts w:ascii="宋体" w:hAnsi="宋体"/>
              </w:rPr>
            </w:pPr>
            <w:r>
              <w:rPr>
                <w:rFonts w:hint="eastAsia" w:ascii="宋体" w:hAnsi="宋体"/>
              </w:rPr>
              <w:t>3655</w:t>
            </w:r>
          </w:p>
        </w:tc>
      </w:tr>
      <w:tr w14:paraId="0985645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continue"/>
            <w:vAlign w:val="center"/>
          </w:tcPr>
          <w:p w14:paraId="0CBBE469">
            <w:pPr>
              <w:pStyle w:val="12"/>
              <w:jc w:val="center"/>
              <w:rPr>
                <w:rFonts w:ascii="宋体" w:hAnsi="宋体"/>
              </w:rPr>
            </w:pPr>
          </w:p>
        </w:tc>
        <w:tc>
          <w:tcPr>
            <w:tcW w:w="1419" w:type="pct"/>
            <w:vAlign w:val="center"/>
          </w:tcPr>
          <w:p w14:paraId="00E646F0">
            <w:pPr>
              <w:pStyle w:val="12"/>
              <w:jc w:val="center"/>
              <w:rPr>
                <w:rFonts w:ascii="宋体" w:hAnsi="宋体"/>
              </w:rPr>
            </w:pPr>
            <w:r>
              <w:rPr>
                <w:rFonts w:hint="eastAsia" w:ascii="宋体" w:hAnsi="宋体"/>
              </w:rPr>
              <w:t>26～35岁</w:t>
            </w:r>
          </w:p>
        </w:tc>
        <w:tc>
          <w:tcPr>
            <w:tcW w:w="425" w:type="pct"/>
            <w:vAlign w:val="center"/>
          </w:tcPr>
          <w:p w14:paraId="598F9304">
            <w:pPr>
              <w:pStyle w:val="12"/>
              <w:jc w:val="center"/>
              <w:rPr>
                <w:rFonts w:ascii="宋体" w:hAnsi="宋体"/>
              </w:rPr>
            </w:pPr>
            <w:r>
              <w:rPr>
                <w:rFonts w:hint="eastAsia" w:ascii="宋体" w:hAnsi="宋体"/>
              </w:rPr>
              <w:t>3424</w:t>
            </w:r>
          </w:p>
        </w:tc>
        <w:tc>
          <w:tcPr>
            <w:tcW w:w="427" w:type="pct"/>
            <w:vAlign w:val="center"/>
          </w:tcPr>
          <w:p w14:paraId="6DE72A9D">
            <w:pPr>
              <w:pStyle w:val="12"/>
              <w:jc w:val="center"/>
              <w:rPr>
                <w:rFonts w:ascii="宋体" w:hAnsi="宋体"/>
              </w:rPr>
            </w:pPr>
            <w:r>
              <w:rPr>
                <w:rFonts w:hint="eastAsia" w:ascii="宋体" w:hAnsi="宋体"/>
              </w:rPr>
              <w:t>3357</w:t>
            </w:r>
          </w:p>
        </w:tc>
        <w:tc>
          <w:tcPr>
            <w:tcW w:w="426" w:type="pct"/>
            <w:vAlign w:val="center"/>
          </w:tcPr>
          <w:p w14:paraId="4AD3495D">
            <w:pPr>
              <w:pStyle w:val="12"/>
              <w:jc w:val="center"/>
              <w:rPr>
                <w:rFonts w:ascii="宋体" w:hAnsi="宋体"/>
              </w:rPr>
            </w:pPr>
            <w:r>
              <w:rPr>
                <w:rFonts w:hint="eastAsia" w:ascii="宋体" w:hAnsi="宋体"/>
              </w:rPr>
              <w:t>3503</w:t>
            </w:r>
          </w:p>
        </w:tc>
        <w:tc>
          <w:tcPr>
            <w:tcW w:w="427" w:type="pct"/>
            <w:vAlign w:val="center"/>
          </w:tcPr>
          <w:p w14:paraId="21BCEDB3">
            <w:pPr>
              <w:pStyle w:val="12"/>
              <w:jc w:val="center"/>
              <w:rPr>
                <w:rFonts w:ascii="宋体" w:hAnsi="宋体"/>
              </w:rPr>
            </w:pPr>
            <w:r>
              <w:rPr>
                <w:rFonts w:hint="eastAsia" w:ascii="宋体" w:hAnsi="宋体"/>
              </w:rPr>
              <w:t>3386</w:t>
            </w:r>
          </w:p>
        </w:tc>
        <w:tc>
          <w:tcPr>
            <w:tcW w:w="427" w:type="pct"/>
            <w:vAlign w:val="center"/>
          </w:tcPr>
          <w:p w14:paraId="6ECC079B">
            <w:pPr>
              <w:pStyle w:val="12"/>
              <w:jc w:val="center"/>
              <w:rPr>
                <w:rFonts w:ascii="宋体" w:hAnsi="宋体"/>
              </w:rPr>
            </w:pPr>
            <w:r>
              <w:rPr>
                <w:rFonts w:hint="eastAsia" w:ascii="宋体" w:hAnsi="宋体"/>
              </w:rPr>
              <w:t>3158</w:t>
            </w:r>
          </w:p>
        </w:tc>
        <w:tc>
          <w:tcPr>
            <w:tcW w:w="427" w:type="pct"/>
            <w:vMerge w:val="continue"/>
            <w:vAlign w:val="center"/>
          </w:tcPr>
          <w:p w14:paraId="0D9B1BE2">
            <w:pPr>
              <w:pStyle w:val="12"/>
              <w:jc w:val="center"/>
              <w:rPr>
                <w:rFonts w:ascii="宋体" w:hAnsi="宋体"/>
              </w:rPr>
            </w:pPr>
          </w:p>
        </w:tc>
        <w:tc>
          <w:tcPr>
            <w:tcW w:w="463" w:type="pct"/>
            <w:vMerge w:val="continue"/>
            <w:vAlign w:val="center"/>
          </w:tcPr>
          <w:p w14:paraId="2235268E">
            <w:pPr>
              <w:pStyle w:val="12"/>
              <w:jc w:val="center"/>
              <w:rPr>
                <w:rFonts w:ascii="宋体" w:hAnsi="宋体"/>
              </w:rPr>
            </w:pPr>
          </w:p>
        </w:tc>
      </w:tr>
      <w:tr w14:paraId="72E48D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continue"/>
            <w:vAlign w:val="center"/>
          </w:tcPr>
          <w:p w14:paraId="3B066D2C">
            <w:pPr>
              <w:pStyle w:val="12"/>
              <w:jc w:val="center"/>
              <w:rPr>
                <w:rFonts w:ascii="宋体" w:hAnsi="宋体"/>
              </w:rPr>
            </w:pPr>
          </w:p>
        </w:tc>
        <w:tc>
          <w:tcPr>
            <w:tcW w:w="1419" w:type="pct"/>
            <w:vAlign w:val="center"/>
          </w:tcPr>
          <w:p w14:paraId="2D3ABF91">
            <w:pPr>
              <w:pStyle w:val="12"/>
              <w:jc w:val="center"/>
              <w:rPr>
                <w:rFonts w:ascii="宋体" w:hAnsi="宋体"/>
              </w:rPr>
            </w:pPr>
            <w:r>
              <w:rPr>
                <w:rFonts w:hint="eastAsia" w:ascii="宋体" w:hAnsi="宋体"/>
              </w:rPr>
              <w:t>36～45岁</w:t>
            </w:r>
          </w:p>
        </w:tc>
        <w:tc>
          <w:tcPr>
            <w:tcW w:w="425" w:type="pct"/>
            <w:vAlign w:val="center"/>
          </w:tcPr>
          <w:p w14:paraId="019ABD66">
            <w:pPr>
              <w:pStyle w:val="12"/>
              <w:jc w:val="center"/>
              <w:rPr>
                <w:rFonts w:ascii="宋体" w:hAnsi="宋体"/>
              </w:rPr>
            </w:pPr>
            <w:r>
              <w:rPr>
                <w:rFonts w:hint="eastAsia" w:ascii="宋体" w:hAnsi="宋体"/>
              </w:rPr>
              <w:t>4430</w:t>
            </w:r>
          </w:p>
        </w:tc>
        <w:tc>
          <w:tcPr>
            <w:tcW w:w="427" w:type="pct"/>
            <w:vAlign w:val="center"/>
          </w:tcPr>
          <w:p w14:paraId="67130274">
            <w:pPr>
              <w:pStyle w:val="12"/>
              <w:jc w:val="center"/>
              <w:rPr>
                <w:rFonts w:ascii="宋体" w:hAnsi="宋体"/>
              </w:rPr>
            </w:pPr>
            <w:r>
              <w:rPr>
                <w:rFonts w:hint="eastAsia" w:ascii="宋体" w:hAnsi="宋体"/>
              </w:rPr>
              <w:t>4272</w:t>
            </w:r>
          </w:p>
        </w:tc>
        <w:tc>
          <w:tcPr>
            <w:tcW w:w="426" w:type="pct"/>
            <w:vAlign w:val="center"/>
          </w:tcPr>
          <w:p w14:paraId="304DF925">
            <w:pPr>
              <w:pStyle w:val="12"/>
              <w:jc w:val="center"/>
              <w:rPr>
                <w:rFonts w:ascii="宋体" w:hAnsi="宋体"/>
              </w:rPr>
            </w:pPr>
            <w:r>
              <w:rPr>
                <w:rFonts w:hint="eastAsia" w:ascii="宋体" w:hAnsi="宋体"/>
              </w:rPr>
              <w:t>4310</w:t>
            </w:r>
          </w:p>
        </w:tc>
        <w:tc>
          <w:tcPr>
            <w:tcW w:w="427" w:type="pct"/>
            <w:vAlign w:val="center"/>
          </w:tcPr>
          <w:p w14:paraId="0ACB205A">
            <w:pPr>
              <w:pStyle w:val="12"/>
              <w:jc w:val="center"/>
              <w:rPr>
                <w:rFonts w:ascii="宋体" w:hAnsi="宋体"/>
              </w:rPr>
            </w:pPr>
            <w:r>
              <w:rPr>
                <w:rFonts w:hint="eastAsia" w:ascii="宋体" w:hAnsi="宋体"/>
              </w:rPr>
              <w:t>4332</w:t>
            </w:r>
          </w:p>
        </w:tc>
        <w:tc>
          <w:tcPr>
            <w:tcW w:w="427" w:type="pct"/>
            <w:vAlign w:val="center"/>
          </w:tcPr>
          <w:p w14:paraId="6FAED7A4">
            <w:pPr>
              <w:pStyle w:val="12"/>
              <w:jc w:val="center"/>
              <w:rPr>
                <w:rFonts w:ascii="宋体" w:hAnsi="宋体"/>
              </w:rPr>
            </w:pPr>
            <w:r>
              <w:rPr>
                <w:rFonts w:hint="eastAsia" w:ascii="宋体" w:hAnsi="宋体"/>
              </w:rPr>
              <w:t>4435</w:t>
            </w:r>
          </w:p>
        </w:tc>
        <w:tc>
          <w:tcPr>
            <w:tcW w:w="427" w:type="pct"/>
            <w:vAlign w:val="center"/>
          </w:tcPr>
          <w:p w14:paraId="68D53A36">
            <w:pPr>
              <w:pStyle w:val="12"/>
              <w:jc w:val="center"/>
              <w:rPr>
                <w:rFonts w:ascii="宋体" w:hAnsi="宋体"/>
              </w:rPr>
            </w:pPr>
            <w:r>
              <w:rPr>
                <w:rFonts w:hint="eastAsia" w:ascii="宋体" w:hAnsi="宋体"/>
              </w:rPr>
              <w:t>4554</w:t>
            </w:r>
          </w:p>
        </w:tc>
        <w:tc>
          <w:tcPr>
            <w:tcW w:w="463" w:type="pct"/>
            <w:vAlign w:val="center"/>
          </w:tcPr>
          <w:p w14:paraId="52C28A2F">
            <w:pPr>
              <w:pStyle w:val="12"/>
              <w:jc w:val="center"/>
              <w:rPr>
                <w:rFonts w:ascii="宋体" w:hAnsi="宋体"/>
              </w:rPr>
            </w:pPr>
            <w:r>
              <w:rPr>
                <w:rFonts w:hint="eastAsia" w:ascii="宋体" w:hAnsi="宋体"/>
              </w:rPr>
              <w:t>4730</w:t>
            </w:r>
          </w:p>
        </w:tc>
      </w:tr>
      <w:tr w14:paraId="38E739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continue"/>
            <w:vAlign w:val="center"/>
          </w:tcPr>
          <w:p w14:paraId="27639E0F">
            <w:pPr>
              <w:pStyle w:val="12"/>
              <w:jc w:val="center"/>
              <w:rPr>
                <w:rFonts w:ascii="宋体" w:hAnsi="宋体"/>
              </w:rPr>
            </w:pPr>
          </w:p>
        </w:tc>
        <w:tc>
          <w:tcPr>
            <w:tcW w:w="1419" w:type="pct"/>
            <w:vAlign w:val="center"/>
          </w:tcPr>
          <w:p w14:paraId="3F3408FE">
            <w:pPr>
              <w:pStyle w:val="12"/>
              <w:jc w:val="center"/>
              <w:rPr>
                <w:rFonts w:ascii="宋体" w:hAnsi="宋体"/>
              </w:rPr>
            </w:pPr>
            <w:r>
              <w:rPr>
                <w:rFonts w:hint="eastAsia" w:ascii="宋体" w:hAnsi="宋体"/>
              </w:rPr>
              <w:t>46～55岁</w:t>
            </w:r>
          </w:p>
        </w:tc>
        <w:tc>
          <w:tcPr>
            <w:tcW w:w="425" w:type="pct"/>
            <w:vAlign w:val="center"/>
          </w:tcPr>
          <w:p w14:paraId="64B7B810">
            <w:pPr>
              <w:pStyle w:val="12"/>
              <w:jc w:val="center"/>
              <w:rPr>
                <w:rFonts w:ascii="宋体" w:hAnsi="宋体"/>
              </w:rPr>
            </w:pPr>
            <w:r>
              <w:rPr>
                <w:rFonts w:hint="eastAsia" w:ascii="宋体" w:hAnsi="宋体"/>
              </w:rPr>
              <w:t>3542</w:t>
            </w:r>
          </w:p>
        </w:tc>
        <w:tc>
          <w:tcPr>
            <w:tcW w:w="427" w:type="pct"/>
            <w:vAlign w:val="center"/>
          </w:tcPr>
          <w:p w14:paraId="0E972583">
            <w:pPr>
              <w:pStyle w:val="12"/>
              <w:jc w:val="center"/>
              <w:rPr>
                <w:rFonts w:ascii="宋体" w:hAnsi="宋体"/>
              </w:rPr>
            </w:pPr>
            <w:r>
              <w:rPr>
                <w:rFonts w:hint="eastAsia" w:ascii="宋体" w:hAnsi="宋体"/>
              </w:rPr>
              <w:t>3801</w:t>
            </w:r>
          </w:p>
        </w:tc>
        <w:tc>
          <w:tcPr>
            <w:tcW w:w="426" w:type="pct"/>
            <w:vAlign w:val="center"/>
          </w:tcPr>
          <w:p w14:paraId="35EFAD29">
            <w:pPr>
              <w:pStyle w:val="12"/>
              <w:jc w:val="center"/>
              <w:rPr>
                <w:rFonts w:ascii="宋体" w:hAnsi="宋体"/>
              </w:rPr>
            </w:pPr>
            <w:r>
              <w:rPr>
                <w:rFonts w:hint="eastAsia" w:ascii="宋体" w:hAnsi="宋体"/>
              </w:rPr>
              <w:t>3965</w:t>
            </w:r>
          </w:p>
        </w:tc>
        <w:tc>
          <w:tcPr>
            <w:tcW w:w="427" w:type="pct"/>
            <w:vAlign w:val="center"/>
          </w:tcPr>
          <w:p w14:paraId="7EFB7842">
            <w:pPr>
              <w:pStyle w:val="12"/>
              <w:jc w:val="center"/>
              <w:rPr>
                <w:rFonts w:ascii="宋体" w:hAnsi="宋体"/>
              </w:rPr>
            </w:pPr>
            <w:r>
              <w:rPr>
                <w:rFonts w:hint="eastAsia" w:ascii="宋体" w:hAnsi="宋体"/>
              </w:rPr>
              <w:t>4110</w:t>
            </w:r>
          </w:p>
        </w:tc>
        <w:tc>
          <w:tcPr>
            <w:tcW w:w="427" w:type="pct"/>
            <w:vAlign w:val="center"/>
          </w:tcPr>
          <w:p w14:paraId="6FC97908">
            <w:pPr>
              <w:pStyle w:val="12"/>
              <w:jc w:val="center"/>
              <w:rPr>
                <w:rFonts w:ascii="宋体" w:hAnsi="宋体"/>
              </w:rPr>
            </w:pPr>
            <w:r>
              <w:rPr>
                <w:rFonts w:hint="eastAsia" w:ascii="宋体" w:hAnsi="宋体"/>
              </w:rPr>
              <w:t>4157</w:t>
            </w:r>
          </w:p>
        </w:tc>
        <w:tc>
          <w:tcPr>
            <w:tcW w:w="427" w:type="pct"/>
            <w:vAlign w:val="center"/>
          </w:tcPr>
          <w:p w14:paraId="31C4ADBD">
            <w:pPr>
              <w:pStyle w:val="12"/>
              <w:jc w:val="center"/>
              <w:rPr>
                <w:rFonts w:ascii="宋体" w:hAnsi="宋体"/>
              </w:rPr>
            </w:pPr>
            <w:r>
              <w:rPr>
                <w:rFonts w:hint="eastAsia" w:ascii="宋体" w:hAnsi="宋体"/>
              </w:rPr>
              <w:t>4112</w:t>
            </w:r>
          </w:p>
        </w:tc>
        <w:tc>
          <w:tcPr>
            <w:tcW w:w="463" w:type="pct"/>
            <w:vAlign w:val="center"/>
          </w:tcPr>
          <w:p w14:paraId="16015DE0">
            <w:pPr>
              <w:pStyle w:val="12"/>
              <w:jc w:val="center"/>
              <w:rPr>
                <w:rFonts w:ascii="宋体" w:hAnsi="宋体"/>
              </w:rPr>
            </w:pPr>
            <w:r>
              <w:rPr>
                <w:rFonts w:hint="eastAsia" w:ascii="宋体" w:hAnsi="宋体"/>
              </w:rPr>
              <w:t>4194</w:t>
            </w:r>
          </w:p>
        </w:tc>
      </w:tr>
      <w:tr w14:paraId="6E2938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continue"/>
            <w:vAlign w:val="center"/>
          </w:tcPr>
          <w:p w14:paraId="56FB35E9">
            <w:pPr>
              <w:pStyle w:val="12"/>
              <w:jc w:val="center"/>
              <w:rPr>
                <w:rFonts w:ascii="宋体" w:hAnsi="宋体"/>
              </w:rPr>
            </w:pPr>
          </w:p>
        </w:tc>
        <w:tc>
          <w:tcPr>
            <w:tcW w:w="1419" w:type="pct"/>
            <w:vAlign w:val="center"/>
          </w:tcPr>
          <w:p w14:paraId="586CCED9">
            <w:pPr>
              <w:pStyle w:val="12"/>
              <w:jc w:val="center"/>
              <w:rPr>
                <w:rFonts w:ascii="宋体" w:hAnsi="宋体"/>
              </w:rPr>
            </w:pPr>
            <w:r>
              <w:rPr>
                <w:rFonts w:hint="eastAsia" w:ascii="宋体" w:hAnsi="宋体"/>
              </w:rPr>
              <w:t>56~60岁</w:t>
            </w:r>
          </w:p>
        </w:tc>
        <w:tc>
          <w:tcPr>
            <w:tcW w:w="425" w:type="pct"/>
            <w:vAlign w:val="center"/>
          </w:tcPr>
          <w:p w14:paraId="19A2F8A9">
            <w:pPr>
              <w:pStyle w:val="12"/>
              <w:jc w:val="center"/>
              <w:rPr>
                <w:rFonts w:ascii="宋体" w:hAnsi="宋体"/>
              </w:rPr>
            </w:pPr>
            <w:r>
              <w:rPr>
                <w:rFonts w:hint="eastAsia" w:ascii="宋体" w:hAnsi="宋体"/>
              </w:rPr>
              <w:t>1605</w:t>
            </w:r>
          </w:p>
        </w:tc>
        <w:tc>
          <w:tcPr>
            <w:tcW w:w="427" w:type="pct"/>
            <w:vAlign w:val="center"/>
          </w:tcPr>
          <w:p w14:paraId="7E4D7979">
            <w:pPr>
              <w:pStyle w:val="12"/>
              <w:jc w:val="center"/>
              <w:rPr>
                <w:rFonts w:ascii="宋体" w:hAnsi="宋体"/>
              </w:rPr>
            </w:pPr>
            <w:r>
              <w:rPr>
                <w:rFonts w:hint="eastAsia" w:ascii="宋体" w:hAnsi="宋体"/>
              </w:rPr>
              <w:t>1471</w:t>
            </w:r>
          </w:p>
        </w:tc>
        <w:tc>
          <w:tcPr>
            <w:tcW w:w="426" w:type="pct"/>
            <w:vAlign w:val="center"/>
          </w:tcPr>
          <w:p w14:paraId="5A35948C">
            <w:pPr>
              <w:pStyle w:val="12"/>
              <w:jc w:val="center"/>
              <w:rPr>
                <w:rFonts w:ascii="宋体" w:hAnsi="宋体"/>
              </w:rPr>
            </w:pPr>
            <w:r>
              <w:rPr>
                <w:rFonts w:hint="eastAsia" w:ascii="宋体" w:hAnsi="宋体"/>
              </w:rPr>
              <w:t>1559</w:t>
            </w:r>
          </w:p>
        </w:tc>
        <w:tc>
          <w:tcPr>
            <w:tcW w:w="427" w:type="pct"/>
            <w:vAlign w:val="center"/>
          </w:tcPr>
          <w:p w14:paraId="71E23F18">
            <w:pPr>
              <w:pStyle w:val="12"/>
              <w:jc w:val="center"/>
              <w:rPr>
                <w:rFonts w:ascii="宋体" w:hAnsi="宋体"/>
              </w:rPr>
            </w:pPr>
            <w:r>
              <w:rPr>
                <w:rFonts w:hint="eastAsia" w:ascii="宋体" w:hAnsi="宋体"/>
              </w:rPr>
              <w:t>1629</w:t>
            </w:r>
          </w:p>
        </w:tc>
        <w:tc>
          <w:tcPr>
            <w:tcW w:w="427" w:type="pct"/>
            <w:vAlign w:val="center"/>
          </w:tcPr>
          <w:p w14:paraId="30E97F3B">
            <w:pPr>
              <w:pStyle w:val="12"/>
              <w:jc w:val="center"/>
              <w:rPr>
                <w:rFonts w:ascii="宋体" w:hAnsi="宋体"/>
              </w:rPr>
            </w:pPr>
            <w:r>
              <w:rPr>
                <w:rFonts w:hint="eastAsia" w:ascii="宋体" w:hAnsi="宋体"/>
              </w:rPr>
              <w:t>1625</w:t>
            </w:r>
          </w:p>
        </w:tc>
        <w:tc>
          <w:tcPr>
            <w:tcW w:w="427" w:type="pct"/>
            <w:vAlign w:val="center"/>
          </w:tcPr>
          <w:p w14:paraId="17312FAD">
            <w:pPr>
              <w:pStyle w:val="12"/>
              <w:jc w:val="center"/>
              <w:rPr>
                <w:rFonts w:ascii="宋体" w:hAnsi="宋体"/>
              </w:rPr>
            </w:pPr>
            <w:r>
              <w:rPr>
                <w:rFonts w:hint="eastAsia" w:ascii="宋体" w:hAnsi="宋体"/>
              </w:rPr>
              <w:t>1675</w:t>
            </w:r>
          </w:p>
        </w:tc>
        <w:tc>
          <w:tcPr>
            <w:tcW w:w="463" w:type="pct"/>
            <w:vAlign w:val="center"/>
          </w:tcPr>
          <w:p w14:paraId="1DC469BB">
            <w:pPr>
              <w:pStyle w:val="12"/>
              <w:jc w:val="center"/>
              <w:rPr>
                <w:rFonts w:ascii="宋体" w:hAnsi="宋体"/>
              </w:rPr>
            </w:pPr>
            <w:r>
              <w:rPr>
                <w:rFonts w:hint="eastAsia" w:ascii="宋体" w:hAnsi="宋体"/>
              </w:rPr>
              <w:t>1791</w:t>
            </w:r>
          </w:p>
        </w:tc>
      </w:tr>
      <w:tr w14:paraId="01D75D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restart"/>
            <w:vAlign w:val="center"/>
          </w:tcPr>
          <w:p w14:paraId="69D852FF">
            <w:pPr>
              <w:pStyle w:val="12"/>
              <w:jc w:val="center"/>
              <w:rPr>
                <w:rFonts w:ascii="宋体" w:hAnsi="宋体"/>
              </w:rPr>
            </w:pPr>
            <w:r>
              <w:rPr>
                <w:rFonts w:hint="eastAsia" w:ascii="宋体" w:hAnsi="宋体"/>
              </w:rPr>
              <w:t>文化程度</w:t>
            </w:r>
          </w:p>
        </w:tc>
        <w:tc>
          <w:tcPr>
            <w:tcW w:w="1419" w:type="pct"/>
            <w:vAlign w:val="center"/>
          </w:tcPr>
          <w:p w14:paraId="2B86DB6B">
            <w:pPr>
              <w:pStyle w:val="12"/>
              <w:jc w:val="center"/>
              <w:rPr>
                <w:rFonts w:ascii="宋体" w:hAnsi="宋体"/>
              </w:rPr>
            </w:pPr>
            <w:r>
              <w:rPr>
                <w:rFonts w:hint="eastAsia" w:ascii="宋体" w:hAnsi="宋体"/>
              </w:rPr>
              <w:t>研究生</w:t>
            </w:r>
          </w:p>
        </w:tc>
        <w:tc>
          <w:tcPr>
            <w:tcW w:w="425" w:type="pct"/>
            <w:vAlign w:val="center"/>
          </w:tcPr>
          <w:p w14:paraId="09CA5A41">
            <w:pPr>
              <w:pStyle w:val="12"/>
              <w:jc w:val="center"/>
              <w:rPr>
                <w:rFonts w:ascii="宋体" w:hAnsi="宋体"/>
              </w:rPr>
            </w:pPr>
            <w:r>
              <w:rPr>
                <w:rFonts w:hint="eastAsia" w:ascii="宋体" w:hAnsi="宋体"/>
              </w:rPr>
              <w:t>5</w:t>
            </w:r>
          </w:p>
        </w:tc>
        <w:tc>
          <w:tcPr>
            <w:tcW w:w="427" w:type="pct"/>
            <w:vAlign w:val="center"/>
          </w:tcPr>
          <w:p w14:paraId="161AECE2">
            <w:pPr>
              <w:pStyle w:val="12"/>
              <w:jc w:val="center"/>
              <w:rPr>
                <w:rFonts w:ascii="宋体" w:hAnsi="宋体"/>
              </w:rPr>
            </w:pPr>
            <w:r>
              <w:rPr>
                <w:rFonts w:hint="eastAsia" w:ascii="宋体" w:hAnsi="宋体"/>
              </w:rPr>
              <w:t>19</w:t>
            </w:r>
          </w:p>
        </w:tc>
        <w:tc>
          <w:tcPr>
            <w:tcW w:w="426" w:type="pct"/>
            <w:vAlign w:val="center"/>
          </w:tcPr>
          <w:p w14:paraId="31EE6AA4">
            <w:pPr>
              <w:pStyle w:val="12"/>
              <w:jc w:val="center"/>
              <w:rPr>
                <w:rFonts w:ascii="宋体" w:hAnsi="宋体"/>
              </w:rPr>
            </w:pPr>
            <w:r>
              <w:rPr>
                <w:rFonts w:hint="eastAsia" w:ascii="宋体" w:hAnsi="宋体"/>
              </w:rPr>
              <w:t>19</w:t>
            </w:r>
          </w:p>
        </w:tc>
        <w:tc>
          <w:tcPr>
            <w:tcW w:w="427" w:type="pct"/>
            <w:vAlign w:val="center"/>
          </w:tcPr>
          <w:p w14:paraId="36463E54">
            <w:pPr>
              <w:pStyle w:val="12"/>
              <w:jc w:val="center"/>
              <w:rPr>
                <w:rFonts w:ascii="宋体" w:hAnsi="宋体"/>
              </w:rPr>
            </w:pPr>
            <w:r>
              <w:rPr>
                <w:rFonts w:hint="eastAsia" w:ascii="宋体" w:hAnsi="宋体"/>
              </w:rPr>
              <w:t>20</w:t>
            </w:r>
          </w:p>
        </w:tc>
        <w:tc>
          <w:tcPr>
            <w:tcW w:w="427" w:type="pct"/>
            <w:vAlign w:val="center"/>
          </w:tcPr>
          <w:p w14:paraId="542F7208">
            <w:pPr>
              <w:pStyle w:val="12"/>
              <w:jc w:val="center"/>
              <w:rPr>
                <w:rFonts w:ascii="宋体" w:hAnsi="宋体"/>
              </w:rPr>
            </w:pPr>
            <w:r>
              <w:rPr>
                <w:rFonts w:hint="eastAsia" w:ascii="宋体" w:hAnsi="宋体"/>
              </w:rPr>
              <w:t>26</w:t>
            </w:r>
          </w:p>
        </w:tc>
        <w:tc>
          <w:tcPr>
            <w:tcW w:w="427" w:type="pct"/>
            <w:vAlign w:val="center"/>
          </w:tcPr>
          <w:p w14:paraId="2C8436D6">
            <w:pPr>
              <w:pStyle w:val="12"/>
              <w:jc w:val="center"/>
              <w:rPr>
                <w:rFonts w:ascii="宋体" w:hAnsi="宋体"/>
              </w:rPr>
            </w:pPr>
            <w:r>
              <w:rPr>
                <w:rFonts w:hint="eastAsia" w:ascii="宋体" w:hAnsi="宋体"/>
              </w:rPr>
              <w:t>28</w:t>
            </w:r>
          </w:p>
        </w:tc>
        <w:tc>
          <w:tcPr>
            <w:tcW w:w="463" w:type="pct"/>
            <w:vAlign w:val="center"/>
          </w:tcPr>
          <w:p w14:paraId="37245723">
            <w:pPr>
              <w:pStyle w:val="12"/>
              <w:jc w:val="center"/>
              <w:rPr>
                <w:rFonts w:ascii="宋体" w:hAnsi="宋体"/>
              </w:rPr>
            </w:pPr>
            <w:r>
              <w:rPr>
                <w:rFonts w:hint="eastAsia" w:ascii="宋体" w:hAnsi="宋体"/>
              </w:rPr>
              <w:t>36</w:t>
            </w:r>
          </w:p>
        </w:tc>
      </w:tr>
      <w:tr w14:paraId="764485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continue"/>
            <w:vAlign w:val="center"/>
          </w:tcPr>
          <w:p w14:paraId="36BEFA3B">
            <w:pPr>
              <w:pStyle w:val="12"/>
              <w:jc w:val="center"/>
              <w:rPr>
                <w:rFonts w:ascii="宋体" w:hAnsi="宋体"/>
              </w:rPr>
            </w:pPr>
          </w:p>
        </w:tc>
        <w:tc>
          <w:tcPr>
            <w:tcW w:w="1419" w:type="pct"/>
            <w:vAlign w:val="center"/>
          </w:tcPr>
          <w:p w14:paraId="25562DB2">
            <w:pPr>
              <w:pStyle w:val="12"/>
              <w:jc w:val="center"/>
              <w:rPr>
                <w:rFonts w:ascii="宋体" w:hAnsi="宋体"/>
              </w:rPr>
            </w:pPr>
            <w:r>
              <w:rPr>
                <w:rFonts w:hint="eastAsia" w:ascii="宋体" w:hAnsi="宋体"/>
              </w:rPr>
              <w:t>大学本科、专科</w:t>
            </w:r>
          </w:p>
        </w:tc>
        <w:tc>
          <w:tcPr>
            <w:tcW w:w="425" w:type="pct"/>
            <w:vAlign w:val="center"/>
          </w:tcPr>
          <w:p w14:paraId="5B13CFED">
            <w:pPr>
              <w:pStyle w:val="12"/>
              <w:jc w:val="center"/>
              <w:rPr>
                <w:rFonts w:ascii="宋体" w:hAnsi="宋体"/>
              </w:rPr>
            </w:pPr>
            <w:r>
              <w:rPr>
                <w:rFonts w:hint="eastAsia" w:ascii="宋体" w:hAnsi="宋体"/>
              </w:rPr>
              <w:t>2336</w:t>
            </w:r>
          </w:p>
        </w:tc>
        <w:tc>
          <w:tcPr>
            <w:tcW w:w="427" w:type="pct"/>
            <w:vAlign w:val="center"/>
          </w:tcPr>
          <w:p w14:paraId="4B54FF3C">
            <w:pPr>
              <w:pStyle w:val="12"/>
              <w:jc w:val="center"/>
              <w:rPr>
                <w:rFonts w:ascii="宋体" w:hAnsi="宋体"/>
              </w:rPr>
            </w:pPr>
            <w:r>
              <w:rPr>
                <w:rFonts w:hint="eastAsia" w:ascii="宋体" w:hAnsi="宋体"/>
              </w:rPr>
              <w:t>2618</w:t>
            </w:r>
          </w:p>
        </w:tc>
        <w:tc>
          <w:tcPr>
            <w:tcW w:w="426" w:type="pct"/>
            <w:vAlign w:val="center"/>
          </w:tcPr>
          <w:p w14:paraId="71EA70DB">
            <w:pPr>
              <w:pStyle w:val="12"/>
              <w:jc w:val="center"/>
              <w:rPr>
                <w:rFonts w:ascii="宋体" w:hAnsi="宋体"/>
              </w:rPr>
            </w:pPr>
            <w:r>
              <w:rPr>
                <w:rFonts w:hint="eastAsia" w:ascii="宋体" w:hAnsi="宋体"/>
              </w:rPr>
              <w:t>2865</w:t>
            </w:r>
          </w:p>
        </w:tc>
        <w:tc>
          <w:tcPr>
            <w:tcW w:w="427" w:type="pct"/>
            <w:vAlign w:val="center"/>
          </w:tcPr>
          <w:p w14:paraId="09658903">
            <w:pPr>
              <w:pStyle w:val="12"/>
              <w:jc w:val="center"/>
              <w:rPr>
                <w:rFonts w:ascii="宋体" w:hAnsi="宋体"/>
              </w:rPr>
            </w:pPr>
            <w:r>
              <w:rPr>
                <w:rFonts w:hint="eastAsia" w:ascii="宋体" w:hAnsi="宋体"/>
              </w:rPr>
              <w:t>3111</w:t>
            </w:r>
          </w:p>
        </w:tc>
        <w:tc>
          <w:tcPr>
            <w:tcW w:w="427" w:type="pct"/>
            <w:vAlign w:val="center"/>
          </w:tcPr>
          <w:p w14:paraId="10DABE50">
            <w:pPr>
              <w:pStyle w:val="12"/>
              <w:jc w:val="center"/>
              <w:rPr>
                <w:rFonts w:ascii="宋体" w:hAnsi="宋体"/>
              </w:rPr>
            </w:pPr>
            <w:r>
              <w:rPr>
                <w:rFonts w:hint="eastAsia" w:ascii="宋体" w:hAnsi="宋体"/>
              </w:rPr>
              <w:t>3463</w:t>
            </w:r>
          </w:p>
        </w:tc>
        <w:tc>
          <w:tcPr>
            <w:tcW w:w="427" w:type="pct"/>
            <w:vAlign w:val="center"/>
          </w:tcPr>
          <w:p w14:paraId="114A5462">
            <w:pPr>
              <w:pStyle w:val="12"/>
              <w:jc w:val="center"/>
              <w:rPr>
                <w:rFonts w:ascii="宋体" w:hAnsi="宋体"/>
              </w:rPr>
            </w:pPr>
            <w:r>
              <w:rPr>
                <w:rFonts w:hint="eastAsia" w:ascii="宋体" w:hAnsi="宋体"/>
              </w:rPr>
              <w:t>3772</w:t>
            </w:r>
          </w:p>
        </w:tc>
        <w:tc>
          <w:tcPr>
            <w:tcW w:w="463" w:type="pct"/>
            <w:vAlign w:val="center"/>
          </w:tcPr>
          <w:p w14:paraId="12F60E1A">
            <w:pPr>
              <w:pStyle w:val="12"/>
              <w:jc w:val="center"/>
              <w:rPr>
                <w:rFonts w:ascii="宋体" w:hAnsi="宋体"/>
              </w:rPr>
            </w:pPr>
            <w:r>
              <w:rPr>
                <w:rFonts w:hint="eastAsia" w:ascii="宋体" w:hAnsi="宋体"/>
              </w:rPr>
              <w:t>3939</w:t>
            </w:r>
          </w:p>
        </w:tc>
      </w:tr>
      <w:tr w14:paraId="6A38BF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continue"/>
            <w:vAlign w:val="center"/>
          </w:tcPr>
          <w:p w14:paraId="490380DB">
            <w:pPr>
              <w:pStyle w:val="12"/>
              <w:jc w:val="center"/>
              <w:rPr>
                <w:rFonts w:ascii="宋体" w:hAnsi="宋体"/>
              </w:rPr>
            </w:pPr>
          </w:p>
        </w:tc>
        <w:tc>
          <w:tcPr>
            <w:tcW w:w="1419" w:type="pct"/>
            <w:vAlign w:val="center"/>
          </w:tcPr>
          <w:p w14:paraId="4BA277EF">
            <w:pPr>
              <w:pStyle w:val="12"/>
              <w:jc w:val="center"/>
              <w:rPr>
                <w:rFonts w:ascii="宋体" w:hAnsi="宋体"/>
              </w:rPr>
            </w:pPr>
            <w:r>
              <w:rPr>
                <w:rFonts w:hint="eastAsia" w:ascii="宋体" w:hAnsi="宋体"/>
              </w:rPr>
              <w:t>中专</w:t>
            </w:r>
          </w:p>
        </w:tc>
        <w:tc>
          <w:tcPr>
            <w:tcW w:w="425" w:type="pct"/>
            <w:vAlign w:val="center"/>
          </w:tcPr>
          <w:p w14:paraId="4EFF6F79">
            <w:pPr>
              <w:pStyle w:val="12"/>
              <w:jc w:val="center"/>
              <w:rPr>
                <w:rFonts w:ascii="宋体" w:hAnsi="宋体"/>
              </w:rPr>
            </w:pPr>
            <w:r>
              <w:rPr>
                <w:rFonts w:hint="eastAsia" w:ascii="宋体" w:hAnsi="宋体"/>
              </w:rPr>
              <w:t>2075</w:t>
            </w:r>
          </w:p>
        </w:tc>
        <w:tc>
          <w:tcPr>
            <w:tcW w:w="427" w:type="pct"/>
            <w:vAlign w:val="center"/>
          </w:tcPr>
          <w:p w14:paraId="586D64C2">
            <w:pPr>
              <w:pStyle w:val="12"/>
              <w:jc w:val="center"/>
              <w:rPr>
                <w:rFonts w:ascii="宋体" w:hAnsi="宋体"/>
              </w:rPr>
            </w:pPr>
            <w:r>
              <w:rPr>
                <w:rFonts w:hint="eastAsia" w:ascii="宋体" w:hAnsi="宋体"/>
              </w:rPr>
              <w:t>2112</w:t>
            </w:r>
          </w:p>
        </w:tc>
        <w:tc>
          <w:tcPr>
            <w:tcW w:w="426" w:type="pct"/>
            <w:vAlign w:val="center"/>
          </w:tcPr>
          <w:p w14:paraId="47915F99">
            <w:pPr>
              <w:pStyle w:val="12"/>
              <w:jc w:val="center"/>
              <w:rPr>
                <w:rFonts w:ascii="宋体" w:hAnsi="宋体"/>
              </w:rPr>
            </w:pPr>
            <w:r>
              <w:rPr>
                <w:rFonts w:hint="eastAsia" w:ascii="宋体" w:hAnsi="宋体"/>
              </w:rPr>
              <w:t>2242</w:t>
            </w:r>
          </w:p>
        </w:tc>
        <w:tc>
          <w:tcPr>
            <w:tcW w:w="427" w:type="pct"/>
            <w:vAlign w:val="center"/>
          </w:tcPr>
          <w:p w14:paraId="0D380597">
            <w:pPr>
              <w:pStyle w:val="12"/>
              <w:jc w:val="center"/>
              <w:rPr>
                <w:rFonts w:ascii="宋体" w:hAnsi="宋体"/>
              </w:rPr>
            </w:pPr>
            <w:r>
              <w:rPr>
                <w:rFonts w:hint="eastAsia" w:ascii="宋体" w:hAnsi="宋体"/>
              </w:rPr>
              <w:t>2294</w:t>
            </w:r>
          </w:p>
        </w:tc>
        <w:tc>
          <w:tcPr>
            <w:tcW w:w="427" w:type="pct"/>
            <w:vAlign w:val="center"/>
          </w:tcPr>
          <w:p w14:paraId="29FAC394">
            <w:pPr>
              <w:pStyle w:val="12"/>
              <w:jc w:val="center"/>
              <w:rPr>
                <w:rFonts w:ascii="宋体" w:hAnsi="宋体"/>
              </w:rPr>
            </w:pPr>
            <w:r>
              <w:rPr>
                <w:rFonts w:hint="eastAsia" w:ascii="宋体" w:hAnsi="宋体"/>
              </w:rPr>
              <w:t>2252</w:t>
            </w:r>
          </w:p>
        </w:tc>
        <w:tc>
          <w:tcPr>
            <w:tcW w:w="427" w:type="pct"/>
            <w:vAlign w:val="center"/>
          </w:tcPr>
          <w:p w14:paraId="276D025C">
            <w:pPr>
              <w:pStyle w:val="12"/>
              <w:jc w:val="center"/>
              <w:rPr>
                <w:rFonts w:ascii="宋体" w:hAnsi="宋体"/>
              </w:rPr>
            </w:pPr>
            <w:r>
              <w:rPr>
                <w:rFonts w:hint="eastAsia" w:ascii="宋体" w:hAnsi="宋体"/>
              </w:rPr>
              <w:t>2321</w:t>
            </w:r>
          </w:p>
        </w:tc>
        <w:tc>
          <w:tcPr>
            <w:tcW w:w="463" w:type="pct"/>
            <w:vAlign w:val="center"/>
          </w:tcPr>
          <w:p w14:paraId="24A04D61">
            <w:pPr>
              <w:pStyle w:val="12"/>
              <w:jc w:val="center"/>
              <w:rPr>
                <w:rFonts w:ascii="宋体" w:hAnsi="宋体"/>
              </w:rPr>
            </w:pPr>
            <w:r>
              <w:rPr>
                <w:rFonts w:hint="eastAsia" w:ascii="宋体" w:hAnsi="宋体"/>
              </w:rPr>
              <w:t>2190</w:t>
            </w:r>
          </w:p>
        </w:tc>
      </w:tr>
      <w:tr w14:paraId="36B3A6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continue"/>
            <w:vAlign w:val="center"/>
          </w:tcPr>
          <w:p w14:paraId="56A1C6E4">
            <w:pPr>
              <w:pStyle w:val="12"/>
              <w:jc w:val="center"/>
              <w:rPr>
                <w:rFonts w:ascii="宋体" w:hAnsi="宋体"/>
              </w:rPr>
            </w:pPr>
          </w:p>
        </w:tc>
        <w:tc>
          <w:tcPr>
            <w:tcW w:w="1419" w:type="pct"/>
            <w:vAlign w:val="center"/>
          </w:tcPr>
          <w:p w14:paraId="6DD68383">
            <w:pPr>
              <w:pStyle w:val="12"/>
              <w:jc w:val="center"/>
              <w:rPr>
                <w:rFonts w:ascii="宋体" w:hAnsi="宋体"/>
              </w:rPr>
            </w:pPr>
            <w:r>
              <w:rPr>
                <w:rFonts w:hint="eastAsia" w:ascii="宋体" w:hAnsi="宋体"/>
              </w:rPr>
              <w:t>高中</w:t>
            </w:r>
          </w:p>
        </w:tc>
        <w:tc>
          <w:tcPr>
            <w:tcW w:w="425" w:type="pct"/>
            <w:vAlign w:val="center"/>
          </w:tcPr>
          <w:p w14:paraId="37E633A1">
            <w:pPr>
              <w:pStyle w:val="12"/>
              <w:jc w:val="center"/>
              <w:rPr>
                <w:rFonts w:ascii="宋体" w:hAnsi="宋体"/>
              </w:rPr>
            </w:pPr>
            <w:r>
              <w:rPr>
                <w:rFonts w:hint="eastAsia" w:ascii="宋体" w:hAnsi="宋体"/>
              </w:rPr>
              <w:t>3754</w:t>
            </w:r>
          </w:p>
        </w:tc>
        <w:tc>
          <w:tcPr>
            <w:tcW w:w="427" w:type="pct"/>
            <w:vAlign w:val="center"/>
          </w:tcPr>
          <w:p w14:paraId="2F4D872F">
            <w:pPr>
              <w:pStyle w:val="12"/>
              <w:jc w:val="center"/>
              <w:rPr>
                <w:rFonts w:ascii="宋体" w:hAnsi="宋体"/>
              </w:rPr>
            </w:pPr>
            <w:r>
              <w:rPr>
                <w:rFonts w:hint="eastAsia" w:ascii="宋体" w:hAnsi="宋体"/>
              </w:rPr>
              <w:t>3930</w:t>
            </w:r>
          </w:p>
        </w:tc>
        <w:tc>
          <w:tcPr>
            <w:tcW w:w="426" w:type="pct"/>
            <w:vAlign w:val="center"/>
          </w:tcPr>
          <w:p w14:paraId="16B2B2E2">
            <w:pPr>
              <w:pStyle w:val="12"/>
              <w:jc w:val="center"/>
              <w:rPr>
                <w:rFonts w:ascii="宋体" w:hAnsi="宋体"/>
              </w:rPr>
            </w:pPr>
            <w:r>
              <w:rPr>
                <w:rFonts w:hint="eastAsia" w:ascii="宋体" w:hAnsi="宋体"/>
              </w:rPr>
              <w:t>4041</w:t>
            </w:r>
          </w:p>
        </w:tc>
        <w:tc>
          <w:tcPr>
            <w:tcW w:w="427" w:type="pct"/>
            <w:vAlign w:val="center"/>
          </w:tcPr>
          <w:p w14:paraId="644711D0">
            <w:pPr>
              <w:pStyle w:val="12"/>
              <w:jc w:val="center"/>
              <w:rPr>
                <w:rFonts w:ascii="宋体" w:hAnsi="宋体"/>
              </w:rPr>
            </w:pPr>
            <w:r>
              <w:rPr>
                <w:rFonts w:hint="eastAsia" w:ascii="宋体" w:hAnsi="宋体"/>
              </w:rPr>
              <w:t>3994</w:t>
            </w:r>
          </w:p>
        </w:tc>
        <w:tc>
          <w:tcPr>
            <w:tcW w:w="427" w:type="pct"/>
            <w:vAlign w:val="center"/>
          </w:tcPr>
          <w:p w14:paraId="01D99A6F">
            <w:pPr>
              <w:pStyle w:val="12"/>
              <w:jc w:val="center"/>
              <w:rPr>
                <w:rFonts w:ascii="宋体" w:hAnsi="宋体"/>
              </w:rPr>
            </w:pPr>
            <w:r>
              <w:rPr>
                <w:rFonts w:hint="eastAsia" w:ascii="宋体" w:hAnsi="宋体"/>
              </w:rPr>
              <w:t>3919</w:t>
            </w:r>
          </w:p>
        </w:tc>
        <w:tc>
          <w:tcPr>
            <w:tcW w:w="427" w:type="pct"/>
            <w:vAlign w:val="center"/>
          </w:tcPr>
          <w:p w14:paraId="4978680C">
            <w:pPr>
              <w:pStyle w:val="12"/>
              <w:jc w:val="center"/>
              <w:rPr>
                <w:rFonts w:ascii="宋体" w:hAnsi="宋体"/>
              </w:rPr>
            </w:pPr>
            <w:r>
              <w:rPr>
                <w:rFonts w:hint="eastAsia" w:ascii="宋体" w:hAnsi="宋体"/>
              </w:rPr>
              <w:t>4042</w:t>
            </w:r>
          </w:p>
        </w:tc>
        <w:tc>
          <w:tcPr>
            <w:tcW w:w="463" w:type="pct"/>
            <w:vAlign w:val="center"/>
          </w:tcPr>
          <w:p w14:paraId="2887E92B">
            <w:pPr>
              <w:pStyle w:val="12"/>
              <w:jc w:val="center"/>
              <w:rPr>
                <w:rFonts w:ascii="宋体" w:hAnsi="宋体"/>
              </w:rPr>
            </w:pPr>
            <w:r>
              <w:rPr>
                <w:rFonts w:hint="eastAsia" w:ascii="宋体" w:hAnsi="宋体"/>
              </w:rPr>
              <w:t>4118</w:t>
            </w:r>
          </w:p>
        </w:tc>
      </w:tr>
      <w:tr w14:paraId="26BBE8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continue"/>
            <w:vAlign w:val="center"/>
          </w:tcPr>
          <w:p w14:paraId="11E08427">
            <w:pPr>
              <w:pStyle w:val="12"/>
              <w:jc w:val="center"/>
              <w:rPr>
                <w:rFonts w:ascii="宋体" w:hAnsi="宋体"/>
              </w:rPr>
            </w:pPr>
          </w:p>
        </w:tc>
        <w:tc>
          <w:tcPr>
            <w:tcW w:w="1419" w:type="pct"/>
            <w:vAlign w:val="center"/>
          </w:tcPr>
          <w:p w14:paraId="03E8F1EB">
            <w:pPr>
              <w:pStyle w:val="12"/>
              <w:jc w:val="center"/>
              <w:rPr>
                <w:rFonts w:ascii="宋体" w:hAnsi="宋体"/>
              </w:rPr>
            </w:pPr>
            <w:r>
              <w:rPr>
                <w:rFonts w:hint="eastAsia" w:ascii="宋体" w:hAnsi="宋体"/>
              </w:rPr>
              <w:t>初中</w:t>
            </w:r>
          </w:p>
        </w:tc>
        <w:tc>
          <w:tcPr>
            <w:tcW w:w="425" w:type="pct"/>
            <w:vAlign w:val="center"/>
          </w:tcPr>
          <w:p w14:paraId="6FDE5B77">
            <w:pPr>
              <w:pStyle w:val="12"/>
              <w:jc w:val="center"/>
              <w:rPr>
                <w:rFonts w:ascii="宋体" w:hAnsi="宋体"/>
              </w:rPr>
            </w:pPr>
            <w:r>
              <w:rPr>
                <w:rFonts w:hint="eastAsia" w:ascii="宋体" w:hAnsi="宋体"/>
              </w:rPr>
              <w:t>4695</w:t>
            </w:r>
          </w:p>
        </w:tc>
        <w:tc>
          <w:tcPr>
            <w:tcW w:w="427" w:type="pct"/>
            <w:vAlign w:val="center"/>
          </w:tcPr>
          <w:p w14:paraId="69D216E2">
            <w:pPr>
              <w:pStyle w:val="12"/>
              <w:jc w:val="center"/>
              <w:rPr>
                <w:rFonts w:ascii="宋体" w:hAnsi="宋体"/>
              </w:rPr>
            </w:pPr>
            <w:r>
              <w:rPr>
                <w:rFonts w:hint="eastAsia" w:ascii="宋体" w:hAnsi="宋体"/>
              </w:rPr>
              <w:t>4724</w:t>
            </w:r>
          </w:p>
        </w:tc>
        <w:tc>
          <w:tcPr>
            <w:tcW w:w="426" w:type="pct"/>
            <w:vAlign w:val="center"/>
          </w:tcPr>
          <w:p w14:paraId="6B9658D3">
            <w:pPr>
              <w:pStyle w:val="12"/>
              <w:jc w:val="center"/>
              <w:rPr>
                <w:rFonts w:ascii="宋体" w:hAnsi="宋体"/>
              </w:rPr>
            </w:pPr>
            <w:r>
              <w:rPr>
                <w:rFonts w:hint="eastAsia" w:ascii="宋体" w:hAnsi="宋体"/>
              </w:rPr>
              <w:t>4767</w:t>
            </w:r>
          </w:p>
        </w:tc>
        <w:tc>
          <w:tcPr>
            <w:tcW w:w="427" w:type="pct"/>
            <w:vAlign w:val="center"/>
          </w:tcPr>
          <w:p w14:paraId="4086CEF9">
            <w:pPr>
              <w:pStyle w:val="12"/>
              <w:jc w:val="center"/>
              <w:rPr>
                <w:rFonts w:ascii="宋体" w:hAnsi="宋体"/>
              </w:rPr>
            </w:pPr>
            <w:r>
              <w:rPr>
                <w:rFonts w:hint="eastAsia" w:ascii="宋体" w:hAnsi="宋体"/>
              </w:rPr>
              <w:t>4849</w:t>
            </w:r>
          </w:p>
        </w:tc>
        <w:tc>
          <w:tcPr>
            <w:tcW w:w="427" w:type="pct"/>
            <w:vAlign w:val="center"/>
          </w:tcPr>
          <w:p w14:paraId="45E7D31B">
            <w:pPr>
              <w:pStyle w:val="12"/>
              <w:jc w:val="center"/>
              <w:rPr>
                <w:rFonts w:ascii="宋体" w:hAnsi="宋体"/>
              </w:rPr>
            </w:pPr>
            <w:r>
              <w:rPr>
                <w:rFonts w:hint="eastAsia" w:ascii="宋体" w:hAnsi="宋体"/>
              </w:rPr>
              <w:t>4850</w:t>
            </w:r>
          </w:p>
        </w:tc>
        <w:tc>
          <w:tcPr>
            <w:tcW w:w="427" w:type="pct"/>
            <w:vMerge w:val="restart"/>
            <w:vAlign w:val="center"/>
          </w:tcPr>
          <w:p w14:paraId="522D3DA4">
            <w:pPr>
              <w:pStyle w:val="12"/>
              <w:jc w:val="center"/>
              <w:rPr>
                <w:rFonts w:ascii="宋体" w:hAnsi="宋体"/>
              </w:rPr>
            </w:pPr>
            <w:r>
              <w:rPr>
                <w:rFonts w:hint="eastAsia" w:ascii="宋体" w:hAnsi="宋体"/>
              </w:rPr>
              <w:t>8002</w:t>
            </w:r>
          </w:p>
        </w:tc>
        <w:tc>
          <w:tcPr>
            <w:tcW w:w="463" w:type="pct"/>
            <w:vMerge w:val="restart"/>
            <w:vAlign w:val="center"/>
          </w:tcPr>
          <w:p w14:paraId="64DBCFEE">
            <w:pPr>
              <w:pStyle w:val="12"/>
              <w:jc w:val="center"/>
              <w:rPr>
                <w:rFonts w:ascii="宋体" w:hAnsi="宋体"/>
              </w:rPr>
            </w:pPr>
            <w:r>
              <w:rPr>
                <w:rFonts w:hint="eastAsia" w:ascii="宋体" w:hAnsi="宋体"/>
              </w:rPr>
              <w:t>8066</w:t>
            </w:r>
          </w:p>
        </w:tc>
      </w:tr>
      <w:tr w14:paraId="5A5B3B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continue"/>
            <w:vAlign w:val="center"/>
          </w:tcPr>
          <w:p w14:paraId="3C98F843">
            <w:pPr>
              <w:pStyle w:val="12"/>
              <w:jc w:val="center"/>
              <w:rPr>
                <w:rFonts w:ascii="宋体" w:hAnsi="宋体"/>
              </w:rPr>
            </w:pPr>
          </w:p>
        </w:tc>
        <w:tc>
          <w:tcPr>
            <w:tcW w:w="1419" w:type="pct"/>
            <w:vAlign w:val="center"/>
          </w:tcPr>
          <w:p w14:paraId="31E059DC">
            <w:pPr>
              <w:pStyle w:val="12"/>
              <w:jc w:val="center"/>
              <w:rPr>
                <w:rFonts w:ascii="宋体" w:hAnsi="宋体"/>
              </w:rPr>
            </w:pPr>
            <w:r>
              <w:rPr>
                <w:rFonts w:hint="eastAsia" w:ascii="宋体" w:hAnsi="宋体"/>
              </w:rPr>
              <w:t>小学</w:t>
            </w:r>
          </w:p>
        </w:tc>
        <w:tc>
          <w:tcPr>
            <w:tcW w:w="425" w:type="pct"/>
            <w:vAlign w:val="center"/>
          </w:tcPr>
          <w:p w14:paraId="2022F0AA">
            <w:pPr>
              <w:pStyle w:val="12"/>
              <w:jc w:val="center"/>
              <w:rPr>
                <w:rFonts w:ascii="宋体" w:hAnsi="宋体"/>
              </w:rPr>
            </w:pPr>
            <w:r>
              <w:rPr>
                <w:rFonts w:hint="eastAsia" w:ascii="宋体" w:hAnsi="宋体"/>
              </w:rPr>
              <w:t>3527</w:t>
            </w:r>
          </w:p>
        </w:tc>
        <w:tc>
          <w:tcPr>
            <w:tcW w:w="427" w:type="pct"/>
            <w:vAlign w:val="center"/>
          </w:tcPr>
          <w:p w14:paraId="2F369051">
            <w:pPr>
              <w:pStyle w:val="12"/>
              <w:jc w:val="center"/>
              <w:rPr>
                <w:rFonts w:ascii="宋体" w:hAnsi="宋体"/>
              </w:rPr>
            </w:pPr>
            <w:r>
              <w:rPr>
                <w:rFonts w:hint="eastAsia" w:ascii="宋体" w:hAnsi="宋体"/>
              </w:rPr>
              <w:t>3381</w:t>
            </w:r>
          </w:p>
        </w:tc>
        <w:tc>
          <w:tcPr>
            <w:tcW w:w="426" w:type="pct"/>
            <w:vAlign w:val="center"/>
          </w:tcPr>
          <w:p w14:paraId="6666BD80">
            <w:pPr>
              <w:pStyle w:val="12"/>
              <w:jc w:val="center"/>
              <w:rPr>
                <w:rFonts w:ascii="宋体" w:hAnsi="宋体"/>
              </w:rPr>
            </w:pPr>
            <w:r>
              <w:rPr>
                <w:rFonts w:hint="eastAsia" w:ascii="宋体" w:hAnsi="宋体"/>
              </w:rPr>
              <w:t>3375</w:t>
            </w:r>
          </w:p>
        </w:tc>
        <w:tc>
          <w:tcPr>
            <w:tcW w:w="427" w:type="pct"/>
            <w:vAlign w:val="center"/>
          </w:tcPr>
          <w:p w14:paraId="20289913">
            <w:pPr>
              <w:pStyle w:val="12"/>
              <w:jc w:val="center"/>
              <w:rPr>
                <w:rFonts w:ascii="宋体" w:hAnsi="宋体"/>
              </w:rPr>
            </w:pPr>
            <w:r>
              <w:rPr>
                <w:rFonts w:hint="eastAsia" w:ascii="宋体" w:hAnsi="宋体"/>
              </w:rPr>
              <w:t>3340</w:t>
            </w:r>
          </w:p>
        </w:tc>
        <w:tc>
          <w:tcPr>
            <w:tcW w:w="427" w:type="pct"/>
            <w:vAlign w:val="center"/>
          </w:tcPr>
          <w:p w14:paraId="79131975">
            <w:pPr>
              <w:pStyle w:val="12"/>
              <w:jc w:val="center"/>
              <w:rPr>
                <w:rFonts w:ascii="宋体" w:hAnsi="宋体"/>
              </w:rPr>
            </w:pPr>
            <w:r>
              <w:rPr>
                <w:rFonts w:hint="eastAsia" w:ascii="宋体" w:hAnsi="宋体"/>
              </w:rPr>
              <w:t>3199</w:t>
            </w:r>
          </w:p>
        </w:tc>
        <w:tc>
          <w:tcPr>
            <w:tcW w:w="427" w:type="pct"/>
            <w:vMerge w:val="continue"/>
            <w:vAlign w:val="center"/>
          </w:tcPr>
          <w:p w14:paraId="286F0492">
            <w:pPr>
              <w:pStyle w:val="12"/>
              <w:jc w:val="center"/>
              <w:rPr>
                <w:rFonts w:ascii="宋体" w:hAnsi="宋体"/>
              </w:rPr>
            </w:pPr>
          </w:p>
        </w:tc>
        <w:tc>
          <w:tcPr>
            <w:tcW w:w="463" w:type="pct"/>
            <w:vMerge w:val="continue"/>
            <w:vAlign w:val="center"/>
          </w:tcPr>
          <w:p w14:paraId="66D4315E">
            <w:pPr>
              <w:pStyle w:val="12"/>
              <w:jc w:val="center"/>
              <w:rPr>
                <w:rFonts w:ascii="宋体" w:hAnsi="宋体"/>
              </w:rPr>
            </w:pPr>
          </w:p>
        </w:tc>
      </w:tr>
      <w:tr w14:paraId="600A09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continue"/>
            <w:vAlign w:val="center"/>
          </w:tcPr>
          <w:p w14:paraId="1A90589D">
            <w:pPr>
              <w:pStyle w:val="12"/>
              <w:jc w:val="center"/>
              <w:rPr>
                <w:rFonts w:ascii="宋体" w:hAnsi="宋体"/>
              </w:rPr>
            </w:pPr>
          </w:p>
        </w:tc>
        <w:tc>
          <w:tcPr>
            <w:tcW w:w="1419" w:type="pct"/>
            <w:vAlign w:val="center"/>
          </w:tcPr>
          <w:p w14:paraId="723E1F3A">
            <w:pPr>
              <w:pStyle w:val="12"/>
              <w:jc w:val="center"/>
              <w:rPr>
                <w:rFonts w:ascii="宋体" w:hAnsi="宋体"/>
              </w:rPr>
            </w:pPr>
            <w:r>
              <w:rPr>
                <w:rFonts w:hint="eastAsia" w:ascii="宋体" w:hAnsi="宋体"/>
              </w:rPr>
              <w:t>文盲</w:t>
            </w:r>
          </w:p>
        </w:tc>
        <w:tc>
          <w:tcPr>
            <w:tcW w:w="425" w:type="pct"/>
            <w:vAlign w:val="center"/>
          </w:tcPr>
          <w:p w14:paraId="7E5F0DEB">
            <w:pPr>
              <w:pStyle w:val="12"/>
              <w:jc w:val="center"/>
              <w:rPr>
                <w:rFonts w:ascii="宋体" w:hAnsi="宋体"/>
              </w:rPr>
            </w:pPr>
            <w:r>
              <w:rPr>
                <w:rFonts w:hint="eastAsia" w:ascii="宋体" w:hAnsi="宋体"/>
              </w:rPr>
              <w:t>193</w:t>
            </w:r>
          </w:p>
        </w:tc>
        <w:tc>
          <w:tcPr>
            <w:tcW w:w="427" w:type="pct"/>
            <w:vAlign w:val="center"/>
          </w:tcPr>
          <w:p w14:paraId="08371A71">
            <w:pPr>
              <w:pStyle w:val="12"/>
              <w:jc w:val="center"/>
              <w:rPr>
                <w:rFonts w:ascii="宋体" w:hAnsi="宋体"/>
              </w:rPr>
            </w:pPr>
            <w:r>
              <w:rPr>
                <w:rFonts w:hint="eastAsia" w:ascii="宋体" w:hAnsi="宋体"/>
              </w:rPr>
              <w:t>191</w:t>
            </w:r>
          </w:p>
        </w:tc>
        <w:tc>
          <w:tcPr>
            <w:tcW w:w="426" w:type="pct"/>
            <w:vAlign w:val="center"/>
          </w:tcPr>
          <w:p w14:paraId="1BA01967">
            <w:pPr>
              <w:pStyle w:val="12"/>
              <w:jc w:val="center"/>
              <w:rPr>
                <w:rFonts w:ascii="宋体" w:hAnsi="宋体"/>
              </w:rPr>
            </w:pPr>
            <w:r>
              <w:rPr>
                <w:rFonts w:hint="eastAsia" w:ascii="宋体" w:hAnsi="宋体"/>
              </w:rPr>
              <w:t>191</w:t>
            </w:r>
          </w:p>
        </w:tc>
        <w:tc>
          <w:tcPr>
            <w:tcW w:w="427" w:type="pct"/>
            <w:vAlign w:val="center"/>
          </w:tcPr>
          <w:p w14:paraId="537ABE82">
            <w:pPr>
              <w:pStyle w:val="12"/>
              <w:jc w:val="center"/>
              <w:rPr>
                <w:rFonts w:ascii="宋体" w:hAnsi="宋体"/>
              </w:rPr>
            </w:pPr>
            <w:r>
              <w:rPr>
                <w:rFonts w:hint="eastAsia" w:ascii="宋体" w:hAnsi="宋体"/>
              </w:rPr>
              <w:t>180</w:t>
            </w:r>
          </w:p>
        </w:tc>
        <w:tc>
          <w:tcPr>
            <w:tcW w:w="427" w:type="pct"/>
            <w:vAlign w:val="center"/>
          </w:tcPr>
          <w:p w14:paraId="765A41FC">
            <w:pPr>
              <w:pStyle w:val="12"/>
              <w:jc w:val="center"/>
              <w:rPr>
                <w:rFonts w:ascii="宋体" w:hAnsi="宋体"/>
              </w:rPr>
            </w:pPr>
            <w:r>
              <w:rPr>
                <w:rFonts w:hint="eastAsia" w:ascii="宋体" w:hAnsi="宋体"/>
              </w:rPr>
              <w:t>176</w:t>
            </w:r>
          </w:p>
        </w:tc>
        <w:tc>
          <w:tcPr>
            <w:tcW w:w="427" w:type="pct"/>
            <w:vMerge w:val="continue"/>
            <w:vAlign w:val="center"/>
          </w:tcPr>
          <w:p w14:paraId="17D68089">
            <w:pPr>
              <w:pStyle w:val="12"/>
              <w:jc w:val="center"/>
              <w:rPr>
                <w:rFonts w:ascii="宋体" w:hAnsi="宋体"/>
              </w:rPr>
            </w:pPr>
          </w:p>
        </w:tc>
        <w:tc>
          <w:tcPr>
            <w:tcW w:w="463" w:type="pct"/>
            <w:vMerge w:val="continue"/>
            <w:vAlign w:val="center"/>
          </w:tcPr>
          <w:p w14:paraId="0D9A9BAF">
            <w:pPr>
              <w:pStyle w:val="12"/>
              <w:jc w:val="center"/>
              <w:rPr>
                <w:rFonts w:ascii="宋体" w:hAnsi="宋体"/>
              </w:rPr>
            </w:pPr>
          </w:p>
        </w:tc>
      </w:tr>
      <w:tr w14:paraId="268989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restart"/>
            <w:vAlign w:val="center"/>
          </w:tcPr>
          <w:p w14:paraId="48469715">
            <w:pPr>
              <w:pStyle w:val="12"/>
              <w:jc w:val="center"/>
              <w:rPr>
                <w:rFonts w:ascii="宋体" w:hAnsi="宋体"/>
              </w:rPr>
            </w:pPr>
            <w:r>
              <w:rPr>
                <w:rFonts w:hint="eastAsia" w:ascii="宋体" w:hAnsi="宋体"/>
              </w:rPr>
              <w:t>入党时间</w:t>
            </w:r>
          </w:p>
        </w:tc>
        <w:tc>
          <w:tcPr>
            <w:tcW w:w="1419" w:type="pct"/>
            <w:vAlign w:val="center"/>
          </w:tcPr>
          <w:p w14:paraId="0741D827">
            <w:pPr>
              <w:pStyle w:val="12"/>
              <w:jc w:val="center"/>
              <w:rPr>
                <w:rFonts w:ascii="宋体" w:hAnsi="宋体"/>
              </w:rPr>
            </w:pPr>
            <w:r>
              <w:rPr>
                <w:rFonts w:hint="eastAsia" w:ascii="宋体" w:hAnsi="宋体"/>
              </w:rPr>
              <w:t>1927年8月至1937年7月</w:t>
            </w:r>
          </w:p>
        </w:tc>
        <w:tc>
          <w:tcPr>
            <w:tcW w:w="425" w:type="pct"/>
            <w:vAlign w:val="center"/>
          </w:tcPr>
          <w:p w14:paraId="502E58D8">
            <w:pPr>
              <w:pStyle w:val="12"/>
              <w:jc w:val="center"/>
              <w:rPr>
                <w:rFonts w:ascii="宋体" w:hAnsi="宋体"/>
              </w:rPr>
            </w:pPr>
            <w:r>
              <w:rPr>
                <w:rFonts w:hint="eastAsia" w:ascii="宋体" w:hAnsi="宋体"/>
              </w:rPr>
              <w:t>—</w:t>
            </w:r>
          </w:p>
        </w:tc>
        <w:tc>
          <w:tcPr>
            <w:tcW w:w="427" w:type="pct"/>
            <w:vAlign w:val="center"/>
          </w:tcPr>
          <w:p w14:paraId="681AA207">
            <w:pPr>
              <w:pStyle w:val="12"/>
              <w:jc w:val="center"/>
              <w:rPr>
                <w:rFonts w:ascii="宋体" w:hAnsi="宋体"/>
              </w:rPr>
            </w:pPr>
            <w:r>
              <w:rPr>
                <w:rFonts w:hint="eastAsia" w:ascii="宋体" w:hAnsi="宋体"/>
              </w:rPr>
              <w:t>—</w:t>
            </w:r>
          </w:p>
        </w:tc>
        <w:tc>
          <w:tcPr>
            <w:tcW w:w="426" w:type="pct"/>
            <w:vAlign w:val="center"/>
          </w:tcPr>
          <w:p w14:paraId="4637FCFE">
            <w:pPr>
              <w:pStyle w:val="12"/>
              <w:jc w:val="center"/>
              <w:rPr>
                <w:rFonts w:ascii="宋体" w:hAnsi="宋体"/>
              </w:rPr>
            </w:pPr>
            <w:r>
              <w:rPr>
                <w:rFonts w:hint="eastAsia" w:ascii="宋体" w:hAnsi="宋体"/>
              </w:rPr>
              <w:t>—</w:t>
            </w:r>
          </w:p>
        </w:tc>
        <w:tc>
          <w:tcPr>
            <w:tcW w:w="427" w:type="pct"/>
            <w:vAlign w:val="center"/>
          </w:tcPr>
          <w:p w14:paraId="0F8E03D0">
            <w:pPr>
              <w:pStyle w:val="12"/>
              <w:jc w:val="center"/>
              <w:rPr>
                <w:rFonts w:ascii="宋体" w:hAnsi="宋体"/>
              </w:rPr>
            </w:pPr>
            <w:r>
              <w:rPr>
                <w:rFonts w:hint="eastAsia" w:ascii="宋体" w:hAnsi="宋体"/>
              </w:rPr>
              <w:t>—</w:t>
            </w:r>
          </w:p>
        </w:tc>
        <w:tc>
          <w:tcPr>
            <w:tcW w:w="427" w:type="pct"/>
            <w:vAlign w:val="center"/>
          </w:tcPr>
          <w:p w14:paraId="2AA5ED43">
            <w:pPr>
              <w:pStyle w:val="12"/>
              <w:jc w:val="center"/>
              <w:rPr>
                <w:rFonts w:ascii="宋体" w:hAnsi="宋体"/>
              </w:rPr>
            </w:pPr>
            <w:r>
              <w:rPr>
                <w:rFonts w:hint="eastAsia" w:ascii="宋体" w:hAnsi="宋体"/>
              </w:rPr>
              <w:t>—</w:t>
            </w:r>
          </w:p>
        </w:tc>
        <w:tc>
          <w:tcPr>
            <w:tcW w:w="427" w:type="pct"/>
            <w:vAlign w:val="center"/>
          </w:tcPr>
          <w:p w14:paraId="455D472B">
            <w:pPr>
              <w:pStyle w:val="12"/>
              <w:jc w:val="center"/>
              <w:rPr>
                <w:rFonts w:ascii="宋体" w:hAnsi="宋体"/>
              </w:rPr>
            </w:pPr>
            <w:r>
              <w:rPr>
                <w:rFonts w:hint="eastAsia" w:ascii="宋体" w:hAnsi="宋体"/>
              </w:rPr>
              <w:t>—</w:t>
            </w:r>
          </w:p>
        </w:tc>
        <w:tc>
          <w:tcPr>
            <w:tcW w:w="463" w:type="pct"/>
            <w:vAlign w:val="center"/>
          </w:tcPr>
          <w:p w14:paraId="1DA7F584">
            <w:pPr>
              <w:pStyle w:val="12"/>
              <w:jc w:val="center"/>
              <w:rPr>
                <w:rFonts w:ascii="宋体" w:hAnsi="宋体"/>
              </w:rPr>
            </w:pPr>
            <w:r>
              <w:rPr>
                <w:rFonts w:hint="eastAsia" w:ascii="宋体" w:hAnsi="宋体"/>
              </w:rPr>
              <w:t>—</w:t>
            </w:r>
          </w:p>
        </w:tc>
      </w:tr>
      <w:tr w14:paraId="7D05BD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continue"/>
            <w:vAlign w:val="center"/>
          </w:tcPr>
          <w:p w14:paraId="2ECFE036">
            <w:pPr>
              <w:pStyle w:val="12"/>
              <w:jc w:val="center"/>
              <w:rPr>
                <w:rFonts w:ascii="宋体" w:hAnsi="宋体"/>
              </w:rPr>
            </w:pPr>
          </w:p>
        </w:tc>
        <w:tc>
          <w:tcPr>
            <w:tcW w:w="1419" w:type="pct"/>
            <w:vAlign w:val="center"/>
          </w:tcPr>
          <w:p w14:paraId="5824951C">
            <w:pPr>
              <w:pStyle w:val="12"/>
              <w:jc w:val="center"/>
              <w:rPr>
                <w:rFonts w:ascii="宋体" w:hAnsi="宋体"/>
              </w:rPr>
            </w:pPr>
            <w:r>
              <w:rPr>
                <w:rFonts w:hint="eastAsia" w:ascii="宋体" w:hAnsi="宋体"/>
              </w:rPr>
              <w:t>1937年7月至1945年9月</w:t>
            </w:r>
          </w:p>
        </w:tc>
        <w:tc>
          <w:tcPr>
            <w:tcW w:w="425" w:type="pct"/>
            <w:vAlign w:val="center"/>
          </w:tcPr>
          <w:p w14:paraId="7BD8F55A">
            <w:pPr>
              <w:pStyle w:val="12"/>
              <w:jc w:val="center"/>
              <w:rPr>
                <w:rFonts w:ascii="宋体" w:hAnsi="宋体"/>
              </w:rPr>
            </w:pPr>
            <w:r>
              <w:rPr>
                <w:rFonts w:hint="eastAsia" w:ascii="宋体" w:hAnsi="宋体"/>
              </w:rPr>
              <w:t>2</w:t>
            </w:r>
          </w:p>
        </w:tc>
        <w:tc>
          <w:tcPr>
            <w:tcW w:w="427" w:type="pct"/>
            <w:vAlign w:val="center"/>
          </w:tcPr>
          <w:p w14:paraId="6AA407C5">
            <w:pPr>
              <w:pStyle w:val="12"/>
              <w:jc w:val="center"/>
              <w:rPr>
                <w:rFonts w:ascii="宋体" w:hAnsi="宋体"/>
              </w:rPr>
            </w:pPr>
            <w:r>
              <w:rPr>
                <w:rFonts w:hint="eastAsia" w:ascii="宋体" w:hAnsi="宋体"/>
              </w:rPr>
              <w:t>2</w:t>
            </w:r>
          </w:p>
        </w:tc>
        <w:tc>
          <w:tcPr>
            <w:tcW w:w="426" w:type="pct"/>
            <w:vAlign w:val="center"/>
          </w:tcPr>
          <w:p w14:paraId="3C373694">
            <w:pPr>
              <w:pStyle w:val="12"/>
              <w:jc w:val="center"/>
              <w:rPr>
                <w:rFonts w:ascii="宋体" w:hAnsi="宋体"/>
              </w:rPr>
            </w:pPr>
            <w:r>
              <w:rPr>
                <w:rFonts w:hint="eastAsia" w:ascii="宋体" w:hAnsi="宋体"/>
              </w:rPr>
              <w:t>2</w:t>
            </w:r>
          </w:p>
        </w:tc>
        <w:tc>
          <w:tcPr>
            <w:tcW w:w="427" w:type="pct"/>
            <w:vAlign w:val="center"/>
          </w:tcPr>
          <w:p w14:paraId="5AFA6D9A">
            <w:pPr>
              <w:pStyle w:val="12"/>
              <w:jc w:val="center"/>
              <w:rPr>
                <w:rFonts w:ascii="宋体" w:hAnsi="宋体"/>
              </w:rPr>
            </w:pPr>
            <w:r>
              <w:rPr>
                <w:rFonts w:hint="eastAsia" w:ascii="宋体" w:hAnsi="宋体"/>
              </w:rPr>
              <w:t>—</w:t>
            </w:r>
          </w:p>
        </w:tc>
        <w:tc>
          <w:tcPr>
            <w:tcW w:w="427" w:type="pct"/>
            <w:vAlign w:val="center"/>
          </w:tcPr>
          <w:p w14:paraId="119C7C26">
            <w:pPr>
              <w:pStyle w:val="12"/>
              <w:jc w:val="center"/>
              <w:rPr>
                <w:rFonts w:ascii="宋体" w:hAnsi="宋体"/>
              </w:rPr>
            </w:pPr>
            <w:r>
              <w:rPr>
                <w:rFonts w:hint="eastAsia" w:ascii="宋体" w:hAnsi="宋体"/>
              </w:rPr>
              <w:t>—</w:t>
            </w:r>
          </w:p>
        </w:tc>
        <w:tc>
          <w:tcPr>
            <w:tcW w:w="427" w:type="pct"/>
            <w:vAlign w:val="center"/>
          </w:tcPr>
          <w:p w14:paraId="65FA4FEC">
            <w:pPr>
              <w:pStyle w:val="12"/>
              <w:jc w:val="center"/>
              <w:rPr>
                <w:rFonts w:ascii="宋体" w:hAnsi="宋体"/>
              </w:rPr>
            </w:pPr>
            <w:r>
              <w:rPr>
                <w:rFonts w:hint="eastAsia" w:ascii="宋体" w:hAnsi="宋体"/>
              </w:rPr>
              <w:t>—</w:t>
            </w:r>
          </w:p>
        </w:tc>
        <w:tc>
          <w:tcPr>
            <w:tcW w:w="463" w:type="pct"/>
            <w:vAlign w:val="center"/>
          </w:tcPr>
          <w:p w14:paraId="2DA0C8D3">
            <w:pPr>
              <w:pStyle w:val="12"/>
              <w:jc w:val="center"/>
              <w:rPr>
                <w:rFonts w:ascii="宋体" w:hAnsi="宋体"/>
              </w:rPr>
            </w:pPr>
            <w:r>
              <w:rPr>
                <w:rFonts w:hint="eastAsia" w:ascii="宋体" w:hAnsi="宋体"/>
              </w:rPr>
              <w:t>—</w:t>
            </w:r>
          </w:p>
        </w:tc>
      </w:tr>
      <w:tr w14:paraId="0ED8E3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continue"/>
            <w:vAlign w:val="center"/>
          </w:tcPr>
          <w:p w14:paraId="3F5D0207">
            <w:pPr>
              <w:pStyle w:val="12"/>
              <w:jc w:val="center"/>
              <w:rPr>
                <w:rFonts w:ascii="宋体" w:hAnsi="宋体"/>
              </w:rPr>
            </w:pPr>
          </w:p>
        </w:tc>
        <w:tc>
          <w:tcPr>
            <w:tcW w:w="1419" w:type="pct"/>
            <w:vAlign w:val="center"/>
          </w:tcPr>
          <w:p w14:paraId="2F37EF3A">
            <w:pPr>
              <w:pStyle w:val="12"/>
              <w:jc w:val="center"/>
              <w:rPr>
                <w:rFonts w:ascii="宋体" w:hAnsi="宋体"/>
              </w:rPr>
            </w:pPr>
            <w:r>
              <w:rPr>
                <w:rFonts w:hint="eastAsia" w:ascii="宋体" w:hAnsi="宋体"/>
              </w:rPr>
              <w:t>1945年9月至1949年9月</w:t>
            </w:r>
          </w:p>
        </w:tc>
        <w:tc>
          <w:tcPr>
            <w:tcW w:w="425" w:type="pct"/>
            <w:vAlign w:val="center"/>
          </w:tcPr>
          <w:p w14:paraId="2CC6DE7F">
            <w:pPr>
              <w:pStyle w:val="12"/>
              <w:jc w:val="center"/>
              <w:rPr>
                <w:rFonts w:ascii="宋体" w:hAnsi="宋体"/>
              </w:rPr>
            </w:pPr>
            <w:r>
              <w:rPr>
                <w:rFonts w:hint="eastAsia" w:ascii="宋体" w:hAnsi="宋体"/>
              </w:rPr>
              <w:t>36</w:t>
            </w:r>
          </w:p>
        </w:tc>
        <w:tc>
          <w:tcPr>
            <w:tcW w:w="427" w:type="pct"/>
            <w:vAlign w:val="center"/>
          </w:tcPr>
          <w:p w14:paraId="06B50A3E">
            <w:pPr>
              <w:pStyle w:val="12"/>
              <w:jc w:val="center"/>
              <w:rPr>
                <w:rFonts w:ascii="宋体" w:hAnsi="宋体"/>
              </w:rPr>
            </w:pPr>
            <w:r>
              <w:rPr>
                <w:rFonts w:hint="eastAsia" w:ascii="宋体" w:hAnsi="宋体"/>
              </w:rPr>
              <w:t>36</w:t>
            </w:r>
          </w:p>
        </w:tc>
        <w:tc>
          <w:tcPr>
            <w:tcW w:w="426" w:type="pct"/>
            <w:vAlign w:val="center"/>
          </w:tcPr>
          <w:p w14:paraId="04EECB3B">
            <w:pPr>
              <w:pStyle w:val="12"/>
              <w:jc w:val="center"/>
              <w:rPr>
                <w:rFonts w:ascii="宋体" w:hAnsi="宋体"/>
              </w:rPr>
            </w:pPr>
            <w:r>
              <w:rPr>
                <w:rFonts w:hint="eastAsia" w:ascii="宋体" w:hAnsi="宋体"/>
              </w:rPr>
              <w:t>36</w:t>
            </w:r>
          </w:p>
        </w:tc>
        <w:tc>
          <w:tcPr>
            <w:tcW w:w="427" w:type="pct"/>
            <w:vAlign w:val="center"/>
          </w:tcPr>
          <w:p w14:paraId="768C8128">
            <w:pPr>
              <w:pStyle w:val="12"/>
              <w:jc w:val="center"/>
              <w:rPr>
                <w:rFonts w:ascii="宋体" w:hAnsi="宋体"/>
              </w:rPr>
            </w:pPr>
            <w:r>
              <w:rPr>
                <w:rFonts w:hint="eastAsia" w:ascii="宋体" w:hAnsi="宋体"/>
              </w:rPr>
              <w:t>38</w:t>
            </w:r>
          </w:p>
        </w:tc>
        <w:tc>
          <w:tcPr>
            <w:tcW w:w="427" w:type="pct"/>
            <w:vAlign w:val="center"/>
          </w:tcPr>
          <w:p w14:paraId="3D1BA16B">
            <w:pPr>
              <w:pStyle w:val="12"/>
              <w:jc w:val="center"/>
              <w:rPr>
                <w:rFonts w:ascii="宋体" w:hAnsi="宋体"/>
              </w:rPr>
            </w:pPr>
            <w:r>
              <w:rPr>
                <w:rFonts w:hint="eastAsia" w:ascii="宋体" w:hAnsi="宋体"/>
              </w:rPr>
              <w:t>32</w:t>
            </w:r>
          </w:p>
        </w:tc>
        <w:tc>
          <w:tcPr>
            <w:tcW w:w="427" w:type="pct"/>
            <w:vAlign w:val="center"/>
          </w:tcPr>
          <w:p w14:paraId="2EF3BA9D">
            <w:pPr>
              <w:pStyle w:val="12"/>
              <w:jc w:val="center"/>
              <w:rPr>
                <w:rFonts w:ascii="宋体" w:hAnsi="宋体"/>
              </w:rPr>
            </w:pPr>
            <w:r>
              <w:rPr>
                <w:rFonts w:hint="eastAsia" w:ascii="宋体" w:hAnsi="宋体"/>
              </w:rPr>
              <w:t>20</w:t>
            </w:r>
          </w:p>
        </w:tc>
        <w:tc>
          <w:tcPr>
            <w:tcW w:w="463" w:type="pct"/>
            <w:vAlign w:val="center"/>
          </w:tcPr>
          <w:p w14:paraId="2D75E57E">
            <w:pPr>
              <w:pStyle w:val="12"/>
              <w:jc w:val="center"/>
              <w:rPr>
                <w:rFonts w:ascii="宋体" w:hAnsi="宋体"/>
              </w:rPr>
            </w:pPr>
            <w:r>
              <w:rPr>
                <w:rFonts w:hint="eastAsia" w:ascii="宋体" w:hAnsi="宋体"/>
              </w:rPr>
              <w:t>19</w:t>
            </w:r>
          </w:p>
        </w:tc>
      </w:tr>
      <w:tr w14:paraId="048F8B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continue"/>
            <w:vAlign w:val="center"/>
          </w:tcPr>
          <w:p w14:paraId="09FE8D90">
            <w:pPr>
              <w:pStyle w:val="12"/>
              <w:jc w:val="center"/>
              <w:rPr>
                <w:rFonts w:ascii="宋体" w:hAnsi="宋体"/>
              </w:rPr>
            </w:pPr>
          </w:p>
        </w:tc>
        <w:tc>
          <w:tcPr>
            <w:tcW w:w="1419" w:type="pct"/>
            <w:vAlign w:val="center"/>
          </w:tcPr>
          <w:p w14:paraId="7B58C0D6">
            <w:pPr>
              <w:pStyle w:val="12"/>
              <w:jc w:val="center"/>
              <w:rPr>
                <w:rFonts w:ascii="宋体" w:hAnsi="宋体"/>
              </w:rPr>
            </w:pPr>
            <w:r>
              <w:rPr>
                <w:rFonts w:hint="eastAsia" w:ascii="宋体" w:hAnsi="宋体"/>
              </w:rPr>
              <w:t>1949年10月至1966年4月</w:t>
            </w:r>
          </w:p>
        </w:tc>
        <w:tc>
          <w:tcPr>
            <w:tcW w:w="425" w:type="pct"/>
            <w:vAlign w:val="center"/>
          </w:tcPr>
          <w:p w14:paraId="7971ABF4">
            <w:pPr>
              <w:pStyle w:val="12"/>
              <w:jc w:val="center"/>
              <w:rPr>
                <w:rFonts w:ascii="宋体" w:hAnsi="宋体"/>
              </w:rPr>
            </w:pPr>
            <w:r>
              <w:rPr>
                <w:rFonts w:hint="eastAsia" w:ascii="宋体" w:hAnsi="宋体"/>
              </w:rPr>
              <w:t>2577</w:t>
            </w:r>
          </w:p>
        </w:tc>
        <w:tc>
          <w:tcPr>
            <w:tcW w:w="427" w:type="pct"/>
            <w:vAlign w:val="center"/>
          </w:tcPr>
          <w:p w14:paraId="4283C0F3">
            <w:pPr>
              <w:pStyle w:val="12"/>
              <w:jc w:val="center"/>
              <w:rPr>
                <w:rFonts w:ascii="宋体" w:hAnsi="宋体"/>
              </w:rPr>
            </w:pPr>
            <w:r>
              <w:rPr>
                <w:rFonts w:hint="eastAsia" w:ascii="宋体" w:hAnsi="宋体"/>
              </w:rPr>
              <w:t>2487</w:t>
            </w:r>
          </w:p>
        </w:tc>
        <w:tc>
          <w:tcPr>
            <w:tcW w:w="426" w:type="pct"/>
            <w:vAlign w:val="center"/>
          </w:tcPr>
          <w:p w14:paraId="05C58F9C">
            <w:pPr>
              <w:pStyle w:val="12"/>
              <w:jc w:val="center"/>
              <w:rPr>
                <w:rFonts w:ascii="宋体" w:hAnsi="宋体"/>
              </w:rPr>
            </w:pPr>
            <w:r>
              <w:rPr>
                <w:rFonts w:hint="eastAsia" w:ascii="宋体" w:hAnsi="宋体"/>
              </w:rPr>
              <w:t>2497</w:t>
            </w:r>
          </w:p>
        </w:tc>
        <w:tc>
          <w:tcPr>
            <w:tcW w:w="427" w:type="pct"/>
            <w:vAlign w:val="center"/>
          </w:tcPr>
          <w:p w14:paraId="6C4E3990">
            <w:pPr>
              <w:pStyle w:val="12"/>
              <w:jc w:val="center"/>
              <w:rPr>
                <w:rFonts w:ascii="宋体" w:hAnsi="宋体"/>
              </w:rPr>
            </w:pPr>
            <w:r>
              <w:rPr>
                <w:rFonts w:hint="eastAsia" w:ascii="宋体" w:hAnsi="宋体"/>
              </w:rPr>
              <w:t>2297</w:t>
            </w:r>
          </w:p>
        </w:tc>
        <w:tc>
          <w:tcPr>
            <w:tcW w:w="427" w:type="pct"/>
            <w:vAlign w:val="center"/>
          </w:tcPr>
          <w:p w14:paraId="7B99D9CD">
            <w:pPr>
              <w:pStyle w:val="12"/>
              <w:jc w:val="center"/>
              <w:rPr>
                <w:rFonts w:ascii="宋体" w:hAnsi="宋体"/>
              </w:rPr>
            </w:pPr>
            <w:r>
              <w:rPr>
                <w:rFonts w:hint="eastAsia" w:ascii="宋体" w:hAnsi="宋体"/>
              </w:rPr>
              <w:t>2206</w:t>
            </w:r>
          </w:p>
        </w:tc>
        <w:tc>
          <w:tcPr>
            <w:tcW w:w="427" w:type="pct"/>
            <w:vAlign w:val="center"/>
          </w:tcPr>
          <w:p w14:paraId="6062A8EF">
            <w:pPr>
              <w:pStyle w:val="12"/>
              <w:jc w:val="center"/>
              <w:rPr>
                <w:rFonts w:ascii="宋体" w:hAnsi="宋体"/>
              </w:rPr>
            </w:pPr>
            <w:r>
              <w:rPr>
                <w:rFonts w:hint="eastAsia" w:ascii="宋体" w:hAnsi="宋体"/>
              </w:rPr>
              <w:t>2155</w:t>
            </w:r>
          </w:p>
        </w:tc>
        <w:tc>
          <w:tcPr>
            <w:tcW w:w="463" w:type="pct"/>
            <w:vAlign w:val="center"/>
          </w:tcPr>
          <w:p w14:paraId="70602770">
            <w:pPr>
              <w:pStyle w:val="12"/>
              <w:jc w:val="center"/>
              <w:rPr>
                <w:rFonts w:ascii="宋体" w:hAnsi="宋体"/>
              </w:rPr>
            </w:pPr>
            <w:r>
              <w:rPr>
                <w:rFonts w:hint="eastAsia" w:ascii="宋体" w:hAnsi="宋体"/>
              </w:rPr>
              <w:t>1967</w:t>
            </w:r>
          </w:p>
        </w:tc>
      </w:tr>
      <w:tr w14:paraId="4D4AAF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restart"/>
            <w:vAlign w:val="center"/>
          </w:tcPr>
          <w:p w14:paraId="63CFB662">
            <w:pPr>
              <w:pStyle w:val="12"/>
              <w:jc w:val="center"/>
              <w:rPr>
                <w:rFonts w:ascii="宋体" w:hAnsi="宋体"/>
              </w:rPr>
            </w:pPr>
            <w:r>
              <w:rPr>
                <w:rFonts w:hint="eastAsia" w:ascii="宋体" w:hAnsi="宋体"/>
              </w:rPr>
              <w:t>入党时间</w:t>
            </w:r>
          </w:p>
        </w:tc>
        <w:tc>
          <w:tcPr>
            <w:tcW w:w="1419" w:type="pct"/>
            <w:vAlign w:val="center"/>
          </w:tcPr>
          <w:p w14:paraId="12B51BA5">
            <w:pPr>
              <w:pStyle w:val="12"/>
              <w:jc w:val="center"/>
              <w:rPr>
                <w:rFonts w:ascii="宋体" w:hAnsi="宋体"/>
              </w:rPr>
            </w:pPr>
            <w:r>
              <w:rPr>
                <w:rFonts w:hint="eastAsia" w:ascii="宋体" w:hAnsi="宋体"/>
              </w:rPr>
              <w:t>1966年5月至1976年10月</w:t>
            </w:r>
          </w:p>
        </w:tc>
        <w:tc>
          <w:tcPr>
            <w:tcW w:w="425" w:type="pct"/>
            <w:vAlign w:val="center"/>
          </w:tcPr>
          <w:p w14:paraId="66D00CAF">
            <w:pPr>
              <w:pStyle w:val="12"/>
              <w:jc w:val="center"/>
              <w:rPr>
                <w:rFonts w:ascii="宋体" w:hAnsi="宋体"/>
              </w:rPr>
            </w:pPr>
            <w:r>
              <w:rPr>
                <w:rFonts w:hint="eastAsia" w:ascii="宋体" w:hAnsi="宋体"/>
              </w:rPr>
              <w:t>4411</w:t>
            </w:r>
          </w:p>
        </w:tc>
        <w:tc>
          <w:tcPr>
            <w:tcW w:w="427" w:type="pct"/>
            <w:vAlign w:val="center"/>
          </w:tcPr>
          <w:p w14:paraId="5BE76F45">
            <w:pPr>
              <w:pStyle w:val="12"/>
              <w:jc w:val="center"/>
              <w:rPr>
                <w:rFonts w:ascii="宋体" w:hAnsi="宋体"/>
              </w:rPr>
            </w:pPr>
            <w:r>
              <w:rPr>
                <w:rFonts w:hint="eastAsia" w:ascii="宋体" w:hAnsi="宋体"/>
              </w:rPr>
              <w:t>4365</w:t>
            </w:r>
          </w:p>
        </w:tc>
        <w:tc>
          <w:tcPr>
            <w:tcW w:w="426" w:type="pct"/>
            <w:vAlign w:val="center"/>
          </w:tcPr>
          <w:p w14:paraId="64F544C6">
            <w:pPr>
              <w:pStyle w:val="12"/>
              <w:jc w:val="center"/>
              <w:rPr>
                <w:rFonts w:ascii="宋体" w:hAnsi="宋体"/>
              </w:rPr>
            </w:pPr>
            <w:r>
              <w:rPr>
                <w:rFonts w:hint="eastAsia" w:ascii="宋体" w:hAnsi="宋体"/>
              </w:rPr>
              <w:t>4271</w:t>
            </w:r>
          </w:p>
        </w:tc>
        <w:tc>
          <w:tcPr>
            <w:tcW w:w="427" w:type="pct"/>
            <w:vAlign w:val="center"/>
          </w:tcPr>
          <w:p w14:paraId="604E61C7">
            <w:pPr>
              <w:pStyle w:val="12"/>
              <w:jc w:val="center"/>
              <w:rPr>
                <w:rFonts w:ascii="宋体" w:hAnsi="宋体"/>
              </w:rPr>
            </w:pPr>
            <w:r>
              <w:rPr>
                <w:rFonts w:hint="eastAsia" w:ascii="宋体" w:hAnsi="宋体"/>
              </w:rPr>
              <w:t>4332</w:t>
            </w:r>
          </w:p>
        </w:tc>
        <w:tc>
          <w:tcPr>
            <w:tcW w:w="427" w:type="pct"/>
            <w:vAlign w:val="center"/>
          </w:tcPr>
          <w:p w14:paraId="4BCB315C">
            <w:pPr>
              <w:pStyle w:val="12"/>
              <w:jc w:val="center"/>
              <w:rPr>
                <w:rFonts w:ascii="宋体" w:hAnsi="宋体"/>
              </w:rPr>
            </w:pPr>
            <w:r>
              <w:rPr>
                <w:rFonts w:hint="eastAsia" w:ascii="宋体" w:hAnsi="宋体"/>
              </w:rPr>
              <w:t>4021</w:t>
            </w:r>
          </w:p>
        </w:tc>
        <w:tc>
          <w:tcPr>
            <w:tcW w:w="427" w:type="pct"/>
            <w:vAlign w:val="center"/>
          </w:tcPr>
          <w:p w14:paraId="5FBED157">
            <w:pPr>
              <w:pStyle w:val="12"/>
              <w:jc w:val="center"/>
              <w:rPr>
                <w:rFonts w:ascii="宋体" w:hAnsi="宋体"/>
              </w:rPr>
            </w:pPr>
            <w:r>
              <w:rPr>
                <w:rFonts w:hint="eastAsia" w:ascii="宋体" w:hAnsi="宋体"/>
              </w:rPr>
              <w:t>4003</w:t>
            </w:r>
          </w:p>
        </w:tc>
        <w:tc>
          <w:tcPr>
            <w:tcW w:w="463" w:type="pct"/>
            <w:vAlign w:val="center"/>
          </w:tcPr>
          <w:p w14:paraId="5EA08125">
            <w:pPr>
              <w:pStyle w:val="12"/>
              <w:jc w:val="center"/>
              <w:rPr>
                <w:rFonts w:ascii="宋体" w:hAnsi="宋体"/>
              </w:rPr>
            </w:pPr>
            <w:r>
              <w:rPr>
                <w:rFonts w:hint="eastAsia" w:ascii="宋体" w:hAnsi="宋体"/>
              </w:rPr>
              <w:t>3900</w:t>
            </w:r>
          </w:p>
        </w:tc>
      </w:tr>
      <w:tr w14:paraId="454829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continue"/>
            <w:vAlign w:val="center"/>
          </w:tcPr>
          <w:p w14:paraId="47524912">
            <w:pPr>
              <w:pStyle w:val="12"/>
              <w:jc w:val="center"/>
              <w:rPr>
                <w:rFonts w:ascii="宋体" w:hAnsi="宋体"/>
              </w:rPr>
            </w:pPr>
          </w:p>
        </w:tc>
        <w:tc>
          <w:tcPr>
            <w:tcW w:w="1419" w:type="pct"/>
            <w:vAlign w:val="center"/>
          </w:tcPr>
          <w:p w14:paraId="698A7AAC">
            <w:pPr>
              <w:pStyle w:val="12"/>
              <w:jc w:val="center"/>
              <w:rPr>
                <w:rFonts w:ascii="宋体" w:hAnsi="宋体"/>
              </w:rPr>
            </w:pPr>
            <w:r>
              <w:rPr>
                <w:rFonts w:hint="eastAsia" w:ascii="宋体" w:hAnsi="宋体"/>
              </w:rPr>
              <w:t>1976年11月至1992年9月</w:t>
            </w:r>
          </w:p>
        </w:tc>
        <w:tc>
          <w:tcPr>
            <w:tcW w:w="425" w:type="pct"/>
            <w:vAlign w:val="center"/>
          </w:tcPr>
          <w:p w14:paraId="35A8921A">
            <w:pPr>
              <w:pStyle w:val="12"/>
              <w:jc w:val="center"/>
              <w:rPr>
                <w:rFonts w:ascii="宋体" w:hAnsi="宋体"/>
              </w:rPr>
            </w:pPr>
            <w:r>
              <w:rPr>
                <w:rFonts w:hint="eastAsia" w:ascii="宋体" w:hAnsi="宋体"/>
              </w:rPr>
              <w:t>6174</w:t>
            </w:r>
          </w:p>
        </w:tc>
        <w:tc>
          <w:tcPr>
            <w:tcW w:w="427" w:type="pct"/>
            <w:vAlign w:val="center"/>
          </w:tcPr>
          <w:p w14:paraId="388725DE">
            <w:pPr>
              <w:pStyle w:val="12"/>
              <w:jc w:val="center"/>
              <w:rPr>
                <w:rFonts w:ascii="宋体" w:hAnsi="宋体"/>
              </w:rPr>
            </w:pPr>
            <w:r>
              <w:rPr>
                <w:rFonts w:hint="eastAsia" w:ascii="宋体" w:hAnsi="宋体"/>
              </w:rPr>
              <w:t>6040</w:t>
            </w:r>
          </w:p>
        </w:tc>
        <w:tc>
          <w:tcPr>
            <w:tcW w:w="426" w:type="pct"/>
            <w:vAlign w:val="center"/>
          </w:tcPr>
          <w:p w14:paraId="5FD16B05">
            <w:pPr>
              <w:pStyle w:val="12"/>
              <w:jc w:val="center"/>
              <w:rPr>
                <w:rFonts w:ascii="宋体" w:hAnsi="宋体"/>
              </w:rPr>
            </w:pPr>
            <w:r>
              <w:rPr>
                <w:rFonts w:hint="eastAsia" w:ascii="宋体" w:hAnsi="宋体"/>
              </w:rPr>
              <w:t>5921</w:t>
            </w:r>
          </w:p>
        </w:tc>
        <w:tc>
          <w:tcPr>
            <w:tcW w:w="427" w:type="pct"/>
            <w:vAlign w:val="center"/>
          </w:tcPr>
          <w:p w14:paraId="5517FF17">
            <w:pPr>
              <w:pStyle w:val="12"/>
              <w:jc w:val="center"/>
              <w:rPr>
                <w:rFonts w:ascii="宋体" w:hAnsi="宋体"/>
              </w:rPr>
            </w:pPr>
            <w:r>
              <w:rPr>
                <w:rFonts w:hint="eastAsia" w:ascii="宋体" w:hAnsi="宋体"/>
              </w:rPr>
              <w:t>5978</w:t>
            </w:r>
          </w:p>
        </w:tc>
        <w:tc>
          <w:tcPr>
            <w:tcW w:w="427" w:type="pct"/>
            <w:vAlign w:val="center"/>
          </w:tcPr>
          <w:p w14:paraId="35E9D7C4">
            <w:pPr>
              <w:pStyle w:val="12"/>
              <w:jc w:val="center"/>
              <w:rPr>
                <w:rFonts w:ascii="宋体" w:hAnsi="宋体"/>
              </w:rPr>
            </w:pPr>
            <w:r>
              <w:rPr>
                <w:rFonts w:hint="eastAsia" w:ascii="宋体" w:hAnsi="宋体"/>
              </w:rPr>
              <w:t>6016</w:t>
            </w:r>
          </w:p>
        </w:tc>
        <w:tc>
          <w:tcPr>
            <w:tcW w:w="427" w:type="pct"/>
            <w:vAlign w:val="center"/>
          </w:tcPr>
          <w:p w14:paraId="0E941345">
            <w:pPr>
              <w:pStyle w:val="12"/>
              <w:jc w:val="center"/>
              <w:rPr>
                <w:rFonts w:ascii="宋体" w:hAnsi="宋体"/>
              </w:rPr>
            </w:pPr>
            <w:r>
              <w:rPr>
                <w:rFonts w:hint="eastAsia" w:ascii="宋体" w:hAnsi="宋体"/>
              </w:rPr>
              <w:t>6006</w:t>
            </w:r>
          </w:p>
        </w:tc>
        <w:tc>
          <w:tcPr>
            <w:tcW w:w="463" w:type="pct"/>
            <w:vAlign w:val="center"/>
          </w:tcPr>
          <w:p w14:paraId="522D7C50">
            <w:pPr>
              <w:pStyle w:val="12"/>
              <w:jc w:val="center"/>
              <w:rPr>
                <w:rFonts w:ascii="宋体" w:hAnsi="宋体"/>
              </w:rPr>
            </w:pPr>
            <w:r>
              <w:rPr>
                <w:rFonts w:hint="eastAsia" w:ascii="宋体" w:hAnsi="宋体"/>
              </w:rPr>
              <w:t>5900</w:t>
            </w:r>
          </w:p>
        </w:tc>
      </w:tr>
      <w:tr w14:paraId="6A58D20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continue"/>
            <w:vAlign w:val="center"/>
          </w:tcPr>
          <w:p w14:paraId="3915A828">
            <w:pPr>
              <w:pStyle w:val="12"/>
              <w:jc w:val="center"/>
              <w:rPr>
                <w:rFonts w:ascii="宋体" w:hAnsi="宋体"/>
              </w:rPr>
            </w:pPr>
          </w:p>
        </w:tc>
        <w:tc>
          <w:tcPr>
            <w:tcW w:w="1419" w:type="pct"/>
            <w:vAlign w:val="center"/>
          </w:tcPr>
          <w:p w14:paraId="679B6135">
            <w:pPr>
              <w:pStyle w:val="12"/>
              <w:jc w:val="center"/>
              <w:rPr>
                <w:rFonts w:ascii="宋体" w:hAnsi="宋体"/>
              </w:rPr>
            </w:pPr>
            <w:r>
              <w:rPr>
                <w:rFonts w:hint="eastAsia" w:ascii="宋体" w:hAnsi="宋体"/>
              </w:rPr>
              <w:t>1992年10月以后</w:t>
            </w:r>
          </w:p>
        </w:tc>
        <w:tc>
          <w:tcPr>
            <w:tcW w:w="425" w:type="pct"/>
            <w:vAlign w:val="center"/>
          </w:tcPr>
          <w:p w14:paraId="43BD956C">
            <w:pPr>
              <w:pStyle w:val="12"/>
              <w:jc w:val="center"/>
              <w:rPr>
                <w:rFonts w:ascii="宋体" w:hAnsi="宋体"/>
              </w:rPr>
            </w:pPr>
            <w:r>
              <w:rPr>
                <w:rFonts w:hint="eastAsia" w:ascii="宋体" w:hAnsi="宋体"/>
              </w:rPr>
              <w:t>3385</w:t>
            </w:r>
          </w:p>
        </w:tc>
        <w:tc>
          <w:tcPr>
            <w:tcW w:w="427" w:type="pct"/>
            <w:vAlign w:val="center"/>
          </w:tcPr>
          <w:p w14:paraId="4AD7D247">
            <w:pPr>
              <w:pStyle w:val="12"/>
              <w:jc w:val="center"/>
              <w:rPr>
                <w:rFonts w:ascii="宋体" w:hAnsi="宋体"/>
              </w:rPr>
            </w:pPr>
            <w:r>
              <w:rPr>
                <w:rFonts w:hint="eastAsia" w:ascii="宋体" w:hAnsi="宋体"/>
              </w:rPr>
              <w:t>4045</w:t>
            </w:r>
          </w:p>
        </w:tc>
        <w:tc>
          <w:tcPr>
            <w:tcW w:w="426" w:type="pct"/>
            <w:vAlign w:val="center"/>
          </w:tcPr>
          <w:p w14:paraId="49E39C1C">
            <w:pPr>
              <w:pStyle w:val="12"/>
              <w:jc w:val="center"/>
              <w:rPr>
                <w:rFonts w:ascii="宋体" w:hAnsi="宋体"/>
              </w:rPr>
            </w:pPr>
            <w:r>
              <w:rPr>
                <w:rFonts w:hint="eastAsia" w:ascii="宋体" w:hAnsi="宋体"/>
              </w:rPr>
              <w:t>4773</w:t>
            </w:r>
          </w:p>
        </w:tc>
        <w:tc>
          <w:tcPr>
            <w:tcW w:w="427" w:type="pct"/>
            <w:vAlign w:val="center"/>
          </w:tcPr>
          <w:p w14:paraId="7D81412C">
            <w:pPr>
              <w:pStyle w:val="12"/>
              <w:jc w:val="center"/>
              <w:rPr>
                <w:rFonts w:ascii="宋体" w:hAnsi="宋体"/>
              </w:rPr>
            </w:pPr>
            <w:r>
              <w:rPr>
                <w:rFonts w:hint="eastAsia" w:ascii="宋体" w:hAnsi="宋体"/>
              </w:rPr>
              <w:t>5143</w:t>
            </w:r>
          </w:p>
        </w:tc>
        <w:tc>
          <w:tcPr>
            <w:tcW w:w="427" w:type="pct"/>
            <w:vAlign w:val="center"/>
          </w:tcPr>
          <w:p w14:paraId="59EFA69B">
            <w:pPr>
              <w:pStyle w:val="12"/>
              <w:jc w:val="center"/>
              <w:rPr>
                <w:rFonts w:ascii="宋体" w:hAnsi="宋体"/>
              </w:rPr>
            </w:pPr>
            <w:r>
              <w:rPr>
                <w:rFonts w:hint="eastAsia" w:ascii="宋体" w:hAnsi="宋体"/>
              </w:rPr>
              <w:t>5610</w:t>
            </w:r>
          </w:p>
        </w:tc>
        <w:tc>
          <w:tcPr>
            <w:tcW w:w="427" w:type="pct"/>
            <w:vAlign w:val="center"/>
          </w:tcPr>
          <w:p w14:paraId="2D317EA3">
            <w:pPr>
              <w:pStyle w:val="12"/>
              <w:jc w:val="center"/>
              <w:rPr>
                <w:rFonts w:ascii="宋体" w:hAnsi="宋体"/>
              </w:rPr>
            </w:pPr>
            <w:r>
              <w:rPr>
                <w:rFonts w:hint="eastAsia" w:ascii="宋体" w:hAnsi="宋体"/>
              </w:rPr>
              <w:t>5981</w:t>
            </w:r>
          </w:p>
        </w:tc>
        <w:tc>
          <w:tcPr>
            <w:tcW w:w="463" w:type="pct"/>
            <w:vAlign w:val="center"/>
          </w:tcPr>
          <w:p w14:paraId="496BA7D7">
            <w:pPr>
              <w:pStyle w:val="12"/>
              <w:jc w:val="center"/>
              <w:rPr>
                <w:rFonts w:ascii="宋体" w:hAnsi="宋体"/>
              </w:rPr>
            </w:pPr>
            <w:r>
              <w:rPr>
                <w:rFonts w:hint="eastAsia" w:ascii="宋体" w:hAnsi="宋体"/>
              </w:rPr>
              <w:t>6563</w:t>
            </w:r>
          </w:p>
        </w:tc>
      </w:tr>
    </w:tbl>
    <w:p w14:paraId="15DF4A45">
      <w:pPr>
        <w:pStyle w:val="5"/>
        <w:rPr>
          <w:rFonts w:ascii="宋体" w:hAnsi="宋体"/>
        </w:rPr>
      </w:pPr>
      <w:r>
        <w:rPr>
          <w:rFonts w:hint="eastAsia" w:ascii="宋体" w:hAnsi="宋体"/>
        </w:rPr>
        <w:t>二、党的基层组织建设</w:t>
      </w:r>
    </w:p>
    <w:p w14:paraId="57E2310F">
      <w:pPr>
        <w:ind w:firstLine="420"/>
        <w:rPr>
          <w:rFonts w:ascii="宋体" w:hAnsi="宋体"/>
          <w:szCs w:val="21"/>
        </w:rPr>
      </w:pPr>
      <w:r>
        <w:rPr>
          <w:rFonts w:hint="eastAsia" w:ascii="宋体" w:hAnsi="宋体"/>
          <w:szCs w:val="21"/>
        </w:rPr>
        <w:t>新中国成立后，党的基层组织建设围绕党在各个历史时期的中心工作开展。</w:t>
      </w:r>
      <w:r>
        <w:rPr>
          <w:rFonts w:ascii="宋体" w:hAnsi="宋体"/>
          <w:szCs w:val="21"/>
        </w:rPr>
        <w:t>1978</w:t>
      </w:r>
      <w:r>
        <w:rPr>
          <w:rFonts w:hint="eastAsia" w:ascii="宋体" w:hAnsi="宋体"/>
          <w:szCs w:val="21"/>
        </w:rPr>
        <w:t>年中共十一届三中全会后党的基层组织建设始终围绕以经济建设为中心，深入进行改革开放，健全社会主义民主及加强社会主义法制各项工作来进行。</w:t>
      </w:r>
    </w:p>
    <w:p w14:paraId="42419E1A">
      <w:pPr>
        <w:ind w:firstLine="422"/>
        <w:rPr>
          <w:rFonts w:ascii="宋体" w:hAnsi="宋体"/>
          <w:b/>
          <w:szCs w:val="21"/>
        </w:rPr>
      </w:pPr>
      <w:r>
        <w:rPr>
          <w:rFonts w:hint="eastAsia" w:ascii="宋体" w:hAnsi="宋体"/>
          <w:b/>
          <w:szCs w:val="21"/>
        </w:rPr>
        <w:t>（一）加强以村级党支部为重点的基层组织建设</w:t>
      </w:r>
    </w:p>
    <w:p w14:paraId="10CDC901">
      <w:pPr>
        <w:ind w:firstLine="422"/>
        <w:rPr>
          <w:rFonts w:ascii="宋体" w:hAnsi="宋体"/>
          <w:szCs w:val="21"/>
        </w:rPr>
      </w:pPr>
      <w:r>
        <w:rPr>
          <w:rFonts w:hint="eastAsia" w:ascii="宋体" w:hAnsi="宋体"/>
          <w:b/>
          <w:szCs w:val="21"/>
        </w:rPr>
        <w:t>进行组织整顿。</w:t>
      </w:r>
      <w:r>
        <w:rPr>
          <w:rFonts w:ascii="宋体" w:hAnsi="宋体"/>
          <w:szCs w:val="21"/>
        </w:rPr>
        <w:t>1993年至1997年，对45个后进党支部逐个进行整顿，调整了56名党支部书记、130名支部委员，促进了村级党组织建设，增强了党支部的战斗力</w:t>
      </w:r>
      <w:r>
        <w:rPr>
          <w:rFonts w:hint="eastAsia" w:ascii="宋体" w:hAnsi="宋体"/>
          <w:szCs w:val="21"/>
        </w:rPr>
        <w:t>和凝聚力。全市（县）村创办集体企业</w:t>
      </w:r>
      <w:r>
        <w:rPr>
          <w:rFonts w:ascii="宋体" w:hAnsi="宋体"/>
          <w:szCs w:val="21"/>
        </w:rPr>
        <w:t>638个。1997年集体经济收入达万元的村由1992年的98个增加到221个。</w:t>
      </w:r>
    </w:p>
    <w:p w14:paraId="400FAA2A">
      <w:pPr>
        <w:ind w:firstLine="422"/>
        <w:rPr>
          <w:rFonts w:ascii="宋体" w:hAnsi="宋体"/>
          <w:szCs w:val="21"/>
        </w:rPr>
      </w:pPr>
      <w:r>
        <w:rPr>
          <w:rFonts w:hint="eastAsia" w:ascii="宋体" w:hAnsi="宋体"/>
          <w:b/>
          <w:szCs w:val="21"/>
        </w:rPr>
        <w:t>建设“五个好”基层党组织。</w:t>
      </w:r>
      <w:r>
        <w:rPr>
          <w:rFonts w:hint="eastAsia" w:ascii="宋体" w:hAnsi="宋体"/>
          <w:szCs w:val="21"/>
        </w:rPr>
        <w:t>根据中共中央和广东省委关于把农村基层党组织建设成“五个好”（建设一个好领导班子，培养锻炼一支好队伍，选准一条发展经济的好路子，创造一个好的社会环境，健全一套好的管理制度）要求，市（县）委建立了市（县）五套班子成员定点联系制度，每位班子成员联系</w:t>
      </w:r>
      <w:r>
        <w:rPr>
          <w:rFonts w:ascii="宋体" w:hAnsi="宋体"/>
          <w:szCs w:val="21"/>
        </w:rPr>
        <w:t>2个村，定期下去检</w:t>
      </w:r>
      <w:r>
        <w:rPr>
          <w:rFonts w:hint="eastAsia" w:ascii="宋体" w:hAnsi="宋体"/>
          <w:szCs w:val="21"/>
        </w:rPr>
        <w:t>查指导工作。建立健全了市（县）直机关挂钩联系村制度，</w:t>
      </w:r>
      <w:r>
        <w:rPr>
          <w:rFonts w:ascii="宋体" w:hAnsi="宋体"/>
          <w:szCs w:val="21"/>
        </w:rPr>
        <w:t>1994年至1997年安排了81个科局单位定点联系81个村，并先后抽调了1100多名机关干部下乡帮助各村实</w:t>
      </w:r>
      <w:r>
        <w:rPr>
          <w:rFonts w:hint="eastAsia" w:ascii="宋体" w:hAnsi="宋体"/>
          <w:szCs w:val="21"/>
        </w:rPr>
        <w:t>现“五个好”目标，一定三年，不达到目标不脱钩。经</w:t>
      </w:r>
      <w:r>
        <w:rPr>
          <w:rFonts w:ascii="宋体" w:hAnsi="宋体"/>
          <w:szCs w:val="21"/>
        </w:rPr>
        <w:t>1997年验收，全市（县）221个村全面达到</w:t>
      </w:r>
      <w:r>
        <w:rPr>
          <w:rFonts w:hint="eastAsia" w:ascii="宋体" w:hAnsi="宋体"/>
          <w:szCs w:val="21"/>
        </w:rPr>
        <w:t>“</w:t>
      </w:r>
      <w:r>
        <w:rPr>
          <w:rFonts w:ascii="宋体" w:hAnsi="宋体"/>
          <w:szCs w:val="21"/>
        </w:rPr>
        <w:t>五个好</w:t>
      </w:r>
      <w:r>
        <w:rPr>
          <w:rFonts w:hint="eastAsia" w:ascii="宋体" w:hAnsi="宋体"/>
          <w:szCs w:val="21"/>
        </w:rPr>
        <w:t>”</w:t>
      </w:r>
      <w:r>
        <w:rPr>
          <w:rFonts w:ascii="宋体" w:hAnsi="宋体"/>
          <w:szCs w:val="21"/>
        </w:rPr>
        <w:t>目标。</w:t>
      </w:r>
    </w:p>
    <w:p w14:paraId="03AB0687">
      <w:pPr>
        <w:ind w:firstLine="422"/>
        <w:rPr>
          <w:rFonts w:ascii="宋体" w:hAnsi="宋体"/>
          <w:szCs w:val="21"/>
        </w:rPr>
      </w:pPr>
      <w:r>
        <w:rPr>
          <w:rFonts w:hint="eastAsia" w:ascii="宋体" w:hAnsi="宋体"/>
          <w:b/>
          <w:szCs w:val="21"/>
        </w:rPr>
        <w:t>开展民主评议镇、村干部。</w:t>
      </w:r>
      <w:r>
        <w:rPr>
          <w:rFonts w:ascii="宋体" w:hAnsi="宋体"/>
          <w:szCs w:val="21"/>
        </w:rPr>
        <w:t>2000年，根据省委关于抓好干部队伍素质建设指示</w:t>
      </w:r>
      <w:r>
        <w:rPr>
          <w:rFonts w:hint="eastAsia" w:ascii="宋体" w:hAnsi="宋体"/>
          <w:szCs w:val="21"/>
        </w:rPr>
        <w:t>精神，在全市各镇开展民主评议镇村干部活动。有效地增强了镇村干部的为民服务意识、自律意识、奉献意识、自治意识。并通过调整、换届选举方式选好配强镇、村两级领导班子。</w:t>
      </w:r>
    </w:p>
    <w:p w14:paraId="588E5E6B">
      <w:pPr>
        <w:ind w:firstLine="422"/>
        <w:rPr>
          <w:rFonts w:ascii="宋体" w:hAnsi="宋体"/>
          <w:b/>
          <w:szCs w:val="21"/>
        </w:rPr>
      </w:pPr>
      <w:r>
        <w:rPr>
          <w:rFonts w:hint="eastAsia" w:ascii="宋体" w:hAnsi="宋体"/>
          <w:b/>
          <w:szCs w:val="21"/>
        </w:rPr>
        <w:t>（二）全面推进机关企事业单位的党建工作</w:t>
      </w:r>
    </w:p>
    <w:p w14:paraId="7B18F1D1">
      <w:pPr>
        <w:ind w:firstLine="420"/>
        <w:rPr>
          <w:rFonts w:ascii="宋体" w:hAnsi="宋体"/>
          <w:szCs w:val="21"/>
        </w:rPr>
      </w:pPr>
      <w:r>
        <w:rPr>
          <w:rFonts w:ascii="宋体" w:hAnsi="宋体"/>
          <w:szCs w:val="21"/>
        </w:rPr>
        <w:t>1998年，根据上级党委指示精神，结合本市实际，在全市机关单位的党组织中</w:t>
      </w:r>
      <w:r>
        <w:rPr>
          <w:rFonts w:hint="eastAsia" w:ascii="宋体" w:hAnsi="宋体"/>
          <w:szCs w:val="21"/>
        </w:rPr>
        <w:t>开展争创学习好、服务好、管理好、廉政好的“四个好”活动。在市直企业单位的党组织中开展争创有一个好的领导班子、有一支好的党员队伍、有一个好的工作机制、有一套好的工作制度的“四个有”活动。</w:t>
      </w:r>
    </w:p>
    <w:p w14:paraId="6D376605">
      <w:pPr>
        <w:ind w:firstLine="422"/>
        <w:rPr>
          <w:rFonts w:ascii="宋体" w:hAnsi="宋体"/>
          <w:b/>
          <w:szCs w:val="21"/>
        </w:rPr>
      </w:pPr>
      <w:r>
        <w:rPr>
          <w:rFonts w:hint="eastAsia" w:ascii="宋体" w:hAnsi="宋体"/>
          <w:b/>
          <w:szCs w:val="21"/>
        </w:rPr>
        <w:t>（三）加强对党员的教育和管理</w:t>
      </w:r>
    </w:p>
    <w:p w14:paraId="0BA95273">
      <w:pPr>
        <w:ind w:firstLine="420"/>
        <w:rPr>
          <w:rFonts w:ascii="宋体" w:hAnsi="宋体"/>
          <w:szCs w:val="21"/>
        </w:rPr>
      </w:pPr>
      <w:r>
        <w:rPr>
          <w:rFonts w:hint="eastAsia" w:ascii="宋体" w:hAnsi="宋体"/>
          <w:szCs w:val="21"/>
        </w:rPr>
        <w:t>各级党组织坚持“三会一课”制度。以党校为阵地，分期分批培训党员干部。</w:t>
      </w:r>
      <w:r>
        <w:rPr>
          <w:rFonts w:ascii="宋体" w:hAnsi="宋体"/>
          <w:szCs w:val="21"/>
        </w:rPr>
        <w:t>1998年，各级党组织开展党课教育共456场，参加学习的党员达15437人。抓好党员</w:t>
      </w:r>
      <w:r>
        <w:rPr>
          <w:rFonts w:hint="eastAsia" w:ascii="宋体" w:hAnsi="宋体"/>
          <w:szCs w:val="21"/>
        </w:rPr>
        <w:t>电化教育，</w:t>
      </w:r>
      <w:r>
        <w:rPr>
          <w:rFonts w:ascii="宋体" w:hAnsi="宋体"/>
          <w:szCs w:val="21"/>
        </w:rPr>
        <w:t>2001年以来，为全市221个村党支部和20个社区党支部配置了</w:t>
      </w:r>
      <w:r>
        <w:rPr>
          <w:rFonts w:hint="eastAsia" w:ascii="宋体" w:hAnsi="宋体"/>
          <w:szCs w:val="21"/>
        </w:rPr>
        <w:t>V</w:t>
      </w:r>
      <w:r>
        <w:rPr>
          <w:rFonts w:ascii="宋体" w:hAnsi="宋体"/>
          <w:szCs w:val="21"/>
        </w:rPr>
        <w:t>CD机和</w:t>
      </w:r>
      <w:r>
        <w:rPr>
          <w:rFonts w:hint="eastAsia" w:ascii="宋体" w:hAnsi="宋体"/>
          <w:szCs w:val="21"/>
        </w:rPr>
        <w:t>彩色电视机，并与南雄电视台联合开办了每周一期的《共产党人》党建专栏节目，策划摄制《跑道上的追求》党员教育电视片。</w:t>
      </w:r>
    </w:p>
    <w:p w14:paraId="2154E1A6">
      <w:pPr>
        <w:ind w:firstLine="420"/>
        <w:rPr>
          <w:rFonts w:ascii="宋体" w:hAnsi="宋体"/>
          <w:szCs w:val="21"/>
        </w:rPr>
      </w:pPr>
      <w:r>
        <w:rPr>
          <w:rFonts w:hint="eastAsia" w:ascii="宋体" w:hAnsi="宋体"/>
          <w:szCs w:val="21"/>
        </w:rPr>
        <w:t>加强流动党员的管理。对外出半年以上的党员发放流动党员证。1</w:t>
      </w:r>
      <w:r>
        <w:rPr>
          <w:rFonts w:ascii="宋体" w:hAnsi="宋体"/>
          <w:szCs w:val="21"/>
        </w:rPr>
        <w:t>993年至1998</w:t>
      </w:r>
      <w:r>
        <w:rPr>
          <w:rFonts w:hint="eastAsia" w:ascii="宋体" w:hAnsi="宋体"/>
          <w:szCs w:val="21"/>
        </w:rPr>
        <w:t>年发放流动党员证</w:t>
      </w:r>
      <w:r>
        <w:rPr>
          <w:rFonts w:ascii="宋体" w:hAnsi="宋体"/>
          <w:szCs w:val="21"/>
        </w:rPr>
        <w:t>992份。并建立外出党员登记卡制度、定期汇报制度，鼓励和引导</w:t>
      </w:r>
      <w:r>
        <w:rPr>
          <w:rFonts w:hint="eastAsia" w:ascii="宋体" w:hAnsi="宋体"/>
          <w:szCs w:val="21"/>
        </w:rPr>
        <w:t>外出党员引进资金、技术信息，帮助家乡建设。</w:t>
      </w:r>
    </w:p>
    <w:p w14:paraId="10983B42">
      <w:pPr>
        <w:ind w:firstLine="420"/>
        <w:rPr>
          <w:rFonts w:ascii="宋体" w:hAnsi="宋体"/>
          <w:szCs w:val="21"/>
        </w:rPr>
      </w:pPr>
      <w:r>
        <w:rPr>
          <w:rFonts w:hint="eastAsia" w:ascii="宋体" w:hAnsi="宋体"/>
          <w:szCs w:val="21"/>
        </w:rPr>
        <w:t>关心慰问党员。每年组织部门都上门慰问离休老党员和特困党员，发放困难党员补助金。</w:t>
      </w:r>
    </w:p>
    <w:p w14:paraId="6BF0B49E">
      <w:pPr>
        <w:pStyle w:val="4"/>
        <w:rPr>
          <w:rFonts w:ascii="宋体" w:hAnsi="宋体"/>
        </w:rPr>
      </w:pPr>
      <w:r>
        <w:rPr>
          <w:rFonts w:hint="eastAsia" w:ascii="宋体" w:hAnsi="宋体"/>
        </w:rPr>
        <w:t>第四节  党的纪律检查工作</w:t>
      </w:r>
    </w:p>
    <w:p w14:paraId="734C0ED9">
      <w:pPr>
        <w:ind w:firstLine="420"/>
        <w:rPr>
          <w:rFonts w:ascii="宋体" w:hAnsi="宋体"/>
          <w:szCs w:val="21"/>
        </w:rPr>
      </w:pPr>
      <w:r>
        <w:rPr>
          <w:rFonts w:ascii="宋体" w:hAnsi="宋体"/>
          <w:szCs w:val="21"/>
        </w:rPr>
        <w:t>1953年4月，中共南雄县委纪律检查委员会成立。1956年2月，改为中共南雄</w:t>
      </w:r>
      <w:r>
        <w:rPr>
          <w:rFonts w:hint="eastAsia" w:ascii="宋体" w:hAnsi="宋体"/>
          <w:szCs w:val="21"/>
        </w:rPr>
        <w:t>县监察委员会。</w:t>
      </w:r>
      <w:r>
        <w:rPr>
          <w:rFonts w:ascii="宋体" w:hAnsi="宋体"/>
          <w:szCs w:val="21"/>
        </w:rPr>
        <w:t>1959年2月，改为中共南雄县委监察委员会。“文化大革命”中被冲</w:t>
      </w:r>
      <w:r>
        <w:rPr>
          <w:rFonts w:hint="eastAsia" w:ascii="宋体" w:hAnsi="宋体"/>
          <w:szCs w:val="21"/>
        </w:rPr>
        <w:t>击消失。</w:t>
      </w:r>
      <w:r>
        <w:rPr>
          <w:rFonts w:ascii="宋体" w:hAnsi="宋体"/>
          <w:szCs w:val="21"/>
        </w:rPr>
        <w:t>1977年7月，复设中共南雄县委纪律检查委员会。1983年9月，改名为中</w:t>
      </w:r>
      <w:r>
        <w:rPr>
          <w:rFonts w:hint="eastAsia" w:ascii="宋体" w:hAnsi="宋体"/>
          <w:szCs w:val="21"/>
        </w:rPr>
        <w:t>共南雄县纪律检查委员会。</w:t>
      </w:r>
      <w:r>
        <w:rPr>
          <w:rFonts w:ascii="宋体" w:hAnsi="宋体"/>
          <w:szCs w:val="21"/>
        </w:rPr>
        <w:t>1994年8月，县纪律检查委员会与监察局合署办公，实</w:t>
      </w:r>
      <w:r>
        <w:rPr>
          <w:rFonts w:hint="eastAsia" w:ascii="宋体" w:hAnsi="宋体"/>
          <w:szCs w:val="21"/>
        </w:rPr>
        <w:t>行一套工作机构，两个机关名称体制，履行党的纪律检查和行政监察两种职能。各基层党委设立纪律检查委员会，配备专职纪检监察干部。</w:t>
      </w:r>
    </w:p>
    <w:p w14:paraId="41B45398">
      <w:pPr>
        <w:pStyle w:val="5"/>
        <w:rPr>
          <w:rFonts w:ascii="宋体" w:hAnsi="宋体"/>
        </w:rPr>
      </w:pPr>
      <w:r>
        <w:rPr>
          <w:rFonts w:hint="eastAsia" w:ascii="宋体" w:hAnsi="宋体"/>
        </w:rPr>
        <w:t>一、纪律检查</w:t>
      </w:r>
    </w:p>
    <w:p w14:paraId="5C5C4A5A">
      <w:pPr>
        <w:ind w:firstLine="420"/>
        <w:rPr>
          <w:rFonts w:ascii="宋体" w:hAnsi="宋体"/>
          <w:szCs w:val="21"/>
        </w:rPr>
      </w:pPr>
      <w:r>
        <w:rPr>
          <w:rFonts w:ascii="宋体" w:hAnsi="宋体"/>
          <w:szCs w:val="21"/>
        </w:rPr>
        <w:t>1952年至1976年，在土地改革、</w:t>
      </w:r>
      <w:r>
        <w:rPr>
          <w:rFonts w:hint="eastAsia" w:ascii="宋体" w:hAnsi="宋体"/>
          <w:szCs w:val="21"/>
        </w:rPr>
        <w:t>“</w:t>
      </w:r>
      <w:r>
        <w:rPr>
          <w:rFonts w:ascii="宋体" w:hAnsi="宋体"/>
          <w:szCs w:val="21"/>
        </w:rPr>
        <w:t>三反</w:t>
      </w:r>
      <w:r>
        <w:rPr>
          <w:rFonts w:hint="eastAsia" w:ascii="宋体" w:hAnsi="宋体"/>
          <w:szCs w:val="21"/>
        </w:rPr>
        <w:t>”</w:t>
      </w:r>
      <w:r>
        <w:rPr>
          <w:rFonts w:ascii="宋体" w:hAnsi="宋体"/>
          <w:szCs w:val="21"/>
        </w:rPr>
        <w:t>、</w:t>
      </w:r>
      <w:r>
        <w:rPr>
          <w:rFonts w:hint="eastAsia" w:ascii="宋体" w:hAnsi="宋体"/>
          <w:szCs w:val="21"/>
        </w:rPr>
        <w:t>“</w:t>
      </w:r>
      <w:r>
        <w:rPr>
          <w:rFonts w:ascii="宋体" w:hAnsi="宋体"/>
          <w:szCs w:val="21"/>
        </w:rPr>
        <w:t>五反</w:t>
      </w:r>
      <w:r>
        <w:rPr>
          <w:rFonts w:hint="eastAsia" w:ascii="宋体" w:hAnsi="宋体"/>
          <w:szCs w:val="21"/>
        </w:rPr>
        <w:t>”</w:t>
      </w:r>
      <w:r>
        <w:rPr>
          <w:rFonts w:ascii="宋体" w:hAnsi="宋体"/>
          <w:szCs w:val="21"/>
        </w:rPr>
        <w:t>、审干肃反、</w:t>
      </w:r>
      <w:r>
        <w:rPr>
          <w:rFonts w:hint="eastAsia" w:ascii="宋体" w:hAnsi="宋体"/>
          <w:szCs w:val="21"/>
        </w:rPr>
        <w:t>“</w:t>
      </w:r>
      <w:r>
        <w:rPr>
          <w:rFonts w:ascii="宋体" w:hAnsi="宋体"/>
          <w:szCs w:val="21"/>
        </w:rPr>
        <w:t>反地方主义</w:t>
      </w:r>
      <w:r>
        <w:rPr>
          <w:rFonts w:hint="eastAsia" w:ascii="宋体" w:hAnsi="宋体"/>
          <w:szCs w:val="21"/>
        </w:rPr>
        <w:t>”、反右派、“大跃进”、“反右倾”、农村社会主义教育和“文化大革命”运动中，县纪检、监察部门查处违反纪律党员共</w:t>
      </w:r>
      <w:r>
        <w:rPr>
          <w:rFonts w:ascii="宋体" w:hAnsi="宋体"/>
          <w:szCs w:val="21"/>
        </w:rPr>
        <w:t>1637人，其中撤销职务16人，开除出党682人。</w:t>
      </w:r>
    </w:p>
    <w:p w14:paraId="4520234C">
      <w:pPr>
        <w:ind w:firstLine="420"/>
        <w:rPr>
          <w:rFonts w:ascii="宋体" w:hAnsi="宋体"/>
          <w:szCs w:val="21"/>
        </w:rPr>
      </w:pPr>
      <w:r>
        <w:rPr>
          <w:rFonts w:ascii="宋体" w:hAnsi="宋体"/>
          <w:szCs w:val="21"/>
        </w:rPr>
        <w:t>1979年至1986年，在打击经济领域严重犯罪活动以及查处计划生育工作中违纪</w:t>
      </w:r>
      <w:r>
        <w:rPr>
          <w:rFonts w:hint="eastAsia" w:ascii="宋体" w:hAnsi="宋体"/>
          <w:szCs w:val="21"/>
        </w:rPr>
        <w:t>行为，共处分党员</w:t>
      </w:r>
      <w:r>
        <w:rPr>
          <w:rFonts w:ascii="宋体" w:hAnsi="宋体"/>
          <w:szCs w:val="21"/>
        </w:rPr>
        <w:t>348人，其中开除党籍118人。</w:t>
      </w:r>
    </w:p>
    <w:p w14:paraId="5FF72776">
      <w:pPr>
        <w:ind w:firstLine="420"/>
        <w:rPr>
          <w:rFonts w:ascii="宋体" w:hAnsi="宋体"/>
          <w:szCs w:val="21"/>
        </w:rPr>
      </w:pPr>
      <w:r>
        <w:rPr>
          <w:rFonts w:ascii="宋体" w:hAnsi="宋体"/>
          <w:szCs w:val="21"/>
        </w:rPr>
        <w:t>1988年至2000年，在改革开放，发展市场经济和经济体制改革中，查处违反党</w:t>
      </w:r>
      <w:r>
        <w:rPr>
          <w:rFonts w:hint="eastAsia" w:ascii="宋体" w:hAnsi="宋体"/>
          <w:szCs w:val="21"/>
        </w:rPr>
        <w:t>纪、政纪党员、干部共</w:t>
      </w:r>
      <w:r>
        <w:rPr>
          <w:rFonts w:ascii="宋体" w:hAnsi="宋体"/>
          <w:szCs w:val="21"/>
        </w:rPr>
        <w:t>602人，其中警告35人，严重警告47人，撤销党内职务6</w:t>
      </w:r>
      <w:r>
        <w:rPr>
          <w:rFonts w:hint="eastAsia" w:ascii="宋体" w:hAnsi="宋体"/>
          <w:szCs w:val="21"/>
        </w:rPr>
        <w:t>人，留党察看</w:t>
      </w:r>
      <w:r>
        <w:rPr>
          <w:rFonts w:ascii="宋体" w:hAnsi="宋体"/>
          <w:szCs w:val="21"/>
        </w:rPr>
        <w:t>40人，开除党籍390人；行政警告13人，记过14人，记大过26人，</w:t>
      </w:r>
      <w:r>
        <w:rPr>
          <w:rFonts w:hint="eastAsia" w:ascii="宋体" w:hAnsi="宋体"/>
          <w:szCs w:val="21"/>
        </w:rPr>
        <w:t>降级</w:t>
      </w:r>
      <w:r>
        <w:rPr>
          <w:rFonts w:ascii="宋体" w:hAnsi="宋体"/>
          <w:szCs w:val="21"/>
        </w:rPr>
        <w:t>11人，降职2人，撤销行政职务18人，开除留用24人，开除公职30人</w:t>
      </w:r>
      <w:r>
        <w:rPr>
          <w:rFonts w:hint="eastAsia" w:ascii="宋体" w:hAnsi="宋体"/>
          <w:szCs w:val="21"/>
        </w:rPr>
        <w:t>。</w:t>
      </w:r>
    </w:p>
    <w:p w14:paraId="3B549DDB">
      <w:pPr>
        <w:pStyle w:val="5"/>
        <w:rPr>
          <w:rFonts w:ascii="宋体" w:hAnsi="宋体"/>
        </w:rPr>
      </w:pPr>
      <w:r>
        <w:rPr>
          <w:rFonts w:hint="eastAsia" w:ascii="宋体" w:hAnsi="宋体"/>
        </w:rPr>
        <w:t>二、纠正错案</w:t>
      </w:r>
    </w:p>
    <w:p w14:paraId="071DE425">
      <w:pPr>
        <w:ind w:firstLine="422"/>
        <w:rPr>
          <w:rFonts w:ascii="宋体" w:hAnsi="宋体"/>
          <w:b/>
          <w:szCs w:val="21"/>
        </w:rPr>
      </w:pPr>
      <w:r>
        <w:rPr>
          <w:rFonts w:hint="eastAsia" w:ascii="宋体" w:hAnsi="宋体"/>
          <w:b/>
          <w:szCs w:val="21"/>
        </w:rPr>
        <w:t>（一）清理复议</w:t>
      </w:r>
    </w:p>
    <w:p w14:paraId="696AED05">
      <w:pPr>
        <w:ind w:firstLine="420"/>
        <w:rPr>
          <w:rFonts w:ascii="宋体" w:hAnsi="宋体"/>
          <w:szCs w:val="21"/>
        </w:rPr>
      </w:pPr>
      <w:r>
        <w:rPr>
          <w:rFonts w:ascii="宋体" w:hAnsi="宋体"/>
          <w:szCs w:val="21"/>
        </w:rPr>
        <w:t>1956年至1957年，中共南雄县监察委员会，对1952年至1956年在土改、</w:t>
      </w:r>
      <w:r>
        <w:rPr>
          <w:rFonts w:hint="eastAsia" w:ascii="宋体" w:hAnsi="宋体"/>
          <w:szCs w:val="21"/>
        </w:rPr>
        <w:t>“三反”、“五反”以及审干肃反中处分的党员和干部进行了清理复议，改变处分</w:t>
      </w:r>
      <w:r>
        <w:rPr>
          <w:rFonts w:ascii="宋体" w:hAnsi="宋体"/>
          <w:szCs w:val="21"/>
        </w:rPr>
        <w:t>7人，</w:t>
      </w:r>
      <w:r>
        <w:rPr>
          <w:rFonts w:hint="eastAsia" w:ascii="宋体" w:hAnsi="宋体"/>
          <w:szCs w:val="21"/>
        </w:rPr>
        <w:t>维持原处分</w:t>
      </w:r>
      <w:r>
        <w:rPr>
          <w:rFonts w:ascii="宋体" w:hAnsi="宋体"/>
          <w:szCs w:val="21"/>
        </w:rPr>
        <w:t>9人，不属清理复议4人。</w:t>
      </w:r>
    </w:p>
    <w:p w14:paraId="2BF02A5F">
      <w:pPr>
        <w:ind w:firstLine="422"/>
        <w:rPr>
          <w:rFonts w:ascii="宋体" w:hAnsi="宋体"/>
          <w:b/>
          <w:szCs w:val="21"/>
        </w:rPr>
      </w:pPr>
      <w:r>
        <w:rPr>
          <w:rFonts w:hint="eastAsia" w:ascii="宋体" w:hAnsi="宋体"/>
          <w:b/>
          <w:szCs w:val="21"/>
        </w:rPr>
        <w:t>（二）复查甄别</w:t>
      </w:r>
    </w:p>
    <w:p w14:paraId="3CA6A547">
      <w:pPr>
        <w:ind w:firstLine="420"/>
        <w:rPr>
          <w:rFonts w:ascii="宋体" w:hAnsi="宋体"/>
          <w:szCs w:val="21"/>
        </w:rPr>
      </w:pPr>
      <w:r>
        <w:rPr>
          <w:rFonts w:ascii="宋体" w:hAnsi="宋体"/>
          <w:szCs w:val="21"/>
        </w:rPr>
        <w:t>1961年8月，中共南雄县委复查甄别案件办公室成立，对1958年至1961年在党</w:t>
      </w:r>
      <w:r>
        <w:rPr>
          <w:rFonts w:hint="eastAsia" w:ascii="宋体" w:hAnsi="宋体"/>
          <w:szCs w:val="21"/>
        </w:rPr>
        <w:t>的整风运动、“大跃进”、“反右倾”等运动中处分党员干部案件进行复查甄别，平反</w:t>
      </w:r>
      <w:r>
        <w:rPr>
          <w:rFonts w:ascii="宋体" w:hAnsi="宋体"/>
          <w:szCs w:val="21"/>
        </w:rPr>
        <w:t>501人，减轻处分52人，维持原处分1552人</w:t>
      </w:r>
      <w:r>
        <w:rPr>
          <w:rFonts w:hint="eastAsia" w:ascii="宋体" w:hAnsi="宋体"/>
          <w:szCs w:val="21"/>
        </w:rPr>
        <w:t>。</w:t>
      </w:r>
    </w:p>
    <w:p w14:paraId="00F53AD7">
      <w:pPr>
        <w:ind w:firstLine="422"/>
        <w:rPr>
          <w:rFonts w:ascii="宋体" w:hAnsi="宋体"/>
          <w:b/>
          <w:szCs w:val="21"/>
        </w:rPr>
      </w:pPr>
      <w:r>
        <w:rPr>
          <w:rFonts w:hint="eastAsia" w:ascii="宋体" w:hAnsi="宋体"/>
          <w:b/>
          <w:szCs w:val="21"/>
        </w:rPr>
        <w:t>（三）平反昭雪</w:t>
      </w:r>
    </w:p>
    <w:p w14:paraId="1871634C">
      <w:pPr>
        <w:ind w:firstLine="420"/>
        <w:rPr>
          <w:rFonts w:ascii="宋体" w:hAnsi="宋体"/>
          <w:szCs w:val="21"/>
        </w:rPr>
      </w:pPr>
      <w:r>
        <w:rPr>
          <w:rFonts w:ascii="宋体" w:hAnsi="宋体"/>
          <w:szCs w:val="21"/>
        </w:rPr>
        <w:t>1974年1月，中共南雄县委六十五号办公室成立，调查处理</w:t>
      </w:r>
      <w:r>
        <w:rPr>
          <w:rFonts w:hint="eastAsia" w:ascii="宋体" w:hAnsi="宋体"/>
          <w:szCs w:val="21"/>
        </w:rPr>
        <w:t>“</w:t>
      </w:r>
      <w:r>
        <w:rPr>
          <w:rFonts w:ascii="宋体" w:hAnsi="宋体"/>
          <w:szCs w:val="21"/>
        </w:rPr>
        <w:t>文化大革命</w:t>
      </w:r>
      <w:r>
        <w:rPr>
          <w:rFonts w:hint="eastAsia" w:ascii="宋体" w:hAnsi="宋体"/>
          <w:szCs w:val="21"/>
        </w:rPr>
        <w:t>”</w:t>
      </w:r>
      <w:r>
        <w:rPr>
          <w:rFonts w:ascii="宋体" w:hAnsi="宋体"/>
          <w:szCs w:val="21"/>
        </w:rPr>
        <w:t>期</w:t>
      </w:r>
      <w:r>
        <w:rPr>
          <w:rFonts w:hint="eastAsia" w:ascii="宋体" w:hAnsi="宋体"/>
          <w:szCs w:val="21"/>
        </w:rPr>
        <w:t>间非正常死亡案件。经过</w:t>
      </w:r>
      <w:r>
        <w:rPr>
          <w:rFonts w:ascii="宋体" w:hAnsi="宋体"/>
          <w:szCs w:val="21"/>
        </w:rPr>
        <w:t>5年逐案调查，对被迫害至死的人均予以平反昭雪，对死者</w:t>
      </w:r>
      <w:r>
        <w:rPr>
          <w:rFonts w:hint="eastAsia" w:ascii="宋体" w:hAnsi="宋体"/>
          <w:szCs w:val="21"/>
        </w:rPr>
        <w:t>家属给予抚恤、救济，依法惩治杀人凶手</w:t>
      </w:r>
      <w:r>
        <w:rPr>
          <w:rFonts w:ascii="宋体" w:hAnsi="宋体"/>
          <w:szCs w:val="21"/>
        </w:rPr>
        <w:t>25名。</w:t>
      </w:r>
    </w:p>
    <w:p w14:paraId="584BCA45">
      <w:pPr>
        <w:ind w:firstLine="420"/>
        <w:rPr>
          <w:rFonts w:ascii="宋体" w:hAnsi="宋体"/>
          <w:szCs w:val="21"/>
        </w:rPr>
      </w:pPr>
      <w:r>
        <w:rPr>
          <w:rFonts w:ascii="宋体" w:hAnsi="宋体"/>
          <w:szCs w:val="21"/>
        </w:rPr>
        <w:t>1978年4月，中共南雄县委落实政策办公室成立，负责处理</w:t>
      </w:r>
      <w:r>
        <w:rPr>
          <w:rFonts w:hint="eastAsia" w:ascii="宋体" w:hAnsi="宋体"/>
          <w:szCs w:val="21"/>
        </w:rPr>
        <w:t>“</w:t>
      </w:r>
      <w:r>
        <w:rPr>
          <w:rFonts w:ascii="宋体" w:hAnsi="宋体"/>
          <w:szCs w:val="21"/>
        </w:rPr>
        <w:t>文化大革命</w:t>
      </w:r>
      <w:r>
        <w:rPr>
          <w:rFonts w:hint="eastAsia" w:ascii="宋体" w:hAnsi="宋体"/>
          <w:szCs w:val="21"/>
        </w:rPr>
        <w:t>”</w:t>
      </w:r>
      <w:r>
        <w:rPr>
          <w:rFonts w:ascii="宋体" w:hAnsi="宋体"/>
          <w:szCs w:val="21"/>
        </w:rPr>
        <w:t>中</w:t>
      </w:r>
      <w:r>
        <w:rPr>
          <w:rFonts w:hint="eastAsia" w:ascii="宋体" w:hAnsi="宋体"/>
          <w:szCs w:val="21"/>
        </w:rPr>
        <w:t>的冤假错案。对“文化大革命”期间受处分的人逐个调查落实，对被乱揪斗的</w:t>
      </w:r>
      <w:r>
        <w:rPr>
          <w:rFonts w:ascii="宋体" w:hAnsi="宋体"/>
          <w:szCs w:val="21"/>
        </w:rPr>
        <w:t>947</w:t>
      </w:r>
      <w:r>
        <w:rPr>
          <w:rFonts w:hint="eastAsia" w:ascii="宋体" w:hAnsi="宋体"/>
          <w:szCs w:val="21"/>
        </w:rPr>
        <w:t>名干部职工给予平反，对被迫害致死的</w:t>
      </w:r>
      <w:r>
        <w:rPr>
          <w:rFonts w:ascii="宋体" w:hAnsi="宋体"/>
          <w:szCs w:val="21"/>
        </w:rPr>
        <w:t>52名干部职工给予平反昭雪，对处分不当作</w:t>
      </w:r>
      <w:r>
        <w:rPr>
          <w:rFonts w:hint="eastAsia" w:ascii="宋体" w:hAnsi="宋体"/>
          <w:szCs w:val="21"/>
        </w:rPr>
        <w:t>了改正的</w:t>
      </w:r>
      <w:r>
        <w:rPr>
          <w:rFonts w:ascii="宋体" w:hAnsi="宋体"/>
          <w:szCs w:val="21"/>
        </w:rPr>
        <w:t>152人，结论不当撤销结论的172人，修正结论的402人。对被迫退休退职</w:t>
      </w:r>
      <w:r>
        <w:rPr>
          <w:rFonts w:hint="eastAsia" w:ascii="宋体" w:hAnsi="宋体"/>
          <w:szCs w:val="21"/>
        </w:rPr>
        <w:t>插队落户的</w:t>
      </w:r>
      <w:r>
        <w:rPr>
          <w:rFonts w:ascii="宋体" w:hAnsi="宋体"/>
          <w:szCs w:val="21"/>
        </w:rPr>
        <w:t>5</w:t>
      </w:r>
      <w:r>
        <w:rPr>
          <w:rFonts w:hint="eastAsia" w:ascii="宋体" w:hAnsi="宋体"/>
          <w:szCs w:val="21"/>
        </w:rPr>
        <w:t>0</w:t>
      </w:r>
      <w:r>
        <w:rPr>
          <w:rFonts w:ascii="宋体" w:hAnsi="宋体"/>
          <w:szCs w:val="21"/>
        </w:rPr>
        <w:t>0人，收回安排工作495人。对被遣送和战备疏散回乡的47人，全部</w:t>
      </w:r>
      <w:r>
        <w:rPr>
          <w:rFonts w:hint="eastAsia" w:ascii="宋体" w:hAnsi="宋体"/>
          <w:szCs w:val="21"/>
        </w:rPr>
        <w:t>收回原单位。同时，清理“文化大革命”中形成的</w:t>
      </w:r>
      <w:r>
        <w:rPr>
          <w:rFonts w:ascii="宋体" w:hAnsi="宋体"/>
          <w:szCs w:val="21"/>
        </w:rPr>
        <w:t>853名干部档案材料2835份，推</w:t>
      </w:r>
      <w:r>
        <w:rPr>
          <w:rFonts w:hint="eastAsia" w:ascii="宋体" w:hAnsi="宋体"/>
          <w:szCs w:val="21"/>
        </w:rPr>
        <w:t>倒了一切诬蔑不实之词。</w:t>
      </w:r>
    </w:p>
    <w:p w14:paraId="76D5FD87">
      <w:pPr>
        <w:ind w:firstLine="422"/>
        <w:rPr>
          <w:rFonts w:ascii="宋体" w:hAnsi="宋体"/>
          <w:b/>
          <w:szCs w:val="21"/>
        </w:rPr>
      </w:pPr>
      <w:r>
        <w:rPr>
          <w:rFonts w:hint="eastAsia" w:ascii="宋体" w:hAnsi="宋体"/>
          <w:b/>
          <w:szCs w:val="21"/>
        </w:rPr>
        <w:t>（四）复查历史案件</w:t>
      </w:r>
    </w:p>
    <w:p w14:paraId="669517A6">
      <w:pPr>
        <w:ind w:firstLine="420"/>
        <w:rPr>
          <w:rFonts w:ascii="宋体" w:hAnsi="宋体"/>
          <w:szCs w:val="21"/>
        </w:rPr>
      </w:pPr>
      <w:r>
        <w:rPr>
          <w:rFonts w:ascii="宋体" w:hAnsi="宋体"/>
          <w:szCs w:val="21"/>
        </w:rPr>
        <w:t>1981年至1983年10月，复查新中国成立以来历史案件及历史遗留问题。由县纪</w:t>
      </w:r>
      <w:r>
        <w:rPr>
          <w:rFonts w:hint="eastAsia" w:ascii="宋体" w:hAnsi="宋体"/>
          <w:szCs w:val="21"/>
        </w:rPr>
        <w:t>律检查委员会与县委落实干部政策领导小组办公室共同负责全面复查。对</w:t>
      </w:r>
      <w:r>
        <w:rPr>
          <w:rFonts w:ascii="宋体" w:hAnsi="宋体"/>
          <w:szCs w:val="21"/>
        </w:rPr>
        <w:t>516名国家</w:t>
      </w:r>
      <w:r>
        <w:rPr>
          <w:rFonts w:hint="eastAsia" w:ascii="宋体" w:hAnsi="宋体"/>
          <w:szCs w:val="21"/>
        </w:rPr>
        <w:t>干部历史案件复查结果：免予处分</w:t>
      </w:r>
      <w:r>
        <w:rPr>
          <w:rFonts w:ascii="宋体" w:hAnsi="宋体"/>
          <w:szCs w:val="21"/>
        </w:rPr>
        <w:t>273人，减轻处分87人，维持原处分156人；改</w:t>
      </w:r>
      <w:r>
        <w:rPr>
          <w:rFonts w:hint="eastAsia" w:ascii="宋体" w:hAnsi="宋体"/>
          <w:szCs w:val="21"/>
        </w:rPr>
        <w:t>正后收回安排工作</w:t>
      </w:r>
      <w:r>
        <w:rPr>
          <w:rFonts w:ascii="宋体" w:hAnsi="宋体"/>
          <w:szCs w:val="21"/>
        </w:rPr>
        <w:t>108人，办理退休55人，退职74人，撤销限制使用68人。因历</w:t>
      </w:r>
      <w:r>
        <w:rPr>
          <w:rFonts w:hint="eastAsia" w:ascii="宋体" w:hAnsi="宋体"/>
          <w:szCs w:val="21"/>
        </w:rPr>
        <w:t>次运动及各种原因失去公职的</w:t>
      </w:r>
      <w:r>
        <w:rPr>
          <w:rFonts w:ascii="宋体" w:hAnsi="宋体"/>
          <w:szCs w:val="21"/>
        </w:rPr>
        <w:t>95人，经复查恢复公职重新安排工作4人，办理退休12人，退职30人，作病故处理38人，作其他处理11人。职工历史案件116人，经</w:t>
      </w:r>
      <w:r>
        <w:rPr>
          <w:rFonts w:hint="eastAsia" w:ascii="宋体" w:hAnsi="宋体"/>
          <w:szCs w:val="21"/>
        </w:rPr>
        <w:t>复查，免予处分</w:t>
      </w:r>
      <w:r>
        <w:rPr>
          <w:rFonts w:ascii="宋体" w:hAnsi="宋体"/>
          <w:szCs w:val="21"/>
        </w:rPr>
        <w:t>73人，减轻处分27人，维持原处分16人；改正后收回工作32人</w:t>
      </w:r>
      <w:r>
        <w:rPr>
          <w:rFonts w:hint="eastAsia" w:ascii="宋体" w:hAnsi="宋体"/>
          <w:szCs w:val="21"/>
        </w:rPr>
        <w:t>，办理退休</w:t>
      </w:r>
      <w:r>
        <w:rPr>
          <w:rFonts w:ascii="宋体" w:hAnsi="宋体"/>
          <w:szCs w:val="21"/>
        </w:rPr>
        <w:t>8人，退职19人。农村干部群众案件3672人，复查认定冤假错案2027人，</w:t>
      </w:r>
      <w:r>
        <w:rPr>
          <w:rFonts w:hint="eastAsia" w:ascii="宋体" w:hAnsi="宋体"/>
          <w:szCs w:val="21"/>
        </w:rPr>
        <w:t>其中恢复党籍</w:t>
      </w:r>
      <w:r>
        <w:rPr>
          <w:rFonts w:ascii="宋体" w:hAnsi="宋体"/>
          <w:szCs w:val="21"/>
        </w:rPr>
        <w:t>46人，免予处分11人，重新安排工作496人，平反昭雪353人，恢复</w:t>
      </w:r>
      <w:r>
        <w:rPr>
          <w:rFonts w:hint="eastAsia" w:ascii="宋体" w:hAnsi="宋体"/>
          <w:szCs w:val="21"/>
        </w:rPr>
        <w:t>名誉</w:t>
      </w:r>
      <w:r>
        <w:rPr>
          <w:rFonts w:ascii="宋体" w:hAnsi="宋体"/>
          <w:szCs w:val="21"/>
        </w:rPr>
        <w:t>1465人。</w:t>
      </w:r>
    </w:p>
    <w:p w14:paraId="4F533518">
      <w:pPr>
        <w:ind w:firstLine="422"/>
        <w:rPr>
          <w:rFonts w:ascii="宋体" w:hAnsi="宋体"/>
          <w:b/>
          <w:szCs w:val="21"/>
        </w:rPr>
      </w:pPr>
      <w:r>
        <w:rPr>
          <w:rFonts w:hint="eastAsia" w:ascii="宋体" w:hAnsi="宋体"/>
          <w:b/>
          <w:szCs w:val="21"/>
        </w:rPr>
        <w:t>（五）改正右派错案</w:t>
      </w:r>
    </w:p>
    <w:p w14:paraId="622BC056">
      <w:pPr>
        <w:ind w:firstLine="420"/>
        <w:rPr>
          <w:rFonts w:ascii="宋体" w:hAnsi="宋体"/>
          <w:szCs w:val="21"/>
        </w:rPr>
      </w:pPr>
      <w:r>
        <w:rPr>
          <w:rFonts w:ascii="宋体" w:hAnsi="宋体"/>
          <w:szCs w:val="21"/>
        </w:rPr>
        <w:t>1960年10月26日，县委成立摘掉右派分子帽子领导小组，对原划右派分子进</w:t>
      </w:r>
      <w:r>
        <w:rPr>
          <w:rFonts w:hint="eastAsia" w:ascii="宋体" w:hAnsi="宋体"/>
          <w:szCs w:val="21"/>
        </w:rPr>
        <w:t>行分类审查，摘掉一小部分右派分子帽子。</w:t>
      </w:r>
      <w:r>
        <w:rPr>
          <w:rFonts w:ascii="宋体" w:hAnsi="宋体"/>
          <w:szCs w:val="21"/>
        </w:rPr>
        <w:t>1961年至1962年，又摘掉一批，并为摘</w:t>
      </w:r>
      <w:r>
        <w:rPr>
          <w:rFonts w:hint="eastAsia" w:ascii="宋体" w:hAnsi="宋体"/>
          <w:szCs w:val="21"/>
        </w:rPr>
        <w:t>帽人员安排了工作。</w:t>
      </w:r>
      <w:r>
        <w:rPr>
          <w:rFonts w:ascii="宋体" w:hAnsi="宋体"/>
          <w:szCs w:val="21"/>
        </w:rPr>
        <w:t>1978年5月2日，县委重新成立摘掉右派分子帽子工作领导小</w:t>
      </w:r>
      <w:r>
        <w:rPr>
          <w:rFonts w:hint="eastAsia" w:ascii="宋体" w:hAnsi="宋体"/>
          <w:szCs w:val="21"/>
        </w:rPr>
        <w:t>组，下设办公室，对全县错划</w:t>
      </w:r>
      <w:r>
        <w:rPr>
          <w:rFonts w:ascii="宋体" w:hAnsi="宋体"/>
          <w:szCs w:val="21"/>
        </w:rPr>
        <w:t>276名右派分子，全部复</w:t>
      </w:r>
      <w:r>
        <w:rPr>
          <w:rFonts w:hint="eastAsia" w:ascii="宋体" w:hAnsi="宋体"/>
          <w:szCs w:val="21"/>
        </w:rPr>
        <w:t>查</w:t>
      </w:r>
      <w:r>
        <w:rPr>
          <w:rFonts w:ascii="宋体" w:hAnsi="宋体"/>
          <w:szCs w:val="21"/>
        </w:rPr>
        <w:t>改正。能工作的恢复工作，</w:t>
      </w:r>
      <w:r>
        <w:rPr>
          <w:rFonts w:hint="eastAsia" w:ascii="宋体" w:hAnsi="宋体"/>
          <w:szCs w:val="21"/>
        </w:rPr>
        <w:t>不适宜工作的作退休、退职处理，被撤销职务的恢复原职务，被开除党籍的恢复党籍，受株连的家属恢复原待遇。</w:t>
      </w:r>
    </w:p>
    <w:p w14:paraId="56517DA7">
      <w:pPr>
        <w:pStyle w:val="5"/>
        <w:rPr>
          <w:rFonts w:ascii="宋体" w:hAnsi="宋体"/>
        </w:rPr>
      </w:pPr>
      <w:r>
        <w:rPr>
          <w:rFonts w:hint="eastAsia" w:ascii="宋体" w:hAnsi="宋体"/>
        </w:rPr>
        <w:t>三、党性党风党纪教育</w:t>
      </w:r>
    </w:p>
    <w:p w14:paraId="15EE1E8E">
      <w:pPr>
        <w:ind w:firstLine="420"/>
        <w:rPr>
          <w:rFonts w:ascii="宋体" w:hAnsi="宋体"/>
          <w:szCs w:val="21"/>
        </w:rPr>
      </w:pPr>
      <w:r>
        <w:rPr>
          <w:rFonts w:hint="eastAsia" w:ascii="宋体" w:hAnsi="宋体"/>
          <w:szCs w:val="21"/>
        </w:rPr>
        <w:t>坚持“预防为主，教育为本”的工作方针，围绕党在各个时期的中心工作确定教育内容。中共十一届三中全会后，着重进行实事求是的思想路线教育。在改革开放深入发展阶段，着重进行四项基本原则教育和全心全意为人民服务及廉政教育。</w:t>
      </w:r>
      <w:r>
        <w:rPr>
          <w:rFonts w:ascii="宋体" w:hAnsi="宋体"/>
          <w:szCs w:val="21"/>
        </w:rPr>
        <w:t>1988年以来，把每年5月作为</w:t>
      </w:r>
      <w:r>
        <w:rPr>
          <w:rFonts w:hint="eastAsia" w:ascii="宋体" w:hAnsi="宋体"/>
          <w:szCs w:val="21"/>
        </w:rPr>
        <w:t>“</w:t>
      </w:r>
      <w:r>
        <w:rPr>
          <w:rFonts w:ascii="宋体" w:hAnsi="宋体"/>
          <w:szCs w:val="21"/>
        </w:rPr>
        <w:t>廉洁为民教育月</w:t>
      </w:r>
      <w:r>
        <w:rPr>
          <w:rFonts w:hint="eastAsia" w:ascii="宋体" w:hAnsi="宋体"/>
          <w:szCs w:val="21"/>
        </w:rPr>
        <w:t>”。</w:t>
      </w:r>
    </w:p>
    <w:p w14:paraId="37B73F5C">
      <w:pPr>
        <w:pStyle w:val="5"/>
        <w:rPr>
          <w:rFonts w:ascii="宋体" w:hAnsi="宋体"/>
        </w:rPr>
      </w:pPr>
      <w:r>
        <w:rPr>
          <w:rFonts w:hint="eastAsia" w:ascii="宋体" w:hAnsi="宋体"/>
        </w:rPr>
        <w:t>四、纠风和执法监察</w:t>
      </w:r>
    </w:p>
    <w:p w14:paraId="41E79D2C">
      <w:pPr>
        <w:ind w:firstLine="420"/>
        <w:rPr>
          <w:rFonts w:ascii="宋体" w:hAnsi="宋体"/>
          <w:szCs w:val="21"/>
        </w:rPr>
      </w:pPr>
      <w:r>
        <w:rPr>
          <w:rFonts w:ascii="宋体" w:hAnsi="宋体"/>
          <w:szCs w:val="21"/>
        </w:rPr>
        <w:t>1988年以来，市纪委、监察局加强了纠风和执法监察工作</w:t>
      </w:r>
      <w:r>
        <w:rPr>
          <w:rFonts w:hint="eastAsia" w:ascii="宋体" w:hAnsi="宋体"/>
          <w:szCs w:val="21"/>
        </w:rPr>
        <w:t>。</w:t>
      </w:r>
    </w:p>
    <w:p w14:paraId="39ADCEED">
      <w:pPr>
        <w:ind w:firstLine="422"/>
        <w:rPr>
          <w:rFonts w:ascii="宋体" w:hAnsi="宋体"/>
          <w:b/>
          <w:szCs w:val="21"/>
        </w:rPr>
      </w:pPr>
      <w:r>
        <w:rPr>
          <w:rFonts w:hint="eastAsia" w:ascii="宋体" w:hAnsi="宋体"/>
          <w:b/>
          <w:szCs w:val="21"/>
        </w:rPr>
        <w:t>（一）纠正不正之风</w:t>
      </w:r>
    </w:p>
    <w:p w14:paraId="3CC36C2C">
      <w:pPr>
        <w:ind w:firstLine="420"/>
        <w:rPr>
          <w:rFonts w:ascii="宋体" w:hAnsi="宋体"/>
          <w:szCs w:val="21"/>
        </w:rPr>
      </w:pPr>
      <w:r>
        <w:rPr>
          <w:rFonts w:hint="eastAsia" w:ascii="宋体" w:hAnsi="宋体"/>
          <w:szCs w:val="21"/>
        </w:rPr>
        <w:t>主要是进行专项检查纠正“三乱”（乱收费、乱摊派、乱罚款）之风。一是</w:t>
      </w:r>
      <w:r>
        <w:rPr>
          <w:rFonts w:ascii="宋体" w:hAnsi="宋体"/>
          <w:szCs w:val="21"/>
        </w:rPr>
        <w:t>1993</w:t>
      </w:r>
      <w:r>
        <w:rPr>
          <w:rFonts w:hint="eastAsia" w:ascii="宋体" w:hAnsi="宋体"/>
          <w:szCs w:val="21"/>
        </w:rPr>
        <w:t>年至</w:t>
      </w:r>
      <w:r>
        <w:rPr>
          <w:rFonts w:ascii="宋体" w:hAnsi="宋体"/>
          <w:szCs w:val="21"/>
        </w:rPr>
        <w:t>2002年，对农民负担进行专项检查14次，取消了涉农收费项目73个，减轻农</w:t>
      </w:r>
      <w:r>
        <w:rPr>
          <w:rFonts w:hint="eastAsia" w:ascii="宋体" w:hAnsi="宋体"/>
          <w:szCs w:val="21"/>
        </w:rPr>
        <w:t>民负担</w:t>
      </w:r>
      <w:r>
        <w:rPr>
          <w:rFonts w:ascii="宋体" w:hAnsi="宋体"/>
          <w:szCs w:val="21"/>
        </w:rPr>
        <w:t>196万元；二是1998年至2002年，取消涉及企业收费项目6个，减轻企业负</w:t>
      </w:r>
      <w:r>
        <w:rPr>
          <w:rFonts w:hint="eastAsia" w:ascii="宋体" w:hAnsi="宋体"/>
          <w:szCs w:val="21"/>
        </w:rPr>
        <w:t>担</w:t>
      </w:r>
      <w:r>
        <w:rPr>
          <w:rFonts w:ascii="宋体" w:hAnsi="宋体"/>
          <w:szCs w:val="21"/>
        </w:rPr>
        <w:t>461万多元；三是1993年至1997年，对全市中小学收费项目进行检查，查处多</w:t>
      </w:r>
      <w:r>
        <w:rPr>
          <w:rFonts w:hint="eastAsia" w:ascii="宋体" w:hAnsi="宋体"/>
          <w:szCs w:val="21"/>
        </w:rPr>
        <w:t>收、乱收费金额</w:t>
      </w:r>
      <w:r>
        <w:rPr>
          <w:rFonts w:ascii="宋体" w:hAnsi="宋体"/>
          <w:szCs w:val="21"/>
        </w:rPr>
        <w:t>112.4万元，已全部清退；四是1</w:t>
      </w:r>
      <w:r>
        <w:rPr>
          <w:rFonts w:hint="eastAsia" w:ascii="宋体" w:hAnsi="宋体"/>
          <w:szCs w:val="21"/>
        </w:rPr>
        <w:t>9</w:t>
      </w:r>
      <w:r>
        <w:rPr>
          <w:rFonts w:ascii="宋体" w:hAnsi="宋体"/>
          <w:szCs w:val="21"/>
        </w:rPr>
        <w:t>93年至1997年对全市行政事业收</w:t>
      </w:r>
      <w:r>
        <w:rPr>
          <w:rFonts w:hint="eastAsia" w:ascii="宋体" w:hAnsi="宋体"/>
          <w:szCs w:val="21"/>
        </w:rPr>
        <w:t>费项目进行检查，查出各种乱收费</w:t>
      </w:r>
      <w:r>
        <w:rPr>
          <w:rFonts w:ascii="宋体" w:hAnsi="宋体"/>
          <w:szCs w:val="21"/>
        </w:rPr>
        <w:t>41项，总金额413.2万多元；五是1993年至1997</w:t>
      </w:r>
      <w:r>
        <w:rPr>
          <w:rFonts w:hint="eastAsia" w:ascii="宋体" w:hAnsi="宋体"/>
          <w:szCs w:val="21"/>
        </w:rPr>
        <w:t>年对公路站卡进行检查，清理了</w:t>
      </w:r>
      <w:r>
        <w:rPr>
          <w:rFonts w:ascii="宋体" w:hAnsi="宋体"/>
          <w:szCs w:val="21"/>
        </w:rPr>
        <w:t>12个非法设立的站卡</w:t>
      </w:r>
      <w:r>
        <w:rPr>
          <w:rFonts w:hint="eastAsia" w:ascii="宋体" w:hAnsi="宋体"/>
          <w:szCs w:val="21"/>
        </w:rPr>
        <w:t>。</w:t>
      </w:r>
    </w:p>
    <w:p w14:paraId="6005223D">
      <w:pPr>
        <w:ind w:firstLine="422"/>
        <w:rPr>
          <w:rFonts w:ascii="宋体" w:hAnsi="宋体"/>
          <w:b/>
          <w:szCs w:val="21"/>
        </w:rPr>
      </w:pPr>
      <w:r>
        <w:rPr>
          <w:rFonts w:hint="eastAsia" w:ascii="宋体" w:hAnsi="宋体"/>
          <w:b/>
          <w:szCs w:val="21"/>
        </w:rPr>
        <w:t>（二）执法监察</w:t>
      </w:r>
    </w:p>
    <w:p w14:paraId="35BF7AAE">
      <w:pPr>
        <w:ind w:firstLine="420"/>
        <w:rPr>
          <w:rFonts w:ascii="宋体" w:hAnsi="宋体"/>
          <w:szCs w:val="21"/>
        </w:rPr>
      </w:pPr>
      <w:r>
        <w:rPr>
          <w:rFonts w:ascii="宋体" w:hAnsi="宋体"/>
          <w:szCs w:val="21"/>
        </w:rPr>
        <w:t>1993年至1997年开展对“希望工程”资金、教育基金的管理使用，邮电资费收</w:t>
      </w:r>
      <w:r>
        <w:rPr>
          <w:rFonts w:hint="eastAsia" w:ascii="宋体" w:hAnsi="宋体"/>
          <w:szCs w:val="21"/>
        </w:rPr>
        <w:t>取及统计法规等</w:t>
      </w:r>
      <w:r>
        <w:rPr>
          <w:rFonts w:ascii="宋体" w:hAnsi="宋体"/>
          <w:szCs w:val="21"/>
        </w:rPr>
        <w:t>12个项目的执法监督检查</w:t>
      </w:r>
      <w:r>
        <w:rPr>
          <w:rFonts w:hint="eastAsia" w:ascii="宋体" w:hAnsi="宋体"/>
          <w:szCs w:val="21"/>
        </w:rPr>
        <w:t>。</w:t>
      </w:r>
    </w:p>
    <w:p w14:paraId="151EFC1B">
      <w:pPr>
        <w:ind w:firstLine="420"/>
        <w:rPr>
          <w:rFonts w:ascii="宋体" w:hAnsi="宋体"/>
          <w:szCs w:val="21"/>
        </w:rPr>
      </w:pPr>
      <w:r>
        <w:rPr>
          <w:rFonts w:ascii="宋体" w:hAnsi="宋体"/>
          <w:szCs w:val="21"/>
        </w:rPr>
        <w:t>1998年开展了建设工程项目执法监察，推动招标制度的建立，使新开工程项目</w:t>
      </w:r>
      <w:r>
        <w:rPr>
          <w:rFonts w:hint="eastAsia" w:ascii="宋体" w:hAnsi="宋体"/>
          <w:szCs w:val="21"/>
        </w:rPr>
        <w:t>的招标率达到</w:t>
      </w:r>
      <w:r>
        <w:rPr>
          <w:rFonts w:ascii="宋体" w:hAnsi="宋体"/>
          <w:szCs w:val="21"/>
        </w:rPr>
        <w:t>95%。对政法部门从事经商活动开展了执法清理，并对其所办的企业</w:t>
      </w:r>
      <w:r>
        <w:rPr>
          <w:rFonts w:hint="eastAsia" w:ascii="宋体" w:hAnsi="宋体"/>
          <w:szCs w:val="21"/>
        </w:rPr>
        <w:t>作了注销、脱钩或移交处理。对全市行政事业单位的预算外资金及</w:t>
      </w:r>
      <w:r>
        <w:rPr>
          <w:rFonts w:ascii="宋体" w:hAnsi="宋体"/>
          <w:szCs w:val="21"/>
        </w:rPr>
        <w:t>24个乡镇的</w:t>
      </w:r>
      <w:r>
        <w:rPr>
          <w:rFonts w:hint="eastAsia" w:ascii="宋体" w:hAnsi="宋体"/>
          <w:szCs w:val="21"/>
        </w:rPr>
        <w:t>“三金”统管和企业纳税情况进行了执法检查、处理。还开展了农村基层财务清理整顿和药品生产秩序整顿，取消行政事业收费</w:t>
      </w:r>
      <w:r>
        <w:rPr>
          <w:rFonts w:ascii="宋体" w:hAnsi="宋体"/>
          <w:szCs w:val="21"/>
        </w:rPr>
        <w:t>32项，降低收费标准22项，取消其他部门</w:t>
      </w:r>
      <w:r>
        <w:rPr>
          <w:rFonts w:hint="eastAsia" w:ascii="宋体" w:hAnsi="宋体"/>
          <w:szCs w:val="21"/>
        </w:rPr>
        <w:t>乱收费</w:t>
      </w:r>
      <w:r>
        <w:rPr>
          <w:rFonts w:ascii="宋体" w:hAnsi="宋体"/>
          <w:szCs w:val="21"/>
        </w:rPr>
        <w:t>77项，查出违法违纪金额74万元，挽回经济损失17万多元。</w:t>
      </w:r>
    </w:p>
    <w:p w14:paraId="037B1F64">
      <w:pPr>
        <w:pStyle w:val="5"/>
        <w:rPr>
          <w:rFonts w:ascii="宋体" w:hAnsi="宋体"/>
        </w:rPr>
      </w:pPr>
      <w:r>
        <w:rPr>
          <w:rFonts w:hint="eastAsia" w:ascii="宋体" w:hAnsi="宋体"/>
        </w:rPr>
        <w:t>五、受理信访检举揭发案件</w:t>
      </w:r>
    </w:p>
    <w:p w14:paraId="7123FE5A">
      <w:pPr>
        <w:ind w:firstLine="420"/>
        <w:rPr>
          <w:rFonts w:ascii="宋体" w:hAnsi="宋体"/>
          <w:szCs w:val="21"/>
        </w:rPr>
      </w:pPr>
      <w:r>
        <w:rPr>
          <w:rFonts w:ascii="宋体" w:hAnsi="宋体"/>
          <w:szCs w:val="21"/>
        </w:rPr>
        <w:t>1988年至1994年，各级纪检机关受理信访总件1054件（次），应办1005件</w:t>
      </w:r>
      <w:r>
        <w:rPr>
          <w:rFonts w:hint="eastAsia" w:ascii="宋体" w:hAnsi="宋体"/>
          <w:szCs w:val="21"/>
        </w:rPr>
        <w:t>（次），已结案</w:t>
      </w:r>
      <w:r>
        <w:rPr>
          <w:rFonts w:ascii="宋体" w:hAnsi="宋体"/>
          <w:szCs w:val="21"/>
        </w:rPr>
        <w:t>1005件，结案率为100%。信访立案122件，结案122件，结案率为100%。澄清保护干部53人</w:t>
      </w:r>
      <w:r>
        <w:rPr>
          <w:rFonts w:hint="eastAsia" w:ascii="宋体" w:hAnsi="宋体"/>
          <w:szCs w:val="21"/>
        </w:rPr>
        <w:t>。</w:t>
      </w:r>
    </w:p>
    <w:p w14:paraId="7B4ECE56">
      <w:pPr>
        <w:ind w:firstLine="420"/>
        <w:rPr>
          <w:rFonts w:ascii="宋体" w:hAnsi="宋体"/>
          <w:szCs w:val="21"/>
        </w:rPr>
      </w:pPr>
      <w:r>
        <w:rPr>
          <w:rFonts w:ascii="宋体" w:hAnsi="宋体"/>
          <w:szCs w:val="21"/>
        </w:rPr>
        <w:t>1988年至1994年8月，监察局受理信访877件，其中属监察范围的800件</w:t>
      </w:r>
      <w:r>
        <w:rPr>
          <w:rFonts w:hint="eastAsia" w:ascii="宋体" w:hAnsi="宋体"/>
          <w:szCs w:val="21"/>
        </w:rPr>
        <w:t>（次），应办</w:t>
      </w:r>
      <w:r>
        <w:rPr>
          <w:rFonts w:ascii="宋体" w:hAnsi="宋体"/>
          <w:szCs w:val="21"/>
        </w:rPr>
        <w:t>778件（次），已办结761件（次），办结率为98%</w:t>
      </w:r>
      <w:r>
        <w:rPr>
          <w:rFonts w:hint="eastAsia" w:ascii="宋体" w:hAnsi="宋体"/>
          <w:szCs w:val="21"/>
        </w:rPr>
        <w:t>。</w:t>
      </w:r>
    </w:p>
    <w:p w14:paraId="70651F38">
      <w:pPr>
        <w:ind w:firstLine="420"/>
        <w:rPr>
          <w:rFonts w:ascii="宋体" w:hAnsi="宋体"/>
          <w:szCs w:val="21"/>
        </w:rPr>
      </w:pPr>
      <w:r>
        <w:rPr>
          <w:rFonts w:ascii="宋体" w:hAnsi="宋体"/>
          <w:szCs w:val="21"/>
        </w:rPr>
        <w:t>1994年8月纪检、监察合署后至2000年12月，受理信访1622件（次），属信</w:t>
      </w:r>
      <w:r>
        <w:rPr>
          <w:rFonts w:hint="eastAsia" w:ascii="宋体" w:hAnsi="宋体"/>
          <w:szCs w:val="21"/>
        </w:rPr>
        <w:t>访问题应办件</w:t>
      </w:r>
      <w:r>
        <w:rPr>
          <w:rFonts w:ascii="宋体" w:hAnsi="宋体"/>
          <w:szCs w:val="21"/>
        </w:rPr>
        <w:t>1524件（次），已全部办结。信访立案324件（次），已办结318件</w:t>
      </w:r>
      <w:r>
        <w:rPr>
          <w:rFonts w:hint="eastAsia" w:ascii="宋体" w:hAnsi="宋体"/>
          <w:szCs w:val="21"/>
        </w:rPr>
        <w:t>（次），澄清保护干部</w:t>
      </w:r>
      <w:r>
        <w:rPr>
          <w:rFonts w:ascii="宋体" w:hAnsi="宋体"/>
          <w:szCs w:val="21"/>
        </w:rPr>
        <w:t>137人</w:t>
      </w:r>
      <w:r>
        <w:rPr>
          <w:rFonts w:hint="eastAsia" w:ascii="宋体" w:hAnsi="宋体"/>
          <w:szCs w:val="21"/>
        </w:rPr>
        <w:t>。</w:t>
      </w:r>
    </w:p>
    <w:p w14:paraId="22C9A9E1">
      <w:pPr>
        <w:pStyle w:val="4"/>
        <w:rPr>
          <w:rFonts w:ascii="宋体" w:hAnsi="宋体"/>
        </w:rPr>
      </w:pPr>
      <w:r>
        <w:rPr>
          <w:rFonts w:hint="eastAsia" w:ascii="宋体" w:hAnsi="宋体"/>
        </w:rPr>
        <w:t>第五节  党的统战工作</w:t>
      </w:r>
    </w:p>
    <w:p w14:paraId="46A52AF8">
      <w:pPr>
        <w:ind w:firstLine="420"/>
        <w:rPr>
          <w:rFonts w:ascii="宋体" w:hAnsi="宋体"/>
          <w:szCs w:val="21"/>
        </w:rPr>
      </w:pPr>
      <w:r>
        <w:rPr>
          <w:rFonts w:hint="eastAsia" w:ascii="宋体" w:hAnsi="宋体"/>
          <w:szCs w:val="21"/>
        </w:rPr>
        <w:t>党的统战工作，早在第一、二次国共合作时期，颇有成就，为北伐战争、抗日战争作出了贡献。新中国成立初期，张尚琼任县委书记、县长，善于任用党外民主进步人士，真诚团结协作，顺利地建立人民政权，社会稳定，支前有力。</w:t>
      </w:r>
      <w:r>
        <w:rPr>
          <w:rFonts w:ascii="宋体" w:hAnsi="宋体"/>
          <w:szCs w:val="21"/>
        </w:rPr>
        <w:t>1954年，县委</w:t>
      </w:r>
      <w:r>
        <w:rPr>
          <w:rFonts w:hint="eastAsia" w:ascii="宋体" w:hAnsi="宋体"/>
          <w:szCs w:val="21"/>
        </w:rPr>
        <w:t>统一战线工作部成立，“文化大革命”时期被撤销，</w:t>
      </w:r>
      <w:r>
        <w:rPr>
          <w:rFonts w:ascii="宋体" w:hAnsi="宋体"/>
          <w:szCs w:val="21"/>
        </w:rPr>
        <w:t>1980年8月恢复，党的统战工作</w:t>
      </w:r>
      <w:r>
        <w:rPr>
          <w:rFonts w:hint="eastAsia" w:ascii="宋体" w:hAnsi="宋体"/>
          <w:szCs w:val="21"/>
        </w:rPr>
        <w:t>不断完善提高。</w:t>
      </w:r>
    </w:p>
    <w:p w14:paraId="5BAC1D98">
      <w:pPr>
        <w:pStyle w:val="5"/>
        <w:rPr>
          <w:rFonts w:ascii="宋体" w:hAnsi="宋体"/>
        </w:rPr>
      </w:pPr>
      <w:r>
        <w:rPr>
          <w:rFonts w:hint="eastAsia" w:ascii="宋体" w:hAnsi="宋体"/>
        </w:rPr>
        <w:t>一、坚持和完善共产党领导的多党合作制度</w:t>
      </w:r>
    </w:p>
    <w:p w14:paraId="549354B7">
      <w:pPr>
        <w:ind w:firstLine="420"/>
        <w:rPr>
          <w:rFonts w:ascii="宋体" w:hAnsi="宋体"/>
          <w:szCs w:val="21"/>
        </w:rPr>
      </w:pPr>
      <w:r>
        <w:rPr>
          <w:rFonts w:hint="eastAsia" w:ascii="宋体" w:hAnsi="宋体"/>
          <w:szCs w:val="21"/>
        </w:rPr>
        <w:t>发挥民主党派和党外人士抓大事议大事，积极向人大、政协提交建议。做好党外干部的培养选拔工作，通过物色、协商，荐举省、市（县）人大代表，市（县）</w:t>
      </w:r>
      <w:r>
        <w:rPr>
          <w:rFonts w:hint="eastAsia" w:ascii="宋体" w:hAnsi="宋体"/>
          <w:szCs w:val="21"/>
          <w:lang w:eastAsia="zh-CN"/>
        </w:rPr>
        <w:t>人大常委会委员</w:t>
      </w:r>
      <w:r>
        <w:rPr>
          <w:rFonts w:hint="eastAsia" w:ascii="宋体" w:hAnsi="宋体"/>
          <w:szCs w:val="21"/>
        </w:rPr>
        <w:t>、副主任，市（县）政协委员、副主席，副市（县）长及特约“四员”等候选人。新中国成立以来，经荐举后选任市（县）人大常委副主任</w:t>
      </w:r>
      <w:r>
        <w:rPr>
          <w:rFonts w:ascii="宋体" w:hAnsi="宋体"/>
          <w:szCs w:val="21"/>
        </w:rPr>
        <w:t>4人，任市</w:t>
      </w:r>
      <w:r>
        <w:rPr>
          <w:rFonts w:hint="eastAsia" w:ascii="宋体" w:hAnsi="宋体"/>
          <w:szCs w:val="21"/>
        </w:rPr>
        <w:t>（县）政协副主席</w:t>
      </w:r>
      <w:r>
        <w:rPr>
          <w:rFonts w:ascii="宋体" w:hAnsi="宋体"/>
          <w:szCs w:val="21"/>
        </w:rPr>
        <w:t>12人，任副市（县）长5人</w:t>
      </w:r>
      <w:r>
        <w:rPr>
          <w:rFonts w:hint="eastAsia" w:ascii="宋体" w:hAnsi="宋体"/>
          <w:szCs w:val="21"/>
        </w:rPr>
        <w:t>。</w:t>
      </w:r>
    </w:p>
    <w:p w14:paraId="4DAAB4AD">
      <w:pPr>
        <w:pStyle w:val="5"/>
        <w:rPr>
          <w:rFonts w:ascii="宋体" w:hAnsi="宋体"/>
        </w:rPr>
      </w:pPr>
      <w:r>
        <w:rPr>
          <w:rFonts w:hint="eastAsia" w:ascii="宋体" w:hAnsi="宋体"/>
        </w:rPr>
        <w:t>二、私营工商业者工作</w:t>
      </w:r>
    </w:p>
    <w:p w14:paraId="6D8C2E23">
      <w:pPr>
        <w:ind w:firstLine="420"/>
        <w:rPr>
          <w:rFonts w:ascii="宋体" w:hAnsi="宋体"/>
          <w:szCs w:val="21"/>
        </w:rPr>
      </w:pPr>
      <w:r>
        <w:rPr>
          <w:rFonts w:hint="eastAsia" w:ascii="宋体" w:hAnsi="宋体"/>
          <w:szCs w:val="21"/>
        </w:rPr>
        <w:t>新中国成立初期，贯彻党对资本家实行“利用、限制、改造”政策。全县资本主义工商业者和小商小贩实行社会主义改造后，对原私方人员作了妥善安排。其中任经理</w:t>
      </w:r>
      <w:r>
        <w:rPr>
          <w:rFonts w:ascii="宋体" w:hAnsi="宋体"/>
          <w:szCs w:val="21"/>
        </w:rPr>
        <w:t>24人，副厂长3人，车间主任4人，门市部主任62人，股长4人，会计39人，</w:t>
      </w:r>
      <w:r>
        <w:rPr>
          <w:rFonts w:hint="eastAsia" w:ascii="宋体" w:hAnsi="宋体"/>
          <w:szCs w:val="21"/>
        </w:rPr>
        <w:t>安排从业</w:t>
      </w:r>
      <w:r>
        <w:rPr>
          <w:rFonts w:ascii="宋体" w:hAnsi="宋体"/>
          <w:szCs w:val="21"/>
        </w:rPr>
        <w:t>3075人。对资方代表给予荐举任用，荐举任城关镇副镇长1人，副县长1</w:t>
      </w:r>
      <w:r>
        <w:rPr>
          <w:rFonts w:hint="eastAsia" w:ascii="宋体" w:hAnsi="宋体"/>
          <w:szCs w:val="21"/>
        </w:rPr>
        <w:t>人，省人大代表</w:t>
      </w:r>
      <w:r>
        <w:rPr>
          <w:rFonts w:ascii="宋体" w:hAnsi="宋体"/>
          <w:szCs w:val="21"/>
        </w:rPr>
        <w:t>1人</w:t>
      </w:r>
      <w:r>
        <w:rPr>
          <w:rFonts w:hint="eastAsia" w:ascii="宋体" w:hAnsi="宋体"/>
          <w:szCs w:val="21"/>
        </w:rPr>
        <w:t>。</w:t>
      </w:r>
    </w:p>
    <w:p w14:paraId="7542652D">
      <w:pPr>
        <w:ind w:firstLine="420"/>
        <w:rPr>
          <w:rFonts w:ascii="宋体" w:hAnsi="宋体"/>
          <w:szCs w:val="21"/>
        </w:rPr>
      </w:pPr>
      <w:r>
        <w:rPr>
          <w:rFonts w:ascii="宋体" w:hAnsi="宋体"/>
          <w:szCs w:val="21"/>
        </w:rPr>
        <w:t>1980年5月落实工商业者政策，对原划293名资方人员全面复</w:t>
      </w:r>
      <w:r>
        <w:rPr>
          <w:rFonts w:hint="eastAsia" w:ascii="宋体" w:hAnsi="宋体"/>
          <w:szCs w:val="21"/>
        </w:rPr>
        <w:t>查</w:t>
      </w:r>
      <w:r>
        <w:rPr>
          <w:rFonts w:ascii="宋体" w:hAnsi="宋体"/>
          <w:szCs w:val="21"/>
        </w:rPr>
        <w:t>区分，定为小</w:t>
      </w:r>
      <w:r>
        <w:rPr>
          <w:rFonts w:hint="eastAsia" w:ascii="宋体" w:hAnsi="宋体"/>
          <w:szCs w:val="21"/>
        </w:rPr>
        <w:t>商小贩、小业主的</w:t>
      </w:r>
      <w:r>
        <w:rPr>
          <w:rFonts w:ascii="宋体" w:hAnsi="宋体"/>
          <w:szCs w:val="21"/>
        </w:rPr>
        <w:t>283人，由市（县）人民政府发给区别证明书，恢复他们劳动者</w:t>
      </w:r>
      <w:r>
        <w:rPr>
          <w:rFonts w:hint="eastAsia" w:ascii="宋体" w:hAnsi="宋体"/>
          <w:szCs w:val="21"/>
        </w:rPr>
        <w:t>的本来身份，补发在“文化大革命”中停发的原工商业者的股息。对被开除公职、错判劳动教养和下放农村的</w:t>
      </w:r>
      <w:r>
        <w:rPr>
          <w:rFonts w:ascii="宋体" w:hAnsi="宋体"/>
          <w:szCs w:val="21"/>
        </w:rPr>
        <w:t>120多名统战人员恢复了公职。对被错征、挤占的160户</w:t>
      </w:r>
      <w:r>
        <w:rPr>
          <w:rFonts w:hint="eastAsia" w:ascii="宋体" w:hAnsi="宋体"/>
          <w:szCs w:val="21"/>
        </w:rPr>
        <w:t>房产落实了政策。</w:t>
      </w:r>
    </w:p>
    <w:p w14:paraId="5B141786">
      <w:pPr>
        <w:ind w:firstLine="420"/>
        <w:rPr>
          <w:rFonts w:ascii="宋体" w:hAnsi="宋体"/>
          <w:szCs w:val="21"/>
        </w:rPr>
      </w:pPr>
      <w:r>
        <w:rPr>
          <w:rFonts w:hint="eastAsia" w:ascii="宋体" w:hAnsi="宋体"/>
          <w:szCs w:val="21"/>
        </w:rPr>
        <w:t>中共十一届三中全会后，随着改革开放方针政策深入贯彻执行，民营企业日益发展，统战工作切实加强工商联工作的指导，依法保护私营企业的合法权益。</w:t>
      </w:r>
    </w:p>
    <w:p w14:paraId="30924275">
      <w:pPr>
        <w:pStyle w:val="5"/>
        <w:rPr>
          <w:rFonts w:ascii="宋体" w:hAnsi="宋体"/>
        </w:rPr>
      </w:pPr>
      <w:r>
        <w:rPr>
          <w:rFonts w:hint="eastAsia" w:ascii="宋体" w:hAnsi="宋体"/>
        </w:rPr>
        <w:t>三、宗教工作</w:t>
      </w:r>
    </w:p>
    <w:p w14:paraId="057EF065">
      <w:pPr>
        <w:ind w:firstLine="420"/>
        <w:rPr>
          <w:rFonts w:ascii="宋体" w:hAnsi="宋体"/>
          <w:szCs w:val="21"/>
        </w:rPr>
      </w:pPr>
      <w:r>
        <w:rPr>
          <w:rFonts w:hint="eastAsia" w:ascii="宋体" w:hAnsi="宋体"/>
          <w:szCs w:val="21"/>
        </w:rPr>
        <w:t>中共十一届三中全会以来，党的宗教政策得到正确贯彻执行。历次运动中被遣散的宗教人员，重新返回寺庙教堂，恢复正常宗教活动。</w:t>
      </w:r>
      <w:r>
        <w:rPr>
          <w:rFonts w:ascii="宋体" w:hAnsi="宋体"/>
          <w:szCs w:val="21"/>
        </w:rPr>
        <w:t>1985年12月7日，南雄基督</w:t>
      </w:r>
      <w:r>
        <w:rPr>
          <w:rFonts w:hint="eastAsia" w:ascii="宋体" w:hAnsi="宋体"/>
          <w:szCs w:val="21"/>
        </w:rPr>
        <w:t>教三自爱国会筹备小组成立。</w:t>
      </w:r>
      <w:r>
        <w:rPr>
          <w:rFonts w:ascii="宋体" w:hAnsi="宋体"/>
          <w:szCs w:val="21"/>
        </w:rPr>
        <w:t>1987年10月，南雄天主教爱国会成立。依法加强对宗</w:t>
      </w:r>
      <w:r>
        <w:rPr>
          <w:rFonts w:hint="eastAsia" w:ascii="宋体" w:hAnsi="宋体"/>
          <w:szCs w:val="21"/>
        </w:rPr>
        <w:t>教活动的行政管理。加强与港澳宗教界的联谊交友，引进资金，兴办教育事业和修建宗教活动场所。先后引进奖学金</w:t>
      </w:r>
      <w:r>
        <w:rPr>
          <w:rFonts w:ascii="宋体" w:hAnsi="宋体"/>
          <w:szCs w:val="21"/>
        </w:rPr>
        <w:t>800多万元，兴建了17间中小学教学大楼。又引进</w:t>
      </w:r>
      <w:r>
        <w:rPr>
          <w:rFonts w:hint="eastAsia" w:ascii="宋体" w:hAnsi="宋体"/>
          <w:szCs w:val="21"/>
        </w:rPr>
        <w:t>巨额资金兴建莲开净寺和珠玑大雄禅寺，开创了南雄宗教旅游事业。</w:t>
      </w:r>
    </w:p>
    <w:p w14:paraId="58A4E497">
      <w:pPr>
        <w:pStyle w:val="5"/>
        <w:rPr>
          <w:rFonts w:ascii="宋体" w:hAnsi="宋体"/>
        </w:rPr>
      </w:pPr>
      <w:r>
        <w:rPr>
          <w:rFonts w:hint="eastAsia" w:ascii="宋体" w:hAnsi="宋体"/>
        </w:rPr>
        <w:t>四、对台工作及海外联谊</w:t>
      </w:r>
    </w:p>
    <w:p w14:paraId="29271204">
      <w:pPr>
        <w:ind w:firstLine="420"/>
        <w:rPr>
          <w:rFonts w:ascii="宋体" w:hAnsi="宋体"/>
          <w:szCs w:val="21"/>
        </w:rPr>
      </w:pPr>
      <w:r>
        <w:rPr>
          <w:rFonts w:ascii="宋体" w:hAnsi="宋体"/>
          <w:szCs w:val="21"/>
        </w:rPr>
        <w:t>1977年9月30日，中共南雄县委成立对台（湾）宣传领导小组，1981年2月成</w:t>
      </w:r>
      <w:r>
        <w:rPr>
          <w:rFonts w:hint="eastAsia" w:ascii="宋体" w:hAnsi="宋体"/>
          <w:szCs w:val="21"/>
        </w:rPr>
        <w:t>立对台（湾）宣传工作办公室，查清本县去台人员</w:t>
      </w:r>
      <w:r>
        <w:rPr>
          <w:rFonts w:ascii="宋体" w:hAnsi="宋体"/>
          <w:szCs w:val="21"/>
        </w:rPr>
        <w:t>310多名，其中与家乡有通信联</w:t>
      </w:r>
      <w:r>
        <w:rPr>
          <w:rFonts w:hint="eastAsia" w:ascii="宋体" w:hAnsi="宋体"/>
          <w:szCs w:val="21"/>
        </w:rPr>
        <w:t>系的</w:t>
      </w:r>
      <w:r>
        <w:rPr>
          <w:rFonts w:ascii="宋体" w:hAnsi="宋体"/>
          <w:szCs w:val="21"/>
        </w:rPr>
        <w:t>200多名，曾回乡探亲访友的121名。编写对台宣传新闻通讯63篇，其中被中</w:t>
      </w:r>
      <w:r>
        <w:rPr>
          <w:rFonts w:hint="eastAsia" w:ascii="宋体" w:hAnsi="宋体"/>
          <w:szCs w:val="21"/>
        </w:rPr>
        <w:t>央人民广播电台采用的</w:t>
      </w:r>
      <w:r>
        <w:rPr>
          <w:rFonts w:ascii="宋体" w:hAnsi="宋体"/>
          <w:szCs w:val="21"/>
        </w:rPr>
        <w:t>27篇，被福建海峡之声电台采用29篇，被中国新闻社采用7</w:t>
      </w:r>
      <w:r>
        <w:rPr>
          <w:rFonts w:hint="eastAsia" w:ascii="宋体" w:hAnsi="宋体"/>
          <w:szCs w:val="21"/>
        </w:rPr>
        <w:t>篇。协同有关部门做好回乡探亲、经商台胞的接待服务工作。</w:t>
      </w:r>
    </w:p>
    <w:p w14:paraId="3D9E0F44">
      <w:pPr>
        <w:ind w:firstLine="420"/>
        <w:rPr>
          <w:rFonts w:ascii="宋体" w:hAnsi="宋体"/>
          <w:szCs w:val="21"/>
        </w:rPr>
      </w:pPr>
      <w:r>
        <w:rPr>
          <w:rFonts w:hint="eastAsia" w:ascii="宋体" w:hAnsi="宋体"/>
          <w:szCs w:val="21"/>
        </w:rPr>
        <w:t>以珠玑巷为纽带，开展海外联谊交友工作，加强了对海外</w:t>
      </w:r>
      <w:r>
        <w:rPr>
          <w:rFonts w:ascii="宋体" w:hAnsi="宋体"/>
          <w:szCs w:val="21"/>
        </w:rPr>
        <w:t>100多个社团和知名人</w:t>
      </w:r>
      <w:r>
        <w:rPr>
          <w:rFonts w:hint="eastAsia" w:ascii="宋体" w:hAnsi="宋体"/>
          <w:szCs w:val="21"/>
        </w:rPr>
        <w:t>士的联谊，争取了对南雄经济文化建设更多的关心和支持。</w:t>
      </w:r>
    </w:p>
    <w:p w14:paraId="2562C6AC">
      <w:pPr>
        <w:pStyle w:val="4"/>
        <w:rPr>
          <w:rFonts w:ascii="宋体" w:hAnsi="宋体"/>
        </w:rPr>
      </w:pPr>
      <w:r>
        <w:rPr>
          <w:rFonts w:hint="eastAsia" w:ascii="宋体" w:hAnsi="宋体"/>
        </w:rPr>
        <w:t>第六节  党的政法工作</w:t>
      </w:r>
    </w:p>
    <w:p w14:paraId="6F27D1FD">
      <w:pPr>
        <w:pStyle w:val="5"/>
        <w:rPr>
          <w:rFonts w:ascii="宋体" w:hAnsi="宋体"/>
        </w:rPr>
      </w:pPr>
      <w:r>
        <w:rPr>
          <w:rFonts w:hint="eastAsia" w:ascii="宋体" w:hAnsi="宋体"/>
        </w:rPr>
        <w:t>一、机构与职能</w:t>
      </w:r>
    </w:p>
    <w:p w14:paraId="336F147C">
      <w:pPr>
        <w:ind w:firstLine="420"/>
        <w:rPr>
          <w:rFonts w:ascii="宋体" w:hAnsi="宋体"/>
          <w:szCs w:val="21"/>
        </w:rPr>
      </w:pPr>
      <w:r>
        <w:rPr>
          <w:rFonts w:ascii="宋体" w:hAnsi="宋体"/>
          <w:szCs w:val="21"/>
        </w:rPr>
        <w:t>1959年5月，中共南雄县委成立政法委员会。1967年“文化大革命”，政法委员</w:t>
      </w:r>
      <w:r>
        <w:rPr>
          <w:rFonts w:hint="eastAsia" w:ascii="宋体" w:hAnsi="宋体"/>
          <w:szCs w:val="21"/>
        </w:rPr>
        <w:t>会被撤销。</w:t>
      </w:r>
      <w:r>
        <w:rPr>
          <w:rFonts w:ascii="宋体" w:hAnsi="宋体"/>
          <w:szCs w:val="21"/>
        </w:rPr>
        <w:t>1978年12月，中共南雄县委重组政法小组。1981年3月，恢复中共南雄</w:t>
      </w:r>
      <w:r>
        <w:rPr>
          <w:rFonts w:hint="eastAsia" w:ascii="宋体" w:hAnsi="宋体"/>
          <w:szCs w:val="21"/>
        </w:rPr>
        <w:t>县委政法委员会。</w:t>
      </w:r>
      <w:r>
        <w:rPr>
          <w:rFonts w:ascii="宋体" w:hAnsi="宋体"/>
          <w:szCs w:val="21"/>
        </w:rPr>
        <w:t>1991年8月，南雄县社会治安综合治理委员会办公室成立，与政</w:t>
      </w:r>
      <w:r>
        <w:rPr>
          <w:rFonts w:hint="eastAsia" w:ascii="宋体" w:hAnsi="宋体"/>
          <w:szCs w:val="21"/>
        </w:rPr>
        <w:t>法委合署办公。</w:t>
      </w:r>
      <w:r>
        <w:rPr>
          <w:rFonts w:ascii="宋体" w:hAnsi="宋体"/>
          <w:szCs w:val="21"/>
        </w:rPr>
        <w:t>2001年3月，南雄市人民政府成立防范与处理邪教办公室，与政法</w:t>
      </w:r>
      <w:r>
        <w:rPr>
          <w:rFonts w:hint="eastAsia" w:ascii="宋体" w:hAnsi="宋体"/>
          <w:szCs w:val="21"/>
        </w:rPr>
        <w:t>委合署办公。</w:t>
      </w:r>
      <w:r>
        <w:rPr>
          <w:rFonts w:ascii="宋体" w:hAnsi="宋体"/>
          <w:szCs w:val="21"/>
        </w:rPr>
        <w:t>2</w:t>
      </w:r>
      <w:r>
        <w:rPr>
          <w:rFonts w:hint="eastAsia" w:ascii="宋体" w:hAnsi="宋体"/>
          <w:szCs w:val="21"/>
        </w:rPr>
        <w:t>0</w:t>
      </w:r>
      <w:r>
        <w:rPr>
          <w:rFonts w:ascii="宋体" w:hAnsi="宋体"/>
          <w:szCs w:val="21"/>
        </w:rPr>
        <w:t>02年12月，机构改革，核定市委政法委行政编制11人，内设政法</w:t>
      </w:r>
      <w:r>
        <w:rPr>
          <w:rFonts w:hint="eastAsia" w:ascii="宋体" w:hAnsi="宋体"/>
          <w:szCs w:val="21"/>
        </w:rPr>
        <w:t>委办公室、政工办、社会治安综合治理股、综合业务股。</w:t>
      </w:r>
    </w:p>
    <w:p w14:paraId="467F30E2">
      <w:pPr>
        <w:ind w:firstLine="420"/>
        <w:rPr>
          <w:rFonts w:ascii="宋体" w:hAnsi="宋体"/>
          <w:szCs w:val="21"/>
        </w:rPr>
      </w:pPr>
      <w:r>
        <w:rPr>
          <w:rFonts w:hint="eastAsia" w:ascii="宋体" w:hAnsi="宋体"/>
          <w:szCs w:val="21"/>
        </w:rPr>
        <w:t>政法委职能：根据中央的路线、方针、政策和部署，统一政法各部门的思想和行动；协助市委对一定时期内的政法工作全面性部署，并督促贯彻落实；组织协调指导维护社会稳定的工作；支持和监督政法各部门依法行使职权；督促、推动大要案的查处工作，研究和协调有争议的重大、疑难案件；组织推动社会治安综合治理工作；组织推动政法战线的调查研究工作，推动政法工作改革；研究、指导、协调、管理政法队伍。</w:t>
      </w:r>
    </w:p>
    <w:p w14:paraId="6FA5E0FA">
      <w:pPr>
        <w:pStyle w:val="5"/>
        <w:rPr>
          <w:rFonts w:ascii="宋体" w:hAnsi="宋体"/>
        </w:rPr>
      </w:pPr>
      <w:r>
        <w:rPr>
          <w:rFonts w:hint="eastAsia" w:ascii="宋体" w:hAnsi="宋体"/>
        </w:rPr>
        <w:t>二、主要工作简况</w:t>
      </w:r>
    </w:p>
    <w:p w14:paraId="6638EB71">
      <w:pPr>
        <w:ind w:firstLine="422"/>
        <w:rPr>
          <w:rFonts w:ascii="宋体" w:hAnsi="宋体"/>
          <w:szCs w:val="21"/>
        </w:rPr>
      </w:pPr>
      <w:r>
        <w:rPr>
          <w:rFonts w:hint="eastAsia" w:ascii="宋体" w:hAnsi="宋体"/>
          <w:b/>
          <w:szCs w:val="21"/>
        </w:rPr>
        <w:t>严厉打击刑事犯罪和经济犯罪活动。</w:t>
      </w:r>
      <w:r>
        <w:rPr>
          <w:rFonts w:hint="eastAsia" w:ascii="宋体" w:hAnsi="宋体"/>
          <w:szCs w:val="21"/>
        </w:rPr>
        <w:t>根据中央和省、市部署，组织协调政法部门开展“严打”和重点整治专项斗争。</w:t>
      </w:r>
      <w:r>
        <w:rPr>
          <w:rFonts w:ascii="宋体" w:hAnsi="宋体"/>
          <w:szCs w:val="21"/>
        </w:rPr>
        <w:t>1989年春夏之交在北京发生政治风波期间，政</w:t>
      </w:r>
      <w:r>
        <w:rPr>
          <w:rFonts w:hint="eastAsia" w:ascii="宋体" w:hAnsi="宋体"/>
          <w:szCs w:val="21"/>
        </w:rPr>
        <w:t>法委组织协调政法各部门干警加强值班备勤，维护交通治安秩序，加强重点单位安全保卫，打击各种反革命活动，维护全县稳定。</w:t>
      </w:r>
      <w:r>
        <w:rPr>
          <w:rFonts w:ascii="宋体" w:hAnsi="宋体"/>
          <w:szCs w:val="21"/>
        </w:rPr>
        <w:t>1993年，开展为期一年的“围歼车匪</w:t>
      </w:r>
      <w:r>
        <w:rPr>
          <w:rFonts w:hint="eastAsia" w:ascii="宋体" w:hAnsi="宋体"/>
          <w:szCs w:val="21"/>
        </w:rPr>
        <w:t>路霸，打团伙，追逃犯”专项斗争，成效显著，南雄县被广东省评为“严打工作先进集体”。</w:t>
      </w:r>
      <w:r>
        <w:rPr>
          <w:rFonts w:ascii="宋体" w:hAnsi="宋体"/>
          <w:szCs w:val="21"/>
        </w:rPr>
        <w:t>1995年9月至10月，开展“整治社会治安”严打专项行动。1997年3月，</w:t>
      </w:r>
      <w:r>
        <w:rPr>
          <w:rFonts w:hint="eastAsia" w:ascii="宋体" w:hAnsi="宋体"/>
          <w:szCs w:val="21"/>
        </w:rPr>
        <w:t>开展“春季严打”行动。</w:t>
      </w:r>
      <w:r>
        <w:rPr>
          <w:rFonts w:ascii="宋体" w:hAnsi="宋体"/>
          <w:szCs w:val="21"/>
        </w:rPr>
        <w:t>2000年，政法委执行中央综治委、中纪委、中组部、国家</w:t>
      </w:r>
      <w:r>
        <w:rPr>
          <w:rFonts w:hint="eastAsia" w:ascii="宋体" w:hAnsi="宋体"/>
          <w:szCs w:val="21"/>
        </w:rPr>
        <w:t>监察部、国家人事部“五部委”关于发生严重危害社会稳定重大问题的地方，实施领导责任追究制，组织政法部门深入开展“打黑除恶”专项斗争，先后对治安问题较为严重的地区开展专项治理。</w:t>
      </w:r>
    </w:p>
    <w:p w14:paraId="6FD982DA">
      <w:pPr>
        <w:ind w:firstLine="422"/>
        <w:rPr>
          <w:rFonts w:ascii="宋体" w:hAnsi="宋体"/>
          <w:szCs w:val="21"/>
        </w:rPr>
      </w:pPr>
      <w:r>
        <w:rPr>
          <w:rFonts w:hint="eastAsia" w:ascii="宋体" w:hAnsi="宋体"/>
          <w:b/>
          <w:szCs w:val="21"/>
        </w:rPr>
        <w:t>深入持久地开展社会治安综合治理工作。</w:t>
      </w:r>
      <w:r>
        <w:rPr>
          <w:rFonts w:ascii="宋体" w:hAnsi="宋体"/>
          <w:szCs w:val="21"/>
        </w:rPr>
        <w:t>1993年至1997年，先后制定了社会治</w:t>
      </w:r>
      <w:r>
        <w:rPr>
          <w:rFonts w:hint="eastAsia" w:ascii="宋体" w:hAnsi="宋体"/>
          <w:szCs w:val="21"/>
        </w:rPr>
        <w:t>安综合治理规划，《南雄市社会治安综合治理领导责任制实施办法》和关于实施领导责任制考核办法，《南雄市安全文明小区评分标准》。各镇相继成立社会治安综合治理领导小组及其办公室，市直属机关也相应成立综治办。全市投入综合治理的专职兼职人员有</w:t>
      </w:r>
      <w:r>
        <w:rPr>
          <w:rFonts w:ascii="宋体" w:hAnsi="宋体"/>
          <w:szCs w:val="21"/>
        </w:rPr>
        <w:t>420多人。在全市农村、城镇、机关全面开展创建安全文明小区活动。2002</w:t>
      </w:r>
      <w:r>
        <w:rPr>
          <w:rFonts w:hint="eastAsia" w:ascii="宋体" w:hAnsi="宋体"/>
          <w:szCs w:val="21"/>
        </w:rPr>
        <w:t>年，全市安全文明小区覆盖率达</w:t>
      </w:r>
      <w:r>
        <w:rPr>
          <w:rFonts w:ascii="宋体" w:hAnsi="宋体"/>
          <w:szCs w:val="21"/>
        </w:rPr>
        <w:t>80%，达标率为60%。南雄市被广东省政府评为</w:t>
      </w:r>
      <w:r>
        <w:rPr>
          <w:rFonts w:hint="eastAsia" w:ascii="宋体" w:hAnsi="宋体"/>
          <w:szCs w:val="21"/>
        </w:rPr>
        <w:t>“社会治安综合治理先进单位”。</w:t>
      </w:r>
    </w:p>
    <w:p w14:paraId="31A5180D">
      <w:pPr>
        <w:ind w:firstLine="422"/>
        <w:rPr>
          <w:rFonts w:ascii="宋体" w:hAnsi="宋体"/>
          <w:szCs w:val="21"/>
        </w:rPr>
      </w:pPr>
      <w:r>
        <w:rPr>
          <w:rFonts w:hint="eastAsia" w:ascii="宋体" w:hAnsi="宋体"/>
          <w:b/>
          <w:szCs w:val="21"/>
        </w:rPr>
        <w:t>不断加强政法队伍建设。</w:t>
      </w:r>
      <w:r>
        <w:rPr>
          <w:rFonts w:hint="eastAsia" w:ascii="宋体" w:hAnsi="宋体"/>
          <w:szCs w:val="21"/>
        </w:rPr>
        <w:t>继</w:t>
      </w:r>
      <w:r>
        <w:rPr>
          <w:rFonts w:ascii="宋体" w:hAnsi="宋体"/>
          <w:szCs w:val="21"/>
        </w:rPr>
        <w:t>1998年3月至6月，全面开展政法队伍整治教育活</w:t>
      </w:r>
      <w:r>
        <w:rPr>
          <w:rFonts w:hint="eastAsia" w:ascii="宋体" w:hAnsi="宋体"/>
          <w:szCs w:val="21"/>
        </w:rPr>
        <w:t>动之后，又于</w:t>
      </w:r>
      <w:r>
        <w:rPr>
          <w:rFonts w:ascii="宋体" w:hAnsi="宋体"/>
          <w:szCs w:val="21"/>
        </w:rPr>
        <w:t>1999年3月至10月，开展</w:t>
      </w:r>
      <w:r>
        <w:rPr>
          <w:rFonts w:hint="eastAsia" w:ascii="宋体" w:hAnsi="宋体"/>
          <w:szCs w:val="21"/>
        </w:rPr>
        <w:t>“</w:t>
      </w:r>
      <w:r>
        <w:rPr>
          <w:rFonts w:ascii="宋体" w:hAnsi="宋体"/>
          <w:szCs w:val="21"/>
        </w:rPr>
        <w:t>争创人民满意政法队伍活动</w:t>
      </w:r>
      <w:r>
        <w:rPr>
          <w:rFonts w:hint="eastAsia" w:ascii="宋体" w:hAnsi="宋体"/>
          <w:szCs w:val="21"/>
        </w:rPr>
        <w:t>”</w:t>
      </w:r>
      <w:r>
        <w:rPr>
          <w:rFonts w:ascii="宋体" w:hAnsi="宋体"/>
          <w:szCs w:val="21"/>
        </w:rPr>
        <w:t>。在机构改</w:t>
      </w:r>
      <w:r>
        <w:rPr>
          <w:rFonts w:hint="eastAsia" w:ascii="宋体" w:hAnsi="宋体"/>
          <w:szCs w:val="21"/>
        </w:rPr>
        <w:t>革的同时，开展中层干部竞争上岗考核，加大对干警培训力度，提高干警业务水平，强化干警服务意识，争创人民满意警队、五好检察院、优秀法院法庭。</w:t>
      </w:r>
      <w:r>
        <w:rPr>
          <w:rFonts w:ascii="宋体" w:hAnsi="宋体"/>
          <w:szCs w:val="21"/>
        </w:rPr>
        <w:t>2001年，南</w:t>
      </w:r>
      <w:r>
        <w:rPr>
          <w:rFonts w:hint="eastAsia" w:ascii="宋体" w:hAnsi="宋体"/>
          <w:szCs w:val="21"/>
        </w:rPr>
        <w:t>雄市公安局被省授予“优秀公安局”称号。市检察院被省检察院授予“人民满意检察院”称号。</w:t>
      </w:r>
      <w:r>
        <w:rPr>
          <w:rFonts w:ascii="宋体" w:hAnsi="宋体"/>
          <w:szCs w:val="21"/>
        </w:rPr>
        <w:t>2002年7月至10月，在全市政法队伍中开展专项整顿活动，主要是集</w:t>
      </w:r>
      <w:r>
        <w:rPr>
          <w:rFonts w:hint="eastAsia" w:ascii="宋体" w:hAnsi="宋体"/>
          <w:szCs w:val="21"/>
        </w:rPr>
        <w:t>中解决极少数干部中存在的吃请受礼、徇私枉法、作风粗暴、刑讯逼供及纵容、庇护邪恶势力、欺压百姓的违法违纪行为。通过整顿教育，查处干警违法违纪案件</w:t>
      </w:r>
      <w:r>
        <w:rPr>
          <w:rFonts w:ascii="宋体" w:hAnsi="宋体"/>
          <w:szCs w:val="21"/>
        </w:rPr>
        <w:t>6宗10人。</w:t>
      </w:r>
    </w:p>
    <w:p w14:paraId="0B28EE67">
      <w:pPr>
        <w:pStyle w:val="4"/>
        <w:rPr>
          <w:rFonts w:ascii="宋体" w:hAnsi="宋体"/>
        </w:rPr>
      </w:pPr>
      <w:r>
        <w:rPr>
          <w:rFonts w:hint="eastAsia" w:ascii="宋体" w:hAnsi="宋体"/>
        </w:rPr>
        <w:t>第七节  党的其他工作</w:t>
      </w:r>
    </w:p>
    <w:p w14:paraId="28C87A83">
      <w:pPr>
        <w:pStyle w:val="5"/>
        <w:rPr>
          <w:rFonts w:ascii="宋体" w:hAnsi="宋体"/>
        </w:rPr>
      </w:pPr>
      <w:r>
        <w:rPr>
          <w:rFonts w:hint="eastAsia" w:ascii="宋体" w:hAnsi="宋体"/>
        </w:rPr>
        <w:t>一、老干部工作</w:t>
      </w:r>
    </w:p>
    <w:p w14:paraId="2E573AB2">
      <w:pPr>
        <w:ind w:firstLine="420"/>
        <w:rPr>
          <w:rFonts w:ascii="宋体" w:hAnsi="宋体"/>
          <w:szCs w:val="21"/>
        </w:rPr>
      </w:pPr>
      <w:r>
        <w:rPr>
          <w:rFonts w:ascii="宋体" w:hAnsi="宋体"/>
          <w:szCs w:val="21"/>
        </w:rPr>
        <w:t>1983年11月设南雄县委老干部局，负责对老干部的管理工作。1997年改为中共</w:t>
      </w:r>
      <w:r>
        <w:rPr>
          <w:rFonts w:hint="eastAsia" w:ascii="宋体" w:hAnsi="宋体"/>
          <w:szCs w:val="21"/>
        </w:rPr>
        <w:t>南雄市委离休退休干部工作局。</w:t>
      </w:r>
      <w:r>
        <w:rPr>
          <w:rFonts w:ascii="宋体" w:hAnsi="宋体"/>
          <w:szCs w:val="21"/>
        </w:rPr>
        <w:t>2001年机构改革，又更名为中共南雄市委老干部局</w:t>
      </w:r>
      <w:r>
        <w:rPr>
          <w:rFonts w:hint="eastAsia" w:ascii="宋体" w:hAnsi="宋体"/>
          <w:szCs w:val="21"/>
        </w:rPr>
        <w:t>。</w:t>
      </w:r>
    </w:p>
    <w:p w14:paraId="61161002">
      <w:pPr>
        <w:ind w:firstLine="420"/>
        <w:rPr>
          <w:rFonts w:ascii="宋体" w:hAnsi="宋体"/>
          <w:szCs w:val="21"/>
        </w:rPr>
      </w:pPr>
      <w:r>
        <w:rPr>
          <w:rFonts w:hint="eastAsia" w:ascii="宋体" w:hAnsi="宋体"/>
          <w:szCs w:val="21"/>
        </w:rPr>
        <w:t>围绕“六个老有”开展老干部工作。落实老干部政治待遇。市委、市政府每年至少召开</w:t>
      </w:r>
      <w:r>
        <w:rPr>
          <w:rFonts w:ascii="宋体" w:hAnsi="宋体"/>
          <w:szCs w:val="21"/>
        </w:rPr>
        <w:t>2次通报会，向老干部通报工作情况。重要会议请老干部列席参加。加强老</w:t>
      </w:r>
      <w:r>
        <w:rPr>
          <w:rFonts w:hint="eastAsia" w:ascii="宋体" w:hAnsi="宋体"/>
          <w:szCs w:val="21"/>
        </w:rPr>
        <w:t>干部党支部建设，为每个离休老干部订阅《老人报》和《秋光》杂志。组织老干部参观经济文化建设项目。市党政领导于节日走访原任副县长以上离退休干部，慰问老干部家属。落实老干部生活待遇，保证按规定足额发放生活费。并按规定报销医药费。</w:t>
      </w:r>
    </w:p>
    <w:p w14:paraId="76A2A04C">
      <w:pPr>
        <w:ind w:firstLine="420"/>
        <w:rPr>
          <w:rFonts w:ascii="宋体" w:hAnsi="宋体"/>
          <w:szCs w:val="21"/>
        </w:rPr>
      </w:pPr>
      <w:r>
        <w:rPr>
          <w:rFonts w:hint="eastAsia" w:ascii="宋体" w:hAnsi="宋体"/>
          <w:szCs w:val="21"/>
        </w:rPr>
        <w:t>办好老干部活动中心。该中心总投资</w:t>
      </w:r>
      <w:r>
        <w:rPr>
          <w:rFonts w:ascii="宋体" w:hAnsi="宋体"/>
          <w:szCs w:val="21"/>
        </w:rPr>
        <w:t>65万多元，总建筑面积1418平方米，户外</w:t>
      </w:r>
      <w:r>
        <w:rPr>
          <w:rFonts w:hint="eastAsia" w:ascii="宋体" w:hAnsi="宋体"/>
          <w:szCs w:val="21"/>
        </w:rPr>
        <w:t>活动面积</w:t>
      </w:r>
      <w:r>
        <w:rPr>
          <w:rFonts w:ascii="宋体" w:hAnsi="宋体"/>
          <w:szCs w:val="21"/>
        </w:rPr>
        <w:t>1100平方米，绿化面积500平方米。中心内设天九、麻将、象棋、乒乓球、</w:t>
      </w:r>
      <w:r>
        <w:rPr>
          <w:rFonts w:hint="eastAsia" w:ascii="宋体" w:hAnsi="宋体"/>
          <w:szCs w:val="21"/>
        </w:rPr>
        <w:t>歌舞、健身、阅览等多个娱乐活动室，外设门球场</w:t>
      </w:r>
      <w:r>
        <w:rPr>
          <w:rFonts w:ascii="宋体" w:hAnsi="宋体"/>
          <w:szCs w:val="21"/>
        </w:rPr>
        <w:t>2个。1986年起，每年举办1期～2期老年健美操、老年迪斯科舞、太极拳、太极剑等学习班，举行老干部运动会1</w:t>
      </w:r>
      <w:r>
        <w:rPr>
          <w:rFonts w:hint="eastAsia" w:ascii="宋体" w:hAnsi="宋体"/>
          <w:szCs w:val="21"/>
        </w:rPr>
        <w:t>次。同时组织老年书画展、养鸟斗歌和盆景竞赛等活动。从</w:t>
      </w:r>
      <w:r>
        <w:rPr>
          <w:rFonts w:ascii="宋体" w:hAnsi="宋体"/>
          <w:szCs w:val="21"/>
        </w:rPr>
        <w:t>1989年全省第一个老人</w:t>
      </w:r>
      <w:r>
        <w:rPr>
          <w:rFonts w:hint="eastAsia" w:ascii="宋体" w:hAnsi="宋体"/>
          <w:szCs w:val="21"/>
        </w:rPr>
        <w:t>节开始，每年老人节举办综合文体比赛，每季开展门球比赛。每月</w:t>
      </w:r>
      <w:r>
        <w:rPr>
          <w:rFonts w:ascii="宋体" w:hAnsi="宋体"/>
          <w:szCs w:val="21"/>
        </w:rPr>
        <w:t>11日为老干部卫</w:t>
      </w:r>
      <w:r>
        <w:rPr>
          <w:rFonts w:hint="eastAsia" w:ascii="宋体" w:hAnsi="宋体"/>
          <w:szCs w:val="21"/>
        </w:rPr>
        <w:t>生咨询日。</w:t>
      </w:r>
    </w:p>
    <w:p w14:paraId="72865517">
      <w:pPr>
        <w:pStyle w:val="5"/>
        <w:rPr>
          <w:rFonts w:ascii="宋体" w:hAnsi="宋体"/>
        </w:rPr>
      </w:pPr>
      <w:r>
        <w:rPr>
          <w:rFonts w:hint="eastAsia" w:ascii="宋体" w:hAnsi="宋体"/>
        </w:rPr>
        <w:t>二、信访工作</w:t>
      </w:r>
    </w:p>
    <w:p w14:paraId="294D92BB">
      <w:pPr>
        <w:ind w:firstLine="420"/>
        <w:rPr>
          <w:rFonts w:ascii="宋体" w:hAnsi="宋体"/>
          <w:szCs w:val="21"/>
        </w:rPr>
      </w:pPr>
      <w:r>
        <w:rPr>
          <w:rFonts w:hint="eastAsia" w:ascii="宋体" w:hAnsi="宋体"/>
          <w:szCs w:val="21"/>
        </w:rPr>
        <w:t>建立三级信访工作网。</w:t>
      </w:r>
      <w:r>
        <w:rPr>
          <w:rFonts w:ascii="宋体" w:hAnsi="宋体"/>
          <w:szCs w:val="21"/>
        </w:rPr>
        <w:t>1973年县革命委员会设信访组。1984年6月，县人民政</w:t>
      </w:r>
      <w:r>
        <w:rPr>
          <w:rFonts w:hint="eastAsia" w:ascii="宋体" w:hAnsi="宋体"/>
          <w:szCs w:val="21"/>
        </w:rPr>
        <w:t>府设信访科。</w:t>
      </w:r>
      <w:r>
        <w:rPr>
          <w:rFonts w:ascii="宋体" w:hAnsi="宋体"/>
          <w:szCs w:val="21"/>
        </w:rPr>
        <w:t>1986年9月改为信访办公室。2001年更名为市信访局。随着改革开放</w:t>
      </w:r>
      <w:r>
        <w:rPr>
          <w:rFonts w:hint="eastAsia" w:ascii="宋体" w:hAnsi="宋体"/>
          <w:szCs w:val="21"/>
        </w:rPr>
        <w:t>形势发展，对信访工作不断加强领导，逐步建立市（县）、镇、村三级信访工作网。市成立信访工作领导小组，由管党群副书记任组长。市直机关和各乡镇均建立信访工作领导小组。市直机关较大的委、办科局，由分管政工的领导任组长，下设办公室，配备专职或兼职信访干部。各镇由镇党委党群副书记和纪检书记分别任正副组长，下设办公室，配备</w:t>
      </w:r>
      <w:r>
        <w:rPr>
          <w:rFonts w:ascii="宋体" w:hAnsi="宋体"/>
          <w:szCs w:val="21"/>
        </w:rPr>
        <w:t>1名～3名专职信访员。村设信访调解小组，配备兼职调解员。2002</w:t>
      </w:r>
      <w:r>
        <w:rPr>
          <w:rFonts w:hint="eastAsia" w:ascii="宋体" w:hAnsi="宋体"/>
          <w:szCs w:val="21"/>
        </w:rPr>
        <w:t>年，市直机关和各镇共有信访工作领导小组</w:t>
      </w:r>
      <w:r>
        <w:rPr>
          <w:rFonts w:ascii="宋体" w:hAnsi="宋体"/>
          <w:szCs w:val="21"/>
        </w:rPr>
        <w:t>69个，专、兼职信访干部138人，村</w:t>
      </w:r>
      <w:r>
        <w:rPr>
          <w:rFonts w:hint="eastAsia" w:ascii="宋体" w:hAnsi="宋体"/>
          <w:szCs w:val="21"/>
        </w:rPr>
        <w:t>（居）委会信访调解小组</w:t>
      </w:r>
      <w:r>
        <w:rPr>
          <w:rFonts w:ascii="宋体" w:hAnsi="宋体"/>
          <w:szCs w:val="21"/>
        </w:rPr>
        <w:t>237个，兼职调解员237人。</w:t>
      </w:r>
    </w:p>
    <w:p w14:paraId="06610330">
      <w:pPr>
        <w:ind w:firstLine="420"/>
        <w:rPr>
          <w:rFonts w:ascii="宋体" w:hAnsi="宋体"/>
          <w:szCs w:val="21"/>
        </w:rPr>
      </w:pPr>
      <w:r>
        <w:rPr>
          <w:rFonts w:hint="eastAsia" w:ascii="宋体" w:hAnsi="宋体"/>
          <w:szCs w:val="21"/>
        </w:rPr>
        <w:t>坚持领导亲自办理信访制度。</w:t>
      </w:r>
      <w:r>
        <w:rPr>
          <w:rFonts w:ascii="宋体" w:hAnsi="宋体"/>
          <w:szCs w:val="21"/>
        </w:rPr>
        <w:t>1981年12月开始执行县领导公开挂牌接待来访群</w:t>
      </w:r>
      <w:r>
        <w:rPr>
          <w:rFonts w:hint="eastAsia" w:ascii="宋体" w:hAnsi="宋体"/>
          <w:szCs w:val="21"/>
        </w:rPr>
        <w:t>众制度。市党政领导和市信访工作领导小组经常召开联席会议，研究信访热点难点。领导亲自批阅群众来信，亲自办理信访案件。</w:t>
      </w:r>
      <w:r>
        <w:rPr>
          <w:rFonts w:ascii="宋体" w:hAnsi="宋体"/>
          <w:szCs w:val="21"/>
        </w:rPr>
        <w:t>1981年以来20年间，市（县）领导共</w:t>
      </w:r>
      <w:r>
        <w:rPr>
          <w:rFonts w:hint="eastAsia" w:ascii="宋体" w:hAnsi="宋体"/>
          <w:szCs w:val="21"/>
        </w:rPr>
        <w:t>接待来访</w:t>
      </w:r>
      <w:r>
        <w:rPr>
          <w:rFonts w:ascii="宋体" w:hAnsi="宋体"/>
          <w:szCs w:val="21"/>
        </w:rPr>
        <w:t>1409宗，阅批群众来信9110件，办案381宗，处理信访3789件，占信访</w:t>
      </w:r>
      <w:r>
        <w:rPr>
          <w:rFonts w:hint="eastAsia" w:ascii="宋体" w:hAnsi="宋体"/>
          <w:szCs w:val="21"/>
        </w:rPr>
        <w:t>总数的</w:t>
      </w:r>
      <w:r>
        <w:rPr>
          <w:rFonts w:ascii="宋体" w:hAnsi="宋体"/>
          <w:szCs w:val="21"/>
        </w:rPr>
        <w:t>53.2%</w:t>
      </w:r>
      <w:r>
        <w:rPr>
          <w:rFonts w:hint="eastAsia" w:ascii="宋体" w:hAnsi="宋体"/>
          <w:szCs w:val="21"/>
        </w:rPr>
        <w:t>。</w:t>
      </w:r>
    </w:p>
    <w:p w14:paraId="099641CC">
      <w:pPr>
        <w:ind w:firstLine="420"/>
        <w:rPr>
          <w:rFonts w:ascii="宋体" w:hAnsi="宋体"/>
          <w:szCs w:val="21"/>
        </w:rPr>
      </w:pPr>
      <w:r>
        <w:rPr>
          <w:rFonts w:hint="eastAsia" w:ascii="宋体" w:hAnsi="宋体"/>
          <w:szCs w:val="21"/>
        </w:rPr>
        <w:t>建立信访工作岗位责任制，提高办结率。</w:t>
      </w:r>
      <w:r>
        <w:rPr>
          <w:rFonts w:ascii="宋体" w:hAnsi="宋体"/>
          <w:szCs w:val="21"/>
        </w:rPr>
        <w:t>1988年至2002年，市信访局受理信访7123件，办结6744件，办结率为94.7%；立案1365宗，结案1250宗，结案率为91.4%。市直机关受理信访22360件，处结21958件，处结率为98.2%。各镇受理信</w:t>
      </w:r>
      <w:r>
        <w:rPr>
          <w:rFonts w:hint="eastAsia" w:ascii="宋体" w:hAnsi="宋体"/>
          <w:szCs w:val="21"/>
        </w:rPr>
        <w:t>访</w:t>
      </w:r>
      <w:r>
        <w:rPr>
          <w:rFonts w:ascii="宋体" w:hAnsi="宋体"/>
          <w:szCs w:val="21"/>
        </w:rPr>
        <w:t>18375件，处结18027件，处结率为98.1%</w:t>
      </w:r>
      <w:r>
        <w:rPr>
          <w:rFonts w:hint="eastAsia" w:ascii="宋体" w:hAnsi="宋体"/>
          <w:szCs w:val="21"/>
        </w:rPr>
        <w:t>。</w:t>
      </w:r>
    </w:p>
    <w:p w14:paraId="5A3920D7">
      <w:pPr>
        <w:pStyle w:val="5"/>
        <w:rPr>
          <w:rFonts w:ascii="宋体" w:hAnsi="宋体"/>
        </w:rPr>
      </w:pPr>
      <w:r>
        <w:rPr>
          <w:rFonts w:hint="eastAsia" w:ascii="宋体" w:hAnsi="宋体"/>
        </w:rPr>
        <w:t>三、党史研究</w:t>
      </w:r>
    </w:p>
    <w:p w14:paraId="27234DB0">
      <w:pPr>
        <w:ind w:firstLine="420"/>
        <w:rPr>
          <w:rFonts w:ascii="宋体" w:hAnsi="宋体"/>
          <w:szCs w:val="21"/>
        </w:rPr>
      </w:pPr>
      <w:r>
        <w:rPr>
          <w:rFonts w:ascii="宋体" w:hAnsi="宋体"/>
          <w:szCs w:val="21"/>
        </w:rPr>
        <w:t>1982年6月，县委党史研究室成立，开展地方党史征集研究。1982年至1989</w:t>
      </w:r>
      <w:r>
        <w:rPr>
          <w:rFonts w:hint="eastAsia" w:ascii="宋体" w:hAnsi="宋体"/>
          <w:szCs w:val="21"/>
        </w:rPr>
        <w:t>年，编印《南雄县党史资料》</w:t>
      </w:r>
      <w:r>
        <w:rPr>
          <w:rFonts w:ascii="宋体" w:hAnsi="宋体"/>
          <w:szCs w:val="21"/>
        </w:rPr>
        <w:t>16期，出版《浈江洪流》（党史大史记）、《南雄英烈》</w:t>
      </w:r>
      <w:r>
        <w:rPr>
          <w:rFonts w:hint="eastAsia" w:ascii="宋体" w:hAnsi="宋体"/>
          <w:szCs w:val="21"/>
        </w:rPr>
        <w:t>（人物传）。</w:t>
      </w:r>
    </w:p>
    <w:p w14:paraId="536CD626">
      <w:pPr>
        <w:ind w:firstLine="420"/>
        <w:rPr>
          <w:rFonts w:ascii="宋体" w:hAnsi="宋体"/>
          <w:szCs w:val="21"/>
        </w:rPr>
      </w:pPr>
      <w:r>
        <w:rPr>
          <w:rFonts w:ascii="宋体" w:hAnsi="宋体"/>
          <w:szCs w:val="21"/>
        </w:rPr>
        <w:t>1993年至1997年编写《南雄人民革命史料选编》上、下册（与政协文史资料委</w:t>
      </w:r>
      <w:r>
        <w:rPr>
          <w:rFonts w:hint="eastAsia" w:ascii="宋体" w:hAnsi="宋体"/>
          <w:szCs w:val="21"/>
        </w:rPr>
        <w:t>员会合编），组织编写《南雄人民革命史》，与市委组织部、档案局合编《中共南雄县组织史资料》。</w:t>
      </w:r>
      <w:r>
        <w:rPr>
          <w:rFonts w:ascii="宋体" w:hAnsi="宋体"/>
          <w:szCs w:val="21"/>
        </w:rPr>
        <w:t>1998年起编辑出版党的活动大事记，连编3年，每年1册。另编印</w:t>
      </w:r>
      <w:r>
        <w:rPr>
          <w:rFonts w:hint="eastAsia" w:ascii="宋体" w:hAnsi="宋体"/>
          <w:szCs w:val="21"/>
        </w:rPr>
        <w:t>《张尚琼纪念文集》、《珠玑魂》（纪念革命烈士周群标同志诞辰一百周年专辑）、《他在暴风雨中成长》（缅怀徐道昌文选）。市党史研究室被韶关市党史研究室评为“</w:t>
      </w:r>
      <w:r>
        <w:rPr>
          <w:rFonts w:ascii="宋体" w:hAnsi="宋体"/>
          <w:szCs w:val="21"/>
        </w:rPr>
        <w:t>1996年至2000年先进集体</w:t>
      </w:r>
      <w:r>
        <w:rPr>
          <w:rFonts w:hint="eastAsia" w:ascii="宋体" w:hAnsi="宋体"/>
          <w:szCs w:val="21"/>
        </w:rPr>
        <w:t>”。</w:t>
      </w:r>
    </w:p>
    <w:p w14:paraId="154577E5">
      <w:pPr>
        <w:ind w:firstLine="420"/>
        <w:rPr>
          <w:rFonts w:ascii="宋体" w:hAnsi="宋体"/>
          <w:szCs w:val="21"/>
        </w:rPr>
      </w:pPr>
      <w:r>
        <w:rPr>
          <w:rFonts w:ascii="宋体" w:hAnsi="宋体"/>
          <w:szCs w:val="21"/>
        </w:rPr>
        <w:t>2001年机构改革，党史研究室与地方志编纂委员会办公室合并为南雄市史志办</w:t>
      </w:r>
      <w:r>
        <w:rPr>
          <w:rFonts w:hint="eastAsia" w:ascii="宋体" w:hAnsi="宋体"/>
          <w:szCs w:val="21"/>
        </w:rPr>
        <w:t>公室。</w:t>
      </w:r>
    </w:p>
    <w:p w14:paraId="7972DFFC">
      <w:pPr>
        <w:pStyle w:val="5"/>
        <w:rPr>
          <w:rFonts w:ascii="宋体" w:hAnsi="宋体"/>
        </w:rPr>
      </w:pPr>
      <w:r>
        <w:rPr>
          <w:rFonts w:hint="eastAsia" w:ascii="宋体" w:hAnsi="宋体"/>
        </w:rPr>
        <w:t>四、市直机关工委</w:t>
      </w:r>
    </w:p>
    <w:p w14:paraId="3818EBCA">
      <w:pPr>
        <w:ind w:firstLine="420"/>
        <w:rPr>
          <w:rFonts w:ascii="宋体" w:hAnsi="宋体"/>
          <w:szCs w:val="21"/>
        </w:rPr>
      </w:pPr>
      <w:r>
        <w:rPr>
          <w:rFonts w:ascii="宋体" w:hAnsi="宋体"/>
          <w:szCs w:val="21"/>
        </w:rPr>
        <w:t>1959年2月，成立南雄县直属机关党委会。1997年，改为南雄市直属机关工作</w:t>
      </w:r>
      <w:r>
        <w:rPr>
          <w:rFonts w:hint="eastAsia" w:ascii="宋体" w:hAnsi="宋体"/>
          <w:szCs w:val="21"/>
        </w:rPr>
        <w:t>委员会。内设办公室、组织股和市直团工委、市直机关武装部、市直纪工委，下属</w:t>
      </w:r>
      <w:r>
        <w:rPr>
          <w:rFonts w:ascii="宋体" w:hAnsi="宋体"/>
          <w:szCs w:val="21"/>
        </w:rPr>
        <w:t>35个党总支部，259个党支部</w:t>
      </w:r>
      <w:r>
        <w:rPr>
          <w:rFonts w:hint="eastAsia" w:ascii="宋体" w:hAnsi="宋体"/>
          <w:szCs w:val="21"/>
        </w:rPr>
        <w:t>。</w:t>
      </w:r>
    </w:p>
    <w:p w14:paraId="7C8DE429">
      <w:pPr>
        <w:ind w:firstLine="420"/>
        <w:rPr>
          <w:rFonts w:ascii="宋体" w:hAnsi="宋体"/>
          <w:szCs w:val="21"/>
        </w:rPr>
      </w:pPr>
      <w:r>
        <w:rPr>
          <w:rFonts w:ascii="宋体" w:hAnsi="宋体"/>
          <w:szCs w:val="21"/>
        </w:rPr>
        <w:t>1998年至2004年，培训入党对象2101人，审批吸收预备党员783名，批准转正768名。审批新建112个党支部组成人员。每年开展一次党务工作检查，促进各基层</w:t>
      </w:r>
      <w:r>
        <w:rPr>
          <w:rFonts w:hint="eastAsia" w:ascii="宋体" w:hAnsi="宋体"/>
          <w:szCs w:val="21"/>
        </w:rPr>
        <w:t>组织“三会一课”、电化教育等制度化、规范化。市直纪工委成立</w:t>
      </w:r>
      <w:r>
        <w:rPr>
          <w:rFonts w:ascii="宋体" w:hAnsi="宋体"/>
          <w:szCs w:val="21"/>
        </w:rPr>
        <w:t>3年多来，查处违</w:t>
      </w:r>
      <w:r>
        <w:rPr>
          <w:rFonts w:hint="eastAsia" w:ascii="宋体" w:hAnsi="宋体"/>
          <w:szCs w:val="21"/>
        </w:rPr>
        <w:t>纪案件</w:t>
      </w:r>
      <w:r>
        <w:rPr>
          <w:rFonts w:ascii="宋体" w:hAnsi="宋体"/>
          <w:szCs w:val="21"/>
        </w:rPr>
        <w:t>20宗，审结20宗，共处分党员21人，其中开除党籍3人，撤销党内职务2</w:t>
      </w:r>
      <w:r>
        <w:rPr>
          <w:rFonts w:hint="eastAsia" w:ascii="宋体" w:hAnsi="宋体"/>
          <w:szCs w:val="21"/>
        </w:rPr>
        <w:t>人，留党察看</w:t>
      </w:r>
      <w:r>
        <w:rPr>
          <w:rFonts w:ascii="宋体" w:hAnsi="宋体"/>
          <w:szCs w:val="21"/>
        </w:rPr>
        <w:t>2人，严重警告3人，警告11人。</w:t>
      </w:r>
    </w:p>
    <w:p w14:paraId="0176B8C2">
      <w:pPr>
        <w:pStyle w:val="4"/>
        <w:rPr>
          <w:rFonts w:ascii="宋体" w:hAnsi="宋体"/>
        </w:rPr>
      </w:pPr>
      <w:r>
        <w:rPr>
          <w:rFonts w:hint="eastAsia" w:ascii="宋体" w:hAnsi="宋体"/>
        </w:rPr>
        <w:t>第八节  历届中共南雄市（县）委领导任职情况</w:t>
      </w:r>
    </w:p>
    <w:p w14:paraId="62B33FE5">
      <w:pPr>
        <w:pStyle w:val="5"/>
        <w:rPr>
          <w:rFonts w:ascii="宋体" w:hAnsi="宋体"/>
        </w:rPr>
      </w:pPr>
      <w:r>
        <w:rPr>
          <w:rFonts w:hint="eastAsia" w:ascii="宋体" w:hAnsi="宋体"/>
        </w:rPr>
        <w:t>一、中共南雄县委领导任职情况</w:t>
      </w:r>
    </w:p>
    <w:p w14:paraId="58C57114">
      <w:pPr>
        <w:ind w:firstLine="0" w:firstLineChars="0"/>
        <w:jc w:val="center"/>
        <w:rPr>
          <w:rFonts w:ascii="宋体" w:hAnsi="宋体"/>
          <w:b/>
          <w:szCs w:val="21"/>
        </w:rPr>
      </w:pPr>
      <w:r>
        <w:rPr>
          <w:rFonts w:ascii="宋体" w:hAnsi="宋体"/>
          <w:b/>
          <w:szCs w:val="21"/>
        </w:rPr>
        <w:t>1970年1月至1996年8月中共南雄县委领导任职情况</w:t>
      </w:r>
    </w:p>
    <w:p w14:paraId="58B38DBB">
      <w:pPr>
        <w:ind w:firstLine="0" w:firstLineChars="0"/>
        <w:rPr>
          <w:rFonts w:ascii="宋体" w:hAnsi="宋体"/>
          <w:b/>
          <w:szCs w:val="21"/>
        </w:rPr>
      </w:pPr>
      <w:r>
        <w:rPr>
          <w:rFonts w:hint="eastAsia" w:ascii="宋体" w:hAnsi="宋体"/>
          <w:b/>
          <w:szCs w:val="21"/>
        </w:rPr>
        <w:t>表</w:t>
      </w:r>
      <w:r>
        <w:rPr>
          <w:rFonts w:ascii="宋体" w:hAnsi="宋体"/>
          <w:b/>
          <w:szCs w:val="21"/>
        </w:rPr>
        <w:t>4-2</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11"/>
        <w:gridCol w:w="1712"/>
        <w:gridCol w:w="1712"/>
        <w:gridCol w:w="4827"/>
      </w:tblGrid>
      <w:tr w14:paraId="58ABCE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00CA34A9">
            <w:pPr>
              <w:pStyle w:val="12"/>
              <w:jc w:val="center"/>
              <w:rPr>
                <w:b/>
              </w:rPr>
            </w:pPr>
            <w:r>
              <w:rPr>
                <w:rFonts w:hint="eastAsia"/>
                <w:b/>
              </w:rPr>
              <w:t>姓名</w:t>
            </w:r>
          </w:p>
        </w:tc>
        <w:tc>
          <w:tcPr>
            <w:tcW w:w="859" w:type="pct"/>
            <w:vAlign w:val="center"/>
          </w:tcPr>
          <w:p w14:paraId="005DF755">
            <w:pPr>
              <w:pStyle w:val="12"/>
              <w:jc w:val="center"/>
              <w:rPr>
                <w:b/>
              </w:rPr>
            </w:pPr>
            <w:r>
              <w:rPr>
                <w:rFonts w:hint="eastAsia"/>
                <w:b/>
              </w:rPr>
              <w:t>籍贯</w:t>
            </w:r>
          </w:p>
        </w:tc>
        <w:tc>
          <w:tcPr>
            <w:tcW w:w="859" w:type="pct"/>
            <w:vAlign w:val="center"/>
          </w:tcPr>
          <w:p w14:paraId="29B512C7">
            <w:pPr>
              <w:pStyle w:val="12"/>
              <w:jc w:val="center"/>
              <w:rPr>
                <w:b/>
              </w:rPr>
            </w:pPr>
            <w:r>
              <w:rPr>
                <w:rFonts w:hint="eastAsia"/>
                <w:b/>
              </w:rPr>
              <w:t>职务</w:t>
            </w:r>
          </w:p>
        </w:tc>
        <w:tc>
          <w:tcPr>
            <w:tcW w:w="2422" w:type="pct"/>
            <w:vAlign w:val="center"/>
          </w:tcPr>
          <w:p w14:paraId="1B4BCE55">
            <w:pPr>
              <w:pStyle w:val="12"/>
              <w:jc w:val="center"/>
              <w:rPr>
                <w:b/>
              </w:rPr>
            </w:pPr>
            <w:r>
              <w:rPr>
                <w:rFonts w:hint="eastAsia"/>
                <w:b/>
              </w:rPr>
              <w:t>任职时间</w:t>
            </w:r>
          </w:p>
        </w:tc>
      </w:tr>
      <w:tr w14:paraId="4D18EE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7BE49D01">
            <w:pPr>
              <w:pStyle w:val="12"/>
              <w:jc w:val="center"/>
            </w:pPr>
            <w:r>
              <w:rPr>
                <w:rFonts w:hint="eastAsia"/>
              </w:rPr>
              <w:t>沈会峰</w:t>
            </w:r>
          </w:p>
        </w:tc>
        <w:tc>
          <w:tcPr>
            <w:tcW w:w="859" w:type="pct"/>
            <w:vAlign w:val="center"/>
          </w:tcPr>
          <w:p w14:paraId="3942A8C1">
            <w:pPr>
              <w:pStyle w:val="12"/>
              <w:jc w:val="center"/>
            </w:pPr>
            <w:r>
              <w:rPr>
                <w:rFonts w:hint="eastAsia"/>
              </w:rPr>
              <w:t>河北滦南</w:t>
            </w:r>
          </w:p>
        </w:tc>
        <w:tc>
          <w:tcPr>
            <w:tcW w:w="859" w:type="pct"/>
            <w:vAlign w:val="center"/>
          </w:tcPr>
          <w:p w14:paraId="23EF8708">
            <w:pPr>
              <w:pStyle w:val="12"/>
              <w:jc w:val="center"/>
            </w:pPr>
            <w:r>
              <w:rPr>
                <w:rFonts w:hint="eastAsia"/>
              </w:rPr>
              <w:t>书记</w:t>
            </w:r>
          </w:p>
        </w:tc>
        <w:tc>
          <w:tcPr>
            <w:tcW w:w="2422" w:type="pct"/>
            <w:vAlign w:val="center"/>
          </w:tcPr>
          <w:p w14:paraId="6CCC57FB">
            <w:pPr>
              <w:pStyle w:val="12"/>
              <w:jc w:val="left"/>
            </w:pPr>
            <w:r>
              <w:rPr>
                <w:rFonts w:hint="eastAsia"/>
              </w:rPr>
              <w:t>1974年7月至1984年4月</w:t>
            </w:r>
          </w:p>
        </w:tc>
      </w:tr>
      <w:tr w14:paraId="15BC44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169BC1EF">
            <w:pPr>
              <w:pStyle w:val="12"/>
              <w:jc w:val="center"/>
            </w:pPr>
            <w:r>
              <w:rPr>
                <w:rFonts w:hint="eastAsia"/>
              </w:rPr>
              <w:t>肖有根</w:t>
            </w:r>
          </w:p>
        </w:tc>
        <w:tc>
          <w:tcPr>
            <w:tcW w:w="859" w:type="pct"/>
            <w:vAlign w:val="center"/>
          </w:tcPr>
          <w:p w14:paraId="122E64FC">
            <w:pPr>
              <w:pStyle w:val="12"/>
              <w:jc w:val="center"/>
            </w:pPr>
            <w:r>
              <w:rPr>
                <w:rFonts w:hint="eastAsia"/>
              </w:rPr>
              <w:t>广东翁源</w:t>
            </w:r>
          </w:p>
        </w:tc>
        <w:tc>
          <w:tcPr>
            <w:tcW w:w="859" w:type="pct"/>
            <w:vAlign w:val="center"/>
          </w:tcPr>
          <w:p w14:paraId="1BD0AE8F">
            <w:pPr>
              <w:pStyle w:val="12"/>
              <w:jc w:val="center"/>
            </w:pPr>
            <w:r>
              <w:rPr>
                <w:rFonts w:hint="eastAsia"/>
              </w:rPr>
              <w:t>书记</w:t>
            </w:r>
          </w:p>
        </w:tc>
        <w:tc>
          <w:tcPr>
            <w:tcW w:w="2422" w:type="pct"/>
            <w:vAlign w:val="center"/>
          </w:tcPr>
          <w:p w14:paraId="4A94FD46">
            <w:pPr>
              <w:pStyle w:val="12"/>
              <w:jc w:val="left"/>
            </w:pPr>
            <w:r>
              <w:rPr>
                <w:rFonts w:hint="eastAsia"/>
              </w:rPr>
              <w:t>1984年4月至1988年3月</w:t>
            </w:r>
          </w:p>
        </w:tc>
      </w:tr>
      <w:tr w14:paraId="7E116F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1B2916F1">
            <w:pPr>
              <w:pStyle w:val="12"/>
              <w:jc w:val="center"/>
            </w:pPr>
            <w:r>
              <w:rPr>
                <w:rFonts w:hint="eastAsia"/>
              </w:rPr>
              <w:t>黄永东</w:t>
            </w:r>
          </w:p>
        </w:tc>
        <w:tc>
          <w:tcPr>
            <w:tcW w:w="859" w:type="pct"/>
            <w:vAlign w:val="center"/>
          </w:tcPr>
          <w:p w14:paraId="52A000E3">
            <w:pPr>
              <w:pStyle w:val="12"/>
              <w:jc w:val="center"/>
            </w:pPr>
            <w:r>
              <w:rPr>
                <w:rFonts w:hint="eastAsia"/>
              </w:rPr>
              <w:t>广东梅县</w:t>
            </w:r>
          </w:p>
        </w:tc>
        <w:tc>
          <w:tcPr>
            <w:tcW w:w="859" w:type="pct"/>
            <w:vAlign w:val="center"/>
          </w:tcPr>
          <w:p w14:paraId="4BC5EE83">
            <w:pPr>
              <w:pStyle w:val="12"/>
              <w:jc w:val="center"/>
            </w:pPr>
            <w:r>
              <w:rPr>
                <w:rFonts w:hint="eastAsia"/>
              </w:rPr>
              <w:t>书记</w:t>
            </w:r>
          </w:p>
        </w:tc>
        <w:tc>
          <w:tcPr>
            <w:tcW w:w="2422" w:type="pct"/>
            <w:vAlign w:val="center"/>
          </w:tcPr>
          <w:p w14:paraId="01B5764D">
            <w:pPr>
              <w:pStyle w:val="12"/>
              <w:jc w:val="left"/>
            </w:pPr>
            <w:r>
              <w:rPr>
                <w:rFonts w:hint="eastAsia"/>
              </w:rPr>
              <w:t>1988年3月至1990年1月</w:t>
            </w:r>
          </w:p>
        </w:tc>
      </w:tr>
      <w:tr w14:paraId="5508C4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4F238879">
            <w:pPr>
              <w:pStyle w:val="12"/>
              <w:jc w:val="center"/>
            </w:pPr>
            <w:r>
              <w:rPr>
                <w:rFonts w:hint="eastAsia"/>
              </w:rPr>
              <w:t>吴承建</w:t>
            </w:r>
          </w:p>
        </w:tc>
        <w:tc>
          <w:tcPr>
            <w:tcW w:w="859" w:type="pct"/>
            <w:vAlign w:val="center"/>
          </w:tcPr>
          <w:p w14:paraId="4249705C">
            <w:pPr>
              <w:pStyle w:val="12"/>
              <w:jc w:val="center"/>
            </w:pPr>
            <w:r>
              <w:rPr>
                <w:rFonts w:hint="eastAsia"/>
              </w:rPr>
              <w:t>广东梅县</w:t>
            </w:r>
          </w:p>
        </w:tc>
        <w:tc>
          <w:tcPr>
            <w:tcW w:w="859" w:type="pct"/>
            <w:vAlign w:val="center"/>
          </w:tcPr>
          <w:p w14:paraId="71716218">
            <w:pPr>
              <w:pStyle w:val="12"/>
              <w:jc w:val="center"/>
            </w:pPr>
            <w:r>
              <w:rPr>
                <w:rFonts w:hint="eastAsia"/>
              </w:rPr>
              <w:t>书记</w:t>
            </w:r>
          </w:p>
        </w:tc>
        <w:tc>
          <w:tcPr>
            <w:tcW w:w="2422" w:type="pct"/>
            <w:vAlign w:val="center"/>
          </w:tcPr>
          <w:p w14:paraId="6335BA08">
            <w:pPr>
              <w:pStyle w:val="12"/>
              <w:jc w:val="left"/>
            </w:pPr>
            <w:r>
              <w:rPr>
                <w:rFonts w:hint="eastAsia"/>
              </w:rPr>
              <w:t>1990年1月至1992年2月</w:t>
            </w:r>
          </w:p>
        </w:tc>
      </w:tr>
      <w:tr w14:paraId="16C1B7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5423FFD4">
            <w:pPr>
              <w:pStyle w:val="12"/>
              <w:jc w:val="center"/>
            </w:pPr>
            <w:r>
              <w:rPr>
                <w:rFonts w:hint="eastAsia"/>
              </w:rPr>
              <w:t>江青粦</w:t>
            </w:r>
          </w:p>
        </w:tc>
        <w:tc>
          <w:tcPr>
            <w:tcW w:w="859" w:type="pct"/>
            <w:vAlign w:val="center"/>
          </w:tcPr>
          <w:p w14:paraId="2DFB242F">
            <w:pPr>
              <w:pStyle w:val="12"/>
              <w:jc w:val="center"/>
            </w:pPr>
            <w:r>
              <w:rPr>
                <w:rFonts w:hint="eastAsia"/>
              </w:rPr>
              <w:t>广东梅县</w:t>
            </w:r>
          </w:p>
        </w:tc>
        <w:tc>
          <w:tcPr>
            <w:tcW w:w="859" w:type="pct"/>
            <w:vAlign w:val="center"/>
          </w:tcPr>
          <w:p w14:paraId="46F2D23C">
            <w:pPr>
              <w:pStyle w:val="12"/>
              <w:jc w:val="center"/>
            </w:pPr>
            <w:r>
              <w:rPr>
                <w:rFonts w:hint="eastAsia"/>
              </w:rPr>
              <w:t>书记</w:t>
            </w:r>
          </w:p>
        </w:tc>
        <w:tc>
          <w:tcPr>
            <w:tcW w:w="2422" w:type="pct"/>
            <w:vAlign w:val="center"/>
          </w:tcPr>
          <w:p w14:paraId="3EC7A7AB">
            <w:pPr>
              <w:pStyle w:val="12"/>
              <w:jc w:val="left"/>
            </w:pPr>
            <w:r>
              <w:rPr>
                <w:rFonts w:hint="eastAsia"/>
              </w:rPr>
              <w:t>1992年3月至1993年5月</w:t>
            </w:r>
          </w:p>
        </w:tc>
      </w:tr>
      <w:tr w14:paraId="0CBD12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5FB28576">
            <w:pPr>
              <w:pStyle w:val="12"/>
              <w:jc w:val="center"/>
            </w:pPr>
            <w:r>
              <w:rPr>
                <w:rFonts w:hint="eastAsia"/>
              </w:rPr>
              <w:t>郭衍全</w:t>
            </w:r>
          </w:p>
        </w:tc>
        <w:tc>
          <w:tcPr>
            <w:tcW w:w="859" w:type="pct"/>
            <w:vAlign w:val="center"/>
          </w:tcPr>
          <w:p w14:paraId="5EE2ABCC">
            <w:pPr>
              <w:pStyle w:val="12"/>
              <w:jc w:val="center"/>
            </w:pPr>
            <w:r>
              <w:rPr>
                <w:rFonts w:hint="eastAsia"/>
              </w:rPr>
              <w:t>广东南雄</w:t>
            </w:r>
          </w:p>
        </w:tc>
        <w:tc>
          <w:tcPr>
            <w:tcW w:w="859" w:type="pct"/>
            <w:vAlign w:val="center"/>
          </w:tcPr>
          <w:p w14:paraId="6CC072CF">
            <w:pPr>
              <w:pStyle w:val="12"/>
              <w:jc w:val="center"/>
            </w:pPr>
            <w:r>
              <w:rPr>
                <w:rFonts w:hint="eastAsia"/>
              </w:rPr>
              <w:t>书记</w:t>
            </w:r>
          </w:p>
        </w:tc>
        <w:tc>
          <w:tcPr>
            <w:tcW w:w="2422" w:type="pct"/>
            <w:vAlign w:val="center"/>
          </w:tcPr>
          <w:p w14:paraId="5E0DADCA">
            <w:pPr>
              <w:pStyle w:val="12"/>
              <w:jc w:val="left"/>
            </w:pPr>
            <w:r>
              <w:rPr>
                <w:rFonts w:hint="eastAsia"/>
              </w:rPr>
              <w:t>1993年5月至1996年8月</w:t>
            </w:r>
          </w:p>
        </w:tc>
      </w:tr>
      <w:tr w14:paraId="0C8C17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3AF2ABA9">
            <w:pPr>
              <w:pStyle w:val="12"/>
              <w:jc w:val="center"/>
            </w:pPr>
            <w:r>
              <w:rPr>
                <w:rFonts w:hint="eastAsia"/>
              </w:rPr>
              <w:t>朱一樵</w:t>
            </w:r>
          </w:p>
        </w:tc>
        <w:tc>
          <w:tcPr>
            <w:tcW w:w="859" w:type="pct"/>
            <w:vAlign w:val="center"/>
          </w:tcPr>
          <w:p w14:paraId="531572E9">
            <w:pPr>
              <w:pStyle w:val="12"/>
              <w:jc w:val="center"/>
            </w:pPr>
            <w:r>
              <w:rPr>
                <w:rFonts w:hint="eastAsia"/>
              </w:rPr>
              <w:t>江苏泗阳</w:t>
            </w:r>
          </w:p>
        </w:tc>
        <w:tc>
          <w:tcPr>
            <w:tcW w:w="859" w:type="pct"/>
            <w:vAlign w:val="center"/>
          </w:tcPr>
          <w:p w14:paraId="0023F8DF">
            <w:pPr>
              <w:pStyle w:val="12"/>
              <w:jc w:val="center"/>
            </w:pPr>
            <w:r>
              <w:rPr>
                <w:rFonts w:hint="eastAsia"/>
              </w:rPr>
              <w:t>副书记</w:t>
            </w:r>
          </w:p>
        </w:tc>
        <w:tc>
          <w:tcPr>
            <w:tcW w:w="2422" w:type="pct"/>
            <w:vAlign w:val="center"/>
          </w:tcPr>
          <w:p w14:paraId="2649210B">
            <w:pPr>
              <w:pStyle w:val="12"/>
              <w:jc w:val="left"/>
            </w:pPr>
            <w:r>
              <w:rPr>
                <w:rFonts w:hint="eastAsia"/>
              </w:rPr>
              <w:t>1970年1月至1971年11月</w:t>
            </w:r>
          </w:p>
        </w:tc>
      </w:tr>
      <w:tr w14:paraId="0DC374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05B15591">
            <w:pPr>
              <w:pStyle w:val="12"/>
              <w:jc w:val="center"/>
            </w:pPr>
            <w:r>
              <w:rPr>
                <w:rFonts w:hint="eastAsia"/>
              </w:rPr>
              <w:t>陈德平</w:t>
            </w:r>
          </w:p>
        </w:tc>
        <w:tc>
          <w:tcPr>
            <w:tcW w:w="859" w:type="pct"/>
            <w:vAlign w:val="center"/>
          </w:tcPr>
          <w:p w14:paraId="187DD115">
            <w:pPr>
              <w:pStyle w:val="12"/>
              <w:jc w:val="center"/>
            </w:pPr>
            <w:r>
              <w:rPr>
                <w:rFonts w:hint="eastAsia"/>
              </w:rPr>
              <w:t>广东南雄</w:t>
            </w:r>
          </w:p>
        </w:tc>
        <w:tc>
          <w:tcPr>
            <w:tcW w:w="859" w:type="pct"/>
            <w:vAlign w:val="center"/>
          </w:tcPr>
          <w:p w14:paraId="1504FBAF">
            <w:pPr>
              <w:pStyle w:val="12"/>
              <w:jc w:val="center"/>
            </w:pPr>
            <w:r>
              <w:rPr>
                <w:rFonts w:hint="eastAsia"/>
              </w:rPr>
              <w:t>副书记</w:t>
            </w:r>
          </w:p>
        </w:tc>
        <w:tc>
          <w:tcPr>
            <w:tcW w:w="2422" w:type="pct"/>
            <w:vAlign w:val="center"/>
          </w:tcPr>
          <w:p w14:paraId="4AAA6D54">
            <w:pPr>
              <w:pStyle w:val="12"/>
              <w:jc w:val="left"/>
            </w:pPr>
            <w:r>
              <w:rPr>
                <w:rFonts w:hint="eastAsia"/>
              </w:rPr>
              <w:t>1970年1月至1976年1月</w:t>
            </w:r>
          </w:p>
        </w:tc>
      </w:tr>
      <w:tr w14:paraId="5E081BC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0DAFB572">
            <w:pPr>
              <w:pStyle w:val="12"/>
              <w:jc w:val="center"/>
            </w:pPr>
            <w:r>
              <w:rPr>
                <w:rFonts w:hint="eastAsia"/>
              </w:rPr>
              <w:t>王春祥</w:t>
            </w:r>
          </w:p>
        </w:tc>
        <w:tc>
          <w:tcPr>
            <w:tcW w:w="859" w:type="pct"/>
            <w:vAlign w:val="center"/>
          </w:tcPr>
          <w:p w14:paraId="76E88B46">
            <w:pPr>
              <w:pStyle w:val="12"/>
              <w:jc w:val="center"/>
            </w:pPr>
            <w:r>
              <w:rPr>
                <w:rFonts w:hint="eastAsia"/>
              </w:rPr>
              <w:t>山东沾化</w:t>
            </w:r>
          </w:p>
        </w:tc>
        <w:tc>
          <w:tcPr>
            <w:tcW w:w="859" w:type="pct"/>
            <w:vAlign w:val="center"/>
          </w:tcPr>
          <w:p w14:paraId="6F71E066">
            <w:pPr>
              <w:pStyle w:val="12"/>
              <w:jc w:val="center"/>
            </w:pPr>
            <w:r>
              <w:rPr>
                <w:rFonts w:hint="eastAsia"/>
              </w:rPr>
              <w:t>副书记</w:t>
            </w:r>
          </w:p>
        </w:tc>
        <w:tc>
          <w:tcPr>
            <w:tcW w:w="2422" w:type="pct"/>
            <w:vAlign w:val="center"/>
          </w:tcPr>
          <w:p w14:paraId="4BB79782">
            <w:pPr>
              <w:pStyle w:val="12"/>
              <w:jc w:val="left"/>
            </w:pPr>
            <w:r>
              <w:rPr>
                <w:rFonts w:hint="eastAsia"/>
              </w:rPr>
              <w:t>1971年11月至1973年2月</w:t>
            </w:r>
          </w:p>
        </w:tc>
      </w:tr>
      <w:tr w14:paraId="44A15A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4841A767">
            <w:pPr>
              <w:pStyle w:val="12"/>
              <w:jc w:val="center"/>
            </w:pPr>
            <w:r>
              <w:rPr>
                <w:rFonts w:hint="eastAsia"/>
              </w:rPr>
              <w:t>王竹香（女）</w:t>
            </w:r>
          </w:p>
        </w:tc>
        <w:tc>
          <w:tcPr>
            <w:tcW w:w="859" w:type="pct"/>
            <w:vAlign w:val="center"/>
          </w:tcPr>
          <w:p w14:paraId="77507A59">
            <w:pPr>
              <w:pStyle w:val="12"/>
              <w:jc w:val="center"/>
            </w:pPr>
            <w:r>
              <w:rPr>
                <w:rFonts w:hint="eastAsia"/>
              </w:rPr>
              <w:t>广东南雄</w:t>
            </w:r>
          </w:p>
        </w:tc>
        <w:tc>
          <w:tcPr>
            <w:tcW w:w="859" w:type="pct"/>
            <w:vAlign w:val="center"/>
          </w:tcPr>
          <w:p w14:paraId="608905C7">
            <w:pPr>
              <w:pStyle w:val="12"/>
              <w:jc w:val="center"/>
            </w:pPr>
            <w:r>
              <w:rPr>
                <w:rFonts w:hint="eastAsia"/>
              </w:rPr>
              <w:t>副书记</w:t>
            </w:r>
          </w:p>
        </w:tc>
        <w:tc>
          <w:tcPr>
            <w:tcW w:w="2422" w:type="pct"/>
            <w:vAlign w:val="center"/>
          </w:tcPr>
          <w:p w14:paraId="12FF42BF">
            <w:pPr>
              <w:pStyle w:val="12"/>
              <w:jc w:val="left"/>
            </w:pPr>
            <w:r>
              <w:rPr>
                <w:rFonts w:hint="eastAsia"/>
              </w:rPr>
              <w:t>1973年2月至1979年10月</w:t>
            </w:r>
          </w:p>
        </w:tc>
      </w:tr>
      <w:tr w14:paraId="03B585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02EA9E7E">
            <w:pPr>
              <w:pStyle w:val="12"/>
              <w:jc w:val="center"/>
            </w:pPr>
            <w:r>
              <w:rPr>
                <w:rFonts w:hint="eastAsia"/>
              </w:rPr>
              <w:t>任金钟</w:t>
            </w:r>
          </w:p>
        </w:tc>
        <w:tc>
          <w:tcPr>
            <w:tcW w:w="859" w:type="pct"/>
            <w:vAlign w:val="center"/>
          </w:tcPr>
          <w:p w14:paraId="547EE87B">
            <w:pPr>
              <w:pStyle w:val="12"/>
              <w:jc w:val="center"/>
            </w:pPr>
            <w:r>
              <w:rPr>
                <w:rFonts w:hint="eastAsia"/>
              </w:rPr>
              <w:t>山东临清</w:t>
            </w:r>
          </w:p>
        </w:tc>
        <w:tc>
          <w:tcPr>
            <w:tcW w:w="859" w:type="pct"/>
            <w:vAlign w:val="center"/>
          </w:tcPr>
          <w:p w14:paraId="35223A7E">
            <w:pPr>
              <w:pStyle w:val="12"/>
              <w:jc w:val="center"/>
            </w:pPr>
            <w:r>
              <w:rPr>
                <w:rFonts w:hint="eastAsia"/>
              </w:rPr>
              <w:t>副书记</w:t>
            </w:r>
          </w:p>
        </w:tc>
        <w:tc>
          <w:tcPr>
            <w:tcW w:w="2422" w:type="pct"/>
            <w:vAlign w:val="center"/>
          </w:tcPr>
          <w:p w14:paraId="64CD315A">
            <w:pPr>
              <w:pStyle w:val="12"/>
              <w:jc w:val="left"/>
            </w:pPr>
            <w:r>
              <w:rPr>
                <w:rFonts w:hint="eastAsia"/>
              </w:rPr>
              <w:t>1973年7月至1975年2月</w:t>
            </w:r>
          </w:p>
        </w:tc>
      </w:tr>
      <w:tr w14:paraId="3AC2D7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544B3BBE">
            <w:pPr>
              <w:pStyle w:val="12"/>
              <w:jc w:val="center"/>
            </w:pPr>
            <w:r>
              <w:rPr>
                <w:rFonts w:hint="eastAsia"/>
              </w:rPr>
              <w:t>王广居</w:t>
            </w:r>
          </w:p>
        </w:tc>
        <w:tc>
          <w:tcPr>
            <w:tcW w:w="859" w:type="pct"/>
            <w:vAlign w:val="center"/>
          </w:tcPr>
          <w:p w14:paraId="51303C8F">
            <w:pPr>
              <w:pStyle w:val="12"/>
              <w:jc w:val="center"/>
            </w:pPr>
            <w:r>
              <w:rPr>
                <w:rFonts w:hint="eastAsia"/>
              </w:rPr>
              <w:t>河北蓟县</w:t>
            </w:r>
          </w:p>
        </w:tc>
        <w:tc>
          <w:tcPr>
            <w:tcW w:w="859" w:type="pct"/>
            <w:vAlign w:val="center"/>
          </w:tcPr>
          <w:p w14:paraId="2A017278">
            <w:pPr>
              <w:pStyle w:val="12"/>
              <w:jc w:val="center"/>
            </w:pPr>
            <w:r>
              <w:rPr>
                <w:rFonts w:hint="eastAsia"/>
              </w:rPr>
              <w:t>副书记</w:t>
            </w:r>
          </w:p>
        </w:tc>
        <w:tc>
          <w:tcPr>
            <w:tcW w:w="2422" w:type="pct"/>
            <w:vAlign w:val="center"/>
          </w:tcPr>
          <w:p w14:paraId="113D63C2">
            <w:pPr>
              <w:pStyle w:val="12"/>
              <w:jc w:val="left"/>
            </w:pPr>
            <w:r>
              <w:rPr>
                <w:rFonts w:hint="eastAsia"/>
              </w:rPr>
              <w:t>1976年1月至1979年4月</w:t>
            </w:r>
          </w:p>
        </w:tc>
      </w:tr>
      <w:tr w14:paraId="3001D4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25C75A4F">
            <w:pPr>
              <w:pStyle w:val="12"/>
              <w:jc w:val="center"/>
            </w:pPr>
            <w:r>
              <w:rPr>
                <w:rFonts w:hint="eastAsia"/>
              </w:rPr>
              <w:t>赖济标</w:t>
            </w:r>
          </w:p>
        </w:tc>
        <w:tc>
          <w:tcPr>
            <w:tcW w:w="859" w:type="pct"/>
            <w:vAlign w:val="center"/>
          </w:tcPr>
          <w:p w14:paraId="167F0457">
            <w:pPr>
              <w:pStyle w:val="12"/>
              <w:jc w:val="center"/>
            </w:pPr>
            <w:r>
              <w:rPr>
                <w:rFonts w:hint="eastAsia"/>
              </w:rPr>
              <w:t>广东曲江</w:t>
            </w:r>
          </w:p>
        </w:tc>
        <w:tc>
          <w:tcPr>
            <w:tcW w:w="859" w:type="pct"/>
            <w:vAlign w:val="center"/>
          </w:tcPr>
          <w:p w14:paraId="1DC0DAF9">
            <w:pPr>
              <w:pStyle w:val="12"/>
              <w:jc w:val="center"/>
            </w:pPr>
            <w:r>
              <w:rPr>
                <w:rFonts w:hint="eastAsia"/>
              </w:rPr>
              <w:t>副书记</w:t>
            </w:r>
          </w:p>
        </w:tc>
        <w:tc>
          <w:tcPr>
            <w:tcW w:w="2422" w:type="pct"/>
            <w:vAlign w:val="center"/>
          </w:tcPr>
          <w:p w14:paraId="031E8B17">
            <w:pPr>
              <w:pStyle w:val="12"/>
              <w:jc w:val="left"/>
            </w:pPr>
            <w:r>
              <w:rPr>
                <w:rFonts w:hint="eastAsia"/>
              </w:rPr>
              <w:t>1976年1月至1987年11月</w:t>
            </w:r>
          </w:p>
        </w:tc>
      </w:tr>
      <w:tr w14:paraId="397017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19ED407F">
            <w:pPr>
              <w:pStyle w:val="12"/>
              <w:jc w:val="center"/>
            </w:pPr>
            <w:r>
              <w:rPr>
                <w:rFonts w:hint="eastAsia"/>
              </w:rPr>
              <w:t>王春堂</w:t>
            </w:r>
          </w:p>
        </w:tc>
        <w:tc>
          <w:tcPr>
            <w:tcW w:w="859" w:type="pct"/>
            <w:vAlign w:val="center"/>
          </w:tcPr>
          <w:p w14:paraId="23037625">
            <w:pPr>
              <w:pStyle w:val="12"/>
              <w:jc w:val="center"/>
            </w:pPr>
            <w:r>
              <w:rPr>
                <w:rFonts w:hint="eastAsia"/>
              </w:rPr>
              <w:t>辽宁庄河</w:t>
            </w:r>
          </w:p>
        </w:tc>
        <w:tc>
          <w:tcPr>
            <w:tcW w:w="859" w:type="pct"/>
            <w:vAlign w:val="center"/>
          </w:tcPr>
          <w:p w14:paraId="4CC93AFF">
            <w:pPr>
              <w:pStyle w:val="12"/>
              <w:jc w:val="center"/>
            </w:pPr>
            <w:r>
              <w:rPr>
                <w:rFonts w:hint="eastAsia"/>
              </w:rPr>
              <w:t>副书记</w:t>
            </w:r>
          </w:p>
        </w:tc>
        <w:tc>
          <w:tcPr>
            <w:tcW w:w="2422" w:type="pct"/>
            <w:vAlign w:val="center"/>
          </w:tcPr>
          <w:p w14:paraId="3D988A88">
            <w:pPr>
              <w:pStyle w:val="12"/>
              <w:jc w:val="left"/>
            </w:pPr>
            <w:r>
              <w:rPr>
                <w:rFonts w:hint="eastAsia"/>
              </w:rPr>
              <w:t>1979年3月至1984年6月</w:t>
            </w:r>
          </w:p>
        </w:tc>
      </w:tr>
      <w:tr w14:paraId="639AB6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2342DCC9">
            <w:pPr>
              <w:pStyle w:val="12"/>
              <w:jc w:val="center"/>
            </w:pPr>
            <w:r>
              <w:rPr>
                <w:rFonts w:hint="eastAsia"/>
              </w:rPr>
              <w:t>赵焕宝</w:t>
            </w:r>
          </w:p>
        </w:tc>
        <w:tc>
          <w:tcPr>
            <w:tcW w:w="859" w:type="pct"/>
            <w:vAlign w:val="center"/>
          </w:tcPr>
          <w:p w14:paraId="6CC32B95">
            <w:pPr>
              <w:pStyle w:val="12"/>
              <w:jc w:val="center"/>
            </w:pPr>
            <w:r>
              <w:rPr>
                <w:rFonts w:hint="eastAsia"/>
              </w:rPr>
              <w:t>河北昌黎</w:t>
            </w:r>
          </w:p>
        </w:tc>
        <w:tc>
          <w:tcPr>
            <w:tcW w:w="859" w:type="pct"/>
            <w:vAlign w:val="center"/>
          </w:tcPr>
          <w:p w14:paraId="79AA3E3B">
            <w:pPr>
              <w:pStyle w:val="12"/>
              <w:jc w:val="center"/>
            </w:pPr>
            <w:r>
              <w:rPr>
                <w:rFonts w:hint="eastAsia"/>
              </w:rPr>
              <w:t>副书记</w:t>
            </w:r>
          </w:p>
        </w:tc>
        <w:tc>
          <w:tcPr>
            <w:tcW w:w="2422" w:type="pct"/>
            <w:vAlign w:val="center"/>
          </w:tcPr>
          <w:p w14:paraId="17D70BDE">
            <w:pPr>
              <w:pStyle w:val="12"/>
              <w:jc w:val="left"/>
            </w:pPr>
            <w:r>
              <w:rPr>
                <w:rFonts w:hint="eastAsia"/>
              </w:rPr>
              <w:t>1979年4月至1984年4月</w:t>
            </w:r>
          </w:p>
        </w:tc>
      </w:tr>
      <w:tr w14:paraId="26229C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3CF39B8D">
            <w:pPr>
              <w:pStyle w:val="12"/>
              <w:jc w:val="center"/>
            </w:pPr>
            <w:r>
              <w:rPr>
                <w:rFonts w:hint="eastAsia"/>
              </w:rPr>
              <w:t>肖有根</w:t>
            </w:r>
          </w:p>
        </w:tc>
        <w:tc>
          <w:tcPr>
            <w:tcW w:w="859" w:type="pct"/>
            <w:vAlign w:val="center"/>
          </w:tcPr>
          <w:p w14:paraId="6B54A482">
            <w:pPr>
              <w:pStyle w:val="12"/>
              <w:jc w:val="center"/>
            </w:pPr>
            <w:r>
              <w:rPr>
                <w:rFonts w:hint="eastAsia"/>
              </w:rPr>
              <w:t>广东翁源</w:t>
            </w:r>
          </w:p>
        </w:tc>
        <w:tc>
          <w:tcPr>
            <w:tcW w:w="859" w:type="pct"/>
            <w:vAlign w:val="center"/>
          </w:tcPr>
          <w:p w14:paraId="2C72F27C">
            <w:pPr>
              <w:pStyle w:val="12"/>
              <w:jc w:val="center"/>
            </w:pPr>
            <w:r>
              <w:rPr>
                <w:rFonts w:hint="eastAsia"/>
              </w:rPr>
              <w:t>副书记</w:t>
            </w:r>
          </w:p>
        </w:tc>
        <w:tc>
          <w:tcPr>
            <w:tcW w:w="2422" w:type="pct"/>
            <w:vAlign w:val="center"/>
          </w:tcPr>
          <w:p w14:paraId="0D115A1D">
            <w:pPr>
              <w:pStyle w:val="12"/>
              <w:jc w:val="left"/>
            </w:pPr>
            <w:r>
              <w:rPr>
                <w:rFonts w:hint="eastAsia"/>
              </w:rPr>
              <w:t>1979年4月至1984年4月</w:t>
            </w:r>
          </w:p>
        </w:tc>
      </w:tr>
      <w:tr w14:paraId="0B8B28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7B7886D4">
            <w:pPr>
              <w:pStyle w:val="12"/>
              <w:jc w:val="center"/>
            </w:pPr>
            <w:r>
              <w:rPr>
                <w:rFonts w:hint="eastAsia"/>
              </w:rPr>
              <w:t>黄武君</w:t>
            </w:r>
          </w:p>
        </w:tc>
        <w:tc>
          <w:tcPr>
            <w:tcW w:w="859" w:type="pct"/>
            <w:vAlign w:val="center"/>
          </w:tcPr>
          <w:p w14:paraId="36EC71B7">
            <w:pPr>
              <w:pStyle w:val="12"/>
              <w:jc w:val="center"/>
            </w:pPr>
            <w:r>
              <w:rPr>
                <w:rFonts w:hint="eastAsia"/>
              </w:rPr>
              <w:t>广东大埔</w:t>
            </w:r>
          </w:p>
        </w:tc>
        <w:tc>
          <w:tcPr>
            <w:tcW w:w="859" w:type="pct"/>
            <w:vAlign w:val="center"/>
          </w:tcPr>
          <w:p w14:paraId="403AA25E">
            <w:pPr>
              <w:pStyle w:val="12"/>
              <w:jc w:val="center"/>
            </w:pPr>
            <w:r>
              <w:rPr>
                <w:rFonts w:hint="eastAsia"/>
              </w:rPr>
              <w:t>副书记</w:t>
            </w:r>
          </w:p>
        </w:tc>
        <w:tc>
          <w:tcPr>
            <w:tcW w:w="2422" w:type="pct"/>
            <w:vAlign w:val="center"/>
          </w:tcPr>
          <w:p w14:paraId="76D247EB">
            <w:pPr>
              <w:pStyle w:val="12"/>
              <w:jc w:val="left"/>
            </w:pPr>
            <w:r>
              <w:rPr>
                <w:rFonts w:hint="eastAsia"/>
              </w:rPr>
              <w:t>1984年4月至1987年10月</w:t>
            </w:r>
          </w:p>
        </w:tc>
      </w:tr>
      <w:tr w14:paraId="330ADE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3529E356">
            <w:pPr>
              <w:pStyle w:val="12"/>
              <w:jc w:val="center"/>
            </w:pPr>
            <w:r>
              <w:rPr>
                <w:rFonts w:hint="eastAsia"/>
              </w:rPr>
              <w:t>陈庆泉</w:t>
            </w:r>
          </w:p>
        </w:tc>
        <w:tc>
          <w:tcPr>
            <w:tcW w:w="859" w:type="pct"/>
            <w:vAlign w:val="center"/>
          </w:tcPr>
          <w:p w14:paraId="46281FCF">
            <w:pPr>
              <w:pStyle w:val="12"/>
              <w:jc w:val="center"/>
            </w:pPr>
            <w:r>
              <w:rPr>
                <w:rFonts w:hint="eastAsia"/>
              </w:rPr>
              <w:t>广东兴宁</w:t>
            </w:r>
          </w:p>
        </w:tc>
        <w:tc>
          <w:tcPr>
            <w:tcW w:w="859" w:type="pct"/>
            <w:vAlign w:val="center"/>
          </w:tcPr>
          <w:p w14:paraId="64176E7F">
            <w:pPr>
              <w:pStyle w:val="12"/>
              <w:jc w:val="center"/>
            </w:pPr>
            <w:r>
              <w:rPr>
                <w:rFonts w:hint="eastAsia"/>
              </w:rPr>
              <w:t>副书记</w:t>
            </w:r>
          </w:p>
        </w:tc>
        <w:tc>
          <w:tcPr>
            <w:tcW w:w="2422" w:type="pct"/>
            <w:vAlign w:val="center"/>
          </w:tcPr>
          <w:p w14:paraId="0833F216">
            <w:pPr>
              <w:pStyle w:val="12"/>
              <w:jc w:val="left"/>
            </w:pPr>
            <w:r>
              <w:rPr>
                <w:rFonts w:hint="eastAsia"/>
              </w:rPr>
              <w:t>1984年7月至1987年4月</w:t>
            </w:r>
          </w:p>
        </w:tc>
      </w:tr>
      <w:tr w14:paraId="458C2E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4C085B47">
            <w:pPr>
              <w:pStyle w:val="12"/>
              <w:jc w:val="center"/>
            </w:pPr>
            <w:r>
              <w:rPr>
                <w:rFonts w:hint="eastAsia"/>
              </w:rPr>
              <w:t>黄永东</w:t>
            </w:r>
          </w:p>
        </w:tc>
        <w:tc>
          <w:tcPr>
            <w:tcW w:w="859" w:type="pct"/>
            <w:vAlign w:val="center"/>
          </w:tcPr>
          <w:p w14:paraId="1749B756">
            <w:pPr>
              <w:pStyle w:val="12"/>
              <w:jc w:val="center"/>
            </w:pPr>
            <w:r>
              <w:rPr>
                <w:rFonts w:hint="eastAsia"/>
              </w:rPr>
              <w:t>广东梅县</w:t>
            </w:r>
          </w:p>
        </w:tc>
        <w:tc>
          <w:tcPr>
            <w:tcW w:w="859" w:type="pct"/>
            <w:vAlign w:val="center"/>
          </w:tcPr>
          <w:p w14:paraId="6236E7A7">
            <w:pPr>
              <w:pStyle w:val="12"/>
              <w:jc w:val="center"/>
            </w:pPr>
            <w:r>
              <w:rPr>
                <w:rFonts w:hint="eastAsia"/>
              </w:rPr>
              <w:t>副书记</w:t>
            </w:r>
          </w:p>
        </w:tc>
        <w:tc>
          <w:tcPr>
            <w:tcW w:w="2422" w:type="pct"/>
            <w:vAlign w:val="center"/>
          </w:tcPr>
          <w:p w14:paraId="70A56CB0">
            <w:pPr>
              <w:pStyle w:val="12"/>
              <w:jc w:val="left"/>
            </w:pPr>
            <w:r>
              <w:rPr>
                <w:rFonts w:hint="eastAsia"/>
              </w:rPr>
              <w:t>1986年6月至1988年3月</w:t>
            </w:r>
          </w:p>
        </w:tc>
      </w:tr>
      <w:tr w14:paraId="2E2C38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55C9F939">
            <w:pPr>
              <w:pStyle w:val="12"/>
              <w:jc w:val="center"/>
            </w:pPr>
            <w:r>
              <w:rPr>
                <w:rFonts w:hint="eastAsia"/>
              </w:rPr>
              <w:t>吴承建</w:t>
            </w:r>
          </w:p>
        </w:tc>
        <w:tc>
          <w:tcPr>
            <w:tcW w:w="859" w:type="pct"/>
            <w:vAlign w:val="center"/>
          </w:tcPr>
          <w:p w14:paraId="622A604C">
            <w:pPr>
              <w:pStyle w:val="12"/>
              <w:jc w:val="center"/>
            </w:pPr>
            <w:r>
              <w:rPr>
                <w:rFonts w:hint="eastAsia"/>
              </w:rPr>
              <w:t>广东梅县</w:t>
            </w:r>
          </w:p>
        </w:tc>
        <w:tc>
          <w:tcPr>
            <w:tcW w:w="859" w:type="pct"/>
            <w:vAlign w:val="center"/>
          </w:tcPr>
          <w:p w14:paraId="44566966">
            <w:pPr>
              <w:pStyle w:val="12"/>
              <w:jc w:val="center"/>
            </w:pPr>
            <w:r>
              <w:rPr>
                <w:rFonts w:hint="eastAsia"/>
              </w:rPr>
              <w:t>副书记</w:t>
            </w:r>
          </w:p>
        </w:tc>
        <w:tc>
          <w:tcPr>
            <w:tcW w:w="2422" w:type="pct"/>
            <w:vAlign w:val="center"/>
          </w:tcPr>
          <w:p w14:paraId="4962F12F">
            <w:pPr>
              <w:pStyle w:val="12"/>
              <w:jc w:val="left"/>
            </w:pPr>
            <w:r>
              <w:rPr>
                <w:rFonts w:hint="eastAsia"/>
              </w:rPr>
              <w:t>1987年11月至1988年7月</w:t>
            </w:r>
          </w:p>
        </w:tc>
      </w:tr>
      <w:tr w14:paraId="3AE971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17BFAAD9">
            <w:pPr>
              <w:pStyle w:val="12"/>
              <w:jc w:val="center"/>
            </w:pPr>
            <w:r>
              <w:rPr>
                <w:rFonts w:hint="eastAsia"/>
              </w:rPr>
              <w:t>李干红</w:t>
            </w:r>
          </w:p>
        </w:tc>
        <w:tc>
          <w:tcPr>
            <w:tcW w:w="859" w:type="pct"/>
            <w:vAlign w:val="center"/>
          </w:tcPr>
          <w:p w14:paraId="0098A74D">
            <w:pPr>
              <w:pStyle w:val="12"/>
              <w:jc w:val="center"/>
            </w:pPr>
            <w:r>
              <w:rPr>
                <w:rFonts w:hint="eastAsia"/>
              </w:rPr>
              <w:t>广东翁源</w:t>
            </w:r>
          </w:p>
        </w:tc>
        <w:tc>
          <w:tcPr>
            <w:tcW w:w="859" w:type="pct"/>
            <w:vAlign w:val="center"/>
          </w:tcPr>
          <w:p w14:paraId="28B22B4F">
            <w:pPr>
              <w:pStyle w:val="12"/>
              <w:jc w:val="center"/>
            </w:pPr>
            <w:r>
              <w:rPr>
                <w:rFonts w:hint="eastAsia"/>
              </w:rPr>
              <w:t>副书记</w:t>
            </w:r>
          </w:p>
        </w:tc>
        <w:tc>
          <w:tcPr>
            <w:tcW w:w="2422" w:type="pct"/>
            <w:vAlign w:val="center"/>
          </w:tcPr>
          <w:p w14:paraId="46719B4D">
            <w:pPr>
              <w:pStyle w:val="12"/>
              <w:jc w:val="left"/>
            </w:pPr>
            <w:r>
              <w:rPr>
                <w:rFonts w:hint="eastAsia"/>
              </w:rPr>
              <w:t>1987年11月至1990年2月</w:t>
            </w:r>
          </w:p>
        </w:tc>
      </w:tr>
      <w:tr w14:paraId="22C8A0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20E27C59">
            <w:pPr>
              <w:pStyle w:val="12"/>
              <w:jc w:val="center"/>
            </w:pPr>
            <w:r>
              <w:rPr>
                <w:rFonts w:hint="eastAsia"/>
              </w:rPr>
              <w:t>林志诚</w:t>
            </w:r>
          </w:p>
        </w:tc>
        <w:tc>
          <w:tcPr>
            <w:tcW w:w="859" w:type="pct"/>
            <w:vAlign w:val="center"/>
          </w:tcPr>
          <w:p w14:paraId="1A3EC9E4">
            <w:pPr>
              <w:pStyle w:val="12"/>
              <w:jc w:val="center"/>
            </w:pPr>
            <w:r>
              <w:rPr>
                <w:rFonts w:hint="eastAsia"/>
              </w:rPr>
              <w:t>广东南雄</w:t>
            </w:r>
          </w:p>
        </w:tc>
        <w:tc>
          <w:tcPr>
            <w:tcW w:w="859" w:type="pct"/>
            <w:vAlign w:val="center"/>
          </w:tcPr>
          <w:p w14:paraId="37B93951">
            <w:pPr>
              <w:pStyle w:val="12"/>
              <w:jc w:val="center"/>
            </w:pPr>
            <w:r>
              <w:rPr>
                <w:rFonts w:hint="eastAsia"/>
              </w:rPr>
              <w:t>副书记</w:t>
            </w:r>
          </w:p>
        </w:tc>
        <w:tc>
          <w:tcPr>
            <w:tcW w:w="2422" w:type="pct"/>
            <w:vAlign w:val="center"/>
          </w:tcPr>
          <w:p w14:paraId="2FA8584F">
            <w:pPr>
              <w:pStyle w:val="12"/>
              <w:jc w:val="left"/>
            </w:pPr>
            <w:r>
              <w:rPr>
                <w:rFonts w:hint="eastAsia"/>
              </w:rPr>
              <w:t>1988年1月至1990年11月</w:t>
            </w:r>
          </w:p>
        </w:tc>
      </w:tr>
      <w:tr w14:paraId="69BDF4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2BEC0EC2">
            <w:pPr>
              <w:pStyle w:val="12"/>
              <w:jc w:val="center"/>
            </w:pPr>
            <w:r>
              <w:rPr>
                <w:rFonts w:hint="eastAsia"/>
              </w:rPr>
              <w:t>郭衍全</w:t>
            </w:r>
          </w:p>
        </w:tc>
        <w:tc>
          <w:tcPr>
            <w:tcW w:w="859" w:type="pct"/>
            <w:vAlign w:val="center"/>
          </w:tcPr>
          <w:p w14:paraId="1B93948F">
            <w:pPr>
              <w:pStyle w:val="12"/>
              <w:jc w:val="center"/>
            </w:pPr>
            <w:r>
              <w:rPr>
                <w:rFonts w:hint="eastAsia"/>
              </w:rPr>
              <w:t>广东南雄</w:t>
            </w:r>
          </w:p>
        </w:tc>
        <w:tc>
          <w:tcPr>
            <w:tcW w:w="859" w:type="pct"/>
            <w:vAlign w:val="center"/>
          </w:tcPr>
          <w:p w14:paraId="69113FE0">
            <w:pPr>
              <w:pStyle w:val="12"/>
              <w:jc w:val="center"/>
            </w:pPr>
            <w:r>
              <w:rPr>
                <w:rFonts w:hint="eastAsia"/>
              </w:rPr>
              <w:t>副书记</w:t>
            </w:r>
          </w:p>
        </w:tc>
        <w:tc>
          <w:tcPr>
            <w:tcW w:w="2422" w:type="pct"/>
            <w:vAlign w:val="center"/>
          </w:tcPr>
          <w:p w14:paraId="59B26849">
            <w:pPr>
              <w:pStyle w:val="12"/>
              <w:jc w:val="left"/>
            </w:pPr>
            <w:r>
              <w:rPr>
                <w:rFonts w:hint="eastAsia"/>
              </w:rPr>
              <w:t>1990年3月至1993年5月</w:t>
            </w:r>
          </w:p>
        </w:tc>
      </w:tr>
      <w:tr w14:paraId="0F3EB6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4518FD0E">
            <w:pPr>
              <w:pStyle w:val="12"/>
              <w:jc w:val="center"/>
            </w:pPr>
            <w:r>
              <w:rPr>
                <w:rFonts w:hint="eastAsia"/>
              </w:rPr>
              <w:t>江青粦</w:t>
            </w:r>
          </w:p>
        </w:tc>
        <w:tc>
          <w:tcPr>
            <w:tcW w:w="859" w:type="pct"/>
            <w:vAlign w:val="center"/>
          </w:tcPr>
          <w:p w14:paraId="0F9D250D">
            <w:pPr>
              <w:pStyle w:val="12"/>
              <w:jc w:val="center"/>
            </w:pPr>
            <w:r>
              <w:rPr>
                <w:rFonts w:hint="eastAsia"/>
              </w:rPr>
              <w:t>广东梅县</w:t>
            </w:r>
          </w:p>
        </w:tc>
        <w:tc>
          <w:tcPr>
            <w:tcW w:w="859" w:type="pct"/>
            <w:vAlign w:val="center"/>
          </w:tcPr>
          <w:p w14:paraId="31D1F730">
            <w:pPr>
              <w:pStyle w:val="12"/>
              <w:jc w:val="center"/>
            </w:pPr>
            <w:r>
              <w:rPr>
                <w:rFonts w:hint="eastAsia"/>
              </w:rPr>
              <w:t>副书记</w:t>
            </w:r>
          </w:p>
        </w:tc>
        <w:tc>
          <w:tcPr>
            <w:tcW w:w="2422" w:type="pct"/>
            <w:vAlign w:val="center"/>
          </w:tcPr>
          <w:p w14:paraId="1A8B866A">
            <w:pPr>
              <w:pStyle w:val="12"/>
              <w:jc w:val="left"/>
            </w:pPr>
            <w:r>
              <w:rPr>
                <w:rFonts w:hint="eastAsia"/>
              </w:rPr>
              <w:t>1990年3月至1992年2月</w:t>
            </w:r>
          </w:p>
        </w:tc>
      </w:tr>
      <w:tr w14:paraId="2B2099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0E05FB19">
            <w:pPr>
              <w:pStyle w:val="12"/>
              <w:jc w:val="center"/>
            </w:pPr>
            <w:r>
              <w:rPr>
                <w:rFonts w:hint="eastAsia"/>
              </w:rPr>
              <w:t>黄启钊</w:t>
            </w:r>
          </w:p>
        </w:tc>
        <w:tc>
          <w:tcPr>
            <w:tcW w:w="859" w:type="pct"/>
            <w:vAlign w:val="center"/>
          </w:tcPr>
          <w:p w14:paraId="6CD18BCD">
            <w:pPr>
              <w:pStyle w:val="12"/>
              <w:jc w:val="center"/>
            </w:pPr>
            <w:r>
              <w:rPr>
                <w:rFonts w:hint="eastAsia"/>
              </w:rPr>
              <w:t>广东广州</w:t>
            </w:r>
          </w:p>
        </w:tc>
        <w:tc>
          <w:tcPr>
            <w:tcW w:w="859" w:type="pct"/>
            <w:vAlign w:val="center"/>
          </w:tcPr>
          <w:p w14:paraId="596C0CDA">
            <w:pPr>
              <w:pStyle w:val="12"/>
              <w:jc w:val="center"/>
            </w:pPr>
            <w:r>
              <w:rPr>
                <w:rFonts w:hint="eastAsia"/>
              </w:rPr>
              <w:t>副书记</w:t>
            </w:r>
          </w:p>
        </w:tc>
        <w:tc>
          <w:tcPr>
            <w:tcW w:w="2422" w:type="pct"/>
            <w:vAlign w:val="center"/>
          </w:tcPr>
          <w:p w14:paraId="3EFE5BB9">
            <w:pPr>
              <w:pStyle w:val="12"/>
              <w:jc w:val="left"/>
            </w:pPr>
            <w:r>
              <w:rPr>
                <w:rFonts w:hint="eastAsia"/>
              </w:rPr>
              <w:t>1991年6月至1993年2月</w:t>
            </w:r>
          </w:p>
        </w:tc>
      </w:tr>
      <w:tr w14:paraId="0307E3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22E6C3A8">
            <w:pPr>
              <w:pStyle w:val="12"/>
              <w:jc w:val="center"/>
            </w:pPr>
            <w:r>
              <w:rPr>
                <w:rFonts w:hint="eastAsia"/>
              </w:rPr>
              <w:t>丘隆基</w:t>
            </w:r>
          </w:p>
        </w:tc>
        <w:tc>
          <w:tcPr>
            <w:tcW w:w="859" w:type="pct"/>
            <w:vAlign w:val="center"/>
          </w:tcPr>
          <w:p w14:paraId="58F65E8D">
            <w:pPr>
              <w:pStyle w:val="12"/>
              <w:jc w:val="center"/>
            </w:pPr>
            <w:r>
              <w:rPr>
                <w:rFonts w:hint="eastAsia"/>
              </w:rPr>
              <w:t>江西南康</w:t>
            </w:r>
          </w:p>
        </w:tc>
        <w:tc>
          <w:tcPr>
            <w:tcW w:w="859" w:type="pct"/>
            <w:vAlign w:val="center"/>
          </w:tcPr>
          <w:p w14:paraId="6D633F5C">
            <w:pPr>
              <w:pStyle w:val="12"/>
              <w:jc w:val="center"/>
            </w:pPr>
            <w:r>
              <w:rPr>
                <w:rFonts w:hint="eastAsia"/>
              </w:rPr>
              <w:t>副书记</w:t>
            </w:r>
          </w:p>
        </w:tc>
        <w:tc>
          <w:tcPr>
            <w:tcW w:w="2422" w:type="pct"/>
            <w:vAlign w:val="center"/>
          </w:tcPr>
          <w:p w14:paraId="2A2E51DB">
            <w:pPr>
              <w:pStyle w:val="12"/>
              <w:jc w:val="left"/>
            </w:pPr>
            <w:r>
              <w:rPr>
                <w:rFonts w:hint="eastAsia"/>
              </w:rPr>
              <w:t>1993年2月至1996年8月</w:t>
            </w:r>
          </w:p>
        </w:tc>
      </w:tr>
      <w:tr w14:paraId="16BDFF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74001C53">
            <w:pPr>
              <w:pStyle w:val="12"/>
              <w:jc w:val="center"/>
            </w:pPr>
            <w:r>
              <w:rPr>
                <w:rFonts w:hint="eastAsia"/>
              </w:rPr>
              <w:t>沈学柏</w:t>
            </w:r>
          </w:p>
        </w:tc>
        <w:tc>
          <w:tcPr>
            <w:tcW w:w="859" w:type="pct"/>
            <w:vAlign w:val="center"/>
          </w:tcPr>
          <w:p w14:paraId="69A10066">
            <w:pPr>
              <w:pStyle w:val="12"/>
              <w:jc w:val="center"/>
            </w:pPr>
            <w:r>
              <w:rPr>
                <w:rFonts w:hint="eastAsia"/>
              </w:rPr>
              <w:t>广东南雄</w:t>
            </w:r>
          </w:p>
        </w:tc>
        <w:tc>
          <w:tcPr>
            <w:tcW w:w="859" w:type="pct"/>
            <w:vAlign w:val="center"/>
          </w:tcPr>
          <w:p w14:paraId="12FE6692">
            <w:pPr>
              <w:pStyle w:val="12"/>
              <w:jc w:val="center"/>
            </w:pPr>
            <w:r>
              <w:rPr>
                <w:rFonts w:hint="eastAsia"/>
              </w:rPr>
              <w:t>副书记</w:t>
            </w:r>
          </w:p>
        </w:tc>
        <w:tc>
          <w:tcPr>
            <w:tcW w:w="2422" w:type="pct"/>
            <w:vAlign w:val="center"/>
          </w:tcPr>
          <w:p w14:paraId="36408D02">
            <w:pPr>
              <w:pStyle w:val="12"/>
              <w:jc w:val="left"/>
            </w:pPr>
            <w:r>
              <w:rPr>
                <w:rFonts w:hint="eastAsia"/>
              </w:rPr>
              <w:t>1993年2月至1995年12月</w:t>
            </w:r>
          </w:p>
        </w:tc>
      </w:tr>
      <w:tr w14:paraId="44791F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570CC076">
            <w:pPr>
              <w:pStyle w:val="12"/>
              <w:jc w:val="center"/>
            </w:pPr>
            <w:r>
              <w:rPr>
                <w:rFonts w:hint="eastAsia"/>
              </w:rPr>
              <w:t>曲令平</w:t>
            </w:r>
          </w:p>
        </w:tc>
        <w:tc>
          <w:tcPr>
            <w:tcW w:w="859" w:type="pct"/>
            <w:vAlign w:val="center"/>
          </w:tcPr>
          <w:p w14:paraId="78F09612">
            <w:pPr>
              <w:pStyle w:val="12"/>
              <w:jc w:val="center"/>
            </w:pPr>
            <w:r>
              <w:rPr>
                <w:rFonts w:hint="eastAsia"/>
              </w:rPr>
              <w:t>河南唐河</w:t>
            </w:r>
          </w:p>
        </w:tc>
        <w:tc>
          <w:tcPr>
            <w:tcW w:w="859" w:type="pct"/>
            <w:vAlign w:val="center"/>
          </w:tcPr>
          <w:p w14:paraId="2CEF269C">
            <w:pPr>
              <w:pStyle w:val="12"/>
              <w:jc w:val="center"/>
            </w:pPr>
            <w:r>
              <w:rPr>
                <w:rFonts w:hint="eastAsia"/>
              </w:rPr>
              <w:t>副书记</w:t>
            </w:r>
          </w:p>
        </w:tc>
        <w:tc>
          <w:tcPr>
            <w:tcW w:w="2422" w:type="pct"/>
            <w:vAlign w:val="center"/>
          </w:tcPr>
          <w:p w14:paraId="67AF0A43">
            <w:pPr>
              <w:pStyle w:val="12"/>
              <w:jc w:val="left"/>
            </w:pPr>
            <w:r>
              <w:rPr>
                <w:rFonts w:hint="eastAsia"/>
              </w:rPr>
              <w:t>1993年8月至1996年8月</w:t>
            </w:r>
          </w:p>
        </w:tc>
      </w:tr>
      <w:tr w14:paraId="3C3DA9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708268D9">
            <w:pPr>
              <w:pStyle w:val="12"/>
              <w:jc w:val="center"/>
            </w:pPr>
            <w:r>
              <w:rPr>
                <w:rFonts w:hint="eastAsia"/>
              </w:rPr>
              <w:t>谭章明</w:t>
            </w:r>
          </w:p>
        </w:tc>
        <w:tc>
          <w:tcPr>
            <w:tcW w:w="859" w:type="pct"/>
            <w:vAlign w:val="center"/>
          </w:tcPr>
          <w:p w14:paraId="21C604EB">
            <w:pPr>
              <w:pStyle w:val="12"/>
              <w:jc w:val="center"/>
            </w:pPr>
            <w:r>
              <w:rPr>
                <w:rFonts w:hint="eastAsia"/>
              </w:rPr>
              <w:t>广东南雄</w:t>
            </w:r>
          </w:p>
        </w:tc>
        <w:tc>
          <w:tcPr>
            <w:tcW w:w="859" w:type="pct"/>
            <w:vAlign w:val="center"/>
          </w:tcPr>
          <w:p w14:paraId="328DCE7E">
            <w:pPr>
              <w:pStyle w:val="12"/>
              <w:jc w:val="center"/>
            </w:pPr>
            <w:r>
              <w:rPr>
                <w:rFonts w:hint="eastAsia"/>
              </w:rPr>
              <w:t>副书记</w:t>
            </w:r>
          </w:p>
        </w:tc>
        <w:tc>
          <w:tcPr>
            <w:tcW w:w="2422" w:type="pct"/>
            <w:vAlign w:val="center"/>
          </w:tcPr>
          <w:p w14:paraId="3624F50D">
            <w:pPr>
              <w:pStyle w:val="12"/>
              <w:jc w:val="left"/>
            </w:pPr>
            <w:r>
              <w:rPr>
                <w:rFonts w:hint="eastAsia"/>
              </w:rPr>
              <w:t>1996年1月至1996年8月</w:t>
            </w:r>
          </w:p>
        </w:tc>
      </w:tr>
      <w:tr w14:paraId="06FCAF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35B83C87">
            <w:pPr>
              <w:pStyle w:val="12"/>
              <w:jc w:val="center"/>
            </w:pPr>
            <w:r>
              <w:rPr>
                <w:rFonts w:hint="eastAsia"/>
              </w:rPr>
              <w:t>刘振甫</w:t>
            </w:r>
          </w:p>
        </w:tc>
        <w:tc>
          <w:tcPr>
            <w:tcW w:w="859" w:type="pct"/>
            <w:vAlign w:val="center"/>
          </w:tcPr>
          <w:p w14:paraId="56D9FF0F">
            <w:pPr>
              <w:pStyle w:val="12"/>
              <w:jc w:val="center"/>
            </w:pPr>
            <w:r>
              <w:rPr>
                <w:rFonts w:hint="eastAsia"/>
              </w:rPr>
              <w:t>北京市</w:t>
            </w:r>
          </w:p>
        </w:tc>
        <w:tc>
          <w:tcPr>
            <w:tcW w:w="859" w:type="pct"/>
            <w:vAlign w:val="center"/>
          </w:tcPr>
          <w:p w14:paraId="6E47F7B0">
            <w:pPr>
              <w:pStyle w:val="12"/>
              <w:jc w:val="center"/>
            </w:pPr>
            <w:r>
              <w:rPr>
                <w:rFonts w:hint="eastAsia"/>
              </w:rPr>
              <w:t>常委</w:t>
            </w:r>
          </w:p>
        </w:tc>
        <w:tc>
          <w:tcPr>
            <w:tcW w:w="2422" w:type="pct"/>
            <w:vAlign w:val="center"/>
          </w:tcPr>
          <w:p w14:paraId="1D70A967">
            <w:pPr>
              <w:pStyle w:val="12"/>
              <w:jc w:val="left"/>
            </w:pPr>
            <w:r>
              <w:rPr>
                <w:rFonts w:hint="eastAsia"/>
              </w:rPr>
              <w:t>1970年1月至1976年10月</w:t>
            </w:r>
          </w:p>
        </w:tc>
      </w:tr>
      <w:tr w14:paraId="612B8E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377C389B">
            <w:pPr>
              <w:pStyle w:val="12"/>
              <w:jc w:val="center"/>
            </w:pPr>
            <w:r>
              <w:rPr>
                <w:rFonts w:hint="eastAsia"/>
              </w:rPr>
              <w:t>彭兴祥</w:t>
            </w:r>
          </w:p>
        </w:tc>
        <w:tc>
          <w:tcPr>
            <w:tcW w:w="859" w:type="pct"/>
            <w:vAlign w:val="center"/>
          </w:tcPr>
          <w:p w14:paraId="7E4901FD">
            <w:pPr>
              <w:pStyle w:val="12"/>
              <w:jc w:val="center"/>
            </w:pPr>
            <w:r>
              <w:rPr>
                <w:rFonts w:hint="eastAsia"/>
              </w:rPr>
              <w:t>河北怀宁</w:t>
            </w:r>
          </w:p>
        </w:tc>
        <w:tc>
          <w:tcPr>
            <w:tcW w:w="859" w:type="pct"/>
            <w:vAlign w:val="center"/>
          </w:tcPr>
          <w:p w14:paraId="7D4FE876">
            <w:pPr>
              <w:pStyle w:val="12"/>
              <w:jc w:val="center"/>
            </w:pPr>
            <w:r>
              <w:rPr>
                <w:rFonts w:hint="eastAsia"/>
              </w:rPr>
              <w:t>常委</w:t>
            </w:r>
          </w:p>
        </w:tc>
        <w:tc>
          <w:tcPr>
            <w:tcW w:w="2422" w:type="pct"/>
            <w:vAlign w:val="center"/>
          </w:tcPr>
          <w:p w14:paraId="405318AC">
            <w:pPr>
              <w:pStyle w:val="12"/>
              <w:jc w:val="left"/>
            </w:pPr>
            <w:r>
              <w:rPr>
                <w:rFonts w:hint="eastAsia"/>
              </w:rPr>
              <w:t>1970年1月至1974年2月</w:t>
            </w:r>
          </w:p>
        </w:tc>
      </w:tr>
      <w:tr w14:paraId="53250B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394583BB">
            <w:pPr>
              <w:pStyle w:val="12"/>
              <w:jc w:val="center"/>
            </w:pPr>
            <w:r>
              <w:rPr>
                <w:rFonts w:hint="eastAsia"/>
              </w:rPr>
              <w:t>丁日初</w:t>
            </w:r>
          </w:p>
        </w:tc>
        <w:tc>
          <w:tcPr>
            <w:tcW w:w="859" w:type="pct"/>
            <w:vAlign w:val="center"/>
          </w:tcPr>
          <w:p w14:paraId="748083E4">
            <w:pPr>
              <w:pStyle w:val="12"/>
              <w:jc w:val="center"/>
            </w:pPr>
            <w:r>
              <w:rPr>
                <w:rFonts w:hint="eastAsia"/>
              </w:rPr>
              <w:t>广东南海</w:t>
            </w:r>
          </w:p>
        </w:tc>
        <w:tc>
          <w:tcPr>
            <w:tcW w:w="859" w:type="pct"/>
            <w:vAlign w:val="center"/>
          </w:tcPr>
          <w:p w14:paraId="0F327368">
            <w:pPr>
              <w:pStyle w:val="12"/>
              <w:jc w:val="center"/>
            </w:pPr>
            <w:r>
              <w:rPr>
                <w:rFonts w:hint="eastAsia"/>
              </w:rPr>
              <w:t>常委</w:t>
            </w:r>
          </w:p>
        </w:tc>
        <w:tc>
          <w:tcPr>
            <w:tcW w:w="2422" w:type="pct"/>
            <w:vAlign w:val="center"/>
          </w:tcPr>
          <w:p w14:paraId="4FB00DC3">
            <w:pPr>
              <w:pStyle w:val="12"/>
              <w:jc w:val="left"/>
            </w:pPr>
            <w:r>
              <w:rPr>
                <w:rFonts w:hint="eastAsia"/>
              </w:rPr>
              <w:t>1970年1月至1972年2月</w:t>
            </w:r>
          </w:p>
        </w:tc>
      </w:tr>
      <w:tr w14:paraId="02E19F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6EB2BD37">
            <w:pPr>
              <w:pStyle w:val="12"/>
              <w:jc w:val="center"/>
            </w:pPr>
            <w:r>
              <w:rPr>
                <w:rFonts w:hint="eastAsia"/>
              </w:rPr>
              <w:t>刘希孟</w:t>
            </w:r>
          </w:p>
        </w:tc>
        <w:tc>
          <w:tcPr>
            <w:tcW w:w="859" w:type="pct"/>
            <w:vAlign w:val="center"/>
          </w:tcPr>
          <w:p w14:paraId="75EB4578">
            <w:pPr>
              <w:pStyle w:val="12"/>
              <w:jc w:val="center"/>
            </w:pPr>
            <w:r>
              <w:rPr>
                <w:rFonts w:hint="eastAsia"/>
              </w:rPr>
              <w:t>广东翁源</w:t>
            </w:r>
          </w:p>
        </w:tc>
        <w:tc>
          <w:tcPr>
            <w:tcW w:w="859" w:type="pct"/>
            <w:vAlign w:val="center"/>
          </w:tcPr>
          <w:p w14:paraId="34C48D28">
            <w:pPr>
              <w:pStyle w:val="12"/>
              <w:jc w:val="center"/>
            </w:pPr>
            <w:r>
              <w:rPr>
                <w:rFonts w:hint="eastAsia"/>
              </w:rPr>
              <w:t>常委</w:t>
            </w:r>
          </w:p>
        </w:tc>
        <w:tc>
          <w:tcPr>
            <w:tcW w:w="2422" w:type="pct"/>
            <w:vAlign w:val="center"/>
          </w:tcPr>
          <w:p w14:paraId="3D1D2271">
            <w:pPr>
              <w:pStyle w:val="12"/>
              <w:jc w:val="left"/>
            </w:pPr>
            <w:r>
              <w:rPr>
                <w:rFonts w:hint="eastAsia"/>
              </w:rPr>
              <w:t>1970年1月至1973年2月</w:t>
            </w:r>
          </w:p>
        </w:tc>
      </w:tr>
      <w:tr w14:paraId="096E93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3BA780C1">
            <w:pPr>
              <w:pStyle w:val="12"/>
              <w:jc w:val="center"/>
            </w:pPr>
            <w:r>
              <w:rPr>
                <w:rFonts w:hint="eastAsia"/>
              </w:rPr>
              <w:t>李立学</w:t>
            </w:r>
          </w:p>
        </w:tc>
        <w:tc>
          <w:tcPr>
            <w:tcW w:w="859" w:type="pct"/>
            <w:vAlign w:val="center"/>
          </w:tcPr>
          <w:p w14:paraId="526DF26F">
            <w:pPr>
              <w:pStyle w:val="12"/>
              <w:jc w:val="center"/>
            </w:pPr>
            <w:r>
              <w:rPr>
                <w:rFonts w:hint="eastAsia"/>
              </w:rPr>
              <w:t>山西晋城</w:t>
            </w:r>
          </w:p>
        </w:tc>
        <w:tc>
          <w:tcPr>
            <w:tcW w:w="859" w:type="pct"/>
            <w:vAlign w:val="center"/>
          </w:tcPr>
          <w:p w14:paraId="55B31256">
            <w:pPr>
              <w:pStyle w:val="12"/>
              <w:jc w:val="center"/>
            </w:pPr>
            <w:r>
              <w:rPr>
                <w:rFonts w:hint="eastAsia"/>
              </w:rPr>
              <w:t>常委</w:t>
            </w:r>
          </w:p>
        </w:tc>
        <w:tc>
          <w:tcPr>
            <w:tcW w:w="2422" w:type="pct"/>
            <w:vAlign w:val="center"/>
          </w:tcPr>
          <w:p w14:paraId="7546A327">
            <w:pPr>
              <w:pStyle w:val="12"/>
              <w:jc w:val="left"/>
            </w:pPr>
            <w:r>
              <w:rPr>
                <w:rFonts w:hint="eastAsia"/>
              </w:rPr>
              <w:t>1970年1月至1973年2月</w:t>
            </w:r>
          </w:p>
        </w:tc>
      </w:tr>
      <w:tr w14:paraId="0B6EFF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54C05DF4">
            <w:pPr>
              <w:pStyle w:val="12"/>
              <w:jc w:val="center"/>
            </w:pPr>
            <w:r>
              <w:rPr>
                <w:rFonts w:hint="eastAsia"/>
              </w:rPr>
              <w:t>魏长荣</w:t>
            </w:r>
          </w:p>
        </w:tc>
        <w:tc>
          <w:tcPr>
            <w:tcW w:w="859" w:type="pct"/>
            <w:vAlign w:val="center"/>
          </w:tcPr>
          <w:p w14:paraId="3775BEDA">
            <w:pPr>
              <w:pStyle w:val="12"/>
              <w:jc w:val="center"/>
            </w:pPr>
            <w:r>
              <w:rPr>
                <w:rFonts w:hint="eastAsia"/>
              </w:rPr>
              <w:t>热河新惠</w:t>
            </w:r>
          </w:p>
        </w:tc>
        <w:tc>
          <w:tcPr>
            <w:tcW w:w="859" w:type="pct"/>
            <w:vAlign w:val="center"/>
          </w:tcPr>
          <w:p w14:paraId="57740708">
            <w:pPr>
              <w:pStyle w:val="12"/>
              <w:jc w:val="center"/>
            </w:pPr>
            <w:r>
              <w:rPr>
                <w:rFonts w:hint="eastAsia"/>
              </w:rPr>
              <w:t>常委</w:t>
            </w:r>
          </w:p>
        </w:tc>
        <w:tc>
          <w:tcPr>
            <w:tcW w:w="2422" w:type="pct"/>
            <w:vAlign w:val="center"/>
          </w:tcPr>
          <w:p w14:paraId="0615742E">
            <w:pPr>
              <w:pStyle w:val="12"/>
              <w:jc w:val="left"/>
            </w:pPr>
            <w:r>
              <w:rPr>
                <w:rFonts w:hint="eastAsia"/>
              </w:rPr>
              <w:t>1970年1月至5月</w:t>
            </w:r>
          </w:p>
        </w:tc>
      </w:tr>
      <w:tr w14:paraId="486A6F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7CEBB879">
            <w:pPr>
              <w:pStyle w:val="12"/>
              <w:jc w:val="center"/>
            </w:pPr>
            <w:r>
              <w:rPr>
                <w:rFonts w:hint="eastAsia"/>
              </w:rPr>
              <w:t>魏世俊</w:t>
            </w:r>
          </w:p>
        </w:tc>
        <w:tc>
          <w:tcPr>
            <w:tcW w:w="859" w:type="pct"/>
            <w:vAlign w:val="center"/>
          </w:tcPr>
          <w:p w14:paraId="176ACACE">
            <w:pPr>
              <w:pStyle w:val="12"/>
              <w:jc w:val="center"/>
            </w:pPr>
            <w:r>
              <w:rPr>
                <w:rFonts w:hint="eastAsia"/>
              </w:rPr>
              <w:t>山西武乡</w:t>
            </w:r>
          </w:p>
        </w:tc>
        <w:tc>
          <w:tcPr>
            <w:tcW w:w="859" w:type="pct"/>
            <w:vAlign w:val="center"/>
          </w:tcPr>
          <w:p w14:paraId="33DF3C48">
            <w:pPr>
              <w:pStyle w:val="12"/>
              <w:jc w:val="center"/>
            </w:pPr>
            <w:r>
              <w:rPr>
                <w:rFonts w:hint="eastAsia"/>
              </w:rPr>
              <w:t>常委</w:t>
            </w:r>
          </w:p>
        </w:tc>
        <w:tc>
          <w:tcPr>
            <w:tcW w:w="2422" w:type="pct"/>
            <w:vAlign w:val="center"/>
          </w:tcPr>
          <w:p w14:paraId="1C587375">
            <w:pPr>
              <w:pStyle w:val="12"/>
              <w:jc w:val="left"/>
            </w:pPr>
            <w:r>
              <w:rPr>
                <w:rFonts w:hint="eastAsia"/>
              </w:rPr>
              <w:t>1970年1月至1976年5月</w:t>
            </w:r>
          </w:p>
        </w:tc>
      </w:tr>
      <w:tr w14:paraId="2772E3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63B223DD">
            <w:pPr>
              <w:pStyle w:val="12"/>
              <w:jc w:val="center"/>
            </w:pPr>
            <w:r>
              <w:rPr>
                <w:rFonts w:hint="eastAsia"/>
              </w:rPr>
              <w:t>朱一樵</w:t>
            </w:r>
          </w:p>
        </w:tc>
        <w:tc>
          <w:tcPr>
            <w:tcW w:w="859" w:type="pct"/>
            <w:vAlign w:val="center"/>
          </w:tcPr>
          <w:p w14:paraId="4034AD09">
            <w:pPr>
              <w:pStyle w:val="12"/>
              <w:jc w:val="center"/>
            </w:pPr>
            <w:r>
              <w:rPr>
                <w:rFonts w:hint="eastAsia"/>
              </w:rPr>
              <w:t>江苏泗阳</w:t>
            </w:r>
          </w:p>
        </w:tc>
        <w:tc>
          <w:tcPr>
            <w:tcW w:w="859" w:type="pct"/>
            <w:vAlign w:val="center"/>
          </w:tcPr>
          <w:p w14:paraId="202CE665">
            <w:pPr>
              <w:pStyle w:val="12"/>
              <w:jc w:val="center"/>
            </w:pPr>
            <w:r>
              <w:rPr>
                <w:rFonts w:hint="eastAsia"/>
              </w:rPr>
              <w:t>常委</w:t>
            </w:r>
          </w:p>
        </w:tc>
        <w:tc>
          <w:tcPr>
            <w:tcW w:w="2422" w:type="pct"/>
            <w:vAlign w:val="center"/>
          </w:tcPr>
          <w:p w14:paraId="044BA650">
            <w:pPr>
              <w:pStyle w:val="12"/>
              <w:jc w:val="left"/>
            </w:pPr>
            <w:r>
              <w:rPr>
                <w:rFonts w:hint="eastAsia"/>
              </w:rPr>
              <w:t>1970年1月至1971年11月</w:t>
            </w:r>
          </w:p>
        </w:tc>
      </w:tr>
      <w:tr w14:paraId="7B92EE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5313EDF2">
            <w:pPr>
              <w:pStyle w:val="12"/>
              <w:jc w:val="center"/>
            </w:pPr>
            <w:r>
              <w:rPr>
                <w:rFonts w:hint="eastAsia"/>
              </w:rPr>
              <w:t>陈德平</w:t>
            </w:r>
          </w:p>
        </w:tc>
        <w:tc>
          <w:tcPr>
            <w:tcW w:w="859" w:type="pct"/>
            <w:vAlign w:val="center"/>
          </w:tcPr>
          <w:p w14:paraId="3D4C7E4A">
            <w:pPr>
              <w:pStyle w:val="12"/>
              <w:jc w:val="center"/>
            </w:pPr>
            <w:r>
              <w:rPr>
                <w:rFonts w:hint="eastAsia"/>
              </w:rPr>
              <w:t>广东南雄</w:t>
            </w:r>
          </w:p>
        </w:tc>
        <w:tc>
          <w:tcPr>
            <w:tcW w:w="859" w:type="pct"/>
            <w:vAlign w:val="center"/>
          </w:tcPr>
          <w:p w14:paraId="1040404B">
            <w:pPr>
              <w:pStyle w:val="12"/>
              <w:jc w:val="center"/>
            </w:pPr>
            <w:r>
              <w:rPr>
                <w:rFonts w:hint="eastAsia"/>
              </w:rPr>
              <w:t>常委</w:t>
            </w:r>
          </w:p>
        </w:tc>
        <w:tc>
          <w:tcPr>
            <w:tcW w:w="2422" w:type="pct"/>
            <w:vAlign w:val="center"/>
          </w:tcPr>
          <w:p w14:paraId="6AF7437F">
            <w:pPr>
              <w:pStyle w:val="12"/>
              <w:jc w:val="left"/>
            </w:pPr>
            <w:r>
              <w:rPr>
                <w:rFonts w:hint="eastAsia"/>
              </w:rPr>
              <w:t>1970年1月至1976年1月</w:t>
            </w:r>
          </w:p>
        </w:tc>
      </w:tr>
      <w:tr w14:paraId="2E601B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7A0F851E">
            <w:pPr>
              <w:pStyle w:val="12"/>
              <w:jc w:val="center"/>
            </w:pPr>
            <w:r>
              <w:rPr>
                <w:rFonts w:hint="eastAsia"/>
              </w:rPr>
              <w:t>王春祥</w:t>
            </w:r>
          </w:p>
        </w:tc>
        <w:tc>
          <w:tcPr>
            <w:tcW w:w="859" w:type="pct"/>
            <w:vAlign w:val="center"/>
          </w:tcPr>
          <w:p w14:paraId="7AB9EAB4">
            <w:pPr>
              <w:pStyle w:val="12"/>
              <w:jc w:val="center"/>
            </w:pPr>
            <w:r>
              <w:rPr>
                <w:rFonts w:hint="eastAsia"/>
              </w:rPr>
              <w:t>山东沾化</w:t>
            </w:r>
          </w:p>
        </w:tc>
        <w:tc>
          <w:tcPr>
            <w:tcW w:w="859" w:type="pct"/>
            <w:vAlign w:val="center"/>
          </w:tcPr>
          <w:p w14:paraId="5C24D138">
            <w:pPr>
              <w:pStyle w:val="12"/>
              <w:jc w:val="center"/>
            </w:pPr>
            <w:r>
              <w:rPr>
                <w:rFonts w:hint="eastAsia"/>
              </w:rPr>
              <w:t>常委</w:t>
            </w:r>
          </w:p>
        </w:tc>
        <w:tc>
          <w:tcPr>
            <w:tcW w:w="2422" w:type="pct"/>
            <w:vAlign w:val="center"/>
          </w:tcPr>
          <w:p w14:paraId="0AEAE004">
            <w:pPr>
              <w:pStyle w:val="12"/>
              <w:jc w:val="left"/>
            </w:pPr>
            <w:r>
              <w:rPr>
                <w:rFonts w:hint="eastAsia"/>
              </w:rPr>
              <w:t>1971年11月至1973年2月</w:t>
            </w:r>
          </w:p>
        </w:tc>
      </w:tr>
      <w:tr w14:paraId="007175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3556303C">
            <w:pPr>
              <w:pStyle w:val="12"/>
              <w:jc w:val="center"/>
            </w:pPr>
            <w:r>
              <w:rPr>
                <w:rFonts w:hint="eastAsia"/>
              </w:rPr>
              <w:t>周儒旺</w:t>
            </w:r>
          </w:p>
        </w:tc>
        <w:tc>
          <w:tcPr>
            <w:tcW w:w="859" w:type="pct"/>
            <w:vAlign w:val="center"/>
          </w:tcPr>
          <w:p w14:paraId="2BB5B45C">
            <w:pPr>
              <w:pStyle w:val="12"/>
              <w:jc w:val="center"/>
            </w:pPr>
            <w:r>
              <w:rPr>
                <w:rFonts w:hint="eastAsia"/>
              </w:rPr>
              <w:t>广东南雄</w:t>
            </w:r>
          </w:p>
        </w:tc>
        <w:tc>
          <w:tcPr>
            <w:tcW w:w="859" w:type="pct"/>
            <w:vAlign w:val="center"/>
          </w:tcPr>
          <w:p w14:paraId="28235681">
            <w:pPr>
              <w:pStyle w:val="12"/>
              <w:jc w:val="center"/>
            </w:pPr>
            <w:r>
              <w:rPr>
                <w:rFonts w:hint="eastAsia"/>
              </w:rPr>
              <w:t>常委</w:t>
            </w:r>
          </w:p>
        </w:tc>
        <w:tc>
          <w:tcPr>
            <w:tcW w:w="2422" w:type="pct"/>
            <w:vAlign w:val="center"/>
          </w:tcPr>
          <w:p w14:paraId="45B2EB74">
            <w:pPr>
              <w:pStyle w:val="12"/>
              <w:jc w:val="left"/>
            </w:pPr>
            <w:r>
              <w:rPr>
                <w:rFonts w:hint="eastAsia"/>
              </w:rPr>
              <w:t>1972年5月至1980年6月</w:t>
            </w:r>
          </w:p>
        </w:tc>
      </w:tr>
      <w:tr w14:paraId="2E5387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45F99025">
            <w:pPr>
              <w:pStyle w:val="12"/>
              <w:jc w:val="center"/>
            </w:pPr>
            <w:r>
              <w:rPr>
                <w:rFonts w:hint="eastAsia"/>
              </w:rPr>
              <w:t>洪  佳</w:t>
            </w:r>
          </w:p>
        </w:tc>
        <w:tc>
          <w:tcPr>
            <w:tcW w:w="859" w:type="pct"/>
            <w:vAlign w:val="center"/>
          </w:tcPr>
          <w:p w14:paraId="16C04DE4">
            <w:pPr>
              <w:pStyle w:val="12"/>
              <w:jc w:val="center"/>
            </w:pPr>
            <w:r>
              <w:rPr>
                <w:rFonts w:hint="eastAsia"/>
              </w:rPr>
              <w:t>广东龙门</w:t>
            </w:r>
          </w:p>
        </w:tc>
        <w:tc>
          <w:tcPr>
            <w:tcW w:w="859" w:type="pct"/>
            <w:vAlign w:val="center"/>
          </w:tcPr>
          <w:p w14:paraId="5D637AB8">
            <w:pPr>
              <w:pStyle w:val="12"/>
              <w:jc w:val="center"/>
            </w:pPr>
            <w:r>
              <w:rPr>
                <w:rFonts w:hint="eastAsia"/>
              </w:rPr>
              <w:t>常委</w:t>
            </w:r>
          </w:p>
        </w:tc>
        <w:tc>
          <w:tcPr>
            <w:tcW w:w="2422" w:type="pct"/>
            <w:vAlign w:val="center"/>
          </w:tcPr>
          <w:p w14:paraId="3FEBDE3B">
            <w:pPr>
              <w:pStyle w:val="12"/>
              <w:jc w:val="left"/>
            </w:pPr>
            <w:r>
              <w:rPr>
                <w:rFonts w:hint="eastAsia"/>
              </w:rPr>
              <w:t>1973年2月至1977年8月</w:t>
            </w:r>
          </w:p>
        </w:tc>
      </w:tr>
      <w:tr w14:paraId="11E7A7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0FD53773">
            <w:pPr>
              <w:pStyle w:val="12"/>
              <w:jc w:val="center"/>
            </w:pPr>
            <w:r>
              <w:rPr>
                <w:rFonts w:hint="eastAsia"/>
              </w:rPr>
              <w:t>王竹香（女）</w:t>
            </w:r>
          </w:p>
        </w:tc>
        <w:tc>
          <w:tcPr>
            <w:tcW w:w="859" w:type="pct"/>
            <w:vAlign w:val="center"/>
          </w:tcPr>
          <w:p w14:paraId="2CD2BE02">
            <w:pPr>
              <w:pStyle w:val="12"/>
              <w:jc w:val="center"/>
            </w:pPr>
            <w:r>
              <w:rPr>
                <w:rFonts w:hint="eastAsia"/>
              </w:rPr>
              <w:t>广东南雄</w:t>
            </w:r>
          </w:p>
        </w:tc>
        <w:tc>
          <w:tcPr>
            <w:tcW w:w="859" w:type="pct"/>
            <w:vAlign w:val="center"/>
          </w:tcPr>
          <w:p w14:paraId="28645A32">
            <w:pPr>
              <w:pStyle w:val="12"/>
              <w:jc w:val="center"/>
            </w:pPr>
            <w:r>
              <w:rPr>
                <w:rFonts w:hint="eastAsia"/>
              </w:rPr>
              <w:t>常委</w:t>
            </w:r>
          </w:p>
        </w:tc>
        <w:tc>
          <w:tcPr>
            <w:tcW w:w="2422" w:type="pct"/>
            <w:vAlign w:val="center"/>
          </w:tcPr>
          <w:p w14:paraId="67DF2B8F">
            <w:pPr>
              <w:pStyle w:val="12"/>
              <w:jc w:val="left"/>
            </w:pPr>
            <w:r>
              <w:rPr>
                <w:rFonts w:hint="eastAsia"/>
              </w:rPr>
              <w:t>1973年2月至1979年10月</w:t>
            </w:r>
          </w:p>
        </w:tc>
      </w:tr>
      <w:tr w14:paraId="4AEFDB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676402BE">
            <w:pPr>
              <w:pStyle w:val="12"/>
              <w:jc w:val="center"/>
            </w:pPr>
            <w:r>
              <w:rPr>
                <w:rFonts w:hint="eastAsia"/>
              </w:rPr>
              <w:t>任金钟</w:t>
            </w:r>
          </w:p>
        </w:tc>
        <w:tc>
          <w:tcPr>
            <w:tcW w:w="859" w:type="pct"/>
            <w:vAlign w:val="center"/>
          </w:tcPr>
          <w:p w14:paraId="48F39EAB">
            <w:pPr>
              <w:pStyle w:val="12"/>
              <w:jc w:val="center"/>
            </w:pPr>
            <w:r>
              <w:rPr>
                <w:rFonts w:hint="eastAsia"/>
              </w:rPr>
              <w:t>山东临清</w:t>
            </w:r>
          </w:p>
        </w:tc>
        <w:tc>
          <w:tcPr>
            <w:tcW w:w="859" w:type="pct"/>
            <w:vAlign w:val="center"/>
          </w:tcPr>
          <w:p w14:paraId="570B9E94">
            <w:pPr>
              <w:pStyle w:val="12"/>
              <w:jc w:val="center"/>
            </w:pPr>
            <w:r>
              <w:rPr>
                <w:rFonts w:hint="eastAsia"/>
              </w:rPr>
              <w:t>常委</w:t>
            </w:r>
          </w:p>
        </w:tc>
        <w:tc>
          <w:tcPr>
            <w:tcW w:w="2422" w:type="pct"/>
            <w:vAlign w:val="center"/>
          </w:tcPr>
          <w:p w14:paraId="6234FA8C">
            <w:pPr>
              <w:pStyle w:val="12"/>
              <w:jc w:val="left"/>
            </w:pPr>
            <w:r>
              <w:rPr>
                <w:rFonts w:hint="eastAsia"/>
              </w:rPr>
              <w:t>1973年7月至1975年2月</w:t>
            </w:r>
          </w:p>
        </w:tc>
      </w:tr>
      <w:tr w14:paraId="217F3E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5831B94F">
            <w:pPr>
              <w:pStyle w:val="12"/>
              <w:jc w:val="center"/>
            </w:pPr>
            <w:r>
              <w:rPr>
                <w:rFonts w:hint="eastAsia"/>
              </w:rPr>
              <w:t>赖济标</w:t>
            </w:r>
          </w:p>
        </w:tc>
        <w:tc>
          <w:tcPr>
            <w:tcW w:w="859" w:type="pct"/>
            <w:vAlign w:val="center"/>
          </w:tcPr>
          <w:p w14:paraId="04B9067F">
            <w:pPr>
              <w:pStyle w:val="12"/>
              <w:jc w:val="center"/>
            </w:pPr>
            <w:r>
              <w:rPr>
                <w:rFonts w:hint="eastAsia"/>
              </w:rPr>
              <w:t>广东曲江</w:t>
            </w:r>
          </w:p>
        </w:tc>
        <w:tc>
          <w:tcPr>
            <w:tcW w:w="859" w:type="pct"/>
            <w:vAlign w:val="center"/>
          </w:tcPr>
          <w:p w14:paraId="3B7C5610">
            <w:pPr>
              <w:pStyle w:val="12"/>
              <w:jc w:val="center"/>
            </w:pPr>
            <w:r>
              <w:rPr>
                <w:rFonts w:hint="eastAsia"/>
              </w:rPr>
              <w:t>常委</w:t>
            </w:r>
          </w:p>
        </w:tc>
        <w:tc>
          <w:tcPr>
            <w:tcW w:w="2422" w:type="pct"/>
            <w:vAlign w:val="center"/>
          </w:tcPr>
          <w:p w14:paraId="3052BBE9">
            <w:pPr>
              <w:pStyle w:val="12"/>
              <w:jc w:val="left"/>
            </w:pPr>
            <w:r>
              <w:rPr>
                <w:rFonts w:hint="eastAsia"/>
              </w:rPr>
              <w:t>1974年2月至1987年11月</w:t>
            </w:r>
          </w:p>
        </w:tc>
      </w:tr>
      <w:tr w14:paraId="4FC236C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17E65504">
            <w:pPr>
              <w:pStyle w:val="12"/>
              <w:jc w:val="center"/>
            </w:pPr>
            <w:r>
              <w:rPr>
                <w:rFonts w:hint="eastAsia"/>
              </w:rPr>
              <w:t>沈会峰</w:t>
            </w:r>
          </w:p>
        </w:tc>
        <w:tc>
          <w:tcPr>
            <w:tcW w:w="859" w:type="pct"/>
            <w:vAlign w:val="center"/>
          </w:tcPr>
          <w:p w14:paraId="71E82F06">
            <w:pPr>
              <w:pStyle w:val="12"/>
              <w:jc w:val="center"/>
            </w:pPr>
            <w:r>
              <w:rPr>
                <w:rFonts w:hint="eastAsia"/>
              </w:rPr>
              <w:t>河北滦南</w:t>
            </w:r>
          </w:p>
        </w:tc>
        <w:tc>
          <w:tcPr>
            <w:tcW w:w="859" w:type="pct"/>
            <w:vAlign w:val="center"/>
          </w:tcPr>
          <w:p w14:paraId="0FE8E359">
            <w:pPr>
              <w:pStyle w:val="12"/>
              <w:jc w:val="center"/>
            </w:pPr>
            <w:r>
              <w:rPr>
                <w:rFonts w:hint="eastAsia"/>
              </w:rPr>
              <w:t>常委</w:t>
            </w:r>
          </w:p>
        </w:tc>
        <w:tc>
          <w:tcPr>
            <w:tcW w:w="2422" w:type="pct"/>
            <w:vAlign w:val="center"/>
          </w:tcPr>
          <w:p w14:paraId="764776DC">
            <w:pPr>
              <w:pStyle w:val="12"/>
              <w:jc w:val="left"/>
            </w:pPr>
            <w:r>
              <w:rPr>
                <w:rFonts w:hint="eastAsia"/>
              </w:rPr>
              <w:t>1974年7月至1984年4月</w:t>
            </w:r>
          </w:p>
        </w:tc>
      </w:tr>
      <w:tr w14:paraId="17BDB8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69ED9E38">
            <w:pPr>
              <w:pStyle w:val="12"/>
              <w:jc w:val="center"/>
            </w:pPr>
            <w:r>
              <w:rPr>
                <w:rFonts w:hint="eastAsia"/>
              </w:rPr>
              <w:t>郭衍全</w:t>
            </w:r>
          </w:p>
        </w:tc>
        <w:tc>
          <w:tcPr>
            <w:tcW w:w="859" w:type="pct"/>
            <w:vAlign w:val="center"/>
          </w:tcPr>
          <w:p w14:paraId="62B833DB">
            <w:pPr>
              <w:pStyle w:val="12"/>
              <w:jc w:val="center"/>
            </w:pPr>
            <w:r>
              <w:rPr>
                <w:rFonts w:hint="eastAsia"/>
              </w:rPr>
              <w:t>广东南雄</w:t>
            </w:r>
          </w:p>
        </w:tc>
        <w:tc>
          <w:tcPr>
            <w:tcW w:w="859" w:type="pct"/>
            <w:vAlign w:val="center"/>
          </w:tcPr>
          <w:p w14:paraId="631A0197">
            <w:pPr>
              <w:pStyle w:val="12"/>
              <w:jc w:val="center"/>
            </w:pPr>
            <w:r>
              <w:rPr>
                <w:rFonts w:hint="eastAsia"/>
              </w:rPr>
              <w:t>常委</w:t>
            </w:r>
          </w:p>
        </w:tc>
        <w:tc>
          <w:tcPr>
            <w:tcW w:w="2422" w:type="pct"/>
            <w:vAlign w:val="center"/>
          </w:tcPr>
          <w:p w14:paraId="474A9C55">
            <w:pPr>
              <w:pStyle w:val="12"/>
              <w:jc w:val="left"/>
            </w:pPr>
            <w:r>
              <w:rPr>
                <w:rFonts w:hint="eastAsia"/>
              </w:rPr>
              <w:t>1974年2月至1980年6月</w:t>
            </w:r>
          </w:p>
          <w:p w14:paraId="42A47B4B">
            <w:pPr>
              <w:pStyle w:val="12"/>
              <w:jc w:val="left"/>
            </w:pPr>
            <w:r>
              <w:rPr>
                <w:rFonts w:hint="eastAsia"/>
              </w:rPr>
              <w:t>1986年7月至1996年8月</w:t>
            </w:r>
          </w:p>
        </w:tc>
      </w:tr>
      <w:tr w14:paraId="237961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3A4FB93A">
            <w:pPr>
              <w:pStyle w:val="12"/>
              <w:jc w:val="center"/>
            </w:pPr>
            <w:r>
              <w:rPr>
                <w:rFonts w:hint="eastAsia"/>
              </w:rPr>
              <w:t>何世理</w:t>
            </w:r>
          </w:p>
        </w:tc>
        <w:tc>
          <w:tcPr>
            <w:tcW w:w="859" w:type="pct"/>
            <w:vAlign w:val="center"/>
          </w:tcPr>
          <w:p w14:paraId="0456D4A0">
            <w:pPr>
              <w:pStyle w:val="12"/>
              <w:jc w:val="center"/>
            </w:pPr>
            <w:r>
              <w:rPr>
                <w:rFonts w:hint="eastAsia"/>
              </w:rPr>
              <w:t>广东南雄</w:t>
            </w:r>
          </w:p>
        </w:tc>
        <w:tc>
          <w:tcPr>
            <w:tcW w:w="859" w:type="pct"/>
            <w:vAlign w:val="center"/>
          </w:tcPr>
          <w:p w14:paraId="7537A5F7">
            <w:pPr>
              <w:pStyle w:val="12"/>
              <w:jc w:val="center"/>
            </w:pPr>
            <w:r>
              <w:rPr>
                <w:rFonts w:hint="eastAsia"/>
              </w:rPr>
              <w:t>常委</w:t>
            </w:r>
          </w:p>
        </w:tc>
        <w:tc>
          <w:tcPr>
            <w:tcW w:w="2422" w:type="pct"/>
            <w:vAlign w:val="center"/>
          </w:tcPr>
          <w:p w14:paraId="49741850">
            <w:pPr>
              <w:pStyle w:val="12"/>
              <w:jc w:val="left"/>
            </w:pPr>
            <w:r>
              <w:rPr>
                <w:rFonts w:hint="eastAsia"/>
              </w:rPr>
              <w:t>1975年12月至1984年4月</w:t>
            </w:r>
          </w:p>
        </w:tc>
      </w:tr>
      <w:tr w14:paraId="06C5A6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39570432">
            <w:pPr>
              <w:pStyle w:val="12"/>
              <w:jc w:val="center"/>
            </w:pPr>
            <w:r>
              <w:rPr>
                <w:rFonts w:hint="eastAsia"/>
              </w:rPr>
              <w:t>王广居</w:t>
            </w:r>
          </w:p>
        </w:tc>
        <w:tc>
          <w:tcPr>
            <w:tcW w:w="859" w:type="pct"/>
            <w:vAlign w:val="center"/>
          </w:tcPr>
          <w:p w14:paraId="56C75C90">
            <w:pPr>
              <w:pStyle w:val="12"/>
              <w:jc w:val="center"/>
            </w:pPr>
            <w:r>
              <w:rPr>
                <w:rFonts w:hint="eastAsia"/>
              </w:rPr>
              <w:t>河北蓟县</w:t>
            </w:r>
          </w:p>
        </w:tc>
        <w:tc>
          <w:tcPr>
            <w:tcW w:w="859" w:type="pct"/>
            <w:vAlign w:val="center"/>
          </w:tcPr>
          <w:p w14:paraId="6A502A89">
            <w:pPr>
              <w:pStyle w:val="12"/>
              <w:jc w:val="center"/>
            </w:pPr>
            <w:r>
              <w:rPr>
                <w:rFonts w:hint="eastAsia"/>
              </w:rPr>
              <w:t>常委</w:t>
            </w:r>
          </w:p>
        </w:tc>
        <w:tc>
          <w:tcPr>
            <w:tcW w:w="2422" w:type="pct"/>
            <w:vAlign w:val="center"/>
          </w:tcPr>
          <w:p w14:paraId="7B8F84A3">
            <w:pPr>
              <w:pStyle w:val="12"/>
              <w:jc w:val="left"/>
            </w:pPr>
            <w:r>
              <w:rPr>
                <w:rFonts w:hint="eastAsia"/>
              </w:rPr>
              <w:t>1976年1月至1979年4月</w:t>
            </w:r>
          </w:p>
        </w:tc>
      </w:tr>
      <w:tr w14:paraId="1488F4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3003941E">
            <w:pPr>
              <w:pStyle w:val="12"/>
              <w:jc w:val="center"/>
            </w:pPr>
            <w:r>
              <w:rPr>
                <w:rFonts w:hint="eastAsia"/>
              </w:rPr>
              <w:t>林立中</w:t>
            </w:r>
          </w:p>
        </w:tc>
        <w:tc>
          <w:tcPr>
            <w:tcW w:w="859" w:type="pct"/>
            <w:vAlign w:val="center"/>
          </w:tcPr>
          <w:p w14:paraId="3095744F">
            <w:pPr>
              <w:pStyle w:val="12"/>
              <w:jc w:val="center"/>
            </w:pPr>
            <w:r>
              <w:rPr>
                <w:rFonts w:hint="eastAsia"/>
              </w:rPr>
              <w:t>广东惠阳</w:t>
            </w:r>
          </w:p>
        </w:tc>
        <w:tc>
          <w:tcPr>
            <w:tcW w:w="859" w:type="pct"/>
            <w:vAlign w:val="center"/>
          </w:tcPr>
          <w:p w14:paraId="12B81BB7">
            <w:pPr>
              <w:pStyle w:val="12"/>
              <w:jc w:val="center"/>
            </w:pPr>
            <w:r>
              <w:rPr>
                <w:rFonts w:hint="eastAsia"/>
              </w:rPr>
              <w:t>常委</w:t>
            </w:r>
          </w:p>
        </w:tc>
        <w:tc>
          <w:tcPr>
            <w:tcW w:w="2422" w:type="pct"/>
            <w:vAlign w:val="center"/>
          </w:tcPr>
          <w:p w14:paraId="375EC496">
            <w:pPr>
              <w:pStyle w:val="12"/>
              <w:jc w:val="left"/>
            </w:pPr>
            <w:r>
              <w:rPr>
                <w:rFonts w:hint="eastAsia"/>
              </w:rPr>
              <w:t>1976年1月至1980年6月</w:t>
            </w:r>
          </w:p>
        </w:tc>
      </w:tr>
      <w:tr w14:paraId="4E9C6D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859" w:type="pct"/>
            <w:vAlign w:val="center"/>
          </w:tcPr>
          <w:p w14:paraId="1BB902FF">
            <w:pPr>
              <w:pStyle w:val="12"/>
              <w:jc w:val="center"/>
            </w:pPr>
            <w:r>
              <w:rPr>
                <w:rFonts w:hint="eastAsia"/>
              </w:rPr>
              <w:t>卢卫群</w:t>
            </w:r>
          </w:p>
        </w:tc>
        <w:tc>
          <w:tcPr>
            <w:tcW w:w="859" w:type="pct"/>
            <w:vAlign w:val="center"/>
          </w:tcPr>
          <w:p w14:paraId="4788E2E1">
            <w:pPr>
              <w:pStyle w:val="12"/>
              <w:jc w:val="center"/>
            </w:pPr>
            <w:r>
              <w:rPr>
                <w:rFonts w:hint="eastAsia"/>
              </w:rPr>
              <w:t>广东潮安</w:t>
            </w:r>
          </w:p>
        </w:tc>
        <w:tc>
          <w:tcPr>
            <w:tcW w:w="859" w:type="pct"/>
            <w:vAlign w:val="center"/>
          </w:tcPr>
          <w:p w14:paraId="4B3EDE43">
            <w:pPr>
              <w:pStyle w:val="12"/>
              <w:jc w:val="center"/>
            </w:pPr>
            <w:r>
              <w:rPr>
                <w:rFonts w:hint="eastAsia"/>
              </w:rPr>
              <w:t>常委</w:t>
            </w:r>
          </w:p>
        </w:tc>
        <w:tc>
          <w:tcPr>
            <w:tcW w:w="2422" w:type="pct"/>
            <w:vAlign w:val="center"/>
          </w:tcPr>
          <w:p w14:paraId="70C6E59A">
            <w:pPr>
              <w:pStyle w:val="12"/>
              <w:jc w:val="left"/>
            </w:pPr>
            <w:r>
              <w:rPr>
                <w:rFonts w:hint="eastAsia"/>
              </w:rPr>
              <w:t>1976年1月至1984年4月</w:t>
            </w:r>
          </w:p>
        </w:tc>
      </w:tr>
      <w:tr w14:paraId="359D1A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6B0EAF69">
            <w:pPr>
              <w:pStyle w:val="12"/>
              <w:jc w:val="center"/>
            </w:pPr>
            <w:r>
              <w:rPr>
                <w:rFonts w:hint="eastAsia"/>
              </w:rPr>
              <w:t>王全干</w:t>
            </w:r>
          </w:p>
        </w:tc>
        <w:tc>
          <w:tcPr>
            <w:tcW w:w="859" w:type="pct"/>
            <w:vAlign w:val="center"/>
          </w:tcPr>
          <w:p w14:paraId="7E979A2D">
            <w:pPr>
              <w:pStyle w:val="12"/>
              <w:jc w:val="center"/>
            </w:pPr>
            <w:r>
              <w:rPr>
                <w:rFonts w:hint="eastAsia"/>
              </w:rPr>
              <w:t>广东兴宁</w:t>
            </w:r>
          </w:p>
        </w:tc>
        <w:tc>
          <w:tcPr>
            <w:tcW w:w="859" w:type="pct"/>
            <w:vAlign w:val="center"/>
          </w:tcPr>
          <w:p w14:paraId="1404E689">
            <w:pPr>
              <w:pStyle w:val="12"/>
              <w:jc w:val="center"/>
            </w:pPr>
            <w:r>
              <w:rPr>
                <w:rFonts w:hint="eastAsia"/>
              </w:rPr>
              <w:t>常委</w:t>
            </w:r>
          </w:p>
        </w:tc>
        <w:tc>
          <w:tcPr>
            <w:tcW w:w="2422" w:type="pct"/>
            <w:vAlign w:val="center"/>
          </w:tcPr>
          <w:p w14:paraId="61FC30BE">
            <w:pPr>
              <w:pStyle w:val="12"/>
              <w:jc w:val="left"/>
            </w:pPr>
            <w:r>
              <w:rPr>
                <w:rFonts w:hint="eastAsia"/>
              </w:rPr>
              <w:t>1976年1月至1979年10月</w:t>
            </w:r>
          </w:p>
        </w:tc>
      </w:tr>
      <w:tr w14:paraId="757543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64C2E522">
            <w:pPr>
              <w:pStyle w:val="12"/>
              <w:jc w:val="center"/>
            </w:pPr>
            <w:r>
              <w:rPr>
                <w:rFonts w:hint="eastAsia"/>
              </w:rPr>
              <w:t>李  坚</w:t>
            </w:r>
          </w:p>
        </w:tc>
        <w:tc>
          <w:tcPr>
            <w:tcW w:w="859" w:type="pct"/>
            <w:vAlign w:val="center"/>
          </w:tcPr>
          <w:p w14:paraId="38CB1C2F">
            <w:pPr>
              <w:pStyle w:val="12"/>
              <w:jc w:val="center"/>
            </w:pPr>
            <w:r>
              <w:rPr>
                <w:rFonts w:hint="eastAsia"/>
              </w:rPr>
              <w:t>广东揭西</w:t>
            </w:r>
          </w:p>
        </w:tc>
        <w:tc>
          <w:tcPr>
            <w:tcW w:w="859" w:type="pct"/>
            <w:vAlign w:val="center"/>
          </w:tcPr>
          <w:p w14:paraId="27D33511">
            <w:pPr>
              <w:pStyle w:val="12"/>
              <w:jc w:val="center"/>
            </w:pPr>
            <w:r>
              <w:rPr>
                <w:rFonts w:hint="eastAsia"/>
              </w:rPr>
              <w:t>常委</w:t>
            </w:r>
          </w:p>
        </w:tc>
        <w:tc>
          <w:tcPr>
            <w:tcW w:w="2422" w:type="pct"/>
            <w:vAlign w:val="center"/>
          </w:tcPr>
          <w:p w14:paraId="31082A15">
            <w:pPr>
              <w:pStyle w:val="12"/>
              <w:jc w:val="left"/>
            </w:pPr>
            <w:r>
              <w:rPr>
                <w:rFonts w:hint="eastAsia"/>
              </w:rPr>
              <w:t>1976年5月至1981年11月</w:t>
            </w:r>
          </w:p>
        </w:tc>
      </w:tr>
      <w:tr w14:paraId="0BBD6D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61271BA8">
            <w:pPr>
              <w:pStyle w:val="12"/>
              <w:jc w:val="center"/>
            </w:pPr>
            <w:r>
              <w:rPr>
                <w:rFonts w:hint="eastAsia"/>
              </w:rPr>
              <w:t>吴述超</w:t>
            </w:r>
          </w:p>
        </w:tc>
        <w:tc>
          <w:tcPr>
            <w:tcW w:w="859" w:type="pct"/>
            <w:vAlign w:val="center"/>
          </w:tcPr>
          <w:p w14:paraId="7214F53B">
            <w:pPr>
              <w:pStyle w:val="12"/>
              <w:jc w:val="center"/>
            </w:pPr>
            <w:r>
              <w:rPr>
                <w:rFonts w:hint="eastAsia"/>
              </w:rPr>
              <w:t>广东南雄</w:t>
            </w:r>
          </w:p>
        </w:tc>
        <w:tc>
          <w:tcPr>
            <w:tcW w:w="859" w:type="pct"/>
            <w:vAlign w:val="center"/>
          </w:tcPr>
          <w:p w14:paraId="05AA6ACE">
            <w:pPr>
              <w:pStyle w:val="12"/>
              <w:jc w:val="center"/>
            </w:pPr>
            <w:r>
              <w:rPr>
                <w:rFonts w:hint="eastAsia"/>
              </w:rPr>
              <w:t>常委</w:t>
            </w:r>
          </w:p>
        </w:tc>
        <w:tc>
          <w:tcPr>
            <w:tcW w:w="2422" w:type="pct"/>
            <w:vAlign w:val="center"/>
          </w:tcPr>
          <w:p w14:paraId="068F88D7">
            <w:pPr>
              <w:pStyle w:val="12"/>
              <w:jc w:val="left"/>
            </w:pPr>
            <w:r>
              <w:rPr>
                <w:rFonts w:hint="eastAsia"/>
              </w:rPr>
              <w:t>1980年6月至1988年8月</w:t>
            </w:r>
          </w:p>
        </w:tc>
      </w:tr>
      <w:tr w14:paraId="39ABF0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6449D1A0">
            <w:pPr>
              <w:pStyle w:val="12"/>
              <w:jc w:val="center"/>
            </w:pPr>
            <w:r>
              <w:rPr>
                <w:rFonts w:hint="eastAsia"/>
              </w:rPr>
              <w:t>邓纯信</w:t>
            </w:r>
          </w:p>
        </w:tc>
        <w:tc>
          <w:tcPr>
            <w:tcW w:w="859" w:type="pct"/>
            <w:vAlign w:val="center"/>
          </w:tcPr>
          <w:p w14:paraId="6D24AAD0">
            <w:pPr>
              <w:pStyle w:val="12"/>
              <w:jc w:val="center"/>
            </w:pPr>
            <w:r>
              <w:rPr>
                <w:rFonts w:hint="eastAsia"/>
              </w:rPr>
              <w:t>广东始兴</w:t>
            </w:r>
          </w:p>
        </w:tc>
        <w:tc>
          <w:tcPr>
            <w:tcW w:w="859" w:type="pct"/>
            <w:vAlign w:val="center"/>
          </w:tcPr>
          <w:p w14:paraId="7429D8FB">
            <w:pPr>
              <w:pStyle w:val="12"/>
              <w:jc w:val="center"/>
            </w:pPr>
            <w:r>
              <w:rPr>
                <w:rFonts w:hint="eastAsia"/>
              </w:rPr>
              <w:t>常委</w:t>
            </w:r>
          </w:p>
        </w:tc>
        <w:tc>
          <w:tcPr>
            <w:tcW w:w="2422" w:type="pct"/>
            <w:vAlign w:val="center"/>
          </w:tcPr>
          <w:p w14:paraId="4A13C06A">
            <w:pPr>
              <w:pStyle w:val="12"/>
              <w:jc w:val="left"/>
            </w:pPr>
            <w:r>
              <w:rPr>
                <w:rFonts w:hint="eastAsia"/>
              </w:rPr>
              <w:t>1980年6月至1984年4月</w:t>
            </w:r>
          </w:p>
        </w:tc>
      </w:tr>
      <w:tr w14:paraId="2B3FF2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7519EB3C">
            <w:pPr>
              <w:pStyle w:val="12"/>
              <w:jc w:val="center"/>
            </w:pPr>
            <w:r>
              <w:rPr>
                <w:rFonts w:hint="eastAsia"/>
              </w:rPr>
              <w:t>朱定兰</w:t>
            </w:r>
          </w:p>
        </w:tc>
        <w:tc>
          <w:tcPr>
            <w:tcW w:w="859" w:type="pct"/>
            <w:vAlign w:val="center"/>
          </w:tcPr>
          <w:p w14:paraId="5174EA3B">
            <w:pPr>
              <w:pStyle w:val="12"/>
              <w:jc w:val="center"/>
            </w:pPr>
            <w:r>
              <w:rPr>
                <w:rFonts w:hint="eastAsia"/>
              </w:rPr>
              <w:t>广东南雄</w:t>
            </w:r>
          </w:p>
        </w:tc>
        <w:tc>
          <w:tcPr>
            <w:tcW w:w="859" w:type="pct"/>
            <w:vAlign w:val="center"/>
          </w:tcPr>
          <w:p w14:paraId="22A65FBF">
            <w:pPr>
              <w:pStyle w:val="12"/>
              <w:jc w:val="center"/>
            </w:pPr>
            <w:r>
              <w:rPr>
                <w:rFonts w:hint="eastAsia"/>
              </w:rPr>
              <w:t>常委</w:t>
            </w:r>
          </w:p>
        </w:tc>
        <w:tc>
          <w:tcPr>
            <w:tcW w:w="2422" w:type="pct"/>
            <w:vAlign w:val="center"/>
          </w:tcPr>
          <w:p w14:paraId="4F31F37F">
            <w:pPr>
              <w:pStyle w:val="12"/>
              <w:jc w:val="left"/>
            </w:pPr>
            <w:r>
              <w:rPr>
                <w:rFonts w:hint="eastAsia"/>
              </w:rPr>
              <w:t>1980年6月至1984年4月</w:t>
            </w:r>
          </w:p>
        </w:tc>
      </w:tr>
      <w:tr w14:paraId="6849AF0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280F5104">
            <w:pPr>
              <w:pStyle w:val="12"/>
              <w:jc w:val="center"/>
            </w:pPr>
            <w:r>
              <w:rPr>
                <w:rFonts w:hint="eastAsia"/>
              </w:rPr>
              <w:t>王春堂</w:t>
            </w:r>
          </w:p>
        </w:tc>
        <w:tc>
          <w:tcPr>
            <w:tcW w:w="859" w:type="pct"/>
            <w:vAlign w:val="center"/>
          </w:tcPr>
          <w:p w14:paraId="084D869B">
            <w:pPr>
              <w:pStyle w:val="12"/>
              <w:jc w:val="center"/>
            </w:pPr>
            <w:r>
              <w:rPr>
                <w:rFonts w:hint="eastAsia"/>
              </w:rPr>
              <w:t>辽宁庄河</w:t>
            </w:r>
          </w:p>
        </w:tc>
        <w:tc>
          <w:tcPr>
            <w:tcW w:w="859" w:type="pct"/>
            <w:vAlign w:val="center"/>
          </w:tcPr>
          <w:p w14:paraId="125E1606">
            <w:pPr>
              <w:pStyle w:val="12"/>
              <w:jc w:val="center"/>
            </w:pPr>
            <w:r>
              <w:rPr>
                <w:rFonts w:hint="eastAsia"/>
              </w:rPr>
              <w:t>常委</w:t>
            </w:r>
          </w:p>
        </w:tc>
        <w:tc>
          <w:tcPr>
            <w:tcW w:w="2422" w:type="pct"/>
            <w:vAlign w:val="center"/>
          </w:tcPr>
          <w:p w14:paraId="609D78DB">
            <w:pPr>
              <w:pStyle w:val="12"/>
              <w:jc w:val="left"/>
            </w:pPr>
            <w:r>
              <w:rPr>
                <w:rFonts w:hint="eastAsia"/>
              </w:rPr>
              <w:t>1979年3月至1984年6月</w:t>
            </w:r>
          </w:p>
        </w:tc>
      </w:tr>
      <w:tr w14:paraId="00F51E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3154DA4C">
            <w:pPr>
              <w:pStyle w:val="12"/>
              <w:jc w:val="center"/>
            </w:pPr>
            <w:r>
              <w:rPr>
                <w:rFonts w:hint="eastAsia"/>
              </w:rPr>
              <w:t>赵焕宝</w:t>
            </w:r>
          </w:p>
        </w:tc>
        <w:tc>
          <w:tcPr>
            <w:tcW w:w="859" w:type="pct"/>
            <w:vAlign w:val="center"/>
          </w:tcPr>
          <w:p w14:paraId="3153D7D4">
            <w:pPr>
              <w:pStyle w:val="12"/>
              <w:jc w:val="center"/>
            </w:pPr>
            <w:r>
              <w:rPr>
                <w:rFonts w:hint="eastAsia"/>
              </w:rPr>
              <w:t>河北昌黎</w:t>
            </w:r>
          </w:p>
        </w:tc>
        <w:tc>
          <w:tcPr>
            <w:tcW w:w="859" w:type="pct"/>
            <w:vAlign w:val="center"/>
          </w:tcPr>
          <w:p w14:paraId="7954B563">
            <w:pPr>
              <w:pStyle w:val="12"/>
              <w:jc w:val="center"/>
            </w:pPr>
            <w:r>
              <w:rPr>
                <w:rFonts w:hint="eastAsia"/>
              </w:rPr>
              <w:t>常委</w:t>
            </w:r>
          </w:p>
        </w:tc>
        <w:tc>
          <w:tcPr>
            <w:tcW w:w="2422" w:type="pct"/>
            <w:vAlign w:val="center"/>
          </w:tcPr>
          <w:p w14:paraId="4784536A">
            <w:pPr>
              <w:pStyle w:val="12"/>
              <w:jc w:val="left"/>
            </w:pPr>
            <w:r>
              <w:rPr>
                <w:rFonts w:hint="eastAsia"/>
              </w:rPr>
              <w:t>1979年4月至1984年4月</w:t>
            </w:r>
          </w:p>
        </w:tc>
      </w:tr>
      <w:tr w14:paraId="08DCE3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25213727">
            <w:pPr>
              <w:pStyle w:val="12"/>
              <w:jc w:val="center"/>
            </w:pPr>
            <w:r>
              <w:rPr>
                <w:rFonts w:hint="eastAsia"/>
              </w:rPr>
              <w:t>黄  志</w:t>
            </w:r>
          </w:p>
        </w:tc>
        <w:tc>
          <w:tcPr>
            <w:tcW w:w="859" w:type="pct"/>
            <w:vAlign w:val="center"/>
          </w:tcPr>
          <w:p w14:paraId="24BEE45D">
            <w:pPr>
              <w:pStyle w:val="12"/>
              <w:jc w:val="center"/>
            </w:pPr>
            <w:r>
              <w:rPr>
                <w:rFonts w:hint="eastAsia"/>
              </w:rPr>
              <w:t>广东翁源</w:t>
            </w:r>
          </w:p>
        </w:tc>
        <w:tc>
          <w:tcPr>
            <w:tcW w:w="859" w:type="pct"/>
            <w:vAlign w:val="center"/>
          </w:tcPr>
          <w:p w14:paraId="22CB8F08">
            <w:pPr>
              <w:pStyle w:val="12"/>
              <w:jc w:val="center"/>
            </w:pPr>
            <w:r>
              <w:rPr>
                <w:rFonts w:hint="eastAsia"/>
              </w:rPr>
              <w:t>常委</w:t>
            </w:r>
          </w:p>
        </w:tc>
        <w:tc>
          <w:tcPr>
            <w:tcW w:w="2422" w:type="pct"/>
            <w:vAlign w:val="center"/>
          </w:tcPr>
          <w:p w14:paraId="333D8240">
            <w:pPr>
              <w:pStyle w:val="12"/>
              <w:jc w:val="left"/>
            </w:pPr>
            <w:r>
              <w:rPr>
                <w:rFonts w:hint="eastAsia"/>
              </w:rPr>
              <w:t>1982年1月至1983年11月</w:t>
            </w:r>
          </w:p>
        </w:tc>
      </w:tr>
      <w:tr w14:paraId="2A3A83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25C1BF07">
            <w:pPr>
              <w:pStyle w:val="12"/>
              <w:jc w:val="center"/>
            </w:pPr>
            <w:r>
              <w:rPr>
                <w:rFonts w:hint="eastAsia"/>
              </w:rPr>
              <w:t>李开鹏</w:t>
            </w:r>
          </w:p>
        </w:tc>
        <w:tc>
          <w:tcPr>
            <w:tcW w:w="859" w:type="pct"/>
            <w:vAlign w:val="center"/>
          </w:tcPr>
          <w:p w14:paraId="66F08BD3">
            <w:pPr>
              <w:pStyle w:val="12"/>
              <w:jc w:val="center"/>
            </w:pPr>
            <w:r>
              <w:rPr>
                <w:rFonts w:hint="eastAsia"/>
              </w:rPr>
              <w:t>广东龙川</w:t>
            </w:r>
          </w:p>
        </w:tc>
        <w:tc>
          <w:tcPr>
            <w:tcW w:w="859" w:type="pct"/>
            <w:vAlign w:val="center"/>
          </w:tcPr>
          <w:p w14:paraId="5000848A">
            <w:pPr>
              <w:pStyle w:val="12"/>
              <w:jc w:val="center"/>
            </w:pPr>
            <w:r>
              <w:rPr>
                <w:rFonts w:hint="eastAsia"/>
              </w:rPr>
              <w:t>常委</w:t>
            </w:r>
          </w:p>
        </w:tc>
        <w:tc>
          <w:tcPr>
            <w:tcW w:w="2422" w:type="pct"/>
            <w:vAlign w:val="center"/>
          </w:tcPr>
          <w:p w14:paraId="2C36B451">
            <w:pPr>
              <w:pStyle w:val="12"/>
              <w:jc w:val="left"/>
            </w:pPr>
            <w:r>
              <w:rPr>
                <w:rFonts w:hint="eastAsia"/>
              </w:rPr>
              <w:t>1983年11月至1986年2月</w:t>
            </w:r>
          </w:p>
        </w:tc>
      </w:tr>
      <w:tr w14:paraId="3271CF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5A09AC3D">
            <w:pPr>
              <w:pStyle w:val="12"/>
              <w:jc w:val="center"/>
            </w:pPr>
            <w:r>
              <w:rPr>
                <w:rFonts w:hint="eastAsia"/>
              </w:rPr>
              <w:t>黄永东</w:t>
            </w:r>
          </w:p>
        </w:tc>
        <w:tc>
          <w:tcPr>
            <w:tcW w:w="859" w:type="pct"/>
            <w:vAlign w:val="center"/>
          </w:tcPr>
          <w:p w14:paraId="7E5E7A59">
            <w:pPr>
              <w:pStyle w:val="12"/>
              <w:jc w:val="center"/>
            </w:pPr>
            <w:r>
              <w:rPr>
                <w:rFonts w:hint="eastAsia"/>
              </w:rPr>
              <w:t>广东梅县</w:t>
            </w:r>
          </w:p>
        </w:tc>
        <w:tc>
          <w:tcPr>
            <w:tcW w:w="859" w:type="pct"/>
            <w:vAlign w:val="center"/>
          </w:tcPr>
          <w:p w14:paraId="6E733DAE">
            <w:pPr>
              <w:pStyle w:val="12"/>
              <w:jc w:val="center"/>
            </w:pPr>
            <w:r>
              <w:rPr>
                <w:rFonts w:hint="eastAsia"/>
              </w:rPr>
              <w:t>常委</w:t>
            </w:r>
          </w:p>
        </w:tc>
        <w:tc>
          <w:tcPr>
            <w:tcW w:w="2422" w:type="pct"/>
            <w:vAlign w:val="center"/>
          </w:tcPr>
          <w:p w14:paraId="788C3BE1">
            <w:pPr>
              <w:pStyle w:val="12"/>
              <w:jc w:val="left"/>
            </w:pPr>
            <w:r>
              <w:rPr>
                <w:rFonts w:hint="eastAsia"/>
              </w:rPr>
              <w:t>1984年4月至1990年1月</w:t>
            </w:r>
          </w:p>
        </w:tc>
      </w:tr>
      <w:tr w14:paraId="4B6D88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0431C77F">
            <w:pPr>
              <w:pStyle w:val="12"/>
              <w:jc w:val="center"/>
            </w:pPr>
            <w:r>
              <w:rPr>
                <w:rFonts w:hint="eastAsia"/>
              </w:rPr>
              <w:t>叶常富</w:t>
            </w:r>
          </w:p>
        </w:tc>
        <w:tc>
          <w:tcPr>
            <w:tcW w:w="859" w:type="pct"/>
            <w:vAlign w:val="center"/>
          </w:tcPr>
          <w:p w14:paraId="7EF1F393">
            <w:pPr>
              <w:pStyle w:val="12"/>
              <w:jc w:val="center"/>
            </w:pPr>
            <w:r>
              <w:rPr>
                <w:rFonts w:hint="eastAsia"/>
              </w:rPr>
              <w:t>广东南雄</w:t>
            </w:r>
          </w:p>
        </w:tc>
        <w:tc>
          <w:tcPr>
            <w:tcW w:w="859" w:type="pct"/>
            <w:vAlign w:val="center"/>
          </w:tcPr>
          <w:p w14:paraId="0A414D40">
            <w:pPr>
              <w:pStyle w:val="12"/>
              <w:jc w:val="center"/>
            </w:pPr>
            <w:r>
              <w:rPr>
                <w:rFonts w:hint="eastAsia"/>
              </w:rPr>
              <w:t>常委</w:t>
            </w:r>
          </w:p>
        </w:tc>
        <w:tc>
          <w:tcPr>
            <w:tcW w:w="2422" w:type="pct"/>
            <w:vAlign w:val="center"/>
          </w:tcPr>
          <w:p w14:paraId="0674BFA2">
            <w:pPr>
              <w:pStyle w:val="12"/>
              <w:jc w:val="left"/>
            </w:pPr>
            <w:r>
              <w:rPr>
                <w:rFonts w:hint="eastAsia"/>
              </w:rPr>
              <w:t>1984年4月至1987年2月</w:t>
            </w:r>
          </w:p>
        </w:tc>
      </w:tr>
      <w:tr w14:paraId="467F4B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08A9D95A">
            <w:pPr>
              <w:pStyle w:val="12"/>
              <w:jc w:val="center"/>
            </w:pPr>
            <w:r>
              <w:rPr>
                <w:rFonts w:hint="eastAsia"/>
              </w:rPr>
              <w:t>卢德珍（女）</w:t>
            </w:r>
          </w:p>
        </w:tc>
        <w:tc>
          <w:tcPr>
            <w:tcW w:w="859" w:type="pct"/>
            <w:vAlign w:val="center"/>
          </w:tcPr>
          <w:p w14:paraId="70634CF8">
            <w:pPr>
              <w:pStyle w:val="12"/>
              <w:jc w:val="center"/>
            </w:pPr>
            <w:r>
              <w:rPr>
                <w:rFonts w:hint="eastAsia"/>
              </w:rPr>
              <w:t>广东南雄</w:t>
            </w:r>
          </w:p>
        </w:tc>
        <w:tc>
          <w:tcPr>
            <w:tcW w:w="859" w:type="pct"/>
            <w:vAlign w:val="center"/>
          </w:tcPr>
          <w:p w14:paraId="1F07F935">
            <w:pPr>
              <w:pStyle w:val="12"/>
              <w:jc w:val="center"/>
            </w:pPr>
            <w:r>
              <w:rPr>
                <w:rFonts w:hint="eastAsia"/>
              </w:rPr>
              <w:t>常委</w:t>
            </w:r>
          </w:p>
        </w:tc>
        <w:tc>
          <w:tcPr>
            <w:tcW w:w="2422" w:type="pct"/>
            <w:vAlign w:val="center"/>
          </w:tcPr>
          <w:p w14:paraId="6A1895BF">
            <w:pPr>
              <w:pStyle w:val="12"/>
              <w:jc w:val="left"/>
            </w:pPr>
            <w:r>
              <w:rPr>
                <w:rFonts w:hint="eastAsia"/>
              </w:rPr>
              <w:t>1984年4月至1990年2月</w:t>
            </w:r>
          </w:p>
        </w:tc>
      </w:tr>
      <w:tr w14:paraId="597CB2C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19C7F935">
            <w:pPr>
              <w:pStyle w:val="12"/>
              <w:jc w:val="center"/>
            </w:pPr>
            <w:r>
              <w:rPr>
                <w:rFonts w:hint="eastAsia"/>
              </w:rPr>
              <w:t>黄武君</w:t>
            </w:r>
          </w:p>
        </w:tc>
        <w:tc>
          <w:tcPr>
            <w:tcW w:w="859" w:type="pct"/>
            <w:vAlign w:val="center"/>
          </w:tcPr>
          <w:p w14:paraId="07EEA9BE">
            <w:pPr>
              <w:pStyle w:val="12"/>
              <w:jc w:val="center"/>
            </w:pPr>
            <w:r>
              <w:rPr>
                <w:rFonts w:hint="eastAsia"/>
              </w:rPr>
              <w:t>广东大埔</w:t>
            </w:r>
          </w:p>
        </w:tc>
        <w:tc>
          <w:tcPr>
            <w:tcW w:w="859" w:type="pct"/>
            <w:vAlign w:val="center"/>
          </w:tcPr>
          <w:p w14:paraId="3B82E53A">
            <w:pPr>
              <w:pStyle w:val="12"/>
              <w:jc w:val="center"/>
            </w:pPr>
            <w:r>
              <w:rPr>
                <w:rFonts w:hint="eastAsia"/>
              </w:rPr>
              <w:t>常委</w:t>
            </w:r>
          </w:p>
        </w:tc>
        <w:tc>
          <w:tcPr>
            <w:tcW w:w="2422" w:type="pct"/>
            <w:vAlign w:val="center"/>
          </w:tcPr>
          <w:p w14:paraId="4CB58B5C">
            <w:pPr>
              <w:pStyle w:val="12"/>
              <w:jc w:val="left"/>
            </w:pPr>
            <w:r>
              <w:rPr>
                <w:rFonts w:hint="eastAsia"/>
              </w:rPr>
              <w:t>1984年4月至1987年10月</w:t>
            </w:r>
          </w:p>
        </w:tc>
      </w:tr>
      <w:tr w14:paraId="6448B0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54D30738">
            <w:pPr>
              <w:pStyle w:val="12"/>
              <w:jc w:val="center"/>
            </w:pPr>
            <w:r>
              <w:rPr>
                <w:rFonts w:hint="eastAsia"/>
              </w:rPr>
              <w:t>陈庆泉</w:t>
            </w:r>
          </w:p>
        </w:tc>
        <w:tc>
          <w:tcPr>
            <w:tcW w:w="859" w:type="pct"/>
            <w:vAlign w:val="center"/>
          </w:tcPr>
          <w:p w14:paraId="1D7EB159">
            <w:pPr>
              <w:pStyle w:val="12"/>
              <w:jc w:val="center"/>
            </w:pPr>
            <w:r>
              <w:rPr>
                <w:rFonts w:hint="eastAsia"/>
              </w:rPr>
              <w:t>广东兴宁</w:t>
            </w:r>
          </w:p>
        </w:tc>
        <w:tc>
          <w:tcPr>
            <w:tcW w:w="859" w:type="pct"/>
            <w:vAlign w:val="center"/>
          </w:tcPr>
          <w:p w14:paraId="194DA234">
            <w:pPr>
              <w:pStyle w:val="12"/>
              <w:jc w:val="center"/>
            </w:pPr>
            <w:r>
              <w:rPr>
                <w:rFonts w:hint="eastAsia"/>
              </w:rPr>
              <w:t>常委</w:t>
            </w:r>
          </w:p>
        </w:tc>
        <w:tc>
          <w:tcPr>
            <w:tcW w:w="2422" w:type="pct"/>
            <w:vAlign w:val="center"/>
          </w:tcPr>
          <w:p w14:paraId="6F11AFD5">
            <w:pPr>
              <w:pStyle w:val="12"/>
              <w:jc w:val="left"/>
            </w:pPr>
            <w:r>
              <w:rPr>
                <w:rFonts w:hint="eastAsia"/>
              </w:rPr>
              <w:t>1984年7月至1987年4月</w:t>
            </w:r>
          </w:p>
        </w:tc>
      </w:tr>
      <w:tr w14:paraId="562A92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0CF8D2A5">
            <w:pPr>
              <w:pStyle w:val="12"/>
              <w:jc w:val="center"/>
            </w:pPr>
            <w:r>
              <w:rPr>
                <w:rFonts w:hint="eastAsia"/>
              </w:rPr>
              <w:t>曲令平</w:t>
            </w:r>
          </w:p>
        </w:tc>
        <w:tc>
          <w:tcPr>
            <w:tcW w:w="859" w:type="pct"/>
            <w:vAlign w:val="center"/>
          </w:tcPr>
          <w:p w14:paraId="6188B224">
            <w:pPr>
              <w:pStyle w:val="12"/>
              <w:jc w:val="center"/>
            </w:pPr>
            <w:r>
              <w:rPr>
                <w:rFonts w:hint="eastAsia"/>
              </w:rPr>
              <w:t>河南唐河</w:t>
            </w:r>
          </w:p>
        </w:tc>
        <w:tc>
          <w:tcPr>
            <w:tcW w:w="859" w:type="pct"/>
            <w:vAlign w:val="center"/>
          </w:tcPr>
          <w:p w14:paraId="58C47671">
            <w:pPr>
              <w:pStyle w:val="12"/>
              <w:jc w:val="center"/>
            </w:pPr>
            <w:r>
              <w:rPr>
                <w:rFonts w:hint="eastAsia"/>
              </w:rPr>
              <w:t>常委</w:t>
            </w:r>
          </w:p>
        </w:tc>
        <w:tc>
          <w:tcPr>
            <w:tcW w:w="2422" w:type="pct"/>
            <w:vAlign w:val="center"/>
          </w:tcPr>
          <w:p w14:paraId="48E6C293">
            <w:pPr>
              <w:pStyle w:val="12"/>
              <w:jc w:val="left"/>
            </w:pPr>
            <w:r>
              <w:rPr>
                <w:rFonts w:hint="eastAsia"/>
              </w:rPr>
              <w:t>1986年7月至1996年8月</w:t>
            </w:r>
          </w:p>
        </w:tc>
      </w:tr>
      <w:tr w14:paraId="20621F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01DF80CA">
            <w:pPr>
              <w:pStyle w:val="12"/>
              <w:jc w:val="center"/>
            </w:pPr>
            <w:r>
              <w:rPr>
                <w:rFonts w:hint="eastAsia"/>
              </w:rPr>
              <w:t>李干红</w:t>
            </w:r>
          </w:p>
        </w:tc>
        <w:tc>
          <w:tcPr>
            <w:tcW w:w="859" w:type="pct"/>
            <w:vAlign w:val="center"/>
          </w:tcPr>
          <w:p w14:paraId="0CAE116E">
            <w:pPr>
              <w:pStyle w:val="12"/>
              <w:jc w:val="center"/>
            </w:pPr>
            <w:r>
              <w:rPr>
                <w:rFonts w:hint="eastAsia"/>
              </w:rPr>
              <w:t>广东翁源</w:t>
            </w:r>
          </w:p>
        </w:tc>
        <w:tc>
          <w:tcPr>
            <w:tcW w:w="859" w:type="pct"/>
            <w:vAlign w:val="center"/>
          </w:tcPr>
          <w:p w14:paraId="1CE65B04">
            <w:pPr>
              <w:pStyle w:val="12"/>
              <w:jc w:val="center"/>
            </w:pPr>
            <w:r>
              <w:rPr>
                <w:rFonts w:hint="eastAsia"/>
              </w:rPr>
              <w:t>常委</w:t>
            </w:r>
          </w:p>
        </w:tc>
        <w:tc>
          <w:tcPr>
            <w:tcW w:w="2422" w:type="pct"/>
            <w:vAlign w:val="center"/>
          </w:tcPr>
          <w:p w14:paraId="33F42978">
            <w:pPr>
              <w:pStyle w:val="12"/>
              <w:jc w:val="left"/>
            </w:pPr>
            <w:r>
              <w:rPr>
                <w:rFonts w:hint="eastAsia"/>
              </w:rPr>
              <w:t>1987年2月至1990年2月</w:t>
            </w:r>
          </w:p>
        </w:tc>
      </w:tr>
      <w:tr w14:paraId="00E14C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04DA6DE8">
            <w:pPr>
              <w:pStyle w:val="12"/>
              <w:jc w:val="center"/>
            </w:pPr>
            <w:r>
              <w:rPr>
                <w:rFonts w:hint="eastAsia"/>
              </w:rPr>
              <w:t>江青粦</w:t>
            </w:r>
          </w:p>
        </w:tc>
        <w:tc>
          <w:tcPr>
            <w:tcW w:w="859" w:type="pct"/>
            <w:vAlign w:val="center"/>
          </w:tcPr>
          <w:p w14:paraId="0D5E449E">
            <w:pPr>
              <w:pStyle w:val="12"/>
              <w:jc w:val="center"/>
            </w:pPr>
            <w:r>
              <w:rPr>
                <w:rFonts w:hint="eastAsia"/>
              </w:rPr>
              <w:t>广东梅县</w:t>
            </w:r>
          </w:p>
        </w:tc>
        <w:tc>
          <w:tcPr>
            <w:tcW w:w="859" w:type="pct"/>
            <w:vAlign w:val="center"/>
          </w:tcPr>
          <w:p w14:paraId="4F170F52">
            <w:pPr>
              <w:pStyle w:val="12"/>
              <w:jc w:val="center"/>
            </w:pPr>
            <w:r>
              <w:rPr>
                <w:rFonts w:hint="eastAsia"/>
              </w:rPr>
              <w:t>常委</w:t>
            </w:r>
          </w:p>
        </w:tc>
        <w:tc>
          <w:tcPr>
            <w:tcW w:w="2422" w:type="pct"/>
            <w:vAlign w:val="center"/>
          </w:tcPr>
          <w:p w14:paraId="14C6C95A">
            <w:pPr>
              <w:pStyle w:val="12"/>
              <w:jc w:val="left"/>
            </w:pPr>
            <w:r>
              <w:rPr>
                <w:rFonts w:hint="eastAsia"/>
              </w:rPr>
              <w:t>1987年3月至1993年5月</w:t>
            </w:r>
          </w:p>
        </w:tc>
      </w:tr>
      <w:tr w14:paraId="014EBE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3CDC8292">
            <w:pPr>
              <w:pStyle w:val="12"/>
              <w:jc w:val="center"/>
            </w:pPr>
            <w:r>
              <w:rPr>
                <w:rFonts w:hint="eastAsia"/>
              </w:rPr>
              <w:t>黄学才</w:t>
            </w:r>
          </w:p>
        </w:tc>
        <w:tc>
          <w:tcPr>
            <w:tcW w:w="859" w:type="pct"/>
            <w:vAlign w:val="center"/>
          </w:tcPr>
          <w:p w14:paraId="5BB1A0D8">
            <w:pPr>
              <w:pStyle w:val="12"/>
              <w:jc w:val="center"/>
            </w:pPr>
            <w:r>
              <w:rPr>
                <w:rFonts w:hint="eastAsia"/>
              </w:rPr>
              <w:t>广州市郊</w:t>
            </w:r>
          </w:p>
        </w:tc>
        <w:tc>
          <w:tcPr>
            <w:tcW w:w="859" w:type="pct"/>
            <w:vAlign w:val="center"/>
          </w:tcPr>
          <w:p w14:paraId="3DC3D10F">
            <w:pPr>
              <w:pStyle w:val="12"/>
              <w:jc w:val="center"/>
            </w:pPr>
            <w:r>
              <w:rPr>
                <w:rFonts w:hint="eastAsia"/>
              </w:rPr>
              <w:t>常委</w:t>
            </w:r>
          </w:p>
        </w:tc>
        <w:tc>
          <w:tcPr>
            <w:tcW w:w="2422" w:type="pct"/>
            <w:vAlign w:val="center"/>
          </w:tcPr>
          <w:p w14:paraId="01423B11">
            <w:pPr>
              <w:pStyle w:val="12"/>
              <w:jc w:val="left"/>
            </w:pPr>
            <w:r>
              <w:rPr>
                <w:rFonts w:hint="eastAsia"/>
              </w:rPr>
              <w:t>1987年11月至1990年2月</w:t>
            </w:r>
          </w:p>
        </w:tc>
      </w:tr>
      <w:tr w14:paraId="1542B6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686C54E6">
            <w:pPr>
              <w:pStyle w:val="12"/>
              <w:jc w:val="center"/>
            </w:pPr>
            <w:r>
              <w:rPr>
                <w:rFonts w:hint="eastAsia"/>
              </w:rPr>
              <w:t>肖有根</w:t>
            </w:r>
          </w:p>
        </w:tc>
        <w:tc>
          <w:tcPr>
            <w:tcW w:w="859" w:type="pct"/>
            <w:vAlign w:val="center"/>
          </w:tcPr>
          <w:p w14:paraId="5B19768A">
            <w:pPr>
              <w:pStyle w:val="12"/>
              <w:jc w:val="center"/>
            </w:pPr>
            <w:r>
              <w:rPr>
                <w:rFonts w:hint="eastAsia"/>
              </w:rPr>
              <w:t>广东翁源</w:t>
            </w:r>
          </w:p>
        </w:tc>
        <w:tc>
          <w:tcPr>
            <w:tcW w:w="859" w:type="pct"/>
            <w:vAlign w:val="center"/>
          </w:tcPr>
          <w:p w14:paraId="23957723">
            <w:pPr>
              <w:pStyle w:val="12"/>
              <w:jc w:val="center"/>
            </w:pPr>
            <w:r>
              <w:rPr>
                <w:rFonts w:hint="eastAsia"/>
              </w:rPr>
              <w:t>常委</w:t>
            </w:r>
          </w:p>
        </w:tc>
        <w:tc>
          <w:tcPr>
            <w:tcW w:w="2422" w:type="pct"/>
            <w:vAlign w:val="center"/>
          </w:tcPr>
          <w:p w14:paraId="4AC3DFF1">
            <w:pPr>
              <w:pStyle w:val="12"/>
              <w:jc w:val="left"/>
            </w:pPr>
            <w:r>
              <w:rPr>
                <w:rFonts w:hint="eastAsia"/>
              </w:rPr>
              <w:t>1979年5月至1988年3月</w:t>
            </w:r>
          </w:p>
        </w:tc>
      </w:tr>
      <w:tr w14:paraId="58A2DD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13835BA7">
            <w:pPr>
              <w:pStyle w:val="12"/>
              <w:jc w:val="center"/>
            </w:pPr>
            <w:r>
              <w:rPr>
                <w:rFonts w:hint="eastAsia"/>
              </w:rPr>
              <w:t>吴承建</w:t>
            </w:r>
          </w:p>
        </w:tc>
        <w:tc>
          <w:tcPr>
            <w:tcW w:w="859" w:type="pct"/>
            <w:vAlign w:val="center"/>
          </w:tcPr>
          <w:p w14:paraId="12EF189C">
            <w:pPr>
              <w:pStyle w:val="12"/>
              <w:jc w:val="center"/>
            </w:pPr>
            <w:r>
              <w:rPr>
                <w:rFonts w:hint="eastAsia"/>
              </w:rPr>
              <w:t>广东梅县</w:t>
            </w:r>
          </w:p>
        </w:tc>
        <w:tc>
          <w:tcPr>
            <w:tcW w:w="859" w:type="pct"/>
            <w:vAlign w:val="center"/>
          </w:tcPr>
          <w:p w14:paraId="00E71825">
            <w:pPr>
              <w:pStyle w:val="12"/>
              <w:jc w:val="center"/>
            </w:pPr>
            <w:r>
              <w:rPr>
                <w:rFonts w:hint="eastAsia"/>
              </w:rPr>
              <w:t>常委</w:t>
            </w:r>
          </w:p>
        </w:tc>
        <w:tc>
          <w:tcPr>
            <w:tcW w:w="2422" w:type="pct"/>
            <w:vAlign w:val="center"/>
          </w:tcPr>
          <w:p w14:paraId="0EE88AEB">
            <w:pPr>
              <w:pStyle w:val="12"/>
              <w:jc w:val="left"/>
            </w:pPr>
            <w:r>
              <w:rPr>
                <w:rFonts w:hint="eastAsia"/>
              </w:rPr>
              <w:t>1987年11月至1988年7月</w:t>
            </w:r>
          </w:p>
          <w:p w14:paraId="4B23ADC1">
            <w:pPr>
              <w:pStyle w:val="12"/>
              <w:jc w:val="left"/>
            </w:pPr>
            <w:r>
              <w:rPr>
                <w:rFonts w:hint="eastAsia"/>
              </w:rPr>
              <w:t>1990年2月至1992年2月</w:t>
            </w:r>
          </w:p>
        </w:tc>
      </w:tr>
      <w:tr w14:paraId="178929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12B57C88">
            <w:pPr>
              <w:pStyle w:val="12"/>
              <w:jc w:val="center"/>
            </w:pPr>
            <w:r>
              <w:rPr>
                <w:rFonts w:hint="eastAsia"/>
              </w:rPr>
              <w:t>林志诚</w:t>
            </w:r>
          </w:p>
        </w:tc>
        <w:tc>
          <w:tcPr>
            <w:tcW w:w="859" w:type="pct"/>
            <w:vAlign w:val="center"/>
          </w:tcPr>
          <w:p w14:paraId="6EF712D7">
            <w:pPr>
              <w:pStyle w:val="12"/>
              <w:jc w:val="center"/>
            </w:pPr>
            <w:r>
              <w:rPr>
                <w:rFonts w:hint="eastAsia"/>
              </w:rPr>
              <w:t>广东南雄</w:t>
            </w:r>
          </w:p>
        </w:tc>
        <w:tc>
          <w:tcPr>
            <w:tcW w:w="859" w:type="pct"/>
            <w:vAlign w:val="center"/>
          </w:tcPr>
          <w:p w14:paraId="2A092275">
            <w:pPr>
              <w:pStyle w:val="12"/>
              <w:jc w:val="center"/>
            </w:pPr>
            <w:r>
              <w:rPr>
                <w:rFonts w:hint="eastAsia"/>
              </w:rPr>
              <w:t>常委</w:t>
            </w:r>
          </w:p>
        </w:tc>
        <w:tc>
          <w:tcPr>
            <w:tcW w:w="2422" w:type="pct"/>
            <w:vAlign w:val="center"/>
          </w:tcPr>
          <w:p w14:paraId="06574660">
            <w:pPr>
              <w:pStyle w:val="12"/>
              <w:jc w:val="left"/>
            </w:pPr>
            <w:r>
              <w:rPr>
                <w:rFonts w:hint="eastAsia"/>
              </w:rPr>
              <w:t>1988年1月至1990年11月</w:t>
            </w:r>
          </w:p>
        </w:tc>
      </w:tr>
      <w:tr w14:paraId="208E11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7A8D8F85">
            <w:pPr>
              <w:pStyle w:val="12"/>
              <w:jc w:val="center"/>
            </w:pPr>
            <w:r>
              <w:rPr>
                <w:rFonts w:hint="eastAsia"/>
              </w:rPr>
              <w:t>谢兴宏</w:t>
            </w:r>
          </w:p>
        </w:tc>
        <w:tc>
          <w:tcPr>
            <w:tcW w:w="859" w:type="pct"/>
            <w:vAlign w:val="center"/>
          </w:tcPr>
          <w:p w14:paraId="3F468DC8">
            <w:pPr>
              <w:pStyle w:val="12"/>
              <w:jc w:val="center"/>
            </w:pPr>
            <w:r>
              <w:rPr>
                <w:rFonts w:hint="eastAsia"/>
              </w:rPr>
              <w:t>广东南雄</w:t>
            </w:r>
          </w:p>
        </w:tc>
        <w:tc>
          <w:tcPr>
            <w:tcW w:w="859" w:type="pct"/>
            <w:vAlign w:val="center"/>
          </w:tcPr>
          <w:p w14:paraId="53F80339">
            <w:pPr>
              <w:pStyle w:val="12"/>
              <w:jc w:val="center"/>
            </w:pPr>
            <w:r>
              <w:rPr>
                <w:rFonts w:hint="eastAsia"/>
              </w:rPr>
              <w:t>常委</w:t>
            </w:r>
          </w:p>
        </w:tc>
        <w:tc>
          <w:tcPr>
            <w:tcW w:w="2422" w:type="pct"/>
            <w:vAlign w:val="center"/>
          </w:tcPr>
          <w:p w14:paraId="7D2B05B1">
            <w:pPr>
              <w:pStyle w:val="12"/>
              <w:jc w:val="left"/>
            </w:pPr>
            <w:r>
              <w:rPr>
                <w:rFonts w:hint="eastAsia"/>
              </w:rPr>
              <w:t>1990年2月至1996年8月</w:t>
            </w:r>
          </w:p>
        </w:tc>
      </w:tr>
      <w:tr w14:paraId="56392E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0DA83F36">
            <w:pPr>
              <w:pStyle w:val="12"/>
              <w:jc w:val="center"/>
            </w:pPr>
            <w:r>
              <w:rPr>
                <w:rFonts w:hint="eastAsia"/>
              </w:rPr>
              <w:t>肖开球</w:t>
            </w:r>
          </w:p>
        </w:tc>
        <w:tc>
          <w:tcPr>
            <w:tcW w:w="859" w:type="pct"/>
            <w:vAlign w:val="center"/>
          </w:tcPr>
          <w:p w14:paraId="148DB7A4">
            <w:pPr>
              <w:pStyle w:val="12"/>
              <w:jc w:val="center"/>
            </w:pPr>
            <w:r>
              <w:rPr>
                <w:rFonts w:hint="eastAsia"/>
              </w:rPr>
              <w:t>广东南雄</w:t>
            </w:r>
          </w:p>
        </w:tc>
        <w:tc>
          <w:tcPr>
            <w:tcW w:w="859" w:type="pct"/>
            <w:vAlign w:val="center"/>
          </w:tcPr>
          <w:p w14:paraId="642C295E">
            <w:pPr>
              <w:pStyle w:val="12"/>
              <w:jc w:val="center"/>
            </w:pPr>
            <w:r>
              <w:rPr>
                <w:rFonts w:hint="eastAsia"/>
              </w:rPr>
              <w:t>常委</w:t>
            </w:r>
          </w:p>
        </w:tc>
        <w:tc>
          <w:tcPr>
            <w:tcW w:w="2422" w:type="pct"/>
            <w:vAlign w:val="center"/>
          </w:tcPr>
          <w:p w14:paraId="67D975A9">
            <w:pPr>
              <w:pStyle w:val="12"/>
              <w:jc w:val="left"/>
            </w:pPr>
            <w:r>
              <w:rPr>
                <w:rFonts w:hint="eastAsia"/>
              </w:rPr>
              <w:t>1990年2月至1993年2月</w:t>
            </w:r>
          </w:p>
        </w:tc>
      </w:tr>
      <w:tr w14:paraId="0EBF6C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07807A37">
            <w:pPr>
              <w:pStyle w:val="12"/>
              <w:jc w:val="center"/>
            </w:pPr>
            <w:r>
              <w:rPr>
                <w:rFonts w:hint="eastAsia"/>
              </w:rPr>
              <w:t>黄启钊</w:t>
            </w:r>
          </w:p>
        </w:tc>
        <w:tc>
          <w:tcPr>
            <w:tcW w:w="859" w:type="pct"/>
            <w:vAlign w:val="center"/>
          </w:tcPr>
          <w:p w14:paraId="23154B6F">
            <w:pPr>
              <w:pStyle w:val="12"/>
              <w:jc w:val="center"/>
            </w:pPr>
            <w:r>
              <w:rPr>
                <w:rFonts w:hint="eastAsia"/>
              </w:rPr>
              <w:t>广东广州</w:t>
            </w:r>
          </w:p>
        </w:tc>
        <w:tc>
          <w:tcPr>
            <w:tcW w:w="859" w:type="pct"/>
            <w:vAlign w:val="center"/>
          </w:tcPr>
          <w:p w14:paraId="19600A51">
            <w:pPr>
              <w:pStyle w:val="12"/>
              <w:jc w:val="center"/>
            </w:pPr>
            <w:r>
              <w:rPr>
                <w:rFonts w:hint="eastAsia"/>
              </w:rPr>
              <w:t>常委</w:t>
            </w:r>
          </w:p>
        </w:tc>
        <w:tc>
          <w:tcPr>
            <w:tcW w:w="2422" w:type="pct"/>
            <w:vAlign w:val="center"/>
          </w:tcPr>
          <w:p w14:paraId="3B781051">
            <w:pPr>
              <w:pStyle w:val="12"/>
              <w:jc w:val="left"/>
            </w:pPr>
            <w:r>
              <w:rPr>
                <w:rFonts w:hint="eastAsia"/>
              </w:rPr>
              <w:t>1990年3月至1993年2月</w:t>
            </w:r>
          </w:p>
        </w:tc>
      </w:tr>
      <w:tr w14:paraId="5C31C4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252ACAA7">
            <w:pPr>
              <w:pStyle w:val="12"/>
              <w:jc w:val="center"/>
            </w:pPr>
            <w:r>
              <w:rPr>
                <w:rFonts w:hint="eastAsia"/>
              </w:rPr>
              <w:t>陈逢英（女）</w:t>
            </w:r>
          </w:p>
        </w:tc>
        <w:tc>
          <w:tcPr>
            <w:tcW w:w="859" w:type="pct"/>
            <w:vAlign w:val="center"/>
          </w:tcPr>
          <w:p w14:paraId="22B7B682">
            <w:pPr>
              <w:pStyle w:val="12"/>
              <w:jc w:val="center"/>
            </w:pPr>
            <w:r>
              <w:rPr>
                <w:rFonts w:hint="eastAsia"/>
              </w:rPr>
              <w:t>广东南雄</w:t>
            </w:r>
          </w:p>
        </w:tc>
        <w:tc>
          <w:tcPr>
            <w:tcW w:w="859" w:type="pct"/>
            <w:vAlign w:val="center"/>
          </w:tcPr>
          <w:p w14:paraId="12C27777">
            <w:pPr>
              <w:pStyle w:val="12"/>
              <w:jc w:val="center"/>
            </w:pPr>
            <w:r>
              <w:rPr>
                <w:rFonts w:hint="eastAsia"/>
              </w:rPr>
              <w:t>常委</w:t>
            </w:r>
          </w:p>
        </w:tc>
        <w:tc>
          <w:tcPr>
            <w:tcW w:w="2422" w:type="pct"/>
            <w:vAlign w:val="center"/>
          </w:tcPr>
          <w:p w14:paraId="37D687FF">
            <w:pPr>
              <w:pStyle w:val="12"/>
              <w:jc w:val="left"/>
            </w:pPr>
            <w:r>
              <w:rPr>
                <w:rFonts w:hint="eastAsia"/>
              </w:rPr>
              <w:t>1990年3月至1996年8月</w:t>
            </w:r>
          </w:p>
        </w:tc>
      </w:tr>
      <w:tr w14:paraId="7399BC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4328F7FF">
            <w:pPr>
              <w:pStyle w:val="12"/>
              <w:jc w:val="center"/>
            </w:pPr>
            <w:r>
              <w:rPr>
                <w:rFonts w:hint="eastAsia"/>
              </w:rPr>
              <w:t>丘隆基</w:t>
            </w:r>
          </w:p>
        </w:tc>
        <w:tc>
          <w:tcPr>
            <w:tcW w:w="859" w:type="pct"/>
            <w:vAlign w:val="center"/>
          </w:tcPr>
          <w:p w14:paraId="01E39ADC">
            <w:pPr>
              <w:pStyle w:val="12"/>
              <w:jc w:val="center"/>
            </w:pPr>
            <w:r>
              <w:rPr>
                <w:rFonts w:hint="eastAsia"/>
              </w:rPr>
              <w:t>江西南康</w:t>
            </w:r>
          </w:p>
        </w:tc>
        <w:tc>
          <w:tcPr>
            <w:tcW w:w="859" w:type="pct"/>
            <w:vAlign w:val="center"/>
          </w:tcPr>
          <w:p w14:paraId="1FAE28C5">
            <w:pPr>
              <w:pStyle w:val="12"/>
              <w:jc w:val="center"/>
            </w:pPr>
            <w:r>
              <w:rPr>
                <w:rFonts w:hint="eastAsia"/>
              </w:rPr>
              <w:t>常委</w:t>
            </w:r>
          </w:p>
        </w:tc>
        <w:tc>
          <w:tcPr>
            <w:tcW w:w="2422" w:type="pct"/>
            <w:vAlign w:val="center"/>
          </w:tcPr>
          <w:p w14:paraId="0D470E6C">
            <w:pPr>
              <w:pStyle w:val="12"/>
              <w:jc w:val="left"/>
            </w:pPr>
            <w:r>
              <w:rPr>
                <w:rFonts w:hint="eastAsia"/>
              </w:rPr>
              <w:t>1991年6月至1996年8月</w:t>
            </w:r>
          </w:p>
        </w:tc>
      </w:tr>
      <w:tr w14:paraId="0017C0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39539569">
            <w:pPr>
              <w:pStyle w:val="12"/>
              <w:jc w:val="center"/>
            </w:pPr>
            <w:r>
              <w:rPr>
                <w:rFonts w:hint="eastAsia"/>
              </w:rPr>
              <w:t>谭章明</w:t>
            </w:r>
          </w:p>
        </w:tc>
        <w:tc>
          <w:tcPr>
            <w:tcW w:w="859" w:type="pct"/>
            <w:vAlign w:val="center"/>
          </w:tcPr>
          <w:p w14:paraId="4675353E">
            <w:pPr>
              <w:pStyle w:val="12"/>
              <w:jc w:val="center"/>
            </w:pPr>
            <w:r>
              <w:rPr>
                <w:rFonts w:hint="eastAsia"/>
              </w:rPr>
              <w:t>广东南雄</w:t>
            </w:r>
          </w:p>
        </w:tc>
        <w:tc>
          <w:tcPr>
            <w:tcW w:w="859" w:type="pct"/>
            <w:vAlign w:val="center"/>
          </w:tcPr>
          <w:p w14:paraId="7C4DDD14">
            <w:pPr>
              <w:pStyle w:val="12"/>
              <w:jc w:val="center"/>
            </w:pPr>
            <w:r>
              <w:rPr>
                <w:rFonts w:hint="eastAsia"/>
              </w:rPr>
              <w:t>常委</w:t>
            </w:r>
          </w:p>
        </w:tc>
        <w:tc>
          <w:tcPr>
            <w:tcW w:w="2422" w:type="pct"/>
            <w:vAlign w:val="center"/>
          </w:tcPr>
          <w:p w14:paraId="56290226">
            <w:pPr>
              <w:pStyle w:val="12"/>
              <w:jc w:val="left"/>
            </w:pPr>
            <w:r>
              <w:rPr>
                <w:rFonts w:hint="eastAsia"/>
              </w:rPr>
              <w:t>1993年8月至1996年8月</w:t>
            </w:r>
          </w:p>
        </w:tc>
      </w:tr>
      <w:tr w14:paraId="2DD01B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791A4C9E">
            <w:pPr>
              <w:pStyle w:val="12"/>
              <w:jc w:val="center"/>
            </w:pPr>
            <w:r>
              <w:rPr>
                <w:rFonts w:hint="eastAsia"/>
              </w:rPr>
              <w:t>沈学柏</w:t>
            </w:r>
          </w:p>
        </w:tc>
        <w:tc>
          <w:tcPr>
            <w:tcW w:w="859" w:type="pct"/>
            <w:vAlign w:val="center"/>
          </w:tcPr>
          <w:p w14:paraId="64BAC795">
            <w:pPr>
              <w:pStyle w:val="12"/>
              <w:jc w:val="center"/>
            </w:pPr>
            <w:r>
              <w:rPr>
                <w:rFonts w:hint="eastAsia"/>
              </w:rPr>
              <w:t>广东南雄</w:t>
            </w:r>
          </w:p>
        </w:tc>
        <w:tc>
          <w:tcPr>
            <w:tcW w:w="859" w:type="pct"/>
            <w:vAlign w:val="center"/>
          </w:tcPr>
          <w:p w14:paraId="78FC850D">
            <w:pPr>
              <w:pStyle w:val="12"/>
              <w:jc w:val="center"/>
            </w:pPr>
            <w:r>
              <w:rPr>
                <w:rFonts w:hint="eastAsia"/>
              </w:rPr>
              <w:t>常委</w:t>
            </w:r>
          </w:p>
        </w:tc>
        <w:tc>
          <w:tcPr>
            <w:tcW w:w="2422" w:type="pct"/>
            <w:vAlign w:val="center"/>
          </w:tcPr>
          <w:p w14:paraId="6AEB2272">
            <w:pPr>
              <w:pStyle w:val="12"/>
              <w:jc w:val="left"/>
            </w:pPr>
            <w:r>
              <w:rPr>
                <w:rFonts w:hint="eastAsia"/>
              </w:rPr>
              <w:t>1993年2月至1995年12月</w:t>
            </w:r>
          </w:p>
        </w:tc>
      </w:tr>
      <w:tr w14:paraId="5B90D1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0FEC7E54">
            <w:pPr>
              <w:pStyle w:val="12"/>
              <w:jc w:val="center"/>
            </w:pPr>
            <w:r>
              <w:rPr>
                <w:rFonts w:hint="eastAsia"/>
              </w:rPr>
              <w:t>李世名</w:t>
            </w:r>
          </w:p>
        </w:tc>
        <w:tc>
          <w:tcPr>
            <w:tcW w:w="859" w:type="pct"/>
            <w:vAlign w:val="center"/>
          </w:tcPr>
          <w:p w14:paraId="32984C40">
            <w:pPr>
              <w:pStyle w:val="12"/>
              <w:jc w:val="center"/>
            </w:pPr>
            <w:r>
              <w:rPr>
                <w:rFonts w:hint="eastAsia"/>
              </w:rPr>
              <w:t>广东南雄</w:t>
            </w:r>
          </w:p>
        </w:tc>
        <w:tc>
          <w:tcPr>
            <w:tcW w:w="859" w:type="pct"/>
            <w:vAlign w:val="center"/>
          </w:tcPr>
          <w:p w14:paraId="47DFB171">
            <w:pPr>
              <w:pStyle w:val="12"/>
              <w:jc w:val="center"/>
            </w:pPr>
            <w:r>
              <w:rPr>
                <w:rFonts w:hint="eastAsia"/>
              </w:rPr>
              <w:t>常委</w:t>
            </w:r>
          </w:p>
        </w:tc>
        <w:tc>
          <w:tcPr>
            <w:tcW w:w="2422" w:type="pct"/>
            <w:vAlign w:val="center"/>
          </w:tcPr>
          <w:p w14:paraId="2E49A476">
            <w:pPr>
              <w:pStyle w:val="12"/>
              <w:jc w:val="left"/>
            </w:pPr>
            <w:r>
              <w:rPr>
                <w:rFonts w:hint="eastAsia"/>
              </w:rPr>
              <w:t>1993年2月至1996年4月</w:t>
            </w:r>
          </w:p>
        </w:tc>
      </w:tr>
      <w:tr w14:paraId="47CFC7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413F3518">
            <w:pPr>
              <w:pStyle w:val="12"/>
              <w:jc w:val="center"/>
            </w:pPr>
            <w:r>
              <w:rPr>
                <w:rFonts w:hint="eastAsia"/>
              </w:rPr>
              <w:t>罗展雄</w:t>
            </w:r>
          </w:p>
        </w:tc>
        <w:tc>
          <w:tcPr>
            <w:tcW w:w="859" w:type="pct"/>
            <w:vAlign w:val="center"/>
          </w:tcPr>
          <w:p w14:paraId="2B0E5126">
            <w:pPr>
              <w:pStyle w:val="12"/>
              <w:jc w:val="center"/>
            </w:pPr>
            <w:r>
              <w:rPr>
                <w:rFonts w:hint="eastAsia"/>
              </w:rPr>
              <w:t>广东兴宁</w:t>
            </w:r>
          </w:p>
        </w:tc>
        <w:tc>
          <w:tcPr>
            <w:tcW w:w="859" w:type="pct"/>
            <w:vAlign w:val="center"/>
          </w:tcPr>
          <w:p w14:paraId="7EBC8C50">
            <w:pPr>
              <w:pStyle w:val="12"/>
              <w:jc w:val="center"/>
            </w:pPr>
            <w:r>
              <w:rPr>
                <w:rFonts w:hint="eastAsia"/>
              </w:rPr>
              <w:t>常委</w:t>
            </w:r>
          </w:p>
        </w:tc>
        <w:tc>
          <w:tcPr>
            <w:tcW w:w="2422" w:type="pct"/>
            <w:vAlign w:val="center"/>
          </w:tcPr>
          <w:p w14:paraId="49095093">
            <w:pPr>
              <w:pStyle w:val="12"/>
              <w:jc w:val="left"/>
            </w:pPr>
            <w:r>
              <w:rPr>
                <w:rFonts w:hint="eastAsia"/>
              </w:rPr>
              <w:t>1993年2月至1996年8月</w:t>
            </w:r>
          </w:p>
        </w:tc>
      </w:tr>
      <w:tr w14:paraId="38BE10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7F762B67">
            <w:pPr>
              <w:pStyle w:val="12"/>
              <w:jc w:val="center"/>
            </w:pPr>
            <w:r>
              <w:rPr>
                <w:rFonts w:hint="eastAsia"/>
              </w:rPr>
              <w:t>肖星庆</w:t>
            </w:r>
          </w:p>
        </w:tc>
        <w:tc>
          <w:tcPr>
            <w:tcW w:w="859" w:type="pct"/>
            <w:vAlign w:val="center"/>
          </w:tcPr>
          <w:p w14:paraId="390CD312">
            <w:pPr>
              <w:pStyle w:val="12"/>
              <w:jc w:val="center"/>
            </w:pPr>
            <w:r>
              <w:rPr>
                <w:rFonts w:hint="eastAsia"/>
              </w:rPr>
              <w:t>广东南雄</w:t>
            </w:r>
          </w:p>
        </w:tc>
        <w:tc>
          <w:tcPr>
            <w:tcW w:w="859" w:type="pct"/>
            <w:vAlign w:val="center"/>
          </w:tcPr>
          <w:p w14:paraId="246A0F19">
            <w:pPr>
              <w:pStyle w:val="12"/>
              <w:jc w:val="center"/>
            </w:pPr>
            <w:r>
              <w:rPr>
                <w:rFonts w:hint="eastAsia"/>
              </w:rPr>
              <w:t>常委</w:t>
            </w:r>
          </w:p>
        </w:tc>
        <w:tc>
          <w:tcPr>
            <w:tcW w:w="2422" w:type="pct"/>
            <w:vAlign w:val="center"/>
          </w:tcPr>
          <w:p w14:paraId="722ECCAB">
            <w:pPr>
              <w:pStyle w:val="12"/>
              <w:jc w:val="left"/>
            </w:pPr>
            <w:r>
              <w:rPr>
                <w:rFonts w:hint="eastAsia"/>
              </w:rPr>
              <w:t>1993年2月至1996年8月</w:t>
            </w:r>
          </w:p>
        </w:tc>
      </w:tr>
      <w:tr w14:paraId="4C7D2D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5FB66223">
            <w:pPr>
              <w:pStyle w:val="12"/>
              <w:jc w:val="center"/>
            </w:pPr>
            <w:r>
              <w:rPr>
                <w:rFonts w:hint="eastAsia"/>
              </w:rPr>
              <w:t>曾昭佑</w:t>
            </w:r>
          </w:p>
        </w:tc>
        <w:tc>
          <w:tcPr>
            <w:tcW w:w="859" w:type="pct"/>
            <w:vAlign w:val="center"/>
          </w:tcPr>
          <w:p w14:paraId="3355407E">
            <w:pPr>
              <w:pStyle w:val="12"/>
              <w:jc w:val="center"/>
            </w:pPr>
            <w:r>
              <w:rPr>
                <w:rFonts w:hint="eastAsia"/>
              </w:rPr>
              <w:t>广东南雄</w:t>
            </w:r>
          </w:p>
        </w:tc>
        <w:tc>
          <w:tcPr>
            <w:tcW w:w="859" w:type="pct"/>
            <w:vAlign w:val="center"/>
          </w:tcPr>
          <w:p w14:paraId="6A8957A6">
            <w:pPr>
              <w:pStyle w:val="12"/>
              <w:jc w:val="center"/>
            </w:pPr>
            <w:r>
              <w:rPr>
                <w:rFonts w:hint="eastAsia"/>
              </w:rPr>
              <w:t>常委</w:t>
            </w:r>
          </w:p>
        </w:tc>
        <w:tc>
          <w:tcPr>
            <w:tcW w:w="2422" w:type="pct"/>
            <w:vAlign w:val="center"/>
          </w:tcPr>
          <w:p w14:paraId="2AAEF95B">
            <w:pPr>
              <w:pStyle w:val="12"/>
              <w:jc w:val="left"/>
            </w:pPr>
            <w:r>
              <w:rPr>
                <w:rFonts w:hint="eastAsia"/>
              </w:rPr>
              <w:t>1993年2月至1996年8月</w:t>
            </w:r>
          </w:p>
        </w:tc>
      </w:tr>
      <w:tr w14:paraId="5D7B55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14:paraId="411F70CF">
            <w:pPr>
              <w:pStyle w:val="12"/>
              <w:jc w:val="center"/>
            </w:pPr>
            <w:r>
              <w:rPr>
                <w:rFonts w:hint="eastAsia"/>
              </w:rPr>
              <w:t>马水源</w:t>
            </w:r>
          </w:p>
        </w:tc>
        <w:tc>
          <w:tcPr>
            <w:tcW w:w="859" w:type="pct"/>
            <w:vAlign w:val="center"/>
          </w:tcPr>
          <w:p w14:paraId="50E2B4DD">
            <w:pPr>
              <w:pStyle w:val="12"/>
              <w:jc w:val="center"/>
            </w:pPr>
            <w:r>
              <w:rPr>
                <w:rFonts w:hint="eastAsia"/>
              </w:rPr>
              <w:t>广东南雄</w:t>
            </w:r>
          </w:p>
        </w:tc>
        <w:tc>
          <w:tcPr>
            <w:tcW w:w="859" w:type="pct"/>
            <w:vAlign w:val="center"/>
          </w:tcPr>
          <w:p w14:paraId="45908F38">
            <w:pPr>
              <w:pStyle w:val="12"/>
              <w:jc w:val="center"/>
            </w:pPr>
            <w:r>
              <w:rPr>
                <w:rFonts w:hint="eastAsia"/>
              </w:rPr>
              <w:t>常委</w:t>
            </w:r>
          </w:p>
        </w:tc>
        <w:tc>
          <w:tcPr>
            <w:tcW w:w="2422" w:type="pct"/>
            <w:vAlign w:val="center"/>
          </w:tcPr>
          <w:p w14:paraId="6A26FD95">
            <w:pPr>
              <w:pStyle w:val="12"/>
              <w:jc w:val="left"/>
            </w:pPr>
            <w:r>
              <w:rPr>
                <w:rFonts w:hint="eastAsia"/>
              </w:rPr>
              <w:t>1996年4月至1996年8月</w:t>
            </w:r>
          </w:p>
        </w:tc>
      </w:tr>
    </w:tbl>
    <w:p w14:paraId="10B5BB4C">
      <w:pPr>
        <w:pStyle w:val="5"/>
        <w:rPr>
          <w:rFonts w:ascii="宋体" w:hAnsi="宋体"/>
        </w:rPr>
      </w:pPr>
      <w:r>
        <w:rPr>
          <w:rFonts w:hint="eastAsia" w:ascii="宋体" w:hAnsi="宋体"/>
        </w:rPr>
        <w:t>二、历届中共南雄市委领导任职情况</w:t>
      </w:r>
    </w:p>
    <w:p w14:paraId="6D05FFC8">
      <w:pPr>
        <w:ind w:firstLine="0" w:firstLineChars="0"/>
        <w:jc w:val="center"/>
        <w:rPr>
          <w:rFonts w:ascii="宋体" w:hAnsi="宋体"/>
          <w:b/>
          <w:szCs w:val="21"/>
        </w:rPr>
      </w:pPr>
      <w:r>
        <w:rPr>
          <w:rFonts w:ascii="宋体" w:hAnsi="宋体"/>
          <w:b/>
          <w:szCs w:val="21"/>
        </w:rPr>
        <w:t>1996年至2004年中共南雄市委领导任职情况</w:t>
      </w:r>
    </w:p>
    <w:p w14:paraId="44D2205B">
      <w:pPr>
        <w:ind w:firstLine="0" w:firstLineChars="0"/>
        <w:rPr>
          <w:rFonts w:ascii="宋体" w:hAnsi="宋体"/>
          <w:b/>
          <w:szCs w:val="21"/>
        </w:rPr>
      </w:pPr>
      <w:r>
        <w:rPr>
          <w:rFonts w:hint="eastAsia" w:ascii="宋体" w:hAnsi="宋体"/>
          <w:b/>
          <w:szCs w:val="21"/>
        </w:rPr>
        <w:t>表</w:t>
      </w:r>
      <w:r>
        <w:rPr>
          <w:rFonts w:ascii="宋体" w:hAnsi="宋体"/>
          <w:b/>
          <w:szCs w:val="21"/>
        </w:rPr>
        <w:t>4-3</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34"/>
        <w:gridCol w:w="2034"/>
        <w:gridCol w:w="2034"/>
        <w:gridCol w:w="3860"/>
      </w:tblGrid>
      <w:tr w14:paraId="47CCDA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6FD64ED6">
            <w:pPr>
              <w:pStyle w:val="12"/>
              <w:jc w:val="center"/>
              <w:rPr>
                <w:b/>
              </w:rPr>
            </w:pPr>
            <w:r>
              <w:rPr>
                <w:rFonts w:hint="eastAsia"/>
                <w:b/>
              </w:rPr>
              <w:t>姓名</w:t>
            </w:r>
          </w:p>
        </w:tc>
        <w:tc>
          <w:tcPr>
            <w:tcW w:w="1021" w:type="pct"/>
            <w:vAlign w:val="center"/>
          </w:tcPr>
          <w:p w14:paraId="52291D18">
            <w:pPr>
              <w:pStyle w:val="12"/>
              <w:jc w:val="center"/>
              <w:rPr>
                <w:b/>
              </w:rPr>
            </w:pPr>
            <w:r>
              <w:rPr>
                <w:rFonts w:hint="eastAsia"/>
                <w:b/>
              </w:rPr>
              <w:t>籍贯</w:t>
            </w:r>
          </w:p>
        </w:tc>
        <w:tc>
          <w:tcPr>
            <w:tcW w:w="1021" w:type="pct"/>
            <w:vAlign w:val="center"/>
          </w:tcPr>
          <w:p w14:paraId="4409EAA9">
            <w:pPr>
              <w:pStyle w:val="12"/>
              <w:jc w:val="center"/>
              <w:rPr>
                <w:b/>
              </w:rPr>
            </w:pPr>
            <w:r>
              <w:rPr>
                <w:rFonts w:hint="eastAsia"/>
                <w:b/>
              </w:rPr>
              <w:t>职务</w:t>
            </w:r>
          </w:p>
        </w:tc>
        <w:tc>
          <w:tcPr>
            <w:tcW w:w="1937" w:type="pct"/>
            <w:vAlign w:val="center"/>
          </w:tcPr>
          <w:p w14:paraId="6345C053">
            <w:pPr>
              <w:pStyle w:val="12"/>
              <w:jc w:val="center"/>
              <w:rPr>
                <w:b/>
              </w:rPr>
            </w:pPr>
            <w:r>
              <w:rPr>
                <w:rFonts w:hint="eastAsia"/>
                <w:b/>
              </w:rPr>
              <w:t>任职时间</w:t>
            </w:r>
          </w:p>
        </w:tc>
      </w:tr>
      <w:tr w14:paraId="4B5B26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1699C443">
            <w:pPr>
              <w:pStyle w:val="12"/>
              <w:jc w:val="center"/>
            </w:pPr>
            <w:r>
              <w:rPr>
                <w:rFonts w:hint="eastAsia"/>
              </w:rPr>
              <w:t>郭衍全</w:t>
            </w:r>
          </w:p>
        </w:tc>
        <w:tc>
          <w:tcPr>
            <w:tcW w:w="1021" w:type="pct"/>
            <w:vAlign w:val="center"/>
          </w:tcPr>
          <w:p w14:paraId="22B4AF58">
            <w:pPr>
              <w:pStyle w:val="12"/>
              <w:jc w:val="center"/>
            </w:pPr>
            <w:r>
              <w:rPr>
                <w:rFonts w:hint="eastAsia"/>
              </w:rPr>
              <w:t>广东南雄</w:t>
            </w:r>
          </w:p>
        </w:tc>
        <w:tc>
          <w:tcPr>
            <w:tcW w:w="1021" w:type="pct"/>
            <w:vAlign w:val="center"/>
          </w:tcPr>
          <w:p w14:paraId="51E9B31A">
            <w:pPr>
              <w:pStyle w:val="12"/>
              <w:jc w:val="center"/>
            </w:pPr>
            <w:r>
              <w:rPr>
                <w:rFonts w:hint="eastAsia"/>
              </w:rPr>
              <w:t>书记</w:t>
            </w:r>
          </w:p>
        </w:tc>
        <w:tc>
          <w:tcPr>
            <w:tcW w:w="1937" w:type="pct"/>
            <w:vAlign w:val="center"/>
          </w:tcPr>
          <w:p w14:paraId="081B8C86">
            <w:pPr>
              <w:pStyle w:val="12"/>
              <w:jc w:val="left"/>
            </w:pPr>
            <w:r>
              <w:rPr>
                <w:rFonts w:hint="eastAsia"/>
              </w:rPr>
              <w:t>1996年8月至1997年2月</w:t>
            </w:r>
          </w:p>
        </w:tc>
      </w:tr>
      <w:tr w14:paraId="6C4033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756BDA3A">
            <w:pPr>
              <w:pStyle w:val="12"/>
              <w:jc w:val="center"/>
            </w:pPr>
            <w:r>
              <w:rPr>
                <w:rFonts w:hint="eastAsia"/>
              </w:rPr>
              <w:t>丘隆基</w:t>
            </w:r>
          </w:p>
        </w:tc>
        <w:tc>
          <w:tcPr>
            <w:tcW w:w="1021" w:type="pct"/>
            <w:vAlign w:val="center"/>
          </w:tcPr>
          <w:p w14:paraId="11A24636">
            <w:pPr>
              <w:pStyle w:val="12"/>
              <w:jc w:val="center"/>
            </w:pPr>
            <w:r>
              <w:rPr>
                <w:rFonts w:hint="eastAsia"/>
              </w:rPr>
              <w:t>广东南雄</w:t>
            </w:r>
          </w:p>
        </w:tc>
        <w:tc>
          <w:tcPr>
            <w:tcW w:w="1021" w:type="pct"/>
            <w:vAlign w:val="center"/>
          </w:tcPr>
          <w:p w14:paraId="4579B84F">
            <w:pPr>
              <w:pStyle w:val="12"/>
              <w:jc w:val="center"/>
            </w:pPr>
            <w:r>
              <w:rPr>
                <w:rFonts w:hint="eastAsia"/>
              </w:rPr>
              <w:t>书记</w:t>
            </w:r>
          </w:p>
        </w:tc>
        <w:tc>
          <w:tcPr>
            <w:tcW w:w="1937" w:type="pct"/>
            <w:vAlign w:val="center"/>
          </w:tcPr>
          <w:p w14:paraId="35FB7B26">
            <w:pPr>
              <w:pStyle w:val="12"/>
              <w:jc w:val="left"/>
            </w:pPr>
            <w:r>
              <w:rPr>
                <w:rFonts w:hint="eastAsia"/>
              </w:rPr>
              <w:t>1997年2月至2001年9月</w:t>
            </w:r>
          </w:p>
        </w:tc>
      </w:tr>
      <w:tr w14:paraId="70B5663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1F46EEBF">
            <w:pPr>
              <w:pStyle w:val="12"/>
              <w:jc w:val="center"/>
            </w:pPr>
            <w:r>
              <w:rPr>
                <w:rFonts w:hint="eastAsia"/>
              </w:rPr>
              <w:t>沈明祥</w:t>
            </w:r>
          </w:p>
        </w:tc>
        <w:tc>
          <w:tcPr>
            <w:tcW w:w="1021" w:type="pct"/>
            <w:vAlign w:val="center"/>
          </w:tcPr>
          <w:p w14:paraId="5D3124F6">
            <w:pPr>
              <w:pStyle w:val="12"/>
              <w:jc w:val="center"/>
            </w:pPr>
            <w:r>
              <w:rPr>
                <w:rFonts w:hint="eastAsia"/>
              </w:rPr>
              <w:t>广东南雄</w:t>
            </w:r>
          </w:p>
        </w:tc>
        <w:tc>
          <w:tcPr>
            <w:tcW w:w="1021" w:type="pct"/>
            <w:vAlign w:val="center"/>
          </w:tcPr>
          <w:p w14:paraId="5BF0D94F">
            <w:pPr>
              <w:pStyle w:val="12"/>
              <w:jc w:val="center"/>
            </w:pPr>
            <w:r>
              <w:rPr>
                <w:rFonts w:hint="eastAsia"/>
              </w:rPr>
              <w:t>书记</w:t>
            </w:r>
          </w:p>
        </w:tc>
        <w:tc>
          <w:tcPr>
            <w:tcW w:w="1937" w:type="pct"/>
            <w:vAlign w:val="center"/>
          </w:tcPr>
          <w:p w14:paraId="7BA8553D">
            <w:pPr>
              <w:pStyle w:val="12"/>
              <w:jc w:val="left"/>
            </w:pPr>
            <w:r>
              <w:rPr>
                <w:rFonts w:hint="eastAsia"/>
              </w:rPr>
              <w:t>2002年1月至2002年12月</w:t>
            </w:r>
          </w:p>
        </w:tc>
      </w:tr>
      <w:tr w14:paraId="5A2AF5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4C458663">
            <w:pPr>
              <w:pStyle w:val="12"/>
              <w:jc w:val="center"/>
            </w:pPr>
            <w:r>
              <w:rPr>
                <w:rFonts w:hint="eastAsia"/>
              </w:rPr>
              <w:t>何为星</w:t>
            </w:r>
          </w:p>
        </w:tc>
        <w:tc>
          <w:tcPr>
            <w:tcW w:w="1021" w:type="pct"/>
            <w:vAlign w:val="center"/>
          </w:tcPr>
          <w:p w14:paraId="2272B4E2">
            <w:pPr>
              <w:pStyle w:val="12"/>
              <w:jc w:val="center"/>
            </w:pPr>
            <w:r>
              <w:rPr>
                <w:rFonts w:hint="eastAsia"/>
              </w:rPr>
              <w:t>广东仁化</w:t>
            </w:r>
          </w:p>
        </w:tc>
        <w:tc>
          <w:tcPr>
            <w:tcW w:w="1021" w:type="pct"/>
            <w:vAlign w:val="center"/>
          </w:tcPr>
          <w:p w14:paraId="45402D6D">
            <w:pPr>
              <w:pStyle w:val="12"/>
              <w:jc w:val="center"/>
            </w:pPr>
            <w:r>
              <w:rPr>
                <w:rFonts w:hint="eastAsia"/>
              </w:rPr>
              <w:t>书记</w:t>
            </w:r>
          </w:p>
        </w:tc>
        <w:tc>
          <w:tcPr>
            <w:tcW w:w="1937" w:type="pct"/>
            <w:vAlign w:val="center"/>
          </w:tcPr>
          <w:p w14:paraId="3DBB0F34">
            <w:pPr>
              <w:pStyle w:val="12"/>
              <w:jc w:val="left"/>
            </w:pPr>
            <w:r>
              <w:rPr>
                <w:rFonts w:hint="eastAsia"/>
              </w:rPr>
              <w:t>2002年12月至2004年6月</w:t>
            </w:r>
          </w:p>
        </w:tc>
      </w:tr>
      <w:tr w14:paraId="7C1DD5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48E5E7E6">
            <w:pPr>
              <w:pStyle w:val="12"/>
              <w:jc w:val="center"/>
            </w:pPr>
            <w:r>
              <w:rPr>
                <w:rFonts w:hint="eastAsia"/>
              </w:rPr>
              <w:t>林楚欣</w:t>
            </w:r>
          </w:p>
        </w:tc>
        <w:tc>
          <w:tcPr>
            <w:tcW w:w="1021" w:type="pct"/>
            <w:vAlign w:val="center"/>
          </w:tcPr>
          <w:p w14:paraId="6D73EEC6">
            <w:pPr>
              <w:pStyle w:val="12"/>
              <w:jc w:val="center"/>
            </w:pPr>
            <w:r>
              <w:rPr>
                <w:rFonts w:hint="eastAsia"/>
              </w:rPr>
              <w:t>广东潮州</w:t>
            </w:r>
          </w:p>
        </w:tc>
        <w:tc>
          <w:tcPr>
            <w:tcW w:w="1021" w:type="pct"/>
            <w:vAlign w:val="center"/>
          </w:tcPr>
          <w:p w14:paraId="0D6EF743">
            <w:pPr>
              <w:pStyle w:val="12"/>
              <w:jc w:val="center"/>
            </w:pPr>
            <w:r>
              <w:rPr>
                <w:rFonts w:hint="eastAsia"/>
              </w:rPr>
              <w:t>书记</w:t>
            </w:r>
          </w:p>
        </w:tc>
        <w:tc>
          <w:tcPr>
            <w:tcW w:w="1937" w:type="pct"/>
            <w:vAlign w:val="center"/>
          </w:tcPr>
          <w:p w14:paraId="6B012BDB">
            <w:pPr>
              <w:pStyle w:val="12"/>
              <w:jc w:val="left"/>
            </w:pPr>
            <w:r>
              <w:rPr>
                <w:rFonts w:hint="eastAsia"/>
              </w:rPr>
              <w:t>2004年6月</w:t>
            </w:r>
          </w:p>
        </w:tc>
      </w:tr>
      <w:tr w14:paraId="7B27DB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547FE45F">
            <w:pPr>
              <w:pStyle w:val="12"/>
              <w:jc w:val="center"/>
            </w:pPr>
            <w:r>
              <w:rPr>
                <w:rFonts w:hint="eastAsia"/>
              </w:rPr>
              <w:t>张寿生</w:t>
            </w:r>
          </w:p>
        </w:tc>
        <w:tc>
          <w:tcPr>
            <w:tcW w:w="1021" w:type="pct"/>
            <w:vAlign w:val="center"/>
          </w:tcPr>
          <w:p w14:paraId="7CB7D79D">
            <w:pPr>
              <w:pStyle w:val="12"/>
              <w:jc w:val="center"/>
            </w:pPr>
            <w:r>
              <w:rPr>
                <w:rFonts w:hint="eastAsia"/>
              </w:rPr>
              <w:t>广东惠州</w:t>
            </w:r>
          </w:p>
        </w:tc>
        <w:tc>
          <w:tcPr>
            <w:tcW w:w="1021" w:type="pct"/>
            <w:vAlign w:val="center"/>
          </w:tcPr>
          <w:p w14:paraId="5E779DF8">
            <w:pPr>
              <w:pStyle w:val="12"/>
              <w:jc w:val="center"/>
            </w:pPr>
            <w:r>
              <w:rPr>
                <w:rFonts w:hint="eastAsia"/>
              </w:rPr>
              <w:t>副书记</w:t>
            </w:r>
          </w:p>
        </w:tc>
        <w:tc>
          <w:tcPr>
            <w:tcW w:w="1937" w:type="pct"/>
            <w:vAlign w:val="center"/>
          </w:tcPr>
          <w:p w14:paraId="77150E65">
            <w:pPr>
              <w:pStyle w:val="12"/>
              <w:jc w:val="left"/>
            </w:pPr>
            <w:r>
              <w:rPr>
                <w:rFonts w:hint="eastAsia"/>
              </w:rPr>
              <w:t>1996年4月至1997年11月</w:t>
            </w:r>
          </w:p>
        </w:tc>
      </w:tr>
      <w:tr w14:paraId="0C60D6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571EACC8">
            <w:pPr>
              <w:pStyle w:val="12"/>
              <w:jc w:val="center"/>
            </w:pPr>
            <w:r>
              <w:rPr>
                <w:rFonts w:hint="eastAsia"/>
              </w:rPr>
              <w:t>曲令平</w:t>
            </w:r>
          </w:p>
        </w:tc>
        <w:tc>
          <w:tcPr>
            <w:tcW w:w="1021" w:type="pct"/>
            <w:vAlign w:val="center"/>
          </w:tcPr>
          <w:p w14:paraId="388B6C28">
            <w:pPr>
              <w:pStyle w:val="12"/>
              <w:jc w:val="center"/>
            </w:pPr>
            <w:r>
              <w:rPr>
                <w:rFonts w:hint="eastAsia"/>
              </w:rPr>
              <w:t>河南唐河</w:t>
            </w:r>
          </w:p>
        </w:tc>
        <w:tc>
          <w:tcPr>
            <w:tcW w:w="1021" w:type="pct"/>
            <w:vAlign w:val="center"/>
          </w:tcPr>
          <w:p w14:paraId="56B9FEDF">
            <w:pPr>
              <w:pStyle w:val="12"/>
              <w:jc w:val="center"/>
            </w:pPr>
            <w:r>
              <w:rPr>
                <w:rFonts w:hint="eastAsia"/>
              </w:rPr>
              <w:t>副书记</w:t>
            </w:r>
          </w:p>
        </w:tc>
        <w:tc>
          <w:tcPr>
            <w:tcW w:w="1937" w:type="pct"/>
            <w:vAlign w:val="center"/>
          </w:tcPr>
          <w:p w14:paraId="19A227DD">
            <w:pPr>
              <w:pStyle w:val="12"/>
              <w:jc w:val="left"/>
            </w:pPr>
            <w:r>
              <w:rPr>
                <w:rFonts w:hint="eastAsia"/>
              </w:rPr>
              <w:t>1996年8月至1998年3月</w:t>
            </w:r>
          </w:p>
        </w:tc>
      </w:tr>
      <w:tr w14:paraId="07BD3E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68528C93">
            <w:pPr>
              <w:pStyle w:val="12"/>
              <w:jc w:val="center"/>
            </w:pPr>
            <w:r>
              <w:rPr>
                <w:rFonts w:hint="eastAsia"/>
              </w:rPr>
              <w:t>谭章明</w:t>
            </w:r>
          </w:p>
        </w:tc>
        <w:tc>
          <w:tcPr>
            <w:tcW w:w="1021" w:type="pct"/>
            <w:vAlign w:val="center"/>
          </w:tcPr>
          <w:p w14:paraId="62632580">
            <w:pPr>
              <w:pStyle w:val="12"/>
              <w:jc w:val="center"/>
            </w:pPr>
            <w:r>
              <w:rPr>
                <w:rFonts w:hint="eastAsia"/>
              </w:rPr>
              <w:t>广东南雄</w:t>
            </w:r>
          </w:p>
        </w:tc>
        <w:tc>
          <w:tcPr>
            <w:tcW w:w="1021" w:type="pct"/>
            <w:vAlign w:val="center"/>
          </w:tcPr>
          <w:p w14:paraId="02C7DA41">
            <w:pPr>
              <w:pStyle w:val="12"/>
              <w:jc w:val="center"/>
            </w:pPr>
            <w:r>
              <w:rPr>
                <w:rFonts w:hint="eastAsia"/>
              </w:rPr>
              <w:t>副书记</w:t>
            </w:r>
          </w:p>
        </w:tc>
        <w:tc>
          <w:tcPr>
            <w:tcW w:w="1937" w:type="pct"/>
            <w:vAlign w:val="center"/>
          </w:tcPr>
          <w:p w14:paraId="55241EB9">
            <w:pPr>
              <w:pStyle w:val="12"/>
              <w:jc w:val="left"/>
            </w:pPr>
            <w:r>
              <w:rPr>
                <w:rFonts w:hint="eastAsia"/>
              </w:rPr>
              <w:t>1996年8月至1997年12月</w:t>
            </w:r>
          </w:p>
        </w:tc>
      </w:tr>
      <w:tr w14:paraId="4B901A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7A2E1849">
            <w:pPr>
              <w:pStyle w:val="12"/>
              <w:jc w:val="center"/>
            </w:pPr>
            <w:r>
              <w:rPr>
                <w:rFonts w:hint="eastAsia"/>
              </w:rPr>
              <w:t>丘隆基</w:t>
            </w:r>
          </w:p>
        </w:tc>
        <w:tc>
          <w:tcPr>
            <w:tcW w:w="1021" w:type="pct"/>
            <w:vAlign w:val="center"/>
          </w:tcPr>
          <w:p w14:paraId="6B77029F">
            <w:pPr>
              <w:pStyle w:val="12"/>
              <w:jc w:val="center"/>
            </w:pPr>
            <w:r>
              <w:rPr>
                <w:rFonts w:hint="eastAsia"/>
              </w:rPr>
              <w:t>广东南雄</w:t>
            </w:r>
          </w:p>
        </w:tc>
        <w:tc>
          <w:tcPr>
            <w:tcW w:w="1021" w:type="pct"/>
            <w:vAlign w:val="center"/>
          </w:tcPr>
          <w:p w14:paraId="1CE0F3A7">
            <w:pPr>
              <w:pStyle w:val="12"/>
              <w:jc w:val="center"/>
            </w:pPr>
            <w:r>
              <w:rPr>
                <w:rFonts w:hint="eastAsia"/>
              </w:rPr>
              <w:t>副书记</w:t>
            </w:r>
          </w:p>
        </w:tc>
        <w:tc>
          <w:tcPr>
            <w:tcW w:w="1937" w:type="pct"/>
            <w:vAlign w:val="center"/>
          </w:tcPr>
          <w:p w14:paraId="2450A5F0">
            <w:pPr>
              <w:pStyle w:val="12"/>
              <w:jc w:val="left"/>
            </w:pPr>
            <w:r>
              <w:rPr>
                <w:rFonts w:hint="eastAsia"/>
              </w:rPr>
              <w:t>1996年8月至1997年2月</w:t>
            </w:r>
          </w:p>
        </w:tc>
      </w:tr>
      <w:tr w14:paraId="2E2685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3EA21007">
            <w:pPr>
              <w:pStyle w:val="12"/>
              <w:jc w:val="center"/>
            </w:pPr>
            <w:r>
              <w:rPr>
                <w:rFonts w:hint="eastAsia"/>
              </w:rPr>
              <w:t>黄社珍</w:t>
            </w:r>
          </w:p>
        </w:tc>
        <w:tc>
          <w:tcPr>
            <w:tcW w:w="1021" w:type="pct"/>
            <w:vAlign w:val="center"/>
          </w:tcPr>
          <w:p w14:paraId="61DF35E5">
            <w:pPr>
              <w:pStyle w:val="12"/>
              <w:jc w:val="center"/>
            </w:pPr>
            <w:r>
              <w:rPr>
                <w:rFonts w:hint="eastAsia"/>
              </w:rPr>
              <w:t>广东翁源</w:t>
            </w:r>
          </w:p>
        </w:tc>
        <w:tc>
          <w:tcPr>
            <w:tcW w:w="1021" w:type="pct"/>
            <w:vAlign w:val="center"/>
          </w:tcPr>
          <w:p w14:paraId="5985AC2C">
            <w:pPr>
              <w:pStyle w:val="12"/>
              <w:jc w:val="center"/>
            </w:pPr>
            <w:r>
              <w:rPr>
                <w:rFonts w:hint="eastAsia"/>
              </w:rPr>
              <w:t>副书记</w:t>
            </w:r>
          </w:p>
        </w:tc>
        <w:tc>
          <w:tcPr>
            <w:tcW w:w="1937" w:type="pct"/>
            <w:vAlign w:val="center"/>
          </w:tcPr>
          <w:p w14:paraId="20B3EE98">
            <w:pPr>
              <w:pStyle w:val="12"/>
              <w:jc w:val="left"/>
            </w:pPr>
            <w:r>
              <w:rPr>
                <w:rFonts w:hint="eastAsia"/>
              </w:rPr>
              <w:t>1997年12月至1998年2月</w:t>
            </w:r>
          </w:p>
        </w:tc>
      </w:tr>
      <w:tr w14:paraId="671AA0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3616C2B6">
            <w:pPr>
              <w:pStyle w:val="12"/>
              <w:jc w:val="center"/>
            </w:pPr>
            <w:r>
              <w:rPr>
                <w:rFonts w:hint="eastAsia"/>
              </w:rPr>
              <w:t>张  平</w:t>
            </w:r>
          </w:p>
        </w:tc>
        <w:tc>
          <w:tcPr>
            <w:tcW w:w="1021" w:type="pct"/>
            <w:vAlign w:val="center"/>
          </w:tcPr>
          <w:p w14:paraId="7540D949">
            <w:pPr>
              <w:pStyle w:val="12"/>
              <w:jc w:val="center"/>
            </w:pPr>
            <w:r>
              <w:rPr>
                <w:rFonts w:hint="eastAsia"/>
              </w:rPr>
              <w:t>广东南雄</w:t>
            </w:r>
          </w:p>
        </w:tc>
        <w:tc>
          <w:tcPr>
            <w:tcW w:w="1021" w:type="pct"/>
            <w:vAlign w:val="center"/>
          </w:tcPr>
          <w:p w14:paraId="41390701">
            <w:pPr>
              <w:pStyle w:val="12"/>
              <w:jc w:val="center"/>
            </w:pPr>
            <w:r>
              <w:rPr>
                <w:rFonts w:hint="eastAsia"/>
              </w:rPr>
              <w:t>副书记</w:t>
            </w:r>
          </w:p>
        </w:tc>
        <w:tc>
          <w:tcPr>
            <w:tcW w:w="1937" w:type="pct"/>
            <w:vAlign w:val="center"/>
          </w:tcPr>
          <w:p w14:paraId="45268446">
            <w:pPr>
              <w:pStyle w:val="12"/>
              <w:jc w:val="left"/>
            </w:pPr>
            <w:r>
              <w:rPr>
                <w:rFonts w:hint="eastAsia"/>
              </w:rPr>
              <w:t>1998年1月至1998年12月</w:t>
            </w:r>
          </w:p>
        </w:tc>
      </w:tr>
      <w:tr w14:paraId="396AB6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6D453C4B">
            <w:pPr>
              <w:pStyle w:val="12"/>
              <w:jc w:val="center"/>
            </w:pPr>
            <w:r>
              <w:rPr>
                <w:rFonts w:hint="eastAsia"/>
              </w:rPr>
              <w:t>沈明祥</w:t>
            </w:r>
          </w:p>
        </w:tc>
        <w:tc>
          <w:tcPr>
            <w:tcW w:w="1021" w:type="pct"/>
            <w:vAlign w:val="center"/>
          </w:tcPr>
          <w:p w14:paraId="2C4F2546">
            <w:pPr>
              <w:pStyle w:val="12"/>
              <w:jc w:val="center"/>
            </w:pPr>
            <w:r>
              <w:rPr>
                <w:rFonts w:hint="eastAsia"/>
              </w:rPr>
              <w:t>广东南雄</w:t>
            </w:r>
          </w:p>
        </w:tc>
        <w:tc>
          <w:tcPr>
            <w:tcW w:w="1021" w:type="pct"/>
            <w:vAlign w:val="center"/>
          </w:tcPr>
          <w:p w14:paraId="0B39978B">
            <w:pPr>
              <w:pStyle w:val="12"/>
              <w:jc w:val="center"/>
            </w:pPr>
            <w:r>
              <w:rPr>
                <w:rFonts w:hint="eastAsia"/>
              </w:rPr>
              <w:t>副书记</w:t>
            </w:r>
          </w:p>
        </w:tc>
        <w:tc>
          <w:tcPr>
            <w:tcW w:w="1937" w:type="pct"/>
            <w:vAlign w:val="center"/>
          </w:tcPr>
          <w:p w14:paraId="15741A63">
            <w:pPr>
              <w:pStyle w:val="12"/>
              <w:jc w:val="left"/>
            </w:pPr>
            <w:r>
              <w:rPr>
                <w:rFonts w:hint="eastAsia"/>
              </w:rPr>
              <w:t>1998年3月至2002年1月</w:t>
            </w:r>
          </w:p>
        </w:tc>
      </w:tr>
      <w:tr w14:paraId="18B6401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4522FE9F">
            <w:pPr>
              <w:pStyle w:val="12"/>
              <w:jc w:val="center"/>
            </w:pPr>
            <w:r>
              <w:rPr>
                <w:rFonts w:hint="eastAsia"/>
              </w:rPr>
              <w:t>罗展雄</w:t>
            </w:r>
          </w:p>
        </w:tc>
        <w:tc>
          <w:tcPr>
            <w:tcW w:w="1021" w:type="pct"/>
            <w:vAlign w:val="center"/>
          </w:tcPr>
          <w:p w14:paraId="28A805EC">
            <w:pPr>
              <w:pStyle w:val="12"/>
              <w:jc w:val="center"/>
            </w:pPr>
            <w:r>
              <w:rPr>
                <w:rFonts w:hint="eastAsia"/>
              </w:rPr>
              <w:t>广东兴宁</w:t>
            </w:r>
          </w:p>
        </w:tc>
        <w:tc>
          <w:tcPr>
            <w:tcW w:w="1021" w:type="pct"/>
            <w:vAlign w:val="center"/>
          </w:tcPr>
          <w:p w14:paraId="362C0278">
            <w:pPr>
              <w:pStyle w:val="12"/>
              <w:jc w:val="center"/>
            </w:pPr>
            <w:r>
              <w:rPr>
                <w:rFonts w:hint="eastAsia"/>
              </w:rPr>
              <w:t>副书记</w:t>
            </w:r>
          </w:p>
        </w:tc>
        <w:tc>
          <w:tcPr>
            <w:tcW w:w="1937" w:type="pct"/>
            <w:vAlign w:val="center"/>
          </w:tcPr>
          <w:p w14:paraId="0F6F6D06">
            <w:pPr>
              <w:pStyle w:val="12"/>
              <w:jc w:val="left"/>
            </w:pPr>
            <w:r>
              <w:rPr>
                <w:rFonts w:hint="eastAsia"/>
              </w:rPr>
              <w:t>1998年3月至2003年2月</w:t>
            </w:r>
          </w:p>
        </w:tc>
      </w:tr>
      <w:tr w14:paraId="02168A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4526FD2E">
            <w:pPr>
              <w:pStyle w:val="12"/>
              <w:jc w:val="center"/>
            </w:pPr>
            <w:r>
              <w:rPr>
                <w:rFonts w:hint="eastAsia"/>
              </w:rPr>
              <w:t>许建设</w:t>
            </w:r>
          </w:p>
        </w:tc>
        <w:tc>
          <w:tcPr>
            <w:tcW w:w="1021" w:type="pct"/>
            <w:vAlign w:val="center"/>
          </w:tcPr>
          <w:p w14:paraId="407D33FA">
            <w:pPr>
              <w:pStyle w:val="12"/>
              <w:jc w:val="center"/>
            </w:pPr>
            <w:r>
              <w:rPr>
                <w:rFonts w:hint="eastAsia"/>
              </w:rPr>
              <w:t>广东翁源</w:t>
            </w:r>
          </w:p>
        </w:tc>
        <w:tc>
          <w:tcPr>
            <w:tcW w:w="1021" w:type="pct"/>
            <w:vAlign w:val="center"/>
          </w:tcPr>
          <w:p w14:paraId="6E441CF9">
            <w:pPr>
              <w:pStyle w:val="12"/>
              <w:jc w:val="center"/>
            </w:pPr>
            <w:r>
              <w:rPr>
                <w:rFonts w:hint="eastAsia"/>
              </w:rPr>
              <w:t>副书记</w:t>
            </w:r>
          </w:p>
        </w:tc>
        <w:tc>
          <w:tcPr>
            <w:tcW w:w="1937" w:type="pct"/>
            <w:vAlign w:val="center"/>
          </w:tcPr>
          <w:p w14:paraId="4A28E555">
            <w:pPr>
              <w:pStyle w:val="12"/>
              <w:jc w:val="left"/>
            </w:pPr>
            <w:r>
              <w:rPr>
                <w:rFonts w:hint="eastAsia"/>
              </w:rPr>
              <w:t>1999年12月</w:t>
            </w:r>
          </w:p>
        </w:tc>
      </w:tr>
      <w:tr w14:paraId="607973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71E85912">
            <w:pPr>
              <w:pStyle w:val="12"/>
              <w:jc w:val="center"/>
            </w:pPr>
            <w:r>
              <w:rPr>
                <w:rFonts w:hint="eastAsia"/>
              </w:rPr>
              <w:t>林楚欣</w:t>
            </w:r>
          </w:p>
        </w:tc>
        <w:tc>
          <w:tcPr>
            <w:tcW w:w="1021" w:type="pct"/>
            <w:vAlign w:val="center"/>
          </w:tcPr>
          <w:p w14:paraId="13D83AFF">
            <w:pPr>
              <w:pStyle w:val="12"/>
              <w:jc w:val="center"/>
            </w:pPr>
            <w:r>
              <w:rPr>
                <w:rFonts w:hint="eastAsia"/>
              </w:rPr>
              <w:t>广东潮州</w:t>
            </w:r>
          </w:p>
        </w:tc>
        <w:tc>
          <w:tcPr>
            <w:tcW w:w="1021" w:type="pct"/>
            <w:vAlign w:val="center"/>
          </w:tcPr>
          <w:p w14:paraId="5716BF33">
            <w:pPr>
              <w:pStyle w:val="12"/>
              <w:jc w:val="center"/>
            </w:pPr>
            <w:r>
              <w:rPr>
                <w:rFonts w:hint="eastAsia"/>
              </w:rPr>
              <w:t>副书记</w:t>
            </w:r>
          </w:p>
        </w:tc>
        <w:tc>
          <w:tcPr>
            <w:tcW w:w="1937" w:type="pct"/>
            <w:vAlign w:val="center"/>
          </w:tcPr>
          <w:p w14:paraId="6569DF41">
            <w:pPr>
              <w:pStyle w:val="12"/>
              <w:jc w:val="left"/>
            </w:pPr>
            <w:r>
              <w:rPr>
                <w:rFonts w:hint="eastAsia"/>
              </w:rPr>
              <w:t>2002年1月至2004年6月</w:t>
            </w:r>
          </w:p>
        </w:tc>
      </w:tr>
      <w:tr w14:paraId="764913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69F55939">
            <w:pPr>
              <w:pStyle w:val="12"/>
              <w:jc w:val="center"/>
            </w:pPr>
            <w:r>
              <w:rPr>
                <w:rFonts w:hint="eastAsia"/>
              </w:rPr>
              <w:t>何万飞</w:t>
            </w:r>
          </w:p>
        </w:tc>
        <w:tc>
          <w:tcPr>
            <w:tcW w:w="1021" w:type="pct"/>
            <w:vAlign w:val="center"/>
          </w:tcPr>
          <w:p w14:paraId="4DBC95E8">
            <w:pPr>
              <w:pStyle w:val="12"/>
              <w:jc w:val="center"/>
            </w:pPr>
            <w:r>
              <w:rPr>
                <w:rFonts w:hint="eastAsia"/>
              </w:rPr>
              <w:t>广东南雄</w:t>
            </w:r>
          </w:p>
        </w:tc>
        <w:tc>
          <w:tcPr>
            <w:tcW w:w="1021" w:type="pct"/>
            <w:vAlign w:val="center"/>
          </w:tcPr>
          <w:p w14:paraId="47F93F15">
            <w:pPr>
              <w:pStyle w:val="12"/>
              <w:jc w:val="center"/>
            </w:pPr>
            <w:r>
              <w:rPr>
                <w:rFonts w:hint="eastAsia"/>
              </w:rPr>
              <w:t>副书记</w:t>
            </w:r>
          </w:p>
        </w:tc>
        <w:tc>
          <w:tcPr>
            <w:tcW w:w="1937" w:type="pct"/>
            <w:vAlign w:val="center"/>
          </w:tcPr>
          <w:p w14:paraId="075B97DE">
            <w:pPr>
              <w:pStyle w:val="12"/>
              <w:jc w:val="left"/>
            </w:pPr>
            <w:r>
              <w:rPr>
                <w:rFonts w:hint="eastAsia"/>
              </w:rPr>
              <w:t>2002年12月</w:t>
            </w:r>
          </w:p>
        </w:tc>
      </w:tr>
      <w:tr w14:paraId="507464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0422C2C6">
            <w:pPr>
              <w:pStyle w:val="12"/>
              <w:jc w:val="center"/>
            </w:pPr>
            <w:r>
              <w:rPr>
                <w:rFonts w:hint="eastAsia"/>
              </w:rPr>
              <w:t>许志新</w:t>
            </w:r>
          </w:p>
        </w:tc>
        <w:tc>
          <w:tcPr>
            <w:tcW w:w="1021" w:type="pct"/>
            <w:vAlign w:val="center"/>
          </w:tcPr>
          <w:p w14:paraId="70244C0E">
            <w:pPr>
              <w:pStyle w:val="12"/>
              <w:jc w:val="center"/>
            </w:pPr>
            <w:r>
              <w:rPr>
                <w:rFonts w:hint="eastAsia"/>
              </w:rPr>
              <w:t>广东翁源</w:t>
            </w:r>
          </w:p>
        </w:tc>
        <w:tc>
          <w:tcPr>
            <w:tcW w:w="1021" w:type="pct"/>
            <w:vAlign w:val="center"/>
          </w:tcPr>
          <w:p w14:paraId="7C4EC0E4">
            <w:pPr>
              <w:pStyle w:val="12"/>
              <w:jc w:val="center"/>
            </w:pPr>
            <w:r>
              <w:rPr>
                <w:rFonts w:hint="eastAsia"/>
              </w:rPr>
              <w:t>副书记</w:t>
            </w:r>
          </w:p>
        </w:tc>
        <w:tc>
          <w:tcPr>
            <w:tcW w:w="1937" w:type="pct"/>
            <w:vAlign w:val="center"/>
          </w:tcPr>
          <w:p w14:paraId="74D79671">
            <w:pPr>
              <w:pStyle w:val="12"/>
              <w:jc w:val="left"/>
            </w:pPr>
            <w:r>
              <w:rPr>
                <w:rFonts w:hint="eastAsia"/>
              </w:rPr>
              <w:t>2003年3月</w:t>
            </w:r>
          </w:p>
        </w:tc>
      </w:tr>
      <w:tr w14:paraId="5F1B73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57023FD5">
            <w:pPr>
              <w:pStyle w:val="12"/>
              <w:jc w:val="center"/>
            </w:pPr>
            <w:r>
              <w:rPr>
                <w:rFonts w:hint="eastAsia"/>
              </w:rPr>
              <w:t>许  红（女）</w:t>
            </w:r>
          </w:p>
        </w:tc>
        <w:tc>
          <w:tcPr>
            <w:tcW w:w="1021" w:type="pct"/>
            <w:vAlign w:val="center"/>
          </w:tcPr>
          <w:p w14:paraId="074E9DAA">
            <w:pPr>
              <w:pStyle w:val="12"/>
              <w:jc w:val="center"/>
            </w:pPr>
            <w:r>
              <w:rPr>
                <w:rFonts w:hint="eastAsia"/>
              </w:rPr>
              <w:t>广东河源</w:t>
            </w:r>
          </w:p>
        </w:tc>
        <w:tc>
          <w:tcPr>
            <w:tcW w:w="1021" w:type="pct"/>
            <w:vAlign w:val="center"/>
          </w:tcPr>
          <w:p w14:paraId="63B83985">
            <w:pPr>
              <w:pStyle w:val="12"/>
              <w:jc w:val="center"/>
            </w:pPr>
            <w:r>
              <w:rPr>
                <w:rFonts w:hint="eastAsia"/>
              </w:rPr>
              <w:t>副书记</w:t>
            </w:r>
          </w:p>
        </w:tc>
        <w:tc>
          <w:tcPr>
            <w:tcW w:w="1937" w:type="pct"/>
            <w:vAlign w:val="center"/>
          </w:tcPr>
          <w:p w14:paraId="15B3328B">
            <w:pPr>
              <w:pStyle w:val="12"/>
              <w:jc w:val="left"/>
            </w:pPr>
            <w:r>
              <w:rPr>
                <w:rFonts w:hint="eastAsia"/>
              </w:rPr>
              <w:t>2004年9月</w:t>
            </w:r>
          </w:p>
        </w:tc>
      </w:tr>
      <w:tr w14:paraId="35BD84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3A239239">
            <w:pPr>
              <w:pStyle w:val="12"/>
              <w:jc w:val="center"/>
            </w:pPr>
            <w:r>
              <w:rPr>
                <w:rFonts w:hint="eastAsia"/>
              </w:rPr>
              <w:t>郭衍全</w:t>
            </w:r>
          </w:p>
        </w:tc>
        <w:tc>
          <w:tcPr>
            <w:tcW w:w="1021" w:type="pct"/>
            <w:vAlign w:val="center"/>
          </w:tcPr>
          <w:p w14:paraId="596782E3">
            <w:pPr>
              <w:pStyle w:val="12"/>
              <w:jc w:val="center"/>
            </w:pPr>
            <w:r>
              <w:rPr>
                <w:rFonts w:hint="eastAsia"/>
              </w:rPr>
              <w:t>广东南雄</w:t>
            </w:r>
          </w:p>
        </w:tc>
        <w:tc>
          <w:tcPr>
            <w:tcW w:w="1021" w:type="pct"/>
            <w:vAlign w:val="center"/>
          </w:tcPr>
          <w:p w14:paraId="6FAF5255">
            <w:pPr>
              <w:pStyle w:val="12"/>
              <w:jc w:val="center"/>
            </w:pPr>
            <w:r>
              <w:rPr>
                <w:rFonts w:hint="eastAsia"/>
              </w:rPr>
              <w:t>常委</w:t>
            </w:r>
          </w:p>
        </w:tc>
        <w:tc>
          <w:tcPr>
            <w:tcW w:w="1937" w:type="pct"/>
            <w:vAlign w:val="center"/>
          </w:tcPr>
          <w:p w14:paraId="43DE3B3B">
            <w:pPr>
              <w:pStyle w:val="12"/>
              <w:jc w:val="left"/>
            </w:pPr>
            <w:r>
              <w:rPr>
                <w:rFonts w:hint="eastAsia"/>
              </w:rPr>
              <w:t>1996年8月至1997年2月</w:t>
            </w:r>
          </w:p>
        </w:tc>
      </w:tr>
      <w:tr w14:paraId="1688DB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41205C78">
            <w:pPr>
              <w:pStyle w:val="12"/>
              <w:jc w:val="center"/>
            </w:pPr>
            <w:r>
              <w:rPr>
                <w:rFonts w:hint="eastAsia"/>
              </w:rPr>
              <w:t>曲令平</w:t>
            </w:r>
          </w:p>
        </w:tc>
        <w:tc>
          <w:tcPr>
            <w:tcW w:w="1021" w:type="pct"/>
            <w:vAlign w:val="center"/>
          </w:tcPr>
          <w:p w14:paraId="6AA68EDE">
            <w:pPr>
              <w:pStyle w:val="12"/>
              <w:jc w:val="center"/>
            </w:pPr>
            <w:r>
              <w:rPr>
                <w:rFonts w:hint="eastAsia"/>
              </w:rPr>
              <w:t>河南唐河</w:t>
            </w:r>
          </w:p>
        </w:tc>
        <w:tc>
          <w:tcPr>
            <w:tcW w:w="1021" w:type="pct"/>
            <w:vAlign w:val="center"/>
          </w:tcPr>
          <w:p w14:paraId="72DD8853">
            <w:pPr>
              <w:pStyle w:val="12"/>
              <w:jc w:val="center"/>
            </w:pPr>
            <w:r>
              <w:rPr>
                <w:rFonts w:hint="eastAsia"/>
              </w:rPr>
              <w:t>常委</w:t>
            </w:r>
          </w:p>
        </w:tc>
        <w:tc>
          <w:tcPr>
            <w:tcW w:w="1937" w:type="pct"/>
            <w:vAlign w:val="center"/>
          </w:tcPr>
          <w:p w14:paraId="40738268">
            <w:pPr>
              <w:pStyle w:val="12"/>
              <w:jc w:val="left"/>
            </w:pPr>
            <w:r>
              <w:rPr>
                <w:rFonts w:hint="eastAsia"/>
              </w:rPr>
              <w:t>1996年8月至1998年3月</w:t>
            </w:r>
          </w:p>
        </w:tc>
      </w:tr>
      <w:tr w14:paraId="59A349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19EB2E9F">
            <w:pPr>
              <w:pStyle w:val="12"/>
              <w:jc w:val="center"/>
            </w:pPr>
            <w:r>
              <w:rPr>
                <w:rFonts w:hint="eastAsia"/>
              </w:rPr>
              <w:t>谢兴宏</w:t>
            </w:r>
          </w:p>
        </w:tc>
        <w:tc>
          <w:tcPr>
            <w:tcW w:w="1021" w:type="pct"/>
            <w:vAlign w:val="center"/>
          </w:tcPr>
          <w:p w14:paraId="1153100A">
            <w:pPr>
              <w:pStyle w:val="12"/>
              <w:jc w:val="center"/>
            </w:pPr>
            <w:r>
              <w:rPr>
                <w:rFonts w:hint="eastAsia"/>
              </w:rPr>
              <w:t>广东南雄</w:t>
            </w:r>
          </w:p>
        </w:tc>
        <w:tc>
          <w:tcPr>
            <w:tcW w:w="1021" w:type="pct"/>
            <w:vAlign w:val="center"/>
          </w:tcPr>
          <w:p w14:paraId="428CC22F">
            <w:pPr>
              <w:pStyle w:val="12"/>
              <w:jc w:val="center"/>
            </w:pPr>
            <w:r>
              <w:rPr>
                <w:rFonts w:hint="eastAsia"/>
              </w:rPr>
              <w:t>常委</w:t>
            </w:r>
          </w:p>
        </w:tc>
        <w:tc>
          <w:tcPr>
            <w:tcW w:w="1937" w:type="pct"/>
            <w:vAlign w:val="center"/>
          </w:tcPr>
          <w:p w14:paraId="234C6FA8">
            <w:pPr>
              <w:pStyle w:val="12"/>
              <w:jc w:val="left"/>
            </w:pPr>
            <w:r>
              <w:rPr>
                <w:rFonts w:hint="eastAsia"/>
              </w:rPr>
              <w:t>1996年8月至1998年3月</w:t>
            </w:r>
          </w:p>
        </w:tc>
      </w:tr>
      <w:tr w14:paraId="0B1D7E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35C633EE">
            <w:pPr>
              <w:pStyle w:val="12"/>
              <w:jc w:val="center"/>
            </w:pPr>
            <w:r>
              <w:rPr>
                <w:rFonts w:hint="eastAsia"/>
              </w:rPr>
              <w:t>陈逢英（女）</w:t>
            </w:r>
          </w:p>
        </w:tc>
        <w:tc>
          <w:tcPr>
            <w:tcW w:w="1021" w:type="pct"/>
            <w:vAlign w:val="center"/>
          </w:tcPr>
          <w:p w14:paraId="27F28D31">
            <w:pPr>
              <w:pStyle w:val="12"/>
              <w:jc w:val="center"/>
            </w:pPr>
            <w:r>
              <w:rPr>
                <w:rFonts w:hint="eastAsia"/>
              </w:rPr>
              <w:t>广东南雄</w:t>
            </w:r>
          </w:p>
        </w:tc>
        <w:tc>
          <w:tcPr>
            <w:tcW w:w="1021" w:type="pct"/>
            <w:vAlign w:val="center"/>
          </w:tcPr>
          <w:p w14:paraId="1DCACE82">
            <w:pPr>
              <w:pStyle w:val="12"/>
              <w:jc w:val="center"/>
            </w:pPr>
            <w:r>
              <w:rPr>
                <w:rFonts w:hint="eastAsia"/>
              </w:rPr>
              <w:t>常委</w:t>
            </w:r>
          </w:p>
        </w:tc>
        <w:tc>
          <w:tcPr>
            <w:tcW w:w="1937" w:type="pct"/>
            <w:vAlign w:val="center"/>
          </w:tcPr>
          <w:p w14:paraId="462E1D11">
            <w:pPr>
              <w:pStyle w:val="12"/>
              <w:jc w:val="left"/>
            </w:pPr>
            <w:r>
              <w:rPr>
                <w:rFonts w:hint="eastAsia"/>
              </w:rPr>
              <w:t>1996年8月至1998年3月</w:t>
            </w:r>
          </w:p>
        </w:tc>
      </w:tr>
      <w:tr w14:paraId="50BD09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463A65B7">
            <w:pPr>
              <w:pStyle w:val="12"/>
              <w:jc w:val="center"/>
            </w:pPr>
            <w:r>
              <w:rPr>
                <w:rFonts w:hint="eastAsia"/>
              </w:rPr>
              <w:t>丘隆基</w:t>
            </w:r>
          </w:p>
        </w:tc>
        <w:tc>
          <w:tcPr>
            <w:tcW w:w="1021" w:type="pct"/>
            <w:vAlign w:val="center"/>
          </w:tcPr>
          <w:p w14:paraId="387891A7">
            <w:pPr>
              <w:pStyle w:val="12"/>
              <w:jc w:val="center"/>
            </w:pPr>
            <w:r>
              <w:rPr>
                <w:rFonts w:hint="eastAsia"/>
              </w:rPr>
              <w:t>广东南雄</w:t>
            </w:r>
          </w:p>
        </w:tc>
        <w:tc>
          <w:tcPr>
            <w:tcW w:w="1021" w:type="pct"/>
            <w:vAlign w:val="center"/>
          </w:tcPr>
          <w:p w14:paraId="78C13EC4">
            <w:pPr>
              <w:pStyle w:val="12"/>
              <w:jc w:val="center"/>
            </w:pPr>
            <w:r>
              <w:rPr>
                <w:rFonts w:hint="eastAsia"/>
              </w:rPr>
              <w:t>常委</w:t>
            </w:r>
          </w:p>
        </w:tc>
        <w:tc>
          <w:tcPr>
            <w:tcW w:w="1937" w:type="pct"/>
            <w:vAlign w:val="center"/>
          </w:tcPr>
          <w:p w14:paraId="5D2179C8">
            <w:pPr>
              <w:pStyle w:val="12"/>
              <w:jc w:val="left"/>
            </w:pPr>
            <w:r>
              <w:rPr>
                <w:rFonts w:hint="eastAsia"/>
              </w:rPr>
              <w:t>1996年8月至2001年9月</w:t>
            </w:r>
          </w:p>
        </w:tc>
      </w:tr>
      <w:tr w14:paraId="7ABD89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409A226B">
            <w:pPr>
              <w:pStyle w:val="12"/>
              <w:jc w:val="center"/>
            </w:pPr>
            <w:r>
              <w:rPr>
                <w:rFonts w:hint="eastAsia"/>
              </w:rPr>
              <w:t>谭章明</w:t>
            </w:r>
          </w:p>
        </w:tc>
        <w:tc>
          <w:tcPr>
            <w:tcW w:w="1021" w:type="pct"/>
            <w:vAlign w:val="center"/>
          </w:tcPr>
          <w:p w14:paraId="15BE40BB">
            <w:pPr>
              <w:pStyle w:val="12"/>
              <w:jc w:val="center"/>
            </w:pPr>
            <w:r>
              <w:rPr>
                <w:rFonts w:hint="eastAsia"/>
              </w:rPr>
              <w:t>广东南雄</w:t>
            </w:r>
          </w:p>
        </w:tc>
        <w:tc>
          <w:tcPr>
            <w:tcW w:w="1021" w:type="pct"/>
            <w:vAlign w:val="center"/>
          </w:tcPr>
          <w:p w14:paraId="139F8AA0">
            <w:pPr>
              <w:pStyle w:val="12"/>
              <w:jc w:val="center"/>
            </w:pPr>
            <w:r>
              <w:rPr>
                <w:rFonts w:hint="eastAsia"/>
              </w:rPr>
              <w:t>常委</w:t>
            </w:r>
          </w:p>
        </w:tc>
        <w:tc>
          <w:tcPr>
            <w:tcW w:w="1937" w:type="pct"/>
            <w:vAlign w:val="center"/>
          </w:tcPr>
          <w:p w14:paraId="23D7ABAF">
            <w:pPr>
              <w:pStyle w:val="12"/>
              <w:jc w:val="left"/>
            </w:pPr>
            <w:r>
              <w:rPr>
                <w:rFonts w:hint="eastAsia"/>
              </w:rPr>
              <w:t>1996年8月至1997年12月</w:t>
            </w:r>
          </w:p>
        </w:tc>
      </w:tr>
      <w:tr w14:paraId="10379A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34CDF5A4">
            <w:pPr>
              <w:pStyle w:val="12"/>
              <w:jc w:val="center"/>
            </w:pPr>
            <w:r>
              <w:rPr>
                <w:rFonts w:hint="eastAsia"/>
              </w:rPr>
              <w:t>沈明祥</w:t>
            </w:r>
          </w:p>
        </w:tc>
        <w:tc>
          <w:tcPr>
            <w:tcW w:w="1021" w:type="pct"/>
            <w:vAlign w:val="center"/>
          </w:tcPr>
          <w:p w14:paraId="10752295">
            <w:pPr>
              <w:pStyle w:val="12"/>
              <w:jc w:val="center"/>
            </w:pPr>
            <w:r>
              <w:rPr>
                <w:rFonts w:hint="eastAsia"/>
              </w:rPr>
              <w:t>广东南雄</w:t>
            </w:r>
          </w:p>
        </w:tc>
        <w:tc>
          <w:tcPr>
            <w:tcW w:w="1021" w:type="pct"/>
            <w:vAlign w:val="center"/>
          </w:tcPr>
          <w:p w14:paraId="0DFD0712">
            <w:pPr>
              <w:pStyle w:val="12"/>
              <w:jc w:val="center"/>
            </w:pPr>
            <w:r>
              <w:rPr>
                <w:rFonts w:hint="eastAsia"/>
              </w:rPr>
              <w:t>常委</w:t>
            </w:r>
          </w:p>
        </w:tc>
        <w:tc>
          <w:tcPr>
            <w:tcW w:w="1937" w:type="pct"/>
            <w:vAlign w:val="center"/>
          </w:tcPr>
          <w:p w14:paraId="0E450DC2">
            <w:pPr>
              <w:pStyle w:val="12"/>
              <w:jc w:val="left"/>
            </w:pPr>
            <w:r>
              <w:rPr>
                <w:rFonts w:hint="eastAsia"/>
              </w:rPr>
              <w:t>1998年3月至2003年1月</w:t>
            </w:r>
          </w:p>
        </w:tc>
      </w:tr>
      <w:tr w14:paraId="748EE8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23C65555">
            <w:pPr>
              <w:pStyle w:val="12"/>
              <w:jc w:val="center"/>
            </w:pPr>
            <w:r>
              <w:rPr>
                <w:rFonts w:hint="eastAsia"/>
              </w:rPr>
              <w:t>罗展雄</w:t>
            </w:r>
          </w:p>
        </w:tc>
        <w:tc>
          <w:tcPr>
            <w:tcW w:w="1021" w:type="pct"/>
            <w:vAlign w:val="center"/>
          </w:tcPr>
          <w:p w14:paraId="5F0A896E">
            <w:pPr>
              <w:pStyle w:val="12"/>
              <w:jc w:val="center"/>
            </w:pPr>
            <w:r>
              <w:rPr>
                <w:rFonts w:hint="eastAsia"/>
              </w:rPr>
              <w:t>广东兴宁</w:t>
            </w:r>
          </w:p>
        </w:tc>
        <w:tc>
          <w:tcPr>
            <w:tcW w:w="1021" w:type="pct"/>
            <w:vAlign w:val="center"/>
          </w:tcPr>
          <w:p w14:paraId="5EB8FE04">
            <w:pPr>
              <w:pStyle w:val="12"/>
              <w:jc w:val="center"/>
            </w:pPr>
            <w:r>
              <w:rPr>
                <w:rFonts w:hint="eastAsia"/>
              </w:rPr>
              <w:t>常委</w:t>
            </w:r>
          </w:p>
        </w:tc>
        <w:tc>
          <w:tcPr>
            <w:tcW w:w="1937" w:type="pct"/>
            <w:vAlign w:val="center"/>
          </w:tcPr>
          <w:p w14:paraId="43BBA725">
            <w:pPr>
              <w:pStyle w:val="12"/>
              <w:jc w:val="left"/>
            </w:pPr>
            <w:r>
              <w:rPr>
                <w:rFonts w:hint="eastAsia"/>
              </w:rPr>
              <w:t>1996年8月至2003年2月</w:t>
            </w:r>
          </w:p>
        </w:tc>
      </w:tr>
      <w:tr w14:paraId="1CE58E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4F1678E9">
            <w:pPr>
              <w:pStyle w:val="12"/>
              <w:jc w:val="center"/>
            </w:pPr>
            <w:r>
              <w:rPr>
                <w:rFonts w:hint="eastAsia"/>
              </w:rPr>
              <w:t>张  平</w:t>
            </w:r>
          </w:p>
        </w:tc>
        <w:tc>
          <w:tcPr>
            <w:tcW w:w="1021" w:type="pct"/>
            <w:vAlign w:val="center"/>
          </w:tcPr>
          <w:p w14:paraId="7C65D6EF">
            <w:pPr>
              <w:pStyle w:val="12"/>
              <w:jc w:val="center"/>
            </w:pPr>
            <w:r>
              <w:rPr>
                <w:rFonts w:hint="eastAsia"/>
              </w:rPr>
              <w:t>广东南雄</w:t>
            </w:r>
          </w:p>
        </w:tc>
        <w:tc>
          <w:tcPr>
            <w:tcW w:w="1021" w:type="pct"/>
            <w:vAlign w:val="center"/>
          </w:tcPr>
          <w:p w14:paraId="5D08668A">
            <w:pPr>
              <w:pStyle w:val="12"/>
              <w:jc w:val="center"/>
            </w:pPr>
            <w:r>
              <w:rPr>
                <w:rFonts w:hint="eastAsia"/>
              </w:rPr>
              <w:t>常委</w:t>
            </w:r>
          </w:p>
        </w:tc>
        <w:tc>
          <w:tcPr>
            <w:tcW w:w="1937" w:type="pct"/>
            <w:vAlign w:val="center"/>
          </w:tcPr>
          <w:p w14:paraId="333BE88F">
            <w:pPr>
              <w:pStyle w:val="12"/>
              <w:jc w:val="left"/>
            </w:pPr>
            <w:r>
              <w:rPr>
                <w:rFonts w:hint="eastAsia"/>
              </w:rPr>
              <w:t>1998年1月至1998年12月</w:t>
            </w:r>
          </w:p>
        </w:tc>
      </w:tr>
      <w:tr w14:paraId="672E2A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748830E4">
            <w:pPr>
              <w:pStyle w:val="12"/>
              <w:jc w:val="center"/>
            </w:pPr>
            <w:r>
              <w:rPr>
                <w:rFonts w:hint="eastAsia"/>
              </w:rPr>
              <w:t>肖星庆</w:t>
            </w:r>
          </w:p>
        </w:tc>
        <w:tc>
          <w:tcPr>
            <w:tcW w:w="1021" w:type="pct"/>
            <w:vAlign w:val="center"/>
          </w:tcPr>
          <w:p w14:paraId="4027E417">
            <w:pPr>
              <w:pStyle w:val="12"/>
              <w:jc w:val="center"/>
            </w:pPr>
            <w:r>
              <w:rPr>
                <w:rFonts w:hint="eastAsia"/>
              </w:rPr>
              <w:t>广东南雄</w:t>
            </w:r>
          </w:p>
        </w:tc>
        <w:tc>
          <w:tcPr>
            <w:tcW w:w="1021" w:type="pct"/>
            <w:vAlign w:val="center"/>
          </w:tcPr>
          <w:p w14:paraId="630C1257">
            <w:pPr>
              <w:pStyle w:val="12"/>
              <w:jc w:val="center"/>
            </w:pPr>
            <w:r>
              <w:rPr>
                <w:rFonts w:hint="eastAsia"/>
              </w:rPr>
              <w:t>常委</w:t>
            </w:r>
          </w:p>
        </w:tc>
        <w:tc>
          <w:tcPr>
            <w:tcW w:w="1937" w:type="pct"/>
            <w:vAlign w:val="center"/>
          </w:tcPr>
          <w:p w14:paraId="294101E9">
            <w:pPr>
              <w:pStyle w:val="12"/>
              <w:jc w:val="left"/>
            </w:pPr>
            <w:r>
              <w:rPr>
                <w:rFonts w:hint="eastAsia"/>
              </w:rPr>
              <w:t>1996年8月至1998年3月</w:t>
            </w:r>
          </w:p>
        </w:tc>
      </w:tr>
      <w:tr w14:paraId="10D567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5B5832FD">
            <w:pPr>
              <w:pStyle w:val="12"/>
              <w:jc w:val="center"/>
            </w:pPr>
            <w:r>
              <w:rPr>
                <w:rFonts w:hint="eastAsia"/>
              </w:rPr>
              <w:t>曾昭佑</w:t>
            </w:r>
          </w:p>
        </w:tc>
        <w:tc>
          <w:tcPr>
            <w:tcW w:w="1021" w:type="pct"/>
            <w:vAlign w:val="center"/>
          </w:tcPr>
          <w:p w14:paraId="7E865F3C">
            <w:pPr>
              <w:pStyle w:val="12"/>
              <w:jc w:val="center"/>
            </w:pPr>
            <w:r>
              <w:rPr>
                <w:rFonts w:hint="eastAsia"/>
              </w:rPr>
              <w:t>广东南雄</w:t>
            </w:r>
          </w:p>
        </w:tc>
        <w:tc>
          <w:tcPr>
            <w:tcW w:w="1021" w:type="pct"/>
            <w:vAlign w:val="center"/>
          </w:tcPr>
          <w:p w14:paraId="485D6E4B">
            <w:pPr>
              <w:pStyle w:val="12"/>
              <w:jc w:val="center"/>
            </w:pPr>
            <w:r>
              <w:rPr>
                <w:rFonts w:hint="eastAsia"/>
              </w:rPr>
              <w:t>常委</w:t>
            </w:r>
          </w:p>
        </w:tc>
        <w:tc>
          <w:tcPr>
            <w:tcW w:w="1937" w:type="pct"/>
            <w:vAlign w:val="center"/>
          </w:tcPr>
          <w:p w14:paraId="5B4D112E">
            <w:pPr>
              <w:pStyle w:val="12"/>
              <w:jc w:val="left"/>
            </w:pPr>
            <w:r>
              <w:rPr>
                <w:rFonts w:hint="eastAsia"/>
              </w:rPr>
              <w:t>1996年8月至2003年2月</w:t>
            </w:r>
          </w:p>
        </w:tc>
      </w:tr>
      <w:tr w14:paraId="350221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710F66C8">
            <w:pPr>
              <w:pStyle w:val="12"/>
              <w:jc w:val="center"/>
            </w:pPr>
            <w:r>
              <w:rPr>
                <w:rFonts w:hint="eastAsia"/>
              </w:rPr>
              <w:t>马水源</w:t>
            </w:r>
          </w:p>
        </w:tc>
        <w:tc>
          <w:tcPr>
            <w:tcW w:w="1021" w:type="pct"/>
            <w:vAlign w:val="center"/>
          </w:tcPr>
          <w:p w14:paraId="71930A74">
            <w:pPr>
              <w:pStyle w:val="12"/>
              <w:jc w:val="center"/>
            </w:pPr>
            <w:r>
              <w:rPr>
                <w:rFonts w:hint="eastAsia"/>
              </w:rPr>
              <w:t>广东南雄</w:t>
            </w:r>
          </w:p>
        </w:tc>
        <w:tc>
          <w:tcPr>
            <w:tcW w:w="1021" w:type="pct"/>
            <w:vAlign w:val="center"/>
          </w:tcPr>
          <w:p w14:paraId="0FF875EA">
            <w:pPr>
              <w:pStyle w:val="12"/>
              <w:jc w:val="center"/>
            </w:pPr>
            <w:r>
              <w:rPr>
                <w:rFonts w:hint="eastAsia"/>
              </w:rPr>
              <w:t>常委</w:t>
            </w:r>
          </w:p>
        </w:tc>
        <w:tc>
          <w:tcPr>
            <w:tcW w:w="1937" w:type="pct"/>
            <w:vAlign w:val="center"/>
          </w:tcPr>
          <w:p w14:paraId="0B7C0E10">
            <w:pPr>
              <w:pStyle w:val="12"/>
              <w:jc w:val="left"/>
            </w:pPr>
            <w:r>
              <w:rPr>
                <w:rFonts w:hint="eastAsia"/>
              </w:rPr>
              <w:t>1996年8月至1997年12月</w:t>
            </w:r>
          </w:p>
        </w:tc>
      </w:tr>
      <w:tr w14:paraId="6AEC51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31E87672">
            <w:pPr>
              <w:pStyle w:val="12"/>
              <w:jc w:val="center"/>
            </w:pPr>
            <w:r>
              <w:rPr>
                <w:rFonts w:hint="eastAsia"/>
              </w:rPr>
              <w:t>张寿生</w:t>
            </w:r>
          </w:p>
        </w:tc>
        <w:tc>
          <w:tcPr>
            <w:tcW w:w="1021" w:type="pct"/>
            <w:vAlign w:val="center"/>
          </w:tcPr>
          <w:p w14:paraId="389B398D">
            <w:pPr>
              <w:pStyle w:val="12"/>
              <w:jc w:val="center"/>
            </w:pPr>
            <w:r>
              <w:rPr>
                <w:rFonts w:hint="eastAsia"/>
              </w:rPr>
              <w:t>广东惠州</w:t>
            </w:r>
          </w:p>
        </w:tc>
        <w:tc>
          <w:tcPr>
            <w:tcW w:w="1021" w:type="pct"/>
            <w:vAlign w:val="center"/>
          </w:tcPr>
          <w:p w14:paraId="5ACDA2D8">
            <w:pPr>
              <w:pStyle w:val="12"/>
              <w:jc w:val="center"/>
            </w:pPr>
            <w:r>
              <w:rPr>
                <w:rFonts w:hint="eastAsia"/>
              </w:rPr>
              <w:t>常委</w:t>
            </w:r>
          </w:p>
        </w:tc>
        <w:tc>
          <w:tcPr>
            <w:tcW w:w="1937" w:type="pct"/>
            <w:vAlign w:val="center"/>
          </w:tcPr>
          <w:p w14:paraId="4897EF70">
            <w:pPr>
              <w:pStyle w:val="12"/>
              <w:jc w:val="left"/>
            </w:pPr>
            <w:r>
              <w:rPr>
                <w:rFonts w:hint="eastAsia"/>
              </w:rPr>
              <w:t>1996年5月至1997年11月</w:t>
            </w:r>
          </w:p>
        </w:tc>
      </w:tr>
      <w:tr w14:paraId="120597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244F4D44">
            <w:pPr>
              <w:pStyle w:val="12"/>
              <w:jc w:val="center"/>
            </w:pPr>
            <w:r>
              <w:rPr>
                <w:rFonts w:hint="eastAsia"/>
              </w:rPr>
              <w:t>刘发群</w:t>
            </w:r>
          </w:p>
        </w:tc>
        <w:tc>
          <w:tcPr>
            <w:tcW w:w="1021" w:type="pct"/>
            <w:vAlign w:val="center"/>
          </w:tcPr>
          <w:p w14:paraId="77898B8D">
            <w:pPr>
              <w:pStyle w:val="12"/>
              <w:jc w:val="center"/>
            </w:pPr>
            <w:r>
              <w:rPr>
                <w:rFonts w:hint="eastAsia"/>
              </w:rPr>
              <w:t>广东南雄</w:t>
            </w:r>
          </w:p>
        </w:tc>
        <w:tc>
          <w:tcPr>
            <w:tcW w:w="1021" w:type="pct"/>
            <w:vAlign w:val="center"/>
          </w:tcPr>
          <w:p w14:paraId="2D44F5C0">
            <w:pPr>
              <w:pStyle w:val="12"/>
              <w:jc w:val="center"/>
            </w:pPr>
            <w:r>
              <w:rPr>
                <w:rFonts w:hint="eastAsia"/>
              </w:rPr>
              <w:t>常委</w:t>
            </w:r>
          </w:p>
        </w:tc>
        <w:tc>
          <w:tcPr>
            <w:tcW w:w="1937" w:type="pct"/>
            <w:vAlign w:val="center"/>
          </w:tcPr>
          <w:p w14:paraId="06002461">
            <w:pPr>
              <w:pStyle w:val="12"/>
              <w:jc w:val="left"/>
            </w:pPr>
            <w:r>
              <w:rPr>
                <w:rFonts w:hint="eastAsia"/>
              </w:rPr>
              <w:t>1996年8月至1998年3月</w:t>
            </w:r>
          </w:p>
        </w:tc>
      </w:tr>
      <w:tr w14:paraId="27F31E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06F9BFE7">
            <w:pPr>
              <w:pStyle w:val="12"/>
              <w:jc w:val="center"/>
            </w:pPr>
            <w:r>
              <w:rPr>
                <w:rFonts w:hint="eastAsia"/>
              </w:rPr>
              <w:t>黄社珍</w:t>
            </w:r>
          </w:p>
        </w:tc>
        <w:tc>
          <w:tcPr>
            <w:tcW w:w="1021" w:type="pct"/>
            <w:vAlign w:val="center"/>
          </w:tcPr>
          <w:p w14:paraId="7033897C">
            <w:pPr>
              <w:pStyle w:val="12"/>
              <w:jc w:val="center"/>
            </w:pPr>
            <w:r>
              <w:rPr>
                <w:rFonts w:hint="eastAsia"/>
              </w:rPr>
              <w:t>广东翁源</w:t>
            </w:r>
          </w:p>
        </w:tc>
        <w:tc>
          <w:tcPr>
            <w:tcW w:w="1021" w:type="pct"/>
            <w:vAlign w:val="center"/>
          </w:tcPr>
          <w:p w14:paraId="58C85903">
            <w:pPr>
              <w:pStyle w:val="12"/>
              <w:jc w:val="center"/>
            </w:pPr>
            <w:r>
              <w:rPr>
                <w:rFonts w:hint="eastAsia"/>
              </w:rPr>
              <w:t>常委</w:t>
            </w:r>
          </w:p>
        </w:tc>
        <w:tc>
          <w:tcPr>
            <w:tcW w:w="1937" w:type="pct"/>
            <w:vAlign w:val="center"/>
          </w:tcPr>
          <w:p w14:paraId="69D7EC38">
            <w:pPr>
              <w:pStyle w:val="12"/>
              <w:jc w:val="left"/>
            </w:pPr>
            <w:r>
              <w:rPr>
                <w:rFonts w:hint="eastAsia"/>
              </w:rPr>
              <w:t>1997年12月至1998年2月</w:t>
            </w:r>
          </w:p>
        </w:tc>
      </w:tr>
      <w:tr w14:paraId="53AEDB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7473C976">
            <w:pPr>
              <w:pStyle w:val="12"/>
              <w:jc w:val="center"/>
            </w:pPr>
            <w:r>
              <w:rPr>
                <w:rFonts w:hint="eastAsia"/>
              </w:rPr>
              <w:t>欧阳效元</w:t>
            </w:r>
          </w:p>
        </w:tc>
        <w:tc>
          <w:tcPr>
            <w:tcW w:w="1021" w:type="pct"/>
            <w:vAlign w:val="center"/>
          </w:tcPr>
          <w:p w14:paraId="6B987FE6">
            <w:pPr>
              <w:pStyle w:val="12"/>
              <w:jc w:val="center"/>
            </w:pPr>
            <w:r>
              <w:rPr>
                <w:rFonts w:hint="eastAsia"/>
              </w:rPr>
              <w:t>广东南雄</w:t>
            </w:r>
          </w:p>
        </w:tc>
        <w:tc>
          <w:tcPr>
            <w:tcW w:w="1021" w:type="pct"/>
            <w:vAlign w:val="center"/>
          </w:tcPr>
          <w:p w14:paraId="62C6C328">
            <w:pPr>
              <w:pStyle w:val="12"/>
              <w:jc w:val="center"/>
            </w:pPr>
            <w:r>
              <w:rPr>
                <w:rFonts w:hint="eastAsia"/>
              </w:rPr>
              <w:t>常委</w:t>
            </w:r>
          </w:p>
        </w:tc>
        <w:tc>
          <w:tcPr>
            <w:tcW w:w="1937" w:type="pct"/>
            <w:vAlign w:val="center"/>
          </w:tcPr>
          <w:p w14:paraId="40FE99CA">
            <w:pPr>
              <w:pStyle w:val="12"/>
              <w:jc w:val="left"/>
            </w:pPr>
            <w:r>
              <w:rPr>
                <w:rFonts w:hint="eastAsia"/>
              </w:rPr>
              <w:t>1996年7月至2002年3月</w:t>
            </w:r>
          </w:p>
        </w:tc>
      </w:tr>
      <w:tr w14:paraId="0347B8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378C4E20">
            <w:pPr>
              <w:pStyle w:val="12"/>
              <w:jc w:val="center"/>
            </w:pPr>
            <w:r>
              <w:rPr>
                <w:rFonts w:hint="eastAsia"/>
              </w:rPr>
              <w:t>姚远通</w:t>
            </w:r>
          </w:p>
        </w:tc>
        <w:tc>
          <w:tcPr>
            <w:tcW w:w="1021" w:type="pct"/>
            <w:vAlign w:val="center"/>
          </w:tcPr>
          <w:p w14:paraId="147E40AB">
            <w:pPr>
              <w:pStyle w:val="12"/>
              <w:jc w:val="center"/>
            </w:pPr>
            <w:r>
              <w:rPr>
                <w:rFonts w:hint="eastAsia"/>
              </w:rPr>
              <w:t>广东南雄</w:t>
            </w:r>
          </w:p>
        </w:tc>
        <w:tc>
          <w:tcPr>
            <w:tcW w:w="1021" w:type="pct"/>
            <w:vAlign w:val="center"/>
          </w:tcPr>
          <w:p w14:paraId="46DFAB44">
            <w:pPr>
              <w:pStyle w:val="12"/>
              <w:jc w:val="center"/>
            </w:pPr>
            <w:r>
              <w:rPr>
                <w:rFonts w:hint="eastAsia"/>
              </w:rPr>
              <w:t>常委</w:t>
            </w:r>
          </w:p>
        </w:tc>
        <w:tc>
          <w:tcPr>
            <w:tcW w:w="1937" w:type="pct"/>
            <w:vAlign w:val="center"/>
          </w:tcPr>
          <w:p w14:paraId="6C3D0A34">
            <w:pPr>
              <w:pStyle w:val="12"/>
              <w:jc w:val="left"/>
            </w:pPr>
            <w:r>
              <w:rPr>
                <w:rFonts w:hint="eastAsia"/>
              </w:rPr>
              <w:t>1998年3月至1999年11月</w:t>
            </w:r>
          </w:p>
        </w:tc>
      </w:tr>
      <w:tr w14:paraId="5D4818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6178F064">
            <w:pPr>
              <w:pStyle w:val="12"/>
              <w:jc w:val="center"/>
            </w:pPr>
            <w:r>
              <w:rPr>
                <w:rFonts w:hint="eastAsia"/>
              </w:rPr>
              <w:t>林岚（女）</w:t>
            </w:r>
          </w:p>
        </w:tc>
        <w:tc>
          <w:tcPr>
            <w:tcW w:w="1021" w:type="pct"/>
            <w:vAlign w:val="center"/>
          </w:tcPr>
          <w:p w14:paraId="7A91F132">
            <w:pPr>
              <w:pStyle w:val="12"/>
              <w:jc w:val="center"/>
            </w:pPr>
            <w:r>
              <w:rPr>
                <w:rFonts w:hint="eastAsia"/>
              </w:rPr>
              <w:t>广东南雄</w:t>
            </w:r>
          </w:p>
        </w:tc>
        <w:tc>
          <w:tcPr>
            <w:tcW w:w="1021" w:type="pct"/>
            <w:vAlign w:val="center"/>
          </w:tcPr>
          <w:p w14:paraId="1A3D715D">
            <w:pPr>
              <w:pStyle w:val="12"/>
              <w:jc w:val="center"/>
            </w:pPr>
            <w:r>
              <w:rPr>
                <w:rFonts w:hint="eastAsia"/>
              </w:rPr>
              <w:t>常委</w:t>
            </w:r>
          </w:p>
        </w:tc>
        <w:tc>
          <w:tcPr>
            <w:tcW w:w="1937" w:type="pct"/>
            <w:vAlign w:val="center"/>
          </w:tcPr>
          <w:p w14:paraId="7761D540">
            <w:pPr>
              <w:pStyle w:val="12"/>
              <w:jc w:val="left"/>
            </w:pPr>
            <w:r>
              <w:rPr>
                <w:rFonts w:hint="eastAsia"/>
              </w:rPr>
              <w:t>1998年3月至2000年2月</w:t>
            </w:r>
          </w:p>
        </w:tc>
      </w:tr>
      <w:tr w14:paraId="076A3E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65EF68C4">
            <w:pPr>
              <w:pStyle w:val="12"/>
              <w:jc w:val="center"/>
            </w:pPr>
            <w:r>
              <w:rPr>
                <w:rFonts w:hint="eastAsia"/>
              </w:rPr>
              <w:t>何万飞</w:t>
            </w:r>
          </w:p>
        </w:tc>
        <w:tc>
          <w:tcPr>
            <w:tcW w:w="1021" w:type="pct"/>
            <w:vAlign w:val="center"/>
          </w:tcPr>
          <w:p w14:paraId="2BEBB74A">
            <w:pPr>
              <w:pStyle w:val="12"/>
              <w:jc w:val="center"/>
            </w:pPr>
            <w:r>
              <w:rPr>
                <w:rFonts w:hint="eastAsia"/>
              </w:rPr>
              <w:t>广东南雄</w:t>
            </w:r>
          </w:p>
        </w:tc>
        <w:tc>
          <w:tcPr>
            <w:tcW w:w="1021" w:type="pct"/>
            <w:vAlign w:val="center"/>
          </w:tcPr>
          <w:p w14:paraId="195F9DC7">
            <w:pPr>
              <w:pStyle w:val="12"/>
              <w:jc w:val="center"/>
            </w:pPr>
            <w:r>
              <w:rPr>
                <w:rFonts w:hint="eastAsia"/>
              </w:rPr>
              <w:t>常委</w:t>
            </w:r>
          </w:p>
        </w:tc>
        <w:tc>
          <w:tcPr>
            <w:tcW w:w="1937" w:type="pct"/>
            <w:vAlign w:val="center"/>
          </w:tcPr>
          <w:p w14:paraId="3AE2D38F">
            <w:pPr>
              <w:pStyle w:val="12"/>
              <w:jc w:val="left"/>
            </w:pPr>
            <w:r>
              <w:rPr>
                <w:rFonts w:hint="eastAsia"/>
              </w:rPr>
              <w:t>1998年3月至1999年11月</w:t>
            </w:r>
          </w:p>
          <w:p w14:paraId="48C211A7">
            <w:pPr>
              <w:pStyle w:val="12"/>
              <w:jc w:val="left"/>
            </w:pPr>
            <w:r>
              <w:rPr>
                <w:rFonts w:hint="eastAsia"/>
              </w:rPr>
              <w:t>2002年12月复任</w:t>
            </w:r>
          </w:p>
        </w:tc>
      </w:tr>
      <w:tr w14:paraId="697545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40DF3674">
            <w:pPr>
              <w:pStyle w:val="12"/>
              <w:jc w:val="center"/>
            </w:pPr>
            <w:r>
              <w:rPr>
                <w:rFonts w:hint="eastAsia"/>
              </w:rPr>
              <w:t>肖芬先</w:t>
            </w:r>
          </w:p>
        </w:tc>
        <w:tc>
          <w:tcPr>
            <w:tcW w:w="1021" w:type="pct"/>
            <w:vAlign w:val="center"/>
          </w:tcPr>
          <w:p w14:paraId="152B60B4">
            <w:pPr>
              <w:pStyle w:val="12"/>
              <w:jc w:val="center"/>
            </w:pPr>
            <w:r>
              <w:rPr>
                <w:rFonts w:hint="eastAsia"/>
              </w:rPr>
              <w:t>广东南雄</w:t>
            </w:r>
          </w:p>
        </w:tc>
        <w:tc>
          <w:tcPr>
            <w:tcW w:w="1021" w:type="pct"/>
            <w:vAlign w:val="center"/>
          </w:tcPr>
          <w:p w14:paraId="18807FDC">
            <w:pPr>
              <w:pStyle w:val="12"/>
              <w:jc w:val="center"/>
            </w:pPr>
            <w:r>
              <w:rPr>
                <w:rFonts w:hint="eastAsia"/>
              </w:rPr>
              <w:t>常委</w:t>
            </w:r>
          </w:p>
        </w:tc>
        <w:tc>
          <w:tcPr>
            <w:tcW w:w="1937" w:type="pct"/>
            <w:vAlign w:val="center"/>
          </w:tcPr>
          <w:p w14:paraId="366B5A87">
            <w:pPr>
              <w:pStyle w:val="12"/>
              <w:jc w:val="left"/>
            </w:pPr>
            <w:r>
              <w:rPr>
                <w:rFonts w:hint="eastAsia"/>
              </w:rPr>
              <w:t>1998年3月</w:t>
            </w:r>
          </w:p>
        </w:tc>
      </w:tr>
      <w:tr w14:paraId="40C733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52BBEFFB">
            <w:pPr>
              <w:pStyle w:val="12"/>
              <w:jc w:val="center"/>
            </w:pPr>
            <w:r>
              <w:rPr>
                <w:rFonts w:hint="eastAsia"/>
              </w:rPr>
              <w:t>黄履东</w:t>
            </w:r>
          </w:p>
        </w:tc>
        <w:tc>
          <w:tcPr>
            <w:tcW w:w="1021" w:type="pct"/>
            <w:vAlign w:val="center"/>
          </w:tcPr>
          <w:p w14:paraId="6D119109">
            <w:pPr>
              <w:pStyle w:val="12"/>
              <w:jc w:val="center"/>
            </w:pPr>
            <w:r>
              <w:rPr>
                <w:rFonts w:hint="eastAsia"/>
              </w:rPr>
              <w:t>广东南雄</w:t>
            </w:r>
          </w:p>
        </w:tc>
        <w:tc>
          <w:tcPr>
            <w:tcW w:w="1021" w:type="pct"/>
            <w:vAlign w:val="center"/>
          </w:tcPr>
          <w:p w14:paraId="767444E5">
            <w:pPr>
              <w:pStyle w:val="12"/>
              <w:jc w:val="center"/>
            </w:pPr>
            <w:r>
              <w:rPr>
                <w:rFonts w:hint="eastAsia"/>
              </w:rPr>
              <w:t>常委</w:t>
            </w:r>
          </w:p>
        </w:tc>
        <w:tc>
          <w:tcPr>
            <w:tcW w:w="1937" w:type="pct"/>
            <w:vAlign w:val="center"/>
          </w:tcPr>
          <w:p w14:paraId="5A43FBB0">
            <w:pPr>
              <w:pStyle w:val="12"/>
              <w:jc w:val="left"/>
            </w:pPr>
            <w:r>
              <w:rPr>
                <w:rFonts w:hint="eastAsia"/>
              </w:rPr>
              <w:t>1996年9月至1998年11月</w:t>
            </w:r>
          </w:p>
        </w:tc>
      </w:tr>
      <w:tr w14:paraId="0F180D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36AC05A4">
            <w:pPr>
              <w:pStyle w:val="12"/>
              <w:jc w:val="center"/>
            </w:pPr>
            <w:r>
              <w:rPr>
                <w:rFonts w:hint="eastAsia"/>
              </w:rPr>
              <w:t>许志新</w:t>
            </w:r>
          </w:p>
        </w:tc>
        <w:tc>
          <w:tcPr>
            <w:tcW w:w="1021" w:type="pct"/>
            <w:vAlign w:val="center"/>
          </w:tcPr>
          <w:p w14:paraId="6A07B6E6">
            <w:pPr>
              <w:pStyle w:val="12"/>
              <w:jc w:val="center"/>
            </w:pPr>
            <w:r>
              <w:rPr>
                <w:rFonts w:hint="eastAsia"/>
              </w:rPr>
              <w:t>广东翁源</w:t>
            </w:r>
          </w:p>
        </w:tc>
        <w:tc>
          <w:tcPr>
            <w:tcW w:w="1021" w:type="pct"/>
            <w:vAlign w:val="center"/>
          </w:tcPr>
          <w:p w14:paraId="1134F8F0">
            <w:pPr>
              <w:pStyle w:val="12"/>
              <w:jc w:val="center"/>
            </w:pPr>
            <w:r>
              <w:rPr>
                <w:rFonts w:hint="eastAsia"/>
              </w:rPr>
              <w:t>常委</w:t>
            </w:r>
          </w:p>
        </w:tc>
        <w:tc>
          <w:tcPr>
            <w:tcW w:w="1937" w:type="pct"/>
            <w:vAlign w:val="center"/>
          </w:tcPr>
          <w:p w14:paraId="3F76CBB2">
            <w:pPr>
              <w:pStyle w:val="12"/>
              <w:jc w:val="left"/>
            </w:pPr>
            <w:r>
              <w:rPr>
                <w:rFonts w:hint="eastAsia"/>
              </w:rPr>
              <w:t>1998年12月</w:t>
            </w:r>
          </w:p>
        </w:tc>
      </w:tr>
      <w:tr w14:paraId="7E11CB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02526DD3">
            <w:pPr>
              <w:pStyle w:val="12"/>
              <w:jc w:val="center"/>
            </w:pPr>
            <w:r>
              <w:rPr>
                <w:rFonts w:hint="eastAsia"/>
              </w:rPr>
              <w:t>许建设</w:t>
            </w:r>
          </w:p>
        </w:tc>
        <w:tc>
          <w:tcPr>
            <w:tcW w:w="1021" w:type="pct"/>
            <w:vAlign w:val="center"/>
          </w:tcPr>
          <w:p w14:paraId="2A5D6650">
            <w:pPr>
              <w:pStyle w:val="12"/>
              <w:jc w:val="center"/>
            </w:pPr>
            <w:r>
              <w:rPr>
                <w:rFonts w:hint="eastAsia"/>
              </w:rPr>
              <w:t>广东翁源</w:t>
            </w:r>
          </w:p>
        </w:tc>
        <w:tc>
          <w:tcPr>
            <w:tcW w:w="1021" w:type="pct"/>
            <w:vAlign w:val="center"/>
          </w:tcPr>
          <w:p w14:paraId="1B28985A">
            <w:pPr>
              <w:pStyle w:val="12"/>
              <w:jc w:val="center"/>
            </w:pPr>
            <w:r>
              <w:rPr>
                <w:rFonts w:hint="eastAsia"/>
              </w:rPr>
              <w:t>常委</w:t>
            </w:r>
          </w:p>
        </w:tc>
        <w:tc>
          <w:tcPr>
            <w:tcW w:w="1937" w:type="pct"/>
            <w:vAlign w:val="center"/>
          </w:tcPr>
          <w:p w14:paraId="064A7D31">
            <w:pPr>
              <w:pStyle w:val="12"/>
              <w:jc w:val="left"/>
            </w:pPr>
            <w:r>
              <w:rPr>
                <w:rFonts w:hint="eastAsia"/>
              </w:rPr>
              <w:t>1999年10月</w:t>
            </w:r>
          </w:p>
        </w:tc>
      </w:tr>
      <w:tr w14:paraId="203FFF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7BCAD848">
            <w:pPr>
              <w:pStyle w:val="12"/>
              <w:jc w:val="center"/>
            </w:pPr>
            <w:r>
              <w:rPr>
                <w:rFonts w:hint="eastAsia"/>
              </w:rPr>
              <w:t>李卫忠</w:t>
            </w:r>
          </w:p>
        </w:tc>
        <w:tc>
          <w:tcPr>
            <w:tcW w:w="1021" w:type="pct"/>
            <w:vAlign w:val="center"/>
          </w:tcPr>
          <w:p w14:paraId="04EB015D">
            <w:pPr>
              <w:pStyle w:val="12"/>
              <w:jc w:val="center"/>
            </w:pPr>
            <w:r>
              <w:rPr>
                <w:rFonts w:hint="eastAsia"/>
              </w:rPr>
              <w:t>广东南雄</w:t>
            </w:r>
          </w:p>
        </w:tc>
        <w:tc>
          <w:tcPr>
            <w:tcW w:w="1021" w:type="pct"/>
            <w:vAlign w:val="center"/>
          </w:tcPr>
          <w:p w14:paraId="6FA8D392">
            <w:pPr>
              <w:pStyle w:val="12"/>
              <w:jc w:val="center"/>
            </w:pPr>
            <w:r>
              <w:rPr>
                <w:rFonts w:hint="eastAsia"/>
              </w:rPr>
              <w:t>常委</w:t>
            </w:r>
          </w:p>
        </w:tc>
        <w:tc>
          <w:tcPr>
            <w:tcW w:w="1937" w:type="pct"/>
            <w:vAlign w:val="center"/>
          </w:tcPr>
          <w:p w14:paraId="0A376C53">
            <w:pPr>
              <w:pStyle w:val="12"/>
              <w:jc w:val="left"/>
            </w:pPr>
            <w:r>
              <w:rPr>
                <w:rFonts w:hint="eastAsia"/>
              </w:rPr>
              <w:t>1999年12月至2002年12月</w:t>
            </w:r>
          </w:p>
        </w:tc>
      </w:tr>
      <w:tr w14:paraId="292441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4AE2B4B2">
            <w:pPr>
              <w:pStyle w:val="12"/>
              <w:jc w:val="center"/>
            </w:pPr>
            <w:r>
              <w:rPr>
                <w:rFonts w:hint="eastAsia"/>
              </w:rPr>
              <w:t>罗勇新</w:t>
            </w:r>
          </w:p>
        </w:tc>
        <w:tc>
          <w:tcPr>
            <w:tcW w:w="1021" w:type="pct"/>
            <w:vAlign w:val="center"/>
          </w:tcPr>
          <w:p w14:paraId="5E5FC141">
            <w:pPr>
              <w:pStyle w:val="12"/>
              <w:jc w:val="center"/>
            </w:pPr>
            <w:r>
              <w:rPr>
                <w:rFonts w:hint="eastAsia"/>
              </w:rPr>
              <w:t>广东兴宁</w:t>
            </w:r>
          </w:p>
        </w:tc>
        <w:tc>
          <w:tcPr>
            <w:tcW w:w="1021" w:type="pct"/>
            <w:vAlign w:val="center"/>
          </w:tcPr>
          <w:p w14:paraId="4E936812">
            <w:pPr>
              <w:pStyle w:val="12"/>
              <w:jc w:val="center"/>
            </w:pPr>
            <w:r>
              <w:rPr>
                <w:rFonts w:hint="eastAsia"/>
              </w:rPr>
              <w:t>常委</w:t>
            </w:r>
          </w:p>
        </w:tc>
        <w:tc>
          <w:tcPr>
            <w:tcW w:w="1937" w:type="pct"/>
            <w:vAlign w:val="center"/>
          </w:tcPr>
          <w:p w14:paraId="6E4BDCEC">
            <w:pPr>
              <w:pStyle w:val="12"/>
              <w:jc w:val="left"/>
            </w:pPr>
            <w:r>
              <w:rPr>
                <w:rFonts w:hint="eastAsia"/>
              </w:rPr>
              <w:t>2000年1月</w:t>
            </w:r>
          </w:p>
        </w:tc>
      </w:tr>
      <w:tr w14:paraId="05797A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426BDD2E">
            <w:pPr>
              <w:pStyle w:val="12"/>
              <w:jc w:val="center"/>
            </w:pPr>
            <w:r>
              <w:rPr>
                <w:rFonts w:hint="eastAsia"/>
              </w:rPr>
              <w:t>胡学增</w:t>
            </w:r>
          </w:p>
        </w:tc>
        <w:tc>
          <w:tcPr>
            <w:tcW w:w="1021" w:type="pct"/>
            <w:vAlign w:val="center"/>
          </w:tcPr>
          <w:p w14:paraId="2C1FBB07">
            <w:pPr>
              <w:pStyle w:val="12"/>
              <w:jc w:val="center"/>
            </w:pPr>
            <w:r>
              <w:rPr>
                <w:rFonts w:hint="eastAsia"/>
              </w:rPr>
              <w:t>河北安新</w:t>
            </w:r>
          </w:p>
        </w:tc>
        <w:tc>
          <w:tcPr>
            <w:tcW w:w="1021" w:type="pct"/>
            <w:vAlign w:val="center"/>
          </w:tcPr>
          <w:p w14:paraId="1421901C">
            <w:pPr>
              <w:pStyle w:val="12"/>
              <w:jc w:val="center"/>
            </w:pPr>
            <w:r>
              <w:rPr>
                <w:rFonts w:hint="eastAsia"/>
              </w:rPr>
              <w:t>常委</w:t>
            </w:r>
          </w:p>
        </w:tc>
        <w:tc>
          <w:tcPr>
            <w:tcW w:w="1937" w:type="pct"/>
            <w:vAlign w:val="center"/>
          </w:tcPr>
          <w:p w14:paraId="6AD2685F">
            <w:pPr>
              <w:pStyle w:val="12"/>
              <w:jc w:val="left"/>
            </w:pPr>
            <w:r>
              <w:rPr>
                <w:rFonts w:hint="eastAsia"/>
              </w:rPr>
              <w:t>1998年12月至2000年12月</w:t>
            </w:r>
          </w:p>
        </w:tc>
      </w:tr>
      <w:tr w14:paraId="24C7BB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2FC53384">
            <w:pPr>
              <w:pStyle w:val="12"/>
              <w:jc w:val="center"/>
            </w:pPr>
            <w:r>
              <w:rPr>
                <w:rFonts w:hint="eastAsia"/>
              </w:rPr>
              <w:t>邱成标</w:t>
            </w:r>
          </w:p>
        </w:tc>
        <w:tc>
          <w:tcPr>
            <w:tcW w:w="1021" w:type="pct"/>
            <w:vAlign w:val="center"/>
          </w:tcPr>
          <w:p w14:paraId="1814F2F9">
            <w:pPr>
              <w:pStyle w:val="12"/>
              <w:jc w:val="center"/>
            </w:pPr>
            <w:r>
              <w:rPr>
                <w:rFonts w:hint="eastAsia"/>
              </w:rPr>
              <w:t>广东阳山</w:t>
            </w:r>
          </w:p>
        </w:tc>
        <w:tc>
          <w:tcPr>
            <w:tcW w:w="1021" w:type="pct"/>
            <w:vAlign w:val="center"/>
          </w:tcPr>
          <w:p w14:paraId="3D639D6C">
            <w:pPr>
              <w:pStyle w:val="12"/>
              <w:jc w:val="center"/>
            </w:pPr>
            <w:r>
              <w:rPr>
                <w:rFonts w:hint="eastAsia"/>
              </w:rPr>
              <w:t>常委</w:t>
            </w:r>
          </w:p>
        </w:tc>
        <w:tc>
          <w:tcPr>
            <w:tcW w:w="1937" w:type="pct"/>
            <w:vAlign w:val="center"/>
          </w:tcPr>
          <w:p w14:paraId="07372776">
            <w:pPr>
              <w:pStyle w:val="12"/>
              <w:jc w:val="left"/>
            </w:pPr>
            <w:r>
              <w:rPr>
                <w:rFonts w:hint="eastAsia"/>
              </w:rPr>
              <w:t>2000年11月</w:t>
            </w:r>
          </w:p>
        </w:tc>
      </w:tr>
      <w:tr w14:paraId="626EF4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3E988DEF">
            <w:pPr>
              <w:pStyle w:val="12"/>
              <w:jc w:val="center"/>
            </w:pPr>
            <w:r>
              <w:rPr>
                <w:rFonts w:hint="eastAsia"/>
              </w:rPr>
              <w:t>林楚欣</w:t>
            </w:r>
          </w:p>
        </w:tc>
        <w:tc>
          <w:tcPr>
            <w:tcW w:w="1021" w:type="pct"/>
            <w:vAlign w:val="center"/>
          </w:tcPr>
          <w:p w14:paraId="1CDAF418">
            <w:pPr>
              <w:pStyle w:val="12"/>
              <w:jc w:val="center"/>
            </w:pPr>
            <w:r>
              <w:rPr>
                <w:rFonts w:hint="eastAsia"/>
              </w:rPr>
              <w:t>广东潮州</w:t>
            </w:r>
          </w:p>
        </w:tc>
        <w:tc>
          <w:tcPr>
            <w:tcW w:w="1021" w:type="pct"/>
            <w:vAlign w:val="center"/>
          </w:tcPr>
          <w:p w14:paraId="0FBFFB79">
            <w:pPr>
              <w:pStyle w:val="12"/>
              <w:jc w:val="center"/>
            </w:pPr>
            <w:r>
              <w:rPr>
                <w:rFonts w:hint="eastAsia"/>
              </w:rPr>
              <w:t>常委</w:t>
            </w:r>
          </w:p>
        </w:tc>
        <w:tc>
          <w:tcPr>
            <w:tcW w:w="1937" w:type="pct"/>
            <w:vAlign w:val="center"/>
          </w:tcPr>
          <w:p w14:paraId="56612C7F">
            <w:pPr>
              <w:pStyle w:val="12"/>
              <w:jc w:val="left"/>
            </w:pPr>
            <w:r>
              <w:rPr>
                <w:rFonts w:hint="eastAsia"/>
              </w:rPr>
              <w:t>2002年1月</w:t>
            </w:r>
          </w:p>
        </w:tc>
      </w:tr>
      <w:tr w14:paraId="63B1C3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0B8497D0">
            <w:pPr>
              <w:pStyle w:val="12"/>
              <w:jc w:val="center"/>
            </w:pPr>
            <w:r>
              <w:rPr>
                <w:rFonts w:hint="eastAsia"/>
              </w:rPr>
              <w:t>何为星</w:t>
            </w:r>
          </w:p>
        </w:tc>
        <w:tc>
          <w:tcPr>
            <w:tcW w:w="1021" w:type="pct"/>
            <w:vAlign w:val="center"/>
          </w:tcPr>
          <w:p w14:paraId="6673E2D5">
            <w:pPr>
              <w:pStyle w:val="12"/>
              <w:jc w:val="center"/>
            </w:pPr>
            <w:r>
              <w:rPr>
                <w:rFonts w:hint="eastAsia"/>
              </w:rPr>
              <w:t>广东仁化</w:t>
            </w:r>
          </w:p>
        </w:tc>
        <w:tc>
          <w:tcPr>
            <w:tcW w:w="1021" w:type="pct"/>
            <w:vAlign w:val="center"/>
          </w:tcPr>
          <w:p w14:paraId="03D28EB5">
            <w:pPr>
              <w:pStyle w:val="12"/>
              <w:jc w:val="center"/>
            </w:pPr>
            <w:r>
              <w:rPr>
                <w:rFonts w:hint="eastAsia"/>
              </w:rPr>
              <w:t>常委</w:t>
            </w:r>
          </w:p>
        </w:tc>
        <w:tc>
          <w:tcPr>
            <w:tcW w:w="1937" w:type="pct"/>
            <w:vAlign w:val="center"/>
          </w:tcPr>
          <w:p w14:paraId="51711102">
            <w:pPr>
              <w:pStyle w:val="12"/>
              <w:jc w:val="left"/>
            </w:pPr>
            <w:r>
              <w:rPr>
                <w:rFonts w:hint="eastAsia"/>
              </w:rPr>
              <w:t>2002年12月至2004年6月</w:t>
            </w:r>
          </w:p>
        </w:tc>
      </w:tr>
      <w:tr w14:paraId="1AD64C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3CACD2A7">
            <w:pPr>
              <w:pStyle w:val="12"/>
              <w:jc w:val="center"/>
            </w:pPr>
            <w:r>
              <w:rPr>
                <w:rFonts w:hint="eastAsia"/>
              </w:rPr>
              <w:t>许  红（女）</w:t>
            </w:r>
          </w:p>
        </w:tc>
        <w:tc>
          <w:tcPr>
            <w:tcW w:w="1021" w:type="pct"/>
            <w:vAlign w:val="center"/>
          </w:tcPr>
          <w:p w14:paraId="33491719">
            <w:pPr>
              <w:pStyle w:val="12"/>
              <w:jc w:val="center"/>
            </w:pPr>
            <w:r>
              <w:rPr>
                <w:rFonts w:hint="eastAsia"/>
              </w:rPr>
              <w:t>广东河源</w:t>
            </w:r>
          </w:p>
        </w:tc>
        <w:tc>
          <w:tcPr>
            <w:tcW w:w="1021" w:type="pct"/>
            <w:vAlign w:val="center"/>
          </w:tcPr>
          <w:p w14:paraId="30980E8D">
            <w:pPr>
              <w:pStyle w:val="12"/>
              <w:jc w:val="center"/>
            </w:pPr>
            <w:r>
              <w:rPr>
                <w:rFonts w:hint="eastAsia"/>
              </w:rPr>
              <w:t>常委</w:t>
            </w:r>
          </w:p>
        </w:tc>
        <w:tc>
          <w:tcPr>
            <w:tcW w:w="1937" w:type="pct"/>
            <w:vAlign w:val="center"/>
          </w:tcPr>
          <w:p w14:paraId="298260FE">
            <w:pPr>
              <w:pStyle w:val="12"/>
              <w:jc w:val="left"/>
            </w:pPr>
            <w:r>
              <w:rPr>
                <w:rFonts w:hint="eastAsia"/>
              </w:rPr>
              <w:t>2003年3月</w:t>
            </w:r>
          </w:p>
        </w:tc>
      </w:tr>
      <w:tr w14:paraId="391E64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21" w:type="pct"/>
            <w:vAlign w:val="center"/>
          </w:tcPr>
          <w:p w14:paraId="6FC74722">
            <w:pPr>
              <w:pStyle w:val="12"/>
              <w:jc w:val="center"/>
            </w:pPr>
            <w:r>
              <w:rPr>
                <w:rFonts w:hint="eastAsia"/>
              </w:rPr>
              <w:t>颜  亮</w:t>
            </w:r>
          </w:p>
        </w:tc>
        <w:tc>
          <w:tcPr>
            <w:tcW w:w="1021" w:type="pct"/>
            <w:vAlign w:val="center"/>
          </w:tcPr>
          <w:p w14:paraId="14A90931">
            <w:pPr>
              <w:pStyle w:val="12"/>
              <w:jc w:val="center"/>
            </w:pPr>
            <w:r>
              <w:rPr>
                <w:rFonts w:hint="eastAsia"/>
              </w:rPr>
              <w:t>广东曲江</w:t>
            </w:r>
          </w:p>
        </w:tc>
        <w:tc>
          <w:tcPr>
            <w:tcW w:w="1021" w:type="pct"/>
            <w:vAlign w:val="center"/>
          </w:tcPr>
          <w:p w14:paraId="1CFDC187">
            <w:pPr>
              <w:pStyle w:val="12"/>
              <w:jc w:val="center"/>
            </w:pPr>
            <w:r>
              <w:rPr>
                <w:rFonts w:hint="eastAsia"/>
              </w:rPr>
              <w:t>常委</w:t>
            </w:r>
          </w:p>
        </w:tc>
        <w:tc>
          <w:tcPr>
            <w:tcW w:w="1937" w:type="pct"/>
            <w:vAlign w:val="center"/>
          </w:tcPr>
          <w:p w14:paraId="0741501C">
            <w:pPr>
              <w:pStyle w:val="12"/>
              <w:jc w:val="left"/>
            </w:pPr>
            <w:r>
              <w:rPr>
                <w:rFonts w:hint="eastAsia"/>
              </w:rPr>
              <w:t>2004年9月</w:t>
            </w:r>
          </w:p>
        </w:tc>
      </w:tr>
    </w:tbl>
    <w:p w14:paraId="7DB4DD5C">
      <w:pPr>
        <w:pStyle w:val="3"/>
        <w:rPr>
          <w:rFonts w:ascii="宋体" w:hAnsi="宋体"/>
        </w:rPr>
      </w:pPr>
      <w:r>
        <w:rPr>
          <w:rFonts w:hint="eastAsia" w:ascii="宋体" w:hAnsi="宋体"/>
        </w:rPr>
        <w:t>第二章  南雄市（县）人民代表大会</w:t>
      </w:r>
    </w:p>
    <w:p w14:paraId="780D0E15">
      <w:pPr>
        <w:ind w:firstLine="420"/>
        <w:rPr>
          <w:rFonts w:ascii="宋体" w:hAnsi="宋体"/>
          <w:szCs w:val="21"/>
        </w:rPr>
      </w:pPr>
      <w:r>
        <w:rPr>
          <w:rFonts w:hint="eastAsia" w:ascii="宋体" w:hAnsi="宋体"/>
          <w:szCs w:val="21"/>
        </w:rPr>
        <w:t>《中华人民共和国宪法》规定，地方各级人民代表大会是地方国家权力机关。新中国成立初期，因召开人民代表大会条件还未成熟，以召开各界人民代表会议为过渡形式。</w:t>
      </w:r>
      <w:r>
        <w:rPr>
          <w:rFonts w:ascii="宋体" w:hAnsi="宋体"/>
          <w:szCs w:val="21"/>
        </w:rPr>
        <w:t>1954年举行第一届普选，召开首届人民代表大会，广大公民首次参与国家管</w:t>
      </w:r>
      <w:r>
        <w:rPr>
          <w:rFonts w:hint="eastAsia" w:ascii="宋体" w:hAnsi="宋体"/>
          <w:szCs w:val="21"/>
        </w:rPr>
        <w:t>理。</w:t>
      </w:r>
      <w:r>
        <w:rPr>
          <w:rFonts w:ascii="宋体" w:hAnsi="宋体"/>
          <w:szCs w:val="21"/>
        </w:rPr>
        <w:t>1980年县六届人民代表大会首次选举产生人民代表大会常务委员会，作为县人</w:t>
      </w:r>
      <w:r>
        <w:rPr>
          <w:rFonts w:hint="eastAsia" w:ascii="宋体" w:hAnsi="宋体"/>
          <w:szCs w:val="21"/>
        </w:rPr>
        <w:t>民代表大会常设机构，进一步完善了人民代表大会制度。</w:t>
      </w:r>
    </w:p>
    <w:p w14:paraId="7EDCD983">
      <w:pPr>
        <w:pStyle w:val="4"/>
        <w:rPr>
          <w:rFonts w:ascii="宋体" w:hAnsi="宋体"/>
        </w:rPr>
      </w:pPr>
      <w:r>
        <w:rPr>
          <w:rFonts w:hint="eastAsia" w:ascii="宋体" w:hAnsi="宋体"/>
        </w:rPr>
        <w:t>第一节  县各界人民代表会议</w:t>
      </w:r>
    </w:p>
    <w:p w14:paraId="27189504">
      <w:pPr>
        <w:ind w:firstLine="420"/>
        <w:rPr>
          <w:rFonts w:ascii="宋体" w:hAnsi="宋体"/>
          <w:szCs w:val="21"/>
        </w:rPr>
      </w:pPr>
      <w:r>
        <w:rPr>
          <w:rFonts w:hint="eastAsia" w:ascii="宋体" w:hAnsi="宋体"/>
          <w:szCs w:val="21"/>
        </w:rPr>
        <w:t>县各界人民代表会议由县人民政府召开，代表由乡农会、群众团体和党政军机关选举产生，并由县人民政府邀请有代表性的人物参加。一般每</w:t>
      </w:r>
      <w:r>
        <w:rPr>
          <w:rFonts w:ascii="宋体" w:hAnsi="宋体"/>
          <w:szCs w:val="21"/>
        </w:rPr>
        <w:t>3个月举行一次会议，</w:t>
      </w:r>
      <w:r>
        <w:rPr>
          <w:rFonts w:hint="eastAsia" w:ascii="宋体" w:hAnsi="宋体"/>
          <w:szCs w:val="21"/>
        </w:rPr>
        <w:t>休会期间设常务委员会，由各界人民代表会议选举产生，设主席</w:t>
      </w:r>
      <w:r>
        <w:rPr>
          <w:rFonts w:ascii="宋体" w:hAnsi="宋体"/>
          <w:szCs w:val="21"/>
        </w:rPr>
        <w:t>1人，副主席若干</w:t>
      </w:r>
      <w:r>
        <w:rPr>
          <w:rFonts w:hint="eastAsia" w:ascii="宋体" w:hAnsi="宋体"/>
          <w:szCs w:val="21"/>
        </w:rPr>
        <w:t>人。各界人民代表会议从</w:t>
      </w:r>
      <w:r>
        <w:rPr>
          <w:rFonts w:ascii="宋体" w:hAnsi="宋体"/>
          <w:szCs w:val="21"/>
        </w:rPr>
        <w:t>1950年4月起至1953年12月止，共举行7届会议。分别</w:t>
      </w:r>
      <w:r>
        <w:rPr>
          <w:rFonts w:hint="eastAsia" w:ascii="宋体" w:hAnsi="宋体"/>
          <w:szCs w:val="21"/>
        </w:rPr>
        <w:t>作出了有关清匪反霸，减租废债，抗美援朝，土地改革，互助合作，以及贯彻过渡时期总路线、总任务，粮食统购统销等方面的决议。历届会议均在南雄县城召开。出席会议代表一般</w:t>
      </w:r>
      <w:r>
        <w:rPr>
          <w:rFonts w:ascii="宋体" w:hAnsi="宋体"/>
          <w:szCs w:val="21"/>
        </w:rPr>
        <w:t>200多人，最多381人，最少161人。（详见《南雄县志·县各界人民</w:t>
      </w:r>
      <w:r>
        <w:rPr>
          <w:rFonts w:hint="eastAsia" w:ascii="宋体" w:hAnsi="宋体"/>
          <w:szCs w:val="21"/>
        </w:rPr>
        <w:t>代表会议》）</w:t>
      </w:r>
    </w:p>
    <w:p w14:paraId="3DA47370">
      <w:pPr>
        <w:pStyle w:val="4"/>
        <w:rPr>
          <w:rFonts w:ascii="宋体" w:hAnsi="宋体"/>
        </w:rPr>
      </w:pPr>
      <w:r>
        <w:rPr>
          <w:rFonts w:hint="eastAsia" w:ascii="宋体" w:hAnsi="宋体"/>
        </w:rPr>
        <w:t>第二节  人民代表大会代表的选举</w:t>
      </w:r>
    </w:p>
    <w:p w14:paraId="267FF378">
      <w:pPr>
        <w:ind w:firstLine="420"/>
        <w:rPr>
          <w:rFonts w:ascii="宋体" w:hAnsi="宋体"/>
          <w:szCs w:val="21"/>
        </w:rPr>
      </w:pPr>
      <w:r>
        <w:rPr>
          <w:rFonts w:ascii="宋体" w:hAnsi="宋体"/>
          <w:szCs w:val="21"/>
        </w:rPr>
        <w:t>1953年2月，中央人民政府颁布《中华人民共和国全国人民代表大会及地方各</w:t>
      </w:r>
      <w:r>
        <w:rPr>
          <w:rFonts w:hint="eastAsia" w:ascii="宋体" w:hAnsi="宋体"/>
          <w:szCs w:val="21"/>
        </w:rPr>
        <w:t>级人民代表大会选举法》。南雄县于</w:t>
      </w:r>
      <w:r>
        <w:rPr>
          <w:rFonts w:ascii="宋体" w:hAnsi="宋体"/>
          <w:szCs w:val="21"/>
        </w:rPr>
        <w:t>1954年3月，举行第一届人民代表大会代表的选</w:t>
      </w:r>
      <w:r>
        <w:rPr>
          <w:rFonts w:hint="eastAsia" w:ascii="宋体" w:hAnsi="宋体"/>
          <w:szCs w:val="21"/>
        </w:rPr>
        <w:t>举，至</w:t>
      </w:r>
      <w:r>
        <w:rPr>
          <w:rFonts w:ascii="宋体" w:hAnsi="宋体"/>
          <w:szCs w:val="21"/>
        </w:rPr>
        <w:t>2003年2月共举行12届。其中，1954年、1956年、1958年、1960年和1963</w:t>
      </w:r>
      <w:r>
        <w:rPr>
          <w:rFonts w:hint="eastAsia" w:ascii="宋体" w:hAnsi="宋体"/>
          <w:szCs w:val="21"/>
        </w:rPr>
        <w:t>年每届任期</w:t>
      </w:r>
      <w:r>
        <w:rPr>
          <w:rFonts w:ascii="宋体" w:hAnsi="宋体"/>
          <w:szCs w:val="21"/>
        </w:rPr>
        <w:t>2年～3年；19</w:t>
      </w:r>
      <w:r>
        <w:rPr>
          <w:rFonts w:hint="eastAsia" w:ascii="宋体" w:hAnsi="宋体"/>
          <w:szCs w:val="21"/>
        </w:rPr>
        <w:t>6</w:t>
      </w:r>
      <w:r>
        <w:rPr>
          <w:rFonts w:ascii="宋体" w:hAnsi="宋体"/>
          <w:szCs w:val="21"/>
        </w:rPr>
        <w:t>6年至1976年，因受“文化大革命”干扰，未举行选举；1980年恢复选举，每届任期3年。1992年县人大代表每届任期改为5年，镇人大代</w:t>
      </w:r>
      <w:r>
        <w:rPr>
          <w:rFonts w:hint="eastAsia" w:ascii="宋体" w:hAnsi="宋体"/>
          <w:szCs w:val="21"/>
        </w:rPr>
        <w:t>表每届任期为</w:t>
      </w:r>
      <w:r>
        <w:rPr>
          <w:rFonts w:ascii="宋体" w:hAnsi="宋体"/>
          <w:szCs w:val="21"/>
        </w:rPr>
        <w:t>3年</w:t>
      </w:r>
      <w:r>
        <w:rPr>
          <w:rFonts w:hint="eastAsia" w:ascii="宋体" w:hAnsi="宋体"/>
          <w:szCs w:val="21"/>
        </w:rPr>
        <w:t>。</w:t>
      </w:r>
    </w:p>
    <w:p w14:paraId="7EE613C0">
      <w:pPr>
        <w:pStyle w:val="5"/>
        <w:rPr>
          <w:rFonts w:ascii="宋体" w:hAnsi="宋体"/>
        </w:rPr>
      </w:pPr>
      <w:r>
        <w:rPr>
          <w:rFonts w:hint="eastAsia" w:ascii="宋体" w:hAnsi="宋体"/>
        </w:rPr>
        <w:t>一、代表选举</w:t>
      </w:r>
    </w:p>
    <w:p w14:paraId="7D1F33A1">
      <w:pPr>
        <w:ind w:firstLine="420"/>
        <w:rPr>
          <w:rFonts w:ascii="宋体" w:hAnsi="宋体"/>
          <w:szCs w:val="21"/>
        </w:rPr>
      </w:pPr>
      <w:r>
        <w:rPr>
          <w:rFonts w:hint="eastAsia" w:ascii="宋体" w:hAnsi="宋体"/>
          <w:szCs w:val="21"/>
        </w:rPr>
        <w:t>第六届选举。于</w:t>
      </w:r>
      <w:r>
        <w:rPr>
          <w:rFonts w:ascii="宋体" w:hAnsi="宋体"/>
          <w:szCs w:val="21"/>
        </w:rPr>
        <w:t>1980年9月至10月进行。根据1979年五届全国人大二次会议</w:t>
      </w:r>
      <w:r>
        <w:rPr>
          <w:rFonts w:hint="eastAsia" w:ascii="宋体" w:hAnsi="宋体"/>
          <w:szCs w:val="21"/>
        </w:rPr>
        <w:t>通过的选举法，县乡两级人民代表大会代表均由选民以无记名投票方式直接选举，并实行差额选举。全县总人口</w:t>
      </w:r>
      <w:r>
        <w:rPr>
          <w:rFonts w:ascii="宋体" w:hAnsi="宋体"/>
          <w:szCs w:val="21"/>
        </w:rPr>
        <w:t>387408人，18周岁以上公民192570人，除依法被剥夺选</w:t>
      </w:r>
      <w:r>
        <w:rPr>
          <w:rFonts w:hint="eastAsia" w:ascii="宋体" w:hAnsi="宋体"/>
          <w:szCs w:val="21"/>
        </w:rPr>
        <w:t>举权</w:t>
      </w:r>
      <w:r>
        <w:rPr>
          <w:rFonts w:ascii="宋体" w:hAnsi="宋体"/>
          <w:szCs w:val="21"/>
        </w:rPr>
        <w:t>46名，暂停选举权42人，无法行使选举权92人，实有选民192390人，占18</w:t>
      </w:r>
      <w:r>
        <w:rPr>
          <w:rFonts w:hint="eastAsia" w:ascii="宋体" w:hAnsi="宋体"/>
          <w:szCs w:val="21"/>
        </w:rPr>
        <w:t>周岁以上公民总数的</w:t>
      </w:r>
      <w:r>
        <w:rPr>
          <w:rFonts w:ascii="宋体" w:hAnsi="宋体"/>
          <w:szCs w:val="21"/>
        </w:rPr>
        <w:t>99.9%。参选184410人，占选民的95.85%。选民直接投票选</w:t>
      </w:r>
      <w:r>
        <w:rPr>
          <w:rFonts w:hint="eastAsia" w:ascii="宋体" w:hAnsi="宋体"/>
          <w:szCs w:val="21"/>
        </w:rPr>
        <w:t>出公社人民代表大会代表</w:t>
      </w:r>
      <w:r>
        <w:rPr>
          <w:rFonts w:ascii="宋体" w:hAnsi="宋体"/>
          <w:szCs w:val="21"/>
        </w:rPr>
        <w:t>2868名，县人民代表大会代表309名。</w:t>
      </w:r>
    </w:p>
    <w:p w14:paraId="7E27CC16">
      <w:pPr>
        <w:ind w:firstLine="420"/>
        <w:rPr>
          <w:rFonts w:ascii="宋体" w:hAnsi="宋体"/>
          <w:szCs w:val="21"/>
        </w:rPr>
      </w:pPr>
      <w:r>
        <w:rPr>
          <w:rFonts w:hint="eastAsia" w:ascii="宋体" w:hAnsi="宋体"/>
          <w:szCs w:val="21"/>
        </w:rPr>
        <w:t>第七届选举。于</w:t>
      </w:r>
      <w:r>
        <w:rPr>
          <w:rFonts w:ascii="宋体" w:hAnsi="宋体"/>
          <w:szCs w:val="21"/>
        </w:rPr>
        <w:t>1984年2月至3月进行。全县总人口404531人，18周岁以上公</w:t>
      </w:r>
      <w:r>
        <w:rPr>
          <w:rFonts w:hint="eastAsia" w:ascii="宋体" w:hAnsi="宋体"/>
          <w:szCs w:val="21"/>
        </w:rPr>
        <w:t>民</w:t>
      </w:r>
      <w:r>
        <w:rPr>
          <w:rFonts w:ascii="宋体" w:hAnsi="宋体"/>
          <w:szCs w:val="21"/>
        </w:rPr>
        <w:t>220924人，除依法被剥夺选举权20人，暂停选举权29人，无法行使选举权132</w:t>
      </w:r>
      <w:r>
        <w:rPr>
          <w:rFonts w:hint="eastAsia" w:ascii="宋体" w:hAnsi="宋体"/>
          <w:szCs w:val="21"/>
        </w:rPr>
        <w:t>人，实有选民</w:t>
      </w:r>
      <w:r>
        <w:rPr>
          <w:rFonts w:ascii="宋体" w:hAnsi="宋体"/>
          <w:szCs w:val="21"/>
        </w:rPr>
        <w:t>220743人，占18周岁以上公民总数的99.9%，参选217810人，占选</w:t>
      </w:r>
      <w:r>
        <w:rPr>
          <w:rFonts w:hint="eastAsia" w:ascii="宋体" w:hAnsi="宋体"/>
          <w:szCs w:val="21"/>
        </w:rPr>
        <w:t>民的</w:t>
      </w:r>
      <w:r>
        <w:rPr>
          <w:rFonts w:ascii="宋体" w:hAnsi="宋体"/>
          <w:szCs w:val="21"/>
        </w:rPr>
        <w:t>98.6%。县人大代表选区236个，推荐候选人1865名，民主确定正式候选人514名，实行差额选举，选出县人大代表270名。乡镇人大代表选区1499个，正式候</w:t>
      </w:r>
      <w:r>
        <w:rPr>
          <w:rFonts w:hint="eastAsia" w:ascii="宋体" w:hAnsi="宋体"/>
          <w:szCs w:val="21"/>
        </w:rPr>
        <w:t>选人</w:t>
      </w:r>
      <w:r>
        <w:rPr>
          <w:rFonts w:ascii="宋体" w:hAnsi="宋体"/>
          <w:szCs w:val="21"/>
        </w:rPr>
        <w:t>13427名，实行差额选举，选出乡镇人大代表8853名。</w:t>
      </w:r>
    </w:p>
    <w:p w14:paraId="03A91F21">
      <w:pPr>
        <w:ind w:firstLine="420"/>
        <w:rPr>
          <w:rFonts w:ascii="宋体" w:hAnsi="宋体"/>
          <w:szCs w:val="21"/>
        </w:rPr>
      </w:pPr>
      <w:r>
        <w:rPr>
          <w:rFonts w:hint="eastAsia" w:ascii="宋体" w:hAnsi="宋体"/>
          <w:szCs w:val="21"/>
        </w:rPr>
        <w:t>第八届选举。于</w:t>
      </w:r>
      <w:r>
        <w:rPr>
          <w:rFonts w:ascii="宋体" w:hAnsi="宋体"/>
          <w:szCs w:val="21"/>
        </w:rPr>
        <w:t>1986年11月至1987年3月进行。这次选举采取选民一次登记，</w:t>
      </w:r>
      <w:r>
        <w:rPr>
          <w:rFonts w:hint="eastAsia" w:ascii="宋体" w:hAnsi="宋体"/>
          <w:szCs w:val="21"/>
        </w:rPr>
        <w:t>长期有效，简化选民登记手续；强调尊重选民民主权利，坚持差额选举；强调代表素质。全县总人口</w:t>
      </w:r>
      <w:r>
        <w:rPr>
          <w:rFonts w:ascii="宋体" w:hAnsi="宋体"/>
          <w:szCs w:val="21"/>
        </w:rPr>
        <w:t>414267人，18周岁以上公民244270人，除依法被剥夺选举权4人，</w:t>
      </w:r>
      <w:r>
        <w:rPr>
          <w:rFonts w:hint="eastAsia" w:ascii="宋体" w:hAnsi="宋体"/>
          <w:szCs w:val="21"/>
        </w:rPr>
        <w:t>暂停选举权</w:t>
      </w:r>
      <w:r>
        <w:rPr>
          <w:rFonts w:ascii="宋体" w:hAnsi="宋体"/>
          <w:szCs w:val="21"/>
        </w:rPr>
        <w:t>26人，无法行使选举权132人，实有选民24410</w:t>
      </w:r>
      <w:r>
        <w:rPr>
          <w:rFonts w:hint="eastAsia" w:ascii="宋体" w:hAnsi="宋体"/>
          <w:szCs w:val="21"/>
        </w:rPr>
        <w:t>8</w:t>
      </w:r>
      <w:r>
        <w:rPr>
          <w:rFonts w:ascii="宋体" w:hAnsi="宋体"/>
          <w:szCs w:val="21"/>
        </w:rPr>
        <w:t>人，占18周岁以上公</w:t>
      </w:r>
      <w:r>
        <w:rPr>
          <w:rFonts w:hint="eastAsia" w:ascii="宋体" w:hAnsi="宋体"/>
          <w:szCs w:val="21"/>
        </w:rPr>
        <w:t>民总数的</w:t>
      </w:r>
      <w:r>
        <w:rPr>
          <w:rFonts w:ascii="宋体" w:hAnsi="宋体"/>
          <w:szCs w:val="21"/>
        </w:rPr>
        <w:t>99.93%。参选229866人，占选民的94.16%。县人大代表选区163个，推</w:t>
      </w:r>
      <w:r>
        <w:rPr>
          <w:rFonts w:hint="eastAsia" w:ascii="宋体" w:hAnsi="宋体"/>
          <w:szCs w:val="21"/>
        </w:rPr>
        <w:t>荐候选人</w:t>
      </w:r>
      <w:r>
        <w:rPr>
          <w:rFonts w:ascii="宋体" w:hAnsi="宋体"/>
          <w:szCs w:val="21"/>
        </w:rPr>
        <w:t>890名，民主确定正式候选人424名，选出县人大代表241名。乡镇人大代</w:t>
      </w:r>
      <w:r>
        <w:rPr>
          <w:rFonts w:hint="eastAsia" w:ascii="宋体" w:hAnsi="宋体"/>
          <w:szCs w:val="21"/>
        </w:rPr>
        <w:t>表选区</w:t>
      </w:r>
      <w:r>
        <w:rPr>
          <w:rFonts w:ascii="宋体" w:hAnsi="宋体"/>
          <w:szCs w:val="21"/>
        </w:rPr>
        <w:t>586个，正式候选人1740名，选出乡镇人大代表1148名。</w:t>
      </w:r>
    </w:p>
    <w:p w14:paraId="5480BDEE">
      <w:pPr>
        <w:ind w:firstLine="420"/>
        <w:rPr>
          <w:rFonts w:ascii="宋体" w:hAnsi="宋体"/>
          <w:szCs w:val="21"/>
        </w:rPr>
      </w:pPr>
      <w:r>
        <w:rPr>
          <w:rFonts w:hint="eastAsia" w:ascii="宋体" w:hAnsi="宋体"/>
          <w:szCs w:val="21"/>
        </w:rPr>
        <w:t>第九届选举。于</w:t>
      </w:r>
      <w:r>
        <w:rPr>
          <w:rFonts w:ascii="宋体" w:hAnsi="宋体"/>
          <w:szCs w:val="21"/>
        </w:rPr>
        <w:t>1989年12月5日至1990年2月21日进行。参选选民250959</w:t>
      </w:r>
      <w:r>
        <w:rPr>
          <w:rFonts w:hint="eastAsia" w:ascii="宋体" w:hAnsi="宋体"/>
          <w:szCs w:val="21"/>
        </w:rPr>
        <w:t>人，占选民总数</w:t>
      </w:r>
      <w:r>
        <w:rPr>
          <w:rFonts w:ascii="宋体" w:hAnsi="宋体"/>
          <w:szCs w:val="21"/>
        </w:rPr>
        <w:t>272435人的92.1%。全县208个县代表选区，正式代表候选人466</w:t>
      </w:r>
      <w:r>
        <w:rPr>
          <w:rFonts w:hint="eastAsia" w:ascii="宋体" w:hAnsi="宋体"/>
          <w:szCs w:val="21"/>
        </w:rPr>
        <w:t>名，共选出县人大代表</w:t>
      </w:r>
      <w:r>
        <w:rPr>
          <w:rFonts w:ascii="宋体" w:hAnsi="宋体"/>
          <w:szCs w:val="21"/>
        </w:rPr>
        <w:t>252名。全县671个乡（镇）代表选区，共选出乡（镇）人</w:t>
      </w:r>
      <w:r>
        <w:rPr>
          <w:rFonts w:hint="eastAsia" w:ascii="宋体" w:hAnsi="宋体"/>
          <w:szCs w:val="21"/>
        </w:rPr>
        <w:t>大代表</w:t>
      </w:r>
      <w:r>
        <w:rPr>
          <w:rFonts w:ascii="宋体" w:hAnsi="宋体"/>
          <w:szCs w:val="21"/>
        </w:rPr>
        <w:t>1255名</w:t>
      </w:r>
      <w:r>
        <w:rPr>
          <w:rFonts w:hint="eastAsia" w:ascii="宋体" w:hAnsi="宋体"/>
          <w:szCs w:val="21"/>
        </w:rPr>
        <w:t>。</w:t>
      </w:r>
    </w:p>
    <w:p w14:paraId="640832D5">
      <w:pPr>
        <w:ind w:firstLine="420"/>
        <w:rPr>
          <w:rFonts w:ascii="宋体" w:hAnsi="宋体"/>
          <w:szCs w:val="21"/>
        </w:rPr>
      </w:pPr>
      <w:r>
        <w:rPr>
          <w:rFonts w:hint="eastAsia" w:ascii="宋体" w:hAnsi="宋体"/>
          <w:szCs w:val="21"/>
        </w:rPr>
        <w:t>第十届选举。于</w:t>
      </w:r>
      <w:r>
        <w:rPr>
          <w:rFonts w:ascii="宋体" w:hAnsi="宋体"/>
          <w:szCs w:val="21"/>
        </w:rPr>
        <w:t>1992年11月5日至12月29日进行，全县213个县代表选区，282809名选民，271644人依法参加选举，参选率为96%。选出县十届人民代表大会</w:t>
      </w:r>
      <w:r>
        <w:rPr>
          <w:rFonts w:hint="eastAsia" w:ascii="宋体" w:hAnsi="宋体"/>
          <w:szCs w:val="21"/>
        </w:rPr>
        <w:t>代表</w:t>
      </w:r>
      <w:r>
        <w:rPr>
          <w:rFonts w:ascii="宋体" w:hAnsi="宋体"/>
          <w:szCs w:val="21"/>
        </w:rPr>
        <w:t>259名。全县乡（镇）代表选区665个，选出乡（镇）人大代表1277名。</w:t>
      </w:r>
    </w:p>
    <w:p w14:paraId="77DC5A53">
      <w:pPr>
        <w:ind w:firstLine="420"/>
        <w:rPr>
          <w:rFonts w:ascii="宋体" w:hAnsi="宋体"/>
          <w:szCs w:val="21"/>
        </w:rPr>
      </w:pPr>
      <w:r>
        <w:rPr>
          <w:rFonts w:hint="eastAsia" w:ascii="宋体" w:hAnsi="宋体"/>
          <w:szCs w:val="21"/>
        </w:rPr>
        <w:t>第十一届乡（镇）人大代表选举。于</w:t>
      </w:r>
      <w:r>
        <w:rPr>
          <w:rFonts w:ascii="宋体" w:hAnsi="宋体"/>
          <w:szCs w:val="21"/>
        </w:rPr>
        <w:t>1995年10月13日至1996年2月9日进</w:t>
      </w:r>
      <w:r>
        <w:rPr>
          <w:rFonts w:hint="eastAsia" w:ascii="宋体" w:hAnsi="宋体"/>
          <w:szCs w:val="21"/>
        </w:rPr>
        <w:t>行，全县有选民</w:t>
      </w:r>
      <w:r>
        <w:rPr>
          <w:rFonts w:ascii="宋体" w:hAnsi="宋体"/>
          <w:szCs w:val="21"/>
        </w:rPr>
        <w:t>289775名，参选275381名，参选率为95.03%，应选乡镇人大代表1254名，依法选出1253名。</w:t>
      </w:r>
    </w:p>
    <w:p w14:paraId="22D68DCC">
      <w:pPr>
        <w:ind w:firstLine="420"/>
        <w:rPr>
          <w:rFonts w:ascii="宋体" w:hAnsi="宋体"/>
          <w:szCs w:val="21"/>
        </w:rPr>
      </w:pPr>
      <w:r>
        <w:rPr>
          <w:rFonts w:hint="eastAsia" w:ascii="宋体" w:hAnsi="宋体"/>
          <w:szCs w:val="21"/>
        </w:rPr>
        <w:t>第十一届市人大代表选举。从</w:t>
      </w:r>
      <w:r>
        <w:rPr>
          <w:rFonts w:ascii="宋体" w:hAnsi="宋体"/>
          <w:szCs w:val="21"/>
        </w:rPr>
        <w:t>1997年11月11日至1998年3月18日进行。全市291212名选民，参选291039名，参选率为99.94%，依法选举出市人大代表209名。</w:t>
      </w:r>
    </w:p>
    <w:p w14:paraId="228DE0EA">
      <w:pPr>
        <w:ind w:firstLine="420"/>
        <w:rPr>
          <w:rFonts w:ascii="宋体" w:hAnsi="宋体"/>
          <w:szCs w:val="21"/>
        </w:rPr>
      </w:pPr>
      <w:r>
        <w:rPr>
          <w:rFonts w:hint="eastAsia" w:ascii="宋体" w:hAnsi="宋体"/>
          <w:szCs w:val="21"/>
        </w:rPr>
        <w:t>第十二届镇人大代表选举。于</w:t>
      </w:r>
      <w:r>
        <w:rPr>
          <w:rFonts w:ascii="宋体" w:hAnsi="宋体"/>
          <w:szCs w:val="21"/>
        </w:rPr>
        <w:t>1998年12月20日至1999年3月21日进行。全市</w:t>
      </w:r>
      <w:r>
        <w:rPr>
          <w:rFonts w:hint="eastAsia" w:ascii="宋体" w:hAnsi="宋体"/>
          <w:szCs w:val="21"/>
        </w:rPr>
        <w:t>选民</w:t>
      </w:r>
      <w:r>
        <w:rPr>
          <w:rFonts w:ascii="宋体" w:hAnsi="宋体"/>
          <w:szCs w:val="21"/>
        </w:rPr>
        <w:t>300222名，参选289849名，参选率为97%，选出镇人大代表1253名。</w:t>
      </w:r>
    </w:p>
    <w:p w14:paraId="1789F5CD">
      <w:pPr>
        <w:ind w:firstLine="420"/>
        <w:rPr>
          <w:rFonts w:ascii="宋体" w:hAnsi="宋体"/>
          <w:szCs w:val="21"/>
        </w:rPr>
      </w:pPr>
      <w:r>
        <w:rPr>
          <w:rFonts w:hint="eastAsia" w:ascii="宋体" w:hAnsi="宋体"/>
          <w:szCs w:val="21"/>
        </w:rPr>
        <w:t>第十三届镇人大代表选举。于</w:t>
      </w:r>
      <w:r>
        <w:rPr>
          <w:rFonts w:ascii="宋体" w:hAnsi="宋体"/>
          <w:szCs w:val="21"/>
        </w:rPr>
        <w:t>2002年1月18日至3月10日进行。全市309997</w:t>
      </w:r>
      <w:r>
        <w:rPr>
          <w:rFonts w:hint="eastAsia" w:ascii="宋体" w:hAnsi="宋体"/>
          <w:szCs w:val="21"/>
        </w:rPr>
        <w:t>名选民，参选</w:t>
      </w:r>
      <w:r>
        <w:rPr>
          <w:rFonts w:ascii="宋体" w:hAnsi="宋体"/>
          <w:szCs w:val="21"/>
        </w:rPr>
        <w:t>301878名，参选率97.38%。选出镇人大代表1094名。</w:t>
      </w:r>
    </w:p>
    <w:p w14:paraId="227E3828">
      <w:pPr>
        <w:ind w:firstLine="420"/>
        <w:rPr>
          <w:rFonts w:ascii="宋体" w:hAnsi="宋体"/>
          <w:szCs w:val="21"/>
        </w:rPr>
      </w:pPr>
      <w:r>
        <w:rPr>
          <w:rFonts w:hint="eastAsia" w:ascii="宋体" w:hAnsi="宋体"/>
          <w:szCs w:val="21"/>
        </w:rPr>
        <w:t>第十二届市人大代表选举。于</w:t>
      </w:r>
      <w:r>
        <w:rPr>
          <w:rFonts w:ascii="宋体" w:hAnsi="宋体"/>
          <w:szCs w:val="21"/>
        </w:rPr>
        <w:t>2002年12月15日至2003年2月28日进行。全市</w:t>
      </w:r>
      <w:r>
        <w:rPr>
          <w:rFonts w:hint="eastAsia" w:ascii="宋体" w:hAnsi="宋体"/>
          <w:szCs w:val="21"/>
        </w:rPr>
        <w:t>总人口</w:t>
      </w:r>
      <w:r>
        <w:rPr>
          <w:rFonts w:ascii="宋体" w:hAnsi="宋体"/>
          <w:szCs w:val="21"/>
        </w:rPr>
        <w:t>453201人，18周岁以上315628人，其中选民315504人，有310859名选民参</w:t>
      </w:r>
      <w:r>
        <w:rPr>
          <w:rFonts w:hint="eastAsia" w:ascii="宋体" w:hAnsi="宋体"/>
          <w:szCs w:val="21"/>
        </w:rPr>
        <w:t>加了投票选举，参选率</w:t>
      </w:r>
      <w:r>
        <w:rPr>
          <w:rFonts w:ascii="宋体" w:hAnsi="宋体"/>
          <w:szCs w:val="21"/>
        </w:rPr>
        <w:t>98.5%。提名代表候选人433人，正式代表候选人373人，选</w:t>
      </w:r>
      <w:r>
        <w:rPr>
          <w:rFonts w:hint="eastAsia" w:ascii="宋体" w:hAnsi="宋体"/>
          <w:szCs w:val="21"/>
        </w:rPr>
        <w:t>出市人大代表</w:t>
      </w:r>
      <w:r>
        <w:rPr>
          <w:rFonts w:ascii="宋体" w:hAnsi="宋体"/>
          <w:szCs w:val="21"/>
        </w:rPr>
        <w:t>210名</w:t>
      </w:r>
      <w:r>
        <w:rPr>
          <w:rFonts w:hint="eastAsia" w:ascii="宋体" w:hAnsi="宋体"/>
          <w:szCs w:val="21"/>
        </w:rPr>
        <w:t>。</w:t>
      </w:r>
    </w:p>
    <w:p w14:paraId="4DE98643">
      <w:pPr>
        <w:pStyle w:val="5"/>
        <w:rPr>
          <w:rFonts w:ascii="宋体" w:hAnsi="宋体"/>
        </w:rPr>
      </w:pPr>
      <w:r>
        <w:rPr>
          <w:rFonts w:hint="eastAsia" w:ascii="宋体" w:hAnsi="宋体"/>
        </w:rPr>
        <w:t>二、代表结构</w:t>
      </w:r>
    </w:p>
    <w:p w14:paraId="6DDEF869">
      <w:pPr>
        <w:ind w:firstLine="0" w:firstLineChars="0"/>
        <w:jc w:val="center"/>
        <w:rPr>
          <w:rFonts w:ascii="宋体" w:hAnsi="宋体"/>
          <w:b/>
          <w:szCs w:val="21"/>
        </w:rPr>
      </w:pPr>
      <w:r>
        <w:rPr>
          <w:rFonts w:hint="eastAsia" w:ascii="宋体" w:hAnsi="宋体"/>
          <w:b/>
          <w:szCs w:val="21"/>
        </w:rPr>
        <w:t>第六届至第十二届市（县）人民代表大会代表结构</w:t>
      </w:r>
    </w:p>
    <w:p w14:paraId="2B1BAC9B">
      <w:pPr>
        <w:ind w:firstLine="0" w:firstLineChars="0"/>
        <w:rPr>
          <w:rFonts w:ascii="宋体" w:hAnsi="宋体"/>
          <w:b/>
          <w:szCs w:val="21"/>
        </w:rPr>
      </w:pPr>
      <w:r>
        <w:rPr>
          <w:rFonts w:hint="eastAsia" w:ascii="宋体" w:hAnsi="宋体"/>
          <w:b/>
          <w:szCs w:val="21"/>
        </w:rPr>
        <w:t>表</w:t>
      </w:r>
      <w:r>
        <w:rPr>
          <w:rFonts w:ascii="宋体" w:hAnsi="宋体"/>
          <w:b/>
          <w:szCs w:val="21"/>
        </w:rPr>
        <w:t>4</w:t>
      </w:r>
      <w:r>
        <w:rPr>
          <w:rFonts w:hint="eastAsia" w:ascii="宋体" w:hAnsi="宋体"/>
          <w:b/>
          <w:szCs w:val="21"/>
        </w:rPr>
        <w:t>-</w:t>
      </w:r>
      <w:r>
        <w:rPr>
          <w:rFonts w:ascii="宋体" w:hAnsi="宋体"/>
          <w:b/>
          <w:szCs w:val="21"/>
        </w:rPr>
        <w:t>4</w:t>
      </w:r>
    </w:p>
    <w:p w14:paraId="1091AC04">
      <w:pPr>
        <w:ind w:firstLine="422"/>
        <w:jc w:val="right"/>
        <w:rPr>
          <w:rFonts w:ascii="宋体" w:hAnsi="宋体"/>
          <w:b/>
          <w:szCs w:val="21"/>
        </w:rPr>
      </w:pPr>
      <w:r>
        <w:rPr>
          <w:rFonts w:hint="eastAsia" w:ascii="宋体" w:hAnsi="宋体"/>
          <w:b/>
          <w:szCs w:val="21"/>
        </w:rPr>
        <w:t>单位：人</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8"/>
        <w:gridCol w:w="1646"/>
        <w:gridCol w:w="1030"/>
        <w:gridCol w:w="1030"/>
        <w:gridCol w:w="1030"/>
        <w:gridCol w:w="1030"/>
        <w:gridCol w:w="1030"/>
        <w:gridCol w:w="1030"/>
        <w:gridCol w:w="1028"/>
      </w:tblGrid>
      <w:tr w14:paraId="508E54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2" w:type="pct"/>
            <w:gridSpan w:val="2"/>
            <w:vAlign w:val="center"/>
          </w:tcPr>
          <w:p w14:paraId="177E96F5">
            <w:pPr>
              <w:pStyle w:val="12"/>
              <w:jc w:val="center"/>
              <w:rPr>
                <w:rFonts w:ascii="宋体" w:hAnsi="宋体"/>
                <w:b/>
              </w:rPr>
            </w:pPr>
            <w:r>
              <w:rPr>
                <w:rFonts w:hint="eastAsia" w:ascii="宋体" w:hAnsi="宋体"/>
                <w:b/>
              </w:rPr>
              <w:t>届  别</w:t>
            </w:r>
          </w:p>
        </w:tc>
        <w:tc>
          <w:tcPr>
            <w:tcW w:w="517" w:type="pct"/>
            <w:vAlign w:val="center"/>
          </w:tcPr>
          <w:p w14:paraId="57504FE0">
            <w:pPr>
              <w:pStyle w:val="12"/>
              <w:jc w:val="center"/>
              <w:rPr>
                <w:rFonts w:ascii="宋体" w:hAnsi="宋体"/>
                <w:b/>
              </w:rPr>
            </w:pPr>
            <w:r>
              <w:rPr>
                <w:rFonts w:hint="eastAsia" w:ascii="宋体" w:hAnsi="宋体"/>
                <w:b/>
              </w:rPr>
              <w:t>第六届</w:t>
            </w:r>
          </w:p>
        </w:tc>
        <w:tc>
          <w:tcPr>
            <w:tcW w:w="517" w:type="pct"/>
            <w:vAlign w:val="center"/>
          </w:tcPr>
          <w:p w14:paraId="29338F32">
            <w:pPr>
              <w:pStyle w:val="12"/>
              <w:jc w:val="center"/>
              <w:rPr>
                <w:rFonts w:ascii="宋体" w:hAnsi="宋体"/>
                <w:b/>
              </w:rPr>
            </w:pPr>
            <w:r>
              <w:rPr>
                <w:rFonts w:hint="eastAsia" w:ascii="宋体" w:hAnsi="宋体"/>
                <w:b/>
              </w:rPr>
              <w:t>第七届</w:t>
            </w:r>
          </w:p>
        </w:tc>
        <w:tc>
          <w:tcPr>
            <w:tcW w:w="517" w:type="pct"/>
            <w:vAlign w:val="center"/>
          </w:tcPr>
          <w:p w14:paraId="24BB912F">
            <w:pPr>
              <w:pStyle w:val="12"/>
              <w:jc w:val="center"/>
              <w:rPr>
                <w:rFonts w:ascii="宋体" w:hAnsi="宋体"/>
                <w:b/>
              </w:rPr>
            </w:pPr>
            <w:r>
              <w:rPr>
                <w:rFonts w:hint="eastAsia" w:ascii="宋体" w:hAnsi="宋体"/>
                <w:b/>
              </w:rPr>
              <w:t>第八届</w:t>
            </w:r>
          </w:p>
        </w:tc>
        <w:tc>
          <w:tcPr>
            <w:tcW w:w="517" w:type="pct"/>
            <w:vAlign w:val="center"/>
          </w:tcPr>
          <w:p w14:paraId="1DB5B1F6">
            <w:pPr>
              <w:pStyle w:val="12"/>
              <w:jc w:val="center"/>
              <w:rPr>
                <w:rFonts w:ascii="宋体" w:hAnsi="宋体"/>
                <w:b/>
              </w:rPr>
            </w:pPr>
            <w:r>
              <w:rPr>
                <w:rFonts w:hint="eastAsia" w:ascii="宋体" w:hAnsi="宋体"/>
                <w:b/>
              </w:rPr>
              <w:t>第九届</w:t>
            </w:r>
          </w:p>
        </w:tc>
        <w:tc>
          <w:tcPr>
            <w:tcW w:w="517" w:type="pct"/>
            <w:vAlign w:val="center"/>
          </w:tcPr>
          <w:p w14:paraId="3D3C12E0">
            <w:pPr>
              <w:pStyle w:val="12"/>
              <w:jc w:val="center"/>
              <w:rPr>
                <w:rFonts w:ascii="宋体" w:hAnsi="宋体"/>
                <w:b/>
              </w:rPr>
            </w:pPr>
            <w:r>
              <w:rPr>
                <w:rFonts w:hint="eastAsia" w:ascii="宋体" w:hAnsi="宋体"/>
                <w:b/>
              </w:rPr>
              <w:t>第十届</w:t>
            </w:r>
          </w:p>
        </w:tc>
        <w:tc>
          <w:tcPr>
            <w:tcW w:w="517" w:type="pct"/>
            <w:vAlign w:val="center"/>
          </w:tcPr>
          <w:p w14:paraId="38D3C556">
            <w:pPr>
              <w:pStyle w:val="12"/>
              <w:jc w:val="center"/>
              <w:rPr>
                <w:rFonts w:ascii="宋体" w:hAnsi="宋体"/>
                <w:b/>
              </w:rPr>
            </w:pPr>
            <w:r>
              <w:rPr>
                <w:rFonts w:hint="eastAsia" w:ascii="宋体" w:hAnsi="宋体"/>
                <w:b/>
              </w:rPr>
              <w:t>第十一届</w:t>
            </w:r>
          </w:p>
        </w:tc>
        <w:tc>
          <w:tcPr>
            <w:tcW w:w="516" w:type="pct"/>
            <w:vAlign w:val="center"/>
          </w:tcPr>
          <w:p w14:paraId="5A76F48D">
            <w:pPr>
              <w:pStyle w:val="12"/>
              <w:jc w:val="center"/>
              <w:rPr>
                <w:rFonts w:ascii="宋体" w:hAnsi="宋体"/>
                <w:b/>
              </w:rPr>
            </w:pPr>
            <w:r>
              <w:rPr>
                <w:rFonts w:hint="eastAsia" w:ascii="宋体" w:hAnsi="宋体"/>
                <w:b/>
              </w:rPr>
              <w:t>第十二届</w:t>
            </w:r>
          </w:p>
        </w:tc>
      </w:tr>
      <w:tr w14:paraId="054A99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2" w:type="pct"/>
            <w:gridSpan w:val="2"/>
            <w:vAlign w:val="center"/>
          </w:tcPr>
          <w:p w14:paraId="05434209">
            <w:pPr>
              <w:pStyle w:val="12"/>
              <w:jc w:val="center"/>
              <w:rPr>
                <w:rFonts w:ascii="宋体" w:hAnsi="宋体"/>
              </w:rPr>
            </w:pPr>
            <w:r>
              <w:rPr>
                <w:rFonts w:hint="eastAsia" w:ascii="宋体" w:hAnsi="宋体"/>
              </w:rPr>
              <w:t>代  表  总  数</w:t>
            </w:r>
          </w:p>
        </w:tc>
        <w:tc>
          <w:tcPr>
            <w:tcW w:w="517" w:type="pct"/>
            <w:vAlign w:val="center"/>
          </w:tcPr>
          <w:p w14:paraId="0A88FF8C">
            <w:pPr>
              <w:pStyle w:val="12"/>
              <w:jc w:val="center"/>
              <w:rPr>
                <w:rFonts w:ascii="宋体" w:hAnsi="宋体"/>
              </w:rPr>
            </w:pPr>
            <w:r>
              <w:rPr>
                <w:rFonts w:hint="eastAsia" w:ascii="宋体" w:hAnsi="宋体"/>
              </w:rPr>
              <w:t>309</w:t>
            </w:r>
          </w:p>
        </w:tc>
        <w:tc>
          <w:tcPr>
            <w:tcW w:w="517" w:type="pct"/>
            <w:vAlign w:val="center"/>
          </w:tcPr>
          <w:p w14:paraId="066976DA">
            <w:pPr>
              <w:pStyle w:val="12"/>
              <w:jc w:val="center"/>
              <w:rPr>
                <w:rFonts w:ascii="宋体" w:hAnsi="宋体"/>
              </w:rPr>
            </w:pPr>
            <w:r>
              <w:rPr>
                <w:rFonts w:hint="eastAsia" w:ascii="宋体" w:hAnsi="宋体"/>
              </w:rPr>
              <w:t>270</w:t>
            </w:r>
          </w:p>
        </w:tc>
        <w:tc>
          <w:tcPr>
            <w:tcW w:w="517" w:type="pct"/>
            <w:vAlign w:val="center"/>
          </w:tcPr>
          <w:p w14:paraId="2316A522">
            <w:pPr>
              <w:pStyle w:val="12"/>
              <w:jc w:val="center"/>
              <w:rPr>
                <w:rFonts w:ascii="宋体" w:hAnsi="宋体"/>
              </w:rPr>
            </w:pPr>
            <w:r>
              <w:rPr>
                <w:rFonts w:hint="eastAsia" w:ascii="宋体" w:hAnsi="宋体"/>
              </w:rPr>
              <w:t>241</w:t>
            </w:r>
          </w:p>
        </w:tc>
        <w:tc>
          <w:tcPr>
            <w:tcW w:w="517" w:type="pct"/>
            <w:vAlign w:val="center"/>
          </w:tcPr>
          <w:p w14:paraId="671DE0B9">
            <w:pPr>
              <w:pStyle w:val="12"/>
              <w:jc w:val="center"/>
              <w:rPr>
                <w:rFonts w:ascii="宋体" w:hAnsi="宋体"/>
              </w:rPr>
            </w:pPr>
            <w:r>
              <w:rPr>
                <w:rFonts w:hint="eastAsia" w:ascii="宋体" w:hAnsi="宋体"/>
              </w:rPr>
              <w:t>252</w:t>
            </w:r>
          </w:p>
        </w:tc>
        <w:tc>
          <w:tcPr>
            <w:tcW w:w="517" w:type="pct"/>
            <w:vAlign w:val="center"/>
          </w:tcPr>
          <w:p w14:paraId="70886057">
            <w:pPr>
              <w:pStyle w:val="12"/>
              <w:jc w:val="center"/>
              <w:rPr>
                <w:rFonts w:ascii="宋体" w:hAnsi="宋体"/>
              </w:rPr>
            </w:pPr>
            <w:r>
              <w:rPr>
                <w:rFonts w:hint="eastAsia" w:ascii="宋体" w:hAnsi="宋体"/>
              </w:rPr>
              <w:t>259</w:t>
            </w:r>
          </w:p>
        </w:tc>
        <w:tc>
          <w:tcPr>
            <w:tcW w:w="517" w:type="pct"/>
            <w:vAlign w:val="center"/>
          </w:tcPr>
          <w:p w14:paraId="395D2A9C">
            <w:pPr>
              <w:pStyle w:val="12"/>
              <w:jc w:val="center"/>
              <w:rPr>
                <w:rFonts w:ascii="宋体" w:hAnsi="宋体"/>
              </w:rPr>
            </w:pPr>
            <w:r>
              <w:rPr>
                <w:rFonts w:hint="eastAsia" w:ascii="宋体" w:hAnsi="宋体"/>
              </w:rPr>
              <w:t>209</w:t>
            </w:r>
          </w:p>
        </w:tc>
        <w:tc>
          <w:tcPr>
            <w:tcW w:w="516" w:type="pct"/>
            <w:vAlign w:val="center"/>
          </w:tcPr>
          <w:p w14:paraId="2F227850">
            <w:pPr>
              <w:pStyle w:val="12"/>
              <w:jc w:val="center"/>
              <w:rPr>
                <w:rFonts w:ascii="宋体" w:hAnsi="宋体"/>
              </w:rPr>
            </w:pPr>
            <w:r>
              <w:rPr>
                <w:rFonts w:hint="eastAsia" w:ascii="宋体" w:hAnsi="宋体"/>
              </w:rPr>
              <w:t>210</w:t>
            </w:r>
          </w:p>
        </w:tc>
      </w:tr>
      <w:tr w14:paraId="74CEAC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6" w:type="pct"/>
            <w:vMerge w:val="restart"/>
            <w:vAlign w:val="center"/>
          </w:tcPr>
          <w:p w14:paraId="62F951CA">
            <w:pPr>
              <w:pStyle w:val="12"/>
              <w:jc w:val="center"/>
              <w:rPr>
                <w:rFonts w:ascii="宋体" w:hAnsi="宋体"/>
              </w:rPr>
            </w:pPr>
            <w:r>
              <w:rPr>
                <w:rFonts w:hint="eastAsia" w:ascii="宋体" w:hAnsi="宋体"/>
              </w:rPr>
              <w:t>性别结构</w:t>
            </w:r>
          </w:p>
        </w:tc>
        <w:tc>
          <w:tcPr>
            <w:tcW w:w="826" w:type="pct"/>
            <w:vAlign w:val="center"/>
          </w:tcPr>
          <w:p w14:paraId="29EDB091">
            <w:pPr>
              <w:pStyle w:val="12"/>
              <w:jc w:val="center"/>
              <w:rPr>
                <w:rFonts w:ascii="宋体" w:hAnsi="宋体"/>
              </w:rPr>
            </w:pPr>
            <w:r>
              <w:rPr>
                <w:rFonts w:hint="eastAsia" w:ascii="宋体" w:hAnsi="宋体"/>
              </w:rPr>
              <w:t>男</w:t>
            </w:r>
          </w:p>
        </w:tc>
        <w:tc>
          <w:tcPr>
            <w:tcW w:w="517" w:type="pct"/>
            <w:vAlign w:val="center"/>
          </w:tcPr>
          <w:p w14:paraId="4AD06B3B">
            <w:pPr>
              <w:pStyle w:val="12"/>
              <w:jc w:val="center"/>
              <w:rPr>
                <w:rFonts w:ascii="宋体" w:hAnsi="宋体"/>
              </w:rPr>
            </w:pPr>
            <w:r>
              <w:rPr>
                <w:rFonts w:hint="eastAsia" w:ascii="宋体" w:hAnsi="宋体"/>
              </w:rPr>
              <w:t>251</w:t>
            </w:r>
          </w:p>
        </w:tc>
        <w:tc>
          <w:tcPr>
            <w:tcW w:w="517" w:type="pct"/>
            <w:vAlign w:val="center"/>
          </w:tcPr>
          <w:p w14:paraId="59BEFADE">
            <w:pPr>
              <w:pStyle w:val="12"/>
              <w:jc w:val="center"/>
              <w:rPr>
                <w:rFonts w:ascii="宋体" w:hAnsi="宋体"/>
              </w:rPr>
            </w:pPr>
            <w:r>
              <w:rPr>
                <w:rFonts w:hint="eastAsia" w:ascii="宋体" w:hAnsi="宋体"/>
              </w:rPr>
              <w:t>210</w:t>
            </w:r>
          </w:p>
        </w:tc>
        <w:tc>
          <w:tcPr>
            <w:tcW w:w="517" w:type="pct"/>
            <w:vAlign w:val="center"/>
          </w:tcPr>
          <w:p w14:paraId="0FD29B1A">
            <w:pPr>
              <w:pStyle w:val="12"/>
              <w:jc w:val="center"/>
              <w:rPr>
                <w:rFonts w:ascii="宋体" w:hAnsi="宋体"/>
              </w:rPr>
            </w:pPr>
            <w:r>
              <w:rPr>
                <w:rFonts w:hint="eastAsia" w:ascii="宋体" w:hAnsi="宋体"/>
              </w:rPr>
              <w:t>185</w:t>
            </w:r>
          </w:p>
        </w:tc>
        <w:tc>
          <w:tcPr>
            <w:tcW w:w="517" w:type="pct"/>
            <w:vAlign w:val="center"/>
          </w:tcPr>
          <w:p w14:paraId="6C5333B7">
            <w:pPr>
              <w:pStyle w:val="12"/>
              <w:jc w:val="center"/>
              <w:rPr>
                <w:rFonts w:ascii="宋体" w:hAnsi="宋体"/>
              </w:rPr>
            </w:pPr>
            <w:r>
              <w:rPr>
                <w:rFonts w:hint="eastAsia" w:ascii="宋体" w:hAnsi="宋体"/>
              </w:rPr>
              <w:t>199</w:t>
            </w:r>
          </w:p>
        </w:tc>
        <w:tc>
          <w:tcPr>
            <w:tcW w:w="517" w:type="pct"/>
            <w:vAlign w:val="center"/>
          </w:tcPr>
          <w:p w14:paraId="6A623700">
            <w:pPr>
              <w:pStyle w:val="12"/>
              <w:jc w:val="center"/>
              <w:rPr>
                <w:rFonts w:ascii="宋体" w:hAnsi="宋体"/>
              </w:rPr>
            </w:pPr>
            <w:r>
              <w:rPr>
                <w:rFonts w:hint="eastAsia" w:ascii="宋体" w:hAnsi="宋体"/>
              </w:rPr>
              <w:t>250</w:t>
            </w:r>
          </w:p>
        </w:tc>
        <w:tc>
          <w:tcPr>
            <w:tcW w:w="517" w:type="pct"/>
            <w:vAlign w:val="center"/>
          </w:tcPr>
          <w:p w14:paraId="6BA85774">
            <w:pPr>
              <w:pStyle w:val="12"/>
              <w:jc w:val="center"/>
              <w:rPr>
                <w:rFonts w:ascii="宋体" w:hAnsi="宋体"/>
              </w:rPr>
            </w:pPr>
            <w:r>
              <w:rPr>
                <w:rFonts w:hint="eastAsia" w:ascii="宋体" w:hAnsi="宋体"/>
              </w:rPr>
              <w:t>157</w:t>
            </w:r>
          </w:p>
        </w:tc>
        <w:tc>
          <w:tcPr>
            <w:tcW w:w="516" w:type="pct"/>
            <w:vAlign w:val="center"/>
          </w:tcPr>
          <w:p w14:paraId="38E81639">
            <w:pPr>
              <w:pStyle w:val="12"/>
              <w:jc w:val="center"/>
              <w:rPr>
                <w:rFonts w:ascii="宋体" w:hAnsi="宋体"/>
              </w:rPr>
            </w:pPr>
            <w:r>
              <w:rPr>
                <w:rFonts w:hint="eastAsia" w:ascii="宋体" w:hAnsi="宋体"/>
              </w:rPr>
              <w:t>160</w:t>
            </w:r>
          </w:p>
        </w:tc>
      </w:tr>
      <w:tr w14:paraId="150ADD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6" w:type="pct"/>
            <w:vMerge w:val="continue"/>
            <w:vAlign w:val="center"/>
          </w:tcPr>
          <w:p w14:paraId="5C2FBD30">
            <w:pPr>
              <w:pStyle w:val="12"/>
              <w:jc w:val="center"/>
              <w:rPr>
                <w:rFonts w:ascii="宋体" w:hAnsi="宋体"/>
              </w:rPr>
            </w:pPr>
          </w:p>
        </w:tc>
        <w:tc>
          <w:tcPr>
            <w:tcW w:w="826" w:type="pct"/>
            <w:vAlign w:val="center"/>
          </w:tcPr>
          <w:p w14:paraId="7D890CE9">
            <w:pPr>
              <w:pStyle w:val="12"/>
              <w:jc w:val="center"/>
              <w:rPr>
                <w:rFonts w:ascii="宋体" w:hAnsi="宋体"/>
              </w:rPr>
            </w:pPr>
            <w:r>
              <w:rPr>
                <w:rFonts w:hint="eastAsia" w:ascii="宋体" w:hAnsi="宋体"/>
              </w:rPr>
              <w:t>女</w:t>
            </w:r>
          </w:p>
        </w:tc>
        <w:tc>
          <w:tcPr>
            <w:tcW w:w="517" w:type="pct"/>
            <w:vAlign w:val="center"/>
          </w:tcPr>
          <w:p w14:paraId="770E0DE9">
            <w:pPr>
              <w:pStyle w:val="12"/>
              <w:jc w:val="center"/>
              <w:rPr>
                <w:rFonts w:ascii="宋体" w:hAnsi="宋体"/>
              </w:rPr>
            </w:pPr>
            <w:r>
              <w:rPr>
                <w:rFonts w:hint="eastAsia" w:ascii="宋体" w:hAnsi="宋体"/>
              </w:rPr>
              <w:t>58</w:t>
            </w:r>
          </w:p>
        </w:tc>
        <w:tc>
          <w:tcPr>
            <w:tcW w:w="517" w:type="pct"/>
            <w:vAlign w:val="center"/>
          </w:tcPr>
          <w:p w14:paraId="0B6C3BEF">
            <w:pPr>
              <w:pStyle w:val="12"/>
              <w:jc w:val="center"/>
              <w:rPr>
                <w:rFonts w:ascii="宋体" w:hAnsi="宋体"/>
              </w:rPr>
            </w:pPr>
            <w:r>
              <w:rPr>
                <w:rFonts w:hint="eastAsia" w:ascii="宋体" w:hAnsi="宋体"/>
              </w:rPr>
              <w:t>60</w:t>
            </w:r>
          </w:p>
        </w:tc>
        <w:tc>
          <w:tcPr>
            <w:tcW w:w="517" w:type="pct"/>
            <w:vAlign w:val="center"/>
          </w:tcPr>
          <w:p w14:paraId="326F132F">
            <w:pPr>
              <w:pStyle w:val="12"/>
              <w:jc w:val="center"/>
              <w:rPr>
                <w:rFonts w:ascii="宋体" w:hAnsi="宋体"/>
              </w:rPr>
            </w:pPr>
            <w:r>
              <w:rPr>
                <w:rFonts w:hint="eastAsia" w:ascii="宋体" w:hAnsi="宋体"/>
              </w:rPr>
              <w:t>56</w:t>
            </w:r>
          </w:p>
        </w:tc>
        <w:tc>
          <w:tcPr>
            <w:tcW w:w="517" w:type="pct"/>
            <w:vAlign w:val="center"/>
          </w:tcPr>
          <w:p w14:paraId="3B041C15">
            <w:pPr>
              <w:pStyle w:val="12"/>
              <w:jc w:val="center"/>
              <w:rPr>
                <w:rFonts w:ascii="宋体" w:hAnsi="宋体"/>
              </w:rPr>
            </w:pPr>
            <w:r>
              <w:rPr>
                <w:rFonts w:hint="eastAsia" w:ascii="宋体" w:hAnsi="宋体"/>
              </w:rPr>
              <w:t>53</w:t>
            </w:r>
          </w:p>
        </w:tc>
        <w:tc>
          <w:tcPr>
            <w:tcW w:w="517" w:type="pct"/>
            <w:vAlign w:val="center"/>
          </w:tcPr>
          <w:p w14:paraId="27B66FE3">
            <w:pPr>
              <w:pStyle w:val="12"/>
              <w:jc w:val="center"/>
              <w:rPr>
                <w:rFonts w:ascii="宋体" w:hAnsi="宋体"/>
              </w:rPr>
            </w:pPr>
            <w:r>
              <w:rPr>
                <w:rFonts w:hint="eastAsia" w:ascii="宋体" w:hAnsi="宋体"/>
              </w:rPr>
              <w:t>59</w:t>
            </w:r>
          </w:p>
        </w:tc>
        <w:tc>
          <w:tcPr>
            <w:tcW w:w="517" w:type="pct"/>
            <w:vAlign w:val="center"/>
          </w:tcPr>
          <w:p w14:paraId="4451F47C">
            <w:pPr>
              <w:pStyle w:val="12"/>
              <w:jc w:val="center"/>
              <w:rPr>
                <w:rFonts w:ascii="宋体" w:hAnsi="宋体"/>
              </w:rPr>
            </w:pPr>
            <w:r>
              <w:rPr>
                <w:rFonts w:hint="eastAsia" w:ascii="宋体" w:hAnsi="宋体"/>
              </w:rPr>
              <w:t>52</w:t>
            </w:r>
          </w:p>
        </w:tc>
        <w:tc>
          <w:tcPr>
            <w:tcW w:w="516" w:type="pct"/>
            <w:vAlign w:val="center"/>
          </w:tcPr>
          <w:p w14:paraId="15885DA1">
            <w:pPr>
              <w:pStyle w:val="12"/>
              <w:jc w:val="center"/>
              <w:rPr>
                <w:rFonts w:ascii="宋体" w:hAnsi="宋体"/>
              </w:rPr>
            </w:pPr>
            <w:r>
              <w:rPr>
                <w:rFonts w:hint="eastAsia" w:ascii="宋体" w:hAnsi="宋体"/>
              </w:rPr>
              <w:t>50</w:t>
            </w:r>
          </w:p>
        </w:tc>
      </w:tr>
      <w:tr w14:paraId="548DA4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6" w:type="pct"/>
            <w:vMerge w:val="restart"/>
            <w:vAlign w:val="center"/>
          </w:tcPr>
          <w:p w14:paraId="4A7D1169">
            <w:pPr>
              <w:pStyle w:val="12"/>
              <w:jc w:val="center"/>
              <w:rPr>
                <w:rFonts w:ascii="宋体" w:hAnsi="宋体"/>
              </w:rPr>
            </w:pPr>
            <w:r>
              <w:rPr>
                <w:rFonts w:hint="eastAsia" w:ascii="宋体" w:hAnsi="宋体"/>
              </w:rPr>
              <w:t>职业结构</w:t>
            </w:r>
          </w:p>
        </w:tc>
        <w:tc>
          <w:tcPr>
            <w:tcW w:w="826" w:type="pct"/>
            <w:vAlign w:val="center"/>
          </w:tcPr>
          <w:p w14:paraId="6A0DC2B9">
            <w:pPr>
              <w:pStyle w:val="12"/>
              <w:jc w:val="center"/>
              <w:rPr>
                <w:rFonts w:ascii="宋体" w:hAnsi="宋体"/>
              </w:rPr>
            </w:pPr>
            <w:r>
              <w:rPr>
                <w:rFonts w:hint="eastAsia" w:ascii="宋体" w:hAnsi="宋体"/>
              </w:rPr>
              <w:t>工农劳动者</w:t>
            </w:r>
          </w:p>
        </w:tc>
        <w:tc>
          <w:tcPr>
            <w:tcW w:w="517" w:type="pct"/>
            <w:vAlign w:val="center"/>
          </w:tcPr>
          <w:p w14:paraId="475074AE">
            <w:pPr>
              <w:pStyle w:val="12"/>
              <w:jc w:val="center"/>
              <w:rPr>
                <w:rFonts w:ascii="宋体" w:hAnsi="宋体"/>
              </w:rPr>
            </w:pPr>
            <w:r>
              <w:rPr>
                <w:rFonts w:hint="eastAsia" w:ascii="宋体" w:hAnsi="宋体"/>
              </w:rPr>
              <w:t>205</w:t>
            </w:r>
          </w:p>
        </w:tc>
        <w:tc>
          <w:tcPr>
            <w:tcW w:w="517" w:type="pct"/>
            <w:vAlign w:val="center"/>
          </w:tcPr>
          <w:p w14:paraId="2D593628">
            <w:pPr>
              <w:pStyle w:val="12"/>
              <w:jc w:val="center"/>
              <w:rPr>
                <w:rFonts w:ascii="宋体" w:hAnsi="宋体"/>
              </w:rPr>
            </w:pPr>
            <w:r>
              <w:rPr>
                <w:rFonts w:hint="eastAsia" w:ascii="宋体" w:hAnsi="宋体"/>
              </w:rPr>
              <w:t>188</w:t>
            </w:r>
          </w:p>
        </w:tc>
        <w:tc>
          <w:tcPr>
            <w:tcW w:w="517" w:type="pct"/>
            <w:vAlign w:val="center"/>
          </w:tcPr>
          <w:p w14:paraId="021E05BE">
            <w:pPr>
              <w:pStyle w:val="12"/>
              <w:jc w:val="center"/>
              <w:rPr>
                <w:rFonts w:ascii="宋体" w:hAnsi="宋体"/>
              </w:rPr>
            </w:pPr>
            <w:r>
              <w:rPr>
                <w:rFonts w:hint="eastAsia" w:ascii="宋体" w:hAnsi="宋体"/>
              </w:rPr>
              <w:t>188</w:t>
            </w:r>
          </w:p>
        </w:tc>
        <w:tc>
          <w:tcPr>
            <w:tcW w:w="517" w:type="pct"/>
            <w:vAlign w:val="center"/>
          </w:tcPr>
          <w:p w14:paraId="3C4016C3">
            <w:pPr>
              <w:pStyle w:val="12"/>
              <w:jc w:val="center"/>
              <w:rPr>
                <w:rFonts w:ascii="宋体" w:hAnsi="宋体"/>
              </w:rPr>
            </w:pPr>
            <w:r>
              <w:rPr>
                <w:rFonts w:hint="eastAsia" w:ascii="宋体" w:hAnsi="宋体"/>
              </w:rPr>
              <w:t>140</w:t>
            </w:r>
          </w:p>
        </w:tc>
        <w:tc>
          <w:tcPr>
            <w:tcW w:w="517" w:type="pct"/>
            <w:vAlign w:val="center"/>
          </w:tcPr>
          <w:p w14:paraId="56232B49">
            <w:pPr>
              <w:pStyle w:val="12"/>
              <w:jc w:val="center"/>
              <w:rPr>
                <w:rFonts w:ascii="宋体" w:hAnsi="宋体"/>
              </w:rPr>
            </w:pPr>
            <w:r>
              <w:rPr>
                <w:rFonts w:hint="eastAsia" w:ascii="宋体" w:hAnsi="宋体"/>
              </w:rPr>
              <w:t>140</w:t>
            </w:r>
          </w:p>
        </w:tc>
        <w:tc>
          <w:tcPr>
            <w:tcW w:w="517" w:type="pct"/>
            <w:vAlign w:val="center"/>
          </w:tcPr>
          <w:p w14:paraId="73B43099">
            <w:pPr>
              <w:pStyle w:val="12"/>
              <w:jc w:val="center"/>
              <w:rPr>
                <w:rFonts w:ascii="宋体" w:hAnsi="宋体"/>
              </w:rPr>
            </w:pPr>
            <w:r>
              <w:rPr>
                <w:rFonts w:hint="eastAsia" w:ascii="宋体" w:hAnsi="宋体"/>
              </w:rPr>
              <w:t>114</w:t>
            </w:r>
          </w:p>
        </w:tc>
        <w:tc>
          <w:tcPr>
            <w:tcW w:w="516" w:type="pct"/>
            <w:vAlign w:val="center"/>
          </w:tcPr>
          <w:p w14:paraId="6E3C01DB">
            <w:pPr>
              <w:pStyle w:val="12"/>
              <w:jc w:val="center"/>
              <w:rPr>
                <w:rFonts w:ascii="宋体" w:hAnsi="宋体"/>
              </w:rPr>
            </w:pPr>
            <w:r>
              <w:rPr>
                <w:rFonts w:hint="eastAsia" w:ascii="宋体" w:hAnsi="宋体"/>
              </w:rPr>
              <w:t>103</w:t>
            </w:r>
          </w:p>
        </w:tc>
      </w:tr>
      <w:tr w14:paraId="168C0F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6" w:type="pct"/>
            <w:vMerge w:val="continue"/>
            <w:vAlign w:val="center"/>
          </w:tcPr>
          <w:p w14:paraId="3DA37810">
            <w:pPr>
              <w:pStyle w:val="12"/>
              <w:jc w:val="center"/>
              <w:rPr>
                <w:rFonts w:ascii="宋体" w:hAnsi="宋体"/>
              </w:rPr>
            </w:pPr>
          </w:p>
        </w:tc>
        <w:tc>
          <w:tcPr>
            <w:tcW w:w="826" w:type="pct"/>
            <w:vAlign w:val="center"/>
          </w:tcPr>
          <w:p w14:paraId="02FEAE61">
            <w:pPr>
              <w:pStyle w:val="12"/>
              <w:jc w:val="center"/>
              <w:rPr>
                <w:rFonts w:ascii="宋体" w:hAnsi="宋体"/>
              </w:rPr>
            </w:pPr>
            <w:r>
              <w:rPr>
                <w:rFonts w:hint="eastAsia" w:ascii="宋体" w:hAnsi="宋体"/>
              </w:rPr>
              <w:t>占总数比（%）</w:t>
            </w:r>
          </w:p>
        </w:tc>
        <w:tc>
          <w:tcPr>
            <w:tcW w:w="517" w:type="pct"/>
            <w:vAlign w:val="center"/>
          </w:tcPr>
          <w:p w14:paraId="255B3E5A">
            <w:pPr>
              <w:pStyle w:val="12"/>
              <w:jc w:val="center"/>
              <w:rPr>
                <w:rFonts w:ascii="宋体" w:hAnsi="宋体"/>
              </w:rPr>
            </w:pPr>
            <w:r>
              <w:rPr>
                <w:rFonts w:hint="eastAsia" w:ascii="宋体" w:hAnsi="宋体"/>
              </w:rPr>
              <w:t>66.4</w:t>
            </w:r>
          </w:p>
        </w:tc>
        <w:tc>
          <w:tcPr>
            <w:tcW w:w="517" w:type="pct"/>
            <w:vAlign w:val="center"/>
          </w:tcPr>
          <w:p w14:paraId="0F3FABD7">
            <w:pPr>
              <w:pStyle w:val="12"/>
              <w:jc w:val="center"/>
              <w:rPr>
                <w:rFonts w:ascii="宋体" w:hAnsi="宋体"/>
              </w:rPr>
            </w:pPr>
            <w:r>
              <w:rPr>
                <w:rFonts w:hint="eastAsia" w:ascii="宋体" w:hAnsi="宋体"/>
              </w:rPr>
              <w:t>69.6</w:t>
            </w:r>
          </w:p>
        </w:tc>
        <w:tc>
          <w:tcPr>
            <w:tcW w:w="517" w:type="pct"/>
            <w:vAlign w:val="center"/>
          </w:tcPr>
          <w:p w14:paraId="05752692">
            <w:pPr>
              <w:pStyle w:val="12"/>
              <w:jc w:val="center"/>
              <w:rPr>
                <w:rFonts w:ascii="宋体" w:hAnsi="宋体"/>
              </w:rPr>
            </w:pPr>
            <w:r>
              <w:rPr>
                <w:rFonts w:hint="eastAsia" w:ascii="宋体" w:hAnsi="宋体"/>
              </w:rPr>
              <w:t>49</w:t>
            </w:r>
          </w:p>
        </w:tc>
        <w:tc>
          <w:tcPr>
            <w:tcW w:w="517" w:type="pct"/>
            <w:vAlign w:val="center"/>
          </w:tcPr>
          <w:p w14:paraId="047FF875">
            <w:pPr>
              <w:pStyle w:val="12"/>
              <w:jc w:val="center"/>
              <w:rPr>
                <w:rFonts w:ascii="宋体" w:hAnsi="宋体"/>
              </w:rPr>
            </w:pPr>
            <w:r>
              <w:rPr>
                <w:rFonts w:hint="eastAsia" w:ascii="宋体" w:hAnsi="宋体"/>
              </w:rPr>
              <w:t>55.6</w:t>
            </w:r>
          </w:p>
        </w:tc>
        <w:tc>
          <w:tcPr>
            <w:tcW w:w="517" w:type="pct"/>
            <w:vAlign w:val="center"/>
          </w:tcPr>
          <w:p w14:paraId="5D1903E5">
            <w:pPr>
              <w:pStyle w:val="12"/>
              <w:jc w:val="center"/>
              <w:rPr>
                <w:rFonts w:ascii="宋体" w:hAnsi="宋体"/>
              </w:rPr>
            </w:pPr>
            <w:r>
              <w:rPr>
                <w:rFonts w:hint="eastAsia" w:ascii="宋体" w:hAnsi="宋体"/>
              </w:rPr>
              <w:t>54</w:t>
            </w:r>
          </w:p>
        </w:tc>
        <w:tc>
          <w:tcPr>
            <w:tcW w:w="517" w:type="pct"/>
            <w:vAlign w:val="center"/>
          </w:tcPr>
          <w:p w14:paraId="7F55D3AC">
            <w:pPr>
              <w:pStyle w:val="12"/>
              <w:jc w:val="center"/>
              <w:rPr>
                <w:rFonts w:ascii="宋体" w:hAnsi="宋体"/>
              </w:rPr>
            </w:pPr>
            <w:r>
              <w:rPr>
                <w:rFonts w:hint="eastAsia" w:ascii="宋体" w:hAnsi="宋体"/>
              </w:rPr>
              <w:t>54.5</w:t>
            </w:r>
          </w:p>
        </w:tc>
        <w:tc>
          <w:tcPr>
            <w:tcW w:w="516" w:type="pct"/>
            <w:vAlign w:val="center"/>
          </w:tcPr>
          <w:p w14:paraId="65C0743E">
            <w:pPr>
              <w:pStyle w:val="12"/>
              <w:jc w:val="center"/>
              <w:rPr>
                <w:rFonts w:ascii="宋体" w:hAnsi="宋体"/>
              </w:rPr>
            </w:pPr>
            <w:r>
              <w:rPr>
                <w:rFonts w:hint="eastAsia" w:ascii="宋体" w:hAnsi="宋体"/>
              </w:rPr>
              <w:t>44</w:t>
            </w:r>
          </w:p>
        </w:tc>
      </w:tr>
      <w:tr w14:paraId="0CDFED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6" w:type="pct"/>
            <w:vMerge w:val="continue"/>
            <w:vAlign w:val="center"/>
          </w:tcPr>
          <w:p w14:paraId="2C34AFEA">
            <w:pPr>
              <w:pStyle w:val="12"/>
              <w:jc w:val="center"/>
              <w:rPr>
                <w:rFonts w:ascii="宋体" w:hAnsi="宋体"/>
              </w:rPr>
            </w:pPr>
          </w:p>
        </w:tc>
        <w:tc>
          <w:tcPr>
            <w:tcW w:w="826" w:type="pct"/>
            <w:vAlign w:val="center"/>
          </w:tcPr>
          <w:p w14:paraId="061C1FE7">
            <w:pPr>
              <w:pStyle w:val="12"/>
              <w:jc w:val="center"/>
              <w:rPr>
                <w:rFonts w:ascii="宋体" w:hAnsi="宋体"/>
              </w:rPr>
            </w:pPr>
            <w:r>
              <w:rPr>
                <w:rFonts w:hint="eastAsia" w:ascii="宋体" w:hAnsi="宋体"/>
              </w:rPr>
              <w:t>干  部</w:t>
            </w:r>
          </w:p>
        </w:tc>
        <w:tc>
          <w:tcPr>
            <w:tcW w:w="517" w:type="pct"/>
            <w:vAlign w:val="center"/>
          </w:tcPr>
          <w:p w14:paraId="0BEED153">
            <w:pPr>
              <w:pStyle w:val="12"/>
              <w:jc w:val="center"/>
              <w:rPr>
                <w:rFonts w:ascii="宋体" w:hAnsi="宋体"/>
              </w:rPr>
            </w:pPr>
            <w:r>
              <w:rPr>
                <w:rFonts w:hint="eastAsia" w:ascii="宋体" w:hAnsi="宋体"/>
              </w:rPr>
              <w:t>75</w:t>
            </w:r>
          </w:p>
        </w:tc>
        <w:tc>
          <w:tcPr>
            <w:tcW w:w="517" w:type="pct"/>
            <w:vAlign w:val="center"/>
          </w:tcPr>
          <w:p w14:paraId="5CBADCC4">
            <w:pPr>
              <w:pStyle w:val="12"/>
              <w:jc w:val="center"/>
              <w:rPr>
                <w:rFonts w:ascii="宋体" w:hAnsi="宋体"/>
              </w:rPr>
            </w:pPr>
            <w:r>
              <w:rPr>
                <w:rFonts w:hint="eastAsia" w:ascii="宋体" w:hAnsi="宋体"/>
              </w:rPr>
              <w:t>43</w:t>
            </w:r>
          </w:p>
        </w:tc>
        <w:tc>
          <w:tcPr>
            <w:tcW w:w="517" w:type="pct"/>
            <w:vAlign w:val="center"/>
          </w:tcPr>
          <w:p w14:paraId="2262FC3B">
            <w:pPr>
              <w:pStyle w:val="12"/>
              <w:jc w:val="center"/>
              <w:rPr>
                <w:rFonts w:ascii="宋体" w:hAnsi="宋体"/>
              </w:rPr>
            </w:pPr>
            <w:r>
              <w:rPr>
                <w:rFonts w:hint="eastAsia" w:ascii="宋体" w:hAnsi="宋体"/>
              </w:rPr>
              <w:t>66</w:t>
            </w:r>
          </w:p>
        </w:tc>
        <w:tc>
          <w:tcPr>
            <w:tcW w:w="517" w:type="pct"/>
            <w:vAlign w:val="center"/>
          </w:tcPr>
          <w:p w14:paraId="254D4573">
            <w:pPr>
              <w:pStyle w:val="12"/>
              <w:jc w:val="center"/>
              <w:rPr>
                <w:rFonts w:ascii="宋体" w:hAnsi="宋体"/>
              </w:rPr>
            </w:pPr>
            <w:r>
              <w:rPr>
                <w:rFonts w:hint="eastAsia" w:ascii="宋体" w:hAnsi="宋体"/>
              </w:rPr>
              <w:t>47</w:t>
            </w:r>
          </w:p>
        </w:tc>
        <w:tc>
          <w:tcPr>
            <w:tcW w:w="517" w:type="pct"/>
            <w:vAlign w:val="center"/>
          </w:tcPr>
          <w:p w14:paraId="421A15D9">
            <w:pPr>
              <w:pStyle w:val="12"/>
              <w:jc w:val="center"/>
              <w:rPr>
                <w:rFonts w:ascii="宋体" w:hAnsi="宋体"/>
              </w:rPr>
            </w:pPr>
            <w:r>
              <w:rPr>
                <w:rFonts w:hint="eastAsia" w:ascii="宋体" w:hAnsi="宋体"/>
              </w:rPr>
              <w:t>51</w:t>
            </w:r>
          </w:p>
        </w:tc>
        <w:tc>
          <w:tcPr>
            <w:tcW w:w="517" w:type="pct"/>
            <w:vAlign w:val="center"/>
          </w:tcPr>
          <w:p w14:paraId="2CD458E2">
            <w:pPr>
              <w:pStyle w:val="12"/>
              <w:jc w:val="center"/>
              <w:rPr>
                <w:rFonts w:ascii="宋体" w:hAnsi="宋体"/>
              </w:rPr>
            </w:pPr>
            <w:r>
              <w:rPr>
                <w:rFonts w:hint="eastAsia" w:ascii="宋体" w:hAnsi="宋体"/>
              </w:rPr>
              <w:t>56</w:t>
            </w:r>
          </w:p>
        </w:tc>
        <w:tc>
          <w:tcPr>
            <w:tcW w:w="516" w:type="pct"/>
            <w:vAlign w:val="center"/>
          </w:tcPr>
          <w:p w14:paraId="78451039">
            <w:pPr>
              <w:pStyle w:val="12"/>
              <w:jc w:val="center"/>
              <w:rPr>
                <w:rFonts w:ascii="宋体" w:hAnsi="宋体"/>
              </w:rPr>
            </w:pPr>
            <w:r>
              <w:rPr>
                <w:rFonts w:hint="eastAsia" w:ascii="宋体" w:hAnsi="宋体"/>
              </w:rPr>
              <w:t>68</w:t>
            </w:r>
          </w:p>
        </w:tc>
      </w:tr>
      <w:tr w14:paraId="0498BD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6" w:type="pct"/>
            <w:vMerge w:val="continue"/>
            <w:vAlign w:val="center"/>
          </w:tcPr>
          <w:p w14:paraId="6E3893D6">
            <w:pPr>
              <w:pStyle w:val="12"/>
              <w:jc w:val="center"/>
              <w:rPr>
                <w:rFonts w:ascii="宋体" w:hAnsi="宋体"/>
              </w:rPr>
            </w:pPr>
          </w:p>
        </w:tc>
        <w:tc>
          <w:tcPr>
            <w:tcW w:w="826" w:type="pct"/>
            <w:vAlign w:val="center"/>
          </w:tcPr>
          <w:p w14:paraId="7C979E59">
            <w:pPr>
              <w:pStyle w:val="12"/>
              <w:jc w:val="center"/>
              <w:rPr>
                <w:rFonts w:ascii="宋体" w:hAnsi="宋体"/>
              </w:rPr>
            </w:pPr>
            <w:r>
              <w:rPr>
                <w:rFonts w:hint="eastAsia" w:ascii="宋体" w:hAnsi="宋体"/>
              </w:rPr>
              <w:t>占总数比（%）</w:t>
            </w:r>
          </w:p>
        </w:tc>
        <w:tc>
          <w:tcPr>
            <w:tcW w:w="517" w:type="pct"/>
            <w:vAlign w:val="center"/>
          </w:tcPr>
          <w:p w14:paraId="0F65D90D">
            <w:pPr>
              <w:pStyle w:val="12"/>
              <w:jc w:val="center"/>
              <w:rPr>
                <w:rFonts w:ascii="宋体" w:hAnsi="宋体"/>
              </w:rPr>
            </w:pPr>
            <w:r>
              <w:rPr>
                <w:rFonts w:hint="eastAsia" w:ascii="宋体" w:hAnsi="宋体"/>
              </w:rPr>
              <w:t>24.4</w:t>
            </w:r>
          </w:p>
        </w:tc>
        <w:tc>
          <w:tcPr>
            <w:tcW w:w="517" w:type="pct"/>
            <w:vAlign w:val="center"/>
          </w:tcPr>
          <w:p w14:paraId="18D771E4">
            <w:pPr>
              <w:pStyle w:val="12"/>
              <w:jc w:val="center"/>
              <w:rPr>
                <w:rFonts w:ascii="宋体" w:hAnsi="宋体"/>
              </w:rPr>
            </w:pPr>
            <w:r>
              <w:rPr>
                <w:rFonts w:hint="eastAsia" w:ascii="宋体" w:hAnsi="宋体"/>
              </w:rPr>
              <w:t>15.9</w:t>
            </w:r>
          </w:p>
        </w:tc>
        <w:tc>
          <w:tcPr>
            <w:tcW w:w="517" w:type="pct"/>
            <w:vAlign w:val="center"/>
          </w:tcPr>
          <w:p w14:paraId="5E26C0D8">
            <w:pPr>
              <w:pStyle w:val="12"/>
              <w:jc w:val="center"/>
              <w:rPr>
                <w:rFonts w:ascii="宋体" w:hAnsi="宋体"/>
              </w:rPr>
            </w:pPr>
            <w:r>
              <w:rPr>
                <w:rFonts w:hint="eastAsia" w:ascii="宋体" w:hAnsi="宋体"/>
              </w:rPr>
              <w:t>27.4</w:t>
            </w:r>
          </w:p>
        </w:tc>
        <w:tc>
          <w:tcPr>
            <w:tcW w:w="517" w:type="pct"/>
            <w:vAlign w:val="center"/>
          </w:tcPr>
          <w:p w14:paraId="2C6665FA">
            <w:pPr>
              <w:pStyle w:val="12"/>
              <w:jc w:val="center"/>
              <w:rPr>
                <w:rFonts w:ascii="宋体" w:hAnsi="宋体"/>
              </w:rPr>
            </w:pPr>
            <w:r>
              <w:rPr>
                <w:rFonts w:hint="eastAsia" w:ascii="宋体" w:hAnsi="宋体"/>
              </w:rPr>
              <w:t>18.6</w:t>
            </w:r>
          </w:p>
        </w:tc>
        <w:tc>
          <w:tcPr>
            <w:tcW w:w="517" w:type="pct"/>
            <w:vAlign w:val="center"/>
          </w:tcPr>
          <w:p w14:paraId="05A38218">
            <w:pPr>
              <w:pStyle w:val="12"/>
              <w:jc w:val="center"/>
              <w:rPr>
                <w:rFonts w:ascii="宋体" w:hAnsi="宋体"/>
              </w:rPr>
            </w:pPr>
            <w:r>
              <w:rPr>
                <w:rFonts w:hint="eastAsia" w:ascii="宋体" w:hAnsi="宋体"/>
              </w:rPr>
              <w:t>19.7</w:t>
            </w:r>
          </w:p>
        </w:tc>
        <w:tc>
          <w:tcPr>
            <w:tcW w:w="517" w:type="pct"/>
            <w:vAlign w:val="center"/>
          </w:tcPr>
          <w:p w14:paraId="1A18F8C7">
            <w:pPr>
              <w:pStyle w:val="12"/>
              <w:jc w:val="center"/>
              <w:rPr>
                <w:rFonts w:ascii="宋体" w:hAnsi="宋体"/>
              </w:rPr>
            </w:pPr>
            <w:r>
              <w:rPr>
                <w:rFonts w:hint="eastAsia" w:ascii="宋体" w:hAnsi="宋体"/>
              </w:rPr>
              <w:t>26.9</w:t>
            </w:r>
          </w:p>
        </w:tc>
        <w:tc>
          <w:tcPr>
            <w:tcW w:w="516" w:type="pct"/>
            <w:vAlign w:val="center"/>
          </w:tcPr>
          <w:p w14:paraId="41604F90">
            <w:pPr>
              <w:pStyle w:val="12"/>
              <w:jc w:val="center"/>
              <w:rPr>
                <w:rFonts w:ascii="宋体" w:hAnsi="宋体"/>
              </w:rPr>
            </w:pPr>
            <w:r>
              <w:rPr>
                <w:rFonts w:hint="eastAsia" w:ascii="宋体" w:hAnsi="宋体"/>
              </w:rPr>
              <w:t>32.4</w:t>
            </w:r>
          </w:p>
        </w:tc>
      </w:tr>
      <w:tr w14:paraId="270498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6" w:type="pct"/>
            <w:vMerge w:val="continue"/>
            <w:vAlign w:val="center"/>
          </w:tcPr>
          <w:p w14:paraId="6A8DA860">
            <w:pPr>
              <w:pStyle w:val="12"/>
              <w:jc w:val="center"/>
              <w:rPr>
                <w:rFonts w:ascii="宋体" w:hAnsi="宋体"/>
              </w:rPr>
            </w:pPr>
          </w:p>
        </w:tc>
        <w:tc>
          <w:tcPr>
            <w:tcW w:w="826" w:type="pct"/>
            <w:vAlign w:val="center"/>
          </w:tcPr>
          <w:p w14:paraId="7FB90E58">
            <w:pPr>
              <w:pStyle w:val="12"/>
              <w:jc w:val="center"/>
              <w:rPr>
                <w:rFonts w:ascii="宋体" w:hAnsi="宋体"/>
              </w:rPr>
            </w:pPr>
            <w:r>
              <w:rPr>
                <w:rFonts w:hint="eastAsia" w:ascii="宋体" w:hAnsi="宋体"/>
              </w:rPr>
              <w:t>知识分子</w:t>
            </w:r>
          </w:p>
        </w:tc>
        <w:tc>
          <w:tcPr>
            <w:tcW w:w="517" w:type="pct"/>
            <w:vAlign w:val="center"/>
          </w:tcPr>
          <w:p w14:paraId="1DBC18FD">
            <w:pPr>
              <w:pStyle w:val="12"/>
              <w:jc w:val="center"/>
              <w:rPr>
                <w:rFonts w:ascii="宋体" w:hAnsi="宋体"/>
              </w:rPr>
            </w:pPr>
            <w:r>
              <w:rPr>
                <w:rFonts w:hint="eastAsia" w:ascii="宋体" w:hAnsi="宋体"/>
              </w:rPr>
              <w:t>18</w:t>
            </w:r>
          </w:p>
        </w:tc>
        <w:tc>
          <w:tcPr>
            <w:tcW w:w="517" w:type="pct"/>
            <w:vAlign w:val="center"/>
          </w:tcPr>
          <w:p w14:paraId="0B5D177A">
            <w:pPr>
              <w:pStyle w:val="12"/>
              <w:jc w:val="center"/>
              <w:rPr>
                <w:rFonts w:ascii="宋体" w:hAnsi="宋体"/>
              </w:rPr>
            </w:pPr>
            <w:r>
              <w:rPr>
                <w:rFonts w:hint="eastAsia" w:ascii="宋体" w:hAnsi="宋体"/>
              </w:rPr>
              <w:t>36</w:t>
            </w:r>
          </w:p>
        </w:tc>
        <w:tc>
          <w:tcPr>
            <w:tcW w:w="517" w:type="pct"/>
            <w:vAlign w:val="center"/>
          </w:tcPr>
          <w:p w14:paraId="316B02DE">
            <w:pPr>
              <w:pStyle w:val="12"/>
              <w:jc w:val="center"/>
              <w:rPr>
                <w:rFonts w:ascii="宋体" w:hAnsi="宋体"/>
              </w:rPr>
            </w:pPr>
            <w:r>
              <w:rPr>
                <w:rFonts w:hint="eastAsia" w:ascii="宋体" w:hAnsi="宋体"/>
              </w:rPr>
              <w:t>53</w:t>
            </w:r>
          </w:p>
        </w:tc>
        <w:tc>
          <w:tcPr>
            <w:tcW w:w="517" w:type="pct"/>
            <w:vAlign w:val="center"/>
          </w:tcPr>
          <w:p w14:paraId="376570F1">
            <w:pPr>
              <w:pStyle w:val="12"/>
              <w:jc w:val="center"/>
              <w:rPr>
                <w:rFonts w:ascii="宋体" w:hAnsi="宋体"/>
              </w:rPr>
            </w:pPr>
            <w:r>
              <w:rPr>
                <w:rFonts w:hint="eastAsia" w:ascii="宋体" w:hAnsi="宋体"/>
              </w:rPr>
              <w:t>63</w:t>
            </w:r>
          </w:p>
        </w:tc>
        <w:tc>
          <w:tcPr>
            <w:tcW w:w="517" w:type="pct"/>
            <w:vAlign w:val="center"/>
          </w:tcPr>
          <w:p w14:paraId="04E2D88E">
            <w:pPr>
              <w:pStyle w:val="12"/>
              <w:jc w:val="center"/>
              <w:rPr>
                <w:rFonts w:ascii="宋体" w:hAnsi="宋体"/>
              </w:rPr>
            </w:pPr>
            <w:r>
              <w:rPr>
                <w:rFonts w:hint="eastAsia" w:ascii="宋体" w:hAnsi="宋体"/>
              </w:rPr>
              <w:t>65</w:t>
            </w:r>
          </w:p>
        </w:tc>
        <w:tc>
          <w:tcPr>
            <w:tcW w:w="517" w:type="pct"/>
            <w:vAlign w:val="center"/>
          </w:tcPr>
          <w:p w14:paraId="48687F13">
            <w:pPr>
              <w:pStyle w:val="12"/>
              <w:jc w:val="center"/>
              <w:rPr>
                <w:rFonts w:ascii="宋体" w:hAnsi="宋体"/>
              </w:rPr>
            </w:pPr>
            <w:r>
              <w:rPr>
                <w:rFonts w:hint="eastAsia" w:ascii="宋体" w:hAnsi="宋体"/>
              </w:rPr>
              <w:t>88</w:t>
            </w:r>
          </w:p>
        </w:tc>
        <w:tc>
          <w:tcPr>
            <w:tcW w:w="516" w:type="pct"/>
            <w:vAlign w:val="center"/>
          </w:tcPr>
          <w:p w14:paraId="1019A145">
            <w:pPr>
              <w:pStyle w:val="12"/>
              <w:jc w:val="center"/>
              <w:rPr>
                <w:rFonts w:ascii="宋体" w:hAnsi="宋体"/>
              </w:rPr>
            </w:pPr>
            <w:r>
              <w:rPr>
                <w:rFonts w:hint="eastAsia" w:ascii="宋体" w:hAnsi="宋体"/>
              </w:rPr>
              <w:t>39</w:t>
            </w:r>
          </w:p>
        </w:tc>
      </w:tr>
      <w:tr w14:paraId="4D4B6B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6" w:type="pct"/>
            <w:vMerge w:val="continue"/>
            <w:vAlign w:val="center"/>
          </w:tcPr>
          <w:p w14:paraId="71EC7E1E">
            <w:pPr>
              <w:pStyle w:val="12"/>
              <w:jc w:val="center"/>
              <w:rPr>
                <w:rFonts w:ascii="宋体" w:hAnsi="宋体"/>
              </w:rPr>
            </w:pPr>
          </w:p>
        </w:tc>
        <w:tc>
          <w:tcPr>
            <w:tcW w:w="826" w:type="pct"/>
            <w:vAlign w:val="center"/>
          </w:tcPr>
          <w:p w14:paraId="0912C4B0">
            <w:pPr>
              <w:pStyle w:val="12"/>
              <w:jc w:val="center"/>
              <w:rPr>
                <w:rFonts w:ascii="宋体" w:hAnsi="宋体"/>
              </w:rPr>
            </w:pPr>
            <w:r>
              <w:rPr>
                <w:rFonts w:hint="eastAsia" w:ascii="宋体" w:hAnsi="宋体"/>
              </w:rPr>
              <w:t>占总数比（%）</w:t>
            </w:r>
          </w:p>
        </w:tc>
        <w:tc>
          <w:tcPr>
            <w:tcW w:w="517" w:type="pct"/>
            <w:vAlign w:val="center"/>
          </w:tcPr>
          <w:p w14:paraId="066714DA">
            <w:pPr>
              <w:pStyle w:val="12"/>
              <w:jc w:val="center"/>
              <w:rPr>
                <w:rFonts w:ascii="宋体" w:hAnsi="宋体"/>
              </w:rPr>
            </w:pPr>
            <w:r>
              <w:rPr>
                <w:rFonts w:hint="eastAsia" w:ascii="宋体" w:hAnsi="宋体"/>
              </w:rPr>
              <w:t>5.8</w:t>
            </w:r>
          </w:p>
        </w:tc>
        <w:tc>
          <w:tcPr>
            <w:tcW w:w="517" w:type="pct"/>
            <w:vAlign w:val="center"/>
          </w:tcPr>
          <w:p w14:paraId="56695903">
            <w:pPr>
              <w:pStyle w:val="12"/>
              <w:jc w:val="center"/>
              <w:rPr>
                <w:rFonts w:ascii="宋体" w:hAnsi="宋体"/>
              </w:rPr>
            </w:pPr>
            <w:r>
              <w:rPr>
                <w:rFonts w:hint="eastAsia" w:ascii="宋体" w:hAnsi="宋体"/>
              </w:rPr>
              <w:t>13.3</w:t>
            </w:r>
          </w:p>
        </w:tc>
        <w:tc>
          <w:tcPr>
            <w:tcW w:w="517" w:type="pct"/>
            <w:vAlign w:val="center"/>
          </w:tcPr>
          <w:p w14:paraId="2D1F4E7C">
            <w:pPr>
              <w:pStyle w:val="12"/>
              <w:jc w:val="center"/>
              <w:rPr>
                <w:rFonts w:ascii="宋体" w:hAnsi="宋体"/>
              </w:rPr>
            </w:pPr>
            <w:r>
              <w:rPr>
                <w:rFonts w:hint="eastAsia" w:ascii="宋体" w:hAnsi="宋体"/>
              </w:rPr>
              <w:t>22</w:t>
            </w:r>
          </w:p>
        </w:tc>
        <w:tc>
          <w:tcPr>
            <w:tcW w:w="517" w:type="pct"/>
            <w:vAlign w:val="center"/>
          </w:tcPr>
          <w:p w14:paraId="6DB98383">
            <w:pPr>
              <w:pStyle w:val="12"/>
              <w:jc w:val="center"/>
              <w:rPr>
                <w:rFonts w:ascii="宋体" w:hAnsi="宋体"/>
              </w:rPr>
            </w:pPr>
            <w:r>
              <w:rPr>
                <w:rFonts w:hint="eastAsia" w:ascii="宋体" w:hAnsi="宋体"/>
              </w:rPr>
              <w:t>25</w:t>
            </w:r>
          </w:p>
        </w:tc>
        <w:tc>
          <w:tcPr>
            <w:tcW w:w="517" w:type="pct"/>
            <w:vAlign w:val="center"/>
          </w:tcPr>
          <w:p w14:paraId="08972895">
            <w:pPr>
              <w:pStyle w:val="12"/>
              <w:jc w:val="center"/>
              <w:rPr>
                <w:rFonts w:ascii="宋体" w:hAnsi="宋体"/>
              </w:rPr>
            </w:pPr>
            <w:r>
              <w:rPr>
                <w:rFonts w:hint="eastAsia" w:ascii="宋体" w:hAnsi="宋体"/>
              </w:rPr>
              <w:t>25.1</w:t>
            </w:r>
          </w:p>
        </w:tc>
        <w:tc>
          <w:tcPr>
            <w:tcW w:w="517" w:type="pct"/>
            <w:vAlign w:val="center"/>
          </w:tcPr>
          <w:p w14:paraId="7B03E246">
            <w:pPr>
              <w:pStyle w:val="12"/>
              <w:jc w:val="center"/>
              <w:rPr>
                <w:rFonts w:ascii="宋体" w:hAnsi="宋体"/>
              </w:rPr>
            </w:pPr>
            <w:r>
              <w:rPr>
                <w:rFonts w:hint="eastAsia" w:ascii="宋体" w:hAnsi="宋体"/>
              </w:rPr>
              <w:t>42.1</w:t>
            </w:r>
          </w:p>
        </w:tc>
        <w:tc>
          <w:tcPr>
            <w:tcW w:w="516" w:type="pct"/>
            <w:vAlign w:val="center"/>
          </w:tcPr>
          <w:p w14:paraId="3701A60F">
            <w:pPr>
              <w:pStyle w:val="12"/>
              <w:jc w:val="center"/>
              <w:rPr>
                <w:rFonts w:ascii="宋体" w:hAnsi="宋体"/>
              </w:rPr>
            </w:pPr>
            <w:r>
              <w:rPr>
                <w:rFonts w:hint="eastAsia" w:ascii="宋体" w:hAnsi="宋体"/>
              </w:rPr>
              <w:t>18.6</w:t>
            </w:r>
          </w:p>
        </w:tc>
      </w:tr>
      <w:tr w14:paraId="487D33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6" w:type="pct"/>
            <w:vMerge w:val="restart"/>
            <w:vAlign w:val="center"/>
          </w:tcPr>
          <w:p w14:paraId="2A11B47E">
            <w:pPr>
              <w:pStyle w:val="12"/>
              <w:jc w:val="center"/>
              <w:rPr>
                <w:rFonts w:ascii="宋体" w:hAnsi="宋体"/>
              </w:rPr>
            </w:pPr>
            <w:r>
              <w:rPr>
                <w:rFonts w:hint="eastAsia" w:ascii="宋体" w:hAnsi="宋体"/>
              </w:rPr>
              <w:t>文化结构</w:t>
            </w:r>
          </w:p>
        </w:tc>
        <w:tc>
          <w:tcPr>
            <w:tcW w:w="826" w:type="pct"/>
            <w:vAlign w:val="center"/>
          </w:tcPr>
          <w:p w14:paraId="46CAB4EB">
            <w:pPr>
              <w:pStyle w:val="12"/>
              <w:jc w:val="center"/>
              <w:rPr>
                <w:rFonts w:ascii="宋体" w:hAnsi="宋体"/>
              </w:rPr>
            </w:pPr>
            <w:r>
              <w:rPr>
                <w:rFonts w:hint="eastAsia" w:ascii="宋体" w:hAnsi="宋体"/>
              </w:rPr>
              <w:t>大  专</w:t>
            </w:r>
          </w:p>
        </w:tc>
        <w:tc>
          <w:tcPr>
            <w:tcW w:w="517" w:type="pct"/>
            <w:vAlign w:val="center"/>
          </w:tcPr>
          <w:p w14:paraId="49E1F6F3">
            <w:pPr>
              <w:pStyle w:val="12"/>
              <w:jc w:val="center"/>
              <w:rPr>
                <w:rFonts w:ascii="宋体" w:hAnsi="宋体"/>
              </w:rPr>
            </w:pPr>
            <w:r>
              <w:rPr>
                <w:rFonts w:hint="eastAsia" w:ascii="宋体" w:hAnsi="宋体"/>
              </w:rPr>
              <w:t>9</w:t>
            </w:r>
          </w:p>
        </w:tc>
        <w:tc>
          <w:tcPr>
            <w:tcW w:w="517" w:type="pct"/>
            <w:vAlign w:val="center"/>
          </w:tcPr>
          <w:p w14:paraId="0B9A1A93">
            <w:pPr>
              <w:pStyle w:val="12"/>
              <w:jc w:val="center"/>
              <w:rPr>
                <w:rFonts w:ascii="宋体" w:hAnsi="宋体"/>
              </w:rPr>
            </w:pPr>
            <w:r>
              <w:rPr>
                <w:rFonts w:hint="eastAsia" w:ascii="宋体" w:hAnsi="宋体"/>
              </w:rPr>
              <w:t>21</w:t>
            </w:r>
          </w:p>
        </w:tc>
        <w:tc>
          <w:tcPr>
            <w:tcW w:w="517" w:type="pct"/>
            <w:vAlign w:val="center"/>
          </w:tcPr>
          <w:p w14:paraId="6FD651C7">
            <w:pPr>
              <w:pStyle w:val="12"/>
              <w:jc w:val="center"/>
              <w:rPr>
                <w:rFonts w:ascii="宋体" w:hAnsi="宋体"/>
              </w:rPr>
            </w:pPr>
            <w:r>
              <w:rPr>
                <w:rFonts w:hint="eastAsia" w:ascii="宋体" w:hAnsi="宋体"/>
              </w:rPr>
              <w:t>40</w:t>
            </w:r>
          </w:p>
        </w:tc>
        <w:tc>
          <w:tcPr>
            <w:tcW w:w="517" w:type="pct"/>
            <w:vAlign w:val="center"/>
          </w:tcPr>
          <w:p w14:paraId="1E66B073">
            <w:pPr>
              <w:pStyle w:val="12"/>
              <w:jc w:val="center"/>
              <w:rPr>
                <w:rFonts w:ascii="宋体" w:hAnsi="宋体"/>
              </w:rPr>
            </w:pPr>
            <w:r>
              <w:rPr>
                <w:rFonts w:hint="eastAsia" w:ascii="宋体" w:hAnsi="宋体"/>
              </w:rPr>
              <w:t>54</w:t>
            </w:r>
          </w:p>
        </w:tc>
        <w:tc>
          <w:tcPr>
            <w:tcW w:w="517" w:type="pct"/>
            <w:vAlign w:val="center"/>
          </w:tcPr>
          <w:p w14:paraId="08302C38">
            <w:pPr>
              <w:pStyle w:val="12"/>
              <w:jc w:val="center"/>
              <w:rPr>
                <w:rFonts w:ascii="宋体" w:hAnsi="宋体"/>
              </w:rPr>
            </w:pPr>
            <w:r>
              <w:rPr>
                <w:rFonts w:hint="eastAsia" w:ascii="宋体" w:hAnsi="宋体"/>
              </w:rPr>
              <w:t>63</w:t>
            </w:r>
          </w:p>
        </w:tc>
        <w:tc>
          <w:tcPr>
            <w:tcW w:w="517" w:type="pct"/>
            <w:vAlign w:val="center"/>
          </w:tcPr>
          <w:p w14:paraId="562E2AD2">
            <w:pPr>
              <w:pStyle w:val="12"/>
              <w:jc w:val="center"/>
              <w:rPr>
                <w:rFonts w:ascii="宋体" w:hAnsi="宋体"/>
              </w:rPr>
            </w:pPr>
            <w:r>
              <w:rPr>
                <w:rFonts w:hint="eastAsia" w:ascii="宋体" w:hAnsi="宋体"/>
              </w:rPr>
              <w:t>74</w:t>
            </w:r>
          </w:p>
        </w:tc>
        <w:tc>
          <w:tcPr>
            <w:tcW w:w="516" w:type="pct"/>
            <w:vAlign w:val="center"/>
          </w:tcPr>
          <w:p w14:paraId="7BED587B">
            <w:pPr>
              <w:pStyle w:val="12"/>
              <w:jc w:val="center"/>
              <w:rPr>
                <w:rFonts w:ascii="宋体" w:hAnsi="宋体"/>
              </w:rPr>
            </w:pPr>
            <w:r>
              <w:rPr>
                <w:rFonts w:hint="eastAsia" w:ascii="宋体" w:hAnsi="宋体"/>
              </w:rPr>
              <w:t>91</w:t>
            </w:r>
          </w:p>
        </w:tc>
      </w:tr>
      <w:tr w14:paraId="2D0611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6" w:type="pct"/>
            <w:vMerge w:val="continue"/>
            <w:vAlign w:val="center"/>
          </w:tcPr>
          <w:p w14:paraId="750DCA06">
            <w:pPr>
              <w:pStyle w:val="12"/>
              <w:jc w:val="center"/>
              <w:rPr>
                <w:rFonts w:ascii="宋体" w:hAnsi="宋体"/>
              </w:rPr>
            </w:pPr>
          </w:p>
        </w:tc>
        <w:tc>
          <w:tcPr>
            <w:tcW w:w="826" w:type="pct"/>
            <w:vAlign w:val="center"/>
          </w:tcPr>
          <w:p w14:paraId="58F392EC">
            <w:pPr>
              <w:pStyle w:val="12"/>
              <w:jc w:val="center"/>
              <w:rPr>
                <w:rFonts w:ascii="宋体" w:hAnsi="宋体"/>
              </w:rPr>
            </w:pPr>
            <w:r>
              <w:rPr>
                <w:rFonts w:hint="eastAsia" w:ascii="宋体" w:hAnsi="宋体"/>
              </w:rPr>
              <w:t>占总数比（%）</w:t>
            </w:r>
          </w:p>
        </w:tc>
        <w:tc>
          <w:tcPr>
            <w:tcW w:w="517" w:type="pct"/>
            <w:vAlign w:val="center"/>
          </w:tcPr>
          <w:p w14:paraId="0B821079">
            <w:pPr>
              <w:pStyle w:val="12"/>
              <w:jc w:val="center"/>
              <w:rPr>
                <w:rFonts w:ascii="宋体" w:hAnsi="宋体"/>
              </w:rPr>
            </w:pPr>
            <w:r>
              <w:rPr>
                <w:rFonts w:hint="eastAsia" w:ascii="宋体" w:hAnsi="宋体"/>
              </w:rPr>
              <w:t>2.9</w:t>
            </w:r>
          </w:p>
        </w:tc>
        <w:tc>
          <w:tcPr>
            <w:tcW w:w="517" w:type="pct"/>
            <w:vAlign w:val="center"/>
          </w:tcPr>
          <w:p w14:paraId="5826B900">
            <w:pPr>
              <w:pStyle w:val="12"/>
              <w:jc w:val="center"/>
              <w:rPr>
                <w:rFonts w:ascii="宋体" w:hAnsi="宋体"/>
              </w:rPr>
            </w:pPr>
            <w:r>
              <w:rPr>
                <w:rFonts w:hint="eastAsia" w:ascii="宋体" w:hAnsi="宋体"/>
              </w:rPr>
              <w:t>7.7</w:t>
            </w:r>
          </w:p>
        </w:tc>
        <w:tc>
          <w:tcPr>
            <w:tcW w:w="517" w:type="pct"/>
            <w:vAlign w:val="center"/>
          </w:tcPr>
          <w:p w14:paraId="6FA3A404">
            <w:pPr>
              <w:pStyle w:val="12"/>
              <w:jc w:val="center"/>
              <w:rPr>
                <w:rFonts w:ascii="宋体" w:hAnsi="宋体"/>
              </w:rPr>
            </w:pPr>
            <w:r>
              <w:rPr>
                <w:rFonts w:hint="eastAsia" w:ascii="宋体" w:hAnsi="宋体"/>
              </w:rPr>
              <w:t>16.6</w:t>
            </w:r>
          </w:p>
        </w:tc>
        <w:tc>
          <w:tcPr>
            <w:tcW w:w="517" w:type="pct"/>
            <w:vAlign w:val="center"/>
          </w:tcPr>
          <w:p w14:paraId="6FE412D1">
            <w:pPr>
              <w:pStyle w:val="12"/>
              <w:jc w:val="center"/>
              <w:rPr>
                <w:rFonts w:ascii="宋体" w:hAnsi="宋体"/>
              </w:rPr>
            </w:pPr>
            <w:r>
              <w:rPr>
                <w:rFonts w:hint="eastAsia" w:ascii="宋体" w:hAnsi="宋体"/>
              </w:rPr>
              <w:t>21.4</w:t>
            </w:r>
          </w:p>
        </w:tc>
        <w:tc>
          <w:tcPr>
            <w:tcW w:w="517" w:type="pct"/>
            <w:vAlign w:val="center"/>
          </w:tcPr>
          <w:p w14:paraId="3F22FEBD">
            <w:pPr>
              <w:pStyle w:val="12"/>
              <w:jc w:val="center"/>
              <w:rPr>
                <w:rFonts w:ascii="宋体" w:hAnsi="宋体"/>
              </w:rPr>
            </w:pPr>
            <w:r>
              <w:rPr>
                <w:rFonts w:hint="eastAsia" w:ascii="宋体" w:hAnsi="宋体"/>
              </w:rPr>
              <w:t>24.3</w:t>
            </w:r>
          </w:p>
        </w:tc>
        <w:tc>
          <w:tcPr>
            <w:tcW w:w="517" w:type="pct"/>
            <w:vAlign w:val="center"/>
          </w:tcPr>
          <w:p w14:paraId="4C5B9A9E">
            <w:pPr>
              <w:pStyle w:val="12"/>
              <w:jc w:val="center"/>
              <w:rPr>
                <w:rFonts w:ascii="宋体" w:hAnsi="宋体"/>
              </w:rPr>
            </w:pPr>
            <w:r>
              <w:rPr>
                <w:rFonts w:hint="eastAsia" w:ascii="宋体" w:hAnsi="宋体"/>
              </w:rPr>
              <w:t>35.2</w:t>
            </w:r>
          </w:p>
        </w:tc>
        <w:tc>
          <w:tcPr>
            <w:tcW w:w="516" w:type="pct"/>
            <w:vAlign w:val="center"/>
          </w:tcPr>
          <w:p w14:paraId="2E312BA5">
            <w:pPr>
              <w:pStyle w:val="12"/>
              <w:jc w:val="center"/>
              <w:rPr>
                <w:rFonts w:ascii="宋体" w:hAnsi="宋体"/>
              </w:rPr>
            </w:pPr>
            <w:r>
              <w:rPr>
                <w:rFonts w:hint="eastAsia" w:ascii="宋体" w:hAnsi="宋体"/>
              </w:rPr>
              <w:t>43.3</w:t>
            </w:r>
          </w:p>
        </w:tc>
      </w:tr>
      <w:tr w14:paraId="5F3BB6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6" w:type="pct"/>
            <w:vMerge w:val="continue"/>
            <w:vAlign w:val="center"/>
          </w:tcPr>
          <w:p w14:paraId="3FE74B3A">
            <w:pPr>
              <w:pStyle w:val="12"/>
              <w:jc w:val="center"/>
              <w:rPr>
                <w:rFonts w:ascii="宋体" w:hAnsi="宋体"/>
              </w:rPr>
            </w:pPr>
          </w:p>
        </w:tc>
        <w:tc>
          <w:tcPr>
            <w:tcW w:w="826" w:type="pct"/>
            <w:vAlign w:val="center"/>
          </w:tcPr>
          <w:p w14:paraId="24751B07">
            <w:pPr>
              <w:pStyle w:val="12"/>
              <w:jc w:val="center"/>
              <w:rPr>
                <w:rFonts w:ascii="宋体" w:hAnsi="宋体"/>
              </w:rPr>
            </w:pPr>
            <w:r>
              <w:rPr>
                <w:rFonts w:hint="eastAsia" w:ascii="宋体" w:hAnsi="宋体"/>
              </w:rPr>
              <w:t>中  专</w:t>
            </w:r>
          </w:p>
        </w:tc>
        <w:tc>
          <w:tcPr>
            <w:tcW w:w="517" w:type="pct"/>
            <w:vAlign w:val="center"/>
          </w:tcPr>
          <w:p w14:paraId="2569E2B3">
            <w:pPr>
              <w:pStyle w:val="12"/>
              <w:jc w:val="center"/>
              <w:rPr>
                <w:rFonts w:ascii="宋体" w:hAnsi="宋体"/>
              </w:rPr>
            </w:pPr>
            <w:r>
              <w:rPr>
                <w:rFonts w:hint="eastAsia" w:ascii="宋体" w:hAnsi="宋体"/>
              </w:rPr>
              <w:t>12</w:t>
            </w:r>
          </w:p>
        </w:tc>
        <w:tc>
          <w:tcPr>
            <w:tcW w:w="517" w:type="pct"/>
            <w:vAlign w:val="center"/>
          </w:tcPr>
          <w:p w14:paraId="3FBBD19D">
            <w:pPr>
              <w:pStyle w:val="12"/>
              <w:jc w:val="center"/>
              <w:rPr>
                <w:rFonts w:ascii="宋体" w:hAnsi="宋体"/>
              </w:rPr>
            </w:pPr>
            <w:r>
              <w:rPr>
                <w:rFonts w:hint="eastAsia" w:ascii="宋体" w:hAnsi="宋体"/>
              </w:rPr>
              <w:t>17</w:t>
            </w:r>
          </w:p>
        </w:tc>
        <w:tc>
          <w:tcPr>
            <w:tcW w:w="517" w:type="pct"/>
            <w:vAlign w:val="center"/>
          </w:tcPr>
          <w:p w14:paraId="1E0F35FA">
            <w:pPr>
              <w:pStyle w:val="12"/>
              <w:jc w:val="center"/>
              <w:rPr>
                <w:rFonts w:ascii="宋体" w:hAnsi="宋体"/>
              </w:rPr>
            </w:pPr>
            <w:r>
              <w:rPr>
                <w:rFonts w:hint="eastAsia" w:ascii="宋体" w:hAnsi="宋体"/>
              </w:rPr>
              <w:t>34</w:t>
            </w:r>
          </w:p>
        </w:tc>
        <w:tc>
          <w:tcPr>
            <w:tcW w:w="517" w:type="pct"/>
            <w:vAlign w:val="center"/>
          </w:tcPr>
          <w:p w14:paraId="01CF8F18">
            <w:pPr>
              <w:pStyle w:val="12"/>
              <w:jc w:val="center"/>
              <w:rPr>
                <w:rFonts w:ascii="宋体" w:hAnsi="宋体"/>
              </w:rPr>
            </w:pPr>
            <w:r>
              <w:rPr>
                <w:rFonts w:hint="eastAsia" w:ascii="宋体" w:hAnsi="宋体"/>
              </w:rPr>
              <w:t>36</w:t>
            </w:r>
          </w:p>
        </w:tc>
        <w:tc>
          <w:tcPr>
            <w:tcW w:w="517" w:type="pct"/>
            <w:vAlign w:val="center"/>
          </w:tcPr>
          <w:p w14:paraId="2AA44B04">
            <w:pPr>
              <w:pStyle w:val="12"/>
              <w:jc w:val="center"/>
              <w:rPr>
                <w:rFonts w:ascii="宋体" w:hAnsi="宋体"/>
              </w:rPr>
            </w:pPr>
            <w:r>
              <w:rPr>
                <w:rFonts w:hint="eastAsia" w:ascii="宋体" w:hAnsi="宋体"/>
              </w:rPr>
              <w:t>34</w:t>
            </w:r>
          </w:p>
        </w:tc>
        <w:tc>
          <w:tcPr>
            <w:tcW w:w="517" w:type="pct"/>
            <w:vAlign w:val="center"/>
          </w:tcPr>
          <w:p w14:paraId="1E3CAABF">
            <w:pPr>
              <w:pStyle w:val="12"/>
              <w:jc w:val="center"/>
              <w:rPr>
                <w:rFonts w:ascii="宋体" w:hAnsi="宋体"/>
              </w:rPr>
            </w:pPr>
            <w:r>
              <w:rPr>
                <w:rFonts w:hint="eastAsia" w:ascii="宋体" w:hAnsi="宋体"/>
              </w:rPr>
              <w:t>63</w:t>
            </w:r>
          </w:p>
        </w:tc>
        <w:tc>
          <w:tcPr>
            <w:tcW w:w="516" w:type="pct"/>
            <w:vAlign w:val="center"/>
          </w:tcPr>
          <w:p w14:paraId="2F7A6633">
            <w:pPr>
              <w:pStyle w:val="12"/>
              <w:jc w:val="center"/>
              <w:rPr>
                <w:rFonts w:ascii="宋体" w:hAnsi="宋体"/>
              </w:rPr>
            </w:pPr>
            <w:r>
              <w:rPr>
                <w:rFonts w:hint="eastAsia" w:ascii="宋体" w:hAnsi="宋体"/>
              </w:rPr>
              <w:t>86</w:t>
            </w:r>
          </w:p>
        </w:tc>
      </w:tr>
      <w:tr w14:paraId="4A2537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6" w:type="pct"/>
            <w:vMerge w:val="continue"/>
            <w:vAlign w:val="center"/>
          </w:tcPr>
          <w:p w14:paraId="13E4079A">
            <w:pPr>
              <w:pStyle w:val="12"/>
              <w:jc w:val="center"/>
              <w:rPr>
                <w:rFonts w:ascii="宋体" w:hAnsi="宋体"/>
              </w:rPr>
            </w:pPr>
          </w:p>
        </w:tc>
        <w:tc>
          <w:tcPr>
            <w:tcW w:w="826" w:type="pct"/>
            <w:vAlign w:val="center"/>
          </w:tcPr>
          <w:p w14:paraId="4FAE9168">
            <w:pPr>
              <w:pStyle w:val="12"/>
              <w:jc w:val="center"/>
              <w:rPr>
                <w:rFonts w:ascii="宋体" w:hAnsi="宋体"/>
              </w:rPr>
            </w:pPr>
            <w:r>
              <w:rPr>
                <w:rFonts w:hint="eastAsia" w:ascii="宋体" w:hAnsi="宋体"/>
              </w:rPr>
              <w:t>占总数比（%）</w:t>
            </w:r>
          </w:p>
        </w:tc>
        <w:tc>
          <w:tcPr>
            <w:tcW w:w="517" w:type="pct"/>
            <w:vAlign w:val="center"/>
          </w:tcPr>
          <w:p w14:paraId="65F1A819">
            <w:pPr>
              <w:pStyle w:val="12"/>
              <w:jc w:val="center"/>
              <w:rPr>
                <w:rFonts w:ascii="宋体" w:hAnsi="宋体"/>
              </w:rPr>
            </w:pPr>
            <w:r>
              <w:rPr>
                <w:rFonts w:hint="eastAsia" w:ascii="宋体" w:hAnsi="宋体"/>
              </w:rPr>
              <w:t>3.8</w:t>
            </w:r>
          </w:p>
        </w:tc>
        <w:tc>
          <w:tcPr>
            <w:tcW w:w="517" w:type="pct"/>
            <w:vAlign w:val="center"/>
          </w:tcPr>
          <w:p w14:paraId="62BA8D6B">
            <w:pPr>
              <w:pStyle w:val="12"/>
              <w:jc w:val="center"/>
              <w:rPr>
                <w:rFonts w:ascii="宋体" w:hAnsi="宋体"/>
              </w:rPr>
            </w:pPr>
            <w:r>
              <w:rPr>
                <w:rFonts w:hint="eastAsia" w:ascii="宋体" w:hAnsi="宋体"/>
              </w:rPr>
              <w:t>6.2</w:t>
            </w:r>
          </w:p>
        </w:tc>
        <w:tc>
          <w:tcPr>
            <w:tcW w:w="517" w:type="pct"/>
            <w:vAlign w:val="center"/>
          </w:tcPr>
          <w:p w14:paraId="29BA481C">
            <w:pPr>
              <w:pStyle w:val="12"/>
              <w:jc w:val="center"/>
              <w:rPr>
                <w:rFonts w:ascii="宋体" w:hAnsi="宋体"/>
              </w:rPr>
            </w:pPr>
            <w:r>
              <w:rPr>
                <w:rFonts w:hint="eastAsia" w:ascii="宋体" w:hAnsi="宋体"/>
              </w:rPr>
              <w:t>14</w:t>
            </w:r>
          </w:p>
        </w:tc>
        <w:tc>
          <w:tcPr>
            <w:tcW w:w="517" w:type="pct"/>
            <w:vAlign w:val="center"/>
          </w:tcPr>
          <w:p w14:paraId="55D45C36">
            <w:pPr>
              <w:pStyle w:val="12"/>
              <w:jc w:val="center"/>
              <w:rPr>
                <w:rFonts w:ascii="宋体" w:hAnsi="宋体"/>
              </w:rPr>
            </w:pPr>
            <w:r>
              <w:rPr>
                <w:rFonts w:hint="eastAsia" w:ascii="宋体" w:hAnsi="宋体"/>
              </w:rPr>
              <w:t>14.3</w:t>
            </w:r>
          </w:p>
        </w:tc>
        <w:tc>
          <w:tcPr>
            <w:tcW w:w="517" w:type="pct"/>
            <w:vAlign w:val="center"/>
          </w:tcPr>
          <w:p w14:paraId="24639E44">
            <w:pPr>
              <w:pStyle w:val="12"/>
              <w:jc w:val="center"/>
              <w:rPr>
                <w:rFonts w:ascii="宋体" w:hAnsi="宋体"/>
              </w:rPr>
            </w:pPr>
            <w:r>
              <w:rPr>
                <w:rFonts w:hint="eastAsia" w:ascii="宋体" w:hAnsi="宋体"/>
              </w:rPr>
              <w:t>11.6</w:t>
            </w:r>
          </w:p>
        </w:tc>
        <w:tc>
          <w:tcPr>
            <w:tcW w:w="517" w:type="pct"/>
            <w:vAlign w:val="center"/>
          </w:tcPr>
          <w:p w14:paraId="72748BCA">
            <w:pPr>
              <w:pStyle w:val="12"/>
              <w:jc w:val="center"/>
              <w:rPr>
                <w:rFonts w:ascii="宋体" w:hAnsi="宋体"/>
              </w:rPr>
            </w:pPr>
            <w:r>
              <w:rPr>
                <w:rFonts w:hint="eastAsia" w:ascii="宋体" w:hAnsi="宋体"/>
              </w:rPr>
              <w:t>30.9</w:t>
            </w:r>
          </w:p>
        </w:tc>
        <w:tc>
          <w:tcPr>
            <w:tcW w:w="516" w:type="pct"/>
            <w:vAlign w:val="center"/>
          </w:tcPr>
          <w:p w14:paraId="0D25FA17">
            <w:pPr>
              <w:pStyle w:val="12"/>
              <w:jc w:val="center"/>
              <w:rPr>
                <w:rFonts w:ascii="宋体" w:hAnsi="宋体"/>
              </w:rPr>
            </w:pPr>
            <w:r>
              <w:rPr>
                <w:rFonts w:hint="eastAsia" w:ascii="宋体" w:hAnsi="宋体"/>
              </w:rPr>
              <w:t>41</w:t>
            </w:r>
          </w:p>
        </w:tc>
      </w:tr>
      <w:tr w14:paraId="5E8563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6" w:type="pct"/>
            <w:vMerge w:val="continue"/>
            <w:vAlign w:val="center"/>
          </w:tcPr>
          <w:p w14:paraId="185FDFE4">
            <w:pPr>
              <w:pStyle w:val="12"/>
              <w:jc w:val="center"/>
              <w:rPr>
                <w:rFonts w:ascii="宋体" w:hAnsi="宋体"/>
              </w:rPr>
            </w:pPr>
          </w:p>
        </w:tc>
        <w:tc>
          <w:tcPr>
            <w:tcW w:w="826" w:type="pct"/>
            <w:vAlign w:val="center"/>
          </w:tcPr>
          <w:p w14:paraId="19C2241D">
            <w:pPr>
              <w:pStyle w:val="12"/>
              <w:jc w:val="center"/>
              <w:rPr>
                <w:rFonts w:ascii="宋体" w:hAnsi="宋体"/>
              </w:rPr>
            </w:pPr>
            <w:r>
              <w:rPr>
                <w:rFonts w:hint="eastAsia" w:ascii="宋体" w:hAnsi="宋体"/>
              </w:rPr>
              <w:t>中  学</w:t>
            </w:r>
          </w:p>
        </w:tc>
        <w:tc>
          <w:tcPr>
            <w:tcW w:w="517" w:type="pct"/>
            <w:vAlign w:val="center"/>
          </w:tcPr>
          <w:p w14:paraId="6CB9F47D">
            <w:pPr>
              <w:pStyle w:val="12"/>
              <w:jc w:val="center"/>
              <w:rPr>
                <w:rFonts w:ascii="宋体" w:hAnsi="宋体"/>
              </w:rPr>
            </w:pPr>
            <w:r>
              <w:rPr>
                <w:rFonts w:hint="eastAsia" w:ascii="宋体" w:hAnsi="宋体"/>
              </w:rPr>
              <w:t>129</w:t>
            </w:r>
          </w:p>
        </w:tc>
        <w:tc>
          <w:tcPr>
            <w:tcW w:w="517" w:type="pct"/>
            <w:vAlign w:val="center"/>
          </w:tcPr>
          <w:p w14:paraId="275FDDFB">
            <w:pPr>
              <w:pStyle w:val="12"/>
              <w:jc w:val="center"/>
              <w:rPr>
                <w:rFonts w:ascii="宋体" w:hAnsi="宋体"/>
              </w:rPr>
            </w:pPr>
            <w:r>
              <w:rPr>
                <w:rFonts w:hint="eastAsia" w:ascii="宋体" w:hAnsi="宋体"/>
              </w:rPr>
              <w:t>155</w:t>
            </w:r>
          </w:p>
        </w:tc>
        <w:tc>
          <w:tcPr>
            <w:tcW w:w="517" w:type="pct"/>
            <w:vAlign w:val="center"/>
          </w:tcPr>
          <w:p w14:paraId="1167C366">
            <w:pPr>
              <w:pStyle w:val="12"/>
              <w:jc w:val="center"/>
              <w:rPr>
                <w:rFonts w:ascii="宋体" w:hAnsi="宋体"/>
              </w:rPr>
            </w:pPr>
            <w:r>
              <w:rPr>
                <w:rFonts w:hint="eastAsia" w:ascii="宋体" w:hAnsi="宋体"/>
              </w:rPr>
              <w:t>131</w:t>
            </w:r>
          </w:p>
        </w:tc>
        <w:tc>
          <w:tcPr>
            <w:tcW w:w="517" w:type="pct"/>
            <w:vAlign w:val="center"/>
          </w:tcPr>
          <w:p w14:paraId="082ED087">
            <w:pPr>
              <w:pStyle w:val="12"/>
              <w:jc w:val="center"/>
              <w:rPr>
                <w:rFonts w:ascii="宋体" w:hAnsi="宋体"/>
              </w:rPr>
            </w:pPr>
            <w:r>
              <w:rPr>
                <w:rFonts w:hint="eastAsia" w:ascii="宋体" w:hAnsi="宋体"/>
              </w:rPr>
              <w:t>128</w:t>
            </w:r>
          </w:p>
        </w:tc>
        <w:tc>
          <w:tcPr>
            <w:tcW w:w="517" w:type="pct"/>
            <w:vAlign w:val="center"/>
          </w:tcPr>
          <w:p w14:paraId="5753DE46">
            <w:pPr>
              <w:pStyle w:val="12"/>
              <w:jc w:val="center"/>
              <w:rPr>
                <w:rFonts w:ascii="宋体" w:hAnsi="宋体"/>
              </w:rPr>
            </w:pPr>
            <w:r>
              <w:rPr>
                <w:rFonts w:hint="eastAsia" w:ascii="宋体" w:hAnsi="宋体"/>
              </w:rPr>
              <w:t>34</w:t>
            </w:r>
          </w:p>
        </w:tc>
        <w:tc>
          <w:tcPr>
            <w:tcW w:w="517" w:type="pct"/>
            <w:vAlign w:val="center"/>
          </w:tcPr>
          <w:p w14:paraId="24E0F6F8">
            <w:pPr>
              <w:pStyle w:val="12"/>
              <w:jc w:val="center"/>
              <w:rPr>
                <w:rFonts w:ascii="宋体" w:hAnsi="宋体"/>
              </w:rPr>
            </w:pPr>
            <w:r>
              <w:rPr>
                <w:rFonts w:hint="eastAsia" w:ascii="宋体" w:hAnsi="宋体"/>
              </w:rPr>
              <w:t>68</w:t>
            </w:r>
          </w:p>
        </w:tc>
        <w:tc>
          <w:tcPr>
            <w:tcW w:w="516" w:type="pct"/>
            <w:vAlign w:val="center"/>
          </w:tcPr>
          <w:p w14:paraId="44F20128">
            <w:pPr>
              <w:pStyle w:val="12"/>
              <w:jc w:val="center"/>
              <w:rPr>
                <w:rFonts w:ascii="宋体" w:hAnsi="宋体"/>
              </w:rPr>
            </w:pPr>
            <w:r>
              <w:rPr>
                <w:rFonts w:hint="eastAsia" w:ascii="宋体" w:hAnsi="宋体"/>
              </w:rPr>
              <w:t>33</w:t>
            </w:r>
          </w:p>
        </w:tc>
      </w:tr>
      <w:tr w14:paraId="6936F5C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6" w:type="pct"/>
            <w:vMerge w:val="continue"/>
            <w:vAlign w:val="center"/>
          </w:tcPr>
          <w:p w14:paraId="1DC12D20">
            <w:pPr>
              <w:pStyle w:val="12"/>
              <w:jc w:val="center"/>
              <w:rPr>
                <w:rFonts w:ascii="宋体" w:hAnsi="宋体"/>
              </w:rPr>
            </w:pPr>
          </w:p>
        </w:tc>
        <w:tc>
          <w:tcPr>
            <w:tcW w:w="826" w:type="pct"/>
            <w:vAlign w:val="center"/>
          </w:tcPr>
          <w:p w14:paraId="7DF331E2">
            <w:pPr>
              <w:pStyle w:val="12"/>
              <w:jc w:val="center"/>
              <w:rPr>
                <w:rFonts w:ascii="宋体" w:hAnsi="宋体"/>
              </w:rPr>
            </w:pPr>
            <w:r>
              <w:rPr>
                <w:rFonts w:hint="eastAsia" w:ascii="宋体" w:hAnsi="宋体"/>
              </w:rPr>
              <w:t>占总数比（%）</w:t>
            </w:r>
          </w:p>
        </w:tc>
        <w:tc>
          <w:tcPr>
            <w:tcW w:w="517" w:type="pct"/>
            <w:vAlign w:val="center"/>
          </w:tcPr>
          <w:p w14:paraId="7ABA4F46">
            <w:pPr>
              <w:pStyle w:val="12"/>
              <w:jc w:val="center"/>
              <w:rPr>
                <w:rFonts w:ascii="宋体" w:hAnsi="宋体"/>
              </w:rPr>
            </w:pPr>
            <w:r>
              <w:rPr>
                <w:rFonts w:hint="eastAsia" w:ascii="宋体" w:hAnsi="宋体"/>
              </w:rPr>
              <w:t>41.7</w:t>
            </w:r>
          </w:p>
        </w:tc>
        <w:tc>
          <w:tcPr>
            <w:tcW w:w="517" w:type="pct"/>
            <w:vAlign w:val="center"/>
          </w:tcPr>
          <w:p w14:paraId="1760E165">
            <w:pPr>
              <w:pStyle w:val="12"/>
              <w:jc w:val="center"/>
              <w:rPr>
                <w:rFonts w:ascii="宋体" w:hAnsi="宋体"/>
              </w:rPr>
            </w:pPr>
            <w:r>
              <w:rPr>
                <w:rFonts w:hint="eastAsia" w:ascii="宋体" w:hAnsi="宋体"/>
              </w:rPr>
              <w:t>57.4</w:t>
            </w:r>
          </w:p>
        </w:tc>
        <w:tc>
          <w:tcPr>
            <w:tcW w:w="517" w:type="pct"/>
            <w:vAlign w:val="center"/>
          </w:tcPr>
          <w:p w14:paraId="235679F2">
            <w:pPr>
              <w:pStyle w:val="12"/>
              <w:jc w:val="center"/>
              <w:rPr>
                <w:rFonts w:ascii="宋体" w:hAnsi="宋体"/>
              </w:rPr>
            </w:pPr>
            <w:r>
              <w:rPr>
                <w:rFonts w:hint="eastAsia" w:ascii="宋体" w:hAnsi="宋体"/>
              </w:rPr>
              <w:t>54.3</w:t>
            </w:r>
          </w:p>
        </w:tc>
        <w:tc>
          <w:tcPr>
            <w:tcW w:w="517" w:type="pct"/>
            <w:vAlign w:val="center"/>
          </w:tcPr>
          <w:p w14:paraId="3F910DE4">
            <w:pPr>
              <w:pStyle w:val="12"/>
              <w:jc w:val="center"/>
              <w:rPr>
                <w:rFonts w:ascii="宋体" w:hAnsi="宋体"/>
              </w:rPr>
            </w:pPr>
            <w:r>
              <w:rPr>
                <w:rFonts w:hint="eastAsia" w:ascii="宋体" w:hAnsi="宋体"/>
              </w:rPr>
              <w:t>50.7</w:t>
            </w:r>
          </w:p>
        </w:tc>
        <w:tc>
          <w:tcPr>
            <w:tcW w:w="517" w:type="pct"/>
            <w:vAlign w:val="center"/>
          </w:tcPr>
          <w:p w14:paraId="3A50DE04">
            <w:pPr>
              <w:pStyle w:val="12"/>
              <w:jc w:val="center"/>
              <w:rPr>
                <w:rFonts w:ascii="宋体" w:hAnsi="宋体"/>
              </w:rPr>
            </w:pPr>
            <w:r>
              <w:rPr>
                <w:rFonts w:hint="eastAsia" w:ascii="宋体" w:hAnsi="宋体"/>
              </w:rPr>
              <w:t>41.7</w:t>
            </w:r>
          </w:p>
        </w:tc>
        <w:tc>
          <w:tcPr>
            <w:tcW w:w="517" w:type="pct"/>
            <w:vAlign w:val="center"/>
          </w:tcPr>
          <w:p w14:paraId="1D12B871">
            <w:pPr>
              <w:pStyle w:val="12"/>
              <w:jc w:val="center"/>
              <w:rPr>
                <w:rFonts w:ascii="宋体" w:hAnsi="宋体"/>
              </w:rPr>
            </w:pPr>
            <w:r>
              <w:rPr>
                <w:rFonts w:hint="eastAsia" w:ascii="宋体" w:hAnsi="宋体"/>
              </w:rPr>
              <w:t>32.5</w:t>
            </w:r>
          </w:p>
        </w:tc>
        <w:tc>
          <w:tcPr>
            <w:tcW w:w="516" w:type="pct"/>
            <w:vAlign w:val="center"/>
          </w:tcPr>
          <w:p w14:paraId="2C410B6D">
            <w:pPr>
              <w:pStyle w:val="12"/>
              <w:jc w:val="center"/>
              <w:rPr>
                <w:rFonts w:ascii="宋体" w:hAnsi="宋体"/>
              </w:rPr>
            </w:pPr>
            <w:r>
              <w:rPr>
                <w:rFonts w:hint="eastAsia" w:ascii="宋体" w:hAnsi="宋体"/>
              </w:rPr>
              <w:t>15.7</w:t>
            </w:r>
          </w:p>
        </w:tc>
      </w:tr>
      <w:tr w14:paraId="7963C24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6" w:type="pct"/>
            <w:vMerge w:val="continue"/>
            <w:vAlign w:val="center"/>
          </w:tcPr>
          <w:p w14:paraId="4E62ECC0">
            <w:pPr>
              <w:pStyle w:val="12"/>
              <w:jc w:val="center"/>
              <w:rPr>
                <w:rFonts w:ascii="宋体" w:hAnsi="宋体"/>
              </w:rPr>
            </w:pPr>
          </w:p>
        </w:tc>
        <w:tc>
          <w:tcPr>
            <w:tcW w:w="826" w:type="pct"/>
            <w:vAlign w:val="center"/>
          </w:tcPr>
          <w:p w14:paraId="0F0F9D53">
            <w:pPr>
              <w:pStyle w:val="12"/>
              <w:jc w:val="center"/>
              <w:rPr>
                <w:rFonts w:ascii="宋体" w:hAnsi="宋体"/>
              </w:rPr>
            </w:pPr>
            <w:r>
              <w:rPr>
                <w:rFonts w:hint="eastAsia" w:ascii="宋体" w:hAnsi="宋体"/>
              </w:rPr>
              <w:t>小  学</w:t>
            </w:r>
          </w:p>
        </w:tc>
        <w:tc>
          <w:tcPr>
            <w:tcW w:w="517" w:type="pct"/>
            <w:vAlign w:val="center"/>
          </w:tcPr>
          <w:p w14:paraId="370D12FE">
            <w:pPr>
              <w:pStyle w:val="12"/>
              <w:jc w:val="center"/>
              <w:rPr>
                <w:rFonts w:ascii="宋体" w:hAnsi="宋体"/>
              </w:rPr>
            </w:pPr>
            <w:r>
              <w:rPr>
                <w:rFonts w:hint="eastAsia" w:ascii="宋体" w:hAnsi="宋体"/>
              </w:rPr>
              <w:t>144</w:t>
            </w:r>
          </w:p>
        </w:tc>
        <w:tc>
          <w:tcPr>
            <w:tcW w:w="517" w:type="pct"/>
            <w:vAlign w:val="center"/>
          </w:tcPr>
          <w:p w14:paraId="1F8A6BBA">
            <w:pPr>
              <w:pStyle w:val="12"/>
              <w:jc w:val="center"/>
              <w:rPr>
                <w:rFonts w:ascii="宋体" w:hAnsi="宋体"/>
              </w:rPr>
            </w:pPr>
            <w:r>
              <w:rPr>
                <w:rFonts w:hint="eastAsia" w:ascii="宋体" w:hAnsi="宋体"/>
              </w:rPr>
              <w:t>72</w:t>
            </w:r>
          </w:p>
        </w:tc>
        <w:tc>
          <w:tcPr>
            <w:tcW w:w="517" w:type="pct"/>
            <w:vAlign w:val="center"/>
          </w:tcPr>
          <w:p w14:paraId="46C58398">
            <w:pPr>
              <w:pStyle w:val="12"/>
              <w:jc w:val="center"/>
              <w:rPr>
                <w:rFonts w:ascii="宋体" w:hAnsi="宋体"/>
              </w:rPr>
            </w:pPr>
            <w:r>
              <w:rPr>
                <w:rFonts w:hint="eastAsia" w:ascii="宋体" w:hAnsi="宋体"/>
              </w:rPr>
              <w:t>36</w:t>
            </w:r>
          </w:p>
        </w:tc>
        <w:tc>
          <w:tcPr>
            <w:tcW w:w="517" w:type="pct"/>
            <w:vAlign w:val="center"/>
          </w:tcPr>
          <w:p w14:paraId="410C2023">
            <w:pPr>
              <w:pStyle w:val="12"/>
              <w:jc w:val="center"/>
              <w:rPr>
                <w:rFonts w:ascii="宋体" w:hAnsi="宋体"/>
              </w:rPr>
            </w:pPr>
            <w:r>
              <w:rPr>
                <w:rFonts w:hint="eastAsia" w:ascii="宋体" w:hAnsi="宋体"/>
              </w:rPr>
              <w:t>34</w:t>
            </w:r>
          </w:p>
        </w:tc>
        <w:tc>
          <w:tcPr>
            <w:tcW w:w="517" w:type="pct"/>
            <w:vAlign w:val="center"/>
          </w:tcPr>
          <w:p w14:paraId="447A7E4C">
            <w:pPr>
              <w:pStyle w:val="12"/>
              <w:jc w:val="center"/>
              <w:rPr>
                <w:rFonts w:ascii="宋体" w:hAnsi="宋体"/>
              </w:rPr>
            </w:pPr>
            <w:r>
              <w:rPr>
                <w:rFonts w:hint="eastAsia" w:ascii="宋体" w:hAnsi="宋体"/>
              </w:rPr>
              <w:t>32</w:t>
            </w:r>
          </w:p>
        </w:tc>
        <w:tc>
          <w:tcPr>
            <w:tcW w:w="517" w:type="pct"/>
            <w:vAlign w:val="center"/>
          </w:tcPr>
          <w:p w14:paraId="059C49A4">
            <w:pPr>
              <w:pStyle w:val="12"/>
              <w:jc w:val="center"/>
              <w:rPr>
                <w:rFonts w:ascii="宋体" w:hAnsi="宋体"/>
              </w:rPr>
            </w:pPr>
            <w:r>
              <w:rPr>
                <w:rFonts w:hint="eastAsia" w:ascii="宋体" w:hAnsi="宋体"/>
              </w:rPr>
              <w:t>4</w:t>
            </w:r>
          </w:p>
        </w:tc>
        <w:tc>
          <w:tcPr>
            <w:tcW w:w="516" w:type="pct"/>
            <w:vAlign w:val="center"/>
          </w:tcPr>
          <w:p w14:paraId="7926B613">
            <w:pPr>
              <w:pStyle w:val="12"/>
              <w:jc w:val="center"/>
              <w:rPr>
                <w:rFonts w:ascii="宋体" w:hAnsi="宋体"/>
              </w:rPr>
            </w:pPr>
            <w:r>
              <w:rPr>
                <w:rFonts w:hint="eastAsia" w:ascii="宋体" w:hAnsi="宋体"/>
              </w:rPr>
              <w:t>0</w:t>
            </w:r>
          </w:p>
        </w:tc>
      </w:tr>
      <w:tr w14:paraId="6E216E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6" w:type="pct"/>
            <w:vMerge w:val="continue"/>
            <w:vAlign w:val="center"/>
          </w:tcPr>
          <w:p w14:paraId="6A970D43">
            <w:pPr>
              <w:pStyle w:val="12"/>
              <w:jc w:val="center"/>
              <w:rPr>
                <w:rFonts w:ascii="宋体" w:hAnsi="宋体"/>
              </w:rPr>
            </w:pPr>
          </w:p>
        </w:tc>
        <w:tc>
          <w:tcPr>
            <w:tcW w:w="826" w:type="pct"/>
            <w:vAlign w:val="center"/>
          </w:tcPr>
          <w:p w14:paraId="284F16F3">
            <w:pPr>
              <w:pStyle w:val="12"/>
              <w:jc w:val="center"/>
              <w:rPr>
                <w:rFonts w:ascii="宋体" w:hAnsi="宋体"/>
              </w:rPr>
            </w:pPr>
            <w:r>
              <w:rPr>
                <w:rFonts w:hint="eastAsia" w:ascii="宋体" w:hAnsi="宋体"/>
              </w:rPr>
              <w:t>占总数比（%）</w:t>
            </w:r>
          </w:p>
        </w:tc>
        <w:tc>
          <w:tcPr>
            <w:tcW w:w="517" w:type="pct"/>
            <w:vAlign w:val="center"/>
          </w:tcPr>
          <w:p w14:paraId="37E00215">
            <w:pPr>
              <w:pStyle w:val="12"/>
              <w:jc w:val="center"/>
              <w:rPr>
                <w:rFonts w:ascii="宋体" w:hAnsi="宋体"/>
              </w:rPr>
            </w:pPr>
            <w:r>
              <w:rPr>
                <w:rFonts w:hint="eastAsia" w:ascii="宋体" w:hAnsi="宋体"/>
              </w:rPr>
              <w:t>46.6</w:t>
            </w:r>
          </w:p>
        </w:tc>
        <w:tc>
          <w:tcPr>
            <w:tcW w:w="517" w:type="pct"/>
            <w:vAlign w:val="center"/>
          </w:tcPr>
          <w:p w14:paraId="0356AFB0">
            <w:pPr>
              <w:pStyle w:val="12"/>
              <w:jc w:val="center"/>
              <w:rPr>
                <w:rFonts w:ascii="宋体" w:hAnsi="宋体"/>
              </w:rPr>
            </w:pPr>
            <w:r>
              <w:rPr>
                <w:rFonts w:hint="eastAsia" w:ascii="宋体" w:hAnsi="宋体"/>
              </w:rPr>
              <w:t>26.6</w:t>
            </w:r>
          </w:p>
        </w:tc>
        <w:tc>
          <w:tcPr>
            <w:tcW w:w="517" w:type="pct"/>
            <w:vAlign w:val="center"/>
          </w:tcPr>
          <w:p w14:paraId="73DC404D">
            <w:pPr>
              <w:pStyle w:val="12"/>
              <w:jc w:val="center"/>
              <w:rPr>
                <w:rFonts w:ascii="宋体" w:hAnsi="宋体"/>
              </w:rPr>
            </w:pPr>
            <w:r>
              <w:rPr>
                <w:rFonts w:hint="eastAsia" w:ascii="宋体" w:hAnsi="宋体"/>
              </w:rPr>
              <w:t>15</w:t>
            </w:r>
          </w:p>
        </w:tc>
        <w:tc>
          <w:tcPr>
            <w:tcW w:w="517" w:type="pct"/>
            <w:vAlign w:val="center"/>
          </w:tcPr>
          <w:p w14:paraId="628074DF">
            <w:pPr>
              <w:pStyle w:val="12"/>
              <w:jc w:val="center"/>
              <w:rPr>
                <w:rFonts w:ascii="宋体" w:hAnsi="宋体"/>
              </w:rPr>
            </w:pPr>
            <w:r>
              <w:rPr>
                <w:rFonts w:hint="eastAsia" w:ascii="宋体" w:hAnsi="宋体"/>
              </w:rPr>
              <w:t>13.5</w:t>
            </w:r>
          </w:p>
        </w:tc>
        <w:tc>
          <w:tcPr>
            <w:tcW w:w="517" w:type="pct"/>
            <w:vAlign w:val="center"/>
          </w:tcPr>
          <w:p w14:paraId="423EC6A6">
            <w:pPr>
              <w:pStyle w:val="12"/>
              <w:jc w:val="center"/>
              <w:rPr>
                <w:rFonts w:ascii="宋体" w:hAnsi="宋体"/>
              </w:rPr>
            </w:pPr>
            <w:r>
              <w:rPr>
                <w:rFonts w:hint="eastAsia" w:ascii="宋体" w:hAnsi="宋体"/>
              </w:rPr>
              <w:t>12.4</w:t>
            </w:r>
          </w:p>
        </w:tc>
        <w:tc>
          <w:tcPr>
            <w:tcW w:w="517" w:type="pct"/>
            <w:vAlign w:val="center"/>
          </w:tcPr>
          <w:p w14:paraId="75C7383F">
            <w:pPr>
              <w:pStyle w:val="12"/>
              <w:jc w:val="center"/>
              <w:rPr>
                <w:rFonts w:ascii="宋体" w:hAnsi="宋体"/>
              </w:rPr>
            </w:pPr>
            <w:r>
              <w:rPr>
                <w:rFonts w:hint="eastAsia" w:ascii="宋体" w:hAnsi="宋体"/>
              </w:rPr>
              <w:t>1.9</w:t>
            </w:r>
          </w:p>
        </w:tc>
        <w:tc>
          <w:tcPr>
            <w:tcW w:w="516" w:type="pct"/>
            <w:vAlign w:val="center"/>
          </w:tcPr>
          <w:p w14:paraId="5AC2259A">
            <w:pPr>
              <w:pStyle w:val="12"/>
              <w:jc w:val="center"/>
              <w:rPr>
                <w:rFonts w:ascii="宋体" w:hAnsi="宋体"/>
              </w:rPr>
            </w:pPr>
            <w:r>
              <w:rPr>
                <w:rFonts w:hint="eastAsia" w:ascii="宋体" w:hAnsi="宋体"/>
              </w:rPr>
              <w:t>0</w:t>
            </w:r>
          </w:p>
        </w:tc>
      </w:tr>
      <w:tr w14:paraId="554CE4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6" w:type="pct"/>
            <w:vMerge w:val="continue"/>
            <w:vAlign w:val="center"/>
          </w:tcPr>
          <w:p w14:paraId="63EE47BE">
            <w:pPr>
              <w:pStyle w:val="12"/>
              <w:jc w:val="center"/>
              <w:rPr>
                <w:rFonts w:ascii="宋体" w:hAnsi="宋体"/>
              </w:rPr>
            </w:pPr>
          </w:p>
        </w:tc>
        <w:tc>
          <w:tcPr>
            <w:tcW w:w="826" w:type="pct"/>
            <w:vAlign w:val="center"/>
          </w:tcPr>
          <w:p w14:paraId="268B4C73">
            <w:pPr>
              <w:pStyle w:val="12"/>
              <w:jc w:val="center"/>
              <w:rPr>
                <w:rFonts w:ascii="宋体" w:hAnsi="宋体"/>
              </w:rPr>
            </w:pPr>
            <w:r>
              <w:rPr>
                <w:rFonts w:hint="eastAsia" w:ascii="宋体" w:hAnsi="宋体"/>
              </w:rPr>
              <w:t>文  盲</w:t>
            </w:r>
          </w:p>
        </w:tc>
        <w:tc>
          <w:tcPr>
            <w:tcW w:w="517" w:type="pct"/>
            <w:vAlign w:val="center"/>
          </w:tcPr>
          <w:p w14:paraId="4E909629">
            <w:pPr>
              <w:pStyle w:val="12"/>
              <w:jc w:val="center"/>
              <w:rPr>
                <w:rFonts w:ascii="宋体" w:hAnsi="宋体"/>
              </w:rPr>
            </w:pPr>
            <w:r>
              <w:rPr>
                <w:rFonts w:hint="eastAsia" w:ascii="宋体" w:hAnsi="宋体"/>
              </w:rPr>
              <w:t>15</w:t>
            </w:r>
          </w:p>
        </w:tc>
        <w:tc>
          <w:tcPr>
            <w:tcW w:w="517" w:type="pct"/>
            <w:vAlign w:val="center"/>
          </w:tcPr>
          <w:p w14:paraId="33734DFA">
            <w:pPr>
              <w:pStyle w:val="12"/>
              <w:jc w:val="center"/>
              <w:rPr>
                <w:rFonts w:ascii="宋体" w:hAnsi="宋体"/>
              </w:rPr>
            </w:pPr>
            <w:r>
              <w:rPr>
                <w:rFonts w:hint="eastAsia" w:ascii="宋体" w:hAnsi="宋体"/>
              </w:rPr>
              <w:t>5</w:t>
            </w:r>
          </w:p>
        </w:tc>
        <w:tc>
          <w:tcPr>
            <w:tcW w:w="517" w:type="pct"/>
            <w:vAlign w:val="center"/>
          </w:tcPr>
          <w:p w14:paraId="50A59964">
            <w:pPr>
              <w:pStyle w:val="12"/>
              <w:jc w:val="center"/>
              <w:rPr>
                <w:rFonts w:ascii="宋体" w:hAnsi="宋体"/>
              </w:rPr>
            </w:pPr>
            <w:r>
              <w:rPr>
                <w:rFonts w:hint="eastAsia" w:ascii="宋体" w:hAnsi="宋体"/>
              </w:rPr>
              <w:t>0</w:t>
            </w:r>
          </w:p>
        </w:tc>
        <w:tc>
          <w:tcPr>
            <w:tcW w:w="517" w:type="pct"/>
            <w:vAlign w:val="center"/>
          </w:tcPr>
          <w:p w14:paraId="605EDDC1">
            <w:pPr>
              <w:pStyle w:val="12"/>
              <w:jc w:val="center"/>
              <w:rPr>
                <w:rFonts w:ascii="宋体" w:hAnsi="宋体"/>
              </w:rPr>
            </w:pPr>
            <w:r>
              <w:rPr>
                <w:rFonts w:hint="eastAsia" w:ascii="宋体" w:hAnsi="宋体"/>
              </w:rPr>
              <w:t>0</w:t>
            </w:r>
          </w:p>
        </w:tc>
        <w:tc>
          <w:tcPr>
            <w:tcW w:w="517" w:type="pct"/>
            <w:vAlign w:val="center"/>
          </w:tcPr>
          <w:p w14:paraId="6758B092">
            <w:pPr>
              <w:pStyle w:val="12"/>
              <w:jc w:val="center"/>
              <w:rPr>
                <w:rFonts w:ascii="宋体" w:hAnsi="宋体"/>
              </w:rPr>
            </w:pPr>
            <w:r>
              <w:rPr>
                <w:rFonts w:hint="eastAsia" w:ascii="宋体" w:hAnsi="宋体"/>
              </w:rPr>
              <w:t>0</w:t>
            </w:r>
          </w:p>
        </w:tc>
        <w:tc>
          <w:tcPr>
            <w:tcW w:w="517" w:type="pct"/>
            <w:vAlign w:val="center"/>
          </w:tcPr>
          <w:p w14:paraId="6079469A">
            <w:pPr>
              <w:pStyle w:val="12"/>
              <w:jc w:val="center"/>
              <w:rPr>
                <w:rFonts w:ascii="宋体" w:hAnsi="宋体"/>
              </w:rPr>
            </w:pPr>
            <w:r>
              <w:rPr>
                <w:rFonts w:hint="eastAsia" w:ascii="宋体" w:hAnsi="宋体"/>
              </w:rPr>
              <w:t>0</w:t>
            </w:r>
          </w:p>
        </w:tc>
        <w:tc>
          <w:tcPr>
            <w:tcW w:w="516" w:type="pct"/>
            <w:vAlign w:val="center"/>
          </w:tcPr>
          <w:p w14:paraId="2D1B0B14">
            <w:pPr>
              <w:pStyle w:val="12"/>
              <w:jc w:val="center"/>
              <w:rPr>
                <w:rFonts w:ascii="宋体" w:hAnsi="宋体"/>
              </w:rPr>
            </w:pPr>
            <w:r>
              <w:rPr>
                <w:rFonts w:hint="eastAsia" w:ascii="宋体" w:hAnsi="宋体"/>
              </w:rPr>
              <w:t>0</w:t>
            </w:r>
          </w:p>
        </w:tc>
      </w:tr>
      <w:tr w14:paraId="410A7C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6" w:type="pct"/>
            <w:vMerge w:val="continue"/>
            <w:vAlign w:val="center"/>
          </w:tcPr>
          <w:p w14:paraId="7CD33DA9">
            <w:pPr>
              <w:pStyle w:val="12"/>
              <w:jc w:val="center"/>
              <w:rPr>
                <w:rFonts w:ascii="宋体" w:hAnsi="宋体"/>
              </w:rPr>
            </w:pPr>
          </w:p>
        </w:tc>
        <w:tc>
          <w:tcPr>
            <w:tcW w:w="826" w:type="pct"/>
            <w:vAlign w:val="center"/>
          </w:tcPr>
          <w:p w14:paraId="370312F8">
            <w:pPr>
              <w:pStyle w:val="12"/>
              <w:jc w:val="center"/>
              <w:rPr>
                <w:rFonts w:ascii="宋体" w:hAnsi="宋体"/>
              </w:rPr>
            </w:pPr>
            <w:r>
              <w:rPr>
                <w:rFonts w:hint="eastAsia" w:ascii="宋体" w:hAnsi="宋体"/>
              </w:rPr>
              <w:t>占总数比（%）</w:t>
            </w:r>
          </w:p>
        </w:tc>
        <w:tc>
          <w:tcPr>
            <w:tcW w:w="517" w:type="pct"/>
            <w:vAlign w:val="center"/>
          </w:tcPr>
          <w:p w14:paraId="4EC5A1CD">
            <w:pPr>
              <w:pStyle w:val="12"/>
              <w:jc w:val="center"/>
              <w:rPr>
                <w:rFonts w:ascii="宋体" w:hAnsi="宋体"/>
              </w:rPr>
            </w:pPr>
            <w:r>
              <w:rPr>
                <w:rFonts w:hint="eastAsia" w:ascii="宋体" w:hAnsi="宋体"/>
              </w:rPr>
              <w:t>4.8</w:t>
            </w:r>
          </w:p>
        </w:tc>
        <w:tc>
          <w:tcPr>
            <w:tcW w:w="517" w:type="pct"/>
            <w:vAlign w:val="center"/>
          </w:tcPr>
          <w:p w14:paraId="59519EF8">
            <w:pPr>
              <w:pStyle w:val="12"/>
              <w:jc w:val="center"/>
              <w:rPr>
                <w:rFonts w:ascii="宋体" w:hAnsi="宋体"/>
              </w:rPr>
            </w:pPr>
            <w:r>
              <w:rPr>
                <w:rFonts w:hint="eastAsia" w:ascii="宋体" w:hAnsi="宋体"/>
              </w:rPr>
              <w:t>1.8</w:t>
            </w:r>
          </w:p>
        </w:tc>
        <w:tc>
          <w:tcPr>
            <w:tcW w:w="517" w:type="pct"/>
            <w:vAlign w:val="center"/>
          </w:tcPr>
          <w:p w14:paraId="330DFD05">
            <w:pPr>
              <w:pStyle w:val="12"/>
              <w:jc w:val="center"/>
              <w:rPr>
                <w:rFonts w:ascii="宋体" w:hAnsi="宋体"/>
              </w:rPr>
            </w:pPr>
            <w:r>
              <w:rPr>
                <w:rFonts w:hint="eastAsia" w:ascii="宋体" w:hAnsi="宋体"/>
              </w:rPr>
              <w:t>0</w:t>
            </w:r>
          </w:p>
        </w:tc>
        <w:tc>
          <w:tcPr>
            <w:tcW w:w="517" w:type="pct"/>
            <w:vAlign w:val="center"/>
          </w:tcPr>
          <w:p w14:paraId="1F814A73">
            <w:pPr>
              <w:pStyle w:val="12"/>
              <w:jc w:val="center"/>
              <w:rPr>
                <w:rFonts w:ascii="宋体" w:hAnsi="宋体"/>
              </w:rPr>
            </w:pPr>
            <w:r>
              <w:rPr>
                <w:rFonts w:hint="eastAsia" w:ascii="宋体" w:hAnsi="宋体"/>
              </w:rPr>
              <w:t>0</w:t>
            </w:r>
          </w:p>
        </w:tc>
        <w:tc>
          <w:tcPr>
            <w:tcW w:w="517" w:type="pct"/>
            <w:vAlign w:val="center"/>
          </w:tcPr>
          <w:p w14:paraId="4F99CF4E">
            <w:pPr>
              <w:pStyle w:val="12"/>
              <w:jc w:val="center"/>
              <w:rPr>
                <w:rFonts w:ascii="宋体" w:hAnsi="宋体"/>
              </w:rPr>
            </w:pPr>
            <w:r>
              <w:rPr>
                <w:rFonts w:hint="eastAsia" w:ascii="宋体" w:hAnsi="宋体"/>
              </w:rPr>
              <w:t>0</w:t>
            </w:r>
          </w:p>
        </w:tc>
        <w:tc>
          <w:tcPr>
            <w:tcW w:w="517" w:type="pct"/>
            <w:vAlign w:val="center"/>
          </w:tcPr>
          <w:p w14:paraId="6E999436">
            <w:pPr>
              <w:pStyle w:val="12"/>
              <w:jc w:val="center"/>
              <w:rPr>
                <w:rFonts w:ascii="宋体" w:hAnsi="宋体"/>
              </w:rPr>
            </w:pPr>
            <w:r>
              <w:rPr>
                <w:rFonts w:hint="eastAsia" w:ascii="宋体" w:hAnsi="宋体"/>
              </w:rPr>
              <w:t>0</w:t>
            </w:r>
          </w:p>
        </w:tc>
        <w:tc>
          <w:tcPr>
            <w:tcW w:w="516" w:type="pct"/>
            <w:vAlign w:val="center"/>
          </w:tcPr>
          <w:p w14:paraId="6C2D78A5">
            <w:pPr>
              <w:pStyle w:val="12"/>
              <w:jc w:val="center"/>
              <w:rPr>
                <w:rFonts w:ascii="宋体" w:hAnsi="宋体"/>
              </w:rPr>
            </w:pPr>
            <w:r>
              <w:rPr>
                <w:rFonts w:hint="eastAsia" w:ascii="宋体" w:hAnsi="宋体"/>
              </w:rPr>
              <w:t>0</w:t>
            </w:r>
          </w:p>
        </w:tc>
      </w:tr>
      <w:tr w14:paraId="6366A0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6" w:type="pct"/>
            <w:vMerge w:val="restart"/>
            <w:vAlign w:val="center"/>
          </w:tcPr>
          <w:p w14:paraId="5E8DA4C9">
            <w:pPr>
              <w:pStyle w:val="12"/>
              <w:jc w:val="center"/>
              <w:rPr>
                <w:rFonts w:ascii="宋体" w:hAnsi="宋体"/>
              </w:rPr>
            </w:pPr>
            <w:r>
              <w:rPr>
                <w:rFonts w:hint="eastAsia" w:ascii="宋体" w:hAnsi="宋体"/>
              </w:rPr>
              <w:t>年龄结构</w:t>
            </w:r>
          </w:p>
        </w:tc>
        <w:tc>
          <w:tcPr>
            <w:tcW w:w="826" w:type="pct"/>
            <w:vAlign w:val="center"/>
          </w:tcPr>
          <w:p w14:paraId="1774E176">
            <w:pPr>
              <w:pStyle w:val="12"/>
              <w:jc w:val="center"/>
              <w:rPr>
                <w:rFonts w:ascii="宋体" w:hAnsi="宋体"/>
              </w:rPr>
            </w:pPr>
            <w:r>
              <w:rPr>
                <w:rFonts w:hint="eastAsia" w:ascii="宋体" w:hAnsi="宋体"/>
              </w:rPr>
              <w:t>35岁以下</w:t>
            </w:r>
          </w:p>
        </w:tc>
        <w:tc>
          <w:tcPr>
            <w:tcW w:w="517" w:type="pct"/>
            <w:vAlign w:val="center"/>
          </w:tcPr>
          <w:p w14:paraId="17627C7C">
            <w:pPr>
              <w:pStyle w:val="12"/>
              <w:jc w:val="center"/>
              <w:rPr>
                <w:rFonts w:ascii="宋体" w:hAnsi="宋体"/>
              </w:rPr>
            </w:pPr>
            <w:r>
              <w:rPr>
                <w:rFonts w:hint="eastAsia" w:ascii="宋体" w:hAnsi="宋体"/>
              </w:rPr>
              <w:t>79</w:t>
            </w:r>
          </w:p>
        </w:tc>
        <w:tc>
          <w:tcPr>
            <w:tcW w:w="517" w:type="pct"/>
            <w:vAlign w:val="center"/>
          </w:tcPr>
          <w:p w14:paraId="69BC2C08">
            <w:pPr>
              <w:pStyle w:val="12"/>
              <w:jc w:val="center"/>
              <w:rPr>
                <w:rFonts w:ascii="宋体" w:hAnsi="宋体"/>
              </w:rPr>
            </w:pPr>
            <w:r>
              <w:rPr>
                <w:rFonts w:hint="eastAsia" w:ascii="宋体" w:hAnsi="宋体"/>
              </w:rPr>
              <w:t>91</w:t>
            </w:r>
          </w:p>
        </w:tc>
        <w:tc>
          <w:tcPr>
            <w:tcW w:w="517" w:type="pct"/>
            <w:vAlign w:val="center"/>
          </w:tcPr>
          <w:p w14:paraId="1AF4F897">
            <w:pPr>
              <w:pStyle w:val="12"/>
              <w:jc w:val="center"/>
              <w:rPr>
                <w:rFonts w:ascii="宋体" w:hAnsi="宋体"/>
              </w:rPr>
            </w:pPr>
            <w:r>
              <w:rPr>
                <w:rFonts w:hint="eastAsia" w:ascii="宋体" w:hAnsi="宋体"/>
              </w:rPr>
              <w:t>78</w:t>
            </w:r>
          </w:p>
        </w:tc>
        <w:tc>
          <w:tcPr>
            <w:tcW w:w="517" w:type="pct"/>
            <w:vAlign w:val="center"/>
          </w:tcPr>
          <w:p w14:paraId="46F7571E">
            <w:pPr>
              <w:pStyle w:val="12"/>
              <w:jc w:val="center"/>
              <w:rPr>
                <w:rFonts w:ascii="宋体" w:hAnsi="宋体"/>
              </w:rPr>
            </w:pPr>
            <w:r>
              <w:rPr>
                <w:rFonts w:hint="eastAsia" w:ascii="宋体" w:hAnsi="宋体"/>
              </w:rPr>
              <w:t>69</w:t>
            </w:r>
          </w:p>
        </w:tc>
        <w:tc>
          <w:tcPr>
            <w:tcW w:w="517" w:type="pct"/>
            <w:vAlign w:val="center"/>
          </w:tcPr>
          <w:p w14:paraId="4DEC4C11">
            <w:pPr>
              <w:pStyle w:val="12"/>
              <w:jc w:val="center"/>
              <w:rPr>
                <w:rFonts w:ascii="宋体" w:hAnsi="宋体"/>
              </w:rPr>
            </w:pPr>
            <w:r>
              <w:rPr>
                <w:rFonts w:hint="eastAsia" w:ascii="宋体" w:hAnsi="宋体"/>
              </w:rPr>
              <w:t>73</w:t>
            </w:r>
          </w:p>
        </w:tc>
        <w:tc>
          <w:tcPr>
            <w:tcW w:w="517" w:type="pct"/>
            <w:vAlign w:val="center"/>
          </w:tcPr>
          <w:p w14:paraId="18A7DB7B">
            <w:pPr>
              <w:pStyle w:val="12"/>
              <w:jc w:val="center"/>
              <w:rPr>
                <w:rFonts w:ascii="宋体" w:hAnsi="宋体"/>
              </w:rPr>
            </w:pPr>
            <w:r>
              <w:rPr>
                <w:rFonts w:hint="eastAsia" w:ascii="宋体" w:hAnsi="宋体"/>
              </w:rPr>
              <w:t>60</w:t>
            </w:r>
          </w:p>
        </w:tc>
        <w:tc>
          <w:tcPr>
            <w:tcW w:w="516" w:type="pct"/>
            <w:vAlign w:val="center"/>
          </w:tcPr>
          <w:p w14:paraId="1A138DE4">
            <w:pPr>
              <w:pStyle w:val="12"/>
              <w:jc w:val="center"/>
              <w:rPr>
                <w:rFonts w:ascii="宋体" w:hAnsi="宋体"/>
              </w:rPr>
            </w:pPr>
            <w:r>
              <w:rPr>
                <w:rFonts w:hint="eastAsia" w:ascii="宋体" w:hAnsi="宋体"/>
              </w:rPr>
              <w:t>43</w:t>
            </w:r>
          </w:p>
        </w:tc>
      </w:tr>
      <w:tr w14:paraId="01BCE1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6" w:type="pct"/>
            <w:vMerge w:val="continue"/>
            <w:vAlign w:val="center"/>
          </w:tcPr>
          <w:p w14:paraId="7C4EC633">
            <w:pPr>
              <w:pStyle w:val="12"/>
              <w:jc w:val="center"/>
              <w:rPr>
                <w:rFonts w:ascii="宋体" w:hAnsi="宋体"/>
              </w:rPr>
            </w:pPr>
          </w:p>
        </w:tc>
        <w:tc>
          <w:tcPr>
            <w:tcW w:w="826" w:type="pct"/>
            <w:vAlign w:val="center"/>
          </w:tcPr>
          <w:p w14:paraId="0E61F28C">
            <w:pPr>
              <w:pStyle w:val="12"/>
              <w:jc w:val="center"/>
              <w:rPr>
                <w:rFonts w:ascii="宋体" w:hAnsi="宋体"/>
              </w:rPr>
            </w:pPr>
            <w:r>
              <w:rPr>
                <w:rFonts w:hint="eastAsia" w:ascii="宋体" w:hAnsi="宋体"/>
              </w:rPr>
              <w:t>占总数比（%）</w:t>
            </w:r>
          </w:p>
        </w:tc>
        <w:tc>
          <w:tcPr>
            <w:tcW w:w="517" w:type="pct"/>
            <w:vAlign w:val="center"/>
          </w:tcPr>
          <w:p w14:paraId="1E866183">
            <w:pPr>
              <w:pStyle w:val="12"/>
              <w:jc w:val="center"/>
              <w:rPr>
                <w:rFonts w:ascii="宋体" w:hAnsi="宋体"/>
              </w:rPr>
            </w:pPr>
            <w:r>
              <w:rPr>
                <w:rFonts w:hint="eastAsia" w:ascii="宋体" w:hAnsi="宋体"/>
              </w:rPr>
              <w:t>25.6</w:t>
            </w:r>
          </w:p>
        </w:tc>
        <w:tc>
          <w:tcPr>
            <w:tcW w:w="517" w:type="pct"/>
            <w:vAlign w:val="center"/>
          </w:tcPr>
          <w:p w14:paraId="3FD44011">
            <w:pPr>
              <w:pStyle w:val="12"/>
              <w:jc w:val="center"/>
              <w:rPr>
                <w:rFonts w:ascii="宋体" w:hAnsi="宋体"/>
              </w:rPr>
            </w:pPr>
            <w:r>
              <w:rPr>
                <w:rFonts w:hint="eastAsia" w:ascii="宋体" w:hAnsi="宋体"/>
              </w:rPr>
              <w:t>33.5</w:t>
            </w:r>
          </w:p>
        </w:tc>
        <w:tc>
          <w:tcPr>
            <w:tcW w:w="517" w:type="pct"/>
            <w:vAlign w:val="center"/>
          </w:tcPr>
          <w:p w14:paraId="0EDC663E">
            <w:pPr>
              <w:pStyle w:val="12"/>
              <w:jc w:val="center"/>
              <w:rPr>
                <w:rFonts w:ascii="宋体" w:hAnsi="宋体"/>
              </w:rPr>
            </w:pPr>
            <w:r>
              <w:rPr>
                <w:rFonts w:hint="eastAsia" w:ascii="宋体" w:hAnsi="宋体"/>
              </w:rPr>
              <w:t>32.4</w:t>
            </w:r>
          </w:p>
        </w:tc>
        <w:tc>
          <w:tcPr>
            <w:tcW w:w="517" w:type="pct"/>
            <w:vAlign w:val="center"/>
          </w:tcPr>
          <w:p w14:paraId="10589216">
            <w:pPr>
              <w:pStyle w:val="12"/>
              <w:jc w:val="center"/>
              <w:rPr>
                <w:rFonts w:ascii="宋体" w:hAnsi="宋体"/>
              </w:rPr>
            </w:pPr>
            <w:r>
              <w:rPr>
                <w:rFonts w:hint="eastAsia" w:ascii="宋体" w:hAnsi="宋体"/>
              </w:rPr>
              <w:t>27.4</w:t>
            </w:r>
          </w:p>
        </w:tc>
        <w:tc>
          <w:tcPr>
            <w:tcW w:w="517" w:type="pct"/>
            <w:vAlign w:val="center"/>
          </w:tcPr>
          <w:p w14:paraId="19725432">
            <w:pPr>
              <w:pStyle w:val="12"/>
              <w:jc w:val="center"/>
              <w:rPr>
                <w:rFonts w:ascii="宋体" w:hAnsi="宋体"/>
              </w:rPr>
            </w:pPr>
            <w:r>
              <w:rPr>
                <w:rFonts w:hint="eastAsia" w:ascii="宋体" w:hAnsi="宋体"/>
              </w:rPr>
              <w:t>28.2</w:t>
            </w:r>
          </w:p>
        </w:tc>
        <w:tc>
          <w:tcPr>
            <w:tcW w:w="517" w:type="pct"/>
            <w:vAlign w:val="center"/>
          </w:tcPr>
          <w:p w14:paraId="29A74F10">
            <w:pPr>
              <w:pStyle w:val="12"/>
              <w:jc w:val="center"/>
              <w:rPr>
                <w:rFonts w:ascii="宋体" w:hAnsi="宋体"/>
              </w:rPr>
            </w:pPr>
            <w:r>
              <w:rPr>
                <w:rFonts w:hint="eastAsia" w:ascii="宋体" w:hAnsi="宋体"/>
              </w:rPr>
              <w:t>28.7</w:t>
            </w:r>
          </w:p>
        </w:tc>
        <w:tc>
          <w:tcPr>
            <w:tcW w:w="516" w:type="pct"/>
            <w:vAlign w:val="center"/>
          </w:tcPr>
          <w:p w14:paraId="796B2C4C">
            <w:pPr>
              <w:pStyle w:val="12"/>
              <w:jc w:val="center"/>
              <w:rPr>
                <w:rFonts w:ascii="宋体" w:hAnsi="宋体"/>
              </w:rPr>
            </w:pPr>
            <w:r>
              <w:rPr>
                <w:rFonts w:hint="eastAsia" w:ascii="宋体" w:hAnsi="宋体"/>
              </w:rPr>
              <w:t>20.5</w:t>
            </w:r>
          </w:p>
        </w:tc>
      </w:tr>
      <w:tr w14:paraId="1FB5CA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6" w:type="pct"/>
            <w:vMerge w:val="continue"/>
            <w:vAlign w:val="center"/>
          </w:tcPr>
          <w:p w14:paraId="55D05EF9">
            <w:pPr>
              <w:pStyle w:val="12"/>
              <w:jc w:val="center"/>
              <w:rPr>
                <w:rFonts w:ascii="宋体" w:hAnsi="宋体"/>
              </w:rPr>
            </w:pPr>
          </w:p>
        </w:tc>
        <w:tc>
          <w:tcPr>
            <w:tcW w:w="826" w:type="pct"/>
            <w:vAlign w:val="center"/>
          </w:tcPr>
          <w:p w14:paraId="12050CE4">
            <w:pPr>
              <w:pStyle w:val="12"/>
              <w:jc w:val="center"/>
              <w:rPr>
                <w:rFonts w:ascii="宋体" w:hAnsi="宋体"/>
              </w:rPr>
            </w:pPr>
            <w:r>
              <w:rPr>
                <w:rFonts w:hint="eastAsia" w:ascii="宋体" w:hAnsi="宋体"/>
              </w:rPr>
              <w:t>36～50岁</w:t>
            </w:r>
          </w:p>
        </w:tc>
        <w:tc>
          <w:tcPr>
            <w:tcW w:w="517" w:type="pct"/>
            <w:vAlign w:val="center"/>
          </w:tcPr>
          <w:p w14:paraId="63C7F271">
            <w:pPr>
              <w:pStyle w:val="12"/>
              <w:jc w:val="center"/>
              <w:rPr>
                <w:rFonts w:ascii="宋体" w:hAnsi="宋体"/>
              </w:rPr>
            </w:pPr>
            <w:r>
              <w:rPr>
                <w:rFonts w:hint="eastAsia" w:ascii="宋体" w:hAnsi="宋体"/>
              </w:rPr>
              <w:t>—</w:t>
            </w:r>
          </w:p>
        </w:tc>
        <w:tc>
          <w:tcPr>
            <w:tcW w:w="517" w:type="pct"/>
            <w:vAlign w:val="center"/>
          </w:tcPr>
          <w:p w14:paraId="05C2A2EE">
            <w:pPr>
              <w:pStyle w:val="12"/>
              <w:jc w:val="center"/>
              <w:rPr>
                <w:rFonts w:ascii="宋体" w:hAnsi="宋体"/>
              </w:rPr>
            </w:pPr>
            <w:r>
              <w:rPr>
                <w:rFonts w:hint="eastAsia" w:ascii="宋体" w:hAnsi="宋体"/>
              </w:rPr>
              <w:t>—</w:t>
            </w:r>
          </w:p>
        </w:tc>
        <w:tc>
          <w:tcPr>
            <w:tcW w:w="517" w:type="pct"/>
            <w:vAlign w:val="center"/>
          </w:tcPr>
          <w:p w14:paraId="5B79E03F">
            <w:pPr>
              <w:pStyle w:val="12"/>
              <w:jc w:val="center"/>
              <w:rPr>
                <w:rFonts w:ascii="宋体" w:hAnsi="宋体"/>
              </w:rPr>
            </w:pPr>
            <w:r>
              <w:rPr>
                <w:rFonts w:hint="eastAsia" w:ascii="宋体" w:hAnsi="宋体"/>
              </w:rPr>
              <w:t>—</w:t>
            </w:r>
          </w:p>
        </w:tc>
        <w:tc>
          <w:tcPr>
            <w:tcW w:w="517" w:type="pct"/>
            <w:vAlign w:val="center"/>
          </w:tcPr>
          <w:p w14:paraId="38531B7D">
            <w:pPr>
              <w:pStyle w:val="12"/>
              <w:jc w:val="center"/>
              <w:rPr>
                <w:rFonts w:ascii="宋体" w:hAnsi="宋体"/>
              </w:rPr>
            </w:pPr>
            <w:r>
              <w:rPr>
                <w:rFonts w:hint="eastAsia" w:ascii="宋体" w:hAnsi="宋体"/>
              </w:rPr>
              <w:t>140</w:t>
            </w:r>
          </w:p>
        </w:tc>
        <w:tc>
          <w:tcPr>
            <w:tcW w:w="517" w:type="pct"/>
            <w:vAlign w:val="center"/>
          </w:tcPr>
          <w:p w14:paraId="6E88026E">
            <w:pPr>
              <w:pStyle w:val="12"/>
              <w:jc w:val="center"/>
              <w:rPr>
                <w:rFonts w:ascii="宋体" w:hAnsi="宋体"/>
              </w:rPr>
            </w:pPr>
            <w:r>
              <w:rPr>
                <w:rFonts w:hint="eastAsia" w:ascii="宋体" w:hAnsi="宋体"/>
              </w:rPr>
              <w:t>141</w:t>
            </w:r>
          </w:p>
        </w:tc>
        <w:tc>
          <w:tcPr>
            <w:tcW w:w="517" w:type="pct"/>
            <w:vAlign w:val="center"/>
          </w:tcPr>
          <w:p w14:paraId="56BBCF8A">
            <w:pPr>
              <w:pStyle w:val="12"/>
              <w:jc w:val="center"/>
              <w:rPr>
                <w:rFonts w:ascii="宋体" w:hAnsi="宋体"/>
              </w:rPr>
            </w:pPr>
            <w:r>
              <w:rPr>
                <w:rFonts w:hint="eastAsia" w:ascii="宋体" w:hAnsi="宋体"/>
              </w:rPr>
              <w:t>76</w:t>
            </w:r>
          </w:p>
        </w:tc>
        <w:tc>
          <w:tcPr>
            <w:tcW w:w="516" w:type="pct"/>
            <w:vAlign w:val="center"/>
          </w:tcPr>
          <w:p w14:paraId="5E729E20">
            <w:pPr>
              <w:pStyle w:val="12"/>
              <w:jc w:val="center"/>
              <w:rPr>
                <w:rFonts w:ascii="宋体" w:hAnsi="宋体"/>
              </w:rPr>
            </w:pPr>
            <w:r>
              <w:rPr>
                <w:rFonts w:hint="eastAsia" w:ascii="宋体" w:hAnsi="宋体"/>
              </w:rPr>
              <w:t>88</w:t>
            </w:r>
          </w:p>
        </w:tc>
      </w:tr>
      <w:tr w14:paraId="472A02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6" w:type="pct"/>
            <w:vMerge w:val="continue"/>
            <w:vAlign w:val="center"/>
          </w:tcPr>
          <w:p w14:paraId="10B40FA5">
            <w:pPr>
              <w:pStyle w:val="12"/>
              <w:jc w:val="center"/>
              <w:rPr>
                <w:rFonts w:ascii="宋体" w:hAnsi="宋体"/>
              </w:rPr>
            </w:pPr>
          </w:p>
        </w:tc>
        <w:tc>
          <w:tcPr>
            <w:tcW w:w="826" w:type="pct"/>
            <w:vAlign w:val="center"/>
          </w:tcPr>
          <w:p w14:paraId="1E636E27">
            <w:pPr>
              <w:pStyle w:val="12"/>
              <w:jc w:val="center"/>
              <w:rPr>
                <w:rFonts w:ascii="宋体" w:hAnsi="宋体"/>
              </w:rPr>
            </w:pPr>
            <w:r>
              <w:rPr>
                <w:rFonts w:hint="eastAsia" w:ascii="宋体" w:hAnsi="宋体"/>
              </w:rPr>
              <w:t>占总数比（%）</w:t>
            </w:r>
          </w:p>
        </w:tc>
        <w:tc>
          <w:tcPr>
            <w:tcW w:w="517" w:type="pct"/>
            <w:vAlign w:val="center"/>
          </w:tcPr>
          <w:p w14:paraId="5C30998D">
            <w:pPr>
              <w:pStyle w:val="12"/>
              <w:jc w:val="center"/>
              <w:rPr>
                <w:rFonts w:ascii="宋体" w:hAnsi="宋体"/>
              </w:rPr>
            </w:pPr>
            <w:r>
              <w:rPr>
                <w:rFonts w:hint="eastAsia" w:ascii="宋体" w:hAnsi="宋体"/>
              </w:rPr>
              <w:t>—</w:t>
            </w:r>
          </w:p>
        </w:tc>
        <w:tc>
          <w:tcPr>
            <w:tcW w:w="517" w:type="pct"/>
            <w:vAlign w:val="center"/>
          </w:tcPr>
          <w:p w14:paraId="174DFBC7">
            <w:pPr>
              <w:pStyle w:val="12"/>
              <w:jc w:val="center"/>
              <w:rPr>
                <w:rFonts w:ascii="宋体" w:hAnsi="宋体"/>
              </w:rPr>
            </w:pPr>
            <w:r>
              <w:rPr>
                <w:rFonts w:hint="eastAsia" w:ascii="宋体" w:hAnsi="宋体"/>
              </w:rPr>
              <w:t>—</w:t>
            </w:r>
          </w:p>
        </w:tc>
        <w:tc>
          <w:tcPr>
            <w:tcW w:w="517" w:type="pct"/>
            <w:vAlign w:val="center"/>
          </w:tcPr>
          <w:p w14:paraId="63C49B1F">
            <w:pPr>
              <w:pStyle w:val="12"/>
              <w:jc w:val="center"/>
              <w:rPr>
                <w:rFonts w:ascii="宋体" w:hAnsi="宋体"/>
              </w:rPr>
            </w:pPr>
            <w:r>
              <w:rPr>
                <w:rFonts w:hint="eastAsia" w:ascii="宋体" w:hAnsi="宋体"/>
              </w:rPr>
              <w:t>—</w:t>
            </w:r>
          </w:p>
        </w:tc>
        <w:tc>
          <w:tcPr>
            <w:tcW w:w="517" w:type="pct"/>
            <w:vAlign w:val="center"/>
          </w:tcPr>
          <w:p w14:paraId="14840C80">
            <w:pPr>
              <w:pStyle w:val="12"/>
              <w:jc w:val="center"/>
              <w:rPr>
                <w:rFonts w:ascii="宋体" w:hAnsi="宋体"/>
              </w:rPr>
            </w:pPr>
            <w:r>
              <w:rPr>
                <w:rFonts w:hint="eastAsia" w:ascii="宋体" w:hAnsi="宋体"/>
              </w:rPr>
              <w:t>55.6</w:t>
            </w:r>
          </w:p>
        </w:tc>
        <w:tc>
          <w:tcPr>
            <w:tcW w:w="517" w:type="pct"/>
            <w:vAlign w:val="center"/>
          </w:tcPr>
          <w:p w14:paraId="6482E7CC">
            <w:pPr>
              <w:pStyle w:val="12"/>
              <w:jc w:val="center"/>
              <w:rPr>
                <w:rFonts w:ascii="宋体" w:hAnsi="宋体"/>
              </w:rPr>
            </w:pPr>
            <w:r>
              <w:rPr>
                <w:rFonts w:hint="eastAsia" w:ascii="宋体" w:hAnsi="宋体"/>
              </w:rPr>
              <w:t>54.4</w:t>
            </w:r>
          </w:p>
        </w:tc>
        <w:tc>
          <w:tcPr>
            <w:tcW w:w="517" w:type="pct"/>
            <w:vAlign w:val="center"/>
          </w:tcPr>
          <w:p w14:paraId="74B7420E">
            <w:pPr>
              <w:pStyle w:val="12"/>
              <w:jc w:val="center"/>
              <w:rPr>
                <w:rFonts w:ascii="宋体" w:hAnsi="宋体"/>
              </w:rPr>
            </w:pPr>
            <w:r>
              <w:rPr>
                <w:rFonts w:hint="eastAsia" w:ascii="宋体" w:hAnsi="宋体"/>
              </w:rPr>
              <w:t>36.4</w:t>
            </w:r>
          </w:p>
        </w:tc>
        <w:tc>
          <w:tcPr>
            <w:tcW w:w="516" w:type="pct"/>
            <w:vAlign w:val="center"/>
          </w:tcPr>
          <w:p w14:paraId="5C011369">
            <w:pPr>
              <w:pStyle w:val="12"/>
              <w:jc w:val="center"/>
              <w:rPr>
                <w:rFonts w:ascii="宋体" w:hAnsi="宋体"/>
              </w:rPr>
            </w:pPr>
            <w:r>
              <w:rPr>
                <w:rFonts w:hint="eastAsia" w:ascii="宋体" w:hAnsi="宋体"/>
              </w:rPr>
              <w:t>41.9</w:t>
            </w:r>
          </w:p>
        </w:tc>
      </w:tr>
      <w:tr w14:paraId="448F46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6" w:type="pct"/>
            <w:vMerge w:val="continue"/>
            <w:vAlign w:val="center"/>
          </w:tcPr>
          <w:p w14:paraId="20E25AD0">
            <w:pPr>
              <w:pStyle w:val="12"/>
              <w:jc w:val="center"/>
              <w:rPr>
                <w:rFonts w:ascii="宋体" w:hAnsi="宋体"/>
              </w:rPr>
            </w:pPr>
          </w:p>
        </w:tc>
        <w:tc>
          <w:tcPr>
            <w:tcW w:w="826" w:type="pct"/>
            <w:vAlign w:val="center"/>
          </w:tcPr>
          <w:p w14:paraId="1BC9355E">
            <w:pPr>
              <w:pStyle w:val="12"/>
              <w:jc w:val="center"/>
              <w:rPr>
                <w:rFonts w:ascii="宋体" w:hAnsi="宋体"/>
              </w:rPr>
            </w:pPr>
            <w:r>
              <w:rPr>
                <w:rFonts w:hint="eastAsia" w:ascii="宋体" w:hAnsi="宋体"/>
              </w:rPr>
              <w:t>51～56岁</w:t>
            </w:r>
          </w:p>
        </w:tc>
        <w:tc>
          <w:tcPr>
            <w:tcW w:w="517" w:type="pct"/>
            <w:vAlign w:val="center"/>
          </w:tcPr>
          <w:p w14:paraId="6FAB5020">
            <w:pPr>
              <w:pStyle w:val="12"/>
              <w:jc w:val="center"/>
              <w:rPr>
                <w:rFonts w:ascii="宋体" w:hAnsi="宋体"/>
              </w:rPr>
            </w:pPr>
            <w:r>
              <w:rPr>
                <w:rFonts w:hint="eastAsia" w:ascii="宋体" w:hAnsi="宋体"/>
              </w:rPr>
              <w:t>—</w:t>
            </w:r>
          </w:p>
        </w:tc>
        <w:tc>
          <w:tcPr>
            <w:tcW w:w="517" w:type="pct"/>
            <w:vAlign w:val="center"/>
          </w:tcPr>
          <w:p w14:paraId="4FBC7320">
            <w:pPr>
              <w:pStyle w:val="12"/>
              <w:jc w:val="center"/>
              <w:rPr>
                <w:rFonts w:ascii="宋体" w:hAnsi="宋体"/>
              </w:rPr>
            </w:pPr>
            <w:r>
              <w:rPr>
                <w:rFonts w:hint="eastAsia" w:ascii="宋体" w:hAnsi="宋体"/>
              </w:rPr>
              <w:t>—</w:t>
            </w:r>
          </w:p>
        </w:tc>
        <w:tc>
          <w:tcPr>
            <w:tcW w:w="517" w:type="pct"/>
            <w:vAlign w:val="center"/>
          </w:tcPr>
          <w:p w14:paraId="6A6B053C">
            <w:pPr>
              <w:pStyle w:val="12"/>
              <w:jc w:val="center"/>
              <w:rPr>
                <w:rFonts w:ascii="宋体" w:hAnsi="宋体"/>
              </w:rPr>
            </w:pPr>
            <w:r>
              <w:rPr>
                <w:rFonts w:hint="eastAsia" w:ascii="宋体" w:hAnsi="宋体"/>
              </w:rPr>
              <w:t>—</w:t>
            </w:r>
          </w:p>
        </w:tc>
        <w:tc>
          <w:tcPr>
            <w:tcW w:w="517" w:type="pct"/>
            <w:vAlign w:val="center"/>
          </w:tcPr>
          <w:p w14:paraId="1FE041E5">
            <w:pPr>
              <w:pStyle w:val="12"/>
              <w:jc w:val="center"/>
              <w:rPr>
                <w:rFonts w:ascii="宋体" w:hAnsi="宋体"/>
              </w:rPr>
            </w:pPr>
            <w:r>
              <w:rPr>
                <w:rFonts w:hint="eastAsia" w:ascii="宋体" w:hAnsi="宋体"/>
              </w:rPr>
              <w:t>31</w:t>
            </w:r>
          </w:p>
        </w:tc>
        <w:tc>
          <w:tcPr>
            <w:tcW w:w="517" w:type="pct"/>
            <w:vAlign w:val="center"/>
          </w:tcPr>
          <w:p w14:paraId="08E39EEB">
            <w:pPr>
              <w:pStyle w:val="12"/>
              <w:jc w:val="center"/>
              <w:rPr>
                <w:rFonts w:ascii="宋体" w:hAnsi="宋体"/>
              </w:rPr>
            </w:pPr>
            <w:r>
              <w:rPr>
                <w:rFonts w:hint="eastAsia" w:ascii="宋体" w:hAnsi="宋体"/>
              </w:rPr>
              <w:t>35</w:t>
            </w:r>
          </w:p>
        </w:tc>
        <w:tc>
          <w:tcPr>
            <w:tcW w:w="517" w:type="pct"/>
            <w:vAlign w:val="center"/>
          </w:tcPr>
          <w:p w14:paraId="00E34709">
            <w:pPr>
              <w:pStyle w:val="12"/>
              <w:jc w:val="center"/>
              <w:rPr>
                <w:rFonts w:ascii="宋体" w:hAnsi="宋体"/>
              </w:rPr>
            </w:pPr>
            <w:r>
              <w:rPr>
                <w:rFonts w:hint="eastAsia" w:ascii="宋体" w:hAnsi="宋体"/>
              </w:rPr>
              <w:t>69</w:t>
            </w:r>
          </w:p>
        </w:tc>
        <w:tc>
          <w:tcPr>
            <w:tcW w:w="516" w:type="pct"/>
            <w:vAlign w:val="center"/>
          </w:tcPr>
          <w:p w14:paraId="034A9BF6">
            <w:pPr>
              <w:pStyle w:val="12"/>
              <w:jc w:val="center"/>
              <w:rPr>
                <w:rFonts w:ascii="宋体" w:hAnsi="宋体"/>
              </w:rPr>
            </w:pPr>
            <w:r>
              <w:rPr>
                <w:rFonts w:hint="eastAsia" w:ascii="宋体" w:hAnsi="宋体"/>
              </w:rPr>
              <w:t>75</w:t>
            </w:r>
          </w:p>
        </w:tc>
      </w:tr>
      <w:tr w14:paraId="25222C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6" w:type="pct"/>
            <w:vMerge w:val="continue"/>
            <w:vAlign w:val="center"/>
          </w:tcPr>
          <w:p w14:paraId="13613C57">
            <w:pPr>
              <w:pStyle w:val="12"/>
              <w:jc w:val="center"/>
              <w:rPr>
                <w:rFonts w:ascii="宋体" w:hAnsi="宋体"/>
              </w:rPr>
            </w:pPr>
          </w:p>
        </w:tc>
        <w:tc>
          <w:tcPr>
            <w:tcW w:w="826" w:type="pct"/>
            <w:vAlign w:val="center"/>
          </w:tcPr>
          <w:p w14:paraId="501C3823">
            <w:pPr>
              <w:pStyle w:val="12"/>
              <w:jc w:val="center"/>
              <w:rPr>
                <w:rFonts w:ascii="宋体" w:hAnsi="宋体"/>
              </w:rPr>
            </w:pPr>
            <w:r>
              <w:rPr>
                <w:rFonts w:hint="eastAsia" w:ascii="宋体" w:hAnsi="宋体"/>
              </w:rPr>
              <w:t>占总数比（%）</w:t>
            </w:r>
          </w:p>
        </w:tc>
        <w:tc>
          <w:tcPr>
            <w:tcW w:w="517" w:type="pct"/>
            <w:vAlign w:val="center"/>
          </w:tcPr>
          <w:p w14:paraId="6419BFE9">
            <w:pPr>
              <w:pStyle w:val="12"/>
              <w:jc w:val="center"/>
              <w:rPr>
                <w:rFonts w:ascii="宋体" w:hAnsi="宋体"/>
              </w:rPr>
            </w:pPr>
            <w:r>
              <w:rPr>
                <w:rFonts w:hint="eastAsia" w:ascii="宋体" w:hAnsi="宋体"/>
              </w:rPr>
              <w:t>—</w:t>
            </w:r>
          </w:p>
        </w:tc>
        <w:tc>
          <w:tcPr>
            <w:tcW w:w="517" w:type="pct"/>
            <w:vAlign w:val="center"/>
          </w:tcPr>
          <w:p w14:paraId="6F85FD0B">
            <w:pPr>
              <w:pStyle w:val="12"/>
              <w:jc w:val="center"/>
              <w:rPr>
                <w:rFonts w:ascii="宋体" w:hAnsi="宋体"/>
              </w:rPr>
            </w:pPr>
            <w:r>
              <w:rPr>
                <w:rFonts w:hint="eastAsia" w:ascii="宋体" w:hAnsi="宋体"/>
              </w:rPr>
              <w:t>—</w:t>
            </w:r>
          </w:p>
        </w:tc>
        <w:tc>
          <w:tcPr>
            <w:tcW w:w="517" w:type="pct"/>
            <w:vAlign w:val="center"/>
          </w:tcPr>
          <w:p w14:paraId="59433E8A">
            <w:pPr>
              <w:pStyle w:val="12"/>
              <w:jc w:val="center"/>
              <w:rPr>
                <w:rFonts w:ascii="宋体" w:hAnsi="宋体"/>
              </w:rPr>
            </w:pPr>
            <w:r>
              <w:rPr>
                <w:rFonts w:hint="eastAsia" w:ascii="宋体" w:hAnsi="宋体"/>
              </w:rPr>
              <w:t>—</w:t>
            </w:r>
          </w:p>
        </w:tc>
        <w:tc>
          <w:tcPr>
            <w:tcW w:w="517" w:type="pct"/>
            <w:vAlign w:val="center"/>
          </w:tcPr>
          <w:p w14:paraId="2A37A47D">
            <w:pPr>
              <w:pStyle w:val="12"/>
              <w:jc w:val="center"/>
              <w:rPr>
                <w:rFonts w:ascii="宋体" w:hAnsi="宋体"/>
              </w:rPr>
            </w:pPr>
            <w:r>
              <w:rPr>
                <w:rFonts w:hint="eastAsia" w:ascii="宋体" w:hAnsi="宋体"/>
              </w:rPr>
              <w:t>12.3</w:t>
            </w:r>
          </w:p>
        </w:tc>
        <w:tc>
          <w:tcPr>
            <w:tcW w:w="517" w:type="pct"/>
            <w:vAlign w:val="center"/>
          </w:tcPr>
          <w:p w14:paraId="45834A74">
            <w:pPr>
              <w:pStyle w:val="12"/>
              <w:jc w:val="center"/>
              <w:rPr>
                <w:rFonts w:ascii="宋体" w:hAnsi="宋体"/>
              </w:rPr>
            </w:pPr>
            <w:r>
              <w:rPr>
                <w:rFonts w:hint="eastAsia" w:ascii="宋体" w:hAnsi="宋体"/>
              </w:rPr>
              <w:t>13.5</w:t>
            </w:r>
          </w:p>
        </w:tc>
        <w:tc>
          <w:tcPr>
            <w:tcW w:w="517" w:type="pct"/>
            <w:vAlign w:val="center"/>
          </w:tcPr>
          <w:p w14:paraId="0EE5669D">
            <w:pPr>
              <w:pStyle w:val="12"/>
              <w:jc w:val="center"/>
              <w:rPr>
                <w:rFonts w:ascii="宋体" w:hAnsi="宋体"/>
              </w:rPr>
            </w:pPr>
            <w:r>
              <w:rPr>
                <w:rFonts w:hint="eastAsia" w:ascii="宋体" w:hAnsi="宋体"/>
              </w:rPr>
              <w:t>33</w:t>
            </w:r>
          </w:p>
        </w:tc>
        <w:tc>
          <w:tcPr>
            <w:tcW w:w="516" w:type="pct"/>
            <w:vAlign w:val="center"/>
          </w:tcPr>
          <w:p w14:paraId="53D0004B">
            <w:pPr>
              <w:pStyle w:val="12"/>
              <w:jc w:val="center"/>
              <w:rPr>
                <w:rFonts w:ascii="宋体" w:hAnsi="宋体"/>
              </w:rPr>
            </w:pPr>
            <w:r>
              <w:rPr>
                <w:rFonts w:hint="eastAsia" w:ascii="宋体" w:hAnsi="宋体"/>
              </w:rPr>
              <w:t>35.7</w:t>
            </w:r>
          </w:p>
        </w:tc>
      </w:tr>
      <w:tr w14:paraId="5808CE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6" w:type="pct"/>
            <w:vMerge w:val="continue"/>
            <w:vAlign w:val="center"/>
          </w:tcPr>
          <w:p w14:paraId="611D0901">
            <w:pPr>
              <w:pStyle w:val="12"/>
              <w:jc w:val="center"/>
              <w:rPr>
                <w:rFonts w:ascii="宋体" w:hAnsi="宋体"/>
              </w:rPr>
            </w:pPr>
          </w:p>
        </w:tc>
        <w:tc>
          <w:tcPr>
            <w:tcW w:w="826" w:type="pct"/>
            <w:vAlign w:val="center"/>
          </w:tcPr>
          <w:p w14:paraId="6C736E99">
            <w:pPr>
              <w:pStyle w:val="12"/>
              <w:jc w:val="center"/>
              <w:rPr>
                <w:rFonts w:ascii="宋体" w:hAnsi="宋体"/>
              </w:rPr>
            </w:pPr>
            <w:r>
              <w:rPr>
                <w:rFonts w:hint="eastAsia" w:ascii="宋体" w:hAnsi="宋体"/>
              </w:rPr>
              <w:t>56岁以上</w:t>
            </w:r>
          </w:p>
        </w:tc>
        <w:tc>
          <w:tcPr>
            <w:tcW w:w="517" w:type="pct"/>
            <w:vAlign w:val="center"/>
          </w:tcPr>
          <w:p w14:paraId="74B48FFB">
            <w:pPr>
              <w:pStyle w:val="12"/>
              <w:jc w:val="center"/>
              <w:rPr>
                <w:rFonts w:ascii="宋体" w:hAnsi="宋体"/>
              </w:rPr>
            </w:pPr>
            <w:r>
              <w:rPr>
                <w:rFonts w:hint="eastAsia" w:ascii="宋体" w:hAnsi="宋体"/>
              </w:rPr>
              <w:t>25</w:t>
            </w:r>
          </w:p>
        </w:tc>
        <w:tc>
          <w:tcPr>
            <w:tcW w:w="517" w:type="pct"/>
            <w:vAlign w:val="center"/>
          </w:tcPr>
          <w:p w14:paraId="6F6868E8">
            <w:pPr>
              <w:pStyle w:val="12"/>
              <w:jc w:val="center"/>
              <w:rPr>
                <w:rFonts w:ascii="宋体" w:hAnsi="宋体"/>
              </w:rPr>
            </w:pPr>
            <w:r>
              <w:rPr>
                <w:rFonts w:hint="eastAsia" w:ascii="宋体" w:hAnsi="宋体"/>
              </w:rPr>
              <w:t>13</w:t>
            </w:r>
          </w:p>
        </w:tc>
        <w:tc>
          <w:tcPr>
            <w:tcW w:w="517" w:type="pct"/>
            <w:vAlign w:val="center"/>
          </w:tcPr>
          <w:p w14:paraId="13B366D7">
            <w:pPr>
              <w:pStyle w:val="12"/>
              <w:jc w:val="center"/>
              <w:rPr>
                <w:rFonts w:ascii="宋体" w:hAnsi="宋体"/>
              </w:rPr>
            </w:pPr>
            <w:r>
              <w:rPr>
                <w:rFonts w:hint="eastAsia" w:ascii="宋体" w:hAnsi="宋体"/>
              </w:rPr>
              <w:t>7</w:t>
            </w:r>
          </w:p>
        </w:tc>
        <w:tc>
          <w:tcPr>
            <w:tcW w:w="517" w:type="pct"/>
            <w:vAlign w:val="center"/>
          </w:tcPr>
          <w:p w14:paraId="3A02E98E">
            <w:pPr>
              <w:pStyle w:val="12"/>
              <w:jc w:val="center"/>
              <w:rPr>
                <w:rFonts w:ascii="宋体" w:hAnsi="宋体"/>
              </w:rPr>
            </w:pPr>
            <w:r>
              <w:rPr>
                <w:rFonts w:hint="eastAsia" w:ascii="宋体" w:hAnsi="宋体"/>
              </w:rPr>
              <w:t>12</w:t>
            </w:r>
          </w:p>
        </w:tc>
        <w:tc>
          <w:tcPr>
            <w:tcW w:w="517" w:type="pct"/>
            <w:vAlign w:val="center"/>
          </w:tcPr>
          <w:p w14:paraId="57BD1C04">
            <w:pPr>
              <w:pStyle w:val="12"/>
              <w:jc w:val="center"/>
              <w:rPr>
                <w:rFonts w:ascii="宋体" w:hAnsi="宋体"/>
              </w:rPr>
            </w:pPr>
            <w:r>
              <w:rPr>
                <w:rFonts w:hint="eastAsia" w:ascii="宋体" w:hAnsi="宋体"/>
              </w:rPr>
              <w:t>10</w:t>
            </w:r>
          </w:p>
        </w:tc>
        <w:tc>
          <w:tcPr>
            <w:tcW w:w="517" w:type="pct"/>
            <w:vAlign w:val="center"/>
          </w:tcPr>
          <w:p w14:paraId="22D3A63D">
            <w:pPr>
              <w:pStyle w:val="12"/>
              <w:jc w:val="center"/>
              <w:rPr>
                <w:rFonts w:ascii="宋体" w:hAnsi="宋体"/>
              </w:rPr>
            </w:pPr>
            <w:r>
              <w:rPr>
                <w:rFonts w:hint="eastAsia" w:ascii="宋体" w:hAnsi="宋体"/>
              </w:rPr>
              <w:t>4</w:t>
            </w:r>
          </w:p>
        </w:tc>
        <w:tc>
          <w:tcPr>
            <w:tcW w:w="516" w:type="pct"/>
            <w:vAlign w:val="center"/>
          </w:tcPr>
          <w:p w14:paraId="0794E323">
            <w:pPr>
              <w:pStyle w:val="12"/>
              <w:jc w:val="center"/>
              <w:rPr>
                <w:rFonts w:ascii="宋体" w:hAnsi="宋体"/>
              </w:rPr>
            </w:pPr>
            <w:r>
              <w:rPr>
                <w:rFonts w:hint="eastAsia" w:ascii="宋体" w:hAnsi="宋体"/>
              </w:rPr>
              <w:t>4</w:t>
            </w:r>
          </w:p>
        </w:tc>
      </w:tr>
      <w:tr w14:paraId="2E2B5B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6" w:type="pct"/>
            <w:vMerge w:val="continue"/>
            <w:vAlign w:val="center"/>
          </w:tcPr>
          <w:p w14:paraId="08C1432E">
            <w:pPr>
              <w:pStyle w:val="12"/>
              <w:jc w:val="center"/>
              <w:rPr>
                <w:rFonts w:ascii="宋体" w:hAnsi="宋体"/>
              </w:rPr>
            </w:pPr>
          </w:p>
        </w:tc>
        <w:tc>
          <w:tcPr>
            <w:tcW w:w="826" w:type="pct"/>
            <w:vAlign w:val="center"/>
          </w:tcPr>
          <w:p w14:paraId="3698760E">
            <w:pPr>
              <w:pStyle w:val="12"/>
              <w:jc w:val="center"/>
              <w:rPr>
                <w:rFonts w:ascii="宋体" w:hAnsi="宋体"/>
              </w:rPr>
            </w:pPr>
            <w:r>
              <w:rPr>
                <w:rFonts w:hint="eastAsia" w:ascii="宋体" w:hAnsi="宋体"/>
              </w:rPr>
              <w:t>占总数比（%）</w:t>
            </w:r>
          </w:p>
        </w:tc>
        <w:tc>
          <w:tcPr>
            <w:tcW w:w="517" w:type="pct"/>
            <w:vAlign w:val="center"/>
          </w:tcPr>
          <w:p w14:paraId="2BA4FA35">
            <w:pPr>
              <w:pStyle w:val="12"/>
              <w:jc w:val="center"/>
              <w:rPr>
                <w:rFonts w:ascii="宋体" w:hAnsi="宋体"/>
              </w:rPr>
            </w:pPr>
            <w:r>
              <w:rPr>
                <w:rFonts w:hint="eastAsia" w:ascii="宋体" w:hAnsi="宋体"/>
              </w:rPr>
              <w:t>8</w:t>
            </w:r>
          </w:p>
        </w:tc>
        <w:tc>
          <w:tcPr>
            <w:tcW w:w="517" w:type="pct"/>
            <w:vAlign w:val="center"/>
          </w:tcPr>
          <w:p w14:paraId="64E2CF63">
            <w:pPr>
              <w:pStyle w:val="12"/>
              <w:jc w:val="center"/>
              <w:rPr>
                <w:rFonts w:ascii="宋体" w:hAnsi="宋体"/>
              </w:rPr>
            </w:pPr>
            <w:r>
              <w:rPr>
                <w:rFonts w:hint="eastAsia" w:ascii="宋体" w:hAnsi="宋体"/>
              </w:rPr>
              <w:t>4.8</w:t>
            </w:r>
          </w:p>
        </w:tc>
        <w:tc>
          <w:tcPr>
            <w:tcW w:w="517" w:type="pct"/>
            <w:vAlign w:val="center"/>
          </w:tcPr>
          <w:p w14:paraId="2AB05D01">
            <w:pPr>
              <w:pStyle w:val="12"/>
              <w:jc w:val="center"/>
              <w:rPr>
                <w:rFonts w:ascii="宋体" w:hAnsi="宋体"/>
              </w:rPr>
            </w:pPr>
            <w:r>
              <w:rPr>
                <w:rFonts w:hint="eastAsia" w:ascii="宋体" w:hAnsi="宋体"/>
              </w:rPr>
              <w:t>2.9</w:t>
            </w:r>
          </w:p>
        </w:tc>
        <w:tc>
          <w:tcPr>
            <w:tcW w:w="517" w:type="pct"/>
            <w:vAlign w:val="center"/>
          </w:tcPr>
          <w:p w14:paraId="3D5B44C7">
            <w:pPr>
              <w:pStyle w:val="12"/>
              <w:jc w:val="center"/>
              <w:rPr>
                <w:rFonts w:ascii="宋体" w:hAnsi="宋体"/>
              </w:rPr>
            </w:pPr>
            <w:r>
              <w:rPr>
                <w:rFonts w:hint="eastAsia" w:ascii="宋体" w:hAnsi="宋体"/>
              </w:rPr>
              <w:t>5</w:t>
            </w:r>
          </w:p>
        </w:tc>
        <w:tc>
          <w:tcPr>
            <w:tcW w:w="517" w:type="pct"/>
            <w:vAlign w:val="center"/>
          </w:tcPr>
          <w:p w14:paraId="1AF8191A">
            <w:pPr>
              <w:pStyle w:val="12"/>
              <w:jc w:val="center"/>
              <w:rPr>
                <w:rFonts w:ascii="宋体" w:hAnsi="宋体"/>
              </w:rPr>
            </w:pPr>
            <w:r>
              <w:rPr>
                <w:rFonts w:hint="eastAsia" w:ascii="宋体" w:hAnsi="宋体"/>
              </w:rPr>
              <w:t>4</w:t>
            </w:r>
          </w:p>
        </w:tc>
        <w:tc>
          <w:tcPr>
            <w:tcW w:w="517" w:type="pct"/>
            <w:vAlign w:val="center"/>
          </w:tcPr>
          <w:p w14:paraId="09ADD013">
            <w:pPr>
              <w:pStyle w:val="12"/>
              <w:jc w:val="center"/>
              <w:rPr>
                <w:rFonts w:ascii="宋体" w:hAnsi="宋体"/>
              </w:rPr>
            </w:pPr>
            <w:r>
              <w:rPr>
                <w:rFonts w:hint="eastAsia" w:ascii="宋体" w:hAnsi="宋体"/>
              </w:rPr>
              <w:t>2</w:t>
            </w:r>
          </w:p>
        </w:tc>
        <w:tc>
          <w:tcPr>
            <w:tcW w:w="516" w:type="pct"/>
            <w:vAlign w:val="center"/>
          </w:tcPr>
          <w:p w14:paraId="794A66F7">
            <w:pPr>
              <w:pStyle w:val="12"/>
              <w:jc w:val="center"/>
              <w:rPr>
                <w:rFonts w:ascii="宋体" w:hAnsi="宋体"/>
              </w:rPr>
            </w:pPr>
            <w:r>
              <w:rPr>
                <w:rFonts w:hint="eastAsia" w:ascii="宋体" w:hAnsi="宋体"/>
              </w:rPr>
              <w:t>2</w:t>
            </w:r>
          </w:p>
        </w:tc>
      </w:tr>
    </w:tbl>
    <w:p w14:paraId="11555CB8">
      <w:pPr>
        <w:ind w:firstLine="0" w:firstLineChars="0"/>
        <w:jc w:val="center"/>
        <w:rPr>
          <w:rFonts w:ascii="宋体" w:hAnsi="宋体"/>
          <w:b/>
        </w:rPr>
      </w:pPr>
      <w:r>
        <w:rPr>
          <w:rFonts w:hint="eastAsia" w:ascii="宋体" w:hAnsi="宋体"/>
          <w:b/>
        </w:rPr>
        <w:t>第七届至第十三届乡镇人民代表大会代表结构</w:t>
      </w:r>
    </w:p>
    <w:p w14:paraId="71EC6043">
      <w:pPr>
        <w:ind w:firstLine="0" w:firstLineChars="0"/>
        <w:rPr>
          <w:rFonts w:ascii="宋体" w:hAnsi="宋体"/>
          <w:b/>
        </w:rPr>
      </w:pPr>
      <w:r>
        <w:rPr>
          <w:rFonts w:hint="eastAsia" w:ascii="宋体" w:hAnsi="宋体"/>
          <w:b/>
        </w:rPr>
        <w:t>表4-5</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6"/>
        <w:gridCol w:w="1520"/>
        <w:gridCol w:w="1048"/>
        <w:gridCol w:w="1048"/>
        <w:gridCol w:w="1048"/>
        <w:gridCol w:w="1048"/>
        <w:gridCol w:w="1048"/>
        <w:gridCol w:w="1048"/>
        <w:gridCol w:w="1048"/>
      </w:tblGrid>
      <w:tr w14:paraId="43F4DD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8" w:type="pct"/>
            <w:gridSpan w:val="2"/>
            <w:vAlign w:val="center"/>
          </w:tcPr>
          <w:p w14:paraId="23AEB8E1">
            <w:pPr>
              <w:pStyle w:val="12"/>
              <w:jc w:val="center"/>
              <w:rPr>
                <w:b/>
              </w:rPr>
            </w:pPr>
            <w:r>
              <w:rPr>
                <w:rFonts w:hint="eastAsia"/>
                <w:b/>
              </w:rPr>
              <w:t>届  别</w:t>
            </w:r>
          </w:p>
        </w:tc>
        <w:tc>
          <w:tcPr>
            <w:tcW w:w="526" w:type="pct"/>
            <w:vAlign w:val="center"/>
          </w:tcPr>
          <w:p w14:paraId="4E23F811">
            <w:pPr>
              <w:pStyle w:val="12"/>
              <w:jc w:val="center"/>
              <w:rPr>
                <w:b/>
              </w:rPr>
            </w:pPr>
            <w:r>
              <w:rPr>
                <w:rFonts w:hint="eastAsia"/>
                <w:b/>
              </w:rPr>
              <w:t>第七届</w:t>
            </w:r>
          </w:p>
        </w:tc>
        <w:tc>
          <w:tcPr>
            <w:tcW w:w="526" w:type="pct"/>
            <w:vAlign w:val="center"/>
          </w:tcPr>
          <w:p w14:paraId="0F30BDC7">
            <w:pPr>
              <w:pStyle w:val="12"/>
              <w:jc w:val="center"/>
              <w:rPr>
                <w:b/>
              </w:rPr>
            </w:pPr>
            <w:r>
              <w:rPr>
                <w:rFonts w:hint="eastAsia"/>
                <w:b/>
              </w:rPr>
              <w:t>第八届</w:t>
            </w:r>
          </w:p>
        </w:tc>
        <w:tc>
          <w:tcPr>
            <w:tcW w:w="526" w:type="pct"/>
            <w:vAlign w:val="center"/>
          </w:tcPr>
          <w:p w14:paraId="795EBA77">
            <w:pPr>
              <w:pStyle w:val="12"/>
              <w:jc w:val="center"/>
              <w:rPr>
                <w:b/>
              </w:rPr>
            </w:pPr>
            <w:r>
              <w:rPr>
                <w:rFonts w:hint="eastAsia"/>
                <w:b/>
              </w:rPr>
              <w:t>第九届</w:t>
            </w:r>
          </w:p>
        </w:tc>
        <w:tc>
          <w:tcPr>
            <w:tcW w:w="526" w:type="pct"/>
            <w:vAlign w:val="center"/>
          </w:tcPr>
          <w:p w14:paraId="3FC4C507">
            <w:pPr>
              <w:pStyle w:val="12"/>
              <w:jc w:val="center"/>
              <w:rPr>
                <w:b/>
              </w:rPr>
            </w:pPr>
            <w:r>
              <w:rPr>
                <w:rFonts w:hint="eastAsia"/>
                <w:b/>
              </w:rPr>
              <w:t>第十届</w:t>
            </w:r>
          </w:p>
        </w:tc>
        <w:tc>
          <w:tcPr>
            <w:tcW w:w="526" w:type="pct"/>
            <w:vAlign w:val="center"/>
          </w:tcPr>
          <w:p w14:paraId="1BB38604">
            <w:pPr>
              <w:pStyle w:val="12"/>
              <w:jc w:val="center"/>
              <w:rPr>
                <w:b/>
              </w:rPr>
            </w:pPr>
            <w:r>
              <w:rPr>
                <w:rFonts w:hint="eastAsia"/>
                <w:b/>
              </w:rPr>
              <w:t>第十一届</w:t>
            </w:r>
          </w:p>
        </w:tc>
        <w:tc>
          <w:tcPr>
            <w:tcW w:w="526" w:type="pct"/>
            <w:vAlign w:val="center"/>
          </w:tcPr>
          <w:p w14:paraId="7D2D8E41">
            <w:pPr>
              <w:pStyle w:val="12"/>
              <w:jc w:val="center"/>
              <w:rPr>
                <w:b/>
              </w:rPr>
            </w:pPr>
            <w:r>
              <w:rPr>
                <w:rFonts w:hint="eastAsia"/>
                <w:b/>
              </w:rPr>
              <w:t>第十二届</w:t>
            </w:r>
          </w:p>
        </w:tc>
        <w:tc>
          <w:tcPr>
            <w:tcW w:w="526" w:type="pct"/>
            <w:vAlign w:val="center"/>
          </w:tcPr>
          <w:p w14:paraId="79ED0BC5">
            <w:pPr>
              <w:pStyle w:val="12"/>
              <w:jc w:val="center"/>
              <w:rPr>
                <w:b/>
              </w:rPr>
            </w:pPr>
            <w:r>
              <w:rPr>
                <w:rFonts w:hint="eastAsia"/>
                <w:b/>
              </w:rPr>
              <w:t>第十三届</w:t>
            </w:r>
          </w:p>
        </w:tc>
      </w:tr>
      <w:tr w14:paraId="64FBAF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8" w:type="pct"/>
            <w:gridSpan w:val="2"/>
            <w:vAlign w:val="center"/>
          </w:tcPr>
          <w:p w14:paraId="3771ADB5">
            <w:pPr>
              <w:pStyle w:val="12"/>
              <w:jc w:val="center"/>
            </w:pPr>
            <w:r>
              <w:rPr>
                <w:rFonts w:hint="eastAsia"/>
              </w:rPr>
              <w:t>代  表  总  数</w:t>
            </w:r>
          </w:p>
        </w:tc>
        <w:tc>
          <w:tcPr>
            <w:tcW w:w="526" w:type="pct"/>
            <w:vAlign w:val="center"/>
          </w:tcPr>
          <w:p w14:paraId="54F24C09">
            <w:pPr>
              <w:pStyle w:val="12"/>
              <w:jc w:val="center"/>
            </w:pPr>
            <w:r>
              <w:rPr>
                <w:rFonts w:hint="eastAsia"/>
              </w:rPr>
              <w:t>8853</w:t>
            </w:r>
          </w:p>
        </w:tc>
        <w:tc>
          <w:tcPr>
            <w:tcW w:w="526" w:type="pct"/>
            <w:vAlign w:val="center"/>
          </w:tcPr>
          <w:p w14:paraId="2F0548C2">
            <w:pPr>
              <w:pStyle w:val="12"/>
              <w:jc w:val="center"/>
            </w:pPr>
            <w:r>
              <w:rPr>
                <w:rFonts w:hint="eastAsia"/>
              </w:rPr>
              <w:t>1148</w:t>
            </w:r>
          </w:p>
        </w:tc>
        <w:tc>
          <w:tcPr>
            <w:tcW w:w="526" w:type="pct"/>
            <w:vAlign w:val="center"/>
          </w:tcPr>
          <w:p w14:paraId="3804CCE8">
            <w:pPr>
              <w:pStyle w:val="12"/>
              <w:jc w:val="center"/>
            </w:pPr>
            <w:r>
              <w:rPr>
                <w:rFonts w:hint="eastAsia"/>
              </w:rPr>
              <w:t>1255</w:t>
            </w:r>
          </w:p>
        </w:tc>
        <w:tc>
          <w:tcPr>
            <w:tcW w:w="526" w:type="pct"/>
            <w:vAlign w:val="center"/>
          </w:tcPr>
          <w:p w14:paraId="0A3DFB84">
            <w:pPr>
              <w:pStyle w:val="12"/>
              <w:jc w:val="center"/>
            </w:pPr>
            <w:r>
              <w:rPr>
                <w:rFonts w:hint="eastAsia"/>
              </w:rPr>
              <w:t>1277</w:t>
            </w:r>
          </w:p>
        </w:tc>
        <w:tc>
          <w:tcPr>
            <w:tcW w:w="526" w:type="pct"/>
            <w:vAlign w:val="center"/>
          </w:tcPr>
          <w:p w14:paraId="0BBDD2BA">
            <w:pPr>
              <w:pStyle w:val="12"/>
              <w:jc w:val="center"/>
            </w:pPr>
            <w:r>
              <w:rPr>
                <w:rFonts w:hint="eastAsia"/>
              </w:rPr>
              <w:t>1253</w:t>
            </w:r>
          </w:p>
        </w:tc>
        <w:tc>
          <w:tcPr>
            <w:tcW w:w="526" w:type="pct"/>
            <w:vAlign w:val="center"/>
          </w:tcPr>
          <w:p w14:paraId="425A74D1">
            <w:pPr>
              <w:pStyle w:val="12"/>
              <w:jc w:val="center"/>
            </w:pPr>
            <w:r>
              <w:rPr>
                <w:rFonts w:hint="eastAsia"/>
              </w:rPr>
              <w:t>1253</w:t>
            </w:r>
          </w:p>
        </w:tc>
        <w:tc>
          <w:tcPr>
            <w:tcW w:w="526" w:type="pct"/>
            <w:vAlign w:val="center"/>
          </w:tcPr>
          <w:p w14:paraId="4ED455EC">
            <w:pPr>
              <w:pStyle w:val="12"/>
              <w:jc w:val="center"/>
            </w:pPr>
            <w:r>
              <w:rPr>
                <w:rFonts w:hint="eastAsia"/>
              </w:rPr>
              <w:t>1094</w:t>
            </w:r>
          </w:p>
        </w:tc>
      </w:tr>
      <w:tr w14:paraId="09C84F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restart"/>
            <w:vAlign w:val="center"/>
          </w:tcPr>
          <w:p w14:paraId="7DA358FF">
            <w:pPr>
              <w:pStyle w:val="12"/>
              <w:jc w:val="center"/>
            </w:pPr>
            <w:r>
              <w:rPr>
                <w:rFonts w:hint="eastAsia"/>
              </w:rPr>
              <w:t>性别结构</w:t>
            </w:r>
          </w:p>
        </w:tc>
        <w:tc>
          <w:tcPr>
            <w:tcW w:w="763" w:type="pct"/>
            <w:vAlign w:val="center"/>
          </w:tcPr>
          <w:p w14:paraId="75D79829">
            <w:pPr>
              <w:pStyle w:val="12"/>
              <w:jc w:val="center"/>
            </w:pPr>
            <w:r>
              <w:rPr>
                <w:rFonts w:hint="eastAsia"/>
              </w:rPr>
              <w:t>男</w:t>
            </w:r>
          </w:p>
        </w:tc>
        <w:tc>
          <w:tcPr>
            <w:tcW w:w="526" w:type="pct"/>
            <w:vAlign w:val="center"/>
          </w:tcPr>
          <w:p w14:paraId="6CA152B7">
            <w:pPr>
              <w:pStyle w:val="12"/>
              <w:jc w:val="center"/>
            </w:pPr>
            <w:r>
              <w:rPr>
                <w:rFonts w:hint="eastAsia"/>
              </w:rPr>
              <w:t>7172</w:t>
            </w:r>
          </w:p>
        </w:tc>
        <w:tc>
          <w:tcPr>
            <w:tcW w:w="526" w:type="pct"/>
            <w:vAlign w:val="center"/>
          </w:tcPr>
          <w:p w14:paraId="2A6D4758">
            <w:pPr>
              <w:pStyle w:val="12"/>
              <w:jc w:val="center"/>
            </w:pPr>
            <w:r>
              <w:rPr>
                <w:rFonts w:hint="eastAsia"/>
              </w:rPr>
              <w:t>929</w:t>
            </w:r>
          </w:p>
        </w:tc>
        <w:tc>
          <w:tcPr>
            <w:tcW w:w="526" w:type="pct"/>
            <w:vAlign w:val="center"/>
          </w:tcPr>
          <w:p w14:paraId="5D9B2EE2">
            <w:pPr>
              <w:pStyle w:val="12"/>
              <w:jc w:val="center"/>
            </w:pPr>
            <w:r>
              <w:rPr>
                <w:rFonts w:hint="eastAsia"/>
              </w:rPr>
              <w:t>1047</w:t>
            </w:r>
          </w:p>
        </w:tc>
        <w:tc>
          <w:tcPr>
            <w:tcW w:w="526" w:type="pct"/>
            <w:vAlign w:val="center"/>
          </w:tcPr>
          <w:p w14:paraId="6893BB4D">
            <w:pPr>
              <w:pStyle w:val="12"/>
              <w:jc w:val="center"/>
            </w:pPr>
            <w:r>
              <w:rPr>
                <w:rFonts w:hint="eastAsia"/>
              </w:rPr>
              <w:t>1046</w:t>
            </w:r>
          </w:p>
        </w:tc>
        <w:tc>
          <w:tcPr>
            <w:tcW w:w="526" w:type="pct"/>
            <w:vAlign w:val="center"/>
          </w:tcPr>
          <w:p w14:paraId="1E751AD1">
            <w:pPr>
              <w:pStyle w:val="12"/>
              <w:jc w:val="center"/>
            </w:pPr>
            <w:r>
              <w:rPr>
                <w:rFonts w:hint="eastAsia"/>
              </w:rPr>
              <w:t>994</w:t>
            </w:r>
          </w:p>
        </w:tc>
        <w:tc>
          <w:tcPr>
            <w:tcW w:w="526" w:type="pct"/>
            <w:vAlign w:val="center"/>
          </w:tcPr>
          <w:p w14:paraId="23A8F744">
            <w:pPr>
              <w:pStyle w:val="12"/>
              <w:jc w:val="center"/>
            </w:pPr>
            <w:r>
              <w:rPr>
                <w:rFonts w:hint="eastAsia"/>
              </w:rPr>
              <w:t>968</w:t>
            </w:r>
          </w:p>
        </w:tc>
        <w:tc>
          <w:tcPr>
            <w:tcW w:w="526" w:type="pct"/>
            <w:vAlign w:val="center"/>
          </w:tcPr>
          <w:p w14:paraId="7D23BE31">
            <w:pPr>
              <w:pStyle w:val="12"/>
              <w:jc w:val="center"/>
            </w:pPr>
            <w:r>
              <w:rPr>
                <w:rFonts w:hint="eastAsia"/>
              </w:rPr>
              <w:t>856</w:t>
            </w:r>
          </w:p>
        </w:tc>
      </w:tr>
      <w:tr w14:paraId="0A36183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0E42941A">
            <w:pPr>
              <w:pStyle w:val="12"/>
              <w:jc w:val="center"/>
            </w:pPr>
          </w:p>
        </w:tc>
        <w:tc>
          <w:tcPr>
            <w:tcW w:w="763" w:type="pct"/>
            <w:vAlign w:val="center"/>
          </w:tcPr>
          <w:p w14:paraId="35527D0D">
            <w:pPr>
              <w:pStyle w:val="12"/>
              <w:jc w:val="center"/>
            </w:pPr>
            <w:r>
              <w:rPr>
                <w:rFonts w:hint="eastAsia"/>
              </w:rPr>
              <w:t>女</w:t>
            </w:r>
          </w:p>
        </w:tc>
        <w:tc>
          <w:tcPr>
            <w:tcW w:w="526" w:type="pct"/>
            <w:vAlign w:val="center"/>
          </w:tcPr>
          <w:p w14:paraId="7356238E">
            <w:pPr>
              <w:pStyle w:val="12"/>
              <w:jc w:val="center"/>
            </w:pPr>
            <w:r>
              <w:rPr>
                <w:rFonts w:hint="eastAsia"/>
              </w:rPr>
              <w:t>1681</w:t>
            </w:r>
          </w:p>
        </w:tc>
        <w:tc>
          <w:tcPr>
            <w:tcW w:w="526" w:type="pct"/>
            <w:vAlign w:val="center"/>
          </w:tcPr>
          <w:p w14:paraId="6BB3D853">
            <w:pPr>
              <w:pStyle w:val="12"/>
              <w:jc w:val="center"/>
            </w:pPr>
            <w:r>
              <w:rPr>
                <w:rFonts w:hint="eastAsia"/>
              </w:rPr>
              <w:t>219</w:t>
            </w:r>
          </w:p>
        </w:tc>
        <w:tc>
          <w:tcPr>
            <w:tcW w:w="526" w:type="pct"/>
            <w:vAlign w:val="center"/>
          </w:tcPr>
          <w:p w14:paraId="28B170F1">
            <w:pPr>
              <w:pStyle w:val="12"/>
              <w:jc w:val="center"/>
            </w:pPr>
            <w:r>
              <w:rPr>
                <w:rFonts w:hint="eastAsia"/>
              </w:rPr>
              <w:t>208</w:t>
            </w:r>
          </w:p>
        </w:tc>
        <w:tc>
          <w:tcPr>
            <w:tcW w:w="526" w:type="pct"/>
            <w:vAlign w:val="center"/>
          </w:tcPr>
          <w:p w14:paraId="30AF75D1">
            <w:pPr>
              <w:pStyle w:val="12"/>
              <w:jc w:val="center"/>
            </w:pPr>
            <w:r>
              <w:rPr>
                <w:rFonts w:hint="eastAsia"/>
              </w:rPr>
              <w:t>231</w:t>
            </w:r>
          </w:p>
        </w:tc>
        <w:tc>
          <w:tcPr>
            <w:tcW w:w="526" w:type="pct"/>
            <w:vAlign w:val="center"/>
          </w:tcPr>
          <w:p w14:paraId="47A3851D">
            <w:pPr>
              <w:pStyle w:val="12"/>
              <w:jc w:val="center"/>
            </w:pPr>
            <w:r>
              <w:rPr>
                <w:rFonts w:hint="eastAsia"/>
              </w:rPr>
              <w:t>259</w:t>
            </w:r>
          </w:p>
        </w:tc>
        <w:tc>
          <w:tcPr>
            <w:tcW w:w="526" w:type="pct"/>
            <w:vAlign w:val="center"/>
          </w:tcPr>
          <w:p w14:paraId="44FA8183">
            <w:pPr>
              <w:pStyle w:val="12"/>
              <w:jc w:val="center"/>
            </w:pPr>
            <w:r>
              <w:rPr>
                <w:rFonts w:hint="eastAsia"/>
              </w:rPr>
              <w:t>285</w:t>
            </w:r>
          </w:p>
        </w:tc>
        <w:tc>
          <w:tcPr>
            <w:tcW w:w="526" w:type="pct"/>
            <w:vAlign w:val="center"/>
          </w:tcPr>
          <w:p w14:paraId="0DC98957">
            <w:pPr>
              <w:pStyle w:val="12"/>
              <w:jc w:val="center"/>
            </w:pPr>
            <w:r>
              <w:rPr>
                <w:rFonts w:hint="eastAsia"/>
              </w:rPr>
              <w:t>238</w:t>
            </w:r>
          </w:p>
        </w:tc>
      </w:tr>
      <w:tr w14:paraId="544C9CA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restart"/>
            <w:vAlign w:val="center"/>
          </w:tcPr>
          <w:p w14:paraId="20862B4D">
            <w:pPr>
              <w:pStyle w:val="12"/>
              <w:jc w:val="center"/>
            </w:pPr>
            <w:r>
              <w:rPr>
                <w:rFonts w:hint="eastAsia"/>
              </w:rPr>
              <w:t>职业结构</w:t>
            </w:r>
          </w:p>
        </w:tc>
        <w:tc>
          <w:tcPr>
            <w:tcW w:w="763" w:type="pct"/>
            <w:vAlign w:val="center"/>
          </w:tcPr>
          <w:p w14:paraId="3620B1A8">
            <w:pPr>
              <w:pStyle w:val="12"/>
              <w:jc w:val="center"/>
            </w:pPr>
            <w:r>
              <w:rPr>
                <w:rFonts w:hint="eastAsia"/>
              </w:rPr>
              <w:t>工农劳动者</w:t>
            </w:r>
          </w:p>
        </w:tc>
        <w:tc>
          <w:tcPr>
            <w:tcW w:w="526" w:type="pct"/>
            <w:vAlign w:val="center"/>
          </w:tcPr>
          <w:p w14:paraId="236BACD7">
            <w:pPr>
              <w:pStyle w:val="12"/>
              <w:jc w:val="center"/>
            </w:pPr>
            <w:r>
              <w:rPr>
                <w:rFonts w:hint="eastAsia"/>
              </w:rPr>
              <w:t>8463</w:t>
            </w:r>
          </w:p>
        </w:tc>
        <w:tc>
          <w:tcPr>
            <w:tcW w:w="526" w:type="pct"/>
            <w:vAlign w:val="center"/>
          </w:tcPr>
          <w:p w14:paraId="1A84FCB8">
            <w:pPr>
              <w:pStyle w:val="12"/>
              <w:jc w:val="center"/>
            </w:pPr>
            <w:r>
              <w:rPr>
                <w:rFonts w:hint="eastAsia"/>
              </w:rPr>
              <w:t>869</w:t>
            </w:r>
          </w:p>
        </w:tc>
        <w:tc>
          <w:tcPr>
            <w:tcW w:w="526" w:type="pct"/>
            <w:vAlign w:val="center"/>
          </w:tcPr>
          <w:p w14:paraId="4761D574">
            <w:pPr>
              <w:pStyle w:val="12"/>
              <w:jc w:val="center"/>
            </w:pPr>
            <w:r>
              <w:rPr>
                <w:rFonts w:hint="eastAsia"/>
              </w:rPr>
              <w:t>944</w:t>
            </w:r>
          </w:p>
        </w:tc>
        <w:tc>
          <w:tcPr>
            <w:tcW w:w="526" w:type="pct"/>
            <w:vAlign w:val="center"/>
          </w:tcPr>
          <w:p w14:paraId="6B70D484">
            <w:pPr>
              <w:pStyle w:val="12"/>
              <w:jc w:val="center"/>
            </w:pPr>
            <w:r>
              <w:rPr>
                <w:rFonts w:hint="eastAsia"/>
              </w:rPr>
              <w:t>766</w:t>
            </w:r>
          </w:p>
        </w:tc>
        <w:tc>
          <w:tcPr>
            <w:tcW w:w="526" w:type="pct"/>
            <w:vAlign w:val="center"/>
          </w:tcPr>
          <w:p w14:paraId="348D3CA9">
            <w:pPr>
              <w:pStyle w:val="12"/>
              <w:jc w:val="center"/>
            </w:pPr>
            <w:r>
              <w:rPr>
                <w:rFonts w:hint="eastAsia"/>
              </w:rPr>
              <w:t>1002</w:t>
            </w:r>
          </w:p>
        </w:tc>
        <w:tc>
          <w:tcPr>
            <w:tcW w:w="526" w:type="pct"/>
            <w:vAlign w:val="center"/>
          </w:tcPr>
          <w:p w14:paraId="114E6457">
            <w:pPr>
              <w:pStyle w:val="12"/>
              <w:jc w:val="center"/>
            </w:pPr>
            <w:r>
              <w:rPr>
                <w:rFonts w:hint="eastAsia"/>
              </w:rPr>
              <w:t>1000</w:t>
            </w:r>
          </w:p>
        </w:tc>
        <w:tc>
          <w:tcPr>
            <w:tcW w:w="526" w:type="pct"/>
            <w:vAlign w:val="center"/>
          </w:tcPr>
          <w:p w14:paraId="6C9F86EA">
            <w:pPr>
              <w:pStyle w:val="12"/>
              <w:jc w:val="center"/>
            </w:pPr>
            <w:r>
              <w:rPr>
                <w:rFonts w:hint="eastAsia"/>
              </w:rPr>
              <w:t>872</w:t>
            </w:r>
          </w:p>
        </w:tc>
      </w:tr>
      <w:tr w14:paraId="0EE037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3F05D177">
            <w:pPr>
              <w:pStyle w:val="12"/>
              <w:jc w:val="center"/>
            </w:pPr>
          </w:p>
        </w:tc>
        <w:tc>
          <w:tcPr>
            <w:tcW w:w="763" w:type="pct"/>
            <w:vAlign w:val="center"/>
          </w:tcPr>
          <w:p w14:paraId="01FE13CC">
            <w:pPr>
              <w:pStyle w:val="12"/>
              <w:jc w:val="center"/>
            </w:pPr>
            <w:r>
              <w:rPr>
                <w:rFonts w:hint="eastAsia"/>
              </w:rPr>
              <w:t>占总数比（%）</w:t>
            </w:r>
          </w:p>
        </w:tc>
        <w:tc>
          <w:tcPr>
            <w:tcW w:w="526" w:type="pct"/>
            <w:vAlign w:val="center"/>
          </w:tcPr>
          <w:p w14:paraId="709A0108">
            <w:pPr>
              <w:pStyle w:val="12"/>
              <w:jc w:val="center"/>
            </w:pPr>
            <w:r>
              <w:rPr>
                <w:rFonts w:hint="eastAsia"/>
              </w:rPr>
              <w:t>95.6</w:t>
            </w:r>
          </w:p>
        </w:tc>
        <w:tc>
          <w:tcPr>
            <w:tcW w:w="526" w:type="pct"/>
            <w:vAlign w:val="center"/>
          </w:tcPr>
          <w:p w14:paraId="55E6BE06">
            <w:pPr>
              <w:pStyle w:val="12"/>
              <w:jc w:val="center"/>
            </w:pPr>
            <w:r>
              <w:rPr>
                <w:rFonts w:hint="eastAsia"/>
              </w:rPr>
              <w:t>75.7</w:t>
            </w:r>
          </w:p>
        </w:tc>
        <w:tc>
          <w:tcPr>
            <w:tcW w:w="526" w:type="pct"/>
            <w:vAlign w:val="center"/>
          </w:tcPr>
          <w:p w14:paraId="63584A59">
            <w:pPr>
              <w:pStyle w:val="12"/>
              <w:jc w:val="center"/>
            </w:pPr>
            <w:r>
              <w:rPr>
                <w:rFonts w:hint="eastAsia"/>
              </w:rPr>
              <w:t>75.22</w:t>
            </w:r>
          </w:p>
        </w:tc>
        <w:tc>
          <w:tcPr>
            <w:tcW w:w="526" w:type="pct"/>
            <w:vAlign w:val="center"/>
          </w:tcPr>
          <w:p w14:paraId="34F78DEE">
            <w:pPr>
              <w:pStyle w:val="12"/>
              <w:jc w:val="center"/>
            </w:pPr>
            <w:r>
              <w:rPr>
                <w:rFonts w:hint="eastAsia"/>
              </w:rPr>
              <w:t>59.5</w:t>
            </w:r>
          </w:p>
        </w:tc>
        <w:tc>
          <w:tcPr>
            <w:tcW w:w="526" w:type="pct"/>
            <w:vAlign w:val="center"/>
          </w:tcPr>
          <w:p w14:paraId="78C43D25">
            <w:pPr>
              <w:pStyle w:val="12"/>
              <w:jc w:val="center"/>
            </w:pPr>
            <w:r>
              <w:rPr>
                <w:rFonts w:hint="eastAsia"/>
              </w:rPr>
              <w:t>79.9</w:t>
            </w:r>
          </w:p>
        </w:tc>
        <w:tc>
          <w:tcPr>
            <w:tcW w:w="526" w:type="pct"/>
            <w:vAlign w:val="center"/>
          </w:tcPr>
          <w:p w14:paraId="14AD1DE5">
            <w:pPr>
              <w:pStyle w:val="12"/>
              <w:jc w:val="center"/>
            </w:pPr>
            <w:r>
              <w:rPr>
                <w:rFonts w:hint="eastAsia"/>
              </w:rPr>
              <w:t>79.8</w:t>
            </w:r>
          </w:p>
        </w:tc>
        <w:tc>
          <w:tcPr>
            <w:tcW w:w="526" w:type="pct"/>
            <w:vAlign w:val="center"/>
          </w:tcPr>
          <w:p w14:paraId="055C0701">
            <w:pPr>
              <w:pStyle w:val="12"/>
              <w:jc w:val="center"/>
            </w:pPr>
            <w:r>
              <w:rPr>
                <w:rFonts w:hint="eastAsia"/>
              </w:rPr>
              <w:t>79.7</w:t>
            </w:r>
          </w:p>
        </w:tc>
      </w:tr>
      <w:tr w14:paraId="35C61D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25E4E7CD">
            <w:pPr>
              <w:pStyle w:val="12"/>
              <w:jc w:val="center"/>
            </w:pPr>
          </w:p>
        </w:tc>
        <w:tc>
          <w:tcPr>
            <w:tcW w:w="763" w:type="pct"/>
            <w:vAlign w:val="center"/>
          </w:tcPr>
          <w:p w14:paraId="6770BEAB">
            <w:pPr>
              <w:pStyle w:val="12"/>
              <w:jc w:val="center"/>
            </w:pPr>
            <w:r>
              <w:rPr>
                <w:rFonts w:hint="eastAsia"/>
              </w:rPr>
              <w:t>干  部</w:t>
            </w:r>
          </w:p>
        </w:tc>
        <w:tc>
          <w:tcPr>
            <w:tcW w:w="526" w:type="pct"/>
            <w:vAlign w:val="center"/>
          </w:tcPr>
          <w:p w14:paraId="37FD5A9E">
            <w:pPr>
              <w:pStyle w:val="12"/>
              <w:jc w:val="center"/>
            </w:pPr>
            <w:r>
              <w:rPr>
                <w:rFonts w:hint="eastAsia"/>
              </w:rPr>
              <w:t>144</w:t>
            </w:r>
          </w:p>
        </w:tc>
        <w:tc>
          <w:tcPr>
            <w:tcW w:w="526" w:type="pct"/>
            <w:vAlign w:val="center"/>
          </w:tcPr>
          <w:p w14:paraId="4A1D7C21">
            <w:pPr>
              <w:pStyle w:val="12"/>
              <w:jc w:val="center"/>
            </w:pPr>
            <w:r>
              <w:rPr>
                <w:rFonts w:hint="eastAsia"/>
              </w:rPr>
              <w:t>174</w:t>
            </w:r>
          </w:p>
        </w:tc>
        <w:tc>
          <w:tcPr>
            <w:tcW w:w="526" w:type="pct"/>
            <w:vAlign w:val="center"/>
          </w:tcPr>
          <w:p w14:paraId="2E023FC6">
            <w:pPr>
              <w:pStyle w:val="12"/>
              <w:jc w:val="center"/>
            </w:pPr>
            <w:r>
              <w:rPr>
                <w:rFonts w:hint="eastAsia"/>
              </w:rPr>
              <w:t>169</w:t>
            </w:r>
          </w:p>
        </w:tc>
        <w:tc>
          <w:tcPr>
            <w:tcW w:w="526" w:type="pct"/>
            <w:vAlign w:val="center"/>
          </w:tcPr>
          <w:p w14:paraId="6F55B307">
            <w:pPr>
              <w:pStyle w:val="12"/>
              <w:jc w:val="center"/>
            </w:pPr>
            <w:r>
              <w:rPr>
                <w:rFonts w:hint="eastAsia"/>
              </w:rPr>
              <w:t>241</w:t>
            </w:r>
          </w:p>
        </w:tc>
        <w:tc>
          <w:tcPr>
            <w:tcW w:w="526" w:type="pct"/>
            <w:vAlign w:val="center"/>
          </w:tcPr>
          <w:p w14:paraId="20DA9EF1">
            <w:pPr>
              <w:pStyle w:val="12"/>
              <w:jc w:val="center"/>
            </w:pPr>
            <w:r>
              <w:rPr>
                <w:rFonts w:hint="eastAsia"/>
              </w:rPr>
              <w:t>186</w:t>
            </w:r>
          </w:p>
        </w:tc>
        <w:tc>
          <w:tcPr>
            <w:tcW w:w="526" w:type="pct"/>
            <w:vAlign w:val="center"/>
          </w:tcPr>
          <w:p w14:paraId="42C9D497">
            <w:pPr>
              <w:pStyle w:val="12"/>
              <w:jc w:val="center"/>
            </w:pPr>
            <w:r>
              <w:rPr>
                <w:rFonts w:hint="eastAsia"/>
              </w:rPr>
              <w:t>175</w:t>
            </w:r>
          </w:p>
        </w:tc>
        <w:tc>
          <w:tcPr>
            <w:tcW w:w="526" w:type="pct"/>
            <w:vAlign w:val="center"/>
          </w:tcPr>
          <w:p w14:paraId="70C794C3">
            <w:pPr>
              <w:pStyle w:val="12"/>
              <w:jc w:val="center"/>
            </w:pPr>
            <w:r>
              <w:rPr>
                <w:rFonts w:hint="eastAsia"/>
              </w:rPr>
              <w:t>148</w:t>
            </w:r>
          </w:p>
        </w:tc>
      </w:tr>
      <w:tr w14:paraId="76EFDE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68D03BB6">
            <w:pPr>
              <w:pStyle w:val="12"/>
              <w:jc w:val="center"/>
            </w:pPr>
          </w:p>
        </w:tc>
        <w:tc>
          <w:tcPr>
            <w:tcW w:w="763" w:type="pct"/>
            <w:vAlign w:val="center"/>
          </w:tcPr>
          <w:p w14:paraId="2D49FAB0">
            <w:pPr>
              <w:pStyle w:val="12"/>
              <w:jc w:val="center"/>
            </w:pPr>
            <w:r>
              <w:rPr>
                <w:rFonts w:hint="eastAsia"/>
              </w:rPr>
              <w:t>占总数比（%）</w:t>
            </w:r>
          </w:p>
        </w:tc>
        <w:tc>
          <w:tcPr>
            <w:tcW w:w="526" w:type="pct"/>
            <w:vAlign w:val="center"/>
          </w:tcPr>
          <w:p w14:paraId="40BED029">
            <w:pPr>
              <w:pStyle w:val="12"/>
              <w:jc w:val="center"/>
            </w:pPr>
            <w:r>
              <w:rPr>
                <w:rFonts w:hint="eastAsia"/>
              </w:rPr>
              <w:t>1.6</w:t>
            </w:r>
          </w:p>
        </w:tc>
        <w:tc>
          <w:tcPr>
            <w:tcW w:w="526" w:type="pct"/>
            <w:vAlign w:val="center"/>
          </w:tcPr>
          <w:p w14:paraId="201EF8F3">
            <w:pPr>
              <w:pStyle w:val="12"/>
              <w:jc w:val="center"/>
            </w:pPr>
            <w:r>
              <w:rPr>
                <w:rFonts w:hint="eastAsia"/>
              </w:rPr>
              <w:t>15.1</w:t>
            </w:r>
          </w:p>
        </w:tc>
        <w:tc>
          <w:tcPr>
            <w:tcW w:w="526" w:type="pct"/>
            <w:vAlign w:val="center"/>
          </w:tcPr>
          <w:p w14:paraId="53B42C5C">
            <w:pPr>
              <w:pStyle w:val="12"/>
              <w:jc w:val="center"/>
            </w:pPr>
            <w:r>
              <w:rPr>
                <w:rFonts w:hint="eastAsia"/>
              </w:rPr>
              <w:t>13.5</w:t>
            </w:r>
          </w:p>
        </w:tc>
        <w:tc>
          <w:tcPr>
            <w:tcW w:w="526" w:type="pct"/>
            <w:vAlign w:val="center"/>
          </w:tcPr>
          <w:p w14:paraId="2F39C8A7">
            <w:pPr>
              <w:pStyle w:val="12"/>
              <w:jc w:val="center"/>
            </w:pPr>
            <w:r>
              <w:rPr>
                <w:rFonts w:hint="eastAsia"/>
              </w:rPr>
              <w:t>18.9</w:t>
            </w:r>
          </w:p>
        </w:tc>
        <w:tc>
          <w:tcPr>
            <w:tcW w:w="526" w:type="pct"/>
            <w:vAlign w:val="center"/>
          </w:tcPr>
          <w:p w14:paraId="2AE99879">
            <w:pPr>
              <w:pStyle w:val="12"/>
              <w:jc w:val="center"/>
            </w:pPr>
            <w:r>
              <w:rPr>
                <w:rFonts w:hint="eastAsia"/>
              </w:rPr>
              <w:t>14.84</w:t>
            </w:r>
          </w:p>
        </w:tc>
        <w:tc>
          <w:tcPr>
            <w:tcW w:w="526" w:type="pct"/>
            <w:vAlign w:val="center"/>
          </w:tcPr>
          <w:p w14:paraId="6724CE06">
            <w:pPr>
              <w:pStyle w:val="12"/>
              <w:jc w:val="center"/>
            </w:pPr>
            <w:r>
              <w:rPr>
                <w:rFonts w:hint="eastAsia"/>
              </w:rPr>
              <w:t>13.46</w:t>
            </w:r>
          </w:p>
        </w:tc>
        <w:tc>
          <w:tcPr>
            <w:tcW w:w="526" w:type="pct"/>
            <w:vAlign w:val="center"/>
          </w:tcPr>
          <w:p w14:paraId="5939AD03">
            <w:pPr>
              <w:pStyle w:val="12"/>
              <w:jc w:val="center"/>
            </w:pPr>
            <w:r>
              <w:rPr>
                <w:rFonts w:hint="eastAsia"/>
              </w:rPr>
              <w:t>13.5</w:t>
            </w:r>
          </w:p>
        </w:tc>
      </w:tr>
      <w:tr w14:paraId="299B25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6C49EAC3">
            <w:pPr>
              <w:pStyle w:val="12"/>
              <w:jc w:val="center"/>
            </w:pPr>
          </w:p>
        </w:tc>
        <w:tc>
          <w:tcPr>
            <w:tcW w:w="763" w:type="pct"/>
            <w:vAlign w:val="center"/>
          </w:tcPr>
          <w:p w14:paraId="3493CB82">
            <w:pPr>
              <w:pStyle w:val="12"/>
              <w:jc w:val="center"/>
            </w:pPr>
            <w:r>
              <w:rPr>
                <w:rFonts w:hint="eastAsia"/>
              </w:rPr>
              <w:t>知识分子</w:t>
            </w:r>
          </w:p>
        </w:tc>
        <w:tc>
          <w:tcPr>
            <w:tcW w:w="526" w:type="pct"/>
            <w:vAlign w:val="center"/>
          </w:tcPr>
          <w:p w14:paraId="3188CC57">
            <w:pPr>
              <w:pStyle w:val="12"/>
              <w:jc w:val="center"/>
            </w:pPr>
            <w:r>
              <w:rPr>
                <w:rFonts w:hint="eastAsia"/>
              </w:rPr>
              <w:t>246</w:t>
            </w:r>
          </w:p>
        </w:tc>
        <w:tc>
          <w:tcPr>
            <w:tcW w:w="526" w:type="pct"/>
            <w:vAlign w:val="center"/>
          </w:tcPr>
          <w:p w14:paraId="34CCBA4B">
            <w:pPr>
              <w:pStyle w:val="12"/>
              <w:jc w:val="center"/>
            </w:pPr>
            <w:r>
              <w:rPr>
                <w:rFonts w:hint="eastAsia"/>
              </w:rPr>
              <w:t>95</w:t>
            </w:r>
          </w:p>
        </w:tc>
        <w:tc>
          <w:tcPr>
            <w:tcW w:w="526" w:type="pct"/>
            <w:vAlign w:val="center"/>
          </w:tcPr>
          <w:p w14:paraId="3093496B">
            <w:pPr>
              <w:pStyle w:val="12"/>
              <w:jc w:val="center"/>
            </w:pPr>
            <w:r>
              <w:rPr>
                <w:rFonts w:hint="eastAsia"/>
              </w:rPr>
              <w:t>142</w:t>
            </w:r>
          </w:p>
        </w:tc>
        <w:tc>
          <w:tcPr>
            <w:tcW w:w="526" w:type="pct"/>
            <w:vAlign w:val="center"/>
          </w:tcPr>
          <w:p w14:paraId="2FA1FA6C">
            <w:pPr>
              <w:pStyle w:val="12"/>
              <w:jc w:val="center"/>
            </w:pPr>
            <w:r>
              <w:rPr>
                <w:rFonts w:hint="eastAsia"/>
              </w:rPr>
              <w:t>213</w:t>
            </w:r>
          </w:p>
        </w:tc>
        <w:tc>
          <w:tcPr>
            <w:tcW w:w="526" w:type="pct"/>
            <w:vAlign w:val="center"/>
          </w:tcPr>
          <w:p w14:paraId="65A5FA4E">
            <w:pPr>
              <w:pStyle w:val="12"/>
              <w:jc w:val="center"/>
            </w:pPr>
            <w:r>
              <w:rPr>
                <w:rFonts w:hint="eastAsia"/>
              </w:rPr>
              <w:t>65</w:t>
            </w:r>
          </w:p>
        </w:tc>
        <w:tc>
          <w:tcPr>
            <w:tcW w:w="526" w:type="pct"/>
            <w:vAlign w:val="center"/>
          </w:tcPr>
          <w:p w14:paraId="1C226CF4">
            <w:pPr>
              <w:pStyle w:val="12"/>
              <w:jc w:val="center"/>
            </w:pPr>
            <w:r>
              <w:rPr>
                <w:rFonts w:hint="eastAsia"/>
              </w:rPr>
              <w:t>78</w:t>
            </w:r>
          </w:p>
        </w:tc>
        <w:tc>
          <w:tcPr>
            <w:tcW w:w="526" w:type="pct"/>
            <w:vAlign w:val="center"/>
          </w:tcPr>
          <w:p w14:paraId="24182CE3">
            <w:pPr>
              <w:pStyle w:val="12"/>
              <w:jc w:val="center"/>
            </w:pPr>
            <w:r>
              <w:rPr>
                <w:rFonts w:hint="eastAsia"/>
              </w:rPr>
              <w:t>74</w:t>
            </w:r>
          </w:p>
        </w:tc>
      </w:tr>
      <w:tr w14:paraId="74B0E5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19E6E280">
            <w:pPr>
              <w:pStyle w:val="12"/>
              <w:jc w:val="center"/>
            </w:pPr>
          </w:p>
        </w:tc>
        <w:tc>
          <w:tcPr>
            <w:tcW w:w="763" w:type="pct"/>
            <w:vAlign w:val="center"/>
          </w:tcPr>
          <w:p w14:paraId="3A6BE454">
            <w:pPr>
              <w:pStyle w:val="12"/>
              <w:jc w:val="center"/>
            </w:pPr>
            <w:r>
              <w:rPr>
                <w:rFonts w:hint="eastAsia"/>
              </w:rPr>
              <w:t>占总数比（%）</w:t>
            </w:r>
          </w:p>
        </w:tc>
        <w:tc>
          <w:tcPr>
            <w:tcW w:w="526" w:type="pct"/>
            <w:vAlign w:val="center"/>
          </w:tcPr>
          <w:p w14:paraId="2B262293">
            <w:pPr>
              <w:pStyle w:val="12"/>
              <w:jc w:val="center"/>
            </w:pPr>
            <w:r>
              <w:rPr>
                <w:rFonts w:hint="eastAsia"/>
              </w:rPr>
              <w:t>2.7</w:t>
            </w:r>
          </w:p>
        </w:tc>
        <w:tc>
          <w:tcPr>
            <w:tcW w:w="526" w:type="pct"/>
            <w:vAlign w:val="center"/>
          </w:tcPr>
          <w:p w14:paraId="7564BE0B">
            <w:pPr>
              <w:pStyle w:val="12"/>
              <w:jc w:val="center"/>
            </w:pPr>
            <w:r>
              <w:rPr>
                <w:rFonts w:hint="eastAsia"/>
              </w:rPr>
              <w:t>8.2</w:t>
            </w:r>
          </w:p>
        </w:tc>
        <w:tc>
          <w:tcPr>
            <w:tcW w:w="526" w:type="pct"/>
            <w:vAlign w:val="center"/>
          </w:tcPr>
          <w:p w14:paraId="338131E0">
            <w:pPr>
              <w:pStyle w:val="12"/>
              <w:jc w:val="center"/>
            </w:pPr>
            <w:r>
              <w:rPr>
                <w:rFonts w:hint="eastAsia"/>
              </w:rPr>
              <w:t>11.3</w:t>
            </w:r>
          </w:p>
        </w:tc>
        <w:tc>
          <w:tcPr>
            <w:tcW w:w="526" w:type="pct"/>
            <w:vAlign w:val="center"/>
          </w:tcPr>
          <w:p w14:paraId="542BA31C">
            <w:pPr>
              <w:pStyle w:val="12"/>
              <w:jc w:val="center"/>
            </w:pPr>
            <w:r>
              <w:rPr>
                <w:rFonts w:hint="eastAsia"/>
              </w:rPr>
              <w:t>16.7</w:t>
            </w:r>
          </w:p>
        </w:tc>
        <w:tc>
          <w:tcPr>
            <w:tcW w:w="526" w:type="pct"/>
            <w:vAlign w:val="center"/>
          </w:tcPr>
          <w:p w14:paraId="0886E60D">
            <w:pPr>
              <w:pStyle w:val="12"/>
              <w:jc w:val="center"/>
            </w:pPr>
            <w:r>
              <w:rPr>
                <w:rFonts w:hint="eastAsia"/>
              </w:rPr>
              <w:t>5.19</w:t>
            </w:r>
          </w:p>
        </w:tc>
        <w:tc>
          <w:tcPr>
            <w:tcW w:w="526" w:type="pct"/>
            <w:vAlign w:val="center"/>
          </w:tcPr>
          <w:p w14:paraId="4941DDDA">
            <w:pPr>
              <w:pStyle w:val="12"/>
              <w:jc w:val="center"/>
            </w:pPr>
            <w:r>
              <w:rPr>
                <w:rFonts w:hint="eastAsia"/>
              </w:rPr>
              <w:t>6.23</w:t>
            </w:r>
          </w:p>
        </w:tc>
        <w:tc>
          <w:tcPr>
            <w:tcW w:w="526" w:type="pct"/>
            <w:vAlign w:val="center"/>
          </w:tcPr>
          <w:p w14:paraId="76049A82">
            <w:pPr>
              <w:pStyle w:val="12"/>
              <w:jc w:val="center"/>
            </w:pPr>
            <w:r>
              <w:rPr>
                <w:rFonts w:hint="eastAsia"/>
              </w:rPr>
              <w:t>6.8</w:t>
            </w:r>
          </w:p>
        </w:tc>
      </w:tr>
      <w:tr w14:paraId="770048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555" w:type="pct"/>
            <w:vMerge w:val="restart"/>
            <w:vAlign w:val="center"/>
          </w:tcPr>
          <w:p w14:paraId="4C663EB7">
            <w:pPr>
              <w:pStyle w:val="12"/>
              <w:jc w:val="center"/>
            </w:pPr>
            <w:r>
              <w:rPr>
                <w:rFonts w:hint="eastAsia"/>
              </w:rPr>
              <w:t>文化结构</w:t>
            </w:r>
          </w:p>
        </w:tc>
        <w:tc>
          <w:tcPr>
            <w:tcW w:w="763" w:type="pct"/>
            <w:vAlign w:val="center"/>
          </w:tcPr>
          <w:p w14:paraId="7DFD3BF3">
            <w:pPr>
              <w:pStyle w:val="12"/>
              <w:jc w:val="center"/>
            </w:pPr>
            <w:r>
              <w:rPr>
                <w:rFonts w:hint="eastAsia"/>
              </w:rPr>
              <w:t>大  专</w:t>
            </w:r>
          </w:p>
        </w:tc>
        <w:tc>
          <w:tcPr>
            <w:tcW w:w="526" w:type="pct"/>
            <w:vAlign w:val="center"/>
          </w:tcPr>
          <w:p w14:paraId="292FEA32">
            <w:pPr>
              <w:pStyle w:val="12"/>
              <w:jc w:val="center"/>
            </w:pPr>
            <w:r>
              <w:rPr>
                <w:rFonts w:hint="eastAsia"/>
              </w:rPr>
              <w:t>8</w:t>
            </w:r>
          </w:p>
        </w:tc>
        <w:tc>
          <w:tcPr>
            <w:tcW w:w="526" w:type="pct"/>
            <w:vAlign w:val="center"/>
          </w:tcPr>
          <w:p w14:paraId="1C43F0D1">
            <w:pPr>
              <w:pStyle w:val="12"/>
              <w:jc w:val="center"/>
            </w:pPr>
            <w:r>
              <w:rPr>
                <w:rFonts w:hint="eastAsia"/>
              </w:rPr>
              <w:t>30</w:t>
            </w:r>
          </w:p>
        </w:tc>
        <w:tc>
          <w:tcPr>
            <w:tcW w:w="526" w:type="pct"/>
            <w:vAlign w:val="center"/>
          </w:tcPr>
          <w:p w14:paraId="57639FBA">
            <w:pPr>
              <w:pStyle w:val="12"/>
              <w:jc w:val="center"/>
            </w:pPr>
            <w:r>
              <w:rPr>
                <w:rFonts w:hint="eastAsia"/>
              </w:rPr>
              <w:t>74</w:t>
            </w:r>
          </w:p>
        </w:tc>
        <w:tc>
          <w:tcPr>
            <w:tcW w:w="526" w:type="pct"/>
            <w:vAlign w:val="center"/>
          </w:tcPr>
          <w:p w14:paraId="0ABE80D5">
            <w:pPr>
              <w:pStyle w:val="12"/>
              <w:jc w:val="center"/>
            </w:pPr>
            <w:r>
              <w:rPr>
                <w:rFonts w:hint="eastAsia"/>
              </w:rPr>
              <w:t>131</w:t>
            </w:r>
          </w:p>
        </w:tc>
        <w:tc>
          <w:tcPr>
            <w:tcW w:w="526" w:type="pct"/>
            <w:vAlign w:val="center"/>
          </w:tcPr>
          <w:p w14:paraId="08DC42E2">
            <w:pPr>
              <w:pStyle w:val="12"/>
              <w:jc w:val="center"/>
            </w:pPr>
            <w:r>
              <w:rPr>
                <w:rFonts w:hint="eastAsia"/>
              </w:rPr>
              <w:t>146</w:t>
            </w:r>
          </w:p>
        </w:tc>
        <w:tc>
          <w:tcPr>
            <w:tcW w:w="526" w:type="pct"/>
            <w:vAlign w:val="center"/>
          </w:tcPr>
          <w:p w14:paraId="6AE37A53">
            <w:pPr>
              <w:pStyle w:val="12"/>
              <w:jc w:val="center"/>
            </w:pPr>
            <w:r>
              <w:rPr>
                <w:rFonts w:hint="eastAsia"/>
              </w:rPr>
              <w:t>172</w:t>
            </w:r>
          </w:p>
        </w:tc>
        <w:tc>
          <w:tcPr>
            <w:tcW w:w="526" w:type="pct"/>
            <w:vAlign w:val="center"/>
          </w:tcPr>
          <w:p w14:paraId="01323D0B">
            <w:pPr>
              <w:pStyle w:val="12"/>
              <w:jc w:val="center"/>
            </w:pPr>
            <w:r>
              <w:rPr>
                <w:rFonts w:hint="eastAsia"/>
              </w:rPr>
              <w:t>199</w:t>
            </w:r>
          </w:p>
        </w:tc>
      </w:tr>
      <w:tr w14:paraId="6D26098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578DCCD9">
            <w:pPr>
              <w:pStyle w:val="12"/>
              <w:jc w:val="center"/>
            </w:pPr>
          </w:p>
        </w:tc>
        <w:tc>
          <w:tcPr>
            <w:tcW w:w="763" w:type="pct"/>
            <w:vAlign w:val="center"/>
          </w:tcPr>
          <w:p w14:paraId="56967F27">
            <w:pPr>
              <w:pStyle w:val="12"/>
              <w:jc w:val="center"/>
            </w:pPr>
            <w:r>
              <w:rPr>
                <w:rFonts w:hint="eastAsia"/>
              </w:rPr>
              <w:t>占总数比（%）</w:t>
            </w:r>
          </w:p>
        </w:tc>
        <w:tc>
          <w:tcPr>
            <w:tcW w:w="526" w:type="pct"/>
            <w:vAlign w:val="center"/>
          </w:tcPr>
          <w:p w14:paraId="59494FA6">
            <w:pPr>
              <w:pStyle w:val="12"/>
              <w:jc w:val="center"/>
            </w:pPr>
            <w:r>
              <w:rPr>
                <w:rFonts w:hint="eastAsia"/>
              </w:rPr>
              <w:t>0.09</w:t>
            </w:r>
          </w:p>
        </w:tc>
        <w:tc>
          <w:tcPr>
            <w:tcW w:w="526" w:type="pct"/>
            <w:vAlign w:val="center"/>
          </w:tcPr>
          <w:p w14:paraId="24B41F0A">
            <w:pPr>
              <w:pStyle w:val="12"/>
              <w:jc w:val="center"/>
            </w:pPr>
            <w:r>
              <w:rPr>
                <w:rFonts w:hint="eastAsia"/>
              </w:rPr>
              <w:t>3</w:t>
            </w:r>
          </w:p>
        </w:tc>
        <w:tc>
          <w:tcPr>
            <w:tcW w:w="526" w:type="pct"/>
            <w:vAlign w:val="center"/>
          </w:tcPr>
          <w:p w14:paraId="60C1A5C7">
            <w:pPr>
              <w:pStyle w:val="12"/>
              <w:jc w:val="center"/>
            </w:pPr>
            <w:r>
              <w:rPr>
                <w:rFonts w:hint="eastAsia"/>
              </w:rPr>
              <w:t>6.7</w:t>
            </w:r>
          </w:p>
        </w:tc>
        <w:tc>
          <w:tcPr>
            <w:tcW w:w="526" w:type="pct"/>
            <w:vAlign w:val="center"/>
          </w:tcPr>
          <w:p w14:paraId="2F7C71D7">
            <w:pPr>
              <w:pStyle w:val="12"/>
              <w:jc w:val="center"/>
            </w:pPr>
            <w:r>
              <w:rPr>
                <w:rFonts w:hint="eastAsia"/>
              </w:rPr>
              <w:t>10.3</w:t>
            </w:r>
          </w:p>
        </w:tc>
        <w:tc>
          <w:tcPr>
            <w:tcW w:w="526" w:type="pct"/>
            <w:vAlign w:val="center"/>
          </w:tcPr>
          <w:p w14:paraId="52B959CA">
            <w:pPr>
              <w:pStyle w:val="12"/>
              <w:jc w:val="center"/>
            </w:pPr>
            <w:r>
              <w:rPr>
                <w:rFonts w:hint="eastAsia"/>
              </w:rPr>
              <w:t>11.65</w:t>
            </w:r>
          </w:p>
        </w:tc>
        <w:tc>
          <w:tcPr>
            <w:tcW w:w="526" w:type="pct"/>
            <w:vAlign w:val="center"/>
          </w:tcPr>
          <w:p w14:paraId="614AF778">
            <w:pPr>
              <w:pStyle w:val="12"/>
              <w:jc w:val="center"/>
            </w:pPr>
            <w:r>
              <w:rPr>
                <w:rFonts w:hint="eastAsia"/>
              </w:rPr>
              <w:t>13.73</w:t>
            </w:r>
          </w:p>
        </w:tc>
        <w:tc>
          <w:tcPr>
            <w:tcW w:w="526" w:type="pct"/>
            <w:vAlign w:val="center"/>
          </w:tcPr>
          <w:p w14:paraId="5D56CEB3">
            <w:pPr>
              <w:pStyle w:val="12"/>
              <w:jc w:val="center"/>
            </w:pPr>
            <w:r>
              <w:rPr>
                <w:rFonts w:hint="eastAsia"/>
              </w:rPr>
              <w:t>18.2</w:t>
            </w:r>
          </w:p>
        </w:tc>
      </w:tr>
      <w:tr w14:paraId="2AA158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011C956F">
            <w:pPr>
              <w:pStyle w:val="12"/>
              <w:jc w:val="center"/>
            </w:pPr>
          </w:p>
        </w:tc>
        <w:tc>
          <w:tcPr>
            <w:tcW w:w="763" w:type="pct"/>
            <w:vAlign w:val="center"/>
          </w:tcPr>
          <w:p w14:paraId="7F0AAC65">
            <w:pPr>
              <w:pStyle w:val="12"/>
              <w:jc w:val="center"/>
            </w:pPr>
            <w:r>
              <w:rPr>
                <w:rFonts w:hint="eastAsia"/>
              </w:rPr>
              <w:t>中  专</w:t>
            </w:r>
          </w:p>
        </w:tc>
        <w:tc>
          <w:tcPr>
            <w:tcW w:w="526" w:type="pct"/>
            <w:vAlign w:val="center"/>
          </w:tcPr>
          <w:p w14:paraId="5C0CD452">
            <w:pPr>
              <w:pStyle w:val="12"/>
              <w:jc w:val="center"/>
            </w:pPr>
            <w:r>
              <w:rPr>
                <w:rFonts w:hint="eastAsia"/>
              </w:rPr>
              <w:t>96</w:t>
            </w:r>
          </w:p>
        </w:tc>
        <w:tc>
          <w:tcPr>
            <w:tcW w:w="526" w:type="pct"/>
            <w:vAlign w:val="center"/>
          </w:tcPr>
          <w:p w14:paraId="04ECC7ED">
            <w:pPr>
              <w:pStyle w:val="12"/>
              <w:jc w:val="center"/>
            </w:pPr>
            <w:r>
              <w:rPr>
                <w:rFonts w:hint="eastAsia"/>
              </w:rPr>
              <w:t>68</w:t>
            </w:r>
          </w:p>
        </w:tc>
        <w:tc>
          <w:tcPr>
            <w:tcW w:w="526" w:type="pct"/>
            <w:vAlign w:val="center"/>
          </w:tcPr>
          <w:p w14:paraId="00E08E34">
            <w:pPr>
              <w:pStyle w:val="12"/>
              <w:jc w:val="center"/>
            </w:pPr>
            <w:r>
              <w:rPr>
                <w:rFonts w:hint="eastAsia"/>
              </w:rPr>
              <w:t>112</w:t>
            </w:r>
          </w:p>
        </w:tc>
        <w:tc>
          <w:tcPr>
            <w:tcW w:w="526" w:type="pct"/>
            <w:vAlign w:val="center"/>
          </w:tcPr>
          <w:p w14:paraId="3A7F3DA7">
            <w:pPr>
              <w:pStyle w:val="12"/>
              <w:jc w:val="center"/>
            </w:pPr>
            <w:r>
              <w:rPr>
                <w:rFonts w:hint="eastAsia"/>
              </w:rPr>
              <w:t>118</w:t>
            </w:r>
          </w:p>
        </w:tc>
        <w:tc>
          <w:tcPr>
            <w:tcW w:w="526" w:type="pct"/>
            <w:vAlign w:val="center"/>
          </w:tcPr>
          <w:p w14:paraId="3949FB3C">
            <w:pPr>
              <w:pStyle w:val="12"/>
              <w:jc w:val="center"/>
            </w:pPr>
            <w:r>
              <w:rPr>
                <w:rFonts w:hint="eastAsia"/>
              </w:rPr>
              <w:t>428</w:t>
            </w:r>
          </w:p>
        </w:tc>
        <w:tc>
          <w:tcPr>
            <w:tcW w:w="526" w:type="pct"/>
            <w:vAlign w:val="center"/>
          </w:tcPr>
          <w:p w14:paraId="3CCBC95D">
            <w:pPr>
              <w:pStyle w:val="12"/>
              <w:jc w:val="center"/>
            </w:pPr>
            <w:r>
              <w:rPr>
                <w:rFonts w:hint="eastAsia"/>
              </w:rPr>
              <w:t>937</w:t>
            </w:r>
          </w:p>
        </w:tc>
        <w:tc>
          <w:tcPr>
            <w:tcW w:w="526" w:type="pct"/>
            <w:vAlign w:val="center"/>
          </w:tcPr>
          <w:p w14:paraId="350EBDEE">
            <w:pPr>
              <w:pStyle w:val="12"/>
              <w:jc w:val="center"/>
            </w:pPr>
            <w:r>
              <w:rPr>
                <w:rFonts w:hint="eastAsia"/>
              </w:rPr>
              <w:t>474</w:t>
            </w:r>
          </w:p>
        </w:tc>
      </w:tr>
      <w:tr w14:paraId="1763FC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60BE576F">
            <w:pPr>
              <w:pStyle w:val="12"/>
              <w:jc w:val="center"/>
            </w:pPr>
          </w:p>
        </w:tc>
        <w:tc>
          <w:tcPr>
            <w:tcW w:w="763" w:type="pct"/>
            <w:vAlign w:val="center"/>
          </w:tcPr>
          <w:p w14:paraId="4FA7ED6B">
            <w:pPr>
              <w:pStyle w:val="12"/>
              <w:jc w:val="center"/>
            </w:pPr>
            <w:r>
              <w:rPr>
                <w:rFonts w:hint="eastAsia"/>
              </w:rPr>
              <w:t>占总数比（%）</w:t>
            </w:r>
          </w:p>
        </w:tc>
        <w:tc>
          <w:tcPr>
            <w:tcW w:w="526" w:type="pct"/>
            <w:vAlign w:val="center"/>
          </w:tcPr>
          <w:p w14:paraId="219863EA">
            <w:pPr>
              <w:pStyle w:val="12"/>
              <w:jc w:val="center"/>
            </w:pPr>
            <w:r>
              <w:rPr>
                <w:rFonts w:hint="eastAsia"/>
              </w:rPr>
              <w:t>1</w:t>
            </w:r>
          </w:p>
        </w:tc>
        <w:tc>
          <w:tcPr>
            <w:tcW w:w="526" w:type="pct"/>
            <w:vAlign w:val="center"/>
          </w:tcPr>
          <w:p w14:paraId="69009F44">
            <w:pPr>
              <w:pStyle w:val="12"/>
              <w:jc w:val="center"/>
            </w:pPr>
            <w:r>
              <w:rPr>
                <w:rFonts w:hint="eastAsia"/>
              </w:rPr>
              <w:t>5.9</w:t>
            </w:r>
          </w:p>
        </w:tc>
        <w:tc>
          <w:tcPr>
            <w:tcW w:w="526" w:type="pct"/>
            <w:vAlign w:val="center"/>
          </w:tcPr>
          <w:p w14:paraId="1DDCDD05">
            <w:pPr>
              <w:pStyle w:val="12"/>
              <w:jc w:val="center"/>
            </w:pPr>
            <w:r>
              <w:rPr>
                <w:rFonts w:hint="eastAsia"/>
              </w:rPr>
              <w:t>10.3</w:t>
            </w:r>
          </w:p>
        </w:tc>
        <w:tc>
          <w:tcPr>
            <w:tcW w:w="526" w:type="pct"/>
            <w:vAlign w:val="center"/>
          </w:tcPr>
          <w:p w14:paraId="52310026">
            <w:pPr>
              <w:pStyle w:val="12"/>
              <w:jc w:val="center"/>
            </w:pPr>
            <w:r>
              <w:rPr>
                <w:rFonts w:hint="eastAsia"/>
              </w:rPr>
              <w:t>9</w:t>
            </w:r>
          </w:p>
        </w:tc>
        <w:tc>
          <w:tcPr>
            <w:tcW w:w="526" w:type="pct"/>
            <w:vAlign w:val="center"/>
          </w:tcPr>
          <w:p w14:paraId="673E4357">
            <w:pPr>
              <w:pStyle w:val="12"/>
              <w:jc w:val="center"/>
            </w:pPr>
            <w:r>
              <w:rPr>
                <w:rFonts w:hint="eastAsia"/>
              </w:rPr>
              <w:t>34.16</w:t>
            </w:r>
          </w:p>
        </w:tc>
        <w:tc>
          <w:tcPr>
            <w:tcW w:w="526" w:type="pct"/>
            <w:vAlign w:val="center"/>
          </w:tcPr>
          <w:p w14:paraId="1292B723">
            <w:pPr>
              <w:pStyle w:val="12"/>
              <w:jc w:val="center"/>
            </w:pPr>
            <w:r>
              <w:rPr>
                <w:rFonts w:hint="eastAsia"/>
              </w:rPr>
              <w:t>74.78</w:t>
            </w:r>
          </w:p>
        </w:tc>
        <w:tc>
          <w:tcPr>
            <w:tcW w:w="526" w:type="pct"/>
            <w:vAlign w:val="center"/>
          </w:tcPr>
          <w:p w14:paraId="24139764">
            <w:pPr>
              <w:pStyle w:val="12"/>
              <w:jc w:val="center"/>
            </w:pPr>
            <w:r>
              <w:rPr>
                <w:rFonts w:hint="eastAsia"/>
              </w:rPr>
              <w:t>43.3</w:t>
            </w:r>
          </w:p>
        </w:tc>
      </w:tr>
      <w:tr w14:paraId="5DDFE6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60215C18">
            <w:pPr>
              <w:pStyle w:val="12"/>
              <w:jc w:val="center"/>
            </w:pPr>
          </w:p>
        </w:tc>
        <w:tc>
          <w:tcPr>
            <w:tcW w:w="763" w:type="pct"/>
            <w:vAlign w:val="center"/>
          </w:tcPr>
          <w:p w14:paraId="3DF3701E">
            <w:pPr>
              <w:pStyle w:val="12"/>
              <w:jc w:val="center"/>
            </w:pPr>
            <w:r>
              <w:rPr>
                <w:rFonts w:hint="eastAsia"/>
              </w:rPr>
              <w:t>中  学</w:t>
            </w:r>
          </w:p>
        </w:tc>
        <w:tc>
          <w:tcPr>
            <w:tcW w:w="526" w:type="pct"/>
            <w:vAlign w:val="center"/>
          </w:tcPr>
          <w:p w14:paraId="50B25A8E">
            <w:pPr>
              <w:pStyle w:val="12"/>
              <w:jc w:val="center"/>
            </w:pPr>
            <w:r>
              <w:rPr>
                <w:rFonts w:hint="eastAsia"/>
              </w:rPr>
              <w:t>3360</w:t>
            </w:r>
          </w:p>
        </w:tc>
        <w:tc>
          <w:tcPr>
            <w:tcW w:w="526" w:type="pct"/>
            <w:vAlign w:val="center"/>
          </w:tcPr>
          <w:p w14:paraId="7B1B8C8A">
            <w:pPr>
              <w:pStyle w:val="12"/>
              <w:jc w:val="center"/>
            </w:pPr>
            <w:r>
              <w:rPr>
                <w:rFonts w:hint="eastAsia"/>
              </w:rPr>
              <w:t>628</w:t>
            </w:r>
          </w:p>
        </w:tc>
        <w:tc>
          <w:tcPr>
            <w:tcW w:w="526" w:type="pct"/>
            <w:vAlign w:val="center"/>
          </w:tcPr>
          <w:p w14:paraId="39C5B7BB">
            <w:pPr>
              <w:pStyle w:val="12"/>
              <w:jc w:val="center"/>
            </w:pPr>
            <w:r>
              <w:rPr>
                <w:rFonts w:hint="eastAsia"/>
              </w:rPr>
              <w:t>769</w:t>
            </w:r>
          </w:p>
        </w:tc>
        <w:tc>
          <w:tcPr>
            <w:tcW w:w="526" w:type="pct"/>
            <w:vAlign w:val="center"/>
          </w:tcPr>
          <w:p w14:paraId="06059E88">
            <w:pPr>
              <w:pStyle w:val="12"/>
              <w:jc w:val="center"/>
            </w:pPr>
            <w:r>
              <w:rPr>
                <w:rFonts w:hint="eastAsia"/>
              </w:rPr>
              <w:t>805</w:t>
            </w:r>
          </w:p>
        </w:tc>
        <w:tc>
          <w:tcPr>
            <w:tcW w:w="526" w:type="pct"/>
            <w:vAlign w:val="center"/>
          </w:tcPr>
          <w:p w14:paraId="6E752441">
            <w:pPr>
              <w:pStyle w:val="12"/>
              <w:jc w:val="center"/>
            </w:pPr>
            <w:r>
              <w:rPr>
                <w:rFonts w:hint="eastAsia"/>
              </w:rPr>
              <w:t>679</w:t>
            </w:r>
          </w:p>
        </w:tc>
        <w:tc>
          <w:tcPr>
            <w:tcW w:w="526" w:type="pct"/>
            <w:vAlign w:val="center"/>
          </w:tcPr>
          <w:p w14:paraId="5B0A82FE">
            <w:pPr>
              <w:pStyle w:val="12"/>
              <w:jc w:val="center"/>
            </w:pPr>
            <w:r>
              <w:rPr>
                <w:rFonts w:hint="eastAsia"/>
              </w:rPr>
              <w:t>144</w:t>
            </w:r>
          </w:p>
        </w:tc>
        <w:tc>
          <w:tcPr>
            <w:tcW w:w="526" w:type="pct"/>
            <w:vAlign w:val="center"/>
          </w:tcPr>
          <w:p w14:paraId="77AE3126">
            <w:pPr>
              <w:pStyle w:val="12"/>
              <w:jc w:val="center"/>
            </w:pPr>
            <w:r>
              <w:rPr>
                <w:rFonts w:hint="eastAsia"/>
              </w:rPr>
              <w:t>421</w:t>
            </w:r>
          </w:p>
        </w:tc>
      </w:tr>
      <w:tr w14:paraId="274C8A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7DA00F96">
            <w:pPr>
              <w:pStyle w:val="12"/>
              <w:jc w:val="center"/>
            </w:pPr>
          </w:p>
        </w:tc>
        <w:tc>
          <w:tcPr>
            <w:tcW w:w="763" w:type="pct"/>
            <w:vAlign w:val="center"/>
          </w:tcPr>
          <w:p w14:paraId="49456AA8">
            <w:pPr>
              <w:pStyle w:val="12"/>
              <w:jc w:val="center"/>
            </w:pPr>
            <w:r>
              <w:rPr>
                <w:rFonts w:hint="eastAsia"/>
              </w:rPr>
              <w:t>占总数比（%）</w:t>
            </w:r>
          </w:p>
        </w:tc>
        <w:tc>
          <w:tcPr>
            <w:tcW w:w="526" w:type="pct"/>
            <w:vAlign w:val="center"/>
          </w:tcPr>
          <w:p w14:paraId="6A419197">
            <w:pPr>
              <w:pStyle w:val="12"/>
              <w:jc w:val="center"/>
            </w:pPr>
            <w:r>
              <w:rPr>
                <w:rFonts w:hint="eastAsia"/>
              </w:rPr>
              <w:t>38</w:t>
            </w:r>
          </w:p>
        </w:tc>
        <w:tc>
          <w:tcPr>
            <w:tcW w:w="526" w:type="pct"/>
            <w:vAlign w:val="center"/>
          </w:tcPr>
          <w:p w14:paraId="144FB8D2">
            <w:pPr>
              <w:pStyle w:val="12"/>
              <w:jc w:val="center"/>
            </w:pPr>
            <w:r>
              <w:rPr>
                <w:rFonts w:hint="eastAsia"/>
              </w:rPr>
              <w:t>54.7</w:t>
            </w:r>
          </w:p>
        </w:tc>
        <w:tc>
          <w:tcPr>
            <w:tcW w:w="526" w:type="pct"/>
            <w:vAlign w:val="center"/>
          </w:tcPr>
          <w:p w14:paraId="63D1B919">
            <w:pPr>
              <w:pStyle w:val="12"/>
              <w:jc w:val="center"/>
            </w:pPr>
            <w:r>
              <w:rPr>
                <w:rFonts w:hint="eastAsia"/>
              </w:rPr>
              <w:t>60</w:t>
            </w:r>
          </w:p>
        </w:tc>
        <w:tc>
          <w:tcPr>
            <w:tcW w:w="526" w:type="pct"/>
            <w:vAlign w:val="center"/>
          </w:tcPr>
          <w:p w14:paraId="5EAACD5E">
            <w:pPr>
              <w:pStyle w:val="12"/>
              <w:jc w:val="center"/>
            </w:pPr>
            <w:r>
              <w:rPr>
                <w:rFonts w:hint="eastAsia"/>
              </w:rPr>
              <w:t>63</w:t>
            </w:r>
          </w:p>
        </w:tc>
        <w:tc>
          <w:tcPr>
            <w:tcW w:w="526" w:type="pct"/>
            <w:vAlign w:val="center"/>
          </w:tcPr>
          <w:p w14:paraId="28C9683C">
            <w:pPr>
              <w:pStyle w:val="12"/>
              <w:jc w:val="center"/>
            </w:pPr>
            <w:r>
              <w:rPr>
                <w:rFonts w:hint="eastAsia"/>
              </w:rPr>
              <w:t>54.19</w:t>
            </w:r>
          </w:p>
        </w:tc>
        <w:tc>
          <w:tcPr>
            <w:tcW w:w="526" w:type="pct"/>
            <w:vAlign w:val="center"/>
          </w:tcPr>
          <w:p w14:paraId="057ADEB9">
            <w:pPr>
              <w:pStyle w:val="12"/>
              <w:jc w:val="center"/>
            </w:pPr>
            <w:r>
              <w:rPr>
                <w:rFonts w:hint="eastAsia"/>
              </w:rPr>
              <w:t>11.49</w:t>
            </w:r>
          </w:p>
        </w:tc>
        <w:tc>
          <w:tcPr>
            <w:tcW w:w="526" w:type="pct"/>
            <w:vAlign w:val="center"/>
          </w:tcPr>
          <w:p w14:paraId="614AFCB2">
            <w:pPr>
              <w:pStyle w:val="12"/>
              <w:jc w:val="center"/>
            </w:pPr>
            <w:r>
              <w:rPr>
                <w:rFonts w:hint="eastAsia"/>
              </w:rPr>
              <w:t>38.5</w:t>
            </w:r>
          </w:p>
        </w:tc>
      </w:tr>
      <w:tr w14:paraId="55D3AF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07FE20F6">
            <w:pPr>
              <w:pStyle w:val="12"/>
              <w:jc w:val="center"/>
            </w:pPr>
          </w:p>
        </w:tc>
        <w:tc>
          <w:tcPr>
            <w:tcW w:w="763" w:type="pct"/>
            <w:vAlign w:val="center"/>
          </w:tcPr>
          <w:p w14:paraId="446A2478">
            <w:pPr>
              <w:pStyle w:val="12"/>
              <w:jc w:val="center"/>
            </w:pPr>
            <w:r>
              <w:rPr>
                <w:rFonts w:hint="eastAsia"/>
              </w:rPr>
              <w:t>小  学</w:t>
            </w:r>
          </w:p>
        </w:tc>
        <w:tc>
          <w:tcPr>
            <w:tcW w:w="526" w:type="pct"/>
            <w:vAlign w:val="center"/>
          </w:tcPr>
          <w:p w14:paraId="10155D0F">
            <w:pPr>
              <w:pStyle w:val="12"/>
              <w:jc w:val="center"/>
            </w:pPr>
            <w:r>
              <w:rPr>
                <w:rFonts w:hint="eastAsia"/>
              </w:rPr>
              <w:t>4774</w:t>
            </w:r>
          </w:p>
        </w:tc>
        <w:tc>
          <w:tcPr>
            <w:tcW w:w="526" w:type="pct"/>
            <w:vAlign w:val="center"/>
          </w:tcPr>
          <w:p w14:paraId="435DAF78">
            <w:pPr>
              <w:pStyle w:val="12"/>
              <w:jc w:val="center"/>
            </w:pPr>
            <w:r>
              <w:rPr>
                <w:rFonts w:hint="eastAsia"/>
              </w:rPr>
              <w:t>411</w:t>
            </w:r>
          </w:p>
        </w:tc>
        <w:tc>
          <w:tcPr>
            <w:tcW w:w="526" w:type="pct"/>
            <w:vAlign w:val="center"/>
          </w:tcPr>
          <w:p w14:paraId="0EC882BE">
            <w:pPr>
              <w:pStyle w:val="12"/>
              <w:jc w:val="center"/>
            </w:pPr>
            <w:r>
              <w:rPr>
                <w:rFonts w:hint="eastAsia"/>
              </w:rPr>
              <w:t>300</w:t>
            </w:r>
          </w:p>
        </w:tc>
        <w:tc>
          <w:tcPr>
            <w:tcW w:w="526" w:type="pct"/>
            <w:vAlign w:val="center"/>
          </w:tcPr>
          <w:p w14:paraId="2D333EE2">
            <w:pPr>
              <w:pStyle w:val="12"/>
              <w:jc w:val="center"/>
            </w:pPr>
            <w:r>
              <w:rPr>
                <w:rFonts w:hint="eastAsia"/>
              </w:rPr>
              <w:t>223</w:t>
            </w:r>
          </w:p>
        </w:tc>
        <w:tc>
          <w:tcPr>
            <w:tcW w:w="526" w:type="pct"/>
            <w:vAlign w:val="center"/>
          </w:tcPr>
          <w:p w14:paraId="7AD7489A">
            <w:pPr>
              <w:pStyle w:val="12"/>
              <w:jc w:val="center"/>
            </w:pPr>
            <w:r>
              <w:rPr>
                <w:rFonts w:hint="eastAsia"/>
              </w:rPr>
              <w:t>—</w:t>
            </w:r>
          </w:p>
        </w:tc>
        <w:tc>
          <w:tcPr>
            <w:tcW w:w="526" w:type="pct"/>
            <w:vAlign w:val="center"/>
          </w:tcPr>
          <w:p w14:paraId="7F390A6F">
            <w:pPr>
              <w:pStyle w:val="12"/>
              <w:jc w:val="center"/>
            </w:pPr>
            <w:r>
              <w:rPr>
                <w:rFonts w:hint="eastAsia"/>
              </w:rPr>
              <w:t>—</w:t>
            </w:r>
          </w:p>
        </w:tc>
        <w:tc>
          <w:tcPr>
            <w:tcW w:w="526" w:type="pct"/>
            <w:vAlign w:val="center"/>
          </w:tcPr>
          <w:p w14:paraId="7265C896">
            <w:pPr>
              <w:pStyle w:val="12"/>
              <w:jc w:val="center"/>
            </w:pPr>
            <w:r>
              <w:rPr>
                <w:rFonts w:hint="eastAsia"/>
              </w:rPr>
              <w:t>—</w:t>
            </w:r>
          </w:p>
        </w:tc>
      </w:tr>
      <w:tr w14:paraId="1A415C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1C4D0DE3">
            <w:pPr>
              <w:pStyle w:val="12"/>
              <w:jc w:val="center"/>
            </w:pPr>
          </w:p>
        </w:tc>
        <w:tc>
          <w:tcPr>
            <w:tcW w:w="763" w:type="pct"/>
            <w:vAlign w:val="center"/>
          </w:tcPr>
          <w:p w14:paraId="519E9F9E">
            <w:pPr>
              <w:pStyle w:val="12"/>
              <w:jc w:val="center"/>
            </w:pPr>
            <w:r>
              <w:rPr>
                <w:rFonts w:hint="eastAsia"/>
              </w:rPr>
              <w:t>占总数比（%）</w:t>
            </w:r>
          </w:p>
        </w:tc>
        <w:tc>
          <w:tcPr>
            <w:tcW w:w="526" w:type="pct"/>
            <w:vAlign w:val="center"/>
          </w:tcPr>
          <w:p w14:paraId="4459692E">
            <w:pPr>
              <w:pStyle w:val="12"/>
              <w:jc w:val="center"/>
            </w:pPr>
            <w:r>
              <w:rPr>
                <w:rFonts w:hint="eastAsia"/>
              </w:rPr>
              <w:t>54</w:t>
            </w:r>
          </w:p>
        </w:tc>
        <w:tc>
          <w:tcPr>
            <w:tcW w:w="526" w:type="pct"/>
            <w:vAlign w:val="center"/>
          </w:tcPr>
          <w:p w14:paraId="4F9AE6AC">
            <w:pPr>
              <w:pStyle w:val="12"/>
              <w:jc w:val="center"/>
            </w:pPr>
            <w:r>
              <w:rPr>
                <w:rFonts w:hint="eastAsia"/>
              </w:rPr>
              <w:t>35.8</w:t>
            </w:r>
          </w:p>
        </w:tc>
        <w:tc>
          <w:tcPr>
            <w:tcW w:w="526" w:type="pct"/>
            <w:vAlign w:val="center"/>
          </w:tcPr>
          <w:p w14:paraId="784B8282">
            <w:pPr>
              <w:pStyle w:val="12"/>
              <w:jc w:val="center"/>
            </w:pPr>
            <w:r>
              <w:rPr>
                <w:rFonts w:hint="eastAsia"/>
              </w:rPr>
              <w:t>23</w:t>
            </w:r>
          </w:p>
        </w:tc>
        <w:tc>
          <w:tcPr>
            <w:tcW w:w="526" w:type="pct"/>
            <w:vAlign w:val="center"/>
          </w:tcPr>
          <w:p w14:paraId="5F3C3035">
            <w:pPr>
              <w:pStyle w:val="12"/>
              <w:jc w:val="center"/>
            </w:pPr>
            <w:r>
              <w:rPr>
                <w:rFonts w:hint="eastAsia"/>
              </w:rPr>
              <w:t>17.5</w:t>
            </w:r>
          </w:p>
        </w:tc>
        <w:tc>
          <w:tcPr>
            <w:tcW w:w="526" w:type="pct"/>
            <w:vAlign w:val="center"/>
          </w:tcPr>
          <w:p w14:paraId="55FD7B41">
            <w:pPr>
              <w:pStyle w:val="12"/>
              <w:jc w:val="center"/>
            </w:pPr>
            <w:r>
              <w:rPr>
                <w:rFonts w:hint="eastAsia"/>
              </w:rPr>
              <w:t>—</w:t>
            </w:r>
          </w:p>
        </w:tc>
        <w:tc>
          <w:tcPr>
            <w:tcW w:w="526" w:type="pct"/>
            <w:vAlign w:val="center"/>
          </w:tcPr>
          <w:p w14:paraId="31C5C5F4">
            <w:pPr>
              <w:pStyle w:val="12"/>
              <w:jc w:val="center"/>
            </w:pPr>
            <w:r>
              <w:rPr>
                <w:rFonts w:hint="eastAsia"/>
              </w:rPr>
              <w:t>—</w:t>
            </w:r>
          </w:p>
        </w:tc>
        <w:tc>
          <w:tcPr>
            <w:tcW w:w="526" w:type="pct"/>
            <w:vAlign w:val="center"/>
          </w:tcPr>
          <w:p w14:paraId="6E25E46A">
            <w:pPr>
              <w:pStyle w:val="12"/>
              <w:jc w:val="center"/>
            </w:pPr>
            <w:r>
              <w:rPr>
                <w:rFonts w:hint="eastAsia"/>
              </w:rPr>
              <w:t>—</w:t>
            </w:r>
          </w:p>
        </w:tc>
      </w:tr>
      <w:tr w14:paraId="53258A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0C5290BD">
            <w:pPr>
              <w:pStyle w:val="12"/>
              <w:jc w:val="center"/>
            </w:pPr>
          </w:p>
        </w:tc>
        <w:tc>
          <w:tcPr>
            <w:tcW w:w="763" w:type="pct"/>
            <w:vAlign w:val="center"/>
          </w:tcPr>
          <w:p w14:paraId="14D83A56">
            <w:pPr>
              <w:pStyle w:val="12"/>
              <w:jc w:val="center"/>
            </w:pPr>
            <w:r>
              <w:rPr>
                <w:rFonts w:hint="eastAsia"/>
              </w:rPr>
              <w:t>文  盲</w:t>
            </w:r>
          </w:p>
        </w:tc>
        <w:tc>
          <w:tcPr>
            <w:tcW w:w="526" w:type="pct"/>
            <w:vAlign w:val="center"/>
          </w:tcPr>
          <w:p w14:paraId="751EC4F1">
            <w:pPr>
              <w:pStyle w:val="12"/>
              <w:jc w:val="center"/>
            </w:pPr>
            <w:r>
              <w:rPr>
                <w:rFonts w:hint="eastAsia"/>
              </w:rPr>
              <w:t>615</w:t>
            </w:r>
          </w:p>
        </w:tc>
        <w:tc>
          <w:tcPr>
            <w:tcW w:w="526" w:type="pct"/>
            <w:vAlign w:val="center"/>
          </w:tcPr>
          <w:p w14:paraId="2B492740">
            <w:pPr>
              <w:pStyle w:val="12"/>
              <w:jc w:val="center"/>
            </w:pPr>
            <w:r>
              <w:rPr>
                <w:rFonts w:hint="eastAsia"/>
              </w:rPr>
              <w:t>11</w:t>
            </w:r>
          </w:p>
        </w:tc>
        <w:tc>
          <w:tcPr>
            <w:tcW w:w="526" w:type="pct"/>
            <w:vAlign w:val="center"/>
          </w:tcPr>
          <w:p w14:paraId="65B50999">
            <w:pPr>
              <w:pStyle w:val="12"/>
              <w:jc w:val="center"/>
            </w:pPr>
            <w:r>
              <w:rPr>
                <w:rFonts w:hint="eastAsia"/>
              </w:rPr>
              <w:t>—</w:t>
            </w:r>
          </w:p>
        </w:tc>
        <w:tc>
          <w:tcPr>
            <w:tcW w:w="526" w:type="pct"/>
            <w:vAlign w:val="center"/>
          </w:tcPr>
          <w:p w14:paraId="2230FE8A">
            <w:pPr>
              <w:pStyle w:val="12"/>
              <w:jc w:val="center"/>
            </w:pPr>
            <w:r>
              <w:rPr>
                <w:rFonts w:hint="eastAsia"/>
              </w:rPr>
              <w:t>—</w:t>
            </w:r>
          </w:p>
        </w:tc>
        <w:tc>
          <w:tcPr>
            <w:tcW w:w="526" w:type="pct"/>
            <w:vAlign w:val="center"/>
          </w:tcPr>
          <w:p w14:paraId="1313703A">
            <w:pPr>
              <w:pStyle w:val="12"/>
              <w:jc w:val="center"/>
            </w:pPr>
            <w:r>
              <w:rPr>
                <w:rFonts w:hint="eastAsia"/>
              </w:rPr>
              <w:t>—</w:t>
            </w:r>
          </w:p>
        </w:tc>
        <w:tc>
          <w:tcPr>
            <w:tcW w:w="526" w:type="pct"/>
            <w:vAlign w:val="center"/>
          </w:tcPr>
          <w:p w14:paraId="7F9CC653">
            <w:pPr>
              <w:pStyle w:val="12"/>
              <w:jc w:val="center"/>
            </w:pPr>
            <w:r>
              <w:rPr>
                <w:rFonts w:hint="eastAsia"/>
              </w:rPr>
              <w:t>—</w:t>
            </w:r>
          </w:p>
        </w:tc>
        <w:tc>
          <w:tcPr>
            <w:tcW w:w="526" w:type="pct"/>
            <w:vAlign w:val="center"/>
          </w:tcPr>
          <w:p w14:paraId="7909BE7A">
            <w:pPr>
              <w:pStyle w:val="12"/>
              <w:jc w:val="center"/>
            </w:pPr>
            <w:r>
              <w:rPr>
                <w:rFonts w:hint="eastAsia"/>
              </w:rPr>
              <w:t>—</w:t>
            </w:r>
          </w:p>
        </w:tc>
      </w:tr>
      <w:tr w14:paraId="3CC70B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05C82EEF">
            <w:pPr>
              <w:pStyle w:val="12"/>
              <w:jc w:val="center"/>
            </w:pPr>
          </w:p>
        </w:tc>
        <w:tc>
          <w:tcPr>
            <w:tcW w:w="763" w:type="pct"/>
            <w:vAlign w:val="center"/>
          </w:tcPr>
          <w:p w14:paraId="0DE48130">
            <w:pPr>
              <w:pStyle w:val="12"/>
              <w:jc w:val="center"/>
            </w:pPr>
            <w:r>
              <w:rPr>
                <w:rFonts w:hint="eastAsia"/>
              </w:rPr>
              <w:t>占总数比（%）</w:t>
            </w:r>
          </w:p>
        </w:tc>
        <w:tc>
          <w:tcPr>
            <w:tcW w:w="526" w:type="pct"/>
            <w:vAlign w:val="center"/>
          </w:tcPr>
          <w:p w14:paraId="42957B80">
            <w:pPr>
              <w:pStyle w:val="12"/>
              <w:jc w:val="center"/>
            </w:pPr>
            <w:r>
              <w:rPr>
                <w:rFonts w:hint="eastAsia"/>
              </w:rPr>
              <w:t>6.9</w:t>
            </w:r>
          </w:p>
        </w:tc>
        <w:tc>
          <w:tcPr>
            <w:tcW w:w="526" w:type="pct"/>
            <w:vAlign w:val="center"/>
          </w:tcPr>
          <w:p w14:paraId="0F3E4504">
            <w:pPr>
              <w:pStyle w:val="12"/>
              <w:jc w:val="center"/>
            </w:pPr>
            <w:r>
              <w:rPr>
                <w:rFonts w:hint="eastAsia"/>
              </w:rPr>
              <w:t>0.9</w:t>
            </w:r>
          </w:p>
        </w:tc>
        <w:tc>
          <w:tcPr>
            <w:tcW w:w="526" w:type="pct"/>
            <w:vAlign w:val="center"/>
          </w:tcPr>
          <w:p w14:paraId="5B5545B1">
            <w:pPr>
              <w:pStyle w:val="12"/>
              <w:jc w:val="center"/>
            </w:pPr>
            <w:r>
              <w:rPr>
                <w:rFonts w:hint="eastAsia"/>
              </w:rPr>
              <w:t>—</w:t>
            </w:r>
          </w:p>
        </w:tc>
        <w:tc>
          <w:tcPr>
            <w:tcW w:w="526" w:type="pct"/>
            <w:vAlign w:val="center"/>
          </w:tcPr>
          <w:p w14:paraId="62121E15">
            <w:pPr>
              <w:pStyle w:val="12"/>
              <w:jc w:val="center"/>
            </w:pPr>
            <w:r>
              <w:rPr>
                <w:rFonts w:hint="eastAsia"/>
              </w:rPr>
              <w:t>—</w:t>
            </w:r>
          </w:p>
        </w:tc>
        <w:tc>
          <w:tcPr>
            <w:tcW w:w="526" w:type="pct"/>
            <w:vAlign w:val="center"/>
          </w:tcPr>
          <w:p w14:paraId="677170F9">
            <w:pPr>
              <w:pStyle w:val="12"/>
              <w:jc w:val="center"/>
            </w:pPr>
            <w:r>
              <w:rPr>
                <w:rFonts w:hint="eastAsia"/>
              </w:rPr>
              <w:t>—</w:t>
            </w:r>
          </w:p>
        </w:tc>
        <w:tc>
          <w:tcPr>
            <w:tcW w:w="526" w:type="pct"/>
            <w:vAlign w:val="center"/>
          </w:tcPr>
          <w:p w14:paraId="5CF87AE0">
            <w:pPr>
              <w:pStyle w:val="12"/>
              <w:jc w:val="center"/>
            </w:pPr>
            <w:r>
              <w:rPr>
                <w:rFonts w:hint="eastAsia"/>
              </w:rPr>
              <w:t>—</w:t>
            </w:r>
          </w:p>
        </w:tc>
        <w:tc>
          <w:tcPr>
            <w:tcW w:w="526" w:type="pct"/>
            <w:vAlign w:val="center"/>
          </w:tcPr>
          <w:p w14:paraId="1B4FF3E7">
            <w:pPr>
              <w:pStyle w:val="12"/>
              <w:jc w:val="center"/>
            </w:pPr>
            <w:r>
              <w:rPr>
                <w:rFonts w:hint="eastAsia"/>
              </w:rPr>
              <w:t>—</w:t>
            </w:r>
          </w:p>
        </w:tc>
      </w:tr>
      <w:tr w14:paraId="79FAA9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restart"/>
            <w:vAlign w:val="center"/>
          </w:tcPr>
          <w:p w14:paraId="4D97D5B4">
            <w:pPr>
              <w:pStyle w:val="12"/>
              <w:jc w:val="center"/>
            </w:pPr>
            <w:r>
              <w:rPr>
                <w:rFonts w:hint="eastAsia"/>
              </w:rPr>
              <w:t>年龄结构</w:t>
            </w:r>
          </w:p>
        </w:tc>
        <w:tc>
          <w:tcPr>
            <w:tcW w:w="763" w:type="pct"/>
            <w:vAlign w:val="center"/>
          </w:tcPr>
          <w:p w14:paraId="2FD76DD6">
            <w:pPr>
              <w:pStyle w:val="12"/>
              <w:jc w:val="center"/>
            </w:pPr>
            <w:r>
              <w:rPr>
                <w:rFonts w:hint="eastAsia"/>
              </w:rPr>
              <w:t>35岁以下</w:t>
            </w:r>
          </w:p>
        </w:tc>
        <w:tc>
          <w:tcPr>
            <w:tcW w:w="526" w:type="pct"/>
            <w:vAlign w:val="center"/>
          </w:tcPr>
          <w:p w14:paraId="2B6C7367">
            <w:pPr>
              <w:pStyle w:val="12"/>
              <w:jc w:val="center"/>
            </w:pPr>
            <w:r>
              <w:rPr>
                <w:rFonts w:hint="eastAsia"/>
              </w:rPr>
              <w:t>3591</w:t>
            </w:r>
          </w:p>
        </w:tc>
        <w:tc>
          <w:tcPr>
            <w:tcW w:w="526" w:type="pct"/>
            <w:vAlign w:val="center"/>
          </w:tcPr>
          <w:p w14:paraId="00C15359">
            <w:pPr>
              <w:pStyle w:val="12"/>
              <w:jc w:val="center"/>
            </w:pPr>
            <w:r>
              <w:rPr>
                <w:rFonts w:hint="eastAsia"/>
              </w:rPr>
              <w:t>458</w:t>
            </w:r>
          </w:p>
        </w:tc>
        <w:tc>
          <w:tcPr>
            <w:tcW w:w="526" w:type="pct"/>
            <w:vAlign w:val="center"/>
          </w:tcPr>
          <w:p w14:paraId="677D6B91">
            <w:pPr>
              <w:pStyle w:val="12"/>
              <w:jc w:val="center"/>
            </w:pPr>
            <w:r>
              <w:rPr>
                <w:rFonts w:hint="eastAsia"/>
              </w:rPr>
              <w:t>495</w:t>
            </w:r>
          </w:p>
        </w:tc>
        <w:tc>
          <w:tcPr>
            <w:tcW w:w="526" w:type="pct"/>
            <w:vAlign w:val="center"/>
          </w:tcPr>
          <w:p w14:paraId="3B4F3B1D">
            <w:pPr>
              <w:pStyle w:val="12"/>
              <w:jc w:val="center"/>
            </w:pPr>
            <w:r>
              <w:rPr>
                <w:rFonts w:hint="eastAsia"/>
              </w:rPr>
              <w:t>464</w:t>
            </w:r>
          </w:p>
        </w:tc>
        <w:tc>
          <w:tcPr>
            <w:tcW w:w="526" w:type="pct"/>
            <w:vAlign w:val="center"/>
          </w:tcPr>
          <w:p w14:paraId="57270B0D">
            <w:pPr>
              <w:pStyle w:val="12"/>
              <w:jc w:val="center"/>
            </w:pPr>
            <w:r>
              <w:rPr>
                <w:rFonts w:hint="eastAsia"/>
              </w:rPr>
              <w:t>390</w:t>
            </w:r>
          </w:p>
        </w:tc>
        <w:tc>
          <w:tcPr>
            <w:tcW w:w="526" w:type="pct"/>
            <w:vAlign w:val="center"/>
          </w:tcPr>
          <w:p w14:paraId="21630AD2">
            <w:pPr>
              <w:pStyle w:val="12"/>
              <w:jc w:val="center"/>
            </w:pPr>
            <w:r>
              <w:rPr>
                <w:rFonts w:hint="eastAsia"/>
              </w:rPr>
              <w:t>354</w:t>
            </w:r>
          </w:p>
        </w:tc>
        <w:tc>
          <w:tcPr>
            <w:tcW w:w="526" w:type="pct"/>
            <w:vAlign w:val="center"/>
          </w:tcPr>
          <w:p w14:paraId="768F6E68">
            <w:pPr>
              <w:pStyle w:val="12"/>
              <w:jc w:val="center"/>
            </w:pPr>
            <w:r>
              <w:rPr>
                <w:rFonts w:hint="eastAsia"/>
              </w:rPr>
              <w:t>222</w:t>
            </w:r>
          </w:p>
        </w:tc>
      </w:tr>
      <w:tr w14:paraId="0284647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7DA895AF">
            <w:pPr>
              <w:pStyle w:val="12"/>
              <w:jc w:val="center"/>
            </w:pPr>
          </w:p>
        </w:tc>
        <w:tc>
          <w:tcPr>
            <w:tcW w:w="763" w:type="pct"/>
            <w:vAlign w:val="center"/>
          </w:tcPr>
          <w:p w14:paraId="6C397F81">
            <w:pPr>
              <w:pStyle w:val="12"/>
              <w:jc w:val="center"/>
            </w:pPr>
            <w:r>
              <w:rPr>
                <w:rFonts w:hint="eastAsia"/>
              </w:rPr>
              <w:t>占总数比（%）</w:t>
            </w:r>
          </w:p>
        </w:tc>
        <w:tc>
          <w:tcPr>
            <w:tcW w:w="526" w:type="pct"/>
            <w:vAlign w:val="center"/>
          </w:tcPr>
          <w:p w14:paraId="43F89C5C">
            <w:pPr>
              <w:pStyle w:val="12"/>
              <w:jc w:val="center"/>
            </w:pPr>
            <w:r>
              <w:rPr>
                <w:rFonts w:hint="eastAsia"/>
              </w:rPr>
              <w:t>40</w:t>
            </w:r>
          </w:p>
        </w:tc>
        <w:tc>
          <w:tcPr>
            <w:tcW w:w="526" w:type="pct"/>
            <w:vAlign w:val="center"/>
          </w:tcPr>
          <w:p w14:paraId="6AA85B5E">
            <w:pPr>
              <w:pStyle w:val="12"/>
              <w:jc w:val="center"/>
            </w:pPr>
            <w:r>
              <w:rPr>
                <w:rFonts w:hint="eastAsia"/>
              </w:rPr>
              <w:t>40</w:t>
            </w:r>
          </w:p>
        </w:tc>
        <w:tc>
          <w:tcPr>
            <w:tcW w:w="526" w:type="pct"/>
            <w:vAlign w:val="center"/>
          </w:tcPr>
          <w:p w14:paraId="07A032B2">
            <w:pPr>
              <w:pStyle w:val="12"/>
              <w:jc w:val="center"/>
            </w:pPr>
            <w:r>
              <w:rPr>
                <w:rFonts w:hint="eastAsia"/>
              </w:rPr>
              <w:t>39.4</w:t>
            </w:r>
          </w:p>
        </w:tc>
        <w:tc>
          <w:tcPr>
            <w:tcW w:w="526" w:type="pct"/>
            <w:vAlign w:val="center"/>
          </w:tcPr>
          <w:p w14:paraId="2EBE4385">
            <w:pPr>
              <w:pStyle w:val="12"/>
              <w:jc w:val="center"/>
            </w:pPr>
            <w:r>
              <w:rPr>
                <w:rFonts w:hint="eastAsia"/>
              </w:rPr>
              <w:t>36.3</w:t>
            </w:r>
          </w:p>
        </w:tc>
        <w:tc>
          <w:tcPr>
            <w:tcW w:w="526" w:type="pct"/>
            <w:vAlign w:val="center"/>
          </w:tcPr>
          <w:p w14:paraId="7EE0BB5A">
            <w:pPr>
              <w:pStyle w:val="12"/>
              <w:jc w:val="center"/>
            </w:pPr>
            <w:r>
              <w:rPr>
                <w:rFonts w:hint="eastAsia"/>
              </w:rPr>
              <w:t>31.1</w:t>
            </w:r>
          </w:p>
        </w:tc>
        <w:tc>
          <w:tcPr>
            <w:tcW w:w="526" w:type="pct"/>
            <w:vAlign w:val="center"/>
          </w:tcPr>
          <w:p w14:paraId="188624AB">
            <w:pPr>
              <w:pStyle w:val="12"/>
              <w:jc w:val="center"/>
            </w:pPr>
            <w:r>
              <w:rPr>
                <w:rFonts w:hint="eastAsia"/>
              </w:rPr>
              <w:t>28.3</w:t>
            </w:r>
          </w:p>
        </w:tc>
        <w:tc>
          <w:tcPr>
            <w:tcW w:w="526" w:type="pct"/>
            <w:vAlign w:val="center"/>
          </w:tcPr>
          <w:p w14:paraId="340FD4AB">
            <w:pPr>
              <w:pStyle w:val="12"/>
              <w:jc w:val="center"/>
            </w:pPr>
            <w:r>
              <w:rPr>
                <w:rFonts w:hint="eastAsia"/>
              </w:rPr>
              <w:t>20.3</w:t>
            </w:r>
          </w:p>
        </w:tc>
      </w:tr>
      <w:tr w14:paraId="09DC46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4307E6B8">
            <w:pPr>
              <w:pStyle w:val="12"/>
              <w:jc w:val="center"/>
            </w:pPr>
          </w:p>
        </w:tc>
        <w:tc>
          <w:tcPr>
            <w:tcW w:w="763" w:type="pct"/>
            <w:vAlign w:val="center"/>
          </w:tcPr>
          <w:p w14:paraId="4EF687EC">
            <w:pPr>
              <w:pStyle w:val="12"/>
              <w:jc w:val="center"/>
            </w:pPr>
            <w:r>
              <w:rPr>
                <w:rFonts w:hint="eastAsia"/>
              </w:rPr>
              <w:t>36~50岁</w:t>
            </w:r>
          </w:p>
        </w:tc>
        <w:tc>
          <w:tcPr>
            <w:tcW w:w="526" w:type="pct"/>
            <w:vAlign w:val="center"/>
          </w:tcPr>
          <w:p w14:paraId="73512610">
            <w:pPr>
              <w:pStyle w:val="12"/>
              <w:jc w:val="center"/>
            </w:pPr>
            <w:r>
              <w:rPr>
                <w:rFonts w:hint="eastAsia"/>
              </w:rPr>
              <w:t>—</w:t>
            </w:r>
          </w:p>
        </w:tc>
        <w:tc>
          <w:tcPr>
            <w:tcW w:w="526" w:type="pct"/>
            <w:vAlign w:val="center"/>
          </w:tcPr>
          <w:p w14:paraId="210D1E0E">
            <w:pPr>
              <w:pStyle w:val="12"/>
              <w:jc w:val="center"/>
            </w:pPr>
            <w:r>
              <w:rPr>
                <w:rFonts w:hint="eastAsia"/>
              </w:rPr>
              <w:t>—</w:t>
            </w:r>
          </w:p>
        </w:tc>
        <w:tc>
          <w:tcPr>
            <w:tcW w:w="526" w:type="pct"/>
            <w:vAlign w:val="center"/>
          </w:tcPr>
          <w:p w14:paraId="4EFAD7D0">
            <w:pPr>
              <w:pStyle w:val="12"/>
              <w:jc w:val="center"/>
            </w:pPr>
            <w:r>
              <w:rPr>
                <w:rFonts w:hint="eastAsia"/>
              </w:rPr>
              <w:t>623</w:t>
            </w:r>
          </w:p>
        </w:tc>
        <w:tc>
          <w:tcPr>
            <w:tcW w:w="526" w:type="pct"/>
            <w:vAlign w:val="center"/>
          </w:tcPr>
          <w:p w14:paraId="7744D1C7">
            <w:pPr>
              <w:pStyle w:val="12"/>
              <w:jc w:val="center"/>
            </w:pPr>
            <w:r>
              <w:rPr>
                <w:rFonts w:hint="eastAsia"/>
              </w:rPr>
              <w:t>708</w:t>
            </w:r>
          </w:p>
        </w:tc>
        <w:tc>
          <w:tcPr>
            <w:tcW w:w="526" w:type="pct"/>
            <w:vAlign w:val="center"/>
          </w:tcPr>
          <w:p w14:paraId="5EA28870">
            <w:pPr>
              <w:pStyle w:val="12"/>
              <w:jc w:val="center"/>
            </w:pPr>
            <w:r>
              <w:rPr>
                <w:rFonts w:hint="eastAsia"/>
              </w:rPr>
              <w:t>724</w:t>
            </w:r>
          </w:p>
        </w:tc>
        <w:tc>
          <w:tcPr>
            <w:tcW w:w="526" w:type="pct"/>
            <w:vAlign w:val="center"/>
          </w:tcPr>
          <w:p w14:paraId="318BAA6A">
            <w:pPr>
              <w:pStyle w:val="12"/>
              <w:jc w:val="center"/>
            </w:pPr>
            <w:r>
              <w:rPr>
                <w:rFonts w:hint="eastAsia"/>
              </w:rPr>
              <w:t>766</w:t>
            </w:r>
          </w:p>
        </w:tc>
        <w:tc>
          <w:tcPr>
            <w:tcW w:w="526" w:type="pct"/>
            <w:vAlign w:val="center"/>
          </w:tcPr>
          <w:p w14:paraId="07957BE8">
            <w:pPr>
              <w:pStyle w:val="12"/>
              <w:jc w:val="center"/>
            </w:pPr>
            <w:r>
              <w:rPr>
                <w:rFonts w:hint="eastAsia"/>
              </w:rPr>
              <w:t>709</w:t>
            </w:r>
          </w:p>
        </w:tc>
      </w:tr>
      <w:tr w14:paraId="13581B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319D8AB8">
            <w:pPr>
              <w:pStyle w:val="12"/>
              <w:jc w:val="center"/>
            </w:pPr>
          </w:p>
        </w:tc>
        <w:tc>
          <w:tcPr>
            <w:tcW w:w="763" w:type="pct"/>
            <w:vAlign w:val="center"/>
          </w:tcPr>
          <w:p w14:paraId="4CC90BF1">
            <w:pPr>
              <w:pStyle w:val="12"/>
              <w:jc w:val="center"/>
            </w:pPr>
            <w:r>
              <w:rPr>
                <w:rFonts w:hint="eastAsia"/>
              </w:rPr>
              <w:t>占总数比（%）</w:t>
            </w:r>
          </w:p>
        </w:tc>
        <w:tc>
          <w:tcPr>
            <w:tcW w:w="526" w:type="pct"/>
            <w:vAlign w:val="center"/>
          </w:tcPr>
          <w:p w14:paraId="7BC12FFF">
            <w:pPr>
              <w:pStyle w:val="12"/>
              <w:jc w:val="center"/>
            </w:pPr>
            <w:r>
              <w:rPr>
                <w:rFonts w:hint="eastAsia"/>
              </w:rPr>
              <w:t>—</w:t>
            </w:r>
          </w:p>
        </w:tc>
        <w:tc>
          <w:tcPr>
            <w:tcW w:w="526" w:type="pct"/>
            <w:vAlign w:val="center"/>
          </w:tcPr>
          <w:p w14:paraId="01DB2436">
            <w:pPr>
              <w:pStyle w:val="12"/>
              <w:jc w:val="center"/>
            </w:pPr>
            <w:r>
              <w:rPr>
                <w:rFonts w:hint="eastAsia"/>
              </w:rPr>
              <w:t>—</w:t>
            </w:r>
          </w:p>
        </w:tc>
        <w:tc>
          <w:tcPr>
            <w:tcW w:w="526" w:type="pct"/>
            <w:vAlign w:val="center"/>
          </w:tcPr>
          <w:p w14:paraId="164E539E">
            <w:pPr>
              <w:pStyle w:val="12"/>
              <w:jc w:val="center"/>
            </w:pPr>
            <w:r>
              <w:rPr>
                <w:rFonts w:hint="eastAsia"/>
              </w:rPr>
              <w:t>49.6</w:t>
            </w:r>
          </w:p>
        </w:tc>
        <w:tc>
          <w:tcPr>
            <w:tcW w:w="526" w:type="pct"/>
            <w:vAlign w:val="center"/>
          </w:tcPr>
          <w:p w14:paraId="0684FC3F">
            <w:pPr>
              <w:pStyle w:val="12"/>
              <w:jc w:val="center"/>
            </w:pPr>
            <w:r>
              <w:rPr>
                <w:rFonts w:hint="eastAsia"/>
              </w:rPr>
              <w:t>55.4</w:t>
            </w:r>
          </w:p>
        </w:tc>
        <w:tc>
          <w:tcPr>
            <w:tcW w:w="526" w:type="pct"/>
            <w:vAlign w:val="center"/>
          </w:tcPr>
          <w:p w14:paraId="6D760558">
            <w:pPr>
              <w:pStyle w:val="12"/>
              <w:jc w:val="center"/>
            </w:pPr>
            <w:r>
              <w:rPr>
                <w:rFonts w:hint="eastAsia"/>
              </w:rPr>
              <w:t>57.8</w:t>
            </w:r>
          </w:p>
        </w:tc>
        <w:tc>
          <w:tcPr>
            <w:tcW w:w="526" w:type="pct"/>
            <w:vAlign w:val="center"/>
          </w:tcPr>
          <w:p w14:paraId="0A0872E9">
            <w:pPr>
              <w:pStyle w:val="12"/>
              <w:jc w:val="center"/>
            </w:pPr>
            <w:r>
              <w:rPr>
                <w:rFonts w:hint="eastAsia"/>
              </w:rPr>
              <w:t>61.1</w:t>
            </w:r>
          </w:p>
        </w:tc>
        <w:tc>
          <w:tcPr>
            <w:tcW w:w="526" w:type="pct"/>
            <w:vAlign w:val="center"/>
          </w:tcPr>
          <w:p w14:paraId="6FBFCC67">
            <w:pPr>
              <w:pStyle w:val="12"/>
              <w:jc w:val="center"/>
            </w:pPr>
            <w:r>
              <w:rPr>
                <w:rFonts w:hint="eastAsia"/>
              </w:rPr>
              <w:t>64.8</w:t>
            </w:r>
          </w:p>
        </w:tc>
      </w:tr>
      <w:tr w14:paraId="24F811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38D12EDF">
            <w:pPr>
              <w:pStyle w:val="12"/>
              <w:jc w:val="center"/>
            </w:pPr>
          </w:p>
        </w:tc>
        <w:tc>
          <w:tcPr>
            <w:tcW w:w="763" w:type="pct"/>
            <w:vAlign w:val="center"/>
          </w:tcPr>
          <w:p w14:paraId="17E21CF6">
            <w:pPr>
              <w:pStyle w:val="12"/>
              <w:jc w:val="center"/>
            </w:pPr>
            <w:r>
              <w:rPr>
                <w:rFonts w:hint="eastAsia"/>
              </w:rPr>
              <w:t>51~56岁</w:t>
            </w:r>
          </w:p>
        </w:tc>
        <w:tc>
          <w:tcPr>
            <w:tcW w:w="526" w:type="pct"/>
            <w:vAlign w:val="center"/>
          </w:tcPr>
          <w:p w14:paraId="21DA2969">
            <w:pPr>
              <w:pStyle w:val="12"/>
              <w:jc w:val="center"/>
            </w:pPr>
            <w:r>
              <w:rPr>
                <w:rFonts w:hint="eastAsia"/>
              </w:rPr>
              <w:t>—</w:t>
            </w:r>
          </w:p>
        </w:tc>
        <w:tc>
          <w:tcPr>
            <w:tcW w:w="526" w:type="pct"/>
            <w:vAlign w:val="center"/>
          </w:tcPr>
          <w:p w14:paraId="5BEF4A3E">
            <w:pPr>
              <w:pStyle w:val="12"/>
              <w:jc w:val="center"/>
            </w:pPr>
            <w:r>
              <w:rPr>
                <w:rFonts w:hint="eastAsia"/>
              </w:rPr>
              <w:t>32</w:t>
            </w:r>
          </w:p>
        </w:tc>
        <w:tc>
          <w:tcPr>
            <w:tcW w:w="526" w:type="pct"/>
            <w:vAlign w:val="center"/>
          </w:tcPr>
          <w:p w14:paraId="03F7BDAC">
            <w:pPr>
              <w:pStyle w:val="12"/>
              <w:jc w:val="center"/>
            </w:pPr>
            <w:r>
              <w:rPr>
                <w:rFonts w:hint="eastAsia"/>
              </w:rPr>
              <w:t>103</w:t>
            </w:r>
          </w:p>
        </w:tc>
        <w:tc>
          <w:tcPr>
            <w:tcW w:w="526" w:type="pct"/>
            <w:vAlign w:val="center"/>
          </w:tcPr>
          <w:p w14:paraId="0EAB6021">
            <w:pPr>
              <w:pStyle w:val="12"/>
              <w:jc w:val="center"/>
            </w:pPr>
            <w:r>
              <w:rPr>
                <w:rFonts w:hint="eastAsia"/>
              </w:rPr>
              <w:t>85</w:t>
            </w:r>
          </w:p>
        </w:tc>
        <w:tc>
          <w:tcPr>
            <w:tcW w:w="526" w:type="pct"/>
            <w:vAlign w:val="center"/>
          </w:tcPr>
          <w:p w14:paraId="6CDE9797">
            <w:pPr>
              <w:pStyle w:val="12"/>
              <w:jc w:val="center"/>
            </w:pPr>
            <w:r>
              <w:rPr>
                <w:rFonts w:hint="eastAsia"/>
              </w:rPr>
              <w:t>101</w:t>
            </w:r>
          </w:p>
        </w:tc>
        <w:tc>
          <w:tcPr>
            <w:tcW w:w="526" w:type="pct"/>
            <w:vAlign w:val="center"/>
          </w:tcPr>
          <w:p w14:paraId="15D3B31B">
            <w:pPr>
              <w:pStyle w:val="12"/>
              <w:jc w:val="center"/>
            </w:pPr>
            <w:r>
              <w:rPr>
                <w:rFonts w:hint="eastAsia"/>
              </w:rPr>
              <w:t>95</w:t>
            </w:r>
          </w:p>
        </w:tc>
        <w:tc>
          <w:tcPr>
            <w:tcW w:w="526" w:type="pct"/>
            <w:vAlign w:val="center"/>
          </w:tcPr>
          <w:p w14:paraId="36520480">
            <w:pPr>
              <w:pStyle w:val="12"/>
              <w:jc w:val="center"/>
            </w:pPr>
            <w:r>
              <w:rPr>
                <w:rFonts w:hint="eastAsia"/>
              </w:rPr>
              <w:t>109</w:t>
            </w:r>
          </w:p>
        </w:tc>
      </w:tr>
      <w:tr w14:paraId="60C317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2FBAEEA0">
            <w:pPr>
              <w:pStyle w:val="12"/>
              <w:jc w:val="center"/>
            </w:pPr>
          </w:p>
        </w:tc>
        <w:tc>
          <w:tcPr>
            <w:tcW w:w="763" w:type="pct"/>
            <w:vAlign w:val="center"/>
          </w:tcPr>
          <w:p w14:paraId="2BE30E53">
            <w:pPr>
              <w:pStyle w:val="12"/>
              <w:jc w:val="center"/>
            </w:pPr>
            <w:r>
              <w:rPr>
                <w:rFonts w:hint="eastAsia"/>
              </w:rPr>
              <w:t>占总数比（%）</w:t>
            </w:r>
          </w:p>
        </w:tc>
        <w:tc>
          <w:tcPr>
            <w:tcW w:w="526" w:type="pct"/>
            <w:vAlign w:val="center"/>
          </w:tcPr>
          <w:p w14:paraId="1CB79E81">
            <w:pPr>
              <w:pStyle w:val="12"/>
              <w:jc w:val="center"/>
            </w:pPr>
            <w:r>
              <w:rPr>
                <w:rFonts w:hint="eastAsia"/>
              </w:rPr>
              <w:t>—</w:t>
            </w:r>
          </w:p>
        </w:tc>
        <w:tc>
          <w:tcPr>
            <w:tcW w:w="526" w:type="pct"/>
            <w:vAlign w:val="center"/>
          </w:tcPr>
          <w:p w14:paraId="154E0C68">
            <w:pPr>
              <w:pStyle w:val="12"/>
              <w:jc w:val="center"/>
            </w:pPr>
            <w:r>
              <w:rPr>
                <w:rFonts w:hint="eastAsia"/>
              </w:rPr>
              <w:t>2.8</w:t>
            </w:r>
          </w:p>
        </w:tc>
        <w:tc>
          <w:tcPr>
            <w:tcW w:w="526" w:type="pct"/>
            <w:vAlign w:val="center"/>
          </w:tcPr>
          <w:p w14:paraId="5A2691F5">
            <w:pPr>
              <w:pStyle w:val="12"/>
              <w:jc w:val="center"/>
            </w:pPr>
            <w:r>
              <w:rPr>
                <w:rFonts w:hint="eastAsia"/>
              </w:rPr>
              <w:t>8.5</w:t>
            </w:r>
          </w:p>
        </w:tc>
        <w:tc>
          <w:tcPr>
            <w:tcW w:w="526" w:type="pct"/>
            <w:vAlign w:val="center"/>
          </w:tcPr>
          <w:p w14:paraId="0C4BECEB">
            <w:pPr>
              <w:pStyle w:val="12"/>
              <w:jc w:val="center"/>
            </w:pPr>
            <w:r>
              <w:rPr>
                <w:rFonts w:hint="eastAsia"/>
              </w:rPr>
              <w:t>6.7</w:t>
            </w:r>
          </w:p>
        </w:tc>
        <w:tc>
          <w:tcPr>
            <w:tcW w:w="526" w:type="pct"/>
            <w:vAlign w:val="center"/>
          </w:tcPr>
          <w:p w14:paraId="0C61150C">
            <w:pPr>
              <w:pStyle w:val="12"/>
              <w:jc w:val="center"/>
            </w:pPr>
            <w:r>
              <w:rPr>
                <w:rFonts w:hint="eastAsia"/>
              </w:rPr>
              <w:t>8</w:t>
            </w:r>
          </w:p>
        </w:tc>
        <w:tc>
          <w:tcPr>
            <w:tcW w:w="526" w:type="pct"/>
            <w:vAlign w:val="center"/>
          </w:tcPr>
          <w:p w14:paraId="1D3E4569">
            <w:pPr>
              <w:pStyle w:val="12"/>
              <w:jc w:val="center"/>
            </w:pPr>
            <w:r>
              <w:rPr>
                <w:rFonts w:hint="eastAsia"/>
              </w:rPr>
              <w:t>7.6</w:t>
            </w:r>
          </w:p>
        </w:tc>
        <w:tc>
          <w:tcPr>
            <w:tcW w:w="526" w:type="pct"/>
            <w:vAlign w:val="center"/>
          </w:tcPr>
          <w:p w14:paraId="7E433A6C">
            <w:pPr>
              <w:pStyle w:val="12"/>
              <w:jc w:val="center"/>
            </w:pPr>
            <w:r>
              <w:rPr>
                <w:rFonts w:hint="eastAsia"/>
              </w:rPr>
              <w:t>10</w:t>
            </w:r>
          </w:p>
        </w:tc>
      </w:tr>
      <w:tr w14:paraId="4E9CB3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64E650E2">
            <w:pPr>
              <w:pStyle w:val="12"/>
              <w:jc w:val="center"/>
            </w:pPr>
          </w:p>
        </w:tc>
        <w:tc>
          <w:tcPr>
            <w:tcW w:w="763" w:type="pct"/>
            <w:vAlign w:val="center"/>
          </w:tcPr>
          <w:p w14:paraId="4DF006CC">
            <w:pPr>
              <w:pStyle w:val="12"/>
              <w:jc w:val="center"/>
            </w:pPr>
            <w:r>
              <w:rPr>
                <w:rFonts w:hint="eastAsia"/>
              </w:rPr>
              <w:t>56岁以上</w:t>
            </w:r>
          </w:p>
        </w:tc>
        <w:tc>
          <w:tcPr>
            <w:tcW w:w="526" w:type="pct"/>
            <w:vAlign w:val="center"/>
          </w:tcPr>
          <w:p w14:paraId="7A493303">
            <w:pPr>
              <w:pStyle w:val="12"/>
              <w:jc w:val="center"/>
            </w:pPr>
            <w:r>
              <w:rPr>
                <w:rFonts w:hint="eastAsia"/>
              </w:rPr>
              <w:t>677</w:t>
            </w:r>
          </w:p>
        </w:tc>
        <w:tc>
          <w:tcPr>
            <w:tcW w:w="526" w:type="pct"/>
            <w:vAlign w:val="center"/>
          </w:tcPr>
          <w:p w14:paraId="0812E164">
            <w:pPr>
              <w:pStyle w:val="12"/>
              <w:jc w:val="center"/>
            </w:pPr>
            <w:r>
              <w:rPr>
                <w:rFonts w:hint="eastAsia"/>
              </w:rPr>
              <w:t>—</w:t>
            </w:r>
          </w:p>
        </w:tc>
        <w:tc>
          <w:tcPr>
            <w:tcW w:w="526" w:type="pct"/>
            <w:vAlign w:val="center"/>
          </w:tcPr>
          <w:p w14:paraId="227D8474">
            <w:pPr>
              <w:pStyle w:val="12"/>
              <w:jc w:val="center"/>
            </w:pPr>
            <w:r>
              <w:rPr>
                <w:rFonts w:hint="eastAsia"/>
              </w:rPr>
              <w:t>34</w:t>
            </w:r>
          </w:p>
        </w:tc>
        <w:tc>
          <w:tcPr>
            <w:tcW w:w="526" w:type="pct"/>
            <w:vAlign w:val="center"/>
          </w:tcPr>
          <w:p w14:paraId="089CC7DB">
            <w:pPr>
              <w:pStyle w:val="12"/>
              <w:jc w:val="center"/>
            </w:pPr>
            <w:r>
              <w:rPr>
                <w:rFonts w:hint="eastAsia"/>
              </w:rPr>
              <w:t>20</w:t>
            </w:r>
          </w:p>
        </w:tc>
        <w:tc>
          <w:tcPr>
            <w:tcW w:w="526" w:type="pct"/>
            <w:vAlign w:val="center"/>
          </w:tcPr>
          <w:p w14:paraId="35856037">
            <w:pPr>
              <w:pStyle w:val="12"/>
              <w:jc w:val="center"/>
            </w:pPr>
            <w:r>
              <w:rPr>
                <w:rFonts w:hint="eastAsia"/>
              </w:rPr>
              <w:t>38</w:t>
            </w:r>
          </w:p>
        </w:tc>
        <w:tc>
          <w:tcPr>
            <w:tcW w:w="526" w:type="pct"/>
            <w:vAlign w:val="center"/>
          </w:tcPr>
          <w:p w14:paraId="2C864F00">
            <w:pPr>
              <w:pStyle w:val="12"/>
              <w:jc w:val="center"/>
            </w:pPr>
            <w:r>
              <w:rPr>
                <w:rFonts w:hint="eastAsia"/>
              </w:rPr>
              <w:t>38</w:t>
            </w:r>
          </w:p>
        </w:tc>
        <w:tc>
          <w:tcPr>
            <w:tcW w:w="526" w:type="pct"/>
            <w:vAlign w:val="center"/>
          </w:tcPr>
          <w:p w14:paraId="7116305C">
            <w:pPr>
              <w:pStyle w:val="12"/>
              <w:jc w:val="center"/>
            </w:pPr>
            <w:r>
              <w:rPr>
                <w:rFonts w:hint="eastAsia"/>
              </w:rPr>
              <w:t>54</w:t>
            </w:r>
          </w:p>
        </w:tc>
      </w:tr>
      <w:tr w14:paraId="1E494D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59EB41A3">
            <w:pPr>
              <w:pStyle w:val="12"/>
              <w:jc w:val="center"/>
            </w:pPr>
          </w:p>
        </w:tc>
        <w:tc>
          <w:tcPr>
            <w:tcW w:w="763" w:type="pct"/>
            <w:vAlign w:val="center"/>
          </w:tcPr>
          <w:p w14:paraId="06FF5FE0">
            <w:pPr>
              <w:pStyle w:val="12"/>
              <w:jc w:val="center"/>
            </w:pPr>
            <w:r>
              <w:rPr>
                <w:rFonts w:hint="eastAsia"/>
              </w:rPr>
              <w:t>占总数比（%）</w:t>
            </w:r>
          </w:p>
        </w:tc>
        <w:tc>
          <w:tcPr>
            <w:tcW w:w="526" w:type="pct"/>
            <w:vAlign w:val="center"/>
          </w:tcPr>
          <w:p w14:paraId="6ED9157F">
            <w:pPr>
              <w:pStyle w:val="12"/>
              <w:jc w:val="center"/>
            </w:pPr>
            <w:r>
              <w:rPr>
                <w:rFonts w:hint="eastAsia"/>
              </w:rPr>
              <w:t>7.6</w:t>
            </w:r>
          </w:p>
        </w:tc>
        <w:tc>
          <w:tcPr>
            <w:tcW w:w="526" w:type="pct"/>
            <w:vAlign w:val="center"/>
          </w:tcPr>
          <w:p w14:paraId="055187C3">
            <w:pPr>
              <w:pStyle w:val="12"/>
              <w:jc w:val="center"/>
            </w:pPr>
            <w:r>
              <w:rPr>
                <w:rFonts w:hint="eastAsia"/>
              </w:rPr>
              <w:t>—</w:t>
            </w:r>
          </w:p>
        </w:tc>
        <w:tc>
          <w:tcPr>
            <w:tcW w:w="526" w:type="pct"/>
            <w:vAlign w:val="center"/>
          </w:tcPr>
          <w:p w14:paraId="096ACA6E">
            <w:pPr>
              <w:pStyle w:val="12"/>
              <w:jc w:val="center"/>
            </w:pPr>
            <w:r>
              <w:rPr>
                <w:rFonts w:hint="eastAsia"/>
              </w:rPr>
              <w:t>2.7</w:t>
            </w:r>
          </w:p>
        </w:tc>
        <w:tc>
          <w:tcPr>
            <w:tcW w:w="526" w:type="pct"/>
            <w:vAlign w:val="center"/>
          </w:tcPr>
          <w:p w14:paraId="755722B2">
            <w:pPr>
              <w:pStyle w:val="12"/>
              <w:jc w:val="center"/>
            </w:pPr>
            <w:r>
              <w:rPr>
                <w:rFonts w:hint="eastAsia"/>
              </w:rPr>
              <w:t>1.2</w:t>
            </w:r>
          </w:p>
        </w:tc>
        <w:tc>
          <w:tcPr>
            <w:tcW w:w="526" w:type="pct"/>
            <w:vAlign w:val="center"/>
          </w:tcPr>
          <w:p w14:paraId="74FB4335">
            <w:pPr>
              <w:pStyle w:val="12"/>
              <w:jc w:val="center"/>
            </w:pPr>
            <w:r>
              <w:rPr>
                <w:rFonts w:hint="eastAsia"/>
              </w:rPr>
              <w:t>3</w:t>
            </w:r>
          </w:p>
        </w:tc>
        <w:tc>
          <w:tcPr>
            <w:tcW w:w="526" w:type="pct"/>
            <w:vAlign w:val="center"/>
          </w:tcPr>
          <w:p w14:paraId="4ED0BE49">
            <w:pPr>
              <w:pStyle w:val="12"/>
              <w:jc w:val="center"/>
            </w:pPr>
            <w:r>
              <w:rPr>
                <w:rFonts w:hint="eastAsia"/>
              </w:rPr>
              <w:t>3</w:t>
            </w:r>
          </w:p>
        </w:tc>
        <w:tc>
          <w:tcPr>
            <w:tcW w:w="526" w:type="pct"/>
            <w:vAlign w:val="center"/>
          </w:tcPr>
          <w:p w14:paraId="57BDB095">
            <w:pPr>
              <w:pStyle w:val="12"/>
              <w:jc w:val="center"/>
            </w:pPr>
            <w:r>
              <w:rPr>
                <w:rFonts w:hint="eastAsia"/>
              </w:rPr>
              <w:t>4.9</w:t>
            </w:r>
          </w:p>
        </w:tc>
      </w:tr>
    </w:tbl>
    <w:p w14:paraId="79606632">
      <w:pPr>
        <w:pStyle w:val="4"/>
        <w:rPr>
          <w:rFonts w:ascii="宋体" w:hAnsi="宋体"/>
        </w:rPr>
      </w:pPr>
      <w:r>
        <w:rPr>
          <w:rFonts w:hint="eastAsia" w:ascii="宋体" w:hAnsi="宋体"/>
        </w:rPr>
        <w:t>第三节  市（县）人民代表大会</w:t>
      </w:r>
    </w:p>
    <w:p w14:paraId="57F9E80C">
      <w:pPr>
        <w:ind w:firstLine="420"/>
        <w:rPr>
          <w:rFonts w:ascii="宋体" w:hAnsi="宋体"/>
          <w:szCs w:val="21"/>
        </w:rPr>
      </w:pPr>
      <w:r>
        <w:rPr>
          <w:rFonts w:hint="eastAsia" w:ascii="宋体" w:hAnsi="宋体"/>
          <w:szCs w:val="21"/>
        </w:rPr>
        <w:t>市（县）人民代表大会</w:t>
      </w:r>
      <w:r>
        <w:rPr>
          <w:rFonts w:ascii="宋体" w:hAnsi="宋体"/>
          <w:szCs w:val="21"/>
        </w:rPr>
        <w:t>1954年至1963年，每届任期2年～3年，每年至少举行1次。1966年至1976年，因受“文化大革命”干扰而停止举行。1980年11月至1992年11月，每届任期3年。1992年12月起，每届任期5年，每年至少举行1次</w:t>
      </w:r>
      <w:r>
        <w:rPr>
          <w:rFonts w:hint="eastAsia" w:ascii="宋体" w:hAnsi="宋体"/>
          <w:szCs w:val="21"/>
        </w:rPr>
        <w:t>会议，都在县城举行。</w:t>
      </w:r>
    </w:p>
    <w:p w14:paraId="261569E7">
      <w:pPr>
        <w:pStyle w:val="5"/>
        <w:rPr>
          <w:rFonts w:ascii="宋体" w:hAnsi="宋体"/>
        </w:rPr>
      </w:pPr>
      <w:r>
        <w:rPr>
          <w:rFonts w:hint="eastAsia" w:ascii="宋体" w:hAnsi="宋体"/>
        </w:rPr>
        <w:t>一、第六届人民代表大会</w:t>
      </w:r>
    </w:p>
    <w:p w14:paraId="25D1228F">
      <w:pPr>
        <w:ind w:firstLine="420"/>
        <w:rPr>
          <w:rFonts w:ascii="宋体" w:hAnsi="宋体"/>
          <w:szCs w:val="21"/>
        </w:rPr>
      </w:pPr>
      <w:r>
        <w:rPr>
          <w:rFonts w:hint="eastAsia" w:ascii="宋体" w:hAnsi="宋体"/>
          <w:szCs w:val="21"/>
        </w:rPr>
        <w:t>六届一次会议。于</w:t>
      </w:r>
      <w:r>
        <w:rPr>
          <w:rFonts w:ascii="宋体" w:hAnsi="宋体"/>
          <w:szCs w:val="21"/>
        </w:rPr>
        <w:t>1980年11月15日至18日召开。代表309名，出席294名</w:t>
      </w:r>
      <w:r>
        <w:rPr>
          <w:rFonts w:hint="eastAsia" w:ascii="宋体" w:hAnsi="宋体"/>
          <w:szCs w:val="21"/>
        </w:rPr>
        <w:t>。大会听取和审议通过县革命委员会副主任赵焕宝作的《政府工作报告》，以及有关部门作的国民经济和社会发展计划报告、财政决算和预算报告。大会决议：坚决贯彻执行中共十一届三中全会精神，把工作着重点转移到经济建设上来。大会以无记名投票方式选举产生县人民代表大会常务委员会主任王春堂，副主任梁小良、邓统、周儒旺、向重贤，委员叶树林、陈仲禄、林惠英（女）、岳兰清、黄志、黄国真、黄铁坚、梁婉珠（女）、王志学、叶兰芳（女）。选举产生县长赵焕宝，副县长何世理林立中、黄登军、谢学俊，县人民法院院长刘耀民，县人民检察院检察长何世全。</w:t>
      </w:r>
    </w:p>
    <w:p w14:paraId="218CA7DA">
      <w:pPr>
        <w:ind w:firstLine="420"/>
        <w:rPr>
          <w:rFonts w:ascii="宋体" w:hAnsi="宋体"/>
          <w:szCs w:val="21"/>
        </w:rPr>
      </w:pPr>
      <w:r>
        <w:rPr>
          <w:rFonts w:hint="eastAsia" w:ascii="宋体" w:hAnsi="宋体"/>
          <w:szCs w:val="21"/>
        </w:rPr>
        <w:t>六届二次会议。于</w:t>
      </w:r>
      <w:r>
        <w:rPr>
          <w:rFonts w:ascii="宋体" w:hAnsi="宋体"/>
          <w:szCs w:val="21"/>
        </w:rPr>
        <w:t>1982年3月12日至15日召开，代表309名，出席253名。大</w:t>
      </w:r>
      <w:r>
        <w:rPr>
          <w:rFonts w:hint="eastAsia" w:ascii="宋体" w:hAnsi="宋体"/>
          <w:szCs w:val="21"/>
        </w:rPr>
        <w:t>会听取和审议通过县长赵焕宝作的《当前经济形势和</w:t>
      </w:r>
      <w:r>
        <w:rPr>
          <w:rFonts w:ascii="宋体" w:hAnsi="宋体"/>
          <w:szCs w:val="21"/>
        </w:rPr>
        <w:t>1982年工作任务的报告》，以</w:t>
      </w:r>
      <w:r>
        <w:rPr>
          <w:rFonts w:hint="eastAsia" w:ascii="宋体" w:hAnsi="宋体"/>
          <w:szCs w:val="21"/>
        </w:rPr>
        <w:t>及有关部门作的国民经济和社会发展计划报告、财政决算和预算报告、人大常委会工作报告、人民法院工作报告、人民检察院工作报告。大会增选卢章严为六届人大常务委员会委员，增选黄铁坚为副县长。大会通过《关于开展全民义务植树运动的决议》、《关于开展全民文明礼貌月活动的决议》。</w:t>
      </w:r>
    </w:p>
    <w:p w14:paraId="4C51B9C9">
      <w:pPr>
        <w:ind w:firstLine="420"/>
        <w:rPr>
          <w:rFonts w:ascii="宋体" w:hAnsi="宋体"/>
          <w:szCs w:val="21"/>
        </w:rPr>
      </w:pPr>
      <w:r>
        <w:rPr>
          <w:rFonts w:hint="eastAsia" w:ascii="宋体" w:hAnsi="宋体"/>
          <w:szCs w:val="21"/>
        </w:rPr>
        <w:t>六届三次会议。于</w:t>
      </w:r>
      <w:r>
        <w:rPr>
          <w:rFonts w:ascii="宋体" w:hAnsi="宋体"/>
          <w:szCs w:val="21"/>
        </w:rPr>
        <w:t>1983年2月26日至28日召开。大会听取和审议通过县长赵</w:t>
      </w:r>
      <w:r>
        <w:rPr>
          <w:rFonts w:hint="eastAsia" w:ascii="宋体" w:hAnsi="宋体"/>
          <w:szCs w:val="21"/>
        </w:rPr>
        <w:t>焕宝作的题为《以党的十二大精神为指针全面开创我县社会主义现代化建设新局面》的政府工作报告，以及有关部门作的国民经济和社会发展计划报告、财政决算和预算报告、人大常委会工作报告、人民法院工作报告、人民检察院工作报告（以下简称“六报告”）。大会以无记名投票的方式选举出席省第六届人民代表大会代表赵焕宝、聂四妹（女）、向重贤、冯双胜。大会通过《关于保护森林发展林业的决议》和《关于坚决贯彻执行党中央、国务院指示，严格控制占用耕地建房的决议》。</w:t>
      </w:r>
    </w:p>
    <w:p w14:paraId="358AE5A1">
      <w:pPr>
        <w:ind w:firstLine="420"/>
        <w:rPr>
          <w:rFonts w:ascii="宋体" w:hAnsi="宋体"/>
          <w:szCs w:val="21"/>
        </w:rPr>
      </w:pPr>
      <w:r>
        <w:rPr>
          <w:rFonts w:hint="eastAsia" w:ascii="宋体" w:hAnsi="宋体"/>
          <w:szCs w:val="21"/>
        </w:rPr>
        <w:t>六届四次会议。于</w:t>
      </w:r>
      <w:r>
        <w:rPr>
          <w:rFonts w:ascii="宋体" w:hAnsi="宋体"/>
          <w:szCs w:val="21"/>
        </w:rPr>
        <w:t>1983年11月26日至27日召开，代表301名，出席234名</w:t>
      </w:r>
      <w:r>
        <w:rPr>
          <w:rFonts w:hint="eastAsia" w:ascii="宋体" w:hAnsi="宋体"/>
          <w:szCs w:val="21"/>
        </w:rPr>
        <w:t>。会议选举王春祥、沈会峰、王春堂、赵焕宝、吴在善、苏凤英（女）、李步才、邓志忠、叶隆传、郑志枢、王东华、郭瑛（女）、李炯、卢道澄、黄基华、欧阳南海、魏修文、庄礼味、黄耀平、谢秀福、罗庆奇、曾明山、张大洪、林惠英（女）、田荣祥（女）、王凤英（女）、黎瑞贞（女）、游大路发、赖志光</w:t>
      </w:r>
      <w:r>
        <w:rPr>
          <w:rFonts w:ascii="宋体" w:hAnsi="宋体"/>
          <w:szCs w:val="21"/>
        </w:rPr>
        <w:t>29人为出席韶关市第七届人</w:t>
      </w:r>
      <w:r>
        <w:rPr>
          <w:rFonts w:hint="eastAsia" w:ascii="宋体" w:hAnsi="宋体"/>
          <w:szCs w:val="21"/>
        </w:rPr>
        <w:t>民代表大会代表。</w:t>
      </w:r>
      <w:r>
        <w:rPr>
          <w:rFonts w:ascii="宋体" w:hAnsi="宋体"/>
          <w:szCs w:val="21"/>
        </w:rPr>
        <w:t>1985年12月人大常委会第十二次会议增选黄登军为韶关市第七届</w:t>
      </w:r>
      <w:r>
        <w:rPr>
          <w:rFonts w:hint="eastAsia" w:ascii="宋体" w:hAnsi="宋体"/>
          <w:szCs w:val="21"/>
        </w:rPr>
        <w:t>人民代表大会代表。</w:t>
      </w:r>
    </w:p>
    <w:p w14:paraId="48713ABB">
      <w:pPr>
        <w:pStyle w:val="5"/>
        <w:rPr>
          <w:rFonts w:ascii="宋体" w:hAnsi="宋体"/>
        </w:rPr>
      </w:pPr>
      <w:r>
        <w:rPr>
          <w:rFonts w:hint="eastAsia" w:ascii="宋体" w:hAnsi="宋体"/>
        </w:rPr>
        <w:t>二、第七届人民代表大会</w:t>
      </w:r>
    </w:p>
    <w:p w14:paraId="3FF137FD">
      <w:pPr>
        <w:ind w:firstLine="420"/>
        <w:rPr>
          <w:rFonts w:ascii="宋体" w:hAnsi="宋体"/>
          <w:szCs w:val="21"/>
        </w:rPr>
      </w:pPr>
      <w:r>
        <w:rPr>
          <w:rFonts w:hint="eastAsia" w:ascii="宋体" w:hAnsi="宋体"/>
          <w:szCs w:val="21"/>
        </w:rPr>
        <w:t>七届一次会议。于</w:t>
      </w:r>
      <w:r>
        <w:rPr>
          <w:rFonts w:ascii="宋体" w:hAnsi="宋体"/>
          <w:szCs w:val="21"/>
        </w:rPr>
        <w:t>1984年6月25日召开。代表270名，出席263名。大会听取</w:t>
      </w:r>
      <w:r>
        <w:rPr>
          <w:rFonts w:hint="eastAsia" w:ascii="宋体" w:hAnsi="宋体"/>
          <w:szCs w:val="21"/>
        </w:rPr>
        <w:t>和审议通过“六报告”。大会以无记名投票方式选举产生县人大常务委员会主任黄登军，副主任何世理、朱定兰、周儒旺、赵国兰、庄礼味，委员叶兰芳（女）、冯双胜、田荣祥（女）、杨仲儿、招维光、顾宝騄（女）、梁怀深、梁婉珠（女）、黄耀平。选举产生县长黄武君，副县长卢卫群、吴承建、余两安、黄祖文，县人民法院院长张振林，县人民检察院检察长何世全。大会号召全县人民坚定不移地继续贯彻执行中共十一届三中全会以来的路线、方针、政策和全国六届人大二次会议精神，解放思想，立志改革，搞活经济，建设南雄。</w:t>
      </w:r>
    </w:p>
    <w:p w14:paraId="74B7D5CD">
      <w:pPr>
        <w:ind w:firstLine="420"/>
        <w:rPr>
          <w:rFonts w:ascii="宋体" w:hAnsi="宋体"/>
          <w:szCs w:val="21"/>
        </w:rPr>
      </w:pPr>
      <w:r>
        <w:rPr>
          <w:rFonts w:hint="eastAsia" w:ascii="宋体" w:hAnsi="宋体"/>
          <w:szCs w:val="21"/>
        </w:rPr>
        <w:t>七届二次会议。于</w:t>
      </w:r>
      <w:r>
        <w:rPr>
          <w:rFonts w:ascii="宋体" w:hAnsi="宋体"/>
          <w:szCs w:val="21"/>
        </w:rPr>
        <w:t>1985年4月1日至3日召开。大会听取和审议通过</w:t>
      </w:r>
      <w:r>
        <w:rPr>
          <w:rFonts w:hint="eastAsia" w:ascii="宋体" w:hAnsi="宋体"/>
          <w:szCs w:val="21"/>
        </w:rPr>
        <w:t>“</w:t>
      </w:r>
      <w:r>
        <w:rPr>
          <w:rFonts w:ascii="宋体" w:hAnsi="宋体"/>
          <w:szCs w:val="21"/>
        </w:rPr>
        <w:t>六报</w:t>
      </w:r>
      <w:r>
        <w:rPr>
          <w:rFonts w:hint="eastAsia" w:ascii="宋体" w:hAnsi="宋体"/>
          <w:szCs w:val="21"/>
        </w:rPr>
        <w:t>告”。大会号召全县人民抓住改革、开放两件大事，祛邪树正，清“左”鼓劲，奖罚严明，改革前进。大会通过</w:t>
      </w:r>
      <w:r>
        <w:rPr>
          <w:rFonts w:ascii="宋体" w:hAnsi="宋体"/>
          <w:szCs w:val="21"/>
        </w:rPr>
        <w:t>3个议案的决议：①关于在南雄县开展重点普查麻风病的</w:t>
      </w:r>
      <w:r>
        <w:rPr>
          <w:rFonts w:hint="eastAsia" w:ascii="宋体" w:hAnsi="宋体"/>
          <w:szCs w:val="21"/>
        </w:rPr>
        <w:t>议案；②发展南雄县蚕桑生产，搞活农村经济的议案；③在全县中小学中积极开展勤工助学活动的议案。还通过致本县灾区人民的慰问信。</w:t>
      </w:r>
    </w:p>
    <w:p w14:paraId="5151F8E8">
      <w:pPr>
        <w:ind w:firstLine="420"/>
        <w:rPr>
          <w:rFonts w:ascii="宋体" w:hAnsi="宋体"/>
          <w:szCs w:val="21"/>
        </w:rPr>
      </w:pPr>
      <w:r>
        <w:rPr>
          <w:rFonts w:hint="eastAsia" w:ascii="宋体" w:hAnsi="宋体"/>
          <w:szCs w:val="21"/>
        </w:rPr>
        <w:t>七届三次会议。于</w:t>
      </w:r>
      <w:r>
        <w:rPr>
          <w:rFonts w:ascii="宋体" w:hAnsi="宋体"/>
          <w:szCs w:val="21"/>
        </w:rPr>
        <w:t>1986年4月29日至5月3日召开，代表269名，出席237名</w:t>
      </w:r>
      <w:r>
        <w:rPr>
          <w:rFonts w:hint="eastAsia" w:ascii="宋体" w:hAnsi="宋体"/>
          <w:szCs w:val="21"/>
        </w:rPr>
        <w:t>。大会听取并审议通过“六报告”。大会以无记名投票方式补选罗凯燊为县人大常委会副主任，补选朱佐帮、饶韵芬（女）为人大常委会委员。大会通过《关于加强水利设施维修管理的决议》、《关于搞好水保绿化、建立良好生态环境的决议》。大会号召全县人民坚持改革，放手引进，团结奋斗，提前实现国民经济翻番。</w:t>
      </w:r>
    </w:p>
    <w:p w14:paraId="2F198FFB">
      <w:pPr>
        <w:pStyle w:val="5"/>
        <w:rPr>
          <w:rFonts w:ascii="宋体" w:hAnsi="宋体"/>
        </w:rPr>
      </w:pPr>
      <w:r>
        <w:rPr>
          <w:rFonts w:hint="eastAsia" w:ascii="宋体" w:hAnsi="宋体"/>
        </w:rPr>
        <w:t>三、第八届人民代表大会</w:t>
      </w:r>
    </w:p>
    <w:p w14:paraId="30C3EA0A">
      <w:pPr>
        <w:ind w:firstLine="420"/>
        <w:rPr>
          <w:rFonts w:ascii="宋体" w:hAnsi="宋体"/>
          <w:szCs w:val="21"/>
        </w:rPr>
      </w:pPr>
      <w:r>
        <w:rPr>
          <w:rFonts w:hint="eastAsia" w:ascii="宋体" w:hAnsi="宋体"/>
          <w:szCs w:val="21"/>
        </w:rPr>
        <w:t>八届一次会议。于</w:t>
      </w:r>
      <w:r>
        <w:rPr>
          <w:rFonts w:ascii="宋体" w:hAnsi="宋体"/>
          <w:szCs w:val="21"/>
        </w:rPr>
        <w:t>1987年3月17日至20日召开，代表241名，出席229名。大</w:t>
      </w:r>
      <w:r>
        <w:rPr>
          <w:rFonts w:hint="eastAsia" w:ascii="宋体" w:hAnsi="宋体"/>
          <w:szCs w:val="21"/>
        </w:rPr>
        <w:t>会听取和审议通过“六报告”。大会以无记名投票方式选举产生县人大常委会主任黄登军，副主任朱定兰、罗凯燊、童作焜、钟子亮、桂嘉生、梁贵泰，委员饶韵芬、顾宝騄、冯双胜、谢红莲、衷玉华、刁淦宏、钟文生、黄裕忠。选举产生县长黄武君，副县长黄永东、褟仕堃、吴承建、黄祖文、林志诚，县人民法院院长张振林，县人民检察院检察长陈义生。大会通过《关于认真学习贯彻全国人大常委会〈关于加强法制教育维护安定团结的决定〉的决议》、《关于继续实施第七届人民代表大会决议的决议》。</w:t>
      </w:r>
    </w:p>
    <w:p w14:paraId="0B4EE3A8">
      <w:pPr>
        <w:ind w:firstLine="420"/>
        <w:rPr>
          <w:rFonts w:ascii="宋体" w:hAnsi="宋体"/>
          <w:szCs w:val="21"/>
        </w:rPr>
      </w:pPr>
      <w:r>
        <w:rPr>
          <w:rFonts w:hint="eastAsia" w:ascii="宋体" w:hAnsi="宋体"/>
          <w:szCs w:val="21"/>
        </w:rPr>
        <w:t>八届二次会议。于</w:t>
      </w:r>
      <w:r>
        <w:rPr>
          <w:rFonts w:ascii="宋体" w:hAnsi="宋体"/>
          <w:szCs w:val="21"/>
        </w:rPr>
        <w:t>1988年4月5日至8日召开。代表239名，出席225名。大会</w:t>
      </w:r>
      <w:r>
        <w:rPr>
          <w:rFonts w:hint="eastAsia" w:ascii="宋体" w:hAnsi="宋体"/>
          <w:szCs w:val="21"/>
        </w:rPr>
        <w:t>听取、审议，举手表决（以下简称手决）通过“六报告”。会议采取无记名投票方式（以下简称票决）补选林志诚为县长，钟务昌、丘翠琴为县人大常委会委员，手决通过《关于发展职业技术教育议案的决议》。</w:t>
      </w:r>
    </w:p>
    <w:p w14:paraId="020CC7FB">
      <w:pPr>
        <w:ind w:firstLine="420"/>
        <w:rPr>
          <w:rFonts w:ascii="宋体" w:hAnsi="宋体"/>
          <w:szCs w:val="21"/>
        </w:rPr>
      </w:pPr>
      <w:r>
        <w:rPr>
          <w:rFonts w:hint="eastAsia" w:ascii="宋体" w:hAnsi="宋体"/>
          <w:szCs w:val="21"/>
        </w:rPr>
        <w:t>八届三次会议。于</w:t>
      </w:r>
      <w:r>
        <w:rPr>
          <w:rFonts w:ascii="宋体" w:hAnsi="宋体"/>
          <w:szCs w:val="21"/>
        </w:rPr>
        <w:t>1988年8月25日至27日召开。代表236名，出席210名。会</w:t>
      </w:r>
      <w:r>
        <w:rPr>
          <w:rFonts w:hint="eastAsia" w:ascii="宋体" w:hAnsi="宋体"/>
          <w:szCs w:val="21"/>
        </w:rPr>
        <w:t>议票决补选郭衍全、吴述超、卢炳溪、肖雨田为副县长；手决通过《关于在全县基本实现五个小环境的决议》和《关于今冬明春绿化红砂岭的决议》。</w:t>
      </w:r>
    </w:p>
    <w:p w14:paraId="6DA8E771">
      <w:pPr>
        <w:ind w:firstLine="420"/>
        <w:rPr>
          <w:rFonts w:ascii="宋体" w:hAnsi="宋体"/>
          <w:szCs w:val="21"/>
        </w:rPr>
      </w:pPr>
      <w:r>
        <w:rPr>
          <w:rFonts w:hint="eastAsia" w:ascii="宋体" w:hAnsi="宋体"/>
          <w:szCs w:val="21"/>
        </w:rPr>
        <w:t>八届四次会议。于</w:t>
      </w:r>
      <w:r>
        <w:rPr>
          <w:rFonts w:ascii="宋体" w:hAnsi="宋体"/>
          <w:szCs w:val="21"/>
        </w:rPr>
        <w:t>1988年11月25日至26日召开。出席代表212人。以票决选</w:t>
      </w:r>
      <w:r>
        <w:rPr>
          <w:rFonts w:hint="eastAsia" w:ascii="宋体" w:hAnsi="宋体"/>
          <w:szCs w:val="21"/>
        </w:rPr>
        <w:t>举沈会峰、黄登军、刘绪祥、沈余、林惠英（女）、雷祖荣、王东华、叶兰桂、杨立群、罗庆龙、倪宗超、谢秀福、王高明、叶照军、李堂楷、罗会斌、夏葵英（女）、蔡美娇（女）、王春祥、邓纯俊、朱祖龙、林志诚、郭瑛（女）等</w:t>
      </w:r>
      <w:r>
        <w:rPr>
          <w:rFonts w:ascii="宋体" w:hAnsi="宋体"/>
          <w:szCs w:val="21"/>
        </w:rPr>
        <w:t>30人为韶关市八</w:t>
      </w:r>
      <w:r>
        <w:rPr>
          <w:rFonts w:hint="eastAsia" w:ascii="宋体" w:hAnsi="宋体"/>
          <w:szCs w:val="21"/>
        </w:rPr>
        <w:t>届人大代表。</w:t>
      </w:r>
    </w:p>
    <w:p w14:paraId="1B7EB0C3">
      <w:pPr>
        <w:ind w:firstLine="420"/>
        <w:rPr>
          <w:rFonts w:ascii="宋体" w:hAnsi="宋体"/>
          <w:szCs w:val="21"/>
        </w:rPr>
      </w:pPr>
      <w:r>
        <w:rPr>
          <w:rFonts w:hint="eastAsia" w:ascii="宋体" w:hAnsi="宋体"/>
          <w:szCs w:val="21"/>
        </w:rPr>
        <w:t>八届五次会议。</w:t>
      </w:r>
      <w:r>
        <w:rPr>
          <w:rFonts w:ascii="宋体" w:hAnsi="宋体"/>
          <w:szCs w:val="21"/>
        </w:rPr>
        <w:t>1989年3月29日至4月1日召开。代表234名，出席227名</w:t>
      </w:r>
      <w:r>
        <w:rPr>
          <w:rFonts w:hint="eastAsia" w:ascii="宋体" w:hAnsi="宋体"/>
          <w:szCs w:val="21"/>
        </w:rPr>
        <w:t>。会议听取审议通过“六报告”。</w:t>
      </w:r>
    </w:p>
    <w:p w14:paraId="478D7390">
      <w:pPr>
        <w:pStyle w:val="5"/>
        <w:rPr>
          <w:rFonts w:ascii="宋体" w:hAnsi="宋体"/>
        </w:rPr>
      </w:pPr>
      <w:r>
        <w:rPr>
          <w:rFonts w:hint="eastAsia" w:ascii="宋体" w:hAnsi="宋体"/>
        </w:rPr>
        <w:t>四、第九届人民代表大会</w:t>
      </w:r>
    </w:p>
    <w:p w14:paraId="3AD51E36">
      <w:pPr>
        <w:ind w:firstLine="420"/>
        <w:rPr>
          <w:rFonts w:ascii="宋体" w:hAnsi="宋体"/>
          <w:szCs w:val="21"/>
        </w:rPr>
      </w:pPr>
      <w:r>
        <w:rPr>
          <w:rFonts w:hint="eastAsia" w:ascii="宋体" w:hAnsi="宋体"/>
          <w:szCs w:val="21"/>
        </w:rPr>
        <w:t>九届一次会议。于</w:t>
      </w:r>
      <w:r>
        <w:rPr>
          <w:rFonts w:ascii="宋体" w:hAnsi="宋体"/>
          <w:szCs w:val="21"/>
        </w:rPr>
        <w:t>1990年3月25日至29日召开。代表252名，出席248名。大</w:t>
      </w:r>
      <w:r>
        <w:rPr>
          <w:rFonts w:hint="eastAsia" w:ascii="宋体" w:hAnsi="宋体"/>
          <w:szCs w:val="21"/>
        </w:rPr>
        <w:t>会听取和审议通过“六报告”，票决选举产生：县人大常委会主任黄登军，副主任朱定兰、罗凯燊、钟子亮、桂嘉生、梁贵泰、童作焜，委员冯双胜、李秀源、杨凤林（女），县长林志诚，副县长李仕仁、李世名、沈学柏、张寿康、董诗禄，县人民法院院长张振林，县人民检察院检察长陈义生。</w:t>
      </w:r>
    </w:p>
    <w:p w14:paraId="730CC808">
      <w:pPr>
        <w:ind w:firstLine="420"/>
        <w:rPr>
          <w:rFonts w:ascii="宋体" w:hAnsi="宋体"/>
          <w:szCs w:val="21"/>
        </w:rPr>
      </w:pPr>
      <w:r>
        <w:rPr>
          <w:rFonts w:hint="eastAsia" w:ascii="宋体" w:hAnsi="宋体"/>
          <w:szCs w:val="21"/>
        </w:rPr>
        <w:t>九届二次会议。1</w:t>
      </w:r>
      <w:r>
        <w:rPr>
          <w:rFonts w:ascii="宋体" w:hAnsi="宋体"/>
          <w:szCs w:val="21"/>
        </w:rPr>
        <w:t>991年3月31日至4月4日召开。代表254名，出席250名</w:t>
      </w:r>
      <w:r>
        <w:rPr>
          <w:rFonts w:hint="eastAsia" w:ascii="宋体" w:hAnsi="宋体"/>
          <w:szCs w:val="21"/>
        </w:rPr>
        <w:t>。大会听取和审议通过“六报告”，票决选举江青粦为县长，余</w:t>
      </w:r>
      <w:r>
        <w:rPr>
          <w:rFonts w:ascii="宋体" w:hAnsi="宋体"/>
          <w:szCs w:val="21"/>
        </w:rPr>
        <w:t>淮</w:t>
      </w:r>
      <w:r>
        <w:rPr>
          <w:rFonts w:hint="eastAsia" w:ascii="宋体" w:hAnsi="宋体"/>
          <w:szCs w:val="21"/>
        </w:rPr>
        <w:t>春、郭世初为县九届人大常委会委员，手决通过《南雄县人民代表大会会议议事规则（试行）》和《关于在全县普及法律知识第二个五年规划的决议》。</w:t>
      </w:r>
    </w:p>
    <w:p w14:paraId="3C153084">
      <w:pPr>
        <w:ind w:firstLine="420"/>
        <w:rPr>
          <w:rFonts w:ascii="宋体" w:hAnsi="宋体"/>
          <w:szCs w:val="21"/>
        </w:rPr>
      </w:pPr>
      <w:r>
        <w:rPr>
          <w:rFonts w:hint="eastAsia" w:ascii="宋体" w:hAnsi="宋体"/>
          <w:szCs w:val="21"/>
        </w:rPr>
        <w:t>九届三次会议。</w:t>
      </w:r>
      <w:r>
        <w:rPr>
          <w:rFonts w:ascii="宋体" w:hAnsi="宋体"/>
          <w:szCs w:val="21"/>
        </w:rPr>
        <w:t>1992年3月17日至21日召开，代表253名，出席249名。大会</w:t>
      </w:r>
      <w:r>
        <w:rPr>
          <w:rFonts w:hint="eastAsia" w:ascii="宋体" w:hAnsi="宋体"/>
          <w:szCs w:val="21"/>
        </w:rPr>
        <w:t>听取审议和通过“六报告”，票决补选县九届人大常委会委员刁淦宏、陈道勇。</w:t>
      </w:r>
    </w:p>
    <w:p w14:paraId="66A42DB8">
      <w:pPr>
        <w:pStyle w:val="5"/>
        <w:rPr>
          <w:rFonts w:ascii="宋体" w:hAnsi="宋体"/>
        </w:rPr>
      </w:pPr>
      <w:r>
        <w:rPr>
          <w:rFonts w:hint="eastAsia" w:ascii="宋体" w:hAnsi="宋体"/>
        </w:rPr>
        <w:t>五、第十届人民代表大会</w:t>
      </w:r>
    </w:p>
    <w:p w14:paraId="04466A1A">
      <w:pPr>
        <w:ind w:firstLine="420"/>
        <w:rPr>
          <w:rFonts w:ascii="宋体" w:hAnsi="宋体"/>
          <w:szCs w:val="21"/>
        </w:rPr>
      </w:pPr>
      <w:r>
        <w:rPr>
          <w:rFonts w:hint="eastAsia" w:ascii="宋体" w:hAnsi="宋体"/>
          <w:szCs w:val="21"/>
        </w:rPr>
        <w:t>十届一次会议。于</w:t>
      </w:r>
      <w:r>
        <w:rPr>
          <w:rFonts w:ascii="宋体" w:hAnsi="宋体"/>
          <w:szCs w:val="21"/>
        </w:rPr>
        <w:t>1993年2月27日至3月3日召开。代表259名，出席253名</w:t>
      </w:r>
      <w:r>
        <w:rPr>
          <w:rFonts w:hint="eastAsia" w:ascii="宋体" w:hAnsi="宋体"/>
          <w:szCs w:val="21"/>
        </w:rPr>
        <w:t>。大会听取和审议通过“六报告”，以票决选举产生：县人大常委会主任黄启钊，副主任钟子亮、童作焜、董诗禄、梁贵泰、廖威宗、朱雄；县长郭衍全，副县长李世名、张寿康、黄浩烈、马水源、何万洪、何明生；县人民法院院长张振林，县人民检察院检察长张平。</w:t>
      </w:r>
    </w:p>
    <w:p w14:paraId="68786ABA">
      <w:pPr>
        <w:ind w:firstLine="420"/>
        <w:rPr>
          <w:rFonts w:ascii="宋体" w:hAnsi="宋体"/>
          <w:szCs w:val="21"/>
        </w:rPr>
      </w:pPr>
      <w:r>
        <w:rPr>
          <w:rFonts w:hint="eastAsia" w:ascii="宋体" w:hAnsi="宋体"/>
          <w:szCs w:val="21"/>
        </w:rPr>
        <w:t>当日选举的县人大常委会委员，因候选人差额数达不到法定比例，经省人大常委会审查确定为无效。至</w:t>
      </w:r>
      <w:r>
        <w:rPr>
          <w:rFonts w:ascii="宋体" w:hAnsi="宋体"/>
          <w:szCs w:val="21"/>
        </w:rPr>
        <w:t>5月16日继续举行大会，严格按照法定差额比例重新选举钟</w:t>
      </w:r>
      <w:r>
        <w:rPr>
          <w:rFonts w:hint="eastAsia" w:ascii="宋体" w:hAnsi="宋体"/>
          <w:szCs w:val="21"/>
        </w:rPr>
        <w:t>务昌、刘烈定、欧阳效元、刁</w:t>
      </w:r>
      <w:r>
        <w:rPr>
          <w:rFonts w:ascii="宋体" w:hAnsi="宋体"/>
          <w:szCs w:val="21"/>
        </w:rPr>
        <w:t>淦</w:t>
      </w:r>
      <w:r>
        <w:rPr>
          <w:rFonts w:hint="eastAsia" w:ascii="宋体" w:hAnsi="宋体"/>
          <w:szCs w:val="21"/>
        </w:rPr>
        <w:t>宏、陈道勇、黎毓华、杨凤林（女）、林岚（女）、郭金宁、谢玉荣、冯双胜、余淮春为人大常委会委员。</w:t>
      </w:r>
    </w:p>
    <w:p w14:paraId="602F12B9">
      <w:pPr>
        <w:ind w:firstLine="420"/>
        <w:rPr>
          <w:rFonts w:ascii="宋体" w:hAnsi="宋体"/>
          <w:szCs w:val="21"/>
        </w:rPr>
      </w:pPr>
      <w:r>
        <w:rPr>
          <w:rFonts w:hint="eastAsia" w:ascii="宋体" w:hAnsi="宋体"/>
          <w:szCs w:val="21"/>
        </w:rPr>
        <w:t>十届二次会议。</w:t>
      </w:r>
      <w:r>
        <w:rPr>
          <w:rFonts w:ascii="宋体" w:hAnsi="宋体"/>
          <w:szCs w:val="21"/>
        </w:rPr>
        <w:t>1993年12月7日至12月9日召开。代表256名，出席251名</w:t>
      </w:r>
      <w:r>
        <w:rPr>
          <w:rFonts w:hint="eastAsia" w:ascii="宋体" w:hAnsi="宋体"/>
          <w:szCs w:val="21"/>
        </w:rPr>
        <w:t>。大会票决选举丘隆基为县长，同时选举丘隆基、黄启钊、张忠久、陈红方、雷祖荣、张光明、曲令平、冯德强、刘绪祥、邓润莲、刘彩珍、吴金霖、陈继煊、陈浩强、王东华、欧阳南海、卜雪玉、纪是安、朱庭富、罗会斌、黄国真、杨梅富、陈济宏、沈茂昆、黄怀西、胡声明、顾宝騄、黄社进、何万雄、赖北林为韶关市第九届人民代表大会代表。</w:t>
      </w:r>
    </w:p>
    <w:p w14:paraId="50981C8F">
      <w:pPr>
        <w:ind w:firstLine="420"/>
        <w:rPr>
          <w:rFonts w:ascii="宋体" w:hAnsi="宋体"/>
          <w:szCs w:val="21"/>
        </w:rPr>
      </w:pPr>
      <w:r>
        <w:rPr>
          <w:rFonts w:hint="eastAsia" w:ascii="宋体" w:hAnsi="宋体"/>
          <w:szCs w:val="21"/>
        </w:rPr>
        <w:t>十届三次会议。</w:t>
      </w:r>
      <w:r>
        <w:rPr>
          <w:rFonts w:ascii="宋体" w:hAnsi="宋体"/>
          <w:szCs w:val="21"/>
        </w:rPr>
        <w:t>1994年2月26日至3月1日召开。代表255名，出席248名</w:t>
      </w:r>
      <w:r>
        <w:rPr>
          <w:rFonts w:hint="eastAsia" w:ascii="宋体" w:hAnsi="宋体"/>
          <w:szCs w:val="21"/>
        </w:rPr>
        <w:t>大会听取审议通过“六报告”。</w:t>
      </w:r>
    </w:p>
    <w:p w14:paraId="43EFD614">
      <w:pPr>
        <w:ind w:firstLine="420"/>
        <w:rPr>
          <w:rFonts w:ascii="宋体" w:hAnsi="宋体"/>
          <w:szCs w:val="21"/>
        </w:rPr>
      </w:pPr>
      <w:r>
        <w:rPr>
          <w:rFonts w:hint="eastAsia" w:ascii="宋体" w:hAnsi="宋体"/>
          <w:szCs w:val="21"/>
        </w:rPr>
        <w:t>十届四次会议。</w:t>
      </w:r>
      <w:r>
        <w:rPr>
          <w:rFonts w:ascii="宋体" w:hAnsi="宋体"/>
          <w:szCs w:val="21"/>
        </w:rPr>
        <w:t>1995年3月28日至31日召开。代表253名，出席248名。大会</w:t>
      </w:r>
      <w:r>
        <w:rPr>
          <w:rFonts w:hint="eastAsia" w:ascii="宋体" w:hAnsi="宋体"/>
          <w:szCs w:val="21"/>
        </w:rPr>
        <w:t>听取和审议通过“六报告”，决定把《建立南雄县见义勇为奖励基金会的议案》交县政府具体组织实施。</w:t>
      </w:r>
    </w:p>
    <w:p w14:paraId="3FB3289F">
      <w:pPr>
        <w:ind w:firstLine="420"/>
        <w:rPr>
          <w:rFonts w:ascii="宋体" w:hAnsi="宋体"/>
          <w:szCs w:val="21"/>
        </w:rPr>
      </w:pPr>
      <w:r>
        <w:rPr>
          <w:rFonts w:hint="eastAsia" w:ascii="宋体" w:hAnsi="宋体"/>
          <w:szCs w:val="21"/>
        </w:rPr>
        <w:t>十届五次会议。</w:t>
      </w:r>
      <w:r>
        <w:rPr>
          <w:rFonts w:ascii="宋体" w:hAnsi="宋体"/>
          <w:szCs w:val="21"/>
        </w:rPr>
        <w:t>1996年3月25日至29日召开。代表259名，出席254名。大会</w:t>
      </w:r>
      <w:r>
        <w:rPr>
          <w:rFonts w:hint="eastAsia" w:ascii="宋体" w:hAnsi="宋体"/>
          <w:szCs w:val="21"/>
        </w:rPr>
        <w:t>听取和审议通过“六报告”，接受董诗禄、钟子亮、朱雄辞去县十届人大常委会副主任职务，接受钟务昌、黎毓华、刘烈定辞去县十届人大常委会委员职务，票决补选产生：县十届人大常委会副主任林树雄、刁淦宏、陈国惠，委员陈礼祥、黄绍俊、陈培林、郭远清。</w:t>
      </w:r>
    </w:p>
    <w:p w14:paraId="6CB4A5C8">
      <w:pPr>
        <w:ind w:firstLine="420"/>
        <w:rPr>
          <w:rFonts w:ascii="宋体" w:hAnsi="宋体"/>
          <w:szCs w:val="21"/>
        </w:rPr>
      </w:pPr>
      <w:r>
        <w:rPr>
          <w:rFonts w:hint="eastAsia" w:ascii="宋体" w:hAnsi="宋体"/>
          <w:szCs w:val="21"/>
        </w:rPr>
        <w:t>十届六次会议。</w:t>
      </w:r>
      <w:r>
        <w:rPr>
          <w:rFonts w:ascii="宋体" w:hAnsi="宋体"/>
          <w:szCs w:val="21"/>
        </w:rPr>
        <w:t>1997年3月30日至4月4日召开。代表257名，出席250名</w:t>
      </w:r>
      <w:r>
        <w:rPr>
          <w:rFonts w:hint="eastAsia" w:ascii="宋体" w:hAnsi="宋体"/>
          <w:szCs w:val="21"/>
        </w:rPr>
        <w:t>大会听取和审议通过“六报告”，接受黄启钊辞去市十届人大常委会主任职务；丘隆基辞去市政府市长职务，欧阳效元辞去市十届人大常委会委员职务，李世名、何万洪辞去市政府副市长职务，张振林辞去市人民法院院长职务，票决选举谢兴宏为市十届人大常委会主任，谭章明为市人民政府市长，刘国富为市人民法院院长。</w:t>
      </w:r>
    </w:p>
    <w:p w14:paraId="0B86C179">
      <w:pPr>
        <w:pStyle w:val="5"/>
        <w:rPr>
          <w:rFonts w:ascii="宋体" w:hAnsi="宋体"/>
        </w:rPr>
      </w:pPr>
      <w:r>
        <w:rPr>
          <w:rFonts w:hint="eastAsia" w:ascii="宋体" w:hAnsi="宋体"/>
        </w:rPr>
        <w:t>六、第十一届人民代表大会</w:t>
      </w:r>
    </w:p>
    <w:p w14:paraId="26951DED">
      <w:pPr>
        <w:ind w:firstLine="420"/>
        <w:rPr>
          <w:rFonts w:ascii="宋体" w:hAnsi="宋体"/>
          <w:szCs w:val="21"/>
        </w:rPr>
      </w:pPr>
      <w:r>
        <w:rPr>
          <w:rFonts w:hint="eastAsia" w:ascii="宋体" w:hAnsi="宋体"/>
          <w:szCs w:val="21"/>
        </w:rPr>
        <w:t>十一届一次会议。</w:t>
      </w:r>
      <w:r>
        <w:rPr>
          <w:rFonts w:ascii="宋体" w:hAnsi="宋体"/>
          <w:szCs w:val="21"/>
        </w:rPr>
        <w:t>1998年3月13日至18日在南雄大会堂召开。代表209名，出</w:t>
      </w:r>
      <w:r>
        <w:rPr>
          <w:rFonts w:hint="eastAsia" w:ascii="宋体" w:hAnsi="宋体"/>
          <w:szCs w:val="21"/>
        </w:rPr>
        <w:t>席</w:t>
      </w:r>
      <w:r>
        <w:rPr>
          <w:rFonts w:ascii="宋体" w:hAnsi="宋体"/>
          <w:szCs w:val="21"/>
        </w:rPr>
        <w:t>209名。大会听取和审议通过“六报告”，以票决选举产生：市十一届人民代表大</w:t>
      </w:r>
      <w:r>
        <w:rPr>
          <w:rFonts w:hint="eastAsia" w:ascii="宋体" w:hAnsi="宋体"/>
          <w:szCs w:val="21"/>
        </w:rPr>
        <w:t>会常务委员会主任曲令平，副主任肖星庆、梁贵泰、刁淦宏、陈吉安，委员黄绍俊、陈礼祥、郭金宁、杨凤林、郭远清、陈培林、梁志德、林应通、陈道全、李冰、肖秀珠、欧阳克重、陈伟民、刘发雄；市长沈明祥，副市长刘发群、黄浩烈、李卫忠、涂运发、李总路、巫育明；市人民法院院长刘国富和人民检察院检察长饶纲奎。</w:t>
      </w:r>
    </w:p>
    <w:p w14:paraId="486BD3F1">
      <w:pPr>
        <w:ind w:firstLine="420"/>
        <w:rPr>
          <w:rFonts w:ascii="宋体" w:hAnsi="宋体"/>
          <w:szCs w:val="21"/>
        </w:rPr>
      </w:pPr>
      <w:r>
        <w:rPr>
          <w:rFonts w:hint="eastAsia" w:ascii="宋体" w:hAnsi="宋体"/>
          <w:szCs w:val="21"/>
        </w:rPr>
        <w:t>十一届二次会议。</w:t>
      </w:r>
      <w:r>
        <w:rPr>
          <w:rFonts w:ascii="宋体" w:hAnsi="宋体"/>
          <w:szCs w:val="21"/>
        </w:rPr>
        <w:t>1999年1月16日至20日在南雄大会堂召开。代表208名，出</w:t>
      </w:r>
      <w:r>
        <w:rPr>
          <w:rFonts w:hint="eastAsia" w:ascii="宋体" w:hAnsi="宋体"/>
          <w:szCs w:val="21"/>
        </w:rPr>
        <w:t>席</w:t>
      </w:r>
      <w:r>
        <w:rPr>
          <w:rFonts w:ascii="宋体" w:hAnsi="宋体"/>
          <w:szCs w:val="21"/>
        </w:rPr>
        <w:t>206名。大会听取和审议通过“六报告”。大会以票决选举韶关市第十届人民代表</w:t>
      </w:r>
      <w:r>
        <w:rPr>
          <w:rFonts w:hint="eastAsia" w:ascii="宋体" w:hAnsi="宋体"/>
          <w:szCs w:val="21"/>
        </w:rPr>
        <w:t>大会代表：沈明祥、张爱珍（女）、卢定周、李国华、杨肇涛、曾成恩、郭汉慈（女）、丘隆基、曲令平、刘洪旗、尹德宏、李祥福、张雄生、陈世锋、陈浩强、陈清文、罗同森、胡声明、侯灌兴、邓润莲（女）、张永高、李崇海、戚庆家、王钱林、陈爱珍（女）、徐秀娥（女）、黄志林、雷经源（畬族）、游贯文、何桂莲（女）、魏明英（女）、谢章齐、曾昭来</w:t>
      </w:r>
      <w:r>
        <w:rPr>
          <w:rFonts w:ascii="宋体" w:hAnsi="宋体"/>
          <w:szCs w:val="21"/>
        </w:rPr>
        <w:t>33名；补选杨会英（女）为南雄市十一届人</w:t>
      </w:r>
      <w:r>
        <w:rPr>
          <w:rFonts w:hint="eastAsia" w:ascii="宋体" w:hAnsi="宋体"/>
          <w:szCs w:val="21"/>
        </w:rPr>
        <w:t>大常委会委员。</w:t>
      </w:r>
    </w:p>
    <w:p w14:paraId="1F69A868">
      <w:pPr>
        <w:ind w:firstLine="420"/>
        <w:rPr>
          <w:rFonts w:ascii="宋体" w:hAnsi="宋体"/>
          <w:szCs w:val="21"/>
        </w:rPr>
      </w:pPr>
      <w:r>
        <w:rPr>
          <w:rFonts w:hint="eastAsia" w:ascii="宋体" w:hAnsi="宋体"/>
          <w:szCs w:val="21"/>
        </w:rPr>
        <w:t>十一届三次会议。</w:t>
      </w:r>
      <w:r>
        <w:rPr>
          <w:rFonts w:ascii="宋体" w:hAnsi="宋体"/>
          <w:szCs w:val="21"/>
        </w:rPr>
        <w:t>2000年2月25日至3月1日在南雄大会堂召开。代表204名，</w:t>
      </w:r>
      <w:r>
        <w:rPr>
          <w:rFonts w:hint="eastAsia" w:ascii="宋体" w:hAnsi="宋体"/>
          <w:szCs w:val="21"/>
        </w:rPr>
        <w:t>出席</w:t>
      </w:r>
      <w:r>
        <w:rPr>
          <w:rFonts w:ascii="宋体" w:hAnsi="宋体"/>
          <w:szCs w:val="21"/>
        </w:rPr>
        <w:t>204名。大会听取和审议通过“六报告”，以票决补选温桂新为南雄市人民法院</w:t>
      </w:r>
      <w:r>
        <w:rPr>
          <w:rFonts w:hint="eastAsia" w:ascii="宋体" w:hAnsi="宋体"/>
          <w:szCs w:val="21"/>
        </w:rPr>
        <w:t>院长，张平根为南雄市人民检察院检察长。</w:t>
      </w:r>
    </w:p>
    <w:p w14:paraId="690C41DB">
      <w:pPr>
        <w:ind w:firstLine="420"/>
        <w:rPr>
          <w:rFonts w:ascii="宋体" w:hAnsi="宋体"/>
          <w:szCs w:val="21"/>
        </w:rPr>
      </w:pPr>
      <w:r>
        <w:rPr>
          <w:rFonts w:hint="eastAsia" w:ascii="宋体" w:hAnsi="宋体"/>
          <w:szCs w:val="21"/>
        </w:rPr>
        <w:t>十一届四次会议。</w:t>
      </w:r>
      <w:r>
        <w:rPr>
          <w:rFonts w:ascii="宋体" w:hAnsi="宋体"/>
          <w:szCs w:val="21"/>
        </w:rPr>
        <w:t>2001年3月2日至6日召开。代表204名，出席202名。会议</w:t>
      </w:r>
      <w:r>
        <w:rPr>
          <w:rFonts w:hint="eastAsia" w:ascii="宋体" w:hAnsi="宋体"/>
          <w:szCs w:val="21"/>
        </w:rPr>
        <w:t>听取审议通过“六报告”，票决补选郭开海、郭良栋为市人大常务委员会委员。</w:t>
      </w:r>
    </w:p>
    <w:p w14:paraId="541ADDA4">
      <w:pPr>
        <w:ind w:firstLine="420"/>
        <w:rPr>
          <w:rFonts w:ascii="宋体" w:hAnsi="宋体"/>
          <w:szCs w:val="21"/>
        </w:rPr>
      </w:pPr>
      <w:r>
        <w:rPr>
          <w:rFonts w:hint="eastAsia" w:ascii="宋体" w:hAnsi="宋体"/>
          <w:szCs w:val="21"/>
        </w:rPr>
        <w:t>十一届五次会议。</w:t>
      </w:r>
      <w:r>
        <w:rPr>
          <w:rFonts w:ascii="宋体" w:hAnsi="宋体"/>
          <w:szCs w:val="21"/>
        </w:rPr>
        <w:t>2002年3月11日至15日召开。代表209人，实到201人。会</w:t>
      </w:r>
      <w:r>
        <w:rPr>
          <w:rFonts w:hint="eastAsia" w:ascii="宋体" w:hAnsi="宋体"/>
          <w:szCs w:val="21"/>
        </w:rPr>
        <w:t>议听取审议通过“六报告”，票决补选欧阳效元为人大常委会副主任，林楚欣为市长，刘发雄为副市长。</w:t>
      </w:r>
    </w:p>
    <w:p w14:paraId="40453838">
      <w:pPr>
        <w:pStyle w:val="5"/>
        <w:rPr>
          <w:rFonts w:ascii="宋体" w:hAnsi="宋体"/>
        </w:rPr>
      </w:pPr>
      <w:r>
        <w:rPr>
          <w:rFonts w:hint="eastAsia" w:ascii="宋体" w:hAnsi="宋体"/>
        </w:rPr>
        <w:t>七、第十二届人民代表大会</w:t>
      </w:r>
    </w:p>
    <w:p w14:paraId="3A2864E2">
      <w:pPr>
        <w:ind w:firstLine="420"/>
        <w:rPr>
          <w:rFonts w:ascii="宋体" w:hAnsi="宋体"/>
          <w:szCs w:val="21"/>
        </w:rPr>
      </w:pPr>
      <w:r>
        <w:rPr>
          <w:rFonts w:hint="eastAsia" w:ascii="宋体" w:hAnsi="宋体"/>
          <w:szCs w:val="21"/>
        </w:rPr>
        <w:t>十二届一次会议。</w:t>
      </w:r>
      <w:r>
        <w:rPr>
          <w:rFonts w:ascii="宋体" w:hAnsi="宋体"/>
          <w:szCs w:val="21"/>
        </w:rPr>
        <w:t>2003年3月10日至14日召开。代表210名，出席210名。会</w:t>
      </w:r>
      <w:r>
        <w:rPr>
          <w:rFonts w:hint="eastAsia" w:ascii="宋体" w:hAnsi="宋体"/>
          <w:szCs w:val="21"/>
        </w:rPr>
        <w:t>议听取审议通过“六报告”，票决选举何为星为市十二届人大常委会主任，欧阳效元、刘发群、涂运发、李冰为副主任，黄绍俊、陈礼祥、郭金宁、梁志德、林应通、张芳文、肖秀珠（女）、欧阳克重、陈伟民、郭良栋、张宗财、杨会英（女）、曾子南、张启湖为委员；选举林楚欣为市长，李总路、刘发雄、王荣光、曾庆新、曾风保、陈玉英（女）为副市长，温桂新为人民法院院长，张平根为人民检察院检察长。</w:t>
      </w:r>
    </w:p>
    <w:p w14:paraId="1D4A59FA">
      <w:pPr>
        <w:ind w:firstLine="420"/>
        <w:rPr>
          <w:rFonts w:ascii="宋体" w:hAnsi="宋体"/>
          <w:szCs w:val="21"/>
        </w:rPr>
      </w:pPr>
      <w:r>
        <w:rPr>
          <w:rFonts w:hint="eastAsia" w:ascii="宋体" w:hAnsi="宋体"/>
          <w:szCs w:val="21"/>
        </w:rPr>
        <w:t>十二届二次会议。</w:t>
      </w:r>
      <w:r>
        <w:rPr>
          <w:rFonts w:ascii="宋体" w:hAnsi="宋体"/>
          <w:szCs w:val="21"/>
        </w:rPr>
        <w:t>2004年3月2日至5日召开。代表210名，出席210名。会议</w:t>
      </w:r>
      <w:r>
        <w:rPr>
          <w:rFonts w:hint="eastAsia" w:ascii="宋体" w:hAnsi="宋体"/>
          <w:szCs w:val="21"/>
        </w:rPr>
        <w:t>听取审议通过“六报告”，以票决补选肖兴麟为市十二届人大常委会委员；选举何为星、王广珠、邓辉武、尹本良、尹庆霞（女）、叶贤荣、刘明英（女）、刘烈善、刘富平、李萍（女）、李天勤、吴文禄、吴丙香（女）、张桂通、张堂耀、张雄生、陈世锋、陈志红（女）、陈浩强、林楚欣、欧阳效元、罗顺林、周百苓、聂菁、郭慧敏（女）、黄志星、彭小梅（女）、游伦芳、游贯文、谢章齐、雷名莲（女）、蓝启贵</w:t>
      </w:r>
      <w:r>
        <w:rPr>
          <w:rFonts w:ascii="宋体" w:hAnsi="宋体"/>
          <w:szCs w:val="21"/>
        </w:rPr>
        <w:t>32</w:t>
      </w:r>
      <w:r>
        <w:rPr>
          <w:rFonts w:hint="eastAsia" w:ascii="宋体" w:hAnsi="宋体"/>
          <w:szCs w:val="21"/>
        </w:rPr>
        <w:t>人为韶关市第十一届人大代表。</w:t>
      </w:r>
    </w:p>
    <w:p w14:paraId="0C9FA7F8">
      <w:pPr>
        <w:pStyle w:val="4"/>
        <w:rPr>
          <w:rFonts w:ascii="宋体" w:hAnsi="宋体"/>
        </w:rPr>
      </w:pPr>
      <w:r>
        <w:rPr>
          <w:rFonts w:hint="eastAsia" w:ascii="宋体" w:hAnsi="宋体"/>
        </w:rPr>
        <w:t>第四节  市（县）人民代表大会常务委员会</w:t>
      </w:r>
    </w:p>
    <w:p w14:paraId="26781F24">
      <w:pPr>
        <w:ind w:firstLine="420"/>
        <w:rPr>
          <w:rFonts w:ascii="宋体" w:hAnsi="宋体"/>
          <w:szCs w:val="21"/>
        </w:rPr>
      </w:pPr>
      <w:r>
        <w:rPr>
          <w:rFonts w:ascii="宋体" w:hAnsi="宋体"/>
          <w:szCs w:val="21"/>
        </w:rPr>
        <w:t>1980年县六届人大第一次会议首次选举产生县人民代表大会常务委员会，作为</w:t>
      </w:r>
      <w:r>
        <w:rPr>
          <w:rFonts w:hint="eastAsia" w:ascii="宋体" w:hAnsi="宋体"/>
          <w:szCs w:val="21"/>
        </w:rPr>
        <w:t>县人民代表大会的常设机关。</w:t>
      </w:r>
    </w:p>
    <w:p w14:paraId="26F723D6">
      <w:pPr>
        <w:pStyle w:val="5"/>
        <w:rPr>
          <w:rFonts w:ascii="宋体" w:hAnsi="宋体"/>
        </w:rPr>
      </w:pPr>
      <w:r>
        <w:rPr>
          <w:rFonts w:hint="eastAsia" w:ascii="宋体" w:hAnsi="宋体"/>
        </w:rPr>
        <w:t>一、机构</w:t>
      </w:r>
    </w:p>
    <w:p w14:paraId="628A5589">
      <w:pPr>
        <w:ind w:firstLine="420"/>
        <w:rPr>
          <w:rFonts w:ascii="宋体" w:hAnsi="宋体"/>
          <w:szCs w:val="21"/>
        </w:rPr>
      </w:pPr>
      <w:r>
        <w:rPr>
          <w:rFonts w:ascii="宋体" w:hAnsi="宋体"/>
          <w:szCs w:val="21"/>
        </w:rPr>
        <w:t>1980年，人大常委会下设办公室，处理人大常委会日常工作。1986年设人大常</w:t>
      </w:r>
      <w:r>
        <w:rPr>
          <w:rFonts w:hint="eastAsia" w:ascii="宋体" w:hAnsi="宋体"/>
          <w:szCs w:val="21"/>
        </w:rPr>
        <w:t>委办公室、财经工作委员会、农村工作委员会、法制工作委员会、科教文卫侨务工作委员会、城乡建设工作委员会。</w:t>
      </w:r>
      <w:r>
        <w:rPr>
          <w:rFonts w:ascii="宋体" w:hAnsi="宋体"/>
          <w:szCs w:val="21"/>
        </w:rPr>
        <w:t>1987年设人大常委会办公室、法制科、组织联络科、</w:t>
      </w:r>
      <w:r>
        <w:rPr>
          <w:rFonts w:hint="eastAsia" w:ascii="宋体" w:hAnsi="宋体"/>
          <w:szCs w:val="21"/>
        </w:rPr>
        <w:t>议案信访科。</w:t>
      </w:r>
    </w:p>
    <w:p w14:paraId="380376A3">
      <w:pPr>
        <w:ind w:firstLine="420"/>
        <w:rPr>
          <w:rFonts w:ascii="宋体" w:hAnsi="宋体"/>
          <w:szCs w:val="21"/>
        </w:rPr>
      </w:pPr>
      <w:r>
        <w:rPr>
          <w:rFonts w:ascii="宋体" w:hAnsi="宋体"/>
          <w:szCs w:val="21"/>
        </w:rPr>
        <w:t>1997年机构改革，设“一室四委”：人大常委会办公室、内务司法工作委员会、</w:t>
      </w:r>
      <w:r>
        <w:rPr>
          <w:rFonts w:hint="eastAsia" w:ascii="宋体" w:hAnsi="宋体"/>
          <w:szCs w:val="21"/>
        </w:rPr>
        <w:t>经济工作委员会、教科文卫工作委员会、选举联络人事任免工作委员会。</w:t>
      </w:r>
    </w:p>
    <w:p w14:paraId="6BEC1C56">
      <w:pPr>
        <w:pStyle w:val="5"/>
        <w:rPr>
          <w:rFonts w:ascii="宋体" w:hAnsi="宋体"/>
        </w:rPr>
      </w:pPr>
      <w:r>
        <w:rPr>
          <w:rFonts w:hint="eastAsia" w:ascii="宋体" w:hAnsi="宋体"/>
        </w:rPr>
        <w:t>二、会务</w:t>
      </w:r>
    </w:p>
    <w:p w14:paraId="6A4515F9">
      <w:pPr>
        <w:ind w:firstLine="422"/>
        <w:rPr>
          <w:rFonts w:ascii="宋体" w:hAnsi="宋体"/>
          <w:b/>
          <w:szCs w:val="21"/>
        </w:rPr>
      </w:pPr>
      <w:r>
        <w:rPr>
          <w:rFonts w:hint="eastAsia" w:ascii="宋体" w:hAnsi="宋体"/>
          <w:b/>
          <w:szCs w:val="21"/>
        </w:rPr>
        <w:t>（一）审议决定本市（县）重大事项</w:t>
      </w:r>
    </w:p>
    <w:p w14:paraId="7446BC74">
      <w:pPr>
        <w:ind w:firstLine="420"/>
        <w:rPr>
          <w:rFonts w:ascii="宋体" w:hAnsi="宋体"/>
          <w:szCs w:val="21"/>
        </w:rPr>
      </w:pPr>
      <w:r>
        <w:rPr>
          <w:rFonts w:hint="eastAsia" w:ascii="宋体" w:hAnsi="宋体"/>
          <w:szCs w:val="21"/>
        </w:rPr>
        <w:t>县人大常委会每</w:t>
      </w:r>
      <w:r>
        <w:rPr>
          <w:rFonts w:ascii="宋体" w:hAnsi="宋体"/>
          <w:szCs w:val="21"/>
        </w:rPr>
        <w:t>2个月至少举行1次例会，听取和审议政府有关工作报告，并对</w:t>
      </w:r>
      <w:r>
        <w:rPr>
          <w:rFonts w:hint="eastAsia" w:ascii="宋体" w:hAnsi="宋体"/>
          <w:szCs w:val="21"/>
        </w:rPr>
        <w:t>政府提请人大常委会讨论的重大事项进行审议，作出决定。第六届人大常委会共举行</w:t>
      </w:r>
      <w:r>
        <w:rPr>
          <w:rFonts w:ascii="宋体" w:hAnsi="宋体"/>
          <w:szCs w:val="21"/>
        </w:rPr>
        <w:t>32次会议。第七届人大常委会共举行29次会议。重要决定有：《关于用五年时间在</w:t>
      </w:r>
      <w:r>
        <w:rPr>
          <w:rFonts w:hint="eastAsia" w:ascii="宋体" w:hAnsi="宋体"/>
          <w:szCs w:val="21"/>
        </w:rPr>
        <w:t>全县普及法律常识的决定》；《关于审议南雄县综合农业区划报告的决定》和《关于审议南雄县厂矿企业安全生产劳动保护试行办法的决定》；《关于认真贯彻广东省农村五保工作暂行规定的决定》和《关于搞好我县水土流失区的整治开发利用的决定》。</w:t>
      </w:r>
    </w:p>
    <w:p w14:paraId="744E562D">
      <w:pPr>
        <w:ind w:firstLine="420"/>
        <w:rPr>
          <w:rFonts w:ascii="宋体" w:hAnsi="宋体"/>
          <w:szCs w:val="21"/>
        </w:rPr>
      </w:pPr>
      <w:r>
        <w:rPr>
          <w:rFonts w:hint="eastAsia" w:ascii="宋体" w:hAnsi="宋体"/>
          <w:szCs w:val="21"/>
        </w:rPr>
        <w:t>第八届人大常委会共举行</w:t>
      </w:r>
      <w:r>
        <w:rPr>
          <w:rFonts w:ascii="宋体" w:hAnsi="宋体"/>
          <w:szCs w:val="21"/>
        </w:rPr>
        <w:t>37次会议。重要决定有：《南雄县人大常委会关于在治</w:t>
      </w:r>
      <w:r>
        <w:rPr>
          <w:rFonts w:hint="eastAsia" w:ascii="宋体" w:hAnsi="宋体"/>
          <w:szCs w:val="21"/>
        </w:rPr>
        <w:t>理经济环境、整顿经济秩序中加强监督工作的决定》。</w:t>
      </w:r>
    </w:p>
    <w:p w14:paraId="028CEF08">
      <w:pPr>
        <w:ind w:firstLine="420"/>
        <w:rPr>
          <w:rFonts w:ascii="宋体" w:hAnsi="宋体"/>
          <w:szCs w:val="21"/>
        </w:rPr>
      </w:pPr>
      <w:r>
        <w:rPr>
          <w:rFonts w:hint="eastAsia" w:ascii="宋体" w:hAnsi="宋体"/>
          <w:szCs w:val="21"/>
        </w:rPr>
        <w:t>第九届人大常委会共举行</w:t>
      </w:r>
      <w:r>
        <w:rPr>
          <w:rFonts w:ascii="宋体" w:hAnsi="宋体"/>
          <w:szCs w:val="21"/>
        </w:rPr>
        <w:t>43次会议。重要决定有：《加快农房改造决定》；《加</w:t>
      </w:r>
      <w:r>
        <w:rPr>
          <w:rFonts w:hint="eastAsia" w:ascii="宋体" w:hAnsi="宋体"/>
          <w:szCs w:val="21"/>
        </w:rPr>
        <w:t>强社会治安综合治理的决定》；《关于在我县继续加强普及九年义务教育工作的决定》。</w:t>
      </w:r>
    </w:p>
    <w:p w14:paraId="779E40F5">
      <w:pPr>
        <w:ind w:firstLine="420"/>
        <w:rPr>
          <w:rFonts w:ascii="宋体" w:hAnsi="宋体"/>
          <w:szCs w:val="21"/>
        </w:rPr>
      </w:pPr>
      <w:r>
        <w:rPr>
          <w:rFonts w:hint="eastAsia" w:ascii="宋体" w:hAnsi="宋体"/>
          <w:szCs w:val="21"/>
        </w:rPr>
        <w:t>第十届人大常委会举行</w:t>
      </w:r>
      <w:r>
        <w:rPr>
          <w:rFonts w:ascii="宋体" w:hAnsi="宋体"/>
          <w:szCs w:val="21"/>
        </w:rPr>
        <w:t>51次会议。重要决定有：《关于南雄撤县设市后国家机关</w:t>
      </w:r>
      <w:r>
        <w:rPr>
          <w:rFonts w:hint="eastAsia" w:ascii="宋体" w:hAnsi="宋体"/>
          <w:szCs w:val="21"/>
        </w:rPr>
        <w:t>改名及其组成人员职务改称的决定》、《关于依法治市五年规划的决议》，批准《南雄中心城区规划》、《南雄市九五期间医疗机构设置规划》、《南雄市兵役工作规定（试行）》、《南雄市关于禁止燃放烟花爆竹的决定》。</w:t>
      </w:r>
    </w:p>
    <w:p w14:paraId="5BE8FD31">
      <w:pPr>
        <w:ind w:firstLine="420"/>
        <w:rPr>
          <w:rFonts w:ascii="宋体" w:hAnsi="宋体"/>
          <w:szCs w:val="21"/>
        </w:rPr>
      </w:pPr>
      <w:r>
        <w:rPr>
          <w:rFonts w:hint="eastAsia" w:ascii="宋体" w:hAnsi="宋体"/>
          <w:szCs w:val="21"/>
        </w:rPr>
        <w:t>第十一届人大常委会举行</w:t>
      </w:r>
      <w:r>
        <w:rPr>
          <w:rFonts w:ascii="宋体" w:hAnsi="宋体"/>
          <w:szCs w:val="21"/>
        </w:rPr>
        <w:t>23次会议。重要决定有：《将香港黎灿先生捐资300万</w:t>
      </w:r>
      <w:r>
        <w:rPr>
          <w:rFonts w:hint="eastAsia" w:ascii="宋体" w:hAnsi="宋体"/>
          <w:szCs w:val="21"/>
        </w:rPr>
        <w:t>港元在雄州镇郊区兴建的学校命名为“黎灿学校”的决定》，批准《南雄历史文化保护区管理规定（试行）》和《南雄市珠玑巷历史文化保护区管理规定（试行）》以及《关于批准南雄金刚小区规划设计方案的决议》和《关于批准扩大禁止燃放烟花爆竹范围的决议》，《关于批准南雄市人民政府调整部分预算的决议》，《关于进一步开展法制宣传教育的决议》，《关于新城中学更名的决定》。</w:t>
      </w:r>
    </w:p>
    <w:p w14:paraId="0AD735A4">
      <w:pPr>
        <w:ind w:firstLine="422"/>
        <w:rPr>
          <w:rFonts w:ascii="宋体" w:hAnsi="宋体"/>
          <w:b/>
          <w:szCs w:val="21"/>
        </w:rPr>
      </w:pPr>
      <w:r>
        <w:rPr>
          <w:rFonts w:hint="eastAsia" w:ascii="宋体" w:hAnsi="宋体"/>
          <w:b/>
          <w:szCs w:val="21"/>
        </w:rPr>
        <w:t>（二）任免地方国家机关工作人员</w:t>
      </w:r>
    </w:p>
    <w:p w14:paraId="46DCAE1A">
      <w:pPr>
        <w:ind w:firstLine="420"/>
        <w:rPr>
          <w:rFonts w:ascii="宋体" w:hAnsi="宋体"/>
          <w:szCs w:val="21"/>
        </w:rPr>
      </w:pPr>
      <w:r>
        <w:rPr>
          <w:rFonts w:hint="eastAsia" w:ascii="宋体" w:hAnsi="宋体"/>
          <w:szCs w:val="21"/>
        </w:rPr>
        <w:t>县人大常委会在人民代表大会闭会期间，依法决定代市（县）长、法院代院长、检察院代检察长和个别副县长的任免。每次人大换届一周内，人大常委会决定政府机关委办主任和科局长的任免，决定人民法院副院长、法庭庭长、审判委员会委员、审判员以及人民检察院副检察长、检察员、检察委员会委员的重新任免。大会闭会期间对上述人员决定个别任免。</w:t>
      </w:r>
      <w:r>
        <w:rPr>
          <w:rFonts w:ascii="宋体" w:hAnsi="宋体"/>
          <w:szCs w:val="21"/>
        </w:rPr>
        <w:t>1987年起人大常委会决定干部任免采取无记名投票方式</w:t>
      </w:r>
      <w:r>
        <w:rPr>
          <w:rFonts w:hint="eastAsia" w:ascii="宋体" w:hAnsi="宋体"/>
          <w:szCs w:val="21"/>
        </w:rPr>
        <w:t>表决。</w:t>
      </w:r>
    </w:p>
    <w:p w14:paraId="01B3E5BD">
      <w:pPr>
        <w:ind w:firstLine="420"/>
        <w:rPr>
          <w:rFonts w:ascii="宋体" w:hAnsi="宋体"/>
          <w:szCs w:val="21"/>
        </w:rPr>
      </w:pPr>
      <w:r>
        <w:rPr>
          <w:rFonts w:hint="eastAsia" w:ascii="宋体" w:hAnsi="宋体"/>
          <w:szCs w:val="21"/>
        </w:rPr>
        <w:t>第六届人大常委会任命副县长</w:t>
      </w:r>
      <w:r>
        <w:rPr>
          <w:rFonts w:ascii="宋体" w:hAnsi="宋体"/>
          <w:szCs w:val="21"/>
        </w:rPr>
        <w:t>1名，委办主任6名，科局长35名，法院副院长2</w:t>
      </w:r>
      <w:r>
        <w:rPr>
          <w:rFonts w:hint="eastAsia" w:ascii="宋体" w:hAnsi="宋体"/>
          <w:szCs w:val="21"/>
        </w:rPr>
        <w:t>名，法庭庭长、审判员</w:t>
      </w:r>
      <w:r>
        <w:rPr>
          <w:rFonts w:ascii="宋体" w:hAnsi="宋体"/>
          <w:szCs w:val="21"/>
        </w:rPr>
        <w:t>3名，检察院检察员7名。免去委办主任1名，法院副院长1</w:t>
      </w:r>
      <w:r>
        <w:rPr>
          <w:rFonts w:hint="eastAsia" w:ascii="宋体" w:hAnsi="宋体"/>
          <w:szCs w:val="21"/>
        </w:rPr>
        <w:t>名，科局长</w:t>
      </w:r>
      <w:r>
        <w:rPr>
          <w:rFonts w:ascii="宋体" w:hAnsi="宋体"/>
          <w:szCs w:val="21"/>
        </w:rPr>
        <w:t>3名</w:t>
      </w:r>
      <w:r>
        <w:rPr>
          <w:rFonts w:hint="eastAsia" w:ascii="宋体" w:hAnsi="宋体"/>
          <w:szCs w:val="21"/>
        </w:rPr>
        <w:t>。</w:t>
      </w:r>
    </w:p>
    <w:p w14:paraId="3B797CD1">
      <w:pPr>
        <w:ind w:firstLine="420"/>
        <w:rPr>
          <w:rFonts w:ascii="宋体" w:hAnsi="宋体"/>
          <w:szCs w:val="21"/>
        </w:rPr>
      </w:pPr>
      <w:r>
        <w:rPr>
          <w:rFonts w:hint="eastAsia" w:ascii="宋体" w:hAnsi="宋体"/>
          <w:szCs w:val="21"/>
        </w:rPr>
        <w:t>第七届人大常委会任命副县长</w:t>
      </w:r>
      <w:r>
        <w:rPr>
          <w:rFonts w:ascii="宋体" w:hAnsi="宋体"/>
          <w:szCs w:val="21"/>
        </w:rPr>
        <w:t>3名（其中1名代理县长），委办主任14名，科局</w:t>
      </w:r>
      <w:r>
        <w:rPr>
          <w:rFonts w:hint="eastAsia" w:ascii="宋体" w:hAnsi="宋体"/>
          <w:szCs w:val="21"/>
        </w:rPr>
        <w:t>长</w:t>
      </w:r>
      <w:r>
        <w:rPr>
          <w:rFonts w:ascii="宋体" w:hAnsi="宋体"/>
          <w:szCs w:val="21"/>
        </w:rPr>
        <w:t>23名，法院副院长3名，法庭庭长23名，审判员、审判委员3名，检察院副检察</w:t>
      </w:r>
      <w:r>
        <w:rPr>
          <w:rFonts w:hint="eastAsia" w:ascii="宋体" w:hAnsi="宋体"/>
          <w:szCs w:val="21"/>
        </w:rPr>
        <w:t>长</w:t>
      </w:r>
      <w:r>
        <w:rPr>
          <w:rFonts w:ascii="宋体" w:hAnsi="宋体"/>
          <w:szCs w:val="21"/>
        </w:rPr>
        <w:t>3名，检察员、检察委员会委员17名，免去副县长1名，委办主任5名，科局长6</w:t>
      </w:r>
      <w:r>
        <w:rPr>
          <w:rFonts w:hint="eastAsia" w:ascii="宋体" w:hAnsi="宋体"/>
          <w:szCs w:val="21"/>
        </w:rPr>
        <w:t>名，法院副院长</w:t>
      </w:r>
      <w:r>
        <w:rPr>
          <w:rFonts w:ascii="宋体" w:hAnsi="宋体"/>
          <w:szCs w:val="21"/>
        </w:rPr>
        <w:t>1名，法庭庭长12名。</w:t>
      </w:r>
    </w:p>
    <w:p w14:paraId="74D05623">
      <w:pPr>
        <w:ind w:firstLine="420"/>
        <w:rPr>
          <w:rFonts w:ascii="宋体" w:hAnsi="宋体"/>
          <w:szCs w:val="21"/>
        </w:rPr>
      </w:pPr>
      <w:r>
        <w:rPr>
          <w:rFonts w:hint="eastAsia" w:ascii="宋体" w:hAnsi="宋体"/>
          <w:szCs w:val="21"/>
        </w:rPr>
        <w:t>八届人大常委会</w:t>
      </w:r>
      <w:r>
        <w:rPr>
          <w:rFonts w:ascii="宋体" w:hAnsi="宋体"/>
          <w:szCs w:val="21"/>
        </w:rPr>
        <w:t>1988年任命县政府组成人员10名（副县长1名），批准任命审</w:t>
      </w:r>
      <w:r>
        <w:rPr>
          <w:rFonts w:hint="eastAsia" w:ascii="宋体" w:hAnsi="宋体"/>
          <w:szCs w:val="21"/>
        </w:rPr>
        <w:t>判、检察人员</w:t>
      </w:r>
      <w:r>
        <w:rPr>
          <w:rFonts w:ascii="宋体" w:hAnsi="宋体"/>
          <w:szCs w:val="21"/>
        </w:rPr>
        <w:t>8名；1989年任命政府组成人员10名（副县长2名），免职4名（副</w:t>
      </w:r>
      <w:r>
        <w:rPr>
          <w:rFonts w:hint="eastAsia" w:ascii="宋体" w:hAnsi="宋体"/>
          <w:szCs w:val="21"/>
        </w:rPr>
        <w:t>县长</w:t>
      </w:r>
      <w:r>
        <w:rPr>
          <w:rFonts w:ascii="宋体" w:hAnsi="宋体"/>
          <w:szCs w:val="21"/>
        </w:rPr>
        <w:t>2名），批准任命检察院副检察长1名，批准任命审判、检察人员15名，免职10名</w:t>
      </w:r>
      <w:r>
        <w:rPr>
          <w:rFonts w:hint="eastAsia" w:ascii="宋体" w:hAnsi="宋体"/>
          <w:szCs w:val="21"/>
        </w:rPr>
        <w:t>。</w:t>
      </w:r>
    </w:p>
    <w:p w14:paraId="532AC339">
      <w:pPr>
        <w:ind w:firstLine="420"/>
        <w:rPr>
          <w:rFonts w:ascii="宋体" w:hAnsi="宋体"/>
          <w:szCs w:val="21"/>
        </w:rPr>
      </w:pPr>
      <w:r>
        <w:rPr>
          <w:rFonts w:hint="eastAsia" w:ascii="宋体" w:hAnsi="宋体"/>
          <w:szCs w:val="21"/>
        </w:rPr>
        <w:t>九届人大常委会</w:t>
      </w:r>
      <w:r>
        <w:rPr>
          <w:rFonts w:ascii="宋体" w:hAnsi="宋体"/>
          <w:szCs w:val="21"/>
        </w:rPr>
        <w:t>1990年至1992年共任命代县长2名，副县长7名，政府部门主</w:t>
      </w:r>
      <w:r>
        <w:rPr>
          <w:rFonts w:hint="eastAsia" w:ascii="宋体" w:hAnsi="宋体"/>
          <w:szCs w:val="21"/>
        </w:rPr>
        <w:t>要负责人</w:t>
      </w:r>
      <w:r>
        <w:rPr>
          <w:rFonts w:ascii="宋体" w:hAnsi="宋体"/>
          <w:szCs w:val="21"/>
        </w:rPr>
        <w:t>77名，免职19名。任命审判、检察机关审判员、检察员40名，免职21</w:t>
      </w:r>
      <w:r>
        <w:rPr>
          <w:rFonts w:hint="eastAsia" w:ascii="宋体" w:hAnsi="宋体"/>
          <w:szCs w:val="21"/>
        </w:rPr>
        <w:t>名。此外，分别同意了县长</w:t>
      </w:r>
      <w:r>
        <w:rPr>
          <w:rFonts w:ascii="宋体" w:hAnsi="宋体"/>
          <w:szCs w:val="21"/>
        </w:rPr>
        <w:t>2名、副县长4名、人大常委会副主任1名，委员4名的</w:t>
      </w:r>
      <w:r>
        <w:rPr>
          <w:rFonts w:hint="eastAsia" w:ascii="宋体" w:hAnsi="宋体"/>
          <w:szCs w:val="21"/>
        </w:rPr>
        <w:t>辞职申请，暂缓表决</w:t>
      </w:r>
      <w:r>
        <w:rPr>
          <w:rFonts w:ascii="宋体" w:hAnsi="宋体"/>
          <w:szCs w:val="21"/>
        </w:rPr>
        <w:t>2名</w:t>
      </w:r>
      <w:r>
        <w:rPr>
          <w:rFonts w:hint="eastAsia" w:ascii="宋体" w:hAnsi="宋体"/>
          <w:szCs w:val="21"/>
        </w:rPr>
        <w:t>。</w:t>
      </w:r>
    </w:p>
    <w:p w14:paraId="4FEB880B">
      <w:pPr>
        <w:ind w:firstLine="420"/>
        <w:rPr>
          <w:rFonts w:ascii="宋体" w:hAnsi="宋体"/>
          <w:szCs w:val="21"/>
        </w:rPr>
      </w:pPr>
      <w:r>
        <w:rPr>
          <w:rFonts w:hint="eastAsia" w:ascii="宋体" w:hAnsi="宋体"/>
          <w:szCs w:val="21"/>
        </w:rPr>
        <w:t>第十届人大常委会共任命代市（县）长</w:t>
      </w:r>
      <w:r>
        <w:rPr>
          <w:rFonts w:ascii="宋体" w:hAnsi="宋体"/>
          <w:szCs w:val="21"/>
        </w:rPr>
        <w:t>1名，副市（县）长12名，国家行政机</w:t>
      </w:r>
      <w:r>
        <w:rPr>
          <w:rFonts w:hint="eastAsia" w:ascii="宋体" w:hAnsi="宋体"/>
          <w:szCs w:val="21"/>
        </w:rPr>
        <w:t>关委、办主任、局长</w:t>
      </w:r>
      <w:r>
        <w:rPr>
          <w:rFonts w:ascii="宋体" w:hAnsi="宋体"/>
          <w:szCs w:val="21"/>
        </w:rPr>
        <w:t>92名，免去国家行政机关委、办主任，局长42名，任命审判</w:t>
      </w:r>
      <w:r>
        <w:rPr>
          <w:rFonts w:hint="eastAsia" w:ascii="宋体" w:hAnsi="宋体"/>
          <w:szCs w:val="21"/>
        </w:rPr>
        <w:t>员、检察员</w:t>
      </w:r>
      <w:r>
        <w:rPr>
          <w:rFonts w:ascii="宋体" w:hAnsi="宋体"/>
          <w:szCs w:val="21"/>
        </w:rPr>
        <w:t>113名，免去审判员、检察员职务56名，分别同意市（县）长2名、副</w:t>
      </w:r>
      <w:r>
        <w:rPr>
          <w:rFonts w:hint="eastAsia" w:ascii="宋体" w:hAnsi="宋体"/>
          <w:szCs w:val="21"/>
        </w:rPr>
        <w:t>市县长</w:t>
      </w:r>
      <w:r>
        <w:rPr>
          <w:rFonts w:ascii="宋体" w:hAnsi="宋体"/>
          <w:szCs w:val="21"/>
        </w:rPr>
        <w:t>10名、人大常委会正、副主任5名、委员5名的辞职报告。暂缓表决任命3名。</w:t>
      </w:r>
    </w:p>
    <w:p w14:paraId="15B41C01">
      <w:pPr>
        <w:ind w:firstLine="420"/>
        <w:rPr>
          <w:rFonts w:ascii="宋体" w:hAnsi="宋体"/>
          <w:szCs w:val="21"/>
        </w:rPr>
      </w:pPr>
      <w:r>
        <w:rPr>
          <w:rFonts w:hint="eastAsia" w:ascii="宋体" w:hAnsi="宋体"/>
          <w:szCs w:val="21"/>
        </w:rPr>
        <w:t>第十一届人大常委会共任命“一府两院”等机关工作人员</w:t>
      </w:r>
      <w:r>
        <w:rPr>
          <w:rFonts w:ascii="宋体" w:hAnsi="宋体"/>
          <w:szCs w:val="21"/>
        </w:rPr>
        <w:t>142名，其中代市长1</w:t>
      </w:r>
      <w:r>
        <w:rPr>
          <w:rFonts w:hint="eastAsia" w:ascii="宋体" w:hAnsi="宋体"/>
          <w:szCs w:val="21"/>
        </w:rPr>
        <w:t>名、副市长</w:t>
      </w:r>
      <w:r>
        <w:rPr>
          <w:rFonts w:ascii="宋体" w:hAnsi="宋体"/>
          <w:szCs w:val="21"/>
        </w:rPr>
        <w:t>4名、科局长57名、人大机关委办主任8名、审判员49名、市人民检察</w:t>
      </w:r>
      <w:r>
        <w:rPr>
          <w:rFonts w:hint="eastAsia" w:ascii="宋体" w:hAnsi="宋体"/>
          <w:szCs w:val="21"/>
        </w:rPr>
        <w:t>院副检察长</w:t>
      </w:r>
      <w:r>
        <w:rPr>
          <w:rFonts w:ascii="宋体" w:hAnsi="宋体"/>
          <w:szCs w:val="21"/>
        </w:rPr>
        <w:t>1名、检察委员会委员20名；免去领导职务32名，其中副市长1名、科</w:t>
      </w:r>
      <w:r>
        <w:rPr>
          <w:rFonts w:hint="eastAsia" w:ascii="宋体" w:hAnsi="宋体"/>
          <w:szCs w:val="21"/>
        </w:rPr>
        <w:t>局长</w:t>
      </w:r>
      <w:r>
        <w:rPr>
          <w:rFonts w:ascii="宋体" w:hAnsi="宋体"/>
          <w:szCs w:val="21"/>
        </w:rPr>
        <w:t>7名、审判员22名、检察委员会委员2名</w:t>
      </w:r>
      <w:r>
        <w:rPr>
          <w:rFonts w:hint="eastAsia" w:ascii="宋体" w:hAnsi="宋体"/>
          <w:szCs w:val="21"/>
        </w:rPr>
        <w:t>。</w:t>
      </w:r>
    </w:p>
    <w:p w14:paraId="4AB06D59">
      <w:pPr>
        <w:ind w:firstLine="420"/>
        <w:rPr>
          <w:rFonts w:ascii="宋体" w:hAnsi="宋体"/>
          <w:szCs w:val="21"/>
        </w:rPr>
      </w:pPr>
      <w:r>
        <w:rPr>
          <w:rFonts w:hint="eastAsia" w:ascii="宋体" w:hAnsi="宋体"/>
          <w:szCs w:val="21"/>
        </w:rPr>
        <w:t>第十二届人大常委会</w:t>
      </w:r>
      <w:r>
        <w:rPr>
          <w:rFonts w:ascii="宋体" w:hAnsi="宋体"/>
          <w:szCs w:val="21"/>
        </w:rPr>
        <w:t>2002年至2004年3年间，共任命干部73名，其中代市长1</w:t>
      </w:r>
      <w:r>
        <w:rPr>
          <w:rFonts w:hint="eastAsia" w:ascii="宋体" w:hAnsi="宋体"/>
          <w:szCs w:val="21"/>
        </w:rPr>
        <w:t>名，副市长</w:t>
      </w:r>
      <w:r>
        <w:rPr>
          <w:rFonts w:ascii="宋体" w:hAnsi="宋体"/>
          <w:szCs w:val="21"/>
        </w:rPr>
        <w:t>1名，科局长31名；法院副院长2名，审判员28名；副检察长1名，检</w:t>
      </w:r>
      <w:r>
        <w:rPr>
          <w:rFonts w:hint="eastAsia" w:ascii="宋体" w:hAnsi="宋体"/>
          <w:szCs w:val="21"/>
        </w:rPr>
        <w:t>察委员会委员</w:t>
      </w:r>
      <w:r>
        <w:rPr>
          <w:rFonts w:ascii="宋体" w:hAnsi="宋体"/>
          <w:szCs w:val="21"/>
        </w:rPr>
        <w:t>9名。免职50名，其中副市长4名、科局长6名、法院副院长1名</w:t>
      </w:r>
      <w:r>
        <w:rPr>
          <w:rFonts w:hint="eastAsia" w:ascii="宋体" w:hAnsi="宋体"/>
          <w:szCs w:val="21"/>
        </w:rPr>
        <w:t>、审判员</w:t>
      </w:r>
      <w:r>
        <w:rPr>
          <w:rFonts w:ascii="宋体" w:hAnsi="宋体"/>
          <w:szCs w:val="21"/>
        </w:rPr>
        <w:t>34名、副检察长1名、检察委员会委员4名。</w:t>
      </w:r>
    </w:p>
    <w:p w14:paraId="76877583">
      <w:pPr>
        <w:ind w:firstLine="422"/>
        <w:rPr>
          <w:rFonts w:ascii="宋体" w:hAnsi="宋体"/>
          <w:b/>
          <w:szCs w:val="21"/>
        </w:rPr>
      </w:pPr>
      <w:r>
        <w:rPr>
          <w:rFonts w:hint="eastAsia" w:ascii="宋体" w:hAnsi="宋体"/>
          <w:b/>
          <w:szCs w:val="21"/>
        </w:rPr>
        <w:t>（三）组织人大代表视察</w:t>
      </w:r>
    </w:p>
    <w:p w14:paraId="7F49A5E2">
      <w:pPr>
        <w:ind w:firstLine="420"/>
        <w:rPr>
          <w:rFonts w:ascii="宋体" w:hAnsi="宋体"/>
          <w:szCs w:val="21"/>
        </w:rPr>
      </w:pPr>
      <w:r>
        <w:rPr>
          <w:rFonts w:hint="eastAsia" w:ascii="宋体" w:hAnsi="宋体"/>
          <w:szCs w:val="21"/>
        </w:rPr>
        <w:t>六届人大常委会组织人大代表视察</w:t>
      </w:r>
      <w:r>
        <w:rPr>
          <w:rFonts w:ascii="宋体" w:hAnsi="宋体"/>
          <w:szCs w:val="21"/>
        </w:rPr>
        <w:t>12次，平均每年视察4次。1980年组织2次</w:t>
      </w:r>
      <w:r>
        <w:rPr>
          <w:rFonts w:hint="eastAsia" w:ascii="宋体" w:hAnsi="宋体"/>
          <w:szCs w:val="21"/>
        </w:rPr>
        <w:t>视察教育结构改革以及农村经济政策落实和老区建设。</w:t>
      </w:r>
      <w:r>
        <w:rPr>
          <w:rFonts w:ascii="宋体" w:hAnsi="宋体"/>
          <w:szCs w:val="21"/>
        </w:rPr>
        <w:t>1982年，省、县人大代表对</w:t>
      </w:r>
      <w:r>
        <w:rPr>
          <w:rFonts w:hint="eastAsia" w:ascii="宋体" w:hAnsi="宋体"/>
          <w:szCs w:val="21"/>
        </w:rPr>
        <w:t>县城</w:t>
      </w:r>
      <w:r>
        <w:rPr>
          <w:rFonts w:ascii="宋体" w:hAnsi="宋体"/>
          <w:szCs w:val="21"/>
        </w:rPr>
        <w:t>42个单位的环境卫生工作进行视察。1983年省人大代表专题视察本市（县）贯</w:t>
      </w:r>
      <w:r>
        <w:rPr>
          <w:rFonts w:hint="eastAsia" w:ascii="宋体" w:hAnsi="宋体"/>
          <w:szCs w:val="21"/>
        </w:rPr>
        <w:t>彻执行全国人大常委会《关于严惩严重危害社会治安的犯罪分子的决定》、《关于迅速审判严重危害社会治安的犯罪分子的程序的决定》情况。</w:t>
      </w:r>
    </w:p>
    <w:p w14:paraId="54F6C5C1">
      <w:pPr>
        <w:ind w:firstLine="420"/>
        <w:rPr>
          <w:rFonts w:ascii="宋体" w:hAnsi="宋体"/>
          <w:szCs w:val="21"/>
        </w:rPr>
      </w:pPr>
      <w:r>
        <w:rPr>
          <w:rFonts w:hint="eastAsia" w:ascii="宋体" w:hAnsi="宋体"/>
          <w:szCs w:val="21"/>
        </w:rPr>
        <w:t>七届人大常委会组织人大代表视察</w:t>
      </w:r>
      <w:r>
        <w:rPr>
          <w:rFonts w:ascii="宋体" w:hAnsi="宋体"/>
          <w:szCs w:val="21"/>
        </w:rPr>
        <w:t>7次，先后视察城乡建设，纠正三乱（乱罚</w:t>
      </w:r>
      <w:r>
        <w:rPr>
          <w:rFonts w:hint="eastAsia" w:ascii="宋体" w:hAnsi="宋体"/>
          <w:szCs w:val="21"/>
        </w:rPr>
        <w:t>款、乱收费、乱涨价），贯彻执行《中华人民共和国森林法》、《中华人民共和国食品卫生法》，以及贯彻执行省人大常委会《关于治理北江上游水土流失决议》情况。</w:t>
      </w:r>
    </w:p>
    <w:p w14:paraId="5B319663">
      <w:pPr>
        <w:ind w:firstLine="420"/>
        <w:rPr>
          <w:rFonts w:ascii="宋体" w:hAnsi="宋体"/>
          <w:szCs w:val="21"/>
        </w:rPr>
      </w:pPr>
      <w:r>
        <w:rPr>
          <w:rFonts w:hint="eastAsia" w:ascii="宋体" w:hAnsi="宋体"/>
          <w:szCs w:val="21"/>
        </w:rPr>
        <w:t>八届人大常委会组织人大代表视察情况：</w:t>
      </w:r>
    </w:p>
    <w:p w14:paraId="19B7A003">
      <w:pPr>
        <w:ind w:firstLine="420"/>
        <w:rPr>
          <w:rFonts w:ascii="宋体" w:hAnsi="宋体"/>
          <w:szCs w:val="21"/>
        </w:rPr>
      </w:pPr>
      <w:r>
        <w:rPr>
          <w:rFonts w:ascii="宋体" w:hAnsi="宋体"/>
          <w:szCs w:val="21"/>
        </w:rPr>
        <w:t>1987年4月，部分县人大常委会委员和县城部分县人大代表，对县城10个单位</w:t>
      </w:r>
      <w:r>
        <w:rPr>
          <w:rFonts w:hint="eastAsia" w:ascii="宋体" w:hAnsi="宋体"/>
          <w:szCs w:val="21"/>
        </w:rPr>
        <w:t>的普及法律常识工作进行视察。</w:t>
      </w:r>
      <w:r>
        <w:rPr>
          <w:rFonts w:ascii="宋体" w:hAnsi="宋体"/>
          <w:szCs w:val="21"/>
        </w:rPr>
        <w:t>6月，县人大代表以小组为单位就地视察《中华人民</w:t>
      </w:r>
      <w:r>
        <w:rPr>
          <w:rFonts w:hint="eastAsia" w:ascii="宋体" w:hAnsi="宋体"/>
          <w:szCs w:val="21"/>
        </w:rPr>
        <w:t>共和国森林法》、《中华人民共和国土地管理法》贯彻执行情况。</w:t>
      </w:r>
      <w:r>
        <w:rPr>
          <w:rFonts w:ascii="宋体" w:hAnsi="宋体"/>
          <w:szCs w:val="21"/>
        </w:rPr>
        <w:t>7月，在县的省人大</w:t>
      </w:r>
      <w:r>
        <w:rPr>
          <w:rFonts w:hint="eastAsia" w:ascii="宋体" w:hAnsi="宋体"/>
          <w:szCs w:val="21"/>
        </w:rPr>
        <w:t>代表和市与县、乡镇人大代表对贯彻执行《中华人民共和国环境保护法（试行）》情况进行视察。</w:t>
      </w:r>
      <w:r>
        <w:rPr>
          <w:rFonts w:ascii="宋体" w:hAnsi="宋体"/>
          <w:szCs w:val="21"/>
        </w:rPr>
        <w:t>12月，在乡镇的县人大代表就地视察《中华人民共和国土地管理法》</w:t>
      </w:r>
      <w:r>
        <w:rPr>
          <w:rFonts w:hint="eastAsia" w:ascii="宋体" w:hAnsi="宋体"/>
          <w:szCs w:val="21"/>
        </w:rPr>
        <w:t>《中华人民共和国森林法》《中华人民共和国婚姻法》贯彻执行情况。</w:t>
      </w:r>
    </w:p>
    <w:p w14:paraId="60583754">
      <w:pPr>
        <w:ind w:firstLine="420"/>
        <w:rPr>
          <w:rFonts w:ascii="宋体" w:hAnsi="宋体"/>
          <w:szCs w:val="21"/>
        </w:rPr>
      </w:pPr>
      <w:r>
        <w:rPr>
          <w:rFonts w:ascii="宋体" w:hAnsi="宋体"/>
          <w:szCs w:val="21"/>
        </w:rPr>
        <w:t>1988年3月，在县的韶关市人大代表视察春耕生产和乡镇企业，并由代表持证</w:t>
      </w:r>
      <w:r>
        <w:rPr>
          <w:rFonts w:hint="eastAsia" w:ascii="宋体" w:hAnsi="宋体"/>
          <w:szCs w:val="21"/>
        </w:rPr>
        <w:t>视察市场物价。</w:t>
      </w:r>
      <w:r>
        <w:rPr>
          <w:rFonts w:ascii="宋体" w:hAnsi="宋体"/>
          <w:szCs w:val="21"/>
        </w:rPr>
        <w:t>5月，在乡镇的县人大代表就地视察《中华人民共和国婚姻法》和</w:t>
      </w:r>
      <w:r>
        <w:rPr>
          <w:rFonts w:hint="eastAsia" w:ascii="宋体" w:hAnsi="宋体"/>
          <w:szCs w:val="21"/>
        </w:rPr>
        <w:t>《中华人民共和国计划生育条例》执行情况。</w:t>
      </w:r>
      <w:r>
        <w:rPr>
          <w:rFonts w:ascii="宋体" w:hAnsi="宋体"/>
          <w:szCs w:val="21"/>
        </w:rPr>
        <w:t>6月，县人大常委会委员和部分县人大</w:t>
      </w:r>
      <w:r>
        <w:rPr>
          <w:rFonts w:hint="eastAsia" w:ascii="宋体" w:hAnsi="宋体"/>
          <w:szCs w:val="21"/>
        </w:rPr>
        <w:t>代表专题视察普及法律常识工作。</w:t>
      </w:r>
    </w:p>
    <w:p w14:paraId="61D4AC49">
      <w:pPr>
        <w:ind w:firstLine="420"/>
        <w:rPr>
          <w:rFonts w:ascii="宋体" w:hAnsi="宋体"/>
          <w:szCs w:val="21"/>
        </w:rPr>
      </w:pPr>
      <w:r>
        <w:rPr>
          <w:rFonts w:ascii="宋体" w:hAnsi="宋体"/>
          <w:szCs w:val="21"/>
        </w:rPr>
        <w:t>1989年4月至7月，在中共南雄县委统一组织下，开展经济法规大检</w:t>
      </w:r>
      <w:r>
        <w:rPr>
          <w:rFonts w:hint="eastAsia" w:ascii="宋体" w:hAnsi="宋体"/>
          <w:szCs w:val="21"/>
        </w:rPr>
        <w:t>查</w:t>
      </w:r>
      <w:r>
        <w:rPr>
          <w:rFonts w:ascii="宋体" w:hAnsi="宋体"/>
          <w:szCs w:val="21"/>
        </w:rPr>
        <w:t>。8月，</w:t>
      </w:r>
      <w:r>
        <w:rPr>
          <w:rFonts w:hint="eastAsia" w:ascii="宋体" w:hAnsi="宋体"/>
          <w:szCs w:val="21"/>
        </w:rPr>
        <w:t>县人大常委和部分县人大代表视察《中华人民共和国水法》和绿化红砂岭决议执行情况。</w:t>
      </w:r>
    </w:p>
    <w:p w14:paraId="4684DB4D">
      <w:pPr>
        <w:ind w:firstLine="420"/>
        <w:rPr>
          <w:rFonts w:ascii="宋体" w:hAnsi="宋体"/>
          <w:szCs w:val="21"/>
        </w:rPr>
      </w:pPr>
      <w:r>
        <w:rPr>
          <w:rFonts w:hint="eastAsia" w:ascii="宋体" w:hAnsi="宋体"/>
          <w:szCs w:val="21"/>
        </w:rPr>
        <w:t>九届人大常委会组织人大代表视察</w:t>
      </w:r>
      <w:r>
        <w:rPr>
          <w:rFonts w:ascii="宋体" w:hAnsi="宋体"/>
          <w:szCs w:val="21"/>
        </w:rPr>
        <w:t>10次。1990年6月，县人大常委会委员和部</w:t>
      </w:r>
      <w:r>
        <w:rPr>
          <w:rFonts w:hint="eastAsia" w:ascii="宋体" w:hAnsi="宋体"/>
          <w:szCs w:val="21"/>
        </w:rPr>
        <w:t>分县人大代表视察《中华人民共和国食品卫生法》执行情况。</w:t>
      </w:r>
      <w:r>
        <w:rPr>
          <w:rFonts w:ascii="宋体" w:hAnsi="宋体"/>
          <w:szCs w:val="21"/>
        </w:rPr>
        <w:t>8月，视察造林绿化及</w:t>
      </w:r>
      <w:r>
        <w:rPr>
          <w:rFonts w:hint="eastAsia" w:ascii="宋体" w:hAnsi="宋体"/>
          <w:szCs w:val="21"/>
        </w:rPr>
        <w:t>大办绿色企业情况。</w:t>
      </w:r>
      <w:r>
        <w:rPr>
          <w:rFonts w:ascii="宋体" w:hAnsi="宋体"/>
          <w:szCs w:val="21"/>
        </w:rPr>
        <w:t>1991年1月，在本县的韶关市人大代表就地视察经济发展和廉</w:t>
      </w:r>
      <w:r>
        <w:rPr>
          <w:rFonts w:hint="eastAsia" w:ascii="宋体" w:hAnsi="宋体"/>
          <w:szCs w:val="21"/>
        </w:rPr>
        <w:t>政建设情况。</w:t>
      </w:r>
      <w:r>
        <w:rPr>
          <w:rFonts w:ascii="宋体" w:hAnsi="宋体"/>
          <w:szCs w:val="21"/>
        </w:rPr>
        <w:t>5月，视察《中华人民共和国计量法》执行情况。9月，在乡镇的县人</w:t>
      </w:r>
      <w:r>
        <w:rPr>
          <w:rFonts w:hint="eastAsia" w:ascii="宋体" w:hAnsi="宋体"/>
          <w:szCs w:val="21"/>
        </w:rPr>
        <w:t>大代表就地视察计划生育、农田水利建设情况。</w:t>
      </w:r>
      <w:r>
        <w:rPr>
          <w:rFonts w:ascii="宋体" w:hAnsi="宋体"/>
          <w:szCs w:val="21"/>
        </w:rPr>
        <w:t>1992年组织代表视察5次，参加者148人次，先后对深化改革，扩大开放，利用科技进步，加快经济发展步伐以及《国</w:t>
      </w:r>
      <w:r>
        <w:rPr>
          <w:rFonts w:hint="eastAsia" w:ascii="宋体" w:hAnsi="宋体"/>
          <w:szCs w:val="21"/>
        </w:rPr>
        <w:t>营企业转换经营机制条例》的执行情况等进行专题视察。</w:t>
      </w:r>
    </w:p>
    <w:p w14:paraId="48B56C97">
      <w:pPr>
        <w:ind w:firstLine="420"/>
        <w:rPr>
          <w:rFonts w:ascii="宋体" w:hAnsi="宋体"/>
          <w:szCs w:val="21"/>
        </w:rPr>
      </w:pPr>
      <w:r>
        <w:rPr>
          <w:rFonts w:hint="eastAsia" w:ascii="宋体" w:hAnsi="宋体"/>
          <w:szCs w:val="21"/>
        </w:rPr>
        <w:t>十届人大常委会组织代表视察情况：</w:t>
      </w:r>
    </w:p>
    <w:p w14:paraId="6C7E7E05">
      <w:pPr>
        <w:ind w:firstLine="420"/>
        <w:rPr>
          <w:rFonts w:ascii="宋体" w:hAnsi="宋体"/>
          <w:szCs w:val="21"/>
        </w:rPr>
      </w:pPr>
      <w:r>
        <w:rPr>
          <w:rFonts w:ascii="宋体" w:hAnsi="宋体"/>
          <w:szCs w:val="21"/>
        </w:rPr>
        <w:t>1994年9月下旬组织233名县十届人大代表，分成29个小组，分别对全县12个</w:t>
      </w:r>
      <w:r>
        <w:rPr>
          <w:rFonts w:hint="eastAsia" w:ascii="宋体" w:hAnsi="宋体"/>
          <w:szCs w:val="21"/>
        </w:rPr>
        <w:t>单位和</w:t>
      </w:r>
      <w:r>
        <w:rPr>
          <w:rFonts w:ascii="宋体" w:hAnsi="宋体"/>
          <w:szCs w:val="21"/>
        </w:rPr>
        <w:t>31户“三大户”的工作和生产情况进行了视察，向政府提出了加强市场和物</w:t>
      </w:r>
      <w:r>
        <w:rPr>
          <w:rFonts w:hint="eastAsia" w:ascii="宋体" w:hAnsi="宋体"/>
          <w:szCs w:val="21"/>
        </w:rPr>
        <w:t>价管理，严格控制物价上涨，采取倾斜政策，扶持山区及“三大户”发展的具体意见和建议。</w:t>
      </w:r>
    </w:p>
    <w:p w14:paraId="49971253">
      <w:pPr>
        <w:ind w:firstLine="420"/>
        <w:rPr>
          <w:rFonts w:ascii="宋体" w:hAnsi="宋体"/>
          <w:szCs w:val="21"/>
        </w:rPr>
      </w:pPr>
      <w:r>
        <w:rPr>
          <w:rFonts w:ascii="宋体" w:hAnsi="宋体"/>
          <w:szCs w:val="21"/>
        </w:rPr>
        <w:t>1995年9月下旬，组织市、县、镇人大代表至20多间中小学视察《中华人民共</w:t>
      </w:r>
      <w:r>
        <w:rPr>
          <w:rFonts w:hint="eastAsia" w:ascii="宋体" w:hAnsi="宋体"/>
          <w:szCs w:val="21"/>
        </w:rPr>
        <w:t>和国教师法》贯彻落实情况。</w:t>
      </w:r>
      <w:r>
        <w:rPr>
          <w:rFonts w:ascii="宋体" w:hAnsi="宋体"/>
          <w:szCs w:val="21"/>
        </w:rPr>
        <w:t>12月组织29名韶关市人大代表视察南雄县白果生产情</w:t>
      </w:r>
      <w:r>
        <w:rPr>
          <w:rFonts w:hint="eastAsia" w:ascii="宋体" w:hAnsi="宋体"/>
          <w:szCs w:val="21"/>
        </w:rPr>
        <w:t>况和行政事业单位收费情况。</w:t>
      </w:r>
    </w:p>
    <w:p w14:paraId="23EB67B4">
      <w:pPr>
        <w:ind w:firstLine="420"/>
        <w:rPr>
          <w:rFonts w:ascii="宋体" w:hAnsi="宋体"/>
          <w:szCs w:val="21"/>
        </w:rPr>
      </w:pPr>
      <w:r>
        <w:rPr>
          <w:rFonts w:ascii="宋体" w:hAnsi="宋体"/>
          <w:szCs w:val="21"/>
        </w:rPr>
        <w:t>19</w:t>
      </w:r>
      <w:r>
        <w:rPr>
          <w:rFonts w:hint="eastAsia" w:ascii="宋体" w:hAnsi="宋体"/>
          <w:szCs w:val="21"/>
        </w:rPr>
        <w:t>9</w:t>
      </w:r>
      <w:r>
        <w:rPr>
          <w:rFonts w:ascii="宋体" w:hAnsi="宋体"/>
          <w:szCs w:val="21"/>
        </w:rPr>
        <w:t>6年3月人大常委会组成人员视察政府五个职能部门（农委、经委、建委、</w:t>
      </w:r>
      <w:r>
        <w:rPr>
          <w:rFonts w:hint="eastAsia" w:ascii="宋体" w:hAnsi="宋体"/>
          <w:szCs w:val="21"/>
        </w:rPr>
        <w:t>财委、外经委）关于发展“三高四化”农业及各职能部门所属工商企业运行情况。</w:t>
      </w:r>
      <w:r>
        <w:rPr>
          <w:rFonts w:ascii="宋体" w:hAnsi="宋体"/>
          <w:szCs w:val="21"/>
        </w:rPr>
        <w:t>6</w:t>
      </w:r>
      <w:r>
        <w:rPr>
          <w:rFonts w:hint="eastAsia" w:ascii="宋体" w:hAnsi="宋体"/>
          <w:szCs w:val="21"/>
        </w:rPr>
        <w:t>月下旬组织代表视察贯彻执行《中华人民共和国环境保护法》情况。</w:t>
      </w:r>
      <w:r>
        <w:rPr>
          <w:rFonts w:ascii="宋体" w:hAnsi="宋体"/>
          <w:szCs w:val="21"/>
        </w:rPr>
        <w:t>9月初人大常委</w:t>
      </w:r>
      <w:r>
        <w:rPr>
          <w:rFonts w:hint="eastAsia" w:ascii="宋体" w:hAnsi="宋体"/>
          <w:szCs w:val="21"/>
        </w:rPr>
        <w:t>会组成人员视察《中华人民共和国中国人民银行法》、《中华人民共和国商业银行法》贯彻执行情况。</w:t>
      </w:r>
    </w:p>
    <w:p w14:paraId="44CFA6C3">
      <w:pPr>
        <w:ind w:firstLine="420"/>
        <w:rPr>
          <w:rFonts w:ascii="宋体" w:hAnsi="宋体"/>
          <w:szCs w:val="21"/>
        </w:rPr>
      </w:pPr>
      <w:r>
        <w:rPr>
          <w:rFonts w:ascii="宋体" w:hAnsi="宋体"/>
          <w:szCs w:val="21"/>
        </w:rPr>
        <w:t>1997年，组织代表对《中华人民共和国代表法》、《中华人民共和国农业法》</w:t>
      </w:r>
      <w:r>
        <w:rPr>
          <w:rFonts w:hint="eastAsia" w:ascii="宋体" w:hAnsi="宋体"/>
          <w:szCs w:val="21"/>
        </w:rPr>
        <w:t>、《中华人民共和国林业法》、《</w:t>
      </w:r>
      <w:r>
        <w:rPr>
          <w:rFonts w:hint="eastAsia" w:ascii="宋体" w:hAnsi="宋体"/>
          <w:szCs w:val="21"/>
          <w:lang w:eastAsia="zh-CN"/>
        </w:rPr>
        <w:t>中华人民共和国土地管理法</w:t>
      </w:r>
      <w:r>
        <w:rPr>
          <w:rFonts w:hint="eastAsia" w:ascii="宋体" w:hAnsi="宋体"/>
          <w:szCs w:val="21"/>
        </w:rPr>
        <w:t>》、《中华人民共和国水污染防治法》、《中华人民共和国环境保护法》、《中华人民共和国行政诉讼法》、</w:t>
      </w:r>
      <w:r>
        <w:rPr>
          <w:rFonts w:hint="eastAsia" w:ascii="宋体" w:hAnsi="宋体"/>
          <w:szCs w:val="21"/>
          <w:lang w:eastAsia="zh-CN"/>
        </w:rPr>
        <w:t>《中华人民共和国人民警察法》</w:t>
      </w:r>
      <w:r>
        <w:rPr>
          <w:rFonts w:hint="eastAsia" w:ascii="宋体" w:hAnsi="宋体"/>
          <w:szCs w:val="21"/>
        </w:rPr>
        <w:t>等在本县贯彻实施情况进行视察。</w:t>
      </w:r>
    </w:p>
    <w:p w14:paraId="65D3B03C">
      <w:pPr>
        <w:ind w:firstLine="420"/>
        <w:rPr>
          <w:rFonts w:ascii="宋体" w:hAnsi="宋体"/>
          <w:szCs w:val="21"/>
        </w:rPr>
      </w:pPr>
      <w:r>
        <w:rPr>
          <w:rFonts w:hint="eastAsia" w:ascii="宋体" w:hAnsi="宋体"/>
          <w:szCs w:val="21"/>
        </w:rPr>
        <w:t>十一届人大常委员会组织人大代表视察情况：</w:t>
      </w:r>
    </w:p>
    <w:p w14:paraId="1868C4F4">
      <w:pPr>
        <w:ind w:firstLine="420"/>
        <w:rPr>
          <w:rFonts w:ascii="宋体" w:hAnsi="宋体"/>
          <w:szCs w:val="21"/>
        </w:rPr>
      </w:pPr>
      <w:r>
        <w:rPr>
          <w:rFonts w:ascii="宋体" w:hAnsi="宋体"/>
          <w:szCs w:val="21"/>
        </w:rPr>
        <w:t>1998年组织代表对《中华人民共和国消费者权益保护法》、《中华人民共和国农</w:t>
      </w:r>
      <w:r>
        <w:rPr>
          <w:rFonts w:hint="eastAsia" w:ascii="宋体" w:hAnsi="宋体"/>
          <w:szCs w:val="21"/>
        </w:rPr>
        <w:t>业技术推广法》、《中华人民共和国乡镇企业法》、《广东省禁止赌博条例》、《中华人民共和国学校卫生工作法》、《中华人民共和国城市规划法》等在南雄市贯彻执行情况进行视察。</w:t>
      </w:r>
      <w:r>
        <w:rPr>
          <w:rFonts w:ascii="宋体" w:hAnsi="宋体"/>
          <w:szCs w:val="21"/>
        </w:rPr>
        <w:t>8月间视察《中华人民共和国城市规划法》贯彻执行情况时发现新城沿</w:t>
      </w:r>
      <w:r>
        <w:rPr>
          <w:rFonts w:hint="eastAsia" w:ascii="宋体" w:hAnsi="宋体"/>
          <w:szCs w:val="21"/>
        </w:rPr>
        <w:t>江东路靠水南桥路段的建筑施工与《中华人民共和国城市规划法》不相符，市民有意见。市人大常委会领导立即召集市政府及有关职能部门的领导到实地勘察后提出停止施工的意见。政府对此非常重视，市长三次亲临现场办公，修改了建筑方案。</w:t>
      </w:r>
    </w:p>
    <w:p w14:paraId="7ED47419">
      <w:pPr>
        <w:ind w:firstLine="420"/>
        <w:rPr>
          <w:rFonts w:ascii="宋体" w:hAnsi="宋体"/>
          <w:szCs w:val="21"/>
        </w:rPr>
      </w:pPr>
      <w:r>
        <w:rPr>
          <w:rFonts w:ascii="宋体" w:hAnsi="宋体"/>
          <w:szCs w:val="21"/>
        </w:rPr>
        <w:t>1999年4月市人大常委会第一次制发“代表视察证”由代表持证视察。6月组</w:t>
      </w:r>
      <w:r>
        <w:rPr>
          <w:rFonts w:hint="eastAsia" w:ascii="宋体" w:hAnsi="宋体"/>
          <w:szCs w:val="21"/>
        </w:rPr>
        <w:t>织代表视察黄烟收购工作、奔康工程、城市防洪河堤建设、沿江西路建设等项目。</w:t>
      </w:r>
      <w:r>
        <w:rPr>
          <w:rFonts w:ascii="宋体" w:hAnsi="宋体"/>
          <w:szCs w:val="21"/>
        </w:rPr>
        <w:t>10</w:t>
      </w:r>
      <w:r>
        <w:rPr>
          <w:rFonts w:hint="eastAsia" w:ascii="宋体" w:hAnsi="宋体"/>
          <w:szCs w:val="21"/>
        </w:rPr>
        <w:t>月先后二次组织韶关市和南雄市人大代表视察行政事业性收费和住房公积金管理工作。</w:t>
      </w:r>
    </w:p>
    <w:p w14:paraId="54C19471">
      <w:pPr>
        <w:ind w:firstLine="420"/>
        <w:rPr>
          <w:rFonts w:ascii="宋体" w:hAnsi="宋体"/>
          <w:szCs w:val="21"/>
        </w:rPr>
      </w:pPr>
      <w:r>
        <w:rPr>
          <w:rFonts w:ascii="宋体" w:hAnsi="宋体"/>
          <w:szCs w:val="21"/>
        </w:rPr>
        <w:t>2</w:t>
      </w:r>
      <w:r>
        <w:rPr>
          <w:rFonts w:hint="eastAsia" w:ascii="宋体" w:hAnsi="宋体"/>
          <w:szCs w:val="21"/>
        </w:rPr>
        <w:t>0</w:t>
      </w:r>
      <w:r>
        <w:rPr>
          <w:rFonts w:ascii="宋体" w:hAnsi="宋体"/>
          <w:szCs w:val="21"/>
        </w:rPr>
        <w:t>00年视察5次，分别于4、6、7、10、12月视察本市贯彻执行《中华人民共</w:t>
      </w:r>
      <w:r>
        <w:rPr>
          <w:rFonts w:hint="eastAsia" w:ascii="宋体" w:hAnsi="宋体"/>
          <w:szCs w:val="21"/>
        </w:rPr>
        <w:t>和国教育法》和《中华人民共和国大气污染防治法》、《广东省风景名胜条例》和《中华人民共和国预防未成年人犯罪法》、《中华人民共和国公路法》《中华人民共和国招标法》、《中华人民共和国检察官法》和市政府年初承诺办好“十件大事”的执行情况。</w:t>
      </w:r>
    </w:p>
    <w:p w14:paraId="0EA76AFB">
      <w:pPr>
        <w:ind w:firstLine="420"/>
        <w:rPr>
          <w:rFonts w:ascii="宋体" w:hAnsi="宋体"/>
          <w:szCs w:val="21"/>
        </w:rPr>
      </w:pPr>
      <w:r>
        <w:rPr>
          <w:rFonts w:ascii="宋体" w:hAnsi="宋体"/>
          <w:szCs w:val="21"/>
        </w:rPr>
        <w:t>2001年视察6次，分别于4、6、8、10、12月视察本市贯彻执行《中华人民共</w:t>
      </w:r>
      <w:r>
        <w:rPr>
          <w:rFonts w:hint="eastAsia" w:ascii="宋体" w:hAnsi="宋体"/>
          <w:szCs w:val="21"/>
        </w:rPr>
        <w:t>和国食品卫生法》和《中华人民共和国药品管理法》、《中华人民共和国城市规划法》、《广东省城市绿化条例》和《城市市容和环境卫生管理条例》、《中华人民共和国兵役法》、《中华人民共和国中外合资经营企业法》、《中华人民共和国中国人民银行法》、《中华人民共和国税收征收管理法》、《中华人民共和国治安管理处罚条例》和《广东省惩处</w:t>
      </w:r>
      <w:r>
        <w:rPr>
          <w:rFonts w:hint="eastAsia" w:ascii="宋体" w:hAnsi="宋体"/>
          <w:szCs w:val="21"/>
          <w:lang w:eastAsia="zh-CN"/>
        </w:rPr>
        <w:t>黑社会性质组织</w:t>
      </w:r>
      <w:r>
        <w:rPr>
          <w:rFonts w:hint="eastAsia" w:ascii="宋体" w:hAnsi="宋体"/>
          <w:szCs w:val="21"/>
        </w:rPr>
        <w:t>活动规定》的执行情况，以及供电“两改一同价”和改造薄弱学校工作。</w:t>
      </w:r>
    </w:p>
    <w:p w14:paraId="10C260D2">
      <w:pPr>
        <w:ind w:firstLine="420"/>
        <w:rPr>
          <w:rFonts w:ascii="宋体" w:hAnsi="宋体"/>
          <w:szCs w:val="21"/>
        </w:rPr>
      </w:pPr>
      <w:r>
        <w:rPr>
          <w:rFonts w:ascii="宋体" w:hAnsi="宋体"/>
          <w:szCs w:val="21"/>
        </w:rPr>
        <w:t>2002年视察6次，分别于4、6、10、12月视察本市贯彻执行《农村五保供养工</w:t>
      </w:r>
      <w:r>
        <w:rPr>
          <w:rFonts w:hint="eastAsia" w:ascii="宋体" w:hAnsi="宋体"/>
          <w:szCs w:val="21"/>
        </w:rPr>
        <w:t>作条例》和《城市房屋拆迁管理条例》、《电力设施保护条例》、《中华人民共和国教育法》、《中华人民共和国检察官法》的执行情况，以及招商引资、城市建设、发展民营经济、社会养老保险和医疗保险等工作。</w:t>
      </w:r>
    </w:p>
    <w:p w14:paraId="0BC433ED">
      <w:pPr>
        <w:ind w:firstLine="420"/>
        <w:rPr>
          <w:rFonts w:ascii="宋体" w:hAnsi="宋体"/>
          <w:szCs w:val="21"/>
        </w:rPr>
      </w:pPr>
      <w:r>
        <w:rPr>
          <w:rFonts w:hint="eastAsia" w:ascii="宋体" w:hAnsi="宋体"/>
          <w:szCs w:val="21"/>
        </w:rPr>
        <w:t>十二届人大常委会组织代表视察情况：</w:t>
      </w:r>
    </w:p>
    <w:p w14:paraId="67EF28B9">
      <w:pPr>
        <w:ind w:firstLine="420"/>
        <w:rPr>
          <w:rFonts w:ascii="宋体" w:hAnsi="宋体"/>
          <w:szCs w:val="21"/>
        </w:rPr>
      </w:pPr>
      <w:r>
        <w:rPr>
          <w:rFonts w:ascii="宋体" w:hAnsi="宋体"/>
          <w:szCs w:val="21"/>
        </w:rPr>
        <w:t>2003年视察4次，分别于6、7、8、12月视察本市贯彻执行《中华人民共和国</w:t>
      </w:r>
      <w:r>
        <w:rPr>
          <w:rFonts w:hint="eastAsia" w:ascii="宋体" w:hAnsi="宋体"/>
          <w:szCs w:val="21"/>
        </w:rPr>
        <w:t>防洪法》、《中华人民共和国传染病防治法》、《中华人民共和国烟草专卖法》、《广东省工商户和私营企业权益保护条例》、《中华人民共和国外资企业法》、《中华人民共和国森林法》执行情况和城区市场管理、整治市容市貌工作。</w:t>
      </w:r>
    </w:p>
    <w:p w14:paraId="6CECFA8F">
      <w:pPr>
        <w:ind w:firstLine="420"/>
        <w:rPr>
          <w:rFonts w:ascii="宋体" w:hAnsi="宋体"/>
          <w:szCs w:val="21"/>
        </w:rPr>
      </w:pPr>
      <w:r>
        <w:rPr>
          <w:rFonts w:ascii="宋体" w:hAnsi="宋体"/>
          <w:szCs w:val="21"/>
        </w:rPr>
        <w:t>2004年视察4次，分别于4、7、8、12月视察本市贯彻执行《中华人民共和国</w:t>
      </w:r>
      <w:r>
        <w:rPr>
          <w:rFonts w:hint="eastAsia" w:ascii="宋体" w:hAnsi="宋体"/>
          <w:szCs w:val="21"/>
        </w:rPr>
        <w:t>农业法》、《广东省动物防疫条例》、《广东省安全生产条例》执行情况及本市城市经营、市通镇公路改造及市政府对市十二届人大二次会议代表议案建议办理情况。</w:t>
      </w:r>
    </w:p>
    <w:p w14:paraId="0FF52CC9">
      <w:pPr>
        <w:ind w:firstLine="422"/>
        <w:rPr>
          <w:rFonts w:ascii="宋体" w:hAnsi="宋体"/>
          <w:b/>
          <w:szCs w:val="21"/>
        </w:rPr>
      </w:pPr>
      <w:r>
        <w:rPr>
          <w:rFonts w:hint="eastAsia" w:ascii="宋体" w:hAnsi="宋体"/>
          <w:b/>
          <w:szCs w:val="21"/>
        </w:rPr>
        <w:t>（四）组织人大代表评议“一府两院”工作</w:t>
      </w:r>
    </w:p>
    <w:p w14:paraId="17CCD299">
      <w:pPr>
        <w:ind w:firstLine="420"/>
        <w:rPr>
          <w:rFonts w:ascii="宋体" w:hAnsi="宋体"/>
          <w:szCs w:val="21"/>
        </w:rPr>
      </w:pPr>
      <w:r>
        <w:rPr>
          <w:rFonts w:hint="eastAsia" w:ascii="宋体" w:hAnsi="宋体"/>
          <w:szCs w:val="21"/>
        </w:rPr>
        <w:t>市人大常委会从</w:t>
      </w:r>
      <w:r>
        <w:rPr>
          <w:rFonts w:ascii="宋体" w:hAnsi="宋体"/>
          <w:szCs w:val="21"/>
        </w:rPr>
        <w:t>1993年开始，组织在本市的省和韶关市人大代表以及南雄市</w:t>
      </w:r>
      <w:r>
        <w:rPr>
          <w:rFonts w:hint="eastAsia" w:ascii="宋体" w:hAnsi="宋体"/>
          <w:szCs w:val="21"/>
        </w:rPr>
        <w:t>、镇人大代表开展评议本市（县）“一府两院”工作。至</w:t>
      </w:r>
      <w:r>
        <w:rPr>
          <w:rFonts w:ascii="宋体" w:hAnsi="宋体"/>
          <w:szCs w:val="21"/>
        </w:rPr>
        <w:t>2004年，共组织四级人大代</w:t>
      </w:r>
      <w:r>
        <w:rPr>
          <w:rFonts w:hint="eastAsia" w:ascii="宋体" w:hAnsi="宋体"/>
          <w:szCs w:val="21"/>
        </w:rPr>
        <w:t>表</w:t>
      </w:r>
      <w:r>
        <w:rPr>
          <w:rFonts w:ascii="宋体" w:hAnsi="宋体"/>
          <w:szCs w:val="21"/>
        </w:rPr>
        <w:t>796人次评议了市（县）政府职能部门及公、检、法、司基层共311个单位的工</w:t>
      </w:r>
      <w:r>
        <w:rPr>
          <w:rFonts w:hint="eastAsia" w:ascii="宋体" w:hAnsi="宋体"/>
          <w:szCs w:val="21"/>
        </w:rPr>
        <w:t>作。评议期间，代表们联系选民</w:t>
      </w:r>
      <w:r>
        <w:rPr>
          <w:rFonts w:ascii="宋体" w:hAnsi="宋体"/>
          <w:szCs w:val="21"/>
        </w:rPr>
        <w:t>3500多人次，召开各种座谈会375次，广泛听取人</w:t>
      </w:r>
      <w:r>
        <w:rPr>
          <w:rFonts w:hint="eastAsia" w:ascii="宋体" w:hAnsi="宋体"/>
          <w:szCs w:val="21"/>
        </w:rPr>
        <w:t>民群众对政府职能部门和公检法司基层站所提出的</w:t>
      </w:r>
      <w:r>
        <w:rPr>
          <w:rFonts w:ascii="宋体" w:hAnsi="宋体"/>
          <w:szCs w:val="21"/>
        </w:rPr>
        <w:t>512条意见和683条批评建议</w:t>
      </w:r>
      <w:r>
        <w:rPr>
          <w:rFonts w:hint="eastAsia" w:ascii="宋体" w:hAnsi="宋体"/>
          <w:szCs w:val="21"/>
        </w:rPr>
        <w:t>。</w:t>
      </w:r>
    </w:p>
    <w:p w14:paraId="355F7B80">
      <w:pPr>
        <w:ind w:firstLine="420"/>
        <w:rPr>
          <w:rFonts w:ascii="宋体" w:hAnsi="宋体"/>
          <w:szCs w:val="21"/>
        </w:rPr>
      </w:pPr>
      <w:r>
        <w:rPr>
          <w:rFonts w:hint="eastAsia" w:ascii="宋体" w:hAnsi="宋体"/>
          <w:szCs w:val="21"/>
        </w:rPr>
        <w:t>此外，人大常委会对其任命的</w:t>
      </w:r>
      <w:r>
        <w:rPr>
          <w:rFonts w:ascii="宋体" w:hAnsi="宋体"/>
          <w:szCs w:val="21"/>
        </w:rPr>
        <w:t>46名“一府两院”职能部门主要领导，分别定期</w:t>
      </w:r>
      <w:r>
        <w:rPr>
          <w:rFonts w:hint="eastAsia" w:ascii="宋体" w:hAnsi="宋体"/>
          <w:szCs w:val="21"/>
        </w:rPr>
        <w:t>进行述职评议。</w:t>
      </w:r>
    </w:p>
    <w:p w14:paraId="689AC783">
      <w:pPr>
        <w:ind w:firstLine="422"/>
        <w:rPr>
          <w:rFonts w:ascii="宋体" w:hAnsi="宋体"/>
          <w:b/>
          <w:szCs w:val="21"/>
        </w:rPr>
      </w:pPr>
      <w:r>
        <w:rPr>
          <w:rFonts w:hint="eastAsia" w:ascii="宋体" w:hAnsi="宋体"/>
          <w:b/>
          <w:szCs w:val="21"/>
        </w:rPr>
        <w:t>（五）联系人大代表</w:t>
      </w:r>
    </w:p>
    <w:p w14:paraId="5A6B7358">
      <w:pPr>
        <w:ind w:firstLine="420"/>
        <w:rPr>
          <w:rFonts w:ascii="宋体" w:hAnsi="宋体"/>
          <w:szCs w:val="21"/>
        </w:rPr>
      </w:pPr>
      <w:r>
        <w:rPr>
          <w:rFonts w:hint="eastAsia" w:ascii="宋体" w:hAnsi="宋体"/>
          <w:szCs w:val="21"/>
        </w:rPr>
        <w:t>市（县）人大常委会组成人员，每年一次分头到各代表小组召开座谈会，听取代表对人大和“一府两院”的意见和建议。此外，每年召开</w:t>
      </w:r>
      <w:r>
        <w:rPr>
          <w:rFonts w:ascii="宋体" w:hAnsi="宋体"/>
          <w:szCs w:val="21"/>
        </w:rPr>
        <w:t>1次～2次代表小组长座</w:t>
      </w:r>
      <w:r>
        <w:rPr>
          <w:rFonts w:hint="eastAsia" w:ascii="宋体" w:hAnsi="宋体"/>
          <w:szCs w:val="21"/>
        </w:rPr>
        <w:t>谈会，交流代表小组活动的经验。</w:t>
      </w:r>
    </w:p>
    <w:p w14:paraId="18848862">
      <w:pPr>
        <w:ind w:firstLine="422"/>
        <w:rPr>
          <w:rFonts w:ascii="宋体" w:hAnsi="宋体"/>
          <w:b/>
          <w:szCs w:val="21"/>
        </w:rPr>
      </w:pPr>
      <w:r>
        <w:rPr>
          <w:rFonts w:hint="eastAsia" w:ascii="宋体" w:hAnsi="宋体"/>
          <w:b/>
          <w:szCs w:val="21"/>
        </w:rPr>
        <w:t>（六）横向联系活动</w:t>
      </w:r>
    </w:p>
    <w:p w14:paraId="347D5E57">
      <w:pPr>
        <w:ind w:firstLine="420"/>
        <w:rPr>
          <w:rFonts w:ascii="宋体" w:hAnsi="宋体"/>
          <w:szCs w:val="21"/>
        </w:rPr>
      </w:pPr>
      <w:r>
        <w:rPr>
          <w:rFonts w:ascii="宋体" w:hAnsi="宋体"/>
          <w:szCs w:val="21"/>
        </w:rPr>
        <w:t>1989年3月至1992年10月，南雄县人大常委会与毗邻粤赣湘闽四省20个县市</w:t>
      </w:r>
      <w:r>
        <w:rPr>
          <w:rFonts w:hint="eastAsia" w:ascii="宋体" w:hAnsi="宋体"/>
          <w:szCs w:val="21"/>
        </w:rPr>
        <w:t>人大常委会开展横向联系活动，轮流在各县市举行会议，一年</w:t>
      </w:r>
      <w:r>
        <w:rPr>
          <w:rFonts w:ascii="宋体" w:hAnsi="宋体"/>
          <w:szCs w:val="21"/>
        </w:rPr>
        <w:t>2次，交流人大工作</w:t>
      </w:r>
      <w:r>
        <w:rPr>
          <w:rFonts w:hint="eastAsia" w:ascii="宋体" w:hAnsi="宋体"/>
          <w:szCs w:val="21"/>
        </w:rPr>
        <w:t>经验。</w:t>
      </w:r>
    </w:p>
    <w:p w14:paraId="0D596B54">
      <w:pPr>
        <w:pStyle w:val="5"/>
        <w:rPr>
          <w:rFonts w:ascii="宋体" w:hAnsi="宋体"/>
        </w:rPr>
      </w:pPr>
      <w:r>
        <w:rPr>
          <w:rFonts w:hint="eastAsia" w:ascii="宋体" w:hAnsi="宋体"/>
        </w:rPr>
        <w:t>三、市（县）人大常委会正、副主任任职情况</w:t>
      </w:r>
    </w:p>
    <w:p w14:paraId="3BE5ACF7">
      <w:pPr>
        <w:ind w:firstLine="0" w:firstLineChars="0"/>
        <w:jc w:val="center"/>
        <w:rPr>
          <w:rFonts w:ascii="宋体" w:hAnsi="宋体"/>
          <w:b/>
          <w:szCs w:val="21"/>
        </w:rPr>
      </w:pPr>
      <w:r>
        <w:rPr>
          <w:rFonts w:hint="eastAsia" w:ascii="宋体" w:hAnsi="宋体"/>
          <w:b/>
          <w:szCs w:val="21"/>
        </w:rPr>
        <w:t>南雄市（县）历届人民代表大会常务委员会正副主任任职情况</w:t>
      </w:r>
    </w:p>
    <w:p w14:paraId="43AA80FA">
      <w:pPr>
        <w:ind w:firstLine="0" w:firstLineChars="0"/>
        <w:rPr>
          <w:rFonts w:ascii="宋体" w:hAnsi="宋体"/>
          <w:b/>
          <w:szCs w:val="21"/>
        </w:rPr>
      </w:pPr>
      <w:r>
        <w:rPr>
          <w:rFonts w:hint="eastAsia" w:ascii="宋体" w:hAnsi="宋体"/>
          <w:b/>
          <w:szCs w:val="21"/>
        </w:rPr>
        <w:t>表</w:t>
      </w:r>
      <w:r>
        <w:rPr>
          <w:rFonts w:ascii="宋体" w:hAnsi="宋体"/>
          <w:b/>
          <w:szCs w:val="21"/>
        </w:rPr>
        <w:t>4-6</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63"/>
        <w:gridCol w:w="2164"/>
        <w:gridCol w:w="2164"/>
        <w:gridCol w:w="3471"/>
      </w:tblGrid>
      <w:tr w14:paraId="0156DA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1086" w:type="pct"/>
            <w:vAlign w:val="center"/>
          </w:tcPr>
          <w:p w14:paraId="40F5B7FE">
            <w:pPr>
              <w:pStyle w:val="12"/>
              <w:jc w:val="center"/>
              <w:rPr>
                <w:b/>
              </w:rPr>
            </w:pPr>
            <w:r>
              <w:rPr>
                <w:rFonts w:hint="eastAsia"/>
                <w:b/>
              </w:rPr>
              <w:t>姓名</w:t>
            </w:r>
          </w:p>
        </w:tc>
        <w:tc>
          <w:tcPr>
            <w:tcW w:w="1086" w:type="pct"/>
            <w:vAlign w:val="center"/>
          </w:tcPr>
          <w:p w14:paraId="20A780D6">
            <w:pPr>
              <w:pStyle w:val="12"/>
              <w:jc w:val="center"/>
              <w:rPr>
                <w:b/>
              </w:rPr>
            </w:pPr>
            <w:r>
              <w:rPr>
                <w:rFonts w:hint="eastAsia"/>
                <w:b/>
              </w:rPr>
              <w:t>籍贯</w:t>
            </w:r>
          </w:p>
        </w:tc>
        <w:tc>
          <w:tcPr>
            <w:tcW w:w="1086" w:type="pct"/>
            <w:vAlign w:val="center"/>
          </w:tcPr>
          <w:p w14:paraId="73E5A833">
            <w:pPr>
              <w:pStyle w:val="12"/>
              <w:jc w:val="center"/>
              <w:rPr>
                <w:b/>
              </w:rPr>
            </w:pPr>
            <w:r>
              <w:rPr>
                <w:rFonts w:hint="eastAsia"/>
                <w:b/>
              </w:rPr>
              <w:t>职务</w:t>
            </w:r>
          </w:p>
        </w:tc>
        <w:tc>
          <w:tcPr>
            <w:tcW w:w="1743" w:type="pct"/>
            <w:vAlign w:val="center"/>
          </w:tcPr>
          <w:p w14:paraId="3B321749">
            <w:pPr>
              <w:pStyle w:val="12"/>
              <w:jc w:val="center"/>
              <w:rPr>
                <w:b/>
              </w:rPr>
            </w:pPr>
            <w:r>
              <w:rPr>
                <w:rFonts w:hint="eastAsia"/>
                <w:b/>
              </w:rPr>
              <w:t>任职时间</w:t>
            </w:r>
          </w:p>
        </w:tc>
      </w:tr>
      <w:tr w14:paraId="6ED773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0F262FB7">
            <w:pPr>
              <w:pStyle w:val="12"/>
              <w:jc w:val="center"/>
            </w:pPr>
            <w:r>
              <w:rPr>
                <w:rFonts w:hint="eastAsia"/>
              </w:rPr>
              <w:t>王春堂</w:t>
            </w:r>
          </w:p>
        </w:tc>
        <w:tc>
          <w:tcPr>
            <w:tcW w:w="1086" w:type="pct"/>
            <w:vAlign w:val="center"/>
          </w:tcPr>
          <w:p w14:paraId="25D33AFF">
            <w:pPr>
              <w:pStyle w:val="12"/>
              <w:jc w:val="center"/>
            </w:pPr>
            <w:r>
              <w:rPr>
                <w:rFonts w:hint="eastAsia"/>
              </w:rPr>
              <w:t>辽宁庄河县</w:t>
            </w:r>
          </w:p>
        </w:tc>
        <w:tc>
          <w:tcPr>
            <w:tcW w:w="1086" w:type="pct"/>
            <w:vAlign w:val="center"/>
          </w:tcPr>
          <w:p w14:paraId="01010A3A">
            <w:pPr>
              <w:pStyle w:val="12"/>
              <w:jc w:val="center"/>
            </w:pPr>
            <w:r>
              <w:rPr>
                <w:rFonts w:hint="eastAsia"/>
              </w:rPr>
              <w:t>主任</w:t>
            </w:r>
          </w:p>
        </w:tc>
        <w:tc>
          <w:tcPr>
            <w:tcW w:w="1743" w:type="pct"/>
            <w:vAlign w:val="center"/>
          </w:tcPr>
          <w:p w14:paraId="5C948F3C">
            <w:pPr>
              <w:pStyle w:val="12"/>
              <w:jc w:val="left"/>
            </w:pPr>
            <w:r>
              <w:rPr>
                <w:rFonts w:hint="eastAsia"/>
              </w:rPr>
              <w:t>1980年2月至1984年6月</w:t>
            </w:r>
          </w:p>
        </w:tc>
      </w:tr>
      <w:tr w14:paraId="611892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739BCFB0">
            <w:pPr>
              <w:pStyle w:val="12"/>
              <w:jc w:val="center"/>
            </w:pPr>
            <w:r>
              <w:rPr>
                <w:rFonts w:hint="eastAsia"/>
              </w:rPr>
              <w:t>黄登军</w:t>
            </w:r>
          </w:p>
        </w:tc>
        <w:tc>
          <w:tcPr>
            <w:tcW w:w="1086" w:type="pct"/>
            <w:vAlign w:val="center"/>
          </w:tcPr>
          <w:p w14:paraId="2AA65A1E">
            <w:pPr>
              <w:pStyle w:val="12"/>
              <w:jc w:val="center"/>
            </w:pPr>
            <w:r>
              <w:rPr>
                <w:rFonts w:hint="eastAsia"/>
              </w:rPr>
              <w:t>广东连县</w:t>
            </w:r>
          </w:p>
        </w:tc>
        <w:tc>
          <w:tcPr>
            <w:tcW w:w="1086" w:type="pct"/>
            <w:vAlign w:val="center"/>
          </w:tcPr>
          <w:p w14:paraId="170C5561">
            <w:pPr>
              <w:pStyle w:val="12"/>
              <w:jc w:val="center"/>
            </w:pPr>
            <w:r>
              <w:rPr>
                <w:rFonts w:hint="eastAsia"/>
              </w:rPr>
              <w:t>主任</w:t>
            </w:r>
          </w:p>
        </w:tc>
        <w:tc>
          <w:tcPr>
            <w:tcW w:w="1743" w:type="pct"/>
            <w:vAlign w:val="center"/>
          </w:tcPr>
          <w:p w14:paraId="36669B40">
            <w:pPr>
              <w:pStyle w:val="12"/>
              <w:jc w:val="left"/>
            </w:pPr>
            <w:r>
              <w:rPr>
                <w:rFonts w:hint="eastAsia"/>
              </w:rPr>
              <w:t>1984年6月至1993年2月</w:t>
            </w:r>
          </w:p>
        </w:tc>
      </w:tr>
      <w:tr w14:paraId="46717B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4D3A8474">
            <w:pPr>
              <w:pStyle w:val="12"/>
              <w:jc w:val="center"/>
            </w:pPr>
            <w:r>
              <w:rPr>
                <w:rFonts w:hint="eastAsia"/>
              </w:rPr>
              <w:t>邓  统</w:t>
            </w:r>
          </w:p>
        </w:tc>
        <w:tc>
          <w:tcPr>
            <w:tcW w:w="1086" w:type="pct"/>
            <w:vAlign w:val="center"/>
          </w:tcPr>
          <w:p w14:paraId="4B89F31E">
            <w:pPr>
              <w:pStyle w:val="12"/>
              <w:jc w:val="center"/>
            </w:pPr>
            <w:r>
              <w:rPr>
                <w:rFonts w:hint="eastAsia"/>
              </w:rPr>
              <w:t>广东英德县</w:t>
            </w:r>
          </w:p>
        </w:tc>
        <w:tc>
          <w:tcPr>
            <w:tcW w:w="1086" w:type="pct"/>
            <w:vAlign w:val="center"/>
          </w:tcPr>
          <w:p w14:paraId="385395AB">
            <w:pPr>
              <w:pStyle w:val="12"/>
              <w:jc w:val="center"/>
            </w:pPr>
            <w:r>
              <w:rPr>
                <w:rFonts w:hint="eastAsia"/>
              </w:rPr>
              <w:t>副主任</w:t>
            </w:r>
          </w:p>
        </w:tc>
        <w:tc>
          <w:tcPr>
            <w:tcW w:w="1743" w:type="pct"/>
            <w:vAlign w:val="center"/>
          </w:tcPr>
          <w:p w14:paraId="61959B96">
            <w:pPr>
              <w:pStyle w:val="12"/>
              <w:jc w:val="left"/>
            </w:pPr>
            <w:r>
              <w:rPr>
                <w:rFonts w:hint="eastAsia"/>
              </w:rPr>
              <w:t>1980年2月至1984年6月</w:t>
            </w:r>
          </w:p>
        </w:tc>
      </w:tr>
      <w:tr w14:paraId="3968239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71D60FB8">
            <w:pPr>
              <w:pStyle w:val="12"/>
              <w:jc w:val="center"/>
            </w:pPr>
            <w:r>
              <w:rPr>
                <w:rFonts w:hint="eastAsia"/>
              </w:rPr>
              <w:t>梁小良</w:t>
            </w:r>
          </w:p>
        </w:tc>
        <w:tc>
          <w:tcPr>
            <w:tcW w:w="1086" w:type="pct"/>
            <w:vAlign w:val="center"/>
          </w:tcPr>
          <w:p w14:paraId="54D3F29E">
            <w:pPr>
              <w:pStyle w:val="12"/>
              <w:jc w:val="center"/>
            </w:pPr>
            <w:r>
              <w:rPr>
                <w:rFonts w:hint="eastAsia"/>
              </w:rPr>
              <w:t>广东新丰县</w:t>
            </w:r>
          </w:p>
        </w:tc>
        <w:tc>
          <w:tcPr>
            <w:tcW w:w="1086" w:type="pct"/>
            <w:vAlign w:val="center"/>
          </w:tcPr>
          <w:p w14:paraId="09A126FB">
            <w:pPr>
              <w:pStyle w:val="12"/>
              <w:jc w:val="center"/>
            </w:pPr>
            <w:r>
              <w:rPr>
                <w:rFonts w:hint="eastAsia"/>
              </w:rPr>
              <w:t>副主任</w:t>
            </w:r>
          </w:p>
        </w:tc>
        <w:tc>
          <w:tcPr>
            <w:tcW w:w="1743" w:type="pct"/>
            <w:vAlign w:val="center"/>
          </w:tcPr>
          <w:p w14:paraId="68DC2C8B">
            <w:pPr>
              <w:pStyle w:val="12"/>
              <w:jc w:val="left"/>
            </w:pPr>
            <w:r>
              <w:rPr>
                <w:rFonts w:hint="eastAsia"/>
              </w:rPr>
              <w:t>1980年2月至1883年9月</w:t>
            </w:r>
          </w:p>
        </w:tc>
      </w:tr>
      <w:tr w14:paraId="3BCC2C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05C8C613">
            <w:pPr>
              <w:pStyle w:val="12"/>
              <w:jc w:val="center"/>
            </w:pPr>
            <w:r>
              <w:rPr>
                <w:rFonts w:hint="eastAsia"/>
              </w:rPr>
              <w:t>周儒旺</w:t>
            </w:r>
          </w:p>
        </w:tc>
        <w:tc>
          <w:tcPr>
            <w:tcW w:w="1086" w:type="pct"/>
            <w:vAlign w:val="center"/>
          </w:tcPr>
          <w:p w14:paraId="5EA07DAC">
            <w:pPr>
              <w:pStyle w:val="12"/>
              <w:jc w:val="center"/>
            </w:pPr>
            <w:r>
              <w:rPr>
                <w:rFonts w:hint="eastAsia"/>
              </w:rPr>
              <w:t>广东南雄县</w:t>
            </w:r>
          </w:p>
        </w:tc>
        <w:tc>
          <w:tcPr>
            <w:tcW w:w="1086" w:type="pct"/>
            <w:vAlign w:val="center"/>
          </w:tcPr>
          <w:p w14:paraId="4EB98593">
            <w:pPr>
              <w:pStyle w:val="12"/>
              <w:jc w:val="center"/>
            </w:pPr>
            <w:r>
              <w:rPr>
                <w:rFonts w:hint="eastAsia"/>
              </w:rPr>
              <w:t>副主任</w:t>
            </w:r>
          </w:p>
        </w:tc>
        <w:tc>
          <w:tcPr>
            <w:tcW w:w="1743" w:type="pct"/>
            <w:vAlign w:val="center"/>
          </w:tcPr>
          <w:p w14:paraId="24C88D9D">
            <w:pPr>
              <w:pStyle w:val="12"/>
              <w:jc w:val="left"/>
            </w:pPr>
            <w:r>
              <w:rPr>
                <w:rFonts w:hint="eastAsia"/>
              </w:rPr>
              <w:t>1980年2月至1987年3月</w:t>
            </w:r>
          </w:p>
        </w:tc>
      </w:tr>
      <w:tr w14:paraId="49BB4A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22352ECD">
            <w:pPr>
              <w:pStyle w:val="12"/>
              <w:jc w:val="center"/>
            </w:pPr>
            <w:r>
              <w:rPr>
                <w:rFonts w:hint="eastAsia"/>
              </w:rPr>
              <w:t>向重贤</w:t>
            </w:r>
          </w:p>
        </w:tc>
        <w:tc>
          <w:tcPr>
            <w:tcW w:w="1086" w:type="pct"/>
            <w:vAlign w:val="center"/>
          </w:tcPr>
          <w:p w14:paraId="0FD8BF66">
            <w:pPr>
              <w:pStyle w:val="12"/>
              <w:jc w:val="center"/>
            </w:pPr>
            <w:r>
              <w:rPr>
                <w:rFonts w:hint="eastAsia"/>
              </w:rPr>
              <w:t>湖南石门县</w:t>
            </w:r>
          </w:p>
        </w:tc>
        <w:tc>
          <w:tcPr>
            <w:tcW w:w="1086" w:type="pct"/>
            <w:vAlign w:val="center"/>
          </w:tcPr>
          <w:p w14:paraId="62F1D5D6">
            <w:pPr>
              <w:pStyle w:val="12"/>
              <w:jc w:val="center"/>
            </w:pPr>
            <w:r>
              <w:rPr>
                <w:rFonts w:hint="eastAsia"/>
              </w:rPr>
              <w:t>副主任</w:t>
            </w:r>
          </w:p>
        </w:tc>
        <w:tc>
          <w:tcPr>
            <w:tcW w:w="1743" w:type="pct"/>
            <w:vAlign w:val="center"/>
          </w:tcPr>
          <w:p w14:paraId="48459DB1">
            <w:pPr>
              <w:pStyle w:val="12"/>
              <w:jc w:val="left"/>
            </w:pPr>
            <w:r>
              <w:rPr>
                <w:rFonts w:hint="eastAsia"/>
              </w:rPr>
              <w:t>1980年2月至1984年6月</w:t>
            </w:r>
          </w:p>
        </w:tc>
      </w:tr>
      <w:tr w14:paraId="15D49E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06D780EB">
            <w:pPr>
              <w:pStyle w:val="12"/>
              <w:jc w:val="center"/>
            </w:pPr>
            <w:r>
              <w:rPr>
                <w:rFonts w:hint="eastAsia"/>
              </w:rPr>
              <w:t>朱定兰</w:t>
            </w:r>
          </w:p>
        </w:tc>
        <w:tc>
          <w:tcPr>
            <w:tcW w:w="1086" w:type="pct"/>
            <w:vAlign w:val="center"/>
          </w:tcPr>
          <w:p w14:paraId="2FBC3EA8">
            <w:pPr>
              <w:pStyle w:val="12"/>
              <w:jc w:val="center"/>
            </w:pPr>
            <w:r>
              <w:rPr>
                <w:rFonts w:hint="eastAsia"/>
              </w:rPr>
              <w:t>广东南雄县</w:t>
            </w:r>
          </w:p>
        </w:tc>
        <w:tc>
          <w:tcPr>
            <w:tcW w:w="1086" w:type="pct"/>
            <w:vAlign w:val="center"/>
          </w:tcPr>
          <w:p w14:paraId="5B9F472A">
            <w:pPr>
              <w:pStyle w:val="12"/>
              <w:jc w:val="center"/>
            </w:pPr>
            <w:r>
              <w:rPr>
                <w:rFonts w:hint="eastAsia"/>
              </w:rPr>
              <w:t>副主任</w:t>
            </w:r>
          </w:p>
        </w:tc>
        <w:tc>
          <w:tcPr>
            <w:tcW w:w="1743" w:type="pct"/>
            <w:vAlign w:val="center"/>
          </w:tcPr>
          <w:p w14:paraId="440BF7AD">
            <w:pPr>
              <w:pStyle w:val="12"/>
              <w:jc w:val="left"/>
            </w:pPr>
            <w:r>
              <w:rPr>
                <w:rFonts w:hint="eastAsia"/>
              </w:rPr>
              <w:t>1984年6月至1993年2月</w:t>
            </w:r>
          </w:p>
        </w:tc>
      </w:tr>
      <w:tr w14:paraId="2F3742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0A51DB90">
            <w:pPr>
              <w:pStyle w:val="12"/>
              <w:jc w:val="center"/>
            </w:pPr>
            <w:r>
              <w:rPr>
                <w:rFonts w:hint="eastAsia"/>
              </w:rPr>
              <w:t>何世理</w:t>
            </w:r>
          </w:p>
        </w:tc>
        <w:tc>
          <w:tcPr>
            <w:tcW w:w="1086" w:type="pct"/>
            <w:vAlign w:val="center"/>
          </w:tcPr>
          <w:p w14:paraId="069DB6D5">
            <w:pPr>
              <w:pStyle w:val="12"/>
              <w:jc w:val="center"/>
            </w:pPr>
            <w:r>
              <w:rPr>
                <w:rFonts w:hint="eastAsia"/>
              </w:rPr>
              <w:t>广东南雄县</w:t>
            </w:r>
          </w:p>
        </w:tc>
        <w:tc>
          <w:tcPr>
            <w:tcW w:w="1086" w:type="pct"/>
            <w:vAlign w:val="center"/>
          </w:tcPr>
          <w:p w14:paraId="501BC1BC">
            <w:pPr>
              <w:pStyle w:val="12"/>
              <w:jc w:val="center"/>
            </w:pPr>
            <w:r>
              <w:rPr>
                <w:rFonts w:hint="eastAsia"/>
              </w:rPr>
              <w:t>副主任</w:t>
            </w:r>
          </w:p>
        </w:tc>
        <w:tc>
          <w:tcPr>
            <w:tcW w:w="1743" w:type="pct"/>
            <w:vAlign w:val="center"/>
          </w:tcPr>
          <w:p w14:paraId="3E931F23">
            <w:pPr>
              <w:pStyle w:val="12"/>
              <w:jc w:val="left"/>
            </w:pPr>
            <w:r>
              <w:rPr>
                <w:rFonts w:hint="eastAsia"/>
              </w:rPr>
              <w:t>1984年6月至1987年3月</w:t>
            </w:r>
          </w:p>
        </w:tc>
      </w:tr>
      <w:tr w14:paraId="680076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74529224">
            <w:pPr>
              <w:pStyle w:val="12"/>
              <w:jc w:val="center"/>
            </w:pPr>
            <w:r>
              <w:rPr>
                <w:rFonts w:hint="eastAsia"/>
              </w:rPr>
              <w:t>赵国兰</w:t>
            </w:r>
          </w:p>
        </w:tc>
        <w:tc>
          <w:tcPr>
            <w:tcW w:w="1086" w:type="pct"/>
            <w:vAlign w:val="center"/>
          </w:tcPr>
          <w:p w14:paraId="177BC4F7">
            <w:pPr>
              <w:pStyle w:val="12"/>
              <w:jc w:val="center"/>
            </w:pPr>
            <w:r>
              <w:rPr>
                <w:rFonts w:hint="eastAsia"/>
              </w:rPr>
              <w:t>河北滦南县</w:t>
            </w:r>
          </w:p>
        </w:tc>
        <w:tc>
          <w:tcPr>
            <w:tcW w:w="1086" w:type="pct"/>
            <w:vAlign w:val="center"/>
          </w:tcPr>
          <w:p w14:paraId="75E7CFD7">
            <w:pPr>
              <w:pStyle w:val="12"/>
              <w:jc w:val="center"/>
            </w:pPr>
            <w:r>
              <w:rPr>
                <w:rFonts w:hint="eastAsia"/>
              </w:rPr>
              <w:t>副主任</w:t>
            </w:r>
          </w:p>
        </w:tc>
        <w:tc>
          <w:tcPr>
            <w:tcW w:w="1743" w:type="pct"/>
            <w:vAlign w:val="center"/>
          </w:tcPr>
          <w:p w14:paraId="5A5A5243">
            <w:pPr>
              <w:pStyle w:val="12"/>
              <w:jc w:val="left"/>
            </w:pPr>
            <w:r>
              <w:rPr>
                <w:rFonts w:hint="eastAsia"/>
              </w:rPr>
              <w:t>1984年6月至1987年3月</w:t>
            </w:r>
          </w:p>
        </w:tc>
      </w:tr>
      <w:tr w14:paraId="6F9639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13558461">
            <w:pPr>
              <w:pStyle w:val="12"/>
              <w:jc w:val="center"/>
            </w:pPr>
            <w:r>
              <w:rPr>
                <w:rFonts w:hint="eastAsia"/>
              </w:rPr>
              <w:t>庄礼味</w:t>
            </w:r>
          </w:p>
        </w:tc>
        <w:tc>
          <w:tcPr>
            <w:tcW w:w="1086" w:type="pct"/>
            <w:vAlign w:val="center"/>
          </w:tcPr>
          <w:p w14:paraId="29F18413">
            <w:pPr>
              <w:pStyle w:val="12"/>
              <w:jc w:val="center"/>
            </w:pPr>
            <w:r>
              <w:rPr>
                <w:rFonts w:hint="eastAsia"/>
              </w:rPr>
              <w:t>广东普宁县</w:t>
            </w:r>
          </w:p>
        </w:tc>
        <w:tc>
          <w:tcPr>
            <w:tcW w:w="1086" w:type="pct"/>
            <w:vAlign w:val="center"/>
          </w:tcPr>
          <w:p w14:paraId="16424AE0">
            <w:pPr>
              <w:pStyle w:val="12"/>
              <w:jc w:val="center"/>
            </w:pPr>
            <w:r>
              <w:rPr>
                <w:rFonts w:hint="eastAsia"/>
              </w:rPr>
              <w:t>副主任</w:t>
            </w:r>
          </w:p>
        </w:tc>
        <w:tc>
          <w:tcPr>
            <w:tcW w:w="1743" w:type="pct"/>
            <w:vAlign w:val="center"/>
          </w:tcPr>
          <w:p w14:paraId="759443E3">
            <w:pPr>
              <w:pStyle w:val="12"/>
              <w:jc w:val="left"/>
            </w:pPr>
            <w:r>
              <w:rPr>
                <w:rFonts w:hint="eastAsia"/>
              </w:rPr>
              <w:t>1984年6月至1987年3月</w:t>
            </w:r>
          </w:p>
        </w:tc>
      </w:tr>
      <w:tr w14:paraId="18ABB5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0E5E3615">
            <w:pPr>
              <w:pStyle w:val="12"/>
              <w:jc w:val="center"/>
            </w:pPr>
            <w:r>
              <w:rPr>
                <w:rFonts w:hint="eastAsia"/>
              </w:rPr>
              <w:t>罗凯燊</w:t>
            </w:r>
          </w:p>
        </w:tc>
        <w:tc>
          <w:tcPr>
            <w:tcW w:w="1086" w:type="pct"/>
            <w:vAlign w:val="center"/>
          </w:tcPr>
          <w:p w14:paraId="0E57522A">
            <w:pPr>
              <w:pStyle w:val="12"/>
              <w:jc w:val="center"/>
            </w:pPr>
            <w:r>
              <w:rPr>
                <w:rFonts w:hint="eastAsia"/>
              </w:rPr>
              <w:t>广东大埔县</w:t>
            </w:r>
          </w:p>
        </w:tc>
        <w:tc>
          <w:tcPr>
            <w:tcW w:w="1086" w:type="pct"/>
            <w:vAlign w:val="center"/>
          </w:tcPr>
          <w:p w14:paraId="052F6D35">
            <w:pPr>
              <w:pStyle w:val="12"/>
              <w:jc w:val="center"/>
            </w:pPr>
            <w:r>
              <w:rPr>
                <w:rFonts w:hint="eastAsia"/>
              </w:rPr>
              <w:t>副主任</w:t>
            </w:r>
          </w:p>
        </w:tc>
        <w:tc>
          <w:tcPr>
            <w:tcW w:w="1743" w:type="pct"/>
            <w:vAlign w:val="center"/>
          </w:tcPr>
          <w:p w14:paraId="2137EEB8">
            <w:pPr>
              <w:pStyle w:val="12"/>
              <w:jc w:val="left"/>
            </w:pPr>
            <w:r>
              <w:rPr>
                <w:rFonts w:hint="eastAsia"/>
              </w:rPr>
              <w:t>1986年5月至1992年5月</w:t>
            </w:r>
          </w:p>
        </w:tc>
      </w:tr>
      <w:tr w14:paraId="16F7D4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54D93232">
            <w:pPr>
              <w:pStyle w:val="12"/>
              <w:jc w:val="center"/>
            </w:pPr>
            <w:r>
              <w:rPr>
                <w:rFonts w:hint="eastAsia"/>
              </w:rPr>
              <w:t>童作焜</w:t>
            </w:r>
          </w:p>
        </w:tc>
        <w:tc>
          <w:tcPr>
            <w:tcW w:w="1086" w:type="pct"/>
            <w:vAlign w:val="center"/>
          </w:tcPr>
          <w:p w14:paraId="6014370C">
            <w:pPr>
              <w:pStyle w:val="12"/>
              <w:jc w:val="center"/>
            </w:pPr>
            <w:r>
              <w:rPr>
                <w:rFonts w:hint="eastAsia"/>
              </w:rPr>
              <w:t>广东南雄县</w:t>
            </w:r>
          </w:p>
        </w:tc>
        <w:tc>
          <w:tcPr>
            <w:tcW w:w="1086" w:type="pct"/>
            <w:vAlign w:val="center"/>
          </w:tcPr>
          <w:p w14:paraId="1EC0FA9F">
            <w:pPr>
              <w:pStyle w:val="12"/>
              <w:jc w:val="center"/>
            </w:pPr>
            <w:r>
              <w:rPr>
                <w:rFonts w:hint="eastAsia"/>
              </w:rPr>
              <w:t>副主任</w:t>
            </w:r>
          </w:p>
        </w:tc>
        <w:tc>
          <w:tcPr>
            <w:tcW w:w="1743" w:type="pct"/>
            <w:vAlign w:val="center"/>
          </w:tcPr>
          <w:p w14:paraId="25F8B444">
            <w:pPr>
              <w:pStyle w:val="12"/>
              <w:jc w:val="left"/>
            </w:pPr>
            <w:r>
              <w:rPr>
                <w:rFonts w:hint="eastAsia"/>
              </w:rPr>
              <w:t>1987年3月至1999年1月</w:t>
            </w:r>
          </w:p>
        </w:tc>
      </w:tr>
      <w:tr w14:paraId="2C4CC2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665056F3">
            <w:pPr>
              <w:pStyle w:val="12"/>
              <w:jc w:val="center"/>
            </w:pPr>
            <w:r>
              <w:rPr>
                <w:rFonts w:hint="eastAsia"/>
              </w:rPr>
              <w:t>钟子亮</w:t>
            </w:r>
          </w:p>
        </w:tc>
        <w:tc>
          <w:tcPr>
            <w:tcW w:w="1086" w:type="pct"/>
            <w:vAlign w:val="center"/>
          </w:tcPr>
          <w:p w14:paraId="1AFC369E">
            <w:pPr>
              <w:pStyle w:val="12"/>
              <w:jc w:val="center"/>
            </w:pPr>
            <w:r>
              <w:rPr>
                <w:rFonts w:hint="eastAsia"/>
              </w:rPr>
              <w:t>广东南雄县</w:t>
            </w:r>
          </w:p>
        </w:tc>
        <w:tc>
          <w:tcPr>
            <w:tcW w:w="1086" w:type="pct"/>
            <w:vAlign w:val="center"/>
          </w:tcPr>
          <w:p w14:paraId="5FE2E9C4">
            <w:pPr>
              <w:pStyle w:val="12"/>
              <w:jc w:val="center"/>
            </w:pPr>
            <w:r>
              <w:rPr>
                <w:rFonts w:hint="eastAsia"/>
              </w:rPr>
              <w:t>副主任</w:t>
            </w:r>
          </w:p>
        </w:tc>
        <w:tc>
          <w:tcPr>
            <w:tcW w:w="1743" w:type="pct"/>
            <w:vAlign w:val="center"/>
          </w:tcPr>
          <w:p w14:paraId="77A4720D">
            <w:pPr>
              <w:pStyle w:val="12"/>
              <w:jc w:val="left"/>
            </w:pPr>
            <w:r>
              <w:rPr>
                <w:rFonts w:hint="eastAsia"/>
              </w:rPr>
              <w:t>1987年3月至1996年3月</w:t>
            </w:r>
          </w:p>
        </w:tc>
      </w:tr>
      <w:tr w14:paraId="1A74246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5C13E5DE">
            <w:pPr>
              <w:pStyle w:val="12"/>
              <w:jc w:val="center"/>
            </w:pPr>
            <w:r>
              <w:rPr>
                <w:rFonts w:hint="eastAsia"/>
              </w:rPr>
              <w:t>桂嘉生</w:t>
            </w:r>
          </w:p>
        </w:tc>
        <w:tc>
          <w:tcPr>
            <w:tcW w:w="1086" w:type="pct"/>
            <w:vAlign w:val="center"/>
          </w:tcPr>
          <w:p w14:paraId="44A3F1CF">
            <w:pPr>
              <w:pStyle w:val="12"/>
              <w:jc w:val="center"/>
            </w:pPr>
            <w:r>
              <w:rPr>
                <w:rFonts w:hint="eastAsia"/>
              </w:rPr>
              <w:t>江西临川县</w:t>
            </w:r>
          </w:p>
        </w:tc>
        <w:tc>
          <w:tcPr>
            <w:tcW w:w="1086" w:type="pct"/>
            <w:vAlign w:val="center"/>
          </w:tcPr>
          <w:p w14:paraId="18771A12">
            <w:pPr>
              <w:pStyle w:val="12"/>
              <w:jc w:val="center"/>
            </w:pPr>
            <w:r>
              <w:rPr>
                <w:rFonts w:hint="eastAsia"/>
              </w:rPr>
              <w:t>副主任</w:t>
            </w:r>
          </w:p>
        </w:tc>
        <w:tc>
          <w:tcPr>
            <w:tcW w:w="1743" w:type="pct"/>
            <w:vAlign w:val="center"/>
          </w:tcPr>
          <w:p w14:paraId="151814A6">
            <w:pPr>
              <w:pStyle w:val="12"/>
              <w:jc w:val="left"/>
            </w:pPr>
            <w:r>
              <w:rPr>
                <w:rFonts w:hint="eastAsia"/>
              </w:rPr>
              <w:t>1987年3月至1993年2月</w:t>
            </w:r>
          </w:p>
        </w:tc>
      </w:tr>
      <w:tr w14:paraId="2113AF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4DCE4126">
            <w:pPr>
              <w:pStyle w:val="12"/>
              <w:jc w:val="center"/>
            </w:pPr>
            <w:r>
              <w:rPr>
                <w:rFonts w:hint="eastAsia"/>
              </w:rPr>
              <w:t>梁贵泰</w:t>
            </w:r>
          </w:p>
        </w:tc>
        <w:tc>
          <w:tcPr>
            <w:tcW w:w="1086" w:type="pct"/>
            <w:vAlign w:val="center"/>
          </w:tcPr>
          <w:p w14:paraId="576B3D55">
            <w:pPr>
              <w:pStyle w:val="12"/>
              <w:jc w:val="center"/>
            </w:pPr>
            <w:r>
              <w:rPr>
                <w:rFonts w:hint="eastAsia"/>
              </w:rPr>
              <w:t>江西南康县</w:t>
            </w:r>
          </w:p>
        </w:tc>
        <w:tc>
          <w:tcPr>
            <w:tcW w:w="1086" w:type="pct"/>
            <w:vAlign w:val="center"/>
          </w:tcPr>
          <w:p w14:paraId="043F912D">
            <w:pPr>
              <w:pStyle w:val="12"/>
              <w:jc w:val="center"/>
            </w:pPr>
            <w:r>
              <w:rPr>
                <w:rFonts w:hint="eastAsia"/>
              </w:rPr>
              <w:t>副主任</w:t>
            </w:r>
          </w:p>
        </w:tc>
        <w:tc>
          <w:tcPr>
            <w:tcW w:w="1743" w:type="pct"/>
            <w:vAlign w:val="center"/>
          </w:tcPr>
          <w:p w14:paraId="49418504">
            <w:pPr>
              <w:pStyle w:val="12"/>
              <w:jc w:val="left"/>
            </w:pPr>
            <w:r>
              <w:rPr>
                <w:rFonts w:hint="eastAsia"/>
              </w:rPr>
              <w:t>1987年3月至2003年3月</w:t>
            </w:r>
          </w:p>
        </w:tc>
      </w:tr>
      <w:tr w14:paraId="46AB27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5322696C">
            <w:pPr>
              <w:pStyle w:val="12"/>
              <w:jc w:val="center"/>
            </w:pPr>
            <w:r>
              <w:rPr>
                <w:rFonts w:hint="eastAsia"/>
              </w:rPr>
              <w:t>黄启钊</w:t>
            </w:r>
          </w:p>
        </w:tc>
        <w:tc>
          <w:tcPr>
            <w:tcW w:w="1086" w:type="pct"/>
            <w:vAlign w:val="center"/>
          </w:tcPr>
          <w:p w14:paraId="1F23A927">
            <w:pPr>
              <w:pStyle w:val="12"/>
              <w:jc w:val="center"/>
            </w:pPr>
            <w:r>
              <w:rPr>
                <w:rFonts w:hint="eastAsia"/>
              </w:rPr>
              <w:t>广东广州郊区</w:t>
            </w:r>
          </w:p>
        </w:tc>
        <w:tc>
          <w:tcPr>
            <w:tcW w:w="1086" w:type="pct"/>
            <w:vAlign w:val="center"/>
          </w:tcPr>
          <w:p w14:paraId="0B9143AD">
            <w:pPr>
              <w:pStyle w:val="12"/>
              <w:jc w:val="center"/>
            </w:pPr>
            <w:r>
              <w:rPr>
                <w:rFonts w:hint="eastAsia"/>
              </w:rPr>
              <w:t>主任</w:t>
            </w:r>
          </w:p>
        </w:tc>
        <w:tc>
          <w:tcPr>
            <w:tcW w:w="1743" w:type="pct"/>
            <w:vAlign w:val="center"/>
          </w:tcPr>
          <w:p w14:paraId="180E665F">
            <w:pPr>
              <w:pStyle w:val="12"/>
              <w:jc w:val="left"/>
            </w:pPr>
            <w:r>
              <w:rPr>
                <w:rFonts w:hint="eastAsia"/>
              </w:rPr>
              <w:t>1993年2月至1997年4月</w:t>
            </w:r>
          </w:p>
        </w:tc>
      </w:tr>
      <w:tr w14:paraId="5A4A68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4F599F96">
            <w:pPr>
              <w:pStyle w:val="12"/>
              <w:jc w:val="center"/>
            </w:pPr>
            <w:r>
              <w:rPr>
                <w:rFonts w:hint="eastAsia"/>
              </w:rPr>
              <w:t>董诗禄</w:t>
            </w:r>
          </w:p>
        </w:tc>
        <w:tc>
          <w:tcPr>
            <w:tcW w:w="1086" w:type="pct"/>
            <w:vAlign w:val="center"/>
          </w:tcPr>
          <w:p w14:paraId="7F319E8B">
            <w:pPr>
              <w:pStyle w:val="12"/>
              <w:jc w:val="center"/>
            </w:pPr>
            <w:r>
              <w:rPr>
                <w:rFonts w:hint="eastAsia"/>
              </w:rPr>
              <w:t>广东南雄</w:t>
            </w:r>
          </w:p>
        </w:tc>
        <w:tc>
          <w:tcPr>
            <w:tcW w:w="1086" w:type="pct"/>
            <w:vAlign w:val="center"/>
          </w:tcPr>
          <w:p w14:paraId="23332775">
            <w:pPr>
              <w:pStyle w:val="12"/>
              <w:jc w:val="center"/>
            </w:pPr>
            <w:r>
              <w:rPr>
                <w:rFonts w:hint="eastAsia"/>
              </w:rPr>
              <w:t>副主任</w:t>
            </w:r>
          </w:p>
        </w:tc>
        <w:tc>
          <w:tcPr>
            <w:tcW w:w="1743" w:type="pct"/>
            <w:vAlign w:val="center"/>
          </w:tcPr>
          <w:p w14:paraId="78962BBE">
            <w:pPr>
              <w:pStyle w:val="12"/>
              <w:jc w:val="left"/>
            </w:pPr>
            <w:r>
              <w:rPr>
                <w:rFonts w:hint="eastAsia"/>
              </w:rPr>
              <w:t>1993年2月至1996年3月</w:t>
            </w:r>
          </w:p>
        </w:tc>
      </w:tr>
      <w:tr w14:paraId="01B9C7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27BBE50F">
            <w:pPr>
              <w:pStyle w:val="12"/>
              <w:jc w:val="center"/>
            </w:pPr>
            <w:r>
              <w:rPr>
                <w:rFonts w:hint="eastAsia"/>
              </w:rPr>
              <w:t>廖威宗</w:t>
            </w:r>
          </w:p>
        </w:tc>
        <w:tc>
          <w:tcPr>
            <w:tcW w:w="1086" w:type="pct"/>
            <w:vAlign w:val="center"/>
          </w:tcPr>
          <w:p w14:paraId="4D13212D">
            <w:pPr>
              <w:pStyle w:val="12"/>
              <w:jc w:val="center"/>
            </w:pPr>
            <w:r>
              <w:rPr>
                <w:rFonts w:hint="eastAsia"/>
              </w:rPr>
              <w:t>广东梅县</w:t>
            </w:r>
          </w:p>
        </w:tc>
        <w:tc>
          <w:tcPr>
            <w:tcW w:w="1086" w:type="pct"/>
            <w:vAlign w:val="center"/>
          </w:tcPr>
          <w:p w14:paraId="700EB2E6">
            <w:pPr>
              <w:pStyle w:val="12"/>
              <w:jc w:val="center"/>
            </w:pPr>
            <w:r>
              <w:rPr>
                <w:rFonts w:hint="eastAsia"/>
              </w:rPr>
              <w:t>副主任</w:t>
            </w:r>
          </w:p>
        </w:tc>
        <w:tc>
          <w:tcPr>
            <w:tcW w:w="1743" w:type="pct"/>
            <w:vAlign w:val="center"/>
          </w:tcPr>
          <w:p w14:paraId="7781B940">
            <w:pPr>
              <w:pStyle w:val="12"/>
              <w:jc w:val="left"/>
            </w:pPr>
            <w:r>
              <w:rPr>
                <w:rFonts w:hint="eastAsia"/>
              </w:rPr>
              <w:t>1993年2月至1998年3月</w:t>
            </w:r>
          </w:p>
        </w:tc>
      </w:tr>
      <w:tr w14:paraId="755649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191EFF5E">
            <w:pPr>
              <w:pStyle w:val="12"/>
              <w:jc w:val="center"/>
            </w:pPr>
            <w:r>
              <w:rPr>
                <w:rFonts w:hint="eastAsia"/>
              </w:rPr>
              <w:t>朱  雄</w:t>
            </w:r>
          </w:p>
        </w:tc>
        <w:tc>
          <w:tcPr>
            <w:tcW w:w="1086" w:type="pct"/>
            <w:vAlign w:val="center"/>
          </w:tcPr>
          <w:p w14:paraId="13460185">
            <w:pPr>
              <w:pStyle w:val="12"/>
              <w:jc w:val="center"/>
            </w:pPr>
            <w:r>
              <w:rPr>
                <w:rFonts w:hint="eastAsia"/>
              </w:rPr>
              <w:t>广东南雄</w:t>
            </w:r>
          </w:p>
        </w:tc>
        <w:tc>
          <w:tcPr>
            <w:tcW w:w="1086" w:type="pct"/>
            <w:vAlign w:val="center"/>
          </w:tcPr>
          <w:p w14:paraId="51B20D7B">
            <w:pPr>
              <w:pStyle w:val="12"/>
              <w:jc w:val="center"/>
            </w:pPr>
            <w:r>
              <w:rPr>
                <w:rFonts w:hint="eastAsia"/>
              </w:rPr>
              <w:t>副主任</w:t>
            </w:r>
          </w:p>
        </w:tc>
        <w:tc>
          <w:tcPr>
            <w:tcW w:w="1743" w:type="pct"/>
            <w:vAlign w:val="center"/>
          </w:tcPr>
          <w:p w14:paraId="7B1F8A2A">
            <w:pPr>
              <w:pStyle w:val="12"/>
              <w:jc w:val="left"/>
            </w:pPr>
            <w:r>
              <w:rPr>
                <w:rFonts w:hint="eastAsia"/>
              </w:rPr>
              <w:t>1993年2月至1996年3月</w:t>
            </w:r>
          </w:p>
        </w:tc>
      </w:tr>
      <w:tr w14:paraId="2089D43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1485E053">
            <w:pPr>
              <w:pStyle w:val="12"/>
              <w:jc w:val="center"/>
            </w:pPr>
            <w:r>
              <w:rPr>
                <w:rFonts w:hint="eastAsia"/>
              </w:rPr>
              <w:t>刁淦宏</w:t>
            </w:r>
          </w:p>
        </w:tc>
        <w:tc>
          <w:tcPr>
            <w:tcW w:w="1086" w:type="pct"/>
            <w:vAlign w:val="center"/>
          </w:tcPr>
          <w:p w14:paraId="2ADD2C7A">
            <w:pPr>
              <w:pStyle w:val="12"/>
              <w:jc w:val="center"/>
            </w:pPr>
            <w:r>
              <w:rPr>
                <w:rFonts w:hint="eastAsia"/>
              </w:rPr>
              <w:t>广东兴宁</w:t>
            </w:r>
          </w:p>
        </w:tc>
        <w:tc>
          <w:tcPr>
            <w:tcW w:w="1086" w:type="pct"/>
            <w:vAlign w:val="center"/>
          </w:tcPr>
          <w:p w14:paraId="77F7E799">
            <w:pPr>
              <w:pStyle w:val="12"/>
              <w:jc w:val="center"/>
            </w:pPr>
            <w:r>
              <w:rPr>
                <w:rFonts w:hint="eastAsia"/>
              </w:rPr>
              <w:t>副主任</w:t>
            </w:r>
          </w:p>
        </w:tc>
        <w:tc>
          <w:tcPr>
            <w:tcW w:w="1743" w:type="pct"/>
            <w:vAlign w:val="center"/>
          </w:tcPr>
          <w:p w14:paraId="79773D5E">
            <w:pPr>
              <w:pStyle w:val="12"/>
              <w:jc w:val="left"/>
            </w:pPr>
            <w:r>
              <w:rPr>
                <w:rFonts w:hint="eastAsia"/>
              </w:rPr>
              <w:t>1996年3月至2002年3月</w:t>
            </w:r>
          </w:p>
        </w:tc>
      </w:tr>
      <w:tr w14:paraId="4030AD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33B4CDEC">
            <w:pPr>
              <w:pStyle w:val="12"/>
              <w:jc w:val="center"/>
            </w:pPr>
            <w:r>
              <w:rPr>
                <w:rFonts w:hint="eastAsia"/>
              </w:rPr>
              <w:t>林树雄</w:t>
            </w:r>
          </w:p>
        </w:tc>
        <w:tc>
          <w:tcPr>
            <w:tcW w:w="1086" w:type="pct"/>
            <w:vAlign w:val="center"/>
          </w:tcPr>
          <w:p w14:paraId="1EDB1F16">
            <w:pPr>
              <w:pStyle w:val="12"/>
              <w:jc w:val="center"/>
            </w:pPr>
            <w:r>
              <w:rPr>
                <w:rFonts w:hint="eastAsia"/>
              </w:rPr>
              <w:t>广东潮州</w:t>
            </w:r>
          </w:p>
        </w:tc>
        <w:tc>
          <w:tcPr>
            <w:tcW w:w="1086" w:type="pct"/>
            <w:vAlign w:val="center"/>
          </w:tcPr>
          <w:p w14:paraId="471176CE">
            <w:pPr>
              <w:pStyle w:val="12"/>
              <w:jc w:val="center"/>
            </w:pPr>
            <w:r>
              <w:rPr>
                <w:rFonts w:hint="eastAsia"/>
              </w:rPr>
              <w:t>副主任</w:t>
            </w:r>
          </w:p>
        </w:tc>
        <w:tc>
          <w:tcPr>
            <w:tcW w:w="1743" w:type="pct"/>
            <w:vAlign w:val="center"/>
          </w:tcPr>
          <w:p w14:paraId="783FABD5">
            <w:pPr>
              <w:pStyle w:val="12"/>
              <w:jc w:val="left"/>
            </w:pPr>
            <w:r>
              <w:rPr>
                <w:rFonts w:hint="eastAsia"/>
              </w:rPr>
              <w:t>1996年3月至1998年3月</w:t>
            </w:r>
          </w:p>
        </w:tc>
      </w:tr>
      <w:tr w14:paraId="07AAE4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54A07191">
            <w:pPr>
              <w:pStyle w:val="12"/>
              <w:jc w:val="center"/>
            </w:pPr>
            <w:r>
              <w:rPr>
                <w:rFonts w:hint="eastAsia"/>
              </w:rPr>
              <w:t>陈国惠</w:t>
            </w:r>
          </w:p>
        </w:tc>
        <w:tc>
          <w:tcPr>
            <w:tcW w:w="1086" w:type="pct"/>
            <w:vAlign w:val="center"/>
          </w:tcPr>
          <w:p w14:paraId="6EBB9DCC">
            <w:pPr>
              <w:pStyle w:val="12"/>
              <w:jc w:val="center"/>
            </w:pPr>
            <w:r>
              <w:rPr>
                <w:rFonts w:hint="eastAsia"/>
              </w:rPr>
              <w:t>广东普宁</w:t>
            </w:r>
          </w:p>
        </w:tc>
        <w:tc>
          <w:tcPr>
            <w:tcW w:w="1086" w:type="pct"/>
            <w:vAlign w:val="center"/>
          </w:tcPr>
          <w:p w14:paraId="20BC8DC2">
            <w:pPr>
              <w:pStyle w:val="12"/>
              <w:jc w:val="center"/>
            </w:pPr>
            <w:r>
              <w:rPr>
                <w:rFonts w:hint="eastAsia"/>
              </w:rPr>
              <w:t>副主任</w:t>
            </w:r>
          </w:p>
        </w:tc>
        <w:tc>
          <w:tcPr>
            <w:tcW w:w="1743" w:type="pct"/>
            <w:vAlign w:val="center"/>
          </w:tcPr>
          <w:p w14:paraId="0F6296F3">
            <w:pPr>
              <w:pStyle w:val="12"/>
              <w:jc w:val="left"/>
            </w:pPr>
            <w:r>
              <w:rPr>
                <w:rFonts w:hint="eastAsia"/>
              </w:rPr>
              <w:t>1996年3月至1998年3月</w:t>
            </w:r>
          </w:p>
        </w:tc>
      </w:tr>
      <w:tr w14:paraId="5B9693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3320A043">
            <w:pPr>
              <w:pStyle w:val="12"/>
              <w:jc w:val="center"/>
            </w:pPr>
            <w:r>
              <w:rPr>
                <w:rFonts w:hint="eastAsia"/>
              </w:rPr>
              <w:t>谢兴宏</w:t>
            </w:r>
          </w:p>
        </w:tc>
        <w:tc>
          <w:tcPr>
            <w:tcW w:w="1086" w:type="pct"/>
            <w:vAlign w:val="center"/>
          </w:tcPr>
          <w:p w14:paraId="76938A01">
            <w:pPr>
              <w:pStyle w:val="12"/>
              <w:jc w:val="center"/>
            </w:pPr>
            <w:r>
              <w:rPr>
                <w:rFonts w:hint="eastAsia"/>
              </w:rPr>
              <w:t>广东南雄</w:t>
            </w:r>
          </w:p>
        </w:tc>
        <w:tc>
          <w:tcPr>
            <w:tcW w:w="1086" w:type="pct"/>
            <w:vAlign w:val="center"/>
          </w:tcPr>
          <w:p w14:paraId="030749E7">
            <w:pPr>
              <w:pStyle w:val="12"/>
              <w:jc w:val="center"/>
            </w:pPr>
            <w:r>
              <w:rPr>
                <w:rFonts w:hint="eastAsia"/>
              </w:rPr>
              <w:t>主任</w:t>
            </w:r>
          </w:p>
        </w:tc>
        <w:tc>
          <w:tcPr>
            <w:tcW w:w="1743" w:type="pct"/>
            <w:vAlign w:val="center"/>
          </w:tcPr>
          <w:p w14:paraId="4D82B558">
            <w:pPr>
              <w:pStyle w:val="12"/>
              <w:jc w:val="left"/>
            </w:pPr>
            <w:r>
              <w:rPr>
                <w:rFonts w:hint="eastAsia"/>
              </w:rPr>
              <w:t>1997年4月至1998年3月</w:t>
            </w:r>
          </w:p>
        </w:tc>
      </w:tr>
      <w:tr w14:paraId="040FE1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608ED698">
            <w:pPr>
              <w:pStyle w:val="12"/>
              <w:jc w:val="center"/>
            </w:pPr>
            <w:r>
              <w:rPr>
                <w:rFonts w:hint="eastAsia"/>
              </w:rPr>
              <w:t>曲令平</w:t>
            </w:r>
          </w:p>
        </w:tc>
        <w:tc>
          <w:tcPr>
            <w:tcW w:w="1086" w:type="pct"/>
            <w:vAlign w:val="center"/>
          </w:tcPr>
          <w:p w14:paraId="77AC4FC8">
            <w:pPr>
              <w:pStyle w:val="12"/>
              <w:jc w:val="center"/>
            </w:pPr>
            <w:r>
              <w:rPr>
                <w:rFonts w:hint="eastAsia"/>
              </w:rPr>
              <w:t>河南唐河</w:t>
            </w:r>
          </w:p>
        </w:tc>
        <w:tc>
          <w:tcPr>
            <w:tcW w:w="1086" w:type="pct"/>
            <w:vAlign w:val="center"/>
          </w:tcPr>
          <w:p w14:paraId="2DCD998C">
            <w:pPr>
              <w:pStyle w:val="12"/>
              <w:jc w:val="center"/>
            </w:pPr>
            <w:r>
              <w:rPr>
                <w:rFonts w:hint="eastAsia"/>
              </w:rPr>
              <w:t>主任</w:t>
            </w:r>
          </w:p>
        </w:tc>
        <w:tc>
          <w:tcPr>
            <w:tcW w:w="1743" w:type="pct"/>
            <w:vAlign w:val="center"/>
          </w:tcPr>
          <w:p w14:paraId="59F91050">
            <w:pPr>
              <w:pStyle w:val="12"/>
              <w:jc w:val="left"/>
            </w:pPr>
            <w:r>
              <w:rPr>
                <w:rFonts w:hint="eastAsia"/>
              </w:rPr>
              <w:t>1998年3月至2003年3月</w:t>
            </w:r>
          </w:p>
        </w:tc>
      </w:tr>
      <w:tr w14:paraId="7BB3C7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7BE559BC">
            <w:pPr>
              <w:pStyle w:val="12"/>
              <w:jc w:val="center"/>
            </w:pPr>
            <w:r>
              <w:rPr>
                <w:rFonts w:hint="eastAsia"/>
              </w:rPr>
              <w:t>肖星庆</w:t>
            </w:r>
          </w:p>
        </w:tc>
        <w:tc>
          <w:tcPr>
            <w:tcW w:w="1086" w:type="pct"/>
            <w:vAlign w:val="center"/>
          </w:tcPr>
          <w:p w14:paraId="225DE1F2">
            <w:pPr>
              <w:pStyle w:val="12"/>
              <w:jc w:val="center"/>
            </w:pPr>
            <w:r>
              <w:rPr>
                <w:rFonts w:hint="eastAsia"/>
              </w:rPr>
              <w:t>广东南雄</w:t>
            </w:r>
          </w:p>
        </w:tc>
        <w:tc>
          <w:tcPr>
            <w:tcW w:w="1086" w:type="pct"/>
            <w:vAlign w:val="center"/>
          </w:tcPr>
          <w:p w14:paraId="6B18DE42">
            <w:pPr>
              <w:pStyle w:val="12"/>
              <w:jc w:val="center"/>
            </w:pPr>
            <w:r>
              <w:rPr>
                <w:rFonts w:hint="eastAsia"/>
              </w:rPr>
              <w:t>副主任</w:t>
            </w:r>
          </w:p>
        </w:tc>
        <w:tc>
          <w:tcPr>
            <w:tcW w:w="1743" w:type="pct"/>
            <w:vAlign w:val="center"/>
          </w:tcPr>
          <w:p w14:paraId="0FF4C6C4">
            <w:pPr>
              <w:pStyle w:val="12"/>
              <w:jc w:val="left"/>
            </w:pPr>
            <w:r>
              <w:rPr>
                <w:rFonts w:hint="eastAsia"/>
              </w:rPr>
              <w:t>1998年3月至2003年3月</w:t>
            </w:r>
          </w:p>
        </w:tc>
      </w:tr>
      <w:tr w14:paraId="5C23B9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304A351B">
            <w:pPr>
              <w:pStyle w:val="12"/>
              <w:jc w:val="center"/>
            </w:pPr>
            <w:r>
              <w:rPr>
                <w:rFonts w:hint="eastAsia"/>
              </w:rPr>
              <w:t>陈吉安</w:t>
            </w:r>
          </w:p>
        </w:tc>
        <w:tc>
          <w:tcPr>
            <w:tcW w:w="1086" w:type="pct"/>
            <w:vAlign w:val="center"/>
          </w:tcPr>
          <w:p w14:paraId="0047192D">
            <w:pPr>
              <w:pStyle w:val="12"/>
              <w:jc w:val="center"/>
            </w:pPr>
            <w:r>
              <w:rPr>
                <w:rFonts w:hint="eastAsia"/>
              </w:rPr>
              <w:t>广东兴宁</w:t>
            </w:r>
          </w:p>
        </w:tc>
        <w:tc>
          <w:tcPr>
            <w:tcW w:w="1086" w:type="pct"/>
            <w:vAlign w:val="center"/>
          </w:tcPr>
          <w:p w14:paraId="0175FC20">
            <w:pPr>
              <w:pStyle w:val="12"/>
              <w:jc w:val="center"/>
            </w:pPr>
            <w:r>
              <w:rPr>
                <w:rFonts w:hint="eastAsia"/>
              </w:rPr>
              <w:t>副主任</w:t>
            </w:r>
          </w:p>
        </w:tc>
        <w:tc>
          <w:tcPr>
            <w:tcW w:w="1743" w:type="pct"/>
            <w:vAlign w:val="center"/>
          </w:tcPr>
          <w:p w14:paraId="79178080">
            <w:pPr>
              <w:pStyle w:val="12"/>
              <w:jc w:val="left"/>
            </w:pPr>
            <w:r>
              <w:rPr>
                <w:rFonts w:hint="eastAsia"/>
              </w:rPr>
              <w:t>1998年3月至2003年3月</w:t>
            </w:r>
          </w:p>
        </w:tc>
      </w:tr>
      <w:tr w14:paraId="53A643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5161BD5E">
            <w:pPr>
              <w:pStyle w:val="12"/>
              <w:jc w:val="center"/>
            </w:pPr>
            <w:r>
              <w:rPr>
                <w:rFonts w:hint="eastAsia"/>
              </w:rPr>
              <w:t>欧阳效元</w:t>
            </w:r>
          </w:p>
        </w:tc>
        <w:tc>
          <w:tcPr>
            <w:tcW w:w="1086" w:type="pct"/>
            <w:vAlign w:val="center"/>
          </w:tcPr>
          <w:p w14:paraId="0262B8E3">
            <w:pPr>
              <w:pStyle w:val="12"/>
              <w:jc w:val="center"/>
            </w:pPr>
            <w:r>
              <w:rPr>
                <w:rFonts w:hint="eastAsia"/>
              </w:rPr>
              <w:t>广东南雄</w:t>
            </w:r>
          </w:p>
        </w:tc>
        <w:tc>
          <w:tcPr>
            <w:tcW w:w="1086" w:type="pct"/>
            <w:vAlign w:val="center"/>
          </w:tcPr>
          <w:p w14:paraId="281C8AE2">
            <w:pPr>
              <w:pStyle w:val="12"/>
              <w:jc w:val="center"/>
            </w:pPr>
            <w:r>
              <w:rPr>
                <w:rFonts w:hint="eastAsia"/>
              </w:rPr>
              <w:t>副主任</w:t>
            </w:r>
          </w:p>
        </w:tc>
        <w:tc>
          <w:tcPr>
            <w:tcW w:w="1743" w:type="pct"/>
            <w:vAlign w:val="center"/>
          </w:tcPr>
          <w:p w14:paraId="26D91FE2">
            <w:pPr>
              <w:pStyle w:val="12"/>
              <w:jc w:val="left"/>
            </w:pPr>
            <w:r>
              <w:rPr>
                <w:rFonts w:hint="eastAsia"/>
              </w:rPr>
              <w:t>2002年3月</w:t>
            </w:r>
          </w:p>
        </w:tc>
      </w:tr>
      <w:tr w14:paraId="687DD3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03FA63F3">
            <w:pPr>
              <w:pStyle w:val="12"/>
              <w:jc w:val="center"/>
            </w:pPr>
            <w:r>
              <w:rPr>
                <w:rFonts w:hint="eastAsia"/>
              </w:rPr>
              <w:t>何为星</w:t>
            </w:r>
          </w:p>
        </w:tc>
        <w:tc>
          <w:tcPr>
            <w:tcW w:w="1086" w:type="pct"/>
            <w:vAlign w:val="center"/>
          </w:tcPr>
          <w:p w14:paraId="20606329">
            <w:pPr>
              <w:pStyle w:val="12"/>
              <w:jc w:val="center"/>
            </w:pPr>
            <w:r>
              <w:rPr>
                <w:rFonts w:hint="eastAsia"/>
              </w:rPr>
              <w:t>广东仁化</w:t>
            </w:r>
          </w:p>
        </w:tc>
        <w:tc>
          <w:tcPr>
            <w:tcW w:w="1086" w:type="pct"/>
            <w:vAlign w:val="center"/>
          </w:tcPr>
          <w:p w14:paraId="33D2F0E9">
            <w:pPr>
              <w:pStyle w:val="12"/>
              <w:jc w:val="center"/>
            </w:pPr>
            <w:r>
              <w:rPr>
                <w:rFonts w:hint="eastAsia"/>
              </w:rPr>
              <w:t>主任</w:t>
            </w:r>
          </w:p>
        </w:tc>
        <w:tc>
          <w:tcPr>
            <w:tcW w:w="1743" w:type="pct"/>
            <w:vAlign w:val="center"/>
          </w:tcPr>
          <w:p w14:paraId="28298B96">
            <w:pPr>
              <w:pStyle w:val="12"/>
              <w:jc w:val="left"/>
            </w:pPr>
            <w:r>
              <w:rPr>
                <w:rFonts w:hint="eastAsia"/>
              </w:rPr>
              <w:t>2003年10月至2004年6月</w:t>
            </w:r>
          </w:p>
        </w:tc>
      </w:tr>
      <w:tr w14:paraId="54DC18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7C2F90DC">
            <w:pPr>
              <w:pStyle w:val="12"/>
              <w:jc w:val="center"/>
            </w:pPr>
            <w:r>
              <w:rPr>
                <w:rFonts w:hint="eastAsia"/>
              </w:rPr>
              <w:t>刘发群</w:t>
            </w:r>
          </w:p>
        </w:tc>
        <w:tc>
          <w:tcPr>
            <w:tcW w:w="1086" w:type="pct"/>
            <w:vAlign w:val="center"/>
          </w:tcPr>
          <w:p w14:paraId="3347ACB5">
            <w:pPr>
              <w:pStyle w:val="12"/>
              <w:jc w:val="center"/>
            </w:pPr>
            <w:r>
              <w:rPr>
                <w:rFonts w:hint="eastAsia"/>
              </w:rPr>
              <w:t>广东南雄</w:t>
            </w:r>
          </w:p>
        </w:tc>
        <w:tc>
          <w:tcPr>
            <w:tcW w:w="1086" w:type="pct"/>
            <w:vAlign w:val="center"/>
          </w:tcPr>
          <w:p w14:paraId="3A0396A6">
            <w:pPr>
              <w:pStyle w:val="12"/>
              <w:jc w:val="center"/>
            </w:pPr>
            <w:r>
              <w:rPr>
                <w:rFonts w:hint="eastAsia"/>
              </w:rPr>
              <w:t>副主任</w:t>
            </w:r>
          </w:p>
        </w:tc>
        <w:tc>
          <w:tcPr>
            <w:tcW w:w="1743" w:type="pct"/>
            <w:vAlign w:val="center"/>
          </w:tcPr>
          <w:p w14:paraId="4F0D26C6">
            <w:pPr>
              <w:pStyle w:val="12"/>
              <w:jc w:val="left"/>
            </w:pPr>
            <w:r>
              <w:rPr>
                <w:rFonts w:hint="eastAsia"/>
              </w:rPr>
              <w:t>2003年10月</w:t>
            </w:r>
          </w:p>
        </w:tc>
      </w:tr>
      <w:tr w14:paraId="0865DA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4FE1CD69">
            <w:pPr>
              <w:pStyle w:val="12"/>
              <w:jc w:val="center"/>
            </w:pPr>
            <w:r>
              <w:rPr>
                <w:rFonts w:hint="eastAsia"/>
              </w:rPr>
              <w:t>涂运发</w:t>
            </w:r>
          </w:p>
        </w:tc>
        <w:tc>
          <w:tcPr>
            <w:tcW w:w="1086" w:type="pct"/>
            <w:vAlign w:val="center"/>
          </w:tcPr>
          <w:p w14:paraId="3088A2C7">
            <w:pPr>
              <w:pStyle w:val="12"/>
              <w:jc w:val="center"/>
            </w:pPr>
            <w:r>
              <w:rPr>
                <w:rFonts w:hint="eastAsia"/>
              </w:rPr>
              <w:t>广东南雄</w:t>
            </w:r>
          </w:p>
        </w:tc>
        <w:tc>
          <w:tcPr>
            <w:tcW w:w="1086" w:type="pct"/>
            <w:vAlign w:val="center"/>
          </w:tcPr>
          <w:p w14:paraId="1C869B51">
            <w:pPr>
              <w:pStyle w:val="12"/>
              <w:jc w:val="center"/>
            </w:pPr>
            <w:r>
              <w:rPr>
                <w:rFonts w:hint="eastAsia"/>
              </w:rPr>
              <w:t>副主任</w:t>
            </w:r>
          </w:p>
        </w:tc>
        <w:tc>
          <w:tcPr>
            <w:tcW w:w="1743" w:type="pct"/>
            <w:vAlign w:val="center"/>
          </w:tcPr>
          <w:p w14:paraId="125F87E7">
            <w:pPr>
              <w:pStyle w:val="12"/>
              <w:jc w:val="left"/>
            </w:pPr>
            <w:r>
              <w:rPr>
                <w:rFonts w:hint="eastAsia"/>
              </w:rPr>
              <w:t>2003年10月</w:t>
            </w:r>
          </w:p>
        </w:tc>
      </w:tr>
      <w:tr w14:paraId="4779E3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Align w:val="center"/>
          </w:tcPr>
          <w:p w14:paraId="405C136C">
            <w:pPr>
              <w:pStyle w:val="12"/>
              <w:jc w:val="center"/>
            </w:pPr>
            <w:r>
              <w:rPr>
                <w:rFonts w:hint="eastAsia"/>
              </w:rPr>
              <w:t>李  冰</w:t>
            </w:r>
          </w:p>
        </w:tc>
        <w:tc>
          <w:tcPr>
            <w:tcW w:w="1086" w:type="pct"/>
            <w:vAlign w:val="center"/>
          </w:tcPr>
          <w:p w14:paraId="65826CD2">
            <w:pPr>
              <w:pStyle w:val="12"/>
              <w:jc w:val="center"/>
            </w:pPr>
            <w:r>
              <w:rPr>
                <w:rFonts w:hint="eastAsia"/>
              </w:rPr>
              <w:t>广东南雄</w:t>
            </w:r>
          </w:p>
        </w:tc>
        <w:tc>
          <w:tcPr>
            <w:tcW w:w="1086" w:type="pct"/>
            <w:vAlign w:val="center"/>
          </w:tcPr>
          <w:p w14:paraId="4F76A19D">
            <w:pPr>
              <w:pStyle w:val="12"/>
              <w:jc w:val="center"/>
            </w:pPr>
            <w:r>
              <w:rPr>
                <w:rFonts w:hint="eastAsia"/>
              </w:rPr>
              <w:t>副主任</w:t>
            </w:r>
          </w:p>
        </w:tc>
        <w:tc>
          <w:tcPr>
            <w:tcW w:w="1743" w:type="pct"/>
            <w:vAlign w:val="center"/>
          </w:tcPr>
          <w:p w14:paraId="42419DC5">
            <w:pPr>
              <w:pStyle w:val="12"/>
              <w:jc w:val="left"/>
            </w:pPr>
            <w:r>
              <w:rPr>
                <w:rFonts w:hint="eastAsia"/>
              </w:rPr>
              <w:t>2003年10月</w:t>
            </w:r>
          </w:p>
        </w:tc>
      </w:tr>
    </w:tbl>
    <w:p w14:paraId="33F55663">
      <w:pPr>
        <w:pStyle w:val="4"/>
        <w:rPr>
          <w:rFonts w:ascii="宋体" w:hAnsi="宋体"/>
        </w:rPr>
      </w:pPr>
      <w:r>
        <w:rPr>
          <w:rFonts w:hint="eastAsia" w:ascii="宋体" w:hAnsi="宋体"/>
        </w:rPr>
        <w:t>第五节  乡镇人民代表大会</w:t>
      </w:r>
    </w:p>
    <w:p w14:paraId="239A5D3F">
      <w:pPr>
        <w:ind w:firstLine="420"/>
        <w:rPr>
          <w:rFonts w:ascii="宋体" w:hAnsi="宋体"/>
          <w:szCs w:val="21"/>
        </w:rPr>
      </w:pPr>
      <w:r>
        <w:rPr>
          <w:rFonts w:hint="eastAsia" w:ascii="宋体" w:hAnsi="宋体"/>
          <w:szCs w:val="21"/>
        </w:rPr>
        <w:t>中华人民共和国《地方各级人民代表大会地方各级人民政府组织法》规定，乡镇人民代表大会每届任期</w:t>
      </w:r>
      <w:r>
        <w:rPr>
          <w:rFonts w:ascii="宋体" w:hAnsi="宋体"/>
          <w:szCs w:val="21"/>
        </w:rPr>
        <w:t>3年，每年举行会议1次。第一届到第六届各乡镇（公社）</w:t>
      </w:r>
      <w:r>
        <w:rPr>
          <w:rFonts w:hint="eastAsia" w:ascii="宋体" w:hAnsi="宋体"/>
          <w:szCs w:val="21"/>
        </w:rPr>
        <w:t>人民代表大会都未依法按时召开。</w:t>
      </w:r>
      <w:r>
        <w:rPr>
          <w:rFonts w:ascii="宋体" w:hAnsi="宋体"/>
          <w:szCs w:val="21"/>
        </w:rPr>
        <w:t>1984年第七届乡镇人民代表大会以后，始走上依</w:t>
      </w:r>
      <w:r>
        <w:rPr>
          <w:rFonts w:hint="eastAsia" w:ascii="宋体" w:hAnsi="宋体"/>
          <w:szCs w:val="21"/>
        </w:rPr>
        <w:t>法按时召开的轨道。</w:t>
      </w:r>
    </w:p>
    <w:p w14:paraId="1D5E9D93">
      <w:pPr>
        <w:ind w:firstLine="420"/>
        <w:rPr>
          <w:rFonts w:ascii="宋体" w:hAnsi="宋体"/>
          <w:szCs w:val="21"/>
        </w:rPr>
      </w:pPr>
      <w:r>
        <w:rPr>
          <w:rFonts w:hint="eastAsia" w:ascii="宋体" w:hAnsi="宋体"/>
          <w:szCs w:val="21"/>
        </w:rPr>
        <w:t>乡镇人民代表大会每次会议由该乡镇人大代表选举大会主席团主持会议。每届第一次会议须听取和审议通过乡镇政府工作报告，选举正副乡镇长，第二、三次会议为每年例会，主要议程是听取和审议通过该乡镇政府工作报告。会期一般为</w:t>
      </w:r>
      <w:r>
        <w:rPr>
          <w:rFonts w:ascii="宋体" w:hAnsi="宋体"/>
          <w:szCs w:val="21"/>
        </w:rPr>
        <w:t>1天</w:t>
      </w:r>
      <w:r>
        <w:rPr>
          <w:rFonts w:hint="eastAsia" w:ascii="宋体" w:hAnsi="宋体"/>
          <w:szCs w:val="21"/>
        </w:rPr>
        <w:t>。</w:t>
      </w:r>
    </w:p>
    <w:p w14:paraId="19076A3E">
      <w:pPr>
        <w:ind w:firstLine="420"/>
        <w:rPr>
          <w:rFonts w:ascii="宋体" w:hAnsi="宋体"/>
          <w:szCs w:val="21"/>
        </w:rPr>
      </w:pPr>
      <w:r>
        <w:rPr>
          <w:rFonts w:ascii="宋体" w:hAnsi="宋体"/>
          <w:szCs w:val="21"/>
        </w:rPr>
        <w:t>1990年起，乡镇人大主席团设常务主席1名，由乡镇人民代表大会选举产生</w:t>
      </w:r>
      <w:r>
        <w:rPr>
          <w:rFonts w:hint="eastAsia" w:ascii="宋体" w:hAnsi="宋体"/>
          <w:szCs w:val="21"/>
        </w:rPr>
        <w:t>。乡镇设立人大办公室，配备秘书</w:t>
      </w:r>
      <w:r>
        <w:rPr>
          <w:rFonts w:ascii="宋体" w:hAnsi="宋体"/>
          <w:szCs w:val="21"/>
        </w:rPr>
        <w:t>1名</w:t>
      </w:r>
      <w:r>
        <w:rPr>
          <w:rFonts w:hint="eastAsia" w:ascii="宋体" w:hAnsi="宋体"/>
          <w:szCs w:val="21"/>
        </w:rPr>
        <w:t>。</w:t>
      </w:r>
    </w:p>
    <w:p w14:paraId="36C5EF23">
      <w:pPr>
        <w:pStyle w:val="3"/>
        <w:rPr>
          <w:rFonts w:ascii="宋体" w:hAnsi="宋体"/>
        </w:rPr>
      </w:pPr>
      <w:r>
        <w:rPr>
          <w:rFonts w:hint="eastAsia" w:ascii="宋体" w:hAnsi="宋体"/>
        </w:rPr>
        <w:t>第三章  南雄市（县）人民政府</w:t>
      </w:r>
    </w:p>
    <w:p w14:paraId="39930D16">
      <w:pPr>
        <w:pStyle w:val="4"/>
        <w:rPr>
          <w:rFonts w:ascii="宋体" w:hAnsi="宋体"/>
        </w:rPr>
      </w:pPr>
      <w:r>
        <w:rPr>
          <w:rFonts w:hint="eastAsia" w:ascii="宋体" w:hAnsi="宋体"/>
        </w:rPr>
        <w:t>第一节  市（县）人民政府机构</w:t>
      </w:r>
    </w:p>
    <w:p w14:paraId="78CB613E">
      <w:pPr>
        <w:pStyle w:val="5"/>
        <w:rPr>
          <w:rFonts w:ascii="宋体" w:hAnsi="宋体"/>
        </w:rPr>
      </w:pPr>
      <w:r>
        <w:rPr>
          <w:rFonts w:hint="eastAsia" w:ascii="宋体" w:hAnsi="宋体"/>
        </w:rPr>
        <w:t>一、新中国成立初期</w:t>
      </w:r>
    </w:p>
    <w:p w14:paraId="79018428">
      <w:pPr>
        <w:ind w:firstLine="420"/>
        <w:rPr>
          <w:rFonts w:ascii="宋体" w:hAnsi="宋体"/>
          <w:szCs w:val="21"/>
        </w:rPr>
      </w:pPr>
      <w:r>
        <w:rPr>
          <w:rFonts w:ascii="宋体" w:hAnsi="宋体"/>
          <w:szCs w:val="21"/>
        </w:rPr>
        <w:t>1950年县人民政府设秘书室、民政科、建设科、文教科、工商科、财粮科、税</w:t>
      </w:r>
      <w:r>
        <w:rPr>
          <w:rFonts w:hint="eastAsia" w:ascii="宋体" w:hAnsi="宋体"/>
          <w:szCs w:val="21"/>
        </w:rPr>
        <w:t>务局、公安局。</w:t>
      </w:r>
      <w:r>
        <w:rPr>
          <w:rFonts w:ascii="宋体" w:hAnsi="宋体"/>
          <w:szCs w:val="21"/>
        </w:rPr>
        <w:t>1954年县人民政府改称为县人民委员会，逐步增设机构，至1957年</w:t>
      </w:r>
      <w:r>
        <w:rPr>
          <w:rFonts w:hint="eastAsia" w:ascii="宋体" w:hAnsi="宋体"/>
          <w:szCs w:val="21"/>
        </w:rPr>
        <w:t>有人委办公室、计划委员会、民政科、农业科、林业科、水利科、交通科、工业科、手工业科、统计科、文教科、卫生科、税务局、财政局、粮食局、商业局、公安局等</w:t>
      </w:r>
      <w:r>
        <w:rPr>
          <w:rFonts w:ascii="宋体" w:hAnsi="宋体"/>
          <w:szCs w:val="21"/>
        </w:rPr>
        <w:t>17个单位，干部372人</w:t>
      </w:r>
      <w:r>
        <w:rPr>
          <w:rFonts w:hint="eastAsia" w:ascii="宋体" w:hAnsi="宋体"/>
          <w:szCs w:val="21"/>
        </w:rPr>
        <w:t>。</w:t>
      </w:r>
    </w:p>
    <w:p w14:paraId="7E682B5F">
      <w:pPr>
        <w:pStyle w:val="5"/>
        <w:rPr>
          <w:rFonts w:ascii="宋体" w:hAnsi="宋体"/>
        </w:rPr>
      </w:pPr>
      <w:r>
        <w:rPr>
          <w:rFonts w:hint="eastAsia" w:ascii="宋体" w:hAnsi="宋体"/>
        </w:rPr>
        <w:t>二、人民公社时期</w:t>
      </w:r>
    </w:p>
    <w:p w14:paraId="7F589EF3">
      <w:pPr>
        <w:ind w:firstLine="420"/>
        <w:rPr>
          <w:rFonts w:ascii="宋体" w:hAnsi="宋体"/>
          <w:szCs w:val="21"/>
        </w:rPr>
      </w:pPr>
      <w:r>
        <w:rPr>
          <w:rFonts w:ascii="宋体" w:hAnsi="宋体"/>
          <w:szCs w:val="21"/>
        </w:rPr>
        <w:t>1958年12月，南雄和始兴两县合并，曾一度成立政社合一的县联社管理委员会</w:t>
      </w:r>
      <w:r>
        <w:rPr>
          <w:rFonts w:hint="eastAsia" w:ascii="宋体" w:hAnsi="宋体"/>
          <w:szCs w:val="21"/>
        </w:rPr>
        <w:t>机构。</w:t>
      </w:r>
      <w:r>
        <w:rPr>
          <w:rFonts w:ascii="宋体" w:hAnsi="宋体"/>
          <w:szCs w:val="21"/>
        </w:rPr>
        <w:t>1959年10月撤销，恢复委、办、科、局。1960年10月南雄、始兴两县分开，</w:t>
      </w:r>
      <w:r>
        <w:rPr>
          <w:rFonts w:hint="eastAsia" w:ascii="宋体" w:hAnsi="宋体"/>
          <w:szCs w:val="21"/>
        </w:rPr>
        <w:t>恢复南雄县原建制。</w:t>
      </w:r>
      <w:r>
        <w:rPr>
          <w:rFonts w:ascii="宋体" w:hAnsi="宋体"/>
          <w:szCs w:val="21"/>
        </w:rPr>
        <w:t>1965年县人民委员会下设人委办公室、财贸办公室、工交办公</w:t>
      </w:r>
      <w:r>
        <w:rPr>
          <w:rFonts w:hint="eastAsia" w:ascii="宋体" w:hAnsi="宋体"/>
          <w:szCs w:val="21"/>
        </w:rPr>
        <w:t>室、农林水办公室、计划生育委员会办公室、计划委员会、科学技术委员会、体育运动委员会、民政局、农业局、农垦局、文教局、畜牧水产局、统计局、税务局、粮食局、工业局、人事科、劳动局、手工业管理局、卫生局、森林工业局、水利局、文化局、财政局、物价局、外贸局、商业局、物资局、交通局、公安局、林业局、工商行政管理局</w:t>
      </w:r>
      <w:r>
        <w:rPr>
          <w:rFonts w:ascii="宋体" w:hAnsi="宋体"/>
          <w:szCs w:val="21"/>
        </w:rPr>
        <w:t>34个单位，干部614人</w:t>
      </w:r>
      <w:r>
        <w:rPr>
          <w:rFonts w:hint="eastAsia" w:ascii="宋体" w:hAnsi="宋体"/>
          <w:szCs w:val="21"/>
        </w:rPr>
        <w:t>。</w:t>
      </w:r>
    </w:p>
    <w:p w14:paraId="4024AE9E">
      <w:pPr>
        <w:pStyle w:val="5"/>
        <w:rPr>
          <w:rFonts w:ascii="宋体" w:hAnsi="宋体"/>
        </w:rPr>
      </w:pPr>
      <w:r>
        <w:rPr>
          <w:rFonts w:hint="eastAsia" w:ascii="宋体" w:hAnsi="宋体"/>
        </w:rPr>
        <w:t>三、“文化大革命”时期</w:t>
      </w:r>
    </w:p>
    <w:p w14:paraId="3925526C">
      <w:pPr>
        <w:ind w:firstLine="420"/>
        <w:rPr>
          <w:rFonts w:ascii="宋体" w:hAnsi="宋体"/>
          <w:szCs w:val="21"/>
        </w:rPr>
      </w:pPr>
      <w:r>
        <w:rPr>
          <w:rFonts w:ascii="宋体" w:hAnsi="宋体"/>
          <w:szCs w:val="21"/>
        </w:rPr>
        <w:t>1967年1月，造反派夺权后，成立抓革命促生产核心小组，下设生产指挥部和</w:t>
      </w:r>
      <w:r>
        <w:rPr>
          <w:rFonts w:hint="eastAsia" w:ascii="宋体" w:hAnsi="宋体"/>
          <w:szCs w:val="21"/>
        </w:rPr>
        <w:t>学习“毛主席著作”办公室。</w:t>
      </w:r>
    </w:p>
    <w:p w14:paraId="61A97F52">
      <w:pPr>
        <w:ind w:firstLine="420"/>
        <w:rPr>
          <w:rFonts w:ascii="宋体" w:hAnsi="宋体"/>
          <w:szCs w:val="21"/>
        </w:rPr>
      </w:pPr>
      <w:r>
        <w:rPr>
          <w:rFonts w:ascii="宋体" w:hAnsi="宋体"/>
          <w:szCs w:val="21"/>
        </w:rPr>
        <w:t>1968年4月成立南雄县革命委员会。革委会成员由县抓革命促生产核心小组主</w:t>
      </w:r>
      <w:r>
        <w:rPr>
          <w:rFonts w:hint="eastAsia" w:ascii="宋体" w:hAnsi="宋体"/>
          <w:szCs w:val="21"/>
        </w:rPr>
        <w:t>持召集各群众组织协商提名，经省革命委员会筹备小组批准。县革委会委员</w:t>
      </w:r>
      <w:r>
        <w:rPr>
          <w:rFonts w:ascii="宋体" w:hAnsi="宋体"/>
          <w:szCs w:val="21"/>
        </w:rPr>
        <w:t>45人，</w:t>
      </w:r>
      <w:r>
        <w:rPr>
          <w:rFonts w:hint="eastAsia" w:ascii="宋体" w:hAnsi="宋体"/>
          <w:szCs w:val="21"/>
        </w:rPr>
        <w:t>由军队代表、革命干部代表、群众代表“三结合”组成，设主任</w:t>
      </w:r>
      <w:r>
        <w:rPr>
          <w:rFonts w:ascii="宋体" w:hAnsi="宋体"/>
          <w:szCs w:val="21"/>
        </w:rPr>
        <w:t>1人，副主任3人。</w:t>
      </w:r>
      <w:r>
        <w:rPr>
          <w:rFonts w:hint="eastAsia" w:ascii="宋体" w:hAnsi="宋体"/>
          <w:szCs w:val="21"/>
        </w:rPr>
        <w:t>县革委会下设政工组、生产组、保卫组、办事组、毛泽东思想宣传站、工业交通服务站、农村社会主义服务站、商业供销服务站、粮油购销服务站、财税金融服务站、人民卫生服务站、文化教育服务站。</w:t>
      </w:r>
    </w:p>
    <w:p w14:paraId="6ED74644">
      <w:pPr>
        <w:ind w:firstLine="420"/>
        <w:rPr>
          <w:rFonts w:ascii="宋体" w:hAnsi="宋体"/>
          <w:szCs w:val="21"/>
        </w:rPr>
      </w:pPr>
      <w:r>
        <w:rPr>
          <w:rFonts w:ascii="宋体" w:hAnsi="宋体"/>
          <w:szCs w:val="21"/>
        </w:rPr>
        <w:t>1971年10月撤站恢复科局，增设二轻局。1973年4月撤组恢复委办，并建立</w:t>
      </w:r>
      <w:r>
        <w:rPr>
          <w:rFonts w:hint="eastAsia" w:ascii="宋体" w:hAnsi="宋体"/>
          <w:szCs w:val="21"/>
        </w:rPr>
        <w:t>委、办领导科局的体制，增设科技局。县革命委员会下设革命委员会办公室；农林水办公室，下属农业局、林业森工局、水电局；财贸办公室，下属财税局、粮食局、商业局、外贸局、工商行政管理局；工交办公室，下属工业局、交通局、二轻局、农机局；文教办公室，下属教育局、文化局、卫生局、计划生育办公室、体育运动委员会；计划委员会，下属统计局、劳动局、物资局、基建局、物价局、环境保护办公室；科学技术委员会，下属科技局；还有民政局、人事局、公安局，共</w:t>
      </w:r>
      <w:r>
        <w:rPr>
          <w:rFonts w:ascii="宋体" w:hAnsi="宋体"/>
          <w:szCs w:val="21"/>
        </w:rPr>
        <w:t>35个单位，</w:t>
      </w:r>
      <w:r>
        <w:rPr>
          <w:rFonts w:hint="eastAsia" w:ascii="宋体" w:hAnsi="宋体"/>
          <w:szCs w:val="21"/>
        </w:rPr>
        <w:t>干部</w:t>
      </w:r>
      <w:r>
        <w:rPr>
          <w:rFonts w:ascii="宋体" w:hAnsi="宋体"/>
          <w:szCs w:val="21"/>
        </w:rPr>
        <w:t>772人</w:t>
      </w:r>
      <w:r>
        <w:rPr>
          <w:rFonts w:hint="eastAsia" w:ascii="宋体" w:hAnsi="宋体"/>
          <w:szCs w:val="21"/>
        </w:rPr>
        <w:t>。</w:t>
      </w:r>
    </w:p>
    <w:p w14:paraId="4F87209D">
      <w:pPr>
        <w:pStyle w:val="5"/>
        <w:rPr>
          <w:rFonts w:ascii="宋体" w:hAnsi="宋体"/>
        </w:rPr>
      </w:pPr>
      <w:r>
        <w:rPr>
          <w:rFonts w:hint="eastAsia" w:ascii="宋体" w:hAnsi="宋体"/>
        </w:rPr>
        <w:t>四、</w:t>
      </w:r>
      <w:r>
        <w:rPr>
          <w:rFonts w:ascii="宋体" w:hAnsi="宋体"/>
        </w:rPr>
        <w:t>1984年机构改革</w:t>
      </w:r>
    </w:p>
    <w:p w14:paraId="2D451BD3">
      <w:pPr>
        <w:ind w:firstLine="420"/>
        <w:rPr>
          <w:rFonts w:ascii="宋体" w:hAnsi="宋体"/>
          <w:szCs w:val="21"/>
        </w:rPr>
      </w:pPr>
      <w:r>
        <w:rPr>
          <w:rFonts w:ascii="宋体" w:hAnsi="宋体"/>
          <w:szCs w:val="21"/>
        </w:rPr>
        <w:t>1980年撤销县革命委员会，恢复县人民政府。1984年5月机构改革，撤销财贸</w:t>
      </w:r>
      <w:r>
        <w:rPr>
          <w:rFonts w:hint="eastAsia" w:ascii="宋体" w:hAnsi="宋体"/>
          <w:szCs w:val="21"/>
        </w:rPr>
        <w:t>办、农林水办、文教办、基建局、工业局、科技局，增设城乡建设委员会、财贸委员会、农业委员会、绿化水保办公室、广播电视局、审计局，分畜牧水产局为畜牧局、水产局，改社队企业管理局为乡镇企业管理局。</w:t>
      </w:r>
      <w:r>
        <w:rPr>
          <w:rFonts w:ascii="宋体" w:hAnsi="宋体"/>
          <w:szCs w:val="21"/>
        </w:rPr>
        <w:t>1986年5月成立国土局，10月成立</w:t>
      </w:r>
      <w:r>
        <w:rPr>
          <w:rFonts w:hint="eastAsia" w:ascii="宋体" w:hAnsi="宋体"/>
          <w:szCs w:val="21"/>
        </w:rPr>
        <w:t>计量局。</w:t>
      </w:r>
      <w:r>
        <w:rPr>
          <w:rFonts w:ascii="宋体" w:hAnsi="宋体"/>
          <w:szCs w:val="21"/>
        </w:rPr>
        <w:t>1987年9月成立行政科，12月成立监察局。1987年县人民政府共有委办11</w:t>
      </w:r>
      <w:r>
        <w:rPr>
          <w:rFonts w:hint="eastAsia" w:ascii="宋体" w:hAnsi="宋体"/>
          <w:szCs w:val="21"/>
        </w:rPr>
        <w:t>个，科局</w:t>
      </w:r>
      <w:r>
        <w:rPr>
          <w:rFonts w:ascii="宋体" w:hAnsi="宋体"/>
          <w:szCs w:val="21"/>
        </w:rPr>
        <w:t>38个，干部982人。所属行政机构见图4-1</w:t>
      </w:r>
      <w:r>
        <w:rPr>
          <w:rFonts w:hint="eastAsia" w:ascii="宋体" w:hAnsi="宋体"/>
          <w:szCs w:val="21"/>
        </w:rPr>
        <w:t>：</w:t>
      </w: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570FC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1945810">
            <w:pPr>
              <w:ind w:firstLine="0" w:firstLineChars="0"/>
              <w:jc w:val="center"/>
              <w:rPr>
                <w:rFonts w:ascii="宋体" w:hAnsi="宋体"/>
                <w:szCs w:val="21"/>
              </w:rPr>
            </w:pPr>
            <w:r>
              <w:rPr>
                <w:rFonts w:ascii="宋体" w:hAnsi="宋体"/>
                <w:szCs w:val="21"/>
              </w:rPr>
              <w:drawing>
                <wp:inline distT="0" distB="0" distL="114300" distR="114300">
                  <wp:extent cx="6195695" cy="5640070"/>
                  <wp:effectExtent l="0" t="0" r="14605" b="17780"/>
                  <wp:docPr id="63" name="图片 173" descr="南雄市志_0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73" descr="南雄市志_0417"/>
                          <pic:cNvPicPr>
                            <a:picLocks noChangeAspect="1"/>
                          </pic:cNvPicPr>
                        </pic:nvPicPr>
                        <pic:blipFill>
                          <a:blip r:embed="rId196"/>
                          <a:stretch>
                            <a:fillRect/>
                          </a:stretch>
                        </pic:blipFill>
                        <pic:spPr>
                          <a:xfrm>
                            <a:off x="0" y="0"/>
                            <a:ext cx="6195695" cy="5640070"/>
                          </a:xfrm>
                          <a:prstGeom prst="rect">
                            <a:avLst/>
                          </a:prstGeom>
                          <a:noFill/>
                          <a:ln>
                            <a:noFill/>
                          </a:ln>
                        </pic:spPr>
                      </pic:pic>
                    </a:graphicData>
                  </a:graphic>
                </wp:inline>
              </w:drawing>
            </w:r>
          </w:p>
        </w:tc>
      </w:tr>
      <w:tr w14:paraId="7A28E4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B6F9A9F">
            <w:pPr>
              <w:ind w:firstLine="0" w:firstLineChars="0"/>
              <w:jc w:val="center"/>
              <w:rPr>
                <w:rFonts w:ascii="宋体" w:hAnsi="宋体"/>
                <w:b/>
                <w:szCs w:val="21"/>
              </w:rPr>
            </w:pPr>
            <w:r>
              <w:rPr>
                <w:rFonts w:hint="eastAsia" w:ascii="宋体" w:hAnsi="宋体"/>
                <w:b/>
                <w:szCs w:val="21"/>
              </w:rPr>
              <w:t>图4-1  1987年南雄县人民政府机构示意</w:t>
            </w:r>
          </w:p>
        </w:tc>
      </w:tr>
    </w:tbl>
    <w:p w14:paraId="48C3E058">
      <w:pPr>
        <w:pStyle w:val="5"/>
        <w:rPr>
          <w:rFonts w:ascii="宋体" w:hAnsi="宋体"/>
        </w:rPr>
      </w:pPr>
      <w:r>
        <w:rPr>
          <w:rFonts w:hint="eastAsia" w:ascii="宋体" w:hAnsi="宋体"/>
        </w:rPr>
        <w:t>五、</w:t>
      </w:r>
      <w:r>
        <w:rPr>
          <w:rFonts w:ascii="宋体" w:hAnsi="宋体"/>
        </w:rPr>
        <w:t>1988年至2001年机构改革</w:t>
      </w:r>
    </w:p>
    <w:p w14:paraId="050972F6">
      <w:pPr>
        <w:ind w:firstLine="420"/>
        <w:rPr>
          <w:rFonts w:ascii="宋体" w:hAnsi="宋体"/>
          <w:szCs w:val="21"/>
        </w:rPr>
      </w:pPr>
      <w:r>
        <w:rPr>
          <w:rFonts w:ascii="宋体" w:hAnsi="宋体"/>
          <w:szCs w:val="21"/>
        </w:rPr>
        <w:t>1988年，广东省确定南雄为全省县级机构改革试点单位。至1997年4月先后将</w:t>
      </w:r>
      <w:r>
        <w:rPr>
          <w:rFonts w:hint="eastAsia" w:ascii="宋体" w:hAnsi="宋体"/>
          <w:szCs w:val="21"/>
        </w:rPr>
        <w:t>农业委员会、财贸委员会、经济委员会、计划委员会、对外经济工作委员会、城乡建设委员会、科学技术委员会、体育运动委员会、计划生育委员会分别改为农业办公室、贸易局、工业局、计划局、对外经济贸易局、建设局、科技局、体育局、计划生育局；粮食局改为粮食储备局、农机局改为农机总公司、畜牧局改为畜牧管理总站，水产局改为水产管理总站，行政科改为机关事务处，二轻局改为二轻总公司，商业局改为商业总公司等。</w:t>
      </w:r>
    </w:p>
    <w:p w14:paraId="57B62D42">
      <w:pPr>
        <w:ind w:firstLine="420"/>
        <w:rPr>
          <w:rFonts w:ascii="宋体" w:hAnsi="宋体"/>
          <w:szCs w:val="21"/>
        </w:rPr>
      </w:pPr>
      <w:r>
        <w:rPr>
          <w:rFonts w:ascii="宋体" w:hAnsi="宋体"/>
          <w:szCs w:val="21"/>
        </w:rPr>
        <w:t>2001年10月又在1997年4月底机构改革基础上精简和规范机构设置。保留政府</w:t>
      </w:r>
      <w:r>
        <w:rPr>
          <w:rFonts w:hint="eastAsia" w:ascii="宋体" w:hAnsi="宋体"/>
          <w:szCs w:val="21"/>
        </w:rPr>
        <w:t>办公室、公安局、监察局、民政局、司法局、财政局、人事局、水利局、教育局、文化局、计划生育局、林业局；计划局更名为发展计划局，科技局更名为科技信息局，对外经济贸易局更为名对外贸易经济合作局；旅游局调整为市政府工作部门（实行政事、政企分开）。撤销外事侨务办公室、政府法制局、调研科，其职能并入政府办公室，对外挂外事侨务办公室、法制局牌子；撤销物价局、粮食储备局，其职能并入发展计划局，对外挂物价局、粮食储备局牌子；撤销经济体制改革办公室，其职能分别划归政府有关部门；撤销经济技术协作办公室，其职能并入对外贸易经济合作局；撤销国有资产管理局，并入财政局；撤销工业局和贸易局，重组经济贸易局，在该局内设立安全生产监督管理局，局长由经贸局副局长兼任；撤销劳动局、社会保险管理局，组建劳动和社会保险局；撤销国土局、地质矿产局，组建国土资源局；撤销农业办公室重组农业局，撤销乡镇企业局、畜牧总站、水产总站，原机构行政职能划归农业局，技术性、服务性职能划归技术服务中心。赋予行政职能的事业单位有：档案局（与档案馆实行局馆合一体制）；广播电视局；体育局更名为体育发展中心；撤销政府机关事务处、接待办公室，设立机关事务中心，加挂接待办公室牌子。</w:t>
      </w:r>
    </w:p>
    <w:p w14:paraId="4A10446C">
      <w:pPr>
        <w:ind w:firstLine="420"/>
        <w:rPr>
          <w:rFonts w:ascii="宋体" w:hAnsi="宋体"/>
          <w:szCs w:val="21"/>
        </w:rPr>
      </w:pPr>
      <w:r>
        <w:rPr>
          <w:rFonts w:hint="eastAsia" w:ascii="宋体" w:hAnsi="宋体"/>
          <w:szCs w:val="21"/>
        </w:rPr>
        <w:t>机构改革后市政府工作部门架构见图</w:t>
      </w:r>
      <w:r>
        <w:rPr>
          <w:rFonts w:ascii="宋体" w:hAnsi="宋体"/>
          <w:szCs w:val="21"/>
        </w:rPr>
        <w:t>4-2：</w:t>
      </w:r>
    </w:p>
    <w:tbl>
      <w:tblPr>
        <w:tblStyle w:val="9"/>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1C715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962" w:type="dxa"/>
          </w:tcPr>
          <w:p w14:paraId="3FAB77CD">
            <w:pPr>
              <w:ind w:firstLine="0" w:firstLineChars="0"/>
              <w:jc w:val="center"/>
              <w:rPr>
                <w:rFonts w:ascii="宋体" w:hAnsi="宋体"/>
                <w:szCs w:val="21"/>
              </w:rPr>
            </w:pPr>
            <w:r>
              <w:rPr>
                <w:rFonts w:ascii="宋体" w:hAnsi="宋体"/>
                <w:szCs w:val="21"/>
              </w:rPr>
              <w:drawing>
                <wp:inline distT="0" distB="0" distL="114300" distR="114300">
                  <wp:extent cx="6195695" cy="7585710"/>
                  <wp:effectExtent l="0" t="0" r="14605" b="15240"/>
                  <wp:docPr id="62" name="图片 174" descr="南雄市志_0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74" descr="南雄市志_0419"/>
                          <pic:cNvPicPr>
                            <a:picLocks noChangeAspect="1"/>
                          </pic:cNvPicPr>
                        </pic:nvPicPr>
                        <pic:blipFill>
                          <a:blip r:embed="rId197"/>
                          <a:stretch>
                            <a:fillRect/>
                          </a:stretch>
                        </pic:blipFill>
                        <pic:spPr>
                          <a:xfrm>
                            <a:off x="0" y="0"/>
                            <a:ext cx="6195695" cy="7585710"/>
                          </a:xfrm>
                          <a:prstGeom prst="rect">
                            <a:avLst/>
                          </a:prstGeom>
                          <a:noFill/>
                          <a:ln>
                            <a:noFill/>
                          </a:ln>
                        </pic:spPr>
                      </pic:pic>
                    </a:graphicData>
                  </a:graphic>
                </wp:inline>
              </w:drawing>
            </w:r>
          </w:p>
        </w:tc>
      </w:tr>
      <w:tr w14:paraId="78091C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962" w:type="dxa"/>
          </w:tcPr>
          <w:p w14:paraId="22D0FFA0">
            <w:pPr>
              <w:ind w:firstLine="0" w:firstLineChars="0"/>
              <w:jc w:val="center"/>
              <w:rPr>
                <w:rFonts w:ascii="宋体" w:hAnsi="宋体"/>
                <w:b/>
                <w:szCs w:val="21"/>
              </w:rPr>
            </w:pPr>
            <w:r>
              <w:rPr>
                <w:rFonts w:hint="eastAsia" w:ascii="宋体" w:hAnsi="宋体"/>
                <w:b/>
                <w:szCs w:val="21"/>
              </w:rPr>
              <w:t>图</w:t>
            </w:r>
            <w:r>
              <w:rPr>
                <w:rFonts w:ascii="宋体" w:hAnsi="宋体"/>
                <w:b/>
                <w:szCs w:val="21"/>
              </w:rPr>
              <w:t>4-2</w:t>
            </w:r>
            <w:r>
              <w:rPr>
                <w:rFonts w:hint="eastAsia" w:ascii="宋体" w:hAnsi="宋体"/>
                <w:b/>
                <w:szCs w:val="21"/>
              </w:rPr>
              <w:t xml:space="preserve">  </w:t>
            </w:r>
            <w:r>
              <w:rPr>
                <w:rFonts w:ascii="宋体" w:hAnsi="宋体"/>
                <w:b/>
                <w:szCs w:val="21"/>
              </w:rPr>
              <w:t>2001年改革后南雄市人民政府机构示意</w:t>
            </w:r>
          </w:p>
        </w:tc>
      </w:tr>
    </w:tbl>
    <w:p w14:paraId="415723C0">
      <w:pPr>
        <w:pStyle w:val="4"/>
        <w:rPr>
          <w:rFonts w:ascii="宋体" w:hAnsi="宋体"/>
        </w:rPr>
      </w:pPr>
      <w:r>
        <w:rPr>
          <w:rFonts w:hint="eastAsia" w:ascii="宋体" w:hAnsi="宋体"/>
        </w:rPr>
        <w:t>第二节  政府决策、服务机制</w:t>
      </w:r>
    </w:p>
    <w:p w14:paraId="6ABC8528">
      <w:pPr>
        <w:pStyle w:val="5"/>
        <w:rPr>
          <w:rFonts w:ascii="宋体" w:hAnsi="宋体"/>
        </w:rPr>
      </w:pPr>
      <w:r>
        <w:rPr>
          <w:rFonts w:hint="eastAsia" w:ascii="宋体" w:hAnsi="宋体"/>
        </w:rPr>
        <w:t>一、决策机制</w:t>
      </w:r>
    </w:p>
    <w:p w14:paraId="1827088F">
      <w:pPr>
        <w:ind w:firstLine="422"/>
        <w:rPr>
          <w:rFonts w:ascii="宋体" w:hAnsi="宋体"/>
          <w:b/>
          <w:szCs w:val="21"/>
        </w:rPr>
      </w:pPr>
      <w:r>
        <w:rPr>
          <w:rFonts w:hint="eastAsia" w:ascii="宋体" w:hAnsi="宋体"/>
          <w:b/>
          <w:szCs w:val="21"/>
        </w:rPr>
        <w:t>（一）市（县）政府常务会议〔即市（县）长办公会议〕</w:t>
      </w:r>
    </w:p>
    <w:p w14:paraId="41557DA8">
      <w:pPr>
        <w:ind w:firstLine="420"/>
        <w:rPr>
          <w:rFonts w:ascii="宋体" w:hAnsi="宋体"/>
          <w:szCs w:val="21"/>
        </w:rPr>
      </w:pPr>
      <w:r>
        <w:rPr>
          <w:rFonts w:hint="eastAsia" w:ascii="宋体" w:hAnsi="宋体"/>
          <w:szCs w:val="21"/>
        </w:rPr>
        <w:t>出席会议人员为正副市（县）长、市（县）政府办公室正副主任，并根据会议内容确定有关单位负责人列席会议。会议主要议题是贯彻上级党委、政府及市委重要指示、决定的实施方案；讨论决定市（县）政府重要工作；审议以市（县）政府名义下达的政策性、规范性文件。</w:t>
      </w:r>
      <w:r>
        <w:rPr>
          <w:rFonts w:ascii="宋体" w:hAnsi="宋体"/>
          <w:szCs w:val="21"/>
        </w:rPr>
        <w:t>1993年至1997年5年内，此类会议开了63次，平均</w:t>
      </w:r>
      <w:r>
        <w:rPr>
          <w:rFonts w:hint="eastAsia" w:ascii="宋体" w:hAnsi="宋体"/>
          <w:szCs w:val="21"/>
        </w:rPr>
        <w:t>每月</w:t>
      </w:r>
      <w:r>
        <w:rPr>
          <w:rFonts w:ascii="宋体" w:hAnsi="宋体"/>
          <w:szCs w:val="21"/>
        </w:rPr>
        <w:t>1次。1998年至2002年，此类会议开了19次，每年3次～4次。</w:t>
      </w:r>
    </w:p>
    <w:p w14:paraId="37E29E81">
      <w:pPr>
        <w:ind w:firstLine="422"/>
        <w:rPr>
          <w:rFonts w:ascii="宋体" w:hAnsi="宋体"/>
          <w:b/>
          <w:szCs w:val="21"/>
        </w:rPr>
      </w:pPr>
      <w:r>
        <w:rPr>
          <w:rFonts w:hint="eastAsia" w:ascii="宋体" w:hAnsi="宋体"/>
          <w:b/>
          <w:szCs w:val="21"/>
        </w:rPr>
        <w:t>（二）市（县）政府工作会议会议</w:t>
      </w:r>
    </w:p>
    <w:p w14:paraId="2F1F4209">
      <w:pPr>
        <w:ind w:firstLine="420"/>
        <w:rPr>
          <w:rFonts w:ascii="宋体" w:hAnsi="宋体"/>
          <w:szCs w:val="21"/>
        </w:rPr>
      </w:pPr>
      <w:r>
        <w:rPr>
          <w:rFonts w:hint="eastAsia" w:ascii="宋体" w:hAnsi="宋体"/>
          <w:szCs w:val="21"/>
        </w:rPr>
        <w:t>由正副市（县）长根据工作需要召开。会议议题、参会人员、时间、地点，均由主持会议的市（县）长确定。会议内容为研究部署有关全市（县）某一方面或某一阶段的工作。</w:t>
      </w:r>
    </w:p>
    <w:p w14:paraId="5E3A0D59">
      <w:pPr>
        <w:ind w:firstLine="422"/>
        <w:rPr>
          <w:rFonts w:ascii="宋体" w:hAnsi="宋体"/>
          <w:b/>
          <w:szCs w:val="21"/>
        </w:rPr>
      </w:pPr>
      <w:r>
        <w:rPr>
          <w:rFonts w:hint="eastAsia" w:ascii="宋体" w:hAnsi="宋体"/>
          <w:b/>
          <w:szCs w:val="21"/>
        </w:rPr>
        <w:t>（三）市（县）政府全体会议或经济工作会议。</w:t>
      </w:r>
    </w:p>
    <w:p w14:paraId="468DE751">
      <w:pPr>
        <w:ind w:firstLine="420"/>
        <w:rPr>
          <w:rFonts w:ascii="宋体" w:hAnsi="宋体"/>
          <w:szCs w:val="21"/>
        </w:rPr>
      </w:pPr>
      <w:r>
        <w:rPr>
          <w:rFonts w:ascii="宋体" w:hAnsi="宋体"/>
          <w:szCs w:val="21"/>
        </w:rPr>
        <w:t>1997年前，每年年终召开1次市（县）政府全体会议。参加会议人员为市（县）</w:t>
      </w:r>
      <w:r>
        <w:rPr>
          <w:rFonts w:hint="eastAsia" w:ascii="宋体" w:hAnsi="宋体"/>
          <w:szCs w:val="21"/>
        </w:rPr>
        <w:t>政府全体组成人员，非政府系列单位、各镇镇长及市（县）委各部门主要负责人列席。会议内容为总结一年来工作，部署下一年工作。</w:t>
      </w:r>
    </w:p>
    <w:p w14:paraId="493837E9">
      <w:pPr>
        <w:ind w:firstLine="420"/>
        <w:rPr>
          <w:rFonts w:ascii="宋体" w:hAnsi="宋体"/>
          <w:szCs w:val="21"/>
        </w:rPr>
      </w:pPr>
      <w:r>
        <w:rPr>
          <w:rFonts w:ascii="宋体" w:hAnsi="宋体"/>
          <w:szCs w:val="21"/>
        </w:rPr>
        <w:t>1998年以后，改为召开全市经济工作会议，会议时间定在每年的上半年召开。</w:t>
      </w:r>
      <w:r>
        <w:rPr>
          <w:rFonts w:hint="eastAsia" w:ascii="宋体" w:hAnsi="宋体"/>
          <w:szCs w:val="21"/>
        </w:rPr>
        <w:t>出席会议人员同前，主要议题是听取政府各部门经济运行情况汇报，加以分析研究，预测下半年经济走势，提出措施和办法。</w:t>
      </w:r>
    </w:p>
    <w:p w14:paraId="0035036F">
      <w:pPr>
        <w:pStyle w:val="5"/>
        <w:rPr>
          <w:rFonts w:ascii="宋体" w:hAnsi="宋体"/>
        </w:rPr>
      </w:pPr>
      <w:r>
        <w:rPr>
          <w:rFonts w:hint="eastAsia" w:ascii="宋体" w:hAnsi="宋体"/>
        </w:rPr>
        <w:t>二、服务机制</w:t>
      </w:r>
    </w:p>
    <w:p w14:paraId="6F3A5B23">
      <w:pPr>
        <w:ind w:firstLine="422"/>
        <w:rPr>
          <w:rFonts w:ascii="宋体" w:hAnsi="宋体"/>
          <w:b/>
          <w:szCs w:val="21"/>
        </w:rPr>
      </w:pPr>
      <w:r>
        <w:rPr>
          <w:rFonts w:hint="eastAsia" w:ascii="宋体" w:hAnsi="宋体"/>
          <w:b/>
          <w:szCs w:val="21"/>
        </w:rPr>
        <w:t>（一）行政服务中心</w:t>
      </w:r>
    </w:p>
    <w:p w14:paraId="62879EF9">
      <w:pPr>
        <w:ind w:firstLine="420"/>
        <w:rPr>
          <w:rFonts w:ascii="宋体" w:hAnsi="宋体"/>
          <w:szCs w:val="21"/>
        </w:rPr>
      </w:pPr>
      <w:r>
        <w:rPr>
          <w:rFonts w:hint="eastAsia" w:ascii="宋体" w:hAnsi="宋体"/>
          <w:szCs w:val="21"/>
        </w:rPr>
        <w:t>服务中心于</w:t>
      </w:r>
      <w:r>
        <w:rPr>
          <w:rFonts w:ascii="宋体" w:hAnsi="宋体"/>
          <w:szCs w:val="21"/>
        </w:rPr>
        <w:t>2002年4月成立，编制10人。履行有关行政审批、办证及各类规费</w:t>
      </w:r>
      <w:r>
        <w:rPr>
          <w:rFonts w:hint="eastAsia" w:ascii="宋体" w:hAnsi="宋体"/>
          <w:szCs w:val="21"/>
        </w:rPr>
        <w:t>的组织协调、监督管理和服务职能。内设办公室、业务股、督查股以及各种服务机构：政府采购中心、外商投资服务中心、建设工程交易中心、土地交易中心、经济</w:t>
      </w:r>
      <w:r>
        <w:rPr>
          <w:rFonts w:ascii="宋体" w:hAnsi="宋体"/>
          <w:szCs w:val="21"/>
        </w:rPr>
        <w:t>110等。进入服务中心的窗口单位33个。全面实行办公自动化、网络化的办公管理</w:t>
      </w:r>
      <w:r>
        <w:rPr>
          <w:rFonts w:hint="eastAsia" w:ascii="宋体" w:hAnsi="宋体"/>
          <w:szCs w:val="21"/>
        </w:rPr>
        <w:t>形式。并设立投诉中心，受理群众来信来访。</w:t>
      </w:r>
    </w:p>
    <w:p w14:paraId="0039328A">
      <w:pPr>
        <w:ind w:firstLine="420"/>
        <w:rPr>
          <w:rFonts w:ascii="宋体" w:hAnsi="宋体"/>
          <w:szCs w:val="21"/>
        </w:rPr>
      </w:pPr>
      <w:r>
        <w:rPr>
          <w:rFonts w:hint="eastAsia" w:ascii="宋体" w:hAnsi="宋体"/>
          <w:szCs w:val="21"/>
        </w:rPr>
        <w:t>服务中心的主要职责：①办理市内外投资者申请投资生产性、经营性项目以及市区建筑工程项目规划、施工等需要报经各行政主管机关审批、核发的各项批准文件、证照；②办理供水、供电、征地、交通等基础设施使用权的审批办证；③办理各类经济组织和城乡居民申领的有关证照；④受理各类投资政策、税收政策及各种证照申领的咨询、信息发布、投诉服务；⑤按照有关规定做好政府物资采购、外商投资、建设工程交易和土地交易工作。</w:t>
      </w:r>
    </w:p>
    <w:p w14:paraId="6277A13F">
      <w:pPr>
        <w:ind w:firstLine="420"/>
        <w:rPr>
          <w:rFonts w:ascii="宋体" w:hAnsi="宋体"/>
          <w:szCs w:val="21"/>
        </w:rPr>
      </w:pPr>
      <w:r>
        <w:rPr>
          <w:rFonts w:hint="eastAsia" w:ascii="宋体" w:hAnsi="宋体"/>
          <w:szCs w:val="21"/>
        </w:rPr>
        <w:t>至</w:t>
      </w:r>
      <w:r>
        <w:rPr>
          <w:rFonts w:ascii="宋体" w:hAnsi="宋体"/>
          <w:szCs w:val="21"/>
        </w:rPr>
        <w:t>2004年底，服务中心共受理各项办证事项134679件，办结134650件。为外</w:t>
      </w:r>
      <w:r>
        <w:rPr>
          <w:rFonts w:hint="eastAsia" w:ascii="宋体" w:hAnsi="宋体"/>
          <w:szCs w:val="21"/>
        </w:rPr>
        <w:t>商、群众代办的项目</w:t>
      </w:r>
      <w:r>
        <w:rPr>
          <w:rFonts w:ascii="宋体" w:hAnsi="宋体"/>
          <w:szCs w:val="21"/>
        </w:rPr>
        <w:t>30多个。受理群众来信来访39件</w:t>
      </w:r>
      <w:r>
        <w:rPr>
          <w:rFonts w:hint="eastAsia" w:ascii="宋体" w:hAnsi="宋体"/>
          <w:szCs w:val="21"/>
        </w:rPr>
        <w:t>。</w:t>
      </w:r>
    </w:p>
    <w:p w14:paraId="056D055F">
      <w:pPr>
        <w:ind w:firstLine="422"/>
        <w:rPr>
          <w:rFonts w:ascii="宋体" w:hAnsi="宋体"/>
          <w:b/>
          <w:szCs w:val="21"/>
        </w:rPr>
      </w:pPr>
      <w:r>
        <w:rPr>
          <w:rFonts w:hint="eastAsia" w:ascii="宋体" w:hAnsi="宋体"/>
          <w:b/>
          <w:szCs w:val="21"/>
        </w:rPr>
        <w:t>（二）信息中心</w:t>
      </w:r>
    </w:p>
    <w:p w14:paraId="3D0D1585">
      <w:pPr>
        <w:ind w:firstLine="420"/>
        <w:rPr>
          <w:rFonts w:ascii="宋体" w:hAnsi="宋体"/>
          <w:szCs w:val="21"/>
        </w:rPr>
      </w:pPr>
      <w:r>
        <w:rPr>
          <w:rFonts w:ascii="宋体" w:hAnsi="宋体"/>
          <w:szCs w:val="21"/>
        </w:rPr>
        <w:t>2001年4月成立信息中心，信息化建设不断完善。至2004年实现：①组建政府大</w:t>
      </w:r>
      <w:r>
        <w:rPr>
          <w:rFonts w:hint="eastAsia" w:ascii="宋体" w:hAnsi="宋体"/>
          <w:szCs w:val="21"/>
        </w:rPr>
        <w:t>院局域网，覆盖大院内各办公室及市领导宿舍楼，网络布线方式为双网物理隔离，局域网内实现办公自动化。②市人民政府公众信息网各项功能日趋完善。至</w:t>
      </w:r>
      <w:r>
        <w:rPr>
          <w:rFonts w:ascii="宋体" w:hAnsi="宋体"/>
          <w:szCs w:val="21"/>
        </w:rPr>
        <w:t>200</w:t>
      </w:r>
      <w:r>
        <w:rPr>
          <w:rFonts w:hint="eastAsia" w:ascii="宋体" w:hAnsi="宋体"/>
          <w:szCs w:val="21"/>
        </w:rPr>
        <w:t>2</w:t>
      </w:r>
      <w:r>
        <w:rPr>
          <w:rFonts w:ascii="宋体" w:hAnsi="宋体"/>
          <w:szCs w:val="21"/>
        </w:rPr>
        <w:t>年11月，</w:t>
      </w:r>
      <w:r>
        <w:rPr>
          <w:rFonts w:hint="eastAsia" w:ascii="宋体" w:hAnsi="宋体"/>
          <w:szCs w:val="21"/>
        </w:rPr>
        <w:t>先后</w:t>
      </w:r>
      <w:r>
        <w:rPr>
          <w:rFonts w:ascii="宋体" w:hAnsi="宋体"/>
          <w:szCs w:val="21"/>
        </w:rPr>
        <w:t>3次改版，版式、功能不断强化。新版政府网站建立了独立的数据库，实现了采、</w:t>
      </w:r>
      <w:r>
        <w:rPr>
          <w:rFonts w:hint="eastAsia" w:ascii="宋体" w:hAnsi="宋体"/>
          <w:szCs w:val="21"/>
        </w:rPr>
        <w:t>编、发自动化。市政府公众信息网网址为：w</w:t>
      </w:r>
      <w:r>
        <w:rPr>
          <w:rFonts w:ascii="宋体" w:hAnsi="宋体"/>
          <w:szCs w:val="21"/>
        </w:rPr>
        <w:t>ww.gdnx.gov.cn。2004年，网站信息已超</w:t>
      </w:r>
      <w:r>
        <w:rPr>
          <w:rFonts w:hint="eastAsia" w:ascii="宋体" w:hAnsi="宋体"/>
          <w:szCs w:val="21"/>
        </w:rPr>
        <w:t>过</w:t>
      </w:r>
      <w:r>
        <w:rPr>
          <w:rFonts w:ascii="宋体" w:hAnsi="宋体"/>
          <w:szCs w:val="21"/>
        </w:rPr>
        <w:t>15000条。网站访问量达16万人次。③政府电子邮局建成开通。党政机关及其工作</w:t>
      </w:r>
      <w:r>
        <w:rPr>
          <w:rFonts w:hint="eastAsia" w:ascii="宋体" w:hAnsi="宋体"/>
          <w:szCs w:val="21"/>
        </w:rPr>
        <w:t>人员可以通过电子邮局实现与世界各地的机构或朋友互通电子邮件。</w:t>
      </w:r>
    </w:p>
    <w:p w14:paraId="222156C1">
      <w:pPr>
        <w:ind w:firstLine="422"/>
        <w:rPr>
          <w:rFonts w:ascii="宋体" w:hAnsi="宋体"/>
          <w:b/>
          <w:szCs w:val="21"/>
        </w:rPr>
      </w:pPr>
      <w:r>
        <w:rPr>
          <w:rFonts w:hint="eastAsia" w:ascii="宋体" w:hAnsi="宋体"/>
          <w:b/>
          <w:szCs w:val="21"/>
        </w:rPr>
        <w:t>（三）侨务及外事工作</w:t>
      </w:r>
    </w:p>
    <w:p w14:paraId="5F48BC91">
      <w:pPr>
        <w:ind w:firstLine="420"/>
        <w:rPr>
          <w:rFonts w:ascii="宋体" w:hAnsi="宋体"/>
          <w:szCs w:val="21"/>
        </w:rPr>
      </w:pPr>
      <w:r>
        <w:rPr>
          <w:rFonts w:hint="eastAsia" w:ascii="宋体" w:hAnsi="宋体"/>
          <w:szCs w:val="21"/>
        </w:rPr>
        <w:t>全市有华侨华人</w:t>
      </w:r>
      <w:r>
        <w:rPr>
          <w:rFonts w:ascii="宋体" w:hAnsi="宋体"/>
          <w:szCs w:val="21"/>
        </w:rPr>
        <w:t>3850人，归侨29人，港澳同胞4500人，眷属1988人。珠玑巷</w:t>
      </w:r>
      <w:r>
        <w:rPr>
          <w:rFonts w:hint="eastAsia" w:ascii="宋体" w:hAnsi="宋体"/>
          <w:szCs w:val="21"/>
        </w:rPr>
        <w:t>是广大南迁后裔华侨的“根”。</w:t>
      </w:r>
      <w:r>
        <w:rPr>
          <w:rFonts w:ascii="宋体" w:hAnsi="宋体"/>
          <w:szCs w:val="21"/>
        </w:rPr>
        <w:t>1984年7月，县政府设立侨务办公室，为华侨、归侨</w:t>
      </w:r>
      <w:r>
        <w:rPr>
          <w:rFonts w:hint="eastAsia" w:ascii="宋体" w:hAnsi="宋体"/>
          <w:szCs w:val="21"/>
        </w:rPr>
        <w:t>及港澳同胞做好各项服务工作，加强联谊活动，促进招商引资。</w:t>
      </w:r>
      <w:r>
        <w:rPr>
          <w:rFonts w:ascii="宋体" w:hAnsi="宋体"/>
          <w:szCs w:val="21"/>
        </w:rPr>
        <w:t>1997年5月，中山</w:t>
      </w:r>
      <w:r>
        <w:rPr>
          <w:rFonts w:hint="eastAsia" w:ascii="宋体" w:hAnsi="宋体"/>
          <w:szCs w:val="21"/>
        </w:rPr>
        <w:t>市举办的珠三角侨务工作会议在南雄召开，取得圆满成功。</w:t>
      </w:r>
      <w:r>
        <w:rPr>
          <w:rFonts w:ascii="宋体" w:hAnsi="宋体"/>
          <w:szCs w:val="21"/>
        </w:rPr>
        <w:t>1998年至2004年受理华</w:t>
      </w:r>
      <w:r>
        <w:rPr>
          <w:rFonts w:hint="eastAsia" w:ascii="宋体" w:hAnsi="宋体"/>
          <w:szCs w:val="21"/>
        </w:rPr>
        <w:t>侨、华人、港澳同胞来信来访</w:t>
      </w:r>
      <w:r>
        <w:rPr>
          <w:rFonts w:ascii="宋体" w:hAnsi="宋体"/>
          <w:szCs w:val="21"/>
        </w:rPr>
        <w:t>300多件（次）。接受华侨、港澳同胞为文化教育事业</w:t>
      </w:r>
      <w:r>
        <w:rPr>
          <w:rFonts w:hint="eastAsia" w:ascii="宋体" w:hAnsi="宋体"/>
          <w:szCs w:val="21"/>
        </w:rPr>
        <w:t>捐款</w:t>
      </w:r>
      <w:r>
        <w:rPr>
          <w:rFonts w:ascii="宋体" w:hAnsi="宋体"/>
          <w:szCs w:val="21"/>
        </w:rPr>
        <w:t>1400多万元。受理、协助因公出国赴港澳人员办好外出签证，1993年至1997年</w:t>
      </w:r>
      <w:r>
        <w:rPr>
          <w:rFonts w:hint="eastAsia" w:ascii="宋体" w:hAnsi="宋体"/>
          <w:szCs w:val="21"/>
        </w:rPr>
        <w:t>有</w:t>
      </w:r>
      <w:r>
        <w:rPr>
          <w:rFonts w:ascii="宋体" w:hAnsi="宋体"/>
          <w:szCs w:val="21"/>
        </w:rPr>
        <w:t>53个团组166人（次），1998年至2004年有81个团组264人次。</w:t>
      </w:r>
    </w:p>
    <w:p w14:paraId="75C72E5A">
      <w:pPr>
        <w:pStyle w:val="4"/>
        <w:rPr>
          <w:rFonts w:ascii="宋体" w:hAnsi="宋体"/>
        </w:rPr>
      </w:pPr>
      <w:r>
        <w:rPr>
          <w:rFonts w:hint="eastAsia" w:ascii="宋体" w:hAnsi="宋体"/>
        </w:rPr>
        <w:t>第三节  市（县）领导任职情况</w:t>
      </w:r>
    </w:p>
    <w:p w14:paraId="4D926FDA">
      <w:pPr>
        <w:ind w:firstLine="422"/>
        <w:rPr>
          <w:rFonts w:ascii="宋体" w:hAnsi="宋体"/>
          <w:b/>
          <w:szCs w:val="21"/>
        </w:rPr>
      </w:pPr>
      <w:r>
        <w:rPr>
          <w:rFonts w:hint="eastAsia" w:ascii="宋体" w:hAnsi="宋体"/>
          <w:b/>
          <w:szCs w:val="21"/>
        </w:rPr>
        <w:t>（一）南雄县人民政府及革命委员会</w:t>
      </w:r>
    </w:p>
    <w:p w14:paraId="40759D25">
      <w:pPr>
        <w:ind w:firstLine="0" w:firstLineChars="0"/>
        <w:jc w:val="center"/>
        <w:rPr>
          <w:rFonts w:ascii="宋体" w:hAnsi="宋体"/>
          <w:b/>
          <w:szCs w:val="21"/>
        </w:rPr>
      </w:pPr>
      <w:r>
        <w:rPr>
          <w:rFonts w:hint="eastAsia" w:ascii="宋体" w:hAnsi="宋体"/>
          <w:b/>
          <w:szCs w:val="21"/>
        </w:rPr>
        <w:t>南雄县人民政府及革命委员会领导任职情况</w:t>
      </w:r>
    </w:p>
    <w:p w14:paraId="4F2F4DB9">
      <w:pPr>
        <w:ind w:firstLine="0" w:firstLineChars="0"/>
        <w:rPr>
          <w:rFonts w:ascii="宋体" w:hAnsi="宋体"/>
          <w:b/>
          <w:szCs w:val="21"/>
        </w:rPr>
      </w:pPr>
      <w:r>
        <w:rPr>
          <w:rFonts w:hint="eastAsia" w:ascii="宋体" w:hAnsi="宋体"/>
          <w:b/>
          <w:szCs w:val="21"/>
        </w:rPr>
        <w:t>表4-7</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4"/>
        <w:gridCol w:w="2704"/>
        <w:gridCol w:w="1931"/>
        <w:gridCol w:w="4053"/>
      </w:tblGrid>
      <w:tr w14:paraId="11497A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B1D2710">
            <w:pPr>
              <w:pStyle w:val="12"/>
              <w:jc w:val="center"/>
              <w:rPr>
                <w:b/>
              </w:rPr>
            </w:pPr>
            <w:r>
              <w:rPr>
                <w:rFonts w:hint="eastAsia"/>
                <w:b/>
              </w:rPr>
              <w:t>姓名</w:t>
            </w:r>
          </w:p>
        </w:tc>
        <w:tc>
          <w:tcPr>
            <w:tcW w:w="1357" w:type="pct"/>
            <w:vAlign w:val="center"/>
          </w:tcPr>
          <w:p w14:paraId="553182AA">
            <w:pPr>
              <w:pStyle w:val="12"/>
              <w:jc w:val="center"/>
              <w:rPr>
                <w:b/>
              </w:rPr>
            </w:pPr>
            <w:r>
              <w:rPr>
                <w:rFonts w:hint="eastAsia"/>
                <w:b/>
              </w:rPr>
              <w:t>籍贯</w:t>
            </w:r>
          </w:p>
        </w:tc>
        <w:tc>
          <w:tcPr>
            <w:tcW w:w="969" w:type="pct"/>
            <w:vAlign w:val="center"/>
          </w:tcPr>
          <w:p w14:paraId="52E06073">
            <w:pPr>
              <w:pStyle w:val="12"/>
              <w:jc w:val="center"/>
              <w:rPr>
                <w:b/>
              </w:rPr>
            </w:pPr>
            <w:r>
              <w:rPr>
                <w:rFonts w:hint="eastAsia"/>
                <w:b/>
              </w:rPr>
              <w:t>职务</w:t>
            </w:r>
          </w:p>
        </w:tc>
        <w:tc>
          <w:tcPr>
            <w:tcW w:w="2034" w:type="pct"/>
            <w:vAlign w:val="center"/>
          </w:tcPr>
          <w:p w14:paraId="7433AB90">
            <w:pPr>
              <w:pStyle w:val="12"/>
              <w:jc w:val="center"/>
              <w:rPr>
                <w:b/>
              </w:rPr>
            </w:pPr>
            <w:r>
              <w:rPr>
                <w:rFonts w:hint="eastAsia"/>
                <w:b/>
              </w:rPr>
              <w:t>任职时间</w:t>
            </w:r>
          </w:p>
        </w:tc>
      </w:tr>
      <w:tr w14:paraId="0879C3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987967B">
            <w:pPr>
              <w:pStyle w:val="12"/>
              <w:jc w:val="center"/>
            </w:pPr>
            <w:r>
              <w:rPr>
                <w:rFonts w:hint="eastAsia"/>
              </w:rPr>
              <w:t>沈会峰</w:t>
            </w:r>
          </w:p>
        </w:tc>
        <w:tc>
          <w:tcPr>
            <w:tcW w:w="1357" w:type="pct"/>
            <w:vAlign w:val="center"/>
          </w:tcPr>
          <w:p w14:paraId="09294E06">
            <w:pPr>
              <w:pStyle w:val="12"/>
              <w:jc w:val="center"/>
            </w:pPr>
            <w:r>
              <w:rPr>
                <w:rFonts w:hint="eastAsia"/>
              </w:rPr>
              <w:t>河北滦南</w:t>
            </w:r>
          </w:p>
        </w:tc>
        <w:tc>
          <w:tcPr>
            <w:tcW w:w="969" w:type="pct"/>
            <w:vAlign w:val="center"/>
          </w:tcPr>
          <w:p w14:paraId="0BCD338A">
            <w:pPr>
              <w:pStyle w:val="12"/>
              <w:jc w:val="center"/>
            </w:pPr>
            <w:r>
              <w:rPr>
                <w:rFonts w:hint="eastAsia"/>
              </w:rPr>
              <w:t>革命委员会主任</w:t>
            </w:r>
          </w:p>
        </w:tc>
        <w:tc>
          <w:tcPr>
            <w:tcW w:w="2034" w:type="pct"/>
            <w:vAlign w:val="center"/>
          </w:tcPr>
          <w:p w14:paraId="4AF2B43A">
            <w:pPr>
              <w:pStyle w:val="12"/>
              <w:jc w:val="left"/>
            </w:pPr>
            <w:r>
              <w:rPr>
                <w:rFonts w:hint="eastAsia"/>
              </w:rPr>
              <w:t>1974年7月至1980年11月</w:t>
            </w:r>
          </w:p>
        </w:tc>
      </w:tr>
      <w:tr w14:paraId="58D5D8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5F58322">
            <w:pPr>
              <w:pStyle w:val="12"/>
              <w:jc w:val="center"/>
            </w:pPr>
            <w:r>
              <w:rPr>
                <w:rFonts w:hint="eastAsia"/>
              </w:rPr>
              <w:t>赵焕宝</w:t>
            </w:r>
          </w:p>
        </w:tc>
        <w:tc>
          <w:tcPr>
            <w:tcW w:w="1357" w:type="pct"/>
            <w:vAlign w:val="center"/>
          </w:tcPr>
          <w:p w14:paraId="34AAC01C">
            <w:pPr>
              <w:pStyle w:val="12"/>
              <w:jc w:val="center"/>
            </w:pPr>
            <w:r>
              <w:rPr>
                <w:rFonts w:hint="eastAsia"/>
              </w:rPr>
              <w:t>河北昌黎</w:t>
            </w:r>
          </w:p>
        </w:tc>
        <w:tc>
          <w:tcPr>
            <w:tcW w:w="969" w:type="pct"/>
            <w:vAlign w:val="center"/>
          </w:tcPr>
          <w:p w14:paraId="641D7DA7">
            <w:pPr>
              <w:pStyle w:val="12"/>
              <w:jc w:val="center"/>
            </w:pPr>
            <w:r>
              <w:rPr>
                <w:rFonts w:hint="eastAsia"/>
              </w:rPr>
              <w:t>县长</w:t>
            </w:r>
          </w:p>
        </w:tc>
        <w:tc>
          <w:tcPr>
            <w:tcW w:w="2034" w:type="pct"/>
            <w:vAlign w:val="center"/>
          </w:tcPr>
          <w:p w14:paraId="2AA4077B">
            <w:pPr>
              <w:pStyle w:val="12"/>
              <w:jc w:val="left"/>
            </w:pPr>
            <w:r>
              <w:rPr>
                <w:rFonts w:hint="eastAsia"/>
              </w:rPr>
              <w:t>1980年11月至1984年4月</w:t>
            </w:r>
          </w:p>
        </w:tc>
      </w:tr>
      <w:tr w14:paraId="7F1A95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79A8447">
            <w:pPr>
              <w:pStyle w:val="12"/>
              <w:jc w:val="center"/>
            </w:pPr>
            <w:r>
              <w:rPr>
                <w:rFonts w:hint="eastAsia"/>
              </w:rPr>
              <w:t>黄武君</w:t>
            </w:r>
          </w:p>
        </w:tc>
        <w:tc>
          <w:tcPr>
            <w:tcW w:w="1357" w:type="pct"/>
            <w:vAlign w:val="center"/>
          </w:tcPr>
          <w:p w14:paraId="669D24BB">
            <w:pPr>
              <w:pStyle w:val="12"/>
              <w:jc w:val="center"/>
            </w:pPr>
            <w:r>
              <w:rPr>
                <w:rFonts w:hint="eastAsia"/>
              </w:rPr>
              <w:t>广东大埔</w:t>
            </w:r>
          </w:p>
        </w:tc>
        <w:tc>
          <w:tcPr>
            <w:tcW w:w="969" w:type="pct"/>
            <w:vAlign w:val="center"/>
          </w:tcPr>
          <w:p w14:paraId="462F75DC">
            <w:pPr>
              <w:pStyle w:val="12"/>
              <w:jc w:val="center"/>
            </w:pPr>
            <w:r>
              <w:rPr>
                <w:rFonts w:hint="eastAsia"/>
              </w:rPr>
              <w:t>县长</w:t>
            </w:r>
          </w:p>
        </w:tc>
        <w:tc>
          <w:tcPr>
            <w:tcW w:w="2034" w:type="pct"/>
            <w:vAlign w:val="center"/>
          </w:tcPr>
          <w:p w14:paraId="033E73C4">
            <w:pPr>
              <w:pStyle w:val="12"/>
              <w:jc w:val="left"/>
            </w:pPr>
            <w:r>
              <w:rPr>
                <w:rFonts w:hint="eastAsia"/>
              </w:rPr>
              <w:t>1984年6月至1987年10月</w:t>
            </w:r>
          </w:p>
        </w:tc>
      </w:tr>
      <w:tr w14:paraId="713B09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4B48149">
            <w:pPr>
              <w:pStyle w:val="12"/>
              <w:jc w:val="center"/>
            </w:pPr>
            <w:r>
              <w:rPr>
                <w:rFonts w:hint="eastAsia"/>
              </w:rPr>
              <w:t>赖济标</w:t>
            </w:r>
          </w:p>
        </w:tc>
        <w:tc>
          <w:tcPr>
            <w:tcW w:w="1357" w:type="pct"/>
            <w:vAlign w:val="center"/>
          </w:tcPr>
          <w:p w14:paraId="424A45A9">
            <w:pPr>
              <w:pStyle w:val="12"/>
              <w:jc w:val="center"/>
            </w:pPr>
            <w:r>
              <w:rPr>
                <w:rFonts w:hint="eastAsia"/>
              </w:rPr>
              <w:t>广东曲江</w:t>
            </w:r>
          </w:p>
        </w:tc>
        <w:tc>
          <w:tcPr>
            <w:tcW w:w="969" w:type="pct"/>
            <w:vAlign w:val="center"/>
          </w:tcPr>
          <w:p w14:paraId="4422FF1B">
            <w:pPr>
              <w:pStyle w:val="12"/>
              <w:jc w:val="center"/>
            </w:pPr>
            <w:r>
              <w:rPr>
                <w:rFonts w:hint="eastAsia"/>
              </w:rPr>
              <w:t>革命委员会副主任</w:t>
            </w:r>
          </w:p>
        </w:tc>
        <w:tc>
          <w:tcPr>
            <w:tcW w:w="2034" w:type="pct"/>
            <w:vAlign w:val="center"/>
          </w:tcPr>
          <w:p w14:paraId="3C621D2D">
            <w:pPr>
              <w:pStyle w:val="12"/>
              <w:jc w:val="left"/>
            </w:pPr>
            <w:r>
              <w:rPr>
                <w:rFonts w:hint="eastAsia"/>
              </w:rPr>
              <w:t>1974年10月至1980年11月</w:t>
            </w:r>
          </w:p>
        </w:tc>
      </w:tr>
      <w:tr w14:paraId="15AFEF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5747B25">
            <w:pPr>
              <w:pStyle w:val="12"/>
              <w:jc w:val="center"/>
            </w:pPr>
            <w:r>
              <w:rPr>
                <w:rFonts w:hint="eastAsia"/>
              </w:rPr>
              <w:t>刘振甫</w:t>
            </w:r>
          </w:p>
        </w:tc>
        <w:tc>
          <w:tcPr>
            <w:tcW w:w="1357" w:type="pct"/>
            <w:vAlign w:val="center"/>
          </w:tcPr>
          <w:p w14:paraId="29479D19">
            <w:pPr>
              <w:pStyle w:val="12"/>
              <w:jc w:val="center"/>
            </w:pPr>
            <w:r>
              <w:rPr>
                <w:rFonts w:hint="eastAsia"/>
              </w:rPr>
              <w:t>北京市</w:t>
            </w:r>
          </w:p>
        </w:tc>
        <w:tc>
          <w:tcPr>
            <w:tcW w:w="969" w:type="pct"/>
            <w:vAlign w:val="center"/>
          </w:tcPr>
          <w:p w14:paraId="23CD00AE">
            <w:pPr>
              <w:pStyle w:val="12"/>
              <w:jc w:val="center"/>
            </w:pPr>
            <w:r>
              <w:rPr>
                <w:rFonts w:hint="eastAsia"/>
              </w:rPr>
              <w:t>革命委员会副主任</w:t>
            </w:r>
          </w:p>
        </w:tc>
        <w:tc>
          <w:tcPr>
            <w:tcW w:w="2034" w:type="pct"/>
            <w:vAlign w:val="center"/>
          </w:tcPr>
          <w:p w14:paraId="17DBB01F">
            <w:pPr>
              <w:pStyle w:val="12"/>
              <w:jc w:val="left"/>
            </w:pPr>
            <w:r>
              <w:rPr>
                <w:rFonts w:hint="eastAsia"/>
              </w:rPr>
              <w:t>1970年1月至1979年10月</w:t>
            </w:r>
          </w:p>
        </w:tc>
      </w:tr>
      <w:tr w14:paraId="389545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B65F455">
            <w:pPr>
              <w:pStyle w:val="12"/>
              <w:jc w:val="center"/>
            </w:pPr>
            <w:r>
              <w:rPr>
                <w:rFonts w:hint="eastAsia"/>
              </w:rPr>
              <w:t>周儒旺</w:t>
            </w:r>
          </w:p>
        </w:tc>
        <w:tc>
          <w:tcPr>
            <w:tcW w:w="1357" w:type="pct"/>
            <w:vAlign w:val="center"/>
          </w:tcPr>
          <w:p w14:paraId="1F58BDF3">
            <w:pPr>
              <w:pStyle w:val="12"/>
              <w:jc w:val="center"/>
            </w:pPr>
            <w:r>
              <w:rPr>
                <w:rFonts w:hint="eastAsia"/>
              </w:rPr>
              <w:t>广东南雄</w:t>
            </w:r>
          </w:p>
        </w:tc>
        <w:tc>
          <w:tcPr>
            <w:tcW w:w="969" w:type="pct"/>
            <w:vAlign w:val="center"/>
          </w:tcPr>
          <w:p w14:paraId="066E79E3">
            <w:pPr>
              <w:pStyle w:val="12"/>
              <w:jc w:val="center"/>
            </w:pPr>
            <w:r>
              <w:rPr>
                <w:rFonts w:hint="eastAsia"/>
              </w:rPr>
              <w:t>革命委员会副主任</w:t>
            </w:r>
          </w:p>
        </w:tc>
        <w:tc>
          <w:tcPr>
            <w:tcW w:w="2034" w:type="pct"/>
            <w:vAlign w:val="center"/>
          </w:tcPr>
          <w:p w14:paraId="735D5DFC">
            <w:pPr>
              <w:pStyle w:val="12"/>
              <w:jc w:val="left"/>
            </w:pPr>
            <w:r>
              <w:rPr>
                <w:rFonts w:hint="eastAsia"/>
              </w:rPr>
              <w:t>1970年5月至1980年11月</w:t>
            </w:r>
          </w:p>
        </w:tc>
      </w:tr>
      <w:tr w14:paraId="21F001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09B898A">
            <w:pPr>
              <w:pStyle w:val="12"/>
              <w:jc w:val="center"/>
            </w:pPr>
            <w:r>
              <w:rPr>
                <w:rFonts w:hint="eastAsia"/>
              </w:rPr>
              <w:t>王竹香（女）</w:t>
            </w:r>
          </w:p>
        </w:tc>
        <w:tc>
          <w:tcPr>
            <w:tcW w:w="1357" w:type="pct"/>
            <w:vAlign w:val="center"/>
          </w:tcPr>
          <w:p w14:paraId="5ACCBF96">
            <w:pPr>
              <w:pStyle w:val="12"/>
              <w:jc w:val="center"/>
            </w:pPr>
            <w:r>
              <w:rPr>
                <w:rFonts w:hint="eastAsia"/>
              </w:rPr>
              <w:t>广东南雄</w:t>
            </w:r>
          </w:p>
        </w:tc>
        <w:tc>
          <w:tcPr>
            <w:tcW w:w="969" w:type="pct"/>
            <w:vAlign w:val="center"/>
          </w:tcPr>
          <w:p w14:paraId="3EF9FEBF">
            <w:pPr>
              <w:pStyle w:val="12"/>
              <w:jc w:val="center"/>
            </w:pPr>
            <w:r>
              <w:rPr>
                <w:rFonts w:hint="eastAsia"/>
              </w:rPr>
              <w:t>革命委员会副主任</w:t>
            </w:r>
          </w:p>
        </w:tc>
        <w:tc>
          <w:tcPr>
            <w:tcW w:w="2034" w:type="pct"/>
            <w:vAlign w:val="center"/>
          </w:tcPr>
          <w:p w14:paraId="1B685E34">
            <w:pPr>
              <w:pStyle w:val="12"/>
              <w:jc w:val="left"/>
            </w:pPr>
            <w:r>
              <w:rPr>
                <w:rFonts w:hint="eastAsia"/>
              </w:rPr>
              <w:t>1970年5月至1979年10月</w:t>
            </w:r>
          </w:p>
        </w:tc>
      </w:tr>
      <w:tr w14:paraId="35AA73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restart"/>
            <w:vAlign w:val="center"/>
          </w:tcPr>
          <w:p w14:paraId="48E7D52F">
            <w:pPr>
              <w:pStyle w:val="12"/>
              <w:jc w:val="center"/>
            </w:pPr>
            <w:r>
              <w:rPr>
                <w:rFonts w:hint="eastAsia"/>
              </w:rPr>
              <w:t>何世理</w:t>
            </w:r>
          </w:p>
        </w:tc>
        <w:tc>
          <w:tcPr>
            <w:tcW w:w="1357" w:type="pct"/>
            <w:vMerge w:val="restart"/>
            <w:vAlign w:val="center"/>
          </w:tcPr>
          <w:p w14:paraId="52CAA8E9">
            <w:pPr>
              <w:pStyle w:val="12"/>
              <w:jc w:val="center"/>
            </w:pPr>
            <w:r>
              <w:rPr>
                <w:rFonts w:hint="eastAsia"/>
              </w:rPr>
              <w:t>广东南雄</w:t>
            </w:r>
          </w:p>
        </w:tc>
        <w:tc>
          <w:tcPr>
            <w:tcW w:w="969" w:type="pct"/>
            <w:vAlign w:val="center"/>
          </w:tcPr>
          <w:p w14:paraId="22083CC7">
            <w:pPr>
              <w:pStyle w:val="12"/>
              <w:jc w:val="center"/>
            </w:pPr>
            <w:r>
              <w:rPr>
                <w:rFonts w:hint="eastAsia"/>
              </w:rPr>
              <w:t>革命委员会副主任</w:t>
            </w:r>
          </w:p>
        </w:tc>
        <w:tc>
          <w:tcPr>
            <w:tcW w:w="2034" w:type="pct"/>
            <w:vAlign w:val="center"/>
          </w:tcPr>
          <w:p w14:paraId="60960EAB">
            <w:pPr>
              <w:pStyle w:val="12"/>
              <w:jc w:val="left"/>
            </w:pPr>
            <w:r>
              <w:rPr>
                <w:rFonts w:hint="eastAsia"/>
              </w:rPr>
              <w:t>1975年12月至1980年11月</w:t>
            </w:r>
          </w:p>
        </w:tc>
      </w:tr>
      <w:tr w14:paraId="666ADA9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7F42C46">
            <w:pPr>
              <w:pStyle w:val="12"/>
              <w:jc w:val="center"/>
            </w:pPr>
          </w:p>
        </w:tc>
        <w:tc>
          <w:tcPr>
            <w:tcW w:w="1357" w:type="pct"/>
            <w:vMerge w:val="continue"/>
            <w:vAlign w:val="center"/>
          </w:tcPr>
          <w:p w14:paraId="1DC9F9BE">
            <w:pPr>
              <w:pStyle w:val="12"/>
              <w:jc w:val="center"/>
            </w:pPr>
          </w:p>
        </w:tc>
        <w:tc>
          <w:tcPr>
            <w:tcW w:w="969" w:type="pct"/>
            <w:vAlign w:val="center"/>
          </w:tcPr>
          <w:p w14:paraId="148028C0">
            <w:pPr>
              <w:pStyle w:val="12"/>
              <w:jc w:val="center"/>
            </w:pPr>
            <w:r>
              <w:rPr>
                <w:rFonts w:hint="eastAsia"/>
              </w:rPr>
              <w:t>副县长</w:t>
            </w:r>
          </w:p>
        </w:tc>
        <w:tc>
          <w:tcPr>
            <w:tcW w:w="2034" w:type="pct"/>
            <w:vAlign w:val="center"/>
          </w:tcPr>
          <w:p w14:paraId="7BB85910">
            <w:pPr>
              <w:pStyle w:val="12"/>
              <w:jc w:val="left"/>
            </w:pPr>
            <w:r>
              <w:rPr>
                <w:rFonts w:hint="eastAsia"/>
              </w:rPr>
              <w:t>1980年11月至1984年4月</w:t>
            </w:r>
          </w:p>
        </w:tc>
      </w:tr>
      <w:tr w14:paraId="3C5BF8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906A661">
            <w:pPr>
              <w:pStyle w:val="12"/>
              <w:jc w:val="center"/>
            </w:pPr>
            <w:r>
              <w:rPr>
                <w:rFonts w:hint="eastAsia"/>
              </w:rPr>
              <w:t>王广居</w:t>
            </w:r>
          </w:p>
        </w:tc>
        <w:tc>
          <w:tcPr>
            <w:tcW w:w="1357" w:type="pct"/>
            <w:vAlign w:val="center"/>
          </w:tcPr>
          <w:p w14:paraId="12F3D7E9">
            <w:pPr>
              <w:pStyle w:val="12"/>
              <w:jc w:val="center"/>
            </w:pPr>
            <w:r>
              <w:rPr>
                <w:rFonts w:hint="eastAsia"/>
              </w:rPr>
              <w:t>河北蓟县</w:t>
            </w:r>
          </w:p>
        </w:tc>
        <w:tc>
          <w:tcPr>
            <w:tcW w:w="969" w:type="pct"/>
            <w:vAlign w:val="center"/>
          </w:tcPr>
          <w:p w14:paraId="120CC50E">
            <w:pPr>
              <w:pStyle w:val="12"/>
              <w:jc w:val="center"/>
            </w:pPr>
            <w:r>
              <w:rPr>
                <w:rFonts w:hint="eastAsia"/>
              </w:rPr>
              <w:t>革命委员会副主任</w:t>
            </w:r>
          </w:p>
        </w:tc>
        <w:tc>
          <w:tcPr>
            <w:tcW w:w="2034" w:type="pct"/>
            <w:vAlign w:val="center"/>
          </w:tcPr>
          <w:p w14:paraId="16B32782">
            <w:pPr>
              <w:pStyle w:val="12"/>
              <w:jc w:val="left"/>
            </w:pPr>
            <w:r>
              <w:rPr>
                <w:rFonts w:hint="eastAsia"/>
              </w:rPr>
              <w:t>1976年1月至1979年4月</w:t>
            </w:r>
          </w:p>
        </w:tc>
      </w:tr>
      <w:tr w14:paraId="2437B5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restart"/>
            <w:vAlign w:val="center"/>
          </w:tcPr>
          <w:p w14:paraId="6D29CD67">
            <w:pPr>
              <w:pStyle w:val="12"/>
              <w:jc w:val="center"/>
            </w:pPr>
            <w:r>
              <w:rPr>
                <w:rFonts w:hint="eastAsia"/>
              </w:rPr>
              <w:t>林立中</w:t>
            </w:r>
          </w:p>
        </w:tc>
        <w:tc>
          <w:tcPr>
            <w:tcW w:w="1357" w:type="pct"/>
            <w:vMerge w:val="restart"/>
            <w:vAlign w:val="center"/>
          </w:tcPr>
          <w:p w14:paraId="6AFF8FFE">
            <w:pPr>
              <w:pStyle w:val="12"/>
              <w:jc w:val="center"/>
            </w:pPr>
            <w:r>
              <w:rPr>
                <w:rFonts w:hint="eastAsia"/>
              </w:rPr>
              <w:t>广东惠阳</w:t>
            </w:r>
          </w:p>
        </w:tc>
        <w:tc>
          <w:tcPr>
            <w:tcW w:w="969" w:type="pct"/>
            <w:vAlign w:val="center"/>
          </w:tcPr>
          <w:p w14:paraId="7BD17239">
            <w:pPr>
              <w:pStyle w:val="12"/>
              <w:jc w:val="center"/>
            </w:pPr>
            <w:r>
              <w:rPr>
                <w:rFonts w:hint="eastAsia"/>
              </w:rPr>
              <w:t>革命委员会副主任</w:t>
            </w:r>
          </w:p>
        </w:tc>
        <w:tc>
          <w:tcPr>
            <w:tcW w:w="2034" w:type="pct"/>
            <w:vAlign w:val="center"/>
          </w:tcPr>
          <w:p w14:paraId="25E764A5">
            <w:pPr>
              <w:pStyle w:val="12"/>
              <w:jc w:val="left"/>
            </w:pPr>
            <w:r>
              <w:rPr>
                <w:rFonts w:hint="eastAsia"/>
              </w:rPr>
              <w:t>1976年至1980年11月</w:t>
            </w:r>
          </w:p>
        </w:tc>
      </w:tr>
      <w:tr w14:paraId="066B66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AC314F7">
            <w:pPr>
              <w:pStyle w:val="12"/>
              <w:jc w:val="center"/>
            </w:pPr>
          </w:p>
        </w:tc>
        <w:tc>
          <w:tcPr>
            <w:tcW w:w="1357" w:type="pct"/>
            <w:vMerge w:val="continue"/>
            <w:vAlign w:val="center"/>
          </w:tcPr>
          <w:p w14:paraId="35D08FBC">
            <w:pPr>
              <w:pStyle w:val="12"/>
              <w:jc w:val="center"/>
            </w:pPr>
          </w:p>
        </w:tc>
        <w:tc>
          <w:tcPr>
            <w:tcW w:w="969" w:type="pct"/>
            <w:vAlign w:val="center"/>
          </w:tcPr>
          <w:p w14:paraId="23CC0136">
            <w:pPr>
              <w:pStyle w:val="12"/>
              <w:jc w:val="center"/>
            </w:pPr>
            <w:r>
              <w:rPr>
                <w:rFonts w:hint="eastAsia"/>
              </w:rPr>
              <w:t>副县长</w:t>
            </w:r>
          </w:p>
        </w:tc>
        <w:tc>
          <w:tcPr>
            <w:tcW w:w="2034" w:type="pct"/>
            <w:vAlign w:val="center"/>
          </w:tcPr>
          <w:p w14:paraId="255A0620">
            <w:pPr>
              <w:pStyle w:val="12"/>
              <w:jc w:val="left"/>
            </w:pPr>
            <w:r>
              <w:rPr>
                <w:rFonts w:hint="eastAsia"/>
              </w:rPr>
              <w:t>1980年11月至1983年3月</w:t>
            </w:r>
          </w:p>
        </w:tc>
      </w:tr>
      <w:tr w14:paraId="3874EF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restart"/>
            <w:vAlign w:val="center"/>
          </w:tcPr>
          <w:p w14:paraId="27931020">
            <w:pPr>
              <w:pStyle w:val="12"/>
              <w:jc w:val="center"/>
            </w:pPr>
            <w:r>
              <w:rPr>
                <w:rFonts w:hint="eastAsia"/>
              </w:rPr>
              <w:t>黄登军</w:t>
            </w:r>
          </w:p>
        </w:tc>
        <w:tc>
          <w:tcPr>
            <w:tcW w:w="1357" w:type="pct"/>
            <w:vMerge w:val="restart"/>
            <w:vAlign w:val="center"/>
          </w:tcPr>
          <w:p w14:paraId="4AC9CD39">
            <w:pPr>
              <w:pStyle w:val="12"/>
              <w:jc w:val="center"/>
            </w:pPr>
            <w:r>
              <w:rPr>
                <w:rFonts w:hint="eastAsia"/>
              </w:rPr>
              <w:t>广东连县</w:t>
            </w:r>
          </w:p>
        </w:tc>
        <w:tc>
          <w:tcPr>
            <w:tcW w:w="969" w:type="pct"/>
            <w:vAlign w:val="center"/>
          </w:tcPr>
          <w:p w14:paraId="2C51BEF1">
            <w:pPr>
              <w:pStyle w:val="12"/>
              <w:jc w:val="center"/>
            </w:pPr>
            <w:r>
              <w:rPr>
                <w:rFonts w:hint="eastAsia"/>
              </w:rPr>
              <w:t>革命委员会副主任</w:t>
            </w:r>
          </w:p>
        </w:tc>
        <w:tc>
          <w:tcPr>
            <w:tcW w:w="2034" w:type="pct"/>
            <w:vAlign w:val="center"/>
          </w:tcPr>
          <w:p w14:paraId="7D001528">
            <w:pPr>
              <w:pStyle w:val="12"/>
              <w:jc w:val="left"/>
            </w:pPr>
            <w:r>
              <w:rPr>
                <w:rFonts w:hint="eastAsia"/>
              </w:rPr>
              <w:t>1976年3月至1980年11月</w:t>
            </w:r>
          </w:p>
        </w:tc>
      </w:tr>
      <w:tr w14:paraId="74E1E9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EB55474">
            <w:pPr>
              <w:pStyle w:val="12"/>
              <w:jc w:val="center"/>
            </w:pPr>
          </w:p>
        </w:tc>
        <w:tc>
          <w:tcPr>
            <w:tcW w:w="1357" w:type="pct"/>
            <w:vMerge w:val="continue"/>
            <w:vAlign w:val="center"/>
          </w:tcPr>
          <w:p w14:paraId="54570E7F">
            <w:pPr>
              <w:pStyle w:val="12"/>
              <w:jc w:val="center"/>
            </w:pPr>
          </w:p>
        </w:tc>
        <w:tc>
          <w:tcPr>
            <w:tcW w:w="969" w:type="pct"/>
            <w:vAlign w:val="center"/>
          </w:tcPr>
          <w:p w14:paraId="512928FC">
            <w:pPr>
              <w:pStyle w:val="12"/>
              <w:jc w:val="center"/>
            </w:pPr>
            <w:r>
              <w:rPr>
                <w:rFonts w:hint="eastAsia"/>
              </w:rPr>
              <w:t>副县长</w:t>
            </w:r>
          </w:p>
        </w:tc>
        <w:tc>
          <w:tcPr>
            <w:tcW w:w="2034" w:type="pct"/>
            <w:vAlign w:val="center"/>
          </w:tcPr>
          <w:p w14:paraId="7AE699CA">
            <w:pPr>
              <w:pStyle w:val="12"/>
              <w:jc w:val="left"/>
            </w:pPr>
            <w:r>
              <w:rPr>
                <w:rFonts w:hint="eastAsia"/>
              </w:rPr>
              <w:t>1980年11月至1984年4月</w:t>
            </w:r>
          </w:p>
        </w:tc>
      </w:tr>
      <w:tr w14:paraId="1D24F8E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DD2021C">
            <w:pPr>
              <w:pStyle w:val="12"/>
              <w:jc w:val="center"/>
            </w:pPr>
            <w:r>
              <w:rPr>
                <w:rFonts w:hint="eastAsia"/>
              </w:rPr>
              <w:t>王春堂</w:t>
            </w:r>
          </w:p>
        </w:tc>
        <w:tc>
          <w:tcPr>
            <w:tcW w:w="1357" w:type="pct"/>
            <w:vAlign w:val="center"/>
          </w:tcPr>
          <w:p w14:paraId="4C7E4B86">
            <w:pPr>
              <w:pStyle w:val="12"/>
              <w:jc w:val="center"/>
            </w:pPr>
            <w:r>
              <w:rPr>
                <w:rFonts w:hint="eastAsia"/>
              </w:rPr>
              <w:t>辽宁庄河</w:t>
            </w:r>
          </w:p>
        </w:tc>
        <w:tc>
          <w:tcPr>
            <w:tcW w:w="969" w:type="pct"/>
            <w:vAlign w:val="center"/>
          </w:tcPr>
          <w:p w14:paraId="49D59280">
            <w:pPr>
              <w:pStyle w:val="12"/>
              <w:jc w:val="center"/>
            </w:pPr>
            <w:r>
              <w:rPr>
                <w:rFonts w:hint="eastAsia"/>
              </w:rPr>
              <w:t>革命委员会副主任</w:t>
            </w:r>
          </w:p>
        </w:tc>
        <w:tc>
          <w:tcPr>
            <w:tcW w:w="2034" w:type="pct"/>
            <w:vAlign w:val="center"/>
          </w:tcPr>
          <w:p w14:paraId="3DFFD07F">
            <w:pPr>
              <w:pStyle w:val="12"/>
              <w:jc w:val="left"/>
            </w:pPr>
            <w:r>
              <w:rPr>
                <w:rFonts w:hint="eastAsia"/>
              </w:rPr>
              <w:t>1977年3月至1980年11月</w:t>
            </w:r>
          </w:p>
        </w:tc>
      </w:tr>
      <w:tr w14:paraId="50B9873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restart"/>
            <w:vAlign w:val="center"/>
          </w:tcPr>
          <w:p w14:paraId="00C6FD79">
            <w:pPr>
              <w:pStyle w:val="12"/>
              <w:jc w:val="center"/>
            </w:pPr>
            <w:r>
              <w:rPr>
                <w:rFonts w:hint="eastAsia"/>
              </w:rPr>
              <w:t>吴述超</w:t>
            </w:r>
          </w:p>
        </w:tc>
        <w:tc>
          <w:tcPr>
            <w:tcW w:w="1357" w:type="pct"/>
            <w:vMerge w:val="restart"/>
            <w:vAlign w:val="center"/>
          </w:tcPr>
          <w:p w14:paraId="2B71AB77">
            <w:pPr>
              <w:pStyle w:val="12"/>
              <w:jc w:val="center"/>
            </w:pPr>
            <w:r>
              <w:rPr>
                <w:rFonts w:hint="eastAsia"/>
              </w:rPr>
              <w:t>广东南雄</w:t>
            </w:r>
          </w:p>
        </w:tc>
        <w:tc>
          <w:tcPr>
            <w:tcW w:w="969" w:type="pct"/>
            <w:vAlign w:val="center"/>
          </w:tcPr>
          <w:p w14:paraId="72A3C098">
            <w:pPr>
              <w:pStyle w:val="12"/>
              <w:jc w:val="center"/>
            </w:pPr>
            <w:r>
              <w:rPr>
                <w:rFonts w:hint="eastAsia"/>
              </w:rPr>
              <w:t>革命委员会副主任</w:t>
            </w:r>
          </w:p>
        </w:tc>
        <w:tc>
          <w:tcPr>
            <w:tcW w:w="2034" w:type="pct"/>
            <w:vAlign w:val="center"/>
          </w:tcPr>
          <w:p w14:paraId="7CC264F7">
            <w:pPr>
              <w:pStyle w:val="12"/>
              <w:jc w:val="left"/>
            </w:pPr>
            <w:r>
              <w:rPr>
                <w:rFonts w:hint="eastAsia"/>
              </w:rPr>
              <w:t>1978年4月至1980年11月</w:t>
            </w:r>
          </w:p>
        </w:tc>
      </w:tr>
      <w:tr w14:paraId="7AC05A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B5C63E2">
            <w:pPr>
              <w:pStyle w:val="12"/>
              <w:jc w:val="center"/>
            </w:pPr>
          </w:p>
        </w:tc>
        <w:tc>
          <w:tcPr>
            <w:tcW w:w="1357" w:type="pct"/>
            <w:vMerge w:val="continue"/>
            <w:vAlign w:val="center"/>
          </w:tcPr>
          <w:p w14:paraId="5AC4BB05">
            <w:pPr>
              <w:pStyle w:val="12"/>
              <w:jc w:val="center"/>
            </w:pPr>
          </w:p>
        </w:tc>
        <w:tc>
          <w:tcPr>
            <w:tcW w:w="969" w:type="pct"/>
            <w:vAlign w:val="center"/>
          </w:tcPr>
          <w:p w14:paraId="5F24361E">
            <w:pPr>
              <w:pStyle w:val="12"/>
              <w:jc w:val="center"/>
            </w:pPr>
            <w:r>
              <w:rPr>
                <w:rFonts w:hint="eastAsia"/>
              </w:rPr>
              <w:t>副县长</w:t>
            </w:r>
          </w:p>
        </w:tc>
        <w:tc>
          <w:tcPr>
            <w:tcW w:w="2034" w:type="pct"/>
            <w:vAlign w:val="center"/>
          </w:tcPr>
          <w:p w14:paraId="2F8E4DDF">
            <w:pPr>
              <w:pStyle w:val="12"/>
              <w:jc w:val="left"/>
            </w:pPr>
            <w:r>
              <w:rPr>
                <w:rFonts w:hint="eastAsia"/>
              </w:rPr>
              <w:t>1980年11月至1984年4月</w:t>
            </w:r>
          </w:p>
        </w:tc>
      </w:tr>
      <w:tr w14:paraId="491856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B4308C4">
            <w:pPr>
              <w:pStyle w:val="12"/>
              <w:jc w:val="center"/>
            </w:pPr>
            <w:r>
              <w:rPr>
                <w:rFonts w:hint="eastAsia"/>
              </w:rPr>
              <w:t>邓纯信</w:t>
            </w:r>
          </w:p>
        </w:tc>
        <w:tc>
          <w:tcPr>
            <w:tcW w:w="1357" w:type="pct"/>
            <w:vAlign w:val="center"/>
          </w:tcPr>
          <w:p w14:paraId="7C6A8CF1">
            <w:pPr>
              <w:pStyle w:val="12"/>
              <w:jc w:val="center"/>
            </w:pPr>
            <w:r>
              <w:rPr>
                <w:rFonts w:hint="eastAsia"/>
              </w:rPr>
              <w:t>广东始兴</w:t>
            </w:r>
          </w:p>
        </w:tc>
        <w:tc>
          <w:tcPr>
            <w:tcW w:w="969" w:type="pct"/>
            <w:vAlign w:val="center"/>
          </w:tcPr>
          <w:p w14:paraId="7E19C0E6">
            <w:pPr>
              <w:pStyle w:val="12"/>
              <w:jc w:val="center"/>
            </w:pPr>
            <w:r>
              <w:rPr>
                <w:rFonts w:hint="eastAsia"/>
              </w:rPr>
              <w:t>革命委员会副主任</w:t>
            </w:r>
          </w:p>
        </w:tc>
        <w:tc>
          <w:tcPr>
            <w:tcW w:w="2034" w:type="pct"/>
            <w:vAlign w:val="center"/>
          </w:tcPr>
          <w:p w14:paraId="74F7BABE">
            <w:pPr>
              <w:pStyle w:val="12"/>
              <w:jc w:val="left"/>
            </w:pPr>
            <w:r>
              <w:rPr>
                <w:rFonts w:hint="eastAsia"/>
              </w:rPr>
              <w:t>1976年5月至1980年11月</w:t>
            </w:r>
          </w:p>
        </w:tc>
      </w:tr>
      <w:tr w14:paraId="311FA88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DE6B56A">
            <w:pPr>
              <w:pStyle w:val="12"/>
              <w:jc w:val="center"/>
            </w:pPr>
            <w:r>
              <w:rPr>
                <w:rFonts w:hint="eastAsia"/>
              </w:rPr>
              <w:t>邓统</w:t>
            </w:r>
          </w:p>
        </w:tc>
        <w:tc>
          <w:tcPr>
            <w:tcW w:w="1357" w:type="pct"/>
            <w:vAlign w:val="center"/>
          </w:tcPr>
          <w:p w14:paraId="1858C475">
            <w:pPr>
              <w:pStyle w:val="12"/>
              <w:jc w:val="center"/>
            </w:pPr>
            <w:r>
              <w:rPr>
                <w:rFonts w:hint="eastAsia"/>
              </w:rPr>
              <w:t>广东英德</w:t>
            </w:r>
          </w:p>
        </w:tc>
        <w:tc>
          <w:tcPr>
            <w:tcW w:w="969" w:type="pct"/>
            <w:vAlign w:val="center"/>
          </w:tcPr>
          <w:p w14:paraId="106A2077">
            <w:pPr>
              <w:pStyle w:val="12"/>
              <w:jc w:val="center"/>
            </w:pPr>
            <w:r>
              <w:rPr>
                <w:rFonts w:hint="eastAsia"/>
              </w:rPr>
              <w:t>革命委员会副主任</w:t>
            </w:r>
          </w:p>
        </w:tc>
        <w:tc>
          <w:tcPr>
            <w:tcW w:w="2034" w:type="pct"/>
            <w:vAlign w:val="center"/>
          </w:tcPr>
          <w:p w14:paraId="6A714930">
            <w:pPr>
              <w:pStyle w:val="12"/>
              <w:jc w:val="left"/>
            </w:pPr>
            <w:r>
              <w:rPr>
                <w:rFonts w:hint="eastAsia"/>
              </w:rPr>
              <w:t>1978年11月至1980年11月</w:t>
            </w:r>
          </w:p>
        </w:tc>
      </w:tr>
      <w:tr w14:paraId="22D5DA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6B7C0D9">
            <w:pPr>
              <w:pStyle w:val="12"/>
              <w:jc w:val="center"/>
            </w:pPr>
            <w:r>
              <w:rPr>
                <w:rFonts w:hint="eastAsia"/>
              </w:rPr>
              <w:t>梁小良</w:t>
            </w:r>
          </w:p>
        </w:tc>
        <w:tc>
          <w:tcPr>
            <w:tcW w:w="1357" w:type="pct"/>
            <w:vAlign w:val="center"/>
          </w:tcPr>
          <w:p w14:paraId="0D1F371D">
            <w:pPr>
              <w:pStyle w:val="12"/>
              <w:jc w:val="center"/>
            </w:pPr>
            <w:r>
              <w:rPr>
                <w:rFonts w:hint="eastAsia"/>
              </w:rPr>
              <w:t>广东新丰</w:t>
            </w:r>
          </w:p>
        </w:tc>
        <w:tc>
          <w:tcPr>
            <w:tcW w:w="969" w:type="pct"/>
            <w:vAlign w:val="center"/>
          </w:tcPr>
          <w:p w14:paraId="421B2D01">
            <w:pPr>
              <w:pStyle w:val="12"/>
              <w:jc w:val="center"/>
            </w:pPr>
            <w:r>
              <w:rPr>
                <w:rFonts w:hint="eastAsia"/>
              </w:rPr>
              <w:t>革命委员会副主任</w:t>
            </w:r>
          </w:p>
        </w:tc>
        <w:tc>
          <w:tcPr>
            <w:tcW w:w="2034" w:type="pct"/>
            <w:vAlign w:val="center"/>
          </w:tcPr>
          <w:p w14:paraId="0C60E699">
            <w:pPr>
              <w:pStyle w:val="12"/>
              <w:jc w:val="left"/>
            </w:pPr>
            <w:r>
              <w:rPr>
                <w:rFonts w:hint="eastAsia"/>
              </w:rPr>
              <w:t>1979年3月至1980年11月</w:t>
            </w:r>
          </w:p>
        </w:tc>
      </w:tr>
      <w:tr w14:paraId="3ED8EE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5DE44BC">
            <w:pPr>
              <w:pStyle w:val="12"/>
              <w:jc w:val="center"/>
            </w:pPr>
            <w:r>
              <w:rPr>
                <w:rFonts w:hint="eastAsia"/>
              </w:rPr>
              <w:t>肖有根</w:t>
            </w:r>
          </w:p>
        </w:tc>
        <w:tc>
          <w:tcPr>
            <w:tcW w:w="1357" w:type="pct"/>
            <w:vAlign w:val="center"/>
          </w:tcPr>
          <w:p w14:paraId="6991012A">
            <w:pPr>
              <w:pStyle w:val="12"/>
              <w:jc w:val="center"/>
            </w:pPr>
            <w:r>
              <w:rPr>
                <w:rFonts w:hint="eastAsia"/>
              </w:rPr>
              <w:t>广东翁源</w:t>
            </w:r>
          </w:p>
        </w:tc>
        <w:tc>
          <w:tcPr>
            <w:tcW w:w="969" w:type="pct"/>
            <w:vAlign w:val="center"/>
          </w:tcPr>
          <w:p w14:paraId="72F48EFA">
            <w:pPr>
              <w:pStyle w:val="12"/>
              <w:jc w:val="center"/>
            </w:pPr>
            <w:r>
              <w:rPr>
                <w:rFonts w:hint="eastAsia"/>
              </w:rPr>
              <w:t>革命委员会副主任</w:t>
            </w:r>
          </w:p>
        </w:tc>
        <w:tc>
          <w:tcPr>
            <w:tcW w:w="2034" w:type="pct"/>
            <w:vAlign w:val="center"/>
          </w:tcPr>
          <w:p w14:paraId="31354580">
            <w:pPr>
              <w:pStyle w:val="12"/>
              <w:jc w:val="left"/>
            </w:pPr>
            <w:r>
              <w:rPr>
                <w:rFonts w:hint="eastAsia"/>
              </w:rPr>
              <w:t>1979年5月至1980年11月</w:t>
            </w:r>
          </w:p>
        </w:tc>
      </w:tr>
      <w:tr w14:paraId="75DDE7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8FC729E">
            <w:pPr>
              <w:pStyle w:val="12"/>
              <w:jc w:val="center"/>
            </w:pPr>
            <w:r>
              <w:rPr>
                <w:rFonts w:hint="eastAsia"/>
              </w:rPr>
              <w:t>谢学俊</w:t>
            </w:r>
          </w:p>
        </w:tc>
        <w:tc>
          <w:tcPr>
            <w:tcW w:w="1357" w:type="pct"/>
            <w:vAlign w:val="center"/>
          </w:tcPr>
          <w:p w14:paraId="473028BB">
            <w:pPr>
              <w:pStyle w:val="12"/>
              <w:jc w:val="center"/>
            </w:pPr>
            <w:r>
              <w:rPr>
                <w:rFonts w:hint="eastAsia"/>
              </w:rPr>
              <w:t>辽宁赤峰</w:t>
            </w:r>
          </w:p>
        </w:tc>
        <w:tc>
          <w:tcPr>
            <w:tcW w:w="969" w:type="pct"/>
            <w:vAlign w:val="center"/>
          </w:tcPr>
          <w:p w14:paraId="06D4DF19">
            <w:pPr>
              <w:pStyle w:val="12"/>
              <w:jc w:val="center"/>
            </w:pPr>
            <w:r>
              <w:rPr>
                <w:rFonts w:hint="eastAsia"/>
              </w:rPr>
              <w:t>副县长</w:t>
            </w:r>
          </w:p>
        </w:tc>
        <w:tc>
          <w:tcPr>
            <w:tcW w:w="2034" w:type="pct"/>
            <w:vAlign w:val="center"/>
          </w:tcPr>
          <w:p w14:paraId="3A4743B9">
            <w:pPr>
              <w:pStyle w:val="12"/>
              <w:jc w:val="left"/>
            </w:pPr>
            <w:r>
              <w:rPr>
                <w:rFonts w:hint="eastAsia"/>
              </w:rPr>
              <w:t>1980年11月至1984年4月</w:t>
            </w:r>
          </w:p>
        </w:tc>
      </w:tr>
      <w:tr w14:paraId="63D9DE7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E3B2CEA">
            <w:pPr>
              <w:pStyle w:val="12"/>
              <w:jc w:val="center"/>
            </w:pPr>
            <w:r>
              <w:rPr>
                <w:rFonts w:hint="eastAsia"/>
              </w:rPr>
              <w:t>黄铁坚</w:t>
            </w:r>
          </w:p>
        </w:tc>
        <w:tc>
          <w:tcPr>
            <w:tcW w:w="1357" w:type="pct"/>
            <w:vAlign w:val="center"/>
          </w:tcPr>
          <w:p w14:paraId="299598DA">
            <w:pPr>
              <w:pStyle w:val="12"/>
              <w:jc w:val="center"/>
            </w:pPr>
            <w:r>
              <w:rPr>
                <w:rFonts w:hint="eastAsia"/>
              </w:rPr>
              <w:t>江西进贤</w:t>
            </w:r>
          </w:p>
        </w:tc>
        <w:tc>
          <w:tcPr>
            <w:tcW w:w="969" w:type="pct"/>
            <w:vAlign w:val="center"/>
          </w:tcPr>
          <w:p w14:paraId="0011FA9D">
            <w:pPr>
              <w:pStyle w:val="12"/>
              <w:jc w:val="center"/>
            </w:pPr>
            <w:r>
              <w:rPr>
                <w:rFonts w:hint="eastAsia"/>
              </w:rPr>
              <w:t>副县长</w:t>
            </w:r>
          </w:p>
        </w:tc>
        <w:tc>
          <w:tcPr>
            <w:tcW w:w="2034" w:type="pct"/>
            <w:vAlign w:val="center"/>
          </w:tcPr>
          <w:p w14:paraId="1D5173FB">
            <w:pPr>
              <w:pStyle w:val="12"/>
              <w:jc w:val="left"/>
            </w:pPr>
            <w:r>
              <w:rPr>
                <w:rFonts w:hint="eastAsia"/>
              </w:rPr>
              <w:t>1982年3月至1984年4月</w:t>
            </w:r>
          </w:p>
        </w:tc>
      </w:tr>
      <w:tr w14:paraId="03561A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73B6A0E">
            <w:pPr>
              <w:pStyle w:val="12"/>
              <w:jc w:val="center"/>
            </w:pPr>
            <w:r>
              <w:rPr>
                <w:rFonts w:hint="eastAsia"/>
              </w:rPr>
              <w:t>吴承建</w:t>
            </w:r>
          </w:p>
        </w:tc>
        <w:tc>
          <w:tcPr>
            <w:tcW w:w="1357" w:type="pct"/>
            <w:vAlign w:val="center"/>
          </w:tcPr>
          <w:p w14:paraId="381DF5A3">
            <w:pPr>
              <w:pStyle w:val="12"/>
              <w:jc w:val="center"/>
            </w:pPr>
            <w:r>
              <w:rPr>
                <w:rFonts w:hint="eastAsia"/>
              </w:rPr>
              <w:t>广东梅县</w:t>
            </w:r>
          </w:p>
        </w:tc>
        <w:tc>
          <w:tcPr>
            <w:tcW w:w="969" w:type="pct"/>
            <w:vAlign w:val="center"/>
          </w:tcPr>
          <w:p w14:paraId="108A0B0E">
            <w:pPr>
              <w:pStyle w:val="12"/>
              <w:jc w:val="center"/>
            </w:pPr>
            <w:r>
              <w:rPr>
                <w:rFonts w:hint="eastAsia"/>
              </w:rPr>
              <w:t>副县长</w:t>
            </w:r>
          </w:p>
        </w:tc>
        <w:tc>
          <w:tcPr>
            <w:tcW w:w="2034" w:type="pct"/>
            <w:vAlign w:val="center"/>
          </w:tcPr>
          <w:p w14:paraId="0EF15ADA">
            <w:pPr>
              <w:pStyle w:val="12"/>
              <w:jc w:val="left"/>
            </w:pPr>
            <w:r>
              <w:rPr>
                <w:rFonts w:hint="eastAsia"/>
              </w:rPr>
              <w:t>1984年2月至1987年11月</w:t>
            </w:r>
          </w:p>
        </w:tc>
      </w:tr>
      <w:tr w14:paraId="7C228F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BDC807A">
            <w:pPr>
              <w:pStyle w:val="12"/>
              <w:jc w:val="center"/>
            </w:pPr>
            <w:r>
              <w:rPr>
                <w:rFonts w:hint="eastAsia"/>
              </w:rPr>
              <w:t>卢卫群</w:t>
            </w:r>
          </w:p>
        </w:tc>
        <w:tc>
          <w:tcPr>
            <w:tcW w:w="1357" w:type="pct"/>
            <w:vAlign w:val="center"/>
          </w:tcPr>
          <w:p w14:paraId="276ACB42">
            <w:pPr>
              <w:pStyle w:val="12"/>
              <w:jc w:val="center"/>
            </w:pPr>
            <w:r>
              <w:rPr>
                <w:rFonts w:hint="eastAsia"/>
              </w:rPr>
              <w:t>广东潮安</w:t>
            </w:r>
          </w:p>
        </w:tc>
        <w:tc>
          <w:tcPr>
            <w:tcW w:w="969" w:type="pct"/>
            <w:vAlign w:val="center"/>
          </w:tcPr>
          <w:p w14:paraId="7118C7B6">
            <w:pPr>
              <w:pStyle w:val="12"/>
              <w:jc w:val="center"/>
            </w:pPr>
            <w:r>
              <w:rPr>
                <w:rFonts w:hint="eastAsia"/>
              </w:rPr>
              <w:t>副县长</w:t>
            </w:r>
          </w:p>
        </w:tc>
        <w:tc>
          <w:tcPr>
            <w:tcW w:w="2034" w:type="pct"/>
            <w:vAlign w:val="center"/>
          </w:tcPr>
          <w:p w14:paraId="0CB03FB2">
            <w:pPr>
              <w:pStyle w:val="12"/>
              <w:jc w:val="left"/>
            </w:pPr>
            <w:r>
              <w:rPr>
                <w:rFonts w:hint="eastAsia"/>
              </w:rPr>
              <w:t>1984年6月至1987年1月</w:t>
            </w:r>
          </w:p>
        </w:tc>
      </w:tr>
      <w:tr w14:paraId="7B03DF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589ADEB">
            <w:pPr>
              <w:pStyle w:val="12"/>
              <w:jc w:val="center"/>
            </w:pPr>
            <w:r>
              <w:rPr>
                <w:rFonts w:hint="eastAsia"/>
              </w:rPr>
              <w:t>余两安</w:t>
            </w:r>
          </w:p>
        </w:tc>
        <w:tc>
          <w:tcPr>
            <w:tcW w:w="1357" w:type="pct"/>
            <w:vAlign w:val="center"/>
          </w:tcPr>
          <w:p w14:paraId="20F50C9D">
            <w:pPr>
              <w:pStyle w:val="12"/>
              <w:jc w:val="center"/>
            </w:pPr>
            <w:r>
              <w:rPr>
                <w:rFonts w:hint="eastAsia"/>
              </w:rPr>
              <w:t>广东饶平</w:t>
            </w:r>
          </w:p>
        </w:tc>
        <w:tc>
          <w:tcPr>
            <w:tcW w:w="969" w:type="pct"/>
            <w:vAlign w:val="center"/>
          </w:tcPr>
          <w:p w14:paraId="3D272A2D">
            <w:pPr>
              <w:pStyle w:val="12"/>
              <w:jc w:val="center"/>
            </w:pPr>
            <w:r>
              <w:rPr>
                <w:rFonts w:hint="eastAsia"/>
              </w:rPr>
              <w:t>副县长</w:t>
            </w:r>
          </w:p>
        </w:tc>
        <w:tc>
          <w:tcPr>
            <w:tcW w:w="2034" w:type="pct"/>
            <w:vAlign w:val="center"/>
          </w:tcPr>
          <w:p w14:paraId="49422FBC">
            <w:pPr>
              <w:pStyle w:val="12"/>
              <w:jc w:val="left"/>
            </w:pPr>
            <w:r>
              <w:rPr>
                <w:rFonts w:hint="eastAsia"/>
              </w:rPr>
              <w:t>1984年6月至1986年2月</w:t>
            </w:r>
          </w:p>
        </w:tc>
      </w:tr>
      <w:tr w14:paraId="4D1A3F9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BEFA7DD">
            <w:pPr>
              <w:pStyle w:val="12"/>
              <w:jc w:val="center"/>
            </w:pPr>
            <w:r>
              <w:rPr>
                <w:rFonts w:hint="eastAsia"/>
              </w:rPr>
              <w:t>黄祖文</w:t>
            </w:r>
          </w:p>
        </w:tc>
        <w:tc>
          <w:tcPr>
            <w:tcW w:w="1357" w:type="pct"/>
            <w:vAlign w:val="center"/>
          </w:tcPr>
          <w:p w14:paraId="5FDBF717">
            <w:pPr>
              <w:pStyle w:val="12"/>
              <w:jc w:val="center"/>
            </w:pPr>
            <w:r>
              <w:rPr>
                <w:rFonts w:hint="eastAsia"/>
              </w:rPr>
              <w:t>广东南雄</w:t>
            </w:r>
          </w:p>
        </w:tc>
        <w:tc>
          <w:tcPr>
            <w:tcW w:w="969" w:type="pct"/>
            <w:vAlign w:val="center"/>
          </w:tcPr>
          <w:p w14:paraId="2E9679DA">
            <w:pPr>
              <w:pStyle w:val="12"/>
              <w:jc w:val="center"/>
            </w:pPr>
            <w:r>
              <w:rPr>
                <w:rFonts w:hint="eastAsia"/>
              </w:rPr>
              <w:t>副县长</w:t>
            </w:r>
          </w:p>
        </w:tc>
        <w:tc>
          <w:tcPr>
            <w:tcW w:w="2034" w:type="pct"/>
            <w:vAlign w:val="center"/>
          </w:tcPr>
          <w:p w14:paraId="237C1070">
            <w:pPr>
              <w:pStyle w:val="12"/>
              <w:jc w:val="left"/>
            </w:pPr>
            <w:r>
              <w:rPr>
                <w:rFonts w:hint="eastAsia"/>
              </w:rPr>
              <w:t>1984年6月至1988年9月</w:t>
            </w:r>
          </w:p>
        </w:tc>
      </w:tr>
      <w:tr w14:paraId="5D77E9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90D897D">
            <w:pPr>
              <w:pStyle w:val="12"/>
              <w:jc w:val="center"/>
            </w:pPr>
            <w:r>
              <w:rPr>
                <w:rFonts w:hint="eastAsia"/>
              </w:rPr>
              <w:t>褟仕堃</w:t>
            </w:r>
          </w:p>
        </w:tc>
        <w:tc>
          <w:tcPr>
            <w:tcW w:w="1357" w:type="pct"/>
            <w:vAlign w:val="center"/>
          </w:tcPr>
          <w:p w14:paraId="42E64204">
            <w:pPr>
              <w:pStyle w:val="12"/>
              <w:jc w:val="center"/>
            </w:pPr>
            <w:r>
              <w:rPr>
                <w:rFonts w:hint="eastAsia"/>
              </w:rPr>
              <w:t>广东清远</w:t>
            </w:r>
          </w:p>
        </w:tc>
        <w:tc>
          <w:tcPr>
            <w:tcW w:w="969" w:type="pct"/>
            <w:vAlign w:val="center"/>
          </w:tcPr>
          <w:p w14:paraId="5BEA2FCE">
            <w:pPr>
              <w:pStyle w:val="12"/>
              <w:jc w:val="center"/>
            </w:pPr>
            <w:r>
              <w:rPr>
                <w:rFonts w:hint="eastAsia"/>
              </w:rPr>
              <w:t>副县长</w:t>
            </w:r>
          </w:p>
        </w:tc>
        <w:tc>
          <w:tcPr>
            <w:tcW w:w="2034" w:type="pct"/>
            <w:vAlign w:val="center"/>
          </w:tcPr>
          <w:p w14:paraId="0A80E937">
            <w:pPr>
              <w:pStyle w:val="12"/>
              <w:jc w:val="left"/>
            </w:pPr>
            <w:r>
              <w:rPr>
                <w:rFonts w:hint="eastAsia"/>
              </w:rPr>
              <w:t>1986年7月至1988年4月</w:t>
            </w:r>
          </w:p>
        </w:tc>
      </w:tr>
      <w:tr w14:paraId="1985A8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0C97587">
            <w:pPr>
              <w:pStyle w:val="12"/>
              <w:jc w:val="center"/>
            </w:pPr>
            <w:r>
              <w:rPr>
                <w:rFonts w:hint="eastAsia"/>
              </w:rPr>
              <w:t>刘惠云</w:t>
            </w:r>
          </w:p>
        </w:tc>
        <w:tc>
          <w:tcPr>
            <w:tcW w:w="1357" w:type="pct"/>
            <w:vAlign w:val="center"/>
          </w:tcPr>
          <w:p w14:paraId="4A0BE853">
            <w:pPr>
              <w:pStyle w:val="12"/>
              <w:jc w:val="center"/>
            </w:pPr>
            <w:r>
              <w:rPr>
                <w:rFonts w:hint="eastAsia"/>
              </w:rPr>
              <w:t>广东揭西</w:t>
            </w:r>
          </w:p>
        </w:tc>
        <w:tc>
          <w:tcPr>
            <w:tcW w:w="969" w:type="pct"/>
            <w:vAlign w:val="center"/>
          </w:tcPr>
          <w:p w14:paraId="581438E5">
            <w:pPr>
              <w:pStyle w:val="12"/>
              <w:jc w:val="center"/>
            </w:pPr>
            <w:r>
              <w:rPr>
                <w:rFonts w:hint="eastAsia"/>
              </w:rPr>
              <w:t>副县长</w:t>
            </w:r>
          </w:p>
        </w:tc>
        <w:tc>
          <w:tcPr>
            <w:tcW w:w="2034" w:type="pct"/>
            <w:vAlign w:val="center"/>
          </w:tcPr>
          <w:p w14:paraId="292FD9DC">
            <w:pPr>
              <w:pStyle w:val="12"/>
              <w:jc w:val="left"/>
            </w:pPr>
            <w:r>
              <w:rPr>
                <w:rFonts w:hint="eastAsia"/>
              </w:rPr>
              <w:t>1986年9月至1988年1月</w:t>
            </w:r>
          </w:p>
        </w:tc>
      </w:tr>
      <w:tr w14:paraId="1B7647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restart"/>
            <w:vAlign w:val="center"/>
          </w:tcPr>
          <w:p w14:paraId="62624955">
            <w:pPr>
              <w:pStyle w:val="12"/>
              <w:jc w:val="center"/>
            </w:pPr>
            <w:r>
              <w:rPr>
                <w:rFonts w:hint="eastAsia"/>
              </w:rPr>
              <w:t>黄永东</w:t>
            </w:r>
          </w:p>
        </w:tc>
        <w:tc>
          <w:tcPr>
            <w:tcW w:w="1357" w:type="pct"/>
            <w:vMerge w:val="restart"/>
            <w:vAlign w:val="center"/>
          </w:tcPr>
          <w:p w14:paraId="36F72F38">
            <w:pPr>
              <w:pStyle w:val="12"/>
              <w:jc w:val="center"/>
            </w:pPr>
            <w:r>
              <w:rPr>
                <w:rFonts w:hint="eastAsia"/>
              </w:rPr>
              <w:t>广东梅县</w:t>
            </w:r>
          </w:p>
        </w:tc>
        <w:tc>
          <w:tcPr>
            <w:tcW w:w="969" w:type="pct"/>
            <w:vAlign w:val="center"/>
          </w:tcPr>
          <w:p w14:paraId="4EBDFC3A">
            <w:pPr>
              <w:pStyle w:val="12"/>
              <w:jc w:val="center"/>
            </w:pPr>
            <w:r>
              <w:rPr>
                <w:rFonts w:hint="eastAsia"/>
              </w:rPr>
              <w:t>副县长</w:t>
            </w:r>
          </w:p>
        </w:tc>
        <w:tc>
          <w:tcPr>
            <w:tcW w:w="2034" w:type="pct"/>
            <w:vAlign w:val="center"/>
          </w:tcPr>
          <w:p w14:paraId="0C29410E">
            <w:pPr>
              <w:pStyle w:val="12"/>
              <w:jc w:val="left"/>
            </w:pPr>
            <w:r>
              <w:rPr>
                <w:rFonts w:hint="eastAsia"/>
              </w:rPr>
              <w:t>1986年9月至1987年3月</w:t>
            </w:r>
          </w:p>
        </w:tc>
      </w:tr>
      <w:tr w14:paraId="7EE496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5F794B4">
            <w:pPr>
              <w:pStyle w:val="12"/>
              <w:jc w:val="center"/>
            </w:pPr>
          </w:p>
        </w:tc>
        <w:tc>
          <w:tcPr>
            <w:tcW w:w="1357" w:type="pct"/>
            <w:vMerge w:val="continue"/>
            <w:vAlign w:val="center"/>
          </w:tcPr>
          <w:p w14:paraId="4138D70D">
            <w:pPr>
              <w:pStyle w:val="12"/>
              <w:jc w:val="center"/>
            </w:pPr>
          </w:p>
        </w:tc>
        <w:tc>
          <w:tcPr>
            <w:tcW w:w="969" w:type="pct"/>
            <w:vAlign w:val="center"/>
          </w:tcPr>
          <w:p w14:paraId="50EFD648">
            <w:pPr>
              <w:pStyle w:val="12"/>
              <w:jc w:val="center"/>
            </w:pPr>
            <w:r>
              <w:rPr>
                <w:rFonts w:hint="eastAsia"/>
              </w:rPr>
              <w:t>代县长</w:t>
            </w:r>
          </w:p>
        </w:tc>
        <w:tc>
          <w:tcPr>
            <w:tcW w:w="2034" w:type="pct"/>
            <w:vAlign w:val="center"/>
          </w:tcPr>
          <w:p w14:paraId="602B5FB7">
            <w:pPr>
              <w:pStyle w:val="12"/>
              <w:jc w:val="left"/>
            </w:pPr>
            <w:r>
              <w:rPr>
                <w:rFonts w:hint="eastAsia"/>
              </w:rPr>
              <w:t>1987年3月至1988年1月</w:t>
            </w:r>
          </w:p>
        </w:tc>
      </w:tr>
      <w:tr w14:paraId="64A36F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restart"/>
            <w:vAlign w:val="center"/>
          </w:tcPr>
          <w:p w14:paraId="0B46C9E7">
            <w:pPr>
              <w:pStyle w:val="12"/>
              <w:jc w:val="center"/>
            </w:pPr>
            <w:r>
              <w:rPr>
                <w:rFonts w:hint="eastAsia"/>
              </w:rPr>
              <w:t>林志诚</w:t>
            </w:r>
          </w:p>
        </w:tc>
        <w:tc>
          <w:tcPr>
            <w:tcW w:w="1357" w:type="pct"/>
            <w:vMerge w:val="restart"/>
            <w:vAlign w:val="center"/>
          </w:tcPr>
          <w:p w14:paraId="7A0C5872">
            <w:pPr>
              <w:pStyle w:val="12"/>
              <w:jc w:val="center"/>
            </w:pPr>
            <w:r>
              <w:rPr>
                <w:rFonts w:hint="eastAsia"/>
              </w:rPr>
              <w:t>广东南雄</w:t>
            </w:r>
          </w:p>
        </w:tc>
        <w:tc>
          <w:tcPr>
            <w:tcW w:w="969" w:type="pct"/>
            <w:vAlign w:val="center"/>
          </w:tcPr>
          <w:p w14:paraId="0969B5E4">
            <w:pPr>
              <w:pStyle w:val="12"/>
              <w:jc w:val="center"/>
            </w:pPr>
            <w:r>
              <w:rPr>
                <w:rFonts w:hint="eastAsia"/>
              </w:rPr>
              <w:t>副县长</w:t>
            </w:r>
          </w:p>
        </w:tc>
        <w:tc>
          <w:tcPr>
            <w:tcW w:w="2034" w:type="pct"/>
            <w:vAlign w:val="center"/>
          </w:tcPr>
          <w:p w14:paraId="375219FA">
            <w:pPr>
              <w:pStyle w:val="12"/>
              <w:jc w:val="left"/>
            </w:pPr>
            <w:r>
              <w:rPr>
                <w:rFonts w:hint="eastAsia"/>
              </w:rPr>
              <w:t>1987年3月至1988年1月</w:t>
            </w:r>
          </w:p>
        </w:tc>
      </w:tr>
      <w:tr w14:paraId="21CA22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D766DF3">
            <w:pPr>
              <w:pStyle w:val="12"/>
              <w:jc w:val="center"/>
            </w:pPr>
          </w:p>
        </w:tc>
        <w:tc>
          <w:tcPr>
            <w:tcW w:w="1357" w:type="pct"/>
            <w:vMerge w:val="continue"/>
            <w:vAlign w:val="center"/>
          </w:tcPr>
          <w:p w14:paraId="0F67E77A">
            <w:pPr>
              <w:pStyle w:val="12"/>
              <w:jc w:val="center"/>
            </w:pPr>
          </w:p>
        </w:tc>
        <w:tc>
          <w:tcPr>
            <w:tcW w:w="969" w:type="pct"/>
            <w:vAlign w:val="center"/>
          </w:tcPr>
          <w:p w14:paraId="1679BDF7">
            <w:pPr>
              <w:pStyle w:val="12"/>
              <w:jc w:val="center"/>
            </w:pPr>
            <w:r>
              <w:rPr>
                <w:rFonts w:hint="eastAsia"/>
              </w:rPr>
              <w:t>代县长</w:t>
            </w:r>
          </w:p>
        </w:tc>
        <w:tc>
          <w:tcPr>
            <w:tcW w:w="2034" w:type="pct"/>
            <w:vAlign w:val="center"/>
          </w:tcPr>
          <w:p w14:paraId="34F8E093">
            <w:pPr>
              <w:pStyle w:val="12"/>
              <w:jc w:val="left"/>
            </w:pPr>
            <w:r>
              <w:rPr>
                <w:rFonts w:hint="eastAsia"/>
              </w:rPr>
              <w:t>1988年1月至1988年4月</w:t>
            </w:r>
          </w:p>
        </w:tc>
      </w:tr>
      <w:tr w14:paraId="28058F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A4C4D1A">
            <w:pPr>
              <w:pStyle w:val="12"/>
              <w:jc w:val="center"/>
            </w:pPr>
          </w:p>
        </w:tc>
        <w:tc>
          <w:tcPr>
            <w:tcW w:w="1357" w:type="pct"/>
            <w:vMerge w:val="continue"/>
            <w:vAlign w:val="center"/>
          </w:tcPr>
          <w:p w14:paraId="7C3C5738">
            <w:pPr>
              <w:pStyle w:val="12"/>
              <w:jc w:val="center"/>
            </w:pPr>
          </w:p>
        </w:tc>
        <w:tc>
          <w:tcPr>
            <w:tcW w:w="969" w:type="pct"/>
            <w:vAlign w:val="center"/>
          </w:tcPr>
          <w:p w14:paraId="03B0A014">
            <w:pPr>
              <w:pStyle w:val="12"/>
              <w:jc w:val="center"/>
            </w:pPr>
            <w:r>
              <w:rPr>
                <w:rFonts w:hint="eastAsia"/>
              </w:rPr>
              <w:t>县长</w:t>
            </w:r>
          </w:p>
        </w:tc>
        <w:tc>
          <w:tcPr>
            <w:tcW w:w="2034" w:type="pct"/>
            <w:vAlign w:val="center"/>
          </w:tcPr>
          <w:p w14:paraId="34F48264">
            <w:pPr>
              <w:pStyle w:val="12"/>
              <w:jc w:val="left"/>
            </w:pPr>
            <w:r>
              <w:rPr>
                <w:rFonts w:hint="eastAsia"/>
              </w:rPr>
              <w:t>1988年4月至1990年3月</w:t>
            </w:r>
          </w:p>
        </w:tc>
      </w:tr>
      <w:tr w14:paraId="73A987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9329A14">
            <w:pPr>
              <w:pStyle w:val="12"/>
              <w:jc w:val="center"/>
            </w:pPr>
            <w:r>
              <w:rPr>
                <w:rFonts w:hint="eastAsia"/>
              </w:rPr>
              <w:t>李世名</w:t>
            </w:r>
          </w:p>
        </w:tc>
        <w:tc>
          <w:tcPr>
            <w:tcW w:w="1357" w:type="pct"/>
            <w:vAlign w:val="center"/>
          </w:tcPr>
          <w:p w14:paraId="0527D0A9">
            <w:pPr>
              <w:pStyle w:val="12"/>
              <w:jc w:val="center"/>
            </w:pPr>
            <w:r>
              <w:rPr>
                <w:rFonts w:hint="eastAsia"/>
              </w:rPr>
              <w:t>广东南雄</w:t>
            </w:r>
          </w:p>
        </w:tc>
        <w:tc>
          <w:tcPr>
            <w:tcW w:w="969" w:type="pct"/>
            <w:vAlign w:val="center"/>
          </w:tcPr>
          <w:p w14:paraId="5A5E158A">
            <w:pPr>
              <w:pStyle w:val="12"/>
              <w:jc w:val="center"/>
            </w:pPr>
            <w:r>
              <w:rPr>
                <w:rFonts w:hint="eastAsia"/>
              </w:rPr>
              <w:t>副县长</w:t>
            </w:r>
          </w:p>
        </w:tc>
        <w:tc>
          <w:tcPr>
            <w:tcW w:w="2034" w:type="pct"/>
            <w:vAlign w:val="center"/>
          </w:tcPr>
          <w:p w14:paraId="12352E7E">
            <w:pPr>
              <w:pStyle w:val="12"/>
              <w:jc w:val="left"/>
            </w:pPr>
            <w:r>
              <w:rPr>
                <w:rFonts w:hint="eastAsia"/>
              </w:rPr>
              <w:t>1987年11月至1996年4月</w:t>
            </w:r>
          </w:p>
        </w:tc>
      </w:tr>
      <w:tr w14:paraId="44287A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D52EF05">
            <w:pPr>
              <w:pStyle w:val="12"/>
              <w:jc w:val="center"/>
            </w:pPr>
            <w:r>
              <w:rPr>
                <w:rFonts w:hint="eastAsia"/>
              </w:rPr>
              <w:t>刘信荣</w:t>
            </w:r>
          </w:p>
        </w:tc>
        <w:tc>
          <w:tcPr>
            <w:tcW w:w="1357" w:type="pct"/>
            <w:vAlign w:val="center"/>
          </w:tcPr>
          <w:p w14:paraId="1D73779B">
            <w:pPr>
              <w:pStyle w:val="12"/>
              <w:jc w:val="center"/>
            </w:pPr>
            <w:r>
              <w:rPr>
                <w:rFonts w:hint="eastAsia"/>
              </w:rPr>
              <w:t>广东大埔</w:t>
            </w:r>
          </w:p>
        </w:tc>
        <w:tc>
          <w:tcPr>
            <w:tcW w:w="969" w:type="pct"/>
            <w:vAlign w:val="center"/>
          </w:tcPr>
          <w:p w14:paraId="5DBD33F6">
            <w:pPr>
              <w:pStyle w:val="12"/>
              <w:jc w:val="center"/>
            </w:pPr>
            <w:r>
              <w:rPr>
                <w:rFonts w:hint="eastAsia"/>
              </w:rPr>
              <w:t>挂任副县长</w:t>
            </w:r>
          </w:p>
        </w:tc>
        <w:tc>
          <w:tcPr>
            <w:tcW w:w="2034" w:type="pct"/>
            <w:vAlign w:val="center"/>
          </w:tcPr>
          <w:p w14:paraId="17657FE9">
            <w:pPr>
              <w:pStyle w:val="12"/>
              <w:jc w:val="left"/>
            </w:pPr>
            <w:r>
              <w:rPr>
                <w:rFonts w:hint="eastAsia"/>
              </w:rPr>
              <w:t>1989年10月至1990年3月</w:t>
            </w:r>
          </w:p>
        </w:tc>
      </w:tr>
      <w:tr w14:paraId="22DF4B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AFB46F8">
            <w:pPr>
              <w:pStyle w:val="12"/>
              <w:jc w:val="center"/>
            </w:pPr>
            <w:r>
              <w:rPr>
                <w:rFonts w:hint="eastAsia"/>
              </w:rPr>
              <w:t>董诗禄</w:t>
            </w:r>
          </w:p>
        </w:tc>
        <w:tc>
          <w:tcPr>
            <w:tcW w:w="1357" w:type="pct"/>
            <w:vAlign w:val="center"/>
          </w:tcPr>
          <w:p w14:paraId="1534BA4D">
            <w:pPr>
              <w:pStyle w:val="12"/>
              <w:jc w:val="center"/>
            </w:pPr>
            <w:r>
              <w:rPr>
                <w:rFonts w:hint="eastAsia"/>
              </w:rPr>
              <w:t>广东南雄</w:t>
            </w:r>
          </w:p>
        </w:tc>
        <w:tc>
          <w:tcPr>
            <w:tcW w:w="969" w:type="pct"/>
            <w:vAlign w:val="center"/>
          </w:tcPr>
          <w:p w14:paraId="656DD3E9">
            <w:pPr>
              <w:pStyle w:val="12"/>
              <w:jc w:val="center"/>
            </w:pPr>
            <w:r>
              <w:rPr>
                <w:rFonts w:hint="eastAsia"/>
              </w:rPr>
              <w:t>副县长</w:t>
            </w:r>
          </w:p>
        </w:tc>
        <w:tc>
          <w:tcPr>
            <w:tcW w:w="2034" w:type="pct"/>
            <w:vAlign w:val="center"/>
          </w:tcPr>
          <w:p w14:paraId="52F7BF99">
            <w:pPr>
              <w:pStyle w:val="12"/>
              <w:jc w:val="left"/>
            </w:pPr>
            <w:r>
              <w:rPr>
                <w:rFonts w:hint="eastAsia"/>
              </w:rPr>
              <w:t>1988年5月至1990年3月</w:t>
            </w:r>
          </w:p>
        </w:tc>
      </w:tr>
      <w:tr w14:paraId="2BA3D90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AC2FAD4">
            <w:pPr>
              <w:pStyle w:val="12"/>
              <w:jc w:val="center"/>
            </w:pPr>
            <w:r>
              <w:rPr>
                <w:rFonts w:hint="eastAsia"/>
              </w:rPr>
              <w:t>卢炳溪</w:t>
            </w:r>
          </w:p>
        </w:tc>
        <w:tc>
          <w:tcPr>
            <w:tcW w:w="1357" w:type="pct"/>
            <w:vAlign w:val="center"/>
          </w:tcPr>
          <w:p w14:paraId="56CC7501">
            <w:pPr>
              <w:pStyle w:val="12"/>
              <w:jc w:val="center"/>
            </w:pPr>
            <w:r>
              <w:rPr>
                <w:rFonts w:hint="eastAsia"/>
              </w:rPr>
              <w:t>广东南雄</w:t>
            </w:r>
          </w:p>
        </w:tc>
        <w:tc>
          <w:tcPr>
            <w:tcW w:w="969" w:type="pct"/>
            <w:vAlign w:val="center"/>
          </w:tcPr>
          <w:p w14:paraId="2FD3857E">
            <w:pPr>
              <w:pStyle w:val="12"/>
              <w:jc w:val="center"/>
            </w:pPr>
            <w:r>
              <w:rPr>
                <w:rFonts w:hint="eastAsia"/>
              </w:rPr>
              <w:t>副县长</w:t>
            </w:r>
          </w:p>
        </w:tc>
        <w:tc>
          <w:tcPr>
            <w:tcW w:w="2034" w:type="pct"/>
            <w:vAlign w:val="center"/>
          </w:tcPr>
          <w:p w14:paraId="55649EAA">
            <w:pPr>
              <w:pStyle w:val="12"/>
              <w:jc w:val="left"/>
            </w:pPr>
            <w:r>
              <w:rPr>
                <w:rFonts w:hint="eastAsia"/>
              </w:rPr>
              <w:t>1988年8月至1990年2月</w:t>
            </w:r>
          </w:p>
        </w:tc>
      </w:tr>
      <w:tr w14:paraId="522037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C752175">
            <w:pPr>
              <w:pStyle w:val="12"/>
              <w:jc w:val="center"/>
            </w:pPr>
            <w:r>
              <w:rPr>
                <w:rFonts w:hint="eastAsia"/>
              </w:rPr>
              <w:t>肖雨田</w:t>
            </w:r>
          </w:p>
        </w:tc>
        <w:tc>
          <w:tcPr>
            <w:tcW w:w="1357" w:type="pct"/>
            <w:vAlign w:val="center"/>
          </w:tcPr>
          <w:p w14:paraId="59D030F4">
            <w:pPr>
              <w:pStyle w:val="12"/>
              <w:jc w:val="center"/>
            </w:pPr>
            <w:r>
              <w:rPr>
                <w:rFonts w:hint="eastAsia"/>
              </w:rPr>
              <w:t>广东连县</w:t>
            </w:r>
          </w:p>
        </w:tc>
        <w:tc>
          <w:tcPr>
            <w:tcW w:w="969" w:type="pct"/>
            <w:vAlign w:val="center"/>
          </w:tcPr>
          <w:p w14:paraId="34F7D50D">
            <w:pPr>
              <w:pStyle w:val="12"/>
              <w:jc w:val="center"/>
            </w:pPr>
            <w:r>
              <w:rPr>
                <w:rFonts w:hint="eastAsia"/>
              </w:rPr>
              <w:t>挂任副县长</w:t>
            </w:r>
          </w:p>
        </w:tc>
        <w:tc>
          <w:tcPr>
            <w:tcW w:w="2034" w:type="pct"/>
            <w:vAlign w:val="center"/>
          </w:tcPr>
          <w:p w14:paraId="3F453E7A">
            <w:pPr>
              <w:pStyle w:val="12"/>
              <w:jc w:val="left"/>
            </w:pPr>
            <w:r>
              <w:rPr>
                <w:rFonts w:hint="eastAsia"/>
              </w:rPr>
              <w:t>1988年8月至1990年2月</w:t>
            </w:r>
          </w:p>
        </w:tc>
      </w:tr>
      <w:tr w14:paraId="086111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restart"/>
            <w:vAlign w:val="center"/>
          </w:tcPr>
          <w:p w14:paraId="531BE30D">
            <w:pPr>
              <w:pStyle w:val="12"/>
              <w:jc w:val="center"/>
            </w:pPr>
            <w:r>
              <w:rPr>
                <w:rFonts w:hint="eastAsia"/>
              </w:rPr>
              <w:t>郭衍全</w:t>
            </w:r>
          </w:p>
        </w:tc>
        <w:tc>
          <w:tcPr>
            <w:tcW w:w="1357" w:type="pct"/>
            <w:vMerge w:val="restart"/>
            <w:vAlign w:val="center"/>
          </w:tcPr>
          <w:p w14:paraId="1ECEED98">
            <w:pPr>
              <w:pStyle w:val="12"/>
              <w:jc w:val="center"/>
            </w:pPr>
            <w:r>
              <w:rPr>
                <w:rFonts w:hint="eastAsia"/>
              </w:rPr>
              <w:t>广东南雄</w:t>
            </w:r>
          </w:p>
        </w:tc>
        <w:tc>
          <w:tcPr>
            <w:tcW w:w="969" w:type="pct"/>
            <w:vAlign w:val="center"/>
          </w:tcPr>
          <w:p w14:paraId="69DD2596">
            <w:pPr>
              <w:pStyle w:val="12"/>
              <w:jc w:val="center"/>
            </w:pPr>
            <w:r>
              <w:rPr>
                <w:rFonts w:hint="eastAsia"/>
              </w:rPr>
              <w:t>副县长</w:t>
            </w:r>
          </w:p>
        </w:tc>
        <w:tc>
          <w:tcPr>
            <w:tcW w:w="2034" w:type="pct"/>
            <w:vAlign w:val="center"/>
          </w:tcPr>
          <w:p w14:paraId="0DC92BE0">
            <w:pPr>
              <w:pStyle w:val="12"/>
              <w:jc w:val="left"/>
            </w:pPr>
            <w:r>
              <w:rPr>
                <w:rFonts w:hint="eastAsia"/>
              </w:rPr>
              <w:t>1988年8月至1990年3月</w:t>
            </w:r>
          </w:p>
        </w:tc>
      </w:tr>
      <w:tr w14:paraId="48C7CF0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B3C5C6D">
            <w:pPr>
              <w:pStyle w:val="12"/>
              <w:jc w:val="center"/>
            </w:pPr>
          </w:p>
        </w:tc>
        <w:tc>
          <w:tcPr>
            <w:tcW w:w="1357" w:type="pct"/>
            <w:vMerge w:val="continue"/>
            <w:vAlign w:val="center"/>
          </w:tcPr>
          <w:p w14:paraId="73247071">
            <w:pPr>
              <w:pStyle w:val="12"/>
              <w:jc w:val="center"/>
            </w:pPr>
          </w:p>
        </w:tc>
        <w:tc>
          <w:tcPr>
            <w:tcW w:w="969" w:type="pct"/>
            <w:vAlign w:val="center"/>
          </w:tcPr>
          <w:p w14:paraId="07EB4025">
            <w:pPr>
              <w:pStyle w:val="12"/>
              <w:jc w:val="center"/>
            </w:pPr>
            <w:r>
              <w:rPr>
                <w:rFonts w:hint="eastAsia"/>
              </w:rPr>
              <w:t>代县长</w:t>
            </w:r>
          </w:p>
        </w:tc>
        <w:tc>
          <w:tcPr>
            <w:tcW w:w="2034" w:type="pct"/>
            <w:vAlign w:val="center"/>
          </w:tcPr>
          <w:p w14:paraId="5C017563">
            <w:pPr>
              <w:pStyle w:val="12"/>
              <w:jc w:val="left"/>
            </w:pPr>
            <w:r>
              <w:rPr>
                <w:rFonts w:hint="eastAsia"/>
              </w:rPr>
              <w:t>1992年5月至1993年3月</w:t>
            </w:r>
          </w:p>
        </w:tc>
      </w:tr>
      <w:tr w14:paraId="662EFA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8C57959">
            <w:pPr>
              <w:pStyle w:val="12"/>
              <w:jc w:val="center"/>
            </w:pPr>
          </w:p>
        </w:tc>
        <w:tc>
          <w:tcPr>
            <w:tcW w:w="1357" w:type="pct"/>
            <w:vMerge w:val="continue"/>
            <w:vAlign w:val="center"/>
          </w:tcPr>
          <w:p w14:paraId="2DC1875D">
            <w:pPr>
              <w:pStyle w:val="12"/>
              <w:jc w:val="center"/>
            </w:pPr>
          </w:p>
        </w:tc>
        <w:tc>
          <w:tcPr>
            <w:tcW w:w="969" w:type="pct"/>
            <w:vAlign w:val="center"/>
          </w:tcPr>
          <w:p w14:paraId="41F25482">
            <w:pPr>
              <w:pStyle w:val="12"/>
              <w:jc w:val="center"/>
            </w:pPr>
            <w:r>
              <w:rPr>
                <w:rFonts w:hint="eastAsia"/>
              </w:rPr>
              <w:t>县长</w:t>
            </w:r>
          </w:p>
        </w:tc>
        <w:tc>
          <w:tcPr>
            <w:tcW w:w="2034" w:type="pct"/>
            <w:vAlign w:val="center"/>
          </w:tcPr>
          <w:p w14:paraId="6B45E1F9">
            <w:pPr>
              <w:pStyle w:val="12"/>
              <w:jc w:val="left"/>
            </w:pPr>
            <w:r>
              <w:rPr>
                <w:rFonts w:hint="eastAsia"/>
              </w:rPr>
              <w:t>1993年3月至1993年6月</w:t>
            </w:r>
          </w:p>
        </w:tc>
      </w:tr>
      <w:tr w14:paraId="2CE640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B8FC2FB">
            <w:pPr>
              <w:pStyle w:val="12"/>
              <w:jc w:val="center"/>
            </w:pPr>
            <w:r>
              <w:rPr>
                <w:rFonts w:hint="eastAsia"/>
              </w:rPr>
              <w:t>李赐光</w:t>
            </w:r>
          </w:p>
        </w:tc>
        <w:tc>
          <w:tcPr>
            <w:tcW w:w="1357" w:type="pct"/>
            <w:vAlign w:val="center"/>
          </w:tcPr>
          <w:p w14:paraId="2200AE13">
            <w:pPr>
              <w:pStyle w:val="12"/>
              <w:jc w:val="center"/>
            </w:pPr>
            <w:r>
              <w:rPr>
                <w:rFonts w:hint="eastAsia"/>
              </w:rPr>
              <w:t>广东南海</w:t>
            </w:r>
          </w:p>
        </w:tc>
        <w:tc>
          <w:tcPr>
            <w:tcW w:w="969" w:type="pct"/>
            <w:vAlign w:val="center"/>
          </w:tcPr>
          <w:p w14:paraId="7F0C4FEB">
            <w:pPr>
              <w:pStyle w:val="12"/>
              <w:jc w:val="center"/>
            </w:pPr>
            <w:r>
              <w:rPr>
                <w:rFonts w:hint="eastAsia"/>
              </w:rPr>
              <w:t>挂任副县长</w:t>
            </w:r>
          </w:p>
        </w:tc>
        <w:tc>
          <w:tcPr>
            <w:tcW w:w="2034" w:type="pct"/>
            <w:vAlign w:val="center"/>
          </w:tcPr>
          <w:p w14:paraId="3D3BE639">
            <w:pPr>
              <w:pStyle w:val="12"/>
              <w:jc w:val="left"/>
            </w:pPr>
            <w:r>
              <w:rPr>
                <w:rFonts w:hint="eastAsia"/>
              </w:rPr>
              <w:t>1989年4月至1990年12月</w:t>
            </w:r>
          </w:p>
        </w:tc>
      </w:tr>
      <w:tr w14:paraId="73C7AE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restart"/>
            <w:vAlign w:val="center"/>
          </w:tcPr>
          <w:p w14:paraId="2F15C0C4">
            <w:pPr>
              <w:pStyle w:val="12"/>
              <w:jc w:val="center"/>
            </w:pPr>
            <w:r>
              <w:rPr>
                <w:rFonts w:hint="eastAsia"/>
              </w:rPr>
              <w:t>江青粦</w:t>
            </w:r>
          </w:p>
        </w:tc>
        <w:tc>
          <w:tcPr>
            <w:tcW w:w="1357" w:type="pct"/>
            <w:vMerge w:val="restart"/>
            <w:vAlign w:val="center"/>
          </w:tcPr>
          <w:p w14:paraId="416D0FE4">
            <w:pPr>
              <w:pStyle w:val="12"/>
              <w:jc w:val="center"/>
            </w:pPr>
            <w:r>
              <w:rPr>
                <w:rFonts w:hint="eastAsia"/>
              </w:rPr>
              <w:t>广东梅县</w:t>
            </w:r>
          </w:p>
        </w:tc>
        <w:tc>
          <w:tcPr>
            <w:tcW w:w="969" w:type="pct"/>
            <w:vAlign w:val="center"/>
          </w:tcPr>
          <w:p w14:paraId="5C31AEAB">
            <w:pPr>
              <w:pStyle w:val="12"/>
              <w:jc w:val="center"/>
            </w:pPr>
            <w:r>
              <w:rPr>
                <w:rFonts w:hint="eastAsia"/>
              </w:rPr>
              <w:t>代县长</w:t>
            </w:r>
          </w:p>
        </w:tc>
        <w:tc>
          <w:tcPr>
            <w:tcW w:w="2034" w:type="pct"/>
            <w:vAlign w:val="center"/>
          </w:tcPr>
          <w:p w14:paraId="5EE970F0">
            <w:pPr>
              <w:pStyle w:val="12"/>
              <w:jc w:val="left"/>
            </w:pPr>
            <w:r>
              <w:rPr>
                <w:rFonts w:hint="eastAsia"/>
              </w:rPr>
              <w:t>1990年12月至1991年4月</w:t>
            </w:r>
          </w:p>
        </w:tc>
      </w:tr>
      <w:tr w14:paraId="09FA78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779B9E3">
            <w:pPr>
              <w:pStyle w:val="12"/>
              <w:jc w:val="center"/>
            </w:pPr>
          </w:p>
        </w:tc>
        <w:tc>
          <w:tcPr>
            <w:tcW w:w="1357" w:type="pct"/>
            <w:vMerge w:val="continue"/>
            <w:vAlign w:val="center"/>
          </w:tcPr>
          <w:p w14:paraId="7B43791D">
            <w:pPr>
              <w:pStyle w:val="12"/>
              <w:jc w:val="center"/>
            </w:pPr>
          </w:p>
        </w:tc>
        <w:tc>
          <w:tcPr>
            <w:tcW w:w="969" w:type="pct"/>
            <w:vAlign w:val="center"/>
          </w:tcPr>
          <w:p w14:paraId="61E3AAB7">
            <w:pPr>
              <w:pStyle w:val="12"/>
              <w:jc w:val="center"/>
            </w:pPr>
            <w:r>
              <w:rPr>
                <w:rFonts w:hint="eastAsia"/>
              </w:rPr>
              <w:t>县长</w:t>
            </w:r>
          </w:p>
        </w:tc>
        <w:tc>
          <w:tcPr>
            <w:tcW w:w="2034" w:type="pct"/>
            <w:vAlign w:val="center"/>
          </w:tcPr>
          <w:p w14:paraId="7C4FAE99">
            <w:pPr>
              <w:pStyle w:val="12"/>
              <w:jc w:val="left"/>
            </w:pPr>
            <w:r>
              <w:rPr>
                <w:rFonts w:hint="eastAsia"/>
              </w:rPr>
              <w:t>1991年4月至1992年5月</w:t>
            </w:r>
          </w:p>
        </w:tc>
      </w:tr>
      <w:tr w14:paraId="20870D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CDFD55F">
            <w:pPr>
              <w:pStyle w:val="12"/>
              <w:jc w:val="center"/>
            </w:pPr>
            <w:r>
              <w:rPr>
                <w:rFonts w:hint="eastAsia"/>
              </w:rPr>
              <w:t>沈学柏</w:t>
            </w:r>
          </w:p>
        </w:tc>
        <w:tc>
          <w:tcPr>
            <w:tcW w:w="1357" w:type="pct"/>
            <w:vAlign w:val="center"/>
          </w:tcPr>
          <w:p w14:paraId="52D7E4A9">
            <w:pPr>
              <w:pStyle w:val="12"/>
              <w:jc w:val="center"/>
            </w:pPr>
            <w:r>
              <w:rPr>
                <w:rFonts w:hint="eastAsia"/>
              </w:rPr>
              <w:t>广东南雄</w:t>
            </w:r>
          </w:p>
        </w:tc>
        <w:tc>
          <w:tcPr>
            <w:tcW w:w="969" w:type="pct"/>
            <w:vAlign w:val="center"/>
          </w:tcPr>
          <w:p w14:paraId="55368FEF">
            <w:pPr>
              <w:pStyle w:val="12"/>
              <w:jc w:val="center"/>
            </w:pPr>
            <w:r>
              <w:rPr>
                <w:rFonts w:hint="eastAsia"/>
              </w:rPr>
              <w:t>副县长</w:t>
            </w:r>
          </w:p>
        </w:tc>
        <w:tc>
          <w:tcPr>
            <w:tcW w:w="2034" w:type="pct"/>
            <w:vAlign w:val="center"/>
          </w:tcPr>
          <w:p w14:paraId="7D5882E0">
            <w:pPr>
              <w:pStyle w:val="12"/>
              <w:jc w:val="left"/>
            </w:pPr>
            <w:r>
              <w:rPr>
                <w:rFonts w:hint="eastAsia"/>
              </w:rPr>
              <w:t>1990年3月至1993年3月</w:t>
            </w:r>
          </w:p>
        </w:tc>
      </w:tr>
      <w:tr w14:paraId="107A69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9D6C0BE">
            <w:pPr>
              <w:pStyle w:val="12"/>
              <w:jc w:val="center"/>
            </w:pPr>
            <w:r>
              <w:rPr>
                <w:rFonts w:hint="eastAsia"/>
              </w:rPr>
              <w:t>张寿康</w:t>
            </w:r>
          </w:p>
        </w:tc>
        <w:tc>
          <w:tcPr>
            <w:tcW w:w="1357" w:type="pct"/>
            <w:vAlign w:val="center"/>
          </w:tcPr>
          <w:p w14:paraId="60FC9717">
            <w:pPr>
              <w:pStyle w:val="12"/>
              <w:jc w:val="center"/>
            </w:pPr>
            <w:r>
              <w:rPr>
                <w:rFonts w:hint="eastAsia"/>
              </w:rPr>
              <w:t>广东南雄</w:t>
            </w:r>
          </w:p>
        </w:tc>
        <w:tc>
          <w:tcPr>
            <w:tcW w:w="969" w:type="pct"/>
            <w:vAlign w:val="center"/>
          </w:tcPr>
          <w:p w14:paraId="36CA8C78">
            <w:pPr>
              <w:pStyle w:val="12"/>
              <w:jc w:val="center"/>
            </w:pPr>
            <w:r>
              <w:rPr>
                <w:rFonts w:hint="eastAsia"/>
              </w:rPr>
              <w:t>副县长</w:t>
            </w:r>
          </w:p>
        </w:tc>
        <w:tc>
          <w:tcPr>
            <w:tcW w:w="2034" w:type="pct"/>
            <w:vAlign w:val="center"/>
          </w:tcPr>
          <w:p w14:paraId="36270AC5">
            <w:pPr>
              <w:pStyle w:val="12"/>
              <w:jc w:val="left"/>
            </w:pPr>
            <w:r>
              <w:rPr>
                <w:rFonts w:hint="eastAsia"/>
              </w:rPr>
              <w:t>1990年3月至1993年3月</w:t>
            </w:r>
          </w:p>
        </w:tc>
      </w:tr>
      <w:tr w14:paraId="74DBA3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7925D95">
            <w:pPr>
              <w:pStyle w:val="12"/>
              <w:jc w:val="center"/>
            </w:pPr>
            <w:r>
              <w:rPr>
                <w:rFonts w:hint="eastAsia"/>
              </w:rPr>
              <w:t>李仕仁</w:t>
            </w:r>
          </w:p>
        </w:tc>
        <w:tc>
          <w:tcPr>
            <w:tcW w:w="1357" w:type="pct"/>
            <w:vAlign w:val="center"/>
          </w:tcPr>
          <w:p w14:paraId="6D410373">
            <w:pPr>
              <w:pStyle w:val="12"/>
              <w:jc w:val="center"/>
            </w:pPr>
            <w:r>
              <w:rPr>
                <w:rFonts w:hint="eastAsia"/>
              </w:rPr>
              <w:t>广东南雄</w:t>
            </w:r>
          </w:p>
        </w:tc>
        <w:tc>
          <w:tcPr>
            <w:tcW w:w="969" w:type="pct"/>
            <w:vAlign w:val="center"/>
          </w:tcPr>
          <w:p w14:paraId="056F14CD">
            <w:pPr>
              <w:pStyle w:val="12"/>
              <w:jc w:val="center"/>
            </w:pPr>
            <w:r>
              <w:rPr>
                <w:rFonts w:hint="eastAsia"/>
              </w:rPr>
              <w:t>副县长</w:t>
            </w:r>
          </w:p>
        </w:tc>
        <w:tc>
          <w:tcPr>
            <w:tcW w:w="2034" w:type="pct"/>
            <w:vAlign w:val="center"/>
          </w:tcPr>
          <w:p w14:paraId="582B70B1">
            <w:pPr>
              <w:pStyle w:val="12"/>
              <w:jc w:val="left"/>
            </w:pPr>
            <w:r>
              <w:rPr>
                <w:rFonts w:hint="eastAsia"/>
              </w:rPr>
              <w:t>1990年3月至1993年3月</w:t>
            </w:r>
          </w:p>
        </w:tc>
      </w:tr>
      <w:tr w14:paraId="4129D4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2154928">
            <w:pPr>
              <w:pStyle w:val="12"/>
              <w:jc w:val="center"/>
            </w:pPr>
            <w:r>
              <w:rPr>
                <w:rFonts w:hint="eastAsia"/>
              </w:rPr>
              <w:t>李忠</w:t>
            </w:r>
          </w:p>
        </w:tc>
        <w:tc>
          <w:tcPr>
            <w:tcW w:w="1357" w:type="pct"/>
            <w:vAlign w:val="center"/>
          </w:tcPr>
          <w:p w14:paraId="58D85ED6">
            <w:pPr>
              <w:pStyle w:val="12"/>
              <w:jc w:val="center"/>
            </w:pPr>
            <w:r>
              <w:rPr>
                <w:rFonts w:hint="eastAsia"/>
              </w:rPr>
              <w:t>广东化州</w:t>
            </w:r>
          </w:p>
        </w:tc>
        <w:tc>
          <w:tcPr>
            <w:tcW w:w="969" w:type="pct"/>
            <w:vAlign w:val="center"/>
          </w:tcPr>
          <w:p w14:paraId="597B137B">
            <w:pPr>
              <w:pStyle w:val="12"/>
              <w:jc w:val="center"/>
            </w:pPr>
            <w:r>
              <w:rPr>
                <w:rFonts w:hint="eastAsia"/>
              </w:rPr>
              <w:t>挂任副县长</w:t>
            </w:r>
          </w:p>
        </w:tc>
        <w:tc>
          <w:tcPr>
            <w:tcW w:w="2034" w:type="pct"/>
            <w:vAlign w:val="center"/>
          </w:tcPr>
          <w:p w14:paraId="12A5C1E7">
            <w:pPr>
              <w:pStyle w:val="12"/>
              <w:jc w:val="left"/>
            </w:pPr>
            <w:r>
              <w:rPr>
                <w:rFonts w:hint="eastAsia"/>
              </w:rPr>
              <w:t>1991年4月至1992年2月</w:t>
            </w:r>
          </w:p>
        </w:tc>
      </w:tr>
      <w:tr w14:paraId="4BC8DC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DA5FDBC">
            <w:pPr>
              <w:pStyle w:val="12"/>
              <w:jc w:val="center"/>
            </w:pPr>
            <w:r>
              <w:rPr>
                <w:rFonts w:hint="eastAsia"/>
              </w:rPr>
              <w:t>李树荣</w:t>
            </w:r>
          </w:p>
        </w:tc>
        <w:tc>
          <w:tcPr>
            <w:tcW w:w="1357" w:type="pct"/>
            <w:vAlign w:val="center"/>
          </w:tcPr>
          <w:p w14:paraId="74FC89F1">
            <w:pPr>
              <w:pStyle w:val="12"/>
              <w:jc w:val="center"/>
            </w:pPr>
            <w:r>
              <w:rPr>
                <w:rFonts w:hint="eastAsia"/>
              </w:rPr>
              <w:t>黑龙江省克山县</w:t>
            </w:r>
          </w:p>
        </w:tc>
        <w:tc>
          <w:tcPr>
            <w:tcW w:w="969" w:type="pct"/>
            <w:vAlign w:val="center"/>
          </w:tcPr>
          <w:p w14:paraId="62B4281B">
            <w:pPr>
              <w:pStyle w:val="12"/>
              <w:jc w:val="center"/>
            </w:pPr>
            <w:r>
              <w:rPr>
                <w:rFonts w:hint="eastAsia"/>
              </w:rPr>
              <w:t>挂任副县长</w:t>
            </w:r>
          </w:p>
        </w:tc>
        <w:tc>
          <w:tcPr>
            <w:tcW w:w="2034" w:type="pct"/>
            <w:vAlign w:val="center"/>
          </w:tcPr>
          <w:p w14:paraId="314C68D2">
            <w:pPr>
              <w:pStyle w:val="12"/>
              <w:jc w:val="left"/>
            </w:pPr>
            <w:r>
              <w:rPr>
                <w:rFonts w:hint="eastAsia"/>
              </w:rPr>
              <w:t>1991年5月至1993年5月</w:t>
            </w:r>
          </w:p>
        </w:tc>
      </w:tr>
      <w:tr w14:paraId="4B9DD2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AD1D1E1">
            <w:pPr>
              <w:pStyle w:val="12"/>
              <w:jc w:val="center"/>
            </w:pPr>
            <w:r>
              <w:rPr>
                <w:rFonts w:hint="eastAsia"/>
              </w:rPr>
              <w:t>宋亚平</w:t>
            </w:r>
          </w:p>
        </w:tc>
        <w:tc>
          <w:tcPr>
            <w:tcW w:w="1357" w:type="pct"/>
            <w:vAlign w:val="center"/>
          </w:tcPr>
          <w:p w14:paraId="1B328BC8">
            <w:pPr>
              <w:pStyle w:val="12"/>
              <w:jc w:val="center"/>
            </w:pPr>
            <w:r>
              <w:rPr>
                <w:rFonts w:hint="eastAsia"/>
              </w:rPr>
              <w:t>黑龙江省</w:t>
            </w:r>
          </w:p>
        </w:tc>
        <w:tc>
          <w:tcPr>
            <w:tcW w:w="969" w:type="pct"/>
            <w:vAlign w:val="center"/>
          </w:tcPr>
          <w:p w14:paraId="12AB96FE">
            <w:pPr>
              <w:pStyle w:val="12"/>
              <w:jc w:val="center"/>
            </w:pPr>
            <w:r>
              <w:rPr>
                <w:rFonts w:hint="eastAsia"/>
              </w:rPr>
              <w:t>挂任副县长</w:t>
            </w:r>
          </w:p>
        </w:tc>
        <w:tc>
          <w:tcPr>
            <w:tcW w:w="2034" w:type="pct"/>
            <w:vAlign w:val="center"/>
          </w:tcPr>
          <w:p w14:paraId="1FC8B1E9">
            <w:pPr>
              <w:pStyle w:val="12"/>
              <w:jc w:val="left"/>
            </w:pPr>
            <w:r>
              <w:rPr>
                <w:rFonts w:hint="eastAsia"/>
              </w:rPr>
              <w:t>1991年10月至1993年10月</w:t>
            </w:r>
          </w:p>
        </w:tc>
      </w:tr>
      <w:tr w14:paraId="7DC144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77A9BD9">
            <w:pPr>
              <w:pStyle w:val="12"/>
              <w:jc w:val="center"/>
            </w:pPr>
            <w:r>
              <w:rPr>
                <w:rFonts w:hint="eastAsia"/>
              </w:rPr>
              <w:t>李观兴</w:t>
            </w:r>
          </w:p>
        </w:tc>
        <w:tc>
          <w:tcPr>
            <w:tcW w:w="1357" w:type="pct"/>
            <w:vAlign w:val="center"/>
          </w:tcPr>
          <w:p w14:paraId="47DC162F">
            <w:pPr>
              <w:pStyle w:val="12"/>
              <w:jc w:val="center"/>
            </w:pPr>
            <w:r>
              <w:rPr>
                <w:rFonts w:hint="eastAsia"/>
              </w:rPr>
              <w:t>广东河源</w:t>
            </w:r>
          </w:p>
        </w:tc>
        <w:tc>
          <w:tcPr>
            <w:tcW w:w="969" w:type="pct"/>
            <w:vAlign w:val="center"/>
          </w:tcPr>
          <w:p w14:paraId="1055069A">
            <w:pPr>
              <w:pStyle w:val="12"/>
              <w:jc w:val="center"/>
            </w:pPr>
            <w:r>
              <w:rPr>
                <w:rFonts w:hint="eastAsia"/>
              </w:rPr>
              <w:t>副县长</w:t>
            </w:r>
          </w:p>
        </w:tc>
        <w:tc>
          <w:tcPr>
            <w:tcW w:w="2034" w:type="pct"/>
            <w:vAlign w:val="center"/>
          </w:tcPr>
          <w:p w14:paraId="381B7A41">
            <w:pPr>
              <w:pStyle w:val="12"/>
              <w:jc w:val="left"/>
            </w:pPr>
            <w:r>
              <w:rPr>
                <w:rFonts w:hint="eastAsia"/>
              </w:rPr>
              <w:t>1992年4月至1993年3月</w:t>
            </w:r>
          </w:p>
        </w:tc>
      </w:tr>
      <w:tr w14:paraId="66FF26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9837B89">
            <w:pPr>
              <w:pStyle w:val="12"/>
              <w:jc w:val="center"/>
            </w:pPr>
            <w:r>
              <w:rPr>
                <w:rFonts w:hint="eastAsia"/>
              </w:rPr>
              <w:t>曹北光</w:t>
            </w:r>
          </w:p>
        </w:tc>
        <w:tc>
          <w:tcPr>
            <w:tcW w:w="1357" w:type="pct"/>
            <w:vAlign w:val="center"/>
          </w:tcPr>
          <w:p w14:paraId="7AA6F859">
            <w:pPr>
              <w:pStyle w:val="12"/>
              <w:jc w:val="center"/>
            </w:pPr>
            <w:r>
              <w:rPr>
                <w:rFonts w:hint="eastAsia"/>
              </w:rPr>
              <w:t>—</w:t>
            </w:r>
          </w:p>
        </w:tc>
        <w:tc>
          <w:tcPr>
            <w:tcW w:w="969" w:type="pct"/>
            <w:vAlign w:val="center"/>
          </w:tcPr>
          <w:p w14:paraId="7200DC76">
            <w:pPr>
              <w:pStyle w:val="12"/>
              <w:jc w:val="center"/>
            </w:pPr>
            <w:r>
              <w:rPr>
                <w:rFonts w:hint="eastAsia"/>
              </w:rPr>
              <w:t>挂任副县长</w:t>
            </w:r>
          </w:p>
        </w:tc>
        <w:tc>
          <w:tcPr>
            <w:tcW w:w="2034" w:type="pct"/>
            <w:vAlign w:val="center"/>
          </w:tcPr>
          <w:p w14:paraId="45620E87">
            <w:pPr>
              <w:pStyle w:val="12"/>
              <w:jc w:val="left"/>
            </w:pPr>
            <w:r>
              <w:rPr>
                <w:rFonts w:hint="eastAsia"/>
              </w:rPr>
              <w:t>1991年6月至1993年5月</w:t>
            </w:r>
          </w:p>
        </w:tc>
      </w:tr>
      <w:tr w14:paraId="56DA0E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restart"/>
            <w:vAlign w:val="center"/>
          </w:tcPr>
          <w:p w14:paraId="4B36B29D">
            <w:pPr>
              <w:pStyle w:val="12"/>
              <w:jc w:val="center"/>
            </w:pPr>
            <w:r>
              <w:rPr>
                <w:rFonts w:hint="eastAsia"/>
              </w:rPr>
              <w:t>丘隆基</w:t>
            </w:r>
          </w:p>
        </w:tc>
        <w:tc>
          <w:tcPr>
            <w:tcW w:w="1357" w:type="pct"/>
            <w:vMerge w:val="restart"/>
            <w:vAlign w:val="center"/>
          </w:tcPr>
          <w:p w14:paraId="62A199A9">
            <w:pPr>
              <w:pStyle w:val="12"/>
              <w:jc w:val="center"/>
            </w:pPr>
            <w:r>
              <w:rPr>
                <w:rFonts w:hint="eastAsia"/>
              </w:rPr>
              <w:t>广东南雄</w:t>
            </w:r>
          </w:p>
        </w:tc>
        <w:tc>
          <w:tcPr>
            <w:tcW w:w="969" w:type="pct"/>
            <w:vAlign w:val="center"/>
          </w:tcPr>
          <w:p w14:paraId="4C2B4006">
            <w:pPr>
              <w:pStyle w:val="12"/>
              <w:jc w:val="center"/>
            </w:pPr>
            <w:r>
              <w:rPr>
                <w:rFonts w:hint="eastAsia"/>
              </w:rPr>
              <w:t>代县长</w:t>
            </w:r>
          </w:p>
        </w:tc>
        <w:tc>
          <w:tcPr>
            <w:tcW w:w="2034" w:type="pct"/>
            <w:vAlign w:val="center"/>
          </w:tcPr>
          <w:p w14:paraId="00DF740A">
            <w:pPr>
              <w:pStyle w:val="12"/>
              <w:jc w:val="left"/>
            </w:pPr>
            <w:r>
              <w:rPr>
                <w:rFonts w:hint="eastAsia"/>
              </w:rPr>
              <w:t>1993年6月至1993年12月</w:t>
            </w:r>
          </w:p>
        </w:tc>
      </w:tr>
      <w:tr w14:paraId="2BB586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93AD8E0">
            <w:pPr>
              <w:pStyle w:val="12"/>
              <w:jc w:val="center"/>
            </w:pPr>
          </w:p>
        </w:tc>
        <w:tc>
          <w:tcPr>
            <w:tcW w:w="1357" w:type="pct"/>
            <w:vMerge w:val="continue"/>
            <w:vAlign w:val="center"/>
          </w:tcPr>
          <w:p w14:paraId="2E7EAC25">
            <w:pPr>
              <w:pStyle w:val="12"/>
              <w:jc w:val="center"/>
            </w:pPr>
          </w:p>
        </w:tc>
        <w:tc>
          <w:tcPr>
            <w:tcW w:w="969" w:type="pct"/>
            <w:vAlign w:val="center"/>
          </w:tcPr>
          <w:p w14:paraId="2E6592DF">
            <w:pPr>
              <w:pStyle w:val="12"/>
              <w:jc w:val="center"/>
            </w:pPr>
            <w:r>
              <w:rPr>
                <w:rFonts w:hint="eastAsia"/>
              </w:rPr>
              <w:t>县长</w:t>
            </w:r>
          </w:p>
        </w:tc>
        <w:tc>
          <w:tcPr>
            <w:tcW w:w="2034" w:type="pct"/>
            <w:vAlign w:val="center"/>
          </w:tcPr>
          <w:p w14:paraId="58434161">
            <w:pPr>
              <w:pStyle w:val="12"/>
              <w:jc w:val="left"/>
            </w:pPr>
            <w:r>
              <w:rPr>
                <w:rFonts w:hint="eastAsia"/>
              </w:rPr>
              <w:t>1993年12月至1996年6月</w:t>
            </w:r>
          </w:p>
        </w:tc>
      </w:tr>
      <w:tr w14:paraId="441B5C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B6F3236">
            <w:pPr>
              <w:pStyle w:val="12"/>
              <w:jc w:val="center"/>
            </w:pPr>
            <w:r>
              <w:rPr>
                <w:rFonts w:hint="eastAsia"/>
              </w:rPr>
              <w:t>何明生</w:t>
            </w:r>
          </w:p>
        </w:tc>
        <w:tc>
          <w:tcPr>
            <w:tcW w:w="1357" w:type="pct"/>
            <w:vAlign w:val="center"/>
          </w:tcPr>
          <w:p w14:paraId="1FD85A5D">
            <w:pPr>
              <w:pStyle w:val="12"/>
              <w:jc w:val="center"/>
            </w:pPr>
            <w:r>
              <w:rPr>
                <w:rFonts w:hint="eastAsia"/>
              </w:rPr>
              <w:t>广东南雄</w:t>
            </w:r>
          </w:p>
        </w:tc>
        <w:tc>
          <w:tcPr>
            <w:tcW w:w="969" w:type="pct"/>
            <w:vAlign w:val="center"/>
          </w:tcPr>
          <w:p w14:paraId="0B846D31">
            <w:pPr>
              <w:pStyle w:val="12"/>
              <w:jc w:val="center"/>
            </w:pPr>
            <w:r>
              <w:rPr>
                <w:rFonts w:hint="eastAsia"/>
              </w:rPr>
              <w:t>副县长</w:t>
            </w:r>
          </w:p>
        </w:tc>
        <w:tc>
          <w:tcPr>
            <w:tcW w:w="2034" w:type="pct"/>
            <w:vAlign w:val="center"/>
          </w:tcPr>
          <w:p w14:paraId="33EB66DF">
            <w:pPr>
              <w:pStyle w:val="12"/>
              <w:jc w:val="left"/>
            </w:pPr>
            <w:r>
              <w:rPr>
                <w:rFonts w:hint="eastAsia"/>
              </w:rPr>
              <w:t>1993年3月至1996年6月</w:t>
            </w:r>
          </w:p>
        </w:tc>
      </w:tr>
      <w:tr w14:paraId="595599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8D7802F">
            <w:pPr>
              <w:pStyle w:val="12"/>
              <w:jc w:val="center"/>
            </w:pPr>
            <w:r>
              <w:rPr>
                <w:rFonts w:hint="eastAsia"/>
              </w:rPr>
              <w:t>马水源</w:t>
            </w:r>
          </w:p>
        </w:tc>
        <w:tc>
          <w:tcPr>
            <w:tcW w:w="1357" w:type="pct"/>
            <w:vAlign w:val="center"/>
          </w:tcPr>
          <w:p w14:paraId="7E918957">
            <w:pPr>
              <w:pStyle w:val="12"/>
              <w:jc w:val="center"/>
            </w:pPr>
            <w:r>
              <w:rPr>
                <w:rFonts w:hint="eastAsia"/>
              </w:rPr>
              <w:t>广东南雄</w:t>
            </w:r>
          </w:p>
        </w:tc>
        <w:tc>
          <w:tcPr>
            <w:tcW w:w="969" w:type="pct"/>
            <w:vAlign w:val="center"/>
          </w:tcPr>
          <w:p w14:paraId="6EDE0AA6">
            <w:pPr>
              <w:pStyle w:val="12"/>
              <w:jc w:val="center"/>
            </w:pPr>
            <w:r>
              <w:rPr>
                <w:rFonts w:hint="eastAsia"/>
              </w:rPr>
              <w:t>副县长</w:t>
            </w:r>
          </w:p>
        </w:tc>
        <w:tc>
          <w:tcPr>
            <w:tcW w:w="2034" w:type="pct"/>
            <w:vAlign w:val="center"/>
          </w:tcPr>
          <w:p w14:paraId="2F3468E8">
            <w:pPr>
              <w:pStyle w:val="12"/>
              <w:jc w:val="left"/>
            </w:pPr>
            <w:r>
              <w:rPr>
                <w:rFonts w:hint="eastAsia"/>
              </w:rPr>
              <w:t>1993年3月至1996年6月</w:t>
            </w:r>
          </w:p>
        </w:tc>
      </w:tr>
      <w:tr w14:paraId="332B1A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1A6B717">
            <w:pPr>
              <w:pStyle w:val="12"/>
              <w:jc w:val="center"/>
            </w:pPr>
            <w:r>
              <w:rPr>
                <w:rFonts w:hint="eastAsia"/>
              </w:rPr>
              <w:t>黄浩烈</w:t>
            </w:r>
          </w:p>
        </w:tc>
        <w:tc>
          <w:tcPr>
            <w:tcW w:w="1357" w:type="pct"/>
            <w:vAlign w:val="center"/>
          </w:tcPr>
          <w:p w14:paraId="06F88529">
            <w:pPr>
              <w:pStyle w:val="12"/>
              <w:jc w:val="center"/>
            </w:pPr>
            <w:r>
              <w:rPr>
                <w:rFonts w:hint="eastAsia"/>
              </w:rPr>
              <w:t>广东广州</w:t>
            </w:r>
          </w:p>
        </w:tc>
        <w:tc>
          <w:tcPr>
            <w:tcW w:w="969" w:type="pct"/>
            <w:vAlign w:val="center"/>
          </w:tcPr>
          <w:p w14:paraId="2B65BF89">
            <w:pPr>
              <w:pStyle w:val="12"/>
              <w:jc w:val="center"/>
            </w:pPr>
            <w:r>
              <w:rPr>
                <w:rFonts w:hint="eastAsia"/>
              </w:rPr>
              <w:t>副县长</w:t>
            </w:r>
          </w:p>
        </w:tc>
        <w:tc>
          <w:tcPr>
            <w:tcW w:w="2034" w:type="pct"/>
            <w:vAlign w:val="center"/>
          </w:tcPr>
          <w:p w14:paraId="5D2ECC82">
            <w:pPr>
              <w:pStyle w:val="12"/>
              <w:jc w:val="left"/>
            </w:pPr>
            <w:r>
              <w:rPr>
                <w:rFonts w:hint="eastAsia"/>
              </w:rPr>
              <w:t>1993年3月至1996年6月</w:t>
            </w:r>
          </w:p>
        </w:tc>
      </w:tr>
      <w:tr w14:paraId="6B8F5D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58D5366">
            <w:pPr>
              <w:pStyle w:val="12"/>
              <w:jc w:val="center"/>
            </w:pPr>
            <w:r>
              <w:rPr>
                <w:rFonts w:hint="eastAsia"/>
              </w:rPr>
              <w:t>梁  红</w:t>
            </w:r>
          </w:p>
        </w:tc>
        <w:tc>
          <w:tcPr>
            <w:tcW w:w="1357" w:type="pct"/>
            <w:vAlign w:val="center"/>
          </w:tcPr>
          <w:p w14:paraId="5B4B205C">
            <w:pPr>
              <w:pStyle w:val="12"/>
              <w:jc w:val="center"/>
            </w:pPr>
            <w:r>
              <w:rPr>
                <w:rFonts w:hint="eastAsia"/>
              </w:rPr>
              <w:t>—</w:t>
            </w:r>
          </w:p>
        </w:tc>
        <w:tc>
          <w:tcPr>
            <w:tcW w:w="969" w:type="pct"/>
            <w:vAlign w:val="center"/>
          </w:tcPr>
          <w:p w14:paraId="1CBB12B8">
            <w:pPr>
              <w:pStyle w:val="12"/>
              <w:jc w:val="center"/>
            </w:pPr>
            <w:r>
              <w:rPr>
                <w:rFonts w:hint="eastAsia"/>
              </w:rPr>
              <w:t>挂任副县长</w:t>
            </w:r>
          </w:p>
        </w:tc>
        <w:tc>
          <w:tcPr>
            <w:tcW w:w="2034" w:type="pct"/>
            <w:vAlign w:val="center"/>
          </w:tcPr>
          <w:p w14:paraId="38D30FEC">
            <w:pPr>
              <w:pStyle w:val="12"/>
              <w:jc w:val="left"/>
            </w:pPr>
            <w:r>
              <w:rPr>
                <w:rFonts w:hint="eastAsia"/>
              </w:rPr>
              <w:t>1993年9月至1995年10月</w:t>
            </w:r>
          </w:p>
        </w:tc>
      </w:tr>
      <w:tr w14:paraId="72B7D2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1673D77">
            <w:pPr>
              <w:pStyle w:val="12"/>
              <w:jc w:val="center"/>
            </w:pPr>
            <w:r>
              <w:rPr>
                <w:rFonts w:hint="eastAsia"/>
              </w:rPr>
              <w:t>郭先桂</w:t>
            </w:r>
          </w:p>
        </w:tc>
        <w:tc>
          <w:tcPr>
            <w:tcW w:w="1357" w:type="pct"/>
            <w:vAlign w:val="center"/>
          </w:tcPr>
          <w:p w14:paraId="47524DA2">
            <w:pPr>
              <w:pStyle w:val="12"/>
              <w:jc w:val="center"/>
            </w:pPr>
            <w:r>
              <w:rPr>
                <w:rFonts w:hint="eastAsia"/>
              </w:rPr>
              <w:t>广东南雄</w:t>
            </w:r>
          </w:p>
        </w:tc>
        <w:tc>
          <w:tcPr>
            <w:tcW w:w="969" w:type="pct"/>
            <w:vAlign w:val="center"/>
          </w:tcPr>
          <w:p w14:paraId="7DDEEA02">
            <w:pPr>
              <w:pStyle w:val="12"/>
              <w:jc w:val="center"/>
            </w:pPr>
            <w:r>
              <w:rPr>
                <w:rFonts w:hint="eastAsia"/>
              </w:rPr>
              <w:t>挂任副县长</w:t>
            </w:r>
          </w:p>
        </w:tc>
        <w:tc>
          <w:tcPr>
            <w:tcW w:w="2034" w:type="pct"/>
            <w:vAlign w:val="center"/>
          </w:tcPr>
          <w:p w14:paraId="0DE83A04">
            <w:pPr>
              <w:pStyle w:val="12"/>
              <w:jc w:val="left"/>
            </w:pPr>
            <w:r>
              <w:rPr>
                <w:rFonts w:hint="eastAsia"/>
              </w:rPr>
              <w:t>1993年10月至1996年10月</w:t>
            </w:r>
          </w:p>
        </w:tc>
      </w:tr>
      <w:tr w14:paraId="1D707AE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FDDE6B1">
            <w:pPr>
              <w:pStyle w:val="12"/>
              <w:jc w:val="center"/>
            </w:pPr>
            <w:r>
              <w:rPr>
                <w:rFonts w:hint="eastAsia"/>
              </w:rPr>
              <w:t>陈利荣</w:t>
            </w:r>
          </w:p>
        </w:tc>
        <w:tc>
          <w:tcPr>
            <w:tcW w:w="1357" w:type="pct"/>
            <w:vAlign w:val="center"/>
          </w:tcPr>
          <w:p w14:paraId="15C85FEA">
            <w:pPr>
              <w:pStyle w:val="12"/>
              <w:jc w:val="center"/>
            </w:pPr>
            <w:r>
              <w:rPr>
                <w:rFonts w:hint="eastAsia"/>
              </w:rPr>
              <w:t>—</w:t>
            </w:r>
          </w:p>
        </w:tc>
        <w:tc>
          <w:tcPr>
            <w:tcW w:w="969" w:type="pct"/>
            <w:vAlign w:val="center"/>
          </w:tcPr>
          <w:p w14:paraId="766CDABD">
            <w:pPr>
              <w:pStyle w:val="12"/>
              <w:jc w:val="center"/>
            </w:pPr>
            <w:r>
              <w:rPr>
                <w:rFonts w:hint="eastAsia"/>
              </w:rPr>
              <w:t>挂任副县长</w:t>
            </w:r>
          </w:p>
        </w:tc>
        <w:tc>
          <w:tcPr>
            <w:tcW w:w="2034" w:type="pct"/>
            <w:vAlign w:val="center"/>
          </w:tcPr>
          <w:p w14:paraId="5BC905F5">
            <w:pPr>
              <w:pStyle w:val="12"/>
              <w:jc w:val="left"/>
            </w:pPr>
            <w:r>
              <w:rPr>
                <w:rFonts w:hint="eastAsia"/>
              </w:rPr>
              <w:t>1994年11月至1996年8月</w:t>
            </w:r>
          </w:p>
        </w:tc>
      </w:tr>
      <w:tr w14:paraId="09B18A3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501059D">
            <w:pPr>
              <w:pStyle w:val="12"/>
              <w:jc w:val="center"/>
            </w:pPr>
            <w:r>
              <w:rPr>
                <w:rFonts w:hint="eastAsia"/>
              </w:rPr>
              <w:t>林广志</w:t>
            </w:r>
          </w:p>
        </w:tc>
        <w:tc>
          <w:tcPr>
            <w:tcW w:w="1357" w:type="pct"/>
            <w:vAlign w:val="center"/>
          </w:tcPr>
          <w:p w14:paraId="3BDD20A2">
            <w:pPr>
              <w:pStyle w:val="12"/>
              <w:jc w:val="center"/>
            </w:pPr>
            <w:r>
              <w:rPr>
                <w:rFonts w:hint="eastAsia"/>
              </w:rPr>
              <w:t>广东始兴</w:t>
            </w:r>
          </w:p>
        </w:tc>
        <w:tc>
          <w:tcPr>
            <w:tcW w:w="969" w:type="pct"/>
            <w:vAlign w:val="center"/>
          </w:tcPr>
          <w:p w14:paraId="2D1E9D41">
            <w:pPr>
              <w:pStyle w:val="12"/>
              <w:jc w:val="center"/>
            </w:pPr>
            <w:r>
              <w:rPr>
                <w:rFonts w:hint="eastAsia"/>
              </w:rPr>
              <w:t>挂任副县长</w:t>
            </w:r>
          </w:p>
        </w:tc>
        <w:tc>
          <w:tcPr>
            <w:tcW w:w="2034" w:type="pct"/>
            <w:vAlign w:val="center"/>
          </w:tcPr>
          <w:p w14:paraId="47EEB0AE">
            <w:pPr>
              <w:pStyle w:val="12"/>
              <w:jc w:val="left"/>
            </w:pPr>
            <w:r>
              <w:rPr>
                <w:rFonts w:hint="eastAsia"/>
              </w:rPr>
              <w:t>1994年11月至1996年6月</w:t>
            </w:r>
          </w:p>
        </w:tc>
      </w:tr>
      <w:tr w14:paraId="6FBFBD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EA8FB56">
            <w:pPr>
              <w:pStyle w:val="12"/>
              <w:jc w:val="center"/>
            </w:pPr>
            <w:r>
              <w:rPr>
                <w:rFonts w:hint="eastAsia"/>
              </w:rPr>
              <w:t>郭盛森</w:t>
            </w:r>
          </w:p>
        </w:tc>
        <w:tc>
          <w:tcPr>
            <w:tcW w:w="1357" w:type="pct"/>
            <w:vAlign w:val="center"/>
          </w:tcPr>
          <w:p w14:paraId="68DEE28B">
            <w:pPr>
              <w:pStyle w:val="12"/>
              <w:jc w:val="center"/>
            </w:pPr>
            <w:r>
              <w:rPr>
                <w:rFonts w:hint="eastAsia"/>
              </w:rPr>
              <w:t>广东南雄</w:t>
            </w:r>
          </w:p>
        </w:tc>
        <w:tc>
          <w:tcPr>
            <w:tcW w:w="969" w:type="pct"/>
            <w:vAlign w:val="center"/>
          </w:tcPr>
          <w:p w14:paraId="004A8FDA">
            <w:pPr>
              <w:pStyle w:val="12"/>
              <w:jc w:val="center"/>
            </w:pPr>
            <w:r>
              <w:rPr>
                <w:rFonts w:hint="eastAsia"/>
              </w:rPr>
              <w:t>副县长</w:t>
            </w:r>
          </w:p>
        </w:tc>
        <w:tc>
          <w:tcPr>
            <w:tcW w:w="2034" w:type="pct"/>
            <w:vAlign w:val="center"/>
          </w:tcPr>
          <w:p w14:paraId="58829CF2">
            <w:pPr>
              <w:pStyle w:val="12"/>
              <w:jc w:val="left"/>
            </w:pPr>
            <w:r>
              <w:rPr>
                <w:rFonts w:hint="eastAsia"/>
              </w:rPr>
              <w:t>1994年5月至1996年6月</w:t>
            </w:r>
          </w:p>
        </w:tc>
      </w:tr>
    </w:tbl>
    <w:p w14:paraId="1400BC5F">
      <w:pPr>
        <w:ind w:firstLine="422"/>
        <w:rPr>
          <w:rFonts w:ascii="宋体" w:hAnsi="宋体"/>
          <w:b/>
          <w:szCs w:val="21"/>
        </w:rPr>
      </w:pPr>
      <w:r>
        <w:rPr>
          <w:rFonts w:hint="eastAsia" w:ascii="宋体" w:hAnsi="宋体"/>
          <w:b/>
          <w:szCs w:val="21"/>
        </w:rPr>
        <w:t>（二）南雄市历任市长、副市长</w:t>
      </w:r>
    </w:p>
    <w:p w14:paraId="103FA58E">
      <w:pPr>
        <w:ind w:firstLine="0" w:firstLineChars="0"/>
        <w:jc w:val="center"/>
        <w:rPr>
          <w:rFonts w:ascii="宋体" w:hAnsi="宋体"/>
          <w:b/>
          <w:szCs w:val="21"/>
        </w:rPr>
      </w:pPr>
      <w:r>
        <w:rPr>
          <w:rFonts w:hint="eastAsia" w:ascii="宋体" w:hAnsi="宋体"/>
          <w:b/>
          <w:szCs w:val="21"/>
        </w:rPr>
        <w:t>南雄市历任市长、副市长任职情况</w:t>
      </w:r>
    </w:p>
    <w:p w14:paraId="328048BF">
      <w:pPr>
        <w:ind w:firstLine="0" w:firstLineChars="0"/>
        <w:rPr>
          <w:rFonts w:ascii="宋体" w:hAnsi="宋体"/>
          <w:b/>
          <w:szCs w:val="21"/>
        </w:rPr>
      </w:pPr>
      <w:r>
        <w:rPr>
          <w:rFonts w:hint="eastAsia" w:ascii="宋体" w:hAnsi="宋体"/>
          <w:b/>
          <w:szCs w:val="21"/>
        </w:rPr>
        <w:t>表</w:t>
      </w:r>
      <w:r>
        <w:rPr>
          <w:rFonts w:ascii="宋体" w:hAnsi="宋体"/>
          <w:b/>
          <w:szCs w:val="21"/>
        </w:rPr>
        <w:t>4-8</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62"/>
        <w:gridCol w:w="2897"/>
        <w:gridCol w:w="2317"/>
        <w:gridCol w:w="3086"/>
      </w:tblGrid>
      <w:tr w14:paraId="755816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051ED116">
            <w:pPr>
              <w:pStyle w:val="12"/>
              <w:jc w:val="center"/>
              <w:rPr>
                <w:b/>
              </w:rPr>
            </w:pPr>
            <w:r>
              <w:rPr>
                <w:rFonts w:hint="eastAsia"/>
                <w:b/>
              </w:rPr>
              <w:t>姓名</w:t>
            </w:r>
          </w:p>
        </w:tc>
        <w:tc>
          <w:tcPr>
            <w:tcW w:w="1454" w:type="pct"/>
            <w:vAlign w:val="center"/>
          </w:tcPr>
          <w:p w14:paraId="3F91D2F0">
            <w:pPr>
              <w:pStyle w:val="12"/>
              <w:jc w:val="center"/>
              <w:rPr>
                <w:b/>
              </w:rPr>
            </w:pPr>
            <w:r>
              <w:rPr>
                <w:rFonts w:hint="eastAsia"/>
                <w:b/>
              </w:rPr>
              <w:t>籍贯</w:t>
            </w:r>
          </w:p>
        </w:tc>
        <w:tc>
          <w:tcPr>
            <w:tcW w:w="1163" w:type="pct"/>
            <w:vAlign w:val="center"/>
          </w:tcPr>
          <w:p w14:paraId="2D95C12C">
            <w:pPr>
              <w:pStyle w:val="12"/>
              <w:jc w:val="center"/>
              <w:rPr>
                <w:b/>
              </w:rPr>
            </w:pPr>
            <w:r>
              <w:rPr>
                <w:rFonts w:hint="eastAsia"/>
                <w:b/>
              </w:rPr>
              <w:t>职务</w:t>
            </w:r>
          </w:p>
        </w:tc>
        <w:tc>
          <w:tcPr>
            <w:tcW w:w="1550" w:type="pct"/>
            <w:vAlign w:val="center"/>
          </w:tcPr>
          <w:p w14:paraId="68643DEF">
            <w:pPr>
              <w:pStyle w:val="12"/>
              <w:jc w:val="center"/>
              <w:rPr>
                <w:b/>
              </w:rPr>
            </w:pPr>
            <w:r>
              <w:rPr>
                <w:rFonts w:hint="eastAsia"/>
                <w:b/>
              </w:rPr>
              <w:t>任职时间</w:t>
            </w:r>
          </w:p>
        </w:tc>
      </w:tr>
      <w:tr w14:paraId="6745F3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63BAE0E5">
            <w:pPr>
              <w:pStyle w:val="12"/>
              <w:jc w:val="center"/>
            </w:pPr>
            <w:r>
              <w:rPr>
                <w:rFonts w:hint="eastAsia"/>
              </w:rPr>
              <w:t>丘隆基</w:t>
            </w:r>
          </w:p>
        </w:tc>
        <w:tc>
          <w:tcPr>
            <w:tcW w:w="1454" w:type="pct"/>
            <w:vAlign w:val="center"/>
          </w:tcPr>
          <w:p w14:paraId="0C1BB4EA">
            <w:pPr>
              <w:pStyle w:val="12"/>
              <w:jc w:val="center"/>
            </w:pPr>
            <w:r>
              <w:rPr>
                <w:rFonts w:hint="eastAsia"/>
              </w:rPr>
              <w:t>广东南雄</w:t>
            </w:r>
          </w:p>
        </w:tc>
        <w:tc>
          <w:tcPr>
            <w:tcW w:w="1163" w:type="pct"/>
            <w:vAlign w:val="center"/>
          </w:tcPr>
          <w:p w14:paraId="1218606B">
            <w:pPr>
              <w:pStyle w:val="12"/>
              <w:jc w:val="center"/>
            </w:pPr>
            <w:r>
              <w:rPr>
                <w:rFonts w:hint="eastAsia"/>
              </w:rPr>
              <w:t>市长</w:t>
            </w:r>
          </w:p>
        </w:tc>
        <w:tc>
          <w:tcPr>
            <w:tcW w:w="1550" w:type="pct"/>
            <w:vAlign w:val="center"/>
          </w:tcPr>
          <w:p w14:paraId="4AD9CF65">
            <w:pPr>
              <w:pStyle w:val="12"/>
              <w:jc w:val="left"/>
            </w:pPr>
            <w:r>
              <w:rPr>
                <w:rFonts w:hint="eastAsia"/>
              </w:rPr>
              <w:t>1996年6月到1997年3月</w:t>
            </w:r>
          </w:p>
        </w:tc>
      </w:tr>
      <w:tr w14:paraId="206F10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3F7A5AE7">
            <w:pPr>
              <w:pStyle w:val="12"/>
              <w:jc w:val="center"/>
            </w:pPr>
            <w:r>
              <w:rPr>
                <w:rFonts w:hint="eastAsia"/>
              </w:rPr>
              <w:t>何明生</w:t>
            </w:r>
          </w:p>
        </w:tc>
        <w:tc>
          <w:tcPr>
            <w:tcW w:w="1454" w:type="pct"/>
            <w:vAlign w:val="center"/>
          </w:tcPr>
          <w:p w14:paraId="140DA8C1">
            <w:pPr>
              <w:pStyle w:val="12"/>
              <w:jc w:val="center"/>
            </w:pPr>
            <w:r>
              <w:rPr>
                <w:rFonts w:hint="eastAsia"/>
              </w:rPr>
              <w:t>广东南雄</w:t>
            </w:r>
          </w:p>
        </w:tc>
        <w:tc>
          <w:tcPr>
            <w:tcW w:w="1163" w:type="pct"/>
            <w:vAlign w:val="center"/>
          </w:tcPr>
          <w:p w14:paraId="10AC54ED">
            <w:pPr>
              <w:pStyle w:val="12"/>
              <w:jc w:val="center"/>
            </w:pPr>
            <w:r>
              <w:rPr>
                <w:rFonts w:hint="eastAsia"/>
              </w:rPr>
              <w:t>副市长</w:t>
            </w:r>
          </w:p>
        </w:tc>
        <w:tc>
          <w:tcPr>
            <w:tcW w:w="1550" w:type="pct"/>
            <w:vAlign w:val="center"/>
          </w:tcPr>
          <w:p w14:paraId="44B167E0">
            <w:pPr>
              <w:pStyle w:val="12"/>
              <w:jc w:val="left"/>
            </w:pPr>
            <w:r>
              <w:rPr>
                <w:rFonts w:hint="eastAsia"/>
              </w:rPr>
              <w:t>1996年6月至1997年10月</w:t>
            </w:r>
          </w:p>
        </w:tc>
      </w:tr>
      <w:tr w14:paraId="544DCA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55E1B1DC">
            <w:pPr>
              <w:pStyle w:val="12"/>
              <w:jc w:val="center"/>
            </w:pPr>
            <w:r>
              <w:rPr>
                <w:rFonts w:hint="eastAsia"/>
              </w:rPr>
              <w:t>马水源</w:t>
            </w:r>
          </w:p>
        </w:tc>
        <w:tc>
          <w:tcPr>
            <w:tcW w:w="1454" w:type="pct"/>
            <w:vAlign w:val="center"/>
          </w:tcPr>
          <w:p w14:paraId="5D1CC2A3">
            <w:pPr>
              <w:pStyle w:val="12"/>
              <w:jc w:val="center"/>
            </w:pPr>
            <w:r>
              <w:rPr>
                <w:rFonts w:hint="eastAsia"/>
              </w:rPr>
              <w:t>广东南雄</w:t>
            </w:r>
          </w:p>
        </w:tc>
        <w:tc>
          <w:tcPr>
            <w:tcW w:w="1163" w:type="pct"/>
            <w:vAlign w:val="center"/>
          </w:tcPr>
          <w:p w14:paraId="61FD6DE8">
            <w:pPr>
              <w:pStyle w:val="12"/>
              <w:jc w:val="center"/>
            </w:pPr>
            <w:r>
              <w:rPr>
                <w:rFonts w:hint="eastAsia"/>
              </w:rPr>
              <w:t>副市长</w:t>
            </w:r>
          </w:p>
        </w:tc>
        <w:tc>
          <w:tcPr>
            <w:tcW w:w="1550" w:type="pct"/>
            <w:vAlign w:val="center"/>
          </w:tcPr>
          <w:p w14:paraId="01B30BAC">
            <w:pPr>
              <w:pStyle w:val="12"/>
              <w:jc w:val="left"/>
            </w:pPr>
            <w:r>
              <w:rPr>
                <w:rFonts w:hint="eastAsia"/>
              </w:rPr>
              <w:t>1996年6月至1997年12月</w:t>
            </w:r>
          </w:p>
        </w:tc>
      </w:tr>
      <w:tr w14:paraId="1A318F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6998D14D">
            <w:pPr>
              <w:pStyle w:val="12"/>
              <w:jc w:val="center"/>
            </w:pPr>
            <w:r>
              <w:rPr>
                <w:rFonts w:hint="eastAsia"/>
              </w:rPr>
              <w:t>黄浩烈</w:t>
            </w:r>
          </w:p>
        </w:tc>
        <w:tc>
          <w:tcPr>
            <w:tcW w:w="1454" w:type="pct"/>
            <w:vAlign w:val="center"/>
          </w:tcPr>
          <w:p w14:paraId="6B725503">
            <w:pPr>
              <w:pStyle w:val="12"/>
              <w:jc w:val="center"/>
            </w:pPr>
            <w:r>
              <w:rPr>
                <w:rFonts w:hint="eastAsia"/>
              </w:rPr>
              <w:t>广东广州</w:t>
            </w:r>
          </w:p>
        </w:tc>
        <w:tc>
          <w:tcPr>
            <w:tcW w:w="1163" w:type="pct"/>
            <w:vAlign w:val="center"/>
          </w:tcPr>
          <w:p w14:paraId="2879814D">
            <w:pPr>
              <w:pStyle w:val="12"/>
              <w:jc w:val="center"/>
            </w:pPr>
            <w:r>
              <w:rPr>
                <w:rFonts w:hint="eastAsia"/>
              </w:rPr>
              <w:t>副市长</w:t>
            </w:r>
          </w:p>
        </w:tc>
        <w:tc>
          <w:tcPr>
            <w:tcW w:w="1550" w:type="pct"/>
            <w:vAlign w:val="center"/>
          </w:tcPr>
          <w:p w14:paraId="66D8721B">
            <w:pPr>
              <w:pStyle w:val="12"/>
              <w:jc w:val="left"/>
            </w:pPr>
            <w:r>
              <w:rPr>
                <w:rFonts w:hint="eastAsia"/>
              </w:rPr>
              <w:t>1996年6月至2002年2月</w:t>
            </w:r>
          </w:p>
        </w:tc>
      </w:tr>
      <w:tr w14:paraId="728FBE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741E7BAE">
            <w:pPr>
              <w:pStyle w:val="12"/>
              <w:jc w:val="center"/>
            </w:pPr>
            <w:r>
              <w:rPr>
                <w:rFonts w:hint="eastAsia"/>
              </w:rPr>
              <w:t>林广志</w:t>
            </w:r>
          </w:p>
        </w:tc>
        <w:tc>
          <w:tcPr>
            <w:tcW w:w="1454" w:type="pct"/>
            <w:vAlign w:val="center"/>
          </w:tcPr>
          <w:p w14:paraId="72188B10">
            <w:pPr>
              <w:pStyle w:val="12"/>
              <w:jc w:val="center"/>
            </w:pPr>
            <w:r>
              <w:rPr>
                <w:rFonts w:hint="eastAsia"/>
              </w:rPr>
              <w:t>广东始兴</w:t>
            </w:r>
          </w:p>
        </w:tc>
        <w:tc>
          <w:tcPr>
            <w:tcW w:w="1163" w:type="pct"/>
            <w:vAlign w:val="center"/>
          </w:tcPr>
          <w:p w14:paraId="304413F7">
            <w:pPr>
              <w:pStyle w:val="12"/>
              <w:jc w:val="center"/>
            </w:pPr>
            <w:r>
              <w:rPr>
                <w:rFonts w:hint="eastAsia"/>
              </w:rPr>
              <w:t>挂职副市长</w:t>
            </w:r>
          </w:p>
        </w:tc>
        <w:tc>
          <w:tcPr>
            <w:tcW w:w="1550" w:type="pct"/>
            <w:vAlign w:val="center"/>
          </w:tcPr>
          <w:p w14:paraId="771F537A">
            <w:pPr>
              <w:pStyle w:val="12"/>
              <w:jc w:val="left"/>
            </w:pPr>
            <w:r>
              <w:rPr>
                <w:rFonts w:hint="eastAsia"/>
              </w:rPr>
              <w:t>1996年6月至1996年11月</w:t>
            </w:r>
          </w:p>
        </w:tc>
      </w:tr>
      <w:tr w14:paraId="754632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4F989A0D">
            <w:pPr>
              <w:pStyle w:val="12"/>
              <w:jc w:val="center"/>
            </w:pPr>
            <w:r>
              <w:rPr>
                <w:rFonts w:hint="eastAsia"/>
              </w:rPr>
              <w:t>郭盛森</w:t>
            </w:r>
          </w:p>
        </w:tc>
        <w:tc>
          <w:tcPr>
            <w:tcW w:w="1454" w:type="pct"/>
            <w:vAlign w:val="center"/>
          </w:tcPr>
          <w:p w14:paraId="12EBD54E">
            <w:pPr>
              <w:pStyle w:val="12"/>
              <w:jc w:val="center"/>
            </w:pPr>
            <w:r>
              <w:rPr>
                <w:rFonts w:hint="eastAsia"/>
              </w:rPr>
              <w:t>广东南雄</w:t>
            </w:r>
          </w:p>
        </w:tc>
        <w:tc>
          <w:tcPr>
            <w:tcW w:w="1163" w:type="pct"/>
            <w:vAlign w:val="center"/>
          </w:tcPr>
          <w:p w14:paraId="0AFA3AA6">
            <w:pPr>
              <w:pStyle w:val="12"/>
              <w:jc w:val="center"/>
            </w:pPr>
            <w:r>
              <w:rPr>
                <w:rFonts w:hint="eastAsia"/>
              </w:rPr>
              <w:t>副市长</w:t>
            </w:r>
          </w:p>
        </w:tc>
        <w:tc>
          <w:tcPr>
            <w:tcW w:w="1550" w:type="pct"/>
            <w:vAlign w:val="center"/>
          </w:tcPr>
          <w:p w14:paraId="4E9E825F">
            <w:pPr>
              <w:pStyle w:val="12"/>
              <w:jc w:val="left"/>
            </w:pPr>
            <w:r>
              <w:rPr>
                <w:rFonts w:hint="eastAsia"/>
              </w:rPr>
              <w:t>1996年6月至1998年3月</w:t>
            </w:r>
          </w:p>
        </w:tc>
      </w:tr>
      <w:tr w14:paraId="53EC8D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Merge w:val="restart"/>
            <w:vAlign w:val="center"/>
          </w:tcPr>
          <w:p w14:paraId="6423E036">
            <w:pPr>
              <w:pStyle w:val="12"/>
              <w:jc w:val="center"/>
            </w:pPr>
            <w:r>
              <w:rPr>
                <w:rFonts w:hint="eastAsia"/>
              </w:rPr>
              <w:t>沈明祥</w:t>
            </w:r>
          </w:p>
        </w:tc>
        <w:tc>
          <w:tcPr>
            <w:tcW w:w="1454" w:type="pct"/>
            <w:vMerge w:val="restart"/>
            <w:vAlign w:val="center"/>
          </w:tcPr>
          <w:p w14:paraId="7A39AB23">
            <w:pPr>
              <w:pStyle w:val="12"/>
              <w:jc w:val="center"/>
            </w:pPr>
            <w:r>
              <w:rPr>
                <w:rFonts w:hint="eastAsia"/>
              </w:rPr>
              <w:t>广东南雄</w:t>
            </w:r>
          </w:p>
        </w:tc>
        <w:tc>
          <w:tcPr>
            <w:tcW w:w="1163" w:type="pct"/>
            <w:vAlign w:val="center"/>
          </w:tcPr>
          <w:p w14:paraId="465EF5B1">
            <w:pPr>
              <w:pStyle w:val="12"/>
              <w:jc w:val="center"/>
            </w:pPr>
            <w:r>
              <w:rPr>
                <w:rFonts w:hint="eastAsia"/>
              </w:rPr>
              <w:t>副市长</w:t>
            </w:r>
          </w:p>
        </w:tc>
        <w:tc>
          <w:tcPr>
            <w:tcW w:w="1550" w:type="pct"/>
            <w:vAlign w:val="center"/>
          </w:tcPr>
          <w:p w14:paraId="7E93938F">
            <w:pPr>
              <w:pStyle w:val="12"/>
              <w:jc w:val="left"/>
            </w:pPr>
            <w:r>
              <w:rPr>
                <w:rFonts w:hint="eastAsia"/>
              </w:rPr>
              <w:t>1996年8月至1998年3月</w:t>
            </w:r>
          </w:p>
        </w:tc>
      </w:tr>
      <w:tr w14:paraId="73C8AA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Merge w:val="continue"/>
            <w:vAlign w:val="center"/>
          </w:tcPr>
          <w:p w14:paraId="40EE19E9">
            <w:pPr>
              <w:pStyle w:val="12"/>
              <w:jc w:val="center"/>
            </w:pPr>
          </w:p>
        </w:tc>
        <w:tc>
          <w:tcPr>
            <w:tcW w:w="1454" w:type="pct"/>
            <w:vMerge w:val="continue"/>
            <w:vAlign w:val="center"/>
          </w:tcPr>
          <w:p w14:paraId="629E1A84">
            <w:pPr>
              <w:pStyle w:val="12"/>
              <w:jc w:val="center"/>
            </w:pPr>
          </w:p>
        </w:tc>
        <w:tc>
          <w:tcPr>
            <w:tcW w:w="1163" w:type="pct"/>
            <w:vAlign w:val="center"/>
          </w:tcPr>
          <w:p w14:paraId="66129BCE">
            <w:pPr>
              <w:pStyle w:val="12"/>
              <w:jc w:val="center"/>
            </w:pPr>
            <w:r>
              <w:rPr>
                <w:rFonts w:hint="eastAsia"/>
              </w:rPr>
              <w:t>市长</w:t>
            </w:r>
          </w:p>
        </w:tc>
        <w:tc>
          <w:tcPr>
            <w:tcW w:w="1550" w:type="pct"/>
            <w:vAlign w:val="center"/>
          </w:tcPr>
          <w:p w14:paraId="10A1D39F">
            <w:pPr>
              <w:pStyle w:val="12"/>
              <w:jc w:val="left"/>
            </w:pPr>
            <w:r>
              <w:rPr>
                <w:rFonts w:hint="eastAsia"/>
              </w:rPr>
              <w:t>1998年3月至2002年1月</w:t>
            </w:r>
          </w:p>
        </w:tc>
      </w:tr>
      <w:tr w14:paraId="1DC5C0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629FD753">
            <w:pPr>
              <w:pStyle w:val="12"/>
              <w:jc w:val="center"/>
            </w:pPr>
            <w:r>
              <w:rPr>
                <w:rFonts w:hint="eastAsia"/>
              </w:rPr>
              <w:t>王青西</w:t>
            </w:r>
          </w:p>
        </w:tc>
        <w:tc>
          <w:tcPr>
            <w:tcW w:w="1454" w:type="pct"/>
            <w:vAlign w:val="center"/>
          </w:tcPr>
          <w:p w14:paraId="084C2ED1">
            <w:pPr>
              <w:pStyle w:val="12"/>
              <w:jc w:val="center"/>
            </w:pPr>
            <w:r>
              <w:rPr>
                <w:rFonts w:hint="eastAsia"/>
              </w:rPr>
              <w:t>广东南雄</w:t>
            </w:r>
          </w:p>
        </w:tc>
        <w:tc>
          <w:tcPr>
            <w:tcW w:w="1163" w:type="pct"/>
            <w:vAlign w:val="center"/>
          </w:tcPr>
          <w:p w14:paraId="0EF825FE">
            <w:pPr>
              <w:pStyle w:val="12"/>
              <w:jc w:val="center"/>
            </w:pPr>
            <w:r>
              <w:rPr>
                <w:rFonts w:hint="eastAsia"/>
              </w:rPr>
              <w:t>副市长</w:t>
            </w:r>
          </w:p>
        </w:tc>
        <w:tc>
          <w:tcPr>
            <w:tcW w:w="1550" w:type="pct"/>
            <w:vAlign w:val="center"/>
          </w:tcPr>
          <w:p w14:paraId="3C48B46D">
            <w:pPr>
              <w:pStyle w:val="12"/>
              <w:jc w:val="left"/>
            </w:pPr>
            <w:r>
              <w:rPr>
                <w:rFonts w:hint="eastAsia"/>
              </w:rPr>
              <w:t>1996年9月至1997年12月</w:t>
            </w:r>
          </w:p>
        </w:tc>
      </w:tr>
      <w:tr w14:paraId="1B0B2F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1F331F2E">
            <w:pPr>
              <w:pStyle w:val="12"/>
              <w:jc w:val="center"/>
            </w:pPr>
            <w:r>
              <w:rPr>
                <w:rFonts w:hint="eastAsia"/>
              </w:rPr>
              <w:t>罗祥万</w:t>
            </w:r>
          </w:p>
        </w:tc>
        <w:tc>
          <w:tcPr>
            <w:tcW w:w="1454" w:type="pct"/>
            <w:vAlign w:val="center"/>
          </w:tcPr>
          <w:p w14:paraId="4B320A18">
            <w:pPr>
              <w:pStyle w:val="12"/>
              <w:jc w:val="center"/>
            </w:pPr>
            <w:r>
              <w:rPr>
                <w:rFonts w:hint="eastAsia"/>
              </w:rPr>
              <w:t>广东兴宁</w:t>
            </w:r>
          </w:p>
        </w:tc>
        <w:tc>
          <w:tcPr>
            <w:tcW w:w="1163" w:type="pct"/>
            <w:vAlign w:val="center"/>
          </w:tcPr>
          <w:p w14:paraId="5E30F397">
            <w:pPr>
              <w:pStyle w:val="12"/>
              <w:jc w:val="center"/>
            </w:pPr>
            <w:r>
              <w:rPr>
                <w:rFonts w:hint="eastAsia"/>
              </w:rPr>
              <w:t>副市长</w:t>
            </w:r>
          </w:p>
        </w:tc>
        <w:tc>
          <w:tcPr>
            <w:tcW w:w="1550" w:type="pct"/>
            <w:vAlign w:val="center"/>
          </w:tcPr>
          <w:p w14:paraId="2D0B01EA">
            <w:pPr>
              <w:pStyle w:val="12"/>
              <w:jc w:val="left"/>
            </w:pPr>
            <w:r>
              <w:rPr>
                <w:rFonts w:hint="eastAsia"/>
              </w:rPr>
              <w:t>1996年7月至1998年6月</w:t>
            </w:r>
          </w:p>
        </w:tc>
      </w:tr>
      <w:tr w14:paraId="6EEC29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46926F21">
            <w:pPr>
              <w:pStyle w:val="12"/>
              <w:jc w:val="center"/>
            </w:pPr>
            <w:r>
              <w:rPr>
                <w:rFonts w:hint="eastAsia"/>
              </w:rPr>
              <w:t>王碧华</w:t>
            </w:r>
          </w:p>
        </w:tc>
        <w:tc>
          <w:tcPr>
            <w:tcW w:w="1454" w:type="pct"/>
            <w:vAlign w:val="center"/>
          </w:tcPr>
          <w:p w14:paraId="23C631EE">
            <w:pPr>
              <w:pStyle w:val="12"/>
              <w:jc w:val="center"/>
            </w:pPr>
            <w:r>
              <w:rPr>
                <w:rFonts w:hint="eastAsia"/>
              </w:rPr>
              <w:t>广东翁源</w:t>
            </w:r>
          </w:p>
        </w:tc>
        <w:tc>
          <w:tcPr>
            <w:tcW w:w="1163" w:type="pct"/>
            <w:vAlign w:val="center"/>
          </w:tcPr>
          <w:p w14:paraId="1F928C79">
            <w:pPr>
              <w:pStyle w:val="12"/>
              <w:jc w:val="center"/>
            </w:pPr>
            <w:r>
              <w:rPr>
                <w:rFonts w:hint="eastAsia"/>
              </w:rPr>
              <w:t>挂任市长助理</w:t>
            </w:r>
          </w:p>
        </w:tc>
        <w:tc>
          <w:tcPr>
            <w:tcW w:w="1550" w:type="pct"/>
            <w:vAlign w:val="center"/>
          </w:tcPr>
          <w:p w14:paraId="274AAD7D">
            <w:pPr>
              <w:pStyle w:val="12"/>
              <w:jc w:val="left"/>
            </w:pPr>
            <w:r>
              <w:rPr>
                <w:rFonts w:hint="eastAsia"/>
              </w:rPr>
              <w:t>1996年7月至1998年6月</w:t>
            </w:r>
          </w:p>
        </w:tc>
      </w:tr>
      <w:tr w14:paraId="72D429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18BDFF46">
            <w:pPr>
              <w:pStyle w:val="12"/>
              <w:jc w:val="center"/>
            </w:pPr>
            <w:r>
              <w:rPr>
                <w:rFonts w:hint="eastAsia"/>
              </w:rPr>
              <w:t>谭章明</w:t>
            </w:r>
          </w:p>
        </w:tc>
        <w:tc>
          <w:tcPr>
            <w:tcW w:w="1454" w:type="pct"/>
            <w:vAlign w:val="center"/>
          </w:tcPr>
          <w:p w14:paraId="2511DA72">
            <w:pPr>
              <w:pStyle w:val="12"/>
              <w:jc w:val="center"/>
            </w:pPr>
            <w:r>
              <w:rPr>
                <w:rFonts w:hint="eastAsia"/>
              </w:rPr>
              <w:t>广东南雄</w:t>
            </w:r>
          </w:p>
        </w:tc>
        <w:tc>
          <w:tcPr>
            <w:tcW w:w="1163" w:type="pct"/>
            <w:vAlign w:val="center"/>
          </w:tcPr>
          <w:p w14:paraId="3B7F2F3F">
            <w:pPr>
              <w:pStyle w:val="12"/>
              <w:jc w:val="center"/>
            </w:pPr>
            <w:r>
              <w:rPr>
                <w:rFonts w:hint="eastAsia"/>
              </w:rPr>
              <w:t>市长</w:t>
            </w:r>
          </w:p>
        </w:tc>
        <w:tc>
          <w:tcPr>
            <w:tcW w:w="1550" w:type="pct"/>
            <w:vAlign w:val="center"/>
          </w:tcPr>
          <w:p w14:paraId="588DB031">
            <w:pPr>
              <w:pStyle w:val="12"/>
              <w:jc w:val="left"/>
            </w:pPr>
            <w:r>
              <w:rPr>
                <w:rFonts w:hint="eastAsia"/>
              </w:rPr>
              <w:t>1997年4月至1997年12月</w:t>
            </w:r>
          </w:p>
        </w:tc>
      </w:tr>
      <w:tr w14:paraId="6249E6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63C8BEBD">
            <w:pPr>
              <w:pStyle w:val="12"/>
              <w:jc w:val="center"/>
            </w:pPr>
            <w:r>
              <w:rPr>
                <w:rFonts w:hint="eastAsia"/>
              </w:rPr>
              <w:t>黄社珍</w:t>
            </w:r>
          </w:p>
        </w:tc>
        <w:tc>
          <w:tcPr>
            <w:tcW w:w="1454" w:type="pct"/>
            <w:vAlign w:val="center"/>
          </w:tcPr>
          <w:p w14:paraId="55493BBD">
            <w:pPr>
              <w:pStyle w:val="12"/>
              <w:jc w:val="center"/>
            </w:pPr>
            <w:r>
              <w:rPr>
                <w:rFonts w:hint="eastAsia"/>
              </w:rPr>
              <w:t>广东翁源</w:t>
            </w:r>
          </w:p>
        </w:tc>
        <w:tc>
          <w:tcPr>
            <w:tcW w:w="1163" w:type="pct"/>
            <w:vAlign w:val="center"/>
          </w:tcPr>
          <w:p w14:paraId="526B834A">
            <w:pPr>
              <w:pStyle w:val="12"/>
              <w:jc w:val="center"/>
            </w:pPr>
            <w:r>
              <w:rPr>
                <w:rFonts w:hint="eastAsia"/>
              </w:rPr>
              <w:t>代市长</w:t>
            </w:r>
          </w:p>
        </w:tc>
        <w:tc>
          <w:tcPr>
            <w:tcW w:w="1550" w:type="pct"/>
            <w:vAlign w:val="center"/>
          </w:tcPr>
          <w:p w14:paraId="049DF420">
            <w:pPr>
              <w:pStyle w:val="12"/>
              <w:jc w:val="left"/>
            </w:pPr>
            <w:r>
              <w:rPr>
                <w:rFonts w:hint="eastAsia"/>
              </w:rPr>
              <w:t>1998年1月至1998年2月</w:t>
            </w:r>
          </w:p>
        </w:tc>
      </w:tr>
      <w:tr w14:paraId="1B6283F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Merge w:val="restart"/>
            <w:vAlign w:val="center"/>
          </w:tcPr>
          <w:p w14:paraId="0B2FD7C1">
            <w:pPr>
              <w:pStyle w:val="12"/>
              <w:jc w:val="center"/>
            </w:pPr>
            <w:r>
              <w:rPr>
                <w:rFonts w:hint="eastAsia"/>
              </w:rPr>
              <w:t>林楚欣</w:t>
            </w:r>
          </w:p>
        </w:tc>
        <w:tc>
          <w:tcPr>
            <w:tcW w:w="1454" w:type="pct"/>
            <w:vMerge w:val="restart"/>
            <w:vAlign w:val="center"/>
          </w:tcPr>
          <w:p w14:paraId="6AA02E6D">
            <w:pPr>
              <w:pStyle w:val="12"/>
              <w:jc w:val="center"/>
            </w:pPr>
            <w:r>
              <w:rPr>
                <w:rFonts w:hint="eastAsia"/>
              </w:rPr>
              <w:t>广东潮州</w:t>
            </w:r>
          </w:p>
        </w:tc>
        <w:tc>
          <w:tcPr>
            <w:tcW w:w="1163" w:type="pct"/>
            <w:vAlign w:val="center"/>
          </w:tcPr>
          <w:p w14:paraId="0F75FE1D">
            <w:pPr>
              <w:pStyle w:val="12"/>
              <w:jc w:val="center"/>
            </w:pPr>
            <w:r>
              <w:rPr>
                <w:rFonts w:hint="eastAsia"/>
              </w:rPr>
              <w:t>代市长</w:t>
            </w:r>
          </w:p>
        </w:tc>
        <w:tc>
          <w:tcPr>
            <w:tcW w:w="1550" w:type="pct"/>
            <w:vAlign w:val="center"/>
          </w:tcPr>
          <w:p w14:paraId="6E4281B6">
            <w:pPr>
              <w:pStyle w:val="12"/>
              <w:jc w:val="left"/>
            </w:pPr>
            <w:r>
              <w:rPr>
                <w:rFonts w:hint="eastAsia"/>
              </w:rPr>
              <w:t>2002年1月至2002年2月</w:t>
            </w:r>
          </w:p>
        </w:tc>
      </w:tr>
      <w:tr w14:paraId="150321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Merge w:val="continue"/>
            <w:vAlign w:val="center"/>
          </w:tcPr>
          <w:p w14:paraId="689ED3F0">
            <w:pPr>
              <w:pStyle w:val="12"/>
              <w:jc w:val="center"/>
            </w:pPr>
          </w:p>
        </w:tc>
        <w:tc>
          <w:tcPr>
            <w:tcW w:w="1454" w:type="pct"/>
            <w:vMerge w:val="continue"/>
            <w:vAlign w:val="center"/>
          </w:tcPr>
          <w:p w14:paraId="427BB5CE">
            <w:pPr>
              <w:pStyle w:val="12"/>
              <w:jc w:val="center"/>
            </w:pPr>
          </w:p>
        </w:tc>
        <w:tc>
          <w:tcPr>
            <w:tcW w:w="1163" w:type="pct"/>
            <w:vAlign w:val="center"/>
          </w:tcPr>
          <w:p w14:paraId="7B5E5938">
            <w:pPr>
              <w:pStyle w:val="12"/>
              <w:jc w:val="center"/>
            </w:pPr>
            <w:r>
              <w:rPr>
                <w:rFonts w:hint="eastAsia"/>
              </w:rPr>
              <w:t>市长</w:t>
            </w:r>
          </w:p>
        </w:tc>
        <w:tc>
          <w:tcPr>
            <w:tcW w:w="1550" w:type="pct"/>
            <w:vAlign w:val="center"/>
          </w:tcPr>
          <w:p w14:paraId="796FB2EC">
            <w:pPr>
              <w:pStyle w:val="12"/>
              <w:jc w:val="left"/>
            </w:pPr>
            <w:r>
              <w:rPr>
                <w:rFonts w:hint="eastAsia"/>
              </w:rPr>
              <w:t>2002年3月至2004年6月</w:t>
            </w:r>
          </w:p>
        </w:tc>
      </w:tr>
      <w:tr w14:paraId="0FDCF1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0FF7C689">
            <w:pPr>
              <w:pStyle w:val="12"/>
              <w:jc w:val="center"/>
            </w:pPr>
            <w:r>
              <w:rPr>
                <w:rFonts w:hint="eastAsia"/>
              </w:rPr>
              <w:t>刘发群</w:t>
            </w:r>
          </w:p>
        </w:tc>
        <w:tc>
          <w:tcPr>
            <w:tcW w:w="1454" w:type="pct"/>
            <w:vAlign w:val="center"/>
          </w:tcPr>
          <w:p w14:paraId="51B519B2">
            <w:pPr>
              <w:pStyle w:val="12"/>
              <w:jc w:val="center"/>
            </w:pPr>
            <w:r>
              <w:rPr>
                <w:rFonts w:hint="eastAsia"/>
              </w:rPr>
              <w:t>广东南雄</w:t>
            </w:r>
          </w:p>
        </w:tc>
        <w:tc>
          <w:tcPr>
            <w:tcW w:w="1163" w:type="pct"/>
            <w:vAlign w:val="center"/>
          </w:tcPr>
          <w:p w14:paraId="718BDDF2">
            <w:pPr>
              <w:pStyle w:val="12"/>
              <w:jc w:val="center"/>
            </w:pPr>
            <w:r>
              <w:rPr>
                <w:rFonts w:hint="eastAsia"/>
              </w:rPr>
              <w:t>副市长</w:t>
            </w:r>
          </w:p>
        </w:tc>
        <w:tc>
          <w:tcPr>
            <w:tcW w:w="1550" w:type="pct"/>
            <w:vAlign w:val="center"/>
          </w:tcPr>
          <w:p w14:paraId="773AF018">
            <w:pPr>
              <w:pStyle w:val="12"/>
              <w:jc w:val="left"/>
            </w:pPr>
            <w:r>
              <w:rPr>
                <w:rFonts w:hint="eastAsia"/>
              </w:rPr>
              <w:t>1998年3月至2003年3月</w:t>
            </w:r>
          </w:p>
        </w:tc>
      </w:tr>
      <w:tr w14:paraId="0EBB5B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2FE8F049">
            <w:pPr>
              <w:pStyle w:val="12"/>
              <w:jc w:val="center"/>
            </w:pPr>
            <w:r>
              <w:rPr>
                <w:rFonts w:hint="eastAsia"/>
              </w:rPr>
              <w:t>李卫忠</w:t>
            </w:r>
          </w:p>
        </w:tc>
        <w:tc>
          <w:tcPr>
            <w:tcW w:w="1454" w:type="pct"/>
            <w:vAlign w:val="center"/>
          </w:tcPr>
          <w:p w14:paraId="460F1B3F">
            <w:pPr>
              <w:pStyle w:val="12"/>
              <w:jc w:val="center"/>
            </w:pPr>
            <w:r>
              <w:rPr>
                <w:rFonts w:hint="eastAsia"/>
              </w:rPr>
              <w:t>广东南雄</w:t>
            </w:r>
          </w:p>
        </w:tc>
        <w:tc>
          <w:tcPr>
            <w:tcW w:w="1163" w:type="pct"/>
            <w:vAlign w:val="center"/>
          </w:tcPr>
          <w:p w14:paraId="0891F305">
            <w:pPr>
              <w:pStyle w:val="12"/>
              <w:jc w:val="center"/>
            </w:pPr>
            <w:r>
              <w:rPr>
                <w:rFonts w:hint="eastAsia"/>
              </w:rPr>
              <w:t>副市长</w:t>
            </w:r>
          </w:p>
        </w:tc>
        <w:tc>
          <w:tcPr>
            <w:tcW w:w="1550" w:type="pct"/>
            <w:vAlign w:val="center"/>
          </w:tcPr>
          <w:p w14:paraId="5414B592">
            <w:pPr>
              <w:pStyle w:val="12"/>
              <w:jc w:val="left"/>
            </w:pPr>
            <w:r>
              <w:rPr>
                <w:rFonts w:hint="eastAsia"/>
              </w:rPr>
              <w:t>1998年3月至2003年3月</w:t>
            </w:r>
          </w:p>
        </w:tc>
      </w:tr>
      <w:tr w14:paraId="44EC73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577DBF13">
            <w:pPr>
              <w:pStyle w:val="12"/>
              <w:jc w:val="center"/>
            </w:pPr>
            <w:r>
              <w:rPr>
                <w:rFonts w:hint="eastAsia"/>
              </w:rPr>
              <w:t>涂运发</w:t>
            </w:r>
          </w:p>
        </w:tc>
        <w:tc>
          <w:tcPr>
            <w:tcW w:w="1454" w:type="pct"/>
            <w:vAlign w:val="center"/>
          </w:tcPr>
          <w:p w14:paraId="2E15C31D">
            <w:pPr>
              <w:pStyle w:val="12"/>
              <w:jc w:val="center"/>
            </w:pPr>
            <w:r>
              <w:rPr>
                <w:rFonts w:hint="eastAsia"/>
              </w:rPr>
              <w:t>广东南雄</w:t>
            </w:r>
          </w:p>
        </w:tc>
        <w:tc>
          <w:tcPr>
            <w:tcW w:w="1163" w:type="pct"/>
            <w:vAlign w:val="center"/>
          </w:tcPr>
          <w:p w14:paraId="2B8D2B5A">
            <w:pPr>
              <w:pStyle w:val="12"/>
              <w:jc w:val="center"/>
            </w:pPr>
            <w:r>
              <w:rPr>
                <w:rFonts w:hint="eastAsia"/>
              </w:rPr>
              <w:t>副市长</w:t>
            </w:r>
          </w:p>
        </w:tc>
        <w:tc>
          <w:tcPr>
            <w:tcW w:w="1550" w:type="pct"/>
            <w:vAlign w:val="center"/>
          </w:tcPr>
          <w:p w14:paraId="52CA32CF">
            <w:pPr>
              <w:pStyle w:val="12"/>
              <w:jc w:val="left"/>
            </w:pPr>
            <w:r>
              <w:rPr>
                <w:rFonts w:hint="eastAsia"/>
              </w:rPr>
              <w:t>1998年3月至2003年3月</w:t>
            </w:r>
          </w:p>
        </w:tc>
      </w:tr>
      <w:tr w14:paraId="2E72F4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2629FCCB">
            <w:pPr>
              <w:pStyle w:val="12"/>
              <w:jc w:val="center"/>
            </w:pPr>
            <w:r>
              <w:rPr>
                <w:rFonts w:hint="eastAsia"/>
              </w:rPr>
              <w:t>李总路</w:t>
            </w:r>
          </w:p>
        </w:tc>
        <w:tc>
          <w:tcPr>
            <w:tcW w:w="1454" w:type="pct"/>
            <w:vAlign w:val="center"/>
          </w:tcPr>
          <w:p w14:paraId="0ADCDF08">
            <w:pPr>
              <w:pStyle w:val="12"/>
              <w:jc w:val="center"/>
            </w:pPr>
            <w:r>
              <w:rPr>
                <w:rFonts w:hint="eastAsia"/>
              </w:rPr>
              <w:t>广东南雄</w:t>
            </w:r>
          </w:p>
        </w:tc>
        <w:tc>
          <w:tcPr>
            <w:tcW w:w="1163" w:type="pct"/>
            <w:vAlign w:val="center"/>
          </w:tcPr>
          <w:p w14:paraId="055745AF">
            <w:pPr>
              <w:pStyle w:val="12"/>
              <w:jc w:val="center"/>
            </w:pPr>
            <w:r>
              <w:rPr>
                <w:rFonts w:hint="eastAsia"/>
              </w:rPr>
              <w:t>副市长</w:t>
            </w:r>
          </w:p>
        </w:tc>
        <w:tc>
          <w:tcPr>
            <w:tcW w:w="1550" w:type="pct"/>
            <w:vAlign w:val="center"/>
          </w:tcPr>
          <w:p w14:paraId="2ABC1052">
            <w:pPr>
              <w:pStyle w:val="12"/>
              <w:jc w:val="left"/>
            </w:pPr>
            <w:r>
              <w:rPr>
                <w:rFonts w:hint="eastAsia"/>
              </w:rPr>
              <w:t>1998年3月至2004年6月</w:t>
            </w:r>
          </w:p>
        </w:tc>
      </w:tr>
      <w:tr w14:paraId="2426DB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4B9D4288">
            <w:pPr>
              <w:pStyle w:val="12"/>
              <w:jc w:val="center"/>
            </w:pPr>
            <w:r>
              <w:rPr>
                <w:rFonts w:hint="eastAsia"/>
              </w:rPr>
              <w:t>巫育明</w:t>
            </w:r>
          </w:p>
        </w:tc>
        <w:tc>
          <w:tcPr>
            <w:tcW w:w="1454" w:type="pct"/>
            <w:vAlign w:val="center"/>
          </w:tcPr>
          <w:p w14:paraId="4B794AE6">
            <w:pPr>
              <w:pStyle w:val="12"/>
              <w:jc w:val="center"/>
            </w:pPr>
            <w:r>
              <w:rPr>
                <w:rFonts w:hint="eastAsia"/>
              </w:rPr>
              <w:t>广东南雄</w:t>
            </w:r>
          </w:p>
        </w:tc>
        <w:tc>
          <w:tcPr>
            <w:tcW w:w="1163" w:type="pct"/>
            <w:vAlign w:val="center"/>
          </w:tcPr>
          <w:p w14:paraId="7C03B4C6">
            <w:pPr>
              <w:pStyle w:val="12"/>
              <w:jc w:val="center"/>
            </w:pPr>
            <w:r>
              <w:rPr>
                <w:rFonts w:hint="eastAsia"/>
              </w:rPr>
              <w:t>副市长</w:t>
            </w:r>
          </w:p>
        </w:tc>
        <w:tc>
          <w:tcPr>
            <w:tcW w:w="1550" w:type="pct"/>
            <w:vAlign w:val="center"/>
          </w:tcPr>
          <w:p w14:paraId="27D26176">
            <w:pPr>
              <w:pStyle w:val="12"/>
              <w:jc w:val="left"/>
            </w:pPr>
            <w:r>
              <w:rPr>
                <w:rFonts w:hint="eastAsia"/>
              </w:rPr>
              <w:t>1998年3月至2003年3月</w:t>
            </w:r>
          </w:p>
        </w:tc>
      </w:tr>
      <w:tr w14:paraId="523514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410BC416">
            <w:pPr>
              <w:pStyle w:val="12"/>
              <w:jc w:val="center"/>
            </w:pPr>
            <w:r>
              <w:rPr>
                <w:rFonts w:hint="eastAsia"/>
              </w:rPr>
              <w:t>李穗方</w:t>
            </w:r>
          </w:p>
        </w:tc>
        <w:tc>
          <w:tcPr>
            <w:tcW w:w="1454" w:type="pct"/>
            <w:vAlign w:val="center"/>
          </w:tcPr>
          <w:p w14:paraId="171A6E04">
            <w:pPr>
              <w:pStyle w:val="12"/>
              <w:jc w:val="center"/>
            </w:pPr>
            <w:r>
              <w:rPr>
                <w:rFonts w:hint="eastAsia"/>
              </w:rPr>
              <w:t>广东广州</w:t>
            </w:r>
          </w:p>
        </w:tc>
        <w:tc>
          <w:tcPr>
            <w:tcW w:w="1163" w:type="pct"/>
            <w:vAlign w:val="center"/>
          </w:tcPr>
          <w:p w14:paraId="348F76AC">
            <w:pPr>
              <w:pStyle w:val="12"/>
              <w:jc w:val="center"/>
            </w:pPr>
            <w:r>
              <w:rPr>
                <w:rFonts w:hint="eastAsia"/>
              </w:rPr>
              <w:t>副市长</w:t>
            </w:r>
          </w:p>
        </w:tc>
        <w:tc>
          <w:tcPr>
            <w:tcW w:w="1550" w:type="pct"/>
            <w:vAlign w:val="center"/>
          </w:tcPr>
          <w:p w14:paraId="78D61784">
            <w:pPr>
              <w:pStyle w:val="12"/>
              <w:jc w:val="left"/>
            </w:pPr>
            <w:r>
              <w:rPr>
                <w:rFonts w:hint="eastAsia"/>
              </w:rPr>
              <w:t>1999年9月至2001年10月</w:t>
            </w:r>
          </w:p>
        </w:tc>
      </w:tr>
      <w:tr w14:paraId="799EE9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49459CB2">
            <w:pPr>
              <w:pStyle w:val="12"/>
              <w:jc w:val="center"/>
            </w:pPr>
            <w:r>
              <w:rPr>
                <w:rFonts w:hint="eastAsia"/>
              </w:rPr>
              <w:t>许红（女）</w:t>
            </w:r>
          </w:p>
        </w:tc>
        <w:tc>
          <w:tcPr>
            <w:tcW w:w="1454" w:type="pct"/>
            <w:vAlign w:val="center"/>
          </w:tcPr>
          <w:p w14:paraId="543CCC5D">
            <w:pPr>
              <w:pStyle w:val="12"/>
              <w:jc w:val="center"/>
            </w:pPr>
            <w:r>
              <w:rPr>
                <w:rFonts w:hint="eastAsia"/>
              </w:rPr>
              <w:t>广东河源</w:t>
            </w:r>
          </w:p>
        </w:tc>
        <w:tc>
          <w:tcPr>
            <w:tcW w:w="1163" w:type="pct"/>
            <w:vAlign w:val="center"/>
          </w:tcPr>
          <w:p w14:paraId="09184B1F">
            <w:pPr>
              <w:pStyle w:val="12"/>
              <w:jc w:val="center"/>
            </w:pPr>
            <w:r>
              <w:rPr>
                <w:rFonts w:hint="eastAsia"/>
              </w:rPr>
              <w:t>副市长</w:t>
            </w:r>
          </w:p>
        </w:tc>
        <w:tc>
          <w:tcPr>
            <w:tcW w:w="1550" w:type="pct"/>
            <w:vAlign w:val="center"/>
          </w:tcPr>
          <w:p w14:paraId="076C8744">
            <w:pPr>
              <w:pStyle w:val="12"/>
              <w:jc w:val="left"/>
            </w:pPr>
            <w:r>
              <w:rPr>
                <w:rFonts w:hint="eastAsia"/>
              </w:rPr>
              <w:t>2000年11月至2003年3月</w:t>
            </w:r>
          </w:p>
        </w:tc>
      </w:tr>
      <w:tr w14:paraId="6FDE03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1883F2B0">
            <w:pPr>
              <w:pStyle w:val="12"/>
              <w:jc w:val="center"/>
            </w:pPr>
            <w:r>
              <w:rPr>
                <w:rFonts w:hint="eastAsia"/>
              </w:rPr>
              <w:t>吴海岩</w:t>
            </w:r>
          </w:p>
        </w:tc>
        <w:tc>
          <w:tcPr>
            <w:tcW w:w="1454" w:type="pct"/>
            <w:vAlign w:val="center"/>
          </w:tcPr>
          <w:p w14:paraId="4412E4AE">
            <w:pPr>
              <w:pStyle w:val="12"/>
              <w:jc w:val="center"/>
            </w:pPr>
            <w:r>
              <w:rPr>
                <w:rFonts w:hint="eastAsia"/>
              </w:rPr>
              <w:t>广东韶关</w:t>
            </w:r>
          </w:p>
        </w:tc>
        <w:tc>
          <w:tcPr>
            <w:tcW w:w="1163" w:type="pct"/>
            <w:vAlign w:val="center"/>
          </w:tcPr>
          <w:p w14:paraId="5AD64075">
            <w:pPr>
              <w:pStyle w:val="12"/>
              <w:jc w:val="center"/>
            </w:pPr>
            <w:r>
              <w:rPr>
                <w:rFonts w:hint="eastAsia"/>
              </w:rPr>
              <w:t>挂任市长助理</w:t>
            </w:r>
          </w:p>
        </w:tc>
        <w:tc>
          <w:tcPr>
            <w:tcW w:w="1550" w:type="pct"/>
            <w:vAlign w:val="center"/>
          </w:tcPr>
          <w:p w14:paraId="2ADD4423">
            <w:pPr>
              <w:pStyle w:val="12"/>
              <w:jc w:val="left"/>
            </w:pPr>
            <w:r>
              <w:rPr>
                <w:rFonts w:hint="eastAsia"/>
              </w:rPr>
              <w:t>1999年6月至2001年6月</w:t>
            </w:r>
          </w:p>
        </w:tc>
      </w:tr>
      <w:tr w14:paraId="617995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02762FBC">
            <w:pPr>
              <w:pStyle w:val="12"/>
              <w:jc w:val="center"/>
            </w:pPr>
            <w:r>
              <w:rPr>
                <w:rFonts w:hint="eastAsia"/>
              </w:rPr>
              <w:t>刘发雄</w:t>
            </w:r>
          </w:p>
        </w:tc>
        <w:tc>
          <w:tcPr>
            <w:tcW w:w="1454" w:type="pct"/>
            <w:vAlign w:val="center"/>
          </w:tcPr>
          <w:p w14:paraId="0A2F817F">
            <w:pPr>
              <w:pStyle w:val="12"/>
              <w:jc w:val="center"/>
            </w:pPr>
            <w:r>
              <w:rPr>
                <w:rFonts w:hint="eastAsia"/>
              </w:rPr>
              <w:t>广东南雄</w:t>
            </w:r>
          </w:p>
        </w:tc>
        <w:tc>
          <w:tcPr>
            <w:tcW w:w="1163" w:type="pct"/>
            <w:vAlign w:val="center"/>
          </w:tcPr>
          <w:p w14:paraId="4947115E">
            <w:pPr>
              <w:pStyle w:val="12"/>
              <w:jc w:val="center"/>
            </w:pPr>
            <w:r>
              <w:rPr>
                <w:rFonts w:hint="eastAsia"/>
              </w:rPr>
              <w:t>副市长</w:t>
            </w:r>
          </w:p>
        </w:tc>
        <w:tc>
          <w:tcPr>
            <w:tcW w:w="1550" w:type="pct"/>
            <w:vAlign w:val="center"/>
          </w:tcPr>
          <w:p w14:paraId="3A9CED5B">
            <w:pPr>
              <w:pStyle w:val="12"/>
              <w:jc w:val="left"/>
            </w:pPr>
            <w:r>
              <w:rPr>
                <w:rFonts w:hint="eastAsia"/>
              </w:rPr>
              <w:t>2002年3月</w:t>
            </w:r>
          </w:p>
        </w:tc>
      </w:tr>
      <w:tr w14:paraId="4242B9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40BBDB8A">
            <w:pPr>
              <w:pStyle w:val="12"/>
              <w:jc w:val="center"/>
            </w:pPr>
            <w:r>
              <w:rPr>
                <w:rFonts w:hint="eastAsia"/>
              </w:rPr>
              <w:t>王荣光</w:t>
            </w:r>
          </w:p>
        </w:tc>
        <w:tc>
          <w:tcPr>
            <w:tcW w:w="1454" w:type="pct"/>
            <w:vAlign w:val="center"/>
          </w:tcPr>
          <w:p w14:paraId="005577D1">
            <w:pPr>
              <w:pStyle w:val="12"/>
              <w:jc w:val="center"/>
            </w:pPr>
            <w:r>
              <w:rPr>
                <w:rFonts w:hint="eastAsia"/>
              </w:rPr>
              <w:t>广东南雄</w:t>
            </w:r>
          </w:p>
        </w:tc>
        <w:tc>
          <w:tcPr>
            <w:tcW w:w="1163" w:type="pct"/>
            <w:vAlign w:val="center"/>
          </w:tcPr>
          <w:p w14:paraId="75C367D1">
            <w:pPr>
              <w:pStyle w:val="12"/>
              <w:jc w:val="center"/>
            </w:pPr>
            <w:r>
              <w:rPr>
                <w:rFonts w:hint="eastAsia"/>
              </w:rPr>
              <w:t>副市长</w:t>
            </w:r>
          </w:p>
        </w:tc>
        <w:tc>
          <w:tcPr>
            <w:tcW w:w="1550" w:type="pct"/>
            <w:vAlign w:val="center"/>
          </w:tcPr>
          <w:p w14:paraId="78EF0F62">
            <w:pPr>
              <w:pStyle w:val="12"/>
              <w:jc w:val="left"/>
            </w:pPr>
            <w:r>
              <w:rPr>
                <w:rFonts w:hint="eastAsia"/>
              </w:rPr>
              <w:t>2002年3月</w:t>
            </w:r>
          </w:p>
        </w:tc>
      </w:tr>
      <w:tr w14:paraId="318D8C3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6CEC3903">
            <w:pPr>
              <w:pStyle w:val="12"/>
              <w:jc w:val="center"/>
            </w:pPr>
            <w:r>
              <w:rPr>
                <w:rFonts w:hint="eastAsia"/>
              </w:rPr>
              <w:t>曾庆新</w:t>
            </w:r>
          </w:p>
        </w:tc>
        <w:tc>
          <w:tcPr>
            <w:tcW w:w="1454" w:type="pct"/>
            <w:vAlign w:val="center"/>
          </w:tcPr>
          <w:p w14:paraId="5DD98426">
            <w:pPr>
              <w:pStyle w:val="12"/>
              <w:jc w:val="center"/>
            </w:pPr>
            <w:r>
              <w:rPr>
                <w:rFonts w:hint="eastAsia"/>
              </w:rPr>
              <w:t>广东新丰</w:t>
            </w:r>
          </w:p>
        </w:tc>
        <w:tc>
          <w:tcPr>
            <w:tcW w:w="1163" w:type="pct"/>
            <w:vAlign w:val="center"/>
          </w:tcPr>
          <w:p w14:paraId="1D567682">
            <w:pPr>
              <w:pStyle w:val="12"/>
              <w:jc w:val="center"/>
            </w:pPr>
            <w:r>
              <w:rPr>
                <w:rFonts w:hint="eastAsia"/>
              </w:rPr>
              <w:t>副市长</w:t>
            </w:r>
          </w:p>
        </w:tc>
        <w:tc>
          <w:tcPr>
            <w:tcW w:w="1550" w:type="pct"/>
            <w:vAlign w:val="center"/>
          </w:tcPr>
          <w:p w14:paraId="3C7AEDC3">
            <w:pPr>
              <w:pStyle w:val="12"/>
              <w:jc w:val="left"/>
            </w:pPr>
            <w:r>
              <w:rPr>
                <w:rFonts w:hint="eastAsia"/>
              </w:rPr>
              <w:t>2003年1月至2003年12月</w:t>
            </w:r>
          </w:p>
        </w:tc>
      </w:tr>
      <w:tr w14:paraId="714316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0E055D22">
            <w:pPr>
              <w:pStyle w:val="12"/>
              <w:jc w:val="center"/>
            </w:pPr>
            <w:r>
              <w:rPr>
                <w:rFonts w:hint="eastAsia"/>
              </w:rPr>
              <w:t>曾风保</w:t>
            </w:r>
          </w:p>
        </w:tc>
        <w:tc>
          <w:tcPr>
            <w:tcW w:w="1454" w:type="pct"/>
            <w:vAlign w:val="center"/>
          </w:tcPr>
          <w:p w14:paraId="7DC3D9A1">
            <w:pPr>
              <w:pStyle w:val="12"/>
              <w:jc w:val="center"/>
            </w:pPr>
            <w:r>
              <w:rPr>
                <w:rFonts w:hint="eastAsia"/>
              </w:rPr>
              <w:t>江西宁都</w:t>
            </w:r>
          </w:p>
        </w:tc>
        <w:tc>
          <w:tcPr>
            <w:tcW w:w="1163" w:type="pct"/>
            <w:vAlign w:val="center"/>
          </w:tcPr>
          <w:p w14:paraId="00B22C27">
            <w:pPr>
              <w:pStyle w:val="12"/>
              <w:jc w:val="center"/>
            </w:pPr>
            <w:r>
              <w:rPr>
                <w:rFonts w:hint="eastAsia"/>
              </w:rPr>
              <w:t>副市长</w:t>
            </w:r>
          </w:p>
        </w:tc>
        <w:tc>
          <w:tcPr>
            <w:tcW w:w="1550" w:type="pct"/>
            <w:vAlign w:val="center"/>
          </w:tcPr>
          <w:p w14:paraId="6833D16C">
            <w:pPr>
              <w:pStyle w:val="12"/>
              <w:jc w:val="left"/>
            </w:pPr>
            <w:r>
              <w:rPr>
                <w:rFonts w:hint="eastAsia"/>
              </w:rPr>
              <w:t>2003年1月</w:t>
            </w:r>
          </w:p>
        </w:tc>
      </w:tr>
      <w:tr w14:paraId="6A06C7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687A89C0">
            <w:pPr>
              <w:pStyle w:val="12"/>
              <w:jc w:val="center"/>
            </w:pPr>
            <w:r>
              <w:rPr>
                <w:rFonts w:hint="eastAsia"/>
              </w:rPr>
              <w:t>陈玉英（女）</w:t>
            </w:r>
          </w:p>
        </w:tc>
        <w:tc>
          <w:tcPr>
            <w:tcW w:w="1454" w:type="pct"/>
            <w:vAlign w:val="center"/>
          </w:tcPr>
          <w:p w14:paraId="1AD9394F">
            <w:pPr>
              <w:pStyle w:val="12"/>
              <w:jc w:val="center"/>
            </w:pPr>
            <w:r>
              <w:rPr>
                <w:rFonts w:hint="eastAsia"/>
              </w:rPr>
              <w:t>广东南雄</w:t>
            </w:r>
          </w:p>
        </w:tc>
        <w:tc>
          <w:tcPr>
            <w:tcW w:w="1163" w:type="pct"/>
            <w:vAlign w:val="center"/>
          </w:tcPr>
          <w:p w14:paraId="2EAF427C">
            <w:pPr>
              <w:pStyle w:val="12"/>
              <w:jc w:val="center"/>
            </w:pPr>
            <w:r>
              <w:rPr>
                <w:rFonts w:hint="eastAsia"/>
              </w:rPr>
              <w:t>副市长</w:t>
            </w:r>
          </w:p>
        </w:tc>
        <w:tc>
          <w:tcPr>
            <w:tcW w:w="1550" w:type="pct"/>
            <w:vAlign w:val="center"/>
          </w:tcPr>
          <w:p w14:paraId="0C033C95">
            <w:pPr>
              <w:pStyle w:val="12"/>
              <w:jc w:val="left"/>
            </w:pPr>
            <w:r>
              <w:rPr>
                <w:rFonts w:hint="eastAsia"/>
              </w:rPr>
              <w:t>2002年3月</w:t>
            </w:r>
          </w:p>
        </w:tc>
      </w:tr>
    </w:tbl>
    <w:p w14:paraId="2C162007">
      <w:pPr>
        <w:pStyle w:val="4"/>
        <w:rPr>
          <w:rFonts w:ascii="宋体" w:hAnsi="宋体"/>
        </w:rPr>
      </w:pPr>
      <w:r>
        <w:rPr>
          <w:rFonts w:hint="eastAsia" w:ascii="宋体" w:hAnsi="宋体"/>
        </w:rPr>
        <w:t>第四节  乡镇人民政府</w:t>
      </w:r>
    </w:p>
    <w:p w14:paraId="2A5F4D19">
      <w:pPr>
        <w:ind w:firstLine="420"/>
        <w:rPr>
          <w:rFonts w:ascii="宋体" w:hAnsi="宋体"/>
          <w:szCs w:val="21"/>
        </w:rPr>
      </w:pPr>
      <w:r>
        <w:rPr>
          <w:rFonts w:hint="eastAsia" w:ascii="宋体" w:hAnsi="宋体"/>
          <w:szCs w:val="21"/>
        </w:rPr>
        <w:t>土地改革时期，全县为</w:t>
      </w:r>
      <w:r>
        <w:rPr>
          <w:rFonts w:ascii="宋体" w:hAnsi="宋体"/>
          <w:szCs w:val="21"/>
        </w:rPr>
        <w:t>8个区，124个乡。各区建立人民政府，乡农民协会代行</w:t>
      </w:r>
      <w:r>
        <w:rPr>
          <w:rFonts w:hint="eastAsia" w:ascii="宋体" w:hAnsi="宋体"/>
          <w:szCs w:val="21"/>
        </w:rPr>
        <w:t>乡政府职权。</w:t>
      </w:r>
      <w:r>
        <w:rPr>
          <w:rFonts w:ascii="宋体" w:hAnsi="宋体"/>
          <w:szCs w:val="21"/>
        </w:rPr>
        <w:t>1956年撤区并乡，全县为19个乡，建立乡人民政府，每乡配备脱产干</w:t>
      </w:r>
      <w:r>
        <w:rPr>
          <w:rFonts w:hint="eastAsia" w:ascii="宋体" w:hAnsi="宋体"/>
          <w:szCs w:val="21"/>
        </w:rPr>
        <w:t>部</w:t>
      </w:r>
      <w:r>
        <w:rPr>
          <w:rFonts w:ascii="宋体" w:hAnsi="宋体"/>
          <w:szCs w:val="21"/>
        </w:rPr>
        <w:t>15人左右，设乡长1人，副乡长2人，财粮干事、民政干事、文教干事、卫生干</w:t>
      </w:r>
      <w:r>
        <w:rPr>
          <w:rFonts w:hint="eastAsia" w:ascii="宋体" w:hAnsi="宋体"/>
          <w:szCs w:val="21"/>
        </w:rPr>
        <w:t>事、工商干事、公安干事、合作干事、武装干事各</w:t>
      </w:r>
      <w:r>
        <w:rPr>
          <w:rFonts w:ascii="宋体" w:hAnsi="宋体"/>
          <w:szCs w:val="21"/>
        </w:rPr>
        <w:t>1人，文书1人，统计1人，事务</w:t>
      </w:r>
      <w:r>
        <w:rPr>
          <w:rFonts w:hint="eastAsia" w:ascii="宋体" w:hAnsi="宋体"/>
          <w:szCs w:val="21"/>
        </w:rPr>
        <w:t>员</w:t>
      </w:r>
      <w:r>
        <w:rPr>
          <w:rFonts w:ascii="宋体" w:hAnsi="宋体"/>
          <w:szCs w:val="21"/>
        </w:rPr>
        <w:t>2人</w:t>
      </w:r>
      <w:r>
        <w:rPr>
          <w:rFonts w:hint="eastAsia" w:ascii="宋体" w:hAnsi="宋体"/>
          <w:szCs w:val="21"/>
        </w:rPr>
        <w:t>。</w:t>
      </w:r>
    </w:p>
    <w:p w14:paraId="5ACF8ECE">
      <w:pPr>
        <w:ind w:firstLine="420"/>
        <w:rPr>
          <w:rFonts w:ascii="宋体" w:hAnsi="宋体"/>
          <w:szCs w:val="21"/>
        </w:rPr>
      </w:pPr>
      <w:r>
        <w:rPr>
          <w:rFonts w:hint="eastAsia" w:ascii="宋体" w:hAnsi="宋体"/>
          <w:szCs w:val="21"/>
        </w:rPr>
        <w:t>人民公社时期，实行“政社合一”，人民公社社员代表大会为公社最高权力机关，选举产生人民公社管理委员会、监察委员会。管理委员会设社长</w:t>
      </w:r>
      <w:r>
        <w:rPr>
          <w:rFonts w:ascii="宋体" w:hAnsi="宋体"/>
          <w:szCs w:val="21"/>
        </w:rPr>
        <w:t>1人，副社长2</w:t>
      </w:r>
      <w:r>
        <w:rPr>
          <w:rFonts w:hint="eastAsia" w:ascii="宋体" w:hAnsi="宋体"/>
          <w:szCs w:val="21"/>
        </w:rPr>
        <w:t>人</w:t>
      </w:r>
      <w:r>
        <w:rPr>
          <w:rFonts w:ascii="宋体" w:hAnsi="宋体"/>
          <w:szCs w:val="21"/>
        </w:rPr>
        <w:t>～3人，下设办公室以及工交、财贸、文教卫生、生活福利、政法、民政、武装等</w:t>
      </w:r>
      <w:r>
        <w:rPr>
          <w:rFonts w:hint="eastAsia" w:ascii="宋体" w:hAnsi="宋体"/>
          <w:szCs w:val="21"/>
        </w:rPr>
        <w:t>工作机构。大队、生产队均成立管理委员会。大队干部不脱产，实行“三定”（定工出勤、定额补贴、定期评比），钱粮从生产队抽调。“文化大革命”时期，取消公社、大队、生产队的管理委员会，公社、大队成立革命委员会，生产队成立革命领导小组。</w:t>
      </w:r>
      <w:r>
        <w:rPr>
          <w:rFonts w:ascii="宋体" w:hAnsi="宋体"/>
          <w:szCs w:val="21"/>
        </w:rPr>
        <w:t>1980年取消革命委员会，恢复公社、大队、生产队的管理委员会。</w:t>
      </w:r>
    </w:p>
    <w:p w14:paraId="6D886C2A">
      <w:pPr>
        <w:ind w:firstLine="420"/>
        <w:rPr>
          <w:rFonts w:ascii="宋体" w:hAnsi="宋体"/>
          <w:szCs w:val="21"/>
        </w:rPr>
      </w:pPr>
      <w:r>
        <w:rPr>
          <w:rFonts w:ascii="宋体" w:hAnsi="宋体"/>
          <w:szCs w:val="21"/>
        </w:rPr>
        <w:t>1983年11月，实行政社分开，原23个公社改为23个区，设区公所，作为县人</w:t>
      </w:r>
      <w:r>
        <w:rPr>
          <w:rFonts w:hint="eastAsia" w:ascii="宋体" w:hAnsi="宋体"/>
          <w:szCs w:val="21"/>
        </w:rPr>
        <w:t>民政府派出机关，把原</w:t>
      </w:r>
      <w:r>
        <w:rPr>
          <w:rFonts w:ascii="宋体" w:hAnsi="宋体"/>
          <w:szCs w:val="21"/>
        </w:rPr>
        <w:t>208个大队调整为173个乡，建立乡人民政府，设乡长、副乡</w:t>
      </w:r>
      <w:r>
        <w:rPr>
          <w:rFonts w:hint="eastAsia" w:ascii="宋体" w:hAnsi="宋体"/>
          <w:szCs w:val="21"/>
        </w:rPr>
        <w:t>长，均不脱产。按自然村或原生产队建立村民委员会，作为基层群众性自治组织。乡干部薪酬基本上与原大队干部相同，由各自然村抽调或由区乡企业提取。雄州镇为区级镇，建立镇人民政府，原下属各大队改为管理区。</w:t>
      </w:r>
    </w:p>
    <w:p w14:paraId="4B7B8E66">
      <w:pPr>
        <w:ind w:firstLine="420"/>
        <w:rPr>
          <w:rFonts w:ascii="宋体" w:hAnsi="宋体"/>
          <w:szCs w:val="21"/>
        </w:rPr>
      </w:pPr>
      <w:r>
        <w:rPr>
          <w:rFonts w:ascii="宋体" w:hAnsi="宋体"/>
          <w:szCs w:val="21"/>
        </w:rPr>
        <w:t>1986年撤区建乡镇。把原23个区改为12个乡、11个镇，雄州镇按原建制不变。</w:t>
      </w:r>
      <w:r>
        <w:rPr>
          <w:rFonts w:hint="eastAsia" w:ascii="宋体" w:hAnsi="宋体"/>
          <w:szCs w:val="21"/>
        </w:rPr>
        <w:t>至此，全市</w:t>
      </w:r>
      <w:r>
        <w:rPr>
          <w:rFonts w:ascii="宋体" w:hAnsi="宋体"/>
          <w:szCs w:val="21"/>
        </w:rPr>
        <w:t>12个乡，12个镇。乡镇政府设乡、镇长1人，副乡镇长1人～3人，下</w:t>
      </w:r>
      <w:r>
        <w:rPr>
          <w:rFonts w:hint="eastAsia" w:ascii="宋体" w:hAnsi="宋体"/>
          <w:szCs w:val="21"/>
        </w:rPr>
        <w:t>设办公室以及民政、财粮、生产、计划生育、文教卫生、司法等助理员。原</w:t>
      </w:r>
      <w:r>
        <w:rPr>
          <w:rFonts w:ascii="宋体" w:hAnsi="宋体"/>
          <w:szCs w:val="21"/>
        </w:rPr>
        <w:t>173个乡</w:t>
      </w:r>
      <w:r>
        <w:rPr>
          <w:rFonts w:hint="eastAsia" w:ascii="宋体" w:hAnsi="宋体"/>
          <w:szCs w:val="21"/>
        </w:rPr>
        <w:t>调整为</w:t>
      </w:r>
      <w:r>
        <w:rPr>
          <w:rFonts w:ascii="宋体" w:hAnsi="宋体"/>
          <w:szCs w:val="21"/>
        </w:rPr>
        <w:t>211个村民委员会和17个圩镇居民委员会，村民（居民）委员会为群众性自</w:t>
      </w:r>
      <w:r>
        <w:rPr>
          <w:rFonts w:hint="eastAsia" w:ascii="宋体" w:hAnsi="宋体"/>
          <w:szCs w:val="21"/>
        </w:rPr>
        <w:t>治组织，设主任</w:t>
      </w:r>
      <w:r>
        <w:rPr>
          <w:rFonts w:ascii="宋体" w:hAnsi="宋体"/>
          <w:szCs w:val="21"/>
        </w:rPr>
        <w:t>1人，副主任2人～3人，下设人民调解委员会、治安保卫委员会、</w:t>
      </w:r>
      <w:r>
        <w:rPr>
          <w:rFonts w:hint="eastAsia" w:ascii="宋体" w:hAnsi="宋体"/>
          <w:szCs w:val="21"/>
        </w:rPr>
        <w:t>公共卫生委员会。自然村设村长</w:t>
      </w:r>
      <w:r>
        <w:rPr>
          <w:rFonts w:ascii="宋体" w:hAnsi="宋体"/>
          <w:szCs w:val="21"/>
        </w:rPr>
        <w:t>1人。均不脱产</w:t>
      </w:r>
      <w:r>
        <w:rPr>
          <w:rFonts w:hint="eastAsia" w:ascii="宋体" w:hAnsi="宋体"/>
          <w:szCs w:val="21"/>
        </w:rPr>
        <w:t>。</w:t>
      </w:r>
    </w:p>
    <w:p w14:paraId="10F73EF5">
      <w:pPr>
        <w:ind w:firstLine="420"/>
        <w:rPr>
          <w:rFonts w:ascii="宋体" w:hAnsi="宋体"/>
          <w:szCs w:val="21"/>
        </w:rPr>
      </w:pPr>
      <w:r>
        <w:rPr>
          <w:rFonts w:hint="eastAsia" w:ascii="宋体" w:hAnsi="宋体"/>
          <w:szCs w:val="21"/>
        </w:rPr>
        <w:t>为适应撤县设市要求，</w:t>
      </w:r>
      <w:r>
        <w:rPr>
          <w:rFonts w:ascii="宋体" w:hAnsi="宋体"/>
          <w:szCs w:val="21"/>
        </w:rPr>
        <w:t>1995年改12个乡为镇。2001年机构改革，撤并4个镇，</w:t>
      </w:r>
      <w:r>
        <w:rPr>
          <w:rFonts w:hint="eastAsia" w:ascii="宋体" w:hAnsi="宋体"/>
          <w:szCs w:val="21"/>
        </w:rPr>
        <w:t>全市为</w:t>
      </w:r>
      <w:r>
        <w:rPr>
          <w:rFonts w:ascii="宋体" w:hAnsi="宋体"/>
          <w:szCs w:val="21"/>
        </w:rPr>
        <w:t>20个镇。镇政府机构为：党政办公室、经济发展办公室、农业办公室、社会</w:t>
      </w:r>
      <w:r>
        <w:rPr>
          <w:rFonts w:hint="eastAsia" w:ascii="宋体" w:hAnsi="宋体"/>
          <w:szCs w:val="21"/>
        </w:rPr>
        <w:t>事务办公室、计划生育办公室。雄州镇加设规划建设办公室。各镇另设</w:t>
      </w:r>
      <w:r>
        <w:rPr>
          <w:rFonts w:ascii="宋体" w:hAnsi="宋体"/>
          <w:szCs w:val="21"/>
        </w:rPr>
        <w:t>6个事业单</w:t>
      </w:r>
      <w:r>
        <w:rPr>
          <w:rFonts w:hint="eastAsia" w:ascii="宋体" w:hAnsi="宋体"/>
          <w:szCs w:val="21"/>
        </w:rPr>
        <w:t>位：计划生育工作队、国土所、农技推广站、林业工作站、财政所、文化广播服务中心。</w:t>
      </w:r>
    </w:p>
    <w:p w14:paraId="0B65BF50">
      <w:pPr>
        <w:pStyle w:val="3"/>
        <w:rPr>
          <w:rFonts w:ascii="宋体" w:hAnsi="宋体"/>
        </w:rPr>
      </w:pPr>
      <w:r>
        <w:rPr>
          <w:rFonts w:hint="eastAsia" w:ascii="宋体" w:hAnsi="宋体"/>
        </w:rPr>
        <w:t>第四章  政协南雄市（县）委员会、民主党派</w:t>
      </w:r>
    </w:p>
    <w:p w14:paraId="1893CC85">
      <w:pPr>
        <w:ind w:firstLine="420"/>
        <w:rPr>
          <w:rFonts w:ascii="宋体" w:hAnsi="宋体"/>
          <w:szCs w:val="21"/>
        </w:rPr>
      </w:pPr>
      <w:r>
        <w:rPr>
          <w:rFonts w:hint="eastAsia" w:ascii="宋体" w:hAnsi="宋体"/>
          <w:szCs w:val="21"/>
        </w:rPr>
        <w:t>中国人民政治协商会议南雄县委员会于</w:t>
      </w:r>
      <w:r>
        <w:rPr>
          <w:rFonts w:ascii="宋体" w:hAnsi="宋体"/>
          <w:szCs w:val="21"/>
        </w:rPr>
        <w:t>1980年底建立。政协委员由有关政党团</w:t>
      </w:r>
      <w:r>
        <w:rPr>
          <w:rFonts w:hint="eastAsia" w:ascii="宋体" w:hAnsi="宋体"/>
          <w:szCs w:val="21"/>
        </w:rPr>
        <w:t>体推荐，民主协商产生，任期</w:t>
      </w:r>
      <w:r>
        <w:rPr>
          <w:rFonts w:ascii="宋体" w:hAnsi="宋体"/>
          <w:szCs w:val="21"/>
        </w:rPr>
        <w:t>3年。1993年起，每届任期5年。每年举行1次委员会</w:t>
      </w:r>
      <w:r>
        <w:rPr>
          <w:rFonts w:hint="eastAsia" w:ascii="宋体" w:hAnsi="宋体"/>
          <w:szCs w:val="21"/>
        </w:rPr>
        <w:t>议，均在市区（县城）召开。每次会议与会委员全体列席市（县）人民代表大会有关会议，听取和讨论《政府工作报告》、《社会经济发展计划报告》和《财政预决算报告》等。</w:t>
      </w:r>
    </w:p>
    <w:p w14:paraId="1462E1D8">
      <w:pPr>
        <w:pStyle w:val="4"/>
        <w:rPr>
          <w:rFonts w:ascii="宋体" w:hAnsi="宋体"/>
        </w:rPr>
      </w:pPr>
      <w:r>
        <w:rPr>
          <w:rFonts w:hint="eastAsia" w:ascii="宋体" w:hAnsi="宋体"/>
        </w:rPr>
        <w:t>第一节  历届政协委员会会议</w:t>
      </w:r>
    </w:p>
    <w:p w14:paraId="30B57521">
      <w:pPr>
        <w:pStyle w:val="5"/>
        <w:rPr>
          <w:rFonts w:ascii="宋体" w:hAnsi="宋体"/>
        </w:rPr>
      </w:pPr>
      <w:r>
        <w:rPr>
          <w:rFonts w:hint="eastAsia" w:ascii="宋体" w:hAnsi="宋体"/>
        </w:rPr>
        <w:t>一、第一届委员会</w:t>
      </w:r>
    </w:p>
    <w:p w14:paraId="299C8D37">
      <w:pPr>
        <w:ind w:firstLine="420"/>
        <w:rPr>
          <w:rFonts w:ascii="宋体" w:hAnsi="宋体"/>
          <w:szCs w:val="21"/>
        </w:rPr>
      </w:pPr>
      <w:r>
        <w:rPr>
          <w:rFonts w:hint="eastAsia" w:ascii="宋体" w:hAnsi="宋体"/>
          <w:szCs w:val="21"/>
        </w:rPr>
        <w:t>该届仅举行第一次会议。会议于</w:t>
      </w:r>
      <w:r>
        <w:rPr>
          <w:rFonts w:ascii="宋体" w:hAnsi="宋体"/>
          <w:szCs w:val="21"/>
        </w:rPr>
        <w:t>1980年11月15日至19日召开。参加会议的政</w:t>
      </w:r>
      <w:r>
        <w:rPr>
          <w:rFonts w:hint="eastAsia" w:ascii="宋体" w:hAnsi="宋体"/>
          <w:szCs w:val="21"/>
        </w:rPr>
        <w:t>协委员</w:t>
      </w:r>
      <w:r>
        <w:rPr>
          <w:rFonts w:ascii="宋体" w:hAnsi="宋体"/>
          <w:szCs w:val="21"/>
        </w:rPr>
        <w:t>80人，由14个界别代表人士组成：中国共产党8人，工会8人，农协2人，</w:t>
      </w:r>
      <w:r>
        <w:rPr>
          <w:rFonts w:hint="eastAsia" w:ascii="宋体" w:hAnsi="宋体"/>
          <w:szCs w:val="21"/>
        </w:rPr>
        <w:t>妇联</w:t>
      </w:r>
      <w:r>
        <w:rPr>
          <w:rFonts w:ascii="宋体" w:hAnsi="宋体"/>
          <w:szCs w:val="21"/>
        </w:rPr>
        <w:t>2人，共青团2人，工商界8人，文艺界4人，科技界9人，教育界15人，医</w:t>
      </w:r>
      <w:r>
        <w:rPr>
          <w:rFonts w:hint="eastAsia" w:ascii="宋体" w:hAnsi="宋体"/>
          <w:szCs w:val="21"/>
        </w:rPr>
        <w:t>卫界</w:t>
      </w:r>
      <w:r>
        <w:rPr>
          <w:rFonts w:ascii="宋体" w:hAnsi="宋体"/>
          <w:szCs w:val="21"/>
        </w:rPr>
        <w:t>9人，体育界1人，社会团体1人，归侨侨眷10人，宗教界1人。</w:t>
      </w:r>
    </w:p>
    <w:p w14:paraId="242D1F3D">
      <w:pPr>
        <w:ind w:firstLine="420"/>
        <w:rPr>
          <w:rFonts w:ascii="宋体" w:hAnsi="宋体"/>
          <w:szCs w:val="21"/>
        </w:rPr>
      </w:pPr>
      <w:r>
        <w:rPr>
          <w:rFonts w:hint="eastAsia" w:ascii="宋体" w:hAnsi="宋体"/>
          <w:szCs w:val="21"/>
        </w:rPr>
        <w:t>会议由郭隆钰作《县政协筹备工作情况和今后工作任务》报告，以举手表决方式选举产生第一届常务委员会，由</w:t>
      </w:r>
      <w:r>
        <w:rPr>
          <w:rFonts w:ascii="宋体" w:hAnsi="宋体"/>
          <w:szCs w:val="21"/>
        </w:rPr>
        <w:t>19名委员组成，主席：赖济标；副主席：叶树林、</w:t>
      </w:r>
      <w:r>
        <w:rPr>
          <w:rFonts w:hint="eastAsia" w:ascii="宋体" w:hAnsi="宋体"/>
          <w:szCs w:val="21"/>
        </w:rPr>
        <w:t>赵国兰、郭隆钰、陈少垣、邓志忠；常务委员</w:t>
      </w:r>
      <w:r>
        <w:rPr>
          <w:rFonts w:ascii="宋体" w:hAnsi="宋体"/>
          <w:szCs w:val="21"/>
        </w:rPr>
        <w:t>13名。</w:t>
      </w:r>
    </w:p>
    <w:p w14:paraId="2C6CE295">
      <w:pPr>
        <w:pStyle w:val="5"/>
        <w:rPr>
          <w:rFonts w:ascii="宋体" w:hAnsi="宋体"/>
        </w:rPr>
      </w:pPr>
      <w:r>
        <w:rPr>
          <w:rFonts w:hint="eastAsia" w:ascii="宋体" w:hAnsi="宋体"/>
        </w:rPr>
        <w:t>二、第二届委员会</w:t>
      </w:r>
    </w:p>
    <w:p w14:paraId="4175A14A">
      <w:pPr>
        <w:ind w:firstLine="420"/>
        <w:rPr>
          <w:rFonts w:ascii="宋体" w:hAnsi="宋体"/>
          <w:szCs w:val="21"/>
        </w:rPr>
      </w:pPr>
      <w:r>
        <w:rPr>
          <w:rFonts w:hint="eastAsia" w:ascii="宋体" w:hAnsi="宋体"/>
          <w:szCs w:val="21"/>
        </w:rPr>
        <w:t>第一次会议于</w:t>
      </w:r>
      <w:r>
        <w:rPr>
          <w:rFonts w:ascii="宋体" w:hAnsi="宋体"/>
          <w:szCs w:val="21"/>
        </w:rPr>
        <w:t>1984年6月24日至30日召开。参加会议的政协委员99人，由17</w:t>
      </w:r>
      <w:r>
        <w:rPr>
          <w:rFonts w:hint="eastAsia" w:ascii="宋体" w:hAnsi="宋体"/>
          <w:szCs w:val="21"/>
        </w:rPr>
        <w:t>个界别代表人士组成：中国共产党</w:t>
      </w:r>
      <w:r>
        <w:rPr>
          <w:rFonts w:ascii="宋体" w:hAnsi="宋体"/>
          <w:szCs w:val="21"/>
        </w:rPr>
        <w:t>6人，群众团体（含工、青、妇、农）12人，科</w:t>
      </w:r>
      <w:r>
        <w:rPr>
          <w:rFonts w:hint="eastAsia" w:ascii="宋体" w:hAnsi="宋体"/>
          <w:szCs w:val="21"/>
        </w:rPr>
        <w:t>技界</w:t>
      </w:r>
      <w:r>
        <w:rPr>
          <w:rFonts w:ascii="宋体" w:hAnsi="宋体"/>
          <w:szCs w:val="21"/>
        </w:rPr>
        <w:t>21人，社会科学界3人，医疗卫生界9人，教育界14人，体育界1人，文学艺</w:t>
      </w:r>
      <w:r>
        <w:rPr>
          <w:rFonts w:hint="eastAsia" w:ascii="宋体" w:hAnsi="宋体"/>
          <w:szCs w:val="21"/>
        </w:rPr>
        <w:t>术界</w:t>
      </w:r>
      <w:r>
        <w:rPr>
          <w:rFonts w:ascii="宋体" w:hAnsi="宋体"/>
          <w:szCs w:val="21"/>
        </w:rPr>
        <w:t>6人，侨眷3人，台胞台属6人，港澳同胞6人，宗教界2人，工商界8人，特</w:t>
      </w:r>
      <w:r>
        <w:rPr>
          <w:rFonts w:hint="eastAsia" w:ascii="宋体" w:hAnsi="宋体"/>
          <w:szCs w:val="21"/>
        </w:rPr>
        <w:t>邀</w:t>
      </w:r>
      <w:r>
        <w:rPr>
          <w:rFonts w:ascii="宋体" w:hAnsi="宋体"/>
          <w:szCs w:val="21"/>
        </w:rPr>
        <w:t>4人</w:t>
      </w:r>
      <w:r>
        <w:rPr>
          <w:rFonts w:hint="eastAsia" w:ascii="宋体" w:hAnsi="宋体"/>
          <w:szCs w:val="21"/>
        </w:rPr>
        <w:t>。</w:t>
      </w:r>
    </w:p>
    <w:p w14:paraId="5AE4FBA1">
      <w:pPr>
        <w:ind w:firstLine="420"/>
        <w:rPr>
          <w:rFonts w:ascii="宋体" w:hAnsi="宋体"/>
          <w:szCs w:val="21"/>
        </w:rPr>
      </w:pPr>
      <w:r>
        <w:rPr>
          <w:rFonts w:hint="eastAsia" w:ascii="宋体" w:hAnsi="宋体"/>
          <w:szCs w:val="21"/>
        </w:rPr>
        <w:t>郭隆钰作政协一届常委会工作报告。以举手表决方式选举产生第二届常务委员会，由</w:t>
      </w:r>
      <w:r>
        <w:rPr>
          <w:rFonts w:ascii="宋体" w:hAnsi="宋体"/>
          <w:szCs w:val="21"/>
        </w:rPr>
        <w:t>23名委员组成。主席：黄铁坚；副主席：陈泽维、谢学俊、郭隆钰、邓志忠、</w:t>
      </w:r>
      <w:r>
        <w:rPr>
          <w:rFonts w:hint="eastAsia" w:ascii="宋体" w:hAnsi="宋体"/>
          <w:szCs w:val="21"/>
        </w:rPr>
        <w:t>张毓英（女）、张文渝、叶才栋、卢月根；常务委员</w:t>
      </w:r>
      <w:r>
        <w:rPr>
          <w:rFonts w:ascii="宋体" w:hAnsi="宋体"/>
          <w:szCs w:val="21"/>
        </w:rPr>
        <w:t>14名。</w:t>
      </w:r>
    </w:p>
    <w:p w14:paraId="4F5F7729">
      <w:pPr>
        <w:ind w:firstLine="420"/>
        <w:rPr>
          <w:rFonts w:ascii="宋体" w:hAnsi="宋体"/>
          <w:szCs w:val="21"/>
        </w:rPr>
      </w:pPr>
      <w:r>
        <w:rPr>
          <w:rFonts w:hint="eastAsia" w:ascii="宋体" w:hAnsi="宋体"/>
          <w:szCs w:val="21"/>
        </w:rPr>
        <w:t>第二次会议于</w:t>
      </w:r>
      <w:r>
        <w:rPr>
          <w:rFonts w:ascii="宋体" w:hAnsi="宋体"/>
          <w:szCs w:val="21"/>
        </w:rPr>
        <w:t>1985年3月31日至4月4日召开。黄铁坚作政协工作报告，13位</w:t>
      </w:r>
      <w:r>
        <w:rPr>
          <w:rFonts w:hint="eastAsia" w:ascii="宋体" w:hAnsi="宋体"/>
          <w:szCs w:val="21"/>
        </w:rPr>
        <w:t>委员在大会上发言。</w:t>
      </w:r>
    </w:p>
    <w:p w14:paraId="022B091E">
      <w:pPr>
        <w:ind w:firstLine="420"/>
        <w:rPr>
          <w:rFonts w:ascii="宋体" w:hAnsi="宋体"/>
          <w:szCs w:val="21"/>
        </w:rPr>
      </w:pPr>
      <w:r>
        <w:rPr>
          <w:rFonts w:hint="eastAsia" w:ascii="宋体" w:hAnsi="宋体"/>
          <w:szCs w:val="21"/>
        </w:rPr>
        <w:t>第三次会议于</w:t>
      </w:r>
      <w:r>
        <w:rPr>
          <w:rFonts w:ascii="宋体" w:hAnsi="宋体"/>
          <w:szCs w:val="21"/>
        </w:rPr>
        <w:t>1986年4月28日至5月3日召开。黄铁坚作政协工作报告，陈泽</w:t>
      </w:r>
      <w:r>
        <w:rPr>
          <w:rFonts w:hint="eastAsia" w:ascii="宋体" w:hAnsi="宋体"/>
          <w:szCs w:val="21"/>
        </w:rPr>
        <w:t>维作落实统战政策情况报告。会议向政府提出</w:t>
      </w:r>
      <w:r>
        <w:rPr>
          <w:rFonts w:ascii="宋体" w:hAnsi="宋体"/>
          <w:szCs w:val="21"/>
        </w:rPr>
        <w:t>14项提案和建议。</w:t>
      </w:r>
    </w:p>
    <w:p w14:paraId="4B9D3418">
      <w:pPr>
        <w:pStyle w:val="5"/>
        <w:rPr>
          <w:rFonts w:ascii="宋体" w:hAnsi="宋体"/>
        </w:rPr>
      </w:pPr>
      <w:r>
        <w:rPr>
          <w:rFonts w:hint="eastAsia" w:ascii="宋体" w:hAnsi="宋体"/>
        </w:rPr>
        <w:t>三、第三届委员会</w:t>
      </w:r>
    </w:p>
    <w:p w14:paraId="375872A2">
      <w:pPr>
        <w:ind w:firstLine="420"/>
        <w:rPr>
          <w:rFonts w:ascii="宋体" w:hAnsi="宋体"/>
          <w:szCs w:val="21"/>
        </w:rPr>
      </w:pPr>
      <w:r>
        <w:rPr>
          <w:rFonts w:hint="eastAsia" w:ascii="宋体" w:hAnsi="宋体"/>
          <w:szCs w:val="21"/>
        </w:rPr>
        <w:t>第一次会议于</w:t>
      </w:r>
      <w:r>
        <w:rPr>
          <w:rFonts w:ascii="宋体" w:hAnsi="宋体"/>
          <w:szCs w:val="21"/>
        </w:rPr>
        <w:t>1987年3月16日至21日召开。参加会议的政协委员110名，由17个界别代表人</w:t>
      </w:r>
      <w:r>
        <w:rPr>
          <w:rFonts w:hint="eastAsia" w:ascii="宋体" w:hAnsi="宋体"/>
          <w:szCs w:val="21"/>
        </w:rPr>
        <w:t>士</w:t>
      </w:r>
      <w:r>
        <w:rPr>
          <w:rFonts w:ascii="宋体" w:hAnsi="宋体"/>
          <w:szCs w:val="21"/>
        </w:rPr>
        <w:t>组成：中国共产党4人，工会4人，共青团1人，妇联1人，农林11人，体育界2人，科技界13人，社会科学界4人，医药卫生界7人，文化艺术界5人，归侨侨眷6人，台胞台属9人，宗教界3人，工商界15人，政法界8人，教育</w:t>
      </w:r>
      <w:r>
        <w:rPr>
          <w:rFonts w:hint="eastAsia" w:ascii="宋体" w:hAnsi="宋体"/>
          <w:szCs w:val="21"/>
        </w:rPr>
        <w:t>界</w:t>
      </w:r>
      <w:r>
        <w:rPr>
          <w:rFonts w:ascii="宋体" w:hAnsi="宋体"/>
          <w:szCs w:val="21"/>
        </w:rPr>
        <w:t>14人，起义人员2人</w:t>
      </w:r>
      <w:r>
        <w:rPr>
          <w:rFonts w:hint="eastAsia" w:ascii="宋体" w:hAnsi="宋体"/>
          <w:szCs w:val="21"/>
        </w:rPr>
        <w:t>。</w:t>
      </w:r>
    </w:p>
    <w:p w14:paraId="1CB45D35">
      <w:pPr>
        <w:ind w:firstLine="420"/>
        <w:rPr>
          <w:rFonts w:ascii="宋体" w:hAnsi="宋体"/>
          <w:szCs w:val="21"/>
        </w:rPr>
      </w:pPr>
      <w:r>
        <w:rPr>
          <w:rFonts w:hint="eastAsia" w:ascii="宋体" w:hAnsi="宋体"/>
          <w:szCs w:val="21"/>
        </w:rPr>
        <w:t>会议由黄铁坚作工作报告。以举手表决方式选举产生第三届常务委员会，由</w:t>
      </w:r>
      <w:r>
        <w:rPr>
          <w:rFonts w:ascii="宋体" w:hAnsi="宋体"/>
          <w:szCs w:val="21"/>
        </w:rPr>
        <w:t>21</w:t>
      </w:r>
      <w:r>
        <w:rPr>
          <w:rFonts w:hint="eastAsia" w:ascii="宋体" w:hAnsi="宋体"/>
          <w:szCs w:val="21"/>
        </w:rPr>
        <w:t>位委员组成，主席黄铁坚，副主席赖绍怀、张毓英、叶才栋、张文渝、卢月根、黄浩烈，常务委员</w:t>
      </w:r>
      <w:r>
        <w:rPr>
          <w:rFonts w:ascii="宋体" w:hAnsi="宋体"/>
          <w:szCs w:val="21"/>
        </w:rPr>
        <w:t>14名。会议向政府提出提案和建议64项。表彰先进政协委员29名</w:t>
      </w:r>
      <w:r>
        <w:rPr>
          <w:rFonts w:hint="eastAsia" w:ascii="宋体" w:hAnsi="宋体"/>
          <w:szCs w:val="21"/>
        </w:rPr>
        <w:t>。</w:t>
      </w:r>
    </w:p>
    <w:p w14:paraId="7E129C15">
      <w:pPr>
        <w:ind w:firstLine="420"/>
        <w:rPr>
          <w:rFonts w:ascii="宋体" w:hAnsi="宋体"/>
          <w:szCs w:val="21"/>
        </w:rPr>
      </w:pPr>
      <w:r>
        <w:rPr>
          <w:rFonts w:hint="eastAsia" w:ascii="宋体" w:hAnsi="宋体"/>
          <w:szCs w:val="21"/>
        </w:rPr>
        <w:t>第二次会议于</w:t>
      </w:r>
      <w:r>
        <w:rPr>
          <w:rFonts w:ascii="宋体" w:hAnsi="宋体"/>
          <w:szCs w:val="21"/>
        </w:rPr>
        <w:t>1988年4月3日至9日召开。会议由黄铁坚作政协常委会工作报</w:t>
      </w:r>
      <w:r>
        <w:rPr>
          <w:rFonts w:hint="eastAsia" w:ascii="宋体" w:hAnsi="宋体"/>
          <w:szCs w:val="21"/>
        </w:rPr>
        <w:t>告，叶才栋作提案办理情况报告，</w:t>
      </w:r>
      <w:r>
        <w:rPr>
          <w:rFonts w:ascii="宋体" w:hAnsi="宋体"/>
          <w:szCs w:val="21"/>
        </w:rPr>
        <w:t>20位政协委员在会上作了发言</w:t>
      </w:r>
      <w:r>
        <w:rPr>
          <w:rFonts w:hint="eastAsia" w:ascii="宋体" w:hAnsi="宋体"/>
          <w:szCs w:val="21"/>
        </w:rPr>
        <w:t>。</w:t>
      </w:r>
    </w:p>
    <w:p w14:paraId="078931F7">
      <w:pPr>
        <w:ind w:firstLine="420"/>
        <w:rPr>
          <w:rFonts w:ascii="宋体" w:hAnsi="宋体"/>
          <w:szCs w:val="21"/>
        </w:rPr>
      </w:pPr>
      <w:r>
        <w:rPr>
          <w:rFonts w:hint="eastAsia" w:ascii="宋体" w:hAnsi="宋体"/>
          <w:szCs w:val="21"/>
        </w:rPr>
        <w:t>第三次会议于</w:t>
      </w:r>
      <w:r>
        <w:rPr>
          <w:rFonts w:ascii="宋体" w:hAnsi="宋体"/>
          <w:szCs w:val="21"/>
        </w:rPr>
        <w:t>1989年3月28日至4月2日在县城召开。会议由黄铁坚作政协常</w:t>
      </w:r>
      <w:r>
        <w:rPr>
          <w:rFonts w:hint="eastAsia" w:ascii="宋体" w:hAnsi="宋体"/>
          <w:szCs w:val="21"/>
        </w:rPr>
        <w:t>委会工作报告，叶才栋作提案办理情况报告。</w:t>
      </w:r>
      <w:r>
        <w:rPr>
          <w:rFonts w:ascii="宋体" w:hAnsi="宋体"/>
          <w:szCs w:val="21"/>
        </w:rPr>
        <w:t>20位政协委员在会上作了发言，会议</w:t>
      </w:r>
      <w:r>
        <w:rPr>
          <w:rFonts w:hint="eastAsia" w:ascii="宋体" w:hAnsi="宋体"/>
          <w:szCs w:val="21"/>
        </w:rPr>
        <w:t>表彰了一批政协工作先进个人。</w:t>
      </w:r>
    </w:p>
    <w:p w14:paraId="6D2F35A8">
      <w:pPr>
        <w:pStyle w:val="5"/>
        <w:rPr>
          <w:rFonts w:ascii="宋体" w:hAnsi="宋体"/>
        </w:rPr>
      </w:pPr>
      <w:r>
        <w:rPr>
          <w:rFonts w:hint="eastAsia" w:ascii="宋体" w:hAnsi="宋体"/>
        </w:rPr>
        <w:t>四、第四届委员会</w:t>
      </w:r>
    </w:p>
    <w:p w14:paraId="72673631">
      <w:pPr>
        <w:ind w:firstLine="420"/>
        <w:rPr>
          <w:rFonts w:ascii="宋体" w:hAnsi="宋体"/>
          <w:szCs w:val="21"/>
        </w:rPr>
      </w:pPr>
      <w:r>
        <w:rPr>
          <w:rFonts w:hint="eastAsia" w:ascii="宋体" w:hAnsi="宋体"/>
          <w:szCs w:val="21"/>
        </w:rPr>
        <w:t>第一次会议于</w:t>
      </w:r>
      <w:r>
        <w:rPr>
          <w:rFonts w:ascii="宋体" w:hAnsi="宋体"/>
          <w:szCs w:val="21"/>
        </w:rPr>
        <w:t>1990年3月24日至30日召开。参加会议的政协委员146名，由19个界别代表人士组成：中国共产党8人，民革1人，民盟1人，工会5人，共青团1人，妇联1人，工商界27人，文艺界6人，科技界7人，社科界7人，农林界11</w:t>
      </w:r>
      <w:r>
        <w:rPr>
          <w:rFonts w:hint="eastAsia" w:ascii="宋体" w:hAnsi="宋体"/>
          <w:szCs w:val="21"/>
        </w:rPr>
        <w:t>人，教育界</w:t>
      </w:r>
      <w:r>
        <w:rPr>
          <w:rFonts w:ascii="宋体" w:hAnsi="宋体"/>
          <w:szCs w:val="21"/>
        </w:rPr>
        <w:t>12人，体育界2人，医卫界11人，少数民族5人，港澳同胞3人，归侨</w:t>
      </w:r>
      <w:r>
        <w:rPr>
          <w:rFonts w:hint="eastAsia" w:ascii="宋体" w:hAnsi="宋体"/>
          <w:szCs w:val="21"/>
        </w:rPr>
        <w:t>界</w:t>
      </w:r>
      <w:r>
        <w:rPr>
          <w:rFonts w:ascii="宋体" w:hAnsi="宋体"/>
          <w:szCs w:val="21"/>
        </w:rPr>
        <w:t>3人，宗教界3人，特邀38人</w:t>
      </w:r>
      <w:r>
        <w:rPr>
          <w:rFonts w:hint="eastAsia" w:ascii="宋体" w:hAnsi="宋体"/>
          <w:szCs w:val="21"/>
        </w:rPr>
        <w:t>。</w:t>
      </w:r>
    </w:p>
    <w:p w14:paraId="43C69713">
      <w:pPr>
        <w:ind w:firstLine="420"/>
        <w:rPr>
          <w:rFonts w:ascii="宋体" w:hAnsi="宋体"/>
          <w:szCs w:val="21"/>
        </w:rPr>
      </w:pPr>
      <w:r>
        <w:rPr>
          <w:rFonts w:hint="eastAsia" w:ascii="宋体" w:hAnsi="宋体"/>
          <w:szCs w:val="21"/>
        </w:rPr>
        <w:t>会议听取黄铁坚作政协常委会工作报告，叶才栋作提案办理情况报告。会议选举吴述超为主席，张毓英（女）、郭淑华（女）、张文渝、黄浩烈、叶才栋、卢月根为副主席，常务委员</w:t>
      </w:r>
      <w:r>
        <w:rPr>
          <w:rFonts w:ascii="宋体" w:hAnsi="宋体"/>
          <w:szCs w:val="21"/>
        </w:rPr>
        <w:t>30名</w:t>
      </w:r>
      <w:r>
        <w:rPr>
          <w:rFonts w:hint="eastAsia" w:ascii="宋体" w:hAnsi="宋体"/>
          <w:szCs w:val="21"/>
        </w:rPr>
        <w:t>。</w:t>
      </w:r>
    </w:p>
    <w:p w14:paraId="0A127C68">
      <w:pPr>
        <w:ind w:firstLine="420"/>
        <w:rPr>
          <w:rFonts w:ascii="宋体" w:hAnsi="宋体"/>
          <w:szCs w:val="21"/>
        </w:rPr>
      </w:pPr>
      <w:r>
        <w:rPr>
          <w:rFonts w:hint="eastAsia" w:ascii="宋体" w:hAnsi="宋体"/>
          <w:szCs w:val="21"/>
        </w:rPr>
        <w:t>第二次会议于</w:t>
      </w:r>
      <w:r>
        <w:rPr>
          <w:rFonts w:ascii="宋体" w:hAnsi="宋体"/>
          <w:szCs w:val="21"/>
        </w:rPr>
        <w:t>1991年3月31日至4月4日召开。会议听取吴述超作政协常委会</w:t>
      </w:r>
      <w:r>
        <w:rPr>
          <w:rFonts w:hint="eastAsia" w:ascii="宋体" w:hAnsi="宋体"/>
          <w:szCs w:val="21"/>
        </w:rPr>
        <w:t>工作报告，叶才栋作提案办理情况报告。会议增选了李青洪为县政协四届委员会常务委员、副主席，</w:t>
      </w:r>
      <w:r>
        <w:rPr>
          <w:rFonts w:ascii="宋体" w:hAnsi="宋体"/>
          <w:szCs w:val="21"/>
        </w:rPr>
        <w:t>14位委员在会议上作了发言。</w:t>
      </w:r>
    </w:p>
    <w:p w14:paraId="2EB3BA1D">
      <w:pPr>
        <w:ind w:firstLine="420"/>
        <w:rPr>
          <w:rFonts w:ascii="宋体" w:hAnsi="宋体"/>
          <w:szCs w:val="21"/>
        </w:rPr>
      </w:pPr>
      <w:r>
        <w:rPr>
          <w:rFonts w:hint="eastAsia" w:ascii="宋体" w:hAnsi="宋体"/>
          <w:szCs w:val="21"/>
        </w:rPr>
        <w:t>第三次会议于</w:t>
      </w:r>
      <w:r>
        <w:rPr>
          <w:rFonts w:ascii="宋体" w:hAnsi="宋体"/>
          <w:szCs w:val="21"/>
        </w:rPr>
        <w:t>1992年3月16日至21日召开。会议听取张毓英作政协常委会工</w:t>
      </w:r>
      <w:r>
        <w:rPr>
          <w:rFonts w:hint="eastAsia" w:ascii="宋体" w:hAnsi="宋体"/>
          <w:szCs w:val="21"/>
        </w:rPr>
        <w:t>作报告和叶才栋作提案办理情况报告，增选了朱祖忠为县政协四届委员会常务委员、副主席。</w:t>
      </w:r>
    </w:p>
    <w:p w14:paraId="6CDA5EDF">
      <w:pPr>
        <w:pStyle w:val="5"/>
        <w:rPr>
          <w:rFonts w:ascii="宋体" w:hAnsi="宋体"/>
        </w:rPr>
      </w:pPr>
      <w:r>
        <w:rPr>
          <w:rFonts w:hint="eastAsia" w:ascii="宋体" w:hAnsi="宋体"/>
        </w:rPr>
        <w:t>五、第五届委员会</w:t>
      </w:r>
    </w:p>
    <w:p w14:paraId="7E0E3C53">
      <w:pPr>
        <w:ind w:firstLine="420"/>
        <w:rPr>
          <w:rFonts w:ascii="宋体" w:hAnsi="宋体"/>
          <w:szCs w:val="21"/>
        </w:rPr>
      </w:pPr>
      <w:r>
        <w:rPr>
          <w:rFonts w:hint="eastAsia" w:ascii="宋体" w:hAnsi="宋体"/>
          <w:szCs w:val="21"/>
        </w:rPr>
        <w:t>第一次会议于</w:t>
      </w:r>
      <w:r>
        <w:rPr>
          <w:rFonts w:ascii="宋体" w:hAnsi="宋体"/>
          <w:szCs w:val="21"/>
        </w:rPr>
        <w:t>1993年2月26日至3月4日召开。参加会议的政协委员147名，</w:t>
      </w:r>
      <w:r>
        <w:rPr>
          <w:rFonts w:hint="eastAsia" w:ascii="宋体" w:hAnsi="宋体"/>
          <w:szCs w:val="21"/>
        </w:rPr>
        <w:t>由</w:t>
      </w:r>
      <w:r>
        <w:rPr>
          <w:rFonts w:ascii="宋体" w:hAnsi="宋体"/>
          <w:szCs w:val="21"/>
        </w:rPr>
        <w:t>24个界别代表人士组成：中国共产党7人，民革1人，民盟1人，无党派4人，</w:t>
      </w:r>
      <w:r>
        <w:rPr>
          <w:rFonts w:hint="eastAsia" w:ascii="宋体" w:hAnsi="宋体"/>
          <w:szCs w:val="21"/>
        </w:rPr>
        <w:t>共青团</w:t>
      </w:r>
      <w:r>
        <w:rPr>
          <w:rFonts w:ascii="宋体" w:hAnsi="宋体"/>
          <w:szCs w:val="21"/>
        </w:rPr>
        <w:t>1人，妇联1人，工会5人，工商界6人，科协2人，文艺界7人，科技界12</w:t>
      </w:r>
      <w:r>
        <w:rPr>
          <w:rFonts w:hint="eastAsia" w:ascii="宋体" w:hAnsi="宋体"/>
          <w:szCs w:val="21"/>
        </w:rPr>
        <w:t>人，社科界</w:t>
      </w:r>
      <w:r>
        <w:rPr>
          <w:rFonts w:ascii="宋体" w:hAnsi="宋体"/>
          <w:szCs w:val="21"/>
        </w:rPr>
        <w:t>1人，经济界25人，农林界15人，教育界13人，医卫界12人，社会团</w:t>
      </w:r>
      <w:r>
        <w:rPr>
          <w:rFonts w:hint="eastAsia" w:ascii="宋体" w:hAnsi="宋体"/>
          <w:szCs w:val="21"/>
        </w:rPr>
        <w:t>体</w:t>
      </w:r>
      <w:r>
        <w:rPr>
          <w:rFonts w:ascii="宋体" w:hAnsi="宋体"/>
          <w:szCs w:val="21"/>
        </w:rPr>
        <w:t>1人，少数民族4人，侨联6人，香港同胞3人，澳门同胞2人，宗教界4人，特</w:t>
      </w:r>
      <w:r>
        <w:rPr>
          <w:rFonts w:hint="eastAsia" w:ascii="宋体" w:hAnsi="宋体"/>
          <w:szCs w:val="21"/>
        </w:rPr>
        <w:t>邀</w:t>
      </w:r>
      <w:r>
        <w:rPr>
          <w:rFonts w:ascii="宋体" w:hAnsi="宋体"/>
          <w:szCs w:val="21"/>
        </w:rPr>
        <w:t>24人</w:t>
      </w:r>
      <w:r>
        <w:rPr>
          <w:rFonts w:hint="eastAsia" w:ascii="宋体" w:hAnsi="宋体"/>
          <w:szCs w:val="21"/>
        </w:rPr>
        <w:t>。</w:t>
      </w:r>
    </w:p>
    <w:p w14:paraId="6DEF860E">
      <w:pPr>
        <w:ind w:firstLine="420"/>
        <w:rPr>
          <w:rFonts w:ascii="宋体" w:hAnsi="宋体"/>
          <w:szCs w:val="21"/>
        </w:rPr>
      </w:pPr>
      <w:r>
        <w:rPr>
          <w:rFonts w:hint="eastAsia" w:ascii="宋体" w:hAnsi="宋体"/>
          <w:szCs w:val="21"/>
        </w:rPr>
        <w:t>会议听取朱祖忠作政协常委会工作报告，张文渝作提案办理情况报告。会议选举吴述超为政协主席，李仕仁、朱祖忠、张文渝、卢道平、梁维新、向耘为副主席，常务委员</w:t>
      </w:r>
      <w:r>
        <w:rPr>
          <w:rFonts w:ascii="宋体" w:hAnsi="宋体"/>
          <w:szCs w:val="21"/>
        </w:rPr>
        <w:t>22名。共有10名委员作了大会发言</w:t>
      </w:r>
      <w:r>
        <w:rPr>
          <w:rFonts w:hint="eastAsia" w:ascii="宋体" w:hAnsi="宋体"/>
          <w:szCs w:val="21"/>
        </w:rPr>
        <w:t>。</w:t>
      </w:r>
    </w:p>
    <w:p w14:paraId="702C46CB">
      <w:pPr>
        <w:ind w:firstLine="420"/>
        <w:rPr>
          <w:rFonts w:ascii="宋体" w:hAnsi="宋体"/>
          <w:szCs w:val="21"/>
        </w:rPr>
      </w:pPr>
      <w:r>
        <w:rPr>
          <w:rFonts w:hint="eastAsia" w:ascii="宋体" w:hAnsi="宋体"/>
          <w:szCs w:val="21"/>
        </w:rPr>
        <w:t>第二次会议于</w:t>
      </w:r>
      <w:r>
        <w:rPr>
          <w:rFonts w:ascii="宋体" w:hAnsi="宋体"/>
          <w:szCs w:val="21"/>
        </w:rPr>
        <w:t>1994年2月25日至3月1日召开。会议听取朱祖忠作政协常委会</w:t>
      </w:r>
      <w:r>
        <w:rPr>
          <w:rFonts w:hint="eastAsia" w:ascii="宋体" w:hAnsi="宋体"/>
          <w:szCs w:val="21"/>
        </w:rPr>
        <w:t>工作报告，张文渝作提案办理情况报告，增选了</w:t>
      </w:r>
      <w:r>
        <w:rPr>
          <w:rFonts w:ascii="宋体" w:hAnsi="宋体"/>
          <w:szCs w:val="21"/>
        </w:rPr>
        <w:t>1名常务委员。共有14名委员作了</w:t>
      </w:r>
      <w:r>
        <w:rPr>
          <w:rFonts w:hint="eastAsia" w:ascii="宋体" w:hAnsi="宋体"/>
          <w:szCs w:val="21"/>
        </w:rPr>
        <w:t>大会发言。</w:t>
      </w:r>
    </w:p>
    <w:p w14:paraId="3905F5B4">
      <w:pPr>
        <w:ind w:firstLine="420"/>
        <w:rPr>
          <w:rFonts w:ascii="宋体" w:hAnsi="宋体"/>
          <w:szCs w:val="21"/>
        </w:rPr>
      </w:pPr>
      <w:r>
        <w:rPr>
          <w:rFonts w:hint="eastAsia" w:ascii="宋体" w:hAnsi="宋体"/>
          <w:szCs w:val="21"/>
        </w:rPr>
        <w:t>第三次会议于</w:t>
      </w:r>
      <w:r>
        <w:rPr>
          <w:rFonts w:ascii="宋体" w:hAnsi="宋体"/>
          <w:szCs w:val="21"/>
        </w:rPr>
        <w:t>1995年3月27日至31日召开。会议听取吴述超作政协常委会工</w:t>
      </w:r>
      <w:r>
        <w:rPr>
          <w:rFonts w:hint="eastAsia" w:ascii="宋体" w:hAnsi="宋体"/>
          <w:szCs w:val="21"/>
        </w:rPr>
        <w:t>作报告，张文渝作提案办理情况报告，增选了</w:t>
      </w:r>
      <w:r>
        <w:rPr>
          <w:rFonts w:ascii="宋体" w:hAnsi="宋体"/>
          <w:szCs w:val="21"/>
        </w:rPr>
        <w:t>2名常务委员。共有12名委员作了大</w:t>
      </w:r>
      <w:r>
        <w:rPr>
          <w:rFonts w:hint="eastAsia" w:ascii="宋体" w:hAnsi="宋体"/>
          <w:szCs w:val="21"/>
        </w:rPr>
        <w:t>会发言。</w:t>
      </w:r>
    </w:p>
    <w:p w14:paraId="14949A53">
      <w:pPr>
        <w:ind w:firstLine="420"/>
        <w:rPr>
          <w:rFonts w:ascii="宋体" w:hAnsi="宋体"/>
          <w:szCs w:val="21"/>
        </w:rPr>
      </w:pPr>
      <w:r>
        <w:rPr>
          <w:rFonts w:hint="eastAsia" w:ascii="宋体" w:hAnsi="宋体"/>
          <w:szCs w:val="21"/>
        </w:rPr>
        <w:t>第四次会议于</w:t>
      </w:r>
      <w:r>
        <w:rPr>
          <w:rFonts w:ascii="宋体" w:hAnsi="宋体"/>
          <w:szCs w:val="21"/>
        </w:rPr>
        <w:t>1996年3月24日至28日召开。会议听取吴述超作常委会工作报</w:t>
      </w:r>
      <w:r>
        <w:rPr>
          <w:rFonts w:hint="eastAsia" w:ascii="宋体" w:hAnsi="宋体"/>
          <w:szCs w:val="21"/>
        </w:rPr>
        <w:t>告，张文渝作提案工作情况报告，补选了李世名为主席、钟道海为副主席。共有</w:t>
      </w:r>
      <w:r>
        <w:rPr>
          <w:rFonts w:ascii="宋体" w:hAnsi="宋体"/>
          <w:szCs w:val="21"/>
        </w:rPr>
        <w:t>11</w:t>
      </w:r>
      <w:r>
        <w:rPr>
          <w:rFonts w:hint="eastAsia" w:ascii="宋体" w:hAnsi="宋体"/>
          <w:szCs w:val="21"/>
        </w:rPr>
        <w:t>名委员作了大会发言。</w:t>
      </w:r>
    </w:p>
    <w:p w14:paraId="6347EB28">
      <w:pPr>
        <w:ind w:firstLine="420"/>
        <w:rPr>
          <w:rFonts w:ascii="宋体" w:hAnsi="宋体"/>
          <w:szCs w:val="21"/>
        </w:rPr>
      </w:pPr>
      <w:r>
        <w:rPr>
          <w:rFonts w:hint="eastAsia" w:ascii="宋体" w:hAnsi="宋体"/>
          <w:szCs w:val="21"/>
        </w:rPr>
        <w:t>第五次会议于</w:t>
      </w:r>
      <w:r>
        <w:rPr>
          <w:rFonts w:ascii="宋体" w:hAnsi="宋体"/>
          <w:szCs w:val="21"/>
        </w:rPr>
        <w:t>1997年3月29日至4月3日召开。会议听取和审议李世名作常委</w:t>
      </w:r>
      <w:r>
        <w:rPr>
          <w:rFonts w:hint="eastAsia" w:ascii="宋体" w:hAnsi="宋体"/>
          <w:szCs w:val="21"/>
        </w:rPr>
        <w:t>会工作报告和张文渝作提案工作情况报告，增选了</w:t>
      </w:r>
      <w:r>
        <w:rPr>
          <w:rFonts w:ascii="宋体" w:hAnsi="宋体"/>
          <w:szCs w:val="21"/>
        </w:rPr>
        <w:t>3名常务委员，表彰了12份优秀</w:t>
      </w:r>
      <w:r>
        <w:rPr>
          <w:rFonts w:hint="eastAsia" w:ascii="宋体" w:hAnsi="宋体"/>
          <w:szCs w:val="21"/>
        </w:rPr>
        <w:t>提案。有</w:t>
      </w:r>
      <w:r>
        <w:rPr>
          <w:rFonts w:ascii="宋体" w:hAnsi="宋体"/>
          <w:szCs w:val="21"/>
        </w:rPr>
        <w:t>9名委员作了大会发言</w:t>
      </w:r>
      <w:r>
        <w:rPr>
          <w:rFonts w:hint="eastAsia" w:ascii="宋体" w:hAnsi="宋体"/>
          <w:szCs w:val="21"/>
        </w:rPr>
        <w:t>。</w:t>
      </w:r>
    </w:p>
    <w:p w14:paraId="1B8BA6F8">
      <w:pPr>
        <w:pStyle w:val="5"/>
        <w:rPr>
          <w:rFonts w:ascii="宋体" w:hAnsi="宋体"/>
        </w:rPr>
      </w:pPr>
      <w:r>
        <w:rPr>
          <w:rFonts w:hint="eastAsia" w:ascii="宋体" w:hAnsi="宋体"/>
        </w:rPr>
        <w:t>六、第六届委员会</w:t>
      </w:r>
    </w:p>
    <w:p w14:paraId="5174B856">
      <w:pPr>
        <w:ind w:firstLine="420"/>
        <w:rPr>
          <w:rFonts w:ascii="宋体" w:hAnsi="宋体"/>
          <w:szCs w:val="21"/>
        </w:rPr>
      </w:pPr>
      <w:r>
        <w:rPr>
          <w:rFonts w:hint="eastAsia" w:ascii="宋体" w:hAnsi="宋体"/>
          <w:szCs w:val="21"/>
        </w:rPr>
        <w:t>第一次会议于</w:t>
      </w:r>
      <w:r>
        <w:rPr>
          <w:rFonts w:ascii="宋体" w:hAnsi="宋体"/>
          <w:szCs w:val="21"/>
        </w:rPr>
        <w:t>1998年3月13日至18日召开。参加会议的政协委员150人，由24个界别代表组成；中国共产党8人，民革2人，民盟4人，无党派3人，共青团1</w:t>
      </w:r>
      <w:r>
        <w:rPr>
          <w:rFonts w:hint="eastAsia" w:ascii="宋体" w:hAnsi="宋体"/>
          <w:szCs w:val="21"/>
        </w:rPr>
        <w:t>人，工会</w:t>
      </w:r>
      <w:r>
        <w:rPr>
          <w:rFonts w:ascii="宋体" w:hAnsi="宋体"/>
          <w:szCs w:val="21"/>
        </w:rPr>
        <w:t>4人，妇联1人，工商界14人，科协会1人，侨联3人，文艺界5人，科</w:t>
      </w:r>
      <w:r>
        <w:rPr>
          <w:rFonts w:hint="eastAsia" w:ascii="宋体" w:hAnsi="宋体"/>
          <w:szCs w:val="21"/>
        </w:rPr>
        <w:t>技界</w:t>
      </w:r>
      <w:r>
        <w:rPr>
          <w:rFonts w:ascii="宋体" w:hAnsi="宋体"/>
          <w:szCs w:val="21"/>
        </w:rPr>
        <w:t>5人，社科界7人，经济界25人，农业界9人，教育界12人，体育界1人，医</w:t>
      </w:r>
      <w:r>
        <w:rPr>
          <w:rFonts w:hint="eastAsia" w:ascii="宋体" w:hAnsi="宋体"/>
          <w:szCs w:val="21"/>
        </w:rPr>
        <w:t>卫界</w:t>
      </w:r>
      <w:r>
        <w:rPr>
          <w:rFonts w:ascii="宋体" w:hAnsi="宋体"/>
          <w:szCs w:val="21"/>
        </w:rPr>
        <w:t>10人，社会福利界1人，少数民族4人，宗教界5人，特邀香港人士3人，特</w:t>
      </w:r>
      <w:r>
        <w:rPr>
          <w:rFonts w:hint="eastAsia" w:ascii="宋体" w:hAnsi="宋体"/>
          <w:szCs w:val="21"/>
        </w:rPr>
        <w:t>邀澳门人士</w:t>
      </w:r>
      <w:r>
        <w:rPr>
          <w:rFonts w:ascii="宋体" w:hAnsi="宋体"/>
          <w:szCs w:val="21"/>
        </w:rPr>
        <w:t>2人，其他特邀人士20人。</w:t>
      </w:r>
    </w:p>
    <w:p w14:paraId="35513426">
      <w:pPr>
        <w:ind w:firstLine="420"/>
        <w:rPr>
          <w:rFonts w:ascii="宋体" w:hAnsi="宋体"/>
          <w:szCs w:val="21"/>
        </w:rPr>
      </w:pPr>
      <w:r>
        <w:rPr>
          <w:rFonts w:hint="eastAsia" w:ascii="宋体" w:hAnsi="宋体"/>
          <w:szCs w:val="21"/>
        </w:rPr>
        <w:t>会议听取和审议李世名作常委会工作报告和梁维新作提案办理情况报告。会议选举陈逢英（女）为主席，郭盛森、钟道海、梁维新、卢道平、赖华焜为副主席，常务委员</w:t>
      </w:r>
      <w:r>
        <w:rPr>
          <w:rFonts w:ascii="宋体" w:hAnsi="宋体"/>
          <w:szCs w:val="21"/>
        </w:rPr>
        <w:t>20名。会议收到提案127件，共有11位委员作了大会发言。</w:t>
      </w:r>
    </w:p>
    <w:p w14:paraId="102B503E">
      <w:pPr>
        <w:ind w:firstLine="420"/>
        <w:rPr>
          <w:rFonts w:ascii="宋体" w:hAnsi="宋体"/>
          <w:szCs w:val="21"/>
        </w:rPr>
      </w:pPr>
      <w:r>
        <w:rPr>
          <w:rFonts w:hint="eastAsia" w:ascii="宋体" w:hAnsi="宋体"/>
          <w:szCs w:val="21"/>
        </w:rPr>
        <w:t>第二次会议于</w:t>
      </w:r>
      <w:r>
        <w:rPr>
          <w:rFonts w:ascii="宋体" w:hAnsi="宋体"/>
          <w:szCs w:val="21"/>
        </w:rPr>
        <w:t>1999年1月16日至19日举行。会议听取审议通过陈逢英作的常</w:t>
      </w:r>
      <w:r>
        <w:rPr>
          <w:rFonts w:hint="eastAsia" w:ascii="宋体" w:hAnsi="宋体"/>
          <w:szCs w:val="21"/>
        </w:rPr>
        <w:t>委会工作报告和梁维新作的提案办理工作报告。会议期间，共有</w:t>
      </w:r>
      <w:r>
        <w:rPr>
          <w:rFonts w:ascii="宋体" w:hAnsi="宋体"/>
          <w:szCs w:val="21"/>
        </w:rPr>
        <w:t>9名委员围绕本市两</w:t>
      </w:r>
      <w:r>
        <w:rPr>
          <w:rFonts w:hint="eastAsia" w:ascii="宋体" w:hAnsi="宋体"/>
          <w:szCs w:val="21"/>
        </w:rPr>
        <w:t>个文明建设作了大会发言。会议共收到委员提案</w:t>
      </w:r>
      <w:r>
        <w:rPr>
          <w:rFonts w:ascii="宋体" w:hAnsi="宋体"/>
          <w:szCs w:val="21"/>
        </w:rPr>
        <w:t>108件，立案96件。大会补选了2</w:t>
      </w:r>
      <w:r>
        <w:rPr>
          <w:rFonts w:hint="eastAsia" w:ascii="宋体" w:hAnsi="宋体"/>
          <w:szCs w:val="21"/>
        </w:rPr>
        <w:t>名常务委员。</w:t>
      </w:r>
    </w:p>
    <w:p w14:paraId="206520BB">
      <w:pPr>
        <w:ind w:firstLine="420"/>
        <w:rPr>
          <w:rFonts w:ascii="宋体" w:hAnsi="宋体"/>
          <w:szCs w:val="21"/>
        </w:rPr>
      </w:pPr>
      <w:r>
        <w:rPr>
          <w:rFonts w:hint="eastAsia" w:ascii="宋体" w:hAnsi="宋体"/>
          <w:szCs w:val="21"/>
        </w:rPr>
        <w:t>第三次会议于</w:t>
      </w:r>
      <w:r>
        <w:rPr>
          <w:rFonts w:ascii="宋体" w:hAnsi="宋体"/>
          <w:szCs w:val="21"/>
        </w:rPr>
        <w:t>2000年2月24日至27日召开。会议听取审议通过了陈逢英主席、</w:t>
      </w:r>
      <w:r>
        <w:rPr>
          <w:rFonts w:hint="eastAsia" w:ascii="宋体" w:hAnsi="宋体"/>
          <w:szCs w:val="21"/>
        </w:rPr>
        <w:t>梁维新副主席分别作的常委会工作报告和提案工作报告。大会表彰奖励了市政协六届二次会议以来开展“五个一”活动的先进委员。会议收到提案</w:t>
      </w:r>
      <w:r>
        <w:rPr>
          <w:rFonts w:ascii="宋体" w:hAnsi="宋体"/>
          <w:szCs w:val="21"/>
        </w:rPr>
        <w:t>91件，立案办理66件</w:t>
      </w:r>
      <w:r>
        <w:rPr>
          <w:rFonts w:hint="eastAsia" w:ascii="宋体" w:hAnsi="宋体"/>
          <w:szCs w:val="21"/>
        </w:rPr>
        <w:t>；</w:t>
      </w:r>
      <w:r>
        <w:rPr>
          <w:rFonts w:ascii="宋体" w:hAnsi="宋体"/>
          <w:szCs w:val="21"/>
        </w:rPr>
        <w:t>共有</w:t>
      </w:r>
      <w:r>
        <w:rPr>
          <w:rFonts w:hint="eastAsia" w:ascii="宋体" w:hAnsi="宋体"/>
          <w:szCs w:val="21"/>
        </w:rPr>
        <w:t>6名委员作了大会发言。</w:t>
      </w:r>
    </w:p>
    <w:p w14:paraId="7063FBD2">
      <w:pPr>
        <w:ind w:firstLine="420"/>
        <w:rPr>
          <w:rFonts w:ascii="宋体" w:hAnsi="宋体" w:cs="宋体"/>
        </w:rPr>
      </w:pPr>
      <w:r>
        <w:rPr>
          <w:rFonts w:hint="eastAsia" w:ascii="宋体" w:hAnsi="宋体" w:cs="宋体"/>
        </w:rPr>
        <w:t>第四次会议于2001年3月2日至5日召开。会议听取审议通过了陈逢英作的常委会工作报告和郭盛森副主席作的提案工作报告；增选衷玉华、刘发雄、刘卫忠3位同志为六届市政协副主席，增选4名常务委员；表彰了2000年市政协六届三次会议以来开展“五个一”活动的28个先进事项和29名先进委员。有6名委员作了大会发言。会议期间，黎灿、雷有为、陶爱珍、郑柱成、王锦辉等港澳委员捐资、出资60多万元人民币支持本市教育事业和山地综合开发。</w:t>
      </w:r>
    </w:p>
    <w:p w14:paraId="4BBE148D">
      <w:pPr>
        <w:ind w:firstLine="420"/>
        <w:rPr>
          <w:rFonts w:ascii="宋体" w:hAnsi="宋体" w:cs="宋体"/>
        </w:rPr>
      </w:pPr>
      <w:r>
        <w:rPr>
          <w:rFonts w:hint="eastAsia" w:ascii="宋体" w:hAnsi="宋体" w:cs="宋体"/>
        </w:rPr>
        <w:t>第五次会议于2002年3月11日至14日召开。会议听取审议通过了陈逢英主席作的常委会工作报告和刘卫忠副主席作的提案工作报告，表彰了市政协2001年“五个一”活动中的34个优秀项目和41名委员（单位），增选了李冰同志为六届市政协常务委员、副主席。有5名委员作了大会发言。</w:t>
      </w:r>
    </w:p>
    <w:p w14:paraId="2C164750">
      <w:pPr>
        <w:pStyle w:val="5"/>
        <w:rPr>
          <w:rFonts w:ascii="宋体" w:hAnsi="宋体" w:cs="宋体"/>
        </w:rPr>
      </w:pPr>
      <w:r>
        <w:rPr>
          <w:rFonts w:hint="eastAsia" w:ascii="宋体" w:hAnsi="宋体" w:cs="宋体"/>
        </w:rPr>
        <w:t>七、第七届委员会</w:t>
      </w:r>
    </w:p>
    <w:p w14:paraId="0A75D366">
      <w:pPr>
        <w:ind w:firstLine="420"/>
        <w:rPr>
          <w:rFonts w:ascii="宋体" w:hAnsi="宋体" w:cs="宋体"/>
        </w:rPr>
      </w:pPr>
      <w:r>
        <w:rPr>
          <w:rFonts w:hint="eastAsia" w:ascii="宋体" w:hAnsi="宋体" w:cs="宋体"/>
        </w:rPr>
        <w:t>第一次会议于2003年3月9日至13日召开。与会委员157名，由22个界别代表组成：中国共产党7人，民革3人，民盟4人，无党派人士2人，共青团1人，工会1人，妇联1人，工商联16人，科协1人，侨联2人，文艺界5人，科技界7人，社科界3人，经济界22人，农业界16人，教育界14人，体育界1人，医卫界10人，社会福利界2人，少数民族3人，宗教界4人，特邀人士32人。</w:t>
      </w:r>
    </w:p>
    <w:p w14:paraId="4C55EA87">
      <w:pPr>
        <w:ind w:firstLine="420"/>
        <w:rPr>
          <w:rFonts w:ascii="宋体" w:hAnsi="宋体" w:cs="宋体"/>
        </w:rPr>
      </w:pPr>
      <w:r>
        <w:rPr>
          <w:rFonts w:hint="eastAsia" w:ascii="宋体" w:hAnsi="宋体" w:cs="宋体"/>
        </w:rPr>
        <w:t>会议听取审议通过了衷玉华作的六届市政协常委会工作报告、刘卫忠作的六届市政协提案工作情况报告。</w:t>
      </w:r>
    </w:p>
    <w:p w14:paraId="530F1C90">
      <w:pPr>
        <w:ind w:firstLine="420"/>
        <w:rPr>
          <w:rFonts w:ascii="宋体" w:hAnsi="宋体" w:cs="宋体"/>
        </w:rPr>
      </w:pPr>
      <w:r>
        <w:rPr>
          <w:rFonts w:hint="eastAsia" w:ascii="宋体" w:hAnsi="宋体" w:cs="宋体"/>
        </w:rPr>
        <w:t>会议选举产生市政协第七届常务委员会委员32名，曾昭佑为主席，钟道海、衷玉华、卢道平、赖华焜、刘卫忠为副主席。共有6名委员作了大会发言。收到提案92件。</w:t>
      </w:r>
    </w:p>
    <w:p w14:paraId="00AE7993">
      <w:pPr>
        <w:pStyle w:val="5"/>
        <w:rPr>
          <w:rFonts w:ascii="宋体" w:hAnsi="宋体" w:cs="宋体"/>
        </w:rPr>
      </w:pPr>
      <w:r>
        <w:rPr>
          <w:rFonts w:hint="eastAsia" w:ascii="宋体" w:hAnsi="宋体" w:cs="宋体"/>
        </w:rPr>
        <w:t>八、政协南雄市（县）委员会历届正、副主席任职情况</w:t>
      </w:r>
    </w:p>
    <w:p w14:paraId="6D5664E3">
      <w:pPr>
        <w:ind w:firstLine="0" w:firstLineChars="0"/>
        <w:jc w:val="center"/>
        <w:rPr>
          <w:rFonts w:ascii="宋体" w:hAnsi="宋体" w:cs="宋体"/>
          <w:b/>
          <w:bCs/>
        </w:rPr>
      </w:pPr>
      <w:r>
        <w:rPr>
          <w:rFonts w:hint="eastAsia" w:ascii="宋体" w:hAnsi="宋体" w:cs="宋体"/>
          <w:b/>
          <w:bCs/>
        </w:rPr>
        <w:t>南雄市（县）政协领导任职情况表</w:t>
      </w:r>
    </w:p>
    <w:p w14:paraId="645F2F38">
      <w:pPr>
        <w:ind w:firstLine="0" w:firstLineChars="0"/>
        <w:rPr>
          <w:rFonts w:ascii="宋体" w:hAnsi="宋体" w:cs="宋体"/>
          <w:b/>
          <w:bCs/>
        </w:rPr>
      </w:pPr>
      <w:r>
        <w:rPr>
          <w:rFonts w:hint="eastAsia" w:ascii="宋体" w:hAnsi="宋体" w:cs="宋体"/>
          <w:b/>
          <w:bCs/>
        </w:rPr>
        <w:t>表4-9</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2491"/>
        <w:gridCol w:w="1315"/>
        <w:gridCol w:w="3666"/>
      </w:tblGrid>
      <w:tr w14:paraId="39C686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09BE813">
            <w:pPr>
              <w:pStyle w:val="12"/>
              <w:jc w:val="center"/>
              <w:rPr>
                <w:b/>
              </w:rPr>
            </w:pPr>
            <w:r>
              <w:rPr>
                <w:rFonts w:hint="eastAsia"/>
                <w:b/>
              </w:rPr>
              <w:t>姓  名</w:t>
            </w:r>
          </w:p>
        </w:tc>
        <w:tc>
          <w:tcPr>
            <w:tcW w:w="1250" w:type="pct"/>
            <w:vAlign w:val="center"/>
          </w:tcPr>
          <w:p w14:paraId="6ABB90CB">
            <w:pPr>
              <w:pStyle w:val="12"/>
              <w:jc w:val="center"/>
              <w:rPr>
                <w:b/>
              </w:rPr>
            </w:pPr>
            <w:r>
              <w:rPr>
                <w:rFonts w:hint="eastAsia"/>
                <w:b/>
              </w:rPr>
              <w:t>籍  贯</w:t>
            </w:r>
          </w:p>
        </w:tc>
        <w:tc>
          <w:tcPr>
            <w:tcW w:w="660" w:type="pct"/>
            <w:vAlign w:val="center"/>
          </w:tcPr>
          <w:p w14:paraId="26CBFAEC">
            <w:pPr>
              <w:pStyle w:val="12"/>
              <w:jc w:val="center"/>
              <w:rPr>
                <w:b/>
              </w:rPr>
            </w:pPr>
            <w:r>
              <w:rPr>
                <w:rFonts w:hint="eastAsia"/>
                <w:b/>
              </w:rPr>
              <w:t>职  务</w:t>
            </w:r>
          </w:p>
        </w:tc>
        <w:tc>
          <w:tcPr>
            <w:tcW w:w="1840" w:type="pct"/>
            <w:vAlign w:val="center"/>
          </w:tcPr>
          <w:p w14:paraId="7C9777DD">
            <w:pPr>
              <w:pStyle w:val="12"/>
              <w:jc w:val="center"/>
              <w:rPr>
                <w:b/>
              </w:rPr>
            </w:pPr>
            <w:r>
              <w:rPr>
                <w:rFonts w:hint="eastAsia"/>
                <w:b/>
              </w:rPr>
              <w:t>任职时间</w:t>
            </w:r>
          </w:p>
        </w:tc>
      </w:tr>
      <w:tr w14:paraId="418998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0098FA6D">
            <w:pPr>
              <w:pStyle w:val="12"/>
              <w:jc w:val="center"/>
            </w:pPr>
            <w:r>
              <w:rPr>
                <w:rFonts w:hint="eastAsia"/>
              </w:rPr>
              <w:t>赖济标</w:t>
            </w:r>
          </w:p>
        </w:tc>
        <w:tc>
          <w:tcPr>
            <w:tcW w:w="1250" w:type="pct"/>
            <w:vAlign w:val="center"/>
          </w:tcPr>
          <w:p w14:paraId="65B26C1B">
            <w:pPr>
              <w:pStyle w:val="12"/>
              <w:jc w:val="center"/>
            </w:pPr>
            <w:r>
              <w:rPr>
                <w:rFonts w:hint="eastAsia"/>
              </w:rPr>
              <w:t>广东曲江</w:t>
            </w:r>
          </w:p>
        </w:tc>
        <w:tc>
          <w:tcPr>
            <w:tcW w:w="660" w:type="pct"/>
            <w:vAlign w:val="center"/>
          </w:tcPr>
          <w:p w14:paraId="67561BD3">
            <w:pPr>
              <w:pStyle w:val="12"/>
              <w:jc w:val="center"/>
            </w:pPr>
            <w:r>
              <w:rPr>
                <w:rFonts w:hint="eastAsia"/>
              </w:rPr>
              <w:t>主席</w:t>
            </w:r>
          </w:p>
        </w:tc>
        <w:tc>
          <w:tcPr>
            <w:tcW w:w="1840" w:type="pct"/>
            <w:vAlign w:val="center"/>
          </w:tcPr>
          <w:p w14:paraId="2EEC0653">
            <w:pPr>
              <w:pStyle w:val="12"/>
              <w:jc w:val="center"/>
            </w:pPr>
            <w:r>
              <w:rPr>
                <w:rFonts w:hint="eastAsia"/>
              </w:rPr>
              <w:t>1980年11月至1984年6月</w:t>
            </w:r>
          </w:p>
        </w:tc>
      </w:tr>
      <w:tr w14:paraId="5A44A9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AFD43C4">
            <w:pPr>
              <w:pStyle w:val="12"/>
              <w:jc w:val="center"/>
            </w:pPr>
            <w:r>
              <w:rPr>
                <w:rFonts w:hint="eastAsia"/>
              </w:rPr>
              <w:t>黄铁坚</w:t>
            </w:r>
          </w:p>
        </w:tc>
        <w:tc>
          <w:tcPr>
            <w:tcW w:w="1250" w:type="pct"/>
            <w:vAlign w:val="center"/>
          </w:tcPr>
          <w:p w14:paraId="3EFCE7FA">
            <w:pPr>
              <w:pStyle w:val="12"/>
              <w:jc w:val="center"/>
            </w:pPr>
            <w:r>
              <w:rPr>
                <w:rFonts w:hint="eastAsia"/>
              </w:rPr>
              <w:t>江西进贤</w:t>
            </w:r>
          </w:p>
        </w:tc>
        <w:tc>
          <w:tcPr>
            <w:tcW w:w="660" w:type="pct"/>
            <w:vAlign w:val="center"/>
          </w:tcPr>
          <w:p w14:paraId="41782ADD">
            <w:pPr>
              <w:pStyle w:val="12"/>
              <w:jc w:val="center"/>
            </w:pPr>
            <w:r>
              <w:rPr>
                <w:rFonts w:hint="eastAsia"/>
              </w:rPr>
              <w:t>主席</w:t>
            </w:r>
          </w:p>
        </w:tc>
        <w:tc>
          <w:tcPr>
            <w:tcW w:w="1840" w:type="pct"/>
            <w:vAlign w:val="center"/>
          </w:tcPr>
          <w:p w14:paraId="51EDD984">
            <w:pPr>
              <w:pStyle w:val="12"/>
              <w:jc w:val="center"/>
            </w:pPr>
            <w:r>
              <w:rPr>
                <w:rFonts w:hint="eastAsia"/>
              </w:rPr>
              <w:t>1984年6月至1990年3月</w:t>
            </w:r>
          </w:p>
        </w:tc>
      </w:tr>
      <w:tr w14:paraId="33DE4D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676E7BD0">
            <w:pPr>
              <w:pStyle w:val="12"/>
              <w:jc w:val="center"/>
            </w:pPr>
            <w:r>
              <w:rPr>
                <w:rFonts w:hint="eastAsia"/>
              </w:rPr>
              <w:t>叶树林</w:t>
            </w:r>
          </w:p>
        </w:tc>
        <w:tc>
          <w:tcPr>
            <w:tcW w:w="1250" w:type="pct"/>
            <w:vAlign w:val="center"/>
          </w:tcPr>
          <w:p w14:paraId="24C06DB1">
            <w:pPr>
              <w:pStyle w:val="12"/>
              <w:jc w:val="center"/>
            </w:pPr>
            <w:r>
              <w:rPr>
                <w:rFonts w:hint="eastAsia"/>
              </w:rPr>
              <w:t>广东南雄</w:t>
            </w:r>
          </w:p>
        </w:tc>
        <w:tc>
          <w:tcPr>
            <w:tcW w:w="660" w:type="pct"/>
            <w:vAlign w:val="center"/>
          </w:tcPr>
          <w:p w14:paraId="384C6BFC">
            <w:pPr>
              <w:pStyle w:val="12"/>
              <w:jc w:val="center"/>
            </w:pPr>
            <w:r>
              <w:rPr>
                <w:rFonts w:hint="eastAsia"/>
              </w:rPr>
              <w:t>副主席</w:t>
            </w:r>
          </w:p>
        </w:tc>
        <w:tc>
          <w:tcPr>
            <w:tcW w:w="1840" w:type="pct"/>
            <w:vAlign w:val="center"/>
          </w:tcPr>
          <w:p w14:paraId="23F94F3B">
            <w:pPr>
              <w:pStyle w:val="12"/>
              <w:jc w:val="center"/>
            </w:pPr>
            <w:r>
              <w:rPr>
                <w:rFonts w:hint="eastAsia"/>
              </w:rPr>
              <w:t>1980年11月至1984年6月</w:t>
            </w:r>
          </w:p>
        </w:tc>
      </w:tr>
      <w:tr w14:paraId="3CCC39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0072DAB5">
            <w:pPr>
              <w:pStyle w:val="12"/>
              <w:jc w:val="center"/>
            </w:pPr>
            <w:r>
              <w:rPr>
                <w:rFonts w:hint="eastAsia"/>
              </w:rPr>
              <w:t>赵国兰</w:t>
            </w:r>
          </w:p>
        </w:tc>
        <w:tc>
          <w:tcPr>
            <w:tcW w:w="1250" w:type="pct"/>
            <w:vAlign w:val="center"/>
          </w:tcPr>
          <w:p w14:paraId="4E2E25AD">
            <w:pPr>
              <w:pStyle w:val="12"/>
              <w:jc w:val="center"/>
            </w:pPr>
            <w:r>
              <w:rPr>
                <w:rFonts w:hint="eastAsia"/>
              </w:rPr>
              <w:t>河北滦南</w:t>
            </w:r>
          </w:p>
        </w:tc>
        <w:tc>
          <w:tcPr>
            <w:tcW w:w="660" w:type="pct"/>
            <w:vAlign w:val="center"/>
          </w:tcPr>
          <w:p w14:paraId="7C8CF55C">
            <w:pPr>
              <w:pStyle w:val="12"/>
              <w:jc w:val="center"/>
            </w:pPr>
            <w:r>
              <w:rPr>
                <w:rFonts w:hint="eastAsia"/>
              </w:rPr>
              <w:t>副主席</w:t>
            </w:r>
          </w:p>
        </w:tc>
        <w:tc>
          <w:tcPr>
            <w:tcW w:w="1840" w:type="pct"/>
            <w:vAlign w:val="center"/>
          </w:tcPr>
          <w:p w14:paraId="7EBD0FED">
            <w:pPr>
              <w:pStyle w:val="12"/>
              <w:jc w:val="center"/>
            </w:pPr>
            <w:r>
              <w:rPr>
                <w:rFonts w:hint="eastAsia"/>
              </w:rPr>
              <w:t>1980年11月至1984年6月</w:t>
            </w:r>
          </w:p>
        </w:tc>
      </w:tr>
      <w:tr w14:paraId="1989C6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9B870BC">
            <w:pPr>
              <w:pStyle w:val="12"/>
              <w:jc w:val="center"/>
            </w:pPr>
            <w:r>
              <w:rPr>
                <w:rFonts w:hint="eastAsia"/>
              </w:rPr>
              <w:t>郭隆钰</w:t>
            </w:r>
          </w:p>
        </w:tc>
        <w:tc>
          <w:tcPr>
            <w:tcW w:w="1250" w:type="pct"/>
            <w:vAlign w:val="center"/>
          </w:tcPr>
          <w:p w14:paraId="4080D26C">
            <w:pPr>
              <w:pStyle w:val="12"/>
              <w:jc w:val="center"/>
            </w:pPr>
            <w:r>
              <w:rPr>
                <w:rFonts w:hint="eastAsia"/>
              </w:rPr>
              <w:t>江西泰和</w:t>
            </w:r>
          </w:p>
        </w:tc>
        <w:tc>
          <w:tcPr>
            <w:tcW w:w="660" w:type="pct"/>
            <w:vAlign w:val="center"/>
          </w:tcPr>
          <w:p w14:paraId="21EDAD3D">
            <w:pPr>
              <w:pStyle w:val="12"/>
              <w:jc w:val="center"/>
            </w:pPr>
            <w:r>
              <w:rPr>
                <w:rFonts w:hint="eastAsia"/>
              </w:rPr>
              <w:t>副主席</w:t>
            </w:r>
          </w:p>
        </w:tc>
        <w:tc>
          <w:tcPr>
            <w:tcW w:w="1840" w:type="pct"/>
            <w:vAlign w:val="center"/>
          </w:tcPr>
          <w:p w14:paraId="126251D9">
            <w:pPr>
              <w:pStyle w:val="12"/>
              <w:jc w:val="center"/>
            </w:pPr>
            <w:r>
              <w:rPr>
                <w:rFonts w:hint="eastAsia"/>
              </w:rPr>
              <w:t>1980年11月至1987年3月</w:t>
            </w:r>
          </w:p>
        </w:tc>
      </w:tr>
      <w:tr w14:paraId="4FD9CB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0BEF5DF2">
            <w:pPr>
              <w:pStyle w:val="12"/>
              <w:jc w:val="center"/>
            </w:pPr>
            <w:r>
              <w:rPr>
                <w:rFonts w:hint="eastAsia"/>
              </w:rPr>
              <w:t>陈少垣</w:t>
            </w:r>
          </w:p>
        </w:tc>
        <w:tc>
          <w:tcPr>
            <w:tcW w:w="1250" w:type="pct"/>
            <w:vAlign w:val="center"/>
          </w:tcPr>
          <w:p w14:paraId="672B8320">
            <w:pPr>
              <w:pStyle w:val="12"/>
              <w:jc w:val="center"/>
            </w:pPr>
            <w:r>
              <w:rPr>
                <w:rFonts w:hint="eastAsia"/>
              </w:rPr>
              <w:t>广东新会</w:t>
            </w:r>
          </w:p>
        </w:tc>
        <w:tc>
          <w:tcPr>
            <w:tcW w:w="660" w:type="pct"/>
            <w:vAlign w:val="center"/>
          </w:tcPr>
          <w:p w14:paraId="2882B08D">
            <w:pPr>
              <w:pStyle w:val="12"/>
              <w:jc w:val="center"/>
            </w:pPr>
            <w:r>
              <w:rPr>
                <w:rFonts w:hint="eastAsia"/>
              </w:rPr>
              <w:t>副主席</w:t>
            </w:r>
          </w:p>
        </w:tc>
        <w:tc>
          <w:tcPr>
            <w:tcW w:w="1840" w:type="pct"/>
            <w:vAlign w:val="center"/>
          </w:tcPr>
          <w:p w14:paraId="216B718E">
            <w:pPr>
              <w:pStyle w:val="12"/>
              <w:jc w:val="center"/>
            </w:pPr>
            <w:r>
              <w:rPr>
                <w:rFonts w:hint="eastAsia"/>
              </w:rPr>
              <w:t>1980年11月至1984年6月</w:t>
            </w:r>
          </w:p>
        </w:tc>
      </w:tr>
      <w:tr w14:paraId="72C997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4E82F81">
            <w:pPr>
              <w:pStyle w:val="12"/>
              <w:jc w:val="center"/>
            </w:pPr>
            <w:r>
              <w:rPr>
                <w:rFonts w:hint="eastAsia"/>
              </w:rPr>
              <w:t>邓志忠</w:t>
            </w:r>
          </w:p>
        </w:tc>
        <w:tc>
          <w:tcPr>
            <w:tcW w:w="1250" w:type="pct"/>
            <w:vAlign w:val="center"/>
          </w:tcPr>
          <w:p w14:paraId="2E556533">
            <w:pPr>
              <w:pStyle w:val="12"/>
              <w:jc w:val="center"/>
            </w:pPr>
            <w:r>
              <w:rPr>
                <w:rFonts w:hint="eastAsia"/>
              </w:rPr>
              <w:t>广东南雄</w:t>
            </w:r>
          </w:p>
        </w:tc>
        <w:tc>
          <w:tcPr>
            <w:tcW w:w="660" w:type="pct"/>
            <w:vAlign w:val="center"/>
          </w:tcPr>
          <w:p w14:paraId="0CE5FB26">
            <w:pPr>
              <w:pStyle w:val="12"/>
              <w:jc w:val="center"/>
            </w:pPr>
            <w:r>
              <w:rPr>
                <w:rFonts w:hint="eastAsia"/>
              </w:rPr>
              <w:t>副主席</w:t>
            </w:r>
          </w:p>
        </w:tc>
        <w:tc>
          <w:tcPr>
            <w:tcW w:w="1840" w:type="pct"/>
            <w:vAlign w:val="center"/>
          </w:tcPr>
          <w:p w14:paraId="6A970144">
            <w:pPr>
              <w:pStyle w:val="12"/>
              <w:jc w:val="center"/>
            </w:pPr>
            <w:r>
              <w:rPr>
                <w:rFonts w:hint="eastAsia"/>
              </w:rPr>
              <w:t>1980年11月至1987年3月</w:t>
            </w:r>
          </w:p>
        </w:tc>
      </w:tr>
      <w:tr w14:paraId="6D2C4A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65BADCDC">
            <w:pPr>
              <w:pStyle w:val="12"/>
              <w:jc w:val="center"/>
            </w:pPr>
            <w:r>
              <w:rPr>
                <w:rFonts w:hint="eastAsia"/>
              </w:rPr>
              <w:t>陈泽维</w:t>
            </w:r>
          </w:p>
        </w:tc>
        <w:tc>
          <w:tcPr>
            <w:tcW w:w="1250" w:type="pct"/>
            <w:vAlign w:val="center"/>
          </w:tcPr>
          <w:p w14:paraId="564CFEEC">
            <w:pPr>
              <w:pStyle w:val="12"/>
              <w:jc w:val="center"/>
            </w:pPr>
            <w:r>
              <w:rPr>
                <w:rFonts w:hint="eastAsia"/>
              </w:rPr>
              <w:t>广东始兴</w:t>
            </w:r>
          </w:p>
        </w:tc>
        <w:tc>
          <w:tcPr>
            <w:tcW w:w="660" w:type="pct"/>
            <w:vAlign w:val="center"/>
          </w:tcPr>
          <w:p w14:paraId="4CCE1A78">
            <w:pPr>
              <w:pStyle w:val="12"/>
              <w:jc w:val="center"/>
            </w:pPr>
            <w:r>
              <w:rPr>
                <w:rFonts w:hint="eastAsia"/>
              </w:rPr>
              <w:t>副主席</w:t>
            </w:r>
          </w:p>
        </w:tc>
        <w:tc>
          <w:tcPr>
            <w:tcW w:w="1840" w:type="pct"/>
            <w:vAlign w:val="center"/>
          </w:tcPr>
          <w:p w14:paraId="0C886A29">
            <w:pPr>
              <w:pStyle w:val="12"/>
              <w:jc w:val="center"/>
            </w:pPr>
            <w:r>
              <w:rPr>
                <w:rFonts w:hint="eastAsia"/>
              </w:rPr>
              <w:t>1984年6月至1987年3月</w:t>
            </w:r>
          </w:p>
        </w:tc>
      </w:tr>
      <w:tr w14:paraId="4CCBDF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B5282F8">
            <w:pPr>
              <w:pStyle w:val="12"/>
              <w:jc w:val="center"/>
            </w:pPr>
            <w:r>
              <w:rPr>
                <w:rFonts w:hint="eastAsia"/>
              </w:rPr>
              <w:t>谢学俊</w:t>
            </w:r>
          </w:p>
        </w:tc>
        <w:tc>
          <w:tcPr>
            <w:tcW w:w="1250" w:type="pct"/>
            <w:vAlign w:val="center"/>
          </w:tcPr>
          <w:p w14:paraId="647E90A4">
            <w:pPr>
              <w:pStyle w:val="12"/>
              <w:jc w:val="center"/>
            </w:pPr>
            <w:r>
              <w:rPr>
                <w:rFonts w:hint="eastAsia"/>
              </w:rPr>
              <w:t>辽宁赤峰</w:t>
            </w:r>
          </w:p>
        </w:tc>
        <w:tc>
          <w:tcPr>
            <w:tcW w:w="660" w:type="pct"/>
            <w:vAlign w:val="center"/>
          </w:tcPr>
          <w:p w14:paraId="50661DC7">
            <w:pPr>
              <w:pStyle w:val="12"/>
              <w:jc w:val="center"/>
            </w:pPr>
            <w:r>
              <w:rPr>
                <w:rFonts w:hint="eastAsia"/>
              </w:rPr>
              <w:t>副主席</w:t>
            </w:r>
          </w:p>
        </w:tc>
        <w:tc>
          <w:tcPr>
            <w:tcW w:w="1840" w:type="pct"/>
            <w:vAlign w:val="center"/>
          </w:tcPr>
          <w:p w14:paraId="30F76E98">
            <w:pPr>
              <w:pStyle w:val="12"/>
              <w:jc w:val="center"/>
            </w:pPr>
            <w:r>
              <w:rPr>
                <w:rFonts w:hint="eastAsia"/>
              </w:rPr>
              <w:t>1984年6月至1987年3月</w:t>
            </w:r>
          </w:p>
        </w:tc>
      </w:tr>
      <w:tr w14:paraId="0BE7B6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5D6C783">
            <w:pPr>
              <w:pStyle w:val="12"/>
              <w:jc w:val="center"/>
            </w:pPr>
            <w:r>
              <w:rPr>
                <w:rFonts w:hint="eastAsia"/>
              </w:rPr>
              <w:t>张毓英（女）</w:t>
            </w:r>
          </w:p>
        </w:tc>
        <w:tc>
          <w:tcPr>
            <w:tcW w:w="1250" w:type="pct"/>
            <w:vAlign w:val="center"/>
          </w:tcPr>
          <w:p w14:paraId="5E64F8B4">
            <w:pPr>
              <w:pStyle w:val="12"/>
              <w:jc w:val="center"/>
            </w:pPr>
            <w:r>
              <w:rPr>
                <w:rFonts w:hint="eastAsia"/>
              </w:rPr>
              <w:t>广东普宁</w:t>
            </w:r>
          </w:p>
        </w:tc>
        <w:tc>
          <w:tcPr>
            <w:tcW w:w="660" w:type="pct"/>
            <w:vAlign w:val="center"/>
          </w:tcPr>
          <w:p w14:paraId="3177AC7E">
            <w:pPr>
              <w:pStyle w:val="12"/>
              <w:jc w:val="center"/>
            </w:pPr>
            <w:r>
              <w:rPr>
                <w:rFonts w:hint="eastAsia"/>
              </w:rPr>
              <w:t>副主席</w:t>
            </w:r>
          </w:p>
        </w:tc>
        <w:tc>
          <w:tcPr>
            <w:tcW w:w="1840" w:type="pct"/>
            <w:vAlign w:val="center"/>
          </w:tcPr>
          <w:p w14:paraId="2CBBBE98">
            <w:pPr>
              <w:pStyle w:val="12"/>
              <w:jc w:val="center"/>
            </w:pPr>
            <w:r>
              <w:rPr>
                <w:rFonts w:hint="eastAsia"/>
              </w:rPr>
              <w:t>1984年6月至1992年4月</w:t>
            </w:r>
          </w:p>
        </w:tc>
      </w:tr>
      <w:tr w14:paraId="6DF43BE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0B48E8F9">
            <w:pPr>
              <w:pStyle w:val="12"/>
              <w:jc w:val="center"/>
            </w:pPr>
            <w:r>
              <w:rPr>
                <w:rFonts w:hint="eastAsia"/>
              </w:rPr>
              <w:t>张文渝</w:t>
            </w:r>
          </w:p>
        </w:tc>
        <w:tc>
          <w:tcPr>
            <w:tcW w:w="1250" w:type="pct"/>
            <w:vAlign w:val="center"/>
          </w:tcPr>
          <w:p w14:paraId="7FA93E09">
            <w:pPr>
              <w:pStyle w:val="12"/>
              <w:jc w:val="center"/>
            </w:pPr>
            <w:r>
              <w:rPr>
                <w:rFonts w:hint="eastAsia"/>
              </w:rPr>
              <w:t>广东梅县</w:t>
            </w:r>
          </w:p>
        </w:tc>
        <w:tc>
          <w:tcPr>
            <w:tcW w:w="660" w:type="pct"/>
            <w:vAlign w:val="center"/>
          </w:tcPr>
          <w:p w14:paraId="0DCE718D">
            <w:pPr>
              <w:pStyle w:val="12"/>
              <w:jc w:val="center"/>
            </w:pPr>
            <w:r>
              <w:rPr>
                <w:rFonts w:hint="eastAsia"/>
              </w:rPr>
              <w:t>副主席</w:t>
            </w:r>
          </w:p>
        </w:tc>
        <w:tc>
          <w:tcPr>
            <w:tcW w:w="1840" w:type="pct"/>
            <w:vAlign w:val="center"/>
          </w:tcPr>
          <w:p w14:paraId="3F8E45E9">
            <w:pPr>
              <w:pStyle w:val="12"/>
              <w:jc w:val="center"/>
            </w:pPr>
            <w:r>
              <w:rPr>
                <w:rFonts w:hint="eastAsia"/>
              </w:rPr>
              <w:t>1984年6月至1996年3月</w:t>
            </w:r>
          </w:p>
        </w:tc>
      </w:tr>
      <w:tr w14:paraId="094B74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09491A1">
            <w:pPr>
              <w:pStyle w:val="12"/>
              <w:jc w:val="center"/>
            </w:pPr>
            <w:r>
              <w:rPr>
                <w:rFonts w:hint="eastAsia"/>
              </w:rPr>
              <w:t>叶才栋</w:t>
            </w:r>
          </w:p>
        </w:tc>
        <w:tc>
          <w:tcPr>
            <w:tcW w:w="1250" w:type="pct"/>
            <w:vAlign w:val="center"/>
          </w:tcPr>
          <w:p w14:paraId="12B09FE4">
            <w:pPr>
              <w:pStyle w:val="12"/>
              <w:jc w:val="center"/>
            </w:pPr>
            <w:r>
              <w:rPr>
                <w:rFonts w:hint="eastAsia"/>
              </w:rPr>
              <w:t>广东南雄</w:t>
            </w:r>
          </w:p>
        </w:tc>
        <w:tc>
          <w:tcPr>
            <w:tcW w:w="660" w:type="pct"/>
            <w:vAlign w:val="center"/>
          </w:tcPr>
          <w:p w14:paraId="17FF3CCA">
            <w:pPr>
              <w:pStyle w:val="12"/>
              <w:jc w:val="center"/>
            </w:pPr>
            <w:r>
              <w:rPr>
                <w:rFonts w:hint="eastAsia"/>
              </w:rPr>
              <w:t>副主席</w:t>
            </w:r>
          </w:p>
        </w:tc>
        <w:tc>
          <w:tcPr>
            <w:tcW w:w="1840" w:type="pct"/>
            <w:vAlign w:val="center"/>
          </w:tcPr>
          <w:p w14:paraId="36F9E177">
            <w:pPr>
              <w:pStyle w:val="12"/>
              <w:jc w:val="center"/>
            </w:pPr>
            <w:r>
              <w:rPr>
                <w:rFonts w:hint="eastAsia"/>
              </w:rPr>
              <w:t>1984年6月至1993年3月</w:t>
            </w:r>
          </w:p>
        </w:tc>
      </w:tr>
      <w:tr w14:paraId="04C90F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8158310">
            <w:pPr>
              <w:pStyle w:val="12"/>
              <w:jc w:val="center"/>
            </w:pPr>
            <w:r>
              <w:rPr>
                <w:rFonts w:hint="eastAsia"/>
              </w:rPr>
              <w:t>卢月根</w:t>
            </w:r>
          </w:p>
        </w:tc>
        <w:tc>
          <w:tcPr>
            <w:tcW w:w="1250" w:type="pct"/>
            <w:vAlign w:val="center"/>
          </w:tcPr>
          <w:p w14:paraId="6B6E9981">
            <w:pPr>
              <w:pStyle w:val="12"/>
              <w:jc w:val="center"/>
            </w:pPr>
            <w:r>
              <w:rPr>
                <w:rFonts w:hint="eastAsia"/>
              </w:rPr>
              <w:t>广东南雄</w:t>
            </w:r>
          </w:p>
        </w:tc>
        <w:tc>
          <w:tcPr>
            <w:tcW w:w="660" w:type="pct"/>
            <w:vAlign w:val="center"/>
          </w:tcPr>
          <w:p w14:paraId="5F636238">
            <w:pPr>
              <w:pStyle w:val="12"/>
              <w:jc w:val="center"/>
            </w:pPr>
            <w:r>
              <w:rPr>
                <w:rFonts w:hint="eastAsia"/>
              </w:rPr>
              <w:t>副主席</w:t>
            </w:r>
          </w:p>
        </w:tc>
        <w:tc>
          <w:tcPr>
            <w:tcW w:w="1840" w:type="pct"/>
            <w:vAlign w:val="center"/>
          </w:tcPr>
          <w:p w14:paraId="7A49A302">
            <w:pPr>
              <w:pStyle w:val="12"/>
              <w:jc w:val="center"/>
            </w:pPr>
            <w:r>
              <w:rPr>
                <w:rFonts w:hint="eastAsia"/>
              </w:rPr>
              <w:t>1984年6月至1993年3月</w:t>
            </w:r>
          </w:p>
        </w:tc>
      </w:tr>
      <w:tr w14:paraId="004150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9144BC0">
            <w:pPr>
              <w:pStyle w:val="12"/>
              <w:jc w:val="center"/>
            </w:pPr>
            <w:r>
              <w:rPr>
                <w:rFonts w:hint="eastAsia"/>
              </w:rPr>
              <w:t>赖绍怀</w:t>
            </w:r>
          </w:p>
        </w:tc>
        <w:tc>
          <w:tcPr>
            <w:tcW w:w="1250" w:type="pct"/>
            <w:vAlign w:val="center"/>
          </w:tcPr>
          <w:p w14:paraId="18CDAAA6">
            <w:pPr>
              <w:pStyle w:val="12"/>
              <w:jc w:val="center"/>
            </w:pPr>
            <w:r>
              <w:rPr>
                <w:rFonts w:hint="eastAsia"/>
              </w:rPr>
              <w:t>广东南雄</w:t>
            </w:r>
          </w:p>
        </w:tc>
        <w:tc>
          <w:tcPr>
            <w:tcW w:w="660" w:type="pct"/>
            <w:vAlign w:val="center"/>
          </w:tcPr>
          <w:p w14:paraId="73A6CCF4">
            <w:pPr>
              <w:pStyle w:val="12"/>
              <w:jc w:val="center"/>
            </w:pPr>
            <w:r>
              <w:rPr>
                <w:rFonts w:hint="eastAsia"/>
              </w:rPr>
              <w:t>副主席</w:t>
            </w:r>
          </w:p>
        </w:tc>
        <w:tc>
          <w:tcPr>
            <w:tcW w:w="1840" w:type="pct"/>
            <w:vAlign w:val="center"/>
          </w:tcPr>
          <w:p w14:paraId="69152EBC">
            <w:pPr>
              <w:pStyle w:val="12"/>
              <w:jc w:val="center"/>
            </w:pPr>
            <w:r>
              <w:rPr>
                <w:rFonts w:hint="eastAsia"/>
              </w:rPr>
              <w:t>1987年3月至1990年3月</w:t>
            </w:r>
          </w:p>
        </w:tc>
      </w:tr>
      <w:tr w14:paraId="153092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3D044C0">
            <w:pPr>
              <w:pStyle w:val="12"/>
              <w:jc w:val="center"/>
            </w:pPr>
            <w:r>
              <w:rPr>
                <w:rFonts w:hint="eastAsia"/>
              </w:rPr>
              <w:t>黄浩烈</w:t>
            </w:r>
          </w:p>
        </w:tc>
        <w:tc>
          <w:tcPr>
            <w:tcW w:w="1250" w:type="pct"/>
            <w:vAlign w:val="center"/>
          </w:tcPr>
          <w:p w14:paraId="5B47566B">
            <w:pPr>
              <w:pStyle w:val="12"/>
              <w:jc w:val="center"/>
            </w:pPr>
            <w:r>
              <w:rPr>
                <w:rFonts w:hint="eastAsia"/>
              </w:rPr>
              <w:t>广东南雄</w:t>
            </w:r>
          </w:p>
        </w:tc>
        <w:tc>
          <w:tcPr>
            <w:tcW w:w="660" w:type="pct"/>
            <w:vAlign w:val="center"/>
          </w:tcPr>
          <w:p w14:paraId="6D3655DD">
            <w:pPr>
              <w:pStyle w:val="12"/>
              <w:jc w:val="center"/>
            </w:pPr>
            <w:r>
              <w:rPr>
                <w:rFonts w:hint="eastAsia"/>
              </w:rPr>
              <w:t>副主席</w:t>
            </w:r>
          </w:p>
        </w:tc>
        <w:tc>
          <w:tcPr>
            <w:tcW w:w="1840" w:type="pct"/>
            <w:vAlign w:val="center"/>
          </w:tcPr>
          <w:p w14:paraId="36F3835A">
            <w:pPr>
              <w:pStyle w:val="12"/>
              <w:jc w:val="center"/>
            </w:pPr>
            <w:r>
              <w:rPr>
                <w:rFonts w:hint="eastAsia"/>
              </w:rPr>
              <w:t>1987年3月至1993年3月</w:t>
            </w:r>
          </w:p>
        </w:tc>
      </w:tr>
      <w:tr w14:paraId="6CC00B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034BE32">
            <w:pPr>
              <w:pStyle w:val="12"/>
              <w:jc w:val="center"/>
            </w:pPr>
            <w:r>
              <w:rPr>
                <w:rFonts w:hint="eastAsia"/>
              </w:rPr>
              <w:t>吴述超</w:t>
            </w:r>
          </w:p>
        </w:tc>
        <w:tc>
          <w:tcPr>
            <w:tcW w:w="1250" w:type="pct"/>
            <w:vAlign w:val="center"/>
          </w:tcPr>
          <w:p w14:paraId="58E6B780">
            <w:pPr>
              <w:pStyle w:val="12"/>
              <w:jc w:val="center"/>
            </w:pPr>
            <w:r>
              <w:rPr>
                <w:rFonts w:hint="eastAsia"/>
              </w:rPr>
              <w:t>广东南雄</w:t>
            </w:r>
          </w:p>
        </w:tc>
        <w:tc>
          <w:tcPr>
            <w:tcW w:w="660" w:type="pct"/>
            <w:vAlign w:val="center"/>
          </w:tcPr>
          <w:p w14:paraId="1195BA4D">
            <w:pPr>
              <w:pStyle w:val="12"/>
              <w:jc w:val="center"/>
            </w:pPr>
            <w:r>
              <w:rPr>
                <w:rFonts w:hint="eastAsia"/>
              </w:rPr>
              <w:t>主席</w:t>
            </w:r>
          </w:p>
        </w:tc>
        <w:tc>
          <w:tcPr>
            <w:tcW w:w="1840" w:type="pct"/>
            <w:vAlign w:val="center"/>
          </w:tcPr>
          <w:p w14:paraId="3A2C2C4A">
            <w:pPr>
              <w:pStyle w:val="12"/>
              <w:jc w:val="center"/>
            </w:pPr>
            <w:r>
              <w:rPr>
                <w:rFonts w:hint="eastAsia"/>
              </w:rPr>
              <w:t>1990年3月至1996年3月</w:t>
            </w:r>
          </w:p>
        </w:tc>
      </w:tr>
      <w:tr w14:paraId="674C87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617D7CE5">
            <w:pPr>
              <w:pStyle w:val="12"/>
              <w:jc w:val="center"/>
            </w:pPr>
            <w:r>
              <w:rPr>
                <w:rFonts w:hint="eastAsia"/>
              </w:rPr>
              <w:t>李世名</w:t>
            </w:r>
          </w:p>
        </w:tc>
        <w:tc>
          <w:tcPr>
            <w:tcW w:w="1250" w:type="pct"/>
            <w:vAlign w:val="center"/>
          </w:tcPr>
          <w:p w14:paraId="32D063C6">
            <w:pPr>
              <w:pStyle w:val="12"/>
              <w:jc w:val="center"/>
            </w:pPr>
            <w:r>
              <w:rPr>
                <w:rFonts w:hint="eastAsia"/>
              </w:rPr>
              <w:t>广东南雄</w:t>
            </w:r>
          </w:p>
        </w:tc>
        <w:tc>
          <w:tcPr>
            <w:tcW w:w="660" w:type="pct"/>
            <w:vAlign w:val="center"/>
          </w:tcPr>
          <w:p w14:paraId="73408371">
            <w:pPr>
              <w:pStyle w:val="12"/>
              <w:jc w:val="center"/>
            </w:pPr>
            <w:r>
              <w:rPr>
                <w:rFonts w:hint="eastAsia"/>
              </w:rPr>
              <w:t>主席</w:t>
            </w:r>
          </w:p>
        </w:tc>
        <w:tc>
          <w:tcPr>
            <w:tcW w:w="1840" w:type="pct"/>
            <w:vAlign w:val="center"/>
          </w:tcPr>
          <w:p w14:paraId="62B23C14">
            <w:pPr>
              <w:pStyle w:val="12"/>
              <w:jc w:val="center"/>
            </w:pPr>
            <w:r>
              <w:rPr>
                <w:rFonts w:hint="eastAsia"/>
              </w:rPr>
              <w:t>1996年3月至1998年3月</w:t>
            </w:r>
          </w:p>
        </w:tc>
      </w:tr>
      <w:tr w14:paraId="3FD8C4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5929F8C7">
            <w:pPr>
              <w:pStyle w:val="12"/>
              <w:jc w:val="center"/>
            </w:pPr>
            <w:r>
              <w:rPr>
                <w:rFonts w:hint="eastAsia"/>
              </w:rPr>
              <w:t>陈逢英（女）</w:t>
            </w:r>
          </w:p>
        </w:tc>
        <w:tc>
          <w:tcPr>
            <w:tcW w:w="1250" w:type="pct"/>
            <w:vAlign w:val="center"/>
          </w:tcPr>
          <w:p w14:paraId="413B124A">
            <w:pPr>
              <w:pStyle w:val="12"/>
              <w:jc w:val="center"/>
            </w:pPr>
            <w:r>
              <w:rPr>
                <w:rFonts w:hint="eastAsia"/>
              </w:rPr>
              <w:t>广东南雄</w:t>
            </w:r>
          </w:p>
        </w:tc>
        <w:tc>
          <w:tcPr>
            <w:tcW w:w="660" w:type="pct"/>
            <w:vAlign w:val="center"/>
          </w:tcPr>
          <w:p w14:paraId="369F0E2B">
            <w:pPr>
              <w:pStyle w:val="12"/>
              <w:jc w:val="center"/>
            </w:pPr>
            <w:r>
              <w:rPr>
                <w:rFonts w:hint="eastAsia"/>
              </w:rPr>
              <w:t>主席</w:t>
            </w:r>
          </w:p>
        </w:tc>
        <w:tc>
          <w:tcPr>
            <w:tcW w:w="1840" w:type="pct"/>
            <w:vAlign w:val="center"/>
          </w:tcPr>
          <w:p w14:paraId="74B805A4">
            <w:pPr>
              <w:pStyle w:val="12"/>
              <w:jc w:val="center"/>
            </w:pPr>
            <w:r>
              <w:rPr>
                <w:rFonts w:hint="eastAsia"/>
              </w:rPr>
              <w:t>1998年3月至2003年3月</w:t>
            </w:r>
          </w:p>
        </w:tc>
      </w:tr>
      <w:tr w14:paraId="6891C8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073841F">
            <w:pPr>
              <w:pStyle w:val="12"/>
              <w:jc w:val="center"/>
            </w:pPr>
            <w:r>
              <w:rPr>
                <w:rFonts w:hint="eastAsia"/>
              </w:rPr>
              <w:t>曾昭佑</w:t>
            </w:r>
          </w:p>
        </w:tc>
        <w:tc>
          <w:tcPr>
            <w:tcW w:w="1250" w:type="pct"/>
            <w:vAlign w:val="center"/>
          </w:tcPr>
          <w:p w14:paraId="101F74D1">
            <w:pPr>
              <w:pStyle w:val="12"/>
              <w:jc w:val="center"/>
            </w:pPr>
            <w:r>
              <w:rPr>
                <w:rFonts w:hint="eastAsia"/>
              </w:rPr>
              <w:t>广东南雄</w:t>
            </w:r>
          </w:p>
        </w:tc>
        <w:tc>
          <w:tcPr>
            <w:tcW w:w="660" w:type="pct"/>
            <w:vAlign w:val="center"/>
          </w:tcPr>
          <w:p w14:paraId="6057A2A5">
            <w:pPr>
              <w:pStyle w:val="12"/>
              <w:jc w:val="center"/>
            </w:pPr>
            <w:r>
              <w:rPr>
                <w:rFonts w:hint="eastAsia"/>
              </w:rPr>
              <w:t>主席</w:t>
            </w:r>
          </w:p>
        </w:tc>
        <w:tc>
          <w:tcPr>
            <w:tcW w:w="1840" w:type="pct"/>
            <w:vAlign w:val="center"/>
          </w:tcPr>
          <w:p w14:paraId="3769A41E">
            <w:pPr>
              <w:pStyle w:val="12"/>
              <w:jc w:val="center"/>
            </w:pPr>
            <w:r>
              <w:rPr>
                <w:rFonts w:hint="eastAsia"/>
              </w:rPr>
              <w:t>2003年3月</w:t>
            </w:r>
          </w:p>
        </w:tc>
      </w:tr>
      <w:tr w14:paraId="387A4B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8C200D0">
            <w:pPr>
              <w:pStyle w:val="12"/>
              <w:jc w:val="center"/>
            </w:pPr>
            <w:r>
              <w:rPr>
                <w:rFonts w:hint="eastAsia"/>
              </w:rPr>
              <w:t>郭淑华（女）</w:t>
            </w:r>
          </w:p>
        </w:tc>
        <w:tc>
          <w:tcPr>
            <w:tcW w:w="1250" w:type="pct"/>
            <w:vAlign w:val="center"/>
          </w:tcPr>
          <w:p w14:paraId="5553FB82">
            <w:pPr>
              <w:pStyle w:val="12"/>
              <w:jc w:val="center"/>
            </w:pPr>
            <w:r>
              <w:rPr>
                <w:rFonts w:hint="eastAsia"/>
              </w:rPr>
              <w:t>广东揭阳</w:t>
            </w:r>
          </w:p>
        </w:tc>
        <w:tc>
          <w:tcPr>
            <w:tcW w:w="660" w:type="pct"/>
            <w:vAlign w:val="center"/>
          </w:tcPr>
          <w:p w14:paraId="1726F1CE">
            <w:pPr>
              <w:pStyle w:val="12"/>
              <w:jc w:val="center"/>
            </w:pPr>
            <w:r>
              <w:rPr>
                <w:rFonts w:hint="eastAsia"/>
              </w:rPr>
              <w:t>副主席</w:t>
            </w:r>
          </w:p>
        </w:tc>
        <w:tc>
          <w:tcPr>
            <w:tcW w:w="1840" w:type="pct"/>
            <w:vAlign w:val="center"/>
          </w:tcPr>
          <w:p w14:paraId="78CA75ED">
            <w:pPr>
              <w:pStyle w:val="12"/>
              <w:jc w:val="center"/>
            </w:pPr>
            <w:r>
              <w:rPr>
                <w:rFonts w:hint="eastAsia"/>
              </w:rPr>
              <w:t>1990年3月至1991年11月</w:t>
            </w:r>
          </w:p>
        </w:tc>
      </w:tr>
      <w:tr w14:paraId="4BA948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52EFA23">
            <w:pPr>
              <w:pStyle w:val="12"/>
              <w:jc w:val="center"/>
            </w:pPr>
            <w:r>
              <w:rPr>
                <w:rFonts w:hint="eastAsia"/>
              </w:rPr>
              <w:t>李青洪</w:t>
            </w:r>
          </w:p>
        </w:tc>
        <w:tc>
          <w:tcPr>
            <w:tcW w:w="1250" w:type="pct"/>
            <w:vAlign w:val="center"/>
          </w:tcPr>
          <w:p w14:paraId="3B01B5D7">
            <w:pPr>
              <w:pStyle w:val="12"/>
              <w:jc w:val="center"/>
            </w:pPr>
            <w:r>
              <w:rPr>
                <w:rFonts w:hint="eastAsia"/>
              </w:rPr>
              <w:t>广东南雄</w:t>
            </w:r>
          </w:p>
        </w:tc>
        <w:tc>
          <w:tcPr>
            <w:tcW w:w="660" w:type="pct"/>
            <w:vAlign w:val="center"/>
          </w:tcPr>
          <w:p w14:paraId="47DB3CEE">
            <w:pPr>
              <w:pStyle w:val="12"/>
              <w:jc w:val="center"/>
            </w:pPr>
            <w:r>
              <w:rPr>
                <w:rFonts w:hint="eastAsia"/>
              </w:rPr>
              <w:t>副主席</w:t>
            </w:r>
          </w:p>
        </w:tc>
        <w:tc>
          <w:tcPr>
            <w:tcW w:w="1840" w:type="pct"/>
            <w:vAlign w:val="center"/>
          </w:tcPr>
          <w:p w14:paraId="525BDBC9">
            <w:pPr>
              <w:pStyle w:val="12"/>
              <w:jc w:val="center"/>
            </w:pPr>
            <w:r>
              <w:rPr>
                <w:rFonts w:hint="eastAsia"/>
              </w:rPr>
              <w:t>1991年4月至1992年10月</w:t>
            </w:r>
          </w:p>
        </w:tc>
      </w:tr>
      <w:tr w14:paraId="3F502D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5B01131">
            <w:pPr>
              <w:pStyle w:val="12"/>
              <w:jc w:val="center"/>
            </w:pPr>
            <w:r>
              <w:rPr>
                <w:rFonts w:hint="eastAsia"/>
              </w:rPr>
              <w:t>朱祖忠</w:t>
            </w:r>
          </w:p>
        </w:tc>
        <w:tc>
          <w:tcPr>
            <w:tcW w:w="1250" w:type="pct"/>
            <w:vAlign w:val="center"/>
          </w:tcPr>
          <w:p w14:paraId="360E5517">
            <w:pPr>
              <w:pStyle w:val="12"/>
              <w:jc w:val="center"/>
            </w:pPr>
            <w:r>
              <w:rPr>
                <w:rFonts w:hint="eastAsia"/>
              </w:rPr>
              <w:t>广东南雄</w:t>
            </w:r>
          </w:p>
        </w:tc>
        <w:tc>
          <w:tcPr>
            <w:tcW w:w="660" w:type="pct"/>
            <w:vAlign w:val="center"/>
          </w:tcPr>
          <w:p w14:paraId="64D24731">
            <w:pPr>
              <w:pStyle w:val="12"/>
              <w:jc w:val="center"/>
            </w:pPr>
            <w:r>
              <w:rPr>
                <w:rFonts w:hint="eastAsia"/>
              </w:rPr>
              <w:t>副主席</w:t>
            </w:r>
          </w:p>
        </w:tc>
        <w:tc>
          <w:tcPr>
            <w:tcW w:w="1840" w:type="pct"/>
            <w:vAlign w:val="center"/>
          </w:tcPr>
          <w:p w14:paraId="15A16CE7">
            <w:pPr>
              <w:pStyle w:val="12"/>
              <w:jc w:val="center"/>
            </w:pPr>
            <w:r>
              <w:rPr>
                <w:rFonts w:hint="eastAsia"/>
              </w:rPr>
              <w:t>1992年3月至1997年3月</w:t>
            </w:r>
          </w:p>
        </w:tc>
      </w:tr>
      <w:tr w14:paraId="76AE39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58C6EEA8">
            <w:pPr>
              <w:pStyle w:val="12"/>
              <w:jc w:val="center"/>
            </w:pPr>
            <w:r>
              <w:rPr>
                <w:rFonts w:hint="eastAsia"/>
              </w:rPr>
              <w:t>李仕仁</w:t>
            </w:r>
          </w:p>
        </w:tc>
        <w:tc>
          <w:tcPr>
            <w:tcW w:w="1250" w:type="pct"/>
            <w:vAlign w:val="center"/>
          </w:tcPr>
          <w:p w14:paraId="30A2DB57">
            <w:pPr>
              <w:pStyle w:val="12"/>
              <w:jc w:val="center"/>
            </w:pPr>
            <w:r>
              <w:rPr>
                <w:rFonts w:hint="eastAsia"/>
              </w:rPr>
              <w:t>广东南雄</w:t>
            </w:r>
          </w:p>
        </w:tc>
        <w:tc>
          <w:tcPr>
            <w:tcW w:w="660" w:type="pct"/>
            <w:vAlign w:val="center"/>
          </w:tcPr>
          <w:p w14:paraId="79FD01FC">
            <w:pPr>
              <w:pStyle w:val="12"/>
              <w:jc w:val="center"/>
            </w:pPr>
            <w:r>
              <w:rPr>
                <w:rFonts w:hint="eastAsia"/>
              </w:rPr>
              <w:t>副主席</w:t>
            </w:r>
          </w:p>
        </w:tc>
        <w:tc>
          <w:tcPr>
            <w:tcW w:w="1840" w:type="pct"/>
            <w:vAlign w:val="center"/>
          </w:tcPr>
          <w:p w14:paraId="573E5C7F">
            <w:pPr>
              <w:pStyle w:val="12"/>
              <w:jc w:val="center"/>
            </w:pPr>
            <w:r>
              <w:rPr>
                <w:rFonts w:hint="eastAsia"/>
              </w:rPr>
              <w:t>1993年3月至1996年3月</w:t>
            </w:r>
          </w:p>
        </w:tc>
      </w:tr>
      <w:tr w14:paraId="18627E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63AC34A0">
            <w:pPr>
              <w:pStyle w:val="12"/>
              <w:jc w:val="center"/>
            </w:pPr>
            <w:r>
              <w:rPr>
                <w:rFonts w:hint="eastAsia"/>
              </w:rPr>
              <w:t>卢道平</w:t>
            </w:r>
          </w:p>
        </w:tc>
        <w:tc>
          <w:tcPr>
            <w:tcW w:w="1250" w:type="pct"/>
            <w:vAlign w:val="center"/>
          </w:tcPr>
          <w:p w14:paraId="3B1459F4">
            <w:pPr>
              <w:pStyle w:val="12"/>
              <w:jc w:val="center"/>
            </w:pPr>
            <w:r>
              <w:rPr>
                <w:rFonts w:hint="eastAsia"/>
              </w:rPr>
              <w:t>广东南雄</w:t>
            </w:r>
          </w:p>
        </w:tc>
        <w:tc>
          <w:tcPr>
            <w:tcW w:w="660" w:type="pct"/>
            <w:vAlign w:val="center"/>
          </w:tcPr>
          <w:p w14:paraId="3115624D">
            <w:pPr>
              <w:pStyle w:val="12"/>
              <w:jc w:val="center"/>
            </w:pPr>
            <w:r>
              <w:rPr>
                <w:rFonts w:hint="eastAsia"/>
              </w:rPr>
              <w:t>副主席</w:t>
            </w:r>
          </w:p>
        </w:tc>
        <w:tc>
          <w:tcPr>
            <w:tcW w:w="1840" w:type="pct"/>
            <w:vAlign w:val="center"/>
          </w:tcPr>
          <w:p w14:paraId="11D8EAD3">
            <w:pPr>
              <w:pStyle w:val="12"/>
              <w:jc w:val="center"/>
            </w:pPr>
            <w:r>
              <w:rPr>
                <w:rFonts w:hint="eastAsia"/>
              </w:rPr>
              <w:t>1993年3月</w:t>
            </w:r>
          </w:p>
        </w:tc>
      </w:tr>
      <w:tr w14:paraId="199036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B9CFDA6">
            <w:pPr>
              <w:pStyle w:val="12"/>
              <w:jc w:val="center"/>
            </w:pPr>
            <w:r>
              <w:rPr>
                <w:rFonts w:hint="eastAsia"/>
              </w:rPr>
              <w:t>梁维新</w:t>
            </w:r>
          </w:p>
        </w:tc>
        <w:tc>
          <w:tcPr>
            <w:tcW w:w="1250" w:type="pct"/>
            <w:vAlign w:val="center"/>
          </w:tcPr>
          <w:p w14:paraId="53B337E4">
            <w:pPr>
              <w:pStyle w:val="12"/>
              <w:jc w:val="center"/>
            </w:pPr>
            <w:r>
              <w:rPr>
                <w:rFonts w:hint="eastAsia"/>
              </w:rPr>
              <w:t>广东梅县</w:t>
            </w:r>
          </w:p>
        </w:tc>
        <w:tc>
          <w:tcPr>
            <w:tcW w:w="660" w:type="pct"/>
            <w:vAlign w:val="center"/>
          </w:tcPr>
          <w:p w14:paraId="74F2BF83">
            <w:pPr>
              <w:pStyle w:val="12"/>
              <w:jc w:val="center"/>
            </w:pPr>
            <w:r>
              <w:rPr>
                <w:rFonts w:hint="eastAsia"/>
              </w:rPr>
              <w:t>副主席</w:t>
            </w:r>
          </w:p>
        </w:tc>
        <w:tc>
          <w:tcPr>
            <w:tcW w:w="1840" w:type="pct"/>
            <w:vAlign w:val="center"/>
          </w:tcPr>
          <w:p w14:paraId="4BF6248D">
            <w:pPr>
              <w:pStyle w:val="12"/>
              <w:jc w:val="center"/>
            </w:pPr>
            <w:r>
              <w:rPr>
                <w:rFonts w:hint="eastAsia"/>
              </w:rPr>
              <w:t>1993年3月至2001年3月</w:t>
            </w:r>
          </w:p>
        </w:tc>
      </w:tr>
      <w:tr w14:paraId="691B05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6FEF485A">
            <w:pPr>
              <w:pStyle w:val="12"/>
              <w:jc w:val="center"/>
            </w:pPr>
            <w:r>
              <w:rPr>
                <w:rFonts w:hint="eastAsia"/>
              </w:rPr>
              <w:t>向  耘（女）</w:t>
            </w:r>
          </w:p>
        </w:tc>
        <w:tc>
          <w:tcPr>
            <w:tcW w:w="1250" w:type="pct"/>
            <w:vAlign w:val="center"/>
          </w:tcPr>
          <w:p w14:paraId="36CA86DC">
            <w:pPr>
              <w:pStyle w:val="12"/>
              <w:jc w:val="center"/>
            </w:pPr>
            <w:r>
              <w:rPr>
                <w:rFonts w:hint="eastAsia"/>
              </w:rPr>
              <w:t>浙江镇海</w:t>
            </w:r>
          </w:p>
        </w:tc>
        <w:tc>
          <w:tcPr>
            <w:tcW w:w="660" w:type="pct"/>
            <w:vAlign w:val="center"/>
          </w:tcPr>
          <w:p w14:paraId="238BC2A3">
            <w:pPr>
              <w:pStyle w:val="12"/>
              <w:jc w:val="center"/>
            </w:pPr>
            <w:r>
              <w:rPr>
                <w:rFonts w:hint="eastAsia"/>
              </w:rPr>
              <w:t>副主席</w:t>
            </w:r>
          </w:p>
        </w:tc>
        <w:tc>
          <w:tcPr>
            <w:tcW w:w="1840" w:type="pct"/>
            <w:vAlign w:val="center"/>
          </w:tcPr>
          <w:p w14:paraId="55813324">
            <w:pPr>
              <w:pStyle w:val="12"/>
              <w:jc w:val="center"/>
            </w:pPr>
            <w:r>
              <w:rPr>
                <w:rFonts w:hint="eastAsia"/>
              </w:rPr>
              <w:t>1993年3月至1997年3月</w:t>
            </w:r>
          </w:p>
        </w:tc>
      </w:tr>
      <w:tr w14:paraId="71FC99D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0A06AA7A">
            <w:pPr>
              <w:pStyle w:val="12"/>
              <w:jc w:val="center"/>
            </w:pPr>
            <w:r>
              <w:rPr>
                <w:rFonts w:hint="eastAsia"/>
              </w:rPr>
              <w:t>钟道海</w:t>
            </w:r>
          </w:p>
        </w:tc>
        <w:tc>
          <w:tcPr>
            <w:tcW w:w="1250" w:type="pct"/>
            <w:vAlign w:val="center"/>
          </w:tcPr>
          <w:p w14:paraId="14BB9FA2">
            <w:pPr>
              <w:pStyle w:val="12"/>
              <w:jc w:val="center"/>
            </w:pPr>
            <w:r>
              <w:rPr>
                <w:rFonts w:hint="eastAsia"/>
              </w:rPr>
              <w:t>广东南雄</w:t>
            </w:r>
          </w:p>
        </w:tc>
        <w:tc>
          <w:tcPr>
            <w:tcW w:w="660" w:type="pct"/>
            <w:vAlign w:val="center"/>
          </w:tcPr>
          <w:p w14:paraId="5802E2C3">
            <w:pPr>
              <w:pStyle w:val="12"/>
              <w:jc w:val="center"/>
            </w:pPr>
            <w:r>
              <w:rPr>
                <w:rFonts w:hint="eastAsia"/>
              </w:rPr>
              <w:t>副主席</w:t>
            </w:r>
          </w:p>
        </w:tc>
        <w:tc>
          <w:tcPr>
            <w:tcW w:w="1840" w:type="pct"/>
            <w:vAlign w:val="center"/>
          </w:tcPr>
          <w:p w14:paraId="0DB542DF">
            <w:pPr>
              <w:pStyle w:val="12"/>
              <w:jc w:val="center"/>
            </w:pPr>
            <w:r>
              <w:rPr>
                <w:rFonts w:hint="eastAsia"/>
              </w:rPr>
              <w:t>1996年3月</w:t>
            </w:r>
          </w:p>
        </w:tc>
      </w:tr>
      <w:tr w14:paraId="03D67F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983DBD3">
            <w:pPr>
              <w:pStyle w:val="12"/>
              <w:jc w:val="center"/>
            </w:pPr>
            <w:r>
              <w:rPr>
                <w:rFonts w:hint="eastAsia"/>
              </w:rPr>
              <w:t>郭盛森</w:t>
            </w:r>
          </w:p>
        </w:tc>
        <w:tc>
          <w:tcPr>
            <w:tcW w:w="1250" w:type="pct"/>
            <w:vAlign w:val="center"/>
          </w:tcPr>
          <w:p w14:paraId="5859BA5C">
            <w:pPr>
              <w:pStyle w:val="12"/>
              <w:jc w:val="center"/>
            </w:pPr>
            <w:r>
              <w:rPr>
                <w:rFonts w:hint="eastAsia"/>
              </w:rPr>
              <w:t>广东南雄</w:t>
            </w:r>
          </w:p>
        </w:tc>
        <w:tc>
          <w:tcPr>
            <w:tcW w:w="660" w:type="pct"/>
            <w:vAlign w:val="center"/>
          </w:tcPr>
          <w:p w14:paraId="227210D9">
            <w:pPr>
              <w:pStyle w:val="12"/>
              <w:jc w:val="center"/>
            </w:pPr>
            <w:r>
              <w:rPr>
                <w:rFonts w:hint="eastAsia"/>
              </w:rPr>
              <w:t>副主席</w:t>
            </w:r>
          </w:p>
        </w:tc>
        <w:tc>
          <w:tcPr>
            <w:tcW w:w="1840" w:type="pct"/>
            <w:vAlign w:val="center"/>
          </w:tcPr>
          <w:p w14:paraId="7F039912">
            <w:pPr>
              <w:pStyle w:val="12"/>
              <w:jc w:val="center"/>
            </w:pPr>
            <w:r>
              <w:rPr>
                <w:rFonts w:hint="eastAsia"/>
              </w:rPr>
              <w:t>1998年3月至2003年3月</w:t>
            </w:r>
          </w:p>
        </w:tc>
      </w:tr>
      <w:tr w14:paraId="7B9917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0CF76FA">
            <w:pPr>
              <w:pStyle w:val="12"/>
              <w:jc w:val="center"/>
            </w:pPr>
            <w:r>
              <w:rPr>
                <w:rFonts w:hint="eastAsia"/>
              </w:rPr>
              <w:t>赖华焜</w:t>
            </w:r>
          </w:p>
        </w:tc>
        <w:tc>
          <w:tcPr>
            <w:tcW w:w="1250" w:type="pct"/>
            <w:vAlign w:val="center"/>
          </w:tcPr>
          <w:p w14:paraId="4E0F87B8">
            <w:pPr>
              <w:pStyle w:val="12"/>
              <w:jc w:val="center"/>
            </w:pPr>
            <w:r>
              <w:rPr>
                <w:rFonts w:hint="eastAsia"/>
              </w:rPr>
              <w:t>广东南雄</w:t>
            </w:r>
          </w:p>
        </w:tc>
        <w:tc>
          <w:tcPr>
            <w:tcW w:w="660" w:type="pct"/>
            <w:vAlign w:val="center"/>
          </w:tcPr>
          <w:p w14:paraId="6717656D">
            <w:pPr>
              <w:pStyle w:val="12"/>
              <w:jc w:val="center"/>
            </w:pPr>
            <w:r>
              <w:rPr>
                <w:rFonts w:hint="eastAsia"/>
              </w:rPr>
              <w:t>副主席</w:t>
            </w:r>
          </w:p>
        </w:tc>
        <w:tc>
          <w:tcPr>
            <w:tcW w:w="1840" w:type="pct"/>
            <w:vAlign w:val="center"/>
          </w:tcPr>
          <w:p w14:paraId="6DFA12BC">
            <w:pPr>
              <w:pStyle w:val="12"/>
              <w:jc w:val="center"/>
            </w:pPr>
            <w:r>
              <w:rPr>
                <w:rFonts w:hint="eastAsia"/>
              </w:rPr>
              <w:t>1998年3月</w:t>
            </w:r>
          </w:p>
        </w:tc>
      </w:tr>
      <w:tr w14:paraId="5292C5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EB4C3B9">
            <w:pPr>
              <w:pStyle w:val="12"/>
              <w:jc w:val="center"/>
            </w:pPr>
            <w:r>
              <w:rPr>
                <w:rFonts w:hint="eastAsia"/>
              </w:rPr>
              <w:t>衷玉华（女）</w:t>
            </w:r>
          </w:p>
        </w:tc>
        <w:tc>
          <w:tcPr>
            <w:tcW w:w="1250" w:type="pct"/>
            <w:vAlign w:val="center"/>
          </w:tcPr>
          <w:p w14:paraId="72A31385">
            <w:pPr>
              <w:pStyle w:val="12"/>
              <w:jc w:val="center"/>
            </w:pPr>
            <w:r>
              <w:rPr>
                <w:rFonts w:hint="eastAsia"/>
              </w:rPr>
              <w:t>江西南昌</w:t>
            </w:r>
          </w:p>
        </w:tc>
        <w:tc>
          <w:tcPr>
            <w:tcW w:w="660" w:type="pct"/>
            <w:vAlign w:val="center"/>
          </w:tcPr>
          <w:p w14:paraId="3884EE42">
            <w:pPr>
              <w:pStyle w:val="12"/>
              <w:jc w:val="center"/>
            </w:pPr>
            <w:r>
              <w:rPr>
                <w:rFonts w:hint="eastAsia"/>
              </w:rPr>
              <w:t>副主席</w:t>
            </w:r>
          </w:p>
        </w:tc>
        <w:tc>
          <w:tcPr>
            <w:tcW w:w="1840" w:type="pct"/>
            <w:vAlign w:val="center"/>
          </w:tcPr>
          <w:p w14:paraId="4DCD8BE2">
            <w:pPr>
              <w:pStyle w:val="12"/>
              <w:jc w:val="center"/>
            </w:pPr>
            <w:r>
              <w:rPr>
                <w:rFonts w:hint="eastAsia"/>
              </w:rPr>
              <w:t>2001年3月</w:t>
            </w:r>
          </w:p>
        </w:tc>
      </w:tr>
      <w:tr w14:paraId="02730D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4B0653F">
            <w:pPr>
              <w:pStyle w:val="12"/>
              <w:jc w:val="center"/>
            </w:pPr>
            <w:r>
              <w:rPr>
                <w:rFonts w:hint="eastAsia"/>
              </w:rPr>
              <w:t>刘发雄</w:t>
            </w:r>
          </w:p>
        </w:tc>
        <w:tc>
          <w:tcPr>
            <w:tcW w:w="1250" w:type="pct"/>
            <w:vAlign w:val="center"/>
          </w:tcPr>
          <w:p w14:paraId="05874962">
            <w:pPr>
              <w:pStyle w:val="12"/>
              <w:jc w:val="center"/>
            </w:pPr>
            <w:r>
              <w:rPr>
                <w:rFonts w:hint="eastAsia"/>
              </w:rPr>
              <w:t>广东南雄</w:t>
            </w:r>
          </w:p>
        </w:tc>
        <w:tc>
          <w:tcPr>
            <w:tcW w:w="660" w:type="pct"/>
            <w:vAlign w:val="center"/>
          </w:tcPr>
          <w:p w14:paraId="18E6D9A2">
            <w:pPr>
              <w:pStyle w:val="12"/>
              <w:jc w:val="center"/>
            </w:pPr>
            <w:r>
              <w:rPr>
                <w:rFonts w:hint="eastAsia"/>
              </w:rPr>
              <w:t>副主席</w:t>
            </w:r>
          </w:p>
        </w:tc>
        <w:tc>
          <w:tcPr>
            <w:tcW w:w="1840" w:type="pct"/>
            <w:vAlign w:val="center"/>
          </w:tcPr>
          <w:p w14:paraId="14760889">
            <w:pPr>
              <w:pStyle w:val="12"/>
              <w:jc w:val="center"/>
            </w:pPr>
            <w:r>
              <w:rPr>
                <w:rFonts w:hint="eastAsia"/>
              </w:rPr>
              <w:t>2001年3月至2002年3月</w:t>
            </w:r>
          </w:p>
        </w:tc>
      </w:tr>
      <w:tr w14:paraId="15D10F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DCE0E5F">
            <w:pPr>
              <w:pStyle w:val="12"/>
              <w:jc w:val="center"/>
            </w:pPr>
            <w:r>
              <w:rPr>
                <w:rFonts w:hint="eastAsia"/>
              </w:rPr>
              <w:t>刘卫忠</w:t>
            </w:r>
          </w:p>
        </w:tc>
        <w:tc>
          <w:tcPr>
            <w:tcW w:w="1250" w:type="pct"/>
            <w:vAlign w:val="center"/>
          </w:tcPr>
          <w:p w14:paraId="2B5C6E63">
            <w:pPr>
              <w:pStyle w:val="12"/>
              <w:jc w:val="center"/>
            </w:pPr>
            <w:r>
              <w:rPr>
                <w:rFonts w:hint="eastAsia"/>
              </w:rPr>
              <w:t>广东南雄</w:t>
            </w:r>
          </w:p>
        </w:tc>
        <w:tc>
          <w:tcPr>
            <w:tcW w:w="660" w:type="pct"/>
            <w:vAlign w:val="center"/>
          </w:tcPr>
          <w:p w14:paraId="40454F79">
            <w:pPr>
              <w:pStyle w:val="12"/>
              <w:jc w:val="center"/>
            </w:pPr>
            <w:r>
              <w:rPr>
                <w:rFonts w:hint="eastAsia"/>
              </w:rPr>
              <w:t>副主席</w:t>
            </w:r>
          </w:p>
        </w:tc>
        <w:tc>
          <w:tcPr>
            <w:tcW w:w="1840" w:type="pct"/>
            <w:vAlign w:val="center"/>
          </w:tcPr>
          <w:p w14:paraId="20BD1FCF">
            <w:pPr>
              <w:pStyle w:val="12"/>
              <w:jc w:val="center"/>
            </w:pPr>
            <w:r>
              <w:rPr>
                <w:rFonts w:hint="eastAsia"/>
              </w:rPr>
              <w:t>2001年3月</w:t>
            </w:r>
          </w:p>
        </w:tc>
      </w:tr>
      <w:tr w14:paraId="3F47AD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31EFBE4">
            <w:pPr>
              <w:pStyle w:val="12"/>
              <w:jc w:val="center"/>
            </w:pPr>
            <w:r>
              <w:rPr>
                <w:rFonts w:hint="eastAsia"/>
              </w:rPr>
              <w:t>李  冰</w:t>
            </w:r>
          </w:p>
        </w:tc>
        <w:tc>
          <w:tcPr>
            <w:tcW w:w="1250" w:type="pct"/>
            <w:vAlign w:val="center"/>
          </w:tcPr>
          <w:p w14:paraId="46CA0A96">
            <w:pPr>
              <w:pStyle w:val="12"/>
              <w:jc w:val="center"/>
            </w:pPr>
            <w:r>
              <w:rPr>
                <w:rFonts w:hint="eastAsia"/>
              </w:rPr>
              <w:t>广东南雄</w:t>
            </w:r>
          </w:p>
        </w:tc>
        <w:tc>
          <w:tcPr>
            <w:tcW w:w="660" w:type="pct"/>
            <w:vAlign w:val="center"/>
          </w:tcPr>
          <w:p w14:paraId="38396213">
            <w:pPr>
              <w:pStyle w:val="12"/>
              <w:jc w:val="center"/>
            </w:pPr>
            <w:r>
              <w:rPr>
                <w:rFonts w:hint="eastAsia"/>
              </w:rPr>
              <w:t>副主席</w:t>
            </w:r>
          </w:p>
        </w:tc>
        <w:tc>
          <w:tcPr>
            <w:tcW w:w="1840" w:type="pct"/>
            <w:vAlign w:val="center"/>
          </w:tcPr>
          <w:p w14:paraId="50BC1490">
            <w:pPr>
              <w:pStyle w:val="12"/>
              <w:jc w:val="center"/>
            </w:pPr>
            <w:r>
              <w:rPr>
                <w:rFonts w:hint="eastAsia"/>
              </w:rPr>
              <w:t>2002年3月至2003年3月</w:t>
            </w:r>
          </w:p>
        </w:tc>
      </w:tr>
    </w:tbl>
    <w:p w14:paraId="27DEB120">
      <w:pPr>
        <w:pStyle w:val="4"/>
        <w:rPr>
          <w:rFonts w:ascii="宋体" w:hAnsi="宋体" w:cs="宋体"/>
        </w:rPr>
      </w:pPr>
      <w:r>
        <w:rPr>
          <w:rFonts w:hint="eastAsia" w:ascii="宋体" w:hAnsi="宋体" w:cs="宋体"/>
        </w:rPr>
        <w:t>第二节  历届政协常务委员会</w:t>
      </w:r>
    </w:p>
    <w:p w14:paraId="3DC07351">
      <w:pPr>
        <w:ind w:firstLine="420"/>
        <w:rPr>
          <w:rFonts w:ascii="宋体" w:hAnsi="宋体" w:cs="宋体"/>
        </w:rPr>
      </w:pPr>
      <w:r>
        <w:rPr>
          <w:rFonts w:hint="eastAsia" w:ascii="宋体" w:hAnsi="宋体" w:cs="宋体"/>
        </w:rPr>
        <w:t>第一至第三届政协常委会议无记录，现仅记第四届政协常委会以后情况。</w:t>
      </w:r>
    </w:p>
    <w:p w14:paraId="6AE6FC29">
      <w:pPr>
        <w:pStyle w:val="5"/>
        <w:rPr>
          <w:rFonts w:ascii="宋体" w:hAnsi="宋体" w:cs="宋体"/>
        </w:rPr>
      </w:pPr>
      <w:r>
        <w:rPr>
          <w:rFonts w:hint="eastAsia" w:ascii="宋体" w:hAnsi="宋体" w:cs="宋体"/>
        </w:rPr>
        <w:t>一、第四届政协常务委员会</w:t>
      </w:r>
    </w:p>
    <w:p w14:paraId="19092CA7">
      <w:pPr>
        <w:ind w:firstLine="420"/>
        <w:rPr>
          <w:rFonts w:ascii="宋体" w:hAnsi="宋体" w:cs="宋体"/>
        </w:rPr>
      </w:pPr>
      <w:r>
        <w:rPr>
          <w:rFonts w:hint="eastAsia" w:ascii="宋体" w:hAnsi="宋体" w:cs="宋体"/>
        </w:rPr>
        <w:t>第四届政协常务委员会共召开20次常务委员会议。会议的主要内容是：学习传达全国政协章程、省市政协规定等，讨论决定县政协及常务委员会会务和工作中的重大问题；协商讨论中共南雄县委、县人民政府的重大方针政策以及政治、经济、文化、社会生活和统一战线中的重要问题，听取中共南雄县委、县人民政府及有关部门的负责人对有关重要问题的报告或说明，提出意见和建议；审议提交县政协全体会议的文件；审查重要的提案、视察报告、调查报告等。</w:t>
      </w:r>
    </w:p>
    <w:p w14:paraId="37ADD10D">
      <w:pPr>
        <w:pStyle w:val="5"/>
        <w:rPr>
          <w:rFonts w:ascii="宋体" w:hAnsi="宋体" w:cs="宋体"/>
        </w:rPr>
      </w:pPr>
      <w:r>
        <w:rPr>
          <w:rFonts w:hint="eastAsia" w:ascii="宋体" w:hAnsi="宋体" w:cs="宋体"/>
        </w:rPr>
        <w:t>二、第五届政协常务委员会</w:t>
      </w:r>
    </w:p>
    <w:p w14:paraId="78EB6F77">
      <w:pPr>
        <w:ind w:firstLine="420"/>
        <w:rPr>
          <w:rFonts w:ascii="宋体" w:hAnsi="宋体" w:cs="宋体"/>
        </w:rPr>
      </w:pPr>
      <w:r>
        <w:rPr>
          <w:rFonts w:hint="eastAsia" w:ascii="宋体" w:hAnsi="宋体" w:cs="宋体"/>
        </w:rPr>
        <w:t>第五届政协常务委员会共召开25次常委会议。会议的主要内容：审议通过各专门委员会组成名单和负责人名单；布置每年政协开展活动的工作要点；听取县（市）委、政府及有关部门领导就本市工农业生产、反腐败工作、城市治理、社会治安综合治理、财贸工作、文教卫生工作、精神文明建设、党风廉政建设等情况通报，审查提案办理情况及调查视察报告等；审议提交县（市）政协全体会议的文件；讨论决定县（市）政协及常务委员会会务和工作中的重大问题。</w:t>
      </w:r>
    </w:p>
    <w:p w14:paraId="1C6CE09F">
      <w:pPr>
        <w:pStyle w:val="5"/>
        <w:rPr>
          <w:rFonts w:ascii="宋体" w:hAnsi="宋体" w:cs="宋体"/>
        </w:rPr>
      </w:pPr>
      <w:r>
        <w:rPr>
          <w:rFonts w:hint="eastAsia" w:ascii="宋体" w:hAnsi="宋体" w:cs="宋体"/>
        </w:rPr>
        <w:t>三、第六届政协常务委员会</w:t>
      </w:r>
    </w:p>
    <w:p w14:paraId="56B5487A">
      <w:pPr>
        <w:ind w:firstLine="420"/>
        <w:rPr>
          <w:rFonts w:ascii="宋体" w:hAnsi="宋体" w:cs="宋体"/>
        </w:rPr>
      </w:pPr>
      <w:r>
        <w:rPr>
          <w:rFonts w:hint="eastAsia" w:ascii="宋体" w:hAnsi="宋体" w:cs="宋体"/>
        </w:rPr>
        <w:t>第六届政协常务委员会共召开21次常委会议。主要内容是：讨论通过关于专门委员会、工作组的设置、负责人及组成人员名单；审议通过每年度市政协常委会工作要点；听取市委、市政府及有关部门领导通报农房改造、城乡建设、国企改革、工农业生产、山地综合开发、政法队伍教育整顿、林业二次创业、财政预算执行、科技工作等有关情况，并提出意见和建议；组织学习全国、省、市重要会议精神和上级政协的有关决议、决定等；讨论每年的政府工作报告（征求意见稿），并提出修改意见；审议提交全体会议的文件；审查提案办理、调查视察报告等。</w:t>
      </w:r>
    </w:p>
    <w:p w14:paraId="3DEA5E57">
      <w:pPr>
        <w:pStyle w:val="5"/>
        <w:rPr>
          <w:rFonts w:ascii="宋体" w:hAnsi="宋体" w:cs="宋体"/>
        </w:rPr>
      </w:pPr>
      <w:r>
        <w:rPr>
          <w:rFonts w:hint="eastAsia" w:ascii="宋体" w:hAnsi="宋体" w:cs="宋体"/>
        </w:rPr>
        <w:t>四、第七届政协常务委员会</w:t>
      </w:r>
    </w:p>
    <w:p w14:paraId="1030E3B2">
      <w:pPr>
        <w:ind w:firstLine="420"/>
        <w:rPr>
          <w:rFonts w:ascii="宋体" w:hAnsi="宋体" w:cs="宋体"/>
        </w:rPr>
      </w:pPr>
      <w:r>
        <w:rPr>
          <w:rFonts w:hint="eastAsia" w:ascii="宋体" w:hAnsi="宋体" w:cs="宋体"/>
        </w:rPr>
        <w:t>第七届政协常委会至2004年9月止，共举行7次常委会议。主要内容：审议通过《政协南雄市第七届常务委员会关于设置专门委员会和专门委员会负责人的决定》、《政协南雄市委常务委员会2003年工作要点》、《政协南雄市委员会常委会工作规则》、《政协南雄市委员会关于委员参加本会活动的基本要求》、《关于在政协委员中开展创“双优”活动的决定》、审议《关于增设和调整部分专门委员会工作组织及其负责人的决定》，听取公安局领导关于本市社会治安情况通报，审查通过关于促进南雄民营经济新一轮发展的专题调研报告等。</w:t>
      </w:r>
    </w:p>
    <w:p w14:paraId="3F447823">
      <w:pPr>
        <w:pStyle w:val="4"/>
        <w:rPr>
          <w:rFonts w:ascii="宋体" w:hAnsi="宋体" w:cs="宋体"/>
        </w:rPr>
      </w:pPr>
      <w:r>
        <w:rPr>
          <w:rFonts w:hint="eastAsia" w:ascii="宋体" w:hAnsi="宋体" w:cs="宋体"/>
        </w:rPr>
        <w:t>第三节  政协工作机构</w:t>
      </w:r>
    </w:p>
    <w:p w14:paraId="049DF877">
      <w:pPr>
        <w:pStyle w:val="5"/>
        <w:rPr>
          <w:rFonts w:ascii="宋体" w:hAnsi="宋体" w:cs="宋体"/>
        </w:rPr>
      </w:pPr>
      <w:r>
        <w:rPr>
          <w:rFonts w:hint="eastAsia" w:ascii="宋体" w:hAnsi="宋体" w:cs="宋体"/>
        </w:rPr>
        <w:t>一、常设机构</w:t>
      </w:r>
    </w:p>
    <w:p w14:paraId="73842350">
      <w:pPr>
        <w:ind w:firstLine="420"/>
        <w:rPr>
          <w:rFonts w:ascii="宋体" w:hAnsi="宋体" w:cs="宋体"/>
        </w:rPr>
      </w:pPr>
      <w:r>
        <w:rPr>
          <w:rFonts w:hint="eastAsia" w:ascii="宋体" w:hAnsi="宋体" w:cs="宋体"/>
        </w:rPr>
        <w:t>设一室二科：政协常委会办公室，负责政协日常工作；组织联络科，负责政协组织联络工作；宣传科：负责政协宣传工作。</w:t>
      </w:r>
    </w:p>
    <w:p w14:paraId="7E224DE5">
      <w:pPr>
        <w:pStyle w:val="5"/>
        <w:rPr>
          <w:rFonts w:ascii="宋体" w:hAnsi="宋体" w:cs="宋体"/>
        </w:rPr>
      </w:pPr>
      <w:r>
        <w:rPr>
          <w:rFonts w:hint="eastAsia" w:ascii="宋体" w:hAnsi="宋体" w:cs="宋体"/>
        </w:rPr>
        <w:t>二、临时机构</w:t>
      </w:r>
    </w:p>
    <w:p w14:paraId="2ABEC5A7">
      <w:pPr>
        <w:ind w:firstLine="422"/>
        <w:rPr>
          <w:rFonts w:ascii="宋体" w:hAnsi="宋体" w:cs="宋体"/>
        </w:rPr>
      </w:pPr>
      <w:r>
        <w:rPr>
          <w:rFonts w:hint="eastAsia" w:ascii="宋体" w:hAnsi="宋体" w:cs="宋体"/>
          <w:b/>
          <w:bCs/>
        </w:rPr>
        <w:t>工作组</w:t>
      </w:r>
      <w:r>
        <w:rPr>
          <w:rFonts w:hint="eastAsia" w:ascii="宋体" w:hAnsi="宋体" w:cs="宋体"/>
        </w:rPr>
        <w:t xml:space="preserve">  根据每届政协工作需要设立。三届一次会议设工业科技、教育、医卫、“三胞”、宗教、农业、文体、工商、法制、城建10个工作组。四届一次会议改科技工业组为工业组，并增设财贸、民族工作组，仍为10个工作组。五届一次会议沿设10个工作组。六届一次会议将财贸组改为经贸组，改工商组为个体工商组，撤销民族、宗教组，增设科技组，共为9个工作组。七届一次会议设8个工作组：农业组、经贸组、城乡建设组、个体工商组、教育组、科技组、文体组、医卫组。</w:t>
      </w:r>
    </w:p>
    <w:p w14:paraId="47B668DE">
      <w:pPr>
        <w:ind w:firstLine="422"/>
        <w:rPr>
          <w:rFonts w:ascii="宋体" w:hAnsi="宋体" w:cs="宋体"/>
        </w:rPr>
      </w:pPr>
      <w:r>
        <w:rPr>
          <w:rFonts w:hint="eastAsia" w:ascii="宋体" w:hAnsi="宋体" w:cs="宋体"/>
          <w:b/>
          <w:bCs/>
        </w:rPr>
        <w:t>专门委员会</w:t>
      </w:r>
      <w:r>
        <w:rPr>
          <w:rFonts w:hint="eastAsia" w:ascii="宋体" w:hAnsi="宋体" w:cs="宋体"/>
        </w:rPr>
        <w:t xml:space="preserve">  三届一次会议设文史资料研究、学习工作、“三胞”联络、提案审查4个专门委员会。四届一次会议设置与三届同。五届在原基础上增设经济建设、文教卫体、民族宗教、科学技术、社会法制委员会，共9个专门委员会。六届撤销学习、“三胞”联谊、科学技术、文教卫体委员会，增设港澳台侨、教科文卫体委员会，共7个专门委员会。七届仍沿上届，设7个专门委员会。</w:t>
      </w:r>
    </w:p>
    <w:p w14:paraId="6B6BD2B7">
      <w:pPr>
        <w:pStyle w:val="4"/>
        <w:rPr>
          <w:rFonts w:ascii="宋体" w:hAnsi="宋体" w:cs="宋体"/>
        </w:rPr>
      </w:pPr>
      <w:r>
        <w:rPr>
          <w:rFonts w:hint="eastAsia" w:ascii="宋体" w:hAnsi="宋体" w:cs="宋体"/>
        </w:rPr>
        <w:t>第四节  视察、提案、文史工作</w:t>
      </w:r>
    </w:p>
    <w:p w14:paraId="7E97A507">
      <w:pPr>
        <w:pStyle w:val="5"/>
        <w:rPr>
          <w:rFonts w:ascii="宋体" w:hAnsi="宋体" w:cs="宋体"/>
        </w:rPr>
      </w:pPr>
      <w:r>
        <w:rPr>
          <w:rFonts w:hint="eastAsia" w:ascii="宋体" w:hAnsi="宋体" w:cs="宋体"/>
        </w:rPr>
        <w:t>一、视察调查</w:t>
      </w:r>
    </w:p>
    <w:p w14:paraId="0CFD8A9A">
      <w:pPr>
        <w:ind w:firstLine="420"/>
        <w:rPr>
          <w:rFonts w:ascii="宋体" w:hAnsi="宋体" w:cs="宋体"/>
        </w:rPr>
      </w:pPr>
      <w:r>
        <w:rPr>
          <w:rFonts w:hint="eastAsia" w:ascii="宋体" w:hAnsi="宋体" w:cs="宋体"/>
        </w:rPr>
        <w:t>1986年起至2004年止，先后组织委员视察65次，参加视察委员2380人次。视察的主要内容是工农业生产、文教卫生等工作情况。1993年至1997年先后视察100户农民、100户个体私营企业、30户外资企业，并向市（县）委提交《关于我市（县）农民负担问题的建议》、《关于外资企业经营状况和我们的建议》等视察报告。1998年至2004年对下岗职工再就业、科技兴烟、发展旅游业等专题调查视察，并向市委、市政府提交了《关于南雄市下岗职工再就业的调查和建议》、《关于加快发展个体经济的调查报告》、《关于南雄市招商引资工作调查报告》、《振兴南雄工业应实施名牌战略》、《关于发展我市工业经济的建议》、《关于拓宽就业门路的几点建议》等视察调查报告。</w:t>
      </w:r>
    </w:p>
    <w:p w14:paraId="57493719">
      <w:pPr>
        <w:pStyle w:val="5"/>
        <w:rPr>
          <w:rFonts w:ascii="宋体" w:hAnsi="宋体" w:cs="宋体"/>
        </w:rPr>
      </w:pPr>
      <w:r>
        <w:rPr>
          <w:rFonts w:hint="eastAsia" w:ascii="宋体" w:hAnsi="宋体" w:cs="宋体"/>
        </w:rPr>
        <w:t>二、提案工作</w:t>
      </w:r>
    </w:p>
    <w:p w14:paraId="501FC050">
      <w:pPr>
        <w:ind w:firstLine="420"/>
        <w:rPr>
          <w:rFonts w:ascii="宋体" w:hAnsi="宋体" w:cs="宋体"/>
        </w:rPr>
      </w:pPr>
      <w:r>
        <w:rPr>
          <w:rFonts w:hint="eastAsia" w:ascii="宋体" w:hAnsi="宋体" w:cs="宋体"/>
        </w:rPr>
        <w:t>1986年至2004年，委员提案共1122件，其中作来信处理由市（县）政协答复74件，立案交政府办理的1048件。除二届三次会议2件未办复外，其余的均已办复。</w:t>
      </w:r>
    </w:p>
    <w:p w14:paraId="56953304">
      <w:pPr>
        <w:pStyle w:val="5"/>
        <w:rPr>
          <w:rFonts w:ascii="宋体" w:hAnsi="宋体" w:cs="宋体"/>
        </w:rPr>
      </w:pPr>
      <w:r>
        <w:rPr>
          <w:rFonts w:hint="eastAsia" w:ascii="宋体" w:hAnsi="宋体" w:cs="宋体"/>
        </w:rPr>
        <w:t>三、文史资料征编</w:t>
      </w:r>
    </w:p>
    <w:p w14:paraId="7D8F39CC">
      <w:pPr>
        <w:ind w:firstLine="420"/>
        <w:rPr>
          <w:rFonts w:ascii="宋体" w:hAnsi="宋体" w:cs="宋体"/>
        </w:rPr>
      </w:pPr>
      <w:r>
        <w:rPr>
          <w:rFonts w:hint="eastAsia" w:ascii="宋体" w:hAnsi="宋体" w:cs="宋体"/>
        </w:rPr>
        <w:t>1984年至1995年，征集出版了自1840年以来有关本地政治、军事、经济、文化、教育、科技、名胜古迹、重要历史人物和重大历史事件的史料130多万字，编辑出版《南雄文史资料》共18辑（包括7辑专辑），成书19册，刊印5万多册。从1998年至2004年，出版了《珠玑巷姓氏源流丛书》、《珠玑之光》、《南雄旅游》等共19种书，近400万字，发行35800册。</w:t>
      </w:r>
    </w:p>
    <w:p w14:paraId="689BDF15">
      <w:pPr>
        <w:pStyle w:val="4"/>
        <w:rPr>
          <w:rFonts w:ascii="宋体" w:hAnsi="宋体" w:cs="宋体"/>
        </w:rPr>
      </w:pPr>
      <w:r>
        <w:rPr>
          <w:rFonts w:hint="eastAsia" w:ascii="宋体" w:hAnsi="宋体" w:cs="宋体"/>
        </w:rPr>
        <w:t>第五节  民主党派</w:t>
      </w:r>
    </w:p>
    <w:p w14:paraId="46F118FB">
      <w:pPr>
        <w:pStyle w:val="5"/>
        <w:rPr>
          <w:rFonts w:ascii="宋体" w:hAnsi="宋体" w:cs="宋体"/>
        </w:rPr>
      </w:pPr>
      <w:r>
        <w:rPr>
          <w:rFonts w:hint="eastAsia" w:ascii="宋体" w:hAnsi="宋体" w:cs="宋体"/>
        </w:rPr>
        <w:t>一、中国国民党革命委员会南雄市支部</w:t>
      </w:r>
    </w:p>
    <w:p w14:paraId="22459DD4">
      <w:pPr>
        <w:ind w:firstLine="420"/>
        <w:rPr>
          <w:rFonts w:ascii="宋体" w:hAnsi="宋体" w:cs="宋体"/>
        </w:rPr>
      </w:pPr>
      <w:r>
        <w:rPr>
          <w:rFonts w:hint="eastAsia" w:ascii="宋体" w:hAnsi="宋体" w:cs="宋体"/>
        </w:rPr>
        <w:t>中国国民党革命委员会（简称民革）支部于1991年8月13日成立。2004年有党员30人，主任委员刘卫忠。民革主任委员刘卫忠任南雄市第七届政协副主席，民革副主任委员陈伟民任南雄市第十二届人大常委会委员。</w:t>
      </w:r>
    </w:p>
    <w:p w14:paraId="386297C8">
      <w:pPr>
        <w:pStyle w:val="5"/>
        <w:rPr>
          <w:rFonts w:ascii="宋体" w:hAnsi="宋体" w:cs="宋体"/>
        </w:rPr>
      </w:pPr>
      <w:r>
        <w:rPr>
          <w:rFonts w:hint="eastAsia" w:ascii="宋体" w:hAnsi="宋体" w:cs="宋体"/>
        </w:rPr>
        <w:t>二、中国民主同盟南雄市总支部</w:t>
      </w:r>
    </w:p>
    <w:p w14:paraId="524B5B55">
      <w:pPr>
        <w:ind w:firstLine="420"/>
        <w:rPr>
          <w:rFonts w:ascii="宋体" w:hAnsi="宋体" w:cs="宋体"/>
        </w:rPr>
      </w:pPr>
      <w:r>
        <w:rPr>
          <w:rFonts w:hint="eastAsia" w:ascii="宋体" w:hAnsi="宋体" w:cs="宋体"/>
        </w:rPr>
        <w:t>中国民主同盟南雄支部于1988年7月20日成立。盟员10人。1994年10月成立民盟南雄总支部，选举产生第一届总支委员，主任委员张文渝，副主任委员陈浩强。1999年12月，选举第三届总支委员会，主委赖华焜，副主委李铭武、肖秀珠。总支下辖3个支部：南雄中学支部，市一中支部，联合支部，共有盟员37人。</w:t>
      </w:r>
    </w:p>
    <w:p w14:paraId="07EC3304">
      <w:pPr>
        <w:ind w:firstLine="420"/>
        <w:rPr>
          <w:rFonts w:ascii="宋体" w:hAnsi="宋体" w:cs="宋体"/>
        </w:rPr>
      </w:pPr>
      <w:r>
        <w:rPr>
          <w:rFonts w:hint="eastAsia" w:ascii="宋体" w:hAnsi="宋体" w:cs="宋体"/>
        </w:rPr>
        <w:t>赖华焜主委任政协第七届副主席，肖秀珠副主委任南雄市第十二届人大常委会委员。</w:t>
      </w:r>
    </w:p>
    <w:p w14:paraId="6B41E89D">
      <w:pPr>
        <w:pStyle w:val="3"/>
        <w:rPr>
          <w:rFonts w:ascii="宋体" w:hAnsi="宋体" w:cs="宋体"/>
        </w:rPr>
      </w:pPr>
      <w:r>
        <w:rPr>
          <w:rFonts w:hint="eastAsia" w:ascii="宋体" w:hAnsi="宋体" w:cs="宋体"/>
        </w:rPr>
        <w:t>第五章  公安司法</w:t>
      </w:r>
    </w:p>
    <w:p w14:paraId="3FB4215F">
      <w:pPr>
        <w:pStyle w:val="4"/>
        <w:rPr>
          <w:rFonts w:ascii="宋体" w:hAnsi="宋体" w:cs="宋体"/>
        </w:rPr>
      </w:pPr>
      <w:r>
        <w:rPr>
          <w:rFonts w:hint="eastAsia" w:ascii="宋体" w:hAnsi="宋体" w:cs="宋体"/>
        </w:rPr>
        <w:t>第一节  公安</w:t>
      </w:r>
    </w:p>
    <w:p w14:paraId="3837AB48">
      <w:pPr>
        <w:pStyle w:val="5"/>
        <w:rPr>
          <w:rFonts w:ascii="宋体" w:hAnsi="宋体" w:cs="宋体"/>
        </w:rPr>
      </w:pPr>
      <w:r>
        <w:rPr>
          <w:rFonts w:hint="eastAsia" w:ascii="宋体" w:hAnsi="宋体" w:cs="宋体"/>
        </w:rPr>
        <w:t>一、机构</w:t>
      </w:r>
    </w:p>
    <w:p w14:paraId="30D2DE5C">
      <w:pPr>
        <w:ind w:firstLine="422"/>
        <w:rPr>
          <w:rFonts w:ascii="宋体" w:hAnsi="宋体" w:cs="宋体"/>
          <w:b/>
          <w:bCs/>
        </w:rPr>
      </w:pPr>
      <w:r>
        <w:rPr>
          <w:rFonts w:hint="eastAsia" w:ascii="宋体" w:hAnsi="宋体" w:cs="宋体"/>
          <w:b/>
          <w:bCs/>
        </w:rPr>
        <w:t>（一）公安局</w:t>
      </w:r>
    </w:p>
    <w:p w14:paraId="097ACE7F">
      <w:pPr>
        <w:ind w:firstLine="420"/>
        <w:rPr>
          <w:rFonts w:ascii="宋体" w:hAnsi="宋体" w:cs="宋体"/>
        </w:rPr>
      </w:pPr>
      <w:r>
        <w:rPr>
          <w:rFonts w:hint="eastAsia" w:ascii="宋体" w:hAnsi="宋体" w:cs="宋体"/>
        </w:rPr>
        <w:t>1949年，县公安局成立。“文化大革命”期间，县革命委员会设立保卫组，行使公安局职能。1973年4月撤保卫组，恢复县公安局建制。</w:t>
      </w:r>
    </w:p>
    <w:p w14:paraId="3DDB5B59">
      <w:pPr>
        <w:ind w:firstLine="420"/>
        <w:rPr>
          <w:rFonts w:ascii="宋体" w:hAnsi="宋体" w:cs="宋体"/>
        </w:rPr>
      </w:pPr>
      <w:r>
        <w:rPr>
          <w:rFonts w:hint="eastAsia" w:ascii="宋体" w:hAnsi="宋体" w:cs="宋体"/>
        </w:rPr>
        <w:t>中共十一届三中全会以后，机构不断调整、完善、充实。至2004年底，南雄市公安局内设指挥中心、办公室、政治工作办公室、法制股、监察股、治安股、户政股、国保大队、行政装备股、刑警大队、交通警察大队、巡警大队、经济犯罪侦查大队、缉毒大队、通讯股、看守所、治安拘留所、警务督察队以及镇派出所22个，共有民警389名。</w:t>
      </w:r>
    </w:p>
    <w:p w14:paraId="204DCCC8">
      <w:pPr>
        <w:ind w:firstLine="422"/>
        <w:rPr>
          <w:rFonts w:ascii="宋体" w:hAnsi="宋体" w:cs="宋体"/>
          <w:b/>
          <w:bCs/>
        </w:rPr>
      </w:pPr>
      <w:r>
        <w:rPr>
          <w:rFonts w:hint="eastAsia" w:ascii="宋体" w:hAnsi="宋体" w:cs="宋体"/>
          <w:b/>
          <w:bCs/>
        </w:rPr>
        <w:t>（二）人民武装警察中队</w:t>
      </w:r>
    </w:p>
    <w:p w14:paraId="6DCC5514">
      <w:pPr>
        <w:ind w:firstLine="420"/>
        <w:rPr>
          <w:rFonts w:ascii="宋体" w:hAnsi="宋体" w:cs="宋体"/>
        </w:rPr>
      </w:pPr>
      <w:r>
        <w:rPr>
          <w:rFonts w:hint="eastAsia" w:ascii="宋体" w:hAnsi="宋体" w:cs="宋体"/>
        </w:rPr>
        <w:t>1949年，南雄县大队抽调部分武装力量组建公安队。1955年8月1日，公安队改称人民警察中队。“文化大革命”期间，人民警察中队被编为中国人民解放军内卫部队，由县武装部领导。1976年复归1公安建制，改称人民武装警察中队，执行逮捕、押解、看守、维护治安等任务。1983年1月，组建中国人民武装警察部队韶关支队后，建制供给由武警部队负责，受韶关市武警支队和县公安局双重领导。</w:t>
      </w:r>
    </w:p>
    <w:p w14:paraId="0DDAB5E8">
      <w:pPr>
        <w:ind w:firstLine="422"/>
        <w:rPr>
          <w:rFonts w:ascii="宋体" w:hAnsi="宋体" w:cs="宋体"/>
          <w:b/>
          <w:bCs/>
        </w:rPr>
      </w:pPr>
      <w:r>
        <w:rPr>
          <w:rFonts w:hint="eastAsia" w:ascii="宋体" w:hAnsi="宋体" w:cs="宋体"/>
          <w:b/>
          <w:bCs/>
        </w:rPr>
        <w:t>（三）基层治安组织</w:t>
      </w:r>
    </w:p>
    <w:p w14:paraId="7DA5DC75">
      <w:pPr>
        <w:ind w:firstLine="420"/>
        <w:rPr>
          <w:rFonts w:ascii="宋体" w:hAnsi="宋体" w:cs="宋体"/>
        </w:rPr>
      </w:pPr>
      <w:r>
        <w:rPr>
          <w:rFonts w:hint="eastAsia" w:ascii="宋体" w:hAnsi="宋体" w:cs="宋体"/>
        </w:rPr>
        <w:t>1952年各区以乡、县城以街道为单位成立治安保卫委员会，村成立治安保卫小组，开展防奸、防特、防谍、防盗、防火工作。1959年农村生产大队建立治保会，生产队建立治保小组。1986年撤区建乡后，村民委员会建立治安保卫委员会。农村建有治安队，县城建有治安巡逻队、护厂队、护街队、护楼队、护校队，重点单位安装报警器。至2004年，全市有治安保卫委员会347个，治安联防组织238个，群众治安防范组织874个。</w:t>
      </w:r>
    </w:p>
    <w:p w14:paraId="6106015A">
      <w:pPr>
        <w:pStyle w:val="5"/>
        <w:rPr>
          <w:rFonts w:ascii="宋体" w:hAnsi="宋体" w:cs="宋体"/>
        </w:rPr>
      </w:pPr>
      <w:r>
        <w:rPr>
          <w:rFonts w:hint="eastAsia" w:ascii="宋体" w:hAnsi="宋体" w:cs="宋体"/>
        </w:rPr>
        <w:t>二、政治案件侦查</w:t>
      </w:r>
    </w:p>
    <w:p w14:paraId="3B68460E">
      <w:pPr>
        <w:ind w:firstLine="422"/>
        <w:rPr>
          <w:rFonts w:ascii="宋体" w:hAnsi="宋体" w:cs="宋体"/>
          <w:b/>
          <w:bCs/>
        </w:rPr>
      </w:pPr>
      <w:r>
        <w:rPr>
          <w:rFonts w:hint="eastAsia" w:ascii="宋体" w:hAnsi="宋体" w:cs="宋体"/>
          <w:b/>
          <w:bCs/>
        </w:rPr>
        <w:t>（一）登记审查反动党团骨干和特务人员</w:t>
      </w:r>
    </w:p>
    <w:p w14:paraId="2FC0801D">
      <w:pPr>
        <w:ind w:firstLine="420"/>
        <w:rPr>
          <w:rFonts w:ascii="宋体" w:hAnsi="宋体" w:cs="宋体"/>
        </w:rPr>
      </w:pPr>
      <w:r>
        <w:rPr>
          <w:rFonts w:hint="eastAsia" w:ascii="宋体" w:hAnsi="宋体" w:cs="宋体"/>
        </w:rPr>
        <w:t>1950年11月，共登记国民党骨干分子（区分部委员以上）200余名，三青团骨干（分队长以上）、民社党骨干及特务组长以上人员100余名，情报员280余名，均依据其表现分别发落，给予出路，促其自新。</w:t>
      </w:r>
    </w:p>
    <w:p w14:paraId="4E70DAD7">
      <w:pPr>
        <w:ind w:firstLine="422"/>
        <w:rPr>
          <w:rFonts w:ascii="宋体" w:hAnsi="宋体" w:cs="宋体"/>
          <w:b/>
          <w:bCs/>
        </w:rPr>
      </w:pPr>
      <w:r>
        <w:rPr>
          <w:rFonts w:hint="eastAsia" w:ascii="宋体" w:hAnsi="宋体" w:cs="宋体"/>
          <w:b/>
          <w:bCs/>
        </w:rPr>
        <w:t>（二）清匪与镇反</w:t>
      </w:r>
    </w:p>
    <w:p w14:paraId="08A5A1F1">
      <w:pPr>
        <w:ind w:firstLine="420"/>
        <w:rPr>
          <w:rFonts w:ascii="宋体" w:hAnsi="宋体" w:cs="宋体"/>
        </w:rPr>
      </w:pPr>
      <w:r>
        <w:rPr>
          <w:rFonts w:hint="eastAsia" w:ascii="宋体" w:hAnsi="宋体" w:cs="宋体"/>
        </w:rPr>
        <w:t>1949年10月，中国人民解放军驻南雄部队与公安部门密切配合，采取武装镇压与政治瓦解相结合的办法，清剿土匪。至1951年1月，股匪全部肃清，击毙土匪70余名，击伤50名，俘获215名，其余缴械投降，共缴获机枪5挺，步枪690支，手枪92支，手榴弹13枚，子弹1.9万余发，其他军用物资一批。匪首丘常贵、张传一、黄馀冬、侯辅仁、赵棣华等均被击毙或镇压。</w:t>
      </w:r>
    </w:p>
    <w:p w14:paraId="4821FD97">
      <w:pPr>
        <w:ind w:firstLine="420"/>
        <w:rPr>
          <w:rFonts w:ascii="宋体" w:hAnsi="宋体" w:cs="宋体"/>
        </w:rPr>
      </w:pPr>
      <w:r>
        <w:rPr>
          <w:rFonts w:hint="eastAsia" w:ascii="宋体" w:hAnsi="宋体" w:cs="宋体"/>
        </w:rPr>
        <w:t>在清剿土匪的同时，镇压反革命分子。1950年3月14日在县城首次召开万人镇反大会。至1953年8月，共逮捕各种反革命分子2850名，分别依法惩办。</w:t>
      </w:r>
    </w:p>
    <w:p w14:paraId="46B65086">
      <w:pPr>
        <w:ind w:firstLine="422"/>
        <w:rPr>
          <w:rFonts w:ascii="宋体" w:hAnsi="宋体" w:cs="宋体"/>
          <w:b/>
          <w:bCs/>
        </w:rPr>
      </w:pPr>
      <w:r>
        <w:rPr>
          <w:rFonts w:hint="eastAsia" w:ascii="宋体" w:hAnsi="宋体" w:cs="宋体"/>
          <w:b/>
          <w:bCs/>
        </w:rPr>
        <w:t>（三）取缔反动会道门</w:t>
      </w:r>
    </w:p>
    <w:p w14:paraId="2BCA3989">
      <w:pPr>
        <w:ind w:firstLine="420"/>
        <w:rPr>
          <w:rFonts w:ascii="宋体" w:hAnsi="宋体" w:cs="宋体"/>
        </w:rPr>
      </w:pPr>
      <w:r>
        <w:rPr>
          <w:rFonts w:hint="eastAsia" w:ascii="宋体" w:hAnsi="宋体" w:cs="宋体"/>
        </w:rPr>
        <w:t>新中国成立初期，县内反动会道门有“先天道”、“真空教”、“同善社”、“一贯道”，均于1953年依法取缔。道首、道徒除死亡、下落不明或已回原籍者外，均进行登记。经登记道首50名，依法逮捕18名。登记“先天道”徒114名，“真空道”徒101名，“同善社”道徒27名，“一贯道”徒2名。这些道徒经教育后，纷纷退道。1954年2月23日至25日，在荆岗、黎口桥取缔教会反动组织“圣母军”，计有男一支团和女二支团共31人。</w:t>
      </w:r>
    </w:p>
    <w:p w14:paraId="560CE238">
      <w:pPr>
        <w:ind w:firstLine="422"/>
        <w:rPr>
          <w:rFonts w:ascii="宋体" w:hAnsi="宋体" w:cs="宋体"/>
          <w:b/>
          <w:bCs/>
        </w:rPr>
      </w:pPr>
      <w:r>
        <w:rPr>
          <w:rFonts w:hint="eastAsia" w:ascii="宋体" w:hAnsi="宋体" w:cs="宋体"/>
          <w:b/>
          <w:bCs/>
        </w:rPr>
        <w:t>（四）侦破现行反革命案件</w:t>
      </w:r>
    </w:p>
    <w:p w14:paraId="3C05EC7D">
      <w:pPr>
        <w:ind w:firstLine="420"/>
        <w:rPr>
          <w:rFonts w:ascii="宋体" w:hAnsi="宋体" w:cs="宋体"/>
        </w:rPr>
      </w:pPr>
      <w:r>
        <w:rPr>
          <w:rFonts w:hint="eastAsia" w:ascii="宋体" w:hAnsi="宋体" w:cs="宋体"/>
        </w:rPr>
        <w:t>1949年11月，破获匪首苏兴鸿勾结国民党特务李加宏在县城青云街河边抢劫来往船只货物案，捕获苏、李匪徒7人。</w:t>
      </w:r>
    </w:p>
    <w:p w14:paraId="0627544A">
      <w:pPr>
        <w:ind w:firstLine="420"/>
        <w:rPr>
          <w:rFonts w:ascii="宋体" w:hAnsi="宋体" w:cs="宋体"/>
        </w:rPr>
      </w:pPr>
      <w:r>
        <w:rPr>
          <w:rFonts w:hint="eastAsia" w:ascii="宋体" w:hAnsi="宋体" w:cs="宋体"/>
        </w:rPr>
        <w:t>1960年7月22日，破获以张春为首的“中华建国人民党”反革命集团案，7名罪犯全部落网。1961年1月27日，破获以沈春兰、张太棋为首的“粤赣湘边区反共救国军总司令部”反革命集团案，全部成员24人落网。</w:t>
      </w:r>
    </w:p>
    <w:p w14:paraId="775561E2">
      <w:pPr>
        <w:ind w:firstLine="420"/>
        <w:rPr>
          <w:rFonts w:ascii="宋体" w:hAnsi="宋体" w:cs="宋体"/>
        </w:rPr>
      </w:pPr>
      <w:r>
        <w:rPr>
          <w:rFonts w:hint="eastAsia" w:ascii="宋体" w:hAnsi="宋体" w:cs="宋体"/>
        </w:rPr>
        <w:t>1967年10月22日破获以李西石为首的“中华民国三民主义革命军讨共总督司令部”反革命集团案，生擒潜伏17年之久的反革命首要分子李西石，捕获该反革命组织成员56人。（以上详见《南雄县志·公安司法》）</w:t>
      </w:r>
    </w:p>
    <w:p w14:paraId="68ED8C30">
      <w:pPr>
        <w:ind w:firstLine="420"/>
        <w:rPr>
          <w:rFonts w:ascii="宋体" w:hAnsi="宋体" w:cs="宋体"/>
        </w:rPr>
      </w:pPr>
      <w:r>
        <w:rPr>
          <w:rFonts w:hint="eastAsia" w:ascii="宋体" w:hAnsi="宋体" w:cs="宋体"/>
        </w:rPr>
        <w:t>20世纪80年代，本县政治保卫工作主要是在全县范围内开展“反心战”宣传，收缴台湾方面的反动空飘传单，查处与境外敌特机关通讯联络地址投寄挂钩信的案件，对全县外逃人员进行全面调查摸底。90年代的工作重心是全力维护国家安全和社会政治稳定。</w:t>
      </w:r>
    </w:p>
    <w:p w14:paraId="583DD65F">
      <w:pPr>
        <w:pStyle w:val="5"/>
        <w:rPr>
          <w:rFonts w:ascii="宋体" w:hAnsi="宋体" w:cs="宋体"/>
        </w:rPr>
      </w:pPr>
      <w:r>
        <w:rPr>
          <w:rFonts w:hint="eastAsia" w:ascii="宋体" w:hAnsi="宋体" w:cs="宋体"/>
        </w:rPr>
        <w:t>三、刑事案件侦查</w:t>
      </w:r>
    </w:p>
    <w:p w14:paraId="37BC5BED">
      <w:pPr>
        <w:ind w:firstLine="422"/>
        <w:rPr>
          <w:rFonts w:ascii="宋体" w:hAnsi="宋体" w:cs="宋体"/>
          <w:b/>
          <w:bCs/>
        </w:rPr>
      </w:pPr>
      <w:r>
        <w:rPr>
          <w:rFonts w:hint="eastAsia" w:ascii="宋体" w:hAnsi="宋体" w:cs="宋体"/>
          <w:b/>
          <w:bCs/>
        </w:rPr>
        <w:t>（一）刑事案件</w:t>
      </w:r>
    </w:p>
    <w:p w14:paraId="0BCE69D3">
      <w:pPr>
        <w:ind w:firstLine="420"/>
        <w:rPr>
          <w:rFonts w:ascii="宋体" w:hAnsi="宋体" w:cs="宋体"/>
        </w:rPr>
      </w:pPr>
      <w:r>
        <w:rPr>
          <w:rFonts w:hint="eastAsia" w:ascii="宋体" w:hAnsi="宋体" w:cs="宋体"/>
        </w:rPr>
        <w:t>1954年至1965年，公安机关每年根据社会治安情况，集中力量，及时地有重点地打击刑事犯罪分子，收效良好，社会安定。12年发案827件，破案701件，破案率84.8%。“文化大革命”期间，1966年至1976年，发案721件，破案469件，破案率为65%。1980年至2004年，25年间，南雄共发刑事案件11486宗，破案6955宗，破案率60.55%。1983年8月，中共中央公布《关于严厉打击严重刑事犯罪活动的决定》，南雄县公安机关作出了3年为期打两个战役的部署。至1985年，共抓获各种犯罪分子1236人，挖出犯罪团伙54个，破获刑事案件508宗，是新中国成立以来，打击规模最大，历时最长、捕获刑事犯罪数量最多的一次。1996年南雄县公安机关开展了“严打”专项行动和严打整治“冬季行动”，共破获刑事案件144宗，抓获犯罪嫌疑人114人，缴获赃款赃物价值人民币29.2万元。1998年11月至1999年底，开展打击走私、盗窃、抢劫机动车犯罪专项斗争中，破获抢劫摩托车案件4宗、盗窃摩托车案件37宗、盗窃汽车案件2宗，缴获被盗抢摩托车35辆、汽车2辆，挽回经济损失50多万元。2000年4月至7月，根据公安部、省委、省政府的部署，开展了“打拐”、“两打一扫”的专项斗争，破获刑事案件225宗，抓获犯罪嫌疑人169名，打掉犯罪团伙20个，解救被拐卖儿童2人。</w:t>
      </w:r>
    </w:p>
    <w:p w14:paraId="0925420A">
      <w:pPr>
        <w:ind w:firstLine="422"/>
        <w:rPr>
          <w:rFonts w:ascii="宋体" w:hAnsi="宋体" w:cs="宋体"/>
          <w:b/>
          <w:bCs/>
        </w:rPr>
      </w:pPr>
      <w:r>
        <w:rPr>
          <w:rFonts w:hint="eastAsia" w:ascii="宋体" w:hAnsi="宋体" w:cs="宋体"/>
          <w:b/>
          <w:bCs/>
        </w:rPr>
        <w:t>（二）经济案件</w:t>
      </w:r>
    </w:p>
    <w:p w14:paraId="60B41FCF">
      <w:pPr>
        <w:ind w:firstLine="420"/>
        <w:rPr>
          <w:rFonts w:ascii="宋体" w:hAnsi="宋体" w:cs="宋体"/>
        </w:rPr>
      </w:pPr>
      <w:r>
        <w:rPr>
          <w:rFonts w:hint="eastAsia" w:ascii="宋体" w:hAnsi="宋体" w:cs="宋体"/>
        </w:rPr>
        <w:t>2002年经侦大队成立以来，立经济案件14宗，破获11宗，抓获犯罪嫌疑人23人；涉案金额达313万多元，挽回经济损失258万元。</w:t>
      </w:r>
    </w:p>
    <w:p w14:paraId="3071DA85">
      <w:pPr>
        <w:pStyle w:val="5"/>
        <w:rPr>
          <w:rFonts w:ascii="宋体" w:hAnsi="宋体" w:cs="宋体"/>
        </w:rPr>
      </w:pPr>
      <w:r>
        <w:rPr>
          <w:rFonts w:hint="eastAsia" w:ascii="宋体" w:hAnsi="宋体" w:cs="宋体"/>
        </w:rPr>
        <w:t>四、治安管理</w:t>
      </w:r>
    </w:p>
    <w:p w14:paraId="5162A668">
      <w:pPr>
        <w:ind w:firstLine="422"/>
        <w:rPr>
          <w:rFonts w:ascii="宋体" w:hAnsi="宋体" w:cs="宋体"/>
          <w:b/>
          <w:bCs/>
        </w:rPr>
      </w:pPr>
      <w:r>
        <w:rPr>
          <w:rFonts w:hint="eastAsia" w:ascii="宋体" w:hAnsi="宋体" w:cs="宋体"/>
          <w:b/>
          <w:bCs/>
        </w:rPr>
        <w:t>（一）特种行业及枪支弹药、民爆等危险物品管理</w:t>
      </w:r>
    </w:p>
    <w:p w14:paraId="0620BF8C">
      <w:pPr>
        <w:ind w:firstLine="420"/>
        <w:rPr>
          <w:rFonts w:ascii="宋体" w:hAnsi="宋体" w:cs="宋体"/>
        </w:rPr>
      </w:pPr>
      <w:r>
        <w:rPr>
          <w:rFonts w:hint="eastAsia" w:ascii="宋体" w:hAnsi="宋体" w:cs="宋体"/>
        </w:rPr>
        <w:t>新中国成立初期，于1950年结合清匪反霸、镇压反革命运动，对特种行业进行整顿，经批准继续开业的旅店11家，印刷1家，雕刻1家，修理89家。1982年公安机关为适应改革开放的新形势，对已领取营业许可证的特种行业和从业人员，分别给予造册登记，制定岗位责任制。1984年缩小特种行业管理范围，仅对旅馆、废品收购站、雕刻业继续实行审批管理。2003年按国务院规定，取消了对废品收购业、刻字印刷业的发证登记管理，仅对旅馆业实行登记管理。</w:t>
      </w:r>
    </w:p>
    <w:p w14:paraId="24A8746C">
      <w:pPr>
        <w:ind w:firstLine="420"/>
        <w:rPr>
          <w:rFonts w:ascii="宋体" w:hAnsi="宋体" w:cs="宋体"/>
        </w:rPr>
      </w:pPr>
      <w:r>
        <w:rPr>
          <w:rFonts w:hint="eastAsia" w:ascii="宋体" w:hAnsi="宋体" w:cs="宋体"/>
        </w:rPr>
        <w:t>1998年至2002年，在加强枪支弹药和民爆等危险物品的管理中，缴获各类枪支60支，子弹158发，炸药751公斤，雷管14368枚，导火线5075米。</w:t>
      </w:r>
    </w:p>
    <w:p w14:paraId="6D2BEF14">
      <w:pPr>
        <w:ind w:firstLine="422"/>
        <w:rPr>
          <w:rFonts w:ascii="宋体" w:hAnsi="宋体" w:cs="宋体"/>
          <w:b/>
          <w:bCs/>
        </w:rPr>
      </w:pPr>
      <w:r>
        <w:rPr>
          <w:rFonts w:hint="eastAsia" w:ascii="宋体" w:hAnsi="宋体" w:cs="宋体"/>
          <w:b/>
          <w:bCs/>
        </w:rPr>
        <w:t>（二）禁烟禁赌禁娼</w:t>
      </w:r>
    </w:p>
    <w:p w14:paraId="7D457889">
      <w:pPr>
        <w:ind w:firstLine="420"/>
        <w:rPr>
          <w:rFonts w:ascii="宋体" w:hAnsi="宋体" w:cs="宋体"/>
        </w:rPr>
      </w:pPr>
      <w:r>
        <w:rPr>
          <w:rFonts w:hint="eastAsia" w:ascii="宋体" w:hAnsi="宋体" w:cs="宋体"/>
        </w:rPr>
        <w:t>新中国成立后，县人民政府严厉禁烟（鸦片）、禁赌、禁娼。1949年10月设立戒烟所，强令吸毒者入所戒烟；查缉封闭县城烟窟10余处，缴获烟土40余两，烟具一批，拘捕处罚一批贩毒者。1951年破获以陈日龙为首的贩毒集团，缴获烟土200余两。1952年破获贩毒案63宗，缴获烟土673两，烟枪62支，烟头20015个，查禁烟窟50余处，依法惩处贩毒主犯14名，强制集中戒烟的吸毒者109名，有1000余名吸毒烟民在政府的感召下自动戒烟。在禁烟的同时，查封县城大赌场11处，拘留赌棍80余名，并将散落在县城仁寿巷、三元里、维新路一带30多家妓馆的50余名娼妓集中教育，责令改行从事正当职业。</w:t>
      </w:r>
    </w:p>
    <w:p w14:paraId="0E915A37">
      <w:pPr>
        <w:ind w:firstLine="420"/>
        <w:rPr>
          <w:rFonts w:ascii="宋体" w:hAnsi="宋体" w:cs="宋体"/>
        </w:rPr>
      </w:pPr>
      <w:r>
        <w:rPr>
          <w:rFonts w:hint="eastAsia" w:ascii="宋体" w:hAnsi="宋体" w:cs="宋体"/>
        </w:rPr>
        <w:t>1987年全县开展打击卖淫嫖娼犯罪活动，共查出卖淫妇35名，嫖客49名，皮条客2名，依法作出处理，其中逮捕3名，送劳教1名，行政处罚51名，遣送回乡5名，教育处理26名。1989年查获嫖娼卖淫案件85起，抓获违法犯罪人员191人，其中送劳教12人。1984年至2000年查获吸毒案10宗15人，其中2人判处死刑，5人判处有期徒刑。</w:t>
      </w:r>
    </w:p>
    <w:p w14:paraId="6C500825">
      <w:pPr>
        <w:ind w:firstLine="422"/>
        <w:rPr>
          <w:rFonts w:ascii="宋体" w:hAnsi="宋体" w:cs="宋体"/>
          <w:b/>
          <w:bCs/>
        </w:rPr>
      </w:pPr>
      <w:r>
        <w:rPr>
          <w:rFonts w:hint="eastAsia" w:ascii="宋体" w:hAnsi="宋体" w:cs="宋体"/>
          <w:b/>
          <w:bCs/>
        </w:rPr>
        <w:t>（三）查禁淫书淫画和淫秽音像制品</w:t>
      </w:r>
    </w:p>
    <w:p w14:paraId="4F7819B5">
      <w:pPr>
        <w:ind w:firstLine="420"/>
        <w:rPr>
          <w:rFonts w:ascii="宋体" w:hAnsi="宋体" w:cs="宋体"/>
        </w:rPr>
      </w:pPr>
      <w:r>
        <w:rPr>
          <w:rFonts w:hint="eastAsia" w:ascii="宋体" w:hAnsi="宋体" w:cs="宋体"/>
        </w:rPr>
        <w:t>1982年8月开展查禁淫秽物品工作，查获黄色录音带806盒，淫书淫画15本。1985年对全县42个录像放映点进行全面清理，取缔淫秽录像放映点4个，缴获淫秽录像带18盒，色情图片5张，依法处理违法人员18名。1987年4月查获贩卖、复制、传播和观看淫秽录像人员84名，逮捕3名，行政处罚81名，缴获淫秽录像15盒，电视机5台，录像机1台，淫秽书刊5本。1989年，查获传播淫秽物品案件21起，缴获淫秽录像带、光盘3560盘，电视机8台，查封淫秽传播窝点21处。</w:t>
      </w:r>
    </w:p>
    <w:p w14:paraId="028FD6A0">
      <w:pPr>
        <w:ind w:firstLine="422"/>
        <w:rPr>
          <w:rFonts w:ascii="宋体" w:hAnsi="宋体" w:cs="宋体"/>
          <w:b/>
          <w:bCs/>
        </w:rPr>
      </w:pPr>
      <w:r>
        <w:rPr>
          <w:rFonts w:hint="eastAsia" w:ascii="宋体" w:hAnsi="宋体" w:cs="宋体"/>
          <w:b/>
          <w:bCs/>
        </w:rPr>
        <w:t>（四）安全文明小区建设</w:t>
      </w:r>
    </w:p>
    <w:p w14:paraId="390D9EA1">
      <w:pPr>
        <w:ind w:firstLine="420"/>
        <w:rPr>
          <w:rFonts w:ascii="宋体" w:hAnsi="宋体" w:cs="宋体"/>
        </w:rPr>
      </w:pPr>
      <w:r>
        <w:rPr>
          <w:rFonts w:hint="eastAsia" w:ascii="宋体" w:hAnsi="宋体" w:cs="宋体"/>
        </w:rPr>
        <w:t>1998年在新城创建了25个质量高的安全文明小区，而后全面推广，采取按街道范围，以块为主，把成片的办公楼、住宅群划分为完整的小区，在小区成立机构，完善制度。每个小区都建立档案，明确记载小区范围、住户数、组织机构、人员职责、治安人员的组成和检查考核制度等。全市有安全小区731个，其中农村675个，市区56个，覆盖率67.7%，已达标的小区有266个，无刑事案件小区有490个。城市纳入小区管理的人口占城市总人口的70%。被韶关市综治委命名的安全小区有15个，被韶关市命名优秀安全小区2个，被广东省人民政府评为优秀安全小区1个。</w:t>
      </w:r>
    </w:p>
    <w:p w14:paraId="75A208E3">
      <w:pPr>
        <w:ind w:firstLine="422"/>
        <w:rPr>
          <w:rFonts w:ascii="宋体" w:hAnsi="宋体" w:cs="宋体"/>
          <w:b/>
          <w:bCs/>
        </w:rPr>
      </w:pPr>
      <w:r>
        <w:rPr>
          <w:rFonts w:hint="eastAsia" w:ascii="宋体" w:hAnsi="宋体" w:cs="宋体"/>
          <w:b/>
          <w:bCs/>
        </w:rPr>
        <w:t>（五）治安处罚</w:t>
      </w:r>
    </w:p>
    <w:p w14:paraId="5611DA45">
      <w:pPr>
        <w:ind w:firstLine="420"/>
        <w:rPr>
          <w:rFonts w:ascii="宋体" w:hAnsi="宋体" w:cs="宋体"/>
        </w:rPr>
      </w:pPr>
      <w:r>
        <w:rPr>
          <w:rFonts w:hint="eastAsia" w:ascii="宋体" w:hAnsi="宋体" w:cs="宋体"/>
        </w:rPr>
        <w:t>在查处治安案件中，实行教育与处罚相结合的原则，根据情节轻重分别给予警告、罚款、拘留。</w:t>
      </w:r>
    </w:p>
    <w:p w14:paraId="73A151F4">
      <w:pPr>
        <w:ind w:firstLine="420"/>
        <w:rPr>
          <w:rFonts w:ascii="宋体" w:hAnsi="宋体" w:cs="宋体"/>
        </w:rPr>
      </w:pPr>
      <w:r>
        <w:rPr>
          <w:rFonts w:hint="eastAsia" w:ascii="宋体" w:hAnsi="宋体" w:cs="宋体"/>
        </w:rPr>
        <w:t>1980年至2004年，违反治安管理条例被处罚的有19622人次，年均784人次。其中，警告3062人次，罚款9026人次，拘留7534人次。</w:t>
      </w:r>
    </w:p>
    <w:p w14:paraId="6BF17716">
      <w:pPr>
        <w:pStyle w:val="5"/>
        <w:rPr>
          <w:rFonts w:ascii="宋体" w:hAnsi="宋体" w:cs="宋体"/>
        </w:rPr>
      </w:pPr>
      <w:r>
        <w:rPr>
          <w:rFonts w:hint="eastAsia" w:ascii="宋体" w:hAnsi="宋体" w:cs="宋体"/>
        </w:rPr>
        <w:t>五、户籍管理</w:t>
      </w:r>
    </w:p>
    <w:p w14:paraId="2C3AC695">
      <w:pPr>
        <w:ind w:firstLine="420"/>
        <w:rPr>
          <w:rFonts w:ascii="宋体" w:hAnsi="宋体" w:cs="宋体"/>
        </w:rPr>
      </w:pPr>
      <w:r>
        <w:rPr>
          <w:rFonts w:hint="eastAsia" w:ascii="宋体" w:hAnsi="宋体" w:cs="宋体"/>
        </w:rPr>
        <w:t>新中国成立后，县人民政府于1950年6月取消原国民政府颁发的户口册、身份证，由公安机关重新进行户口调查，统一登记门牌编号，重新发给户口登记簿。县城户口归县公安局管理，由城关派出所具体实施；农村户口归县府民政科管理，由乡人民政府具体实施。1956年，根据《中华人民共和国户口登记条例》对居住县城的居民实行“常住”、“暂住”、“出生”、“死亡”、“迁出”、“迁入”、“变更”7项登记制度。居住在农村的常住人口实行“出生”、“死亡”、“迁出”、“迁入”4项登记制度。1981年9月，县公安局成立了24个农村派出所，负责管理农村户口。</w:t>
      </w:r>
    </w:p>
    <w:p w14:paraId="21F19823">
      <w:pPr>
        <w:ind w:firstLine="420"/>
        <w:rPr>
          <w:rFonts w:ascii="宋体" w:hAnsi="宋体" w:cs="宋体"/>
        </w:rPr>
      </w:pPr>
      <w:r>
        <w:rPr>
          <w:rFonts w:hint="eastAsia" w:ascii="宋体" w:hAnsi="宋体" w:cs="宋体"/>
        </w:rPr>
        <w:t>1984年以来县城人口猛增。1984年至1987年，农业人口转为非农业人口1621户，5100人，占县城人口的7.74%；农民进城经商办厂，自理口粮户有6072户，18637人，占县城总人口的28.3%；外来搞副业的暂住人口，1984年为2542人，1985年为3667人，1986年为3946人，1987年为3112人。2002年10月，取消“农转非”指标。</w:t>
      </w:r>
    </w:p>
    <w:p w14:paraId="765A77D2">
      <w:pPr>
        <w:ind w:firstLine="420"/>
        <w:rPr>
          <w:rFonts w:ascii="宋体" w:hAnsi="宋体" w:cs="宋体"/>
        </w:rPr>
      </w:pPr>
      <w:r>
        <w:rPr>
          <w:rFonts w:hint="eastAsia" w:ascii="宋体" w:hAnsi="宋体" w:cs="宋体"/>
        </w:rPr>
        <w:t>1989年4月县公安局下设户政股，管全县户口变动、人口统计、人口普查和其他户口管理工作。1991年，全县农业人口全面发放了家庭户口本。1997年全市的户口实行了电脑化管理，全面换发了新版的家庭户口簿，实施“六位一体”模式管理户口。</w:t>
      </w:r>
    </w:p>
    <w:p w14:paraId="1C1C9B36">
      <w:pPr>
        <w:ind w:firstLine="420"/>
        <w:rPr>
          <w:rFonts w:ascii="宋体" w:hAnsi="宋体" w:cs="宋体"/>
        </w:rPr>
      </w:pPr>
      <w:r>
        <w:rPr>
          <w:rFonts w:hint="eastAsia" w:ascii="宋体" w:hAnsi="宋体" w:cs="宋体"/>
        </w:rPr>
        <w:t>1987年12月，依照《中华人民共和国居民身份证条例》，颁发居民身份证，至1989年底全县颁发居民身份证259111人。</w:t>
      </w:r>
    </w:p>
    <w:p w14:paraId="4FBDB1CE">
      <w:pPr>
        <w:pStyle w:val="5"/>
        <w:rPr>
          <w:rFonts w:ascii="宋体" w:hAnsi="宋体" w:cs="宋体"/>
        </w:rPr>
      </w:pPr>
      <w:r>
        <w:rPr>
          <w:rFonts w:hint="eastAsia" w:ascii="宋体" w:hAnsi="宋体" w:cs="宋体"/>
        </w:rPr>
        <w:t>六、交通管理</w:t>
      </w:r>
    </w:p>
    <w:p w14:paraId="34D24056">
      <w:pPr>
        <w:ind w:firstLine="420"/>
        <w:rPr>
          <w:rFonts w:ascii="宋体" w:hAnsi="宋体" w:cs="宋体"/>
        </w:rPr>
      </w:pPr>
      <w:r>
        <w:rPr>
          <w:rFonts w:hint="eastAsia" w:ascii="宋体" w:hAnsi="宋体" w:cs="宋体"/>
        </w:rPr>
        <w:t>1984年以前，县公安局治安股设专责干警负责县城交通管理和协助交通监理部门处理重大交通事故。1984年7月设立交通队。1987年设立县公安局雄州交通警察中队，配备干警33人，在县城北门街十字路口和县人民政府门前设立交通指挥岗亭。</w:t>
      </w:r>
    </w:p>
    <w:p w14:paraId="621C06D1">
      <w:pPr>
        <w:ind w:firstLine="420"/>
        <w:rPr>
          <w:rFonts w:ascii="宋体" w:hAnsi="宋体" w:cs="宋体"/>
        </w:rPr>
      </w:pPr>
      <w:r>
        <w:rPr>
          <w:rFonts w:hint="eastAsia" w:ascii="宋体" w:hAnsi="宋体" w:cs="宋体"/>
        </w:rPr>
        <w:t>根据国务院有关通知，县公安局于1986年11月30日接管县交通监理所，成立南雄县公安局交通警察大队（副科级单位），下设交管股、车管股、宣教股、行秘股，赤水塘中队、雄州中队、公路巡逻中队、南亩中队、乌迳中队、梅岭中队。配备干警51人。1993年4月省公安厅设立乌迳、梅岭治安工作站，担负交通管理和公路治安管理双重职责。全大队共配备民警77人。</w:t>
      </w:r>
    </w:p>
    <w:p w14:paraId="7A45BA8D">
      <w:pPr>
        <w:ind w:firstLine="420"/>
        <w:rPr>
          <w:rFonts w:ascii="宋体" w:hAnsi="宋体" w:cs="宋体"/>
        </w:rPr>
      </w:pPr>
      <w:r>
        <w:rPr>
          <w:rFonts w:hint="eastAsia" w:ascii="宋体" w:hAnsi="宋体" w:cs="宋体"/>
        </w:rPr>
        <w:t>交警大队负责G323线和S342线以及县、乡道路交通秩序的管理和对全县机动车辆的管理，至2004年共处理交通事故5986宗，管理机动车27136辆，其中汽车1651辆，摩托车23019辆，拖拉机2466辆。</w:t>
      </w:r>
    </w:p>
    <w:p w14:paraId="5BD87251">
      <w:pPr>
        <w:pStyle w:val="5"/>
        <w:rPr>
          <w:rFonts w:ascii="宋体" w:hAnsi="宋体" w:cs="宋体"/>
        </w:rPr>
      </w:pPr>
      <w:r>
        <w:rPr>
          <w:rFonts w:hint="eastAsia" w:ascii="宋体" w:hAnsi="宋体" w:cs="宋体"/>
        </w:rPr>
        <w:t>七、消防管理</w:t>
      </w:r>
    </w:p>
    <w:p w14:paraId="7205228D">
      <w:pPr>
        <w:ind w:firstLine="420"/>
        <w:rPr>
          <w:rFonts w:ascii="宋体" w:hAnsi="宋体" w:cs="宋体"/>
        </w:rPr>
      </w:pPr>
      <w:r>
        <w:rPr>
          <w:rFonts w:hint="eastAsia" w:ascii="宋体" w:hAnsi="宋体" w:cs="宋体"/>
        </w:rPr>
        <w:t>新中国成立后，消防工作由公安局主管。1951年成立城关区人民消防队，下设5个大队，共700余人，配有救火机5架。1957年农村以及各工厂、企事业单位相继建立义务消防队326个，队员19498人。1971年成立专业消防中队（属现役军人），由武装部代管，有干部4人，战士19人。</w:t>
      </w:r>
    </w:p>
    <w:p w14:paraId="36BA4CF0">
      <w:pPr>
        <w:ind w:firstLine="420"/>
        <w:rPr>
          <w:rFonts w:ascii="宋体" w:hAnsi="宋体" w:cs="宋体"/>
        </w:rPr>
      </w:pPr>
      <w:r>
        <w:rPr>
          <w:rFonts w:hint="eastAsia" w:ascii="宋体" w:hAnsi="宋体" w:cs="宋体"/>
        </w:rPr>
        <w:t>1982年消防中队纳入人民武装警察建制，受韶关市消防支队和县公安局双重领导。1987年消防中队配有七马力手抬机动泵1台，解放牌4吨消防水罐汽车1辆，东风牌5吨水罐汽车1辆，灭火车1辆，16.1千瓦和18.3千瓦机动水泵各1台。1992年消防队升格为公安消防大队（正营级），编制28人。先后配备了解放牌1.5吨水罐消防车2辆，3吨水灌消防车1辆，东风牌3吨水罐消防车4辆，五十铃抢险救援车1辆，以及一批特种抢险救援和个人防护装备。大队坚持“预防为主，防消结合”的消防工作方针，狠抓消防安全责任制的落实，确定消防安全重点单位，设立防火安全责任人，层层建立防火安全责任制，做到定人、定岗、定责。每年对各种场所进行专项防火安全检查或抽样检查。</w:t>
      </w:r>
    </w:p>
    <w:p w14:paraId="38C3E18F">
      <w:pPr>
        <w:ind w:firstLine="420"/>
        <w:rPr>
          <w:rFonts w:ascii="宋体" w:hAnsi="宋体" w:cs="宋体"/>
        </w:rPr>
      </w:pPr>
      <w:r>
        <w:rPr>
          <w:rFonts w:hint="eastAsia" w:ascii="宋体" w:hAnsi="宋体" w:cs="宋体"/>
        </w:rPr>
        <w:t>1980年至2000年底，全市共发生火灾事故875起，死亡6人，伤3人，直接财产损失1325万元。较重大的火灾事故有1989年县木制品厂火灾，燃烧近5个小时，直接经济损失32万元。1998年雄东液化气站火灾，火势燃烧非常猛烈，并随时有可能发生爆炸，经消防官兵历时3个小时的扑救，终于保住了气站。</w:t>
      </w:r>
    </w:p>
    <w:p w14:paraId="03A053E3">
      <w:pPr>
        <w:pStyle w:val="5"/>
        <w:rPr>
          <w:rFonts w:ascii="宋体" w:hAnsi="宋体" w:cs="宋体"/>
        </w:rPr>
      </w:pPr>
      <w:r>
        <w:rPr>
          <w:rFonts w:hint="eastAsia" w:ascii="宋体" w:hAnsi="宋体" w:cs="宋体"/>
        </w:rPr>
        <w:t>八、巡警工作和“110”报警服务台</w:t>
      </w:r>
    </w:p>
    <w:p w14:paraId="331ECF7C">
      <w:pPr>
        <w:ind w:firstLine="420"/>
        <w:rPr>
          <w:rFonts w:ascii="宋体" w:hAnsi="宋体" w:cs="宋体"/>
        </w:rPr>
      </w:pPr>
      <w:r>
        <w:rPr>
          <w:rFonts w:hint="eastAsia" w:ascii="宋体" w:hAnsi="宋体" w:cs="宋体"/>
        </w:rPr>
        <w:t>南雄市公安局巡警队组建于1993年5月。1996年6月升格为巡警大队，副科级建制，下设3个中队、1个办公室，有警力28名。主要职责是负责日常社会面治安巡逻、“110”警情处置和处置各类治安突发性事件，参加大型群众性活动的安全保卫工作。</w:t>
      </w:r>
    </w:p>
    <w:p w14:paraId="58A59319">
      <w:pPr>
        <w:ind w:firstLine="420"/>
        <w:rPr>
          <w:rFonts w:ascii="宋体" w:hAnsi="宋体" w:cs="宋体"/>
        </w:rPr>
      </w:pPr>
      <w:r>
        <w:rPr>
          <w:rFonts w:hint="eastAsia" w:ascii="宋体" w:hAnsi="宋体" w:cs="宋体"/>
        </w:rPr>
        <w:t>2001年8月对巡逻控制模式进行了重大变革。全市共划定15个“网络式”巡逻控制区，实行网络化治安巡逻，主要采取车巡为主、步巡为辅的方式进行控制。市区内一旦发生警情，巡逻民警作为第一反应力量，在接到指令后，保证在5分钟内赶到现场进行先期处置。1998年1月20日，巡警大队设立“110”报警服务台，将原“110匪警电话”改为“110报警求助电话”，并向社会公开。有4名接警员及3台“110”免费专线电话24小时接受群众报警求助。2001年4月16日，“110”报警服务台划归指挥中心管理。设有3个电脑接警席，4条电话专线用于接受群众报警、求助或投诉。还配备了电脑录音监控机、350兆无线对讲系统、1台视频矩阵控制主机、1台61英寸高清晰度背投式彩色显示器、18台21英寸彩色监视器、1台录像机组成电视图像监控系统。并从各业务部门抽调8名政治素质好、业务素质过硬的民警充实到“110”报警服务台，每天24小时3班轮值。截至2004年底，“110”报警服务台共受理报警、求助、投诉电话37000余起。</w:t>
      </w:r>
    </w:p>
    <w:p w14:paraId="0326566B">
      <w:pPr>
        <w:pStyle w:val="4"/>
        <w:rPr>
          <w:rFonts w:ascii="宋体" w:hAnsi="宋体" w:cs="宋体"/>
        </w:rPr>
      </w:pPr>
      <w:r>
        <w:rPr>
          <w:rFonts w:hint="eastAsia" w:ascii="宋体" w:hAnsi="宋体" w:cs="宋体"/>
        </w:rPr>
        <w:t>第二节  检察</w:t>
      </w:r>
    </w:p>
    <w:p w14:paraId="3D62AEB7">
      <w:pPr>
        <w:pStyle w:val="5"/>
        <w:rPr>
          <w:rFonts w:ascii="宋体" w:hAnsi="宋体" w:cs="宋体"/>
        </w:rPr>
      </w:pPr>
      <w:r>
        <w:rPr>
          <w:rFonts w:hint="eastAsia" w:ascii="宋体" w:hAnsi="宋体" w:cs="宋体"/>
        </w:rPr>
        <w:t>一、机构</w:t>
      </w:r>
    </w:p>
    <w:p w14:paraId="55E1CC76">
      <w:pPr>
        <w:ind w:firstLine="420"/>
        <w:rPr>
          <w:rFonts w:ascii="宋体" w:hAnsi="宋体" w:cs="宋体"/>
        </w:rPr>
      </w:pPr>
      <w:r>
        <w:rPr>
          <w:rFonts w:hint="eastAsia" w:ascii="宋体" w:hAnsi="宋体" w:cs="宋体"/>
        </w:rPr>
        <w:t>1955年，建立县人民检察院。1968年3月，因“文化大革命”实行军事管制。1978年6月，恢复县人民检察院。随着改革开放形势发展，院属机构设置不断完善充实。2004年，院内设办公室、政工科、侦查监督科、公诉科、渎职侵权检察科、监所检察科、控告申诉科、侦查一科、侦查二科、民事行政检察科、预防科、司法警察大队12个机构，干警共44人，其中正副检察长4人，检察员29人，助理检察员3人，书记员5人，司法警察3人。</w:t>
      </w:r>
    </w:p>
    <w:p w14:paraId="5E357D7D">
      <w:pPr>
        <w:pStyle w:val="5"/>
        <w:rPr>
          <w:rFonts w:ascii="宋体" w:hAnsi="宋体" w:cs="宋体"/>
        </w:rPr>
      </w:pPr>
      <w:r>
        <w:rPr>
          <w:rFonts w:hint="eastAsia" w:ascii="宋体" w:hAnsi="宋体" w:cs="宋体"/>
        </w:rPr>
        <w:t>二、刑事检察</w:t>
      </w:r>
    </w:p>
    <w:p w14:paraId="3314EEC4">
      <w:pPr>
        <w:ind w:firstLine="420"/>
        <w:rPr>
          <w:rFonts w:ascii="宋体" w:hAnsi="宋体" w:cs="宋体"/>
        </w:rPr>
      </w:pPr>
      <w:r>
        <w:rPr>
          <w:rFonts w:hint="eastAsia" w:ascii="宋体" w:hAnsi="宋体" w:cs="宋体"/>
        </w:rPr>
        <w:t>1979年至1987年，9年共受理公安机关呈捕案件680宗931人，年均75宗。其中属于反革命3宗3人，故意杀人23宗29人，放火5宗5人，投毒1宗1人，强奸92宗92人，伤害68宗82人，抢劫15宗29人，诈骗58宗64人，盗窃279宗421人，其他136宗205人。经审查批准逮捕655宗914人，不批准19宗28人，公安撤捕6宗12人。另外自办案件28宗41人。</w:t>
      </w:r>
    </w:p>
    <w:p w14:paraId="05D980E4">
      <w:pPr>
        <w:ind w:firstLine="420"/>
        <w:rPr>
          <w:rFonts w:ascii="宋体" w:hAnsi="宋体" w:cs="宋体"/>
        </w:rPr>
      </w:pPr>
      <w:r>
        <w:rPr>
          <w:rFonts w:hint="eastAsia" w:ascii="宋体" w:hAnsi="宋体" w:cs="宋体"/>
        </w:rPr>
        <w:t>1980年至1987年，8年共审理起诉案件685宗953人，年均85宗。其中：反革命2宗2人，故意杀人17宗18人，投毒1宗1人，放火4宗4人，强奸9宗93人，伤害68宗86人，抢劫13宗24人，盗窃267宗406人，诈骗47宗56人，其他124宗200人。自办案件49宗63人。审理结果：提起公诉579宗777人，免予起诉50宗89人，不予起诉14宗18人，撤回起诉26宗46人，退回补查16宗23人。</w:t>
      </w:r>
    </w:p>
    <w:p w14:paraId="0ADD819E">
      <w:pPr>
        <w:ind w:firstLine="420"/>
        <w:rPr>
          <w:rFonts w:ascii="宋体" w:hAnsi="宋体" w:cs="宋体"/>
        </w:rPr>
      </w:pPr>
      <w:r>
        <w:rPr>
          <w:rFonts w:hint="eastAsia" w:ascii="宋体" w:hAnsi="宋体" w:cs="宋体"/>
        </w:rPr>
        <w:t>1988年至2002年，15年共受理公安机关呈捕案件1364宗1957人，年均91宗。经审查批准逮捕1250宗1903人，不捕17宗53人。</w:t>
      </w:r>
    </w:p>
    <w:p w14:paraId="279AB507">
      <w:pPr>
        <w:ind w:firstLine="420"/>
        <w:rPr>
          <w:rFonts w:ascii="宋体" w:hAnsi="宋体" w:cs="宋体"/>
        </w:rPr>
      </w:pPr>
      <w:r>
        <w:rPr>
          <w:rFonts w:hint="eastAsia" w:ascii="宋体" w:hAnsi="宋体" w:cs="宋体"/>
        </w:rPr>
        <w:t>1988年至2002年，15年共受理移送起诉案件1370宗2133人，年均91宗。其中，主要案件为放火13宗13人，爆炸2宗2人，投毒2宗2人，破坏电力设备17宗36人，交通肇事39宗39人，故意杀人65宗70人，故意伤害140宗194人，强奸121宗135人，抢劫128宗296人，盗窃559宗922人，贩毒7宗19人，重大责任事故25宗29人，贪污48宗62人，挪用公款25宗28人，受贿12宗12人。经审查提起公诉1134宗1709人，移送韶关市检察院起诉87宗177人，免予起诉96宗153人，不起诉17宗28人，撤案20宗32人，退回补充侦查16宗34人，追诉43人。</w:t>
      </w:r>
    </w:p>
    <w:p w14:paraId="1A9C055A">
      <w:pPr>
        <w:pStyle w:val="5"/>
        <w:rPr>
          <w:rFonts w:ascii="宋体" w:hAnsi="宋体" w:cs="宋体"/>
        </w:rPr>
      </w:pPr>
      <w:r>
        <w:rPr>
          <w:rFonts w:hint="eastAsia" w:ascii="宋体" w:hAnsi="宋体" w:cs="宋体"/>
        </w:rPr>
        <w:t>三、法纪检察</w:t>
      </w:r>
    </w:p>
    <w:p w14:paraId="53391C28">
      <w:pPr>
        <w:ind w:firstLine="420"/>
        <w:rPr>
          <w:rFonts w:ascii="宋体" w:hAnsi="宋体" w:cs="宋体"/>
        </w:rPr>
      </w:pPr>
      <w:r>
        <w:rPr>
          <w:rFonts w:hint="eastAsia" w:ascii="宋体" w:hAnsi="宋体" w:cs="宋体"/>
        </w:rPr>
        <w:t>1979年至1987年审理法纪案件64宗，已审结64宗，其中非法拘禁18宗，非法搜查6宗，玩忽职守6宗，毁弃邮件5宗，重大责任事故10宗，其他19宗。审理结果：起诉5宗，免诉5宗，撤案1宗，转处53宗。</w:t>
      </w:r>
    </w:p>
    <w:p w14:paraId="335B93FD">
      <w:pPr>
        <w:ind w:firstLine="420"/>
        <w:rPr>
          <w:rFonts w:ascii="宋体" w:hAnsi="宋体" w:cs="宋体"/>
        </w:rPr>
      </w:pPr>
      <w:r>
        <w:rPr>
          <w:rFonts w:hint="eastAsia" w:ascii="宋体" w:hAnsi="宋体" w:cs="宋体"/>
        </w:rPr>
        <w:t>1988年至2002年受理法纪、渎职侵权案件64件，立案侦查37件，其中，重大责任事故23件，玩忽职守4件，非法拘禁4件，重婚3件，诬告陷害1件，伪证1件，刑讯逼供1件。审理结果，起诉7件，不诉1件，撤案1件，免予起诉28件。</w:t>
      </w:r>
    </w:p>
    <w:p w14:paraId="5BC6AD43">
      <w:pPr>
        <w:pStyle w:val="5"/>
        <w:rPr>
          <w:rFonts w:ascii="宋体" w:hAnsi="宋体" w:cs="宋体"/>
        </w:rPr>
      </w:pPr>
      <w:r>
        <w:rPr>
          <w:rFonts w:hint="eastAsia" w:ascii="宋体" w:hAnsi="宋体" w:cs="宋体"/>
        </w:rPr>
        <w:t>四、经济检察</w:t>
      </w:r>
    </w:p>
    <w:p w14:paraId="144B53D2">
      <w:pPr>
        <w:ind w:firstLine="420"/>
        <w:rPr>
          <w:rFonts w:ascii="宋体" w:hAnsi="宋体" w:cs="宋体"/>
        </w:rPr>
      </w:pPr>
      <w:r>
        <w:rPr>
          <w:rFonts w:hint="eastAsia" w:ascii="宋体" w:hAnsi="宋体" w:cs="宋体"/>
        </w:rPr>
        <w:t>1979年至1987年共审理经济线索132条，立案61宗82人，已审结60宗81人。其中贪污37宗46人，受贿3宗5人，滥伐森林12宗23人，重大责任事故1宗1人，玩忽职守4宗4人，偷漏税1宗1人，投机倒把1宗1人，盗伐森林1宗1人。</w:t>
      </w:r>
    </w:p>
    <w:p w14:paraId="089C317B">
      <w:pPr>
        <w:ind w:firstLine="420"/>
        <w:rPr>
          <w:rFonts w:ascii="宋体" w:hAnsi="宋体" w:cs="宋体"/>
        </w:rPr>
      </w:pPr>
      <w:r>
        <w:rPr>
          <w:rFonts w:hint="eastAsia" w:ascii="宋体" w:hAnsi="宋体" w:cs="宋体"/>
        </w:rPr>
        <w:t>1988年至2002年受理案件线索675件，初查550件，立案120宗128人，其中贪污59宗64人，挪用公款30宗30人，受贿14宗14人，行贿3宗3人，私分国有资产3宗3人，偷税9宗10人，假冒商标2宗2人。</w:t>
      </w:r>
    </w:p>
    <w:p w14:paraId="2AD90B2B">
      <w:pPr>
        <w:pStyle w:val="5"/>
        <w:rPr>
          <w:rFonts w:ascii="宋体" w:hAnsi="宋体" w:cs="宋体"/>
        </w:rPr>
      </w:pPr>
      <w:r>
        <w:rPr>
          <w:rFonts w:hint="eastAsia" w:ascii="宋体" w:hAnsi="宋体" w:cs="宋体"/>
        </w:rPr>
        <w:t>五、监所检察</w:t>
      </w:r>
    </w:p>
    <w:p w14:paraId="67840713">
      <w:pPr>
        <w:ind w:firstLine="420"/>
        <w:rPr>
          <w:rFonts w:ascii="宋体" w:hAnsi="宋体" w:cs="宋体"/>
        </w:rPr>
      </w:pPr>
      <w:r>
        <w:rPr>
          <w:rFonts w:hint="eastAsia" w:ascii="宋体" w:hAnsi="宋体" w:cs="宋体"/>
        </w:rPr>
        <w:t>1979年至1985年，由检察院不定期派员到看守所实施监所检察。1986年起，检察院派2人驻看守所开展经常性的监所检察活动。贯彻“改造第一，生产第二”和“教育感化，挽救改造”的方针，抓好在押人犯管理教育。至2002年，受教育3620人次，检举揭发违法犯罪线索59条，协助看守所干警防止意外事故发生和及时纠正监所工作人员违法违纪行为。</w:t>
      </w:r>
    </w:p>
    <w:p w14:paraId="5B2FB641">
      <w:pPr>
        <w:pStyle w:val="5"/>
        <w:rPr>
          <w:rFonts w:ascii="宋体" w:hAnsi="宋体" w:cs="宋体"/>
        </w:rPr>
      </w:pPr>
      <w:r>
        <w:rPr>
          <w:rFonts w:hint="eastAsia" w:ascii="宋体" w:hAnsi="宋体" w:cs="宋体"/>
        </w:rPr>
        <w:t>六、控告申诉检察</w:t>
      </w:r>
    </w:p>
    <w:p w14:paraId="3F3398CE">
      <w:pPr>
        <w:ind w:firstLine="420"/>
        <w:rPr>
          <w:rFonts w:ascii="宋体" w:hAnsi="宋体" w:cs="宋体"/>
        </w:rPr>
      </w:pPr>
      <w:r>
        <w:rPr>
          <w:rFonts w:hint="eastAsia" w:ascii="宋体" w:hAnsi="宋体" w:cs="宋体"/>
        </w:rPr>
        <w:t>1979年至1987年共审理人民群众来信1635件，其中控告649件，申诉252件，其他734件；自办72件，转发716件，直接答复847件。接待群众来访314人次。1983年至1987年共复查纠正违法错漏案件53宗，其中侦查违法12宗，抗诉3宗，监所监督23宗，历史错案15宗。</w:t>
      </w:r>
    </w:p>
    <w:p w14:paraId="244A6B06">
      <w:pPr>
        <w:ind w:firstLine="420"/>
        <w:rPr>
          <w:rFonts w:ascii="宋体" w:hAnsi="宋体" w:cs="宋体"/>
        </w:rPr>
      </w:pPr>
      <w:r>
        <w:rPr>
          <w:rFonts w:hint="eastAsia" w:ascii="宋体" w:hAnsi="宋体" w:cs="宋体"/>
        </w:rPr>
        <w:t>1984年至1986年，对不批捕、不起诉和免予起诉案件的28人，分别进行回访考察，使他们改邪归正，化消极因素为积极因素。</w:t>
      </w:r>
    </w:p>
    <w:p w14:paraId="685DC73E">
      <w:pPr>
        <w:ind w:firstLine="420"/>
        <w:rPr>
          <w:rFonts w:ascii="宋体" w:hAnsi="宋体" w:cs="宋体"/>
        </w:rPr>
      </w:pPr>
      <w:r>
        <w:rPr>
          <w:rFonts w:hint="eastAsia" w:ascii="宋体" w:hAnsi="宋体" w:cs="宋体"/>
        </w:rPr>
        <w:t>1988年至2002年，共受理人民群众来信来访1520件，其中控告类1136件，申诉123件，其他261件。自办115件，转办1236件，直接答复169件。接待群众来访1926人次。</w:t>
      </w:r>
    </w:p>
    <w:p w14:paraId="70D352C0">
      <w:pPr>
        <w:pStyle w:val="5"/>
        <w:rPr>
          <w:rFonts w:ascii="宋体" w:hAnsi="宋体" w:cs="宋体"/>
        </w:rPr>
      </w:pPr>
      <w:r>
        <w:rPr>
          <w:rFonts w:hint="eastAsia" w:ascii="宋体" w:hAnsi="宋体" w:cs="宋体"/>
        </w:rPr>
        <w:t>七、民事行政检察</w:t>
      </w:r>
    </w:p>
    <w:p w14:paraId="07A545AB">
      <w:pPr>
        <w:ind w:firstLine="420"/>
        <w:rPr>
          <w:rFonts w:ascii="宋体" w:hAnsi="宋体" w:cs="宋体"/>
        </w:rPr>
      </w:pPr>
      <w:r>
        <w:rPr>
          <w:rFonts w:hint="eastAsia" w:ascii="宋体" w:hAnsi="宋体" w:cs="宋体"/>
        </w:rPr>
        <w:t>1992年4月至2002年，受理民事行政案件66件，立案9件，息诉49件，移送韶关市检察院提请抗诉8件。</w:t>
      </w:r>
    </w:p>
    <w:p w14:paraId="00FEB7A8">
      <w:pPr>
        <w:pStyle w:val="5"/>
        <w:rPr>
          <w:rFonts w:ascii="宋体" w:hAnsi="宋体" w:cs="宋体"/>
        </w:rPr>
      </w:pPr>
      <w:r>
        <w:rPr>
          <w:rFonts w:hint="eastAsia" w:ascii="宋体" w:hAnsi="宋体" w:cs="宋体"/>
        </w:rPr>
        <w:t>八、检察技术</w:t>
      </w:r>
    </w:p>
    <w:p w14:paraId="28309E34">
      <w:pPr>
        <w:ind w:firstLine="420"/>
        <w:rPr>
          <w:rFonts w:ascii="宋体" w:hAnsi="宋体" w:cs="宋体"/>
        </w:rPr>
      </w:pPr>
      <w:r>
        <w:rPr>
          <w:rFonts w:hint="eastAsia" w:ascii="宋体" w:hAnsi="宋体" w:cs="宋体"/>
        </w:rPr>
        <w:t>检察技术配备法医、文检、司法会计专职技术人员各1人和检验、勘查、技侦、监控等设备。1993年至2002年，检察技术受理检验、技侦等案件403件，其中文件检验54件，法医检验、文证审查146件，司法会计3件，视听技术200件。</w:t>
      </w:r>
    </w:p>
    <w:p w14:paraId="56723C20">
      <w:pPr>
        <w:pStyle w:val="4"/>
        <w:rPr>
          <w:rFonts w:ascii="宋体" w:hAnsi="宋体" w:cs="宋体"/>
        </w:rPr>
      </w:pPr>
      <w:r>
        <w:rPr>
          <w:rFonts w:hint="eastAsia" w:ascii="宋体" w:hAnsi="宋体" w:cs="宋体"/>
        </w:rPr>
        <w:t>第三节  审判</w:t>
      </w:r>
    </w:p>
    <w:p w14:paraId="5632037F">
      <w:pPr>
        <w:pStyle w:val="5"/>
        <w:rPr>
          <w:rFonts w:ascii="宋体" w:hAnsi="宋体" w:cs="宋体"/>
        </w:rPr>
      </w:pPr>
      <w:r>
        <w:rPr>
          <w:rFonts w:hint="eastAsia" w:ascii="宋体" w:hAnsi="宋体" w:cs="宋体"/>
        </w:rPr>
        <w:t>一、机构</w:t>
      </w:r>
    </w:p>
    <w:p w14:paraId="49A04A1D">
      <w:pPr>
        <w:ind w:firstLine="420"/>
        <w:rPr>
          <w:rFonts w:ascii="宋体" w:hAnsi="宋体" w:cs="宋体"/>
        </w:rPr>
      </w:pPr>
      <w:r>
        <w:rPr>
          <w:rFonts w:hint="eastAsia" w:ascii="宋体" w:hAnsi="宋体" w:cs="宋体"/>
        </w:rPr>
        <w:t>1950年初设南雄县人民临时法庭，同年5月成立县人民法院。1987年法院设有刑事审判庭、民事审判庭、经济审判庭、执行庭、办公室、政工股、信访室，共有干警36人，其中正副院长3人，审判员13人，助理审判员3人。在乡镇设有全安、乌迳、黄坑、水口、珠玑、主田、澜河、雄州镇8个中心法庭，有干部25名，其中正副庭长9人，审判员1人，助理审判员2人。</w:t>
      </w:r>
    </w:p>
    <w:p w14:paraId="5BF43002">
      <w:pPr>
        <w:ind w:firstLine="420"/>
        <w:rPr>
          <w:rFonts w:ascii="宋体" w:hAnsi="宋体" w:cs="宋体"/>
        </w:rPr>
      </w:pPr>
      <w:r>
        <w:rPr>
          <w:rFonts w:hint="eastAsia" w:ascii="宋体" w:hAnsi="宋体" w:cs="宋体"/>
        </w:rPr>
        <w:t>以后随着改革开放形势发展，机构不断充实、完善。至2002年，法院下属有办公室、政工科、纪检监察室、研究室、法医技术室、司法警察大队、立案庭、刑事审判庭、民事审判一庭、民事审判二庭、行政审判庭、审判监督庭、执行局、雄州法庭、珠玑法庭、水口法庭、黄坑法庭、乌迳法庭、澜河法庭共19个，干警89名，其中正副院长3名，审判员51名，助理审判员12名。</w:t>
      </w:r>
    </w:p>
    <w:p w14:paraId="0127C96B">
      <w:pPr>
        <w:pStyle w:val="5"/>
        <w:rPr>
          <w:rFonts w:ascii="宋体" w:hAnsi="宋体" w:cs="宋体"/>
        </w:rPr>
      </w:pPr>
      <w:r>
        <w:rPr>
          <w:rFonts w:hint="eastAsia" w:ascii="宋体" w:hAnsi="宋体" w:cs="宋体"/>
        </w:rPr>
        <w:t>二、刑事审判</w:t>
      </w:r>
    </w:p>
    <w:p w14:paraId="04E81F9D">
      <w:pPr>
        <w:ind w:firstLine="422"/>
        <w:rPr>
          <w:rFonts w:ascii="宋体" w:hAnsi="宋体" w:cs="宋体"/>
          <w:b/>
          <w:bCs/>
        </w:rPr>
      </w:pPr>
      <w:r>
        <w:rPr>
          <w:rFonts w:hint="eastAsia" w:ascii="宋体" w:hAnsi="宋体" w:cs="宋体"/>
          <w:b/>
          <w:bCs/>
        </w:rPr>
        <w:t>（一）反革命案件审判</w:t>
      </w:r>
    </w:p>
    <w:p w14:paraId="3C70C10F">
      <w:pPr>
        <w:ind w:firstLine="420"/>
        <w:rPr>
          <w:rFonts w:ascii="宋体" w:hAnsi="宋体" w:cs="宋体"/>
        </w:rPr>
      </w:pPr>
      <w:r>
        <w:rPr>
          <w:rFonts w:hint="eastAsia" w:ascii="宋体" w:hAnsi="宋体" w:cs="宋体"/>
        </w:rPr>
        <w:t>1950年10月至1953年8月镇压反革命运动期间，共审结土匪、恶霸、特务、反动党团骨干、不法地主等10种人共1999人，判处死刑535名，判处死刑缓期执行78名，关押1022名，管制364名。</w:t>
      </w:r>
    </w:p>
    <w:p w14:paraId="35E7B1F0">
      <w:pPr>
        <w:ind w:firstLine="420"/>
        <w:rPr>
          <w:rFonts w:ascii="宋体" w:hAnsi="宋体" w:cs="宋体"/>
        </w:rPr>
      </w:pPr>
      <w:r>
        <w:rPr>
          <w:rFonts w:hint="eastAsia" w:ascii="宋体" w:hAnsi="宋体" w:cs="宋体"/>
        </w:rPr>
        <w:t>1966年至1976年“文化大革命”期间，审结李西石、李德隆反革命集团以及现行反革命分子共140名，判处死刑3人，有期徒刑31人，管制4人。</w:t>
      </w:r>
    </w:p>
    <w:p w14:paraId="6674E541">
      <w:pPr>
        <w:ind w:firstLine="422"/>
        <w:rPr>
          <w:rFonts w:ascii="宋体" w:hAnsi="宋体" w:cs="宋体"/>
          <w:b/>
          <w:bCs/>
        </w:rPr>
      </w:pPr>
      <w:r>
        <w:rPr>
          <w:rFonts w:hint="eastAsia" w:ascii="宋体" w:hAnsi="宋体" w:cs="宋体"/>
          <w:b/>
          <w:bCs/>
        </w:rPr>
        <w:t>（二）普通刑事案件审判</w:t>
      </w:r>
    </w:p>
    <w:p w14:paraId="5723D2BE">
      <w:pPr>
        <w:ind w:firstLine="420"/>
        <w:rPr>
          <w:rFonts w:ascii="宋体" w:hAnsi="宋体" w:cs="宋体"/>
        </w:rPr>
      </w:pPr>
      <w:r>
        <w:rPr>
          <w:rFonts w:hint="eastAsia" w:ascii="宋体" w:hAnsi="宋体" w:cs="宋体"/>
        </w:rPr>
        <w:t>1950年至1987年共审结严重危害社会治安的刑事案件3097件，年均83.5件。1983年1月至1985年2月，在严厉打击严重危害社会治安的犯罪活动和严重破坏经济的犯罪活动期间，判处严重刑事犯罪分子600名，其中：属凶杀11宗15人，抢劫8宗22人，强奸62宗65人，伤害33宗39人，流氓9宗28人，诈骗32宗32人，贪污3宗5人，盗窃144宗259人，纵火3宗3人，其他66宗132人；判处死刑10人，死刑缓期执行25人，无期徒刑17人，有期徒刑548人。</w:t>
      </w:r>
    </w:p>
    <w:p w14:paraId="031F9FFD">
      <w:pPr>
        <w:ind w:firstLine="420"/>
        <w:rPr>
          <w:rFonts w:ascii="宋体" w:hAnsi="宋体" w:cs="宋体"/>
        </w:rPr>
      </w:pPr>
      <w:r>
        <w:rPr>
          <w:rFonts w:hint="eastAsia" w:ascii="宋体" w:hAnsi="宋体" w:cs="宋体"/>
        </w:rPr>
        <w:t>1988年至2002年共审结刑事案件1068宗1589人，结案率100%，年均70.6宗100.4人。其中八大类重大刑事案件审结375宗534人，普通刑事职务犯罪和贪污受贿案件54宗60人。</w:t>
      </w:r>
    </w:p>
    <w:p w14:paraId="59B18DC4">
      <w:pPr>
        <w:ind w:firstLine="422"/>
        <w:rPr>
          <w:rFonts w:ascii="宋体" w:hAnsi="宋体" w:cs="宋体"/>
          <w:b/>
          <w:bCs/>
        </w:rPr>
      </w:pPr>
      <w:r>
        <w:rPr>
          <w:rFonts w:hint="eastAsia" w:ascii="宋体" w:hAnsi="宋体" w:cs="宋体"/>
          <w:b/>
          <w:bCs/>
        </w:rPr>
        <w:t>（三）纠正冤假错案</w:t>
      </w:r>
    </w:p>
    <w:p w14:paraId="66190A02">
      <w:pPr>
        <w:ind w:firstLine="420"/>
        <w:rPr>
          <w:rFonts w:ascii="宋体" w:hAnsi="宋体" w:cs="宋体"/>
        </w:rPr>
      </w:pPr>
      <w:r>
        <w:rPr>
          <w:rFonts w:hint="eastAsia" w:ascii="宋体" w:hAnsi="宋体" w:cs="宋体"/>
        </w:rPr>
        <w:t>在刑事审判中，坚持“有反必肃，有错必纠”的原则。1950年至1953年复查543宗案件，复查率达70%，纠正冤假错案114宗，占复查案件的20%。1978年至1979年复查“文化大革命”期间的案件162宗264人，纠正冤假错案38宗53人，免刑改判12宗12人。1986年复查统战对象案件90宗92人，宣告无罪的28件30人，免予处分的2宗2人。</w:t>
      </w:r>
    </w:p>
    <w:p w14:paraId="53BFED87">
      <w:pPr>
        <w:pStyle w:val="5"/>
        <w:rPr>
          <w:rFonts w:ascii="宋体" w:hAnsi="宋体" w:cs="宋体"/>
        </w:rPr>
      </w:pPr>
      <w:r>
        <w:rPr>
          <w:rFonts w:hint="eastAsia" w:ascii="宋体" w:hAnsi="宋体" w:cs="宋体"/>
        </w:rPr>
        <w:t>三、经济审判</w:t>
      </w:r>
    </w:p>
    <w:p w14:paraId="08D6E99B">
      <w:pPr>
        <w:ind w:firstLine="420"/>
        <w:rPr>
          <w:rFonts w:ascii="宋体" w:hAnsi="宋体" w:cs="宋体"/>
        </w:rPr>
      </w:pPr>
      <w:r>
        <w:rPr>
          <w:rFonts w:hint="eastAsia" w:ascii="宋体" w:hAnsi="宋体" w:cs="宋体"/>
        </w:rPr>
        <w:t>1950年至1987年共审结经济案件279宗。1954年结合“五反”受理偷税漏税案件24宗，惩办不法奸商4名，收缴税款8亿元（旧人民币，折人民币8万元）。1978年中共十一届三中全会后，社会主义商品经济日益发展，经济案件逐年增加，从1981年4月成立经济审判庭，至1987年底，共受理经济案件255宗，年均42宗。已审结176宗，占受理案件数的69%，解决争议标的金额143.89万元，其中属购销合同49宗，农村承包合同27宗，借款合同15宗。</w:t>
      </w:r>
    </w:p>
    <w:p w14:paraId="4F2A0B8B">
      <w:pPr>
        <w:ind w:firstLine="420"/>
        <w:rPr>
          <w:rFonts w:ascii="宋体" w:hAnsi="宋体" w:cs="宋体"/>
        </w:rPr>
      </w:pPr>
      <w:r>
        <w:rPr>
          <w:rFonts w:hint="eastAsia" w:ascii="宋体" w:hAnsi="宋体" w:cs="宋体"/>
        </w:rPr>
        <w:t>1988年至2002年共受理民商事案件1068件，审结1068件，审结率100%，年均71.2件，解决争讼标的10457.94万元。</w:t>
      </w:r>
    </w:p>
    <w:p w14:paraId="201736C5">
      <w:pPr>
        <w:pStyle w:val="5"/>
        <w:rPr>
          <w:rFonts w:ascii="宋体" w:hAnsi="宋体" w:cs="宋体"/>
        </w:rPr>
      </w:pPr>
      <w:r>
        <w:rPr>
          <w:rFonts w:hint="eastAsia" w:ascii="宋体" w:hAnsi="宋体" w:cs="宋体"/>
        </w:rPr>
        <w:t>四、民事审判</w:t>
      </w:r>
    </w:p>
    <w:p w14:paraId="0BDD183E">
      <w:pPr>
        <w:ind w:firstLine="420"/>
        <w:rPr>
          <w:rFonts w:ascii="宋体" w:hAnsi="宋体" w:cs="宋体"/>
        </w:rPr>
      </w:pPr>
      <w:r>
        <w:rPr>
          <w:rFonts w:hint="eastAsia" w:ascii="宋体" w:hAnsi="宋体" w:cs="宋体"/>
        </w:rPr>
        <w:t>1949年至1987年共受理民事案件4837件，年均127件，审结率为89.7%。在已审结案件中，婚姻案件2767件，占审结案件的63.6%；房屋案件873件，占审结案件的20.2%；山林土地纠纷案件172件，占审结案件的3.94%。</w:t>
      </w:r>
    </w:p>
    <w:p w14:paraId="1E4C81F2">
      <w:pPr>
        <w:ind w:firstLine="420"/>
        <w:rPr>
          <w:rFonts w:ascii="宋体" w:hAnsi="宋体" w:cs="宋体"/>
        </w:rPr>
      </w:pPr>
      <w:r>
        <w:rPr>
          <w:rFonts w:hint="eastAsia" w:ascii="宋体" w:hAnsi="宋体" w:cs="宋体"/>
        </w:rPr>
        <w:t>1988年至2002年共受理民事案件9725件，审结9725件，审结率100%，其中督促程序540件，占5.55%。年均受、结案648件，解决争讼标的818.85万元。</w:t>
      </w:r>
    </w:p>
    <w:p w14:paraId="2F250921">
      <w:pPr>
        <w:pStyle w:val="5"/>
        <w:rPr>
          <w:rFonts w:ascii="宋体" w:hAnsi="宋体" w:cs="宋体"/>
        </w:rPr>
      </w:pPr>
      <w:r>
        <w:rPr>
          <w:rFonts w:hint="eastAsia" w:ascii="宋体" w:hAnsi="宋体" w:cs="宋体"/>
        </w:rPr>
        <w:t>五、行政审判</w:t>
      </w:r>
    </w:p>
    <w:p w14:paraId="509FF97D">
      <w:pPr>
        <w:ind w:firstLine="420"/>
        <w:rPr>
          <w:rFonts w:ascii="宋体" w:hAnsi="宋体" w:cs="宋体"/>
        </w:rPr>
      </w:pPr>
      <w:r>
        <w:rPr>
          <w:rFonts w:hint="eastAsia" w:ascii="宋体" w:hAnsi="宋体" w:cs="宋体"/>
        </w:rPr>
        <w:t>1988年7月，设立行政审判庭，至2002年，共受理行政案件62件，审结率100%，其中维持行政机关行政决定的46件，占74.19%；撤销的4件，占6.45%；更变3宗，撤诉5宗，驳回4宗。共受理行政非诉执行案件289件，执结259件，占89.62%。</w:t>
      </w:r>
    </w:p>
    <w:p w14:paraId="50CDD656">
      <w:pPr>
        <w:pStyle w:val="5"/>
        <w:rPr>
          <w:rFonts w:ascii="宋体" w:hAnsi="宋体" w:cs="宋体"/>
        </w:rPr>
      </w:pPr>
      <w:r>
        <w:rPr>
          <w:rFonts w:hint="eastAsia" w:ascii="宋体" w:hAnsi="宋体" w:cs="宋体"/>
        </w:rPr>
        <w:t>六、审判监督</w:t>
      </w:r>
    </w:p>
    <w:p w14:paraId="28A1FE5F">
      <w:pPr>
        <w:ind w:firstLine="420"/>
        <w:rPr>
          <w:rFonts w:ascii="宋体" w:hAnsi="宋体" w:cs="宋体"/>
        </w:rPr>
      </w:pPr>
      <w:r>
        <w:rPr>
          <w:rFonts w:hint="eastAsia" w:ascii="宋体" w:hAnsi="宋体" w:cs="宋体"/>
        </w:rPr>
        <w:t>1991年1月设立审判监督庭，坚持“有错必纠”的原则。至2002年，依法启动再审和审判监督程序，再审案件36件，纠正错案5件，占再审案的13.8%，维持的案件31件，占再审案的86.11%。</w:t>
      </w:r>
    </w:p>
    <w:p w14:paraId="6AF98CD9">
      <w:pPr>
        <w:pStyle w:val="5"/>
        <w:rPr>
          <w:rFonts w:ascii="宋体" w:hAnsi="宋体" w:cs="宋体"/>
        </w:rPr>
      </w:pPr>
      <w:r>
        <w:rPr>
          <w:rFonts w:hint="eastAsia" w:ascii="宋体" w:hAnsi="宋体" w:cs="宋体"/>
        </w:rPr>
        <w:t>七、执行</w:t>
      </w:r>
    </w:p>
    <w:p w14:paraId="325AB0BA">
      <w:pPr>
        <w:ind w:firstLine="420"/>
        <w:rPr>
          <w:rFonts w:ascii="宋体" w:hAnsi="宋体" w:cs="宋体"/>
        </w:rPr>
      </w:pPr>
      <w:r>
        <w:rPr>
          <w:rFonts w:hint="eastAsia" w:ascii="宋体" w:hAnsi="宋体" w:cs="宋体"/>
        </w:rPr>
        <w:t>执行庭于1984年上半年成立，至1987年共受理各类案件166件，已执行85件，占51.2%。1988年至2002年，共受理执行案件2058宗，执结2058宗，执结率为100%，其中中止180宗，占8.75%，拘留有能力履行义务又拒不履行生效法律文书的当事人24人，执行标的1121.19万元。</w:t>
      </w:r>
    </w:p>
    <w:p w14:paraId="267DDDB6">
      <w:pPr>
        <w:pStyle w:val="5"/>
        <w:rPr>
          <w:rFonts w:ascii="宋体" w:hAnsi="宋体" w:cs="宋体"/>
        </w:rPr>
      </w:pPr>
      <w:r>
        <w:rPr>
          <w:rFonts w:hint="eastAsia" w:ascii="宋体" w:hAnsi="宋体" w:cs="宋体"/>
        </w:rPr>
        <w:t>八、审判员  人民陪审员</w:t>
      </w:r>
    </w:p>
    <w:p w14:paraId="1656236E">
      <w:pPr>
        <w:ind w:firstLine="422"/>
        <w:rPr>
          <w:rFonts w:ascii="宋体" w:hAnsi="宋体" w:cs="宋体"/>
          <w:b/>
          <w:bCs/>
        </w:rPr>
      </w:pPr>
      <w:r>
        <w:rPr>
          <w:rFonts w:hint="eastAsia" w:ascii="宋体" w:hAnsi="宋体" w:cs="宋体"/>
          <w:b/>
          <w:bCs/>
        </w:rPr>
        <w:t>（一）审判员</w:t>
      </w:r>
    </w:p>
    <w:p w14:paraId="26EF7606">
      <w:pPr>
        <w:ind w:firstLine="420"/>
        <w:rPr>
          <w:rFonts w:ascii="宋体" w:hAnsi="宋体" w:cs="宋体"/>
        </w:rPr>
      </w:pPr>
      <w:r>
        <w:rPr>
          <w:rFonts w:hint="eastAsia" w:ascii="宋体" w:hAnsi="宋体" w:cs="宋体"/>
        </w:rPr>
        <w:t>1980年以前由县委组织部任命。1980年后建立县人大常务委员会，由院长提请县人大常委会批准任命。1987年有审判员23人，助理审判员5人。</w:t>
      </w:r>
    </w:p>
    <w:p w14:paraId="557CA164">
      <w:pPr>
        <w:ind w:firstLine="420"/>
        <w:rPr>
          <w:rFonts w:ascii="宋体" w:hAnsi="宋体" w:cs="宋体"/>
        </w:rPr>
      </w:pPr>
      <w:r>
        <w:rPr>
          <w:rFonts w:hint="eastAsia" w:ascii="宋体" w:hAnsi="宋体" w:cs="宋体"/>
        </w:rPr>
        <w:t>1996年，全院有审判员71人，其中法律大专文化程度的有65人，占91.55%，中专（高中）文化程度的6人，占8.45%。2002年机构改革后，共有审判员51人，助理审判员12人。</w:t>
      </w:r>
    </w:p>
    <w:p w14:paraId="1C613776">
      <w:pPr>
        <w:ind w:firstLine="422"/>
        <w:rPr>
          <w:rFonts w:ascii="宋体" w:hAnsi="宋体" w:cs="宋体"/>
          <w:b/>
          <w:bCs/>
        </w:rPr>
      </w:pPr>
      <w:r>
        <w:rPr>
          <w:rFonts w:hint="eastAsia" w:ascii="宋体" w:hAnsi="宋体" w:cs="宋体"/>
          <w:b/>
          <w:bCs/>
        </w:rPr>
        <w:t>（二）人民陪审员和特邀陪审员</w:t>
      </w:r>
    </w:p>
    <w:p w14:paraId="32122A63">
      <w:pPr>
        <w:ind w:firstLine="420"/>
        <w:rPr>
          <w:rFonts w:ascii="宋体" w:hAnsi="宋体" w:cs="宋体"/>
        </w:rPr>
      </w:pPr>
      <w:r>
        <w:rPr>
          <w:rFonts w:hint="eastAsia" w:ascii="宋体" w:hAnsi="宋体" w:cs="宋体"/>
        </w:rPr>
        <w:t>1954年下半年起，逐步实行人民陪审员制度，采取固定轮值和临时邀请相结合的办法。1955年有人民陪审员55名，1958年增至102名。“文化大革命”期间中断陪审员制，1980年恢复。陪审员由公社（镇）人民代表大会选举产生。1987年全县有陪审员129名，其中妇女52名。1984年至1987年人民陪审员参加民事出庭审判案件340件，经济案件14件，刑事案件245件。</w:t>
      </w:r>
    </w:p>
    <w:p w14:paraId="12E31BF6">
      <w:pPr>
        <w:ind w:firstLine="420"/>
        <w:rPr>
          <w:rFonts w:ascii="宋体" w:hAnsi="宋体" w:cs="宋体"/>
        </w:rPr>
      </w:pPr>
      <w:r>
        <w:rPr>
          <w:rFonts w:hint="eastAsia" w:ascii="宋体" w:hAnsi="宋体" w:cs="宋体"/>
        </w:rPr>
        <w:t>1988年至1999年，固定的人民陪审员22人。1991年4月，成立少年法庭，特邀陪审员2名。1999年为依法充分保护妇女儿童的合法权益，特邀26名妇女干部为特邀陪审员。2000年后，逐步取消人民陪审员制度。</w:t>
      </w:r>
    </w:p>
    <w:p w14:paraId="61F0745A">
      <w:pPr>
        <w:pStyle w:val="4"/>
        <w:rPr>
          <w:rFonts w:ascii="宋体" w:hAnsi="宋体" w:cs="宋体"/>
        </w:rPr>
      </w:pPr>
      <w:r>
        <w:rPr>
          <w:rFonts w:hint="eastAsia" w:ascii="宋体" w:hAnsi="宋体" w:cs="宋体"/>
        </w:rPr>
        <w:t>第四节  司法行政</w:t>
      </w:r>
    </w:p>
    <w:p w14:paraId="70F6F6D9">
      <w:pPr>
        <w:pStyle w:val="5"/>
        <w:rPr>
          <w:rFonts w:ascii="宋体" w:hAnsi="宋体" w:cs="宋体"/>
        </w:rPr>
      </w:pPr>
      <w:r>
        <w:rPr>
          <w:rFonts w:hint="eastAsia" w:ascii="宋体" w:hAnsi="宋体" w:cs="宋体"/>
        </w:rPr>
        <w:t>一、机构</w:t>
      </w:r>
    </w:p>
    <w:p w14:paraId="5A22E48F">
      <w:pPr>
        <w:ind w:firstLine="420"/>
        <w:rPr>
          <w:rFonts w:ascii="宋体" w:hAnsi="宋体" w:cs="宋体"/>
        </w:rPr>
      </w:pPr>
      <w:r>
        <w:rPr>
          <w:rFonts w:hint="eastAsia" w:ascii="宋体" w:hAnsi="宋体" w:cs="宋体"/>
        </w:rPr>
        <w:t>新中国成立后，司法行政工作原由人民法院兼管。1981年2月，南雄县司法局成立。1987年局内设人秘股、宣教股、基层股、公证处、律师事务所，共有干部22人，其中有中级律师1人，律师2人，助理律师2人，兼职律师2人，公证员1人，助理公证员1人。同时在24个乡镇配有兼职司法助理员30人，有21个乡镇法律服务所，有法律工作人员28人。2004年，市司法局内设办公室、政工科、宣教股、基层股、公证律师管理股、公证处、广东永顺律师事务所、法律援助处，共有干部19人，职工2人，其中律师5人，公证员2人。同时在各镇设有司法所、法律服务所，有法律工作人员43人。</w:t>
      </w:r>
    </w:p>
    <w:p w14:paraId="596B7F10">
      <w:pPr>
        <w:pStyle w:val="5"/>
        <w:rPr>
          <w:rFonts w:ascii="宋体" w:hAnsi="宋体" w:cs="宋体"/>
        </w:rPr>
      </w:pPr>
      <w:r>
        <w:rPr>
          <w:rFonts w:hint="eastAsia" w:ascii="宋体" w:hAnsi="宋体" w:cs="宋体"/>
        </w:rPr>
        <w:t>二、普及法律常识</w:t>
      </w:r>
    </w:p>
    <w:p w14:paraId="533AF18B">
      <w:pPr>
        <w:ind w:firstLine="420"/>
        <w:rPr>
          <w:rFonts w:ascii="宋体" w:hAnsi="宋体" w:cs="宋体"/>
        </w:rPr>
      </w:pPr>
      <w:r>
        <w:rPr>
          <w:rFonts w:hint="eastAsia" w:ascii="宋体" w:hAnsi="宋体" w:cs="宋体"/>
        </w:rPr>
        <w:t>1985年冬，贯彻全国人民代表大会常务委员会关于在5年内向全体公民基本普及法律常识的决定，在县普及法律常识领导小组的统一组织下，开展普及法律常识工作，以干部和青少年为重点，学习《中华人民共和国宪法》、《中华人民共和国刑法》、《中华人民共和国刑事诉讼法》、《中华人民共和国民法通则》、《中华人民共和国民事诉讼法》、《中华人民共和国婚姻法》、《中华人民共和国继承法》、《中华人民共和国经济合同法》、《中华人民共和国森林法》、《中华人民共和国兵役法》和《治安管理处罚条例》。至1987年底，全县普法对象278800人，参加普法学习166371人，占59.7%。1988年以来，全市普及法律常识以领导干部、青少年和农民为重点，学习《中华人民共和国宪法》、《中华人民共和国义务教育法》、《中华人民共和国未成年人保护法》、《中华人民共和国人口计划生育法》、《中华人民共和国婚姻法》、《中华人民共和国药品管理法》、《中华人民共和国工会法》、《中华人民共和国邮电法》、《中华人民共和国水法》、《中华人民共和国国防教育法》等，较好地完成了“二五”和“三五”“四五”普法阶段的普法任务。</w:t>
      </w:r>
    </w:p>
    <w:p w14:paraId="32BA45F9">
      <w:pPr>
        <w:pStyle w:val="5"/>
        <w:rPr>
          <w:rFonts w:ascii="宋体" w:hAnsi="宋体" w:cs="宋体"/>
        </w:rPr>
      </w:pPr>
      <w:r>
        <w:rPr>
          <w:rFonts w:hint="eastAsia" w:ascii="宋体" w:hAnsi="宋体" w:cs="宋体"/>
        </w:rPr>
        <w:t>三、公证业务</w:t>
      </w:r>
    </w:p>
    <w:p w14:paraId="0372A8C5">
      <w:pPr>
        <w:ind w:firstLine="420"/>
        <w:rPr>
          <w:rFonts w:ascii="宋体" w:hAnsi="宋体" w:cs="宋体"/>
        </w:rPr>
      </w:pPr>
      <w:r>
        <w:rPr>
          <w:rFonts w:hint="eastAsia" w:ascii="宋体" w:hAnsi="宋体" w:cs="宋体"/>
        </w:rPr>
        <w:t>1981年至1987年，公证处共办理各类经济合同公证1637件，年均273件。其中顺利履行的1614件，占总数的98.6%；出现纠纷的23件，占1.4%。在纠纷合同中，经调解后继续履行的16件，诉讼到法院的7件。</w:t>
      </w:r>
    </w:p>
    <w:p w14:paraId="58EC453F">
      <w:pPr>
        <w:ind w:firstLine="420"/>
        <w:rPr>
          <w:rFonts w:ascii="宋体" w:hAnsi="宋体" w:cs="宋体"/>
        </w:rPr>
      </w:pPr>
      <w:r>
        <w:rPr>
          <w:rFonts w:hint="eastAsia" w:ascii="宋体" w:hAnsi="宋体" w:cs="宋体"/>
        </w:rPr>
        <w:t>1981年至1987年办理各类民事公证697件，年均116件。其中收养18件，继承产权22件，遗嘱72件，房屋买卖211件，房屋租赁180件，产权27件，房屋兑换25件，分家析权53件。</w:t>
      </w:r>
    </w:p>
    <w:p w14:paraId="2292A3FE">
      <w:pPr>
        <w:ind w:firstLine="420"/>
        <w:rPr>
          <w:rFonts w:ascii="宋体" w:hAnsi="宋体" w:cs="宋体"/>
        </w:rPr>
      </w:pPr>
      <w:r>
        <w:rPr>
          <w:rFonts w:hint="eastAsia" w:ascii="宋体" w:hAnsi="宋体" w:cs="宋体"/>
        </w:rPr>
        <w:t>1982年至1987年办理涉外公证36件。</w:t>
      </w:r>
    </w:p>
    <w:p w14:paraId="416808D8">
      <w:pPr>
        <w:ind w:firstLine="420"/>
        <w:rPr>
          <w:rFonts w:ascii="宋体" w:hAnsi="宋体" w:cs="宋体"/>
        </w:rPr>
      </w:pPr>
      <w:r>
        <w:rPr>
          <w:rFonts w:hint="eastAsia" w:ascii="宋体" w:hAnsi="宋体" w:cs="宋体"/>
        </w:rPr>
        <w:t>1988年至2004年，公证处共办理各类经济合同公证255790件，年均15986件。其中顺利履行的250635件，占总数的97.98%；出现纠纷的5155件，占总数的2%；在纠纷合同中，经调解后继续履行的4956件，诉讼到法院的199件。</w:t>
      </w:r>
    </w:p>
    <w:p w14:paraId="06CB87B8">
      <w:pPr>
        <w:ind w:firstLine="420"/>
        <w:rPr>
          <w:rFonts w:ascii="宋体" w:hAnsi="宋体" w:cs="宋体"/>
        </w:rPr>
      </w:pPr>
      <w:r>
        <w:rPr>
          <w:rFonts w:hint="eastAsia" w:ascii="宋体" w:hAnsi="宋体" w:cs="宋体"/>
        </w:rPr>
        <w:t>1988年至2000年，公证处共办理各类民事公证4352件，年均263件。其中收养89件，继承产权178件，遗嘱226件，房屋买卖952件，房屋租赁843件，房屋兑换152件，分家析权203件。</w:t>
      </w:r>
    </w:p>
    <w:p w14:paraId="3E1FE109">
      <w:pPr>
        <w:ind w:firstLine="420"/>
        <w:rPr>
          <w:rFonts w:ascii="宋体" w:hAnsi="宋体" w:cs="宋体"/>
        </w:rPr>
      </w:pPr>
      <w:r>
        <w:rPr>
          <w:rFonts w:hint="eastAsia" w:ascii="宋体" w:hAnsi="宋体" w:cs="宋体"/>
        </w:rPr>
        <w:t>1988年至2000年共办理涉外公证565件，其中结婚证132件，亲属关系46件，学历163件。</w:t>
      </w:r>
    </w:p>
    <w:p w14:paraId="3A32D193">
      <w:pPr>
        <w:pStyle w:val="5"/>
        <w:rPr>
          <w:rFonts w:ascii="宋体" w:hAnsi="宋体" w:cs="宋体"/>
        </w:rPr>
      </w:pPr>
      <w:r>
        <w:rPr>
          <w:rFonts w:hint="eastAsia" w:ascii="宋体" w:hAnsi="宋体" w:cs="宋体"/>
        </w:rPr>
        <w:t>四、律师业务</w:t>
      </w:r>
    </w:p>
    <w:p w14:paraId="1B90060F">
      <w:pPr>
        <w:ind w:firstLine="422"/>
        <w:rPr>
          <w:rFonts w:ascii="宋体" w:hAnsi="宋体" w:cs="宋体"/>
          <w:b/>
          <w:bCs/>
        </w:rPr>
      </w:pPr>
      <w:r>
        <w:rPr>
          <w:rFonts w:hint="eastAsia" w:ascii="宋体" w:hAnsi="宋体" w:cs="宋体"/>
          <w:b/>
          <w:bCs/>
        </w:rPr>
        <w:t>（一）律师事务所</w:t>
      </w:r>
    </w:p>
    <w:p w14:paraId="5D909DC9">
      <w:pPr>
        <w:ind w:firstLine="420"/>
        <w:rPr>
          <w:rFonts w:ascii="宋体" w:hAnsi="宋体" w:cs="宋体"/>
        </w:rPr>
      </w:pPr>
      <w:r>
        <w:rPr>
          <w:rFonts w:hint="eastAsia" w:ascii="宋体" w:hAnsi="宋体" w:cs="宋体"/>
        </w:rPr>
        <w:t>1982年司法局内设律师顾问处，1985年3月改称律师事务所，设主任1人，律师2人，助理律师2人，兼职律师1人。2000年有专职律师6人。</w:t>
      </w:r>
    </w:p>
    <w:p w14:paraId="59CD0AC2">
      <w:pPr>
        <w:ind w:firstLine="420"/>
        <w:rPr>
          <w:rFonts w:ascii="宋体" w:hAnsi="宋体" w:cs="宋体"/>
        </w:rPr>
      </w:pPr>
      <w:r>
        <w:rPr>
          <w:rFonts w:hint="eastAsia" w:ascii="宋体" w:hAnsi="宋体" w:cs="宋体"/>
        </w:rPr>
        <w:t>1982年开展刑事辩护工作，至1987年受理155宗，挽回经济损失215.5万元，其中改无罪释放9宗，减轻刑期29宗，说服当事人不上诉13宗，协助法院提供新罪1宗，改变原定性质4宗。</w:t>
      </w:r>
    </w:p>
    <w:p w14:paraId="066410ED">
      <w:pPr>
        <w:ind w:firstLine="420"/>
        <w:rPr>
          <w:rFonts w:ascii="宋体" w:hAnsi="宋体" w:cs="宋体"/>
        </w:rPr>
      </w:pPr>
      <w:r>
        <w:rPr>
          <w:rFonts w:hint="eastAsia" w:ascii="宋体" w:hAnsi="宋体" w:cs="宋体"/>
        </w:rPr>
        <w:t>1981年至1987年，共受理民事代理197宗，其中房屋纠纷32宗，房产继承18宗，离婚20宗。</w:t>
      </w:r>
    </w:p>
    <w:p w14:paraId="15EBCE49">
      <w:pPr>
        <w:ind w:firstLine="420"/>
        <w:rPr>
          <w:rFonts w:ascii="宋体" w:hAnsi="宋体" w:cs="宋体"/>
        </w:rPr>
      </w:pPr>
      <w:r>
        <w:rPr>
          <w:rFonts w:hint="eastAsia" w:ascii="宋体" w:hAnsi="宋体" w:cs="宋体"/>
        </w:rPr>
        <w:t>1983年至1987年共受理非诉讼代理案件34宗，其中离婚12宗，房屋14宗。</w:t>
      </w:r>
    </w:p>
    <w:p w14:paraId="66E5AF4D">
      <w:pPr>
        <w:ind w:firstLine="420"/>
        <w:rPr>
          <w:rFonts w:ascii="宋体" w:hAnsi="宋体" w:cs="宋体"/>
        </w:rPr>
      </w:pPr>
      <w:r>
        <w:rPr>
          <w:rFonts w:hint="eastAsia" w:ascii="宋体" w:hAnsi="宋体" w:cs="宋体"/>
        </w:rPr>
        <w:t>1988年至2000年共受理刑事辩护工作435宗，挽回经济损失853.2万元，其中改无罪释放13宗，减轻刑期39宗，协助法院提供新罪5宗，改变原定性质8宗。</w:t>
      </w:r>
    </w:p>
    <w:p w14:paraId="0D7460E6">
      <w:pPr>
        <w:ind w:firstLine="420"/>
        <w:rPr>
          <w:rFonts w:ascii="宋体" w:hAnsi="宋体" w:cs="宋体"/>
        </w:rPr>
      </w:pPr>
      <w:r>
        <w:rPr>
          <w:rFonts w:hint="eastAsia" w:ascii="宋体" w:hAnsi="宋体" w:cs="宋体"/>
        </w:rPr>
        <w:t>1988年至2000年共受理民事代理1523宗，其中房屋纠纷245宗，房产继承138宗，房屋买卖纠纷328宗，房屋赔偿、典租163宗，房租256宗，租赁126宗。1988年至2000年共受理非诉讼代理案件3231件，其中离婚725宗，房屋1632宗。</w:t>
      </w:r>
    </w:p>
    <w:p w14:paraId="0D78D000">
      <w:pPr>
        <w:ind w:firstLine="422"/>
        <w:rPr>
          <w:rFonts w:ascii="宋体" w:hAnsi="宋体" w:cs="宋体"/>
          <w:b/>
          <w:bCs/>
        </w:rPr>
      </w:pPr>
      <w:r>
        <w:rPr>
          <w:rFonts w:hint="eastAsia" w:ascii="宋体" w:hAnsi="宋体" w:cs="宋体"/>
          <w:b/>
          <w:bCs/>
        </w:rPr>
        <w:t>（二）法律顾问室</w:t>
      </w:r>
    </w:p>
    <w:p w14:paraId="1EE2A458">
      <w:pPr>
        <w:ind w:firstLine="420"/>
        <w:rPr>
          <w:rFonts w:ascii="宋体" w:hAnsi="宋体" w:cs="宋体"/>
        </w:rPr>
      </w:pPr>
      <w:r>
        <w:rPr>
          <w:rFonts w:hint="eastAsia" w:ascii="宋体" w:hAnsi="宋体" w:cs="宋体"/>
        </w:rPr>
        <w:t>1983年起，在机关企事业单位中逐步建立法律顾问室，聘请法律顾问提供法律咨询。1987年有9个单位聘请常年法律顾问，有24个单位设立顾问室，有法律顾问人员33人。</w:t>
      </w:r>
    </w:p>
    <w:p w14:paraId="0F49455F">
      <w:pPr>
        <w:ind w:firstLine="422"/>
        <w:rPr>
          <w:rFonts w:ascii="宋体" w:hAnsi="宋体" w:cs="宋体"/>
          <w:b/>
          <w:bCs/>
        </w:rPr>
      </w:pPr>
      <w:r>
        <w:rPr>
          <w:rFonts w:hint="eastAsia" w:ascii="宋体" w:hAnsi="宋体" w:cs="宋体"/>
          <w:b/>
          <w:bCs/>
        </w:rPr>
        <w:t>（三）乡镇法律服务所</w:t>
      </w:r>
    </w:p>
    <w:p w14:paraId="28A5D94F">
      <w:pPr>
        <w:ind w:firstLine="420"/>
        <w:rPr>
          <w:rFonts w:ascii="宋体" w:hAnsi="宋体" w:cs="宋体"/>
        </w:rPr>
      </w:pPr>
      <w:r>
        <w:rPr>
          <w:rFonts w:hint="eastAsia" w:ascii="宋体" w:hAnsi="宋体" w:cs="宋体"/>
        </w:rPr>
        <w:t>从1986年起乡镇逐步建立法律服务所，经多次调整，至2004年，建有7个法律服务所，共有法律工作人员43人。法律工作人员实行聘任制，其工资从有偿服务中解决。全市乡镇法律服务所共受理民事代理案件2000宗（件），其中诉讼代理1245宗（件），非诉讼代理755宗（件）。代写法律文书1000件，解答法律咨询253人次。</w:t>
      </w:r>
    </w:p>
    <w:p w14:paraId="5C42480B">
      <w:pPr>
        <w:pStyle w:val="5"/>
        <w:rPr>
          <w:rFonts w:ascii="宋体" w:hAnsi="宋体" w:cs="宋体"/>
        </w:rPr>
      </w:pPr>
      <w:r>
        <w:rPr>
          <w:rFonts w:hint="eastAsia" w:ascii="宋体" w:hAnsi="宋体" w:cs="宋体"/>
        </w:rPr>
        <w:t>五、民事调解</w:t>
      </w:r>
    </w:p>
    <w:p w14:paraId="2177CF0E">
      <w:pPr>
        <w:ind w:firstLine="420"/>
        <w:rPr>
          <w:rFonts w:ascii="宋体" w:hAnsi="宋体" w:cs="宋体"/>
        </w:rPr>
      </w:pPr>
      <w:r>
        <w:rPr>
          <w:rFonts w:hint="eastAsia" w:ascii="宋体" w:hAnsi="宋体" w:cs="宋体"/>
        </w:rPr>
        <w:t>1952年1月至1953年3月全县有17个乡成立调解委员会，有调解委员143人，调解小组44个，调解员170人。1956年调解委员会、调解小组改称为调处委员会、调处小组。1958年全县有11个乡建立调处委员会，有调处委员356人。1959年调处委员会与治保委员会合并。1973年重建调解委员会217个，有调解委员1566人。</w:t>
      </w:r>
    </w:p>
    <w:p w14:paraId="29B616B1">
      <w:pPr>
        <w:ind w:firstLine="420"/>
        <w:rPr>
          <w:rFonts w:ascii="宋体" w:hAnsi="宋体" w:cs="宋体"/>
        </w:rPr>
      </w:pPr>
      <w:r>
        <w:rPr>
          <w:rFonts w:hint="eastAsia" w:ascii="宋体" w:hAnsi="宋体" w:cs="宋体"/>
        </w:rPr>
        <w:t>1979年以后，基层调解组织逐步健全和加强。1981年24个公社（镇）配备兼职司法助理员（由民政员兼），211个大队成立调解委员会。1986年撤区建乡后，在各乡镇建立司法办公室，在各村民委员会和街道居民委员会建立调解委员会，全县共有调解委员1200名。</w:t>
      </w:r>
    </w:p>
    <w:p w14:paraId="6A1BBF54">
      <w:pPr>
        <w:ind w:firstLine="420"/>
        <w:rPr>
          <w:rFonts w:ascii="宋体" w:hAnsi="宋体" w:cs="宋体"/>
        </w:rPr>
      </w:pPr>
      <w:r>
        <w:rPr>
          <w:rFonts w:hint="eastAsia" w:ascii="宋体" w:hAnsi="宋体" w:cs="宋体"/>
        </w:rPr>
        <w:t>1981年至1987年，全县乡镇共发生民事纠纷23546宗，年均3924宗。已调解22439宗，调解率为85.6%，避免械斗99宗，防止可能发生的非正常死亡事件260宗291人。</w:t>
      </w:r>
    </w:p>
    <w:p w14:paraId="46572670">
      <w:pPr>
        <w:ind w:firstLine="420"/>
        <w:rPr>
          <w:rFonts w:ascii="宋体" w:hAnsi="宋体" w:cs="宋体"/>
        </w:rPr>
      </w:pPr>
      <w:r>
        <w:rPr>
          <w:rFonts w:hint="eastAsia" w:ascii="宋体" w:hAnsi="宋体" w:cs="宋体"/>
        </w:rPr>
        <w:t>1988年至2000年，全市共发生民事纠纷43586宗，年均3632宗。已调解38432宗，调解率88.2%，避免械斗236宗，防止可能发生的非正常死亡252宗271人。</w:t>
      </w:r>
    </w:p>
    <w:p w14:paraId="3C28966E">
      <w:pPr>
        <w:pStyle w:val="3"/>
        <w:rPr>
          <w:rFonts w:ascii="宋体" w:hAnsi="宋体" w:cs="宋体"/>
        </w:rPr>
      </w:pPr>
      <w:r>
        <w:rPr>
          <w:rFonts w:hint="eastAsia" w:ascii="宋体" w:hAnsi="宋体" w:cs="宋体"/>
        </w:rPr>
        <w:t>第六章  军事</w:t>
      </w:r>
    </w:p>
    <w:p w14:paraId="7DD1D924">
      <w:pPr>
        <w:ind w:firstLine="420"/>
        <w:rPr>
          <w:rFonts w:ascii="宋体" w:hAnsi="宋体" w:cs="宋体"/>
        </w:rPr>
      </w:pPr>
      <w:r>
        <w:rPr>
          <w:rFonts w:hint="eastAsia" w:ascii="宋体" w:hAnsi="宋体" w:cs="宋体"/>
        </w:rPr>
        <w:t>南雄位于大庾岭南麓，地处粤赣边陲，是古代南北交通咽喉，向为兵家必争之重地。历代兵事频仍，驻军不绝。近百年来，南雄曾是孙中山北伐大军的前哨阵地，土地革命时期属中央苏区，抗日战争时期是广东抗日后方，解放战争时期是中共五岭地委和粤赣湘边人民解放总队指挥机关驻地。</w:t>
      </w:r>
    </w:p>
    <w:p w14:paraId="74D3132E">
      <w:pPr>
        <w:pStyle w:val="4"/>
        <w:rPr>
          <w:rFonts w:ascii="宋体" w:hAnsi="宋体" w:cs="宋体"/>
        </w:rPr>
      </w:pPr>
      <w:r>
        <w:rPr>
          <w:rFonts w:hint="eastAsia" w:ascii="宋体" w:hAnsi="宋体" w:cs="宋体"/>
        </w:rPr>
        <w:t>第一节  驻军与军事设施</w:t>
      </w:r>
    </w:p>
    <w:p w14:paraId="72DAED74">
      <w:pPr>
        <w:pStyle w:val="5"/>
        <w:rPr>
          <w:rFonts w:ascii="宋体" w:hAnsi="宋体" w:cs="宋体"/>
        </w:rPr>
      </w:pPr>
      <w:r>
        <w:rPr>
          <w:rFonts w:hint="eastAsia" w:ascii="宋体" w:hAnsi="宋体" w:cs="宋体"/>
        </w:rPr>
        <w:t>一、驻军</w:t>
      </w:r>
    </w:p>
    <w:p w14:paraId="2D7CB86A">
      <w:pPr>
        <w:ind w:firstLine="420"/>
        <w:rPr>
          <w:rFonts w:ascii="宋体" w:hAnsi="宋体" w:cs="宋体"/>
        </w:rPr>
      </w:pPr>
      <w:r>
        <w:rPr>
          <w:rFonts w:hint="eastAsia" w:ascii="宋体" w:hAnsi="宋体" w:cs="宋体"/>
        </w:rPr>
        <w:t>新中国成立后驻军有中国人民解放军54410部队某分队，1969年驻南雄至今，分驻苍石虎头山和主田镇；中国人民解放军南雄市武警中队驻市区。中国人民解放军工程兵252部队1个团，驻澜河开矿，1984年由军改工（军人改为工人）团部改称743矿。20世纪90年代，该矿已下马，工人已疏散。</w:t>
      </w:r>
    </w:p>
    <w:p w14:paraId="75E9DE9A">
      <w:pPr>
        <w:pStyle w:val="5"/>
        <w:rPr>
          <w:rFonts w:ascii="宋体" w:hAnsi="宋体" w:cs="宋体"/>
        </w:rPr>
      </w:pPr>
      <w:r>
        <w:rPr>
          <w:rFonts w:hint="eastAsia" w:ascii="宋体" w:hAnsi="宋体" w:cs="宋体"/>
        </w:rPr>
        <w:t>二、军事设施</w:t>
      </w:r>
    </w:p>
    <w:p w14:paraId="047C15B7">
      <w:pPr>
        <w:ind w:firstLine="420"/>
        <w:rPr>
          <w:rFonts w:ascii="宋体" w:hAnsi="宋体" w:cs="宋体"/>
        </w:rPr>
      </w:pPr>
      <w:r>
        <w:rPr>
          <w:rFonts w:hint="eastAsia" w:ascii="宋体" w:hAnsi="宋体" w:cs="宋体"/>
        </w:rPr>
        <w:t>东较场。位于今人民公园附近，明天顺年间兴建，为练兵场所。</w:t>
      </w:r>
    </w:p>
    <w:p w14:paraId="63B456FC">
      <w:pPr>
        <w:ind w:firstLine="420"/>
        <w:rPr>
          <w:rFonts w:ascii="宋体" w:hAnsi="宋体" w:cs="宋体"/>
        </w:rPr>
      </w:pPr>
      <w:r>
        <w:rPr>
          <w:rFonts w:hint="eastAsia" w:ascii="宋体" w:hAnsi="宋体" w:cs="宋体"/>
        </w:rPr>
        <w:t>西较场。位于今水西村西北隅（即今飞机场），兴建于明洪武元年（1368年），用于操练军队和比武。</w:t>
      </w:r>
    </w:p>
    <w:p w14:paraId="03B5E28F">
      <w:pPr>
        <w:ind w:firstLine="420"/>
        <w:rPr>
          <w:rFonts w:ascii="宋体" w:hAnsi="宋体" w:cs="宋体"/>
        </w:rPr>
      </w:pPr>
      <w:r>
        <w:rPr>
          <w:rFonts w:hint="eastAsia" w:ascii="宋体" w:hAnsi="宋体" w:cs="宋体"/>
        </w:rPr>
        <w:t>射圃亭。位于今人民政府大院东隅。古代练兵场所。</w:t>
      </w:r>
    </w:p>
    <w:p w14:paraId="3AC7C035">
      <w:pPr>
        <w:ind w:firstLine="420"/>
        <w:rPr>
          <w:rFonts w:ascii="宋体" w:hAnsi="宋体" w:cs="宋体"/>
        </w:rPr>
      </w:pPr>
      <w:r>
        <w:rPr>
          <w:rFonts w:hint="eastAsia" w:ascii="宋体" w:hAnsi="宋体" w:cs="宋体"/>
        </w:rPr>
        <w:t>凌江驿。位于南雄城，为古代军事交通、通信设施。下属有14铺，每铺有兵4名。</w:t>
      </w:r>
    </w:p>
    <w:p w14:paraId="3182AD1A">
      <w:pPr>
        <w:ind w:firstLine="420"/>
        <w:rPr>
          <w:rFonts w:ascii="宋体" w:hAnsi="宋体" w:cs="宋体"/>
        </w:rPr>
      </w:pPr>
      <w:r>
        <w:rPr>
          <w:rFonts w:hint="eastAsia" w:ascii="宋体" w:hAnsi="宋体" w:cs="宋体"/>
        </w:rPr>
        <w:t>南雄飞机场。民国18年（1929年）以原南雄西较场为基础兴建，原测面积长1800荑英尺，宽500英尺，占地8.73公顷。抗战时，国民政府航空委员会在此机场设立第42航空站。民国29年1月，开通南雄至香港航线，年底因香港沦陷，航线封闭。民国32年，美国十四航空队在南雄上空对日机作战，机场进驻一批美国空军人员。抗战后，南雄机场基本停止使用。20世纪60年代初期和中期，因战备需要，曾扩建机场，加强管理。90年代划为南雄城市建设用地。</w:t>
      </w:r>
    </w:p>
    <w:p w14:paraId="0960D017">
      <w:pPr>
        <w:ind w:firstLine="420"/>
        <w:rPr>
          <w:rFonts w:ascii="宋体" w:hAnsi="宋体" w:cs="宋体"/>
        </w:rPr>
      </w:pPr>
      <w:r>
        <w:rPr>
          <w:rFonts w:hint="eastAsia" w:ascii="宋体" w:hAnsi="宋体" w:cs="宋体"/>
        </w:rPr>
        <w:t>武器仓库。1980年兴建，市人民武装部管理。2003年9月迁出重建。</w:t>
      </w:r>
    </w:p>
    <w:p w14:paraId="71250981">
      <w:pPr>
        <w:ind w:firstLine="420"/>
        <w:rPr>
          <w:rFonts w:ascii="宋体" w:hAnsi="宋体" w:cs="宋体"/>
        </w:rPr>
      </w:pPr>
      <w:r>
        <w:rPr>
          <w:rFonts w:hint="eastAsia" w:ascii="宋体" w:hAnsi="宋体" w:cs="宋体"/>
        </w:rPr>
        <w:t>民兵训练基地。1987年底筹建，市人民武装部管理。</w:t>
      </w:r>
    </w:p>
    <w:p w14:paraId="46C99994">
      <w:pPr>
        <w:pStyle w:val="4"/>
        <w:rPr>
          <w:rFonts w:ascii="宋体" w:hAnsi="宋体" w:cs="宋体"/>
        </w:rPr>
      </w:pPr>
      <w:r>
        <w:rPr>
          <w:rFonts w:hint="eastAsia" w:ascii="宋体" w:hAnsi="宋体" w:cs="宋体"/>
        </w:rPr>
        <w:t>第二节  地方武装</w:t>
      </w:r>
    </w:p>
    <w:p w14:paraId="2C1ECF3D">
      <w:pPr>
        <w:ind w:firstLine="420"/>
        <w:rPr>
          <w:rFonts w:ascii="宋体" w:hAnsi="宋体" w:cs="宋体"/>
        </w:rPr>
      </w:pPr>
      <w:r>
        <w:rPr>
          <w:rFonts w:hint="eastAsia" w:ascii="宋体" w:hAnsi="宋体" w:cs="宋体"/>
        </w:rPr>
        <w:t>1949年10月，中国人民解放军南雄县大队成立，几经调编，于1950年底，成立南雄县人民武装支队部（亦称民兵支队部）。1951年底建立中国人民解放军南雄县人民武装部和区人民武装部，取代人民武装支队部。县武装部设部长、政委各1名，机关设军事、政工二股。区武装部有部长、参谋、干事共3名～4名，均是现役军人。县人民武装部负责全县的民兵武装工作和兵役工作。</w:t>
      </w:r>
    </w:p>
    <w:p w14:paraId="5A09B9AB">
      <w:pPr>
        <w:ind w:firstLine="420"/>
        <w:rPr>
          <w:rFonts w:ascii="宋体" w:hAnsi="宋体" w:cs="宋体"/>
        </w:rPr>
      </w:pPr>
      <w:r>
        <w:rPr>
          <w:rFonts w:hint="eastAsia" w:ascii="宋体" w:hAnsi="宋体" w:cs="宋体"/>
        </w:rPr>
        <w:t>1954年撤销南雄县人民武装部及所属区人民武装部，组编南雄县兵役局。局内设组织动员科、征集科、预备役军官科、统计科、民兵科。区人民武装部干部改编为区人民武装助理员。1958年5月，兵役局机构整编，压缩干部员额，机关设征集退伍科，预备役军官士兵科和预备役训练科。县以下成立人民公社武装部，由地方干部担任部长、干事。1960年10月，恢复县人民武装部。1986年7月1日，县人民武装部改归地方建制，属副县级单位。机关设办公室、军事科、政工科，有干部14名，职工8名。</w:t>
      </w:r>
    </w:p>
    <w:p w14:paraId="76275678">
      <w:pPr>
        <w:ind w:firstLine="420"/>
        <w:rPr>
          <w:rFonts w:ascii="宋体" w:hAnsi="宋体" w:cs="宋体"/>
        </w:rPr>
      </w:pPr>
      <w:r>
        <w:rPr>
          <w:rFonts w:hint="eastAsia" w:ascii="宋体" w:hAnsi="宋体" w:cs="宋体"/>
        </w:rPr>
        <w:t>1996年4月1日，原属地方建制的南雄市人武部收归军队建制，受韶关军分区和南雄市委、市政府双重领导，属正团级单位，设军事科、政工科和后勤科，干部编制12人，职工14人。市武装部1名主要领导参加市委常委，另1名主要领导参加市政府党组成员。市武装部党委由南雄市委书记、市武装部政委、部长、副部长以及军事科、政工科、后勤科3个科长和预备役营营长组成，市委书记任武装部党委第一书记，市武装部政委任书记，部长任副书记，其他为党委成员。</w:t>
      </w:r>
    </w:p>
    <w:p w14:paraId="7CD74503">
      <w:pPr>
        <w:ind w:firstLine="420"/>
        <w:rPr>
          <w:rFonts w:ascii="宋体" w:hAnsi="宋体" w:cs="宋体"/>
        </w:rPr>
      </w:pPr>
      <w:r>
        <w:rPr>
          <w:rFonts w:hint="eastAsia" w:ascii="宋体" w:hAnsi="宋体" w:cs="宋体"/>
        </w:rPr>
        <w:t>市设人民武装委员会和国防动员委员会。武委会主任由市长兼任，副主任由1名副市长、1名武装部领导担任，成员由有关部门领导组成，主要研究解决武装工作重要问题。</w:t>
      </w:r>
    </w:p>
    <w:p w14:paraId="1F53E719">
      <w:pPr>
        <w:ind w:firstLine="420"/>
        <w:rPr>
          <w:rFonts w:ascii="宋体" w:hAnsi="宋体" w:cs="宋体"/>
        </w:rPr>
      </w:pPr>
      <w:r>
        <w:rPr>
          <w:rFonts w:hint="eastAsia" w:ascii="宋体" w:hAnsi="宋体" w:cs="宋体"/>
        </w:rPr>
        <w:t>市国防动员委员会第一主任由市委书记担任，主任由市长担任，副主任由2名副市长和武装部2名部领导担任，成员由有关部门领导组成，主要研究国家安全、兵员动员等事项。</w:t>
      </w:r>
    </w:p>
    <w:p w14:paraId="07051175">
      <w:pPr>
        <w:ind w:firstLine="420"/>
        <w:rPr>
          <w:rFonts w:ascii="宋体" w:hAnsi="宋体" w:cs="宋体"/>
        </w:rPr>
      </w:pPr>
      <w:r>
        <w:rPr>
          <w:rFonts w:hint="eastAsia" w:ascii="宋体" w:hAnsi="宋体" w:cs="宋体"/>
        </w:rPr>
        <w:t>市人民武装部下辖各镇武装部及市直工委、翠屏公司、棉土窝矿等基层武装部。</w:t>
      </w:r>
    </w:p>
    <w:p w14:paraId="4F808066">
      <w:pPr>
        <w:ind w:firstLine="420"/>
        <w:rPr>
          <w:rFonts w:ascii="宋体" w:hAnsi="宋体" w:cs="宋体"/>
        </w:rPr>
      </w:pPr>
      <w:r>
        <w:rPr>
          <w:rFonts w:hint="eastAsia" w:ascii="宋体" w:hAnsi="宋体" w:cs="宋体"/>
        </w:rPr>
        <w:t>市人民武装部自1988年以来被省军区评为“仓库管理先进单位、民兵工作先进单位、正规化建设达标先进单位、国防教育训练基地建设达标先进单位、预备役部队建设先进单位”。1989年8月，广东省军区在南雄召开民兵工作现场会议。1994年被广东省委省政府授予“社会主义精神文明建设先进单位”。</w:t>
      </w:r>
    </w:p>
    <w:p w14:paraId="409B0575">
      <w:pPr>
        <w:ind w:firstLine="0" w:firstLineChars="0"/>
        <w:jc w:val="center"/>
        <w:rPr>
          <w:rFonts w:ascii="宋体" w:hAnsi="宋体" w:cs="宋体"/>
          <w:b/>
          <w:bCs/>
        </w:rPr>
      </w:pPr>
      <w:r>
        <w:rPr>
          <w:rFonts w:hint="eastAsia" w:ascii="宋体" w:hAnsi="宋体" w:cs="宋体"/>
          <w:b/>
          <w:bCs/>
        </w:rPr>
        <w:t>南雄市（县）人民武装部（兵役部）历任部长、政委名</w:t>
      </w:r>
    </w:p>
    <w:p w14:paraId="2F7595A4">
      <w:pPr>
        <w:ind w:firstLine="0" w:firstLineChars="0"/>
        <w:rPr>
          <w:rFonts w:ascii="宋体" w:hAnsi="宋体" w:cs="宋体"/>
          <w:b/>
          <w:bCs/>
        </w:rPr>
      </w:pPr>
      <w:r>
        <w:rPr>
          <w:rFonts w:hint="eastAsia" w:ascii="宋体" w:hAnsi="宋体" w:cs="宋体"/>
          <w:b/>
          <w:bCs/>
        </w:rPr>
        <w:t>表4-10</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55"/>
        <w:gridCol w:w="2082"/>
        <w:gridCol w:w="2409"/>
        <w:gridCol w:w="3616"/>
      </w:tblGrid>
      <w:tr w14:paraId="71DA00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1" w:type="pct"/>
            <w:vAlign w:val="center"/>
          </w:tcPr>
          <w:p w14:paraId="0B504D32">
            <w:pPr>
              <w:pStyle w:val="12"/>
              <w:jc w:val="center"/>
              <w:rPr>
                <w:b/>
              </w:rPr>
            </w:pPr>
            <w:r>
              <w:rPr>
                <w:rFonts w:hint="eastAsia"/>
                <w:b/>
              </w:rPr>
              <w:t>姓  名</w:t>
            </w:r>
          </w:p>
        </w:tc>
        <w:tc>
          <w:tcPr>
            <w:tcW w:w="1045" w:type="pct"/>
            <w:vAlign w:val="center"/>
          </w:tcPr>
          <w:p w14:paraId="2C970884">
            <w:pPr>
              <w:pStyle w:val="12"/>
              <w:jc w:val="center"/>
              <w:rPr>
                <w:b/>
              </w:rPr>
            </w:pPr>
            <w:r>
              <w:rPr>
                <w:rFonts w:hint="eastAsia"/>
                <w:b/>
              </w:rPr>
              <w:t>籍  贯</w:t>
            </w:r>
          </w:p>
        </w:tc>
        <w:tc>
          <w:tcPr>
            <w:tcW w:w="1209" w:type="pct"/>
            <w:vAlign w:val="center"/>
          </w:tcPr>
          <w:p w14:paraId="3B98111B">
            <w:pPr>
              <w:pStyle w:val="12"/>
              <w:jc w:val="center"/>
              <w:rPr>
                <w:b/>
              </w:rPr>
            </w:pPr>
            <w:r>
              <w:rPr>
                <w:rFonts w:hint="eastAsia"/>
                <w:b/>
              </w:rPr>
              <w:t>职  务</w:t>
            </w:r>
          </w:p>
        </w:tc>
        <w:tc>
          <w:tcPr>
            <w:tcW w:w="1815" w:type="pct"/>
            <w:vAlign w:val="center"/>
          </w:tcPr>
          <w:p w14:paraId="71FECEA8">
            <w:pPr>
              <w:pStyle w:val="12"/>
              <w:jc w:val="center"/>
              <w:rPr>
                <w:b/>
              </w:rPr>
            </w:pPr>
            <w:r>
              <w:rPr>
                <w:rFonts w:hint="eastAsia"/>
                <w:b/>
              </w:rPr>
              <w:t>任职起止时间</w:t>
            </w:r>
          </w:p>
        </w:tc>
      </w:tr>
      <w:tr w14:paraId="23EA52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1" w:type="pct"/>
            <w:vAlign w:val="center"/>
          </w:tcPr>
          <w:p w14:paraId="3A9ECA04">
            <w:pPr>
              <w:pStyle w:val="12"/>
              <w:jc w:val="center"/>
            </w:pPr>
            <w:r>
              <w:rPr>
                <w:rFonts w:hint="eastAsia"/>
              </w:rPr>
              <w:t>温  治</w:t>
            </w:r>
          </w:p>
        </w:tc>
        <w:tc>
          <w:tcPr>
            <w:tcW w:w="1045" w:type="pct"/>
            <w:vAlign w:val="center"/>
          </w:tcPr>
          <w:p w14:paraId="18BEDEFF">
            <w:pPr>
              <w:pStyle w:val="12"/>
              <w:jc w:val="center"/>
            </w:pPr>
            <w:r>
              <w:rPr>
                <w:rFonts w:hint="eastAsia"/>
              </w:rPr>
              <w:t>广  东</w:t>
            </w:r>
          </w:p>
        </w:tc>
        <w:tc>
          <w:tcPr>
            <w:tcW w:w="1209" w:type="pct"/>
            <w:vAlign w:val="center"/>
          </w:tcPr>
          <w:p w14:paraId="233E22E2">
            <w:pPr>
              <w:pStyle w:val="12"/>
              <w:jc w:val="center"/>
            </w:pPr>
            <w:r>
              <w:rPr>
                <w:rFonts w:hint="eastAsia"/>
              </w:rPr>
              <w:t>部  长</w:t>
            </w:r>
          </w:p>
        </w:tc>
        <w:tc>
          <w:tcPr>
            <w:tcW w:w="1815" w:type="pct"/>
            <w:vAlign w:val="center"/>
          </w:tcPr>
          <w:p w14:paraId="773FC7C4">
            <w:pPr>
              <w:pStyle w:val="12"/>
              <w:jc w:val="center"/>
            </w:pPr>
            <w:r>
              <w:rPr>
                <w:rFonts w:hint="eastAsia"/>
              </w:rPr>
              <w:t>1951年4月至1953年2月</w:t>
            </w:r>
          </w:p>
        </w:tc>
      </w:tr>
      <w:tr w14:paraId="66E128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1" w:type="pct"/>
            <w:vAlign w:val="center"/>
          </w:tcPr>
          <w:p w14:paraId="500ABD69">
            <w:pPr>
              <w:pStyle w:val="12"/>
              <w:jc w:val="center"/>
            </w:pPr>
            <w:r>
              <w:rPr>
                <w:rFonts w:hint="eastAsia"/>
              </w:rPr>
              <w:t>康正德</w:t>
            </w:r>
          </w:p>
        </w:tc>
        <w:tc>
          <w:tcPr>
            <w:tcW w:w="1045" w:type="pct"/>
            <w:vAlign w:val="center"/>
          </w:tcPr>
          <w:p w14:paraId="6D6E1009">
            <w:pPr>
              <w:pStyle w:val="12"/>
              <w:jc w:val="center"/>
            </w:pPr>
            <w:r>
              <w:rPr>
                <w:rFonts w:hint="eastAsia"/>
              </w:rPr>
              <w:t>四  川</w:t>
            </w:r>
          </w:p>
        </w:tc>
        <w:tc>
          <w:tcPr>
            <w:tcW w:w="1209" w:type="pct"/>
            <w:vAlign w:val="center"/>
          </w:tcPr>
          <w:p w14:paraId="1E2E1603">
            <w:pPr>
              <w:pStyle w:val="12"/>
              <w:jc w:val="center"/>
            </w:pPr>
            <w:r>
              <w:rPr>
                <w:rFonts w:hint="eastAsia"/>
              </w:rPr>
              <w:t>部  长</w:t>
            </w:r>
          </w:p>
        </w:tc>
        <w:tc>
          <w:tcPr>
            <w:tcW w:w="1815" w:type="pct"/>
            <w:vAlign w:val="center"/>
          </w:tcPr>
          <w:p w14:paraId="77F129FE">
            <w:pPr>
              <w:pStyle w:val="12"/>
              <w:jc w:val="center"/>
            </w:pPr>
            <w:r>
              <w:rPr>
                <w:rFonts w:hint="eastAsia"/>
              </w:rPr>
              <w:t>1953年3月至1954年3月</w:t>
            </w:r>
          </w:p>
        </w:tc>
      </w:tr>
      <w:tr w14:paraId="418AAE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1" w:type="pct"/>
            <w:vMerge w:val="restart"/>
            <w:vAlign w:val="center"/>
          </w:tcPr>
          <w:p w14:paraId="7015C0FA">
            <w:pPr>
              <w:pStyle w:val="12"/>
              <w:jc w:val="center"/>
            </w:pPr>
            <w:r>
              <w:rPr>
                <w:rFonts w:hint="eastAsia"/>
              </w:rPr>
              <w:t>李春英</w:t>
            </w:r>
          </w:p>
        </w:tc>
        <w:tc>
          <w:tcPr>
            <w:tcW w:w="1045" w:type="pct"/>
            <w:vMerge w:val="restart"/>
            <w:vAlign w:val="center"/>
          </w:tcPr>
          <w:p w14:paraId="5E8DF512">
            <w:pPr>
              <w:pStyle w:val="12"/>
              <w:jc w:val="center"/>
            </w:pPr>
            <w:r>
              <w:rPr>
                <w:rFonts w:hint="eastAsia"/>
              </w:rPr>
              <w:t>河北邢台</w:t>
            </w:r>
          </w:p>
        </w:tc>
        <w:tc>
          <w:tcPr>
            <w:tcW w:w="1209" w:type="pct"/>
            <w:vAlign w:val="center"/>
          </w:tcPr>
          <w:p w14:paraId="0201EDBD">
            <w:pPr>
              <w:pStyle w:val="12"/>
              <w:jc w:val="center"/>
            </w:pPr>
            <w:r>
              <w:rPr>
                <w:rFonts w:hint="eastAsia"/>
              </w:rPr>
              <w:t>部长</w:t>
            </w:r>
          </w:p>
        </w:tc>
        <w:tc>
          <w:tcPr>
            <w:tcW w:w="1815" w:type="pct"/>
            <w:vAlign w:val="center"/>
          </w:tcPr>
          <w:p w14:paraId="7D225CBC">
            <w:pPr>
              <w:pStyle w:val="12"/>
              <w:jc w:val="center"/>
            </w:pPr>
            <w:r>
              <w:rPr>
                <w:rFonts w:hint="eastAsia"/>
              </w:rPr>
              <w:t>1954年4月至1954年8月</w:t>
            </w:r>
          </w:p>
        </w:tc>
      </w:tr>
      <w:tr w14:paraId="143095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1" w:type="pct"/>
            <w:vMerge w:val="continue"/>
            <w:vAlign w:val="center"/>
          </w:tcPr>
          <w:p w14:paraId="43517FC4">
            <w:pPr>
              <w:pStyle w:val="12"/>
              <w:jc w:val="center"/>
            </w:pPr>
          </w:p>
        </w:tc>
        <w:tc>
          <w:tcPr>
            <w:tcW w:w="1045" w:type="pct"/>
            <w:vMerge w:val="continue"/>
            <w:vAlign w:val="center"/>
          </w:tcPr>
          <w:p w14:paraId="1123759B">
            <w:pPr>
              <w:pStyle w:val="12"/>
              <w:jc w:val="center"/>
            </w:pPr>
          </w:p>
        </w:tc>
        <w:tc>
          <w:tcPr>
            <w:tcW w:w="1209" w:type="pct"/>
            <w:vAlign w:val="center"/>
          </w:tcPr>
          <w:p w14:paraId="3CC030C6">
            <w:pPr>
              <w:pStyle w:val="12"/>
              <w:jc w:val="center"/>
            </w:pPr>
            <w:r>
              <w:rPr>
                <w:rFonts w:hint="eastAsia"/>
              </w:rPr>
              <w:t>局长</w:t>
            </w:r>
          </w:p>
        </w:tc>
        <w:tc>
          <w:tcPr>
            <w:tcW w:w="1815" w:type="pct"/>
            <w:vAlign w:val="center"/>
          </w:tcPr>
          <w:p w14:paraId="7D344759">
            <w:pPr>
              <w:pStyle w:val="12"/>
              <w:jc w:val="center"/>
            </w:pPr>
            <w:r>
              <w:rPr>
                <w:rFonts w:hint="eastAsia"/>
              </w:rPr>
              <w:t>1954年9月至1958年5月</w:t>
            </w:r>
          </w:p>
        </w:tc>
      </w:tr>
      <w:tr w14:paraId="5129D8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1" w:type="pct"/>
            <w:vMerge w:val="restart"/>
            <w:vAlign w:val="center"/>
          </w:tcPr>
          <w:p w14:paraId="651FF076">
            <w:pPr>
              <w:pStyle w:val="12"/>
              <w:jc w:val="center"/>
            </w:pPr>
            <w:r>
              <w:rPr>
                <w:rFonts w:hint="eastAsia"/>
              </w:rPr>
              <w:t>李  才</w:t>
            </w:r>
          </w:p>
        </w:tc>
        <w:tc>
          <w:tcPr>
            <w:tcW w:w="1045" w:type="pct"/>
            <w:vMerge w:val="restart"/>
            <w:vAlign w:val="center"/>
          </w:tcPr>
          <w:p w14:paraId="5A686C9D">
            <w:pPr>
              <w:pStyle w:val="12"/>
              <w:jc w:val="center"/>
            </w:pPr>
            <w:r>
              <w:rPr>
                <w:rFonts w:hint="eastAsia"/>
              </w:rPr>
              <w:t>广东梅县</w:t>
            </w:r>
          </w:p>
        </w:tc>
        <w:tc>
          <w:tcPr>
            <w:tcW w:w="1209" w:type="pct"/>
            <w:vAlign w:val="center"/>
          </w:tcPr>
          <w:p w14:paraId="72B69899">
            <w:pPr>
              <w:pStyle w:val="12"/>
              <w:jc w:val="center"/>
            </w:pPr>
            <w:r>
              <w:rPr>
                <w:rFonts w:hint="eastAsia"/>
              </w:rPr>
              <w:t>局长</w:t>
            </w:r>
          </w:p>
        </w:tc>
        <w:tc>
          <w:tcPr>
            <w:tcW w:w="1815" w:type="pct"/>
            <w:vAlign w:val="center"/>
          </w:tcPr>
          <w:p w14:paraId="7C1FA5E5">
            <w:pPr>
              <w:pStyle w:val="12"/>
              <w:jc w:val="center"/>
            </w:pPr>
            <w:r>
              <w:rPr>
                <w:rFonts w:hint="eastAsia"/>
              </w:rPr>
              <w:t>1958年9月至1959年1月</w:t>
            </w:r>
          </w:p>
        </w:tc>
      </w:tr>
      <w:tr w14:paraId="470C98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1" w:type="pct"/>
            <w:vMerge w:val="continue"/>
            <w:vAlign w:val="center"/>
          </w:tcPr>
          <w:p w14:paraId="3D2F9EE7">
            <w:pPr>
              <w:pStyle w:val="12"/>
              <w:jc w:val="center"/>
            </w:pPr>
          </w:p>
        </w:tc>
        <w:tc>
          <w:tcPr>
            <w:tcW w:w="1045" w:type="pct"/>
            <w:vMerge w:val="continue"/>
            <w:vAlign w:val="center"/>
          </w:tcPr>
          <w:p w14:paraId="05661E95">
            <w:pPr>
              <w:pStyle w:val="12"/>
              <w:jc w:val="center"/>
            </w:pPr>
          </w:p>
        </w:tc>
        <w:tc>
          <w:tcPr>
            <w:tcW w:w="1209" w:type="pct"/>
            <w:vAlign w:val="center"/>
          </w:tcPr>
          <w:p w14:paraId="3381B138">
            <w:pPr>
              <w:pStyle w:val="12"/>
              <w:jc w:val="center"/>
            </w:pPr>
            <w:r>
              <w:rPr>
                <w:rFonts w:hint="eastAsia"/>
              </w:rPr>
              <w:t>部  长</w:t>
            </w:r>
          </w:p>
        </w:tc>
        <w:tc>
          <w:tcPr>
            <w:tcW w:w="1815" w:type="pct"/>
            <w:vAlign w:val="center"/>
          </w:tcPr>
          <w:p w14:paraId="6F63E058">
            <w:pPr>
              <w:pStyle w:val="12"/>
              <w:jc w:val="center"/>
            </w:pPr>
            <w:r>
              <w:rPr>
                <w:rFonts w:hint="eastAsia"/>
              </w:rPr>
              <w:t>1959年2月至1966年2月</w:t>
            </w:r>
          </w:p>
        </w:tc>
      </w:tr>
      <w:tr w14:paraId="45C50F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1" w:type="pct"/>
            <w:vAlign w:val="center"/>
          </w:tcPr>
          <w:p w14:paraId="069D812C">
            <w:pPr>
              <w:pStyle w:val="12"/>
              <w:jc w:val="center"/>
            </w:pPr>
            <w:r>
              <w:rPr>
                <w:rFonts w:hint="eastAsia"/>
              </w:rPr>
              <w:t>张凤阁</w:t>
            </w:r>
          </w:p>
        </w:tc>
        <w:tc>
          <w:tcPr>
            <w:tcW w:w="1045" w:type="pct"/>
            <w:vAlign w:val="center"/>
          </w:tcPr>
          <w:p w14:paraId="1A601296">
            <w:pPr>
              <w:pStyle w:val="12"/>
              <w:jc w:val="center"/>
            </w:pPr>
            <w:r>
              <w:rPr>
                <w:rFonts w:hint="eastAsia"/>
              </w:rPr>
              <w:t>吉林抚松</w:t>
            </w:r>
          </w:p>
        </w:tc>
        <w:tc>
          <w:tcPr>
            <w:tcW w:w="1209" w:type="pct"/>
            <w:vAlign w:val="center"/>
          </w:tcPr>
          <w:p w14:paraId="36428B4D">
            <w:pPr>
              <w:pStyle w:val="12"/>
              <w:jc w:val="center"/>
            </w:pPr>
            <w:r>
              <w:rPr>
                <w:rFonts w:hint="eastAsia"/>
              </w:rPr>
              <w:t>部长</w:t>
            </w:r>
          </w:p>
        </w:tc>
        <w:tc>
          <w:tcPr>
            <w:tcW w:w="1815" w:type="pct"/>
            <w:vAlign w:val="center"/>
          </w:tcPr>
          <w:p w14:paraId="42D02B5D">
            <w:pPr>
              <w:pStyle w:val="12"/>
              <w:jc w:val="center"/>
            </w:pPr>
            <w:r>
              <w:rPr>
                <w:rFonts w:hint="eastAsia"/>
              </w:rPr>
              <w:t>1966年2月至1969年10月</w:t>
            </w:r>
          </w:p>
        </w:tc>
      </w:tr>
      <w:tr w14:paraId="561D72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1" w:type="pct"/>
            <w:vAlign w:val="center"/>
          </w:tcPr>
          <w:p w14:paraId="3C1911DA">
            <w:pPr>
              <w:pStyle w:val="12"/>
              <w:jc w:val="center"/>
            </w:pPr>
            <w:r>
              <w:rPr>
                <w:rFonts w:hint="eastAsia"/>
              </w:rPr>
              <w:t>刘振甫</w:t>
            </w:r>
          </w:p>
        </w:tc>
        <w:tc>
          <w:tcPr>
            <w:tcW w:w="1045" w:type="pct"/>
            <w:vAlign w:val="center"/>
          </w:tcPr>
          <w:p w14:paraId="7C6EFD74">
            <w:pPr>
              <w:pStyle w:val="12"/>
              <w:jc w:val="center"/>
            </w:pPr>
            <w:r>
              <w:rPr>
                <w:rFonts w:hint="eastAsia"/>
              </w:rPr>
              <w:t>北京市</w:t>
            </w:r>
          </w:p>
        </w:tc>
        <w:tc>
          <w:tcPr>
            <w:tcW w:w="1209" w:type="pct"/>
            <w:vAlign w:val="center"/>
          </w:tcPr>
          <w:p w14:paraId="66E3CB23">
            <w:pPr>
              <w:pStyle w:val="12"/>
              <w:jc w:val="center"/>
            </w:pPr>
            <w:r>
              <w:rPr>
                <w:rFonts w:hint="eastAsia"/>
              </w:rPr>
              <w:t>部长</w:t>
            </w:r>
          </w:p>
        </w:tc>
        <w:tc>
          <w:tcPr>
            <w:tcW w:w="1815" w:type="pct"/>
            <w:vAlign w:val="center"/>
          </w:tcPr>
          <w:p w14:paraId="32C4F7F4">
            <w:pPr>
              <w:pStyle w:val="12"/>
              <w:jc w:val="center"/>
            </w:pPr>
            <w:r>
              <w:rPr>
                <w:rFonts w:hint="eastAsia"/>
              </w:rPr>
              <w:t>1969年4月至1972年8月</w:t>
            </w:r>
          </w:p>
        </w:tc>
      </w:tr>
      <w:tr w14:paraId="551E40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1" w:type="pct"/>
            <w:vAlign w:val="center"/>
          </w:tcPr>
          <w:p w14:paraId="1965BCED">
            <w:pPr>
              <w:pStyle w:val="12"/>
              <w:jc w:val="center"/>
            </w:pPr>
            <w:r>
              <w:rPr>
                <w:rFonts w:hint="eastAsia"/>
              </w:rPr>
              <w:t>黄  志</w:t>
            </w:r>
          </w:p>
        </w:tc>
        <w:tc>
          <w:tcPr>
            <w:tcW w:w="1045" w:type="pct"/>
            <w:vAlign w:val="center"/>
          </w:tcPr>
          <w:p w14:paraId="1C2C5EAE">
            <w:pPr>
              <w:pStyle w:val="12"/>
              <w:jc w:val="center"/>
            </w:pPr>
            <w:r>
              <w:rPr>
                <w:rFonts w:hint="eastAsia"/>
              </w:rPr>
              <w:t>广东翁源</w:t>
            </w:r>
          </w:p>
        </w:tc>
        <w:tc>
          <w:tcPr>
            <w:tcW w:w="1209" w:type="pct"/>
            <w:vAlign w:val="center"/>
          </w:tcPr>
          <w:p w14:paraId="40B6C94E">
            <w:pPr>
              <w:pStyle w:val="12"/>
              <w:jc w:val="center"/>
            </w:pPr>
            <w:r>
              <w:rPr>
                <w:rFonts w:hint="eastAsia"/>
              </w:rPr>
              <w:t>部长</w:t>
            </w:r>
          </w:p>
        </w:tc>
        <w:tc>
          <w:tcPr>
            <w:tcW w:w="1815" w:type="pct"/>
            <w:vAlign w:val="center"/>
          </w:tcPr>
          <w:p w14:paraId="6809EBE6">
            <w:pPr>
              <w:pStyle w:val="12"/>
              <w:jc w:val="center"/>
            </w:pPr>
            <w:r>
              <w:rPr>
                <w:rFonts w:hint="eastAsia"/>
              </w:rPr>
              <w:t>1979年5月至1983年8月</w:t>
            </w:r>
          </w:p>
        </w:tc>
      </w:tr>
      <w:tr w14:paraId="31011CD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1" w:type="pct"/>
            <w:vAlign w:val="center"/>
          </w:tcPr>
          <w:p w14:paraId="09F53781">
            <w:pPr>
              <w:pStyle w:val="12"/>
              <w:jc w:val="center"/>
            </w:pPr>
            <w:r>
              <w:rPr>
                <w:rFonts w:hint="eastAsia"/>
              </w:rPr>
              <w:t>梁怀深</w:t>
            </w:r>
          </w:p>
        </w:tc>
        <w:tc>
          <w:tcPr>
            <w:tcW w:w="1045" w:type="pct"/>
            <w:vAlign w:val="center"/>
          </w:tcPr>
          <w:p w14:paraId="61C1A5F4">
            <w:pPr>
              <w:pStyle w:val="12"/>
              <w:jc w:val="center"/>
            </w:pPr>
            <w:r>
              <w:rPr>
                <w:rFonts w:hint="eastAsia"/>
              </w:rPr>
              <w:t>广东恩平</w:t>
            </w:r>
          </w:p>
        </w:tc>
        <w:tc>
          <w:tcPr>
            <w:tcW w:w="1209" w:type="pct"/>
            <w:vAlign w:val="center"/>
          </w:tcPr>
          <w:p w14:paraId="4518F44C">
            <w:pPr>
              <w:pStyle w:val="12"/>
              <w:jc w:val="center"/>
            </w:pPr>
            <w:r>
              <w:rPr>
                <w:rFonts w:hint="eastAsia"/>
              </w:rPr>
              <w:t>部长</w:t>
            </w:r>
          </w:p>
        </w:tc>
        <w:tc>
          <w:tcPr>
            <w:tcW w:w="1815" w:type="pct"/>
            <w:vAlign w:val="center"/>
          </w:tcPr>
          <w:p w14:paraId="5891CED3">
            <w:pPr>
              <w:pStyle w:val="12"/>
              <w:jc w:val="center"/>
            </w:pPr>
            <w:r>
              <w:rPr>
                <w:rFonts w:hint="eastAsia"/>
              </w:rPr>
              <w:t>1983年9月至1985年7月</w:t>
            </w:r>
          </w:p>
        </w:tc>
      </w:tr>
      <w:tr w14:paraId="1832DB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1" w:type="pct"/>
            <w:vAlign w:val="center"/>
          </w:tcPr>
          <w:p w14:paraId="7B39ED36">
            <w:pPr>
              <w:pStyle w:val="12"/>
              <w:jc w:val="center"/>
            </w:pPr>
            <w:r>
              <w:rPr>
                <w:rFonts w:hint="eastAsia"/>
              </w:rPr>
              <w:t>曲令平</w:t>
            </w:r>
          </w:p>
        </w:tc>
        <w:tc>
          <w:tcPr>
            <w:tcW w:w="1045" w:type="pct"/>
            <w:vAlign w:val="center"/>
          </w:tcPr>
          <w:p w14:paraId="799E9656">
            <w:pPr>
              <w:pStyle w:val="12"/>
              <w:jc w:val="center"/>
            </w:pPr>
            <w:r>
              <w:rPr>
                <w:rFonts w:hint="eastAsia"/>
              </w:rPr>
              <w:t>河南唐河</w:t>
            </w:r>
          </w:p>
        </w:tc>
        <w:tc>
          <w:tcPr>
            <w:tcW w:w="1209" w:type="pct"/>
            <w:vAlign w:val="center"/>
          </w:tcPr>
          <w:p w14:paraId="2485ABB7">
            <w:pPr>
              <w:pStyle w:val="12"/>
              <w:jc w:val="center"/>
            </w:pPr>
            <w:r>
              <w:rPr>
                <w:rFonts w:hint="eastAsia"/>
              </w:rPr>
              <w:t>部长</w:t>
            </w:r>
          </w:p>
        </w:tc>
        <w:tc>
          <w:tcPr>
            <w:tcW w:w="1815" w:type="pct"/>
            <w:vAlign w:val="center"/>
          </w:tcPr>
          <w:p w14:paraId="0B3D0076">
            <w:pPr>
              <w:pStyle w:val="12"/>
              <w:jc w:val="center"/>
            </w:pPr>
            <w:r>
              <w:rPr>
                <w:rFonts w:hint="eastAsia"/>
              </w:rPr>
              <w:t>1986年1月至1993年2月</w:t>
            </w:r>
          </w:p>
        </w:tc>
      </w:tr>
      <w:tr w14:paraId="4A6D2A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1" w:type="pct"/>
            <w:vAlign w:val="center"/>
          </w:tcPr>
          <w:p w14:paraId="68DAA738">
            <w:pPr>
              <w:pStyle w:val="12"/>
              <w:jc w:val="center"/>
            </w:pPr>
            <w:r>
              <w:rPr>
                <w:rFonts w:hint="eastAsia"/>
              </w:rPr>
              <w:t>欧阳效元</w:t>
            </w:r>
          </w:p>
        </w:tc>
        <w:tc>
          <w:tcPr>
            <w:tcW w:w="1045" w:type="pct"/>
            <w:vAlign w:val="center"/>
          </w:tcPr>
          <w:p w14:paraId="6EFCD283">
            <w:pPr>
              <w:pStyle w:val="12"/>
              <w:jc w:val="center"/>
            </w:pPr>
            <w:r>
              <w:rPr>
                <w:rFonts w:hint="eastAsia"/>
              </w:rPr>
              <w:t>广东南雄</w:t>
            </w:r>
          </w:p>
        </w:tc>
        <w:tc>
          <w:tcPr>
            <w:tcW w:w="1209" w:type="pct"/>
            <w:vAlign w:val="center"/>
          </w:tcPr>
          <w:p w14:paraId="78009C9E">
            <w:pPr>
              <w:pStyle w:val="12"/>
              <w:jc w:val="center"/>
            </w:pPr>
            <w:r>
              <w:rPr>
                <w:rFonts w:hint="eastAsia"/>
              </w:rPr>
              <w:t>部长</w:t>
            </w:r>
          </w:p>
        </w:tc>
        <w:tc>
          <w:tcPr>
            <w:tcW w:w="1815" w:type="pct"/>
            <w:vAlign w:val="center"/>
          </w:tcPr>
          <w:p w14:paraId="09D7B541">
            <w:pPr>
              <w:pStyle w:val="12"/>
              <w:jc w:val="center"/>
            </w:pPr>
            <w:r>
              <w:rPr>
                <w:rFonts w:hint="eastAsia"/>
              </w:rPr>
              <w:t>1993年5月至1996年3月</w:t>
            </w:r>
          </w:p>
        </w:tc>
      </w:tr>
      <w:tr w14:paraId="271677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1" w:type="pct"/>
            <w:vAlign w:val="center"/>
          </w:tcPr>
          <w:p w14:paraId="26939C51">
            <w:pPr>
              <w:pStyle w:val="12"/>
              <w:jc w:val="center"/>
            </w:pPr>
            <w:r>
              <w:rPr>
                <w:rFonts w:hint="eastAsia"/>
              </w:rPr>
              <w:t>胡学增</w:t>
            </w:r>
          </w:p>
        </w:tc>
        <w:tc>
          <w:tcPr>
            <w:tcW w:w="1045" w:type="pct"/>
            <w:vAlign w:val="center"/>
          </w:tcPr>
          <w:p w14:paraId="2C86C5B3">
            <w:pPr>
              <w:pStyle w:val="12"/>
              <w:jc w:val="center"/>
            </w:pPr>
            <w:r>
              <w:rPr>
                <w:rFonts w:hint="eastAsia"/>
              </w:rPr>
              <w:t>河北安新</w:t>
            </w:r>
          </w:p>
        </w:tc>
        <w:tc>
          <w:tcPr>
            <w:tcW w:w="1209" w:type="pct"/>
            <w:vAlign w:val="center"/>
          </w:tcPr>
          <w:p w14:paraId="03B80E43">
            <w:pPr>
              <w:pStyle w:val="12"/>
              <w:jc w:val="center"/>
            </w:pPr>
            <w:r>
              <w:rPr>
                <w:rFonts w:hint="eastAsia"/>
              </w:rPr>
              <w:t>部长</w:t>
            </w:r>
          </w:p>
        </w:tc>
        <w:tc>
          <w:tcPr>
            <w:tcW w:w="1815" w:type="pct"/>
            <w:vAlign w:val="center"/>
          </w:tcPr>
          <w:p w14:paraId="29F7C20B">
            <w:pPr>
              <w:pStyle w:val="12"/>
              <w:jc w:val="center"/>
            </w:pPr>
            <w:r>
              <w:rPr>
                <w:rFonts w:hint="eastAsia"/>
              </w:rPr>
              <w:t>1996年10月至2000年3月</w:t>
            </w:r>
          </w:p>
        </w:tc>
      </w:tr>
      <w:tr w14:paraId="0B9651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1" w:type="pct"/>
            <w:vAlign w:val="center"/>
          </w:tcPr>
          <w:p w14:paraId="0BCF43BC">
            <w:pPr>
              <w:pStyle w:val="12"/>
              <w:jc w:val="center"/>
            </w:pPr>
            <w:r>
              <w:rPr>
                <w:rFonts w:hint="eastAsia"/>
              </w:rPr>
              <w:t>周昌球</w:t>
            </w:r>
          </w:p>
        </w:tc>
        <w:tc>
          <w:tcPr>
            <w:tcW w:w="1045" w:type="pct"/>
            <w:vAlign w:val="center"/>
          </w:tcPr>
          <w:p w14:paraId="3DCD34A8">
            <w:pPr>
              <w:pStyle w:val="12"/>
              <w:jc w:val="center"/>
            </w:pPr>
            <w:r>
              <w:rPr>
                <w:rFonts w:hint="eastAsia"/>
              </w:rPr>
              <w:t>湖南汉寿</w:t>
            </w:r>
          </w:p>
        </w:tc>
        <w:tc>
          <w:tcPr>
            <w:tcW w:w="1209" w:type="pct"/>
            <w:vAlign w:val="center"/>
          </w:tcPr>
          <w:p w14:paraId="4E11F9EC">
            <w:pPr>
              <w:pStyle w:val="12"/>
              <w:jc w:val="center"/>
            </w:pPr>
            <w:r>
              <w:rPr>
                <w:rFonts w:hint="eastAsia"/>
              </w:rPr>
              <w:t>部长</w:t>
            </w:r>
          </w:p>
        </w:tc>
        <w:tc>
          <w:tcPr>
            <w:tcW w:w="1815" w:type="pct"/>
            <w:vAlign w:val="center"/>
          </w:tcPr>
          <w:p w14:paraId="665566D1">
            <w:pPr>
              <w:pStyle w:val="12"/>
              <w:jc w:val="center"/>
            </w:pPr>
            <w:r>
              <w:rPr>
                <w:rFonts w:hint="eastAsia"/>
              </w:rPr>
              <w:t>2000年3月至2004年3月</w:t>
            </w:r>
          </w:p>
        </w:tc>
      </w:tr>
      <w:tr w14:paraId="2D4FAEF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1" w:type="pct"/>
            <w:vAlign w:val="center"/>
          </w:tcPr>
          <w:p w14:paraId="23BC06D5">
            <w:pPr>
              <w:pStyle w:val="12"/>
              <w:jc w:val="center"/>
            </w:pPr>
            <w:r>
              <w:rPr>
                <w:rFonts w:hint="eastAsia"/>
              </w:rPr>
              <w:t>刘建军</w:t>
            </w:r>
          </w:p>
        </w:tc>
        <w:tc>
          <w:tcPr>
            <w:tcW w:w="1045" w:type="pct"/>
            <w:vAlign w:val="center"/>
          </w:tcPr>
          <w:p w14:paraId="56921D7E">
            <w:pPr>
              <w:pStyle w:val="12"/>
              <w:jc w:val="center"/>
            </w:pPr>
            <w:r>
              <w:rPr>
                <w:rFonts w:hint="eastAsia"/>
              </w:rPr>
              <w:t>山东惠民</w:t>
            </w:r>
          </w:p>
        </w:tc>
        <w:tc>
          <w:tcPr>
            <w:tcW w:w="1209" w:type="pct"/>
            <w:vAlign w:val="center"/>
          </w:tcPr>
          <w:p w14:paraId="682851B9">
            <w:pPr>
              <w:pStyle w:val="12"/>
              <w:jc w:val="center"/>
            </w:pPr>
            <w:r>
              <w:rPr>
                <w:rFonts w:hint="eastAsia"/>
              </w:rPr>
              <w:t>部长</w:t>
            </w:r>
          </w:p>
        </w:tc>
        <w:tc>
          <w:tcPr>
            <w:tcW w:w="1815" w:type="pct"/>
            <w:vAlign w:val="center"/>
          </w:tcPr>
          <w:p w14:paraId="017C0BEE">
            <w:pPr>
              <w:pStyle w:val="12"/>
              <w:jc w:val="center"/>
            </w:pPr>
            <w:r>
              <w:rPr>
                <w:rFonts w:hint="eastAsia"/>
              </w:rPr>
              <w:t>2004年4月</w:t>
            </w:r>
          </w:p>
        </w:tc>
      </w:tr>
      <w:tr w14:paraId="4E9CD8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1" w:type="pct"/>
            <w:vAlign w:val="center"/>
          </w:tcPr>
          <w:p w14:paraId="3D318F95">
            <w:pPr>
              <w:pStyle w:val="12"/>
              <w:jc w:val="center"/>
            </w:pPr>
            <w:r>
              <w:rPr>
                <w:rFonts w:hint="eastAsia"/>
              </w:rPr>
              <w:t>何远东</w:t>
            </w:r>
          </w:p>
        </w:tc>
        <w:tc>
          <w:tcPr>
            <w:tcW w:w="1045" w:type="pct"/>
            <w:vAlign w:val="center"/>
          </w:tcPr>
          <w:p w14:paraId="51B612BC">
            <w:pPr>
              <w:pStyle w:val="12"/>
              <w:jc w:val="center"/>
            </w:pPr>
            <w:r>
              <w:rPr>
                <w:rFonts w:hint="eastAsia"/>
              </w:rPr>
              <w:t>广东曲江</w:t>
            </w:r>
          </w:p>
        </w:tc>
        <w:tc>
          <w:tcPr>
            <w:tcW w:w="1209" w:type="pct"/>
            <w:vAlign w:val="center"/>
          </w:tcPr>
          <w:p w14:paraId="3BE55CBF">
            <w:pPr>
              <w:pStyle w:val="12"/>
              <w:jc w:val="center"/>
            </w:pPr>
            <w:r>
              <w:rPr>
                <w:rFonts w:hint="eastAsia"/>
              </w:rPr>
              <w:t>政委</w:t>
            </w:r>
          </w:p>
        </w:tc>
        <w:tc>
          <w:tcPr>
            <w:tcW w:w="1815" w:type="pct"/>
            <w:vAlign w:val="center"/>
          </w:tcPr>
          <w:p w14:paraId="6F5580F7">
            <w:pPr>
              <w:pStyle w:val="12"/>
              <w:jc w:val="center"/>
            </w:pPr>
            <w:r>
              <w:rPr>
                <w:rFonts w:hint="eastAsia"/>
              </w:rPr>
              <w:t>1953年5月至1954年12月</w:t>
            </w:r>
          </w:p>
        </w:tc>
      </w:tr>
      <w:tr w14:paraId="2721F63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1" w:type="pct"/>
            <w:vAlign w:val="center"/>
          </w:tcPr>
          <w:p w14:paraId="4B660E9B">
            <w:pPr>
              <w:pStyle w:val="12"/>
              <w:jc w:val="center"/>
            </w:pPr>
            <w:r>
              <w:rPr>
                <w:rFonts w:hint="eastAsia"/>
              </w:rPr>
              <w:t>马正先</w:t>
            </w:r>
          </w:p>
        </w:tc>
        <w:tc>
          <w:tcPr>
            <w:tcW w:w="1045" w:type="pct"/>
            <w:vAlign w:val="center"/>
          </w:tcPr>
          <w:p w14:paraId="40D3DC27">
            <w:pPr>
              <w:pStyle w:val="12"/>
              <w:jc w:val="center"/>
            </w:pPr>
            <w:r>
              <w:rPr>
                <w:rFonts w:hint="eastAsia"/>
              </w:rPr>
              <w:t>陕西延安</w:t>
            </w:r>
          </w:p>
        </w:tc>
        <w:tc>
          <w:tcPr>
            <w:tcW w:w="1209" w:type="pct"/>
            <w:vAlign w:val="center"/>
          </w:tcPr>
          <w:p w14:paraId="31681AE9">
            <w:pPr>
              <w:pStyle w:val="12"/>
              <w:jc w:val="center"/>
            </w:pPr>
            <w:r>
              <w:rPr>
                <w:rFonts w:hint="eastAsia"/>
              </w:rPr>
              <w:t>政委</w:t>
            </w:r>
          </w:p>
        </w:tc>
        <w:tc>
          <w:tcPr>
            <w:tcW w:w="1815" w:type="pct"/>
            <w:vAlign w:val="center"/>
          </w:tcPr>
          <w:p w14:paraId="19B2E068">
            <w:pPr>
              <w:pStyle w:val="12"/>
              <w:jc w:val="center"/>
            </w:pPr>
            <w:r>
              <w:rPr>
                <w:rFonts w:hint="eastAsia"/>
              </w:rPr>
              <w:t>1961年2月至1964年3月</w:t>
            </w:r>
          </w:p>
        </w:tc>
      </w:tr>
      <w:tr w14:paraId="5E785C9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1" w:type="pct"/>
            <w:vAlign w:val="center"/>
          </w:tcPr>
          <w:p w14:paraId="6677BAA7">
            <w:pPr>
              <w:pStyle w:val="12"/>
              <w:jc w:val="center"/>
            </w:pPr>
            <w:r>
              <w:rPr>
                <w:rFonts w:hint="eastAsia"/>
              </w:rPr>
              <w:t>魏世俊</w:t>
            </w:r>
          </w:p>
        </w:tc>
        <w:tc>
          <w:tcPr>
            <w:tcW w:w="1045" w:type="pct"/>
            <w:vAlign w:val="center"/>
          </w:tcPr>
          <w:p w14:paraId="1855A79B">
            <w:pPr>
              <w:pStyle w:val="12"/>
              <w:jc w:val="center"/>
            </w:pPr>
            <w:r>
              <w:rPr>
                <w:rFonts w:hint="eastAsia"/>
              </w:rPr>
              <w:t>山西武乡</w:t>
            </w:r>
          </w:p>
        </w:tc>
        <w:tc>
          <w:tcPr>
            <w:tcW w:w="1209" w:type="pct"/>
            <w:vAlign w:val="center"/>
          </w:tcPr>
          <w:p w14:paraId="0A16C52A">
            <w:pPr>
              <w:pStyle w:val="12"/>
              <w:jc w:val="center"/>
            </w:pPr>
            <w:r>
              <w:rPr>
                <w:rFonts w:hint="eastAsia"/>
              </w:rPr>
              <w:t>政委</w:t>
            </w:r>
          </w:p>
        </w:tc>
        <w:tc>
          <w:tcPr>
            <w:tcW w:w="1815" w:type="pct"/>
            <w:vAlign w:val="center"/>
          </w:tcPr>
          <w:p w14:paraId="640AF6BA">
            <w:pPr>
              <w:pStyle w:val="12"/>
              <w:jc w:val="center"/>
            </w:pPr>
            <w:r>
              <w:rPr>
                <w:rFonts w:hint="eastAsia"/>
              </w:rPr>
              <w:t>1964年5月至1976年1月</w:t>
            </w:r>
          </w:p>
        </w:tc>
      </w:tr>
      <w:tr w14:paraId="1EFAFB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1" w:type="pct"/>
            <w:vMerge w:val="restart"/>
            <w:vAlign w:val="center"/>
          </w:tcPr>
          <w:p w14:paraId="06E135EC">
            <w:pPr>
              <w:pStyle w:val="12"/>
              <w:jc w:val="center"/>
            </w:pPr>
            <w:r>
              <w:rPr>
                <w:rFonts w:hint="eastAsia"/>
              </w:rPr>
              <w:t>沈会峰</w:t>
            </w:r>
          </w:p>
        </w:tc>
        <w:tc>
          <w:tcPr>
            <w:tcW w:w="1045" w:type="pct"/>
            <w:vMerge w:val="restart"/>
            <w:vAlign w:val="center"/>
          </w:tcPr>
          <w:p w14:paraId="7B40FB40">
            <w:pPr>
              <w:pStyle w:val="12"/>
              <w:jc w:val="center"/>
            </w:pPr>
            <w:r>
              <w:rPr>
                <w:rFonts w:hint="eastAsia"/>
              </w:rPr>
              <w:t>河北滦南</w:t>
            </w:r>
          </w:p>
        </w:tc>
        <w:tc>
          <w:tcPr>
            <w:tcW w:w="1209" w:type="pct"/>
            <w:vMerge w:val="restart"/>
            <w:vAlign w:val="center"/>
          </w:tcPr>
          <w:p w14:paraId="7B34ED91">
            <w:pPr>
              <w:pStyle w:val="12"/>
              <w:jc w:val="center"/>
            </w:pPr>
            <w:r>
              <w:rPr>
                <w:rFonts w:hint="eastAsia"/>
              </w:rPr>
              <w:t>第一政委（兼）</w:t>
            </w:r>
          </w:p>
        </w:tc>
        <w:tc>
          <w:tcPr>
            <w:tcW w:w="1815" w:type="pct"/>
            <w:vAlign w:val="center"/>
          </w:tcPr>
          <w:p w14:paraId="04773E24">
            <w:pPr>
              <w:pStyle w:val="12"/>
              <w:jc w:val="center"/>
            </w:pPr>
            <w:r>
              <w:rPr>
                <w:rFonts w:hint="eastAsia"/>
              </w:rPr>
              <w:t>1965年至1967年1月</w:t>
            </w:r>
          </w:p>
        </w:tc>
      </w:tr>
      <w:tr w14:paraId="129A3F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1" w:type="pct"/>
            <w:vMerge w:val="continue"/>
            <w:vAlign w:val="center"/>
          </w:tcPr>
          <w:p w14:paraId="16856702">
            <w:pPr>
              <w:pStyle w:val="12"/>
              <w:jc w:val="center"/>
            </w:pPr>
          </w:p>
        </w:tc>
        <w:tc>
          <w:tcPr>
            <w:tcW w:w="1045" w:type="pct"/>
            <w:vMerge w:val="continue"/>
            <w:vAlign w:val="center"/>
          </w:tcPr>
          <w:p w14:paraId="4D0F6D69">
            <w:pPr>
              <w:pStyle w:val="12"/>
              <w:jc w:val="center"/>
            </w:pPr>
          </w:p>
        </w:tc>
        <w:tc>
          <w:tcPr>
            <w:tcW w:w="1209" w:type="pct"/>
            <w:vMerge w:val="continue"/>
            <w:vAlign w:val="center"/>
          </w:tcPr>
          <w:p w14:paraId="392A0797">
            <w:pPr>
              <w:pStyle w:val="12"/>
              <w:jc w:val="center"/>
            </w:pPr>
          </w:p>
        </w:tc>
        <w:tc>
          <w:tcPr>
            <w:tcW w:w="1815" w:type="pct"/>
            <w:vAlign w:val="center"/>
          </w:tcPr>
          <w:p w14:paraId="28AA6F0C">
            <w:pPr>
              <w:pStyle w:val="12"/>
              <w:jc w:val="center"/>
            </w:pPr>
            <w:r>
              <w:rPr>
                <w:rFonts w:hint="eastAsia"/>
              </w:rPr>
              <w:t>1974年至1984年4月</w:t>
            </w:r>
          </w:p>
        </w:tc>
      </w:tr>
      <w:tr w14:paraId="2CF7370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1" w:type="pct"/>
            <w:vAlign w:val="center"/>
          </w:tcPr>
          <w:p w14:paraId="412CC003">
            <w:pPr>
              <w:pStyle w:val="12"/>
              <w:jc w:val="center"/>
            </w:pPr>
            <w:r>
              <w:rPr>
                <w:rFonts w:hint="eastAsia"/>
              </w:rPr>
              <w:t>王桐坤</w:t>
            </w:r>
          </w:p>
        </w:tc>
        <w:tc>
          <w:tcPr>
            <w:tcW w:w="1045" w:type="pct"/>
            <w:vAlign w:val="center"/>
          </w:tcPr>
          <w:p w14:paraId="2E0FCEBD">
            <w:pPr>
              <w:pStyle w:val="12"/>
              <w:jc w:val="center"/>
            </w:pPr>
            <w:r>
              <w:rPr>
                <w:rFonts w:hint="eastAsia"/>
              </w:rPr>
              <w:t>—</w:t>
            </w:r>
          </w:p>
        </w:tc>
        <w:tc>
          <w:tcPr>
            <w:tcW w:w="1209" w:type="pct"/>
            <w:vAlign w:val="center"/>
          </w:tcPr>
          <w:p w14:paraId="75E5C8BC">
            <w:pPr>
              <w:pStyle w:val="12"/>
              <w:jc w:val="center"/>
            </w:pPr>
            <w:r>
              <w:rPr>
                <w:rFonts w:hint="eastAsia"/>
              </w:rPr>
              <w:t>政委</w:t>
            </w:r>
          </w:p>
        </w:tc>
        <w:tc>
          <w:tcPr>
            <w:tcW w:w="1815" w:type="pct"/>
            <w:vAlign w:val="center"/>
          </w:tcPr>
          <w:p w14:paraId="45C34049">
            <w:pPr>
              <w:pStyle w:val="12"/>
              <w:jc w:val="center"/>
            </w:pPr>
            <w:r>
              <w:rPr>
                <w:rFonts w:hint="eastAsia"/>
              </w:rPr>
              <w:t>1974年11月至1975年10月</w:t>
            </w:r>
          </w:p>
        </w:tc>
      </w:tr>
      <w:tr w14:paraId="0915A3E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1" w:type="pct"/>
            <w:vAlign w:val="center"/>
          </w:tcPr>
          <w:p w14:paraId="283BCF5F">
            <w:pPr>
              <w:pStyle w:val="12"/>
              <w:jc w:val="center"/>
            </w:pPr>
            <w:r>
              <w:rPr>
                <w:rFonts w:hint="eastAsia"/>
              </w:rPr>
              <w:t>李  坚</w:t>
            </w:r>
          </w:p>
        </w:tc>
        <w:tc>
          <w:tcPr>
            <w:tcW w:w="1045" w:type="pct"/>
            <w:vAlign w:val="center"/>
          </w:tcPr>
          <w:p w14:paraId="32B4A0D8">
            <w:pPr>
              <w:pStyle w:val="12"/>
              <w:jc w:val="center"/>
            </w:pPr>
            <w:r>
              <w:rPr>
                <w:rFonts w:hint="eastAsia"/>
              </w:rPr>
              <w:t>广东揭西</w:t>
            </w:r>
          </w:p>
        </w:tc>
        <w:tc>
          <w:tcPr>
            <w:tcW w:w="1209" w:type="pct"/>
            <w:vAlign w:val="center"/>
          </w:tcPr>
          <w:p w14:paraId="27B70B4B">
            <w:pPr>
              <w:pStyle w:val="12"/>
              <w:jc w:val="center"/>
            </w:pPr>
            <w:r>
              <w:rPr>
                <w:rFonts w:hint="eastAsia"/>
              </w:rPr>
              <w:t>政委</w:t>
            </w:r>
          </w:p>
        </w:tc>
        <w:tc>
          <w:tcPr>
            <w:tcW w:w="1815" w:type="pct"/>
            <w:vAlign w:val="center"/>
          </w:tcPr>
          <w:p w14:paraId="43E4903C">
            <w:pPr>
              <w:pStyle w:val="12"/>
              <w:jc w:val="center"/>
            </w:pPr>
            <w:r>
              <w:rPr>
                <w:rFonts w:hint="eastAsia"/>
              </w:rPr>
              <w:t>1976年1月至1981年6月</w:t>
            </w:r>
          </w:p>
        </w:tc>
      </w:tr>
      <w:tr w14:paraId="2A89AD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1" w:type="pct"/>
            <w:vAlign w:val="center"/>
          </w:tcPr>
          <w:p w14:paraId="413CA368">
            <w:pPr>
              <w:pStyle w:val="12"/>
              <w:jc w:val="center"/>
            </w:pPr>
            <w:r>
              <w:rPr>
                <w:rFonts w:hint="eastAsia"/>
              </w:rPr>
              <w:t>姚绍牛</w:t>
            </w:r>
          </w:p>
        </w:tc>
        <w:tc>
          <w:tcPr>
            <w:tcW w:w="1045" w:type="pct"/>
            <w:vAlign w:val="center"/>
          </w:tcPr>
          <w:p w14:paraId="0D9D12D3">
            <w:pPr>
              <w:pStyle w:val="12"/>
              <w:jc w:val="center"/>
            </w:pPr>
            <w:r>
              <w:rPr>
                <w:rFonts w:hint="eastAsia"/>
              </w:rPr>
              <w:t>广东惠阳</w:t>
            </w:r>
          </w:p>
        </w:tc>
        <w:tc>
          <w:tcPr>
            <w:tcW w:w="1209" w:type="pct"/>
            <w:vAlign w:val="center"/>
          </w:tcPr>
          <w:p w14:paraId="0173E546">
            <w:pPr>
              <w:pStyle w:val="12"/>
              <w:jc w:val="center"/>
            </w:pPr>
            <w:r>
              <w:rPr>
                <w:rFonts w:hint="eastAsia"/>
              </w:rPr>
              <w:t>政委</w:t>
            </w:r>
          </w:p>
        </w:tc>
        <w:tc>
          <w:tcPr>
            <w:tcW w:w="1815" w:type="pct"/>
            <w:vAlign w:val="center"/>
          </w:tcPr>
          <w:p w14:paraId="02FBEB90">
            <w:pPr>
              <w:pStyle w:val="12"/>
              <w:jc w:val="center"/>
            </w:pPr>
            <w:r>
              <w:rPr>
                <w:rFonts w:hint="eastAsia"/>
              </w:rPr>
              <w:t>1981年6月至1984年2月</w:t>
            </w:r>
          </w:p>
        </w:tc>
      </w:tr>
      <w:tr w14:paraId="12F9AB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1" w:type="pct"/>
            <w:vAlign w:val="center"/>
          </w:tcPr>
          <w:p w14:paraId="36A16B05">
            <w:pPr>
              <w:pStyle w:val="12"/>
              <w:jc w:val="center"/>
            </w:pPr>
            <w:r>
              <w:rPr>
                <w:rFonts w:hint="eastAsia"/>
              </w:rPr>
              <w:t>李开鹏</w:t>
            </w:r>
          </w:p>
        </w:tc>
        <w:tc>
          <w:tcPr>
            <w:tcW w:w="1045" w:type="pct"/>
            <w:vAlign w:val="center"/>
          </w:tcPr>
          <w:p w14:paraId="6916E2A3">
            <w:pPr>
              <w:pStyle w:val="12"/>
              <w:jc w:val="center"/>
            </w:pPr>
            <w:r>
              <w:rPr>
                <w:rFonts w:hint="eastAsia"/>
              </w:rPr>
              <w:t>广东龙川</w:t>
            </w:r>
          </w:p>
        </w:tc>
        <w:tc>
          <w:tcPr>
            <w:tcW w:w="1209" w:type="pct"/>
            <w:vAlign w:val="center"/>
          </w:tcPr>
          <w:p w14:paraId="0D51D4FD">
            <w:pPr>
              <w:pStyle w:val="12"/>
              <w:jc w:val="center"/>
            </w:pPr>
            <w:r>
              <w:rPr>
                <w:rFonts w:hint="eastAsia"/>
              </w:rPr>
              <w:t>政委</w:t>
            </w:r>
          </w:p>
        </w:tc>
        <w:tc>
          <w:tcPr>
            <w:tcW w:w="1815" w:type="pct"/>
            <w:vAlign w:val="center"/>
          </w:tcPr>
          <w:p w14:paraId="4AE8FBF9">
            <w:pPr>
              <w:pStyle w:val="12"/>
              <w:jc w:val="center"/>
            </w:pPr>
            <w:r>
              <w:rPr>
                <w:rFonts w:hint="eastAsia"/>
              </w:rPr>
              <w:t>1984年7月至1985年7月</w:t>
            </w:r>
          </w:p>
        </w:tc>
      </w:tr>
      <w:tr w14:paraId="1AE9C4F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1" w:type="pct"/>
            <w:vAlign w:val="center"/>
          </w:tcPr>
          <w:p w14:paraId="48A1946D">
            <w:pPr>
              <w:pStyle w:val="12"/>
              <w:jc w:val="center"/>
            </w:pPr>
            <w:r>
              <w:rPr>
                <w:rFonts w:hint="eastAsia"/>
              </w:rPr>
              <w:t>肖有根</w:t>
            </w:r>
          </w:p>
        </w:tc>
        <w:tc>
          <w:tcPr>
            <w:tcW w:w="1045" w:type="pct"/>
            <w:vAlign w:val="center"/>
          </w:tcPr>
          <w:p w14:paraId="4F10D42F">
            <w:pPr>
              <w:pStyle w:val="12"/>
              <w:jc w:val="center"/>
            </w:pPr>
            <w:r>
              <w:rPr>
                <w:rFonts w:hint="eastAsia"/>
              </w:rPr>
              <w:t>广东翁源</w:t>
            </w:r>
          </w:p>
        </w:tc>
        <w:tc>
          <w:tcPr>
            <w:tcW w:w="1209" w:type="pct"/>
            <w:vAlign w:val="center"/>
          </w:tcPr>
          <w:p w14:paraId="03290B47">
            <w:pPr>
              <w:pStyle w:val="12"/>
              <w:jc w:val="center"/>
            </w:pPr>
            <w:r>
              <w:rPr>
                <w:rFonts w:hint="eastAsia"/>
              </w:rPr>
              <w:t>第一政委（兼）</w:t>
            </w:r>
          </w:p>
        </w:tc>
        <w:tc>
          <w:tcPr>
            <w:tcW w:w="1815" w:type="pct"/>
            <w:vAlign w:val="center"/>
          </w:tcPr>
          <w:p w14:paraId="10F07D4E">
            <w:pPr>
              <w:pStyle w:val="12"/>
              <w:jc w:val="center"/>
            </w:pPr>
            <w:r>
              <w:rPr>
                <w:rFonts w:hint="eastAsia"/>
              </w:rPr>
              <w:t>1984年4月至1986年5月</w:t>
            </w:r>
          </w:p>
        </w:tc>
      </w:tr>
      <w:tr w14:paraId="3C7FA8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1" w:type="pct"/>
            <w:vAlign w:val="center"/>
          </w:tcPr>
          <w:p w14:paraId="78939D35">
            <w:pPr>
              <w:pStyle w:val="12"/>
              <w:jc w:val="center"/>
            </w:pPr>
            <w:r>
              <w:rPr>
                <w:rFonts w:hint="eastAsia"/>
              </w:rPr>
              <w:t>曾昭佑</w:t>
            </w:r>
          </w:p>
        </w:tc>
        <w:tc>
          <w:tcPr>
            <w:tcW w:w="1045" w:type="pct"/>
            <w:vAlign w:val="center"/>
          </w:tcPr>
          <w:p w14:paraId="29973B7E">
            <w:pPr>
              <w:pStyle w:val="12"/>
              <w:jc w:val="center"/>
            </w:pPr>
            <w:r>
              <w:rPr>
                <w:rFonts w:hint="eastAsia"/>
              </w:rPr>
              <w:t>广东南雄</w:t>
            </w:r>
          </w:p>
        </w:tc>
        <w:tc>
          <w:tcPr>
            <w:tcW w:w="1209" w:type="pct"/>
            <w:vAlign w:val="center"/>
          </w:tcPr>
          <w:p w14:paraId="0B5CCC06">
            <w:pPr>
              <w:pStyle w:val="12"/>
              <w:jc w:val="center"/>
            </w:pPr>
            <w:r>
              <w:rPr>
                <w:rFonts w:hint="eastAsia"/>
              </w:rPr>
              <w:t>政委</w:t>
            </w:r>
          </w:p>
        </w:tc>
        <w:tc>
          <w:tcPr>
            <w:tcW w:w="1815" w:type="pct"/>
            <w:vAlign w:val="center"/>
          </w:tcPr>
          <w:p w14:paraId="6B522FB1">
            <w:pPr>
              <w:pStyle w:val="12"/>
              <w:jc w:val="center"/>
            </w:pPr>
            <w:r>
              <w:rPr>
                <w:rFonts w:hint="eastAsia"/>
              </w:rPr>
              <w:t>1986年4月至1996年3月</w:t>
            </w:r>
          </w:p>
        </w:tc>
      </w:tr>
      <w:tr w14:paraId="2C1A23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1" w:type="pct"/>
            <w:vAlign w:val="center"/>
          </w:tcPr>
          <w:p w14:paraId="3CA427F6">
            <w:pPr>
              <w:pStyle w:val="12"/>
              <w:jc w:val="center"/>
            </w:pPr>
            <w:r>
              <w:rPr>
                <w:rFonts w:hint="eastAsia"/>
              </w:rPr>
              <w:t>欧阳效元</w:t>
            </w:r>
          </w:p>
        </w:tc>
        <w:tc>
          <w:tcPr>
            <w:tcW w:w="1045" w:type="pct"/>
            <w:vAlign w:val="center"/>
          </w:tcPr>
          <w:p w14:paraId="0A4F52BB">
            <w:pPr>
              <w:pStyle w:val="12"/>
              <w:jc w:val="center"/>
            </w:pPr>
            <w:r>
              <w:rPr>
                <w:rFonts w:hint="eastAsia"/>
              </w:rPr>
              <w:t>广东南雄</w:t>
            </w:r>
          </w:p>
        </w:tc>
        <w:tc>
          <w:tcPr>
            <w:tcW w:w="1209" w:type="pct"/>
            <w:vAlign w:val="center"/>
          </w:tcPr>
          <w:p w14:paraId="2C569BB1">
            <w:pPr>
              <w:pStyle w:val="12"/>
              <w:jc w:val="center"/>
            </w:pPr>
            <w:r>
              <w:rPr>
                <w:rFonts w:hint="eastAsia"/>
              </w:rPr>
              <w:t>政委</w:t>
            </w:r>
          </w:p>
        </w:tc>
        <w:tc>
          <w:tcPr>
            <w:tcW w:w="1815" w:type="pct"/>
            <w:vAlign w:val="center"/>
          </w:tcPr>
          <w:p w14:paraId="4A3A6C9E">
            <w:pPr>
              <w:pStyle w:val="12"/>
              <w:jc w:val="center"/>
            </w:pPr>
            <w:r>
              <w:rPr>
                <w:rFonts w:hint="eastAsia"/>
              </w:rPr>
              <w:t>1996年4月至1998年5月</w:t>
            </w:r>
          </w:p>
        </w:tc>
      </w:tr>
      <w:tr w14:paraId="149BF3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1" w:type="pct"/>
            <w:vAlign w:val="center"/>
          </w:tcPr>
          <w:p w14:paraId="1E95A892">
            <w:pPr>
              <w:pStyle w:val="12"/>
              <w:jc w:val="center"/>
            </w:pPr>
            <w:r>
              <w:rPr>
                <w:rFonts w:hint="eastAsia"/>
              </w:rPr>
              <w:t>梁光明</w:t>
            </w:r>
          </w:p>
        </w:tc>
        <w:tc>
          <w:tcPr>
            <w:tcW w:w="1045" w:type="pct"/>
            <w:vAlign w:val="center"/>
          </w:tcPr>
          <w:p w14:paraId="0B95CB47">
            <w:pPr>
              <w:pStyle w:val="12"/>
              <w:jc w:val="center"/>
            </w:pPr>
            <w:r>
              <w:rPr>
                <w:rFonts w:hint="eastAsia"/>
              </w:rPr>
              <w:t>广东连南</w:t>
            </w:r>
          </w:p>
        </w:tc>
        <w:tc>
          <w:tcPr>
            <w:tcW w:w="1209" w:type="pct"/>
            <w:vAlign w:val="center"/>
          </w:tcPr>
          <w:p w14:paraId="0E9EE665">
            <w:pPr>
              <w:pStyle w:val="12"/>
              <w:jc w:val="center"/>
            </w:pPr>
            <w:r>
              <w:rPr>
                <w:rFonts w:hint="eastAsia"/>
              </w:rPr>
              <w:t>政委</w:t>
            </w:r>
          </w:p>
        </w:tc>
        <w:tc>
          <w:tcPr>
            <w:tcW w:w="1815" w:type="pct"/>
            <w:vAlign w:val="center"/>
          </w:tcPr>
          <w:p w14:paraId="569B0E68">
            <w:pPr>
              <w:pStyle w:val="12"/>
              <w:jc w:val="center"/>
            </w:pPr>
            <w:r>
              <w:rPr>
                <w:rFonts w:hint="eastAsia"/>
              </w:rPr>
              <w:t>1998年5月至2000年3月</w:t>
            </w:r>
          </w:p>
        </w:tc>
      </w:tr>
      <w:tr w14:paraId="5CC022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1" w:type="pct"/>
            <w:vMerge w:val="restart"/>
            <w:vAlign w:val="center"/>
          </w:tcPr>
          <w:p w14:paraId="6F9097B4">
            <w:pPr>
              <w:pStyle w:val="12"/>
              <w:jc w:val="center"/>
            </w:pPr>
            <w:r>
              <w:rPr>
                <w:rFonts w:hint="eastAsia"/>
              </w:rPr>
              <w:t>邱成标</w:t>
            </w:r>
          </w:p>
        </w:tc>
        <w:tc>
          <w:tcPr>
            <w:tcW w:w="1045" w:type="pct"/>
            <w:vMerge w:val="restart"/>
            <w:vAlign w:val="center"/>
          </w:tcPr>
          <w:p w14:paraId="51FF6E90">
            <w:pPr>
              <w:pStyle w:val="12"/>
              <w:jc w:val="center"/>
            </w:pPr>
            <w:r>
              <w:rPr>
                <w:rFonts w:hint="eastAsia"/>
              </w:rPr>
              <w:t>广东阳山</w:t>
            </w:r>
          </w:p>
        </w:tc>
        <w:tc>
          <w:tcPr>
            <w:tcW w:w="1209" w:type="pct"/>
            <w:vAlign w:val="center"/>
          </w:tcPr>
          <w:p w14:paraId="1D58E81F">
            <w:pPr>
              <w:pStyle w:val="12"/>
              <w:jc w:val="center"/>
            </w:pPr>
            <w:r>
              <w:rPr>
                <w:rFonts w:hint="eastAsia"/>
              </w:rPr>
              <w:t>代理政委</w:t>
            </w:r>
          </w:p>
        </w:tc>
        <w:tc>
          <w:tcPr>
            <w:tcW w:w="1815" w:type="pct"/>
            <w:vAlign w:val="center"/>
          </w:tcPr>
          <w:p w14:paraId="181752B3">
            <w:pPr>
              <w:pStyle w:val="12"/>
              <w:jc w:val="center"/>
            </w:pPr>
            <w:r>
              <w:rPr>
                <w:rFonts w:hint="eastAsia"/>
              </w:rPr>
              <w:t>2000年4月至2000年9月</w:t>
            </w:r>
          </w:p>
        </w:tc>
      </w:tr>
      <w:tr w14:paraId="4B9B9D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1" w:type="pct"/>
            <w:vMerge w:val="continue"/>
            <w:vAlign w:val="center"/>
          </w:tcPr>
          <w:p w14:paraId="20BA6A99">
            <w:pPr>
              <w:pStyle w:val="12"/>
              <w:jc w:val="center"/>
            </w:pPr>
          </w:p>
        </w:tc>
        <w:tc>
          <w:tcPr>
            <w:tcW w:w="1045" w:type="pct"/>
            <w:vMerge w:val="continue"/>
            <w:vAlign w:val="center"/>
          </w:tcPr>
          <w:p w14:paraId="662392F9">
            <w:pPr>
              <w:pStyle w:val="12"/>
              <w:jc w:val="center"/>
            </w:pPr>
          </w:p>
        </w:tc>
        <w:tc>
          <w:tcPr>
            <w:tcW w:w="1209" w:type="pct"/>
            <w:vAlign w:val="center"/>
          </w:tcPr>
          <w:p w14:paraId="6AF5DDE1">
            <w:pPr>
              <w:pStyle w:val="12"/>
              <w:jc w:val="center"/>
            </w:pPr>
            <w:r>
              <w:rPr>
                <w:rFonts w:hint="eastAsia"/>
              </w:rPr>
              <w:t>政委</w:t>
            </w:r>
          </w:p>
        </w:tc>
        <w:tc>
          <w:tcPr>
            <w:tcW w:w="1815" w:type="pct"/>
            <w:vAlign w:val="center"/>
          </w:tcPr>
          <w:p w14:paraId="419449A4">
            <w:pPr>
              <w:pStyle w:val="12"/>
              <w:jc w:val="center"/>
            </w:pPr>
            <w:r>
              <w:rPr>
                <w:rFonts w:hint="eastAsia"/>
              </w:rPr>
              <w:t>2000年10月至2005年3月</w:t>
            </w:r>
          </w:p>
        </w:tc>
      </w:tr>
      <w:tr w14:paraId="5DB873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1" w:type="pct"/>
            <w:vAlign w:val="center"/>
          </w:tcPr>
          <w:p w14:paraId="13D838BD">
            <w:pPr>
              <w:pStyle w:val="12"/>
              <w:jc w:val="center"/>
            </w:pPr>
            <w:r>
              <w:rPr>
                <w:rFonts w:hint="eastAsia"/>
              </w:rPr>
              <w:t>曾玉丰</w:t>
            </w:r>
          </w:p>
        </w:tc>
        <w:tc>
          <w:tcPr>
            <w:tcW w:w="1045" w:type="pct"/>
            <w:vAlign w:val="center"/>
          </w:tcPr>
          <w:p w14:paraId="5C3D3654">
            <w:pPr>
              <w:pStyle w:val="12"/>
              <w:jc w:val="center"/>
            </w:pPr>
            <w:r>
              <w:rPr>
                <w:rFonts w:hint="eastAsia"/>
              </w:rPr>
              <w:t>湖南娄底</w:t>
            </w:r>
          </w:p>
        </w:tc>
        <w:tc>
          <w:tcPr>
            <w:tcW w:w="1209" w:type="pct"/>
            <w:vAlign w:val="center"/>
          </w:tcPr>
          <w:p w14:paraId="1D3C5AD1">
            <w:pPr>
              <w:pStyle w:val="12"/>
              <w:jc w:val="center"/>
            </w:pPr>
            <w:r>
              <w:rPr>
                <w:rFonts w:hint="eastAsia"/>
              </w:rPr>
              <w:t>政委</w:t>
            </w:r>
          </w:p>
        </w:tc>
        <w:tc>
          <w:tcPr>
            <w:tcW w:w="1815" w:type="pct"/>
            <w:vAlign w:val="center"/>
          </w:tcPr>
          <w:p w14:paraId="1B8358AC">
            <w:pPr>
              <w:pStyle w:val="12"/>
              <w:jc w:val="center"/>
            </w:pPr>
            <w:r>
              <w:rPr>
                <w:rFonts w:hint="eastAsia"/>
              </w:rPr>
              <w:t>2005年4月</w:t>
            </w:r>
          </w:p>
        </w:tc>
      </w:tr>
    </w:tbl>
    <w:p w14:paraId="6F3949AD">
      <w:pPr>
        <w:pStyle w:val="4"/>
        <w:rPr>
          <w:rFonts w:ascii="宋体" w:hAnsi="宋体" w:cs="宋体"/>
        </w:rPr>
      </w:pPr>
      <w:r>
        <w:rPr>
          <w:rFonts w:hint="eastAsia" w:ascii="宋体" w:hAnsi="宋体" w:cs="宋体"/>
        </w:rPr>
        <w:t>第三节  兵事</w:t>
      </w:r>
    </w:p>
    <w:p w14:paraId="18F6AD41">
      <w:pPr>
        <w:ind w:firstLine="420"/>
        <w:rPr>
          <w:rFonts w:ascii="宋体" w:hAnsi="宋体" w:cs="宋体"/>
        </w:rPr>
      </w:pPr>
      <w:r>
        <w:rPr>
          <w:rFonts w:hint="eastAsia" w:ascii="宋体" w:hAnsi="宋体" w:cs="宋体"/>
        </w:rPr>
        <w:t>一、土地革命时期兵事。1929年6月1日，彭德怀率红五军占领南雄城，5日撤离北上。1930年3月下旬，毛泽东、朱德率红四军攻占南雄城，驻扎1周后东进信丰。1932年7月，发生水口战役，1.8万多红军与1.4万多粤军在南雄水口激战4天。1934年至1937年项英、陈毅在油山坚持3年游击战。</w:t>
      </w:r>
    </w:p>
    <w:p w14:paraId="4B3316D7">
      <w:pPr>
        <w:ind w:firstLine="420"/>
        <w:rPr>
          <w:rFonts w:ascii="宋体" w:hAnsi="宋体" w:cs="宋体"/>
        </w:rPr>
      </w:pPr>
      <w:r>
        <w:rPr>
          <w:rFonts w:hint="eastAsia" w:ascii="宋体" w:hAnsi="宋体" w:cs="宋体"/>
        </w:rPr>
        <w:t>二、抗日战争时期兵事。抗日期间驻南雄机场的中国空军与美国志愿空军第九四航空队，多次与入侵日机空战，击落日军20余架。1945年2月2日，粤北抗日战役中的南雄守御战，中国守军一八七师与日军激战1天，守军失利，南雄城陷。1945年7月12日起，中国驻军向日本侵略军反攻，23日光复南雄城。</w:t>
      </w:r>
    </w:p>
    <w:p w14:paraId="679B0F90">
      <w:pPr>
        <w:ind w:firstLine="420"/>
        <w:rPr>
          <w:rFonts w:ascii="宋体" w:hAnsi="宋体" w:cs="宋体"/>
        </w:rPr>
      </w:pPr>
      <w:r>
        <w:rPr>
          <w:rFonts w:hint="eastAsia" w:ascii="宋体" w:hAnsi="宋体" w:cs="宋体"/>
        </w:rPr>
        <w:t>三、解放战争时期兵事。1945年至1949年的五岭游击战和解放南雄之战。中共五岭地委领导的武装力量，主动出击国民党地方武装，在南雄发生的主要战斗有突袭水口警备队之战，突袭白云下移村之战，拔除新田乡公所之战，杨梅、樟树下、南亩伏击战。1949年9月24日清晨4时，中国人民解放军发动解放南雄之战，一举攻克南雄城，俘敌1300余人。</w:t>
      </w:r>
    </w:p>
    <w:p w14:paraId="4E4427A9">
      <w:pPr>
        <w:ind w:firstLine="420"/>
        <w:rPr>
          <w:rFonts w:ascii="宋体" w:hAnsi="宋体" w:cs="宋体"/>
        </w:rPr>
      </w:pPr>
      <w:r>
        <w:rPr>
          <w:rFonts w:hint="eastAsia" w:ascii="宋体" w:hAnsi="宋体" w:cs="宋体"/>
        </w:rPr>
        <w:t>此外，还有解放初期消灭丘常贵、黄余东等股匪之战，歼匪15股，匪患基本肃清。</w:t>
      </w:r>
    </w:p>
    <w:p w14:paraId="1783DABC">
      <w:pPr>
        <w:pStyle w:val="4"/>
        <w:rPr>
          <w:rFonts w:ascii="宋体" w:hAnsi="宋体" w:cs="宋体"/>
        </w:rPr>
      </w:pPr>
      <w:r>
        <w:rPr>
          <w:rFonts w:hint="eastAsia" w:ascii="宋体" w:hAnsi="宋体" w:cs="宋体"/>
        </w:rPr>
        <w:t>第四节  兵役</w:t>
      </w:r>
    </w:p>
    <w:p w14:paraId="468A0BB5">
      <w:pPr>
        <w:pStyle w:val="5"/>
        <w:rPr>
          <w:rFonts w:ascii="宋体" w:hAnsi="宋体" w:cs="宋体"/>
        </w:rPr>
      </w:pPr>
      <w:r>
        <w:rPr>
          <w:rFonts w:hint="eastAsia" w:ascii="宋体" w:hAnsi="宋体" w:cs="宋体"/>
        </w:rPr>
        <w:t>一、兵员征集</w:t>
      </w:r>
    </w:p>
    <w:p w14:paraId="30239B61">
      <w:pPr>
        <w:ind w:firstLine="420"/>
        <w:rPr>
          <w:rFonts w:ascii="宋体" w:hAnsi="宋体" w:cs="宋体"/>
        </w:rPr>
      </w:pPr>
      <w:r>
        <w:rPr>
          <w:rFonts w:hint="eastAsia" w:ascii="宋体" w:hAnsi="宋体" w:cs="宋体"/>
        </w:rPr>
        <w:t>1950年至1954年实行志愿兵役制，5年共征集5000名。1955年以后实行义务兵役制。</w:t>
      </w:r>
    </w:p>
    <w:p w14:paraId="0E986D4D">
      <w:pPr>
        <w:pStyle w:val="5"/>
        <w:rPr>
          <w:rFonts w:ascii="宋体" w:hAnsi="宋体" w:cs="宋体"/>
        </w:rPr>
      </w:pPr>
      <w:r>
        <w:rPr>
          <w:rFonts w:hint="eastAsia" w:ascii="宋体" w:hAnsi="宋体" w:cs="宋体"/>
        </w:rPr>
        <w:t>二、预备役</w:t>
      </w:r>
    </w:p>
    <w:p w14:paraId="189FF873">
      <w:pPr>
        <w:ind w:firstLine="420"/>
        <w:rPr>
          <w:rFonts w:ascii="宋体" w:hAnsi="宋体" w:cs="宋体"/>
        </w:rPr>
      </w:pPr>
      <w:r>
        <w:rPr>
          <w:rFonts w:hint="eastAsia" w:ascii="宋体" w:hAnsi="宋体" w:cs="宋体"/>
        </w:rPr>
        <w:t>1956年起，依照《中华人民共和国兵役法》建立预备役制度。凡符合条件的适龄青年，自动报名登记，编入预备役，发给兵役证。每年在战士退伍期间，对退伍军人进行预备役登记，建立退伍军人预备役登记统计和管理的各项制度。</w:t>
      </w:r>
    </w:p>
    <w:p w14:paraId="6F0DD1E4">
      <w:pPr>
        <w:ind w:firstLine="420"/>
        <w:rPr>
          <w:rFonts w:ascii="宋体" w:hAnsi="宋体" w:cs="宋体"/>
        </w:rPr>
      </w:pPr>
      <w:r>
        <w:rPr>
          <w:rFonts w:hint="eastAsia" w:ascii="宋体" w:hAnsi="宋体" w:cs="宋体"/>
        </w:rPr>
        <w:t>1987年7月16日，组建广东陆军预备役第一师炮兵团八五加农炮营。营部设在县武装部，下属分队分别在在雄州镇、古市镇、珠玑镇、湖口、黄坑乌迳、油山镇组建。1999年8月1日，八五加农炮营改编为双三七高炮营，隶属韶关预备役高炮团，营部设在市武装部，下层分队分别在雄州镇、珠玑、邓坊、湖口、黄坑、水口、乌迳、油山等镇。</w:t>
      </w:r>
    </w:p>
    <w:p w14:paraId="6653F34E">
      <w:pPr>
        <w:pStyle w:val="4"/>
        <w:rPr>
          <w:rFonts w:ascii="宋体" w:hAnsi="宋体" w:cs="宋体"/>
        </w:rPr>
      </w:pPr>
      <w:r>
        <w:rPr>
          <w:rFonts w:hint="eastAsia" w:ascii="宋体" w:hAnsi="宋体" w:cs="宋体"/>
        </w:rPr>
        <w:t>第五节  民兵</w:t>
      </w:r>
    </w:p>
    <w:p w14:paraId="0EE5ED2C">
      <w:pPr>
        <w:pStyle w:val="5"/>
        <w:rPr>
          <w:rFonts w:ascii="宋体" w:hAnsi="宋体" w:cs="宋体"/>
        </w:rPr>
      </w:pPr>
      <w:r>
        <w:rPr>
          <w:rFonts w:hint="eastAsia" w:ascii="宋体" w:hAnsi="宋体" w:cs="宋体"/>
        </w:rPr>
        <w:t>一、组织建设</w:t>
      </w:r>
    </w:p>
    <w:p w14:paraId="010B5D10">
      <w:pPr>
        <w:ind w:firstLine="420"/>
        <w:rPr>
          <w:rFonts w:ascii="宋体" w:hAnsi="宋体" w:cs="宋体"/>
        </w:rPr>
      </w:pPr>
      <w:r>
        <w:rPr>
          <w:rFonts w:hint="eastAsia" w:ascii="宋体" w:hAnsi="宋体" w:cs="宋体"/>
        </w:rPr>
        <w:t>市武装部经常做好民兵的政治审查，巩固、纯洁民兵组织，选配好民兵干部，确保民兵组织掌握在政治上可靠的人手里。及时了解专职人民武装干部的政治思想和工作能力状况，协同地方有关部门做好专职武装干部的培养、选拔调配等工作。为加强人员武器装备管理，制定《干部、职工管理规定》、《营院管理规定》、《车辆管理规定》等，明确各类人员的职责。并根据各阶段的工作和上级指示精神，及时组织干部、职工进行作风纪律教育整顿，杜绝各类事故的发生。</w:t>
      </w:r>
    </w:p>
    <w:p w14:paraId="00A4ADD1">
      <w:pPr>
        <w:pStyle w:val="5"/>
        <w:rPr>
          <w:rFonts w:ascii="宋体" w:hAnsi="宋体" w:cs="宋体"/>
        </w:rPr>
      </w:pPr>
      <w:r>
        <w:rPr>
          <w:rFonts w:hint="eastAsia" w:ascii="宋体" w:hAnsi="宋体" w:cs="宋体"/>
        </w:rPr>
        <w:t>二、政治教育</w:t>
      </w:r>
    </w:p>
    <w:p w14:paraId="0AFE80A8">
      <w:pPr>
        <w:ind w:firstLine="420"/>
        <w:rPr>
          <w:rFonts w:ascii="宋体" w:hAnsi="宋体" w:cs="宋体"/>
        </w:rPr>
      </w:pPr>
      <w:r>
        <w:rPr>
          <w:rFonts w:hint="eastAsia" w:ascii="宋体" w:hAnsi="宋体" w:cs="宋体"/>
        </w:rPr>
        <w:t>主要采取集中教育和函授教育的方法进行，每年每季度编写季课教育辅导材料，下发各基层武装部，利用“八一”、“春节”和农闲时间组织民兵学习和教育。对外出做工的民兵，采取寄发教育辅导材料和函测作业的方法进行教育。1988年以来，着重抓了国防教育和四项基本原则教育，反对资产阶级自由化倾向。</w:t>
      </w:r>
    </w:p>
    <w:p w14:paraId="6AAE7C23">
      <w:pPr>
        <w:ind w:firstLine="420"/>
        <w:rPr>
          <w:rFonts w:ascii="宋体" w:hAnsi="宋体" w:cs="宋体"/>
        </w:rPr>
      </w:pPr>
      <w:r>
        <w:rPr>
          <w:rFonts w:hint="eastAsia" w:ascii="宋体" w:hAnsi="宋体" w:cs="宋体"/>
        </w:rPr>
        <w:t>1996年至1998年，每年开展四个专题的学习教育。先后学习了江泽民关于“领导干部一定要讲政治”重要论述；党的三代领导人关于艰苦奋斗、不断增强抵御“酒绿灯红”侵蚀能力的论述；邓小平建设有中国特色的社会主义理论的论述；邓小平论社会主义精神文明建设：邓小平哲学思想；马克思主义哲学；中共十五大精神等。</w:t>
      </w:r>
    </w:p>
    <w:p w14:paraId="385F9539">
      <w:pPr>
        <w:ind w:firstLine="420"/>
        <w:rPr>
          <w:rFonts w:ascii="宋体" w:hAnsi="宋体" w:cs="宋体"/>
        </w:rPr>
      </w:pPr>
      <w:r>
        <w:rPr>
          <w:rFonts w:hint="eastAsia" w:ascii="宋体" w:hAnsi="宋体" w:cs="宋体"/>
        </w:rPr>
        <w:t>1999年6月以来开展“三讲”、“三个代表”重要思想和有关现代军事等专题教育。</w:t>
      </w:r>
    </w:p>
    <w:p w14:paraId="02E0D14B">
      <w:pPr>
        <w:pStyle w:val="5"/>
        <w:rPr>
          <w:rFonts w:ascii="宋体" w:hAnsi="宋体" w:cs="宋体"/>
        </w:rPr>
      </w:pPr>
      <w:r>
        <w:rPr>
          <w:rFonts w:hint="eastAsia" w:ascii="宋体" w:hAnsi="宋体" w:cs="宋体"/>
        </w:rPr>
        <w:t>三、民兵军事训练</w:t>
      </w:r>
    </w:p>
    <w:p w14:paraId="29CF8F92">
      <w:pPr>
        <w:ind w:firstLine="420"/>
        <w:rPr>
          <w:rFonts w:ascii="宋体" w:hAnsi="宋体" w:cs="宋体"/>
        </w:rPr>
      </w:pPr>
      <w:r>
        <w:rPr>
          <w:rFonts w:hint="eastAsia" w:ascii="宋体" w:hAnsi="宋体" w:cs="宋体"/>
        </w:rPr>
        <w:t>根据韶关军分区按3个周期分给南雄市（县）在1985年前训练×名合格基干民兵任务，南雄武装部推行江头公社两年训练任务一年训练合格的试点经验，至1982年底已训练X名，成为参加韶关军分区组织县区武装部军事考核第一名。至1984年已超额完成训练任务。1985年后，根据韶关军分区要求，每年训练合格民兵×名。1997年8月，南雄预备役营参加建师10周年阅兵庆典，被评为“优胜单位”。1997年度，南雄市武装部被韶关军分区评为“军事训练先进单位”。1999年，经上级机关考核，综合成绩第3名。</w:t>
      </w:r>
    </w:p>
    <w:p w14:paraId="29E5F4CD">
      <w:pPr>
        <w:pStyle w:val="5"/>
        <w:rPr>
          <w:rFonts w:ascii="宋体" w:hAnsi="宋体" w:cs="宋体"/>
        </w:rPr>
      </w:pPr>
      <w:r>
        <w:rPr>
          <w:rFonts w:hint="eastAsia" w:ascii="宋体" w:hAnsi="宋体" w:cs="宋体"/>
        </w:rPr>
        <w:t>四、参加“三个文明”建设</w:t>
      </w:r>
    </w:p>
    <w:p w14:paraId="432A6030">
      <w:pPr>
        <w:ind w:firstLine="420"/>
        <w:rPr>
          <w:rFonts w:ascii="宋体" w:hAnsi="宋体" w:cs="宋体"/>
        </w:rPr>
      </w:pPr>
      <w:r>
        <w:rPr>
          <w:rFonts w:hint="eastAsia" w:ascii="宋体" w:hAnsi="宋体" w:cs="宋体"/>
        </w:rPr>
        <w:t>参加重点工程建设。1980年11月底，组织雄西农田基本建设大会战，几万民兵和青年在9个工程的土地上，奋战30天，完成土石方123.1万立方米，改造低产田960公顷。1997年12月、1998年12月，发动全市民兵、预备役人员参加冬修水利工程建设。1999年，民兵参加了凌江河裁弯取直工程。</w:t>
      </w:r>
    </w:p>
    <w:p w14:paraId="4F6909A4">
      <w:pPr>
        <w:ind w:firstLine="420"/>
        <w:rPr>
          <w:rFonts w:ascii="宋体" w:hAnsi="宋体" w:cs="宋体"/>
        </w:rPr>
      </w:pPr>
      <w:r>
        <w:rPr>
          <w:rFonts w:hint="eastAsia" w:ascii="宋体" w:hAnsi="宋体" w:cs="宋体"/>
        </w:rPr>
        <w:t>参加抢险救灾。1999年6月至7月，本市局部地区连降暴雨，黄坑等镇出现险情。市武装部部长胡学增到现场动员群众转移，组织民兵预备役官兵修堤坝30多米，转移粮食20000多公斤，维修房屋38间。</w:t>
      </w:r>
    </w:p>
    <w:p w14:paraId="4C9409BC">
      <w:pPr>
        <w:ind w:firstLine="420"/>
        <w:rPr>
          <w:rFonts w:ascii="宋体" w:hAnsi="宋体" w:cs="宋体"/>
        </w:rPr>
      </w:pPr>
      <w:r>
        <w:rPr>
          <w:rFonts w:hint="eastAsia" w:ascii="宋体" w:hAnsi="宋体" w:cs="宋体"/>
        </w:rPr>
        <w:t>参加创建文明卫生城市、文明村镇、文明行业活动。市人武部组织雷锋小组32个，在城乡开展学雷锋活动。配合当地公安机关打击各种刑事犯罪活动。1980年12月，雄州公社莲塘大队组织民兵赤手空拳擒获杀人凶犯。10多年来，出动民兵，协助公安机关侦破各种案件50多宗，捕获罪犯100多人。雄州镇水南村民兵营有一支的民兵小分队担负南雄市重要目标值勤任务，确保重要目标的安全。</w:t>
      </w:r>
    </w:p>
    <w:p w14:paraId="323BEA5F">
      <w:pPr>
        <w:pStyle w:val="5"/>
        <w:rPr>
          <w:rFonts w:ascii="宋体" w:hAnsi="宋体" w:cs="宋体"/>
        </w:rPr>
      </w:pPr>
      <w:r>
        <w:rPr>
          <w:rFonts w:hint="eastAsia" w:ascii="宋体" w:hAnsi="宋体" w:cs="宋体"/>
        </w:rPr>
        <w:t>五、梅岭“三八”民兵班</w:t>
      </w:r>
    </w:p>
    <w:p w14:paraId="3431A913">
      <w:pPr>
        <w:ind w:firstLine="420"/>
        <w:rPr>
          <w:rFonts w:ascii="宋体" w:hAnsi="宋体" w:cs="宋体"/>
        </w:rPr>
      </w:pPr>
      <w:r>
        <w:rPr>
          <w:rFonts w:hint="eastAsia" w:ascii="宋体" w:hAnsi="宋体" w:cs="宋体"/>
        </w:rPr>
        <w:t>南雄市梅岭“三八”民兵班创建于1971年9月。当时，南雄县梅岭公社梅关大队在粤赣边境、国道323线路旁的荒山上创办“三八”林场，从全大队挑选几名年轻姑娘组成一个民兵班，担负开荒育林重任。至1984年，她们营造杉林400多公顷，种植油茶40多公顷，果树2000多株，为国家提供优质木材3万多立方米。</w:t>
      </w:r>
    </w:p>
    <w:p w14:paraId="4EA44E06">
      <w:pPr>
        <w:ind w:firstLine="420"/>
        <w:rPr>
          <w:rFonts w:ascii="宋体" w:hAnsi="宋体" w:cs="宋体"/>
        </w:rPr>
      </w:pPr>
      <w:r>
        <w:rPr>
          <w:rFonts w:hint="eastAsia" w:ascii="宋体" w:hAnsi="宋体" w:cs="宋体"/>
        </w:rPr>
        <w:t>女民兵班以劳养武，坚持民兵训练，成绩显著，受到各级领导的重视。1979年9月、1983年9月，分别被中华全国妇女联合会评为“全国三八红旗集体”。1981年11月被省政府、省军区授予“艰苦创业模范民兵班”称号。1989年11月被中华人民共和国国防部评为“全国民兵预备役工作先进单位”。</w:t>
      </w:r>
    </w:p>
    <w:p w14:paraId="52CCAB10">
      <w:pPr>
        <w:ind w:firstLine="420"/>
        <w:rPr>
          <w:rFonts w:ascii="宋体" w:hAnsi="宋体" w:cs="宋体"/>
        </w:rPr>
      </w:pPr>
      <w:r>
        <w:rPr>
          <w:rFonts w:hint="eastAsia" w:ascii="宋体" w:hAnsi="宋体" w:cs="宋体"/>
        </w:rPr>
        <w:t>1993年7月，“三八”民兵班看护的林场转制给个人承包，女民兵各自回家务农。</w:t>
      </w:r>
    </w:p>
    <w:p w14:paraId="1D5A2875">
      <w:pPr>
        <w:ind w:firstLine="420"/>
        <w:rPr>
          <w:rFonts w:ascii="宋体" w:hAnsi="宋体" w:cs="宋体"/>
        </w:rPr>
      </w:pPr>
      <w:r>
        <w:rPr>
          <w:rFonts w:hint="eastAsia" w:ascii="宋体" w:hAnsi="宋体" w:cs="宋体"/>
        </w:rPr>
        <w:t>2001年7月，梅岭“三八”民兵班重新集中，在韶关军分区、南雄市委市政府的大力支持下，投资5万多元，改造了营房，添置了营具，建立了具有一定规模的袋栽香菇生产基地。女民兵班成员从全镇女基干民兵中选拔。实行军事化管理，每天军政训练5个小时，其余时间从事香菇生产。</w:t>
      </w:r>
    </w:p>
    <w:p w14:paraId="599057BE">
      <w:pPr>
        <w:ind w:firstLine="420"/>
        <w:rPr>
          <w:rFonts w:ascii="宋体" w:hAnsi="宋体" w:cs="宋体"/>
        </w:rPr>
      </w:pPr>
      <w:r>
        <w:rPr>
          <w:rFonts w:hint="eastAsia" w:ascii="宋体" w:hAnsi="宋体" w:cs="宋体"/>
        </w:rPr>
        <w:t>2003年5月29日，女民兵班从梅岭镇梅关村“三八”林场迁往雄州镇铺背村委会溪田寺村的市森林消防大队参加植树造林、护林防火，编入预备役炮班，完成预备役训练任务。又以班建制编入专业消防大队。2004年11月，女民兵班迁回梅岭镇政府大院内。2005年2月1日，中央电视台以《传承英雄精神，谱写梅岭新篇》为题报道了该班先进事迹。</w:t>
      </w:r>
    </w:p>
    <w:p w14:paraId="1104F7A0">
      <w:pPr>
        <w:ind w:firstLine="420"/>
        <w:rPr>
          <w:rFonts w:ascii="宋体" w:hAnsi="宋体" w:cs="宋体"/>
        </w:rPr>
      </w:pPr>
      <w:r>
        <w:rPr>
          <w:rFonts w:hint="eastAsia" w:ascii="宋体" w:hAnsi="宋体" w:cs="宋体"/>
        </w:rPr>
        <w:t>女民兵班实行轮换制，每期3年，个别优秀的根据本人的志愿，可继续留队1年～2年。女民兵班受珠玑镇武装部、市武装部政工科直接领导，人员从南雄市范围内选拔年满17岁～22岁，身高1.58米以上，高中以上文化程度的未婚女青年组成。女民兵每月领取适当生活补贴。</w:t>
      </w:r>
    </w:p>
    <w:p w14:paraId="24F341BE">
      <w:pPr>
        <w:pStyle w:val="3"/>
        <w:rPr>
          <w:rFonts w:ascii="宋体" w:hAnsi="宋体" w:cs="宋体"/>
        </w:rPr>
      </w:pPr>
      <w:r>
        <w:rPr>
          <w:rFonts w:hint="eastAsia" w:ascii="宋体" w:hAnsi="宋体" w:cs="宋体"/>
        </w:rPr>
        <w:t>第七章  群众团体</w:t>
      </w:r>
    </w:p>
    <w:p w14:paraId="32EB3126">
      <w:pPr>
        <w:pStyle w:val="4"/>
        <w:rPr>
          <w:rFonts w:ascii="宋体" w:hAnsi="宋体" w:cs="宋体"/>
        </w:rPr>
      </w:pPr>
      <w:r>
        <w:rPr>
          <w:rFonts w:hint="eastAsia" w:ascii="宋体" w:hAnsi="宋体" w:cs="宋体"/>
        </w:rPr>
        <w:t>第一节  工人组织</w:t>
      </w:r>
    </w:p>
    <w:p w14:paraId="356798DC">
      <w:pPr>
        <w:pStyle w:val="5"/>
        <w:rPr>
          <w:rFonts w:ascii="宋体" w:hAnsi="宋体" w:cs="宋体"/>
        </w:rPr>
      </w:pPr>
      <w:r>
        <w:rPr>
          <w:rFonts w:hint="eastAsia" w:ascii="宋体" w:hAnsi="宋体" w:cs="宋体"/>
        </w:rPr>
        <w:t>一、组织沿革</w:t>
      </w:r>
    </w:p>
    <w:p w14:paraId="72E11D77">
      <w:pPr>
        <w:ind w:firstLine="420"/>
        <w:rPr>
          <w:rFonts w:ascii="宋体" w:hAnsi="宋体" w:cs="宋体"/>
        </w:rPr>
      </w:pPr>
      <w:r>
        <w:rPr>
          <w:rFonts w:hint="eastAsia" w:ascii="宋体" w:hAnsi="宋体" w:cs="宋体"/>
        </w:rPr>
        <w:t>新中国成立后，1954年8月成立南雄县工会联合会，县城有基层工会40个，会员3145人，区工会7个，会员3200人。1958年10月，工人联合会改称南雄县总工会，编制8人，设正副主席各1人，秘书1人，干事5人。“文化大革命”取消县总工会，成立县工人阶级代表大会委员会（简称工代会）。1973年8月恢复南雄县总工会，编制4人。1987年，县总工会编制8人。全县有基层工会216个，会员13737人。至2002年，全市有基层工会组织407个，会员14640人，总工会编制7人，内设办公室、组宣部、权益保障部、财务女工部。</w:t>
      </w:r>
    </w:p>
    <w:p w14:paraId="66B1ACE6">
      <w:pPr>
        <w:pStyle w:val="5"/>
        <w:rPr>
          <w:rFonts w:ascii="宋体" w:hAnsi="宋体" w:cs="宋体"/>
        </w:rPr>
      </w:pPr>
      <w:r>
        <w:rPr>
          <w:rFonts w:hint="eastAsia" w:ascii="宋体" w:hAnsi="宋体" w:cs="宋体"/>
        </w:rPr>
        <w:t>二、工会会员代表大会</w:t>
      </w:r>
    </w:p>
    <w:p w14:paraId="58154564">
      <w:pPr>
        <w:ind w:firstLine="420"/>
        <w:rPr>
          <w:rFonts w:ascii="宋体" w:hAnsi="宋体" w:cs="宋体"/>
        </w:rPr>
      </w:pPr>
      <w:r>
        <w:rPr>
          <w:rFonts w:hint="eastAsia" w:ascii="宋体" w:hAnsi="宋体" w:cs="宋体"/>
        </w:rPr>
        <w:t>1953年4月7日，南雄县工会第一次会员代表大会召开，成立县工会筹备委员会，魏振发为主任。1954年8月14日、1955年9月、1957年5月27日、1962年1月8日、1964年3月25日、1966年2月25日分别召开第二、三、四、五、六、七次会员代表大会，先后选举魏振发、李佩玉、张食为主席。“文化大革命”期间，于1968年、1973年分别召开工人阶级代表大会，选举王竹香、于凤先为执行委员会主任。1980年2月1日、1984年5月20日、1987年9月21日先后举行第十、十一、十二次会员代表大会，先后选举陈卫峰、孙顺绪、欧阳效元为主席。1993年9月5日、1998年9月22日，分别召开第十三、十四次代表大会，均选举郭远清为主席。2003年9月举行第十五次会员代表大会，选举张宗财为工会主席。</w:t>
      </w:r>
    </w:p>
    <w:p w14:paraId="48435E72">
      <w:pPr>
        <w:pStyle w:val="5"/>
        <w:rPr>
          <w:rFonts w:ascii="宋体" w:hAnsi="宋体" w:cs="宋体"/>
        </w:rPr>
      </w:pPr>
      <w:r>
        <w:rPr>
          <w:rFonts w:hint="eastAsia" w:ascii="宋体" w:hAnsi="宋体" w:cs="宋体"/>
        </w:rPr>
        <w:t>三、工会活动</w:t>
      </w:r>
    </w:p>
    <w:p w14:paraId="587A58E6">
      <w:pPr>
        <w:ind w:firstLine="420"/>
        <w:rPr>
          <w:rFonts w:ascii="宋体" w:hAnsi="宋体" w:cs="宋体"/>
        </w:rPr>
      </w:pPr>
      <w:r>
        <w:rPr>
          <w:rFonts w:hint="eastAsia" w:ascii="宋体" w:hAnsi="宋体" w:cs="宋体"/>
        </w:rPr>
        <w:t>举办职工业余学校。1951年初，南雄县总工会（筹）举办县职工业余学校，以扫盲为主，1956年，以学文化为主。1960年，青壮年职工中的文盲半文盲从1951年的73%降到40%。1963年8月，成立县职工教育委员会，开展职工专业教育。1980年，有25个基层工会举办技术业务学习班，县工会职校举办工业、商业会计和英语、数学、美术等专业班。1983年，职工教育以文化补习、技术补课为主要内容，经过“双补”，全县职工初中文化补课合格率达74%，各科技术补课合格率76%。1986年，全县有职工业余学校8所，累计参加各种专业技术培训班的职工有3739人，参加自学职工1628人。1987年1月，经省教育厅备案，将县职工业余学校改称县职工业余中等文化技术学校。1992年停办。</w:t>
      </w:r>
    </w:p>
    <w:p w14:paraId="2856718C">
      <w:pPr>
        <w:ind w:firstLine="420"/>
        <w:rPr>
          <w:rFonts w:ascii="宋体" w:hAnsi="宋体" w:cs="宋体"/>
        </w:rPr>
      </w:pPr>
      <w:r>
        <w:rPr>
          <w:rFonts w:hint="eastAsia" w:ascii="宋体" w:hAnsi="宋体" w:cs="宋体"/>
        </w:rPr>
        <w:t>组织劳动竞赛。1952年，县总工会（筹）在县城工厂企业组织开展以增产节约为中心的劳动竞赛。1986年5月，县劳动委员会成立，在各基层工会中开展立功创先（进）劳动竞赛运动。1987年参加技术革新单位126个，提合理化建议3092人次，4162条，创造节约价值82.4万多元。1988年至2000年，参加各种以科技创新为主要内容的劳动竞赛活动的有69940人次，被采纳的合理化建议36089条，直接经济效益2379万元。</w:t>
      </w:r>
    </w:p>
    <w:p w14:paraId="3999E9C8">
      <w:pPr>
        <w:ind w:firstLine="420"/>
        <w:rPr>
          <w:rFonts w:ascii="宋体" w:hAnsi="宋体" w:cs="宋体"/>
        </w:rPr>
      </w:pPr>
      <w:r>
        <w:rPr>
          <w:rFonts w:hint="eastAsia" w:ascii="宋体" w:hAnsi="宋体" w:cs="宋体"/>
        </w:rPr>
        <w:t>举办工人文化宫。1953年4月筹办，翌年春节正式开放，设音乐、文娱、图书3个室。1983年，增设阅览室、溜冰场。1984年增设电视录像、桌球室和舞厅。1987年，增设投影录像、音乐舞会、电子游乐场。2002年因城建占用场地，文化宫停办。其职能转为组织、指导基层工会开展各项活动。</w:t>
      </w:r>
    </w:p>
    <w:p w14:paraId="4BFE048E">
      <w:pPr>
        <w:ind w:firstLine="420"/>
        <w:rPr>
          <w:rFonts w:ascii="宋体" w:hAnsi="宋体" w:cs="宋体"/>
        </w:rPr>
      </w:pPr>
      <w:r>
        <w:rPr>
          <w:rFonts w:hint="eastAsia" w:ascii="宋体" w:hAnsi="宋体" w:cs="宋体"/>
        </w:rPr>
        <w:t>建设职工之家。1985年起各基层工会开展建设“职工之家”活动，至2002年，全市有186个基层工会被复核验收为合格职工之家。全市共建“职工之家”140个，基层文化室98个，藏书12.68万册，业余文艺体育队等组织153个。</w:t>
      </w:r>
    </w:p>
    <w:p w14:paraId="228A4621">
      <w:pPr>
        <w:ind w:firstLine="420"/>
        <w:rPr>
          <w:rFonts w:ascii="宋体" w:hAnsi="宋体" w:cs="宋体"/>
        </w:rPr>
      </w:pPr>
      <w:r>
        <w:rPr>
          <w:rFonts w:hint="eastAsia" w:ascii="宋体" w:hAnsi="宋体" w:cs="宋体"/>
        </w:rPr>
        <w:t>健全职工代表大会（简称职代会）。1957年6月，县总工会在各基层组织推行职工代表大会制，因各种政治运动的影响，成效甚微。中共十一届三中</w:t>
      </w:r>
      <w:r>
        <w:rPr>
          <w:rFonts w:hint="eastAsia" w:ascii="宋体" w:hAnsi="宋体" w:cs="宋体"/>
          <w:lang w:val="en-US" w:eastAsia="zh-CN"/>
        </w:rPr>
        <w:t>全</w:t>
      </w:r>
      <w:r>
        <w:rPr>
          <w:rFonts w:hint="eastAsia" w:ascii="宋体" w:hAnsi="宋体" w:cs="宋体"/>
        </w:rPr>
        <w:t>会以后，各工矿企业把职代会工作摆上重要议事日程，至2004年，已建立健全职代会制度的企业事业单位207个，其中经考核验收合格的有173个。</w:t>
      </w:r>
    </w:p>
    <w:p w14:paraId="24B0611D">
      <w:pPr>
        <w:ind w:firstLine="420"/>
        <w:rPr>
          <w:rFonts w:ascii="宋体" w:hAnsi="宋体" w:cs="宋体"/>
        </w:rPr>
      </w:pPr>
      <w:r>
        <w:rPr>
          <w:rFonts w:hint="eastAsia" w:ascii="宋体" w:hAnsi="宋体" w:cs="宋体"/>
        </w:rPr>
        <w:t>建立职工基金会。1963年有20个基层工会组织储金会，参加储金会2339人，储金额13202元。1986年储金会发展到194个，储金额45.38万元。1992年1月24日，县总工会成立南雄（县）职工互助基金会，通过向基层借款、捐款、会员缴纳等形式共筹集基金23.5238万元。有159个基层工会12319名职工参加基金会。至2000年，职工互助基金会已筹集基金96万元，提取利息14.8万元，慰问补助困难企业职工5137人。2001年后，按互助基金费章程规定，将会员缴交的本金陆续退回给职工。</w:t>
      </w:r>
    </w:p>
    <w:p w14:paraId="530D063C">
      <w:pPr>
        <w:pStyle w:val="4"/>
        <w:rPr>
          <w:rFonts w:ascii="宋体" w:hAnsi="宋体" w:cs="宋体"/>
        </w:rPr>
      </w:pPr>
      <w:r>
        <w:rPr>
          <w:rFonts w:hint="eastAsia" w:ascii="宋体" w:hAnsi="宋体" w:cs="宋体"/>
        </w:rPr>
        <w:t>第二节  农民组织</w:t>
      </w:r>
    </w:p>
    <w:p w14:paraId="4B83C3E2">
      <w:pPr>
        <w:ind w:firstLine="420"/>
        <w:rPr>
          <w:rFonts w:ascii="宋体" w:hAnsi="宋体" w:cs="宋体"/>
        </w:rPr>
      </w:pPr>
      <w:r>
        <w:rPr>
          <w:rFonts w:hint="eastAsia" w:ascii="宋体" w:hAnsi="宋体" w:cs="宋体"/>
        </w:rPr>
        <w:t>新中国成立后，在区、乡、村普遍建立农民协会。1950年4月，成立县农民协会筹备委员会，年底全县有区农民协会8个，乡农民协会61个，村农民协会315个。农民协会设主席1人，副主席若干人，委员若干人。农民协会在中国共产党的领导下，组织农民进行土地改革，完成了自己的历史使命。</w:t>
      </w:r>
    </w:p>
    <w:p w14:paraId="52FF7459">
      <w:pPr>
        <w:ind w:firstLine="420"/>
        <w:rPr>
          <w:rFonts w:ascii="宋体" w:hAnsi="宋体" w:cs="宋体"/>
        </w:rPr>
      </w:pPr>
      <w:r>
        <w:rPr>
          <w:rFonts w:hint="eastAsia" w:ascii="宋体" w:hAnsi="宋体" w:cs="宋体"/>
        </w:rPr>
        <w:t>1965年10月15日，县召开贫下中农代表大会，成立南雄县贫农下中农协会委员会（简称贫协），选举产生贫协委员39人，常委11人，县委书记沈会峰为主席。1968年3月30日、1974年2月28日，县分别召开了第二次、第三次贫下中农代表大会，选举产生第二届、第三届贫协委员会。</w:t>
      </w:r>
    </w:p>
    <w:p w14:paraId="3FE02877">
      <w:pPr>
        <w:ind w:firstLine="420"/>
        <w:rPr>
          <w:rFonts w:ascii="宋体" w:hAnsi="宋体" w:cs="宋体"/>
        </w:rPr>
      </w:pPr>
      <w:r>
        <w:rPr>
          <w:rFonts w:hint="eastAsia" w:ascii="宋体" w:hAnsi="宋体" w:cs="宋体"/>
        </w:rPr>
        <w:t>中共十一届三中全会后，贫下中农协会改称农会。1982年7月14日召开第四次农民代表大会，选举产生第四届农会委员31人，常委7人，赵春腾为主席。公社、大队也相应建立农会。1984年后，县农会编制并入县农业委员会，农会活动停顿。</w:t>
      </w:r>
    </w:p>
    <w:p w14:paraId="39587C3B">
      <w:pPr>
        <w:pStyle w:val="4"/>
        <w:rPr>
          <w:rFonts w:ascii="宋体" w:hAnsi="宋体" w:cs="宋体"/>
        </w:rPr>
      </w:pPr>
      <w:r>
        <w:rPr>
          <w:rFonts w:hint="eastAsia" w:ascii="宋体" w:hAnsi="宋体" w:cs="宋体"/>
        </w:rPr>
        <w:t>第三节  青少年组织</w:t>
      </w:r>
    </w:p>
    <w:p w14:paraId="0DE44B98">
      <w:pPr>
        <w:pStyle w:val="5"/>
        <w:rPr>
          <w:rFonts w:ascii="宋体" w:hAnsi="宋体" w:cs="宋体"/>
        </w:rPr>
      </w:pPr>
      <w:r>
        <w:rPr>
          <w:rFonts w:hint="eastAsia" w:ascii="宋体" w:hAnsi="宋体" w:cs="宋体"/>
        </w:rPr>
        <w:t>一、共产主义青年团</w:t>
      </w:r>
    </w:p>
    <w:p w14:paraId="713F2C43">
      <w:pPr>
        <w:ind w:firstLine="422"/>
        <w:rPr>
          <w:rFonts w:ascii="宋体" w:hAnsi="宋体" w:cs="宋体"/>
        </w:rPr>
      </w:pPr>
      <w:r>
        <w:rPr>
          <w:rFonts w:hint="eastAsia" w:ascii="宋体" w:hAnsi="宋体" w:cs="宋体"/>
          <w:b/>
          <w:bCs/>
        </w:rPr>
        <w:t>（一）组织沿革</w:t>
      </w:r>
    </w:p>
    <w:p w14:paraId="47F3C269">
      <w:pPr>
        <w:ind w:firstLine="420"/>
        <w:rPr>
          <w:rFonts w:ascii="宋体" w:hAnsi="宋体" w:cs="宋体"/>
        </w:rPr>
      </w:pPr>
      <w:r>
        <w:rPr>
          <w:rFonts w:hint="eastAsia" w:ascii="宋体" w:hAnsi="宋体" w:cs="宋体"/>
        </w:rPr>
        <w:t>1949年12月25日，成立新民主主义青年团南雄县工作委员会，邓事型为书记。1956年，建立团总支39个，支部236个，团员5110人，占全县青年总数的9%。1957年5月，改称共产主义青年团南雄县委员会。至1987年，全县有基层团委30个，总支244个，支部1163个，团员20615人，占全县青年总数的24.27%。1996年撤县设市后，改为中国共产主义青年团南雄市委员会。至2004年，全市有基层团委27个，总支287个，支部1072个，团员18760人，占全市青年总数的25.48%。</w:t>
      </w:r>
    </w:p>
    <w:p w14:paraId="07894A49">
      <w:pPr>
        <w:ind w:firstLine="422"/>
        <w:rPr>
          <w:rFonts w:ascii="宋体" w:hAnsi="宋体" w:cs="宋体"/>
          <w:b/>
          <w:bCs/>
        </w:rPr>
      </w:pPr>
      <w:r>
        <w:rPr>
          <w:rFonts w:hint="eastAsia" w:ascii="宋体" w:hAnsi="宋体" w:cs="宋体"/>
          <w:b/>
          <w:bCs/>
        </w:rPr>
        <w:t>（二）历次团员代表大会</w:t>
      </w:r>
    </w:p>
    <w:p w14:paraId="25CE1E63">
      <w:pPr>
        <w:ind w:firstLine="420"/>
        <w:rPr>
          <w:rFonts w:ascii="宋体" w:hAnsi="宋体" w:cs="宋体"/>
        </w:rPr>
      </w:pPr>
      <w:r>
        <w:rPr>
          <w:rFonts w:hint="eastAsia" w:ascii="宋体" w:hAnsi="宋体" w:cs="宋体"/>
        </w:rPr>
        <w:t>第一次团员代表大会于1953年5月22日至26日召开。大会动员全县团员青年带头搞好互助生产；选举产生第一届共青团南雄县工作委员会，王化荣为书记。</w:t>
      </w:r>
    </w:p>
    <w:p w14:paraId="6CBB87BD">
      <w:pPr>
        <w:ind w:firstLine="420"/>
        <w:rPr>
          <w:rFonts w:ascii="宋体" w:hAnsi="宋体" w:cs="宋体"/>
        </w:rPr>
      </w:pPr>
      <w:r>
        <w:rPr>
          <w:rFonts w:hint="eastAsia" w:ascii="宋体" w:hAnsi="宋体" w:cs="宋体"/>
        </w:rPr>
        <w:t>第二至第三次团员代表大会分别于1955年6月12日、1956年6月13日举行，仍选举王化荣为书记。</w:t>
      </w:r>
    </w:p>
    <w:p w14:paraId="0EC087AC">
      <w:pPr>
        <w:ind w:firstLine="420"/>
        <w:rPr>
          <w:rFonts w:ascii="宋体" w:hAnsi="宋体" w:cs="宋体"/>
        </w:rPr>
      </w:pPr>
      <w:r>
        <w:rPr>
          <w:rFonts w:hint="eastAsia" w:ascii="宋体" w:hAnsi="宋体" w:cs="宋体"/>
        </w:rPr>
        <w:t>第四、五、六次团员代表大会分别于1958年3月8日、1961年11月29日、1963年7月8日召开，均选举朱定兰为书记。</w:t>
      </w:r>
    </w:p>
    <w:p w14:paraId="2AEC5508">
      <w:pPr>
        <w:ind w:firstLine="420"/>
        <w:rPr>
          <w:rFonts w:ascii="宋体" w:hAnsi="宋体" w:cs="宋体"/>
        </w:rPr>
      </w:pPr>
      <w:r>
        <w:rPr>
          <w:rFonts w:hint="eastAsia" w:ascii="宋体" w:hAnsi="宋体" w:cs="宋体"/>
        </w:rPr>
        <w:t>第七、八、九次团员代表大会分别于1966年3月23日、1972年3月27日、1979年10月29日召开，分别选举卢卫群、刘希孟、陈逢英为书记。</w:t>
      </w:r>
    </w:p>
    <w:p w14:paraId="13925F0D">
      <w:pPr>
        <w:ind w:firstLine="420"/>
        <w:rPr>
          <w:rFonts w:ascii="宋体" w:hAnsi="宋体" w:cs="宋体"/>
        </w:rPr>
      </w:pPr>
      <w:r>
        <w:rPr>
          <w:rFonts w:hint="eastAsia" w:ascii="宋体" w:hAnsi="宋体" w:cs="宋体"/>
        </w:rPr>
        <w:t>第十、十一次团代会分别于1982年8月21日、1987年7月2日召开，均选谢红莲为书记。</w:t>
      </w:r>
    </w:p>
    <w:p w14:paraId="46B57530">
      <w:pPr>
        <w:ind w:firstLine="420"/>
        <w:rPr>
          <w:rFonts w:ascii="宋体" w:hAnsi="宋体" w:cs="宋体"/>
        </w:rPr>
      </w:pPr>
      <w:r>
        <w:rPr>
          <w:rFonts w:hint="eastAsia" w:ascii="宋体" w:hAnsi="宋体" w:cs="宋体"/>
        </w:rPr>
        <w:t>第十二、十三、十四、十五次团代会分别于1990年9月23日、1993年9月26日、1999年4月19日、2003年12月14日召开，分别选举郭世初、林岚、袁元桃朱海兵为书记。</w:t>
      </w:r>
    </w:p>
    <w:p w14:paraId="45F8ACE0">
      <w:pPr>
        <w:ind w:firstLine="422"/>
        <w:rPr>
          <w:rFonts w:ascii="宋体" w:hAnsi="宋体" w:cs="宋体"/>
          <w:b/>
          <w:bCs/>
        </w:rPr>
      </w:pPr>
      <w:r>
        <w:rPr>
          <w:rFonts w:hint="eastAsia" w:ascii="宋体" w:hAnsi="宋体" w:cs="宋体"/>
          <w:b/>
          <w:bCs/>
        </w:rPr>
        <w:t>（三）团的活动</w:t>
      </w:r>
    </w:p>
    <w:p w14:paraId="664EBAD9">
      <w:pPr>
        <w:ind w:firstLine="420"/>
        <w:rPr>
          <w:rFonts w:ascii="宋体" w:hAnsi="宋体" w:cs="宋体"/>
        </w:rPr>
      </w:pPr>
      <w:r>
        <w:rPr>
          <w:rFonts w:hint="eastAsia" w:ascii="宋体" w:hAnsi="宋体" w:cs="宋体"/>
        </w:rPr>
        <w:t>坚持学雷锋，做好事，开展青年志愿者服务活动。1963年起，每年3月5日都组织团员、青年开展学雷锋活动。1982年3月，团县委发动80058名团员青年参加全民文明礼貌月活动，做好事12万件。1987年，团县委在县城青少年中开展“三优”（创优质服务，立优良秩序，建优美环境）竞赛活动，成立85个青年文明优质服务岗，52个青年义务服务队，为群众做好事3448件。农村团组织成立163个义务服务队，共做好事7968件。1998年3月，团市委组织部分基层团委开展学习雷锋服务一条街活动。开展服务当天，仅市区就设点20多个，青年志愿者服务队200多支，参加人数达8000多人次。</w:t>
      </w:r>
    </w:p>
    <w:p w14:paraId="73153B3B">
      <w:pPr>
        <w:ind w:firstLine="420"/>
        <w:rPr>
          <w:rFonts w:ascii="宋体" w:hAnsi="宋体" w:cs="宋体"/>
        </w:rPr>
      </w:pPr>
      <w:r>
        <w:rPr>
          <w:rFonts w:hint="eastAsia" w:ascii="宋体" w:hAnsi="宋体" w:cs="宋体"/>
        </w:rPr>
        <w:t>开展爱国主义教育活动。主要通过元旦、“五四”、“七一”、国庆等重大节日或历史事件对青少年进行爱国主义教育。1994年5月开展“三个一百”活动（看一百部优秀电影，读100本好书，唱100首好歌）。1995年5月4日，开展爱国主义知识竞赛。1997年6月举办“庆七一迎回归青少年卡拉OK赛”。创办《南雄青年》报，宣传南雄历史文化，为青年开辟文艺创作园地。</w:t>
      </w:r>
    </w:p>
    <w:p w14:paraId="0E125699">
      <w:pPr>
        <w:ind w:firstLine="420"/>
        <w:rPr>
          <w:rFonts w:ascii="宋体" w:hAnsi="宋体" w:cs="宋体"/>
        </w:rPr>
      </w:pPr>
      <w:r>
        <w:rPr>
          <w:rFonts w:hint="eastAsia" w:ascii="宋体" w:hAnsi="宋体" w:cs="宋体"/>
        </w:rPr>
        <w:t>开展青年建功立业活动。1988年以来，以培养“农村青年科技星火带头人”形式开展建功立业活动，培养了一批“农村青年科技星火带头人”，其中国家级1人，省级11人，地市级58人。帮助领办科技项目6个。为农村青年举办各类科技培训班15期。1997年开始在全市税务、金融、邮电、卫生等行业或部门的团组织中开展“青年文明号”创建活动。创建地市级“青年文明号”2个，县市级12个。“青年文明号”已逐步走向制度化、规范化和网络化。</w:t>
      </w:r>
    </w:p>
    <w:p w14:paraId="1EE5838F">
      <w:pPr>
        <w:pStyle w:val="5"/>
        <w:rPr>
          <w:rFonts w:ascii="宋体" w:hAnsi="宋体" w:cs="宋体"/>
        </w:rPr>
      </w:pPr>
      <w:r>
        <w:rPr>
          <w:rFonts w:hint="eastAsia" w:ascii="宋体" w:hAnsi="宋体" w:cs="宋体"/>
        </w:rPr>
        <w:t>二、少年先锋队</w:t>
      </w:r>
    </w:p>
    <w:p w14:paraId="27D3BB9B">
      <w:pPr>
        <w:ind w:firstLine="420"/>
        <w:rPr>
          <w:rFonts w:ascii="宋体" w:hAnsi="宋体" w:cs="宋体"/>
        </w:rPr>
      </w:pPr>
      <w:r>
        <w:rPr>
          <w:rFonts w:hint="eastAsia" w:ascii="宋体" w:hAnsi="宋体" w:cs="宋体"/>
        </w:rPr>
        <w:t>1951年在县城中小学建立少年儿童队组织。1953年，中国少年儿童队改名为中国少年先锋队（简称少先队）。1955年，全县有少先队员2500名，辅导员85名。1965年，全县小学和初中普遍建立少年先锋队组织，少先队员15823名，辅导员548名。“文化大革命”期间，少先队组织被红小兵组织取代。1978年，恢复少先队名称。2004年，全市有少先队员6万多名，辅导员2000多名。</w:t>
      </w:r>
    </w:p>
    <w:p w14:paraId="0D45C976">
      <w:pPr>
        <w:pStyle w:val="4"/>
        <w:rPr>
          <w:rFonts w:ascii="宋体" w:hAnsi="宋体" w:cs="宋体"/>
        </w:rPr>
      </w:pPr>
      <w:r>
        <w:rPr>
          <w:rFonts w:hint="eastAsia" w:ascii="宋体" w:hAnsi="宋体" w:cs="宋体"/>
        </w:rPr>
        <w:t>第四节  妇女组织</w:t>
      </w:r>
    </w:p>
    <w:p w14:paraId="5515C8B4">
      <w:pPr>
        <w:pStyle w:val="5"/>
        <w:rPr>
          <w:rFonts w:ascii="宋体" w:hAnsi="宋体" w:cs="宋体"/>
        </w:rPr>
      </w:pPr>
      <w:r>
        <w:rPr>
          <w:rFonts w:hint="eastAsia" w:ascii="宋体" w:hAnsi="宋体" w:cs="宋体"/>
        </w:rPr>
        <w:t>一、组织沿革</w:t>
      </w:r>
    </w:p>
    <w:p w14:paraId="6FA1F33C">
      <w:pPr>
        <w:ind w:firstLine="420"/>
        <w:rPr>
          <w:rFonts w:ascii="宋体" w:hAnsi="宋体" w:cs="宋体"/>
        </w:rPr>
      </w:pPr>
      <w:r>
        <w:rPr>
          <w:rFonts w:hint="eastAsia" w:ascii="宋体" w:hAnsi="宋体" w:cs="宋体"/>
        </w:rPr>
        <w:t>1949年10月，南雄县民主妇女联合会筹备委员会成立，何平为主任。1953年11月召开县第一次妇女代表大会，成立南雄县民主妇女联合会。1957年11月，民主妇女联合会改称妇女联合会，并在乡镇（公社）成立妇女联合会，设主任、干事各1人，村和街道成立妇代会（妇女代表大会），设主任1人。市（县）妇女联合会为正科级群众团体。2002年2月，内设办公室、权益部2个机构，定编4人。</w:t>
      </w:r>
    </w:p>
    <w:p w14:paraId="7A318E83">
      <w:pPr>
        <w:pStyle w:val="5"/>
        <w:rPr>
          <w:rFonts w:ascii="宋体" w:hAnsi="宋体" w:cs="宋体"/>
        </w:rPr>
      </w:pPr>
      <w:r>
        <w:rPr>
          <w:rFonts w:hint="eastAsia" w:ascii="宋体" w:hAnsi="宋体" w:cs="宋体"/>
        </w:rPr>
        <w:t>二、妇女代表大会</w:t>
      </w:r>
    </w:p>
    <w:p w14:paraId="0FEF271F">
      <w:pPr>
        <w:ind w:firstLine="420"/>
        <w:rPr>
          <w:rFonts w:ascii="宋体" w:hAnsi="宋体" w:cs="宋体"/>
        </w:rPr>
      </w:pPr>
      <w:r>
        <w:rPr>
          <w:rFonts w:hint="eastAsia" w:ascii="宋体" w:hAnsi="宋体" w:cs="宋体"/>
        </w:rPr>
        <w:t>第一次妇女代表大会于1953年11月召开，成立南雄县民主妇女联合会，选举丘虹为主任。</w:t>
      </w:r>
    </w:p>
    <w:p w14:paraId="333BEDEA">
      <w:pPr>
        <w:ind w:firstLine="420"/>
        <w:rPr>
          <w:rFonts w:ascii="宋体" w:hAnsi="宋体" w:cs="宋体"/>
        </w:rPr>
      </w:pPr>
      <w:r>
        <w:rPr>
          <w:rFonts w:hint="eastAsia" w:ascii="宋体" w:hAnsi="宋体" w:cs="宋体"/>
        </w:rPr>
        <w:t>三、四次妇女代表大会分别于1956年12月23日、1961年12月21日、1973年7月7日召开，分别选举冯莲珍、林群、王竹香为主任。第五、六次妇女代表大会分别于1979年12月23日、1984年9月21日召开，均选举梁婉珠为主任。第七、八次妇女代表大会分别于1988年7月4日、1993年9月22日召开，均选举杨凤林为主任。第九、十次妇女代表大会分别于1998年9月29日、2003年12月10日召开，均选举杨会英为主席。</w:t>
      </w:r>
    </w:p>
    <w:p w14:paraId="7FE953D3">
      <w:pPr>
        <w:pStyle w:val="5"/>
        <w:rPr>
          <w:rFonts w:ascii="宋体" w:hAnsi="宋体" w:cs="宋体"/>
        </w:rPr>
      </w:pPr>
      <w:r>
        <w:rPr>
          <w:rFonts w:hint="eastAsia" w:ascii="宋体" w:hAnsi="宋体" w:cs="宋体"/>
        </w:rPr>
        <w:t>三、妇联活动</w:t>
      </w:r>
    </w:p>
    <w:p w14:paraId="78BD1C6D">
      <w:pPr>
        <w:ind w:firstLine="420"/>
        <w:rPr>
          <w:rFonts w:ascii="宋体" w:hAnsi="宋体" w:cs="宋体"/>
        </w:rPr>
      </w:pPr>
      <w:r>
        <w:rPr>
          <w:rFonts w:hint="eastAsia" w:ascii="宋体" w:hAnsi="宋体" w:cs="宋体"/>
        </w:rPr>
        <w:t>宣传贯彻婚姻法。新中国成立以来，各级妇联组织广泛宣传婚姻法，教育妇女冲破封建束缚，实行男女平等，婚姻自主，反对抱童养媳，废除买卖婚姻，包办婚姻。1988年后抓《中华人民共和国新婚姻法》的宣传贯彻。</w:t>
      </w:r>
    </w:p>
    <w:p w14:paraId="42C14406">
      <w:pPr>
        <w:ind w:firstLine="420"/>
        <w:rPr>
          <w:rFonts w:ascii="宋体" w:hAnsi="宋体" w:cs="宋体"/>
        </w:rPr>
      </w:pPr>
      <w:r>
        <w:rPr>
          <w:rFonts w:hint="eastAsia" w:ascii="宋体" w:hAnsi="宋体" w:cs="宋体"/>
        </w:rPr>
        <w:t>维护妇女儿童合法权益。1984年1月，县妇联成立法律顾问室，1986年各乡镇妇联都建立了法律咨询站，2000年成立南雄市妇女法律援助站，24个镇相应成立妇女法律援助联络点，并为妇女免费提供法律援助12宗。</w:t>
      </w:r>
    </w:p>
    <w:p w14:paraId="02E49AF0">
      <w:pPr>
        <w:ind w:firstLine="420"/>
        <w:rPr>
          <w:rFonts w:ascii="宋体" w:hAnsi="宋体" w:cs="宋体"/>
        </w:rPr>
      </w:pPr>
      <w:r>
        <w:rPr>
          <w:rFonts w:hint="eastAsia" w:ascii="宋体" w:hAnsi="宋体" w:cs="宋体"/>
        </w:rPr>
        <w:t>开展“五好家庭”活动。1982年评选表彰五好家庭585户。1986年，把评选“五好”家庭活动与贯彻党的改革开放方针和富民政策结合起来，动员每个家庭开展勤劳致富活动。1987年1月，县妇联提出“五好家庭”评比条件，当年10月，全县达到“五好家庭”标准的有25134户，占全县总户数的33%。1988年后，开展创文明家庭活动。2004年，全市文明家庭68047户，占总户数的82.7%。</w:t>
      </w:r>
    </w:p>
    <w:p w14:paraId="5EE4D9E5">
      <w:pPr>
        <w:ind w:firstLine="420"/>
        <w:rPr>
          <w:rFonts w:ascii="宋体" w:hAnsi="宋体" w:cs="宋体"/>
        </w:rPr>
      </w:pPr>
      <w:r>
        <w:rPr>
          <w:rFonts w:hint="eastAsia" w:ascii="宋体" w:hAnsi="宋体" w:cs="宋体"/>
        </w:rPr>
        <w:t>开展学英雄献爱心活动。2000年11月海南省洪灾，南雄籍解放军战士吴华东救灾牺牲。南雄市妇联发动各界人士捐款30000多元，为吴华东烈士家属献上一份爱心。开展资助特困女童助学行动，2000年至2004年，共资助73名农村特困女童完成小学学业。2003年起，开展慰问单亲特困母亲家庭活动，至2004年止，共慰问275户家庭，并为单亲特困母亲建安居房13套。</w:t>
      </w:r>
    </w:p>
    <w:p w14:paraId="10536BAC">
      <w:pPr>
        <w:ind w:firstLine="420"/>
        <w:rPr>
          <w:rFonts w:ascii="宋体" w:hAnsi="宋体" w:cs="宋体"/>
        </w:rPr>
      </w:pPr>
      <w:r>
        <w:rPr>
          <w:rFonts w:hint="eastAsia" w:ascii="宋体" w:hAnsi="宋体" w:cs="宋体"/>
        </w:rPr>
        <w:t>举办妇女培训班。1993年至2004年，共举办常规培训1333期，培训妇女178685人次；举办“一业为主，多种经营”、“一专多能”农技培训班1410期，培训妇女351408人次；举办基层妇干培训班5期，培训妇干529名；举办岗位业务培训班353期，培训女职工13000人次。</w:t>
      </w:r>
    </w:p>
    <w:p w14:paraId="47196E7A">
      <w:pPr>
        <w:pStyle w:val="4"/>
        <w:rPr>
          <w:rFonts w:ascii="宋体" w:hAnsi="宋体" w:cs="宋体"/>
        </w:rPr>
      </w:pPr>
      <w:r>
        <w:rPr>
          <w:rFonts w:hint="eastAsia" w:ascii="宋体" w:hAnsi="宋体" w:cs="宋体"/>
        </w:rPr>
        <w:t>第五节  南雄市（县）归国华侨联合会</w:t>
      </w:r>
    </w:p>
    <w:p w14:paraId="21AB1313">
      <w:pPr>
        <w:ind w:firstLine="420"/>
        <w:rPr>
          <w:rFonts w:ascii="宋体" w:hAnsi="宋体" w:cs="宋体"/>
        </w:rPr>
      </w:pPr>
      <w:r>
        <w:rPr>
          <w:rFonts w:hint="eastAsia" w:ascii="宋体" w:hAnsi="宋体" w:cs="宋体"/>
        </w:rPr>
        <w:t>南雄市是粤北重点侨乡，有华侨200多户，分布于12个国家。有归侨30多人，眷属1900多人。</w:t>
      </w:r>
    </w:p>
    <w:p w14:paraId="6C6CE1DE">
      <w:pPr>
        <w:ind w:firstLine="420"/>
        <w:rPr>
          <w:rFonts w:ascii="宋体" w:hAnsi="宋体" w:cs="宋体"/>
        </w:rPr>
      </w:pPr>
      <w:r>
        <w:rPr>
          <w:rFonts w:hint="eastAsia" w:ascii="宋体" w:hAnsi="宋体" w:cs="宋体"/>
        </w:rPr>
        <w:t>1985年5月10日，第一次归侨侨眷代表大会召开，到会代表45人，选举产生第一届归国华侨联合会，以卢道和为名誉主席，庄礼味为主席。1990年8月召开第二届归侨侨眷代表大会，到会代表80人，仍选举庄礼味为归国华侨联合会主席。</w:t>
      </w:r>
    </w:p>
    <w:p w14:paraId="145B85A8">
      <w:pPr>
        <w:ind w:firstLine="420"/>
        <w:rPr>
          <w:rFonts w:ascii="宋体" w:hAnsi="宋体" w:cs="宋体"/>
        </w:rPr>
      </w:pPr>
      <w:r>
        <w:rPr>
          <w:rFonts w:hint="eastAsia" w:ascii="宋体" w:hAnsi="宋体" w:cs="宋体"/>
        </w:rPr>
        <w:t>归国华侨联合会属正科级群众团体，与市外事侨务办公室合署办公。编制1人。侨联利用春节、中秋节走访慰问和召开座谈会、茶话会等形式，向归侨、侨眷通报家乡发展情况，热情接待到南雄探亲、旅游观光和洽谈经贸的海外华侨、华人及港澳同胞，增进爱国爱乡情谊，促进招商引资。</w:t>
      </w:r>
    </w:p>
    <w:p w14:paraId="2EA018ED">
      <w:pPr>
        <w:pStyle w:val="4"/>
        <w:rPr>
          <w:rFonts w:ascii="宋体" w:hAnsi="宋体" w:cs="宋体"/>
        </w:rPr>
      </w:pPr>
      <w:r>
        <w:rPr>
          <w:rFonts w:hint="eastAsia" w:ascii="宋体" w:hAnsi="宋体" w:cs="宋体"/>
        </w:rPr>
        <w:t>第六节  工商业组织</w:t>
      </w:r>
    </w:p>
    <w:p w14:paraId="7BD2EE9B">
      <w:pPr>
        <w:pStyle w:val="5"/>
        <w:rPr>
          <w:rFonts w:ascii="宋体" w:hAnsi="宋体" w:cs="宋体"/>
        </w:rPr>
      </w:pPr>
      <w:r>
        <w:rPr>
          <w:rFonts w:hint="eastAsia" w:ascii="宋体" w:hAnsi="宋体" w:cs="宋体"/>
        </w:rPr>
        <w:t>一、工商业联合会</w:t>
      </w:r>
    </w:p>
    <w:p w14:paraId="3DF25C10">
      <w:pPr>
        <w:ind w:firstLine="420"/>
        <w:rPr>
          <w:rFonts w:ascii="宋体" w:hAnsi="宋体" w:cs="宋体"/>
        </w:rPr>
      </w:pPr>
      <w:r>
        <w:rPr>
          <w:rFonts w:hint="eastAsia" w:ascii="宋体" w:hAnsi="宋体" w:cs="宋体"/>
        </w:rPr>
        <w:t>1951年9月26日，南雄县工商业联合会筹备委员会成立，协助党委和政府贯彻执行对私营工商业的利用、限制、改造政策，调查、整顿同业公会。1955年10月6日至14日，召开县首届二次工商会员代表大会，成立南雄县工商业联合会，选举产生执行委员35人，监察委员7人，陈少垣为主任委员，赵登云为副主任委员。1962年1月10日至14日，召开工商联第三次执委会，选举产生第三届执行委员37人，常委15人。1965年5月，整顿工商联组织，县城有工商小组59个，圩镇工商分会5个，共有会员1126人。“文化大革命”中，工商联组织被解散，1984年1月恢复。</w:t>
      </w:r>
    </w:p>
    <w:p w14:paraId="6348C42A">
      <w:pPr>
        <w:ind w:firstLine="420"/>
        <w:rPr>
          <w:rFonts w:ascii="宋体" w:hAnsi="宋体" w:cs="宋体"/>
        </w:rPr>
      </w:pPr>
      <w:r>
        <w:rPr>
          <w:rFonts w:hint="eastAsia" w:ascii="宋体" w:hAnsi="宋体" w:cs="宋体"/>
        </w:rPr>
        <w:t>1989年召开第五届会员代表大会。选举叶才栋为主任委员，李可基、魏家瑶为副主任委员。1992年6月召开第六届会员代表大会，选举林大宏为主任委员，李可基、魏家瑶为副主任委员。1997年5月21日召开第七届会员代表大会，选举曾文山为会长，李明、魏家瑶、李可基为副会长。</w:t>
      </w:r>
    </w:p>
    <w:p w14:paraId="272E7862">
      <w:pPr>
        <w:pStyle w:val="5"/>
        <w:rPr>
          <w:rFonts w:ascii="宋体" w:hAnsi="宋体" w:cs="宋体"/>
        </w:rPr>
      </w:pPr>
      <w:r>
        <w:rPr>
          <w:rFonts w:hint="eastAsia" w:ascii="宋体" w:hAnsi="宋体" w:cs="宋体"/>
        </w:rPr>
        <w:t>二、个体劳动者协会</w:t>
      </w:r>
    </w:p>
    <w:p w14:paraId="4FB0AC71">
      <w:pPr>
        <w:ind w:firstLine="420"/>
        <w:rPr>
          <w:rFonts w:ascii="宋体" w:hAnsi="宋体" w:cs="宋体"/>
        </w:rPr>
      </w:pPr>
      <w:r>
        <w:rPr>
          <w:rFonts w:hint="eastAsia" w:ascii="宋体" w:hAnsi="宋体" w:cs="宋体"/>
        </w:rPr>
        <w:t>1982年11月，南雄县个体工商劳动者联合会成立。1984年更名为个体劳动者协会。劳协坚持“自我教育、自我服务、自我管理”的三自方针，发挥协调作用，维护个体、私企的合法权益，为下岗失业人员排忧解难。1998年至2002年，协会调解了400多起投诉，慰问贫困会员200多户，发放宣传资料50000多份。</w:t>
      </w:r>
    </w:p>
    <w:p w14:paraId="0BD0F26D">
      <w:pPr>
        <w:pStyle w:val="4"/>
        <w:rPr>
          <w:rFonts w:ascii="宋体" w:hAnsi="宋体" w:cs="宋体"/>
        </w:rPr>
      </w:pPr>
      <w:r>
        <w:rPr>
          <w:rFonts w:hint="eastAsia" w:ascii="宋体" w:hAnsi="宋体" w:cs="宋体"/>
        </w:rPr>
        <w:t>第七节  学术团体</w:t>
      </w:r>
    </w:p>
    <w:p w14:paraId="160CF276">
      <w:pPr>
        <w:pStyle w:val="5"/>
        <w:rPr>
          <w:rFonts w:ascii="宋体" w:hAnsi="宋体" w:cs="宋体"/>
        </w:rPr>
      </w:pPr>
      <w:r>
        <w:rPr>
          <w:rFonts w:hint="eastAsia" w:ascii="宋体" w:hAnsi="宋体" w:cs="宋体"/>
        </w:rPr>
        <w:t>一、科学技术协会</w:t>
      </w:r>
    </w:p>
    <w:p w14:paraId="7399D50F">
      <w:pPr>
        <w:ind w:firstLine="420"/>
        <w:rPr>
          <w:rFonts w:ascii="宋体" w:hAnsi="宋体" w:cs="宋体"/>
        </w:rPr>
      </w:pPr>
      <w:r>
        <w:rPr>
          <w:rFonts w:hint="eastAsia" w:ascii="宋体" w:hAnsi="宋体" w:cs="宋体"/>
        </w:rPr>
        <w:t>1956年南雄县科学普及协会成立，附设于县委宣传部。1969年科普协会撤销。1980年9月，县第一届科学技术协会代表大会召开，成立南雄县科学技术协会。2004年有学会、协会、研究会17个，会员2315人。详见表4-11：</w:t>
      </w:r>
    </w:p>
    <w:p w14:paraId="39E6EBEE">
      <w:pPr>
        <w:ind w:firstLine="422"/>
        <w:jc w:val="center"/>
        <w:rPr>
          <w:rFonts w:ascii="宋体" w:hAnsi="宋体" w:cs="宋体"/>
          <w:b/>
          <w:bCs/>
        </w:rPr>
      </w:pPr>
      <w:r>
        <w:rPr>
          <w:rFonts w:hint="eastAsia" w:ascii="宋体" w:hAnsi="宋体" w:cs="宋体"/>
          <w:b/>
          <w:bCs/>
        </w:rPr>
        <w:t>南雄市科学技术协会下属学会，研究会一览</w:t>
      </w:r>
    </w:p>
    <w:p w14:paraId="4AEE4A3C">
      <w:pPr>
        <w:ind w:firstLine="0" w:firstLineChars="0"/>
        <w:rPr>
          <w:rFonts w:ascii="宋体" w:hAnsi="宋体" w:cs="宋体"/>
          <w:b/>
          <w:bCs/>
        </w:rPr>
      </w:pPr>
      <w:r>
        <w:rPr>
          <w:rFonts w:hint="eastAsia" w:ascii="宋体" w:hAnsi="宋体" w:cs="宋体"/>
          <w:b/>
          <w:bCs/>
        </w:rPr>
        <w:t>表4-11</w:t>
      </w:r>
    </w:p>
    <w:p w14:paraId="46E9B2FE">
      <w:pPr>
        <w:ind w:firstLine="422"/>
        <w:jc w:val="right"/>
        <w:rPr>
          <w:rFonts w:ascii="宋体" w:hAnsi="宋体" w:cs="宋体"/>
          <w:b/>
          <w:bCs/>
        </w:rPr>
      </w:pPr>
      <w:r>
        <w:rPr>
          <w:rFonts w:hint="eastAsia" w:ascii="宋体" w:hAnsi="宋体" w:cs="宋体"/>
          <w:b/>
          <w:bCs/>
        </w:rPr>
        <w:t>单位：人</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32"/>
        <w:gridCol w:w="1080"/>
        <w:gridCol w:w="1662"/>
        <w:gridCol w:w="1662"/>
        <w:gridCol w:w="1668"/>
        <w:gridCol w:w="1658"/>
      </w:tblGrid>
      <w:tr w14:paraId="18AFB5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1" w:type="pct"/>
            <w:vMerge w:val="restart"/>
            <w:vAlign w:val="center"/>
          </w:tcPr>
          <w:p w14:paraId="1D060A94">
            <w:pPr>
              <w:pStyle w:val="12"/>
              <w:jc w:val="center"/>
              <w:rPr>
                <w:b/>
              </w:rPr>
            </w:pPr>
            <w:r>
              <w:rPr>
                <w:rFonts w:hint="eastAsia"/>
                <w:b/>
              </w:rPr>
              <w:t>学会名称</w:t>
            </w:r>
          </w:p>
        </w:tc>
        <w:tc>
          <w:tcPr>
            <w:tcW w:w="542" w:type="pct"/>
            <w:vMerge w:val="restart"/>
            <w:vAlign w:val="center"/>
          </w:tcPr>
          <w:p w14:paraId="2ED0DB74">
            <w:pPr>
              <w:pStyle w:val="12"/>
              <w:jc w:val="center"/>
              <w:rPr>
                <w:b/>
              </w:rPr>
            </w:pPr>
            <w:r>
              <w:rPr>
                <w:rFonts w:hint="eastAsia"/>
                <w:b/>
              </w:rPr>
              <w:t>会员人数</w:t>
            </w:r>
          </w:p>
        </w:tc>
        <w:tc>
          <w:tcPr>
            <w:tcW w:w="2505" w:type="pct"/>
            <w:gridSpan w:val="3"/>
            <w:vAlign w:val="center"/>
          </w:tcPr>
          <w:p w14:paraId="6365CED9">
            <w:pPr>
              <w:pStyle w:val="12"/>
              <w:jc w:val="center"/>
              <w:rPr>
                <w:b/>
              </w:rPr>
            </w:pPr>
            <w:r>
              <w:rPr>
                <w:rFonts w:hint="eastAsia"/>
                <w:b/>
              </w:rPr>
              <w:t>其中</w:t>
            </w:r>
          </w:p>
        </w:tc>
        <w:tc>
          <w:tcPr>
            <w:tcW w:w="832" w:type="pct"/>
            <w:vMerge w:val="restart"/>
            <w:vAlign w:val="center"/>
          </w:tcPr>
          <w:p w14:paraId="16EC08D4">
            <w:pPr>
              <w:pStyle w:val="12"/>
              <w:jc w:val="center"/>
              <w:rPr>
                <w:b/>
              </w:rPr>
            </w:pPr>
            <w:r>
              <w:rPr>
                <w:rFonts w:hint="eastAsia"/>
                <w:b/>
              </w:rPr>
              <w:t>挂靠单位</w:t>
            </w:r>
          </w:p>
        </w:tc>
      </w:tr>
      <w:tr w14:paraId="557FAB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1" w:type="pct"/>
            <w:vMerge w:val="continue"/>
            <w:vAlign w:val="center"/>
          </w:tcPr>
          <w:p w14:paraId="1CBA3A07">
            <w:pPr>
              <w:pStyle w:val="12"/>
              <w:jc w:val="center"/>
            </w:pPr>
          </w:p>
        </w:tc>
        <w:tc>
          <w:tcPr>
            <w:tcW w:w="542" w:type="pct"/>
            <w:vMerge w:val="continue"/>
            <w:vAlign w:val="center"/>
          </w:tcPr>
          <w:p w14:paraId="435BF7A1">
            <w:pPr>
              <w:pStyle w:val="12"/>
              <w:jc w:val="center"/>
            </w:pPr>
          </w:p>
        </w:tc>
        <w:tc>
          <w:tcPr>
            <w:tcW w:w="834" w:type="pct"/>
            <w:vAlign w:val="center"/>
          </w:tcPr>
          <w:p w14:paraId="79877DDA">
            <w:pPr>
              <w:pStyle w:val="12"/>
              <w:jc w:val="center"/>
              <w:rPr>
                <w:b/>
              </w:rPr>
            </w:pPr>
            <w:r>
              <w:rPr>
                <w:rFonts w:hint="eastAsia"/>
                <w:b/>
              </w:rPr>
              <w:t>高级职称</w:t>
            </w:r>
          </w:p>
        </w:tc>
        <w:tc>
          <w:tcPr>
            <w:tcW w:w="834" w:type="pct"/>
            <w:vAlign w:val="center"/>
          </w:tcPr>
          <w:p w14:paraId="7F177711">
            <w:pPr>
              <w:pStyle w:val="12"/>
              <w:jc w:val="center"/>
              <w:rPr>
                <w:b/>
              </w:rPr>
            </w:pPr>
            <w:r>
              <w:rPr>
                <w:rFonts w:hint="eastAsia"/>
                <w:b/>
              </w:rPr>
              <w:t>中级职称</w:t>
            </w:r>
          </w:p>
        </w:tc>
        <w:tc>
          <w:tcPr>
            <w:tcW w:w="836" w:type="pct"/>
            <w:vAlign w:val="center"/>
          </w:tcPr>
          <w:p w14:paraId="57577120">
            <w:pPr>
              <w:pStyle w:val="12"/>
              <w:jc w:val="center"/>
              <w:rPr>
                <w:b/>
              </w:rPr>
            </w:pPr>
            <w:r>
              <w:rPr>
                <w:rFonts w:hint="eastAsia"/>
                <w:b/>
              </w:rPr>
              <w:t>初级职称</w:t>
            </w:r>
          </w:p>
        </w:tc>
        <w:tc>
          <w:tcPr>
            <w:tcW w:w="832" w:type="pct"/>
            <w:vMerge w:val="continue"/>
            <w:vAlign w:val="center"/>
          </w:tcPr>
          <w:p w14:paraId="07032664">
            <w:pPr>
              <w:pStyle w:val="12"/>
              <w:jc w:val="center"/>
              <w:rPr>
                <w:b/>
              </w:rPr>
            </w:pPr>
          </w:p>
        </w:tc>
      </w:tr>
      <w:tr w14:paraId="4C712C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1" w:type="pct"/>
            <w:vAlign w:val="center"/>
          </w:tcPr>
          <w:p w14:paraId="43BA269A">
            <w:pPr>
              <w:pStyle w:val="12"/>
              <w:jc w:val="center"/>
            </w:pPr>
            <w:r>
              <w:rPr>
                <w:rFonts w:hint="eastAsia"/>
              </w:rPr>
              <w:t>中华医学会南雄分会</w:t>
            </w:r>
          </w:p>
        </w:tc>
        <w:tc>
          <w:tcPr>
            <w:tcW w:w="542" w:type="pct"/>
            <w:vAlign w:val="center"/>
          </w:tcPr>
          <w:p w14:paraId="50B6BDBE">
            <w:pPr>
              <w:pStyle w:val="12"/>
              <w:jc w:val="center"/>
            </w:pPr>
            <w:r>
              <w:rPr>
                <w:rFonts w:hint="eastAsia"/>
              </w:rPr>
              <w:t>441</w:t>
            </w:r>
          </w:p>
        </w:tc>
        <w:tc>
          <w:tcPr>
            <w:tcW w:w="834" w:type="pct"/>
            <w:vAlign w:val="center"/>
          </w:tcPr>
          <w:p w14:paraId="2AF792D5">
            <w:pPr>
              <w:pStyle w:val="12"/>
              <w:jc w:val="center"/>
            </w:pPr>
            <w:r>
              <w:rPr>
                <w:rFonts w:hint="eastAsia"/>
              </w:rPr>
              <w:t>15</w:t>
            </w:r>
          </w:p>
        </w:tc>
        <w:tc>
          <w:tcPr>
            <w:tcW w:w="834" w:type="pct"/>
            <w:vAlign w:val="center"/>
          </w:tcPr>
          <w:p w14:paraId="267D68AC">
            <w:pPr>
              <w:pStyle w:val="12"/>
              <w:jc w:val="center"/>
            </w:pPr>
            <w:r>
              <w:rPr>
                <w:rFonts w:hint="eastAsia"/>
              </w:rPr>
              <w:t>103</w:t>
            </w:r>
          </w:p>
        </w:tc>
        <w:tc>
          <w:tcPr>
            <w:tcW w:w="836" w:type="pct"/>
            <w:vAlign w:val="center"/>
          </w:tcPr>
          <w:p w14:paraId="2493D3BB">
            <w:pPr>
              <w:pStyle w:val="12"/>
              <w:jc w:val="center"/>
            </w:pPr>
            <w:r>
              <w:rPr>
                <w:rFonts w:hint="eastAsia"/>
              </w:rPr>
              <w:t>310</w:t>
            </w:r>
          </w:p>
        </w:tc>
        <w:tc>
          <w:tcPr>
            <w:tcW w:w="832" w:type="pct"/>
            <w:vAlign w:val="center"/>
          </w:tcPr>
          <w:p w14:paraId="4B10472B">
            <w:pPr>
              <w:pStyle w:val="12"/>
              <w:jc w:val="center"/>
            </w:pPr>
            <w:r>
              <w:rPr>
                <w:rFonts w:hint="eastAsia"/>
              </w:rPr>
              <w:t>卫生局</w:t>
            </w:r>
          </w:p>
        </w:tc>
      </w:tr>
      <w:tr w14:paraId="654734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1" w:type="pct"/>
            <w:vAlign w:val="center"/>
          </w:tcPr>
          <w:p w14:paraId="107149AC">
            <w:pPr>
              <w:pStyle w:val="12"/>
              <w:jc w:val="center"/>
            </w:pPr>
            <w:r>
              <w:rPr>
                <w:rFonts w:hint="eastAsia"/>
              </w:rPr>
              <w:t>工学会</w:t>
            </w:r>
          </w:p>
        </w:tc>
        <w:tc>
          <w:tcPr>
            <w:tcW w:w="542" w:type="pct"/>
            <w:vAlign w:val="center"/>
          </w:tcPr>
          <w:p w14:paraId="32F94167">
            <w:pPr>
              <w:pStyle w:val="12"/>
              <w:jc w:val="center"/>
            </w:pPr>
            <w:r>
              <w:rPr>
                <w:rFonts w:hint="eastAsia"/>
              </w:rPr>
              <w:t>45</w:t>
            </w:r>
          </w:p>
        </w:tc>
        <w:tc>
          <w:tcPr>
            <w:tcW w:w="834" w:type="pct"/>
            <w:vAlign w:val="center"/>
          </w:tcPr>
          <w:p w14:paraId="27967AF0">
            <w:pPr>
              <w:pStyle w:val="12"/>
              <w:jc w:val="center"/>
            </w:pPr>
            <w:r>
              <w:rPr>
                <w:rFonts w:hint="eastAsia"/>
              </w:rPr>
              <w:t>3</w:t>
            </w:r>
          </w:p>
        </w:tc>
        <w:tc>
          <w:tcPr>
            <w:tcW w:w="834" w:type="pct"/>
            <w:vAlign w:val="center"/>
          </w:tcPr>
          <w:p w14:paraId="4243591F">
            <w:pPr>
              <w:pStyle w:val="12"/>
              <w:jc w:val="center"/>
            </w:pPr>
            <w:r>
              <w:rPr>
                <w:rFonts w:hint="eastAsia"/>
              </w:rPr>
              <w:t>21</w:t>
            </w:r>
          </w:p>
        </w:tc>
        <w:tc>
          <w:tcPr>
            <w:tcW w:w="836" w:type="pct"/>
            <w:vAlign w:val="center"/>
          </w:tcPr>
          <w:p w14:paraId="4BC34B0D">
            <w:pPr>
              <w:pStyle w:val="12"/>
              <w:jc w:val="center"/>
            </w:pPr>
            <w:r>
              <w:rPr>
                <w:rFonts w:hint="eastAsia"/>
              </w:rPr>
              <w:t>14</w:t>
            </w:r>
          </w:p>
        </w:tc>
        <w:tc>
          <w:tcPr>
            <w:tcW w:w="832" w:type="pct"/>
            <w:vAlign w:val="center"/>
          </w:tcPr>
          <w:p w14:paraId="4C304DC8">
            <w:pPr>
              <w:pStyle w:val="12"/>
              <w:jc w:val="center"/>
            </w:pPr>
            <w:r>
              <w:rPr>
                <w:rFonts w:hint="eastAsia"/>
              </w:rPr>
              <w:t>贸易局</w:t>
            </w:r>
          </w:p>
        </w:tc>
      </w:tr>
      <w:tr w14:paraId="6F8EB4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1" w:type="pct"/>
            <w:vAlign w:val="center"/>
          </w:tcPr>
          <w:p w14:paraId="1D501865">
            <w:pPr>
              <w:pStyle w:val="12"/>
              <w:jc w:val="center"/>
            </w:pPr>
            <w:r>
              <w:rPr>
                <w:rFonts w:hint="eastAsia"/>
              </w:rPr>
              <w:t>农学会</w:t>
            </w:r>
          </w:p>
        </w:tc>
        <w:tc>
          <w:tcPr>
            <w:tcW w:w="542" w:type="pct"/>
            <w:vAlign w:val="center"/>
          </w:tcPr>
          <w:p w14:paraId="69DB77E3">
            <w:pPr>
              <w:pStyle w:val="12"/>
              <w:jc w:val="center"/>
            </w:pPr>
            <w:r>
              <w:rPr>
                <w:rFonts w:hint="eastAsia"/>
              </w:rPr>
              <w:t>159</w:t>
            </w:r>
          </w:p>
        </w:tc>
        <w:tc>
          <w:tcPr>
            <w:tcW w:w="834" w:type="pct"/>
            <w:vAlign w:val="center"/>
          </w:tcPr>
          <w:p w14:paraId="26016346">
            <w:pPr>
              <w:pStyle w:val="12"/>
              <w:jc w:val="center"/>
            </w:pPr>
            <w:r>
              <w:rPr>
                <w:rFonts w:hint="eastAsia"/>
              </w:rPr>
              <w:t>12</w:t>
            </w:r>
          </w:p>
        </w:tc>
        <w:tc>
          <w:tcPr>
            <w:tcW w:w="834" w:type="pct"/>
            <w:vAlign w:val="center"/>
          </w:tcPr>
          <w:p w14:paraId="00A193BF">
            <w:pPr>
              <w:pStyle w:val="12"/>
              <w:jc w:val="center"/>
            </w:pPr>
            <w:r>
              <w:rPr>
                <w:rFonts w:hint="eastAsia"/>
              </w:rPr>
              <w:t>39</w:t>
            </w:r>
          </w:p>
        </w:tc>
        <w:tc>
          <w:tcPr>
            <w:tcW w:w="836" w:type="pct"/>
            <w:vAlign w:val="center"/>
          </w:tcPr>
          <w:p w14:paraId="304A1742">
            <w:pPr>
              <w:pStyle w:val="12"/>
              <w:jc w:val="center"/>
            </w:pPr>
            <w:r>
              <w:rPr>
                <w:rFonts w:hint="eastAsia"/>
              </w:rPr>
              <w:t>62</w:t>
            </w:r>
          </w:p>
        </w:tc>
        <w:tc>
          <w:tcPr>
            <w:tcW w:w="832" w:type="pct"/>
            <w:vAlign w:val="center"/>
          </w:tcPr>
          <w:p w14:paraId="3E5AE80C">
            <w:pPr>
              <w:pStyle w:val="12"/>
              <w:jc w:val="center"/>
            </w:pPr>
            <w:r>
              <w:rPr>
                <w:rFonts w:hint="eastAsia"/>
              </w:rPr>
              <w:t>农业局</w:t>
            </w:r>
          </w:p>
        </w:tc>
      </w:tr>
      <w:tr w14:paraId="4E0EDE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1" w:type="pct"/>
            <w:vAlign w:val="center"/>
          </w:tcPr>
          <w:p w14:paraId="3726A085">
            <w:pPr>
              <w:pStyle w:val="12"/>
              <w:jc w:val="center"/>
            </w:pPr>
            <w:r>
              <w:rPr>
                <w:rFonts w:hint="eastAsia"/>
              </w:rPr>
              <w:t>水利学会</w:t>
            </w:r>
          </w:p>
        </w:tc>
        <w:tc>
          <w:tcPr>
            <w:tcW w:w="542" w:type="pct"/>
            <w:vAlign w:val="center"/>
          </w:tcPr>
          <w:p w14:paraId="7052782F">
            <w:pPr>
              <w:pStyle w:val="12"/>
              <w:jc w:val="center"/>
            </w:pPr>
            <w:r>
              <w:rPr>
                <w:rFonts w:hint="eastAsia"/>
              </w:rPr>
              <w:t>98</w:t>
            </w:r>
          </w:p>
        </w:tc>
        <w:tc>
          <w:tcPr>
            <w:tcW w:w="834" w:type="pct"/>
            <w:vAlign w:val="center"/>
          </w:tcPr>
          <w:p w14:paraId="445443EE">
            <w:pPr>
              <w:pStyle w:val="12"/>
              <w:jc w:val="center"/>
            </w:pPr>
            <w:r>
              <w:rPr>
                <w:rFonts w:hint="eastAsia"/>
              </w:rPr>
              <w:t>3</w:t>
            </w:r>
          </w:p>
        </w:tc>
        <w:tc>
          <w:tcPr>
            <w:tcW w:w="834" w:type="pct"/>
            <w:vAlign w:val="center"/>
          </w:tcPr>
          <w:p w14:paraId="4E44424F">
            <w:pPr>
              <w:pStyle w:val="12"/>
              <w:jc w:val="center"/>
            </w:pPr>
            <w:r>
              <w:rPr>
                <w:rFonts w:hint="eastAsia"/>
              </w:rPr>
              <w:t>17</w:t>
            </w:r>
          </w:p>
        </w:tc>
        <w:tc>
          <w:tcPr>
            <w:tcW w:w="836" w:type="pct"/>
            <w:vAlign w:val="center"/>
          </w:tcPr>
          <w:p w14:paraId="37F06BA0">
            <w:pPr>
              <w:pStyle w:val="12"/>
              <w:jc w:val="center"/>
            </w:pPr>
            <w:r>
              <w:rPr>
                <w:rFonts w:hint="eastAsia"/>
              </w:rPr>
              <w:t>78</w:t>
            </w:r>
          </w:p>
        </w:tc>
        <w:tc>
          <w:tcPr>
            <w:tcW w:w="832" w:type="pct"/>
            <w:vAlign w:val="center"/>
          </w:tcPr>
          <w:p w14:paraId="5FF1738A">
            <w:pPr>
              <w:pStyle w:val="12"/>
              <w:jc w:val="center"/>
            </w:pPr>
            <w:r>
              <w:rPr>
                <w:rFonts w:hint="eastAsia"/>
              </w:rPr>
              <w:t>水利局</w:t>
            </w:r>
          </w:p>
        </w:tc>
      </w:tr>
      <w:tr w14:paraId="7FB07E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1" w:type="pct"/>
            <w:vAlign w:val="center"/>
          </w:tcPr>
          <w:p w14:paraId="365BD430">
            <w:pPr>
              <w:pStyle w:val="12"/>
              <w:jc w:val="center"/>
            </w:pPr>
            <w:r>
              <w:rPr>
                <w:rFonts w:hint="eastAsia"/>
              </w:rPr>
              <w:t>林学会</w:t>
            </w:r>
          </w:p>
        </w:tc>
        <w:tc>
          <w:tcPr>
            <w:tcW w:w="542" w:type="pct"/>
            <w:vAlign w:val="center"/>
          </w:tcPr>
          <w:p w14:paraId="3AB950DF">
            <w:pPr>
              <w:pStyle w:val="12"/>
              <w:jc w:val="center"/>
            </w:pPr>
            <w:r>
              <w:rPr>
                <w:rFonts w:hint="eastAsia"/>
              </w:rPr>
              <w:t>30</w:t>
            </w:r>
          </w:p>
        </w:tc>
        <w:tc>
          <w:tcPr>
            <w:tcW w:w="834" w:type="pct"/>
            <w:vAlign w:val="center"/>
          </w:tcPr>
          <w:p w14:paraId="7A775A82">
            <w:pPr>
              <w:pStyle w:val="12"/>
              <w:jc w:val="center"/>
            </w:pPr>
            <w:r>
              <w:rPr>
                <w:rFonts w:hint="eastAsia"/>
              </w:rPr>
              <w:t>3</w:t>
            </w:r>
          </w:p>
        </w:tc>
        <w:tc>
          <w:tcPr>
            <w:tcW w:w="834" w:type="pct"/>
            <w:vAlign w:val="center"/>
          </w:tcPr>
          <w:p w14:paraId="1275EA64">
            <w:pPr>
              <w:pStyle w:val="12"/>
              <w:jc w:val="center"/>
            </w:pPr>
            <w:r>
              <w:rPr>
                <w:rFonts w:hint="eastAsia"/>
              </w:rPr>
              <w:t>10</w:t>
            </w:r>
          </w:p>
        </w:tc>
        <w:tc>
          <w:tcPr>
            <w:tcW w:w="836" w:type="pct"/>
            <w:vAlign w:val="center"/>
          </w:tcPr>
          <w:p w14:paraId="70858D1B">
            <w:pPr>
              <w:pStyle w:val="12"/>
              <w:jc w:val="center"/>
            </w:pPr>
            <w:r>
              <w:rPr>
                <w:rFonts w:hint="eastAsia"/>
              </w:rPr>
              <w:t>17</w:t>
            </w:r>
          </w:p>
        </w:tc>
        <w:tc>
          <w:tcPr>
            <w:tcW w:w="832" w:type="pct"/>
            <w:vAlign w:val="center"/>
          </w:tcPr>
          <w:p w14:paraId="4F804FB9">
            <w:pPr>
              <w:pStyle w:val="12"/>
              <w:jc w:val="center"/>
            </w:pPr>
            <w:r>
              <w:rPr>
                <w:rFonts w:hint="eastAsia"/>
              </w:rPr>
              <w:t>林业局</w:t>
            </w:r>
          </w:p>
        </w:tc>
      </w:tr>
      <w:tr w14:paraId="7BE5BF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1" w:type="pct"/>
            <w:vAlign w:val="center"/>
          </w:tcPr>
          <w:p w14:paraId="077D4F2B">
            <w:pPr>
              <w:pStyle w:val="12"/>
              <w:jc w:val="center"/>
            </w:pPr>
            <w:r>
              <w:rPr>
                <w:rFonts w:hint="eastAsia"/>
              </w:rPr>
              <w:t>气象学会</w:t>
            </w:r>
          </w:p>
        </w:tc>
        <w:tc>
          <w:tcPr>
            <w:tcW w:w="542" w:type="pct"/>
            <w:vAlign w:val="center"/>
          </w:tcPr>
          <w:p w14:paraId="05656F88">
            <w:pPr>
              <w:pStyle w:val="12"/>
              <w:jc w:val="center"/>
            </w:pPr>
            <w:r>
              <w:rPr>
                <w:rFonts w:hint="eastAsia"/>
              </w:rPr>
              <w:t>14</w:t>
            </w:r>
          </w:p>
        </w:tc>
        <w:tc>
          <w:tcPr>
            <w:tcW w:w="834" w:type="pct"/>
            <w:vAlign w:val="center"/>
          </w:tcPr>
          <w:p w14:paraId="0A0118F7">
            <w:pPr>
              <w:pStyle w:val="12"/>
              <w:jc w:val="center"/>
            </w:pPr>
            <w:r>
              <w:rPr>
                <w:rFonts w:hint="eastAsia"/>
              </w:rPr>
              <w:t>—</w:t>
            </w:r>
          </w:p>
        </w:tc>
        <w:tc>
          <w:tcPr>
            <w:tcW w:w="834" w:type="pct"/>
            <w:vAlign w:val="center"/>
          </w:tcPr>
          <w:p w14:paraId="67413032">
            <w:pPr>
              <w:pStyle w:val="12"/>
              <w:jc w:val="center"/>
            </w:pPr>
            <w:r>
              <w:rPr>
                <w:rFonts w:hint="eastAsia"/>
              </w:rPr>
              <w:t>2</w:t>
            </w:r>
          </w:p>
        </w:tc>
        <w:tc>
          <w:tcPr>
            <w:tcW w:w="836" w:type="pct"/>
            <w:vAlign w:val="center"/>
          </w:tcPr>
          <w:p w14:paraId="37130470">
            <w:pPr>
              <w:pStyle w:val="12"/>
              <w:jc w:val="center"/>
            </w:pPr>
            <w:r>
              <w:rPr>
                <w:rFonts w:hint="eastAsia"/>
              </w:rPr>
              <w:t>12</w:t>
            </w:r>
          </w:p>
        </w:tc>
        <w:tc>
          <w:tcPr>
            <w:tcW w:w="832" w:type="pct"/>
            <w:vAlign w:val="center"/>
          </w:tcPr>
          <w:p w14:paraId="570FB44F">
            <w:pPr>
              <w:pStyle w:val="12"/>
              <w:jc w:val="center"/>
            </w:pPr>
            <w:r>
              <w:rPr>
                <w:rFonts w:hint="eastAsia"/>
              </w:rPr>
              <w:t>气象局</w:t>
            </w:r>
          </w:p>
        </w:tc>
      </w:tr>
      <w:tr w14:paraId="175493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1" w:type="pct"/>
            <w:vAlign w:val="center"/>
          </w:tcPr>
          <w:p w14:paraId="71134FA8">
            <w:pPr>
              <w:pStyle w:val="12"/>
              <w:jc w:val="center"/>
            </w:pPr>
            <w:r>
              <w:rPr>
                <w:rFonts w:hint="eastAsia"/>
              </w:rPr>
              <w:t>环保学会</w:t>
            </w:r>
          </w:p>
        </w:tc>
        <w:tc>
          <w:tcPr>
            <w:tcW w:w="542" w:type="pct"/>
            <w:vAlign w:val="center"/>
          </w:tcPr>
          <w:p w14:paraId="553B7EC0">
            <w:pPr>
              <w:pStyle w:val="12"/>
              <w:jc w:val="center"/>
            </w:pPr>
            <w:r>
              <w:rPr>
                <w:rFonts w:hint="eastAsia"/>
              </w:rPr>
              <w:t>17</w:t>
            </w:r>
          </w:p>
        </w:tc>
        <w:tc>
          <w:tcPr>
            <w:tcW w:w="834" w:type="pct"/>
            <w:vAlign w:val="center"/>
          </w:tcPr>
          <w:p w14:paraId="03B67026">
            <w:pPr>
              <w:pStyle w:val="12"/>
              <w:jc w:val="center"/>
            </w:pPr>
            <w:r>
              <w:rPr>
                <w:rFonts w:hint="eastAsia"/>
              </w:rPr>
              <w:t>—</w:t>
            </w:r>
          </w:p>
        </w:tc>
        <w:tc>
          <w:tcPr>
            <w:tcW w:w="834" w:type="pct"/>
            <w:vAlign w:val="center"/>
          </w:tcPr>
          <w:p w14:paraId="35BBC027">
            <w:pPr>
              <w:pStyle w:val="12"/>
              <w:jc w:val="center"/>
            </w:pPr>
            <w:r>
              <w:rPr>
                <w:rFonts w:hint="eastAsia"/>
              </w:rPr>
              <w:t>4</w:t>
            </w:r>
          </w:p>
        </w:tc>
        <w:tc>
          <w:tcPr>
            <w:tcW w:w="836" w:type="pct"/>
            <w:vAlign w:val="center"/>
          </w:tcPr>
          <w:p w14:paraId="1540CC4F">
            <w:pPr>
              <w:pStyle w:val="12"/>
              <w:jc w:val="center"/>
            </w:pPr>
            <w:r>
              <w:rPr>
                <w:rFonts w:hint="eastAsia"/>
              </w:rPr>
              <w:t>13</w:t>
            </w:r>
          </w:p>
        </w:tc>
        <w:tc>
          <w:tcPr>
            <w:tcW w:w="832" w:type="pct"/>
            <w:vAlign w:val="center"/>
          </w:tcPr>
          <w:p w14:paraId="6819EC24">
            <w:pPr>
              <w:pStyle w:val="12"/>
              <w:jc w:val="center"/>
            </w:pPr>
            <w:r>
              <w:rPr>
                <w:rFonts w:hint="eastAsia"/>
              </w:rPr>
              <w:t>环保局</w:t>
            </w:r>
          </w:p>
        </w:tc>
      </w:tr>
      <w:tr w14:paraId="6DD7C2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1" w:type="pct"/>
            <w:vAlign w:val="center"/>
          </w:tcPr>
          <w:p w14:paraId="5F2A9DA2">
            <w:pPr>
              <w:pStyle w:val="12"/>
              <w:jc w:val="center"/>
            </w:pPr>
            <w:r>
              <w:rPr>
                <w:rFonts w:hint="eastAsia"/>
              </w:rPr>
              <w:t>畜牧兽医学会</w:t>
            </w:r>
          </w:p>
        </w:tc>
        <w:tc>
          <w:tcPr>
            <w:tcW w:w="542" w:type="pct"/>
            <w:vAlign w:val="center"/>
          </w:tcPr>
          <w:p w14:paraId="15E847D7">
            <w:pPr>
              <w:pStyle w:val="12"/>
              <w:jc w:val="center"/>
            </w:pPr>
            <w:r>
              <w:rPr>
                <w:rFonts w:hint="eastAsia"/>
              </w:rPr>
              <w:t>24</w:t>
            </w:r>
          </w:p>
        </w:tc>
        <w:tc>
          <w:tcPr>
            <w:tcW w:w="834" w:type="pct"/>
            <w:vAlign w:val="center"/>
          </w:tcPr>
          <w:p w14:paraId="0336045E">
            <w:pPr>
              <w:pStyle w:val="12"/>
              <w:jc w:val="center"/>
            </w:pPr>
            <w:r>
              <w:rPr>
                <w:rFonts w:hint="eastAsia"/>
              </w:rPr>
              <w:t>3</w:t>
            </w:r>
          </w:p>
        </w:tc>
        <w:tc>
          <w:tcPr>
            <w:tcW w:w="834" w:type="pct"/>
            <w:vAlign w:val="center"/>
          </w:tcPr>
          <w:p w14:paraId="705B647A">
            <w:pPr>
              <w:pStyle w:val="12"/>
              <w:jc w:val="center"/>
            </w:pPr>
            <w:r>
              <w:rPr>
                <w:rFonts w:hint="eastAsia"/>
              </w:rPr>
              <w:t>3</w:t>
            </w:r>
          </w:p>
        </w:tc>
        <w:tc>
          <w:tcPr>
            <w:tcW w:w="836" w:type="pct"/>
            <w:vAlign w:val="center"/>
          </w:tcPr>
          <w:p w14:paraId="3D507AF5">
            <w:pPr>
              <w:pStyle w:val="12"/>
              <w:jc w:val="center"/>
            </w:pPr>
            <w:r>
              <w:rPr>
                <w:rFonts w:hint="eastAsia"/>
              </w:rPr>
              <w:t>18</w:t>
            </w:r>
          </w:p>
        </w:tc>
        <w:tc>
          <w:tcPr>
            <w:tcW w:w="832" w:type="pct"/>
            <w:vAlign w:val="center"/>
          </w:tcPr>
          <w:p w14:paraId="6C47FAB6">
            <w:pPr>
              <w:pStyle w:val="12"/>
              <w:jc w:val="center"/>
            </w:pPr>
            <w:r>
              <w:rPr>
                <w:rFonts w:hint="eastAsia"/>
              </w:rPr>
              <w:t>畜牧水产中心</w:t>
            </w:r>
          </w:p>
        </w:tc>
      </w:tr>
      <w:tr w14:paraId="42E4D2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1" w:type="pct"/>
            <w:vAlign w:val="center"/>
          </w:tcPr>
          <w:p w14:paraId="3F591224">
            <w:pPr>
              <w:pStyle w:val="12"/>
              <w:jc w:val="center"/>
            </w:pPr>
            <w:r>
              <w:rPr>
                <w:rFonts w:hint="eastAsia"/>
              </w:rPr>
              <w:t>建筑学会</w:t>
            </w:r>
          </w:p>
        </w:tc>
        <w:tc>
          <w:tcPr>
            <w:tcW w:w="542" w:type="pct"/>
            <w:vAlign w:val="center"/>
          </w:tcPr>
          <w:p w14:paraId="2FF25BE1">
            <w:pPr>
              <w:pStyle w:val="12"/>
              <w:jc w:val="center"/>
            </w:pPr>
            <w:r>
              <w:rPr>
                <w:rFonts w:hint="eastAsia"/>
              </w:rPr>
              <w:t>86</w:t>
            </w:r>
          </w:p>
        </w:tc>
        <w:tc>
          <w:tcPr>
            <w:tcW w:w="834" w:type="pct"/>
            <w:vAlign w:val="center"/>
          </w:tcPr>
          <w:p w14:paraId="2D364D10">
            <w:pPr>
              <w:pStyle w:val="12"/>
              <w:jc w:val="center"/>
            </w:pPr>
            <w:r>
              <w:rPr>
                <w:rFonts w:hint="eastAsia"/>
              </w:rPr>
              <w:t>3</w:t>
            </w:r>
          </w:p>
        </w:tc>
        <w:tc>
          <w:tcPr>
            <w:tcW w:w="834" w:type="pct"/>
            <w:vAlign w:val="center"/>
          </w:tcPr>
          <w:p w14:paraId="2B3C8573">
            <w:pPr>
              <w:pStyle w:val="12"/>
              <w:jc w:val="center"/>
            </w:pPr>
            <w:r>
              <w:rPr>
                <w:rFonts w:hint="eastAsia"/>
              </w:rPr>
              <w:t>12</w:t>
            </w:r>
          </w:p>
        </w:tc>
        <w:tc>
          <w:tcPr>
            <w:tcW w:w="836" w:type="pct"/>
            <w:vAlign w:val="center"/>
          </w:tcPr>
          <w:p w14:paraId="5FF9DFDD">
            <w:pPr>
              <w:pStyle w:val="12"/>
              <w:jc w:val="center"/>
            </w:pPr>
            <w:r>
              <w:rPr>
                <w:rFonts w:hint="eastAsia"/>
              </w:rPr>
              <w:t>71</w:t>
            </w:r>
          </w:p>
        </w:tc>
        <w:tc>
          <w:tcPr>
            <w:tcW w:w="832" w:type="pct"/>
            <w:vAlign w:val="center"/>
          </w:tcPr>
          <w:p w14:paraId="488CDD55">
            <w:pPr>
              <w:pStyle w:val="12"/>
              <w:jc w:val="center"/>
            </w:pPr>
            <w:r>
              <w:rPr>
                <w:rFonts w:hint="eastAsia"/>
              </w:rPr>
              <w:t>建设局</w:t>
            </w:r>
          </w:p>
        </w:tc>
      </w:tr>
      <w:tr w14:paraId="76A0AA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1" w:type="pct"/>
            <w:vAlign w:val="center"/>
          </w:tcPr>
          <w:p w14:paraId="563AC3CC">
            <w:pPr>
              <w:pStyle w:val="12"/>
              <w:jc w:val="center"/>
            </w:pPr>
            <w:r>
              <w:rPr>
                <w:rFonts w:hint="eastAsia"/>
              </w:rPr>
              <w:t>会计学会</w:t>
            </w:r>
          </w:p>
        </w:tc>
        <w:tc>
          <w:tcPr>
            <w:tcW w:w="542" w:type="pct"/>
            <w:vAlign w:val="center"/>
          </w:tcPr>
          <w:p w14:paraId="05E24ACB">
            <w:pPr>
              <w:pStyle w:val="12"/>
              <w:jc w:val="center"/>
            </w:pPr>
            <w:r>
              <w:rPr>
                <w:rFonts w:hint="eastAsia"/>
              </w:rPr>
              <w:t>763</w:t>
            </w:r>
          </w:p>
        </w:tc>
        <w:tc>
          <w:tcPr>
            <w:tcW w:w="834" w:type="pct"/>
            <w:vAlign w:val="center"/>
          </w:tcPr>
          <w:p w14:paraId="17763E0B">
            <w:pPr>
              <w:pStyle w:val="12"/>
              <w:jc w:val="center"/>
            </w:pPr>
            <w:r>
              <w:rPr>
                <w:rFonts w:hint="eastAsia"/>
              </w:rPr>
              <w:t>14</w:t>
            </w:r>
          </w:p>
        </w:tc>
        <w:tc>
          <w:tcPr>
            <w:tcW w:w="834" w:type="pct"/>
            <w:vAlign w:val="center"/>
          </w:tcPr>
          <w:p w14:paraId="4611DE34">
            <w:pPr>
              <w:pStyle w:val="12"/>
              <w:jc w:val="center"/>
            </w:pPr>
            <w:r>
              <w:rPr>
                <w:rFonts w:hint="eastAsia"/>
              </w:rPr>
              <w:t>61</w:t>
            </w:r>
          </w:p>
        </w:tc>
        <w:tc>
          <w:tcPr>
            <w:tcW w:w="836" w:type="pct"/>
            <w:vAlign w:val="center"/>
          </w:tcPr>
          <w:p w14:paraId="39C14ACB">
            <w:pPr>
              <w:pStyle w:val="12"/>
              <w:jc w:val="center"/>
            </w:pPr>
            <w:r>
              <w:rPr>
                <w:rFonts w:hint="eastAsia"/>
              </w:rPr>
              <w:t>555</w:t>
            </w:r>
          </w:p>
        </w:tc>
        <w:tc>
          <w:tcPr>
            <w:tcW w:w="832" w:type="pct"/>
            <w:vAlign w:val="center"/>
          </w:tcPr>
          <w:p w14:paraId="7D770BD3">
            <w:pPr>
              <w:pStyle w:val="12"/>
              <w:jc w:val="center"/>
            </w:pPr>
            <w:r>
              <w:rPr>
                <w:rFonts w:hint="eastAsia"/>
              </w:rPr>
              <w:t>财政局</w:t>
            </w:r>
          </w:p>
        </w:tc>
      </w:tr>
      <w:tr w14:paraId="0A20FF9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1" w:type="pct"/>
            <w:vAlign w:val="center"/>
          </w:tcPr>
          <w:p w14:paraId="2562B1BE">
            <w:pPr>
              <w:pStyle w:val="12"/>
              <w:jc w:val="center"/>
            </w:pPr>
            <w:r>
              <w:rPr>
                <w:rFonts w:hint="eastAsia"/>
              </w:rPr>
              <w:t>青少年科普协会</w:t>
            </w:r>
          </w:p>
        </w:tc>
        <w:tc>
          <w:tcPr>
            <w:tcW w:w="542" w:type="pct"/>
            <w:vAlign w:val="center"/>
          </w:tcPr>
          <w:p w14:paraId="04B12282">
            <w:pPr>
              <w:pStyle w:val="12"/>
              <w:jc w:val="center"/>
            </w:pPr>
            <w:r>
              <w:rPr>
                <w:rFonts w:hint="eastAsia"/>
              </w:rPr>
              <w:t>45</w:t>
            </w:r>
          </w:p>
        </w:tc>
        <w:tc>
          <w:tcPr>
            <w:tcW w:w="834" w:type="pct"/>
            <w:vAlign w:val="center"/>
          </w:tcPr>
          <w:p w14:paraId="142EEF00">
            <w:pPr>
              <w:pStyle w:val="12"/>
              <w:jc w:val="center"/>
            </w:pPr>
            <w:r>
              <w:rPr>
                <w:rFonts w:hint="eastAsia"/>
              </w:rPr>
              <w:t>13</w:t>
            </w:r>
          </w:p>
        </w:tc>
        <w:tc>
          <w:tcPr>
            <w:tcW w:w="834" w:type="pct"/>
            <w:vAlign w:val="center"/>
          </w:tcPr>
          <w:p w14:paraId="3AF9BD3B">
            <w:pPr>
              <w:pStyle w:val="12"/>
              <w:jc w:val="center"/>
            </w:pPr>
            <w:r>
              <w:rPr>
                <w:rFonts w:hint="eastAsia"/>
              </w:rPr>
              <w:t>27</w:t>
            </w:r>
          </w:p>
        </w:tc>
        <w:tc>
          <w:tcPr>
            <w:tcW w:w="836" w:type="pct"/>
            <w:vAlign w:val="center"/>
          </w:tcPr>
          <w:p w14:paraId="7620BFDE">
            <w:pPr>
              <w:pStyle w:val="12"/>
              <w:jc w:val="center"/>
            </w:pPr>
            <w:r>
              <w:rPr>
                <w:rFonts w:hint="eastAsia"/>
              </w:rPr>
              <w:t>5</w:t>
            </w:r>
          </w:p>
        </w:tc>
        <w:tc>
          <w:tcPr>
            <w:tcW w:w="832" w:type="pct"/>
            <w:vAlign w:val="center"/>
          </w:tcPr>
          <w:p w14:paraId="2E39C592">
            <w:pPr>
              <w:pStyle w:val="12"/>
              <w:jc w:val="center"/>
            </w:pPr>
            <w:r>
              <w:rPr>
                <w:rFonts w:hint="eastAsia"/>
              </w:rPr>
              <w:t>教育局</w:t>
            </w:r>
          </w:p>
        </w:tc>
      </w:tr>
      <w:tr w14:paraId="3BE565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1" w:type="pct"/>
            <w:vAlign w:val="center"/>
          </w:tcPr>
          <w:p w14:paraId="35BCEB21">
            <w:pPr>
              <w:pStyle w:val="12"/>
              <w:jc w:val="center"/>
            </w:pPr>
            <w:r>
              <w:rPr>
                <w:rFonts w:hint="eastAsia"/>
              </w:rPr>
              <w:t>黄烟科学技术研究会</w:t>
            </w:r>
          </w:p>
        </w:tc>
        <w:tc>
          <w:tcPr>
            <w:tcW w:w="542" w:type="pct"/>
            <w:vAlign w:val="center"/>
          </w:tcPr>
          <w:p w14:paraId="042FF29D">
            <w:pPr>
              <w:pStyle w:val="12"/>
              <w:jc w:val="center"/>
            </w:pPr>
            <w:r>
              <w:rPr>
                <w:rFonts w:hint="eastAsia"/>
              </w:rPr>
              <w:t>268</w:t>
            </w:r>
          </w:p>
        </w:tc>
        <w:tc>
          <w:tcPr>
            <w:tcW w:w="834" w:type="pct"/>
            <w:vAlign w:val="center"/>
          </w:tcPr>
          <w:p w14:paraId="744BE7EF">
            <w:pPr>
              <w:pStyle w:val="12"/>
              <w:jc w:val="center"/>
            </w:pPr>
            <w:r>
              <w:rPr>
                <w:rFonts w:hint="eastAsia"/>
              </w:rPr>
              <w:t>5</w:t>
            </w:r>
          </w:p>
        </w:tc>
        <w:tc>
          <w:tcPr>
            <w:tcW w:w="834" w:type="pct"/>
            <w:vAlign w:val="center"/>
          </w:tcPr>
          <w:p w14:paraId="2570712D">
            <w:pPr>
              <w:pStyle w:val="12"/>
              <w:jc w:val="center"/>
            </w:pPr>
            <w:r>
              <w:rPr>
                <w:rFonts w:hint="eastAsia"/>
              </w:rPr>
              <w:t>45</w:t>
            </w:r>
          </w:p>
        </w:tc>
        <w:tc>
          <w:tcPr>
            <w:tcW w:w="836" w:type="pct"/>
            <w:vAlign w:val="center"/>
          </w:tcPr>
          <w:p w14:paraId="653CCC5D">
            <w:pPr>
              <w:pStyle w:val="12"/>
              <w:jc w:val="center"/>
            </w:pPr>
            <w:r>
              <w:rPr>
                <w:rFonts w:hint="eastAsia"/>
              </w:rPr>
              <w:t>188</w:t>
            </w:r>
          </w:p>
        </w:tc>
        <w:tc>
          <w:tcPr>
            <w:tcW w:w="832" w:type="pct"/>
            <w:vAlign w:val="center"/>
          </w:tcPr>
          <w:p w14:paraId="5A8CD62E">
            <w:pPr>
              <w:pStyle w:val="12"/>
              <w:jc w:val="center"/>
            </w:pPr>
            <w:r>
              <w:rPr>
                <w:rFonts w:hint="eastAsia"/>
              </w:rPr>
              <w:t>烟草公司</w:t>
            </w:r>
          </w:p>
        </w:tc>
      </w:tr>
      <w:tr w14:paraId="67345D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1" w:type="pct"/>
            <w:vAlign w:val="center"/>
          </w:tcPr>
          <w:p w14:paraId="1EB362AE">
            <w:pPr>
              <w:pStyle w:val="12"/>
              <w:jc w:val="center"/>
            </w:pPr>
            <w:r>
              <w:rPr>
                <w:rFonts w:hint="eastAsia"/>
              </w:rPr>
              <w:t>兰花、盆景协会</w:t>
            </w:r>
          </w:p>
        </w:tc>
        <w:tc>
          <w:tcPr>
            <w:tcW w:w="542" w:type="pct"/>
            <w:vAlign w:val="center"/>
          </w:tcPr>
          <w:p w14:paraId="0BB8C2FC">
            <w:pPr>
              <w:pStyle w:val="12"/>
              <w:jc w:val="center"/>
            </w:pPr>
            <w:r>
              <w:rPr>
                <w:rFonts w:hint="eastAsia"/>
              </w:rPr>
              <w:t>103</w:t>
            </w:r>
          </w:p>
        </w:tc>
        <w:tc>
          <w:tcPr>
            <w:tcW w:w="834" w:type="pct"/>
            <w:vAlign w:val="center"/>
          </w:tcPr>
          <w:p w14:paraId="03181A0C">
            <w:pPr>
              <w:pStyle w:val="12"/>
              <w:jc w:val="center"/>
            </w:pPr>
            <w:r>
              <w:rPr>
                <w:rFonts w:hint="eastAsia"/>
              </w:rPr>
              <w:t>—</w:t>
            </w:r>
          </w:p>
        </w:tc>
        <w:tc>
          <w:tcPr>
            <w:tcW w:w="834" w:type="pct"/>
            <w:vAlign w:val="center"/>
          </w:tcPr>
          <w:p w14:paraId="238EF6BD">
            <w:pPr>
              <w:pStyle w:val="12"/>
              <w:jc w:val="center"/>
            </w:pPr>
            <w:r>
              <w:rPr>
                <w:rFonts w:hint="eastAsia"/>
              </w:rPr>
              <w:t>27</w:t>
            </w:r>
          </w:p>
        </w:tc>
        <w:tc>
          <w:tcPr>
            <w:tcW w:w="836" w:type="pct"/>
            <w:vAlign w:val="center"/>
          </w:tcPr>
          <w:p w14:paraId="6119A3F4">
            <w:pPr>
              <w:pStyle w:val="12"/>
              <w:jc w:val="center"/>
            </w:pPr>
            <w:r>
              <w:rPr>
                <w:rFonts w:hint="eastAsia"/>
              </w:rPr>
              <w:t>39</w:t>
            </w:r>
          </w:p>
        </w:tc>
        <w:tc>
          <w:tcPr>
            <w:tcW w:w="832" w:type="pct"/>
            <w:vAlign w:val="center"/>
          </w:tcPr>
          <w:p w14:paraId="0545D480">
            <w:pPr>
              <w:pStyle w:val="12"/>
              <w:jc w:val="center"/>
            </w:pPr>
            <w:r>
              <w:rPr>
                <w:rFonts w:hint="eastAsia"/>
              </w:rPr>
              <w:t>园林所</w:t>
            </w:r>
          </w:p>
        </w:tc>
      </w:tr>
      <w:tr w14:paraId="76BD35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1" w:type="pct"/>
            <w:vAlign w:val="center"/>
          </w:tcPr>
          <w:p w14:paraId="6DF6DAC2">
            <w:pPr>
              <w:pStyle w:val="12"/>
              <w:jc w:val="center"/>
            </w:pPr>
            <w:r>
              <w:rPr>
                <w:rFonts w:hint="eastAsia"/>
              </w:rPr>
              <w:t>邓坊镇科协</w:t>
            </w:r>
          </w:p>
        </w:tc>
        <w:tc>
          <w:tcPr>
            <w:tcW w:w="542" w:type="pct"/>
            <w:vAlign w:val="center"/>
          </w:tcPr>
          <w:p w14:paraId="1BE34BA4">
            <w:pPr>
              <w:pStyle w:val="12"/>
              <w:jc w:val="center"/>
            </w:pPr>
            <w:r>
              <w:rPr>
                <w:rFonts w:hint="eastAsia"/>
              </w:rPr>
              <w:t>138</w:t>
            </w:r>
          </w:p>
        </w:tc>
        <w:tc>
          <w:tcPr>
            <w:tcW w:w="834" w:type="pct"/>
            <w:vAlign w:val="center"/>
          </w:tcPr>
          <w:p w14:paraId="470DA205">
            <w:pPr>
              <w:pStyle w:val="12"/>
              <w:jc w:val="center"/>
            </w:pPr>
            <w:r>
              <w:rPr>
                <w:rFonts w:hint="eastAsia"/>
              </w:rPr>
              <w:t>—</w:t>
            </w:r>
          </w:p>
        </w:tc>
        <w:tc>
          <w:tcPr>
            <w:tcW w:w="834" w:type="pct"/>
            <w:vAlign w:val="center"/>
          </w:tcPr>
          <w:p w14:paraId="0C33BB97">
            <w:pPr>
              <w:pStyle w:val="12"/>
              <w:jc w:val="center"/>
            </w:pPr>
            <w:r>
              <w:rPr>
                <w:rFonts w:hint="eastAsia"/>
              </w:rPr>
              <w:t>2</w:t>
            </w:r>
          </w:p>
        </w:tc>
        <w:tc>
          <w:tcPr>
            <w:tcW w:w="836" w:type="pct"/>
            <w:vAlign w:val="center"/>
          </w:tcPr>
          <w:p w14:paraId="3030C9D0">
            <w:pPr>
              <w:pStyle w:val="12"/>
              <w:jc w:val="center"/>
            </w:pPr>
            <w:r>
              <w:rPr>
                <w:rFonts w:hint="eastAsia"/>
              </w:rPr>
              <w:t>7</w:t>
            </w:r>
          </w:p>
        </w:tc>
        <w:tc>
          <w:tcPr>
            <w:tcW w:w="832" w:type="pct"/>
            <w:vAlign w:val="center"/>
          </w:tcPr>
          <w:p w14:paraId="721995AA">
            <w:pPr>
              <w:pStyle w:val="12"/>
              <w:jc w:val="center"/>
            </w:pPr>
            <w:r>
              <w:rPr>
                <w:rFonts w:hint="eastAsia"/>
              </w:rPr>
              <w:t>镇政府</w:t>
            </w:r>
          </w:p>
        </w:tc>
      </w:tr>
      <w:tr w14:paraId="2B1F84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1" w:type="pct"/>
            <w:vAlign w:val="center"/>
          </w:tcPr>
          <w:p w14:paraId="69C1B73A">
            <w:pPr>
              <w:pStyle w:val="12"/>
              <w:jc w:val="center"/>
            </w:pPr>
            <w:r>
              <w:rPr>
                <w:rFonts w:hint="eastAsia"/>
              </w:rPr>
              <w:t>苍石镇科协</w:t>
            </w:r>
          </w:p>
        </w:tc>
        <w:tc>
          <w:tcPr>
            <w:tcW w:w="542" w:type="pct"/>
            <w:vAlign w:val="center"/>
          </w:tcPr>
          <w:p w14:paraId="09A081BE">
            <w:pPr>
              <w:pStyle w:val="12"/>
              <w:jc w:val="center"/>
            </w:pPr>
            <w:r>
              <w:rPr>
                <w:rFonts w:hint="eastAsia"/>
              </w:rPr>
              <w:t>18</w:t>
            </w:r>
          </w:p>
        </w:tc>
        <w:tc>
          <w:tcPr>
            <w:tcW w:w="834" w:type="pct"/>
            <w:vAlign w:val="center"/>
          </w:tcPr>
          <w:p w14:paraId="204778DD">
            <w:pPr>
              <w:pStyle w:val="12"/>
              <w:jc w:val="center"/>
            </w:pPr>
            <w:r>
              <w:rPr>
                <w:rFonts w:hint="eastAsia"/>
              </w:rPr>
              <w:t>—</w:t>
            </w:r>
          </w:p>
        </w:tc>
        <w:tc>
          <w:tcPr>
            <w:tcW w:w="834" w:type="pct"/>
            <w:vAlign w:val="center"/>
          </w:tcPr>
          <w:p w14:paraId="106893E6">
            <w:pPr>
              <w:pStyle w:val="12"/>
              <w:jc w:val="center"/>
            </w:pPr>
            <w:r>
              <w:rPr>
                <w:rFonts w:hint="eastAsia"/>
              </w:rPr>
              <w:t>4</w:t>
            </w:r>
          </w:p>
        </w:tc>
        <w:tc>
          <w:tcPr>
            <w:tcW w:w="836" w:type="pct"/>
            <w:vAlign w:val="center"/>
          </w:tcPr>
          <w:p w14:paraId="64740BB6">
            <w:pPr>
              <w:pStyle w:val="12"/>
              <w:jc w:val="center"/>
            </w:pPr>
            <w:r>
              <w:rPr>
                <w:rFonts w:hint="eastAsia"/>
              </w:rPr>
              <w:t>2</w:t>
            </w:r>
          </w:p>
        </w:tc>
        <w:tc>
          <w:tcPr>
            <w:tcW w:w="832" w:type="pct"/>
            <w:vAlign w:val="center"/>
          </w:tcPr>
          <w:p w14:paraId="757E8B07">
            <w:pPr>
              <w:pStyle w:val="12"/>
              <w:jc w:val="center"/>
            </w:pPr>
            <w:r>
              <w:rPr>
                <w:rFonts w:hint="eastAsia"/>
              </w:rPr>
              <w:t>镇政府</w:t>
            </w:r>
          </w:p>
        </w:tc>
      </w:tr>
      <w:tr w14:paraId="0A49F0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1" w:type="pct"/>
            <w:vAlign w:val="center"/>
          </w:tcPr>
          <w:p w14:paraId="3D48BC06">
            <w:pPr>
              <w:pStyle w:val="12"/>
              <w:jc w:val="center"/>
            </w:pPr>
            <w:r>
              <w:rPr>
                <w:rFonts w:hint="eastAsia"/>
              </w:rPr>
              <w:t>百顺镇科协</w:t>
            </w:r>
          </w:p>
        </w:tc>
        <w:tc>
          <w:tcPr>
            <w:tcW w:w="542" w:type="pct"/>
            <w:vAlign w:val="center"/>
          </w:tcPr>
          <w:p w14:paraId="018287F3">
            <w:pPr>
              <w:pStyle w:val="12"/>
              <w:jc w:val="center"/>
            </w:pPr>
            <w:r>
              <w:rPr>
                <w:rFonts w:hint="eastAsia"/>
              </w:rPr>
              <w:t>38</w:t>
            </w:r>
          </w:p>
        </w:tc>
        <w:tc>
          <w:tcPr>
            <w:tcW w:w="834" w:type="pct"/>
            <w:vAlign w:val="center"/>
          </w:tcPr>
          <w:p w14:paraId="3F78E753">
            <w:pPr>
              <w:pStyle w:val="12"/>
              <w:jc w:val="center"/>
            </w:pPr>
            <w:r>
              <w:rPr>
                <w:rFonts w:hint="eastAsia"/>
              </w:rPr>
              <w:t>—</w:t>
            </w:r>
          </w:p>
        </w:tc>
        <w:tc>
          <w:tcPr>
            <w:tcW w:w="834" w:type="pct"/>
            <w:vAlign w:val="center"/>
          </w:tcPr>
          <w:p w14:paraId="6E3D5C14">
            <w:pPr>
              <w:pStyle w:val="12"/>
              <w:jc w:val="center"/>
            </w:pPr>
            <w:r>
              <w:rPr>
                <w:rFonts w:hint="eastAsia"/>
              </w:rPr>
              <w:t>1</w:t>
            </w:r>
          </w:p>
        </w:tc>
        <w:tc>
          <w:tcPr>
            <w:tcW w:w="836" w:type="pct"/>
            <w:vAlign w:val="center"/>
          </w:tcPr>
          <w:p w14:paraId="472017CF">
            <w:pPr>
              <w:pStyle w:val="12"/>
              <w:jc w:val="center"/>
            </w:pPr>
            <w:r>
              <w:rPr>
                <w:rFonts w:hint="eastAsia"/>
              </w:rPr>
              <w:t>19</w:t>
            </w:r>
          </w:p>
        </w:tc>
        <w:tc>
          <w:tcPr>
            <w:tcW w:w="832" w:type="pct"/>
            <w:vAlign w:val="center"/>
          </w:tcPr>
          <w:p w14:paraId="56D1922F">
            <w:pPr>
              <w:pStyle w:val="12"/>
              <w:jc w:val="center"/>
            </w:pPr>
            <w:r>
              <w:rPr>
                <w:rFonts w:hint="eastAsia"/>
              </w:rPr>
              <w:t>镇政府</w:t>
            </w:r>
          </w:p>
        </w:tc>
      </w:tr>
      <w:tr w14:paraId="335298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1" w:type="pct"/>
            <w:vAlign w:val="center"/>
          </w:tcPr>
          <w:p w14:paraId="43709313">
            <w:pPr>
              <w:pStyle w:val="12"/>
              <w:jc w:val="center"/>
            </w:pPr>
            <w:r>
              <w:rPr>
                <w:rFonts w:hint="eastAsia"/>
              </w:rPr>
              <w:t>南亩镇科协</w:t>
            </w:r>
          </w:p>
        </w:tc>
        <w:tc>
          <w:tcPr>
            <w:tcW w:w="542" w:type="pct"/>
            <w:vAlign w:val="center"/>
          </w:tcPr>
          <w:p w14:paraId="157E8C43">
            <w:pPr>
              <w:pStyle w:val="12"/>
              <w:jc w:val="center"/>
            </w:pPr>
            <w:r>
              <w:rPr>
                <w:rFonts w:hint="eastAsia"/>
              </w:rPr>
              <w:t>28</w:t>
            </w:r>
          </w:p>
        </w:tc>
        <w:tc>
          <w:tcPr>
            <w:tcW w:w="834" w:type="pct"/>
            <w:vAlign w:val="center"/>
          </w:tcPr>
          <w:p w14:paraId="4242BD0F">
            <w:pPr>
              <w:pStyle w:val="12"/>
              <w:jc w:val="center"/>
            </w:pPr>
            <w:r>
              <w:rPr>
                <w:rFonts w:hint="eastAsia"/>
              </w:rPr>
              <w:t>—</w:t>
            </w:r>
          </w:p>
        </w:tc>
        <w:tc>
          <w:tcPr>
            <w:tcW w:w="834" w:type="pct"/>
            <w:vAlign w:val="center"/>
          </w:tcPr>
          <w:p w14:paraId="5D95B498">
            <w:pPr>
              <w:pStyle w:val="12"/>
              <w:jc w:val="center"/>
            </w:pPr>
            <w:r>
              <w:rPr>
                <w:rFonts w:hint="eastAsia"/>
              </w:rPr>
              <w:t>2</w:t>
            </w:r>
          </w:p>
        </w:tc>
        <w:tc>
          <w:tcPr>
            <w:tcW w:w="836" w:type="pct"/>
            <w:vAlign w:val="center"/>
          </w:tcPr>
          <w:p w14:paraId="19D6203B">
            <w:pPr>
              <w:pStyle w:val="12"/>
              <w:jc w:val="center"/>
            </w:pPr>
            <w:r>
              <w:rPr>
                <w:rFonts w:hint="eastAsia"/>
              </w:rPr>
              <w:t>18</w:t>
            </w:r>
          </w:p>
        </w:tc>
        <w:tc>
          <w:tcPr>
            <w:tcW w:w="832" w:type="pct"/>
            <w:vAlign w:val="center"/>
          </w:tcPr>
          <w:p w14:paraId="21B6012B">
            <w:pPr>
              <w:pStyle w:val="12"/>
              <w:jc w:val="center"/>
            </w:pPr>
            <w:r>
              <w:rPr>
                <w:rFonts w:hint="eastAsia"/>
              </w:rPr>
              <w:t>镇政府</w:t>
            </w:r>
          </w:p>
        </w:tc>
      </w:tr>
      <w:tr w14:paraId="03C601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1" w:type="pct"/>
            <w:vAlign w:val="center"/>
          </w:tcPr>
          <w:p w14:paraId="3E062E7E">
            <w:pPr>
              <w:pStyle w:val="12"/>
              <w:jc w:val="center"/>
            </w:pPr>
            <w:r>
              <w:rPr>
                <w:rFonts w:hint="eastAsia"/>
              </w:rPr>
              <w:t>合计</w:t>
            </w:r>
          </w:p>
        </w:tc>
        <w:tc>
          <w:tcPr>
            <w:tcW w:w="542" w:type="pct"/>
            <w:vAlign w:val="center"/>
          </w:tcPr>
          <w:p w14:paraId="1398DCB3">
            <w:pPr>
              <w:pStyle w:val="12"/>
              <w:jc w:val="center"/>
            </w:pPr>
            <w:r>
              <w:rPr>
                <w:rFonts w:hint="eastAsia"/>
              </w:rPr>
              <w:t>2315</w:t>
            </w:r>
          </w:p>
        </w:tc>
        <w:tc>
          <w:tcPr>
            <w:tcW w:w="834" w:type="pct"/>
            <w:vAlign w:val="center"/>
          </w:tcPr>
          <w:p w14:paraId="3A82B85E">
            <w:pPr>
              <w:pStyle w:val="12"/>
              <w:jc w:val="center"/>
            </w:pPr>
            <w:r>
              <w:rPr>
                <w:rFonts w:hint="eastAsia"/>
              </w:rPr>
              <w:t>64</w:t>
            </w:r>
          </w:p>
        </w:tc>
        <w:tc>
          <w:tcPr>
            <w:tcW w:w="834" w:type="pct"/>
            <w:vAlign w:val="center"/>
          </w:tcPr>
          <w:p w14:paraId="4A14F608">
            <w:pPr>
              <w:pStyle w:val="12"/>
              <w:jc w:val="center"/>
            </w:pPr>
            <w:r>
              <w:rPr>
                <w:rFonts w:hint="eastAsia"/>
              </w:rPr>
              <w:t>390</w:t>
            </w:r>
          </w:p>
        </w:tc>
        <w:tc>
          <w:tcPr>
            <w:tcW w:w="836" w:type="pct"/>
            <w:vAlign w:val="center"/>
          </w:tcPr>
          <w:p w14:paraId="411C5801">
            <w:pPr>
              <w:pStyle w:val="12"/>
              <w:jc w:val="center"/>
            </w:pPr>
            <w:r>
              <w:rPr>
                <w:rFonts w:hint="eastAsia"/>
              </w:rPr>
              <w:t>1428</w:t>
            </w:r>
          </w:p>
        </w:tc>
        <w:tc>
          <w:tcPr>
            <w:tcW w:w="832" w:type="pct"/>
            <w:vAlign w:val="center"/>
          </w:tcPr>
          <w:p w14:paraId="125311C3">
            <w:pPr>
              <w:pStyle w:val="12"/>
              <w:jc w:val="center"/>
            </w:pPr>
            <w:r>
              <w:rPr>
                <w:rFonts w:hint="eastAsia"/>
              </w:rPr>
              <w:t>—</w:t>
            </w:r>
          </w:p>
        </w:tc>
      </w:tr>
    </w:tbl>
    <w:p w14:paraId="03BE47EB">
      <w:pPr>
        <w:ind w:firstLine="420"/>
        <w:rPr>
          <w:rFonts w:ascii="宋体" w:hAnsi="宋体" w:cs="宋体"/>
        </w:rPr>
      </w:pPr>
      <w:r>
        <w:rPr>
          <w:rFonts w:hint="eastAsia" w:ascii="宋体" w:hAnsi="宋体" w:cs="宋体"/>
        </w:rPr>
        <w:t>1988年至2004年，共征集科技论文268篇，评出市（县）级一等奖25篇，二等奖66篇，三等奖73篇，优秀建议奖48篇。2001年6月，协会与南雄电视台联合制作《科教天地》，每周播放2次，每次约15分钟。农业科技普及与推广率达50%。市科协和市委组织部联合举办实用技术培训班912期，共培训17250人次，其中党员4830人，农村基层干部2348人次。颁发绿色证书1550本。又举办2期大型科技图片展览，送科技下乡活动89次。</w:t>
      </w:r>
    </w:p>
    <w:p w14:paraId="397BB020">
      <w:pPr>
        <w:pStyle w:val="5"/>
        <w:rPr>
          <w:rFonts w:ascii="宋体" w:hAnsi="宋体" w:cs="宋体"/>
        </w:rPr>
      </w:pPr>
      <w:r>
        <w:rPr>
          <w:rFonts w:hint="eastAsia" w:ascii="宋体" w:hAnsi="宋体" w:cs="宋体"/>
        </w:rPr>
        <w:t>二、社会科学联合会</w:t>
      </w:r>
    </w:p>
    <w:p w14:paraId="230A17F5">
      <w:pPr>
        <w:ind w:firstLine="420"/>
        <w:rPr>
          <w:rFonts w:ascii="宋体" w:hAnsi="宋体" w:cs="宋体"/>
        </w:rPr>
      </w:pPr>
      <w:r>
        <w:rPr>
          <w:rFonts w:hint="eastAsia" w:ascii="宋体" w:hAnsi="宋体" w:cs="宋体"/>
        </w:rPr>
        <w:t>1986年11月17日，县社会科学联合会（简称社科联）第一次代表大会召开，通过社科联章程，选举产生县社科联第一届委员25人，常务委员15人。县社科联下属学会、研究会23个，会员2499名。</w:t>
      </w:r>
    </w:p>
    <w:p w14:paraId="0A098476">
      <w:pPr>
        <w:ind w:firstLine="420"/>
        <w:rPr>
          <w:rFonts w:ascii="宋体" w:hAnsi="宋体" w:cs="宋体"/>
        </w:rPr>
      </w:pPr>
      <w:r>
        <w:rPr>
          <w:rFonts w:hint="eastAsia" w:ascii="宋体" w:hAnsi="宋体" w:cs="宋体"/>
        </w:rPr>
        <w:t>1987年6月7日至9日，县社科联与省、韶关市社科联共同发起，召开南雄县山区经济研讨会。与会的有北京、广州专家学者64人，以及市、县领导和理论工作者共160多人，共同研讨南雄山区经济发展的路子。会议收到论文14篇。会后出版《南雄特色研究》和《南雄发展之路》。同年9月，创办《南雄社会科学》，后改为《南雄论坛》，不定期刊物。</w:t>
      </w:r>
    </w:p>
    <w:p w14:paraId="5DAE9FE6">
      <w:pPr>
        <w:ind w:firstLine="420"/>
        <w:rPr>
          <w:rFonts w:ascii="宋体" w:hAnsi="宋体" w:cs="宋体"/>
        </w:rPr>
      </w:pPr>
      <w:r>
        <w:rPr>
          <w:rFonts w:hint="eastAsia" w:ascii="宋体" w:hAnsi="宋体" w:cs="宋体"/>
        </w:rPr>
        <w:t>1988年至2004年，组织全市会员撰写科学论文共331篇，其中纪念“三个二十周年”（真理标准讨论二十周年、中共十一届三中全会二十周年、改革开放二十周年）的论文30篇。推荐参加韶关市社科联论文评选获二等奖的有市委常委、宣传部长罗勇新的《发扬创新精神，发展先进文化》，农办黄德群《浅谈南雄农业产业化的方向》，获三等奖的有市政府李卫忠《学习邓小平理论，增创财贸新优势》、工业局董书圣《南雄市工业的现状与发展前景》和市委党校赵春光《党校教育必须抓紧中国先进文化前进方向》。</w:t>
      </w:r>
    </w:p>
    <w:p w14:paraId="06F387F2">
      <w:pPr>
        <w:ind w:firstLine="0" w:firstLineChars="0"/>
        <w:jc w:val="center"/>
        <w:rPr>
          <w:rFonts w:ascii="宋体" w:hAnsi="宋体" w:cs="宋体"/>
          <w:b/>
          <w:bCs/>
        </w:rPr>
      </w:pPr>
      <w:r>
        <w:rPr>
          <w:rFonts w:hint="eastAsia" w:ascii="宋体" w:hAnsi="宋体" w:cs="宋体"/>
          <w:b/>
          <w:bCs/>
        </w:rPr>
        <w:t>南雄市各社会科学学会研究会一览</w:t>
      </w:r>
    </w:p>
    <w:p w14:paraId="77CCCE18">
      <w:pPr>
        <w:ind w:firstLine="0" w:firstLineChars="0"/>
        <w:rPr>
          <w:rFonts w:ascii="宋体" w:hAnsi="宋体" w:cs="宋体"/>
          <w:b/>
          <w:bCs/>
        </w:rPr>
      </w:pPr>
      <w:r>
        <w:rPr>
          <w:rFonts w:hint="eastAsia" w:ascii="宋体" w:hAnsi="宋体" w:cs="宋体"/>
          <w:b/>
          <w:bCs/>
        </w:rPr>
        <w:t>表4-12</w:t>
      </w:r>
    </w:p>
    <w:p w14:paraId="0D0A5AA0">
      <w:pPr>
        <w:ind w:firstLine="0" w:firstLineChars="0"/>
        <w:jc w:val="right"/>
        <w:rPr>
          <w:rFonts w:ascii="宋体" w:hAnsi="宋体" w:cs="宋体"/>
          <w:b/>
          <w:bCs/>
        </w:rPr>
      </w:pPr>
      <w:r>
        <w:rPr>
          <w:rFonts w:hint="eastAsia" w:ascii="宋体" w:hAnsi="宋体" w:cs="宋体"/>
          <w:b/>
          <w:bCs/>
        </w:rPr>
        <w:t>单位：人</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28"/>
        <w:gridCol w:w="2443"/>
        <w:gridCol w:w="1558"/>
        <w:gridCol w:w="1598"/>
        <w:gridCol w:w="1735"/>
      </w:tblGrid>
      <w:tr w14:paraId="67A032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9" w:type="pct"/>
            <w:vAlign w:val="center"/>
          </w:tcPr>
          <w:p w14:paraId="0C977511">
            <w:pPr>
              <w:pStyle w:val="12"/>
              <w:jc w:val="center"/>
              <w:rPr>
                <w:b/>
              </w:rPr>
            </w:pPr>
            <w:r>
              <w:rPr>
                <w:rFonts w:hint="eastAsia"/>
                <w:b/>
              </w:rPr>
              <w:t>名称</w:t>
            </w:r>
          </w:p>
        </w:tc>
        <w:tc>
          <w:tcPr>
            <w:tcW w:w="1226" w:type="pct"/>
            <w:vAlign w:val="center"/>
          </w:tcPr>
          <w:p w14:paraId="7C304822">
            <w:pPr>
              <w:pStyle w:val="12"/>
              <w:jc w:val="center"/>
              <w:rPr>
                <w:b/>
              </w:rPr>
            </w:pPr>
            <w:r>
              <w:rPr>
                <w:rFonts w:hint="eastAsia"/>
                <w:b/>
              </w:rPr>
              <w:t>成立时间</w:t>
            </w:r>
          </w:p>
        </w:tc>
        <w:tc>
          <w:tcPr>
            <w:tcW w:w="782" w:type="pct"/>
            <w:vAlign w:val="center"/>
          </w:tcPr>
          <w:p w14:paraId="4A1B67D1">
            <w:pPr>
              <w:pStyle w:val="12"/>
              <w:jc w:val="center"/>
              <w:rPr>
                <w:b/>
              </w:rPr>
            </w:pPr>
            <w:r>
              <w:rPr>
                <w:rFonts w:hint="eastAsia"/>
                <w:b/>
              </w:rPr>
              <w:t>理事</w:t>
            </w:r>
          </w:p>
        </w:tc>
        <w:tc>
          <w:tcPr>
            <w:tcW w:w="802" w:type="pct"/>
            <w:vAlign w:val="center"/>
          </w:tcPr>
          <w:p w14:paraId="575826AA">
            <w:pPr>
              <w:pStyle w:val="12"/>
              <w:jc w:val="center"/>
              <w:rPr>
                <w:b/>
              </w:rPr>
            </w:pPr>
            <w:r>
              <w:rPr>
                <w:rFonts w:hint="eastAsia"/>
                <w:b/>
              </w:rPr>
              <w:t>会员</w:t>
            </w:r>
          </w:p>
        </w:tc>
        <w:tc>
          <w:tcPr>
            <w:tcW w:w="871" w:type="pct"/>
            <w:vAlign w:val="center"/>
          </w:tcPr>
          <w:p w14:paraId="72476FAA">
            <w:pPr>
              <w:pStyle w:val="12"/>
              <w:jc w:val="center"/>
              <w:rPr>
                <w:b/>
              </w:rPr>
            </w:pPr>
            <w:r>
              <w:rPr>
                <w:rFonts w:hint="eastAsia"/>
                <w:b/>
              </w:rPr>
              <w:t>所在单位</w:t>
            </w:r>
          </w:p>
        </w:tc>
      </w:tr>
      <w:tr w14:paraId="749CCA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9" w:type="pct"/>
            <w:vAlign w:val="center"/>
          </w:tcPr>
          <w:p w14:paraId="374837C5">
            <w:pPr>
              <w:pStyle w:val="12"/>
              <w:jc w:val="center"/>
            </w:pPr>
            <w:r>
              <w:rPr>
                <w:rFonts w:hint="eastAsia"/>
              </w:rPr>
              <w:t>财政会计学会</w:t>
            </w:r>
          </w:p>
        </w:tc>
        <w:tc>
          <w:tcPr>
            <w:tcW w:w="1226" w:type="pct"/>
            <w:vAlign w:val="center"/>
          </w:tcPr>
          <w:p w14:paraId="01E71756">
            <w:pPr>
              <w:pStyle w:val="12"/>
              <w:jc w:val="center"/>
            </w:pPr>
            <w:r>
              <w:rPr>
                <w:rFonts w:hint="eastAsia"/>
              </w:rPr>
              <w:t>1984年10月31日</w:t>
            </w:r>
          </w:p>
        </w:tc>
        <w:tc>
          <w:tcPr>
            <w:tcW w:w="782" w:type="pct"/>
            <w:vAlign w:val="center"/>
          </w:tcPr>
          <w:p w14:paraId="6CA9B54C">
            <w:pPr>
              <w:pStyle w:val="12"/>
              <w:jc w:val="center"/>
            </w:pPr>
            <w:r>
              <w:rPr>
                <w:rFonts w:hint="eastAsia"/>
              </w:rPr>
              <w:t>33</w:t>
            </w:r>
          </w:p>
        </w:tc>
        <w:tc>
          <w:tcPr>
            <w:tcW w:w="802" w:type="pct"/>
            <w:vAlign w:val="center"/>
          </w:tcPr>
          <w:p w14:paraId="44580D49">
            <w:pPr>
              <w:pStyle w:val="12"/>
              <w:jc w:val="center"/>
            </w:pPr>
            <w:r>
              <w:rPr>
                <w:rFonts w:hint="eastAsia"/>
              </w:rPr>
              <w:t>594</w:t>
            </w:r>
          </w:p>
        </w:tc>
        <w:tc>
          <w:tcPr>
            <w:tcW w:w="871" w:type="pct"/>
            <w:vAlign w:val="center"/>
          </w:tcPr>
          <w:p w14:paraId="4979EC23">
            <w:pPr>
              <w:pStyle w:val="12"/>
              <w:jc w:val="center"/>
            </w:pPr>
            <w:r>
              <w:rPr>
                <w:rFonts w:hint="eastAsia"/>
              </w:rPr>
              <w:t>财政局</w:t>
            </w:r>
          </w:p>
        </w:tc>
      </w:tr>
      <w:tr w14:paraId="35E48F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9" w:type="pct"/>
            <w:vAlign w:val="center"/>
          </w:tcPr>
          <w:p w14:paraId="7AD681B3">
            <w:pPr>
              <w:pStyle w:val="12"/>
              <w:jc w:val="center"/>
            </w:pPr>
            <w:r>
              <w:rPr>
                <w:rFonts w:hint="eastAsia"/>
              </w:rPr>
              <w:t>教育学会</w:t>
            </w:r>
          </w:p>
        </w:tc>
        <w:tc>
          <w:tcPr>
            <w:tcW w:w="1226" w:type="pct"/>
            <w:vAlign w:val="center"/>
          </w:tcPr>
          <w:p w14:paraId="7518E840">
            <w:pPr>
              <w:pStyle w:val="12"/>
              <w:jc w:val="center"/>
            </w:pPr>
            <w:r>
              <w:rPr>
                <w:rFonts w:hint="eastAsia"/>
              </w:rPr>
              <w:t>1985年12月25日</w:t>
            </w:r>
          </w:p>
        </w:tc>
        <w:tc>
          <w:tcPr>
            <w:tcW w:w="782" w:type="pct"/>
            <w:vAlign w:val="center"/>
          </w:tcPr>
          <w:p w14:paraId="08C6D593">
            <w:pPr>
              <w:pStyle w:val="12"/>
              <w:jc w:val="center"/>
            </w:pPr>
            <w:r>
              <w:rPr>
                <w:rFonts w:hint="eastAsia"/>
              </w:rPr>
              <w:t>16</w:t>
            </w:r>
          </w:p>
        </w:tc>
        <w:tc>
          <w:tcPr>
            <w:tcW w:w="802" w:type="pct"/>
            <w:vAlign w:val="center"/>
          </w:tcPr>
          <w:p w14:paraId="475A788B">
            <w:pPr>
              <w:pStyle w:val="12"/>
              <w:jc w:val="center"/>
            </w:pPr>
            <w:r>
              <w:rPr>
                <w:rFonts w:hint="eastAsia"/>
              </w:rPr>
              <w:t>412</w:t>
            </w:r>
          </w:p>
        </w:tc>
        <w:tc>
          <w:tcPr>
            <w:tcW w:w="871" w:type="pct"/>
            <w:vAlign w:val="center"/>
          </w:tcPr>
          <w:p w14:paraId="79814FE8">
            <w:pPr>
              <w:pStyle w:val="12"/>
              <w:jc w:val="center"/>
            </w:pPr>
            <w:r>
              <w:rPr>
                <w:rFonts w:hint="eastAsia"/>
              </w:rPr>
              <w:t>教育局</w:t>
            </w:r>
          </w:p>
        </w:tc>
      </w:tr>
      <w:tr w14:paraId="2A7EAD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9" w:type="pct"/>
            <w:vAlign w:val="center"/>
          </w:tcPr>
          <w:p w14:paraId="7325F1A1">
            <w:pPr>
              <w:pStyle w:val="12"/>
              <w:jc w:val="center"/>
            </w:pPr>
            <w:r>
              <w:rPr>
                <w:rFonts w:hint="eastAsia"/>
              </w:rPr>
              <w:t>劳动学会</w:t>
            </w:r>
          </w:p>
        </w:tc>
        <w:tc>
          <w:tcPr>
            <w:tcW w:w="1226" w:type="pct"/>
            <w:vAlign w:val="center"/>
          </w:tcPr>
          <w:p w14:paraId="1E6DD32D">
            <w:pPr>
              <w:pStyle w:val="12"/>
              <w:jc w:val="center"/>
            </w:pPr>
            <w:r>
              <w:rPr>
                <w:rFonts w:hint="eastAsia"/>
              </w:rPr>
              <w:t>1985年11月5日</w:t>
            </w:r>
          </w:p>
        </w:tc>
        <w:tc>
          <w:tcPr>
            <w:tcW w:w="782" w:type="pct"/>
            <w:vAlign w:val="center"/>
          </w:tcPr>
          <w:p w14:paraId="31C6A103">
            <w:pPr>
              <w:pStyle w:val="12"/>
              <w:jc w:val="center"/>
            </w:pPr>
            <w:r>
              <w:rPr>
                <w:rFonts w:hint="eastAsia"/>
              </w:rPr>
              <w:t>10</w:t>
            </w:r>
          </w:p>
        </w:tc>
        <w:tc>
          <w:tcPr>
            <w:tcW w:w="802" w:type="pct"/>
            <w:vAlign w:val="center"/>
          </w:tcPr>
          <w:p w14:paraId="22989225">
            <w:pPr>
              <w:pStyle w:val="12"/>
              <w:jc w:val="center"/>
            </w:pPr>
            <w:r>
              <w:rPr>
                <w:rFonts w:hint="eastAsia"/>
              </w:rPr>
              <w:t>60</w:t>
            </w:r>
          </w:p>
        </w:tc>
        <w:tc>
          <w:tcPr>
            <w:tcW w:w="871" w:type="pct"/>
            <w:vAlign w:val="center"/>
          </w:tcPr>
          <w:p w14:paraId="30BF4CA4">
            <w:pPr>
              <w:pStyle w:val="12"/>
              <w:jc w:val="center"/>
            </w:pPr>
            <w:r>
              <w:rPr>
                <w:rFonts w:hint="eastAsia"/>
              </w:rPr>
              <w:t>劳动局</w:t>
            </w:r>
          </w:p>
        </w:tc>
      </w:tr>
      <w:tr w14:paraId="4021D4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9" w:type="pct"/>
            <w:vAlign w:val="center"/>
          </w:tcPr>
          <w:p w14:paraId="3A570CED">
            <w:pPr>
              <w:pStyle w:val="12"/>
              <w:jc w:val="center"/>
            </w:pPr>
            <w:r>
              <w:rPr>
                <w:rFonts w:hint="eastAsia"/>
              </w:rPr>
              <w:t>价格学会</w:t>
            </w:r>
          </w:p>
        </w:tc>
        <w:tc>
          <w:tcPr>
            <w:tcW w:w="1226" w:type="pct"/>
            <w:vAlign w:val="center"/>
          </w:tcPr>
          <w:p w14:paraId="1FF91B82">
            <w:pPr>
              <w:pStyle w:val="12"/>
              <w:jc w:val="center"/>
            </w:pPr>
            <w:r>
              <w:rPr>
                <w:rFonts w:hint="eastAsia"/>
              </w:rPr>
              <w:t>1986年10月14日</w:t>
            </w:r>
          </w:p>
        </w:tc>
        <w:tc>
          <w:tcPr>
            <w:tcW w:w="782" w:type="pct"/>
            <w:vAlign w:val="center"/>
          </w:tcPr>
          <w:p w14:paraId="131DD20D">
            <w:pPr>
              <w:pStyle w:val="12"/>
              <w:jc w:val="center"/>
            </w:pPr>
            <w:r>
              <w:rPr>
                <w:rFonts w:hint="eastAsia"/>
              </w:rPr>
              <w:t>9</w:t>
            </w:r>
          </w:p>
        </w:tc>
        <w:tc>
          <w:tcPr>
            <w:tcW w:w="802" w:type="pct"/>
            <w:vAlign w:val="center"/>
          </w:tcPr>
          <w:p w14:paraId="15AAD38C">
            <w:pPr>
              <w:pStyle w:val="12"/>
              <w:jc w:val="center"/>
            </w:pPr>
            <w:r>
              <w:rPr>
                <w:rFonts w:hint="eastAsia"/>
              </w:rPr>
              <w:t>70</w:t>
            </w:r>
          </w:p>
        </w:tc>
        <w:tc>
          <w:tcPr>
            <w:tcW w:w="871" w:type="pct"/>
            <w:vAlign w:val="center"/>
          </w:tcPr>
          <w:p w14:paraId="4F504F20">
            <w:pPr>
              <w:pStyle w:val="12"/>
              <w:jc w:val="center"/>
            </w:pPr>
            <w:r>
              <w:rPr>
                <w:rFonts w:hint="eastAsia"/>
              </w:rPr>
              <w:t>物价局</w:t>
            </w:r>
          </w:p>
        </w:tc>
      </w:tr>
      <w:tr w14:paraId="391CAA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9" w:type="pct"/>
            <w:vAlign w:val="center"/>
          </w:tcPr>
          <w:p w14:paraId="2D327EA3">
            <w:pPr>
              <w:pStyle w:val="12"/>
              <w:jc w:val="center"/>
            </w:pPr>
            <w:r>
              <w:rPr>
                <w:rFonts w:hint="eastAsia"/>
              </w:rPr>
              <w:t>粮食经济学会</w:t>
            </w:r>
          </w:p>
        </w:tc>
        <w:tc>
          <w:tcPr>
            <w:tcW w:w="1226" w:type="pct"/>
            <w:vAlign w:val="center"/>
          </w:tcPr>
          <w:p w14:paraId="7BC5D961">
            <w:pPr>
              <w:pStyle w:val="12"/>
              <w:jc w:val="center"/>
            </w:pPr>
            <w:r>
              <w:rPr>
                <w:rFonts w:hint="eastAsia"/>
              </w:rPr>
              <w:t>1986年11月13日</w:t>
            </w:r>
          </w:p>
        </w:tc>
        <w:tc>
          <w:tcPr>
            <w:tcW w:w="782" w:type="pct"/>
            <w:vAlign w:val="center"/>
          </w:tcPr>
          <w:p w14:paraId="38781F6C">
            <w:pPr>
              <w:pStyle w:val="12"/>
              <w:jc w:val="center"/>
            </w:pPr>
            <w:r>
              <w:rPr>
                <w:rFonts w:hint="eastAsia"/>
              </w:rPr>
              <w:t>17</w:t>
            </w:r>
          </w:p>
        </w:tc>
        <w:tc>
          <w:tcPr>
            <w:tcW w:w="802" w:type="pct"/>
            <w:vAlign w:val="center"/>
          </w:tcPr>
          <w:p w14:paraId="19338114">
            <w:pPr>
              <w:pStyle w:val="12"/>
              <w:jc w:val="center"/>
            </w:pPr>
            <w:r>
              <w:rPr>
                <w:rFonts w:hint="eastAsia"/>
              </w:rPr>
              <w:t>42</w:t>
            </w:r>
          </w:p>
        </w:tc>
        <w:tc>
          <w:tcPr>
            <w:tcW w:w="871" w:type="pct"/>
            <w:vAlign w:val="center"/>
          </w:tcPr>
          <w:p w14:paraId="328EF990">
            <w:pPr>
              <w:pStyle w:val="12"/>
              <w:jc w:val="center"/>
            </w:pPr>
            <w:r>
              <w:rPr>
                <w:rFonts w:hint="eastAsia"/>
              </w:rPr>
              <w:t>粮食局</w:t>
            </w:r>
          </w:p>
        </w:tc>
      </w:tr>
      <w:tr w14:paraId="4D3EA4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9" w:type="pct"/>
            <w:vAlign w:val="center"/>
          </w:tcPr>
          <w:p w14:paraId="5A71824E">
            <w:pPr>
              <w:pStyle w:val="12"/>
              <w:jc w:val="center"/>
            </w:pPr>
            <w:r>
              <w:rPr>
                <w:rFonts w:hint="eastAsia"/>
              </w:rPr>
              <w:t>统计学会</w:t>
            </w:r>
          </w:p>
        </w:tc>
        <w:tc>
          <w:tcPr>
            <w:tcW w:w="1226" w:type="pct"/>
            <w:vAlign w:val="center"/>
          </w:tcPr>
          <w:p w14:paraId="511FF8D3">
            <w:pPr>
              <w:pStyle w:val="12"/>
              <w:jc w:val="center"/>
            </w:pPr>
            <w:r>
              <w:rPr>
                <w:rFonts w:hint="eastAsia"/>
              </w:rPr>
              <w:t>1986年11月14日</w:t>
            </w:r>
          </w:p>
        </w:tc>
        <w:tc>
          <w:tcPr>
            <w:tcW w:w="782" w:type="pct"/>
            <w:vAlign w:val="center"/>
          </w:tcPr>
          <w:p w14:paraId="2772EEF0">
            <w:pPr>
              <w:pStyle w:val="12"/>
              <w:jc w:val="center"/>
            </w:pPr>
            <w:r>
              <w:rPr>
                <w:rFonts w:hint="eastAsia"/>
              </w:rPr>
              <w:t>11</w:t>
            </w:r>
          </w:p>
        </w:tc>
        <w:tc>
          <w:tcPr>
            <w:tcW w:w="802" w:type="pct"/>
            <w:vAlign w:val="center"/>
          </w:tcPr>
          <w:p w14:paraId="1F149335">
            <w:pPr>
              <w:pStyle w:val="12"/>
              <w:jc w:val="center"/>
            </w:pPr>
            <w:r>
              <w:rPr>
                <w:rFonts w:hint="eastAsia"/>
              </w:rPr>
              <w:t>89</w:t>
            </w:r>
          </w:p>
        </w:tc>
        <w:tc>
          <w:tcPr>
            <w:tcW w:w="871" w:type="pct"/>
            <w:vAlign w:val="center"/>
          </w:tcPr>
          <w:p w14:paraId="0D005ED3">
            <w:pPr>
              <w:pStyle w:val="12"/>
              <w:jc w:val="center"/>
            </w:pPr>
            <w:r>
              <w:rPr>
                <w:rFonts w:hint="eastAsia"/>
              </w:rPr>
              <w:t>统计局</w:t>
            </w:r>
          </w:p>
        </w:tc>
      </w:tr>
      <w:tr w14:paraId="44B61C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9" w:type="pct"/>
            <w:vAlign w:val="center"/>
          </w:tcPr>
          <w:p w14:paraId="7C26368C">
            <w:pPr>
              <w:pStyle w:val="12"/>
              <w:jc w:val="center"/>
            </w:pPr>
            <w:r>
              <w:rPr>
                <w:rFonts w:hint="eastAsia"/>
              </w:rPr>
              <w:t>马克思主义理论研究会</w:t>
            </w:r>
          </w:p>
        </w:tc>
        <w:tc>
          <w:tcPr>
            <w:tcW w:w="1226" w:type="pct"/>
            <w:vAlign w:val="center"/>
          </w:tcPr>
          <w:p w14:paraId="13155559">
            <w:pPr>
              <w:pStyle w:val="12"/>
              <w:jc w:val="center"/>
            </w:pPr>
            <w:r>
              <w:rPr>
                <w:rFonts w:hint="eastAsia"/>
              </w:rPr>
              <w:t>1986年12月25日</w:t>
            </w:r>
          </w:p>
        </w:tc>
        <w:tc>
          <w:tcPr>
            <w:tcW w:w="782" w:type="pct"/>
            <w:vAlign w:val="center"/>
          </w:tcPr>
          <w:p w14:paraId="26DB9B89">
            <w:pPr>
              <w:pStyle w:val="12"/>
              <w:jc w:val="center"/>
            </w:pPr>
            <w:r>
              <w:rPr>
                <w:rFonts w:hint="eastAsia"/>
              </w:rPr>
              <w:t>8</w:t>
            </w:r>
          </w:p>
        </w:tc>
        <w:tc>
          <w:tcPr>
            <w:tcW w:w="802" w:type="pct"/>
            <w:vAlign w:val="center"/>
          </w:tcPr>
          <w:p w14:paraId="0AA20229">
            <w:pPr>
              <w:pStyle w:val="12"/>
              <w:jc w:val="center"/>
            </w:pPr>
            <w:r>
              <w:rPr>
                <w:rFonts w:hint="eastAsia"/>
              </w:rPr>
              <w:t>46</w:t>
            </w:r>
          </w:p>
        </w:tc>
        <w:tc>
          <w:tcPr>
            <w:tcW w:w="871" w:type="pct"/>
            <w:vAlign w:val="center"/>
          </w:tcPr>
          <w:p w14:paraId="78DD8367">
            <w:pPr>
              <w:pStyle w:val="12"/>
              <w:jc w:val="center"/>
            </w:pPr>
            <w:r>
              <w:rPr>
                <w:rFonts w:hint="eastAsia"/>
              </w:rPr>
              <w:t>党校</w:t>
            </w:r>
          </w:p>
        </w:tc>
      </w:tr>
      <w:tr w14:paraId="3E1A35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9" w:type="pct"/>
            <w:vAlign w:val="center"/>
          </w:tcPr>
          <w:p w14:paraId="0A46A36A">
            <w:pPr>
              <w:pStyle w:val="12"/>
              <w:jc w:val="center"/>
            </w:pPr>
            <w:r>
              <w:rPr>
                <w:rFonts w:hint="eastAsia"/>
              </w:rPr>
              <w:t>人才学研究会</w:t>
            </w:r>
          </w:p>
        </w:tc>
        <w:tc>
          <w:tcPr>
            <w:tcW w:w="1226" w:type="pct"/>
            <w:vAlign w:val="center"/>
          </w:tcPr>
          <w:p w14:paraId="5F58B54C">
            <w:pPr>
              <w:pStyle w:val="12"/>
              <w:jc w:val="center"/>
            </w:pPr>
            <w:r>
              <w:rPr>
                <w:rFonts w:hint="eastAsia"/>
              </w:rPr>
              <w:t>1987年1月15日</w:t>
            </w:r>
          </w:p>
        </w:tc>
        <w:tc>
          <w:tcPr>
            <w:tcW w:w="782" w:type="pct"/>
            <w:vAlign w:val="center"/>
          </w:tcPr>
          <w:p w14:paraId="2864B7AE">
            <w:pPr>
              <w:pStyle w:val="12"/>
              <w:jc w:val="center"/>
            </w:pPr>
            <w:r>
              <w:rPr>
                <w:rFonts w:hint="eastAsia"/>
              </w:rPr>
              <w:t>20</w:t>
            </w:r>
          </w:p>
        </w:tc>
        <w:tc>
          <w:tcPr>
            <w:tcW w:w="802" w:type="pct"/>
            <w:vAlign w:val="center"/>
          </w:tcPr>
          <w:p w14:paraId="24E310E8">
            <w:pPr>
              <w:pStyle w:val="12"/>
              <w:jc w:val="center"/>
            </w:pPr>
            <w:r>
              <w:rPr>
                <w:rFonts w:hint="eastAsia"/>
              </w:rPr>
              <w:t>37</w:t>
            </w:r>
          </w:p>
        </w:tc>
        <w:tc>
          <w:tcPr>
            <w:tcW w:w="871" w:type="pct"/>
            <w:vAlign w:val="center"/>
          </w:tcPr>
          <w:p w14:paraId="5D5EB2BA">
            <w:pPr>
              <w:pStyle w:val="12"/>
              <w:jc w:val="center"/>
            </w:pPr>
            <w:r>
              <w:rPr>
                <w:rFonts w:hint="eastAsia"/>
              </w:rPr>
              <w:t>人事局</w:t>
            </w:r>
          </w:p>
        </w:tc>
      </w:tr>
      <w:tr w14:paraId="434C68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9" w:type="pct"/>
            <w:vAlign w:val="center"/>
          </w:tcPr>
          <w:p w14:paraId="4BE8FE36">
            <w:pPr>
              <w:pStyle w:val="12"/>
              <w:jc w:val="center"/>
            </w:pPr>
            <w:r>
              <w:rPr>
                <w:rFonts w:hint="eastAsia"/>
              </w:rPr>
              <w:t>党史学会</w:t>
            </w:r>
          </w:p>
        </w:tc>
        <w:tc>
          <w:tcPr>
            <w:tcW w:w="1226" w:type="pct"/>
            <w:vAlign w:val="center"/>
          </w:tcPr>
          <w:p w14:paraId="67C56FA4">
            <w:pPr>
              <w:pStyle w:val="12"/>
              <w:jc w:val="center"/>
            </w:pPr>
            <w:r>
              <w:rPr>
                <w:rFonts w:hint="eastAsia"/>
              </w:rPr>
              <w:t>1987年2月9日</w:t>
            </w:r>
          </w:p>
        </w:tc>
        <w:tc>
          <w:tcPr>
            <w:tcW w:w="782" w:type="pct"/>
            <w:vAlign w:val="center"/>
          </w:tcPr>
          <w:p w14:paraId="43B04931">
            <w:pPr>
              <w:pStyle w:val="12"/>
              <w:jc w:val="center"/>
            </w:pPr>
            <w:r>
              <w:rPr>
                <w:rFonts w:hint="eastAsia"/>
              </w:rPr>
              <w:t>2</w:t>
            </w:r>
          </w:p>
        </w:tc>
        <w:tc>
          <w:tcPr>
            <w:tcW w:w="802" w:type="pct"/>
            <w:vAlign w:val="center"/>
          </w:tcPr>
          <w:p w14:paraId="754A50A2">
            <w:pPr>
              <w:pStyle w:val="12"/>
              <w:jc w:val="center"/>
            </w:pPr>
            <w:r>
              <w:rPr>
                <w:rFonts w:hint="eastAsia"/>
              </w:rPr>
              <w:t>14</w:t>
            </w:r>
          </w:p>
        </w:tc>
        <w:tc>
          <w:tcPr>
            <w:tcW w:w="871" w:type="pct"/>
            <w:vAlign w:val="center"/>
          </w:tcPr>
          <w:p w14:paraId="55C2FB85">
            <w:pPr>
              <w:pStyle w:val="12"/>
              <w:jc w:val="center"/>
            </w:pPr>
            <w:r>
              <w:rPr>
                <w:rFonts w:hint="eastAsia"/>
              </w:rPr>
              <w:t>史志办</w:t>
            </w:r>
          </w:p>
        </w:tc>
      </w:tr>
      <w:tr w14:paraId="23E427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9" w:type="pct"/>
            <w:vAlign w:val="center"/>
          </w:tcPr>
          <w:p w14:paraId="6245B939">
            <w:pPr>
              <w:pStyle w:val="12"/>
              <w:jc w:val="center"/>
            </w:pPr>
            <w:r>
              <w:rPr>
                <w:rFonts w:hint="eastAsia"/>
              </w:rPr>
              <w:t>地方志学会</w:t>
            </w:r>
          </w:p>
        </w:tc>
        <w:tc>
          <w:tcPr>
            <w:tcW w:w="1226" w:type="pct"/>
            <w:vAlign w:val="center"/>
          </w:tcPr>
          <w:p w14:paraId="2BE9B921">
            <w:pPr>
              <w:pStyle w:val="12"/>
              <w:jc w:val="center"/>
            </w:pPr>
            <w:r>
              <w:rPr>
                <w:rFonts w:hint="eastAsia"/>
              </w:rPr>
              <w:t>1987年2月10日</w:t>
            </w:r>
          </w:p>
        </w:tc>
        <w:tc>
          <w:tcPr>
            <w:tcW w:w="782" w:type="pct"/>
            <w:vAlign w:val="center"/>
          </w:tcPr>
          <w:p w14:paraId="68A07354">
            <w:pPr>
              <w:pStyle w:val="12"/>
              <w:jc w:val="center"/>
            </w:pPr>
            <w:r>
              <w:rPr>
                <w:rFonts w:hint="eastAsia"/>
              </w:rPr>
              <w:t>5</w:t>
            </w:r>
          </w:p>
        </w:tc>
        <w:tc>
          <w:tcPr>
            <w:tcW w:w="802" w:type="pct"/>
            <w:vAlign w:val="center"/>
          </w:tcPr>
          <w:p w14:paraId="0D8511A8">
            <w:pPr>
              <w:pStyle w:val="12"/>
              <w:jc w:val="center"/>
            </w:pPr>
            <w:r>
              <w:rPr>
                <w:rFonts w:hint="eastAsia"/>
              </w:rPr>
              <w:t>49</w:t>
            </w:r>
          </w:p>
        </w:tc>
        <w:tc>
          <w:tcPr>
            <w:tcW w:w="871" w:type="pct"/>
            <w:vAlign w:val="center"/>
          </w:tcPr>
          <w:p w14:paraId="7C26E04E">
            <w:pPr>
              <w:pStyle w:val="12"/>
              <w:jc w:val="center"/>
            </w:pPr>
            <w:r>
              <w:rPr>
                <w:rFonts w:hint="eastAsia"/>
              </w:rPr>
              <w:t>史志办</w:t>
            </w:r>
          </w:p>
        </w:tc>
      </w:tr>
      <w:tr w14:paraId="017169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9" w:type="pct"/>
            <w:vAlign w:val="center"/>
          </w:tcPr>
          <w:p w14:paraId="3BFCD448">
            <w:pPr>
              <w:pStyle w:val="12"/>
              <w:jc w:val="center"/>
            </w:pPr>
            <w:r>
              <w:rPr>
                <w:rFonts w:hint="eastAsia"/>
              </w:rPr>
              <w:t>地理教学研究会</w:t>
            </w:r>
          </w:p>
        </w:tc>
        <w:tc>
          <w:tcPr>
            <w:tcW w:w="1226" w:type="pct"/>
            <w:vAlign w:val="center"/>
          </w:tcPr>
          <w:p w14:paraId="25FA7020">
            <w:pPr>
              <w:pStyle w:val="12"/>
              <w:jc w:val="center"/>
            </w:pPr>
            <w:r>
              <w:rPr>
                <w:rFonts w:hint="eastAsia"/>
              </w:rPr>
              <w:t>1987年2月10日</w:t>
            </w:r>
          </w:p>
        </w:tc>
        <w:tc>
          <w:tcPr>
            <w:tcW w:w="782" w:type="pct"/>
            <w:vAlign w:val="center"/>
          </w:tcPr>
          <w:p w14:paraId="5FD9B39F">
            <w:pPr>
              <w:pStyle w:val="12"/>
              <w:jc w:val="center"/>
            </w:pPr>
            <w:r>
              <w:rPr>
                <w:rFonts w:hint="eastAsia"/>
              </w:rPr>
              <w:t>3</w:t>
            </w:r>
          </w:p>
        </w:tc>
        <w:tc>
          <w:tcPr>
            <w:tcW w:w="802" w:type="pct"/>
            <w:vAlign w:val="center"/>
          </w:tcPr>
          <w:p w14:paraId="5D35968E">
            <w:pPr>
              <w:pStyle w:val="12"/>
              <w:jc w:val="center"/>
            </w:pPr>
            <w:r>
              <w:rPr>
                <w:rFonts w:hint="eastAsia"/>
              </w:rPr>
              <w:t>60</w:t>
            </w:r>
          </w:p>
        </w:tc>
        <w:tc>
          <w:tcPr>
            <w:tcW w:w="871" w:type="pct"/>
            <w:vAlign w:val="center"/>
          </w:tcPr>
          <w:p w14:paraId="645D5CD4">
            <w:pPr>
              <w:pStyle w:val="12"/>
              <w:jc w:val="center"/>
            </w:pPr>
            <w:r>
              <w:rPr>
                <w:rFonts w:hint="eastAsia"/>
              </w:rPr>
              <w:t>教育局</w:t>
            </w:r>
          </w:p>
        </w:tc>
      </w:tr>
      <w:tr w14:paraId="3EC0F6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9" w:type="pct"/>
            <w:vAlign w:val="center"/>
          </w:tcPr>
          <w:p w14:paraId="4FC7CC73">
            <w:pPr>
              <w:pStyle w:val="12"/>
              <w:jc w:val="center"/>
            </w:pPr>
            <w:r>
              <w:rPr>
                <w:rFonts w:hint="eastAsia"/>
              </w:rPr>
              <w:t>历史教学研究会</w:t>
            </w:r>
          </w:p>
        </w:tc>
        <w:tc>
          <w:tcPr>
            <w:tcW w:w="1226" w:type="pct"/>
            <w:vAlign w:val="center"/>
          </w:tcPr>
          <w:p w14:paraId="700F348F">
            <w:pPr>
              <w:pStyle w:val="12"/>
              <w:jc w:val="center"/>
            </w:pPr>
            <w:r>
              <w:rPr>
                <w:rFonts w:hint="eastAsia"/>
              </w:rPr>
              <w:t>1987年2月10日</w:t>
            </w:r>
          </w:p>
        </w:tc>
        <w:tc>
          <w:tcPr>
            <w:tcW w:w="782" w:type="pct"/>
            <w:vAlign w:val="center"/>
          </w:tcPr>
          <w:p w14:paraId="7F5D2CC4">
            <w:pPr>
              <w:pStyle w:val="12"/>
              <w:jc w:val="center"/>
            </w:pPr>
            <w:r>
              <w:rPr>
                <w:rFonts w:hint="eastAsia"/>
              </w:rPr>
              <w:t>2</w:t>
            </w:r>
          </w:p>
        </w:tc>
        <w:tc>
          <w:tcPr>
            <w:tcW w:w="802" w:type="pct"/>
            <w:vAlign w:val="center"/>
          </w:tcPr>
          <w:p w14:paraId="104B5EE6">
            <w:pPr>
              <w:pStyle w:val="12"/>
              <w:jc w:val="center"/>
            </w:pPr>
            <w:r>
              <w:rPr>
                <w:rFonts w:hint="eastAsia"/>
              </w:rPr>
              <w:t>65</w:t>
            </w:r>
          </w:p>
        </w:tc>
        <w:tc>
          <w:tcPr>
            <w:tcW w:w="871" w:type="pct"/>
            <w:vAlign w:val="center"/>
          </w:tcPr>
          <w:p w14:paraId="5C2DDB8A">
            <w:pPr>
              <w:pStyle w:val="12"/>
              <w:jc w:val="center"/>
            </w:pPr>
            <w:r>
              <w:rPr>
                <w:rFonts w:hint="eastAsia"/>
              </w:rPr>
              <w:t>教育局</w:t>
            </w:r>
          </w:p>
        </w:tc>
      </w:tr>
      <w:tr w14:paraId="729411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9" w:type="pct"/>
            <w:vAlign w:val="center"/>
          </w:tcPr>
          <w:p w14:paraId="0720E001">
            <w:pPr>
              <w:pStyle w:val="12"/>
              <w:jc w:val="center"/>
            </w:pPr>
            <w:r>
              <w:rPr>
                <w:rFonts w:hint="eastAsia"/>
              </w:rPr>
              <w:t>人口学会</w:t>
            </w:r>
          </w:p>
        </w:tc>
        <w:tc>
          <w:tcPr>
            <w:tcW w:w="1226" w:type="pct"/>
            <w:vAlign w:val="center"/>
          </w:tcPr>
          <w:p w14:paraId="5D8209DB">
            <w:pPr>
              <w:pStyle w:val="12"/>
              <w:jc w:val="center"/>
            </w:pPr>
            <w:r>
              <w:rPr>
                <w:rFonts w:hint="eastAsia"/>
              </w:rPr>
              <w:t>1987年2月25日</w:t>
            </w:r>
          </w:p>
        </w:tc>
        <w:tc>
          <w:tcPr>
            <w:tcW w:w="782" w:type="pct"/>
            <w:vAlign w:val="center"/>
          </w:tcPr>
          <w:p w14:paraId="5F25ACB2">
            <w:pPr>
              <w:pStyle w:val="12"/>
              <w:jc w:val="center"/>
            </w:pPr>
            <w:r>
              <w:rPr>
                <w:rFonts w:hint="eastAsia"/>
              </w:rPr>
              <w:t>3</w:t>
            </w:r>
          </w:p>
        </w:tc>
        <w:tc>
          <w:tcPr>
            <w:tcW w:w="802" w:type="pct"/>
            <w:vAlign w:val="center"/>
          </w:tcPr>
          <w:p w14:paraId="49F780C4">
            <w:pPr>
              <w:pStyle w:val="12"/>
              <w:jc w:val="center"/>
            </w:pPr>
            <w:r>
              <w:rPr>
                <w:rFonts w:hint="eastAsia"/>
              </w:rPr>
              <w:t>9</w:t>
            </w:r>
          </w:p>
        </w:tc>
        <w:tc>
          <w:tcPr>
            <w:tcW w:w="871" w:type="pct"/>
            <w:vAlign w:val="center"/>
          </w:tcPr>
          <w:p w14:paraId="353D620F">
            <w:pPr>
              <w:pStyle w:val="12"/>
              <w:jc w:val="center"/>
            </w:pPr>
            <w:r>
              <w:rPr>
                <w:rFonts w:hint="eastAsia"/>
              </w:rPr>
              <w:t>计生局</w:t>
            </w:r>
          </w:p>
        </w:tc>
      </w:tr>
      <w:tr w14:paraId="42DE87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9" w:type="pct"/>
            <w:vAlign w:val="center"/>
          </w:tcPr>
          <w:p w14:paraId="09E16E7D">
            <w:pPr>
              <w:pStyle w:val="12"/>
              <w:jc w:val="center"/>
            </w:pPr>
            <w:r>
              <w:rPr>
                <w:rFonts w:hint="eastAsia"/>
              </w:rPr>
              <w:t>图书馆学会</w:t>
            </w:r>
          </w:p>
        </w:tc>
        <w:tc>
          <w:tcPr>
            <w:tcW w:w="1226" w:type="pct"/>
            <w:vAlign w:val="center"/>
          </w:tcPr>
          <w:p w14:paraId="5EA37C60">
            <w:pPr>
              <w:pStyle w:val="12"/>
              <w:jc w:val="center"/>
            </w:pPr>
            <w:r>
              <w:rPr>
                <w:rFonts w:hint="eastAsia"/>
              </w:rPr>
              <w:t>1987年3月5日</w:t>
            </w:r>
          </w:p>
        </w:tc>
        <w:tc>
          <w:tcPr>
            <w:tcW w:w="782" w:type="pct"/>
            <w:vAlign w:val="center"/>
          </w:tcPr>
          <w:p w14:paraId="177F7206">
            <w:pPr>
              <w:pStyle w:val="12"/>
              <w:jc w:val="center"/>
            </w:pPr>
            <w:r>
              <w:rPr>
                <w:rFonts w:hint="eastAsia"/>
              </w:rPr>
              <w:t>10</w:t>
            </w:r>
          </w:p>
        </w:tc>
        <w:tc>
          <w:tcPr>
            <w:tcW w:w="802" w:type="pct"/>
            <w:vAlign w:val="center"/>
          </w:tcPr>
          <w:p w14:paraId="333476B4">
            <w:pPr>
              <w:pStyle w:val="12"/>
              <w:jc w:val="center"/>
            </w:pPr>
            <w:r>
              <w:rPr>
                <w:rFonts w:hint="eastAsia"/>
              </w:rPr>
              <w:t>23</w:t>
            </w:r>
          </w:p>
        </w:tc>
        <w:tc>
          <w:tcPr>
            <w:tcW w:w="871" w:type="pct"/>
            <w:vAlign w:val="center"/>
          </w:tcPr>
          <w:p w14:paraId="7F6E3409">
            <w:pPr>
              <w:pStyle w:val="12"/>
              <w:jc w:val="center"/>
            </w:pPr>
            <w:r>
              <w:rPr>
                <w:rFonts w:hint="eastAsia"/>
              </w:rPr>
              <w:t>图书馆</w:t>
            </w:r>
          </w:p>
        </w:tc>
      </w:tr>
      <w:tr w14:paraId="07E35E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9" w:type="pct"/>
            <w:vAlign w:val="center"/>
          </w:tcPr>
          <w:p w14:paraId="6C3296D1">
            <w:pPr>
              <w:pStyle w:val="12"/>
              <w:jc w:val="center"/>
            </w:pPr>
            <w:r>
              <w:rPr>
                <w:rFonts w:hint="eastAsia"/>
              </w:rPr>
              <w:t>妇女学研究会</w:t>
            </w:r>
          </w:p>
        </w:tc>
        <w:tc>
          <w:tcPr>
            <w:tcW w:w="1226" w:type="pct"/>
            <w:vAlign w:val="center"/>
          </w:tcPr>
          <w:p w14:paraId="5C777826">
            <w:pPr>
              <w:pStyle w:val="12"/>
              <w:jc w:val="center"/>
            </w:pPr>
            <w:r>
              <w:rPr>
                <w:rFonts w:hint="eastAsia"/>
              </w:rPr>
              <w:t>1987年3月28日</w:t>
            </w:r>
          </w:p>
        </w:tc>
        <w:tc>
          <w:tcPr>
            <w:tcW w:w="782" w:type="pct"/>
            <w:vAlign w:val="center"/>
          </w:tcPr>
          <w:p w14:paraId="285BF7DD">
            <w:pPr>
              <w:pStyle w:val="12"/>
              <w:jc w:val="center"/>
            </w:pPr>
            <w:r>
              <w:rPr>
                <w:rFonts w:hint="eastAsia"/>
              </w:rPr>
              <w:t>7</w:t>
            </w:r>
          </w:p>
        </w:tc>
        <w:tc>
          <w:tcPr>
            <w:tcW w:w="802" w:type="pct"/>
            <w:vAlign w:val="center"/>
          </w:tcPr>
          <w:p w14:paraId="170FFB5A">
            <w:pPr>
              <w:pStyle w:val="12"/>
              <w:jc w:val="center"/>
            </w:pPr>
            <w:r>
              <w:rPr>
                <w:rFonts w:hint="eastAsia"/>
              </w:rPr>
              <w:t>26</w:t>
            </w:r>
          </w:p>
        </w:tc>
        <w:tc>
          <w:tcPr>
            <w:tcW w:w="871" w:type="pct"/>
            <w:vAlign w:val="center"/>
          </w:tcPr>
          <w:p w14:paraId="3D1A97DF">
            <w:pPr>
              <w:pStyle w:val="12"/>
              <w:jc w:val="center"/>
            </w:pPr>
            <w:r>
              <w:rPr>
                <w:rFonts w:hint="eastAsia"/>
              </w:rPr>
              <w:t>妇联</w:t>
            </w:r>
          </w:p>
        </w:tc>
      </w:tr>
      <w:tr w14:paraId="4C3894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9" w:type="pct"/>
            <w:vAlign w:val="center"/>
          </w:tcPr>
          <w:p w14:paraId="3CBB3280">
            <w:pPr>
              <w:pStyle w:val="12"/>
              <w:jc w:val="center"/>
            </w:pPr>
            <w:r>
              <w:rPr>
                <w:rFonts w:hint="eastAsia"/>
              </w:rPr>
              <w:t>档案学会</w:t>
            </w:r>
          </w:p>
        </w:tc>
        <w:tc>
          <w:tcPr>
            <w:tcW w:w="1226" w:type="pct"/>
            <w:vAlign w:val="center"/>
          </w:tcPr>
          <w:p w14:paraId="04AC0837">
            <w:pPr>
              <w:pStyle w:val="12"/>
              <w:jc w:val="center"/>
            </w:pPr>
            <w:r>
              <w:rPr>
                <w:rFonts w:hint="eastAsia"/>
              </w:rPr>
              <w:t>1987年5月7日</w:t>
            </w:r>
          </w:p>
        </w:tc>
        <w:tc>
          <w:tcPr>
            <w:tcW w:w="782" w:type="pct"/>
            <w:vAlign w:val="center"/>
          </w:tcPr>
          <w:p w14:paraId="303382A8">
            <w:pPr>
              <w:pStyle w:val="12"/>
              <w:jc w:val="center"/>
            </w:pPr>
            <w:r>
              <w:rPr>
                <w:rFonts w:hint="eastAsia"/>
              </w:rPr>
              <w:t>3</w:t>
            </w:r>
          </w:p>
        </w:tc>
        <w:tc>
          <w:tcPr>
            <w:tcW w:w="802" w:type="pct"/>
            <w:vAlign w:val="center"/>
          </w:tcPr>
          <w:p w14:paraId="0B185EBB">
            <w:pPr>
              <w:pStyle w:val="12"/>
              <w:jc w:val="center"/>
            </w:pPr>
            <w:r>
              <w:rPr>
                <w:rFonts w:hint="eastAsia"/>
              </w:rPr>
              <w:t>30</w:t>
            </w:r>
          </w:p>
        </w:tc>
        <w:tc>
          <w:tcPr>
            <w:tcW w:w="871" w:type="pct"/>
            <w:vAlign w:val="center"/>
          </w:tcPr>
          <w:p w14:paraId="2EBAB041">
            <w:pPr>
              <w:pStyle w:val="12"/>
              <w:jc w:val="center"/>
            </w:pPr>
            <w:r>
              <w:rPr>
                <w:rFonts w:hint="eastAsia"/>
              </w:rPr>
              <w:t>档案局</w:t>
            </w:r>
          </w:p>
        </w:tc>
      </w:tr>
      <w:tr w14:paraId="399E7E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9" w:type="pct"/>
            <w:vAlign w:val="center"/>
          </w:tcPr>
          <w:p w14:paraId="60639D7A">
            <w:pPr>
              <w:pStyle w:val="12"/>
              <w:jc w:val="center"/>
            </w:pPr>
            <w:r>
              <w:rPr>
                <w:rFonts w:hint="eastAsia"/>
              </w:rPr>
              <w:t>群众文化学会</w:t>
            </w:r>
          </w:p>
        </w:tc>
        <w:tc>
          <w:tcPr>
            <w:tcW w:w="1226" w:type="pct"/>
            <w:vAlign w:val="center"/>
          </w:tcPr>
          <w:p w14:paraId="2A525756">
            <w:pPr>
              <w:pStyle w:val="12"/>
              <w:jc w:val="center"/>
            </w:pPr>
            <w:r>
              <w:rPr>
                <w:rFonts w:hint="eastAsia"/>
              </w:rPr>
              <w:t>1987年5月8日</w:t>
            </w:r>
          </w:p>
        </w:tc>
        <w:tc>
          <w:tcPr>
            <w:tcW w:w="782" w:type="pct"/>
            <w:vAlign w:val="center"/>
          </w:tcPr>
          <w:p w14:paraId="55B32F88">
            <w:pPr>
              <w:pStyle w:val="12"/>
              <w:jc w:val="center"/>
            </w:pPr>
            <w:r>
              <w:rPr>
                <w:rFonts w:hint="eastAsia"/>
              </w:rPr>
              <w:t>5</w:t>
            </w:r>
          </w:p>
        </w:tc>
        <w:tc>
          <w:tcPr>
            <w:tcW w:w="802" w:type="pct"/>
            <w:vAlign w:val="center"/>
          </w:tcPr>
          <w:p w14:paraId="1A61D37F">
            <w:pPr>
              <w:pStyle w:val="12"/>
              <w:jc w:val="center"/>
            </w:pPr>
            <w:r>
              <w:rPr>
                <w:rFonts w:hint="eastAsia"/>
              </w:rPr>
              <w:t>38</w:t>
            </w:r>
          </w:p>
        </w:tc>
        <w:tc>
          <w:tcPr>
            <w:tcW w:w="871" w:type="pct"/>
            <w:vAlign w:val="center"/>
          </w:tcPr>
          <w:p w14:paraId="0B4A3FD3">
            <w:pPr>
              <w:pStyle w:val="12"/>
              <w:jc w:val="center"/>
            </w:pPr>
            <w:r>
              <w:rPr>
                <w:rFonts w:hint="eastAsia"/>
              </w:rPr>
              <w:t>文化馆</w:t>
            </w:r>
          </w:p>
        </w:tc>
      </w:tr>
      <w:tr w14:paraId="0F43D5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9" w:type="pct"/>
            <w:vAlign w:val="center"/>
          </w:tcPr>
          <w:p w14:paraId="65D546F7">
            <w:pPr>
              <w:pStyle w:val="12"/>
              <w:jc w:val="center"/>
            </w:pPr>
            <w:r>
              <w:rPr>
                <w:rFonts w:hint="eastAsia"/>
              </w:rPr>
              <w:t>韶关税务学会南雄分会</w:t>
            </w:r>
          </w:p>
        </w:tc>
        <w:tc>
          <w:tcPr>
            <w:tcW w:w="1226" w:type="pct"/>
            <w:vAlign w:val="center"/>
          </w:tcPr>
          <w:p w14:paraId="7C0F5C54">
            <w:pPr>
              <w:pStyle w:val="12"/>
              <w:jc w:val="center"/>
            </w:pPr>
            <w:r>
              <w:rPr>
                <w:rFonts w:hint="eastAsia"/>
              </w:rPr>
              <w:t>1987年5月25日</w:t>
            </w:r>
          </w:p>
        </w:tc>
        <w:tc>
          <w:tcPr>
            <w:tcW w:w="782" w:type="pct"/>
            <w:vAlign w:val="center"/>
          </w:tcPr>
          <w:p w14:paraId="3FBC74A6">
            <w:pPr>
              <w:pStyle w:val="12"/>
              <w:jc w:val="center"/>
            </w:pPr>
            <w:r>
              <w:rPr>
                <w:rFonts w:hint="eastAsia"/>
              </w:rPr>
              <w:t>36</w:t>
            </w:r>
          </w:p>
        </w:tc>
        <w:tc>
          <w:tcPr>
            <w:tcW w:w="802" w:type="pct"/>
            <w:vAlign w:val="center"/>
          </w:tcPr>
          <w:p w14:paraId="7EE83E15">
            <w:pPr>
              <w:pStyle w:val="12"/>
              <w:jc w:val="center"/>
            </w:pPr>
            <w:r>
              <w:rPr>
                <w:rFonts w:hint="eastAsia"/>
              </w:rPr>
              <w:t>210</w:t>
            </w:r>
          </w:p>
        </w:tc>
        <w:tc>
          <w:tcPr>
            <w:tcW w:w="871" w:type="pct"/>
            <w:vAlign w:val="center"/>
          </w:tcPr>
          <w:p w14:paraId="558E0253">
            <w:pPr>
              <w:pStyle w:val="12"/>
              <w:jc w:val="center"/>
            </w:pPr>
            <w:r>
              <w:rPr>
                <w:rFonts w:hint="eastAsia"/>
              </w:rPr>
              <w:t>国税局</w:t>
            </w:r>
          </w:p>
        </w:tc>
      </w:tr>
      <w:tr w14:paraId="10179B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9" w:type="pct"/>
            <w:vAlign w:val="center"/>
          </w:tcPr>
          <w:p w14:paraId="73C1D82D">
            <w:pPr>
              <w:pStyle w:val="12"/>
              <w:jc w:val="center"/>
            </w:pPr>
            <w:r>
              <w:rPr>
                <w:rFonts w:hint="eastAsia"/>
              </w:rPr>
              <w:t>计划生育协会</w:t>
            </w:r>
          </w:p>
        </w:tc>
        <w:tc>
          <w:tcPr>
            <w:tcW w:w="1226" w:type="pct"/>
            <w:vAlign w:val="center"/>
          </w:tcPr>
          <w:p w14:paraId="2059E986">
            <w:pPr>
              <w:pStyle w:val="12"/>
              <w:jc w:val="center"/>
            </w:pPr>
            <w:r>
              <w:rPr>
                <w:rFonts w:hint="eastAsia"/>
              </w:rPr>
              <w:t>1987年12月7日</w:t>
            </w:r>
          </w:p>
        </w:tc>
        <w:tc>
          <w:tcPr>
            <w:tcW w:w="782" w:type="pct"/>
            <w:vAlign w:val="center"/>
          </w:tcPr>
          <w:p w14:paraId="75ACADEB">
            <w:pPr>
              <w:pStyle w:val="12"/>
              <w:jc w:val="center"/>
            </w:pPr>
            <w:r>
              <w:rPr>
                <w:rFonts w:hint="eastAsia"/>
              </w:rPr>
              <w:t>9</w:t>
            </w:r>
          </w:p>
        </w:tc>
        <w:tc>
          <w:tcPr>
            <w:tcW w:w="802" w:type="pct"/>
            <w:vAlign w:val="center"/>
          </w:tcPr>
          <w:p w14:paraId="43959B79">
            <w:pPr>
              <w:pStyle w:val="12"/>
              <w:jc w:val="center"/>
            </w:pPr>
            <w:r>
              <w:rPr>
                <w:rFonts w:hint="eastAsia"/>
              </w:rPr>
              <w:t>1900</w:t>
            </w:r>
          </w:p>
        </w:tc>
        <w:tc>
          <w:tcPr>
            <w:tcW w:w="871" w:type="pct"/>
            <w:vAlign w:val="center"/>
          </w:tcPr>
          <w:p w14:paraId="6CBEA6F4">
            <w:pPr>
              <w:pStyle w:val="12"/>
              <w:jc w:val="center"/>
            </w:pPr>
            <w:r>
              <w:rPr>
                <w:rFonts w:hint="eastAsia"/>
              </w:rPr>
              <w:t>计生局</w:t>
            </w:r>
          </w:p>
        </w:tc>
      </w:tr>
      <w:tr w14:paraId="345F41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9" w:type="pct"/>
            <w:vAlign w:val="center"/>
          </w:tcPr>
          <w:p w14:paraId="3C98C213">
            <w:pPr>
              <w:pStyle w:val="12"/>
              <w:jc w:val="center"/>
            </w:pPr>
            <w:r>
              <w:rPr>
                <w:rFonts w:hint="eastAsia"/>
              </w:rPr>
              <w:t>青年学会</w:t>
            </w:r>
          </w:p>
        </w:tc>
        <w:tc>
          <w:tcPr>
            <w:tcW w:w="1226" w:type="pct"/>
            <w:vAlign w:val="center"/>
          </w:tcPr>
          <w:p w14:paraId="7EFF2DB7">
            <w:pPr>
              <w:pStyle w:val="12"/>
              <w:jc w:val="center"/>
            </w:pPr>
            <w:r>
              <w:rPr>
                <w:rFonts w:hint="eastAsia"/>
              </w:rPr>
              <w:t>1988年6月7日</w:t>
            </w:r>
          </w:p>
        </w:tc>
        <w:tc>
          <w:tcPr>
            <w:tcW w:w="782" w:type="pct"/>
            <w:vAlign w:val="center"/>
          </w:tcPr>
          <w:p w14:paraId="4EBBBC05">
            <w:pPr>
              <w:pStyle w:val="12"/>
              <w:jc w:val="center"/>
            </w:pPr>
            <w:r>
              <w:rPr>
                <w:rFonts w:hint="eastAsia"/>
              </w:rPr>
              <w:t>9</w:t>
            </w:r>
          </w:p>
        </w:tc>
        <w:tc>
          <w:tcPr>
            <w:tcW w:w="802" w:type="pct"/>
            <w:vAlign w:val="center"/>
          </w:tcPr>
          <w:p w14:paraId="7C679615">
            <w:pPr>
              <w:pStyle w:val="12"/>
              <w:jc w:val="center"/>
            </w:pPr>
            <w:r>
              <w:rPr>
                <w:rFonts w:hint="eastAsia"/>
              </w:rPr>
              <w:t>93</w:t>
            </w:r>
          </w:p>
        </w:tc>
        <w:tc>
          <w:tcPr>
            <w:tcW w:w="871" w:type="pct"/>
            <w:vAlign w:val="center"/>
          </w:tcPr>
          <w:p w14:paraId="48F884DD">
            <w:pPr>
              <w:pStyle w:val="12"/>
              <w:jc w:val="center"/>
            </w:pPr>
            <w:r>
              <w:rPr>
                <w:rFonts w:hint="eastAsia"/>
              </w:rPr>
              <w:t>团委</w:t>
            </w:r>
          </w:p>
        </w:tc>
      </w:tr>
      <w:tr w14:paraId="5F8A57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9" w:type="pct"/>
            <w:vAlign w:val="center"/>
          </w:tcPr>
          <w:p w14:paraId="570C62E2">
            <w:pPr>
              <w:pStyle w:val="12"/>
              <w:jc w:val="center"/>
            </w:pPr>
            <w:r>
              <w:rPr>
                <w:rFonts w:hint="eastAsia"/>
              </w:rPr>
              <w:t>职工思想政治工作研究会</w:t>
            </w:r>
          </w:p>
        </w:tc>
        <w:tc>
          <w:tcPr>
            <w:tcW w:w="1226" w:type="pct"/>
            <w:vAlign w:val="center"/>
          </w:tcPr>
          <w:p w14:paraId="5B360BEA">
            <w:pPr>
              <w:pStyle w:val="12"/>
              <w:jc w:val="center"/>
            </w:pPr>
            <w:r>
              <w:rPr>
                <w:rFonts w:hint="eastAsia"/>
              </w:rPr>
              <w:t>1988年7月4日</w:t>
            </w:r>
          </w:p>
        </w:tc>
        <w:tc>
          <w:tcPr>
            <w:tcW w:w="782" w:type="pct"/>
            <w:vAlign w:val="center"/>
          </w:tcPr>
          <w:p w14:paraId="6A14BA5B">
            <w:pPr>
              <w:pStyle w:val="12"/>
              <w:jc w:val="center"/>
            </w:pPr>
            <w:r>
              <w:rPr>
                <w:rFonts w:hint="eastAsia"/>
              </w:rPr>
              <w:t>15</w:t>
            </w:r>
          </w:p>
        </w:tc>
        <w:tc>
          <w:tcPr>
            <w:tcW w:w="802" w:type="pct"/>
            <w:vAlign w:val="center"/>
          </w:tcPr>
          <w:p w14:paraId="5FDA8DE4">
            <w:pPr>
              <w:pStyle w:val="12"/>
              <w:jc w:val="center"/>
            </w:pPr>
            <w:r>
              <w:rPr>
                <w:rFonts w:hint="eastAsia"/>
              </w:rPr>
              <w:t>135</w:t>
            </w:r>
          </w:p>
        </w:tc>
        <w:tc>
          <w:tcPr>
            <w:tcW w:w="871" w:type="pct"/>
            <w:vAlign w:val="center"/>
          </w:tcPr>
          <w:p w14:paraId="60A1ADDB">
            <w:pPr>
              <w:pStyle w:val="12"/>
              <w:jc w:val="center"/>
            </w:pPr>
            <w:r>
              <w:rPr>
                <w:rFonts w:hint="eastAsia"/>
              </w:rPr>
              <w:t>总工会</w:t>
            </w:r>
          </w:p>
        </w:tc>
      </w:tr>
      <w:tr w14:paraId="29DBC5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9" w:type="pct"/>
            <w:vAlign w:val="center"/>
          </w:tcPr>
          <w:p w14:paraId="3A07E32F">
            <w:pPr>
              <w:pStyle w:val="12"/>
              <w:jc w:val="center"/>
            </w:pPr>
            <w:r>
              <w:rPr>
                <w:rFonts w:hint="eastAsia"/>
              </w:rPr>
              <w:t>成人教育学会</w:t>
            </w:r>
          </w:p>
        </w:tc>
        <w:tc>
          <w:tcPr>
            <w:tcW w:w="1226" w:type="pct"/>
            <w:vAlign w:val="center"/>
          </w:tcPr>
          <w:p w14:paraId="226FCD57">
            <w:pPr>
              <w:pStyle w:val="12"/>
              <w:jc w:val="center"/>
            </w:pPr>
            <w:r>
              <w:rPr>
                <w:rFonts w:hint="eastAsia"/>
              </w:rPr>
              <w:t>1988年9月22日</w:t>
            </w:r>
          </w:p>
        </w:tc>
        <w:tc>
          <w:tcPr>
            <w:tcW w:w="782" w:type="pct"/>
            <w:vAlign w:val="center"/>
          </w:tcPr>
          <w:p w14:paraId="60C0EE60">
            <w:pPr>
              <w:pStyle w:val="12"/>
              <w:jc w:val="center"/>
            </w:pPr>
            <w:r>
              <w:rPr>
                <w:rFonts w:hint="eastAsia"/>
              </w:rPr>
              <w:t>23</w:t>
            </w:r>
          </w:p>
        </w:tc>
        <w:tc>
          <w:tcPr>
            <w:tcW w:w="802" w:type="pct"/>
            <w:vAlign w:val="center"/>
          </w:tcPr>
          <w:p w14:paraId="64321D97">
            <w:pPr>
              <w:pStyle w:val="12"/>
              <w:jc w:val="center"/>
            </w:pPr>
            <w:r>
              <w:rPr>
                <w:rFonts w:hint="eastAsia"/>
              </w:rPr>
              <w:t>151</w:t>
            </w:r>
          </w:p>
        </w:tc>
        <w:tc>
          <w:tcPr>
            <w:tcW w:w="871" w:type="pct"/>
            <w:vAlign w:val="center"/>
          </w:tcPr>
          <w:p w14:paraId="511A2BCB">
            <w:pPr>
              <w:pStyle w:val="12"/>
              <w:jc w:val="center"/>
            </w:pPr>
            <w:r>
              <w:rPr>
                <w:rFonts w:hint="eastAsia"/>
              </w:rPr>
              <w:t>教育局</w:t>
            </w:r>
          </w:p>
        </w:tc>
      </w:tr>
      <w:tr w14:paraId="4EF43B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9" w:type="pct"/>
            <w:vAlign w:val="center"/>
          </w:tcPr>
          <w:p w14:paraId="1463CCD1">
            <w:pPr>
              <w:pStyle w:val="12"/>
              <w:jc w:val="center"/>
            </w:pPr>
            <w:r>
              <w:rPr>
                <w:rFonts w:hint="eastAsia"/>
              </w:rPr>
              <w:t>南雄市地方税收研究会</w:t>
            </w:r>
          </w:p>
        </w:tc>
        <w:tc>
          <w:tcPr>
            <w:tcW w:w="1226" w:type="pct"/>
            <w:vAlign w:val="center"/>
          </w:tcPr>
          <w:p w14:paraId="4702FFF3">
            <w:pPr>
              <w:pStyle w:val="12"/>
              <w:jc w:val="center"/>
            </w:pPr>
            <w:r>
              <w:rPr>
                <w:rFonts w:hint="eastAsia"/>
              </w:rPr>
              <w:t>1999年4月20日</w:t>
            </w:r>
          </w:p>
        </w:tc>
        <w:tc>
          <w:tcPr>
            <w:tcW w:w="782" w:type="pct"/>
            <w:vAlign w:val="center"/>
          </w:tcPr>
          <w:p w14:paraId="67F2FC55">
            <w:pPr>
              <w:pStyle w:val="12"/>
              <w:jc w:val="center"/>
            </w:pPr>
            <w:r>
              <w:rPr>
                <w:rFonts w:hint="eastAsia"/>
              </w:rPr>
              <w:t>56</w:t>
            </w:r>
          </w:p>
        </w:tc>
        <w:tc>
          <w:tcPr>
            <w:tcW w:w="802" w:type="pct"/>
            <w:vAlign w:val="center"/>
          </w:tcPr>
          <w:p w14:paraId="7302E647">
            <w:pPr>
              <w:pStyle w:val="12"/>
              <w:jc w:val="center"/>
            </w:pPr>
            <w:r>
              <w:rPr>
                <w:rFonts w:hint="eastAsia"/>
              </w:rPr>
              <w:t>210</w:t>
            </w:r>
          </w:p>
        </w:tc>
        <w:tc>
          <w:tcPr>
            <w:tcW w:w="871" w:type="pct"/>
            <w:vAlign w:val="center"/>
          </w:tcPr>
          <w:p w14:paraId="385F2676">
            <w:pPr>
              <w:pStyle w:val="12"/>
              <w:jc w:val="center"/>
            </w:pPr>
            <w:r>
              <w:rPr>
                <w:rFonts w:hint="eastAsia"/>
              </w:rPr>
              <w:t>地税局</w:t>
            </w:r>
          </w:p>
        </w:tc>
      </w:tr>
      <w:tr w14:paraId="268F557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9" w:type="pct"/>
            <w:vAlign w:val="center"/>
          </w:tcPr>
          <w:p w14:paraId="65040721">
            <w:pPr>
              <w:pStyle w:val="12"/>
              <w:jc w:val="center"/>
            </w:pPr>
            <w:r>
              <w:rPr>
                <w:rFonts w:hint="eastAsia"/>
              </w:rPr>
              <w:t>合  计</w:t>
            </w:r>
          </w:p>
        </w:tc>
        <w:tc>
          <w:tcPr>
            <w:tcW w:w="1226" w:type="pct"/>
            <w:vAlign w:val="center"/>
          </w:tcPr>
          <w:p w14:paraId="5E39898C">
            <w:pPr>
              <w:pStyle w:val="12"/>
              <w:jc w:val="center"/>
            </w:pPr>
            <w:r>
              <w:rPr>
                <w:rFonts w:hint="eastAsia"/>
              </w:rPr>
              <w:t>—</w:t>
            </w:r>
          </w:p>
        </w:tc>
        <w:tc>
          <w:tcPr>
            <w:tcW w:w="782" w:type="pct"/>
            <w:vAlign w:val="center"/>
          </w:tcPr>
          <w:p w14:paraId="2101BBC0">
            <w:pPr>
              <w:pStyle w:val="12"/>
              <w:jc w:val="center"/>
            </w:pPr>
            <w:r>
              <w:rPr>
                <w:rFonts w:hint="eastAsia"/>
              </w:rPr>
              <w:t>312</w:t>
            </w:r>
          </w:p>
        </w:tc>
        <w:tc>
          <w:tcPr>
            <w:tcW w:w="802" w:type="pct"/>
            <w:vAlign w:val="center"/>
          </w:tcPr>
          <w:p w14:paraId="738F65FC">
            <w:pPr>
              <w:pStyle w:val="12"/>
              <w:jc w:val="center"/>
            </w:pPr>
            <w:r>
              <w:rPr>
                <w:rFonts w:hint="eastAsia"/>
              </w:rPr>
              <w:t>4363</w:t>
            </w:r>
          </w:p>
        </w:tc>
        <w:tc>
          <w:tcPr>
            <w:tcW w:w="871" w:type="pct"/>
            <w:vAlign w:val="center"/>
          </w:tcPr>
          <w:p w14:paraId="02E1F6C8">
            <w:pPr>
              <w:pStyle w:val="12"/>
              <w:jc w:val="center"/>
            </w:pPr>
            <w:r>
              <w:rPr>
                <w:rFonts w:hint="eastAsia"/>
              </w:rPr>
              <w:t>—</w:t>
            </w:r>
          </w:p>
        </w:tc>
      </w:tr>
    </w:tbl>
    <w:p w14:paraId="4E7F1872">
      <w:pPr>
        <w:pStyle w:val="5"/>
        <w:rPr>
          <w:rFonts w:ascii="宋体" w:hAnsi="宋体" w:cs="宋体"/>
        </w:rPr>
      </w:pPr>
      <w:r>
        <w:rPr>
          <w:rFonts w:hint="eastAsia" w:ascii="宋体" w:hAnsi="宋体" w:cs="宋体"/>
        </w:rPr>
        <w:t>三、文学艺术界联合会</w:t>
      </w:r>
    </w:p>
    <w:p w14:paraId="270BB191">
      <w:pPr>
        <w:ind w:firstLine="420"/>
        <w:rPr>
          <w:rFonts w:ascii="宋体" w:hAnsi="宋体" w:cs="宋体"/>
        </w:rPr>
      </w:pPr>
      <w:r>
        <w:rPr>
          <w:rFonts w:hint="eastAsia" w:ascii="宋体" w:hAnsi="宋体" w:cs="宋体"/>
        </w:rPr>
        <w:t xml:space="preserve">1986年11月17日，在县文学艺术工作者第一次代表大会上成立南雄县文学艺术界联合会（简称文联）。大会通过联合会章程，选举产生县文联第一届委员25人，常务委员15人。县文联下属有7个协会1个诗社，详见表4-13： </w:t>
      </w:r>
    </w:p>
    <w:p w14:paraId="568AA2A3">
      <w:pPr>
        <w:ind w:firstLine="0" w:firstLineChars="0"/>
        <w:jc w:val="center"/>
        <w:rPr>
          <w:rFonts w:ascii="宋体" w:hAnsi="宋体" w:cs="宋体"/>
          <w:b/>
          <w:bCs/>
        </w:rPr>
      </w:pPr>
      <w:r>
        <w:rPr>
          <w:rFonts w:hint="eastAsia" w:ascii="宋体" w:hAnsi="宋体" w:cs="宋体"/>
          <w:b/>
          <w:bCs/>
        </w:rPr>
        <w:t>南雄县各文学艺术协会、学会一览</w:t>
      </w:r>
    </w:p>
    <w:p w14:paraId="5F63D6F3">
      <w:pPr>
        <w:ind w:firstLine="0" w:firstLineChars="0"/>
        <w:rPr>
          <w:rFonts w:ascii="宋体" w:hAnsi="宋体" w:cs="宋体"/>
          <w:b/>
          <w:bCs/>
        </w:rPr>
      </w:pPr>
      <w:r>
        <w:rPr>
          <w:rFonts w:hint="eastAsia" w:ascii="宋体" w:hAnsi="宋体" w:cs="宋体"/>
          <w:b/>
          <w:bCs/>
        </w:rPr>
        <w:t>表4-13</w:t>
      </w:r>
    </w:p>
    <w:p w14:paraId="2851487D">
      <w:pPr>
        <w:ind w:firstLine="0" w:firstLineChars="0"/>
        <w:jc w:val="right"/>
        <w:rPr>
          <w:rFonts w:ascii="宋体" w:hAnsi="宋体" w:cs="宋体"/>
          <w:b/>
          <w:bCs/>
        </w:rPr>
      </w:pPr>
      <w:r>
        <w:rPr>
          <w:rFonts w:hint="eastAsia" w:ascii="宋体" w:hAnsi="宋体" w:cs="宋体"/>
          <w:b/>
          <w:bCs/>
        </w:rPr>
        <w:t>单位：人</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592"/>
        <w:gridCol w:w="2124"/>
        <w:gridCol w:w="2124"/>
        <w:gridCol w:w="2122"/>
      </w:tblGrid>
      <w:tr w14:paraId="5A85E9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03" w:type="pct"/>
            <w:vAlign w:val="center"/>
          </w:tcPr>
          <w:p w14:paraId="227D3D54">
            <w:pPr>
              <w:pStyle w:val="12"/>
              <w:jc w:val="center"/>
              <w:rPr>
                <w:b/>
              </w:rPr>
            </w:pPr>
            <w:r>
              <w:rPr>
                <w:rFonts w:hint="eastAsia"/>
                <w:b/>
              </w:rPr>
              <w:t>名  称</w:t>
            </w:r>
          </w:p>
        </w:tc>
        <w:tc>
          <w:tcPr>
            <w:tcW w:w="1066" w:type="pct"/>
            <w:vAlign w:val="center"/>
          </w:tcPr>
          <w:p w14:paraId="5ACF8D90">
            <w:pPr>
              <w:pStyle w:val="12"/>
              <w:jc w:val="center"/>
              <w:rPr>
                <w:b/>
              </w:rPr>
            </w:pPr>
            <w:r>
              <w:rPr>
                <w:rFonts w:hint="eastAsia"/>
                <w:b/>
              </w:rPr>
              <w:t>成立时间</w:t>
            </w:r>
          </w:p>
        </w:tc>
        <w:tc>
          <w:tcPr>
            <w:tcW w:w="1066" w:type="pct"/>
            <w:vAlign w:val="center"/>
          </w:tcPr>
          <w:p w14:paraId="4A0A4097">
            <w:pPr>
              <w:pStyle w:val="12"/>
              <w:jc w:val="center"/>
              <w:rPr>
                <w:b/>
              </w:rPr>
            </w:pPr>
            <w:r>
              <w:rPr>
                <w:rFonts w:hint="eastAsia"/>
                <w:b/>
              </w:rPr>
              <w:t>理事</w:t>
            </w:r>
          </w:p>
        </w:tc>
        <w:tc>
          <w:tcPr>
            <w:tcW w:w="1066" w:type="pct"/>
            <w:vAlign w:val="center"/>
          </w:tcPr>
          <w:p w14:paraId="065DC3F0">
            <w:pPr>
              <w:pStyle w:val="12"/>
              <w:jc w:val="center"/>
              <w:rPr>
                <w:b/>
              </w:rPr>
            </w:pPr>
            <w:r>
              <w:rPr>
                <w:rFonts w:hint="eastAsia"/>
                <w:b/>
              </w:rPr>
              <w:t>会员</w:t>
            </w:r>
          </w:p>
        </w:tc>
      </w:tr>
      <w:tr w14:paraId="708EC0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03" w:type="pct"/>
            <w:vAlign w:val="center"/>
          </w:tcPr>
          <w:p w14:paraId="041F2B19">
            <w:pPr>
              <w:pStyle w:val="12"/>
              <w:jc w:val="center"/>
            </w:pPr>
            <w:r>
              <w:rPr>
                <w:rFonts w:hint="eastAsia"/>
              </w:rPr>
              <w:t>书法研究学会</w:t>
            </w:r>
          </w:p>
        </w:tc>
        <w:tc>
          <w:tcPr>
            <w:tcW w:w="1066" w:type="pct"/>
            <w:vAlign w:val="center"/>
          </w:tcPr>
          <w:p w14:paraId="5B66D8CB">
            <w:pPr>
              <w:pStyle w:val="12"/>
              <w:jc w:val="center"/>
            </w:pPr>
            <w:r>
              <w:rPr>
                <w:rFonts w:hint="eastAsia"/>
              </w:rPr>
              <w:t>1982年5月</w:t>
            </w:r>
          </w:p>
        </w:tc>
        <w:tc>
          <w:tcPr>
            <w:tcW w:w="1066" w:type="pct"/>
            <w:vAlign w:val="center"/>
          </w:tcPr>
          <w:p w14:paraId="37FE70F7">
            <w:pPr>
              <w:pStyle w:val="12"/>
              <w:jc w:val="center"/>
            </w:pPr>
            <w:r>
              <w:rPr>
                <w:rFonts w:hint="eastAsia"/>
              </w:rPr>
              <w:t>8</w:t>
            </w:r>
          </w:p>
        </w:tc>
        <w:tc>
          <w:tcPr>
            <w:tcW w:w="1066" w:type="pct"/>
            <w:vAlign w:val="center"/>
          </w:tcPr>
          <w:p w14:paraId="0213C193">
            <w:pPr>
              <w:pStyle w:val="12"/>
              <w:jc w:val="center"/>
            </w:pPr>
            <w:r>
              <w:rPr>
                <w:rFonts w:hint="eastAsia"/>
              </w:rPr>
              <w:t>35</w:t>
            </w:r>
          </w:p>
        </w:tc>
      </w:tr>
      <w:tr w14:paraId="2BF94E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03" w:type="pct"/>
            <w:vAlign w:val="center"/>
          </w:tcPr>
          <w:p w14:paraId="128635D2">
            <w:pPr>
              <w:pStyle w:val="12"/>
              <w:jc w:val="center"/>
            </w:pPr>
            <w:r>
              <w:rPr>
                <w:rFonts w:hint="eastAsia"/>
              </w:rPr>
              <w:t>文学工作者协会</w:t>
            </w:r>
          </w:p>
        </w:tc>
        <w:tc>
          <w:tcPr>
            <w:tcW w:w="1066" w:type="pct"/>
            <w:vAlign w:val="center"/>
          </w:tcPr>
          <w:p w14:paraId="2B2500C7">
            <w:pPr>
              <w:pStyle w:val="12"/>
              <w:jc w:val="center"/>
            </w:pPr>
            <w:r>
              <w:rPr>
                <w:rFonts w:hint="eastAsia"/>
              </w:rPr>
              <w:t>1986年12月</w:t>
            </w:r>
          </w:p>
        </w:tc>
        <w:tc>
          <w:tcPr>
            <w:tcW w:w="1066" w:type="pct"/>
            <w:vAlign w:val="center"/>
          </w:tcPr>
          <w:p w14:paraId="1A79037E">
            <w:pPr>
              <w:pStyle w:val="12"/>
              <w:jc w:val="center"/>
            </w:pPr>
            <w:r>
              <w:rPr>
                <w:rFonts w:hint="eastAsia"/>
              </w:rPr>
              <w:t>15</w:t>
            </w:r>
          </w:p>
        </w:tc>
        <w:tc>
          <w:tcPr>
            <w:tcW w:w="1066" w:type="pct"/>
            <w:vAlign w:val="center"/>
          </w:tcPr>
          <w:p w14:paraId="0194F0E7">
            <w:pPr>
              <w:pStyle w:val="12"/>
              <w:jc w:val="center"/>
            </w:pPr>
            <w:r>
              <w:rPr>
                <w:rFonts w:hint="eastAsia"/>
              </w:rPr>
              <w:t>40</w:t>
            </w:r>
          </w:p>
        </w:tc>
      </w:tr>
      <w:tr w14:paraId="7465B2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03" w:type="pct"/>
            <w:vAlign w:val="center"/>
          </w:tcPr>
          <w:p w14:paraId="10E90AB5">
            <w:pPr>
              <w:pStyle w:val="12"/>
              <w:jc w:val="center"/>
            </w:pPr>
            <w:r>
              <w:rPr>
                <w:rFonts w:hint="eastAsia"/>
              </w:rPr>
              <w:t>美术工作者协会</w:t>
            </w:r>
          </w:p>
        </w:tc>
        <w:tc>
          <w:tcPr>
            <w:tcW w:w="1066" w:type="pct"/>
            <w:vAlign w:val="center"/>
          </w:tcPr>
          <w:p w14:paraId="0BC10074">
            <w:pPr>
              <w:pStyle w:val="12"/>
              <w:jc w:val="center"/>
            </w:pPr>
            <w:r>
              <w:rPr>
                <w:rFonts w:hint="eastAsia"/>
              </w:rPr>
              <w:t>1986年12月</w:t>
            </w:r>
          </w:p>
        </w:tc>
        <w:tc>
          <w:tcPr>
            <w:tcW w:w="1066" w:type="pct"/>
            <w:vAlign w:val="center"/>
          </w:tcPr>
          <w:p w14:paraId="46D9899A">
            <w:pPr>
              <w:pStyle w:val="12"/>
              <w:jc w:val="center"/>
            </w:pPr>
            <w:r>
              <w:rPr>
                <w:rFonts w:hint="eastAsia"/>
              </w:rPr>
              <w:t>10</w:t>
            </w:r>
          </w:p>
        </w:tc>
        <w:tc>
          <w:tcPr>
            <w:tcW w:w="1066" w:type="pct"/>
            <w:vAlign w:val="center"/>
          </w:tcPr>
          <w:p w14:paraId="42BA97A9">
            <w:pPr>
              <w:pStyle w:val="12"/>
              <w:jc w:val="center"/>
            </w:pPr>
            <w:r>
              <w:rPr>
                <w:rFonts w:hint="eastAsia"/>
              </w:rPr>
              <w:t>45</w:t>
            </w:r>
          </w:p>
        </w:tc>
      </w:tr>
      <w:tr w14:paraId="1A0DB1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03" w:type="pct"/>
            <w:vAlign w:val="center"/>
          </w:tcPr>
          <w:p w14:paraId="0B35E597">
            <w:pPr>
              <w:pStyle w:val="12"/>
              <w:jc w:val="center"/>
            </w:pPr>
            <w:r>
              <w:rPr>
                <w:rFonts w:hint="eastAsia"/>
              </w:rPr>
              <w:t>摄影工作者协会</w:t>
            </w:r>
          </w:p>
        </w:tc>
        <w:tc>
          <w:tcPr>
            <w:tcW w:w="1066" w:type="pct"/>
            <w:vAlign w:val="center"/>
          </w:tcPr>
          <w:p w14:paraId="12979FB5">
            <w:pPr>
              <w:pStyle w:val="12"/>
              <w:jc w:val="center"/>
            </w:pPr>
            <w:r>
              <w:rPr>
                <w:rFonts w:hint="eastAsia"/>
              </w:rPr>
              <w:t>1986年12月</w:t>
            </w:r>
          </w:p>
        </w:tc>
        <w:tc>
          <w:tcPr>
            <w:tcW w:w="1066" w:type="pct"/>
            <w:vAlign w:val="center"/>
          </w:tcPr>
          <w:p w14:paraId="2EC4FC5C">
            <w:pPr>
              <w:pStyle w:val="12"/>
              <w:jc w:val="center"/>
            </w:pPr>
            <w:r>
              <w:rPr>
                <w:rFonts w:hint="eastAsia"/>
              </w:rPr>
              <w:t>16</w:t>
            </w:r>
          </w:p>
        </w:tc>
        <w:tc>
          <w:tcPr>
            <w:tcW w:w="1066" w:type="pct"/>
            <w:vAlign w:val="center"/>
          </w:tcPr>
          <w:p w14:paraId="0BDC7D75">
            <w:pPr>
              <w:pStyle w:val="12"/>
              <w:jc w:val="center"/>
            </w:pPr>
            <w:r>
              <w:rPr>
                <w:rFonts w:hint="eastAsia"/>
              </w:rPr>
              <w:t>55</w:t>
            </w:r>
          </w:p>
        </w:tc>
      </w:tr>
      <w:tr w14:paraId="38CE74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03" w:type="pct"/>
            <w:vAlign w:val="center"/>
          </w:tcPr>
          <w:p w14:paraId="6B694496">
            <w:pPr>
              <w:pStyle w:val="12"/>
              <w:jc w:val="center"/>
            </w:pPr>
            <w:r>
              <w:rPr>
                <w:rFonts w:hint="eastAsia"/>
              </w:rPr>
              <w:t>音乐、舞蹈、戏剧工作者协会</w:t>
            </w:r>
          </w:p>
        </w:tc>
        <w:tc>
          <w:tcPr>
            <w:tcW w:w="1066" w:type="pct"/>
            <w:vAlign w:val="center"/>
          </w:tcPr>
          <w:p w14:paraId="559ABFED">
            <w:pPr>
              <w:pStyle w:val="12"/>
              <w:jc w:val="center"/>
            </w:pPr>
            <w:r>
              <w:rPr>
                <w:rFonts w:hint="eastAsia"/>
              </w:rPr>
              <w:t>1986年12月</w:t>
            </w:r>
          </w:p>
        </w:tc>
        <w:tc>
          <w:tcPr>
            <w:tcW w:w="1066" w:type="pct"/>
            <w:vAlign w:val="center"/>
          </w:tcPr>
          <w:p w14:paraId="1784223A">
            <w:pPr>
              <w:pStyle w:val="12"/>
              <w:jc w:val="center"/>
            </w:pPr>
            <w:r>
              <w:rPr>
                <w:rFonts w:hint="eastAsia"/>
              </w:rPr>
              <w:t>20</w:t>
            </w:r>
          </w:p>
        </w:tc>
        <w:tc>
          <w:tcPr>
            <w:tcW w:w="1066" w:type="pct"/>
            <w:vAlign w:val="center"/>
          </w:tcPr>
          <w:p w14:paraId="08705D51">
            <w:pPr>
              <w:pStyle w:val="12"/>
              <w:jc w:val="center"/>
            </w:pPr>
            <w:r>
              <w:rPr>
                <w:rFonts w:hint="eastAsia"/>
              </w:rPr>
              <w:t>115</w:t>
            </w:r>
          </w:p>
        </w:tc>
      </w:tr>
      <w:tr w14:paraId="72FDA5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03" w:type="pct"/>
            <w:vAlign w:val="center"/>
          </w:tcPr>
          <w:p w14:paraId="1906A92B">
            <w:pPr>
              <w:pStyle w:val="12"/>
              <w:jc w:val="center"/>
            </w:pPr>
            <w:r>
              <w:rPr>
                <w:rFonts w:hint="eastAsia"/>
              </w:rPr>
              <w:t>民间文学工作者协会</w:t>
            </w:r>
          </w:p>
        </w:tc>
        <w:tc>
          <w:tcPr>
            <w:tcW w:w="1066" w:type="pct"/>
            <w:vAlign w:val="center"/>
          </w:tcPr>
          <w:p w14:paraId="235A0790">
            <w:pPr>
              <w:pStyle w:val="12"/>
              <w:jc w:val="center"/>
            </w:pPr>
            <w:r>
              <w:rPr>
                <w:rFonts w:hint="eastAsia"/>
              </w:rPr>
              <w:t>1987年1月</w:t>
            </w:r>
          </w:p>
        </w:tc>
        <w:tc>
          <w:tcPr>
            <w:tcW w:w="1066" w:type="pct"/>
            <w:vAlign w:val="center"/>
          </w:tcPr>
          <w:p w14:paraId="451991AE">
            <w:pPr>
              <w:pStyle w:val="12"/>
              <w:jc w:val="center"/>
            </w:pPr>
            <w:r>
              <w:rPr>
                <w:rFonts w:hint="eastAsia"/>
              </w:rPr>
              <w:t>5</w:t>
            </w:r>
          </w:p>
        </w:tc>
        <w:tc>
          <w:tcPr>
            <w:tcW w:w="1066" w:type="pct"/>
            <w:vAlign w:val="center"/>
          </w:tcPr>
          <w:p w14:paraId="318CBFFB">
            <w:pPr>
              <w:pStyle w:val="12"/>
              <w:jc w:val="center"/>
            </w:pPr>
            <w:r>
              <w:rPr>
                <w:rFonts w:hint="eastAsia"/>
              </w:rPr>
              <w:t>18</w:t>
            </w:r>
          </w:p>
        </w:tc>
      </w:tr>
      <w:tr w14:paraId="7AB077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03" w:type="pct"/>
            <w:vAlign w:val="center"/>
          </w:tcPr>
          <w:p w14:paraId="213D2CCF">
            <w:pPr>
              <w:pStyle w:val="12"/>
              <w:jc w:val="center"/>
            </w:pPr>
            <w:r>
              <w:rPr>
                <w:rFonts w:hint="eastAsia"/>
              </w:rPr>
              <w:t>硬笔书法工作者协会</w:t>
            </w:r>
          </w:p>
        </w:tc>
        <w:tc>
          <w:tcPr>
            <w:tcW w:w="1066" w:type="pct"/>
            <w:vAlign w:val="center"/>
          </w:tcPr>
          <w:p w14:paraId="01271C0E">
            <w:pPr>
              <w:pStyle w:val="12"/>
              <w:jc w:val="center"/>
            </w:pPr>
            <w:r>
              <w:rPr>
                <w:rFonts w:hint="eastAsia"/>
              </w:rPr>
              <w:t>1987年4月</w:t>
            </w:r>
          </w:p>
        </w:tc>
        <w:tc>
          <w:tcPr>
            <w:tcW w:w="1066" w:type="pct"/>
            <w:vAlign w:val="center"/>
          </w:tcPr>
          <w:p w14:paraId="24519D79">
            <w:pPr>
              <w:pStyle w:val="12"/>
              <w:jc w:val="center"/>
            </w:pPr>
            <w:r>
              <w:rPr>
                <w:rFonts w:hint="eastAsia"/>
              </w:rPr>
              <w:t>7</w:t>
            </w:r>
          </w:p>
        </w:tc>
        <w:tc>
          <w:tcPr>
            <w:tcW w:w="1066" w:type="pct"/>
            <w:vAlign w:val="center"/>
          </w:tcPr>
          <w:p w14:paraId="3E3C18E5">
            <w:pPr>
              <w:pStyle w:val="12"/>
              <w:jc w:val="center"/>
            </w:pPr>
            <w:r>
              <w:rPr>
                <w:rFonts w:hint="eastAsia"/>
              </w:rPr>
              <w:t>36</w:t>
            </w:r>
          </w:p>
        </w:tc>
      </w:tr>
      <w:tr w14:paraId="33BEBC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03" w:type="pct"/>
            <w:vAlign w:val="center"/>
          </w:tcPr>
          <w:p w14:paraId="011F047E">
            <w:pPr>
              <w:pStyle w:val="12"/>
              <w:jc w:val="center"/>
            </w:pPr>
            <w:r>
              <w:rPr>
                <w:rFonts w:hint="eastAsia"/>
              </w:rPr>
              <w:t>雄州诗社</w:t>
            </w:r>
          </w:p>
        </w:tc>
        <w:tc>
          <w:tcPr>
            <w:tcW w:w="1066" w:type="pct"/>
            <w:vAlign w:val="center"/>
          </w:tcPr>
          <w:p w14:paraId="1EB21167">
            <w:pPr>
              <w:pStyle w:val="12"/>
              <w:jc w:val="center"/>
            </w:pPr>
            <w:r>
              <w:rPr>
                <w:rFonts w:hint="eastAsia"/>
              </w:rPr>
              <w:t>1994年6月</w:t>
            </w:r>
          </w:p>
        </w:tc>
        <w:tc>
          <w:tcPr>
            <w:tcW w:w="1066" w:type="pct"/>
            <w:vAlign w:val="center"/>
          </w:tcPr>
          <w:p w14:paraId="779D9FEF">
            <w:pPr>
              <w:pStyle w:val="12"/>
              <w:jc w:val="center"/>
            </w:pPr>
            <w:r>
              <w:rPr>
                <w:rFonts w:hint="eastAsia"/>
              </w:rPr>
              <w:t>9</w:t>
            </w:r>
          </w:p>
        </w:tc>
        <w:tc>
          <w:tcPr>
            <w:tcW w:w="1066" w:type="pct"/>
            <w:vAlign w:val="center"/>
          </w:tcPr>
          <w:p w14:paraId="6E0D82E7">
            <w:pPr>
              <w:pStyle w:val="12"/>
              <w:jc w:val="center"/>
            </w:pPr>
            <w:r>
              <w:rPr>
                <w:rFonts w:hint="eastAsia"/>
              </w:rPr>
              <w:t>40</w:t>
            </w:r>
          </w:p>
        </w:tc>
      </w:tr>
    </w:tbl>
    <w:p w14:paraId="5DDECBA9">
      <w:pPr>
        <w:ind w:firstLine="420"/>
        <w:rPr>
          <w:rFonts w:ascii="宋体" w:hAnsi="宋体" w:cs="宋体"/>
        </w:rPr>
      </w:pPr>
      <w:r>
        <w:rPr>
          <w:rFonts w:hint="eastAsia" w:ascii="宋体" w:hAnsi="宋体" w:cs="宋体"/>
        </w:rPr>
        <w:t>1987年12月20日县文联创办《珠玑》杂志。随后文联及其下属协会、学会出版《南雄诗词选》、《南雄建设颂》、《南雄对联选》、《南雄书法研究》、《南雄文协报》和《南雄艺苑》、《南雄诗苑》（原名雄韵）、《文苑拾萃》等书刊。</w:t>
      </w:r>
    </w:p>
    <w:p w14:paraId="3E4A6DFF">
      <w:pPr>
        <w:ind w:firstLine="420"/>
        <w:rPr>
          <w:rFonts w:ascii="宋体" w:hAnsi="宋体" w:cs="宋体"/>
        </w:rPr>
      </w:pPr>
      <w:r>
        <w:rPr>
          <w:rFonts w:hint="eastAsia" w:ascii="宋体" w:hAnsi="宋体" w:cs="宋体"/>
        </w:rPr>
        <w:t>近20多年来，南雄文艺工作者，共创作各类作品5000多件。作品出版及获奖情况详见本志文化编文化艺术章。书法学会、摄影学会举办了多次展览。</w:t>
      </w:r>
    </w:p>
    <w:p w14:paraId="019D85F9">
      <w:pPr>
        <w:pStyle w:val="4"/>
        <w:rPr>
          <w:rFonts w:ascii="宋体" w:hAnsi="宋体" w:cs="宋体"/>
        </w:rPr>
      </w:pPr>
      <w:r>
        <w:rPr>
          <w:rFonts w:hint="eastAsia" w:ascii="宋体" w:hAnsi="宋体" w:cs="宋体"/>
        </w:rPr>
        <w:t>第八节  广东南雄珠玑巷后裔联谊会</w:t>
      </w:r>
    </w:p>
    <w:p w14:paraId="4DC03DC0">
      <w:pPr>
        <w:ind w:firstLine="420"/>
        <w:rPr>
          <w:rFonts w:ascii="宋体" w:hAnsi="宋体" w:cs="宋体"/>
        </w:rPr>
      </w:pPr>
      <w:r>
        <w:rPr>
          <w:rFonts w:hint="eastAsia" w:ascii="宋体" w:hAnsi="宋体" w:cs="宋体"/>
        </w:rPr>
        <w:t>1990年4月，广东南雄珠玑巷后裔联谊会筹委会成立，以欧初（广州市委原书记、广东省原顾委常委）为名誉主任，吴述超（南雄县政协主席）为主任。经筹委会多年奔走，各方联络，为重建珠玑占巷，成立珠玑巷后裔联谊会取得共识。</w:t>
      </w:r>
    </w:p>
    <w:p w14:paraId="79ABD010">
      <w:pPr>
        <w:ind w:firstLine="420"/>
        <w:rPr>
          <w:rFonts w:ascii="宋体" w:hAnsi="宋体" w:cs="宋体"/>
        </w:rPr>
      </w:pPr>
      <w:r>
        <w:rPr>
          <w:rFonts w:hint="eastAsia" w:ascii="宋体" w:hAnsi="宋体" w:cs="宋体"/>
        </w:rPr>
        <w:t>1995年11月28日，广东南雄珠玑巷后裔联谊会成立暨第一届垦亲大会在雄州古城隆重举行。参加会议的有来自16个国家和地区以及全国各地的几十个团体代表共1700多人。全国政协副主席霍英东、马万祺，广东省省长朱森林，广州市委书记高祀仁，广州市长黎子流，新华社香港分社副社长郑国雄，广东省副省长李兰芳，省政协副主席肖跃堂、李金培等领导参加了大会。全国人大常委会副委员长雷洁琼向大会发来贺电。大会推举产生了由203人组成的理事会，并一致推举黎子流为会长。通过了《广东南雄珠玑巷后裔联谊会章程》及《广东南雄珠玑巷后裔联谊会修复珠玑古巷基金会章程》。</w:t>
      </w:r>
    </w:p>
    <w:p w14:paraId="6EF0BC71">
      <w:pPr>
        <w:ind w:firstLine="420"/>
        <w:rPr>
          <w:rFonts w:ascii="宋体" w:hAnsi="宋体" w:cs="宋体"/>
        </w:rPr>
      </w:pPr>
      <w:r>
        <w:rPr>
          <w:rFonts w:hint="eastAsia" w:ascii="宋体" w:hAnsi="宋体" w:cs="宋体"/>
        </w:rPr>
        <w:t>1998年11月28日，珠玑巷后裔联谊会第二届理事会会议在南雄市迎宾馆举行。参加会议的来自海内外的理事、嘉宾350多人。会议总结了首届理事会3年来的工作，增补了129名理事会成员，推举黎子流连任会长。</w:t>
      </w:r>
    </w:p>
    <w:p w14:paraId="0D6B364D">
      <w:pPr>
        <w:ind w:firstLine="420"/>
        <w:rPr>
          <w:rFonts w:ascii="宋体" w:hAnsi="宋体" w:cs="宋体"/>
        </w:rPr>
      </w:pPr>
      <w:r>
        <w:rPr>
          <w:rFonts w:hint="eastAsia" w:ascii="宋体" w:hAnsi="宋体" w:cs="宋体"/>
        </w:rPr>
        <w:t>2003年10月20日至21日，珠玑巷后裔联谊会第三届理事会暨经贸洽谈会在雄州体育馆举行。参加会议的有来自海内外的理事、嘉宾共600多人。会议期间有12个项目签约，13个项目竣工（投产）剪彩，10个项目举行奠基仪式，投资总额18亿多元。会议选举产生了第三届理事会，黎子流再次当选会长。</w:t>
      </w:r>
    </w:p>
    <w:p w14:paraId="66FE6ED1">
      <w:pPr>
        <w:ind w:firstLine="420"/>
        <w:rPr>
          <w:rFonts w:ascii="宋体" w:hAnsi="宋体" w:cs="宋体"/>
        </w:rPr>
      </w:pPr>
      <w:r>
        <w:rPr>
          <w:rFonts w:hint="eastAsia" w:ascii="宋体" w:hAnsi="宋体" w:cs="宋体"/>
        </w:rPr>
        <w:t>后裔联谊会设办公室，为常设办事机构，有专职人员3人。2004年累计，办公室接待到南雄寻根问祖、观光旅游的珠玑巷后裔1500余批，约10万人次。联谊会通过各种联谊活动促进招商引资，投资总额10亿多元，开发建设珠玑巷捐款1亿多元，支持文化教育卫生事业捐款4000多万元。</w:t>
      </w:r>
    </w:p>
    <w:p w14:paraId="57AC9DDF">
      <w:pPr>
        <w:pStyle w:val="4"/>
        <w:rPr>
          <w:rFonts w:ascii="宋体" w:hAnsi="宋体" w:cs="宋体"/>
        </w:rPr>
      </w:pPr>
      <w:r>
        <w:rPr>
          <w:rFonts w:hint="eastAsia" w:ascii="宋体" w:hAnsi="宋体" w:cs="宋体"/>
        </w:rPr>
        <w:t>第九节  其他群众团体</w:t>
      </w:r>
    </w:p>
    <w:p w14:paraId="6FE461FC">
      <w:pPr>
        <w:ind w:firstLine="422"/>
        <w:rPr>
          <w:rFonts w:ascii="宋体" w:hAnsi="宋体" w:cs="宋体"/>
        </w:rPr>
      </w:pPr>
      <w:r>
        <w:rPr>
          <w:rFonts w:hint="eastAsia" w:ascii="宋体" w:hAnsi="宋体" w:cs="宋体"/>
          <w:b/>
          <w:bCs/>
        </w:rPr>
        <w:t xml:space="preserve">南雄市红十字会 </w:t>
      </w:r>
      <w:r>
        <w:rPr>
          <w:rFonts w:hint="eastAsia" w:ascii="宋体" w:hAnsi="宋体" w:cs="宋体"/>
        </w:rPr>
        <w:t xml:space="preserve"> 1992年成立，有团体会员46个单位，会员1267人。名誉会长由市委书记、市长兼任，主管文教卫生的副市长任会长，每个团体会员单位的领导兼任理事。自成立以来，一直担负全市抗御各种灾害的救助工作。组织市人民医院、市中医院、市疾控中心、市妇保院、市慢病站5个医疗单位骨干，每季下乡巡回义诊一次，共为群众服务1万多人次。</w:t>
      </w:r>
    </w:p>
    <w:p w14:paraId="05C2577E">
      <w:pPr>
        <w:ind w:firstLine="422"/>
        <w:rPr>
          <w:rFonts w:ascii="宋体" w:hAnsi="宋体" w:cs="宋体"/>
        </w:rPr>
      </w:pPr>
      <w:r>
        <w:rPr>
          <w:rFonts w:hint="eastAsia" w:ascii="宋体" w:hAnsi="宋体" w:cs="宋体"/>
          <w:b/>
          <w:bCs/>
        </w:rPr>
        <w:t>南雄市残疾人联合会</w:t>
      </w:r>
      <w:r>
        <w:rPr>
          <w:rFonts w:hint="eastAsia" w:ascii="宋体" w:hAnsi="宋体" w:cs="宋体"/>
        </w:rPr>
        <w:t xml:space="preserve">  1990年4月成立，为正科级事业单位。其工作情况详见本志社会编民政章。</w:t>
      </w:r>
    </w:p>
    <w:p w14:paraId="15F412E6">
      <w:pPr>
        <w:ind w:firstLine="422"/>
        <w:rPr>
          <w:rFonts w:ascii="宋体" w:hAnsi="宋体" w:cs="宋体"/>
        </w:rPr>
      </w:pPr>
      <w:r>
        <w:rPr>
          <w:rFonts w:hint="eastAsia" w:ascii="宋体" w:hAnsi="宋体" w:cs="宋体"/>
          <w:b/>
          <w:bCs/>
        </w:rPr>
        <w:t xml:space="preserve">南雄消费者委员会 </w:t>
      </w:r>
      <w:r>
        <w:rPr>
          <w:rFonts w:hint="eastAsia" w:ascii="宋体" w:hAnsi="宋体" w:cs="宋体"/>
        </w:rPr>
        <w:t xml:space="preserve"> 1995年4月成立，1988年至2002年共受理消费者投诉512起，调解成功率为98%，为消费者挽回经济损失120余万元，接受群众咨询3512人次。</w:t>
      </w:r>
    </w:p>
    <w:p w14:paraId="7D949035">
      <w:pPr>
        <w:pStyle w:val="2"/>
        <w:rPr>
          <w:rFonts w:ascii="宋体" w:hAnsi="宋体" w:cs="宋体"/>
        </w:rPr>
      </w:pPr>
      <w:r>
        <w:rPr>
          <w:rFonts w:hint="eastAsia" w:ascii="宋体" w:hAnsi="宋体" w:cs="宋体"/>
        </w:rPr>
        <w:t>第五编  文化</w:t>
      </w:r>
    </w:p>
    <w:p w14:paraId="5005C6EA">
      <w:pPr>
        <w:pStyle w:val="3"/>
        <w:rPr>
          <w:rFonts w:ascii="宋体" w:hAnsi="宋体" w:cs="宋体"/>
        </w:rPr>
      </w:pPr>
      <w:r>
        <w:rPr>
          <w:rFonts w:hint="eastAsia" w:ascii="宋体" w:hAnsi="宋体" w:cs="宋体"/>
        </w:rPr>
        <w:t>第一章  教育</w:t>
      </w:r>
    </w:p>
    <w:p w14:paraId="617394EF">
      <w:pPr>
        <w:ind w:firstLine="420"/>
        <w:rPr>
          <w:rFonts w:ascii="宋体" w:hAnsi="宋体" w:cs="宋体"/>
        </w:rPr>
      </w:pPr>
      <w:r>
        <w:rPr>
          <w:rFonts w:hint="eastAsia" w:ascii="宋体" w:hAnsi="宋体" w:cs="宋体"/>
        </w:rPr>
        <w:t>南雄教育兴于宋。北宋建隆三年（962年）孔闰于坪林创办第一所书院。庆历四年（1044年）创州学，元祐间置教授。至南宋末，保昌县举进士52人。明成化、嘉靖间，办学之风颇盛。南雄州城内有大中、西清、正学书院3所，城乡有社学18所。至清乾隆间，创立道南书院，经历任官府倡修完善，学舍颇具规模，束修膏火备给，为岭南一重要养士之所。民国中期，当局推行义务教育、国民教育，南雄教育事业有一定发展。抗日战争期间，不少名流学者、革命志士到南雄执教，对南雄的教育事业促进颇大。民国34（1945年）春夏，日本侵华入雄，校舍遭受严重破坏，教育一蹶不振。民国37年，文盲占总人口的80%多。</w:t>
      </w:r>
    </w:p>
    <w:p w14:paraId="1F22690B">
      <w:pPr>
        <w:ind w:firstLine="420"/>
        <w:rPr>
          <w:rFonts w:ascii="宋体" w:hAnsi="宋体" w:cs="宋体"/>
        </w:rPr>
      </w:pPr>
      <w:r>
        <w:rPr>
          <w:rFonts w:hint="eastAsia" w:ascii="宋体" w:hAnsi="宋体" w:cs="宋体"/>
        </w:rPr>
        <w:t>中华人民共和国成立以后，教育事业不断发展。1979年以后，县委、县政府把教育摆上战略重点地位，地方财政拨款逐年增多，多方筹集教育经费，加强教育设施建设。1983年底完成普及初等教育。1986年南雄县被国家教委授予“全国基础教育先进县”。</w:t>
      </w:r>
    </w:p>
    <w:p w14:paraId="03218C69">
      <w:pPr>
        <w:ind w:firstLine="420"/>
        <w:rPr>
          <w:rFonts w:ascii="宋体" w:hAnsi="宋体" w:cs="宋体"/>
        </w:rPr>
      </w:pPr>
      <w:r>
        <w:rPr>
          <w:rFonts w:hint="eastAsia" w:ascii="宋体" w:hAnsi="宋体" w:cs="宋体"/>
        </w:rPr>
        <w:t>20世纪80年代末至21世纪初，南雄教育呈现出良好的发展态势。兴建改建了一批中小学校，全面改造了薄弱学校，学校基础设备和教育教学设施设备得到了较大的改善。学校布局逐年进行调整，渐入教育均衡化发展的轨道。1995年，被评为“全国尊师重教先进县”；1997年，被评为“全国两基工作先进市”和“全国农村教育综合改革先进市”。至2005年，本市有省一级学校4所，韶关市一级学校14所。</w:t>
      </w:r>
    </w:p>
    <w:p w14:paraId="42286704">
      <w:pPr>
        <w:pStyle w:val="4"/>
        <w:rPr>
          <w:rFonts w:ascii="宋体" w:hAnsi="宋体" w:cs="宋体"/>
        </w:rPr>
      </w:pPr>
      <w:r>
        <w:rPr>
          <w:rFonts w:hint="eastAsia" w:ascii="宋体" w:hAnsi="宋体" w:cs="宋体"/>
        </w:rPr>
        <w:t>第一节  幼儿教育</w:t>
      </w:r>
    </w:p>
    <w:p w14:paraId="3865F995">
      <w:pPr>
        <w:ind w:firstLine="420"/>
        <w:rPr>
          <w:rFonts w:ascii="宋体" w:hAnsi="宋体" w:cs="宋体"/>
        </w:rPr>
      </w:pPr>
      <w:r>
        <w:rPr>
          <w:rFonts w:hint="eastAsia" w:ascii="宋体" w:hAnsi="宋体" w:cs="宋体"/>
        </w:rPr>
        <w:t>1956年秋，南雄县人民政府于县背街创办南雄幼儿园，开设大、中、小3个班。1958年“大跃进”时期，城乡办起简易幼儿园、托儿所619所，儿童入园（所）达24322人。1959年全县幼儿园增至739所，在园幼儿29095人，占幼儿总数96.7%，但多属盲目兴办，流于形式，1960年以后陆续停办。1965年全县仅存县直属机关幼儿园、城关镇民主街幼儿园、八一街幼儿园，共8个班，在园幼儿228人，教职工20人。1969年机关幼儿园停办。1970年，商业、供销、工交、二轻等部门陆续自筹资金兴办工交、财贸、二轻幼儿园。</w:t>
      </w:r>
    </w:p>
    <w:p w14:paraId="79D86FB1">
      <w:pPr>
        <w:ind w:firstLine="420"/>
        <w:rPr>
          <w:rFonts w:ascii="宋体" w:hAnsi="宋体" w:cs="宋体"/>
        </w:rPr>
      </w:pPr>
      <w:r>
        <w:rPr>
          <w:rFonts w:hint="eastAsia" w:ascii="宋体" w:hAnsi="宋体" w:cs="宋体"/>
        </w:rPr>
        <w:t>1984年以来，南雄幼儿教育有较大的发展，农村乡镇逐步兴办幼儿园。1986年在大成街重办机关幼儿园。该园设备完善，被省定为全省8个科学育儿实验基地之一。2000年出现私人举办幼儿园、托儿所。至2005年，全市有幼儿园58间，共148个班，在园幼儿3685人。其中公办1间，集体办19间，民办28间。另农村学前班116个，4087人。</w:t>
      </w:r>
    </w:p>
    <w:p w14:paraId="7535ED98">
      <w:pPr>
        <w:pStyle w:val="4"/>
        <w:rPr>
          <w:rFonts w:ascii="宋体" w:hAnsi="宋体" w:cs="宋体"/>
        </w:rPr>
      </w:pPr>
      <w:r>
        <w:rPr>
          <w:rFonts w:hint="eastAsia" w:ascii="宋体" w:hAnsi="宋体" w:cs="宋体"/>
        </w:rPr>
        <w:t>第二节  小学教育</w:t>
      </w:r>
    </w:p>
    <w:p w14:paraId="5DBF0489">
      <w:pPr>
        <w:ind w:firstLine="420"/>
        <w:rPr>
          <w:rFonts w:ascii="宋体" w:hAnsi="宋体" w:cs="宋体"/>
        </w:rPr>
      </w:pPr>
      <w:r>
        <w:rPr>
          <w:rFonts w:hint="eastAsia" w:ascii="宋体" w:hAnsi="宋体" w:cs="宋体"/>
        </w:rPr>
        <w:t>新中国成立初期，恢复整顿小学教育。1949年下半年全县只有完全小学24所，初小或教学点89所，私塾8所，在校学生6895人，教职员239人，在校学生占学龄儿童总数的30%多。1950年学校增加到246所，学生9756人。1952年随着土地改革的开展，废除私塾，发展民办小学，统筹乡村小学经费，调整小学布局，实行定班、定额、定员、定薪、定经费。是年小学校有200所，在校学生14542人，教职工513人。各区均设立中心小学。1953年又对小学进行一次整顿，着重培训师资，建立正常教学秩序，提高教学质量。至1957年全县有小学校274所，在校学生23136人，教职工721人。</w:t>
      </w:r>
    </w:p>
    <w:p w14:paraId="1AE4A449">
      <w:pPr>
        <w:ind w:firstLine="420"/>
        <w:rPr>
          <w:rFonts w:ascii="宋体" w:hAnsi="宋体" w:cs="宋体"/>
        </w:rPr>
      </w:pPr>
      <w:r>
        <w:rPr>
          <w:rFonts w:hint="eastAsia" w:ascii="宋体" w:hAnsi="宋体" w:cs="宋体"/>
        </w:rPr>
        <w:t>1958年教育“大跃进”，全县小学校由上年的274所增加到419所，在校学生28278人。其中民办小学117所，学生4685人。由于发展过快，有些学校师资素质差，经费不足，设备简陋，教学质量下降。1962年贯彻“调整、巩固、充实、提高高”的方针，把办学条件差的34间公办初小改为民办，压缩公办小学33个班，942人；精简不合格的教师226人，动员16岁以上超龄小学生1221人回农村参加生产劳动。</w:t>
      </w:r>
    </w:p>
    <w:p w14:paraId="250EE8B2">
      <w:pPr>
        <w:ind w:firstLine="420"/>
        <w:rPr>
          <w:rFonts w:ascii="宋体" w:hAnsi="宋体" w:cs="宋体"/>
        </w:rPr>
      </w:pPr>
      <w:r>
        <w:rPr>
          <w:rFonts w:hint="eastAsia" w:ascii="宋体" w:hAnsi="宋体" w:cs="宋体"/>
        </w:rPr>
        <w:t>1964年贯彻“两条腿走路”方针，在办好全日制小学的同时，兴办半耕半读小学。有的大队根据当地实际，办早、午班和识字班半日制小学。边远山区的小学附设耕读班、识字班。是年10月，全县小学校增至1042所，在校学生38866人，其中各种形式的耕读小学591所，学生8686人。这些耕读小学，后来逐步改为教学点。</w:t>
      </w:r>
    </w:p>
    <w:p w14:paraId="4BB5B416">
      <w:pPr>
        <w:ind w:firstLine="420"/>
        <w:rPr>
          <w:rFonts w:ascii="宋体" w:hAnsi="宋体" w:cs="宋体"/>
        </w:rPr>
      </w:pPr>
      <w:r>
        <w:rPr>
          <w:rFonts w:hint="eastAsia" w:ascii="宋体" w:hAnsi="宋体" w:cs="宋体"/>
        </w:rPr>
        <w:t>“文化大革命”时期，受无政府主义思潮影响，学生无心上学，教师被揪斗，教学秩序混乱，致使教学质量大大下降。</w:t>
      </w:r>
    </w:p>
    <w:p w14:paraId="7632AD0D">
      <w:pPr>
        <w:ind w:firstLine="420"/>
        <w:rPr>
          <w:rFonts w:ascii="宋体" w:hAnsi="宋体" w:cs="宋体"/>
        </w:rPr>
      </w:pPr>
      <w:r>
        <w:rPr>
          <w:rFonts w:hint="eastAsia" w:ascii="宋体" w:hAnsi="宋体" w:cs="宋体"/>
        </w:rPr>
        <w:t>1979年以后，县委、县政府拨乱反正，把教育作为战略重点，在全县实施普及小学5年教育。县财政增拨教育经费，各级集资，实行多种形式办学，在办好全日制小学的基础上，增办早晚班30个，增设教学点335个。1983年全县学龄儿童入学率为96.7%，巩固率为86.1%，留级率5%，非正常流动率1.87%。经韶关市政府验收，广东省政府核准，南雄县为基本普及小学5年教育县。在普及小学5年教育的同时，多方集资修建校舍。从1980年至1985年，多渠道筹集教育经费19213万元，新建校舍157250平方米，维修校舍115110平方米，添置课桌8700套。实现了校校无危房，班班有课室，人人有课桌凳。1985年被广东省政府评为“一无两有”特级县。此后在普及9年义务教育中，不断改善办学条件，提高教学质量。1997年，小学在校学生56024人，适龄儿童入学率为99.61%，小学升学率为99.23%。1998年，启动实施规范化学校工程，全面改造薄弱学校，进一步调整学校布局。至2002年全市小学由234所1917个班级减为163所1497个班级。适龄儿童入学率99.7%，小学生毕业率为100%。</w:t>
      </w:r>
    </w:p>
    <w:p w14:paraId="4C1ACF82">
      <w:pPr>
        <w:ind w:firstLine="420"/>
        <w:rPr>
          <w:rFonts w:ascii="宋体" w:hAnsi="宋体" w:cs="宋体"/>
        </w:rPr>
      </w:pPr>
      <w:r>
        <w:rPr>
          <w:rFonts w:hint="eastAsia" w:ascii="宋体" w:hAnsi="宋体" w:cs="宋体"/>
        </w:rPr>
        <w:t>部分小学简介：</w:t>
      </w:r>
    </w:p>
    <w:p w14:paraId="052D6FAE">
      <w:pPr>
        <w:ind w:firstLine="422"/>
        <w:rPr>
          <w:rFonts w:ascii="宋体" w:hAnsi="宋体" w:cs="宋体"/>
        </w:rPr>
      </w:pPr>
      <w:r>
        <w:rPr>
          <w:rFonts w:hint="eastAsia" w:ascii="宋体" w:hAnsi="宋体" w:cs="宋体"/>
          <w:b/>
          <w:bCs/>
        </w:rPr>
        <w:t>黎灿学校</w:t>
      </w:r>
      <w:r>
        <w:rPr>
          <w:rFonts w:hint="eastAsia" w:ascii="宋体" w:hAnsi="宋体" w:cs="宋体"/>
        </w:rPr>
        <w:t xml:space="preserve">  前身为私立澄修高级小学，民国10年（1921年），改为南雄县立第三小学，民国29年，易名为太平镇中心小学。新中国成立后，改为城关区第二小学。1955年，又易名为县背街小学。1960年2月，改为师范附小，1984年9月南雄师范学校停办，附小直属县教育局，更名为南雄县实验小学。1998年，市人民政府决定在实验小学基础上创办一所具有现代化规模的小学，总投资1500万元人民币，其中香港黎明金属制品有限公司董事长黎灿先生捐资300多万元人民币。1999年9月1日正式启用，学校更名为黎灿学校。该校占地面积52567平方米，建筑面积16025平方米。2002年6月，学校通过了广东省一级学校评估授牌。该校有36个教学班，在校学生2362人。专任教师110名，其中小学高级教师62名。</w:t>
      </w:r>
    </w:p>
    <w:p w14:paraId="0690094C">
      <w:pPr>
        <w:ind w:firstLine="422"/>
        <w:rPr>
          <w:rFonts w:ascii="宋体" w:hAnsi="宋体" w:cs="宋体"/>
        </w:rPr>
      </w:pPr>
      <w:r>
        <w:rPr>
          <w:rFonts w:hint="eastAsia" w:ascii="宋体" w:hAnsi="宋体" w:cs="宋体"/>
          <w:b/>
          <w:bCs/>
        </w:rPr>
        <w:t>永康路小学</w:t>
      </w:r>
      <w:r>
        <w:rPr>
          <w:rFonts w:hint="eastAsia" w:ascii="宋体" w:hAnsi="宋体" w:cs="宋体"/>
        </w:rPr>
        <w:t xml:space="preserve">  其前身是私立豫德小学和私立萃雄小学，校址在县城永康路原江西会馆和福建会馆。1952年豫德小学改为城关镇第四小学，萃雄小学改为城关镇第五小学。1954年整顿小学后，城镇四小、五小合并，定名为永康路小学，是城关镇的中心小学。“文化大革命”期间，改为东方红小学。1980年复名永康路小学。1995年评为韶关市一级学校。2002年，该校定为雄州镇中心小学，投入资金220多万元，新建了一幢现代化综合大楼。该校占地面积8250平方米，建筑面积13780平方米，有完善的电脑、实验、仪器、语音、舞蹈等功能室，有38个教学班，学生2000余人。</w:t>
      </w:r>
    </w:p>
    <w:p w14:paraId="39013639">
      <w:pPr>
        <w:ind w:firstLine="422"/>
        <w:rPr>
          <w:rFonts w:ascii="宋体" w:hAnsi="宋体" w:cs="宋体"/>
        </w:rPr>
      </w:pPr>
      <w:r>
        <w:rPr>
          <w:rFonts w:hint="eastAsia" w:ascii="宋体" w:hAnsi="宋体" w:cs="宋体"/>
          <w:b/>
          <w:bCs/>
        </w:rPr>
        <w:t>新城小学</w:t>
      </w:r>
      <w:r>
        <w:rPr>
          <w:rFonts w:hint="eastAsia" w:ascii="宋体" w:hAnsi="宋体" w:cs="宋体"/>
        </w:rPr>
        <w:t xml:space="preserve">  创办于1994年9月，位于市区雄中路，为南雄市一级学校。该校占地面积10800平方米，建筑面积4098平方米。有24个教学班，学生1300余人。该校初步形成了“学做人，会读书，爱健美”的校风；“勤奋、求实、创新”的学风。</w:t>
      </w:r>
    </w:p>
    <w:p w14:paraId="4962D082">
      <w:pPr>
        <w:ind w:firstLine="422"/>
        <w:rPr>
          <w:rFonts w:ascii="宋体" w:hAnsi="宋体" w:cs="宋体"/>
        </w:rPr>
      </w:pPr>
      <w:r>
        <w:rPr>
          <w:rFonts w:hint="eastAsia" w:ascii="宋体" w:hAnsi="宋体" w:cs="宋体"/>
          <w:b/>
          <w:bCs/>
        </w:rPr>
        <w:t xml:space="preserve">八一路小学 </w:t>
      </w:r>
      <w:r>
        <w:rPr>
          <w:rFonts w:hint="eastAsia" w:ascii="宋体" w:hAnsi="宋体" w:cs="宋体"/>
        </w:rPr>
        <w:t xml:space="preserve"> 该校坐落在市区宾阳门旁，为南雄市一级学校。占地面积2000多平方米，建筑面积3000多平方米。有17个教学班，学生900余人。学校注重建立“严、活、勤、全”的校风，积极开辟第二课堂是该校鲜明的办学特色。</w:t>
      </w:r>
    </w:p>
    <w:p w14:paraId="2BFE59FF">
      <w:pPr>
        <w:ind w:firstLine="422"/>
        <w:rPr>
          <w:rFonts w:ascii="宋体" w:hAnsi="宋体" w:cs="宋体"/>
        </w:rPr>
      </w:pPr>
      <w:r>
        <w:rPr>
          <w:rFonts w:hint="eastAsia" w:ascii="宋体" w:hAnsi="宋体" w:cs="宋体"/>
          <w:b/>
          <w:bCs/>
        </w:rPr>
        <w:t xml:space="preserve">湖口小学 </w:t>
      </w:r>
      <w:r>
        <w:rPr>
          <w:rFonts w:hint="eastAsia" w:ascii="宋体" w:hAnsi="宋体" w:cs="宋体"/>
        </w:rPr>
        <w:t xml:space="preserve"> 前身是集英国民小学，始办于民国7年（1918年）春，校址在湖口曾屋村长庆围。第二次国内革命战争时期，该校因是中共南雄特委活动的据点，被国民党军队烧毁停办。民国24年复办，后改名为三化小学。1952年接收办，1954年改为湖口小学。1986年为湖口镇中心小学。学校校园面积1.2万平方米，建筑面积5300多平方米。有13个教学班，学生630人。2004年，评为“韶关市一级学校”。</w:t>
      </w:r>
    </w:p>
    <w:p w14:paraId="2BB0E735">
      <w:pPr>
        <w:ind w:firstLine="422"/>
        <w:rPr>
          <w:rFonts w:ascii="宋体" w:hAnsi="宋体" w:cs="宋体"/>
        </w:rPr>
      </w:pPr>
      <w:r>
        <w:rPr>
          <w:rFonts w:hint="eastAsia" w:ascii="宋体" w:hAnsi="宋体" w:cs="宋体"/>
          <w:b/>
          <w:bCs/>
        </w:rPr>
        <w:t>陈经纶小学</w:t>
      </w:r>
      <w:r>
        <w:rPr>
          <w:rFonts w:hint="eastAsia" w:ascii="宋体" w:hAnsi="宋体" w:cs="宋体"/>
        </w:rPr>
        <w:t xml:space="preserve">  原为梅关小学。1997年香港陈经纶先生投资300万港元重建，更名陈经纶小学。占地13000平方米，建筑面积2100平方米，2幢教学楼，12间课室。并赠300多套课桌椅，54台电脑，每个学生2套校服。是南雄市村级小学中设备最为完善的学校之一。</w:t>
      </w:r>
    </w:p>
    <w:p w14:paraId="6008200B">
      <w:pPr>
        <w:pStyle w:val="4"/>
        <w:rPr>
          <w:rFonts w:ascii="宋体" w:hAnsi="宋体" w:cs="宋体"/>
        </w:rPr>
      </w:pPr>
      <w:r>
        <w:rPr>
          <w:rFonts w:hint="eastAsia" w:ascii="宋体" w:hAnsi="宋体" w:cs="宋体"/>
        </w:rPr>
        <w:t>第三节  中学教育</w:t>
      </w:r>
    </w:p>
    <w:p w14:paraId="7154C1E8">
      <w:pPr>
        <w:ind w:firstLine="422"/>
        <w:rPr>
          <w:rFonts w:ascii="宋体" w:hAnsi="宋体" w:cs="宋体"/>
          <w:b/>
          <w:bCs/>
        </w:rPr>
      </w:pPr>
      <w:r>
        <w:rPr>
          <w:rFonts w:hint="eastAsia" w:ascii="宋体" w:hAnsi="宋体" w:cs="宋体"/>
          <w:b/>
          <w:bCs/>
        </w:rPr>
        <w:t>（一）发展概况</w:t>
      </w:r>
    </w:p>
    <w:p w14:paraId="3579F686">
      <w:pPr>
        <w:ind w:firstLine="420"/>
        <w:rPr>
          <w:rFonts w:ascii="宋体" w:hAnsi="宋体" w:cs="宋体"/>
        </w:rPr>
      </w:pPr>
      <w:r>
        <w:rPr>
          <w:rFonts w:hint="eastAsia" w:ascii="宋体" w:hAnsi="宋体" w:cs="宋体"/>
        </w:rPr>
        <w:t>1949年10月，全县仅有原省立南雄中学与南雄县立中学合并的联合中学1所，1950年改名南雄中学，学生288人，教师30人。1956年增设黄坑初级中学，并在修仁小学、百顺小学附设初中班。1957年在校中学生1997人，教师95人。1958年教育“大跃进”，全县增办普通中学17所，学生3007人，而教师仅95人，且不少仅有高、初中文化程度。当地党政领导又组织师生“大炼钢铁”、“放卫星”，南雄中学各班级分别兴办化肥、砖瓦、墨水、肥皂等工厂，教学秩序受破坏，学生学不到应有的文化科学知识。1962年贯彻《全日制中学暂行工作条例》（简称《五十条》），落实知识分子政策，加强文化科学基础知识和基本技能教学，恢复正常的教学秩序，教学质量逐步提高。</w:t>
      </w:r>
    </w:p>
    <w:p w14:paraId="3BD692E3">
      <w:pPr>
        <w:ind w:firstLine="420"/>
        <w:rPr>
          <w:rFonts w:ascii="宋体" w:hAnsi="宋体" w:cs="宋体"/>
        </w:rPr>
      </w:pPr>
      <w:r>
        <w:rPr>
          <w:rFonts w:hint="eastAsia" w:ascii="宋体" w:hAnsi="宋体" w:cs="宋体"/>
        </w:rPr>
        <w:t>1958年，公社还兴办11间半耕半读的农业中学，学生720人。1962年整顿教育时全部停办。1964年贯彻“两种劳动制度，两种教育制度”，又复办10所农业中学。一些群众视农业中学为“不正规”，加上师资少，办学困难越来越大。1970年全部并入普通中学。</w:t>
      </w:r>
    </w:p>
    <w:p w14:paraId="680BCD65">
      <w:pPr>
        <w:ind w:firstLine="420"/>
        <w:rPr>
          <w:rFonts w:ascii="宋体" w:hAnsi="宋体" w:cs="宋体"/>
        </w:rPr>
      </w:pPr>
      <w:r>
        <w:rPr>
          <w:rFonts w:hint="eastAsia" w:ascii="宋体" w:hAnsi="宋体" w:cs="宋体"/>
        </w:rPr>
        <w:t>“文化大革命”期间，中学教育惨遭破坏。1966年6月至1968年8月“停课闹革命”，学生四处串联，“杀向社会”。之后又来一个“复课闹革命”，在学校“清理阶级队伍”，“斗批改”。1969年，学制由6年改为4年（高中2年，初中2年）。盲目提出“初中不出大队，高中不出公社”，不顾客观条件，个个公社都办完全中学，并在完全小学附设初中班105个，聘用一批不合格的民办教师。片面强调“开门办学”。1970年3月，南雄中学一分为三，迁校到农村。1970年11月至1972年2月，全部高中学生停课，参加水利工地劳动。1974年“学屯昌”，停课开荒办农场，教学秩序严重混乱。加上从1965年起实行开卷考试，1972年大专院校招生由考试改为推荐，致使学校出现教师无法上课，学生无心上学，教学质量大大下降。</w:t>
      </w:r>
    </w:p>
    <w:p w14:paraId="0F4C8583">
      <w:pPr>
        <w:ind w:firstLine="420"/>
        <w:rPr>
          <w:rFonts w:ascii="宋体" w:hAnsi="宋体" w:cs="宋体"/>
        </w:rPr>
      </w:pPr>
      <w:r>
        <w:rPr>
          <w:rFonts w:hint="eastAsia" w:ascii="宋体" w:hAnsi="宋体" w:cs="宋体"/>
        </w:rPr>
        <w:t>1978年中共十一届三中全会以后，拨乱反正，整顿教学秩序，调整中学布局，改革中等教育结构，恢复高初中各3年的学制，全部撤去完小附设的初中班，逐步缩减完全中学，发展农职业中学。1987年，全县有中学34所，373个班，在校学生21184人，其中农（职）业中学共有5间，31个班，在校学生1754人。此后，在普及九年制义务教育和改造薄弱学校工作中，不断完善教学设施，提高教学质量。2005年，全市普通中学25所，在校学生24355人，其中高（职）中在校学生11332人。南雄中学、市一中和黄坑中学先后被评为“省一级学校”。市一中还荣获“1996年至2000年度全国群众体育先进单位”称号。历年高考情况详见表5-1：</w:t>
      </w:r>
    </w:p>
    <w:p w14:paraId="283D1927">
      <w:pPr>
        <w:ind w:firstLine="422"/>
        <w:jc w:val="center"/>
        <w:rPr>
          <w:rFonts w:ascii="宋体" w:hAnsi="宋体" w:cs="宋体"/>
          <w:b/>
          <w:bCs/>
        </w:rPr>
      </w:pPr>
      <w:r>
        <w:rPr>
          <w:rFonts w:hint="eastAsia" w:ascii="宋体" w:hAnsi="宋体" w:cs="宋体"/>
          <w:b/>
          <w:bCs/>
        </w:rPr>
        <w:t>南雄市（县）1987年至2005年高考情况</w:t>
      </w:r>
    </w:p>
    <w:p w14:paraId="74063486">
      <w:pPr>
        <w:ind w:firstLine="0" w:firstLineChars="0"/>
        <w:rPr>
          <w:rFonts w:ascii="宋体" w:hAnsi="宋体" w:cs="宋体"/>
          <w:b/>
          <w:bCs/>
        </w:rPr>
      </w:pPr>
      <w:r>
        <w:rPr>
          <w:rFonts w:hint="eastAsia" w:ascii="宋体" w:hAnsi="宋体" w:cs="宋体"/>
          <w:b/>
          <w:bCs/>
        </w:rPr>
        <w:t>表5-1</w:t>
      </w:r>
    </w:p>
    <w:p w14:paraId="110CB7F5">
      <w:pPr>
        <w:ind w:firstLine="422"/>
        <w:jc w:val="right"/>
        <w:rPr>
          <w:rFonts w:ascii="宋体" w:hAnsi="宋体" w:cs="宋体"/>
          <w:b/>
          <w:bCs/>
        </w:rPr>
      </w:pPr>
      <w:r>
        <w:rPr>
          <w:rFonts w:hint="eastAsia" w:ascii="宋体" w:hAnsi="宋体" w:cs="宋体"/>
          <w:b/>
          <w:bCs/>
        </w:rPr>
        <w:t>单位：人</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22"/>
        <w:gridCol w:w="1422"/>
        <w:gridCol w:w="1233"/>
        <w:gridCol w:w="1419"/>
        <w:gridCol w:w="1622"/>
        <w:gridCol w:w="1425"/>
        <w:gridCol w:w="1419"/>
      </w:tblGrid>
      <w:tr w14:paraId="75BC7D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Merge w:val="restart"/>
            <w:vAlign w:val="center"/>
          </w:tcPr>
          <w:p w14:paraId="174EED88">
            <w:pPr>
              <w:pStyle w:val="12"/>
              <w:jc w:val="center"/>
              <w:rPr>
                <w:b/>
              </w:rPr>
            </w:pPr>
            <w:r>
              <w:rPr>
                <w:rFonts w:hint="eastAsia"/>
                <w:b/>
              </w:rPr>
              <w:t>年份</w:t>
            </w:r>
          </w:p>
        </w:tc>
        <w:tc>
          <w:tcPr>
            <w:tcW w:w="714" w:type="pct"/>
            <w:vMerge w:val="restart"/>
            <w:vAlign w:val="center"/>
          </w:tcPr>
          <w:p w14:paraId="33D89A1D">
            <w:pPr>
              <w:pStyle w:val="12"/>
              <w:jc w:val="center"/>
              <w:rPr>
                <w:b/>
              </w:rPr>
            </w:pPr>
            <w:r>
              <w:rPr>
                <w:rFonts w:hint="eastAsia"/>
                <w:b/>
              </w:rPr>
              <w:t>报考人数</w:t>
            </w:r>
          </w:p>
        </w:tc>
        <w:tc>
          <w:tcPr>
            <w:tcW w:w="619" w:type="pct"/>
            <w:vMerge w:val="restart"/>
            <w:vAlign w:val="center"/>
          </w:tcPr>
          <w:p w14:paraId="75606D93">
            <w:pPr>
              <w:pStyle w:val="12"/>
              <w:jc w:val="center"/>
              <w:rPr>
                <w:b/>
              </w:rPr>
            </w:pPr>
            <w:r>
              <w:rPr>
                <w:rFonts w:hint="eastAsia"/>
                <w:b/>
              </w:rPr>
              <w:t>录取人数</w:t>
            </w:r>
          </w:p>
        </w:tc>
        <w:tc>
          <w:tcPr>
            <w:tcW w:w="712" w:type="pct"/>
            <w:vMerge w:val="restart"/>
            <w:vAlign w:val="center"/>
          </w:tcPr>
          <w:p w14:paraId="74AFCEAB">
            <w:pPr>
              <w:pStyle w:val="12"/>
              <w:jc w:val="center"/>
              <w:rPr>
                <w:b/>
              </w:rPr>
            </w:pPr>
            <w:r>
              <w:rPr>
                <w:rFonts w:hint="eastAsia"/>
                <w:b/>
              </w:rPr>
              <w:t>录取率（%）</w:t>
            </w:r>
          </w:p>
        </w:tc>
        <w:tc>
          <w:tcPr>
            <w:tcW w:w="2242" w:type="pct"/>
            <w:gridSpan w:val="3"/>
            <w:vAlign w:val="center"/>
          </w:tcPr>
          <w:p w14:paraId="64ADD093">
            <w:pPr>
              <w:pStyle w:val="12"/>
              <w:jc w:val="center"/>
              <w:rPr>
                <w:b/>
              </w:rPr>
            </w:pPr>
            <w:r>
              <w:rPr>
                <w:rFonts w:hint="eastAsia"/>
                <w:b/>
              </w:rPr>
              <w:t>其中</w:t>
            </w:r>
          </w:p>
        </w:tc>
      </w:tr>
      <w:tr w14:paraId="0974C7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14:paraId="725F8D06">
            <w:pPr>
              <w:pStyle w:val="12"/>
              <w:jc w:val="center"/>
              <w:rPr>
                <w:b/>
              </w:rPr>
            </w:pPr>
          </w:p>
        </w:tc>
        <w:tc>
          <w:tcPr>
            <w:tcW w:w="714" w:type="pct"/>
            <w:vMerge w:val="continue"/>
            <w:vAlign w:val="center"/>
          </w:tcPr>
          <w:p w14:paraId="1A2030AA">
            <w:pPr>
              <w:pStyle w:val="12"/>
              <w:jc w:val="center"/>
              <w:rPr>
                <w:b/>
              </w:rPr>
            </w:pPr>
          </w:p>
        </w:tc>
        <w:tc>
          <w:tcPr>
            <w:tcW w:w="619" w:type="pct"/>
            <w:vMerge w:val="continue"/>
            <w:vAlign w:val="center"/>
          </w:tcPr>
          <w:p w14:paraId="51B97F4C">
            <w:pPr>
              <w:pStyle w:val="12"/>
              <w:jc w:val="center"/>
              <w:rPr>
                <w:b/>
              </w:rPr>
            </w:pPr>
          </w:p>
        </w:tc>
        <w:tc>
          <w:tcPr>
            <w:tcW w:w="712" w:type="pct"/>
            <w:vMerge w:val="continue"/>
            <w:vAlign w:val="center"/>
          </w:tcPr>
          <w:p w14:paraId="537C8756">
            <w:pPr>
              <w:pStyle w:val="12"/>
              <w:jc w:val="center"/>
              <w:rPr>
                <w:b/>
              </w:rPr>
            </w:pPr>
          </w:p>
        </w:tc>
        <w:tc>
          <w:tcPr>
            <w:tcW w:w="814" w:type="pct"/>
            <w:vAlign w:val="center"/>
          </w:tcPr>
          <w:p w14:paraId="796046F5">
            <w:pPr>
              <w:pStyle w:val="12"/>
              <w:jc w:val="center"/>
              <w:rPr>
                <w:b/>
              </w:rPr>
            </w:pPr>
            <w:r>
              <w:rPr>
                <w:rFonts w:hint="eastAsia"/>
                <w:b/>
              </w:rPr>
              <w:t>大学本科</w:t>
            </w:r>
          </w:p>
        </w:tc>
        <w:tc>
          <w:tcPr>
            <w:tcW w:w="715" w:type="pct"/>
            <w:vAlign w:val="center"/>
          </w:tcPr>
          <w:p w14:paraId="4635DEA5">
            <w:pPr>
              <w:pStyle w:val="12"/>
              <w:jc w:val="center"/>
              <w:rPr>
                <w:b/>
              </w:rPr>
            </w:pPr>
            <w:r>
              <w:rPr>
                <w:rFonts w:hint="eastAsia"/>
                <w:b/>
              </w:rPr>
              <w:t>大学专科</w:t>
            </w:r>
          </w:p>
        </w:tc>
        <w:tc>
          <w:tcPr>
            <w:tcW w:w="712" w:type="pct"/>
            <w:vAlign w:val="center"/>
          </w:tcPr>
          <w:p w14:paraId="56E0A96B">
            <w:pPr>
              <w:pStyle w:val="12"/>
              <w:jc w:val="center"/>
              <w:rPr>
                <w:b/>
              </w:rPr>
            </w:pPr>
            <w:r>
              <w:rPr>
                <w:rFonts w:hint="eastAsia"/>
                <w:b/>
              </w:rPr>
              <w:t>中专</w:t>
            </w:r>
          </w:p>
        </w:tc>
      </w:tr>
      <w:tr w14:paraId="503E01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F745BDB">
            <w:pPr>
              <w:pStyle w:val="12"/>
              <w:jc w:val="center"/>
              <w:rPr>
                <w:rFonts w:ascii="宋体" w:hAnsi="宋体"/>
                <w:szCs w:val="21"/>
              </w:rPr>
            </w:pPr>
            <w:r>
              <w:rPr>
                <w:rFonts w:ascii="宋体" w:hAnsi="宋体"/>
                <w:szCs w:val="21"/>
              </w:rPr>
              <w:t>1987</w:t>
            </w:r>
          </w:p>
        </w:tc>
        <w:tc>
          <w:tcPr>
            <w:tcW w:w="714" w:type="pct"/>
            <w:vAlign w:val="center"/>
          </w:tcPr>
          <w:p w14:paraId="289E542C">
            <w:pPr>
              <w:pStyle w:val="12"/>
              <w:jc w:val="center"/>
              <w:rPr>
                <w:rFonts w:ascii="宋体" w:hAnsi="宋体"/>
                <w:szCs w:val="21"/>
              </w:rPr>
            </w:pPr>
            <w:r>
              <w:rPr>
                <w:rFonts w:ascii="宋体" w:hAnsi="宋体"/>
                <w:szCs w:val="21"/>
              </w:rPr>
              <w:t>1010</w:t>
            </w:r>
          </w:p>
        </w:tc>
        <w:tc>
          <w:tcPr>
            <w:tcW w:w="619" w:type="pct"/>
            <w:vAlign w:val="center"/>
          </w:tcPr>
          <w:p w14:paraId="54637D3D">
            <w:pPr>
              <w:pStyle w:val="12"/>
              <w:jc w:val="center"/>
              <w:rPr>
                <w:rFonts w:ascii="宋体" w:hAnsi="宋体"/>
                <w:szCs w:val="21"/>
              </w:rPr>
            </w:pPr>
            <w:r>
              <w:rPr>
                <w:rFonts w:ascii="宋体" w:hAnsi="宋体"/>
                <w:szCs w:val="21"/>
              </w:rPr>
              <w:t>453</w:t>
            </w:r>
          </w:p>
        </w:tc>
        <w:tc>
          <w:tcPr>
            <w:tcW w:w="712" w:type="pct"/>
            <w:vAlign w:val="center"/>
          </w:tcPr>
          <w:p w14:paraId="41983062">
            <w:pPr>
              <w:pStyle w:val="12"/>
              <w:jc w:val="center"/>
              <w:rPr>
                <w:rFonts w:ascii="宋体" w:hAnsi="宋体"/>
                <w:szCs w:val="21"/>
              </w:rPr>
            </w:pPr>
            <w:r>
              <w:rPr>
                <w:rFonts w:ascii="宋体" w:hAnsi="宋体"/>
                <w:szCs w:val="21"/>
              </w:rPr>
              <w:t>44.85</w:t>
            </w:r>
          </w:p>
        </w:tc>
        <w:tc>
          <w:tcPr>
            <w:tcW w:w="814" w:type="pct"/>
            <w:vAlign w:val="center"/>
          </w:tcPr>
          <w:p w14:paraId="604A9402">
            <w:pPr>
              <w:pStyle w:val="12"/>
              <w:jc w:val="center"/>
              <w:rPr>
                <w:rFonts w:ascii="宋体" w:hAnsi="宋体"/>
                <w:szCs w:val="21"/>
              </w:rPr>
            </w:pPr>
            <w:r>
              <w:rPr>
                <w:rFonts w:ascii="宋体" w:hAnsi="宋体"/>
                <w:szCs w:val="21"/>
              </w:rPr>
              <w:t>129</w:t>
            </w:r>
          </w:p>
        </w:tc>
        <w:tc>
          <w:tcPr>
            <w:tcW w:w="715" w:type="pct"/>
            <w:vAlign w:val="center"/>
          </w:tcPr>
          <w:p w14:paraId="41ACA4D2">
            <w:pPr>
              <w:pStyle w:val="12"/>
              <w:jc w:val="center"/>
              <w:rPr>
                <w:rFonts w:ascii="宋体" w:hAnsi="宋体"/>
                <w:szCs w:val="21"/>
              </w:rPr>
            </w:pPr>
            <w:r>
              <w:rPr>
                <w:rFonts w:ascii="宋体" w:hAnsi="宋体"/>
                <w:szCs w:val="21"/>
              </w:rPr>
              <w:t>150</w:t>
            </w:r>
          </w:p>
        </w:tc>
        <w:tc>
          <w:tcPr>
            <w:tcW w:w="712" w:type="pct"/>
            <w:vAlign w:val="center"/>
          </w:tcPr>
          <w:p w14:paraId="2EC58942">
            <w:pPr>
              <w:pStyle w:val="12"/>
              <w:jc w:val="center"/>
              <w:rPr>
                <w:rFonts w:ascii="宋体" w:hAnsi="宋体"/>
                <w:szCs w:val="21"/>
              </w:rPr>
            </w:pPr>
            <w:r>
              <w:rPr>
                <w:rFonts w:ascii="宋体" w:hAnsi="宋体"/>
                <w:szCs w:val="21"/>
              </w:rPr>
              <w:t>174</w:t>
            </w:r>
          </w:p>
        </w:tc>
      </w:tr>
      <w:tr w14:paraId="46B6910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3F347E5">
            <w:pPr>
              <w:pStyle w:val="12"/>
              <w:jc w:val="center"/>
              <w:rPr>
                <w:rFonts w:ascii="宋体" w:hAnsi="宋体"/>
                <w:szCs w:val="21"/>
              </w:rPr>
            </w:pPr>
            <w:r>
              <w:rPr>
                <w:rFonts w:ascii="宋体" w:hAnsi="宋体"/>
                <w:szCs w:val="21"/>
              </w:rPr>
              <w:t>1988</w:t>
            </w:r>
          </w:p>
        </w:tc>
        <w:tc>
          <w:tcPr>
            <w:tcW w:w="714" w:type="pct"/>
            <w:vAlign w:val="center"/>
          </w:tcPr>
          <w:p w14:paraId="1AF6D92E">
            <w:pPr>
              <w:pStyle w:val="12"/>
              <w:jc w:val="center"/>
              <w:rPr>
                <w:rFonts w:ascii="宋体" w:hAnsi="宋体"/>
                <w:szCs w:val="21"/>
              </w:rPr>
            </w:pPr>
            <w:r>
              <w:rPr>
                <w:rFonts w:ascii="宋体" w:hAnsi="宋体"/>
                <w:szCs w:val="21"/>
              </w:rPr>
              <w:t>1448</w:t>
            </w:r>
          </w:p>
        </w:tc>
        <w:tc>
          <w:tcPr>
            <w:tcW w:w="619" w:type="pct"/>
            <w:vAlign w:val="center"/>
          </w:tcPr>
          <w:p w14:paraId="47C3EB33">
            <w:pPr>
              <w:pStyle w:val="12"/>
              <w:jc w:val="center"/>
              <w:rPr>
                <w:rFonts w:ascii="宋体" w:hAnsi="宋体"/>
                <w:szCs w:val="21"/>
              </w:rPr>
            </w:pPr>
            <w:r>
              <w:rPr>
                <w:rFonts w:ascii="宋体" w:hAnsi="宋体"/>
                <w:szCs w:val="21"/>
              </w:rPr>
              <w:t>779</w:t>
            </w:r>
          </w:p>
        </w:tc>
        <w:tc>
          <w:tcPr>
            <w:tcW w:w="712" w:type="pct"/>
            <w:vAlign w:val="center"/>
          </w:tcPr>
          <w:p w14:paraId="3070F053">
            <w:pPr>
              <w:pStyle w:val="12"/>
              <w:jc w:val="center"/>
              <w:rPr>
                <w:rFonts w:ascii="宋体" w:hAnsi="宋体"/>
                <w:szCs w:val="21"/>
              </w:rPr>
            </w:pPr>
            <w:r>
              <w:rPr>
                <w:rFonts w:ascii="宋体" w:hAnsi="宋体"/>
                <w:szCs w:val="21"/>
              </w:rPr>
              <w:t>53.80</w:t>
            </w:r>
          </w:p>
        </w:tc>
        <w:tc>
          <w:tcPr>
            <w:tcW w:w="814" w:type="pct"/>
            <w:vAlign w:val="center"/>
          </w:tcPr>
          <w:p w14:paraId="3CD4C326">
            <w:pPr>
              <w:pStyle w:val="12"/>
              <w:jc w:val="center"/>
              <w:rPr>
                <w:rFonts w:ascii="宋体" w:hAnsi="宋体"/>
                <w:szCs w:val="21"/>
              </w:rPr>
            </w:pPr>
            <w:r>
              <w:rPr>
                <w:rFonts w:ascii="宋体" w:hAnsi="宋体"/>
                <w:szCs w:val="21"/>
              </w:rPr>
              <w:t>178</w:t>
            </w:r>
          </w:p>
        </w:tc>
        <w:tc>
          <w:tcPr>
            <w:tcW w:w="715" w:type="pct"/>
            <w:vAlign w:val="center"/>
          </w:tcPr>
          <w:p w14:paraId="3940394E">
            <w:pPr>
              <w:pStyle w:val="12"/>
              <w:jc w:val="center"/>
              <w:rPr>
                <w:rFonts w:ascii="宋体" w:hAnsi="宋体"/>
                <w:szCs w:val="21"/>
              </w:rPr>
            </w:pPr>
            <w:r>
              <w:rPr>
                <w:rFonts w:ascii="宋体" w:hAnsi="宋体"/>
                <w:szCs w:val="21"/>
              </w:rPr>
              <w:t>398</w:t>
            </w:r>
          </w:p>
        </w:tc>
        <w:tc>
          <w:tcPr>
            <w:tcW w:w="712" w:type="pct"/>
            <w:vAlign w:val="center"/>
          </w:tcPr>
          <w:p w14:paraId="53BC6786">
            <w:pPr>
              <w:pStyle w:val="12"/>
              <w:jc w:val="center"/>
              <w:rPr>
                <w:rFonts w:ascii="宋体" w:hAnsi="宋体"/>
                <w:szCs w:val="21"/>
              </w:rPr>
            </w:pPr>
            <w:r>
              <w:rPr>
                <w:rFonts w:ascii="宋体" w:hAnsi="宋体"/>
                <w:szCs w:val="21"/>
              </w:rPr>
              <w:t>203</w:t>
            </w:r>
          </w:p>
        </w:tc>
      </w:tr>
      <w:tr w14:paraId="1F00F7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ED7E868">
            <w:pPr>
              <w:pStyle w:val="12"/>
              <w:jc w:val="center"/>
              <w:rPr>
                <w:rFonts w:ascii="宋体" w:hAnsi="宋体"/>
                <w:szCs w:val="21"/>
              </w:rPr>
            </w:pPr>
            <w:r>
              <w:rPr>
                <w:rFonts w:ascii="宋体" w:hAnsi="宋体"/>
                <w:szCs w:val="21"/>
              </w:rPr>
              <w:t>1989</w:t>
            </w:r>
          </w:p>
        </w:tc>
        <w:tc>
          <w:tcPr>
            <w:tcW w:w="714" w:type="pct"/>
            <w:vAlign w:val="center"/>
          </w:tcPr>
          <w:p w14:paraId="481E4C88">
            <w:pPr>
              <w:pStyle w:val="12"/>
              <w:jc w:val="center"/>
              <w:rPr>
                <w:rFonts w:ascii="宋体" w:hAnsi="宋体"/>
                <w:szCs w:val="21"/>
              </w:rPr>
            </w:pPr>
            <w:r>
              <w:rPr>
                <w:rFonts w:ascii="宋体" w:hAnsi="宋体"/>
                <w:szCs w:val="21"/>
              </w:rPr>
              <w:t>1316</w:t>
            </w:r>
          </w:p>
        </w:tc>
        <w:tc>
          <w:tcPr>
            <w:tcW w:w="619" w:type="pct"/>
            <w:vAlign w:val="center"/>
          </w:tcPr>
          <w:p w14:paraId="403D53EF">
            <w:pPr>
              <w:pStyle w:val="12"/>
              <w:jc w:val="center"/>
              <w:rPr>
                <w:rFonts w:ascii="宋体" w:hAnsi="宋体"/>
                <w:szCs w:val="21"/>
              </w:rPr>
            </w:pPr>
            <w:r>
              <w:rPr>
                <w:rFonts w:ascii="宋体" w:hAnsi="宋体"/>
                <w:szCs w:val="21"/>
              </w:rPr>
              <w:t>577</w:t>
            </w:r>
          </w:p>
        </w:tc>
        <w:tc>
          <w:tcPr>
            <w:tcW w:w="712" w:type="pct"/>
            <w:vAlign w:val="center"/>
          </w:tcPr>
          <w:p w14:paraId="4E725C47">
            <w:pPr>
              <w:pStyle w:val="12"/>
              <w:jc w:val="center"/>
              <w:rPr>
                <w:rFonts w:ascii="宋体" w:hAnsi="宋体"/>
                <w:szCs w:val="21"/>
              </w:rPr>
            </w:pPr>
            <w:r>
              <w:rPr>
                <w:rFonts w:ascii="宋体" w:hAnsi="宋体"/>
                <w:szCs w:val="21"/>
              </w:rPr>
              <w:t>43.84</w:t>
            </w:r>
          </w:p>
        </w:tc>
        <w:tc>
          <w:tcPr>
            <w:tcW w:w="814" w:type="pct"/>
            <w:vAlign w:val="center"/>
          </w:tcPr>
          <w:p w14:paraId="1091596B">
            <w:pPr>
              <w:pStyle w:val="12"/>
              <w:jc w:val="center"/>
              <w:rPr>
                <w:rFonts w:ascii="宋体" w:hAnsi="宋体"/>
                <w:szCs w:val="21"/>
              </w:rPr>
            </w:pPr>
            <w:r>
              <w:rPr>
                <w:rFonts w:ascii="宋体" w:hAnsi="宋体"/>
                <w:szCs w:val="21"/>
              </w:rPr>
              <w:t>134</w:t>
            </w:r>
          </w:p>
        </w:tc>
        <w:tc>
          <w:tcPr>
            <w:tcW w:w="715" w:type="pct"/>
            <w:vAlign w:val="center"/>
          </w:tcPr>
          <w:p w14:paraId="227D2830">
            <w:pPr>
              <w:pStyle w:val="12"/>
              <w:jc w:val="center"/>
              <w:rPr>
                <w:rFonts w:ascii="宋体" w:hAnsi="宋体"/>
                <w:szCs w:val="21"/>
              </w:rPr>
            </w:pPr>
            <w:r>
              <w:rPr>
                <w:rFonts w:ascii="宋体" w:hAnsi="宋体"/>
                <w:szCs w:val="21"/>
              </w:rPr>
              <w:t>286</w:t>
            </w:r>
          </w:p>
        </w:tc>
        <w:tc>
          <w:tcPr>
            <w:tcW w:w="712" w:type="pct"/>
            <w:vAlign w:val="center"/>
          </w:tcPr>
          <w:p w14:paraId="65FBBA6D">
            <w:pPr>
              <w:pStyle w:val="12"/>
              <w:jc w:val="center"/>
              <w:rPr>
                <w:rFonts w:ascii="宋体" w:hAnsi="宋体"/>
                <w:szCs w:val="21"/>
              </w:rPr>
            </w:pPr>
            <w:r>
              <w:rPr>
                <w:rFonts w:ascii="宋体" w:hAnsi="宋体"/>
                <w:szCs w:val="21"/>
              </w:rPr>
              <w:t>157</w:t>
            </w:r>
          </w:p>
        </w:tc>
      </w:tr>
      <w:tr w14:paraId="188BF5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FEEBF9C">
            <w:pPr>
              <w:pStyle w:val="12"/>
              <w:jc w:val="center"/>
              <w:rPr>
                <w:rFonts w:ascii="宋体" w:hAnsi="宋体"/>
                <w:szCs w:val="21"/>
              </w:rPr>
            </w:pPr>
            <w:r>
              <w:rPr>
                <w:rFonts w:ascii="宋体" w:hAnsi="宋体"/>
                <w:szCs w:val="21"/>
              </w:rPr>
              <w:t>1990</w:t>
            </w:r>
          </w:p>
        </w:tc>
        <w:tc>
          <w:tcPr>
            <w:tcW w:w="714" w:type="pct"/>
            <w:vAlign w:val="center"/>
          </w:tcPr>
          <w:p w14:paraId="780C4C5A">
            <w:pPr>
              <w:pStyle w:val="12"/>
              <w:jc w:val="center"/>
              <w:rPr>
                <w:rFonts w:ascii="宋体" w:hAnsi="宋体"/>
                <w:szCs w:val="21"/>
              </w:rPr>
            </w:pPr>
            <w:r>
              <w:rPr>
                <w:rFonts w:ascii="宋体" w:hAnsi="宋体"/>
                <w:szCs w:val="21"/>
              </w:rPr>
              <w:t>1639</w:t>
            </w:r>
          </w:p>
        </w:tc>
        <w:tc>
          <w:tcPr>
            <w:tcW w:w="619" w:type="pct"/>
            <w:vAlign w:val="center"/>
          </w:tcPr>
          <w:p w14:paraId="6A93D8FF">
            <w:pPr>
              <w:pStyle w:val="12"/>
              <w:jc w:val="center"/>
              <w:rPr>
                <w:rFonts w:ascii="宋体" w:hAnsi="宋体"/>
                <w:szCs w:val="21"/>
              </w:rPr>
            </w:pPr>
            <w:r>
              <w:rPr>
                <w:rFonts w:ascii="宋体" w:hAnsi="宋体"/>
                <w:szCs w:val="21"/>
              </w:rPr>
              <w:t>524</w:t>
            </w:r>
          </w:p>
        </w:tc>
        <w:tc>
          <w:tcPr>
            <w:tcW w:w="712" w:type="pct"/>
            <w:vAlign w:val="center"/>
          </w:tcPr>
          <w:p w14:paraId="4AD1055A">
            <w:pPr>
              <w:pStyle w:val="12"/>
              <w:jc w:val="center"/>
              <w:rPr>
                <w:rFonts w:ascii="宋体" w:hAnsi="宋体"/>
                <w:szCs w:val="21"/>
              </w:rPr>
            </w:pPr>
            <w:r>
              <w:rPr>
                <w:rFonts w:ascii="宋体" w:hAnsi="宋体"/>
                <w:szCs w:val="21"/>
              </w:rPr>
              <w:t>31.97</w:t>
            </w:r>
          </w:p>
        </w:tc>
        <w:tc>
          <w:tcPr>
            <w:tcW w:w="814" w:type="pct"/>
            <w:vAlign w:val="center"/>
          </w:tcPr>
          <w:p w14:paraId="642D75D6">
            <w:pPr>
              <w:pStyle w:val="12"/>
              <w:jc w:val="center"/>
              <w:rPr>
                <w:rFonts w:ascii="宋体" w:hAnsi="宋体"/>
                <w:szCs w:val="21"/>
              </w:rPr>
            </w:pPr>
            <w:r>
              <w:rPr>
                <w:rFonts w:ascii="宋体" w:hAnsi="宋体"/>
                <w:szCs w:val="21"/>
              </w:rPr>
              <w:t>125</w:t>
            </w:r>
          </w:p>
        </w:tc>
        <w:tc>
          <w:tcPr>
            <w:tcW w:w="715" w:type="pct"/>
            <w:vAlign w:val="center"/>
          </w:tcPr>
          <w:p w14:paraId="583D3251">
            <w:pPr>
              <w:pStyle w:val="12"/>
              <w:jc w:val="center"/>
              <w:rPr>
                <w:rFonts w:ascii="宋体" w:hAnsi="宋体"/>
                <w:szCs w:val="21"/>
              </w:rPr>
            </w:pPr>
            <w:r>
              <w:rPr>
                <w:rFonts w:ascii="宋体" w:hAnsi="宋体"/>
                <w:szCs w:val="21"/>
              </w:rPr>
              <w:t>231</w:t>
            </w:r>
          </w:p>
        </w:tc>
        <w:tc>
          <w:tcPr>
            <w:tcW w:w="712" w:type="pct"/>
            <w:vAlign w:val="center"/>
          </w:tcPr>
          <w:p w14:paraId="045D0208">
            <w:pPr>
              <w:pStyle w:val="12"/>
              <w:jc w:val="center"/>
              <w:rPr>
                <w:rFonts w:ascii="宋体" w:hAnsi="宋体"/>
                <w:szCs w:val="21"/>
              </w:rPr>
            </w:pPr>
            <w:r>
              <w:rPr>
                <w:rFonts w:ascii="宋体" w:hAnsi="宋体"/>
                <w:szCs w:val="21"/>
              </w:rPr>
              <w:t>168</w:t>
            </w:r>
          </w:p>
        </w:tc>
      </w:tr>
      <w:tr w14:paraId="673582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DF66BCE">
            <w:pPr>
              <w:pStyle w:val="12"/>
              <w:jc w:val="center"/>
              <w:rPr>
                <w:rFonts w:ascii="宋体" w:hAnsi="宋体"/>
                <w:szCs w:val="21"/>
              </w:rPr>
            </w:pPr>
            <w:r>
              <w:rPr>
                <w:rFonts w:ascii="宋体" w:hAnsi="宋体"/>
                <w:szCs w:val="21"/>
              </w:rPr>
              <w:t>1991</w:t>
            </w:r>
          </w:p>
        </w:tc>
        <w:tc>
          <w:tcPr>
            <w:tcW w:w="714" w:type="pct"/>
            <w:vAlign w:val="center"/>
          </w:tcPr>
          <w:p w14:paraId="07DB7AE1">
            <w:pPr>
              <w:pStyle w:val="12"/>
              <w:jc w:val="center"/>
              <w:rPr>
                <w:rFonts w:ascii="宋体" w:hAnsi="宋体"/>
                <w:szCs w:val="21"/>
              </w:rPr>
            </w:pPr>
            <w:r>
              <w:rPr>
                <w:rFonts w:ascii="宋体" w:hAnsi="宋体"/>
                <w:szCs w:val="21"/>
              </w:rPr>
              <w:t>1892</w:t>
            </w:r>
          </w:p>
        </w:tc>
        <w:tc>
          <w:tcPr>
            <w:tcW w:w="619" w:type="pct"/>
            <w:vAlign w:val="center"/>
          </w:tcPr>
          <w:p w14:paraId="28847DF3">
            <w:pPr>
              <w:pStyle w:val="12"/>
              <w:jc w:val="center"/>
              <w:rPr>
                <w:rFonts w:ascii="宋体" w:hAnsi="宋体"/>
                <w:szCs w:val="21"/>
              </w:rPr>
            </w:pPr>
            <w:r>
              <w:rPr>
                <w:rFonts w:ascii="宋体" w:hAnsi="宋体"/>
                <w:szCs w:val="21"/>
              </w:rPr>
              <w:t>429</w:t>
            </w:r>
          </w:p>
        </w:tc>
        <w:tc>
          <w:tcPr>
            <w:tcW w:w="712" w:type="pct"/>
            <w:vAlign w:val="center"/>
          </w:tcPr>
          <w:p w14:paraId="7B7F42B8">
            <w:pPr>
              <w:pStyle w:val="12"/>
              <w:jc w:val="center"/>
              <w:rPr>
                <w:rFonts w:ascii="宋体" w:hAnsi="宋体"/>
                <w:szCs w:val="21"/>
              </w:rPr>
            </w:pPr>
            <w:r>
              <w:rPr>
                <w:rFonts w:ascii="宋体" w:hAnsi="宋体"/>
                <w:szCs w:val="21"/>
              </w:rPr>
              <w:t>22.92</w:t>
            </w:r>
          </w:p>
        </w:tc>
        <w:tc>
          <w:tcPr>
            <w:tcW w:w="814" w:type="pct"/>
            <w:vAlign w:val="center"/>
          </w:tcPr>
          <w:p w14:paraId="21BEED03">
            <w:pPr>
              <w:pStyle w:val="12"/>
              <w:jc w:val="center"/>
              <w:rPr>
                <w:rFonts w:ascii="宋体" w:hAnsi="宋体"/>
                <w:szCs w:val="21"/>
              </w:rPr>
            </w:pPr>
            <w:r>
              <w:rPr>
                <w:rFonts w:ascii="宋体" w:hAnsi="宋体"/>
                <w:szCs w:val="21"/>
              </w:rPr>
              <w:t>167</w:t>
            </w:r>
          </w:p>
        </w:tc>
        <w:tc>
          <w:tcPr>
            <w:tcW w:w="715" w:type="pct"/>
            <w:vAlign w:val="center"/>
          </w:tcPr>
          <w:p w14:paraId="1CD14826">
            <w:pPr>
              <w:pStyle w:val="12"/>
              <w:jc w:val="center"/>
              <w:rPr>
                <w:rFonts w:ascii="宋体" w:hAnsi="宋体"/>
                <w:szCs w:val="21"/>
              </w:rPr>
            </w:pPr>
            <w:r>
              <w:rPr>
                <w:rFonts w:ascii="宋体" w:hAnsi="宋体"/>
                <w:szCs w:val="21"/>
              </w:rPr>
              <w:t>137</w:t>
            </w:r>
          </w:p>
        </w:tc>
        <w:tc>
          <w:tcPr>
            <w:tcW w:w="712" w:type="pct"/>
            <w:vAlign w:val="center"/>
          </w:tcPr>
          <w:p w14:paraId="715D0499">
            <w:pPr>
              <w:pStyle w:val="12"/>
              <w:jc w:val="center"/>
              <w:rPr>
                <w:rFonts w:ascii="宋体" w:hAnsi="宋体"/>
                <w:szCs w:val="21"/>
              </w:rPr>
            </w:pPr>
            <w:r>
              <w:rPr>
                <w:rFonts w:ascii="宋体" w:hAnsi="宋体"/>
                <w:szCs w:val="21"/>
              </w:rPr>
              <w:t>125</w:t>
            </w:r>
          </w:p>
        </w:tc>
      </w:tr>
      <w:tr w14:paraId="32F4E9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B534054">
            <w:pPr>
              <w:pStyle w:val="12"/>
              <w:jc w:val="center"/>
              <w:rPr>
                <w:rFonts w:ascii="宋体" w:hAnsi="宋体"/>
                <w:szCs w:val="21"/>
              </w:rPr>
            </w:pPr>
            <w:r>
              <w:rPr>
                <w:rFonts w:ascii="宋体" w:hAnsi="宋体"/>
                <w:szCs w:val="21"/>
              </w:rPr>
              <w:t>1992</w:t>
            </w:r>
          </w:p>
        </w:tc>
        <w:tc>
          <w:tcPr>
            <w:tcW w:w="714" w:type="pct"/>
            <w:vAlign w:val="center"/>
          </w:tcPr>
          <w:p w14:paraId="7631559E">
            <w:pPr>
              <w:pStyle w:val="12"/>
              <w:jc w:val="center"/>
              <w:rPr>
                <w:rFonts w:ascii="宋体" w:hAnsi="宋体"/>
                <w:szCs w:val="21"/>
              </w:rPr>
            </w:pPr>
            <w:r>
              <w:rPr>
                <w:rFonts w:ascii="宋体" w:hAnsi="宋体"/>
                <w:szCs w:val="21"/>
              </w:rPr>
              <w:t>2058</w:t>
            </w:r>
          </w:p>
        </w:tc>
        <w:tc>
          <w:tcPr>
            <w:tcW w:w="619" w:type="pct"/>
            <w:vAlign w:val="center"/>
          </w:tcPr>
          <w:p w14:paraId="336473CA">
            <w:pPr>
              <w:pStyle w:val="12"/>
              <w:jc w:val="center"/>
              <w:rPr>
                <w:rFonts w:ascii="宋体" w:hAnsi="宋体"/>
                <w:szCs w:val="21"/>
              </w:rPr>
            </w:pPr>
            <w:r>
              <w:rPr>
                <w:rFonts w:ascii="宋体" w:hAnsi="宋体"/>
                <w:szCs w:val="21"/>
              </w:rPr>
              <w:t>725</w:t>
            </w:r>
          </w:p>
        </w:tc>
        <w:tc>
          <w:tcPr>
            <w:tcW w:w="712" w:type="pct"/>
            <w:vAlign w:val="center"/>
          </w:tcPr>
          <w:p w14:paraId="25EB11A8">
            <w:pPr>
              <w:pStyle w:val="12"/>
              <w:jc w:val="center"/>
              <w:rPr>
                <w:rFonts w:ascii="宋体" w:hAnsi="宋体"/>
                <w:szCs w:val="21"/>
              </w:rPr>
            </w:pPr>
            <w:r>
              <w:rPr>
                <w:rFonts w:ascii="宋体" w:hAnsi="宋体"/>
                <w:szCs w:val="21"/>
              </w:rPr>
              <w:t>35.23</w:t>
            </w:r>
          </w:p>
        </w:tc>
        <w:tc>
          <w:tcPr>
            <w:tcW w:w="814" w:type="pct"/>
            <w:vAlign w:val="center"/>
          </w:tcPr>
          <w:p w14:paraId="712B3B77">
            <w:pPr>
              <w:pStyle w:val="12"/>
              <w:jc w:val="center"/>
              <w:rPr>
                <w:rFonts w:ascii="宋体" w:hAnsi="宋体"/>
                <w:szCs w:val="21"/>
              </w:rPr>
            </w:pPr>
            <w:r>
              <w:rPr>
                <w:rFonts w:ascii="宋体" w:hAnsi="宋体"/>
                <w:szCs w:val="21"/>
              </w:rPr>
              <w:t>189</w:t>
            </w:r>
          </w:p>
        </w:tc>
        <w:tc>
          <w:tcPr>
            <w:tcW w:w="715" w:type="pct"/>
            <w:vAlign w:val="center"/>
          </w:tcPr>
          <w:p w14:paraId="22FA6575">
            <w:pPr>
              <w:pStyle w:val="12"/>
              <w:jc w:val="center"/>
              <w:rPr>
                <w:rFonts w:ascii="宋体" w:hAnsi="宋体"/>
                <w:szCs w:val="21"/>
              </w:rPr>
            </w:pPr>
            <w:r>
              <w:rPr>
                <w:rFonts w:ascii="宋体" w:hAnsi="宋体"/>
                <w:szCs w:val="21"/>
              </w:rPr>
              <w:t>325</w:t>
            </w:r>
          </w:p>
        </w:tc>
        <w:tc>
          <w:tcPr>
            <w:tcW w:w="712" w:type="pct"/>
            <w:vAlign w:val="center"/>
          </w:tcPr>
          <w:p w14:paraId="5886E18D">
            <w:pPr>
              <w:pStyle w:val="12"/>
              <w:jc w:val="center"/>
              <w:rPr>
                <w:rFonts w:ascii="宋体" w:hAnsi="宋体"/>
                <w:szCs w:val="21"/>
              </w:rPr>
            </w:pPr>
            <w:r>
              <w:rPr>
                <w:rFonts w:ascii="宋体" w:hAnsi="宋体"/>
                <w:szCs w:val="21"/>
              </w:rPr>
              <w:t>211</w:t>
            </w:r>
          </w:p>
        </w:tc>
      </w:tr>
      <w:tr w14:paraId="72091B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D372807">
            <w:pPr>
              <w:pStyle w:val="12"/>
              <w:jc w:val="center"/>
              <w:rPr>
                <w:rFonts w:ascii="宋体" w:hAnsi="宋体"/>
                <w:szCs w:val="21"/>
              </w:rPr>
            </w:pPr>
            <w:r>
              <w:rPr>
                <w:rFonts w:ascii="宋体" w:hAnsi="宋体"/>
                <w:szCs w:val="21"/>
              </w:rPr>
              <w:t>1993</w:t>
            </w:r>
          </w:p>
        </w:tc>
        <w:tc>
          <w:tcPr>
            <w:tcW w:w="714" w:type="pct"/>
            <w:vAlign w:val="center"/>
          </w:tcPr>
          <w:p w14:paraId="0FE2BEDC">
            <w:pPr>
              <w:pStyle w:val="12"/>
              <w:jc w:val="center"/>
              <w:rPr>
                <w:rFonts w:ascii="宋体" w:hAnsi="宋体"/>
                <w:szCs w:val="21"/>
              </w:rPr>
            </w:pPr>
            <w:r>
              <w:rPr>
                <w:rFonts w:ascii="宋体" w:hAnsi="宋体"/>
                <w:szCs w:val="21"/>
              </w:rPr>
              <w:t>1849</w:t>
            </w:r>
          </w:p>
        </w:tc>
        <w:tc>
          <w:tcPr>
            <w:tcW w:w="619" w:type="pct"/>
            <w:vAlign w:val="center"/>
          </w:tcPr>
          <w:p w14:paraId="1EB0822D">
            <w:pPr>
              <w:pStyle w:val="12"/>
              <w:jc w:val="center"/>
              <w:rPr>
                <w:rFonts w:ascii="宋体" w:hAnsi="宋体"/>
                <w:szCs w:val="21"/>
              </w:rPr>
            </w:pPr>
            <w:r>
              <w:rPr>
                <w:rFonts w:ascii="宋体" w:hAnsi="宋体"/>
                <w:szCs w:val="21"/>
              </w:rPr>
              <w:t>1055</w:t>
            </w:r>
          </w:p>
        </w:tc>
        <w:tc>
          <w:tcPr>
            <w:tcW w:w="712" w:type="pct"/>
            <w:vAlign w:val="center"/>
          </w:tcPr>
          <w:p w14:paraId="044B44A4">
            <w:pPr>
              <w:pStyle w:val="12"/>
              <w:jc w:val="center"/>
              <w:rPr>
                <w:rFonts w:ascii="宋体" w:hAnsi="宋体"/>
                <w:szCs w:val="21"/>
              </w:rPr>
            </w:pPr>
            <w:r>
              <w:rPr>
                <w:rFonts w:ascii="宋体" w:hAnsi="宋体"/>
                <w:szCs w:val="21"/>
              </w:rPr>
              <w:t>57.06</w:t>
            </w:r>
          </w:p>
        </w:tc>
        <w:tc>
          <w:tcPr>
            <w:tcW w:w="814" w:type="pct"/>
            <w:vAlign w:val="center"/>
          </w:tcPr>
          <w:p w14:paraId="670ECA62">
            <w:pPr>
              <w:pStyle w:val="12"/>
              <w:jc w:val="center"/>
              <w:rPr>
                <w:rFonts w:ascii="宋体" w:hAnsi="宋体"/>
                <w:szCs w:val="21"/>
              </w:rPr>
            </w:pPr>
            <w:r>
              <w:rPr>
                <w:rFonts w:ascii="宋体" w:hAnsi="宋体"/>
                <w:szCs w:val="21"/>
              </w:rPr>
              <w:t>214</w:t>
            </w:r>
          </w:p>
        </w:tc>
        <w:tc>
          <w:tcPr>
            <w:tcW w:w="715" w:type="pct"/>
            <w:vAlign w:val="center"/>
          </w:tcPr>
          <w:p w14:paraId="0E6A5FAD">
            <w:pPr>
              <w:pStyle w:val="12"/>
              <w:jc w:val="center"/>
              <w:rPr>
                <w:rFonts w:ascii="宋体" w:hAnsi="宋体"/>
                <w:szCs w:val="21"/>
              </w:rPr>
            </w:pPr>
            <w:r>
              <w:rPr>
                <w:rFonts w:ascii="宋体" w:hAnsi="宋体"/>
                <w:szCs w:val="21"/>
              </w:rPr>
              <w:t>604</w:t>
            </w:r>
          </w:p>
        </w:tc>
        <w:tc>
          <w:tcPr>
            <w:tcW w:w="712" w:type="pct"/>
            <w:vAlign w:val="center"/>
          </w:tcPr>
          <w:p w14:paraId="22FE8510">
            <w:pPr>
              <w:pStyle w:val="12"/>
              <w:jc w:val="center"/>
              <w:rPr>
                <w:rFonts w:ascii="宋体" w:hAnsi="宋体"/>
                <w:szCs w:val="21"/>
              </w:rPr>
            </w:pPr>
            <w:r>
              <w:rPr>
                <w:rFonts w:ascii="宋体" w:hAnsi="宋体"/>
                <w:szCs w:val="21"/>
              </w:rPr>
              <w:t>237</w:t>
            </w:r>
          </w:p>
        </w:tc>
      </w:tr>
      <w:tr w14:paraId="14328F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268F83F6">
            <w:pPr>
              <w:pStyle w:val="12"/>
              <w:jc w:val="center"/>
              <w:rPr>
                <w:rFonts w:ascii="宋体" w:hAnsi="宋体"/>
                <w:szCs w:val="21"/>
              </w:rPr>
            </w:pPr>
            <w:r>
              <w:rPr>
                <w:rFonts w:ascii="宋体" w:hAnsi="宋体"/>
                <w:szCs w:val="21"/>
              </w:rPr>
              <w:t>1994</w:t>
            </w:r>
          </w:p>
        </w:tc>
        <w:tc>
          <w:tcPr>
            <w:tcW w:w="714" w:type="pct"/>
            <w:vAlign w:val="center"/>
          </w:tcPr>
          <w:p w14:paraId="1ED3EB47">
            <w:pPr>
              <w:pStyle w:val="12"/>
              <w:jc w:val="center"/>
              <w:rPr>
                <w:rFonts w:ascii="宋体" w:hAnsi="宋体"/>
                <w:szCs w:val="21"/>
              </w:rPr>
            </w:pPr>
            <w:r>
              <w:rPr>
                <w:rFonts w:ascii="宋体" w:hAnsi="宋体"/>
                <w:szCs w:val="21"/>
              </w:rPr>
              <w:t>1281</w:t>
            </w:r>
          </w:p>
        </w:tc>
        <w:tc>
          <w:tcPr>
            <w:tcW w:w="619" w:type="pct"/>
            <w:vAlign w:val="center"/>
          </w:tcPr>
          <w:p w14:paraId="19697821">
            <w:pPr>
              <w:pStyle w:val="12"/>
              <w:jc w:val="center"/>
              <w:rPr>
                <w:rFonts w:ascii="宋体" w:hAnsi="宋体"/>
                <w:szCs w:val="21"/>
              </w:rPr>
            </w:pPr>
            <w:r>
              <w:rPr>
                <w:rFonts w:ascii="宋体" w:hAnsi="宋体"/>
                <w:szCs w:val="21"/>
              </w:rPr>
              <w:t>919</w:t>
            </w:r>
          </w:p>
        </w:tc>
        <w:tc>
          <w:tcPr>
            <w:tcW w:w="712" w:type="pct"/>
            <w:vAlign w:val="center"/>
          </w:tcPr>
          <w:p w14:paraId="41C8109E">
            <w:pPr>
              <w:pStyle w:val="12"/>
              <w:jc w:val="center"/>
              <w:rPr>
                <w:rFonts w:ascii="宋体" w:hAnsi="宋体"/>
                <w:szCs w:val="21"/>
              </w:rPr>
            </w:pPr>
            <w:r>
              <w:rPr>
                <w:rFonts w:ascii="宋体" w:hAnsi="宋体"/>
                <w:szCs w:val="21"/>
              </w:rPr>
              <w:t>74.65</w:t>
            </w:r>
          </w:p>
        </w:tc>
        <w:tc>
          <w:tcPr>
            <w:tcW w:w="814" w:type="pct"/>
            <w:vAlign w:val="center"/>
          </w:tcPr>
          <w:p w14:paraId="26FEC169">
            <w:pPr>
              <w:pStyle w:val="12"/>
              <w:jc w:val="center"/>
              <w:rPr>
                <w:rFonts w:ascii="宋体" w:hAnsi="宋体"/>
                <w:szCs w:val="21"/>
              </w:rPr>
            </w:pPr>
            <w:r>
              <w:rPr>
                <w:rFonts w:ascii="宋体" w:hAnsi="宋体"/>
                <w:szCs w:val="21"/>
              </w:rPr>
              <w:t>234</w:t>
            </w:r>
          </w:p>
        </w:tc>
        <w:tc>
          <w:tcPr>
            <w:tcW w:w="715" w:type="pct"/>
            <w:vAlign w:val="center"/>
          </w:tcPr>
          <w:p w14:paraId="05ED502B">
            <w:pPr>
              <w:pStyle w:val="12"/>
              <w:jc w:val="center"/>
              <w:rPr>
                <w:rFonts w:ascii="宋体" w:hAnsi="宋体"/>
                <w:szCs w:val="21"/>
              </w:rPr>
            </w:pPr>
            <w:r>
              <w:rPr>
                <w:rFonts w:ascii="宋体" w:hAnsi="宋体"/>
                <w:szCs w:val="21"/>
              </w:rPr>
              <w:t>506</w:t>
            </w:r>
          </w:p>
        </w:tc>
        <w:tc>
          <w:tcPr>
            <w:tcW w:w="712" w:type="pct"/>
            <w:vAlign w:val="center"/>
          </w:tcPr>
          <w:p w14:paraId="788E25DC">
            <w:pPr>
              <w:pStyle w:val="12"/>
              <w:jc w:val="center"/>
              <w:rPr>
                <w:rFonts w:ascii="宋体" w:hAnsi="宋体"/>
                <w:szCs w:val="21"/>
              </w:rPr>
            </w:pPr>
            <w:r>
              <w:rPr>
                <w:rFonts w:ascii="宋体" w:hAnsi="宋体"/>
                <w:szCs w:val="21"/>
              </w:rPr>
              <w:t>179</w:t>
            </w:r>
          </w:p>
        </w:tc>
      </w:tr>
      <w:tr w14:paraId="7B773A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295600F2">
            <w:pPr>
              <w:pStyle w:val="12"/>
              <w:jc w:val="center"/>
              <w:rPr>
                <w:rFonts w:ascii="宋体" w:hAnsi="宋体"/>
                <w:szCs w:val="21"/>
              </w:rPr>
            </w:pPr>
            <w:r>
              <w:rPr>
                <w:rFonts w:ascii="宋体" w:hAnsi="宋体"/>
                <w:szCs w:val="21"/>
              </w:rPr>
              <w:t>1995</w:t>
            </w:r>
          </w:p>
        </w:tc>
        <w:tc>
          <w:tcPr>
            <w:tcW w:w="714" w:type="pct"/>
            <w:vAlign w:val="center"/>
          </w:tcPr>
          <w:p w14:paraId="015E3CFE">
            <w:pPr>
              <w:pStyle w:val="12"/>
              <w:jc w:val="center"/>
              <w:rPr>
                <w:rFonts w:ascii="宋体" w:hAnsi="宋体"/>
                <w:szCs w:val="21"/>
              </w:rPr>
            </w:pPr>
            <w:r>
              <w:rPr>
                <w:rFonts w:ascii="宋体" w:hAnsi="宋体"/>
                <w:szCs w:val="21"/>
              </w:rPr>
              <w:t>1085</w:t>
            </w:r>
          </w:p>
        </w:tc>
        <w:tc>
          <w:tcPr>
            <w:tcW w:w="619" w:type="pct"/>
            <w:vAlign w:val="center"/>
          </w:tcPr>
          <w:p w14:paraId="5B77D125">
            <w:pPr>
              <w:pStyle w:val="12"/>
              <w:jc w:val="center"/>
              <w:rPr>
                <w:rFonts w:ascii="宋体" w:hAnsi="宋体"/>
                <w:szCs w:val="21"/>
              </w:rPr>
            </w:pPr>
            <w:r>
              <w:rPr>
                <w:rFonts w:ascii="宋体" w:hAnsi="宋体"/>
                <w:szCs w:val="21"/>
              </w:rPr>
              <w:t>820</w:t>
            </w:r>
          </w:p>
        </w:tc>
        <w:tc>
          <w:tcPr>
            <w:tcW w:w="712" w:type="pct"/>
            <w:vAlign w:val="center"/>
          </w:tcPr>
          <w:p w14:paraId="1BEA8B9E">
            <w:pPr>
              <w:pStyle w:val="12"/>
              <w:jc w:val="center"/>
              <w:rPr>
                <w:rFonts w:ascii="宋体" w:hAnsi="宋体"/>
                <w:szCs w:val="21"/>
              </w:rPr>
            </w:pPr>
            <w:r>
              <w:rPr>
                <w:rFonts w:ascii="宋体" w:hAnsi="宋体"/>
                <w:szCs w:val="21"/>
              </w:rPr>
              <w:t>75.58</w:t>
            </w:r>
          </w:p>
        </w:tc>
        <w:tc>
          <w:tcPr>
            <w:tcW w:w="814" w:type="pct"/>
            <w:vAlign w:val="center"/>
          </w:tcPr>
          <w:p w14:paraId="21763B06">
            <w:pPr>
              <w:pStyle w:val="12"/>
              <w:jc w:val="center"/>
              <w:rPr>
                <w:rFonts w:ascii="宋体" w:hAnsi="宋体"/>
                <w:szCs w:val="21"/>
              </w:rPr>
            </w:pPr>
            <w:r>
              <w:rPr>
                <w:rFonts w:ascii="宋体" w:hAnsi="宋体"/>
                <w:szCs w:val="21"/>
              </w:rPr>
              <w:t>179</w:t>
            </w:r>
          </w:p>
        </w:tc>
        <w:tc>
          <w:tcPr>
            <w:tcW w:w="715" w:type="pct"/>
            <w:vAlign w:val="center"/>
          </w:tcPr>
          <w:p w14:paraId="2AAC84F6">
            <w:pPr>
              <w:pStyle w:val="12"/>
              <w:jc w:val="center"/>
              <w:rPr>
                <w:rFonts w:ascii="宋体" w:hAnsi="宋体"/>
                <w:szCs w:val="21"/>
              </w:rPr>
            </w:pPr>
            <w:r>
              <w:rPr>
                <w:rFonts w:ascii="宋体" w:hAnsi="宋体"/>
                <w:szCs w:val="21"/>
              </w:rPr>
              <w:t>482</w:t>
            </w:r>
          </w:p>
        </w:tc>
        <w:tc>
          <w:tcPr>
            <w:tcW w:w="712" w:type="pct"/>
            <w:vAlign w:val="center"/>
          </w:tcPr>
          <w:p w14:paraId="2C1BF08A">
            <w:pPr>
              <w:pStyle w:val="12"/>
              <w:jc w:val="center"/>
              <w:rPr>
                <w:rFonts w:ascii="宋体" w:hAnsi="宋体"/>
                <w:szCs w:val="21"/>
              </w:rPr>
            </w:pPr>
            <w:r>
              <w:rPr>
                <w:rFonts w:ascii="宋体" w:hAnsi="宋体"/>
                <w:szCs w:val="21"/>
              </w:rPr>
              <w:t>159</w:t>
            </w:r>
          </w:p>
        </w:tc>
      </w:tr>
      <w:tr w14:paraId="11484F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854A05D">
            <w:pPr>
              <w:pStyle w:val="12"/>
              <w:jc w:val="center"/>
              <w:rPr>
                <w:rFonts w:ascii="宋体" w:hAnsi="宋体"/>
                <w:szCs w:val="21"/>
              </w:rPr>
            </w:pPr>
            <w:r>
              <w:rPr>
                <w:rFonts w:ascii="宋体" w:hAnsi="宋体"/>
                <w:szCs w:val="21"/>
              </w:rPr>
              <w:t>1996</w:t>
            </w:r>
          </w:p>
        </w:tc>
        <w:tc>
          <w:tcPr>
            <w:tcW w:w="714" w:type="pct"/>
            <w:vAlign w:val="center"/>
          </w:tcPr>
          <w:p w14:paraId="1CC3185F">
            <w:pPr>
              <w:pStyle w:val="12"/>
              <w:jc w:val="center"/>
              <w:rPr>
                <w:rFonts w:ascii="宋体" w:hAnsi="宋体"/>
                <w:szCs w:val="21"/>
              </w:rPr>
            </w:pPr>
            <w:r>
              <w:rPr>
                <w:rFonts w:ascii="宋体" w:hAnsi="宋体"/>
                <w:szCs w:val="21"/>
              </w:rPr>
              <w:t>1013</w:t>
            </w:r>
          </w:p>
        </w:tc>
        <w:tc>
          <w:tcPr>
            <w:tcW w:w="619" w:type="pct"/>
            <w:vAlign w:val="center"/>
          </w:tcPr>
          <w:p w14:paraId="4AF9CAB4">
            <w:pPr>
              <w:pStyle w:val="12"/>
              <w:jc w:val="center"/>
              <w:rPr>
                <w:rFonts w:ascii="宋体" w:hAnsi="宋体"/>
                <w:szCs w:val="21"/>
              </w:rPr>
            </w:pPr>
            <w:r>
              <w:rPr>
                <w:rFonts w:ascii="宋体" w:hAnsi="宋体"/>
                <w:szCs w:val="21"/>
              </w:rPr>
              <w:t>684</w:t>
            </w:r>
          </w:p>
        </w:tc>
        <w:tc>
          <w:tcPr>
            <w:tcW w:w="712" w:type="pct"/>
            <w:vAlign w:val="center"/>
          </w:tcPr>
          <w:p w14:paraId="2F43FB89">
            <w:pPr>
              <w:pStyle w:val="12"/>
              <w:jc w:val="center"/>
              <w:rPr>
                <w:rFonts w:ascii="宋体" w:hAnsi="宋体"/>
                <w:szCs w:val="21"/>
              </w:rPr>
            </w:pPr>
            <w:r>
              <w:rPr>
                <w:rFonts w:ascii="宋体" w:hAnsi="宋体"/>
                <w:szCs w:val="21"/>
              </w:rPr>
              <w:t>67.52</w:t>
            </w:r>
          </w:p>
        </w:tc>
        <w:tc>
          <w:tcPr>
            <w:tcW w:w="814" w:type="pct"/>
            <w:vAlign w:val="center"/>
          </w:tcPr>
          <w:p w14:paraId="39F41D4E">
            <w:pPr>
              <w:pStyle w:val="12"/>
              <w:jc w:val="center"/>
              <w:rPr>
                <w:rFonts w:ascii="宋体" w:hAnsi="宋体"/>
                <w:szCs w:val="21"/>
              </w:rPr>
            </w:pPr>
            <w:r>
              <w:rPr>
                <w:rFonts w:ascii="宋体" w:hAnsi="宋体"/>
                <w:szCs w:val="21"/>
              </w:rPr>
              <w:t>230</w:t>
            </w:r>
          </w:p>
        </w:tc>
        <w:tc>
          <w:tcPr>
            <w:tcW w:w="715" w:type="pct"/>
            <w:vAlign w:val="center"/>
          </w:tcPr>
          <w:p w14:paraId="62E4091D">
            <w:pPr>
              <w:pStyle w:val="12"/>
              <w:jc w:val="center"/>
              <w:rPr>
                <w:rFonts w:ascii="宋体" w:hAnsi="宋体"/>
                <w:szCs w:val="21"/>
              </w:rPr>
            </w:pPr>
            <w:r>
              <w:rPr>
                <w:rFonts w:ascii="宋体" w:hAnsi="宋体"/>
                <w:szCs w:val="21"/>
              </w:rPr>
              <w:t>349</w:t>
            </w:r>
          </w:p>
        </w:tc>
        <w:tc>
          <w:tcPr>
            <w:tcW w:w="712" w:type="pct"/>
            <w:vAlign w:val="center"/>
          </w:tcPr>
          <w:p w14:paraId="028ED5A4">
            <w:pPr>
              <w:pStyle w:val="12"/>
              <w:jc w:val="center"/>
              <w:rPr>
                <w:rFonts w:ascii="宋体" w:hAnsi="宋体"/>
                <w:szCs w:val="21"/>
              </w:rPr>
            </w:pPr>
            <w:r>
              <w:rPr>
                <w:rFonts w:ascii="宋体" w:hAnsi="宋体"/>
                <w:szCs w:val="21"/>
              </w:rPr>
              <w:t>105</w:t>
            </w:r>
          </w:p>
        </w:tc>
      </w:tr>
      <w:tr w14:paraId="24B8B0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A167B31">
            <w:pPr>
              <w:pStyle w:val="12"/>
              <w:jc w:val="center"/>
              <w:rPr>
                <w:rFonts w:ascii="宋体" w:hAnsi="宋体"/>
                <w:szCs w:val="21"/>
              </w:rPr>
            </w:pPr>
            <w:r>
              <w:rPr>
                <w:rFonts w:ascii="宋体" w:hAnsi="宋体"/>
                <w:szCs w:val="21"/>
              </w:rPr>
              <w:t>1997</w:t>
            </w:r>
          </w:p>
        </w:tc>
        <w:tc>
          <w:tcPr>
            <w:tcW w:w="714" w:type="pct"/>
            <w:vAlign w:val="center"/>
          </w:tcPr>
          <w:p w14:paraId="6B94CA9F">
            <w:pPr>
              <w:pStyle w:val="12"/>
              <w:jc w:val="center"/>
              <w:rPr>
                <w:rFonts w:ascii="宋体" w:hAnsi="宋体"/>
                <w:szCs w:val="21"/>
              </w:rPr>
            </w:pPr>
            <w:r>
              <w:rPr>
                <w:rFonts w:ascii="宋体" w:hAnsi="宋体"/>
                <w:szCs w:val="21"/>
              </w:rPr>
              <w:t>1144</w:t>
            </w:r>
          </w:p>
        </w:tc>
        <w:tc>
          <w:tcPr>
            <w:tcW w:w="619" w:type="pct"/>
            <w:vAlign w:val="center"/>
          </w:tcPr>
          <w:p w14:paraId="50131CA6">
            <w:pPr>
              <w:pStyle w:val="12"/>
              <w:jc w:val="center"/>
              <w:rPr>
                <w:rFonts w:ascii="宋体" w:hAnsi="宋体"/>
                <w:szCs w:val="21"/>
              </w:rPr>
            </w:pPr>
            <w:r>
              <w:rPr>
                <w:rFonts w:ascii="宋体" w:hAnsi="宋体"/>
                <w:szCs w:val="21"/>
              </w:rPr>
              <w:t>545</w:t>
            </w:r>
          </w:p>
        </w:tc>
        <w:tc>
          <w:tcPr>
            <w:tcW w:w="712" w:type="pct"/>
            <w:vAlign w:val="center"/>
          </w:tcPr>
          <w:p w14:paraId="4E6325DA">
            <w:pPr>
              <w:pStyle w:val="12"/>
              <w:jc w:val="center"/>
              <w:rPr>
                <w:rFonts w:ascii="宋体" w:hAnsi="宋体"/>
                <w:szCs w:val="21"/>
              </w:rPr>
            </w:pPr>
            <w:r>
              <w:rPr>
                <w:rFonts w:ascii="宋体" w:hAnsi="宋体"/>
                <w:szCs w:val="21"/>
              </w:rPr>
              <w:t>47.64</w:t>
            </w:r>
          </w:p>
        </w:tc>
        <w:tc>
          <w:tcPr>
            <w:tcW w:w="814" w:type="pct"/>
            <w:vAlign w:val="center"/>
          </w:tcPr>
          <w:p w14:paraId="104042FE">
            <w:pPr>
              <w:pStyle w:val="12"/>
              <w:jc w:val="center"/>
              <w:rPr>
                <w:rFonts w:ascii="宋体" w:hAnsi="宋体"/>
                <w:szCs w:val="21"/>
              </w:rPr>
            </w:pPr>
            <w:r>
              <w:rPr>
                <w:rFonts w:ascii="宋体" w:hAnsi="宋体"/>
                <w:szCs w:val="21"/>
              </w:rPr>
              <w:t>186</w:t>
            </w:r>
          </w:p>
        </w:tc>
        <w:tc>
          <w:tcPr>
            <w:tcW w:w="715" w:type="pct"/>
            <w:vAlign w:val="center"/>
          </w:tcPr>
          <w:p w14:paraId="18BB3BFB">
            <w:pPr>
              <w:pStyle w:val="12"/>
              <w:jc w:val="center"/>
              <w:rPr>
                <w:rFonts w:ascii="宋体" w:hAnsi="宋体"/>
                <w:szCs w:val="21"/>
              </w:rPr>
            </w:pPr>
            <w:r>
              <w:rPr>
                <w:rFonts w:ascii="宋体" w:hAnsi="宋体"/>
                <w:szCs w:val="21"/>
              </w:rPr>
              <w:t>317</w:t>
            </w:r>
          </w:p>
        </w:tc>
        <w:tc>
          <w:tcPr>
            <w:tcW w:w="712" w:type="pct"/>
            <w:vAlign w:val="center"/>
          </w:tcPr>
          <w:p w14:paraId="391F66BC">
            <w:pPr>
              <w:pStyle w:val="12"/>
              <w:jc w:val="center"/>
              <w:rPr>
                <w:rFonts w:ascii="宋体" w:hAnsi="宋体"/>
                <w:szCs w:val="21"/>
              </w:rPr>
            </w:pPr>
            <w:r>
              <w:rPr>
                <w:rFonts w:ascii="宋体" w:hAnsi="宋体"/>
                <w:szCs w:val="21"/>
              </w:rPr>
              <w:t>42</w:t>
            </w:r>
          </w:p>
        </w:tc>
      </w:tr>
      <w:tr w14:paraId="73256B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A1B2E10">
            <w:pPr>
              <w:pStyle w:val="12"/>
              <w:jc w:val="center"/>
              <w:rPr>
                <w:rFonts w:ascii="宋体" w:hAnsi="宋体"/>
                <w:szCs w:val="21"/>
              </w:rPr>
            </w:pPr>
            <w:r>
              <w:rPr>
                <w:rFonts w:ascii="宋体" w:hAnsi="宋体"/>
                <w:szCs w:val="21"/>
              </w:rPr>
              <w:t>1998</w:t>
            </w:r>
          </w:p>
        </w:tc>
        <w:tc>
          <w:tcPr>
            <w:tcW w:w="714" w:type="pct"/>
            <w:vAlign w:val="center"/>
          </w:tcPr>
          <w:p w14:paraId="23D3DCEE">
            <w:pPr>
              <w:pStyle w:val="12"/>
              <w:jc w:val="center"/>
              <w:rPr>
                <w:rFonts w:ascii="宋体" w:hAnsi="宋体"/>
                <w:szCs w:val="21"/>
              </w:rPr>
            </w:pPr>
            <w:r>
              <w:rPr>
                <w:rFonts w:ascii="宋体" w:hAnsi="宋体"/>
                <w:szCs w:val="21"/>
              </w:rPr>
              <w:t>1417</w:t>
            </w:r>
          </w:p>
        </w:tc>
        <w:tc>
          <w:tcPr>
            <w:tcW w:w="619" w:type="pct"/>
            <w:vAlign w:val="center"/>
          </w:tcPr>
          <w:p w14:paraId="22B16766">
            <w:pPr>
              <w:pStyle w:val="12"/>
              <w:jc w:val="center"/>
              <w:rPr>
                <w:rFonts w:ascii="宋体" w:hAnsi="宋体"/>
                <w:szCs w:val="21"/>
              </w:rPr>
            </w:pPr>
            <w:r>
              <w:rPr>
                <w:rFonts w:ascii="宋体" w:hAnsi="宋体"/>
                <w:szCs w:val="21"/>
              </w:rPr>
              <w:t>464</w:t>
            </w:r>
          </w:p>
        </w:tc>
        <w:tc>
          <w:tcPr>
            <w:tcW w:w="712" w:type="pct"/>
            <w:vAlign w:val="center"/>
          </w:tcPr>
          <w:p w14:paraId="17E533D8">
            <w:pPr>
              <w:pStyle w:val="12"/>
              <w:jc w:val="center"/>
              <w:rPr>
                <w:rFonts w:ascii="宋体" w:hAnsi="宋体"/>
                <w:szCs w:val="21"/>
              </w:rPr>
            </w:pPr>
            <w:r>
              <w:rPr>
                <w:rFonts w:ascii="宋体" w:hAnsi="宋体"/>
                <w:szCs w:val="21"/>
              </w:rPr>
              <w:t>32.75</w:t>
            </w:r>
          </w:p>
        </w:tc>
        <w:tc>
          <w:tcPr>
            <w:tcW w:w="814" w:type="pct"/>
            <w:vAlign w:val="center"/>
          </w:tcPr>
          <w:p w14:paraId="1D948C4F">
            <w:pPr>
              <w:pStyle w:val="12"/>
              <w:jc w:val="center"/>
              <w:rPr>
                <w:rFonts w:ascii="宋体" w:hAnsi="宋体"/>
                <w:szCs w:val="21"/>
              </w:rPr>
            </w:pPr>
            <w:r>
              <w:rPr>
                <w:rFonts w:ascii="宋体" w:hAnsi="宋体"/>
                <w:szCs w:val="21"/>
              </w:rPr>
              <w:t>182</w:t>
            </w:r>
          </w:p>
        </w:tc>
        <w:tc>
          <w:tcPr>
            <w:tcW w:w="715" w:type="pct"/>
            <w:vAlign w:val="center"/>
          </w:tcPr>
          <w:p w14:paraId="4AAF2437">
            <w:pPr>
              <w:pStyle w:val="12"/>
              <w:jc w:val="center"/>
              <w:rPr>
                <w:rFonts w:ascii="宋体" w:hAnsi="宋体"/>
                <w:szCs w:val="21"/>
              </w:rPr>
            </w:pPr>
            <w:r>
              <w:rPr>
                <w:rFonts w:ascii="宋体" w:hAnsi="宋体"/>
                <w:szCs w:val="21"/>
              </w:rPr>
              <w:t>267</w:t>
            </w:r>
          </w:p>
        </w:tc>
        <w:tc>
          <w:tcPr>
            <w:tcW w:w="712" w:type="pct"/>
            <w:vAlign w:val="center"/>
          </w:tcPr>
          <w:p w14:paraId="3060C4B3">
            <w:pPr>
              <w:pStyle w:val="12"/>
              <w:jc w:val="center"/>
              <w:rPr>
                <w:rFonts w:ascii="宋体" w:hAnsi="宋体"/>
                <w:szCs w:val="21"/>
              </w:rPr>
            </w:pPr>
            <w:r>
              <w:rPr>
                <w:rFonts w:ascii="宋体" w:hAnsi="宋体"/>
                <w:szCs w:val="21"/>
              </w:rPr>
              <w:t>13</w:t>
            </w:r>
          </w:p>
        </w:tc>
      </w:tr>
      <w:tr w14:paraId="67CA8F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4A9DBD6">
            <w:pPr>
              <w:pStyle w:val="12"/>
              <w:jc w:val="center"/>
              <w:rPr>
                <w:rFonts w:ascii="宋体" w:hAnsi="宋体"/>
                <w:szCs w:val="21"/>
              </w:rPr>
            </w:pPr>
            <w:r>
              <w:rPr>
                <w:rFonts w:ascii="宋体" w:hAnsi="宋体"/>
                <w:szCs w:val="21"/>
              </w:rPr>
              <w:t>1999</w:t>
            </w:r>
          </w:p>
        </w:tc>
        <w:tc>
          <w:tcPr>
            <w:tcW w:w="714" w:type="pct"/>
            <w:vAlign w:val="center"/>
          </w:tcPr>
          <w:p w14:paraId="4CEF9717">
            <w:pPr>
              <w:pStyle w:val="12"/>
              <w:jc w:val="center"/>
              <w:rPr>
                <w:rFonts w:ascii="宋体" w:hAnsi="宋体"/>
                <w:szCs w:val="21"/>
              </w:rPr>
            </w:pPr>
            <w:r>
              <w:rPr>
                <w:rFonts w:ascii="宋体" w:hAnsi="宋体"/>
                <w:szCs w:val="21"/>
              </w:rPr>
              <w:t>1448</w:t>
            </w:r>
          </w:p>
        </w:tc>
        <w:tc>
          <w:tcPr>
            <w:tcW w:w="619" w:type="pct"/>
            <w:vAlign w:val="center"/>
          </w:tcPr>
          <w:p w14:paraId="6444E7D6">
            <w:pPr>
              <w:pStyle w:val="12"/>
              <w:jc w:val="center"/>
              <w:rPr>
                <w:rFonts w:ascii="宋体" w:hAnsi="宋体"/>
                <w:szCs w:val="21"/>
              </w:rPr>
            </w:pPr>
            <w:r>
              <w:rPr>
                <w:rFonts w:ascii="宋体" w:hAnsi="宋体"/>
                <w:szCs w:val="21"/>
              </w:rPr>
              <w:t>809</w:t>
            </w:r>
          </w:p>
        </w:tc>
        <w:tc>
          <w:tcPr>
            <w:tcW w:w="712" w:type="pct"/>
            <w:vAlign w:val="center"/>
          </w:tcPr>
          <w:p w14:paraId="5D40C173">
            <w:pPr>
              <w:pStyle w:val="12"/>
              <w:jc w:val="center"/>
              <w:rPr>
                <w:rFonts w:ascii="宋体" w:hAnsi="宋体"/>
                <w:szCs w:val="21"/>
              </w:rPr>
            </w:pPr>
            <w:r>
              <w:rPr>
                <w:rFonts w:ascii="宋体" w:hAnsi="宋体"/>
                <w:szCs w:val="21"/>
              </w:rPr>
              <w:t>55.87</w:t>
            </w:r>
          </w:p>
        </w:tc>
        <w:tc>
          <w:tcPr>
            <w:tcW w:w="814" w:type="pct"/>
            <w:vAlign w:val="center"/>
          </w:tcPr>
          <w:p w14:paraId="544A91B8">
            <w:pPr>
              <w:pStyle w:val="12"/>
              <w:jc w:val="center"/>
              <w:rPr>
                <w:rFonts w:ascii="宋体" w:hAnsi="宋体"/>
                <w:szCs w:val="21"/>
              </w:rPr>
            </w:pPr>
            <w:r>
              <w:rPr>
                <w:rFonts w:ascii="宋体" w:hAnsi="宋体"/>
                <w:szCs w:val="21"/>
              </w:rPr>
              <w:t>199</w:t>
            </w:r>
          </w:p>
        </w:tc>
        <w:tc>
          <w:tcPr>
            <w:tcW w:w="715" w:type="pct"/>
            <w:vAlign w:val="center"/>
          </w:tcPr>
          <w:p w14:paraId="2C998B1F">
            <w:pPr>
              <w:pStyle w:val="12"/>
              <w:jc w:val="center"/>
              <w:rPr>
                <w:rFonts w:ascii="宋体" w:hAnsi="宋体"/>
                <w:szCs w:val="21"/>
              </w:rPr>
            </w:pPr>
            <w:r>
              <w:rPr>
                <w:rFonts w:ascii="宋体" w:hAnsi="宋体"/>
                <w:szCs w:val="21"/>
              </w:rPr>
              <w:t>608</w:t>
            </w:r>
          </w:p>
        </w:tc>
        <w:tc>
          <w:tcPr>
            <w:tcW w:w="712" w:type="pct"/>
            <w:vAlign w:val="center"/>
          </w:tcPr>
          <w:p w14:paraId="4A0C92C2">
            <w:pPr>
              <w:pStyle w:val="12"/>
              <w:jc w:val="center"/>
              <w:rPr>
                <w:rFonts w:ascii="宋体" w:hAnsi="宋体"/>
                <w:szCs w:val="21"/>
              </w:rPr>
            </w:pPr>
            <w:r>
              <w:rPr>
                <w:rFonts w:ascii="宋体" w:hAnsi="宋体"/>
                <w:szCs w:val="21"/>
              </w:rPr>
              <w:t>2</w:t>
            </w:r>
          </w:p>
        </w:tc>
      </w:tr>
      <w:tr w14:paraId="7934AF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20A65B06">
            <w:pPr>
              <w:pStyle w:val="12"/>
              <w:jc w:val="center"/>
              <w:rPr>
                <w:rFonts w:ascii="宋体" w:hAnsi="宋体"/>
                <w:szCs w:val="21"/>
              </w:rPr>
            </w:pPr>
            <w:r>
              <w:rPr>
                <w:rFonts w:ascii="宋体" w:hAnsi="宋体"/>
                <w:szCs w:val="21"/>
              </w:rPr>
              <w:t>2000</w:t>
            </w:r>
          </w:p>
        </w:tc>
        <w:tc>
          <w:tcPr>
            <w:tcW w:w="714" w:type="pct"/>
            <w:vAlign w:val="center"/>
          </w:tcPr>
          <w:p w14:paraId="70802E95">
            <w:pPr>
              <w:pStyle w:val="12"/>
              <w:jc w:val="center"/>
              <w:rPr>
                <w:rFonts w:ascii="宋体" w:hAnsi="宋体"/>
                <w:szCs w:val="21"/>
              </w:rPr>
            </w:pPr>
            <w:r>
              <w:rPr>
                <w:rFonts w:ascii="宋体" w:hAnsi="宋体"/>
                <w:szCs w:val="21"/>
              </w:rPr>
              <w:t>1457</w:t>
            </w:r>
          </w:p>
        </w:tc>
        <w:tc>
          <w:tcPr>
            <w:tcW w:w="619" w:type="pct"/>
            <w:vAlign w:val="center"/>
          </w:tcPr>
          <w:p w14:paraId="0FCEA06A">
            <w:pPr>
              <w:pStyle w:val="12"/>
              <w:jc w:val="center"/>
              <w:rPr>
                <w:rFonts w:ascii="宋体" w:hAnsi="宋体"/>
                <w:szCs w:val="21"/>
              </w:rPr>
            </w:pPr>
            <w:r>
              <w:rPr>
                <w:rFonts w:ascii="宋体" w:hAnsi="宋体"/>
                <w:szCs w:val="21"/>
              </w:rPr>
              <w:t>1149</w:t>
            </w:r>
          </w:p>
        </w:tc>
        <w:tc>
          <w:tcPr>
            <w:tcW w:w="712" w:type="pct"/>
            <w:vAlign w:val="center"/>
          </w:tcPr>
          <w:p w14:paraId="3963B714">
            <w:pPr>
              <w:pStyle w:val="12"/>
              <w:jc w:val="center"/>
              <w:rPr>
                <w:rFonts w:ascii="宋体" w:hAnsi="宋体"/>
                <w:szCs w:val="21"/>
              </w:rPr>
            </w:pPr>
            <w:r>
              <w:rPr>
                <w:rFonts w:ascii="宋体" w:hAnsi="宋体"/>
                <w:szCs w:val="21"/>
              </w:rPr>
              <w:t>78.86</w:t>
            </w:r>
          </w:p>
        </w:tc>
        <w:tc>
          <w:tcPr>
            <w:tcW w:w="814" w:type="pct"/>
            <w:vAlign w:val="center"/>
          </w:tcPr>
          <w:p w14:paraId="5ECF38D4">
            <w:pPr>
              <w:pStyle w:val="12"/>
              <w:jc w:val="center"/>
              <w:rPr>
                <w:rFonts w:ascii="宋体" w:hAnsi="宋体"/>
                <w:szCs w:val="21"/>
              </w:rPr>
            </w:pPr>
            <w:r>
              <w:rPr>
                <w:rFonts w:ascii="宋体" w:hAnsi="宋体"/>
                <w:szCs w:val="21"/>
              </w:rPr>
              <w:t>318</w:t>
            </w:r>
          </w:p>
        </w:tc>
        <w:tc>
          <w:tcPr>
            <w:tcW w:w="715" w:type="pct"/>
            <w:vAlign w:val="center"/>
          </w:tcPr>
          <w:p w14:paraId="18D0B913">
            <w:pPr>
              <w:pStyle w:val="12"/>
              <w:jc w:val="center"/>
              <w:rPr>
                <w:rFonts w:ascii="宋体" w:hAnsi="宋体"/>
                <w:szCs w:val="21"/>
              </w:rPr>
            </w:pPr>
            <w:r>
              <w:rPr>
                <w:rFonts w:ascii="宋体" w:hAnsi="宋体"/>
                <w:szCs w:val="21"/>
              </w:rPr>
              <w:t>831</w:t>
            </w:r>
          </w:p>
        </w:tc>
        <w:tc>
          <w:tcPr>
            <w:tcW w:w="712" w:type="pct"/>
            <w:vAlign w:val="center"/>
          </w:tcPr>
          <w:p w14:paraId="11D35D78">
            <w:pPr>
              <w:pStyle w:val="12"/>
              <w:jc w:val="center"/>
              <w:rPr>
                <w:rFonts w:ascii="宋体" w:hAnsi="宋体"/>
                <w:szCs w:val="21"/>
              </w:rPr>
            </w:pPr>
            <w:r>
              <w:rPr>
                <w:rFonts w:ascii="宋体" w:hAnsi="宋体"/>
                <w:szCs w:val="21"/>
              </w:rPr>
              <w:t>—</w:t>
            </w:r>
          </w:p>
        </w:tc>
      </w:tr>
      <w:tr w14:paraId="15EC9A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39CD9FF">
            <w:pPr>
              <w:pStyle w:val="12"/>
              <w:jc w:val="center"/>
              <w:rPr>
                <w:rFonts w:ascii="宋体" w:hAnsi="宋体"/>
                <w:szCs w:val="21"/>
              </w:rPr>
            </w:pPr>
            <w:r>
              <w:rPr>
                <w:rFonts w:ascii="宋体" w:hAnsi="宋体"/>
                <w:szCs w:val="21"/>
              </w:rPr>
              <w:t>2001</w:t>
            </w:r>
          </w:p>
        </w:tc>
        <w:tc>
          <w:tcPr>
            <w:tcW w:w="714" w:type="pct"/>
            <w:vAlign w:val="center"/>
          </w:tcPr>
          <w:p w14:paraId="1D337C31">
            <w:pPr>
              <w:pStyle w:val="12"/>
              <w:jc w:val="center"/>
              <w:rPr>
                <w:rFonts w:ascii="宋体" w:hAnsi="宋体"/>
                <w:szCs w:val="21"/>
              </w:rPr>
            </w:pPr>
            <w:r>
              <w:rPr>
                <w:rFonts w:ascii="宋体" w:hAnsi="宋体"/>
                <w:szCs w:val="21"/>
              </w:rPr>
              <w:t>1588</w:t>
            </w:r>
          </w:p>
        </w:tc>
        <w:tc>
          <w:tcPr>
            <w:tcW w:w="619" w:type="pct"/>
            <w:vAlign w:val="center"/>
          </w:tcPr>
          <w:p w14:paraId="2A599733">
            <w:pPr>
              <w:pStyle w:val="12"/>
              <w:jc w:val="center"/>
              <w:rPr>
                <w:rFonts w:ascii="宋体" w:hAnsi="宋体"/>
                <w:szCs w:val="21"/>
              </w:rPr>
            </w:pPr>
            <w:r>
              <w:rPr>
                <w:rFonts w:ascii="宋体" w:hAnsi="宋体"/>
                <w:szCs w:val="21"/>
              </w:rPr>
              <w:t>1078</w:t>
            </w:r>
          </w:p>
        </w:tc>
        <w:tc>
          <w:tcPr>
            <w:tcW w:w="712" w:type="pct"/>
            <w:vAlign w:val="center"/>
          </w:tcPr>
          <w:p w14:paraId="232C6989">
            <w:pPr>
              <w:pStyle w:val="12"/>
              <w:jc w:val="center"/>
              <w:rPr>
                <w:rFonts w:ascii="宋体" w:hAnsi="宋体"/>
                <w:szCs w:val="21"/>
              </w:rPr>
            </w:pPr>
            <w:r>
              <w:rPr>
                <w:rFonts w:ascii="宋体" w:hAnsi="宋体"/>
                <w:szCs w:val="21"/>
              </w:rPr>
              <w:t>67.88</w:t>
            </w:r>
          </w:p>
        </w:tc>
        <w:tc>
          <w:tcPr>
            <w:tcW w:w="814" w:type="pct"/>
            <w:vAlign w:val="center"/>
          </w:tcPr>
          <w:p w14:paraId="4759F586">
            <w:pPr>
              <w:pStyle w:val="12"/>
              <w:jc w:val="center"/>
              <w:rPr>
                <w:rFonts w:ascii="宋体" w:hAnsi="宋体"/>
                <w:szCs w:val="21"/>
              </w:rPr>
            </w:pPr>
            <w:r>
              <w:rPr>
                <w:rFonts w:ascii="宋体" w:hAnsi="宋体"/>
                <w:szCs w:val="21"/>
              </w:rPr>
              <w:t>346</w:t>
            </w:r>
          </w:p>
        </w:tc>
        <w:tc>
          <w:tcPr>
            <w:tcW w:w="715" w:type="pct"/>
            <w:vAlign w:val="center"/>
          </w:tcPr>
          <w:p w14:paraId="5F9FA161">
            <w:pPr>
              <w:pStyle w:val="12"/>
              <w:jc w:val="center"/>
              <w:rPr>
                <w:rFonts w:ascii="宋体" w:hAnsi="宋体"/>
                <w:szCs w:val="21"/>
              </w:rPr>
            </w:pPr>
            <w:r>
              <w:rPr>
                <w:rFonts w:ascii="宋体" w:hAnsi="宋体"/>
                <w:szCs w:val="21"/>
              </w:rPr>
              <w:t>732</w:t>
            </w:r>
          </w:p>
        </w:tc>
        <w:tc>
          <w:tcPr>
            <w:tcW w:w="712" w:type="pct"/>
            <w:vAlign w:val="center"/>
          </w:tcPr>
          <w:p w14:paraId="36BCCE50">
            <w:pPr>
              <w:pStyle w:val="12"/>
              <w:jc w:val="center"/>
              <w:rPr>
                <w:rFonts w:ascii="宋体" w:hAnsi="宋体"/>
                <w:szCs w:val="21"/>
              </w:rPr>
            </w:pPr>
            <w:r>
              <w:rPr>
                <w:rFonts w:ascii="宋体" w:hAnsi="宋体"/>
                <w:szCs w:val="21"/>
              </w:rPr>
              <w:t>—</w:t>
            </w:r>
          </w:p>
        </w:tc>
      </w:tr>
      <w:tr w14:paraId="0F2BBA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587EDCF">
            <w:pPr>
              <w:pStyle w:val="12"/>
              <w:jc w:val="center"/>
              <w:rPr>
                <w:rFonts w:ascii="宋体" w:hAnsi="宋体"/>
                <w:szCs w:val="21"/>
              </w:rPr>
            </w:pPr>
            <w:r>
              <w:rPr>
                <w:rFonts w:ascii="宋体" w:hAnsi="宋体"/>
                <w:szCs w:val="21"/>
              </w:rPr>
              <w:t>2002</w:t>
            </w:r>
          </w:p>
        </w:tc>
        <w:tc>
          <w:tcPr>
            <w:tcW w:w="714" w:type="pct"/>
            <w:vAlign w:val="center"/>
          </w:tcPr>
          <w:p w14:paraId="2460DE1D">
            <w:pPr>
              <w:pStyle w:val="12"/>
              <w:jc w:val="center"/>
              <w:rPr>
                <w:rFonts w:ascii="宋体" w:hAnsi="宋体"/>
                <w:szCs w:val="21"/>
              </w:rPr>
            </w:pPr>
            <w:r>
              <w:rPr>
                <w:rFonts w:ascii="宋体" w:hAnsi="宋体"/>
                <w:szCs w:val="21"/>
              </w:rPr>
              <w:t>1704</w:t>
            </w:r>
          </w:p>
        </w:tc>
        <w:tc>
          <w:tcPr>
            <w:tcW w:w="619" w:type="pct"/>
            <w:vAlign w:val="center"/>
          </w:tcPr>
          <w:p w14:paraId="54BE1131">
            <w:pPr>
              <w:pStyle w:val="12"/>
              <w:jc w:val="center"/>
              <w:rPr>
                <w:rFonts w:ascii="宋体" w:hAnsi="宋体"/>
                <w:szCs w:val="21"/>
              </w:rPr>
            </w:pPr>
            <w:r>
              <w:rPr>
                <w:rFonts w:ascii="宋体" w:hAnsi="宋体"/>
                <w:szCs w:val="21"/>
              </w:rPr>
              <w:t>1257</w:t>
            </w:r>
          </w:p>
        </w:tc>
        <w:tc>
          <w:tcPr>
            <w:tcW w:w="712" w:type="pct"/>
            <w:vAlign w:val="center"/>
          </w:tcPr>
          <w:p w14:paraId="592EDE93">
            <w:pPr>
              <w:pStyle w:val="12"/>
              <w:jc w:val="center"/>
              <w:rPr>
                <w:rFonts w:ascii="宋体" w:hAnsi="宋体"/>
                <w:szCs w:val="21"/>
              </w:rPr>
            </w:pPr>
            <w:r>
              <w:rPr>
                <w:rFonts w:ascii="宋体" w:hAnsi="宋体"/>
                <w:szCs w:val="21"/>
              </w:rPr>
              <w:t>74.82</w:t>
            </w:r>
          </w:p>
        </w:tc>
        <w:tc>
          <w:tcPr>
            <w:tcW w:w="814" w:type="pct"/>
            <w:vAlign w:val="center"/>
          </w:tcPr>
          <w:p w14:paraId="3E1D50D4">
            <w:pPr>
              <w:pStyle w:val="12"/>
              <w:jc w:val="center"/>
              <w:rPr>
                <w:rFonts w:ascii="宋体" w:hAnsi="宋体"/>
                <w:szCs w:val="21"/>
              </w:rPr>
            </w:pPr>
            <w:r>
              <w:rPr>
                <w:rFonts w:ascii="宋体" w:hAnsi="宋体"/>
                <w:szCs w:val="21"/>
              </w:rPr>
              <w:t>380</w:t>
            </w:r>
          </w:p>
        </w:tc>
        <w:tc>
          <w:tcPr>
            <w:tcW w:w="715" w:type="pct"/>
            <w:vAlign w:val="center"/>
          </w:tcPr>
          <w:p w14:paraId="2F613F4C">
            <w:pPr>
              <w:pStyle w:val="12"/>
              <w:jc w:val="center"/>
              <w:rPr>
                <w:rFonts w:ascii="宋体" w:hAnsi="宋体"/>
                <w:szCs w:val="21"/>
              </w:rPr>
            </w:pPr>
            <w:r>
              <w:rPr>
                <w:rFonts w:ascii="宋体" w:hAnsi="宋体"/>
                <w:szCs w:val="21"/>
              </w:rPr>
              <w:t>895</w:t>
            </w:r>
          </w:p>
        </w:tc>
        <w:tc>
          <w:tcPr>
            <w:tcW w:w="712" w:type="pct"/>
            <w:vAlign w:val="center"/>
          </w:tcPr>
          <w:p w14:paraId="63B5C99E">
            <w:pPr>
              <w:pStyle w:val="12"/>
              <w:jc w:val="center"/>
              <w:rPr>
                <w:rFonts w:ascii="宋体" w:hAnsi="宋体"/>
                <w:szCs w:val="21"/>
              </w:rPr>
            </w:pPr>
            <w:r>
              <w:rPr>
                <w:rFonts w:ascii="宋体" w:hAnsi="宋体"/>
                <w:szCs w:val="21"/>
              </w:rPr>
              <w:t>—</w:t>
            </w:r>
          </w:p>
        </w:tc>
      </w:tr>
      <w:tr w14:paraId="34390F7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3D07689">
            <w:pPr>
              <w:pStyle w:val="12"/>
              <w:jc w:val="center"/>
              <w:rPr>
                <w:rFonts w:ascii="宋体" w:hAnsi="宋体"/>
                <w:szCs w:val="21"/>
              </w:rPr>
            </w:pPr>
            <w:r>
              <w:rPr>
                <w:rFonts w:hint="eastAsia" w:ascii="宋体" w:hAnsi="宋体"/>
                <w:szCs w:val="21"/>
              </w:rPr>
              <w:t>2003</w:t>
            </w:r>
          </w:p>
        </w:tc>
        <w:tc>
          <w:tcPr>
            <w:tcW w:w="714" w:type="pct"/>
            <w:vAlign w:val="center"/>
          </w:tcPr>
          <w:p w14:paraId="17FDEC0F">
            <w:pPr>
              <w:pStyle w:val="12"/>
              <w:jc w:val="center"/>
              <w:rPr>
                <w:rFonts w:ascii="宋体" w:hAnsi="宋体"/>
                <w:szCs w:val="21"/>
              </w:rPr>
            </w:pPr>
            <w:r>
              <w:rPr>
                <w:rFonts w:hint="eastAsia" w:ascii="宋体" w:hAnsi="宋体"/>
                <w:szCs w:val="21"/>
              </w:rPr>
              <w:t>1784</w:t>
            </w:r>
          </w:p>
        </w:tc>
        <w:tc>
          <w:tcPr>
            <w:tcW w:w="619" w:type="pct"/>
            <w:vAlign w:val="center"/>
          </w:tcPr>
          <w:p w14:paraId="5640AA90">
            <w:pPr>
              <w:pStyle w:val="12"/>
              <w:jc w:val="center"/>
              <w:rPr>
                <w:rFonts w:ascii="宋体" w:hAnsi="宋体"/>
                <w:szCs w:val="21"/>
              </w:rPr>
            </w:pPr>
            <w:r>
              <w:rPr>
                <w:rFonts w:hint="eastAsia" w:ascii="宋体" w:hAnsi="宋体"/>
                <w:szCs w:val="21"/>
              </w:rPr>
              <w:t>992</w:t>
            </w:r>
          </w:p>
        </w:tc>
        <w:tc>
          <w:tcPr>
            <w:tcW w:w="712" w:type="pct"/>
            <w:vAlign w:val="center"/>
          </w:tcPr>
          <w:p w14:paraId="16CD9E3A">
            <w:pPr>
              <w:pStyle w:val="12"/>
              <w:jc w:val="center"/>
              <w:rPr>
                <w:rFonts w:ascii="宋体" w:hAnsi="宋体"/>
                <w:szCs w:val="21"/>
              </w:rPr>
            </w:pPr>
            <w:r>
              <w:rPr>
                <w:rFonts w:hint="eastAsia" w:ascii="宋体" w:hAnsi="宋体"/>
                <w:szCs w:val="21"/>
              </w:rPr>
              <w:t>55.60</w:t>
            </w:r>
          </w:p>
        </w:tc>
        <w:tc>
          <w:tcPr>
            <w:tcW w:w="2242" w:type="pct"/>
            <w:gridSpan w:val="3"/>
            <w:vAlign w:val="center"/>
          </w:tcPr>
          <w:p w14:paraId="437FCDEE">
            <w:pPr>
              <w:pStyle w:val="12"/>
              <w:jc w:val="center"/>
              <w:rPr>
                <w:rFonts w:ascii="宋体" w:hAnsi="宋体"/>
                <w:szCs w:val="21"/>
              </w:rPr>
            </w:pPr>
            <w:r>
              <w:rPr>
                <w:rFonts w:hint="eastAsia" w:ascii="宋体" w:hAnsi="宋体"/>
                <w:szCs w:val="21"/>
              </w:rPr>
              <w:t>第一批133人，第二批344人，第三批515人</w:t>
            </w:r>
          </w:p>
        </w:tc>
      </w:tr>
      <w:tr w14:paraId="7356B0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60D5471">
            <w:pPr>
              <w:pStyle w:val="12"/>
              <w:jc w:val="center"/>
              <w:rPr>
                <w:rFonts w:ascii="宋体" w:hAnsi="宋体"/>
                <w:szCs w:val="21"/>
              </w:rPr>
            </w:pPr>
            <w:r>
              <w:rPr>
                <w:rFonts w:hint="eastAsia" w:ascii="宋体" w:hAnsi="宋体"/>
                <w:szCs w:val="21"/>
              </w:rPr>
              <w:t>2004</w:t>
            </w:r>
          </w:p>
        </w:tc>
        <w:tc>
          <w:tcPr>
            <w:tcW w:w="714" w:type="pct"/>
            <w:vAlign w:val="center"/>
          </w:tcPr>
          <w:p w14:paraId="6129A56D">
            <w:pPr>
              <w:pStyle w:val="12"/>
              <w:jc w:val="center"/>
              <w:rPr>
                <w:rFonts w:ascii="宋体" w:hAnsi="宋体"/>
                <w:szCs w:val="21"/>
              </w:rPr>
            </w:pPr>
            <w:r>
              <w:rPr>
                <w:rFonts w:hint="eastAsia" w:ascii="宋体" w:hAnsi="宋体"/>
                <w:szCs w:val="21"/>
              </w:rPr>
              <w:t>1987</w:t>
            </w:r>
          </w:p>
        </w:tc>
        <w:tc>
          <w:tcPr>
            <w:tcW w:w="619" w:type="pct"/>
            <w:vAlign w:val="center"/>
          </w:tcPr>
          <w:p w14:paraId="4E2AF4A3">
            <w:pPr>
              <w:pStyle w:val="12"/>
              <w:jc w:val="center"/>
              <w:rPr>
                <w:rFonts w:ascii="宋体" w:hAnsi="宋体"/>
                <w:szCs w:val="21"/>
              </w:rPr>
            </w:pPr>
            <w:r>
              <w:rPr>
                <w:rFonts w:hint="eastAsia" w:ascii="宋体" w:hAnsi="宋体"/>
                <w:szCs w:val="21"/>
              </w:rPr>
              <w:t>1673</w:t>
            </w:r>
          </w:p>
        </w:tc>
        <w:tc>
          <w:tcPr>
            <w:tcW w:w="712" w:type="pct"/>
            <w:vAlign w:val="center"/>
          </w:tcPr>
          <w:p w14:paraId="60DB4273">
            <w:pPr>
              <w:pStyle w:val="12"/>
              <w:jc w:val="center"/>
              <w:rPr>
                <w:rFonts w:ascii="宋体" w:hAnsi="宋体"/>
                <w:szCs w:val="21"/>
              </w:rPr>
            </w:pPr>
            <w:r>
              <w:rPr>
                <w:rFonts w:hint="eastAsia" w:ascii="宋体" w:hAnsi="宋体"/>
                <w:szCs w:val="21"/>
              </w:rPr>
              <w:t>84.19</w:t>
            </w:r>
          </w:p>
        </w:tc>
        <w:tc>
          <w:tcPr>
            <w:tcW w:w="2242" w:type="pct"/>
            <w:gridSpan w:val="3"/>
            <w:vAlign w:val="center"/>
          </w:tcPr>
          <w:p w14:paraId="2C8FB758">
            <w:pPr>
              <w:pStyle w:val="12"/>
              <w:jc w:val="center"/>
              <w:rPr>
                <w:rFonts w:ascii="宋体" w:hAnsi="宋体"/>
                <w:szCs w:val="21"/>
              </w:rPr>
            </w:pPr>
            <w:r>
              <w:rPr>
                <w:rFonts w:hint="eastAsia" w:ascii="宋体" w:hAnsi="宋体"/>
                <w:szCs w:val="21"/>
              </w:rPr>
              <w:t>第一批189人，第二批538人，第三批946人</w:t>
            </w:r>
          </w:p>
        </w:tc>
      </w:tr>
      <w:tr w14:paraId="7EC604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2B18FABB">
            <w:pPr>
              <w:pStyle w:val="12"/>
              <w:jc w:val="center"/>
              <w:rPr>
                <w:rFonts w:ascii="宋体" w:hAnsi="宋体"/>
                <w:szCs w:val="21"/>
              </w:rPr>
            </w:pPr>
            <w:r>
              <w:rPr>
                <w:rFonts w:hint="eastAsia" w:ascii="宋体" w:hAnsi="宋体"/>
                <w:szCs w:val="21"/>
              </w:rPr>
              <w:t>2005</w:t>
            </w:r>
          </w:p>
        </w:tc>
        <w:tc>
          <w:tcPr>
            <w:tcW w:w="714" w:type="pct"/>
            <w:vAlign w:val="center"/>
          </w:tcPr>
          <w:p w14:paraId="0932EAE4">
            <w:pPr>
              <w:pStyle w:val="12"/>
              <w:jc w:val="center"/>
              <w:rPr>
                <w:rFonts w:ascii="宋体" w:hAnsi="宋体"/>
                <w:szCs w:val="21"/>
              </w:rPr>
            </w:pPr>
            <w:r>
              <w:rPr>
                <w:rFonts w:hint="eastAsia" w:ascii="宋体" w:hAnsi="宋体"/>
                <w:szCs w:val="21"/>
              </w:rPr>
              <w:t>2718</w:t>
            </w:r>
          </w:p>
        </w:tc>
        <w:tc>
          <w:tcPr>
            <w:tcW w:w="619" w:type="pct"/>
            <w:vAlign w:val="center"/>
          </w:tcPr>
          <w:p w14:paraId="2F577557">
            <w:pPr>
              <w:pStyle w:val="12"/>
              <w:jc w:val="center"/>
              <w:rPr>
                <w:rFonts w:ascii="宋体" w:hAnsi="宋体"/>
                <w:szCs w:val="21"/>
              </w:rPr>
            </w:pPr>
            <w:r>
              <w:rPr>
                <w:rFonts w:hint="eastAsia" w:ascii="宋体" w:hAnsi="宋体"/>
                <w:szCs w:val="21"/>
              </w:rPr>
              <w:t>2300</w:t>
            </w:r>
          </w:p>
        </w:tc>
        <w:tc>
          <w:tcPr>
            <w:tcW w:w="712" w:type="pct"/>
            <w:vAlign w:val="center"/>
          </w:tcPr>
          <w:p w14:paraId="3CA7D833">
            <w:pPr>
              <w:pStyle w:val="12"/>
              <w:jc w:val="center"/>
              <w:rPr>
                <w:rFonts w:ascii="宋体" w:hAnsi="宋体"/>
                <w:szCs w:val="21"/>
              </w:rPr>
            </w:pPr>
            <w:r>
              <w:rPr>
                <w:rFonts w:hint="eastAsia" w:ascii="宋体" w:hAnsi="宋体"/>
                <w:szCs w:val="21"/>
              </w:rPr>
              <w:t>84.62</w:t>
            </w:r>
          </w:p>
        </w:tc>
        <w:tc>
          <w:tcPr>
            <w:tcW w:w="2242" w:type="pct"/>
            <w:gridSpan w:val="3"/>
            <w:vAlign w:val="center"/>
          </w:tcPr>
          <w:p w14:paraId="47313019">
            <w:pPr>
              <w:pStyle w:val="12"/>
              <w:jc w:val="center"/>
              <w:rPr>
                <w:rFonts w:ascii="宋体" w:hAnsi="宋体"/>
                <w:szCs w:val="21"/>
              </w:rPr>
            </w:pPr>
            <w:r>
              <w:rPr>
                <w:rFonts w:hint="eastAsia" w:ascii="宋体" w:hAnsi="宋体"/>
                <w:szCs w:val="21"/>
              </w:rPr>
              <w:t>第一批171人，第二批558人，第三批1571人</w:t>
            </w:r>
          </w:p>
        </w:tc>
      </w:tr>
    </w:tbl>
    <w:p w14:paraId="40FCA4FC">
      <w:pPr>
        <w:ind w:firstLine="422"/>
        <w:rPr>
          <w:rFonts w:ascii="宋体" w:hAnsi="宋体" w:cs="宋体"/>
          <w:b/>
          <w:bCs/>
        </w:rPr>
      </w:pPr>
      <w:r>
        <w:rPr>
          <w:rFonts w:hint="eastAsia" w:ascii="宋体" w:hAnsi="宋体" w:cs="宋体"/>
          <w:b/>
          <w:bCs/>
        </w:rPr>
        <w:t>（二）部分中学简介</w:t>
      </w:r>
    </w:p>
    <w:p w14:paraId="6AA966D2">
      <w:pPr>
        <w:ind w:firstLine="422"/>
        <w:rPr>
          <w:rFonts w:ascii="宋体" w:hAnsi="宋体" w:cs="宋体"/>
        </w:rPr>
      </w:pPr>
      <w:r>
        <w:rPr>
          <w:rFonts w:hint="eastAsia" w:ascii="宋体" w:hAnsi="宋体" w:cs="宋体"/>
          <w:b/>
          <w:bCs/>
        </w:rPr>
        <w:t>南雄中学</w:t>
      </w:r>
      <w:r>
        <w:rPr>
          <w:rFonts w:hint="eastAsia" w:ascii="宋体" w:hAnsi="宋体" w:cs="宋体"/>
        </w:rPr>
        <w:t xml:space="preserve">  新中国成立后的南雄中学前身为省立南雄中学、南雄县立中学于1949年10月合并的联合中学，当时有初中学生219人，高中学生69人。南雄中学成立后，发展很快。1965年，全校有高中9个班，初中12个班，学生800多人。</w:t>
      </w:r>
    </w:p>
    <w:p w14:paraId="6FBB4D30">
      <w:pPr>
        <w:ind w:firstLine="420"/>
        <w:rPr>
          <w:rFonts w:ascii="宋体" w:hAnsi="宋体" w:cs="宋体"/>
        </w:rPr>
      </w:pPr>
      <w:r>
        <w:rPr>
          <w:rFonts w:hint="eastAsia" w:ascii="宋体" w:hAnsi="宋体" w:cs="宋体"/>
        </w:rPr>
        <w:t>1966年“文化大革命”运动，停课闹“革命”达两年之久。1970年3月，实行“开门办学”，学校一分为三，搬到农村，改名主田、黎口、南亩中学。1974年9月，复办南雄中学，只有8个教学班，18名教师和400名学生。在“学习屯昌，大办农场”的口号下，大部分时间“学工”、“学农”，影响了文化课的学习。1977年恢复高考时，该校只有1名应届毕业生和1名往届毕业生被录取。</w:t>
      </w:r>
    </w:p>
    <w:p w14:paraId="2D2A9DF3">
      <w:pPr>
        <w:ind w:firstLine="420"/>
        <w:rPr>
          <w:rFonts w:ascii="宋体" w:hAnsi="宋体" w:cs="宋体"/>
        </w:rPr>
      </w:pPr>
      <w:r>
        <w:rPr>
          <w:rFonts w:hint="eastAsia" w:ascii="宋体" w:hAnsi="宋体" w:cs="宋体"/>
        </w:rPr>
        <w:t>1977年秋，县委、县政府把南雄中学定为重点中学，调整了领导班子，调进一批优秀教师组成教学骨干，建立健全各项规章制度，购置一大批图书、仪器设备。1978年有43名学生考上大专院校，学校首次评为韶关地区“高考先进单位”。之后，教学质量逐年上升，1982年升大、中专人数达141人，成为全地区各县之冠。2002年秋季，学校进行了办学体制改革，实行初高中剥离办学。2002年12月晋升为“广东省一级学校”。至2005年，学校校园面积9万多平方米，建筑面积57289平方米，教学设施日臻完善，有功能齐全的图书馆，实验楼和各种教学辅助室与功能室，配有335台电脑，并建成了与互联网连接的校园网；图书馆报刊总数达436种，工具书540种，藏书10万多册，学生人均图书36册，有400多个座位的阅览室；各种标准的体育运动场所和功能室一应俱全。有教学班51个，学生3000多人。</w:t>
      </w:r>
    </w:p>
    <w:p w14:paraId="0E21CAA1">
      <w:pPr>
        <w:ind w:firstLine="422"/>
        <w:rPr>
          <w:rFonts w:ascii="宋体" w:hAnsi="宋体" w:cs="宋体"/>
        </w:rPr>
      </w:pPr>
      <w:r>
        <w:rPr>
          <w:rFonts w:hint="eastAsia" w:ascii="宋体" w:hAnsi="宋体" w:cs="宋体"/>
          <w:b/>
          <w:bCs/>
        </w:rPr>
        <w:t>南雄市第一中学</w:t>
      </w:r>
      <w:r>
        <w:rPr>
          <w:rFonts w:hint="eastAsia" w:ascii="宋体" w:hAnsi="宋体" w:cs="宋体"/>
        </w:rPr>
        <w:t xml:space="preserve">  该校于1982年秋创办于县城东北郊五里山，是一所有24个班的完全中学，占地16161平方米。1986年被定为省田径传统项目学校。1988年被省体委、省教育厅评为“A级优”体育传统项目学校。荣获“1996年至2000年度全国群众体育先进单位”。2002年9月实行初、高中剥离办学。2003年晋升为“广东省一级学校”。办学20年来，培养了1万多大中专生。</w:t>
      </w:r>
    </w:p>
    <w:p w14:paraId="74CE9638">
      <w:pPr>
        <w:ind w:firstLine="422"/>
        <w:rPr>
          <w:rFonts w:ascii="宋体" w:hAnsi="宋体" w:cs="宋体"/>
        </w:rPr>
      </w:pPr>
      <w:r>
        <w:rPr>
          <w:rFonts w:hint="eastAsia" w:ascii="宋体" w:hAnsi="宋体" w:cs="宋体"/>
          <w:b/>
          <w:bCs/>
        </w:rPr>
        <w:t>黄坑中学</w:t>
      </w:r>
      <w:r>
        <w:rPr>
          <w:rFonts w:hint="eastAsia" w:ascii="宋体" w:hAnsi="宋体" w:cs="宋体"/>
        </w:rPr>
        <w:t xml:space="preserve">  1956年9月创办于黄坑圩，原为初级中学。1959年增设高中班。学校农场有水田、旱地1.33多公顷，结合教学进行水稻、黄烟、花生高产试验，取得一定成绩。1965年被评为省文教系统先进单位。“文化大革命”期间，学制改为4年，学校办起百亩农场。1978年纠正以劳代学倾向，恢复正常教学秩序。1986年率先实行校长聘任制。1999年被评为“韶关市一级学校”，2004年被评为“广东省一级学校”。校园面积10多万平方米，建筑面积5万多平方米。2005年，有教学班56个，学生3600多人，有教职工180人。办学近50年，为大中专院校输送了1万多名优秀人才。</w:t>
      </w:r>
    </w:p>
    <w:p w14:paraId="5FB14B54">
      <w:pPr>
        <w:ind w:firstLine="422"/>
        <w:rPr>
          <w:rFonts w:ascii="宋体" w:hAnsi="宋体" w:cs="宋体"/>
        </w:rPr>
      </w:pPr>
      <w:r>
        <w:rPr>
          <w:rFonts w:hint="eastAsia" w:ascii="宋体" w:hAnsi="宋体" w:cs="宋体"/>
          <w:b/>
          <w:bCs/>
        </w:rPr>
        <w:t>南雄市职业高级中学</w:t>
      </w:r>
      <w:r>
        <w:rPr>
          <w:rFonts w:hint="eastAsia" w:ascii="宋体" w:hAnsi="宋体" w:cs="宋体"/>
        </w:rPr>
        <w:t xml:space="preserve">  前身为创办于1957年的城镇民办中学，后更名为雄州镇第二中学。由于办学成绩显著，1960年被评为“省教育战线先进单位”。1961年至1963年，初中升高中统考成绩名列全地区前茅。“文化大革命”期间，该校质量一落千丈，在无政府主义思潮影响下，教学秩序混乱，违法犯罪的学生多，曾一度被称为“浪子学校”。1984年，学校领导班子加强思想政治工作，形成“文明、勤奋、向上”的校风。是年秋，把普通高中改为职业高中，开设财会、电工、体育、幼师、文书、花卉6个专业8个职业班。1986年先后同县建委、建安总公司、造纸厂、卫生局联办民用建筑班、造纸班、护理班。把职业技术教育和勤工俭学结合起来。1988年出席全国中小学德育工作会议，被国家教委授予“德育先进校”称号。1992年被定为“广东省首批重点职业高级中学”。2005年，学校占地面积13000平方米，建筑面积26000多平方米，在校生1000多人，教职工120人。学校拥有较为完善和齐备的教育教学设施设备，高标准装备了25间实验实训室。</w:t>
      </w:r>
    </w:p>
    <w:p w14:paraId="59F318F4">
      <w:pPr>
        <w:ind w:firstLine="422"/>
        <w:rPr>
          <w:rFonts w:ascii="宋体" w:hAnsi="宋体" w:cs="宋体"/>
        </w:rPr>
      </w:pPr>
      <w:r>
        <w:rPr>
          <w:rFonts w:hint="eastAsia" w:ascii="宋体" w:hAnsi="宋体" w:cs="宋体"/>
          <w:b/>
          <w:bCs/>
        </w:rPr>
        <w:t>新城王锦辉中学</w:t>
      </w:r>
      <w:r>
        <w:rPr>
          <w:rFonts w:hint="eastAsia" w:ascii="宋体" w:hAnsi="宋体" w:cs="宋体"/>
        </w:rPr>
        <w:t xml:space="preserve">  原为创办于1989年的新城中学。2002年12月4日经南雄市人大常委会批准，更名为“新城王锦辉中学”，意在颂扬香港金城营造集团公司董事长王锦辉先生对学校捐资助学的善举。2005年，有教学班50个，学生3100多人，教职工172人。教学设备完善，具有达到省一级学校标准的物理、化学、生物实验室及生物园、地理园。学校在教师中广泛深入开展“四尊重一坚持”教育活动，即尊重学生的人格、人性；尊重学生的个性发展；尊重学生的身心发展规律；尊重教育规律，坚持“以人为本”的教育思想。</w:t>
      </w:r>
    </w:p>
    <w:p w14:paraId="421B212C">
      <w:pPr>
        <w:ind w:firstLine="422"/>
        <w:rPr>
          <w:rFonts w:ascii="宋体" w:hAnsi="宋体" w:cs="宋体"/>
        </w:rPr>
      </w:pPr>
      <w:r>
        <w:rPr>
          <w:rFonts w:hint="eastAsia" w:ascii="宋体" w:hAnsi="宋体" w:cs="宋体"/>
          <w:b/>
          <w:bCs/>
        </w:rPr>
        <w:t>雄州中学</w:t>
      </w:r>
      <w:r>
        <w:rPr>
          <w:rFonts w:hint="eastAsia" w:ascii="宋体" w:hAnsi="宋体" w:cs="宋体"/>
        </w:rPr>
        <w:t xml:space="preserve">  前身是创办于1963年8月的城镇业余中学，1965年改名为城镇工读中学，而后又改名为城镇五七中学、城镇第三中学、城镇第一中学，1989年定名为雄州中学。2002年由镇属管理归为南雄市教育局直属管理。2005年，有18个教学班，在校学生2000人，教职工120人。</w:t>
      </w:r>
    </w:p>
    <w:p w14:paraId="5E12601D">
      <w:pPr>
        <w:ind w:firstLine="422"/>
        <w:rPr>
          <w:rFonts w:ascii="宋体" w:hAnsi="宋体" w:cs="宋体"/>
        </w:rPr>
      </w:pPr>
      <w:r>
        <w:rPr>
          <w:rFonts w:hint="eastAsia" w:ascii="宋体" w:hAnsi="宋体" w:cs="宋体"/>
          <w:b/>
          <w:bCs/>
        </w:rPr>
        <w:t>乌迳中学</w:t>
      </w:r>
      <w:r>
        <w:rPr>
          <w:rFonts w:hint="eastAsia" w:ascii="宋体" w:hAnsi="宋体" w:cs="宋体"/>
        </w:rPr>
        <w:t xml:space="preserve">  创办于1958年，2004年升为韶关市一级学校。办学50年来，学校秉承“勤奋求是，务实创新”的校训，形成了“学陶、师表、博学、多长”的教风和“尊师、守纪、好学、善思”的学风，荣获广东省贯彻实施“两条例”先进学校。2005年，有教学班38个，在校学生2327人。校园占地面积60005平方米，建筑面积26506平方米。</w:t>
      </w:r>
    </w:p>
    <w:p w14:paraId="2CD1AE58">
      <w:pPr>
        <w:ind w:firstLine="422"/>
        <w:rPr>
          <w:rFonts w:ascii="宋体" w:hAnsi="宋体" w:cs="宋体"/>
        </w:rPr>
      </w:pPr>
      <w:r>
        <w:rPr>
          <w:rFonts w:hint="eastAsia" w:ascii="宋体" w:hAnsi="宋体" w:cs="宋体"/>
          <w:b/>
          <w:bCs/>
        </w:rPr>
        <w:t>黎口中学</w:t>
      </w:r>
      <w:r>
        <w:rPr>
          <w:rFonts w:hint="eastAsia" w:ascii="宋体" w:hAnsi="宋体" w:cs="宋体"/>
        </w:rPr>
        <w:t xml:space="preserve">  原为1963年兴办的农业中学（高中），1965年定名为黎口中学。1997年被评为南雄市一级学校，2004年被评为韶关市一级学校。2005年，有30个普通教学班，在校学生2000多人，教职工124人。校园总占地面积4.2万平方米，总建筑面积2.68万平方米，教学设施完善。1994年至2005年中考，考入韶关市三所重点中学有183人，考入南雄中学和市一中（含部分中专）有3398人，连续10年居全市初级中学榜首。先后获得“广东省群众体育工作先进单位”、“韶关市教育改革先进单位”和南雄市“文明单位”荣誉称号，为韶关学院实习基地。</w:t>
      </w:r>
    </w:p>
    <w:p w14:paraId="7E7E6BBB">
      <w:pPr>
        <w:ind w:firstLine="422"/>
        <w:rPr>
          <w:rFonts w:ascii="宋体" w:hAnsi="宋体" w:cs="宋体"/>
        </w:rPr>
      </w:pPr>
      <w:r>
        <w:rPr>
          <w:rFonts w:hint="eastAsia" w:ascii="宋体" w:hAnsi="宋体" w:cs="宋体"/>
          <w:b/>
          <w:bCs/>
        </w:rPr>
        <w:t>珠玑中学</w:t>
      </w:r>
      <w:r>
        <w:rPr>
          <w:rFonts w:hint="eastAsia" w:ascii="宋体" w:hAnsi="宋体" w:cs="宋体"/>
        </w:rPr>
        <w:t xml:space="preserve">  前身为创办于1944年的私立珠玑中学，是一所具有光荣革命传统的学校。1957年秋复为公办，1966年秋被列为全省14间职业中学试点之一，学校搬往南山。1972年9月从南山搬至珠玑龙门圩，与五七中学合并。1983年秋停办高中，成为初级中学。学校占地面积2.2万平方米。2005年有25个教学班，在校学生1570人，教职工97人。</w:t>
      </w:r>
    </w:p>
    <w:p w14:paraId="729D9CD0">
      <w:pPr>
        <w:pStyle w:val="4"/>
        <w:rPr>
          <w:rFonts w:ascii="宋体" w:hAnsi="宋体" w:cs="宋体"/>
        </w:rPr>
      </w:pPr>
      <w:r>
        <w:rPr>
          <w:rFonts w:hint="eastAsia" w:ascii="宋体" w:hAnsi="宋体" w:cs="宋体"/>
        </w:rPr>
        <w:t>第四节  专业教育和成人教育</w:t>
      </w:r>
    </w:p>
    <w:p w14:paraId="6DC76C81">
      <w:pPr>
        <w:pStyle w:val="5"/>
        <w:rPr>
          <w:rFonts w:ascii="宋体" w:hAnsi="宋体" w:cs="宋体"/>
        </w:rPr>
      </w:pPr>
      <w:r>
        <w:rPr>
          <w:rFonts w:hint="eastAsia" w:ascii="宋体" w:hAnsi="宋体" w:cs="宋体"/>
        </w:rPr>
        <w:t>一、专业教育</w:t>
      </w:r>
    </w:p>
    <w:p w14:paraId="7B3F638A">
      <w:pPr>
        <w:ind w:firstLine="422"/>
        <w:rPr>
          <w:rFonts w:ascii="宋体" w:hAnsi="宋体" w:cs="宋体"/>
          <w:b/>
          <w:bCs/>
        </w:rPr>
      </w:pPr>
      <w:r>
        <w:rPr>
          <w:rFonts w:hint="eastAsia" w:ascii="宋体" w:hAnsi="宋体" w:cs="宋体"/>
          <w:b/>
          <w:bCs/>
        </w:rPr>
        <w:t>（一）师范学校</w:t>
      </w:r>
    </w:p>
    <w:p w14:paraId="24655D1C">
      <w:pPr>
        <w:ind w:firstLine="420"/>
        <w:rPr>
          <w:rFonts w:ascii="宋体" w:hAnsi="宋体" w:cs="宋体"/>
        </w:rPr>
      </w:pPr>
      <w:r>
        <w:rPr>
          <w:rFonts w:hint="eastAsia" w:ascii="宋体" w:hAnsi="宋体" w:cs="宋体"/>
        </w:rPr>
        <w:t>新中国成立后，1959年秋兴办南雄师范学校，经核准为中等专业学校。1961年有9个班，在校学生369人，教职员工29人。1962年停止招生。3届毕业生共414人。1965年复办，更名为耕读师范，学制3年。校址在古市东厢铺，有生产基地1.33多公顷。1965年至1966年共招生188名。1967年毕业生分配后，以培训在职教师和教学法研究为主。1970年开办1年制普师班，名为“红师班”，1973年秋开办2年制普师班，至1980年止，毕业生共700人，其中南雄县450人，始兴县250人。1980年开办3年制的普师班、体育班和2年制的民师班。1982年停止招生，1984年停办，两届毕业生共183人。</w:t>
      </w:r>
    </w:p>
    <w:p w14:paraId="299A5C54">
      <w:pPr>
        <w:ind w:firstLine="422"/>
        <w:rPr>
          <w:rFonts w:ascii="宋体" w:hAnsi="宋体" w:cs="宋体"/>
          <w:b/>
          <w:bCs/>
        </w:rPr>
      </w:pPr>
      <w:r>
        <w:rPr>
          <w:rFonts w:hint="eastAsia" w:ascii="宋体" w:hAnsi="宋体" w:cs="宋体"/>
          <w:b/>
          <w:bCs/>
        </w:rPr>
        <w:t>（二）教师进修学校</w:t>
      </w:r>
    </w:p>
    <w:p w14:paraId="1F20EC36">
      <w:pPr>
        <w:ind w:firstLine="420"/>
        <w:rPr>
          <w:rFonts w:ascii="宋体" w:hAnsi="宋体" w:cs="宋体"/>
        </w:rPr>
      </w:pPr>
      <w:r>
        <w:rPr>
          <w:rFonts w:hint="eastAsia" w:ascii="宋体" w:hAnsi="宋体" w:cs="宋体"/>
        </w:rPr>
        <w:t>1959年9月创办，1961年招收4年制中师函授学员205人，1962年招收134人，并举办半年制轮训班。1966年“文化大革命”时停办。1979年6月复办，负责培训全县中、小学教师。设有大专函授站，由华师大、韶关教育学院、县进修学校3级管理。从1977年开始函授本科教育。2002年，有专任教师24人，其中高级讲师6人。1998年至2002年，培养了137名中师生，55名幼师生；函授毕业大专生257人，本科生163人，培训教师7794人次。</w:t>
      </w:r>
    </w:p>
    <w:p w14:paraId="271E717C">
      <w:pPr>
        <w:ind w:firstLine="422"/>
        <w:rPr>
          <w:rFonts w:ascii="宋体" w:hAnsi="宋体" w:cs="宋体"/>
          <w:b/>
          <w:bCs/>
        </w:rPr>
      </w:pPr>
      <w:r>
        <w:rPr>
          <w:rFonts w:hint="eastAsia" w:ascii="宋体" w:hAnsi="宋体" w:cs="宋体"/>
          <w:b/>
          <w:bCs/>
        </w:rPr>
        <w:t>（三）农业技术学校</w:t>
      </w:r>
    </w:p>
    <w:p w14:paraId="4E5598DE">
      <w:pPr>
        <w:ind w:firstLine="420"/>
        <w:rPr>
          <w:rFonts w:ascii="宋体" w:hAnsi="宋体" w:cs="宋体"/>
        </w:rPr>
      </w:pPr>
      <w:r>
        <w:rPr>
          <w:rFonts w:hint="eastAsia" w:ascii="宋体" w:hAnsi="宋体" w:cs="宋体"/>
        </w:rPr>
        <w:t>其前身是1958年10月创办的南雄县技术学校农业系。1958年12月，南雄、始兴两县合并后，迁往始兴五里山与始兴农校合并，更名为“南雄县农业学校”。1959年上半年，经省高教局批准，纳入国家中专招生计划，在校生500人。学制3年。1960年冬，南雄、始兴分县，南雄县农业学校从始兴搬回本县梅岭果木林场。1962年停办。1969年夏，县革委会重办农校。以培训水稻良种选育、高产栽培为主要内容，共办了15期短训班，培训1100多人。1974年学校再次停办。1984年南雄师范停办后，县政府决定，在原师范校址复办南雄县农业学校。1985年至1987年上半年，承担干部轮训工作，共办培训班13期，培训农村各方面人才2340人。1987年秋，经省批准，更名为“南雄县农业技术学校”，成为全日制中等农业专业学校，学制3年。是年秋，招收2个果林专业班100人（高中毕业生），学制2年。1992年5月，根据省统一规定，学校更名为“南雄县成人中等专业技术学校”，由此拓宽了办学路子，不仅开办农业专业，还开办财会、电子、师范、物业、旅游、酒店等专业班。2002年3月，学校停办，校舍改建为国有民办实验中学。实验中学停办后，古市中学迁入。</w:t>
      </w:r>
    </w:p>
    <w:p w14:paraId="5889B0E7">
      <w:pPr>
        <w:ind w:firstLine="422"/>
        <w:rPr>
          <w:rFonts w:ascii="宋体" w:hAnsi="宋体" w:cs="宋体"/>
          <w:b/>
          <w:bCs/>
        </w:rPr>
      </w:pPr>
      <w:r>
        <w:rPr>
          <w:rFonts w:hint="eastAsia" w:ascii="宋体" w:hAnsi="宋体" w:cs="宋体"/>
          <w:b/>
          <w:bCs/>
        </w:rPr>
        <w:t>（四）卫生学校</w:t>
      </w:r>
    </w:p>
    <w:p w14:paraId="733EE05E">
      <w:pPr>
        <w:ind w:firstLine="420"/>
        <w:rPr>
          <w:rFonts w:ascii="宋体" w:hAnsi="宋体" w:cs="宋体"/>
        </w:rPr>
      </w:pPr>
      <w:r>
        <w:rPr>
          <w:rFonts w:hint="eastAsia" w:ascii="宋体" w:hAnsi="宋体" w:cs="宋体"/>
        </w:rPr>
        <w:t>前身是1958年3月创办的南雄县技术学校卫生系。1959年8月，经省高教局批准，在技校卫生系的基础上成立县卫生学校，列入国家招生计划。1963年冬，县卫生学校停办。1970年3月复办，主要任务是培训“赤脚医生”，教职工8人。校址几经搬迁，1979年定址于五里山，建筑面积为2653平方米。1987年6月30日，县中医院成立，卫生学校停办。卫校教职工并入中医院，设备归中医院接管。</w:t>
      </w:r>
    </w:p>
    <w:p w14:paraId="2CFC46EA">
      <w:pPr>
        <w:ind w:firstLine="422"/>
        <w:rPr>
          <w:rFonts w:ascii="宋体" w:hAnsi="宋体" w:cs="宋体"/>
          <w:b/>
          <w:bCs/>
        </w:rPr>
      </w:pPr>
      <w:r>
        <w:rPr>
          <w:rFonts w:hint="eastAsia" w:ascii="宋体" w:hAnsi="宋体" w:cs="宋体"/>
          <w:b/>
          <w:bCs/>
        </w:rPr>
        <w:t>（五）农机学校</w:t>
      </w:r>
    </w:p>
    <w:p w14:paraId="15FDC781">
      <w:pPr>
        <w:ind w:firstLine="420"/>
        <w:rPr>
          <w:rFonts w:ascii="宋体" w:hAnsi="宋体" w:cs="宋体"/>
        </w:rPr>
      </w:pPr>
      <w:r>
        <w:rPr>
          <w:rFonts w:hint="eastAsia" w:ascii="宋体" w:hAnsi="宋体" w:cs="宋体"/>
        </w:rPr>
        <w:t>前身是创办于1958年的南雄县技术学校工业系。1959年更名为南雄县工业学校，1961年停办，1970年复办。1975年8月改名为南雄县农机学校，是县农机局所属的事业单位。1984年，校内增设农机咨询服务中心。1987年底，县农机推广站合并农机学校，同时增设农机维修中心，三块牌子一套人马。1970年复办，至2005年共培训各类驾驶员1万多人、农机修理员747人、农机管理员415人次。</w:t>
      </w:r>
    </w:p>
    <w:p w14:paraId="2DC5AFDB">
      <w:pPr>
        <w:ind w:firstLine="422"/>
        <w:rPr>
          <w:rFonts w:ascii="宋体" w:hAnsi="宋体" w:cs="宋体"/>
          <w:b/>
          <w:bCs/>
        </w:rPr>
      </w:pPr>
      <w:r>
        <w:rPr>
          <w:rFonts w:hint="eastAsia" w:ascii="宋体" w:hAnsi="宋体" w:cs="宋体"/>
          <w:b/>
          <w:bCs/>
        </w:rPr>
        <w:t>（六）劳动大学</w:t>
      </w:r>
    </w:p>
    <w:p w14:paraId="6206DFA2">
      <w:pPr>
        <w:ind w:firstLine="420"/>
        <w:rPr>
          <w:rFonts w:ascii="宋体" w:hAnsi="宋体" w:cs="宋体"/>
        </w:rPr>
      </w:pPr>
      <w:r>
        <w:rPr>
          <w:rFonts w:hint="eastAsia" w:ascii="宋体" w:hAnsi="宋体" w:cs="宋体"/>
        </w:rPr>
        <w:t>创办于1965年春，校址在梅岭果木场坪山石灰厂（现水泥厂）。设大专班中专班，学制3年。1968年7月停办。</w:t>
      </w:r>
    </w:p>
    <w:p w14:paraId="73F734E2">
      <w:pPr>
        <w:ind w:firstLine="422"/>
        <w:rPr>
          <w:rFonts w:ascii="宋体" w:hAnsi="宋体" w:cs="宋体"/>
        </w:rPr>
      </w:pPr>
      <w:r>
        <w:rPr>
          <w:rFonts w:hint="eastAsia" w:ascii="宋体" w:hAnsi="宋体" w:cs="宋体"/>
          <w:b/>
          <w:bCs/>
        </w:rPr>
        <w:t>（七）业余体校</w:t>
      </w:r>
    </w:p>
    <w:p w14:paraId="1F10099D">
      <w:pPr>
        <w:ind w:firstLine="420"/>
        <w:rPr>
          <w:rFonts w:ascii="宋体" w:hAnsi="宋体" w:cs="宋体"/>
        </w:rPr>
      </w:pPr>
      <w:r>
        <w:rPr>
          <w:rFonts w:hint="eastAsia" w:ascii="宋体" w:hAnsi="宋体" w:cs="宋体"/>
        </w:rPr>
        <w:t>原为创办于1959年春的南雄县文艺体育学校。1961年，文体学校停办，成立业余体校。2002年，学校有专职教师（教练）6人，开设了田径、举重、武术、游泳、篮球、足球6个训练班，在南雄中学、南雄市第一中学、黎灿学校、雄州镇永康路小学设立了训练点。部分项目委托本市市区中学进行训练，其中田径委托南雄市第一中学进行训练，篮球委托南雄中学进行训练。</w:t>
      </w:r>
    </w:p>
    <w:p w14:paraId="669857E6">
      <w:pPr>
        <w:ind w:firstLine="422"/>
        <w:rPr>
          <w:rFonts w:ascii="宋体" w:hAnsi="宋体" w:cs="宋体"/>
        </w:rPr>
      </w:pPr>
      <w:r>
        <w:rPr>
          <w:rFonts w:hint="eastAsia" w:ascii="宋体" w:hAnsi="宋体" w:cs="宋体"/>
          <w:b/>
          <w:bCs/>
        </w:rPr>
        <w:t>（八）广东省第二青少年业余滑翔学校</w:t>
      </w:r>
    </w:p>
    <w:p w14:paraId="40ECDC88">
      <w:pPr>
        <w:ind w:firstLine="420"/>
        <w:rPr>
          <w:rFonts w:ascii="宋体" w:hAnsi="宋体" w:cs="宋体"/>
        </w:rPr>
      </w:pPr>
      <w:r>
        <w:rPr>
          <w:rFonts w:hint="eastAsia" w:ascii="宋体" w:hAnsi="宋体" w:cs="宋体"/>
        </w:rPr>
        <w:t>创办于1965年秋，校址在原飞机场侧，该校由省军区、省体委主办，省体委国防体育处领导，面向全省中学招生。1965年下半年招收2个班，学生83人。1966年秋招收2个班，学生106人。1968年10月停办。</w:t>
      </w:r>
    </w:p>
    <w:p w14:paraId="7E0BD70F">
      <w:pPr>
        <w:pStyle w:val="5"/>
        <w:rPr>
          <w:rFonts w:ascii="宋体" w:hAnsi="宋体" w:cs="宋体"/>
        </w:rPr>
      </w:pPr>
      <w:r>
        <w:rPr>
          <w:rFonts w:hint="eastAsia" w:ascii="宋体" w:hAnsi="宋体" w:cs="宋体"/>
        </w:rPr>
        <w:t>二、成人教育</w:t>
      </w:r>
    </w:p>
    <w:p w14:paraId="7EA9BCEB">
      <w:pPr>
        <w:ind w:firstLine="422"/>
        <w:rPr>
          <w:rFonts w:ascii="宋体" w:hAnsi="宋体" w:cs="宋体"/>
        </w:rPr>
      </w:pPr>
      <w:r>
        <w:rPr>
          <w:rFonts w:hint="eastAsia" w:ascii="宋体" w:hAnsi="宋体" w:cs="宋体"/>
          <w:b/>
          <w:bCs/>
        </w:rPr>
        <w:t>1.扫除文盲</w:t>
      </w:r>
      <w:r>
        <w:rPr>
          <w:rFonts w:hint="eastAsia" w:ascii="宋体" w:hAnsi="宋体" w:cs="宋体"/>
        </w:rPr>
        <w:t>。1951年全县办农民业余学校514间，学员24185人，教习识字、作文、写信。1952年成立县扫盲工作队，编制8人，隶属文教科，每区有1名扫盲工作队员。全县办起夜校386所，学员8877人，教员573人，其中专职38人，其余均由小学教员兼任。1956年成立南雄扫盲协会。1959年成立南雄县工农业余教育委员会，统一领导扫盲工作。至1980年，全县24个公社（镇）的208个生产大队中有202个生产大队完成了扫盲任务。是年12月统计，全县总人口387708人，12周岁～40周岁少青壮年人数为136422人，其中小学文化39793人，初中以上32810，在校学生39481人，合计112084人，占少青壮年人数的91.82%，经省、地验收核定南雄县为“少青壮年无文盲县”。</w:t>
      </w:r>
    </w:p>
    <w:p w14:paraId="4F58CC65">
      <w:pPr>
        <w:ind w:firstLine="422"/>
        <w:rPr>
          <w:rFonts w:ascii="宋体" w:hAnsi="宋体" w:cs="宋体"/>
        </w:rPr>
      </w:pPr>
      <w:r>
        <w:rPr>
          <w:rFonts w:hint="eastAsia" w:ascii="宋体" w:hAnsi="宋体" w:cs="宋体"/>
          <w:b/>
          <w:bCs/>
        </w:rPr>
        <w:t>2.乡镇成人教育中心校</w:t>
      </w:r>
      <w:r>
        <w:rPr>
          <w:rFonts w:hint="eastAsia" w:ascii="宋体" w:hAnsi="宋体" w:cs="宋体"/>
        </w:rPr>
        <w:t>。1987年，全县24个乡镇开办成人教育中心校，采取多层次、多规格、多门类、多种形式的办学方法，定期举办各种技术短期训练班，初步形成农民学文化技术的教育网。教育经费由乡镇统筹，并在教育附加税中抽出10%～15%，统称为成人教育专用资金。此外，有村办文化技术学校138所，接受文化技术教育的有12457人。</w:t>
      </w:r>
    </w:p>
    <w:p w14:paraId="3C6620B3">
      <w:pPr>
        <w:ind w:firstLine="422"/>
        <w:rPr>
          <w:rFonts w:ascii="宋体" w:hAnsi="宋体" w:cs="宋体"/>
        </w:rPr>
      </w:pPr>
      <w:r>
        <w:rPr>
          <w:rFonts w:hint="eastAsia" w:ascii="宋体" w:hAnsi="宋体" w:cs="宋体"/>
          <w:b/>
          <w:bCs/>
        </w:rPr>
        <w:t>3.职工业余教育</w:t>
      </w:r>
      <w:r>
        <w:rPr>
          <w:rFonts w:hint="eastAsia" w:ascii="宋体" w:hAnsi="宋体" w:cs="宋体"/>
        </w:rPr>
        <w:t>。1951年春由县总工会举办，开设语文、算术2科，以学文化扫盲为主。1963年成立县职工教育委员会，开展职工专业教育。县职校举办工业、商业会计、英语、美术等专业班。有7个基层工会也举办职工业余学校，进行各种技术培训。1987年1月，县职工业余学校改称为职工业余中等文化技术学校。1992年停办。</w:t>
      </w:r>
    </w:p>
    <w:p w14:paraId="43E04B8C">
      <w:pPr>
        <w:ind w:firstLine="422"/>
        <w:rPr>
          <w:rFonts w:ascii="宋体" w:hAnsi="宋体" w:cs="宋体"/>
          <w:b/>
          <w:bCs/>
        </w:rPr>
      </w:pPr>
      <w:r>
        <w:rPr>
          <w:rFonts w:hint="eastAsia" w:ascii="宋体" w:hAnsi="宋体" w:cs="宋体"/>
          <w:b/>
          <w:bCs/>
        </w:rPr>
        <w:t>4.成人高等、中专自学考试</w:t>
      </w:r>
    </w:p>
    <w:p w14:paraId="60766449">
      <w:pPr>
        <w:ind w:firstLine="420"/>
        <w:rPr>
          <w:rFonts w:ascii="宋体" w:hAnsi="宋体" w:cs="宋体"/>
        </w:rPr>
      </w:pPr>
      <w:r>
        <w:rPr>
          <w:rFonts w:hint="eastAsia" w:ascii="宋体" w:hAnsi="宋体" w:cs="宋体"/>
        </w:rPr>
        <w:t>从1984年下半年起，举办成人高等自学考试，参考人数年均200人，实考科目500多个，合格科目约占33%。1986年开始兴办中专自学考试，每年约200人参加，实考科目120多个，合格科目约占60%。后因无人报考停办。1998年至2002年，参加自学考试人数25052人次，毕业人数505人，其中专科385人，本科120人。</w:t>
      </w:r>
    </w:p>
    <w:p w14:paraId="0EC46BB6">
      <w:pPr>
        <w:ind w:firstLine="422"/>
        <w:rPr>
          <w:rFonts w:ascii="宋体" w:hAnsi="宋体" w:cs="宋体"/>
        </w:rPr>
      </w:pPr>
      <w:r>
        <w:rPr>
          <w:rFonts w:hint="eastAsia" w:ascii="宋体" w:hAnsi="宋体" w:cs="宋体"/>
          <w:b/>
          <w:bCs/>
        </w:rPr>
        <w:t>5.中共南雄市（县）委党校</w:t>
      </w:r>
      <w:r>
        <w:rPr>
          <w:rFonts w:hint="eastAsia" w:ascii="宋体" w:hAnsi="宋体" w:cs="宋体"/>
        </w:rPr>
        <w:t>。新中国成立初期为党员训练班，1957年始成立党校，分大专、中专班。1985年秋，受省委组织部和省委党校委托，开办党政干部大专函授班。（详见本编政治编中共南雄市委员会章）</w:t>
      </w:r>
    </w:p>
    <w:p w14:paraId="545F23DD">
      <w:pPr>
        <w:ind w:firstLine="422"/>
        <w:rPr>
          <w:rFonts w:ascii="宋体" w:hAnsi="宋体" w:cs="宋体"/>
        </w:rPr>
      </w:pPr>
      <w:r>
        <w:rPr>
          <w:rFonts w:hint="eastAsia" w:ascii="宋体" w:hAnsi="宋体" w:cs="宋体"/>
          <w:b/>
          <w:bCs/>
        </w:rPr>
        <w:t>6.广播电视大学</w:t>
      </w:r>
      <w:r>
        <w:rPr>
          <w:rFonts w:hint="eastAsia" w:ascii="宋体" w:hAnsi="宋体" w:cs="宋体"/>
        </w:rPr>
        <w:t>。1982年9月，经广东省广播电视大学批准，成立广东省广播电视大学南雄工作站。1984年5月29日，成立广东省南雄县广播电视大学。1985年9月，原南雄县卫生学校校舍移交电视大学。该校占地面积8880平方米，建筑面积为2710平方米。开设汉语文学、工业企业管理、商业企业管理、财政、税收、金融、法律、英语等专业班，2002年有教师26人，其中高级讲师6人。1998年至2002年，毕业生1181人，年均230多人。</w:t>
      </w:r>
    </w:p>
    <w:p w14:paraId="33D1E866">
      <w:pPr>
        <w:pStyle w:val="4"/>
        <w:rPr>
          <w:rFonts w:ascii="宋体" w:hAnsi="宋体" w:cs="宋体"/>
        </w:rPr>
      </w:pPr>
      <w:r>
        <w:rPr>
          <w:rFonts w:hint="eastAsia" w:ascii="宋体" w:hAnsi="宋体" w:cs="宋体"/>
        </w:rPr>
        <w:t>第五节  教师队伍</w:t>
      </w:r>
    </w:p>
    <w:p w14:paraId="792567AB">
      <w:pPr>
        <w:pStyle w:val="5"/>
        <w:rPr>
          <w:rFonts w:ascii="宋体" w:hAnsi="宋体" w:cs="宋体"/>
        </w:rPr>
      </w:pPr>
      <w:r>
        <w:rPr>
          <w:rFonts w:hint="eastAsia" w:ascii="宋体" w:hAnsi="宋体" w:cs="宋体"/>
        </w:rPr>
        <w:t>一、教师素质</w:t>
      </w:r>
    </w:p>
    <w:p w14:paraId="3E4162A8">
      <w:pPr>
        <w:ind w:firstLine="420"/>
        <w:rPr>
          <w:rFonts w:ascii="宋体" w:hAnsi="宋体" w:cs="宋体"/>
        </w:rPr>
      </w:pPr>
      <w:r>
        <w:rPr>
          <w:rFonts w:hint="eastAsia" w:ascii="宋体" w:hAnsi="宋体" w:cs="宋体"/>
        </w:rPr>
        <w:t>新中国成立初期，由于小学教育大发展，教师严重不足，降标聘一批教师。特别是1960年，在“大跃进”影响下，中学大量发展，将不少原先在小学任教的中师、高中生调到中学任教，将社会上一批只有相当于高小文化程度的人，吸收为小学民办教师。1961年统计，中学教师中，高中毕业以下文化程度的占81%。1962年贯彻中央“调整、巩固、充实、提高”的方针，共调整精简了中小学教职工223人。“文化大革命”中，又吸收大批的二年制初、高中毕业生为小学民办教师，使教师队伍文化业务素质大大降低。1978年以来，一批师范院校毕业生分配到本县任教，并加强教师在职培训和发展函授教育，教师队伍的文化素质逐年得到提高。至1987年，小学教师中达到中师、高中毕业文化程度的占66%，初中教师达到大学专科毕业文化程度的占45.3%，高中教师达到大学本科毕业文化程度的占26.1%。1988年后，本县教师数量逐渐增加，素质不断提高。教师的来源主要是师范院校的毕业生，另外选拔部分优秀民办教师转为公办教师。1999年开始推行教师培养的“百、千、万”工程，培养了一大批名校长、名教师和学科带头人，大大提升了教师队伍的总体素质。至2002年，全市在职中学教师1916人，其中高级教师121人，中级教师652人，初级教师629人；达本科学历335人，专科学历1178人，中师学历110人。在职小学教师2848人，其中高级教师1141人，中级教师1120人，初级教师497人；达本科学历20人，专科学历921人，中师学历1813人。</w:t>
      </w:r>
    </w:p>
    <w:p w14:paraId="4736129A">
      <w:pPr>
        <w:pStyle w:val="5"/>
        <w:rPr>
          <w:rFonts w:ascii="宋体" w:hAnsi="宋体" w:cs="宋体"/>
        </w:rPr>
      </w:pPr>
      <w:r>
        <w:rPr>
          <w:rFonts w:hint="eastAsia" w:ascii="宋体" w:hAnsi="宋体" w:cs="宋体"/>
        </w:rPr>
        <w:t>二、教师待遇</w:t>
      </w:r>
    </w:p>
    <w:p w14:paraId="301A7586">
      <w:pPr>
        <w:ind w:firstLine="420"/>
        <w:rPr>
          <w:rFonts w:ascii="宋体" w:hAnsi="宋体" w:cs="宋体"/>
        </w:rPr>
      </w:pPr>
      <w:r>
        <w:rPr>
          <w:rFonts w:hint="eastAsia" w:ascii="宋体" w:hAnsi="宋体" w:cs="宋体"/>
        </w:rPr>
        <w:t>新中国成立初，中学实行薪金制。小学一般由区乡自筹发给大米或折算人民币，无统一标准。1952年由县人民政府统筹经费，小学教师月薪为27元（人民币，下同），中学教师约为54元。1956年工资改革，规定中师毕业的教师月工资40.5元（等于行政24级），大学专科毕业的教师52.5元（等于行政22级），本科毕业教师60.5元（等于行政21级）。1963年工资改革，规定中师毕业者工资36.5元，大学专科毕业的46元，本科毕业的52.5元。1963年中学教职员工人月均工资：校长68.3元，主任58.4元，高中教员57元，初中教员45.2元，职员38元，工勤人员29元。小学教职员工人月均工资：校长48元，主任38元，教员职员32元，工勤人员22元。1985年工资改革，实行以职务工资为主的结构工资制。中小学教师和职级不符的中年骨干教师增资多些，并增加教龄津贴（满5年教龄计起，起点5元，最高10元）、班主任津贴。1987年全县有教师1305人套职称增资，人均增5.86元。2002年南雄市教师工资人均1125.9元，其中：中学教师为1148.8元，小学为1107.3元。</w:t>
      </w:r>
    </w:p>
    <w:p w14:paraId="76B9CD49">
      <w:pPr>
        <w:pStyle w:val="5"/>
        <w:rPr>
          <w:rFonts w:ascii="宋体" w:hAnsi="宋体" w:cs="宋体"/>
        </w:rPr>
      </w:pPr>
      <w:r>
        <w:rPr>
          <w:rFonts w:hint="eastAsia" w:ascii="宋体" w:hAnsi="宋体" w:cs="宋体"/>
        </w:rPr>
        <w:t>三、民办教师</w:t>
      </w:r>
    </w:p>
    <w:p w14:paraId="664ACA03">
      <w:pPr>
        <w:ind w:firstLine="420"/>
        <w:rPr>
          <w:rFonts w:ascii="宋体" w:hAnsi="宋体" w:cs="宋体"/>
        </w:rPr>
      </w:pPr>
      <w:r>
        <w:rPr>
          <w:rFonts w:hint="eastAsia" w:ascii="宋体" w:hAnsi="宋体" w:cs="宋体"/>
        </w:rPr>
        <w:t>民办教师始于1958年。教师由社队选聘，报酬由社队自筹。1965年全县有民办教师824人，1978年为1953人，1980年整顿后仍有1800人，1987年尚有1400名，大部分在小学，约占小学教师总数的35%，是普及初等教育的一支重要力量。为稳定民办教师队伍，逐年办理民办转公办。从1983年起，每年有40名民办教师进入省民师师专班和中专班培训，2年毕业后转为公办。每年把经师专函授和中师函授毕业的民办教师转为公办。1984年起把教师自然减员指标用于招聘民办教师为合同制教师。1985年起逐年将从事教育工作15年以上，经考核合格的民办教师转为公办。不合格的另外安置。1998年全面完成民办教师转退工作。民办教师待遇，1970年以前由各乡村自行商定自行解决。1970年起，县政府规定民办教师工资由社队统筹，当年兑现，工资标准不低于大队党支队书记工资的85%。1973年起由国家发给补贴，中学民办教师每人年补210元，小学民办教师每人年补170元。1985年起规定国家补贴的工资，不列入统筹，全部发到民办教师手上。凡公办教师享受的各项补贴，民办教师均按标准的50%发给。同时设立民办教师社会保险统筹，做到病有所医，老有所养。</w:t>
      </w:r>
    </w:p>
    <w:p w14:paraId="2FFB91AE">
      <w:pPr>
        <w:pStyle w:val="4"/>
        <w:rPr>
          <w:rFonts w:ascii="宋体" w:hAnsi="宋体" w:cs="宋体"/>
        </w:rPr>
      </w:pPr>
      <w:r>
        <w:rPr>
          <w:rFonts w:hint="eastAsia" w:ascii="宋体" w:hAnsi="宋体" w:cs="宋体"/>
        </w:rPr>
        <w:t>第六节  教学研究</w:t>
      </w:r>
    </w:p>
    <w:p w14:paraId="24488776">
      <w:pPr>
        <w:pStyle w:val="5"/>
        <w:rPr>
          <w:rFonts w:ascii="宋体" w:hAnsi="宋体" w:cs="宋体"/>
        </w:rPr>
      </w:pPr>
      <w:r>
        <w:rPr>
          <w:rFonts w:hint="eastAsia" w:ascii="宋体" w:hAnsi="宋体" w:cs="宋体"/>
        </w:rPr>
        <w:t>一、教研组织</w:t>
      </w:r>
    </w:p>
    <w:p w14:paraId="39AB0577">
      <w:pPr>
        <w:ind w:firstLine="420"/>
        <w:rPr>
          <w:rFonts w:ascii="宋体" w:hAnsi="宋体" w:cs="宋体"/>
        </w:rPr>
      </w:pPr>
      <w:r>
        <w:rPr>
          <w:rFonts w:hint="eastAsia" w:ascii="宋体" w:hAnsi="宋体" w:cs="宋体"/>
        </w:rPr>
        <w:t>中华人民共和国成立初期，本县教研工作由南雄县小学教师联合会兼管。既是教师的群众性组织，又是主管教研工作的组织，在全县建立了县、区、学区（联校）、学校四级教研网。</w:t>
      </w:r>
    </w:p>
    <w:p w14:paraId="39E562F3">
      <w:pPr>
        <w:ind w:firstLine="420"/>
        <w:rPr>
          <w:rFonts w:ascii="宋体" w:hAnsi="宋体" w:cs="宋体"/>
        </w:rPr>
      </w:pPr>
      <w:r>
        <w:rPr>
          <w:rFonts w:hint="eastAsia" w:ascii="宋体" w:hAnsi="宋体" w:cs="宋体"/>
        </w:rPr>
        <w:t>1956年，县文教科成立教研室（编制3人），加强了对全县中、小学教学的检查和指导。1961年，县教研室在全县各中学建立两个教研网，开展各科教研活动：以黄坑中学、乌迳中学、湖口中学、百顺中学、水口中学为一个教研网，黄坑中学为中心；以南雄城区各中学为一教研网，以南雄中学为中心。小学则以公社为单位成立语文、数学教研组，开展公社小学的教研活动。“文化大革命”期间，县教研室被撤销，各校教研组随之消失。1978年，县教研室重新建立。1981年5月，教研室重新组建各级教研网。中学建立两级教研网：第一级为县级教研网，县成立中学各科教学研究会，每学期活动1次～2次；第二级为学校教研网，中学成立各科教研组，每月活动1次。1985年后改为三级教研网。小学建立三级教研网：第一级为县级教研网，县成立小学各科教学研究会，每学期活动1次～2次；第二级为乡（镇）教研网，由乡（镇）教委办组织教研活动，每学期2次～4次；第三级为学校教研网，以完小为中心，含附近教学点，成立各科教研组，每月活动1次。2002年撤销乡镇教办后，实行中心小学负责制，原来的三级教研网变为二级教研网，即南雄市级教研网和各镇中心小学为中心的学校教研网。</w:t>
      </w:r>
    </w:p>
    <w:p w14:paraId="1E56315F">
      <w:pPr>
        <w:pStyle w:val="5"/>
        <w:rPr>
          <w:rFonts w:ascii="宋体" w:hAnsi="宋体" w:cs="宋体"/>
        </w:rPr>
      </w:pPr>
      <w:r>
        <w:rPr>
          <w:rFonts w:hint="eastAsia" w:ascii="宋体" w:hAnsi="宋体" w:cs="宋体"/>
        </w:rPr>
        <w:t>二、教研活动</w:t>
      </w:r>
    </w:p>
    <w:p w14:paraId="489A0BDD">
      <w:pPr>
        <w:ind w:firstLine="420"/>
        <w:rPr>
          <w:rFonts w:ascii="宋体" w:hAnsi="宋体" w:cs="宋体"/>
        </w:rPr>
      </w:pPr>
      <w:r>
        <w:rPr>
          <w:rFonts w:hint="eastAsia" w:ascii="宋体" w:hAnsi="宋体" w:cs="宋体"/>
        </w:rPr>
        <w:t>1952年学习苏联教学经验，以凯洛夫《教育学》教材为主，推行苏联的教育制度、课程设置、教材教法等，强调“启发式”教学，推行5级记分制（1964年恢复百分制），经常组织全县性的观摩教学和教学研究活动。</w:t>
      </w:r>
    </w:p>
    <w:p w14:paraId="4E34CE4F">
      <w:pPr>
        <w:ind w:firstLine="420"/>
        <w:rPr>
          <w:rFonts w:ascii="宋体" w:hAnsi="宋体" w:cs="宋体"/>
        </w:rPr>
      </w:pPr>
      <w:r>
        <w:rPr>
          <w:rFonts w:hint="eastAsia" w:ascii="宋体" w:hAnsi="宋体" w:cs="宋体"/>
        </w:rPr>
        <w:t>1980年举办新教材学习研究班，组织优秀教师编写高中、初中、小学各学科的双基要求、综合练习、复习资料，发行上万份。1984年起在省、市教研室领导下认真指导中小学教育实践，开展各学科的经验交流活动。1981年至1987年教师在省级以上教育刊物发表教研文章20多篇。南雄中学的《启、读、讲、议、练五字教学法》、陈德华的《开放式教学法》、吴家粦的《导学式教学法》、黄华瑛的《数学课堂教学中的五个尽量》等经验都得到推广运用。陈继煊的《中学生整理知识十八法》由中国文史出版社出版。</w:t>
      </w:r>
    </w:p>
    <w:p w14:paraId="56FE04BA">
      <w:pPr>
        <w:ind w:firstLine="420"/>
        <w:rPr>
          <w:rFonts w:ascii="宋体" w:hAnsi="宋体" w:cs="宋体"/>
        </w:rPr>
      </w:pPr>
      <w:r>
        <w:rPr>
          <w:rFonts w:hint="eastAsia" w:ascii="宋体" w:hAnsi="宋体" w:cs="宋体"/>
        </w:rPr>
        <w:t>在实施《中小学德育大纲》中，教师在省市级报刊发表德育研究论文有80多篇。雄州镇二中的德育工作成功经验，获省人民政府通报表扬。该校出席全国中小学德育工作会议，被授予“德育先进校”称号。</w:t>
      </w:r>
    </w:p>
    <w:p w14:paraId="6BBF10C7">
      <w:pPr>
        <w:pStyle w:val="4"/>
        <w:rPr>
          <w:rFonts w:ascii="宋体" w:hAnsi="宋体" w:cs="宋体"/>
        </w:rPr>
      </w:pPr>
      <w:r>
        <w:rPr>
          <w:rFonts w:hint="eastAsia" w:ascii="宋体" w:hAnsi="宋体" w:cs="宋体"/>
        </w:rPr>
        <w:t>第七节  教育经费与勤工俭学</w:t>
      </w:r>
    </w:p>
    <w:p w14:paraId="507AC65F">
      <w:pPr>
        <w:pStyle w:val="5"/>
        <w:rPr>
          <w:rFonts w:ascii="宋体" w:hAnsi="宋体" w:cs="宋体"/>
        </w:rPr>
      </w:pPr>
      <w:r>
        <w:rPr>
          <w:rFonts w:hint="eastAsia" w:ascii="宋体" w:hAnsi="宋体" w:cs="宋体"/>
        </w:rPr>
        <w:t>一、教育经费</w:t>
      </w:r>
    </w:p>
    <w:p w14:paraId="1BAF5DC3">
      <w:pPr>
        <w:ind w:firstLine="420"/>
        <w:rPr>
          <w:rFonts w:ascii="宋体" w:hAnsi="宋体" w:cs="宋体"/>
        </w:rPr>
      </w:pPr>
      <w:r>
        <w:rPr>
          <w:rFonts w:hint="eastAsia" w:ascii="宋体" w:hAnsi="宋体" w:cs="宋体"/>
        </w:rPr>
        <w:t>新中国成立初，原民国时期的公办学校经费，经人民政府接管后，小学由县政府拨给，南雄中学由省教育厅拨给，私立学校由原办学组织解决。</w:t>
      </w:r>
    </w:p>
    <w:p w14:paraId="62417550">
      <w:pPr>
        <w:ind w:firstLine="420"/>
        <w:rPr>
          <w:rFonts w:ascii="宋体" w:hAnsi="宋体" w:cs="宋体"/>
        </w:rPr>
      </w:pPr>
      <w:r>
        <w:rPr>
          <w:rFonts w:hint="eastAsia" w:ascii="宋体" w:hAnsi="宋体" w:cs="宋体"/>
        </w:rPr>
        <w:t>1952年土改后，私立学校的田产全部征收，店铺归公，基金（谷）亦归区、乡政府。从1952年8月份，私立学校均转为公办学校，教师为公办教师，办学经费由国家负责，各级学校的教育经费纳入地方财政计划，中学经费直接由财政部门拨至学校，小学经费拨至各区，由区政府发至各小学。随着教育事业的不断发展，教育经费逐年持续上升，尤其是“文化大革命”以后，教育经费增长幅度较大。如1966年教育经费总数为86.54万元，比1956年增加了75%；1976年教育经费为141.25万元，比1966年增加了63%；1986年教育经费为806.39万元，比1976年增加了4.7倍。改革开放以来，教育的投入历年占财政总支出的30%多。如1994年，全县财政总收入11346万元，财政总支出10334万元，其中教育投入3401万元，占全县财政总支出的32.91%。1998年，全市财政总收入16498万元，财政总支出15592万元，教育投入5379万元，占全市财政总支出的33.79%。2002年，教育投入7794万元，占全市财政总支出的31.62%。</w:t>
      </w:r>
    </w:p>
    <w:p w14:paraId="6AFD62C7">
      <w:pPr>
        <w:ind w:firstLine="420"/>
        <w:rPr>
          <w:rFonts w:ascii="宋体" w:hAnsi="宋体" w:cs="宋体"/>
        </w:rPr>
      </w:pPr>
      <w:r>
        <w:rPr>
          <w:rFonts w:hint="eastAsia" w:ascii="宋体" w:hAnsi="宋体" w:cs="宋体"/>
        </w:rPr>
        <w:t>在财政投入的同时，积极引进外资。1993年至2005年港澳同胞捐资2900多万元，其中黎灿先生捐资420万元，陈经纶先生捐资480万元，王锦辉先生捐资290万元，香港育苗行动及蔡惠玲小姐捐资205万元，苏东林捐资100万元。2002年至2004年3年时间，省老区建设促进会拨款1930万元，改造老区小学83所。</w:t>
      </w:r>
    </w:p>
    <w:p w14:paraId="38333339">
      <w:pPr>
        <w:ind w:firstLine="420"/>
        <w:rPr>
          <w:rFonts w:ascii="宋体" w:hAnsi="宋体" w:cs="宋体"/>
        </w:rPr>
      </w:pPr>
      <w:r>
        <w:rPr>
          <w:rFonts w:hint="eastAsia" w:ascii="宋体" w:hAnsi="宋体" w:cs="宋体"/>
        </w:rPr>
        <w:t>学校收费。1968年以前，学校收费全部上交县教育部门，再拨回学校作办公费。1968年以后，学校收费不上交，留校使用。收费标准见本志经济编物价章。2005年，南雄市被评为“广东省教育收费规范市”。</w:t>
      </w:r>
    </w:p>
    <w:p w14:paraId="72813F75">
      <w:pPr>
        <w:pStyle w:val="5"/>
        <w:rPr>
          <w:rFonts w:ascii="宋体" w:hAnsi="宋体" w:cs="宋体"/>
        </w:rPr>
      </w:pPr>
      <w:r>
        <w:rPr>
          <w:rFonts w:hint="eastAsia" w:ascii="宋体" w:hAnsi="宋体" w:cs="宋体"/>
        </w:rPr>
        <w:t>二、勤工俭学</w:t>
      </w:r>
    </w:p>
    <w:p w14:paraId="72F4560B">
      <w:pPr>
        <w:ind w:firstLine="420"/>
        <w:rPr>
          <w:rFonts w:ascii="宋体" w:hAnsi="宋体" w:cs="宋体"/>
        </w:rPr>
      </w:pPr>
      <w:r>
        <w:rPr>
          <w:rFonts w:hint="eastAsia" w:ascii="宋体" w:hAnsi="宋体" w:cs="宋体"/>
        </w:rPr>
        <w:t>1958年贯彻“群众办学，勤工俭学”方针，普遍开展勤工俭学活动。在“大跃进”影响下，生产基地过大，劳动时间过长，影响教学。1974年又在学大寨、学朝农（辽宁省朝阳农学院）、学屯昌（今海南省屯昌县）的口号下，大办工厂，大办农场，以劳动代替教学，致使教学质量下降，勤工俭学收益亦甚微。</w:t>
      </w:r>
    </w:p>
    <w:p w14:paraId="5074DCB7">
      <w:pPr>
        <w:ind w:firstLine="420"/>
        <w:rPr>
          <w:rFonts w:ascii="宋体" w:hAnsi="宋体" w:cs="宋体"/>
        </w:rPr>
      </w:pPr>
      <w:r>
        <w:rPr>
          <w:rFonts w:hint="eastAsia" w:ascii="宋体" w:hAnsi="宋体" w:cs="宋体"/>
        </w:rPr>
        <w:t>1983年起正确贯彻勤工俭学方针，各学校因地制宜办起红砖厂、碾米厂、豆类加工厂、养殖场、农林场、水电站等。实行教学、科研、生产相结合。1987年全县有校办农林场（含林、果、茶、药）201个，455公顷，养殖场105个，农副产品加工25间，红砖厂20间，勤工俭学总收入154.87万元，学生人均19.83元。县教育局设勤工俭学办公室，直接经营印刷厂、美术工艺陶瓷厂、塑料编织制品厂、钻石厂，职工约200名，全年纯利15万元。全县通过校办厂场安排教职工家属就业630多人，1988年国家教育委员会授予南雄县为全国中小学勤工俭学先进集体。以后，由于市场情况变化及其他各种原因，除印刷厂外，其他企业均已先后停办。</w:t>
      </w:r>
    </w:p>
    <w:p w14:paraId="2671E89F">
      <w:pPr>
        <w:pStyle w:val="3"/>
        <w:rPr>
          <w:rFonts w:ascii="宋体" w:hAnsi="宋体" w:cs="宋体"/>
        </w:rPr>
      </w:pPr>
      <w:r>
        <w:rPr>
          <w:rFonts w:hint="eastAsia" w:ascii="宋体" w:hAnsi="宋体" w:cs="宋体"/>
        </w:rPr>
        <w:t>第二章  科学技术</w:t>
      </w:r>
    </w:p>
    <w:p w14:paraId="1556958D">
      <w:pPr>
        <w:ind w:firstLine="420"/>
        <w:rPr>
          <w:rFonts w:ascii="宋体" w:hAnsi="宋体" w:cs="宋体"/>
        </w:rPr>
      </w:pPr>
      <w:r>
        <w:rPr>
          <w:rFonts w:hint="eastAsia" w:ascii="宋体" w:hAnsi="宋体" w:cs="宋体"/>
        </w:rPr>
        <w:t>新中国成立前，南雄县科研机构仅有烟草试验场一所。新中国成立后，先后设立县科学技术委员会、县农业科学研究所、乡镇（公社）农业技术推广站、畜牧兽医站、县林业科研所、农机研究所、水土保持推广站、烟草研究所等科研单位，还有14个科研团体，开展各项科研活动。至2004年，全市共获得国家级奖3项，省级奖4项，地市级奖32项，县级奖38项。</w:t>
      </w:r>
    </w:p>
    <w:p w14:paraId="068E9680">
      <w:pPr>
        <w:pStyle w:val="4"/>
        <w:rPr>
          <w:rFonts w:ascii="宋体" w:hAnsi="宋体" w:cs="宋体"/>
        </w:rPr>
      </w:pPr>
      <w:r>
        <w:rPr>
          <w:rFonts w:hint="eastAsia" w:ascii="宋体" w:hAnsi="宋体" w:cs="宋体"/>
        </w:rPr>
        <w:t>第一节  科技信息局</w:t>
      </w:r>
    </w:p>
    <w:p w14:paraId="65C66A12">
      <w:pPr>
        <w:ind w:firstLine="420"/>
        <w:rPr>
          <w:rFonts w:ascii="宋体" w:hAnsi="宋体" w:cs="宋体"/>
        </w:rPr>
      </w:pPr>
      <w:r>
        <w:rPr>
          <w:rFonts w:hint="eastAsia" w:ascii="宋体" w:hAnsi="宋体" w:cs="宋体"/>
        </w:rPr>
        <w:t>南雄科学技术委员会于1959年成立。1973年3月，撤科学技术委员会，成立南雄县科教办，下设南雄县科技局。1980年4月恢复科学技术委员会。1987年有工作人员20人。1988年至1994年与南雄县科学技术协会合署办公。1994年南雄县科学技术协会从科学技术委员会分出，独立挂牌办公。1996年科学技术委员会更改为科学技术局。2001年12月更名为科技信息局，与南雄市科学技术开发服务中心合署办公，二块牌子一套班子。</w:t>
      </w:r>
    </w:p>
    <w:p w14:paraId="18369C4F">
      <w:pPr>
        <w:pStyle w:val="4"/>
        <w:rPr>
          <w:rFonts w:ascii="宋体" w:hAnsi="宋体" w:cs="宋体"/>
        </w:rPr>
      </w:pPr>
      <w:r>
        <w:rPr>
          <w:rFonts w:hint="eastAsia" w:ascii="宋体" w:hAnsi="宋体" w:cs="宋体"/>
        </w:rPr>
        <w:t>第二节  科研机构</w:t>
      </w:r>
    </w:p>
    <w:p w14:paraId="509C4323">
      <w:pPr>
        <w:pStyle w:val="5"/>
        <w:rPr>
          <w:rFonts w:ascii="宋体" w:hAnsi="宋体" w:cs="宋体"/>
        </w:rPr>
      </w:pPr>
      <w:r>
        <w:rPr>
          <w:rFonts w:hint="eastAsia" w:ascii="宋体" w:hAnsi="宋体" w:cs="宋体"/>
        </w:rPr>
        <w:t>一、农业科研推广机构</w:t>
      </w:r>
    </w:p>
    <w:p w14:paraId="7247E510">
      <w:pPr>
        <w:ind w:firstLine="420"/>
        <w:rPr>
          <w:rFonts w:ascii="宋体" w:hAnsi="宋体" w:cs="宋体"/>
        </w:rPr>
      </w:pPr>
      <w:r>
        <w:rPr>
          <w:rFonts w:hint="eastAsia" w:ascii="宋体" w:hAnsi="宋体" w:cs="宋体"/>
        </w:rPr>
        <w:t>农业科学研究所。1953年在窑山坪设立南雄县农业示范场，耕地面积7.69公顷，有干部职工21人。1960年起挂南雄县农业科学研究所招牌。1987年有农艺师5人，助理农艺师2人，技术员1人，职工52人。至2004年，有农业专业技术人员13人，其中高、中级技术职称10人，技术工人25人。有农田面积10公顷，其中标准化试验基地1.33公顷，农田水利设施较好；另有果园3.33多公顷，鱼塘2公顷。</w:t>
      </w:r>
    </w:p>
    <w:p w14:paraId="647F0BE2">
      <w:pPr>
        <w:ind w:firstLine="420"/>
        <w:rPr>
          <w:rFonts w:ascii="宋体" w:hAnsi="宋体" w:cs="宋体"/>
        </w:rPr>
      </w:pPr>
      <w:r>
        <w:rPr>
          <w:rFonts w:hint="eastAsia" w:ascii="宋体" w:hAnsi="宋体" w:cs="宋体"/>
        </w:rPr>
        <w:t>农科站、农科队、农科组。1972年3月各公社都设有农科站，每站有7人～10人不等；每个大队设农科队，每队5人～7人；每个生产队设农科组，每组3人～5人。通过三级农科网开展群众性科学实验活动。1981年，实行家庭联产承包责任制后，除各乡镇农技站保留1名～3名技术人员外，大队农科队、生产队农科组均自行解散，代之为农科联系户、示范户、高产户、专业户，每个乡镇设有3个～5个农科点。</w:t>
      </w:r>
    </w:p>
    <w:p w14:paraId="6C3467EC">
      <w:pPr>
        <w:pStyle w:val="5"/>
        <w:ind w:firstLine="602" w:firstLineChars="200"/>
        <w:rPr>
          <w:rFonts w:ascii="宋体" w:hAnsi="宋体" w:cs="宋体"/>
        </w:rPr>
      </w:pPr>
      <w:r>
        <w:rPr>
          <w:rFonts w:hint="eastAsia" w:ascii="宋体" w:hAnsi="宋体" w:cs="宋体"/>
        </w:rPr>
        <w:t>二、黄烟科研推广机构</w:t>
      </w:r>
    </w:p>
    <w:p w14:paraId="10920698">
      <w:pPr>
        <w:ind w:firstLine="420"/>
        <w:rPr>
          <w:rFonts w:ascii="宋体" w:hAnsi="宋体" w:cs="宋体"/>
        </w:rPr>
      </w:pPr>
      <w:r>
        <w:rPr>
          <w:rFonts w:hint="eastAsia" w:ascii="宋体" w:hAnsi="宋体" w:cs="宋体"/>
        </w:rPr>
        <w:t>南雄烟业促进会烟草试验场。民国37年（1948年）9月成立南雄烟业促进会烟草试验场，聘请中山大学农学院教授罗溥</w:t>
      </w:r>
      <w:r>
        <w:rPr>
          <w:rFonts w:hint="eastAsia" w:ascii="宋体" w:hAnsi="宋体" w:cs="宋体"/>
        </w:rPr>
        <w:drawing>
          <wp:inline distT="0" distB="0" distL="0" distR="0">
            <wp:extent cx="195580" cy="205105"/>
            <wp:effectExtent l="0" t="0" r="13970" b="444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a:xfrm>
                      <a:off x="0" y="0"/>
                      <a:ext cx="195580" cy="205105"/>
                    </a:xfrm>
                    <a:prstGeom prst="rect">
                      <a:avLst/>
                    </a:prstGeom>
                    <a:noFill/>
                    <a:ln>
                      <a:noFill/>
                    </a:ln>
                  </pic:spPr>
                </pic:pic>
              </a:graphicData>
            </a:graphic>
          </wp:inline>
        </w:drawing>
      </w:r>
      <w:r>
        <w:rPr>
          <w:rFonts w:hint="eastAsia" w:ascii="宋体" w:hAnsi="宋体" w:cs="宋体"/>
        </w:rPr>
        <w:t>兼任试验场主任，中山大学农学士易锡铎为副主任兼技师，有技术人员8人、工人30多人。场址在安平乡春风亭（今县烟草研究所），面积33.33多公顷。试验场成立当年，搜罗各国烟种40余品种进行试验，全县推广面积约2000公顷，试验场试验的结果不好，烟株大批“死头”。后因经费困难、时局动荡，于1949年10月停办。</w:t>
      </w:r>
    </w:p>
    <w:p w14:paraId="3F063524">
      <w:pPr>
        <w:ind w:firstLine="420"/>
        <w:rPr>
          <w:rFonts w:ascii="宋体" w:hAnsi="宋体" w:cs="宋体"/>
        </w:rPr>
      </w:pPr>
      <w:r>
        <w:rPr>
          <w:rFonts w:hint="eastAsia" w:ascii="宋体" w:hAnsi="宋体" w:cs="宋体"/>
        </w:rPr>
        <w:t>广东南雄烟草试验站。1963年底在原烟草试验场成立广东南雄烟草试验站，由省农业厅主办，县农业局代管，耕地面积26.67多公顷。1969年，省农业厅把烟草试验站下放给县农业局，合并于农科所，改为黄烟试验组。1973年，县革命委员会恢复南雄黄烟试验站，由农业局管辖，有干部6人，职工24人。1983年划归烟草公司管辖。</w:t>
      </w:r>
    </w:p>
    <w:p w14:paraId="0C11E031">
      <w:pPr>
        <w:ind w:firstLine="420"/>
        <w:rPr>
          <w:rFonts w:ascii="宋体" w:hAnsi="宋体" w:cs="宋体"/>
        </w:rPr>
      </w:pPr>
      <w:r>
        <w:rPr>
          <w:rFonts w:hint="eastAsia" w:ascii="宋体" w:hAnsi="宋体" w:cs="宋体"/>
        </w:rPr>
        <w:t>南雄市（县）烟草研究所。1987年6月，黄烟试验站改为南雄县烟草研究所，升格为副科级单位。高级农艺师李天平任副所长，干部9人，职工35人。同年8月划归省烟草公司。1997年11月划归广东省烟草公司和南雄市烟草公司共同管理，研究经费由两家五五比例分担。1999年，定位为广东省烟草公司企业属下的研究机构，更名为广东省烟草科学研究所，并委托广东烟草南雄有限公司代管。下设技术研究室、技术推广服务部、良种繁育生产厂。2004年有工作人员37人，其中专业技术人员24人，固定资产500万元</w:t>
      </w:r>
    </w:p>
    <w:p w14:paraId="1953ACEE">
      <w:pPr>
        <w:pStyle w:val="5"/>
        <w:rPr>
          <w:rFonts w:ascii="宋体" w:hAnsi="宋体" w:cs="宋体"/>
        </w:rPr>
      </w:pPr>
      <w:r>
        <w:rPr>
          <w:rFonts w:hint="eastAsia" w:ascii="宋体" w:hAnsi="宋体" w:cs="宋体"/>
        </w:rPr>
        <w:t>三、水土保持科研推广机构</w:t>
      </w:r>
    </w:p>
    <w:p w14:paraId="5258CD66">
      <w:pPr>
        <w:ind w:firstLine="420"/>
        <w:rPr>
          <w:rFonts w:ascii="宋体" w:hAnsi="宋体" w:cs="宋体"/>
        </w:rPr>
      </w:pPr>
      <w:r>
        <w:rPr>
          <w:rFonts w:hint="eastAsia" w:ascii="宋体" w:hAnsi="宋体" w:cs="宋体"/>
        </w:rPr>
        <w:t>1955年，南雄县成立水源林营造站，站址设在一区太和乡。1956年冬，广东省水利厅在水源林营造站建立韶关专区水土保持试验推广站、归韶关专区水电局管理。1969年8月，该站移交南雄县管理，改名为南雄水土保持试验推广站。1984年8月，南雄县绿化水保委员会成立，下辖南雄水土保持站（太和）、巾子岭水土保持试验推广站、黄坑水土保持工作站、附城水土保持工作站。1991年6月，绿化水保委员会分开为绿化办和水保办。2001年机构改革后，水保办为正科级事业单位，定编16人，基层事业编制87人。下属基层有市水保站、巾子岭水土保持试验推广站、黄坑水保工作站、附城水保工作站、水保执法站和南坑口扶贫电站。</w:t>
      </w:r>
    </w:p>
    <w:p w14:paraId="7ED075FE">
      <w:pPr>
        <w:pStyle w:val="5"/>
        <w:rPr>
          <w:rFonts w:ascii="宋体" w:hAnsi="宋体" w:cs="宋体"/>
        </w:rPr>
      </w:pPr>
      <w:r>
        <w:rPr>
          <w:rFonts w:hint="eastAsia" w:ascii="宋体" w:hAnsi="宋体" w:cs="宋体"/>
        </w:rPr>
        <w:t>四、林业科学研究所</w:t>
      </w:r>
    </w:p>
    <w:p w14:paraId="0E354DD7">
      <w:pPr>
        <w:ind w:firstLine="420"/>
        <w:rPr>
          <w:rFonts w:ascii="宋体" w:hAnsi="宋体" w:cs="宋体"/>
        </w:rPr>
      </w:pPr>
      <w:r>
        <w:rPr>
          <w:rFonts w:hint="eastAsia" w:ascii="宋体" w:hAnsi="宋体" w:cs="宋体"/>
        </w:rPr>
        <w:t>1965年，县林业局以莲社庵和铺背2个苗圃为基地，成立林业科学研究所。所址原在莲社庵，1984年迁铺背。1987年，林科所共有工作人员33人，其中助理工程师3人，技术人员4人。该所主要任务是选育当地优良树种，并从外地引种推广优良树种。2004年有工作人员40人，其中工程师1人，助理工程师2人，技术员2人。</w:t>
      </w:r>
    </w:p>
    <w:p w14:paraId="03C45641">
      <w:pPr>
        <w:pStyle w:val="5"/>
        <w:rPr>
          <w:rFonts w:ascii="宋体" w:hAnsi="宋体" w:cs="宋体"/>
        </w:rPr>
      </w:pPr>
      <w:r>
        <w:rPr>
          <w:rFonts w:hint="eastAsia" w:ascii="宋体" w:hAnsi="宋体" w:cs="宋体"/>
        </w:rPr>
        <w:t>五、畜牧水产技术推广机构</w:t>
      </w:r>
    </w:p>
    <w:p w14:paraId="662E9AA9">
      <w:pPr>
        <w:ind w:firstLine="420"/>
        <w:rPr>
          <w:rFonts w:ascii="宋体" w:hAnsi="宋体" w:cs="宋体"/>
        </w:rPr>
      </w:pPr>
      <w:r>
        <w:rPr>
          <w:rFonts w:hint="eastAsia" w:ascii="宋体" w:hAnsi="宋体" w:cs="宋体"/>
        </w:rPr>
        <w:t>1951年12月，在县城成立南雄县鱼苗技术推广站。后改为鱼苗繁殖场。1956年3月，在全安乡廓公岭成立南雄县畜牧技术指导站，归县农业科管理，有工作人员4人。1957年初迁至乌迳。1958年10月，建立南雄县水产畜牧局。各公社分别设立畜牧水产服务站，后更名为畜牧兽医站，各站有工作人员2人～4人。1983年，撤乌迳畜牧技术推广站，设立县畜禽良种繁育场。1997年3月，畜牧局改为畜牧管理总站，水产局改为水产管理总站。2001年12月，畜牧管理总站和水产管理总站合并为南雄市畜牧水产技术推广中心，为科级事业机构。中心有助理畜牧兽师13人，助理水产工程师1人。</w:t>
      </w:r>
    </w:p>
    <w:p w14:paraId="1F15B291">
      <w:pPr>
        <w:pStyle w:val="5"/>
        <w:rPr>
          <w:rFonts w:ascii="宋体" w:hAnsi="宋体" w:cs="宋体"/>
        </w:rPr>
      </w:pPr>
      <w:r>
        <w:rPr>
          <w:rFonts w:hint="eastAsia" w:ascii="宋体" w:hAnsi="宋体" w:cs="宋体"/>
        </w:rPr>
        <w:t>六、农机研究所</w:t>
      </w:r>
    </w:p>
    <w:p w14:paraId="7326DF78">
      <w:pPr>
        <w:ind w:firstLine="420"/>
        <w:rPr>
          <w:rFonts w:ascii="宋体" w:hAnsi="宋体" w:cs="宋体"/>
        </w:rPr>
      </w:pPr>
      <w:r>
        <w:rPr>
          <w:rFonts w:hint="eastAsia" w:ascii="宋体" w:hAnsi="宋体" w:cs="宋体"/>
        </w:rPr>
        <w:t>1972年3月，成立南雄县农机研究所，有工作人员6人，直属县农机局，负责推广与研究适合南雄农业的机具。1986年撤销。</w:t>
      </w:r>
    </w:p>
    <w:p w14:paraId="1E580F40">
      <w:pPr>
        <w:pStyle w:val="5"/>
        <w:rPr>
          <w:rFonts w:ascii="宋体" w:hAnsi="宋体" w:cs="宋体"/>
        </w:rPr>
      </w:pPr>
      <w:r>
        <w:rPr>
          <w:rFonts w:hint="eastAsia" w:ascii="宋体" w:hAnsi="宋体" w:cs="宋体"/>
        </w:rPr>
        <w:t>七、地震测报站</w:t>
      </w:r>
    </w:p>
    <w:p w14:paraId="423D0DFC">
      <w:pPr>
        <w:ind w:firstLine="420"/>
        <w:rPr>
          <w:rFonts w:ascii="宋体" w:hAnsi="宋体" w:cs="宋体"/>
        </w:rPr>
      </w:pPr>
      <w:r>
        <w:rPr>
          <w:rFonts w:hint="eastAsia" w:ascii="宋体" w:hAnsi="宋体" w:cs="宋体"/>
        </w:rPr>
        <w:t>1976年，在县科技局设立地震测报站，工作人员2人。1976年至1978年，设立观察点14处，安置简单的土地电仪，观察地电变化情况。1980年后，该站归县科委管理。1980年在县气象站安置1台地震观察仪，观察地应力、地温及地电变化情况。1986年至1999年在全安职业中学和梅岭兔场设立两处禽畜观察点。1999年撤梅岭养兔场禽畜观察点，在江头长尾设立新的禽畜观察点。</w:t>
      </w:r>
    </w:p>
    <w:p w14:paraId="4A757706">
      <w:pPr>
        <w:pStyle w:val="4"/>
        <w:rPr>
          <w:rFonts w:ascii="宋体" w:hAnsi="宋体" w:cs="宋体"/>
        </w:rPr>
      </w:pPr>
      <w:r>
        <w:rPr>
          <w:rFonts w:hint="eastAsia" w:ascii="宋体" w:hAnsi="宋体" w:cs="宋体"/>
        </w:rPr>
        <w:t>第三节  科技成果</w:t>
      </w:r>
    </w:p>
    <w:p w14:paraId="742BD7FB">
      <w:pPr>
        <w:pStyle w:val="5"/>
        <w:rPr>
          <w:rFonts w:ascii="宋体" w:hAnsi="宋体" w:cs="宋体"/>
        </w:rPr>
      </w:pPr>
      <w:r>
        <w:rPr>
          <w:rFonts w:hint="eastAsia" w:ascii="宋体" w:hAnsi="宋体" w:cs="宋体"/>
        </w:rPr>
        <w:t>一、工业科技成果</w:t>
      </w:r>
    </w:p>
    <w:p w14:paraId="61DCB59A">
      <w:pPr>
        <w:ind w:firstLine="422"/>
        <w:rPr>
          <w:rFonts w:ascii="宋体" w:hAnsi="宋体" w:cs="宋体"/>
        </w:rPr>
      </w:pPr>
      <w:r>
        <w:rPr>
          <w:rFonts w:hint="eastAsia" w:ascii="宋体" w:hAnsi="宋体" w:cs="宋体"/>
          <w:b/>
          <w:bCs/>
        </w:rPr>
        <w:t>1.6Y-200型65吨液压榨油机试制与推广</w:t>
      </w:r>
      <w:r>
        <w:rPr>
          <w:rFonts w:hint="eastAsia" w:ascii="宋体" w:hAnsi="宋体" w:cs="宋体"/>
        </w:rPr>
        <w:t>。该机是广东省农机研究所采用液压装置和预榨装置而设计的新型榨油机。1985年，由南雄县通用机械厂试制和组织试验。该机与农村广泛使用的木榨和180型手摇榨油机对比，生产效率分别提高4倍和2倍。连续3年批量生产，销往本省各地以及江西、湖南等省。</w:t>
      </w:r>
    </w:p>
    <w:p w14:paraId="508FBC01">
      <w:pPr>
        <w:ind w:firstLine="422"/>
        <w:rPr>
          <w:rFonts w:ascii="宋体" w:hAnsi="宋体" w:cs="宋体"/>
        </w:rPr>
      </w:pPr>
      <w:r>
        <w:rPr>
          <w:rFonts w:hint="eastAsia" w:ascii="宋体" w:hAnsi="宋体" w:cs="宋体"/>
          <w:b/>
          <w:bCs/>
        </w:rPr>
        <w:t>2.研制1—00型家用烤烟机</w:t>
      </w:r>
      <w:r>
        <w:rPr>
          <w:rFonts w:hint="eastAsia" w:ascii="宋体" w:hAnsi="宋体" w:cs="宋体"/>
        </w:rPr>
        <w:t>。1983年，县农机研究所与韶关市农机研究所根据堆积烘烤原理，协同研究制成5H-100型家用烤烟机。该机既节省劳力，又能保证烤烟质量，还可综合利用于烤花生、稻谷等。因当时农村供电不稳定，未推广。</w:t>
      </w:r>
    </w:p>
    <w:p w14:paraId="04CFCF2A">
      <w:pPr>
        <w:ind w:firstLine="422"/>
        <w:rPr>
          <w:rFonts w:ascii="宋体" w:hAnsi="宋体" w:cs="宋体"/>
        </w:rPr>
      </w:pPr>
      <w:r>
        <w:rPr>
          <w:rFonts w:hint="eastAsia" w:ascii="宋体" w:hAnsi="宋体" w:cs="宋体"/>
          <w:b/>
          <w:bCs/>
        </w:rPr>
        <w:t>3.电渗析器试制</w:t>
      </w:r>
      <w:r>
        <w:rPr>
          <w:rFonts w:hint="eastAsia" w:ascii="宋体" w:hAnsi="宋体" w:cs="宋体"/>
        </w:rPr>
        <w:t>。1985年县通用机械厂引进外省水处理科研成果，试制电渗析器8台，销往牡丹江市。后因市场冷淡，未批量生产。</w:t>
      </w:r>
    </w:p>
    <w:p w14:paraId="5CE1CDE4">
      <w:pPr>
        <w:ind w:firstLine="422"/>
        <w:rPr>
          <w:rFonts w:ascii="宋体" w:hAnsi="宋体" w:cs="宋体"/>
        </w:rPr>
      </w:pPr>
      <w:r>
        <w:rPr>
          <w:rFonts w:hint="eastAsia" w:ascii="宋体" w:hAnsi="宋体" w:cs="宋体"/>
          <w:b/>
          <w:bCs/>
        </w:rPr>
        <w:t>4.雄鹰—3型手扶拖拉机试制</w:t>
      </w:r>
      <w:r>
        <w:rPr>
          <w:rFonts w:hint="eastAsia" w:ascii="宋体" w:hAnsi="宋体" w:cs="宋体"/>
        </w:rPr>
        <w:t>。该机是广东省农机研究所设计，1982年由南雄农机修造厂试制和组织试验成功的新型机。1983年5月通过省级鉴定。后因马力小，经济效益不佳，1984年停止生产。</w:t>
      </w:r>
    </w:p>
    <w:p w14:paraId="1A0AEECE">
      <w:pPr>
        <w:ind w:firstLine="422"/>
        <w:rPr>
          <w:rFonts w:ascii="宋体" w:hAnsi="宋体" w:cs="宋体"/>
        </w:rPr>
      </w:pPr>
      <w:r>
        <w:rPr>
          <w:rFonts w:hint="eastAsia" w:ascii="宋体" w:hAnsi="宋体" w:cs="宋体"/>
          <w:b/>
          <w:bCs/>
        </w:rPr>
        <w:t>5.研制小动力多用底盘割脱机</w:t>
      </w:r>
      <w:r>
        <w:rPr>
          <w:rFonts w:hint="eastAsia" w:ascii="宋体" w:hAnsi="宋体" w:cs="宋体"/>
        </w:rPr>
        <w:t>。南雄农机一厂1976年研制成功。该机集脱粒与禾秆铺放为一体，效率高，成本低，但由于没有解决难于通过深烂田的缺陷，故于1978年停止生产。</w:t>
      </w:r>
    </w:p>
    <w:p w14:paraId="5444B6C7">
      <w:pPr>
        <w:ind w:firstLine="422"/>
        <w:rPr>
          <w:rFonts w:ascii="宋体" w:hAnsi="宋体" w:cs="宋体"/>
        </w:rPr>
      </w:pPr>
      <w:r>
        <w:rPr>
          <w:rFonts w:hint="eastAsia" w:ascii="宋体" w:hAnsi="宋体" w:cs="宋体"/>
          <w:b/>
          <w:bCs/>
        </w:rPr>
        <w:t>6.沸腾锅炉烟道综合法除尘系统</w:t>
      </w:r>
      <w:r>
        <w:rPr>
          <w:rFonts w:hint="eastAsia" w:ascii="宋体" w:hAnsi="宋体" w:cs="宋体"/>
        </w:rPr>
        <w:t>。1982年，县氮肥厂与韶关地区化肥工业公司合作完成。主要特点：①圆满地解决了沸腾锅炉除尘工艺设备存在的难题，保证了长期正常运行。②除尘效果较好，一般情况烟囱排烟含尘浓度不超过300毫克／立方米。③经济效果较好，未见明显腐损。④阻力小（20毫米水柱～30毫米水柱）电耗低，与含容量相同、除尘效果相近的除尘装置比较，可降低电耗约50%，每台8t／h沸腾炉每年可节电10万千瓦时。⑤结构简单，用材少、运行可靠等，已在全国十几个省、市推广应用，1982年获广东省科技成果三等奖、韶关地区科技成果一等奖。</w:t>
      </w:r>
    </w:p>
    <w:p w14:paraId="7E1887D3">
      <w:pPr>
        <w:ind w:firstLine="422"/>
        <w:rPr>
          <w:rFonts w:ascii="宋体" w:hAnsi="宋体" w:cs="宋体"/>
        </w:rPr>
      </w:pPr>
      <w:r>
        <w:rPr>
          <w:rFonts w:hint="eastAsia" w:ascii="宋体" w:hAnsi="宋体" w:cs="宋体"/>
          <w:b/>
          <w:bCs/>
        </w:rPr>
        <w:t>7.全竹浆高级静电复印纸技术开发</w:t>
      </w:r>
      <w:r>
        <w:rPr>
          <w:rFonts w:hint="eastAsia" w:ascii="宋体" w:hAnsi="宋体" w:cs="宋体"/>
        </w:rPr>
        <w:t>。2002年至2003年，该项目由南雄市珠玑纸业有限公司开发成功，使全竹浆生产高级静电复印纸成为可能，填补了广东省内全竹浆生产高级办公纸项目的空白。</w:t>
      </w:r>
    </w:p>
    <w:p w14:paraId="7FEEA6ED">
      <w:pPr>
        <w:ind w:firstLine="422"/>
        <w:rPr>
          <w:rFonts w:ascii="宋体" w:hAnsi="宋体" w:cs="宋体"/>
        </w:rPr>
      </w:pPr>
      <w:r>
        <w:rPr>
          <w:rFonts w:hint="eastAsia" w:ascii="宋体" w:hAnsi="宋体" w:cs="宋体"/>
          <w:b/>
          <w:bCs/>
        </w:rPr>
        <w:t>8.ZM5型1880毫米长网造纸机烘干技术研究与应用</w:t>
      </w:r>
      <w:r>
        <w:rPr>
          <w:rFonts w:hint="eastAsia" w:ascii="宋体" w:hAnsi="宋体" w:cs="宋体"/>
        </w:rPr>
        <w:t>。①将原设计的10只烘缸五组传动改为12只烘缸二大组传动、减少传动点，增加干燥能力，满足生产胶版纸和静电纸的抄造要求；②增加表面施胶装置，纸张灰分量提高8%～10%，使纸张表面强度及印刷适印性明显提高；③改进原KS系列可控硅整流柜，用DBS高精度集成化大板系统替代，分列插件系统，提高系统可靠性、稳定性，年新增机制纸2000吨～2500吨。2001年获韶关市科技进步三等奖、南雄市科技进步一等奖。</w:t>
      </w:r>
    </w:p>
    <w:p w14:paraId="74DAC0D4">
      <w:pPr>
        <w:pStyle w:val="5"/>
        <w:rPr>
          <w:rFonts w:ascii="宋体" w:hAnsi="宋体" w:cs="宋体"/>
        </w:rPr>
      </w:pPr>
      <w:r>
        <w:rPr>
          <w:rFonts w:hint="eastAsia" w:ascii="宋体" w:hAnsi="宋体" w:cs="宋体"/>
        </w:rPr>
        <w:t>二、农业科技成果</w:t>
      </w:r>
    </w:p>
    <w:p w14:paraId="37736798">
      <w:pPr>
        <w:ind w:firstLine="422"/>
        <w:rPr>
          <w:rFonts w:ascii="宋体" w:hAnsi="宋体" w:cs="宋体"/>
          <w:b/>
          <w:bCs/>
        </w:rPr>
      </w:pPr>
      <w:r>
        <w:rPr>
          <w:rFonts w:hint="eastAsia" w:ascii="宋体" w:hAnsi="宋体" w:cs="宋体"/>
          <w:b/>
          <w:bCs/>
        </w:rPr>
        <w:t>（一）编撰《南雄县综合农业区划报告》</w:t>
      </w:r>
    </w:p>
    <w:p w14:paraId="485BC713">
      <w:pPr>
        <w:ind w:firstLine="420"/>
        <w:rPr>
          <w:rFonts w:ascii="宋体" w:hAnsi="宋体" w:cs="宋体"/>
        </w:rPr>
      </w:pPr>
      <w:r>
        <w:rPr>
          <w:rFonts w:hint="eastAsia" w:ascii="宋体" w:hAnsi="宋体" w:cs="宋体"/>
        </w:rPr>
        <w:t>1983年5月，县成立农业区划委员会，组织专业技术人员649人，分综合、农经、种植、气象、林业、水产畜牧、园艺、水利、水土保持、农机、乡镇企业、土地资源调查与土地利用规划12个专题，经3年努力，编写出《南雄县综合农业区划报告》，1986年获广东省农业区划办公室“优秀成果奖”。</w:t>
      </w:r>
    </w:p>
    <w:p w14:paraId="48710DB1">
      <w:pPr>
        <w:ind w:firstLine="422"/>
        <w:rPr>
          <w:rFonts w:ascii="宋体" w:hAnsi="宋体" w:cs="宋体"/>
        </w:rPr>
      </w:pPr>
      <w:r>
        <w:rPr>
          <w:rFonts w:hint="eastAsia" w:ascii="宋体" w:hAnsi="宋体" w:cs="宋体"/>
          <w:b/>
          <w:bCs/>
        </w:rPr>
        <w:t>（二）培育、引进、推广粮油优良品种</w:t>
      </w:r>
    </w:p>
    <w:p w14:paraId="13EAA0AF">
      <w:pPr>
        <w:ind w:firstLine="420"/>
        <w:rPr>
          <w:rFonts w:ascii="宋体" w:hAnsi="宋体" w:cs="宋体"/>
        </w:rPr>
      </w:pPr>
      <w:r>
        <w:rPr>
          <w:rFonts w:hint="eastAsia" w:ascii="宋体" w:hAnsi="宋体" w:cs="宋体"/>
        </w:rPr>
        <w:t>1.</w:t>
      </w:r>
      <w:r>
        <w:rPr>
          <w:rFonts w:hint="eastAsia" w:ascii="宋体" w:hAnsi="宋体" w:cs="宋体"/>
          <w:b/>
          <w:bCs/>
        </w:rPr>
        <w:t>水稻</w:t>
      </w:r>
      <w:r>
        <w:rPr>
          <w:rFonts w:hint="eastAsia" w:ascii="宋体" w:hAnsi="宋体" w:cs="宋体"/>
        </w:rPr>
        <w:t>。品种经过“高秆—中秆—矮秆—杂优”4个进化过程。1955年至1959年，推广高、中秆品种南特16号、早麻粘、大刚粘、潘宝石等。1960年至1976年，推广矮秆品种广场矮、珍珠矮、矮脚南特、雄晚52。1977年起，全面推广杂交水稻，品种有汕优、威优等。1987年，全县早、晚造基本实现“杂优化”、“良种化”，早造亩产381公斤，晚造亩产363公斤。自1995年引进D优162早熟品种，经6年推广，面积达24000公顷，亩产值增加72.72元，新增总产值2617万元。2002年获韶关市科技进步三等奖。</w:t>
      </w:r>
    </w:p>
    <w:p w14:paraId="18880F40">
      <w:pPr>
        <w:ind w:firstLine="420"/>
        <w:rPr>
          <w:rFonts w:ascii="宋体" w:hAnsi="宋体" w:cs="宋体"/>
        </w:rPr>
      </w:pPr>
      <w:r>
        <w:rPr>
          <w:rFonts w:hint="eastAsia" w:ascii="宋体" w:hAnsi="宋体" w:cs="宋体"/>
        </w:rPr>
        <w:t>1992年引进万利香、万家香、长丝粘、丰矮粘、云康粘等晚造优质米品种，在邓坊镇试种成功，一般亩产300公斤～400公斤，生育期120天～125天。1994年扩大到珠玑、主田等乡镇，种植万余亩。至1997年全市推广种植面积达6666.67公顷。市场价比常规稻高50%。</w:t>
      </w:r>
    </w:p>
    <w:p w14:paraId="2D809919">
      <w:pPr>
        <w:ind w:firstLine="420"/>
        <w:rPr>
          <w:rFonts w:ascii="宋体" w:hAnsi="宋体" w:cs="宋体"/>
        </w:rPr>
      </w:pPr>
      <w:r>
        <w:rPr>
          <w:rFonts w:hint="eastAsia" w:ascii="宋体" w:hAnsi="宋体" w:cs="宋体"/>
        </w:rPr>
        <w:t>2.</w:t>
      </w:r>
      <w:r>
        <w:rPr>
          <w:rFonts w:hint="eastAsia" w:ascii="宋体" w:hAnsi="宋体" w:cs="宋体"/>
          <w:b/>
          <w:bCs/>
        </w:rPr>
        <w:t>花生</w:t>
      </w:r>
      <w:r>
        <w:rPr>
          <w:rFonts w:hint="eastAsia" w:ascii="宋体" w:hAnsi="宋体" w:cs="宋体"/>
        </w:rPr>
        <w:t>。原只有蔓生型大直丝、细直丝、番鬼仔等。1961年，县农科所引种推广直生型花生品种造前珠豆、狮头企。1980年后，县农科所先后引种推广粤油116、粤油551、湛油、汕油27等。这些品种分枝结荚多，果大粒重，抗病性强。1989年8月，县农业局引进汕油523、71，试验结果平均亩产分别达232公斤和183公斤，1990年后，向全市推广。</w:t>
      </w:r>
    </w:p>
    <w:p w14:paraId="130CC397">
      <w:pPr>
        <w:ind w:firstLine="420"/>
        <w:rPr>
          <w:rFonts w:ascii="宋体" w:hAnsi="宋体" w:cs="宋体"/>
        </w:rPr>
      </w:pPr>
      <w:r>
        <w:rPr>
          <w:rFonts w:hint="eastAsia" w:ascii="宋体" w:hAnsi="宋体" w:cs="宋体"/>
        </w:rPr>
        <w:t>3.</w:t>
      </w:r>
      <w:r>
        <w:rPr>
          <w:rFonts w:hint="eastAsia" w:ascii="宋体" w:hAnsi="宋体" w:cs="宋体"/>
          <w:b/>
          <w:bCs/>
        </w:rPr>
        <w:t>黄豆</w:t>
      </w:r>
      <w:r>
        <w:rPr>
          <w:rFonts w:hint="eastAsia" w:ascii="宋体" w:hAnsi="宋体" w:cs="宋体"/>
        </w:rPr>
        <w:t>。1959年以前只有8月黄豆、赤黄豆、阳山黄豆、4月黄豆。1961年后，县农科所先后引种推广大粒黄豆、细粒黄豆等良种。这些品种生势强，结荚多，饱果率高。</w:t>
      </w:r>
    </w:p>
    <w:p w14:paraId="24B1A725">
      <w:pPr>
        <w:ind w:firstLine="422"/>
        <w:rPr>
          <w:rFonts w:ascii="宋体" w:hAnsi="宋体" w:cs="宋体"/>
          <w:b/>
          <w:bCs/>
        </w:rPr>
      </w:pPr>
      <w:r>
        <w:rPr>
          <w:rFonts w:hint="eastAsia" w:ascii="宋体" w:hAnsi="宋体" w:cs="宋体"/>
          <w:b/>
          <w:bCs/>
        </w:rPr>
        <w:t>（三）粮油作物高产栽培技术试验推广</w:t>
      </w:r>
    </w:p>
    <w:p w14:paraId="353DDF2C">
      <w:pPr>
        <w:ind w:firstLine="422"/>
        <w:rPr>
          <w:rFonts w:ascii="宋体" w:hAnsi="宋体" w:cs="宋体"/>
        </w:rPr>
      </w:pPr>
      <w:r>
        <w:rPr>
          <w:rFonts w:hint="eastAsia" w:ascii="宋体" w:hAnsi="宋体" w:cs="宋体"/>
          <w:b/>
          <w:bCs/>
        </w:rPr>
        <w:t>1.双季杂优高产栽培技术试验推广</w:t>
      </w:r>
      <w:r>
        <w:rPr>
          <w:rFonts w:hint="eastAsia" w:ascii="宋体" w:hAnsi="宋体" w:cs="宋体"/>
        </w:rPr>
        <w:t>。1985年起，县农业局进行双季杂优高产栽培试验，增产效果显著，制定出《杂交稻高产栽培技术规程》，推广成功。1989年全县早、晚稻亩产均达400公斤以上。1989年8月县农业局以及农艺师彭尚权、罗木泉分别获国家农业部杂交稻丰产栽培配套技术推广二等奖。</w:t>
      </w:r>
    </w:p>
    <w:p w14:paraId="4D70DC2C">
      <w:pPr>
        <w:ind w:firstLine="422"/>
        <w:rPr>
          <w:rFonts w:ascii="宋体" w:hAnsi="宋体" w:cs="宋体"/>
        </w:rPr>
      </w:pPr>
      <w:r>
        <w:rPr>
          <w:rFonts w:hint="eastAsia" w:ascii="宋体" w:hAnsi="宋体" w:cs="宋体"/>
          <w:b/>
          <w:bCs/>
        </w:rPr>
        <w:t>2.水稻旱育稀植栽培新技术试验推广</w:t>
      </w:r>
      <w:r>
        <w:rPr>
          <w:rFonts w:hint="eastAsia" w:ascii="宋体" w:hAnsi="宋体" w:cs="宋体"/>
        </w:rPr>
        <w:t>。1992年晚造示范面积16.67公顷，平均亩产502.3公斤，亩增产67.2公斤，至1996年，全市推广面积7000公顷。1997年市农业局被国家农业部授予三等先进单位。农业技术员罗木泉等20人获国家农业部三等奖。</w:t>
      </w:r>
    </w:p>
    <w:p w14:paraId="73D1979D">
      <w:pPr>
        <w:ind w:firstLine="422"/>
        <w:rPr>
          <w:rFonts w:ascii="宋体" w:hAnsi="宋体" w:cs="宋体"/>
        </w:rPr>
      </w:pPr>
      <w:r>
        <w:rPr>
          <w:rFonts w:hint="eastAsia" w:ascii="宋体" w:hAnsi="宋体" w:cs="宋体"/>
          <w:b/>
          <w:bCs/>
        </w:rPr>
        <w:t>3.推广水稻抛秧栽培技术。</w:t>
      </w:r>
      <w:r>
        <w:rPr>
          <w:rFonts w:hint="eastAsia" w:ascii="宋体" w:hAnsi="宋体" w:cs="宋体"/>
        </w:rPr>
        <w:t>1992年至1994年连续三年进行示范，1995年推广面积40公顷，1996年达1666.67公顷，1997年后，全市达到9666.67公顷，平均亩产达575公斤，比手插亩增收50公斤左右。</w:t>
      </w:r>
    </w:p>
    <w:p w14:paraId="3AAA8042">
      <w:pPr>
        <w:ind w:firstLine="422"/>
        <w:rPr>
          <w:rFonts w:ascii="宋体" w:hAnsi="宋体" w:cs="宋体"/>
        </w:rPr>
      </w:pPr>
      <w:r>
        <w:rPr>
          <w:rFonts w:hint="eastAsia" w:ascii="宋体" w:hAnsi="宋体" w:cs="宋体"/>
          <w:b/>
          <w:bCs/>
        </w:rPr>
        <w:t>4.花生规范化栽培高产试验。</w:t>
      </w:r>
      <w:r>
        <w:rPr>
          <w:rFonts w:hint="eastAsia" w:ascii="宋体" w:hAnsi="宋体" w:cs="宋体"/>
        </w:rPr>
        <w:t>1987年3月至8月，全安古塘村10户农户进行花生规范化栽培高产试验，面积1公顷，平均亩产201公斤，最高亩产335.5公斤。据此，农业部门制定出《花生亩产300公斤栽培技术规程》，在全县推广。1998年又进行花生地膜覆盖试验，2000年全市推广2000公顷，年亩产320公斤。</w:t>
      </w:r>
    </w:p>
    <w:p w14:paraId="7C19F571">
      <w:pPr>
        <w:ind w:firstLine="422"/>
        <w:rPr>
          <w:rFonts w:ascii="宋体" w:hAnsi="宋体" w:cs="宋体"/>
          <w:b/>
          <w:bCs/>
        </w:rPr>
      </w:pPr>
      <w:r>
        <w:rPr>
          <w:rFonts w:hint="eastAsia" w:ascii="宋体" w:hAnsi="宋体" w:cs="宋体"/>
          <w:b/>
          <w:bCs/>
        </w:rPr>
        <w:t>（四）黄烟科研</w:t>
      </w:r>
    </w:p>
    <w:p w14:paraId="08D752B2">
      <w:pPr>
        <w:ind w:firstLine="422"/>
        <w:rPr>
          <w:rFonts w:ascii="宋体" w:hAnsi="宋体" w:cs="宋体"/>
        </w:rPr>
      </w:pPr>
      <w:r>
        <w:rPr>
          <w:rFonts w:hint="eastAsia" w:ascii="宋体" w:hAnsi="宋体" w:cs="宋体"/>
          <w:b/>
          <w:bCs/>
        </w:rPr>
        <w:t>1.引进推广G28良种。</w:t>
      </w:r>
      <w:r>
        <w:rPr>
          <w:rFonts w:hint="eastAsia" w:ascii="宋体" w:hAnsi="宋体" w:cs="宋体"/>
        </w:rPr>
        <w:t>县烟草试验站1964年引进许金1号获得成功，推广2666.67公顷。1976年从中国农科院烟草研究所引进G28，经过原始材料圃3年观察，1979年至1981年正式参加品种比较试验，并在站内进行各种土壤试种观察，证明该品种有较大的适应性。3年平均G28比青梗烟产量增19.93%，均价增14.58%，产值增27.18%，内在品质均显著优于本地青梗和许金1号，并获得了栽培技术要点，1984年在全县推广。此项科研成果于1985年获广东省科学进步三等奖，韶关市科学技术进步一等奖。</w:t>
      </w:r>
    </w:p>
    <w:p w14:paraId="245D1EE0">
      <w:pPr>
        <w:ind w:firstLine="422"/>
        <w:rPr>
          <w:rFonts w:ascii="宋体" w:hAnsi="宋体" w:cs="宋体"/>
        </w:rPr>
      </w:pPr>
      <w:r>
        <w:rPr>
          <w:rFonts w:hint="eastAsia" w:ascii="宋体" w:hAnsi="宋体" w:cs="宋体"/>
          <w:b/>
          <w:bCs/>
        </w:rPr>
        <w:t>2.黄烟“单育四号”选育。</w:t>
      </w:r>
      <w:r>
        <w:rPr>
          <w:rFonts w:hint="eastAsia" w:ascii="宋体" w:hAnsi="宋体" w:cs="宋体"/>
        </w:rPr>
        <w:t>由南雄县科技局、南雄中学、县烟草试验站，黄坑农业技术推广站联合完成。1979年获全国青少年科技成果一等奖，1984年获韶关市科技成果一等奖。该项成果是采用花药离体培养技术育出的黄烟单育四号新品种，经大田试验，比青梗（本地当家种）增产20%左右，早熟7天～10天。</w:t>
      </w:r>
    </w:p>
    <w:p w14:paraId="0288BFD1">
      <w:pPr>
        <w:ind w:firstLine="422"/>
        <w:rPr>
          <w:rFonts w:ascii="宋体" w:hAnsi="宋体" w:cs="宋体"/>
        </w:rPr>
      </w:pPr>
      <w:r>
        <w:rPr>
          <w:rFonts w:hint="eastAsia" w:ascii="宋体" w:hAnsi="宋体" w:cs="宋体"/>
          <w:b/>
          <w:bCs/>
        </w:rPr>
        <w:t>3.打叶复烤设备改造及工艺应用研究。</w:t>
      </w:r>
      <w:r>
        <w:rPr>
          <w:rFonts w:hint="eastAsia" w:ascii="宋体" w:hAnsi="宋体" w:cs="宋体"/>
        </w:rPr>
        <w:t>烟草公司选取国外先进的马克达维基和格瑞劳风分机组合而成。整条生产线采用柔打细分、低温慢烤、自动打包二级爬压技术，对细叶消耗少，大中片率增加。其主要工艺指标参数达到或超过国家标准。与1997年改造前对比，每年增加产值2100万元，降耗节能350万元。2001年获韶关市科技进步二等奖、南雄市科技进步二等奖。</w:t>
      </w:r>
    </w:p>
    <w:p w14:paraId="64791914">
      <w:pPr>
        <w:ind w:firstLine="422"/>
        <w:rPr>
          <w:rFonts w:ascii="宋体" w:hAnsi="宋体" w:cs="宋体"/>
        </w:rPr>
      </w:pPr>
      <w:r>
        <w:rPr>
          <w:rFonts w:hint="eastAsia" w:ascii="宋体" w:hAnsi="宋体" w:cs="宋体"/>
          <w:b/>
          <w:bCs/>
        </w:rPr>
        <w:t>4.除芽通在烟草生产中的推广应用。</w:t>
      </w:r>
      <w:r>
        <w:rPr>
          <w:rFonts w:hint="eastAsia" w:ascii="宋体" w:hAnsi="宋体" w:cs="宋体"/>
        </w:rPr>
        <w:t>1993年引入美国氰胺公司生产的烟草抑芽剂进行试验示范，1997年开始大面积推广应用，抑芽效果普遍达到90%以上，烟叶亩产普遍增加8公斤～15公斤，亩产收人平均可增加65元～125元，并且每亩能节省3个劳动工时，亩成本只需8元～9元，投入产出比大。2001年获韶关市科技进步三等奖、南雄市科技进步二等奖。</w:t>
      </w:r>
    </w:p>
    <w:p w14:paraId="246A1FD2">
      <w:pPr>
        <w:ind w:firstLine="422"/>
        <w:rPr>
          <w:rFonts w:ascii="宋体" w:hAnsi="宋体" w:cs="宋体"/>
        </w:rPr>
      </w:pPr>
      <w:r>
        <w:rPr>
          <w:rFonts w:hint="eastAsia" w:ascii="宋体" w:hAnsi="宋体" w:cs="宋体"/>
          <w:b/>
          <w:bCs/>
        </w:rPr>
        <w:t>5.烟草青枯病综合防治技术。</w:t>
      </w:r>
      <w:r>
        <w:rPr>
          <w:rFonts w:hint="eastAsia" w:ascii="宋体" w:hAnsi="宋体" w:cs="宋体"/>
        </w:rPr>
        <w:t>该项目从1995年开始至1997年结束。经多年的推广应用验证，成效显著，使青枯病的发病率控制在6%以下，每年全省可减少该病造成的经济损失千万元以上。该成果1999年获韶关市科技进步二等奖，2000年获韶关市农业技术推广二等奖。</w:t>
      </w:r>
    </w:p>
    <w:p w14:paraId="06A5FB7D">
      <w:pPr>
        <w:ind w:firstLine="422"/>
        <w:rPr>
          <w:rFonts w:ascii="宋体" w:hAnsi="宋体" w:cs="宋体"/>
        </w:rPr>
      </w:pPr>
      <w:r>
        <w:rPr>
          <w:rFonts w:hint="eastAsia" w:ascii="宋体" w:hAnsi="宋体" w:cs="宋体"/>
          <w:b/>
          <w:bCs/>
        </w:rPr>
        <w:t>6.包衣种子生产加工和推广应用技术。</w:t>
      </w:r>
      <w:r>
        <w:rPr>
          <w:rFonts w:hint="eastAsia" w:ascii="宋体" w:hAnsi="宋体" w:cs="宋体"/>
        </w:rPr>
        <w:t>该课题从1994年开始至1999年结束。经过多年的试验研究和推广应用，已形成了从包衣种子的生产加工到包衣种子的育苗管理的整套技术措施。使用该技术后，烟苗的素质明显提高，每亩可净增加产值88.9元。</w:t>
      </w:r>
    </w:p>
    <w:p w14:paraId="1A234A3A">
      <w:pPr>
        <w:ind w:firstLine="422"/>
        <w:rPr>
          <w:rFonts w:ascii="宋体" w:hAnsi="宋体" w:cs="宋体"/>
        </w:rPr>
      </w:pPr>
      <w:r>
        <w:rPr>
          <w:rFonts w:hint="eastAsia" w:ascii="宋体" w:hAnsi="宋体" w:cs="宋体"/>
          <w:b/>
          <w:bCs/>
        </w:rPr>
        <w:t>7.广东省烤烟品种区域化试验研究。</w:t>
      </w:r>
      <w:r>
        <w:rPr>
          <w:rFonts w:hint="eastAsia" w:ascii="宋体" w:hAnsi="宋体" w:cs="宋体"/>
        </w:rPr>
        <w:t>该项目从1999年开始至2001年结束。经过几年的试验研究，先后选育出RG17、9032、9601等新品种，其产质量均达到或超过K326，得到了产区的认可和推广。</w:t>
      </w:r>
    </w:p>
    <w:p w14:paraId="6C69F6F4">
      <w:pPr>
        <w:ind w:firstLine="422"/>
        <w:rPr>
          <w:rFonts w:ascii="宋体" w:hAnsi="宋体" w:cs="宋体"/>
        </w:rPr>
      </w:pPr>
      <w:r>
        <w:rPr>
          <w:rFonts w:hint="eastAsia" w:ascii="宋体" w:hAnsi="宋体" w:cs="宋体"/>
          <w:b/>
          <w:bCs/>
        </w:rPr>
        <w:t>8.烤烟新品系选育研究。</w:t>
      </w:r>
      <w:r>
        <w:rPr>
          <w:rFonts w:hint="eastAsia" w:ascii="宋体" w:hAnsi="宋体" w:cs="宋体"/>
        </w:rPr>
        <w:t>该项目从1996年开始至2001年结束。经过几年的试验研究，选育出新品系“9601”。该品种产量高，烟叶外观质量好，上部叶易开片，每亩可增加产值150元，产质量优于当家品种K326。2002年该项目获韶关市科技进步二等奖。</w:t>
      </w:r>
    </w:p>
    <w:p w14:paraId="5A606CE6">
      <w:pPr>
        <w:ind w:firstLine="422"/>
        <w:rPr>
          <w:rFonts w:ascii="宋体" w:hAnsi="宋体" w:cs="宋体"/>
        </w:rPr>
      </w:pPr>
      <w:r>
        <w:rPr>
          <w:rFonts w:hint="eastAsia" w:ascii="宋体" w:hAnsi="宋体" w:cs="宋体"/>
          <w:b/>
          <w:bCs/>
        </w:rPr>
        <w:t>9.塑料托盘育苗的研究和推广应用技术。</w:t>
      </w:r>
      <w:r>
        <w:rPr>
          <w:rFonts w:hint="eastAsia" w:ascii="宋体" w:hAnsi="宋体" w:cs="宋体"/>
        </w:rPr>
        <w:t>该项目从1997年开始至2000年结束。该成果每年每亩可增加产值85.3元。该项目2002年获韶关市科技进步三等奖，广东省烟草专卖局科技进步二等奖。</w:t>
      </w:r>
    </w:p>
    <w:p w14:paraId="43CE7C31">
      <w:pPr>
        <w:ind w:firstLine="422"/>
        <w:rPr>
          <w:rFonts w:ascii="宋体" w:hAnsi="宋体" w:cs="宋体"/>
        </w:rPr>
      </w:pPr>
      <w:r>
        <w:rPr>
          <w:rFonts w:hint="eastAsia" w:ascii="宋体" w:hAnsi="宋体" w:cs="宋体"/>
          <w:b/>
          <w:bCs/>
        </w:rPr>
        <w:t>10.热风循环式烤房的引进改良和推广应用。</w:t>
      </w:r>
      <w:r>
        <w:rPr>
          <w:rFonts w:hint="eastAsia" w:ascii="宋体" w:hAnsi="宋体" w:cs="宋体"/>
        </w:rPr>
        <w:t>1999年从河南宝丰引进该技术，结合广东省的实际，进行了循环通道结构和烘烤使用技术的改良，形成了适合全省烤房结构的改造技术和适合全省鲜烟素质的烘烤操作技术。该项目的推广应用，极大地减少了挂灰、蒸片、青筋烟，显著地提高了烟叶的烘烤质量，每公斤干烟可增值1元以上。该研究成果达到了国内同类技术的先进水平。2003年获韶关市科技进步三等奖。</w:t>
      </w:r>
    </w:p>
    <w:p w14:paraId="3250BB98">
      <w:pPr>
        <w:ind w:firstLine="422"/>
        <w:rPr>
          <w:rFonts w:ascii="宋体" w:hAnsi="宋体" w:cs="宋体"/>
          <w:b/>
          <w:bCs/>
        </w:rPr>
      </w:pPr>
      <w:r>
        <w:rPr>
          <w:rFonts w:hint="eastAsia" w:ascii="宋体" w:hAnsi="宋体" w:cs="宋体"/>
          <w:b/>
          <w:bCs/>
        </w:rPr>
        <w:t>（五）香菇、黑木耳栽培技术和品种引进推广</w:t>
      </w:r>
    </w:p>
    <w:p w14:paraId="22918184">
      <w:pPr>
        <w:ind w:firstLine="420"/>
        <w:rPr>
          <w:rFonts w:ascii="宋体" w:hAnsi="宋体" w:cs="宋体"/>
        </w:rPr>
      </w:pPr>
      <w:r>
        <w:rPr>
          <w:rFonts w:hint="eastAsia" w:ascii="宋体" w:hAnsi="宋体" w:cs="宋体"/>
        </w:rPr>
        <w:t>南雄栽培香菇、黑木耳的习惯是在每年冬季至树木萌芽前，选择坐北朝南的山窝建菇场，把适合栽培的树砍倒，靠树枝本身蒸发部分水分后，削去树枝，留下树干，然后在树干两侧用斧交错砍花，再用树枝、树叶覆盖造成阴湿环境，待风雨自然传播香菇、木耳真菌孢子，至次年，树料长出香菇、木耳。这种栽培方法产量低，树木资源消耗大。1970年，县科委与南雄中学引进段木接种栽培香菇、木耳技术，试种食用菌成功，在全县推广，提早了香菇等食用菌投产期，产量比旧式栽培提高50%。1986年后，推广木糠袋料接种栽培取代段木接种栽培。引进香菇品种有：香九、广香、7401、7402、大光、K3、7901、L03，R02。引进黑木耳品种有：湖北省保康县保康黑木耳、上海微生物研究所杂交黑木耳、福建微生物研究所的AuS黑木耳、781和193V毛木耳、广西微生物研究所引进台湾种毛木耳。</w:t>
      </w:r>
    </w:p>
    <w:p w14:paraId="666C2110">
      <w:pPr>
        <w:pStyle w:val="5"/>
        <w:rPr>
          <w:rFonts w:ascii="宋体" w:hAnsi="宋体" w:cs="宋体"/>
        </w:rPr>
      </w:pPr>
      <w:r>
        <w:rPr>
          <w:rFonts w:hint="eastAsia" w:ascii="宋体" w:hAnsi="宋体" w:cs="宋体"/>
        </w:rPr>
        <w:t>三、畜牧水产科技成果</w:t>
      </w:r>
    </w:p>
    <w:p w14:paraId="778B22DD">
      <w:pPr>
        <w:ind w:firstLine="422"/>
        <w:rPr>
          <w:rFonts w:ascii="宋体" w:hAnsi="宋体" w:cs="宋体"/>
          <w:b/>
          <w:bCs/>
        </w:rPr>
      </w:pPr>
      <w:r>
        <w:rPr>
          <w:rFonts w:hint="eastAsia" w:ascii="宋体" w:hAnsi="宋体" w:cs="宋体"/>
          <w:b/>
          <w:bCs/>
        </w:rPr>
        <w:t>（一）长白杂交猪的推广</w:t>
      </w:r>
    </w:p>
    <w:p w14:paraId="1C1DE41B">
      <w:pPr>
        <w:ind w:firstLine="420"/>
        <w:rPr>
          <w:rFonts w:ascii="宋体" w:hAnsi="宋体" w:cs="宋体"/>
        </w:rPr>
      </w:pPr>
      <w:r>
        <w:rPr>
          <w:rFonts w:hint="eastAsia" w:ascii="宋体" w:hAnsi="宋体" w:cs="宋体"/>
        </w:rPr>
        <w:t>南雄从1978年以来，先后从外地引进丹麦系长白良种公猪，与本地母猪杂交，所产猪仔60日龄为12.84公斤，比本地猪多增2.84公斤；日增464克，比本地猪多39克。长白杂交猪耗饲料比本地猪节省36.8公斤，屠宰率比本地猪增9.6%，瘦肉率47.85%，比本地猪多1.59%。1987年，全县饲养长白杂交猪32.15万头，出栏10.875万头。1985年，全县猪的杂交面已达70%。1997年累计全县引进外国公猪一长白约克共226头。国家级良种太湖黑母猪2246头，全市猪的杂交面达95%以上。</w:t>
      </w:r>
    </w:p>
    <w:p w14:paraId="075987F4">
      <w:pPr>
        <w:ind w:firstLine="420"/>
        <w:rPr>
          <w:rFonts w:ascii="宋体" w:hAnsi="宋体" w:cs="宋体"/>
        </w:rPr>
      </w:pPr>
      <w:r>
        <w:rPr>
          <w:rFonts w:hint="eastAsia" w:ascii="宋体" w:hAnsi="宋体" w:cs="宋体"/>
        </w:rPr>
        <w:t>1995年前，南雄饲养的生猪多为二元杂交猪，头大、肚大、脚大、肥肉多，翠屏实业有限公司先后在珠玑、主田镇兴建了三元杂交良种猪场。种源由广三保养猪有限公司种猪场提供，计有杜洛克、大白、长白3个品种。1997年，该公司饲养种猪1500头，年产三元杂交商品猪苗3万头，163天可达90公斤，瘦肉率高达67%。</w:t>
      </w:r>
    </w:p>
    <w:p w14:paraId="38E770A0">
      <w:pPr>
        <w:ind w:firstLine="422"/>
        <w:rPr>
          <w:rFonts w:ascii="宋体" w:hAnsi="宋体" w:cs="宋体"/>
          <w:b/>
          <w:bCs/>
        </w:rPr>
      </w:pPr>
      <w:r>
        <w:rPr>
          <w:rFonts w:hint="eastAsia" w:ascii="宋体" w:hAnsi="宋体" w:cs="宋体"/>
          <w:b/>
          <w:bCs/>
        </w:rPr>
        <w:t>（二）乌迳猪选育</w:t>
      </w:r>
    </w:p>
    <w:p w14:paraId="214AB0A4">
      <w:pPr>
        <w:ind w:firstLine="420"/>
        <w:rPr>
          <w:rFonts w:ascii="宋体" w:hAnsi="宋体" w:cs="宋体"/>
        </w:rPr>
      </w:pPr>
      <w:r>
        <w:rPr>
          <w:rFonts w:hint="eastAsia" w:ascii="宋体" w:hAnsi="宋体" w:cs="宋体"/>
        </w:rPr>
        <w:t>据《南雄府志》（明嘉靖版）等史料载，乌迳猪形成于唐代，是中原人民南迁带来华中型猪与本地猪杂交而成，是广东省的良种猪。该猪体型大，躯长，背腰平直，后躯略微倾斜，俗称“担杆腰”，腹部大而拖地，俗称“鲤鱼肚”。一般出栏猪体长103.4厘米～129.3厘米，胸围99.3厘米～116.11厘米，体高52厘米～68.5厘米，奶头多有12枚，四肢粗壮有力，蹄与系部结合良好，“寿”字头，耳大下垂，呈“八”字形。生长发育快，耐粗食，饲料报酬高，一般农户饲养月增7公斤～10公斤，饲养10个月~12个月，体重可达90公斤～100公斤，屠宰率为65.2%。</w:t>
      </w:r>
    </w:p>
    <w:p w14:paraId="27E6B412">
      <w:pPr>
        <w:ind w:firstLine="420"/>
        <w:rPr>
          <w:rFonts w:ascii="宋体" w:hAnsi="宋体" w:cs="宋体"/>
        </w:rPr>
      </w:pPr>
      <w:r>
        <w:rPr>
          <w:rFonts w:hint="eastAsia" w:ascii="宋体" w:hAnsi="宋体" w:cs="宋体"/>
        </w:rPr>
        <w:t>乌迳猪由于饲养历史长，曾一度退化。1963年4月，南雄县乌迳猪育种辅导站成立，开展乌迳猪选育工作，将特等、一等猪集中，建立育种核心群。1987年，全县选育600多头。此外，还选育后备公猪200多头，母猪4000多头，保持了乌迳猪的优良特性。</w:t>
      </w:r>
    </w:p>
    <w:p w14:paraId="7BE9A6A8">
      <w:pPr>
        <w:ind w:firstLine="422"/>
        <w:rPr>
          <w:rFonts w:ascii="宋体" w:hAnsi="宋体" w:cs="宋体"/>
          <w:b/>
          <w:bCs/>
        </w:rPr>
      </w:pPr>
      <w:r>
        <w:rPr>
          <w:rFonts w:hint="eastAsia" w:ascii="宋体" w:hAnsi="宋体" w:cs="宋体"/>
          <w:b/>
          <w:bCs/>
        </w:rPr>
        <w:t>（三）鱼苗孵化</w:t>
      </w:r>
    </w:p>
    <w:p w14:paraId="490BA623">
      <w:pPr>
        <w:ind w:firstLine="420"/>
        <w:rPr>
          <w:rFonts w:ascii="宋体" w:hAnsi="宋体" w:cs="宋体"/>
        </w:rPr>
      </w:pPr>
      <w:r>
        <w:rPr>
          <w:rFonts w:hint="eastAsia" w:ascii="宋体" w:hAnsi="宋体" w:cs="宋体"/>
        </w:rPr>
        <w:t>1959年4月，省水产局技术员邓新华与县鱼苗场职工卢汉、李浩章采用网箱人工授精孵化法，首批孵出鲢花23万尾，获广东省专项科技奖。1960年、1964年分别对鳙、鲩繁育成功。1976年后，县鱼苗场和油山、全安、珠玑、湖口公社鱼苗场，都先后掌握了三大家鱼环道自然产卵孵化新技术，实现了三大家鱼自繁、自育、自给。1987年，外售家鱼种苗1000多万尾。</w:t>
      </w:r>
    </w:p>
    <w:p w14:paraId="7B2CA01C">
      <w:pPr>
        <w:ind w:firstLine="422"/>
        <w:rPr>
          <w:rFonts w:ascii="宋体" w:hAnsi="宋体" w:cs="宋体"/>
          <w:b/>
          <w:bCs/>
        </w:rPr>
      </w:pPr>
      <w:r>
        <w:rPr>
          <w:rFonts w:hint="eastAsia" w:ascii="宋体" w:hAnsi="宋体" w:cs="宋体"/>
          <w:b/>
          <w:bCs/>
        </w:rPr>
        <w:t>（四）稻田养鱼示范</w:t>
      </w:r>
    </w:p>
    <w:p w14:paraId="67C82237">
      <w:pPr>
        <w:ind w:firstLine="420"/>
        <w:rPr>
          <w:rFonts w:ascii="宋体" w:hAnsi="宋体" w:cs="宋体"/>
        </w:rPr>
      </w:pPr>
      <w:r>
        <w:rPr>
          <w:rFonts w:hint="eastAsia" w:ascii="宋体" w:hAnsi="宋体" w:cs="宋体"/>
        </w:rPr>
        <w:t>1985年，县水产局在孔江乡和大塘镇上朔村进行稻田养鱼高产示范试验，面积160公顷，鱼种有易生、快长、周期短的革胡子鲶、丰鲤、异育银鲫、福寿鱼等。每亩平均产食用鱼75公斤～100公斤，或亩培育大规格鱼种300～500尾。稻田养鱼后，鱼吃田间害虫，减少病虫害发生；鱼在稻田中回游，又促进禾苗分蘖发育，鱼粪又是禾苗肥料，达到鱼、粮双丰收。该试验获韶关市水产处“稻田养鱼推广奖”。1996年，团市委、水产局指导全安河塘村36户农户稻田养鱼，面积3.08公顷，投放塘虱苗38000尾，3个月后，收虱鱼2261.5公斤，亩产49公斤，亩增稻谷36公斤。</w:t>
      </w:r>
    </w:p>
    <w:p w14:paraId="475C4F22">
      <w:pPr>
        <w:ind w:firstLine="422"/>
        <w:rPr>
          <w:rFonts w:ascii="宋体" w:hAnsi="宋体" w:cs="宋体"/>
          <w:b/>
          <w:bCs/>
        </w:rPr>
      </w:pPr>
      <w:r>
        <w:rPr>
          <w:rFonts w:hint="eastAsia" w:ascii="宋体" w:hAnsi="宋体" w:cs="宋体"/>
          <w:b/>
          <w:bCs/>
        </w:rPr>
        <w:t>（五）网箱养鱼试验</w:t>
      </w:r>
    </w:p>
    <w:p w14:paraId="3F375B5B">
      <w:pPr>
        <w:ind w:firstLine="420"/>
        <w:rPr>
          <w:rFonts w:ascii="宋体" w:hAnsi="宋体" w:cs="宋体"/>
        </w:rPr>
      </w:pPr>
      <w:r>
        <w:rPr>
          <w:rFonts w:hint="eastAsia" w:ascii="宋体" w:hAnsi="宋体" w:cs="宋体"/>
        </w:rPr>
        <w:t>1980年7月，孔江水库干部梁维新设计制成7个196平方米的网箱在孔江水库进行投饵养鱼试验。投放9朝～9.5朝鳙、鲢鱼苗（少量鲩、鲤苗）共31200尾，经107天养殖，出箱放入水库，其中3厘米以上鱼苗达3850尾，11朝～12朝鱼苗14460尾，11朝以下鱼苗4000尾。之后，选择11朝以下的3500尾鳙、鲢鱼放入一个网箱养殖，至次年6月16日，历经230天的越冬、春试验，并在无投饵、无人管的情况下，出箱1450尾，3厘米以上规格占放养量的41.4%。这两个周期的养殖试验成功，在韶关地区属首次。1998年6月，水电局干部刘军龙在宝江水库用72只网箱进行成鱼养殖，主要养殖彭泽鲫和叉尾优质鱼类，获得成功。同年4月，横江水库用网箱标粗鱼苗也获得成功，培育鲢鳙鱼种1万尾，成活率达87%。</w:t>
      </w:r>
    </w:p>
    <w:p w14:paraId="73B55515">
      <w:pPr>
        <w:ind w:firstLine="422"/>
        <w:rPr>
          <w:rFonts w:ascii="宋体" w:hAnsi="宋体" w:cs="宋体"/>
          <w:b/>
          <w:bCs/>
        </w:rPr>
      </w:pPr>
      <w:r>
        <w:rPr>
          <w:rFonts w:hint="eastAsia" w:ascii="宋体" w:hAnsi="宋体" w:cs="宋体"/>
          <w:b/>
          <w:bCs/>
        </w:rPr>
        <w:t>（六）笼式张网创制推广</w:t>
      </w:r>
    </w:p>
    <w:p w14:paraId="7CF79783">
      <w:pPr>
        <w:ind w:firstLine="420"/>
        <w:rPr>
          <w:rFonts w:ascii="宋体" w:hAnsi="宋体" w:cs="宋体"/>
        </w:rPr>
      </w:pPr>
      <w:r>
        <w:rPr>
          <w:rFonts w:hint="eastAsia" w:ascii="宋体" w:hAnsi="宋体" w:cs="宋体"/>
        </w:rPr>
        <w:t>1971年，孔江水库引进浙江赶、拦、刺、张联合渔具渔法，由于长年捕捞影响鱼类生长。1982年春，梁维新根据水库捕鱼的需要，利用鱼类回游规律，把原拦网改装成笼式张网。这种笼式张网，由身网和翼网组成，身网部分有前箱、八字网、舌网、网袋和漏斗网。捕捞时，将笼式张网置于鱼类通道上，让鱼自动进入网袋。这种捕捞方法，能捕起水库主养的鳙、鲢及中下层草鱼、青鱼、鲮鱼、鲤鱼，并能控制网目大小，达到捕大留小的效果。1983年，在全县各水库推广。</w:t>
      </w:r>
    </w:p>
    <w:p w14:paraId="3FCD70C9">
      <w:pPr>
        <w:ind w:firstLine="422"/>
        <w:rPr>
          <w:rFonts w:ascii="宋体" w:hAnsi="宋体" w:cs="宋体"/>
          <w:b/>
          <w:bCs/>
        </w:rPr>
      </w:pPr>
      <w:r>
        <w:rPr>
          <w:rFonts w:hint="eastAsia" w:ascii="宋体" w:hAnsi="宋体" w:cs="宋体"/>
          <w:b/>
          <w:bCs/>
        </w:rPr>
        <w:t>（七）三杂交鲤引进推广</w:t>
      </w:r>
    </w:p>
    <w:p w14:paraId="09E26E16">
      <w:pPr>
        <w:ind w:firstLine="420"/>
        <w:rPr>
          <w:rFonts w:ascii="宋体" w:hAnsi="宋体" w:cs="宋体"/>
        </w:rPr>
      </w:pPr>
      <w:r>
        <w:rPr>
          <w:rFonts w:hint="eastAsia" w:ascii="宋体" w:hAnsi="宋体" w:cs="宋体"/>
        </w:rPr>
        <w:t>1986年4月，从梅县引进三杂交鲤苗试养，取得成功。平均成活率达74.2%，亩产22公斤～70公斤。1987年后，三杂交鲤在全县全面放养。</w:t>
      </w:r>
    </w:p>
    <w:p w14:paraId="5DE932E0">
      <w:pPr>
        <w:pStyle w:val="5"/>
        <w:rPr>
          <w:rFonts w:ascii="宋体" w:hAnsi="宋体" w:cs="宋体"/>
        </w:rPr>
      </w:pPr>
      <w:r>
        <w:rPr>
          <w:rFonts w:hint="eastAsia" w:ascii="宋体" w:hAnsi="宋体" w:cs="宋体"/>
        </w:rPr>
        <w:t>四、水电工程科技成果</w:t>
      </w:r>
    </w:p>
    <w:p w14:paraId="03D9E091">
      <w:pPr>
        <w:ind w:firstLine="422"/>
        <w:rPr>
          <w:rFonts w:ascii="宋体" w:hAnsi="宋体" w:cs="宋体"/>
        </w:rPr>
      </w:pPr>
      <w:r>
        <w:rPr>
          <w:rFonts w:hint="eastAsia" w:ascii="宋体" w:hAnsi="宋体" w:cs="宋体"/>
          <w:b/>
          <w:bCs/>
        </w:rPr>
        <w:t>木莲坝大跨度双拱渡槽工程</w:t>
      </w:r>
      <w:r>
        <w:rPr>
          <w:rFonts w:hint="eastAsia" w:ascii="宋体" w:hAnsi="宋体" w:cs="宋体"/>
        </w:rPr>
        <w:t xml:space="preserve">  由县水电局工程师黄国真设计，1978年1月动工，8月建成。渡槽全长180米，高21米，是目前南雄最大跨度的拱式渡槽。</w:t>
      </w:r>
    </w:p>
    <w:p w14:paraId="51C14676">
      <w:pPr>
        <w:ind w:firstLine="422"/>
        <w:rPr>
          <w:rFonts w:ascii="宋体" w:hAnsi="宋体" w:cs="宋体"/>
        </w:rPr>
      </w:pPr>
      <w:r>
        <w:rPr>
          <w:rFonts w:hint="eastAsia" w:ascii="宋体" w:hAnsi="宋体" w:cs="宋体"/>
          <w:b/>
          <w:bCs/>
        </w:rPr>
        <w:t>黄竹坪无筋双曲拱渡槽</w:t>
      </w:r>
      <w:r>
        <w:rPr>
          <w:rFonts w:hint="eastAsia" w:ascii="宋体" w:hAnsi="宋体" w:cs="宋体"/>
        </w:rPr>
        <w:t xml:space="preserve">  由县水电局技术员黄明炉负责设计施工，1978年5月动工，7月完成。槽壳筒支于墙上，全长73米。</w:t>
      </w:r>
    </w:p>
    <w:p w14:paraId="706F01FA">
      <w:pPr>
        <w:ind w:firstLine="422"/>
        <w:rPr>
          <w:rFonts w:ascii="宋体" w:hAnsi="宋体" w:cs="宋体"/>
        </w:rPr>
      </w:pPr>
      <w:r>
        <w:rPr>
          <w:rFonts w:hint="eastAsia" w:ascii="宋体" w:hAnsi="宋体" w:cs="宋体"/>
          <w:b/>
          <w:bCs/>
        </w:rPr>
        <w:t>樟岭坳石砌拱渡槽</w:t>
      </w:r>
      <w:r>
        <w:rPr>
          <w:rFonts w:hint="eastAsia" w:ascii="宋体" w:hAnsi="宋体" w:cs="宋体"/>
        </w:rPr>
        <w:t xml:space="preserve">  由县水电局技术员赖发勤设计施工，1979年9月动工，1980年1月完成。该渡槽采用石板拱先进经验，渡槽长104米。</w:t>
      </w:r>
    </w:p>
    <w:p w14:paraId="3808C41A">
      <w:pPr>
        <w:ind w:firstLine="422"/>
        <w:rPr>
          <w:rFonts w:ascii="宋体" w:hAnsi="宋体" w:cs="宋体"/>
        </w:rPr>
      </w:pPr>
      <w:r>
        <w:rPr>
          <w:rFonts w:hint="eastAsia" w:ascii="宋体" w:hAnsi="宋体" w:cs="宋体"/>
          <w:b/>
          <w:bCs/>
        </w:rPr>
        <w:t>瀑布水库土坝除险加固工程</w:t>
      </w:r>
      <w:r>
        <w:rPr>
          <w:rFonts w:hint="eastAsia" w:ascii="宋体" w:hAnsi="宋体" w:cs="宋体"/>
        </w:rPr>
        <w:t xml:space="preserve">  1983年3月28日凌晨2点，瀑布水库土坝右侧背水坡发生滑坡，面积达2912平方米，滑坡最大深度达8米，总滑动土方11648立方米，滑坡最宽处达60米，约占坝顶长度的1/3。该工程于1984年4月动工，1985年12月竣工。采取截、引、导、排相结合的技术措施，首次将排水廊道用于土坝工程中。该工程被广东省水电厅评为1989年度优质工程和韶关市农业技术推广二等奖。</w:t>
      </w:r>
    </w:p>
    <w:p w14:paraId="4FE02567">
      <w:pPr>
        <w:ind w:firstLine="422"/>
        <w:rPr>
          <w:rFonts w:ascii="宋体" w:hAnsi="宋体" w:cs="宋体"/>
        </w:rPr>
      </w:pPr>
      <w:r>
        <w:rPr>
          <w:rFonts w:hint="eastAsia" w:ascii="宋体" w:hAnsi="宋体" w:cs="宋体"/>
          <w:b/>
          <w:bCs/>
        </w:rPr>
        <w:t xml:space="preserve">头渡渡槽工程建设 </w:t>
      </w:r>
      <w:r>
        <w:rPr>
          <w:rFonts w:hint="eastAsia" w:ascii="宋体" w:hAnsi="宋体" w:cs="宋体"/>
        </w:rPr>
        <w:t xml:space="preserve"> 1987年11月动工，1988年10月竣工。渡槽的支承结构，采用“工”字形夺截面立柱A型排架和变截面空腹立柱；排架、槽壳现场浇筑，一次成型，采用“人”字木扒杆土法吊装法；跨河段槽墩基础开挖衬砌，采用沉箱施工法。该工程预制件吊装的应用和渡槽的设计与施工，分别获得韶关市1991年农业技术推广二等奖。</w:t>
      </w:r>
    </w:p>
    <w:p w14:paraId="1A23F03E">
      <w:pPr>
        <w:pStyle w:val="5"/>
        <w:rPr>
          <w:rFonts w:ascii="宋体" w:hAnsi="宋体" w:cs="宋体"/>
        </w:rPr>
      </w:pPr>
      <w:r>
        <w:rPr>
          <w:rFonts w:hint="eastAsia" w:ascii="宋体" w:hAnsi="宋体" w:cs="宋体"/>
        </w:rPr>
        <w:t>五、水土保持科技成果</w:t>
      </w:r>
    </w:p>
    <w:p w14:paraId="587E1826">
      <w:pPr>
        <w:ind w:firstLine="422"/>
        <w:rPr>
          <w:rFonts w:ascii="宋体" w:hAnsi="宋体" w:cs="宋体"/>
        </w:rPr>
      </w:pPr>
      <w:r>
        <w:rPr>
          <w:rFonts w:hint="eastAsia" w:ascii="宋体" w:hAnsi="宋体" w:cs="宋体"/>
          <w:b/>
          <w:bCs/>
        </w:rPr>
        <w:t>马尾松造林技术措施研究</w:t>
      </w:r>
      <w:r>
        <w:rPr>
          <w:rFonts w:hint="eastAsia" w:ascii="宋体" w:hAnsi="宋体" w:cs="宋体"/>
        </w:rPr>
        <w:t xml:space="preserve">  1957年，太和水保站对传统树种马尾松进行直播造林小穴法、大穴法、品字沟法试验研究。经20年生长比较，大穴法比小穴法好，品字沟埂法又比大穴法好。1959年至1964年进行深种与多株密植研究。两法比传统种植法成活率提高40%以上。</w:t>
      </w:r>
    </w:p>
    <w:p w14:paraId="4303473E">
      <w:pPr>
        <w:ind w:firstLine="422"/>
        <w:rPr>
          <w:rFonts w:ascii="宋体" w:hAnsi="宋体" w:cs="宋体"/>
        </w:rPr>
      </w:pPr>
      <w:r>
        <w:rPr>
          <w:rFonts w:hint="eastAsia" w:ascii="宋体" w:hAnsi="宋体" w:cs="宋体"/>
          <w:b/>
          <w:bCs/>
        </w:rPr>
        <w:t>红花夹竹桃插条造林研究</w:t>
      </w:r>
      <w:r>
        <w:rPr>
          <w:rFonts w:hint="eastAsia" w:ascii="宋体" w:hAnsi="宋体" w:cs="宋体"/>
        </w:rPr>
        <w:t xml:space="preserve">  1957年，太和水保站引进该品种进行插条种植研究。插条选取一二年生的浆液多的强壮枝条，用利刀削去嫩梢和叶片再截成段，每段约30厘米，切口下端削成斜形，即采即种，此法已在全县推广。</w:t>
      </w:r>
    </w:p>
    <w:p w14:paraId="1673C3F9">
      <w:pPr>
        <w:ind w:firstLine="422"/>
        <w:rPr>
          <w:rFonts w:ascii="宋体" w:hAnsi="宋体" w:cs="宋体"/>
        </w:rPr>
      </w:pPr>
      <w:r>
        <w:rPr>
          <w:rFonts w:hint="eastAsia" w:ascii="宋体" w:hAnsi="宋体" w:cs="宋体"/>
          <w:b/>
          <w:bCs/>
        </w:rPr>
        <w:t>新银合欢引种推广</w:t>
      </w:r>
      <w:r>
        <w:rPr>
          <w:rFonts w:hint="eastAsia" w:ascii="宋体" w:hAnsi="宋体" w:cs="宋体"/>
        </w:rPr>
        <w:t xml:space="preserve">  1981年在太和水保站少量试种，1983年9月与华南植物园合作，一共引种银合欢26个品种，试验面积达11.87公顷，在26个品种中筛选出适宜南雄县红砂岭生长的澳大利亚新银合欢和“K8”、“K156”3个品种。</w:t>
      </w:r>
    </w:p>
    <w:p w14:paraId="55EC710D">
      <w:pPr>
        <w:ind w:firstLine="422"/>
        <w:rPr>
          <w:rFonts w:ascii="宋体" w:hAnsi="宋体" w:cs="宋体"/>
        </w:rPr>
      </w:pPr>
      <w:r>
        <w:rPr>
          <w:rFonts w:hint="eastAsia" w:ascii="宋体" w:hAnsi="宋体" w:cs="宋体"/>
          <w:b/>
          <w:bCs/>
        </w:rPr>
        <w:t>湿地松引种推广</w:t>
      </w:r>
      <w:r>
        <w:rPr>
          <w:rFonts w:hint="eastAsia" w:ascii="宋体" w:hAnsi="宋体" w:cs="宋体"/>
        </w:rPr>
        <w:t xml:space="preserve">  1977年从昆明引种。1987年，全县种植湿地松1906.67公顷。</w:t>
      </w:r>
    </w:p>
    <w:p w14:paraId="3F0A2012">
      <w:pPr>
        <w:ind w:firstLine="422"/>
        <w:rPr>
          <w:rFonts w:ascii="宋体" w:hAnsi="宋体" w:cs="宋体"/>
        </w:rPr>
      </w:pPr>
      <w:r>
        <w:rPr>
          <w:rFonts w:hint="eastAsia" w:ascii="宋体" w:hAnsi="宋体" w:cs="宋体"/>
          <w:b/>
          <w:bCs/>
        </w:rPr>
        <w:t>黑荆引种研究</w:t>
      </w:r>
      <w:r>
        <w:rPr>
          <w:rFonts w:hint="eastAsia" w:ascii="宋体" w:hAnsi="宋体" w:cs="宋体"/>
        </w:rPr>
        <w:t xml:space="preserve">  1977年巾子岭引种0.67公顷，获得成功。至1987年全县种1000公顷。多数地方因选地过于贫瘠坚硬，加上管理水平跟不上，每亩投资仅10元～20元（一般要求100元～200元），水肥满足不了黑荆树生长的需要，生长不好。</w:t>
      </w:r>
    </w:p>
    <w:p w14:paraId="0E813DEF">
      <w:pPr>
        <w:pStyle w:val="5"/>
        <w:rPr>
          <w:rFonts w:ascii="宋体" w:hAnsi="宋体" w:cs="宋体"/>
        </w:rPr>
      </w:pPr>
      <w:r>
        <w:rPr>
          <w:rFonts w:hint="eastAsia" w:ascii="宋体" w:hAnsi="宋体" w:cs="宋体"/>
        </w:rPr>
        <w:t>六、卫生科技成果</w:t>
      </w:r>
    </w:p>
    <w:p w14:paraId="258016F2">
      <w:pPr>
        <w:ind w:firstLine="422"/>
        <w:rPr>
          <w:rFonts w:ascii="宋体" w:hAnsi="宋体" w:cs="宋体"/>
        </w:rPr>
      </w:pPr>
      <w:r>
        <w:rPr>
          <w:rFonts w:hint="eastAsia" w:ascii="宋体" w:hAnsi="宋体" w:cs="宋体"/>
          <w:b/>
          <w:bCs/>
        </w:rPr>
        <w:t xml:space="preserve">针麻技术的应用  </w:t>
      </w:r>
      <w:r>
        <w:rPr>
          <w:rFonts w:hint="eastAsia" w:ascii="宋体" w:hAnsi="宋体" w:cs="宋体"/>
        </w:rPr>
        <w:t>1973年至1979年，外科针麻普外手术在县人民医院全面开展。1977年8月，韶关地区在南雄召开针麻现场会，南雄县人民医院主治医师苏海权、罗细先等人现场作针麻下胃大部分切除手术成功。</w:t>
      </w:r>
    </w:p>
    <w:p w14:paraId="2DC2DDE2">
      <w:pPr>
        <w:ind w:firstLine="422"/>
        <w:rPr>
          <w:rFonts w:ascii="宋体" w:hAnsi="宋体" w:cs="宋体"/>
        </w:rPr>
      </w:pPr>
      <w:r>
        <w:rPr>
          <w:rFonts w:hint="eastAsia" w:ascii="宋体" w:hAnsi="宋体" w:cs="宋体"/>
          <w:b/>
          <w:bCs/>
        </w:rPr>
        <w:t xml:space="preserve">麻风病溃疡治疗研究 </w:t>
      </w:r>
      <w:r>
        <w:rPr>
          <w:rFonts w:hint="eastAsia" w:ascii="宋体" w:hAnsi="宋体" w:cs="宋体"/>
        </w:rPr>
        <w:t xml:space="preserve"> 1950年至1959年，一般用溃疡散外敷有效。溃疡散处方：密陀僧、梅片各3克，乳香15克，硃砂4.5克。1960年至1969年，则采取在溃疡口周围用20%普鲁卡因封闭疗法，外敷白糖胶布，效果尚可。1970年采用清除死骨，切除周围角化层，以利愈合。1980年后对新浅化溃疡用自制中药溃疡油、田七花酊剂或田七膏等外敷，效果明显。对老深性溃疡做扩创手术后，加注青霉素，外敷中药溃疡油、田七花酊剂或田七膏等亦有效果。</w:t>
      </w:r>
    </w:p>
    <w:p w14:paraId="18DB4A9A">
      <w:pPr>
        <w:pStyle w:val="5"/>
        <w:rPr>
          <w:rFonts w:ascii="宋体" w:hAnsi="宋体" w:cs="宋体"/>
        </w:rPr>
      </w:pPr>
      <w:r>
        <w:rPr>
          <w:rFonts w:hint="eastAsia" w:ascii="宋体" w:hAnsi="宋体" w:cs="宋体"/>
        </w:rPr>
        <w:t>七、节能科技成果</w:t>
      </w:r>
    </w:p>
    <w:p w14:paraId="09276FAF">
      <w:pPr>
        <w:ind w:firstLine="422"/>
        <w:rPr>
          <w:rFonts w:ascii="宋体" w:hAnsi="宋体" w:cs="宋体"/>
        </w:rPr>
      </w:pPr>
      <w:r>
        <w:rPr>
          <w:rFonts w:hint="eastAsia" w:ascii="宋体" w:hAnsi="宋体" w:cs="宋体"/>
          <w:b/>
          <w:bCs/>
        </w:rPr>
        <w:t>引进以煤代柴烧制青砖青瓦技术</w:t>
      </w:r>
      <w:r>
        <w:rPr>
          <w:rFonts w:hint="eastAsia" w:ascii="宋体" w:hAnsi="宋体" w:cs="宋体"/>
        </w:rPr>
        <w:t xml:space="preserve">  1985年，县“五改”办公室引进湖南用煤烧青砖青瓦的先进技术试验成功。至1987年，全县378座砖瓦窑全都改烧柴为烧煤。此项成果于1988年7月获韶关市科学技术进步三等奖。</w:t>
      </w:r>
    </w:p>
    <w:p w14:paraId="59023D92">
      <w:pPr>
        <w:ind w:firstLine="422"/>
        <w:rPr>
          <w:rFonts w:ascii="宋体" w:hAnsi="宋体" w:cs="宋体"/>
        </w:rPr>
      </w:pPr>
      <w:r>
        <w:rPr>
          <w:rFonts w:hint="eastAsia" w:ascii="宋体" w:hAnsi="宋体" w:cs="宋体"/>
          <w:b/>
          <w:bCs/>
        </w:rPr>
        <w:t xml:space="preserve">设计推广粤雄2号双连锅节燃灶 </w:t>
      </w:r>
      <w:r>
        <w:rPr>
          <w:rFonts w:hint="eastAsia" w:ascii="宋体" w:hAnsi="宋体" w:cs="宋体"/>
        </w:rPr>
        <w:t xml:space="preserve"> 1985年，县“五改”办公室针对农村旧式炉灶灶膛大，热能利用率低的缺点，设计粤雄2号双连锅节燃灶。该灶比旧式热效率提高1～2倍节约柴草55%以上。1987年，全县6.54万农户，改用该灶的有6.07万户，占总农户的92.4%。每年可节约木柴9.8万吨，相当于60000多公顷森林的年生长量。该灶的设计推广于1988年7月被韶关市科委评为科学技术进步二等奖。</w:t>
      </w:r>
    </w:p>
    <w:p w14:paraId="4ABC5896">
      <w:pPr>
        <w:ind w:firstLine="422"/>
        <w:rPr>
          <w:rFonts w:ascii="宋体" w:hAnsi="宋体" w:cs="宋体"/>
        </w:rPr>
      </w:pPr>
      <w:r>
        <w:rPr>
          <w:rFonts w:hint="eastAsia" w:ascii="宋体" w:hAnsi="宋体" w:cs="宋体"/>
          <w:b/>
          <w:bCs/>
        </w:rPr>
        <w:t>沼气的应用与推广</w:t>
      </w:r>
      <w:r>
        <w:rPr>
          <w:rFonts w:hint="eastAsia" w:ascii="宋体" w:hAnsi="宋体" w:cs="宋体"/>
        </w:rPr>
        <w:t xml:space="preserve">  南雄县在1958年、1974年、1981年三次从外地引进沼气技术，均未成功。1986年2月，第4次推广广西天等县经验，县政府拨款给建沼气户补贴。至1987年，全县共建有8立方米沼气池18座，15立方米沼气池2座，50立方米沼气池2座，6立方米农村家用沼气池3711座，全部采用水压式结构。因填料不足，管理技术不过关，多数未发挥正常效能。2004年以来，南雄市委、市政府高度重视农村沼气建设工作，制定了农村沼气工程发展五年计划，按照“政府引导、政策推动、农民为主、自建自用”的原则，2005年完成沼气池7100个。这种溢流式小型高效户用沼气池特点：发酵充分，发酵原料流经路径长，克服了水压式沼气池易短路的问题，原料分解充分，利用率高；压力稳定，不仅有利于灯、灶具燃烧，还解决了由于水压池压力变化大，影响沼气微生物的代谢活性问题；管理方便，不需大换料；具有较高的产气率，平均每立方米池容产气率每天为0.4立方米；主要部件可工厂化生产，保证建池质量。</w:t>
      </w:r>
    </w:p>
    <w:p w14:paraId="44034988">
      <w:pPr>
        <w:pStyle w:val="4"/>
        <w:rPr>
          <w:rFonts w:ascii="宋体" w:hAnsi="宋体" w:cs="宋体"/>
        </w:rPr>
      </w:pPr>
      <w:r>
        <w:rPr>
          <w:rFonts w:hint="eastAsia" w:ascii="宋体" w:hAnsi="宋体" w:cs="宋体"/>
        </w:rPr>
        <w:t>第四节  信息服务</w:t>
      </w:r>
    </w:p>
    <w:p w14:paraId="6EE7977C">
      <w:pPr>
        <w:pStyle w:val="5"/>
        <w:rPr>
          <w:rFonts w:ascii="宋体" w:hAnsi="宋体" w:cs="宋体"/>
        </w:rPr>
      </w:pPr>
      <w:r>
        <w:rPr>
          <w:rFonts w:hint="eastAsia" w:ascii="宋体" w:hAnsi="宋体" w:cs="宋体"/>
        </w:rPr>
        <w:t>一、情报机构与信息网络</w:t>
      </w:r>
    </w:p>
    <w:p w14:paraId="26D6A4D1">
      <w:pPr>
        <w:ind w:firstLine="420"/>
        <w:rPr>
          <w:rFonts w:ascii="宋体" w:hAnsi="宋体" w:cs="宋体"/>
        </w:rPr>
      </w:pPr>
      <w:r>
        <w:rPr>
          <w:rFonts w:hint="eastAsia" w:ascii="宋体" w:hAnsi="宋体" w:cs="宋体"/>
        </w:rPr>
        <w:t>1956年10月，科技情报工作由科普协会兼管。1961年，成立科技情报小组。1962年成立《科技信息》编委会。1984年，科委在原来科技情报小组的基础上成立情报室。1987年9月更名为南雄县信息中心，有信息员62名。</w:t>
      </w:r>
    </w:p>
    <w:p w14:paraId="208A5DEE">
      <w:pPr>
        <w:ind w:firstLine="420"/>
        <w:rPr>
          <w:rFonts w:ascii="宋体" w:hAnsi="宋体" w:cs="宋体"/>
        </w:rPr>
      </w:pPr>
      <w:r>
        <w:rPr>
          <w:rFonts w:hint="eastAsia" w:ascii="宋体" w:hAnsi="宋体" w:cs="宋体"/>
        </w:rPr>
        <w:t>1985年5月，个体户董抗建办起南雄快得利信息服务部。1987年7月，雄州镇建国街办起科技咨询服务部。2003年3月，以镇农技站为依托，成立了农村科技信息“村村通”服务站。结合金科网络南雄分中心的建设，建立了“村村通”平台，开通了“村村通”信息专线“96327”，购置了“村村通”信息机发放到示范户，各级“村村通”服务机构都配备了1名～2名信息员。</w:t>
      </w:r>
    </w:p>
    <w:p w14:paraId="66E97500">
      <w:pPr>
        <w:pStyle w:val="5"/>
        <w:rPr>
          <w:rFonts w:ascii="宋体" w:hAnsi="宋体" w:cs="宋体"/>
        </w:rPr>
      </w:pPr>
      <w:r>
        <w:rPr>
          <w:rFonts w:hint="eastAsia" w:ascii="宋体" w:hAnsi="宋体" w:cs="宋体"/>
        </w:rPr>
        <w:t>二、情报信息的收集处理加工传递</w:t>
      </w:r>
    </w:p>
    <w:p w14:paraId="19566B54">
      <w:pPr>
        <w:ind w:firstLine="420"/>
        <w:rPr>
          <w:rFonts w:ascii="宋体" w:hAnsi="宋体" w:cs="宋体"/>
        </w:rPr>
      </w:pPr>
      <w:r>
        <w:rPr>
          <w:rFonts w:hint="eastAsia" w:ascii="宋体" w:hAnsi="宋体" w:cs="宋体"/>
        </w:rPr>
        <w:t>信息来源主要是本省科普协会提供的科技资料及各省市科技报刊。1961年至1968年，科技情报小组从科技资料中收集、处理各种情报信息，出版《情报工作与雄科资料》每月1期～2期，每期100多份，发给县直属机关、厂矿、公社农科站。1972年至1982年7月，出版《南雄科技》，每月1期～2期，每期发行200多份。1982年8月出版《南雄科技报》，每月2期～3期，每期发行48000多份，发给机关单位、厂矿及全县80%以上的农户参阅。1983年2月因经费困难停办，续办《南雄科技》。1987年9月出版《经济与科技信息》，每月两期以上，每期150份～180份，为各级领导提供信息。从1990年至2004年，每年都安排专项经费订阅大量的专业报刊，广泛收集、处理各类情报信息。2004年，金科网络南雄分中心和广东农村科技信息“村村通”服务中心、服务站的成立，与社会各界和农村信息实现了多渠道采集、处理、加工、传递，起到了互动作用。围绕“村村通”这一信息平台，联系了种养大户、流通大户，建立了专家队伍和信息数据库。</w:t>
      </w:r>
    </w:p>
    <w:p w14:paraId="0D190228">
      <w:pPr>
        <w:pStyle w:val="5"/>
        <w:rPr>
          <w:rFonts w:ascii="宋体" w:hAnsi="宋体" w:cs="宋体"/>
        </w:rPr>
      </w:pPr>
      <w:r>
        <w:rPr>
          <w:rFonts w:hint="eastAsia" w:ascii="宋体" w:hAnsi="宋体" w:cs="宋体"/>
        </w:rPr>
        <w:t>三、咨询服务</w:t>
      </w:r>
    </w:p>
    <w:p w14:paraId="009F7B82">
      <w:pPr>
        <w:ind w:firstLine="420"/>
        <w:rPr>
          <w:rFonts w:ascii="宋体" w:hAnsi="宋体" w:cs="宋体"/>
        </w:rPr>
      </w:pPr>
      <w:r>
        <w:rPr>
          <w:rFonts w:hint="eastAsia" w:ascii="宋体" w:hAnsi="宋体" w:cs="宋体"/>
        </w:rPr>
        <w:t>1983年初，科委成立南雄县科技服务公司。1985年3月，更名为南雄县科技开发服务中心。1987年有工作人员7人，服务项目是：技术咨询、技术培训、新产品、新工艺、新材料和优良种子、种苗的引进培育与推广。2004年，新增了由广东金科网络分中心和广东农村科技信息“村村通”服务中心，对外提供信息咨询服务。</w:t>
      </w:r>
    </w:p>
    <w:p w14:paraId="51EE44C9">
      <w:pPr>
        <w:pStyle w:val="4"/>
        <w:rPr>
          <w:rFonts w:ascii="宋体" w:hAnsi="宋体" w:cs="宋体"/>
        </w:rPr>
      </w:pPr>
      <w:r>
        <w:rPr>
          <w:rFonts w:hint="eastAsia" w:ascii="宋体" w:hAnsi="宋体" w:cs="宋体"/>
        </w:rPr>
        <w:t>第五节  科技队伍</w:t>
      </w:r>
    </w:p>
    <w:p w14:paraId="5EE15C74">
      <w:pPr>
        <w:ind w:firstLine="420"/>
        <w:rPr>
          <w:rFonts w:ascii="宋体" w:hAnsi="宋体" w:cs="宋体"/>
        </w:rPr>
      </w:pPr>
      <w:r>
        <w:rPr>
          <w:rFonts w:hint="eastAsia" w:ascii="宋体" w:hAnsi="宋体" w:cs="宋体"/>
        </w:rPr>
        <w:t>1981年3月成立县自然科学初级职称评审委员会。1996年1月，职称评审办公室工作移交给人事局管理。至2004年，全市有各类专业技术人员（已评职称）8492名，全市人口平均每1000人有18.84名。其中，教师5572名，每1000人口有12.38名；卫生技术人员1130名，每1000人口有2.51名；农业技术人员322名；每1000农业人口有0.72名。详见表5-2：</w:t>
      </w:r>
    </w:p>
    <w:p w14:paraId="4F2201DB">
      <w:pPr>
        <w:ind w:firstLine="422"/>
        <w:jc w:val="center"/>
        <w:rPr>
          <w:rFonts w:ascii="宋体" w:hAnsi="宋体" w:cs="宋体"/>
          <w:b/>
          <w:bCs/>
        </w:rPr>
      </w:pPr>
      <w:r>
        <w:rPr>
          <w:rFonts w:hint="eastAsia" w:ascii="宋体" w:hAnsi="宋体" w:cs="宋体"/>
          <w:b/>
          <w:bCs/>
        </w:rPr>
        <w:t>南雄市专业技术人员统计</w:t>
      </w:r>
    </w:p>
    <w:p w14:paraId="2B6076DA">
      <w:pPr>
        <w:ind w:firstLine="0" w:firstLineChars="0"/>
        <w:rPr>
          <w:rFonts w:ascii="宋体" w:hAnsi="宋体" w:cs="宋体"/>
          <w:b/>
          <w:bCs/>
        </w:rPr>
      </w:pPr>
      <w:r>
        <w:rPr>
          <w:rFonts w:hint="eastAsia" w:ascii="宋体" w:hAnsi="宋体" w:cs="宋体"/>
          <w:b/>
          <w:bCs/>
        </w:rPr>
        <w:t>表5-2</w:t>
      </w:r>
    </w:p>
    <w:p w14:paraId="218FCC81">
      <w:pPr>
        <w:ind w:firstLine="422"/>
        <w:jc w:val="right"/>
        <w:rPr>
          <w:rFonts w:ascii="宋体" w:hAnsi="宋体" w:cs="宋体"/>
          <w:b/>
          <w:bCs/>
        </w:rPr>
      </w:pPr>
      <w:r>
        <w:rPr>
          <w:rFonts w:hint="eastAsia" w:ascii="宋体" w:hAnsi="宋体" w:cs="宋体"/>
          <w:b/>
          <w:bCs/>
        </w:rPr>
        <w:t>单位：人</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76"/>
        <w:gridCol w:w="800"/>
        <w:gridCol w:w="1379"/>
        <w:gridCol w:w="883"/>
        <w:gridCol w:w="1132"/>
        <w:gridCol w:w="1132"/>
        <w:gridCol w:w="1132"/>
        <w:gridCol w:w="1128"/>
      </w:tblGrid>
      <w:tr w14:paraId="36F54E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93" w:type="pct"/>
            <w:vAlign w:val="center"/>
          </w:tcPr>
          <w:p w14:paraId="3DB33C40">
            <w:pPr>
              <w:pStyle w:val="12"/>
              <w:jc w:val="center"/>
              <w:rPr>
                <w:b/>
              </w:rPr>
            </w:pPr>
            <w:r>
              <w:rPr>
                <w:rFonts w:hint="eastAsia"/>
                <w:b/>
              </w:rPr>
              <w:t>专业技术资格系列名称</w:t>
            </w:r>
          </w:p>
        </w:tc>
        <w:tc>
          <w:tcPr>
            <w:tcW w:w="402" w:type="pct"/>
            <w:vAlign w:val="center"/>
          </w:tcPr>
          <w:p w14:paraId="63778F82">
            <w:pPr>
              <w:pStyle w:val="12"/>
              <w:jc w:val="center"/>
              <w:rPr>
                <w:b/>
              </w:rPr>
            </w:pPr>
            <w:r>
              <w:rPr>
                <w:rFonts w:hint="eastAsia"/>
                <w:b/>
              </w:rPr>
              <w:t>副高</w:t>
            </w:r>
          </w:p>
        </w:tc>
        <w:tc>
          <w:tcPr>
            <w:tcW w:w="692" w:type="pct"/>
            <w:vAlign w:val="center"/>
          </w:tcPr>
          <w:p w14:paraId="6E32A62A">
            <w:pPr>
              <w:pStyle w:val="12"/>
              <w:jc w:val="center"/>
              <w:rPr>
                <w:b/>
              </w:rPr>
            </w:pPr>
            <w:r>
              <w:rPr>
                <w:rFonts w:hint="eastAsia"/>
                <w:b/>
              </w:rPr>
              <w:t>不分正副高</w:t>
            </w:r>
          </w:p>
        </w:tc>
        <w:tc>
          <w:tcPr>
            <w:tcW w:w="443" w:type="pct"/>
            <w:vAlign w:val="center"/>
          </w:tcPr>
          <w:p w14:paraId="0E9BC6B3">
            <w:pPr>
              <w:pStyle w:val="12"/>
              <w:jc w:val="center"/>
              <w:rPr>
                <w:b/>
              </w:rPr>
            </w:pPr>
            <w:r>
              <w:rPr>
                <w:rFonts w:hint="eastAsia"/>
                <w:b/>
              </w:rPr>
              <w:t>中级</w:t>
            </w:r>
          </w:p>
        </w:tc>
        <w:tc>
          <w:tcPr>
            <w:tcW w:w="568" w:type="pct"/>
            <w:vAlign w:val="center"/>
          </w:tcPr>
          <w:p w14:paraId="28C35A93">
            <w:pPr>
              <w:pStyle w:val="12"/>
              <w:jc w:val="center"/>
              <w:rPr>
                <w:b/>
              </w:rPr>
            </w:pPr>
            <w:r>
              <w:rPr>
                <w:rFonts w:hint="eastAsia"/>
                <w:b/>
              </w:rPr>
              <w:t>助理级</w:t>
            </w:r>
          </w:p>
        </w:tc>
        <w:tc>
          <w:tcPr>
            <w:tcW w:w="568" w:type="pct"/>
            <w:vAlign w:val="center"/>
          </w:tcPr>
          <w:p w14:paraId="23C4043C">
            <w:pPr>
              <w:pStyle w:val="12"/>
              <w:jc w:val="center"/>
              <w:rPr>
                <w:b/>
              </w:rPr>
            </w:pPr>
            <w:r>
              <w:rPr>
                <w:rFonts w:hint="eastAsia"/>
                <w:b/>
              </w:rPr>
              <w:t>员级</w:t>
            </w:r>
          </w:p>
        </w:tc>
        <w:tc>
          <w:tcPr>
            <w:tcW w:w="568" w:type="pct"/>
            <w:vAlign w:val="center"/>
          </w:tcPr>
          <w:p w14:paraId="64737F16">
            <w:pPr>
              <w:pStyle w:val="12"/>
              <w:jc w:val="center"/>
              <w:rPr>
                <w:b/>
              </w:rPr>
            </w:pPr>
            <w:r>
              <w:rPr>
                <w:rFonts w:hint="eastAsia"/>
                <w:b/>
              </w:rPr>
              <w:t>考试初级</w:t>
            </w:r>
          </w:p>
        </w:tc>
        <w:tc>
          <w:tcPr>
            <w:tcW w:w="566" w:type="pct"/>
            <w:vAlign w:val="center"/>
          </w:tcPr>
          <w:p w14:paraId="03D7F661">
            <w:pPr>
              <w:pStyle w:val="12"/>
              <w:jc w:val="center"/>
              <w:rPr>
                <w:b/>
              </w:rPr>
            </w:pPr>
            <w:r>
              <w:rPr>
                <w:rFonts w:hint="eastAsia"/>
                <w:b/>
              </w:rPr>
              <w:t>合计</w:t>
            </w:r>
          </w:p>
        </w:tc>
      </w:tr>
      <w:tr w14:paraId="4B1E08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93" w:type="pct"/>
            <w:vAlign w:val="center"/>
          </w:tcPr>
          <w:p w14:paraId="0F74F72F">
            <w:pPr>
              <w:pStyle w:val="12"/>
              <w:jc w:val="center"/>
            </w:pPr>
            <w:r>
              <w:rPr>
                <w:rFonts w:hint="eastAsia"/>
              </w:rPr>
              <w:t>工程技术人员</w:t>
            </w:r>
          </w:p>
        </w:tc>
        <w:tc>
          <w:tcPr>
            <w:tcW w:w="402" w:type="pct"/>
            <w:vAlign w:val="center"/>
          </w:tcPr>
          <w:p w14:paraId="6C0811D6">
            <w:pPr>
              <w:pStyle w:val="12"/>
              <w:jc w:val="center"/>
            </w:pPr>
            <w:r>
              <w:rPr>
                <w:rFonts w:hint="eastAsia"/>
              </w:rPr>
              <w:t>1</w:t>
            </w:r>
          </w:p>
        </w:tc>
        <w:tc>
          <w:tcPr>
            <w:tcW w:w="692" w:type="pct"/>
            <w:vAlign w:val="center"/>
          </w:tcPr>
          <w:p w14:paraId="35ECF7AC">
            <w:pPr>
              <w:pStyle w:val="12"/>
              <w:jc w:val="center"/>
            </w:pPr>
            <w:r>
              <w:rPr>
                <w:rFonts w:hint="eastAsia"/>
              </w:rPr>
              <w:t>—</w:t>
            </w:r>
          </w:p>
        </w:tc>
        <w:tc>
          <w:tcPr>
            <w:tcW w:w="443" w:type="pct"/>
            <w:vAlign w:val="center"/>
          </w:tcPr>
          <w:p w14:paraId="0CA70524">
            <w:pPr>
              <w:pStyle w:val="12"/>
              <w:jc w:val="center"/>
            </w:pPr>
            <w:r>
              <w:rPr>
                <w:rFonts w:hint="eastAsia"/>
              </w:rPr>
              <w:t>103</w:t>
            </w:r>
          </w:p>
        </w:tc>
        <w:tc>
          <w:tcPr>
            <w:tcW w:w="568" w:type="pct"/>
            <w:vAlign w:val="center"/>
          </w:tcPr>
          <w:p w14:paraId="3800CCC1">
            <w:pPr>
              <w:pStyle w:val="12"/>
              <w:jc w:val="center"/>
            </w:pPr>
            <w:r>
              <w:rPr>
                <w:rFonts w:hint="eastAsia"/>
              </w:rPr>
              <w:t>346</w:t>
            </w:r>
          </w:p>
        </w:tc>
        <w:tc>
          <w:tcPr>
            <w:tcW w:w="568" w:type="pct"/>
            <w:vAlign w:val="center"/>
          </w:tcPr>
          <w:p w14:paraId="4F455965">
            <w:pPr>
              <w:pStyle w:val="12"/>
              <w:jc w:val="center"/>
            </w:pPr>
            <w:r>
              <w:rPr>
                <w:rFonts w:hint="eastAsia"/>
              </w:rPr>
              <w:t>215</w:t>
            </w:r>
          </w:p>
        </w:tc>
        <w:tc>
          <w:tcPr>
            <w:tcW w:w="568" w:type="pct"/>
            <w:vAlign w:val="center"/>
          </w:tcPr>
          <w:p w14:paraId="24C8EE14">
            <w:pPr>
              <w:pStyle w:val="12"/>
              <w:jc w:val="center"/>
            </w:pPr>
            <w:r>
              <w:rPr>
                <w:rFonts w:hint="eastAsia"/>
              </w:rPr>
              <w:t>—</w:t>
            </w:r>
          </w:p>
        </w:tc>
        <w:tc>
          <w:tcPr>
            <w:tcW w:w="566" w:type="pct"/>
            <w:vAlign w:val="center"/>
          </w:tcPr>
          <w:p w14:paraId="5397D498">
            <w:pPr>
              <w:pStyle w:val="12"/>
              <w:jc w:val="center"/>
            </w:pPr>
            <w:r>
              <w:rPr>
                <w:rFonts w:hint="eastAsia"/>
              </w:rPr>
              <w:t>665</w:t>
            </w:r>
          </w:p>
        </w:tc>
      </w:tr>
      <w:tr w14:paraId="511A21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93" w:type="pct"/>
            <w:vAlign w:val="center"/>
          </w:tcPr>
          <w:p w14:paraId="069C0295">
            <w:pPr>
              <w:pStyle w:val="12"/>
              <w:jc w:val="center"/>
            </w:pPr>
            <w:r>
              <w:rPr>
                <w:rFonts w:hint="eastAsia"/>
              </w:rPr>
              <w:t>会计专业人员</w:t>
            </w:r>
          </w:p>
        </w:tc>
        <w:tc>
          <w:tcPr>
            <w:tcW w:w="402" w:type="pct"/>
            <w:vAlign w:val="center"/>
          </w:tcPr>
          <w:p w14:paraId="1F6801BE">
            <w:pPr>
              <w:pStyle w:val="12"/>
              <w:jc w:val="center"/>
            </w:pPr>
            <w:r>
              <w:rPr>
                <w:rFonts w:hint="eastAsia"/>
              </w:rPr>
              <w:t>—</w:t>
            </w:r>
          </w:p>
        </w:tc>
        <w:tc>
          <w:tcPr>
            <w:tcW w:w="692" w:type="pct"/>
            <w:vAlign w:val="center"/>
          </w:tcPr>
          <w:p w14:paraId="7928B888">
            <w:pPr>
              <w:pStyle w:val="12"/>
              <w:jc w:val="center"/>
            </w:pPr>
            <w:r>
              <w:rPr>
                <w:rFonts w:hint="eastAsia"/>
              </w:rPr>
              <w:t>—</w:t>
            </w:r>
          </w:p>
        </w:tc>
        <w:tc>
          <w:tcPr>
            <w:tcW w:w="443" w:type="pct"/>
            <w:vAlign w:val="center"/>
          </w:tcPr>
          <w:p w14:paraId="3076D7EC">
            <w:pPr>
              <w:pStyle w:val="12"/>
              <w:jc w:val="center"/>
            </w:pPr>
            <w:r>
              <w:rPr>
                <w:rFonts w:hint="eastAsia"/>
              </w:rPr>
              <w:t>21</w:t>
            </w:r>
          </w:p>
        </w:tc>
        <w:tc>
          <w:tcPr>
            <w:tcW w:w="568" w:type="pct"/>
            <w:vAlign w:val="center"/>
          </w:tcPr>
          <w:p w14:paraId="014267CE">
            <w:pPr>
              <w:pStyle w:val="12"/>
              <w:jc w:val="center"/>
            </w:pPr>
            <w:r>
              <w:rPr>
                <w:rFonts w:hint="eastAsia"/>
              </w:rPr>
              <w:t>122</w:t>
            </w:r>
          </w:p>
        </w:tc>
        <w:tc>
          <w:tcPr>
            <w:tcW w:w="568" w:type="pct"/>
            <w:vAlign w:val="center"/>
          </w:tcPr>
          <w:p w14:paraId="41768198">
            <w:pPr>
              <w:pStyle w:val="12"/>
              <w:jc w:val="center"/>
            </w:pPr>
            <w:r>
              <w:rPr>
                <w:rFonts w:hint="eastAsia"/>
              </w:rPr>
              <w:t>165</w:t>
            </w:r>
          </w:p>
        </w:tc>
        <w:tc>
          <w:tcPr>
            <w:tcW w:w="568" w:type="pct"/>
            <w:vAlign w:val="center"/>
          </w:tcPr>
          <w:p w14:paraId="1E584DAD">
            <w:pPr>
              <w:pStyle w:val="12"/>
              <w:jc w:val="center"/>
            </w:pPr>
            <w:r>
              <w:rPr>
                <w:rFonts w:hint="eastAsia"/>
              </w:rPr>
              <w:t>3</w:t>
            </w:r>
          </w:p>
        </w:tc>
        <w:tc>
          <w:tcPr>
            <w:tcW w:w="566" w:type="pct"/>
            <w:vAlign w:val="center"/>
          </w:tcPr>
          <w:p w14:paraId="7F22C2C9">
            <w:pPr>
              <w:pStyle w:val="12"/>
              <w:jc w:val="center"/>
            </w:pPr>
            <w:r>
              <w:rPr>
                <w:rFonts w:hint="eastAsia"/>
              </w:rPr>
              <w:t>311</w:t>
            </w:r>
          </w:p>
        </w:tc>
      </w:tr>
      <w:tr w14:paraId="2F038C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93" w:type="pct"/>
            <w:vAlign w:val="center"/>
          </w:tcPr>
          <w:p w14:paraId="62234B58">
            <w:pPr>
              <w:pStyle w:val="12"/>
              <w:jc w:val="center"/>
            </w:pPr>
            <w:r>
              <w:rPr>
                <w:rFonts w:hint="eastAsia"/>
              </w:rPr>
              <w:t>经济专业人员</w:t>
            </w:r>
          </w:p>
        </w:tc>
        <w:tc>
          <w:tcPr>
            <w:tcW w:w="402" w:type="pct"/>
            <w:vAlign w:val="center"/>
          </w:tcPr>
          <w:p w14:paraId="578CD88B">
            <w:pPr>
              <w:pStyle w:val="12"/>
              <w:jc w:val="center"/>
            </w:pPr>
            <w:r>
              <w:rPr>
                <w:rFonts w:hint="eastAsia"/>
              </w:rPr>
              <w:t>1</w:t>
            </w:r>
          </w:p>
        </w:tc>
        <w:tc>
          <w:tcPr>
            <w:tcW w:w="692" w:type="pct"/>
            <w:vAlign w:val="center"/>
          </w:tcPr>
          <w:p w14:paraId="02870244">
            <w:pPr>
              <w:pStyle w:val="12"/>
              <w:jc w:val="center"/>
            </w:pPr>
            <w:r>
              <w:rPr>
                <w:rFonts w:hint="eastAsia"/>
              </w:rPr>
              <w:t>—</w:t>
            </w:r>
          </w:p>
        </w:tc>
        <w:tc>
          <w:tcPr>
            <w:tcW w:w="443" w:type="pct"/>
            <w:vAlign w:val="center"/>
          </w:tcPr>
          <w:p w14:paraId="7BD25129">
            <w:pPr>
              <w:pStyle w:val="12"/>
              <w:jc w:val="center"/>
            </w:pPr>
            <w:r>
              <w:rPr>
                <w:rFonts w:hint="eastAsia"/>
              </w:rPr>
              <w:t>78</w:t>
            </w:r>
          </w:p>
        </w:tc>
        <w:tc>
          <w:tcPr>
            <w:tcW w:w="568" w:type="pct"/>
            <w:vAlign w:val="center"/>
          </w:tcPr>
          <w:p w14:paraId="71E13E6F">
            <w:pPr>
              <w:pStyle w:val="12"/>
              <w:jc w:val="center"/>
            </w:pPr>
            <w:r>
              <w:rPr>
                <w:rFonts w:hint="eastAsia"/>
              </w:rPr>
              <w:t>129</w:t>
            </w:r>
          </w:p>
        </w:tc>
        <w:tc>
          <w:tcPr>
            <w:tcW w:w="568" w:type="pct"/>
            <w:vAlign w:val="center"/>
          </w:tcPr>
          <w:p w14:paraId="47DC86E4">
            <w:pPr>
              <w:pStyle w:val="12"/>
              <w:jc w:val="center"/>
            </w:pPr>
            <w:r>
              <w:rPr>
                <w:rFonts w:hint="eastAsia"/>
              </w:rPr>
              <w:t>112</w:t>
            </w:r>
          </w:p>
        </w:tc>
        <w:tc>
          <w:tcPr>
            <w:tcW w:w="568" w:type="pct"/>
            <w:vAlign w:val="center"/>
          </w:tcPr>
          <w:p w14:paraId="537B91FA">
            <w:pPr>
              <w:pStyle w:val="12"/>
              <w:jc w:val="center"/>
            </w:pPr>
            <w:r>
              <w:rPr>
                <w:rFonts w:hint="eastAsia"/>
              </w:rPr>
              <w:t>13</w:t>
            </w:r>
          </w:p>
        </w:tc>
        <w:tc>
          <w:tcPr>
            <w:tcW w:w="566" w:type="pct"/>
            <w:vAlign w:val="center"/>
          </w:tcPr>
          <w:p w14:paraId="2E394117">
            <w:pPr>
              <w:pStyle w:val="12"/>
              <w:jc w:val="center"/>
            </w:pPr>
            <w:r>
              <w:rPr>
                <w:rFonts w:hint="eastAsia"/>
              </w:rPr>
              <w:t>333</w:t>
            </w:r>
          </w:p>
        </w:tc>
      </w:tr>
      <w:tr w14:paraId="6B14190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93" w:type="pct"/>
            <w:vAlign w:val="center"/>
          </w:tcPr>
          <w:p w14:paraId="6582B879">
            <w:pPr>
              <w:pStyle w:val="12"/>
              <w:jc w:val="center"/>
            </w:pPr>
            <w:r>
              <w:rPr>
                <w:rFonts w:hint="eastAsia"/>
              </w:rPr>
              <w:t>农业技术人员</w:t>
            </w:r>
          </w:p>
        </w:tc>
        <w:tc>
          <w:tcPr>
            <w:tcW w:w="402" w:type="pct"/>
            <w:vAlign w:val="center"/>
          </w:tcPr>
          <w:p w14:paraId="7E50E400">
            <w:pPr>
              <w:pStyle w:val="12"/>
              <w:jc w:val="center"/>
            </w:pPr>
            <w:r>
              <w:rPr>
                <w:rFonts w:hint="eastAsia"/>
              </w:rPr>
              <w:t>—</w:t>
            </w:r>
          </w:p>
        </w:tc>
        <w:tc>
          <w:tcPr>
            <w:tcW w:w="692" w:type="pct"/>
            <w:vAlign w:val="center"/>
          </w:tcPr>
          <w:p w14:paraId="49BAB607">
            <w:pPr>
              <w:pStyle w:val="12"/>
              <w:jc w:val="center"/>
            </w:pPr>
            <w:r>
              <w:rPr>
                <w:rFonts w:hint="eastAsia"/>
              </w:rPr>
              <w:t>—</w:t>
            </w:r>
          </w:p>
        </w:tc>
        <w:tc>
          <w:tcPr>
            <w:tcW w:w="443" w:type="pct"/>
            <w:vAlign w:val="center"/>
          </w:tcPr>
          <w:p w14:paraId="7D8BA056">
            <w:pPr>
              <w:pStyle w:val="12"/>
              <w:jc w:val="center"/>
            </w:pPr>
            <w:r>
              <w:rPr>
                <w:rFonts w:hint="eastAsia"/>
              </w:rPr>
              <w:t>67</w:t>
            </w:r>
          </w:p>
        </w:tc>
        <w:tc>
          <w:tcPr>
            <w:tcW w:w="568" w:type="pct"/>
            <w:vAlign w:val="center"/>
          </w:tcPr>
          <w:p w14:paraId="6936AEFF">
            <w:pPr>
              <w:pStyle w:val="12"/>
              <w:jc w:val="center"/>
            </w:pPr>
            <w:r>
              <w:rPr>
                <w:rFonts w:hint="eastAsia"/>
              </w:rPr>
              <w:t>167</w:t>
            </w:r>
          </w:p>
        </w:tc>
        <w:tc>
          <w:tcPr>
            <w:tcW w:w="568" w:type="pct"/>
            <w:vAlign w:val="center"/>
          </w:tcPr>
          <w:p w14:paraId="3B0FF70C">
            <w:pPr>
              <w:pStyle w:val="12"/>
              <w:jc w:val="center"/>
            </w:pPr>
            <w:r>
              <w:rPr>
                <w:rFonts w:hint="eastAsia"/>
              </w:rPr>
              <w:t>88</w:t>
            </w:r>
          </w:p>
        </w:tc>
        <w:tc>
          <w:tcPr>
            <w:tcW w:w="568" w:type="pct"/>
            <w:vAlign w:val="center"/>
          </w:tcPr>
          <w:p w14:paraId="73AF2BCC">
            <w:pPr>
              <w:pStyle w:val="12"/>
              <w:jc w:val="center"/>
            </w:pPr>
            <w:r>
              <w:rPr>
                <w:rFonts w:hint="eastAsia"/>
              </w:rPr>
              <w:t>—</w:t>
            </w:r>
          </w:p>
        </w:tc>
        <w:tc>
          <w:tcPr>
            <w:tcW w:w="566" w:type="pct"/>
            <w:vAlign w:val="center"/>
          </w:tcPr>
          <w:p w14:paraId="7DD90B0C">
            <w:pPr>
              <w:pStyle w:val="12"/>
              <w:jc w:val="center"/>
            </w:pPr>
            <w:r>
              <w:rPr>
                <w:rFonts w:hint="eastAsia"/>
              </w:rPr>
              <w:t>322</w:t>
            </w:r>
          </w:p>
        </w:tc>
      </w:tr>
      <w:tr w14:paraId="2CF3FB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93" w:type="pct"/>
            <w:vAlign w:val="center"/>
          </w:tcPr>
          <w:p w14:paraId="1D3D9997">
            <w:pPr>
              <w:pStyle w:val="12"/>
              <w:jc w:val="center"/>
            </w:pPr>
            <w:r>
              <w:rPr>
                <w:rFonts w:hint="eastAsia"/>
              </w:rPr>
              <w:t>审计专业人员</w:t>
            </w:r>
          </w:p>
        </w:tc>
        <w:tc>
          <w:tcPr>
            <w:tcW w:w="402" w:type="pct"/>
            <w:vAlign w:val="center"/>
          </w:tcPr>
          <w:p w14:paraId="36A3C7BB">
            <w:pPr>
              <w:pStyle w:val="12"/>
              <w:jc w:val="center"/>
            </w:pPr>
            <w:r>
              <w:rPr>
                <w:rFonts w:hint="eastAsia"/>
              </w:rPr>
              <w:t>—</w:t>
            </w:r>
          </w:p>
        </w:tc>
        <w:tc>
          <w:tcPr>
            <w:tcW w:w="692" w:type="pct"/>
            <w:vAlign w:val="center"/>
          </w:tcPr>
          <w:p w14:paraId="386214B3">
            <w:pPr>
              <w:pStyle w:val="12"/>
              <w:jc w:val="center"/>
            </w:pPr>
            <w:r>
              <w:rPr>
                <w:rFonts w:hint="eastAsia"/>
              </w:rPr>
              <w:t>—</w:t>
            </w:r>
          </w:p>
        </w:tc>
        <w:tc>
          <w:tcPr>
            <w:tcW w:w="443" w:type="pct"/>
            <w:vAlign w:val="center"/>
          </w:tcPr>
          <w:p w14:paraId="5DDCC638">
            <w:pPr>
              <w:pStyle w:val="12"/>
              <w:jc w:val="center"/>
            </w:pPr>
            <w:r>
              <w:rPr>
                <w:rFonts w:hint="eastAsia"/>
              </w:rPr>
              <w:t>1</w:t>
            </w:r>
          </w:p>
        </w:tc>
        <w:tc>
          <w:tcPr>
            <w:tcW w:w="568" w:type="pct"/>
            <w:vAlign w:val="center"/>
          </w:tcPr>
          <w:p w14:paraId="5144AAD5">
            <w:pPr>
              <w:pStyle w:val="12"/>
              <w:jc w:val="center"/>
            </w:pPr>
            <w:r>
              <w:rPr>
                <w:rFonts w:hint="eastAsia"/>
              </w:rPr>
              <w:t>—</w:t>
            </w:r>
          </w:p>
        </w:tc>
        <w:tc>
          <w:tcPr>
            <w:tcW w:w="568" w:type="pct"/>
            <w:vAlign w:val="center"/>
          </w:tcPr>
          <w:p w14:paraId="437D342B">
            <w:pPr>
              <w:pStyle w:val="12"/>
              <w:jc w:val="center"/>
            </w:pPr>
            <w:r>
              <w:rPr>
                <w:rFonts w:hint="eastAsia"/>
              </w:rPr>
              <w:t>—</w:t>
            </w:r>
          </w:p>
        </w:tc>
        <w:tc>
          <w:tcPr>
            <w:tcW w:w="568" w:type="pct"/>
            <w:vAlign w:val="center"/>
          </w:tcPr>
          <w:p w14:paraId="5B4DF39E">
            <w:pPr>
              <w:pStyle w:val="12"/>
              <w:jc w:val="center"/>
            </w:pPr>
            <w:r>
              <w:rPr>
                <w:rFonts w:hint="eastAsia"/>
              </w:rPr>
              <w:t>—</w:t>
            </w:r>
          </w:p>
        </w:tc>
        <w:tc>
          <w:tcPr>
            <w:tcW w:w="566" w:type="pct"/>
            <w:vAlign w:val="center"/>
          </w:tcPr>
          <w:p w14:paraId="6D228C25">
            <w:pPr>
              <w:pStyle w:val="12"/>
              <w:jc w:val="center"/>
            </w:pPr>
            <w:r>
              <w:rPr>
                <w:rFonts w:hint="eastAsia"/>
              </w:rPr>
              <w:t>1</w:t>
            </w:r>
          </w:p>
        </w:tc>
      </w:tr>
      <w:tr w14:paraId="20D515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1193" w:type="pct"/>
            <w:vAlign w:val="center"/>
          </w:tcPr>
          <w:p w14:paraId="79C56107">
            <w:pPr>
              <w:pStyle w:val="12"/>
              <w:jc w:val="center"/>
            </w:pPr>
            <w:r>
              <w:rPr>
                <w:rFonts w:hint="eastAsia"/>
              </w:rPr>
              <w:t>统计专业人员</w:t>
            </w:r>
          </w:p>
        </w:tc>
        <w:tc>
          <w:tcPr>
            <w:tcW w:w="402" w:type="pct"/>
            <w:vAlign w:val="center"/>
          </w:tcPr>
          <w:p w14:paraId="38A82079">
            <w:pPr>
              <w:pStyle w:val="12"/>
              <w:jc w:val="center"/>
            </w:pPr>
            <w:r>
              <w:rPr>
                <w:rFonts w:hint="eastAsia"/>
              </w:rPr>
              <w:t>—</w:t>
            </w:r>
          </w:p>
        </w:tc>
        <w:tc>
          <w:tcPr>
            <w:tcW w:w="692" w:type="pct"/>
            <w:vAlign w:val="center"/>
          </w:tcPr>
          <w:p w14:paraId="1BD02419">
            <w:pPr>
              <w:pStyle w:val="12"/>
              <w:jc w:val="center"/>
            </w:pPr>
            <w:r>
              <w:rPr>
                <w:rFonts w:hint="eastAsia"/>
              </w:rPr>
              <w:t>—</w:t>
            </w:r>
          </w:p>
        </w:tc>
        <w:tc>
          <w:tcPr>
            <w:tcW w:w="443" w:type="pct"/>
            <w:vAlign w:val="center"/>
          </w:tcPr>
          <w:p w14:paraId="3E4D35C0">
            <w:pPr>
              <w:pStyle w:val="12"/>
              <w:jc w:val="center"/>
            </w:pPr>
            <w:r>
              <w:rPr>
                <w:rFonts w:hint="eastAsia"/>
              </w:rPr>
              <w:t>9</w:t>
            </w:r>
          </w:p>
        </w:tc>
        <w:tc>
          <w:tcPr>
            <w:tcW w:w="568" w:type="pct"/>
            <w:vAlign w:val="center"/>
          </w:tcPr>
          <w:p w14:paraId="07E9C1C3">
            <w:pPr>
              <w:pStyle w:val="12"/>
              <w:jc w:val="center"/>
            </w:pPr>
            <w:r>
              <w:rPr>
                <w:rFonts w:hint="eastAsia"/>
              </w:rPr>
              <w:t>8</w:t>
            </w:r>
          </w:p>
        </w:tc>
        <w:tc>
          <w:tcPr>
            <w:tcW w:w="568" w:type="pct"/>
            <w:vAlign w:val="center"/>
          </w:tcPr>
          <w:p w14:paraId="3E570374">
            <w:pPr>
              <w:pStyle w:val="12"/>
              <w:jc w:val="center"/>
            </w:pPr>
            <w:r>
              <w:rPr>
                <w:rFonts w:hint="eastAsia"/>
              </w:rPr>
              <w:t>41</w:t>
            </w:r>
          </w:p>
        </w:tc>
        <w:tc>
          <w:tcPr>
            <w:tcW w:w="568" w:type="pct"/>
            <w:vAlign w:val="center"/>
          </w:tcPr>
          <w:p w14:paraId="0A5E3E70">
            <w:pPr>
              <w:pStyle w:val="12"/>
              <w:jc w:val="center"/>
            </w:pPr>
            <w:r>
              <w:rPr>
                <w:rFonts w:hint="eastAsia"/>
              </w:rPr>
              <w:t>2</w:t>
            </w:r>
          </w:p>
        </w:tc>
        <w:tc>
          <w:tcPr>
            <w:tcW w:w="566" w:type="pct"/>
            <w:vAlign w:val="center"/>
          </w:tcPr>
          <w:p w14:paraId="20DD1E3D">
            <w:pPr>
              <w:pStyle w:val="12"/>
              <w:jc w:val="center"/>
            </w:pPr>
            <w:r>
              <w:rPr>
                <w:rFonts w:hint="eastAsia"/>
              </w:rPr>
              <w:t>60</w:t>
            </w:r>
          </w:p>
        </w:tc>
      </w:tr>
      <w:tr w14:paraId="32FFC4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93" w:type="pct"/>
            <w:vAlign w:val="center"/>
          </w:tcPr>
          <w:p w14:paraId="5262DB97">
            <w:pPr>
              <w:pStyle w:val="12"/>
              <w:jc w:val="center"/>
            </w:pPr>
            <w:r>
              <w:rPr>
                <w:rFonts w:hint="eastAsia"/>
              </w:rPr>
              <w:t>图书资料专业人员</w:t>
            </w:r>
          </w:p>
        </w:tc>
        <w:tc>
          <w:tcPr>
            <w:tcW w:w="402" w:type="pct"/>
            <w:vAlign w:val="center"/>
          </w:tcPr>
          <w:p w14:paraId="24C40FD8">
            <w:pPr>
              <w:pStyle w:val="12"/>
              <w:jc w:val="center"/>
            </w:pPr>
            <w:r>
              <w:rPr>
                <w:rFonts w:hint="eastAsia"/>
              </w:rPr>
              <w:t>—</w:t>
            </w:r>
          </w:p>
        </w:tc>
        <w:tc>
          <w:tcPr>
            <w:tcW w:w="692" w:type="pct"/>
            <w:vAlign w:val="center"/>
          </w:tcPr>
          <w:p w14:paraId="3A003503">
            <w:pPr>
              <w:pStyle w:val="12"/>
              <w:jc w:val="center"/>
            </w:pPr>
            <w:r>
              <w:rPr>
                <w:rFonts w:hint="eastAsia"/>
              </w:rPr>
              <w:t>—</w:t>
            </w:r>
          </w:p>
        </w:tc>
        <w:tc>
          <w:tcPr>
            <w:tcW w:w="443" w:type="pct"/>
            <w:vAlign w:val="center"/>
          </w:tcPr>
          <w:p w14:paraId="5CD40FFC">
            <w:pPr>
              <w:pStyle w:val="12"/>
              <w:jc w:val="center"/>
            </w:pPr>
            <w:r>
              <w:rPr>
                <w:rFonts w:hint="eastAsia"/>
              </w:rPr>
              <w:t>3</w:t>
            </w:r>
          </w:p>
        </w:tc>
        <w:tc>
          <w:tcPr>
            <w:tcW w:w="568" w:type="pct"/>
            <w:vAlign w:val="center"/>
          </w:tcPr>
          <w:p w14:paraId="57FBFA2D">
            <w:pPr>
              <w:pStyle w:val="12"/>
              <w:jc w:val="center"/>
            </w:pPr>
            <w:r>
              <w:rPr>
                <w:rFonts w:hint="eastAsia"/>
              </w:rPr>
              <w:t>32</w:t>
            </w:r>
          </w:p>
        </w:tc>
        <w:tc>
          <w:tcPr>
            <w:tcW w:w="568" w:type="pct"/>
            <w:vAlign w:val="center"/>
          </w:tcPr>
          <w:p w14:paraId="361AFC7B">
            <w:pPr>
              <w:pStyle w:val="12"/>
              <w:jc w:val="center"/>
            </w:pPr>
            <w:r>
              <w:rPr>
                <w:rFonts w:hint="eastAsia"/>
              </w:rPr>
              <w:t>5</w:t>
            </w:r>
          </w:p>
        </w:tc>
        <w:tc>
          <w:tcPr>
            <w:tcW w:w="568" w:type="pct"/>
            <w:vAlign w:val="center"/>
          </w:tcPr>
          <w:p w14:paraId="39D1907E">
            <w:pPr>
              <w:pStyle w:val="12"/>
              <w:jc w:val="center"/>
            </w:pPr>
            <w:r>
              <w:rPr>
                <w:rFonts w:hint="eastAsia"/>
              </w:rPr>
              <w:t>—</w:t>
            </w:r>
          </w:p>
        </w:tc>
        <w:tc>
          <w:tcPr>
            <w:tcW w:w="566" w:type="pct"/>
            <w:vAlign w:val="center"/>
          </w:tcPr>
          <w:p w14:paraId="58009109">
            <w:pPr>
              <w:pStyle w:val="12"/>
              <w:jc w:val="center"/>
            </w:pPr>
            <w:r>
              <w:rPr>
                <w:rFonts w:hint="eastAsia"/>
              </w:rPr>
              <w:t>40</w:t>
            </w:r>
          </w:p>
        </w:tc>
      </w:tr>
      <w:tr w14:paraId="35010A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93" w:type="pct"/>
            <w:vAlign w:val="center"/>
          </w:tcPr>
          <w:p w14:paraId="07230EBE">
            <w:pPr>
              <w:pStyle w:val="12"/>
              <w:jc w:val="center"/>
            </w:pPr>
            <w:r>
              <w:rPr>
                <w:rFonts w:hint="eastAsia"/>
              </w:rPr>
              <w:t>卫生技术人员</w:t>
            </w:r>
          </w:p>
        </w:tc>
        <w:tc>
          <w:tcPr>
            <w:tcW w:w="402" w:type="pct"/>
            <w:vAlign w:val="center"/>
          </w:tcPr>
          <w:p w14:paraId="6F2773A2">
            <w:pPr>
              <w:pStyle w:val="12"/>
              <w:jc w:val="center"/>
            </w:pPr>
            <w:r>
              <w:rPr>
                <w:rFonts w:hint="eastAsia"/>
              </w:rPr>
              <w:t>19</w:t>
            </w:r>
          </w:p>
        </w:tc>
        <w:tc>
          <w:tcPr>
            <w:tcW w:w="692" w:type="pct"/>
            <w:vAlign w:val="center"/>
          </w:tcPr>
          <w:p w14:paraId="171181E0">
            <w:pPr>
              <w:pStyle w:val="12"/>
              <w:jc w:val="center"/>
            </w:pPr>
            <w:r>
              <w:rPr>
                <w:rFonts w:hint="eastAsia"/>
              </w:rPr>
              <w:t>—</w:t>
            </w:r>
          </w:p>
        </w:tc>
        <w:tc>
          <w:tcPr>
            <w:tcW w:w="443" w:type="pct"/>
            <w:vAlign w:val="center"/>
          </w:tcPr>
          <w:p w14:paraId="551A8FEC">
            <w:pPr>
              <w:pStyle w:val="12"/>
              <w:jc w:val="center"/>
            </w:pPr>
            <w:r>
              <w:rPr>
                <w:rFonts w:hint="eastAsia"/>
              </w:rPr>
              <w:t>202</w:t>
            </w:r>
          </w:p>
        </w:tc>
        <w:tc>
          <w:tcPr>
            <w:tcW w:w="568" w:type="pct"/>
            <w:vAlign w:val="center"/>
          </w:tcPr>
          <w:p w14:paraId="6FFF2A33">
            <w:pPr>
              <w:pStyle w:val="12"/>
              <w:jc w:val="center"/>
            </w:pPr>
            <w:r>
              <w:rPr>
                <w:rFonts w:hint="eastAsia"/>
              </w:rPr>
              <w:t>436</w:t>
            </w:r>
          </w:p>
        </w:tc>
        <w:tc>
          <w:tcPr>
            <w:tcW w:w="568" w:type="pct"/>
            <w:vAlign w:val="center"/>
          </w:tcPr>
          <w:p w14:paraId="3F244BC6">
            <w:pPr>
              <w:pStyle w:val="12"/>
              <w:jc w:val="center"/>
            </w:pPr>
            <w:r>
              <w:rPr>
                <w:rFonts w:hint="eastAsia"/>
              </w:rPr>
              <w:t>472</w:t>
            </w:r>
          </w:p>
        </w:tc>
        <w:tc>
          <w:tcPr>
            <w:tcW w:w="568" w:type="pct"/>
            <w:vAlign w:val="center"/>
          </w:tcPr>
          <w:p w14:paraId="030A0E65">
            <w:pPr>
              <w:pStyle w:val="12"/>
              <w:jc w:val="center"/>
            </w:pPr>
            <w:r>
              <w:rPr>
                <w:rFonts w:hint="eastAsia"/>
              </w:rPr>
              <w:t>1</w:t>
            </w:r>
          </w:p>
        </w:tc>
        <w:tc>
          <w:tcPr>
            <w:tcW w:w="566" w:type="pct"/>
            <w:vAlign w:val="center"/>
          </w:tcPr>
          <w:p w14:paraId="01AC6418">
            <w:pPr>
              <w:pStyle w:val="12"/>
              <w:jc w:val="center"/>
            </w:pPr>
            <w:r>
              <w:rPr>
                <w:rFonts w:hint="eastAsia"/>
              </w:rPr>
              <w:t>1130</w:t>
            </w:r>
          </w:p>
        </w:tc>
      </w:tr>
      <w:tr w14:paraId="0618A8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93" w:type="pct"/>
            <w:vAlign w:val="center"/>
          </w:tcPr>
          <w:p w14:paraId="55BFFF4E">
            <w:pPr>
              <w:pStyle w:val="12"/>
              <w:jc w:val="center"/>
            </w:pPr>
            <w:r>
              <w:rPr>
                <w:rFonts w:hint="eastAsia"/>
              </w:rPr>
              <w:t>中学教师</w:t>
            </w:r>
          </w:p>
        </w:tc>
        <w:tc>
          <w:tcPr>
            <w:tcW w:w="402" w:type="pct"/>
            <w:vAlign w:val="center"/>
          </w:tcPr>
          <w:p w14:paraId="377AAA92">
            <w:pPr>
              <w:pStyle w:val="12"/>
              <w:jc w:val="center"/>
            </w:pPr>
            <w:r>
              <w:rPr>
                <w:rFonts w:hint="eastAsia"/>
              </w:rPr>
              <w:t>—</w:t>
            </w:r>
          </w:p>
        </w:tc>
        <w:tc>
          <w:tcPr>
            <w:tcW w:w="692" w:type="pct"/>
            <w:vAlign w:val="center"/>
          </w:tcPr>
          <w:p w14:paraId="4945E347">
            <w:pPr>
              <w:pStyle w:val="12"/>
              <w:jc w:val="center"/>
            </w:pPr>
            <w:r>
              <w:rPr>
                <w:rFonts w:hint="eastAsia"/>
              </w:rPr>
              <w:t>199</w:t>
            </w:r>
          </w:p>
        </w:tc>
        <w:tc>
          <w:tcPr>
            <w:tcW w:w="443" w:type="pct"/>
            <w:vAlign w:val="center"/>
          </w:tcPr>
          <w:p w14:paraId="6759E714">
            <w:pPr>
              <w:pStyle w:val="12"/>
              <w:jc w:val="center"/>
            </w:pPr>
            <w:r>
              <w:rPr>
                <w:rFonts w:hint="eastAsia"/>
              </w:rPr>
              <w:t>989</w:t>
            </w:r>
          </w:p>
        </w:tc>
        <w:tc>
          <w:tcPr>
            <w:tcW w:w="568" w:type="pct"/>
            <w:vAlign w:val="center"/>
          </w:tcPr>
          <w:p w14:paraId="1A790141">
            <w:pPr>
              <w:pStyle w:val="12"/>
              <w:jc w:val="center"/>
            </w:pPr>
            <w:r>
              <w:rPr>
                <w:rFonts w:hint="eastAsia"/>
              </w:rPr>
              <w:t>721</w:t>
            </w:r>
          </w:p>
        </w:tc>
        <w:tc>
          <w:tcPr>
            <w:tcW w:w="568" w:type="pct"/>
            <w:vAlign w:val="center"/>
          </w:tcPr>
          <w:p w14:paraId="4FF8ADA0">
            <w:pPr>
              <w:pStyle w:val="12"/>
              <w:jc w:val="center"/>
            </w:pPr>
            <w:r>
              <w:rPr>
                <w:rFonts w:hint="eastAsia"/>
              </w:rPr>
              <w:t>7</w:t>
            </w:r>
          </w:p>
        </w:tc>
        <w:tc>
          <w:tcPr>
            <w:tcW w:w="568" w:type="pct"/>
            <w:vAlign w:val="center"/>
          </w:tcPr>
          <w:p w14:paraId="584EC1A8">
            <w:pPr>
              <w:pStyle w:val="12"/>
              <w:jc w:val="center"/>
            </w:pPr>
            <w:r>
              <w:rPr>
                <w:rFonts w:hint="eastAsia"/>
              </w:rPr>
              <w:t>—</w:t>
            </w:r>
          </w:p>
        </w:tc>
        <w:tc>
          <w:tcPr>
            <w:tcW w:w="566" w:type="pct"/>
            <w:vAlign w:val="center"/>
          </w:tcPr>
          <w:p w14:paraId="24D1C33D">
            <w:pPr>
              <w:pStyle w:val="12"/>
              <w:jc w:val="center"/>
            </w:pPr>
            <w:r>
              <w:rPr>
                <w:rFonts w:hint="eastAsia"/>
              </w:rPr>
              <w:t>1916</w:t>
            </w:r>
          </w:p>
        </w:tc>
      </w:tr>
      <w:tr w14:paraId="120B41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93" w:type="pct"/>
            <w:vAlign w:val="center"/>
          </w:tcPr>
          <w:p w14:paraId="7FA461A7">
            <w:pPr>
              <w:pStyle w:val="12"/>
              <w:jc w:val="center"/>
            </w:pPr>
            <w:r>
              <w:rPr>
                <w:rFonts w:hint="eastAsia"/>
              </w:rPr>
              <w:t>小学、幼儿园教师</w:t>
            </w:r>
          </w:p>
        </w:tc>
        <w:tc>
          <w:tcPr>
            <w:tcW w:w="402" w:type="pct"/>
            <w:vAlign w:val="center"/>
          </w:tcPr>
          <w:p w14:paraId="7C18A312">
            <w:pPr>
              <w:pStyle w:val="12"/>
              <w:jc w:val="center"/>
            </w:pPr>
            <w:r>
              <w:rPr>
                <w:rFonts w:hint="eastAsia"/>
              </w:rPr>
              <w:t>—</w:t>
            </w:r>
          </w:p>
        </w:tc>
        <w:tc>
          <w:tcPr>
            <w:tcW w:w="692" w:type="pct"/>
            <w:vAlign w:val="center"/>
          </w:tcPr>
          <w:p w14:paraId="748AA0A9">
            <w:pPr>
              <w:pStyle w:val="12"/>
              <w:jc w:val="center"/>
            </w:pPr>
            <w:r>
              <w:rPr>
                <w:rFonts w:hint="eastAsia"/>
              </w:rPr>
              <w:t>—</w:t>
            </w:r>
          </w:p>
        </w:tc>
        <w:tc>
          <w:tcPr>
            <w:tcW w:w="443" w:type="pct"/>
            <w:vAlign w:val="center"/>
          </w:tcPr>
          <w:p w14:paraId="49F0E0B8">
            <w:pPr>
              <w:pStyle w:val="12"/>
              <w:jc w:val="center"/>
            </w:pPr>
            <w:r>
              <w:rPr>
                <w:rFonts w:hint="eastAsia"/>
              </w:rPr>
              <w:t>1404</w:t>
            </w:r>
          </w:p>
        </w:tc>
        <w:tc>
          <w:tcPr>
            <w:tcW w:w="568" w:type="pct"/>
            <w:vAlign w:val="center"/>
          </w:tcPr>
          <w:p w14:paraId="4BE09CD7">
            <w:pPr>
              <w:pStyle w:val="12"/>
              <w:jc w:val="center"/>
            </w:pPr>
            <w:r>
              <w:rPr>
                <w:rFonts w:hint="eastAsia"/>
              </w:rPr>
              <w:t>2121</w:t>
            </w:r>
          </w:p>
        </w:tc>
        <w:tc>
          <w:tcPr>
            <w:tcW w:w="568" w:type="pct"/>
            <w:vAlign w:val="center"/>
          </w:tcPr>
          <w:p w14:paraId="47C3B51A">
            <w:pPr>
              <w:pStyle w:val="12"/>
              <w:jc w:val="center"/>
            </w:pPr>
            <w:r>
              <w:rPr>
                <w:rFonts w:hint="eastAsia"/>
              </w:rPr>
              <w:t>89</w:t>
            </w:r>
          </w:p>
        </w:tc>
        <w:tc>
          <w:tcPr>
            <w:tcW w:w="568" w:type="pct"/>
            <w:vAlign w:val="center"/>
          </w:tcPr>
          <w:p w14:paraId="6EB1A7A5">
            <w:pPr>
              <w:pStyle w:val="12"/>
              <w:jc w:val="center"/>
            </w:pPr>
            <w:r>
              <w:rPr>
                <w:rFonts w:hint="eastAsia"/>
              </w:rPr>
              <w:t>—</w:t>
            </w:r>
          </w:p>
        </w:tc>
        <w:tc>
          <w:tcPr>
            <w:tcW w:w="566" w:type="pct"/>
            <w:vAlign w:val="center"/>
          </w:tcPr>
          <w:p w14:paraId="53E1C516">
            <w:pPr>
              <w:pStyle w:val="12"/>
              <w:jc w:val="center"/>
            </w:pPr>
            <w:r>
              <w:rPr>
                <w:rFonts w:hint="eastAsia"/>
              </w:rPr>
              <w:t>3614</w:t>
            </w:r>
          </w:p>
        </w:tc>
      </w:tr>
      <w:tr w14:paraId="6D81F4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93" w:type="pct"/>
            <w:vAlign w:val="center"/>
          </w:tcPr>
          <w:p w14:paraId="5C965C4E">
            <w:pPr>
              <w:pStyle w:val="12"/>
              <w:jc w:val="center"/>
            </w:pPr>
            <w:r>
              <w:rPr>
                <w:rFonts w:hint="eastAsia"/>
              </w:rPr>
              <w:t>中等学校教师</w:t>
            </w:r>
          </w:p>
        </w:tc>
        <w:tc>
          <w:tcPr>
            <w:tcW w:w="402" w:type="pct"/>
            <w:vAlign w:val="center"/>
          </w:tcPr>
          <w:p w14:paraId="19FFF701">
            <w:pPr>
              <w:pStyle w:val="12"/>
              <w:jc w:val="center"/>
            </w:pPr>
            <w:r>
              <w:rPr>
                <w:rFonts w:hint="eastAsia"/>
              </w:rPr>
              <w:t>5</w:t>
            </w:r>
          </w:p>
        </w:tc>
        <w:tc>
          <w:tcPr>
            <w:tcW w:w="692" w:type="pct"/>
            <w:vAlign w:val="center"/>
          </w:tcPr>
          <w:p w14:paraId="46D6D036">
            <w:pPr>
              <w:pStyle w:val="12"/>
              <w:jc w:val="center"/>
            </w:pPr>
            <w:r>
              <w:rPr>
                <w:rFonts w:hint="eastAsia"/>
              </w:rPr>
              <w:t>—</w:t>
            </w:r>
          </w:p>
        </w:tc>
        <w:tc>
          <w:tcPr>
            <w:tcW w:w="443" w:type="pct"/>
            <w:vAlign w:val="center"/>
          </w:tcPr>
          <w:p w14:paraId="55D77434">
            <w:pPr>
              <w:pStyle w:val="12"/>
              <w:jc w:val="center"/>
            </w:pPr>
            <w:r>
              <w:rPr>
                <w:rFonts w:hint="eastAsia"/>
              </w:rPr>
              <w:t>13</w:t>
            </w:r>
          </w:p>
        </w:tc>
        <w:tc>
          <w:tcPr>
            <w:tcW w:w="568" w:type="pct"/>
            <w:vAlign w:val="center"/>
          </w:tcPr>
          <w:p w14:paraId="4DCE1419">
            <w:pPr>
              <w:pStyle w:val="12"/>
              <w:jc w:val="center"/>
            </w:pPr>
            <w:r>
              <w:rPr>
                <w:rFonts w:hint="eastAsia"/>
              </w:rPr>
              <w:t>18</w:t>
            </w:r>
          </w:p>
        </w:tc>
        <w:tc>
          <w:tcPr>
            <w:tcW w:w="568" w:type="pct"/>
            <w:vAlign w:val="center"/>
          </w:tcPr>
          <w:p w14:paraId="55993831">
            <w:pPr>
              <w:pStyle w:val="12"/>
              <w:jc w:val="center"/>
            </w:pPr>
            <w:r>
              <w:rPr>
                <w:rFonts w:hint="eastAsia"/>
              </w:rPr>
              <w:t>6</w:t>
            </w:r>
          </w:p>
        </w:tc>
        <w:tc>
          <w:tcPr>
            <w:tcW w:w="568" w:type="pct"/>
            <w:vAlign w:val="center"/>
          </w:tcPr>
          <w:p w14:paraId="50B7B4AD">
            <w:pPr>
              <w:pStyle w:val="12"/>
              <w:jc w:val="center"/>
            </w:pPr>
            <w:r>
              <w:rPr>
                <w:rFonts w:hint="eastAsia"/>
              </w:rPr>
              <w:t>—</w:t>
            </w:r>
          </w:p>
        </w:tc>
        <w:tc>
          <w:tcPr>
            <w:tcW w:w="566" w:type="pct"/>
            <w:vAlign w:val="center"/>
          </w:tcPr>
          <w:p w14:paraId="313E9101">
            <w:pPr>
              <w:pStyle w:val="12"/>
              <w:jc w:val="center"/>
            </w:pPr>
            <w:r>
              <w:rPr>
                <w:rFonts w:hint="eastAsia"/>
              </w:rPr>
              <w:t>42</w:t>
            </w:r>
          </w:p>
        </w:tc>
      </w:tr>
      <w:tr w14:paraId="013879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93" w:type="pct"/>
            <w:vAlign w:val="center"/>
          </w:tcPr>
          <w:p w14:paraId="7806EB75">
            <w:pPr>
              <w:pStyle w:val="12"/>
              <w:jc w:val="center"/>
            </w:pPr>
            <w:r>
              <w:rPr>
                <w:rFonts w:hint="eastAsia"/>
              </w:rPr>
              <w:t>新闻专业人员</w:t>
            </w:r>
          </w:p>
        </w:tc>
        <w:tc>
          <w:tcPr>
            <w:tcW w:w="402" w:type="pct"/>
            <w:vAlign w:val="center"/>
          </w:tcPr>
          <w:p w14:paraId="58415962">
            <w:pPr>
              <w:pStyle w:val="12"/>
              <w:jc w:val="center"/>
            </w:pPr>
            <w:r>
              <w:rPr>
                <w:rFonts w:hint="eastAsia"/>
              </w:rPr>
              <w:t>—</w:t>
            </w:r>
          </w:p>
        </w:tc>
        <w:tc>
          <w:tcPr>
            <w:tcW w:w="692" w:type="pct"/>
            <w:vAlign w:val="center"/>
          </w:tcPr>
          <w:p w14:paraId="056D5292">
            <w:pPr>
              <w:pStyle w:val="12"/>
              <w:jc w:val="center"/>
            </w:pPr>
            <w:r>
              <w:rPr>
                <w:rFonts w:hint="eastAsia"/>
              </w:rPr>
              <w:t>—</w:t>
            </w:r>
          </w:p>
        </w:tc>
        <w:tc>
          <w:tcPr>
            <w:tcW w:w="443" w:type="pct"/>
            <w:vAlign w:val="center"/>
          </w:tcPr>
          <w:p w14:paraId="73D4ABE1">
            <w:pPr>
              <w:pStyle w:val="12"/>
              <w:jc w:val="center"/>
            </w:pPr>
            <w:r>
              <w:rPr>
                <w:rFonts w:hint="eastAsia"/>
              </w:rPr>
              <w:t>4</w:t>
            </w:r>
          </w:p>
        </w:tc>
        <w:tc>
          <w:tcPr>
            <w:tcW w:w="568" w:type="pct"/>
            <w:vAlign w:val="center"/>
          </w:tcPr>
          <w:p w14:paraId="78E40F2A">
            <w:pPr>
              <w:pStyle w:val="12"/>
              <w:jc w:val="center"/>
            </w:pPr>
            <w:r>
              <w:rPr>
                <w:rFonts w:hint="eastAsia"/>
              </w:rPr>
              <w:t>15</w:t>
            </w:r>
          </w:p>
        </w:tc>
        <w:tc>
          <w:tcPr>
            <w:tcW w:w="568" w:type="pct"/>
            <w:vAlign w:val="center"/>
          </w:tcPr>
          <w:p w14:paraId="2FFFAF5C">
            <w:pPr>
              <w:pStyle w:val="12"/>
              <w:jc w:val="center"/>
            </w:pPr>
            <w:r>
              <w:rPr>
                <w:rFonts w:hint="eastAsia"/>
              </w:rPr>
              <w:t>2</w:t>
            </w:r>
          </w:p>
        </w:tc>
        <w:tc>
          <w:tcPr>
            <w:tcW w:w="568" w:type="pct"/>
            <w:vAlign w:val="center"/>
          </w:tcPr>
          <w:p w14:paraId="46806D92">
            <w:pPr>
              <w:pStyle w:val="12"/>
              <w:jc w:val="center"/>
            </w:pPr>
            <w:r>
              <w:rPr>
                <w:rFonts w:hint="eastAsia"/>
              </w:rPr>
              <w:t>—</w:t>
            </w:r>
          </w:p>
        </w:tc>
        <w:tc>
          <w:tcPr>
            <w:tcW w:w="566" w:type="pct"/>
            <w:vAlign w:val="center"/>
          </w:tcPr>
          <w:p w14:paraId="37815CD6">
            <w:pPr>
              <w:pStyle w:val="12"/>
              <w:jc w:val="center"/>
            </w:pPr>
            <w:r>
              <w:rPr>
                <w:rFonts w:hint="eastAsia"/>
              </w:rPr>
              <w:t>21</w:t>
            </w:r>
          </w:p>
        </w:tc>
      </w:tr>
      <w:tr w14:paraId="115316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93" w:type="pct"/>
            <w:vAlign w:val="center"/>
          </w:tcPr>
          <w:p w14:paraId="68B9A2FC">
            <w:pPr>
              <w:pStyle w:val="12"/>
              <w:jc w:val="center"/>
            </w:pPr>
            <w:r>
              <w:rPr>
                <w:rFonts w:hint="eastAsia"/>
              </w:rPr>
              <w:t>艺术专业人员</w:t>
            </w:r>
          </w:p>
        </w:tc>
        <w:tc>
          <w:tcPr>
            <w:tcW w:w="402" w:type="pct"/>
            <w:vAlign w:val="center"/>
          </w:tcPr>
          <w:p w14:paraId="4C8DE2D4">
            <w:pPr>
              <w:pStyle w:val="12"/>
              <w:jc w:val="center"/>
            </w:pPr>
            <w:r>
              <w:rPr>
                <w:rFonts w:hint="eastAsia"/>
              </w:rPr>
              <w:t>—</w:t>
            </w:r>
          </w:p>
        </w:tc>
        <w:tc>
          <w:tcPr>
            <w:tcW w:w="692" w:type="pct"/>
            <w:vAlign w:val="center"/>
          </w:tcPr>
          <w:p w14:paraId="7FF1DFEC">
            <w:pPr>
              <w:pStyle w:val="12"/>
              <w:jc w:val="center"/>
            </w:pPr>
            <w:r>
              <w:rPr>
                <w:rFonts w:hint="eastAsia"/>
              </w:rPr>
              <w:t>—</w:t>
            </w:r>
          </w:p>
        </w:tc>
        <w:tc>
          <w:tcPr>
            <w:tcW w:w="443" w:type="pct"/>
            <w:vAlign w:val="center"/>
          </w:tcPr>
          <w:p w14:paraId="18032E76">
            <w:pPr>
              <w:pStyle w:val="12"/>
              <w:jc w:val="center"/>
            </w:pPr>
            <w:r>
              <w:rPr>
                <w:rFonts w:hint="eastAsia"/>
              </w:rPr>
              <w:t>3</w:t>
            </w:r>
          </w:p>
        </w:tc>
        <w:tc>
          <w:tcPr>
            <w:tcW w:w="568" w:type="pct"/>
            <w:vAlign w:val="center"/>
          </w:tcPr>
          <w:p w14:paraId="4D769DB4">
            <w:pPr>
              <w:pStyle w:val="12"/>
              <w:jc w:val="center"/>
            </w:pPr>
            <w:r>
              <w:rPr>
                <w:rFonts w:hint="eastAsia"/>
              </w:rPr>
              <w:t>17</w:t>
            </w:r>
          </w:p>
        </w:tc>
        <w:tc>
          <w:tcPr>
            <w:tcW w:w="568" w:type="pct"/>
            <w:vAlign w:val="center"/>
          </w:tcPr>
          <w:p w14:paraId="45E55BCC">
            <w:pPr>
              <w:pStyle w:val="12"/>
              <w:jc w:val="center"/>
            </w:pPr>
            <w:r>
              <w:rPr>
                <w:rFonts w:hint="eastAsia"/>
              </w:rPr>
              <w:t>12</w:t>
            </w:r>
          </w:p>
        </w:tc>
        <w:tc>
          <w:tcPr>
            <w:tcW w:w="568" w:type="pct"/>
            <w:vAlign w:val="center"/>
          </w:tcPr>
          <w:p w14:paraId="253EF657">
            <w:pPr>
              <w:pStyle w:val="12"/>
              <w:jc w:val="center"/>
            </w:pPr>
            <w:r>
              <w:rPr>
                <w:rFonts w:hint="eastAsia"/>
              </w:rPr>
              <w:t>—</w:t>
            </w:r>
          </w:p>
        </w:tc>
        <w:tc>
          <w:tcPr>
            <w:tcW w:w="566" w:type="pct"/>
            <w:vAlign w:val="center"/>
          </w:tcPr>
          <w:p w14:paraId="341E88B5">
            <w:pPr>
              <w:pStyle w:val="12"/>
              <w:jc w:val="center"/>
            </w:pPr>
            <w:r>
              <w:rPr>
                <w:rFonts w:hint="eastAsia"/>
              </w:rPr>
              <w:t>32</w:t>
            </w:r>
          </w:p>
        </w:tc>
      </w:tr>
      <w:tr w14:paraId="7204A3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93" w:type="pct"/>
            <w:vAlign w:val="center"/>
          </w:tcPr>
          <w:p w14:paraId="205CBCE0">
            <w:pPr>
              <w:pStyle w:val="12"/>
              <w:jc w:val="center"/>
            </w:pPr>
            <w:r>
              <w:rPr>
                <w:rFonts w:hint="eastAsia"/>
              </w:rPr>
              <w:t>工艺美术</w:t>
            </w:r>
          </w:p>
        </w:tc>
        <w:tc>
          <w:tcPr>
            <w:tcW w:w="402" w:type="pct"/>
            <w:vAlign w:val="center"/>
          </w:tcPr>
          <w:p w14:paraId="6BC58BE3">
            <w:pPr>
              <w:pStyle w:val="12"/>
              <w:jc w:val="center"/>
            </w:pPr>
            <w:r>
              <w:rPr>
                <w:rFonts w:hint="eastAsia"/>
              </w:rPr>
              <w:t>—</w:t>
            </w:r>
          </w:p>
        </w:tc>
        <w:tc>
          <w:tcPr>
            <w:tcW w:w="692" w:type="pct"/>
            <w:vAlign w:val="center"/>
          </w:tcPr>
          <w:p w14:paraId="46BAD6E3">
            <w:pPr>
              <w:pStyle w:val="12"/>
              <w:jc w:val="center"/>
            </w:pPr>
            <w:r>
              <w:rPr>
                <w:rFonts w:hint="eastAsia"/>
              </w:rPr>
              <w:t>—</w:t>
            </w:r>
          </w:p>
        </w:tc>
        <w:tc>
          <w:tcPr>
            <w:tcW w:w="443" w:type="pct"/>
            <w:vAlign w:val="center"/>
          </w:tcPr>
          <w:p w14:paraId="64CA3947">
            <w:pPr>
              <w:pStyle w:val="12"/>
              <w:jc w:val="center"/>
            </w:pPr>
            <w:r>
              <w:rPr>
                <w:rFonts w:hint="eastAsia"/>
              </w:rPr>
              <w:t>—</w:t>
            </w:r>
          </w:p>
        </w:tc>
        <w:tc>
          <w:tcPr>
            <w:tcW w:w="568" w:type="pct"/>
            <w:vAlign w:val="center"/>
          </w:tcPr>
          <w:p w14:paraId="0E7FE621">
            <w:pPr>
              <w:pStyle w:val="12"/>
              <w:jc w:val="center"/>
            </w:pPr>
            <w:r>
              <w:rPr>
                <w:rFonts w:hint="eastAsia"/>
              </w:rPr>
              <w:t>4</w:t>
            </w:r>
          </w:p>
        </w:tc>
        <w:tc>
          <w:tcPr>
            <w:tcW w:w="568" w:type="pct"/>
            <w:vAlign w:val="center"/>
          </w:tcPr>
          <w:p w14:paraId="4F516147">
            <w:pPr>
              <w:pStyle w:val="12"/>
              <w:jc w:val="center"/>
            </w:pPr>
            <w:r>
              <w:rPr>
                <w:rFonts w:hint="eastAsia"/>
              </w:rPr>
              <w:t>1</w:t>
            </w:r>
          </w:p>
        </w:tc>
        <w:tc>
          <w:tcPr>
            <w:tcW w:w="568" w:type="pct"/>
            <w:vAlign w:val="center"/>
          </w:tcPr>
          <w:p w14:paraId="2A36658F">
            <w:pPr>
              <w:pStyle w:val="12"/>
              <w:jc w:val="center"/>
            </w:pPr>
            <w:r>
              <w:rPr>
                <w:rFonts w:hint="eastAsia"/>
              </w:rPr>
              <w:t>—</w:t>
            </w:r>
          </w:p>
        </w:tc>
        <w:tc>
          <w:tcPr>
            <w:tcW w:w="566" w:type="pct"/>
            <w:vAlign w:val="center"/>
          </w:tcPr>
          <w:p w14:paraId="139977B9">
            <w:pPr>
              <w:pStyle w:val="12"/>
              <w:jc w:val="center"/>
            </w:pPr>
            <w:r>
              <w:rPr>
                <w:rFonts w:hint="eastAsia"/>
              </w:rPr>
              <w:t>5</w:t>
            </w:r>
          </w:p>
        </w:tc>
      </w:tr>
      <w:tr w14:paraId="43E87A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93" w:type="pct"/>
            <w:vAlign w:val="center"/>
          </w:tcPr>
          <w:p w14:paraId="6C828776">
            <w:pPr>
              <w:pStyle w:val="12"/>
              <w:jc w:val="center"/>
            </w:pPr>
            <w:r>
              <w:rPr>
                <w:rFonts w:hint="eastAsia"/>
              </w:rPr>
              <w:t>合计</w:t>
            </w:r>
          </w:p>
        </w:tc>
        <w:tc>
          <w:tcPr>
            <w:tcW w:w="402" w:type="pct"/>
            <w:vAlign w:val="center"/>
          </w:tcPr>
          <w:p w14:paraId="0FDC26F5">
            <w:pPr>
              <w:pStyle w:val="12"/>
              <w:jc w:val="center"/>
            </w:pPr>
            <w:r>
              <w:rPr>
                <w:rFonts w:hint="eastAsia"/>
              </w:rPr>
              <w:t>26</w:t>
            </w:r>
          </w:p>
        </w:tc>
        <w:tc>
          <w:tcPr>
            <w:tcW w:w="692" w:type="pct"/>
            <w:vAlign w:val="center"/>
          </w:tcPr>
          <w:p w14:paraId="5577036E">
            <w:pPr>
              <w:pStyle w:val="12"/>
              <w:jc w:val="center"/>
            </w:pPr>
            <w:r>
              <w:rPr>
                <w:rFonts w:hint="eastAsia"/>
              </w:rPr>
              <w:t>199</w:t>
            </w:r>
          </w:p>
        </w:tc>
        <w:tc>
          <w:tcPr>
            <w:tcW w:w="443" w:type="pct"/>
            <w:vAlign w:val="center"/>
          </w:tcPr>
          <w:p w14:paraId="04A3BF93">
            <w:pPr>
              <w:pStyle w:val="12"/>
              <w:jc w:val="center"/>
            </w:pPr>
            <w:r>
              <w:rPr>
                <w:rFonts w:hint="eastAsia"/>
              </w:rPr>
              <w:t>2897</w:t>
            </w:r>
          </w:p>
        </w:tc>
        <w:tc>
          <w:tcPr>
            <w:tcW w:w="568" w:type="pct"/>
            <w:vAlign w:val="center"/>
          </w:tcPr>
          <w:p w14:paraId="43BA7175">
            <w:pPr>
              <w:pStyle w:val="12"/>
              <w:jc w:val="center"/>
            </w:pPr>
            <w:r>
              <w:rPr>
                <w:rFonts w:hint="eastAsia"/>
              </w:rPr>
              <w:t>4136</w:t>
            </w:r>
          </w:p>
        </w:tc>
        <w:tc>
          <w:tcPr>
            <w:tcW w:w="568" w:type="pct"/>
            <w:vAlign w:val="center"/>
          </w:tcPr>
          <w:p w14:paraId="022EC450">
            <w:pPr>
              <w:pStyle w:val="12"/>
              <w:jc w:val="center"/>
            </w:pPr>
            <w:r>
              <w:rPr>
                <w:rFonts w:hint="eastAsia"/>
              </w:rPr>
              <w:t>1215</w:t>
            </w:r>
          </w:p>
        </w:tc>
        <w:tc>
          <w:tcPr>
            <w:tcW w:w="568" w:type="pct"/>
            <w:vAlign w:val="center"/>
          </w:tcPr>
          <w:p w14:paraId="0A7BA4A7">
            <w:pPr>
              <w:pStyle w:val="12"/>
              <w:jc w:val="center"/>
            </w:pPr>
            <w:r>
              <w:rPr>
                <w:rFonts w:hint="eastAsia"/>
              </w:rPr>
              <w:t>19</w:t>
            </w:r>
          </w:p>
        </w:tc>
        <w:tc>
          <w:tcPr>
            <w:tcW w:w="566" w:type="pct"/>
            <w:vAlign w:val="center"/>
          </w:tcPr>
          <w:p w14:paraId="35CA664E">
            <w:pPr>
              <w:pStyle w:val="12"/>
              <w:jc w:val="center"/>
            </w:pPr>
            <w:r>
              <w:rPr>
                <w:rFonts w:hint="eastAsia"/>
              </w:rPr>
              <w:t>8492</w:t>
            </w:r>
          </w:p>
        </w:tc>
      </w:tr>
    </w:tbl>
    <w:p w14:paraId="4D17E0E5">
      <w:pPr>
        <w:pStyle w:val="3"/>
        <w:rPr>
          <w:rFonts w:ascii="宋体" w:hAnsi="宋体" w:cs="宋体"/>
        </w:rPr>
      </w:pPr>
      <w:r>
        <w:rPr>
          <w:rFonts w:hint="eastAsia" w:ascii="宋体" w:hAnsi="宋体" w:cs="宋体"/>
        </w:rPr>
        <w:t>第三章  卫生</w:t>
      </w:r>
    </w:p>
    <w:p w14:paraId="7CC883F0">
      <w:pPr>
        <w:ind w:firstLine="420"/>
        <w:rPr>
          <w:rFonts w:ascii="宋体" w:hAnsi="宋体" w:cs="宋体"/>
        </w:rPr>
      </w:pPr>
      <w:r>
        <w:rPr>
          <w:rFonts w:hint="eastAsia" w:ascii="宋体" w:hAnsi="宋体" w:cs="宋体"/>
        </w:rPr>
        <w:t>南雄中医历史悠久。相传东晋道教理论家、医学家葛洪，曾在县属姮娥嶂炼丹，授民以仙茅治病。宋元以来，历代均有能医名于州县。1915年西医传入南雄，中西医竞相发展。1949年，全县有中西医务人员108人，每2060人有1名医务人员。</w:t>
      </w:r>
    </w:p>
    <w:p w14:paraId="33D94A85">
      <w:pPr>
        <w:ind w:firstLine="420"/>
        <w:rPr>
          <w:rFonts w:ascii="宋体" w:hAnsi="宋体" w:cs="宋体"/>
        </w:rPr>
      </w:pPr>
      <w:r>
        <w:rPr>
          <w:rFonts w:hint="eastAsia" w:ascii="宋体" w:hAnsi="宋体" w:cs="宋体"/>
        </w:rPr>
        <w:t>新中国成立后，医疗卫生事业日益发展。2004年底止，全市有各类卫生事业机构30个（含社会医疗机构5个），其中卫生系统有市级医院2间（人民医院、中医院），市级防保机构3间（疾病控制中心、慢性病防治站、妇幼保健院），镇级卫生院19间，另有村级卫生站245间，工矿、企业、学校保健医疗室5间，个体诊所7间，医疗网点已遍布城乡，布局也比较合理。全市共有卫生技术人员948人，乡村医生245人，平均每千人口拥有卫生技术人员2.7人；设有住院病床536张，平均每千人口拥有病床1.2张；城乡卫生面貌明显改善，一些危害人民健康的疾病已基本消灭或得到控制。1950年，天花绝迹。1953年，霍乱绝迹。脊髓灰质炎从1980年起、白喉从1983年起，均无病例发生。1996年消灭了丝虫病，麻疹、百日咳、流行性脑膜炎、疟疾、乙脑等传染病均得到控制，发病率逐年下降。1999年12月，通过了省级“基本消灭麻风病”考核验收。全市已普及新法接生，基本上消灭了新生儿破伤风。1997年，广东省人民政府授予南雄市为“农村人人享有初级卫生保健达标市”。</w:t>
      </w:r>
    </w:p>
    <w:p w14:paraId="11E8F468">
      <w:pPr>
        <w:pStyle w:val="4"/>
        <w:rPr>
          <w:rFonts w:ascii="宋体" w:hAnsi="宋体" w:cs="宋体"/>
        </w:rPr>
      </w:pPr>
      <w:r>
        <w:rPr>
          <w:rFonts w:hint="eastAsia" w:ascii="宋体" w:hAnsi="宋体" w:cs="宋体"/>
        </w:rPr>
        <w:t>第一节  历代名中医  名药铺</w:t>
      </w:r>
    </w:p>
    <w:p w14:paraId="42A74EA4">
      <w:pPr>
        <w:pStyle w:val="5"/>
        <w:rPr>
          <w:rFonts w:ascii="宋体" w:hAnsi="宋体" w:cs="宋体"/>
        </w:rPr>
      </w:pPr>
      <w:r>
        <w:rPr>
          <w:rFonts w:hint="eastAsia" w:ascii="宋体" w:hAnsi="宋体" w:cs="宋体"/>
        </w:rPr>
        <w:t>一、名中医</w:t>
      </w:r>
    </w:p>
    <w:p w14:paraId="7AF57271">
      <w:pPr>
        <w:ind w:firstLine="420"/>
        <w:rPr>
          <w:rFonts w:ascii="宋体" w:hAnsi="宋体" w:cs="宋体"/>
        </w:rPr>
      </w:pPr>
      <w:r>
        <w:rPr>
          <w:rFonts w:hint="eastAsia" w:ascii="宋体" w:hAnsi="宋体" w:cs="宋体"/>
        </w:rPr>
        <w:t>旧志记载，元代，南雄路设医学教授一员，掌考校医生，辨认药材。设惠民药局，置提领一员，掌市药修剂。医学教授和惠民药局提领均由名医担任。明洪武十八年（1385年），南雄府设医学正科一员，选名医担任，管理保昌、始兴两县医事，对医生定期三年一考，及格者委任医官。医学正科定期向医户讲授古典医学，初一、十五还组织医户交流诊治经验。清代仍沿袭明制。</w:t>
      </w:r>
    </w:p>
    <w:p w14:paraId="6E72BD1C">
      <w:pPr>
        <w:ind w:firstLine="420"/>
        <w:rPr>
          <w:rFonts w:ascii="宋体" w:hAnsi="宋体" w:cs="宋体"/>
        </w:rPr>
      </w:pPr>
      <w:r>
        <w:rPr>
          <w:rFonts w:hint="eastAsia" w:ascii="宋体" w:hAnsi="宋体" w:cs="宋体"/>
        </w:rPr>
        <w:t>明代曾任南雄府医学正科的名医有温思齐、李郁、彭子膺、李秀奇、陈轩、李儒、彭世清、廖仲恭、褐一元等。清代康熙年间，名医张中和，南雄县人，医术高明，对《内经》很有研究，著有《西来集》、《知蒙医镜》。雍正年间，名医刘殿超任南雄府医学正科，颇得众望。乾隆年间，南雄府医学正科尹廉宜，精通内科。光绪年间，名医蔡应生医好南雄直隶州官顽病。民间名医世家陈一刀，水南人，擅长外科，名闻乡里。</w:t>
      </w:r>
    </w:p>
    <w:p w14:paraId="3052E3C0">
      <w:pPr>
        <w:ind w:firstLine="420"/>
        <w:rPr>
          <w:rFonts w:ascii="宋体" w:hAnsi="宋体" w:cs="宋体"/>
        </w:rPr>
      </w:pPr>
      <w:r>
        <w:rPr>
          <w:rFonts w:hint="eastAsia" w:ascii="宋体" w:hAnsi="宋体" w:cs="宋体"/>
        </w:rPr>
        <w:t>民国5年（1916年），县城福建会馆聘请龙岩县名医邓次威到南雄行医。邓医术高明，治病不分富贵贫贱，深受人民爱戴。名医朱选青，南雄城郊尚书里人，民国初年曾拜浙江金华名医朱丹溪的门徒为师，广研医籍，颇有创见，专长内科，名闻遐迩。朱选青的门徒胡锡朋、朱礼儒、邱乐山、廖圣乎4人都成为南雄较有名望的中医。此外，还有张景述、梁荫天、严美州、李谷庵、刘树元、黄文初等都是内科名医。民国30年12月南雄成立中医师公会，会员共有67人，民国37年发展到115人。</w:t>
      </w:r>
    </w:p>
    <w:p w14:paraId="116EFAD6">
      <w:pPr>
        <w:ind w:firstLine="420"/>
        <w:rPr>
          <w:rFonts w:ascii="宋体" w:hAnsi="宋体" w:cs="宋体"/>
        </w:rPr>
      </w:pPr>
      <w:r>
        <w:rPr>
          <w:rFonts w:hint="eastAsia" w:ascii="宋体" w:hAnsi="宋体" w:cs="宋体"/>
        </w:rPr>
        <w:t>新中国成立后，南雄城较有名望的老中医有刘必松、桂学岐、莫道真，相继有王志学、卢道澄、吴永炎、黄德焯以及跌打医生张发海等，均有较高的诊治水平。</w:t>
      </w:r>
    </w:p>
    <w:p w14:paraId="11242213">
      <w:pPr>
        <w:ind w:firstLine="420"/>
        <w:rPr>
          <w:rFonts w:ascii="宋体" w:hAnsi="宋体" w:cs="宋体"/>
        </w:rPr>
      </w:pPr>
      <w:r>
        <w:rPr>
          <w:rFonts w:hint="eastAsia" w:ascii="宋体" w:hAnsi="宋体" w:cs="宋体"/>
        </w:rPr>
        <w:t>以上名医张中和、陈一刀、朱选青、朱礼儒事见本志人物编人物传。</w:t>
      </w:r>
    </w:p>
    <w:p w14:paraId="22F4D714">
      <w:pPr>
        <w:ind w:firstLine="420"/>
        <w:rPr>
          <w:rFonts w:ascii="宋体" w:hAnsi="宋体" w:cs="宋体"/>
        </w:rPr>
      </w:pPr>
      <w:r>
        <w:rPr>
          <w:rFonts w:hint="eastAsia" w:ascii="宋体" w:hAnsi="宋体" w:cs="宋体"/>
        </w:rPr>
        <w:t>中医成才出道主要靠家传、带徒、自学。</w:t>
      </w:r>
    </w:p>
    <w:p w14:paraId="207F3C99">
      <w:pPr>
        <w:ind w:firstLine="420"/>
        <w:rPr>
          <w:rFonts w:ascii="宋体" w:hAnsi="宋体" w:cs="宋体"/>
        </w:rPr>
      </w:pPr>
      <w:r>
        <w:rPr>
          <w:rFonts w:hint="eastAsia" w:ascii="宋体" w:hAnsi="宋体" w:cs="宋体"/>
        </w:rPr>
        <w:t>家传。原雄州镇卫生院名跌打医生张发海是八代祖传名医，1979年由韶关地区卫生局授予名老中医称号。1982年8月，韶关市卫生局批准其晋升为中医主治医生。中医院中医叶保初也是五代祖传名医，内科以金鉴方为主，妇科以傅青主方为纲，医理不俗，疗效显著。</w:t>
      </w:r>
    </w:p>
    <w:p w14:paraId="6F97F8DF">
      <w:pPr>
        <w:ind w:firstLine="420"/>
        <w:rPr>
          <w:rFonts w:ascii="宋体" w:hAnsi="宋体" w:cs="宋体"/>
        </w:rPr>
      </w:pPr>
      <w:r>
        <w:rPr>
          <w:rFonts w:hint="eastAsia" w:ascii="宋体" w:hAnsi="宋体" w:cs="宋体"/>
        </w:rPr>
        <w:t>带徒。一般3年为期。学徒期间，按师傅规定学习古典医著，听师傅讲授诊治经验，跟师傅习诊，给师傅帮工打杂，师傅只给食宿，无其他报酬，年节还要给师傅送礼。3年期满，经师傅认可，才允许自立行医。</w:t>
      </w:r>
    </w:p>
    <w:p w14:paraId="04C2FEE6">
      <w:pPr>
        <w:ind w:firstLine="420"/>
        <w:rPr>
          <w:rFonts w:ascii="宋体" w:hAnsi="宋体" w:cs="宋体"/>
        </w:rPr>
      </w:pPr>
      <w:r>
        <w:rPr>
          <w:rFonts w:hint="eastAsia" w:ascii="宋体" w:hAnsi="宋体" w:cs="宋体"/>
        </w:rPr>
        <w:t>自学。自习古典医著，熟悉中药材性能，不断总结实践经验，提高诊治水平。晚清的蔡应生，民国时期的李谷庵、莫道真，中华人民共和国时期的吴永炎、霍明煌、戴辉明等都是自学成才者。</w:t>
      </w:r>
    </w:p>
    <w:p w14:paraId="18DCFFEC">
      <w:pPr>
        <w:ind w:firstLine="420"/>
        <w:rPr>
          <w:rFonts w:ascii="宋体" w:hAnsi="宋体" w:cs="宋体"/>
        </w:rPr>
      </w:pPr>
      <w:r>
        <w:rPr>
          <w:rFonts w:hint="eastAsia" w:ascii="宋体" w:hAnsi="宋体" w:cs="宋体"/>
        </w:rPr>
        <w:t>中医行医方式，有设诊所行医，医生只诊病开方，不卖药，病人持处方到药店购药。较多的是自开药店行医，医生既开方看病又开药店售药。亦有店主出资金开办药店，雇请有名望的医生坐堂诊病开方。还有民间游医，肩挑药品，走村串户，出售膏、丹、丸、散，专治奇难杂症、小儿疳积等。或摆档行医，每圩日设立临时档口，出售自制的跌打药酒、膏、丹、丸、散等。</w:t>
      </w:r>
    </w:p>
    <w:p w14:paraId="14798986">
      <w:pPr>
        <w:pStyle w:val="5"/>
        <w:rPr>
          <w:rFonts w:ascii="宋体" w:hAnsi="宋体" w:cs="宋体"/>
        </w:rPr>
      </w:pPr>
      <w:r>
        <w:rPr>
          <w:rFonts w:hint="eastAsia" w:ascii="宋体" w:hAnsi="宋体" w:cs="宋体"/>
        </w:rPr>
        <w:t>二、名药铺</w:t>
      </w:r>
    </w:p>
    <w:p w14:paraId="0D105647">
      <w:pPr>
        <w:ind w:firstLine="420"/>
        <w:rPr>
          <w:rFonts w:ascii="宋体" w:hAnsi="宋体" w:cs="宋体"/>
        </w:rPr>
      </w:pPr>
      <w:r>
        <w:rPr>
          <w:rFonts w:hint="eastAsia" w:ascii="宋体" w:hAnsi="宋体" w:cs="宋体"/>
        </w:rPr>
        <w:t>清末，南雄城内有中药店铺9间。彭天益、保安泰、万顺堂、中和堂等颇有名望。民国时期，县城中药店发展到68间，农村各圩镇有35间。县城较大的药店有同兴义、中和堂、万顺堂、保安泰、保安福、裕生堂、同记、祥和全、庆隆、仁济生、明天好等。</w:t>
      </w:r>
    </w:p>
    <w:p w14:paraId="5F77C19E">
      <w:pPr>
        <w:ind w:firstLine="420"/>
        <w:rPr>
          <w:rFonts w:ascii="宋体" w:hAnsi="宋体" w:cs="宋体"/>
        </w:rPr>
      </w:pPr>
      <w:r>
        <w:rPr>
          <w:rFonts w:hint="eastAsia" w:ascii="宋体" w:hAnsi="宋体" w:cs="宋体"/>
        </w:rPr>
        <w:t>万顺堂开业于道光十年（1830年），业主是江西清江人梅汉屏。该店有店员30多人，前店营业，后店加工制膏丹丸散。药品以质量优良、加工泡制精细而著称。</w:t>
      </w:r>
    </w:p>
    <w:p w14:paraId="46D9EDAD">
      <w:pPr>
        <w:ind w:firstLine="420"/>
        <w:rPr>
          <w:rFonts w:ascii="宋体" w:hAnsi="宋体" w:cs="宋体"/>
        </w:rPr>
      </w:pPr>
      <w:r>
        <w:rPr>
          <w:rFonts w:hint="eastAsia" w:ascii="宋体" w:hAnsi="宋体" w:cs="宋体"/>
        </w:rPr>
        <w:t>同兴义药店开业于光绪十五年（1889年），业主是江西清江人戴竹斋。该店有店员50余人，前店零售，后店批发。另有中成药加工厂，集“樟树药帮”、“广东药帮”传统工艺，制作20多种中成药，畅销江西、广东两省。</w:t>
      </w:r>
    </w:p>
    <w:p w14:paraId="7D2CE52B">
      <w:pPr>
        <w:ind w:firstLine="420"/>
        <w:rPr>
          <w:rFonts w:ascii="宋体" w:hAnsi="宋体" w:cs="宋体"/>
        </w:rPr>
      </w:pPr>
      <w:r>
        <w:rPr>
          <w:rFonts w:hint="eastAsia" w:ascii="宋体" w:hAnsi="宋体" w:cs="宋体"/>
        </w:rPr>
        <w:t>明天好药店开业于民国36年（1947年），业主吴不忧是个思想进步的民主人士，聘请刘树元、朱礼儒为坐堂医生。吴不忧自编二条标语和三句顺口溜，书于该店墙壁上，以阐明其经营宗旨。标语是：“誓愿不以发财为目的，希望各界援助，彼多得服务机会；素食朋友办的药店，宁可无卖，也要卖正货。”三句顺口溜是：“医生好，药品好，有病痛，明天好；免诊金，药费少，贫穷人，命可保；明天好，明天好，你我他，大家好。”药店门庭若市。</w:t>
      </w:r>
    </w:p>
    <w:p w14:paraId="50DE9066">
      <w:pPr>
        <w:pStyle w:val="4"/>
        <w:rPr>
          <w:rFonts w:ascii="宋体" w:hAnsi="宋体" w:cs="宋体"/>
        </w:rPr>
      </w:pPr>
      <w:r>
        <w:rPr>
          <w:rFonts w:hint="eastAsia" w:ascii="宋体" w:hAnsi="宋体" w:cs="宋体"/>
        </w:rPr>
        <w:t>第二节  医疗机构</w:t>
      </w:r>
    </w:p>
    <w:p w14:paraId="2DE0C693">
      <w:pPr>
        <w:ind w:firstLine="422"/>
        <w:rPr>
          <w:rFonts w:ascii="宋体" w:hAnsi="宋体" w:cs="宋体"/>
        </w:rPr>
      </w:pPr>
      <w:r>
        <w:rPr>
          <w:rFonts w:hint="eastAsia" w:ascii="宋体" w:hAnsi="宋体" w:cs="宋体"/>
          <w:b/>
          <w:bCs/>
        </w:rPr>
        <w:t xml:space="preserve">南雄市人民医院 </w:t>
      </w:r>
      <w:r>
        <w:rPr>
          <w:rFonts w:hint="eastAsia" w:ascii="宋体" w:hAnsi="宋体" w:cs="宋体"/>
        </w:rPr>
        <w:t xml:space="preserve"> 该医院是一间集医疗、教学、科研、保健、康复为一体的功能齐全的综合性二级甲等医院。医院前身是1949年9月县人民政府接收国民党县政府办的卫生院。1957年改名南雄县人民医院。1958年在中山街兵房新建医院办公大楼和内、外科留医病房大楼，面积3000平方米。1980年后，新建制剂与化验大楼1幢，外科与产科大楼各1幢，职工宿舍3幢，建筑面积达10010平方米。2004年，投入6000多万元兴建新的综合大楼投入使用，全部病房配备电视、空调、电话、中心供氧、中心呼叫、卫生间、太阳能热水供应等设备，提供宾馆式服务。2005年1月实现全院电脑化办公，实行电子病历，计算机收费。至2005年，医院占地面积67962平方米，建筑面积36000平方米。在职职工373人，其中高级技术职称11人，中级技术职称96人。开设内科、外科、骨科、妇产科、中医科、儿科、传染科、五官科、急诊科、ICU科等临床科室和功能科、放射科、检验科、MR、CT室、胃镜室等医技检查科室。设置病床208张，实际可开设病床356张。1994年被世界卫生组织和国家卫生部联合授予“爱婴医院”称号。1997年被广东省委、省政府表彰为文明单位。1998年率先开展了微创颅内血肿穿刺术治疗高血压性脑出血取得了显著疗效。该课题被卫生部课题协作组定为“全国指导医院”。1998年被评为“广东省白求恩式先进集体”。韶关市十佳医院。</w:t>
      </w:r>
    </w:p>
    <w:p w14:paraId="7E531507">
      <w:pPr>
        <w:ind w:firstLine="422"/>
        <w:rPr>
          <w:rFonts w:ascii="宋体" w:hAnsi="宋体" w:cs="宋体"/>
        </w:rPr>
      </w:pPr>
      <w:r>
        <w:rPr>
          <w:rFonts w:hint="eastAsia" w:ascii="宋体" w:hAnsi="宋体" w:cs="宋体"/>
          <w:b/>
          <w:bCs/>
        </w:rPr>
        <w:t xml:space="preserve">南雄市中医院 </w:t>
      </w:r>
      <w:r>
        <w:rPr>
          <w:rFonts w:hint="eastAsia" w:ascii="宋体" w:hAnsi="宋体" w:cs="宋体"/>
        </w:rPr>
        <w:t xml:space="preserve"> 1998年雄州医院与原南雄中医院合并，组建南雄市中医院，院部设在原雄州医院。该院是一所集医疗、教学、科研、保健、康复为一体的多功能、多学科的综合性医院。占地面积2.3万平方米，建筑面积2.1万平方米，现有职工176人，中级专业技术人员49人，开设病床150张。临床业务科室有：急诊科、内儿科、外科、妇产科、骨伤科、肛肠科、皮肤科、理疗针灸科、五官科、口腔科、预防保健科、药剂科。医技科室有：放射科、检验科、功能科、体外振波碎石室、内窥镜室。拥有影像、检验、诊断、治疗仪器设备60多台（件）。该院具有中医特色又擅长中西医结合，医院的综合诊治能力和应急能力不断得到提高。2001年被省卫生厅评为“文明医院”，又是韶关大学医学院、连州卫生学校及江西赣州市卫生学校的教学医院。</w:t>
      </w:r>
    </w:p>
    <w:p w14:paraId="58B1E9E4">
      <w:pPr>
        <w:ind w:firstLine="422"/>
        <w:rPr>
          <w:rFonts w:ascii="宋体" w:hAnsi="宋体" w:cs="宋体"/>
        </w:rPr>
      </w:pPr>
      <w:r>
        <w:rPr>
          <w:rFonts w:hint="eastAsia" w:ascii="宋体" w:hAnsi="宋体" w:cs="宋体"/>
          <w:b/>
          <w:bCs/>
        </w:rPr>
        <w:t>乡镇卫生院</w:t>
      </w:r>
      <w:r>
        <w:rPr>
          <w:rFonts w:hint="eastAsia" w:ascii="宋体" w:hAnsi="宋体" w:cs="宋体"/>
        </w:rPr>
        <w:t xml:space="preserve">  1952年至1953年，县人民政府先后在各区设立卫生所，并组织社会医生举办联合诊所。1958年联合诊所并入卫生所，成立公社卫生院。1986年撤区建乡后改为乡镇卫生院。1987年全县24间乡镇卫生院共有病床342张，卫技人员418人，其中副主任医师2人，主治医师70人。1996年，有8所卫生院达一级甲等标准，10所卫生院达一级乙等标准，6所为合格卫生院。2004年，镇卫生院19间，病床166张，卫技人员312人，其中中级技术职称36人，初级技术职称277人。</w:t>
      </w:r>
    </w:p>
    <w:p w14:paraId="4D6F90CA">
      <w:pPr>
        <w:ind w:firstLine="422"/>
        <w:rPr>
          <w:rFonts w:ascii="宋体" w:hAnsi="宋体" w:cs="宋体"/>
        </w:rPr>
      </w:pPr>
      <w:r>
        <w:rPr>
          <w:rFonts w:hint="eastAsia" w:ascii="宋体" w:hAnsi="宋体" w:cs="宋体"/>
          <w:b/>
          <w:bCs/>
        </w:rPr>
        <w:t>乡村医疗卫生站</w:t>
      </w:r>
      <w:r>
        <w:rPr>
          <w:rFonts w:hint="eastAsia" w:ascii="宋体" w:hAnsi="宋体" w:cs="宋体"/>
        </w:rPr>
        <w:t xml:space="preserve">  1987年全县在行政村设有乡村医疗卫生站288间，其中卫生院办27间，乡政府办45间，个体办216间。全县有乡村医生143人，卫生员131人（不含卫生院办27间的国家医务人员）。县政府为稳定乡医队伍，搞好农村预防保健工作，每年拨给专款42000元，给每个乡村医生每年补助120元，作为从事防保工作误工补贴款（1995年后取消补贴）。2004年全市有村卫生站245间，乡村医生245人。</w:t>
      </w:r>
    </w:p>
    <w:p w14:paraId="6E37D454">
      <w:pPr>
        <w:ind w:firstLine="422"/>
        <w:rPr>
          <w:rFonts w:ascii="宋体" w:hAnsi="宋体" w:cs="宋体"/>
        </w:rPr>
      </w:pPr>
      <w:r>
        <w:rPr>
          <w:rFonts w:hint="eastAsia" w:ascii="宋体" w:hAnsi="宋体" w:cs="宋体"/>
          <w:b/>
          <w:bCs/>
        </w:rPr>
        <w:t>工矿、企业、学校医疗室</w:t>
      </w:r>
      <w:r>
        <w:rPr>
          <w:rFonts w:hint="eastAsia" w:ascii="宋体" w:hAnsi="宋体" w:cs="宋体"/>
        </w:rPr>
        <w:t xml:space="preserve">  1987年，全县有工矿、企业、学校保健医疗室22间，共有卫生工作人员109人，其中中医师3人，西医师16人，中医士3人，西医士15人，护士8人，助产士2人。2004年仅存5间，有卫生技术人员10人。</w:t>
      </w:r>
    </w:p>
    <w:p w14:paraId="708451BE">
      <w:pPr>
        <w:ind w:firstLine="422"/>
        <w:rPr>
          <w:rFonts w:ascii="宋体" w:hAnsi="宋体" w:cs="宋体"/>
        </w:rPr>
      </w:pPr>
      <w:r>
        <w:rPr>
          <w:rFonts w:hint="eastAsia" w:ascii="宋体" w:hAnsi="宋体" w:cs="宋体"/>
          <w:b/>
          <w:bCs/>
        </w:rPr>
        <w:t>个体诊所</w:t>
      </w:r>
      <w:r>
        <w:rPr>
          <w:rFonts w:hint="eastAsia" w:ascii="宋体" w:hAnsi="宋体" w:cs="宋体"/>
        </w:rPr>
        <w:t xml:space="preserve">  1978年至1987年，私人开设专科诊所30间，其中在县城19间，在乡村11间；从事骨科4间，西医内科10间，中医内科7间，皮肤科1间，牙科6间，外科1间，痔疮科1间，从业人员130多人。2004年全市经审批的有个体诊所7间，从业人员7人。</w:t>
      </w:r>
    </w:p>
    <w:p w14:paraId="24CE58BD">
      <w:pPr>
        <w:pStyle w:val="4"/>
        <w:rPr>
          <w:rFonts w:ascii="宋体" w:hAnsi="宋体" w:cs="宋体"/>
        </w:rPr>
      </w:pPr>
      <w:r>
        <w:rPr>
          <w:rFonts w:hint="eastAsia" w:ascii="宋体" w:hAnsi="宋体" w:cs="宋体"/>
        </w:rPr>
        <w:t>第三节  卫生防疫</w:t>
      </w:r>
    </w:p>
    <w:p w14:paraId="7E79ADAA">
      <w:pPr>
        <w:ind w:firstLine="420"/>
        <w:rPr>
          <w:rFonts w:ascii="宋体" w:hAnsi="宋体" w:cs="宋体"/>
        </w:rPr>
      </w:pPr>
      <w:r>
        <w:rPr>
          <w:rFonts w:hint="eastAsia" w:ascii="宋体" w:hAnsi="宋体" w:cs="宋体"/>
        </w:rPr>
        <w:t>新中国成立后，逐步建立健全县、乡镇、村三级卫生防疫网。1950年在南雄县人民医院内设公卫组，负责全县卫生防疫工作。1955年3月，成立南雄县卫生防疫站，下设公卫、麻防、妇幼功能科室。1987年有工作人员39人，其中副主任医师1人，主治（主管）医师5人。另外24个乡镇卫生院有防疫人员52人，230间村卫生站设兼职防疫员236人，各医院均设立疑似传染病门诊登记和报告卡片，强化疫情报告制度。2003年7月1日，卫生防疫站一分为二，成立南雄市疾病预防控制中心和南雄市卫生监督所。</w:t>
      </w:r>
    </w:p>
    <w:p w14:paraId="03D312FD">
      <w:pPr>
        <w:pStyle w:val="5"/>
        <w:rPr>
          <w:rFonts w:ascii="宋体" w:hAnsi="宋体" w:cs="宋体"/>
        </w:rPr>
      </w:pPr>
      <w:r>
        <w:rPr>
          <w:rFonts w:hint="eastAsia" w:ascii="宋体" w:hAnsi="宋体" w:cs="宋体"/>
        </w:rPr>
        <w:t>一、传染病防治</w:t>
      </w:r>
    </w:p>
    <w:p w14:paraId="631EAB7C">
      <w:pPr>
        <w:ind w:firstLine="422"/>
        <w:rPr>
          <w:rFonts w:ascii="宋体" w:hAnsi="宋体" w:cs="宋体"/>
        </w:rPr>
      </w:pPr>
      <w:r>
        <w:rPr>
          <w:rFonts w:hint="eastAsia" w:ascii="宋体" w:hAnsi="宋体" w:cs="宋体"/>
          <w:b/>
          <w:bCs/>
        </w:rPr>
        <w:t>霍乱、副霍乱</w:t>
      </w:r>
      <w:r>
        <w:rPr>
          <w:rFonts w:hint="eastAsia" w:ascii="宋体" w:hAnsi="宋体" w:cs="宋体"/>
        </w:rPr>
        <w:t xml:space="preserve">  民国18年（1929年），县城及上朔、锦陂、大塘等村庄霍乱流行（俗称发人瘟），延续5个月，死人甚多。民国22年，部分地区霍乱流行。新中国成立后，1950年至1953年，在人群中注射霍乱菌苗，并坚持做好各种预防工作。从20世纪90年代开始，市开展对一般腹泻病人、重点人群和食品卫生等外部环境进行监测。从1953年至2004年底，全县未发现霍乱病人。</w:t>
      </w:r>
    </w:p>
    <w:p w14:paraId="610C264E">
      <w:pPr>
        <w:ind w:firstLine="422"/>
        <w:rPr>
          <w:rFonts w:ascii="宋体" w:hAnsi="宋体" w:cs="宋体"/>
        </w:rPr>
      </w:pPr>
      <w:r>
        <w:rPr>
          <w:rFonts w:hint="eastAsia" w:ascii="宋体" w:hAnsi="宋体" w:cs="宋体"/>
          <w:b/>
          <w:bCs/>
        </w:rPr>
        <w:t>天花</w:t>
      </w:r>
      <w:r>
        <w:rPr>
          <w:rFonts w:hint="eastAsia" w:ascii="宋体" w:hAnsi="宋体" w:cs="宋体"/>
        </w:rPr>
        <w:t xml:space="preserve">  民国28年（1939年）5月，县内发生天花病例88人，死亡36人。1950年10月，执行国家颁布的《种痘暂行办法》免费给儿童种牛痘。至1980年止，种痘人数1142356人份。1950年至2004年底，县内未发现天花患者。</w:t>
      </w:r>
    </w:p>
    <w:p w14:paraId="0B291750">
      <w:pPr>
        <w:ind w:firstLine="422"/>
        <w:rPr>
          <w:rFonts w:ascii="宋体" w:hAnsi="宋体" w:cs="宋体"/>
        </w:rPr>
      </w:pPr>
      <w:r>
        <w:rPr>
          <w:rFonts w:hint="eastAsia" w:ascii="宋体" w:hAnsi="宋体" w:cs="宋体"/>
          <w:b/>
          <w:bCs/>
        </w:rPr>
        <w:t xml:space="preserve">白喉  </w:t>
      </w:r>
      <w:r>
        <w:rPr>
          <w:rFonts w:hint="eastAsia" w:ascii="宋体" w:hAnsi="宋体" w:cs="宋体"/>
        </w:rPr>
        <w:t>1953年白喉病人28例，死亡2例。1962年起注射白喉菌苗。1963年至1969年，因菌苗供应不正常，仍发生白喉病人666例，死亡115例。1970年至1982年，白喉菌苗供应正常，同时建立起儿童计划免疫接种卡，加强查漏补种工作，共注射581038人份。这13年间，仅发生白喉病例19人（最后1例病例发生在1982年）。1983年至1987年，接种白喉菌苗159709人份，迄今已连续23年没有发生白喉病人。</w:t>
      </w:r>
    </w:p>
    <w:p w14:paraId="07CFD585">
      <w:pPr>
        <w:ind w:firstLine="422"/>
        <w:rPr>
          <w:rFonts w:ascii="宋体" w:hAnsi="宋体" w:cs="宋体"/>
        </w:rPr>
      </w:pPr>
      <w:r>
        <w:rPr>
          <w:rFonts w:hint="eastAsia" w:ascii="宋体" w:hAnsi="宋体" w:cs="宋体"/>
          <w:b/>
          <w:bCs/>
        </w:rPr>
        <w:t>流行性脑膜炎</w:t>
      </w:r>
      <w:r>
        <w:rPr>
          <w:rFonts w:hint="eastAsia" w:ascii="宋体" w:hAnsi="宋体" w:cs="宋体"/>
        </w:rPr>
        <w:t xml:space="preserve">  1958年至1966年，全县平均发病人数20例以下。1967年发病人数突增至6636人，死亡109人。防疫部门在疫区发动群众搞好清洁卫生，室内熏蒸消毒，淡盐水漱口，内服清热中草药等措施，以控制流行。为提高人群免疫力，从1982年至1987年，全县共注射A群多糖体菌苗174454人份。实施冷链运转以来，流脑的发病情况是：1987年发病5人，1989年发病2人，1990年3例，1993年、1994年、1995年、1996年、1997年每年各发病1例，之后无流脑病例的报告。</w:t>
      </w:r>
    </w:p>
    <w:p w14:paraId="6423A177">
      <w:pPr>
        <w:ind w:firstLine="422"/>
        <w:rPr>
          <w:rFonts w:ascii="宋体" w:hAnsi="宋体" w:cs="宋体"/>
        </w:rPr>
      </w:pPr>
      <w:r>
        <w:rPr>
          <w:rFonts w:hint="eastAsia" w:ascii="宋体" w:hAnsi="宋体" w:cs="宋体"/>
          <w:b/>
          <w:bCs/>
        </w:rPr>
        <w:t>百日咳</w:t>
      </w:r>
      <w:r>
        <w:rPr>
          <w:rFonts w:hint="eastAsia" w:ascii="宋体" w:hAnsi="宋体" w:cs="宋体"/>
        </w:rPr>
        <w:t xml:space="preserve">  从1952年至1985年，全县百日咳发病25650人，年平均777人，死亡16人。1972年开始注射“百白破”三联菌苗以来，此病逐年下降，1987年发病26人。实行计划免疫后，1993年发病2例，1994年发病4例，1998年发病1例，1999年至2004年无病例报告。</w:t>
      </w:r>
    </w:p>
    <w:p w14:paraId="7238A969">
      <w:pPr>
        <w:ind w:firstLine="422"/>
        <w:rPr>
          <w:rFonts w:ascii="宋体" w:hAnsi="宋体" w:cs="宋体"/>
        </w:rPr>
      </w:pPr>
      <w:r>
        <w:rPr>
          <w:rFonts w:hint="eastAsia" w:ascii="宋体" w:hAnsi="宋体" w:cs="宋体"/>
          <w:b/>
          <w:bCs/>
        </w:rPr>
        <w:t>麻疹</w:t>
      </w:r>
      <w:r>
        <w:rPr>
          <w:rFonts w:hint="eastAsia" w:ascii="宋体" w:hAnsi="宋体" w:cs="宋体"/>
        </w:rPr>
        <w:t xml:space="preserve">  民国时期麻疹流行，幼儿死亡不少。新中国成立后，仍有散发流行。1971年为最多，发病9453人。死亡41人。1973年至1987年，注射麻疹疫苗300913人份，1987年发病仅1名。开展计划免疫后，1990年至1994年累计发病数为439例（其中1992年为暴发年，发病例数为353例）。1995年至2003年九年间累计发病数仅为27例，年平均3例。2004年在乌迳镇和油山镇出现小范围的麻疹局部暴发，累计发病数为23例，无死亡病例。</w:t>
      </w:r>
    </w:p>
    <w:p w14:paraId="6BDAC2F0">
      <w:pPr>
        <w:ind w:firstLine="422"/>
        <w:rPr>
          <w:rFonts w:ascii="宋体" w:hAnsi="宋体" w:cs="宋体"/>
        </w:rPr>
      </w:pPr>
      <w:r>
        <w:rPr>
          <w:rFonts w:hint="eastAsia" w:ascii="宋体" w:hAnsi="宋体" w:cs="宋体"/>
          <w:b/>
          <w:bCs/>
        </w:rPr>
        <w:t>流行性感冒</w:t>
      </w:r>
      <w:r>
        <w:rPr>
          <w:rFonts w:hint="eastAsia" w:ascii="宋体" w:hAnsi="宋体" w:cs="宋体"/>
        </w:rPr>
        <w:t xml:space="preserve">  1974年至1977年曾经发生3次较大的流行性感冒流行。1974年发病人数10100人，发病率为2903.84/10万。1975年发病人数17784人，发病率为5017/10万。1977年发病人数28408人，发病率为7732.17/10万。1978年至1987年，加强预防“流感”宣传，搞好群防群治，对病人实行隔离治疗，流行性感冒者逐年下降。1987年为314人，1988年至1992年累计发病为1822例，年均发病率为80.88/10万。1993年至2004年流感的发病率有了明显的下降，12年间共发病471例，其间在2003年中小学校发生局部暴发，发病数为141例，为发病数较多的一年。</w:t>
      </w:r>
    </w:p>
    <w:p w14:paraId="50ED05EE">
      <w:pPr>
        <w:ind w:firstLine="422"/>
        <w:rPr>
          <w:rFonts w:ascii="宋体" w:hAnsi="宋体" w:cs="宋体"/>
        </w:rPr>
      </w:pPr>
      <w:r>
        <w:rPr>
          <w:rFonts w:hint="eastAsia" w:ascii="宋体" w:hAnsi="宋体" w:cs="宋体"/>
          <w:b/>
          <w:bCs/>
        </w:rPr>
        <w:t>痢疾</w:t>
      </w:r>
      <w:r>
        <w:rPr>
          <w:rFonts w:hint="eastAsia" w:ascii="宋体" w:hAnsi="宋体" w:cs="宋体"/>
        </w:rPr>
        <w:t xml:space="preserve">  发病最高年份为1971年2502例，1975年为2398例，其余年份均在500例～1120例之间。1982年执行《中华人民共和国食品卫生法》，改善饮用水卫生和个人卫生，痢疾病人逐年下降。1987年发病363人，发病率为90/10万，80年代后期到90年代初期发病数维持在每年300例～400例之间。1995年至2000年期间，发病数下降到每年200例左右。2001年至2004年发病数下降到每年100例左右。</w:t>
      </w:r>
    </w:p>
    <w:p w14:paraId="6FC0C41C">
      <w:pPr>
        <w:ind w:firstLine="422"/>
        <w:rPr>
          <w:rFonts w:ascii="宋体" w:hAnsi="宋体" w:cs="宋体"/>
        </w:rPr>
      </w:pPr>
      <w:r>
        <w:rPr>
          <w:rFonts w:hint="eastAsia" w:ascii="宋体" w:hAnsi="宋体" w:cs="宋体"/>
          <w:b/>
          <w:bCs/>
        </w:rPr>
        <w:t xml:space="preserve">伤寒、副伤寒  </w:t>
      </w:r>
      <w:r>
        <w:rPr>
          <w:rFonts w:hint="eastAsia" w:ascii="宋体" w:hAnsi="宋体" w:cs="宋体"/>
        </w:rPr>
        <w:t>1952年发生伤寒病人2例，至1981年的30年间，伤寒病人每年均在7例～40例之间。1982年，湖口公社里和大队黄泥塘生产队发生伤寒流行，发病84例。1983年至1985年，先后在乌迳、新龙、黄坑等乡镇的个别村庄流行。1986年，大塘镇个别村发病178人，无死亡。从1988年至2004年期间，市每年均有伤寒病例散发，病例数均在10例～40例之间。2003年3月13日，南雄市水口中学发生了一起伤寒疫情的局部暴发流行，采取就地中西医结合治疗，消毒杀虫等综合防治措施，使疫情很快得到控制，未发生蔓延和扩散，213名患病学生也全部康复出出院。由于农村改水和改厕工作滞后，至2004年部分农村仍有散发病例发生，伤寒防治形势仍很严峻。</w:t>
      </w:r>
    </w:p>
    <w:p w14:paraId="1F85EF2B">
      <w:pPr>
        <w:ind w:firstLine="422"/>
        <w:rPr>
          <w:rFonts w:ascii="宋体" w:hAnsi="宋体" w:cs="宋体"/>
        </w:rPr>
      </w:pPr>
      <w:r>
        <w:rPr>
          <w:rFonts w:hint="eastAsia" w:ascii="宋体" w:hAnsi="宋体" w:cs="宋体"/>
          <w:b/>
          <w:bCs/>
        </w:rPr>
        <w:t>脊髓灰质炎（小儿麻痹症）</w:t>
      </w:r>
      <w:r>
        <w:rPr>
          <w:rFonts w:hint="eastAsia" w:ascii="宋体" w:hAnsi="宋体" w:cs="宋体"/>
        </w:rPr>
        <w:t xml:space="preserve">  从1957年至1979年，全县共发生67例，死亡7例。1964年开始对2个月至7周岁儿童服食脊髓灰质炎活疫苗糖丸。1985年改用脊髓灰质炎混合疫苗。做到送药到手，看服到肚，造册登记，逐个核对，严格把关。至1987年止，共服680331人次。从1992年起，市每年开展2轮糖丸强化免疫活动，其中1994年另增加2轮糖丸强化活动。由于强化工作落实，每轮的服食率以镇为单位均达95%以上。自1979年9月份发生最后1例脊髓灰质炎以来，已连续26年无病例发生。</w:t>
      </w:r>
    </w:p>
    <w:p w14:paraId="133F2571">
      <w:pPr>
        <w:ind w:firstLine="422"/>
        <w:rPr>
          <w:rFonts w:ascii="宋体" w:hAnsi="宋体" w:cs="宋体"/>
        </w:rPr>
      </w:pPr>
      <w:r>
        <w:rPr>
          <w:rFonts w:hint="eastAsia" w:ascii="宋体" w:hAnsi="宋体" w:cs="宋体"/>
          <w:b/>
          <w:bCs/>
        </w:rPr>
        <w:t>流行性乙型脑炎（简称乙脑）</w:t>
      </w:r>
      <w:r>
        <w:rPr>
          <w:rFonts w:hint="eastAsia" w:ascii="宋体" w:hAnsi="宋体" w:cs="宋体"/>
        </w:rPr>
        <w:t xml:space="preserve">  1953年至1986年，全县共发病1033人，死亡285人。其中1970年至1973年，发病557人，死亡89人。1974年开始在全县普遍注射“乙脑”疫苗，发病人数逐年下降。至1987年共注射571771人次，是年发病11人，死亡2人，1988年发病15人，死亡4人。实施冷链运转以后，全市的乙脑病例大幅度下降，从1990年至1998年的9年间共发生乙脑病例12例，死亡3例。从1999年至2004年无乙脑病例报告。2003年开始把乙脑疫苗纳入了计划免疫。</w:t>
      </w:r>
    </w:p>
    <w:p w14:paraId="3D17FFF1">
      <w:pPr>
        <w:ind w:firstLine="422"/>
        <w:rPr>
          <w:rFonts w:ascii="宋体" w:hAnsi="宋体" w:cs="宋体"/>
        </w:rPr>
      </w:pPr>
      <w:r>
        <w:rPr>
          <w:rFonts w:hint="eastAsia" w:ascii="宋体" w:hAnsi="宋体" w:cs="宋体"/>
          <w:b/>
          <w:bCs/>
        </w:rPr>
        <w:t xml:space="preserve">病毒性肝炎 </w:t>
      </w:r>
      <w:r>
        <w:rPr>
          <w:rFonts w:hint="eastAsia" w:ascii="宋体" w:hAnsi="宋体" w:cs="宋体"/>
        </w:rPr>
        <w:t xml:space="preserve"> 病毒性肝炎疫情报告工作始于1961年，由于报告制度不健全、诊断标准不完善等原因，病毒性肝炎漏报较大。20世纪60年代，全市报告病毒性肝炎344例，死亡3例；70年代累计共报告3217例，死亡20例，年均发病率为71.56/10万，病死率为0.62%；80年代累计报告病例数1552例，死亡6例，年均发病率34.5/10万，病死率为0.38%；90年代累计报告2730例，无死亡病例报告，年均发病率60.67/10万。90年代初，全县开始推广使用乙肝疫苗预防乙型肝炎，1999年下半年省卫生厅把南雄列入广东省农村地区控制乙型肝炎的5个试点县之一，开展了对新生儿乙肝疫苗的规范接种。2002年下半年又把乙肝疫苗纳入了计划免疫。2000年至2004年5年间累计报告病毒性肝炎986例，死亡2例。年均发病率为43.77/10万。特别是10岁以下儿童，由于接种了乙肝疫苗，发病数从90年代前5年累计的696例，下降到90年代末5年累计的63例，下降了90.95%，年均发病率从397.14/10万下降至42/10万。</w:t>
      </w:r>
    </w:p>
    <w:p w14:paraId="074D4E08">
      <w:pPr>
        <w:ind w:firstLine="422"/>
        <w:rPr>
          <w:rFonts w:ascii="宋体" w:hAnsi="宋体" w:cs="宋体"/>
        </w:rPr>
      </w:pPr>
      <w:r>
        <w:rPr>
          <w:rFonts w:hint="eastAsia" w:ascii="宋体" w:hAnsi="宋体" w:cs="宋体"/>
          <w:b/>
          <w:bCs/>
        </w:rPr>
        <w:t xml:space="preserve">结核病 </w:t>
      </w:r>
      <w:r>
        <w:rPr>
          <w:rFonts w:hint="eastAsia" w:ascii="宋体" w:hAnsi="宋体" w:cs="宋体"/>
        </w:rPr>
        <w:t xml:space="preserve"> 1993年8月，县政府发布《关于实施结核病结控项目的布告》，并成立了由主管文教卫生副县长任组长的“南雄县结核病控制项目领导小组”，慢病站相应设立了“南雄县慢病站结核病防治科”，由7名工作人员组成结控项目防治督导小组。同年8月26日，南雄市“世界银行贷款中国结核病控制项目”正式启动。1998年，结控项目实现了电脑化管理。在“世界银行贷款中国结核病控制项目”期间，市政府投入经费84.35万元，慢病站接诊检查可疑病人7045例，痰检7368人次，查出活动性肺结核病人1410例，有1335名传染性结核病人得到了免费治疗，上级下达的总涂阳任务965例，完成了1286例。至2001年12月31日，初治涂阳病人满疗程1004例，治愈977例，治愈率达97.31%，复发和其他涂阳病人满疗程197例，治愈166例，治愈率84.26%。2000年4月，韶关市第四次全国结核病流行病学调查在南雄大塘爱敬村进行，共检查344户，受检1421人，受检率98.89%，查出涂阳病人5例，患病率35.18／万。说明南雄市结核病的流行状况不容乐观。2004年南雄市开展了乡村医生“结核病控制项目防治知识”培训，培训乡村医生210人，培训率达95%。</w:t>
      </w:r>
    </w:p>
    <w:p w14:paraId="04EB2A55">
      <w:pPr>
        <w:ind w:firstLine="422"/>
        <w:rPr>
          <w:rFonts w:ascii="宋体" w:hAnsi="宋体" w:cs="宋体"/>
        </w:rPr>
      </w:pPr>
      <w:r>
        <w:rPr>
          <w:rFonts w:hint="eastAsia" w:ascii="宋体" w:hAnsi="宋体" w:cs="宋体"/>
          <w:b/>
          <w:bCs/>
        </w:rPr>
        <w:t xml:space="preserve">性病 </w:t>
      </w:r>
      <w:r>
        <w:rPr>
          <w:rFonts w:hint="eastAsia" w:ascii="宋体" w:hAnsi="宋体" w:cs="宋体"/>
        </w:rPr>
        <w:t xml:space="preserve"> 解放前，本县有性病流行。解放后，党和政府对性病进行了强有力的防治，在一段时期内得到了控制。自20世纪80年代以后，性病又开始在南通县流行，进入90年代，性病流行迅猛发展，广泛传播，引起了全社会共同关注。慢病站从20世纪90年代开始逐渐加强了性病防治工作，组织培养医务人员，开展性病实验室建设。2000年，南雄市已确定为韶关市性病监测哨点市，逐步建立健全性病防治网络，慢病站成为市性病防治中心，人民医院、中医院、妇保院为哨点医院。性病报告的病种有艾滋病、梅毒、淋病、非淋菌性尿道（阴道）炎、软下疳、性病性淋巴肉芽肿、尖锐湿疣、生殖器疱疹8种。2004年市慢病站被评为“广东省规范化县区级中心性病实验室”。</w:t>
      </w:r>
    </w:p>
    <w:p w14:paraId="254068D2">
      <w:pPr>
        <w:pStyle w:val="5"/>
        <w:rPr>
          <w:rFonts w:ascii="宋体" w:hAnsi="宋体" w:cs="宋体"/>
        </w:rPr>
      </w:pPr>
      <w:r>
        <w:rPr>
          <w:rFonts w:hint="eastAsia" w:ascii="宋体" w:hAnsi="宋体" w:cs="宋体"/>
        </w:rPr>
        <w:t>二、地方病防治</w:t>
      </w:r>
    </w:p>
    <w:p w14:paraId="7C0D34A8">
      <w:pPr>
        <w:ind w:firstLine="422"/>
        <w:rPr>
          <w:rFonts w:ascii="宋体" w:hAnsi="宋体" w:cs="宋体"/>
        </w:rPr>
      </w:pPr>
      <w:r>
        <w:rPr>
          <w:rFonts w:hint="eastAsia" w:ascii="宋体" w:hAnsi="宋体" w:cs="宋体"/>
          <w:b/>
          <w:bCs/>
        </w:rPr>
        <w:t>丝虫病</w:t>
      </w:r>
      <w:r>
        <w:rPr>
          <w:rFonts w:hint="eastAsia" w:ascii="宋体" w:hAnsi="宋体" w:cs="宋体"/>
        </w:rPr>
        <w:t xml:space="preserve">  1971年组织普查普治队伍，在全县21个公社的75个大队取血片检查，受检人数247262人，受检率为96.55%，其中发现微丝蚴患者1748人，阳性率为0.71%。发病较高的有城镇、黎口、古市、全安4个公社。采用服食海群生（枸叶椽酸乙胺嗪）片的治疗方法，发病率大大下降。1980年又组织专业队伍对全县171个自然村进行普查，发现患者22235人，采用海群生片掺拌食盐进行治疗，疗效显著。1982年全县基本消灭丝虫病。1996年通过省验收，达到消灭丝虫病标准。2004年，按省的要求完成了广东省消灭丝虫病后监测任务，在全安、古市共取片复查1000人份，无1例阳性。</w:t>
      </w:r>
    </w:p>
    <w:p w14:paraId="7F01D322">
      <w:pPr>
        <w:ind w:firstLine="422"/>
        <w:rPr>
          <w:rFonts w:ascii="宋体" w:hAnsi="宋体" w:cs="宋体"/>
        </w:rPr>
      </w:pPr>
      <w:r>
        <w:rPr>
          <w:rFonts w:hint="eastAsia" w:ascii="宋体" w:hAnsi="宋体" w:cs="宋体"/>
          <w:b/>
          <w:bCs/>
        </w:rPr>
        <w:t xml:space="preserve">肝吸虫病 </w:t>
      </w:r>
      <w:r>
        <w:rPr>
          <w:rFonts w:hint="eastAsia" w:ascii="宋体" w:hAnsi="宋体" w:cs="宋体"/>
        </w:rPr>
        <w:t xml:space="preserve"> 1980年9月，卫生防疫部门组织专业队伍分别在水口公社沙头、黎口公社勋口等村庄，进行肝吸虫病的查治，粪检947人，发现阳性病人214人。1981年在勋口村进行粪检1201人，阳性病人150人。采用血防846药物和吡喹酮药物治疗，经3个月后复查，仅1例病者未愈。1983年9月，在水口区开展查治，粪检1275人，阳性病人108人，以吡喹酮药物治疗，3个月后复查，患者全部治愈。1986年6月在县城卷烟厂、氮肥厂、公路工区、计划生育办公室、政府机关等798人粪检中，发病25人，阳性率3.13%，门诊治疗后，3个月复查均愈。</w:t>
      </w:r>
    </w:p>
    <w:p w14:paraId="2F86682E">
      <w:pPr>
        <w:ind w:firstLine="422"/>
        <w:rPr>
          <w:rFonts w:ascii="宋体" w:hAnsi="宋体" w:cs="宋体"/>
        </w:rPr>
      </w:pPr>
      <w:r>
        <w:rPr>
          <w:rFonts w:hint="eastAsia" w:ascii="宋体" w:hAnsi="宋体" w:cs="宋体"/>
          <w:b/>
          <w:bCs/>
        </w:rPr>
        <w:t xml:space="preserve">狂犬病 </w:t>
      </w:r>
      <w:r>
        <w:rPr>
          <w:rFonts w:hint="eastAsia" w:ascii="宋体" w:hAnsi="宋体" w:cs="宋体"/>
        </w:rPr>
        <w:t xml:space="preserve"> 从1977年至1985年，全县被狗咬伤6828人，及时注射狂犬疫苗的有6687人，因治疗不及时或治疗不当而死的有136人。1985年至1986年，全县再次动员灭犬，加强狂犬病防治工作，计灭犬1327只。狗咬伤人大大减少，狂犬病死亡4人。1986年至1989年共发病33人，死亡33人。由于狂犬病发病人数多，政府加强了对狂犬病的管理，20世纪90年代狂犬病发病呈直线下降。2000年至2004年，全市每年平均超过2000人被犬咬伤，发病率略有上升的趋势，5年间累计报告狂犬病9例。</w:t>
      </w:r>
    </w:p>
    <w:p w14:paraId="0A1DAAA1">
      <w:pPr>
        <w:ind w:firstLine="422"/>
        <w:rPr>
          <w:rFonts w:ascii="宋体" w:hAnsi="宋体" w:cs="宋体"/>
        </w:rPr>
      </w:pPr>
      <w:r>
        <w:rPr>
          <w:rFonts w:hint="eastAsia" w:ascii="宋体" w:hAnsi="宋体" w:cs="宋体"/>
          <w:b/>
          <w:bCs/>
        </w:rPr>
        <w:t>地方性甲状腺肿（简称“地甲病”）</w:t>
      </w:r>
      <w:r>
        <w:rPr>
          <w:rFonts w:hint="eastAsia" w:ascii="宋体" w:hAnsi="宋体" w:cs="宋体"/>
        </w:rPr>
        <w:t xml:space="preserve">  1977年，对全县24个公社进行抽样普查，在应检的93373人中，查出病人2729人，患病率在5%以上的有苍石、帽子峰、百顺、澜河、珠玑5个公社。1978年开始对以上5个公社全面供应碘盐。1984年至1985年，先后对油山、界址、邓坊、水口、梅岭、江头、大塘、主田、古市、坪田10个公社供应碘盐。1986年11月，经市、县考核验收，全县基本消灭地甲病。1999年通过省市验收，达到阶段性消除碘缺乏病。之后每年按规定进行了碘盐监测，巩固了碘缺乏病防治成果。</w:t>
      </w:r>
    </w:p>
    <w:p w14:paraId="7CEEC2E5">
      <w:pPr>
        <w:ind w:firstLine="422"/>
        <w:rPr>
          <w:rFonts w:ascii="宋体" w:hAnsi="宋体" w:cs="宋体"/>
        </w:rPr>
      </w:pPr>
      <w:r>
        <w:rPr>
          <w:rFonts w:hint="eastAsia" w:ascii="宋体" w:hAnsi="宋体" w:cs="宋体"/>
          <w:b/>
          <w:bCs/>
        </w:rPr>
        <w:t>慢性非传染性疾病</w:t>
      </w:r>
      <w:r>
        <w:rPr>
          <w:rFonts w:hint="eastAsia" w:ascii="宋体" w:hAnsi="宋体" w:cs="宋体"/>
        </w:rPr>
        <w:t xml:space="preserve">  从2003年开始，全市开始启动慢非传防治工作，先后在湖口、水口、黎口和全安4镇对随机抽取的120户开展了慢病相关危险的基线调查。2004年，又在主田、湖口、水口及雄州镇街道开展了慢病相关危险因素的调查，共调查了420户家庭。为摸清全市慢病的基本情况和提出慢病的干预措施提供了科学的依据。从1990年开始起，南雄市被中科院选取为综合的疾病监测点，至2004年底进行了15年连续、系统的出生、死亡和传染病的监测，积累了大量宝贵的资料，为上级卫生行政部门和本市制定卫生防治策略提供了可靠的科学依据。</w:t>
      </w:r>
    </w:p>
    <w:p w14:paraId="240CF05F">
      <w:pPr>
        <w:pStyle w:val="5"/>
        <w:rPr>
          <w:rFonts w:ascii="宋体" w:hAnsi="宋体" w:cs="宋体"/>
        </w:rPr>
      </w:pPr>
      <w:r>
        <w:rPr>
          <w:rFonts w:hint="eastAsia" w:ascii="宋体" w:hAnsi="宋体" w:cs="宋体"/>
        </w:rPr>
        <w:t>三、麻风病防治</w:t>
      </w:r>
    </w:p>
    <w:p w14:paraId="2C640DA7">
      <w:pPr>
        <w:ind w:firstLine="420"/>
        <w:rPr>
          <w:rFonts w:ascii="宋体" w:hAnsi="宋体" w:cs="宋体"/>
        </w:rPr>
      </w:pPr>
      <w:r>
        <w:rPr>
          <w:rFonts w:hint="eastAsia" w:ascii="宋体" w:hAnsi="宋体" w:cs="宋体"/>
        </w:rPr>
        <w:t>此病何时传入南雄，无史可查。新中国成立前，百姓视麻风病如洪水猛兽，活埋火烧麻风病患者时有发生。民国20年（1931年），粤军余汉谋部第一军第一师以出告示收治为名，将前往该师军医处（设在南亩文坑）求医的几十名麻风患者，用汽油全部烧死，其他患者闻风逃入深山老林。</w:t>
      </w:r>
    </w:p>
    <w:p w14:paraId="65BCB8FF">
      <w:pPr>
        <w:ind w:firstLine="420"/>
        <w:rPr>
          <w:rFonts w:ascii="宋体" w:hAnsi="宋体" w:cs="宋体"/>
        </w:rPr>
      </w:pPr>
      <w:r>
        <w:rPr>
          <w:rFonts w:hint="eastAsia" w:ascii="宋体" w:hAnsi="宋体" w:cs="宋体"/>
        </w:rPr>
        <w:t>新中国成立后，人民政府重视麻风病防治。1956年，全县开展线索调查。1964年至1966年分三批进行全民过滤性普查。1977年至1979年，对181个点分三批进行专业性普查。1985年至1987年，专业普查114个点。经以上多次普查，全县共发现1194名麻风病人，分布在县内各乡镇，其中黄坑、湖口、乌迳、珠玑、水口、雄州镇、黎口等乡镇麻风病人数均达50人以上，流行点有568个自然村。1953年在帽子峰小岭设立麻风病专科医院，收治麻风病患者。</w:t>
      </w:r>
    </w:p>
    <w:p w14:paraId="01144DFE">
      <w:pPr>
        <w:ind w:firstLine="420"/>
        <w:rPr>
          <w:rFonts w:ascii="宋体" w:hAnsi="宋体" w:cs="宋体"/>
        </w:rPr>
      </w:pPr>
      <w:r>
        <w:rPr>
          <w:rFonts w:hint="eastAsia" w:ascii="宋体" w:hAnsi="宋体" w:cs="宋体"/>
        </w:rPr>
        <w:t>1976年成立南雄县慢性病防治站，负责治疗病情较轻，可留家接受治疗的麻风病人，建立病人档案，定期巡回检查，免费治疗。1953年至1987年，小岭麻风病专科医院及慢性病防治站共治愈患者929人，占病人总数的78%，未愈61人，死亡204人。15年内发现有麻风病人的自然村（流行点），由568个下降到70个，患病率由2.12‰下降到0.14%，从高流行区降为中流行区。1999年，麻风患病率降至0.0088‰，已达到卫生部颁布的“基本消灭麻风病”的标准。1999年12月，通过了省级“基本消灭麻风病”考核验收。2001年4月24日，全市开展对麻风病治愈者及其家属复查工作，经过调查发现，至2001年底，全市仍有麻风病治愈存活者213人，除20人长期外出打工外，实际复查193人，无1例复发，有54例为畸残病人。检查直系家属445人，未发现麻风病。</w:t>
      </w:r>
    </w:p>
    <w:p w14:paraId="0306F68C">
      <w:pPr>
        <w:pStyle w:val="5"/>
        <w:rPr>
          <w:rFonts w:ascii="宋体" w:hAnsi="宋体" w:cs="宋体"/>
        </w:rPr>
      </w:pPr>
      <w:r>
        <w:rPr>
          <w:rFonts w:hint="eastAsia" w:ascii="宋体" w:hAnsi="宋体" w:cs="宋体"/>
        </w:rPr>
        <w:t>四、其他疾病防治</w:t>
      </w:r>
    </w:p>
    <w:p w14:paraId="2BF21650">
      <w:pPr>
        <w:ind w:firstLine="420"/>
        <w:rPr>
          <w:rFonts w:ascii="宋体" w:hAnsi="宋体" w:cs="宋体"/>
        </w:rPr>
      </w:pPr>
      <w:r>
        <w:rPr>
          <w:rFonts w:hint="eastAsia" w:ascii="宋体" w:hAnsi="宋体" w:cs="宋体"/>
        </w:rPr>
        <w:t>1958年“大跃进”后，因营养不良，部分地区连年出现浮肿病、干瘦病。1959年，全县有浮肿病人4176例，其中I度2075人，Ⅱ度702人，Ⅲ度578人。1960年增至5141人，1961年又增至5954人，还有干瘦病6996人。发病期间，县委成立防治委员会，组织医疗队下乡，拨给病区花生3.5吨，黄豆14.75吨，红豆3.25吨，眉豆1.5吨，豌豆4.5吨，小麦2.5吨。病区公社开设临时病院117间，集中病人治疗，增加营养。1962年，基本控制浮肿病、干瘦病的发生。</w:t>
      </w:r>
    </w:p>
    <w:p w14:paraId="310D368F">
      <w:pPr>
        <w:ind w:firstLine="420"/>
        <w:rPr>
          <w:rFonts w:ascii="宋体" w:hAnsi="宋体" w:cs="宋体"/>
        </w:rPr>
      </w:pPr>
      <w:r>
        <w:rPr>
          <w:rFonts w:hint="eastAsia" w:ascii="宋体" w:hAnsi="宋体" w:cs="宋体"/>
        </w:rPr>
        <w:t>2003年初，广东省乃至全国一些地区发生了非典型肺炎疫情，市卫生部门与其他部门团结协作全力以赴开展防“非典”疫情工作，落实各项防范措施，有效地预防了传染性非典型肺炎在本市的发生和流行。2004年2月，黄坑镇许村生态农庄养鸡场发生高致病性禽流感疫情，在抗击禽流感斗争中，积极开展防治工作，取得显著成绩。此外还认真开展食品、公共场所、学校等食堂的卫生监测工作，有效地控制了集体性食物中毒和职业性中毒事故。</w:t>
      </w:r>
    </w:p>
    <w:p w14:paraId="2CB0B817">
      <w:pPr>
        <w:pStyle w:val="5"/>
        <w:rPr>
          <w:rFonts w:ascii="宋体" w:hAnsi="宋体" w:cs="宋体"/>
        </w:rPr>
      </w:pPr>
      <w:r>
        <w:rPr>
          <w:rFonts w:hint="eastAsia" w:ascii="宋体" w:hAnsi="宋体" w:cs="宋体"/>
        </w:rPr>
        <w:t>五、企业学校卫生防疫</w:t>
      </w:r>
    </w:p>
    <w:p w14:paraId="0ED0C018">
      <w:pPr>
        <w:ind w:firstLine="420"/>
        <w:rPr>
          <w:rFonts w:ascii="宋体" w:hAnsi="宋体" w:cs="宋体"/>
        </w:rPr>
      </w:pPr>
      <w:r>
        <w:rPr>
          <w:rFonts w:hint="eastAsia" w:ascii="宋体" w:hAnsi="宋体" w:cs="宋体"/>
        </w:rPr>
        <w:t>加强食品卫生管理。对饮食业、食品加工业，开业前由防疫部门到现场检查、核发卫生许可证。对食品行业职工每年进行一次体检，核发健康证。对食品、食具每年进行不定期抽检。县食品卫生监督员每月不少于9天到食品门店检查。1984年至1987年，共体检7780人，占应检人数的94%，发健康证7552人，调换工种178人。从1990年至2004年共体检食品从业人员31114人，其中检出“五病”1246人，体检合格率为95.99%；体检公共场所从业人员7073人，其中检出“五病”171人，体检合格率为97.58%；共监测13类食品9333份，合格8025份，合格率为85.98%；监测餐具18669份，合格15867份，合格率为84.99%；共监测公共场所2234间20360项，合格18584项，合格率为91.27%；共监测医院消毒2551项，合格2363项，合格率为92.64%；共监测碘盐20603份，合格20415份，合格率为99.10%。</w:t>
      </w:r>
    </w:p>
    <w:p w14:paraId="56CABAEF">
      <w:pPr>
        <w:ind w:firstLine="420"/>
        <w:rPr>
          <w:rFonts w:ascii="宋体" w:hAnsi="宋体" w:cs="宋体"/>
        </w:rPr>
      </w:pPr>
      <w:r>
        <w:rPr>
          <w:rFonts w:hint="eastAsia" w:ascii="宋体" w:hAnsi="宋体" w:cs="宋体"/>
        </w:rPr>
        <w:t>学校卫生防疫。1975年至1987年每年对重点中小学学生进行健康体检。1975年检查375人，视力不良12人，占3%；1977年检查1869人，视力不良79人，占4.23%；1983年检查3053人，视力不良548人，占17.9%；1987年检查7387人，视力不良1762人，占23.85%。患砂眼学生1977年占54.4%，1987年下降到10.9%。患鼻炎学生1977年占17.8%，1987年下降到1.57%。患龈齿学生1977年占13.5%，1987年为17.2%。</w:t>
      </w:r>
    </w:p>
    <w:p w14:paraId="20F9C66E">
      <w:pPr>
        <w:pStyle w:val="4"/>
        <w:rPr>
          <w:rFonts w:ascii="宋体" w:hAnsi="宋体" w:cs="宋体"/>
        </w:rPr>
      </w:pPr>
      <w:r>
        <w:rPr>
          <w:rFonts w:hint="eastAsia" w:ascii="宋体" w:hAnsi="宋体" w:cs="宋体"/>
        </w:rPr>
        <w:t>第四节  妇幼卫生</w:t>
      </w:r>
    </w:p>
    <w:p w14:paraId="47118D31">
      <w:pPr>
        <w:ind w:firstLine="420"/>
        <w:rPr>
          <w:rFonts w:ascii="宋体" w:hAnsi="宋体" w:cs="宋体"/>
        </w:rPr>
      </w:pPr>
      <w:r>
        <w:rPr>
          <w:rFonts w:hint="eastAsia" w:ascii="宋体" w:hAnsi="宋体" w:cs="宋体"/>
        </w:rPr>
        <w:t>1953年，县卫生院在产科附设妇幼保健站。1962年建立南雄县妇幼保健所，1978年更名为妇幼保健站。2001年11月改名为南雄市妇幼保健院，编制9人。2001年晋升为一级甲等妇幼保健院。2004年，全院有正式职工43人，其中：中级职称9人，初级职称29人，工人5人。正式职工中本科学历5人，专科学历5人，中专学历28人。医院占地面积2200平方米，建筑面积4160平方米。院内设置妇产科、内儿科、婚前保健科、儿童保健科、妇女保健科、检验科、功能科及手术室等。2001年荣获“全国巾帼文明示范岗”称号。</w:t>
      </w:r>
    </w:p>
    <w:p w14:paraId="4B13FB02">
      <w:pPr>
        <w:ind w:firstLine="420"/>
        <w:rPr>
          <w:rFonts w:ascii="宋体" w:hAnsi="宋体" w:cs="宋体"/>
        </w:rPr>
      </w:pPr>
      <w:r>
        <w:rPr>
          <w:rFonts w:hint="eastAsia" w:ascii="宋体" w:hAnsi="宋体" w:cs="宋体"/>
        </w:rPr>
        <w:t>从1998年10月开始，全面对农村卫生院产科进行改建，先后共投入资金67万元，根据标准要求，共改建工作用房1380平方米，并陆续添置了一批产科器械，全部达到合格标准。1998年农村住院分娩率为45.6%，2002年达到93.7%。</w:t>
      </w:r>
    </w:p>
    <w:p w14:paraId="53E79B4C">
      <w:pPr>
        <w:pStyle w:val="5"/>
        <w:rPr>
          <w:rFonts w:ascii="宋体" w:hAnsi="宋体" w:cs="宋体"/>
        </w:rPr>
      </w:pPr>
      <w:r>
        <w:rPr>
          <w:rFonts w:hint="eastAsia" w:ascii="宋体" w:hAnsi="宋体" w:cs="宋体"/>
        </w:rPr>
        <w:t>一、新法接生与产科保健</w:t>
      </w:r>
    </w:p>
    <w:p w14:paraId="7F98BDD5">
      <w:pPr>
        <w:ind w:firstLine="420"/>
        <w:rPr>
          <w:rFonts w:ascii="宋体" w:hAnsi="宋体" w:cs="宋体"/>
        </w:rPr>
      </w:pPr>
      <w:r>
        <w:rPr>
          <w:rFonts w:hint="eastAsia" w:ascii="宋体" w:hAnsi="宋体" w:cs="宋体"/>
        </w:rPr>
        <w:t>新中国成立前，妇女分娩多是用蹲式坐盆姿势，往往造成滞产、产道裂伤及产后大出血。如遇上胎儿横位，不免母婴双双丧命。同时，因用生锈的剪刀或碗片断脐带，用不清净的破布、棉絮包扎断口，致使新生儿破伤风死亡不少。</w:t>
      </w:r>
    </w:p>
    <w:p w14:paraId="3EE31DF1">
      <w:pPr>
        <w:ind w:firstLine="420"/>
        <w:rPr>
          <w:rFonts w:ascii="宋体" w:hAnsi="宋体" w:cs="宋体"/>
        </w:rPr>
      </w:pPr>
      <w:r>
        <w:rPr>
          <w:rFonts w:hint="eastAsia" w:ascii="宋体" w:hAnsi="宋体" w:cs="宋体"/>
        </w:rPr>
        <w:t>1950年宣传推广新法接生。1952年培训新法接生员，设立接生站。1958年建立农村接产院53间，设有产床156张，新法接生率达99%。1986年普及布类包，新法接生率达99.5%。此后，把产前检查和产后访视列为产科保健的常规工作。</w:t>
      </w:r>
    </w:p>
    <w:p w14:paraId="194A3B32">
      <w:pPr>
        <w:pStyle w:val="5"/>
        <w:rPr>
          <w:rFonts w:ascii="宋体" w:hAnsi="宋体" w:cs="宋体"/>
        </w:rPr>
      </w:pPr>
      <w:r>
        <w:rPr>
          <w:rFonts w:hint="eastAsia" w:ascii="宋体" w:hAnsi="宋体" w:cs="宋体"/>
        </w:rPr>
        <w:t>二、妇科病查治</w:t>
      </w:r>
    </w:p>
    <w:p w14:paraId="3A43E298">
      <w:pPr>
        <w:ind w:firstLine="420"/>
        <w:rPr>
          <w:rFonts w:ascii="宋体" w:hAnsi="宋体" w:cs="宋体"/>
        </w:rPr>
      </w:pPr>
      <w:r>
        <w:rPr>
          <w:rFonts w:hint="eastAsia" w:ascii="宋体" w:hAnsi="宋体" w:cs="宋体"/>
        </w:rPr>
        <w:t>1959年至1961年，开展以子宫下垂、营养性闭经两病为中心的妇科病普查普治工作，采取营养、药物、手术及加上宫托环等治疗措施，使全县2200人子宫下垂患者，痊愈1100人，好转880人；2446人闭经患者的症状显著好转，其中痊愈1989人。1976年全面开展妇科病查治，普查22603人，发病7696人，发病率为34%，治疗6304人，治愈率为78%。1983年至1986年开展以查癌为中心的妇科病普查普治，全县30%多的农村妇女得到免费妇科查癌。</w:t>
      </w:r>
    </w:p>
    <w:p w14:paraId="170E7414">
      <w:pPr>
        <w:pStyle w:val="5"/>
        <w:rPr>
          <w:rFonts w:ascii="宋体" w:hAnsi="宋体" w:cs="宋体"/>
        </w:rPr>
      </w:pPr>
      <w:r>
        <w:rPr>
          <w:rFonts w:hint="eastAsia" w:ascii="宋体" w:hAnsi="宋体" w:cs="宋体"/>
        </w:rPr>
        <w:t>三、婴幼儿保健</w:t>
      </w:r>
    </w:p>
    <w:p w14:paraId="4990FF9E">
      <w:pPr>
        <w:ind w:firstLine="420"/>
        <w:rPr>
          <w:rFonts w:ascii="宋体" w:hAnsi="宋体" w:cs="宋体"/>
        </w:rPr>
      </w:pPr>
      <w:r>
        <w:rPr>
          <w:rFonts w:hint="eastAsia" w:ascii="宋体" w:hAnsi="宋体" w:cs="宋体"/>
        </w:rPr>
        <w:t>从1979年开始，坚持每年对工交、二轻、财贸3间幼儿园的幼儿进行健康检查。至1987年，入园幼儿8387人，9年共检7985人次，受检率达95.2%，平均每年体检887人；发病人数225人，发病率为2.8%。1986年，对全县7岁以下部分幼儿进行健康检查，检查了9749人，患病535人，患病率为5.35%，均给予相应的治疗，矫治3074人。</w:t>
      </w:r>
    </w:p>
    <w:p w14:paraId="13A7C666">
      <w:pPr>
        <w:ind w:firstLine="420"/>
        <w:rPr>
          <w:rFonts w:ascii="宋体" w:hAnsi="宋体" w:cs="宋体"/>
        </w:rPr>
      </w:pPr>
      <w:r>
        <w:rPr>
          <w:rFonts w:hint="eastAsia" w:ascii="宋体" w:hAnsi="宋体" w:cs="宋体"/>
        </w:rPr>
        <w:t>1979年，各公社卫生院成立儿童驱虫技术指导小组，全面开展服药驱虫。全县7岁以下儿童45601人，服驱虫药40182人，服药率为89.9%。</w:t>
      </w:r>
    </w:p>
    <w:p w14:paraId="079809C6">
      <w:pPr>
        <w:ind w:firstLine="420"/>
        <w:rPr>
          <w:rFonts w:ascii="宋体" w:hAnsi="宋体" w:cs="宋体"/>
        </w:rPr>
      </w:pPr>
      <w:r>
        <w:rPr>
          <w:rFonts w:hint="eastAsia" w:ascii="宋体" w:hAnsi="宋体" w:cs="宋体"/>
        </w:rPr>
        <w:t>从1980年开始，每双月份对出生2个月的新生儿进行卡介苗接种。1987年接种5339人，接种率为93.7%。1998年新生儿破伤风发病率高达2.53%，是全省高危县（市）之一。结合实际情况，制定了《南雄市消除新生儿破伤风工作计划》和《南雄市消除新生儿破伤风实施方案》。1999年发生新生儿破伤风5例，发病率为0.946‰。2002年全市新生儿破伤风发病率为零。</w:t>
      </w:r>
    </w:p>
    <w:p w14:paraId="2AFAE709">
      <w:pPr>
        <w:ind w:firstLine="420"/>
        <w:rPr>
          <w:rFonts w:ascii="宋体" w:hAnsi="宋体" w:cs="宋体"/>
        </w:rPr>
      </w:pPr>
      <w:r>
        <w:rPr>
          <w:rFonts w:hint="eastAsia" w:ascii="宋体" w:hAnsi="宋体" w:cs="宋体"/>
        </w:rPr>
        <w:t>1998年全市孕产妇系统管理率、0岁～3岁儿童系统管理率、0岁～6岁儿童系统管理率分别为86.3%、88.9%、91.4%，2002年上升到93.1%、93.7%、92.1%。全市先后有12间医院被韶关市授予“爱婴医院”称号。南雄市被授予“爱婴市”称号。</w:t>
      </w:r>
    </w:p>
    <w:p w14:paraId="62A0DEF8">
      <w:pPr>
        <w:pStyle w:val="4"/>
        <w:rPr>
          <w:rFonts w:ascii="宋体" w:hAnsi="宋体" w:cs="宋体"/>
        </w:rPr>
      </w:pPr>
      <w:r>
        <w:rPr>
          <w:rFonts w:hint="eastAsia" w:ascii="宋体" w:hAnsi="宋体" w:cs="宋体"/>
        </w:rPr>
        <w:t>第五节  医疗制度改革</w:t>
      </w:r>
    </w:p>
    <w:p w14:paraId="49294610">
      <w:pPr>
        <w:pStyle w:val="5"/>
        <w:rPr>
          <w:rFonts w:ascii="宋体" w:hAnsi="宋体" w:cs="宋体"/>
        </w:rPr>
      </w:pPr>
      <w:r>
        <w:rPr>
          <w:rFonts w:hint="eastAsia" w:ascii="宋体" w:hAnsi="宋体" w:cs="宋体"/>
        </w:rPr>
        <w:t>一、城镇职工医疗制度改革</w:t>
      </w:r>
    </w:p>
    <w:p w14:paraId="05029B1B">
      <w:pPr>
        <w:ind w:firstLine="420"/>
        <w:rPr>
          <w:rFonts w:ascii="宋体" w:hAnsi="宋体" w:cs="宋体"/>
        </w:rPr>
      </w:pPr>
      <w:r>
        <w:rPr>
          <w:rFonts w:hint="eastAsia" w:ascii="宋体" w:hAnsi="宋体" w:cs="宋体"/>
        </w:rPr>
        <w:t>1952年10月，南雄县开始实行公费医疗制度，享受公费医疗对象为财政预算经费内供给的行政、事业单位的正式职工（包括编制供给的试用人员）。全县有337人享受公费医疗。1987年增加到6970人，其中行政人员1738人，卫生人员945人，受长期抚恤的在乡二等以上荣誉军人27人，民政离休人员7人，文教人员3490人，科学事业人员19人，工交25人，总工会23人，农林水事业人员382人，税务、工商、财经事业人员314人。</w:t>
      </w:r>
    </w:p>
    <w:p w14:paraId="5470E14F">
      <w:pPr>
        <w:ind w:firstLine="420"/>
        <w:rPr>
          <w:rFonts w:ascii="宋体" w:hAnsi="宋体" w:cs="宋体"/>
        </w:rPr>
      </w:pPr>
      <w:r>
        <w:rPr>
          <w:rFonts w:hint="eastAsia" w:ascii="宋体" w:hAnsi="宋体" w:cs="宋体"/>
        </w:rPr>
        <w:t>公费医疗经费从卫生事业经费内列支，超支部分由地方财政负担。经费开支标准：1960年以前每人每年18元，以后逐步增加，1987年为84元。由于公费医疗经费超支过多，1981年起，逐步实行单位包干，超支部分由单位负担。有的单位包干到人，一般情况下，超支自负，节余归己。各企业单位则参照公费医疗有关规定逐步建立劳保医疗制度。</w:t>
      </w:r>
    </w:p>
    <w:p w14:paraId="35CD3B5E">
      <w:pPr>
        <w:ind w:firstLine="420"/>
        <w:rPr>
          <w:rFonts w:ascii="宋体" w:hAnsi="宋体" w:cs="宋体"/>
        </w:rPr>
      </w:pPr>
      <w:r>
        <w:rPr>
          <w:rFonts w:hint="eastAsia" w:ascii="宋体" w:hAnsi="宋体" w:cs="宋体"/>
        </w:rPr>
        <w:t>2001年12月，取消公费医疗制度，建立职工医疗保险制度。详见本志社会编第三章第六节社会和医疗保险。</w:t>
      </w:r>
    </w:p>
    <w:p w14:paraId="3DF7AFF6">
      <w:pPr>
        <w:pStyle w:val="5"/>
        <w:rPr>
          <w:rFonts w:ascii="宋体" w:hAnsi="宋体" w:cs="宋体"/>
        </w:rPr>
      </w:pPr>
      <w:r>
        <w:rPr>
          <w:rFonts w:hint="eastAsia" w:ascii="宋体" w:hAnsi="宋体" w:cs="宋体"/>
        </w:rPr>
        <w:t>二、农村合作医疗</w:t>
      </w:r>
    </w:p>
    <w:p w14:paraId="3C1218E0">
      <w:pPr>
        <w:ind w:firstLine="420"/>
        <w:rPr>
          <w:rFonts w:ascii="宋体" w:hAnsi="宋体" w:cs="宋体"/>
        </w:rPr>
      </w:pPr>
      <w:r>
        <w:rPr>
          <w:rFonts w:hint="eastAsia" w:ascii="宋体" w:hAnsi="宋体" w:cs="宋体"/>
        </w:rPr>
        <w:t>农业合作化时期，农业生产合作社普遍建立保健室。从1955年至1958年，卫生部门为农业社先后培训保健员539人次。通过保健员开展卫生知识宣传，为农民治疗小伤小病，保健药物在农业社公益金项下开支，社员看病不收费，保健员不脱产，实行误工补贴。</w:t>
      </w:r>
    </w:p>
    <w:p w14:paraId="795EF1BE">
      <w:pPr>
        <w:ind w:firstLine="420"/>
        <w:rPr>
          <w:rFonts w:ascii="宋体" w:hAnsi="宋体" w:cs="宋体"/>
        </w:rPr>
      </w:pPr>
      <w:r>
        <w:rPr>
          <w:rFonts w:hint="eastAsia" w:ascii="宋体" w:hAnsi="宋体" w:cs="宋体"/>
        </w:rPr>
        <w:t>人民公社化后，各生产大队逐步建立卫生站，由县培训半农半医赤脚医生（卫生员和大队接生员）2人～3人组成。经费在大队公益金项下支付，社员看病不收诊金，赤脚医生不收出诊费，卫生站人员报酬实行定工出勤、定额补贴。接生员实行误工补贴。</w:t>
      </w:r>
    </w:p>
    <w:p w14:paraId="0CAF9D82">
      <w:pPr>
        <w:ind w:firstLine="420"/>
        <w:rPr>
          <w:rFonts w:ascii="宋体" w:hAnsi="宋体" w:cs="宋体"/>
        </w:rPr>
      </w:pPr>
      <w:r>
        <w:rPr>
          <w:rFonts w:hint="eastAsia" w:ascii="宋体" w:hAnsi="宋体" w:cs="宋体"/>
        </w:rPr>
        <w:t>1968年推行合作医疗，全县204个大队，有200个大队办合作医疗，参加合作医疗人数达281807人，占应参加人口的91.2%。主田、界址、梅岭3个公社在队办合作医疗的基础上创办社队联办合作医疗。合作医疗资金以个人负担为主，每人每年1元左右，不足部分由大队、公社给予补助。1979年以后，随着农村经营体制改革，合作医疗站已逐步转变为自负盈亏的乡村卫生站，赤脚医生也改称为乡村医生或卫生员。</w:t>
      </w:r>
    </w:p>
    <w:p w14:paraId="033794DD">
      <w:pPr>
        <w:ind w:firstLine="420"/>
        <w:rPr>
          <w:rFonts w:ascii="宋体" w:hAnsi="宋体" w:cs="宋体"/>
        </w:rPr>
      </w:pPr>
      <w:r>
        <w:rPr>
          <w:rFonts w:hint="eastAsia" w:ascii="宋体" w:hAnsi="宋体" w:cs="宋体"/>
        </w:rPr>
        <w:t>1996年底复办农村合作医疗，至2002年上半年全市参加农村合作医疗人数已达228743人，占农村人口的61.7%。2002年下半年，根据有关政策精神，农村合作医疗工作移交农业局管理。2004年上半年又转交市卫生局管理。为建立农村医疗保障体制，解决农民看病难的问题，市政府决定实施“市办市统筹”的新型农村合作医疗管理体制，改变了原“镇办镇管”的模式，提高了合作医疗抗风险能力。2004年全市农村参加合作医疗有171142人，占农村人口的47.2%。</w:t>
      </w:r>
    </w:p>
    <w:p w14:paraId="3E9B9BF2">
      <w:pPr>
        <w:pStyle w:val="4"/>
        <w:rPr>
          <w:rFonts w:ascii="宋体" w:hAnsi="宋体" w:cs="宋体"/>
        </w:rPr>
      </w:pPr>
      <w:r>
        <w:rPr>
          <w:rFonts w:hint="eastAsia" w:ascii="宋体" w:hAnsi="宋体" w:cs="宋体"/>
        </w:rPr>
        <w:t>第六节  药政药品管理</w:t>
      </w:r>
    </w:p>
    <w:p w14:paraId="5F17463F">
      <w:pPr>
        <w:pStyle w:val="5"/>
        <w:rPr>
          <w:rFonts w:ascii="宋体" w:hAnsi="宋体" w:cs="宋体"/>
        </w:rPr>
      </w:pPr>
      <w:r>
        <w:rPr>
          <w:rFonts w:hint="eastAsia" w:ascii="宋体" w:hAnsi="宋体" w:cs="宋体"/>
        </w:rPr>
        <w:t>一、药政管理</w:t>
      </w:r>
    </w:p>
    <w:p w14:paraId="1D3B2378">
      <w:pPr>
        <w:ind w:firstLine="420"/>
        <w:rPr>
          <w:rFonts w:ascii="宋体" w:hAnsi="宋体" w:cs="宋体"/>
        </w:rPr>
      </w:pPr>
      <w:r>
        <w:rPr>
          <w:rFonts w:hint="eastAsia" w:ascii="宋体" w:hAnsi="宋体" w:cs="宋体"/>
        </w:rPr>
        <w:t>对开业的社会医务人员实行考核发证。1964年至1987年，全县经考核及格领取乡村医生证书的有143人，领取城乡个体行医执照的有32人，领到经营中、西药营业员合格证书的有99人。</w:t>
      </w:r>
    </w:p>
    <w:p w14:paraId="2C283C8D">
      <w:pPr>
        <w:ind w:firstLine="420"/>
        <w:rPr>
          <w:rFonts w:ascii="宋体" w:hAnsi="宋体" w:cs="宋体"/>
        </w:rPr>
      </w:pPr>
      <w:r>
        <w:rPr>
          <w:rFonts w:hint="eastAsia" w:ascii="宋体" w:hAnsi="宋体" w:cs="宋体"/>
        </w:rPr>
        <w:t>对经营药品门店、制剂室核发许可证。至1987年止，全县核发农村卫生站许可证200间，其中正式村卫生站121间，临时村卫生站79间；核发个体开业许可证32间，其中城镇19间，农村13间；核发可生产灭菌制剂许可证1间，生产普通制剂许可证3间；核发药品经营许可证28间，其中国营门店25间，集体门店2间，个体门店1间。1985年至1987年，县药品监督员会同工商行政部门对无牌行医、无牌药贩进行查处，取缔无证游医药贩23宗，没收药品43个品种。</w:t>
      </w:r>
    </w:p>
    <w:p w14:paraId="24829FD9">
      <w:pPr>
        <w:ind w:firstLine="420"/>
        <w:rPr>
          <w:rFonts w:ascii="宋体" w:hAnsi="宋体" w:cs="宋体"/>
        </w:rPr>
      </w:pPr>
      <w:r>
        <w:rPr>
          <w:rFonts w:hint="eastAsia" w:ascii="宋体" w:hAnsi="宋体" w:cs="宋体"/>
        </w:rPr>
        <w:t>1997年，多次清理整顿医药市场，查处无证经营药品18宗，取缔无证游医6档，无证行医诊所14间。</w:t>
      </w:r>
    </w:p>
    <w:p w14:paraId="32C6D7B9">
      <w:pPr>
        <w:pStyle w:val="5"/>
        <w:rPr>
          <w:rFonts w:ascii="宋体" w:hAnsi="宋体" w:cs="宋体"/>
        </w:rPr>
      </w:pPr>
      <w:r>
        <w:rPr>
          <w:rFonts w:hint="eastAsia" w:ascii="宋体" w:hAnsi="宋体" w:cs="宋体"/>
        </w:rPr>
        <w:t>二、药品管理</w:t>
      </w:r>
    </w:p>
    <w:p w14:paraId="294573BF">
      <w:pPr>
        <w:ind w:firstLine="420"/>
        <w:rPr>
          <w:rFonts w:ascii="宋体" w:hAnsi="宋体" w:cs="宋体"/>
        </w:rPr>
      </w:pPr>
      <w:r>
        <w:rPr>
          <w:rFonts w:hint="eastAsia" w:ascii="宋体" w:hAnsi="宋体" w:cs="宋体"/>
        </w:rPr>
        <w:t>1978年8月成立南雄县卫生局药品检验所，设立检验室和中药标本室、动物室。1983年11月，更名为南雄县药品检验所，直属卫生局领导。1987年有工作人员4人，其中药剂师1人，药剂士2人，动物饲养员1人。1979年以来对县内生产的制剂、输液、饮片、丸、散等进行不定期抽检。1974年，清查个别公社卫生院购进假天麻、假白芍，全部清理销毁。1983年清查假阿胶。1984年清查假胆草。1985年清查晋江假药及127种淘汰药品、无商标、无批文、无批号药品、过期变质药品等，共查出不合格药品46个品种，相似价值人民币28540元，全部集中烧毁。对非法生产的“虎骨膏”，全部封存，停止使用。1986年查处血竭、阿胶等假劣中药材9种，同时通过各医疗单位自查，查出长期积压的失效、霉坏变质药品及假劣中草药102种，由有关部门监督销毁。</w:t>
      </w:r>
    </w:p>
    <w:p w14:paraId="63FE9EF0">
      <w:pPr>
        <w:ind w:firstLine="420"/>
        <w:rPr>
          <w:rFonts w:ascii="宋体" w:hAnsi="宋体" w:cs="宋体"/>
        </w:rPr>
      </w:pPr>
      <w:r>
        <w:rPr>
          <w:rFonts w:hint="eastAsia" w:ascii="宋体" w:hAnsi="宋体" w:cs="宋体"/>
        </w:rPr>
        <w:t>2001年3月，市卫生局药政、药检所按上级规定划归南雄市药品监督管理局。2001年9月，韶关市药品监督管理局南雄分局成立，实行省以下垂直管理。2004年8月，又与食品监督统称为南雄市食品药品监督管理局。2002年至2004年分别出动行政执法监督检查1060人次、2285人次、577人次，对辖区内药品经营使用单位进行全面检查。2004年底止，全市经申办许可零售药店132家，其中市区45家，乡镇87家。市区45家都经过了药品经营质量管理规范GSP认证。并在各镇聘请药品质量协管员、信息员，建立药品监督网。</w:t>
      </w:r>
    </w:p>
    <w:p w14:paraId="53D7D02A">
      <w:pPr>
        <w:pStyle w:val="4"/>
        <w:rPr>
          <w:rFonts w:ascii="宋体" w:hAnsi="宋体" w:cs="宋体"/>
        </w:rPr>
      </w:pPr>
      <w:r>
        <w:rPr>
          <w:rFonts w:hint="eastAsia" w:ascii="宋体" w:hAnsi="宋体" w:cs="宋体"/>
        </w:rPr>
        <w:t>第七节  卫生队伍</w:t>
      </w:r>
    </w:p>
    <w:p w14:paraId="59DAB66D">
      <w:pPr>
        <w:ind w:firstLine="420"/>
        <w:rPr>
          <w:rFonts w:ascii="宋体" w:hAnsi="宋体" w:cs="宋体"/>
        </w:rPr>
      </w:pPr>
      <w:r>
        <w:rPr>
          <w:rFonts w:hint="eastAsia" w:ascii="宋体" w:hAnsi="宋体" w:cs="宋体"/>
        </w:rPr>
        <w:t>1949年9月，县人民政府接管民国时期的南雄县卫生院仅有员工13人，其中卫生技术人员9人。1950年以后，吸收了一批个体开业的卫生技术人员。1955年开始逐年接收医药院校、中专毕业生。1958年各公社设立卫生院，原各区卫生所和联合诊所人员归并到公社卫生院，是年全县卫生系统共有卫生技术人员133人，全县人口平均每1795.5人有一名卫生技术人员。1966年全县卫生系统有卫生技术人员291人，全县人口平均每969.5人有一名卫生技术人员。1976年全县卫生系统有卫生技术人员552人，全县人口平均每652人有一名卫生技术人员。1987年全县卫生系统有卫生技术人员748人，全县人口平均每559.7人有一名卫生技术人员。2004年，全市卫生系统有卫生技术人员929人，乡村医生245人，每千人口拥有卫生技术人员2.7人。</w:t>
      </w:r>
    </w:p>
    <w:p w14:paraId="63BEEDF5">
      <w:pPr>
        <w:ind w:firstLine="422"/>
        <w:jc w:val="center"/>
        <w:rPr>
          <w:rFonts w:ascii="宋体" w:hAnsi="宋体" w:cs="宋体"/>
          <w:b/>
          <w:bCs/>
        </w:rPr>
      </w:pPr>
      <w:r>
        <w:rPr>
          <w:rFonts w:hint="eastAsia" w:ascii="宋体" w:hAnsi="宋体" w:cs="宋体"/>
          <w:b/>
          <w:bCs/>
        </w:rPr>
        <w:t>南雄市1996年至2003年卫生系统卫生技术人员情况</w:t>
      </w:r>
    </w:p>
    <w:p w14:paraId="0FBD141D">
      <w:pPr>
        <w:ind w:firstLine="0" w:firstLineChars="0"/>
        <w:rPr>
          <w:rFonts w:ascii="宋体" w:hAnsi="宋体" w:cs="宋体"/>
          <w:b/>
          <w:bCs/>
        </w:rPr>
      </w:pPr>
      <w:r>
        <w:rPr>
          <w:rFonts w:hint="eastAsia" w:ascii="宋体" w:hAnsi="宋体" w:cs="宋体"/>
          <w:b/>
          <w:bCs/>
        </w:rPr>
        <w:t>表5-3</w:t>
      </w:r>
    </w:p>
    <w:p w14:paraId="230D4FF5">
      <w:pPr>
        <w:ind w:firstLine="422"/>
        <w:jc w:val="right"/>
        <w:rPr>
          <w:rFonts w:ascii="宋体" w:hAnsi="宋体" w:cs="宋体"/>
          <w:b/>
          <w:bCs/>
        </w:rPr>
      </w:pPr>
      <w:r>
        <w:rPr>
          <w:rFonts w:hint="eastAsia" w:ascii="宋体" w:hAnsi="宋体" w:cs="宋体"/>
          <w:b/>
          <w:bCs/>
        </w:rPr>
        <w:t>单位：人</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8"/>
        <w:gridCol w:w="1558"/>
        <w:gridCol w:w="1333"/>
        <w:gridCol w:w="1273"/>
        <w:gridCol w:w="1020"/>
        <w:gridCol w:w="1020"/>
        <w:gridCol w:w="1020"/>
        <w:gridCol w:w="1020"/>
        <w:gridCol w:w="760"/>
      </w:tblGrid>
      <w:tr w14:paraId="2058EA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Merge w:val="restart"/>
            <w:vAlign w:val="center"/>
          </w:tcPr>
          <w:p w14:paraId="3AAF133E">
            <w:pPr>
              <w:pStyle w:val="12"/>
              <w:jc w:val="center"/>
              <w:rPr>
                <w:b/>
              </w:rPr>
            </w:pPr>
            <w:r>
              <w:rPr>
                <w:rFonts w:hint="eastAsia"/>
                <w:b/>
              </w:rPr>
              <w:t>年份</w:t>
            </w:r>
          </w:p>
        </w:tc>
        <w:tc>
          <w:tcPr>
            <w:tcW w:w="782" w:type="pct"/>
            <w:vMerge w:val="restart"/>
            <w:vAlign w:val="center"/>
          </w:tcPr>
          <w:p w14:paraId="5C7D579C">
            <w:pPr>
              <w:pStyle w:val="12"/>
              <w:jc w:val="center"/>
              <w:rPr>
                <w:b/>
              </w:rPr>
            </w:pPr>
            <w:r>
              <w:rPr>
                <w:rFonts w:hint="eastAsia"/>
                <w:b/>
              </w:rPr>
              <w:t>卫生技术</w:t>
            </w:r>
          </w:p>
          <w:p w14:paraId="3D934E21">
            <w:pPr>
              <w:pStyle w:val="12"/>
              <w:jc w:val="center"/>
              <w:rPr>
                <w:b/>
              </w:rPr>
            </w:pPr>
            <w:r>
              <w:rPr>
                <w:rFonts w:hint="eastAsia"/>
                <w:b/>
              </w:rPr>
              <w:t>人员</w:t>
            </w:r>
            <w:r>
              <w:rPr>
                <w:rFonts w:hint="eastAsia" w:ascii="宋体" w:hAnsi="宋体" w:cs="宋体"/>
                <w:b/>
              </w:rPr>
              <w:t>总数</w:t>
            </w:r>
          </w:p>
        </w:tc>
        <w:tc>
          <w:tcPr>
            <w:tcW w:w="3736" w:type="pct"/>
            <w:gridSpan w:val="7"/>
            <w:vAlign w:val="center"/>
          </w:tcPr>
          <w:p w14:paraId="257BB371">
            <w:pPr>
              <w:pStyle w:val="12"/>
              <w:jc w:val="center"/>
              <w:rPr>
                <w:b/>
              </w:rPr>
            </w:pPr>
            <w:r>
              <w:rPr>
                <w:rFonts w:hint="eastAsia"/>
                <w:b/>
              </w:rPr>
              <w:t>其中</w:t>
            </w:r>
          </w:p>
        </w:tc>
      </w:tr>
      <w:tr w14:paraId="0D3475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Merge w:val="continue"/>
            <w:vAlign w:val="center"/>
          </w:tcPr>
          <w:p w14:paraId="4B2E97E9">
            <w:pPr>
              <w:pStyle w:val="12"/>
              <w:jc w:val="center"/>
              <w:rPr>
                <w:b/>
              </w:rPr>
            </w:pPr>
          </w:p>
        </w:tc>
        <w:tc>
          <w:tcPr>
            <w:tcW w:w="782" w:type="pct"/>
            <w:vMerge w:val="continue"/>
            <w:vAlign w:val="center"/>
          </w:tcPr>
          <w:p w14:paraId="5A699611">
            <w:pPr>
              <w:pStyle w:val="12"/>
              <w:jc w:val="center"/>
              <w:rPr>
                <w:b/>
              </w:rPr>
            </w:pPr>
          </w:p>
        </w:tc>
        <w:tc>
          <w:tcPr>
            <w:tcW w:w="669" w:type="pct"/>
            <w:vAlign w:val="center"/>
          </w:tcPr>
          <w:p w14:paraId="5C94E30E">
            <w:pPr>
              <w:pStyle w:val="12"/>
              <w:jc w:val="center"/>
              <w:rPr>
                <w:b/>
              </w:rPr>
            </w:pPr>
            <w:r>
              <w:rPr>
                <w:rFonts w:hint="eastAsia"/>
                <w:b/>
              </w:rPr>
              <w:t>副主任</w:t>
            </w:r>
            <w:r>
              <w:rPr>
                <w:rFonts w:hint="eastAsia" w:ascii="宋体" w:hAnsi="宋体" w:cs="宋体"/>
                <w:b/>
              </w:rPr>
              <w:t>医师</w:t>
            </w:r>
          </w:p>
        </w:tc>
        <w:tc>
          <w:tcPr>
            <w:tcW w:w="639" w:type="pct"/>
            <w:vAlign w:val="center"/>
          </w:tcPr>
          <w:p w14:paraId="6CFBBC5D">
            <w:pPr>
              <w:pStyle w:val="12"/>
              <w:jc w:val="center"/>
              <w:rPr>
                <w:b/>
              </w:rPr>
            </w:pPr>
            <w:r>
              <w:rPr>
                <w:rFonts w:hint="eastAsia"/>
                <w:b/>
              </w:rPr>
              <w:t>主治医师</w:t>
            </w:r>
          </w:p>
        </w:tc>
        <w:tc>
          <w:tcPr>
            <w:tcW w:w="512" w:type="pct"/>
            <w:vAlign w:val="center"/>
          </w:tcPr>
          <w:p w14:paraId="5132246A">
            <w:pPr>
              <w:pStyle w:val="12"/>
              <w:jc w:val="center"/>
              <w:rPr>
                <w:b/>
              </w:rPr>
            </w:pPr>
            <w:r>
              <w:rPr>
                <w:rFonts w:hint="eastAsia"/>
                <w:b/>
              </w:rPr>
              <w:t>西医师</w:t>
            </w:r>
          </w:p>
        </w:tc>
        <w:tc>
          <w:tcPr>
            <w:tcW w:w="512" w:type="pct"/>
            <w:vAlign w:val="center"/>
          </w:tcPr>
          <w:p w14:paraId="73F7EF15">
            <w:pPr>
              <w:pStyle w:val="12"/>
              <w:jc w:val="center"/>
              <w:rPr>
                <w:b/>
              </w:rPr>
            </w:pPr>
            <w:r>
              <w:rPr>
                <w:rFonts w:hint="eastAsia"/>
                <w:b/>
              </w:rPr>
              <w:t>中医师</w:t>
            </w:r>
          </w:p>
        </w:tc>
        <w:tc>
          <w:tcPr>
            <w:tcW w:w="512" w:type="pct"/>
            <w:vAlign w:val="center"/>
          </w:tcPr>
          <w:p w14:paraId="2BFD86E4">
            <w:pPr>
              <w:pStyle w:val="12"/>
              <w:jc w:val="center"/>
              <w:rPr>
                <w:b/>
              </w:rPr>
            </w:pPr>
            <w:r>
              <w:rPr>
                <w:rFonts w:hint="eastAsia"/>
                <w:b/>
              </w:rPr>
              <w:t>西医士</w:t>
            </w:r>
          </w:p>
        </w:tc>
        <w:tc>
          <w:tcPr>
            <w:tcW w:w="512" w:type="pct"/>
            <w:vAlign w:val="center"/>
          </w:tcPr>
          <w:p w14:paraId="2BC5193D">
            <w:pPr>
              <w:pStyle w:val="12"/>
              <w:jc w:val="center"/>
              <w:rPr>
                <w:b/>
              </w:rPr>
            </w:pPr>
            <w:r>
              <w:rPr>
                <w:rFonts w:hint="eastAsia"/>
                <w:b/>
              </w:rPr>
              <w:t>中医士</w:t>
            </w:r>
          </w:p>
        </w:tc>
        <w:tc>
          <w:tcPr>
            <w:tcW w:w="381" w:type="pct"/>
            <w:vAlign w:val="center"/>
          </w:tcPr>
          <w:p w14:paraId="4A15BF01">
            <w:pPr>
              <w:pStyle w:val="12"/>
              <w:jc w:val="center"/>
              <w:rPr>
                <w:b/>
              </w:rPr>
            </w:pPr>
            <w:r>
              <w:rPr>
                <w:rFonts w:hint="eastAsia"/>
                <w:b/>
              </w:rPr>
              <w:t>其他</w:t>
            </w:r>
          </w:p>
        </w:tc>
      </w:tr>
      <w:tr w14:paraId="727FA1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2A63E85C">
            <w:pPr>
              <w:pStyle w:val="12"/>
              <w:jc w:val="center"/>
            </w:pPr>
            <w:r>
              <w:t>1996</w:t>
            </w:r>
          </w:p>
        </w:tc>
        <w:tc>
          <w:tcPr>
            <w:tcW w:w="782" w:type="pct"/>
            <w:vAlign w:val="center"/>
          </w:tcPr>
          <w:p w14:paraId="77649F87">
            <w:pPr>
              <w:pStyle w:val="12"/>
              <w:jc w:val="center"/>
            </w:pPr>
            <w:r>
              <w:t>734</w:t>
            </w:r>
          </w:p>
        </w:tc>
        <w:tc>
          <w:tcPr>
            <w:tcW w:w="669" w:type="pct"/>
            <w:vAlign w:val="center"/>
          </w:tcPr>
          <w:p w14:paraId="06BB175E">
            <w:pPr>
              <w:pStyle w:val="12"/>
              <w:jc w:val="center"/>
            </w:pPr>
            <w:r>
              <w:t>16</w:t>
            </w:r>
          </w:p>
        </w:tc>
        <w:tc>
          <w:tcPr>
            <w:tcW w:w="639" w:type="pct"/>
            <w:vAlign w:val="center"/>
          </w:tcPr>
          <w:p w14:paraId="1B1F0DB4">
            <w:pPr>
              <w:pStyle w:val="12"/>
              <w:jc w:val="center"/>
            </w:pPr>
            <w:r>
              <w:t>122</w:t>
            </w:r>
          </w:p>
        </w:tc>
        <w:tc>
          <w:tcPr>
            <w:tcW w:w="512" w:type="pct"/>
            <w:vAlign w:val="center"/>
          </w:tcPr>
          <w:p w14:paraId="63E3E854">
            <w:pPr>
              <w:pStyle w:val="12"/>
              <w:jc w:val="center"/>
            </w:pPr>
            <w:r>
              <w:t>200</w:t>
            </w:r>
          </w:p>
        </w:tc>
        <w:tc>
          <w:tcPr>
            <w:tcW w:w="512" w:type="pct"/>
            <w:vAlign w:val="center"/>
          </w:tcPr>
          <w:p w14:paraId="1F827C0C">
            <w:pPr>
              <w:pStyle w:val="12"/>
              <w:jc w:val="center"/>
            </w:pPr>
            <w:r>
              <w:t>60</w:t>
            </w:r>
          </w:p>
        </w:tc>
        <w:tc>
          <w:tcPr>
            <w:tcW w:w="512" w:type="pct"/>
            <w:vAlign w:val="center"/>
          </w:tcPr>
          <w:p w14:paraId="03B148E2">
            <w:pPr>
              <w:pStyle w:val="12"/>
              <w:jc w:val="center"/>
            </w:pPr>
            <w:r>
              <w:t>99</w:t>
            </w:r>
          </w:p>
        </w:tc>
        <w:tc>
          <w:tcPr>
            <w:tcW w:w="512" w:type="pct"/>
            <w:vAlign w:val="center"/>
          </w:tcPr>
          <w:p w14:paraId="08579234">
            <w:pPr>
              <w:pStyle w:val="12"/>
              <w:jc w:val="center"/>
            </w:pPr>
            <w:r>
              <w:t>10</w:t>
            </w:r>
          </w:p>
        </w:tc>
        <w:tc>
          <w:tcPr>
            <w:tcW w:w="381" w:type="pct"/>
            <w:vAlign w:val="center"/>
          </w:tcPr>
          <w:p w14:paraId="573349AF">
            <w:pPr>
              <w:pStyle w:val="12"/>
              <w:jc w:val="center"/>
            </w:pPr>
            <w:r>
              <w:t>227</w:t>
            </w:r>
          </w:p>
        </w:tc>
      </w:tr>
      <w:tr w14:paraId="1968CA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16EA8F85">
            <w:pPr>
              <w:pStyle w:val="12"/>
              <w:jc w:val="center"/>
            </w:pPr>
            <w:r>
              <w:t>1997</w:t>
            </w:r>
          </w:p>
        </w:tc>
        <w:tc>
          <w:tcPr>
            <w:tcW w:w="782" w:type="pct"/>
            <w:vAlign w:val="center"/>
          </w:tcPr>
          <w:p w14:paraId="2CDD2E20">
            <w:pPr>
              <w:pStyle w:val="12"/>
              <w:jc w:val="center"/>
            </w:pPr>
            <w:r>
              <w:t>781</w:t>
            </w:r>
          </w:p>
        </w:tc>
        <w:tc>
          <w:tcPr>
            <w:tcW w:w="669" w:type="pct"/>
            <w:vAlign w:val="center"/>
          </w:tcPr>
          <w:p w14:paraId="321E3BD4">
            <w:pPr>
              <w:pStyle w:val="12"/>
              <w:jc w:val="center"/>
            </w:pPr>
            <w:r>
              <w:t>10</w:t>
            </w:r>
          </w:p>
        </w:tc>
        <w:tc>
          <w:tcPr>
            <w:tcW w:w="639" w:type="pct"/>
            <w:vAlign w:val="center"/>
          </w:tcPr>
          <w:p w14:paraId="4DACD2B0">
            <w:pPr>
              <w:pStyle w:val="12"/>
              <w:jc w:val="center"/>
            </w:pPr>
            <w:r>
              <w:t>115</w:t>
            </w:r>
          </w:p>
        </w:tc>
        <w:tc>
          <w:tcPr>
            <w:tcW w:w="512" w:type="pct"/>
            <w:vAlign w:val="center"/>
          </w:tcPr>
          <w:p w14:paraId="5ADF9010">
            <w:pPr>
              <w:pStyle w:val="12"/>
              <w:jc w:val="center"/>
            </w:pPr>
            <w:r>
              <w:t>218</w:t>
            </w:r>
          </w:p>
        </w:tc>
        <w:tc>
          <w:tcPr>
            <w:tcW w:w="512" w:type="pct"/>
            <w:vAlign w:val="center"/>
          </w:tcPr>
          <w:p w14:paraId="48593BBB">
            <w:pPr>
              <w:pStyle w:val="12"/>
              <w:jc w:val="center"/>
            </w:pPr>
            <w:r>
              <w:t>55</w:t>
            </w:r>
          </w:p>
        </w:tc>
        <w:tc>
          <w:tcPr>
            <w:tcW w:w="512" w:type="pct"/>
            <w:vAlign w:val="center"/>
          </w:tcPr>
          <w:p w14:paraId="1449EA21">
            <w:pPr>
              <w:pStyle w:val="12"/>
              <w:jc w:val="center"/>
            </w:pPr>
            <w:r>
              <w:t>96</w:t>
            </w:r>
          </w:p>
        </w:tc>
        <w:tc>
          <w:tcPr>
            <w:tcW w:w="512" w:type="pct"/>
            <w:vAlign w:val="center"/>
          </w:tcPr>
          <w:p w14:paraId="528DDBC0">
            <w:pPr>
              <w:pStyle w:val="12"/>
              <w:jc w:val="center"/>
            </w:pPr>
            <w:r>
              <w:t>13</w:t>
            </w:r>
          </w:p>
        </w:tc>
        <w:tc>
          <w:tcPr>
            <w:tcW w:w="381" w:type="pct"/>
            <w:vAlign w:val="center"/>
          </w:tcPr>
          <w:p w14:paraId="0836C240">
            <w:pPr>
              <w:pStyle w:val="12"/>
              <w:jc w:val="center"/>
            </w:pPr>
            <w:r>
              <w:t>274</w:t>
            </w:r>
          </w:p>
        </w:tc>
      </w:tr>
      <w:tr w14:paraId="0B0BB03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53EEF5C2">
            <w:pPr>
              <w:pStyle w:val="12"/>
              <w:jc w:val="center"/>
            </w:pPr>
            <w:r>
              <w:t>1998</w:t>
            </w:r>
          </w:p>
        </w:tc>
        <w:tc>
          <w:tcPr>
            <w:tcW w:w="782" w:type="pct"/>
            <w:vAlign w:val="center"/>
          </w:tcPr>
          <w:p w14:paraId="3D88D63A">
            <w:pPr>
              <w:pStyle w:val="12"/>
              <w:jc w:val="center"/>
            </w:pPr>
            <w:r>
              <w:t>869</w:t>
            </w:r>
          </w:p>
        </w:tc>
        <w:tc>
          <w:tcPr>
            <w:tcW w:w="669" w:type="pct"/>
            <w:vAlign w:val="center"/>
          </w:tcPr>
          <w:p w14:paraId="78CBE8F3">
            <w:pPr>
              <w:pStyle w:val="12"/>
              <w:jc w:val="center"/>
            </w:pPr>
            <w:r>
              <w:t>10</w:t>
            </w:r>
          </w:p>
        </w:tc>
        <w:tc>
          <w:tcPr>
            <w:tcW w:w="639" w:type="pct"/>
            <w:vAlign w:val="center"/>
          </w:tcPr>
          <w:p w14:paraId="347D5EB4">
            <w:pPr>
              <w:pStyle w:val="12"/>
              <w:jc w:val="center"/>
            </w:pPr>
            <w:r>
              <w:t>114</w:t>
            </w:r>
          </w:p>
        </w:tc>
        <w:tc>
          <w:tcPr>
            <w:tcW w:w="512" w:type="pct"/>
            <w:vAlign w:val="center"/>
          </w:tcPr>
          <w:p w14:paraId="3ED512D1">
            <w:pPr>
              <w:pStyle w:val="12"/>
              <w:jc w:val="center"/>
            </w:pPr>
            <w:r>
              <w:t>230</w:t>
            </w:r>
          </w:p>
        </w:tc>
        <w:tc>
          <w:tcPr>
            <w:tcW w:w="512" w:type="pct"/>
            <w:vAlign w:val="center"/>
          </w:tcPr>
          <w:p w14:paraId="4D97D23E">
            <w:pPr>
              <w:pStyle w:val="12"/>
              <w:jc w:val="center"/>
            </w:pPr>
            <w:r>
              <w:t>58</w:t>
            </w:r>
          </w:p>
        </w:tc>
        <w:tc>
          <w:tcPr>
            <w:tcW w:w="512" w:type="pct"/>
            <w:vAlign w:val="center"/>
          </w:tcPr>
          <w:p w14:paraId="2A659AA4">
            <w:pPr>
              <w:pStyle w:val="12"/>
              <w:jc w:val="center"/>
            </w:pPr>
            <w:r>
              <w:t>76</w:t>
            </w:r>
          </w:p>
        </w:tc>
        <w:tc>
          <w:tcPr>
            <w:tcW w:w="512" w:type="pct"/>
            <w:vAlign w:val="center"/>
          </w:tcPr>
          <w:p w14:paraId="335FFCE5">
            <w:pPr>
              <w:pStyle w:val="12"/>
              <w:jc w:val="center"/>
            </w:pPr>
            <w:r>
              <w:t>10</w:t>
            </w:r>
          </w:p>
        </w:tc>
        <w:tc>
          <w:tcPr>
            <w:tcW w:w="381" w:type="pct"/>
            <w:vAlign w:val="center"/>
          </w:tcPr>
          <w:p w14:paraId="488B453F">
            <w:pPr>
              <w:pStyle w:val="12"/>
              <w:jc w:val="center"/>
            </w:pPr>
            <w:r>
              <w:t>371</w:t>
            </w:r>
          </w:p>
        </w:tc>
      </w:tr>
      <w:tr w14:paraId="7D9CF6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1DF0D918">
            <w:pPr>
              <w:pStyle w:val="12"/>
              <w:jc w:val="center"/>
            </w:pPr>
            <w:r>
              <w:t>1999</w:t>
            </w:r>
          </w:p>
        </w:tc>
        <w:tc>
          <w:tcPr>
            <w:tcW w:w="782" w:type="pct"/>
            <w:vAlign w:val="center"/>
          </w:tcPr>
          <w:p w14:paraId="4E4B56B8">
            <w:pPr>
              <w:pStyle w:val="12"/>
              <w:jc w:val="center"/>
            </w:pPr>
            <w:r>
              <w:t>871</w:t>
            </w:r>
          </w:p>
        </w:tc>
        <w:tc>
          <w:tcPr>
            <w:tcW w:w="669" w:type="pct"/>
            <w:vAlign w:val="center"/>
          </w:tcPr>
          <w:p w14:paraId="72661888">
            <w:pPr>
              <w:pStyle w:val="12"/>
              <w:jc w:val="center"/>
            </w:pPr>
            <w:r>
              <w:t>18</w:t>
            </w:r>
          </w:p>
        </w:tc>
        <w:tc>
          <w:tcPr>
            <w:tcW w:w="639" w:type="pct"/>
            <w:vAlign w:val="center"/>
          </w:tcPr>
          <w:p w14:paraId="2E64D77E">
            <w:pPr>
              <w:pStyle w:val="12"/>
              <w:jc w:val="center"/>
            </w:pPr>
            <w:r>
              <w:t>114</w:t>
            </w:r>
          </w:p>
        </w:tc>
        <w:tc>
          <w:tcPr>
            <w:tcW w:w="512" w:type="pct"/>
            <w:vAlign w:val="center"/>
          </w:tcPr>
          <w:p w14:paraId="7C11FDF3">
            <w:pPr>
              <w:pStyle w:val="12"/>
              <w:jc w:val="center"/>
            </w:pPr>
            <w:r>
              <w:t>224</w:t>
            </w:r>
          </w:p>
        </w:tc>
        <w:tc>
          <w:tcPr>
            <w:tcW w:w="512" w:type="pct"/>
            <w:vAlign w:val="center"/>
          </w:tcPr>
          <w:p w14:paraId="0641332D">
            <w:pPr>
              <w:pStyle w:val="12"/>
              <w:jc w:val="center"/>
            </w:pPr>
            <w:r>
              <w:t>58</w:t>
            </w:r>
          </w:p>
        </w:tc>
        <w:tc>
          <w:tcPr>
            <w:tcW w:w="512" w:type="pct"/>
            <w:vAlign w:val="center"/>
          </w:tcPr>
          <w:p w14:paraId="6A3FFB5D">
            <w:pPr>
              <w:pStyle w:val="12"/>
              <w:jc w:val="center"/>
            </w:pPr>
            <w:r>
              <w:t>74</w:t>
            </w:r>
          </w:p>
        </w:tc>
        <w:tc>
          <w:tcPr>
            <w:tcW w:w="512" w:type="pct"/>
            <w:vAlign w:val="center"/>
          </w:tcPr>
          <w:p w14:paraId="70F25673">
            <w:pPr>
              <w:pStyle w:val="12"/>
              <w:jc w:val="center"/>
            </w:pPr>
            <w:r>
              <w:t>9</w:t>
            </w:r>
          </w:p>
        </w:tc>
        <w:tc>
          <w:tcPr>
            <w:tcW w:w="381" w:type="pct"/>
            <w:vAlign w:val="center"/>
          </w:tcPr>
          <w:p w14:paraId="210A0BEF">
            <w:pPr>
              <w:pStyle w:val="12"/>
              <w:jc w:val="center"/>
            </w:pPr>
            <w:r>
              <w:t>374</w:t>
            </w:r>
          </w:p>
        </w:tc>
      </w:tr>
      <w:tr w14:paraId="6B13B2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5933D171">
            <w:pPr>
              <w:pStyle w:val="12"/>
              <w:jc w:val="center"/>
            </w:pPr>
            <w:r>
              <w:t>2000</w:t>
            </w:r>
          </w:p>
        </w:tc>
        <w:tc>
          <w:tcPr>
            <w:tcW w:w="782" w:type="pct"/>
            <w:vAlign w:val="center"/>
          </w:tcPr>
          <w:p w14:paraId="761AAB7E">
            <w:pPr>
              <w:pStyle w:val="12"/>
              <w:jc w:val="center"/>
            </w:pPr>
            <w:r>
              <w:t>873</w:t>
            </w:r>
          </w:p>
        </w:tc>
        <w:tc>
          <w:tcPr>
            <w:tcW w:w="669" w:type="pct"/>
            <w:vAlign w:val="center"/>
          </w:tcPr>
          <w:p w14:paraId="1827D725">
            <w:pPr>
              <w:pStyle w:val="12"/>
              <w:jc w:val="center"/>
            </w:pPr>
            <w:r>
              <w:t>18</w:t>
            </w:r>
          </w:p>
        </w:tc>
        <w:tc>
          <w:tcPr>
            <w:tcW w:w="639" w:type="pct"/>
            <w:vAlign w:val="center"/>
          </w:tcPr>
          <w:p w14:paraId="4CFEB447">
            <w:pPr>
              <w:pStyle w:val="12"/>
              <w:jc w:val="center"/>
            </w:pPr>
            <w:r>
              <w:t>130</w:t>
            </w:r>
          </w:p>
        </w:tc>
        <w:tc>
          <w:tcPr>
            <w:tcW w:w="512" w:type="pct"/>
            <w:vAlign w:val="center"/>
          </w:tcPr>
          <w:p w14:paraId="28315DC0">
            <w:pPr>
              <w:pStyle w:val="12"/>
              <w:jc w:val="center"/>
            </w:pPr>
            <w:r>
              <w:t>234</w:t>
            </w:r>
          </w:p>
        </w:tc>
        <w:tc>
          <w:tcPr>
            <w:tcW w:w="512" w:type="pct"/>
            <w:vAlign w:val="center"/>
          </w:tcPr>
          <w:p w14:paraId="5F45DD5C">
            <w:pPr>
              <w:pStyle w:val="12"/>
              <w:jc w:val="center"/>
            </w:pPr>
            <w:r>
              <w:t>52</w:t>
            </w:r>
          </w:p>
        </w:tc>
        <w:tc>
          <w:tcPr>
            <w:tcW w:w="512" w:type="pct"/>
            <w:vAlign w:val="center"/>
          </w:tcPr>
          <w:p w14:paraId="7DE08AB7">
            <w:pPr>
              <w:pStyle w:val="12"/>
              <w:jc w:val="center"/>
            </w:pPr>
            <w:r>
              <w:t>87</w:t>
            </w:r>
          </w:p>
        </w:tc>
        <w:tc>
          <w:tcPr>
            <w:tcW w:w="512" w:type="pct"/>
            <w:vAlign w:val="center"/>
          </w:tcPr>
          <w:p w14:paraId="1AF858E8">
            <w:pPr>
              <w:pStyle w:val="12"/>
              <w:jc w:val="center"/>
            </w:pPr>
            <w:r>
              <w:t>10</w:t>
            </w:r>
          </w:p>
        </w:tc>
        <w:tc>
          <w:tcPr>
            <w:tcW w:w="381" w:type="pct"/>
            <w:vAlign w:val="center"/>
          </w:tcPr>
          <w:p w14:paraId="4DE27546">
            <w:pPr>
              <w:pStyle w:val="12"/>
              <w:jc w:val="center"/>
            </w:pPr>
            <w:r>
              <w:t>342</w:t>
            </w:r>
          </w:p>
        </w:tc>
      </w:tr>
      <w:tr w14:paraId="774364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176809FA">
            <w:pPr>
              <w:pStyle w:val="12"/>
              <w:jc w:val="center"/>
            </w:pPr>
            <w:r>
              <w:t>2001</w:t>
            </w:r>
          </w:p>
        </w:tc>
        <w:tc>
          <w:tcPr>
            <w:tcW w:w="782" w:type="pct"/>
            <w:vAlign w:val="center"/>
          </w:tcPr>
          <w:p w14:paraId="7B3EC94D">
            <w:pPr>
              <w:pStyle w:val="12"/>
              <w:jc w:val="center"/>
            </w:pPr>
            <w:r>
              <w:t>891</w:t>
            </w:r>
          </w:p>
        </w:tc>
        <w:tc>
          <w:tcPr>
            <w:tcW w:w="669" w:type="pct"/>
            <w:vAlign w:val="center"/>
          </w:tcPr>
          <w:p w14:paraId="0E778846">
            <w:pPr>
              <w:pStyle w:val="12"/>
              <w:jc w:val="center"/>
            </w:pPr>
            <w:r>
              <w:t>10</w:t>
            </w:r>
          </w:p>
        </w:tc>
        <w:tc>
          <w:tcPr>
            <w:tcW w:w="639" w:type="pct"/>
            <w:vAlign w:val="center"/>
          </w:tcPr>
          <w:p w14:paraId="7FBDEBC7">
            <w:pPr>
              <w:pStyle w:val="12"/>
              <w:jc w:val="center"/>
            </w:pPr>
            <w:r>
              <w:t>130</w:t>
            </w:r>
          </w:p>
        </w:tc>
        <w:tc>
          <w:tcPr>
            <w:tcW w:w="512" w:type="pct"/>
            <w:vAlign w:val="center"/>
          </w:tcPr>
          <w:p w14:paraId="175152F8">
            <w:pPr>
              <w:pStyle w:val="12"/>
              <w:jc w:val="center"/>
            </w:pPr>
            <w:r>
              <w:t>254</w:t>
            </w:r>
          </w:p>
        </w:tc>
        <w:tc>
          <w:tcPr>
            <w:tcW w:w="512" w:type="pct"/>
            <w:vAlign w:val="center"/>
          </w:tcPr>
          <w:p w14:paraId="76736D19">
            <w:pPr>
              <w:pStyle w:val="12"/>
              <w:jc w:val="center"/>
            </w:pPr>
            <w:r>
              <w:t>57</w:t>
            </w:r>
          </w:p>
        </w:tc>
        <w:tc>
          <w:tcPr>
            <w:tcW w:w="512" w:type="pct"/>
            <w:vAlign w:val="center"/>
          </w:tcPr>
          <w:p w14:paraId="5F6D6967">
            <w:pPr>
              <w:pStyle w:val="12"/>
              <w:jc w:val="center"/>
            </w:pPr>
            <w:r>
              <w:t>78</w:t>
            </w:r>
          </w:p>
        </w:tc>
        <w:tc>
          <w:tcPr>
            <w:tcW w:w="512" w:type="pct"/>
            <w:vAlign w:val="center"/>
          </w:tcPr>
          <w:p w14:paraId="31F331F5">
            <w:pPr>
              <w:pStyle w:val="12"/>
              <w:jc w:val="center"/>
            </w:pPr>
            <w:r>
              <w:t>7</w:t>
            </w:r>
          </w:p>
        </w:tc>
        <w:tc>
          <w:tcPr>
            <w:tcW w:w="381" w:type="pct"/>
            <w:vAlign w:val="center"/>
          </w:tcPr>
          <w:p w14:paraId="5EF68706">
            <w:pPr>
              <w:pStyle w:val="12"/>
              <w:jc w:val="center"/>
            </w:pPr>
            <w:r>
              <w:t>355</w:t>
            </w:r>
          </w:p>
        </w:tc>
      </w:tr>
      <w:tr w14:paraId="51810D3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3572F1BC">
            <w:pPr>
              <w:pStyle w:val="12"/>
              <w:jc w:val="center"/>
            </w:pPr>
            <w:r>
              <w:t>2002</w:t>
            </w:r>
          </w:p>
        </w:tc>
        <w:tc>
          <w:tcPr>
            <w:tcW w:w="782" w:type="pct"/>
            <w:vAlign w:val="center"/>
          </w:tcPr>
          <w:p w14:paraId="5E7391D4">
            <w:pPr>
              <w:pStyle w:val="12"/>
              <w:jc w:val="center"/>
            </w:pPr>
            <w:r>
              <w:t>895</w:t>
            </w:r>
          </w:p>
        </w:tc>
        <w:tc>
          <w:tcPr>
            <w:tcW w:w="669" w:type="pct"/>
            <w:vAlign w:val="center"/>
          </w:tcPr>
          <w:p w14:paraId="4A08C03F">
            <w:pPr>
              <w:pStyle w:val="12"/>
              <w:jc w:val="center"/>
            </w:pPr>
            <w:r>
              <w:t>7</w:t>
            </w:r>
          </w:p>
        </w:tc>
        <w:tc>
          <w:tcPr>
            <w:tcW w:w="639" w:type="pct"/>
            <w:vAlign w:val="center"/>
          </w:tcPr>
          <w:p w14:paraId="1B3A4A84">
            <w:pPr>
              <w:pStyle w:val="12"/>
              <w:jc w:val="center"/>
            </w:pPr>
            <w:r>
              <w:t>152</w:t>
            </w:r>
          </w:p>
        </w:tc>
        <w:tc>
          <w:tcPr>
            <w:tcW w:w="512" w:type="pct"/>
            <w:vAlign w:val="center"/>
          </w:tcPr>
          <w:p w14:paraId="264303CE">
            <w:pPr>
              <w:pStyle w:val="12"/>
              <w:jc w:val="center"/>
            </w:pPr>
            <w:r>
              <w:t>224</w:t>
            </w:r>
          </w:p>
        </w:tc>
        <w:tc>
          <w:tcPr>
            <w:tcW w:w="512" w:type="pct"/>
            <w:vAlign w:val="center"/>
          </w:tcPr>
          <w:p w14:paraId="0DB37BDE">
            <w:pPr>
              <w:pStyle w:val="12"/>
              <w:jc w:val="center"/>
            </w:pPr>
            <w:r>
              <w:t>34</w:t>
            </w:r>
          </w:p>
        </w:tc>
        <w:tc>
          <w:tcPr>
            <w:tcW w:w="512" w:type="pct"/>
            <w:vAlign w:val="center"/>
          </w:tcPr>
          <w:p w14:paraId="54C32E45">
            <w:pPr>
              <w:pStyle w:val="12"/>
              <w:jc w:val="center"/>
            </w:pPr>
            <w:r>
              <w:t>74</w:t>
            </w:r>
          </w:p>
        </w:tc>
        <w:tc>
          <w:tcPr>
            <w:tcW w:w="512" w:type="pct"/>
            <w:vAlign w:val="center"/>
          </w:tcPr>
          <w:p w14:paraId="755CD391">
            <w:pPr>
              <w:pStyle w:val="12"/>
              <w:jc w:val="center"/>
            </w:pPr>
            <w:r>
              <w:t>8</w:t>
            </w:r>
          </w:p>
        </w:tc>
        <w:tc>
          <w:tcPr>
            <w:tcW w:w="381" w:type="pct"/>
            <w:vAlign w:val="center"/>
          </w:tcPr>
          <w:p w14:paraId="0983930B">
            <w:pPr>
              <w:pStyle w:val="12"/>
              <w:jc w:val="center"/>
            </w:pPr>
            <w:r>
              <w:t>396</w:t>
            </w:r>
          </w:p>
        </w:tc>
      </w:tr>
      <w:tr w14:paraId="20C536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15AD3608">
            <w:pPr>
              <w:pStyle w:val="12"/>
              <w:jc w:val="center"/>
            </w:pPr>
            <w:r>
              <w:t>2003</w:t>
            </w:r>
          </w:p>
        </w:tc>
        <w:tc>
          <w:tcPr>
            <w:tcW w:w="782" w:type="pct"/>
            <w:vAlign w:val="center"/>
          </w:tcPr>
          <w:p w14:paraId="14C3064C">
            <w:pPr>
              <w:pStyle w:val="12"/>
              <w:jc w:val="center"/>
            </w:pPr>
            <w:r>
              <w:t>870</w:t>
            </w:r>
          </w:p>
        </w:tc>
        <w:tc>
          <w:tcPr>
            <w:tcW w:w="669" w:type="pct"/>
            <w:vAlign w:val="center"/>
          </w:tcPr>
          <w:p w14:paraId="37E149F2">
            <w:pPr>
              <w:pStyle w:val="12"/>
              <w:jc w:val="center"/>
            </w:pPr>
            <w:r>
              <w:t>7</w:t>
            </w:r>
          </w:p>
        </w:tc>
        <w:tc>
          <w:tcPr>
            <w:tcW w:w="639" w:type="pct"/>
            <w:vAlign w:val="center"/>
          </w:tcPr>
          <w:p w14:paraId="4063F6AB">
            <w:pPr>
              <w:pStyle w:val="12"/>
              <w:jc w:val="center"/>
            </w:pPr>
            <w:r>
              <w:t>149</w:t>
            </w:r>
          </w:p>
        </w:tc>
        <w:tc>
          <w:tcPr>
            <w:tcW w:w="512" w:type="pct"/>
            <w:vAlign w:val="center"/>
          </w:tcPr>
          <w:p w14:paraId="6AB71BF7">
            <w:pPr>
              <w:pStyle w:val="12"/>
              <w:jc w:val="center"/>
            </w:pPr>
            <w:r>
              <w:t>230</w:t>
            </w:r>
          </w:p>
        </w:tc>
        <w:tc>
          <w:tcPr>
            <w:tcW w:w="512" w:type="pct"/>
            <w:vAlign w:val="center"/>
          </w:tcPr>
          <w:p w14:paraId="2AA53370">
            <w:pPr>
              <w:pStyle w:val="12"/>
              <w:jc w:val="center"/>
            </w:pPr>
            <w:r>
              <w:t>32</w:t>
            </w:r>
          </w:p>
        </w:tc>
        <w:tc>
          <w:tcPr>
            <w:tcW w:w="512" w:type="pct"/>
            <w:vAlign w:val="center"/>
          </w:tcPr>
          <w:p w14:paraId="4BF673F4">
            <w:pPr>
              <w:pStyle w:val="12"/>
              <w:jc w:val="center"/>
            </w:pPr>
            <w:r>
              <w:t>68</w:t>
            </w:r>
          </w:p>
        </w:tc>
        <w:tc>
          <w:tcPr>
            <w:tcW w:w="512" w:type="pct"/>
            <w:vAlign w:val="center"/>
          </w:tcPr>
          <w:p w14:paraId="51110527">
            <w:pPr>
              <w:pStyle w:val="12"/>
              <w:jc w:val="center"/>
            </w:pPr>
            <w:r>
              <w:t>8</w:t>
            </w:r>
          </w:p>
        </w:tc>
        <w:tc>
          <w:tcPr>
            <w:tcW w:w="381" w:type="pct"/>
            <w:vAlign w:val="center"/>
          </w:tcPr>
          <w:p w14:paraId="67A62D98">
            <w:pPr>
              <w:pStyle w:val="12"/>
              <w:jc w:val="center"/>
            </w:pPr>
            <w:r>
              <w:t>376</w:t>
            </w:r>
          </w:p>
        </w:tc>
      </w:tr>
    </w:tbl>
    <w:p w14:paraId="38B6DBA6">
      <w:pPr>
        <w:ind w:firstLine="422"/>
        <w:rPr>
          <w:rFonts w:ascii="宋体" w:hAnsi="宋体" w:cs="宋体"/>
          <w:b/>
          <w:bCs/>
        </w:rPr>
      </w:pPr>
      <w:r>
        <w:rPr>
          <w:rFonts w:hint="eastAsia" w:ascii="宋体" w:hAnsi="宋体" w:cs="宋体"/>
          <w:b/>
          <w:bCs/>
        </w:rPr>
        <w:t>说明：卫生技术人员中不含乡村卫生站人员。</w:t>
      </w:r>
    </w:p>
    <w:p w14:paraId="4A1C80C0">
      <w:pPr>
        <w:ind w:firstLine="422"/>
        <w:jc w:val="center"/>
        <w:rPr>
          <w:rFonts w:ascii="宋体" w:hAnsi="宋体" w:cs="宋体"/>
          <w:b/>
          <w:bCs/>
        </w:rPr>
      </w:pPr>
      <w:r>
        <w:rPr>
          <w:rFonts w:hint="eastAsia" w:ascii="宋体" w:hAnsi="宋体" w:cs="宋体"/>
          <w:b/>
          <w:bCs/>
        </w:rPr>
        <w:t>南雄市2004年卫生系统卫生技术人员分布情况</w:t>
      </w:r>
    </w:p>
    <w:p w14:paraId="638B3C7D">
      <w:pPr>
        <w:ind w:firstLine="0" w:firstLineChars="0"/>
        <w:rPr>
          <w:rFonts w:ascii="宋体" w:hAnsi="宋体" w:cs="宋体"/>
          <w:b/>
          <w:bCs/>
        </w:rPr>
      </w:pPr>
      <w:r>
        <w:rPr>
          <w:rFonts w:hint="eastAsia" w:ascii="宋体" w:hAnsi="宋体" w:cs="宋体"/>
          <w:b/>
          <w:bCs/>
        </w:rPr>
        <w:t>表5-4</w:t>
      </w:r>
    </w:p>
    <w:p w14:paraId="4290D88D">
      <w:pPr>
        <w:ind w:firstLine="422"/>
        <w:jc w:val="right"/>
        <w:rPr>
          <w:rFonts w:ascii="宋体" w:hAnsi="宋体" w:cs="宋体"/>
          <w:b/>
          <w:bCs/>
        </w:rPr>
      </w:pPr>
      <w:r>
        <w:rPr>
          <w:rFonts w:hint="eastAsia" w:ascii="宋体" w:hAnsi="宋体" w:cs="宋体"/>
          <w:b/>
          <w:bCs/>
        </w:rPr>
        <w:t>单位：人</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68"/>
        <w:gridCol w:w="1062"/>
        <w:gridCol w:w="1062"/>
        <w:gridCol w:w="1062"/>
        <w:gridCol w:w="1062"/>
        <w:gridCol w:w="1062"/>
        <w:gridCol w:w="1062"/>
        <w:gridCol w:w="1062"/>
        <w:gridCol w:w="1060"/>
      </w:tblGrid>
      <w:tr w14:paraId="6FC085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7" w:type="pct"/>
            <w:vAlign w:val="center"/>
          </w:tcPr>
          <w:p w14:paraId="3C5FBFF6">
            <w:pPr>
              <w:pStyle w:val="12"/>
              <w:jc w:val="center"/>
              <w:rPr>
                <w:b/>
              </w:rPr>
            </w:pPr>
            <w:r>
              <w:rPr>
                <w:rFonts w:hint="eastAsia"/>
                <w:b/>
              </w:rPr>
              <w:t>职别</w:t>
            </w:r>
          </w:p>
        </w:tc>
        <w:tc>
          <w:tcPr>
            <w:tcW w:w="533" w:type="pct"/>
            <w:vAlign w:val="center"/>
          </w:tcPr>
          <w:p w14:paraId="3FB288D4">
            <w:pPr>
              <w:pStyle w:val="12"/>
              <w:jc w:val="center"/>
              <w:rPr>
                <w:b/>
              </w:rPr>
            </w:pPr>
            <w:r>
              <w:rPr>
                <w:rFonts w:hint="eastAsia"/>
                <w:b/>
              </w:rPr>
              <w:t>合计</w:t>
            </w:r>
          </w:p>
        </w:tc>
        <w:tc>
          <w:tcPr>
            <w:tcW w:w="533" w:type="pct"/>
            <w:vAlign w:val="center"/>
          </w:tcPr>
          <w:p w14:paraId="6354848F">
            <w:pPr>
              <w:pStyle w:val="12"/>
              <w:jc w:val="center"/>
              <w:rPr>
                <w:b/>
              </w:rPr>
            </w:pPr>
            <w:r>
              <w:rPr>
                <w:rFonts w:hint="eastAsia"/>
                <w:b/>
              </w:rPr>
              <w:t>市人民</w:t>
            </w:r>
          </w:p>
          <w:p w14:paraId="1865009E">
            <w:pPr>
              <w:pStyle w:val="12"/>
              <w:jc w:val="center"/>
              <w:rPr>
                <w:b/>
              </w:rPr>
            </w:pPr>
            <w:r>
              <w:rPr>
                <w:rFonts w:hint="eastAsia"/>
                <w:b/>
              </w:rPr>
              <w:t>医院</w:t>
            </w:r>
          </w:p>
        </w:tc>
        <w:tc>
          <w:tcPr>
            <w:tcW w:w="533" w:type="pct"/>
            <w:vAlign w:val="center"/>
          </w:tcPr>
          <w:p w14:paraId="23CDCC6C">
            <w:pPr>
              <w:pStyle w:val="12"/>
              <w:jc w:val="center"/>
              <w:rPr>
                <w:b/>
              </w:rPr>
            </w:pPr>
            <w:r>
              <w:rPr>
                <w:rFonts w:hint="eastAsia"/>
                <w:b/>
              </w:rPr>
              <w:t>市中医院</w:t>
            </w:r>
          </w:p>
        </w:tc>
        <w:tc>
          <w:tcPr>
            <w:tcW w:w="533" w:type="pct"/>
            <w:vAlign w:val="center"/>
          </w:tcPr>
          <w:p w14:paraId="33CC5053">
            <w:pPr>
              <w:pStyle w:val="12"/>
              <w:jc w:val="center"/>
              <w:rPr>
                <w:b/>
              </w:rPr>
            </w:pPr>
            <w:r>
              <w:rPr>
                <w:rFonts w:hint="eastAsia"/>
                <w:b/>
              </w:rPr>
              <w:t>卫监所</w:t>
            </w:r>
          </w:p>
        </w:tc>
        <w:tc>
          <w:tcPr>
            <w:tcW w:w="533" w:type="pct"/>
            <w:vAlign w:val="center"/>
          </w:tcPr>
          <w:p w14:paraId="6DA1BBA4">
            <w:pPr>
              <w:pStyle w:val="12"/>
              <w:jc w:val="center"/>
              <w:rPr>
                <w:b/>
              </w:rPr>
            </w:pPr>
            <w:r>
              <w:rPr>
                <w:rFonts w:hint="eastAsia"/>
                <w:b/>
              </w:rPr>
              <w:t>疾控中心</w:t>
            </w:r>
          </w:p>
        </w:tc>
        <w:tc>
          <w:tcPr>
            <w:tcW w:w="533" w:type="pct"/>
            <w:vAlign w:val="center"/>
          </w:tcPr>
          <w:p w14:paraId="7CB16983">
            <w:pPr>
              <w:pStyle w:val="12"/>
              <w:jc w:val="center"/>
              <w:rPr>
                <w:b/>
              </w:rPr>
            </w:pPr>
            <w:r>
              <w:rPr>
                <w:rFonts w:hint="eastAsia"/>
                <w:b/>
              </w:rPr>
              <w:t>慢病站</w:t>
            </w:r>
          </w:p>
        </w:tc>
        <w:tc>
          <w:tcPr>
            <w:tcW w:w="533" w:type="pct"/>
            <w:vAlign w:val="center"/>
          </w:tcPr>
          <w:p w14:paraId="5343CA37">
            <w:pPr>
              <w:pStyle w:val="12"/>
              <w:jc w:val="center"/>
              <w:rPr>
                <w:b/>
              </w:rPr>
            </w:pPr>
            <w:r>
              <w:rPr>
                <w:rFonts w:hint="eastAsia"/>
                <w:b/>
              </w:rPr>
              <w:t>妇保院</w:t>
            </w:r>
          </w:p>
        </w:tc>
        <w:tc>
          <w:tcPr>
            <w:tcW w:w="533" w:type="pct"/>
            <w:vAlign w:val="center"/>
          </w:tcPr>
          <w:p w14:paraId="7F020FAD">
            <w:pPr>
              <w:pStyle w:val="12"/>
              <w:jc w:val="center"/>
              <w:rPr>
                <w:b/>
              </w:rPr>
            </w:pPr>
            <w:r>
              <w:rPr>
                <w:rFonts w:hint="eastAsia"/>
                <w:b/>
              </w:rPr>
              <w:t>各乡（镇）卫生院</w:t>
            </w:r>
          </w:p>
        </w:tc>
      </w:tr>
      <w:tr w14:paraId="21BA5C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7" w:type="pct"/>
            <w:vAlign w:val="center"/>
          </w:tcPr>
          <w:p w14:paraId="4CD3BDE9">
            <w:pPr>
              <w:pStyle w:val="12"/>
              <w:jc w:val="center"/>
            </w:pPr>
            <w:r>
              <w:rPr>
                <w:rFonts w:hint="eastAsia"/>
              </w:rPr>
              <w:t>合计</w:t>
            </w:r>
          </w:p>
        </w:tc>
        <w:tc>
          <w:tcPr>
            <w:tcW w:w="533" w:type="pct"/>
            <w:vAlign w:val="center"/>
          </w:tcPr>
          <w:p w14:paraId="5427049B">
            <w:pPr>
              <w:pStyle w:val="12"/>
              <w:jc w:val="center"/>
            </w:pPr>
            <w:r>
              <w:rPr>
                <w:rFonts w:hint="eastAsia"/>
              </w:rPr>
              <w:t>929</w:t>
            </w:r>
          </w:p>
        </w:tc>
        <w:tc>
          <w:tcPr>
            <w:tcW w:w="533" w:type="pct"/>
            <w:vAlign w:val="center"/>
          </w:tcPr>
          <w:p w14:paraId="41484231">
            <w:pPr>
              <w:pStyle w:val="12"/>
              <w:jc w:val="center"/>
            </w:pPr>
            <w:r>
              <w:rPr>
                <w:rFonts w:hint="eastAsia"/>
              </w:rPr>
              <w:t>349</w:t>
            </w:r>
          </w:p>
        </w:tc>
        <w:tc>
          <w:tcPr>
            <w:tcW w:w="533" w:type="pct"/>
            <w:vAlign w:val="center"/>
          </w:tcPr>
          <w:p w14:paraId="187CDCC3">
            <w:pPr>
              <w:pStyle w:val="12"/>
              <w:jc w:val="center"/>
            </w:pPr>
            <w:r>
              <w:rPr>
                <w:rFonts w:hint="eastAsia"/>
              </w:rPr>
              <w:t>143</w:t>
            </w:r>
          </w:p>
        </w:tc>
        <w:tc>
          <w:tcPr>
            <w:tcW w:w="533" w:type="pct"/>
            <w:vAlign w:val="center"/>
          </w:tcPr>
          <w:p w14:paraId="5F0EFFE9">
            <w:pPr>
              <w:pStyle w:val="12"/>
              <w:jc w:val="center"/>
            </w:pPr>
            <w:r>
              <w:rPr>
                <w:rFonts w:hint="eastAsia"/>
              </w:rPr>
              <w:t>23</w:t>
            </w:r>
          </w:p>
        </w:tc>
        <w:tc>
          <w:tcPr>
            <w:tcW w:w="533" w:type="pct"/>
            <w:vAlign w:val="center"/>
          </w:tcPr>
          <w:p w14:paraId="5F04BF83">
            <w:pPr>
              <w:pStyle w:val="12"/>
              <w:jc w:val="center"/>
            </w:pPr>
            <w:r>
              <w:rPr>
                <w:rFonts w:hint="eastAsia"/>
              </w:rPr>
              <w:t>38</w:t>
            </w:r>
          </w:p>
        </w:tc>
        <w:tc>
          <w:tcPr>
            <w:tcW w:w="533" w:type="pct"/>
            <w:vAlign w:val="center"/>
          </w:tcPr>
          <w:p w14:paraId="24F7781F">
            <w:pPr>
              <w:pStyle w:val="12"/>
              <w:jc w:val="center"/>
            </w:pPr>
            <w:r>
              <w:rPr>
                <w:rFonts w:hint="eastAsia"/>
              </w:rPr>
              <w:t>21</w:t>
            </w:r>
          </w:p>
        </w:tc>
        <w:tc>
          <w:tcPr>
            <w:tcW w:w="533" w:type="pct"/>
            <w:vAlign w:val="center"/>
          </w:tcPr>
          <w:p w14:paraId="6819E0D7">
            <w:pPr>
              <w:pStyle w:val="12"/>
              <w:jc w:val="center"/>
            </w:pPr>
            <w:r>
              <w:rPr>
                <w:rFonts w:hint="eastAsia"/>
              </w:rPr>
              <w:t>42</w:t>
            </w:r>
          </w:p>
        </w:tc>
        <w:tc>
          <w:tcPr>
            <w:tcW w:w="533" w:type="pct"/>
            <w:vAlign w:val="center"/>
          </w:tcPr>
          <w:p w14:paraId="6DC5A005">
            <w:pPr>
              <w:pStyle w:val="12"/>
              <w:jc w:val="center"/>
            </w:pPr>
            <w:r>
              <w:rPr>
                <w:rFonts w:hint="eastAsia"/>
              </w:rPr>
              <w:t>313</w:t>
            </w:r>
          </w:p>
        </w:tc>
      </w:tr>
      <w:tr w14:paraId="315DE36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7" w:type="pct"/>
            <w:vAlign w:val="center"/>
          </w:tcPr>
          <w:p w14:paraId="7248BCC0">
            <w:pPr>
              <w:pStyle w:val="12"/>
              <w:jc w:val="center"/>
            </w:pPr>
            <w:r>
              <w:rPr>
                <w:rFonts w:hint="eastAsia"/>
              </w:rPr>
              <w:t>一、高级职称</w:t>
            </w:r>
          </w:p>
        </w:tc>
        <w:tc>
          <w:tcPr>
            <w:tcW w:w="533" w:type="pct"/>
            <w:vAlign w:val="center"/>
          </w:tcPr>
          <w:p w14:paraId="638C5EC5">
            <w:pPr>
              <w:pStyle w:val="12"/>
              <w:jc w:val="center"/>
            </w:pPr>
            <w:r>
              <w:rPr>
                <w:rFonts w:hint="eastAsia"/>
              </w:rPr>
              <w:t>13</w:t>
            </w:r>
          </w:p>
        </w:tc>
        <w:tc>
          <w:tcPr>
            <w:tcW w:w="533" w:type="pct"/>
            <w:vAlign w:val="center"/>
          </w:tcPr>
          <w:p w14:paraId="31BADC7F">
            <w:pPr>
              <w:pStyle w:val="12"/>
              <w:jc w:val="center"/>
            </w:pPr>
            <w:r>
              <w:rPr>
                <w:rFonts w:hint="eastAsia"/>
              </w:rPr>
              <w:t>12</w:t>
            </w:r>
          </w:p>
        </w:tc>
        <w:tc>
          <w:tcPr>
            <w:tcW w:w="533" w:type="pct"/>
            <w:vAlign w:val="center"/>
          </w:tcPr>
          <w:p w14:paraId="3238D3C4">
            <w:pPr>
              <w:pStyle w:val="12"/>
              <w:jc w:val="center"/>
            </w:pPr>
            <w:r>
              <w:rPr>
                <w:rFonts w:hint="eastAsia"/>
              </w:rPr>
              <w:t>—</w:t>
            </w:r>
          </w:p>
        </w:tc>
        <w:tc>
          <w:tcPr>
            <w:tcW w:w="533" w:type="pct"/>
            <w:vAlign w:val="center"/>
          </w:tcPr>
          <w:p w14:paraId="7859541F">
            <w:pPr>
              <w:pStyle w:val="12"/>
              <w:jc w:val="center"/>
            </w:pPr>
            <w:r>
              <w:rPr>
                <w:rFonts w:hint="eastAsia"/>
              </w:rPr>
              <w:t>—</w:t>
            </w:r>
          </w:p>
        </w:tc>
        <w:tc>
          <w:tcPr>
            <w:tcW w:w="533" w:type="pct"/>
            <w:vAlign w:val="center"/>
          </w:tcPr>
          <w:p w14:paraId="6B87B5A2">
            <w:pPr>
              <w:pStyle w:val="12"/>
              <w:jc w:val="center"/>
            </w:pPr>
            <w:r>
              <w:rPr>
                <w:rFonts w:hint="eastAsia"/>
              </w:rPr>
              <w:t>1</w:t>
            </w:r>
          </w:p>
        </w:tc>
        <w:tc>
          <w:tcPr>
            <w:tcW w:w="533" w:type="pct"/>
            <w:vAlign w:val="center"/>
          </w:tcPr>
          <w:p w14:paraId="5E66E9F3">
            <w:pPr>
              <w:pStyle w:val="12"/>
              <w:jc w:val="center"/>
            </w:pPr>
            <w:r>
              <w:rPr>
                <w:rFonts w:hint="eastAsia"/>
              </w:rPr>
              <w:t>—</w:t>
            </w:r>
          </w:p>
        </w:tc>
        <w:tc>
          <w:tcPr>
            <w:tcW w:w="533" w:type="pct"/>
            <w:vAlign w:val="center"/>
          </w:tcPr>
          <w:p w14:paraId="489D36DF">
            <w:pPr>
              <w:pStyle w:val="12"/>
              <w:jc w:val="center"/>
            </w:pPr>
            <w:r>
              <w:rPr>
                <w:rFonts w:hint="eastAsia"/>
              </w:rPr>
              <w:t>—</w:t>
            </w:r>
          </w:p>
        </w:tc>
        <w:tc>
          <w:tcPr>
            <w:tcW w:w="533" w:type="pct"/>
            <w:vAlign w:val="center"/>
          </w:tcPr>
          <w:p w14:paraId="301443BC">
            <w:pPr>
              <w:pStyle w:val="12"/>
              <w:jc w:val="center"/>
            </w:pPr>
            <w:r>
              <w:rPr>
                <w:rFonts w:hint="eastAsia"/>
              </w:rPr>
              <w:t>—</w:t>
            </w:r>
          </w:p>
        </w:tc>
      </w:tr>
      <w:tr w14:paraId="4CDFCE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7" w:type="pct"/>
            <w:vAlign w:val="center"/>
          </w:tcPr>
          <w:p w14:paraId="6250F7DB">
            <w:pPr>
              <w:pStyle w:val="12"/>
              <w:jc w:val="center"/>
            </w:pPr>
            <w:r>
              <w:rPr>
                <w:rFonts w:hint="eastAsia"/>
              </w:rPr>
              <w:t>内科</w:t>
            </w:r>
          </w:p>
        </w:tc>
        <w:tc>
          <w:tcPr>
            <w:tcW w:w="533" w:type="pct"/>
            <w:vAlign w:val="center"/>
          </w:tcPr>
          <w:p w14:paraId="4DCDC647">
            <w:pPr>
              <w:pStyle w:val="12"/>
              <w:jc w:val="center"/>
            </w:pPr>
            <w:r>
              <w:rPr>
                <w:rFonts w:hint="eastAsia"/>
              </w:rPr>
              <w:t>5</w:t>
            </w:r>
          </w:p>
        </w:tc>
        <w:tc>
          <w:tcPr>
            <w:tcW w:w="533" w:type="pct"/>
            <w:vAlign w:val="center"/>
          </w:tcPr>
          <w:p w14:paraId="3C196D2A">
            <w:pPr>
              <w:pStyle w:val="12"/>
              <w:jc w:val="center"/>
            </w:pPr>
            <w:r>
              <w:rPr>
                <w:rFonts w:hint="eastAsia"/>
              </w:rPr>
              <w:t>5</w:t>
            </w:r>
          </w:p>
        </w:tc>
        <w:tc>
          <w:tcPr>
            <w:tcW w:w="533" w:type="pct"/>
            <w:vAlign w:val="center"/>
          </w:tcPr>
          <w:p w14:paraId="0EB32DB1">
            <w:pPr>
              <w:pStyle w:val="12"/>
              <w:jc w:val="center"/>
            </w:pPr>
            <w:r>
              <w:rPr>
                <w:rFonts w:hint="eastAsia"/>
              </w:rPr>
              <w:t>—</w:t>
            </w:r>
          </w:p>
        </w:tc>
        <w:tc>
          <w:tcPr>
            <w:tcW w:w="533" w:type="pct"/>
            <w:vAlign w:val="center"/>
          </w:tcPr>
          <w:p w14:paraId="07AE2B07">
            <w:pPr>
              <w:pStyle w:val="12"/>
              <w:jc w:val="center"/>
            </w:pPr>
            <w:r>
              <w:rPr>
                <w:rFonts w:hint="eastAsia"/>
              </w:rPr>
              <w:t>—</w:t>
            </w:r>
          </w:p>
        </w:tc>
        <w:tc>
          <w:tcPr>
            <w:tcW w:w="533" w:type="pct"/>
            <w:vAlign w:val="center"/>
          </w:tcPr>
          <w:p w14:paraId="58B93AA5">
            <w:pPr>
              <w:pStyle w:val="12"/>
              <w:jc w:val="center"/>
            </w:pPr>
            <w:r>
              <w:rPr>
                <w:rFonts w:hint="eastAsia"/>
              </w:rPr>
              <w:t>—</w:t>
            </w:r>
          </w:p>
        </w:tc>
        <w:tc>
          <w:tcPr>
            <w:tcW w:w="533" w:type="pct"/>
            <w:vAlign w:val="center"/>
          </w:tcPr>
          <w:p w14:paraId="788C2973">
            <w:pPr>
              <w:pStyle w:val="12"/>
              <w:jc w:val="center"/>
            </w:pPr>
            <w:r>
              <w:rPr>
                <w:rFonts w:hint="eastAsia"/>
              </w:rPr>
              <w:t>—</w:t>
            </w:r>
          </w:p>
        </w:tc>
        <w:tc>
          <w:tcPr>
            <w:tcW w:w="533" w:type="pct"/>
            <w:vAlign w:val="center"/>
          </w:tcPr>
          <w:p w14:paraId="1A386A9E">
            <w:pPr>
              <w:pStyle w:val="12"/>
              <w:jc w:val="center"/>
            </w:pPr>
            <w:r>
              <w:rPr>
                <w:rFonts w:hint="eastAsia"/>
              </w:rPr>
              <w:t>—</w:t>
            </w:r>
          </w:p>
        </w:tc>
        <w:tc>
          <w:tcPr>
            <w:tcW w:w="533" w:type="pct"/>
            <w:vAlign w:val="center"/>
          </w:tcPr>
          <w:p w14:paraId="391CC11F">
            <w:pPr>
              <w:pStyle w:val="12"/>
              <w:jc w:val="center"/>
            </w:pPr>
            <w:r>
              <w:rPr>
                <w:rFonts w:hint="eastAsia"/>
              </w:rPr>
              <w:t>—</w:t>
            </w:r>
          </w:p>
        </w:tc>
      </w:tr>
      <w:tr w14:paraId="2A3747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7" w:type="pct"/>
            <w:vAlign w:val="center"/>
          </w:tcPr>
          <w:p w14:paraId="2EC752EA">
            <w:pPr>
              <w:pStyle w:val="12"/>
              <w:jc w:val="center"/>
            </w:pPr>
            <w:r>
              <w:rPr>
                <w:rFonts w:hint="eastAsia"/>
              </w:rPr>
              <w:t>外科</w:t>
            </w:r>
          </w:p>
        </w:tc>
        <w:tc>
          <w:tcPr>
            <w:tcW w:w="533" w:type="pct"/>
            <w:vAlign w:val="center"/>
          </w:tcPr>
          <w:p w14:paraId="695F864F">
            <w:pPr>
              <w:pStyle w:val="12"/>
              <w:jc w:val="center"/>
            </w:pPr>
            <w:r>
              <w:rPr>
                <w:rFonts w:hint="eastAsia"/>
              </w:rPr>
              <w:t>2</w:t>
            </w:r>
          </w:p>
        </w:tc>
        <w:tc>
          <w:tcPr>
            <w:tcW w:w="533" w:type="pct"/>
            <w:vAlign w:val="center"/>
          </w:tcPr>
          <w:p w14:paraId="6C045520">
            <w:pPr>
              <w:pStyle w:val="12"/>
              <w:jc w:val="center"/>
            </w:pPr>
            <w:r>
              <w:rPr>
                <w:rFonts w:hint="eastAsia"/>
              </w:rPr>
              <w:t>2</w:t>
            </w:r>
          </w:p>
        </w:tc>
        <w:tc>
          <w:tcPr>
            <w:tcW w:w="533" w:type="pct"/>
            <w:vAlign w:val="center"/>
          </w:tcPr>
          <w:p w14:paraId="711D7238">
            <w:pPr>
              <w:pStyle w:val="12"/>
              <w:jc w:val="center"/>
            </w:pPr>
            <w:r>
              <w:rPr>
                <w:rFonts w:hint="eastAsia"/>
              </w:rPr>
              <w:t>—</w:t>
            </w:r>
          </w:p>
        </w:tc>
        <w:tc>
          <w:tcPr>
            <w:tcW w:w="533" w:type="pct"/>
            <w:vAlign w:val="center"/>
          </w:tcPr>
          <w:p w14:paraId="67C8D90B">
            <w:pPr>
              <w:pStyle w:val="12"/>
              <w:jc w:val="center"/>
            </w:pPr>
            <w:r>
              <w:rPr>
                <w:rFonts w:hint="eastAsia"/>
              </w:rPr>
              <w:t>—</w:t>
            </w:r>
          </w:p>
        </w:tc>
        <w:tc>
          <w:tcPr>
            <w:tcW w:w="533" w:type="pct"/>
            <w:vAlign w:val="center"/>
          </w:tcPr>
          <w:p w14:paraId="1CB076A1">
            <w:pPr>
              <w:pStyle w:val="12"/>
              <w:jc w:val="center"/>
            </w:pPr>
            <w:r>
              <w:rPr>
                <w:rFonts w:hint="eastAsia"/>
              </w:rPr>
              <w:t>—</w:t>
            </w:r>
          </w:p>
        </w:tc>
        <w:tc>
          <w:tcPr>
            <w:tcW w:w="533" w:type="pct"/>
            <w:vAlign w:val="center"/>
          </w:tcPr>
          <w:p w14:paraId="4DEFCA1F">
            <w:pPr>
              <w:pStyle w:val="12"/>
              <w:jc w:val="center"/>
            </w:pPr>
            <w:r>
              <w:rPr>
                <w:rFonts w:hint="eastAsia"/>
              </w:rPr>
              <w:t>—</w:t>
            </w:r>
          </w:p>
        </w:tc>
        <w:tc>
          <w:tcPr>
            <w:tcW w:w="533" w:type="pct"/>
            <w:vAlign w:val="center"/>
          </w:tcPr>
          <w:p w14:paraId="740C47EE">
            <w:pPr>
              <w:pStyle w:val="12"/>
              <w:jc w:val="center"/>
            </w:pPr>
            <w:r>
              <w:rPr>
                <w:rFonts w:hint="eastAsia"/>
              </w:rPr>
              <w:t>—</w:t>
            </w:r>
          </w:p>
        </w:tc>
        <w:tc>
          <w:tcPr>
            <w:tcW w:w="533" w:type="pct"/>
            <w:vAlign w:val="center"/>
          </w:tcPr>
          <w:p w14:paraId="1481FD3C">
            <w:pPr>
              <w:pStyle w:val="12"/>
              <w:jc w:val="center"/>
            </w:pPr>
            <w:r>
              <w:rPr>
                <w:rFonts w:hint="eastAsia"/>
              </w:rPr>
              <w:t>—</w:t>
            </w:r>
          </w:p>
        </w:tc>
      </w:tr>
      <w:tr w14:paraId="528570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7" w:type="pct"/>
            <w:vAlign w:val="center"/>
          </w:tcPr>
          <w:p w14:paraId="766ECB29">
            <w:pPr>
              <w:pStyle w:val="12"/>
              <w:jc w:val="center"/>
            </w:pPr>
            <w:r>
              <w:rPr>
                <w:rFonts w:hint="eastAsia"/>
              </w:rPr>
              <w:t>骨科</w:t>
            </w:r>
          </w:p>
        </w:tc>
        <w:tc>
          <w:tcPr>
            <w:tcW w:w="533" w:type="pct"/>
            <w:vAlign w:val="center"/>
          </w:tcPr>
          <w:p w14:paraId="1ABA3826">
            <w:pPr>
              <w:pStyle w:val="12"/>
              <w:jc w:val="center"/>
            </w:pPr>
            <w:r>
              <w:rPr>
                <w:rFonts w:hint="eastAsia"/>
              </w:rPr>
              <w:t>1</w:t>
            </w:r>
          </w:p>
        </w:tc>
        <w:tc>
          <w:tcPr>
            <w:tcW w:w="533" w:type="pct"/>
            <w:vAlign w:val="center"/>
          </w:tcPr>
          <w:p w14:paraId="73663958">
            <w:pPr>
              <w:pStyle w:val="12"/>
              <w:jc w:val="center"/>
            </w:pPr>
            <w:r>
              <w:rPr>
                <w:rFonts w:hint="eastAsia"/>
              </w:rPr>
              <w:t>1</w:t>
            </w:r>
          </w:p>
        </w:tc>
        <w:tc>
          <w:tcPr>
            <w:tcW w:w="533" w:type="pct"/>
            <w:vAlign w:val="center"/>
          </w:tcPr>
          <w:p w14:paraId="43F1699F">
            <w:pPr>
              <w:pStyle w:val="12"/>
              <w:jc w:val="center"/>
            </w:pPr>
            <w:r>
              <w:rPr>
                <w:rFonts w:hint="eastAsia"/>
              </w:rPr>
              <w:t>—</w:t>
            </w:r>
          </w:p>
        </w:tc>
        <w:tc>
          <w:tcPr>
            <w:tcW w:w="533" w:type="pct"/>
            <w:vAlign w:val="center"/>
          </w:tcPr>
          <w:p w14:paraId="0BC3D256">
            <w:pPr>
              <w:pStyle w:val="12"/>
              <w:jc w:val="center"/>
            </w:pPr>
            <w:r>
              <w:rPr>
                <w:rFonts w:hint="eastAsia"/>
              </w:rPr>
              <w:t>—</w:t>
            </w:r>
          </w:p>
        </w:tc>
        <w:tc>
          <w:tcPr>
            <w:tcW w:w="533" w:type="pct"/>
            <w:vAlign w:val="center"/>
          </w:tcPr>
          <w:p w14:paraId="05143DC7">
            <w:pPr>
              <w:pStyle w:val="12"/>
              <w:jc w:val="center"/>
            </w:pPr>
            <w:r>
              <w:rPr>
                <w:rFonts w:hint="eastAsia"/>
              </w:rPr>
              <w:t>—</w:t>
            </w:r>
          </w:p>
        </w:tc>
        <w:tc>
          <w:tcPr>
            <w:tcW w:w="533" w:type="pct"/>
            <w:vAlign w:val="center"/>
          </w:tcPr>
          <w:p w14:paraId="27375C8C">
            <w:pPr>
              <w:pStyle w:val="12"/>
              <w:jc w:val="center"/>
            </w:pPr>
            <w:r>
              <w:rPr>
                <w:rFonts w:hint="eastAsia"/>
              </w:rPr>
              <w:t>—</w:t>
            </w:r>
          </w:p>
        </w:tc>
        <w:tc>
          <w:tcPr>
            <w:tcW w:w="533" w:type="pct"/>
            <w:vAlign w:val="center"/>
          </w:tcPr>
          <w:p w14:paraId="427ADEDA">
            <w:pPr>
              <w:pStyle w:val="12"/>
              <w:jc w:val="center"/>
            </w:pPr>
            <w:r>
              <w:rPr>
                <w:rFonts w:hint="eastAsia"/>
              </w:rPr>
              <w:t>—</w:t>
            </w:r>
          </w:p>
        </w:tc>
        <w:tc>
          <w:tcPr>
            <w:tcW w:w="533" w:type="pct"/>
            <w:vAlign w:val="center"/>
          </w:tcPr>
          <w:p w14:paraId="15D787BB">
            <w:pPr>
              <w:pStyle w:val="12"/>
              <w:jc w:val="center"/>
            </w:pPr>
            <w:r>
              <w:rPr>
                <w:rFonts w:hint="eastAsia"/>
              </w:rPr>
              <w:t>—</w:t>
            </w:r>
          </w:p>
        </w:tc>
      </w:tr>
      <w:tr w14:paraId="0E00356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7" w:type="pct"/>
            <w:vAlign w:val="center"/>
          </w:tcPr>
          <w:p w14:paraId="718EE11E">
            <w:pPr>
              <w:pStyle w:val="12"/>
              <w:jc w:val="center"/>
            </w:pPr>
            <w:r>
              <w:rPr>
                <w:rFonts w:hint="eastAsia"/>
              </w:rPr>
              <w:t>儿科</w:t>
            </w:r>
          </w:p>
        </w:tc>
        <w:tc>
          <w:tcPr>
            <w:tcW w:w="533" w:type="pct"/>
            <w:vAlign w:val="center"/>
          </w:tcPr>
          <w:p w14:paraId="4B655392">
            <w:pPr>
              <w:pStyle w:val="12"/>
              <w:jc w:val="center"/>
            </w:pPr>
            <w:r>
              <w:rPr>
                <w:rFonts w:hint="eastAsia"/>
              </w:rPr>
              <w:t>2</w:t>
            </w:r>
          </w:p>
        </w:tc>
        <w:tc>
          <w:tcPr>
            <w:tcW w:w="533" w:type="pct"/>
            <w:vAlign w:val="center"/>
          </w:tcPr>
          <w:p w14:paraId="298E0C94">
            <w:pPr>
              <w:pStyle w:val="12"/>
              <w:jc w:val="center"/>
            </w:pPr>
            <w:r>
              <w:rPr>
                <w:rFonts w:hint="eastAsia"/>
              </w:rPr>
              <w:t>2</w:t>
            </w:r>
          </w:p>
        </w:tc>
        <w:tc>
          <w:tcPr>
            <w:tcW w:w="533" w:type="pct"/>
            <w:vAlign w:val="center"/>
          </w:tcPr>
          <w:p w14:paraId="43C3D963">
            <w:pPr>
              <w:pStyle w:val="12"/>
              <w:jc w:val="center"/>
            </w:pPr>
            <w:r>
              <w:rPr>
                <w:rFonts w:hint="eastAsia"/>
              </w:rPr>
              <w:t>—</w:t>
            </w:r>
          </w:p>
        </w:tc>
        <w:tc>
          <w:tcPr>
            <w:tcW w:w="533" w:type="pct"/>
            <w:vAlign w:val="center"/>
          </w:tcPr>
          <w:p w14:paraId="3DD6309D">
            <w:pPr>
              <w:pStyle w:val="12"/>
              <w:jc w:val="center"/>
            </w:pPr>
            <w:r>
              <w:rPr>
                <w:rFonts w:hint="eastAsia"/>
              </w:rPr>
              <w:t>—</w:t>
            </w:r>
          </w:p>
        </w:tc>
        <w:tc>
          <w:tcPr>
            <w:tcW w:w="533" w:type="pct"/>
            <w:vAlign w:val="center"/>
          </w:tcPr>
          <w:p w14:paraId="6081B29D">
            <w:pPr>
              <w:pStyle w:val="12"/>
              <w:jc w:val="center"/>
            </w:pPr>
            <w:r>
              <w:rPr>
                <w:rFonts w:hint="eastAsia"/>
              </w:rPr>
              <w:t>—</w:t>
            </w:r>
          </w:p>
        </w:tc>
        <w:tc>
          <w:tcPr>
            <w:tcW w:w="533" w:type="pct"/>
            <w:vAlign w:val="center"/>
          </w:tcPr>
          <w:p w14:paraId="411952F2">
            <w:pPr>
              <w:pStyle w:val="12"/>
              <w:jc w:val="center"/>
            </w:pPr>
            <w:r>
              <w:rPr>
                <w:rFonts w:hint="eastAsia"/>
              </w:rPr>
              <w:t>—</w:t>
            </w:r>
          </w:p>
        </w:tc>
        <w:tc>
          <w:tcPr>
            <w:tcW w:w="533" w:type="pct"/>
            <w:vAlign w:val="center"/>
          </w:tcPr>
          <w:p w14:paraId="430BF297">
            <w:pPr>
              <w:pStyle w:val="12"/>
              <w:jc w:val="center"/>
            </w:pPr>
            <w:r>
              <w:rPr>
                <w:rFonts w:hint="eastAsia"/>
              </w:rPr>
              <w:t>—</w:t>
            </w:r>
          </w:p>
        </w:tc>
        <w:tc>
          <w:tcPr>
            <w:tcW w:w="533" w:type="pct"/>
            <w:vAlign w:val="center"/>
          </w:tcPr>
          <w:p w14:paraId="5D5A04F3">
            <w:pPr>
              <w:pStyle w:val="12"/>
              <w:jc w:val="center"/>
            </w:pPr>
            <w:r>
              <w:rPr>
                <w:rFonts w:hint="eastAsia"/>
              </w:rPr>
              <w:t>—</w:t>
            </w:r>
          </w:p>
        </w:tc>
      </w:tr>
      <w:tr w14:paraId="4926B3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7" w:type="pct"/>
            <w:vAlign w:val="center"/>
          </w:tcPr>
          <w:p w14:paraId="6A1FD434">
            <w:pPr>
              <w:pStyle w:val="12"/>
              <w:jc w:val="center"/>
            </w:pPr>
            <w:r>
              <w:rPr>
                <w:rFonts w:hint="eastAsia"/>
              </w:rPr>
              <w:t>检验科</w:t>
            </w:r>
          </w:p>
        </w:tc>
        <w:tc>
          <w:tcPr>
            <w:tcW w:w="533" w:type="pct"/>
            <w:vAlign w:val="center"/>
          </w:tcPr>
          <w:p w14:paraId="6FB8A4B9">
            <w:pPr>
              <w:pStyle w:val="12"/>
              <w:jc w:val="center"/>
            </w:pPr>
            <w:r>
              <w:rPr>
                <w:rFonts w:hint="eastAsia"/>
              </w:rPr>
              <w:t>1</w:t>
            </w:r>
          </w:p>
        </w:tc>
        <w:tc>
          <w:tcPr>
            <w:tcW w:w="533" w:type="pct"/>
            <w:vAlign w:val="center"/>
          </w:tcPr>
          <w:p w14:paraId="37312144">
            <w:pPr>
              <w:pStyle w:val="12"/>
              <w:jc w:val="center"/>
            </w:pPr>
            <w:r>
              <w:rPr>
                <w:rFonts w:hint="eastAsia"/>
              </w:rPr>
              <w:t>1</w:t>
            </w:r>
          </w:p>
        </w:tc>
        <w:tc>
          <w:tcPr>
            <w:tcW w:w="533" w:type="pct"/>
            <w:vAlign w:val="center"/>
          </w:tcPr>
          <w:p w14:paraId="7A1FF711">
            <w:pPr>
              <w:pStyle w:val="12"/>
              <w:jc w:val="center"/>
            </w:pPr>
            <w:r>
              <w:rPr>
                <w:rFonts w:hint="eastAsia"/>
              </w:rPr>
              <w:t>—</w:t>
            </w:r>
          </w:p>
        </w:tc>
        <w:tc>
          <w:tcPr>
            <w:tcW w:w="533" w:type="pct"/>
            <w:vAlign w:val="center"/>
          </w:tcPr>
          <w:p w14:paraId="602D9E91">
            <w:pPr>
              <w:pStyle w:val="12"/>
              <w:jc w:val="center"/>
            </w:pPr>
            <w:r>
              <w:rPr>
                <w:rFonts w:hint="eastAsia"/>
              </w:rPr>
              <w:t>—</w:t>
            </w:r>
          </w:p>
        </w:tc>
        <w:tc>
          <w:tcPr>
            <w:tcW w:w="533" w:type="pct"/>
            <w:vAlign w:val="center"/>
          </w:tcPr>
          <w:p w14:paraId="5E696513">
            <w:pPr>
              <w:pStyle w:val="12"/>
              <w:jc w:val="center"/>
            </w:pPr>
            <w:r>
              <w:rPr>
                <w:rFonts w:hint="eastAsia"/>
              </w:rPr>
              <w:t>—</w:t>
            </w:r>
          </w:p>
        </w:tc>
        <w:tc>
          <w:tcPr>
            <w:tcW w:w="533" w:type="pct"/>
            <w:vAlign w:val="center"/>
          </w:tcPr>
          <w:p w14:paraId="5F02EF98">
            <w:pPr>
              <w:pStyle w:val="12"/>
              <w:jc w:val="center"/>
            </w:pPr>
            <w:r>
              <w:rPr>
                <w:rFonts w:hint="eastAsia"/>
              </w:rPr>
              <w:t>—</w:t>
            </w:r>
          </w:p>
        </w:tc>
        <w:tc>
          <w:tcPr>
            <w:tcW w:w="533" w:type="pct"/>
            <w:vAlign w:val="center"/>
          </w:tcPr>
          <w:p w14:paraId="636E89FE">
            <w:pPr>
              <w:pStyle w:val="12"/>
              <w:jc w:val="center"/>
            </w:pPr>
            <w:r>
              <w:rPr>
                <w:rFonts w:hint="eastAsia"/>
              </w:rPr>
              <w:t>—</w:t>
            </w:r>
          </w:p>
        </w:tc>
        <w:tc>
          <w:tcPr>
            <w:tcW w:w="533" w:type="pct"/>
            <w:vAlign w:val="center"/>
          </w:tcPr>
          <w:p w14:paraId="03D0458A">
            <w:pPr>
              <w:pStyle w:val="12"/>
              <w:jc w:val="center"/>
            </w:pPr>
            <w:r>
              <w:rPr>
                <w:rFonts w:hint="eastAsia"/>
              </w:rPr>
              <w:t>—</w:t>
            </w:r>
          </w:p>
        </w:tc>
      </w:tr>
      <w:tr w14:paraId="17104E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7" w:type="pct"/>
            <w:vAlign w:val="center"/>
          </w:tcPr>
          <w:p w14:paraId="11DCB3BA">
            <w:pPr>
              <w:pStyle w:val="12"/>
              <w:jc w:val="center"/>
            </w:pPr>
            <w:r>
              <w:rPr>
                <w:rFonts w:hint="eastAsia"/>
              </w:rPr>
              <w:t>中医科</w:t>
            </w:r>
          </w:p>
        </w:tc>
        <w:tc>
          <w:tcPr>
            <w:tcW w:w="533" w:type="pct"/>
            <w:vAlign w:val="center"/>
          </w:tcPr>
          <w:p w14:paraId="05A4BEF5">
            <w:pPr>
              <w:pStyle w:val="12"/>
              <w:jc w:val="center"/>
            </w:pPr>
            <w:r>
              <w:rPr>
                <w:rFonts w:hint="eastAsia"/>
              </w:rPr>
              <w:t>1</w:t>
            </w:r>
          </w:p>
        </w:tc>
        <w:tc>
          <w:tcPr>
            <w:tcW w:w="533" w:type="pct"/>
            <w:vAlign w:val="center"/>
          </w:tcPr>
          <w:p w14:paraId="0A30188D">
            <w:pPr>
              <w:pStyle w:val="12"/>
              <w:jc w:val="center"/>
            </w:pPr>
            <w:r>
              <w:rPr>
                <w:rFonts w:hint="eastAsia"/>
              </w:rPr>
              <w:t>—</w:t>
            </w:r>
          </w:p>
        </w:tc>
        <w:tc>
          <w:tcPr>
            <w:tcW w:w="533" w:type="pct"/>
            <w:vAlign w:val="center"/>
          </w:tcPr>
          <w:p w14:paraId="301F62EE">
            <w:pPr>
              <w:pStyle w:val="12"/>
              <w:jc w:val="center"/>
            </w:pPr>
            <w:r>
              <w:rPr>
                <w:rFonts w:hint="eastAsia"/>
              </w:rPr>
              <w:t>—</w:t>
            </w:r>
          </w:p>
        </w:tc>
        <w:tc>
          <w:tcPr>
            <w:tcW w:w="533" w:type="pct"/>
            <w:vAlign w:val="center"/>
          </w:tcPr>
          <w:p w14:paraId="0706CB67">
            <w:pPr>
              <w:pStyle w:val="12"/>
              <w:jc w:val="center"/>
            </w:pPr>
            <w:r>
              <w:rPr>
                <w:rFonts w:hint="eastAsia"/>
              </w:rPr>
              <w:t>—</w:t>
            </w:r>
          </w:p>
        </w:tc>
        <w:tc>
          <w:tcPr>
            <w:tcW w:w="533" w:type="pct"/>
            <w:vAlign w:val="center"/>
          </w:tcPr>
          <w:p w14:paraId="682CAC97">
            <w:pPr>
              <w:pStyle w:val="12"/>
              <w:jc w:val="center"/>
            </w:pPr>
            <w:r>
              <w:rPr>
                <w:rFonts w:hint="eastAsia"/>
              </w:rPr>
              <w:t>1</w:t>
            </w:r>
          </w:p>
        </w:tc>
        <w:tc>
          <w:tcPr>
            <w:tcW w:w="533" w:type="pct"/>
            <w:vAlign w:val="center"/>
          </w:tcPr>
          <w:p w14:paraId="7036DE10">
            <w:pPr>
              <w:pStyle w:val="12"/>
              <w:jc w:val="center"/>
            </w:pPr>
            <w:r>
              <w:rPr>
                <w:rFonts w:hint="eastAsia"/>
              </w:rPr>
              <w:t>—</w:t>
            </w:r>
          </w:p>
        </w:tc>
        <w:tc>
          <w:tcPr>
            <w:tcW w:w="533" w:type="pct"/>
            <w:vAlign w:val="center"/>
          </w:tcPr>
          <w:p w14:paraId="403D7000">
            <w:pPr>
              <w:pStyle w:val="12"/>
              <w:jc w:val="center"/>
            </w:pPr>
            <w:r>
              <w:rPr>
                <w:rFonts w:hint="eastAsia"/>
              </w:rPr>
              <w:t>—</w:t>
            </w:r>
          </w:p>
        </w:tc>
        <w:tc>
          <w:tcPr>
            <w:tcW w:w="533" w:type="pct"/>
            <w:vAlign w:val="center"/>
          </w:tcPr>
          <w:p w14:paraId="36A714A3">
            <w:pPr>
              <w:pStyle w:val="12"/>
              <w:jc w:val="center"/>
            </w:pPr>
            <w:r>
              <w:rPr>
                <w:rFonts w:hint="eastAsia"/>
              </w:rPr>
              <w:t>—</w:t>
            </w:r>
          </w:p>
        </w:tc>
      </w:tr>
      <w:tr w14:paraId="387B6DA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7" w:type="pct"/>
            <w:vAlign w:val="center"/>
          </w:tcPr>
          <w:p w14:paraId="1FC726B4">
            <w:pPr>
              <w:pStyle w:val="12"/>
              <w:jc w:val="center"/>
            </w:pPr>
            <w:r>
              <w:rPr>
                <w:rFonts w:hint="eastAsia"/>
              </w:rPr>
              <w:t>妇产科</w:t>
            </w:r>
          </w:p>
        </w:tc>
        <w:tc>
          <w:tcPr>
            <w:tcW w:w="533" w:type="pct"/>
            <w:vAlign w:val="center"/>
          </w:tcPr>
          <w:p w14:paraId="15DA4DCD">
            <w:pPr>
              <w:pStyle w:val="12"/>
              <w:jc w:val="center"/>
            </w:pPr>
            <w:r>
              <w:rPr>
                <w:rFonts w:hint="eastAsia"/>
              </w:rPr>
              <w:t>1</w:t>
            </w:r>
          </w:p>
        </w:tc>
        <w:tc>
          <w:tcPr>
            <w:tcW w:w="533" w:type="pct"/>
            <w:vAlign w:val="center"/>
          </w:tcPr>
          <w:p w14:paraId="3E83E6DE">
            <w:pPr>
              <w:pStyle w:val="12"/>
              <w:jc w:val="center"/>
            </w:pPr>
            <w:r>
              <w:rPr>
                <w:rFonts w:hint="eastAsia"/>
              </w:rPr>
              <w:t>1</w:t>
            </w:r>
          </w:p>
        </w:tc>
        <w:tc>
          <w:tcPr>
            <w:tcW w:w="533" w:type="pct"/>
            <w:vAlign w:val="center"/>
          </w:tcPr>
          <w:p w14:paraId="66F02653">
            <w:pPr>
              <w:pStyle w:val="12"/>
              <w:jc w:val="center"/>
            </w:pPr>
            <w:r>
              <w:rPr>
                <w:rFonts w:hint="eastAsia"/>
              </w:rPr>
              <w:t>—</w:t>
            </w:r>
          </w:p>
        </w:tc>
        <w:tc>
          <w:tcPr>
            <w:tcW w:w="533" w:type="pct"/>
            <w:vAlign w:val="center"/>
          </w:tcPr>
          <w:p w14:paraId="1C243656">
            <w:pPr>
              <w:pStyle w:val="12"/>
              <w:jc w:val="center"/>
            </w:pPr>
            <w:r>
              <w:rPr>
                <w:rFonts w:hint="eastAsia"/>
              </w:rPr>
              <w:t>—</w:t>
            </w:r>
          </w:p>
        </w:tc>
        <w:tc>
          <w:tcPr>
            <w:tcW w:w="533" w:type="pct"/>
            <w:vAlign w:val="center"/>
          </w:tcPr>
          <w:p w14:paraId="19FD5BA7">
            <w:pPr>
              <w:pStyle w:val="12"/>
              <w:jc w:val="center"/>
            </w:pPr>
            <w:r>
              <w:rPr>
                <w:rFonts w:hint="eastAsia"/>
              </w:rPr>
              <w:t>—</w:t>
            </w:r>
          </w:p>
        </w:tc>
        <w:tc>
          <w:tcPr>
            <w:tcW w:w="533" w:type="pct"/>
            <w:vAlign w:val="center"/>
          </w:tcPr>
          <w:p w14:paraId="27FB81C5">
            <w:pPr>
              <w:pStyle w:val="12"/>
              <w:jc w:val="center"/>
            </w:pPr>
            <w:r>
              <w:rPr>
                <w:rFonts w:hint="eastAsia"/>
              </w:rPr>
              <w:t>—</w:t>
            </w:r>
          </w:p>
        </w:tc>
        <w:tc>
          <w:tcPr>
            <w:tcW w:w="533" w:type="pct"/>
            <w:vAlign w:val="center"/>
          </w:tcPr>
          <w:p w14:paraId="3185AE73">
            <w:pPr>
              <w:pStyle w:val="12"/>
              <w:jc w:val="center"/>
            </w:pPr>
            <w:r>
              <w:rPr>
                <w:rFonts w:hint="eastAsia"/>
              </w:rPr>
              <w:t>—</w:t>
            </w:r>
          </w:p>
        </w:tc>
        <w:tc>
          <w:tcPr>
            <w:tcW w:w="533" w:type="pct"/>
            <w:vAlign w:val="center"/>
          </w:tcPr>
          <w:p w14:paraId="68CD9F2B">
            <w:pPr>
              <w:pStyle w:val="12"/>
              <w:jc w:val="center"/>
            </w:pPr>
            <w:r>
              <w:rPr>
                <w:rFonts w:hint="eastAsia"/>
              </w:rPr>
              <w:t>—</w:t>
            </w:r>
          </w:p>
        </w:tc>
      </w:tr>
      <w:tr w14:paraId="1978B8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7" w:type="pct"/>
            <w:vAlign w:val="center"/>
          </w:tcPr>
          <w:p w14:paraId="6EAE4FB0">
            <w:pPr>
              <w:pStyle w:val="12"/>
              <w:jc w:val="center"/>
            </w:pPr>
            <w:r>
              <w:rPr>
                <w:rFonts w:hint="eastAsia"/>
              </w:rPr>
              <w:t>二、中级职称</w:t>
            </w:r>
          </w:p>
        </w:tc>
        <w:tc>
          <w:tcPr>
            <w:tcW w:w="533" w:type="pct"/>
            <w:vAlign w:val="center"/>
          </w:tcPr>
          <w:p w14:paraId="09F735C5">
            <w:pPr>
              <w:pStyle w:val="12"/>
              <w:jc w:val="center"/>
            </w:pPr>
            <w:r>
              <w:rPr>
                <w:rFonts w:hint="eastAsia"/>
              </w:rPr>
              <w:t>212</w:t>
            </w:r>
          </w:p>
        </w:tc>
        <w:tc>
          <w:tcPr>
            <w:tcW w:w="533" w:type="pct"/>
            <w:vAlign w:val="center"/>
          </w:tcPr>
          <w:p w14:paraId="6BC8F2D7">
            <w:pPr>
              <w:pStyle w:val="12"/>
              <w:jc w:val="center"/>
            </w:pPr>
            <w:r>
              <w:rPr>
                <w:rFonts w:hint="eastAsia"/>
              </w:rPr>
              <w:t>92</w:t>
            </w:r>
          </w:p>
        </w:tc>
        <w:tc>
          <w:tcPr>
            <w:tcW w:w="533" w:type="pct"/>
            <w:vAlign w:val="center"/>
          </w:tcPr>
          <w:p w14:paraId="593BAF7A">
            <w:pPr>
              <w:pStyle w:val="12"/>
              <w:jc w:val="center"/>
            </w:pPr>
            <w:r>
              <w:rPr>
                <w:rFonts w:hint="eastAsia"/>
              </w:rPr>
              <w:t>45</w:t>
            </w:r>
          </w:p>
        </w:tc>
        <w:tc>
          <w:tcPr>
            <w:tcW w:w="533" w:type="pct"/>
            <w:vAlign w:val="center"/>
          </w:tcPr>
          <w:p w14:paraId="12134DC4">
            <w:pPr>
              <w:pStyle w:val="12"/>
              <w:jc w:val="center"/>
            </w:pPr>
            <w:r>
              <w:rPr>
                <w:rFonts w:hint="eastAsia"/>
              </w:rPr>
              <w:t>9</w:t>
            </w:r>
          </w:p>
        </w:tc>
        <w:tc>
          <w:tcPr>
            <w:tcW w:w="533" w:type="pct"/>
            <w:vAlign w:val="center"/>
          </w:tcPr>
          <w:p w14:paraId="4187A609">
            <w:pPr>
              <w:pStyle w:val="12"/>
              <w:jc w:val="center"/>
            </w:pPr>
            <w:r>
              <w:rPr>
                <w:rFonts w:hint="eastAsia"/>
              </w:rPr>
              <w:t>12</w:t>
            </w:r>
          </w:p>
        </w:tc>
        <w:tc>
          <w:tcPr>
            <w:tcW w:w="533" w:type="pct"/>
            <w:vAlign w:val="center"/>
          </w:tcPr>
          <w:p w14:paraId="0F854F4D">
            <w:pPr>
              <w:pStyle w:val="12"/>
              <w:jc w:val="center"/>
            </w:pPr>
            <w:r>
              <w:rPr>
                <w:rFonts w:hint="eastAsia"/>
              </w:rPr>
              <w:t>5</w:t>
            </w:r>
          </w:p>
        </w:tc>
        <w:tc>
          <w:tcPr>
            <w:tcW w:w="533" w:type="pct"/>
            <w:vAlign w:val="center"/>
          </w:tcPr>
          <w:p w14:paraId="3F393C61">
            <w:pPr>
              <w:pStyle w:val="12"/>
              <w:jc w:val="center"/>
            </w:pPr>
            <w:r>
              <w:rPr>
                <w:rFonts w:hint="eastAsia"/>
              </w:rPr>
              <w:t>13</w:t>
            </w:r>
          </w:p>
        </w:tc>
        <w:tc>
          <w:tcPr>
            <w:tcW w:w="533" w:type="pct"/>
            <w:vAlign w:val="center"/>
          </w:tcPr>
          <w:p w14:paraId="0386A045">
            <w:pPr>
              <w:pStyle w:val="12"/>
              <w:jc w:val="center"/>
            </w:pPr>
            <w:r>
              <w:rPr>
                <w:rFonts w:hint="eastAsia"/>
              </w:rPr>
              <w:t>36</w:t>
            </w:r>
          </w:p>
        </w:tc>
      </w:tr>
      <w:tr w14:paraId="3050C7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7" w:type="pct"/>
            <w:vAlign w:val="center"/>
          </w:tcPr>
          <w:p w14:paraId="59D3F360">
            <w:pPr>
              <w:pStyle w:val="12"/>
              <w:jc w:val="center"/>
            </w:pPr>
            <w:r>
              <w:rPr>
                <w:rFonts w:hint="eastAsia"/>
              </w:rPr>
              <w:t>三、初级职称</w:t>
            </w:r>
          </w:p>
        </w:tc>
        <w:tc>
          <w:tcPr>
            <w:tcW w:w="533" w:type="pct"/>
            <w:vAlign w:val="center"/>
          </w:tcPr>
          <w:p w14:paraId="0DF0C009">
            <w:pPr>
              <w:pStyle w:val="12"/>
              <w:jc w:val="center"/>
            </w:pPr>
            <w:r>
              <w:rPr>
                <w:rFonts w:hint="eastAsia"/>
              </w:rPr>
              <w:t>704</w:t>
            </w:r>
          </w:p>
        </w:tc>
        <w:tc>
          <w:tcPr>
            <w:tcW w:w="533" w:type="pct"/>
            <w:vAlign w:val="center"/>
          </w:tcPr>
          <w:p w14:paraId="0652EBE5">
            <w:pPr>
              <w:pStyle w:val="12"/>
              <w:jc w:val="center"/>
            </w:pPr>
            <w:r>
              <w:rPr>
                <w:rFonts w:hint="eastAsia"/>
              </w:rPr>
              <w:t>245</w:t>
            </w:r>
          </w:p>
        </w:tc>
        <w:tc>
          <w:tcPr>
            <w:tcW w:w="533" w:type="pct"/>
            <w:vAlign w:val="center"/>
          </w:tcPr>
          <w:p w14:paraId="145C26D6">
            <w:pPr>
              <w:pStyle w:val="12"/>
              <w:jc w:val="center"/>
            </w:pPr>
            <w:r>
              <w:rPr>
                <w:rFonts w:hint="eastAsia"/>
              </w:rPr>
              <w:t>98</w:t>
            </w:r>
          </w:p>
        </w:tc>
        <w:tc>
          <w:tcPr>
            <w:tcW w:w="533" w:type="pct"/>
            <w:vAlign w:val="center"/>
          </w:tcPr>
          <w:p w14:paraId="5B175660">
            <w:pPr>
              <w:pStyle w:val="12"/>
              <w:jc w:val="center"/>
            </w:pPr>
            <w:r>
              <w:rPr>
                <w:rFonts w:hint="eastAsia"/>
              </w:rPr>
              <w:t>14</w:t>
            </w:r>
          </w:p>
        </w:tc>
        <w:tc>
          <w:tcPr>
            <w:tcW w:w="533" w:type="pct"/>
            <w:vAlign w:val="center"/>
          </w:tcPr>
          <w:p w14:paraId="26F111E5">
            <w:pPr>
              <w:pStyle w:val="12"/>
              <w:jc w:val="center"/>
            </w:pPr>
            <w:r>
              <w:rPr>
                <w:rFonts w:hint="eastAsia"/>
              </w:rPr>
              <w:t>25</w:t>
            </w:r>
          </w:p>
        </w:tc>
        <w:tc>
          <w:tcPr>
            <w:tcW w:w="533" w:type="pct"/>
            <w:vAlign w:val="center"/>
          </w:tcPr>
          <w:p w14:paraId="69EC2EBC">
            <w:pPr>
              <w:pStyle w:val="12"/>
              <w:jc w:val="center"/>
            </w:pPr>
            <w:r>
              <w:rPr>
                <w:rFonts w:hint="eastAsia"/>
              </w:rPr>
              <w:t>16</w:t>
            </w:r>
          </w:p>
        </w:tc>
        <w:tc>
          <w:tcPr>
            <w:tcW w:w="533" w:type="pct"/>
            <w:vAlign w:val="center"/>
          </w:tcPr>
          <w:p w14:paraId="19B1060D">
            <w:pPr>
              <w:pStyle w:val="12"/>
              <w:jc w:val="center"/>
            </w:pPr>
            <w:r>
              <w:rPr>
                <w:rFonts w:hint="eastAsia"/>
              </w:rPr>
              <w:t>29</w:t>
            </w:r>
          </w:p>
        </w:tc>
        <w:tc>
          <w:tcPr>
            <w:tcW w:w="533" w:type="pct"/>
            <w:vAlign w:val="center"/>
          </w:tcPr>
          <w:p w14:paraId="11DA64D6">
            <w:pPr>
              <w:pStyle w:val="12"/>
              <w:jc w:val="center"/>
            </w:pPr>
            <w:r>
              <w:rPr>
                <w:rFonts w:hint="eastAsia"/>
              </w:rPr>
              <w:t>277</w:t>
            </w:r>
          </w:p>
        </w:tc>
      </w:tr>
    </w:tbl>
    <w:p w14:paraId="633670DB">
      <w:pPr>
        <w:pStyle w:val="4"/>
        <w:rPr>
          <w:rFonts w:ascii="宋体" w:hAnsi="宋体" w:cs="宋体"/>
        </w:rPr>
      </w:pPr>
      <w:r>
        <w:rPr>
          <w:rFonts w:hint="eastAsia" w:ascii="宋体" w:hAnsi="宋体" w:cs="宋体"/>
        </w:rPr>
        <w:t>第八节  卫生经费</w:t>
      </w:r>
    </w:p>
    <w:p w14:paraId="3290FA7F">
      <w:pPr>
        <w:ind w:firstLine="420"/>
        <w:rPr>
          <w:rFonts w:ascii="宋体" w:hAnsi="宋体" w:cs="宋体"/>
        </w:rPr>
      </w:pPr>
      <w:r>
        <w:rPr>
          <w:rFonts w:hint="eastAsia" w:ascii="宋体" w:hAnsi="宋体" w:cs="宋体"/>
        </w:rPr>
        <w:t>新中国成立后，卫生经费逐年增加。从1959年至1987年（其中缺1969年）国家</w:t>
      </w:r>
      <w:r>
        <w:rPr>
          <w:rFonts w:hint="eastAsia" w:ascii="宋体" w:hAnsi="宋体" w:cs="宋体"/>
          <w:lang w:eastAsia="zh-CN"/>
        </w:rPr>
        <w:t>财政拨出</w:t>
      </w:r>
      <w:r>
        <w:rPr>
          <w:rFonts w:hint="eastAsia" w:ascii="宋体" w:hAnsi="宋体" w:cs="宋体"/>
        </w:rPr>
        <w:t>卫生经费总计1864.64万元，占全县财政总支出的4.65%，年平均拨款为66.59万元；从1988年至2004年（其中缺1988年）财政年拨款占全市财政总支出的3.17%～6.25%之间。详见表5-5：</w:t>
      </w:r>
    </w:p>
    <w:p w14:paraId="617C860D">
      <w:pPr>
        <w:ind w:firstLine="422"/>
        <w:jc w:val="center"/>
        <w:rPr>
          <w:rFonts w:ascii="宋体" w:hAnsi="宋体" w:cs="宋体"/>
          <w:b/>
          <w:bCs/>
        </w:rPr>
      </w:pPr>
      <w:r>
        <w:rPr>
          <w:rFonts w:hint="eastAsia" w:ascii="宋体" w:hAnsi="宋体" w:cs="宋体"/>
          <w:b/>
          <w:bCs/>
        </w:rPr>
        <w:t>1988年至2004年财政拨款情况</w:t>
      </w:r>
    </w:p>
    <w:p w14:paraId="3D313F22">
      <w:pPr>
        <w:ind w:firstLine="0" w:firstLineChars="0"/>
        <w:rPr>
          <w:rFonts w:ascii="宋体" w:hAnsi="宋体" w:cs="宋体"/>
          <w:b/>
          <w:bCs/>
        </w:rPr>
      </w:pPr>
      <w:r>
        <w:rPr>
          <w:rFonts w:hint="eastAsia" w:ascii="宋体" w:hAnsi="宋体" w:cs="宋体"/>
          <w:b/>
          <w:bCs/>
        </w:rPr>
        <w:t>表5-5</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320"/>
        <w:gridCol w:w="3320"/>
        <w:gridCol w:w="3322"/>
      </w:tblGrid>
      <w:tr w14:paraId="65168A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1CABB91C">
            <w:pPr>
              <w:pStyle w:val="12"/>
              <w:jc w:val="center"/>
              <w:rPr>
                <w:b/>
              </w:rPr>
            </w:pPr>
            <w:r>
              <w:rPr>
                <w:rFonts w:hint="eastAsia"/>
                <w:b/>
              </w:rPr>
              <w:t>项  目</w:t>
            </w:r>
          </w:p>
        </w:tc>
        <w:tc>
          <w:tcPr>
            <w:tcW w:w="1666" w:type="pct"/>
            <w:vAlign w:val="center"/>
          </w:tcPr>
          <w:p w14:paraId="42E2F147">
            <w:pPr>
              <w:pStyle w:val="12"/>
              <w:jc w:val="center"/>
              <w:rPr>
                <w:b/>
              </w:rPr>
            </w:pPr>
            <w:r>
              <w:rPr>
                <w:rFonts w:hint="eastAsia"/>
                <w:b/>
              </w:rPr>
              <w:t>卫生经费（万元）</w:t>
            </w:r>
          </w:p>
        </w:tc>
        <w:tc>
          <w:tcPr>
            <w:tcW w:w="1667" w:type="pct"/>
            <w:vAlign w:val="center"/>
          </w:tcPr>
          <w:p w14:paraId="502AAF2F">
            <w:pPr>
              <w:pStyle w:val="12"/>
              <w:jc w:val="center"/>
              <w:rPr>
                <w:b/>
              </w:rPr>
            </w:pPr>
            <w:r>
              <w:rPr>
                <w:rFonts w:hint="eastAsia"/>
                <w:b/>
              </w:rPr>
              <w:t>占全市财政总支出（%）</w:t>
            </w:r>
          </w:p>
        </w:tc>
      </w:tr>
      <w:tr w14:paraId="32033A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65C9C604">
            <w:pPr>
              <w:pStyle w:val="12"/>
              <w:jc w:val="center"/>
            </w:pPr>
            <w:r>
              <w:rPr>
                <w:rFonts w:hint="eastAsia"/>
              </w:rPr>
              <w:t>1959年至1987年（缺1969年）</w:t>
            </w:r>
          </w:p>
        </w:tc>
        <w:tc>
          <w:tcPr>
            <w:tcW w:w="1666" w:type="pct"/>
            <w:vAlign w:val="center"/>
          </w:tcPr>
          <w:p w14:paraId="25D451B1">
            <w:pPr>
              <w:pStyle w:val="12"/>
              <w:jc w:val="center"/>
            </w:pPr>
            <w:r>
              <w:rPr>
                <w:rFonts w:hint="eastAsia"/>
              </w:rPr>
              <w:t>1864.64</w:t>
            </w:r>
          </w:p>
        </w:tc>
        <w:tc>
          <w:tcPr>
            <w:tcW w:w="1667" w:type="pct"/>
            <w:vAlign w:val="center"/>
          </w:tcPr>
          <w:p w14:paraId="4EF75D8F">
            <w:pPr>
              <w:pStyle w:val="12"/>
              <w:jc w:val="center"/>
            </w:pPr>
            <w:r>
              <w:rPr>
                <w:rFonts w:hint="eastAsia"/>
              </w:rPr>
              <w:t>4.65%</w:t>
            </w:r>
          </w:p>
        </w:tc>
      </w:tr>
      <w:tr w14:paraId="58692E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3B0D39F2">
            <w:pPr>
              <w:pStyle w:val="12"/>
              <w:jc w:val="center"/>
            </w:pPr>
            <w:r>
              <w:rPr>
                <w:rFonts w:hint="eastAsia"/>
              </w:rPr>
              <w:t>1988年</w:t>
            </w:r>
          </w:p>
        </w:tc>
        <w:tc>
          <w:tcPr>
            <w:tcW w:w="1666" w:type="pct"/>
            <w:vAlign w:val="center"/>
          </w:tcPr>
          <w:p w14:paraId="634CDD35">
            <w:pPr>
              <w:pStyle w:val="12"/>
              <w:jc w:val="center"/>
            </w:pPr>
            <w:r>
              <w:rPr>
                <w:rFonts w:hint="eastAsia"/>
              </w:rPr>
              <w:t>缺</w:t>
            </w:r>
          </w:p>
        </w:tc>
        <w:tc>
          <w:tcPr>
            <w:tcW w:w="1667" w:type="pct"/>
            <w:vAlign w:val="center"/>
          </w:tcPr>
          <w:p w14:paraId="2F55E6AF">
            <w:pPr>
              <w:pStyle w:val="12"/>
              <w:jc w:val="center"/>
            </w:pPr>
            <w:r>
              <w:rPr>
                <w:rFonts w:hint="eastAsia"/>
              </w:rPr>
              <w:t>—</w:t>
            </w:r>
          </w:p>
        </w:tc>
      </w:tr>
      <w:tr w14:paraId="3A50F43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52E8BBBC">
            <w:pPr>
              <w:pStyle w:val="12"/>
              <w:jc w:val="center"/>
            </w:pPr>
            <w:r>
              <w:rPr>
                <w:rFonts w:hint="eastAsia"/>
              </w:rPr>
              <w:t>1989年</w:t>
            </w:r>
          </w:p>
        </w:tc>
        <w:tc>
          <w:tcPr>
            <w:tcW w:w="1666" w:type="pct"/>
            <w:vAlign w:val="center"/>
          </w:tcPr>
          <w:p w14:paraId="59D41F85">
            <w:pPr>
              <w:pStyle w:val="12"/>
              <w:jc w:val="center"/>
            </w:pPr>
            <w:r>
              <w:rPr>
                <w:rFonts w:hint="eastAsia"/>
              </w:rPr>
              <w:t>339</w:t>
            </w:r>
          </w:p>
        </w:tc>
        <w:tc>
          <w:tcPr>
            <w:tcW w:w="1667" w:type="pct"/>
            <w:vAlign w:val="center"/>
          </w:tcPr>
          <w:p w14:paraId="054DC94A">
            <w:pPr>
              <w:pStyle w:val="12"/>
              <w:jc w:val="center"/>
            </w:pPr>
            <w:r>
              <w:rPr>
                <w:rFonts w:hint="eastAsia"/>
              </w:rPr>
              <w:t>4.8</w:t>
            </w:r>
          </w:p>
        </w:tc>
      </w:tr>
      <w:tr w14:paraId="73BD76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357C2DC9">
            <w:pPr>
              <w:pStyle w:val="12"/>
              <w:jc w:val="center"/>
            </w:pPr>
            <w:r>
              <w:rPr>
                <w:rFonts w:hint="eastAsia"/>
              </w:rPr>
              <w:t>1990年</w:t>
            </w:r>
          </w:p>
        </w:tc>
        <w:tc>
          <w:tcPr>
            <w:tcW w:w="1666" w:type="pct"/>
            <w:vAlign w:val="center"/>
          </w:tcPr>
          <w:p w14:paraId="63D3AAB7">
            <w:pPr>
              <w:pStyle w:val="12"/>
              <w:jc w:val="center"/>
            </w:pPr>
            <w:r>
              <w:rPr>
                <w:rFonts w:hint="eastAsia"/>
              </w:rPr>
              <w:t>365</w:t>
            </w:r>
          </w:p>
        </w:tc>
        <w:tc>
          <w:tcPr>
            <w:tcW w:w="1667" w:type="pct"/>
            <w:vAlign w:val="center"/>
          </w:tcPr>
          <w:p w14:paraId="5B11B667">
            <w:pPr>
              <w:pStyle w:val="12"/>
              <w:jc w:val="center"/>
            </w:pPr>
            <w:r>
              <w:rPr>
                <w:rFonts w:hint="eastAsia"/>
              </w:rPr>
              <w:t>5.6</w:t>
            </w:r>
          </w:p>
        </w:tc>
      </w:tr>
      <w:tr w14:paraId="3F30429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06877468">
            <w:pPr>
              <w:pStyle w:val="12"/>
              <w:jc w:val="center"/>
            </w:pPr>
            <w:r>
              <w:rPr>
                <w:rFonts w:hint="eastAsia"/>
              </w:rPr>
              <w:t>1991年</w:t>
            </w:r>
          </w:p>
        </w:tc>
        <w:tc>
          <w:tcPr>
            <w:tcW w:w="1666" w:type="pct"/>
            <w:vAlign w:val="center"/>
          </w:tcPr>
          <w:p w14:paraId="6ABA38ED">
            <w:pPr>
              <w:pStyle w:val="12"/>
              <w:jc w:val="center"/>
            </w:pPr>
            <w:r>
              <w:rPr>
                <w:rFonts w:hint="eastAsia"/>
              </w:rPr>
              <w:t>347</w:t>
            </w:r>
          </w:p>
        </w:tc>
        <w:tc>
          <w:tcPr>
            <w:tcW w:w="1667" w:type="pct"/>
            <w:vAlign w:val="center"/>
          </w:tcPr>
          <w:p w14:paraId="6DEE92B4">
            <w:pPr>
              <w:pStyle w:val="12"/>
              <w:jc w:val="center"/>
            </w:pPr>
            <w:r>
              <w:rPr>
                <w:rFonts w:hint="eastAsia"/>
              </w:rPr>
              <w:t>4.6</w:t>
            </w:r>
          </w:p>
        </w:tc>
      </w:tr>
      <w:tr w14:paraId="3536F9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5E76FAD7">
            <w:pPr>
              <w:pStyle w:val="12"/>
              <w:jc w:val="center"/>
            </w:pPr>
            <w:r>
              <w:rPr>
                <w:rFonts w:hint="eastAsia"/>
              </w:rPr>
              <w:t>1992年</w:t>
            </w:r>
          </w:p>
        </w:tc>
        <w:tc>
          <w:tcPr>
            <w:tcW w:w="1666" w:type="pct"/>
            <w:vAlign w:val="center"/>
          </w:tcPr>
          <w:p w14:paraId="7DD27D8E">
            <w:pPr>
              <w:pStyle w:val="12"/>
              <w:jc w:val="center"/>
            </w:pPr>
            <w:r>
              <w:rPr>
                <w:rFonts w:hint="eastAsia"/>
              </w:rPr>
              <w:t>403.2</w:t>
            </w:r>
          </w:p>
        </w:tc>
        <w:tc>
          <w:tcPr>
            <w:tcW w:w="1667" w:type="pct"/>
            <w:vAlign w:val="center"/>
          </w:tcPr>
          <w:p w14:paraId="1D7DEC12">
            <w:pPr>
              <w:pStyle w:val="12"/>
              <w:jc w:val="center"/>
            </w:pPr>
            <w:r>
              <w:rPr>
                <w:rFonts w:hint="eastAsia"/>
              </w:rPr>
              <w:t>4.56</w:t>
            </w:r>
          </w:p>
        </w:tc>
      </w:tr>
      <w:tr w14:paraId="0D5211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0EA6B8E6">
            <w:pPr>
              <w:pStyle w:val="12"/>
              <w:jc w:val="center"/>
            </w:pPr>
            <w:r>
              <w:rPr>
                <w:rFonts w:hint="eastAsia"/>
              </w:rPr>
              <w:t>1993年</w:t>
            </w:r>
          </w:p>
        </w:tc>
        <w:tc>
          <w:tcPr>
            <w:tcW w:w="1666" w:type="pct"/>
            <w:vAlign w:val="center"/>
          </w:tcPr>
          <w:p w14:paraId="63C8CBAD">
            <w:pPr>
              <w:pStyle w:val="12"/>
              <w:jc w:val="center"/>
            </w:pPr>
            <w:r>
              <w:rPr>
                <w:rFonts w:hint="eastAsia"/>
              </w:rPr>
              <w:t>428.8</w:t>
            </w:r>
          </w:p>
        </w:tc>
        <w:tc>
          <w:tcPr>
            <w:tcW w:w="1667" w:type="pct"/>
            <w:vAlign w:val="center"/>
          </w:tcPr>
          <w:p w14:paraId="52EA219D">
            <w:pPr>
              <w:pStyle w:val="12"/>
              <w:jc w:val="center"/>
            </w:pPr>
            <w:r>
              <w:rPr>
                <w:rFonts w:hint="eastAsia"/>
              </w:rPr>
              <w:t>3.94</w:t>
            </w:r>
          </w:p>
        </w:tc>
      </w:tr>
      <w:tr w14:paraId="49353B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42EE0088">
            <w:pPr>
              <w:pStyle w:val="12"/>
              <w:jc w:val="center"/>
            </w:pPr>
            <w:r>
              <w:rPr>
                <w:rFonts w:hint="eastAsia"/>
              </w:rPr>
              <w:t>1994年</w:t>
            </w:r>
          </w:p>
        </w:tc>
        <w:tc>
          <w:tcPr>
            <w:tcW w:w="1666" w:type="pct"/>
            <w:vAlign w:val="center"/>
          </w:tcPr>
          <w:p w14:paraId="62EF1DFF">
            <w:pPr>
              <w:pStyle w:val="12"/>
              <w:jc w:val="center"/>
            </w:pPr>
            <w:r>
              <w:rPr>
                <w:rFonts w:hint="eastAsia"/>
              </w:rPr>
              <w:t>453</w:t>
            </w:r>
          </w:p>
        </w:tc>
        <w:tc>
          <w:tcPr>
            <w:tcW w:w="1667" w:type="pct"/>
            <w:vAlign w:val="center"/>
          </w:tcPr>
          <w:p w14:paraId="7224CBC2">
            <w:pPr>
              <w:pStyle w:val="12"/>
              <w:jc w:val="center"/>
            </w:pPr>
            <w:r>
              <w:rPr>
                <w:rFonts w:hint="eastAsia"/>
              </w:rPr>
              <w:t>3.75</w:t>
            </w:r>
          </w:p>
        </w:tc>
      </w:tr>
      <w:tr w14:paraId="75DA8C3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5A52500D">
            <w:pPr>
              <w:pStyle w:val="12"/>
              <w:jc w:val="center"/>
            </w:pPr>
            <w:r>
              <w:rPr>
                <w:rFonts w:hint="eastAsia"/>
              </w:rPr>
              <w:t>1995年</w:t>
            </w:r>
          </w:p>
        </w:tc>
        <w:tc>
          <w:tcPr>
            <w:tcW w:w="1666" w:type="pct"/>
            <w:vAlign w:val="center"/>
          </w:tcPr>
          <w:p w14:paraId="675DE9C6">
            <w:pPr>
              <w:pStyle w:val="12"/>
              <w:jc w:val="center"/>
            </w:pPr>
            <w:r>
              <w:rPr>
                <w:rFonts w:hint="eastAsia"/>
              </w:rPr>
              <w:t>540</w:t>
            </w:r>
          </w:p>
        </w:tc>
        <w:tc>
          <w:tcPr>
            <w:tcW w:w="1667" w:type="pct"/>
            <w:vAlign w:val="center"/>
          </w:tcPr>
          <w:p w14:paraId="3F220D78">
            <w:pPr>
              <w:pStyle w:val="12"/>
              <w:jc w:val="center"/>
            </w:pPr>
            <w:r>
              <w:rPr>
                <w:rFonts w:hint="eastAsia"/>
              </w:rPr>
              <w:t>4.00</w:t>
            </w:r>
          </w:p>
        </w:tc>
      </w:tr>
      <w:tr w14:paraId="4BB6C7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760ECD4C">
            <w:pPr>
              <w:pStyle w:val="12"/>
              <w:jc w:val="center"/>
            </w:pPr>
            <w:r>
              <w:rPr>
                <w:rFonts w:hint="eastAsia"/>
              </w:rPr>
              <w:t>1996年</w:t>
            </w:r>
          </w:p>
        </w:tc>
        <w:tc>
          <w:tcPr>
            <w:tcW w:w="1666" w:type="pct"/>
            <w:vAlign w:val="center"/>
          </w:tcPr>
          <w:p w14:paraId="0ED9B087">
            <w:pPr>
              <w:pStyle w:val="12"/>
              <w:jc w:val="center"/>
            </w:pPr>
            <w:r>
              <w:rPr>
                <w:rFonts w:hint="eastAsia"/>
              </w:rPr>
              <w:t>669.9</w:t>
            </w:r>
          </w:p>
        </w:tc>
        <w:tc>
          <w:tcPr>
            <w:tcW w:w="1667" w:type="pct"/>
            <w:vAlign w:val="center"/>
          </w:tcPr>
          <w:p w14:paraId="6DD34C93">
            <w:pPr>
              <w:pStyle w:val="12"/>
              <w:jc w:val="center"/>
            </w:pPr>
            <w:r>
              <w:rPr>
                <w:rFonts w:hint="eastAsia"/>
              </w:rPr>
              <w:t>4.98</w:t>
            </w:r>
          </w:p>
        </w:tc>
      </w:tr>
      <w:tr w14:paraId="1D40BC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04014154">
            <w:pPr>
              <w:pStyle w:val="12"/>
              <w:jc w:val="center"/>
            </w:pPr>
            <w:r>
              <w:rPr>
                <w:rFonts w:hint="eastAsia"/>
              </w:rPr>
              <w:t>1997年</w:t>
            </w:r>
          </w:p>
        </w:tc>
        <w:tc>
          <w:tcPr>
            <w:tcW w:w="1666" w:type="pct"/>
            <w:vAlign w:val="center"/>
          </w:tcPr>
          <w:p w14:paraId="6B1BFA4B">
            <w:pPr>
              <w:pStyle w:val="12"/>
              <w:jc w:val="center"/>
            </w:pPr>
            <w:r>
              <w:rPr>
                <w:rFonts w:hint="eastAsia"/>
              </w:rPr>
              <w:t>743</w:t>
            </w:r>
          </w:p>
        </w:tc>
        <w:tc>
          <w:tcPr>
            <w:tcW w:w="1667" w:type="pct"/>
            <w:vAlign w:val="center"/>
          </w:tcPr>
          <w:p w14:paraId="741B0C56">
            <w:pPr>
              <w:pStyle w:val="12"/>
              <w:jc w:val="center"/>
            </w:pPr>
            <w:r>
              <w:rPr>
                <w:rFonts w:hint="eastAsia"/>
              </w:rPr>
              <w:t>5.28</w:t>
            </w:r>
          </w:p>
        </w:tc>
      </w:tr>
      <w:tr w14:paraId="2E3378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0B5FC08B">
            <w:pPr>
              <w:pStyle w:val="12"/>
              <w:jc w:val="center"/>
            </w:pPr>
            <w:r>
              <w:rPr>
                <w:rFonts w:hint="eastAsia"/>
              </w:rPr>
              <w:t>1998年</w:t>
            </w:r>
          </w:p>
        </w:tc>
        <w:tc>
          <w:tcPr>
            <w:tcW w:w="1666" w:type="pct"/>
            <w:vAlign w:val="center"/>
          </w:tcPr>
          <w:p w14:paraId="262E272D">
            <w:pPr>
              <w:pStyle w:val="12"/>
              <w:jc w:val="center"/>
            </w:pPr>
            <w:r>
              <w:rPr>
                <w:rFonts w:hint="eastAsia"/>
              </w:rPr>
              <w:t>933.2</w:t>
            </w:r>
          </w:p>
        </w:tc>
        <w:tc>
          <w:tcPr>
            <w:tcW w:w="1667" w:type="pct"/>
            <w:vAlign w:val="center"/>
          </w:tcPr>
          <w:p w14:paraId="209156B5">
            <w:pPr>
              <w:pStyle w:val="12"/>
              <w:jc w:val="center"/>
            </w:pPr>
            <w:r>
              <w:rPr>
                <w:rFonts w:hint="eastAsia"/>
              </w:rPr>
              <w:t>5.98</w:t>
            </w:r>
          </w:p>
        </w:tc>
      </w:tr>
      <w:tr w14:paraId="441BB7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38F3989A">
            <w:pPr>
              <w:pStyle w:val="12"/>
              <w:jc w:val="center"/>
            </w:pPr>
            <w:r>
              <w:rPr>
                <w:rFonts w:hint="eastAsia"/>
              </w:rPr>
              <w:t>1999年</w:t>
            </w:r>
          </w:p>
        </w:tc>
        <w:tc>
          <w:tcPr>
            <w:tcW w:w="1666" w:type="pct"/>
            <w:vAlign w:val="center"/>
          </w:tcPr>
          <w:p w14:paraId="760B5072">
            <w:pPr>
              <w:pStyle w:val="12"/>
              <w:jc w:val="center"/>
            </w:pPr>
            <w:r>
              <w:rPr>
                <w:rFonts w:hint="eastAsia"/>
              </w:rPr>
              <w:t>997</w:t>
            </w:r>
          </w:p>
        </w:tc>
        <w:tc>
          <w:tcPr>
            <w:tcW w:w="1667" w:type="pct"/>
            <w:vAlign w:val="center"/>
          </w:tcPr>
          <w:p w14:paraId="662567F4">
            <w:pPr>
              <w:pStyle w:val="12"/>
              <w:jc w:val="center"/>
            </w:pPr>
            <w:r>
              <w:rPr>
                <w:rFonts w:hint="eastAsia"/>
              </w:rPr>
              <w:t>6.15</w:t>
            </w:r>
          </w:p>
        </w:tc>
      </w:tr>
      <w:tr w14:paraId="56F9C4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750B77A6">
            <w:pPr>
              <w:pStyle w:val="12"/>
              <w:jc w:val="center"/>
            </w:pPr>
            <w:r>
              <w:rPr>
                <w:rFonts w:hint="eastAsia"/>
              </w:rPr>
              <w:t>2000年</w:t>
            </w:r>
          </w:p>
        </w:tc>
        <w:tc>
          <w:tcPr>
            <w:tcW w:w="1666" w:type="pct"/>
            <w:vAlign w:val="center"/>
          </w:tcPr>
          <w:p w14:paraId="088AC5EE">
            <w:pPr>
              <w:pStyle w:val="12"/>
              <w:jc w:val="center"/>
            </w:pPr>
            <w:r>
              <w:rPr>
                <w:rFonts w:hint="eastAsia"/>
              </w:rPr>
              <w:t>875</w:t>
            </w:r>
          </w:p>
        </w:tc>
        <w:tc>
          <w:tcPr>
            <w:tcW w:w="1667" w:type="pct"/>
            <w:vAlign w:val="center"/>
          </w:tcPr>
          <w:p w14:paraId="43366A46">
            <w:pPr>
              <w:pStyle w:val="12"/>
              <w:jc w:val="center"/>
            </w:pPr>
            <w:r>
              <w:rPr>
                <w:rFonts w:hint="eastAsia"/>
              </w:rPr>
              <w:t>5.09</w:t>
            </w:r>
          </w:p>
        </w:tc>
      </w:tr>
      <w:tr w14:paraId="00C998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1666" w:type="pct"/>
            <w:vAlign w:val="center"/>
          </w:tcPr>
          <w:p w14:paraId="0285397A">
            <w:pPr>
              <w:pStyle w:val="12"/>
              <w:jc w:val="center"/>
            </w:pPr>
            <w:r>
              <w:rPr>
                <w:rFonts w:hint="eastAsia"/>
              </w:rPr>
              <w:t>2001年</w:t>
            </w:r>
          </w:p>
        </w:tc>
        <w:tc>
          <w:tcPr>
            <w:tcW w:w="1666" w:type="pct"/>
            <w:vAlign w:val="center"/>
          </w:tcPr>
          <w:p w14:paraId="5CBA1A03">
            <w:pPr>
              <w:pStyle w:val="12"/>
              <w:jc w:val="center"/>
            </w:pPr>
            <w:r>
              <w:rPr>
                <w:rFonts w:hint="eastAsia"/>
              </w:rPr>
              <w:t>889</w:t>
            </w:r>
          </w:p>
        </w:tc>
        <w:tc>
          <w:tcPr>
            <w:tcW w:w="1667" w:type="pct"/>
            <w:vAlign w:val="center"/>
          </w:tcPr>
          <w:p w14:paraId="69FCDDB2">
            <w:pPr>
              <w:pStyle w:val="12"/>
              <w:jc w:val="center"/>
            </w:pPr>
            <w:r>
              <w:rPr>
                <w:rFonts w:hint="eastAsia"/>
              </w:rPr>
              <w:t>4.66</w:t>
            </w:r>
          </w:p>
        </w:tc>
      </w:tr>
      <w:tr w14:paraId="5AED3C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1666" w:type="pct"/>
            <w:vAlign w:val="center"/>
          </w:tcPr>
          <w:p w14:paraId="4374BD5A">
            <w:pPr>
              <w:pStyle w:val="12"/>
              <w:jc w:val="center"/>
            </w:pPr>
            <w:r>
              <w:rPr>
                <w:rFonts w:hint="eastAsia"/>
              </w:rPr>
              <w:t>2002年</w:t>
            </w:r>
          </w:p>
        </w:tc>
        <w:tc>
          <w:tcPr>
            <w:tcW w:w="1666" w:type="pct"/>
            <w:vAlign w:val="center"/>
          </w:tcPr>
          <w:p w14:paraId="126E6F2A">
            <w:pPr>
              <w:pStyle w:val="12"/>
              <w:jc w:val="center"/>
            </w:pPr>
            <w:r>
              <w:rPr>
                <w:rFonts w:hint="eastAsia"/>
              </w:rPr>
              <w:t>874.9</w:t>
            </w:r>
          </w:p>
        </w:tc>
        <w:tc>
          <w:tcPr>
            <w:tcW w:w="1667" w:type="pct"/>
            <w:vAlign w:val="center"/>
          </w:tcPr>
          <w:p w14:paraId="061092C9">
            <w:pPr>
              <w:pStyle w:val="12"/>
              <w:jc w:val="center"/>
            </w:pPr>
            <w:r>
              <w:rPr>
                <w:rFonts w:hint="eastAsia"/>
              </w:rPr>
              <w:t>3.56</w:t>
            </w:r>
          </w:p>
        </w:tc>
      </w:tr>
      <w:tr w14:paraId="4CBCEF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084044F4">
            <w:pPr>
              <w:pStyle w:val="12"/>
              <w:jc w:val="center"/>
            </w:pPr>
            <w:r>
              <w:rPr>
                <w:rFonts w:hint="eastAsia"/>
              </w:rPr>
              <w:t>2003年</w:t>
            </w:r>
          </w:p>
        </w:tc>
        <w:tc>
          <w:tcPr>
            <w:tcW w:w="1666" w:type="pct"/>
            <w:vAlign w:val="center"/>
          </w:tcPr>
          <w:p w14:paraId="522E113A">
            <w:pPr>
              <w:pStyle w:val="12"/>
              <w:jc w:val="center"/>
            </w:pPr>
            <w:r>
              <w:rPr>
                <w:rFonts w:hint="eastAsia"/>
              </w:rPr>
              <w:t>893.47</w:t>
            </w:r>
          </w:p>
        </w:tc>
        <w:tc>
          <w:tcPr>
            <w:tcW w:w="1667" w:type="pct"/>
            <w:vAlign w:val="center"/>
          </w:tcPr>
          <w:p w14:paraId="7B7852C7">
            <w:pPr>
              <w:pStyle w:val="12"/>
              <w:jc w:val="center"/>
            </w:pPr>
            <w:r>
              <w:rPr>
                <w:rFonts w:hint="eastAsia"/>
              </w:rPr>
              <w:t>3.17</w:t>
            </w:r>
          </w:p>
        </w:tc>
      </w:tr>
      <w:tr w14:paraId="7DE9E31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2EE5AFFF">
            <w:pPr>
              <w:pStyle w:val="12"/>
              <w:jc w:val="center"/>
            </w:pPr>
            <w:r>
              <w:rPr>
                <w:rFonts w:hint="eastAsia"/>
              </w:rPr>
              <w:t>2004年</w:t>
            </w:r>
          </w:p>
        </w:tc>
        <w:tc>
          <w:tcPr>
            <w:tcW w:w="1666" w:type="pct"/>
            <w:vAlign w:val="center"/>
          </w:tcPr>
          <w:p w14:paraId="5813D7FE">
            <w:pPr>
              <w:pStyle w:val="12"/>
              <w:jc w:val="center"/>
            </w:pPr>
            <w:r>
              <w:rPr>
                <w:rFonts w:hint="eastAsia"/>
              </w:rPr>
              <w:t>1648.4</w:t>
            </w:r>
          </w:p>
        </w:tc>
        <w:tc>
          <w:tcPr>
            <w:tcW w:w="1667" w:type="pct"/>
            <w:vAlign w:val="center"/>
          </w:tcPr>
          <w:p w14:paraId="3A3F95AF">
            <w:pPr>
              <w:pStyle w:val="12"/>
              <w:jc w:val="center"/>
            </w:pPr>
            <w:r>
              <w:rPr>
                <w:rFonts w:hint="eastAsia"/>
              </w:rPr>
              <w:t>5.27</w:t>
            </w:r>
          </w:p>
        </w:tc>
      </w:tr>
    </w:tbl>
    <w:p w14:paraId="0FE7DF4C">
      <w:pPr>
        <w:ind w:firstLine="422"/>
        <w:rPr>
          <w:rFonts w:ascii="宋体" w:hAnsi="宋体" w:cs="宋体"/>
          <w:b/>
        </w:rPr>
      </w:pPr>
      <w:r>
        <w:rPr>
          <w:rFonts w:hint="eastAsia" w:ascii="宋体" w:hAnsi="宋体" w:cs="宋体"/>
          <w:b/>
        </w:rPr>
        <w:t>说明：2004年卫生经费内含增拨的新建疾控中心大楼专项经费500万元，器械装备经费50万元。</w:t>
      </w:r>
    </w:p>
    <w:p w14:paraId="51DBB6CA">
      <w:pPr>
        <w:pStyle w:val="3"/>
      </w:pPr>
      <w:r>
        <w:rPr>
          <w:rFonts w:hint="eastAsia"/>
        </w:rPr>
        <w:t>第四章  体育</w:t>
      </w:r>
    </w:p>
    <w:p w14:paraId="4D13907E">
      <w:pPr>
        <w:ind w:firstLine="420"/>
        <w:rPr>
          <w:rFonts w:ascii="宋体" w:hAnsi="宋体" w:cs="宋体"/>
        </w:rPr>
      </w:pPr>
      <w:r>
        <w:rPr>
          <w:rFonts w:hint="eastAsia" w:ascii="宋体" w:hAnsi="宋体" w:cs="宋体"/>
        </w:rPr>
        <w:t>新中国成立前，体育运动多限于学校，项目不多，农村有练武强身的传统，但均为自发性的民间活动。新中国成立后，党和人民政府重视体育运动。1956年，成立南雄县体育运动委员会，1997年5月，体委改称为南雄市体育局。2001年体育局更名为体育发展中心，有干部职工18人，下设青少年业余体校。1980年起，南雄县连续4年被评为省、韶关市长跑活动先进单位。2005年，全市体育人口14.58万人，占总人口的39%，人均占有体育场地0.35平方米，上送体育人才33人，其中2人转为省小轮车专业运动员，并被选为国家运动员。1998年南雄市被国家体育总局评为“全国体育先进县”。</w:t>
      </w:r>
    </w:p>
    <w:p w14:paraId="4B15B7A3">
      <w:pPr>
        <w:pStyle w:val="4"/>
        <w:rPr>
          <w:rFonts w:ascii="宋体" w:hAnsi="宋体" w:cs="宋体"/>
        </w:rPr>
      </w:pPr>
      <w:r>
        <w:rPr>
          <w:rFonts w:hint="eastAsia" w:ascii="宋体" w:hAnsi="宋体" w:cs="宋体"/>
        </w:rPr>
        <w:t>第一节  群众体育</w:t>
      </w:r>
    </w:p>
    <w:p w14:paraId="19E19154">
      <w:pPr>
        <w:pStyle w:val="5"/>
        <w:rPr>
          <w:rFonts w:ascii="宋体" w:hAnsi="宋体" w:cs="宋体"/>
        </w:rPr>
      </w:pPr>
      <w:r>
        <w:rPr>
          <w:rFonts w:hint="eastAsia" w:ascii="宋体" w:hAnsi="宋体" w:cs="宋体"/>
        </w:rPr>
        <w:t>一、民间传统体育</w:t>
      </w:r>
    </w:p>
    <w:p w14:paraId="33543EC5">
      <w:pPr>
        <w:ind w:firstLine="422"/>
        <w:rPr>
          <w:rFonts w:ascii="宋体" w:hAnsi="宋体" w:cs="宋体"/>
          <w:b/>
          <w:bCs/>
        </w:rPr>
      </w:pPr>
      <w:r>
        <w:rPr>
          <w:rFonts w:hint="eastAsia" w:ascii="宋体" w:hAnsi="宋体" w:cs="宋体"/>
          <w:b/>
          <w:bCs/>
        </w:rPr>
        <w:t>（一）武术</w:t>
      </w:r>
    </w:p>
    <w:p w14:paraId="0642A758">
      <w:pPr>
        <w:ind w:firstLine="420"/>
        <w:rPr>
          <w:rFonts w:ascii="宋体" w:hAnsi="宋体" w:cs="宋体"/>
        </w:rPr>
      </w:pPr>
      <w:r>
        <w:rPr>
          <w:rFonts w:hint="eastAsia" w:ascii="宋体" w:hAnsi="宋体" w:cs="宋体"/>
        </w:rPr>
        <w:t>南雄武术明清时期颇盛，民间有群众性的武术社团。拳路套数多传自福建、江西等地名师。县城东郊有两大较场，府学后面有射圃，均为练武比武的场所。有的村庄长年设武馆，延请名师教习武艺。光绪年间，西门街人罗明魁，拜请名师习武。光绪二十六年（1900年）中武举，任本州千总，旋辞归，在家设馆授徒，有传。</w:t>
      </w:r>
    </w:p>
    <w:p w14:paraId="7D80F392">
      <w:pPr>
        <w:ind w:firstLine="420"/>
        <w:rPr>
          <w:rFonts w:ascii="宋体" w:hAnsi="宋体" w:cs="宋体"/>
        </w:rPr>
      </w:pPr>
      <w:r>
        <w:rPr>
          <w:rFonts w:hint="eastAsia" w:ascii="宋体" w:hAnsi="宋体" w:cs="宋体"/>
        </w:rPr>
        <w:t>民国初期，武林高手刘凤仙、谢体臣等精通南拳，武艺高强，在南雄自立门户，收徒授技。还有武贵元、梁善林均属名拳师。民国21年（1932年），县长姚之荣创办“南雄县国术研究社”，社址设在大成殿，聘请军事教官刘雁章、姚建华（均少林北派拳师）担任教官，教授红拳、太极拳以及蔡、林、李、朱、莫5大家拳路套数。民国24年，拳师许世仁、宋福如、陈立奇等组织“三师团习武社”，所授拳术与“国术研究社”基本相同。</w:t>
      </w:r>
    </w:p>
    <w:p w14:paraId="19972DE1">
      <w:pPr>
        <w:ind w:firstLine="420"/>
        <w:rPr>
          <w:rFonts w:ascii="宋体" w:hAnsi="宋体" w:cs="宋体"/>
        </w:rPr>
      </w:pPr>
      <w:r>
        <w:rPr>
          <w:rFonts w:hint="eastAsia" w:ascii="宋体" w:hAnsi="宋体" w:cs="宋体"/>
        </w:rPr>
        <w:t>新中国成立后，县体委在少年业余体校中设有武术班，培养了黄建刚、胡瑞强、颜晓玉等南拳高手。黄建刚在1983年第五届全国运动会上获南拳冠军，被誉为“南拳王”。太极拳成为人民晨运中喜爱的一项体育活动。农村在节日喜庆中，也常常耍狮头拳、板凳拳、棍术等，以配合龙狮起舞。水口、篛过村仍保持习武的传统，并把武术作为强身健体的重要形式发扬光大。</w:t>
      </w:r>
    </w:p>
    <w:p w14:paraId="25B54A0C">
      <w:pPr>
        <w:ind w:firstLine="422"/>
        <w:rPr>
          <w:rFonts w:ascii="宋体" w:hAnsi="宋体" w:cs="宋体"/>
          <w:b/>
          <w:bCs/>
        </w:rPr>
      </w:pPr>
      <w:r>
        <w:rPr>
          <w:rFonts w:hint="eastAsia" w:ascii="宋体" w:hAnsi="宋体" w:cs="宋体"/>
          <w:b/>
          <w:bCs/>
        </w:rPr>
        <w:t>（二）划龙舟</w:t>
      </w:r>
    </w:p>
    <w:p w14:paraId="2DC0153D">
      <w:pPr>
        <w:ind w:firstLine="420"/>
        <w:rPr>
          <w:rFonts w:ascii="宋体" w:hAnsi="宋体" w:cs="宋体"/>
        </w:rPr>
      </w:pPr>
      <w:r>
        <w:rPr>
          <w:rFonts w:hint="eastAsia" w:ascii="宋体" w:hAnsi="宋体" w:cs="宋体"/>
        </w:rPr>
        <w:t>端午节划龙舟是南雄传统的民间文娱体育节目，已有500多年历史。浈江河畔的水南、水西村的龙舟，于每年农历五月初一、初二下水表演，端午节举行龙舟竞渡。</w:t>
      </w:r>
    </w:p>
    <w:p w14:paraId="5D96CCC4">
      <w:pPr>
        <w:ind w:firstLine="420"/>
        <w:rPr>
          <w:rFonts w:ascii="宋体" w:hAnsi="宋体" w:cs="宋体"/>
        </w:rPr>
      </w:pPr>
      <w:r>
        <w:rPr>
          <w:rFonts w:hint="eastAsia" w:ascii="宋体" w:hAnsi="宋体" w:cs="宋体"/>
        </w:rPr>
        <w:t>1959年，县体委、城关镇政府联合举办龙舟竞渡，参赛者有水南、水西、竹器厂、农械厂、水上运输公司共5个队。水南、水西、水上运输公司分别获得前3名。</w:t>
      </w:r>
    </w:p>
    <w:p w14:paraId="64A826B4">
      <w:pPr>
        <w:ind w:firstLine="420"/>
        <w:rPr>
          <w:rFonts w:ascii="宋体" w:hAnsi="宋体" w:cs="宋体"/>
        </w:rPr>
      </w:pPr>
      <w:r>
        <w:rPr>
          <w:rFonts w:hint="eastAsia" w:ascii="宋体" w:hAnsi="宋体" w:cs="宋体"/>
        </w:rPr>
        <w:t>1963年端午节，县体委组织首次女子划龙舟表演，参加者有水南、水西、学校队。《羊城晚报》刊登了这则消息，并作编者按语：“南雄县破除迷信，移风易俗，女子划龙舟为妇女参加体育运动做出了榜样。”1964年至1981年，未举行龙舟竞渡。1982年重新打造龙舟，恢复竞渡。</w:t>
      </w:r>
    </w:p>
    <w:p w14:paraId="43DCD90F">
      <w:pPr>
        <w:ind w:firstLine="420"/>
        <w:rPr>
          <w:rFonts w:ascii="宋体" w:hAnsi="宋体" w:cs="宋体"/>
        </w:rPr>
      </w:pPr>
      <w:r>
        <w:rPr>
          <w:rFonts w:hint="eastAsia" w:ascii="宋体" w:hAnsi="宋体" w:cs="宋体"/>
        </w:rPr>
        <w:t>南雄龙舟长21米（不含龙头龙尾）宽1.6米，重约1吨（杉木结构），规定人数34人，其中划桨手32人，司鼓、指挥各1人。</w:t>
      </w:r>
    </w:p>
    <w:p w14:paraId="4A72CDF1">
      <w:pPr>
        <w:ind w:firstLine="420"/>
        <w:rPr>
          <w:rFonts w:ascii="宋体" w:hAnsi="宋体" w:cs="宋体"/>
        </w:rPr>
      </w:pPr>
      <w:r>
        <w:rPr>
          <w:rFonts w:hint="eastAsia" w:ascii="宋体" w:hAnsi="宋体" w:cs="宋体"/>
        </w:rPr>
        <w:t>1982年至2000年由体育局、雄州镇政府联合举办龙舟赛。2001年至2005年由体育发展中心单独承办，每年有水南、水西两队参加，近年来增加了古塘、羊角两队。1994年参赛队最多，总共12支代表队参赛。水管厂、雄州镇政府、水南二队、铺背队、水西一队、八一街队分别获得前六名。</w:t>
      </w:r>
    </w:p>
    <w:p w14:paraId="5B476F7D">
      <w:pPr>
        <w:ind w:firstLine="420"/>
        <w:rPr>
          <w:rFonts w:ascii="宋体" w:hAnsi="宋体" w:cs="宋体"/>
        </w:rPr>
      </w:pPr>
      <w:r>
        <w:rPr>
          <w:rFonts w:hint="eastAsia" w:ascii="宋体" w:hAnsi="宋体" w:cs="宋体"/>
        </w:rPr>
        <w:t>1998年，韶关市举行县（市）龙舟赛，南雄水西队获第三名。</w:t>
      </w:r>
    </w:p>
    <w:p w14:paraId="1E1A7F8E">
      <w:pPr>
        <w:ind w:firstLine="422"/>
        <w:rPr>
          <w:rFonts w:ascii="宋体" w:hAnsi="宋体" w:cs="宋体"/>
          <w:b/>
          <w:bCs/>
        </w:rPr>
      </w:pPr>
      <w:r>
        <w:rPr>
          <w:rFonts w:hint="eastAsia" w:ascii="宋体" w:hAnsi="宋体" w:cs="宋体"/>
          <w:b/>
          <w:bCs/>
        </w:rPr>
        <w:t>（三）荡秋千</w:t>
      </w:r>
    </w:p>
    <w:p w14:paraId="5D31F411">
      <w:pPr>
        <w:ind w:firstLine="420"/>
        <w:rPr>
          <w:rFonts w:ascii="宋体" w:hAnsi="宋体" w:cs="宋体"/>
        </w:rPr>
      </w:pPr>
      <w:r>
        <w:rPr>
          <w:rFonts w:hint="eastAsia" w:ascii="宋体" w:hAnsi="宋体" w:cs="宋体"/>
        </w:rPr>
        <w:t>春节玩秋千是南雄县城民间习俗之一。秋千街因玩秋千而得名。每年架设秋千架的经费由秋千街上年娶媳妇之家负责。从正月初七日起，荡秋千者接踵而上，比高低，比耐力，观者如堵。直到正月十六日零晨1时许，拆下秋千架，将系踏板用的毛竹投入浈江河，任其漂流。传说这是为了消灾免难避瘟疫，求得当年人安畜旺。1957年以后，此项活动停止。</w:t>
      </w:r>
    </w:p>
    <w:p w14:paraId="763A74CE">
      <w:pPr>
        <w:pStyle w:val="5"/>
        <w:rPr>
          <w:rFonts w:ascii="宋体" w:hAnsi="宋体" w:cs="宋体"/>
        </w:rPr>
      </w:pPr>
      <w:r>
        <w:rPr>
          <w:rFonts w:hint="eastAsia" w:ascii="宋体" w:hAnsi="宋体" w:cs="宋体"/>
        </w:rPr>
        <w:t>二、职工体育</w:t>
      </w:r>
    </w:p>
    <w:p w14:paraId="34EF12C6">
      <w:pPr>
        <w:ind w:firstLine="420"/>
        <w:rPr>
          <w:rFonts w:ascii="宋体" w:hAnsi="宋体" w:cs="宋体"/>
        </w:rPr>
      </w:pPr>
      <w:r>
        <w:rPr>
          <w:rFonts w:hint="eastAsia" w:ascii="宋体" w:hAnsi="宋体" w:cs="宋体"/>
        </w:rPr>
        <w:t>新中国成立后职工体育主要是篮球、广播体操、打拳、爬山、游泳等。1979年后，市区经常参加体育锻炼的有5000多人，占县城人口10%（不包括学生）。锻炼项目以武术、五禽戏、八段锦、跑步为主。</w:t>
      </w:r>
    </w:p>
    <w:p w14:paraId="308395EF">
      <w:pPr>
        <w:ind w:firstLine="420"/>
        <w:rPr>
          <w:rFonts w:ascii="宋体" w:hAnsi="宋体" w:cs="宋体"/>
        </w:rPr>
      </w:pPr>
      <w:r>
        <w:rPr>
          <w:rFonts w:hint="eastAsia" w:ascii="宋体" w:hAnsi="宋体" w:cs="宋体"/>
        </w:rPr>
        <w:t>棋类活动普及城乡，象棋几乎是“家庭化”，市区、圩镇年年均举行象棋比赛，出现不少高手。</w:t>
      </w:r>
    </w:p>
    <w:p w14:paraId="619D4982">
      <w:pPr>
        <w:ind w:firstLine="420"/>
        <w:rPr>
          <w:rFonts w:ascii="宋体" w:hAnsi="宋体" w:cs="宋体"/>
        </w:rPr>
      </w:pPr>
      <w:r>
        <w:rPr>
          <w:rFonts w:hint="eastAsia" w:ascii="宋体" w:hAnsi="宋体" w:cs="宋体"/>
        </w:rPr>
        <w:t>县体委从1980年至1987年在职工中先后举办武术、广播体操、老年人健身操、太极拳剑等训练班12期，培训骨干270人。1998年至2005年，市体育主管部门每年都有定期或不定期的举办环城跑、篮球赛、龙舟赛、拔河、“重阳节”老人文体表演和春节的“迎春”象棋、趣味体育竞赛等。1999年8月15日至25日举办了南雄市第四届运动会，各镇、各战线共有36个代表团、2560名运动员参加市运会，设有第八套广播体操、棋类、乒乓球、羽毛球、篮球、拔河、田径7个项目，是历届县（市）运动会项目最多，时间最长，规模最大的一次，有5人6次破4项市纪录。</w:t>
      </w:r>
    </w:p>
    <w:p w14:paraId="566977D2">
      <w:pPr>
        <w:pStyle w:val="5"/>
        <w:rPr>
          <w:rFonts w:ascii="宋体" w:hAnsi="宋体" w:cs="宋体"/>
        </w:rPr>
      </w:pPr>
      <w:r>
        <w:rPr>
          <w:rFonts w:hint="eastAsia" w:ascii="宋体" w:hAnsi="宋体" w:cs="宋体"/>
        </w:rPr>
        <w:t>三、农民体育</w:t>
      </w:r>
    </w:p>
    <w:p w14:paraId="049D1779">
      <w:pPr>
        <w:ind w:firstLine="420"/>
        <w:rPr>
          <w:rFonts w:ascii="宋体" w:hAnsi="宋体" w:cs="宋体"/>
        </w:rPr>
      </w:pPr>
      <w:r>
        <w:rPr>
          <w:rFonts w:hint="eastAsia" w:ascii="宋体" w:hAnsi="宋体" w:cs="宋体"/>
        </w:rPr>
        <w:t>农民体育以舞龙舞狮结合在一起的武术最为流行。冬季农闲时，乡村青年自愿结合，聘请师傅设馆教习，春节出外“拜年”表演。新中国成立后增添了篮球、田径、拔河、射击等项目。平时，乡村青年民兵于农隙练习，节日由乡、镇政府组织各项竞赛。1973年，水口公社农民体育最为活跃，有男女田径队、篮球队和武术队，被评为省农村体育活动先进单位。大多数乡、镇都建有田径场、篮球场、乒乓球室、棋室等。全市有篮球场730多个，较大的村庄都有。2000年至2005年雄州、珠玑、梅岭3个镇先后被国家体育总局授予“全国体育先进镇”称号。</w:t>
      </w:r>
    </w:p>
    <w:p w14:paraId="739B0D57">
      <w:pPr>
        <w:pStyle w:val="5"/>
        <w:rPr>
          <w:rFonts w:ascii="宋体" w:hAnsi="宋体" w:cs="宋体"/>
        </w:rPr>
      </w:pPr>
      <w:r>
        <w:rPr>
          <w:rFonts w:hint="eastAsia" w:ascii="宋体" w:hAnsi="宋体" w:cs="宋体"/>
        </w:rPr>
        <w:t>四、老人健身</w:t>
      </w:r>
    </w:p>
    <w:p w14:paraId="7FE4A921">
      <w:pPr>
        <w:ind w:firstLine="420"/>
        <w:rPr>
          <w:rFonts w:ascii="宋体" w:hAnsi="宋体" w:cs="宋体"/>
        </w:rPr>
      </w:pPr>
      <w:r>
        <w:rPr>
          <w:rFonts w:hint="eastAsia" w:ascii="宋体" w:hAnsi="宋体" w:cs="宋体"/>
        </w:rPr>
        <w:t>长期以来，老人健身活动的项目有晨慢跑、饭后百步走及太极拳等。1984年成立老人体育协会后，老人健身的项目增加了健身秧歌、瑜伽、跆拳道、门球、乒乓球、羽毛球等。早晨或傍晚活跃在浈江两岸、三影塔广场、体育馆院内、市政府院内、老城全民健身广场、烈士陵园等地，健身者不下35000人次。</w:t>
      </w:r>
    </w:p>
    <w:p w14:paraId="1B41CE97">
      <w:pPr>
        <w:pStyle w:val="4"/>
        <w:rPr>
          <w:rFonts w:ascii="宋体" w:hAnsi="宋体" w:cs="宋体"/>
        </w:rPr>
      </w:pPr>
      <w:r>
        <w:rPr>
          <w:rFonts w:hint="eastAsia" w:ascii="宋体" w:hAnsi="宋体" w:cs="宋体"/>
        </w:rPr>
        <w:t>第二节  学校体育</w:t>
      </w:r>
    </w:p>
    <w:p w14:paraId="38C6CE6E">
      <w:pPr>
        <w:pStyle w:val="5"/>
        <w:rPr>
          <w:rFonts w:ascii="宋体" w:hAnsi="宋体" w:cs="宋体"/>
        </w:rPr>
      </w:pPr>
      <w:r>
        <w:rPr>
          <w:rFonts w:hint="eastAsia" w:ascii="宋体" w:hAnsi="宋体" w:cs="宋体"/>
        </w:rPr>
        <w:t>一、体育设施与体育教学</w:t>
      </w:r>
    </w:p>
    <w:p w14:paraId="27CE808E">
      <w:pPr>
        <w:ind w:firstLine="420"/>
        <w:rPr>
          <w:rFonts w:ascii="宋体" w:hAnsi="宋体" w:cs="宋体"/>
        </w:rPr>
      </w:pPr>
      <w:r>
        <w:rPr>
          <w:rFonts w:hint="eastAsia" w:ascii="宋体" w:hAnsi="宋体" w:cs="宋体"/>
        </w:rPr>
        <w:t>民国时期，学校设置体育课。新中国成立后，学校体育是全民健身活动开展的重点，教育局全面贯彻党的教育方针，对学生进行终身体育教育。</w:t>
      </w:r>
    </w:p>
    <w:p w14:paraId="09B0D8BD">
      <w:pPr>
        <w:ind w:firstLine="420"/>
        <w:rPr>
          <w:rFonts w:ascii="宋体" w:hAnsi="宋体" w:cs="宋体"/>
        </w:rPr>
      </w:pPr>
      <w:r>
        <w:rPr>
          <w:rFonts w:hint="eastAsia" w:ascii="宋体" w:hAnsi="宋体" w:cs="宋体"/>
        </w:rPr>
        <w:t>从1980年起，每年在教育经费总额内固定1%拨作体育专项经费。至1987年共拨体育经费51.7万元。1987年全县中、小学校有400米跑道的田径场5个，250米～300米跑道的田径场17个，篮球场269个。全县完全小学以上的学校都有活动场地。县第一中学田径场为最大，面积16000多平方米，有草地足球场和8道400米煤渣跑道。1997年，200米以上跑道田径场增加至33个。2005年标准运动场地增至50个。</w:t>
      </w:r>
    </w:p>
    <w:p w14:paraId="6174EF8A">
      <w:pPr>
        <w:ind w:firstLine="420"/>
        <w:rPr>
          <w:rFonts w:ascii="宋体" w:hAnsi="宋体" w:cs="宋体"/>
        </w:rPr>
      </w:pPr>
      <w:r>
        <w:rPr>
          <w:rFonts w:hint="eastAsia" w:ascii="宋体" w:hAnsi="宋体" w:cs="宋体"/>
        </w:rPr>
        <w:t>1958年至1960年推行《准备劳动与卫国体育制度》（简称劳卫制）有3800多名学生达到劳卫制标准。1962年成立体育教学研究会。从1979年起推行《国家体育锻炼标准》，是年达标数为19720人，占当年应达标学生数的48%；1980年为25080人，占当年应达标学生数的78%；1981年为34720人，占当年应达标学生数的80%；1982年为35600人，占当年应达标学生数的80%。1985年南雄中学达标率85%，被授予省、市达标先进单位。</w:t>
      </w:r>
    </w:p>
    <w:p w14:paraId="4011B26D">
      <w:pPr>
        <w:ind w:firstLine="420"/>
        <w:rPr>
          <w:rFonts w:ascii="宋体" w:hAnsi="宋体" w:cs="宋体"/>
        </w:rPr>
      </w:pPr>
      <w:r>
        <w:rPr>
          <w:rFonts w:hint="eastAsia" w:ascii="宋体" w:hAnsi="宋体" w:cs="宋体"/>
        </w:rPr>
        <w:t>1999年至2005年，每年坚持分批对学校贯彻《学校体育工作条例》、《体育设施建设和管理条例》工作检查验收，267所中小学全部实施《国家体育锻炼标准》。2002年84326名适龄学生“达标”，合格率为93.8%。</w:t>
      </w:r>
    </w:p>
    <w:p w14:paraId="0E2DED47">
      <w:pPr>
        <w:pStyle w:val="5"/>
      </w:pPr>
      <w:r>
        <w:rPr>
          <w:rFonts w:hint="eastAsia"/>
        </w:rPr>
        <w:t>二、学生体育运动会</w:t>
      </w:r>
    </w:p>
    <w:p w14:paraId="2DA4D8FC">
      <w:pPr>
        <w:ind w:firstLine="420"/>
        <w:rPr>
          <w:rFonts w:ascii="宋体" w:hAnsi="宋体" w:cs="宋体"/>
        </w:rPr>
      </w:pPr>
      <w:r>
        <w:rPr>
          <w:rFonts w:hint="eastAsia" w:ascii="宋体" w:hAnsi="宋体" w:cs="宋体"/>
        </w:rPr>
        <w:t>1962年起每年举行一次全县性学生体育运动会，每两年举办一次全县性学生篮球比赛（1966年至1972年中断）。1962年至1987年，举行县中小学生田径运动会14次。篮球比赛9次。从1979年至1987年，举行县级体育竞赛93次，参赛学生21000人次。同时，每年中学以校为单位，小学以乡镇为单位举行运动会，至2005年县（市）举办中小学生运动会33届。通过比赛选拔优秀运动员1300多人。</w:t>
      </w:r>
    </w:p>
    <w:p w14:paraId="4037B515">
      <w:pPr>
        <w:pStyle w:val="4"/>
        <w:rPr>
          <w:rFonts w:ascii="宋体" w:hAnsi="宋体" w:cs="宋体"/>
        </w:rPr>
      </w:pPr>
      <w:r>
        <w:rPr>
          <w:rFonts w:hint="eastAsia" w:ascii="宋体" w:hAnsi="宋体" w:cs="宋体"/>
        </w:rPr>
        <w:t>第三节  业余体校与公共体育场地</w:t>
      </w:r>
    </w:p>
    <w:p w14:paraId="6D0ADFFC">
      <w:pPr>
        <w:pStyle w:val="5"/>
        <w:rPr>
          <w:rFonts w:ascii="宋体" w:hAnsi="宋体" w:cs="宋体"/>
        </w:rPr>
      </w:pPr>
      <w:r>
        <w:rPr>
          <w:rFonts w:hint="eastAsia" w:ascii="宋体" w:hAnsi="宋体" w:cs="宋体"/>
        </w:rPr>
        <w:t>一、业余体校</w:t>
      </w:r>
    </w:p>
    <w:p w14:paraId="50586396">
      <w:pPr>
        <w:ind w:firstLine="420"/>
        <w:rPr>
          <w:rFonts w:ascii="宋体" w:hAnsi="宋体" w:cs="宋体"/>
        </w:rPr>
      </w:pPr>
      <w:r>
        <w:rPr>
          <w:rFonts w:hint="eastAsia" w:ascii="宋体" w:hAnsi="宋体" w:cs="宋体"/>
        </w:rPr>
        <w:t>县青少年业余体校于1958年创办，1987年有正、副校长各1人，教练3人，办有田径（分儿童、少年甲、乙班3个班）、武术、篮球、技巧、航模等班，共有学员106人。武术班为省重点训练项目，列为省办班，经费均由省体委拨给。2005年，业余体校有校长1人，工作人员2人，在职教练8人，其中二级教练有5人，三级教练2人。设有田径、武术、举重、足球、游泳、篮球、乒乓球、羽毛球8个训练队，在训运动员有100多名。1980年至2005年上送到省级运动队的有田径3人、举重1人、自行车1人、射击2人、射箭1人、武术3人、羽毛球1人、篮球5人、小轮车2人。其中有4人被录为正式运动员。考入高等体育院校的有35人。</w:t>
      </w:r>
    </w:p>
    <w:p w14:paraId="612E2243">
      <w:pPr>
        <w:pStyle w:val="5"/>
      </w:pPr>
      <w:r>
        <w:rPr>
          <w:rFonts w:hint="eastAsia"/>
        </w:rPr>
        <w:t>二、公共体育场地</w:t>
      </w:r>
    </w:p>
    <w:p w14:paraId="187777A2">
      <w:pPr>
        <w:ind w:firstLine="422"/>
        <w:rPr>
          <w:rFonts w:ascii="宋体" w:hAnsi="宋体" w:cs="宋体"/>
        </w:rPr>
      </w:pPr>
      <w:r>
        <w:rPr>
          <w:rFonts w:hint="eastAsia" w:ascii="宋体" w:hAnsi="宋体" w:cs="宋体"/>
          <w:b/>
          <w:bCs/>
        </w:rPr>
        <w:t>雄州体育馆</w:t>
      </w:r>
      <w:r>
        <w:rPr>
          <w:rFonts w:hint="eastAsia" w:ascii="宋体" w:hAnsi="宋体" w:cs="宋体"/>
        </w:rPr>
        <w:t xml:space="preserve">  位于南雄市新城浈江路与国道323线雄中路段的交汇处，总占地面积12500平方米。体育馆建筑面积4100平方米，钢筋混凝土3层建筑。顶部为钢网球架结构，内设观众席2338个座位，馆内球场面积1000平方米，铺设有圆锥木地板，灯光、音响、电子记分等设备齐全，可举办篮球、排球、乒乓球、羽毛球、体操、武术等体育竞赛。此外，馆内还设有健身房、乒乓球室、会议室，馆外附设网球场、水泥篮球场、停车场。</w:t>
      </w:r>
    </w:p>
    <w:p w14:paraId="5BFD7095">
      <w:pPr>
        <w:ind w:firstLine="422"/>
        <w:rPr>
          <w:rFonts w:ascii="宋体" w:hAnsi="宋体" w:cs="宋体"/>
        </w:rPr>
      </w:pPr>
      <w:r>
        <w:rPr>
          <w:rFonts w:hint="eastAsia" w:ascii="宋体" w:hAnsi="宋体" w:cs="宋体"/>
          <w:b/>
          <w:bCs/>
        </w:rPr>
        <w:t xml:space="preserve">游泳场 </w:t>
      </w:r>
      <w:r>
        <w:rPr>
          <w:rFonts w:hint="eastAsia" w:ascii="宋体" w:hAnsi="宋体" w:cs="宋体"/>
        </w:rPr>
        <w:t xml:space="preserve"> 位于国道323线雄中路边，与雄州体育馆相邻，占地面积9000多平方米，总建筑面积3200平方米，建有20米×20米三级跳台水池1个，25米×25米训练池1个，15米×15米娃娃池1个。</w:t>
      </w:r>
    </w:p>
    <w:p w14:paraId="1B66B757">
      <w:pPr>
        <w:ind w:firstLine="422"/>
        <w:rPr>
          <w:rFonts w:ascii="宋体" w:hAnsi="宋体" w:cs="宋体"/>
        </w:rPr>
      </w:pPr>
      <w:r>
        <w:rPr>
          <w:rFonts w:hint="eastAsia" w:ascii="宋体" w:hAnsi="宋体" w:cs="宋体"/>
          <w:b/>
          <w:bCs/>
        </w:rPr>
        <w:t xml:space="preserve">新城体育场 </w:t>
      </w:r>
      <w:r>
        <w:rPr>
          <w:rFonts w:hint="eastAsia" w:ascii="宋体" w:hAnsi="宋体" w:cs="宋体"/>
        </w:rPr>
        <w:t xml:space="preserve"> 位于国道323线新城雄中路游泳场旁，占地面积20000平方米，体育场为6道煤渣跑道，内设足球场及其他运动设施。</w:t>
      </w:r>
    </w:p>
    <w:p w14:paraId="1D4F8574">
      <w:pPr>
        <w:ind w:firstLine="422"/>
        <w:rPr>
          <w:rFonts w:ascii="宋体" w:hAnsi="宋体" w:cs="宋体"/>
        </w:rPr>
      </w:pPr>
      <w:r>
        <w:rPr>
          <w:rFonts w:hint="eastAsia" w:ascii="宋体" w:hAnsi="宋体" w:cs="宋体"/>
          <w:b/>
          <w:bCs/>
        </w:rPr>
        <w:t xml:space="preserve">全民健身广场 </w:t>
      </w:r>
      <w:r>
        <w:rPr>
          <w:rFonts w:hint="eastAsia" w:ascii="宋体" w:hAnsi="宋体" w:cs="宋体"/>
        </w:rPr>
        <w:t xml:space="preserve"> 由原老城灯光球场、人民体育场改建而成。投资300多万元，面积20000平方米，设施有300米跑道，室内健身馆1个，室内羽毛球馆1个，乒乓球馆1个；室外设篮球场4个，门球场1个，乒乓球台4张，鹅卵石健身路径1条，成品健身路径2条。工程于2003年动土，2005年底竣工。</w:t>
      </w:r>
    </w:p>
    <w:p w14:paraId="4A62BEEA">
      <w:pPr>
        <w:ind w:firstLine="420"/>
        <w:rPr>
          <w:rFonts w:ascii="宋体" w:hAnsi="宋体" w:cs="宋体"/>
        </w:rPr>
      </w:pPr>
      <w:r>
        <w:rPr>
          <w:rFonts w:hint="eastAsia" w:ascii="宋体" w:hAnsi="宋体" w:cs="宋体"/>
        </w:rPr>
        <w:t>2002年至2005年，争取省、市支持35万元，在市政府院内、新城儿童公园前、沿江东路等处建成8个全民健身网点。</w:t>
      </w:r>
    </w:p>
    <w:p w14:paraId="5BF8E4A8">
      <w:pPr>
        <w:pStyle w:val="4"/>
        <w:rPr>
          <w:rFonts w:ascii="宋体" w:hAnsi="宋体" w:cs="宋体"/>
        </w:rPr>
      </w:pPr>
      <w:r>
        <w:rPr>
          <w:rFonts w:hint="eastAsia" w:ascii="宋体" w:hAnsi="宋体" w:cs="宋体"/>
        </w:rPr>
        <w:t>第四节  体育竞赛</w:t>
      </w:r>
    </w:p>
    <w:p w14:paraId="307227CE">
      <w:pPr>
        <w:pStyle w:val="5"/>
        <w:rPr>
          <w:rFonts w:ascii="宋体" w:hAnsi="宋体" w:cs="宋体"/>
        </w:rPr>
      </w:pPr>
      <w:r>
        <w:rPr>
          <w:rFonts w:hint="eastAsia" w:ascii="宋体" w:hAnsi="宋体" w:cs="宋体"/>
        </w:rPr>
        <w:t>一、县（市）运动会</w:t>
      </w:r>
    </w:p>
    <w:p w14:paraId="4E49139B">
      <w:pPr>
        <w:ind w:firstLine="420"/>
        <w:rPr>
          <w:rFonts w:ascii="宋体" w:hAnsi="宋体" w:cs="宋体"/>
        </w:rPr>
      </w:pPr>
      <w:r>
        <w:rPr>
          <w:rFonts w:hint="eastAsia" w:ascii="宋体" w:hAnsi="宋体" w:cs="宋体"/>
        </w:rPr>
        <w:t>1985年5月举行第三届运动会，参赛单位有各中学、厂矿、财贸、工交等30个单位，运动员453人。县一中获成年组团体总分第一名，少年乙组团体总分第一名，南雄中学获少年甲组团体总分第一名。</w:t>
      </w:r>
    </w:p>
    <w:p w14:paraId="697C6612">
      <w:pPr>
        <w:ind w:firstLine="420"/>
        <w:rPr>
          <w:rFonts w:ascii="宋体" w:hAnsi="宋体" w:cs="宋体"/>
        </w:rPr>
      </w:pPr>
      <w:r>
        <w:rPr>
          <w:rFonts w:hint="eastAsia" w:ascii="宋体" w:hAnsi="宋体" w:cs="宋体"/>
        </w:rPr>
        <w:t>1999年举行第四届运动会，参赛运动员2500多名。竞赛项目有篮球、田径、棋类、乒乓球、羽毛球、拔河、第八套广播体操，为期4个月。团体总分由雄州镇、“两烟”获第一名，金牌总数由雄州镇、农口线获第一名。</w:t>
      </w:r>
    </w:p>
    <w:p w14:paraId="3159A154">
      <w:pPr>
        <w:pStyle w:val="5"/>
        <w:rPr>
          <w:rFonts w:ascii="宋体" w:hAnsi="宋体" w:cs="宋体"/>
        </w:rPr>
      </w:pPr>
      <w:r>
        <w:rPr>
          <w:rFonts w:hint="eastAsia" w:ascii="宋体" w:hAnsi="宋体" w:cs="宋体"/>
        </w:rPr>
        <w:t>二、参加韶关市（地区）级比赛</w:t>
      </w:r>
    </w:p>
    <w:p w14:paraId="6D448FCB">
      <w:pPr>
        <w:ind w:firstLine="420"/>
        <w:rPr>
          <w:rFonts w:ascii="宋体" w:hAnsi="宋体" w:cs="宋体"/>
        </w:rPr>
      </w:pPr>
      <w:r>
        <w:rPr>
          <w:rFonts w:hint="eastAsia" w:ascii="宋体" w:hAnsi="宋体" w:cs="宋体"/>
        </w:rPr>
        <w:t>1985年11月，在市七届全运会上，南雄县运动员获得32块金牌，14块银牌，7块铜牌，其中武术一项囊括17块金牌。1987年韶关市农民篮球赛在南雄举行，南雄获得男子第二名，女子第一名。1989年至2005年，参加韶关市第八、九、十、十一、十二届运动会田径比赛，共获金牌105多枚，银牌65枚，铜牌45枚。其中八、九、十、十一届运动会总分列韶关市各县（市、区）第三名，十二届运动会总分列各县（市、区）第二名。</w:t>
      </w:r>
    </w:p>
    <w:p w14:paraId="19C3A5D6">
      <w:pPr>
        <w:pStyle w:val="5"/>
        <w:rPr>
          <w:rFonts w:ascii="宋体" w:hAnsi="宋体" w:cs="宋体"/>
        </w:rPr>
      </w:pPr>
      <w:r>
        <w:rPr>
          <w:rFonts w:hint="eastAsia" w:ascii="宋体" w:hAnsi="宋体" w:cs="宋体"/>
        </w:rPr>
        <w:t>三、参加省级比赛</w:t>
      </w:r>
    </w:p>
    <w:p w14:paraId="40BB619D">
      <w:pPr>
        <w:ind w:firstLine="420"/>
        <w:rPr>
          <w:rFonts w:ascii="宋体" w:hAnsi="宋体" w:cs="宋体"/>
        </w:rPr>
      </w:pPr>
      <w:r>
        <w:rPr>
          <w:rFonts w:hint="eastAsia" w:ascii="宋体" w:hAnsi="宋体" w:cs="宋体"/>
        </w:rPr>
        <w:t>1977年，广东省少年田径运动会，陈万红获男子300米第一名，丘传跃获男子1500米第一名，卢德英获女子1500米第二名。</w:t>
      </w:r>
    </w:p>
    <w:p w14:paraId="1C4AC0E5">
      <w:pPr>
        <w:ind w:firstLine="420"/>
        <w:rPr>
          <w:rFonts w:ascii="宋体" w:hAnsi="宋体" w:cs="宋体"/>
        </w:rPr>
      </w:pPr>
      <w:r>
        <w:rPr>
          <w:rFonts w:hint="eastAsia" w:ascii="宋体" w:hAnsi="宋体" w:cs="宋体"/>
        </w:rPr>
        <w:t>1978年，广东省第五届全运会，谢崇金获5000米、10000米二项第一名，黄建刚获南拳第三名、短兵器第一名。</w:t>
      </w:r>
    </w:p>
    <w:p w14:paraId="75420BD3">
      <w:pPr>
        <w:ind w:firstLine="420"/>
        <w:rPr>
          <w:rFonts w:ascii="宋体" w:hAnsi="宋体" w:cs="宋体"/>
        </w:rPr>
      </w:pPr>
      <w:r>
        <w:rPr>
          <w:rFonts w:hint="eastAsia" w:ascii="宋体" w:hAnsi="宋体" w:cs="宋体"/>
        </w:rPr>
        <w:t>1979年，广东省少年田径运动会，钟义林获男子铅球第一名。</w:t>
      </w:r>
    </w:p>
    <w:p w14:paraId="54492CED">
      <w:pPr>
        <w:ind w:firstLine="420"/>
        <w:rPr>
          <w:rFonts w:ascii="宋体" w:hAnsi="宋体" w:cs="宋体"/>
        </w:rPr>
      </w:pPr>
      <w:r>
        <w:rPr>
          <w:rFonts w:hint="eastAsia" w:ascii="宋体" w:hAnsi="宋体" w:cs="宋体"/>
        </w:rPr>
        <w:t>1981年，广东省第二届中学生运动会，孙广生获男子标枪第一名；钟义林获男子铅球第一名。</w:t>
      </w:r>
    </w:p>
    <w:p w14:paraId="6326ADB5">
      <w:pPr>
        <w:ind w:firstLine="420"/>
        <w:rPr>
          <w:rFonts w:ascii="宋体" w:hAnsi="宋体" w:cs="宋体"/>
        </w:rPr>
      </w:pPr>
      <w:r>
        <w:rPr>
          <w:rFonts w:hint="eastAsia" w:ascii="宋体" w:hAnsi="宋体" w:cs="宋体"/>
        </w:rPr>
        <w:t>1982年，广东省第六届全运会，谢崇金获马拉松5000米和10000米两个第二名；邱欢获武术长拳第二名。</w:t>
      </w:r>
    </w:p>
    <w:p w14:paraId="4BA031E1">
      <w:pPr>
        <w:ind w:firstLine="420"/>
        <w:rPr>
          <w:rFonts w:ascii="宋体" w:hAnsi="宋体" w:cs="宋体"/>
        </w:rPr>
      </w:pPr>
      <w:r>
        <w:rPr>
          <w:rFonts w:hint="eastAsia" w:ascii="宋体" w:hAnsi="宋体" w:cs="宋体"/>
        </w:rPr>
        <w:t>1983年，广东省传统项目武术比赛，胡瑞强获南拳第一名，陈智超获南拳第三名，短器械第三名。</w:t>
      </w:r>
    </w:p>
    <w:p w14:paraId="018FBF22">
      <w:pPr>
        <w:ind w:firstLine="420"/>
        <w:rPr>
          <w:rFonts w:ascii="宋体" w:hAnsi="宋体" w:cs="宋体"/>
        </w:rPr>
      </w:pPr>
      <w:r>
        <w:rPr>
          <w:rFonts w:hint="eastAsia" w:ascii="宋体" w:hAnsi="宋体" w:cs="宋体"/>
        </w:rPr>
        <w:t>1984年，广东省第二届工人运动会，谢崇金获马拉松5000米第二名，10000米第一名；沈长春获1500米第二名。武术比赛，陈智超获南拳第三名，长器械第一名，短器械第三名。同年，广东省马拉松赛，谢崇金获第一名。</w:t>
      </w:r>
    </w:p>
    <w:p w14:paraId="45514F90">
      <w:pPr>
        <w:ind w:firstLine="420"/>
        <w:rPr>
          <w:rFonts w:ascii="宋体" w:hAnsi="宋体" w:cs="宋体"/>
        </w:rPr>
      </w:pPr>
      <w:r>
        <w:rPr>
          <w:rFonts w:hint="eastAsia" w:ascii="宋体" w:hAnsi="宋体" w:cs="宋体"/>
        </w:rPr>
        <w:t>1985年，广东省传统项目学校田径赛，肖飞获1500米、3000米二项第一名。董书海获1500米、3000米二项第二名。同年，广东省少年田径赛，叶少林获3000米第三名；雷名武获3000米第二名。</w:t>
      </w:r>
    </w:p>
    <w:p w14:paraId="6BAF1DE3">
      <w:pPr>
        <w:ind w:firstLine="420"/>
        <w:rPr>
          <w:rFonts w:ascii="宋体" w:hAnsi="宋体" w:cs="宋体"/>
        </w:rPr>
      </w:pPr>
      <w:r>
        <w:rPr>
          <w:rFonts w:hint="eastAsia" w:ascii="宋体" w:hAnsi="宋体" w:cs="宋体"/>
        </w:rPr>
        <w:t>1986年，广东省第三届中学生运动会，雷名武获男子5000米竞走第一名。1986年，广东省第七届运动会武术赛，黄建刚获南拳第一名，对练第一名，短兵器第二名，朴刀第二名。同年，广东省第七届运动会田径赛，沈长春获10000米跑、1500米跑第二名，黄华北获5000米第三名。</w:t>
      </w:r>
    </w:p>
    <w:p w14:paraId="0780AF66">
      <w:pPr>
        <w:ind w:firstLine="420"/>
        <w:rPr>
          <w:rFonts w:ascii="宋体" w:hAnsi="宋体" w:cs="宋体"/>
        </w:rPr>
      </w:pPr>
      <w:r>
        <w:rPr>
          <w:rFonts w:hint="eastAsia" w:ascii="宋体" w:hAnsi="宋体" w:cs="宋体"/>
        </w:rPr>
        <w:t>1987年，广东省业余体校武术赛，胡小艳获短器械第一名，长拳第二名（少年组）；黄岗获对练第二名（成年组）；李耀新获对练第二名（成年组）；郑小冰获长器械第二名（少年组）；刘晓玲获成年组女子长拳第三名；钟志娟获女子少年组南拳第三名。</w:t>
      </w:r>
    </w:p>
    <w:p w14:paraId="6DAB1972">
      <w:pPr>
        <w:ind w:firstLine="420"/>
        <w:rPr>
          <w:rFonts w:ascii="宋体" w:hAnsi="宋体" w:cs="宋体"/>
        </w:rPr>
      </w:pPr>
      <w:r>
        <w:rPr>
          <w:rFonts w:hint="eastAsia" w:ascii="宋体" w:hAnsi="宋体" w:cs="宋体"/>
        </w:rPr>
        <w:t>1988年，广东省武术选拔赛，陈智超获男子成年组自选长器械第一名。</w:t>
      </w:r>
    </w:p>
    <w:p w14:paraId="18A54608">
      <w:pPr>
        <w:ind w:firstLine="420"/>
        <w:rPr>
          <w:rFonts w:ascii="宋体" w:hAnsi="宋体" w:cs="宋体"/>
        </w:rPr>
      </w:pPr>
      <w:r>
        <w:rPr>
          <w:rFonts w:hint="eastAsia" w:ascii="宋体" w:hAnsi="宋体" w:cs="宋体"/>
        </w:rPr>
        <w:t>1992年，广东省少年举重锦标赛，刘君林获56公斤级抓举第二名。</w:t>
      </w:r>
    </w:p>
    <w:p w14:paraId="5101A7F3">
      <w:pPr>
        <w:ind w:firstLine="420"/>
        <w:rPr>
          <w:rFonts w:ascii="宋体" w:hAnsi="宋体" w:cs="宋体"/>
        </w:rPr>
      </w:pPr>
      <w:r>
        <w:rPr>
          <w:rFonts w:hint="eastAsia" w:ascii="宋体" w:hAnsi="宋体" w:cs="宋体"/>
        </w:rPr>
        <w:t>1994年，广东省第九届运动会，郭莲英获女子1500米第二名，800米第三名；骆树明获少年乙组举重70公斤第二名。</w:t>
      </w:r>
    </w:p>
    <w:p w14:paraId="4F8EFE24">
      <w:pPr>
        <w:ind w:firstLine="420"/>
        <w:rPr>
          <w:rFonts w:ascii="宋体" w:hAnsi="宋体" w:cs="宋体"/>
        </w:rPr>
      </w:pPr>
      <w:r>
        <w:rPr>
          <w:rFonts w:hint="eastAsia" w:ascii="宋体" w:hAnsi="宋体" w:cs="宋体"/>
        </w:rPr>
        <w:t>1996年，广东省第三届工人运动会，黄春花获3000米跑第三名。</w:t>
      </w:r>
    </w:p>
    <w:p w14:paraId="7F7A7215">
      <w:pPr>
        <w:ind w:firstLine="420"/>
        <w:rPr>
          <w:rFonts w:ascii="宋体" w:hAnsi="宋体" w:cs="宋体"/>
        </w:rPr>
      </w:pPr>
      <w:r>
        <w:rPr>
          <w:rFonts w:hint="eastAsia" w:ascii="宋体" w:hAnsi="宋体" w:cs="宋体"/>
        </w:rPr>
        <w:t>2004年，广东省少年举重锦标赛，童作浪获得抓举56公斤级冠军，又获广东省举重基地赛56公斤级冠军。</w:t>
      </w:r>
    </w:p>
    <w:p w14:paraId="659CF8F6">
      <w:pPr>
        <w:pStyle w:val="5"/>
        <w:rPr>
          <w:rFonts w:ascii="宋体" w:hAnsi="宋体" w:cs="宋体"/>
        </w:rPr>
      </w:pPr>
      <w:r>
        <w:rPr>
          <w:rFonts w:hint="eastAsia" w:ascii="宋体" w:hAnsi="宋体" w:cs="宋体"/>
        </w:rPr>
        <w:t>四、参加全国比赛</w:t>
      </w:r>
    </w:p>
    <w:p w14:paraId="0DC831FB">
      <w:pPr>
        <w:ind w:firstLine="420"/>
        <w:rPr>
          <w:rFonts w:ascii="宋体" w:hAnsi="宋体" w:cs="宋体"/>
        </w:rPr>
      </w:pPr>
      <w:r>
        <w:rPr>
          <w:rFonts w:hint="eastAsia" w:ascii="宋体" w:hAnsi="宋体" w:cs="宋体"/>
        </w:rPr>
        <w:t>1977年，全国田径分赛区，丘传跃获1500米第三名。</w:t>
      </w:r>
    </w:p>
    <w:p w14:paraId="1EFF9265">
      <w:pPr>
        <w:ind w:firstLine="420"/>
        <w:rPr>
          <w:rFonts w:ascii="宋体" w:hAnsi="宋体" w:cs="宋体"/>
        </w:rPr>
      </w:pPr>
      <w:r>
        <w:rPr>
          <w:rFonts w:hint="eastAsia" w:ascii="宋体" w:hAnsi="宋体" w:cs="宋体"/>
        </w:rPr>
        <w:t>1978年，全国武术比赛会上，黄建刚获南拳第二名，并在同年参加中国武术代表团出访太平洋四国途经香港作表演，博得各界人士的好评。</w:t>
      </w:r>
    </w:p>
    <w:p w14:paraId="7D130914">
      <w:pPr>
        <w:ind w:firstLine="420"/>
        <w:rPr>
          <w:rFonts w:ascii="宋体" w:hAnsi="宋体" w:cs="宋体"/>
        </w:rPr>
      </w:pPr>
      <w:r>
        <w:rPr>
          <w:rFonts w:hint="eastAsia" w:ascii="宋体" w:hAnsi="宋体" w:cs="宋体"/>
        </w:rPr>
        <w:t>1982年，黄建刚在全国武术比赛会上获得南拳第二名。</w:t>
      </w:r>
    </w:p>
    <w:p w14:paraId="63942026">
      <w:pPr>
        <w:ind w:firstLine="420"/>
        <w:rPr>
          <w:rFonts w:ascii="宋体" w:hAnsi="宋体" w:cs="宋体"/>
        </w:rPr>
      </w:pPr>
      <w:r>
        <w:rPr>
          <w:rFonts w:hint="eastAsia" w:ascii="宋体" w:hAnsi="宋体" w:cs="宋体"/>
        </w:rPr>
        <w:t>1983年，全国第五届运动会，黄建刚获传统拳第一名，南拳第一名。</w:t>
      </w:r>
    </w:p>
    <w:p w14:paraId="4AC6C312">
      <w:pPr>
        <w:ind w:firstLine="420"/>
        <w:rPr>
          <w:rFonts w:ascii="宋体" w:hAnsi="宋体" w:cs="宋体"/>
        </w:rPr>
      </w:pPr>
      <w:r>
        <w:rPr>
          <w:rFonts w:hint="eastAsia" w:ascii="宋体" w:hAnsi="宋体" w:cs="宋体"/>
        </w:rPr>
        <w:t>1984年8月，全国传统项目学校田径赛，董书海获4×400米接力赛第五名。同年，全国武术表演赛，胡瑞强、颜晓玉获南拳优胜奖。</w:t>
      </w:r>
    </w:p>
    <w:p w14:paraId="789F7ECE">
      <w:pPr>
        <w:ind w:firstLine="420"/>
        <w:rPr>
          <w:rFonts w:ascii="宋体" w:hAnsi="宋体" w:cs="宋体"/>
        </w:rPr>
      </w:pPr>
      <w:r>
        <w:rPr>
          <w:rFonts w:hint="eastAsia" w:ascii="宋体" w:hAnsi="宋体" w:cs="宋体"/>
        </w:rPr>
        <w:t>2001年，全国少年田径锦标赛，余兰英获得女子800米、1500米和异程接力项目3枚金牌。同年，全国中学生田径锦标赛，余兰英获得高中女子1500米和4×400米接力项目共2枚金牌，800米银牌。</w:t>
      </w:r>
    </w:p>
    <w:p w14:paraId="6B295E81">
      <w:pPr>
        <w:ind w:firstLine="420"/>
        <w:rPr>
          <w:rFonts w:ascii="宋体" w:hAnsi="宋体" w:cs="宋体"/>
        </w:rPr>
      </w:pPr>
      <w:r>
        <w:rPr>
          <w:rFonts w:hint="eastAsia" w:ascii="宋体" w:hAnsi="宋体" w:cs="宋体"/>
        </w:rPr>
        <w:t>2002年，余兰英代表中国参加匈牙利国际少年田径赛，获少年女子1500米第七名。</w:t>
      </w:r>
    </w:p>
    <w:p w14:paraId="307FEE00">
      <w:pPr>
        <w:ind w:firstLine="420"/>
        <w:rPr>
          <w:rFonts w:ascii="宋体" w:hAnsi="宋体" w:cs="宋体"/>
        </w:rPr>
      </w:pPr>
      <w:r>
        <w:rPr>
          <w:rFonts w:hint="eastAsia" w:ascii="宋体" w:hAnsi="宋体" w:cs="宋体"/>
        </w:rPr>
        <w:t>2005年，马丽芸代表广东省参加第十届全运会，获女子小轮车赛第八名。</w:t>
      </w:r>
    </w:p>
    <w:p w14:paraId="1F1EB6C5">
      <w:pPr>
        <w:ind w:firstLine="422"/>
        <w:jc w:val="center"/>
        <w:rPr>
          <w:rFonts w:ascii="宋体" w:hAnsi="宋体" w:cs="宋体"/>
          <w:b/>
          <w:bCs/>
        </w:rPr>
      </w:pPr>
      <w:r>
        <w:rPr>
          <w:rFonts w:hint="eastAsia" w:ascii="宋体" w:hAnsi="宋体" w:cs="宋体"/>
          <w:b/>
          <w:bCs/>
        </w:rPr>
        <w:t>南雄县体育运动员破省纪录一览</w:t>
      </w:r>
    </w:p>
    <w:p w14:paraId="2B4D5793">
      <w:pPr>
        <w:ind w:firstLine="0" w:firstLineChars="0"/>
        <w:rPr>
          <w:rFonts w:ascii="宋体" w:hAnsi="宋体" w:cs="宋体"/>
          <w:b/>
          <w:bCs/>
        </w:rPr>
      </w:pPr>
      <w:r>
        <w:rPr>
          <w:rFonts w:hint="eastAsia" w:ascii="宋体" w:hAnsi="宋体" w:cs="宋体"/>
          <w:b/>
          <w:bCs/>
        </w:rPr>
        <w:t>表5-6</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59"/>
        <w:gridCol w:w="1353"/>
        <w:gridCol w:w="1968"/>
        <w:gridCol w:w="1662"/>
        <w:gridCol w:w="1662"/>
        <w:gridCol w:w="1658"/>
      </w:tblGrid>
      <w:tr w14:paraId="6F81DF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58D97816">
            <w:pPr>
              <w:pStyle w:val="12"/>
              <w:jc w:val="center"/>
              <w:rPr>
                <w:b/>
              </w:rPr>
            </w:pPr>
            <w:r>
              <w:rPr>
                <w:rFonts w:hint="eastAsia"/>
                <w:b/>
              </w:rPr>
              <w:t>时间（年）</w:t>
            </w:r>
          </w:p>
        </w:tc>
        <w:tc>
          <w:tcPr>
            <w:tcW w:w="679" w:type="pct"/>
            <w:vAlign w:val="center"/>
          </w:tcPr>
          <w:p w14:paraId="26CAFB81">
            <w:pPr>
              <w:pStyle w:val="12"/>
              <w:jc w:val="center"/>
              <w:rPr>
                <w:b/>
              </w:rPr>
            </w:pPr>
            <w:r>
              <w:rPr>
                <w:rFonts w:hint="eastAsia"/>
                <w:b/>
              </w:rPr>
              <w:t>姓名</w:t>
            </w:r>
          </w:p>
        </w:tc>
        <w:tc>
          <w:tcPr>
            <w:tcW w:w="988" w:type="pct"/>
            <w:vAlign w:val="center"/>
          </w:tcPr>
          <w:p w14:paraId="77EECAC3">
            <w:pPr>
              <w:pStyle w:val="12"/>
              <w:jc w:val="center"/>
              <w:rPr>
                <w:b/>
              </w:rPr>
            </w:pPr>
            <w:r>
              <w:rPr>
                <w:rFonts w:hint="eastAsia"/>
                <w:b/>
              </w:rPr>
              <w:t>比赛名称</w:t>
            </w:r>
          </w:p>
        </w:tc>
        <w:tc>
          <w:tcPr>
            <w:tcW w:w="834" w:type="pct"/>
            <w:vAlign w:val="center"/>
          </w:tcPr>
          <w:p w14:paraId="62EC1B65">
            <w:pPr>
              <w:pStyle w:val="12"/>
              <w:jc w:val="center"/>
              <w:rPr>
                <w:b/>
              </w:rPr>
            </w:pPr>
            <w:r>
              <w:rPr>
                <w:rFonts w:hint="eastAsia"/>
                <w:b/>
              </w:rPr>
              <w:t>地点</w:t>
            </w:r>
          </w:p>
        </w:tc>
        <w:tc>
          <w:tcPr>
            <w:tcW w:w="834" w:type="pct"/>
            <w:vAlign w:val="center"/>
          </w:tcPr>
          <w:p w14:paraId="79BD63BC">
            <w:pPr>
              <w:pStyle w:val="12"/>
              <w:jc w:val="center"/>
              <w:rPr>
                <w:b/>
              </w:rPr>
            </w:pPr>
            <w:r>
              <w:rPr>
                <w:rFonts w:hint="eastAsia"/>
                <w:b/>
              </w:rPr>
              <w:t>项目</w:t>
            </w:r>
          </w:p>
        </w:tc>
        <w:tc>
          <w:tcPr>
            <w:tcW w:w="834" w:type="pct"/>
            <w:vAlign w:val="center"/>
          </w:tcPr>
          <w:p w14:paraId="210C7B16">
            <w:pPr>
              <w:pStyle w:val="12"/>
              <w:jc w:val="center"/>
              <w:rPr>
                <w:b/>
              </w:rPr>
            </w:pPr>
            <w:r>
              <w:rPr>
                <w:rFonts w:hint="eastAsia"/>
                <w:b/>
              </w:rPr>
              <w:t>成绩</w:t>
            </w:r>
          </w:p>
        </w:tc>
      </w:tr>
      <w:tr w14:paraId="72ADCB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4C0E4ED3">
            <w:pPr>
              <w:pStyle w:val="12"/>
              <w:jc w:val="center"/>
            </w:pPr>
            <w:r>
              <w:rPr>
                <w:rFonts w:hint="eastAsia"/>
              </w:rPr>
              <w:t>1950</w:t>
            </w:r>
          </w:p>
        </w:tc>
        <w:tc>
          <w:tcPr>
            <w:tcW w:w="679" w:type="pct"/>
            <w:vAlign w:val="center"/>
          </w:tcPr>
          <w:p w14:paraId="19F4E42E">
            <w:pPr>
              <w:pStyle w:val="12"/>
              <w:jc w:val="center"/>
            </w:pPr>
            <w:r>
              <w:rPr>
                <w:rFonts w:hint="eastAsia"/>
              </w:rPr>
              <w:t>黄履寿</w:t>
            </w:r>
          </w:p>
        </w:tc>
        <w:tc>
          <w:tcPr>
            <w:tcW w:w="988" w:type="pct"/>
            <w:vAlign w:val="center"/>
          </w:tcPr>
          <w:p w14:paraId="6FC4D996">
            <w:pPr>
              <w:pStyle w:val="12"/>
              <w:jc w:val="center"/>
            </w:pPr>
            <w:r>
              <w:rPr>
                <w:rFonts w:hint="eastAsia"/>
              </w:rPr>
              <w:t>省二届运动会</w:t>
            </w:r>
          </w:p>
        </w:tc>
        <w:tc>
          <w:tcPr>
            <w:tcW w:w="834" w:type="pct"/>
            <w:vAlign w:val="center"/>
          </w:tcPr>
          <w:p w14:paraId="204DCEC0">
            <w:pPr>
              <w:pStyle w:val="12"/>
              <w:jc w:val="center"/>
            </w:pPr>
            <w:r>
              <w:rPr>
                <w:rFonts w:hint="eastAsia"/>
              </w:rPr>
              <w:t>广州</w:t>
            </w:r>
          </w:p>
        </w:tc>
        <w:tc>
          <w:tcPr>
            <w:tcW w:w="834" w:type="pct"/>
            <w:vAlign w:val="center"/>
          </w:tcPr>
          <w:p w14:paraId="698A6451">
            <w:pPr>
              <w:pStyle w:val="12"/>
              <w:jc w:val="center"/>
            </w:pPr>
            <w:r>
              <w:rPr>
                <w:rFonts w:hint="eastAsia"/>
              </w:rPr>
              <w:t>射击</w:t>
            </w:r>
          </w:p>
        </w:tc>
        <w:tc>
          <w:tcPr>
            <w:tcW w:w="834" w:type="pct"/>
            <w:vAlign w:val="center"/>
          </w:tcPr>
          <w:p w14:paraId="4A265D50">
            <w:pPr>
              <w:pStyle w:val="12"/>
              <w:jc w:val="center"/>
            </w:pPr>
            <w:r>
              <w:rPr>
                <w:rFonts w:hint="eastAsia"/>
              </w:rPr>
              <w:t>60发540环</w:t>
            </w:r>
          </w:p>
        </w:tc>
      </w:tr>
      <w:tr w14:paraId="495933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0F30A98E">
            <w:pPr>
              <w:pStyle w:val="12"/>
              <w:jc w:val="center"/>
            </w:pPr>
            <w:r>
              <w:rPr>
                <w:rFonts w:hint="eastAsia"/>
              </w:rPr>
              <w:t>1963</w:t>
            </w:r>
          </w:p>
        </w:tc>
        <w:tc>
          <w:tcPr>
            <w:tcW w:w="679" w:type="pct"/>
            <w:vAlign w:val="center"/>
          </w:tcPr>
          <w:p w14:paraId="14A7DA66">
            <w:pPr>
              <w:pStyle w:val="12"/>
              <w:jc w:val="center"/>
            </w:pPr>
            <w:r>
              <w:rPr>
                <w:rFonts w:hint="eastAsia"/>
              </w:rPr>
              <w:t>阳定泉</w:t>
            </w:r>
          </w:p>
        </w:tc>
        <w:tc>
          <w:tcPr>
            <w:tcW w:w="988" w:type="pct"/>
            <w:vAlign w:val="center"/>
          </w:tcPr>
          <w:p w14:paraId="01B3187D">
            <w:pPr>
              <w:pStyle w:val="12"/>
              <w:jc w:val="center"/>
            </w:pPr>
            <w:r>
              <w:rPr>
                <w:rFonts w:hint="eastAsia"/>
              </w:rPr>
              <w:t>省少年田径会</w:t>
            </w:r>
          </w:p>
        </w:tc>
        <w:tc>
          <w:tcPr>
            <w:tcW w:w="834" w:type="pct"/>
            <w:vAlign w:val="center"/>
          </w:tcPr>
          <w:p w14:paraId="2213FD44">
            <w:pPr>
              <w:pStyle w:val="12"/>
              <w:jc w:val="center"/>
            </w:pPr>
            <w:r>
              <w:rPr>
                <w:rFonts w:hint="eastAsia"/>
              </w:rPr>
              <w:t>广州</w:t>
            </w:r>
          </w:p>
        </w:tc>
        <w:tc>
          <w:tcPr>
            <w:tcW w:w="834" w:type="pct"/>
            <w:vAlign w:val="center"/>
          </w:tcPr>
          <w:p w14:paraId="640B2F46">
            <w:pPr>
              <w:pStyle w:val="12"/>
              <w:jc w:val="center"/>
            </w:pPr>
            <w:r>
              <w:rPr>
                <w:rFonts w:hint="eastAsia"/>
              </w:rPr>
              <w:t>三项全能</w:t>
            </w:r>
          </w:p>
        </w:tc>
        <w:tc>
          <w:tcPr>
            <w:tcW w:w="834" w:type="pct"/>
            <w:vAlign w:val="center"/>
          </w:tcPr>
          <w:p w14:paraId="566E9811">
            <w:pPr>
              <w:pStyle w:val="12"/>
              <w:jc w:val="center"/>
            </w:pPr>
            <w:r>
              <w:rPr>
                <w:rFonts w:hint="eastAsia"/>
              </w:rPr>
              <w:t>1445分</w:t>
            </w:r>
          </w:p>
        </w:tc>
      </w:tr>
      <w:tr w14:paraId="6E6964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15F691E2">
            <w:pPr>
              <w:pStyle w:val="12"/>
              <w:jc w:val="center"/>
            </w:pPr>
            <w:r>
              <w:rPr>
                <w:rFonts w:hint="eastAsia"/>
              </w:rPr>
              <w:t>1978</w:t>
            </w:r>
          </w:p>
        </w:tc>
        <w:tc>
          <w:tcPr>
            <w:tcW w:w="679" w:type="pct"/>
            <w:vAlign w:val="center"/>
          </w:tcPr>
          <w:p w14:paraId="20BA68FA">
            <w:pPr>
              <w:pStyle w:val="12"/>
              <w:jc w:val="center"/>
            </w:pPr>
            <w:r>
              <w:rPr>
                <w:rFonts w:hint="eastAsia"/>
              </w:rPr>
              <w:t>谢崇金</w:t>
            </w:r>
          </w:p>
        </w:tc>
        <w:tc>
          <w:tcPr>
            <w:tcW w:w="988" w:type="pct"/>
            <w:vAlign w:val="center"/>
          </w:tcPr>
          <w:p w14:paraId="0A7EF161">
            <w:pPr>
              <w:pStyle w:val="12"/>
              <w:jc w:val="center"/>
            </w:pPr>
            <w:r>
              <w:rPr>
                <w:rFonts w:hint="eastAsia"/>
              </w:rPr>
              <w:t>省五届运动会</w:t>
            </w:r>
          </w:p>
        </w:tc>
        <w:tc>
          <w:tcPr>
            <w:tcW w:w="834" w:type="pct"/>
            <w:vAlign w:val="center"/>
          </w:tcPr>
          <w:p w14:paraId="121A2ED5">
            <w:pPr>
              <w:pStyle w:val="12"/>
              <w:jc w:val="center"/>
            </w:pPr>
            <w:r>
              <w:rPr>
                <w:rFonts w:hint="eastAsia"/>
              </w:rPr>
              <w:t>广州</w:t>
            </w:r>
          </w:p>
        </w:tc>
        <w:tc>
          <w:tcPr>
            <w:tcW w:w="834" w:type="pct"/>
            <w:vAlign w:val="center"/>
          </w:tcPr>
          <w:p w14:paraId="2D541164">
            <w:pPr>
              <w:pStyle w:val="12"/>
              <w:jc w:val="center"/>
            </w:pPr>
            <w:r>
              <w:rPr>
                <w:rFonts w:hint="eastAsia"/>
              </w:rPr>
              <w:t>5000米跑</w:t>
            </w:r>
          </w:p>
        </w:tc>
        <w:tc>
          <w:tcPr>
            <w:tcW w:w="834" w:type="pct"/>
            <w:vAlign w:val="center"/>
          </w:tcPr>
          <w:p w14:paraId="0A62E3E0">
            <w:pPr>
              <w:pStyle w:val="12"/>
              <w:jc w:val="center"/>
            </w:pPr>
            <w:r>
              <w:rPr>
                <w:rFonts w:hint="eastAsia"/>
              </w:rPr>
              <w:t>15分48秒8</w:t>
            </w:r>
          </w:p>
        </w:tc>
      </w:tr>
      <w:tr w14:paraId="2441FB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3A8EF6DD">
            <w:pPr>
              <w:pStyle w:val="12"/>
              <w:jc w:val="center"/>
            </w:pPr>
            <w:r>
              <w:rPr>
                <w:rFonts w:hint="eastAsia"/>
              </w:rPr>
              <w:t>1978</w:t>
            </w:r>
          </w:p>
        </w:tc>
        <w:tc>
          <w:tcPr>
            <w:tcW w:w="679" w:type="pct"/>
            <w:vAlign w:val="center"/>
          </w:tcPr>
          <w:p w14:paraId="0A7E8A65">
            <w:pPr>
              <w:pStyle w:val="12"/>
              <w:jc w:val="center"/>
            </w:pPr>
            <w:r>
              <w:rPr>
                <w:rFonts w:hint="eastAsia"/>
              </w:rPr>
              <w:t>谢崇金</w:t>
            </w:r>
          </w:p>
        </w:tc>
        <w:tc>
          <w:tcPr>
            <w:tcW w:w="988" w:type="pct"/>
            <w:vAlign w:val="center"/>
          </w:tcPr>
          <w:p w14:paraId="67E84380">
            <w:pPr>
              <w:pStyle w:val="12"/>
              <w:jc w:val="center"/>
            </w:pPr>
            <w:r>
              <w:rPr>
                <w:rFonts w:hint="eastAsia"/>
              </w:rPr>
              <w:t>省五届运动会</w:t>
            </w:r>
          </w:p>
        </w:tc>
        <w:tc>
          <w:tcPr>
            <w:tcW w:w="834" w:type="pct"/>
            <w:vAlign w:val="center"/>
          </w:tcPr>
          <w:p w14:paraId="376EE511">
            <w:pPr>
              <w:pStyle w:val="12"/>
              <w:jc w:val="center"/>
            </w:pPr>
            <w:r>
              <w:rPr>
                <w:rFonts w:hint="eastAsia"/>
              </w:rPr>
              <w:t>广州</w:t>
            </w:r>
          </w:p>
        </w:tc>
        <w:tc>
          <w:tcPr>
            <w:tcW w:w="834" w:type="pct"/>
            <w:vAlign w:val="center"/>
          </w:tcPr>
          <w:p w14:paraId="41A8C3A1">
            <w:pPr>
              <w:pStyle w:val="12"/>
              <w:jc w:val="center"/>
            </w:pPr>
            <w:r>
              <w:rPr>
                <w:rFonts w:hint="eastAsia"/>
              </w:rPr>
              <w:t>10000米跑</w:t>
            </w:r>
          </w:p>
        </w:tc>
        <w:tc>
          <w:tcPr>
            <w:tcW w:w="834" w:type="pct"/>
            <w:vAlign w:val="center"/>
          </w:tcPr>
          <w:p w14:paraId="355B11E9">
            <w:pPr>
              <w:pStyle w:val="12"/>
              <w:jc w:val="center"/>
            </w:pPr>
            <w:r>
              <w:rPr>
                <w:rFonts w:hint="eastAsia"/>
              </w:rPr>
              <w:t>33分18秒4</w:t>
            </w:r>
          </w:p>
        </w:tc>
      </w:tr>
      <w:tr w14:paraId="788BC1D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0344A356">
            <w:pPr>
              <w:pStyle w:val="12"/>
              <w:jc w:val="center"/>
            </w:pPr>
            <w:r>
              <w:rPr>
                <w:rFonts w:hint="eastAsia"/>
              </w:rPr>
              <w:t>1978</w:t>
            </w:r>
          </w:p>
        </w:tc>
        <w:tc>
          <w:tcPr>
            <w:tcW w:w="679" w:type="pct"/>
            <w:vAlign w:val="center"/>
          </w:tcPr>
          <w:p w14:paraId="470AEF20">
            <w:pPr>
              <w:pStyle w:val="12"/>
              <w:jc w:val="center"/>
            </w:pPr>
            <w:r>
              <w:rPr>
                <w:rFonts w:hint="eastAsia"/>
              </w:rPr>
              <w:t>卢德英</w:t>
            </w:r>
          </w:p>
        </w:tc>
        <w:tc>
          <w:tcPr>
            <w:tcW w:w="988" w:type="pct"/>
            <w:vAlign w:val="center"/>
          </w:tcPr>
          <w:p w14:paraId="12E8B759">
            <w:pPr>
              <w:pStyle w:val="12"/>
              <w:jc w:val="center"/>
            </w:pPr>
            <w:r>
              <w:rPr>
                <w:rFonts w:hint="eastAsia"/>
              </w:rPr>
              <w:t>省少年田径运动会</w:t>
            </w:r>
          </w:p>
        </w:tc>
        <w:tc>
          <w:tcPr>
            <w:tcW w:w="834" w:type="pct"/>
            <w:vAlign w:val="center"/>
          </w:tcPr>
          <w:p w14:paraId="2508A506">
            <w:pPr>
              <w:pStyle w:val="12"/>
              <w:jc w:val="center"/>
            </w:pPr>
            <w:r>
              <w:rPr>
                <w:rFonts w:hint="eastAsia"/>
              </w:rPr>
              <w:t>佛山</w:t>
            </w:r>
          </w:p>
        </w:tc>
        <w:tc>
          <w:tcPr>
            <w:tcW w:w="834" w:type="pct"/>
            <w:vAlign w:val="center"/>
          </w:tcPr>
          <w:p w14:paraId="3F3486A4">
            <w:pPr>
              <w:pStyle w:val="12"/>
              <w:jc w:val="center"/>
            </w:pPr>
            <w:r>
              <w:rPr>
                <w:rFonts w:hint="eastAsia"/>
              </w:rPr>
              <w:t>400米跑</w:t>
            </w:r>
          </w:p>
        </w:tc>
        <w:tc>
          <w:tcPr>
            <w:tcW w:w="834" w:type="pct"/>
            <w:vAlign w:val="center"/>
          </w:tcPr>
          <w:p w14:paraId="51EEAA82">
            <w:pPr>
              <w:pStyle w:val="12"/>
              <w:jc w:val="center"/>
            </w:pPr>
            <w:r>
              <w:rPr>
                <w:rFonts w:hint="eastAsia"/>
              </w:rPr>
              <w:t>1分0秒8</w:t>
            </w:r>
          </w:p>
        </w:tc>
      </w:tr>
      <w:tr w14:paraId="253143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44481D0A">
            <w:pPr>
              <w:pStyle w:val="12"/>
              <w:jc w:val="center"/>
            </w:pPr>
            <w:r>
              <w:rPr>
                <w:rFonts w:hint="eastAsia"/>
              </w:rPr>
              <w:t>1979</w:t>
            </w:r>
          </w:p>
        </w:tc>
        <w:tc>
          <w:tcPr>
            <w:tcW w:w="679" w:type="pct"/>
            <w:vAlign w:val="center"/>
          </w:tcPr>
          <w:p w14:paraId="7177CB4A">
            <w:pPr>
              <w:pStyle w:val="12"/>
              <w:jc w:val="center"/>
            </w:pPr>
            <w:r>
              <w:rPr>
                <w:rFonts w:hint="eastAsia"/>
              </w:rPr>
              <w:t>钟义林</w:t>
            </w:r>
          </w:p>
        </w:tc>
        <w:tc>
          <w:tcPr>
            <w:tcW w:w="988" w:type="pct"/>
            <w:vAlign w:val="center"/>
          </w:tcPr>
          <w:p w14:paraId="260B8A23">
            <w:pPr>
              <w:pStyle w:val="12"/>
              <w:jc w:val="center"/>
            </w:pPr>
            <w:r>
              <w:rPr>
                <w:rFonts w:hint="eastAsia"/>
              </w:rPr>
              <w:t>省少年田径赛</w:t>
            </w:r>
          </w:p>
        </w:tc>
        <w:tc>
          <w:tcPr>
            <w:tcW w:w="834" w:type="pct"/>
            <w:vAlign w:val="center"/>
          </w:tcPr>
          <w:p w14:paraId="05D16454">
            <w:pPr>
              <w:pStyle w:val="12"/>
              <w:jc w:val="center"/>
            </w:pPr>
            <w:r>
              <w:rPr>
                <w:rFonts w:hint="eastAsia"/>
              </w:rPr>
              <w:t>连县</w:t>
            </w:r>
          </w:p>
        </w:tc>
        <w:tc>
          <w:tcPr>
            <w:tcW w:w="834" w:type="pct"/>
            <w:vAlign w:val="center"/>
          </w:tcPr>
          <w:p w14:paraId="45ECC6CB">
            <w:pPr>
              <w:pStyle w:val="12"/>
              <w:jc w:val="center"/>
            </w:pPr>
            <w:r>
              <w:rPr>
                <w:rFonts w:hint="eastAsia"/>
              </w:rPr>
              <w:t>铅球</w:t>
            </w:r>
          </w:p>
        </w:tc>
        <w:tc>
          <w:tcPr>
            <w:tcW w:w="834" w:type="pct"/>
            <w:vAlign w:val="center"/>
          </w:tcPr>
          <w:p w14:paraId="220B5AA5">
            <w:pPr>
              <w:pStyle w:val="12"/>
              <w:jc w:val="center"/>
            </w:pPr>
            <w:r>
              <w:rPr>
                <w:rFonts w:hint="eastAsia"/>
              </w:rPr>
              <w:t>13.5米</w:t>
            </w:r>
          </w:p>
        </w:tc>
      </w:tr>
      <w:tr w14:paraId="1A38A90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34445511">
            <w:pPr>
              <w:pStyle w:val="12"/>
              <w:jc w:val="center"/>
            </w:pPr>
            <w:r>
              <w:rPr>
                <w:rFonts w:hint="eastAsia"/>
              </w:rPr>
              <w:t>1986</w:t>
            </w:r>
          </w:p>
        </w:tc>
        <w:tc>
          <w:tcPr>
            <w:tcW w:w="679" w:type="pct"/>
            <w:vAlign w:val="center"/>
          </w:tcPr>
          <w:p w14:paraId="64E7F98C">
            <w:pPr>
              <w:pStyle w:val="12"/>
              <w:jc w:val="center"/>
            </w:pPr>
            <w:r>
              <w:rPr>
                <w:rFonts w:hint="eastAsia"/>
              </w:rPr>
              <w:t>叶忠伟</w:t>
            </w:r>
          </w:p>
        </w:tc>
        <w:tc>
          <w:tcPr>
            <w:tcW w:w="988" w:type="pct"/>
            <w:vAlign w:val="center"/>
          </w:tcPr>
          <w:p w14:paraId="73661827">
            <w:pPr>
              <w:pStyle w:val="12"/>
              <w:jc w:val="center"/>
            </w:pPr>
            <w:r>
              <w:rPr>
                <w:rFonts w:hint="eastAsia"/>
              </w:rPr>
              <w:t>省六届全运会</w:t>
            </w:r>
          </w:p>
        </w:tc>
        <w:tc>
          <w:tcPr>
            <w:tcW w:w="834" w:type="pct"/>
            <w:vAlign w:val="center"/>
          </w:tcPr>
          <w:p w14:paraId="444EFDBC">
            <w:pPr>
              <w:pStyle w:val="12"/>
              <w:jc w:val="center"/>
            </w:pPr>
            <w:r>
              <w:rPr>
                <w:rFonts w:hint="eastAsia"/>
              </w:rPr>
              <w:t>佛山</w:t>
            </w:r>
          </w:p>
        </w:tc>
        <w:tc>
          <w:tcPr>
            <w:tcW w:w="834" w:type="pct"/>
            <w:vAlign w:val="center"/>
          </w:tcPr>
          <w:p w14:paraId="2B7E29B1">
            <w:pPr>
              <w:pStyle w:val="12"/>
              <w:jc w:val="center"/>
            </w:pPr>
            <w:r>
              <w:rPr>
                <w:rFonts w:hint="eastAsia"/>
              </w:rPr>
              <w:t>400米跑</w:t>
            </w:r>
          </w:p>
        </w:tc>
        <w:tc>
          <w:tcPr>
            <w:tcW w:w="834" w:type="pct"/>
            <w:vAlign w:val="center"/>
          </w:tcPr>
          <w:p w14:paraId="60EB5C53">
            <w:pPr>
              <w:pStyle w:val="12"/>
              <w:jc w:val="center"/>
            </w:pPr>
            <w:r>
              <w:rPr>
                <w:rFonts w:hint="eastAsia"/>
              </w:rPr>
              <w:t>51秒1</w:t>
            </w:r>
          </w:p>
        </w:tc>
      </w:tr>
    </w:tbl>
    <w:p w14:paraId="32835942">
      <w:pPr>
        <w:pStyle w:val="4"/>
        <w:rPr>
          <w:rFonts w:ascii="宋体" w:hAnsi="宋体" w:cs="宋体"/>
        </w:rPr>
      </w:pPr>
      <w:r>
        <w:rPr>
          <w:rFonts w:hint="eastAsia" w:ascii="宋体" w:hAnsi="宋体" w:cs="宋体"/>
        </w:rPr>
        <w:t>第五节  体育产业</w:t>
      </w:r>
    </w:p>
    <w:p w14:paraId="4B0DF023">
      <w:pPr>
        <w:ind w:firstLine="420"/>
        <w:rPr>
          <w:rFonts w:ascii="宋体" w:hAnsi="宋体" w:cs="宋体"/>
        </w:rPr>
      </w:pPr>
      <w:r>
        <w:rPr>
          <w:rFonts w:hint="eastAsia" w:ascii="宋体" w:hAnsi="宋体" w:cs="宋体"/>
        </w:rPr>
        <w:t>1996年以来民办体育产业逐步兴起。至2004年，个人投资兴办的乒乓球俱乐部3个，网球中心1个，保龄球馆1个，健美中心1个，溜冰场2个，台球室3个，总投资人民币300多万元。</w:t>
      </w:r>
    </w:p>
    <w:p w14:paraId="1C71B779">
      <w:pPr>
        <w:ind w:firstLine="420"/>
        <w:rPr>
          <w:rFonts w:ascii="宋体" w:hAnsi="宋体" w:cs="宋体"/>
        </w:rPr>
      </w:pPr>
      <w:r>
        <w:rPr>
          <w:rFonts w:hint="eastAsia" w:ascii="宋体" w:hAnsi="宋体" w:cs="宋体"/>
        </w:rPr>
        <w:t>体育彩票销售网点，从1994年开办，至2005年已发展到17间，销售总额1300多万元。2003年至2005年被韶关市体彩中心评为销售一等奖。1994年至2005年，体育彩票公益金收入达73万多元，用于补充体育经费60多万元。</w:t>
      </w:r>
    </w:p>
    <w:p w14:paraId="60AFC092">
      <w:pPr>
        <w:pStyle w:val="3"/>
        <w:rPr>
          <w:rFonts w:ascii="宋体" w:hAnsi="宋体" w:cs="宋体"/>
        </w:rPr>
      </w:pPr>
      <w:r>
        <w:rPr>
          <w:rFonts w:hint="eastAsia" w:ascii="宋体" w:hAnsi="宋体" w:cs="宋体"/>
        </w:rPr>
        <w:t>第五章  文化艺术</w:t>
      </w:r>
    </w:p>
    <w:p w14:paraId="389BBE1D">
      <w:pPr>
        <w:ind w:firstLine="420"/>
        <w:rPr>
          <w:rFonts w:ascii="宋体" w:hAnsi="宋体" w:cs="宋体"/>
        </w:rPr>
      </w:pPr>
      <w:r>
        <w:rPr>
          <w:rFonts w:hint="eastAsia" w:ascii="宋体" w:hAnsi="宋体" w:cs="宋体"/>
        </w:rPr>
        <w:t>南雄是古代中原人民南徙驻足之地，接受中原文化较早。南粤雄关、庾岭寒梅、灵岩瀑布、凌江秋月、阴晴塔影等名胜，吸引仕宦文人，留下不朽篇章，采集起来的古诗词1000多首。戏剧曲艺受赣南、湘南影响，流行采茶戏、祁剧。舞狮舞龙、扮故事、茶花灯、马灯、推车灯、龙船歌、舁茅船、莲花曲等民间艺术，颇具南雄特色。国内革命战争时期，红色文艺战士活跃在粤赣边区，陈毅的《梅岭三章》至今脍炙人口。</w:t>
      </w:r>
    </w:p>
    <w:p w14:paraId="77432D87">
      <w:pPr>
        <w:ind w:firstLine="420"/>
        <w:rPr>
          <w:rFonts w:ascii="宋体" w:hAnsi="宋体" w:cs="宋体"/>
        </w:rPr>
      </w:pPr>
      <w:r>
        <w:rPr>
          <w:rFonts w:hint="eastAsia" w:ascii="宋体" w:hAnsi="宋体" w:cs="宋体"/>
        </w:rPr>
        <w:t>新中国成立后，南雄的文化艺术继承和发扬历代文化精华，誉为南雄“三古”名胜的梅关古道、珠玑古巷、三影古塔已修葺复原，现代文化设施日趋完善，县城建有博物馆、图书馆、体育馆、文化馆、电视台、电影院、剧院、儿童乐园，文艺团体日益活跃，戏剧、文学、书法、摄影各协会活动频繁，为南雄社会主义精神文明建设作出了新的贡献。</w:t>
      </w:r>
    </w:p>
    <w:p w14:paraId="45976078">
      <w:pPr>
        <w:pStyle w:val="4"/>
        <w:rPr>
          <w:rFonts w:ascii="宋体" w:hAnsi="宋体" w:cs="宋体"/>
        </w:rPr>
      </w:pPr>
      <w:r>
        <w:rPr>
          <w:rFonts w:hint="eastAsia" w:ascii="宋体" w:hAnsi="宋体" w:cs="宋体"/>
        </w:rPr>
        <w:t>第一节  戏剧曲艺</w:t>
      </w:r>
    </w:p>
    <w:p w14:paraId="67A31B84">
      <w:pPr>
        <w:pStyle w:val="5"/>
        <w:rPr>
          <w:rFonts w:ascii="宋体" w:hAnsi="宋体" w:cs="宋体"/>
        </w:rPr>
      </w:pPr>
      <w:r>
        <w:rPr>
          <w:rFonts w:hint="eastAsia" w:ascii="宋体" w:hAnsi="宋体" w:cs="宋体"/>
        </w:rPr>
        <w:t>一、采茶戏</w:t>
      </w:r>
    </w:p>
    <w:p w14:paraId="0CC8642E">
      <w:pPr>
        <w:ind w:firstLine="420"/>
        <w:rPr>
          <w:rFonts w:ascii="宋体" w:hAnsi="宋体" w:cs="宋体"/>
        </w:rPr>
      </w:pPr>
      <w:r>
        <w:rPr>
          <w:rFonts w:hint="eastAsia" w:ascii="宋体" w:hAnsi="宋体" w:cs="宋体"/>
        </w:rPr>
        <w:t>采茶戏约在清乾隆年间，由南康、信丰和龙南等地传入南雄，音乐唱腔由赣南采茶灯及南雄民间音乐组成，初期戏中角色较少，生、旦、丑三行当任演员，配上胡琴一把，锣鼓一面，五人组成，便可表演。采茶戏在表演艺术上运用打扇花，即男、女的右手均拿彩绸扇，作为道具，运用扇子高、低、左、右、前、后、正、反等不同位置来表演动作。舞台表演运用矮步步法。矮步是根据劳动群众在劳动中的上山、下山及摘茶动作（群众戏称为“虾公背”、“老蟹步”）演变运用于舞台表演。在老艺人中，流传着“相公背伞”、“懒人担扇”、“乌鸦下翼”、“乌云盖月”、“美人照镜”、“凤凰装美”、“狮子滚球”、“乌鸦戏水”等传统动作。唱腔穿插三字腔：“哎咳哟”、“哪呵咳”、“衣嘟（呀嘟）喂”、“衣（呀衣）子哟”、“哩”等，一般出现在乐句或唱腔的结尾处，并带有下滑音，表演以地方语言为主。</w:t>
      </w:r>
    </w:p>
    <w:p w14:paraId="3E9E53FE">
      <w:pPr>
        <w:ind w:firstLine="420"/>
        <w:rPr>
          <w:rFonts w:ascii="宋体" w:hAnsi="宋体" w:cs="宋体"/>
        </w:rPr>
      </w:pPr>
      <w:r>
        <w:rPr>
          <w:rFonts w:hint="eastAsia" w:ascii="宋体" w:hAnsi="宋体" w:cs="宋体"/>
        </w:rPr>
        <w:t>民国时期，南雄采茶戏因夹杂一些淫秽的节目和动作，被称为“淫戏”，县城只许在“万里一清”牌坊前一小空坪演出，以后逐步允许在上武庙（今八一小学）演出。农村祠堂及圩场戏台一般不允许演出，常在晒谷场演出。演出单位大多来自赣南各县演剧队，戏班人员全部由男性组成。</w:t>
      </w:r>
    </w:p>
    <w:p w14:paraId="144AC3C9">
      <w:pPr>
        <w:ind w:firstLine="420"/>
        <w:rPr>
          <w:rFonts w:ascii="宋体" w:hAnsi="宋体" w:cs="宋体"/>
        </w:rPr>
      </w:pPr>
      <w:r>
        <w:rPr>
          <w:rFonts w:hint="eastAsia" w:ascii="宋体" w:hAnsi="宋体" w:cs="宋体"/>
        </w:rPr>
        <w:t>新中国成立初期，乡镇业余剧团演出的采茶戏有《睄妹子》、《钓</w:t>
      </w:r>
      <w:r>
        <w:rPr>
          <w:rFonts w:hint="eastAsia" w:ascii="SimSun-ExtB" w:hAnsi="SimSun-ExtB" w:eastAsia="SimSun-ExtB" w:cs="SimSun-ExtB"/>
        </w:rPr>
        <w:t>𧊅</w:t>
      </w:r>
      <w:r>
        <w:rPr>
          <w:rFonts w:hint="eastAsia" w:ascii="宋体" w:hAnsi="宋体" w:cs="宋体"/>
        </w:rPr>
        <w:t>》、《双双配》、《补皮鞋》、《补瓷缸》等传统剧目。1957年，城关镇宣传队《睄妹子》参加省业余文艺会演获优秀奖。1955年元旦，南雄举行第一次民间艺术大汇演。1958年7月1日，南雄采茶剧团成立，先后整理、移植、创作上演《赛龙舟》、《打鸟》、《补皮鞋》、《白蛇传》、《梁山伯与祝英台》、《山乡风云》、《社长的女儿》、《一心向社》、《霓虹灯下的哨兵》、《春嫂》、《称心花》、《田老汉卖牛》、《越看越爱看》、《婚礼惊变》、《媒婆嫁女》、《风雨珠玑情》、《拉靠山》等200多个古代现代剧目。《越看越爱看》（作者朱淑贞，助理馆员）1976年参加省业余文艺会演，获优秀奖。《称心花》（作者华运杰，中级编导；刘卫东，导演；衷玉华，助理馆员）1981年参加省文艺专业会演，获创作、演出二等奖。《追车记》（执导朱淑贞）1999年获广东省第三届群众戏剧花会金奖。2001年又获全国第十一届“群星奖”金奖，并选送进北京展演。《拉靠山》2002年12月参加广东省第四届群众戏剧花会调演获银奖和组织奖，廖跃梅获优秀演员奖，李光利获作品银奖。</w:t>
      </w:r>
    </w:p>
    <w:p w14:paraId="452A6FEC">
      <w:pPr>
        <w:pStyle w:val="5"/>
        <w:rPr>
          <w:rFonts w:ascii="宋体" w:hAnsi="宋体" w:cs="宋体"/>
        </w:rPr>
      </w:pPr>
      <w:r>
        <w:rPr>
          <w:rFonts w:hint="eastAsia" w:ascii="宋体" w:hAnsi="宋体" w:cs="宋体"/>
        </w:rPr>
        <w:t>二、祁剧</w:t>
      </w:r>
    </w:p>
    <w:p w14:paraId="449613BF">
      <w:pPr>
        <w:ind w:firstLine="420"/>
        <w:rPr>
          <w:rFonts w:ascii="宋体" w:hAnsi="宋体" w:cs="宋体"/>
        </w:rPr>
      </w:pPr>
      <w:r>
        <w:rPr>
          <w:rFonts w:hint="eastAsia" w:ascii="宋体" w:hAnsi="宋体" w:cs="宋体"/>
        </w:rPr>
        <w:t>祁剧也叫祁阳戏、湖南班，在南雄农村流行甚广，特别是湖口、黄坑、乌迳、大塘、界址一带的乡民更为喜爱。在乌迳、邓坊、南亩等乡镇的村场老舞台上还能发现一些湖南班于嘉庆、咸丰、光绪年间演出时的刻记。祁阳戏初期演出时仅2～3人，后发展到上10人，有生、旦、净、丑、末、副净、副末、老旦、贴、占等。初期唱腔是高腔、昆腔，清朝时才有弹腔。传统剧目2200多个，绝大部分是弹腔。</w:t>
      </w:r>
    </w:p>
    <w:p w14:paraId="3152384C">
      <w:pPr>
        <w:ind w:firstLine="420"/>
        <w:rPr>
          <w:rFonts w:ascii="宋体" w:hAnsi="宋体" w:cs="宋体"/>
        </w:rPr>
      </w:pPr>
      <w:r>
        <w:rPr>
          <w:rFonts w:hint="eastAsia" w:ascii="宋体" w:hAnsi="宋体" w:cs="宋体"/>
        </w:rPr>
        <w:t>民国时期，南雄祁剧演出单位多属湖南戏班，三庆台、同庆台、长武台等戏班经常长驻南雄演出。演出节目有《贵枝写状》、《二度梅》、《昭君和番》、《白蛇传》、《山伯访友》、《杨家将》、《困邦逼霸》等传统戏剧。群众喜爱的补剧演员有花中喜、花中魁、唐有翠、徐良洪、李汉柏等。</w:t>
      </w:r>
    </w:p>
    <w:p w14:paraId="68C445B8">
      <w:pPr>
        <w:ind w:firstLine="420"/>
        <w:rPr>
          <w:rFonts w:ascii="宋体" w:hAnsi="宋体" w:cs="宋体"/>
        </w:rPr>
      </w:pPr>
      <w:r>
        <w:rPr>
          <w:rFonts w:hint="eastAsia" w:ascii="宋体" w:hAnsi="宋体" w:cs="宋体"/>
        </w:rPr>
        <w:t>1961年9月建立南雄祁剧团，从广西、湖南、江西聘请艺人，从南雄县文体学校挑选学员组成，全团共30多人，一边学练，一边演出。以演古装戏为主，传统剧目有《拾玉镯》、《孟良搬兵》、《三气周瑜》、《封神榜》（连台戏）等剧目。新节目有《社长的女儿》、《洪湖赤卫队》、《两个女红军》等。1964年，因经费困难，并入南雄采茶剧团。此后祁剧停演。</w:t>
      </w:r>
    </w:p>
    <w:p w14:paraId="2A446BA7">
      <w:pPr>
        <w:pStyle w:val="5"/>
        <w:rPr>
          <w:rFonts w:ascii="宋体" w:hAnsi="宋体" w:cs="宋体"/>
        </w:rPr>
      </w:pPr>
      <w:r>
        <w:rPr>
          <w:rFonts w:hint="eastAsia" w:ascii="宋体" w:hAnsi="宋体" w:cs="宋体"/>
        </w:rPr>
        <w:t>三、民间曲艺</w:t>
      </w:r>
    </w:p>
    <w:p w14:paraId="6B7EE4A1">
      <w:pPr>
        <w:ind w:firstLine="422"/>
        <w:rPr>
          <w:rFonts w:ascii="宋体" w:hAnsi="宋体" w:cs="宋体"/>
          <w:b/>
          <w:bCs/>
        </w:rPr>
      </w:pPr>
      <w:r>
        <w:rPr>
          <w:rFonts w:hint="eastAsia" w:ascii="宋体" w:hAnsi="宋体" w:cs="宋体"/>
          <w:b/>
          <w:bCs/>
        </w:rPr>
        <w:t>（一）舞龙舞狮</w:t>
      </w:r>
    </w:p>
    <w:p w14:paraId="2DAF7D3D">
      <w:pPr>
        <w:ind w:firstLine="420"/>
        <w:rPr>
          <w:rFonts w:ascii="宋体" w:hAnsi="宋体" w:cs="宋体"/>
        </w:rPr>
      </w:pPr>
      <w:r>
        <w:rPr>
          <w:rFonts w:hint="eastAsia" w:ascii="宋体" w:hAnsi="宋体" w:cs="宋体"/>
        </w:rPr>
        <w:t>南雄舞龙有瑞龙（龙灯）、香火龙、双香火龙、黄龙、游龙、双龙、五节龙等，最有特色的是雄州镇宾阳门的瑞龙，龙身分成十余节，以竹节扎成，裱上透明油纸，敷以彩绘，由十多位赤膊壮汉舞动，伴以鼓乐、花灯、火斗。表演时，龙在硝烟焰火下狂舞，场面壮观、热烈。百顺一带的“双香火龙”，龙身用稻草扎成，插上香火，由表演者双手持把，在夜幕中表演各种动作，点点香火构成的龙身，时而上，时而下，迅捷异常，动作流畅，形态逼真。“双龙夺珠”节目尤为引人入胜。</w:t>
      </w:r>
    </w:p>
    <w:p w14:paraId="2221212E">
      <w:pPr>
        <w:ind w:firstLine="420"/>
        <w:rPr>
          <w:rFonts w:ascii="宋体" w:hAnsi="宋体" w:cs="宋体"/>
        </w:rPr>
      </w:pPr>
      <w:r>
        <w:rPr>
          <w:rFonts w:hint="eastAsia" w:ascii="宋体" w:hAnsi="宋体" w:cs="宋体"/>
        </w:rPr>
        <w:t>舞狮多在春节时表演。狮有青草狮、鸳鸯狮、磨地狮、九角狮、香火狮、广狮、南雄狮、高脚狮等，舞有单狮舞、双狮舞。最有特色的是湖口镇洋汾村的磨地狮，以双狮为队，灵巧活泼，较多采用矮步、蹲步，舞姿精彩，气氛热烈，动作敏捷，步法矫健，不时低头亲吻大地，表达劳动人民热爱土地，希望丰收太平的愿望。珠玑镇洋湖村卢屋的青草狮，由八人联舞，一人舞绣球，以协调的动作，在鼓乐指挥下，表演狮子的各种动作，有“参拜”、“谢拜”、“走谢”等具有特色的表演。南雄舞狮受江西的“手摇狮”、“板凳狮”，安徽的“青狮”，湖南的“武打狮”和广东的“醒狮”影响，集各地之大成并有所发展。舞龙舞狮多与武术相结合，新中国成立前县城有三师团习武社，由武术师组成狮队，每逢较盛大节日均出来献艺讨彩。</w:t>
      </w:r>
    </w:p>
    <w:p w14:paraId="304B9A55">
      <w:pPr>
        <w:ind w:firstLine="422"/>
        <w:rPr>
          <w:rFonts w:ascii="宋体" w:hAnsi="宋体" w:cs="宋体"/>
          <w:b/>
          <w:bCs/>
        </w:rPr>
      </w:pPr>
      <w:r>
        <w:rPr>
          <w:rFonts w:hint="eastAsia" w:ascii="宋体" w:hAnsi="宋体" w:cs="宋体"/>
          <w:b/>
          <w:bCs/>
        </w:rPr>
        <w:t>（二）八音锣鼓</w:t>
      </w:r>
    </w:p>
    <w:p w14:paraId="65E636AF">
      <w:pPr>
        <w:ind w:firstLine="420"/>
        <w:rPr>
          <w:rFonts w:ascii="宋体" w:hAnsi="宋体" w:cs="宋体"/>
        </w:rPr>
      </w:pPr>
      <w:r>
        <w:rPr>
          <w:rFonts w:hint="eastAsia" w:ascii="宋体" w:hAnsi="宋体" w:cs="宋体"/>
        </w:rPr>
        <w:t>清代由湖南传入。民间办喜事，都喜欢请“八音班”来吹奏。较有代表性的是珠玑镇洋湖村八音锣鼓，多在农历五月初三至初五伴随“茅船”唱奏珠玑龙船歌，挨家挨户串游逗乐。界址镇水口村的八音班则常与“马灯”结合表演。</w:t>
      </w:r>
    </w:p>
    <w:p w14:paraId="452FB278">
      <w:pPr>
        <w:ind w:firstLine="420"/>
        <w:rPr>
          <w:rFonts w:ascii="宋体" w:hAnsi="宋体" w:cs="宋体"/>
        </w:rPr>
      </w:pPr>
      <w:r>
        <w:rPr>
          <w:rFonts w:hint="eastAsia" w:ascii="宋体" w:hAnsi="宋体" w:cs="宋体"/>
        </w:rPr>
        <w:t>八音锣鼓由唢呐、笛子、宋胡、三弦、班鼓、大锣、小锣、铙钹等组成。可以演奏多种不同节奏的乐曲，以欢快的曲调为主。</w:t>
      </w:r>
    </w:p>
    <w:p w14:paraId="3BB835CA">
      <w:pPr>
        <w:ind w:firstLine="422"/>
        <w:rPr>
          <w:rFonts w:ascii="宋体" w:hAnsi="宋体" w:cs="宋体"/>
          <w:b/>
          <w:bCs/>
        </w:rPr>
      </w:pPr>
      <w:r>
        <w:rPr>
          <w:rFonts w:hint="eastAsia" w:ascii="宋体" w:hAnsi="宋体" w:cs="宋体"/>
          <w:b/>
          <w:bCs/>
        </w:rPr>
        <w:t>（三）花灯</w:t>
      </w:r>
    </w:p>
    <w:p w14:paraId="5206A291">
      <w:pPr>
        <w:ind w:firstLine="420"/>
        <w:rPr>
          <w:rFonts w:ascii="宋体" w:hAnsi="宋体" w:cs="宋体"/>
        </w:rPr>
      </w:pPr>
      <w:r>
        <w:rPr>
          <w:rFonts w:hint="eastAsia" w:ascii="宋体" w:hAnsi="宋体" w:cs="宋体"/>
        </w:rPr>
        <w:t>茶花灯。约在清康熙年间由南亩乡官田里溪村卢正万公传艺下来，历代继承不衰。舞蹈演唱由5人组成，分别迎龙头，提花灯，龙头凤尾中锂鱼（龙、风、锂是汉族人民表示吉祥美好的图腾），动作与舞龙略同，有乐器和锣鼓伴奏。演唱有《读书歌》、《摘茶歌》、《绣香包歌》。出出行时唱《出门歌》，表演结束时唱《谢茶歌》。还演唱采茶戏文，如《补皮鞋》、《卖丝线》、《卖杂货》、《钓》等。</w:t>
      </w:r>
    </w:p>
    <w:p w14:paraId="771E7C7C">
      <w:pPr>
        <w:ind w:firstLine="420"/>
        <w:rPr>
          <w:rFonts w:ascii="宋体" w:hAnsi="宋体" w:cs="宋体"/>
        </w:rPr>
      </w:pPr>
      <w:r>
        <w:rPr>
          <w:rFonts w:hint="eastAsia" w:ascii="宋体" w:hAnsi="宋体" w:cs="宋体"/>
        </w:rPr>
        <w:t>推车灯。清光绪年间由江西全南传入江头乡武岭新屋村，抗日战争时期及新中国成立前夕流行于南山山区。新中国成立后，在春节期间由乡村艺人自行组织到山乡演出，深受群众欢迎。推车灯的人物，有一男丑角提鲤鱼灯，六个花旦提六角花灯，后有两架花车由两个“小老头”推着，内坐二个花旦，一个舞彩绸扇和彩帕，另一个轻轻打着花鼓伴唱，曲调有《十二月花》、《祝英台歌》、《倒木歌》、《石榴歌》、《恩情歌》等。</w:t>
      </w:r>
    </w:p>
    <w:p w14:paraId="14ABAB28">
      <w:pPr>
        <w:ind w:firstLine="420"/>
        <w:rPr>
          <w:rFonts w:ascii="宋体" w:hAnsi="宋体" w:cs="宋体"/>
        </w:rPr>
      </w:pPr>
      <w:r>
        <w:rPr>
          <w:rFonts w:hint="eastAsia" w:ascii="宋体" w:hAnsi="宋体" w:cs="宋体"/>
        </w:rPr>
        <w:t>马灯。有界址马灯和江头马灯，均于民国时期向江西师傅学艺传入。马灯进村要打闹台，用打击乐奏《天官》，后唱《十二月花》，有比较完整的民间歌舞艺术形式。界址马灯有红、黄两匹马，还有两个老翁推车，内坐两个花旦，花旦一手拿花束，一手拿花帕或彩绸扇。演唱载歌载舞，中间夹杂一花面小丑（三花或叫手中宝）。江头马灯有红、黄、白三色马，一男二女演唱。</w:t>
      </w:r>
    </w:p>
    <w:p w14:paraId="3E48058D">
      <w:pPr>
        <w:ind w:firstLine="422"/>
        <w:rPr>
          <w:rFonts w:ascii="宋体" w:hAnsi="宋体" w:cs="宋体"/>
          <w:b/>
          <w:bCs/>
        </w:rPr>
      </w:pPr>
      <w:r>
        <w:rPr>
          <w:rFonts w:hint="eastAsia" w:ascii="宋体" w:hAnsi="宋体" w:cs="宋体"/>
          <w:b/>
          <w:bCs/>
        </w:rPr>
        <w:t>（四）南雄莲花曲</w:t>
      </w:r>
    </w:p>
    <w:p w14:paraId="48C6FCC1">
      <w:pPr>
        <w:ind w:firstLine="420"/>
        <w:rPr>
          <w:rFonts w:ascii="宋体" w:hAnsi="宋体" w:cs="宋体"/>
        </w:rPr>
      </w:pPr>
      <w:r>
        <w:rPr>
          <w:rFonts w:hint="eastAsia" w:ascii="宋体" w:hAnsi="宋体" w:cs="宋体"/>
        </w:rPr>
        <w:t>莲花曲即“莲花落”。“落子”，原为乞丐行乞时演唱，后成曲艺的一种，有专业演员，演唱内容多是民间传说。南雄莲花曲流行于民国初年，黎口乡勋口村月光坪盲人刘五狗与赣州姓蔡的青年搭档，合唱莲花曲讨乞，具有地方特色，诙谐有趣，引人人胜。1957年，城关镇宣传队《打莲花》参加广东省业余民间艺术表演获优秀奖。1955年粤北地区民间艺术汇演，以这一形式歌唱合作化，获一等奖。</w:t>
      </w:r>
    </w:p>
    <w:p w14:paraId="38A5E315">
      <w:pPr>
        <w:ind w:firstLine="422"/>
        <w:rPr>
          <w:rFonts w:ascii="宋体" w:hAnsi="宋体" w:cs="宋体"/>
          <w:b/>
          <w:bCs/>
        </w:rPr>
      </w:pPr>
      <w:r>
        <w:rPr>
          <w:rFonts w:hint="eastAsia" w:ascii="宋体" w:hAnsi="宋体" w:cs="宋体"/>
          <w:b/>
          <w:bCs/>
        </w:rPr>
        <w:t>（五）古文歌</w:t>
      </w:r>
    </w:p>
    <w:p w14:paraId="3BBBF973">
      <w:pPr>
        <w:ind w:firstLine="420"/>
        <w:rPr>
          <w:rFonts w:ascii="宋体" w:hAnsi="宋体" w:cs="宋体"/>
        </w:rPr>
      </w:pPr>
      <w:r>
        <w:rPr>
          <w:rFonts w:hint="eastAsia" w:ascii="宋体" w:hAnsi="宋体" w:cs="宋体"/>
        </w:rPr>
        <w:t>古文歌，也叫故事歌，起源于宋代，是盲人用二胡独拉独唱的一种曲艺形式。新中国成立前，有些盲人以漂游卖唱古文歌谋生。古文歌多是唱历史故事的传本，有《十里亭》、《田华龙》、《卖花姐》、《白袍记》等本子。</w:t>
      </w:r>
    </w:p>
    <w:p w14:paraId="26160E72">
      <w:pPr>
        <w:ind w:firstLine="422"/>
        <w:rPr>
          <w:rFonts w:ascii="宋体" w:hAnsi="宋体" w:cs="宋体"/>
          <w:b/>
          <w:bCs/>
        </w:rPr>
      </w:pPr>
      <w:r>
        <w:rPr>
          <w:rFonts w:hint="eastAsia" w:ascii="宋体" w:hAnsi="宋体" w:cs="宋体"/>
          <w:b/>
          <w:bCs/>
        </w:rPr>
        <w:t>（六）探歌</w:t>
      </w:r>
    </w:p>
    <w:p w14:paraId="19D3AA6D">
      <w:pPr>
        <w:ind w:firstLine="420"/>
        <w:rPr>
          <w:rFonts w:ascii="宋体" w:hAnsi="宋体" w:cs="宋体"/>
        </w:rPr>
      </w:pPr>
      <w:r>
        <w:rPr>
          <w:rFonts w:hint="eastAsia" w:ascii="宋体" w:hAnsi="宋体" w:cs="宋体"/>
        </w:rPr>
        <w:t>探歌又名“哭嫁歌”，是南雄浈江水上人家嫁女时的一种说唱曲艺形式，盛行于清康熙、乾隆年间。水上人家每逢女儿出嫁，要聚集亲邻少女妇妪在家中哭泣，深夜始散，以示不舍之情，寄托嫁后大吉大利，添丁添福，起居平安。后演变到请探歌娘来演唱，一般由二人演唱，配有小锣、小鼓、铙钹等打击乐。探歌有《十二月花》和《嫁女道情》。新中国成立初期，水上人家和部分农村还流行此俗，现已不存。</w:t>
      </w:r>
    </w:p>
    <w:p w14:paraId="35D03D42">
      <w:pPr>
        <w:ind w:firstLine="422"/>
        <w:rPr>
          <w:rFonts w:ascii="宋体" w:hAnsi="宋体" w:cs="宋体"/>
          <w:b/>
          <w:bCs/>
        </w:rPr>
      </w:pPr>
      <w:r>
        <w:rPr>
          <w:rFonts w:hint="eastAsia" w:ascii="宋体" w:hAnsi="宋体" w:cs="宋体"/>
          <w:b/>
          <w:bCs/>
        </w:rPr>
        <w:t>（七）龙船歌</w:t>
      </w:r>
    </w:p>
    <w:p w14:paraId="2F6FC403">
      <w:pPr>
        <w:ind w:firstLine="420"/>
        <w:rPr>
          <w:rFonts w:ascii="宋体" w:hAnsi="宋体" w:cs="宋体"/>
        </w:rPr>
      </w:pPr>
      <w:r>
        <w:rPr>
          <w:rFonts w:hint="eastAsia" w:ascii="宋体" w:hAnsi="宋体" w:cs="宋体"/>
        </w:rPr>
        <w:t>旧时在划龙舟之前唱龙船歌。从农历四月初八晚开始，歌手聚于禾场坪，一人领唱，众人帮腔。浈江两岸几十个村庄，连续唱20多晚，至端午乃止。龙船歌有7个曲调，一般是7言4句，腔调高亢激昂，唱时用锣鼓和钹伴奏，已搜集到80多首龙船歌，编为龙船歌舞。1980年参加韶关地区文艺会演获二等奖。</w:t>
      </w:r>
    </w:p>
    <w:p w14:paraId="0D67D8BE">
      <w:pPr>
        <w:ind w:firstLine="422"/>
        <w:rPr>
          <w:rFonts w:ascii="宋体" w:hAnsi="宋体" w:cs="宋体"/>
          <w:b/>
          <w:bCs/>
        </w:rPr>
      </w:pPr>
      <w:r>
        <w:rPr>
          <w:rFonts w:hint="eastAsia" w:ascii="宋体" w:hAnsi="宋体" w:cs="宋体"/>
          <w:b/>
          <w:bCs/>
        </w:rPr>
        <w:t>（八）装故事</w:t>
      </w:r>
    </w:p>
    <w:p w14:paraId="3AF966A9">
      <w:pPr>
        <w:ind w:firstLine="420"/>
        <w:rPr>
          <w:rFonts w:ascii="宋体" w:hAnsi="宋体" w:cs="宋体"/>
        </w:rPr>
      </w:pPr>
      <w:r>
        <w:rPr>
          <w:rFonts w:hint="eastAsia" w:ascii="宋体" w:hAnsi="宋体" w:cs="宋体"/>
        </w:rPr>
        <w:t>南雄“故事”即如佛山“飘色”，每逢元宵、端午、中秋等节日或某些神诞，由艺人以特制铁枝及其他道具，装扮故事人物，以小孩充任故事主角，坐立于貌似惊险的道具台上，由四人抬起上街游行，以娱观众。民国时，县城知名装故事艺人罗时清所装《子奇卖疯》、《时迁偷鸡》、《祖师得道》最为人们称赞。</w:t>
      </w:r>
    </w:p>
    <w:p w14:paraId="3B591162">
      <w:pPr>
        <w:pStyle w:val="5"/>
        <w:rPr>
          <w:rFonts w:ascii="宋体" w:hAnsi="宋体" w:cs="宋体"/>
        </w:rPr>
      </w:pPr>
      <w:r>
        <w:rPr>
          <w:rFonts w:hint="eastAsia" w:ascii="宋体" w:hAnsi="宋体" w:cs="宋体"/>
        </w:rPr>
        <w:t>四、戏台分布</w:t>
      </w:r>
    </w:p>
    <w:p w14:paraId="43CC84BC">
      <w:pPr>
        <w:ind w:firstLine="420"/>
        <w:rPr>
          <w:rFonts w:ascii="宋体" w:hAnsi="宋体" w:cs="宋体"/>
        </w:rPr>
      </w:pPr>
      <w:r>
        <w:rPr>
          <w:rFonts w:hint="eastAsia" w:ascii="宋体" w:hAnsi="宋体" w:cs="宋体"/>
        </w:rPr>
        <w:t>民国初期，南雄县城有戏台11座。吏目坪戏台，在今县人民医院留医部，砖木结构；上武庙戏台，在今八一小学，木结构；下武庙戏台，在今县人民医院门诊部，木结构；长安公司戏台，在今雄州中学，竹木结构；维新路戏台，为简易棚；山头顶戏台，即今延祥路，为简易棚；营业场所戏台，在今南雄中学门口，为简易棚；河南桥牛圩戏台，为露天戏台。20世纪30年代后，添建有凌江楼戏台，在今维新路近大街口；同盛戏院，在原工商银行；光明戏院，在原搬运公司旁。以上三家同是砖木结构，以同盛戏院为佳，且常年演出。农村戏台多设在圩场及大村祠堂里。新中国成立后，县城专设人民戏院一所，其他戏台多废。各乡镇保留一些戏台，用来演戏、放电影和开会。</w:t>
      </w:r>
    </w:p>
    <w:p w14:paraId="0BFB2991">
      <w:pPr>
        <w:pStyle w:val="4"/>
        <w:rPr>
          <w:rFonts w:ascii="宋体" w:hAnsi="宋体" w:cs="宋体"/>
        </w:rPr>
      </w:pPr>
      <w:r>
        <w:rPr>
          <w:rFonts w:hint="eastAsia" w:ascii="宋体" w:hAnsi="宋体" w:cs="宋体"/>
        </w:rPr>
        <w:t>第二节  电影放映</w:t>
      </w:r>
    </w:p>
    <w:p w14:paraId="1F29CF03">
      <w:pPr>
        <w:ind w:firstLine="422"/>
        <w:rPr>
          <w:rFonts w:ascii="宋体" w:hAnsi="宋体" w:cs="宋体"/>
          <w:b/>
          <w:bCs/>
        </w:rPr>
      </w:pPr>
      <w:r>
        <w:rPr>
          <w:rFonts w:hint="eastAsia" w:ascii="宋体" w:hAnsi="宋体" w:cs="宋体"/>
          <w:b/>
          <w:bCs/>
        </w:rPr>
        <w:t>电影放映队</w:t>
      </w:r>
    </w:p>
    <w:p w14:paraId="4BD60425">
      <w:pPr>
        <w:ind w:firstLine="420"/>
        <w:rPr>
          <w:rFonts w:ascii="宋体" w:hAnsi="宋体" w:cs="宋体"/>
        </w:rPr>
      </w:pPr>
      <w:r>
        <w:rPr>
          <w:rFonts w:hint="eastAsia" w:ascii="宋体" w:hAnsi="宋体" w:cs="宋体"/>
        </w:rPr>
        <w:t>1950年，省电影教育工作队驻县放映。1955年，省307队固定在南雄农村巡回放映。1956年县建立电影放映队，省307队下放给县为第一队，县新建的队为第二队，均隶属县文教科。1958年，县电影队的人员、设备全部下放到公社，成立公社电影放映队。1979年以后，电影放映队有很大发展。1982年，社队办电影队有19个，私人办电影队有67个，工矿电影队5个，有些机关单位和学校也办起电影队（组）进行宣传放映。1993年后，由于电视普及，电影面临全国性大滑坡，加上农村体制改革，电影费收费问题得不到解决，致使大部分电影队相继停业，另谋出路，只剩10多个队，放映活动很不正常。</w:t>
      </w:r>
    </w:p>
    <w:p w14:paraId="30B9D9F9">
      <w:pPr>
        <w:ind w:firstLine="422"/>
        <w:rPr>
          <w:rFonts w:ascii="宋体" w:hAnsi="宋体" w:cs="宋体"/>
          <w:b/>
          <w:bCs/>
        </w:rPr>
      </w:pPr>
      <w:r>
        <w:rPr>
          <w:rFonts w:hint="eastAsia" w:ascii="宋体" w:hAnsi="宋体" w:cs="宋体"/>
          <w:b/>
          <w:bCs/>
        </w:rPr>
        <w:t>电影院</w:t>
      </w:r>
    </w:p>
    <w:p w14:paraId="43C2EE64">
      <w:pPr>
        <w:ind w:firstLine="420"/>
        <w:rPr>
          <w:rFonts w:ascii="宋体" w:hAnsi="宋体" w:cs="宋体"/>
        </w:rPr>
      </w:pPr>
      <w:r>
        <w:rPr>
          <w:rFonts w:hint="eastAsia" w:ascii="宋体" w:hAnsi="宋体" w:cs="宋体"/>
        </w:rPr>
        <w:t>人民电影院。1950年12月，县政府出资1000元（银元），工商界捐股40股，每股150元，共集资6000元，成立南雄影剧业董事会，在同盛戏院旧址开办人民戏院，为公私合营企业，有职工15人，座位560个，票价为人民币（旧币）1000元、2000元、3000元。1954年改为地方国营，迁址人民礼堂（今人民会场），有座位800个，职工13人。1960年1月由人民礼堂迁址雄州镇光明东路，新建人民电影院，有座位1304个，工作人员19人。1987年9月，投资30多万元安装中央空调。2004年2月，因是危房而停业。</w:t>
      </w:r>
    </w:p>
    <w:p w14:paraId="211A570A">
      <w:pPr>
        <w:ind w:firstLine="420"/>
        <w:rPr>
          <w:rFonts w:ascii="宋体" w:hAnsi="宋体" w:cs="宋体"/>
        </w:rPr>
      </w:pPr>
      <w:r>
        <w:rPr>
          <w:rFonts w:hint="eastAsia" w:ascii="宋体" w:hAnsi="宋体" w:cs="宋体"/>
        </w:rPr>
        <w:t>人民影剧院。1981年2月在县人民会场开业，以放映电影为主，兼供文艺团体演出。</w:t>
      </w:r>
    </w:p>
    <w:p w14:paraId="777A68A6">
      <w:pPr>
        <w:ind w:firstLine="420"/>
        <w:rPr>
          <w:rFonts w:ascii="宋体" w:hAnsi="宋体" w:cs="宋体"/>
        </w:rPr>
      </w:pPr>
      <w:r>
        <w:rPr>
          <w:rFonts w:hint="eastAsia" w:ascii="宋体" w:hAnsi="宋体" w:cs="宋体"/>
        </w:rPr>
        <w:t>圩镇电影院。全县有3家：乌迳电影院，1980年县电影公司与乌迳公社联办，座位800个，1987年起由县电影公司独立经营。黄坑电影院、湖口电影院，均于1981年由县电影公司与黄坑、湖口公社联办，座位分别为645个、600个，由于电视逐步普及，1993年圩镇电影院相继停业。</w:t>
      </w:r>
    </w:p>
    <w:p w14:paraId="414E0D10">
      <w:pPr>
        <w:ind w:firstLine="420"/>
        <w:rPr>
          <w:rFonts w:ascii="宋体" w:hAnsi="宋体" w:cs="宋体"/>
        </w:rPr>
      </w:pPr>
      <w:r>
        <w:rPr>
          <w:rFonts w:hint="eastAsia" w:ascii="宋体" w:hAnsi="宋体" w:cs="宋体"/>
        </w:rPr>
        <w:t>1993年至1994年随着新城区发展开办新城影院和风采影院，由于观众稀少，于2000年相继停业。</w:t>
      </w:r>
    </w:p>
    <w:p w14:paraId="4CEC75C4">
      <w:pPr>
        <w:ind w:firstLine="422"/>
        <w:rPr>
          <w:rFonts w:ascii="宋体" w:hAnsi="宋体" w:cs="宋体"/>
          <w:b/>
          <w:bCs/>
        </w:rPr>
      </w:pPr>
      <w:r>
        <w:rPr>
          <w:rFonts w:hint="eastAsia" w:ascii="宋体" w:hAnsi="宋体" w:cs="宋体"/>
          <w:b/>
          <w:bCs/>
        </w:rPr>
        <w:t>电影公司</w:t>
      </w:r>
    </w:p>
    <w:p w14:paraId="24538C46">
      <w:pPr>
        <w:ind w:firstLine="420"/>
        <w:rPr>
          <w:rFonts w:ascii="宋体" w:hAnsi="宋体" w:cs="宋体"/>
        </w:rPr>
      </w:pPr>
      <w:r>
        <w:rPr>
          <w:rFonts w:hint="eastAsia" w:ascii="宋体" w:hAnsi="宋体" w:cs="宋体"/>
        </w:rPr>
        <w:t>1960年冬成立电影管理站，1981年4月改为电影公司，2001年更名为电影发行放映中心。负责全县电影放映的管理工作。</w:t>
      </w:r>
    </w:p>
    <w:p w14:paraId="4F30E7A2">
      <w:pPr>
        <w:ind w:firstLine="420"/>
        <w:rPr>
          <w:rFonts w:ascii="宋体" w:hAnsi="宋体" w:cs="宋体"/>
        </w:rPr>
      </w:pPr>
      <w:r>
        <w:rPr>
          <w:rFonts w:hint="eastAsia" w:ascii="宋体" w:hAnsi="宋体" w:cs="宋体"/>
        </w:rPr>
        <w:t>1985年，全县电影放映16885场次，观众1281.6万人次，放映收入44.03万元。1987年放映场次为14840场次，观众1128.87万人次，收入61.29万元。</w:t>
      </w:r>
    </w:p>
    <w:p w14:paraId="4563A34B">
      <w:pPr>
        <w:ind w:firstLine="420"/>
        <w:rPr>
          <w:rFonts w:ascii="宋体" w:hAnsi="宋体" w:cs="宋体"/>
        </w:rPr>
      </w:pPr>
      <w:r>
        <w:rPr>
          <w:rFonts w:hint="eastAsia" w:ascii="宋体" w:hAnsi="宋体" w:cs="宋体"/>
        </w:rPr>
        <w:t>1987年以后，由于电视逐步普及，电影放映业务不断萎缩，只放映少数学生场。</w:t>
      </w:r>
    </w:p>
    <w:p w14:paraId="394BCF43">
      <w:pPr>
        <w:pStyle w:val="4"/>
        <w:rPr>
          <w:rFonts w:ascii="宋体" w:hAnsi="宋体" w:cs="宋体"/>
        </w:rPr>
      </w:pPr>
      <w:r>
        <w:rPr>
          <w:rFonts w:hint="eastAsia" w:ascii="宋体" w:hAnsi="宋体" w:cs="宋体"/>
        </w:rPr>
        <w:t>第三节  广播电视</w:t>
      </w:r>
    </w:p>
    <w:p w14:paraId="32CA6D64">
      <w:pPr>
        <w:ind w:firstLine="420"/>
        <w:rPr>
          <w:rFonts w:ascii="宋体" w:hAnsi="宋体" w:cs="宋体"/>
        </w:rPr>
      </w:pPr>
      <w:r>
        <w:rPr>
          <w:rFonts w:hint="eastAsia" w:ascii="宋体" w:hAnsi="宋体" w:cs="宋体"/>
        </w:rPr>
        <w:t>南雄县于1954年建立收音站，1956年成立南雄县有线广播站，通过电话线定时传输。1958年始建公社广播站，至1960年，全县有公社广播站13个，每个生产队均有广播喇叭。1965年开始架设广播专线。1970年全县24个公社（镇）均有广播站。同年开始使用载波，至1977年建立调频幅载波站22个。1975年起换设水泥杆线路，至1987年架设专线345公里。1980年前，县、公社、大队、生产队广播网工作正常。1981年以后，随着农村经济体制改革，农民生活有了改善，收音机、电视机增多，逐步取代有线广播，只剩雄州镇及县城至乡镇广播线路。</w:t>
      </w:r>
    </w:p>
    <w:p w14:paraId="763C04F8">
      <w:pPr>
        <w:ind w:firstLine="420"/>
        <w:rPr>
          <w:rFonts w:ascii="宋体" w:hAnsi="宋体" w:cs="宋体"/>
        </w:rPr>
      </w:pPr>
      <w:r>
        <w:rPr>
          <w:rFonts w:hint="eastAsia" w:ascii="宋体" w:hAnsi="宋体" w:cs="宋体"/>
        </w:rPr>
        <w:t>1987年7月，100瓦调频发射机（无线）开播，全县覆盖率达90%。县广播站除每日定时转播中央人民广播电台新闻联播节目外，还播放本县新闻。1988年，市政府投资5.4万元架设水泥杆2100条，增加线路250公里，安装高音喇叭43只，低音喇叭2300只，先后恢复了水口、南亩、江头、湖口、黄坑、孔江、乌迳等14个乡镇广播站。1988年12月南雄人民广播电台成立，广播设备不断完善。1999年，广播综合覆盖人口43.7万，覆盖率95%，创办了《乡村天地》、《健康之声》、《校园之声》、《生活回顾》、《音乐欣赏》等颇具地方特色的栏目。</w:t>
      </w:r>
    </w:p>
    <w:p w14:paraId="1FA23EA8">
      <w:pPr>
        <w:ind w:firstLine="420"/>
        <w:rPr>
          <w:rFonts w:ascii="宋体" w:hAnsi="宋体" w:cs="宋体"/>
        </w:rPr>
      </w:pPr>
      <w:r>
        <w:rPr>
          <w:rFonts w:hint="eastAsia" w:ascii="宋体" w:hAnsi="宋体" w:cs="宋体"/>
        </w:rPr>
        <w:t>1980年1月1日，水南仙人巷电视差转台建成，播放广东电视台一台节目。1981年6月再装50瓦差转机1台，差转广东电视二台节目。1986年购卫星地面接收站设备1套，7月24日建成投入使用。又在五里山石牌坊新建100瓦差转台，在乌迳秤砣岭新建50瓦差转台，均于1987年2月建成投入使用。此外，还有乡镇、林场、电站以及七四三矿、棉土窝矿等自办差转台。全县共有19个差转台，功率413瓦。</w:t>
      </w:r>
    </w:p>
    <w:p w14:paraId="7FF28368">
      <w:pPr>
        <w:ind w:firstLine="420"/>
        <w:rPr>
          <w:rFonts w:ascii="宋体" w:hAnsi="宋体" w:cs="宋体"/>
        </w:rPr>
      </w:pPr>
      <w:r>
        <w:rPr>
          <w:rFonts w:hint="eastAsia" w:ascii="宋体" w:hAnsi="宋体" w:cs="宋体"/>
        </w:rPr>
        <w:t>电视覆盖面：1986年，省二频道（岭南台）覆盖率为70%，十四频道（珠江台）为84%，中央台频道（三频道）为80%。省十四频道节目覆盖人口达35万人，占全县人口85.25%；省二频道节目覆盖人口20万人，占全县人口的50%；中央台频道节目覆盖人口15万人，占全县人口37.5%。靠江西的乡镇还能收到江西七频道节目。1987年，全县居民拥有电视机2万多台。</w:t>
      </w:r>
    </w:p>
    <w:p w14:paraId="2B1040E5">
      <w:pPr>
        <w:ind w:firstLine="420"/>
        <w:rPr>
          <w:rFonts w:ascii="宋体" w:hAnsi="宋体" w:cs="宋体"/>
        </w:rPr>
      </w:pPr>
      <w:r>
        <w:rPr>
          <w:rFonts w:hint="eastAsia" w:ascii="宋体" w:hAnsi="宋体" w:cs="宋体"/>
        </w:rPr>
        <w:t>1988年，有线电视台建成，1989年6月在城区转播。1989年11月，南雄电视台成立。1999年兴建广播电视微波发射中心塔。该塔建在邓坊镇里源村石头狮山顶，海拔485米，北纬25°20′，东经114°30′，距市区23公里。2000年成立电视微波发射信号中心，覆盖全市17个镇，对农村传送广东卫视台、珠江台、韶关台、南雄台、香港的本港台、翡翠台、凤凰卫视、中央一台、中央六台、中央五台、中央七台、中央八台电视信号和两套调频广播节目。</w:t>
      </w:r>
    </w:p>
    <w:p w14:paraId="4B8BF356">
      <w:pPr>
        <w:ind w:firstLine="420"/>
        <w:rPr>
          <w:rFonts w:ascii="宋体" w:hAnsi="宋体" w:cs="宋体"/>
        </w:rPr>
      </w:pPr>
      <w:r>
        <w:rPr>
          <w:rFonts w:hint="eastAsia" w:ascii="宋体" w:hAnsi="宋体" w:cs="宋体"/>
        </w:rPr>
        <w:t>1997年11月，南雄市广播电视台成立，由南雄人民广播电台、电视台、有线电视台合并组成。1999年，全市已建成一个多功能有线广播电视网络，实现了全市光纤联网和“村村通广播电视”，形成了无线与有线、光纤与模拟波传输相结合的广播电视覆盖网。电视综合覆盖人口43.9万，覆盖率95.5%。</w:t>
      </w:r>
    </w:p>
    <w:p w14:paraId="0D59104D">
      <w:pPr>
        <w:ind w:firstLine="420"/>
        <w:rPr>
          <w:rFonts w:ascii="宋体" w:hAnsi="宋体" w:cs="宋体"/>
        </w:rPr>
      </w:pPr>
      <w:r>
        <w:rPr>
          <w:rFonts w:hint="eastAsia" w:ascii="宋体" w:hAnsi="宋体" w:cs="宋体"/>
        </w:rPr>
        <w:t>南雄电视台内设新闻部、专题部、广播部、播出部、行政部。开设：《南雄新闻》、《雄州纵横》、《公安警讯》、《科技兴烟》、《信息速递》、《市场行情》、《点歌传情》、《城市点击》等固定栏目。信号覆盖南雄各镇及相邻的大余、信丰、始兴等县。</w:t>
      </w:r>
    </w:p>
    <w:p w14:paraId="491F0A1A">
      <w:pPr>
        <w:ind w:firstLine="420"/>
        <w:rPr>
          <w:rFonts w:ascii="宋体" w:hAnsi="宋体" w:cs="宋体"/>
        </w:rPr>
      </w:pPr>
      <w:r>
        <w:rPr>
          <w:rFonts w:hint="eastAsia" w:ascii="宋体" w:hAnsi="宋体" w:cs="宋体"/>
        </w:rPr>
        <w:t>1996年，《新华书店送“粮”下乡，算命先生占卜门庭冷落》节目在全国县（市）级广播电视优秀节目评选中获电视消息一等奖（记者、摄影：朱志军、李遇春）。2000年作品《南雄农民充电忙，昔日祠堂变课堂》获全国县市级电视台好新闻优秀作品奖（记者、摄影：陈祖福、王友华、朱志军、钟筱蓉）。</w:t>
      </w:r>
    </w:p>
    <w:p w14:paraId="7FBAE86A">
      <w:pPr>
        <w:ind w:firstLine="420"/>
        <w:rPr>
          <w:rFonts w:ascii="宋体" w:hAnsi="宋体" w:cs="宋体"/>
        </w:rPr>
      </w:pPr>
      <w:r>
        <w:rPr>
          <w:rFonts w:hint="eastAsia" w:ascii="宋体" w:hAnsi="宋体" w:cs="宋体"/>
        </w:rPr>
        <w:t>有线电视台于1989年6月正式转播后，不断发展完善。1990年，城区有线电视用户达5000户。1998年电视台投资200多万元，分期分批对市区有线电视网进行改造，由过去电缆传输改为光纤传输，重点路段由架空改为地下铺设，由原来频带300兆升为550兆，由传输10多套节目增加到20多套节目。2003年投资400多万元兴建广播电视中心大楼。对城区有线网络升级改造，建成860兆光缆传输网，集数据传输、数字电视、图文信息、视频点播、数字广播、通讯传输等多功能的有线广播电视网络中心。2004年，投资1000多万元，完成市区至各镇有线电视光纤联网，实现全市有线电视一张网。</w:t>
      </w:r>
    </w:p>
    <w:p w14:paraId="3BD57A30">
      <w:pPr>
        <w:pStyle w:val="4"/>
        <w:rPr>
          <w:rFonts w:ascii="宋体" w:hAnsi="宋体" w:cs="宋体"/>
        </w:rPr>
      </w:pPr>
      <w:r>
        <w:rPr>
          <w:rFonts w:hint="eastAsia" w:ascii="宋体" w:hAnsi="宋体" w:cs="宋体"/>
        </w:rPr>
        <w:t>第四节  报刊</w:t>
      </w:r>
    </w:p>
    <w:p w14:paraId="6C1EC43C">
      <w:pPr>
        <w:ind w:firstLine="422"/>
        <w:rPr>
          <w:rFonts w:ascii="宋体" w:hAnsi="宋体" w:cs="宋体"/>
        </w:rPr>
      </w:pPr>
      <w:r>
        <w:rPr>
          <w:rFonts w:hint="eastAsia" w:ascii="宋体" w:hAnsi="宋体" w:cs="宋体"/>
          <w:b/>
          <w:bCs/>
        </w:rPr>
        <w:t xml:space="preserve">《南雄土改快报》 </w:t>
      </w:r>
      <w:r>
        <w:rPr>
          <w:rFonts w:hint="eastAsia" w:ascii="宋体" w:hAnsi="宋体" w:cs="宋体"/>
        </w:rPr>
        <w:t xml:space="preserve"> 1951年11月创刊，县土地改革委员会编印，8开版，先油印后铅印，刊期不定，内部发行约500份。1952年12月改为《南雄复查通讯》，1953年4月停刊。</w:t>
      </w:r>
    </w:p>
    <w:p w14:paraId="3FF57CC9">
      <w:pPr>
        <w:ind w:firstLine="422"/>
        <w:rPr>
          <w:rFonts w:ascii="宋体" w:hAnsi="宋体" w:cs="宋体"/>
        </w:rPr>
      </w:pPr>
      <w:r>
        <w:rPr>
          <w:rFonts w:hint="eastAsia" w:ascii="宋体" w:hAnsi="宋体" w:cs="宋体"/>
          <w:b/>
          <w:bCs/>
        </w:rPr>
        <w:t>《南雄农村》</w:t>
      </w:r>
      <w:r>
        <w:rPr>
          <w:rFonts w:hint="eastAsia" w:ascii="宋体" w:hAnsi="宋体" w:cs="宋体"/>
        </w:rPr>
        <w:t xml:space="preserve">  1955年11月创刊，原名《南雄农村工作》，不久改名《南雄生产合作》，1955年12月改名《南雄农村》，中共南雄县委办公室编印，铅印8开版，不定期，内部发行约500份，1956年4月停刊。</w:t>
      </w:r>
    </w:p>
    <w:p w14:paraId="5115BE87">
      <w:pPr>
        <w:ind w:firstLine="422"/>
        <w:rPr>
          <w:rFonts w:ascii="宋体" w:hAnsi="宋体" w:cs="宋体"/>
        </w:rPr>
      </w:pPr>
      <w:r>
        <w:rPr>
          <w:rFonts w:hint="eastAsia" w:ascii="宋体" w:hAnsi="宋体" w:cs="宋体"/>
          <w:b/>
          <w:bCs/>
        </w:rPr>
        <w:t>《南雄农民报》、《南雄报》、《南雄日报》</w:t>
      </w:r>
      <w:r>
        <w:rPr>
          <w:rFonts w:hint="eastAsia" w:ascii="宋体" w:hAnsi="宋体" w:cs="宋体"/>
        </w:rPr>
        <w:t xml:space="preserve">  1956年4月5日，中共南雄县委创办《南雄农民报》，1957年1月1日，改称《南雄报》，主编廖德明。1958年12月16日又改为《南雄日报》，主编凌康民。1959年7月1日，复称《南雄报》，该报为4开版，发行1000余份，1961年停刊。</w:t>
      </w:r>
    </w:p>
    <w:p w14:paraId="0257BC4F">
      <w:pPr>
        <w:ind w:firstLine="422"/>
        <w:rPr>
          <w:rFonts w:ascii="宋体" w:hAnsi="宋体" w:cs="宋体"/>
        </w:rPr>
      </w:pPr>
      <w:r>
        <w:rPr>
          <w:rFonts w:hint="eastAsia" w:ascii="宋体" w:hAnsi="宋体" w:cs="宋体"/>
          <w:b/>
          <w:bCs/>
        </w:rPr>
        <w:t>《南雄通讯》</w:t>
      </w:r>
      <w:r>
        <w:rPr>
          <w:rFonts w:hint="eastAsia" w:ascii="宋体" w:hAnsi="宋体" w:cs="宋体"/>
        </w:rPr>
        <w:t xml:space="preserve">  中共南雄县委办公室编，1956年4月创刊，为县委宣传党的方针政策，指导工作的刊物。16开本，刊期和发行数量不定。</w:t>
      </w:r>
    </w:p>
    <w:p w14:paraId="2F425B38">
      <w:pPr>
        <w:ind w:firstLine="422"/>
        <w:rPr>
          <w:rFonts w:ascii="宋体" w:hAnsi="宋体" w:cs="宋体"/>
        </w:rPr>
      </w:pPr>
      <w:r>
        <w:rPr>
          <w:rFonts w:hint="eastAsia" w:ascii="宋体" w:hAnsi="宋体" w:cs="宋体"/>
          <w:b/>
          <w:bCs/>
        </w:rPr>
        <w:t>《南雄县党史资料》</w:t>
      </w:r>
      <w:r>
        <w:rPr>
          <w:rFonts w:hint="eastAsia" w:ascii="宋体" w:hAnsi="宋体" w:cs="宋体"/>
        </w:rPr>
        <w:t xml:space="preserve">  南雄县党史资料征集领导小组办公室主办。1982年8月15日创刊，16开本，刊期和发行数量不定。</w:t>
      </w:r>
    </w:p>
    <w:p w14:paraId="12569FE1">
      <w:pPr>
        <w:ind w:firstLine="422"/>
        <w:rPr>
          <w:rFonts w:ascii="宋体" w:hAnsi="宋体" w:cs="宋体"/>
        </w:rPr>
      </w:pPr>
      <w:r>
        <w:rPr>
          <w:rFonts w:hint="eastAsia" w:ascii="宋体" w:hAnsi="宋体" w:cs="宋体"/>
          <w:b/>
          <w:bCs/>
        </w:rPr>
        <w:t>《南雄文史》</w:t>
      </w:r>
      <w:r>
        <w:rPr>
          <w:rFonts w:hint="eastAsia" w:ascii="宋体" w:hAnsi="宋体" w:cs="宋体"/>
        </w:rPr>
        <w:t xml:space="preserve">  南雄县政协主办，1984年12月创刊，32开本。刊期和发行数量不定。</w:t>
      </w:r>
    </w:p>
    <w:p w14:paraId="6AFA4153">
      <w:pPr>
        <w:ind w:firstLine="422"/>
        <w:rPr>
          <w:rFonts w:ascii="宋体" w:hAnsi="宋体" w:cs="宋体"/>
        </w:rPr>
      </w:pPr>
      <w:r>
        <w:rPr>
          <w:rFonts w:hint="eastAsia" w:ascii="宋体" w:hAnsi="宋体" w:cs="宋体"/>
          <w:b/>
          <w:bCs/>
        </w:rPr>
        <w:t xml:space="preserve">《雄州古今》 </w:t>
      </w:r>
      <w:r>
        <w:rPr>
          <w:rFonts w:hint="eastAsia" w:ascii="宋体" w:hAnsi="宋体" w:cs="宋体"/>
        </w:rPr>
        <w:t xml:space="preserve"> 南雄县地方志编委会办公室主办，1985年初创刊，16开本，刊期不定，发行1000份～3000份，主编魏家琼。</w:t>
      </w:r>
    </w:p>
    <w:p w14:paraId="404AA102">
      <w:pPr>
        <w:ind w:firstLine="422"/>
        <w:rPr>
          <w:rFonts w:ascii="宋体" w:hAnsi="宋体" w:cs="宋体"/>
        </w:rPr>
      </w:pPr>
      <w:r>
        <w:rPr>
          <w:rFonts w:hint="eastAsia" w:ascii="宋体" w:hAnsi="宋体" w:cs="宋体"/>
          <w:b/>
          <w:bCs/>
        </w:rPr>
        <w:t>《南雄社会科学》、《南雄论坛》</w:t>
      </w:r>
      <w:r>
        <w:rPr>
          <w:rFonts w:hint="eastAsia" w:ascii="宋体" w:hAnsi="宋体" w:cs="宋体"/>
        </w:rPr>
        <w:t xml:space="preserve">  南雄社会科学学会联合会与山区战略发展研究所联合于1987年9月创刊《南雄社会科学》，16开本，刊期和发行数量不定。2001年改名《南雄论坛》。</w:t>
      </w:r>
    </w:p>
    <w:p w14:paraId="3CA819EE">
      <w:pPr>
        <w:ind w:firstLine="422"/>
        <w:rPr>
          <w:rFonts w:ascii="宋体" w:hAnsi="宋体" w:cs="宋体"/>
        </w:rPr>
      </w:pPr>
      <w:r>
        <w:rPr>
          <w:rFonts w:hint="eastAsia" w:ascii="宋体" w:hAnsi="宋体" w:cs="宋体"/>
          <w:b/>
          <w:bCs/>
        </w:rPr>
        <w:t xml:space="preserve">《珠玑》 </w:t>
      </w:r>
      <w:r>
        <w:rPr>
          <w:rFonts w:hint="eastAsia" w:ascii="宋体" w:hAnsi="宋体" w:cs="宋体"/>
        </w:rPr>
        <w:t xml:space="preserve"> 南雄县文学艺术界联合会主办，1987年12月创刊，16开本，刊期和发行数量不定。</w:t>
      </w:r>
    </w:p>
    <w:p w14:paraId="14CFB914">
      <w:pPr>
        <w:ind w:firstLine="422"/>
        <w:rPr>
          <w:rFonts w:ascii="宋体" w:hAnsi="宋体" w:cs="宋体"/>
        </w:rPr>
      </w:pPr>
      <w:r>
        <w:rPr>
          <w:rFonts w:hint="eastAsia" w:ascii="宋体" w:hAnsi="宋体" w:cs="宋体"/>
          <w:b/>
          <w:bCs/>
        </w:rPr>
        <w:t>《梅岭》</w:t>
      </w:r>
      <w:r>
        <w:rPr>
          <w:rFonts w:hint="eastAsia" w:ascii="宋体" w:hAnsi="宋体" w:cs="宋体"/>
        </w:rPr>
        <w:t xml:space="preserve">  1974年创刊，县文化局编辑。1982年改由文化馆编辑出版，每期发行1000本，1984年停刊，共出24期。</w:t>
      </w:r>
    </w:p>
    <w:p w14:paraId="0DEAA34A">
      <w:pPr>
        <w:ind w:firstLine="422"/>
        <w:rPr>
          <w:rFonts w:ascii="宋体" w:hAnsi="宋体" w:cs="宋体"/>
        </w:rPr>
      </w:pPr>
      <w:r>
        <w:rPr>
          <w:rFonts w:hint="eastAsia" w:ascii="宋体" w:hAnsi="宋体" w:cs="宋体"/>
          <w:b/>
          <w:bCs/>
        </w:rPr>
        <w:t>《南雄青年》</w:t>
      </w:r>
      <w:r>
        <w:rPr>
          <w:rFonts w:hint="eastAsia" w:ascii="宋体" w:hAnsi="宋体" w:cs="宋体"/>
        </w:rPr>
        <w:t xml:space="preserve">  共青团南雄市委主办，1998年创刊，原名《梅岭》，油印双月刊。1999年改为铅印8开《南雄青年报》，每月一期，2004年停刊。</w:t>
      </w:r>
    </w:p>
    <w:p w14:paraId="54BDE26D">
      <w:pPr>
        <w:ind w:firstLine="422"/>
        <w:rPr>
          <w:rFonts w:ascii="宋体" w:hAnsi="宋体" w:cs="宋体"/>
        </w:rPr>
      </w:pPr>
      <w:r>
        <w:rPr>
          <w:rFonts w:hint="eastAsia" w:ascii="宋体" w:hAnsi="宋体" w:cs="宋体"/>
          <w:b/>
          <w:bCs/>
        </w:rPr>
        <w:t>《雄韵》、《南雄诗苑》</w:t>
      </w:r>
      <w:r>
        <w:rPr>
          <w:rFonts w:hint="eastAsia" w:ascii="宋体" w:hAnsi="宋体" w:cs="宋体"/>
        </w:rPr>
        <w:t xml:space="preserve">  雄州诗社编印。1994年6月创刊《雄韵》，16开本，不定期。2004年9月改名《南雄诗苑》32开本，不定期。</w:t>
      </w:r>
    </w:p>
    <w:p w14:paraId="02365875">
      <w:pPr>
        <w:pStyle w:val="4"/>
        <w:rPr>
          <w:rFonts w:ascii="宋体" w:hAnsi="宋体" w:cs="宋体"/>
        </w:rPr>
      </w:pPr>
      <w:r>
        <w:rPr>
          <w:rFonts w:hint="eastAsia" w:ascii="宋体" w:hAnsi="宋体" w:cs="宋体"/>
        </w:rPr>
        <w:t>第五节  文化馆站</w:t>
      </w:r>
    </w:p>
    <w:p w14:paraId="2C7BD18F">
      <w:pPr>
        <w:pStyle w:val="5"/>
        <w:rPr>
          <w:rFonts w:ascii="宋体" w:hAnsi="宋体" w:cs="宋体"/>
        </w:rPr>
      </w:pPr>
      <w:r>
        <w:rPr>
          <w:rFonts w:hint="eastAsia" w:ascii="宋体" w:hAnsi="宋体" w:cs="宋体"/>
        </w:rPr>
        <w:t>文化馆</w:t>
      </w:r>
    </w:p>
    <w:p w14:paraId="53DB6A84">
      <w:pPr>
        <w:ind w:firstLine="420"/>
        <w:rPr>
          <w:rFonts w:ascii="宋体" w:hAnsi="宋体" w:cs="宋体"/>
        </w:rPr>
      </w:pPr>
      <w:r>
        <w:rPr>
          <w:rFonts w:hint="eastAsia" w:ascii="宋体" w:hAnsi="宋体" w:cs="宋体"/>
        </w:rPr>
        <w:t>1949年9月，县人民政府接管民众教育馆，1950年改为南雄县文化馆，隶属县文教科，馆址在县城维新路（原凌江茶楼），后迁永康路。1993年县政府投资130万元在新城区林荫西路兴建文化娱乐中心（即文化馆），面积为2500平方米，内有歌舞厅、展览厅、小剧场以及音乐、舞蹈、美术、书法等培训室。1992年，文化馆被文化部命名为“全国标准文化馆”。同年10月在全省文化馆建设达标活动中被省文化厅评为“达标文化馆”。1994年在全省创建文明文化馆活动中，被评为“广东省文明文化馆”。1995年被评为“广东省一级文化馆”。</w:t>
      </w:r>
    </w:p>
    <w:p w14:paraId="538FF1C4">
      <w:pPr>
        <w:ind w:firstLine="420"/>
        <w:rPr>
          <w:rFonts w:ascii="宋体" w:hAnsi="宋体" w:cs="宋体"/>
        </w:rPr>
      </w:pPr>
      <w:r>
        <w:rPr>
          <w:rFonts w:hint="eastAsia" w:ascii="宋体" w:hAnsi="宋体" w:cs="宋体"/>
        </w:rPr>
        <w:t>1979年文化馆有计划地开展各项文艺活动和群众业余辅导工作。1980年春节举办全县民间艺术表演，演出节目20个，参加演出145人。1981年9月举行农村业余文化调演，演出节目14个，参加演出110多人。1984年春节，组织民间艺术表演，观众达5万人。国庆节，举办新中国成立35年来规模最大的全县民间艺术会演，观众数万人。1987年，选送县工交幼儿园、机关幼儿园、实验小学、城镇一中和永康路小学等文艺演出队参加韶关市少儿文艺节目大赛。县工交幼儿园的古典舞蹈《梅岭仙童》荣获市一等奖。1987年元宵节，举办南雄元宵佳节摄影艺术品展览，展出作品120件；举办“雄州好”文艺晚会，演出单位18个，节目28个；在县体育场举行全县民间艺术表演，演出单位29个，观众上万人。1988年10月，组织民间艺术节目《香火龙》参加“1988年广东省第二届欢乐节”，获省、市优秀组织奖。</w:t>
      </w:r>
    </w:p>
    <w:p w14:paraId="0ABD055A">
      <w:pPr>
        <w:ind w:firstLine="420"/>
        <w:rPr>
          <w:rFonts w:ascii="宋体" w:hAnsi="宋体" w:cs="宋体"/>
        </w:rPr>
      </w:pPr>
      <w:r>
        <w:rPr>
          <w:rFonts w:hint="eastAsia" w:ascii="宋体" w:hAnsi="宋体" w:cs="宋体"/>
        </w:rPr>
        <w:t>1992年以来，文化馆采取主办、承办和协办等多种形式，组织了南雄市第一、二届青年联欢节，每年一度的元宵节民间艺术表演，节、假日的文艺晚会。影响较大的文化活动有：元宵暨经贸洽谈民间艺术汇演，韶关市第九届运动会开幕式文艺晚会，纪念毛泽东诞辰100周年卡拉OK大赛及欢迎珠玑巷南迁后裔考察团大型文艺晚会等。为满足群众需求，活跃城乡文化，邀请俄罗斯现代摇滚音乐舞蹈团到南雄演出，邀请广东省著名相声演员黄俊英等参加南雄县人民大会堂落成庆典晚会演出。还举办了广东老摄影家作品展览，南雄市百顺百台电子琴演奏会。</w:t>
      </w:r>
    </w:p>
    <w:p w14:paraId="3AF1D612">
      <w:pPr>
        <w:ind w:firstLine="420"/>
        <w:rPr>
          <w:rFonts w:ascii="宋体" w:hAnsi="宋体" w:cs="宋体"/>
        </w:rPr>
      </w:pPr>
      <w:r>
        <w:rPr>
          <w:rFonts w:hint="eastAsia" w:ascii="宋体" w:hAnsi="宋体" w:cs="宋体"/>
        </w:rPr>
        <w:t>文化馆重视组织、辅导和培训业余创作队伍，直接联系的重点作者有100多人。1993年组织辅导县卷烟厂的舞蹈《金叶丰收》，参加全省烟草系统文艺演出获一等奖和广东省第二届企业文化之星文艺晚会优秀节目奖。1997年舞蹈《水利在闪光》（编导廖跃梅）获广东省水利系统汇演二等奖，获韶关市水利系统职工文艺汇演一等奖。2000年黎灿学校的舞蹈《绿》（编舞廖跃梅），获韶关市第五届少儿花会金奖。2001年舞蹈《绿》还参加了由中央教科所研究中心、中央教科所德育研究中心、中央电视台联合举办的“春到校园一第二届全国校园春节联欢晚会”节目征集评选，被评为优秀节目，荣获二等奖。</w:t>
      </w:r>
    </w:p>
    <w:p w14:paraId="78DCB650">
      <w:pPr>
        <w:ind w:firstLine="420"/>
        <w:rPr>
          <w:rFonts w:ascii="宋体" w:hAnsi="宋体" w:cs="宋体"/>
        </w:rPr>
      </w:pPr>
      <w:r>
        <w:rPr>
          <w:rFonts w:hint="eastAsia" w:ascii="宋体" w:hAnsi="宋体" w:cs="宋体"/>
        </w:rPr>
        <w:t>文化馆重视民间文学艺术的搜集、整理工作，继编印出版民间文学三套集成南雄资料本及民间舞蹈资料本，民间音乐资料本后，又陆续编出了《南雄民间故事选》、《珠玑巷传说故事选》、《南雄革命斗争故事选》等，并组织采写民俗稿件100多篇，部分选入《广东民俗大观》和《粤北民俗大观》。民间舞蹈火龙队、龙狮队、划龙船、装故事、马灯舞、茶花灯以及民间音乐八音班等几十种节目，经过整理和改编，重现异彩，成为群众在节日庆典期间喜闻乐见的优秀传统节目。</w:t>
      </w:r>
    </w:p>
    <w:p w14:paraId="2AC96FD5">
      <w:pPr>
        <w:ind w:firstLine="420"/>
        <w:rPr>
          <w:rFonts w:ascii="宋体" w:hAnsi="宋体" w:cs="宋体"/>
        </w:rPr>
      </w:pPr>
      <w:r>
        <w:rPr>
          <w:rFonts w:hint="eastAsia" w:ascii="宋体" w:hAnsi="宋体" w:cs="宋体"/>
        </w:rPr>
        <w:t>精心培育艺术幼苗，举办了各种类型文化艺术培训班。1996年至2004年，少儿电子琴培训班学员获广东省电子琴考级证书二级至八级共300多人（辅导员林国谱荣获广东省电子琴教学优秀教师奖）。少儿美术、书法培训班学员参加了《双龙杯》九至十五届（1999年至2003年）全国少儿书画大赛，获银、铜奖99人，文化馆连续五届获优秀集体奖（辅导员陈尚珍、陈涛获辅导优秀奖）。2004年参加第十一届“苏智杯”全国少年儿童书画大赛，2人获金奖，7人获银奖、9人获铜奖（辅导老师陈尚珍获优秀辅导员奖）。2004年少儿舞蹈《客家童谣》（创作、编导：廖跃梅、郭盛蓬，表演：黎灿学校），参加韶关市第六届少儿花会，荣获少儿组金奖；参加全国少年儿童舞蹈录像比赛获一等奖；参加2004年“蒲公英”中国青少年艺术新人选拔大赛广东分赛区比赛获金奖；7月份代表广东省到北京参加全国的舞蹈决赛获银奖。2005年，少儿舞蹈《小茶女戏刘二》（创作、编导：廖跃梅、郭盛蓬，表演：黎灿学校）获韶关市第十一届“英东杯”金奖，全国校园春节联欢晚会征集节目二等奖。</w:t>
      </w:r>
    </w:p>
    <w:p w14:paraId="6B6C2058">
      <w:pPr>
        <w:pStyle w:val="5"/>
        <w:rPr>
          <w:rFonts w:ascii="宋体" w:hAnsi="宋体" w:cs="宋体"/>
        </w:rPr>
      </w:pPr>
      <w:r>
        <w:rPr>
          <w:rFonts w:hint="eastAsia" w:ascii="宋体" w:hAnsi="宋体" w:cs="宋体"/>
        </w:rPr>
        <w:t>乡镇文化站</w:t>
      </w:r>
    </w:p>
    <w:p w14:paraId="00DF9DD3">
      <w:pPr>
        <w:ind w:firstLine="420"/>
        <w:rPr>
          <w:rFonts w:ascii="宋体" w:hAnsi="宋体" w:cs="宋体"/>
        </w:rPr>
      </w:pPr>
      <w:r>
        <w:rPr>
          <w:rFonts w:hint="eastAsia" w:ascii="宋体" w:hAnsi="宋体" w:cs="宋体"/>
        </w:rPr>
        <w:t>1977年2月起建站，至1985年9月，全县24个乡镇都先后建立文化站。1987年全县文化站共有电影院4间，剧场12间，电影放映机28架，录像放映室14间，电视室18间，图书室23间，藏书22325册。</w:t>
      </w:r>
    </w:p>
    <w:p w14:paraId="29F650A8">
      <w:pPr>
        <w:ind w:firstLine="420"/>
        <w:rPr>
          <w:rFonts w:ascii="宋体" w:hAnsi="宋体" w:cs="宋体"/>
        </w:rPr>
      </w:pPr>
      <w:r>
        <w:rPr>
          <w:rFonts w:hint="eastAsia" w:ascii="宋体" w:hAnsi="宋体" w:cs="宋体"/>
        </w:rPr>
        <w:t>2001年机构改革，各镇文化站与广播站合并为文化广播活动中心，划归镇政府管理。</w:t>
      </w:r>
    </w:p>
    <w:p w14:paraId="56096409">
      <w:pPr>
        <w:pStyle w:val="4"/>
        <w:rPr>
          <w:rFonts w:ascii="宋体" w:hAnsi="宋体" w:cs="宋体"/>
        </w:rPr>
      </w:pPr>
      <w:r>
        <w:rPr>
          <w:rFonts w:hint="eastAsia" w:ascii="宋体" w:hAnsi="宋体" w:cs="宋体"/>
        </w:rPr>
        <w:t>第六节  图书馆  书店</w:t>
      </w:r>
    </w:p>
    <w:p w14:paraId="72609372">
      <w:pPr>
        <w:pStyle w:val="5"/>
        <w:rPr>
          <w:rFonts w:ascii="宋体" w:hAnsi="宋体" w:cs="宋体"/>
        </w:rPr>
      </w:pPr>
      <w:r>
        <w:rPr>
          <w:rFonts w:hint="eastAsia" w:ascii="宋体" w:hAnsi="宋体" w:cs="宋体"/>
        </w:rPr>
        <w:t>图书馆</w:t>
      </w:r>
    </w:p>
    <w:p w14:paraId="72911D59">
      <w:pPr>
        <w:ind w:firstLine="420"/>
        <w:rPr>
          <w:rFonts w:ascii="宋体" w:hAnsi="宋体" w:cs="宋体"/>
        </w:rPr>
      </w:pPr>
      <w:r>
        <w:rPr>
          <w:rFonts w:hint="eastAsia" w:ascii="宋体" w:hAnsi="宋体" w:cs="宋体"/>
        </w:rPr>
        <w:t>1979年6月，图书室从县文化馆中分出设立县图书馆，馆址在文化局内。1985年9月，县博物馆建成后，县图书馆迁入原博物馆展览厅，面积176平方米。设有藏书库，期刊阅览室，少年儿童阅览室，外借处及采编室。1987年藏书4万册。每年向读者发出借书证2000本，年借阅图书26700多人次，书刊流通75000册次。在16个乡镇建立流通图书站，13间村级图书室。</w:t>
      </w:r>
    </w:p>
    <w:p w14:paraId="33B6A4A4">
      <w:pPr>
        <w:ind w:firstLine="420"/>
        <w:rPr>
          <w:rFonts w:ascii="宋体" w:hAnsi="宋体" w:cs="宋体"/>
        </w:rPr>
      </w:pPr>
      <w:r>
        <w:rPr>
          <w:rFonts w:hint="eastAsia" w:ascii="宋体" w:hAnsi="宋体" w:cs="宋体"/>
        </w:rPr>
        <w:t>1996年6月，多功能的新图书馆落成，位于新城区林荫西路，总投资138万元，其中香港华万利企业有限公司董事长钟履强捐资50万元，建筑面积2388平方米。1998年在文化部第二次公共图书馆评估定级中被评定为三级图书馆，并被省文化厅授予先进集体称号。广州少儿图书馆于1998年9月在南雄设立分馆，赠书20000多册。2001年7月获香港汉荣书局董事长石景宜先生赠书1000多册，价值港币20多万元。2004年11月，石景宜先生再次赠书2500多册。是年，市图书馆拥有藏书7.98万册。图书馆每年向读者发出借书证2100多本，接待进馆读者11万多人次。2003年，在黄坑、江头、珠玑、乌迳、湖口、南亩等镇文化广播服务中心开设流动图书室。2004年5月开设电子阅览室，为与省内各图书馆实现资源共享提供服务平台。同年7月11日，粤北地区第一个广东省流动图书馆落户南雄。并被评为“广东省流动图书馆先进集体”。</w:t>
      </w:r>
    </w:p>
    <w:p w14:paraId="1CE023F7">
      <w:pPr>
        <w:pStyle w:val="5"/>
        <w:rPr>
          <w:rFonts w:ascii="宋体" w:hAnsi="宋体" w:cs="宋体"/>
        </w:rPr>
      </w:pPr>
      <w:r>
        <w:rPr>
          <w:rFonts w:hint="eastAsia" w:ascii="宋体" w:hAnsi="宋体" w:cs="宋体"/>
        </w:rPr>
        <w:t>书店</w:t>
      </w:r>
    </w:p>
    <w:p w14:paraId="54BD5869">
      <w:pPr>
        <w:ind w:firstLine="420"/>
        <w:rPr>
          <w:rFonts w:ascii="宋体" w:hAnsi="宋体" w:cs="宋体"/>
        </w:rPr>
      </w:pPr>
      <w:r>
        <w:rPr>
          <w:rFonts w:hint="eastAsia" w:ascii="宋体" w:hAnsi="宋体" w:cs="宋体"/>
        </w:rPr>
        <w:t>民国时期有保民、民生、雄华、合群、抗战等书店。1949年11月，县人民政府建立南雄书社，1950年改为新华书店，专营图书发行业务，并在各乡镇供销社内建立发行网点和特约经销。1978年起报纸杂志书籍实行多渠道经营，一些街市商店均设有书摊和图书柜台。</w:t>
      </w:r>
    </w:p>
    <w:p w14:paraId="5098E693">
      <w:pPr>
        <w:ind w:firstLine="420"/>
        <w:rPr>
          <w:rFonts w:ascii="宋体" w:hAnsi="宋体" w:cs="宋体"/>
        </w:rPr>
      </w:pPr>
      <w:r>
        <w:rPr>
          <w:rFonts w:hint="eastAsia" w:ascii="宋体" w:hAnsi="宋体" w:cs="宋体"/>
        </w:rPr>
        <w:t>2000年12月，新华书店在雄州镇新城沿江西路33号新建图书发行综合大楼，总面积3266平方米，门市面积为437平方米。书店与广东韶关新华音像发行有限公司开展连锁经营业务，图书品种达15000多个，年销量达30多万元。2002年8月，又将建设路10号购书中心门市重新装修开业，有图书品种15000多个，还增加了音像制品、文化用品业务，年销量达65万多元。</w:t>
      </w:r>
    </w:p>
    <w:p w14:paraId="705F910C">
      <w:pPr>
        <w:ind w:firstLine="420"/>
        <w:rPr>
          <w:rFonts w:ascii="宋体" w:hAnsi="宋体" w:cs="宋体"/>
        </w:rPr>
      </w:pPr>
      <w:r>
        <w:rPr>
          <w:rFonts w:hint="eastAsia" w:ascii="宋体" w:hAnsi="宋体" w:cs="宋体"/>
        </w:rPr>
        <w:t>1995年，书店响应中央八部委号召组织送书下乡活动。1995年至1998年，被广东省文化厅、广东省新闻出版局授予“广东省实施文化艺术上山下乡工程先进集体”称号；2000年至2001年，被广东省报刊发行业协会授予“广东省文明书店”称号。</w:t>
      </w:r>
    </w:p>
    <w:p w14:paraId="002FF2BB">
      <w:pPr>
        <w:ind w:firstLine="420"/>
        <w:rPr>
          <w:rFonts w:ascii="宋体" w:hAnsi="宋体" w:cs="宋体"/>
        </w:rPr>
      </w:pPr>
      <w:r>
        <w:rPr>
          <w:rFonts w:hint="eastAsia" w:ascii="宋体" w:hAnsi="宋体" w:cs="宋体"/>
        </w:rPr>
        <w:t>1978年至2004年，新华书店图书发行稳步增长，以课本为最大宗，占总发行量的七八成。1978年销售总额23.5万元，其中课本11.5万元，占50%，人均购书0.6元。2004年销售总额762万元，其中课本632万元，占83%，人均购书15.88元。</w:t>
      </w:r>
    </w:p>
    <w:p w14:paraId="3F8E5C5B">
      <w:pPr>
        <w:pStyle w:val="4"/>
        <w:rPr>
          <w:rFonts w:ascii="宋体" w:hAnsi="宋体" w:cs="宋体"/>
        </w:rPr>
      </w:pPr>
      <w:r>
        <w:rPr>
          <w:rFonts w:hint="eastAsia" w:ascii="宋体" w:hAnsi="宋体" w:cs="宋体"/>
        </w:rPr>
        <w:t>第七节  文艺作品</w:t>
      </w:r>
    </w:p>
    <w:p w14:paraId="35628DA0">
      <w:pPr>
        <w:pStyle w:val="5"/>
        <w:rPr>
          <w:rFonts w:ascii="宋体" w:hAnsi="宋体" w:cs="宋体"/>
        </w:rPr>
      </w:pPr>
      <w:r>
        <w:rPr>
          <w:rFonts w:hint="eastAsia" w:ascii="宋体" w:hAnsi="宋体" w:cs="宋体"/>
        </w:rPr>
        <w:t>一、诗文选</w:t>
      </w:r>
    </w:p>
    <w:p w14:paraId="3CEE5884">
      <w:pPr>
        <w:ind w:firstLine="422"/>
        <w:rPr>
          <w:rFonts w:ascii="宋体" w:hAnsi="宋体" w:cs="宋体"/>
          <w:b/>
          <w:bCs/>
        </w:rPr>
      </w:pPr>
      <w:r>
        <w:rPr>
          <w:rFonts w:hint="eastAsia" w:ascii="宋体" w:hAnsi="宋体" w:cs="宋体"/>
          <w:b/>
          <w:bCs/>
        </w:rPr>
        <w:t>（一）旧志诗文</w:t>
      </w:r>
    </w:p>
    <w:p w14:paraId="1B49BD4D">
      <w:pPr>
        <w:ind w:firstLine="420"/>
        <w:rPr>
          <w:rFonts w:ascii="宋体" w:hAnsi="宋体" w:cs="宋体"/>
        </w:rPr>
      </w:pPr>
      <w:r>
        <w:rPr>
          <w:rFonts w:hint="eastAsia" w:ascii="宋体" w:hAnsi="宋体" w:cs="宋体"/>
        </w:rPr>
        <w:t>历代吟咏南雄诗词一千余首，宋嘉定十三年（1220年）《保昌志》录入138首，清道光《直隶南雄州志》录入326首。《南雄县志》选录古今名人反映时代和地方特色且有存史价值的诗词156首，古文5篇，现补录如下几篇：</w:t>
      </w:r>
    </w:p>
    <w:p w14:paraId="576399B3">
      <w:pPr>
        <w:ind w:firstLine="0" w:firstLineChars="0"/>
        <w:jc w:val="center"/>
        <w:rPr>
          <w:b/>
        </w:rPr>
      </w:pPr>
      <w:r>
        <w:rPr>
          <w:rFonts w:hint="eastAsia"/>
          <w:b/>
        </w:rPr>
        <w:t>复上赵方伯书</w:t>
      </w:r>
    </w:p>
    <w:p w14:paraId="566BD4E4">
      <w:pPr>
        <w:ind w:firstLine="420"/>
        <w:rPr>
          <w:rFonts w:ascii="宋体" w:hAnsi="宋体" w:cs="宋体"/>
        </w:rPr>
      </w:pPr>
      <w:r>
        <w:rPr>
          <w:rFonts w:hint="eastAsia" w:ascii="宋体" w:hAnsi="宋体" w:cs="宋体"/>
        </w:rPr>
        <w:t>二十八日接奉手书，猥以拙作，开修诸陂记，辱荷品题，许以付梓，示诸同寅，并奖以宜分名宦俎豆，仰见大人虚怀若谷，善善从长之意，非休休有容者不肯出此言，而非乐取于人以为善者，亦不能出此言也。捧诵再三，且惭且感。昔况钟治苏州，周枕表而出之，遂为有明循吏；冠元结治道州，颜鲁公叙其事，勒诸金石，并垂不朽。方之宪台，讵肯多让。伏念农田水利，乃地方官应办之事，况雄州地瘠民贫，尤应引为先务。白香山诗云“敢辞称俗吏，且愿活疲民”，可谓先得我心矣。至于政事得失，且俟后日公评，其终分名宦俎豆耶，职不得而知也；其不分名宦俎豆耶，职亦不得而知也。日前董抚军明方伯过境，亦以必祀名宦见许，三大人可谓若合符节矣。然职之意，殊不在此，但愿没而为龙，扫除天下旱魃，霖雨苍生。自序云云乃十数年来苦心，非徒供口说，弄笔墨已也。未知苍苍者，其许我否？承谕集内如有更易增补处，希即审复。职现又开修陂渠六道，增作六记，文期有用，宁计工拙。惟同一题目作至二十七篇，虽每篇各有意义，不肯勦说雷同；然才思已竭，未免驽末。兹谨缮稿呈上，析赐训而削之，感且不朽，抑又闻人臣之义，善则归君，职文少此一节，不无缺陷。兹将序文增改，庶全卷皆有主脑，斯为得体耳。仰惟大人风节名望，著闻海内，犹夙夜怀惭，频次询于刍荛，此真曾子所谓：有若无，实若虚者也。职之愚以为粤东法度修明，吏治蒸蒸日上，无所用其改作，惟屯田土硗赋重，官民深以为累；而广州所属沙田，膏腴万顷，赋名斥卤，曾不及屯田二十之一，可谓轻重倒置矣。若通体彻查，奏而均之，似亦君子平政之一端也。若夫方岳之职，惟在进贤退不肖，俾府厅州县皆得其人，则数千百万生灵，皆受仁人之赐，所谓无量功德，不可思议，在大人自有权衡，非职之愚所能仰赞万一者也。肃此禀复，统惟包蒙而教诲之。含章谨禀。</w:t>
      </w:r>
    </w:p>
    <w:p w14:paraId="33730799">
      <w:pPr>
        <w:ind w:firstLine="0" w:firstLineChars="0"/>
        <w:jc w:val="center"/>
        <w:rPr>
          <w:b/>
        </w:rPr>
      </w:pPr>
      <w:r>
        <w:rPr>
          <w:rFonts w:hint="eastAsia"/>
          <w:b/>
        </w:rPr>
        <w:t>附：南雄水利记叙</w:t>
      </w:r>
    </w:p>
    <w:p w14:paraId="265E0AA4">
      <w:pPr>
        <w:ind w:firstLine="422"/>
        <w:jc w:val="right"/>
        <w:rPr>
          <w:rFonts w:ascii="宋体" w:hAnsi="宋体" w:cs="宋体"/>
          <w:b/>
          <w:bCs/>
        </w:rPr>
      </w:pPr>
      <w:r>
        <w:rPr>
          <w:rFonts w:hint="eastAsia" w:ascii="宋体" w:hAnsi="宋体" w:cs="宋体"/>
          <w:b/>
          <w:bCs/>
        </w:rPr>
        <w:t>方伯  赵慎畛</w:t>
      </w:r>
    </w:p>
    <w:p w14:paraId="1C54B448">
      <w:pPr>
        <w:ind w:firstLine="420"/>
        <w:rPr>
          <w:rFonts w:ascii="宋体" w:hAnsi="宋体" w:cs="宋体"/>
        </w:rPr>
      </w:pPr>
      <w:r>
        <w:rPr>
          <w:rFonts w:hint="eastAsia" w:ascii="宋体" w:hAnsi="宋体" w:cs="宋体"/>
        </w:rPr>
        <w:t>粤东依山负海，幅员辽阔，徭赋轻而民人众。其良者固循分守法，其顽者每多不务耕作，逃匿租税。一邑之负，动至累万。地方官逼于考成，或倾资赔垫，或干挂吏议，催科之苦，莫不视为畏途。滇南罗君月川，以名孝廉，牧南雄，独慨然曰：不正其本，徒惩其末，无益也。于是首请清丈田亩，躬履畎甽，圭分星析，绘为鱼鳞新册，使田有主名，税无虚额，强者不敢侵，弱者不敢弃。又复相度地宜，浚建陂塘诸闸，以资其灌溉之利，至百有余处之多。大书刻石，昭示久远，苦心殚力，积二年而后成功。因以所撰陂塘诸记示余，余读之而叹曰：夫民之不良，非生而使之然也；民之未率教，非不可以家喻而户晓也。牧令与民最近，往往视官如传舍，因陋就简，怠惰偷安；即黾勉奋厉，又或牵于簿书，拘于识见焉；复有通达大体，兴建水利，为百姓垂普济之功，立子孙之业，勤恳周至，如罗君者哉。余尝观史书，所载循吏诸传，其所举惠政，皆在专意农田，疏筑沟防诸大端。古今人恒不相及者，大约惮于虑始，惰于观成。果能相其缓急，顺其好恶，为之兴利除弊，不辞劳瘁，则民无不乐生。乐生之心胜，则爱上之情笃；鼓舞欢欣，输将恐后，又其小焉者也。余嘉罗君是举用心，勤为利搏，得古牧民之道，因梓其文以贻诸同志，使仿此而行之。良法美政，随地讲求，上以裕国课，下以福苍生，以仰副圣天子，垂惠元元之至化，又岂独南雄一州为然哉。是不能无厚望云。嘉庆二十有二年，岁在丁丑浴佛日。承宣使者武陵赵慎畛叙。</w:t>
      </w:r>
    </w:p>
    <w:p w14:paraId="0211775D">
      <w:pPr>
        <w:ind w:firstLine="0" w:firstLineChars="0"/>
        <w:jc w:val="center"/>
        <w:rPr>
          <w:b/>
        </w:rPr>
      </w:pPr>
      <w:r>
        <w:rPr>
          <w:rFonts w:hint="eastAsia"/>
          <w:b/>
        </w:rPr>
        <w:t>兴修水利诸陂自序</w:t>
      </w:r>
    </w:p>
    <w:p w14:paraId="69AC7E44">
      <w:pPr>
        <w:ind w:firstLine="420"/>
        <w:rPr>
          <w:rFonts w:ascii="宋体" w:hAnsi="宋体" w:cs="宋体"/>
        </w:rPr>
      </w:pPr>
      <w:r>
        <w:rPr>
          <w:rFonts w:hint="eastAsia" w:ascii="宋体" w:hAnsi="宋体" w:cs="宋体"/>
        </w:rPr>
        <w:t>生民之本计在农，农夫之大命在水。雄州山高土燥，水源短浅，十日不雨辄称天旱。章两任斯土，窃见地瘠民贫，积欠钱粮数累巨万，非必民心无良，抑赋役不均，水泉不足所致。迩者清丈田亩，按土地之肥硗，定科则之轻重，非徒清积欠，亦以抑豪强扶贫弱也。然赋役虽均，而水泉未裕，民食何补？钦惟我皇上，念切民依，凡海内晴雨雪霜，动关宵旰，偶遇偏灾入告，无不立沛殊恩，登斯民于仁寿。章，职司守土，何敢漠不关心也。于是谨遵圣天子明训，命所属多开陂渠，广筑塘堰。章皆捐廉为倡，并为之经画其事。民风醇厚，颇从章教，水利大兴，数月之间，凡新开之陂十一，修复之陂十，官开之塘四，民开之塘九十有三。民塘不暇详矣，余各有记。志本末，垂教诫，杜讼源也。章尝慨生无功德于民，身没之后，不能为神，亦不愿成仙成佛，但愿为龙，扫除天下旱魃，霖雨苍生，乃素志也。今俨然作牧，而仅仅与此邦之人，兴修水利，心滋憾矣。时嘉庆丁丑仲春，景东罗含章月川序。</w:t>
      </w:r>
    </w:p>
    <w:p w14:paraId="60F9660E">
      <w:pPr>
        <w:ind w:firstLine="422"/>
        <w:rPr>
          <w:rFonts w:ascii="宋体" w:hAnsi="宋体" w:cs="宋体"/>
        </w:rPr>
      </w:pPr>
      <w:r>
        <w:rPr>
          <w:rFonts w:hint="eastAsia" w:ascii="宋体" w:hAnsi="宋体" w:cs="宋体"/>
          <w:b/>
          <w:bCs/>
        </w:rPr>
        <w:t>此外，尚有载于《直隶南雄州志》55篇，录其题目于下：</w:t>
      </w:r>
    </w:p>
    <w:p w14:paraId="1E37B513">
      <w:pPr>
        <w:ind w:firstLine="420"/>
        <w:rPr>
          <w:rFonts w:ascii="宋体" w:hAnsi="宋体" w:cs="宋体"/>
        </w:rPr>
      </w:pPr>
      <w:r>
        <w:rPr>
          <w:rFonts w:hint="eastAsia" w:ascii="宋体" w:hAnsi="宋体" w:cs="宋体"/>
        </w:rPr>
        <w:t>《平政桥记》（曾丰·德庆知州）、《唐文献公宋十大夫祠记》（张庚·主簿）、《忠孝祠记》、《梁侯祠记》（黄枢·司法参军）、《黄太守祠记》（屈竦·郡人）、《始兴县儒学记》（元刘岳申，提举）、《大中书院记》（一为明·罗伦·修撰；二为桑悦·训导）、《奎星阁记》（桑悦·训导）、《重修南雄郡邑学记》（赵珤·督学）、《重修太平桥记》（江璞·知府）、《通济镇记》（江璞）、《玲珑岩记》（江璞）、《延祥寺浮屠记》（邱濬）、《西清书院记》（倪宗正·知府）、《重修保昌县儒学记》（黄佐·祭酒）、《重修张文献祠记》（何维柏·尚书）、《重修保昌县儒学记》（王宏·知府）《重修德星祠记》（谭大初·尚书）、《甃沿河水城记》（谭大初）、《延村水城记》（谭大初）、《重修长圃桥记》（谭大初）、《重修万年桥记》（谭大初）、《修城池记略》（罗侨）、《玲珑岩记》（戴科·广州知府）、《建太平桥记》（周保·知府）、《赎复宏道书院记》（周保）、《重修文献公祠记》（吴应焌·主簿）、《重修南雄府儒学文庙记》（郭士材·同知）、《始兴迁学记》（杨大闰）、《郡侯望云张公生祠记》（孙克恕·副使）、《梅岭曲江祠记》（郭棐）、《保昌县学新建启圣祠记》（郑逊·训导）、《重修保昌县文昌祠记》（郑逊）、《重修保昌县城隍庙碑记》（郑逊）、《重修礼师桥记》（范光曦·郡守）、《重修府学文庙记》（范光曦）、《重修南雄府学射圃碑记》（王</w:t>
      </w:r>
      <w:r>
        <w:rPr>
          <w:rFonts w:hint="eastAsia" w:ascii="宋体" w:hAnsi="宋体" w:cs="宋体"/>
        </w:rPr>
        <w:drawing>
          <wp:inline distT="0" distB="0" distL="0" distR="0">
            <wp:extent cx="214630" cy="190500"/>
            <wp:effectExtent l="0" t="0" r="13970" b="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a:xfrm>
                      <a:off x="0" y="0"/>
                      <a:ext cx="214630" cy="190500"/>
                    </a:xfrm>
                    <a:prstGeom prst="rect">
                      <a:avLst/>
                    </a:prstGeom>
                    <a:noFill/>
                    <a:ln>
                      <a:noFill/>
                    </a:ln>
                  </pic:spPr>
                </pic:pic>
              </a:graphicData>
            </a:graphic>
          </wp:inline>
        </w:drawing>
      </w:r>
      <w:r>
        <w:rPr>
          <w:rFonts w:hint="eastAsia" w:ascii="宋体" w:hAnsi="宋体" w:cs="宋体"/>
        </w:rPr>
        <w:t>·郡守）、《重修饮仁亭记》（李夔龙）、《梅岭挂角寺瞻租碑记》（李蘷龙）、《重修保昌学东西两庑</w:t>
      </w:r>
      <w:r>
        <w:rPr>
          <w:rFonts w:hint="eastAsia" w:ascii="宋体" w:hAnsi="宋体" w:cs="宋体"/>
        </w:rPr>
        <w:drawing>
          <wp:inline distT="0" distB="0" distL="0" distR="0">
            <wp:extent cx="190500" cy="228600"/>
            <wp:effectExtent l="0" t="0" r="0" b="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a:xfrm>
                      <a:off x="0" y="0"/>
                      <a:ext cx="190500" cy="228600"/>
                    </a:xfrm>
                    <a:prstGeom prst="rect">
                      <a:avLst/>
                    </a:prstGeom>
                    <a:noFill/>
                    <a:ln>
                      <a:noFill/>
                    </a:ln>
                  </pic:spPr>
                </pic:pic>
              </a:graphicData>
            </a:graphic>
          </wp:inline>
        </w:drawing>
      </w:r>
      <w:r>
        <w:rPr>
          <w:rFonts w:hint="eastAsia" w:ascii="宋体" w:hAnsi="宋体" w:cs="宋体"/>
        </w:rPr>
        <w:t>星门记》（王冉·广东学道）、《重修大庾岭张文献公祠记》（胡文伯·广东承宣布政使司）、《重修南雄府道南书院记》（胡文伯）、《道南书院记》（宋淇源·知府）、《道南书院记》（陈景埙·同知）、《古榕记》（宋在诗·鸿胪）、《南雄重修郡学宫记》（邱学敏）、《南雄雄州会馆碑文》（佚名·郡人）、《捐修梅岭石路补种松梅记》（觉罗吉庆·两广制府）、《改建武庙记》（戴锡纶·知州）、《重修梅岭云峰碑记》（罗含章）。</w:t>
      </w:r>
    </w:p>
    <w:p w14:paraId="6634B861">
      <w:pPr>
        <w:ind w:firstLine="422"/>
        <w:rPr>
          <w:rFonts w:ascii="宋体" w:hAnsi="宋体" w:cs="宋体"/>
          <w:b/>
          <w:bCs/>
        </w:rPr>
      </w:pPr>
      <w:r>
        <w:rPr>
          <w:rFonts w:hint="eastAsia" w:ascii="宋体" w:hAnsi="宋体" w:cs="宋体"/>
          <w:b/>
          <w:bCs/>
        </w:rPr>
        <w:t>（二）现代文学作品目录选</w:t>
      </w:r>
    </w:p>
    <w:p w14:paraId="6214E297">
      <w:pPr>
        <w:ind w:firstLine="420"/>
        <w:rPr>
          <w:rFonts w:ascii="宋体" w:hAnsi="宋体" w:cs="宋体"/>
        </w:rPr>
      </w:pPr>
      <w:r>
        <w:rPr>
          <w:rFonts w:hint="eastAsia" w:ascii="宋体" w:hAnsi="宋体" w:cs="宋体"/>
        </w:rPr>
        <w:t>新中国成立后，获广东省群众艺术馆各类评奖的作品有小说《酒师傅和酒的故事》、《油罐喜剧》（以上作者吴达明），《小姑相嫂》（作者林岚），采茶戏《胡椒嫂说媒》（作者李英群），表演唱《看孙女》（作者唐克文、黄相群）。</w:t>
      </w:r>
    </w:p>
    <w:p w14:paraId="5675F9FB">
      <w:pPr>
        <w:ind w:firstLine="420"/>
        <w:rPr>
          <w:rFonts w:ascii="宋体" w:hAnsi="宋体" w:cs="宋体"/>
        </w:rPr>
      </w:pPr>
      <w:r>
        <w:rPr>
          <w:rFonts w:hint="eastAsia" w:ascii="宋体" w:hAnsi="宋体" w:cs="宋体"/>
        </w:rPr>
        <w:t>故事《黄荆妹三圆读书梦》获1994年广东省业余文艺作品二等奖，故事《奇特的姻缘》获广东省1996年业余文艺作品二等奖，小戏《拉靠山》获广东省2001年业余文艺作品二等奖，小戏《三花抡爹》获广东省2002年业余文艺作品三等奖，小品《一盆洗脚水》获广东省2004年业余文艺作品二等奖，小戏《寡妇门前》获广东省2005年业余文艺作品一等奖（以上作者李光利）。故事《阿欢的故事》获广东省1994年业余文艺作品三等奖（作者姚庆彩）。小品《山庙村的和尚》获中国戏剧家协会2004年优秀表演奖、剧目一等奖（作者郭盛蓬）。</w:t>
      </w:r>
    </w:p>
    <w:p w14:paraId="079044F5">
      <w:pPr>
        <w:pStyle w:val="5"/>
        <w:rPr>
          <w:rFonts w:ascii="宋体" w:hAnsi="宋体" w:cs="宋体"/>
        </w:rPr>
      </w:pPr>
      <w:r>
        <w:rPr>
          <w:rFonts w:hint="eastAsia" w:ascii="宋体" w:hAnsi="宋体" w:cs="宋体"/>
        </w:rPr>
        <w:t>二、雕塑、篆刻、工艺、书画、音乐、舞蹈、摄影</w:t>
      </w:r>
    </w:p>
    <w:p w14:paraId="29754FF2">
      <w:pPr>
        <w:ind w:firstLine="422"/>
        <w:rPr>
          <w:rFonts w:ascii="宋体" w:hAnsi="宋体" w:cs="宋体"/>
          <w:b/>
          <w:bCs/>
        </w:rPr>
      </w:pPr>
      <w:r>
        <w:rPr>
          <w:rFonts w:hint="eastAsia" w:ascii="宋体" w:hAnsi="宋体" w:cs="宋体"/>
          <w:b/>
          <w:bCs/>
        </w:rPr>
        <w:t>（一）雕塑、篆刻、工艺</w:t>
      </w:r>
    </w:p>
    <w:p w14:paraId="004A9CB5">
      <w:pPr>
        <w:ind w:firstLine="420"/>
        <w:rPr>
          <w:rFonts w:ascii="宋体" w:hAnsi="宋体" w:cs="宋体"/>
        </w:rPr>
      </w:pPr>
      <w:r>
        <w:rPr>
          <w:rFonts w:hint="eastAsia" w:ascii="宋体" w:hAnsi="宋体" w:cs="宋体"/>
        </w:rPr>
        <w:t>坐落在广州市中山纪念堂广场的《孙中山铜像》、坐落在广州市越秀山的《五羊石像》、坐落在广州烈士陵园内的《广州起义纪念碑》，前两项获1987年全国城市雕塑首届评奖优秀作品奖。上述作品均系邑人尹积昌创作。尹曾任全国城市雕塑委员会委员、广州市城市雕塑艺术委员会副主任、广州市美术家协会副主席等职，高级美术师，有传。</w:t>
      </w:r>
    </w:p>
    <w:p w14:paraId="7A6AECD1">
      <w:pPr>
        <w:ind w:firstLine="420"/>
        <w:rPr>
          <w:rFonts w:ascii="宋体" w:hAnsi="宋体" w:cs="宋体"/>
        </w:rPr>
      </w:pPr>
      <w:r>
        <w:rPr>
          <w:rFonts w:hint="eastAsia" w:ascii="宋体" w:hAnsi="宋体" w:cs="宋体"/>
        </w:rPr>
        <w:t>被中国历史博物馆收藏展出的《李闯王》和被选入全国城市雕塑展览的坐落在乐昌市坪石金鸡岭上的大型摩崖石刻浮雕《盘古开天辟地、女娲造人补天、后羿射日除兽》，上述作品系邑人李祥美创作。李现任韶关市群众艺术馆副馆长、副研究员，中国美术家协会广东分会会员，美协韶关支会副会长。</w:t>
      </w:r>
    </w:p>
    <w:p w14:paraId="0E941D3C">
      <w:pPr>
        <w:ind w:firstLine="420"/>
        <w:rPr>
          <w:rFonts w:ascii="宋体" w:hAnsi="宋体" w:cs="宋体"/>
        </w:rPr>
      </w:pPr>
      <w:r>
        <w:rPr>
          <w:rFonts w:hint="eastAsia" w:ascii="宋体" w:hAnsi="宋体" w:cs="宋体"/>
        </w:rPr>
        <w:t>在县内的有坐落在县城东烈士陵园内的《南雄县人民英雄纪念碑》塑像，作者何纪勋，南雄城人，原南雄中学美术教师。</w:t>
      </w:r>
    </w:p>
    <w:p w14:paraId="00B00AEA">
      <w:pPr>
        <w:ind w:firstLine="420"/>
        <w:rPr>
          <w:rFonts w:ascii="宋体" w:hAnsi="宋体" w:cs="宋体"/>
        </w:rPr>
      </w:pPr>
      <w:r>
        <w:rPr>
          <w:rFonts w:hint="eastAsia" w:ascii="宋体" w:hAnsi="宋体" w:cs="宋体"/>
        </w:rPr>
        <w:t>清末篆刻《惠风和畅》、《长相思》、《只可自怡悦》、《平分风月》、《相天下士》、《鸳鸯》，篆法潇洒，布局新奇，形式优美。作者：吴作霖，有传。</w:t>
      </w:r>
    </w:p>
    <w:p w14:paraId="1B46546E">
      <w:pPr>
        <w:ind w:firstLine="420"/>
        <w:rPr>
          <w:rFonts w:ascii="宋体" w:hAnsi="宋体" w:cs="宋体"/>
        </w:rPr>
      </w:pPr>
      <w:r>
        <w:rPr>
          <w:rFonts w:hint="eastAsia" w:ascii="宋体" w:hAnsi="宋体" w:cs="宋体"/>
        </w:rPr>
        <w:t>工艺创作《春之歌》，1983年获省美术交流会创作优秀奖；旋木工艺《木艺圆珠笔》，1986年获轻工部举办中国工艺美术《百花奖》优秀创作奖；竹雕工艺《苗寨新墟》、《东郭新传》，1986年获广东省第三届艺代会优秀作品奖和优秀创作奖，以上作品作者陈继彭，县竹具工艺厂干部，工艺美术师（《木艺圆珠笔》与邹志安合作）。</w:t>
      </w:r>
    </w:p>
    <w:p w14:paraId="1F32AE0C">
      <w:pPr>
        <w:ind w:firstLine="422"/>
        <w:rPr>
          <w:rFonts w:ascii="宋体" w:hAnsi="宋体" w:cs="宋体"/>
          <w:b/>
          <w:bCs/>
        </w:rPr>
      </w:pPr>
      <w:r>
        <w:rPr>
          <w:rFonts w:hint="eastAsia" w:ascii="宋体" w:hAnsi="宋体" w:cs="宋体"/>
          <w:b/>
          <w:bCs/>
        </w:rPr>
        <w:t>（二）书画</w:t>
      </w:r>
    </w:p>
    <w:p w14:paraId="5980862A">
      <w:pPr>
        <w:ind w:firstLine="420"/>
        <w:rPr>
          <w:rFonts w:ascii="宋体" w:hAnsi="宋体" w:cs="宋体"/>
        </w:rPr>
      </w:pPr>
      <w:r>
        <w:rPr>
          <w:rFonts w:hint="eastAsia" w:ascii="宋体" w:hAnsi="宋体" w:cs="宋体"/>
        </w:rPr>
        <w:t>国画《山水画》、《十八罗汉图》，隶书对联“芝兰气味松筠操，龙马精神海鹤姿”。作者：清末秀才吴作霖。</w:t>
      </w:r>
    </w:p>
    <w:p w14:paraId="0AC0452F">
      <w:pPr>
        <w:ind w:firstLine="420"/>
        <w:rPr>
          <w:rFonts w:ascii="宋体" w:hAnsi="宋体" w:cs="宋体"/>
        </w:rPr>
      </w:pPr>
      <w:r>
        <w:rPr>
          <w:rFonts w:hint="eastAsia" w:ascii="宋体" w:hAnsi="宋体" w:cs="宋体"/>
        </w:rPr>
        <w:t>国画《梅兰竹菊图》、《松梅图》，书法《菩萨蛮·黄鹤楼》（毛泽东词）等。作者：廖筱斋。</w:t>
      </w:r>
    </w:p>
    <w:p w14:paraId="48AEA9D4">
      <w:pPr>
        <w:ind w:firstLine="420"/>
        <w:rPr>
          <w:rFonts w:ascii="宋体" w:hAnsi="宋体" w:cs="宋体"/>
        </w:rPr>
      </w:pPr>
      <w:r>
        <w:rPr>
          <w:rFonts w:hint="eastAsia" w:ascii="宋体" w:hAnsi="宋体" w:cs="宋体"/>
        </w:rPr>
        <w:t>年画《龙腾神州》，1985年1月获第三届全国年画评奖三等奖，作者杨立群，原县文化馆干部（馆员），中国美术家协会广东分会会员。</w:t>
      </w:r>
    </w:p>
    <w:p w14:paraId="2B42C0F7">
      <w:pPr>
        <w:ind w:firstLine="420"/>
        <w:rPr>
          <w:rFonts w:ascii="宋体" w:hAnsi="宋体" w:cs="宋体"/>
        </w:rPr>
      </w:pPr>
      <w:r>
        <w:rPr>
          <w:rFonts w:hint="eastAsia" w:ascii="宋体" w:hAnsi="宋体" w:cs="宋体"/>
        </w:rPr>
        <w:t>油画《攻读》，1972年完成，1973年入选全国美术展览，获优秀奖，1974年选入人民出版社新编印的《中国画集》；油画《三八机训班》，1974年完成，当年入选全国美术展览；油画《铁姑娘》，1972年完成，当年入选全国美术展览。以上作者熊兆瑞，原县文化局副局长，后任韶关教育学院美术系主任、教授，中国美术家协会会员，广东分会理事（油画《攻读》与林墉合作）。</w:t>
      </w:r>
    </w:p>
    <w:p w14:paraId="5D7504D5">
      <w:pPr>
        <w:ind w:firstLine="420"/>
        <w:rPr>
          <w:rFonts w:ascii="宋体" w:hAnsi="宋体" w:cs="宋体"/>
        </w:rPr>
      </w:pPr>
      <w:r>
        <w:rPr>
          <w:rFonts w:hint="eastAsia" w:ascii="宋体" w:hAnsi="宋体" w:cs="宋体"/>
        </w:rPr>
        <w:t>毛笔书法《咏牡丹七绝》，1987年获牡丹杯国际书画大奖赛鼓励奖。作者张帆，中国书法家协会广东分会会员。</w:t>
      </w:r>
    </w:p>
    <w:p w14:paraId="11CEB508">
      <w:pPr>
        <w:ind w:firstLine="420"/>
        <w:rPr>
          <w:rFonts w:ascii="宋体" w:hAnsi="宋体" w:cs="宋体"/>
        </w:rPr>
      </w:pPr>
      <w:r>
        <w:rPr>
          <w:rFonts w:hint="eastAsia" w:ascii="宋体" w:hAnsi="宋体" w:cs="宋体"/>
        </w:rPr>
        <w:t>书法《抗战胜利六十周年诗》入选2005年11月国家十部门主办的纪念抗日战争胜利六十周年书画大展。《中国电影百年诗》获中国电影百年书画大赛佳作奖。以上作者严先德。</w:t>
      </w:r>
    </w:p>
    <w:p w14:paraId="660EC46E">
      <w:pPr>
        <w:ind w:firstLine="420"/>
        <w:rPr>
          <w:rFonts w:ascii="宋体" w:hAnsi="宋体" w:cs="宋体"/>
        </w:rPr>
      </w:pPr>
      <w:r>
        <w:rPr>
          <w:rFonts w:hint="eastAsia" w:ascii="宋体" w:hAnsi="宋体" w:cs="宋体"/>
        </w:rPr>
        <w:t>书法《精微广大  铄外镕中》荣获2005年9月纪念徐悲鸿先生诞辰110周年“东方光大杯”第二届全国书画艺术分科选评中青组“篆书优秀奖”作者朱道勤。</w:t>
      </w:r>
    </w:p>
    <w:p w14:paraId="119EA2A1">
      <w:pPr>
        <w:ind w:firstLine="420"/>
        <w:rPr>
          <w:rFonts w:ascii="宋体" w:hAnsi="宋体" w:cs="宋体"/>
        </w:rPr>
      </w:pPr>
      <w:r>
        <w:rPr>
          <w:rFonts w:hint="eastAsia" w:ascii="宋体" w:hAnsi="宋体" w:cs="宋体"/>
        </w:rPr>
        <w:t>国画《生活的强者》获1993年中国书画家协会优秀奖，《帽子峰秋雨》获1998年广州国际艺术博览会展出，《和平战士》、《同志仍须努力一孙中山先生》2005年4月由中国书画家协会选送“法国（巴黎）中国文化艺术展”参展。以上作者郑兰荣，美术讲师，南雄市文化馆美术辅导干部，中国书画家协会理事。</w:t>
      </w:r>
    </w:p>
    <w:p w14:paraId="0A2E0E86">
      <w:pPr>
        <w:ind w:firstLine="420"/>
        <w:rPr>
          <w:rFonts w:ascii="宋体" w:hAnsi="宋体" w:cs="宋体"/>
        </w:rPr>
      </w:pPr>
      <w:r>
        <w:rPr>
          <w:rFonts w:hint="eastAsia" w:ascii="宋体" w:hAnsi="宋体" w:cs="宋体"/>
        </w:rPr>
        <w:t>油画《山里人的快乐》，国画《雄关》、《梅岭瑞雪》，1999年10月入选“庆五十华诞迎澳门回归”广东省群众美术、书法、摄影作品大赛。以上作者赵飞乐，南雄城人，广州美术院研究生毕业。</w:t>
      </w:r>
    </w:p>
    <w:p w14:paraId="5D26084E">
      <w:pPr>
        <w:ind w:firstLine="420"/>
        <w:rPr>
          <w:rFonts w:ascii="宋体" w:hAnsi="宋体" w:cs="宋体"/>
        </w:rPr>
      </w:pPr>
      <w:r>
        <w:rPr>
          <w:rFonts w:hint="eastAsia" w:ascii="宋体" w:hAnsi="宋体" w:cs="宋体"/>
        </w:rPr>
        <w:t>《梦庐逸趣》，2003年由中国华侨出版社出版。作者郭盛霖，中国书法家协会广东分会会员。</w:t>
      </w:r>
    </w:p>
    <w:p w14:paraId="31CFA60F">
      <w:pPr>
        <w:ind w:firstLine="420"/>
        <w:rPr>
          <w:rFonts w:ascii="宋体" w:hAnsi="宋体" w:cs="宋体"/>
        </w:rPr>
      </w:pPr>
      <w:r>
        <w:rPr>
          <w:rFonts w:hint="eastAsia" w:ascii="宋体" w:hAnsi="宋体" w:cs="宋体"/>
        </w:rPr>
        <w:t>《董仲画集》，2004年由人民日报社出版。作者董仲，中国国画家协会理事。</w:t>
      </w:r>
    </w:p>
    <w:p w14:paraId="4215EB1F">
      <w:pPr>
        <w:ind w:firstLine="422"/>
        <w:rPr>
          <w:rFonts w:ascii="宋体" w:hAnsi="宋体" w:cs="宋体"/>
          <w:b/>
          <w:bCs/>
        </w:rPr>
      </w:pPr>
      <w:r>
        <w:rPr>
          <w:rFonts w:hint="eastAsia" w:ascii="宋体" w:hAnsi="宋体" w:cs="宋体"/>
          <w:b/>
          <w:bCs/>
        </w:rPr>
        <w:t>（三）音乐、舞蹈</w:t>
      </w:r>
    </w:p>
    <w:p w14:paraId="2D0F4ECE">
      <w:pPr>
        <w:ind w:firstLine="420"/>
        <w:rPr>
          <w:rFonts w:ascii="宋体" w:hAnsi="宋体" w:cs="宋体"/>
        </w:rPr>
      </w:pPr>
      <w:r>
        <w:rPr>
          <w:rFonts w:hint="eastAsia" w:ascii="宋体" w:hAnsi="宋体" w:cs="宋体"/>
        </w:rPr>
        <w:t>二胡协奏曲：《风雪夜归人》，1984年11月在香港中乐名家独奏音乐会演出获好评。作曲和演奏均系朱道忠，南雄县雄州镇人，中国民族管弦乐学会会员、香港布政司署音乐事务统筹处助理音乐主任。</w:t>
      </w:r>
    </w:p>
    <w:p w14:paraId="0210ABD5">
      <w:pPr>
        <w:ind w:firstLine="420"/>
        <w:rPr>
          <w:rFonts w:ascii="宋体" w:hAnsi="宋体" w:cs="宋体"/>
        </w:rPr>
      </w:pPr>
      <w:r>
        <w:rPr>
          <w:rFonts w:hint="eastAsia" w:ascii="宋体" w:hAnsi="宋体" w:cs="宋体"/>
        </w:rPr>
        <w:t>《茶山新曲》，1983年获广东省群众艺术馆举办的业余文艺作品三等奖，作者刘运珩，中国音乐家协会广东分会会员。</w:t>
      </w:r>
    </w:p>
    <w:p w14:paraId="373AD771">
      <w:pPr>
        <w:ind w:firstLine="420"/>
        <w:rPr>
          <w:rFonts w:ascii="宋体" w:hAnsi="宋体" w:cs="宋体"/>
        </w:rPr>
      </w:pPr>
      <w:r>
        <w:rPr>
          <w:rFonts w:hint="eastAsia" w:ascii="宋体" w:hAnsi="宋体" w:cs="宋体"/>
        </w:rPr>
        <w:t>《农民个个笑哈哈》，1983年获广东省职工业余音乐、曲艺作品优秀奖，作者肖坚，雄州镇第一中学教师。</w:t>
      </w:r>
    </w:p>
    <w:p w14:paraId="3BBF1626">
      <w:pPr>
        <w:ind w:firstLine="420"/>
        <w:rPr>
          <w:rFonts w:ascii="宋体" w:hAnsi="宋体" w:cs="宋体"/>
        </w:rPr>
      </w:pPr>
      <w:r>
        <w:rPr>
          <w:rFonts w:hint="eastAsia" w:ascii="宋体" w:hAnsi="宋体" w:cs="宋体"/>
        </w:rPr>
        <w:t>舞蹈《锦绣中华》，1993年10月获广东省文化厅三等奖，作者朱淑贞。</w:t>
      </w:r>
    </w:p>
    <w:p w14:paraId="5634CA99">
      <w:pPr>
        <w:ind w:firstLine="420"/>
        <w:rPr>
          <w:rFonts w:ascii="宋体" w:hAnsi="宋体" w:cs="宋体"/>
        </w:rPr>
      </w:pPr>
      <w:r>
        <w:rPr>
          <w:rFonts w:hint="eastAsia" w:ascii="宋体" w:hAnsi="宋体" w:cs="宋体"/>
        </w:rPr>
        <w:t>少儿舞蹈《绿》、《客家童谣》、《小茶女戏刘二》，详见本章第五节。</w:t>
      </w:r>
    </w:p>
    <w:p w14:paraId="4D93AEEA">
      <w:pPr>
        <w:ind w:firstLine="422"/>
        <w:rPr>
          <w:rFonts w:ascii="宋体" w:hAnsi="宋体" w:cs="宋体"/>
          <w:b/>
          <w:bCs/>
        </w:rPr>
      </w:pPr>
      <w:r>
        <w:rPr>
          <w:rFonts w:hint="eastAsia" w:ascii="宋体" w:hAnsi="宋体" w:cs="宋体"/>
          <w:b/>
          <w:bCs/>
        </w:rPr>
        <w:t>（四）摄影</w:t>
      </w:r>
    </w:p>
    <w:p w14:paraId="6788A131">
      <w:pPr>
        <w:ind w:firstLine="420"/>
        <w:rPr>
          <w:rFonts w:ascii="宋体" w:hAnsi="宋体" w:cs="宋体"/>
        </w:rPr>
      </w:pPr>
      <w:r>
        <w:rPr>
          <w:rFonts w:hint="eastAsia" w:ascii="宋体" w:hAnsi="宋体" w:cs="宋体"/>
        </w:rPr>
        <w:t>彩照《征途》，1981年获中国摄影“当代人”摄影比赛三等奖。作者沈学溪，原县文化局干部。</w:t>
      </w:r>
    </w:p>
    <w:p w14:paraId="637E7BAF">
      <w:pPr>
        <w:ind w:firstLine="420"/>
        <w:rPr>
          <w:rFonts w:ascii="宋体" w:hAnsi="宋体" w:cs="宋体"/>
        </w:rPr>
      </w:pPr>
      <w:r>
        <w:rPr>
          <w:rFonts w:hint="eastAsia" w:ascii="宋体" w:hAnsi="宋体" w:cs="宋体"/>
        </w:rPr>
        <w:t>彩照《黄菸获丰收》，参加1987年十省“今日长征路”摄影艺术联展，获优秀奖。作者李俊镛，韶关市摄影学会会员、南雄县摄影学会会长；李雅子，韶关市文联副秘书长、市摄影学会会长。</w:t>
      </w:r>
    </w:p>
    <w:p w14:paraId="71C2BFA4">
      <w:pPr>
        <w:ind w:firstLine="420"/>
        <w:rPr>
          <w:rFonts w:ascii="宋体" w:hAnsi="宋体" w:cs="宋体"/>
        </w:rPr>
      </w:pPr>
      <w:r>
        <w:rPr>
          <w:rFonts w:hint="eastAsia" w:ascii="宋体" w:hAnsi="宋体" w:cs="宋体"/>
        </w:rPr>
        <w:t>彩照《昔日长征路》，作者欧阳克兴；《关怀育新苗》作者李俊镛；同入选1996年第三届“今日长征路”影展。</w:t>
      </w:r>
    </w:p>
    <w:p w14:paraId="6763F0AA">
      <w:pPr>
        <w:ind w:firstLine="420"/>
        <w:rPr>
          <w:rFonts w:ascii="宋体" w:hAnsi="宋体" w:cs="宋体"/>
        </w:rPr>
      </w:pPr>
      <w:r>
        <w:rPr>
          <w:rFonts w:hint="eastAsia" w:ascii="宋体" w:hAnsi="宋体" w:cs="宋体"/>
        </w:rPr>
        <w:t>彩照《盛世龙腾》，参加2002年8月广东省“大地彩虹”美术、书法、摄影联展，获铜奖。作者李子亮。</w:t>
      </w:r>
    </w:p>
    <w:p w14:paraId="55D182C7">
      <w:pPr>
        <w:ind w:firstLine="420"/>
        <w:rPr>
          <w:rFonts w:ascii="宋体" w:hAnsi="宋体" w:cs="宋体"/>
        </w:rPr>
      </w:pPr>
      <w:r>
        <w:rPr>
          <w:rFonts w:hint="eastAsia" w:ascii="宋体" w:hAnsi="宋体" w:cs="宋体"/>
        </w:rPr>
        <w:t>彩照《追晚霞》、《夜市》，参加2001年“爱我中华照我大地”全国摄影大赛获鼓励奖。《追晚霞》作者郭学忠，《夜市》作者成景华。</w:t>
      </w:r>
    </w:p>
    <w:p w14:paraId="2F0E6C45">
      <w:pPr>
        <w:pStyle w:val="5"/>
        <w:rPr>
          <w:rFonts w:ascii="宋体" w:hAnsi="宋体" w:cs="宋体"/>
        </w:rPr>
      </w:pPr>
      <w:r>
        <w:rPr>
          <w:rFonts w:hint="eastAsia" w:ascii="宋体" w:hAnsi="宋体" w:cs="宋体"/>
        </w:rPr>
        <w:t>三、著作书目</w:t>
      </w:r>
    </w:p>
    <w:p w14:paraId="3E8FF296">
      <w:pPr>
        <w:ind w:firstLine="422"/>
        <w:rPr>
          <w:rFonts w:ascii="宋体" w:hAnsi="宋体" w:cs="宋体"/>
          <w:b/>
          <w:bCs/>
        </w:rPr>
      </w:pPr>
      <w:r>
        <w:rPr>
          <w:rFonts w:hint="eastAsia" w:ascii="宋体" w:hAnsi="宋体" w:cs="宋体"/>
          <w:b/>
          <w:bCs/>
        </w:rPr>
        <w:t>（一）古代著作书目</w:t>
      </w:r>
    </w:p>
    <w:p w14:paraId="1335D68D">
      <w:pPr>
        <w:ind w:firstLine="420"/>
        <w:rPr>
          <w:rFonts w:ascii="宋体" w:hAnsi="宋体" w:cs="宋体"/>
        </w:rPr>
      </w:pPr>
      <w:r>
        <w:rPr>
          <w:rFonts w:hint="eastAsia" w:ascii="宋体" w:hAnsi="宋体" w:cs="宋体"/>
        </w:rPr>
        <w:t>邑人历代著作颇丰，多不存。</w:t>
      </w:r>
    </w:p>
    <w:p w14:paraId="333E1E45">
      <w:pPr>
        <w:ind w:firstLine="420"/>
        <w:rPr>
          <w:rFonts w:ascii="宋体" w:hAnsi="宋体" w:cs="宋体"/>
        </w:rPr>
      </w:pPr>
      <w:r>
        <w:rPr>
          <w:rFonts w:hint="eastAsia" w:ascii="宋体" w:hAnsi="宋体" w:cs="宋体"/>
        </w:rPr>
        <w:t>《次川存稿》六卷，作者谭大初，南雄北门人，明嘉靖进士，累官至户部尚书。</w:t>
      </w:r>
    </w:p>
    <w:p w14:paraId="1BDEA7B4">
      <w:pPr>
        <w:ind w:firstLine="420"/>
        <w:rPr>
          <w:rFonts w:ascii="宋体" w:hAnsi="宋体" w:cs="宋体"/>
        </w:rPr>
      </w:pPr>
      <w:r>
        <w:rPr>
          <w:rFonts w:hint="eastAsia" w:ascii="宋体" w:hAnsi="宋体" w:cs="宋体"/>
        </w:rPr>
        <w:t>医学著作《西来集》和《知蒙医镜》，久佚。作者张中和，清康熙保昌人，名医。</w:t>
      </w:r>
    </w:p>
    <w:p w14:paraId="5BAD07F6">
      <w:pPr>
        <w:ind w:firstLine="420"/>
        <w:rPr>
          <w:rFonts w:ascii="宋体" w:hAnsi="宋体" w:cs="宋体"/>
        </w:rPr>
      </w:pPr>
      <w:r>
        <w:rPr>
          <w:rFonts w:hint="eastAsia" w:ascii="宋体" w:hAnsi="宋体" w:cs="宋体"/>
        </w:rPr>
        <w:t>《四书详说》、《十三经解》、《四朝七律》、《历代诗选随笔》，《柱峰制艺》、《天镜阁》，均久佚。作者曹</w:t>
      </w:r>
      <w:r>
        <w:rPr>
          <w:rFonts w:hint="eastAsia" w:ascii="宋体" w:hAnsi="宋体" w:cs="宋体"/>
        </w:rPr>
        <w:drawing>
          <wp:inline distT="0" distB="0" distL="0" distR="0">
            <wp:extent cx="224155" cy="224155"/>
            <wp:effectExtent l="0" t="0" r="4445" b="4445"/>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a:xfrm>
                      <a:off x="0" y="0"/>
                      <a:ext cx="224155" cy="224155"/>
                    </a:xfrm>
                    <a:prstGeom prst="rect">
                      <a:avLst/>
                    </a:prstGeom>
                    <a:noFill/>
                    <a:ln>
                      <a:noFill/>
                    </a:ln>
                  </pic:spPr>
                </pic:pic>
              </a:graphicData>
            </a:graphic>
          </wp:inline>
        </w:drawing>
      </w:r>
      <w:r>
        <w:rPr>
          <w:rFonts w:hint="eastAsia" w:ascii="宋体" w:hAnsi="宋体" w:cs="宋体"/>
        </w:rPr>
        <w:t>，邑人，清雍正时主持凌江讲席。</w:t>
      </w:r>
    </w:p>
    <w:p w14:paraId="42BA252B">
      <w:pPr>
        <w:ind w:firstLine="420"/>
        <w:rPr>
          <w:rFonts w:ascii="宋体" w:hAnsi="宋体" w:cs="宋体"/>
        </w:rPr>
      </w:pPr>
      <w:r>
        <w:rPr>
          <w:rFonts w:hint="eastAsia" w:ascii="宋体" w:hAnsi="宋体" w:cs="宋体"/>
        </w:rPr>
        <w:t>《蟋蟀吟初集》、《蟋蟀吟二集》、《蟋蟀吟三集》，久佚。作者戴家驹，邑人，雍正拔贡，云南马龙州知州。</w:t>
      </w:r>
    </w:p>
    <w:p w14:paraId="48753A5F">
      <w:pPr>
        <w:ind w:firstLine="420"/>
        <w:rPr>
          <w:rFonts w:ascii="宋体" w:hAnsi="宋体" w:cs="宋体"/>
        </w:rPr>
      </w:pPr>
      <w:r>
        <w:rPr>
          <w:rFonts w:hint="eastAsia" w:ascii="宋体" w:hAnsi="宋体" w:cs="宋体"/>
        </w:rPr>
        <w:t>《通鉴纲目测义》、《双柏庐文集》，久佚。作者胡定，雍正进士，监察御史。</w:t>
      </w:r>
    </w:p>
    <w:p w14:paraId="7A86F36B">
      <w:pPr>
        <w:ind w:firstLine="420"/>
        <w:rPr>
          <w:rFonts w:ascii="宋体" w:hAnsi="宋体" w:cs="宋体"/>
        </w:rPr>
      </w:pPr>
      <w:r>
        <w:rPr>
          <w:rFonts w:hint="eastAsia" w:ascii="宋体" w:hAnsi="宋体" w:cs="宋体"/>
        </w:rPr>
        <w:t>《校正国音汇编》、《韵府音切编次》，久佚。作者罗赞勤，南雄城人，前清秀才。</w:t>
      </w:r>
    </w:p>
    <w:p w14:paraId="7952ABF6">
      <w:pPr>
        <w:ind w:firstLine="420"/>
        <w:rPr>
          <w:rFonts w:ascii="宋体" w:hAnsi="宋体" w:cs="宋体"/>
        </w:rPr>
      </w:pPr>
      <w:r>
        <w:rPr>
          <w:rFonts w:hint="eastAsia" w:ascii="宋体" w:hAnsi="宋体" w:cs="宋体"/>
        </w:rPr>
        <w:t>《蟁睫庐诗稿》今存。作者莫开瑶，南雄城人，清末举人，署南雄县长。</w:t>
      </w:r>
    </w:p>
    <w:p w14:paraId="7ABF1368">
      <w:pPr>
        <w:ind w:firstLine="420"/>
        <w:rPr>
          <w:rFonts w:ascii="宋体" w:hAnsi="宋体" w:cs="宋体"/>
        </w:rPr>
      </w:pPr>
      <w:r>
        <w:rPr>
          <w:rFonts w:hint="eastAsia" w:ascii="宋体" w:hAnsi="宋体" w:cs="宋体"/>
        </w:rPr>
        <w:t>此外，《直隶南雄州志》载有《沙田集》作者宋·张渐，《林塘集》作者明·李孜，《知心集》作者清·蒋勋，《娱老集》作者清·邱家榆，《四书贯珠》《怡怡斋诗文稿》作者清·黄士昌，《存恕堂文稿》《通鉴节略》各二卷作者清·刘权，《三礼大登精义》《左传疏》《学庸贯珠》《宛溪诗草》作者清·黄惟廉。此上著作均久佚。</w:t>
      </w:r>
    </w:p>
    <w:p w14:paraId="55D1643D">
      <w:pPr>
        <w:ind w:firstLine="422"/>
        <w:rPr>
          <w:rFonts w:ascii="宋体" w:hAnsi="宋体" w:cs="宋体"/>
          <w:b/>
          <w:bCs/>
        </w:rPr>
      </w:pPr>
      <w:r>
        <w:rPr>
          <w:rFonts w:hint="eastAsia" w:ascii="宋体" w:hAnsi="宋体" w:cs="宋体"/>
          <w:b/>
          <w:bCs/>
        </w:rPr>
        <w:t>（二）现代著作书目</w:t>
      </w:r>
    </w:p>
    <w:p w14:paraId="61FA28C6">
      <w:pPr>
        <w:ind w:firstLine="420"/>
        <w:rPr>
          <w:rFonts w:ascii="宋体" w:hAnsi="宋体" w:cs="宋体"/>
        </w:rPr>
      </w:pPr>
      <w:r>
        <w:rPr>
          <w:rFonts w:hint="eastAsia" w:ascii="宋体" w:hAnsi="宋体" w:cs="宋体"/>
        </w:rPr>
        <w:t>新中国成立后至1983年，少见邑人著作面世。1984年以后著作较多，以史志谱牒为主。各类书目如下：</w:t>
      </w:r>
    </w:p>
    <w:p w14:paraId="5001A136">
      <w:pPr>
        <w:ind w:firstLine="422"/>
        <w:rPr>
          <w:rFonts w:ascii="宋体" w:hAnsi="宋体" w:cs="宋体"/>
          <w:b/>
          <w:bCs/>
        </w:rPr>
      </w:pPr>
      <w:r>
        <w:rPr>
          <w:rFonts w:hint="eastAsia" w:ascii="宋体" w:hAnsi="宋体" w:cs="宋体"/>
          <w:b/>
          <w:bCs/>
        </w:rPr>
        <w:t>1.史志类书目</w:t>
      </w:r>
    </w:p>
    <w:p w14:paraId="33C607AB">
      <w:pPr>
        <w:ind w:firstLine="422"/>
        <w:jc w:val="center"/>
        <w:rPr>
          <w:rFonts w:ascii="宋体" w:hAnsi="宋体" w:cs="宋体"/>
          <w:b/>
          <w:bCs/>
        </w:rPr>
      </w:pPr>
      <w:r>
        <w:rPr>
          <w:rFonts w:hint="eastAsia" w:ascii="宋体" w:hAnsi="宋体" w:cs="宋体"/>
          <w:b/>
          <w:bCs/>
        </w:rPr>
        <w:t>南雄地方志丛书（33部）</w:t>
      </w:r>
    </w:p>
    <w:p w14:paraId="7476BAA0">
      <w:pPr>
        <w:ind w:firstLine="0" w:firstLineChars="0"/>
        <w:rPr>
          <w:rFonts w:ascii="宋体" w:hAnsi="宋体" w:cs="宋体"/>
          <w:b/>
          <w:bCs/>
        </w:rPr>
      </w:pPr>
      <w:r>
        <w:rPr>
          <w:rFonts w:hint="eastAsia" w:ascii="宋体" w:hAnsi="宋体" w:cs="宋体"/>
          <w:b/>
          <w:bCs/>
        </w:rPr>
        <w:t>表5-7</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40"/>
        <w:gridCol w:w="1351"/>
        <w:gridCol w:w="2124"/>
        <w:gridCol w:w="4247"/>
      </w:tblGrid>
      <w:tr w14:paraId="2B385B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100EBF6C">
            <w:pPr>
              <w:pStyle w:val="12"/>
              <w:jc w:val="center"/>
              <w:rPr>
                <w:b/>
              </w:rPr>
            </w:pPr>
            <w:r>
              <w:rPr>
                <w:rFonts w:hint="eastAsia"/>
                <w:b/>
              </w:rPr>
              <w:t>书  名</w:t>
            </w:r>
          </w:p>
        </w:tc>
        <w:tc>
          <w:tcPr>
            <w:tcW w:w="678" w:type="pct"/>
            <w:vAlign w:val="center"/>
          </w:tcPr>
          <w:p w14:paraId="38BBF8B6">
            <w:pPr>
              <w:pStyle w:val="12"/>
              <w:jc w:val="center"/>
              <w:rPr>
                <w:b/>
              </w:rPr>
            </w:pPr>
            <w:r>
              <w:rPr>
                <w:rFonts w:hint="eastAsia"/>
                <w:b/>
              </w:rPr>
              <w:t>主编</w:t>
            </w:r>
          </w:p>
        </w:tc>
        <w:tc>
          <w:tcPr>
            <w:tcW w:w="1066" w:type="pct"/>
            <w:vAlign w:val="center"/>
          </w:tcPr>
          <w:p w14:paraId="259E02F7">
            <w:pPr>
              <w:pStyle w:val="12"/>
              <w:jc w:val="center"/>
              <w:rPr>
                <w:b/>
              </w:rPr>
            </w:pPr>
            <w:r>
              <w:rPr>
                <w:rFonts w:hint="eastAsia"/>
                <w:b/>
              </w:rPr>
              <w:t>出版时间</w:t>
            </w:r>
          </w:p>
        </w:tc>
        <w:tc>
          <w:tcPr>
            <w:tcW w:w="2131" w:type="pct"/>
            <w:vAlign w:val="center"/>
          </w:tcPr>
          <w:p w14:paraId="354B9F48">
            <w:pPr>
              <w:pStyle w:val="12"/>
              <w:jc w:val="center"/>
              <w:rPr>
                <w:b/>
              </w:rPr>
            </w:pPr>
            <w:r>
              <w:rPr>
                <w:rFonts w:hint="eastAsia"/>
                <w:b/>
              </w:rPr>
              <w:t>编纂单位或出版单位</w:t>
            </w:r>
          </w:p>
        </w:tc>
      </w:tr>
      <w:tr w14:paraId="2B7746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04BEE33B">
            <w:pPr>
              <w:pStyle w:val="12"/>
              <w:jc w:val="center"/>
            </w:pPr>
            <w:r>
              <w:rPr>
                <w:rFonts w:hint="eastAsia"/>
              </w:rPr>
              <w:t>南雄电力志</w:t>
            </w:r>
          </w:p>
        </w:tc>
        <w:tc>
          <w:tcPr>
            <w:tcW w:w="678" w:type="pct"/>
            <w:vAlign w:val="center"/>
          </w:tcPr>
          <w:p w14:paraId="60F3AC9E">
            <w:pPr>
              <w:pStyle w:val="12"/>
              <w:jc w:val="center"/>
            </w:pPr>
            <w:r>
              <w:rPr>
                <w:rFonts w:hint="eastAsia"/>
              </w:rPr>
              <w:t>温焯武</w:t>
            </w:r>
          </w:p>
        </w:tc>
        <w:tc>
          <w:tcPr>
            <w:tcW w:w="1066" w:type="pct"/>
            <w:vAlign w:val="center"/>
          </w:tcPr>
          <w:p w14:paraId="1D74AAAE">
            <w:pPr>
              <w:pStyle w:val="12"/>
              <w:jc w:val="center"/>
            </w:pPr>
            <w:r>
              <w:rPr>
                <w:rFonts w:hint="eastAsia"/>
              </w:rPr>
              <w:t>1986年</w:t>
            </w:r>
          </w:p>
        </w:tc>
        <w:tc>
          <w:tcPr>
            <w:tcW w:w="2131" w:type="pct"/>
            <w:vAlign w:val="center"/>
          </w:tcPr>
          <w:p w14:paraId="28704CE3">
            <w:pPr>
              <w:pStyle w:val="12"/>
              <w:jc w:val="center"/>
            </w:pPr>
            <w:r>
              <w:rPr>
                <w:rFonts w:hint="eastAsia"/>
              </w:rPr>
              <w:t>南雄县供电局编志领导小组</w:t>
            </w:r>
          </w:p>
        </w:tc>
      </w:tr>
      <w:tr w14:paraId="0BC35F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3B53FF26">
            <w:pPr>
              <w:pStyle w:val="12"/>
              <w:jc w:val="center"/>
            </w:pPr>
            <w:r>
              <w:rPr>
                <w:rFonts w:hint="eastAsia"/>
              </w:rPr>
              <w:t>棉土窝矿志</w:t>
            </w:r>
          </w:p>
        </w:tc>
        <w:tc>
          <w:tcPr>
            <w:tcW w:w="678" w:type="pct"/>
            <w:vAlign w:val="center"/>
          </w:tcPr>
          <w:p w14:paraId="7872CE8B">
            <w:pPr>
              <w:pStyle w:val="12"/>
              <w:jc w:val="center"/>
            </w:pPr>
            <w:r>
              <w:rPr>
                <w:rFonts w:hint="eastAsia"/>
              </w:rPr>
              <w:t>李雨洲</w:t>
            </w:r>
          </w:p>
        </w:tc>
        <w:tc>
          <w:tcPr>
            <w:tcW w:w="1066" w:type="pct"/>
            <w:vAlign w:val="center"/>
          </w:tcPr>
          <w:p w14:paraId="20AB3397">
            <w:pPr>
              <w:pStyle w:val="12"/>
              <w:jc w:val="center"/>
            </w:pPr>
            <w:r>
              <w:rPr>
                <w:rFonts w:hint="eastAsia"/>
              </w:rPr>
              <w:t>1987年7月</w:t>
            </w:r>
          </w:p>
        </w:tc>
        <w:tc>
          <w:tcPr>
            <w:tcW w:w="2131" w:type="pct"/>
            <w:vAlign w:val="center"/>
          </w:tcPr>
          <w:p w14:paraId="7ECC3810">
            <w:pPr>
              <w:pStyle w:val="12"/>
              <w:jc w:val="center"/>
            </w:pPr>
            <w:r>
              <w:rPr>
                <w:rFonts w:hint="eastAsia"/>
              </w:rPr>
              <w:t>棉土窝矿编志小组</w:t>
            </w:r>
          </w:p>
        </w:tc>
      </w:tr>
      <w:tr w14:paraId="4A26F7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77A4035B">
            <w:pPr>
              <w:pStyle w:val="12"/>
              <w:jc w:val="center"/>
            </w:pPr>
            <w:r>
              <w:rPr>
                <w:rFonts w:hint="eastAsia"/>
              </w:rPr>
              <w:t>南雄黄烟志</w:t>
            </w:r>
          </w:p>
        </w:tc>
        <w:tc>
          <w:tcPr>
            <w:tcW w:w="678" w:type="pct"/>
            <w:vAlign w:val="center"/>
          </w:tcPr>
          <w:p w14:paraId="0E2A8053">
            <w:pPr>
              <w:pStyle w:val="12"/>
              <w:jc w:val="center"/>
            </w:pPr>
            <w:r>
              <w:rPr>
                <w:rFonts w:hint="eastAsia"/>
              </w:rPr>
              <w:t>罗凯燊</w:t>
            </w:r>
          </w:p>
        </w:tc>
        <w:tc>
          <w:tcPr>
            <w:tcW w:w="1066" w:type="pct"/>
            <w:vAlign w:val="center"/>
          </w:tcPr>
          <w:p w14:paraId="3B36652F">
            <w:pPr>
              <w:pStyle w:val="12"/>
              <w:jc w:val="center"/>
            </w:pPr>
            <w:r>
              <w:rPr>
                <w:rFonts w:hint="eastAsia"/>
              </w:rPr>
              <w:t>1988年3月</w:t>
            </w:r>
          </w:p>
        </w:tc>
        <w:tc>
          <w:tcPr>
            <w:tcW w:w="2131" w:type="pct"/>
            <w:vAlign w:val="center"/>
          </w:tcPr>
          <w:p w14:paraId="212CE71C">
            <w:pPr>
              <w:pStyle w:val="12"/>
              <w:jc w:val="center"/>
            </w:pPr>
            <w:r>
              <w:rPr>
                <w:rFonts w:hint="eastAsia"/>
              </w:rPr>
              <w:t>南雄县志办审定编入南雄地方志丛书</w:t>
            </w:r>
          </w:p>
        </w:tc>
      </w:tr>
      <w:tr w14:paraId="1F5019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5B8D6549">
            <w:pPr>
              <w:pStyle w:val="12"/>
              <w:jc w:val="center"/>
            </w:pPr>
            <w:r>
              <w:rPr>
                <w:rFonts w:hint="eastAsia"/>
              </w:rPr>
              <w:t>南雄政权志</w:t>
            </w:r>
          </w:p>
        </w:tc>
        <w:tc>
          <w:tcPr>
            <w:tcW w:w="678" w:type="pct"/>
            <w:vAlign w:val="center"/>
          </w:tcPr>
          <w:p w14:paraId="5F3E6A20">
            <w:pPr>
              <w:pStyle w:val="12"/>
              <w:jc w:val="center"/>
            </w:pPr>
            <w:r>
              <w:rPr>
                <w:rFonts w:hint="eastAsia"/>
              </w:rPr>
              <w:t>罗凯燊</w:t>
            </w:r>
          </w:p>
        </w:tc>
        <w:tc>
          <w:tcPr>
            <w:tcW w:w="1066" w:type="pct"/>
            <w:vAlign w:val="center"/>
          </w:tcPr>
          <w:p w14:paraId="2282D19B">
            <w:pPr>
              <w:pStyle w:val="12"/>
              <w:jc w:val="center"/>
            </w:pPr>
            <w:r>
              <w:rPr>
                <w:rFonts w:hint="eastAsia"/>
              </w:rPr>
              <w:t>1988年3月</w:t>
            </w:r>
          </w:p>
        </w:tc>
        <w:tc>
          <w:tcPr>
            <w:tcW w:w="2131" w:type="pct"/>
            <w:vAlign w:val="center"/>
          </w:tcPr>
          <w:p w14:paraId="6487F2C1">
            <w:pPr>
              <w:pStyle w:val="12"/>
              <w:jc w:val="center"/>
            </w:pPr>
            <w:r>
              <w:rPr>
                <w:rFonts w:hint="eastAsia"/>
              </w:rPr>
              <w:t>南雄县志办审定编入南雄地方志丛书</w:t>
            </w:r>
          </w:p>
        </w:tc>
      </w:tr>
      <w:tr w14:paraId="500953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3FBF596B">
            <w:pPr>
              <w:pStyle w:val="12"/>
              <w:jc w:val="center"/>
            </w:pPr>
            <w:r>
              <w:rPr>
                <w:rFonts w:hint="eastAsia"/>
              </w:rPr>
              <w:t>南雄卫生志</w:t>
            </w:r>
          </w:p>
        </w:tc>
        <w:tc>
          <w:tcPr>
            <w:tcW w:w="678" w:type="pct"/>
            <w:vAlign w:val="center"/>
          </w:tcPr>
          <w:p w14:paraId="0782B2C2">
            <w:pPr>
              <w:pStyle w:val="12"/>
              <w:jc w:val="center"/>
            </w:pPr>
            <w:r>
              <w:rPr>
                <w:rFonts w:hint="eastAsia"/>
              </w:rPr>
              <w:t>刘攸嵩</w:t>
            </w:r>
          </w:p>
        </w:tc>
        <w:tc>
          <w:tcPr>
            <w:tcW w:w="1066" w:type="pct"/>
            <w:vAlign w:val="center"/>
          </w:tcPr>
          <w:p w14:paraId="3F82EDB5">
            <w:pPr>
              <w:pStyle w:val="12"/>
              <w:jc w:val="center"/>
            </w:pPr>
            <w:r>
              <w:rPr>
                <w:rFonts w:hint="eastAsia"/>
              </w:rPr>
              <w:t>1988年6月</w:t>
            </w:r>
          </w:p>
        </w:tc>
        <w:tc>
          <w:tcPr>
            <w:tcW w:w="2131" w:type="pct"/>
            <w:vAlign w:val="center"/>
          </w:tcPr>
          <w:p w14:paraId="3D135AA3">
            <w:pPr>
              <w:pStyle w:val="12"/>
              <w:jc w:val="center"/>
            </w:pPr>
            <w:r>
              <w:rPr>
                <w:rFonts w:hint="eastAsia"/>
              </w:rPr>
              <w:t>南雄县志办审定编入南雄地方志丛书</w:t>
            </w:r>
          </w:p>
        </w:tc>
      </w:tr>
      <w:tr w14:paraId="745A63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2AD395FF">
            <w:pPr>
              <w:pStyle w:val="12"/>
              <w:jc w:val="center"/>
            </w:pPr>
            <w:r>
              <w:rPr>
                <w:rFonts w:hint="eastAsia"/>
              </w:rPr>
              <w:t>南雄药志</w:t>
            </w:r>
          </w:p>
        </w:tc>
        <w:tc>
          <w:tcPr>
            <w:tcW w:w="678" w:type="pct"/>
            <w:vAlign w:val="center"/>
          </w:tcPr>
          <w:p w14:paraId="3811B700">
            <w:pPr>
              <w:pStyle w:val="12"/>
              <w:jc w:val="center"/>
            </w:pPr>
            <w:r>
              <w:rPr>
                <w:rFonts w:hint="eastAsia"/>
              </w:rPr>
              <w:t>阙向东</w:t>
            </w:r>
          </w:p>
        </w:tc>
        <w:tc>
          <w:tcPr>
            <w:tcW w:w="1066" w:type="pct"/>
            <w:vAlign w:val="center"/>
          </w:tcPr>
          <w:p w14:paraId="7D85FD9C">
            <w:pPr>
              <w:pStyle w:val="12"/>
              <w:jc w:val="center"/>
            </w:pPr>
            <w:r>
              <w:rPr>
                <w:rFonts w:hint="eastAsia"/>
              </w:rPr>
              <w:t>1988年6月</w:t>
            </w:r>
          </w:p>
        </w:tc>
        <w:tc>
          <w:tcPr>
            <w:tcW w:w="2131" w:type="pct"/>
            <w:vAlign w:val="center"/>
          </w:tcPr>
          <w:p w14:paraId="7EE60EBC">
            <w:pPr>
              <w:pStyle w:val="12"/>
              <w:jc w:val="center"/>
            </w:pPr>
            <w:r>
              <w:rPr>
                <w:rFonts w:hint="eastAsia"/>
              </w:rPr>
              <w:t>南雄县志办审定编入南雄地方志丛书</w:t>
            </w:r>
          </w:p>
        </w:tc>
      </w:tr>
      <w:tr w14:paraId="1D38A61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0367D152">
            <w:pPr>
              <w:pStyle w:val="12"/>
              <w:jc w:val="center"/>
            </w:pPr>
            <w:r>
              <w:rPr>
                <w:rFonts w:hint="eastAsia"/>
              </w:rPr>
              <w:t>南雄财税志</w:t>
            </w:r>
          </w:p>
        </w:tc>
        <w:tc>
          <w:tcPr>
            <w:tcW w:w="678" w:type="pct"/>
            <w:vAlign w:val="center"/>
          </w:tcPr>
          <w:p w14:paraId="16E1A323">
            <w:pPr>
              <w:pStyle w:val="12"/>
              <w:jc w:val="center"/>
            </w:pPr>
            <w:r>
              <w:rPr>
                <w:rFonts w:hint="eastAsia"/>
              </w:rPr>
              <w:t>卢隆升</w:t>
            </w:r>
          </w:p>
        </w:tc>
        <w:tc>
          <w:tcPr>
            <w:tcW w:w="1066" w:type="pct"/>
            <w:vAlign w:val="center"/>
          </w:tcPr>
          <w:p w14:paraId="3B6CFDF4">
            <w:pPr>
              <w:pStyle w:val="12"/>
              <w:jc w:val="center"/>
            </w:pPr>
            <w:r>
              <w:rPr>
                <w:rFonts w:hint="eastAsia"/>
              </w:rPr>
              <w:t>1988年6月</w:t>
            </w:r>
          </w:p>
        </w:tc>
        <w:tc>
          <w:tcPr>
            <w:tcW w:w="2131" w:type="pct"/>
            <w:vAlign w:val="center"/>
          </w:tcPr>
          <w:p w14:paraId="29EDF5E8">
            <w:pPr>
              <w:pStyle w:val="12"/>
              <w:jc w:val="center"/>
            </w:pPr>
            <w:r>
              <w:rPr>
                <w:rFonts w:hint="eastAsia"/>
              </w:rPr>
              <w:t>南雄县志办审定编入南雄地方志丛书</w:t>
            </w:r>
          </w:p>
        </w:tc>
      </w:tr>
      <w:tr w14:paraId="541395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594B7586">
            <w:pPr>
              <w:pStyle w:val="12"/>
              <w:jc w:val="center"/>
            </w:pPr>
            <w:r>
              <w:rPr>
                <w:rFonts w:hint="eastAsia"/>
              </w:rPr>
              <w:t>南雄军事志</w:t>
            </w:r>
          </w:p>
        </w:tc>
        <w:tc>
          <w:tcPr>
            <w:tcW w:w="678" w:type="pct"/>
            <w:vAlign w:val="center"/>
          </w:tcPr>
          <w:p w14:paraId="053D6847">
            <w:pPr>
              <w:pStyle w:val="12"/>
              <w:jc w:val="center"/>
            </w:pPr>
            <w:r>
              <w:rPr>
                <w:rFonts w:hint="eastAsia"/>
              </w:rPr>
              <w:t>吕焕碧</w:t>
            </w:r>
          </w:p>
        </w:tc>
        <w:tc>
          <w:tcPr>
            <w:tcW w:w="1066" w:type="pct"/>
            <w:vAlign w:val="center"/>
          </w:tcPr>
          <w:p w14:paraId="60CA5F4E">
            <w:pPr>
              <w:pStyle w:val="12"/>
              <w:jc w:val="center"/>
            </w:pPr>
            <w:r>
              <w:rPr>
                <w:rFonts w:hint="eastAsia"/>
              </w:rPr>
              <w:t>1988年11月</w:t>
            </w:r>
          </w:p>
        </w:tc>
        <w:tc>
          <w:tcPr>
            <w:tcW w:w="2131" w:type="pct"/>
            <w:vAlign w:val="center"/>
          </w:tcPr>
          <w:p w14:paraId="18C01D05">
            <w:pPr>
              <w:pStyle w:val="12"/>
              <w:jc w:val="center"/>
            </w:pPr>
            <w:r>
              <w:rPr>
                <w:rFonts w:hint="eastAsia"/>
              </w:rPr>
              <w:t>南雄县志办审定编入南雄地方志丛书</w:t>
            </w:r>
          </w:p>
        </w:tc>
      </w:tr>
      <w:tr w14:paraId="0F8E78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28838BCB">
            <w:pPr>
              <w:pStyle w:val="12"/>
              <w:jc w:val="center"/>
            </w:pPr>
            <w:r>
              <w:rPr>
                <w:rFonts w:hint="eastAsia"/>
              </w:rPr>
              <w:t>南雄邮电志</w:t>
            </w:r>
          </w:p>
        </w:tc>
        <w:tc>
          <w:tcPr>
            <w:tcW w:w="678" w:type="pct"/>
            <w:vAlign w:val="center"/>
          </w:tcPr>
          <w:p w14:paraId="0612EF96">
            <w:pPr>
              <w:pStyle w:val="12"/>
              <w:jc w:val="center"/>
            </w:pPr>
            <w:r>
              <w:rPr>
                <w:rFonts w:hint="eastAsia"/>
              </w:rPr>
              <w:t>陈卫国</w:t>
            </w:r>
          </w:p>
        </w:tc>
        <w:tc>
          <w:tcPr>
            <w:tcW w:w="1066" w:type="pct"/>
            <w:vAlign w:val="center"/>
          </w:tcPr>
          <w:p w14:paraId="4462D144">
            <w:pPr>
              <w:pStyle w:val="12"/>
              <w:jc w:val="center"/>
            </w:pPr>
            <w:r>
              <w:rPr>
                <w:rFonts w:hint="eastAsia"/>
              </w:rPr>
              <w:t>1988年11月</w:t>
            </w:r>
          </w:p>
        </w:tc>
        <w:tc>
          <w:tcPr>
            <w:tcW w:w="2131" w:type="pct"/>
            <w:vAlign w:val="center"/>
          </w:tcPr>
          <w:p w14:paraId="3DB9D7D2">
            <w:pPr>
              <w:pStyle w:val="12"/>
              <w:jc w:val="center"/>
            </w:pPr>
            <w:r>
              <w:rPr>
                <w:rFonts w:hint="eastAsia"/>
              </w:rPr>
              <w:t>南雄县志办审定编入南雄地方志丛书</w:t>
            </w:r>
          </w:p>
        </w:tc>
      </w:tr>
      <w:tr w14:paraId="4B15C4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126D13D2">
            <w:pPr>
              <w:pStyle w:val="12"/>
              <w:jc w:val="center"/>
            </w:pPr>
            <w:r>
              <w:rPr>
                <w:rFonts w:hint="eastAsia"/>
              </w:rPr>
              <w:t>南雄工业志</w:t>
            </w:r>
          </w:p>
        </w:tc>
        <w:tc>
          <w:tcPr>
            <w:tcW w:w="678" w:type="pct"/>
            <w:vAlign w:val="center"/>
          </w:tcPr>
          <w:p w14:paraId="3AAD0BC8">
            <w:pPr>
              <w:pStyle w:val="12"/>
              <w:jc w:val="center"/>
            </w:pPr>
            <w:r>
              <w:rPr>
                <w:rFonts w:hint="eastAsia"/>
              </w:rPr>
              <w:t>周守龙</w:t>
            </w:r>
          </w:p>
        </w:tc>
        <w:tc>
          <w:tcPr>
            <w:tcW w:w="1066" w:type="pct"/>
            <w:vAlign w:val="center"/>
          </w:tcPr>
          <w:p w14:paraId="346CC9B4">
            <w:pPr>
              <w:pStyle w:val="12"/>
              <w:jc w:val="center"/>
            </w:pPr>
            <w:r>
              <w:rPr>
                <w:rFonts w:hint="eastAsia"/>
              </w:rPr>
              <w:t>1989年2月</w:t>
            </w:r>
          </w:p>
        </w:tc>
        <w:tc>
          <w:tcPr>
            <w:tcW w:w="2131" w:type="pct"/>
            <w:vAlign w:val="center"/>
          </w:tcPr>
          <w:p w14:paraId="52292C88">
            <w:pPr>
              <w:pStyle w:val="12"/>
              <w:jc w:val="center"/>
            </w:pPr>
            <w:r>
              <w:rPr>
                <w:rFonts w:hint="eastAsia"/>
              </w:rPr>
              <w:t>南雄县志办审定编入南雄地方志丛书</w:t>
            </w:r>
          </w:p>
        </w:tc>
      </w:tr>
      <w:tr w14:paraId="3924B6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72E0042F">
            <w:pPr>
              <w:pStyle w:val="12"/>
              <w:jc w:val="center"/>
            </w:pPr>
            <w:r>
              <w:rPr>
                <w:rFonts w:hint="eastAsia"/>
              </w:rPr>
              <w:t>南雄林业志</w:t>
            </w:r>
          </w:p>
        </w:tc>
        <w:tc>
          <w:tcPr>
            <w:tcW w:w="678" w:type="pct"/>
            <w:vAlign w:val="center"/>
          </w:tcPr>
          <w:p w14:paraId="5747DFEB">
            <w:pPr>
              <w:pStyle w:val="12"/>
              <w:jc w:val="center"/>
            </w:pPr>
            <w:r>
              <w:rPr>
                <w:rFonts w:hint="eastAsia"/>
              </w:rPr>
              <w:t>黄艺夫</w:t>
            </w:r>
          </w:p>
        </w:tc>
        <w:tc>
          <w:tcPr>
            <w:tcW w:w="1066" w:type="pct"/>
            <w:vAlign w:val="center"/>
          </w:tcPr>
          <w:p w14:paraId="77C71F04">
            <w:pPr>
              <w:pStyle w:val="12"/>
              <w:jc w:val="center"/>
            </w:pPr>
            <w:r>
              <w:rPr>
                <w:rFonts w:hint="eastAsia"/>
              </w:rPr>
              <w:t>1989年2月</w:t>
            </w:r>
          </w:p>
        </w:tc>
        <w:tc>
          <w:tcPr>
            <w:tcW w:w="2131" w:type="pct"/>
            <w:vAlign w:val="center"/>
          </w:tcPr>
          <w:p w14:paraId="01641B64">
            <w:pPr>
              <w:pStyle w:val="12"/>
              <w:jc w:val="center"/>
            </w:pPr>
            <w:r>
              <w:rPr>
                <w:rFonts w:hint="eastAsia"/>
              </w:rPr>
              <w:t>南雄县志办审定编入南雄地方志丛书</w:t>
            </w:r>
          </w:p>
        </w:tc>
      </w:tr>
      <w:tr w14:paraId="1DE971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031EACD1">
            <w:pPr>
              <w:pStyle w:val="12"/>
              <w:jc w:val="center"/>
            </w:pPr>
            <w:r>
              <w:rPr>
                <w:rFonts w:hint="eastAsia"/>
              </w:rPr>
              <w:t>南雄水土保持志</w:t>
            </w:r>
          </w:p>
        </w:tc>
        <w:tc>
          <w:tcPr>
            <w:tcW w:w="678" w:type="pct"/>
            <w:vAlign w:val="center"/>
          </w:tcPr>
          <w:p w14:paraId="4CAC1C72">
            <w:pPr>
              <w:pStyle w:val="12"/>
              <w:jc w:val="center"/>
            </w:pPr>
            <w:r>
              <w:rPr>
                <w:rFonts w:hint="eastAsia"/>
              </w:rPr>
              <w:t>曾冠雄</w:t>
            </w:r>
          </w:p>
        </w:tc>
        <w:tc>
          <w:tcPr>
            <w:tcW w:w="1066" w:type="pct"/>
            <w:vAlign w:val="center"/>
          </w:tcPr>
          <w:p w14:paraId="47DA779A">
            <w:pPr>
              <w:pStyle w:val="12"/>
              <w:jc w:val="center"/>
            </w:pPr>
            <w:r>
              <w:rPr>
                <w:rFonts w:hint="eastAsia"/>
              </w:rPr>
              <w:t>1989年5月</w:t>
            </w:r>
          </w:p>
        </w:tc>
        <w:tc>
          <w:tcPr>
            <w:tcW w:w="2131" w:type="pct"/>
            <w:vAlign w:val="center"/>
          </w:tcPr>
          <w:p w14:paraId="67D51348">
            <w:pPr>
              <w:pStyle w:val="12"/>
              <w:jc w:val="center"/>
            </w:pPr>
            <w:r>
              <w:rPr>
                <w:rFonts w:hint="eastAsia"/>
              </w:rPr>
              <w:t>南雄县志办审定编入南雄地方志丛书</w:t>
            </w:r>
          </w:p>
        </w:tc>
      </w:tr>
      <w:tr w14:paraId="4E34E8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303A9D40">
            <w:pPr>
              <w:pStyle w:val="12"/>
              <w:jc w:val="center"/>
            </w:pPr>
            <w:r>
              <w:rPr>
                <w:rFonts w:hint="eastAsia"/>
              </w:rPr>
              <w:t>南雄政党志</w:t>
            </w:r>
          </w:p>
        </w:tc>
        <w:tc>
          <w:tcPr>
            <w:tcW w:w="678" w:type="pct"/>
            <w:vAlign w:val="center"/>
          </w:tcPr>
          <w:p w14:paraId="230380A3">
            <w:pPr>
              <w:pStyle w:val="12"/>
              <w:jc w:val="center"/>
            </w:pPr>
            <w:r>
              <w:rPr>
                <w:rFonts w:hint="eastAsia"/>
              </w:rPr>
              <w:t>廖德明</w:t>
            </w:r>
          </w:p>
        </w:tc>
        <w:tc>
          <w:tcPr>
            <w:tcW w:w="1066" w:type="pct"/>
            <w:vAlign w:val="center"/>
          </w:tcPr>
          <w:p w14:paraId="29981E44">
            <w:pPr>
              <w:pStyle w:val="12"/>
              <w:jc w:val="center"/>
            </w:pPr>
            <w:r>
              <w:rPr>
                <w:rFonts w:hint="eastAsia"/>
              </w:rPr>
              <w:t>1989年12月</w:t>
            </w:r>
          </w:p>
        </w:tc>
        <w:tc>
          <w:tcPr>
            <w:tcW w:w="2131" w:type="pct"/>
            <w:vAlign w:val="center"/>
          </w:tcPr>
          <w:p w14:paraId="72B28186">
            <w:pPr>
              <w:pStyle w:val="12"/>
              <w:jc w:val="center"/>
            </w:pPr>
            <w:r>
              <w:rPr>
                <w:rFonts w:hint="eastAsia"/>
              </w:rPr>
              <w:t>南雄县志办审定编入南雄地方志丛书</w:t>
            </w:r>
          </w:p>
        </w:tc>
      </w:tr>
      <w:tr w14:paraId="3646DA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4C59FD66">
            <w:pPr>
              <w:pStyle w:val="12"/>
              <w:jc w:val="center"/>
            </w:pPr>
            <w:r>
              <w:rPr>
                <w:rFonts w:hint="eastAsia"/>
              </w:rPr>
              <w:t>南雄交通志</w:t>
            </w:r>
          </w:p>
        </w:tc>
        <w:tc>
          <w:tcPr>
            <w:tcW w:w="678" w:type="pct"/>
            <w:vAlign w:val="center"/>
          </w:tcPr>
          <w:p w14:paraId="0865078B">
            <w:pPr>
              <w:pStyle w:val="12"/>
              <w:jc w:val="center"/>
            </w:pPr>
            <w:r>
              <w:rPr>
                <w:rFonts w:hint="eastAsia"/>
              </w:rPr>
              <w:t>刘兴洲</w:t>
            </w:r>
          </w:p>
        </w:tc>
        <w:tc>
          <w:tcPr>
            <w:tcW w:w="1066" w:type="pct"/>
            <w:vAlign w:val="center"/>
          </w:tcPr>
          <w:p w14:paraId="75620CC2">
            <w:pPr>
              <w:pStyle w:val="12"/>
              <w:jc w:val="center"/>
            </w:pPr>
            <w:r>
              <w:rPr>
                <w:rFonts w:hint="eastAsia"/>
              </w:rPr>
              <w:t>1990年1月</w:t>
            </w:r>
          </w:p>
        </w:tc>
        <w:tc>
          <w:tcPr>
            <w:tcW w:w="2131" w:type="pct"/>
            <w:vAlign w:val="center"/>
          </w:tcPr>
          <w:p w14:paraId="3260091B">
            <w:pPr>
              <w:pStyle w:val="12"/>
              <w:jc w:val="center"/>
            </w:pPr>
            <w:r>
              <w:rPr>
                <w:rFonts w:hint="eastAsia"/>
              </w:rPr>
              <w:t>南雄县志办审定编入南雄地方志丛书</w:t>
            </w:r>
          </w:p>
        </w:tc>
      </w:tr>
      <w:tr w14:paraId="3647F0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750A1D6F">
            <w:pPr>
              <w:pStyle w:val="12"/>
              <w:jc w:val="center"/>
            </w:pPr>
            <w:r>
              <w:rPr>
                <w:rFonts w:hint="eastAsia"/>
              </w:rPr>
              <w:t>南雄纪检志</w:t>
            </w:r>
          </w:p>
        </w:tc>
        <w:tc>
          <w:tcPr>
            <w:tcW w:w="678" w:type="pct"/>
            <w:vAlign w:val="center"/>
          </w:tcPr>
          <w:p w14:paraId="5BC54817">
            <w:pPr>
              <w:pStyle w:val="12"/>
              <w:jc w:val="center"/>
            </w:pPr>
            <w:r>
              <w:rPr>
                <w:rFonts w:hint="eastAsia"/>
              </w:rPr>
              <w:t>卢章严</w:t>
            </w:r>
          </w:p>
        </w:tc>
        <w:tc>
          <w:tcPr>
            <w:tcW w:w="1066" w:type="pct"/>
            <w:vAlign w:val="center"/>
          </w:tcPr>
          <w:p w14:paraId="2834E6A6">
            <w:pPr>
              <w:pStyle w:val="12"/>
              <w:jc w:val="center"/>
            </w:pPr>
            <w:r>
              <w:rPr>
                <w:rFonts w:hint="eastAsia"/>
              </w:rPr>
              <w:t>1990年7月</w:t>
            </w:r>
          </w:p>
        </w:tc>
        <w:tc>
          <w:tcPr>
            <w:tcW w:w="2131" w:type="pct"/>
            <w:vAlign w:val="center"/>
          </w:tcPr>
          <w:p w14:paraId="05D831A2">
            <w:pPr>
              <w:pStyle w:val="12"/>
              <w:jc w:val="center"/>
            </w:pPr>
            <w:r>
              <w:rPr>
                <w:rFonts w:hint="eastAsia"/>
              </w:rPr>
              <w:t>南雄县志办审定编入南雄地方志丛书</w:t>
            </w:r>
          </w:p>
        </w:tc>
      </w:tr>
      <w:tr w14:paraId="5BECD0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5F38311A">
            <w:pPr>
              <w:pStyle w:val="12"/>
              <w:jc w:val="center"/>
            </w:pPr>
            <w:r>
              <w:rPr>
                <w:rFonts w:hint="eastAsia"/>
              </w:rPr>
              <w:t>南雄商业志</w:t>
            </w:r>
          </w:p>
        </w:tc>
        <w:tc>
          <w:tcPr>
            <w:tcW w:w="678" w:type="pct"/>
            <w:vAlign w:val="center"/>
          </w:tcPr>
          <w:p w14:paraId="3DC96B31">
            <w:pPr>
              <w:pStyle w:val="12"/>
              <w:jc w:val="center"/>
            </w:pPr>
            <w:r>
              <w:rPr>
                <w:rFonts w:hint="eastAsia"/>
              </w:rPr>
              <w:t>陈贵仁</w:t>
            </w:r>
          </w:p>
        </w:tc>
        <w:tc>
          <w:tcPr>
            <w:tcW w:w="1066" w:type="pct"/>
            <w:vAlign w:val="center"/>
          </w:tcPr>
          <w:p w14:paraId="50E5CED5">
            <w:pPr>
              <w:pStyle w:val="12"/>
              <w:jc w:val="center"/>
            </w:pPr>
            <w:r>
              <w:rPr>
                <w:rFonts w:hint="eastAsia"/>
              </w:rPr>
              <w:t>1990年6月</w:t>
            </w:r>
          </w:p>
        </w:tc>
        <w:tc>
          <w:tcPr>
            <w:tcW w:w="2131" w:type="pct"/>
            <w:vAlign w:val="center"/>
          </w:tcPr>
          <w:p w14:paraId="5865F391">
            <w:pPr>
              <w:pStyle w:val="12"/>
              <w:jc w:val="center"/>
            </w:pPr>
            <w:r>
              <w:rPr>
                <w:rFonts w:hint="eastAsia"/>
              </w:rPr>
              <w:t>南雄县志办审定编入南雄地方志丛书</w:t>
            </w:r>
          </w:p>
        </w:tc>
      </w:tr>
      <w:tr w14:paraId="3C283F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638C3733">
            <w:pPr>
              <w:pStyle w:val="12"/>
              <w:jc w:val="center"/>
            </w:pPr>
            <w:r>
              <w:rPr>
                <w:rFonts w:hint="eastAsia"/>
              </w:rPr>
              <w:t>南雄水利志</w:t>
            </w:r>
          </w:p>
        </w:tc>
        <w:tc>
          <w:tcPr>
            <w:tcW w:w="678" w:type="pct"/>
            <w:vAlign w:val="center"/>
          </w:tcPr>
          <w:p w14:paraId="17B606B1">
            <w:pPr>
              <w:pStyle w:val="12"/>
              <w:jc w:val="center"/>
            </w:pPr>
            <w:r>
              <w:rPr>
                <w:rFonts w:hint="eastAsia"/>
              </w:rPr>
              <w:t>郭先瑈</w:t>
            </w:r>
          </w:p>
        </w:tc>
        <w:tc>
          <w:tcPr>
            <w:tcW w:w="1066" w:type="pct"/>
            <w:vAlign w:val="center"/>
          </w:tcPr>
          <w:p w14:paraId="026EBFA8">
            <w:pPr>
              <w:pStyle w:val="12"/>
              <w:jc w:val="center"/>
            </w:pPr>
            <w:r>
              <w:rPr>
                <w:rFonts w:hint="eastAsia"/>
              </w:rPr>
              <w:t>1990年10月</w:t>
            </w:r>
          </w:p>
        </w:tc>
        <w:tc>
          <w:tcPr>
            <w:tcW w:w="2131" w:type="pct"/>
            <w:vAlign w:val="center"/>
          </w:tcPr>
          <w:p w14:paraId="4FC2AB78">
            <w:pPr>
              <w:pStyle w:val="12"/>
              <w:jc w:val="center"/>
            </w:pPr>
            <w:r>
              <w:rPr>
                <w:rFonts w:hint="eastAsia"/>
              </w:rPr>
              <w:t>南雄县志办审定编入南雄地方志丛书</w:t>
            </w:r>
          </w:p>
        </w:tc>
      </w:tr>
      <w:tr w14:paraId="205F72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044513DF">
            <w:pPr>
              <w:pStyle w:val="12"/>
              <w:jc w:val="center"/>
            </w:pPr>
            <w:r>
              <w:rPr>
                <w:rFonts w:hint="eastAsia"/>
              </w:rPr>
              <w:t>南雄物价志</w:t>
            </w:r>
          </w:p>
        </w:tc>
        <w:tc>
          <w:tcPr>
            <w:tcW w:w="678" w:type="pct"/>
            <w:vAlign w:val="center"/>
          </w:tcPr>
          <w:p w14:paraId="55152EF9">
            <w:pPr>
              <w:pStyle w:val="12"/>
              <w:jc w:val="center"/>
            </w:pPr>
            <w:r>
              <w:rPr>
                <w:rFonts w:hint="eastAsia"/>
              </w:rPr>
              <w:t>叶逢安</w:t>
            </w:r>
          </w:p>
        </w:tc>
        <w:tc>
          <w:tcPr>
            <w:tcW w:w="1066" w:type="pct"/>
            <w:vAlign w:val="center"/>
          </w:tcPr>
          <w:p w14:paraId="1333E463">
            <w:pPr>
              <w:pStyle w:val="12"/>
              <w:jc w:val="center"/>
            </w:pPr>
            <w:r>
              <w:rPr>
                <w:rFonts w:hint="eastAsia"/>
              </w:rPr>
              <w:t>1990年11月</w:t>
            </w:r>
          </w:p>
        </w:tc>
        <w:tc>
          <w:tcPr>
            <w:tcW w:w="2131" w:type="pct"/>
            <w:vAlign w:val="center"/>
          </w:tcPr>
          <w:p w14:paraId="71FEC764">
            <w:pPr>
              <w:pStyle w:val="12"/>
              <w:jc w:val="center"/>
            </w:pPr>
            <w:r>
              <w:rPr>
                <w:rFonts w:hint="eastAsia"/>
              </w:rPr>
              <w:t>南雄县志办审定编入南雄地方志丛书</w:t>
            </w:r>
          </w:p>
        </w:tc>
      </w:tr>
      <w:tr w14:paraId="1D7FF8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4AEC5FC9">
            <w:pPr>
              <w:pStyle w:val="12"/>
              <w:jc w:val="center"/>
            </w:pPr>
            <w:r>
              <w:rPr>
                <w:rFonts w:hint="eastAsia"/>
              </w:rPr>
              <w:t>南雄县志</w:t>
            </w:r>
          </w:p>
        </w:tc>
        <w:tc>
          <w:tcPr>
            <w:tcW w:w="678" w:type="pct"/>
            <w:vAlign w:val="center"/>
          </w:tcPr>
          <w:p w14:paraId="55CAAF74">
            <w:pPr>
              <w:pStyle w:val="12"/>
              <w:jc w:val="center"/>
            </w:pPr>
            <w:r>
              <w:rPr>
                <w:rFonts w:hint="eastAsia"/>
              </w:rPr>
              <w:t>罗凯燊</w:t>
            </w:r>
          </w:p>
        </w:tc>
        <w:tc>
          <w:tcPr>
            <w:tcW w:w="1066" w:type="pct"/>
            <w:vAlign w:val="center"/>
          </w:tcPr>
          <w:p w14:paraId="21A377CD">
            <w:pPr>
              <w:pStyle w:val="12"/>
              <w:jc w:val="center"/>
            </w:pPr>
            <w:r>
              <w:rPr>
                <w:rFonts w:hint="eastAsia"/>
              </w:rPr>
              <w:t>1991年6月第一版</w:t>
            </w:r>
          </w:p>
        </w:tc>
        <w:tc>
          <w:tcPr>
            <w:tcW w:w="2131" w:type="pct"/>
            <w:vAlign w:val="center"/>
          </w:tcPr>
          <w:p w14:paraId="2B250C84">
            <w:pPr>
              <w:pStyle w:val="12"/>
              <w:jc w:val="center"/>
            </w:pPr>
            <w:r>
              <w:rPr>
                <w:rFonts w:hint="eastAsia"/>
              </w:rPr>
              <w:t>广东人民出版社</w:t>
            </w:r>
          </w:p>
        </w:tc>
      </w:tr>
      <w:tr w14:paraId="6A1589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0BF600C1">
            <w:pPr>
              <w:pStyle w:val="12"/>
              <w:jc w:val="center"/>
            </w:pPr>
            <w:r>
              <w:rPr>
                <w:rFonts w:hint="eastAsia"/>
              </w:rPr>
              <w:t>南雄金融志</w:t>
            </w:r>
          </w:p>
        </w:tc>
        <w:tc>
          <w:tcPr>
            <w:tcW w:w="678" w:type="pct"/>
            <w:vAlign w:val="center"/>
          </w:tcPr>
          <w:p w14:paraId="35AEE707">
            <w:pPr>
              <w:pStyle w:val="12"/>
              <w:jc w:val="center"/>
            </w:pPr>
            <w:r>
              <w:rPr>
                <w:rFonts w:hint="eastAsia"/>
              </w:rPr>
              <w:t>黄俊豪</w:t>
            </w:r>
          </w:p>
        </w:tc>
        <w:tc>
          <w:tcPr>
            <w:tcW w:w="1066" w:type="pct"/>
            <w:vAlign w:val="center"/>
          </w:tcPr>
          <w:p w14:paraId="1F3D726B">
            <w:pPr>
              <w:pStyle w:val="12"/>
              <w:jc w:val="center"/>
            </w:pPr>
            <w:r>
              <w:rPr>
                <w:rFonts w:hint="eastAsia"/>
              </w:rPr>
              <w:t>1991年10月</w:t>
            </w:r>
          </w:p>
        </w:tc>
        <w:tc>
          <w:tcPr>
            <w:tcW w:w="2131" w:type="pct"/>
            <w:vAlign w:val="center"/>
          </w:tcPr>
          <w:p w14:paraId="60CB2440">
            <w:pPr>
              <w:pStyle w:val="12"/>
              <w:jc w:val="center"/>
            </w:pPr>
            <w:r>
              <w:rPr>
                <w:rFonts w:hint="eastAsia"/>
              </w:rPr>
              <w:t>南雄县志办审定编入南雄地方志丛书</w:t>
            </w:r>
          </w:p>
        </w:tc>
      </w:tr>
      <w:tr w14:paraId="00A97D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54C1FACA">
            <w:pPr>
              <w:pStyle w:val="12"/>
              <w:jc w:val="center"/>
            </w:pPr>
            <w:r>
              <w:rPr>
                <w:rFonts w:hint="eastAsia"/>
              </w:rPr>
              <w:t>南雄教育志</w:t>
            </w:r>
          </w:p>
        </w:tc>
        <w:tc>
          <w:tcPr>
            <w:tcW w:w="678" w:type="pct"/>
            <w:vAlign w:val="center"/>
          </w:tcPr>
          <w:p w14:paraId="568D9590">
            <w:pPr>
              <w:pStyle w:val="12"/>
              <w:jc w:val="center"/>
            </w:pPr>
            <w:r>
              <w:rPr>
                <w:rFonts w:hint="eastAsia"/>
              </w:rPr>
              <w:t>陈吉安</w:t>
            </w:r>
          </w:p>
        </w:tc>
        <w:tc>
          <w:tcPr>
            <w:tcW w:w="1066" w:type="pct"/>
            <w:vAlign w:val="center"/>
          </w:tcPr>
          <w:p w14:paraId="50C979DC">
            <w:pPr>
              <w:pStyle w:val="12"/>
              <w:jc w:val="center"/>
            </w:pPr>
            <w:r>
              <w:rPr>
                <w:rFonts w:hint="eastAsia"/>
              </w:rPr>
              <w:t>1991年12月</w:t>
            </w:r>
          </w:p>
        </w:tc>
        <w:tc>
          <w:tcPr>
            <w:tcW w:w="2131" w:type="pct"/>
            <w:vAlign w:val="center"/>
          </w:tcPr>
          <w:p w14:paraId="7C221B99">
            <w:pPr>
              <w:pStyle w:val="12"/>
              <w:jc w:val="center"/>
            </w:pPr>
            <w:r>
              <w:rPr>
                <w:rFonts w:hint="eastAsia"/>
              </w:rPr>
              <w:t>南雄县志办审定编入南雄地方志丛书</w:t>
            </w:r>
          </w:p>
        </w:tc>
      </w:tr>
      <w:tr w14:paraId="7D194D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4B109A7E">
            <w:pPr>
              <w:pStyle w:val="12"/>
              <w:jc w:val="center"/>
            </w:pPr>
            <w:r>
              <w:rPr>
                <w:rFonts w:hint="eastAsia"/>
              </w:rPr>
              <w:t>南雄人民代表大会志</w:t>
            </w:r>
          </w:p>
        </w:tc>
        <w:tc>
          <w:tcPr>
            <w:tcW w:w="678" w:type="pct"/>
            <w:vAlign w:val="center"/>
          </w:tcPr>
          <w:p w14:paraId="72C96E1A">
            <w:pPr>
              <w:pStyle w:val="12"/>
              <w:jc w:val="center"/>
            </w:pPr>
            <w:r>
              <w:rPr>
                <w:rFonts w:hint="eastAsia"/>
              </w:rPr>
              <w:t>罗凯燊</w:t>
            </w:r>
          </w:p>
        </w:tc>
        <w:tc>
          <w:tcPr>
            <w:tcW w:w="1066" w:type="pct"/>
            <w:vAlign w:val="center"/>
          </w:tcPr>
          <w:p w14:paraId="41BB6BFD">
            <w:pPr>
              <w:pStyle w:val="12"/>
              <w:jc w:val="center"/>
            </w:pPr>
            <w:r>
              <w:rPr>
                <w:rFonts w:hint="eastAsia"/>
              </w:rPr>
              <w:t>1992年11月</w:t>
            </w:r>
          </w:p>
        </w:tc>
        <w:tc>
          <w:tcPr>
            <w:tcW w:w="2131" w:type="pct"/>
            <w:vAlign w:val="center"/>
          </w:tcPr>
          <w:p w14:paraId="705146EC">
            <w:pPr>
              <w:pStyle w:val="12"/>
              <w:jc w:val="center"/>
            </w:pPr>
            <w:r>
              <w:rPr>
                <w:rFonts w:hint="eastAsia"/>
              </w:rPr>
              <w:t>南雄县志办审定编入南雄地方志丛书</w:t>
            </w:r>
          </w:p>
        </w:tc>
      </w:tr>
      <w:tr w14:paraId="6001D5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1F798211">
            <w:pPr>
              <w:pStyle w:val="12"/>
              <w:jc w:val="center"/>
            </w:pPr>
            <w:r>
              <w:rPr>
                <w:rFonts w:hint="eastAsia"/>
              </w:rPr>
              <w:t>南雄卷烟厂志</w:t>
            </w:r>
          </w:p>
        </w:tc>
        <w:tc>
          <w:tcPr>
            <w:tcW w:w="678" w:type="pct"/>
            <w:vAlign w:val="center"/>
          </w:tcPr>
          <w:p w14:paraId="0612F08A">
            <w:pPr>
              <w:pStyle w:val="12"/>
              <w:jc w:val="center"/>
            </w:pPr>
            <w:r>
              <w:rPr>
                <w:rFonts w:hint="eastAsia"/>
              </w:rPr>
              <w:t>洪隆英</w:t>
            </w:r>
          </w:p>
        </w:tc>
        <w:tc>
          <w:tcPr>
            <w:tcW w:w="1066" w:type="pct"/>
            <w:vAlign w:val="center"/>
          </w:tcPr>
          <w:p w14:paraId="2B142081">
            <w:pPr>
              <w:pStyle w:val="12"/>
              <w:jc w:val="center"/>
            </w:pPr>
            <w:r>
              <w:rPr>
                <w:rFonts w:hint="eastAsia"/>
              </w:rPr>
              <w:t>1993年4月</w:t>
            </w:r>
          </w:p>
        </w:tc>
        <w:tc>
          <w:tcPr>
            <w:tcW w:w="2131" w:type="pct"/>
            <w:vAlign w:val="center"/>
          </w:tcPr>
          <w:p w14:paraId="4C2A8081">
            <w:pPr>
              <w:pStyle w:val="12"/>
              <w:jc w:val="center"/>
            </w:pPr>
            <w:r>
              <w:rPr>
                <w:rFonts w:hint="eastAsia"/>
              </w:rPr>
              <w:t>南雄县志办审定编入南雄地方志丛书</w:t>
            </w:r>
          </w:p>
        </w:tc>
      </w:tr>
      <w:tr w14:paraId="266EF1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564892C2">
            <w:pPr>
              <w:pStyle w:val="12"/>
              <w:jc w:val="center"/>
            </w:pPr>
            <w:r>
              <w:rPr>
                <w:rFonts w:hint="eastAsia"/>
              </w:rPr>
              <w:t>南雄政协志</w:t>
            </w:r>
          </w:p>
        </w:tc>
        <w:tc>
          <w:tcPr>
            <w:tcW w:w="678" w:type="pct"/>
            <w:vAlign w:val="center"/>
          </w:tcPr>
          <w:p w14:paraId="6B5F6CE9">
            <w:pPr>
              <w:pStyle w:val="12"/>
              <w:jc w:val="center"/>
            </w:pPr>
            <w:r>
              <w:rPr>
                <w:rFonts w:hint="eastAsia"/>
              </w:rPr>
              <w:t>黄德安</w:t>
            </w:r>
          </w:p>
        </w:tc>
        <w:tc>
          <w:tcPr>
            <w:tcW w:w="1066" w:type="pct"/>
            <w:vAlign w:val="center"/>
          </w:tcPr>
          <w:p w14:paraId="0168F006">
            <w:pPr>
              <w:pStyle w:val="12"/>
              <w:jc w:val="center"/>
            </w:pPr>
            <w:r>
              <w:rPr>
                <w:rFonts w:hint="eastAsia"/>
              </w:rPr>
              <w:t>1996年2月</w:t>
            </w:r>
          </w:p>
        </w:tc>
        <w:tc>
          <w:tcPr>
            <w:tcW w:w="2131" w:type="pct"/>
            <w:vAlign w:val="center"/>
          </w:tcPr>
          <w:p w14:paraId="1CCE2DAE">
            <w:pPr>
              <w:pStyle w:val="12"/>
              <w:jc w:val="center"/>
            </w:pPr>
            <w:r>
              <w:rPr>
                <w:rFonts w:hint="eastAsia"/>
              </w:rPr>
              <w:t>南雄县志办审定编入南雄地方志丛书</w:t>
            </w:r>
          </w:p>
        </w:tc>
      </w:tr>
      <w:tr w14:paraId="459046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5DAC15F4">
            <w:pPr>
              <w:pStyle w:val="12"/>
              <w:jc w:val="center"/>
            </w:pPr>
            <w:r>
              <w:rPr>
                <w:rFonts w:hint="eastAsia"/>
              </w:rPr>
              <w:t>南雄帽子峰林场志</w:t>
            </w:r>
          </w:p>
        </w:tc>
        <w:tc>
          <w:tcPr>
            <w:tcW w:w="678" w:type="pct"/>
            <w:vAlign w:val="center"/>
          </w:tcPr>
          <w:p w14:paraId="529F980D">
            <w:pPr>
              <w:pStyle w:val="12"/>
              <w:jc w:val="center"/>
            </w:pPr>
            <w:r>
              <w:rPr>
                <w:rFonts w:hint="eastAsia"/>
              </w:rPr>
              <w:t>罗凯燊</w:t>
            </w:r>
          </w:p>
        </w:tc>
        <w:tc>
          <w:tcPr>
            <w:tcW w:w="1066" w:type="pct"/>
            <w:vAlign w:val="center"/>
          </w:tcPr>
          <w:p w14:paraId="5ABCA705">
            <w:pPr>
              <w:pStyle w:val="12"/>
              <w:jc w:val="center"/>
            </w:pPr>
            <w:r>
              <w:rPr>
                <w:rFonts w:hint="eastAsia"/>
              </w:rPr>
              <w:t>1996年7月</w:t>
            </w:r>
          </w:p>
        </w:tc>
        <w:tc>
          <w:tcPr>
            <w:tcW w:w="2131" w:type="pct"/>
            <w:vAlign w:val="center"/>
          </w:tcPr>
          <w:p w14:paraId="5BBA4310">
            <w:pPr>
              <w:pStyle w:val="12"/>
              <w:jc w:val="center"/>
            </w:pPr>
            <w:r>
              <w:rPr>
                <w:rFonts w:hint="eastAsia"/>
              </w:rPr>
              <w:t>南雄县志办审定编入南雄地方志丛书</w:t>
            </w:r>
          </w:p>
        </w:tc>
      </w:tr>
      <w:tr w14:paraId="20AE4B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3959BFF4">
            <w:pPr>
              <w:pStyle w:val="12"/>
              <w:jc w:val="center"/>
            </w:pPr>
            <w:r>
              <w:rPr>
                <w:rFonts w:hint="eastAsia"/>
              </w:rPr>
              <w:t>南雄公安志</w:t>
            </w:r>
          </w:p>
        </w:tc>
        <w:tc>
          <w:tcPr>
            <w:tcW w:w="678" w:type="pct"/>
            <w:vAlign w:val="center"/>
          </w:tcPr>
          <w:p w14:paraId="07AFF17C">
            <w:pPr>
              <w:pStyle w:val="12"/>
              <w:jc w:val="center"/>
            </w:pPr>
            <w:r>
              <w:rPr>
                <w:rFonts w:hint="eastAsia"/>
              </w:rPr>
              <w:t>蓝光传</w:t>
            </w:r>
          </w:p>
        </w:tc>
        <w:tc>
          <w:tcPr>
            <w:tcW w:w="1066" w:type="pct"/>
            <w:vAlign w:val="center"/>
          </w:tcPr>
          <w:p w14:paraId="3D823761">
            <w:pPr>
              <w:pStyle w:val="12"/>
              <w:jc w:val="center"/>
            </w:pPr>
            <w:r>
              <w:rPr>
                <w:rFonts w:hint="eastAsia"/>
              </w:rPr>
              <w:t>1997年5月</w:t>
            </w:r>
          </w:p>
        </w:tc>
        <w:tc>
          <w:tcPr>
            <w:tcW w:w="2131" w:type="pct"/>
            <w:vAlign w:val="center"/>
          </w:tcPr>
          <w:p w14:paraId="50E185C2">
            <w:pPr>
              <w:pStyle w:val="12"/>
              <w:jc w:val="center"/>
            </w:pPr>
            <w:r>
              <w:rPr>
                <w:rFonts w:hint="eastAsia"/>
              </w:rPr>
              <w:t>南雄县志办审定编入南雄地方志丛书</w:t>
            </w:r>
          </w:p>
        </w:tc>
      </w:tr>
      <w:tr w14:paraId="43E288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6A5BC699">
            <w:pPr>
              <w:pStyle w:val="12"/>
              <w:jc w:val="center"/>
            </w:pPr>
            <w:r>
              <w:rPr>
                <w:rFonts w:hint="eastAsia"/>
              </w:rPr>
              <w:t>南雄文物志</w:t>
            </w:r>
          </w:p>
        </w:tc>
        <w:tc>
          <w:tcPr>
            <w:tcW w:w="678" w:type="pct"/>
            <w:vAlign w:val="center"/>
          </w:tcPr>
          <w:p w14:paraId="6CFC651A">
            <w:pPr>
              <w:pStyle w:val="12"/>
              <w:jc w:val="center"/>
            </w:pPr>
            <w:r>
              <w:rPr>
                <w:rFonts w:hint="eastAsia"/>
              </w:rPr>
              <w:t>戴群芳</w:t>
            </w:r>
          </w:p>
        </w:tc>
        <w:tc>
          <w:tcPr>
            <w:tcW w:w="1066" w:type="pct"/>
            <w:vAlign w:val="center"/>
          </w:tcPr>
          <w:p w14:paraId="15E92537">
            <w:pPr>
              <w:pStyle w:val="12"/>
              <w:jc w:val="center"/>
            </w:pPr>
            <w:r>
              <w:rPr>
                <w:rFonts w:hint="eastAsia"/>
              </w:rPr>
              <w:t>1998年10月</w:t>
            </w:r>
          </w:p>
        </w:tc>
        <w:tc>
          <w:tcPr>
            <w:tcW w:w="2131" w:type="pct"/>
            <w:vAlign w:val="center"/>
          </w:tcPr>
          <w:p w14:paraId="38BDDEB1">
            <w:pPr>
              <w:pStyle w:val="12"/>
              <w:jc w:val="center"/>
            </w:pPr>
            <w:r>
              <w:rPr>
                <w:rFonts w:hint="eastAsia"/>
              </w:rPr>
              <w:t>南雄县志办审定编入南雄地方志丛书</w:t>
            </w:r>
          </w:p>
        </w:tc>
      </w:tr>
      <w:tr w14:paraId="71701D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239B7191">
            <w:pPr>
              <w:pStyle w:val="12"/>
              <w:jc w:val="center"/>
            </w:pPr>
            <w:r>
              <w:rPr>
                <w:rFonts w:hint="eastAsia"/>
              </w:rPr>
              <w:t>南雄农业志</w:t>
            </w:r>
          </w:p>
        </w:tc>
        <w:tc>
          <w:tcPr>
            <w:tcW w:w="678" w:type="pct"/>
            <w:vAlign w:val="center"/>
          </w:tcPr>
          <w:p w14:paraId="6CD6F311">
            <w:pPr>
              <w:pStyle w:val="12"/>
              <w:jc w:val="center"/>
            </w:pPr>
            <w:r>
              <w:rPr>
                <w:rFonts w:hint="eastAsia"/>
              </w:rPr>
              <w:t>罗凯燊</w:t>
            </w:r>
          </w:p>
        </w:tc>
        <w:tc>
          <w:tcPr>
            <w:tcW w:w="1066" w:type="pct"/>
            <w:vAlign w:val="center"/>
          </w:tcPr>
          <w:p w14:paraId="03795D5A">
            <w:pPr>
              <w:pStyle w:val="12"/>
              <w:jc w:val="center"/>
            </w:pPr>
            <w:r>
              <w:rPr>
                <w:rFonts w:hint="eastAsia"/>
              </w:rPr>
              <w:t>1999年2月</w:t>
            </w:r>
          </w:p>
        </w:tc>
        <w:tc>
          <w:tcPr>
            <w:tcW w:w="2131" w:type="pct"/>
            <w:vAlign w:val="center"/>
          </w:tcPr>
          <w:p w14:paraId="5A8EEF51">
            <w:pPr>
              <w:pStyle w:val="12"/>
              <w:jc w:val="center"/>
            </w:pPr>
            <w:r>
              <w:rPr>
                <w:rFonts w:hint="eastAsia"/>
              </w:rPr>
              <w:t>南雄县志办审定编入南雄地方志丛书</w:t>
            </w:r>
          </w:p>
        </w:tc>
      </w:tr>
      <w:tr w14:paraId="7E5958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2577CAFB">
            <w:pPr>
              <w:pStyle w:val="12"/>
              <w:jc w:val="center"/>
            </w:pPr>
            <w:r>
              <w:rPr>
                <w:rFonts w:hint="eastAsia"/>
              </w:rPr>
              <w:t>南雄农机志（再版）</w:t>
            </w:r>
          </w:p>
        </w:tc>
        <w:tc>
          <w:tcPr>
            <w:tcW w:w="678" w:type="pct"/>
            <w:vAlign w:val="center"/>
          </w:tcPr>
          <w:p w14:paraId="6A52D417">
            <w:pPr>
              <w:pStyle w:val="12"/>
              <w:jc w:val="center"/>
            </w:pPr>
            <w:r>
              <w:rPr>
                <w:rFonts w:hint="eastAsia"/>
              </w:rPr>
              <w:t>陈增怀</w:t>
            </w:r>
          </w:p>
          <w:p w14:paraId="2558D695">
            <w:pPr>
              <w:pStyle w:val="12"/>
              <w:jc w:val="center"/>
            </w:pPr>
            <w:r>
              <w:rPr>
                <w:rFonts w:hint="eastAsia"/>
              </w:rPr>
              <w:t>叶际法</w:t>
            </w:r>
          </w:p>
        </w:tc>
        <w:tc>
          <w:tcPr>
            <w:tcW w:w="1066" w:type="pct"/>
            <w:vAlign w:val="center"/>
          </w:tcPr>
          <w:p w14:paraId="67870691">
            <w:pPr>
              <w:pStyle w:val="12"/>
              <w:jc w:val="center"/>
            </w:pPr>
            <w:r>
              <w:rPr>
                <w:rFonts w:hint="eastAsia"/>
              </w:rPr>
              <w:t>1999年12月</w:t>
            </w:r>
          </w:p>
        </w:tc>
        <w:tc>
          <w:tcPr>
            <w:tcW w:w="2131" w:type="pct"/>
            <w:vAlign w:val="center"/>
          </w:tcPr>
          <w:p w14:paraId="798B7251">
            <w:pPr>
              <w:pStyle w:val="12"/>
              <w:jc w:val="center"/>
            </w:pPr>
            <w:r>
              <w:rPr>
                <w:rFonts w:hint="eastAsia"/>
              </w:rPr>
              <w:t>南雄县志办审定编入南雄地方志丛书</w:t>
            </w:r>
          </w:p>
        </w:tc>
      </w:tr>
      <w:tr w14:paraId="334DB9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3CAFC88E">
            <w:pPr>
              <w:pStyle w:val="12"/>
              <w:jc w:val="center"/>
            </w:pPr>
            <w:r>
              <w:rPr>
                <w:rFonts w:hint="eastAsia"/>
              </w:rPr>
              <w:t>南雄粮食志</w:t>
            </w:r>
          </w:p>
        </w:tc>
        <w:tc>
          <w:tcPr>
            <w:tcW w:w="678" w:type="pct"/>
            <w:vAlign w:val="center"/>
          </w:tcPr>
          <w:p w14:paraId="175B5BD3">
            <w:pPr>
              <w:pStyle w:val="12"/>
              <w:jc w:val="center"/>
            </w:pPr>
            <w:r>
              <w:rPr>
                <w:rFonts w:hint="eastAsia"/>
              </w:rPr>
              <w:t>曾广荣</w:t>
            </w:r>
          </w:p>
          <w:p w14:paraId="1275750A">
            <w:pPr>
              <w:pStyle w:val="12"/>
              <w:jc w:val="center"/>
            </w:pPr>
            <w:r>
              <w:rPr>
                <w:rFonts w:hint="eastAsia"/>
              </w:rPr>
              <w:t>魏家琼</w:t>
            </w:r>
          </w:p>
        </w:tc>
        <w:tc>
          <w:tcPr>
            <w:tcW w:w="1066" w:type="pct"/>
            <w:vAlign w:val="center"/>
          </w:tcPr>
          <w:p w14:paraId="710FDCB2">
            <w:pPr>
              <w:pStyle w:val="12"/>
              <w:jc w:val="center"/>
            </w:pPr>
            <w:r>
              <w:rPr>
                <w:rFonts w:hint="eastAsia"/>
              </w:rPr>
              <w:t>2002年12月</w:t>
            </w:r>
          </w:p>
        </w:tc>
        <w:tc>
          <w:tcPr>
            <w:tcW w:w="2131" w:type="pct"/>
            <w:vAlign w:val="center"/>
          </w:tcPr>
          <w:p w14:paraId="728C9E7F">
            <w:pPr>
              <w:pStyle w:val="12"/>
              <w:jc w:val="center"/>
            </w:pPr>
            <w:r>
              <w:rPr>
                <w:rFonts w:hint="eastAsia"/>
              </w:rPr>
              <w:t>南雄县志办审定编入南雄地方志丛书</w:t>
            </w:r>
          </w:p>
        </w:tc>
      </w:tr>
      <w:tr w14:paraId="5E098D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40C00967">
            <w:pPr>
              <w:pStyle w:val="12"/>
              <w:jc w:val="center"/>
            </w:pPr>
            <w:r>
              <w:rPr>
                <w:rFonts w:hint="eastAsia"/>
              </w:rPr>
              <w:t>南雄乡镇企业志</w:t>
            </w:r>
          </w:p>
        </w:tc>
        <w:tc>
          <w:tcPr>
            <w:tcW w:w="678" w:type="pct"/>
            <w:vAlign w:val="center"/>
          </w:tcPr>
          <w:p w14:paraId="4CC59C5D">
            <w:pPr>
              <w:pStyle w:val="12"/>
              <w:jc w:val="center"/>
            </w:pPr>
            <w:r>
              <w:rPr>
                <w:rFonts w:hint="eastAsia"/>
              </w:rPr>
              <w:t>陈春生</w:t>
            </w:r>
          </w:p>
        </w:tc>
        <w:tc>
          <w:tcPr>
            <w:tcW w:w="1066" w:type="pct"/>
            <w:vAlign w:val="center"/>
          </w:tcPr>
          <w:p w14:paraId="133D13E5">
            <w:pPr>
              <w:pStyle w:val="12"/>
              <w:jc w:val="center"/>
            </w:pPr>
            <w:r>
              <w:rPr>
                <w:rFonts w:hint="eastAsia"/>
              </w:rPr>
              <w:t>2003年1月</w:t>
            </w:r>
          </w:p>
        </w:tc>
        <w:tc>
          <w:tcPr>
            <w:tcW w:w="2131" w:type="pct"/>
            <w:vAlign w:val="center"/>
          </w:tcPr>
          <w:p w14:paraId="3157DB72">
            <w:pPr>
              <w:pStyle w:val="12"/>
              <w:jc w:val="center"/>
            </w:pPr>
            <w:r>
              <w:rPr>
                <w:rFonts w:hint="eastAsia"/>
              </w:rPr>
              <w:t>南雄县志办审定编入南雄地方志丛书</w:t>
            </w:r>
          </w:p>
        </w:tc>
      </w:tr>
      <w:tr w14:paraId="7525FD8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3E347F93">
            <w:pPr>
              <w:pStyle w:val="12"/>
              <w:jc w:val="center"/>
            </w:pPr>
            <w:r>
              <w:rPr>
                <w:rFonts w:hint="eastAsia"/>
              </w:rPr>
              <w:t>南雄水利志（续编）</w:t>
            </w:r>
          </w:p>
        </w:tc>
        <w:tc>
          <w:tcPr>
            <w:tcW w:w="678" w:type="pct"/>
            <w:vAlign w:val="center"/>
          </w:tcPr>
          <w:p w14:paraId="7FFF3F97">
            <w:pPr>
              <w:pStyle w:val="12"/>
              <w:jc w:val="center"/>
            </w:pPr>
            <w:r>
              <w:rPr>
                <w:rFonts w:hint="eastAsia"/>
              </w:rPr>
              <w:t>郭先瑈</w:t>
            </w:r>
          </w:p>
        </w:tc>
        <w:tc>
          <w:tcPr>
            <w:tcW w:w="1066" w:type="pct"/>
            <w:vAlign w:val="center"/>
          </w:tcPr>
          <w:p w14:paraId="7324A10E">
            <w:pPr>
              <w:pStyle w:val="12"/>
              <w:jc w:val="center"/>
            </w:pPr>
            <w:r>
              <w:rPr>
                <w:rFonts w:hint="eastAsia"/>
              </w:rPr>
              <w:t>2003年11月</w:t>
            </w:r>
          </w:p>
        </w:tc>
        <w:tc>
          <w:tcPr>
            <w:tcW w:w="2131" w:type="pct"/>
            <w:vAlign w:val="center"/>
          </w:tcPr>
          <w:p w14:paraId="07BB5B77">
            <w:pPr>
              <w:pStyle w:val="12"/>
              <w:jc w:val="center"/>
            </w:pPr>
            <w:r>
              <w:rPr>
                <w:rFonts w:hint="eastAsia"/>
              </w:rPr>
              <w:t>南雄县志办审定编入南雄地方志丛书</w:t>
            </w:r>
          </w:p>
        </w:tc>
      </w:tr>
      <w:tr w14:paraId="496C62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24" w:type="pct"/>
            <w:vAlign w:val="center"/>
          </w:tcPr>
          <w:p w14:paraId="0F338B57">
            <w:pPr>
              <w:pStyle w:val="12"/>
              <w:jc w:val="center"/>
            </w:pPr>
            <w:r>
              <w:rPr>
                <w:rFonts w:hint="eastAsia"/>
              </w:rPr>
              <w:t>明·南雄府志点注本</w:t>
            </w:r>
          </w:p>
        </w:tc>
        <w:tc>
          <w:tcPr>
            <w:tcW w:w="678" w:type="pct"/>
            <w:vAlign w:val="center"/>
          </w:tcPr>
          <w:p w14:paraId="3F03250B">
            <w:pPr>
              <w:pStyle w:val="12"/>
              <w:jc w:val="center"/>
            </w:pPr>
            <w:r>
              <w:rPr>
                <w:rFonts w:hint="eastAsia"/>
              </w:rPr>
              <w:t>谭大初撰魏家琼点注</w:t>
            </w:r>
          </w:p>
        </w:tc>
        <w:tc>
          <w:tcPr>
            <w:tcW w:w="1066" w:type="pct"/>
            <w:vAlign w:val="center"/>
          </w:tcPr>
          <w:p w14:paraId="3E148423">
            <w:pPr>
              <w:pStyle w:val="12"/>
              <w:jc w:val="center"/>
            </w:pPr>
            <w:r>
              <w:rPr>
                <w:rFonts w:hint="eastAsia"/>
              </w:rPr>
              <w:t>2001年6月</w:t>
            </w:r>
          </w:p>
        </w:tc>
        <w:tc>
          <w:tcPr>
            <w:tcW w:w="2131" w:type="pct"/>
            <w:vAlign w:val="center"/>
          </w:tcPr>
          <w:p w14:paraId="15D2946D">
            <w:pPr>
              <w:pStyle w:val="12"/>
              <w:jc w:val="center"/>
            </w:pPr>
            <w:r>
              <w:rPr>
                <w:rFonts w:hint="eastAsia"/>
              </w:rPr>
              <w:t>南雄市地方志编纂委员会</w:t>
            </w:r>
          </w:p>
        </w:tc>
      </w:tr>
    </w:tbl>
    <w:p w14:paraId="687C865B">
      <w:pPr>
        <w:ind w:firstLine="422"/>
        <w:rPr>
          <w:rFonts w:ascii="宋体" w:hAnsi="宋体" w:cs="宋体"/>
          <w:b/>
        </w:rPr>
      </w:pPr>
      <w:r>
        <w:rPr>
          <w:rFonts w:hint="eastAsia" w:ascii="宋体" w:hAnsi="宋体" w:cs="宋体"/>
          <w:b/>
        </w:rPr>
        <w:t>说明：以出版时间为序排列。</w:t>
      </w:r>
    </w:p>
    <w:p w14:paraId="2EA93483">
      <w:pPr>
        <w:ind w:firstLine="422"/>
        <w:jc w:val="center"/>
        <w:rPr>
          <w:rFonts w:ascii="宋体" w:hAnsi="宋体" w:cs="宋体"/>
          <w:b/>
          <w:bCs/>
        </w:rPr>
      </w:pPr>
      <w:r>
        <w:rPr>
          <w:rFonts w:hint="eastAsia" w:ascii="宋体" w:hAnsi="宋体" w:cs="宋体"/>
          <w:b/>
          <w:bCs/>
        </w:rPr>
        <w:t>文史专著（26种）</w:t>
      </w:r>
    </w:p>
    <w:p w14:paraId="3F016BE7">
      <w:pPr>
        <w:ind w:firstLine="0" w:firstLineChars="0"/>
        <w:rPr>
          <w:rFonts w:ascii="宋体" w:hAnsi="宋体" w:cs="宋体"/>
          <w:b/>
          <w:bCs/>
        </w:rPr>
      </w:pPr>
      <w:r>
        <w:rPr>
          <w:rFonts w:hint="eastAsia" w:ascii="宋体" w:hAnsi="宋体" w:cs="宋体"/>
          <w:b/>
          <w:bCs/>
        </w:rPr>
        <w:t>表5-8</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399"/>
        <w:gridCol w:w="1642"/>
        <w:gridCol w:w="1729"/>
        <w:gridCol w:w="3192"/>
      </w:tblGrid>
      <w:tr w14:paraId="0D961CC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1706" w:type="pct"/>
            <w:vAlign w:val="center"/>
          </w:tcPr>
          <w:p w14:paraId="17390F31">
            <w:pPr>
              <w:pStyle w:val="12"/>
              <w:jc w:val="center"/>
              <w:rPr>
                <w:b/>
              </w:rPr>
            </w:pPr>
            <w:r>
              <w:rPr>
                <w:rFonts w:hint="eastAsia"/>
                <w:b/>
              </w:rPr>
              <w:t>书名</w:t>
            </w:r>
          </w:p>
        </w:tc>
        <w:tc>
          <w:tcPr>
            <w:tcW w:w="824" w:type="pct"/>
            <w:vAlign w:val="center"/>
          </w:tcPr>
          <w:p w14:paraId="043FBC3D">
            <w:pPr>
              <w:pStyle w:val="12"/>
              <w:jc w:val="center"/>
              <w:rPr>
                <w:b/>
              </w:rPr>
            </w:pPr>
            <w:r>
              <w:rPr>
                <w:rFonts w:hint="eastAsia"/>
                <w:b/>
              </w:rPr>
              <w:t>作者或主编</w:t>
            </w:r>
          </w:p>
        </w:tc>
        <w:tc>
          <w:tcPr>
            <w:tcW w:w="868" w:type="pct"/>
            <w:vAlign w:val="center"/>
          </w:tcPr>
          <w:p w14:paraId="75E10997">
            <w:pPr>
              <w:pStyle w:val="12"/>
              <w:jc w:val="center"/>
              <w:rPr>
                <w:b/>
              </w:rPr>
            </w:pPr>
            <w:r>
              <w:rPr>
                <w:rFonts w:hint="eastAsia"/>
                <w:b/>
              </w:rPr>
              <w:t>出版时间</w:t>
            </w:r>
          </w:p>
        </w:tc>
        <w:tc>
          <w:tcPr>
            <w:tcW w:w="1602" w:type="pct"/>
            <w:vAlign w:val="center"/>
          </w:tcPr>
          <w:p w14:paraId="76089375">
            <w:pPr>
              <w:pStyle w:val="12"/>
              <w:jc w:val="center"/>
              <w:rPr>
                <w:b/>
              </w:rPr>
            </w:pPr>
            <w:r>
              <w:rPr>
                <w:rFonts w:hint="eastAsia"/>
                <w:b/>
              </w:rPr>
              <w:t>编纂单位或出版单位</w:t>
            </w:r>
          </w:p>
        </w:tc>
      </w:tr>
      <w:tr w14:paraId="306943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6" w:type="pct"/>
            <w:vAlign w:val="center"/>
          </w:tcPr>
          <w:p w14:paraId="5B4E328B">
            <w:pPr>
              <w:pStyle w:val="12"/>
              <w:jc w:val="center"/>
            </w:pPr>
            <w:r>
              <w:rPr>
                <w:rFonts w:hint="eastAsia"/>
              </w:rPr>
              <w:t>浈江洪流</w:t>
            </w:r>
          </w:p>
        </w:tc>
        <w:tc>
          <w:tcPr>
            <w:tcW w:w="824" w:type="pct"/>
            <w:vAlign w:val="center"/>
          </w:tcPr>
          <w:p w14:paraId="4094C459">
            <w:pPr>
              <w:pStyle w:val="12"/>
              <w:jc w:val="center"/>
            </w:pPr>
            <w:r>
              <w:rPr>
                <w:rFonts w:hint="eastAsia"/>
              </w:rPr>
              <w:t>党史办</w:t>
            </w:r>
          </w:p>
        </w:tc>
        <w:tc>
          <w:tcPr>
            <w:tcW w:w="868" w:type="pct"/>
            <w:vAlign w:val="center"/>
          </w:tcPr>
          <w:p w14:paraId="51700FC0">
            <w:pPr>
              <w:pStyle w:val="12"/>
              <w:jc w:val="center"/>
            </w:pPr>
            <w:r>
              <w:rPr>
                <w:rFonts w:hint="eastAsia"/>
              </w:rPr>
              <w:t>1984年8月</w:t>
            </w:r>
          </w:p>
        </w:tc>
        <w:tc>
          <w:tcPr>
            <w:tcW w:w="1602" w:type="pct"/>
            <w:vAlign w:val="center"/>
          </w:tcPr>
          <w:p w14:paraId="3010B796">
            <w:pPr>
              <w:pStyle w:val="12"/>
              <w:jc w:val="center"/>
            </w:pPr>
            <w:r>
              <w:rPr>
                <w:rFonts w:hint="eastAsia"/>
              </w:rPr>
              <w:t>中共南雄县委党史办</w:t>
            </w:r>
          </w:p>
        </w:tc>
      </w:tr>
      <w:tr w14:paraId="28F4B2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6" w:type="pct"/>
            <w:vAlign w:val="center"/>
          </w:tcPr>
          <w:p w14:paraId="3C385C90">
            <w:pPr>
              <w:pStyle w:val="12"/>
              <w:jc w:val="center"/>
            </w:pPr>
            <w:r>
              <w:rPr>
                <w:rFonts w:hint="eastAsia"/>
              </w:rPr>
              <w:t>南雄人民革命史料选编（上下册）</w:t>
            </w:r>
          </w:p>
        </w:tc>
        <w:tc>
          <w:tcPr>
            <w:tcW w:w="824" w:type="pct"/>
            <w:vAlign w:val="center"/>
          </w:tcPr>
          <w:p w14:paraId="6480292F">
            <w:pPr>
              <w:pStyle w:val="12"/>
              <w:jc w:val="center"/>
            </w:pPr>
            <w:r>
              <w:rPr>
                <w:rFonts w:hint="eastAsia"/>
              </w:rPr>
              <w:t>吴述超</w:t>
            </w:r>
          </w:p>
        </w:tc>
        <w:tc>
          <w:tcPr>
            <w:tcW w:w="868" w:type="pct"/>
            <w:vAlign w:val="center"/>
          </w:tcPr>
          <w:p w14:paraId="0F5077E5">
            <w:pPr>
              <w:pStyle w:val="12"/>
              <w:jc w:val="center"/>
            </w:pPr>
            <w:r>
              <w:rPr>
                <w:rFonts w:hint="eastAsia"/>
              </w:rPr>
              <w:t>1990年11月</w:t>
            </w:r>
          </w:p>
        </w:tc>
        <w:tc>
          <w:tcPr>
            <w:tcW w:w="1602" w:type="pct"/>
            <w:vAlign w:val="center"/>
          </w:tcPr>
          <w:p w14:paraId="38AC9498">
            <w:pPr>
              <w:pStyle w:val="12"/>
              <w:jc w:val="center"/>
            </w:pPr>
            <w:r>
              <w:rPr>
                <w:rFonts w:hint="eastAsia"/>
              </w:rPr>
              <w:t>南雄县政协文史资料委员会中共南雄县委党史办</w:t>
            </w:r>
          </w:p>
        </w:tc>
      </w:tr>
      <w:tr w14:paraId="5AAD27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6" w:type="pct"/>
            <w:vAlign w:val="center"/>
          </w:tcPr>
          <w:p w14:paraId="1CD716CD">
            <w:pPr>
              <w:pStyle w:val="12"/>
              <w:jc w:val="center"/>
            </w:pPr>
            <w:r>
              <w:rPr>
                <w:rFonts w:hint="eastAsia"/>
              </w:rPr>
              <w:t>梅岭古今</w:t>
            </w:r>
          </w:p>
        </w:tc>
        <w:tc>
          <w:tcPr>
            <w:tcW w:w="824" w:type="pct"/>
            <w:vAlign w:val="center"/>
          </w:tcPr>
          <w:p w14:paraId="44DE8FCC">
            <w:pPr>
              <w:pStyle w:val="12"/>
              <w:jc w:val="center"/>
            </w:pPr>
            <w:r>
              <w:rPr>
                <w:rFonts w:hint="eastAsia"/>
              </w:rPr>
              <w:t>吴述超</w:t>
            </w:r>
          </w:p>
        </w:tc>
        <w:tc>
          <w:tcPr>
            <w:tcW w:w="868" w:type="pct"/>
            <w:vAlign w:val="center"/>
          </w:tcPr>
          <w:p w14:paraId="112B6248">
            <w:pPr>
              <w:pStyle w:val="12"/>
              <w:jc w:val="center"/>
            </w:pPr>
            <w:r>
              <w:rPr>
                <w:rFonts w:hint="eastAsia"/>
              </w:rPr>
              <w:t>1992年10月</w:t>
            </w:r>
          </w:p>
        </w:tc>
        <w:tc>
          <w:tcPr>
            <w:tcW w:w="1602" w:type="pct"/>
            <w:vAlign w:val="center"/>
          </w:tcPr>
          <w:p w14:paraId="31177AC7">
            <w:pPr>
              <w:pStyle w:val="12"/>
              <w:jc w:val="center"/>
            </w:pPr>
            <w:r>
              <w:rPr>
                <w:rFonts w:hint="eastAsia"/>
              </w:rPr>
              <w:t>南雄县政协文史资料委员会</w:t>
            </w:r>
          </w:p>
        </w:tc>
      </w:tr>
      <w:tr w14:paraId="7FB842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6" w:type="pct"/>
            <w:vAlign w:val="center"/>
          </w:tcPr>
          <w:p w14:paraId="244B2B2B">
            <w:pPr>
              <w:pStyle w:val="12"/>
              <w:jc w:val="center"/>
            </w:pPr>
            <w:r>
              <w:rPr>
                <w:rFonts w:hint="eastAsia"/>
              </w:rPr>
              <w:t>古瓷考略</w:t>
            </w:r>
          </w:p>
        </w:tc>
        <w:tc>
          <w:tcPr>
            <w:tcW w:w="824" w:type="pct"/>
            <w:vAlign w:val="center"/>
          </w:tcPr>
          <w:p w14:paraId="3526A59B">
            <w:pPr>
              <w:pStyle w:val="12"/>
              <w:jc w:val="center"/>
            </w:pPr>
            <w:r>
              <w:rPr>
                <w:rFonts w:hint="eastAsia"/>
              </w:rPr>
              <w:t>郭隆钰</w:t>
            </w:r>
          </w:p>
        </w:tc>
        <w:tc>
          <w:tcPr>
            <w:tcW w:w="868" w:type="pct"/>
            <w:vAlign w:val="center"/>
          </w:tcPr>
          <w:p w14:paraId="252BCF7F">
            <w:pPr>
              <w:pStyle w:val="12"/>
              <w:jc w:val="center"/>
            </w:pPr>
            <w:r>
              <w:rPr>
                <w:rFonts w:hint="eastAsia"/>
              </w:rPr>
              <w:t>1993年6月</w:t>
            </w:r>
          </w:p>
        </w:tc>
        <w:tc>
          <w:tcPr>
            <w:tcW w:w="1602" w:type="pct"/>
            <w:vAlign w:val="center"/>
          </w:tcPr>
          <w:p w14:paraId="48E81395">
            <w:pPr>
              <w:pStyle w:val="12"/>
              <w:jc w:val="center"/>
            </w:pPr>
            <w:r>
              <w:rPr>
                <w:rFonts w:hint="eastAsia"/>
              </w:rPr>
              <w:t>南雄县政协文史资料委员会</w:t>
            </w:r>
          </w:p>
        </w:tc>
      </w:tr>
      <w:tr w14:paraId="4BFF63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6" w:type="pct"/>
            <w:vAlign w:val="center"/>
          </w:tcPr>
          <w:p w14:paraId="4830A351">
            <w:pPr>
              <w:pStyle w:val="12"/>
              <w:jc w:val="center"/>
            </w:pPr>
            <w:r>
              <w:rPr>
                <w:rFonts w:hint="eastAsia"/>
              </w:rPr>
              <w:t>教育史略</w:t>
            </w:r>
          </w:p>
        </w:tc>
        <w:tc>
          <w:tcPr>
            <w:tcW w:w="824" w:type="pct"/>
            <w:vAlign w:val="center"/>
          </w:tcPr>
          <w:p w14:paraId="468831EA">
            <w:pPr>
              <w:pStyle w:val="12"/>
              <w:jc w:val="center"/>
            </w:pPr>
            <w:r>
              <w:rPr>
                <w:rFonts w:hint="eastAsia"/>
              </w:rPr>
              <w:t>吴述超</w:t>
            </w:r>
          </w:p>
        </w:tc>
        <w:tc>
          <w:tcPr>
            <w:tcW w:w="868" w:type="pct"/>
            <w:vAlign w:val="center"/>
          </w:tcPr>
          <w:p w14:paraId="755050AC">
            <w:pPr>
              <w:pStyle w:val="12"/>
              <w:jc w:val="center"/>
            </w:pPr>
            <w:r>
              <w:rPr>
                <w:rFonts w:hint="eastAsia"/>
              </w:rPr>
              <w:t>1993年7月</w:t>
            </w:r>
          </w:p>
        </w:tc>
        <w:tc>
          <w:tcPr>
            <w:tcW w:w="1602" w:type="pct"/>
            <w:vAlign w:val="center"/>
          </w:tcPr>
          <w:p w14:paraId="4A4CF09E">
            <w:pPr>
              <w:pStyle w:val="12"/>
              <w:jc w:val="center"/>
            </w:pPr>
            <w:r>
              <w:rPr>
                <w:rFonts w:hint="eastAsia"/>
              </w:rPr>
              <w:t>南雄县政协文史资料委员会</w:t>
            </w:r>
          </w:p>
        </w:tc>
      </w:tr>
      <w:tr w14:paraId="0B7878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6" w:type="pct"/>
            <w:vAlign w:val="center"/>
          </w:tcPr>
          <w:p w14:paraId="17AE1A4D">
            <w:pPr>
              <w:pStyle w:val="12"/>
              <w:jc w:val="center"/>
            </w:pPr>
            <w:r>
              <w:rPr>
                <w:rFonts w:hint="eastAsia"/>
              </w:rPr>
              <w:t>浈凌拾穗</w:t>
            </w:r>
          </w:p>
        </w:tc>
        <w:tc>
          <w:tcPr>
            <w:tcW w:w="824" w:type="pct"/>
            <w:vAlign w:val="center"/>
          </w:tcPr>
          <w:p w14:paraId="70F4AB85">
            <w:pPr>
              <w:pStyle w:val="12"/>
              <w:jc w:val="center"/>
            </w:pPr>
            <w:r>
              <w:rPr>
                <w:rFonts w:hint="eastAsia"/>
              </w:rPr>
              <w:t>罗凯燊</w:t>
            </w:r>
          </w:p>
        </w:tc>
        <w:tc>
          <w:tcPr>
            <w:tcW w:w="868" w:type="pct"/>
            <w:vAlign w:val="center"/>
          </w:tcPr>
          <w:p w14:paraId="79EF09EE">
            <w:pPr>
              <w:pStyle w:val="12"/>
              <w:jc w:val="center"/>
            </w:pPr>
            <w:r>
              <w:rPr>
                <w:rFonts w:hint="eastAsia"/>
              </w:rPr>
              <w:t>1995年7月</w:t>
            </w:r>
          </w:p>
        </w:tc>
        <w:tc>
          <w:tcPr>
            <w:tcW w:w="1602" w:type="pct"/>
            <w:vAlign w:val="center"/>
          </w:tcPr>
          <w:p w14:paraId="5918BA88">
            <w:pPr>
              <w:pStyle w:val="12"/>
              <w:jc w:val="center"/>
            </w:pPr>
            <w:r>
              <w:rPr>
                <w:rFonts w:hint="eastAsia"/>
              </w:rPr>
              <w:t>南雄县政协文史资料委员会</w:t>
            </w:r>
          </w:p>
        </w:tc>
      </w:tr>
      <w:tr w14:paraId="6AC97B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6" w:type="pct"/>
            <w:vAlign w:val="center"/>
          </w:tcPr>
          <w:p w14:paraId="5001B71A">
            <w:pPr>
              <w:pStyle w:val="12"/>
              <w:jc w:val="center"/>
            </w:pPr>
            <w:r>
              <w:rPr>
                <w:rFonts w:hint="eastAsia"/>
              </w:rPr>
              <w:t>广东部分宫观拾萃</w:t>
            </w:r>
          </w:p>
        </w:tc>
        <w:tc>
          <w:tcPr>
            <w:tcW w:w="824" w:type="pct"/>
            <w:vAlign w:val="center"/>
          </w:tcPr>
          <w:p w14:paraId="5E3E2CDA">
            <w:pPr>
              <w:pStyle w:val="12"/>
              <w:jc w:val="center"/>
            </w:pPr>
            <w:r>
              <w:rPr>
                <w:rFonts w:hint="eastAsia"/>
              </w:rPr>
              <w:t>余信昌</w:t>
            </w:r>
          </w:p>
        </w:tc>
        <w:tc>
          <w:tcPr>
            <w:tcW w:w="868" w:type="pct"/>
            <w:vAlign w:val="center"/>
          </w:tcPr>
          <w:p w14:paraId="6E437E62">
            <w:pPr>
              <w:pStyle w:val="12"/>
              <w:jc w:val="center"/>
            </w:pPr>
            <w:r>
              <w:rPr>
                <w:rFonts w:hint="eastAsia"/>
              </w:rPr>
              <w:t>1996年10月</w:t>
            </w:r>
          </w:p>
        </w:tc>
        <w:tc>
          <w:tcPr>
            <w:tcW w:w="1602" w:type="pct"/>
            <w:vAlign w:val="center"/>
          </w:tcPr>
          <w:p w14:paraId="1018033A">
            <w:pPr>
              <w:pStyle w:val="12"/>
              <w:jc w:val="center"/>
            </w:pPr>
            <w:r>
              <w:rPr>
                <w:rFonts w:hint="eastAsia"/>
              </w:rPr>
              <w:t>南雄梅岭洞真古观</w:t>
            </w:r>
          </w:p>
        </w:tc>
      </w:tr>
      <w:tr w14:paraId="57EA01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6" w:type="pct"/>
            <w:vAlign w:val="center"/>
          </w:tcPr>
          <w:p w14:paraId="310D8639">
            <w:pPr>
              <w:pStyle w:val="12"/>
              <w:jc w:val="center"/>
            </w:pPr>
            <w:r>
              <w:rPr>
                <w:rFonts w:hint="eastAsia"/>
              </w:rPr>
              <w:t>史志文存</w:t>
            </w:r>
          </w:p>
        </w:tc>
        <w:tc>
          <w:tcPr>
            <w:tcW w:w="824" w:type="pct"/>
            <w:vAlign w:val="center"/>
          </w:tcPr>
          <w:p w14:paraId="506CB139">
            <w:pPr>
              <w:pStyle w:val="12"/>
              <w:jc w:val="center"/>
            </w:pPr>
            <w:r>
              <w:rPr>
                <w:rFonts w:hint="eastAsia"/>
              </w:rPr>
              <w:t>魏家琼</w:t>
            </w:r>
          </w:p>
        </w:tc>
        <w:tc>
          <w:tcPr>
            <w:tcW w:w="868" w:type="pct"/>
            <w:vAlign w:val="center"/>
          </w:tcPr>
          <w:p w14:paraId="1A1D08F6">
            <w:pPr>
              <w:pStyle w:val="12"/>
              <w:jc w:val="center"/>
            </w:pPr>
            <w:r>
              <w:rPr>
                <w:rFonts w:hint="eastAsia"/>
              </w:rPr>
              <w:t>1996年11月</w:t>
            </w:r>
          </w:p>
        </w:tc>
        <w:tc>
          <w:tcPr>
            <w:tcW w:w="1602" w:type="pct"/>
            <w:vAlign w:val="center"/>
          </w:tcPr>
          <w:p w14:paraId="5F878061">
            <w:pPr>
              <w:pStyle w:val="12"/>
              <w:jc w:val="center"/>
            </w:pPr>
            <w:r>
              <w:rPr>
                <w:rFonts w:hint="eastAsia"/>
              </w:rPr>
              <w:t>广东高等教育出版社</w:t>
            </w:r>
          </w:p>
        </w:tc>
      </w:tr>
      <w:tr w14:paraId="3680CA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6" w:type="pct"/>
            <w:vAlign w:val="center"/>
          </w:tcPr>
          <w:p w14:paraId="4DFDF9CA">
            <w:pPr>
              <w:pStyle w:val="12"/>
              <w:jc w:val="center"/>
            </w:pPr>
            <w:r>
              <w:rPr>
                <w:rFonts w:hint="eastAsia"/>
              </w:rPr>
              <w:t>浈凌拾贝</w:t>
            </w:r>
          </w:p>
        </w:tc>
        <w:tc>
          <w:tcPr>
            <w:tcW w:w="824" w:type="pct"/>
            <w:vAlign w:val="center"/>
          </w:tcPr>
          <w:p w14:paraId="77D72552">
            <w:pPr>
              <w:pStyle w:val="12"/>
              <w:jc w:val="center"/>
            </w:pPr>
            <w:r>
              <w:rPr>
                <w:rFonts w:hint="eastAsia"/>
              </w:rPr>
              <w:t>罗凯燊</w:t>
            </w:r>
          </w:p>
        </w:tc>
        <w:tc>
          <w:tcPr>
            <w:tcW w:w="868" w:type="pct"/>
            <w:vAlign w:val="center"/>
          </w:tcPr>
          <w:p w14:paraId="76E5E19E">
            <w:pPr>
              <w:pStyle w:val="12"/>
              <w:jc w:val="center"/>
            </w:pPr>
            <w:r>
              <w:rPr>
                <w:rFonts w:hint="eastAsia"/>
              </w:rPr>
              <w:t>1997年7月</w:t>
            </w:r>
          </w:p>
        </w:tc>
        <w:tc>
          <w:tcPr>
            <w:tcW w:w="1602" w:type="pct"/>
            <w:vAlign w:val="center"/>
          </w:tcPr>
          <w:p w14:paraId="7E152F9F">
            <w:pPr>
              <w:pStyle w:val="12"/>
              <w:jc w:val="center"/>
            </w:pPr>
            <w:r>
              <w:rPr>
                <w:rFonts w:hint="eastAsia"/>
              </w:rPr>
              <w:t>南雄市政协文史资料委员会</w:t>
            </w:r>
          </w:p>
        </w:tc>
      </w:tr>
      <w:tr w14:paraId="7830BF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6" w:type="pct"/>
            <w:vAlign w:val="center"/>
          </w:tcPr>
          <w:p w14:paraId="18823124">
            <w:pPr>
              <w:pStyle w:val="12"/>
              <w:jc w:val="center"/>
            </w:pPr>
            <w:r>
              <w:rPr>
                <w:rFonts w:hint="eastAsia"/>
              </w:rPr>
              <w:t>南雄市1997年党的活动大事记</w:t>
            </w:r>
          </w:p>
        </w:tc>
        <w:tc>
          <w:tcPr>
            <w:tcW w:w="824" w:type="pct"/>
            <w:vAlign w:val="center"/>
          </w:tcPr>
          <w:p w14:paraId="328208B5">
            <w:pPr>
              <w:pStyle w:val="12"/>
              <w:jc w:val="center"/>
            </w:pPr>
            <w:r>
              <w:rPr>
                <w:rFonts w:hint="eastAsia"/>
              </w:rPr>
              <w:t>钟祥林</w:t>
            </w:r>
          </w:p>
        </w:tc>
        <w:tc>
          <w:tcPr>
            <w:tcW w:w="868" w:type="pct"/>
            <w:vAlign w:val="center"/>
          </w:tcPr>
          <w:p w14:paraId="57DDFA00">
            <w:pPr>
              <w:pStyle w:val="12"/>
              <w:jc w:val="center"/>
            </w:pPr>
            <w:r>
              <w:rPr>
                <w:rFonts w:hint="eastAsia"/>
              </w:rPr>
              <w:t>1998年6月</w:t>
            </w:r>
          </w:p>
        </w:tc>
        <w:tc>
          <w:tcPr>
            <w:tcW w:w="1602" w:type="pct"/>
            <w:vAlign w:val="center"/>
          </w:tcPr>
          <w:p w14:paraId="1719CC10">
            <w:pPr>
              <w:pStyle w:val="12"/>
              <w:jc w:val="center"/>
            </w:pPr>
            <w:r>
              <w:rPr>
                <w:rFonts w:hint="eastAsia"/>
              </w:rPr>
              <w:t>中共南雄市委党史研究室</w:t>
            </w:r>
          </w:p>
        </w:tc>
      </w:tr>
      <w:tr w14:paraId="6A9AB6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6" w:type="pct"/>
            <w:vAlign w:val="center"/>
          </w:tcPr>
          <w:p w14:paraId="6BAC4E3B">
            <w:pPr>
              <w:pStyle w:val="12"/>
              <w:jc w:val="center"/>
            </w:pPr>
            <w:r>
              <w:rPr>
                <w:rFonts w:hint="eastAsia"/>
              </w:rPr>
              <w:t>南雄人民革命史</w:t>
            </w:r>
          </w:p>
        </w:tc>
        <w:tc>
          <w:tcPr>
            <w:tcW w:w="824" w:type="pct"/>
            <w:vAlign w:val="center"/>
          </w:tcPr>
          <w:p w14:paraId="49E73612">
            <w:pPr>
              <w:pStyle w:val="12"/>
              <w:jc w:val="center"/>
            </w:pPr>
            <w:r>
              <w:rPr>
                <w:rFonts w:hint="eastAsia"/>
              </w:rPr>
              <w:t>钟祥胜</w:t>
            </w:r>
          </w:p>
        </w:tc>
        <w:tc>
          <w:tcPr>
            <w:tcW w:w="868" w:type="pct"/>
            <w:vAlign w:val="center"/>
          </w:tcPr>
          <w:p w14:paraId="190ED439">
            <w:pPr>
              <w:pStyle w:val="12"/>
              <w:jc w:val="center"/>
            </w:pPr>
            <w:r>
              <w:rPr>
                <w:rFonts w:hint="eastAsia"/>
              </w:rPr>
              <w:t>1998年8月</w:t>
            </w:r>
          </w:p>
        </w:tc>
        <w:tc>
          <w:tcPr>
            <w:tcW w:w="1602" w:type="pct"/>
            <w:vAlign w:val="center"/>
          </w:tcPr>
          <w:p w14:paraId="12BF5FB1">
            <w:pPr>
              <w:pStyle w:val="12"/>
              <w:jc w:val="center"/>
            </w:pPr>
            <w:r>
              <w:rPr>
                <w:rFonts w:hint="eastAsia"/>
              </w:rPr>
              <w:t>广东人民出版社</w:t>
            </w:r>
          </w:p>
        </w:tc>
      </w:tr>
      <w:tr w14:paraId="255DEA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6" w:type="pct"/>
            <w:vAlign w:val="center"/>
          </w:tcPr>
          <w:p w14:paraId="7F6FA21A">
            <w:pPr>
              <w:pStyle w:val="12"/>
              <w:jc w:val="center"/>
            </w:pPr>
            <w:r>
              <w:rPr>
                <w:rFonts w:hint="eastAsia"/>
              </w:rPr>
              <w:t>南雄年鉴（1993年至1997年）</w:t>
            </w:r>
          </w:p>
        </w:tc>
        <w:tc>
          <w:tcPr>
            <w:tcW w:w="824" w:type="pct"/>
            <w:vAlign w:val="center"/>
          </w:tcPr>
          <w:p w14:paraId="2E6F8073">
            <w:pPr>
              <w:pStyle w:val="12"/>
              <w:jc w:val="center"/>
            </w:pPr>
            <w:r>
              <w:rPr>
                <w:rFonts w:hint="eastAsia"/>
              </w:rPr>
              <w:t>肖芬先</w:t>
            </w:r>
          </w:p>
        </w:tc>
        <w:tc>
          <w:tcPr>
            <w:tcW w:w="868" w:type="pct"/>
            <w:vAlign w:val="center"/>
          </w:tcPr>
          <w:p w14:paraId="5757D87A">
            <w:pPr>
              <w:pStyle w:val="12"/>
              <w:jc w:val="center"/>
            </w:pPr>
            <w:r>
              <w:rPr>
                <w:rFonts w:hint="eastAsia"/>
              </w:rPr>
              <w:t>1998年</w:t>
            </w:r>
          </w:p>
        </w:tc>
        <w:tc>
          <w:tcPr>
            <w:tcW w:w="1602" w:type="pct"/>
            <w:vAlign w:val="center"/>
          </w:tcPr>
          <w:p w14:paraId="60A11234">
            <w:pPr>
              <w:pStyle w:val="12"/>
              <w:jc w:val="center"/>
            </w:pPr>
            <w:r>
              <w:rPr>
                <w:rFonts w:hint="eastAsia"/>
              </w:rPr>
              <w:t>南雄市地方志编纂委员会</w:t>
            </w:r>
          </w:p>
        </w:tc>
      </w:tr>
      <w:tr w14:paraId="350F8F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6" w:type="pct"/>
            <w:vAlign w:val="center"/>
          </w:tcPr>
          <w:p w14:paraId="36288BCE">
            <w:pPr>
              <w:pStyle w:val="12"/>
              <w:jc w:val="center"/>
            </w:pPr>
            <w:r>
              <w:rPr>
                <w:rFonts w:hint="eastAsia"/>
              </w:rPr>
              <w:t>南雄年鉴（1998年）</w:t>
            </w:r>
          </w:p>
        </w:tc>
        <w:tc>
          <w:tcPr>
            <w:tcW w:w="824" w:type="pct"/>
            <w:vAlign w:val="center"/>
          </w:tcPr>
          <w:p w14:paraId="39F1E93A">
            <w:pPr>
              <w:pStyle w:val="12"/>
              <w:jc w:val="center"/>
            </w:pPr>
            <w:r>
              <w:rPr>
                <w:rFonts w:hint="eastAsia"/>
              </w:rPr>
              <w:t>肖芬先</w:t>
            </w:r>
          </w:p>
        </w:tc>
        <w:tc>
          <w:tcPr>
            <w:tcW w:w="868" w:type="pct"/>
            <w:vAlign w:val="center"/>
          </w:tcPr>
          <w:p w14:paraId="52B3FEEB">
            <w:pPr>
              <w:pStyle w:val="12"/>
              <w:jc w:val="center"/>
            </w:pPr>
            <w:r>
              <w:rPr>
                <w:rFonts w:hint="eastAsia"/>
              </w:rPr>
              <w:t>1999年</w:t>
            </w:r>
          </w:p>
        </w:tc>
        <w:tc>
          <w:tcPr>
            <w:tcW w:w="1602" w:type="pct"/>
            <w:vAlign w:val="center"/>
          </w:tcPr>
          <w:p w14:paraId="27AF5FC4">
            <w:pPr>
              <w:pStyle w:val="12"/>
              <w:jc w:val="center"/>
            </w:pPr>
            <w:r>
              <w:rPr>
                <w:rFonts w:hint="eastAsia"/>
              </w:rPr>
              <w:t>南雄市地方志编纂委员会</w:t>
            </w:r>
          </w:p>
        </w:tc>
      </w:tr>
      <w:tr w14:paraId="0C686F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6" w:type="pct"/>
            <w:vAlign w:val="center"/>
          </w:tcPr>
          <w:p w14:paraId="49C7C2B7">
            <w:pPr>
              <w:pStyle w:val="12"/>
              <w:jc w:val="center"/>
            </w:pPr>
            <w:r>
              <w:rPr>
                <w:rFonts w:hint="eastAsia"/>
              </w:rPr>
              <w:t>浈凌闲墨</w:t>
            </w:r>
          </w:p>
        </w:tc>
        <w:tc>
          <w:tcPr>
            <w:tcW w:w="824" w:type="pct"/>
            <w:vAlign w:val="center"/>
          </w:tcPr>
          <w:p w14:paraId="1AB78618">
            <w:pPr>
              <w:pStyle w:val="12"/>
              <w:jc w:val="center"/>
            </w:pPr>
            <w:r>
              <w:rPr>
                <w:rFonts w:hint="eastAsia"/>
              </w:rPr>
              <w:t>罗凯燊</w:t>
            </w:r>
          </w:p>
        </w:tc>
        <w:tc>
          <w:tcPr>
            <w:tcW w:w="868" w:type="pct"/>
            <w:vAlign w:val="center"/>
          </w:tcPr>
          <w:p w14:paraId="0A1ADECE">
            <w:pPr>
              <w:pStyle w:val="12"/>
              <w:jc w:val="center"/>
            </w:pPr>
            <w:r>
              <w:rPr>
                <w:rFonts w:hint="eastAsia"/>
              </w:rPr>
              <w:t>1999年8月</w:t>
            </w:r>
          </w:p>
        </w:tc>
        <w:tc>
          <w:tcPr>
            <w:tcW w:w="1602" w:type="pct"/>
            <w:vAlign w:val="center"/>
          </w:tcPr>
          <w:p w14:paraId="413A3DDF">
            <w:pPr>
              <w:pStyle w:val="12"/>
              <w:jc w:val="center"/>
            </w:pPr>
            <w:r>
              <w:rPr>
                <w:rFonts w:hint="eastAsia"/>
              </w:rPr>
              <w:t>南雄市政协文史资料委员会</w:t>
            </w:r>
          </w:p>
        </w:tc>
      </w:tr>
      <w:tr w14:paraId="273BF7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6" w:type="pct"/>
            <w:vAlign w:val="center"/>
          </w:tcPr>
          <w:p w14:paraId="3E025F1A">
            <w:pPr>
              <w:pStyle w:val="12"/>
              <w:jc w:val="center"/>
            </w:pPr>
            <w:r>
              <w:rPr>
                <w:rFonts w:hint="eastAsia"/>
              </w:rPr>
              <w:t>张尚琼文集</w:t>
            </w:r>
          </w:p>
        </w:tc>
        <w:tc>
          <w:tcPr>
            <w:tcW w:w="824" w:type="pct"/>
            <w:vAlign w:val="center"/>
          </w:tcPr>
          <w:p w14:paraId="1F010926">
            <w:pPr>
              <w:pStyle w:val="12"/>
              <w:jc w:val="center"/>
            </w:pPr>
            <w:r>
              <w:rPr>
                <w:rFonts w:hint="eastAsia"/>
              </w:rPr>
              <w:t>钟祥林</w:t>
            </w:r>
          </w:p>
        </w:tc>
        <w:tc>
          <w:tcPr>
            <w:tcW w:w="868" w:type="pct"/>
            <w:vAlign w:val="center"/>
          </w:tcPr>
          <w:p w14:paraId="0C2DB821">
            <w:pPr>
              <w:pStyle w:val="12"/>
              <w:jc w:val="center"/>
            </w:pPr>
            <w:r>
              <w:rPr>
                <w:rFonts w:hint="eastAsia"/>
              </w:rPr>
              <w:t>1999年9月</w:t>
            </w:r>
          </w:p>
        </w:tc>
        <w:tc>
          <w:tcPr>
            <w:tcW w:w="1602" w:type="pct"/>
            <w:vAlign w:val="center"/>
          </w:tcPr>
          <w:p w14:paraId="35EF48D2">
            <w:pPr>
              <w:pStyle w:val="12"/>
              <w:jc w:val="center"/>
            </w:pPr>
            <w:r>
              <w:rPr>
                <w:rFonts w:hint="eastAsia"/>
              </w:rPr>
              <w:t>中共南雄市委党史研究室</w:t>
            </w:r>
          </w:p>
        </w:tc>
      </w:tr>
      <w:tr w14:paraId="29F5F0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6" w:type="pct"/>
            <w:vAlign w:val="center"/>
          </w:tcPr>
          <w:p w14:paraId="7BAE8260">
            <w:pPr>
              <w:pStyle w:val="12"/>
              <w:jc w:val="center"/>
            </w:pPr>
            <w:r>
              <w:rPr>
                <w:rFonts w:hint="eastAsia"/>
              </w:rPr>
              <w:t>南雄市1998年党的活动大事记</w:t>
            </w:r>
          </w:p>
        </w:tc>
        <w:tc>
          <w:tcPr>
            <w:tcW w:w="824" w:type="pct"/>
            <w:vAlign w:val="center"/>
          </w:tcPr>
          <w:p w14:paraId="55825629">
            <w:pPr>
              <w:pStyle w:val="12"/>
              <w:jc w:val="center"/>
            </w:pPr>
            <w:r>
              <w:rPr>
                <w:rFonts w:hint="eastAsia"/>
              </w:rPr>
              <w:t>钟祥林</w:t>
            </w:r>
          </w:p>
        </w:tc>
        <w:tc>
          <w:tcPr>
            <w:tcW w:w="868" w:type="pct"/>
            <w:vAlign w:val="center"/>
          </w:tcPr>
          <w:p w14:paraId="6D9A6F96">
            <w:pPr>
              <w:pStyle w:val="12"/>
              <w:jc w:val="center"/>
            </w:pPr>
            <w:r>
              <w:rPr>
                <w:rFonts w:hint="eastAsia"/>
              </w:rPr>
              <w:t>1999年6月</w:t>
            </w:r>
          </w:p>
        </w:tc>
        <w:tc>
          <w:tcPr>
            <w:tcW w:w="1602" w:type="pct"/>
            <w:vAlign w:val="center"/>
          </w:tcPr>
          <w:p w14:paraId="357DDCE7">
            <w:pPr>
              <w:pStyle w:val="12"/>
              <w:jc w:val="center"/>
            </w:pPr>
            <w:r>
              <w:rPr>
                <w:rFonts w:hint="eastAsia"/>
              </w:rPr>
              <w:t>中共南雄市委党史研究室</w:t>
            </w:r>
          </w:p>
        </w:tc>
      </w:tr>
      <w:tr w14:paraId="09FDBF3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6" w:type="pct"/>
            <w:vAlign w:val="center"/>
          </w:tcPr>
          <w:p w14:paraId="6F95078B">
            <w:pPr>
              <w:pStyle w:val="12"/>
              <w:jc w:val="center"/>
            </w:pPr>
            <w:r>
              <w:rPr>
                <w:rFonts w:hint="eastAsia"/>
              </w:rPr>
              <w:t>南雄水利五十年</w:t>
            </w:r>
          </w:p>
        </w:tc>
        <w:tc>
          <w:tcPr>
            <w:tcW w:w="824" w:type="pct"/>
            <w:vAlign w:val="center"/>
          </w:tcPr>
          <w:p w14:paraId="54AD1637">
            <w:pPr>
              <w:pStyle w:val="12"/>
              <w:jc w:val="center"/>
            </w:pPr>
            <w:r>
              <w:rPr>
                <w:rFonts w:hint="eastAsia"/>
              </w:rPr>
              <w:t>郭先瑈</w:t>
            </w:r>
          </w:p>
        </w:tc>
        <w:tc>
          <w:tcPr>
            <w:tcW w:w="868" w:type="pct"/>
            <w:vAlign w:val="center"/>
          </w:tcPr>
          <w:p w14:paraId="31DF04B2">
            <w:pPr>
              <w:pStyle w:val="12"/>
              <w:jc w:val="center"/>
            </w:pPr>
            <w:r>
              <w:rPr>
                <w:rFonts w:hint="eastAsia"/>
              </w:rPr>
              <w:t>1999年</w:t>
            </w:r>
          </w:p>
        </w:tc>
        <w:tc>
          <w:tcPr>
            <w:tcW w:w="1602" w:type="pct"/>
            <w:vAlign w:val="center"/>
          </w:tcPr>
          <w:p w14:paraId="23AA6AB7">
            <w:pPr>
              <w:pStyle w:val="12"/>
              <w:jc w:val="center"/>
            </w:pPr>
            <w:r>
              <w:rPr>
                <w:rFonts w:hint="eastAsia"/>
              </w:rPr>
              <w:t>南雄水利局、南雄水利学会</w:t>
            </w:r>
          </w:p>
        </w:tc>
      </w:tr>
      <w:tr w14:paraId="13E3E5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6" w:type="pct"/>
            <w:vAlign w:val="center"/>
          </w:tcPr>
          <w:p w14:paraId="1FF5BD14">
            <w:pPr>
              <w:pStyle w:val="12"/>
              <w:jc w:val="center"/>
            </w:pPr>
            <w:r>
              <w:rPr>
                <w:rFonts w:hint="eastAsia"/>
              </w:rPr>
              <w:t>往事沧桑</w:t>
            </w:r>
          </w:p>
        </w:tc>
        <w:tc>
          <w:tcPr>
            <w:tcW w:w="824" w:type="pct"/>
            <w:vAlign w:val="center"/>
          </w:tcPr>
          <w:p w14:paraId="12BE0E6F">
            <w:pPr>
              <w:pStyle w:val="12"/>
              <w:jc w:val="center"/>
            </w:pPr>
            <w:r>
              <w:rPr>
                <w:rFonts w:hint="eastAsia"/>
              </w:rPr>
              <w:t>郭显清</w:t>
            </w:r>
          </w:p>
        </w:tc>
        <w:tc>
          <w:tcPr>
            <w:tcW w:w="868" w:type="pct"/>
            <w:vAlign w:val="center"/>
          </w:tcPr>
          <w:p w14:paraId="577073E5">
            <w:pPr>
              <w:pStyle w:val="12"/>
              <w:jc w:val="center"/>
            </w:pPr>
            <w:r>
              <w:rPr>
                <w:rFonts w:hint="eastAsia"/>
              </w:rPr>
              <w:t>2000年6月</w:t>
            </w:r>
          </w:p>
        </w:tc>
        <w:tc>
          <w:tcPr>
            <w:tcW w:w="1602" w:type="pct"/>
            <w:vAlign w:val="center"/>
          </w:tcPr>
          <w:p w14:paraId="5CB4B6C8">
            <w:pPr>
              <w:pStyle w:val="12"/>
              <w:jc w:val="center"/>
            </w:pPr>
            <w:r>
              <w:rPr>
                <w:rFonts w:hint="eastAsia"/>
              </w:rPr>
              <w:t>南雄老游击战士联谊会</w:t>
            </w:r>
          </w:p>
        </w:tc>
      </w:tr>
      <w:tr w14:paraId="4F0AB5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6" w:type="pct"/>
            <w:vAlign w:val="center"/>
          </w:tcPr>
          <w:p w14:paraId="4C76083F">
            <w:pPr>
              <w:pStyle w:val="12"/>
              <w:jc w:val="center"/>
            </w:pPr>
            <w:r>
              <w:rPr>
                <w:rFonts w:hint="eastAsia"/>
              </w:rPr>
              <w:t>南雄市1999年党的活动大事记</w:t>
            </w:r>
          </w:p>
        </w:tc>
        <w:tc>
          <w:tcPr>
            <w:tcW w:w="824" w:type="pct"/>
            <w:vAlign w:val="center"/>
          </w:tcPr>
          <w:p w14:paraId="37C5BCA4">
            <w:pPr>
              <w:pStyle w:val="12"/>
              <w:jc w:val="center"/>
            </w:pPr>
            <w:r>
              <w:rPr>
                <w:rFonts w:hint="eastAsia"/>
              </w:rPr>
              <w:t>钟祥林</w:t>
            </w:r>
          </w:p>
        </w:tc>
        <w:tc>
          <w:tcPr>
            <w:tcW w:w="868" w:type="pct"/>
            <w:vAlign w:val="center"/>
          </w:tcPr>
          <w:p w14:paraId="418630B3">
            <w:pPr>
              <w:pStyle w:val="12"/>
              <w:jc w:val="center"/>
            </w:pPr>
            <w:r>
              <w:rPr>
                <w:rFonts w:hint="eastAsia"/>
              </w:rPr>
              <w:t>2000年9月</w:t>
            </w:r>
          </w:p>
        </w:tc>
        <w:tc>
          <w:tcPr>
            <w:tcW w:w="1602" w:type="pct"/>
            <w:vAlign w:val="center"/>
          </w:tcPr>
          <w:p w14:paraId="3053AC96">
            <w:pPr>
              <w:pStyle w:val="12"/>
              <w:jc w:val="center"/>
            </w:pPr>
            <w:r>
              <w:rPr>
                <w:rFonts w:hint="eastAsia"/>
              </w:rPr>
              <w:t>中共南雄市委党史研究室</w:t>
            </w:r>
          </w:p>
        </w:tc>
      </w:tr>
      <w:tr w14:paraId="0BF459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6" w:type="pct"/>
            <w:vAlign w:val="center"/>
          </w:tcPr>
          <w:p w14:paraId="6592CB1B">
            <w:pPr>
              <w:pStyle w:val="12"/>
              <w:jc w:val="center"/>
            </w:pPr>
            <w:r>
              <w:rPr>
                <w:rFonts w:hint="eastAsia"/>
              </w:rPr>
              <w:t>南雄市2000年党的活动大事记</w:t>
            </w:r>
          </w:p>
        </w:tc>
        <w:tc>
          <w:tcPr>
            <w:tcW w:w="824" w:type="pct"/>
            <w:vAlign w:val="center"/>
          </w:tcPr>
          <w:p w14:paraId="37D148AA">
            <w:pPr>
              <w:pStyle w:val="12"/>
              <w:jc w:val="center"/>
            </w:pPr>
            <w:r>
              <w:rPr>
                <w:rFonts w:hint="eastAsia"/>
              </w:rPr>
              <w:t>钟祥林</w:t>
            </w:r>
          </w:p>
        </w:tc>
        <w:tc>
          <w:tcPr>
            <w:tcW w:w="868" w:type="pct"/>
            <w:vAlign w:val="center"/>
          </w:tcPr>
          <w:p w14:paraId="329D83E7">
            <w:pPr>
              <w:pStyle w:val="12"/>
              <w:jc w:val="center"/>
            </w:pPr>
            <w:r>
              <w:rPr>
                <w:rFonts w:hint="eastAsia"/>
              </w:rPr>
              <w:t>2001年6月</w:t>
            </w:r>
          </w:p>
        </w:tc>
        <w:tc>
          <w:tcPr>
            <w:tcW w:w="1602" w:type="pct"/>
            <w:vAlign w:val="center"/>
          </w:tcPr>
          <w:p w14:paraId="05F8A663">
            <w:pPr>
              <w:pStyle w:val="12"/>
              <w:jc w:val="center"/>
            </w:pPr>
            <w:r>
              <w:rPr>
                <w:rFonts w:hint="eastAsia"/>
              </w:rPr>
              <w:t>中共南雄市委党史研究室</w:t>
            </w:r>
          </w:p>
        </w:tc>
      </w:tr>
      <w:tr w14:paraId="368A2F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6" w:type="pct"/>
            <w:vAlign w:val="center"/>
          </w:tcPr>
          <w:p w14:paraId="4994AAA1">
            <w:pPr>
              <w:pStyle w:val="12"/>
              <w:jc w:val="center"/>
            </w:pPr>
            <w:r>
              <w:rPr>
                <w:rFonts w:hint="eastAsia"/>
              </w:rPr>
              <w:t>南雄市党的活动大事记（1949-1996）</w:t>
            </w:r>
          </w:p>
        </w:tc>
        <w:tc>
          <w:tcPr>
            <w:tcW w:w="824" w:type="pct"/>
            <w:vAlign w:val="center"/>
          </w:tcPr>
          <w:p w14:paraId="58B76281">
            <w:pPr>
              <w:pStyle w:val="12"/>
              <w:jc w:val="center"/>
            </w:pPr>
            <w:r>
              <w:rPr>
                <w:rFonts w:hint="eastAsia"/>
              </w:rPr>
              <w:t>钟祥林</w:t>
            </w:r>
          </w:p>
        </w:tc>
        <w:tc>
          <w:tcPr>
            <w:tcW w:w="868" w:type="pct"/>
            <w:vAlign w:val="center"/>
          </w:tcPr>
          <w:p w14:paraId="37A102FE">
            <w:pPr>
              <w:pStyle w:val="12"/>
              <w:jc w:val="center"/>
            </w:pPr>
            <w:r>
              <w:rPr>
                <w:rFonts w:hint="eastAsia"/>
              </w:rPr>
              <w:t>2001年7月</w:t>
            </w:r>
          </w:p>
        </w:tc>
        <w:tc>
          <w:tcPr>
            <w:tcW w:w="1602" w:type="pct"/>
            <w:vAlign w:val="center"/>
          </w:tcPr>
          <w:p w14:paraId="523A4F6E">
            <w:pPr>
              <w:pStyle w:val="12"/>
              <w:jc w:val="center"/>
            </w:pPr>
            <w:r>
              <w:rPr>
                <w:rFonts w:hint="eastAsia"/>
              </w:rPr>
              <w:t>中共南雄市委党史研究室</w:t>
            </w:r>
          </w:p>
        </w:tc>
      </w:tr>
      <w:tr w14:paraId="4ED7A44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6" w:type="pct"/>
            <w:vAlign w:val="center"/>
          </w:tcPr>
          <w:p w14:paraId="546438D6">
            <w:pPr>
              <w:pStyle w:val="12"/>
              <w:jc w:val="center"/>
            </w:pPr>
            <w:r>
              <w:rPr>
                <w:rFonts w:hint="eastAsia"/>
              </w:rPr>
              <w:t>珠玑魂</w:t>
            </w:r>
          </w:p>
        </w:tc>
        <w:tc>
          <w:tcPr>
            <w:tcW w:w="824" w:type="pct"/>
            <w:vAlign w:val="center"/>
          </w:tcPr>
          <w:p w14:paraId="4693C30A">
            <w:pPr>
              <w:pStyle w:val="12"/>
              <w:jc w:val="center"/>
            </w:pPr>
            <w:r>
              <w:rPr>
                <w:rFonts w:hint="eastAsia"/>
              </w:rPr>
              <w:t>钟祥林</w:t>
            </w:r>
          </w:p>
        </w:tc>
        <w:tc>
          <w:tcPr>
            <w:tcW w:w="868" w:type="pct"/>
            <w:vAlign w:val="center"/>
          </w:tcPr>
          <w:p w14:paraId="2F854C7E">
            <w:pPr>
              <w:pStyle w:val="12"/>
              <w:jc w:val="center"/>
            </w:pPr>
            <w:r>
              <w:rPr>
                <w:rFonts w:hint="eastAsia"/>
              </w:rPr>
              <w:t>2002年3月</w:t>
            </w:r>
          </w:p>
        </w:tc>
        <w:tc>
          <w:tcPr>
            <w:tcW w:w="1602" w:type="pct"/>
            <w:vAlign w:val="center"/>
          </w:tcPr>
          <w:p w14:paraId="6420C11A">
            <w:pPr>
              <w:pStyle w:val="12"/>
              <w:jc w:val="center"/>
            </w:pPr>
            <w:r>
              <w:rPr>
                <w:rFonts w:hint="eastAsia"/>
              </w:rPr>
              <w:t>中共南雄市委党史研究室</w:t>
            </w:r>
          </w:p>
        </w:tc>
      </w:tr>
      <w:tr w14:paraId="43413C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6" w:type="pct"/>
            <w:vAlign w:val="center"/>
          </w:tcPr>
          <w:p w14:paraId="615F6DC1">
            <w:pPr>
              <w:pStyle w:val="12"/>
              <w:jc w:val="center"/>
            </w:pPr>
            <w:r>
              <w:rPr>
                <w:rFonts w:hint="eastAsia"/>
              </w:rPr>
              <w:t>浈凌氏族</w:t>
            </w:r>
          </w:p>
        </w:tc>
        <w:tc>
          <w:tcPr>
            <w:tcW w:w="824" w:type="pct"/>
            <w:vAlign w:val="center"/>
          </w:tcPr>
          <w:p w14:paraId="39048208">
            <w:pPr>
              <w:pStyle w:val="12"/>
              <w:jc w:val="center"/>
            </w:pPr>
            <w:r>
              <w:rPr>
                <w:rFonts w:hint="eastAsia"/>
              </w:rPr>
              <w:t>罗凯燊</w:t>
            </w:r>
          </w:p>
        </w:tc>
        <w:tc>
          <w:tcPr>
            <w:tcW w:w="868" w:type="pct"/>
            <w:vAlign w:val="center"/>
          </w:tcPr>
          <w:p w14:paraId="0DE2DFE2">
            <w:pPr>
              <w:pStyle w:val="12"/>
              <w:jc w:val="center"/>
            </w:pPr>
            <w:r>
              <w:rPr>
                <w:rFonts w:hint="eastAsia"/>
              </w:rPr>
              <w:t>2002年5月</w:t>
            </w:r>
          </w:p>
        </w:tc>
        <w:tc>
          <w:tcPr>
            <w:tcW w:w="1602" w:type="pct"/>
            <w:vAlign w:val="center"/>
          </w:tcPr>
          <w:p w14:paraId="40E7F25A">
            <w:pPr>
              <w:pStyle w:val="12"/>
              <w:jc w:val="center"/>
            </w:pPr>
            <w:r>
              <w:rPr>
                <w:rFonts w:hint="eastAsia"/>
              </w:rPr>
              <w:t>南雄市政协文史资料委员会</w:t>
            </w:r>
          </w:p>
        </w:tc>
      </w:tr>
      <w:tr w14:paraId="10C956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6" w:type="pct"/>
            <w:vAlign w:val="center"/>
          </w:tcPr>
          <w:p w14:paraId="2B7473B0">
            <w:pPr>
              <w:pStyle w:val="12"/>
              <w:jc w:val="center"/>
            </w:pPr>
            <w:r>
              <w:rPr>
                <w:rFonts w:hint="eastAsia"/>
              </w:rPr>
              <w:t>他在暴风雨中成长</w:t>
            </w:r>
          </w:p>
        </w:tc>
        <w:tc>
          <w:tcPr>
            <w:tcW w:w="824" w:type="pct"/>
            <w:vAlign w:val="center"/>
          </w:tcPr>
          <w:p w14:paraId="3932782D">
            <w:pPr>
              <w:pStyle w:val="12"/>
              <w:jc w:val="center"/>
            </w:pPr>
            <w:r>
              <w:rPr>
                <w:rFonts w:hint="eastAsia"/>
              </w:rPr>
              <w:t>史志办公室</w:t>
            </w:r>
          </w:p>
        </w:tc>
        <w:tc>
          <w:tcPr>
            <w:tcW w:w="868" w:type="pct"/>
            <w:vAlign w:val="center"/>
          </w:tcPr>
          <w:p w14:paraId="0364DAAB">
            <w:pPr>
              <w:pStyle w:val="12"/>
              <w:jc w:val="center"/>
            </w:pPr>
            <w:r>
              <w:rPr>
                <w:rFonts w:hint="eastAsia"/>
              </w:rPr>
              <w:t>2003年</w:t>
            </w:r>
          </w:p>
        </w:tc>
        <w:tc>
          <w:tcPr>
            <w:tcW w:w="1602" w:type="pct"/>
            <w:vAlign w:val="center"/>
          </w:tcPr>
          <w:p w14:paraId="711D0CD5">
            <w:pPr>
              <w:pStyle w:val="12"/>
              <w:jc w:val="center"/>
            </w:pPr>
            <w:r>
              <w:rPr>
                <w:rFonts w:hint="eastAsia"/>
              </w:rPr>
              <w:t>南雄市史志办公室</w:t>
            </w:r>
          </w:p>
        </w:tc>
      </w:tr>
      <w:tr w14:paraId="415798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6" w:type="pct"/>
            <w:vAlign w:val="center"/>
          </w:tcPr>
          <w:p w14:paraId="7AE8797A">
            <w:pPr>
              <w:pStyle w:val="12"/>
              <w:jc w:val="center"/>
            </w:pPr>
            <w:r>
              <w:rPr>
                <w:rFonts w:hint="eastAsia"/>
              </w:rPr>
              <w:t>浈凌人物传</w:t>
            </w:r>
          </w:p>
        </w:tc>
        <w:tc>
          <w:tcPr>
            <w:tcW w:w="824" w:type="pct"/>
            <w:vAlign w:val="center"/>
          </w:tcPr>
          <w:p w14:paraId="6BAFC710">
            <w:pPr>
              <w:pStyle w:val="12"/>
              <w:jc w:val="center"/>
            </w:pPr>
            <w:r>
              <w:rPr>
                <w:rFonts w:hint="eastAsia"/>
              </w:rPr>
              <w:t>罗凯燊</w:t>
            </w:r>
          </w:p>
        </w:tc>
        <w:tc>
          <w:tcPr>
            <w:tcW w:w="868" w:type="pct"/>
            <w:vAlign w:val="center"/>
          </w:tcPr>
          <w:p w14:paraId="7BD4B9EF">
            <w:pPr>
              <w:pStyle w:val="12"/>
              <w:jc w:val="center"/>
            </w:pPr>
            <w:r>
              <w:rPr>
                <w:rFonts w:hint="eastAsia"/>
              </w:rPr>
              <w:t>2003年10月</w:t>
            </w:r>
          </w:p>
        </w:tc>
        <w:tc>
          <w:tcPr>
            <w:tcW w:w="1602" w:type="pct"/>
            <w:vAlign w:val="center"/>
          </w:tcPr>
          <w:p w14:paraId="1D1195AF">
            <w:pPr>
              <w:pStyle w:val="12"/>
              <w:jc w:val="center"/>
            </w:pPr>
            <w:r>
              <w:rPr>
                <w:rFonts w:hint="eastAsia"/>
              </w:rPr>
              <w:t>南雄市地方志编纂委员会办公室</w:t>
            </w:r>
          </w:p>
        </w:tc>
      </w:tr>
      <w:tr w14:paraId="7E58DE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6" w:type="pct"/>
            <w:vAlign w:val="center"/>
          </w:tcPr>
          <w:p w14:paraId="188323CC">
            <w:pPr>
              <w:pStyle w:val="12"/>
              <w:jc w:val="center"/>
            </w:pPr>
            <w:r>
              <w:rPr>
                <w:rFonts w:hint="eastAsia"/>
              </w:rPr>
              <w:t>南雄年鉴（1998年至2002年）</w:t>
            </w:r>
          </w:p>
        </w:tc>
        <w:tc>
          <w:tcPr>
            <w:tcW w:w="824" w:type="pct"/>
            <w:vAlign w:val="center"/>
          </w:tcPr>
          <w:p w14:paraId="0675E07F">
            <w:pPr>
              <w:pStyle w:val="12"/>
              <w:jc w:val="center"/>
            </w:pPr>
            <w:r>
              <w:rPr>
                <w:rFonts w:hint="eastAsia"/>
              </w:rPr>
              <w:t>肖芬先</w:t>
            </w:r>
          </w:p>
        </w:tc>
        <w:tc>
          <w:tcPr>
            <w:tcW w:w="868" w:type="pct"/>
            <w:vAlign w:val="center"/>
          </w:tcPr>
          <w:p w14:paraId="234F40BD">
            <w:pPr>
              <w:pStyle w:val="12"/>
              <w:jc w:val="center"/>
            </w:pPr>
            <w:r>
              <w:rPr>
                <w:rFonts w:hint="eastAsia"/>
              </w:rPr>
              <w:t>2004年6月</w:t>
            </w:r>
          </w:p>
        </w:tc>
        <w:tc>
          <w:tcPr>
            <w:tcW w:w="1602" w:type="pct"/>
            <w:vAlign w:val="center"/>
          </w:tcPr>
          <w:p w14:paraId="239624BE">
            <w:pPr>
              <w:pStyle w:val="12"/>
              <w:jc w:val="center"/>
            </w:pPr>
            <w:r>
              <w:rPr>
                <w:rFonts w:hint="eastAsia"/>
              </w:rPr>
              <w:t>南雄市地方志编纂委员会</w:t>
            </w:r>
          </w:p>
        </w:tc>
      </w:tr>
    </w:tbl>
    <w:p w14:paraId="1B126793">
      <w:pPr>
        <w:ind w:firstLine="422"/>
        <w:jc w:val="center"/>
        <w:rPr>
          <w:rFonts w:ascii="宋体" w:hAnsi="宋体" w:cs="宋体"/>
          <w:b/>
          <w:bCs/>
        </w:rPr>
      </w:pPr>
      <w:r>
        <w:rPr>
          <w:rFonts w:hint="eastAsia" w:ascii="宋体" w:hAnsi="宋体" w:cs="宋体"/>
          <w:b/>
          <w:bCs/>
        </w:rPr>
        <w:t>谱牒（55种）</w:t>
      </w:r>
    </w:p>
    <w:p w14:paraId="725D3C7F">
      <w:pPr>
        <w:ind w:firstLine="0" w:firstLineChars="0"/>
        <w:rPr>
          <w:rFonts w:ascii="宋体" w:hAnsi="宋体" w:cs="宋体"/>
          <w:b/>
          <w:bCs/>
        </w:rPr>
      </w:pPr>
      <w:r>
        <w:rPr>
          <w:rFonts w:hint="eastAsia" w:ascii="宋体" w:hAnsi="宋体" w:cs="宋体"/>
          <w:b/>
          <w:bCs/>
        </w:rPr>
        <w:t>表5-9</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320"/>
        <w:gridCol w:w="3320"/>
        <w:gridCol w:w="3322"/>
      </w:tblGrid>
      <w:tr w14:paraId="72A91C3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4DC9C58E">
            <w:pPr>
              <w:pStyle w:val="12"/>
              <w:jc w:val="center"/>
              <w:rPr>
                <w:b/>
              </w:rPr>
            </w:pPr>
            <w:r>
              <w:rPr>
                <w:rFonts w:hint="eastAsia"/>
                <w:b/>
              </w:rPr>
              <w:t>谱名</w:t>
            </w:r>
          </w:p>
        </w:tc>
        <w:tc>
          <w:tcPr>
            <w:tcW w:w="1666" w:type="pct"/>
            <w:vAlign w:val="center"/>
          </w:tcPr>
          <w:p w14:paraId="053DDF0C">
            <w:pPr>
              <w:pStyle w:val="12"/>
              <w:jc w:val="center"/>
              <w:rPr>
                <w:b/>
              </w:rPr>
            </w:pPr>
            <w:r>
              <w:rPr>
                <w:rFonts w:hint="eastAsia"/>
                <w:b/>
              </w:rPr>
              <w:t>主编</w:t>
            </w:r>
          </w:p>
        </w:tc>
        <w:tc>
          <w:tcPr>
            <w:tcW w:w="1667" w:type="pct"/>
            <w:vAlign w:val="center"/>
          </w:tcPr>
          <w:p w14:paraId="1C15F6DF">
            <w:pPr>
              <w:pStyle w:val="12"/>
              <w:jc w:val="center"/>
              <w:rPr>
                <w:b/>
              </w:rPr>
            </w:pPr>
            <w:r>
              <w:rPr>
                <w:rFonts w:hint="eastAsia"/>
                <w:b/>
              </w:rPr>
              <w:t>出版时间</w:t>
            </w:r>
          </w:p>
        </w:tc>
      </w:tr>
      <w:tr w14:paraId="590224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47E8E16C">
            <w:pPr>
              <w:pStyle w:val="12"/>
              <w:jc w:val="center"/>
            </w:pPr>
            <w:r>
              <w:rPr>
                <w:rFonts w:hint="eastAsia"/>
              </w:rPr>
              <w:t>赖氏永诚祠六修族谱</w:t>
            </w:r>
          </w:p>
        </w:tc>
        <w:tc>
          <w:tcPr>
            <w:tcW w:w="1666" w:type="pct"/>
            <w:vAlign w:val="center"/>
          </w:tcPr>
          <w:p w14:paraId="0B230706">
            <w:pPr>
              <w:pStyle w:val="12"/>
              <w:jc w:val="center"/>
            </w:pPr>
            <w:r>
              <w:rPr>
                <w:rFonts w:hint="eastAsia"/>
              </w:rPr>
              <w:t>赖发袗</w:t>
            </w:r>
          </w:p>
        </w:tc>
        <w:tc>
          <w:tcPr>
            <w:tcW w:w="1667" w:type="pct"/>
            <w:vAlign w:val="center"/>
          </w:tcPr>
          <w:p w14:paraId="64071EC7">
            <w:pPr>
              <w:pStyle w:val="12"/>
              <w:jc w:val="center"/>
            </w:pPr>
            <w:r>
              <w:rPr>
                <w:rFonts w:hint="eastAsia"/>
              </w:rPr>
              <w:t>1995年</w:t>
            </w:r>
          </w:p>
        </w:tc>
      </w:tr>
      <w:tr w14:paraId="4077DA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2A526853">
            <w:pPr>
              <w:pStyle w:val="12"/>
              <w:jc w:val="center"/>
            </w:pPr>
            <w:r>
              <w:rPr>
                <w:rFonts w:hint="eastAsia"/>
              </w:rPr>
              <w:t>南雄赵氏十修族谱</w:t>
            </w:r>
          </w:p>
        </w:tc>
        <w:tc>
          <w:tcPr>
            <w:tcW w:w="1666" w:type="pct"/>
            <w:vAlign w:val="center"/>
          </w:tcPr>
          <w:p w14:paraId="10AF4258">
            <w:pPr>
              <w:pStyle w:val="12"/>
              <w:jc w:val="center"/>
            </w:pPr>
            <w:r>
              <w:rPr>
                <w:rFonts w:hint="eastAsia"/>
              </w:rPr>
              <w:t>赵春发</w:t>
            </w:r>
          </w:p>
        </w:tc>
        <w:tc>
          <w:tcPr>
            <w:tcW w:w="1667" w:type="pct"/>
            <w:vAlign w:val="center"/>
          </w:tcPr>
          <w:p w14:paraId="723B1FA7">
            <w:pPr>
              <w:pStyle w:val="12"/>
              <w:jc w:val="center"/>
            </w:pPr>
            <w:r>
              <w:rPr>
                <w:rFonts w:hint="eastAsia"/>
              </w:rPr>
              <w:t>1996年</w:t>
            </w:r>
          </w:p>
        </w:tc>
      </w:tr>
      <w:tr w14:paraId="3DFE04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355FBFA1">
            <w:pPr>
              <w:pStyle w:val="12"/>
              <w:jc w:val="center"/>
            </w:pPr>
            <w:r>
              <w:rPr>
                <w:rFonts w:hint="eastAsia"/>
              </w:rPr>
              <w:t>南雄温氏八修族谱</w:t>
            </w:r>
          </w:p>
        </w:tc>
        <w:tc>
          <w:tcPr>
            <w:tcW w:w="1666" w:type="pct"/>
            <w:vAlign w:val="center"/>
          </w:tcPr>
          <w:p w14:paraId="31194334">
            <w:pPr>
              <w:pStyle w:val="12"/>
              <w:jc w:val="center"/>
            </w:pPr>
            <w:r>
              <w:rPr>
                <w:rFonts w:hint="eastAsia"/>
              </w:rPr>
              <w:t>温  琼</w:t>
            </w:r>
          </w:p>
        </w:tc>
        <w:tc>
          <w:tcPr>
            <w:tcW w:w="1667" w:type="pct"/>
            <w:vAlign w:val="center"/>
          </w:tcPr>
          <w:p w14:paraId="0D55D8BE">
            <w:pPr>
              <w:pStyle w:val="12"/>
              <w:jc w:val="center"/>
            </w:pPr>
            <w:r>
              <w:rPr>
                <w:rFonts w:hint="eastAsia"/>
              </w:rPr>
              <w:t>1996年</w:t>
            </w:r>
          </w:p>
        </w:tc>
      </w:tr>
      <w:tr w14:paraId="4F1E2C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1A4E0EB5">
            <w:pPr>
              <w:pStyle w:val="12"/>
              <w:jc w:val="center"/>
            </w:pPr>
            <w:r>
              <w:rPr>
                <w:rFonts w:hint="eastAsia"/>
              </w:rPr>
              <w:t>南雄卢氏六修族谱</w:t>
            </w:r>
          </w:p>
        </w:tc>
        <w:tc>
          <w:tcPr>
            <w:tcW w:w="1666" w:type="pct"/>
            <w:vAlign w:val="center"/>
          </w:tcPr>
          <w:p w14:paraId="1A1A7556">
            <w:pPr>
              <w:pStyle w:val="12"/>
              <w:jc w:val="center"/>
            </w:pPr>
            <w:r>
              <w:rPr>
                <w:rFonts w:hint="eastAsia"/>
              </w:rPr>
              <w:t>卢章严</w:t>
            </w:r>
          </w:p>
        </w:tc>
        <w:tc>
          <w:tcPr>
            <w:tcW w:w="1667" w:type="pct"/>
            <w:vAlign w:val="center"/>
          </w:tcPr>
          <w:p w14:paraId="55C618D1">
            <w:pPr>
              <w:pStyle w:val="12"/>
              <w:jc w:val="center"/>
            </w:pPr>
            <w:r>
              <w:rPr>
                <w:rFonts w:hint="eastAsia"/>
              </w:rPr>
              <w:t>1996年春</w:t>
            </w:r>
          </w:p>
        </w:tc>
      </w:tr>
      <w:tr w14:paraId="5B5583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6AA1C61A">
            <w:pPr>
              <w:pStyle w:val="12"/>
              <w:jc w:val="center"/>
            </w:pPr>
            <w:r>
              <w:rPr>
                <w:rFonts w:hint="eastAsia"/>
              </w:rPr>
              <w:t>南雄珠玑巷杨氏三修族谱</w:t>
            </w:r>
          </w:p>
        </w:tc>
        <w:tc>
          <w:tcPr>
            <w:tcW w:w="1666" w:type="pct"/>
            <w:vAlign w:val="center"/>
          </w:tcPr>
          <w:p w14:paraId="1B7C29A0">
            <w:pPr>
              <w:pStyle w:val="12"/>
              <w:jc w:val="center"/>
            </w:pPr>
            <w:r>
              <w:rPr>
                <w:rFonts w:hint="eastAsia"/>
              </w:rPr>
              <w:t>杨克明</w:t>
            </w:r>
          </w:p>
        </w:tc>
        <w:tc>
          <w:tcPr>
            <w:tcW w:w="1667" w:type="pct"/>
            <w:vAlign w:val="center"/>
          </w:tcPr>
          <w:p w14:paraId="213E9657">
            <w:pPr>
              <w:pStyle w:val="12"/>
              <w:jc w:val="center"/>
            </w:pPr>
            <w:r>
              <w:rPr>
                <w:rFonts w:hint="eastAsia"/>
              </w:rPr>
              <w:t>1997年秋</w:t>
            </w:r>
          </w:p>
        </w:tc>
      </w:tr>
      <w:tr w14:paraId="121BCB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00B51074">
            <w:pPr>
              <w:pStyle w:val="12"/>
              <w:jc w:val="center"/>
            </w:pPr>
            <w:r>
              <w:rPr>
                <w:rFonts w:hint="eastAsia"/>
              </w:rPr>
              <w:t>江夏堂黄氏六修族谱</w:t>
            </w:r>
          </w:p>
        </w:tc>
        <w:tc>
          <w:tcPr>
            <w:tcW w:w="1666" w:type="pct"/>
            <w:vAlign w:val="center"/>
          </w:tcPr>
          <w:p w14:paraId="1E9559F2">
            <w:pPr>
              <w:pStyle w:val="12"/>
              <w:jc w:val="center"/>
            </w:pPr>
            <w:r>
              <w:rPr>
                <w:rFonts w:hint="eastAsia"/>
              </w:rPr>
              <w:t>黄德安</w:t>
            </w:r>
          </w:p>
        </w:tc>
        <w:tc>
          <w:tcPr>
            <w:tcW w:w="1667" w:type="pct"/>
            <w:vAlign w:val="center"/>
          </w:tcPr>
          <w:p w14:paraId="50964D11">
            <w:pPr>
              <w:pStyle w:val="12"/>
              <w:jc w:val="center"/>
            </w:pPr>
            <w:r>
              <w:rPr>
                <w:rFonts w:hint="eastAsia"/>
              </w:rPr>
              <w:t>1997年秋</w:t>
            </w:r>
          </w:p>
        </w:tc>
      </w:tr>
      <w:tr w14:paraId="40081C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457C4CEE">
            <w:pPr>
              <w:pStyle w:val="12"/>
              <w:jc w:val="center"/>
            </w:pPr>
            <w:r>
              <w:rPr>
                <w:rFonts w:hint="eastAsia"/>
              </w:rPr>
              <w:t>庐江堂何氏五修族谱</w:t>
            </w:r>
          </w:p>
        </w:tc>
        <w:tc>
          <w:tcPr>
            <w:tcW w:w="1666" w:type="pct"/>
            <w:vAlign w:val="center"/>
          </w:tcPr>
          <w:p w14:paraId="60B3E9E6">
            <w:pPr>
              <w:pStyle w:val="12"/>
              <w:jc w:val="center"/>
            </w:pPr>
            <w:r>
              <w:rPr>
                <w:rFonts w:hint="eastAsia"/>
              </w:rPr>
              <w:t>何世进</w:t>
            </w:r>
          </w:p>
        </w:tc>
        <w:tc>
          <w:tcPr>
            <w:tcW w:w="1667" w:type="pct"/>
            <w:vAlign w:val="center"/>
          </w:tcPr>
          <w:p w14:paraId="2D19B887">
            <w:pPr>
              <w:pStyle w:val="12"/>
              <w:jc w:val="center"/>
            </w:pPr>
            <w:r>
              <w:rPr>
                <w:rFonts w:hint="eastAsia"/>
              </w:rPr>
              <w:t>1998年9月</w:t>
            </w:r>
          </w:p>
        </w:tc>
      </w:tr>
      <w:tr w14:paraId="445271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7D472F6D">
            <w:pPr>
              <w:pStyle w:val="12"/>
              <w:jc w:val="center"/>
            </w:pPr>
            <w:r>
              <w:rPr>
                <w:rFonts w:hint="eastAsia"/>
              </w:rPr>
              <w:t>松阳堂赖氏族谱</w:t>
            </w:r>
          </w:p>
        </w:tc>
        <w:tc>
          <w:tcPr>
            <w:tcW w:w="1666" w:type="pct"/>
            <w:vAlign w:val="center"/>
          </w:tcPr>
          <w:p w14:paraId="2CC6BDB8">
            <w:pPr>
              <w:pStyle w:val="12"/>
              <w:jc w:val="center"/>
            </w:pPr>
            <w:r>
              <w:rPr>
                <w:rFonts w:hint="eastAsia"/>
              </w:rPr>
              <w:t>赖济芳</w:t>
            </w:r>
          </w:p>
        </w:tc>
        <w:tc>
          <w:tcPr>
            <w:tcW w:w="1667" w:type="pct"/>
            <w:vAlign w:val="center"/>
          </w:tcPr>
          <w:p w14:paraId="660DA2B3">
            <w:pPr>
              <w:pStyle w:val="12"/>
              <w:jc w:val="center"/>
            </w:pPr>
            <w:r>
              <w:rPr>
                <w:rFonts w:hint="eastAsia"/>
              </w:rPr>
              <w:t>1997年</w:t>
            </w:r>
          </w:p>
        </w:tc>
      </w:tr>
      <w:tr w14:paraId="27A892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38139D0B">
            <w:pPr>
              <w:pStyle w:val="12"/>
              <w:jc w:val="center"/>
            </w:pPr>
            <w:r>
              <w:rPr>
                <w:rFonts w:hint="eastAsia"/>
              </w:rPr>
              <w:t>弱溪欧阳氏重修族谱</w:t>
            </w:r>
          </w:p>
        </w:tc>
        <w:tc>
          <w:tcPr>
            <w:tcW w:w="1666" w:type="pct"/>
            <w:vAlign w:val="center"/>
          </w:tcPr>
          <w:p w14:paraId="7F27BABF">
            <w:pPr>
              <w:pStyle w:val="12"/>
              <w:jc w:val="center"/>
            </w:pPr>
            <w:r>
              <w:rPr>
                <w:rFonts w:hint="eastAsia"/>
              </w:rPr>
              <w:t>欧阳克节等</w:t>
            </w:r>
          </w:p>
        </w:tc>
        <w:tc>
          <w:tcPr>
            <w:tcW w:w="1667" w:type="pct"/>
            <w:vAlign w:val="center"/>
          </w:tcPr>
          <w:p w14:paraId="004C7B2B">
            <w:pPr>
              <w:pStyle w:val="12"/>
              <w:jc w:val="center"/>
            </w:pPr>
            <w:r>
              <w:rPr>
                <w:rFonts w:hint="eastAsia"/>
              </w:rPr>
              <w:t>1997年</w:t>
            </w:r>
          </w:p>
        </w:tc>
      </w:tr>
      <w:tr w14:paraId="6768BB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78882353">
            <w:pPr>
              <w:pStyle w:val="12"/>
              <w:jc w:val="center"/>
            </w:pPr>
            <w:r>
              <w:rPr>
                <w:rFonts w:hint="eastAsia"/>
              </w:rPr>
              <w:t>南雄江氏五修谱</w:t>
            </w:r>
          </w:p>
        </w:tc>
        <w:tc>
          <w:tcPr>
            <w:tcW w:w="1666" w:type="pct"/>
            <w:vAlign w:val="center"/>
          </w:tcPr>
          <w:p w14:paraId="5964F0B0">
            <w:pPr>
              <w:pStyle w:val="12"/>
              <w:jc w:val="center"/>
            </w:pPr>
            <w:r>
              <w:rPr>
                <w:rFonts w:hint="eastAsia"/>
              </w:rPr>
              <w:t>江耀庭</w:t>
            </w:r>
          </w:p>
        </w:tc>
        <w:tc>
          <w:tcPr>
            <w:tcW w:w="1667" w:type="pct"/>
            <w:vAlign w:val="center"/>
          </w:tcPr>
          <w:p w14:paraId="4F274F3E">
            <w:pPr>
              <w:pStyle w:val="12"/>
              <w:jc w:val="center"/>
            </w:pPr>
            <w:r>
              <w:rPr>
                <w:rFonts w:hint="eastAsia"/>
              </w:rPr>
              <w:t>1997年</w:t>
            </w:r>
          </w:p>
        </w:tc>
      </w:tr>
      <w:tr w14:paraId="5DB8C9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74483AE1">
            <w:pPr>
              <w:pStyle w:val="12"/>
              <w:jc w:val="center"/>
            </w:pPr>
            <w:r>
              <w:rPr>
                <w:rFonts w:hint="eastAsia"/>
              </w:rPr>
              <w:t>粤赣边邓氏联谱</w:t>
            </w:r>
          </w:p>
        </w:tc>
        <w:tc>
          <w:tcPr>
            <w:tcW w:w="1666" w:type="pct"/>
            <w:vAlign w:val="center"/>
          </w:tcPr>
          <w:p w14:paraId="29E9BD4D">
            <w:pPr>
              <w:pStyle w:val="12"/>
              <w:jc w:val="center"/>
            </w:pPr>
            <w:r>
              <w:rPr>
                <w:rFonts w:hint="eastAsia"/>
              </w:rPr>
              <w:t>邓衔骥</w:t>
            </w:r>
          </w:p>
        </w:tc>
        <w:tc>
          <w:tcPr>
            <w:tcW w:w="1667" w:type="pct"/>
            <w:vAlign w:val="center"/>
          </w:tcPr>
          <w:p w14:paraId="72FA40EB">
            <w:pPr>
              <w:pStyle w:val="12"/>
              <w:jc w:val="center"/>
            </w:pPr>
            <w:r>
              <w:rPr>
                <w:rFonts w:hint="eastAsia"/>
              </w:rPr>
              <w:t>1998年8月</w:t>
            </w:r>
          </w:p>
        </w:tc>
      </w:tr>
      <w:tr w14:paraId="4C8B3D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7CD53541">
            <w:pPr>
              <w:pStyle w:val="12"/>
              <w:jc w:val="center"/>
            </w:pPr>
            <w:r>
              <w:rPr>
                <w:rFonts w:hint="eastAsia"/>
              </w:rPr>
              <w:t>雄、始、余苏氏族谱</w:t>
            </w:r>
          </w:p>
        </w:tc>
        <w:tc>
          <w:tcPr>
            <w:tcW w:w="1666" w:type="pct"/>
            <w:vAlign w:val="center"/>
          </w:tcPr>
          <w:p w14:paraId="07CEC35F">
            <w:pPr>
              <w:pStyle w:val="12"/>
              <w:jc w:val="center"/>
            </w:pPr>
            <w:r>
              <w:rPr>
                <w:rFonts w:hint="eastAsia"/>
              </w:rPr>
              <w:t>苏中平</w:t>
            </w:r>
          </w:p>
        </w:tc>
        <w:tc>
          <w:tcPr>
            <w:tcW w:w="1667" w:type="pct"/>
            <w:vAlign w:val="center"/>
          </w:tcPr>
          <w:p w14:paraId="1B8DB254">
            <w:pPr>
              <w:pStyle w:val="12"/>
              <w:jc w:val="center"/>
            </w:pPr>
            <w:r>
              <w:rPr>
                <w:rFonts w:hint="eastAsia"/>
              </w:rPr>
              <w:t>1997年</w:t>
            </w:r>
          </w:p>
        </w:tc>
      </w:tr>
      <w:tr w14:paraId="2AF990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503505F9">
            <w:pPr>
              <w:pStyle w:val="12"/>
              <w:jc w:val="center"/>
            </w:pPr>
            <w:r>
              <w:rPr>
                <w:rFonts w:hint="eastAsia"/>
              </w:rPr>
              <w:t>南雄蓝氏七修族谱</w:t>
            </w:r>
          </w:p>
        </w:tc>
        <w:tc>
          <w:tcPr>
            <w:tcW w:w="1666" w:type="pct"/>
            <w:vAlign w:val="center"/>
          </w:tcPr>
          <w:p w14:paraId="1FE4DC2B">
            <w:pPr>
              <w:pStyle w:val="12"/>
              <w:jc w:val="center"/>
            </w:pPr>
            <w:r>
              <w:rPr>
                <w:rFonts w:hint="eastAsia"/>
              </w:rPr>
              <w:t>蓝光传</w:t>
            </w:r>
          </w:p>
        </w:tc>
        <w:tc>
          <w:tcPr>
            <w:tcW w:w="1667" w:type="pct"/>
            <w:vAlign w:val="center"/>
          </w:tcPr>
          <w:p w14:paraId="7081E2FD">
            <w:pPr>
              <w:pStyle w:val="12"/>
              <w:jc w:val="center"/>
            </w:pPr>
            <w:r>
              <w:rPr>
                <w:rFonts w:hint="eastAsia"/>
              </w:rPr>
              <w:t>1997年12月</w:t>
            </w:r>
          </w:p>
        </w:tc>
      </w:tr>
      <w:tr w14:paraId="0A8E48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4FC5DB12">
            <w:pPr>
              <w:pStyle w:val="12"/>
              <w:jc w:val="center"/>
            </w:pPr>
            <w:r>
              <w:rPr>
                <w:rFonts w:hint="eastAsia"/>
              </w:rPr>
              <w:t>新溪李氏十修族</w:t>
            </w:r>
          </w:p>
        </w:tc>
        <w:tc>
          <w:tcPr>
            <w:tcW w:w="1666" w:type="pct"/>
            <w:vAlign w:val="center"/>
          </w:tcPr>
          <w:p w14:paraId="5758CA9C">
            <w:pPr>
              <w:pStyle w:val="12"/>
              <w:jc w:val="center"/>
            </w:pPr>
            <w:r>
              <w:rPr>
                <w:rFonts w:hint="eastAsia"/>
              </w:rPr>
              <w:t>李银等</w:t>
            </w:r>
          </w:p>
        </w:tc>
        <w:tc>
          <w:tcPr>
            <w:tcW w:w="1667" w:type="pct"/>
            <w:vAlign w:val="center"/>
          </w:tcPr>
          <w:p w14:paraId="6961B219">
            <w:pPr>
              <w:pStyle w:val="12"/>
              <w:jc w:val="center"/>
            </w:pPr>
            <w:r>
              <w:rPr>
                <w:rFonts w:hint="eastAsia"/>
              </w:rPr>
              <w:t>1997年</w:t>
            </w:r>
          </w:p>
        </w:tc>
      </w:tr>
      <w:tr w14:paraId="55D82E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3DF5ECDD">
            <w:pPr>
              <w:pStyle w:val="12"/>
              <w:jc w:val="center"/>
            </w:pPr>
            <w:r>
              <w:rPr>
                <w:rFonts w:hint="eastAsia"/>
              </w:rPr>
              <w:t>西平堂李氏八修族谱</w:t>
            </w:r>
          </w:p>
        </w:tc>
        <w:tc>
          <w:tcPr>
            <w:tcW w:w="1666" w:type="pct"/>
            <w:vAlign w:val="center"/>
          </w:tcPr>
          <w:p w14:paraId="3593E704">
            <w:pPr>
              <w:pStyle w:val="12"/>
              <w:jc w:val="center"/>
            </w:pPr>
            <w:r>
              <w:rPr>
                <w:rFonts w:hint="eastAsia"/>
              </w:rPr>
              <w:t>李光西等</w:t>
            </w:r>
          </w:p>
        </w:tc>
        <w:tc>
          <w:tcPr>
            <w:tcW w:w="1667" w:type="pct"/>
            <w:vAlign w:val="center"/>
          </w:tcPr>
          <w:p w14:paraId="38609C9C">
            <w:pPr>
              <w:pStyle w:val="12"/>
              <w:jc w:val="center"/>
            </w:pPr>
            <w:r>
              <w:rPr>
                <w:rFonts w:hint="eastAsia"/>
              </w:rPr>
              <w:t>1997年</w:t>
            </w:r>
          </w:p>
        </w:tc>
      </w:tr>
      <w:tr w14:paraId="176941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6162A451">
            <w:pPr>
              <w:pStyle w:val="12"/>
              <w:jc w:val="center"/>
            </w:pPr>
            <w:r>
              <w:rPr>
                <w:rFonts w:hint="eastAsia"/>
              </w:rPr>
              <w:t>陈氏族谱（首修联谱）</w:t>
            </w:r>
          </w:p>
        </w:tc>
        <w:tc>
          <w:tcPr>
            <w:tcW w:w="1666" w:type="pct"/>
            <w:vAlign w:val="center"/>
          </w:tcPr>
          <w:p w14:paraId="7D0C24CF">
            <w:pPr>
              <w:pStyle w:val="12"/>
              <w:jc w:val="center"/>
            </w:pPr>
            <w:r>
              <w:rPr>
                <w:rFonts w:hint="eastAsia"/>
              </w:rPr>
              <w:t>陈卫国</w:t>
            </w:r>
          </w:p>
        </w:tc>
        <w:tc>
          <w:tcPr>
            <w:tcW w:w="1667" w:type="pct"/>
            <w:vAlign w:val="center"/>
          </w:tcPr>
          <w:p w14:paraId="24E1B2C3">
            <w:pPr>
              <w:pStyle w:val="12"/>
              <w:jc w:val="center"/>
            </w:pPr>
            <w:r>
              <w:rPr>
                <w:rFonts w:hint="eastAsia"/>
              </w:rPr>
              <w:t>1998年春</w:t>
            </w:r>
          </w:p>
        </w:tc>
      </w:tr>
      <w:tr w14:paraId="0C6C7E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15011EBF">
            <w:pPr>
              <w:pStyle w:val="12"/>
              <w:jc w:val="center"/>
            </w:pPr>
            <w:r>
              <w:rPr>
                <w:rFonts w:hint="eastAsia"/>
              </w:rPr>
              <w:t>张氏族谱（六修）</w:t>
            </w:r>
          </w:p>
        </w:tc>
        <w:tc>
          <w:tcPr>
            <w:tcW w:w="1666" w:type="pct"/>
            <w:vAlign w:val="center"/>
          </w:tcPr>
          <w:p w14:paraId="14E0BF4D">
            <w:pPr>
              <w:pStyle w:val="12"/>
              <w:jc w:val="center"/>
            </w:pPr>
            <w:r>
              <w:rPr>
                <w:rFonts w:hint="eastAsia"/>
              </w:rPr>
              <w:t>张振铭</w:t>
            </w:r>
          </w:p>
        </w:tc>
        <w:tc>
          <w:tcPr>
            <w:tcW w:w="1667" w:type="pct"/>
            <w:vAlign w:val="center"/>
          </w:tcPr>
          <w:p w14:paraId="2261E3F7">
            <w:pPr>
              <w:pStyle w:val="12"/>
              <w:jc w:val="center"/>
            </w:pPr>
            <w:r>
              <w:rPr>
                <w:rFonts w:hint="eastAsia"/>
              </w:rPr>
              <w:t>1998年12月</w:t>
            </w:r>
          </w:p>
        </w:tc>
      </w:tr>
      <w:tr w14:paraId="22C225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5997DA19">
            <w:pPr>
              <w:pStyle w:val="12"/>
              <w:jc w:val="center"/>
            </w:pPr>
            <w:r>
              <w:rPr>
                <w:rFonts w:hint="eastAsia"/>
              </w:rPr>
              <w:t>聂氏族谱（五修）</w:t>
            </w:r>
          </w:p>
        </w:tc>
        <w:tc>
          <w:tcPr>
            <w:tcW w:w="1666" w:type="pct"/>
            <w:vAlign w:val="center"/>
          </w:tcPr>
          <w:p w14:paraId="2E8A3785">
            <w:pPr>
              <w:pStyle w:val="12"/>
              <w:jc w:val="center"/>
            </w:pPr>
            <w:r>
              <w:rPr>
                <w:rFonts w:hint="eastAsia"/>
              </w:rPr>
              <w:t>聂馥洪</w:t>
            </w:r>
          </w:p>
        </w:tc>
        <w:tc>
          <w:tcPr>
            <w:tcW w:w="1667" w:type="pct"/>
            <w:vAlign w:val="center"/>
          </w:tcPr>
          <w:p w14:paraId="3F237519">
            <w:pPr>
              <w:pStyle w:val="12"/>
              <w:jc w:val="center"/>
            </w:pPr>
            <w:r>
              <w:rPr>
                <w:rFonts w:hint="eastAsia"/>
              </w:rPr>
              <w:t>1998年</w:t>
            </w:r>
          </w:p>
        </w:tc>
      </w:tr>
      <w:tr w14:paraId="3AE9A4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3B3D9117">
            <w:pPr>
              <w:pStyle w:val="12"/>
              <w:jc w:val="center"/>
            </w:pPr>
            <w:r>
              <w:rPr>
                <w:rFonts w:hint="eastAsia"/>
              </w:rPr>
              <w:t>龙岩郭宗显户南雄籍续谱</w:t>
            </w:r>
          </w:p>
        </w:tc>
        <w:tc>
          <w:tcPr>
            <w:tcW w:w="1666" w:type="pct"/>
            <w:vAlign w:val="center"/>
          </w:tcPr>
          <w:p w14:paraId="14A8831E">
            <w:pPr>
              <w:pStyle w:val="12"/>
              <w:jc w:val="center"/>
            </w:pPr>
            <w:r>
              <w:rPr>
                <w:rFonts w:hint="eastAsia"/>
              </w:rPr>
              <w:t>郭学忠等</w:t>
            </w:r>
          </w:p>
        </w:tc>
        <w:tc>
          <w:tcPr>
            <w:tcW w:w="1667" w:type="pct"/>
            <w:vAlign w:val="center"/>
          </w:tcPr>
          <w:p w14:paraId="7D498AFF">
            <w:pPr>
              <w:pStyle w:val="12"/>
              <w:jc w:val="center"/>
            </w:pPr>
            <w:r>
              <w:rPr>
                <w:rFonts w:hint="eastAsia"/>
              </w:rPr>
              <w:t>1997年冬</w:t>
            </w:r>
          </w:p>
        </w:tc>
      </w:tr>
      <w:tr w14:paraId="636993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4641C29E">
            <w:pPr>
              <w:pStyle w:val="12"/>
              <w:jc w:val="center"/>
            </w:pPr>
            <w:r>
              <w:rPr>
                <w:rFonts w:hint="eastAsia"/>
              </w:rPr>
              <w:t>汾阳堂浆田郭氏七修族谱</w:t>
            </w:r>
          </w:p>
        </w:tc>
        <w:tc>
          <w:tcPr>
            <w:tcW w:w="1666" w:type="pct"/>
            <w:vAlign w:val="center"/>
          </w:tcPr>
          <w:p w14:paraId="6C65E61F">
            <w:pPr>
              <w:pStyle w:val="12"/>
              <w:jc w:val="center"/>
            </w:pPr>
            <w:r>
              <w:rPr>
                <w:rFonts w:hint="eastAsia"/>
              </w:rPr>
              <w:t>郭先足</w:t>
            </w:r>
          </w:p>
        </w:tc>
        <w:tc>
          <w:tcPr>
            <w:tcW w:w="1667" w:type="pct"/>
            <w:vAlign w:val="center"/>
          </w:tcPr>
          <w:p w14:paraId="250722D5">
            <w:pPr>
              <w:pStyle w:val="12"/>
              <w:jc w:val="center"/>
            </w:pPr>
            <w:r>
              <w:rPr>
                <w:rFonts w:hint="eastAsia"/>
              </w:rPr>
              <w:t>1998年</w:t>
            </w:r>
          </w:p>
        </w:tc>
      </w:tr>
      <w:tr w14:paraId="30EABA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1EA9B2C8">
            <w:pPr>
              <w:pStyle w:val="12"/>
              <w:jc w:val="center"/>
            </w:pPr>
            <w:r>
              <w:rPr>
                <w:rFonts w:hint="eastAsia"/>
              </w:rPr>
              <w:t>福修（七修）严氏族谱</w:t>
            </w:r>
          </w:p>
        </w:tc>
        <w:tc>
          <w:tcPr>
            <w:tcW w:w="1666" w:type="pct"/>
            <w:vAlign w:val="center"/>
          </w:tcPr>
          <w:p w14:paraId="1E49A59C">
            <w:pPr>
              <w:pStyle w:val="12"/>
              <w:jc w:val="center"/>
            </w:pPr>
            <w:r>
              <w:rPr>
                <w:rFonts w:hint="eastAsia"/>
              </w:rPr>
              <w:t>严先德</w:t>
            </w:r>
          </w:p>
        </w:tc>
        <w:tc>
          <w:tcPr>
            <w:tcW w:w="1667" w:type="pct"/>
            <w:vAlign w:val="center"/>
          </w:tcPr>
          <w:p w14:paraId="11A137AB">
            <w:pPr>
              <w:pStyle w:val="12"/>
              <w:jc w:val="center"/>
            </w:pPr>
            <w:r>
              <w:rPr>
                <w:rFonts w:hint="eastAsia"/>
              </w:rPr>
              <w:t>1998年10月</w:t>
            </w:r>
          </w:p>
        </w:tc>
      </w:tr>
      <w:tr w14:paraId="3569DF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2B33F3A3">
            <w:pPr>
              <w:pStyle w:val="12"/>
              <w:jc w:val="center"/>
            </w:pPr>
            <w:r>
              <w:rPr>
                <w:rFonts w:hint="eastAsia"/>
              </w:rPr>
              <w:t>廖氏族谱</w:t>
            </w:r>
          </w:p>
        </w:tc>
        <w:tc>
          <w:tcPr>
            <w:tcW w:w="1666" w:type="pct"/>
            <w:vAlign w:val="center"/>
          </w:tcPr>
          <w:p w14:paraId="74FF29CD">
            <w:pPr>
              <w:pStyle w:val="12"/>
              <w:jc w:val="center"/>
            </w:pPr>
            <w:r>
              <w:rPr>
                <w:rFonts w:hint="eastAsia"/>
              </w:rPr>
              <w:t>廖德明</w:t>
            </w:r>
          </w:p>
        </w:tc>
        <w:tc>
          <w:tcPr>
            <w:tcW w:w="1667" w:type="pct"/>
            <w:vAlign w:val="center"/>
          </w:tcPr>
          <w:p w14:paraId="4B3BFBA7">
            <w:pPr>
              <w:pStyle w:val="12"/>
              <w:jc w:val="center"/>
            </w:pPr>
            <w:r>
              <w:rPr>
                <w:rFonts w:hint="eastAsia"/>
              </w:rPr>
              <w:t>1998年冬</w:t>
            </w:r>
          </w:p>
        </w:tc>
      </w:tr>
      <w:tr w14:paraId="045F3B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4AB0CA50">
            <w:pPr>
              <w:pStyle w:val="12"/>
              <w:jc w:val="center"/>
            </w:pPr>
            <w:r>
              <w:rPr>
                <w:rFonts w:hint="eastAsia"/>
              </w:rPr>
              <w:t>南雄徐氏二联修族谱</w:t>
            </w:r>
          </w:p>
        </w:tc>
        <w:tc>
          <w:tcPr>
            <w:tcW w:w="1666" w:type="pct"/>
            <w:vAlign w:val="center"/>
          </w:tcPr>
          <w:p w14:paraId="34DC5421">
            <w:pPr>
              <w:pStyle w:val="12"/>
              <w:jc w:val="center"/>
            </w:pPr>
            <w:r>
              <w:rPr>
                <w:rFonts w:hint="eastAsia"/>
              </w:rPr>
              <w:t>徐承森</w:t>
            </w:r>
          </w:p>
        </w:tc>
        <w:tc>
          <w:tcPr>
            <w:tcW w:w="1667" w:type="pct"/>
            <w:vAlign w:val="center"/>
          </w:tcPr>
          <w:p w14:paraId="74729220">
            <w:pPr>
              <w:pStyle w:val="12"/>
              <w:jc w:val="center"/>
            </w:pPr>
            <w:r>
              <w:rPr>
                <w:rFonts w:hint="eastAsia"/>
              </w:rPr>
              <w:t>1998年</w:t>
            </w:r>
          </w:p>
        </w:tc>
      </w:tr>
      <w:tr w14:paraId="7A6DDF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67834CE0">
            <w:pPr>
              <w:pStyle w:val="12"/>
              <w:jc w:val="center"/>
            </w:pPr>
            <w:r>
              <w:rPr>
                <w:rFonts w:hint="eastAsia"/>
              </w:rPr>
              <w:t>南雄王氏九修族谱</w:t>
            </w:r>
          </w:p>
        </w:tc>
        <w:tc>
          <w:tcPr>
            <w:tcW w:w="1666" w:type="pct"/>
            <w:vAlign w:val="center"/>
          </w:tcPr>
          <w:p w14:paraId="7FCD52AB">
            <w:pPr>
              <w:pStyle w:val="12"/>
              <w:jc w:val="center"/>
            </w:pPr>
            <w:r>
              <w:rPr>
                <w:rFonts w:hint="eastAsia"/>
              </w:rPr>
              <w:t>王步昆</w:t>
            </w:r>
          </w:p>
        </w:tc>
        <w:tc>
          <w:tcPr>
            <w:tcW w:w="1667" w:type="pct"/>
            <w:vAlign w:val="center"/>
          </w:tcPr>
          <w:p w14:paraId="17A63101">
            <w:pPr>
              <w:pStyle w:val="12"/>
              <w:jc w:val="center"/>
            </w:pPr>
            <w:r>
              <w:rPr>
                <w:rFonts w:hint="eastAsia"/>
              </w:rPr>
              <w:t>1997年</w:t>
            </w:r>
          </w:p>
        </w:tc>
      </w:tr>
      <w:tr w14:paraId="66F3FD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2E17EE9B">
            <w:pPr>
              <w:pStyle w:val="12"/>
              <w:jc w:val="center"/>
            </w:pPr>
            <w:r>
              <w:rPr>
                <w:rFonts w:hint="eastAsia"/>
              </w:rPr>
              <w:t>叶氏仲华七修族谱</w:t>
            </w:r>
          </w:p>
        </w:tc>
        <w:tc>
          <w:tcPr>
            <w:tcW w:w="1666" w:type="pct"/>
            <w:vAlign w:val="center"/>
          </w:tcPr>
          <w:p w14:paraId="29F297AA">
            <w:pPr>
              <w:pStyle w:val="12"/>
              <w:jc w:val="center"/>
            </w:pPr>
            <w:r>
              <w:rPr>
                <w:rFonts w:hint="eastAsia"/>
              </w:rPr>
              <w:t>叶见挺</w:t>
            </w:r>
          </w:p>
        </w:tc>
        <w:tc>
          <w:tcPr>
            <w:tcW w:w="1667" w:type="pct"/>
            <w:vAlign w:val="center"/>
          </w:tcPr>
          <w:p w14:paraId="41F9F261">
            <w:pPr>
              <w:pStyle w:val="12"/>
              <w:jc w:val="center"/>
            </w:pPr>
            <w:r>
              <w:rPr>
                <w:rFonts w:hint="eastAsia"/>
              </w:rPr>
              <w:t>1998年5月</w:t>
            </w:r>
          </w:p>
        </w:tc>
      </w:tr>
      <w:tr w14:paraId="179675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52B0304C">
            <w:pPr>
              <w:pStyle w:val="12"/>
              <w:jc w:val="center"/>
            </w:pPr>
            <w:r>
              <w:rPr>
                <w:rFonts w:hint="eastAsia"/>
              </w:rPr>
              <w:t>叶氏寿和堂五修族谱</w:t>
            </w:r>
          </w:p>
        </w:tc>
        <w:tc>
          <w:tcPr>
            <w:tcW w:w="1666" w:type="pct"/>
            <w:vAlign w:val="center"/>
          </w:tcPr>
          <w:p w14:paraId="38E51DC9">
            <w:pPr>
              <w:pStyle w:val="12"/>
              <w:jc w:val="center"/>
            </w:pPr>
            <w:r>
              <w:rPr>
                <w:rFonts w:hint="eastAsia"/>
              </w:rPr>
              <w:t>叶际法</w:t>
            </w:r>
          </w:p>
        </w:tc>
        <w:tc>
          <w:tcPr>
            <w:tcW w:w="1667" w:type="pct"/>
            <w:vAlign w:val="center"/>
          </w:tcPr>
          <w:p w14:paraId="68517601">
            <w:pPr>
              <w:pStyle w:val="12"/>
              <w:jc w:val="center"/>
            </w:pPr>
            <w:r>
              <w:rPr>
                <w:rFonts w:hint="eastAsia"/>
              </w:rPr>
              <w:t>1998年春</w:t>
            </w:r>
          </w:p>
        </w:tc>
      </w:tr>
      <w:tr w14:paraId="4BB1D4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419E0103">
            <w:pPr>
              <w:pStyle w:val="12"/>
              <w:jc w:val="center"/>
            </w:pPr>
            <w:r>
              <w:rPr>
                <w:rFonts w:hint="eastAsia"/>
              </w:rPr>
              <w:t>南阳堂叶氏五修族谱</w:t>
            </w:r>
          </w:p>
        </w:tc>
        <w:tc>
          <w:tcPr>
            <w:tcW w:w="1666" w:type="pct"/>
            <w:vAlign w:val="center"/>
          </w:tcPr>
          <w:p w14:paraId="0867009E">
            <w:pPr>
              <w:pStyle w:val="12"/>
              <w:jc w:val="center"/>
            </w:pPr>
            <w:r>
              <w:rPr>
                <w:rFonts w:hint="eastAsia"/>
              </w:rPr>
              <w:t>叶隆兴</w:t>
            </w:r>
          </w:p>
        </w:tc>
        <w:tc>
          <w:tcPr>
            <w:tcW w:w="1667" w:type="pct"/>
            <w:vAlign w:val="center"/>
          </w:tcPr>
          <w:p w14:paraId="71C9B4D7">
            <w:pPr>
              <w:pStyle w:val="12"/>
              <w:jc w:val="center"/>
            </w:pPr>
            <w:r>
              <w:rPr>
                <w:rFonts w:hint="eastAsia"/>
              </w:rPr>
              <w:t>1998年夏</w:t>
            </w:r>
          </w:p>
        </w:tc>
      </w:tr>
      <w:tr w14:paraId="3847BD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1E619BC1">
            <w:pPr>
              <w:pStyle w:val="12"/>
              <w:jc w:val="center"/>
            </w:pPr>
            <w:r>
              <w:rPr>
                <w:rFonts w:hint="eastAsia"/>
              </w:rPr>
              <w:t>钟氏族谱（七修）</w:t>
            </w:r>
          </w:p>
        </w:tc>
        <w:tc>
          <w:tcPr>
            <w:tcW w:w="1666" w:type="pct"/>
            <w:vAlign w:val="center"/>
          </w:tcPr>
          <w:p w14:paraId="0E0F2194">
            <w:pPr>
              <w:pStyle w:val="12"/>
              <w:jc w:val="center"/>
            </w:pPr>
            <w:r>
              <w:rPr>
                <w:rFonts w:hint="eastAsia"/>
              </w:rPr>
              <w:t>钟子亮</w:t>
            </w:r>
          </w:p>
        </w:tc>
        <w:tc>
          <w:tcPr>
            <w:tcW w:w="1667" w:type="pct"/>
            <w:vAlign w:val="center"/>
          </w:tcPr>
          <w:p w14:paraId="3BF73A73">
            <w:pPr>
              <w:pStyle w:val="12"/>
              <w:jc w:val="center"/>
            </w:pPr>
            <w:r>
              <w:rPr>
                <w:rFonts w:hint="eastAsia"/>
              </w:rPr>
              <w:t>1998年3月</w:t>
            </w:r>
          </w:p>
        </w:tc>
      </w:tr>
      <w:tr w14:paraId="251EE1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64797BB4">
            <w:pPr>
              <w:pStyle w:val="12"/>
              <w:jc w:val="center"/>
            </w:pPr>
            <w:r>
              <w:rPr>
                <w:rFonts w:hint="eastAsia"/>
              </w:rPr>
              <w:t>河南堂粤湘丘氏族谱</w:t>
            </w:r>
          </w:p>
        </w:tc>
        <w:tc>
          <w:tcPr>
            <w:tcW w:w="1666" w:type="pct"/>
            <w:vAlign w:val="center"/>
          </w:tcPr>
          <w:p w14:paraId="27A17FF4">
            <w:pPr>
              <w:pStyle w:val="12"/>
              <w:jc w:val="center"/>
            </w:pPr>
            <w:r>
              <w:rPr>
                <w:rFonts w:hint="eastAsia"/>
              </w:rPr>
              <w:t>丘常松</w:t>
            </w:r>
          </w:p>
        </w:tc>
        <w:tc>
          <w:tcPr>
            <w:tcW w:w="1667" w:type="pct"/>
            <w:vAlign w:val="center"/>
          </w:tcPr>
          <w:p w14:paraId="1C96B9CA">
            <w:pPr>
              <w:pStyle w:val="12"/>
              <w:jc w:val="center"/>
            </w:pPr>
            <w:r>
              <w:rPr>
                <w:rFonts w:hint="eastAsia"/>
              </w:rPr>
              <w:t>1998年</w:t>
            </w:r>
          </w:p>
        </w:tc>
      </w:tr>
      <w:tr w14:paraId="20A72AE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6D1B83A1">
            <w:pPr>
              <w:pStyle w:val="12"/>
              <w:jc w:val="center"/>
            </w:pPr>
            <w:r>
              <w:rPr>
                <w:rFonts w:hint="eastAsia"/>
              </w:rPr>
              <w:t>粤赣湘边罗氏六修族谱</w:t>
            </w:r>
          </w:p>
        </w:tc>
        <w:tc>
          <w:tcPr>
            <w:tcW w:w="1666" w:type="pct"/>
            <w:vAlign w:val="center"/>
          </w:tcPr>
          <w:p w14:paraId="0B34D204">
            <w:pPr>
              <w:pStyle w:val="12"/>
              <w:jc w:val="center"/>
            </w:pPr>
            <w:r>
              <w:rPr>
                <w:rFonts w:hint="eastAsia"/>
              </w:rPr>
              <w:t>罗垂龙</w:t>
            </w:r>
          </w:p>
        </w:tc>
        <w:tc>
          <w:tcPr>
            <w:tcW w:w="1667" w:type="pct"/>
            <w:vAlign w:val="center"/>
          </w:tcPr>
          <w:p w14:paraId="792AD8EC">
            <w:pPr>
              <w:pStyle w:val="12"/>
              <w:jc w:val="center"/>
            </w:pPr>
            <w:r>
              <w:rPr>
                <w:rFonts w:hint="eastAsia"/>
              </w:rPr>
              <w:t>1999年春</w:t>
            </w:r>
          </w:p>
        </w:tc>
      </w:tr>
      <w:tr w14:paraId="22681F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0632563E">
            <w:pPr>
              <w:pStyle w:val="12"/>
              <w:jc w:val="center"/>
            </w:pPr>
            <w:r>
              <w:rPr>
                <w:rFonts w:hint="eastAsia"/>
              </w:rPr>
              <w:t>武陵堂龚氏七修族谱</w:t>
            </w:r>
          </w:p>
        </w:tc>
        <w:tc>
          <w:tcPr>
            <w:tcW w:w="1666" w:type="pct"/>
            <w:vAlign w:val="center"/>
          </w:tcPr>
          <w:p w14:paraId="084571EB">
            <w:pPr>
              <w:pStyle w:val="12"/>
              <w:jc w:val="center"/>
            </w:pPr>
            <w:r>
              <w:rPr>
                <w:rFonts w:hint="eastAsia"/>
              </w:rPr>
              <w:t>龚恩明</w:t>
            </w:r>
          </w:p>
        </w:tc>
        <w:tc>
          <w:tcPr>
            <w:tcW w:w="1667" w:type="pct"/>
            <w:vAlign w:val="center"/>
          </w:tcPr>
          <w:p w14:paraId="2276AD7B">
            <w:pPr>
              <w:pStyle w:val="12"/>
              <w:jc w:val="center"/>
            </w:pPr>
            <w:r>
              <w:rPr>
                <w:rFonts w:hint="eastAsia"/>
              </w:rPr>
              <w:t>1999年1月</w:t>
            </w:r>
          </w:p>
        </w:tc>
      </w:tr>
      <w:tr w14:paraId="6D0549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738B9518">
            <w:pPr>
              <w:pStyle w:val="12"/>
              <w:jc w:val="center"/>
            </w:pPr>
            <w:r>
              <w:rPr>
                <w:rFonts w:hint="eastAsia"/>
              </w:rPr>
              <w:t>粤赣湘边雷氏六修族谱</w:t>
            </w:r>
          </w:p>
        </w:tc>
        <w:tc>
          <w:tcPr>
            <w:tcW w:w="1666" w:type="pct"/>
            <w:vAlign w:val="center"/>
          </w:tcPr>
          <w:p w14:paraId="1AA8A44F">
            <w:pPr>
              <w:pStyle w:val="12"/>
              <w:jc w:val="center"/>
            </w:pPr>
            <w:r>
              <w:rPr>
                <w:rFonts w:hint="eastAsia"/>
              </w:rPr>
              <w:t>雷钦富</w:t>
            </w:r>
          </w:p>
        </w:tc>
        <w:tc>
          <w:tcPr>
            <w:tcW w:w="1667" w:type="pct"/>
            <w:vAlign w:val="center"/>
          </w:tcPr>
          <w:p w14:paraId="016829D3">
            <w:pPr>
              <w:pStyle w:val="12"/>
              <w:jc w:val="center"/>
            </w:pPr>
            <w:r>
              <w:rPr>
                <w:rFonts w:hint="eastAsia"/>
              </w:rPr>
              <w:t>1999年1月</w:t>
            </w:r>
          </w:p>
        </w:tc>
      </w:tr>
      <w:tr w14:paraId="125EBC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290D279F">
            <w:pPr>
              <w:pStyle w:val="12"/>
              <w:jc w:val="center"/>
            </w:pPr>
            <w:r>
              <w:rPr>
                <w:rFonts w:hint="eastAsia"/>
              </w:rPr>
              <w:t>南雄周氏三修族谱</w:t>
            </w:r>
          </w:p>
        </w:tc>
        <w:tc>
          <w:tcPr>
            <w:tcW w:w="1666" w:type="pct"/>
            <w:vAlign w:val="center"/>
          </w:tcPr>
          <w:p w14:paraId="376D053B">
            <w:pPr>
              <w:pStyle w:val="12"/>
              <w:jc w:val="center"/>
            </w:pPr>
            <w:r>
              <w:rPr>
                <w:rFonts w:hint="eastAsia"/>
              </w:rPr>
              <w:t>周群根</w:t>
            </w:r>
          </w:p>
        </w:tc>
        <w:tc>
          <w:tcPr>
            <w:tcW w:w="1667" w:type="pct"/>
            <w:vAlign w:val="center"/>
          </w:tcPr>
          <w:p w14:paraId="47206C69">
            <w:pPr>
              <w:pStyle w:val="12"/>
              <w:jc w:val="center"/>
            </w:pPr>
            <w:r>
              <w:rPr>
                <w:rFonts w:hint="eastAsia"/>
              </w:rPr>
              <w:t>1999年孟春</w:t>
            </w:r>
          </w:p>
        </w:tc>
      </w:tr>
      <w:tr w14:paraId="7E7EBD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3613C6DC">
            <w:pPr>
              <w:pStyle w:val="12"/>
              <w:jc w:val="center"/>
            </w:pPr>
            <w:r>
              <w:rPr>
                <w:rFonts w:hint="eastAsia"/>
              </w:rPr>
              <w:t>沛国堂朱氏八修族谱</w:t>
            </w:r>
          </w:p>
        </w:tc>
        <w:tc>
          <w:tcPr>
            <w:tcW w:w="1666" w:type="pct"/>
            <w:vAlign w:val="center"/>
          </w:tcPr>
          <w:p w14:paraId="3B2AA86A">
            <w:pPr>
              <w:pStyle w:val="12"/>
              <w:jc w:val="center"/>
            </w:pPr>
            <w:r>
              <w:rPr>
                <w:rFonts w:hint="eastAsia"/>
              </w:rPr>
              <w:t>朱祖善</w:t>
            </w:r>
          </w:p>
        </w:tc>
        <w:tc>
          <w:tcPr>
            <w:tcW w:w="1667" w:type="pct"/>
            <w:vAlign w:val="center"/>
          </w:tcPr>
          <w:p w14:paraId="542EF4D0">
            <w:pPr>
              <w:pStyle w:val="12"/>
              <w:jc w:val="center"/>
            </w:pPr>
            <w:r>
              <w:rPr>
                <w:rFonts w:hint="eastAsia"/>
              </w:rPr>
              <w:t>1999年9月</w:t>
            </w:r>
          </w:p>
        </w:tc>
      </w:tr>
      <w:tr w14:paraId="4D456F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778B5C87">
            <w:pPr>
              <w:pStyle w:val="12"/>
              <w:jc w:val="center"/>
            </w:pPr>
            <w:r>
              <w:rPr>
                <w:rFonts w:hint="eastAsia"/>
              </w:rPr>
              <w:t>南雄吴氏族谱（五修）</w:t>
            </w:r>
          </w:p>
        </w:tc>
        <w:tc>
          <w:tcPr>
            <w:tcW w:w="1666" w:type="pct"/>
            <w:vAlign w:val="center"/>
          </w:tcPr>
          <w:p w14:paraId="3040A82D">
            <w:pPr>
              <w:pStyle w:val="12"/>
              <w:jc w:val="center"/>
            </w:pPr>
            <w:r>
              <w:rPr>
                <w:rFonts w:hint="eastAsia"/>
              </w:rPr>
              <w:t>吴在良</w:t>
            </w:r>
          </w:p>
        </w:tc>
        <w:tc>
          <w:tcPr>
            <w:tcW w:w="1667" w:type="pct"/>
            <w:vAlign w:val="center"/>
          </w:tcPr>
          <w:p w14:paraId="13B61DAF">
            <w:pPr>
              <w:pStyle w:val="12"/>
              <w:jc w:val="center"/>
            </w:pPr>
            <w:r>
              <w:rPr>
                <w:rFonts w:hint="eastAsia"/>
              </w:rPr>
              <w:t>1999年</w:t>
            </w:r>
          </w:p>
        </w:tc>
      </w:tr>
      <w:tr w14:paraId="3B79D1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5A0AD2DA">
            <w:pPr>
              <w:pStyle w:val="12"/>
              <w:jc w:val="center"/>
            </w:pPr>
            <w:r>
              <w:rPr>
                <w:rFonts w:hint="eastAsia"/>
              </w:rPr>
              <w:t>叶氏联谱（二修）</w:t>
            </w:r>
          </w:p>
        </w:tc>
        <w:tc>
          <w:tcPr>
            <w:tcW w:w="1666" w:type="pct"/>
            <w:vAlign w:val="center"/>
          </w:tcPr>
          <w:p w14:paraId="7FED7706">
            <w:pPr>
              <w:pStyle w:val="12"/>
              <w:jc w:val="center"/>
            </w:pPr>
            <w:r>
              <w:rPr>
                <w:rFonts w:hint="eastAsia"/>
              </w:rPr>
              <w:t>叶际法</w:t>
            </w:r>
          </w:p>
        </w:tc>
        <w:tc>
          <w:tcPr>
            <w:tcW w:w="1667" w:type="pct"/>
            <w:vAlign w:val="center"/>
          </w:tcPr>
          <w:p w14:paraId="6B3B98B8">
            <w:pPr>
              <w:pStyle w:val="12"/>
              <w:jc w:val="center"/>
            </w:pPr>
            <w:r>
              <w:rPr>
                <w:rFonts w:hint="eastAsia"/>
              </w:rPr>
              <w:t>1999年春</w:t>
            </w:r>
          </w:p>
        </w:tc>
      </w:tr>
      <w:tr w14:paraId="1C666F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50CCD7BF">
            <w:pPr>
              <w:pStyle w:val="12"/>
              <w:jc w:val="center"/>
            </w:pPr>
            <w:r>
              <w:rPr>
                <w:rFonts w:hint="eastAsia"/>
              </w:rPr>
              <w:t>冯氏七修族谱</w:t>
            </w:r>
          </w:p>
        </w:tc>
        <w:tc>
          <w:tcPr>
            <w:tcW w:w="1666" w:type="pct"/>
            <w:vAlign w:val="center"/>
          </w:tcPr>
          <w:p w14:paraId="6AB8AEFE">
            <w:pPr>
              <w:pStyle w:val="12"/>
              <w:jc w:val="center"/>
            </w:pPr>
            <w:r>
              <w:rPr>
                <w:rFonts w:hint="eastAsia"/>
              </w:rPr>
              <w:t>冯建祥</w:t>
            </w:r>
          </w:p>
        </w:tc>
        <w:tc>
          <w:tcPr>
            <w:tcW w:w="1667" w:type="pct"/>
            <w:vAlign w:val="center"/>
          </w:tcPr>
          <w:p w14:paraId="6FB1D9D2">
            <w:pPr>
              <w:pStyle w:val="12"/>
              <w:jc w:val="center"/>
            </w:pPr>
            <w:r>
              <w:rPr>
                <w:rFonts w:hint="eastAsia"/>
              </w:rPr>
              <w:t>1999年</w:t>
            </w:r>
          </w:p>
        </w:tc>
      </w:tr>
      <w:tr w14:paraId="30228E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648146F1">
            <w:pPr>
              <w:pStyle w:val="12"/>
              <w:jc w:val="center"/>
            </w:pPr>
            <w:r>
              <w:rPr>
                <w:rFonts w:hint="eastAsia"/>
              </w:rPr>
              <w:t>谢氏六修族谱</w:t>
            </w:r>
          </w:p>
        </w:tc>
        <w:tc>
          <w:tcPr>
            <w:tcW w:w="1666" w:type="pct"/>
            <w:vAlign w:val="center"/>
          </w:tcPr>
          <w:p w14:paraId="27A456E8">
            <w:pPr>
              <w:pStyle w:val="12"/>
              <w:jc w:val="center"/>
            </w:pPr>
            <w:r>
              <w:rPr>
                <w:rFonts w:hint="eastAsia"/>
              </w:rPr>
              <w:t>谢崇辉</w:t>
            </w:r>
          </w:p>
        </w:tc>
        <w:tc>
          <w:tcPr>
            <w:tcW w:w="1667" w:type="pct"/>
            <w:vAlign w:val="center"/>
          </w:tcPr>
          <w:p w14:paraId="1CB37B5B">
            <w:pPr>
              <w:pStyle w:val="12"/>
              <w:jc w:val="center"/>
            </w:pPr>
            <w:r>
              <w:rPr>
                <w:rFonts w:hint="eastAsia"/>
              </w:rPr>
              <w:t>1999年夏</w:t>
            </w:r>
          </w:p>
        </w:tc>
      </w:tr>
      <w:tr w14:paraId="27B530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772ED5E2">
            <w:pPr>
              <w:pStyle w:val="12"/>
              <w:jc w:val="center"/>
            </w:pPr>
            <w:r>
              <w:rPr>
                <w:rFonts w:hint="eastAsia"/>
              </w:rPr>
              <w:t>谭氏族谱（九修）</w:t>
            </w:r>
          </w:p>
        </w:tc>
        <w:tc>
          <w:tcPr>
            <w:tcW w:w="1666" w:type="pct"/>
            <w:vAlign w:val="center"/>
          </w:tcPr>
          <w:p w14:paraId="38C92982">
            <w:pPr>
              <w:pStyle w:val="12"/>
              <w:jc w:val="center"/>
            </w:pPr>
            <w:r>
              <w:rPr>
                <w:rFonts w:hint="eastAsia"/>
              </w:rPr>
              <w:t>谭章顺</w:t>
            </w:r>
          </w:p>
        </w:tc>
        <w:tc>
          <w:tcPr>
            <w:tcW w:w="1667" w:type="pct"/>
            <w:vAlign w:val="center"/>
          </w:tcPr>
          <w:p w14:paraId="27F15EA8">
            <w:pPr>
              <w:pStyle w:val="12"/>
              <w:jc w:val="center"/>
            </w:pPr>
            <w:r>
              <w:rPr>
                <w:rFonts w:hint="eastAsia"/>
              </w:rPr>
              <w:t>2000年春</w:t>
            </w:r>
          </w:p>
        </w:tc>
      </w:tr>
      <w:tr w14:paraId="57661C6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2A793ED6">
            <w:pPr>
              <w:pStyle w:val="12"/>
              <w:jc w:val="center"/>
            </w:pPr>
            <w:r>
              <w:rPr>
                <w:rFonts w:hint="eastAsia"/>
              </w:rPr>
              <w:t>南雄刘氏重修族谱</w:t>
            </w:r>
          </w:p>
        </w:tc>
        <w:tc>
          <w:tcPr>
            <w:tcW w:w="1666" w:type="pct"/>
            <w:vAlign w:val="center"/>
          </w:tcPr>
          <w:p w14:paraId="2413B73F">
            <w:pPr>
              <w:pStyle w:val="12"/>
              <w:jc w:val="center"/>
            </w:pPr>
            <w:r>
              <w:rPr>
                <w:rFonts w:hint="eastAsia"/>
              </w:rPr>
              <w:t>刘光道</w:t>
            </w:r>
          </w:p>
        </w:tc>
        <w:tc>
          <w:tcPr>
            <w:tcW w:w="1667" w:type="pct"/>
            <w:vAlign w:val="center"/>
          </w:tcPr>
          <w:p w14:paraId="32C4E4A5">
            <w:pPr>
              <w:pStyle w:val="12"/>
              <w:jc w:val="center"/>
            </w:pPr>
            <w:r>
              <w:rPr>
                <w:rFonts w:hint="eastAsia"/>
              </w:rPr>
              <w:t>2000年春</w:t>
            </w:r>
          </w:p>
        </w:tc>
      </w:tr>
      <w:tr w14:paraId="2AAEFB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2A92C314">
            <w:pPr>
              <w:pStyle w:val="12"/>
              <w:jc w:val="center"/>
            </w:pPr>
            <w:r>
              <w:rPr>
                <w:rFonts w:hint="eastAsia"/>
              </w:rPr>
              <w:t>南雄肖氏七修族谱</w:t>
            </w:r>
          </w:p>
        </w:tc>
        <w:tc>
          <w:tcPr>
            <w:tcW w:w="1666" w:type="pct"/>
            <w:vAlign w:val="center"/>
          </w:tcPr>
          <w:p w14:paraId="073E8AA7">
            <w:pPr>
              <w:pStyle w:val="12"/>
              <w:jc w:val="center"/>
            </w:pPr>
            <w:r>
              <w:rPr>
                <w:rFonts w:hint="eastAsia"/>
              </w:rPr>
              <w:t>肖开瑶</w:t>
            </w:r>
          </w:p>
        </w:tc>
        <w:tc>
          <w:tcPr>
            <w:tcW w:w="1667" w:type="pct"/>
            <w:vAlign w:val="center"/>
          </w:tcPr>
          <w:p w14:paraId="33986C6F">
            <w:pPr>
              <w:pStyle w:val="12"/>
              <w:jc w:val="center"/>
            </w:pPr>
            <w:r>
              <w:rPr>
                <w:rFonts w:hint="eastAsia"/>
              </w:rPr>
              <w:t>2000年5月</w:t>
            </w:r>
          </w:p>
        </w:tc>
      </w:tr>
      <w:tr w14:paraId="6E90C0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0B26107E">
            <w:pPr>
              <w:pStyle w:val="12"/>
              <w:jc w:val="center"/>
            </w:pPr>
            <w:r>
              <w:rPr>
                <w:rFonts w:hint="eastAsia"/>
              </w:rPr>
              <w:t>浈昌罗氏五修族谱</w:t>
            </w:r>
          </w:p>
        </w:tc>
        <w:tc>
          <w:tcPr>
            <w:tcW w:w="1666" w:type="pct"/>
            <w:vAlign w:val="center"/>
          </w:tcPr>
          <w:p w14:paraId="34503240">
            <w:pPr>
              <w:pStyle w:val="12"/>
              <w:jc w:val="center"/>
            </w:pPr>
            <w:r>
              <w:rPr>
                <w:rFonts w:hint="eastAsia"/>
              </w:rPr>
              <w:t>罗会武等</w:t>
            </w:r>
          </w:p>
        </w:tc>
        <w:tc>
          <w:tcPr>
            <w:tcW w:w="1667" w:type="pct"/>
            <w:vAlign w:val="center"/>
          </w:tcPr>
          <w:p w14:paraId="21114703">
            <w:pPr>
              <w:pStyle w:val="12"/>
              <w:jc w:val="center"/>
            </w:pPr>
            <w:r>
              <w:rPr>
                <w:rFonts w:hint="eastAsia"/>
              </w:rPr>
              <w:t>2001年仲秋</w:t>
            </w:r>
          </w:p>
        </w:tc>
      </w:tr>
      <w:tr w14:paraId="093FE8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4C3E33B7">
            <w:pPr>
              <w:pStyle w:val="12"/>
              <w:jc w:val="center"/>
            </w:pPr>
            <w:r>
              <w:rPr>
                <w:rFonts w:hint="eastAsia"/>
              </w:rPr>
              <w:t>南雄吴氏联谱</w:t>
            </w:r>
          </w:p>
        </w:tc>
        <w:tc>
          <w:tcPr>
            <w:tcW w:w="1666" w:type="pct"/>
            <w:vAlign w:val="center"/>
          </w:tcPr>
          <w:p w14:paraId="76665344">
            <w:pPr>
              <w:pStyle w:val="12"/>
              <w:jc w:val="center"/>
            </w:pPr>
            <w:r>
              <w:rPr>
                <w:rFonts w:hint="eastAsia"/>
              </w:rPr>
              <w:t>吴在良</w:t>
            </w:r>
          </w:p>
        </w:tc>
        <w:tc>
          <w:tcPr>
            <w:tcW w:w="1667" w:type="pct"/>
            <w:vAlign w:val="center"/>
          </w:tcPr>
          <w:p w14:paraId="16F154C0">
            <w:pPr>
              <w:pStyle w:val="12"/>
              <w:jc w:val="center"/>
            </w:pPr>
            <w:r>
              <w:rPr>
                <w:rFonts w:hint="eastAsia"/>
              </w:rPr>
              <w:t>2001年</w:t>
            </w:r>
          </w:p>
        </w:tc>
      </w:tr>
      <w:tr w14:paraId="643CEA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6ADD01C1">
            <w:pPr>
              <w:pStyle w:val="12"/>
              <w:jc w:val="center"/>
            </w:pPr>
            <w:r>
              <w:rPr>
                <w:rFonts w:hint="eastAsia"/>
              </w:rPr>
              <w:t>沈氏联修族谱</w:t>
            </w:r>
          </w:p>
        </w:tc>
        <w:tc>
          <w:tcPr>
            <w:tcW w:w="1666" w:type="pct"/>
            <w:vAlign w:val="center"/>
          </w:tcPr>
          <w:p w14:paraId="2BCF9458">
            <w:pPr>
              <w:pStyle w:val="12"/>
              <w:jc w:val="center"/>
            </w:pPr>
            <w:r>
              <w:rPr>
                <w:rFonts w:hint="eastAsia"/>
              </w:rPr>
              <w:t>沈宜贵</w:t>
            </w:r>
          </w:p>
        </w:tc>
        <w:tc>
          <w:tcPr>
            <w:tcW w:w="1667" w:type="pct"/>
            <w:vAlign w:val="center"/>
          </w:tcPr>
          <w:p w14:paraId="43968971">
            <w:pPr>
              <w:pStyle w:val="12"/>
              <w:jc w:val="center"/>
            </w:pPr>
            <w:r>
              <w:rPr>
                <w:rFonts w:hint="eastAsia"/>
              </w:rPr>
              <w:t>2001年9月</w:t>
            </w:r>
          </w:p>
        </w:tc>
      </w:tr>
      <w:tr w14:paraId="6EC519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60BD2590">
            <w:pPr>
              <w:pStyle w:val="12"/>
              <w:jc w:val="center"/>
            </w:pPr>
            <w:r>
              <w:rPr>
                <w:rFonts w:hint="eastAsia"/>
              </w:rPr>
              <w:t>珠玑巷何氏族谱（五修）</w:t>
            </w:r>
          </w:p>
        </w:tc>
        <w:tc>
          <w:tcPr>
            <w:tcW w:w="1666" w:type="pct"/>
            <w:vAlign w:val="center"/>
          </w:tcPr>
          <w:p w14:paraId="7F9F9914">
            <w:pPr>
              <w:pStyle w:val="12"/>
              <w:jc w:val="center"/>
            </w:pPr>
            <w:r>
              <w:rPr>
                <w:rFonts w:hint="eastAsia"/>
              </w:rPr>
              <w:t>何春林</w:t>
            </w:r>
          </w:p>
        </w:tc>
        <w:tc>
          <w:tcPr>
            <w:tcW w:w="1667" w:type="pct"/>
            <w:vAlign w:val="center"/>
          </w:tcPr>
          <w:p w14:paraId="59512939">
            <w:pPr>
              <w:pStyle w:val="12"/>
              <w:jc w:val="center"/>
            </w:pPr>
            <w:r>
              <w:rPr>
                <w:rFonts w:hint="eastAsia"/>
              </w:rPr>
              <w:t>2001年春</w:t>
            </w:r>
          </w:p>
        </w:tc>
      </w:tr>
      <w:tr w14:paraId="6E05E3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7F216BA5">
            <w:pPr>
              <w:pStyle w:val="12"/>
              <w:jc w:val="center"/>
            </w:pPr>
            <w:r>
              <w:rPr>
                <w:rFonts w:hint="eastAsia"/>
              </w:rPr>
              <w:t>马氏首修族谱</w:t>
            </w:r>
          </w:p>
        </w:tc>
        <w:tc>
          <w:tcPr>
            <w:tcW w:w="1666" w:type="pct"/>
            <w:vAlign w:val="center"/>
          </w:tcPr>
          <w:p w14:paraId="5D72B859">
            <w:pPr>
              <w:pStyle w:val="12"/>
              <w:jc w:val="center"/>
            </w:pPr>
            <w:r>
              <w:rPr>
                <w:rFonts w:hint="eastAsia"/>
              </w:rPr>
              <w:t>马敬廉</w:t>
            </w:r>
          </w:p>
        </w:tc>
        <w:tc>
          <w:tcPr>
            <w:tcW w:w="1667" w:type="pct"/>
            <w:vAlign w:val="center"/>
          </w:tcPr>
          <w:p w14:paraId="66CDF081">
            <w:pPr>
              <w:pStyle w:val="12"/>
              <w:jc w:val="center"/>
            </w:pPr>
            <w:r>
              <w:rPr>
                <w:rFonts w:hint="eastAsia"/>
              </w:rPr>
              <w:t>2001年</w:t>
            </w:r>
          </w:p>
        </w:tc>
      </w:tr>
      <w:tr w14:paraId="6EE285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3B0ADA5B">
            <w:pPr>
              <w:pStyle w:val="12"/>
              <w:jc w:val="center"/>
            </w:pPr>
            <w:r>
              <w:rPr>
                <w:rFonts w:hint="eastAsia"/>
              </w:rPr>
              <w:t>林氏重修族谱</w:t>
            </w:r>
          </w:p>
        </w:tc>
        <w:tc>
          <w:tcPr>
            <w:tcW w:w="1666" w:type="pct"/>
            <w:vAlign w:val="center"/>
          </w:tcPr>
          <w:p w14:paraId="196FABBC">
            <w:pPr>
              <w:pStyle w:val="12"/>
              <w:jc w:val="center"/>
            </w:pPr>
            <w:r>
              <w:rPr>
                <w:rFonts w:hint="eastAsia"/>
              </w:rPr>
              <w:t>林应铭</w:t>
            </w:r>
          </w:p>
        </w:tc>
        <w:tc>
          <w:tcPr>
            <w:tcW w:w="1667" w:type="pct"/>
            <w:vAlign w:val="center"/>
          </w:tcPr>
          <w:p w14:paraId="724A258F">
            <w:pPr>
              <w:pStyle w:val="12"/>
              <w:jc w:val="center"/>
            </w:pPr>
            <w:r>
              <w:rPr>
                <w:rFonts w:hint="eastAsia"/>
              </w:rPr>
              <w:t>2001年2月</w:t>
            </w:r>
          </w:p>
        </w:tc>
      </w:tr>
      <w:tr w14:paraId="52C4B7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5B63B24E">
            <w:pPr>
              <w:pStyle w:val="12"/>
              <w:jc w:val="center"/>
            </w:pPr>
            <w:r>
              <w:rPr>
                <w:rFonts w:hint="eastAsia"/>
              </w:rPr>
              <w:t>武城曾氏六修族谱</w:t>
            </w:r>
          </w:p>
        </w:tc>
        <w:tc>
          <w:tcPr>
            <w:tcW w:w="1666" w:type="pct"/>
            <w:vAlign w:val="center"/>
          </w:tcPr>
          <w:p w14:paraId="6F943708">
            <w:pPr>
              <w:pStyle w:val="12"/>
              <w:jc w:val="center"/>
            </w:pPr>
            <w:r>
              <w:rPr>
                <w:rFonts w:hint="eastAsia"/>
              </w:rPr>
              <w:t>曾涛</w:t>
            </w:r>
          </w:p>
        </w:tc>
        <w:tc>
          <w:tcPr>
            <w:tcW w:w="1667" w:type="pct"/>
            <w:vAlign w:val="center"/>
          </w:tcPr>
          <w:p w14:paraId="7AD15FF0">
            <w:pPr>
              <w:pStyle w:val="12"/>
              <w:jc w:val="center"/>
            </w:pPr>
            <w:r>
              <w:rPr>
                <w:rFonts w:hint="eastAsia"/>
              </w:rPr>
              <w:t>2001年5月</w:t>
            </w:r>
          </w:p>
        </w:tc>
      </w:tr>
      <w:tr w14:paraId="47E9DD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7B760DEC">
            <w:pPr>
              <w:pStyle w:val="12"/>
              <w:jc w:val="center"/>
            </w:pPr>
            <w:r>
              <w:rPr>
                <w:rFonts w:hint="eastAsia"/>
              </w:rPr>
              <w:t>麦氏族谱（三修）</w:t>
            </w:r>
          </w:p>
        </w:tc>
        <w:tc>
          <w:tcPr>
            <w:tcW w:w="1666" w:type="pct"/>
            <w:vAlign w:val="center"/>
          </w:tcPr>
          <w:p w14:paraId="376EFD20">
            <w:pPr>
              <w:pStyle w:val="12"/>
              <w:jc w:val="center"/>
            </w:pPr>
            <w:r>
              <w:rPr>
                <w:rFonts w:hint="eastAsia"/>
              </w:rPr>
              <w:t>麦著良</w:t>
            </w:r>
          </w:p>
        </w:tc>
        <w:tc>
          <w:tcPr>
            <w:tcW w:w="1667" w:type="pct"/>
            <w:vAlign w:val="center"/>
          </w:tcPr>
          <w:p w14:paraId="480600DA">
            <w:pPr>
              <w:pStyle w:val="12"/>
              <w:jc w:val="center"/>
            </w:pPr>
            <w:r>
              <w:rPr>
                <w:rFonts w:hint="eastAsia"/>
              </w:rPr>
              <w:t>2001年</w:t>
            </w:r>
          </w:p>
        </w:tc>
      </w:tr>
      <w:tr w14:paraId="22CF547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199642CF">
            <w:pPr>
              <w:pStyle w:val="12"/>
              <w:jc w:val="center"/>
            </w:pPr>
            <w:r>
              <w:rPr>
                <w:rFonts w:hint="eastAsia"/>
              </w:rPr>
              <w:t>珠玑巷南迁刘氏通谱</w:t>
            </w:r>
          </w:p>
        </w:tc>
        <w:tc>
          <w:tcPr>
            <w:tcW w:w="1666" w:type="pct"/>
            <w:vAlign w:val="center"/>
          </w:tcPr>
          <w:p w14:paraId="63E4F4A6">
            <w:pPr>
              <w:pStyle w:val="12"/>
              <w:jc w:val="center"/>
            </w:pPr>
            <w:r>
              <w:rPr>
                <w:rFonts w:hint="eastAsia"/>
              </w:rPr>
              <w:t>刘兴洲</w:t>
            </w:r>
          </w:p>
        </w:tc>
        <w:tc>
          <w:tcPr>
            <w:tcW w:w="1667" w:type="pct"/>
            <w:vAlign w:val="center"/>
          </w:tcPr>
          <w:p w14:paraId="37920569">
            <w:pPr>
              <w:pStyle w:val="12"/>
              <w:jc w:val="center"/>
            </w:pPr>
            <w:r>
              <w:rPr>
                <w:rFonts w:hint="eastAsia"/>
              </w:rPr>
              <w:t>2003年</w:t>
            </w:r>
          </w:p>
        </w:tc>
      </w:tr>
      <w:tr w14:paraId="495A7B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26086C52">
            <w:pPr>
              <w:pStyle w:val="12"/>
              <w:jc w:val="center"/>
            </w:pPr>
            <w:r>
              <w:rPr>
                <w:rFonts w:hint="eastAsia"/>
              </w:rPr>
              <w:t>水南刘氏家谱</w:t>
            </w:r>
          </w:p>
        </w:tc>
        <w:tc>
          <w:tcPr>
            <w:tcW w:w="1666" w:type="pct"/>
            <w:vAlign w:val="center"/>
          </w:tcPr>
          <w:p w14:paraId="5714D78D">
            <w:pPr>
              <w:pStyle w:val="12"/>
              <w:jc w:val="center"/>
            </w:pPr>
            <w:r>
              <w:rPr>
                <w:rFonts w:hint="eastAsia"/>
              </w:rPr>
              <w:t>刘兴洲</w:t>
            </w:r>
          </w:p>
        </w:tc>
        <w:tc>
          <w:tcPr>
            <w:tcW w:w="1667" w:type="pct"/>
            <w:vAlign w:val="center"/>
          </w:tcPr>
          <w:p w14:paraId="7B74EF3C">
            <w:pPr>
              <w:pStyle w:val="12"/>
              <w:jc w:val="center"/>
            </w:pPr>
            <w:r>
              <w:rPr>
                <w:rFonts w:hint="eastAsia"/>
              </w:rPr>
              <w:t>2004年</w:t>
            </w:r>
          </w:p>
        </w:tc>
      </w:tr>
      <w:tr w14:paraId="458D8D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4A3BD88A">
            <w:pPr>
              <w:pStyle w:val="12"/>
              <w:jc w:val="center"/>
            </w:pPr>
            <w:r>
              <w:rPr>
                <w:rFonts w:hint="eastAsia"/>
              </w:rPr>
              <w:t>曾氏族谱（六修）</w:t>
            </w:r>
          </w:p>
        </w:tc>
        <w:tc>
          <w:tcPr>
            <w:tcW w:w="1666" w:type="pct"/>
            <w:vAlign w:val="center"/>
          </w:tcPr>
          <w:p w14:paraId="1C58DE67">
            <w:pPr>
              <w:pStyle w:val="12"/>
              <w:jc w:val="center"/>
            </w:pPr>
            <w:r>
              <w:rPr>
                <w:rFonts w:hint="eastAsia"/>
              </w:rPr>
              <w:t>曾庆怡</w:t>
            </w:r>
          </w:p>
        </w:tc>
        <w:tc>
          <w:tcPr>
            <w:tcW w:w="1667" w:type="pct"/>
            <w:vAlign w:val="center"/>
          </w:tcPr>
          <w:p w14:paraId="7BC39CD9">
            <w:pPr>
              <w:pStyle w:val="12"/>
              <w:jc w:val="center"/>
            </w:pPr>
            <w:r>
              <w:rPr>
                <w:rFonts w:hint="eastAsia"/>
              </w:rPr>
              <w:t>2002年</w:t>
            </w:r>
          </w:p>
        </w:tc>
      </w:tr>
      <w:tr w14:paraId="77FD09E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49917E19">
            <w:pPr>
              <w:pStyle w:val="12"/>
              <w:jc w:val="center"/>
            </w:pPr>
            <w:r>
              <w:rPr>
                <w:rFonts w:hint="eastAsia"/>
              </w:rPr>
              <w:t>泷西堂李文我公三修房谱</w:t>
            </w:r>
          </w:p>
        </w:tc>
        <w:tc>
          <w:tcPr>
            <w:tcW w:w="1666" w:type="pct"/>
            <w:vAlign w:val="center"/>
          </w:tcPr>
          <w:p w14:paraId="7078287D">
            <w:pPr>
              <w:pStyle w:val="12"/>
              <w:jc w:val="center"/>
            </w:pPr>
            <w:r>
              <w:rPr>
                <w:rFonts w:hint="eastAsia"/>
              </w:rPr>
              <w:t>李祥杰</w:t>
            </w:r>
          </w:p>
        </w:tc>
        <w:tc>
          <w:tcPr>
            <w:tcW w:w="1667" w:type="pct"/>
            <w:vAlign w:val="center"/>
          </w:tcPr>
          <w:p w14:paraId="422CC8E1">
            <w:pPr>
              <w:pStyle w:val="12"/>
              <w:jc w:val="center"/>
            </w:pPr>
            <w:r>
              <w:rPr>
                <w:rFonts w:hint="eastAsia"/>
              </w:rPr>
              <w:t>2003年秋</w:t>
            </w:r>
          </w:p>
        </w:tc>
      </w:tr>
      <w:tr w14:paraId="22E6DA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3ED5C488">
            <w:pPr>
              <w:pStyle w:val="12"/>
              <w:jc w:val="center"/>
            </w:pPr>
            <w:r>
              <w:rPr>
                <w:rFonts w:hint="eastAsia"/>
              </w:rPr>
              <w:t>南雄侯氏四修族谱</w:t>
            </w:r>
          </w:p>
        </w:tc>
        <w:tc>
          <w:tcPr>
            <w:tcW w:w="1666" w:type="pct"/>
            <w:vAlign w:val="center"/>
          </w:tcPr>
          <w:p w14:paraId="201C138A">
            <w:pPr>
              <w:pStyle w:val="12"/>
              <w:jc w:val="center"/>
            </w:pPr>
            <w:r>
              <w:rPr>
                <w:rFonts w:hint="eastAsia"/>
              </w:rPr>
              <w:t>侯传义</w:t>
            </w:r>
          </w:p>
        </w:tc>
        <w:tc>
          <w:tcPr>
            <w:tcW w:w="1667" w:type="pct"/>
            <w:vAlign w:val="center"/>
          </w:tcPr>
          <w:p w14:paraId="7CBCF7A4">
            <w:pPr>
              <w:pStyle w:val="12"/>
              <w:jc w:val="center"/>
            </w:pPr>
            <w:r>
              <w:rPr>
                <w:rFonts w:hint="eastAsia"/>
              </w:rPr>
              <w:t>2003年孟冬</w:t>
            </w:r>
          </w:p>
        </w:tc>
      </w:tr>
      <w:tr w14:paraId="603312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39407C98">
            <w:pPr>
              <w:pStyle w:val="12"/>
              <w:jc w:val="center"/>
            </w:pPr>
            <w:r>
              <w:rPr>
                <w:rFonts w:hint="eastAsia"/>
              </w:rPr>
              <w:t>戴氏族谱</w:t>
            </w:r>
          </w:p>
        </w:tc>
        <w:tc>
          <w:tcPr>
            <w:tcW w:w="1666" w:type="pct"/>
            <w:vAlign w:val="center"/>
          </w:tcPr>
          <w:p w14:paraId="347B3570">
            <w:pPr>
              <w:pStyle w:val="12"/>
              <w:jc w:val="center"/>
            </w:pPr>
            <w:r>
              <w:rPr>
                <w:rFonts w:hint="eastAsia"/>
              </w:rPr>
              <w:t>戴汉雄</w:t>
            </w:r>
          </w:p>
        </w:tc>
        <w:tc>
          <w:tcPr>
            <w:tcW w:w="1667" w:type="pct"/>
            <w:vAlign w:val="center"/>
          </w:tcPr>
          <w:p w14:paraId="0441E756">
            <w:pPr>
              <w:pStyle w:val="12"/>
              <w:jc w:val="center"/>
            </w:pPr>
            <w:r>
              <w:rPr>
                <w:rFonts w:hint="eastAsia"/>
              </w:rPr>
              <w:t>2004年12月</w:t>
            </w:r>
          </w:p>
        </w:tc>
      </w:tr>
    </w:tbl>
    <w:p w14:paraId="7B9D17F5">
      <w:pPr>
        <w:ind w:firstLine="422"/>
        <w:rPr>
          <w:rFonts w:ascii="宋体" w:hAnsi="宋体" w:cs="宋体"/>
          <w:b/>
          <w:bCs/>
        </w:rPr>
      </w:pPr>
      <w:r>
        <w:rPr>
          <w:rFonts w:hint="eastAsia" w:ascii="宋体" w:hAnsi="宋体" w:cs="宋体"/>
          <w:b/>
          <w:bCs/>
        </w:rPr>
        <w:t>2.文艺类书目</w:t>
      </w:r>
    </w:p>
    <w:p w14:paraId="2CF5F5A8">
      <w:pPr>
        <w:ind w:firstLine="422"/>
        <w:jc w:val="center"/>
        <w:rPr>
          <w:rFonts w:ascii="宋体" w:hAnsi="宋体" w:cs="宋体"/>
          <w:b/>
          <w:bCs/>
        </w:rPr>
      </w:pPr>
      <w:r>
        <w:rPr>
          <w:rFonts w:hint="eastAsia" w:ascii="宋体" w:hAnsi="宋体" w:cs="宋体"/>
          <w:b/>
          <w:bCs/>
        </w:rPr>
        <w:t>文艺类书目（32种）</w:t>
      </w:r>
    </w:p>
    <w:p w14:paraId="790623FE">
      <w:pPr>
        <w:ind w:firstLine="0" w:firstLineChars="0"/>
        <w:rPr>
          <w:rFonts w:ascii="宋体" w:hAnsi="宋体" w:cs="宋体"/>
          <w:b/>
          <w:bCs/>
        </w:rPr>
      </w:pPr>
      <w:r>
        <w:rPr>
          <w:rFonts w:hint="eastAsia" w:ascii="宋体" w:hAnsi="宋体" w:cs="宋体"/>
          <w:b/>
          <w:bCs/>
        </w:rPr>
        <w:t>表5-10</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2491"/>
        <w:gridCol w:w="2072"/>
        <w:gridCol w:w="2909"/>
      </w:tblGrid>
      <w:tr w14:paraId="2961F3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2A19FE1">
            <w:pPr>
              <w:pStyle w:val="12"/>
              <w:jc w:val="center"/>
              <w:rPr>
                <w:b/>
              </w:rPr>
            </w:pPr>
            <w:r>
              <w:rPr>
                <w:rFonts w:hint="eastAsia"/>
                <w:b/>
              </w:rPr>
              <w:t>书名</w:t>
            </w:r>
          </w:p>
        </w:tc>
        <w:tc>
          <w:tcPr>
            <w:tcW w:w="1250" w:type="pct"/>
            <w:vAlign w:val="center"/>
          </w:tcPr>
          <w:p w14:paraId="72F48BC8">
            <w:pPr>
              <w:pStyle w:val="12"/>
              <w:jc w:val="center"/>
              <w:rPr>
                <w:b/>
              </w:rPr>
            </w:pPr>
            <w:r>
              <w:rPr>
                <w:rFonts w:hint="eastAsia"/>
                <w:b/>
              </w:rPr>
              <w:t>作者或主编</w:t>
            </w:r>
          </w:p>
        </w:tc>
        <w:tc>
          <w:tcPr>
            <w:tcW w:w="1040" w:type="pct"/>
            <w:vAlign w:val="center"/>
          </w:tcPr>
          <w:p w14:paraId="76F5E945">
            <w:pPr>
              <w:pStyle w:val="12"/>
              <w:jc w:val="center"/>
              <w:rPr>
                <w:b/>
              </w:rPr>
            </w:pPr>
            <w:r>
              <w:rPr>
                <w:rFonts w:hint="eastAsia"/>
                <w:b/>
              </w:rPr>
              <w:t>出版时间</w:t>
            </w:r>
          </w:p>
        </w:tc>
        <w:tc>
          <w:tcPr>
            <w:tcW w:w="1460" w:type="pct"/>
            <w:vAlign w:val="center"/>
          </w:tcPr>
          <w:p w14:paraId="04C4135F">
            <w:pPr>
              <w:pStyle w:val="12"/>
              <w:jc w:val="center"/>
              <w:rPr>
                <w:b/>
              </w:rPr>
            </w:pPr>
            <w:r>
              <w:rPr>
                <w:rFonts w:hint="eastAsia"/>
                <w:b/>
              </w:rPr>
              <w:t>编纂单位或出版单位</w:t>
            </w:r>
          </w:p>
        </w:tc>
      </w:tr>
      <w:tr w14:paraId="7829AF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39FABD8">
            <w:pPr>
              <w:pStyle w:val="12"/>
              <w:jc w:val="center"/>
            </w:pPr>
            <w:r>
              <w:rPr>
                <w:rFonts w:hint="eastAsia"/>
              </w:rPr>
              <w:t>梅岭风采</w:t>
            </w:r>
          </w:p>
        </w:tc>
        <w:tc>
          <w:tcPr>
            <w:tcW w:w="1250" w:type="pct"/>
            <w:vAlign w:val="center"/>
          </w:tcPr>
          <w:p w14:paraId="1C7B5556">
            <w:pPr>
              <w:pStyle w:val="12"/>
              <w:jc w:val="center"/>
            </w:pPr>
            <w:r>
              <w:rPr>
                <w:rFonts w:hint="eastAsia"/>
              </w:rPr>
              <w:t>庄礼味</w:t>
            </w:r>
          </w:p>
        </w:tc>
        <w:tc>
          <w:tcPr>
            <w:tcW w:w="1040" w:type="pct"/>
            <w:vAlign w:val="center"/>
          </w:tcPr>
          <w:p w14:paraId="52605D11">
            <w:pPr>
              <w:pStyle w:val="12"/>
              <w:jc w:val="center"/>
            </w:pPr>
            <w:r>
              <w:rPr>
                <w:rFonts w:hint="eastAsia"/>
              </w:rPr>
              <w:t>1985年1月</w:t>
            </w:r>
          </w:p>
        </w:tc>
        <w:tc>
          <w:tcPr>
            <w:tcW w:w="1460" w:type="pct"/>
            <w:vAlign w:val="center"/>
          </w:tcPr>
          <w:p w14:paraId="23B08BAB">
            <w:pPr>
              <w:pStyle w:val="12"/>
              <w:jc w:val="center"/>
            </w:pPr>
            <w:r>
              <w:rPr>
                <w:rFonts w:hint="eastAsia"/>
              </w:rPr>
              <w:t>南雄县方志办</w:t>
            </w:r>
          </w:p>
        </w:tc>
      </w:tr>
      <w:tr w14:paraId="6C3ACA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52E64093">
            <w:pPr>
              <w:pStyle w:val="12"/>
              <w:jc w:val="center"/>
            </w:pPr>
            <w:r>
              <w:rPr>
                <w:rFonts w:hint="eastAsia"/>
              </w:rPr>
              <w:t>南雄新事（1-4辑）</w:t>
            </w:r>
          </w:p>
        </w:tc>
        <w:tc>
          <w:tcPr>
            <w:tcW w:w="1250" w:type="pct"/>
            <w:vAlign w:val="center"/>
          </w:tcPr>
          <w:p w14:paraId="7BF59064">
            <w:pPr>
              <w:pStyle w:val="12"/>
              <w:jc w:val="center"/>
            </w:pPr>
            <w:r>
              <w:rPr>
                <w:rFonts w:hint="eastAsia"/>
              </w:rPr>
              <w:t>中共南雄县委宣传部</w:t>
            </w:r>
          </w:p>
        </w:tc>
        <w:tc>
          <w:tcPr>
            <w:tcW w:w="1040" w:type="pct"/>
            <w:vAlign w:val="center"/>
          </w:tcPr>
          <w:p w14:paraId="05549CFD">
            <w:pPr>
              <w:pStyle w:val="12"/>
              <w:jc w:val="center"/>
            </w:pPr>
            <w:r>
              <w:rPr>
                <w:rFonts w:hint="eastAsia"/>
              </w:rPr>
              <w:t>1987年</w:t>
            </w:r>
          </w:p>
        </w:tc>
        <w:tc>
          <w:tcPr>
            <w:tcW w:w="1460" w:type="pct"/>
            <w:vAlign w:val="center"/>
          </w:tcPr>
          <w:p w14:paraId="682DA09D">
            <w:pPr>
              <w:pStyle w:val="12"/>
              <w:jc w:val="center"/>
            </w:pPr>
            <w:r>
              <w:rPr>
                <w:rFonts w:hint="eastAsia"/>
              </w:rPr>
              <w:t>中共南雄县委宣传部</w:t>
            </w:r>
          </w:p>
        </w:tc>
      </w:tr>
      <w:tr w14:paraId="6E8F59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CED32DD">
            <w:pPr>
              <w:pStyle w:val="12"/>
              <w:jc w:val="center"/>
            </w:pPr>
            <w:r>
              <w:rPr>
                <w:rFonts w:hint="eastAsia"/>
              </w:rPr>
              <w:t>南雄对联选</w:t>
            </w:r>
          </w:p>
        </w:tc>
        <w:tc>
          <w:tcPr>
            <w:tcW w:w="1250" w:type="pct"/>
            <w:vAlign w:val="center"/>
          </w:tcPr>
          <w:p w14:paraId="06A03241">
            <w:pPr>
              <w:pStyle w:val="12"/>
              <w:jc w:val="center"/>
            </w:pPr>
            <w:r>
              <w:rPr>
                <w:rFonts w:hint="eastAsia"/>
              </w:rPr>
              <w:t>钟义海</w:t>
            </w:r>
          </w:p>
        </w:tc>
        <w:tc>
          <w:tcPr>
            <w:tcW w:w="1040" w:type="pct"/>
            <w:vAlign w:val="center"/>
          </w:tcPr>
          <w:p w14:paraId="7712A02B">
            <w:pPr>
              <w:pStyle w:val="12"/>
              <w:jc w:val="center"/>
            </w:pPr>
            <w:r>
              <w:rPr>
                <w:rFonts w:hint="eastAsia"/>
              </w:rPr>
              <w:t>1988年</w:t>
            </w:r>
          </w:p>
        </w:tc>
        <w:tc>
          <w:tcPr>
            <w:tcW w:w="1460" w:type="pct"/>
            <w:vAlign w:val="center"/>
          </w:tcPr>
          <w:p w14:paraId="0C924FE2">
            <w:pPr>
              <w:pStyle w:val="12"/>
              <w:jc w:val="center"/>
            </w:pPr>
            <w:r>
              <w:rPr>
                <w:rFonts w:hint="eastAsia"/>
              </w:rPr>
              <w:t>南雄县文联</w:t>
            </w:r>
          </w:p>
        </w:tc>
      </w:tr>
      <w:tr w14:paraId="54E4D4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0E2337D5">
            <w:pPr>
              <w:pStyle w:val="12"/>
              <w:jc w:val="center"/>
            </w:pPr>
            <w:r>
              <w:rPr>
                <w:rFonts w:hint="eastAsia"/>
              </w:rPr>
              <w:t>梅岭诗选</w:t>
            </w:r>
          </w:p>
        </w:tc>
        <w:tc>
          <w:tcPr>
            <w:tcW w:w="1250" w:type="pct"/>
            <w:vAlign w:val="center"/>
          </w:tcPr>
          <w:p w14:paraId="25FBBD4E">
            <w:pPr>
              <w:pStyle w:val="12"/>
              <w:jc w:val="center"/>
            </w:pPr>
            <w:r>
              <w:rPr>
                <w:rFonts w:hint="eastAsia"/>
              </w:rPr>
              <w:t>王朝安、王集门</w:t>
            </w:r>
          </w:p>
        </w:tc>
        <w:tc>
          <w:tcPr>
            <w:tcW w:w="1040" w:type="pct"/>
            <w:vAlign w:val="center"/>
          </w:tcPr>
          <w:p w14:paraId="3AB16CF8">
            <w:pPr>
              <w:pStyle w:val="12"/>
              <w:jc w:val="center"/>
            </w:pPr>
            <w:r>
              <w:rPr>
                <w:rFonts w:hint="eastAsia"/>
              </w:rPr>
              <w:t>1988年2月</w:t>
            </w:r>
          </w:p>
        </w:tc>
        <w:tc>
          <w:tcPr>
            <w:tcW w:w="1460" w:type="pct"/>
            <w:vAlign w:val="center"/>
          </w:tcPr>
          <w:p w14:paraId="6C396598">
            <w:pPr>
              <w:pStyle w:val="12"/>
              <w:jc w:val="center"/>
            </w:pPr>
            <w:r>
              <w:rPr>
                <w:rFonts w:hint="eastAsia"/>
              </w:rPr>
              <w:t>河南人民出版社</w:t>
            </w:r>
          </w:p>
        </w:tc>
      </w:tr>
      <w:tr w14:paraId="7A4ED1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69A63A4D">
            <w:pPr>
              <w:pStyle w:val="12"/>
              <w:jc w:val="center"/>
            </w:pPr>
            <w:r>
              <w:rPr>
                <w:rFonts w:hint="eastAsia"/>
              </w:rPr>
              <w:t>南雄文艺作品选</w:t>
            </w:r>
          </w:p>
        </w:tc>
        <w:tc>
          <w:tcPr>
            <w:tcW w:w="1250" w:type="pct"/>
            <w:vAlign w:val="center"/>
          </w:tcPr>
          <w:p w14:paraId="5EDE7429">
            <w:pPr>
              <w:pStyle w:val="12"/>
              <w:jc w:val="center"/>
            </w:pPr>
            <w:r>
              <w:rPr>
                <w:rFonts w:hint="eastAsia"/>
              </w:rPr>
              <w:t>钟义海</w:t>
            </w:r>
          </w:p>
        </w:tc>
        <w:tc>
          <w:tcPr>
            <w:tcW w:w="1040" w:type="pct"/>
            <w:vAlign w:val="center"/>
          </w:tcPr>
          <w:p w14:paraId="0336CE5C">
            <w:pPr>
              <w:pStyle w:val="12"/>
              <w:jc w:val="center"/>
            </w:pPr>
            <w:r>
              <w:rPr>
                <w:rFonts w:hint="eastAsia"/>
              </w:rPr>
              <w:t>1990年</w:t>
            </w:r>
          </w:p>
        </w:tc>
        <w:tc>
          <w:tcPr>
            <w:tcW w:w="1460" w:type="pct"/>
            <w:vAlign w:val="center"/>
          </w:tcPr>
          <w:p w14:paraId="05E9E563">
            <w:pPr>
              <w:pStyle w:val="12"/>
              <w:jc w:val="center"/>
            </w:pPr>
            <w:r>
              <w:rPr>
                <w:rFonts w:hint="eastAsia"/>
              </w:rPr>
              <w:t>南雄县文联</w:t>
            </w:r>
          </w:p>
        </w:tc>
      </w:tr>
      <w:tr w14:paraId="700FE1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52C7621">
            <w:pPr>
              <w:pStyle w:val="12"/>
              <w:jc w:val="center"/>
            </w:pPr>
            <w:r>
              <w:rPr>
                <w:rFonts w:hint="eastAsia"/>
              </w:rPr>
              <w:t>南雄艺苑</w:t>
            </w:r>
          </w:p>
        </w:tc>
        <w:tc>
          <w:tcPr>
            <w:tcW w:w="1250" w:type="pct"/>
            <w:vAlign w:val="center"/>
          </w:tcPr>
          <w:p w14:paraId="5E1EB2C9">
            <w:pPr>
              <w:pStyle w:val="12"/>
              <w:jc w:val="center"/>
            </w:pPr>
            <w:r>
              <w:rPr>
                <w:rFonts w:hint="eastAsia"/>
              </w:rPr>
              <w:t>钟义海</w:t>
            </w:r>
          </w:p>
        </w:tc>
        <w:tc>
          <w:tcPr>
            <w:tcW w:w="1040" w:type="pct"/>
            <w:vAlign w:val="center"/>
          </w:tcPr>
          <w:p w14:paraId="17EEB409">
            <w:pPr>
              <w:pStyle w:val="12"/>
              <w:jc w:val="center"/>
            </w:pPr>
            <w:r>
              <w:rPr>
                <w:rFonts w:hint="eastAsia"/>
              </w:rPr>
              <w:t>1989年</w:t>
            </w:r>
          </w:p>
        </w:tc>
        <w:tc>
          <w:tcPr>
            <w:tcW w:w="1460" w:type="pct"/>
            <w:vAlign w:val="center"/>
          </w:tcPr>
          <w:p w14:paraId="2FD2917B">
            <w:pPr>
              <w:pStyle w:val="12"/>
              <w:jc w:val="center"/>
            </w:pPr>
            <w:r>
              <w:rPr>
                <w:rFonts w:hint="eastAsia"/>
              </w:rPr>
              <w:t>南雄县文联</w:t>
            </w:r>
          </w:p>
        </w:tc>
      </w:tr>
      <w:tr w14:paraId="201676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59639973">
            <w:pPr>
              <w:pStyle w:val="12"/>
              <w:jc w:val="center"/>
            </w:pPr>
            <w:r>
              <w:rPr>
                <w:rFonts w:hint="eastAsia"/>
              </w:rPr>
              <w:t>南雄建设颂</w:t>
            </w:r>
          </w:p>
        </w:tc>
        <w:tc>
          <w:tcPr>
            <w:tcW w:w="1250" w:type="pct"/>
            <w:vAlign w:val="center"/>
          </w:tcPr>
          <w:p w14:paraId="1C0D9808">
            <w:pPr>
              <w:pStyle w:val="12"/>
              <w:jc w:val="center"/>
            </w:pPr>
            <w:r>
              <w:rPr>
                <w:rFonts w:hint="eastAsia"/>
              </w:rPr>
              <w:t>钟义海</w:t>
            </w:r>
          </w:p>
        </w:tc>
        <w:tc>
          <w:tcPr>
            <w:tcW w:w="1040" w:type="pct"/>
            <w:vAlign w:val="center"/>
          </w:tcPr>
          <w:p w14:paraId="0C9A891B">
            <w:pPr>
              <w:pStyle w:val="12"/>
              <w:jc w:val="center"/>
            </w:pPr>
            <w:r>
              <w:rPr>
                <w:rFonts w:hint="eastAsia"/>
              </w:rPr>
              <w:t>1990年</w:t>
            </w:r>
          </w:p>
        </w:tc>
        <w:tc>
          <w:tcPr>
            <w:tcW w:w="1460" w:type="pct"/>
            <w:vAlign w:val="center"/>
          </w:tcPr>
          <w:p w14:paraId="36C3DBB5">
            <w:pPr>
              <w:pStyle w:val="12"/>
              <w:jc w:val="center"/>
            </w:pPr>
            <w:r>
              <w:rPr>
                <w:rFonts w:hint="eastAsia"/>
              </w:rPr>
              <w:t>南雄县文联</w:t>
            </w:r>
          </w:p>
        </w:tc>
      </w:tr>
      <w:tr w14:paraId="0CA61C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05B1264B">
            <w:pPr>
              <w:pStyle w:val="12"/>
              <w:jc w:val="center"/>
            </w:pPr>
            <w:r>
              <w:rPr>
                <w:rFonts w:hint="eastAsia"/>
              </w:rPr>
              <w:t>南雄诗词选</w:t>
            </w:r>
          </w:p>
        </w:tc>
        <w:tc>
          <w:tcPr>
            <w:tcW w:w="1250" w:type="pct"/>
            <w:vAlign w:val="center"/>
          </w:tcPr>
          <w:p w14:paraId="664055F1">
            <w:pPr>
              <w:pStyle w:val="12"/>
              <w:jc w:val="center"/>
            </w:pPr>
            <w:r>
              <w:rPr>
                <w:rFonts w:hint="eastAsia"/>
              </w:rPr>
              <w:t>黄永东</w:t>
            </w:r>
          </w:p>
        </w:tc>
        <w:tc>
          <w:tcPr>
            <w:tcW w:w="1040" w:type="pct"/>
            <w:vAlign w:val="center"/>
          </w:tcPr>
          <w:p w14:paraId="18673155">
            <w:pPr>
              <w:pStyle w:val="12"/>
              <w:jc w:val="center"/>
            </w:pPr>
            <w:r>
              <w:rPr>
                <w:rFonts w:hint="eastAsia"/>
              </w:rPr>
              <w:t>1991年</w:t>
            </w:r>
          </w:p>
        </w:tc>
        <w:tc>
          <w:tcPr>
            <w:tcW w:w="1460" w:type="pct"/>
            <w:vAlign w:val="center"/>
          </w:tcPr>
          <w:p w14:paraId="353919CC">
            <w:pPr>
              <w:pStyle w:val="12"/>
              <w:jc w:val="center"/>
            </w:pPr>
            <w:r>
              <w:rPr>
                <w:rFonts w:hint="eastAsia"/>
              </w:rPr>
              <w:t>广东省高等教育出版社</w:t>
            </w:r>
          </w:p>
        </w:tc>
      </w:tr>
      <w:tr w14:paraId="45A697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4E6AEAF">
            <w:pPr>
              <w:pStyle w:val="12"/>
              <w:jc w:val="center"/>
            </w:pPr>
            <w:r>
              <w:rPr>
                <w:rFonts w:hint="eastAsia"/>
              </w:rPr>
              <w:t>梅岭故事选</w:t>
            </w:r>
          </w:p>
        </w:tc>
        <w:tc>
          <w:tcPr>
            <w:tcW w:w="1250" w:type="pct"/>
            <w:vAlign w:val="center"/>
          </w:tcPr>
          <w:p w14:paraId="122A33F6">
            <w:pPr>
              <w:pStyle w:val="12"/>
              <w:jc w:val="center"/>
            </w:pPr>
            <w:r>
              <w:rPr>
                <w:rFonts w:hint="eastAsia"/>
              </w:rPr>
              <w:t>庄礼味</w:t>
            </w:r>
          </w:p>
        </w:tc>
        <w:tc>
          <w:tcPr>
            <w:tcW w:w="1040" w:type="pct"/>
            <w:vAlign w:val="center"/>
          </w:tcPr>
          <w:p w14:paraId="0187158B">
            <w:pPr>
              <w:pStyle w:val="12"/>
              <w:jc w:val="center"/>
            </w:pPr>
            <w:r>
              <w:rPr>
                <w:rFonts w:hint="eastAsia"/>
              </w:rPr>
              <w:t>1991年</w:t>
            </w:r>
          </w:p>
        </w:tc>
        <w:tc>
          <w:tcPr>
            <w:tcW w:w="1460" w:type="pct"/>
            <w:vAlign w:val="center"/>
          </w:tcPr>
          <w:p w14:paraId="0E8CEC47">
            <w:pPr>
              <w:pStyle w:val="12"/>
              <w:jc w:val="center"/>
            </w:pPr>
            <w:r>
              <w:rPr>
                <w:rFonts w:hint="eastAsia"/>
              </w:rPr>
              <w:t>南雄县文联</w:t>
            </w:r>
          </w:p>
        </w:tc>
      </w:tr>
      <w:tr w14:paraId="55A39B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D2846F3">
            <w:pPr>
              <w:pStyle w:val="12"/>
              <w:jc w:val="center"/>
            </w:pPr>
            <w:r>
              <w:rPr>
                <w:rFonts w:hint="eastAsia"/>
              </w:rPr>
              <w:t>笔情墨趣</w:t>
            </w:r>
          </w:p>
        </w:tc>
        <w:tc>
          <w:tcPr>
            <w:tcW w:w="1250" w:type="pct"/>
            <w:vAlign w:val="center"/>
          </w:tcPr>
          <w:p w14:paraId="2454C64E">
            <w:pPr>
              <w:pStyle w:val="12"/>
              <w:jc w:val="center"/>
            </w:pPr>
            <w:r>
              <w:rPr>
                <w:rFonts w:hint="eastAsia"/>
              </w:rPr>
              <w:t>郭隆钰</w:t>
            </w:r>
          </w:p>
        </w:tc>
        <w:tc>
          <w:tcPr>
            <w:tcW w:w="1040" w:type="pct"/>
            <w:vAlign w:val="center"/>
          </w:tcPr>
          <w:p w14:paraId="779E2DB0">
            <w:pPr>
              <w:pStyle w:val="12"/>
              <w:jc w:val="center"/>
            </w:pPr>
            <w:r>
              <w:rPr>
                <w:rFonts w:hint="eastAsia"/>
              </w:rPr>
              <w:t>1993年9月</w:t>
            </w:r>
          </w:p>
        </w:tc>
        <w:tc>
          <w:tcPr>
            <w:tcW w:w="1460" w:type="pct"/>
            <w:vAlign w:val="center"/>
          </w:tcPr>
          <w:p w14:paraId="7C716FC1">
            <w:pPr>
              <w:pStyle w:val="12"/>
              <w:jc w:val="center"/>
            </w:pPr>
            <w:r>
              <w:rPr>
                <w:rFonts w:hint="eastAsia"/>
              </w:rPr>
              <w:t>南雄县政协文史资料委员会</w:t>
            </w:r>
          </w:p>
        </w:tc>
      </w:tr>
      <w:tr w14:paraId="52F7AA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5E122F16">
            <w:pPr>
              <w:pStyle w:val="12"/>
              <w:jc w:val="center"/>
            </w:pPr>
            <w:r>
              <w:rPr>
                <w:rFonts w:hint="eastAsia"/>
              </w:rPr>
              <w:t>稚园诗话</w:t>
            </w:r>
          </w:p>
        </w:tc>
        <w:tc>
          <w:tcPr>
            <w:tcW w:w="1250" w:type="pct"/>
            <w:vAlign w:val="center"/>
          </w:tcPr>
          <w:p w14:paraId="7A8523F9">
            <w:pPr>
              <w:pStyle w:val="12"/>
              <w:jc w:val="center"/>
            </w:pPr>
            <w:r>
              <w:rPr>
                <w:rFonts w:hint="eastAsia"/>
              </w:rPr>
              <w:t>郭隆钰</w:t>
            </w:r>
          </w:p>
        </w:tc>
        <w:tc>
          <w:tcPr>
            <w:tcW w:w="1040" w:type="pct"/>
            <w:vAlign w:val="center"/>
          </w:tcPr>
          <w:p w14:paraId="77DCB107">
            <w:pPr>
              <w:pStyle w:val="12"/>
              <w:jc w:val="center"/>
            </w:pPr>
            <w:r>
              <w:rPr>
                <w:rFonts w:hint="eastAsia"/>
              </w:rPr>
              <w:t>1994年12月</w:t>
            </w:r>
          </w:p>
        </w:tc>
        <w:tc>
          <w:tcPr>
            <w:tcW w:w="1460" w:type="pct"/>
            <w:vAlign w:val="center"/>
          </w:tcPr>
          <w:p w14:paraId="3A90F6A7">
            <w:pPr>
              <w:pStyle w:val="12"/>
              <w:jc w:val="center"/>
            </w:pPr>
            <w:r>
              <w:rPr>
                <w:rFonts w:hint="eastAsia"/>
              </w:rPr>
              <w:t>南雄县政协文史资料委员会</w:t>
            </w:r>
          </w:p>
        </w:tc>
      </w:tr>
      <w:tr w14:paraId="4DE055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63430A8">
            <w:pPr>
              <w:pStyle w:val="12"/>
              <w:jc w:val="center"/>
            </w:pPr>
            <w:r>
              <w:rPr>
                <w:rFonts w:hint="eastAsia"/>
              </w:rPr>
              <w:t>浈凌吟草</w:t>
            </w:r>
          </w:p>
        </w:tc>
        <w:tc>
          <w:tcPr>
            <w:tcW w:w="1250" w:type="pct"/>
            <w:vAlign w:val="center"/>
          </w:tcPr>
          <w:p w14:paraId="702D1311">
            <w:pPr>
              <w:pStyle w:val="12"/>
              <w:jc w:val="center"/>
            </w:pPr>
            <w:r>
              <w:rPr>
                <w:rFonts w:hint="eastAsia"/>
              </w:rPr>
              <w:t>罗凯燊</w:t>
            </w:r>
          </w:p>
        </w:tc>
        <w:tc>
          <w:tcPr>
            <w:tcW w:w="1040" w:type="pct"/>
            <w:vAlign w:val="center"/>
          </w:tcPr>
          <w:p w14:paraId="26C74B56">
            <w:pPr>
              <w:pStyle w:val="12"/>
              <w:jc w:val="center"/>
            </w:pPr>
            <w:r>
              <w:rPr>
                <w:rFonts w:hint="eastAsia"/>
              </w:rPr>
              <w:t>1995年12月</w:t>
            </w:r>
          </w:p>
        </w:tc>
        <w:tc>
          <w:tcPr>
            <w:tcW w:w="1460" w:type="pct"/>
            <w:vAlign w:val="center"/>
          </w:tcPr>
          <w:p w14:paraId="194EF660">
            <w:pPr>
              <w:pStyle w:val="12"/>
              <w:jc w:val="center"/>
            </w:pPr>
            <w:r>
              <w:rPr>
                <w:rFonts w:hint="eastAsia"/>
              </w:rPr>
              <w:t>雄州诗社</w:t>
            </w:r>
          </w:p>
        </w:tc>
      </w:tr>
      <w:tr w14:paraId="1A23D03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684E2F8">
            <w:pPr>
              <w:pStyle w:val="12"/>
              <w:jc w:val="center"/>
            </w:pPr>
            <w:r>
              <w:rPr>
                <w:rFonts w:hint="eastAsia"/>
              </w:rPr>
              <w:t>浈凌漫笔</w:t>
            </w:r>
          </w:p>
        </w:tc>
        <w:tc>
          <w:tcPr>
            <w:tcW w:w="1250" w:type="pct"/>
            <w:vAlign w:val="center"/>
          </w:tcPr>
          <w:p w14:paraId="15CCBBB3">
            <w:pPr>
              <w:pStyle w:val="12"/>
              <w:jc w:val="center"/>
            </w:pPr>
            <w:r>
              <w:rPr>
                <w:rFonts w:hint="eastAsia"/>
              </w:rPr>
              <w:t>罗凯燊</w:t>
            </w:r>
          </w:p>
        </w:tc>
        <w:tc>
          <w:tcPr>
            <w:tcW w:w="1040" w:type="pct"/>
            <w:vAlign w:val="center"/>
          </w:tcPr>
          <w:p w14:paraId="2C2B21A2">
            <w:pPr>
              <w:pStyle w:val="12"/>
              <w:jc w:val="center"/>
            </w:pPr>
            <w:r>
              <w:rPr>
                <w:rFonts w:hint="eastAsia"/>
              </w:rPr>
              <w:t>1996年1月</w:t>
            </w:r>
          </w:p>
        </w:tc>
        <w:tc>
          <w:tcPr>
            <w:tcW w:w="1460" w:type="pct"/>
            <w:vAlign w:val="center"/>
          </w:tcPr>
          <w:p w14:paraId="1A8F9406">
            <w:pPr>
              <w:pStyle w:val="12"/>
              <w:jc w:val="center"/>
            </w:pPr>
            <w:r>
              <w:rPr>
                <w:rFonts w:hint="eastAsia"/>
              </w:rPr>
              <w:t>中国和平出版社</w:t>
            </w:r>
          </w:p>
        </w:tc>
      </w:tr>
      <w:tr w14:paraId="2211DF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0FF17845">
            <w:pPr>
              <w:pStyle w:val="12"/>
              <w:jc w:val="center"/>
            </w:pPr>
            <w:r>
              <w:rPr>
                <w:rFonts w:hint="eastAsia"/>
              </w:rPr>
              <w:t>珠玑巷诗词</w:t>
            </w:r>
          </w:p>
        </w:tc>
        <w:tc>
          <w:tcPr>
            <w:tcW w:w="1250" w:type="pct"/>
            <w:vAlign w:val="center"/>
          </w:tcPr>
          <w:p w14:paraId="40CCA454">
            <w:pPr>
              <w:pStyle w:val="12"/>
              <w:jc w:val="center"/>
            </w:pPr>
            <w:r>
              <w:rPr>
                <w:rFonts w:hint="eastAsia"/>
              </w:rPr>
              <w:t>严先德</w:t>
            </w:r>
          </w:p>
        </w:tc>
        <w:tc>
          <w:tcPr>
            <w:tcW w:w="1040" w:type="pct"/>
            <w:vAlign w:val="center"/>
          </w:tcPr>
          <w:p w14:paraId="7F08DBE1">
            <w:pPr>
              <w:pStyle w:val="12"/>
              <w:jc w:val="center"/>
            </w:pPr>
            <w:r>
              <w:rPr>
                <w:rFonts w:hint="eastAsia"/>
              </w:rPr>
              <w:t>1996年2月</w:t>
            </w:r>
          </w:p>
        </w:tc>
        <w:tc>
          <w:tcPr>
            <w:tcW w:w="1460" w:type="pct"/>
            <w:vAlign w:val="center"/>
          </w:tcPr>
          <w:p w14:paraId="4F2D0BCF">
            <w:pPr>
              <w:pStyle w:val="12"/>
              <w:jc w:val="center"/>
            </w:pPr>
            <w:r>
              <w:rPr>
                <w:rFonts w:hint="eastAsia"/>
              </w:rPr>
              <w:t>雄州诗社</w:t>
            </w:r>
          </w:p>
        </w:tc>
      </w:tr>
      <w:tr w14:paraId="755639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758D0BB">
            <w:pPr>
              <w:pStyle w:val="12"/>
              <w:jc w:val="center"/>
            </w:pPr>
            <w:r>
              <w:rPr>
                <w:rFonts w:hint="eastAsia"/>
              </w:rPr>
              <w:t>南雄三高农业诗词</w:t>
            </w:r>
          </w:p>
        </w:tc>
        <w:tc>
          <w:tcPr>
            <w:tcW w:w="1250" w:type="pct"/>
            <w:vAlign w:val="center"/>
          </w:tcPr>
          <w:p w14:paraId="5E8EE521">
            <w:pPr>
              <w:pStyle w:val="12"/>
              <w:jc w:val="center"/>
            </w:pPr>
            <w:r>
              <w:rPr>
                <w:rFonts w:hint="eastAsia"/>
              </w:rPr>
              <w:t>严先德</w:t>
            </w:r>
          </w:p>
        </w:tc>
        <w:tc>
          <w:tcPr>
            <w:tcW w:w="1040" w:type="pct"/>
            <w:vAlign w:val="center"/>
          </w:tcPr>
          <w:p w14:paraId="6196E354">
            <w:pPr>
              <w:pStyle w:val="12"/>
              <w:jc w:val="center"/>
            </w:pPr>
            <w:r>
              <w:rPr>
                <w:rFonts w:hint="eastAsia"/>
              </w:rPr>
              <w:t>1999年2月</w:t>
            </w:r>
          </w:p>
        </w:tc>
        <w:tc>
          <w:tcPr>
            <w:tcW w:w="1460" w:type="pct"/>
            <w:vAlign w:val="center"/>
          </w:tcPr>
          <w:p w14:paraId="3366C65A">
            <w:pPr>
              <w:pStyle w:val="12"/>
              <w:jc w:val="center"/>
            </w:pPr>
            <w:r>
              <w:rPr>
                <w:rFonts w:hint="eastAsia"/>
              </w:rPr>
              <w:t>雄州诗社</w:t>
            </w:r>
          </w:p>
        </w:tc>
      </w:tr>
      <w:tr w14:paraId="051974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6E83B338">
            <w:pPr>
              <w:pStyle w:val="12"/>
              <w:jc w:val="center"/>
            </w:pPr>
            <w:r>
              <w:rPr>
                <w:rFonts w:hint="eastAsia"/>
              </w:rPr>
              <w:t>红土情</w:t>
            </w:r>
          </w:p>
        </w:tc>
        <w:tc>
          <w:tcPr>
            <w:tcW w:w="1250" w:type="pct"/>
            <w:vAlign w:val="center"/>
          </w:tcPr>
          <w:p w14:paraId="23797D7F">
            <w:pPr>
              <w:pStyle w:val="12"/>
              <w:jc w:val="center"/>
            </w:pPr>
            <w:r>
              <w:rPr>
                <w:rFonts w:hint="eastAsia"/>
              </w:rPr>
              <w:t>李英群</w:t>
            </w:r>
          </w:p>
        </w:tc>
        <w:tc>
          <w:tcPr>
            <w:tcW w:w="1040" w:type="pct"/>
            <w:vAlign w:val="center"/>
          </w:tcPr>
          <w:p w14:paraId="6E2C91D0">
            <w:pPr>
              <w:pStyle w:val="12"/>
              <w:jc w:val="center"/>
            </w:pPr>
            <w:r>
              <w:rPr>
                <w:rFonts w:hint="eastAsia"/>
              </w:rPr>
              <w:t>1999年8月</w:t>
            </w:r>
          </w:p>
        </w:tc>
        <w:tc>
          <w:tcPr>
            <w:tcW w:w="1460" w:type="pct"/>
            <w:vAlign w:val="center"/>
          </w:tcPr>
          <w:p w14:paraId="35129586">
            <w:pPr>
              <w:pStyle w:val="12"/>
              <w:jc w:val="center"/>
            </w:pPr>
            <w:r>
              <w:rPr>
                <w:rFonts w:hint="eastAsia"/>
              </w:rPr>
              <w:t>南雄市政协文史资料委员会</w:t>
            </w:r>
          </w:p>
        </w:tc>
      </w:tr>
      <w:tr w14:paraId="59DC01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AA794F1">
            <w:pPr>
              <w:pStyle w:val="12"/>
              <w:jc w:val="center"/>
            </w:pPr>
            <w:r>
              <w:rPr>
                <w:rFonts w:hint="eastAsia"/>
              </w:rPr>
              <w:t>溪琢诗文草集</w:t>
            </w:r>
          </w:p>
        </w:tc>
        <w:tc>
          <w:tcPr>
            <w:tcW w:w="1250" w:type="pct"/>
            <w:vAlign w:val="center"/>
          </w:tcPr>
          <w:p w14:paraId="42D1294F">
            <w:pPr>
              <w:pStyle w:val="12"/>
              <w:jc w:val="center"/>
            </w:pPr>
            <w:r>
              <w:rPr>
                <w:rFonts w:hint="eastAsia"/>
              </w:rPr>
              <w:t>王希佐</w:t>
            </w:r>
          </w:p>
        </w:tc>
        <w:tc>
          <w:tcPr>
            <w:tcW w:w="1040" w:type="pct"/>
            <w:vAlign w:val="center"/>
          </w:tcPr>
          <w:p w14:paraId="325178C0">
            <w:pPr>
              <w:pStyle w:val="12"/>
              <w:jc w:val="center"/>
            </w:pPr>
            <w:r>
              <w:rPr>
                <w:rFonts w:hint="eastAsia"/>
              </w:rPr>
              <w:t>1999年12月</w:t>
            </w:r>
          </w:p>
        </w:tc>
        <w:tc>
          <w:tcPr>
            <w:tcW w:w="1460" w:type="pct"/>
            <w:vAlign w:val="center"/>
          </w:tcPr>
          <w:p w14:paraId="55019FEF">
            <w:pPr>
              <w:pStyle w:val="12"/>
              <w:jc w:val="center"/>
            </w:pPr>
            <w:r>
              <w:rPr>
                <w:rFonts w:hint="eastAsia"/>
              </w:rPr>
              <w:t>雄州诗社</w:t>
            </w:r>
          </w:p>
        </w:tc>
      </w:tr>
      <w:tr w14:paraId="58D0B1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16257ED">
            <w:pPr>
              <w:pStyle w:val="12"/>
              <w:jc w:val="center"/>
            </w:pPr>
            <w:r>
              <w:rPr>
                <w:rFonts w:hint="eastAsia"/>
              </w:rPr>
              <w:t>可爱的南雄</w:t>
            </w:r>
          </w:p>
        </w:tc>
        <w:tc>
          <w:tcPr>
            <w:tcW w:w="1250" w:type="pct"/>
            <w:vAlign w:val="center"/>
          </w:tcPr>
          <w:p w14:paraId="0418193E">
            <w:pPr>
              <w:pStyle w:val="12"/>
              <w:jc w:val="center"/>
            </w:pPr>
            <w:r>
              <w:rPr>
                <w:rFonts w:hint="eastAsia"/>
              </w:rPr>
              <w:t>林广志</w:t>
            </w:r>
          </w:p>
        </w:tc>
        <w:tc>
          <w:tcPr>
            <w:tcW w:w="1040" w:type="pct"/>
            <w:vAlign w:val="center"/>
          </w:tcPr>
          <w:p w14:paraId="0B4C01C2">
            <w:pPr>
              <w:pStyle w:val="12"/>
              <w:jc w:val="center"/>
            </w:pPr>
            <w:r>
              <w:rPr>
                <w:rFonts w:hint="eastAsia"/>
              </w:rPr>
              <w:t>2000年6月</w:t>
            </w:r>
          </w:p>
        </w:tc>
        <w:tc>
          <w:tcPr>
            <w:tcW w:w="1460" w:type="pct"/>
            <w:vAlign w:val="center"/>
          </w:tcPr>
          <w:p w14:paraId="439A9194">
            <w:pPr>
              <w:pStyle w:val="12"/>
              <w:jc w:val="center"/>
            </w:pPr>
            <w:r>
              <w:rPr>
                <w:rFonts w:hint="eastAsia"/>
              </w:rPr>
              <w:t>广东高等教育出版社</w:t>
            </w:r>
          </w:p>
        </w:tc>
      </w:tr>
      <w:tr w14:paraId="406255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E9A6375">
            <w:pPr>
              <w:pStyle w:val="12"/>
              <w:jc w:val="center"/>
            </w:pPr>
            <w:r>
              <w:rPr>
                <w:rFonts w:hint="eastAsia"/>
              </w:rPr>
              <w:t>风雨小洋楼</w:t>
            </w:r>
          </w:p>
        </w:tc>
        <w:tc>
          <w:tcPr>
            <w:tcW w:w="1250" w:type="pct"/>
            <w:vAlign w:val="center"/>
          </w:tcPr>
          <w:p w14:paraId="322020F5">
            <w:pPr>
              <w:pStyle w:val="12"/>
              <w:jc w:val="center"/>
            </w:pPr>
            <w:r>
              <w:rPr>
                <w:rFonts w:hint="eastAsia"/>
              </w:rPr>
              <w:t>陈至明</w:t>
            </w:r>
          </w:p>
        </w:tc>
        <w:tc>
          <w:tcPr>
            <w:tcW w:w="1040" w:type="pct"/>
            <w:vAlign w:val="center"/>
          </w:tcPr>
          <w:p w14:paraId="36F45457">
            <w:pPr>
              <w:pStyle w:val="12"/>
              <w:jc w:val="center"/>
            </w:pPr>
            <w:r>
              <w:rPr>
                <w:rFonts w:hint="eastAsia"/>
              </w:rPr>
              <w:t>1999年6月</w:t>
            </w:r>
          </w:p>
        </w:tc>
        <w:tc>
          <w:tcPr>
            <w:tcW w:w="1460" w:type="pct"/>
            <w:vAlign w:val="center"/>
          </w:tcPr>
          <w:p w14:paraId="5CC0D40D">
            <w:pPr>
              <w:pStyle w:val="12"/>
              <w:jc w:val="center"/>
            </w:pPr>
            <w:r>
              <w:rPr>
                <w:rFonts w:hint="eastAsia"/>
              </w:rPr>
              <w:t>花城出版社</w:t>
            </w:r>
          </w:p>
        </w:tc>
      </w:tr>
      <w:tr w14:paraId="6043DE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65D95561">
            <w:pPr>
              <w:pStyle w:val="12"/>
              <w:jc w:val="center"/>
            </w:pPr>
            <w:r>
              <w:rPr>
                <w:rFonts w:hint="eastAsia"/>
              </w:rPr>
              <w:t>成长是沉重的</w:t>
            </w:r>
          </w:p>
        </w:tc>
        <w:tc>
          <w:tcPr>
            <w:tcW w:w="1250" w:type="pct"/>
            <w:vAlign w:val="center"/>
          </w:tcPr>
          <w:p w14:paraId="501E6AD1">
            <w:pPr>
              <w:pStyle w:val="12"/>
              <w:jc w:val="center"/>
            </w:pPr>
            <w:r>
              <w:rPr>
                <w:rFonts w:hint="eastAsia"/>
              </w:rPr>
              <w:t>游小清</w:t>
            </w:r>
          </w:p>
        </w:tc>
        <w:tc>
          <w:tcPr>
            <w:tcW w:w="1040" w:type="pct"/>
            <w:vAlign w:val="center"/>
          </w:tcPr>
          <w:p w14:paraId="45E26BEC">
            <w:pPr>
              <w:pStyle w:val="12"/>
              <w:jc w:val="center"/>
            </w:pPr>
            <w:r>
              <w:rPr>
                <w:rFonts w:hint="eastAsia"/>
              </w:rPr>
              <w:t>1999年6月</w:t>
            </w:r>
          </w:p>
        </w:tc>
        <w:tc>
          <w:tcPr>
            <w:tcW w:w="1460" w:type="pct"/>
            <w:vAlign w:val="center"/>
          </w:tcPr>
          <w:p w14:paraId="5E7382B4">
            <w:pPr>
              <w:pStyle w:val="12"/>
              <w:jc w:val="center"/>
            </w:pPr>
            <w:r>
              <w:rPr>
                <w:rFonts w:hint="eastAsia"/>
              </w:rPr>
              <w:t>岭南美术出版社</w:t>
            </w:r>
          </w:p>
        </w:tc>
      </w:tr>
      <w:tr w14:paraId="7D565F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EEAC5E5">
            <w:pPr>
              <w:pStyle w:val="12"/>
              <w:jc w:val="center"/>
            </w:pPr>
            <w:r>
              <w:rPr>
                <w:rFonts w:hint="eastAsia"/>
              </w:rPr>
              <w:t>青春的阶梯</w:t>
            </w:r>
          </w:p>
        </w:tc>
        <w:tc>
          <w:tcPr>
            <w:tcW w:w="1250" w:type="pct"/>
            <w:vAlign w:val="center"/>
          </w:tcPr>
          <w:p w14:paraId="1A1D92D6">
            <w:pPr>
              <w:pStyle w:val="12"/>
              <w:jc w:val="center"/>
            </w:pPr>
            <w:r>
              <w:rPr>
                <w:rFonts w:hint="eastAsia"/>
              </w:rPr>
              <w:t>张锦荣</w:t>
            </w:r>
          </w:p>
        </w:tc>
        <w:tc>
          <w:tcPr>
            <w:tcW w:w="1040" w:type="pct"/>
            <w:vAlign w:val="center"/>
          </w:tcPr>
          <w:p w14:paraId="2C0C989A">
            <w:pPr>
              <w:pStyle w:val="12"/>
              <w:jc w:val="center"/>
            </w:pPr>
            <w:r>
              <w:rPr>
                <w:rFonts w:hint="eastAsia"/>
              </w:rPr>
              <w:t>1999年6月</w:t>
            </w:r>
          </w:p>
        </w:tc>
        <w:tc>
          <w:tcPr>
            <w:tcW w:w="1460" w:type="pct"/>
            <w:vAlign w:val="center"/>
          </w:tcPr>
          <w:p w14:paraId="7B01AB3B">
            <w:pPr>
              <w:pStyle w:val="12"/>
              <w:jc w:val="center"/>
            </w:pPr>
            <w:r>
              <w:rPr>
                <w:rFonts w:hint="eastAsia"/>
              </w:rPr>
              <w:t>岭南美术出版社</w:t>
            </w:r>
          </w:p>
        </w:tc>
      </w:tr>
      <w:tr w14:paraId="49E5BB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6268ECB5">
            <w:pPr>
              <w:pStyle w:val="12"/>
              <w:jc w:val="center"/>
            </w:pPr>
            <w:r>
              <w:rPr>
                <w:rFonts w:hint="eastAsia"/>
              </w:rPr>
              <w:t>陈继芬书法篆刻选</w:t>
            </w:r>
          </w:p>
        </w:tc>
        <w:tc>
          <w:tcPr>
            <w:tcW w:w="1250" w:type="pct"/>
            <w:vAlign w:val="center"/>
          </w:tcPr>
          <w:p w14:paraId="527B018F">
            <w:pPr>
              <w:pStyle w:val="12"/>
              <w:jc w:val="center"/>
            </w:pPr>
            <w:r>
              <w:rPr>
                <w:rFonts w:hint="eastAsia"/>
              </w:rPr>
              <w:t>陈继芬</w:t>
            </w:r>
          </w:p>
        </w:tc>
        <w:tc>
          <w:tcPr>
            <w:tcW w:w="1040" w:type="pct"/>
            <w:vAlign w:val="center"/>
          </w:tcPr>
          <w:p w14:paraId="3F376E2E">
            <w:pPr>
              <w:pStyle w:val="12"/>
              <w:jc w:val="center"/>
            </w:pPr>
            <w:r>
              <w:rPr>
                <w:rFonts w:hint="eastAsia"/>
              </w:rPr>
              <w:t>2000年10月</w:t>
            </w:r>
          </w:p>
        </w:tc>
        <w:tc>
          <w:tcPr>
            <w:tcW w:w="1460" w:type="pct"/>
            <w:vAlign w:val="center"/>
          </w:tcPr>
          <w:p w14:paraId="52D949D1">
            <w:pPr>
              <w:pStyle w:val="12"/>
              <w:jc w:val="center"/>
            </w:pPr>
            <w:r>
              <w:rPr>
                <w:rFonts w:hint="eastAsia"/>
              </w:rPr>
              <w:t>南雄市政协文史资料委员会</w:t>
            </w:r>
          </w:p>
        </w:tc>
      </w:tr>
      <w:tr w14:paraId="10366D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6D823986">
            <w:pPr>
              <w:pStyle w:val="12"/>
              <w:jc w:val="center"/>
            </w:pPr>
            <w:r>
              <w:rPr>
                <w:rFonts w:hint="eastAsia"/>
              </w:rPr>
              <w:t>乡情</w:t>
            </w:r>
          </w:p>
        </w:tc>
        <w:tc>
          <w:tcPr>
            <w:tcW w:w="1250" w:type="pct"/>
            <w:vAlign w:val="center"/>
          </w:tcPr>
          <w:p w14:paraId="75EB24EB">
            <w:pPr>
              <w:pStyle w:val="12"/>
              <w:jc w:val="center"/>
            </w:pPr>
            <w:r>
              <w:rPr>
                <w:rFonts w:hint="eastAsia"/>
              </w:rPr>
              <w:t>郭盛森</w:t>
            </w:r>
          </w:p>
        </w:tc>
        <w:tc>
          <w:tcPr>
            <w:tcW w:w="1040" w:type="pct"/>
            <w:vAlign w:val="center"/>
          </w:tcPr>
          <w:p w14:paraId="6D806DD6">
            <w:pPr>
              <w:pStyle w:val="12"/>
              <w:jc w:val="center"/>
            </w:pPr>
            <w:r>
              <w:rPr>
                <w:rFonts w:hint="eastAsia"/>
              </w:rPr>
              <w:t>2000年12月</w:t>
            </w:r>
          </w:p>
        </w:tc>
        <w:tc>
          <w:tcPr>
            <w:tcW w:w="1460" w:type="pct"/>
            <w:vAlign w:val="center"/>
          </w:tcPr>
          <w:p w14:paraId="5A58F0C0">
            <w:pPr>
              <w:pStyle w:val="12"/>
              <w:jc w:val="center"/>
            </w:pPr>
            <w:r>
              <w:rPr>
                <w:rFonts w:hint="eastAsia"/>
              </w:rPr>
              <w:t>南雄市政协文史资料委员会</w:t>
            </w:r>
          </w:p>
        </w:tc>
      </w:tr>
      <w:tr w14:paraId="260454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9A9E512">
            <w:pPr>
              <w:pStyle w:val="12"/>
              <w:jc w:val="center"/>
            </w:pPr>
            <w:r>
              <w:rPr>
                <w:rFonts w:hint="eastAsia"/>
              </w:rPr>
              <w:t>南雄风情拾萃</w:t>
            </w:r>
          </w:p>
        </w:tc>
        <w:tc>
          <w:tcPr>
            <w:tcW w:w="1250" w:type="pct"/>
            <w:vAlign w:val="center"/>
          </w:tcPr>
          <w:p w14:paraId="762CFAF1">
            <w:pPr>
              <w:pStyle w:val="12"/>
              <w:jc w:val="center"/>
            </w:pPr>
            <w:r>
              <w:rPr>
                <w:rFonts w:hint="eastAsia"/>
              </w:rPr>
              <w:t>刘兴洲</w:t>
            </w:r>
          </w:p>
        </w:tc>
        <w:tc>
          <w:tcPr>
            <w:tcW w:w="1040" w:type="pct"/>
            <w:vAlign w:val="center"/>
          </w:tcPr>
          <w:p w14:paraId="50914AE9">
            <w:pPr>
              <w:pStyle w:val="12"/>
              <w:jc w:val="center"/>
            </w:pPr>
            <w:r>
              <w:rPr>
                <w:rFonts w:hint="eastAsia"/>
              </w:rPr>
              <w:t>2000年12月</w:t>
            </w:r>
          </w:p>
        </w:tc>
        <w:tc>
          <w:tcPr>
            <w:tcW w:w="1460" w:type="pct"/>
            <w:vAlign w:val="center"/>
          </w:tcPr>
          <w:p w14:paraId="06AE8CF0">
            <w:pPr>
              <w:pStyle w:val="12"/>
              <w:jc w:val="center"/>
            </w:pPr>
            <w:r>
              <w:rPr>
                <w:rFonts w:hint="eastAsia"/>
              </w:rPr>
              <w:t>南雄市政协文史资料委员会</w:t>
            </w:r>
          </w:p>
        </w:tc>
      </w:tr>
      <w:tr w14:paraId="0E0AB6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F37099D">
            <w:pPr>
              <w:pStyle w:val="12"/>
              <w:jc w:val="center"/>
            </w:pPr>
            <w:r>
              <w:rPr>
                <w:rFonts w:hint="eastAsia"/>
              </w:rPr>
              <w:t>珠玑之光</w:t>
            </w:r>
          </w:p>
        </w:tc>
        <w:tc>
          <w:tcPr>
            <w:tcW w:w="1250" w:type="pct"/>
            <w:vAlign w:val="center"/>
          </w:tcPr>
          <w:p w14:paraId="7DAF3778">
            <w:pPr>
              <w:pStyle w:val="12"/>
              <w:jc w:val="center"/>
            </w:pPr>
            <w:r>
              <w:rPr>
                <w:rFonts w:hint="eastAsia"/>
              </w:rPr>
              <w:t>衷玉华</w:t>
            </w:r>
          </w:p>
        </w:tc>
        <w:tc>
          <w:tcPr>
            <w:tcW w:w="1040" w:type="pct"/>
            <w:vAlign w:val="center"/>
          </w:tcPr>
          <w:p w14:paraId="32FA5C94">
            <w:pPr>
              <w:pStyle w:val="12"/>
              <w:jc w:val="center"/>
            </w:pPr>
            <w:r>
              <w:rPr>
                <w:rFonts w:hint="eastAsia"/>
              </w:rPr>
              <w:t>2001年1月</w:t>
            </w:r>
          </w:p>
        </w:tc>
        <w:tc>
          <w:tcPr>
            <w:tcW w:w="1460" w:type="pct"/>
            <w:vAlign w:val="center"/>
          </w:tcPr>
          <w:p w14:paraId="134C50A7">
            <w:pPr>
              <w:pStyle w:val="12"/>
              <w:jc w:val="center"/>
            </w:pPr>
            <w:r>
              <w:rPr>
                <w:rFonts w:hint="eastAsia"/>
              </w:rPr>
              <w:t>南雄市政协文史资料委员会</w:t>
            </w:r>
          </w:p>
        </w:tc>
      </w:tr>
      <w:tr w14:paraId="065A06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FA75867">
            <w:pPr>
              <w:pStyle w:val="12"/>
              <w:jc w:val="center"/>
            </w:pPr>
            <w:r>
              <w:rPr>
                <w:rFonts w:hint="eastAsia"/>
              </w:rPr>
              <w:t>雄州对联</w:t>
            </w:r>
          </w:p>
        </w:tc>
        <w:tc>
          <w:tcPr>
            <w:tcW w:w="1250" w:type="pct"/>
            <w:vAlign w:val="center"/>
          </w:tcPr>
          <w:p w14:paraId="0E30C9BF">
            <w:pPr>
              <w:pStyle w:val="12"/>
              <w:jc w:val="center"/>
            </w:pPr>
            <w:r>
              <w:rPr>
                <w:rFonts w:hint="eastAsia"/>
              </w:rPr>
              <w:t>罗勇新</w:t>
            </w:r>
          </w:p>
        </w:tc>
        <w:tc>
          <w:tcPr>
            <w:tcW w:w="1040" w:type="pct"/>
            <w:vAlign w:val="center"/>
          </w:tcPr>
          <w:p w14:paraId="4C5F31AF">
            <w:pPr>
              <w:pStyle w:val="12"/>
              <w:jc w:val="center"/>
            </w:pPr>
            <w:r>
              <w:rPr>
                <w:rFonts w:hint="eastAsia"/>
              </w:rPr>
              <w:t>2001年11月</w:t>
            </w:r>
          </w:p>
        </w:tc>
        <w:tc>
          <w:tcPr>
            <w:tcW w:w="1460" w:type="pct"/>
            <w:vAlign w:val="center"/>
          </w:tcPr>
          <w:p w14:paraId="7FBB0B68">
            <w:pPr>
              <w:pStyle w:val="12"/>
              <w:jc w:val="center"/>
            </w:pPr>
            <w:r>
              <w:rPr>
                <w:rFonts w:hint="eastAsia"/>
              </w:rPr>
              <w:t>中共南雄市委宣传部</w:t>
            </w:r>
          </w:p>
        </w:tc>
      </w:tr>
      <w:tr w14:paraId="2506F2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D8135E1">
            <w:pPr>
              <w:pStyle w:val="12"/>
              <w:jc w:val="center"/>
            </w:pPr>
            <w:r>
              <w:rPr>
                <w:rFonts w:hint="eastAsia"/>
              </w:rPr>
              <w:t>踪韵</w:t>
            </w:r>
          </w:p>
        </w:tc>
        <w:tc>
          <w:tcPr>
            <w:tcW w:w="1250" w:type="pct"/>
            <w:vAlign w:val="center"/>
          </w:tcPr>
          <w:p w14:paraId="61F9C75D">
            <w:pPr>
              <w:pStyle w:val="12"/>
              <w:jc w:val="center"/>
            </w:pPr>
            <w:r>
              <w:rPr>
                <w:rFonts w:hint="eastAsia"/>
              </w:rPr>
              <w:t>郭盛森</w:t>
            </w:r>
          </w:p>
        </w:tc>
        <w:tc>
          <w:tcPr>
            <w:tcW w:w="1040" w:type="pct"/>
            <w:vAlign w:val="center"/>
          </w:tcPr>
          <w:p w14:paraId="1B5AD714">
            <w:pPr>
              <w:pStyle w:val="12"/>
              <w:jc w:val="center"/>
            </w:pPr>
            <w:r>
              <w:rPr>
                <w:rFonts w:hint="eastAsia"/>
              </w:rPr>
              <w:t>2002年6月</w:t>
            </w:r>
          </w:p>
        </w:tc>
        <w:tc>
          <w:tcPr>
            <w:tcW w:w="1460" w:type="pct"/>
            <w:vAlign w:val="center"/>
          </w:tcPr>
          <w:p w14:paraId="6076261D">
            <w:pPr>
              <w:pStyle w:val="12"/>
              <w:jc w:val="center"/>
            </w:pPr>
            <w:r>
              <w:rPr>
                <w:rFonts w:hint="eastAsia"/>
              </w:rPr>
              <w:t>南雄市政协文史资料委员会</w:t>
            </w:r>
          </w:p>
        </w:tc>
      </w:tr>
      <w:tr w14:paraId="4A11D1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075B4A8">
            <w:pPr>
              <w:pStyle w:val="12"/>
              <w:jc w:val="center"/>
            </w:pPr>
            <w:r>
              <w:rPr>
                <w:rFonts w:hint="eastAsia"/>
              </w:rPr>
              <w:t>浈凌漫谈</w:t>
            </w:r>
          </w:p>
        </w:tc>
        <w:tc>
          <w:tcPr>
            <w:tcW w:w="1250" w:type="pct"/>
            <w:vAlign w:val="center"/>
          </w:tcPr>
          <w:p w14:paraId="68CBD61E">
            <w:pPr>
              <w:pStyle w:val="12"/>
              <w:jc w:val="center"/>
            </w:pPr>
            <w:r>
              <w:rPr>
                <w:rFonts w:hint="eastAsia"/>
              </w:rPr>
              <w:t>罗凯燊</w:t>
            </w:r>
          </w:p>
        </w:tc>
        <w:tc>
          <w:tcPr>
            <w:tcW w:w="1040" w:type="pct"/>
            <w:vAlign w:val="center"/>
          </w:tcPr>
          <w:p w14:paraId="78253B8F">
            <w:pPr>
              <w:pStyle w:val="12"/>
              <w:jc w:val="center"/>
            </w:pPr>
            <w:r>
              <w:rPr>
                <w:rFonts w:hint="eastAsia"/>
              </w:rPr>
              <w:t>2003年1月</w:t>
            </w:r>
          </w:p>
        </w:tc>
        <w:tc>
          <w:tcPr>
            <w:tcW w:w="1460" w:type="pct"/>
            <w:vAlign w:val="center"/>
          </w:tcPr>
          <w:p w14:paraId="631D47B7">
            <w:pPr>
              <w:pStyle w:val="12"/>
              <w:jc w:val="center"/>
            </w:pPr>
            <w:r>
              <w:rPr>
                <w:rFonts w:hint="eastAsia"/>
              </w:rPr>
              <w:t>《南雄青年》编辑部</w:t>
            </w:r>
          </w:p>
        </w:tc>
      </w:tr>
      <w:tr w14:paraId="75E363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DA9D64C">
            <w:pPr>
              <w:pStyle w:val="12"/>
              <w:jc w:val="center"/>
            </w:pPr>
            <w:r>
              <w:rPr>
                <w:rFonts w:hint="eastAsia"/>
              </w:rPr>
              <w:t>文苑集萃</w:t>
            </w:r>
          </w:p>
        </w:tc>
        <w:tc>
          <w:tcPr>
            <w:tcW w:w="1250" w:type="pct"/>
            <w:vAlign w:val="center"/>
          </w:tcPr>
          <w:p w14:paraId="1772B63F">
            <w:pPr>
              <w:pStyle w:val="12"/>
              <w:jc w:val="center"/>
            </w:pPr>
            <w:r>
              <w:rPr>
                <w:rFonts w:hint="eastAsia"/>
              </w:rPr>
              <w:t>罗勇新</w:t>
            </w:r>
          </w:p>
        </w:tc>
        <w:tc>
          <w:tcPr>
            <w:tcW w:w="1040" w:type="pct"/>
            <w:vAlign w:val="center"/>
          </w:tcPr>
          <w:p w14:paraId="4FB84FA8">
            <w:pPr>
              <w:pStyle w:val="12"/>
              <w:jc w:val="center"/>
            </w:pPr>
            <w:r>
              <w:rPr>
                <w:rFonts w:hint="eastAsia"/>
              </w:rPr>
              <w:t>2003年12月</w:t>
            </w:r>
          </w:p>
        </w:tc>
        <w:tc>
          <w:tcPr>
            <w:tcW w:w="1460" w:type="pct"/>
            <w:vAlign w:val="center"/>
          </w:tcPr>
          <w:p w14:paraId="4700CA34">
            <w:pPr>
              <w:pStyle w:val="12"/>
              <w:jc w:val="center"/>
            </w:pPr>
            <w:r>
              <w:rPr>
                <w:rFonts w:hint="eastAsia"/>
              </w:rPr>
              <w:t>中共南雄委宣传部、南雄市文联</w:t>
            </w:r>
          </w:p>
        </w:tc>
      </w:tr>
      <w:tr w14:paraId="23675A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6CD4E231">
            <w:pPr>
              <w:pStyle w:val="12"/>
              <w:jc w:val="center"/>
            </w:pPr>
            <w:r>
              <w:rPr>
                <w:rFonts w:hint="eastAsia"/>
              </w:rPr>
              <w:t>敬黎阁诗草</w:t>
            </w:r>
          </w:p>
        </w:tc>
        <w:tc>
          <w:tcPr>
            <w:tcW w:w="1250" w:type="pct"/>
            <w:vAlign w:val="center"/>
          </w:tcPr>
          <w:p w14:paraId="3E097864">
            <w:pPr>
              <w:pStyle w:val="12"/>
              <w:jc w:val="center"/>
            </w:pPr>
            <w:r>
              <w:rPr>
                <w:rFonts w:hint="eastAsia"/>
              </w:rPr>
              <w:t>何会云</w:t>
            </w:r>
          </w:p>
        </w:tc>
        <w:tc>
          <w:tcPr>
            <w:tcW w:w="1040" w:type="pct"/>
            <w:vAlign w:val="center"/>
          </w:tcPr>
          <w:p w14:paraId="558785EB">
            <w:pPr>
              <w:pStyle w:val="12"/>
              <w:jc w:val="center"/>
            </w:pPr>
            <w:r>
              <w:rPr>
                <w:rFonts w:hint="eastAsia"/>
              </w:rPr>
              <w:t>2003年12月</w:t>
            </w:r>
          </w:p>
        </w:tc>
        <w:tc>
          <w:tcPr>
            <w:tcW w:w="1460" w:type="pct"/>
            <w:vAlign w:val="center"/>
          </w:tcPr>
          <w:p w14:paraId="6427B022">
            <w:pPr>
              <w:pStyle w:val="12"/>
              <w:jc w:val="center"/>
            </w:pPr>
            <w:r>
              <w:rPr>
                <w:rFonts w:hint="eastAsia"/>
              </w:rPr>
              <w:t>南雄市文联</w:t>
            </w:r>
          </w:p>
        </w:tc>
      </w:tr>
      <w:tr w14:paraId="5AE0E8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596C966F">
            <w:pPr>
              <w:pStyle w:val="12"/>
              <w:jc w:val="center"/>
            </w:pPr>
            <w:r>
              <w:rPr>
                <w:rFonts w:hint="eastAsia"/>
              </w:rPr>
              <w:t>山乡纪事</w:t>
            </w:r>
          </w:p>
        </w:tc>
        <w:tc>
          <w:tcPr>
            <w:tcW w:w="1250" w:type="pct"/>
            <w:vAlign w:val="center"/>
          </w:tcPr>
          <w:p w14:paraId="060D6BA2">
            <w:pPr>
              <w:pStyle w:val="12"/>
              <w:jc w:val="center"/>
            </w:pPr>
            <w:r>
              <w:rPr>
                <w:rFonts w:hint="eastAsia"/>
              </w:rPr>
              <w:t>罗凯燊</w:t>
            </w:r>
          </w:p>
        </w:tc>
        <w:tc>
          <w:tcPr>
            <w:tcW w:w="1040" w:type="pct"/>
            <w:vAlign w:val="center"/>
          </w:tcPr>
          <w:p w14:paraId="4CE46A81">
            <w:pPr>
              <w:pStyle w:val="12"/>
              <w:jc w:val="center"/>
            </w:pPr>
            <w:r>
              <w:rPr>
                <w:rFonts w:hint="eastAsia"/>
              </w:rPr>
              <w:t>2004年11月</w:t>
            </w:r>
          </w:p>
        </w:tc>
        <w:tc>
          <w:tcPr>
            <w:tcW w:w="1460" w:type="pct"/>
            <w:vAlign w:val="center"/>
          </w:tcPr>
          <w:p w14:paraId="5BBEDEC2">
            <w:pPr>
              <w:pStyle w:val="12"/>
              <w:jc w:val="center"/>
            </w:pPr>
            <w:r>
              <w:rPr>
                <w:rFonts w:hint="eastAsia"/>
              </w:rPr>
              <w:t>中国文联出版社</w:t>
            </w:r>
          </w:p>
        </w:tc>
      </w:tr>
      <w:tr w14:paraId="6D2AAE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A00DA58">
            <w:pPr>
              <w:pStyle w:val="12"/>
              <w:jc w:val="center"/>
            </w:pPr>
            <w:r>
              <w:rPr>
                <w:rFonts w:hint="eastAsia"/>
              </w:rPr>
              <w:t>梅岭史话</w:t>
            </w:r>
          </w:p>
        </w:tc>
        <w:tc>
          <w:tcPr>
            <w:tcW w:w="1250" w:type="pct"/>
            <w:vAlign w:val="center"/>
          </w:tcPr>
          <w:p w14:paraId="3F2FD4FE">
            <w:pPr>
              <w:pStyle w:val="12"/>
              <w:jc w:val="center"/>
            </w:pPr>
            <w:r>
              <w:rPr>
                <w:rFonts w:hint="eastAsia"/>
              </w:rPr>
              <w:t>罗凯燊</w:t>
            </w:r>
          </w:p>
        </w:tc>
        <w:tc>
          <w:tcPr>
            <w:tcW w:w="1040" w:type="pct"/>
            <w:vAlign w:val="center"/>
          </w:tcPr>
          <w:p w14:paraId="0D9919F2">
            <w:pPr>
              <w:pStyle w:val="12"/>
              <w:jc w:val="center"/>
            </w:pPr>
            <w:r>
              <w:rPr>
                <w:rFonts w:hint="eastAsia"/>
              </w:rPr>
              <w:t>2004年7月</w:t>
            </w:r>
          </w:p>
        </w:tc>
        <w:tc>
          <w:tcPr>
            <w:tcW w:w="1460" w:type="pct"/>
            <w:vAlign w:val="center"/>
          </w:tcPr>
          <w:p w14:paraId="2D305265">
            <w:pPr>
              <w:pStyle w:val="12"/>
              <w:jc w:val="center"/>
            </w:pPr>
            <w:r>
              <w:rPr>
                <w:rFonts w:hint="eastAsia"/>
              </w:rPr>
              <w:t>中国文化出版社</w:t>
            </w:r>
          </w:p>
        </w:tc>
      </w:tr>
    </w:tbl>
    <w:p w14:paraId="606A0AC0">
      <w:pPr>
        <w:ind w:firstLine="422"/>
        <w:rPr>
          <w:rFonts w:ascii="宋体" w:hAnsi="宋体" w:cs="宋体"/>
          <w:b/>
          <w:bCs/>
        </w:rPr>
      </w:pPr>
      <w:r>
        <w:rPr>
          <w:rFonts w:hint="eastAsia" w:ascii="宋体" w:hAnsi="宋体" w:cs="宋体"/>
          <w:b/>
          <w:bCs/>
        </w:rPr>
        <w:t>3.珠玑巷丛书书目</w:t>
      </w:r>
    </w:p>
    <w:p w14:paraId="67A67D1F">
      <w:pPr>
        <w:ind w:firstLine="422"/>
        <w:jc w:val="center"/>
        <w:rPr>
          <w:rFonts w:ascii="宋体" w:hAnsi="宋体" w:cs="宋体"/>
          <w:b/>
          <w:bCs/>
        </w:rPr>
      </w:pPr>
      <w:r>
        <w:rPr>
          <w:rFonts w:hint="eastAsia" w:ascii="宋体" w:hAnsi="宋体" w:cs="宋体"/>
          <w:b/>
          <w:bCs/>
        </w:rPr>
        <w:t>珠玑巷丛书书目（20种）</w:t>
      </w:r>
    </w:p>
    <w:p w14:paraId="7E16EC2A">
      <w:pPr>
        <w:ind w:firstLine="0" w:firstLineChars="0"/>
        <w:rPr>
          <w:rFonts w:ascii="宋体" w:hAnsi="宋体" w:cs="宋体"/>
          <w:b/>
          <w:bCs/>
        </w:rPr>
      </w:pPr>
      <w:r>
        <w:rPr>
          <w:rFonts w:hint="eastAsia" w:ascii="宋体" w:hAnsi="宋体" w:cs="宋体"/>
          <w:b/>
          <w:bCs/>
        </w:rPr>
        <w:t>表5-11</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013"/>
        <w:gridCol w:w="1968"/>
        <w:gridCol w:w="2088"/>
        <w:gridCol w:w="2893"/>
      </w:tblGrid>
      <w:tr w14:paraId="5CD445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2" w:type="pct"/>
            <w:vAlign w:val="center"/>
          </w:tcPr>
          <w:p w14:paraId="68534D4A">
            <w:pPr>
              <w:pStyle w:val="12"/>
              <w:jc w:val="center"/>
              <w:rPr>
                <w:b/>
              </w:rPr>
            </w:pPr>
            <w:r>
              <w:rPr>
                <w:rFonts w:hint="eastAsia"/>
                <w:b/>
              </w:rPr>
              <w:t>书名</w:t>
            </w:r>
          </w:p>
        </w:tc>
        <w:tc>
          <w:tcPr>
            <w:tcW w:w="988" w:type="pct"/>
            <w:vAlign w:val="center"/>
          </w:tcPr>
          <w:p w14:paraId="459FF974">
            <w:pPr>
              <w:pStyle w:val="12"/>
              <w:jc w:val="center"/>
              <w:rPr>
                <w:b/>
              </w:rPr>
            </w:pPr>
            <w:r>
              <w:rPr>
                <w:rFonts w:hint="eastAsia"/>
                <w:b/>
              </w:rPr>
              <w:t>作者或主编</w:t>
            </w:r>
          </w:p>
        </w:tc>
        <w:tc>
          <w:tcPr>
            <w:tcW w:w="1048" w:type="pct"/>
            <w:vAlign w:val="center"/>
          </w:tcPr>
          <w:p w14:paraId="2F92121C">
            <w:pPr>
              <w:pStyle w:val="12"/>
              <w:jc w:val="center"/>
              <w:rPr>
                <w:b/>
              </w:rPr>
            </w:pPr>
            <w:r>
              <w:rPr>
                <w:rFonts w:hint="eastAsia"/>
                <w:b/>
              </w:rPr>
              <w:t>出版时间</w:t>
            </w:r>
          </w:p>
        </w:tc>
        <w:tc>
          <w:tcPr>
            <w:tcW w:w="1453" w:type="pct"/>
            <w:vAlign w:val="center"/>
          </w:tcPr>
          <w:p w14:paraId="520D8529">
            <w:pPr>
              <w:pStyle w:val="12"/>
              <w:jc w:val="center"/>
              <w:rPr>
                <w:b/>
              </w:rPr>
            </w:pPr>
            <w:r>
              <w:rPr>
                <w:rFonts w:hint="eastAsia"/>
                <w:b/>
              </w:rPr>
              <w:t>编纂单位或出版单位</w:t>
            </w:r>
          </w:p>
        </w:tc>
      </w:tr>
      <w:tr w14:paraId="6F3996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2" w:type="pct"/>
            <w:vAlign w:val="center"/>
          </w:tcPr>
          <w:p w14:paraId="1F0EBB00">
            <w:pPr>
              <w:pStyle w:val="12"/>
              <w:jc w:val="left"/>
            </w:pPr>
            <w:r>
              <w:rPr>
                <w:rFonts w:hint="eastAsia"/>
              </w:rPr>
              <w:t>南雄珠玑巷人南迁史话</w:t>
            </w:r>
          </w:p>
        </w:tc>
        <w:tc>
          <w:tcPr>
            <w:tcW w:w="988" w:type="pct"/>
            <w:vAlign w:val="center"/>
          </w:tcPr>
          <w:p w14:paraId="7CE2BD18">
            <w:pPr>
              <w:pStyle w:val="12"/>
              <w:jc w:val="center"/>
            </w:pPr>
            <w:r>
              <w:rPr>
                <w:rFonts w:hint="eastAsia"/>
              </w:rPr>
              <w:t>吴述超</w:t>
            </w:r>
          </w:p>
        </w:tc>
        <w:tc>
          <w:tcPr>
            <w:tcW w:w="1048" w:type="pct"/>
            <w:vAlign w:val="center"/>
          </w:tcPr>
          <w:p w14:paraId="40C39761">
            <w:pPr>
              <w:pStyle w:val="12"/>
              <w:jc w:val="center"/>
            </w:pPr>
            <w:r>
              <w:rPr>
                <w:rFonts w:hint="eastAsia"/>
              </w:rPr>
              <w:t>1991年6月第一版1996年2月再版</w:t>
            </w:r>
          </w:p>
        </w:tc>
        <w:tc>
          <w:tcPr>
            <w:tcW w:w="1453" w:type="pct"/>
            <w:vAlign w:val="center"/>
          </w:tcPr>
          <w:p w14:paraId="3C63D43F">
            <w:pPr>
              <w:pStyle w:val="12"/>
              <w:jc w:val="left"/>
            </w:pPr>
            <w:r>
              <w:rPr>
                <w:rFonts w:hint="eastAsia"/>
              </w:rPr>
              <w:t>中山大学出版社</w:t>
            </w:r>
          </w:p>
        </w:tc>
      </w:tr>
      <w:tr w14:paraId="7647E9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2" w:type="pct"/>
            <w:vAlign w:val="center"/>
          </w:tcPr>
          <w:p w14:paraId="659E6A2B">
            <w:pPr>
              <w:pStyle w:val="12"/>
              <w:jc w:val="left"/>
            </w:pPr>
            <w:r>
              <w:rPr>
                <w:rFonts w:hint="eastAsia"/>
              </w:rPr>
              <w:t>珠玑巷南迁氏族谱·志选集</w:t>
            </w:r>
          </w:p>
        </w:tc>
        <w:tc>
          <w:tcPr>
            <w:tcW w:w="988" w:type="pct"/>
            <w:vAlign w:val="center"/>
          </w:tcPr>
          <w:p w14:paraId="53C2B96C">
            <w:pPr>
              <w:pStyle w:val="12"/>
              <w:jc w:val="center"/>
            </w:pPr>
            <w:r>
              <w:rPr>
                <w:rFonts w:hint="eastAsia"/>
              </w:rPr>
              <w:t>吴述超</w:t>
            </w:r>
          </w:p>
        </w:tc>
        <w:tc>
          <w:tcPr>
            <w:tcW w:w="1048" w:type="pct"/>
            <w:vAlign w:val="center"/>
          </w:tcPr>
          <w:p w14:paraId="16C7D4B6">
            <w:pPr>
              <w:pStyle w:val="12"/>
              <w:jc w:val="center"/>
            </w:pPr>
            <w:r>
              <w:rPr>
                <w:rFonts w:hint="eastAsia"/>
              </w:rPr>
              <w:t>1994年4月</w:t>
            </w:r>
          </w:p>
        </w:tc>
        <w:tc>
          <w:tcPr>
            <w:tcW w:w="1453" w:type="pct"/>
            <w:vAlign w:val="center"/>
          </w:tcPr>
          <w:p w14:paraId="583B0D1C">
            <w:pPr>
              <w:pStyle w:val="12"/>
              <w:jc w:val="left"/>
            </w:pPr>
            <w:r>
              <w:rPr>
                <w:rFonts w:hint="eastAsia"/>
              </w:rPr>
              <w:t>南雄县政协文史资料委员会、珠玑巷南迁后裔联谊会</w:t>
            </w:r>
          </w:p>
        </w:tc>
      </w:tr>
      <w:tr w14:paraId="11BC90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2" w:type="pct"/>
            <w:vAlign w:val="center"/>
          </w:tcPr>
          <w:p w14:paraId="78C35B75">
            <w:pPr>
              <w:pStyle w:val="12"/>
              <w:jc w:val="left"/>
            </w:pPr>
            <w:r>
              <w:rPr>
                <w:rFonts w:hint="eastAsia"/>
              </w:rPr>
              <w:t>珠玑巷南迁氏族谱·志选集（再版）</w:t>
            </w:r>
          </w:p>
        </w:tc>
        <w:tc>
          <w:tcPr>
            <w:tcW w:w="988" w:type="pct"/>
            <w:vAlign w:val="center"/>
          </w:tcPr>
          <w:p w14:paraId="793AF228">
            <w:pPr>
              <w:pStyle w:val="12"/>
              <w:jc w:val="center"/>
            </w:pPr>
            <w:r>
              <w:rPr>
                <w:rFonts w:hint="eastAsia"/>
              </w:rPr>
              <w:t>郭盛森</w:t>
            </w:r>
          </w:p>
        </w:tc>
        <w:tc>
          <w:tcPr>
            <w:tcW w:w="1048" w:type="pct"/>
            <w:vAlign w:val="center"/>
          </w:tcPr>
          <w:p w14:paraId="06F2E2F2">
            <w:pPr>
              <w:pStyle w:val="12"/>
              <w:jc w:val="center"/>
            </w:pPr>
            <w:r>
              <w:rPr>
                <w:rFonts w:hint="eastAsia"/>
              </w:rPr>
              <w:t>2003年2月</w:t>
            </w:r>
          </w:p>
        </w:tc>
        <w:tc>
          <w:tcPr>
            <w:tcW w:w="1453" w:type="pct"/>
            <w:vAlign w:val="center"/>
          </w:tcPr>
          <w:p w14:paraId="0BC9C924">
            <w:pPr>
              <w:pStyle w:val="12"/>
              <w:jc w:val="left"/>
            </w:pPr>
            <w:r>
              <w:rPr>
                <w:rFonts w:hint="eastAsia"/>
              </w:rPr>
              <w:t>同上</w:t>
            </w:r>
          </w:p>
        </w:tc>
      </w:tr>
      <w:tr w14:paraId="6CF137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2" w:type="pct"/>
            <w:vAlign w:val="center"/>
          </w:tcPr>
          <w:p w14:paraId="6EEE433D">
            <w:pPr>
              <w:pStyle w:val="12"/>
              <w:jc w:val="left"/>
            </w:pPr>
            <w:r>
              <w:rPr>
                <w:rFonts w:hint="eastAsia"/>
              </w:rPr>
              <w:t>宋代珠玑巷迁民与珠江三角洲农业发展</w:t>
            </w:r>
          </w:p>
        </w:tc>
        <w:tc>
          <w:tcPr>
            <w:tcW w:w="988" w:type="pct"/>
            <w:vAlign w:val="center"/>
          </w:tcPr>
          <w:p w14:paraId="56F4DD9F">
            <w:pPr>
              <w:pStyle w:val="12"/>
              <w:jc w:val="center"/>
            </w:pPr>
            <w:r>
              <w:rPr>
                <w:rFonts w:hint="eastAsia"/>
              </w:rPr>
              <w:t>曾昭璇、曾宪珊</w:t>
            </w:r>
          </w:p>
        </w:tc>
        <w:tc>
          <w:tcPr>
            <w:tcW w:w="1048" w:type="pct"/>
            <w:vAlign w:val="center"/>
          </w:tcPr>
          <w:p w14:paraId="6202F3C2">
            <w:pPr>
              <w:pStyle w:val="12"/>
              <w:jc w:val="center"/>
            </w:pPr>
            <w:r>
              <w:rPr>
                <w:rFonts w:hint="eastAsia"/>
              </w:rPr>
              <w:t>1995年5月</w:t>
            </w:r>
          </w:p>
        </w:tc>
        <w:tc>
          <w:tcPr>
            <w:tcW w:w="1453" w:type="pct"/>
            <w:vAlign w:val="center"/>
          </w:tcPr>
          <w:p w14:paraId="1926730C">
            <w:pPr>
              <w:pStyle w:val="12"/>
              <w:jc w:val="left"/>
            </w:pPr>
            <w:r>
              <w:rPr>
                <w:rFonts w:hint="eastAsia"/>
              </w:rPr>
              <w:t>暨南大学出版社</w:t>
            </w:r>
          </w:p>
        </w:tc>
      </w:tr>
      <w:tr w14:paraId="18D4F8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2" w:type="pct"/>
            <w:vAlign w:val="center"/>
          </w:tcPr>
          <w:p w14:paraId="1AF38BCD">
            <w:pPr>
              <w:pStyle w:val="12"/>
              <w:jc w:val="left"/>
            </w:pPr>
            <w:r>
              <w:rPr>
                <w:rFonts w:hint="eastAsia"/>
              </w:rPr>
              <w:t>南雄珠玑巷方言志</w:t>
            </w:r>
          </w:p>
        </w:tc>
        <w:tc>
          <w:tcPr>
            <w:tcW w:w="988" w:type="pct"/>
            <w:vAlign w:val="center"/>
          </w:tcPr>
          <w:p w14:paraId="6F80EDB1">
            <w:pPr>
              <w:pStyle w:val="12"/>
              <w:jc w:val="center"/>
            </w:pPr>
            <w:r>
              <w:rPr>
                <w:rFonts w:hint="eastAsia"/>
              </w:rPr>
              <w:t>林立芳、庄初升</w:t>
            </w:r>
          </w:p>
        </w:tc>
        <w:tc>
          <w:tcPr>
            <w:tcW w:w="1048" w:type="pct"/>
            <w:vAlign w:val="center"/>
          </w:tcPr>
          <w:p w14:paraId="66A4FCD2">
            <w:pPr>
              <w:pStyle w:val="12"/>
              <w:jc w:val="center"/>
            </w:pPr>
            <w:r>
              <w:rPr>
                <w:rFonts w:hint="eastAsia"/>
              </w:rPr>
              <w:t>1995年10月</w:t>
            </w:r>
          </w:p>
        </w:tc>
        <w:tc>
          <w:tcPr>
            <w:tcW w:w="1453" w:type="pct"/>
            <w:vAlign w:val="center"/>
          </w:tcPr>
          <w:p w14:paraId="17BF38B3">
            <w:pPr>
              <w:pStyle w:val="12"/>
              <w:jc w:val="left"/>
            </w:pPr>
            <w:r>
              <w:rPr>
                <w:rFonts w:hint="eastAsia"/>
              </w:rPr>
              <w:t>南雄县政协文史资料委员会、珠玑巷南迁后裔联谊会</w:t>
            </w:r>
          </w:p>
        </w:tc>
      </w:tr>
      <w:tr w14:paraId="5CD3D3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2" w:type="pct"/>
            <w:vAlign w:val="center"/>
          </w:tcPr>
          <w:p w14:paraId="206AD3D7">
            <w:pPr>
              <w:pStyle w:val="12"/>
              <w:jc w:val="left"/>
            </w:pPr>
            <w:r>
              <w:rPr>
                <w:rFonts w:hint="eastAsia"/>
              </w:rPr>
              <w:t>南雄珠玑巷移民的历史文化</w:t>
            </w:r>
          </w:p>
        </w:tc>
        <w:tc>
          <w:tcPr>
            <w:tcW w:w="988" w:type="pct"/>
            <w:vAlign w:val="center"/>
          </w:tcPr>
          <w:p w14:paraId="05E667A4">
            <w:pPr>
              <w:pStyle w:val="12"/>
              <w:jc w:val="center"/>
            </w:pPr>
            <w:r>
              <w:rPr>
                <w:rFonts w:hint="eastAsia"/>
              </w:rPr>
              <w:t>曾祥委、曾汉祥</w:t>
            </w:r>
          </w:p>
        </w:tc>
        <w:tc>
          <w:tcPr>
            <w:tcW w:w="1048" w:type="pct"/>
            <w:vAlign w:val="center"/>
          </w:tcPr>
          <w:p w14:paraId="7DFAE917">
            <w:pPr>
              <w:pStyle w:val="12"/>
              <w:jc w:val="center"/>
            </w:pPr>
            <w:r>
              <w:rPr>
                <w:rFonts w:hint="eastAsia"/>
              </w:rPr>
              <w:t>1995年10月</w:t>
            </w:r>
          </w:p>
        </w:tc>
        <w:tc>
          <w:tcPr>
            <w:tcW w:w="1453" w:type="pct"/>
            <w:vAlign w:val="center"/>
          </w:tcPr>
          <w:p w14:paraId="35952E14">
            <w:pPr>
              <w:pStyle w:val="12"/>
              <w:jc w:val="left"/>
            </w:pPr>
            <w:r>
              <w:rPr>
                <w:rFonts w:hint="eastAsia"/>
              </w:rPr>
              <w:t>同上</w:t>
            </w:r>
          </w:p>
        </w:tc>
      </w:tr>
      <w:tr w14:paraId="126210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2" w:type="pct"/>
            <w:vAlign w:val="center"/>
          </w:tcPr>
          <w:p w14:paraId="35446AB2">
            <w:pPr>
              <w:pStyle w:val="12"/>
              <w:jc w:val="left"/>
            </w:pPr>
            <w:r>
              <w:rPr>
                <w:rFonts w:hint="eastAsia"/>
              </w:rPr>
              <w:t>珠玑巷人迁移路线研究</w:t>
            </w:r>
          </w:p>
        </w:tc>
        <w:tc>
          <w:tcPr>
            <w:tcW w:w="988" w:type="pct"/>
            <w:vAlign w:val="center"/>
          </w:tcPr>
          <w:p w14:paraId="2194C5ED">
            <w:pPr>
              <w:pStyle w:val="12"/>
              <w:jc w:val="center"/>
            </w:pPr>
            <w:r>
              <w:rPr>
                <w:rFonts w:hint="eastAsia"/>
              </w:rPr>
              <w:t>曾昭璇</w:t>
            </w:r>
          </w:p>
        </w:tc>
        <w:tc>
          <w:tcPr>
            <w:tcW w:w="1048" w:type="pct"/>
            <w:vAlign w:val="center"/>
          </w:tcPr>
          <w:p w14:paraId="1ECFA587">
            <w:pPr>
              <w:pStyle w:val="12"/>
              <w:jc w:val="center"/>
            </w:pPr>
            <w:r>
              <w:rPr>
                <w:rFonts w:hint="eastAsia"/>
              </w:rPr>
              <w:t>1995年10月</w:t>
            </w:r>
          </w:p>
        </w:tc>
        <w:tc>
          <w:tcPr>
            <w:tcW w:w="1453" w:type="pct"/>
            <w:vAlign w:val="center"/>
          </w:tcPr>
          <w:p w14:paraId="291C40DE">
            <w:pPr>
              <w:pStyle w:val="12"/>
              <w:jc w:val="left"/>
            </w:pPr>
            <w:r>
              <w:rPr>
                <w:rFonts w:hint="eastAsia"/>
              </w:rPr>
              <w:t>同上</w:t>
            </w:r>
          </w:p>
        </w:tc>
      </w:tr>
      <w:tr w14:paraId="6B9064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2" w:type="pct"/>
            <w:vAlign w:val="center"/>
          </w:tcPr>
          <w:p w14:paraId="0AEBE320">
            <w:pPr>
              <w:pStyle w:val="12"/>
              <w:jc w:val="left"/>
            </w:pPr>
            <w:r>
              <w:rPr>
                <w:rFonts w:hint="eastAsia"/>
              </w:rPr>
              <w:t>珠玑巷传奇</w:t>
            </w:r>
          </w:p>
        </w:tc>
        <w:tc>
          <w:tcPr>
            <w:tcW w:w="988" w:type="pct"/>
            <w:vAlign w:val="center"/>
          </w:tcPr>
          <w:p w14:paraId="3C25C626">
            <w:pPr>
              <w:pStyle w:val="12"/>
              <w:jc w:val="center"/>
            </w:pPr>
            <w:r>
              <w:rPr>
                <w:rFonts w:hint="eastAsia"/>
              </w:rPr>
              <w:t>李大傻</w:t>
            </w:r>
          </w:p>
        </w:tc>
        <w:tc>
          <w:tcPr>
            <w:tcW w:w="1048" w:type="pct"/>
            <w:vAlign w:val="center"/>
          </w:tcPr>
          <w:p w14:paraId="2AB80E27">
            <w:pPr>
              <w:pStyle w:val="12"/>
              <w:jc w:val="center"/>
            </w:pPr>
            <w:r>
              <w:rPr>
                <w:rFonts w:hint="eastAsia"/>
              </w:rPr>
              <w:t>1995年7月</w:t>
            </w:r>
          </w:p>
        </w:tc>
        <w:tc>
          <w:tcPr>
            <w:tcW w:w="1453" w:type="pct"/>
            <w:vAlign w:val="center"/>
          </w:tcPr>
          <w:p w14:paraId="1E790A66">
            <w:pPr>
              <w:pStyle w:val="12"/>
              <w:jc w:val="left"/>
            </w:pPr>
            <w:r>
              <w:rPr>
                <w:rFonts w:hint="eastAsia"/>
              </w:rPr>
              <w:t>同上</w:t>
            </w:r>
          </w:p>
        </w:tc>
      </w:tr>
      <w:tr w14:paraId="0445A7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2" w:type="pct"/>
            <w:vAlign w:val="center"/>
          </w:tcPr>
          <w:p w14:paraId="45158DD6">
            <w:pPr>
              <w:pStyle w:val="12"/>
              <w:jc w:val="left"/>
            </w:pPr>
            <w:r>
              <w:rPr>
                <w:rFonts w:hint="eastAsia"/>
              </w:rPr>
              <w:t>魂牵珠玑巷</w:t>
            </w:r>
          </w:p>
        </w:tc>
        <w:tc>
          <w:tcPr>
            <w:tcW w:w="988" w:type="pct"/>
            <w:vAlign w:val="center"/>
          </w:tcPr>
          <w:p w14:paraId="0F03F281">
            <w:pPr>
              <w:pStyle w:val="12"/>
              <w:jc w:val="center"/>
            </w:pPr>
            <w:r>
              <w:rPr>
                <w:rFonts w:hint="eastAsia"/>
              </w:rPr>
              <w:t>陈中秋、潘邦榛</w:t>
            </w:r>
          </w:p>
        </w:tc>
        <w:tc>
          <w:tcPr>
            <w:tcW w:w="1048" w:type="pct"/>
            <w:vAlign w:val="center"/>
          </w:tcPr>
          <w:p w14:paraId="1C93C17E">
            <w:pPr>
              <w:pStyle w:val="12"/>
              <w:jc w:val="center"/>
            </w:pPr>
            <w:r>
              <w:rPr>
                <w:rFonts w:hint="eastAsia"/>
              </w:rPr>
              <w:t>1995年7月</w:t>
            </w:r>
          </w:p>
        </w:tc>
        <w:tc>
          <w:tcPr>
            <w:tcW w:w="1453" w:type="pct"/>
            <w:vAlign w:val="center"/>
          </w:tcPr>
          <w:p w14:paraId="74296A72">
            <w:pPr>
              <w:pStyle w:val="12"/>
              <w:jc w:val="left"/>
            </w:pPr>
            <w:r>
              <w:rPr>
                <w:rFonts w:hint="eastAsia"/>
              </w:rPr>
              <w:t>花城出版社</w:t>
            </w:r>
          </w:p>
        </w:tc>
      </w:tr>
      <w:tr w14:paraId="592E50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2" w:type="pct"/>
            <w:vAlign w:val="center"/>
          </w:tcPr>
          <w:p w14:paraId="7C0BB135">
            <w:pPr>
              <w:pStyle w:val="12"/>
              <w:jc w:val="left"/>
            </w:pPr>
            <w:r>
              <w:rPr>
                <w:rFonts w:hint="eastAsia"/>
              </w:rPr>
              <w:t>珠玑吟</w:t>
            </w:r>
          </w:p>
        </w:tc>
        <w:tc>
          <w:tcPr>
            <w:tcW w:w="988" w:type="pct"/>
            <w:vAlign w:val="center"/>
          </w:tcPr>
          <w:p w14:paraId="1701486D">
            <w:pPr>
              <w:pStyle w:val="12"/>
              <w:jc w:val="center"/>
            </w:pPr>
            <w:r>
              <w:rPr>
                <w:rFonts w:hint="eastAsia"/>
              </w:rPr>
              <w:t>吴述超</w:t>
            </w:r>
          </w:p>
        </w:tc>
        <w:tc>
          <w:tcPr>
            <w:tcW w:w="1048" w:type="pct"/>
            <w:vAlign w:val="center"/>
          </w:tcPr>
          <w:p w14:paraId="17B05E70">
            <w:pPr>
              <w:pStyle w:val="12"/>
              <w:jc w:val="center"/>
            </w:pPr>
            <w:r>
              <w:rPr>
                <w:rFonts w:hint="eastAsia"/>
              </w:rPr>
              <w:t>1995年10月</w:t>
            </w:r>
          </w:p>
        </w:tc>
        <w:tc>
          <w:tcPr>
            <w:tcW w:w="1453" w:type="pct"/>
            <w:vAlign w:val="center"/>
          </w:tcPr>
          <w:p w14:paraId="4DBD78D9">
            <w:pPr>
              <w:pStyle w:val="12"/>
              <w:jc w:val="left"/>
            </w:pPr>
            <w:r>
              <w:rPr>
                <w:rFonts w:hint="eastAsia"/>
              </w:rPr>
              <w:t>同上</w:t>
            </w:r>
          </w:p>
        </w:tc>
      </w:tr>
      <w:tr w14:paraId="162938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2" w:type="pct"/>
            <w:vAlign w:val="center"/>
          </w:tcPr>
          <w:p w14:paraId="0FE63101">
            <w:pPr>
              <w:pStyle w:val="12"/>
              <w:jc w:val="left"/>
            </w:pPr>
            <w:r>
              <w:rPr>
                <w:rFonts w:hint="eastAsia"/>
              </w:rPr>
              <w:t>珠玑巷古今</w:t>
            </w:r>
          </w:p>
        </w:tc>
        <w:tc>
          <w:tcPr>
            <w:tcW w:w="988" w:type="pct"/>
            <w:vAlign w:val="center"/>
          </w:tcPr>
          <w:p w14:paraId="2F3CF1C0">
            <w:pPr>
              <w:pStyle w:val="12"/>
              <w:jc w:val="center"/>
            </w:pPr>
            <w:r>
              <w:rPr>
                <w:rFonts w:hint="eastAsia"/>
              </w:rPr>
              <w:t>刘兴洲</w:t>
            </w:r>
          </w:p>
        </w:tc>
        <w:tc>
          <w:tcPr>
            <w:tcW w:w="1048" w:type="pct"/>
            <w:vAlign w:val="center"/>
          </w:tcPr>
          <w:p w14:paraId="710B04F6">
            <w:pPr>
              <w:pStyle w:val="12"/>
              <w:jc w:val="center"/>
            </w:pPr>
            <w:r>
              <w:rPr>
                <w:rFonts w:hint="eastAsia"/>
              </w:rPr>
              <w:t>1995年10月</w:t>
            </w:r>
          </w:p>
        </w:tc>
        <w:tc>
          <w:tcPr>
            <w:tcW w:w="1453" w:type="pct"/>
            <w:vAlign w:val="center"/>
          </w:tcPr>
          <w:p w14:paraId="1E34D5E4">
            <w:pPr>
              <w:pStyle w:val="12"/>
              <w:jc w:val="left"/>
            </w:pPr>
            <w:r>
              <w:rPr>
                <w:rFonts w:hint="eastAsia"/>
              </w:rPr>
              <w:t>南雄县政协文史资料委员会、珠玑巷南迁后裔联谊会</w:t>
            </w:r>
          </w:p>
        </w:tc>
      </w:tr>
      <w:tr w14:paraId="216C9B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2" w:type="pct"/>
            <w:vAlign w:val="center"/>
          </w:tcPr>
          <w:p w14:paraId="7CA4A7F6">
            <w:pPr>
              <w:pStyle w:val="12"/>
              <w:jc w:val="left"/>
            </w:pPr>
            <w:r>
              <w:rPr>
                <w:rFonts w:hint="eastAsia"/>
              </w:rPr>
              <w:t>珠玑巷传奇与掌故</w:t>
            </w:r>
          </w:p>
        </w:tc>
        <w:tc>
          <w:tcPr>
            <w:tcW w:w="988" w:type="pct"/>
            <w:vAlign w:val="center"/>
          </w:tcPr>
          <w:p w14:paraId="427C05AD">
            <w:pPr>
              <w:pStyle w:val="12"/>
              <w:jc w:val="center"/>
            </w:pPr>
            <w:r>
              <w:rPr>
                <w:rFonts w:hint="eastAsia"/>
              </w:rPr>
              <w:t>陈摩人、彭祖熙</w:t>
            </w:r>
          </w:p>
        </w:tc>
        <w:tc>
          <w:tcPr>
            <w:tcW w:w="1048" w:type="pct"/>
            <w:vAlign w:val="center"/>
          </w:tcPr>
          <w:p w14:paraId="12585D31">
            <w:pPr>
              <w:pStyle w:val="12"/>
              <w:jc w:val="center"/>
            </w:pPr>
            <w:r>
              <w:rPr>
                <w:rFonts w:hint="eastAsia"/>
              </w:rPr>
              <w:t>2001年10月</w:t>
            </w:r>
          </w:p>
        </w:tc>
        <w:tc>
          <w:tcPr>
            <w:tcW w:w="1453" w:type="pct"/>
            <w:vAlign w:val="center"/>
          </w:tcPr>
          <w:p w14:paraId="6FB52F8C">
            <w:pPr>
              <w:pStyle w:val="12"/>
              <w:jc w:val="left"/>
            </w:pPr>
            <w:r>
              <w:rPr>
                <w:rFonts w:hint="eastAsia"/>
              </w:rPr>
              <w:t>花城出版社</w:t>
            </w:r>
          </w:p>
        </w:tc>
      </w:tr>
      <w:tr w14:paraId="560A24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2" w:type="pct"/>
            <w:vAlign w:val="center"/>
          </w:tcPr>
          <w:p w14:paraId="213F0962">
            <w:pPr>
              <w:pStyle w:val="12"/>
              <w:jc w:val="left"/>
            </w:pPr>
            <w:r>
              <w:rPr>
                <w:rFonts w:hint="eastAsia"/>
              </w:rPr>
              <w:t>霍氏源流（珠玑巷）</w:t>
            </w:r>
          </w:p>
        </w:tc>
        <w:tc>
          <w:tcPr>
            <w:tcW w:w="988" w:type="pct"/>
            <w:vAlign w:val="center"/>
          </w:tcPr>
          <w:p w14:paraId="5227A783">
            <w:pPr>
              <w:pStyle w:val="12"/>
              <w:jc w:val="center"/>
            </w:pPr>
            <w:r>
              <w:rPr>
                <w:rFonts w:hint="eastAsia"/>
              </w:rPr>
              <w:t>刘兴洲、张熊</w:t>
            </w:r>
          </w:p>
        </w:tc>
        <w:tc>
          <w:tcPr>
            <w:tcW w:w="1048" w:type="pct"/>
            <w:vAlign w:val="center"/>
          </w:tcPr>
          <w:p w14:paraId="617C46B6">
            <w:pPr>
              <w:pStyle w:val="12"/>
              <w:jc w:val="center"/>
            </w:pPr>
            <w:r>
              <w:rPr>
                <w:rFonts w:hint="eastAsia"/>
              </w:rPr>
              <w:t>1998年9月</w:t>
            </w:r>
          </w:p>
        </w:tc>
        <w:tc>
          <w:tcPr>
            <w:tcW w:w="1453" w:type="pct"/>
            <w:vAlign w:val="center"/>
          </w:tcPr>
          <w:p w14:paraId="363A9DE1">
            <w:pPr>
              <w:pStyle w:val="12"/>
              <w:jc w:val="left"/>
            </w:pPr>
            <w:r>
              <w:rPr>
                <w:rFonts w:hint="eastAsia"/>
              </w:rPr>
              <w:t>南雄市政协文史资料委员会、珠玑巷后裔联谊会</w:t>
            </w:r>
          </w:p>
        </w:tc>
      </w:tr>
      <w:tr w14:paraId="2A251C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2" w:type="pct"/>
            <w:vAlign w:val="center"/>
          </w:tcPr>
          <w:p w14:paraId="7E34BA8B">
            <w:pPr>
              <w:pStyle w:val="12"/>
              <w:jc w:val="left"/>
            </w:pPr>
            <w:r>
              <w:rPr>
                <w:rFonts w:hint="eastAsia"/>
              </w:rPr>
              <w:t>罗氏源流（珠玑巷）</w:t>
            </w:r>
          </w:p>
        </w:tc>
        <w:tc>
          <w:tcPr>
            <w:tcW w:w="988" w:type="pct"/>
            <w:vAlign w:val="center"/>
          </w:tcPr>
          <w:p w14:paraId="37E266ED">
            <w:pPr>
              <w:pStyle w:val="12"/>
              <w:jc w:val="center"/>
            </w:pPr>
            <w:r>
              <w:rPr>
                <w:rFonts w:hint="eastAsia"/>
              </w:rPr>
              <w:t>张熊、刘兴洲</w:t>
            </w:r>
          </w:p>
        </w:tc>
        <w:tc>
          <w:tcPr>
            <w:tcW w:w="1048" w:type="pct"/>
            <w:vAlign w:val="center"/>
          </w:tcPr>
          <w:p w14:paraId="0BD4367F">
            <w:pPr>
              <w:pStyle w:val="12"/>
              <w:jc w:val="center"/>
            </w:pPr>
            <w:r>
              <w:rPr>
                <w:rFonts w:hint="eastAsia"/>
              </w:rPr>
              <w:t>1998年9月</w:t>
            </w:r>
          </w:p>
        </w:tc>
        <w:tc>
          <w:tcPr>
            <w:tcW w:w="1453" w:type="pct"/>
            <w:vAlign w:val="center"/>
          </w:tcPr>
          <w:p w14:paraId="2ECCB815">
            <w:pPr>
              <w:pStyle w:val="12"/>
              <w:jc w:val="left"/>
            </w:pPr>
            <w:r>
              <w:rPr>
                <w:rFonts w:hint="eastAsia"/>
              </w:rPr>
              <w:t>同上</w:t>
            </w:r>
          </w:p>
        </w:tc>
      </w:tr>
      <w:tr w14:paraId="7BAE03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2" w:type="pct"/>
            <w:vAlign w:val="center"/>
          </w:tcPr>
          <w:p w14:paraId="28674E2E">
            <w:pPr>
              <w:pStyle w:val="12"/>
              <w:jc w:val="left"/>
            </w:pPr>
            <w:r>
              <w:rPr>
                <w:rFonts w:hint="eastAsia"/>
              </w:rPr>
              <w:t>何氏源流（珠玑巷）</w:t>
            </w:r>
          </w:p>
        </w:tc>
        <w:tc>
          <w:tcPr>
            <w:tcW w:w="988" w:type="pct"/>
            <w:vAlign w:val="center"/>
          </w:tcPr>
          <w:p w14:paraId="692BE605">
            <w:pPr>
              <w:pStyle w:val="12"/>
              <w:jc w:val="center"/>
            </w:pPr>
            <w:r>
              <w:rPr>
                <w:rFonts w:hint="eastAsia"/>
              </w:rPr>
              <w:t>庄子圣</w:t>
            </w:r>
          </w:p>
        </w:tc>
        <w:tc>
          <w:tcPr>
            <w:tcW w:w="1048" w:type="pct"/>
            <w:vAlign w:val="center"/>
          </w:tcPr>
          <w:p w14:paraId="1E959169">
            <w:pPr>
              <w:pStyle w:val="12"/>
              <w:jc w:val="center"/>
            </w:pPr>
            <w:r>
              <w:rPr>
                <w:rFonts w:hint="eastAsia"/>
              </w:rPr>
              <w:t>1998年10月</w:t>
            </w:r>
          </w:p>
        </w:tc>
        <w:tc>
          <w:tcPr>
            <w:tcW w:w="1453" w:type="pct"/>
            <w:vAlign w:val="center"/>
          </w:tcPr>
          <w:p w14:paraId="512E734B">
            <w:pPr>
              <w:pStyle w:val="12"/>
              <w:jc w:val="left"/>
            </w:pPr>
            <w:r>
              <w:rPr>
                <w:rFonts w:hint="eastAsia"/>
              </w:rPr>
              <w:t>同上</w:t>
            </w:r>
          </w:p>
        </w:tc>
      </w:tr>
      <w:tr w14:paraId="1DBDD2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2" w:type="pct"/>
            <w:vAlign w:val="center"/>
          </w:tcPr>
          <w:p w14:paraId="482DB9AC">
            <w:pPr>
              <w:pStyle w:val="12"/>
              <w:jc w:val="left"/>
            </w:pPr>
            <w:r>
              <w:rPr>
                <w:rFonts w:hint="eastAsia"/>
              </w:rPr>
              <w:t>黄氏源流（珠玑巷）</w:t>
            </w:r>
          </w:p>
        </w:tc>
        <w:tc>
          <w:tcPr>
            <w:tcW w:w="988" w:type="pct"/>
            <w:vAlign w:val="center"/>
          </w:tcPr>
          <w:p w14:paraId="5C241EC7">
            <w:pPr>
              <w:pStyle w:val="12"/>
              <w:jc w:val="center"/>
            </w:pPr>
            <w:r>
              <w:rPr>
                <w:rFonts w:hint="eastAsia"/>
              </w:rPr>
              <w:t>庄子圣</w:t>
            </w:r>
          </w:p>
        </w:tc>
        <w:tc>
          <w:tcPr>
            <w:tcW w:w="1048" w:type="pct"/>
            <w:vAlign w:val="center"/>
          </w:tcPr>
          <w:p w14:paraId="5B438B45">
            <w:pPr>
              <w:pStyle w:val="12"/>
              <w:jc w:val="center"/>
            </w:pPr>
            <w:r>
              <w:rPr>
                <w:rFonts w:hint="eastAsia"/>
              </w:rPr>
              <w:t>1998年10月</w:t>
            </w:r>
          </w:p>
        </w:tc>
        <w:tc>
          <w:tcPr>
            <w:tcW w:w="1453" w:type="pct"/>
            <w:vAlign w:val="center"/>
          </w:tcPr>
          <w:p w14:paraId="759294A4">
            <w:pPr>
              <w:pStyle w:val="12"/>
              <w:jc w:val="left"/>
            </w:pPr>
            <w:r>
              <w:rPr>
                <w:rFonts w:hint="eastAsia"/>
              </w:rPr>
              <w:t>同上</w:t>
            </w:r>
          </w:p>
        </w:tc>
      </w:tr>
      <w:tr w14:paraId="439891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2" w:type="pct"/>
            <w:vAlign w:val="center"/>
          </w:tcPr>
          <w:p w14:paraId="31A10C85">
            <w:pPr>
              <w:pStyle w:val="12"/>
              <w:jc w:val="left"/>
            </w:pPr>
            <w:r>
              <w:rPr>
                <w:rFonts w:hint="eastAsia"/>
              </w:rPr>
              <w:t>吴氏源流（珠玑巷）</w:t>
            </w:r>
          </w:p>
        </w:tc>
        <w:tc>
          <w:tcPr>
            <w:tcW w:w="988" w:type="pct"/>
            <w:vAlign w:val="center"/>
          </w:tcPr>
          <w:p w14:paraId="157A3E9C">
            <w:pPr>
              <w:pStyle w:val="12"/>
              <w:jc w:val="center"/>
            </w:pPr>
            <w:r>
              <w:rPr>
                <w:rFonts w:hint="eastAsia"/>
              </w:rPr>
              <w:t>吴维斯</w:t>
            </w:r>
          </w:p>
        </w:tc>
        <w:tc>
          <w:tcPr>
            <w:tcW w:w="1048" w:type="pct"/>
            <w:vAlign w:val="center"/>
          </w:tcPr>
          <w:p w14:paraId="439A5D30">
            <w:pPr>
              <w:pStyle w:val="12"/>
              <w:jc w:val="center"/>
            </w:pPr>
            <w:r>
              <w:rPr>
                <w:rFonts w:hint="eastAsia"/>
              </w:rPr>
              <w:t>1998年10月</w:t>
            </w:r>
          </w:p>
        </w:tc>
        <w:tc>
          <w:tcPr>
            <w:tcW w:w="1453" w:type="pct"/>
            <w:vAlign w:val="center"/>
          </w:tcPr>
          <w:p w14:paraId="1F741191">
            <w:pPr>
              <w:pStyle w:val="12"/>
              <w:jc w:val="left"/>
            </w:pPr>
            <w:r>
              <w:rPr>
                <w:rFonts w:hint="eastAsia"/>
              </w:rPr>
              <w:t>同上</w:t>
            </w:r>
          </w:p>
        </w:tc>
      </w:tr>
      <w:tr w14:paraId="16DA5D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2" w:type="pct"/>
            <w:vAlign w:val="center"/>
          </w:tcPr>
          <w:p w14:paraId="3D8180EF">
            <w:pPr>
              <w:pStyle w:val="12"/>
              <w:jc w:val="left"/>
            </w:pPr>
            <w:r>
              <w:rPr>
                <w:rFonts w:hint="eastAsia"/>
              </w:rPr>
              <w:t>刘氏源流</w:t>
            </w:r>
          </w:p>
        </w:tc>
        <w:tc>
          <w:tcPr>
            <w:tcW w:w="988" w:type="pct"/>
            <w:vAlign w:val="center"/>
          </w:tcPr>
          <w:p w14:paraId="6981E6F0">
            <w:pPr>
              <w:pStyle w:val="12"/>
              <w:jc w:val="center"/>
            </w:pPr>
            <w:r>
              <w:rPr>
                <w:rFonts w:hint="eastAsia"/>
              </w:rPr>
              <w:t>刘兴洲</w:t>
            </w:r>
          </w:p>
        </w:tc>
        <w:tc>
          <w:tcPr>
            <w:tcW w:w="1048" w:type="pct"/>
            <w:vAlign w:val="center"/>
          </w:tcPr>
          <w:p w14:paraId="704D22CC">
            <w:pPr>
              <w:pStyle w:val="12"/>
              <w:jc w:val="center"/>
            </w:pPr>
            <w:r>
              <w:rPr>
                <w:rFonts w:hint="eastAsia"/>
              </w:rPr>
              <w:t>1999年1月</w:t>
            </w:r>
          </w:p>
        </w:tc>
        <w:tc>
          <w:tcPr>
            <w:tcW w:w="1453" w:type="pct"/>
            <w:vAlign w:val="center"/>
          </w:tcPr>
          <w:p w14:paraId="4590496E">
            <w:pPr>
              <w:pStyle w:val="12"/>
              <w:jc w:val="left"/>
            </w:pPr>
            <w:r>
              <w:rPr>
                <w:rFonts w:hint="eastAsia"/>
              </w:rPr>
              <w:t>南雄珠玑巷后裔刘氏联谊会</w:t>
            </w:r>
          </w:p>
        </w:tc>
      </w:tr>
      <w:tr w14:paraId="5DF5F3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2" w:type="pct"/>
            <w:vAlign w:val="center"/>
          </w:tcPr>
          <w:p w14:paraId="708D5D94">
            <w:pPr>
              <w:pStyle w:val="12"/>
              <w:jc w:val="left"/>
            </w:pPr>
            <w:r>
              <w:rPr>
                <w:rFonts w:hint="eastAsia"/>
              </w:rPr>
              <w:t>珠玑巷邓氏族史</w:t>
            </w:r>
          </w:p>
        </w:tc>
        <w:tc>
          <w:tcPr>
            <w:tcW w:w="988" w:type="pct"/>
            <w:vAlign w:val="center"/>
          </w:tcPr>
          <w:p w14:paraId="6B0A54DC">
            <w:pPr>
              <w:pStyle w:val="12"/>
              <w:jc w:val="center"/>
            </w:pPr>
            <w:r>
              <w:rPr>
                <w:rFonts w:hint="eastAsia"/>
              </w:rPr>
              <w:t>邓衔富</w:t>
            </w:r>
          </w:p>
        </w:tc>
        <w:tc>
          <w:tcPr>
            <w:tcW w:w="1048" w:type="pct"/>
            <w:vAlign w:val="center"/>
          </w:tcPr>
          <w:p w14:paraId="47BC23B2">
            <w:pPr>
              <w:pStyle w:val="12"/>
              <w:jc w:val="center"/>
            </w:pPr>
            <w:r>
              <w:rPr>
                <w:rFonts w:hint="eastAsia"/>
              </w:rPr>
              <w:t>1999年8月</w:t>
            </w:r>
          </w:p>
        </w:tc>
        <w:tc>
          <w:tcPr>
            <w:tcW w:w="1453" w:type="pct"/>
            <w:vAlign w:val="center"/>
          </w:tcPr>
          <w:p w14:paraId="5EC666A1">
            <w:pPr>
              <w:pStyle w:val="12"/>
              <w:jc w:val="left"/>
            </w:pPr>
            <w:r>
              <w:rPr>
                <w:rFonts w:hint="eastAsia"/>
              </w:rPr>
              <w:t>南雄珠玑巷后裔邓氏联谊会</w:t>
            </w:r>
          </w:p>
        </w:tc>
      </w:tr>
      <w:tr w14:paraId="2EB324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2" w:type="pct"/>
            <w:vAlign w:val="center"/>
          </w:tcPr>
          <w:p w14:paraId="6B68B2F4">
            <w:pPr>
              <w:pStyle w:val="12"/>
              <w:jc w:val="left"/>
            </w:pPr>
            <w:r>
              <w:rPr>
                <w:rFonts w:hint="eastAsia"/>
              </w:rPr>
              <w:t>宋珠玑巷罗贵家南迁记</w:t>
            </w:r>
          </w:p>
        </w:tc>
        <w:tc>
          <w:tcPr>
            <w:tcW w:w="988" w:type="pct"/>
            <w:vAlign w:val="center"/>
          </w:tcPr>
          <w:p w14:paraId="2D17C59F">
            <w:pPr>
              <w:pStyle w:val="12"/>
              <w:jc w:val="center"/>
            </w:pPr>
            <w:r>
              <w:rPr>
                <w:rFonts w:hint="eastAsia"/>
              </w:rPr>
              <w:t>曾昭璇  曾宪纬曾宪珊</w:t>
            </w:r>
          </w:p>
        </w:tc>
        <w:tc>
          <w:tcPr>
            <w:tcW w:w="1048" w:type="pct"/>
            <w:vAlign w:val="center"/>
          </w:tcPr>
          <w:p w14:paraId="2BAF658E">
            <w:pPr>
              <w:pStyle w:val="12"/>
              <w:jc w:val="center"/>
            </w:pPr>
            <w:r>
              <w:rPr>
                <w:rFonts w:hint="eastAsia"/>
              </w:rPr>
              <w:t>2002年5月</w:t>
            </w:r>
          </w:p>
        </w:tc>
        <w:tc>
          <w:tcPr>
            <w:tcW w:w="1453" w:type="pct"/>
            <w:vAlign w:val="center"/>
          </w:tcPr>
          <w:p w14:paraId="3A937BBC">
            <w:pPr>
              <w:pStyle w:val="12"/>
              <w:jc w:val="left"/>
            </w:pPr>
            <w:r>
              <w:rPr>
                <w:rFonts w:hint="eastAsia"/>
              </w:rPr>
              <w:t>南雄市政协文史资料委员会、珠玑巷后裔联谊会</w:t>
            </w:r>
          </w:p>
        </w:tc>
      </w:tr>
    </w:tbl>
    <w:p w14:paraId="1CE47764">
      <w:pPr>
        <w:ind w:firstLine="422"/>
        <w:rPr>
          <w:rFonts w:ascii="宋体" w:hAnsi="宋体" w:cs="宋体"/>
          <w:b/>
          <w:bCs/>
        </w:rPr>
      </w:pPr>
      <w:r>
        <w:rPr>
          <w:rFonts w:hint="eastAsia" w:ascii="宋体" w:hAnsi="宋体" w:cs="宋体"/>
          <w:b/>
          <w:bCs/>
        </w:rPr>
        <w:t>4.学术专著书目</w:t>
      </w:r>
    </w:p>
    <w:p w14:paraId="6E0E0003">
      <w:pPr>
        <w:ind w:firstLine="422"/>
        <w:jc w:val="center"/>
        <w:rPr>
          <w:rFonts w:ascii="宋体" w:hAnsi="宋体" w:cs="宋体"/>
          <w:b/>
          <w:bCs/>
        </w:rPr>
      </w:pPr>
      <w:r>
        <w:rPr>
          <w:rFonts w:hint="eastAsia" w:ascii="宋体" w:hAnsi="宋体" w:cs="宋体"/>
          <w:b/>
          <w:bCs/>
        </w:rPr>
        <w:t>学术专著书目（8种）</w:t>
      </w:r>
    </w:p>
    <w:p w14:paraId="5335F388">
      <w:pPr>
        <w:ind w:firstLine="0" w:firstLineChars="0"/>
        <w:rPr>
          <w:rFonts w:ascii="宋体" w:hAnsi="宋体" w:cs="宋体"/>
          <w:b/>
          <w:bCs/>
        </w:rPr>
      </w:pPr>
      <w:r>
        <w:rPr>
          <w:rFonts w:hint="eastAsia" w:ascii="宋体" w:hAnsi="宋体" w:cs="宋体"/>
          <w:b/>
          <w:bCs/>
        </w:rPr>
        <w:t>表5-12</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892"/>
        <w:gridCol w:w="1949"/>
        <w:gridCol w:w="1686"/>
        <w:gridCol w:w="2435"/>
      </w:tblGrid>
      <w:tr w14:paraId="7424DB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53" w:type="pct"/>
            <w:vAlign w:val="center"/>
          </w:tcPr>
          <w:p w14:paraId="1CF65EEF">
            <w:pPr>
              <w:pStyle w:val="12"/>
              <w:jc w:val="center"/>
              <w:rPr>
                <w:b/>
              </w:rPr>
            </w:pPr>
            <w:r>
              <w:rPr>
                <w:rFonts w:hint="eastAsia"/>
                <w:b/>
              </w:rPr>
              <w:t>书  名</w:t>
            </w:r>
          </w:p>
        </w:tc>
        <w:tc>
          <w:tcPr>
            <w:tcW w:w="978" w:type="pct"/>
            <w:vAlign w:val="center"/>
          </w:tcPr>
          <w:p w14:paraId="632D0C6D">
            <w:pPr>
              <w:pStyle w:val="12"/>
              <w:jc w:val="center"/>
              <w:rPr>
                <w:b/>
              </w:rPr>
            </w:pPr>
            <w:r>
              <w:rPr>
                <w:rFonts w:hint="eastAsia"/>
                <w:b/>
              </w:rPr>
              <w:t>作者或主编</w:t>
            </w:r>
          </w:p>
        </w:tc>
        <w:tc>
          <w:tcPr>
            <w:tcW w:w="846" w:type="pct"/>
            <w:vAlign w:val="center"/>
          </w:tcPr>
          <w:p w14:paraId="24EA8EF2">
            <w:pPr>
              <w:pStyle w:val="12"/>
              <w:jc w:val="center"/>
              <w:rPr>
                <w:b/>
              </w:rPr>
            </w:pPr>
            <w:r>
              <w:rPr>
                <w:rFonts w:hint="eastAsia"/>
                <w:b/>
              </w:rPr>
              <w:t>出版时间</w:t>
            </w:r>
          </w:p>
        </w:tc>
        <w:tc>
          <w:tcPr>
            <w:tcW w:w="1222" w:type="pct"/>
            <w:vAlign w:val="center"/>
          </w:tcPr>
          <w:p w14:paraId="1CD6CE84">
            <w:pPr>
              <w:pStyle w:val="12"/>
              <w:jc w:val="center"/>
              <w:rPr>
                <w:b/>
              </w:rPr>
            </w:pPr>
            <w:r>
              <w:rPr>
                <w:rFonts w:hint="eastAsia"/>
                <w:b/>
              </w:rPr>
              <w:t>编纂单位或出版单位</w:t>
            </w:r>
          </w:p>
        </w:tc>
      </w:tr>
      <w:tr w14:paraId="4A6F06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53" w:type="pct"/>
            <w:vAlign w:val="center"/>
          </w:tcPr>
          <w:p w14:paraId="4B18B212">
            <w:pPr>
              <w:pStyle w:val="12"/>
              <w:jc w:val="left"/>
            </w:pPr>
            <w:r>
              <w:rPr>
                <w:rFonts w:hint="eastAsia"/>
              </w:rPr>
              <w:t>档案史料概论</w:t>
            </w:r>
          </w:p>
        </w:tc>
        <w:tc>
          <w:tcPr>
            <w:tcW w:w="978" w:type="pct"/>
            <w:vAlign w:val="center"/>
          </w:tcPr>
          <w:p w14:paraId="0E71951B">
            <w:pPr>
              <w:pStyle w:val="12"/>
              <w:jc w:val="center"/>
            </w:pPr>
            <w:r>
              <w:rPr>
                <w:rFonts w:hint="eastAsia"/>
              </w:rPr>
              <w:t>朱荣基</w:t>
            </w:r>
          </w:p>
        </w:tc>
        <w:tc>
          <w:tcPr>
            <w:tcW w:w="846" w:type="pct"/>
            <w:vAlign w:val="center"/>
          </w:tcPr>
          <w:p w14:paraId="40C8FACB">
            <w:pPr>
              <w:pStyle w:val="12"/>
              <w:jc w:val="center"/>
            </w:pPr>
            <w:r>
              <w:rPr>
                <w:rFonts w:hint="eastAsia"/>
              </w:rPr>
              <w:t>1983年</w:t>
            </w:r>
          </w:p>
        </w:tc>
        <w:tc>
          <w:tcPr>
            <w:tcW w:w="1222" w:type="pct"/>
            <w:vAlign w:val="center"/>
          </w:tcPr>
          <w:p w14:paraId="720F7C83">
            <w:pPr>
              <w:pStyle w:val="12"/>
              <w:jc w:val="center"/>
            </w:pPr>
            <w:r>
              <w:rPr>
                <w:rFonts w:hint="eastAsia"/>
              </w:rPr>
              <w:t>中国档案出版社</w:t>
            </w:r>
          </w:p>
        </w:tc>
      </w:tr>
      <w:tr w14:paraId="78B6C3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53" w:type="pct"/>
            <w:vAlign w:val="center"/>
          </w:tcPr>
          <w:p w14:paraId="699B51DD">
            <w:pPr>
              <w:pStyle w:val="12"/>
              <w:jc w:val="left"/>
            </w:pPr>
            <w:r>
              <w:rPr>
                <w:rFonts w:hint="eastAsia"/>
              </w:rPr>
              <w:t>近代中国海关及其档案</w:t>
            </w:r>
          </w:p>
        </w:tc>
        <w:tc>
          <w:tcPr>
            <w:tcW w:w="978" w:type="pct"/>
            <w:vAlign w:val="center"/>
          </w:tcPr>
          <w:p w14:paraId="6C690607">
            <w:pPr>
              <w:pStyle w:val="12"/>
              <w:jc w:val="center"/>
            </w:pPr>
            <w:r>
              <w:rPr>
                <w:rFonts w:hint="eastAsia"/>
              </w:rPr>
              <w:t>朱荣基</w:t>
            </w:r>
          </w:p>
        </w:tc>
        <w:tc>
          <w:tcPr>
            <w:tcW w:w="846" w:type="pct"/>
            <w:vAlign w:val="center"/>
          </w:tcPr>
          <w:p w14:paraId="35E9B2EB">
            <w:pPr>
              <w:pStyle w:val="12"/>
              <w:jc w:val="center"/>
            </w:pPr>
            <w:r>
              <w:rPr>
                <w:rFonts w:hint="eastAsia"/>
              </w:rPr>
              <w:t>1996年10月</w:t>
            </w:r>
          </w:p>
        </w:tc>
        <w:tc>
          <w:tcPr>
            <w:tcW w:w="1222" w:type="pct"/>
            <w:vAlign w:val="center"/>
          </w:tcPr>
          <w:p w14:paraId="38B6CE40">
            <w:pPr>
              <w:pStyle w:val="12"/>
              <w:jc w:val="center"/>
            </w:pPr>
            <w:r>
              <w:rPr>
                <w:rFonts w:hint="eastAsia"/>
              </w:rPr>
              <w:t>海天出版社</w:t>
            </w:r>
          </w:p>
        </w:tc>
      </w:tr>
      <w:tr w14:paraId="65E95A0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53" w:type="pct"/>
            <w:vAlign w:val="center"/>
          </w:tcPr>
          <w:p w14:paraId="553A8BB4">
            <w:pPr>
              <w:pStyle w:val="12"/>
              <w:jc w:val="left"/>
            </w:pPr>
            <w:r>
              <w:rPr>
                <w:rFonts w:hint="eastAsia"/>
              </w:rPr>
              <w:t>朱荣基档案学术文选</w:t>
            </w:r>
          </w:p>
        </w:tc>
        <w:tc>
          <w:tcPr>
            <w:tcW w:w="978" w:type="pct"/>
            <w:vAlign w:val="center"/>
          </w:tcPr>
          <w:p w14:paraId="6D46AE4F">
            <w:pPr>
              <w:pStyle w:val="12"/>
              <w:jc w:val="center"/>
            </w:pPr>
            <w:r>
              <w:rPr>
                <w:rFonts w:hint="eastAsia"/>
              </w:rPr>
              <w:t>朱荣基</w:t>
            </w:r>
          </w:p>
        </w:tc>
        <w:tc>
          <w:tcPr>
            <w:tcW w:w="846" w:type="pct"/>
            <w:vAlign w:val="center"/>
          </w:tcPr>
          <w:p w14:paraId="65E4E462">
            <w:pPr>
              <w:pStyle w:val="12"/>
              <w:jc w:val="center"/>
            </w:pPr>
            <w:r>
              <w:rPr>
                <w:rFonts w:hint="eastAsia"/>
              </w:rPr>
              <w:t>1999年12月</w:t>
            </w:r>
          </w:p>
        </w:tc>
        <w:tc>
          <w:tcPr>
            <w:tcW w:w="1222" w:type="pct"/>
            <w:vAlign w:val="center"/>
          </w:tcPr>
          <w:p w14:paraId="0A95320B">
            <w:pPr>
              <w:pStyle w:val="12"/>
              <w:jc w:val="center"/>
            </w:pPr>
            <w:r>
              <w:rPr>
                <w:rFonts w:hint="eastAsia"/>
              </w:rPr>
              <w:t>深圳市档案学会</w:t>
            </w:r>
          </w:p>
        </w:tc>
      </w:tr>
      <w:tr w14:paraId="7421B4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53" w:type="pct"/>
            <w:vAlign w:val="center"/>
          </w:tcPr>
          <w:p w14:paraId="277FAE71">
            <w:pPr>
              <w:pStyle w:val="12"/>
              <w:jc w:val="left"/>
            </w:pPr>
            <w:r>
              <w:rPr>
                <w:rFonts w:hint="eastAsia"/>
              </w:rPr>
              <w:t>南雄特色研究</w:t>
            </w:r>
          </w:p>
        </w:tc>
        <w:tc>
          <w:tcPr>
            <w:tcW w:w="978" w:type="pct"/>
            <w:vAlign w:val="center"/>
          </w:tcPr>
          <w:p w14:paraId="3ADAD6EE">
            <w:pPr>
              <w:pStyle w:val="12"/>
              <w:jc w:val="center"/>
            </w:pPr>
            <w:r>
              <w:rPr>
                <w:rFonts w:hint="eastAsia"/>
              </w:rPr>
              <w:t>陈  枫、范  英</w:t>
            </w:r>
          </w:p>
        </w:tc>
        <w:tc>
          <w:tcPr>
            <w:tcW w:w="846" w:type="pct"/>
            <w:vAlign w:val="center"/>
          </w:tcPr>
          <w:p w14:paraId="6141FC2F">
            <w:pPr>
              <w:pStyle w:val="12"/>
              <w:jc w:val="center"/>
            </w:pPr>
            <w:r>
              <w:rPr>
                <w:rFonts w:hint="eastAsia"/>
              </w:rPr>
              <w:t>1987年9月</w:t>
            </w:r>
          </w:p>
        </w:tc>
        <w:tc>
          <w:tcPr>
            <w:tcW w:w="1222" w:type="pct"/>
            <w:vAlign w:val="center"/>
          </w:tcPr>
          <w:p w14:paraId="6A7CED7F">
            <w:pPr>
              <w:pStyle w:val="12"/>
              <w:jc w:val="center"/>
            </w:pPr>
            <w:r>
              <w:rPr>
                <w:rFonts w:hint="eastAsia"/>
              </w:rPr>
              <w:t>人民出版社</w:t>
            </w:r>
          </w:p>
        </w:tc>
      </w:tr>
      <w:tr w14:paraId="6E99F23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53" w:type="pct"/>
            <w:vAlign w:val="center"/>
          </w:tcPr>
          <w:p w14:paraId="165D0A93">
            <w:pPr>
              <w:pStyle w:val="12"/>
              <w:jc w:val="left"/>
            </w:pPr>
            <w:r>
              <w:rPr>
                <w:rFonts w:hint="eastAsia"/>
              </w:rPr>
              <w:t>南雄发展之路</w:t>
            </w:r>
          </w:p>
        </w:tc>
        <w:tc>
          <w:tcPr>
            <w:tcW w:w="978" w:type="pct"/>
            <w:vAlign w:val="center"/>
          </w:tcPr>
          <w:p w14:paraId="6EA76C08">
            <w:pPr>
              <w:pStyle w:val="12"/>
              <w:jc w:val="center"/>
            </w:pPr>
            <w:r>
              <w:rPr>
                <w:rFonts w:hint="eastAsia"/>
              </w:rPr>
              <w:t>陈  枫、范  英</w:t>
            </w:r>
          </w:p>
        </w:tc>
        <w:tc>
          <w:tcPr>
            <w:tcW w:w="846" w:type="pct"/>
            <w:vAlign w:val="center"/>
          </w:tcPr>
          <w:p w14:paraId="44E2D70E">
            <w:pPr>
              <w:pStyle w:val="12"/>
              <w:jc w:val="center"/>
            </w:pPr>
            <w:r>
              <w:rPr>
                <w:rFonts w:hint="eastAsia"/>
              </w:rPr>
              <w:t>1987年9月</w:t>
            </w:r>
          </w:p>
        </w:tc>
        <w:tc>
          <w:tcPr>
            <w:tcW w:w="1222" w:type="pct"/>
            <w:vAlign w:val="center"/>
          </w:tcPr>
          <w:p w14:paraId="498252ED">
            <w:pPr>
              <w:pStyle w:val="12"/>
              <w:jc w:val="center"/>
            </w:pPr>
            <w:r>
              <w:rPr>
                <w:rFonts w:hint="eastAsia"/>
              </w:rPr>
              <w:t>广东人民出版社</w:t>
            </w:r>
          </w:p>
        </w:tc>
      </w:tr>
      <w:tr w14:paraId="7179B3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53" w:type="pct"/>
            <w:vAlign w:val="center"/>
          </w:tcPr>
          <w:p w14:paraId="29FA0CBE">
            <w:pPr>
              <w:pStyle w:val="12"/>
              <w:jc w:val="left"/>
            </w:pPr>
            <w:r>
              <w:rPr>
                <w:rFonts w:hint="eastAsia"/>
              </w:rPr>
              <w:t>全国第五次银杏学术研讨会论文集</w:t>
            </w:r>
          </w:p>
        </w:tc>
        <w:tc>
          <w:tcPr>
            <w:tcW w:w="978" w:type="pct"/>
            <w:vAlign w:val="center"/>
          </w:tcPr>
          <w:p w14:paraId="1955C21C">
            <w:pPr>
              <w:pStyle w:val="12"/>
              <w:jc w:val="center"/>
            </w:pPr>
            <w:r>
              <w:rPr>
                <w:rFonts w:hint="eastAsia"/>
              </w:rPr>
              <w:t>谭章明</w:t>
            </w:r>
          </w:p>
        </w:tc>
        <w:tc>
          <w:tcPr>
            <w:tcW w:w="846" w:type="pct"/>
            <w:vAlign w:val="center"/>
          </w:tcPr>
          <w:p w14:paraId="405B2CE3">
            <w:pPr>
              <w:pStyle w:val="12"/>
              <w:jc w:val="center"/>
            </w:pPr>
            <w:r>
              <w:rPr>
                <w:rFonts w:hint="eastAsia"/>
              </w:rPr>
              <w:t>1997年8月</w:t>
            </w:r>
          </w:p>
        </w:tc>
        <w:tc>
          <w:tcPr>
            <w:tcW w:w="1222" w:type="pct"/>
            <w:vAlign w:val="center"/>
          </w:tcPr>
          <w:p w14:paraId="0C86F1FB">
            <w:pPr>
              <w:pStyle w:val="12"/>
              <w:jc w:val="center"/>
            </w:pPr>
            <w:r>
              <w:rPr>
                <w:rFonts w:hint="eastAsia"/>
              </w:rPr>
              <w:t>广东科技出版社</w:t>
            </w:r>
          </w:p>
        </w:tc>
      </w:tr>
      <w:tr w14:paraId="513602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53" w:type="pct"/>
            <w:vAlign w:val="center"/>
          </w:tcPr>
          <w:p w14:paraId="0C2CED30">
            <w:pPr>
              <w:pStyle w:val="12"/>
              <w:jc w:val="left"/>
            </w:pPr>
            <w:r>
              <w:rPr>
                <w:rFonts w:hint="eastAsia"/>
              </w:rPr>
              <w:t>税务工作管见</w:t>
            </w:r>
          </w:p>
        </w:tc>
        <w:tc>
          <w:tcPr>
            <w:tcW w:w="978" w:type="pct"/>
            <w:vAlign w:val="center"/>
          </w:tcPr>
          <w:p w14:paraId="52B2FAB3">
            <w:pPr>
              <w:pStyle w:val="12"/>
              <w:jc w:val="center"/>
            </w:pPr>
            <w:r>
              <w:rPr>
                <w:rFonts w:hint="eastAsia"/>
              </w:rPr>
              <w:t>郭盛森</w:t>
            </w:r>
          </w:p>
        </w:tc>
        <w:tc>
          <w:tcPr>
            <w:tcW w:w="846" w:type="pct"/>
            <w:vAlign w:val="center"/>
          </w:tcPr>
          <w:p w14:paraId="250EC748">
            <w:pPr>
              <w:pStyle w:val="12"/>
              <w:jc w:val="center"/>
            </w:pPr>
            <w:r>
              <w:rPr>
                <w:rFonts w:hint="eastAsia"/>
              </w:rPr>
              <w:t>1997年12月</w:t>
            </w:r>
          </w:p>
        </w:tc>
        <w:tc>
          <w:tcPr>
            <w:tcW w:w="1222" w:type="pct"/>
            <w:vAlign w:val="center"/>
          </w:tcPr>
          <w:p w14:paraId="69492DC6">
            <w:pPr>
              <w:pStyle w:val="12"/>
              <w:jc w:val="center"/>
            </w:pPr>
            <w:r>
              <w:rPr>
                <w:rFonts w:hint="eastAsia"/>
              </w:rPr>
              <w:t>广东高教出版社</w:t>
            </w:r>
          </w:p>
        </w:tc>
      </w:tr>
      <w:tr w14:paraId="4050D2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53" w:type="pct"/>
            <w:vAlign w:val="center"/>
          </w:tcPr>
          <w:p w14:paraId="12DB2438">
            <w:pPr>
              <w:pStyle w:val="12"/>
              <w:jc w:val="left"/>
            </w:pPr>
            <w:r>
              <w:rPr>
                <w:rFonts w:hint="eastAsia"/>
              </w:rPr>
              <w:t>中学生整理知识十八法</w:t>
            </w:r>
          </w:p>
        </w:tc>
        <w:tc>
          <w:tcPr>
            <w:tcW w:w="978" w:type="pct"/>
            <w:vAlign w:val="center"/>
          </w:tcPr>
          <w:p w14:paraId="0D5D83B8">
            <w:pPr>
              <w:pStyle w:val="12"/>
              <w:jc w:val="center"/>
            </w:pPr>
            <w:r>
              <w:rPr>
                <w:rFonts w:hint="eastAsia"/>
              </w:rPr>
              <w:t>陈继煊</w:t>
            </w:r>
          </w:p>
        </w:tc>
        <w:tc>
          <w:tcPr>
            <w:tcW w:w="846" w:type="pct"/>
            <w:vAlign w:val="center"/>
          </w:tcPr>
          <w:p w14:paraId="1EA7C0E5">
            <w:pPr>
              <w:pStyle w:val="12"/>
              <w:jc w:val="center"/>
            </w:pPr>
            <w:r>
              <w:rPr>
                <w:rFonts w:hint="eastAsia"/>
              </w:rPr>
              <w:t>2003年11月</w:t>
            </w:r>
          </w:p>
        </w:tc>
        <w:tc>
          <w:tcPr>
            <w:tcW w:w="1222" w:type="pct"/>
            <w:vAlign w:val="center"/>
          </w:tcPr>
          <w:p w14:paraId="17FF4806">
            <w:pPr>
              <w:pStyle w:val="12"/>
              <w:jc w:val="center"/>
            </w:pPr>
            <w:r>
              <w:rPr>
                <w:rFonts w:hint="eastAsia"/>
              </w:rPr>
              <w:t>中国文史出版社</w:t>
            </w:r>
          </w:p>
        </w:tc>
      </w:tr>
    </w:tbl>
    <w:p w14:paraId="52FD2D96">
      <w:pPr>
        <w:pStyle w:val="5"/>
        <w:rPr>
          <w:rFonts w:ascii="宋体" w:hAnsi="宋体" w:cs="宋体"/>
        </w:rPr>
      </w:pPr>
      <w:r>
        <w:rPr>
          <w:rFonts w:hint="eastAsia" w:ascii="宋体" w:hAnsi="宋体" w:cs="宋体"/>
        </w:rPr>
        <w:t>四、民间歌谣选</w:t>
      </w:r>
    </w:p>
    <w:p w14:paraId="7286434D">
      <w:pPr>
        <w:ind w:firstLine="422"/>
        <w:jc w:val="center"/>
        <w:rPr>
          <w:rFonts w:ascii="宋体" w:hAnsi="宋体" w:cs="宋体"/>
          <w:b/>
          <w:bCs/>
        </w:rPr>
      </w:pPr>
      <w:r>
        <w:rPr>
          <w:rFonts w:hint="eastAsia" w:ascii="宋体" w:hAnsi="宋体" w:cs="宋体"/>
          <w:b/>
          <w:bCs/>
        </w:rPr>
        <w:t>水西龙船歌</w:t>
      </w:r>
    </w:p>
    <w:p w14:paraId="097AC5B0">
      <w:pPr>
        <w:ind w:firstLine="420"/>
        <w:jc w:val="center"/>
        <w:rPr>
          <w:rFonts w:ascii="宋体" w:hAnsi="宋体" w:cs="宋体"/>
        </w:rPr>
      </w:pPr>
      <w:r>
        <w:rPr>
          <w:rFonts w:hint="eastAsia" w:ascii="宋体" w:hAnsi="宋体" w:cs="宋体"/>
        </w:rPr>
        <w:t>新打龙船一枝花，扒起龙船乍河下；三十六人同下水，同心协力向前划。</w:t>
      </w:r>
    </w:p>
    <w:p w14:paraId="3087AA04">
      <w:pPr>
        <w:ind w:firstLine="420"/>
        <w:jc w:val="center"/>
        <w:rPr>
          <w:rFonts w:ascii="宋体" w:hAnsi="宋体" w:cs="宋体"/>
        </w:rPr>
      </w:pPr>
      <w:r>
        <w:rPr>
          <w:rFonts w:hint="eastAsia" w:ascii="宋体" w:hAnsi="宋体" w:cs="宋体"/>
        </w:rPr>
        <w:t>新打龙船簇簇新，划起龙船上北京；北京生意无限好，桶缸装银箩装金。</w:t>
      </w:r>
    </w:p>
    <w:p w14:paraId="01F9FDC5">
      <w:pPr>
        <w:ind w:firstLine="420"/>
        <w:jc w:val="center"/>
        <w:rPr>
          <w:rFonts w:ascii="宋体" w:hAnsi="宋体" w:cs="宋体"/>
        </w:rPr>
      </w:pPr>
      <w:r>
        <w:rPr>
          <w:rFonts w:hint="eastAsia" w:ascii="宋体" w:hAnsi="宋体" w:cs="宋体"/>
        </w:rPr>
        <w:t>唱歌高来唱歌高，南雄宝塔九层高；梅岭顶上挂角寺，里东沙水凤凰桥。</w:t>
      </w:r>
    </w:p>
    <w:p w14:paraId="74518568">
      <w:pPr>
        <w:ind w:firstLine="420"/>
        <w:jc w:val="center"/>
        <w:rPr>
          <w:rFonts w:ascii="宋体" w:hAnsi="宋体" w:cs="宋体"/>
        </w:rPr>
      </w:pPr>
      <w:r>
        <w:rPr>
          <w:rFonts w:hint="eastAsia" w:ascii="宋体" w:hAnsi="宋体" w:cs="宋体"/>
        </w:rPr>
        <w:t>唱歌高来唱歌高，一箩糯米几多糟？一个细布几多眼？一只牛牯几多毛？</w:t>
      </w:r>
    </w:p>
    <w:p w14:paraId="3AA7ACB3">
      <w:pPr>
        <w:ind w:firstLine="420"/>
        <w:jc w:val="center"/>
        <w:rPr>
          <w:rFonts w:ascii="宋体" w:hAnsi="宋体" w:cs="宋体"/>
        </w:rPr>
      </w:pPr>
      <w:r>
        <w:rPr>
          <w:rFonts w:hint="eastAsia" w:ascii="宋体" w:hAnsi="宋体" w:cs="宋体"/>
        </w:rPr>
        <w:t>唱歌高来唱歌高，一箩糯米半箩糟，细布论个不论眼，牛牯论只不论毛。</w:t>
      </w:r>
    </w:p>
    <w:p w14:paraId="26E4E15D">
      <w:pPr>
        <w:ind w:firstLine="420"/>
        <w:jc w:val="center"/>
        <w:rPr>
          <w:rFonts w:ascii="宋体" w:hAnsi="宋体" w:cs="宋体"/>
        </w:rPr>
      </w:pPr>
      <w:r>
        <w:rPr>
          <w:rFonts w:hint="eastAsia" w:ascii="宋体" w:hAnsi="宋体" w:cs="宋体"/>
        </w:rPr>
        <w:t>唱歌高来唱歌高，什么生子满河漂？什么树上打筋斗？什么树上搭天桥？</w:t>
      </w:r>
    </w:p>
    <w:p w14:paraId="361BAB7F">
      <w:pPr>
        <w:ind w:firstLine="420"/>
        <w:jc w:val="center"/>
        <w:rPr>
          <w:rFonts w:ascii="宋体" w:hAnsi="宋体" w:cs="宋体"/>
        </w:rPr>
      </w:pPr>
      <w:r>
        <w:rPr>
          <w:rFonts w:hint="eastAsia" w:ascii="宋体" w:hAnsi="宋体" w:cs="宋体"/>
        </w:rPr>
        <w:t>唱歌高来唱歌高，鲤鱼生子满河飘，螳螂树上打筋斗，蜘蛛树上搭天桥。</w:t>
      </w:r>
    </w:p>
    <w:p w14:paraId="3EC00838">
      <w:pPr>
        <w:ind w:firstLine="420"/>
        <w:jc w:val="center"/>
        <w:rPr>
          <w:rFonts w:ascii="宋体" w:hAnsi="宋体" w:cs="宋体"/>
        </w:rPr>
      </w:pPr>
      <w:r>
        <w:rPr>
          <w:rFonts w:hint="eastAsia" w:ascii="宋体" w:hAnsi="宋体" w:cs="宋体"/>
        </w:rPr>
        <w:t>唱歌高来唱歌高，一年四季走洛阳；洛阳桥上几多板？洛阳桥下几多梁？</w:t>
      </w:r>
    </w:p>
    <w:p w14:paraId="1DAD4945">
      <w:pPr>
        <w:ind w:firstLine="420"/>
        <w:jc w:val="center"/>
        <w:rPr>
          <w:rFonts w:ascii="宋体" w:hAnsi="宋体" w:cs="宋体"/>
        </w:rPr>
      </w:pPr>
      <w:r>
        <w:rPr>
          <w:rFonts w:hint="eastAsia" w:ascii="宋体" w:hAnsi="宋体" w:cs="宋体"/>
        </w:rPr>
        <w:t>唱歌高来唱歌高，一年四季走洛阳；三十六块花桥板，七十二根花桥梁。</w:t>
      </w:r>
    </w:p>
    <w:p w14:paraId="0B943D3E">
      <w:pPr>
        <w:ind w:firstLine="420"/>
        <w:jc w:val="center"/>
        <w:rPr>
          <w:rFonts w:ascii="宋体" w:hAnsi="宋体" w:cs="宋体"/>
        </w:rPr>
      </w:pPr>
      <w:r>
        <w:rPr>
          <w:rFonts w:hint="eastAsia" w:ascii="宋体" w:hAnsi="宋体" w:cs="宋体"/>
        </w:rPr>
        <w:t>唱歌唱到榕树下，榕树打子鸟麻麻；榕树脚下把歌唱，唱得大家心开花。</w:t>
      </w:r>
    </w:p>
    <w:p w14:paraId="65D466A8">
      <w:pPr>
        <w:ind w:firstLine="422"/>
        <w:jc w:val="right"/>
        <w:rPr>
          <w:rFonts w:ascii="宋体" w:hAnsi="宋体" w:cs="宋体"/>
          <w:b/>
        </w:rPr>
      </w:pPr>
      <w:r>
        <w:rPr>
          <w:rFonts w:hint="eastAsia" w:ascii="宋体" w:hAnsi="宋体" w:cs="宋体"/>
          <w:b/>
        </w:rPr>
        <w:t>（朱明治唱，庄礼味记录整理）</w:t>
      </w:r>
    </w:p>
    <w:p w14:paraId="10B488AF">
      <w:pPr>
        <w:ind w:firstLine="422"/>
        <w:jc w:val="center"/>
        <w:rPr>
          <w:rFonts w:ascii="宋体" w:hAnsi="宋体" w:cs="宋体"/>
          <w:b/>
          <w:bCs/>
        </w:rPr>
      </w:pPr>
      <w:r>
        <w:rPr>
          <w:rFonts w:hint="eastAsia" w:ascii="宋体" w:hAnsi="宋体" w:cs="宋体"/>
          <w:b/>
          <w:bCs/>
        </w:rPr>
        <w:t>跌苦歌（唱莲花曲）</w:t>
      </w:r>
    </w:p>
    <w:p w14:paraId="4A41090C">
      <w:pPr>
        <w:ind w:firstLine="420"/>
        <w:jc w:val="center"/>
        <w:rPr>
          <w:rFonts w:ascii="宋体" w:hAnsi="宋体" w:cs="宋体"/>
        </w:rPr>
      </w:pPr>
      <w:r>
        <w:rPr>
          <w:rFonts w:hint="eastAsia" w:ascii="宋体" w:hAnsi="宋体" w:cs="宋体"/>
        </w:rPr>
        <w:t>正月跌苦是新年，亲戚朋友来拜年；没有糯米蒸缸洒，一把空壶在台前。</w:t>
      </w:r>
    </w:p>
    <w:p w14:paraId="4DA60F4A">
      <w:pPr>
        <w:ind w:firstLine="420"/>
        <w:jc w:val="center"/>
        <w:rPr>
          <w:rFonts w:ascii="宋体" w:hAnsi="宋体" w:cs="宋体"/>
        </w:rPr>
      </w:pPr>
      <w:r>
        <w:rPr>
          <w:rFonts w:hint="eastAsia" w:ascii="宋体" w:hAnsi="宋体" w:cs="宋体"/>
        </w:rPr>
        <w:t>二月跌苦消了消，革了今日又明朝；革了今日无米煮，革了明日无柴烧。</w:t>
      </w:r>
    </w:p>
    <w:p w14:paraId="670FE98E">
      <w:pPr>
        <w:ind w:firstLine="420"/>
        <w:jc w:val="center"/>
        <w:rPr>
          <w:rFonts w:ascii="宋体" w:hAnsi="宋体" w:cs="宋体"/>
        </w:rPr>
      </w:pPr>
      <w:r>
        <w:rPr>
          <w:rFonts w:hint="eastAsia" w:ascii="宋体" w:hAnsi="宋体" w:cs="宋体"/>
        </w:rPr>
        <w:t>三月跌苦是清明，家家户户祭灶神；有钱人家杀头猪，无钱人家砍半斤。</w:t>
      </w:r>
    </w:p>
    <w:p w14:paraId="3A1EAFB3">
      <w:pPr>
        <w:ind w:firstLine="420"/>
        <w:jc w:val="center"/>
        <w:rPr>
          <w:rFonts w:ascii="宋体" w:hAnsi="宋体" w:cs="宋体"/>
        </w:rPr>
      </w:pPr>
      <w:r>
        <w:rPr>
          <w:rFonts w:hint="eastAsia" w:ascii="宋体" w:hAnsi="宋体" w:cs="宋体"/>
        </w:rPr>
        <w:t>四月跌苦立了夏，可怜亲哥无造化；捉到猎婆变猫牯，捉到黄鳝变青蛇。</w:t>
      </w:r>
    </w:p>
    <w:p w14:paraId="2540C4DE">
      <w:pPr>
        <w:ind w:firstLine="420"/>
        <w:jc w:val="center"/>
        <w:rPr>
          <w:rFonts w:ascii="宋体" w:hAnsi="宋体" w:cs="宋体"/>
        </w:rPr>
      </w:pPr>
      <w:r>
        <w:rPr>
          <w:rFonts w:hint="eastAsia" w:ascii="宋体" w:hAnsi="宋体" w:cs="宋体"/>
        </w:rPr>
        <w:t>五月跌苦是端阳，家家打酒磨雄黄；有钱人家打酒磨，无钱人家用滚汤。</w:t>
      </w:r>
    </w:p>
    <w:p w14:paraId="7FAB9571">
      <w:pPr>
        <w:ind w:firstLine="420"/>
        <w:jc w:val="center"/>
        <w:rPr>
          <w:rFonts w:ascii="宋体" w:hAnsi="宋体" w:cs="宋体"/>
        </w:rPr>
      </w:pPr>
      <w:r>
        <w:rPr>
          <w:rFonts w:hint="eastAsia" w:ascii="宋体" w:hAnsi="宋体" w:cs="宋体"/>
        </w:rPr>
        <w:t>六月跌苦虫食心，家家户户请亲朋；上巷请到下巷转，没人记起找亲人。</w:t>
      </w:r>
    </w:p>
    <w:p w14:paraId="668752EE">
      <w:pPr>
        <w:ind w:firstLine="420"/>
        <w:jc w:val="center"/>
        <w:rPr>
          <w:rFonts w:ascii="宋体" w:hAnsi="宋体" w:cs="宋体"/>
        </w:rPr>
      </w:pPr>
      <w:r>
        <w:rPr>
          <w:rFonts w:hint="eastAsia" w:ascii="宋体" w:hAnsi="宋体" w:cs="宋体"/>
        </w:rPr>
        <w:t>七月跌苦是十五，家家户户烧衣包；有钱人家买一屯，无钱人家买半刀。</w:t>
      </w:r>
    </w:p>
    <w:p w14:paraId="490EFC26">
      <w:pPr>
        <w:ind w:firstLine="420"/>
        <w:jc w:val="center"/>
        <w:rPr>
          <w:rFonts w:ascii="宋体" w:hAnsi="宋体" w:cs="宋体"/>
        </w:rPr>
      </w:pPr>
      <w:r>
        <w:rPr>
          <w:rFonts w:hint="eastAsia" w:ascii="宋体" w:hAnsi="宋体" w:cs="宋体"/>
        </w:rPr>
        <w:t>八月跌苦是中秋，家家买饼送朋友；有钱人家买饼食，无钱人家冷休休。</w:t>
      </w:r>
    </w:p>
    <w:p w14:paraId="09670275">
      <w:pPr>
        <w:ind w:firstLine="420"/>
        <w:jc w:val="center"/>
        <w:rPr>
          <w:rFonts w:ascii="宋体" w:hAnsi="宋体" w:cs="宋体"/>
        </w:rPr>
      </w:pPr>
      <w:r>
        <w:rPr>
          <w:rFonts w:hint="eastAsia" w:ascii="宋体" w:hAnsi="宋体" w:cs="宋体"/>
        </w:rPr>
        <w:t>九月跌苦是重阳，家家买猪又买羊；有钱人家杀大猪，无钱人家买四两。</w:t>
      </w:r>
    </w:p>
    <w:p w14:paraId="01E35FA6">
      <w:pPr>
        <w:ind w:firstLine="420"/>
        <w:jc w:val="center"/>
        <w:rPr>
          <w:rFonts w:ascii="宋体" w:hAnsi="宋体" w:cs="宋体"/>
        </w:rPr>
      </w:pPr>
      <w:r>
        <w:rPr>
          <w:rFonts w:hint="eastAsia" w:ascii="宋体" w:hAnsi="宋体" w:cs="宋体"/>
        </w:rPr>
        <w:t>十月跌苦立了冬，十只荷包九只空；走上楼里看一下，有事唔好做那宗。</w:t>
      </w:r>
    </w:p>
    <w:p w14:paraId="5F3A1231">
      <w:pPr>
        <w:ind w:firstLine="1680" w:firstLineChars="800"/>
        <w:rPr>
          <w:rFonts w:ascii="宋体" w:hAnsi="宋体" w:cs="宋体"/>
        </w:rPr>
      </w:pPr>
      <w:r>
        <w:rPr>
          <w:rFonts w:hint="eastAsia" w:ascii="宋体" w:hAnsi="宋体" w:cs="宋体"/>
        </w:rPr>
        <w:t>十一月跌苦水湿衣，北风寒雨泼郎衣；妹在房中烤炭火，郎在路上受苦凄。</w:t>
      </w:r>
    </w:p>
    <w:p w14:paraId="74761C5C">
      <w:pPr>
        <w:ind w:firstLine="1680" w:firstLineChars="800"/>
        <w:jc w:val="left"/>
        <w:rPr>
          <w:rFonts w:ascii="宋体" w:hAnsi="宋体" w:cs="宋体"/>
        </w:rPr>
      </w:pPr>
      <w:r>
        <w:rPr>
          <w:rFonts w:hint="eastAsia" w:ascii="宋体" w:hAnsi="宋体" w:cs="宋体"/>
        </w:rPr>
        <w:t>十二月跌苦又一年，亲哥唔曾寻到钱；兄弟子嫂又无有，我好去那过个年。</w:t>
      </w:r>
    </w:p>
    <w:p w14:paraId="17D79A41">
      <w:pPr>
        <w:ind w:firstLine="1470" w:firstLineChars="700"/>
        <w:jc w:val="left"/>
        <w:rPr>
          <w:rFonts w:ascii="宋体" w:hAnsi="宋体" w:cs="宋体"/>
        </w:rPr>
      </w:pPr>
      <w:r>
        <w:rPr>
          <w:rFonts w:hint="eastAsia" w:ascii="宋体" w:hAnsi="宋体" w:cs="宋体"/>
        </w:rPr>
        <w:t>（黄和古、黄糍巴缸唱，庄礼味、赵春和记录整理。）</w:t>
      </w:r>
    </w:p>
    <w:p w14:paraId="6B76ED33">
      <w:pPr>
        <w:pStyle w:val="4"/>
        <w:rPr>
          <w:rFonts w:ascii="宋体" w:hAnsi="宋体" w:cs="宋体"/>
        </w:rPr>
      </w:pPr>
      <w:r>
        <w:rPr>
          <w:rFonts w:hint="eastAsia" w:ascii="宋体" w:hAnsi="宋体" w:cs="宋体"/>
        </w:rPr>
        <w:t>第八节  档案工作与地方志编修</w:t>
      </w:r>
    </w:p>
    <w:p w14:paraId="73798B00">
      <w:pPr>
        <w:pStyle w:val="5"/>
        <w:rPr>
          <w:rFonts w:ascii="宋体" w:hAnsi="宋体" w:cs="宋体"/>
        </w:rPr>
      </w:pPr>
      <w:r>
        <w:rPr>
          <w:rFonts w:hint="eastAsia" w:ascii="宋体" w:hAnsi="宋体" w:cs="宋体"/>
        </w:rPr>
        <w:t>一、档案工作</w:t>
      </w:r>
    </w:p>
    <w:p w14:paraId="141C2873">
      <w:pPr>
        <w:ind w:firstLine="422"/>
        <w:rPr>
          <w:rFonts w:ascii="宋体" w:hAnsi="宋体" w:cs="宋体"/>
          <w:b/>
          <w:bCs/>
        </w:rPr>
      </w:pPr>
      <w:r>
        <w:rPr>
          <w:rFonts w:hint="eastAsia" w:ascii="宋体" w:hAnsi="宋体" w:cs="宋体"/>
          <w:b/>
          <w:bCs/>
        </w:rPr>
        <w:t>（一）县档案馆、档案局（科）</w:t>
      </w:r>
    </w:p>
    <w:p w14:paraId="6E696D3A">
      <w:pPr>
        <w:ind w:firstLine="420"/>
        <w:rPr>
          <w:rFonts w:ascii="宋体" w:hAnsi="宋体" w:cs="宋体"/>
        </w:rPr>
      </w:pPr>
      <w:r>
        <w:rPr>
          <w:rFonts w:hint="eastAsia" w:ascii="宋体" w:hAnsi="宋体" w:cs="宋体"/>
        </w:rPr>
        <w:t>南雄县于1955年开展档案工作，1959年成立档案馆，1981年县政府设档案科，1984年改为档案局，与档案馆两块牌子一套人马。县直属机关各科局以及乡镇都设立档案室，全县有专职或兼职档案员130人。</w:t>
      </w:r>
    </w:p>
    <w:p w14:paraId="2FB79ECB">
      <w:pPr>
        <w:ind w:firstLine="420"/>
        <w:rPr>
          <w:rFonts w:ascii="宋体" w:hAnsi="宋体" w:cs="宋体"/>
        </w:rPr>
      </w:pPr>
      <w:r>
        <w:rPr>
          <w:rFonts w:hint="eastAsia" w:ascii="宋体" w:hAnsi="宋体" w:cs="宋体"/>
        </w:rPr>
        <w:t>1986年在县政府大院内新建钢筋混凝土结构四层档案馆大楼，建筑面积1870平方米，除档案库房一、二、三号，还设有办公室、阅览室、接待室、会议室、复印室、值班室。</w:t>
      </w:r>
    </w:p>
    <w:p w14:paraId="49AEC1B1">
      <w:pPr>
        <w:ind w:firstLine="420"/>
        <w:rPr>
          <w:rFonts w:ascii="宋体" w:hAnsi="宋体" w:cs="宋体"/>
        </w:rPr>
      </w:pPr>
      <w:r>
        <w:rPr>
          <w:rFonts w:hint="eastAsia" w:ascii="宋体" w:hAnsi="宋体" w:cs="宋体"/>
        </w:rPr>
        <w:t>馆藏档案：1987年为10175卷，其中民国档案1648卷，均经逐卷修复；新中国成立后县直机关档案5996卷，农村人民公社档案2531卷。另馆藏资料1814卷（册），书籍400册。近年编印《南雄档案编研资料》10辑、《南雄三十五年大事记》（初稿），编写档案目录126本，人物卡片68217张。</w:t>
      </w:r>
    </w:p>
    <w:p w14:paraId="49A7F2D4">
      <w:pPr>
        <w:ind w:firstLine="420"/>
        <w:rPr>
          <w:rFonts w:ascii="宋体" w:hAnsi="宋体" w:cs="宋体"/>
        </w:rPr>
      </w:pPr>
      <w:r>
        <w:rPr>
          <w:rFonts w:hint="eastAsia" w:ascii="宋体" w:hAnsi="宋体" w:cs="宋体"/>
        </w:rPr>
        <w:t>1999年9月，南雄市档案局（馆）综合性新大楼建成使用，楼高5层，总建筑面积1185平方米。</w:t>
      </w:r>
    </w:p>
    <w:p w14:paraId="2AA8EE3F">
      <w:pPr>
        <w:ind w:firstLine="420"/>
        <w:rPr>
          <w:rFonts w:ascii="宋体" w:hAnsi="宋体" w:cs="宋体"/>
        </w:rPr>
      </w:pPr>
      <w:r>
        <w:rPr>
          <w:rFonts w:hint="eastAsia" w:ascii="宋体" w:hAnsi="宋体" w:cs="宋体"/>
        </w:rPr>
        <w:t>2002年馆藏档案16649卷，排架长度278.4米，其中新中国成立前档案1676卷，新中国成立后档案133个全宗，14973卷。还有音像档案21盘，照片档案15卷896张，地图档案283张，资料4292册。</w:t>
      </w:r>
    </w:p>
    <w:p w14:paraId="63272A64">
      <w:pPr>
        <w:ind w:firstLine="422"/>
        <w:rPr>
          <w:rFonts w:ascii="宋体" w:hAnsi="宋体" w:cs="宋体"/>
          <w:b/>
          <w:bCs/>
        </w:rPr>
      </w:pPr>
      <w:r>
        <w:rPr>
          <w:rFonts w:hint="eastAsia" w:ascii="宋体" w:hAnsi="宋体" w:cs="宋体"/>
          <w:b/>
          <w:bCs/>
        </w:rPr>
        <w:t>（二）新中国成立后档案</w:t>
      </w:r>
    </w:p>
    <w:p w14:paraId="6F55D9D2">
      <w:pPr>
        <w:ind w:firstLine="420"/>
        <w:rPr>
          <w:rFonts w:ascii="宋体" w:hAnsi="宋体" w:cs="宋体"/>
        </w:rPr>
      </w:pPr>
      <w:r>
        <w:rPr>
          <w:rFonts w:hint="eastAsia" w:ascii="宋体" w:hAnsi="宋体" w:cs="宋体"/>
        </w:rPr>
        <w:t>文书档案：1956年2月，县直机关组织力量清理1950年至1955年的文书资料，立卷归档。1957年以后，每年上半年进行一次文书立卷归档工作，形成制度化。1979年起建立公社、大队档案，24个公社立2532卷，208个大队立2703卷。1983年撤社建区时，属于永久、长期保管期限的档案已全部入县档案馆，存于乡镇的短期档案有422卷。</w:t>
      </w:r>
    </w:p>
    <w:p w14:paraId="1CD62B96">
      <w:pPr>
        <w:ind w:firstLine="420"/>
        <w:rPr>
          <w:rFonts w:ascii="宋体" w:hAnsi="宋体" w:cs="宋体"/>
        </w:rPr>
      </w:pPr>
      <w:r>
        <w:rPr>
          <w:rFonts w:hint="eastAsia" w:ascii="宋体" w:hAnsi="宋体" w:cs="宋体"/>
        </w:rPr>
        <w:t>科技档案：1981年始建，至1987年底已建立的有氮肥厂、水电局、通用机械厂、气象局、农业局、林业局、畜牧水产局、水泥厂、城乡建设委员会、交通局、邮电局、科学技术委员会、农业委员会13个单位，共立455卷。</w:t>
      </w:r>
    </w:p>
    <w:p w14:paraId="37646A19">
      <w:pPr>
        <w:ind w:firstLine="420"/>
        <w:rPr>
          <w:rFonts w:ascii="宋体" w:hAnsi="宋体" w:cs="宋体"/>
        </w:rPr>
      </w:pPr>
      <w:r>
        <w:rPr>
          <w:rFonts w:hint="eastAsia" w:ascii="宋体" w:hAnsi="宋体" w:cs="宋体"/>
        </w:rPr>
        <w:t>专业档案：1986年5月至7月，县直属各单位组织力量完成新中国成立后至1985年以前的积存会计档案的清理建档工作，计1966年前的会计账簿1446册，凭证3200册，报表578册；1967年至1984年的会计账簿5240册，凭证13978册，工资报表1358册。1986年起，会计档案由各单位会计人员按会计管理制度有关规定，自行完成立卷归档工作。城建档案和教学档案，于1987年全面开展立卷归档工作，并在县建委筹建城建档案室。其他专业档案，由有关部门自行立卷归档保存。已接收进县档案馆的有会计档案、地名档案、人口普查档案、工农业普查档案、土地房产档案、山林权自留山证档案、声相档案等，共171卷（册）、录像带20盒，相片500多张。</w:t>
      </w:r>
    </w:p>
    <w:p w14:paraId="4D4B1CDF">
      <w:pPr>
        <w:ind w:firstLine="420"/>
        <w:rPr>
          <w:rFonts w:ascii="宋体" w:hAnsi="宋体" w:cs="宋体"/>
        </w:rPr>
      </w:pPr>
      <w:r>
        <w:rPr>
          <w:rFonts w:hint="eastAsia" w:ascii="宋体" w:hAnsi="宋体" w:cs="宋体"/>
        </w:rPr>
        <w:t>地方志档案：2004年止共存30种153册，其中清乾隆十八年《南雄府志》5卷，道光四年《直隶南雄州志》23卷，新编《南雄县志》、政党志、政权志、纪检志、军事志、邮电志、工业志、电力工业志、财税志、商业志、交通志、黄烟志、林业志、水利志、水土保持志、畜牧兽医志、档案志、药志、农机志、文物志、广播电视志、农业志、政协志、公安志、帽子峰林场志、人民代表大会志、金融志、物价志、粮食志、乡镇企业志等各一册。</w:t>
      </w:r>
    </w:p>
    <w:p w14:paraId="1875A0D7">
      <w:pPr>
        <w:ind w:firstLine="420"/>
        <w:rPr>
          <w:rFonts w:ascii="宋体" w:hAnsi="宋体" w:cs="宋体"/>
        </w:rPr>
      </w:pPr>
      <w:r>
        <w:rPr>
          <w:rFonts w:hint="eastAsia" w:ascii="宋体" w:hAnsi="宋体" w:cs="宋体"/>
        </w:rPr>
        <w:t>报纸类档案：民国时期南雄地方报纸《粤北报》、《南雄日报》、《南雄民国日报》、《南雄民报》、《浈凌报》、《雄政日报》、《雄风日报》、《大同日报》、《大地报》等80册。</w:t>
      </w:r>
    </w:p>
    <w:p w14:paraId="39D1A8F9">
      <w:pPr>
        <w:ind w:firstLine="420"/>
        <w:rPr>
          <w:rFonts w:ascii="宋体" w:hAnsi="宋体" w:cs="宋体"/>
        </w:rPr>
      </w:pPr>
      <w:r>
        <w:rPr>
          <w:rFonts w:hint="eastAsia" w:ascii="宋体" w:hAnsi="宋体" w:cs="宋体"/>
        </w:rPr>
        <w:t>谱牒档案：2004年止，馆藏族谱30种：</w:t>
      </w: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490"/>
        <w:gridCol w:w="2490"/>
        <w:gridCol w:w="2491"/>
        <w:gridCol w:w="2491"/>
      </w:tblGrid>
      <w:tr w14:paraId="4B04E3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90" w:type="dxa"/>
          </w:tcPr>
          <w:p w14:paraId="78148C44">
            <w:pPr>
              <w:ind w:firstLine="0" w:firstLineChars="0"/>
              <w:rPr>
                <w:rFonts w:ascii="宋体" w:hAnsi="宋体" w:cs="宋体"/>
              </w:rPr>
            </w:pPr>
            <w:r>
              <w:rPr>
                <w:rFonts w:hint="eastAsia" w:ascii="宋体" w:hAnsi="宋体" w:cs="宋体"/>
              </w:rPr>
              <w:t>吴氏族谱（1卷）</w:t>
            </w:r>
          </w:p>
        </w:tc>
        <w:tc>
          <w:tcPr>
            <w:tcW w:w="2490" w:type="dxa"/>
          </w:tcPr>
          <w:p w14:paraId="6593FFBA">
            <w:pPr>
              <w:ind w:firstLine="0" w:firstLineChars="0"/>
              <w:rPr>
                <w:rFonts w:ascii="宋体" w:hAnsi="宋体" w:cs="宋体"/>
              </w:rPr>
            </w:pPr>
            <w:r>
              <w:rPr>
                <w:rFonts w:hint="eastAsia" w:ascii="宋体" w:hAnsi="宋体" w:cs="宋体"/>
              </w:rPr>
              <w:t>民国元年</w:t>
            </w:r>
          </w:p>
        </w:tc>
        <w:tc>
          <w:tcPr>
            <w:tcW w:w="2491" w:type="dxa"/>
          </w:tcPr>
          <w:p w14:paraId="59EF0481">
            <w:pPr>
              <w:ind w:firstLine="0" w:firstLineChars="0"/>
              <w:rPr>
                <w:rFonts w:ascii="宋体" w:hAnsi="宋体" w:cs="宋体"/>
              </w:rPr>
            </w:pPr>
            <w:r>
              <w:rPr>
                <w:rFonts w:hint="eastAsia" w:ascii="宋体" w:hAnsi="宋体" w:cs="宋体"/>
              </w:rPr>
              <w:t>戴氏族谱（1卷）</w:t>
            </w:r>
          </w:p>
        </w:tc>
        <w:tc>
          <w:tcPr>
            <w:tcW w:w="2491" w:type="dxa"/>
          </w:tcPr>
          <w:p w14:paraId="027D780E">
            <w:pPr>
              <w:ind w:firstLine="0" w:firstLineChars="0"/>
              <w:rPr>
                <w:rFonts w:ascii="宋体" w:hAnsi="宋体" w:cs="宋体"/>
              </w:rPr>
            </w:pPr>
            <w:r>
              <w:rPr>
                <w:rFonts w:hint="eastAsia" w:ascii="宋体" w:hAnsi="宋体" w:cs="宋体"/>
              </w:rPr>
              <w:t>民国二十五年</w:t>
            </w:r>
          </w:p>
        </w:tc>
      </w:tr>
      <w:tr w14:paraId="0A6D6E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90" w:type="dxa"/>
          </w:tcPr>
          <w:p w14:paraId="47AC4341">
            <w:pPr>
              <w:ind w:firstLine="0" w:firstLineChars="0"/>
              <w:rPr>
                <w:rFonts w:ascii="宋体" w:hAnsi="宋体" w:cs="宋体"/>
              </w:rPr>
            </w:pPr>
            <w:r>
              <w:rPr>
                <w:rFonts w:hint="eastAsia" w:ascii="宋体" w:hAnsi="宋体" w:cs="宋体"/>
              </w:rPr>
              <w:t>杨氏族谱（1卷）</w:t>
            </w:r>
          </w:p>
        </w:tc>
        <w:tc>
          <w:tcPr>
            <w:tcW w:w="2490" w:type="dxa"/>
          </w:tcPr>
          <w:p w14:paraId="45E499EE">
            <w:pPr>
              <w:ind w:firstLine="0" w:firstLineChars="0"/>
              <w:rPr>
                <w:rFonts w:ascii="宋体" w:hAnsi="宋体" w:cs="宋体"/>
              </w:rPr>
            </w:pPr>
            <w:r>
              <w:rPr>
                <w:rFonts w:hint="eastAsia" w:ascii="宋体" w:hAnsi="宋体" w:cs="宋体"/>
              </w:rPr>
              <w:t>民国十一年</w:t>
            </w:r>
          </w:p>
        </w:tc>
        <w:tc>
          <w:tcPr>
            <w:tcW w:w="2491" w:type="dxa"/>
          </w:tcPr>
          <w:p w14:paraId="12EDBB6A">
            <w:pPr>
              <w:ind w:firstLine="0" w:firstLineChars="0"/>
              <w:rPr>
                <w:rFonts w:ascii="宋体" w:hAnsi="宋体" w:cs="宋体"/>
              </w:rPr>
            </w:pPr>
            <w:r>
              <w:rPr>
                <w:rFonts w:hint="eastAsia" w:ascii="宋体" w:hAnsi="宋体" w:cs="宋体"/>
              </w:rPr>
              <w:t>黄氏族谱（1卷）</w:t>
            </w:r>
          </w:p>
        </w:tc>
        <w:tc>
          <w:tcPr>
            <w:tcW w:w="2491" w:type="dxa"/>
          </w:tcPr>
          <w:p w14:paraId="7EC8B910">
            <w:pPr>
              <w:ind w:firstLine="0" w:firstLineChars="0"/>
              <w:rPr>
                <w:rFonts w:ascii="宋体" w:hAnsi="宋体" w:cs="宋体"/>
              </w:rPr>
            </w:pPr>
            <w:r>
              <w:rPr>
                <w:rFonts w:hint="eastAsia" w:ascii="宋体" w:hAnsi="宋体" w:cs="宋体"/>
              </w:rPr>
              <w:t>民国十七年</w:t>
            </w:r>
          </w:p>
        </w:tc>
      </w:tr>
      <w:tr w14:paraId="781467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90" w:type="dxa"/>
          </w:tcPr>
          <w:p w14:paraId="57674975">
            <w:pPr>
              <w:ind w:firstLine="0" w:firstLineChars="0"/>
              <w:rPr>
                <w:rFonts w:ascii="宋体" w:hAnsi="宋体" w:cs="宋体"/>
              </w:rPr>
            </w:pPr>
            <w:r>
              <w:rPr>
                <w:rFonts w:hint="eastAsia" w:ascii="宋体" w:hAnsi="宋体" w:cs="宋体"/>
              </w:rPr>
              <w:t>陈氏族谱（29卷）</w:t>
            </w:r>
          </w:p>
        </w:tc>
        <w:tc>
          <w:tcPr>
            <w:tcW w:w="2490" w:type="dxa"/>
          </w:tcPr>
          <w:p w14:paraId="023BCEC9">
            <w:pPr>
              <w:ind w:firstLine="0" w:firstLineChars="0"/>
              <w:rPr>
                <w:rFonts w:ascii="宋体" w:hAnsi="宋体" w:cs="宋体"/>
              </w:rPr>
            </w:pPr>
            <w:r>
              <w:rPr>
                <w:rFonts w:hint="eastAsia" w:ascii="宋体" w:hAnsi="宋体" w:cs="宋体"/>
              </w:rPr>
              <w:t>1998.5</w:t>
            </w:r>
          </w:p>
        </w:tc>
        <w:tc>
          <w:tcPr>
            <w:tcW w:w="2491" w:type="dxa"/>
          </w:tcPr>
          <w:p w14:paraId="1996DF46">
            <w:pPr>
              <w:ind w:firstLine="0" w:firstLineChars="0"/>
              <w:rPr>
                <w:rFonts w:ascii="宋体" w:hAnsi="宋体" w:cs="宋体"/>
              </w:rPr>
            </w:pPr>
            <w:r>
              <w:rPr>
                <w:rFonts w:hint="eastAsia" w:ascii="宋体" w:hAnsi="宋体" w:cs="宋体"/>
              </w:rPr>
              <w:t>卢氏族谱（4卷）</w:t>
            </w:r>
          </w:p>
        </w:tc>
        <w:tc>
          <w:tcPr>
            <w:tcW w:w="2491" w:type="dxa"/>
          </w:tcPr>
          <w:p w14:paraId="3F38EEBC">
            <w:pPr>
              <w:ind w:firstLine="0" w:firstLineChars="0"/>
              <w:rPr>
                <w:rFonts w:ascii="宋体" w:hAnsi="宋体" w:cs="宋体"/>
              </w:rPr>
            </w:pPr>
            <w:r>
              <w:rPr>
                <w:rFonts w:hint="eastAsia" w:ascii="宋体" w:hAnsi="宋体" w:cs="宋体"/>
              </w:rPr>
              <w:t>1996.6</w:t>
            </w:r>
          </w:p>
        </w:tc>
      </w:tr>
      <w:tr w14:paraId="0206D2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90" w:type="dxa"/>
          </w:tcPr>
          <w:p w14:paraId="5D828FAE">
            <w:pPr>
              <w:ind w:firstLine="0" w:firstLineChars="0"/>
              <w:rPr>
                <w:rFonts w:ascii="宋体" w:hAnsi="宋体" w:cs="宋体"/>
              </w:rPr>
            </w:pPr>
            <w:r>
              <w:rPr>
                <w:rFonts w:hint="eastAsia" w:ascii="宋体" w:hAnsi="宋体" w:cs="宋体"/>
              </w:rPr>
              <w:t>张氏族谱（14卷）</w:t>
            </w:r>
          </w:p>
        </w:tc>
        <w:tc>
          <w:tcPr>
            <w:tcW w:w="2490" w:type="dxa"/>
          </w:tcPr>
          <w:p w14:paraId="04E97948">
            <w:pPr>
              <w:ind w:firstLine="0" w:firstLineChars="0"/>
              <w:rPr>
                <w:rFonts w:ascii="宋体" w:hAnsi="宋体" w:cs="宋体"/>
              </w:rPr>
            </w:pPr>
            <w:r>
              <w:rPr>
                <w:rFonts w:hint="eastAsia" w:ascii="宋体" w:hAnsi="宋体" w:cs="宋体"/>
              </w:rPr>
              <w:t>1998.12</w:t>
            </w:r>
          </w:p>
        </w:tc>
        <w:tc>
          <w:tcPr>
            <w:tcW w:w="2491" w:type="dxa"/>
          </w:tcPr>
          <w:p w14:paraId="14416481">
            <w:pPr>
              <w:ind w:firstLine="0" w:firstLineChars="0"/>
              <w:rPr>
                <w:rFonts w:ascii="宋体" w:hAnsi="宋体" w:cs="宋体"/>
              </w:rPr>
            </w:pPr>
            <w:r>
              <w:rPr>
                <w:rFonts w:hint="eastAsia" w:ascii="宋体" w:hAnsi="宋体" w:cs="宋体"/>
              </w:rPr>
              <w:t>聂氏族谱（4卷）</w:t>
            </w:r>
          </w:p>
        </w:tc>
        <w:tc>
          <w:tcPr>
            <w:tcW w:w="2491" w:type="dxa"/>
          </w:tcPr>
          <w:p w14:paraId="3EB79BB3">
            <w:pPr>
              <w:ind w:firstLine="0" w:firstLineChars="0"/>
              <w:rPr>
                <w:rFonts w:ascii="宋体" w:hAnsi="宋体" w:cs="宋体"/>
              </w:rPr>
            </w:pPr>
            <w:r>
              <w:rPr>
                <w:rFonts w:hint="eastAsia" w:ascii="宋体" w:hAnsi="宋体" w:cs="宋体"/>
              </w:rPr>
              <w:t>1998</w:t>
            </w:r>
          </w:p>
        </w:tc>
      </w:tr>
      <w:tr w14:paraId="4FBE75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90" w:type="dxa"/>
          </w:tcPr>
          <w:p w14:paraId="14B48DD7">
            <w:pPr>
              <w:ind w:firstLine="0" w:firstLineChars="0"/>
              <w:rPr>
                <w:rFonts w:ascii="宋体" w:hAnsi="宋体" w:cs="宋体"/>
              </w:rPr>
            </w:pPr>
            <w:r>
              <w:rPr>
                <w:rFonts w:hint="eastAsia" w:ascii="宋体" w:hAnsi="宋体" w:cs="宋体"/>
              </w:rPr>
              <w:t>蓝氏族谱（1卷）</w:t>
            </w:r>
          </w:p>
        </w:tc>
        <w:tc>
          <w:tcPr>
            <w:tcW w:w="2490" w:type="dxa"/>
          </w:tcPr>
          <w:p w14:paraId="056389FB">
            <w:pPr>
              <w:ind w:firstLine="0" w:firstLineChars="0"/>
              <w:rPr>
                <w:rFonts w:ascii="宋体" w:hAnsi="宋体" w:cs="宋体"/>
              </w:rPr>
            </w:pPr>
            <w:r>
              <w:rPr>
                <w:rFonts w:hint="eastAsia" w:ascii="宋体" w:hAnsi="宋体" w:cs="宋体"/>
              </w:rPr>
              <w:t>1997.12</w:t>
            </w:r>
          </w:p>
        </w:tc>
        <w:tc>
          <w:tcPr>
            <w:tcW w:w="2491" w:type="dxa"/>
          </w:tcPr>
          <w:p w14:paraId="0C1E6273">
            <w:pPr>
              <w:ind w:firstLine="0" w:firstLineChars="0"/>
              <w:rPr>
                <w:rFonts w:ascii="宋体" w:hAnsi="宋体" w:cs="宋体"/>
              </w:rPr>
            </w:pPr>
            <w:r>
              <w:rPr>
                <w:rFonts w:hint="eastAsia" w:ascii="宋体" w:hAnsi="宋体" w:cs="宋体"/>
              </w:rPr>
              <w:t>钟氏族谱（6卷）</w:t>
            </w:r>
          </w:p>
        </w:tc>
        <w:tc>
          <w:tcPr>
            <w:tcW w:w="2491" w:type="dxa"/>
          </w:tcPr>
          <w:p w14:paraId="39AE15DA">
            <w:pPr>
              <w:ind w:firstLine="0" w:firstLineChars="0"/>
              <w:rPr>
                <w:rFonts w:ascii="宋体" w:hAnsi="宋体" w:cs="宋体"/>
              </w:rPr>
            </w:pPr>
            <w:r>
              <w:rPr>
                <w:rFonts w:hint="eastAsia" w:ascii="宋体" w:hAnsi="宋体" w:cs="宋体"/>
              </w:rPr>
              <w:t>1998.5</w:t>
            </w:r>
          </w:p>
        </w:tc>
      </w:tr>
      <w:tr w14:paraId="2EBADC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0" w:type="dxa"/>
            <w:gridSpan w:val="2"/>
          </w:tcPr>
          <w:p w14:paraId="3D25ED36">
            <w:pPr>
              <w:ind w:firstLine="0" w:firstLineChars="0"/>
              <w:rPr>
                <w:rFonts w:ascii="宋体" w:hAnsi="宋体" w:cs="宋体"/>
              </w:rPr>
            </w:pPr>
            <w:r>
              <w:rPr>
                <w:rFonts w:hint="eastAsia" w:ascii="宋体" w:hAnsi="宋体" w:cs="宋体"/>
              </w:rPr>
              <w:t>叶氏族谱（五修、邓坊）（11卷）</w:t>
            </w:r>
          </w:p>
        </w:tc>
        <w:tc>
          <w:tcPr>
            <w:tcW w:w="4982" w:type="dxa"/>
            <w:gridSpan w:val="2"/>
          </w:tcPr>
          <w:p w14:paraId="1032AEE4">
            <w:pPr>
              <w:ind w:firstLine="0" w:firstLineChars="0"/>
              <w:rPr>
                <w:rFonts w:ascii="宋体" w:hAnsi="宋体" w:cs="宋体"/>
              </w:rPr>
            </w:pPr>
            <w:r>
              <w:rPr>
                <w:rFonts w:hint="eastAsia" w:ascii="宋体" w:hAnsi="宋体" w:cs="宋体"/>
              </w:rPr>
              <w:t>1998.春</w:t>
            </w:r>
          </w:p>
        </w:tc>
      </w:tr>
      <w:tr w14:paraId="291526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0" w:type="dxa"/>
            <w:gridSpan w:val="2"/>
          </w:tcPr>
          <w:p w14:paraId="623905B4">
            <w:pPr>
              <w:ind w:firstLine="0" w:firstLineChars="0"/>
              <w:rPr>
                <w:rFonts w:ascii="宋体" w:hAnsi="宋体" w:cs="宋体"/>
              </w:rPr>
            </w:pPr>
            <w:r>
              <w:rPr>
                <w:rFonts w:hint="eastAsia" w:ascii="宋体" w:hAnsi="宋体" w:cs="宋体"/>
              </w:rPr>
              <w:t>邓氏族谱（9卷）</w:t>
            </w:r>
          </w:p>
        </w:tc>
        <w:tc>
          <w:tcPr>
            <w:tcW w:w="4982" w:type="dxa"/>
            <w:gridSpan w:val="2"/>
          </w:tcPr>
          <w:p w14:paraId="4E3A9AD0">
            <w:pPr>
              <w:ind w:firstLine="0" w:firstLineChars="0"/>
              <w:rPr>
                <w:rFonts w:ascii="宋体" w:hAnsi="宋体" w:cs="宋体"/>
              </w:rPr>
            </w:pPr>
            <w:r>
              <w:rPr>
                <w:rFonts w:hint="eastAsia" w:ascii="宋体" w:hAnsi="宋体" w:cs="宋体"/>
              </w:rPr>
              <w:t>1998.3</w:t>
            </w:r>
          </w:p>
        </w:tc>
      </w:tr>
      <w:tr w14:paraId="377DD3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90" w:type="dxa"/>
          </w:tcPr>
          <w:p w14:paraId="2F85D51E">
            <w:pPr>
              <w:ind w:firstLine="0" w:firstLineChars="0"/>
              <w:rPr>
                <w:rFonts w:ascii="宋体" w:hAnsi="宋体" w:cs="宋体"/>
              </w:rPr>
            </w:pPr>
            <w:r>
              <w:rPr>
                <w:rFonts w:hint="eastAsia" w:ascii="宋体" w:hAnsi="宋体" w:cs="宋体"/>
              </w:rPr>
              <w:t>谢氏族谱（7卷）</w:t>
            </w:r>
          </w:p>
        </w:tc>
        <w:tc>
          <w:tcPr>
            <w:tcW w:w="2490" w:type="dxa"/>
          </w:tcPr>
          <w:p w14:paraId="082A9C3D">
            <w:pPr>
              <w:ind w:firstLine="0" w:firstLineChars="0"/>
              <w:rPr>
                <w:rFonts w:ascii="宋体" w:hAnsi="宋体" w:cs="宋体"/>
              </w:rPr>
            </w:pPr>
            <w:r>
              <w:rPr>
                <w:rFonts w:hint="eastAsia" w:ascii="宋体" w:hAnsi="宋体" w:cs="宋体"/>
              </w:rPr>
              <w:t>1999.3</w:t>
            </w:r>
          </w:p>
        </w:tc>
        <w:tc>
          <w:tcPr>
            <w:tcW w:w="2491" w:type="dxa"/>
          </w:tcPr>
          <w:p w14:paraId="33CD2975">
            <w:pPr>
              <w:ind w:firstLine="0" w:firstLineChars="0"/>
              <w:rPr>
                <w:rFonts w:ascii="宋体" w:hAnsi="宋体" w:cs="宋体"/>
              </w:rPr>
            </w:pPr>
            <w:r>
              <w:rPr>
                <w:rFonts w:hint="eastAsia" w:ascii="宋体" w:hAnsi="宋体" w:cs="宋体"/>
              </w:rPr>
              <w:t>林氏族谱（9卷）</w:t>
            </w:r>
          </w:p>
        </w:tc>
        <w:tc>
          <w:tcPr>
            <w:tcW w:w="2491" w:type="dxa"/>
          </w:tcPr>
          <w:p w14:paraId="47349DD6">
            <w:pPr>
              <w:ind w:firstLine="0" w:firstLineChars="0"/>
              <w:rPr>
                <w:rFonts w:ascii="宋体" w:hAnsi="宋体" w:cs="宋体"/>
              </w:rPr>
            </w:pPr>
            <w:r>
              <w:rPr>
                <w:rFonts w:hint="eastAsia" w:ascii="宋体" w:hAnsi="宋体" w:cs="宋体"/>
              </w:rPr>
              <w:t>2001.2</w:t>
            </w:r>
          </w:p>
        </w:tc>
      </w:tr>
      <w:tr w14:paraId="44E9EB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90" w:type="dxa"/>
          </w:tcPr>
          <w:p w14:paraId="4D522D39">
            <w:pPr>
              <w:ind w:firstLine="0" w:firstLineChars="0"/>
              <w:rPr>
                <w:rFonts w:ascii="宋体" w:hAnsi="宋体" w:cs="宋体"/>
              </w:rPr>
            </w:pPr>
            <w:r>
              <w:rPr>
                <w:rFonts w:hint="eastAsia" w:ascii="宋体" w:hAnsi="宋体" w:cs="宋体"/>
              </w:rPr>
              <w:t>谭氏族谱（3卷）</w:t>
            </w:r>
          </w:p>
        </w:tc>
        <w:tc>
          <w:tcPr>
            <w:tcW w:w="2490" w:type="dxa"/>
          </w:tcPr>
          <w:p w14:paraId="136246D1">
            <w:pPr>
              <w:ind w:firstLine="0" w:firstLineChars="0"/>
              <w:rPr>
                <w:rFonts w:ascii="宋体" w:hAnsi="宋体" w:cs="宋体"/>
              </w:rPr>
            </w:pPr>
            <w:r>
              <w:rPr>
                <w:rFonts w:hint="eastAsia" w:ascii="宋体" w:hAnsi="宋体" w:cs="宋体"/>
              </w:rPr>
              <w:t>2000.春</w:t>
            </w:r>
          </w:p>
        </w:tc>
        <w:tc>
          <w:tcPr>
            <w:tcW w:w="2491" w:type="dxa"/>
          </w:tcPr>
          <w:p w14:paraId="75A7F629">
            <w:pPr>
              <w:ind w:firstLine="0" w:firstLineChars="0"/>
              <w:rPr>
                <w:rFonts w:ascii="宋体" w:hAnsi="宋体" w:cs="宋体"/>
              </w:rPr>
            </w:pPr>
          </w:p>
        </w:tc>
        <w:tc>
          <w:tcPr>
            <w:tcW w:w="2491" w:type="dxa"/>
          </w:tcPr>
          <w:p w14:paraId="02DC899B">
            <w:pPr>
              <w:ind w:firstLine="0" w:firstLineChars="0"/>
              <w:rPr>
                <w:rFonts w:ascii="宋体" w:hAnsi="宋体" w:cs="宋体"/>
              </w:rPr>
            </w:pPr>
          </w:p>
        </w:tc>
      </w:tr>
      <w:tr w14:paraId="2EFF98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0" w:type="dxa"/>
            <w:gridSpan w:val="2"/>
          </w:tcPr>
          <w:p w14:paraId="5857F2C8">
            <w:pPr>
              <w:ind w:firstLine="0" w:firstLineChars="0"/>
              <w:rPr>
                <w:rFonts w:ascii="宋体" w:hAnsi="宋体" w:cs="宋体"/>
              </w:rPr>
            </w:pPr>
            <w:r>
              <w:rPr>
                <w:rFonts w:hint="eastAsia" w:ascii="宋体" w:hAnsi="宋体" w:cs="宋体"/>
              </w:rPr>
              <w:t>南阳堂叶氏仲华七修族谱（12卷）</w:t>
            </w:r>
          </w:p>
        </w:tc>
        <w:tc>
          <w:tcPr>
            <w:tcW w:w="4982" w:type="dxa"/>
            <w:gridSpan w:val="2"/>
          </w:tcPr>
          <w:p w14:paraId="7C251C61">
            <w:pPr>
              <w:ind w:firstLine="0" w:firstLineChars="0"/>
              <w:rPr>
                <w:rFonts w:ascii="宋体" w:hAnsi="宋体" w:cs="宋体"/>
              </w:rPr>
            </w:pPr>
            <w:r>
              <w:rPr>
                <w:rFonts w:hint="eastAsia" w:ascii="宋体" w:hAnsi="宋体" w:cs="宋体"/>
              </w:rPr>
              <w:t>1998.8</w:t>
            </w:r>
          </w:p>
        </w:tc>
      </w:tr>
      <w:tr w14:paraId="136416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90" w:type="dxa"/>
          </w:tcPr>
          <w:p w14:paraId="7324D0DC">
            <w:pPr>
              <w:ind w:firstLine="0" w:firstLineChars="0"/>
              <w:rPr>
                <w:rFonts w:ascii="宋体" w:hAnsi="宋体" w:cs="宋体"/>
              </w:rPr>
            </w:pPr>
            <w:r>
              <w:rPr>
                <w:rFonts w:hint="eastAsia" w:ascii="宋体" w:hAnsi="宋体" w:cs="宋体"/>
              </w:rPr>
              <w:t>吴氏联谱（3卷）</w:t>
            </w:r>
          </w:p>
        </w:tc>
        <w:tc>
          <w:tcPr>
            <w:tcW w:w="2490" w:type="dxa"/>
          </w:tcPr>
          <w:p w14:paraId="4A4B0326">
            <w:pPr>
              <w:ind w:firstLine="0" w:firstLineChars="0"/>
              <w:rPr>
                <w:rFonts w:ascii="宋体" w:hAnsi="宋体" w:cs="宋体"/>
              </w:rPr>
            </w:pPr>
            <w:r>
              <w:rPr>
                <w:rFonts w:hint="eastAsia" w:ascii="宋体" w:hAnsi="宋体" w:cs="宋体"/>
              </w:rPr>
              <w:t>2000.春</w:t>
            </w:r>
          </w:p>
        </w:tc>
        <w:tc>
          <w:tcPr>
            <w:tcW w:w="2491" w:type="dxa"/>
          </w:tcPr>
          <w:p w14:paraId="23AFAFFF">
            <w:pPr>
              <w:ind w:firstLine="0" w:firstLineChars="0"/>
              <w:rPr>
                <w:rFonts w:ascii="宋体" w:hAnsi="宋体" w:cs="宋体"/>
              </w:rPr>
            </w:pPr>
            <w:r>
              <w:rPr>
                <w:rFonts w:hint="eastAsia" w:ascii="宋体" w:hAnsi="宋体" w:cs="宋体"/>
              </w:rPr>
              <w:t>浈昌吴氏（3卷）</w:t>
            </w:r>
          </w:p>
        </w:tc>
        <w:tc>
          <w:tcPr>
            <w:tcW w:w="2491" w:type="dxa"/>
          </w:tcPr>
          <w:p w14:paraId="6947253B">
            <w:pPr>
              <w:ind w:firstLine="0" w:firstLineChars="0"/>
              <w:rPr>
                <w:rFonts w:ascii="宋体" w:hAnsi="宋体" w:cs="宋体"/>
              </w:rPr>
            </w:pPr>
            <w:r>
              <w:rPr>
                <w:rFonts w:hint="eastAsia" w:ascii="宋体" w:hAnsi="宋体" w:cs="宋体"/>
              </w:rPr>
              <w:t>2000.1</w:t>
            </w:r>
          </w:p>
        </w:tc>
      </w:tr>
      <w:tr w14:paraId="2186FA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90" w:type="dxa"/>
          </w:tcPr>
          <w:p w14:paraId="5C83AA8C">
            <w:pPr>
              <w:ind w:firstLine="0" w:firstLineChars="0"/>
              <w:rPr>
                <w:rFonts w:ascii="宋体" w:hAnsi="宋体" w:cs="宋体"/>
              </w:rPr>
            </w:pPr>
            <w:r>
              <w:rPr>
                <w:rFonts w:hint="eastAsia" w:ascii="宋体" w:hAnsi="宋体" w:cs="宋体"/>
              </w:rPr>
              <w:t>刘氏联谱（13卷）</w:t>
            </w:r>
          </w:p>
        </w:tc>
        <w:tc>
          <w:tcPr>
            <w:tcW w:w="2490" w:type="dxa"/>
          </w:tcPr>
          <w:p w14:paraId="137A0075">
            <w:pPr>
              <w:ind w:firstLine="0" w:firstLineChars="0"/>
              <w:rPr>
                <w:rFonts w:ascii="宋体" w:hAnsi="宋体" w:cs="宋体"/>
              </w:rPr>
            </w:pPr>
            <w:r>
              <w:rPr>
                <w:rFonts w:hint="eastAsia" w:ascii="宋体" w:hAnsi="宋体" w:cs="宋体"/>
              </w:rPr>
              <w:t>2000.春</w:t>
            </w:r>
          </w:p>
        </w:tc>
        <w:tc>
          <w:tcPr>
            <w:tcW w:w="2491" w:type="dxa"/>
          </w:tcPr>
          <w:p w14:paraId="27E34F01">
            <w:pPr>
              <w:ind w:firstLine="0" w:firstLineChars="0"/>
              <w:rPr>
                <w:rFonts w:ascii="宋体" w:hAnsi="宋体" w:cs="宋体"/>
              </w:rPr>
            </w:pPr>
            <w:r>
              <w:rPr>
                <w:rFonts w:hint="eastAsia" w:ascii="宋体" w:hAnsi="宋体" w:cs="宋体"/>
              </w:rPr>
              <w:t>沈氏族谱（12卷）</w:t>
            </w:r>
          </w:p>
        </w:tc>
        <w:tc>
          <w:tcPr>
            <w:tcW w:w="2491" w:type="dxa"/>
          </w:tcPr>
          <w:p w14:paraId="19E89717">
            <w:pPr>
              <w:ind w:firstLine="0" w:firstLineChars="0"/>
              <w:rPr>
                <w:rFonts w:ascii="宋体" w:hAnsi="宋体" w:cs="宋体"/>
              </w:rPr>
            </w:pPr>
            <w:r>
              <w:rPr>
                <w:rFonts w:hint="eastAsia" w:ascii="宋体" w:hAnsi="宋体" w:cs="宋体"/>
              </w:rPr>
              <w:t>2001.9</w:t>
            </w:r>
          </w:p>
        </w:tc>
      </w:tr>
      <w:tr w14:paraId="76663B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90" w:type="dxa"/>
          </w:tcPr>
          <w:p w14:paraId="7D4B480D">
            <w:pPr>
              <w:ind w:firstLine="0" w:firstLineChars="0"/>
              <w:rPr>
                <w:rFonts w:ascii="宋体" w:hAnsi="宋体" w:cs="宋体"/>
              </w:rPr>
            </w:pPr>
            <w:r>
              <w:rPr>
                <w:rFonts w:hint="eastAsia" w:ascii="宋体" w:hAnsi="宋体" w:cs="宋体"/>
              </w:rPr>
              <w:t>麦氏族谱（1卷）</w:t>
            </w:r>
          </w:p>
        </w:tc>
        <w:tc>
          <w:tcPr>
            <w:tcW w:w="2490" w:type="dxa"/>
          </w:tcPr>
          <w:p w14:paraId="5DB3253B">
            <w:pPr>
              <w:ind w:firstLine="0" w:firstLineChars="0"/>
              <w:rPr>
                <w:rFonts w:ascii="宋体" w:hAnsi="宋体" w:cs="宋体"/>
              </w:rPr>
            </w:pPr>
            <w:r>
              <w:rPr>
                <w:rFonts w:hint="eastAsia" w:ascii="宋体" w:hAnsi="宋体" w:cs="宋体"/>
              </w:rPr>
              <w:t>2002</w:t>
            </w:r>
          </w:p>
        </w:tc>
        <w:tc>
          <w:tcPr>
            <w:tcW w:w="2491" w:type="dxa"/>
          </w:tcPr>
          <w:p w14:paraId="1E9CD51D">
            <w:pPr>
              <w:ind w:firstLine="0" w:firstLineChars="0"/>
              <w:rPr>
                <w:rFonts w:ascii="宋体" w:hAnsi="宋体" w:cs="宋体"/>
              </w:rPr>
            </w:pPr>
            <w:r>
              <w:rPr>
                <w:rFonts w:hint="eastAsia" w:ascii="宋体" w:hAnsi="宋体" w:cs="宋体"/>
              </w:rPr>
              <w:t>何氏族谱（5卷）</w:t>
            </w:r>
          </w:p>
        </w:tc>
        <w:tc>
          <w:tcPr>
            <w:tcW w:w="2491" w:type="dxa"/>
          </w:tcPr>
          <w:p w14:paraId="2D4606E9">
            <w:pPr>
              <w:ind w:firstLine="0" w:firstLineChars="0"/>
              <w:rPr>
                <w:rFonts w:ascii="宋体" w:hAnsi="宋体" w:cs="宋体"/>
              </w:rPr>
            </w:pPr>
            <w:r>
              <w:rPr>
                <w:rFonts w:hint="eastAsia" w:ascii="宋体" w:hAnsi="宋体" w:cs="宋体"/>
              </w:rPr>
              <w:t>2001.春</w:t>
            </w:r>
          </w:p>
        </w:tc>
      </w:tr>
      <w:tr w14:paraId="5896CE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90" w:type="dxa"/>
          </w:tcPr>
          <w:p w14:paraId="468E156F">
            <w:pPr>
              <w:ind w:firstLine="0" w:firstLineChars="0"/>
              <w:rPr>
                <w:rFonts w:ascii="宋体" w:hAnsi="宋体" w:cs="宋体"/>
              </w:rPr>
            </w:pPr>
            <w:r>
              <w:rPr>
                <w:rFonts w:hint="eastAsia" w:ascii="宋体" w:hAnsi="宋体" w:cs="宋体"/>
              </w:rPr>
              <w:t>曾氏族谱（8卷）</w:t>
            </w:r>
          </w:p>
        </w:tc>
        <w:tc>
          <w:tcPr>
            <w:tcW w:w="2490" w:type="dxa"/>
          </w:tcPr>
          <w:p w14:paraId="697E9255">
            <w:pPr>
              <w:ind w:firstLine="0" w:firstLineChars="0"/>
              <w:rPr>
                <w:rFonts w:ascii="宋体" w:hAnsi="宋体" w:cs="宋体"/>
              </w:rPr>
            </w:pPr>
            <w:r>
              <w:rPr>
                <w:rFonts w:hint="eastAsia" w:ascii="宋体" w:hAnsi="宋体" w:cs="宋体"/>
              </w:rPr>
              <w:t>2002.春</w:t>
            </w:r>
          </w:p>
        </w:tc>
        <w:tc>
          <w:tcPr>
            <w:tcW w:w="2491" w:type="dxa"/>
          </w:tcPr>
          <w:p w14:paraId="531D47C9">
            <w:pPr>
              <w:ind w:firstLine="0" w:firstLineChars="0"/>
              <w:rPr>
                <w:rFonts w:ascii="宋体" w:hAnsi="宋体" w:cs="宋体"/>
              </w:rPr>
            </w:pPr>
            <w:r>
              <w:rPr>
                <w:rFonts w:hint="eastAsia" w:ascii="宋体" w:hAnsi="宋体" w:cs="宋体"/>
              </w:rPr>
              <w:t>马氏族谱（1卷）</w:t>
            </w:r>
          </w:p>
        </w:tc>
        <w:tc>
          <w:tcPr>
            <w:tcW w:w="2491" w:type="dxa"/>
          </w:tcPr>
          <w:p w14:paraId="730D3C14">
            <w:pPr>
              <w:ind w:firstLine="0" w:firstLineChars="0"/>
              <w:rPr>
                <w:rFonts w:ascii="宋体" w:hAnsi="宋体" w:cs="宋体"/>
              </w:rPr>
            </w:pPr>
            <w:r>
              <w:rPr>
                <w:rFonts w:hint="eastAsia" w:ascii="宋体" w:hAnsi="宋体" w:cs="宋体"/>
              </w:rPr>
              <w:t>2001.春</w:t>
            </w:r>
          </w:p>
        </w:tc>
      </w:tr>
      <w:tr w14:paraId="085234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90" w:type="dxa"/>
          </w:tcPr>
          <w:p w14:paraId="34955E04">
            <w:pPr>
              <w:ind w:firstLine="0" w:firstLineChars="0"/>
              <w:rPr>
                <w:rFonts w:ascii="宋体" w:hAnsi="宋体" w:cs="宋体"/>
              </w:rPr>
            </w:pPr>
            <w:r>
              <w:rPr>
                <w:rFonts w:hint="eastAsia" w:ascii="宋体" w:hAnsi="宋体" w:cs="宋体"/>
              </w:rPr>
              <w:t>彭氏族谱（13卷）</w:t>
            </w:r>
          </w:p>
        </w:tc>
        <w:tc>
          <w:tcPr>
            <w:tcW w:w="2490" w:type="dxa"/>
          </w:tcPr>
          <w:p w14:paraId="384DEE9C">
            <w:pPr>
              <w:ind w:firstLine="0" w:firstLineChars="0"/>
              <w:rPr>
                <w:rFonts w:ascii="宋体" w:hAnsi="宋体" w:cs="宋体"/>
              </w:rPr>
            </w:pPr>
            <w:r>
              <w:rPr>
                <w:rFonts w:hint="eastAsia" w:ascii="宋体" w:hAnsi="宋体" w:cs="宋体"/>
              </w:rPr>
              <w:t>2001.7</w:t>
            </w:r>
          </w:p>
        </w:tc>
        <w:tc>
          <w:tcPr>
            <w:tcW w:w="2491" w:type="dxa"/>
          </w:tcPr>
          <w:p w14:paraId="71CC9A56">
            <w:pPr>
              <w:ind w:firstLine="0" w:firstLineChars="0"/>
              <w:rPr>
                <w:rFonts w:ascii="宋体" w:hAnsi="宋体" w:cs="宋体"/>
              </w:rPr>
            </w:pPr>
            <w:r>
              <w:rPr>
                <w:rFonts w:hint="eastAsia" w:ascii="宋体" w:hAnsi="宋体" w:cs="宋体"/>
              </w:rPr>
              <w:t>刘氏通谱（12卷）</w:t>
            </w:r>
          </w:p>
        </w:tc>
        <w:tc>
          <w:tcPr>
            <w:tcW w:w="2491" w:type="dxa"/>
          </w:tcPr>
          <w:p w14:paraId="2A35CFCB">
            <w:pPr>
              <w:ind w:firstLine="0" w:firstLineChars="0"/>
              <w:rPr>
                <w:rFonts w:ascii="宋体" w:hAnsi="宋体" w:cs="宋体"/>
              </w:rPr>
            </w:pPr>
            <w:r>
              <w:rPr>
                <w:rFonts w:hint="eastAsia" w:ascii="宋体" w:hAnsi="宋体" w:cs="宋体"/>
              </w:rPr>
              <w:t>2000.春</w:t>
            </w:r>
          </w:p>
        </w:tc>
      </w:tr>
      <w:tr w14:paraId="45061E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90" w:type="dxa"/>
          </w:tcPr>
          <w:p w14:paraId="64ACC37E">
            <w:pPr>
              <w:ind w:firstLine="0" w:firstLineChars="0"/>
              <w:rPr>
                <w:rFonts w:ascii="宋体" w:hAnsi="宋体" w:cs="宋体"/>
              </w:rPr>
            </w:pPr>
            <w:r>
              <w:rPr>
                <w:rFonts w:hint="eastAsia" w:ascii="宋体" w:hAnsi="宋体" w:cs="宋体"/>
              </w:rPr>
              <w:t>叶氏联谱（2卷）</w:t>
            </w:r>
          </w:p>
        </w:tc>
        <w:tc>
          <w:tcPr>
            <w:tcW w:w="2490" w:type="dxa"/>
          </w:tcPr>
          <w:p w14:paraId="4C1B7620">
            <w:pPr>
              <w:ind w:firstLine="0" w:firstLineChars="0"/>
              <w:rPr>
                <w:rFonts w:ascii="宋体" w:hAnsi="宋体" w:cs="宋体"/>
              </w:rPr>
            </w:pPr>
            <w:r>
              <w:rPr>
                <w:rFonts w:hint="eastAsia" w:ascii="宋体" w:hAnsi="宋体" w:cs="宋体"/>
              </w:rPr>
              <w:t>1999.春</w:t>
            </w:r>
          </w:p>
        </w:tc>
        <w:tc>
          <w:tcPr>
            <w:tcW w:w="2491" w:type="dxa"/>
          </w:tcPr>
          <w:p w14:paraId="48B374E3">
            <w:pPr>
              <w:ind w:firstLine="0" w:firstLineChars="0"/>
              <w:rPr>
                <w:rFonts w:ascii="宋体" w:hAnsi="宋体" w:cs="宋体"/>
              </w:rPr>
            </w:pPr>
          </w:p>
        </w:tc>
        <w:tc>
          <w:tcPr>
            <w:tcW w:w="2491" w:type="dxa"/>
          </w:tcPr>
          <w:p w14:paraId="72A80600">
            <w:pPr>
              <w:ind w:firstLine="0" w:firstLineChars="0"/>
              <w:rPr>
                <w:rFonts w:ascii="宋体" w:hAnsi="宋体" w:cs="宋体"/>
              </w:rPr>
            </w:pPr>
          </w:p>
        </w:tc>
      </w:tr>
      <w:tr w14:paraId="02495C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0" w:type="dxa"/>
            <w:gridSpan w:val="2"/>
          </w:tcPr>
          <w:p w14:paraId="5ABA604B">
            <w:pPr>
              <w:ind w:firstLine="0" w:firstLineChars="0"/>
              <w:rPr>
                <w:rFonts w:ascii="宋体" w:hAnsi="宋体" w:cs="宋体"/>
              </w:rPr>
            </w:pPr>
            <w:r>
              <w:rPr>
                <w:rFonts w:hint="eastAsia" w:ascii="宋体" w:hAnsi="宋体" w:cs="宋体"/>
              </w:rPr>
              <w:t>叶氏道公房后裔谱牒（3卷）</w:t>
            </w:r>
          </w:p>
        </w:tc>
        <w:tc>
          <w:tcPr>
            <w:tcW w:w="4982" w:type="dxa"/>
            <w:gridSpan w:val="2"/>
          </w:tcPr>
          <w:p w14:paraId="3A55E3EF">
            <w:pPr>
              <w:ind w:firstLine="0" w:firstLineChars="0"/>
              <w:rPr>
                <w:rFonts w:ascii="宋体" w:hAnsi="宋体" w:cs="宋体"/>
              </w:rPr>
            </w:pPr>
            <w:r>
              <w:rPr>
                <w:rFonts w:hint="eastAsia" w:ascii="宋体" w:hAnsi="宋体" w:cs="宋体"/>
              </w:rPr>
              <w:t>1998.夏</w:t>
            </w:r>
          </w:p>
        </w:tc>
      </w:tr>
      <w:tr w14:paraId="293968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0" w:type="dxa"/>
            <w:gridSpan w:val="2"/>
          </w:tcPr>
          <w:p w14:paraId="016F413E">
            <w:pPr>
              <w:ind w:firstLine="0" w:firstLineChars="0"/>
              <w:rPr>
                <w:rFonts w:ascii="宋体" w:hAnsi="宋体" w:cs="宋体"/>
              </w:rPr>
            </w:pPr>
            <w:r>
              <w:rPr>
                <w:rFonts w:hint="eastAsia" w:ascii="宋体" w:hAnsi="宋体" w:cs="宋体"/>
              </w:rPr>
              <w:t>珠玑卷南迁刘氏通谱（2卷）</w:t>
            </w:r>
          </w:p>
        </w:tc>
        <w:tc>
          <w:tcPr>
            <w:tcW w:w="4982" w:type="dxa"/>
            <w:gridSpan w:val="2"/>
          </w:tcPr>
          <w:p w14:paraId="2BFEEC1C">
            <w:pPr>
              <w:ind w:firstLine="0" w:firstLineChars="0"/>
              <w:rPr>
                <w:rFonts w:ascii="宋体" w:hAnsi="宋体" w:cs="宋体"/>
              </w:rPr>
            </w:pPr>
            <w:r>
              <w:rPr>
                <w:rFonts w:hint="eastAsia" w:ascii="宋体" w:hAnsi="宋体" w:cs="宋体"/>
              </w:rPr>
              <w:t>2003.春</w:t>
            </w:r>
          </w:p>
        </w:tc>
      </w:tr>
      <w:tr w14:paraId="4BB9DC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0" w:type="dxa"/>
            <w:gridSpan w:val="2"/>
          </w:tcPr>
          <w:p w14:paraId="77FD8B93">
            <w:pPr>
              <w:ind w:firstLine="0" w:firstLineChars="0"/>
              <w:rPr>
                <w:rFonts w:ascii="宋体" w:hAnsi="宋体" w:cs="宋体"/>
              </w:rPr>
            </w:pPr>
            <w:r>
              <w:rPr>
                <w:rFonts w:hint="eastAsia" w:ascii="宋体" w:hAnsi="宋体" w:cs="宋体"/>
              </w:rPr>
              <w:t>闻韶刘氏联谱（1卷）</w:t>
            </w:r>
          </w:p>
        </w:tc>
        <w:tc>
          <w:tcPr>
            <w:tcW w:w="4982" w:type="dxa"/>
            <w:gridSpan w:val="2"/>
          </w:tcPr>
          <w:p w14:paraId="4AB21112">
            <w:pPr>
              <w:ind w:firstLine="0" w:firstLineChars="0"/>
              <w:rPr>
                <w:rFonts w:ascii="宋体" w:hAnsi="宋体" w:cs="宋体"/>
              </w:rPr>
            </w:pPr>
            <w:r>
              <w:rPr>
                <w:rFonts w:hint="eastAsia" w:ascii="宋体" w:hAnsi="宋体" w:cs="宋体"/>
              </w:rPr>
              <w:t>2002.2</w:t>
            </w:r>
          </w:p>
        </w:tc>
      </w:tr>
    </w:tbl>
    <w:p w14:paraId="3E364AD1">
      <w:pPr>
        <w:pStyle w:val="5"/>
        <w:rPr>
          <w:rFonts w:ascii="宋体" w:hAnsi="宋体" w:cs="宋体"/>
        </w:rPr>
      </w:pPr>
      <w:r>
        <w:rPr>
          <w:rFonts w:hint="eastAsia" w:ascii="宋体" w:hAnsi="宋体" w:cs="宋体"/>
        </w:rPr>
        <w:t>二、地方志编修</w:t>
      </w:r>
    </w:p>
    <w:p w14:paraId="31C6B8DE">
      <w:pPr>
        <w:ind w:firstLine="422"/>
        <w:rPr>
          <w:rFonts w:ascii="宋体" w:hAnsi="宋体" w:cs="宋体"/>
          <w:b/>
          <w:bCs/>
        </w:rPr>
      </w:pPr>
      <w:r>
        <w:rPr>
          <w:rFonts w:hint="eastAsia" w:ascii="宋体" w:hAnsi="宋体" w:cs="宋体"/>
          <w:b/>
          <w:bCs/>
        </w:rPr>
        <w:t>（一）古代修志纪略</w:t>
      </w:r>
    </w:p>
    <w:p w14:paraId="26460D37">
      <w:pPr>
        <w:ind w:firstLine="420"/>
        <w:rPr>
          <w:rFonts w:ascii="宋体" w:hAnsi="宋体" w:cs="宋体"/>
        </w:rPr>
      </w:pPr>
      <w:r>
        <w:rPr>
          <w:rFonts w:hint="eastAsia" w:ascii="宋体" w:hAnsi="宋体" w:cs="宋体"/>
        </w:rPr>
        <w:t>考南雄府、州、县志编修，始于南宋嘉定十三年（1220年），名为《保昌志》，止于清道光四年（1825年），名为《直隶南雄州志》，历时605年，凡十四修。</w:t>
      </w:r>
    </w:p>
    <w:p w14:paraId="79DE712A">
      <w:pPr>
        <w:ind w:firstLine="420"/>
        <w:rPr>
          <w:rFonts w:ascii="宋体" w:hAnsi="宋体" w:cs="宋体"/>
        </w:rPr>
      </w:pPr>
      <w:r>
        <w:rPr>
          <w:rFonts w:hint="eastAsia" w:ascii="宋体" w:hAnsi="宋体" w:cs="宋体"/>
        </w:rPr>
        <w:t>保昌县古代皆倚郭，除宋嘉定十三年（1220年）修保昌志外，多以府、州、县志合成一志，只有2次析府志另修县志，一为康熙二十五年（1686年），一为乾隆十八年（1753年），析《南雄府志》另修《保昌县志》。</w:t>
      </w:r>
    </w:p>
    <w:p w14:paraId="7E23F341">
      <w:pPr>
        <w:ind w:firstLine="420"/>
        <w:rPr>
          <w:rFonts w:ascii="宋体" w:hAnsi="宋体" w:cs="宋体"/>
        </w:rPr>
      </w:pPr>
      <w:r>
        <w:rPr>
          <w:rFonts w:hint="eastAsia" w:ascii="宋体" w:hAnsi="宋体" w:cs="宋体"/>
        </w:rPr>
        <w:t>考前14次修志中，宋代1次，元代1次，明代7次（永乐、正统、成化、正德、嘉靖、万历、天启），清代5次（康熙乙卯、丙寅、乾隆、嘉庆、道光），现存六部。各志书编修存佚情况：</w:t>
      </w:r>
    </w:p>
    <w:p w14:paraId="17517ED9">
      <w:pPr>
        <w:ind w:firstLine="420"/>
        <w:rPr>
          <w:rFonts w:ascii="宋体" w:hAnsi="宋体" w:cs="宋体"/>
        </w:rPr>
      </w:pPr>
      <w:r>
        <w:rPr>
          <w:rFonts w:hint="eastAsia" w:ascii="宋体" w:hAnsi="宋体" w:cs="宋体"/>
        </w:rPr>
        <w:t>宋嘉定十三年（1220年）知府孙崈修，志名《保昌志》，8卷。久佚。</w:t>
      </w:r>
    </w:p>
    <w:p w14:paraId="7849D754">
      <w:pPr>
        <w:ind w:firstLine="420"/>
        <w:rPr>
          <w:rFonts w:ascii="宋体" w:hAnsi="宋体" w:cs="宋体"/>
        </w:rPr>
      </w:pPr>
      <w:r>
        <w:rPr>
          <w:rFonts w:hint="eastAsia" w:ascii="宋体" w:hAnsi="宋体" w:cs="宋体"/>
        </w:rPr>
        <w:t>元至元二年（1336年）教授黄慈孙修，志名不详。久佚。</w:t>
      </w:r>
    </w:p>
    <w:p w14:paraId="00682AC1">
      <w:pPr>
        <w:ind w:firstLine="420"/>
        <w:rPr>
          <w:rFonts w:ascii="宋体" w:hAnsi="宋体" w:cs="宋体"/>
        </w:rPr>
      </w:pPr>
      <w:r>
        <w:rPr>
          <w:rFonts w:hint="eastAsia" w:ascii="宋体" w:hAnsi="宋体" w:cs="宋体"/>
        </w:rPr>
        <w:t>明永乐二十二年（1424年）知府陈赐修，志名《南雄郡志》。久佚。</w:t>
      </w:r>
    </w:p>
    <w:p w14:paraId="63BAAB7C">
      <w:pPr>
        <w:ind w:firstLine="420"/>
        <w:rPr>
          <w:rFonts w:ascii="宋体" w:hAnsi="宋体" w:cs="宋体"/>
        </w:rPr>
      </w:pPr>
      <w:r>
        <w:rPr>
          <w:rFonts w:hint="eastAsia" w:ascii="宋体" w:hAnsi="宋体" w:cs="宋体"/>
        </w:rPr>
        <w:t>正统十二年（1447年）知府郑述修，志名不详。久佚。</w:t>
      </w:r>
    </w:p>
    <w:p w14:paraId="3BB1346D">
      <w:pPr>
        <w:ind w:firstLine="420"/>
        <w:rPr>
          <w:rFonts w:ascii="宋体" w:hAnsi="宋体" w:cs="宋体"/>
        </w:rPr>
      </w:pPr>
      <w:r>
        <w:rPr>
          <w:rFonts w:hint="eastAsia" w:ascii="宋体" w:hAnsi="宋体" w:cs="宋体"/>
        </w:rPr>
        <w:t>成化二十年（1484年）知府江璞修，志名不详。久佚。</w:t>
      </w:r>
    </w:p>
    <w:p w14:paraId="4B237DAF">
      <w:pPr>
        <w:ind w:firstLine="420"/>
        <w:rPr>
          <w:rFonts w:ascii="宋体" w:hAnsi="宋体" w:cs="宋体"/>
        </w:rPr>
      </w:pPr>
      <w:r>
        <w:rPr>
          <w:rFonts w:hint="eastAsia" w:ascii="宋体" w:hAnsi="宋体" w:cs="宋体"/>
        </w:rPr>
        <w:t>正德十一年（1516年）知府李吉修，志名《南雄志》。久佚。</w:t>
      </w:r>
    </w:p>
    <w:p w14:paraId="25393429">
      <w:pPr>
        <w:ind w:firstLine="420"/>
        <w:rPr>
          <w:rFonts w:ascii="宋体" w:hAnsi="宋体" w:cs="宋体"/>
        </w:rPr>
      </w:pPr>
      <w:r>
        <w:rPr>
          <w:rFonts w:hint="eastAsia" w:ascii="宋体" w:hAnsi="宋体" w:cs="宋体"/>
        </w:rPr>
        <w:t>嘉靖二十一年（1542年）户部尚书谭大初纂修，志名《南雄府志》，8卷。现有刻本、胶卷、抄本。刻本珍藏于宁波天一阁。胶卷藏于国家科学院。抄本藏于中山图书馆、广东省档案馆、南雄县地方志办公室。</w:t>
      </w:r>
    </w:p>
    <w:p w14:paraId="40A49A39">
      <w:pPr>
        <w:ind w:firstLine="420"/>
        <w:rPr>
          <w:rFonts w:ascii="宋体" w:hAnsi="宋体" w:cs="宋体"/>
        </w:rPr>
      </w:pPr>
      <w:r>
        <w:rPr>
          <w:rFonts w:hint="eastAsia" w:ascii="宋体" w:hAnsi="宋体" w:cs="宋体"/>
        </w:rPr>
        <w:t>万历十三年（1585年）知府周保修，志名不详。久佚。</w:t>
      </w:r>
    </w:p>
    <w:p w14:paraId="346C86D8">
      <w:pPr>
        <w:ind w:firstLine="420"/>
        <w:rPr>
          <w:rFonts w:ascii="宋体" w:hAnsi="宋体" w:cs="宋体"/>
        </w:rPr>
      </w:pPr>
      <w:r>
        <w:rPr>
          <w:rFonts w:hint="eastAsia" w:ascii="宋体" w:hAnsi="宋体" w:cs="宋体"/>
        </w:rPr>
        <w:t>天启六年（1626年）知府汪之浃修，志名不详。久佚。</w:t>
      </w:r>
    </w:p>
    <w:p w14:paraId="6C59041D">
      <w:pPr>
        <w:ind w:firstLine="420"/>
        <w:rPr>
          <w:rFonts w:ascii="宋体" w:hAnsi="宋体" w:cs="宋体"/>
        </w:rPr>
      </w:pPr>
      <w:r>
        <w:rPr>
          <w:rFonts w:hint="eastAsia" w:ascii="宋体" w:hAnsi="宋体" w:cs="宋体"/>
        </w:rPr>
        <w:t>康熙十四年（1675年）知府陆世楷纂修，志名《南雄府志》，8卷。现有刻本、油印本。刻本藏于北京图书馆（缺6卷）。油印本藏于北京大学图书馆。</w:t>
      </w:r>
    </w:p>
    <w:p w14:paraId="10B9FA08">
      <w:pPr>
        <w:ind w:firstLine="420"/>
        <w:rPr>
          <w:rFonts w:ascii="宋体" w:hAnsi="宋体" w:cs="宋体"/>
        </w:rPr>
      </w:pPr>
      <w:r>
        <w:rPr>
          <w:rFonts w:hint="eastAsia" w:ascii="宋体" w:hAnsi="宋体" w:cs="宋体"/>
        </w:rPr>
        <w:t>康熙二十五年（1686年）知县张进贤修，志名《保昌县志》，8卷。仅见抄本，藏于北京图书馆。</w:t>
      </w:r>
    </w:p>
    <w:p w14:paraId="5B1495B9">
      <w:pPr>
        <w:ind w:firstLine="420"/>
        <w:rPr>
          <w:rFonts w:ascii="宋体" w:hAnsi="宋体" w:cs="宋体"/>
        </w:rPr>
      </w:pPr>
      <w:r>
        <w:rPr>
          <w:rFonts w:hint="eastAsia" w:ascii="宋体" w:hAnsi="宋体" w:cs="宋体"/>
        </w:rPr>
        <w:t>乾隆十八年（1753年）知府梁弘勋等修，胡定纂，志名《南雄府志》，19卷。现有刻本、油印本。刻本藏于故宫、上海（不全）、宁波（不全）、天津、杭州大学、台湾。1958年广东省中山图书馆刻有油印本，南雄县志办、县档案馆有藏。</w:t>
      </w:r>
    </w:p>
    <w:p w14:paraId="3E725275">
      <w:pPr>
        <w:ind w:firstLine="420"/>
        <w:rPr>
          <w:rFonts w:ascii="宋体" w:hAnsi="宋体" w:cs="宋体"/>
        </w:rPr>
      </w:pPr>
      <w:r>
        <w:rPr>
          <w:rFonts w:hint="eastAsia" w:ascii="宋体" w:hAnsi="宋体" w:cs="宋体"/>
        </w:rPr>
        <w:t>乾隆十八年（1753年）知县陈志仪析府志另修《保昌县志》14卷。现有刻本、静电复制本。刻本现藏于故宫。复制本现藏于广州中山图书馆、中山大学图书馆、南雄县志办、县档案馆。</w:t>
      </w:r>
    </w:p>
    <w:p w14:paraId="462FAACA">
      <w:pPr>
        <w:ind w:firstLine="420"/>
        <w:rPr>
          <w:rFonts w:ascii="宋体" w:hAnsi="宋体" w:cs="宋体"/>
        </w:rPr>
      </w:pPr>
      <w:r>
        <w:rPr>
          <w:rFonts w:hint="eastAsia" w:ascii="宋体" w:hAnsi="宋体" w:cs="宋体"/>
        </w:rPr>
        <w:t>嘉庆二十四年（1819年）知州余保纯等修，黄其勤编纂，志名《南雄州志》，未刻印。道光四年（1824年）知州戴锡纶续修。志名《直隶南雄州志》，34卷，首1卷。现有刻本、静电缩印本。刻本现藏于北京图书馆、上海图书馆等处；静电缩印本系台湾1967年成文出版社出版，暨南大学、广东省档案馆、南雄县志办、县档案馆有藏。</w:t>
      </w:r>
    </w:p>
    <w:p w14:paraId="0B169ED4">
      <w:pPr>
        <w:ind w:firstLine="422"/>
        <w:rPr>
          <w:rFonts w:ascii="宋体" w:hAnsi="宋体" w:cs="宋体"/>
          <w:b/>
          <w:bCs/>
        </w:rPr>
      </w:pPr>
      <w:r>
        <w:rPr>
          <w:rFonts w:hint="eastAsia" w:ascii="宋体" w:hAnsi="宋体" w:cs="宋体"/>
          <w:b/>
          <w:bCs/>
        </w:rPr>
        <w:t>（二）民国时期修志纪略</w:t>
      </w:r>
    </w:p>
    <w:p w14:paraId="7FD71FE1">
      <w:pPr>
        <w:ind w:firstLine="420"/>
        <w:rPr>
          <w:rFonts w:ascii="宋体" w:hAnsi="宋体" w:cs="宋体"/>
        </w:rPr>
      </w:pPr>
      <w:r>
        <w:rPr>
          <w:rFonts w:hint="eastAsia" w:ascii="宋体" w:hAnsi="宋体" w:cs="宋体"/>
        </w:rPr>
        <w:t>民国时期三次修志，均由于政局动荡，人事更迭和经费拮据而未成功。</w:t>
      </w:r>
    </w:p>
    <w:p w14:paraId="63DA2644">
      <w:pPr>
        <w:ind w:firstLine="420"/>
        <w:rPr>
          <w:rFonts w:ascii="宋体" w:hAnsi="宋体" w:cs="宋体"/>
        </w:rPr>
      </w:pPr>
      <w:r>
        <w:rPr>
          <w:rFonts w:hint="eastAsia" w:ascii="宋体" w:hAnsi="宋体" w:cs="宋体"/>
        </w:rPr>
        <w:t>第一次，民国23年（1934年），县长姚之荣兼任修志局长，拟将原用作兴建电灯厂的基金2万多元用作修志，但参议会不赞同此举，公议兴办公营“典肆”（当铺），获利后再修志。不久“典肆”亏损倒闭，修志未成。</w:t>
      </w:r>
    </w:p>
    <w:p w14:paraId="640E184B">
      <w:pPr>
        <w:ind w:firstLine="420"/>
        <w:rPr>
          <w:rFonts w:ascii="宋体" w:hAnsi="宋体" w:cs="宋体"/>
        </w:rPr>
      </w:pPr>
      <w:r>
        <w:rPr>
          <w:rFonts w:hint="eastAsia" w:ascii="宋体" w:hAnsi="宋体" w:cs="宋体"/>
        </w:rPr>
        <w:t>第二次，民国34年（1945年）抗战胜利后，县长云振中倡修县志，委徐松涛为修志局长，前清举人莫开瑶为总纂。经费来源之一是向烟商筹措，每百元烟价抽收二角钱，结果又因经费不敷，开支无着，接任县长萧宜芬置之不理，终又告吹。</w:t>
      </w:r>
    </w:p>
    <w:p w14:paraId="71DD1F3D">
      <w:pPr>
        <w:ind w:firstLine="420"/>
        <w:rPr>
          <w:rFonts w:ascii="宋体" w:hAnsi="宋体" w:cs="宋体"/>
        </w:rPr>
      </w:pPr>
      <w:r>
        <w:rPr>
          <w:rFonts w:hint="eastAsia" w:ascii="宋体" w:hAnsi="宋体" w:cs="宋体"/>
        </w:rPr>
        <w:t>第三次，民国36年（1947年），县长胡锡朋再倡修县志，恢复修志局，并动员地方人士商店预订县志，每部预收光洋10元。旋因新任县长华文治不堪其意，遂又了事。</w:t>
      </w:r>
    </w:p>
    <w:p w14:paraId="1BCFC324">
      <w:pPr>
        <w:ind w:firstLine="422"/>
        <w:rPr>
          <w:rFonts w:ascii="宋体" w:hAnsi="宋体" w:cs="宋体"/>
          <w:b/>
          <w:bCs/>
        </w:rPr>
      </w:pPr>
      <w:r>
        <w:rPr>
          <w:rFonts w:hint="eastAsia" w:ascii="宋体" w:hAnsi="宋体" w:cs="宋体"/>
          <w:b/>
          <w:bCs/>
        </w:rPr>
        <w:t>（三）新中国成立后修志纪略</w:t>
      </w:r>
    </w:p>
    <w:p w14:paraId="0A9858A1">
      <w:pPr>
        <w:ind w:firstLine="420"/>
        <w:rPr>
          <w:rFonts w:ascii="宋体" w:hAnsi="宋体" w:cs="宋体"/>
        </w:rPr>
      </w:pPr>
      <w:r>
        <w:rPr>
          <w:rFonts w:hint="eastAsia" w:ascii="宋体" w:hAnsi="宋体" w:cs="宋体"/>
        </w:rPr>
        <w:t>1960年根据国家和省的要求，着手修县志，由县委农业办公室主任陈仲禄负责，抽调10多人采访、调查、搜集资料。国家困难时期，由于财力不支等原因，县志未成。仅写出上万言的《南雄人民革命斗争史》（油印本）。</w:t>
      </w:r>
    </w:p>
    <w:p w14:paraId="324D1590">
      <w:pPr>
        <w:ind w:firstLine="420"/>
        <w:rPr>
          <w:rFonts w:ascii="宋体" w:hAnsi="宋体" w:cs="宋体"/>
        </w:rPr>
      </w:pPr>
      <w:r>
        <w:rPr>
          <w:rFonts w:hint="eastAsia" w:ascii="宋体" w:hAnsi="宋体" w:cs="宋体"/>
        </w:rPr>
        <w:t>中共十一届三中全以后，政通人和，百业俱兴，带来了“盛世修志”的春天。于1984年秋重组修志机构，名为“南雄县志编写小组”，由庄礼味同志任编写小组组长。10月份加强机构，充实人员，组成“南雄县地方志编纂委员会”，下设“南雄县地方志办公室”。编委会主任由县委副书记陈庆泉兼任。1987年1月，陈调职韶关，改由代县长、县委书记黄永东兼任。为协助编委会进一步搞好县志总纂，1988年7月重建“南雄县志编辑部”，编辑部成员15人，由县人大常委会副主任罗凯燊仼主编，魏家琼任常务副主编，廖德明任副主编。1990年5月，因黄永东上调韶关市政府，改由县委书记吴承建任编委会主任。</w:t>
      </w:r>
    </w:p>
    <w:p w14:paraId="002F2052">
      <w:pPr>
        <w:ind w:firstLine="420"/>
        <w:rPr>
          <w:rFonts w:ascii="宋体" w:hAnsi="宋体" w:cs="宋体"/>
        </w:rPr>
      </w:pPr>
      <w:r>
        <w:rPr>
          <w:rFonts w:hint="eastAsia" w:ascii="宋体" w:hAnsi="宋体" w:cs="宋体"/>
        </w:rPr>
        <w:t>自道光四年（1824年）以来，中断修志160多年，文书档案资料散失。故从县志机构成立起，先以三年半时间组织修志人员往北京、南京、宁波、广州等地图书馆、档案馆搜集史料，在县内采访社会贤达100多人次，广集各种修志资料达1000万字，在此基础上以一年半时间编写完成《南雄县志》，除卷首外，分6编44章，共130万字。1990年2月送省验收，10月付印。1991年6月出版发行。为广东省第一部由出版社正式出版发行的新县志。</w:t>
      </w:r>
    </w:p>
    <w:p w14:paraId="23347AEC">
      <w:pPr>
        <w:ind w:firstLine="420"/>
        <w:rPr>
          <w:rFonts w:ascii="宋体" w:hAnsi="宋体" w:cs="宋体"/>
        </w:rPr>
      </w:pPr>
      <w:r>
        <w:rPr>
          <w:rFonts w:hint="eastAsia" w:ascii="宋体" w:hAnsi="宋体" w:cs="宋体"/>
        </w:rPr>
        <w:t>1993年9月，《南雄县志》被中国地方志指导小组评为全国新编方志成果一等奖。第一次印刷发行3000册，不到两年时间就库空书尽，而求书者不断。“特别是珠玑巷南迁后裔、海外侨胞以及文人学者，求书者日众”（再版序），因此1996年2月《南雄县志》再版，在原书后续记初版以来的各项大事，第二次印数为3000册。</w:t>
      </w:r>
    </w:p>
    <w:p w14:paraId="1EFA4D8B">
      <w:pPr>
        <w:ind w:firstLine="420"/>
        <w:rPr>
          <w:rFonts w:ascii="宋体" w:hAnsi="宋体" w:cs="宋体"/>
        </w:rPr>
      </w:pPr>
      <w:r>
        <w:rPr>
          <w:rFonts w:hint="eastAsia" w:ascii="宋体" w:hAnsi="宋体" w:cs="宋体"/>
        </w:rPr>
        <w:t>在编纂县志的基础上，编写年鉴及组织审定各部门出版专业志。南雄年鉴与县志初版相衔接，从1993年起，每5年编写1本。已编1993年至1997年、1998年至2002年各1本。另有1998年单行本。各部门专业志已编写32部（见《书目》），其中《南雄黄烟志》、《南雄卫生志》、《南雄财税志》、《南雄军事志》、《南雄邮电志》、《南雄教育志》、《南雄物价志》、《南雄金融志》、《南雄卷烟厂志》、《南雄水利志》10部专业志被中国地方志指导小组评为“全国新编志书优秀成果奖”。</w:t>
      </w:r>
    </w:p>
    <w:p w14:paraId="001BB121">
      <w:pPr>
        <w:ind w:firstLine="420"/>
        <w:rPr>
          <w:rFonts w:ascii="宋体" w:hAnsi="宋体" w:cs="宋体"/>
        </w:rPr>
      </w:pPr>
      <w:r>
        <w:rPr>
          <w:rFonts w:hint="eastAsia" w:ascii="宋体" w:hAnsi="宋体" w:cs="宋体"/>
        </w:rPr>
        <w:t>南雄市（县）地方志编纂委员会办公室，1993年、1996年被评为“全省修志工作先进集体”。2001年12月，市方志办与市党史研究室合并为南雄市史志办公室。2002年3月，市史志办被评为“全省首届新方志编修工作先进集体”。2005年12月，市史志办又被中国地方志指导小组评为“全国方志工作先进集体”。</w:t>
      </w:r>
    </w:p>
    <w:p w14:paraId="7F638D15">
      <w:pPr>
        <w:pStyle w:val="3"/>
        <w:rPr>
          <w:rFonts w:ascii="宋体" w:hAnsi="宋体" w:cs="宋体"/>
        </w:rPr>
      </w:pPr>
      <w:r>
        <w:rPr>
          <w:rFonts w:hint="eastAsia" w:ascii="宋体" w:hAnsi="宋体" w:cs="宋体"/>
        </w:rPr>
        <w:t>第六章  文物名胜</w:t>
      </w:r>
    </w:p>
    <w:p w14:paraId="6588B5BA">
      <w:pPr>
        <w:pStyle w:val="4"/>
        <w:rPr>
          <w:rFonts w:ascii="宋体" w:hAnsi="宋体" w:cs="宋体"/>
        </w:rPr>
      </w:pPr>
      <w:r>
        <w:rPr>
          <w:rFonts w:hint="eastAsia" w:ascii="宋体" w:hAnsi="宋体" w:cs="宋体"/>
        </w:rPr>
        <w:t>第一节  古遗物  遗址</w:t>
      </w:r>
    </w:p>
    <w:p w14:paraId="05723AB3">
      <w:pPr>
        <w:pStyle w:val="5"/>
        <w:rPr>
          <w:rFonts w:ascii="宋体" w:hAnsi="宋体" w:cs="宋体"/>
        </w:rPr>
      </w:pPr>
      <w:r>
        <w:rPr>
          <w:rFonts w:hint="eastAsia" w:ascii="宋体" w:hAnsi="宋体" w:cs="宋体"/>
        </w:rPr>
        <w:t>一、新石器时期遗物</w:t>
      </w:r>
    </w:p>
    <w:p w14:paraId="1B1F0911">
      <w:pPr>
        <w:ind w:firstLine="422"/>
        <w:rPr>
          <w:rFonts w:ascii="宋体" w:hAnsi="宋体" w:cs="宋体"/>
        </w:rPr>
      </w:pPr>
      <w:r>
        <w:rPr>
          <w:rFonts w:hint="eastAsia" w:ascii="宋体" w:hAnsi="宋体" w:cs="宋体"/>
          <w:b/>
          <w:bCs/>
        </w:rPr>
        <w:t>梅岭新石器早期遗物</w:t>
      </w:r>
      <w:r>
        <w:rPr>
          <w:rFonts w:hint="eastAsia" w:ascii="宋体" w:hAnsi="宋体" w:cs="宋体"/>
        </w:rPr>
        <w:t xml:space="preserve">  1983年12月，在梅岭中站石灰厂东北200米一个石灰岩洞内发现牛牙齿化石1粒，鹿牙齿化石1粒，火烧骨片1块，夹砂粗陶片2块，经鉴定属新石器早期遗物，距今有七八千年。</w:t>
      </w:r>
    </w:p>
    <w:p w14:paraId="39248976">
      <w:pPr>
        <w:ind w:firstLine="422"/>
        <w:rPr>
          <w:rFonts w:ascii="宋体" w:hAnsi="宋体" w:cs="宋体"/>
        </w:rPr>
      </w:pPr>
      <w:r>
        <w:rPr>
          <w:rFonts w:hint="eastAsia" w:ascii="宋体" w:hAnsi="宋体" w:cs="宋体"/>
          <w:b/>
          <w:bCs/>
        </w:rPr>
        <w:t>新石器中、晚期遗物</w:t>
      </w:r>
      <w:r>
        <w:rPr>
          <w:rFonts w:hint="eastAsia" w:ascii="宋体" w:hAnsi="宋体" w:cs="宋体"/>
        </w:rPr>
        <w:t xml:space="preserve">  1984年4月，在水口镇下楼村附近台地发现新石器中期石质斧形遗物1件。</w:t>
      </w:r>
    </w:p>
    <w:p w14:paraId="0AF1939F">
      <w:pPr>
        <w:ind w:firstLine="422"/>
        <w:rPr>
          <w:rFonts w:ascii="宋体" w:hAnsi="宋体" w:cs="宋体"/>
        </w:rPr>
      </w:pPr>
      <w:r>
        <w:rPr>
          <w:rFonts w:hint="eastAsia" w:ascii="宋体" w:hAnsi="宋体" w:cs="宋体"/>
          <w:b/>
          <w:bCs/>
        </w:rPr>
        <w:t>新石器晚期遗物</w:t>
      </w:r>
      <w:r>
        <w:rPr>
          <w:rFonts w:hint="eastAsia" w:ascii="宋体" w:hAnsi="宋体" w:cs="宋体"/>
        </w:rPr>
        <w:t xml:space="preserve">  发现有6处：1975年在珠玑区下汾村禾场上，发现磨制有段有肩石锛1件。1980年4月在界址镇黄坑村对面岭上发现石斧1件。1981年5月在水口镇篛过村东2公里雄亩公路旁北侧，发现青玉色两面钻孔石锛1件，石斧石刀各1件。1982年7月在黄坑镇围背水库发现磨制石斧、石刀各1件。1984年3月在古市镇修仁村老村头发现石锛1件，磨石器1件。1984年9月在湖口太和岭发现石质牙璋1件和细石刀等8件。</w:t>
      </w:r>
    </w:p>
    <w:p w14:paraId="60797EFD">
      <w:pPr>
        <w:pStyle w:val="5"/>
        <w:rPr>
          <w:rFonts w:ascii="宋体" w:hAnsi="宋体" w:cs="宋体"/>
        </w:rPr>
      </w:pPr>
      <w:r>
        <w:rPr>
          <w:rFonts w:hint="eastAsia" w:ascii="宋体" w:hAnsi="宋体" w:cs="宋体"/>
        </w:rPr>
        <w:t>二、汉代居住遗址</w:t>
      </w:r>
    </w:p>
    <w:p w14:paraId="01723CF2">
      <w:pPr>
        <w:ind w:firstLine="422"/>
        <w:rPr>
          <w:rFonts w:ascii="宋体" w:hAnsi="宋体" w:cs="宋体"/>
        </w:rPr>
      </w:pPr>
      <w:r>
        <w:rPr>
          <w:rFonts w:hint="eastAsia" w:ascii="宋体" w:hAnsi="宋体" w:cs="宋体"/>
          <w:b/>
          <w:bCs/>
        </w:rPr>
        <w:t xml:space="preserve">甘埠山居住遗址 </w:t>
      </w:r>
      <w:r>
        <w:rPr>
          <w:rFonts w:hint="eastAsia" w:ascii="宋体" w:hAnsi="宋体" w:cs="宋体"/>
        </w:rPr>
        <w:t xml:space="preserve"> 位于乌迳镇新田村甘埠山，1984年10月发现，面积约1.33公顷，略成长方形。在地面采集的遗物有瓦当、滴水、板瓦，均是青灰色，绳纹。还有大量陶片，多为罐、壶、碗等残件，纹饰有方格纹、素面弦纹，少数方格纹拓印，还有石锹1件。陶片、瓦片、板瓦均是泥质灰陶，火候较高，制作方法为轮制，属东汉延至西晋的遗址遗物。</w:t>
      </w:r>
    </w:p>
    <w:p w14:paraId="3E3F6BBF">
      <w:pPr>
        <w:ind w:firstLine="422"/>
        <w:rPr>
          <w:rFonts w:ascii="宋体" w:hAnsi="宋体" w:cs="宋体"/>
        </w:rPr>
      </w:pPr>
      <w:r>
        <w:rPr>
          <w:rFonts w:hint="eastAsia" w:ascii="宋体" w:hAnsi="宋体" w:cs="宋体"/>
          <w:b/>
          <w:bCs/>
        </w:rPr>
        <w:t xml:space="preserve">黄竹潭居住遗址 </w:t>
      </w:r>
      <w:r>
        <w:rPr>
          <w:rFonts w:hint="eastAsia" w:ascii="宋体" w:hAnsi="宋体" w:cs="宋体"/>
        </w:rPr>
        <w:t xml:space="preserve"> 位于今水口镇政府西北200米，1982年发现，面积约1600平方米。遗址在耕作层，大部分文化层被破坏，少部分在田埂上仍可看到厚约80厘米的文化层，为东汉延至唐宋期间的居住遗址。</w:t>
      </w:r>
    </w:p>
    <w:p w14:paraId="60137E62">
      <w:pPr>
        <w:pStyle w:val="5"/>
        <w:rPr>
          <w:rFonts w:ascii="宋体" w:hAnsi="宋体" w:cs="宋体"/>
        </w:rPr>
      </w:pPr>
      <w:r>
        <w:rPr>
          <w:rFonts w:hint="eastAsia" w:ascii="宋体" w:hAnsi="宋体" w:cs="宋体"/>
        </w:rPr>
        <w:t>三、古城堡遗址</w:t>
      </w:r>
    </w:p>
    <w:p w14:paraId="55B60614">
      <w:pPr>
        <w:ind w:firstLine="422"/>
        <w:rPr>
          <w:rFonts w:ascii="宋体" w:hAnsi="宋体" w:cs="宋体"/>
        </w:rPr>
      </w:pPr>
      <w:r>
        <w:rPr>
          <w:rFonts w:hint="eastAsia" w:ascii="宋体" w:hAnsi="宋体" w:cs="宋体"/>
          <w:b/>
          <w:bCs/>
        </w:rPr>
        <w:t xml:space="preserve">南雄古城 </w:t>
      </w:r>
      <w:r>
        <w:rPr>
          <w:rFonts w:hint="eastAsia" w:ascii="宋体" w:hAnsi="宋体" w:cs="宋体"/>
        </w:rPr>
        <w:t xml:space="preserve"> 位于雄州镇。宋皇祐四年（1052年）知州肖渤倡建，称斗城，为南雄州城之始。面积约0.2平方公里。斗城设三门，东为春熙门（钟楼）、西为凌江门（后称西门），南为政平门（后称大南门）。斗城有二条主要街巷：由义街（今中山街）、居仁街。</w:t>
      </w:r>
    </w:p>
    <w:p w14:paraId="23D267C4">
      <w:pPr>
        <w:ind w:firstLine="422"/>
        <w:rPr>
          <w:rFonts w:ascii="宋体" w:hAnsi="宋体" w:cs="宋体"/>
        </w:rPr>
      </w:pPr>
      <w:r>
        <w:rPr>
          <w:rFonts w:hint="eastAsia" w:ascii="宋体" w:hAnsi="宋体" w:cs="宋体"/>
          <w:b/>
          <w:bCs/>
        </w:rPr>
        <w:t xml:space="preserve">顾城 </w:t>
      </w:r>
      <w:r>
        <w:rPr>
          <w:rFonts w:hint="eastAsia" w:ascii="宋体" w:hAnsi="宋体" w:cs="宋体"/>
        </w:rPr>
        <w:t xml:space="preserve"> 元至正二十五年（1365年），镇守指挥王屿率民扩建县城，在斗城东面筑土城墙1133.3米，高3.3米，增设三门，北为拱极门（又称小北门，今公安局后面），东为朝阳门（又称小东门，今公安局前面），南为迎熏门（又称小南门，今槐花巷口），是为南雄第一次扩建县城。明成化二年（1466年），南雄知府罗俊把土城墙改为砖石，加固完善，称为顾城。斗城与顾城合称为老城，城区面积0.45平方公里，设有五门，即小东门、小北门、大南门、小南门、西门。明成化五年（1469年），巡抚都御史韩雍命佥事陈贵率民扩建南雄城。自小北门起向东北方筑土城至牛轭潭。明正德三年（1508年），知府王珀改土墙为砖墙。明正德九年（1514年），知府李吉增女墙高2米，增设宾阳门和文明门（今松香厂附近）。明嘉靖四十三年（1564年），知府欧阳念倡民筑沿河水城，改木栅为砖石结构。至此，经百年努力，完成第二次扩建县城。扩建后，城区面积1.13平方公里。有城门11个，即宾阳门、文明门、龙蹲阁水门、大码头水门、青云水门、云衢水门、槐花水门、皇华水门、太平门、小西门（即勾栏门）、小北门。县城经2次扩建后有38条街巷。</w:t>
      </w:r>
    </w:p>
    <w:p w14:paraId="3B33B918">
      <w:pPr>
        <w:ind w:firstLine="422"/>
        <w:rPr>
          <w:rFonts w:ascii="宋体" w:hAnsi="宋体" w:cs="宋体"/>
        </w:rPr>
      </w:pPr>
      <w:r>
        <w:rPr>
          <w:rFonts w:hint="eastAsia" w:ascii="宋体" w:hAnsi="宋体" w:cs="宋体"/>
          <w:b/>
          <w:bCs/>
        </w:rPr>
        <w:t xml:space="preserve">梅鋗城 </w:t>
      </w:r>
      <w:r>
        <w:rPr>
          <w:rFonts w:hint="eastAsia" w:ascii="宋体" w:hAnsi="宋体" w:cs="宋体"/>
        </w:rPr>
        <w:t xml:space="preserve"> 又称中站城。位于南雄城北25公里的珠玑镇中站村，该城坐北向南，总面积约3.2万平方米，梅关古道贯穿其中。梅鋗城始建于秦，历代均有修葺。城堡久圮，尚存城基，长约25米，用青灰色麻石叠砌筑成。城中古迹有清代民房1间，均用刻有“乾隆四十四年造”的青砖砌墙；有清进士牌坊1座，有唐代砖瓦窑遗址2座。在城北墙脚下发现东汉墓1座，城东北200米处，发现晋墓。清道光四年（1824年）《直隶南雄州志》载：“始皇并六国，越王踰零陵往南海，越人梅鋗从，至梅岭家焉。筑城浈水之上，奉王居之。”“中站城即古梅鋗城，有台侯故宅”。该城明为递军所，嘉靖三十一年（1552年）十二月修城，左半南安府修造，右半南雄府修造，两府共同拨兵戍守。清乾隆二年（1737年）南雄府在城内设红梅巡检司署。</w:t>
      </w:r>
    </w:p>
    <w:p w14:paraId="5F3887DF">
      <w:pPr>
        <w:ind w:firstLine="422"/>
        <w:rPr>
          <w:rFonts w:ascii="宋体" w:hAnsi="宋体" w:cs="宋体"/>
        </w:rPr>
      </w:pPr>
      <w:r>
        <w:rPr>
          <w:rFonts w:hint="eastAsia" w:ascii="宋体" w:hAnsi="宋体" w:cs="宋体"/>
          <w:b/>
          <w:bCs/>
        </w:rPr>
        <w:t xml:space="preserve">乌迳水城 </w:t>
      </w:r>
      <w:r>
        <w:rPr>
          <w:rFonts w:hint="eastAsia" w:ascii="宋体" w:hAnsi="宋体" w:cs="宋体"/>
        </w:rPr>
        <w:t xml:space="preserve"> 位于乌迳圩东南约1公里处，城似椭圆形，直径约150米，面积2.25万平方米，城外有一条5米多宽的小河环绕，故名“水城”。该城建于明代嘉靖二十八年（1549年），只有一门，高2.34米，宽1.46米，深1.37米，城门外架石桥1座，是进出城唯一通道。城墙用青砖砌成，墙高5米。今城墙部分已倒塌，但城门保存完整。城门上有石匾1块，刻有“七星世镇”、“明嘉靖己酉知府周南立”。该城主要为防盗防兵而建。</w:t>
      </w:r>
    </w:p>
    <w:p w14:paraId="2A727451">
      <w:pPr>
        <w:ind w:firstLine="422"/>
        <w:rPr>
          <w:rFonts w:ascii="宋体" w:hAnsi="宋体" w:cs="宋体"/>
        </w:rPr>
      </w:pPr>
      <w:r>
        <w:rPr>
          <w:rFonts w:hint="eastAsia" w:ascii="宋体" w:hAnsi="宋体" w:cs="宋体"/>
          <w:b/>
          <w:bCs/>
        </w:rPr>
        <w:t>百顺黄屋城</w:t>
      </w:r>
      <w:r>
        <w:rPr>
          <w:rFonts w:hint="eastAsia" w:ascii="宋体" w:hAnsi="宋体" w:cs="宋体"/>
        </w:rPr>
        <w:t xml:space="preserve">  建于明弘治初，城墙用花岗岩石和青砖筑成，墙高8米，占地面积约10000平方米，门匾刻有“义路礼门”4字。今城内建筑多为改建后的民房。</w:t>
      </w:r>
    </w:p>
    <w:p w14:paraId="6F32772B">
      <w:pPr>
        <w:ind w:firstLine="422"/>
        <w:rPr>
          <w:rFonts w:ascii="宋体" w:hAnsi="宋体" w:cs="宋体"/>
        </w:rPr>
      </w:pPr>
      <w:r>
        <w:rPr>
          <w:rFonts w:hint="eastAsia" w:ascii="宋体" w:hAnsi="宋体" w:cs="宋体"/>
          <w:b/>
          <w:bCs/>
        </w:rPr>
        <w:t xml:space="preserve">延村水城 </w:t>
      </w:r>
      <w:r>
        <w:rPr>
          <w:rFonts w:hint="eastAsia" w:ascii="宋体" w:hAnsi="宋体" w:cs="宋体"/>
        </w:rPr>
        <w:t xml:space="preserve"> 位于大塘延村，久圮，现只有重修的城门。城址坐东向西，似椭圆形，宽20米，长约40米，城外有一条5米多宽的护城河。现只存东、北、南三面绕河，西面已改为鱼塘，城只开一门，为券顶花岗石结构，宽1.1米，高2.3米，深1.3米，门上匾额刻“永昌门”，落款右刻“皇明嘉靖四十二年癸亥叁生马贵鼎建”，左刻“嘉兴坊合族重修，皇清咸丰二年庚申冬日”，城门楼为曲折形，用青砖和泥砖筑成，面宽三间8.2米，深4米和6.5米，为悬山顶，盖灰色瓦。</w:t>
      </w:r>
    </w:p>
    <w:p w14:paraId="4A292014">
      <w:pPr>
        <w:pStyle w:val="5"/>
        <w:rPr>
          <w:rFonts w:ascii="宋体" w:hAnsi="宋体" w:cs="宋体"/>
        </w:rPr>
      </w:pPr>
      <w:r>
        <w:rPr>
          <w:rFonts w:hint="eastAsia" w:ascii="宋体" w:hAnsi="宋体" w:cs="宋体"/>
        </w:rPr>
        <w:t>四、古窑址</w:t>
      </w:r>
    </w:p>
    <w:p w14:paraId="43D53298">
      <w:pPr>
        <w:ind w:firstLine="422"/>
        <w:rPr>
          <w:rFonts w:ascii="宋体" w:hAnsi="宋体" w:cs="宋体"/>
        </w:rPr>
      </w:pPr>
      <w:r>
        <w:rPr>
          <w:rFonts w:hint="eastAsia" w:ascii="宋体" w:hAnsi="宋体" w:cs="宋体"/>
          <w:b/>
          <w:bCs/>
        </w:rPr>
        <w:t>（一）唐代窑址</w:t>
      </w:r>
      <w:r>
        <w:rPr>
          <w:rFonts w:hint="eastAsia" w:ascii="宋体" w:hAnsi="宋体" w:cs="宋体"/>
        </w:rPr>
        <w:t xml:space="preserve">  已发现多处，分布在梅关古道旁的中站村、灵潭村、槐花村及全安杨历岩，遗物多为瓦片，窑孔依山挖成并经夯筑，不用砖砌，烧后窑壁极坚固，窑平面似半椭圆形，一般直径宽为2米～3米，分窑门、火膛、窑室和烟道等部分，窑顶成弧形，后壁垂直，呈半圆形，俗称馒头窑。</w:t>
      </w:r>
    </w:p>
    <w:p w14:paraId="7093F6E9">
      <w:pPr>
        <w:ind w:firstLine="422"/>
        <w:rPr>
          <w:rFonts w:ascii="宋体" w:hAnsi="宋体" w:cs="宋体"/>
        </w:rPr>
      </w:pPr>
      <w:r>
        <w:rPr>
          <w:rFonts w:hint="eastAsia" w:ascii="宋体" w:hAnsi="宋体" w:cs="宋体"/>
          <w:b/>
          <w:bCs/>
        </w:rPr>
        <w:t>（二）宋代窑址</w:t>
      </w:r>
      <w:r>
        <w:rPr>
          <w:rFonts w:hint="eastAsia" w:ascii="宋体" w:hAnsi="宋体" w:cs="宋体"/>
        </w:rPr>
        <w:t xml:space="preserve">  已发现有莲塘坳、铺背、水南、满湖塘、营堡前、窑岭等窑址。</w:t>
      </w:r>
    </w:p>
    <w:p w14:paraId="27ACD09B">
      <w:pPr>
        <w:ind w:firstLine="420"/>
        <w:rPr>
          <w:rFonts w:ascii="宋体" w:hAnsi="宋体" w:cs="宋体"/>
        </w:rPr>
      </w:pPr>
      <w:r>
        <w:rPr>
          <w:rFonts w:hint="eastAsia" w:ascii="宋体" w:hAnsi="宋体" w:cs="宋体"/>
        </w:rPr>
        <w:t>莲塘坳窑址。位于全安镇陂头村莲塘坳，东西约0.5公里，南北约0.5公里，堆积高度约3米～5米，有10个窑口，均是依山坡而筑的馒头窑，主要产青白、灰白瓷，器形以碗为大宗，间产碟、盘、壶、瓶、瓷俑等，瓷器胎壁平薄，成形规整，瓷釉细腻光洁，薄胎器有透明感。</w:t>
      </w:r>
    </w:p>
    <w:p w14:paraId="4A78F84A">
      <w:pPr>
        <w:ind w:firstLine="420"/>
        <w:rPr>
          <w:rFonts w:ascii="宋体" w:hAnsi="宋体" w:cs="宋体"/>
        </w:rPr>
      </w:pPr>
      <w:r>
        <w:rPr>
          <w:rFonts w:hint="eastAsia" w:ascii="宋体" w:hAnsi="宋体" w:cs="宋体"/>
        </w:rPr>
        <w:t>铺背窑址。位于城郊铺背村水保站东约30米处，1974年发现，1981年省、县博物馆派员前往考察，发现两个窑口。窑灶平面为长条形，断面为半椭圆形拱顶，窑壁用砖平砌，极为坚固，窑长13.5米，宽2.5米，高3米，属龙窑。主要产品有碗、盘、杯、盅等，釉色以豆青、灰白两种为主，瓷器的胎质极为精细，器形规整端正，厚薄均匀，纹饰清晰，釉色润泽纯净。</w:t>
      </w:r>
    </w:p>
    <w:p w14:paraId="4FB6CDCB">
      <w:pPr>
        <w:ind w:firstLine="420"/>
        <w:rPr>
          <w:rFonts w:ascii="宋体" w:hAnsi="宋体" w:cs="宋体"/>
        </w:rPr>
      </w:pPr>
      <w:r>
        <w:rPr>
          <w:rFonts w:hint="eastAsia" w:ascii="宋体" w:hAnsi="宋体" w:cs="宋体"/>
        </w:rPr>
        <w:t>其他窑址的遗物与上述二者基本相同。</w:t>
      </w:r>
    </w:p>
    <w:p w14:paraId="51414979">
      <w:pPr>
        <w:pStyle w:val="4"/>
        <w:rPr>
          <w:rFonts w:ascii="宋体" w:hAnsi="宋体" w:cs="宋体"/>
        </w:rPr>
      </w:pPr>
      <w:r>
        <w:rPr>
          <w:rFonts w:hint="eastAsia" w:ascii="宋体" w:hAnsi="宋体" w:cs="宋体"/>
        </w:rPr>
        <w:t>第二节  古墓葬</w:t>
      </w:r>
    </w:p>
    <w:p w14:paraId="4D9C3ABF">
      <w:pPr>
        <w:pStyle w:val="5"/>
        <w:rPr>
          <w:rFonts w:ascii="宋体" w:hAnsi="宋体" w:cs="宋体"/>
        </w:rPr>
      </w:pPr>
      <w:r>
        <w:rPr>
          <w:rFonts w:hint="eastAsia" w:ascii="宋体" w:hAnsi="宋体" w:cs="宋体"/>
        </w:rPr>
        <w:t>一、新石器晚期墓葬</w:t>
      </w:r>
    </w:p>
    <w:p w14:paraId="49B5A7B0">
      <w:pPr>
        <w:ind w:firstLine="420"/>
        <w:rPr>
          <w:rFonts w:ascii="宋体" w:hAnsi="宋体" w:cs="宋体"/>
        </w:rPr>
      </w:pPr>
      <w:r>
        <w:rPr>
          <w:rFonts w:hint="eastAsia" w:ascii="宋体" w:hAnsi="宋体" w:cs="宋体"/>
        </w:rPr>
        <w:t>该墓位于湖口镇太和村的太和岭上，1984年9月发现，已破坏，收集器物8件，其中3件已残，石刀3件，牙璋、石锛各1件。均属细石器，磨制光滑，为新石器晚期墓葬，相当夏商之际石硖遗址中层。</w:t>
      </w:r>
    </w:p>
    <w:p w14:paraId="3C6564C2">
      <w:pPr>
        <w:pStyle w:val="5"/>
        <w:rPr>
          <w:rFonts w:ascii="宋体" w:hAnsi="宋体" w:cs="宋体"/>
        </w:rPr>
      </w:pPr>
      <w:r>
        <w:rPr>
          <w:rFonts w:hint="eastAsia" w:ascii="宋体" w:hAnsi="宋体" w:cs="宋体"/>
        </w:rPr>
        <w:t>二、汉墓葬</w:t>
      </w:r>
    </w:p>
    <w:p w14:paraId="316FBAC5">
      <w:pPr>
        <w:ind w:firstLine="422"/>
        <w:rPr>
          <w:rFonts w:ascii="宋体" w:hAnsi="宋体" w:cs="宋体"/>
        </w:rPr>
      </w:pPr>
      <w:r>
        <w:rPr>
          <w:rFonts w:hint="eastAsia" w:ascii="宋体" w:hAnsi="宋体" w:cs="宋体"/>
          <w:b/>
          <w:bCs/>
        </w:rPr>
        <w:t xml:space="preserve">（一）乌迳新田汉墓葬 </w:t>
      </w:r>
      <w:r>
        <w:rPr>
          <w:rFonts w:hint="eastAsia" w:ascii="宋体" w:hAnsi="宋体" w:cs="宋体"/>
        </w:rPr>
        <w:t xml:space="preserve"> 分布在乌迳新田村龙口山与甘埠山周围，1982年10月先后发现，共有3座。</w:t>
      </w:r>
    </w:p>
    <w:p w14:paraId="744AE206">
      <w:pPr>
        <w:ind w:firstLine="420"/>
        <w:rPr>
          <w:rFonts w:ascii="宋体" w:hAnsi="宋体" w:cs="宋体"/>
        </w:rPr>
      </w:pPr>
      <w:r>
        <w:rPr>
          <w:rFonts w:hint="eastAsia" w:ascii="宋体" w:hAnsi="宋体" w:cs="宋体"/>
        </w:rPr>
        <w:t>龙口山M1墓。墓向180°，平面是“凸”字形，单室券顶砖墓，墓室结构完好，全长5米，宽2.8米，高3米，出土遗物有铜、铁、陶器等，以陶器为主。陶器纹饰多为方格纹、弦纹，器身多施黄褐色半拆釉，部分脱落，胎灰黄色，质地较软，属东汉前期墓葬。</w:t>
      </w:r>
    </w:p>
    <w:p w14:paraId="6E53CBB1">
      <w:pPr>
        <w:ind w:firstLine="420"/>
        <w:rPr>
          <w:rFonts w:ascii="宋体" w:hAnsi="宋体" w:cs="宋体"/>
        </w:rPr>
      </w:pPr>
      <w:r>
        <w:rPr>
          <w:rFonts w:hint="eastAsia" w:ascii="宋体" w:hAnsi="宋体" w:cs="宋体"/>
        </w:rPr>
        <w:t>龙口山M2墓。墓向正180°，为单室券顶砖墓，平面呈长方形，长5米，宽3米，残高1.5米。出土器物计有青铜双龙神兽镜和八乳尚方规矩镜各1件，陶罐1件和陶片10多件，纹饰多为方格纹、弦纹、素面，属东汉晚期墓葬。</w:t>
      </w:r>
    </w:p>
    <w:p w14:paraId="089E37A4">
      <w:pPr>
        <w:ind w:firstLine="420"/>
        <w:rPr>
          <w:rFonts w:ascii="宋体" w:hAnsi="宋体" w:cs="宋体"/>
        </w:rPr>
      </w:pPr>
      <w:r>
        <w:rPr>
          <w:rFonts w:hint="eastAsia" w:ascii="宋体" w:hAnsi="宋体" w:cs="宋体"/>
        </w:rPr>
        <w:t>龙口山M3墓。位于龙口山M1墓北30米，为土坑墓，出土大量方格纹陶片，其中一部分为方格纹附加拓印，属西汉墓。</w:t>
      </w:r>
    </w:p>
    <w:p w14:paraId="6D6AFD7C">
      <w:pPr>
        <w:ind w:firstLine="422"/>
        <w:rPr>
          <w:rFonts w:ascii="宋体" w:hAnsi="宋体" w:cs="宋体"/>
        </w:rPr>
      </w:pPr>
      <w:r>
        <w:rPr>
          <w:rFonts w:hint="eastAsia" w:ascii="宋体" w:hAnsi="宋体" w:cs="宋体"/>
          <w:b/>
          <w:bCs/>
        </w:rPr>
        <w:t xml:space="preserve">（二）河口岭汉墓葬 </w:t>
      </w:r>
      <w:r>
        <w:rPr>
          <w:rFonts w:hint="eastAsia" w:ascii="宋体" w:hAnsi="宋体" w:cs="宋体"/>
        </w:rPr>
        <w:t xml:space="preserve"> 河口岭汉墓位于乌迳镇高朔村。墓葬为砖室墓，平面为“凸”字形，墓残长6.4米，宽2.25米～2.85米，残壁高1.7米，壁用长30厘米、宽20厘米、厚5厘米的半圆纹灰色青砖平铺错缝叠砌。墓底均用长方形砖对缝平铺1层，出土器物均为陶器。</w:t>
      </w:r>
    </w:p>
    <w:p w14:paraId="7C74E838">
      <w:pPr>
        <w:ind w:firstLine="422"/>
        <w:rPr>
          <w:rFonts w:ascii="宋体" w:hAnsi="宋体" w:cs="宋体"/>
        </w:rPr>
      </w:pPr>
      <w:r>
        <w:rPr>
          <w:rFonts w:hint="eastAsia" w:ascii="宋体" w:hAnsi="宋体" w:cs="宋体"/>
          <w:b/>
          <w:bCs/>
        </w:rPr>
        <w:t>（三）梅岭汉墓葬</w:t>
      </w:r>
      <w:r>
        <w:rPr>
          <w:rFonts w:hint="eastAsia" w:ascii="宋体" w:hAnsi="宋体" w:cs="宋体"/>
        </w:rPr>
        <w:t xml:space="preserve">  在中站城北，距城脚2米，1983年4月发现，已严重破坏，仅存少许叶脉砖砌墓壁和平砌墓底，墓葬形制已不分明，出土遗物有方格纹陶片数件和磨石板1块，属东汉墓。</w:t>
      </w:r>
    </w:p>
    <w:p w14:paraId="5A0DC744">
      <w:pPr>
        <w:pStyle w:val="5"/>
        <w:rPr>
          <w:rFonts w:ascii="宋体" w:hAnsi="宋体" w:cs="宋体"/>
        </w:rPr>
      </w:pPr>
      <w:r>
        <w:rPr>
          <w:rFonts w:hint="eastAsia" w:ascii="宋体" w:hAnsi="宋体" w:cs="宋体"/>
        </w:rPr>
        <w:t>三、西晋、南朝墓葬</w:t>
      </w:r>
    </w:p>
    <w:p w14:paraId="269B54C6">
      <w:pPr>
        <w:ind w:firstLine="422"/>
        <w:rPr>
          <w:rFonts w:ascii="宋体" w:hAnsi="宋体" w:cs="宋体"/>
        </w:rPr>
      </w:pPr>
      <w:r>
        <w:rPr>
          <w:rFonts w:hint="eastAsia" w:ascii="宋体" w:hAnsi="宋体" w:cs="宋体"/>
          <w:b/>
          <w:bCs/>
        </w:rPr>
        <w:t>乌迳西晋墓葬</w:t>
      </w:r>
      <w:r>
        <w:rPr>
          <w:rFonts w:hint="eastAsia" w:ascii="宋体" w:hAnsi="宋体" w:cs="宋体"/>
        </w:rPr>
        <w:t xml:space="preserve">  位于乌迳新田村甘埠山，1984年10月文物普查时发现。墓向180度，为券顶单室墓，平面“凸”字形，墓长10.1米，宽3米，残存高1.5米。出土铜、铁、陶等器物32件。以灰色硬陶为主，也有少数红陶，纹饰有弦纹，少数方格纹，釉彩有褐色、黄白色，铜器有带钩、铜泡，铁器有环首刀、铁削等器。</w:t>
      </w:r>
    </w:p>
    <w:p w14:paraId="35AF6654">
      <w:pPr>
        <w:ind w:firstLine="422"/>
        <w:rPr>
          <w:rFonts w:ascii="宋体" w:hAnsi="宋体" w:cs="宋体"/>
        </w:rPr>
      </w:pPr>
      <w:r>
        <w:rPr>
          <w:rFonts w:hint="eastAsia" w:ascii="宋体" w:hAnsi="宋体" w:cs="宋体"/>
          <w:b/>
          <w:bCs/>
        </w:rPr>
        <w:t>梅岭西晋墓葬</w:t>
      </w:r>
      <w:r>
        <w:rPr>
          <w:rFonts w:hint="eastAsia" w:ascii="宋体" w:hAnsi="宋体" w:cs="宋体"/>
        </w:rPr>
        <w:t xml:space="preserve">  位于小岭圩东0.5公里的稻田中，单室砖墓，长约2米，宽0.9米，残高0.2米。出土器物有陶盘口壶、陶罐、陶碟、盏各1件，方格纹陶片数件。</w:t>
      </w:r>
    </w:p>
    <w:p w14:paraId="5275BCAE">
      <w:pPr>
        <w:ind w:firstLine="422"/>
        <w:rPr>
          <w:rFonts w:ascii="宋体" w:hAnsi="宋体" w:cs="宋体"/>
        </w:rPr>
      </w:pPr>
      <w:r>
        <w:rPr>
          <w:rFonts w:hint="eastAsia" w:ascii="宋体" w:hAnsi="宋体" w:cs="宋体"/>
          <w:b/>
          <w:bCs/>
        </w:rPr>
        <w:t xml:space="preserve">乌迳南朝墓葬 </w:t>
      </w:r>
      <w:r>
        <w:rPr>
          <w:rFonts w:hint="eastAsia" w:ascii="宋体" w:hAnsi="宋体" w:cs="宋体"/>
        </w:rPr>
        <w:t xml:space="preserve"> 位于乌迳中学内，单室砖墓，墓长2.5米，宽1.5米，墓砖为叶脉纹，墓尚未发掘。</w:t>
      </w:r>
    </w:p>
    <w:p w14:paraId="0248FE74">
      <w:pPr>
        <w:pStyle w:val="5"/>
        <w:rPr>
          <w:rFonts w:ascii="宋体" w:hAnsi="宋体" w:cs="宋体"/>
        </w:rPr>
      </w:pPr>
      <w:r>
        <w:rPr>
          <w:rFonts w:hint="eastAsia" w:ascii="宋体" w:hAnsi="宋体" w:cs="宋体"/>
        </w:rPr>
        <w:t>四、隋后周宋明代墓葬</w:t>
      </w:r>
    </w:p>
    <w:p w14:paraId="7223745E">
      <w:pPr>
        <w:ind w:firstLine="422"/>
        <w:rPr>
          <w:rFonts w:ascii="宋体" w:hAnsi="宋体" w:cs="宋体"/>
        </w:rPr>
      </w:pPr>
      <w:r>
        <w:rPr>
          <w:rFonts w:hint="eastAsia" w:ascii="宋体" w:hAnsi="宋体" w:cs="宋体"/>
          <w:b/>
          <w:bCs/>
        </w:rPr>
        <w:t>隋麦铁杖墓葬</w:t>
      </w:r>
      <w:r>
        <w:rPr>
          <w:rFonts w:hint="eastAsia" w:ascii="宋体" w:hAnsi="宋体" w:cs="宋体"/>
        </w:rPr>
        <w:t xml:space="preserve">  位于百顺镇北约5公里朱安村凤形山上，墓形半圆，用青石条及碎石垒叠砌成，墓高1.8米，宽1.9米。墓碑中刻“隋宿国公麦铁杖之墓”，左刻“山清水秀”，右刻“民国二十六年重修”。</w:t>
      </w:r>
    </w:p>
    <w:p w14:paraId="752887FE">
      <w:pPr>
        <w:ind w:firstLine="422"/>
        <w:rPr>
          <w:rFonts w:ascii="宋体" w:hAnsi="宋体" w:cs="宋体"/>
        </w:rPr>
      </w:pPr>
      <w:r>
        <w:rPr>
          <w:rFonts w:hint="eastAsia" w:ascii="宋体" w:hAnsi="宋体" w:cs="宋体"/>
          <w:b/>
          <w:bCs/>
        </w:rPr>
        <w:t>后周参军何昶墓葬</w:t>
      </w:r>
      <w:r>
        <w:rPr>
          <w:rFonts w:hint="eastAsia" w:ascii="宋体" w:hAnsi="宋体" w:cs="宋体"/>
        </w:rPr>
        <w:t xml:space="preserve">  在珠玑镇巾子岭上，依山而筑。墓呈半圆形，面积20多平方米，用石块垒砌而成，墓的北面尚存为纪念何昶而建的“忠义庙”遗迹。2002年，其后裔重修。</w:t>
      </w:r>
    </w:p>
    <w:p w14:paraId="5224A202">
      <w:pPr>
        <w:ind w:firstLine="422"/>
        <w:rPr>
          <w:rFonts w:ascii="宋体" w:hAnsi="宋体" w:cs="宋体"/>
        </w:rPr>
      </w:pPr>
      <w:r>
        <w:rPr>
          <w:rFonts w:hint="eastAsia" w:ascii="宋体" w:hAnsi="宋体" w:cs="宋体"/>
          <w:b/>
          <w:bCs/>
        </w:rPr>
        <w:t xml:space="preserve">宋孔闰墓葬 </w:t>
      </w:r>
      <w:r>
        <w:rPr>
          <w:rFonts w:hint="eastAsia" w:ascii="宋体" w:hAnsi="宋体" w:cs="宋体"/>
        </w:rPr>
        <w:t xml:space="preserve"> 在油山乡大兰村北1公里双坑大兰羊角岭冲天凤形山半山腰，墓为半圆拱形，用红砂质岩条石砌叠而成，墓向南，高1.7米，宽1.6米，墓碑为后人重立、碑高80厘米，宽40厘米，刻有“孔闰墓”3个大字，每字长宽约为20厘米。</w:t>
      </w:r>
    </w:p>
    <w:p w14:paraId="08E24772">
      <w:pPr>
        <w:ind w:firstLine="422"/>
        <w:rPr>
          <w:rFonts w:ascii="宋体" w:hAnsi="宋体" w:cs="宋体"/>
        </w:rPr>
      </w:pPr>
      <w:r>
        <w:rPr>
          <w:rFonts w:hint="eastAsia" w:ascii="宋体" w:hAnsi="宋体" w:cs="宋体"/>
          <w:b/>
          <w:bCs/>
        </w:rPr>
        <w:t>宋魂坛墓葬</w:t>
      </w:r>
      <w:r>
        <w:rPr>
          <w:rFonts w:hint="eastAsia" w:ascii="宋体" w:hAnsi="宋体" w:cs="宋体"/>
        </w:rPr>
        <w:t xml:space="preserve">  1980年2月，在苍石乡苍石村发现魂坛2个合葬1处。坛盖呈塔形，器身饰附加堆纹，一罐通高39厘米，另1件通高38厘米，器盖内刻有“绍圣四年四月十六日钟博士谨记”等字，该墓是宋代火葬后的2次合葬墓。</w:t>
      </w:r>
    </w:p>
    <w:p w14:paraId="38D25DC4">
      <w:pPr>
        <w:ind w:firstLine="422"/>
        <w:rPr>
          <w:rFonts w:ascii="宋体" w:hAnsi="宋体" w:cs="宋体"/>
        </w:rPr>
      </w:pPr>
      <w:r>
        <w:rPr>
          <w:rFonts w:hint="eastAsia" w:ascii="宋体" w:hAnsi="宋体" w:cs="宋体"/>
          <w:b/>
          <w:bCs/>
        </w:rPr>
        <w:t xml:space="preserve">麦家岭明墓葬 </w:t>
      </w:r>
      <w:r>
        <w:rPr>
          <w:rFonts w:hint="eastAsia" w:ascii="宋体" w:hAnsi="宋体" w:cs="宋体"/>
        </w:rPr>
        <w:t xml:space="preserve"> 1983年在全安镇河塘村麦家巷岭上发现。该墓向南，墓的结构为先用青砖平砌1层拱，再用青花碗砌，碗口向下，有规则地排列成10多行，然后用石灰砂浆覆盖合成，墓高1.2米，长2米，宽1.2米。出土的碗，造型大小一致，高4厘米，口径12厘米，敞口，斜壁，底足无釉，碗底有鸡心状突出，碗身印有青花“寿”字纹1圈，口沿有青花弦纹1道，青花铁黑色，细砂胎质，瓷化程度较好，施釉勺净。该墓是广东首次发现的碗砖结构墓葬。</w:t>
      </w:r>
    </w:p>
    <w:p w14:paraId="4F6C2F7D">
      <w:pPr>
        <w:pStyle w:val="4"/>
        <w:rPr>
          <w:rFonts w:ascii="宋体" w:hAnsi="宋体" w:cs="宋体"/>
        </w:rPr>
      </w:pPr>
      <w:r>
        <w:rPr>
          <w:rFonts w:hint="eastAsia" w:ascii="宋体" w:hAnsi="宋体" w:cs="宋体"/>
        </w:rPr>
        <w:t>第三节  古建筑</w:t>
      </w:r>
    </w:p>
    <w:p w14:paraId="122FA946">
      <w:pPr>
        <w:pStyle w:val="5"/>
        <w:rPr>
          <w:rFonts w:ascii="宋体" w:hAnsi="宋体" w:cs="宋体"/>
        </w:rPr>
      </w:pPr>
      <w:r>
        <w:rPr>
          <w:rFonts w:hint="eastAsia" w:ascii="宋体" w:hAnsi="宋体" w:cs="宋体"/>
        </w:rPr>
        <w:t>一、古围楼  古祠堂</w:t>
      </w:r>
    </w:p>
    <w:p w14:paraId="78038081">
      <w:pPr>
        <w:ind w:firstLine="422"/>
        <w:rPr>
          <w:rFonts w:ascii="宋体" w:hAnsi="宋体" w:cs="宋体"/>
        </w:rPr>
      </w:pPr>
      <w:r>
        <w:rPr>
          <w:rFonts w:hint="eastAsia" w:ascii="宋体" w:hAnsi="宋体" w:cs="宋体"/>
          <w:b/>
          <w:bCs/>
        </w:rPr>
        <w:t>灵潭鸳鸯围</w:t>
      </w:r>
      <w:r>
        <w:rPr>
          <w:rFonts w:hint="eastAsia" w:ascii="宋体" w:hAnsi="宋体" w:cs="宋体"/>
        </w:rPr>
        <w:t xml:space="preserve">  位于珠玑镇灵潭村，建于明代万历年间。坐北朝南，为青砖结构，因由两围连成，故称“鸳鸯围”。该围平面呈椭圆形，面积7500平方米，围墙厚50厘米，高5米，用青砖和夯土筑成。两围各开一大门，门高2.5米，宽1.1米，为悬山顶，盖小青瓦。今围墙大部分已倒塌，围内院落重叠，屋宇参差，有民房200多间，是南雄规模较大的围屋。</w:t>
      </w:r>
    </w:p>
    <w:p w14:paraId="0E33B7C4">
      <w:pPr>
        <w:ind w:firstLine="422"/>
        <w:rPr>
          <w:rFonts w:ascii="宋体" w:hAnsi="宋体" w:cs="宋体"/>
        </w:rPr>
      </w:pPr>
      <w:r>
        <w:rPr>
          <w:rFonts w:hint="eastAsia" w:ascii="宋体" w:hAnsi="宋体" w:cs="宋体"/>
          <w:b/>
          <w:bCs/>
        </w:rPr>
        <w:t>古市溪口围楼</w:t>
      </w:r>
      <w:r>
        <w:rPr>
          <w:rFonts w:hint="eastAsia" w:ascii="宋体" w:hAnsi="宋体" w:cs="宋体"/>
        </w:rPr>
        <w:t xml:space="preserve">  溪口围楼坐落在古市镇溪口村。建于清同治三年（1864年）。平面呈长方形，长26.6米，宽23.9米，总面积525.62平方米，均用鹅卵石和青砖筑成围墙。围原有4层楼，现存3层。楼为环置四墙而建，中空，为砖木结构，残高12米，墙厚1.15米，围内置有房90间。该围楼是本市较大的围楼之一。</w:t>
      </w:r>
    </w:p>
    <w:p w14:paraId="146F213D">
      <w:pPr>
        <w:ind w:firstLine="422"/>
        <w:rPr>
          <w:rFonts w:ascii="宋体" w:hAnsi="宋体" w:cs="宋体"/>
        </w:rPr>
      </w:pPr>
      <w:r>
        <w:rPr>
          <w:rFonts w:hint="eastAsia" w:ascii="宋体" w:hAnsi="宋体" w:cs="宋体"/>
          <w:b/>
          <w:bCs/>
        </w:rPr>
        <w:t>黄塘村叶氏宗祠</w:t>
      </w:r>
      <w:r>
        <w:rPr>
          <w:rFonts w:hint="eastAsia" w:ascii="宋体" w:hAnsi="宋体" w:cs="宋体"/>
        </w:rPr>
        <w:t xml:space="preserve">  位于乌迳镇黄塘村，建于清乾隆年间。</w:t>
      </w:r>
    </w:p>
    <w:p w14:paraId="4743E9FC">
      <w:pPr>
        <w:ind w:firstLine="422"/>
        <w:rPr>
          <w:rFonts w:ascii="宋体" w:hAnsi="宋体" w:cs="宋体"/>
        </w:rPr>
      </w:pPr>
      <w:r>
        <w:rPr>
          <w:rFonts w:hint="eastAsia" w:ascii="宋体" w:hAnsi="宋体" w:cs="宋体"/>
          <w:b/>
          <w:bCs/>
        </w:rPr>
        <w:t xml:space="preserve">孔塘村赖氏祠堂 </w:t>
      </w:r>
      <w:r>
        <w:rPr>
          <w:rFonts w:hint="eastAsia" w:ascii="宋体" w:hAnsi="宋体" w:cs="宋体"/>
        </w:rPr>
        <w:t xml:space="preserve"> 位于乌迳镇孔塘村，建于清乾隆年间，用青砖筑成，通进深20.43米。</w:t>
      </w:r>
    </w:p>
    <w:p w14:paraId="4026EB2C">
      <w:pPr>
        <w:ind w:firstLine="422"/>
        <w:rPr>
          <w:rFonts w:ascii="宋体" w:hAnsi="宋体" w:cs="宋体"/>
        </w:rPr>
      </w:pPr>
      <w:r>
        <w:rPr>
          <w:rFonts w:hint="eastAsia" w:ascii="宋体" w:hAnsi="宋体" w:cs="宋体"/>
          <w:b/>
          <w:bCs/>
        </w:rPr>
        <w:t>上朔村彭氏宗祠</w:t>
      </w:r>
      <w:r>
        <w:rPr>
          <w:rFonts w:hint="eastAsia" w:ascii="宋体" w:hAnsi="宋体" w:cs="宋体"/>
        </w:rPr>
        <w:t xml:space="preserve">  位于油山镇上朔村，建于清代。整体建筑坐北向南，长69.3米，宽7.7米，祠前有庭院，四进，每进间有天井间隔。</w:t>
      </w:r>
    </w:p>
    <w:p w14:paraId="35D9B4ED">
      <w:pPr>
        <w:ind w:firstLine="422"/>
        <w:rPr>
          <w:rFonts w:ascii="宋体" w:hAnsi="宋体" w:cs="宋体"/>
        </w:rPr>
      </w:pPr>
      <w:r>
        <w:rPr>
          <w:rFonts w:hint="eastAsia" w:ascii="宋体" w:hAnsi="宋体" w:cs="宋体"/>
          <w:b/>
          <w:bCs/>
        </w:rPr>
        <w:t xml:space="preserve">浆田村黄氏爱敬堂  </w:t>
      </w:r>
      <w:r>
        <w:rPr>
          <w:rFonts w:hint="eastAsia" w:ascii="宋体" w:hAnsi="宋体" w:cs="宋体"/>
        </w:rPr>
        <w:t>位于油山镇浆田村，建于清代。坐西向东，三进。通进深36.3米。</w:t>
      </w:r>
    </w:p>
    <w:p w14:paraId="4459DF32">
      <w:pPr>
        <w:ind w:firstLine="422"/>
        <w:rPr>
          <w:rFonts w:ascii="宋体" w:hAnsi="宋体" w:cs="宋体"/>
        </w:rPr>
      </w:pPr>
      <w:r>
        <w:rPr>
          <w:rFonts w:hint="eastAsia" w:ascii="宋体" w:hAnsi="宋体" w:cs="宋体"/>
          <w:b/>
          <w:bCs/>
        </w:rPr>
        <w:t xml:space="preserve">篛过村欧阳氏宗祠 </w:t>
      </w:r>
      <w:r>
        <w:rPr>
          <w:rFonts w:hint="eastAsia" w:ascii="宋体" w:hAnsi="宋体" w:cs="宋体"/>
        </w:rPr>
        <w:t xml:space="preserve"> 位于水口镇篛过村，建于清代。坐西向东，三进深。每进间有天井间隔，天井两侧有廊，第一进置阁楼和戏台。</w:t>
      </w:r>
    </w:p>
    <w:p w14:paraId="27DB4C7E">
      <w:pPr>
        <w:ind w:firstLine="422"/>
        <w:rPr>
          <w:rFonts w:ascii="宋体" w:hAnsi="宋体" w:cs="宋体"/>
        </w:rPr>
      </w:pPr>
      <w:r>
        <w:rPr>
          <w:rFonts w:hint="eastAsia" w:ascii="宋体" w:hAnsi="宋体" w:cs="宋体"/>
          <w:b/>
          <w:bCs/>
        </w:rPr>
        <w:t xml:space="preserve">溪塘村陈氏宗祠  </w:t>
      </w:r>
      <w:r>
        <w:rPr>
          <w:rFonts w:hint="eastAsia" w:ascii="宋体" w:hAnsi="宋体" w:cs="宋体"/>
        </w:rPr>
        <w:t>位于黄坑镇溪塘村，始建于明代。三进，宗祠构架为抬梁与穿斗式相结合，每进间有天井间隔，天井两侧有廊。</w:t>
      </w:r>
    </w:p>
    <w:p w14:paraId="18F17109">
      <w:pPr>
        <w:ind w:firstLine="422"/>
        <w:rPr>
          <w:rFonts w:ascii="宋体" w:hAnsi="宋体" w:cs="宋体"/>
        </w:rPr>
      </w:pPr>
      <w:r>
        <w:rPr>
          <w:rFonts w:hint="eastAsia" w:ascii="宋体" w:hAnsi="宋体" w:cs="宋体"/>
          <w:b/>
          <w:bCs/>
        </w:rPr>
        <w:t xml:space="preserve">白胜村叶氏宗祠 </w:t>
      </w:r>
      <w:r>
        <w:rPr>
          <w:rFonts w:hint="eastAsia" w:ascii="宋体" w:hAnsi="宋体" w:cs="宋体"/>
        </w:rPr>
        <w:t xml:space="preserve"> 位于乌迳镇白胜村，建于清代，三进。每进间有天井间隔，天井两侧有廊。祠门前设4级石台阶。祠前建有1座重檐歇山顶门楼。</w:t>
      </w:r>
    </w:p>
    <w:p w14:paraId="36ACEC9F">
      <w:pPr>
        <w:ind w:firstLine="422"/>
        <w:rPr>
          <w:rFonts w:ascii="宋体" w:hAnsi="宋体" w:cs="宋体"/>
        </w:rPr>
      </w:pPr>
      <w:r>
        <w:rPr>
          <w:rFonts w:hint="eastAsia" w:ascii="宋体" w:hAnsi="宋体" w:cs="宋体"/>
          <w:b/>
          <w:bCs/>
        </w:rPr>
        <w:t xml:space="preserve">新田村李氏宗祠 </w:t>
      </w:r>
      <w:r>
        <w:rPr>
          <w:rFonts w:hint="eastAsia" w:ascii="宋体" w:hAnsi="宋体" w:cs="宋体"/>
        </w:rPr>
        <w:t xml:space="preserve"> 位于乌迳镇新田村，建于清代。祠前建有围墙，墙中为四柱三楼牌坊式照壁，坊额刻有“世德流芳”4字。宗祠为二进。</w:t>
      </w:r>
    </w:p>
    <w:p w14:paraId="456537F5">
      <w:pPr>
        <w:ind w:firstLine="422"/>
        <w:rPr>
          <w:rFonts w:ascii="宋体" w:hAnsi="宋体" w:cs="宋体"/>
        </w:rPr>
      </w:pPr>
      <w:r>
        <w:rPr>
          <w:rFonts w:hint="eastAsia" w:ascii="宋体" w:hAnsi="宋体" w:cs="宋体"/>
          <w:b/>
          <w:bCs/>
        </w:rPr>
        <w:t xml:space="preserve">水松村董氏宗祠 </w:t>
      </w:r>
      <w:r>
        <w:rPr>
          <w:rFonts w:hint="eastAsia" w:ascii="宋体" w:hAnsi="宋体" w:cs="宋体"/>
        </w:rPr>
        <w:t xml:space="preserve"> 位于乌迳镇水松村，建于清代，三进，每进间有天井间隔，天井两侧有廊。</w:t>
      </w:r>
    </w:p>
    <w:p w14:paraId="7618C921">
      <w:pPr>
        <w:ind w:firstLine="422"/>
        <w:rPr>
          <w:rFonts w:ascii="宋体" w:hAnsi="宋体" w:cs="宋体"/>
        </w:rPr>
      </w:pPr>
      <w:r>
        <w:rPr>
          <w:rFonts w:hint="eastAsia" w:ascii="宋体" w:hAnsi="宋体" w:cs="宋体"/>
          <w:b/>
          <w:bCs/>
        </w:rPr>
        <w:t>上朔村欧氏宗祠</w:t>
      </w:r>
      <w:r>
        <w:rPr>
          <w:rFonts w:hint="eastAsia" w:ascii="宋体" w:hAnsi="宋体" w:cs="宋体"/>
        </w:rPr>
        <w:t xml:space="preserve">  位于油山镇上朔村，建于清代。面阔三间，三进。</w:t>
      </w:r>
    </w:p>
    <w:p w14:paraId="77D3DAF0">
      <w:pPr>
        <w:pStyle w:val="5"/>
        <w:rPr>
          <w:rFonts w:ascii="宋体" w:hAnsi="宋体" w:cs="宋体"/>
        </w:rPr>
      </w:pPr>
      <w:r>
        <w:rPr>
          <w:rFonts w:hint="eastAsia" w:ascii="宋体" w:hAnsi="宋体" w:cs="宋体"/>
        </w:rPr>
        <w:t>二、寺观庙庵</w:t>
      </w:r>
    </w:p>
    <w:p w14:paraId="4B67BEAE">
      <w:pPr>
        <w:ind w:firstLine="422"/>
        <w:rPr>
          <w:rFonts w:ascii="宋体" w:hAnsi="宋体" w:cs="宋体"/>
        </w:rPr>
      </w:pPr>
      <w:r>
        <w:rPr>
          <w:rFonts w:hint="eastAsia" w:ascii="宋体" w:hAnsi="宋体" w:cs="宋体"/>
          <w:b/>
          <w:bCs/>
        </w:rPr>
        <w:t xml:space="preserve">洞真古观  </w:t>
      </w:r>
      <w:r>
        <w:rPr>
          <w:rFonts w:hint="eastAsia" w:ascii="宋体" w:hAnsi="宋体" w:cs="宋体"/>
        </w:rPr>
        <w:t>建于唐贞观元年（632年）。位于钟彭岩翠屏山下，连成一片风景名区。观内有1937年9月6日，陈毅下山与国民党代表谈判团结抗日遗址。</w:t>
      </w:r>
    </w:p>
    <w:p w14:paraId="093A8F61">
      <w:pPr>
        <w:ind w:firstLine="422"/>
        <w:rPr>
          <w:rFonts w:ascii="宋体" w:hAnsi="宋体" w:cs="宋体"/>
        </w:rPr>
      </w:pPr>
      <w:r>
        <w:rPr>
          <w:rFonts w:hint="eastAsia" w:ascii="宋体" w:hAnsi="宋体" w:cs="宋体"/>
          <w:b/>
          <w:bCs/>
        </w:rPr>
        <w:t>沙水寺（大雄禅寺）</w:t>
      </w:r>
      <w:r>
        <w:rPr>
          <w:rFonts w:hint="eastAsia" w:ascii="宋体" w:hAnsi="宋体" w:cs="宋体"/>
        </w:rPr>
        <w:t xml:space="preserve">  在珠玑巷东侧，创建于宋哲宗年间，早毁。近年由高僧本焕大和尚主持重建，改名大雄禅寺，规模宏大，占地1万多平方米。</w:t>
      </w:r>
    </w:p>
    <w:p w14:paraId="2E79216A">
      <w:pPr>
        <w:ind w:firstLine="422"/>
        <w:rPr>
          <w:rFonts w:ascii="宋体" w:hAnsi="宋体" w:cs="宋体"/>
        </w:rPr>
      </w:pPr>
      <w:r>
        <w:rPr>
          <w:rFonts w:hint="eastAsia" w:ascii="宋体" w:hAnsi="宋体" w:cs="宋体"/>
          <w:b/>
          <w:bCs/>
        </w:rPr>
        <w:t xml:space="preserve">六祖寺 </w:t>
      </w:r>
      <w:r>
        <w:rPr>
          <w:rFonts w:hint="eastAsia" w:ascii="宋体" w:hAnsi="宋体" w:cs="宋体"/>
        </w:rPr>
        <w:t xml:space="preserve"> 为纪念唐初名僧禅宗南宗开山祖师六祖慧能而建，位于梅关以南150米处。寺高3米，青砖砌筑，宽5.8米，进深5.6米。内有放缽石。1995年，在原址旁新建六祖寺一间，旧址拆毁。</w:t>
      </w:r>
    </w:p>
    <w:p w14:paraId="0D2A332F">
      <w:pPr>
        <w:ind w:firstLine="422"/>
        <w:rPr>
          <w:rFonts w:ascii="宋体" w:hAnsi="宋体" w:cs="宋体"/>
        </w:rPr>
      </w:pPr>
      <w:r>
        <w:rPr>
          <w:rFonts w:hint="eastAsia" w:ascii="宋体" w:hAnsi="宋体" w:cs="宋体"/>
          <w:b/>
          <w:bCs/>
        </w:rPr>
        <w:t xml:space="preserve">夫人庙 </w:t>
      </w:r>
      <w:r>
        <w:rPr>
          <w:rFonts w:hint="eastAsia" w:ascii="宋体" w:hAnsi="宋体" w:cs="宋体"/>
        </w:rPr>
        <w:t xml:space="preserve"> 1991年重建在梅关古道旁。相传为纪念张九龄夫人戚宜芬而建。原址在梅岭脚下新路口。</w:t>
      </w:r>
    </w:p>
    <w:p w14:paraId="1247EA2D">
      <w:pPr>
        <w:ind w:firstLine="422"/>
        <w:rPr>
          <w:rFonts w:ascii="宋体" w:hAnsi="宋体" w:cs="宋体"/>
        </w:rPr>
      </w:pPr>
      <w:r>
        <w:rPr>
          <w:rFonts w:hint="eastAsia" w:ascii="宋体" w:hAnsi="宋体" w:cs="宋体"/>
          <w:b/>
          <w:bCs/>
        </w:rPr>
        <w:t xml:space="preserve">甘露禅院 </w:t>
      </w:r>
      <w:r>
        <w:rPr>
          <w:rFonts w:hint="eastAsia" w:ascii="宋体" w:hAnsi="宋体" w:cs="宋体"/>
        </w:rPr>
        <w:t xml:space="preserve"> 该禅院位于全安镇羊角村，始建于宋代，后有修葺。今院为近代建筑，院向南，青砖平卧砌成，面积275.2平方米，门上嵌有“甘露禅院”石匾。</w:t>
      </w:r>
    </w:p>
    <w:p w14:paraId="1C01EDAA">
      <w:pPr>
        <w:ind w:firstLine="422"/>
        <w:rPr>
          <w:rFonts w:ascii="宋体" w:hAnsi="宋体" w:cs="宋体"/>
        </w:rPr>
      </w:pPr>
      <w:r>
        <w:rPr>
          <w:rFonts w:hint="eastAsia" w:ascii="宋体" w:hAnsi="宋体" w:cs="宋体"/>
          <w:b/>
          <w:bCs/>
        </w:rPr>
        <w:t>伏龙寺</w:t>
      </w:r>
      <w:r>
        <w:rPr>
          <w:rFonts w:hint="eastAsia" w:ascii="宋体" w:hAnsi="宋体" w:cs="宋体"/>
        </w:rPr>
        <w:t xml:space="preserve">  该寺位于油山镇上朔村，始建于宋代，内有宋嘉祐铁铸钟1座。</w:t>
      </w:r>
    </w:p>
    <w:p w14:paraId="00CC3470">
      <w:pPr>
        <w:ind w:firstLine="422"/>
        <w:rPr>
          <w:rFonts w:ascii="宋体" w:hAnsi="宋体" w:cs="宋体"/>
        </w:rPr>
      </w:pPr>
      <w:r>
        <w:rPr>
          <w:rFonts w:hint="eastAsia" w:ascii="宋体" w:hAnsi="宋体" w:cs="宋体"/>
          <w:b/>
          <w:bCs/>
        </w:rPr>
        <w:t>莲社庵（莲开净寺）</w:t>
      </w:r>
      <w:r>
        <w:rPr>
          <w:rFonts w:hint="eastAsia" w:ascii="宋体" w:hAnsi="宋体" w:cs="宋体"/>
        </w:rPr>
        <w:t xml:space="preserve">  位于市区东郊，距市区约1.5公里。明天启元年（1626年）建。该庵建在水南百亩良田高处，坐东向西。据清康熙二十五年（1686年）张进贤编撰的《保昌县志》载：“莲社庵在水南村，内有僧智一肉身。”1996年，南雄佛教界人士在原址重建莲社庵。近年，又由高僧本焕大和尚发起重建，面积8000平方米，改名莲开净寺，为尼众学佛修身之所。</w:t>
      </w:r>
    </w:p>
    <w:p w14:paraId="6B2F6B0A">
      <w:pPr>
        <w:ind w:firstLine="422"/>
        <w:rPr>
          <w:rFonts w:ascii="宋体" w:hAnsi="宋体" w:cs="宋体"/>
        </w:rPr>
      </w:pPr>
      <w:r>
        <w:rPr>
          <w:rFonts w:hint="eastAsia" w:ascii="宋体" w:hAnsi="宋体" w:cs="宋体"/>
          <w:b/>
          <w:bCs/>
        </w:rPr>
        <w:t xml:space="preserve">万善庵 </w:t>
      </w:r>
      <w:r>
        <w:rPr>
          <w:rFonts w:hint="eastAsia" w:ascii="宋体" w:hAnsi="宋体" w:cs="宋体"/>
        </w:rPr>
        <w:t xml:space="preserve"> 该庵位于城郊洋汾水村，始建于明代。庵向南，用青砖平卧顺砌，面积271.4平方米。今庵为新建。庵内有观音等佛像。</w:t>
      </w:r>
    </w:p>
    <w:p w14:paraId="0E7DCC50">
      <w:pPr>
        <w:ind w:firstLine="422"/>
        <w:rPr>
          <w:rFonts w:ascii="宋体" w:hAnsi="宋体" w:cs="宋体"/>
        </w:rPr>
      </w:pPr>
      <w:r>
        <w:rPr>
          <w:rFonts w:hint="eastAsia" w:ascii="宋体" w:hAnsi="宋体" w:cs="宋体"/>
          <w:b/>
          <w:bCs/>
        </w:rPr>
        <w:t xml:space="preserve">修上古庙 </w:t>
      </w:r>
      <w:r>
        <w:rPr>
          <w:rFonts w:hint="eastAsia" w:ascii="宋体" w:hAnsi="宋体" w:cs="宋体"/>
        </w:rPr>
        <w:t xml:space="preserve"> 位于珠玑镇长迳村，清代所建。庙东南向，用青砖筑成，共三进，深30米，奉祭关云长，1989年拆毁前座。</w:t>
      </w:r>
    </w:p>
    <w:p w14:paraId="663436F1">
      <w:pPr>
        <w:ind w:firstLine="422"/>
        <w:rPr>
          <w:rFonts w:ascii="宋体" w:hAnsi="宋体" w:cs="宋体"/>
        </w:rPr>
      </w:pPr>
      <w:r>
        <w:rPr>
          <w:rFonts w:hint="eastAsia" w:ascii="宋体" w:hAnsi="宋体" w:cs="宋体"/>
          <w:b/>
          <w:bCs/>
        </w:rPr>
        <w:t>清道光《直隶南雄州志》载古寺庵宫观83所，久废不存，选录于下：</w:t>
      </w: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242"/>
        <w:gridCol w:w="1418"/>
        <w:gridCol w:w="1559"/>
        <w:gridCol w:w="142"/>
        <w:gridCol w:w="1276"/>
        <w:gridCol w:w="1134"/>
        <w:gridCol w:w="3191"/>
      </w:tblGrid>
      <w:tr w14:paraId="0A858C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42" w:type="dxa"/>
            <w:vAlign w:val="center"/>
          </w:tcPr>
          <w:p w14:paraId="660B0872">
            <w:pPr>
              <w:ind w:firstLine="0" w:firstLineChars="0"/>
              <w:jc w:val="center"/>
              <w:rPr>
                <w:rFonts w:ascii="宋体" w:hAnsi="宋体" w:cs="宋体"/>
                <w:b/>
                <w:bCs/>
              </w:rPr>
            </w:pPr>
            <w:r>
              <w:rPr>
                <w:rFonts w:hint="eastAsia" w:ascii="宋体" w:hAnsi="宋体" w:cs="宋体"/>
                <w:b/>
                <w:bCs/>
              </w:rPr>
              <w:t>兴隆庵</w:t>
            </w:r>
          </w:p>
        </w:tc>
        <w:tc>
          <w:tcPr>
            <w:tcW w:w="1418" w:type="dxa"/>
            <w:vAlign w:val="center"/>
          </w:tcPr>
          <w:p w14:paraId="70FA5FE7">
            <w:pPr>
              <w:ind w:firstLine="0" w:firstLineChars="0"/>
              <w:jc w:val="left"/>
              <w:rPr>
                <w:rFonts w:ascii="宋体" w:hAnsi="宋体" w:cs="宋体"/>
              </w:rPr>
            </w:pPr>
            <w:r>
              <w:rPr>
                <w:rFonts w:hint="eastAsia" w:ascii="宋体" w:hAnsi="宋体" w:cs="宋体"/>
              </w:rPr>
              <w:t>在水南村</w:t>
            </w:r>
          </w:p>
        </w:tc>
        <w:tc>
          <w:tcPr>
            <w:tcW w:w="1701" w:type="dxa"/>
            <w:gridSpan w:val="2"/>
            <w:vAlign w:val="center"/>
          </w:tcPr>
          <w:p w14:paraId="669BE935">
            <w:pPr>
              <w:ind w:firstLine="0" w:firstLineChars="0"/>
              <w:jc w:val="center"/>
              <w:rPr>
                <w:rFonts w:ascii="宋体" w:hAnsi="宋体" w:cs="宋体"/>
                <w:b/>
                <w:bCs/>
              </w:rPr>
            </w:pPr>
            <w:r>
              <w:rPr>
                <w:rFonts w:hint="eastAsia" w:ascii="宋体" w:hAnsi="宋体" w:cs="宋体"/>
                <w:b/>
                <w:bCs/>
              </w:rPr>
              <w:t>白衣庵</w:t>
            </w:r>
          </w:p>
        </w:tc>
        <w:tc>
          <w:tcPr>
            <w:tcW w:w="1276" w:type="dxa"/>
            <w:vAlign w:val="center"/>
          </w:tcPr>
          <w:p w14:paraId="51F73F24">
            <w:pPr>
              <w:ind w:firstLine="0" w:firstLineChars="0"/>
              <w:jc w:val="left"/>
              <w:rPr>
                <w:rFonts w:ascii="宋体" w:hAnsi="宋体" w:cs="宋体"/>
              </w:rPr>
            </w:pPr>
            <w:r>
              <w:rPr>
                <w:rFonts w:hint="eastAsia" w:ascii="宋体" w:hAnsi="宋体" w:cs="宋体"/>
              </w:rPr>
              <w:t>在古塘村</w:t>
            </w:r>
          </w:p>
        </w:tc>
        <w:tc>
          <w:tcPr>
            <w:tcW w:w="1134" w:type="dxa"/>
            <w:vAlign w:val="center"/>
          </w:tcPr>
          <w:p w14:paraId="698472E0">
            <w:pPr>
              <w:ind w:firstLine="0" w:firstLineChars="0"/>
              <w:jc w:val="center"/>
              <w:rPr>
                <w:rFonts w:ascii="宋体" w:hAnsi="宋体" w:cs="宋体"/>
              </w:rPr>
            </w:pPr>
            <w:r>
              <w:rPr>
                <w:rFonts w:hint="eastAsia" w:ascii="宋体" w:hAnsi="宋体" w:cs="宋体"/>
                <w:b/>
                <w:bCs/>
              </w:rPr>
              <w:t>仁和寺</w:t>
            </w:r>
          </w:p>
        </w:tc>
        <w:tc>
          <w:tcPr>
            <w:tcW w:w="3191" w:type="dxa"/>
            <w:vAlign w:val="center"/>
          </w:tcPr>
          <w:p w14:paraId="5AA0D59E">
            <w:pPr>
              <w:ind w:firstLine="0" w:firstLineChars="0"/>
              <w:jc w:val="left"/>
              <w:rPr>
                <w:rFonts w:ascii="宋体" w:hAnsi="宋体" w:cs="宋体"/>
              </w:rPr>
            </w:pPr>
            <w:r>
              <w:rPr>
                <w:rFonts w:hint="eastAsia" w:ascii="宋体" w:hAnsi="宋体" w:cs="宋体"/>
              </w:rPr>
              <w:t>在水教场，宋开庆元年创</w:t>
            </w:r>
          </w:p>
        </w:tc>
      </w:tr>
      <w:tr w14:paraId="24E9E4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42" w:type="dxa"/>
            <w:vAlign w:val="center"/>
          </w:tcPr>
          <w:p w14:paraId="5F1EAB5A">
            <w:pPr>
              <w:ind w:firstLine="0" w:firstLineChars="0"/>
              <w:jc w:val="center"/>
              <w:rPr>
                <w:rFonts w:ascii="宋体" w:hAnsi="宋体" w:cs="宋体"/>
              </w:rPr>
            </w:pPr>
            <w:r>
              <w:rPr>
                <w:rFonts w:hint="eastAsia" w:ascii="宋体" w:hAnsi="宋体" w:cs="宋体"/>
                <w:b/>
                <w:bCs/>
              </w:rPr>
              <w:t>法华寺</w:t>
            </w:r>
          </w:p>
        </w:tc>
        <w:tc>
          <w:tcPr>
            <w:tcW w:w="1418" w:type="dxa"/>
            <w:vAlign w:val="center"/>
          </w:tcPr>
          <w:p w14:paraId="1C89A955">
            <w:pPr>
              <w:ind w:firstLine="0" w:firstLineChars="0"/>
              <w:jc w:val="left"/>
              <w:rPr>
                <w:rFonts w:ascii="宋体" w:hAnsi="宋体" w:cs="宋体"/>
              </w:rPr>
            </w:pPr>
            <w:r>
              <w:rPr>
                <w:rFonts w:hint="eastAsia" w:ascii="宋体" w:hAnsi="宋体" w:cs="宋体"/>
              </w:rPr>
              <w:t>在长岭头</w:t>
            </w:r>
          </w:p>
        </w:tc>
        <w:tc>
          <w:tcPr>
            <w:tcW w:w="1701" w:type="dxa"/>
            <w:gridSpan w:val="2"/>
            <w:vAlign w:val="center"/>
          </w:tcPr>
          <w:p w14:paraId="63780ACA">
            <w:pPr>
              <w:ind w:firstLine="0" w:firstLineChars="0"/>
              <w:jc w:val="center"/>
              <w:rPr>
                <w:rFonts w:ascii="宋体" w:hAnsi="宋体" w:cs="宋体"/>
              </w:rPr>
            </w:pPr>
            <w:r>
              <w:rPr>
                <w:rFonts w:hint="eastAsia" w:ascii="宋体" w:hAnsi="宋体" w:cs="宋体"/>
                <w:b/>
                <w:bCs/>
              </w:rPr>
              <w:t>玉虚宫</w:t>
            </w:r>
          </w:p>
        </w:tc>
        <w:tc>
          <w:tcPr>
            <w:tcW w:w="1276" w:type="dxa"/>
            <w:vAlign w:val="center"/>
          </w:tcPr>
          <w:p w14:paraId="29BA2E7A">
            <w:pPr>
              <w:ind w:firstLine="0" w:firstLineChars="0"/>
              <w:jc w:val="left"/>
              <w:rPr>
                <w:rFonts w:ascii="宋体" w:hAnsi="宋体" w:cs="宋体"/>
              </w:rPr>
            </w:pPr>
            <w:r>
              <w:rPr>
                <w:rFonts w:hint="eastAsia" w:ascii="宋体" w:hAnsi="宋体" w:cs="宋体"/>
              </w:rPr>
              <w:t>在水南村</w:t>
            </w:r>
          </w:p>
        </w:tc>
        <w:tc>
          <w:tcPr>
            <w:tcW w:w="1134" w:type="dxa"/>
            <w:vAlign w:val="center"/>
          </w:tcPr>
          <w:p w14:paraId="02EBD8D0">
            <w:pPr>
              <w:ind w:firstLine="0" w:firstLineChars="0"/>
              <w:jc w:val="center"/>
              <w:rPr>
                <w:rFonts w:ascii="宋体" w:hAnsi="宋体" w:cs="宋体"/>
              </w:rPr>
            </w:pPr>
            <w:r>
              <w:rPr>
                <w:rFonts w:hint="eastAsia" w:ascii="宋体" w:hAnsi="宋体" w:cs="宋体"/>
                <w:b/>
                <w:bCs/>
              </w:rPr>
              <w:t>接龙庵</w:t>
            </w:r>
          </w:p>
        </w:tc>
        <w:tc>
          <w:tcPr>
            <w:tcW w:w="3191" w:type="dxa"/>
            <w:vAlign w:val="center"/>
          </w:tcPr>
          <w:p w14:paraId="7F80082D">
            <w:pPr>
              <w:ind w:firstLine="0" w:firstLineChars="0"/>
              <w:jc w:val="left"/>
              <w:rPr>
                <w:rFonts w:ascii="宋体" w:hAnsi="宋体" w:cs="宋体"/>
              </w:rPr>
            </w:pPr>
            <w:r>
              <w:rPr>
                <w:rFonts w:hint="eastAsia" w:ascii="宋体" w:hAnsi="宋体" w:cs="宋体"/>
              </w:rPr>
              <w:t>在田边水</w:t>
            </w:r>
          </w:p>
        </w:tc>
      </w:tr>
      <w:tr w14:paraId="2FBEB4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42" w:type="dxa"/>
            <w:vAlign w:val="center"/>
          </w:tcPr>
          <w:p w14:paraId="5F5592E9">
            <w:pPr>
              <w:ind w:firstLine="0" w:firstLineChars="0"/>
              <w:jc w:val="center"/>
              <w:rPr>
                <w:rFonts w:ascii="宋体" w:hAnsi="宋体" w:cs="宋体"/>
                <w:b/>
                <w:bCs/>
              </w:rPr>
            </w:pPr>
            <w:r>
              <w:rPr>
                <w:rFonts w:hint="eastAsia" w:ascii="宋体" w:hAnsi="宋体" w:cs="宋体"/>
                <w:b/>
                <w:bCs/>
              </w:rPr>
              <w:t>天龙寺</w:t>
            </w:r>
          </w:p>
        </w:tc>
        <w:tc>
          <w:tcPr>
            <w:tcW w:w="1418" w:type="dxa"/>
            <w:vAlign w:val="center"/>
          </w:tcPr>
          <w:p w14:paraId="37A12E1D">
            <w:pPr>
              <w:ind w:firstLine="0" w:firstLineChars="0"/>
              <w:jc w:val="left"/>
              <w:rPr>
                <w:rFonts w:ascii="宋体" w:hAnsi="宋体" w:cs="宋体"/>
              </w:rPr>
            </w:pPr>
            <w:r>
              <w:rPr>
                <w:rFonts w:hint="eastAsia" w:ascii="宋体" w:hAnsi="宋体" w:cs="宋体"/>
              </w:rPr>
              <w:t>在上坪园</w:t>
            </w:r>
          </w:p>
        </w:tc>
        <w:tc>
          <w:tcPr>
            <w:tcW w:w="1701" w:type="dxa"/>
            <w:gridSpan w:val="2"/>
            <w:vAlign w:val="center"/>
          </w:tcPr>
          <w:p w14:paraId="5BB55407">
            <w:pPr>
              <w:ind w:firstLine="0" w:firstLineChars="0"/>
              <w:jc w:val="center"/>
              <w:rPr>
                <w:rFonts w:ascii="宋体" w:hAnsi="宋体" w:cs="宋体"/>
                <w:b/>
                <w:bCs/>
              </w:rPr>
            </w:pPr>
            <w:r>
              <w:rPr>
                <w:rFonts w:hint="eastAsia" w:ascii="宋体" w:hAnsi="宋体" w:cs="宋体"/>
                <w:b/>
                <w:bCs/>
              </w:rPr>
              <w:t>镇龙庵</w:t>
            </w:r>
          </w:p>
        </w:tc>
        <w:tc>
          <w:tcPr>
            <w:tcW w:w="1276" w:type="dxa"/>
            <w:vAlign w:val="center"/>
          </w:tcPr>
          <w:p w14:paraId="6C946ABC">
            <w:pPr>
              <w:ind w:firstLine="0" w:firstLineChars="0"/>
              <w:jc w:val="left"/>
              <w:rPr>
                <w:rFonts w:ascii="宋体" w:hAnsi="宋体" w:cs="宋体"/>
              </w:rPr>
            </w:pPr>
            <w:r>
              <w:rPr>
                <w:rFonts w:hint="eastAsia" w:ascii="宋体" w:hAnsi="宋体" w:cs="宋体"/>
              </w:rPr>
              <w:t>在密下水</w:t>
            </w:r>
          </w:p>
        </w:tc>
        <w:tc>
          <w:tcPr>
            <w:tcW w:w="1134" w:type="dxa"/>
            <w:vAlign w:val="center"/>
          </w:tcPr>
          <w:p w14:paraId="553C82D1">
            <w:pPr>
              <w:ind w:firstLine="0" w:firstLineChars="0"/>
              <w:jc w:val="center"/>
              <w:rPr>
                <w:rFonts w:ascii="宋体" w:hAnsi="宋体" w:cs="宋体"/>
              </w:rPr>
            </w:pPr>
            <w:r>
              <w:rPr>
                <w:rFonts w:hint="eastAsia" w:ascii="宋体" w:hAnsi="宋体" w:cs="宋体"/>
                <w:b/>
                <w:bCs/>
              </w:rPr>
              <w:t>青云寺</w:t>
            </w:r>
          </w:p>
        </w:tc>
        <w:tc>
          <w:tcPr>
            <w:tcW w:w="3191" w:type="dxa"/>
            <w:vAlign w:val="center"/>
          </w:tcPr>
          <w:p w14:paraId="1C402FC7">
            <w:pPr>
              <w:ind w:firstLine="0" w:firstLineChars="0"/>
              <w:jc w:val="left"/>
              <w:rPr>
                <w:rFonts w:ascii="宋体" w:hAnsi="宋体" w:cs="宋体"/>
              </w:rPr>
            </w:pPr>
            <w:r>
              <w:rPr>
                <w:rFonts w:hint="eastAsia" w:ascii="宋体" w:hAnsi="宋体" w:cs="宋体"/>
              </w:rPr>
              <w:t>在孔地村</w:t>
            </w:r>
          </w:p>
        </w:tc>
      </w:tr>
      <w:tr w14:paraId="40C1CD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42" w:type="dxa"/>
            <w:vAlign w:val="center"/>
          </w:tcPr>
          <w:p w14:paraId="0281244C">
            <w:pPr>
              <w:ind w:firstLine="0" w:firstLineChars="0"/>
              <w:jc w:val="center"/>
              <w:rPr>
                <w:rFonts w:ascii="宋体" w:hAnsi="宋体" w:cs="宋体"/>
                <w:b/>
                <w:bCs/>
              </w:rPr>
            </w:pPr>
            <w:r>
              <w:rPr>
                <w:rFonts w:hint="eastAsia" w:ascii="宋体" w:hAnsi="宋体" w:cs="宋体"/>
                <w:b/>
                <w:bCs/>
              </w:rPr>
              <w:t>高山庵</w:t>
            </w:r>
          </w:p>
        </w:tc>
        <w:tc>
          <w:tcPr>
            <w:tcW w:w="1418" w:type="dxa"/>
            <w:vAlign w:val="center"/>
          </w:tcPr>
          <w:p w14:paraId="258D2C86">
            <w:pPr>
              <w:ind w:firstLine="0" w:firstLineChars="0"/>
              <w:jc w:val="left"/>
              <w:rPr>
                <w:rFonts w:ascii="宋体" w:hAnsi="宋体" w:cs="宋体"/>
              </w:rPr>
            </w:pPr>
            <w:r>
              <w:rPr>
                <w:rFonts w:hint="eastAsia" w:ascii="宋体" w:hAnsi="宋体" w:cs="宋体"/>
              </w:rPr>
              <w:t>在西洞村</w:t>
            </w:r>
          </w:p>
        </w:tc>
        <w:tc>
          <w:tcPr>
            <w:tcW w:w="1701" w:type="dxa"/>
            <w:gridSpan w:val="2"/>
            <w:vAlign w:val="center"/>
          </w:tcPr>
          <w:p w14:paraId="57FECE28">
            <w:pPr>
              <w:ind w:firstLine="0" w:firstLineChars="0"/>
              <w:jc w:val="center"/>
              <w:rPr>
                <w:rFonts w:ascii="宋体" w:hAnsi="宋体" w:cs="宋体"/>
              </w:rPr>
            </w:pPr>
            <w:r>
              <w:rPr>
                <w:rFonts w:hint="eastAsia" w:ascii="宋体" w:hAnsi="宋体" w:cs="宋体"/>
                <w:b/>
                <w:bCs/>
              </w:rPr>
              <w:t>宝宁寺</w:t>
            </w:r>
          </w:p>
        </w:tc>
        <w:tc>
          <w:tcPr>
            <w:tcW w:w="1276" w:type="dxa"/>
            <w:vAlign w:val="center"/>
          </w:tcPr>
          <w:p w14:paraId="66100F3E">
            <w:pPr>
              <w:ind w:firstLine="0" w:firstLineChars="0"/>
              <w:jc w:val="left"/>
              <w:rPr>
                <w:rFonts w:ascii="宋体" w:hAnsi="宋体" w:cs="宋体"/>
              </w:rPr>
            </w:pPr>
            <w:r>
              <w:rPr>
                <w:rFonts w:hint="eastAsia" w:ascii="宋体" w:hAnsi="宋体" w:cs="宋体"/>
              </w:rPr>
              <w:t>在小竹村</w:t>
            </w:r>
          </w:p>
        </w:tc>
        <w:tc>
          <w:tcPr>
            <w:tcW w:w="1134" w:type="dxa"/>
            <w:vAlign w:val="center"/>
          </w:tcPr>
          <w:p w14:paraId="7CC44A87">
            <w:pPr>
              <w:ind w:firstLine="0" w:firstLineChars="0"/>
              <w:jc w:val="center"/>
              <w:rPr>
                <w:rFonts w:ascii="宋体" w:hAnsi="宋体" w:cs="宋体"/>
              </w:rPr>
            </w:pPr>
            <w:r>
              <w:rPr>
                <w:rFonts w:hint="eastAsia" w:ascii="宋体" w:hAnsi="宋体" w:cs="宋体"/>
                <w:b/>
                <w:bCs/>
              </w:rPr>
              <w:t>密江寺</w:t>
            </w:r>
          </w:p>
        </w:tc>
        <w:tc>
          <w:tcPr>
            <w:tcW w:w="3191" w:type="dxa"/>
            <w:vAlign w:val="center"/>
          </w:tcPr>
          <w:p w14:paraId="29FDD600">
            <w:pPr>
              <w:ind w:firstLine="0" w:firstLineChars="0"/>
              <w:jc w:val="left"/>
              <w:rPr>
                <w:rFonts w:ascii="宋体" w:hAnsi="宋体" w:cs="宋体"/>
              </w:rPr>
            </w:pPr>
            <w:r>
              <w:rPr>
                <w:rFonts w:hint="eastAsia" w:ascii="宋体" w:hAnsi="宋体" w:cs="宋体"/>
              </w:rPr>
              <w:t>在密下水村，宋创</w:t>
            </w:r>
          </w:p>
        </w:tc>
      </w:tr>
      <w:tr w14:paraId="169DDF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42" w:type="dxa"/>
            <w:vAlign w:val="center"/>
          </w:tcPr>
          <w:p w14:paraId="03FE5575">
            <w:pPr>
              <w:ind w:firstLine="0" w:firstLineChars="0"/>
              <w:jc w:val="center"/>
              <w:rPr>
                <w:rFonts w:ascii="宋体" w:hAnsi="宋体" w:cs="宋体"/>
                <w:b/>
                <w:bCs/>
              </w:rPr>
            </w:pPr>
            <w:r>
              <w:rPr>
                <w:rFonts w:hint="eastAsia" w:ascii="宋体" w:hAnsi="宋体" w:cs="宋体"/>
                <w:b/>
                <w:bCs/>
              </w:rPr>
              <w:t>黄草庵</w:t>
            </w:r>
          </w:p>
        </w:tc>
        <w:tc>
          <w:tcPr>
            <w:tcW w:w="1418" w:type="dxa"/>
            <w:vAlign w:val="center"/>
          </w:tcPr>
          <w:p w14:paraId="12E63120">
            <w:pPr>
              <w:ind w:firstLine="0" w:firstLineChars="0"/>
              <w:jc w:val="left"/>
              <w:rPr>
                <w:rFonts w:ascii="宋体" w:hAnsi="宋体" w:cs="宋体"/>
              </w:rPr>
            </w:pPr>
            <w:r>
              <w:rPr>
                <w:rFonts w:hint="eastAsia" w:ascii="宋体" w:hAnsi="宋体" w:cs="宋体"/>
              </w:rPr>
              <w:t>在新地村</w:t>
            </w:r>
          </w:p>
        </w:tc>
        <w:tc>
          <w:tcPr>
            <w:tcW w:w="1701" w:type="dxa"/>
            <w:gridSpan w:val="2"/>
            <w:vAlign w:val="center"/>
          </w:tcPr>
          <w:p w14:paraId="32506DF9">
            <w:pPr>
              <w:ind w:firstLine="0" w:firstLineChars="0"/>
              <w:jc w:val="center"/>
              <w:rPr>
                <w:rFonts w:ascii="宋体" w:hAnsi="宋体" w:cs="宋体"/>
              </w:rPr>
            </w:pPr>
            <w:r>
              <w:rPr>
                <w:rFonts w:hint="eastAsia" w:ascii="宋体" w:hAnsi="宋体" w:cs="宋体"/>
                <w:b/>
                <w:bCs/>
              </w:rPr>
              <w:t>朝天庵</w:t>
            </w:r>
          </w:p>
        </w:tc>
        <w:tc>
          <w:tcPr>
            <w:tcW w:w="1276" w:type="dxa"/>
            <w:vAlign w:val="center"/>
          </w:tcPr>
          <w:p w14:paraId="4AF6DC10">
            <w:pPr>
              <w:ind w:firstLine="0" w:firstLineChars="0"/>
              <w:jc w:val="left"/>
              <w:rPr>
                <w:rFonts w:ascii="宋体" w:hAnsi="宋体" w:cs="宋体"/>
              </w:rPr>
            </w:pPr>
            <w:r>
              <w:rPr>
                <w:rFonts w:hint="eastAsia" w:ascii="宋体" w:hAnsi="宋体" w:cs="宋体"/>
              </w:rPr>
              <w:t>在黄岭村</w:t>
            </w:r>
          </w:p>
        </w:tc>
        <w:tc>
          <w:tcPr>
            <w:tcW w:w="1134" w:type="dxa"/>
            <w:vAlign w:val="center"/>
          </w:tcPr>
          <w:p w14:paraId="3513283E">
            <w:pPr>
              <w:ind w:firstLine="0" w:firstLineChars="0"/>
              <w:jc w:val="center"/>
              <w:rPr>
                <w:rFonts w:ascii="宋体" w:hAnsi="宋体" w:cs="宋体"/>
              </w:rPr>
            </w:pPr>
            <w:r>
              <w:rPr>
                <w:rFonts w:hint="eastAsia" w:ascii="宋体" w:hAnsi="宋体" w:cs="宋体"/>
                <w:b/>
                <w:bCs/>
              </w:rPr>
              <w:t>妙林寺</w:t>
            </w:r>
          </w:p>
        </w:tc>
        <w:tc>
          <w:tcPr>
            <w:tcW w:w="3191" w:type="dxa"/>
            <w:vAlign w:val="center"/>
          </w:tcPr>
          <w:p w14:paraId="363896BB">
            <w:pPr>
              <w:ind w:firstLine="0" w:firstLineChars="0"/>
              <w:jc w:val="left"/>
              <w:rPr>
                <w:rFonts w:ascii="宋体" w:hAnsi="宋体" w:cs="宋体"/>
              </w:rPr>
            </w:pPr>
            <w:r>
              <w:rPr>
                <w:rFonts w:hint="eastAsia" w:ascii="宋体" w:hAnsi="宋体" w:cs="宋体"/>
              </w:rPr>
              <w:t>在篛过村，宋景定元年创</w:t>
            </w:r>
          </w:p>
        </w:tc>
      </w:tr>
      <w:tr w14:paraId="148D6C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42" w:type="dxa"/>
            <w:vAlign w:val="center"/>
          </w:tcPr>
          <w:p w14:paraId="06CDA689">
            <w:pPr>
              <w:ind w:firstLine="0" w:firstLineChars="0"/>
              <w:jc w:val="center"/>
              <w:rPr>
                <w:rFonts w:ascii="宋体" w:hAnsi="宋体" w:cs="宋体"/>
                <w:b/>
                <w:bCs/>
              </w:rPr>
            </w:pPr>
            <w:r>
              <w:rPr>
                <w:rFonts w:hint="eastAsia" w:ascii="宋体" w:hAnsi="宋体" w:cs="宋体"/>
                <w:b/>
                <w:bCs/>
              </w:rPr>
              <w:t>青龙庵</w:t>
            </w:r>
          </w:p>
        </w:tc>
        <w:tc>
          <w:tcPr>
            <w:tcW w:w="1418" w:type="dxa"/>
            <w:vAlign w:val="center"/>
          </w:tcPr>
          <w:p w14:paraId="754D86A8">
            <w:pPr>
              <w:ind w:firstLine="0" w:firstLineChars="0"/>
              <w:jc w:val="left"/>
              <w:rPr>
                <w:rFonts w:ascii="宋体" w:hAnsi="宋体" w:cs="宋体"/>
              </w:rPr>
            </w:pPr>
            <w:r>
              <w:rPr>
                <w:rFonts w:hint="eastAsia" w:ascii="宋体" w:hAnsi="宋体" w:cs="宋体"/>
              </w:rPr>
              <w:t>在塘东村</w:t>
            </w:r>
          </w:p>
        </w:tc>
        <w:tc>
          <w:tcPr>
            <w:tcW w:w="1701" w:type="dxa"/>
            <w:gridSpan w:val="2"/>
            <w:vAlign w:val="center"/>
          </w:tcPr>
          <w:p w14:paraId="6910FBAD">
            <w:pPr>
              <w:ind w:firstLine="0" w:firstLineChars="0"/>
              <w:jc w:val="center"/>
              <w:rPr>
                <w:rFonts w:ascii="宋体" w:hAnsi="宋体" w:cs="宋体"/>
                <w:b/>
                <w:bCs/>
              </w:rPr>
            </w:pPr>
            <w:r>
              <w:rPr>
                <w:rFonts w:hint="eastAsia" w:ascii="宋体" w:hAnsi="宋体" w:cs="宋体"/>
                <w:b/>
                <w:bCs/>
              </w:rPr>
              <w:t>石宝寺</w:t>
            </w:r>
          </w:p>
        </w:tc>
        <w:tc>
          <w:tcPr>
            <w:tcW w:w="1276" w:type="dxa"/>
            <w:vAlign w:val="center"/>
          </w:tcPr>
          <w:p w14:paraId="75FE6A5D">
            <w:pPr>
              <w:ind w:firstLine="0" w:firstLineChars="0"/>
              <w:jc w:val="left"/>
              <w:rPr>
                <w:rFonts w:ascii="宋体" w:hAnsi="宋体" w:cs="宋体"/>
              </w:rPr>
            </w:pPr>
            <w:r>
              <w:rPr>
                <w:rFonts w:hint="eastAsia" w:ascii="宋体" w:hAnsi="宋体" w:cs="宋体"/>
              </w:rPr>
              <w:t>在倚逢村</w:t>
            </w:r>
          </w:p>
        </w:tc>
        <w:tc>
          <w:tcPr>
            <w:tcW w:w="1134" w:type="dxa"/>
            <w:vAlign w:val="center"/>
          </w:tcPr>
          <w:p w14:paraId="6A056979">
            <w:pPr>
              <w:ind w:firstLine="0" w:firstLineChars="0"/>
              <w:jc w:val="center"/>
              <w:rPr>
                <w:rFonts w:ascii="宋体" w:hAnsi="宋体" w:cs="宋体"/>
              </w:rPr>
            </w:pPr>
            <w:r>
              <w:rPr>
                <w:rFonts w:hint="eastAsia" w:ascii="宋体" w:hAnsi="宋体" w:cs="宋体"/>
                <w:b/>
                <w:bCs/>
              </w:rPr>
              <w:t>芙蓉庵</w:t>
            </w:r>
          </w:p>
        </w:tc>
        <w:tc>
          <w:tcPr>
            <w:tcW w:w="3191" w:type="dxa"/>
            <w:vAlign w:val="center"/>
          </w:tcPr>
          <w:p w14:paraId="737F33DE">
            <w:pPr>
              <w:ind w:firstLine="0" w:firstLineChars="0"/>
              <w:jc w:val="left"/>
              <w:rPr>
                <w:rFonts w:ascii="宋体" w:hAnsi="宋体" w:cs="宋体"/>
              </w:rPr>
            </w:pPr>
            <w:r>
              <w:rPr>
                <w:rFonts w:hint="eastAsia" w:ascii="宋体" w:hAnsi="宋体" w:cs="宋体"/>
              </w:rPr>
              <w:t>在修仁汛</w:t>
            </w:r>
          </w:p>
        </w:tc>
      </w:tr>
      <w:tr w14:paraId="3CE891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42" w:type="dxa"/>
            <w:vAlign w:val="center"/>
          </w:tcPr>
          <w:p w14:paraId="387816F8">
            <w:pPr>
              <w:ind w:firstLine="0" w:firstLineChars="0"/>
              <w:jc w:val="center"/>
              <w:rPr>
                <w:rFonts w:ascii="宋体" w:hAnsi="宋体" w:cs="宋体"/>
                <w:b/>
                <w:bCs/>
              </w:rPr>
            </w:pPr>
            <w:r>
              <w:rPr>
                <w:rFonts w:hint="eastAsia" w:ascii="宋体" w:hAnsi="宋体" w:cs="宋体"/>
                <w:b/>
                <w:bCs/>
              </w:rPr>
              <w:t>水口寺</w:t>
            </w:r>
          </w:p>
        </w:tc>
        <w:tc>
          <w:tcPr>
            <w:tcW w:w="1418" w:type="dxa"/>
            <w:vAlign w:val="center"/>
          </w:tcPr>
          <w:p w14:paraId="5340E587">
            <w:pPr>
              <w:ind w:firstLine="0" w:firstLineChars="0"/>
              <w:jc w:val="left"/>
              <w:rPr>
                <w:rFonts w:ascii="宋体" w:hAnsi="宋体" w:cs="宋体"/>
              </w:rPr>
            </w:pPr>
            <w:r>
              <w:rPr>
                <w:rFonts w:hint="eastAsia" w:ascii="宋体" w:hAnsi="宋体" w:cs="宋体"/>
              </w:rPr>
              <w:t>在上朔村</w:t>
            </w:r>
          </w:p>
        </w:tc>
        <w:tc>
          <w:tcPr>
            <w:tcW w:w="1701" w:type="dxa"/>
            <w:gridSpan w:val="2"/>
            <w:vAlign w:val="center"/>
          </w:tcPr>
          <w:p w14:paraId="36660E7A">
            <w:pPr>
              <w:ind w:firstLine="0" w:firstLineChars="0"/>
              <w:jc w:val="center"/>
              <w:rPr>
                <w:rFonts w:ascii="宋体" w:hAnsi="宋体" w:cs="宋体"/>
              </w:rPr>
            </w:pPr>
            <w:r>
              <w:rPr>
                <w:rFonts w:hint="eastAsia" w:ascii="宋体" w:hAnsi="宋体" w:cs="宋体"/>
                <w:b/>
                <w:bCs/>
              </w:rPr>
              <w:t>净明寺</w:t>
            </w:r>
          </w:p>
        </w:tc>
        <w:tc>
          <w:tcPr>
            <w:tcW w:w="1276" w:type="dxa"/>
            <w:vAlign w:val="center"/>
          </w:tcPr>
          <w:p w14:paraId="45F36BA8">
            <w:pPr>
              <w:ind w:firstLine="0" w:firstLineChars="0"/>
              <w:jc w:val="left"/>
              <w:rPr>
                <w:rFonts w:ascii="宋体" w:hAnsi="宋体" w:cs="宋体"/>
              </w:rPr>
            </w:pPr>
            <w:r>
              <w:rPr>
                <w:rFonts w:hint="eastAsia" w:ascii="宋体" w:hAnsi="宋体" w:cs="宋体"/>
              </w:rPr>
              <w:t>在油山</w:t>
            </w:r>
          </w:p>
        </w:tc>
        <w:tc>
          <w:tcPr>
            <w:tcW w:w="1134" w:type="dxa"/>
            <w:vAlign w:val="center"/>
          </w:tcPr>
          <w:p w14:paraId="7F22529A">
            <w:pPr>
              <w:ind w:firstLine="0" w:firstLineChars="0"/>
              <w:jc w:val="center"/>
              <w:rPr>
                <w:rFonts w:ascii="宋体" w:hAnsi="宋体" w:cs="宋体"/>
              </w:rPr>
            </w:pPr>
            <w:r>
              <w:rPr>
                <w:rFonts w:hint="eastAsia" w:ascii="宋体" w:hAnsi="宋体" w:cs="宋体"/>
                <w:b/>
                <w:bCs/>
              </w:rPr>
              <w:t>观定寺</w:t>
            </w:r>
          </w:p>
        </w:tc>
        <w:tc>
          <w:tcPr>
            <w:tcW w:w="3191" w:type="dxa"/>
            <w:vAlign w:val="center"/>
          </w:tcPr>
          <w:p w14:paraId="1E861D4D">
            <w:pPr>
              <w:ind w:firstLine="0" w:firstLineChars="0"/>
              <w:jc w:val="left"/>
              <w:rPr>
                <w:rFonts w:ascii="宋体" w:hAnsi="宋体" w:cs="宋体"/>
              </w:rPr>
            </w:pPr>
            <w:r>
              <w:rPr>
                <w:rFonts w:hint="eastAsia" w:ascii="宋体" w:hAnsi="宋体" w:cs="宋体"/>
              </w:rPr>
              <w:t>在延村</w:t>
            </w:r>
          </w:p>
        </w:tc>
      </w:tr>
      <w:tr w14:paraId="23C844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42" w:type="dxa"/>
            <w:vAlign w:val="center"/>
          </w:tcPr>
          <w:p w14:paraId="39B61534">
            <w:pPr>
              <w:ind w:firstLine="0" w:firstLineChars="0"/>
              <w:jc w:val="center"/>
              <w:rPr>
                <w:rFonts w:ascii="宋体" w:hAnsi="宋体" w:cs="宋体"/>
              </w:rPr>
            </w:pPr>
            <w:r>
              <w:rPr>
                <w:rFonts w:hint="eastAsia" w:ascii="宋体" w:hAnsi="宋体" w:cs="宋体"/>
                <w:b/>
                <w:bCs/>
              </w:rPr>
              <w:t>龟湖观</w:t>
            </w:r>
          </w:p>
        </w:tc>
        <w:tc>
          <w:tcPr>
            <w:tcW w:w="1418" w:type="dxa"/>
            <w:vAlign w:val="center"/>
          </w:tcPr>
          <w:p w14:paraId="6F688692">
            <w:pPr>
              <w:ind w:firstLine="0" w:firstLineChars="0"/>
              <w:jc w:val="left"/>
              <w:rPr>
                <w:rFonts w:ascii="宋体" w:hAnsi="宋体" w:cs="宋体"/>
              </w:rPr>
            </w:pPr>
            <w:r>
              <w:rPr>
                <w:rFonts w:hint="eastAsia" w:ascii="宋体" w:hAnsi="宋体" w:cs="宋体"/>
              </w:rPr>
              <w:t>在芙蓉村</w:t>
            </w:r>
          </w:p>
        </w:tc>
        <w:tc>
          <w:tcPr>
            <w:tcW w:w="1701" w:type="dxa"/>
            <w:gridSpan w:val="2"/>
            <w:vAlign w:val="center"/>
          </w:tcPr>
          <w:p w14:paraId="3BF2E391">
            <w:pPr>
              <w:ind w:firstLine="0" w:firstLineChars="0"/>
              <w:jc w:val="center"/>
              <w:rPr>
                <w:rFonts w:ascii="宋体" w:hAnsi="宋体" w:cs="宋体"/>
                <w:b/>
                <w:bCs/>
              </w:rPr>
            </w:pPr>
            <w:r>
              <w:rPr>
                <w:rFonts w:hint="eastAsia" w:ascii="宋体" w:hAnsi="宋体" w:cs="宋体"/>
                <w:b/>
                <w:bCs/>
              </w:rPr>
              <w:t>东华山寺</w:t>
            </w:r>
          </w:p>
        </w:tc>
        <w:tc>
          <w:tcPr>
            <w:tcW w:w="1276" w:type="dxa"/>
            <w:vAlign w:val="center"/>
          </w:tcPr>
          <w:p w14:paraId="32263E2F">
            <w:pPr>
              <w:ind w:firstLine="0" w:firstLineChars="0"/>
              <w:jc w:val="left"/>
              <w:rPr>
                <w:rFonts w:ascii="宋体" w:hAnsi="宋体" w:cs="宋体"/>
              </w:rPr>
            </w:pPr>
            <w:r>
              <w:rPr>
                <w:rFonts w:hint="eastAsia" w:ascii="宋体" w:hAnsi="宋体" w:cs="宋体"/>
              </w:rPr>
              <w:t>在坪田</w:t>
            </w:r>
          </w:p>
        </w:tc>
        <w:tc>
          <w:tcPr>
            <w:tcW w:w="1134" w:type="dxa"/>
            <w:vAlign w:val="center"/>
          </w:tcPr>
          <w:p w14:paraId="4711355D">
            <w:pPr>
              <w:ind w:firstLine="0" w:firstLineChars="0"/>
              <w:jc w:val="center"/>
              <w:rPr>
                <w:rFonts w:ascii="宋体" w:hAnsi="宋体" w:cs="宋体"/>
              </w:rPr>
            </w:pPr>
            <w:r>
              <w:rPr>
                <w:rFonts w:hint="eastAsia" w:ascii="宋体" w:hAnsi="宋体" w:cs="宋体"/>
                <w:b/>
                <w:bCs/>
              </w:rPr>
              <w:t>龙凤山寺</w:t>
            </w:r>
          </w:p>
        </w:tc>
        <w:tc>
          <w:tcPr>
            <w:tcW w:w="3191" w:type="dxa"/>
            <w:vAlign w:val="center"/>
          </w:tcPr>
          <w:p w14:paraId="3170FA4A">
            <w:pPr>
              <w:ind w:firstLine="0" w:firstLineChars="0"/>
              <w:jc w:val="left"/>
              <w:rPr>
                <w:rFonts w:ascii="宋体" w:hAnsi="宋体" w:cs="宋体"/>
              </w:rPr>
            </w:pPr>
            <w:r>
              <w:rPr>
                <w:rFonts w:hint="eastAsia" w:ascii="宋体" w:hAnsi="宋体" w:cs="宋体"/>
              </w:rPr>
              <w:t>在坪田</w:t>
            </w:r>
          </w:p>
        </w:tc>
      </w:tr>
      <w:tr w14:paraId="2F2F0A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42" w:type="dxa"/>
            <w:vAlign w:val="center"/>
          </w:tcPr>
          <w:p w14:paraId="65531BB9">
            <w:pPr>
              <w:ind w:firstLine="0" w:firstLineChars="0"/>
              <w:jc w:val="center"/>
              <w:rPr>
                <w:rFonts w:ascii="宋体" w:hAnsi="宋体" w:cs="宋体"/>
                <w:b/>
                <w:bCs/>
              </w:rPr>
            </w:pPr>
            <w:r>
              <w:rPr>
                <w:rFonts w:hint="eastAsia" w:ascii="宋体" w:hAnsi="宋体" w:cs="宋体"/>
                <w:b/>
                <w:bCs/>
              </w:rPr>
              <w:t>临水寺</w:t>
            </w:r>
          </w:p>
        </w:tc>
        <w:tc>
          <w:tcPr>
            <w:tcW w:w="4395" w:type="dxa"/>
            <w:gridSpan w:val="4"/>
            <w:vAlign w:val="center"/>
          </w:tcPr>
          <w:p w14:paraId="1C33DEB8">
            <w:pPr>
              <w:ind w:firstLine="0" w:firstLineChars="0"/>
              <w:jc w:val="left"/>
              <w:rPr>
                <w:rFonts w:ascii="宋体" w:hAnsi="宋体" w:cs="宋体"/>
              </w:rPr>
            </w:pPr>
            <w:r>
              <w:rPr>
                <w:rFonts w:hint="eastAsia" w:ascii="宋体" w:hAnsi="宋体" w:cs="宋体"/>
              </w:rPr>
              <w:t>在新田塘背，唐咸通元年创</w:t>
            </w:r>
          </w:p>
        </w:tc>
        <w:tc>
          <w:tcPr>
            <w:tcW w:w="1134" w:type="dxa"/>
            <w:vAlign w:val="center"/>
          </w:tcPr>
          <w:p w14:paraId="55467F96">
            <w:pPr>
              <w:ind w:firstLine="0" w:firstLineChars="0"/>
              <w:jc w:val="center"/>
              <w:rPr>
                <w:rFonts w:ascii="宋体" w:hAnsi="宋体" w:cs="宋体"/>
                <w:b/>
                <w:bCs/>
              </w:rPr>
            </w:pPr>
            <w:r>
              <w:rPr>
                <w:rFonts w:hint="eastAsia" w:ascii="宋体" w:hAnsi="宋体" w:cs="宋体"/>
                <w:b/>
                <w:bCs/>
              </w:rPr>
              <w:t>南山庵</w:t>
            </w:r>
          </w:p>
        </w:tc>
        <w:tc>
          <w:tcPr>
            <w:tcW w:w="3191" w:type="dxa"/>
            <w:vAlign w:val="center"/>
          </w:tcPr>
          <w:p w14:paraId="4382EB0C">
            <w:pPr>
              <w:ind w:firstLine="0" w:firstLineChars="0"/>
              <w:jc w:val="left"/>
              <w:rPr>
                <w:rFonts w:ascii="宋体" w:hAnsi="宋体" w:cs="宋体"/>
              </w:rPr>
            </w:pPr>
            <w:r>
              <w:rPr>
                <w:rFonts w:hint="eastAsia" w:ascii="宋体" w:hAnsi="宋体" w:cs="宋体"/>
              </w:rPr>
              <w:t>在浆田村</w:t>
            </w:r>
          </w:p>
        </w:tc>
      </w:tr>
      <w:tr w14:paraId="09FB08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42" w:type="dxa"/>
            <w:vAlign w:val="center"/>
          </w:tcPr>
          <w:p w14:paraId="45C5E0D1">
            <w:pPr>
              <w:ind w:firstLine="0" w:firstLineChars="0"/>
              <w:jc w:val="center"/>
              <w:rPr>
                <w:rFonts w:ascii="宋体" w:hAnsi="宋体" w:cs="宋体"/>
                <w:b/>
                <w:bCs/>
              </w:rPr>
            </w:pPr>
            <w:r>
              <w:rPr>
                <w:rFonts w:hint="eastAsia" w:ascii="宋体" w:hAnsi="宋体" w:cs="宋体"/>
                <w:b/>
                <w:bCs/>
              </w:rPr>
              <w:t>回栏庵</w:t>
            </w:r>
          </w:p>
        </w:tc>
        <w:tc>
          <w:tcPr>
            <w:tcW w:w="1418" w:type="dxa"/>
            <w:vAlign w:val="center"/>
          </w:tcPr>
          <w:p w14:paraId="6BF70E72">
            <w:pPr>
              <w:ind w:firstLine="0" w:firstLineChars="0"/>
              <w:jc w:val="left"/>
              <w:rPr>
                <w:rFonts w:ascii="宋体" w:hAnsi="宋体" w:cs="宋体"/>
              </w:rPr>
            </w:pPr>
            <w:r>
              <w:rPr>
                <w:rFonts w:hint="eastAsia" w:ascii="宋体" w:hAnsi="宋体" w:cs="宋体"/>
              </w:rPr>
              <w:t>在古头村</w:t>
            </w:r>
          </w:p>
        </w:tc>
        <w:tc>
          <w:tcPr>
            <w:tcW w:w="1701" w:type="dxa"/>
            <w:gridSpan w:val="2"/>
            <w:vAlign w:val="center"/>
          </w:tcPr>
          <w:p w14:paraId="58363A5B">
            <w:pPr>
              <w:ind w:firstLine="0" w:firstLineChars="0"/>
              <w:jc w:val="center"/>
              <w:rPr>
                <w:rFonts w:ascii="宋体" w:hAnsi="宋体" w:cs="宋体"/>
              </w:rPr>
            </w:pPr>
            <w:r>
              <w:rPr>
                <w:rFonts w:hint="eastAsia" w:ascii="宋体" w:hAnsi="宋体" w:cs="宋体"/>
                <w:b/>
                <w:bCs/>
              </w:rPr>
              <w:t>西来</w:t>
            </w:r>
            <w:r>
              <w:rPr>
                <w:rFonts w:hint="eastAsia" w:ascii="宋体" w:hAnsi="宋体" w:cs="宋体"/>
              </w:rPr>
              <w:t>寺</w:t>
            </w:r>
          </w:p>
        </w:tc>
        <w:tc>
          <w:tcPr>
            <w:tcW w:w="1276" w:type="dxa"/>
            <w:vAlign w:val="center"/>
          </w:tcPr>
          <w:p w14:paraId="2894AA63">
            <w:pPr>
              <w:ind w:firstLine="0" w:firstLineChars="0"/>
              <w:jc w:val="left"/>
              <w:rPr>
                <w:rFonts w:ascii="宋体" w:hAnsi="宋体" w:cs="宋体"/>
              </w:rPr>
            </w:pPr>
            <w:r>
              <w:rPr>
                <w:rFonts w:hint="eastAsia" w:ascii="宋体" w:hAnsi="宋体" w:cs="宋体"/>
              </w:rPr>
              <w:t>在新路口</w:t>
            </w:r>
          </w:p>
        </w:tc>
        <w:tc>
          <w:tcPr>
            <w:tcW w:w="1134" w:type="dxa"/>
            <w:vAlign w:val="center"/>
          </w:tcPr>
          <w:p w14:paraId="11D75AB0">
            <w:pPr>
              <w:ind w:firstLine="0" w:firstLineChars="0"/>
              <w:jc w:val="center"/>
              <w:rPr>
                <w:rFonts w:ascii="宋体" w:hAnsi="宋体" w:cs="宋体"/>
              </w:rPr>
            </w:pPr>
            <w:r>
              <w:rPr>
                <w:rFonts w:hint="eastAsia" w:ascii="宋体" w:hAnsi="宋体" w:cs="宋体"/>
                <w:b/>
                <w:bCs/>
              </w:rPr>
              <w:t>双龙庵</w:t>
            </w:r>
          </w:p>
        </w:tc>
        <w:tc>
          <w:tcPr>
            <w:tcW w:w="3191" w:type="dxa"/>
            <w:vAlign w:val="center"/>
          </w:tcPr>
          <w:p w14:paraId="3065E5DE">
            <w:pPr>
              <w:ind w:firstLine="0" w:firstLineChars="0"/>
              <w:jc w:val="left"/>
              <w:rPr>
                <w:rFonts w:ascii="宋体" w:hAnsi="宋体" w:cs="宋体"/>
              </w:rPr>
            </w:pPr>
            <w:r>
              <w:rPr>
                <w:rFonts w:hint="eastAsia" w:ascii="宋体" w:hAnsi="宋体" w:cs="宋体"/>
              </w:rPr>
              <w:t>在中站街</w:t>
            </w:r>
          </w:p>
        </w:tc>
      </w:tr>
      <w:tr w14:paraId="692BD5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42" w:type="dxa"/>
            <w:vAlign w:val="center"/>
          </w:tcPr>
          <w:p w14:paraId="256C890A">
            <w:pPr>
              <w:ind w:firstLine="0" w:firstLineChars="0"/>
              <w:jc w:val="center"/>
              <w:rPr>
                <w:rFonts w:ascii="宋体" w:hAnsi="宋体" w:cs="宋体"/>
              </w:rPr>
            </w:pPr>
            <w:r>
              <w:rPr>
                <w:rFonts w:hint="eastAsia" w:ascii="宋体" w:hAnsi="宋体" w:cs="宋体"/>
                <w:b/>
                <w:bCs/>
              </w:rPr>
              <w:t>广明寺</w:t>
            </w:r>
          </w:p>
        </w:tc>
        <w:tc>
          <w:tcPr>
            <w:tcW w:w="4395" w:type="dxa"/>
            <w:gridSpan w:val="4"/>
            <w:vAlign w:val="center"/>
          </w:tcPr>
          <w:p w14:paraId="0E303AC2">
            <w:pPr>
              <w:ind w:firstLine="0" w:firstLineChars="0"/>
              <w:jc w:val="left"/>
              <w:rPr>
                <w:rFonts w:ascii="宋体" w:hAnsi="宋体" w:cs="宋体"/>
              </w:rPr>
            </w:pPr>
            <w:r>
              <w:rPr>
                <w:rFonts w:hint="eastAsia" w:ascii="宋体" w:hAnsi="宋体" w:cs="宋体"/>
              </w:rPr>
              <w:t>在里东街，宋嘉祐四年创</w:t>
            </w:r>
          </w:p>
        </w:tc>
        <w:tc>
          <w:tcPr>
            <w:tcW w:w="1134" w:type="dxa"/>
            <w:vAlign w:val="center"/>
          </w:tcPr>
          <w:p w14:paraId="48A3DD9A">
            <w:pPr>
              <w:ind w:firstLine="0" w:firstLineChars="0"/>
              <w:jc w:val="center"/>
              <w:rPr>
                <w:rFonts w:ascii="宋体" w:hAnsi="宋体" w:cs="宋体"/>
                <w:b/>
                <w:bCs/>
              </w:rPr>
            </w:pPr>
            <w:r>
              <w:rPr>
                <w:rFonts w:hint="eastAsia" w:ascii="宋体" w:hAnsi="宋体" w:cs="宋体"/>
                <w:b/>
                <w:bCs/>
              </w:rPr>
              <w:t>青云庵</w:t>
            </w:r>
          </w:p>
        </w:tc>
        <w:tc>
          <w:tcPr>
            <w:tcW w:w="3191" w:type="dxa"/>
            <w:vAlign w:val="center"/>
          </w:tcPr>
          <w:p w14:paraId="478A3666">
            <w:pPr>
              <w:ind w:firstLine="0" w:firstLineChars="0"/>
              <w:jc w:val="left"/>
              <w:rPr>
                <w:rFonts w:ascii="宋体" w:hAnsi="宋体" w:cs="宋体"/>
              </w:rPr>
            </w:pPr>
            <w:r>
              <w:rPr>
                <w:rFonts w:hint="eastAsia" w:ascii="宋体" w:hAnsi="宋体" w:cs="宋体"/>
              </w:rPr>
              <w:t>在棠山村，康熙庚寅年创</w:t>
            </w:r>
          </w:p>
        </w:tc>
      </w:tr>
      <w:tr w14:paraId="475E8F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42" w:type="dxa"/>
            <w:vAlign w:val="center"/>
          </w:tcPr>
          <w:p w14:paraId="57D6A569">
            <w:pPr>
              <w:ind w:firstLine="0" w:firstLineChars="0"/>
              <w:jc w:val="center"/>
              <w:rPr>
                <w:rFonts w:ascii="宋体" w:hAnsi="宋体" w:cs="宋体"/>
              </w:rPr>
            </w:pPr>
            <w:r>
              <w:rPr>
                <w:rFonts w:hint="eastAsia" w:ascii="宋体" w:hAnsi="宋体" w:cs="宋体"/>
                <w:b/>
                <w:bCs/>
              </w:rPr>
              <w:t>华林寺</w:t>
            </w:r>
          </w:p>
        </w:tc>
        <w:tc>
          <w:tcPr>
            <w:tcW w:w="1418" w:type="dxa"/>
            <w:vAlign w:val="center"/>
          </w:tcPr>
          <w:p w14:paraId="0555EDCC">
            <w:pPr>
              <w:ind w:firstLine="0" w:firstLineChars="0"/>
              <w:jc w:val="left"/>
              <w:rPr>
                <w:rFonts w:ascii="宋体" w:hAnsi="宋体" w:cs="宋体"/>
              </w:rPr>
            </w:pPr>
            <w:r>
              <w:rPr>
                <w:rFonts w:hint="eastAsia" w:ascii="宋体" w:hAnsi="宋体" w:cs="宋体"/>
              </w:rPr>
              <w:t>在五渡村</w:t>
            </w:r>
          </w:p>
        </w:tc>
        <w:tc>
          <w:tcPr>
            <w:tcW w:w="1701" w:type="dxa"/>
            <w:gridSpan w:val="2"/>
            <w:vAlign w:val="center"/>
          </w:tcPr>
          <w:p w14:paraId="579D6931">
            <w:pPr>
              <w:ind w:firstLine="0" w:firstLineChars="0"/>
              <w:jc w:val="center"/>
              <w:rPr>
                <w:rFonts w:ascii="宋体" w:hAnsi="宋体" w:cs="宋体"/>
              </w:rPr>
            </w:pPr>
            <w:r>
              <w:rPr>
                <w:rFonts w:hint="eastAsia" w:ascii="宋体" w:hAnsi="宋体" w:cs="宋体"/>
                <w:b/>
                <w:bCs/>
              </w:rPr>
              <w:t>延寿寺</w:t>
            </w:r>
          </w:p>
        </w:tc>
        <w:tc>
          <w:tcPr>
            <w:tcW w:w="1276" w:type="dxa"/>
            <w:vAlign w:val="center"/>
          </w:tcPr>
          <w:p w14:paraId="2CDC7916">
            <w:pPr>
              <w:ind w:firstLine="0" w:firstLineChars="0"/>
              <w:jc w:val="left"/>
              <w:rPr>
                <w:rFonts w:ascii="宋体" w:hAnsi="宋体" w:cs="宋体"/>
              </w:rPr>
            </w:pPr>
            <w:r>
              <w:rPr>
                <w:rFonts w:hint="eastAsia" w:ascii="宋体" w:hAnsi="宋体" w:cs="宋体"/>
              </w:rPr>
              <w:t>在里仁村</w:t>
            </w:r>
          </w:p>
        </w:tc>
        <w:tc>
          <w:tcPr>
            <w:tcW w:w="1134" w:type="dxa"/>
            <w:vAlign w:val="center"/>
          </w:tcPr>
          <w:p w14:paraId="10185296">
            <w:pPr>
              <w:ind w:firstLine="0" w:firstLineChars="0"/>
              <w:jc w:val="center"/>
              <w:rPr>
                <w:rFonts w:ascii="宋体" w:hAnsi="宋体" w:cs="宋体"/>
              </w:rPr>
            </w:pPr>
            <w:r>
              <w:rPr>
                <w:rFonts w:hint="eastAsia" w:ascii="宋体" w:hAnsi="宋体" w:cs="宋体"/>
                <w:b/>
                <w:bCs/>
              </w:rPr>
              <w:t>龙华寺</w:t>
            </w:r>
          </w:p>
        </w:tc>
        <w:tc>
          <w:tcPr>
            <w:tcW w:w="3191" w:type="dxa"/>
            <w:vAlign w:val="center"/>
          </w:tcPr>
          <w:p w14:paraId="13373199">
            <w:pPr>
              <w:ind w:firstLine="0" w:firstLineChars="0"/>
              <w:jc w:val="left"/>
              <w:rPr>
                <w:rFonts w:ascii="宋体" w:hAnsi="宋体" w:cs="宋体"/>
              </w:rPr>
            </w:pPr>
            <w:r>
              <w:rPr>
                <w:rFonts w:hint="eastAsia" w:ascii="宋体" w:hAnsi="宋体" w:cs="宋体"/>
              </w:rPr>
              <w:t>在榕树塘村，明嘉靖二年建</w:t>
            </w:r>
          </w:p>
        </w:tc>
      </w:tr>
      <w:tr w14:paraId="1420F2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42" w:type="dxa"/>
            <w:vAlign w:val="center"/>
          </w:tcPr>
          <w:p w14:paraId="4F4B0F00">
            <w:pPr>
              <w:ind w:firstLine="0" w:firstLineChars="0"/>
              <w:jc w:val="center"/>
              <w:rPr>
                <w:rFonts w:ascii="宋体" w:hAnsi="宋体" w:cs="宋体"/>
              </w:rPr>
            </w:pPr>
            <w:r>
              <w:rPr>
                <w:rFonts w:hint="eastAsia" w:ascii="宋体" w:hAnsi="宋体" w:cs="宋体"/>
                <w:b/>
                <w:bCs/>
              </w:rPr>
              <w:t>回龙庵</w:t>
            </w:r>
          </w:p>
        </w:tc>
        <w:tc>
          <w:tcPr>
            <w:tcW w:w="4395" w:type="dxa"/>
            <w:gridSpan w:val="4"/>
            <w:vAlign w:val="center"/>
          </w:tcPr>
          <w:p w14:paraId="32E7B75E">
            <w:pPr>
              <w:ind w:firstLine="0" w:firstLineChars="0"/>
              <w:jc w:val="left"/>
              <w:rPr>
                <w:rFonts w:ascii="宋体" w:hAnsi="宋体" w:cs="宋体"/>
              </w:rPr>
            </w:pPr>
            <w:r>
              <w:rPr>
                <w:rFonts w:hint="eastAsia" w:ascii="宋体" w:hAnsi="宋体" w:cs="宋体"/>
              </w:rPr>
              <w:t>一在下湖村，一在乌迳</w:t>
            </w:r>
          </w:p>
        </w:tc>
        <w:tc>
          <w:tcPr>
            <w:tcW w:w="1134" w:type="dxa"/>
            <w:vAlign w:val="center"/>
          </w:tcPr>
          <w:p w14:paraId="478421ED">
            <w:pPr>
              <w:ind w:firstLine="0" w:firstLineChars="0"/>
              <w:jc w:val="center"/>
              <w:rPr>
                <w:rFonts w:ascii="宋体" w:hAnsi="宋体" w:cs="宋体"/>
              </w:rPr>
            </w:pPr>
            <w:r>
              <w:rPr>
                <w:rFonts w:hint="eastAsia" w:ascii="宋体" w:hAnsi="宋体" w:cs="宋体"/>
                <w:b/>
                <w:bCs/>
              </w:rPr>
              <w:t>莲花寺</w:t>
            </w:r>
          </w:p>
        </w:tc>
        <w:tc>
          <w:tcPr>
            <w:tcW w:w="3191" w:type="dxa"/>
            <w:vAlign w:val="center"/>
          </w:tcPr>
          <w:p w14:paraId="6E848C43">
            <w:pPr>
              <w:ind w:firstLine="0" w:firstLineChars="0"/>
              <w:jc w:val="left"/>
              <w:rPr>
                <w:rFonts w:ascii="宋体" w:hAnsi="宋体" w:cs="宋体"/>
              </w:rPr>
            </w:pPr>
            <w:r>
              <w:rPr>
                <w:rFonts w:hint="eastAsia" w:ascii="宋体" w:hAnsi="宋体" w:cs="宋体"/>
              </w:rPr>
              <w:t>在主田村，宋治平四年创</w:t>
            </w:r>
          </w:p>
        </w:tc>
      </w:tr>
      <w:tr w14:paraId="5C2610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42" w:type="dxa"/>
            <w:vAlign w:val="center"/>
          </w:tcPr>
          <w:p w14:paraId="0078F83B">
            <w:pPr>
              <w:ind w:firstLine="0" w:firstLineChars="0"/>
              <w:jc w:val="center"/>
              <w:rPr>
                <w:rFonts w:ascii="宋体" w:hAnsi="宋体" w:cs="宋体"/>
              </w:rPr>
            </w:pPr>
            <w:r>
              <w:rPr>
                <w:rFonts w:hint="eastAsia" w:ascii="宋体" w:hAnsi="宋体" w:cs="宋体"/>
                <w:b/>
                <w:bCs/>
              </w:rPr>
              <w:t>祗林寺</w:t>
            </w:r>
          </w:p>
        </w:tc>
        <w:tc>
          <w:tcPr>
            <w:tcW w:w="1418" w:type="dxa"/>
            <w:vAlign w:val="center"/>
          </w:tcPr>
          <w:p w14:paraId="24225D6D">
            <w:pPr>
              <w:ind w:firstLine="0" w:firstLineChars="0"/>
              <w:rPr>
                <w:rFonts w:ascii="宋体" w:hAnsi="宋体" w:cs="宋体"/>
              </w:rPr>
            </w:pPr>
            <w:r>
              <w:rPr>
                <w:rFonts w:hint="eastAsia" w:ascii="宋体" w:hAnsi="宋体" w:cs="宋体"/>
              </w:rPr>
              <w:t>在杨历岩</w:t>
            </w:r>
          </w:p>
        </w:tc>
        <w:tc>
          <w:tcPr>
            <w:tcW w:w="1701" w:type="dxa"/>
            <w:gridSpan w:val="2"/>
            <w:vAlign w:val="center"/>
          </w:tcPr>
          <w:p w14:paraId="453C3D73">
            <w:pPr>
              <w:ind w:firstLine="0" w:firstLineChars="0"/>
              <w:jc w:val="center"/>
              <w:rPr>
                <w:rFonts w:ascii="宋体" w:hAnsi="宋体" w:cs="宋体"/>
              </w:rPr>
            </w:pPr>
            <w:r>
              <w:rPr>
                <w:rFonts w:hint="eastAsia" w:ascii="宋体" w:hAnsi="宋体" w:cs="宋体"/>
                <w:b/>
                <w:bCs/>
              </w:rPr>
              <w:t>眉山庵</w:t>
            </w:r>
          </w:p>
        </w:tc>
        <w:tc>
          <w:tcPr>
            <w:tcW w:w="1276" w:type="dxa"/>
            <w:vAlign w:val="center"/>
          </w:tcPr>
          <w:p w14:paraId="472D8C44">
            <w:pPr>
              <w:ind w:firstLine="0" w:firstLineChars="0"/>
              <w:jc w:val="left"/>
              <w:rPr>
                <w:rFonts w:ascii="宋体" w:hAnsi="宋体" w:cs="宋体"/>
              </w:rPr>
            </w:pPr>
            <w:r>
              <w:rPr>
                <w:rFonts w:hint="eastAsia" w:ascii="宋体" w:hAnsi="宋体" w:cs="宋体"/>
              </w:rPr>
              <w:t>在浆田村</w:t>
            </w:r>
          </w:p>
        </w:tc>
        <w:tc>
          <w:tcPr>
            <w:tcW w:w="1134" w:type="dxa"/>
            <w:vAlign w:val="center"/>
          </w:tcPr>
          <w:p w14:paraId="0934DFAB">
            <w:pPr>
              <w:ind w:firstLine="0" w:firstLineChars="0"/>
              <w:jc w:val="center"/>
              <w:rPr>
                <w:rFonts w:ascii="宋体" w:hAnsi="宋体" w:cs="宋体"/>
                <w:b/>
                <w:bCs/>
              </w:rPr>
            </w:pPr>
            <w:r>
              <w:rPr>
                <w:rFonts w:hint="eastAsia" w:ascii="宋体" w:hAnsi="宋体" w:cs="宋体"/>
                <w:b/>
                <w:bCs/>
              </w:rPr>
              <w:t>云封寺</w:t>
            </w:r>
          </w:p>
        </w:tc>
        <w:tc>
          <w:tcPr>
            <w:tcW w:w="3191" w:type="dxa"/>
            <w:vAlign w:val="center"/>
          </w:tcPr>
          <w:p w14:paraId="3648BEBF">
            <w:pPr>
              <w:ind w:firstLine="0" w:firstLineChars="0"/>
              <w:jc w:val="left"/>
              <w:rPr>
                <w:rFonts w:ascii="宋体" w:hAnsi="宋体" w:cs="宋体"/>
              </w:rPr>
            </w:pPr>
            <w:r>
              <w:rPr>
                <w:rFonts w:hint="eastAsia" w:ascii="宋体" w:hAnsi="宋体" w:cs="宋体"/>
              </w:rPr>
              <w:t>在梅关侧，唐时创</w:t>
            </w:r>
          </w:p>
        </w:tc>
      </w:tr>
      <w:tr w14:paraId="2FE70E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42" w:type="dxa"/>
            <w:vAlign w:val="center"/>
          </w:tcPr>
          <w:p w14:paraId="2365EDB9">
            <w:pPr>
              <w:ind w:firstLine="0" w:firstLineChars="0"/>
              <w:jc w:val="center"/>
              <w:rPr>
                <w:rFonts w:ascii="宋体" w:hAnsi="宋体" w:cs="宋体"/>
              </w:rPr>
            </w:pPr>
            <w:r>
              <w:rPr>
                <w:rFonts w:hint="eastAsia" w:ascii="宋体" w:hAnsi="宋体" w:cs="宋体"/>
                <w:b/>
                <w:bCs/>
              </w:rPr>
              <w:t>西竺庵</w:t>
            </w:r>
          </w:p>
        </w:tc>
        <w:tc>
          <w:tcPr>
            <w:tcW w:w="1418" w:type="dxa"/>
            <w:vAlign w:val="center"/>
          </w:tcPr>
          <w:p w14:paraId="5438C669">
            <w:pPr>
              <w:ind w:firstLine="0" w:firstLineChars="0"/>
              <w:rPr>
                <w:rFonts w:ascii="宋体" w:hAnsi="宋体" w:cs="宋体"/>
              </w:rPr>
            </w:pPr>
            <w:r>
              <w:rPr>
                <w:rFonts w:hint="eastAsia" w:ascii="宋体" w:hAnsi="宋体" w:cs="宋体"/>
              </w:rPr>
              <w:t>在回龙塘</w:t>
            </w:r>
          </w:p>
        </w:tc>
        <w:tc>
          <w:tcPr>
            <w:tcW w:w="1701" w:type="dxa"/>
            <w:gridSpan w:val="2"/>
            <w:vAlign w:val="center"/>
          </w:tcPr>
          <w:p w14:paraId="1E6C070F">
            <w:pPr>
              <w:ind w:firstLine="0" w:firstLineChars="0"/>
              <w:jc w:val="center"/>
              <w:rPr>
                <w:rFonts w:ascii="宋体" w:hAnsi="宋体" w:cs="宋体"/>
              </w:rPr>
            </w:pPr>
            <w:r>
              <w:rPr>
                <w:rFonts w:hint="eastAsia" w:ascii="宋体" w:hAnsi="宋体" w:cs="宋体"/>
                <w:b/>
                <w:bCs/>
              </w:rPr>
              <w:t>渡山寺</w:t>
            </w:r>
          </w:p>
        </w:tc>
        <w:tc>
          <w:tcPr>
            <w:tcW w:w="1276" w:type="dxa"/>
            <w:vAlign w:val="center"/>
          </w:tcPr>
          <w:p w14:paraId="24BA221A">
            <w:pPr>
              <w:ind w:firstLine="0" w:firstLineChars="0"/>
              <w:jc w:val="left"/>
              <w:rPr>
                <w:rFonts w:ascii="宋体" w:hAnsi="宋体" w:cs="宋体"/>
              </w:rPr>
            </w:pPr>
            <w:r>
              <w:rPr>
                <w:rFonts w:hint="eastAsia" w:ascii="宋体" w:hAnsi="宋体" w:cs="宋体"/>
              </w:rPr>
              <w:t>在水南村</w:t>
            </w:r>
          </w:p>
        </w:tc>
        <w:tc>
          <w:tcPr>
            <w:tcW w:w="1134" w:type="dxa"/>
            <w:vAlign w:val="center"/>
          </w:tcPr>
          <w:p w14:paraId="74598D47">
            <w:pPr>
              <w:ind w:firstLine="0" w:firstLineChars="0"/>
              <w:jc w:val="center"/>
              <w:rPr>
                <w:rFonts w:ascii="宋体" w:hAnsi="宋体" w:cs="宋体"/>
              </w:rPr>
            </w:pPr>
            <w:r>
              <w:rPr>
                <w:rFonts w:hint="eastAsia" w:ascii="宋体" w:hAnsi="宋体" w:cs="宋体"/>
                <w:b/>
                <w:bCs/>
              </w:rPr>
              <w:t>洪山寺</w:t>
            </w:r>
          </w:p>
        </w:tc>
        <w:tc>
          <w:tcPr>
            <w:tcW w:w="3191" w:type="dxa"/>
            <w:vAlign w:val="center"/>
          </w:tcPr>
          <w:p w14:paraId="4C5FFADD">
            <w:pPr>
              <w:ind w:firstLine="0" w:firstLineChars="0"/>
              <w:jc w:val="left"/>
              <w:rPr>
                <w:rFonts w:ascii="宋体" w:hAnsi="宋体" w:cs="宋体"/>
              </w:rPr>
            </w:pPr>
            <w:r>
              <w:rPr>
                <w:rFonts w:hint="eastAsia" w:ascii="宋体" w:hAnsi="宋体" w:cs="宋体"/>
              </w:rPr>
              <w:t>在城内，宋端平三年创</w:t>
            </w:r>
          </w:p>
        </w:tc>
      </w:tr>
      <w:tr w14:paraId="6222EF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42" w:type="dxa"/>
            <w:vAlign w:val="center"/>
          </w:tcPr>
          <w:p w14:paraId="77DDC5DF">
            <w:pPr>
              <w:ind w:firstLine="0" w:firstLineChars="0"/>
              <w:jc w:val="center"/>
              <w:rPr>
                <w:rFonts w:ascii="宋体" w:hAnsi="宋体" w:cs="宋体"/>
              </w:rPr>
            </w:pPr>
            <w:r>
              <w:rPr>
                <w:rFonts w:hint="eastAsia" w:ascii="宋体" w:hAnsi="宋体" w:cs="宋体"/>
                <w:b/>
                <w:bCs/>
              </w:rPr>
              <w:t>青莲庵</w:t>
            </w:r>
          </w:p>
        </w:tc>
        <w:tc>
          <w:tcPr>
            <w:tcW w:w="4395" w:type="dxa"/>
            <w:gridSpan w:val="4"/>
            <w:vAlign w:val="center"/>
          </w:tcPr>
          <w:p w14:paraId="68F112E7">
            <w:pPr>
              <w:ind w:firstLine="0" w:firstLineChars="0"/>
              <w:rPr>
                <w:rFonts w:ascii="宋体" w:hAnsi="宋体" w:cs="宋体"/>
              </w:rPr>
            </w:pPr>
            <w:r>
              <w:rPr>
                <w:rFonts w:hint="eastAsia" w:ascii="宋体" w:hAnsi="宋体" w:cs="宋体"/>
              </w:rPr>
              <w:t>在水南村</w:t>
            </w:r>
          </w:p>
        </w:tc>
        <w:tc>
          <w:tcPr>
            <w:tcW w:w="1134" w:type="dxa"/>
            <w:vAlign w:val="center"/>
          </w:tcPr>
          <w:p w14:paraId="2DC3227D">
            <w:pPr>
              <w:ind w:firstLine="0" w:firstLineChars="0"/>
              <w:jc w:val="center"/>
              <w:rPr>
                <w:rFonts w:ascii="宋体" w:hAnsi="宋体" w:cs="宋体"/>
                <w:b/>
                <w:bCs/>
              </w:rPr>
            </w:pPr>
            <w:r>
              <w:rPr>
                <w:rFonts w:hint="eastAsia" w:ascii="宋体" w:hAnsi="宋体" w:cs="宋体"/>
                <w:b/>
                <w:bCs/>
              </w:rPr>
              <w:t>花林寺</w:t>
            </w:r>
          </w:p>
        </w:tc>
        <w:tc>
          <w:tcPr>
            <w:tcW w:w="3191" w:type="dxa"/>
            <w:vAlign w:val="center"/>
          </w:tcPr>
          <w:p w14:paraId="17BF70B6">
            <w:pPr>
              <w:ind w:firstLine="0" w:firstLineChars="0"/>
              <w:jc w:val="left"/>
              <w:rPr>
                <w:rFonts w:ascii="宋体" w:hAnsi="宋体" w:cs="宋体"/>
              </w:rPr>
            </w:pPr>
            <w:r>
              <w:rPr>
                <w:rFonts w:hint="eastAsia" w:ascii="宋体" w:hAnsi="宋体" w:cs="宋体"/>
              </w:rPr>
              <w:t>一在石前，一在上朔</w:t>
            </w:r>
          </w:p>
        </w:tc>
      </w:tr>
      <w:tr w14:paraId="0EC518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42" w:type="dxa"/>
            <w:vAlign w:val="center"/>
          </w:tcPr>
          <w:p w14:paraId="10A1403B">
            <w:pPr>
              <w:ind w:firstLine="0" w:firstLineChars="0"/>
              <w:jc w:val="center"/>
              <w:rPr>
                <w:rFonts w:ascii="宋体" w:hAnsi="宋体" w:cs="宋体"/>
                <w:b/>
                <w:bCs/>
              </w:rPr>
            </w:pPr>
            <w:r>
              <w:rPr>
                <w:rFonts w:hint="eastAsia" w:ascii="宋体" w:hAnsi="宋体" w:cs="宋体"/>
                <w:b/>
                <w:bCs/>
              </w:rPr>
              <w:t>龙泉寺</w:t>
            </w:r>
          </w:p>
        </w:tc>
        <w:tc>
          <w:tcPr>
            <w:tcW w:w="4395" w:type="dxa"/>
            <w:gridSpan w:val="4"/>
            <w:vAlign w:val="center"/>
          </w:tcPr>
          <w:p w14:paraId="67DD9966">
            <w:pPr>
              <w:ind w:firstLine="0" w:firstLineChars="0"/>
              <w:rPr>
                <w:rFonts w:ascii="宋体" w:hAnsi="宋体" w:cs="宋体"/>
              </w:rPr>
            </w:pPr>
            <w:r>
              <w:rPr>
                <w:rFonts w:hint="eastAsia" w:ascii="宋体" w:hAnsi="宋体" w:cs="宋体"/>
              </w:rPr>
              <w:t>在祇园村，苏东坡有题留</w:t>
            </w:r>
          </w:p>
        </w:tc>
        <w:tc>
          <w:tcPr>
            <w:tcW w:w="1134" w:type="dxa"/>
            <w:vAlign w:val="center"/>
          </w:tcPr>
          <w:p w14:paraId="00BDDE79">
            <w:pPr>
              <w:ind w:firstLine="0" w:firstLineChars="0"/>
              <w:jc w:val="center"/>
              <w:rPr>
                <w:rFonts w:ascii="宋体" w:hAnsi="宋体" w:cs="宋体"/>
              </w:rPr>
            </w:pPr>
            <w:r>
              <w:rPr>
                <w:rFonts w:hint="eastAsia" w:ascii="宋体" w:hAnsi="宋体" w:cs="宋体"/>
                <w:b/>
                <w:bCs/>
              </w:rPr>
              <w:t>元妙观</w:t>
            </w:r>
          </w:p>
        </w:tc>
        <w:tc>
          <w:tcPr>
            <w:tcW w:w="3191" w:type="dxa"/>
            <w:vAlign w:val="center"/>
          </w:tcPr>
          <w:p w14:paraId="41C85B20">
            <w:pPr>
              <w:ind w:firstLine="0" w:firstLineChars="0"/>
              <w:jc w:val="left"/>
              <w:rPr>
                <w:rFonts w:ascii="宋体" w:hAnsi="宋体" w:cs="宋体"/>
              </w:rPr>
            </w:pPr>
            <w:r>
              <w:rPr>
                <w:rFonts w:hint="eastAsia" w:ascii="宋体" w:hAnsi="宋体" w:cs="宋体"/>
              </w:rPr>
              <w:t>在德政街，唐贞观间建</w:t>
            </w:r>
          </w:p>
        </w:tc>
      </w:tr>
      <w:tr w14:paraId="6BEE2F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42" w:type="dxa"/>
            <w:vAlign w:val="center"/>
          </w:tcPr>
          <w:p w14:paraId="43C01749">
            <w:pPr>
              <w:ind w:firstLine="0" w:firstLineChars="0"/>
              <w:jc w:val="center"/>
              <w:rPr>
                <w:rFonts w:ascii="宋体" w:hAnsi="宋体" w:cs="宋体"/>
                <w:b/>
                <w:bCs/>
              </w:rPr>
            </w:pPr>
            <w:r>
              <w:rPr>
                <w:rFonts w:hint="eastAsia" w:ascii="宋体" w:hAnsi="宋体" w:cs="宋体"/>
                <w:b/>
                <w:bCs/>
              </w:rPr>
              <w:t>光孝寺</w:t>
            </w:r>
          </w:p>
        </w:tc>
        <w:tc>
          <w:tcPr>
            <w:tcW w:w="4395" w:type="dxa"/>
            <w:gridSpan w:val="4"/>
            <w:vAlign w:val="center"/>
          </w:tcPr>
          <w:p w14:paraId="4A7E956C">
            <w:pPr>
              <w:ind w:firstLine="0" w:firstLineChars="0"/>
              <w:rPr>
                <w:rFonts w:ascii="宋体" w:hAnsi="宋体" w:cs="宋体"/>
              </w:rPr>
            </w:pPr>
            <w:r>
              <w:rPr>
                <w:rFonts w:hint="eastAsia" w:ascii="宋体" w:hAnsi="宋体" w:cs="宋体"/>
              </w:rPr>
              <w:t>在水城，唐武德中建</w:t>
            </w:r>
          </w:p>
        </w:tc>
        <w:tc>
          <w:tcPr>
            <w:tcW w:w="1134" w:type="dxa"/>
            <w:vAlign w:val="center"/>
          </w:tcPr>
          <w:p w14:paraId="1954DB36">
            <w:pPr>
              <w:ind w:firstLine="0" w:firstLineChars="0"/>
              <w:jc w:val="center"/>
              <w:rPr>
                <w:rFonts w:ascii="宋体" w:hAnsi="宋体" w:cs="宋体"/>
              </w:rPr>
            </w:pPr>
            <w:r>
              <w:rPr>
                <w:rFonts w:hint="eastAsia" w:ascii="宋体" w:hAnsi="宋体" w:cs="宋体"/>
                <w:b/>
                <w:bCs/>
              </w:rPr>
              <w:t>晓真寺</w:t>
            </w:r>
          </w:p>
        </w:tc>
        <w:tc>
          <w:tcPr>
            <w:tcW w:w="3191" w:type="dxa"/>
            <w:vAlign w:val="center"/>
          </w:tcPr>
          <w:p w14:paraId="0B9B6917">
            <w:pPr>
              <w:ind w:firstLine="0" w:firstLineChars="0"/>
              <w:jc w:val="left"/>
              <w:rPr>
                <w:rFonts w:ascii="宋体" w:hAnsi="宋体" w:cs="宋体"/>
              </w:rPr>
            </w:pPr>
            <w:r>
              <w:rPr>
                <w:rFonts w:hint="eastAsia" w:ascii="宋体" w:hAnsi="宋体" w:cs="宋体"/>
              </w:rPr>
              <w:t>在城内，唐咸通时建</w:t>
            </w:r>
          </w:p>
        </w:tc>
      </w:tr>
      <w:tr w14:paraId="72DE4D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42" w:type="dxa"/>
            <w:vAlign w:val="center"/>
          </w:tcPr>
          <w:p w14:paraId="0E44875A">
            <w:pPr>
              <w:ind w:firstLine="0" w:firstLineChars="0"/>
              <w:jc w:val="center"/>
              <w:rPr>
                <w:rFonts w:ascii="宋体" w:hAnsi="宋体" w:cs="宋体"/>
              </w:rPr>
            </w:pPr>
            <w:r>
              <w:rPr>
                <w:rFonts w:hint="eastAsia" w:ascii="宋体" w:hAnsi="宋体" w:cs="宋体"/>
                <w:b/>
                <w:bCs/>
              </w:rPr>
              <w:t>报本寺</w:t>
            </w:r>
          </w:p>
        </w:tc>
        <w:tc>
          <w:tcPr>
            <w:tcW w:w="4395" w:type="dxa"/>
            <w:gridSpan w:val="4"/>
            <w:vAlign w:val="center"/>
          </w:tcPr>
          <w:p w14:paraId="5A14343A">
            <w:pPr>
              <w:ind w:firstLine="0" w:firstLineChars="0"/>
              <w:rPr>
                <w:rFonts w:ascii="宋体" w:hAnsi="宋体" w:cs="宋体"/>
              </w:rPr>
            </w:pPr>
            <w:r>
              <w:rPr>
                <w:rFonts w:hint="eastAsia" w:ascii="宋体" w:hAnsi="宋体" w:cs="宋体"/>
              </w:rPr>
              <w:t>在城东三里，唐咸通元年建</w:t>
            </w:r>
          </w:p>
        </w:tc>
        <w:tc>
          <w:tcPr>
            <w:tcW w:w="1134" w:type="dxa"/>
            <w:vAlign w:val="center"/>
          </w:tcPr>
          <w:p w14:paraId="70DE0574">
            <w:pPr>
              <w:ind w:firstLine="0" w:firstLineChars="0"/>
              <w:jc w:val="center"/>
              <w:rPr>
                <w:rFonts w:ascii="宋体" w:hAnsi="宋体" w:cs="宋体"/>
              </w:rPr>
            </w:pPr>
            <w:r>
              <w:rPr>
                <w:rFonts w:hint="eastAsia" w:ascii="宋体" w:hAnsi="宋体" w:cs="宋体"/>
                <w:b/>
                <w:bCs/>
              </w:rPr>
              <w:t>真觉寺</w:t>
            </w:r>
          </w:p>
        </w:tc>
        <w:tc>
          <w:tcPr>
            <w:tcW w:w="3191" w:type="dxa"/>
            <w:vAlign w:val="center"/>
          </w:tcPr>
          <w:p w14:paraId="248E68C8">
            <w:pPr>
              <w:ind w:firstLine="0" w:firstLineChars="0"/>
              <w:jc w:val="left"/>
              <w:rPr>
                <w:rFonts w:ascii="宋体" w:hAnsi="宋体" w:cs="宋体"/>
              </w:rPr>
            </w:pPr>
            <w:r>
              <w:rPr>
                <w:rFonts w:hint="eastAsia" w:ascii="宋体" w:hAnsi="宋体" w:cs="宋体"/>
              </w:rPr>
              <w:t>在世显街，宋太平兴国二年创</w:t>
            </w:r>
          </w:p>
        </w:tc>
      </w:tr>
      <w:tr w14:paraId="1722FB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42" w:type="dxa"/>
            <w:vAlign w:val="center"/>
          </w:tcPr>
          <w:p w14:paraId="7C7281A9">
            <w:pPr>
              <w:ind w:firstLine="0" w:firstLineChars="0"/>
              <w:jc w:val="center"/>
              <w:rPr>
                <w:rFonts w:ascii="宋体" w:hAnsi="宋体" w:cs="宋体"/>
              </w:rPr>
            </w:pPr>
            <w:r>
              <w:rPr>
                <w:rFonts w:hint="eastAsia" w:ascii="宋体" w:hAnsi="宋体" w:cs="宋体"/>
                <w:b/>
                <w:bCs/>
              </w:rPr>
              <w:t>梵云寺</w:t>
            </w:r>
          </w:p>
        </w:tc>
        <w:tc>
          <w:tcPr>
            <w:tcW w:w="4395" w:type="dxa"/>
            <w:gridSpan w:val="4"/>
            <w:vAlign w:val="center"/>
          </w:tcPr>
          <w:p w14:paraId="51D2C9D6">
            <w:pPr>
              <w:ind w:firstLine="0" w:firstLineChars="0"/>
              <w:rPr>
                <w:rFonts w:ascii="宋体" w:hAnsi="宋体" w:cs="宋体"/>
              </w:rPr>
            </w:pPr>
            <w:r>
              <w:rPr>
                <w:rFonts w:hint="eastAsia" w:ascii="宋体" w:hAnsi="宋体" w:cs="宋体"/>
              </w:rPr>
              <w:t>在城内宋大中祥符二年建</w:t>
            </w:r>
          </w:p>
        </w:tc>
        <w:tc>
          <w:tcPr>
            <w:tcW w:w="1134" w:type="dxa"/>
            <w:vAlign w:val="center"/>
          </w:tcPr>
          <w:p w14:paraId="0E95E88D">
            <w:pPr>
              <w:ind w:firstLine="0" w:firstLineChars="0"/>
              <w:jc w:val="center"/>
              <w:rPr>
                <w:rFonts w:ascii="宋体" w:hAnsi="宋体" w:cs="宋体"/>
              </w:rPr>
            </w:pPr>
            <w:r>
              <w:rPr>
                <w:rFonts w:hint="eastAsia" w:ascii="宋体" w:hAnsi="宋体" w:cs="宋体"/>
                <w:b/>
                <w:bCs/>
              </w:rPr>
              <w:t>静室庵</w:t>
            </w:r>
          </w:p>
        </w:tc>
        <w:tc>
          <w:tcPr>
            <w:tcW w:w="3191" w:type="dxa"/>
            <w:vAlign w:val="center"/>
          </w:tcPr>
          <w:p w14:paraId="64689FE8">
            <w:pPr>
              <w:ind w:firstLine="0" w:firstLineChars="0"/>
              <w:jc w:val="left"/>
              <w:rPr>
                <w:rFonts w:ascii="宋体" w:hAnsi="宋体" w:cs="宋体"/>
              </w:rPr>
            </w:pPr>
            <w:r>
              <w:rPr>
                <w:rFonts w:hint="eastAsia" w:ascii="宋体" w:hAnsi="宋体" w:cs="宋体"/>
              </w:rPr>
              <w:t>在太平街</w:t>
            </w:r>
          </w:p>
        </w:tc>
      </w:tr>
      <w:tr w14:paraId="3DE68D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42" w:type="dxa"/>
            <w:vAlign w:val="center"/>
          </w:tcPr>
          <w:p w14:paraId="55A17843">
            <w:pPr>
              <w:ind w:firstLine="0" w:firstLineChars="0"/>
              <w:jc w:val="center"/>
              <w:rPr>
                <w:rFonts w:ascii="宋体" w:hAnsi="宋体" w:cs="宋体"/>
                <w:b/>
                <w:bCs/>
              </w:rPr>
            </w:pPr>
            <w:r>
              <w:rPr>
                <w:rFonts w:hint="eastAsia" w:ascii="宋体" w:hAnsi="宋体" w:cs="宋体"/>
                <w:b/>
                <w:bCs/>
              </w:rPr>
              <w:t>西山寺</w:t>
            </w:r>
          </w:p>
        </w:tc>
        <w:tc>
          <w:tcPr>
            <w:tcW w:w="4395" w:type="dxa"/>
            <w:gridSpan w:val="4"/>
            <w:vAlign w:val="center"/>
          </w:tcPr>
          <w:p w14:paraId="666DDF79">
            <w:pPr>
              <w:ind w:firstLine="0" w:firstLineChars="0"/>
              <w:rPr>
                <w:rFonts w:ascii="宋体" w:hAnsi="宋体" w:cs="宋体"/>
              </w:rPr>
            </w:pPr>
            <w:r>
              <w:rPr>
                <w:rFonts w:hint="eastAsia" w:ascii="宋体" w:hAnsi="宋体" w:cs="宋体"/>
              </w:rPr>
              <w:t>在城西，元泰定二年创</w:t>
            </w:r>
          </w:p>
        </w:tc>
        <w:tc>
          <w:tcPr>
            <w:tcW w:w="1134" w:type="dxa"/>
            <w:vAlign w:val="center"/>
          </w:tcPr>
          <w:p w14:paraId="7CF6BF0A">
            <w:pPr>
              <w:ind w:firstLine="0" w:firstLineChars="0"/>
              <w:jc w:val="center"/>
              <w:rPr>
                <w:rFonts w:ascii="宋体" w:hAnsi="宋体" w:cs="宋体"/>
              </w:rPr>
            </w:pPr>
            <w:r>
              <w:rPr>
                <w:rFonts w:hint="eastAsia" w:ascii="宋体" w:hAnsi="宋体" w:cs="宋体"/>
                <w:b/>
                <w:bCs/>
              </w:rPr>
              <w:t>天符宫</w:t>
            </w:r>
          </w:p>
        </w:tc>
        <w:tc>
          <w:tcPr>
            <w:tcW w:w="3191" w:type="dxa"/>
            <w:vAlign w:val="center"/>
          </w:tcPr>
          <w:p w14:paraId="5F1151B8">
            <w:pPr>
              <w:ind w:firstLine="0" w:firstLineChars="0"/>
              <w:jc w:val="left"/>
              <w:rPr>
                <w:rFonts w:ascii="宋体" w:hAnsi="宋体" w:cs="宋体"/>
              </w:rPr>
            </w:pPr>
            <w:r>
              <w:rPr>
                <w:rFonts w:hint="eastAsia" w:ascii="宋体" w:hAnsi="宋体" w:cs="宋体"/>
              </w:rPr>
              <w:t>（又称太子庙）宋大中祥符时建</w:t>
            </w:r>
          </w:p>
        </w:tc>
      </w:tr>
      <w:tr w14:paraId="63DA52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42" w:type="dxa"/>
            <w:vAlign w:val="center"/>
          </w:tcPr>
          <w:p w14:paraId="53D53F8D">
            <w:pPr>
              <w:ind w:firstLine="0" w:firstLineChars="0"/>
              <w:jc w:val="center"/>
              <w:rPr>
                <w:rFonts w:ascii="宋体" w:hAnsi="宋体" w:cs="宋体"/>
              </w:rPr>
            </w:pPr>
            <w:r>
              <w:rPr>
                <w:rFonts w:hint="eastAsia" w:ascii="宋体" w:hAnsi="宋体" w:cs="宋体"/>
                <w:b/>
                <w:bCs/>
              </w:rPr>
              <w:t>鹤鸣观</w:t>
            </w:r>
          </w:p>
        </w:tc>
        <w:tc>
          <w:tcPr>
            <w:tcW w:w="4395" w:type="dxa"/>
            <w:gridSpan w:val="4"/>
            <w:vAlign w:val="center"/>
          </w:tcPr>
          <w:p w14:paraId="36591197">
            <w:pPr>
              <w:ind w:firstLine="0" w:firstLineChars="0"/>
              <w:rPr>
                <w:rFonts w:ascii="宋体" w:hAnsi="宋体" w:cs="宋体"/>
              </w:rPr>
            </w:pPr>
            <w:r>
              <w:rPr>
                <w:rFonts w:hint="eastAsia" w:ascii="宋体" w:hAnsi="宋体" w:cs="宋体"/>
              </w:rPr>
              <w:t>城东九十里，宋元丰中有白鹤翔集而得名</w:t>
            </w:r>
          </w:p>
        </w:tc>
        <w:tc>
          <w:tcPr>
            <w:tcW w:w="1134" w:type="dxa"/>
            <w:vAlign w:val="center"/>
          </w:tcPr>
          <w:p w14:paraId="483D321E">
            <w:pPr>
              <w:ind w:firstLine="0" w:firstLineChars="0"/>
              <w:jc w:val="center"/>
              <w:rPr>
                <w:rFonts w:ascii="宋体" w:hAnsi="宋体" w:cs="宋体"/>
                <w:b/>
                <w:bCs/>
              </w:rPr>
            </w:pPr>
            <w:r>
              <w:rPr>
                <w:rFonts w:hint="eastAsia" w:ascii="宋体" w:hAnsi="宋体" w:cs="宋体"/>
                <w:b/>
                <w:bCs/>
              </w:rPr>
              <w:t>明净观</w:t>
            </w:r>
          </w:p>
        </w:tc>
        <w:tc>
          <w:tcPr>
            <w:tcW w:w="3191" w:type="dxa"/>
            <w:vAlign w:val="center"/>
          </w:tcPr>
          <w:p w14:paraId="1BA6E21F">
            <w:pPr>
              <w:ind w:firstLine="0" w:firstLineChars="0"/>
              <w:jc w:val="left"/>
              <w:rPr>
                <w:rFonts w:ascii="宋体" w:hAnsi="宋体" w:cs="宋体"/>
              </w:rPr>
            </w:pPr>
            <w:r>
              <w:rPr>
                <w:rFonts w:hint="eastAsia" w:ascii="宋体" w:hAnsi="宋体" w:cs="宋体"/>
              </w:rPr>
              <w:t>在邓坊村</w:t>
            </w:r>
          </w:p>
        </w:tc>
      </w:tr>
      <w:tr w14:paraId="2126FD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42" w:type="dxa"/>
            <w:vAlign w:val="center"/>
          </w:tcPr>
          <w:p w14:paraId="56F334F4">
            <w:pPr>
              <w:ind w:firstLine="0" w:firstLineChars="0"/>
              <w:jc w:val="center"/>
              <w:rPr>
                <w:rFonts w:ascii="宋体" w:hAnsi="宋体" w:cs="宋体"/>
                <w:b/>
                <w:bCs/>
              </w:rPr>
            </w:pPr>
            <w:r>
              <w:rPr>
                <w:rFonts w:hint="eastAsia" w:ascii="宋体" w:hAnsi="宋体" w:cs="宋体"/>
                <w:b/>
                <w:bCs/>
              </w:rPr>
              <w:t>因果寺</w:t>
            </w:r>
          </w:p>
        </w:tc>
        <w:tc>
          <w:tcPr>
            <w:tcW w:w="4395" w:type="dxa"/>
            <w:gridSpan w:val="4"/>
            <w:vAlign w:val="center"/>
          </w:tcPr>
          <w:p w14:paraId="11D82DE5">
            <w:pPr>
              <w:ind w:firstLine="0" w:firstLineChars="0"/>
              <w:rPr>
                <w:rFonts w:ascii="宋体" w:hAnsi="宋体" w:cs="宋体"/>
              </w:rPr>
            </w:pPr>
            <w:r>
              <w:rPr>
                <w:rFonts w:hint="eastAsia" w:ascii="宋体" w:hAnsi="宋体" w:cs="宋体"/>
              </w:rPr>
              <w:t>在西河北四十里，宋时建</w:t>
            </w:r>
          </w:p>
        </w:tc>
        <w:tc>
          <w:tcPr>
            <w:tcW w:w="1134" w:type="dxa"/>
            <w:vAlign w:val="center"/>
          </w:tcPr>
          <w:p w14:paraId="1656AD9F">
            <w:pPr>
              <w:ind w:firstLine="0" w:firstLineChars="0"/>
              <w:jc w:val="center"/>
              <w:rPr>
                <w:rFonts w:ascii="宋体" w:hAnsi="宋体" w:cs="宋体"/>
                <w:b/>
                <w:bCs/>
              </w:rPr>
            </w:pPr>
            <w:r>
              <w:rPr>
                <w:rFonts w:hint="eastAsia" w:ascii="宋体" w:hAnsi="宋体" w:cs="宋体"/>
                <w:b/>
                <w:bCs/>
              </w:rPr>
              <w:t>溪田寺</w:t>
            </w:r>
          </w:p>
        </w:tc>
        <w:tc>
          <w:tcPr>
            <w:tcW w:w="3191" w:type="dxa"/>
            <w:vAlign w:val="center"/>
          </w:tcPr>
          <w:p w14:paraId="29697074">
            <w:pPr>
              <w:ind w:firstLine="0" w:firstLineChars="0"/>
              <w:jc w:val="left"/>
              <w:rPr>
                <w:rFonts w:ascii="宋体" w:hAnsi="宋体" w:cs="宋体"/>
              </w:rPr>
            </w:pPr>
            <w:r>
              <w:rPr>
                <w:rFonts w:hint="eastAsia" w:ascii="宋体" w:hAnsi="宋体" w:cs="宋体"/>
              </w:rPr>
              <w:t>在城东三里</w:t>
            </w:r>
          </w:p>
        </w:tc>
      </w:tr>
      <w:tr w14:paraId="6B1FC0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42" w:type="dxa"/>
            <w:vAlign w:val="center"/>
          </w:tcPr>
          <w:p w14:paraId="13F615D7">
            <w:pPr>
              <w:ind w:firstLine="0" w:firstLineChars="0"/>
              <w:jc w:val="center"/>
              <w:rPr>
                <w:rFonts w:ascii="宋体" w:hAnsi="宋体" w:cs="宋体"/>
              </w:rPr>
            </w:pPr>
            <w:r>
              <w:rPr>
                <w:rFonts w:hint="eastAsia" w:ascii="宋体" w:hAnsi="宋体" w:cs="宋体"/>
                <w:b/>
                <w:bCs/>
              </w:rPr>
              <w:t>乾山寺</w:t>
            </w:r>
          </w:p>
        </w:tc>
        <w:tc>
          <w:tcPr>
            <w:tcW w:w="1418" w:type="dxa"/>
            <w:vAlign w:val="center"/>
          </w:tcPr>
          <w:p w14:paraId="076E12BF">
            <w:pPr>
              <w:ind w:firstLine="0" w:firstLineChars="0"/>
              <w:rPr>
                <w:rFonts w:ascii="宋体" w:hAnsi="宋体" w:cs="宋体"/>
              </w:rPr>
            </w:pPr>
            <w:r>
              <w:rPr>
                <w:rFonts w:hint="eastAsia" w:ascii="宋体" w:hAnsi="宋体" w:cs="宋体"/>
              </w:rPr>
              <w:t>在归仁都</w:t>
            </w:r>
          </w:p>
        </w:tc>
        <w:tc>
          <w:tcPr>
            <w:tcW w:w="1559" w:type="dxa"/>
            <w:vAlign w:val="center"/>
          </w:tcPr>
          <w:p w14:paraId="76F17FAD">
            <w:pPr>
              <w:ind w:firstLine="0" w:firstLineChars="0"/>
              <w:jc w:val="center"/>
              <w:rPr>
                <w:rFonts w:ascii="宋体" w:hAnsi="宋体" w:cs="宋体"/>
              </w:rPr>
            </w:pPr>
            <w:r>
              <w:rPr>
                <w:rFonts w:hint="eastAsia" w:ascii="宋体" w:hAnsi="宋体" w:cs="宋体"/>
                <w:b/>
                <w:bCs/>
              </w:rPr>
              <w:t>宝林庵</w:t>
            </w:r>
          </w:p>
        </w:tc>
        <w:tc>
          <w:tcPr>
            <w:tcW w:w="1418" w:type="dxa"/>
            <w:gridSpan w:val="2"/>
            <w:vAlign w:val="center"/>
          </w:tcPr>
          <w:p w14:paraId="3FACF674">
            <w:pPr>
              <w:ind w:firstLine="0" w:firstLineChars="0"/>
              <w:jc w:val="left"/>
              <w:rPr>
                <w:rFonts w:ascii="宋体" w:hAnsi="宋体" w:cs="宋体"/>
              </w:rPr>
            </w:pPr>
            <w:r>
              <w:rPr>
                <w:rFonts w:hint="eastAsia" w:ascii="宋体" w:hAnsi="宋体" w:cs="宋体"/>
              </w:rPr>
              <w:t>在水口桥</w:t>
            </w:r>
          </w:p>
        </w:tc>
        <w:tc>
          <w:tcPr>
            <w:tcW w:w="1134" w:type="dxa"/>
            <w:vAlign w:val="center"/>
          </w:tcPr>
          <w:p w14:paraId="2B102210">
            <w:pPr>
              <w:ind w:firstLine="0" w:firstLineChars="0"/>
              <w:jc w:val="center"/>
              <w:rPr>
                <w:rFonts w:ascii="宋体" w:hAnsi="宋体" w:cs="宋体"/>
              </w:rPr>
            </w:pPr>
            <w:r>
              <w:rPr>
                <w:rFonts w:hint="eastAsia" w:ascii="宋体" w:hAnsi="宋体" w:cs="宋体"/>
                <w:b/>
                <w:bCs/>
              </w:rPr>
              <w:t>朝阳庵</w:t>
            </w:r>
          </w:p>
        </w:tc>
        <w:tc>
          <w:tcPr>
            <w:tcW w:w="3191" w:type="dxa"/>
            <w:vAlign w:val="center"/>
          </w:tcPr>
          <w:p w14:paraId="077DE280">
            <w:pPr>
              <w:ind w:firstLine="0" w:firstLineChars="0"/>
              <w:jc w:val="left"/>
              <w:rPr>
                <w:rFonts w:ascii="宋体" w:hAnsi="宋体" w:cs="宋体"/>
              </w:rPr>
            </w:pPr>
            <w:r>
              <w:rPr>
                <w:rFonts w:hint="eastAsia" w:ascii="宋体" w:hAnsi="宋体" w:cs="宋体"/>
              </w:rPr>
              <w:t>在水口桥</w:t>
            </w:r>
          </w:p>
        </w:tc>
      </w:tr>
      <w:tr w14:paraId="72A82A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242" w:type="dxa"/>
            <w:vAlign w:val="center"/>
          </w:tcPr>
          <w:p w14:paraId="719DB21E">
            <w:pPr>
              <w:ind w:firstLine="0" w:firstLineChars="0"/>
              <w:jc w:val="center"/>
              <w:rPr>
                <w:rFonts w:ascii="宋体" w:hAnsi="宋体" w:cs="宋体"/>
              </w:rPr>
            </w:pPr>
            <w:r>
              <w:rPr>
                <w:rFonts w:hint="eastAsia" w:ascii="宋体" w:hAnsi="宋体" w:cs="宋体"/>
                <w:b/>
                <w:bCs/>
              </w:rPr>
              <w:t>莲池庵</w:t>
            </w:r>
          </w:p>
        </w:tc>
        <w:tc>
          <w:tcPr>
            <w:tcW w:w="8720" w:type="dxa"/>
            <w:gridSpan w:val="6"/>
            <w:vAlign w:val="center"/>
          </w:tcPr>
          <w:p w14:paraId="5AE9A756">
            <w:pPr>
              <w:ind w:firstLine="0" w:firstLineChars="0"/>
              <w:jc w:val="left"/>
              <w:rPr>
                <w:rFonts w:ascii="宋体" w:hAnsi="宋体" w:cs="宋体"/>
              </w:rPr>
            </w:pPr>
            <w:r>
              <w:rPr>
                <w:rFonts w:hint="eastAsia" w:ascii="宋体" w:hAnsi="宋体" w:cs="宋体"/>
              </w:rPr>
              <w:t>在城内</w:t>
            </w:r>
          </w:p>
        </w:tc>
      </w:tr>
    </w:tbl>
    <w:p w14:paraId="31906C7F">
      <w:pPr>
        <w:pStyle w:val="5"/>
        <w:rPr>
          <w:rFonts w:ascii="宋体" w:hAnsi="宋体" w:cs="宋体"/>
        </w:rPr>
      </w:pPr>
      <w:r>
        <w:rPr>
          <w:rFonts w:hint="eastAsia" w:ascii="宋体" w:hAnsi="宋体" w:cs="宋体"/>
        </w:rPr>
        <w:t>三、殿  会馆  戏台</w:t>
      </w:r>
    </w:p>
    <w:p w14:paraId="312A719A">
      <w:pPr>
        <w:ind w:firstLine="422"/>
        <w:rPr>
          <w:rFonts w:ascii="宋体" w:hAnsi="宋体" w:cs="宋体"/>
        </w:rPr>
      </w:pPr>
      <w:r>
        <w:rPr>
          <w:rFonts w:hint="eastAsia" w:ascii="宋体" w:hAnsi="宋体" w:cs="宋体"/>
          <w:b/>
          <w:bCs/>
        </w:rPr>
        <w:t xml:space="preserve">大成殿  </w:t>
      </w:r>
      <w:r>
        <w:rPr>
          <w:rFonts w:hint="eastAsia" w:ascii="宋体" w:hAnsi="宋体" w:cs="宋体"/>
        </w:rPr>
        <w:t>该殿坐落于城区爱民路（今市政府大院内），系明代建文元年（1399年）南雄知府文德远创建，明成化南雄知府江璞修葺扩建。该殿建于一座平台之上，台高1.10米，台前踏步为五级。殿宽18米，进深13米，高10.85米，殿顶用黄色琉璃瓦覆盖，四角飞檐有鸱尾垂出，柱础为鼓形，殿内雕梁画栋，动物、人物栩栩如生。该殿“文化大革命”时被破坏，后加修整，今列为市文物保护单位。</w:t>
      </w:r>
    </w:p>
    <w:p w14:paraId="737C2715">
      <w:pPr>
        <w:ind w:firstLine="422"/>
        <w:rPr>
          <w:rFonts w:ascii="宋体" w:hAnsi="宋体" w:cs="宋体"/>
        </w:rPr>
      </w:pPr>
      <w:r>
        <w:rPr>
          <w:rFonts w:hint="eastAsia" w:ascii="宋体" w:hAnsi="宋体" w:cs="宋体"/>
          <w:b/>
          <w:bCs/>
        </w:rPr>
        <w:t>广州会馆</w:t>
      </w:r>
      <w:r>
        <w:rPr>
          <w:rFonts w:hint="eastAsia" w:ascii="宋体" w:hAnsi="宋体" w:cs="宋体"/>
        </w:rPr>
        <w:t xml:space="preserve">  该馆坐落在老城埠前街，原为天后宫址。会馆创建于明嘉靖年间，馆向南，共三进，均建于高台之上。占地面积3834平方米，建筑面积2510平方米，大门额有清光绪七年（1881年）孟冬重修时岭南近代思想家、科学家陈澧题的“广州会馆”石匾。大厅前楹柱上有咸丰年间探花李文田作的一副长联。会馆主要部分保存完好，1999年市政府又加修葺，被列为省文物保护单位。</w:t>
      </w:r>
    </w:p>
    <w:p w14:paraId="206EBF8A">
      <w:pPr>
        <w:ind w:firstLine="422"/>
        <w:rPr>
          <w:rFonts w:ascii="宋体" w:hAnsi="宋体" w:cs="宋体"/>
        </w:rPr>
      </w:pPr>
      <w:r>
        <w:rPr>
          <w:rFonts w:hint="eastAsia" w:ascii="宋体" w:hAnsi="宋体" w:cs="宋体"/>
          <w:b/>
          <w:bCs/>
        </w:rPr>
        <w:t xml:space="preserve">里东戏台 </w:t>
      </w:r>
      <w:r>
        <w:rPr>
          <w:rFonts w:hint="eastAsia" w:ascii="宋体" w:hAnsi="宋体" w:cs="宋体"/>
        </w:rPr>
        <w:t xml:space="preserve"> 位于珠玑镇里东街官道寺（又称广明殿）遗址内。广明殿建于宋代。清代乾隆四十年（1775年）由住持僧斌机重修戏台，用青砖筑成，平面为“凸”字形，面宽7.3米和8.3米，进深三间40.8米。列为南雄市文物保护单位。</w:t>
      </w:r>
    </w:p>
    <w:p w14:paraId="57F3CE1A">
      <w:pPr>
        <w:ind w:firstLine="422"/>
        <w:rPr>
          <w:rFonts w:ascii="宋体" w:hAnsi="宋体" w:cs="宋体"/>
        </w:rPr>
      </w:pPr>
      <w:r>
        <w:rPr>
          <w:rFonts w:hint="eastAsia" w:ascii="宋体" w:hAnsi="宋体" w:cs="宋体"/>
          <w:b/>
          <w:bCs/>
        </w:rPr>
        <w:t xml:space="preserve">百顺戏台 </w:t>
      </w:r>
      <w:r>
        <w:rPr>
          <w:rFonts w:hint="eastAsia" w:ascii="宋体" w:hAnsi="宋体" w:cs="宋体"/>
        </w:rPr>
        <w:t xml:space="preserve"> 位于百顺镇百顺圩娘娘庙遗址内，建于清光绪六年（1880年），只有一殿，面宽7.3米，进深11.5米，用青砖筑成。殿前设戏台。</w:t>
      </w:r>
    </w:p>
    <w:p w14:paraId="76A5A4AF">
      <w:pPr>
        <w:ind w:firstLine="422"/>
        <w:rPr>
          <w:rFonts w:ascii="宋体" w:hAnsi="宋体" w:cs="宋体"/>
        </w:rPr>
      </w:pPr>
      <w:r>
        <w:rPr>
          <w:rFonts w:hint="eastAsia" w:ascii="宋体" w:hAnsi="宋体" w:cs="宋体"/>
          <w:b/>
          <w:bCs/>
        </w:rPr>
        <w:t xml:space="preserve">延村尚书第  </w:t>
      </w:r>
      <w:r>
        <w:rPr>
          <w:rFonts w:hint="eastAsia" w:ascii="宋体" w:hAnsi="宋体" w:cs="宋体"/>
        </w:rPr>
        <w:t>位于油山镇延村，建于清代，相传为纪念宋代端平年间兵部尚书冯迁而建。1987年重修。有匾额正面刻“尚书第”，背额刻“世宦名家”，均无落款。</w:t>
      </w:r>
    </w:p>
    <w:p w14:paraId="429C1730">
      <w:pPr>
        <w:pStyle w:val="5"/>
        <w:rPr>
          <w:rFonts w:ascii="宋体" w:hAnsi="宋体" w:cs="宋体"/>
        </w:rPr>
      </w:pPr>
      <w:r>
        <w:rPr>
          <w:rFonts w:hint="eastAsia" w:ascii="宋体" w:hAnsi="宋体" w:cs="宋体"/>
        </w:rPr>
        <w:t>四、门楼  牌坊</w:t>
      </w:r>
    </w:p>
    <w:p w14:paraId="2BB8CEB7">
      <w:pPr>
        <w:ind w:firstLine="422"/>
        <w:rPr>
          <w:rFonts w:ascii="宋体" w:hAnsi="宋体" w:cs="宋体"/>
        </w:rPr>
      </w:pPr>
      <w:r>
        <w:rPr>
          <w:rFonts w:hint="eastAsia" w:ascii="宋体" w:hAnsi="宋体" w:cs="宋体"/>
          <w:b/>
          <w:bCs/>
        </w:rPr>
        <w:t xml:space="preserve">南雄城正南门 </w:t>
      </w:r>
      <w:r>
        <w:rPr>
          <w:rFonts w:hint="eastAsia" w:ascii="宋体" w:hAnsi="宋体" w:cs="宋体"/>
        </w:rPr>
        <w:t xml:space="preserve"> 位于老城中山街，于宋皇祐四年（1052年）知州萧渤筑斗城时建，历代均有修葺。楼坐北朝南，用麻石砌基和各种规格不一的青砖平卧顺叠砌。楼高8.2米，进深12米，上宽10.25米。城门高3.6米，宽3.95米。清嘉庆十三年（1808年）在城门上建南薰楼阁。1995年县政府重修城楼。被列为省文物保护单位。</w:t>
      </w:r>
    </w:p>
    <w:p w14:paraId="1C74645E">
      <w:pPr>
        <w:ind w:firstLine="422"/>
        <w:rPr>
          <w:rFonts w:ascii="宋体" w:hAnsi="宋体" w:cs="宋体"/>
        </w:rPr>
      </w:pPr>
      <w:r>
        <w:rPr>
          <w:rFonts w:hint="eastAsia" w:ascii="宋体" w:hAnsi="宋体" w:cs="宋体"/>
          <w:b/>
          <w:bCs/>
        </w:rPr>
        <w:t xml:space="preserve">尚书里门楼 </w:t>
      </w:r>
      <w:r>
        <w:rPr>
          <w:rFonts w:hint="eastAsia" w:ascii="宋体" w:hAnsi="宋体" w:cs="宋体"/>
        </w:rPr>
        <w:t xml:space="preserve"> 在城郊四条门村，建于明代。为纪念明户部尚书谭大初而建。楼基用青砖筑成，宽5米，门宽2.7米，高2.52米；门楼为木结构，高3.2米，原有“尚书里”石刻，今无存。</w:t>
      </w:r>
    </w:p>
    <w:p w14:paraId="623EBFE7">
      <w:pPr>
        <w:ind w:firstLine="422"/>
        <w:rPr>
          <w:rFonts w:ascii="宋体" w:hAnsi="宋体" w:cs="宋体"/>
        </w:rPr>
      </w:pPr>
      <w:r>
        <w:rPr>
          <w:rFonts w:hint="eastAsia" w:ascii="宋体" w:hAnsi="宋体" w:cs="宋体"/>
          <w:b/>
          <w:bCs/>
        </w:rPr>
        <w:t>珠玑古巷门楼（南门楼）</w:t>
      </w:r>
      <w:r>
        <w:rPr>
          <w:rFonts w:hint="eastAsia" w:ascii="宋体" w:hAnsi="宋体" w:cs="宋体"/>
        </w:rPr>
        <w:t xml:space="preserve">  位于珠玑巷南端，清代乾隆年间建，拱门上有民国16年（1927年）重修时镶的石匾，上刻“珠玑古巷”四字。楼为木结构，早塌。1985年县政府拨款重修。列为南雄市文物保护单位。</w:t>
      </w:r>
    </w:p>
    <w:p w14:paraId="67AE9F19">
      <w:pPr>
        <w:ind w:firstLine="422"/>
        <w:rPr>
          <w:rFonts w:ascii="宋体" w:hAnsi="宋体" w:cs="宋体"/>
        </w:rPr>
      </w:pPr>
      <w:r>
        <w:rPr>
          <w:rFonts w:hint="eastAsia" w:ascii="宋体" w:hAnsi="宋体" w:cs="宋体"/>
          <w:b/>
          <w:bCs/>
        </w:rPr>
        <w:t xml:space="preserve">珠玑楼（中门楼） </w:t>
      </w:r>
      <w:r>
        <w:rPr>
          <w:rFonts w:hint="eastAsia" w:ascii="宋体" w:hAnsi="宋体" w:cs="宋体"/>
        </w:rPr>
        <w:t xml:space="preserve"> 位于珠玑巷中段。原为翔凤坊之楼，早塌，清乾隆十二年（1747年）重修，石匾题名珠玑楼。门拱上方有一长方形青石匾，刻有“珠玑古巷，吾家故乡”，落款是“国民革命军第十五军第三师副师长蒙志题，民国十八年二月中瀚”。1982年县政府拨款重修。列为南雄市重点文物保护单位。</w:t>
      </w:r>
    </w:p>
    <w:p w14:paraId="1B355729">
      <w:pPr>
        <w:ind w:firstLine="422"/>
        <w:rPr>
          <w:rFonts w:ascii="宋体" w:hAnsi="宋体" w:cs="宋体"/>
        </w:rPr>
      </w:pPr>
      <w:r>
        <w:rPr>
          <w:rFonts w:hint="eastAsia" w:ascii="宋体" w:hAnsi="宋体" w:cs="宋体"/>
          <w:b/>
          <w:bCs/>
        </w:rPr>
        <w:t>珠玑街门楼（北门楼）</w:t>
      </w:r>
      <w:r>
        <w:rPr>
          <w:rFonts w:hint="eastAsia" w:ascii="宋体" w:hAnsi="宋体" w:cs="宋体"/>
        </w:rPr>
        <w:t xml:space="preserve">  位于珠玑巷北端，建于清代乾隆年间，早塌。1983年县政府拨款重修。列为南雄市文物保护单位。</w:t>
      </w:r>
    </w:p>
    <w:p w14:paraId="44AB0896">
      <w:pPr>
        <w:ind w:firstLine="422"/>
        <w:rPr>
          <w:rFonts w:ascii="宋体" w:hAnsi="宋体" w:cs="宋体"/>
        </w:rPr>
      </w:pPr>
      <w:r>
        <w:rPr>
          <w:rFonts w:hint="eastAsia" w:ascii="宋体" w:hAnsi="宋体" w:cs="宋体"/>
          <w:b/>
          <w:bCs/>
        </w:rPr>
        <w:t xml:space="preserve">奎星阁  </w:t>
      </w:r>
      <w:r>
        <w:rPr>
          <w:rFonts w:hint="eastAsia" w:ascii="宋体" w:hAnsi="宋体" w:cs="宋体"/>
        </w:rPr>
        <w:t>该楼位于雄州镇达德街。始建于明代。清雍正甲寅（1734年）由教谕陈经修复，嘉庆己巳（1809年）知州戴锡纶重修。清光绪二十年（1894年）再次重修。楼坐落在街道的十字路口，为四根木质圆柱支撑，单檐布瓦歇山顶，挑出腰檐置平座。通面宽8米，进深11米，高13米，檐柱上施斗拱，保存较好。列为南雄市文物保护单位。</w:t>
      </w:r>
    </w:p>
    <w:p w14:paraId="6FDE1D4A">
      <w:pPr>
        <w:ind w:firstLine="422"/>
        <w:rPr>
          <w:rFonts w:ascii="宋体" w:hAnsi="宋体" w:cs="宋体"/>
        </w:rPr>
      </w:pPr>
      <w:r>
        <w:rPr>
          <w:rFonts w:hint="eastAsia" w:ascii="宋体" w:hAnsi="宋体" w:cs="宋体"/>
          <w:b/>
          <w:bCs/>
        </w:rPr>
        <w:t xml:space="preserve">孔塘进士牌坊 </w:t>
      </w:r>
      <w:r>
        <w:rPr>
          <w:rFonts w:hint="eastAsia" w:ascii="宋体" w:hAnsi="宋体" w:cs="宋体"/>
        </w:rPr>
        <w:t xml:space="preserve"> 位于乌迳镇孔塘村赖氏祠堂前，高5.7米，宽6.6米，为三开间二重楼四柱全石结构。坊正额横书“进士”二个楷体大字，落款右为“乾隆十九年甲戌科中第二十五名”，额下横书“科甲流芳”。坊背额书“进士”楷体大字，落款右为“乾隆三十年岁次乙酉孟秋”，额下横书“翰外珠环”。列为南雄市文物保护单位。</w:t>
      </w:r>
    </w:p>
    <w:p w14:paraId="1216C557">
      <w:pPr>
        <w:ind w:firstLine="422"/>
        <w:rPr>
          <w:rFonts w:ascii="宋体" w:hAnsi="宋体" w:cs="宋体"/>
        </w:rPr>
      </w:pPr>
      <w:r>
        <w:rPr>
          <w:rFonts w:hint="eastAsia" w:ascii="宋体" w:hAnsi="宋体" w:cs="宋体"/>
          <w:b/>
          <w:bCs/>
        </w:rPr>
        <w:t>清道光《直隶南雄州志》载古楼台亭阁41处，久废不存，选录于下：</w:t>
      </w:r>
    </w:p>
    <w:p w14:paraId="4481A861">
      <w:pPr>
        <w:ind w:firstLine="422"/>
        <w:rPr>
          <w:rFonts w:ascii="宋体" w:hAnsi="宋体" w:cs="宋体"/>
        </w:rPr>
      </w:pPr>
      <w:r>
        <w:rPr>
          <w:rFonts w:hint="eastAsia" w:ascii="宋体" w:hAnsi="宋体" w:cs="宋体"/>
          <w:b/>
          <w:bCs/>
        </w:rPr>
        <w:t xml:space="preserve">叱驭楼 </w:t>
      </w:r>
      <w:r>
        <w:rPr>
          <w:rFonts w:hint="eastAsia" w:ascii="宋体" w:hAnsi="宋体" w:cs="宋体"/>
        </w:rPr>
        <w:t xml:space="preserve"> 在大庾岭上，宋余靖有诗。</w:t>
      </w:r>
    </w:p>
    <w:p w14:paraId="296CFC8D">
      <w:pPr>
        <w:ind w:firstLine="422"/>
        <w:rPr>
          <w:rFonts w:ascii="宋体" w:hAnsi="宋体" w:cs="宋体"/>
        </w:rPr>
      </w:pPr>
      <w:r>
        <w:rPr>
          <w:rFonts w:hint="eastAsia" w:ascii="宋体" w:hAnsi="宋体" w:cs="宋体"/>
          <w:b/>
          <w:bCs/>
        </w:rPr>
        <w:t xml:space="preserve">铁杖楼  </w:t>
      </w:r>
      <w:r>
        <w:rPr>
          <w:rFonts w:hint="eastAsia" w:ascii="宋体" w:hAnsi="宋体" w:cs="宋体"/>
        </w:rPr>
        <w:t>在府东二里（今总工会处），明成化戊戌知府江璞创。</w:t>
      </w:r>
    </w:p>
    <w:p w14:paraId="76AF7466">
      <w:pPr>
        <w:ind w:firstLine="422"/>
        <w:rPr>
          <w:rFonts w:ascii="宋体" w:hAnsi="宋体" w:cs="宋体"/>
        </w:rPr>
      </w:pPr>
      <w:r>
        <w:rPr>
          <w:rFonts w:hint="eastAsia" w:ascii="宋体" w:hAnsi="宋体" w:cs="宋体"/>
          <w:b/>
          <w:bCs/>
        </w:rPr>
        <w:t>屏翰楼</w:t>
      </w:r>
      <w:r>
        <w:rPr>
          <w:rFonts w:hint="eastAsia" w:ascii="宋体" w:hAnsi="宋体" w:cs="宋体"/>
        </w:rPr>
        <w:t xml:space="preserve">  在铁杖楼旁，后改名保定楼。</w:t>
      </w:r>
    </w:p>
    <w:p w14:paraId="75FFBBEE">
      <w:pPr>
        <w:ind w:firstLine="422"/>
        <w:rPr>
          <w:rFonts w:ascii="宋体" w:hAnsi="宋体" w:cs="宋体"/>
        </w:rPr>
      </w:pPr>
      <w:r>
        <w:rPr>
          <w:rFonts w:hint="eastAsia" w:ascii="宋体" w:hAnsi="宋体" w:cs="宋体"/>
          <w:b/>
          <w:bCs/>
        </w:rPr>
        <w:t xml:space="preserve">丽樵楼 </w:t>
      </w:r>
      <w:r>
        <w:rPr>
          <w:rFonts w:hint="eastAsia" w:ascii="宋体" w:hAnsi="宋体" w:cs="宋体"/>
        </w:rPr>
        <w:t xml:space="preserve"> 即斗城钟楼，宋治平乙亥创，火毁。</w:t>
      </w:r>
    </w:p>
    <w:p w14:paraId="6090DCDA">
      <w:pPr>
        <w:ind w:firstLine="422"/>
        <w:rPr>
          <w:rFonts w:ascii="宋体" w:hAnsi="宋体" w:cs="宋体"/>
        </w:rPr>
      </w:pPr>
      <w:r>
        <w:rPr>
          <w:rFonts w:hint="eastAsia" w:ascii="宋体" w:hAnsi="宋体" w:cs="宋体"/>
          <w:b/>
          <w:bCs/>
        </w:rPr>
        <w:t xml:space="preserve">南董楼 </w:t>
      </w:r>
      <w:r>
        <w:rPr>
          <w:rFonts w:hint="eastAsia" w:ascii="宋体" w:hAnsi="宋体" w:cs="宋体"/>
        </w:rPr>
        <w:t xml:space="preserve"> 在斗城南门上，嘉庆戊辰与宾阳楼俱知州戴锡纶重修。</w:t>
      </w:r>
    </w:p>
    <w:p w14:paraId="682C02D1">
      <w:pPr>
        <w:ind w:firstLine="422"/>
        <w:rPr>
          <w:rFonts w:ascii="宋体" w:hAnsi="宋体" w:cs="宋体"/>
        </w:rPr>
      </w:pPr>
      <w:r>
        <w:rPr>
          <w:rFonts w:hint="eastAsia" w:ascii="宋体" w:hAnsi="宋体" w:cs="宋体"/>
          <w:b/>
          <w:bCs/>
        </w:rPr>
        <w:t xml:space="preserve">宾阳楼 </w:t>
      </w:r>
      <w:r>
        <w:rPr>
          <w:rFonts w:hint="eastAsia" w:ascii="宋体" w:hAnsi="宋体" w:cs="宋体"/>
        </w:rPr>
        <w:t xml:space="preserve"> 在新城正东门。</w:t>
      </w:r>
    </w:p>
    <w:p w14:paraId="0B009655">
      <w:pPr>
        <w:ind w:firstLine="422"/>
        <w:rPr>
          <w:rFonts w:ascii="宋体" w:hAnsi="宋体" w:cs="宋体"/>
        </w:rPr>
      </w:pPr>
      <w:r>
        <w:rPr>
          <w:rFonts w:hint="eastAsia" w:ascii="宋体" w:hAnsi="宋体" w:cs="宋体"/>
          <w:b/>
          <w:bCs/>
        </w:rPr>
        <w:t xml:space="preserve">朝阳楼 </w:t>
      </w:r>
      <w:r>
        <w:rPr>
          <w:rFonts w:hint="eastAsia" w:ascii="宋体" w:hAnsi="宋体" w:cs="宋体"/>
        </w:rPr>
        <w:t xml:space="preserve"> 在小东门上，明知府金廷璧建。</w:t>
      </w:r>
    </w:p>
    <w:p w14:paraId="3B0B2182">
      <w:pPr>
        <w:ind w:firstLine="422"/>
        <w:rPr>
          <w:rFonts w:ascii="宋体" w:hAnsi="宋体" w:cs="宋体"/>
        </w:rPr>
      </w:pPr>
      <w:r>
        <w:rPr>
          <w:rFonts w:hint="eastAsia" w:ascii="宋体" w:hAnsi="宋体" w:cs="宋体"/>
          <w:b/>
          <w:bCs/>
        </w:rPr>
        <w:t>收春楼</w:t>
      </w:r>
      <w:r>
        <w:rPr>
          <w:rFonts w:hint="eastAsia" w:ascii="宋体" w:hAnsi="宋体" w:cs="宋体"/>
        </w:rPr>
        <w:t xml:space="preserve">  在宏道书院前，明知府周思文建。</w:t>
      </w:r>
    </w:p>
    <w:p w14:paraId="06614254">
      <w:pPr>
        <w:ind w:firstLine="422"/>
        <w:rPr>
          <w:rFonts w:ascii="宋体" w:hAnsi="宋体" w:cs="宋体"/>
        </w:rPr>
      </w:pPr>
      <w:r>
        <w:rPr>
          <w:rFonts w:hint="eastAsia" w:ascii="宋体" w:hAnsi="宋体" w:cs="宋体"/>
          <w:b/>
          <w:bCs/>
        </w:rPr>
        <w:t>射圃亭</w:t>
      </w:r>
      <w:r>
        <w:rPr>
          <w:rFonts w:hint="eastAsia" w:ascii="宋体" w:hAnsi="宋体" w:cs="宋体"/>
        </w:rPr>
        <w:t xml:space="preserve">  在州学东，清雍正知府王</w:t>
      </w:r>
      <w:r>
        <w:rPr>
          <w:rFonts w:hint="eastAsia" w:ascii="宋体" w:hAnsi="宋体" w:cs="宋体"/>
        </w:rPr>
        <w:drawing>
          <wp:inline distT="0" distB="0" distL="0" distR="0">
            <wp:extent cx="186055" cy="186055"/>
            <wp:effectExtent l="0" t="0" r="4445" b="4445"/>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a:xfrm>
                      <a:off x="0" y="0"/>
                      <a:ext cx="186055" cy="186055"/>
                    </a:xfrm>
                    <a:prstGeom prst="rect">
                      <a:avLst/>
                    </a:prstGeom>
                    <a:noFill/>
                    <a:ln>
                      <a:noFill/>
                    </a:ln>
                  </pic:spPr>
                </pic:pic>
              </a:graphicData>
            </a:graphic>
          </wp:inline>
        </w:drawing>
      </w:r>
      <w:r>
        <w:rPr>
          <w:rFonts w:hint="eastAsia" w:ascii="宋体" w:hAnsi="宋体" w:cs="宋体"/>
        </w:rPr>
        <w:t>建。</w:t>
      </w:r>
    </w:p>
    <w:p w14:paraId="37DA4783">
      <w:pPr>
        <w:ind w:firstLine="422"/>
        <w:rPr>
          <w:rFonts w:ascii="宋体" w:hAnsi="宋体" w:cs="宋体"/>
        </w:rPr>
      </w:pPr>
      <w:r>
        <w:rPr>
          <w:rFonts w:hint="eastAsia" w:ascii="宋体" w:hAnsi="宋体" w:cs="宋体"/>
          <w:b/>
          <w:bCs/>
        </w:rPr>
        <w:t xml:space="preserve">三枫亭 </w:t>
      </w:r>
      <w:r>
        <w:rPr>
          <w:rFonts w:hint="eastAsia" w:ascii="宋体" w:hAnsi="宋体" w:cs="宋体"/>
        </w:rPr>
        <w:t xml:space="preserve"> 在修仁水北，南齐内史范云建。亭后有塔。</w:t>
      </w:r>
    </w:p>
    <w:p w14:paraId="2CB44BDE">
      <w:pPr>
        <w:ind w:firstLine="422"/>
        <w:rPr>
          <w:rFonts w:ascii="宋体" w:hAnsi="宋体" w:cs="宋体"/>
        </w:rPr>
      </w:pPr>
      <w:r>
        <w:rPr>
          <w:rFonts w:hint="eastAsia" w:ascii="宋体" w:hAnsi="宋体" w:cs="宋体"/>
          <w:b/>
          <w:bCs/>
        </w:rPr>
        <w:t xml:space="preserve">通越亭 </w:t>
      </w:r>
      <w:r>
        <w:rPr>
          <w:rFonts w:hint="eastAsia" w:ascii="宋体" w:hAnsi="宋体" w:cs="宋体"/>
        </w:rPr>
        <w:t xml:space="preserve"> 在大庾岭上，宋余靖有诗。</w:t>
      </w:r>
    </w:p>
    <w:p w14:paraId="6EB68E3A">
      <w:pPr>
        <w:ind w:firstLine="422"/>
        <w:rPr>
          <w:rFonts w:ascii="宋体" w:hAnsi="宋体" w:cs="宋体"/>
        </w:rPr>
      </w:pPr>
      <w:r>
        <w:rPr>
          <w:rFonts w:hint="eastAsia" w:ascii="宋体" w:hAnsi="宋体" w:cs="宋体"/>
          <w:b/>
          <w:bCs/>
        </w:rPr>
        <w:t>来雁亭</w:t>
      </w:r>
      <w:r>
        <w:rPr>
          <w:rFonts w:hint="eastAsia" w:ascii="宋体" w:hAnsi="宋体" w:cs="宋体"/>
        </w:rPr>
        <w:t xml:space="preserve">  在大庾岭梅关古驿道旁。</w:t>
      </w:r>
    </w:p>
    <w:p w14:paraId="18BD6EBA">
      <w:pPr>
        <w:ind w:firstLine="422"/>
        <w:rPr>
          <w:rFonts w:ascii="宋体" w:hAnsi="宋体" w:cs="宋体"/>
        </w:rPr>
      </w:pPr>
      <w:r>
        <w:rPr>
          <w:rFonts w:hint="eastAsia" w:ascii="宋体" w:hAnsi="宋体" w:cs="宋体"/>
          <w:b/>
          <w:bCs/>
        </w:rPr>
        <w:t xml:space="preserve">饮仁亭 </w:t>
      </w:r>
      <w:r>
        <w:rPr>
          <w:rFonts w:hint="eastAsia" w:ascii="宋体" w:hAnsi="宋体" w:cs="宋体"/>
        </w:rPr>
        <w:t xml:space="preserve"> 在太平桥接官处，即寄梅馆，又名马头公馆。</w:t>
      </w:r>
    </w:p>
    <w:p w14:paraId="5ED91DE8">
      <w:pPr>
        <w:ind w:firstLine="422"/>
        <w:rPr>
          <w:rFonts w:ascii="宋体" w:hAnsi="宋体" w:cs="宋体"/>
        </w:rPr>
      </w:pPr>
      <w:r>
        <w:rPr>
          <w:rFonts w:hint="eastAsia" w:ascii="宋体" w:hAnsi="宋体" w:cs="宋体"/>
          <w:b/>
          <w:bCs/>
        </w:rPr>
        <w:t xml:space="preserve">文献乡邦亭 </w:t>
      </w:r>
      <w:r>
        <w:rPr>
          <w:rFonts w:hint="eastAsia" w:ascii="宋体" w:hAnsi="宋体" w:cs="宋体"/>
        </w:rPr>
        <w:t xml:space="preserve"> 在五里山，明弘治辛卯岭南道袁庆祥重立张九龄开凿岭路碑于此。</w:t>
      </w:r>
    </w:p>
    <w:p w14:paraId="564213B5">
      <w:pPr>
        <w:ind w:firstLine="422"/>
        <w:rPr>
          <w:rFonts w:ascii="宋体" w:hAnsi="宋体" w:cs="宋体"/>
        </w:rPr>
      </w:pPr>
      <w:r>
        <w:rPr>
          <w:rFonts w:hint="eastAsia" w:ascii="宋体" w:hAnsi="宋体" w:cs="宋体"/>
          <w:b/>
          <w:bCs/>
        </w:rPr>
        <w:t>朱衣亭</w:t>
      </w:r>
      <w:r>
        <w:rPr>
          <w:rFonts w:hint="eastAsia" w:ascii="宋体" w:hAnsi="宋体" w:cs="宋体"/>
        </w:rPr>
        <w:t xml:space="preserve">  在皇华门上，北向考棚。清嘉庆知州戴锡纶创。</w:t>
      </w:r>
    </w:p>
    <w:p w14:paraId="7708438B">
      <w:pPr>
        <w:ind w:firstLine="422"/>
        <w:rPr>
          <w:rFonts w:ascii="宋体" w:hAnsi="宋体" w:cs="宋体"/>
        </w:rPr>
      </w:pPr>
      <w:r>
        <w:rPr>
          <w:rFonts w:hint="eastAsia" w:ascii="宋体" w:hAnsi="宋体" w:cs="宋体"/>
          <w:b/>
          <w:bCs/>
        </w:rPr>
        <w:t xml:space="preserve">折梅一憇亭 </w:t>
      </w:r>
      <w:r>
        <w:rPr>
          <w:rFonts w:hint="eastAsia" w:ascii="宋体" w:hAnsi="宋体" w:cs="宋体"/>
        </w:rPr>
        <w:t xml:space="preserve"> 即五里山接官处。</w:t>
      </w:r>
    </w:p>
    <w:p w14:paraId="0C746652">
      <w:pPr>
        <w:ind w:firstLine="422"/>
        <w:rPr>
          <w:rFonts w:ascii="宋体" w:hAnsi="宋体" w:cs="宋体"/>
        </w:rPr>
      </w:pPr>
      <w:r>
        <w:rPr>
          <w:rFonts w:hint="eastAsia" w:ascii="宋体" w:hAnsi="宋体" w:cs="宋体"/>
          <w:b/>
          <w:bCs/>
        </w:rPr>
        <w:t xml:space="preserve">龙蹲阁 </w:t>
      </w:r>
      <w:r>
        <w:rPr>
          <w:rFonts w:hint="eastAsia" w:ascii="宋体" w:hAnsi="宋体" w:cs="宋体"/>
        </w:rPr>
        <w:t xml:space="preserve"> 水城东，有渡口，官民各置渡船一只。</w:t>
      </w:r>
    </w:p>
    <w:p w14:paraId="568F42CE">
      <w:pPr>
        <w:ind w:firstLine="422"/>
        <w:rPr>
          <w:rFonts w:ascii="宋体" w:hAnsi="宋体" w:cs="宋体"/>
        </w:rPr>
      </w:pPr>
      <w:r>
        <w:rPr>
          <w:rFonts w:hint="eastAsia" w:ascii="宋体" w:hAnsi="宋体" w:cs="宋体"/>
          <w:b/>
          <w:bCs/>
        </w:rPr>
        <w:t xml:space="preserve">腾蛟阁 </w:t>
      </w:r>
      <w:r>
        <w:rPr>
          <w:rFonts w:hint="eastAsia" w:ascii="宋体" w:hAnsi="宋体" w:cs="宋体"/>
        </w:rPr>
        <w:t xml:space="preserve"> 在南门楼侧。清光绪廖芾创。</w:t>
      </w:r>
    </w:p>
    <w:p w14:paraId="23C7EDD8">
      <w:pPr>
        <w:ind w:firstLine="422"/>
        <w:rPr>
          <w:rFonts w:ascii="宋体" w:hAnsi="宋体" w:cs="宋体"/>
        </w:rPr>
      </w:pPr>
      <w:r>
        <w:rPr>
          <w:rFonts w:hint="eastAsia" w:ascii="宋体" w:hAnsi="宋体" w:cs="宋体"/>
          <w:b/>
          <w:bCs/>
        </w:rPr>
        <w:t>清道光《直隶南雄州志》载，历代立于雄城坊表59座，早废不存。选录于下：</w:t>
      </w:r>
    </w:p>
    <w:p w14:paraId="4F6A2F03">
      <w:pPr>
        <w:ind w:firstLine="422"/>
        <w:rPr>
          <w:rFonts w:ascii="宋体" w:hAnsi="宋体" w:cs="宋体"/>
        </w:rPr>
      </w:pPr>
      <w:r>
        <w:rPr>
          <w:rFonts w:hint="eastAsia" w:ascii="宋体" w:hAnsi="宋体" w:cs="宋体"/>
          <w:b/>
          <w:bCs/>
        </w:rPr>
        <w:t xml:space="preserve">岭南首郡 </w:t>
      </w:r>
      <w:r>
        <w:rPr>
          <w:rFonts w:hint="eastAsia" w:ascii="宋体" w:hAnsi="宋体" w:cs="宋体"/>
        </w:rPr>
        <w:t xml:space="preserve"> 在府治南。</w:t>
      </w:r>
    </w:p>
    <w:p w14:paraId="4B135A1B">
      <w:pPr>
        <w:ind w:firstLine="422"/>
        <w:rPr>
          <w:rFonts w:ascii="宋体" w:hAnsi="宋体" w:cs="宋体"/>
        </w:rPr>
      </w:pPr>
      <w:r>
        <w:rPr>
          <w:rFonts w:hint="eastAsia" w:ascii="宋体" w:hAnsi="宋体" w:cs="宋体"/>
          <w:b/>
          <w:bCs/>
        </w:rPr>
        <w:t xml:space="preserve">八世同居 </w:t>
      </w:r>
      <w:r>
        <w:rPr>
          <w:rFonts w:hint="eastAsia" w:ascii="宋体" w:hAnsi="宋体" w:cs="宋体"/>
        </w:rPr>
        <w:t xml:space="preserve"> 清嘉庆二十一年（1816年）奉旨为刘理尧、刘理培兄弟建，在五里山。</w:t>
      </w:r>
    </w:p>
    <w:p w14:paraId="6E1D2F4D">
      <w:pPr>
        <w:ind w:firstLine="422"/>
        <w:rPr>
          <w:rFonts w:ascii="宋体" w:hAnsi="宋体" w:cs="宋体"/>
        </w:rPr>
      </w:pPr>
      <w:r>
        <w:rPr>
          <w:rFonts w:hint="eastAsia" w:ascii="宋体" w:hAnsi="宋体" w:cs="宋体"/>
          <w:b/>
          <w:bCs/>
        </w:rPr>
        <w:t xml:space="preserve">义门 </w:t>
      </w:r>
      <w:r>
        <w:rPr>
          <w:rFonts w:hint="eastAsia" w:ascii="宋体" w:hAnsi="宋体" w:cs="宋体"/>
        </w:rPr>
        <w:t xml:space="preserve"> 明天顺间汪文彥乐善好施，捐粟500石赈饥，奉诏旌为义门。</w:t>
      </w:r>
    </w:p>
    <w:p w14:paraId="15791607">
      <w:pPr>
        <w:ind w:firstLine="422"/>
        <w:rPr>
          <w:rFonts w:ascii="宋体" w:hAnsi="宋体" w:cs="宋体"/>
        </w:rPr>
      </w:pPr>
      <w:r>
        <w:rPr>
          <w:rFonts w:hint="eastAsia" w:ascii="宋体" w:hAnsi="宋体" w:cs="宋体"/>
          <w:b/>
          <w:bCs/>
        </w:rPr>
        <w:t xml:space="preserve">风纪流芳  </w:t>
      </w:r>
      <w:r>
        <w:rPr>
          <w:rFonts w:hint="eastAsia" w:ascii="宋体" w:hAnsi="宋体" w:cs="宋体"/>
        </w:rPr>
        <w:t>在府学前，为都御史陈德文，御史汪贞、邱师古、蔡愈济、陈逊、陶希文、易广等立。</w:t>
      </w:r>
    </w:p>
    <w:p w14:paraId="412D07A7">
      <w:pPr>
        <w:ind w:firstLine="422"/>
        <w:rPr>
          <w:rFonts w:ascii="宋体" w:hAnsi="宋体" w:cs="宋体"/>
        </w:rPr>
      </w:pPr>
      <w:r>
        <w:rPr>
          <w:rFonts w:hint="eastAsia" w:ascii="宋体" w:hAnsi="宋体" w:cs="宋体"/>
          <w:b/>
          <w:bCs/>
        </w:rPr>
        <w:t xml:space="preserve">攀桂 </w:t>
      </w:r>
      <w:r>
        <w:rPr>
          <w:rFonts w:hint="eastAsia" w:ascii="宋体" w:hAnsi="宋体" w:cs="宋体"/>
        </w:rPr>
        <w:t xml:space="preserve"> 有三：一为宋宝庆贡生李居谦，其二分别为明永乐举人谈斌、彭昂。</w:t>
      </w:r>
    </w:p>
    <w:p w14:paraId="31D550B7">
      <w:pPr>
        <w:ind w:firstLine="422"/>
        <w:rPr>
          <w:rFonts w:ascii="宋体" w:hAnsi="宋体" w:cs="宋体"/>
        </w:rPr>
      </w:pPr>
      <w:r>
        <w:rPr>
          <w:rFonts w:hint="eastAsia" w:ascii="宋体" w:hAnsi="宋体" w:cs="宋体"/>
          <w:b/>
          <w:bCs/>
        </w:rPr>
        <w:t>忠节</w:t>
      </w:r>
      <w:r>
        <w:rPr>
          <w:rFonts w:hint="eastAsia" w:ascii="宋体" w:hAnsi="宋体" w:cs="宋体"/>
        </w:rPr>
        <w:t xml:space="preserve">  为宋韶州佥判邱必明立。</w:t>
      </w:r>
    </w:p>
    <w:p w14:paraId="1CF1245B">
      <w:pPr>
        <w:ind w:firstLine="422"/>
        <w:rPr>
          <w:rFonts w:ascii="宋体" w:hAnsi="宋体" w:cs="宋体"/>
        </w:rPr>
      </w:pPr>
      <w:r>
        <w:rPr>
          <w:rFonts w:hint="eastAsia" w:ascii="宋体" w:hAnsi="宋体" w:cs="宋体"/>
          <w:b/>
          <w:bCs/>
        </w:rPr>
        <w:t>衣锦</w:t>
      </w:r>
      <w:r>
        <w:rPr>
          <w:rFonts w:hint="eastAsia" w:ascii="宋体" w:hAnsi="宋体" w:cs="宋体"/>
        </w:rPr>
        <w:t xml:space="preserve">  在世显街，为元集贤学士麦文贵立。</w:t>
      </w:r>
    </w:p>
    <w:p w14:paraId="74A61A4F">
      <w:pPr>
        <w:ind w:firstLine="422"/>
        <w:rPr>
          <w:rFonts w:ascii="宋体" w:hAnsi="宋体" w:cs="宋体"/>
        </w:rPr>
      </w:pPr>
      <w:r>
        <w:rPr>
          <w:rFonts w:hint="eastAsia" w:ascii="宋体" w:hAnsi="宋体" w:cs="宋体"/>
          <w:b/>
          <w:bCs/>
        </w:rPr>
        <w:t xml:space="preserve">联桂 </w:t>
      </w:r>
      <w:r>
        <w:rPr>
          <w:rFonts w:hint="eastAsia" w:ascii="宋体" w:hAnsi="宋体" w:cs="宋体"/>
        </w:rPr>
        <w:t xml:space="preserve"> 为明举人叶孟昭、叶孟芳立。</w:t>
      </w:r>
    </w:p>
    <w:p w14:paraId="0DFE9EA7">
      <w:pPr>
        <w:ind w:firstLine="422"/>
        <w:rPr>
          <w:rFonts w:ascii="宋体" w:hAnsi="宋体" w:cs="宋体"/>
        </w:rPr>
      </w:pPr>
      <w:r>
        <w:rPr>
          <w:rFonts w:hint="eastAsia" w:ascii="宋体" w:hAnsi="宋体" w:cs="宋体"/>
          <w:b/>
          <w:bCs/>
        </w:rPr>
        <w:t xml:space="preserve">进士 </w:t>
      </w:r>
      <w:r>
        <w:rPr>
          <w:rFonts w:hint="eastAsia" w:ascii="宋体" w:hAnsi="宋体" w:cs="宋体"/>
        </w:rPr>
        <w:t xml:space="preserve"> 有三：一为邱必明，一为邱文翰立，一为谭大初。</w:t>
      </w:r>
    </w:p>
    <w:p w14:paraId="320B2D02">
      <w:pPr>
        <w:ind w:firstLine="422"/>
        <w:rPr>
          <w:rFonts w:ascii="宋体" w:hAnsi="宋体" w:cs="宋体"/>
        </w:rPr>
      </w:pPr>
      <w:r>
        <w:rPr>
          <w:rFonts w:hint="eastAsia" w:ascii="宋体" w:hAnsi="宋体" w:cs="宋体"/>
          <w:b/>
          <w:bCs/>
        </w:rPr>
        <w:t xml:space="preserve">擢魁 </w:t>
      </w:r>
      <w:r>
        <w:rPr>
          <w:rFonts w:hint="eastAsia" w:ascii="宋体" w:hAnsi="宋体" w:cs="宋体"/>
        </w:rPr>
        <w:t xml:space="preserve"> 有三：一为宋特科陈淑秀，一为明举人李子谦，一为明举人、教授李孜。</w:t>
      </w:r>
    </w:p>
    <w:p w14:paraId="03EF89F0">
      <w:pPr>
        <w:ind w:firstLine="422"/>
        <w:rPr>
          <w:rFonts w:ascii="宋体" w:hAnsi="宋体" w:cs="宋体"/>
        </w:rPr>
      </w:pPr>
      <w:r>
        <w:rPr>
          <w:rFonts w:hint="eastAsia" w:ascii="宋体" w:hAnsi="宋体" w:cs="宋体"/>
          <w:b/>
          <w:bCs/>
        </w:rPr>
        <w:t xml:space="preserve">解元  </w:t>
      </w:r>
      <w:r>
        <w:rPr>
          <w:rFonts w:hint="eastAsia" w:ascii="宋体" w:hAnsi="宋体" w:cs="宋体"/>
        </w:rPr>
        <w:t>为陈纲、李昕立。</w:t>
      </w:r>
    </w:p>
    <w:p w14:paraId="2C18F6B8">
      <w:pPr>
        <w:ind w:firstLine="422"/>
        <w:rPr>
          <w:rFonts w:ascii="宋体" w:hAnsi="宋体" w:cs="宋体"/>
        </w:rPr>
      </w:pPr>
      <w:r>
        <w:rPr>
          <w:rFonts w:hint="eastAsia" w:ascii="宋体" w:hAnsi="宋体" w:cs="宋体"/>
          <w:b/>
          <w:bCs/>
        </w:rPr>
        <w:t xml:space="preserve">登云 </w:t>
      </w:r>
      <w:r>
        <w:rPr>
          <w:rFonts w:hint="eastAsia" w:ascii="宋体" w:hAnsi="宋体" w:cs="宋体"/>
        </w:rPr>
        <w:t xml:space="preserve"> 有三：分别为明永乐举人蔡景春、陈逊、钟复初立。</w:t>
      </w:r>
    </w:p>
    <w:p w14:paraId="148DBF13">
      <w:pPr>
        <w:ind w:firstLine="422"/>
        <w:rPr>
          <w:rFonts w:ascii="宋体" w:hAnsi="宋体" w:cs="宋体"/>
        </w:rPr>
      </w:pPr>
      <w:r>
        <w:rPr>
          <w:rFonts w:hint="eastAsia" w:ascii="宋体" w:hAnsi="宋体" w:cs="宋体"/>
          <w:b/>
          <w:bCs/>
        </w:rPr>
        <w:t xml:space="preserve">经魁 </w:t>
      </w:r>
      <w:r>
        <w:rPr>
          <w:rFonts w:hint="eastAsia" w:ascii="宋体" w:hAnsi="宋体" w:cs="宋体"/>
        </w:rPr>
        <w:t xml:space="preserve"> 有二：一为明宣德利用，一为明景泰李绞。</w:t>
      </w:r>
    </w:p>
    <w:p w14:paraId="78BD6A75">
      <w:pPr>
        <w:ind w:firstLine="422"/>
        <w:rPr>
          <w:rFonts w:ascii="宋体" w:hAnsi="宋体" w:cs="宋体"/>
        </w:rPr>
      </w:pPr>
      <w:r>
        <w:rPr>
          <w:rFonts w:hint="eastAsia" w:ascii="宋体" w:hAnsi="宋体" w:cs="宋体"/>
          <w:b/>
          <w:bCs/>
        </w:rPr>
        <w:t xml:space="preserve">文奎 </w:t>
      </w:r>
      <w:r>
        <w:rPr>
          <w:rFonts w:hint="eastAsia" w:ascii="宋体" w:hAnsi="宋体" w:cs="宋体"/>
        </w:rPr>
        <w:t xml:space="preserve"> 有二：一为始兴明成化举人黄贯，一为明弘治举人王文钦。</w:t>
      </w:r>
    </w:p>
    <w:p w14:paraId="585E15A4">
      <w:pPr>
        <w:ind w:firstLine="422"/>
        <w:rPr>
          <w:rFonts w:ascii="宋体" w:hAnsi="宋体" w:cs="宋体"/>
        </w:rPr>
      </w:pPr>
      <w:r>
        <w:rPr>
          <w:rFonts w:hint="eastAsia" w:ascii="宋体" w:hAnsi="宋体" w:cs="宋体"/>
          <w:b/>
          <w:bCs/>
        </w:rPr>
        <w:t xml:space="preserve">横秋鵰鹗  </w:t>
      </w:r>
      <w:r>
        <w:rPr>
          <w:rFonts w:hint="eastAsia" w:ascii="宋体" w:hAnsi="宋体" w:cs="宋体"/>
        </w:rPr>
        <w:t>为明嘉靖举人胡大庆立。</w:t>
      </w:r>
    </w:p>
    <w:p w14:paraId="1001254C">
      <w:pPr>
        <w:ind w:firstLine="422"/>
        <w:rPr>
          <w:rFonts w:ascii="宋体" w:hAnsi="宋体" w:cs="宋体"/>
        </w:rPr>
      </w:pPr>
      <w:r>
        <w:rPr>
          <w:rFonts w:hint="eastAsia" w:ascii="宋体" w:hAnsi="宋体" w:cs="宋体"/>
          <w:b/>
          <w:bCs/>
        </w:rPr>
        <w:t xml:space="preserve">首际龙飞 </w:t>
      </w:r>
      <w:r>
        <w:rPr>
          <w:rFonts w:hint="eastAsia" w:ascii="宋体" w:hAnsi="宋体" w:cs="宋体"/>
        </w:rPr>
        <w:t xml:space="preserve"> 为明隆庆举人陈嘉音立。</w:t>
      </w:r>
    </w:p>
    <w:p w14:paraId="1E47EA34">
      <w:pPr>
        <w:ind w:firstLine="422"/>
        <w:rPr>
          <w:rFonts w:ascii="宋体" w:hAnsi="宋体" w:cs="宋体"/>
        </w:rPr>
      </w:pPr>
      <w:r>
        <w:rPr>
          <w:rFonts w:hint="eastAsia" w:ascii="宋体" w:hAnsi="宋体" w:cs="宋体"/>
          <w:b/>
          <w:bCs/>
        </w:rPr>
        <w:t xml:space="preserve">桂林一枝 </w:t>
      </w:r>
      <w:r>
        <w:rPr>
          <w:rFonts w:hint="eastAsia" w:ascii="宋体" w:hAnsi="宋体" w:cs="宋体"/>
        </w:rPr>
        <w:t xml:space="preserve"> 为明正德举人郭繁立。</w:t>
      </w:r>
    </w:p>
    <w:p w14:paraId="350DA38F">
      <w:pPr>
        <w:pStyle w:val="4"/>
        <w:rPr>
          <w:rFonts w:ascii="宋体" w:hAnsi="宋体" w:cs="宋体"/>
        </w:rPr>
      </w:pPr>
      <w:r>
        <w:rPr>
          <w:rFonts w:hint="eastAsia" w:ascii="宋体" w:hAnsi="宋体" w:cs="宋体"/>
        </w:rPr>
        <w:t>第四节  古塔  古桥  古井</w:t>
      </w:r>
    </w:p>
    <w:p w14:paraId="7F9DB6B3">
      <w:pPr>
        <w:pStyle w:val="5"/>
        <w:rPr>
          <w:rFonts w:ascii="宋体" w:hAnsi="宋体" w:cs="宋体"/>
        </w:rPr>
      </w:pPr>
      <w:r>
        <w:rPr>
          <w:rFonts w:hint="eastAsia" w:ascii="宋体" w:hAnsi="宋体" w:cs="宋体"/>
        </w:rPr>
        <w:t>一、古塔</w:t>
      </w:r>
    </w:p>
    <w:p w14:paraId="491AE205">
      <w:pPr>
        <w:ind w:firstLine="422"/>
        <w:rPr>
          <w:rFonts w:ascii="宋体" w:hAnsi="宋体" w:cs="宋体"/>
        </w:rPr>
      </w:pPr>
      <w:r>
        <w:rPr>
          <w:rFonts w:hint="eastAsia" w:ascii="宋体" w:hAnsi="宋体" w:cs="宋体"/>
          <w:b/>
          <w:bCs/>
        </w:rPr>
        <w:t xml:space="preserve">三影塔 </w:t>
      </w:r>
      <w:r>
        <w:rPr>
          <w:rFonts w:hint="eastAsia" w:ascii="宋体" w:hAnsi="宋体" w:cs="宋体"/>
        </w:rPr>
        <w:t xml:space="preserve"> 三影塔又名延祥寺塔，坐落在城区中部，塔旁原有延祥寺1座，早毁。据《直隶南雄州志》载：“祥符二年（1009年）已酉异人建塔，其影有三，两影倒悬，一影向上，故曰三影塔”，今塔身第2层南面一块青砖刻有“大中祥符二年三月十日”。该塔属全国重点文物保护单位。1981年8月，省、县拨款和南雄旅澳人士卢道和捐款重修，1983年冬竣事。三影塔为9层楼阁式砖塔，塔向南，平面六角形，塔通高（地面至刹顶）50.2米，基座直径8.94米，高1.78米，建有须弥座。整个塔身用青砖平卧顺砌，砖与砖间用黄泥浆黏合，灰缝无岔分，为不定错开的垒叠砌方法，体现了宋塔的特点。塔内铺设楼板16层，每层均有六角形内室，外壁正向六面各开一门，每层檐上均筑平座建栏杆，环置阶梯与各层平座相连，游人可沿塔内转平座而上。</w:t>
      </w:r>
    </w:p>
    <w:p w14:paraId="0A10C471">
      <w:pPr>
        <w:ind w:firstLine="422"/>
        <w:rPr>
          <w:rFonts w:ascii="宋体" w:hAnsi="宋体" w:cs="宋体"/>
        </w:rPr>
      </w:pPr>
      <w:r>
        <w:rPr>
          <w:rFonts w:hint="eastAsia" w:ascii="宋体" w:hAnsi="宋体" w:cs="宋体"/>
          <w:b/>
          <w:bCs/>
        </w:rPr>
        <w:t xml:space="preserve">许村塔 </w:t>
      </w:r>
      <w:r>
        <w:rPr>
          <w:rFonts w:hint="eastAsia" w:ascii="宋体" w:hAnsi="宋体" w:cs="宋体"/>
        </w:rPr>
        <w:t xml:space="preserve"> 位于黄坑镇许村东南200米，塔南向，平面六角，高5层，为楼阁式宋代砖塔。塔顶已毁，第3、4、5层的北面倒塌1/3，残高21米，塔基围21.6米，直径6.35米，墙厚2.3米。被列为南雄市文物保护单位。</w:t>
      </w:r>
    </w:p>
    <w:p w14:paraId="496EDE24">
      <w:pPr>
        <w:ind w:firstLine="422"/>
        <w:rPr>
          <w:rFonts w:ascii="宋体" w:hAnsi="宋体" w:cs="宋体"/>
        </w:rPr>
      </w:pPr>
      <w:r>
        <w:rPr>
          <w:rFonts w:hint="eastAsia" w:ascii="宋体" w:hAnsi="宋体" w:cs="宋体"/>
          <w:b/>
          <w:bCs/>
        </w:rPr>
        <w:t xml:space="preserve">小竹塔 </w:t>
      </w:r>
      <w:r>
        <w:rPr>
          <w:rFonts w:hint="eastAsia" w:ascii="宋体" w:hAnsi="宋体" w:cs="宋体"/>
        </w:rPr>
        <w:t xml:space="preserve"> 宋代砖塔，位于江头镇小竹村。塔向东，平面六角形，5层。今仅存3层，残高9.1米，基围10.8米，直径3.2米。被列为南雄市文物保护单位。</w:t>
      </w:r>
    </w:p>
    <w:p w14:paraId="3F3E0A9B">
      <w:pPr>
        <w:ind w:firstLine="422"/>
        <w:rPr>
          <w:rFonts w:ascii="宋体" w:hAnsi="宋体" w:cs="宋体"/>
        </w:rPr>
      </w:pPr>
      <w:r>
        <w:rPr>
          <w:rFonts w:hint="eastAsia" w:ascii="宋体" w:hAnsi="宋体" w:cs="宋体"/>
          <w:b/>
          <w:bCs/>
        </w:rPr>
        <w:t xml:space="preserve">葛坪塔 </w:t>
      </w:r>
      <w:r>
        <w:rPr>
          <w:rFonts w:hint="eastAsia" w:ascii="宋体" w:hAnsi="宋体" w:cs="宋体"/>
        </w:rPr>
        <w:t xml:space="preserve"> 宋代砖塔，位于澜河镇葛坪塔下村南1公里处。塔向南，平面六角形，5层。今第5层和塔顶已毁，残高13米，底层直径3.6米，基围12.6米。被列为南雄市文物保护单位。</w:t>
      </w:r>
    </w:p>
    <w:p w14:paraId="7373568A">
      <w:pPr>
        <w:ind w:firstLine="422"/>
        <w:rPr>
          <w:rFonts w:ascii="宋体" w:hAnsi="宋体" w:cs="宋体"/>
        </w:rPr>
      </w:pPr>
      <w:r>
        <w:rPr>
          <w:rFonts w:hint="eastAsia" w:ascii="宋体" w:hAnsi="宋体" w:cs="宋体"/>
          <w:b/>
          <w:bCs/>
        </w:rPr>
        <w:t xml:space="preserve">溪头塔  </w:t>
      </w:r>
      <w:r>
        <w:rPr>
          <w:rFonts w:hint="eastAsia" w:ascii="宋体" w:hAnsi="宋体" w:cs="宋体"/>
        </w:rPr>
        <w:t>位于百顺镇溪头老村脚下，是宋代砖塔。塔向南，平面六角形，5层。今塔顶已毁，残高18米，底层直径3.4米，基围11.34米。被列为南雄市文物保护单位。</w:t>
      </w:r>
    </w:p>
    <w:p w14:paraId="2C4ACE91">
      <w:pPr>
        <w:ind w:firstLine="422"/>
        <w:rPr>
          <w:rFonts w:ascii="宋体" w:hAnsi="宋体" w:cs="宋体"/>
        </w:rPr>
      </w:pPr>
      <w:r>
        <w:rPr>
          <w:rFonts w:hint="eastAsia" w:ascii="宋体" w:hAnsi="宋体" w:cs="宋体"/>
          <w:b/>
          <w:bCs/>
        </w:rPr>
        <w:t xml:space="preserve">回龙寺塔 </w:t>
      </w:r>
      <w:r>
        <w:rPr>
          <w:rFonts w:hint="eastAsia" w:ascii="宋体" w:hAnsi="宋体" w:cs="宋体"/>
        </w:rPr>
        <w:t xml:space="preserve"> 位于湖口镇新湖村罗田，是宋代砖塔，塔北面原有回龙寺1座，早毁。该塔向南，平面六角形，高7层。第5、6、7层已毁，现仅存4层，残高11.8米，塔基围19.5米，直径5.65米。被列为南雄市文物保护单位。</w:t>
      </w:r>
    </w:p>
    <w:p w14:paraId="5619EC02">
      <w:pPr>
        <w:ind w:firstLine="422"/>
        <w:rPr>
          <w:rFonts w:ascii="宋体" w:hAnsi="宋体" w:cs="宋体"/>
        </w:rPr>
      </w:pPr>
      <w:r>
        <w:rPr>
          <w:rFonts w:hint="eastAsia" w:ascii="宋体" w:hAnsi="宋体" w:cs="宋体"/>
          <w:b/>
          <w:bCs/>
        </w:rPr>
        <w:t xml:space="preserve">新龙塔 </w:t>
      </w:r>
      <w:r>
        <w:rPr>
          <w:rFonts w:hint="eastAsia" w:ascii="宋体" w:hAnsi="宋体" w:cs="宋体"/>
        </w:rPr>
        <w:t xml:space="preserve"> 位于坪田镇龙口村，宋代砖塔，塔向北，平面六角形，5层，今塔顶刹已毁，残高21.4米，基围19.2米，直径5.6米，被列为南雄市文物保护单位。</w:t>
      </w:r>
    </w:p>
    <w:p w14:paraId="1851C317">
      <w:pPr>
        <w:ind w:firstLine="422"/>
        <w:rPr>
          <w:rFonts w:ascii="宋体" w:hAnsi="宋体" w:cs="宋体"/>
        </w:rPr>
      </w:pPr>
      <w:r>
        <w:rPr>
          <w:rFonts w:hint="eastAsia" w:ascii="宋体" w:hAnsi="宋体" w:cs="宋体"/>
          <w:b/>
          <w:bCs/>
        </w:rPr>
        <w:t xml:space="preserve">珠玑石塔 </w:t>
      </w:r>
      <w:r>
        <w:rPr>
          <w:rFonts w:hint="eastAsia" w:ascii="宋体" w:hAnsi="宋体" w:cs="宋体"/>
        </w:rPr>
        <w:t xml:space="preserve"> 该塔位于珠玑巷，相传为纪念皇妃而建，又名“贵妃塔”。平面八角形，7层，实心，全塔共用17块红色砂质岩雕刻后垒叠而成。石塔通高3.36米，基座直径1.2米，高24厘米。第1层为莲花座，上有八角柱体，柱体上刻有“四大天王”浮雕，并刻有“元至正庚寅（1350年）孟冬十月，南雄路同知孙朝列重立”。该塔造型奇特，雕刻粗放，佛像栩栩如生，具有元朝古塔特点，是广东省唯一有绝对年代石塔。“文化大革命”时期，石塔曾被群众拆下收藏。其中第7层鼓形塔身已丢失。1984年建护塔亭时，依原貌重新雕石补上。今列为广东省文物保护单位。</w:t>
      </w:r>
    </w:p>
    <w:p w14:paraId="4E3ED3E6">
      <w:pPr>
        <w:ind w:firstLine="422"/>
        <w:rPr>
          <w:rFonts w:ascii="宋体" w:hAnsi="宋体" w:cs="宋体"/>
        </w:rPr>
      </w:pPr>
      <w:r>
        <w:rPr>
          <w:rFonts w:hint="eastAsia" w:ascii="宋体" w:hAnsi="宋体" w:cs="宋体"/>
          <w:b/>
          <w:bCs/>
        </w:rPr>
        <w:t xml:space="preserve">平林惜字塔  </w:t>
      </w:r>
      <w:r>
        <w:rPr>
          <w:rFonts w:hint="eastAsia" w:ascii="宋体" w:hAnsi="宋体" w:cs="宋体"/>
        </w:rPr>
        <w:t>明末砖塔，位于油山镇坪林村西0.5公里处，建于河旁台地桥头。塔向南，平面六角形，3层，高9米，塔底层直径1.25米，被列为南雄市文物保护单位。</w:t>
      </w:r>
    </w:p>
    <w:p w14:paraId="739B47FC">
      <w:pPr>
        <w:ind w:firstLine="422"/>
        <w:rPr>
          <w:rFonts w:ascii="宋体" w:hAnsi="宋体" w:cs="宋体"/>
        </w:rPr>
      </w:pPr>
      <w:r>
        <w:rPr>
          <w:rFonts w:hint="eastAsia" w:ascii="宋体" w:hAnsi="宋体" w:cs="宋体"/>
          <w:b/>
          <w:bCs/>
        </w:rPr>
        <w:t>上朔塔</w:t>
      </w:r>
      <w:r>
        <w:rPr>
          <w:rFonts w:hint="eastAsia" w:ascii="宋体" w:hAnsi="宋体" w:cs="宋体"/>
        </w:rPr>
        <w:t xml:space="preserve">  清代砖塔，位于油山镇上朔村五指山上，塔南向，平面六角形，7层，高26米，底座直径4.96米，基围15.96米。今塔保存完好，唯塔身抹灰大部分脱落。被列为南雄市文物保护单位。</w:t>
      </w:r>
    </w:p>
    <w:p w14:paraId="27E61DD1">
      <w:pPr>
        <w:pStyle w:val="5"/>
        <w:rPr>
          <w:rFonts w:ascii="宋体" w:hAnsi="宋体" w:cs="宋体"/>
        </w:rPr>
      </w:pPr>
      <w:r>
        <w:rPr>
          <w:rFonts w:hint="eastAsia" w:ascii="宋体" w:hAnsi="宋体" w:cs="宋体"/>
        </w:rPr>
        <w:t>二、古桥</w:t>
      </w:r>
    </w:p>
    <w:p w14:paraId="1EAA901D">
      <w:pPr>
        <w:ind w:firstLine="422"/>
        <w:rPr>
          <w:rFonts w:ascii="宋体" w:hAnsi="宋体" w:cs="宋体"/>
        </w:rPr>
      </w:pPr>
      <w:r>
        <w:rPr>
          <w:rFonts w:hint="eastAsia" w:ascii="宋体" w:hAnsi="宋体" w:cs="宋体"/>
          <w:b/>
          <w:bCs/>
        </w:rPr>
        <w:t xml:space="preserve">河南桥  </w:t>
      </w:r>
      <w:r>
        <w:rPr>
          <w:rFonts w:hint="eastAsia" w:ascii="宋体" w:hAnsi="宋体" w:cs="宋体"/>
        </w:rPr>
        <w:t>位于城南，横跨浈江。始建于宋开禧二年（1206年），原称平政桥，后称万寿桥，太平桥。清末改称河南桥。原为石砌拱桥，墩孔。经多次修建，今为钢筋水泥结构桥面，古桥风貌犹存。</w:t>
      </w:r>
    </w:p>
    <w:p w14:paraId="060ECA7D">
      <w:pPr>
        <w:ind w:firstLine="422"/>
        <w:rPr>
          <w:rFonts w:ascii="宋体" w:hAnsi="宋体" w:cs="宋体"/>
        </w:rPr>
      </w:pPr>
      <w:r>
        <w:rPr>
          <w:rFonts w:hint="eastAsia" w:ascii="宋体" w:hAnsi="宋体" w:cs="宋体"/>
          <w:b/>
          <w:bCs/>
        </w:rPr>
        <w:t>凤凰桥</w:t>
      </w:r>
      <w:r>
        <w:rPr>
          <w:rFonts w:hint="eastAsia" w:ascii="宋体" w:hAnsi="宋体" w:cs="宋体"/>
        </w:rPr>
        <w:t xml:space="preserve">  在珠玑巷北200米处，原为梅关驿道上重要桥梁。《直隶南雄州志》载：“凤凰桥，城东北三十里，宋景德四年，凤凰翔集，故得名”。原桥宽4米，墩以麻石叠砌。1962年重修，桥墩保留原貌，桥面改用水泥结构，宽7.11米，长23米。为雄余公路桥。</w:t>
      </w:r>
    </w:p>
    <w:p w14:paraId="22511FEE">
      <w:pPr>
        <w:ind w:firstLine="422"/>
        <w:rPr>
          <w:rFonts w:ascii="宋体" w:hAnsi="宋体" w:cs="宋体"/>
        </w:rPr>
      </w:pPr>
      <w:r>
        <w:rPr>
          <w:rFonts w:hint="eastAsia" w:ascii="宋体" w:hAnsi="宋体" w:cs="宋体"/>
          <w:b/>
          <w:bCs/>
        </w:rPr>
        <w:t xml:space="preserve">多稼桥  </w:t>
      </w:r>
      <w:r>
        <w:rPr>
          <w:rFonts w:hint="eastAsia" w:ascii="宋体" w:hAnsi="宋体" w:cs="宋体"/>
        </w:rPr>
        <w:t>旧名接龙桥。位于城西北1.5公里田边水村，明成化元年（1465年）南雄新千户谭以总建。道光三年（1823年）南雄知州戴锡纶重修。桥长60.28米，宽3.6米，共有8拱，拱宽7米，拱高2米。桥面用137块青石平铺砌成，至今保留完好。</w:t>
      </w:r>
    </w:p>
    <w:p w14:paraId="0BAE3E4F">
      <w:pPr>
        <w:ind w:firstLine="422"/>
        <w:rPr>
          <w:rFonts w:ascii="宋体" w:hAnsi="宋体" w:cs="宋体"/>
        </w:rPr>
      </w:pPr>
      <w:r>
        <w:rPr>
          <w:rFonts w:hint="eastAsia" w:ascii="宋体" w:hAnsi="宋体" w:cs="宋体"/>
          <w:b/>
          <w:bCs/>
        </w:rPr>
        <w:t xml:space="preserve">水西桥 </w:t>
      </w:r>
      <w:r>
        <w:rPr>
          <w:rFonts w:hint="eastAsia" w:ascii="宋体" w:hAnsi="宋体" w:cs="宋体"/>
        </w:rPr>
        <w:t xml:space="preserve"> 原建于宋代，称西津桥。位于城郊水西村。明万历年间重建，易名万年桥。桥长104米，宽4.3米，高约5米，由7墩8孔组成，桥墩有鹅胸形分水设置，桥上设有栏杆，高50厘米。西桥头有古榕一株。1987年水西村民李云高等倡募集资修建桥面，改为钢筋水泥结构。</w:t>
      </w:r>
    </w:p>
    <w:p w14:paraId="4FA48AA0">
      <w:pPr>
        <w:ind w:firstLine="422"/>
        <w:rPr>
          <w:rFonts w:ascii="宋体" w:hAnsi="宋体" w:cs="宋体"/>
        </w:rPr>
      </w:pPr>
      <w:r>
        <w:rPr>
          <w:rFonts w:hint="eastAsia" w:ascii="宋体" w:hAnsi="宋体" w:cs="宋体"/>
          <w:b/>
          <w:bCs/>
        </w:rPr>
        <w:t xml:space="preserve">新田桥 </w:t>
      </w:r>
      <w:r>
        <w:rPr>
          <w:rFonts w:hint="eastAsia" w:ascii="宋体" w:hAnsi="宋体" w:cs="宋体"/>
        </w:rPr>
        <w:t xml:space="preserve"> 位于乌迳镇新田圩，横跨昌水，桥长77米，宽3.5米；桥面用麻石平铺而成。全桥共7墩8孔，以松树作墩基，墩有鹅胸形排水设置。桥高5.6米，孔高5米，孔宽6.6米，桥北碑文记载：“建于清代光绪十三年岁次丁亥十一月”。该桥至今保存完整。</w:t>
      </w:r>
    </w:p>
    <w:p w14:paraId="5C2BA046">
      <w:pPr>
        <w:ind w:firstLine="422"/>
        <w:rPr>
          <w:rFonts w:ascii="宋体" w:hAnsi="宋体" w:cs="宋体"/>
        </w:rPr>
      </w:pPr>
      <w:r>
        <w:rPr>
          <w:rFonts w:hint="eastAsia" w:ascii="宋体" w:hAnsi="宋体" w:cs="宋体"/>
          <w:b/>
          <w:bCs/>
        </w:rPr>
        <w:t xml:space="preserve">溪头桥  </w:t>
      </w:r>
      <w:r>
        <w:rPr>
          <w:rFonts w:hint="eastAsia" w:ascii="宋体" w:hAnsi="宋体" w:cs="宋体"/>
        </w:rPr>
        <w:t>该桥位于百顺镇溪头村。建于清代。为单拱石筑平桥，长6.8米、宽2.6米，拱高4.1米。桥头两面各置有5级踏步。为古代南雄城通往百顺司的主要桥梁。</w:t>
      </w:r>
    </w:p>
    <w:p w14:paraId="09D0F4A1">
      <w:pPr>
        <w:pStyle w:val="5"/>
        <w:rPr>
          <w:rFonts w:ascii="宋体" w:hAnsi="宋体" w:cs="宋体"/>
        </w:rPr>
      </w:pPr>
      <w:r>
        <w:rPr>
          <w:rFonts w:hint="eastAsia" w:ascii="宋体" w:hAnsi="宋体" w:cs="宋体"/>
        </w:rPr>
        <w:t>三、古井</w:t>
      </w:r>
    </w:p>
    <w:p w14:paraId="3BD6EA8C">
      <w:pPr>
        <w:ind w:firstLine="422"/>
        <w:rPr>
          <w:rFonts w:ascii="宋体" w:hAnsi="宋体" w:cs="宋体"/>
        </w:rPr>
      </w:pPr>
      <w:r>
        <w:rPr>
          <w:rFonts w:hint="eastAsia" w:ascii="宋体" w:hAnsi="宋体" w:cs="宋体"/>
          <w:b/>
          <w:bCs/>
        </w:rPr>
        <w:t>罗汉井</w:t>
      </w:r>
      <w:r>
        <w:rPr>
          <w:rFonts w:hint="eastAsia" w:ascii="宋体" w:hAnsi="宋体" w:cs="宋体"/>
        </w:rPr>
        <w:t xml:space="preserve">  位于城区罗汉井街，明代所建。井台、石栏等建筑基本完整。石栏成圆形，似谷箩倒放貌，并刻有“罗汉井”3字。井深约9米，井水清澈。</w:t>
      </w:r>
    </w:p>
    <w:p w14:paraId="7AFF6558">
      <w:pPr>
        <w:ind w:firstLine="422"/>
        <w:rPr>
          <w:rFonts w:ascii="宋体" w:hAnsi="宋体" w:cs="宋体"/>
        </w:rPr>
      </w:pPr>
      <w:r>
        <w:rPr>
          <w:rFonts w:hint="eastAsia" w:ascii="宋体" w:hAnsi="宋体" w:cs="宋体"/>
          <w:b/>
          <w:bCs/>
        </w:rPr>
        <w:t xml:space="preserve">雷公井 </w:t>
      </w:r>
      <w:r>
        <w:rPr>
          <w:rFonts w:hint="eastAsia" w:ascii="宋体" w:hAnsi="宋体" w:cs="宋体"/>
        </w:rPr>
        <w:t xml:space="preserve"> 又称凤凰井，位于全安镇古塘村，明代所建，井栏原为圆形，“文化大革命”时毁。重修时为方形，栏高55厘米，口径1.02米，井深2.44米；井水清澈，终年不绝，夜间尤甚。</w:t>
      </w:r>
    </w:p>
    <w:p w14:paraId="42EB28B9">
      <w:pPr>
        <w:ind w:firstLine="422"/>
        <w:rPr>
          <w:rFonts w:ascii="宋体" w:hAnsi="宋体" w:cs="宋体"/>
        </w:rPr>
      </w:pPr>
      <w:r>
        <w:rPr>
          <w:rFonts w:hint="eastAsia" w:ascii="宋体" w:hAnsi="宋体" w:cs="宋体"/>
          <w:b/>
          <w:bCs/>
        </w:rPr>
        <w:t xml:space="preserve">四方井  </w:t>
      </w:r>
      <w:r>
        <w:rPr>
          <w:rFonts w:hint="eastAsia" w:ascii="宋体" w:hAnsi="宋体" w:cs="宋体"/>
        </w:rPr>
        <w:t>位于城区马路口街，清代所建，该井面石栏为四方形，用四块红砂石块嵌成，高52厘米，宽1.75米，井身是黄泥结构，宽3米～5米，井深约8.5米，四季井水不绝，供应马路口全街居民食用。</w:t>
      </w:r>
    </w:p>
    <w:p w14:paraId="79AE570B">
      <w:pPr>
        <w:ind w:firstLine="422"/>
        <w:rPr>
          <w:rFonts w:ascii="宋体" w:hAnsi="宋体" w:cs="宋体"/>
        </w:rPr>
      </w:pPr>
      <w:r>
        <w:rPr>
          <w:rFonts w:hint="eastAsia" w:ascii="宋体" w:hAnsi="宋体" w:cs="宋体"/>
          <w:b/>
          <w:bCs/>
        </w:rPr>
        <w:t xml:space="preserve">仙水井  </w:t>
      </w:r>
      <w:r>
        <w:rPr>
          <w:rFonts w:hint="eastAsia" w:ascii="宋体" w:hAnsi="宋体" w:cs="宋体"/>
        </w:rPr>
        <w:t>位于城郊仙水地村，砂岩石结构，井外径70厘米，内径60厘米，井栏为圆形，栏高40厘米，井深约3.4米，井水清澈，终年不绝，由井口溢流而出。井边原有一庙，庙门对联：“仙水不竭千年盛，水源长流万载兴”。庙早毁。</w:t>
      </w:r>
    </w:p>
    <w:p w14:paraId="6C43B19E">
      <w:pPr>
        <w:ind w:firstLine="422"/>
        <w:rPr>
          <w:rFonts w:ascii="宋体" w:hAnsi="宋体" w:cs="宋体"/>
        </w:rPr>
      </w:pPr>
      <w:r>
        <w:rPr>
          <w:rFonts w:hint="eastAsia" w:ascii="宋体" w:hAnsi="宋体" w:cs="宋体"/>
          <w:b/>
          <w:bCs/>
        </w:rPr>
        <w:t xml:space="preserve">三秀井  </w:t>
      </w:r>
      <w:r>
        <w:rPr>
          <w:rFonts w:hint="eastAsia" w:ascii="宋体" w:hAnsi="宋体" w:cs="宋体"/>
        </w:rPr>
        <w:t>该井位于城区维新路三秀街内。建于清代。平面长方形，井栏为沙质岩石筑成，高0.45米。井壁为青砖砌，井深约2.5米，井水清澈，终年不绝。原井水溢出井栏外，今离栏高约60厘米。据说清光绪年间，这条街有3个秀才，分别叫邓学田、何树初、邱盛尧，故称三秀街。3位秀才乐善好施，热心街坊福利事业而倡建挖井，故称三秀井。</w:t>
      </w:r>
    </w:p>
    <w:p w14:paraId="36F9D99E">
      <w:pPr>
        <w:ind w:firstLine="422"/>
        <w:rPr>
          <w:rFonts w:ascii="宋体" w:hAnsi="宋体" w:cs="宋体"/>
        </w:rPr>
      </w:pPr>
      <w:r>
        <w:rPr>
          <w:rFonts w:hint="eastAsia" w:ascii="宋体" w:hAnsi="宋体" w:cs="宋体"/>
          <w:b/>
          <w:bCs/>
        </w:rPr>
        <w:t xml:space="preserve">南门井 </w:t>
      </w:r>
      <w:r>
        <w:rPr>
          <w:rFonts w:hint="eastAsia" w:ascii="宋体" w:hAnsi="宋体" w:cs="宋体"/>
        </w:rPr>
        <w:t xml:space="preserve"> 位于城区利民路。清光绪年间重修。平面圆形，井栏为沙质岩石结构，高45厘米，外径75厘米，内径60厘米，井深约4米。井壁为青砖砌，保存尚好。其水清澈甘洌。</w:t>
      </w:r>
    </w:p>
    <w:p w14:paraId="1593CAC7">
      <w:pPr>
        <w:ind w:firstLine="422"/>
        <w:rPr>
          <w:rFonts w:ascii="宋体" w:hAnsi="宋体" w:cs="宋体"/>
        </w:rPr>
      </w:pPr>
      <w:r>
        <w:rPr>
          <w:rFonts w:hint="eastAsia" w:ascii="宋体" w:hAnsi="宋体" w:cs="宋体"/>
          <w:b/>
          <w:bCs/>
        </w:rPr>
        <w:t xml:space="preserve">九龙井 </w:t>
      </w:r>
      <w:r>
        <w:rPr>
          <w:rFonts w:hint="eastAsia" w:ascii="宋体" w:hAnsi="宋体" w:cs="宋体"/>
        </w:rPr>
        <w:t xml:space="preserve"> 原名九眼井，因为九眼泉从地底涌出，聚集成井而得名。建于宋代，在今珠玑巷陈氏大宗祠门口处。传说因九龙井中藏有皇宫宝物九龙杯而得名。</w:t>
      </w:r>
    </w:p>
    <w:p w14:paraId="52787692">
      <w:pPr>
        <w:pStyle w:val="4"/>
        <w:rPr>
          <w:rFonts w:ascii="宋体" w:hAnsi="宋体" w:cs="宋体"/>
        </w:rPr>
      </w:pPr>
      <w:r>
        <w:rPr>
          <w:rFonts w:hint="eastAsia" w:ascii="宋体" w:hAnsi="宋体" w:cs="宋体"/>
        </w:rPr>
        <w:t>第五节  石刻  石雕</w:t>
      </w:r>
    </w:p>
    <w:p w14:paraId="311CF244">
      <w:pPr>
        <w:pStyle w:val="5"/>
        <w:rPr>
          <w:rFonts w:ascii="宋体" w:hAnsi="宋体" w:cs="宋体"/>
        </w:rPr>
      </w:pPr>
      <w:r>
        <w:rPr>
          <w:rFonts w:hint="eastAsia" w:ascii="宋体" w:hAnsi="宋体" w:cs="宋体"/>
        </w:rPr>
        <w:t>一、摩崖石刻</w:t>
      </w:r>
    </w:p>
    <w:p w14:paraId="63C01CFF">
      <w:pPr>
        <w:ind w:firstLine="422"/>
        <w:rPr>
          <w:rFonts w:ascii="宋体" w:hAnsi="宋体" w:cs="宋体"/>
        </w:rPr>
      </w:pPr>
      <w:r>
        <w:rPr>
          <w:rFonts w:hint="eastAsia" w:ascii="宋体" w:hAnsi="宋体" w:cs="宋体"/>
          <w:b/>
          <w:bCs/>
        </w:rPr>
        <w:t xml:space="preserve">钟鼓岩摩崖石刻 </w:t>
      </w:r>
      <w:r>
        <w:rPr>
          <w:rFonts w:hint="eastAsia" w:ascii="宋体" w:hAnsi="宋体" w:cs="宋体"/>
        </w:rPr>
        <w:t xml:space="preserve"> 共有23处。主要石刻有诸仙岩诗：“翠屏福洞本天然，石榻生成任我眠。呼吸绵绵根蒂固，金丹练就一珠园。”落款：“同治辛未，南山道人题。弟子潘至权敬刊”。还有“万福洞”、“上清景”、“八极殿”、“龙王洞”、“灵台阁”题刻，以及钟岩诗：“岭畔梅花别有天，一钟一鼓且随缘。拂来羽袖云堆里，驾鹤长空访古仙。”落款：“同治辛未，南山道人题。弟子潘至权敬刊。”凤凰石诗：“凤凰石容娇巧艳，雄姿屹立倚南天。奕彩风度自然美，仪悦含笑览逢仙。”落款：“长望题”、玩月台诗：“秋夜赏景兴致饶，一轮银月太空飘。桂喷花香无间隙，仰望嫦娥歌舞娇。”落款：“观雨题”等。“诸仙岩”落款为“东坡书”，“万福洞”落款为“大唐吕岩书”。“万福洞”每字长宽为50厘米×30厘米，为钟鼓岩摩崖石刻之最大者。玩月台诗，每字长宽为2.5厘米×2.5厘米，为钟鼓岩摩崖石刻之最小者。</w:t>
      </w:r>
    </w:p>
    <w:p w14:paraId="72A145CF">
      <w:pPr>
        <w:ind w:firstLine="422"/>
        <w:rPr>
          <w:rFonts w:ascii="宋体" w:hAnsi="宋体" w:cs="宋体"/>
        </w:rPr>
      </w:pPr>
      <w:r>
        <w:rPr>
          <w:rFonts w:hint="eastAsia" w:ascii="宋体" w:hAnsi="宋体" w:cs="宋体"/>
          <w:b/>
          <w:bCs/>
        </w:rPr>
        <w:t xml:space="preserve">杨历岩摩崖石刻 </w:t>
      </w:r>
      <w:r>
        <w:rPr>
          <w:rFonts w:hint="eastAsia" w:ascii="宋体" w:hAnsi="宋体" w:cs="宋体"/>
        </w:rPr>
        <w:t xml:space="preserve"> 共有4处：“飞泉岩”、“水景”、“天然丝竹”及杨历岩诗：“众山一览尽包罗，瀑布高悬泻水多。生佛依稀邻大士，灵岩突兀坐弥陀。松风明月幽人赏，花雨慈云孺子歌。真武殿前参妙谛，惟予静养悔蹉跎。”落款：“民国十九年仲夏江西泰和欧阳翱甫羽皋漫题”，“飞泉岩”3字长宽为1.4米×0.8米。</w:t>
      </w:r>
    </w:p>
    <w:p w14:paraId="01BA3702">
      <w:pPr>
        <w:ind w:firstLine="422"/>
        <w:rPr>
          <w:rFonts w:ascii="宋体" w:hAnsi="宋体" w:cs="宋体"/>
        </w:rPr>
      </w:pPr>
      <w:r>
        <w:rPr>
          <w:rFonts w:hint="eastAsia" w:ascii="宋体" w:hAnsi="宋体" w:cs="宋体"/>
          <w:b/>
          <w:bCs/>
        </w:rPr>
        <w:t xml:space="preserve">真仙岩摩崖石刻 </w:t>
      </w:r>
      <w:r>
        <w:rPr>
          <w:rFonts w:hint="eastAsia" w:ascii="宋体" w:hAnsi="宋体" w:cs="宋体"/>
        </w:rPr>
        <w:t xml:space="preserve"> 位于大塘镇古城村北1公里，石刻共有2处，“天峰山”3字长宽为5米×1.3米；“朝阳岩”3字长宽为1.3×0.5米，均无落款，因年代久远，字迹模糊。《直隶南雄州志》载，唐卫国公李德裕谪雷州经此，优游偃息数月。宋苏东坡谪岭南亦曾经此一游，在真仙岩壁上大书“石髓横开”4字。</w:t>
      </w:r>
    </w:p>
    <w:p w14:paraId="67EF10AF">
      <w:pPr>
        <w:pStyle w:val="5"/>
        <w:rPr>
          <w:rFonts w:ascii="宋体" w:hAnsi="宋体" w:cs="宋体"/>
        </w:rPr>
      </w:pPr>
      <w:r>
        <w:rPr>
          <w:rFonts w:hint="eastAsia" w:ascii="宋体" w:hAnsi="宋体" w:cs="宋体"/>
        </w:rPr>
        <w:t>二、碑刻</w:t>
      </w:r>
    </w:p>
    <w:p w14:paraId="2897B6BD">
      <w:pPr>
        <w:ind w:firstLine="422"/>
        <w:rPr>
          <w:rFonts w:ascii="宋体" w:hAnsi="宋体" w:cs="宋体"/>
        </w:rPr>
      </w:pPr>
      <w:r>
        <w:rPr>
          <w:rFonts w:hint="eastAsia" w:ascii="宋体" w:hAnsi="宋体" w:cs="宋体"/>
          <w:b/>
          <w:bCs/>
        </w:rPr>
        <w:t>唐丞相张文献公开凿大庾岭路之碑</w:t>
      </w:r>
    </w:p>
    <w:p w14:paraId="46971452">
      <w:pPr>
        <w:ind w:firstLine="420"/>
        <w:rPr>
          <w:rFonts w:ascii="宋体" w:hAnsi="宋体" w:cs="宋体"/>
        </w:rPr>
      </w:pPr>
      <w:r>
        <w:rPr>
          <w:rFonts w:hint="eastAsia" w:ascii="宋体" w:hAnsi="宋体" w:cs="宋体"/>
        </w:rPr>
        <w:t>大唐开凿大庾岭路碑</w:t>
      </w:r>
    </w:p>
    <w:p w14:paraId="48AFDDA1">
      <w:pPr>
        <w:ind w:firstLine="420"/>
        <w:rPr>
          <w:rFonts w:ascii="宋体" w:hAnsi="宋体" w:cs="宋体"/>
        </w:rPr>
      </w:pPr>
      <w:r>
        <w:rPr>
          <w:rFonts w:hint="eastAsia" w:ascii="宋体" w:hAnsi="宋体" w:cs="宋体"/>
        </w:rPr>
        <w:t>金紫光禄大夫中书令始兴郡伯  荆州大都督谥文献曲江张九龄序</w:t>
      </w:r>
    </w:p>
    <w:p w14:paraId="014F56A3">
      <w:pPr>
        <w:ind w:firstLine="420"/>
        <w:rPr>
          <w:rFonts w:ascii="宋体" w:hAnsi="宋体" w:cs="宋体"/>
        </w:rPr>
      </w:pPr>
      <w:r>
        <w:rPr>
          <w:rFonts w:hint="eastAsia" w:ascii="宋体" w:hAnsi="宋体" w:cs="宋体"/>
        </w:rPr>
        <w:t>秘书详正学士给事中魏山公赠吏部侍郎武功苏诜铭</w:t>
      </w:r>
    </w:p>
    <w:p w14:paraId="7BC6665A">
      <w:pPr>
        <w:ind w:firstLine="420"/>
        <w:rPr>
          <w:rFonts w:ascii="宋体" w:hAnsi="宋体" w:cs="宋体"/>
        </w:rPr>
      </w:pPr>
      <w:r>
        <w:rPr>
          <w:rFonts w:hint="eastAsia" w:ascii="宋体" w:hAnsi="宋体" w:cs="宋体"/>
        </w:rPr>
        <w:t>先天二载，龙集癸丑，我皇帝御宇之明年也。理内及外，穷幽极远，日月普烛，舟车运行，无不求其所宁，易其所弊者也。初，岭东废路，人苦峻极。行迳夤缘，数里重林之表，飞梁業嶻，千丈层崖之半。颠跻用惕，崭绝其元。故以载则曾不容轨，以运则负之以背。而海外诸国，日以通商，齿革羽毛之殷，鱼盐蜃蛤之利，上足以备府库之用，下足以赡江淮之求，而越人绵力薄材，荷负夯载，劳亦久矣，不虞一朝而见恤者也。不有圣政，其何以臻兹乎？开元四年冬十有一月，俾使臣左拾遗、内供奉张九龄饮水载怀，执艺营度，缘磴道，披灌丛，相其山谷之宜，革其坂险之故。岁已农隙，人斯子来，役匪逾时，成者不日，则已坦坦而方五轨，阗阗而走四通，转输以之代劳，高深为之失险。于是乎鐻耳贯胸之类，殊琛绝赆之人，有宿有息，如京如坻。宁与夫越裳白雉之时，尉佗翠鸟之献，语重九译，数上千双，若斯而已哉！凡趋徒役者聚而议曰：虑始者功百而变常，乐成者利十而易业。一隅何幸，二者尽就，况启而未通，通而未坦。斯事之盛，皆我国家仁泽寝远，绝垠胥洎，古所不逮，岂可默而无述也。盍刊石立纪，以贻来裔。是以追之琢之，树之不朽。</w:t>
      </w:r>
    </w:p>
    <w:p w14:paraId="43659D58">
      <w:pPr>
        <w:ind w:firstLine="420"/>
        <w:rPr>
          <w:rFonts w:ascii="宋体" w:hAnsi="宋体" w:cs="宋体"/>
        </w:rPr>
      </w:pPr>
      <w:r>
        <w:rPr>
          <w:rFonts w:hint="eastAsia" w:ascii="宋体" w:hAnsi="宋体" w:cs="宋体"/>
        </w:rPr>
        <w:t>给事中魏山公苏诜题而铭曰：石崴嵬兮山崖崖，嵚崟岝崿兮相蔽亏。槎崪叽兮莽芊芊，噫兹路兮不记年。大圣作兮万物覩，惠吾人兮道复古。役斯来兮力其成，石既攻兮山可平。怀荒服兮走上京，通万商兮重九译。车屯轨兮马齐迹，招孔翠兮徕齿革。伊使臣之光兮，将永永而无斁。</w:t>
      </w:r>
    </w:p>
    <w:p w14:paraId="3232267F">
      <w:pPr>
        <w:ind w:firstLine="420"/>
        <w:rPr>
          <w:rFonts w:ascii="宋体" w:hAnsi="宋体" w:cs="宋体"/>
        </w:rPr>
      </w:pPr>
      <w:r>
        <w:rPr>
          <w:rFonts w:hint="eastAsia" w:ascii="宋体" w:hAnsi="宋体" w:cs="宋体"/>
        </w:rPr>
        <w:t>大明弘治五年龙集壬子冬十二月吉旦。</w:t>
      </w:r>
    </w:p>
    <w:p w14:paraId="2A782A28">
      <w:pPr>
        <w:ind w:firstLine="420"/>
        <w:rPr>
          <w:rFonts w:ascii="宋体" w:hAnsi="宋体" w:cs="宋体"/>
        </w:rPr>
      </w:pPr>
      <w:r>
        <w:rPr>
          <w:rFonts w:hint="eastAsia" w:ascii="宋体" w:hAnsi="宋体" w:cs="宋体"/>
        </w:rPr>
        <w:t>奉议大夫广东等处提刑按察司佥事奉勅</w:t>
      </w:r>
    </w:p>
    <w:p w14:paraId="4031A657">
      <w:pPr>
        <w:ind w:firstLine="420"/>
        <w:rPr>
          <w:rFonts w:ascii="宋体" w:hAnsi="宋体" w:cs="宋体"/>
        </w:rPr>
      </w:pPr>
      <w:r>
        <w:rPr>
          <w:rFonts w:hint="eastAsia" w:ascii="宋体" w:hAnsi="宋体" w:cs="宋体"/>
        </w:rPr>
        <w:t>提督广潮雄韶四府地方雩都袁庆祥重立</w:t>
      </w:r>
    </w:p>
    <w:p w14:paraId="0345AEBB">
      <w:pPr>
        <w:ind w:firstLine="420"/>
        <w:rPr>
          <w:rFonts w:ascii="宋体" w:hAnsi="宋体" w:cs="宋体"/>
        </w:rPr>
      </w:pPr>
      <w:r>
        <w:rPr>
          <w:rFonts w:hint="eastAsia" w:ascii="宋体" w:hAnsi="宋体" w:cs="宋体"/>
        </w:rPr>
        <w:t>说明：该碑原立于城东五里山道旁四角亭内，竖于一石屃上，碑文为阴刻，高2.6米，宽1.26米，字方，4厘米×3厘米。1966年亭毁，石碑下落不明。市博物馆存有拓片。根据明嘉靖谭大初《南雄府志》对个别字已作校正。</w:t>
      </w:r>
    </w:p>
    <w:p w14:paraId="1BB2CFBB">
      <w:pPr>
        <w:ind w:firstLine="422"/>
        <w:rPr>
          <w:rFonts w:ascii="宋体" w:hAnsi="宋体" w:cs="宋体"/>
        </w:rPr>
      </w:pPr>
      <w:r>
        <w:rPr>
          <w:rFonts w:hint="eastAsia" w:ascii="宋体" w:hAnsi="宋体" w:cs="宋体"/>
          <w:b/>
          <w:bCs/>
        </w:rPr>
        <w:t xml:space="preserve">梅关关前碑  </w:t>
      </w:r>
      <w:r>
        <w:rPr>
          <w:rFonts w:hint="eastAsia" w:ascii="宋体" w:hAnsi="宋体" w:cs="宋体"/>
        </w:rPr>
        <w:t>“梅岭”落款：“康煕岁次已未三月答旦”“知南雄府事张凤翔重题”。</w:t>
      </w:r>
    </w:p>
    <w:p w14:paraId="3D9D1EA7">
      <w:pPr>
        <w:ind w:firstLine="422"/>
        <w:rPr>
          <w:rFonts w:ascii="宋体" w:hAnsi="宋体" w:cs="宋体"/>
          <w:b/>
          <w:bCs/>
        </w:rPr>
      </w:pPr>
      <w:r>
        <w:rPr>
          <w:rFonts w:hint="eastAsia" w:ascii="宋体" w:hAnsi="宋体" w:cs="宋体"/>
          <w:b/>
          <w:bCs/>
        </w:rPr>
        <w:t>重修岭路记</w:t>
      </w:r>
    </w:p>
    <w:p w14:paraId="684BA228">
      <w:pPr>
        <w:ind w:firstLine="420"/>
        <w:rPr>
          <w:rFonts w:ascii="宋体" w:hAnsi="宋体" w:cs="宋体"/>
        </w:rPr>
      </w:pPr>
      <w:r>
        <w:rPr>
          <w:rFonts w:hint="eastAsia" w:ascii="宋体" w:hAnsi="宋体" w:cs="宋体"/>
        </w:rPr>
        <w:t>流芳万载</w:t>
      </w:r>
    </w:p>
    <w:p w14:paraId="300C577E">
      <w:pPr>
        <w:ind w:firstLine="420"/>
        <w:rPr>
          <w:rFonts w:ascii="宋体" w:hAnsi="宋体" w:cs="宋体"/>
        </w:rPr>
      </w:pPr>
      <w:r>
        <w:rPr>
          <w:rFonts w:hint="eastAsia" w:ascii="宋体" w:hAnsi="宋体" w:cs="宋体"/>
        </w:rPr>
        <w:t>庾岭自唐宰相张文献公芟刈荆莽，鞭石凿磴，遂成周行。至宋嘉祐间甃壁砌石，成化末复修，距今已二百余载。幸际</w:t>
      </w:r>
    </w:p>
    <w:p w14:paraId="601C3E17">
      <w:pPr>
        <w:ind w:firstLine="420"/>
        <w:rPr>
          <w:rFonts w:ascii="宋体" w:hAnsi="宋体" w:cs="宋体"/>
        </w:rPr>
      </w:pPr>
      <w:r>
        <w:rPr>
          <w:rFonts w:hint="eastAsia" w:ascii="宋体" w:hAnsi="宋体" w:cs="宋体"/>
        </w:rPr>
        <w:t>光天化日，冠盖纷驰，商贾络绎，风雨担逐于庾岭间者踵相接踵。我</w:t>
      </w:r>
    </w:p>
    <w:p w14:paraId="55241FE8">
      <w:pPr>
        <w:ind w:firstLine="420"/>
        <w:rPr>
          <w:rFonts w:ascii="宋体" w:hAnsi="宋体" w:cs="宋体"/>
        </w:rPr>
      </w:pPr>
      <w:r>
        <w:rPr>
          <w:rFonts w:hint="eastAsia" w:ascii="宋体" w:hAnsi="宋体" w:cs="宋体"/>
        </w:rPr>
        <w:t>皇上德泽恩溥，令各省税课赢羡均留充地方公用。今</w:t>
      </w:r>
    </w:p>
    <w:p w14:paraId="65112380">
      <w:pPr>
        <w:ind w:firstLine="420"/>
        <w:rPr>
          <w:rFonts w:ascii="宋体" w:hAnsi="宋体" w:cs="宋体"/>
        </w:rPr>
      </w:pPr>
      <w:r>
        <w:rPr>
          <w:rFonts w:hint="eastAsia" w:ascii="宋体" w:hAnsi="宋体" w:cs="宋体"/>
        </w:rPr>
        <w:t>钦命署理广东巡抚邱务户部右侍郎世袭三等阿达哈哈番加二级大中丞敬公涖治两年间，宣布德化，政通人和，年榖顺成，工后可举。念岭道久已不修，崎斜崒嵂，不便行旅。爰发太平桥额税羡余银两，给守土保昌令勘丈经理，命世荣董其成。起自五里山，绵延越岭至梅关以外，驾石以通水道，桩木以固危崖，逼者廓之，洼者补之，凡三阅月而厥功告成。自兹以往，坦坦阗阗，步赴斯岭者咸知大中丞敬承</w:t>
      </w:r>
    </w:p>
    <w:p w14:paraId="595715B0">
      <w:pPr>
        <w:ind w:firstLine="420"/>
        <w:rPr>
          <w:rFonts w:ascii="宋体" w:hAnsi="宋体" w:cs="宋体"/>
        </w:rPr>
      </w:pPr>
      <w:r>
        <w:rPr>
          <w:rFonts w:hint="eastAsia" w:ascii="宋体" w:hAnsi="宋体" w:cs="宋体"/>
        </w:rPr>
        <w:t>天子之治，以勤兆民之事。守兹土者凡利益民生之举，可以知所当务，而推类以尽其余，益加勤勉焉。</w:t>
      </w:r>
    </w:p>
    <w:p w14:paraId="2895DCC0">
      <w:pPr>
        <w:ind w:firstLine="420"/>
        <w:rPr>
          <w:rFonts w:ascii="宋体" w:hAnsi="宋体" w:cs="宋体"/>
        </w:rPr>
      </w:pPr>
      <w:r>
        <w:rPr>
          <w:rFonts w:hint="eastAsia" w:ascii="宋体" w:hAnsi="宋体" w:cs="宋体"/>
        </w:rPr>
        <w:t>雍正捌年岁次庚戌南雄府知府毛世荣吉旦</w:t>
      </w:r>
    </w:p>
    <w:p w14:paraId="309506DF">
      <w:pPr>
        <w:ind w:firstLine="420"/>
        <w:rPr>
          <w:rFonts w:ascii="宋体" w:hAnsi="宋体" w:cs="宋体"/>
        </w:rPr>
      </w:pPr>
      <w:r>
        <w:rPr>
          <w:rFonts w:hint="eastAsia" w:ascii="宋体" w:hAnsi="宋体" w:cs="宋体"/>
        </w:rPr>
        <w:t>说明：该碑立于梅关古道旁。</w:t>
      </w:r>
    </w:p>
    <w:p w14:paraId="7F567B9B">
      <w:pPr>
        <w:ind w:firstLine="422"/>
        <w:rPr>
          <w:rFonts w:ascii="宋体" w:hAnsi="宋体" w:cs="宋体"/>
        </w:rPr>
      </w:pPr>
      <w:r>
        <w:rPr>
          <w:rFonts w:hint="eastAsia" w:ascii="宋体" w:hAnsi="宋体" w:cs="宋体"/>
          <w:b/>
          <w:bCs/>
        </w:rPr>
        <w:t>珠玑楼碑记。</w:t>
      </w:r>
      <w:r>
        <w:rPr>
          <w:rFonts w:hint="eastAsia" w:ascii="宋体" w:hAnsi="宋体" w:cs="宋体"/>
        </w:rPr>
        <w:t>沙水镇翔凤坊之楼，先辈每欲建之，第徒竖石脚而弗克厥成者，非无因而止。迨后见其石基犹存，相顾而言曰：前人既遗起楼之基，吾侪何不共体先志乎。斯时，一唱众和，以数十年未成之宇，忽而振拔于崇朝，其适情玩志，虽不如古之岳阳、黄鹤等楼，而题曰珠玑，则其名亦可相传于两粤、两京，为后世之遗迹云耳。（捐款48人姓名略）清乾隆十二年菊月。彭统端题并书。</w:t>
      </w:r>
    </w:p>
    <w:p w14:paraId="780379E8">
      <w:pPr>
        <w:ind w:firstLine="420"/>
        <w:rPr>
          <w:rFonts w:ascii="宋体" w:hAnsi="宋体" w:cs="宋体"/>
        </w:rPr>
      </w:pPr>
      <w:r>
        <w:rPr>
          <w:rFonts w:hint="eastAsia" w:ascii="宋体" w:hAnsi="宋体" w:cs="宋体"/>
        </w:rPr>
        <w:t>说明：该碑镶于今之珠玑楼。</w:t>
      </w:r>
    </w:p>
    <w:p w14:paraId="63A155CB">
      <w:pPr>
        <w:ind w:firstLine="422"/>
        <w:rPr>
          <w:rFonts w:ascii="宋体" w:hAnsi="宋体" w:cs="宋体"/>
        </w:rPr>
      </w:pPr>
      <w:r>
        <w:rPr>
          <w:rFonts w:hint="eastAsia" w:ascii="宋体" w:hAnsi="宋体" w:cs="宋体"/>
          <w:b/>
          <w:bCs/>
        </w:rPr>
        <w:t>万福洞灵台阁碑记。</w:t>
      </w:r>
      <w:r>
        <w:rPr>
          <w:rFonts w:hint="eastAsia" w:ascii="宋体" w:hAnsi="宋体" w:cs="宋体"/>
        </w:rPr>
        <w:t>梅岭之南有岩，曰钟鼓、曰梳妆、曰诸仙岩，有石床可坐，石壁可面。有洞曰万福，洞内可为廊、为房，其间蝙蝠不知凡几。洞外有观曰洞真，有亭曰倚翠，有台曰逍遥，有阁曰灵台，祀奉福禄寿星君、八洞真仙。阁之东有石垒，垒其西有水潺潺。南有松，北有竹，斯为群仙所聚也。光绪乙亥，余募缘倡建，缘首江大模等经营工竣。余喟然叹曰：我今觉斯觉，未尝觉人之觉，又谁为觉我之觉。是夜月明星朗，偕诸弟子步于岩石之上，忽闻有鸾鹤声，众惊曰：噫！觉斯觉之人至矣。又闻岩之钟，洞之鼓，铿铿然，隆隆然，乃各归石床，面壁而坐焉。比旦援笔而记，时则仲秋之月望日也。程明善撰。</w:t>
      </w:r>
    </w:p>
    <w:p w14:paraId="2F3BABEA">
      <w:pPr>
        <w:ind w:firstLine="422"/>
        <w:rPr>
          <w:rFonts w:ascii="宋体" w:hAnsi="宋体" w:cs="宋体"/>
        </w:rPr>
      </w:pPr>
      <w:r>
        <w:rPr>
          <w:rFonts w:hint="eastAsia" w:ascii="宋体" w:hAnsi="宋体" w:cs="宋体"/>
          <w:b/>
          <w:bCs/>
        </w:rPr>
        <w:t>重修三影塔碑记。</w:t>
      </w:r>
      <w:r>
        <w:rPr>
          <w:rFonts w:hint="eastAsia" w:ascii="宋体" w:hAnsi="宋体" w:cs="宋体"/>
        </w:rPr>
        <w:t>三影塔位于本县县城之中央，始建于北宋大中祥符二年，即公元一○○九年。据《直隶南雄州志》记述：世传祥符二年己酉，异人建塔，其影有三，两影倒悬，一影向上，故曰三影塔。现塔高五十点二米，塔身为青砖结构，六角九层，每层均筑平座，建栏杆，形成回廊。塔内铺设楼板十六层，环置阶梯与各层平座相通，游人可逐层登临，一览远近景色。此塔塔形规整，秀丽挺拔，高超群宇，气势雄伟，飞檐斗拱，回廊环绕。工艺堪称精湛，乃我省著名古塔之一。人民政府重视文物，已将其列为广东省重点文物保护单位。然自建塔以来，已历十个世纪，塔身屡遭风雨雷电之摧残，历代虽有修茸，亦难保持其原貌，终因年代久远，迨至今日，塔顶受损，塔檐残缺，栏杆竟荡然无存。一九八一年乃由中央、省、县三级政府拨款维修，并蒙本县旅居澳门爱国人士卢道和先生捐助人民币一十六万元，即由我县人民政府成立重修三影塔领导小组，主持修塔事宜，在省古建筑专家指导下，仿照宋塔原貌，予以重修。此项工程于一九八一年冬动工，至一九八三年冬竣事。兹略述重修始末，并刻于石以记其事。</w:t>
      </w:r>
    </w:p>
    <w:p w14:paraId="7E66FCD8">
      <w:pPr>
        <w:ind w:firstLine="420"/>
        <w:jc w:val="right"/>
        <w:rPr>
          <w:rFonts w:ascii="宋体" w:hAnsi="宋体" w:cs="宋体"/>
        </w:rPr>
      </w:pPr>
      <w:r>
        <w:rPr>
          <w:rFonts w:hint="eastAsia" w:ascii="宋体" w:hAnsi="宋体" w:cs="宋体"/>
        </w:rPr>
        <w:t>南雄县人民政府</w:t>
      </w:r>
    </w:p>
    <w:p w14:paraId="0029F317">
      <w:pPr>
        <w:ind w:firstLine="420"/>
        <w:jc w:val="right"/>
        <w:rPr>
          <w:rFonts w:ascii="宋体" w:hAnsi="宋体" w:cs="宋体"/>
        </w:rPr>
      </w:pPr>
      <w:r>
        <w:rPr>
          <w:rFonts w:hint="eastAsia" w:ascii="宋体" w:hAnsi="宋体" w:cs="宋体"/>
        </w:rPr>
        <w:t>公元一九八三年十月一日</w:t>
      </w:r>
    </w:p>
    <w:p w14:paraId="4640D4E5">
      <w:pPr>
        <w:ind w:firstLine="420"/>
        <w:rPr>
          <w:rFonts w:ascii="宋体" w:hAnsi="宋体" w:cs="宋体"/>
        </w:rPr>
      </w:pPr>
      <w:r>
        <w:rPr>
          <w:rFonts w:hint="eastAsia" w:ascii="宋体" w:hAnsi="宋体" w:cs="宋体"/>
        </w:rPr>
        <w:t>说明：该碑立于三影塔首层。</w:t>
      </w:r>
    </w:p>
    <w:p w14:paraId="2F2CCC4F">
      <w:pPr>
        <w:pStyle w:val="5"/>
        <w:rPr>
          <w:rFonts w:ascii="宋体" w:hAnsi="宋体" w:cs="宋体"/>
        </w:rPr>
      </w:pPr>
      <w:r>
        <w:rPr>
          <w:rFonts w:hint="eastAsia" w:ascii="宋体" w:hAnsi="宋体" w:cs="宋体"/>
        </w:rPr>
        <w:t>三、石雕艺术</w:t>
      </w:r>
    </w:p>
    <w:p w14:paraId="7D42C234">
      <w:pPr>
        <w:ind w:firstLine="420"/>
        <w:rPr>
          <w:rFonts w:ascii="宋体" w:hAnsi="宋体" w:cs="宋体"/>
        </w:rPr>
      </w:pPr>
      <w:r>
        <w:rPr>
          <w:rFonts w:hint="eastAsia" w:ascii="宋体" w:hAnsi="宋体" w:cs="宋体"/>
        </w:rPr>
        <w:t>延祥寺石狮，在三影塔下，该狮用暗红色砂质岩石雕琢而成，造型生动威猛，双目炯炯，卷毛。雄狮左前脚踩石球。雌狮右前脚抚一小狮。各狮高1.2米，座高0.1米，总高1.3米。属明代石狮。</w:t>
      </w:r>
    </w:p>
    <w:p w14:paraId="7C09E28D">
      <w:pPr>
        <w:ind w:firstLine="420"/>
        <w:rPr>
          <w:rFonts w:ascii="宋体" w:hAnsi="宋体" w:cs="宋体"/>
        </w:rPr>
      </w:pPr>
      <w:r>
        <w:rPr>
          <w:rFonts w:hint="eastAsia" w:ascii="宋体" w:hAnsi="宋体" w:cs="宋体"/>
        </w:rPr>
        <w:t>中山公园石狮，在市人民医院留医部内，该狮用暗红色砂质岩石雕琢而成，造型生动别致，双目炯炯，颈项二侧各挂石缨，颈项下有装饰圈。狮高1.4米，座高0.15米，总高1.55米。属清代石狮。</w:t>
      </w:r>
    </w:p>
    <w:p w14:paraId="2FDCB90A">
      <w:pPr>
        <w:ind w:firstLine="420"/>
        <w:rPr>
          <w:rFonts w:ascii="宋体" w:hAnsi="宋体" w:cs="宋体"/>
        </w:rPr>
      </w:pPr>
      <w:r>
        <w:rPr>
          <w:rFonts w:hint="eastAsia" w:ascii="宋体" w:hAnsi="宋体" w:cs="宋体"/>
        </w:rPr>
        <w:t>南雄中学石狮。该狮用暗红色砂质岩石料雕琢而成。座高6厘米，身高100厘米，总高1.06米。两狮口衔石帛，颈挂石铃，颈两旁挂石缨，卷毛眼突，脚有鳞，爪利。雄狮张口，左脚踏石球；雌狮合口，右脚抚一小石狮。属清代石狮。</w:t>
      </w:r>
    </w:p>
    <w:p w14:paraId="6BBA8298">
      <w:pPr>
        <w:ind w:firstLine="420"/>
        <w:rPr>
          <w:rFonts w:ascii="宋体" w:hAnsi="宋体" w:cs="宋体"/>
        </w:rPr>
      </w:pPr>
      <w:r>
        <w:rPr>
          <w:rFonts w:hint="eastAsia" w:ascii="宋体" w:hAnsi="宋体" w:cs="宋体"/>
        </w:rPr>
        <w:t>借村石狮，在城郊借村，用红色砂质岩石雕琢而成，狮高1米，座高0.06米，总高1.06米。雌狮右脚抚一小狮，雄狮左脚踩彩石球。石狮雕凿精致，栩栩如生。属清代石狮。</w:t>
      </w:r>
    </w:p>
    <w:p w14:paraId="0DD378C8">
      <w:pPr>
        <w:pStyle w:val="5"/>
        <w:rPr>
          <w:rFonts w:ascii="宋体" w:hAnsi="宋体" w:cs="宋体"/>
        </w:rPr>
      </w:pPr>
      <w:r>
        <w:rPr>
          <w:rFonts w:hint="eastAsia" w:ascii="宋体" w:hAnsi="宋体" w:cs="宋体"/>
        </w:rPr>
        <w:t>四、碑刻匾额遗存</w:t>
      </w:r>
    </w:p>
    <w:p w14:paraId="540FB227">
      <w:pPr>
        <w:ind w:firstLine="422"/>
        <w:jc w:val="center"/>
        <w:rPr>
          <w:rFonts w:ascii="宋体" w:hAnsi="宋体" w:cs="宋体"/>
          <w:b/>
          <w:bCs/>
        </w:rPr>
      </w:pPr>
      <w:r>
        <w:rPr>
          <w:rFonts w:hint="eastAsia" w:ascii="宋体" w:hAnsi="宋体" w:cs="宋体"/>
          <w:b/>
          <w:bCs/>
        </w:rPr>
        <w:t>南雄市保存碑刻一览</w:t>
      </w:r>
    </w:p>
    <w:p w14:paraId="4D2C8C60">
      <w:pPr>
        <w:ind w:firstLine="0" w:firstLineChars="0"/>
        <w:rPr>
          <w:rFonts w:ascii="宋体" w:hAnsi="宋体" w:cs="宋体"/>
          <w:b/>
          <w:bCs/>
        </w:rPr>
      </w:pPr>
      <w:r>
        <w:rPr>
          <w:rFonts w:hint="eastAsia" w:ascii="宋体" w:hAnsi="宋体" w:cs="宋体"/>
          <w:b/>
          <w:bCs/>
        </w:rPr>
        <w:t>表5-13</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320"/>
        <w:gridCol w:w="3320"/>
        <w:gridCol w:w="3322"/>
      </w:tblGrid>
      <w:tr w14:paraId="78EBFE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3035AE48">
            <w:pPr>
              <w:pStyle w:val="12"/>
              <w:jc w:val="center"/>
              <w:rPr>
                <w:b/>
              </w:rPr>
            </w:pPr>
            <w:r>
              <w:rPr>
                <w:rFonts w:hint="eastAsia"/>
                <w:b/>
              </w:rPr>
              <w:t>名  称</w:t>
            </w:r>
          </w:p>
        </w:tc>
        <w:tc>
          <w:tcPr>
            <w:tcW w:w="1666" w:type="pct"/>
            <w:vAlign w:val="center"/>
          </w:tcPr>
          <w:p w14:paraId="6ED8330A">
            <w:pPr>
              <w:pStyle w:val="12"/>
              <w:jc w:val="center"/>
              <w:rPr>
                <w:b/>
              </w:rPr>
            </w:pPr>
            <w:r>
              <w:rPr>
                <w:rFonts w:hint="eastAsia"/>
                <w:b/>
              </w:rPr>
              <w:t>年  代</w:t>
            </w:r>
          </w:p>
        </w:tc>
        <w:tc>
          <w:tcPr>
            <w:tcW w:w="1667" w:type="pct"/>
            <w:vAlign w:val="center"/>
          </w:tcPr>
          <w:p w14:paraId="30C11B83">
            <w:pPr>
              <w:pStyle w:val="12"/>
              <w:jc w:val="center"/>
              <w:rPr>
                <w:b/>
              </w:rPr>
            </w:pPr>
            <w:r>
              <w:rPr>
                <w:rFonts w:hint="eastAsia"/>
                <w:b/>
              </w:rPr>
              <w:t>地  点</w:t>
            </w:r>
          </w:p>
        </w:tc>
      </w:tr>
      <w:tr w14:paraId="09E6EC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752D3EE8">
            <w:pPr>
              <w:pStyle w:val="12"/>
              <w:jc w:val="center"/>
            </w:pPr>
            <w:r>
              <w:rPr>
                <w:rFonts w:hint="eastAsia"/>
              </w:rPr>
              <w:t>梅岭“涂相”诗碑</w:t>
            </w:r>
          </w:p>
        </w:tc>
        <w:tc>
          <w:tcPr>
            <w:tcW w:w="1666" w:type="pct"/>
            <w:vAlign w:val="center"/>
          </w:tcPr>
          <w:p w14:paraId="3677F578">
            <w:pPr>
              <w:pStyle w:val="12"/>
              <w:jc w:val="center"/>
            </w:pPr>
            <w:r>
              <w:rPr>
                <w:rFonts w:hint="eastAsia"/>
              </w:rPr>
              <w:t>明嘉靖（1538年）</w:t>
            </w:r>
          </w:p>
        </w:tc>
        <w:tc>
          <w:tcPr>
            <w:tcW w:w="1667" w:type="pct"/>
            <w:vAlign w:val="center"/>
          </w:tcPr>
          <w:p w14:paraId="29638D67">
            <w:pPr>
              <w:pStyle w:val="12"/>
              <w:jc w:val="center"/>
            </w:pPr>
            <w:r>
              <w:rPr>
                <w:rFonts w:hint="eastAsia"/>
              </w:rPr>
              <w:t>梅关古道旁</w:t>
            </w:r>
          </w:p>
        </w:tc>
      </w:tr>
      <w:tr w14:paraId="4F588D9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012910B7">
            <w:pPr>
              <w:pStyle w:val="12"/>
              <w:jc w:val="center"/>
            </w:pPr>
            <w:r>
              <w:rPr>
                <w:rFonts w:hint="eastAsia"/>
              </w:rPr>
              <w:t>梅  关</w:t>
            </w:r>
          </w:p>
        </w:tc>
        <w:tc>
          <w:tcPr>
            <w:tcW w:w="1666" w:type="pct"/>
            <w:vAlign w:val="center"/>
          </w:tcPr>
          <w:p w14:paraId="2EBDAB4C">
            <w:pPr>
              <w:pStyle w:val="12"/>
              <w:jc w:val="center"/>
            </w:pPr>
            <w:r>
              <w:rPr>
                <w:rFonts w:hint="eastAsia"/>
              </w:rPr>
              <w:t>清康熙（1679年）</w:t>
            </w:r>
          </w:p>
        </w:tc>
        <w:tc>
          <w:tcPr>
            <w:tcW w:w="1667" w:type="pct"/>
            <w:vAlign w:val="center"/>
          </w:tcPr>
          <w:p w14:paraId="500272CF">
            <w:pPr>
              <w:pStyle w:val="12"/>
              <w:jc w:val="center"/>
            </w:pPr>
            <w:r>
              <w:rPr>
                <w:rFonts w:hint="eastAsia"/>
              </w:rPr>
              <w:t>梅关关前</w:t>
            </w:r>
          </w:p>
        </w:tc>
      </w:tr>
      <w:tr w14:paraId="15A428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61AE1F81">
            <w:pPr>
              <w:pStyle w:val="12"/>
              <w:jc w:val="center"/>
            </w:pPr>
            <w:r>
              <w:rPr>
                <w:rFonts w:hint="eastAsia"/>
              </w:rPr>
              <w:t>万疆云峰僧田碑记</w:t>
            </w:r>
          </w:p>
        </w:tc>
        <w:tc>
          <w:tcPr>
            <w:tcW w:w="1666" w:type="pct"/>
            <w:vAlign w:val="center"/>
          </w:tcPr>
          <w:p w14:paraId="7BB916F3">
            <w:pPr>
              <w:pStyle w:val="12"/>
              <w:jc w:val="center"/>
            </w:pPr>
            <w:r>
              <w:rPr>
                <w:rFonts w:hint="eastAsia"/>
              </w:rPr>
              <w:t>清康熙十九年（1680年）</w:t>
            </w:r>
          </w:p>
        </w:tc>
        <w:tc>
          <w:tcPr>
            <w:tcW w:w="1667" w:type="pct"/>
            <w:vAlign w:val="center"/>
          </w:tcPr>
          <w:p w14:paraId="3E7309BA">
            <w:pPr>
              <w:pStyle w:val="12"/>
              <w:jc w:val="center"/>
            </w:pPr>
            <w:r>
              <w:rPr>
                <w:rFonts w:hint="eastAsia"/>
              </w:rPr>
              <w:t>梅关古道景区</w:t>
            </w:r>
          </w:p>
        </w:tc>
      </w:tr>
      <w:tr w14:paraId="7BD4E3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3B6CA013">
            <w:pPr>
              <w:pStyle w:val="12"/>
              <w:jc w:val="center"/>
            </w:pPr>
            <w:r>
              <w:rPr>
                <w:rFonts w:hint="eastAsia"/>
              </w:rPr>
              <w:t>凌陂水利纠纷碑记</w:t>
            </w:r>
          </w:p>
        </w:tc>
        <w:tc>
          <w:tcPr>
            <w:tcW w:w="1666" w:type="pct"/>
            <w:vAlign w:val="center"/>
          </w:tcPr>
          <w:p w14:paraId="64CB2265">
            <w:pPr>
              <w:pStyle w:val="12"/>
              <w:jc w:val="center"/>
            </w:pPr>
            <w:r>
              <w:rPr>
                <w:rFonts w:hint="eastAsia"/>
              </w:rPr>
              <w:t>清康熙三十八年（1699年）</w:t>
            </w:r>
          </w:p>
        </w:tc>
        <w:tc>
          <w:tcPr>
            <w:tcW w:w="1667" w:type="pct"/>
            <w:vAlign w:val="center"/>
          </w:tcPr>
          <w:p w14:paraId="619D2A05">
            <w:pPr>
              <w:pStyle w:val="12"/>
              <w:jc w:val="center"/>
            </w:pPr>
            <w:r>
              <w:rPr>
                <w:rFonts w:hint="eastAsia"/>
              </w:rPr>
              <w:t>全安镇陂头村</w:t>
            </w:r>
          </w:p>
        </w:tc>
      </w:tr>
      <w:tr w14:paraId="018D5F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38ACCA71">
            <w:pPr>
              <w:pStyle w:val="12"/>
              <w:jc w:val="center"/>
            </w:pPr>
            <w:r>
              <w:rPr>
                <w:rFonts w:hint="eastAsia"/>
              </w:rPr>
              <w:t>重建广州会馆碑记</w:t>
            </w:r>
          </w:p>
        </w:tc>
        <w:tc>
          <w:tcPr>
            <w:tcW w:w="1666" w:type="pct"/>
            <w:vAlign w:val="center"/>
          </w:tcPr>
          <w:p w14:paraId="340E48A2">
            <w:pPr>
              <w:pStyle w:val="12"/>
              <w:jc w:val="center"/>
            </w:pPr>
            <w:r>
              <w:rPr>
                <w:rFonts w:hint="eastAsia"/>
              </w:rPr>
              <w:t>清乾隆二十一年（1756年）</w:t>
            </w:r>
          </w:p>
        </w:tc>
        <w:tc>
          <w:tcPr>
            <w:tcW w:w="1667" w:type="pct"/>
            <w:vAlign w:val="center"/>
          </w:tcPr>
          <w:p w14:paraId="293C2B1A">
            <w:pPr>
              <w:pStyle w:val="12"/>
              <w:jc w:val="center"/>
            </w:pPr>
            <w:r>
              <w:rPr>
                <w:rFonts w:hint="eastAsia"/>
              </w:rPr>
              <w:t>市区广州会馆内</w:t>
            </w:r>
          </w:p>
        </w:tc>
      </w:tr>
      <w:tr w14:paraId="251A45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7DE2DB85">
            <w:pPr>
              <w:pStyle w:val="12"/>
              <w:jc w:val="center"/>
            </w:pPr>
            <w:r>
              <w:rPr>
                <w:rFonts w:hint="eastAsia"/>
              </w:rPr>
              <w:t>官道寺碑记</w:t>
            </w:r>
          </w:p>
        </w:tc>
        <w:tc>
          <w:tcPr>
            <w:tcW w:w="1666" w:type="pct"/>
            <w:vAlign w:val="center"/>
          </w:tcPr>
          <w:p w14:paraId="0819AF61">
            <w:pPr>
              <w:pStyle w:val="12"/>
              <w:jc w:val="center"/>
            </w:pPr>
            <w:r>
              <w:rPr>
                <w:rFonts w:hint="eastAsia"/>
              </w:rPr>
              <w:t>清乾隆四十年（1775年）</w:t>
            </w:r>
          </w:p>
        </w:tc>
        <w:tc>
          <w:tcPr>
            <w:tcW w:w="1667" w:type="pct"/>
            <w:vAlign w:val="center"/>
          </w:tcPr>
          <w:p w14:paraId="0C743D1D">
            <w:pPr>
              <w:pStyle w:val="12"/>
              <w:jc w:val="center"/>
            </w:pPr>
            <w:r>
              <w:rPr>
                <w:rFonts w:hint="eastAsia"/>
              </w:rPr>
              <w:t>珠玑镇里东官道寺内</w:t>
            </w:r>
          </w:p>
        </w:tc>
      </w:tr>
      <w:tr w14:paraId="762B60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12C4F636">
            <w:pPr>
              <w:pStyle w:val="12"/>
              <w:jc w:val="center"/>
            </w:pPr>
            <w:r>
              <w:rPr>
                <w:rFonts w:hint="eastAsia"/>
              </w:rPr>
              <w:t>六祖泉碑记</w:t>
            </w:r>
          </w:p>
        </w:tc>
        <w:tc>
          <w:tcPr>
            <w:tcW w:w="1666" w:type="pct"/>
            <w:vAlign w:val="center"/>
          </w:tcPr>
          <w:p w14:paraId="099AA30A">
            <w:pPr>
              <w:pStyle w:val="12"/>
              <w:jc w:val="center"/>
            </w:pPr>
            <w:r>
              <w:rPr>
                <w:rFonts w:hint="eastAsia"/>
              </w:rPr>
              <w:t>清嘉庆十年（1805年）</w:t>
            </w:r>
          </w:p>
        </w:tc>
        <w:tc>
          <w:tcPr>
            <w:tcW w:w="1667" w:type="pct"/>
            <w:vAlign w:val="center"/>
          </w:tcPr>
          <w:p w14:paraId="388E4350">
            <w:pPr>
              <w:pStyle w:val="12"/>
              <w:jc w:val="center"/>
            </w:pPr>
            <w:r>
              <w:rPr>
                <w:rFonts w:hint="eastAsia"/>
              </w:rPr>
              <w:t>梅关古道景区</w:t>
            </w:r>
          </w:p>
        </w:tc>
      </w:tr>
      <w:tr w14:paraId="2B9C6F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41A2C2F4">
            <w:pPr>
              <w:pStyle w:val="12"/>
              <w:jc w:val="center"/>
            </w:pPr>
            <w:r>
              <w:rPr>
                <w:rFonts w:hint="eastAsia"/>
              </w:rPr>
              <w:t>重修凌陂碑记</w:t>
            </w:r>
          </w:p>
        </w:tc>
        <w:tc>
          <w:tcPr>
            <w:tcW w:w="1666" w:type="pct"/>
            <w:vAlign w:val="center"/>
          </w:tcPr>
          <w:p w14:paraId="06818B26">
            <w:pPr>
              <w:pStyle w:val="12"/>
              <w:jc w:val="center"/>
            </w:pPr>
            <w:r>
              <w:rPr>
                <w:rFonts w:hint="eastAsia"/>
              </w:rPr>
              <w:t>清嘉庆十八年（1813年）</w:t>
            </w:r>
          </w:p>
        </w:tc>
        <w:tc>
          <w:tcPr>
            <w:tcW w:w="1667" w:type="pct"/>
            <w:vAlign w:val="center"/>
          </w:tcPr>
          <w:p w14:paraId="55334C5C">
            <w:pPr>
              <w:pStyle w:val="12"/>
              <w:jc w:val="center"/>
            </w:pPr>
            <w:r>
              <w:rPr>
                <w:rFonts w:hint="eastAsia"/>
              </w:rPr>
              <w:t>全安镇陂头村</w:t>
            </w:r>
          </w:p>
        </w:tc>
      </w:tr>
      <w:tr w14:paraId="6BA421C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5E4A3723">
            <w:pPr>
              <w:pStyle w:val="12"/>
              <w:jc w:val="center"/>
            </w:pPr>
            <w:r>
              <w:rPr>
                <w:rFonts w:hint="eastAsia"/>
              </w:rPr>
              <w:t>重修云峰寺张文献公祠碑</w:t>
            </w:r>
          </w:p>
        </w:tc>
        <w:tc>
          <w:tcPr>
            <w:tcW w:w="1666" w:type="pct"/>
            <w:vAlign w:val="center"/>
          </w:tcPr>
          <w:p w14:paraId="18376186">
            <w:pPr>
              <w:pStyle w:val="12"/>
              <w:jc w:val="center"/>
            </w:pPr>
            <w:r>
              <w:rPr>
                <w:rFonts w:hint="eastAsia"/>
              </w:rPr>
              <w:t>清道光二十六年（1846年）</w:t>
            </w:r>
          </w:p>
        </w:tc>
        <w:tc>
          <w:tcPr>
            <w:tcW w:w="1667" w:type="pct"/>
            <w:vAlign w:val="center"/>
          </w:tcPr>
          <w:p w14:paraId="58928FBB">
            <w:pPr>
              <w:pStyle w:val="12"/>
              <w:jc w:val="center"/>
            </w:pPr>
            <w:r>
              <w:rPr>
                <w:rFonts w:hint="eastAsia"/>
              </w:rPr>
              <w:t>梅关古道景区</w:t>
            </w:r>
          </w:p>
        </w:tc>
      </w:tr>
      <w:tr w14:paraId="39ABD7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7133E6B4">
            <w:pPr>
              <w:pStyle w:val="12"/>
              <w:jc w:val="center"/>
            </w:pPr>
            <w:r>
              <w:rPr>
                <w:rFonts w:hint="eastAsia"/>
              </w:rPr>
              <w:t>重修尚义堂碑记</w:t>
            </w:r>
          </w:p>
        </w:tc>
        <w:tc>
          <w:tcPr>
            <w:tcW w:w="1666" w:type="pct"/>
            <w:vAlign w:val="center"/>
          </w:tcPr>
          <w:p w14:paraId="2818DCC0">
            <w:pPr>
              <w:pStyle w:val="12"/>
              <w:jc w:val="center"/>
            </w:pPr>
            <w:r>
              <w:rPr>
                <w:rFonts w:hint="eastAsia"/>
              </w:rPr>
              <w:t>清咸丰八年（1858年）</w:t>
            </w:r>
          </w:p>
        </w:tc>
        <w:tc>
          <w:tcPr>
            <w:tcW w:w="1667" w:type="pct"/>
            <w:vAlign w:val="center"/>
          </w:tcPr>
          <w:p w14:paraId="37EBC666">
            <w:pPr>
              <w:pStyle w:val="12"/>
              <w:jc w:val="center"/>
            </w:pPr>
            <w:r>
              <w:rPr>
                <w:rFonts w:hint="eastAsia"/>
              </w:rPr>
              <w:t>市区广州会馆内</w:t>
            </w:r>
          </w:p>
        </w:tc>
      </w:tr>
      <w:tr w14:paraId="517010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41A3E9C2">
            <w:pPr>
              <w:pStyle w:val="12"/>
              <w:jc w:val="center"/>
            </w:pPr>
            <w:r>
              <w:rPr>
                <w:rFonts w:hint="eastAsia"/>
              </w:rPr>
              <w:t>同丰陂碑记</w:t>
            </w:r>
          </w:p>
        </w:tc>
        <w:tc>
          <w:tcPr>
            <w:tcW w:w="1666" w:type="pct"/>
            <w:vAlign w:val="center"/>
          </w:tcPr>
          <w:p w14:paraId="316B4574">
            <w:pPr>
              <w:pStyle w:val="12"/>
              <w:jc w:val="center"/>
            </w:pPr>
            <w:r>
              <w:rPr>
                <w:rFonts w:hint="eastAsia"/>
              </w:rPr>
              <w:t>民国18年（1929年）</w:t>
            </w:r>
          </w:p>
        </w:tc>
        <w:tc>
          <w:tcPr>
            <w:tcW w:w="1667" w:type="pct"/>
            <w:vAlign w:val="center"/>
          </w:tcPr>
          <w:p w14:paraId="09734781">
            <w:pPr>
              <w:pStyle w:val="12"/>
              <w:jc w:val="center"/>
            </w:pPr>
            <w:r>
              <w:rPr>
                <w:rFonts w:hint="eastAsia"/>
              </w:rPr>
              <w:t>同凌陂管理所</w:t>
            </w:r>
          </w:p>
        </w:tc>
      </w:tr>
    </w:tbl>
    <w:p w14:paraId="0B17819F">
      <w:pPr>
        <w:ind w:firstLine="422"/>
        <w:jc w:val="center"/>
        <w:rPr>
          <w:rFonts w:ascii="宋体" w:hAnsi="宋体" w:cs="宋体"/>
          <w:b/>
          <w:bCs/>
        </w:rPr>
      </w:pPr>
      <w:r>
        <w:rPr>
          <w:rFonts w:hint="eastAsia" w:ascii="宋体" w:hAnsi="宋体" w:cs="宋体"/>
          <w:b/>
          <w:bCs/>
        </w:rPr>
        <w:t>南雄市保存  刻一览</w:t>
      </w:r>
    </w:p>
    <w:p w14:paraId="0B495935">
      <w:pPr>
        <w:ind w:firstLine="0" w:firstLineChars="0"/>
        <w:rPr>
          <w:rFonts w:ascii="宋体" w:hAnsi="宋体" w:cs="宋体"/>
          <w:b/>
          <w:bCs/>
        </w:rPr>
      </w:pPr>
      <w:r>
        <w:rPr>
          <w:rFonts w:hint="eastAsia" w:ascii="宋体" w:hAnsi="宋体" w:cs="宋体"/>
          <w:b/>
          <w:bCs/>
        </w:rPr>
        <w:t>表5-14</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2863"/>
        <w:gridCol w:w="2118"/>
        <w:gridCol w:w="2491"/>
      </w:tblGrid>
      <w:tr w14:paraId="5C64FD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F1F3BB0">
            <w:pPr>
              <w:pStyle w:val="12"/>
              <w:jc w:val="center"/>
              <w:rPr>
                <w:b/>
              </w:rPr>
            </w:pPr>
            <w:r>
              <w:rPr>
                <w:rFonts w:hint="eastAsia"/>
                <w:b/>
              </w:rPr>
              <w:t>名称</w:t>
            </w:r>
          </w:p>
        </w:tc>
        <w:tc>
          <w:tcPr>
            <w:tcW w:w="1437" w:type="pct"/>
            <w:vAlign w:val="center"/>
          </w:tcPr>
          <w:p w14:paraId="2DF32E65">
            <w:pPr>
              <w:pStyle w:val="12"/>
              <w:jc w:val="center"/>
              <w:rPr>
                <w:b/>
              </w:rPr>
            </w:pPr>
            <w:r>
              <w:rPr>
                <w:rFonts w:hint="eastAsia"/>
                <w:b/>
              </w:rPr>
              <w:t>年代</w:t>
            </w:r>
          </w:p>
        </w:tc>
        <w:tc>
          <w:tcPr>
            <w:tcW w:w="1063" w:type="pct"/>
            <w:vAlign w:val="center"/>
          </w:tcPr>
          <w:p w14:paraId="08DA7BD4">
            <w:pPr>
              <w:pStyle w:val="12"/>
              <w:jc w:val="center"/>
              <w:rPr>
                <w:b/>
              </w:rPr>
            </w:pPr>
            <w:r>
              <w:rPr>
                <w:rFonts w:hint="eastAsia"/>
                <w:b/>
              </w:rPr>
              <w:t>质地</w:t>
            </w:r>
          </w:p>
        </w:tc>
        <w:tc>
          <w:tcPr>
            <w:tcW w:w="1250" w:type="pct"/>
            <w:vAlign w:val="center"/>
          </w:tcPr>
          <w:p w14:paraId="53706544">
            <w:pPr>
              <w:pStyle w:val="12"/>
              <w:jc w:val="center"/>
              <w:rPr>
                <w:b/>
              </w:rPr>
            </w:pPr>
            <w:r>
              <w:rPr>
                <w:rFonts w:hint="eastAsia"/>
                <w:b/>
              </w:rPr>
              <w:t>地点</w:t>
            </w:r>
          </w:p>
        </w:tc>
      </w:tr>
      <w:tr w14:paraId="5987A0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6835F278">
            <w:pPr>
              <w:pStyle w:val="12"/>
              <w:jc w:val="center"/>
            </w:pPr>
            <w:r>
              <w:rPr>
                <w:rFonts w:hint="eastAsia"/>
              </w:rPr>
              <w:t>七星世镇</w:t>
            </w:r>
          </w:p>
        </w:tc>
        <w:tc>
          <w:tcPr>
            <w:tcW w:w="1437" w:type="pct"/>
            <w:vAlign w:val="center"/>
          </w:tcPr>
          <w:p w14:paraId="19CD8555">
            <w:pPr>
              <w:pStyle w:val="12"/>
              <w:jc w:val="center"/>
            </w:pPr>
            <w:r>
              <w:rPr>
                <w:rFonts w:hint="eastAsia"/>
              </w:rPr>
              <w:t>明嘉靖乙酉（1549年）</w:t>
            </w:r>
          </w:p>
        </w:tc>
        <w:tc>
          <w:tcPr>
            <w:tcW w:w="1063" w:type="pct"/>
            <w:vAlign w:val="center"/>
          </w:tcPr>
          <w:p w14:paraId="7CF7E68F">
            <w:pPr>
              <w:pStyle w:val="12"/>
              <w:jc w:val="center"/>
            </w:pPr>
            <w:r>
              <w:rPr>
                <w:rFonts w:hint="eastAsia"/>
              </w:rPr>
              <w:t>石</w:t>
            </w:r>
          </w:p>
        </w:tc>
        <w:tc>
          <w:tcPr>
            <w:tcW w:w="1250" w:type="pct"/>
            <w:vAlign w:val="center"/>
          </w:tcPr>
          <w:p w14:paraId="3AA95643">
            <w:pPr>
              <w:pStyle w:val="12"/>
              <w:jc w:val="center"/>
            </w:pPr>
            <w:r>
              <w:rPr>
                <w:rFonts w:hint="eastAsia"/>
              </w:rPr>
              <w:t>乌迳水城</w:t>
            </w:r>
          </w:p>
        </w:tc>
      </w:tr>
      <w:tr w14:paraId="43A04E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5CB5197B">
            <w:pPr>
              <w:pStyle w:val="12"/>
              <w:jc w:val="center"/>
            </w:pPr>
            <w:r>
              <w:rPr>
                <w:rFonts w:hint="eastAsia"/>
              </w:rPr>
              <w:t>正南门</w:t>
            </w:r>
          </w:p>
        </w:tc>
        <w:tc>
          <w:tcPr>
            <w:tcW w:w="1437" w:type="pct"/>
            <w:vAlign w:val="center"/>
          </w:tcPr>
          <w:p w14:paraId="5387435D">
            <w:pPr>
              <w:pStyle w:val="12"/>
              <w:jc w:val="center"/>
            </w:pPr>
            <w:r>
              <w:rPr>
                <w:rFonts w:hint="eastAsia"/>
              </w:rPr>
              <w:t>明万历二十三年（1595年）</w:t>
            </w:r>
          </w:p>
        </w:tc>
        <w:tc>
          <w:tcPr>
            <w:tcW w:w="1063" w:type="pct"/>
            <w:vAlign w:val="center"/>
          </w:tcPr>
          <w:p w14:paraId="2ECE6257">
            <w:pPr>
              <w:pStyle w:val="12"/>
              <w:jc w:val="center"/>
            </w:pPr>
            <w:r>
              <w:rPr>
                <w:rFonts w:hint="eastAsia"/>
              </w:rPr>
              <w:t>石</w:t>
            </w:r>
          </w:p>
        </w:tc>
        <w:tc>
          <w:tcPr>
            <w:tcW w:w="1250" w:type="pct"/>
            <w:vAlign w:val="center"/>
          </w:tcPr>
          <w:p w14:paraId="53763C93">
            <w:pPr>
              <w:pStyle w:val="12"/>
              <w:jc w:val="center"/>
            </w:pPr>
            <w:r>
              <w:rPr>
                <w:rFonts w:hint="eastAsia"/>
              </w:rPr>
              <w:t>市区中山街</w:t>
            </w:r>
          </w:p>
        </w:tc>
      </w:tr>
      <w:tr w14:paraId="386F66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45EBCDD">
            <w:pPr>
              <w:pStyle w:val="12"/>
              <w:jc w:val="center"/>
            </w:pPr>
            <w:r>
              <w:rPr>
                <w:rFonts w:hint="eastAsia"/>
              </w:rPr>
              <w:t>岭南第一关</w:t>
            </w:r>
          </w:p>
        </w:tc>
        <w:tc>
          <w:tcPr>
            <w:tcW w:w="1437" w:type="pct"/>
            <w:vAlign w:val="center"/>
          </w:tcPr>
          <w:p w14:paraId="10B1CAAD">
            <w:pPr>
              <w:pStyle w:val="12"/>
              <w:jc w:val="center"/>
            </w:pPr>
            <w:r>
              <w:rPr>
                <w:rFonts w:hint="eastAsia"/>
              </w:rPr>
              <w:t>明万历戊戌（1598年）</w:t>
            </w:r>
          </w:p>
        </w:tc>
        <w:tc>
          <w:tcPr>
            <w:tcW w:w="1063" w:type="pct"/>
            <w:vAlign w:val="center"/>
          </w:tcPr>
          <w:p w14:paraId="14ABC4F6">
            <w:pPr>
              <w:pStyle w:val="12"/>
              <w:jc w:val="center"/>
            </w:pPr>
            <w:r>
              <w:rPr>
                <w:rFonts w:hint="eastAsia"/>
              </w:rPr>
              <w:t>石</w:t>
            </w:r>
          </w:p>
        </w:tc>
        <w:tc>
          <w:tcPr>
            <w:tcW w:w="1250" w:type="pct"/>
            <w:vAlign w:val="center"/>
          </w:tcPr>
          <w:p w14:paraId="6E5F35A4">
            <w:pPr>
              <w:pStyle w:val="12"/>
              <w:jc w:val="center"/>
            </w:pPr>
            <w:r>
              <w:rPr>
                <w:rFonts w:hint="eastAsia"/>
              </w:rPr>
              <w:t>梅关古道关楼</w:t>
            </w:r>
          </w:p>
        </w:tc>
      </w:tr>
      <w:tr w14:paraId="59D8513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65D6D862">
            <w:pPr>
              <w:pStyle w:val="12"/>
              <w:jc w:val="center"/>
            </w:pPr>
            <w:r>
              <w:rPr>
                <w:rFonts w:hint="eastAsia"/>
              </w:rPr>
              <w:t>南粤雄关</w:t>
            </w:r>
          </w:p>
        </w:tc>
        <w:tc>
          <w:tcPr>
            <w:tcW w:w="1437" w:type="pct"/>
            <w:vAlign w:val="center"/>
          </w:tcPr>
          <w:p w14:paraId="0F576E6A">
            <w:pPr>
              <w:pStyle w:val="12"/>
              <w:jc w:val="center"/>
            </w:pPr>
            <w:r>
              <w:rPr>
                <w:rFonts w:hint="eastAsia"/>
              </w:rPr>
              <w:t>无款</w:t>
            </w:r>
          </w:p>
        </w:tc>
        <w:tc>
          <w:tcPr>
            <w:tcW w:w="1063" w:type="pct"/>
            <w:vAlign w:val="center"/>
          </w:tcPr>
          <w:p w14:paraId="3FAD7BC7">
            <w:pPr>
              <w:pStyle w:val="12"/>
              <w:jc w:val="center"/>
            </w:pPr>
            <w:r>
              <w:rPr>
                <w:rFonts w:hint="eastAsia"/>
              </w:rPr>
              <w:t>石</w:t>
            </w:r>
          </w:p>
        </w:tc>
        <w:tc>
          <w:tcPr>
            <w:tcW w:w="1250" w:type="pct"/>
            <w:vAlign w:val="center"/>
          </w:tcPr>
          <w:p w14:paraId="7B98E457">
            <w:pPr>
              <w:pStyle w:val="12"/>
              <w:jc w:val="center"/>
            </w:pPr>
            <w:r>
              <w:rPr>
                <w:rFonts w:hint="eastAsia"/>
              </w:rPr>
              <w:t>梅关关楼</w:t>
            </w:r>
          </w:p>
        </w:tc>
      </w:tr>
      <w:tr w14:paraId="11A58B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908E6B9">
            <w:pPr>
              <w:pStyle w:val="12"/>
              <w:jc w:val="center"/>
            </w:pPr>
            <w:r>
              <w:rPr>
                <w:rFonts w:hint="eastAsia"/>
              </w:rPr>
              <w:t>贡  元</w:t>
            </w:r>
          </w:p>
        </w:tc>
        <w:tc>
          <w:tcPr>
            <w:tcW w:w="1437" w:type="pct"/>
            <w:vAlign w:val="center"/>
          </w:tcPr>
          <w:p w14:paraId="53B6FB8B">
            <w:pPr>
              <w:pStyle w:val="12"/>
              <w:jc w:val="center"/>
            </w:pPr>
            <w:r>
              <w:rPr>
                <w:rFonts w:hint="eastAsia"/>
              </w:rPr>
              <w:t>清顺治十三年（1656年）</w:t>
            </w:r>
          </w:p>
        </w:tc>
        <w:tc>
          <w:tcPr>
            <w:tcW w:w="1063" w:type="pct"/>
            <w:vAlign w:val="center"/>
          </w:tcPr>
          <w:p w14:paraId="6FF2ED9C">
            <w:pPr>
              <w:pStyle w:val="12"/>
              <w:jc w:val="center"/>
            </w:pPr>
            <w:r>
              <w:rPr>
                <w:rFonts w:hint="eastAsia"/>
              </w:rPr>
              <w:t>木</w:t>
            </w:r>
          </w:p>
        </w:tc>
        <w:tc>
          <w:tcPr>
            <w:tcW w:w="1250" w:type="pct"/>
            <w:vAlign w:val="center"/>
          </w:tcPr>
          <w:p w14:paraId="28D6660E">
            <w:pPr>
              <w:pStyle w:val="12"/>
              <w:jc w:val="center"/>
            </w:pPr>
            <w:r>
              <w:rPr>
                <w:rFonts w:hint="eastAsia"/>
              </w:rPr>
              <w:t>乌迳新田村</w:t>
            </w:r>
          </w:p>
        </w:tc>
      </w:tr>
      <w:tr w14:paraId="421F09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5DA16AE9">
            <w:pPr>
              <w:pStyle w:val="12"/>
              <w:jc w:val="center"/>
            </w:pPr>
            <w:r>
              <w:rPr>
                <w:rFonts w:hint="eastAsia"/>
              </w:rPr>
              <w:t>文  魁</w:t>
            </w:r>
          </w:p>
        </w:tc>
        <w:tc>
          <w:tcPr>
            <w:tcW w:w="1437" w:type="pct"/>
            <w:vAlign w:val="center"/>
          </w:tcPr>
          <w:p w14:paraId="7EB7D844">
            <w:pPr>
              <w:pStyle w:val="12"/>
              <w:jc w:val="center"/>
            </w:pPr>
            <w:r>
              <w:rPr>
                <w:rFonts w:hint="eastAsia"/>
              </w:rPr>
              <w:t>清康熙壬午年（1702年）</w:t>
            </w:r>
          </w:p>
        </w:tc>
        <w:tc>
          <w:tcPr>
            <w:tcW w:w="1063" w:type="pct"/>
            <w:vAlign w:val="center"/>
          </w:tcPr>
          <w:p w14:paraId="1BA2BFB1">
            <w:pPr>
              <w:pStyle w:val="12"/>
              <w:jc w:val="center"/>
            </w:pPr>
            <w:r>
              <w:rPr>
                <w:rFonts w:hint="eastAsia"/>
              </w:rPr>
              <w:t>木</w:t>
            </w:r>
          </w:p>
        </w:tc>
        <w:tc>
          <w:tcPr>
            <w:tcW w:w="1250" w:type="pct"/>
            <w:vAlign w:val="center"/>
          </w:tcPr>
          <w:p w14:paraId="4E1381CD">
            <w:pPr>
              <w:pStyle w:val="12"/>
              <w:jc w:val="center"/>
            </w:pPr>
            <w:r>
              <w:rPr>
                <w:rFonts w:hint="eastAsia"/>
              </w:rPr>
              <w:t>百顺东坑村</w:t>
            </w:r>
          </w:p>
        </w:tc>
      </w:tr>
      <w:tr w14:paraId="549FD0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EEAB73E">
            <w:pPr>
              <w:pStyle w:val="12"/>
              <w:jc w:val="center"/>
            </w:pPr>
            <w:r>
              <w:rPr>
                <w:rFonts w:hint="eastAsia"/>
              </w:rPr>
              <w:t>清惠犹存</w:t>
            </w:r>
          </w:p>
        </w:tc>
        <w:tc>
          <w:tcPr>
            <w:tcW w:w="1437" w:type="pct"/>
            <w:vAlign w:val="center"/>
          </w:tcPr>
          <w:p w14:paraId="7E04618B">
            <w:pPr>
              <w:pStyle w:val="12"/>
              <w:jc w:val="center"/>
            </w:pPr>
            <w:r>
              <w:rPr>
                <w:rFonts w:hint="eastAsia"/>
              </w:rPr>
              <w:t>清雍正二年（1724年）</w:t>
            </w:r>
          </w:p>
        </w:tc>
        <w:tc>
          <w:tcPr>
            <w:tcW w:w="1063" w:type="pct"/>
            <w:vAlign w:val="center"/>
          </w:tcPr>
          <w:p w14:paraId="351989AA">
            <w:pPr>
              <w:pStyle w:val="12"/>
              <w:jc w:val="center"/>
            </w:pPr>
            <w:r>
              <w:rPr>
                <w:rFonts w:hint="eastAsia"/>
              </w:rPr>
              <w:t>木</w:t>
            </w:r>
          </w:p>
        </w:tc>
        <w:tc>
          <w:tcPr>
            <w:tcW w:w="1250" w:type="pct"/>
            <w:vAlign w:val="center"/>
          </w:tcPr>
          <w:p w14:paraId="73EBB05C">
            <w:pPr>
              <w:pStyle w:val="12"/>
              <w:jc w:val="center"/>
            </w:pPr>
            <w:r>
              <w:rPr>
                <w:rFonts w:hint="eastAsia"/>
              </w:rPr>
              <w:t>百顺东坑村</w:t>
            </w:r>
          </w:p>
        </w:tc>
      </w:tr>
      <w:tr w14:paraId="230FD7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C9E4FC3">
            <w:pPr>
              <w:pStyle w:val="12"/>
              <w:jc w:val="center"/>
            </w:pPr>
            <w:r>
              <w:rPr>
                <w:rFonts w:hint="eastAsia"/>
              </w:rPr>
              <w:t>清时后造</w:t>
            </w:r>
          </w:p>
        </w:tc>
        <w:tc>
          <w:tcPr>
            <w:tcW w:w="1437" w:type="pct"/>
            <w:vAlign w:val="center"/>
          </w:tcPr>
          <w:p w14:paraId="565B94E6">
            <w:pPr>
              <w:pStyle w:val="12"/>
              <w:jc w:val="center"/>
            </w:pPr>
            <w:r>
              <w:rPr>
                <w:rFonts w:hint="eastAsia"/>
              </w:rPr>
              <w:t>清雍正二年（1724年）</w:t>
            </w:r>
          </w:p>
        </w:tc>
        <w:tc>
          <w:tcPr>
            <w:tcW w:w="1063" w:type="pct"/>
            <w:vAlign w:val="center"/>
          </w:tcPr>
          <w:p w14:paraId="51F22FFD">
            <w:pPr>
              <w:pStyle w:val="12"/>
              <w:jc w:val="center"/>
            </w:pPr>
            <w:r>
              <w:rPr>
                <w:rFonts w:hint="eastAsia"/>
              </w:rPr>
              <w:t>木</w:t>
            </w:r>
          </w:p>
        </w:tc>
        <w:tc>
          <w:tcPr>
            <w:tcW w:w="1250" w:type="pct"/>
            <w:vAlign w:val="center"/>
          </w:tcPr>
          <w:p w14:paraId="14DCC502">
            <w:pPr>
              <w:pStyle w:val="12"/>
              <w:jc w:val="center"/>
            </w:pPr>
            <w:r>
              <w:rPr>
                <w:rFonts w:hint="eastAsia"/>
              </w:rPr>
              <w:t>百顺东坑村</w:t>
            </w:r>
          </w:p>
        </w:tc>
      </w:tr>
      <w:tr w14:paraId="3E49A2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1250" w:type="pct"/>
            <w:vAlign w:val="center"/>
          </w:tcPr>
          <w:p w14:paraId="7C65EC9D">
            <w:pPr>
              <w:pStyle w:val="12"/>
              <w:jc w:val="center"/>
            </w:pPr>
            <w:r>
              <w:rPr>
                <w:rFonts w:hint="eastAsia"/>
              </w:rPr>
              <w:t>龙章凤浩</w:t>
            </w:r>
          </w:p>
        </w:tc>
        <w:tc>
          <w:tcPr>
            <w:tcW w:w="1437" w:type="pct"/>
            <w:vAlign w:val="center"/>
          </w:tcPr>
          <w:p w14:paraId="30CBC089">
            <w:pPr>
              <w:pStyle w:val="12"/>
              <w:jc w:val="center"/>
            </w:pPr>
            <w:r>
              <w:rPr>
                <w:rFonts w:hint="eastAsia"/>
              </w:rPr>
              <w:t>清雍正三年（1725年）</w:t>
            </w:r>
          </w:p>
        </w:tc>
        <w:tc>
          <w:tcPr>
            <w:tcW w:w="1063" w:type="pct"/>
            <w:vAlign w:val="center"/>
          </w:tcPr>
          <w:p w14:paraId="4F1D6F6B">
            <w:pPr>
              <w:pStyle w:val="12"/>
              <w:jc w:val="center"/>
            </w:pPr>
            <w:r>
              <w:rPr>
                <w:rFonts w:hint="eastAsia"/>
              </w:rPr>
              <w:t>木</w:t>
            </w:r>
          </w:p>
        </w:tc>
        <w:tc>
          <w:tcPr>
            <w:tcW w:w="1250" w:type="pct"/>
            <w:vAlign w:val="center"/>
          </w:tcPr>
          <w:p w14:paraId="5D193A21">
            <w:pPr>
              <w:pStyle w:val="12"/>
              <w:jc w:val="center"/>
            </w:pPr>
            <w:r>
              <w:rPr>
                <w:rFonts w:hint="eastAsia"/>
              </w:rPr>
              <w:t>百顺东坑村</w:t>
            </w:r>
          </w:p>
        </w:tc>
      </w:tr>
      <w:tr w14:paraId="06FA7E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F2D0AE3">
            <w:pPr>
              <w:pStyle w:val="12"/>
              <w:jc w:val="center"/>
            </w:pPr>
            <w:r>
              <w:rPr>
                <w:rFonts w:hint="eastAsia"/>
              </w:rPr>
              <w:t>恩进士</w:t>
            </w:r>
          </w:p>
        </w:tc>
        <w:tc>
          <w:tcPr>
            <w:tcW w:w="1437" w:type="pct"/>
            <w:vAlign w:val="center"/>
          </w:tcPr>
          <w:p w14:paraId="2E223296">
            <w:pPr>
              <w:pStyle w:val="12"/>
              <w:jc w:val="center"/>
            </w:pPr>
            <w:r>
              <w:rPr>
                <w:rFonts w:hint="eastAsia"/>
              </w:rPr>
              <w:t>清雍正七年（1729年）</w:t>
            </w:r>
          </w:p>
        </w:tc>
        <w:tc>
          <w:tcPr>
            <w:tcW w:w="1063" w:type="pct"/>
            <w:vAlign w:val="center"/>
          </w:tcPr>
          <w:p w14:paraId="1A863A81">
            <w:pPr>
              <w:pStyle w:val="12"/>
              <w:jc w:val="center"/>
            </w:pPr>
            <w:r>
              <w:rPr>
                <w:rFonts w:hint="eastAsia"/>
              </w:rPr>
              <w:t>木</w:t>
            </w:r>
          </w:p>
        </w:tc>
        <w:tc>
          <w:tcPr>
            <w:tcW w:w="1250" w:type="pct"/>
            <w:vAlign w:val="center"/>
          </w:tcPr>
          <w:p w14:paraId="6408A414">
            <w:pPr>
              <w:pStyle w:val="12"/>
              <w:jc w:val="center"/>
            </w:pPr>
            <w:r>
              <w:rPr>
                <w:rFonts w:hint="eastAsia"/>
              </w:rPr>
              <w:t>百顺东坑村</w:t>
            </w:r>
          </w:p>
        </w:tc>
      </w:tr>
      <w:tr w14:paraId="65DCF0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391F2C5">
            <w:pPr>
              <w:pStyle w:val="12"/>
              <w:jc w:val="center"/>
            </w:pPr>
            <w:r>
              <w:rPr>
                <w:rFonts w:hint="eastAsia"/>
              </w:rPr>
              <w:t>启闭分猷</w:t>
            </w:r>
          </w:p>
        </w:tc>
        <w:tc>
          <w:tcPr>
            <w:tcW w:w="1437" w:type="pct"/>
            <w:vAlign w:val="center"/>
          </w:tcPr>
          <w:p w14:paraId="6146E72D">
            <w:pPr>
              <w:pStyle w:val="12"/>
              <w:jc w:val="center"/>
            </w:pPr>
            <w:r>
              <w:rPr>
                <w:rFonts w:hint="eastAsia"/>
              </w:rPr>
              <w:t>清雍正十三年（1735年）</w:t>
            </w:r>
          </w:p>
        </w:tc>
        <w:tc>
          <w:tcPr>
            <w:tcW w:w="1063" w:type="pct"/>
            <w:vAlign w:val="center"/>
          </w:tcPr>
          <w:p w14:paraId="56C0245F">
            <w:pPr>
              <w:pStyle w:val="12"/>
              <w:jc w:val="center"/>
            </w:pPr>
            <w:r>
              <w:rPr>
                <w:rFonts w:hint="eastAsia"/>
              </w:rPr>
              <w:t>木</w:t>
            </w:r>
          </w:p>
        </w:tc>
        <w:tc>
          <w:tcPr>
            <w:tcW w:w="1250" w:type="pct"/>
            <w:vAlign w:val="center"/>
          </w:tcPr>
          <w:p w14:paraId="0F32D494">
            <w:pPr>
              <w:pStyle w:val="12"/>
              <w:jc w:val="center"/>
            </w:pPr>
            <w:r>
              <w:rPr>
                <w:rFonts w:hint="eastAsia"/>
              </w:rPr>
              <w:t>百顺东坑村</w:t>
            </w:r>
          </w:p>
        </w:tc>
      </w:tr>
      <w:tr w14:paraId="3A83FE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3B28BB9">
            <w:pPr>
              <w:pStyle w:val="12"/>
              <w:jc w:val="center"/>
            </w:pPr>
            <w:r>
              <w:rPr>
                <w:rFonts w:hint="eastAsia"/>
              </w:rPr>
              <w:t>观台佐政</w:t>
            </w:r>
          </w:p>
        </w:tc>
        <w:tc>
          <w:tcPr>
            <w:tcW w:w="1437" w:type="pct"/>
            <w:vAlign w:val="center"/>
          </w:tcPr>
          <w:p w14:paraId="35C2201C">
            <w:pPr>
              <w:pStyle w:val="12"/>
              <w:jc w:val="center"/>
            </w:pPr>
            <w:r>
              <w:rPr>
                <w:rFonts w:hint="eastAsia"/>
              </w:rPr>
              <w:t>清雍正十三年（1735年）</w:t>
            </w:r>
          </w:p>
        </w:tc>
        <w:tc>
          <w:tcPr>
            <w:tcW w:w="1063" w:type="pct"/>
            <w:vAlign w:val="center"/>
          </w:tcPr>
          <w:p w14:paraId="6D6E4782">
            <w:pPr>
              <w:pStyle w:val="12"/>
              <w:jc w:val="center"/>
            </w:pPr>
            <w:r>
              <w:rPr>
                <w:rFonts w:hint="eastAsia"/>
              </w:rPr>
              <w:t>木</w:t>
            </w:r>
          </w:p>
        </w:tc>
        <w:tc>
          <w:tcPr>
            <w:tcW w:w="1250" w:type="pct"/>
            <w:vAlign w:val="center"/>
          </w:tcPr>
          <w:p w14:paraId="7427A9DC">
            <w:pPr>
              <w:pStyle w:val="12"/>
              <w:jc w:val="center"/>
            </w:pPr>
            <w:r>
              <w:rPr>
                <w:rFonts w:hint="eastAsia"/>
              </w:rPr>
              <w:t>百顺东坑村</w:t>
            </w:r>
          </w:p>
        </w:tc>
      </w:tr>
      <w:tr w14:paraId="38AD3A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E2A83F3">
            <w:pPr>
              <w:pStyle w:val="12"/>
              <w:jc w:val="center"/>
            </w:pPr>
            <w:r>
              <w:rPr>
                <w:rFonts w:hint="eastAsia"/>
              </w:rPr>
              <w:t>后髦誉望</w:t>
            </w:r>
          </w:p>
        </w:tc>
        <w:tc>
          <w:tcPr>
            <w:tcW w:w="1437" w:type="pct"/>
            <w:vAlign w:val="center"/>
          </w:tcPr>
          <w:p w14:paraId="12133D38">
            <w:pPr>
              <w:pStyle w:val="12"/>
              <w:jc w:val="center"/>
            </w:pPr>
            <w:r>
              <w:rPr>
                <w:rFonts w:hint="eastAsia"/>
              </w:rPr>
              <w:t>清乾隆四年（1739年）</w:t>
            </w:r>
          </w:p>
        </w:tc>
        <w:tc>
          <w:tcPr>
            <w:tcW w:w="1063" w:type="pct"/>
            <w:vAlign w:val="center"/>
          </w:tcPr>
          <w:p w14:paraId="37BE5415">
            <w:pPr>
              <w:pStyle w:val="12"/>
              <w:jc w:val="center"/>
            </w:pPr>
            <w:r>
              <w:rPr>
                <w:rFonts w:hint="eastAsia"/>
              </w:rPr>
              <w:t>木</w:t>
            </w:r>
          </w:p>
        </w:tc>
        <w:tc>
          <w:tcPr>
            <w:tcW w:w="1250" w:type="pct"/>
            <w:vAlign w:val="center"/>
          </w:tcPr>
          <w:p w14:paraId="6B0A28A5">
            <w:pPr>
              <w:pStyle w:val="12"/>
              <w:jc w:val="center"/>
            </w:pPr>
            <w:r>
              <w:rPr>
                <w:rFonts w:hint="eastAsia"/>
              </w:rPr>
              <w:t>百顺东坑村</w:t>
            </w:r>
          </w:p>
        </w:tc>
      </w:tr>
      <w:tr w14:paraId="5CC13E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C7A4C68">
            <w:pPr>
              <w:pStyle w:val="12"/>
              <w:jc w:val="center"/>
            </w:pPr>
            <w:r>
              <w:rPr>
                <w:rFonts w:hint="eastAsia"/>
              </w:rPr>
              <w:t>王国储桢</w:t>
            </w:r>
          </w:p>
        </w:tc>
        <w:tc>
          <w:tcPr>
            <w:tcW w:w="1437" w:type="pct"/>
            <w:vAlign w:val="center"/>
          </w:tcPr>
          <w:p w14:paraId="7EBE3FB5">
            <w:pPr>
              <w:pStyle w:val="12"/>
              <w:jc w:val="center"/>
            </w:pPr>
            <w:r>
              <w:rPr>
                <w:rFonts w:hint="eastAsia"/>
              </w:rPr>
              <w:t>清嘉庆五年（1800年）</w:t>
            </w:r>
          </w:p>
        </w:tc>
        <w:tc>
          <w:tcPr>
            <w:tcW w:w="1063" w:type="pct"/>
            <w:vAlign w:val="center"/>
          </w:tcPr>
          <w:p w14:paraId="58DC41C2">
            <w:pPr>
              <w:pStyle w:val="12"/>
              <w:jc w:val="center"/>
            </w:pPr>
            <w:r>
              <w:rPr>
                <w:rFonts w:hint="eastAsia"/>
              </w:rPr>
              <w:t>木</w:t>
            </w:r>
          </w:p>
        </w:tc>
        <w:tc>
          <w:tcPr>
            <w:tcW w:w="1250" w:type="pct"/>
            <w:vAlign w:val="center"/>
          </w:tcPr>
          <w:p w14:paraId="160C31D1">
            <w:pPr>
              <w:pStyle w:val="12"/>
              <w:jc w:val="center"/>
            </w:pPr>
            <w:r>
              <w:rPr>
                <w:rFonts w:hint="eastAsia"/>
              </w:rPr>
              <w:t>百顺东坑村</w:t>
            </w:r>
          </w:p>
        </w:tc>
      </w:tr>
      <w:tr w14:paraId="545D02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D21061E">
            <w:pPr>
              <w:pStyle w:val="12"/>
              <w:jc w:val="center"/>
            </w:pPr>
            <w:r>
              <w:rPr>
                <w:rFonts w:hint="eastAsia"/>
              </w:rPr>
              <w:t>恩进士</w:t>
            </w:r>
          </w:p>
        </w:tc>
        <w:tc>
          <w:tcPr>
            <w:tcW w:w="1437" w:type="pct"/>
            <w:vAlign w:val="center"/>
          </w:tcPr>
          <w:p w14:paraId="0D1B4558">
            <w:pPr>
              <w:pStyle w:val="12"/>
              <w:jc w:val="center"/>
            </w:pPr>
            <w:r>
              <w:rPr>
                <w:rFonts w:hint="eastAsia"/>
              </w:rPr>
              <w:t>清嘉庆九年（1804年）</w:t>
            </w:r>
          </w:p>
        </w:tc>
        <w:tc>
          <w:tcPr>
            <w:tcW w:w="1063" w:type="pct"/>
            <w:vAlign w:val="center"/>
          </w:tcPr>
          <w:p w14:paraId="051FB11D">
            <w:pPr>
              <w:pStyle w:val="12"/>
              <w:jc w:val="center"/>
            </w:pPr>
            <w:r>
              <w:rPr>
                <w:rFonts w:hint="eastAsia"/>
              </w:rPr>
              <w:t>木</w:t>
            </w:r>
          </w:p>
        </w:tc>
        <w:tc>
          <w:tcPr>
            <w:tcW w:w="1250" w:type="pct"/>
            <w:vAlign w:val="center"/>
          </w:tcPr>
          <w:p w14:paraId="67F0DF32">
            <w:pPr>
              <w:pStyle w:val="12"/>
              <w:jc w:val="center"/>
            </w:pPr>
            <w:r>
              <w:rPr>
                <w:rFonts w:hint="eastAsia"/>
              </w:rPr>
              <w:t>百顺东坑村</w:t>
            </w:r>
          </w:p>
        </w:tc>
      </w:tr>
      <w:tr w14:paraId="477D10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E61E9DA">
            <w:pPr>
              <w:pStyle w:val="12"/>
              <w:jc w:val="center"/>
            </w:pPr>
            <w:r>
              <w:rPr>
                <w:rFonts w:hint="eastAsia"/>
              </w:rPr>
              <w:t>恩进士</w:t>
            </w:r>
          </w:p>
        </w:tc>
        <w:tc>
          <w:tcPr>
            <w:tcW w:w="1437" w:type="pct"/>
            <w:vAlign w:val="center"/>
          </w:tcPr>
          <w:p w14:paraId="63B9C962">
            <w:pPr>
              <w:pStyle w:val="12"/>
              <w:jc w:val="center"/>
            </w:pPr>
            <w:r>
              <w:rPr>
                <w:rFonts w:hint="eastAsia"/>
              </w:rPr>
              <w:t>清嘉庆二十二年（1817年）</w:t>
            </w:r>
          </w:p>
        </w:tc>
        <w:tc>
          <w:tcPr>
            <w:tcW w:w="1063" w:type="pct"/>
            <w:vAlign w:val="center"/>
          </w:tcPr>
          <w:p w14:paraId="2CEB0C45">
            <w:pPr>
              <w:pStyle w:val="12"/>
              <w:jc w:val="center"/>
            </w:pPr>
            <w:r>
              <w:rPr>
                <w:rFonts w:hint="eastAsia"/>
              </w:rPr>
              <w:t>木</w:t>
            </w:r>
          </w:p>
        </w:tc>
        <w:tc>
          <w:tcPr>
            <w:tcW w:w="1250" w:type="pct"/>
            <w:vAlign w:val="center"/>
          </w:tcPr>
          <w:p w14:paraId="520DABAD">
            <w:pPr>
              <w:pStyle w:val="12"/>
              <w:jc w:val="center"/>
            </w:pPr>
            <w:r>
              <w:rPr>
                <w:rFonts w:hint="eastAsia"/>
              </w:rPr>
              <w:t>百顺东坑村</w:t>
            </w:r>
          </w:p>
        </w:tc>
      </w:tr>
      <w:tr w14:paraId="6EC311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C103CF1">
            <w:pPr>
              <w:pStyle w:val="12"/>
              <w:jc w:val="center"/>
            </w:pPr>
            <w:r>
              <w:rPr>
                <w:rFonts w:hint="eastAsia"/>
              </w:rPr>
              <w:t>百世重宁</w:t>
            </w:r>
          </w:p>
        </w:tc>
        <w:tc>
          <w:tcPr>
            <w:tcW w:w="1437" w:type="pct"/>
            <w:vAlign w:val="center"/>
          </w:tcPr>
          <w:p w14:paraId="4FB80BFF">
            <w:pPr>
              <w:pStyle w:val="12"/>
              <w:jc w:val="center"/>
            </w:pPr>
            <w:r>
              <w:rPr>
                <w:rFonts w:hint="eastAsia"/>
              </w:rPr>
              <w:t>清嘉庆十八年（1813年）</w:t>
            </w:r>
          </w:p>
        </w:tc>
        <w:tc>
          <w:tcPr>
            <w:tcW w:w="1063" w:type="pct"/>
            <w:vAlign w:val="center"/>
          </w:tcPr>
          <w:p w14:paraId="31CA7750">
            <w:pPr>
              <w:pStyle w:val="12"/>
              <w:jc w:val="center"/>
            </w:pPr>
            <w:r>
              <w:rPr>
                <w:rFonts w:hint="eastAsia"/>
              </w:rPr>
              <w:t>木</w:t>
            </w:r>
          </w:p>
        </w:tc>
        <w:tc>
          <w:tcPr>
            <w:tcW w:w="1250" w:type="pct"/>
            <w:vAlign w:val="center"/>
          </w:tcPr>
          <w:p w14:paraId="53437FBF">
            <w:pPr>
              <w:pStyle w:val="12"/>
              <w:jc w:val="center"/>
            </w:pPr>
            <w:r>
              <w:rPr>
                <w:rFonts w:hint="eastAsia"/>
              </w:rPr>
              <w:t>南亩水星村</w:t>
            </w:r>
          </w:p>
        </w:tc>
      </w:tr>
      <w:tr w14:paraId="2F1633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36EE46F">
            <w:pPr>
              <w:pStyle w:val="12"/>
              <w:jc w:val="center"/>
            </w:pPr>
            <w:r>
              <w:rPr>
                <w:rFonts w:hint="eastAsia"/>
              </w:rPr>
              <w:t>婺宿长辉</w:t>
            </w:r>
          </w:p>
        </w:tc>
        <w:tc>
          <w:tcPr>
            <w:tcW w:w="1437" w:type="pct"/>
            <w:vAlign w:val="center"/>
          </w:tcPr>
          <w:p w14:paraId="66AD0330">
            <w:pPr>
              <w:pStyle w:val="12"/>
              <w:jc w:val="center"/>
            </w:pPr>
            <w:r>
              <w:rPr>
                <w:rFonts w:hint="eastAsia"/>
              </w:rPr>
              <w:t>清嘉庆二十二年（1817年）</w:t>
            </w:r>
          </w:p>
        </w:tc>
        <w:tc>
          <w:tcPr>
            <w:tcW w:w="1063" w:type="pct"/>
            <w:vAlign w:val="center"/>
          </w:tcPr>
          <w:p w14:paraId="13563E01">
            <w:pPr>
              <w:pStyle w:val="12"/>
              <w:jc w:val="center"/>
            </w:pPr>
            <w:r>
              <w:rPr>
                <w:rFonts w:hint="eastAsia"/>
              </w:rPr>
              <w:t>木</w:t>
            </w:r>
          </w:p>
        </w:tc>
        <w:tc>
          <w:tcPr>
            <w:tcW w:w="1250" w:type="pct"/>
            <w:vAlign w:val="center"/>
          </w:tcPr>
          <w:p w14:paraId="4BF7F717">
            <w:pPr>
              <w:pStyle w:val="12"/>
              <w:jc w:val="center"/>
            </w:pPr>
            <w:r>
              <w:rPr>
                <w:rFonts w:hint="eastAsia"/>
              </w:rPr>
              <w:t>百顺东坑村</w:t>
            </w:r>
          </w:p>
        </w:tc>
      </w:tr>
      <w:tr w14:paraId="28FC05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0D808C06">
            <w:pPr>
              <w:pStyle w:val="12"/>
              <w:jc w:val="center"/>
            </w:pPr>
            <w:r>
              <w:rPr>
                <w:rFonts w:hint="eastAsia"/>
              </w:rPr>
              <w:t>才储国选</w:t>
            </w:r>
          </w:p>
        </w:tc>
        <w:tc>
          <w:tcPr>
            <w:tcW w:w="1437" w:type="pct"/>
            <w:vAlign w:val="center"/>
          </w:tcPr>
          <w:p w14:paraId="75CBEF51">
            <w:pPr>
              <w:pStyle w:val="12"/>
              <w:jc w:val="center"/>
            </w:pPr>
            <w:r>
              <w:rPr>
                <w:rFonts w:hint="eastAsia"/>
              </w:rPr>
              <w:t>清咸丰四年（1854年）</w:t>
            </w:r>
          </w:p>
        </w:tc>
        <w:tc>
          <w:tcPr>
            <w:tcW w:w="1063" w:type="pct"/>
            <w:vAlign w:val="center"/>
          </w:tcPr>
          <w:p w14:paraId="0ADDDE12">
            <w:pPr>
              <w:pStyle w:val="12"/>
              <w:jc w:val="center"/>
            </w:pPr>
            <w:r>
              <w:rPr>
                <w:rFonts w:hint="eastAsia"/>
              </w:rPr>
              <w:t>木</w:t>
            </w:r>
          </w:p>
        </w:tc>
        <w:tc>
          <w:tcPr>
            <w:tcW w:w="1250" w:type="pct"/>
            <w:vAlign w:val="center"/>
          </w:tcPr>
          <w:p w14:paraId="409E386A">
            <w:pPr>
              <w:pStyle w:val="12"/>
              <w:jc w:val="center"/>
            </w:pPr>
            <w:r>
              <w:rPr>
                <w:rFonts w:hint="eastAsia"/>
              </w:rPr>
              <w:t>百顺东坑村</w:t>
            </w:r>
          </w:p>
        </w:tc>
      </w:tr>
      <w:tr w14:paraId="6F9C68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5FC412A3">
            <w:pPr>
              <w:pStyle w:val="12"/>
              <w:jc w:val="center"/>
            </w:pPr>
            <w:r>
              <w:rPr>
                <w:rFonts w:hint="eastAsia"/>
              </w:rPr>
              <w:t>回澜门</w:t>
            </w:r>
          </w:p>
        </w:tc>
        <w:tc>
          <w:tcPr>
            <w:tcW w:w="1437" w:type="pct"/>
            <w:vAlign w:val="center"/>
          </w:tcPr>
          <w:p w14:paraId="5355526E">
            <w:pPr>
              <w:pStyle w:val="12"/>
              <w:jc w:val="center"/>
            </w:pPr>
            <w:r>
              <w:rPr>
                <w:rFonts w:hint="eastAsia"/>
              </w:rPr>
              <w:t>清同治三年（1862年）</w:t>
            </w:r>
          </w:p>
        </w:tc>
        <w:tc>
          <w:tcPr>
            <w:tcW w:w="1063" w:type="pct"/>
            <w:vAlign w:val="center"/>
          </w:tcPr>
          <w:p w14:paraId="731AAED9">
            <w:pPr>
              <w:pStyle w:val="12"/>
              <w:jc w:val="center"/>
            </w:pPr>
            <w:r>
              <w:rPr>
                <w:rFonts w:hint="eastAsia"/>
              </w:rPr>
              <w:t>石</w:t>
            </w:r>
          </w:p>
        </w:tc>
        <w:tc>
          <w:tcPr>
            <w:tcW w:w="1250" w:type="pct"/>
            <w:vAlign w:val="center"/>
          </w:tcPr>
          <w:p w14:paraId="1426409F">
            <w:pPr>
              <w:pStyle w:val="12"/>
              <w:jc w:val="center"/>
            </w:pPr>
            <w:r>
              <w:rPr>
                <w:rFonts w:hint="eastAsia"/>
              </w:rPr>
              <w:t>回澜门</w:t>
            </w:r>
          </w:p>
        </w:tc>
      </w:tr>
      <w:tr w14:paraId="500342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6EAFB795">
            <w:pPr>
              <w:pStyle w:val="12"/>
              <w:jc w:val="center"/>
            </w:pPr>
            <w:r>
              <w:rPr>
                <w:rFonts w:hint="eastAsia"/>
              </w:rPr>
              <w:t>藩领第</w:t>
            </w:r>
          </w:p>
        </w:tc>
        <w:tc>
          <w:tcPr>
            <w:tcW w:w="1437" w:type="pct"/>
            <w:vAlign w:val="center"/>
          </w:tcPr>
          <w:p w14:paraId="2E53CB92">
            <w:pPr>
              <w:pStyle w:val="12"/>
              <w:jc w:val="center"/>
            </w:pPr>
            <w:r>
              <w:rPr>
                <w:rFonts w:hint="eastAsia"/>
              </w:rPr>
              <w:t>清同治四年（1865年）</w:t>
            </w:r>
          </w:p>
        </w:tc>
        <w:tc>
          <w:tcPr>
            <w:tcW w:w="1063" w:type="pct"/>
            <w:vAlign w:val="center"/>
          </w:tcPr>
          <w:p w14:paraId="71EB01B1">
            <w:pPr>
              <w:pStyle w:val="12"/>
              <w:jc w:val="center"/>
            </w:pPr>
            <w:r>
              <w:rPr>
                <w:rFonts w:hint="eastAsia"/>
              </w:rPr>
              <w:t>木</w:t>
            </w:r>
          </w:p>
        </w:tc>
        <w:tc>
          <w:tcPr>
            <w:tcW w:w="1250" w:type="pct"/>
            <w:vAlign w:val="center"/>
          </w:tcPr>
          <w:p w14:paraId="380271BD">
            <w:pPr>
              <w:pStyle w:val="12"/>
              <w:jc w:val="center"/>
            </w:pPr>
            <w:r>
              <w:rPr>
                <w:rFonts w:hint="eastAsia"/>
              </w:rPr>
              <w:t>百顺东坑村</w:t>
            </w:r>
          </w:p>
        </w:tc>
      </w:tr>
      <w:tr w14:paraId="048235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994CD93">
            <w:pPr>
              <w:pStyle w:val="12"/>
              <w:jc w:val="center"/>
            </w:pPr>
            <w:r>
              <w:rPr>
                <w:rFonts w:hint="eastAsia"/>
              </w:rPr>
              <w:t>监  元</w:t>
            </w:r>
          </w:p>
        </w:tc>
        <w:tc>
          <w:tcPr>
            <w:tcW w:w="1437" w:type="pct"/>
            <w:vAlign w:val="center"/>
          </w:tcPr>
          <w:p w14:paraId="3F1B2AD6">
            <w:pPr>
              <w:pStyle w:val="12"/>
              <w:jc w:val="center"/>
            </w:pPr>
            <w:r>
              <w:rPr>
                <w:rFonts w:hint="eastAsia"/>
              </w:rPr>
              <w:t>清同治七年（1868年）</w:t>
            </w:r>
          </w:p>
        </w:tc>
        <w:tc>
          <w:tcPr>
            <w:tcW w:w="1063" w:type="pct"/>
            <w:vAlign w:val="center"/>
          </w:tcPr>
          <w:p w14:paraId="5954A994">
            <w:pPr>
              <w:pStyle w:val="12"/>
              <w:jc w:val="center"/>
            </w:pPr>
            <w:r>
              <w:rPr>
                <w:rFonts w:hint="eastAsia"/>
              </w:rPr>
              <w:t>木</w:t>
            </w:r>
          </w:p>
        </w:tc>
        <w:tc>
          <w:tcPr>
            <w:tcW w:w="1250" w:type="pct"/>
            <w:vAlign w:val="center"/>
          </w:tcPr>
          <w:p w14:paraId="6952A196">
            <w:pPr>
              <w:pStyle w:val="12"/>
              <w:jc w:val="center"/>
            </w:pPr>
            <w:r>
              <w:rPr>
                <w:rFonts w:hint="eastAsia"/>
              </w:rPr>
              <w:t>百顺东坑村</w:t>
            </w:r>
          </w:p>
        </w:tc>
      </w:tr>
      <w:tr w14:paraId="3EDE8F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285AB12">
            <w:pPr>
              <w:pStyle w:val="12"/>
              <w:jc w:val="center"/>
            </w:pPr>
            <w:r>
              <w:rPr>
                <w:rFonts w:hint="eastAsia"/>
              </w:rPr>
              <w:t>玉堂雅望</w:t>
            </w:r>
          </w:p>
        </w:tc>
        <w:tc>
          <w:tcPr>
            <w:tcW w:w="1437" w:type="pct"/>
            <w:vAlign w:val="center"/>
          </w:tcPr>
          <w:p w14:paraId="26B1788C">
            <w:pPr>
              <w:pStyle w:val="12"/>
              <w:jc w:val="center"/>
            </w:pPr>
            <w:r>
              <w:rPr>
                <w:rFonts w:hint="eastAsia"/>
              </w:rPr>
              <w:t>清光绪二年（1876年）</w:t>
            </w:r>
          </w:p>
        </w:tc>
        <w:tc>
          <w:tcPr>
            <w:tcW w:w="1063" w:type="pct"/>
            <w:vAlign w:val="center"/>
          </w:tcPr>
          <w:p w14:paraId="14083D6F">
            <w:pPr>
              <w:pStyle w:val="12"/>
              <w:jc w:val="center"/>
            </w:pPr>
            <w:r>
              <w:rPr>
                <w:rFonts w:hint="eastAsia"/>
              </w:rPr>
              <w:t>木</w:t>
            </w:r>
          </w:p>
        </w:tc>
        <w:tc>
          <w:tcPr>
            <w:tcW w:w="1250" w:type="pct"/>
            <w:vAlign w:val="center"/>
          </w:tcPr>
          <w:p w14:paraId="780E4D4A">
            <w:pPr>
              <w:pStyle w:val="12"/>
              <w:jc w:val="center"/>
            </w:pPr>
            <w:r>
              <w:rPr>
                <w:rFonts w:hint="eastAsia"/>
              </w:rPr>
              <w:t>百顺东坑村</w:t>
            </w:r>
          </w:p>
        </w:tc>
      </w:tr>
      <w:tr w14:paraId="214643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0E3AB9C3">
            <w:pPr>
              <w:pStyle w:val="12"/>
              <w:jc w:val="center"/>
            </w:pPr>
            <w:r>
              <w:rPr>
                <w:rFonts w:hint="eastAsia"/>
              </w:rPr>
              <w:t>王国储材</w:t>
            </w:r>
          </w:p>
        </w:tc>
        <w:tc>
          <w:tcPr>
            <w:tcW w:w="1437" w:type="pct"/>
            <w:vAlign w:val="center"/>
          </w:tcPr>
          <w:p w14:paraId="778CCEE0">
            <w:pPr>
              <w:pStyle w:val="12"/>
              <w:jc w:val="center"/>
            </w:pPr>
            <w:r>
              <w:rPr>
                <w:rFonts w:hint="eastAsia"/>
              </w:rPr>
              <w:t>清光绪三年（1877年）</w:t>
            </w:r>
          </w:p>
        </w:tc>
        <w:tc>
          <w:tcPr>
            <w:tcW w:w="1063" w:type="pct"/>
            <w:vAlign w:val="center"/>
          </w:tcPr>
          <w:p w14:paraId="354CD9E3">
            <w:pPr>
              <w:pStyle w:val="12"/>
              <w:jc w:val="center"/>
            </w:pPr>
            <w:r>
              <w:rPr>
                <w:rFonts w:hint="eastAsia"/>
              </w:rPr>
              <w:t>木</w:t>
            </w:r>
          </w:p>
        </w:tc>
        <w:tc>
          <w:tcPr>
            <w:tcW w:w="1250" w:type="pct"/>
            <w:vAlign w:val="center"/>
          </w:tcPr>
          <w:p w14:paraId="0FFCA197">
            <w:pPr>
              <w:pStyle w:val="12"/>
              <w:jc w:val="center"/>
            </w:pPr>
            <w:r>
              <w:rPr>
                <w:rFonts w:hint="eastAsia"/>
              </w:rPr>
              <w:t>百顺东坑村</w:t>
            </w:r>
          </w:p>
        </w:tc>
      </w:tr>
      <w:tr w14:paraId="77A3770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1250" w:type="pct"/>
            <w:vAlign w:val="center"/>
          </w:tcPr>
          <w:p w14:paraId="03BC9368">
            <w:pPr>
              <w:pStyle w:val="12"/>
              <w:jc w:val="center"/>
            </w:pPr>
            <w:r>
              <w:rPr>
                <w:rFonts w:hint="eastAsia"/>
              </w:rPr>
              <w:t>德配坤元</w:t>
            </w:r>
          </w:p>
        </w:tc>
        <w:tc>
          <w:tcPr>
            <w:tcW w:w="1437" w:type="pct"/>
            <w:vAlign w:val="center"/>
          </w:tcPr>
          <w:p w14:paraId="782F41F6">
            <w:pPr>
              <w:pStyle w:val="12"/>
              <w:jc w:val="center"/>
            </w:pPr>
            <w:r>
              <w:rPr>
                <w:rFonts w:hint="eastAsia"/>
              </w:rPr>
              <w:t>清光绪三年（1877年）</w:t>
            </w:r>
          </w:p>
        </w:tc>
        <w:tc>
          <w:tcPr>
            <w:tcW w:w="1063" w:type="pct"/>
            <w:vAlign w:val="center"/>
          </w:tcPr>
          <w:p w14:paraId="5CCB14DB">
            <w:pPr>
              <w:pStyle w:val="12"/>
              <w:jc w:val="center"/>
            </w:pPr>
            <w:r>
              <w:rPr>
                <w:rFonts w:hint="eastAsia"/>
              </w:rPr>
              <w:t>木</w:t>
            </w:r>
          </w:p>
        </w:tc>
        <w:tc>
          <w:tcPr>
            <w:tcW w:w="1250" w:type="pct"/>
            <w:vAlign w:val="center"/>
          </w:tcPr>
          <w:p w14:paraId="617FEABC">
            <w:pPr>
              <w:pStyle w:val="12"/>
              <w:jc w:val="center"/>
            </w:pPr>
            <w:r>
              <w:rPr>
                <w:rFonts w:hint="eastAsia"/>
              </w:rPr>
              <w:t>百顺东坑村</w:t>
            </w:r>
          </w:p>
        </w:tc>
      </w:tr>
      <w:tr w14:paraId="20F7D3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0D9463E7">
            <w:pPr>
              <w:pStyle w:val="12"/>
              <w:jc w:val="center"/>
            </w:pPr>
            <w:r>
              <w:rPr>
                <w:rFonts w:hint="eastAsia"/>
              </w:rPr>
              <w:t>岁进士</w:t>
            </w:r>
          </w:p>
        </w:tc>
        <w:tc>
          <w:tcPr>
            <w:tcW w:w="1437" w:type="pct"/>
            <w:vAlign w:val="center"/>
          </w:tcPr>
          <w:p w14:paraId="49EC2406">
            <w:pPr>
              <w:pStyle w:val="12"/>
              <w:jc w:val="center"/>
            </w:pPr>
            <w:r>
              <w:rPr>
                <w:rFonts w:hint="eastAsia"/>
              </w:rPr>
              <w:t>清光绪五年（1879年）</w:t>
            </w:r>
          </w:p>
        </w:tc>
        <w:tc>
          <w:tcPr>
            <w:tcW w:w="1063" w:type="pct"/>
            <w:vAlign w:val="center"/>
          </w:tcPr>
          <w:p w14:paraId="624790CC">
            <w:pPr>
              <w:pStyle w:val="12"/>
              <w:jc w:val="center"/>
            </w:pPr>
            <w:r>
              <w:rPr>
                <w:rFonts w:hint="eastAsia"/>
              </w:rPr>
              <w:t>木</w:t>
            </w:r>
          </w:p>
        </w:tc>
        <w:tc>
          <w:tcPr>
            <w:tcW w:w="1250" w:type="pct"/>
            <w:vAlign w:val="center"/>
          </w:tcPr>
          <w:p w14:paraId="78515698">
            <w:pPr>
              <w:pStyle w:val="12"/>
              <w:jc w:val="center"/>
            </w:pPr>
            <w:r>
              <w:rPr>
                <w:rFonts w:hint="eastAsia"/>
              </w:rPr>
              <w:t>全安大塘坪村</w:t>
            </w:r>
          </w:p>
        </w:tc>
      </w:tr>
      <w:tr w14:paraId="3EF2D2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6DFB0B5B">
            <w:pPr>
              <w:pStyle w:val="12"/>
              <w:jc w:val="center"/>
            </w:pPr>
            <w:r>
              <w:rPr>
                <w:rFonts w:hint="eastAsia"/>
              </w:rPr>
              <w:t>广州会馆</w:t>
            </w:r>
          </w:p>
        </w:tc>
        <w:tc>
          <w:tcPr>
            <w:tcW w:w="1437" w:type="pct"/>
            <w:vAlign w:val="center"/>
          </w:tcPr>
          <w:p w14:paraId="4A3EB225">
            <w:pPr>
              <w:pStyle w:val="12"/>
              <w:jc w:val="center"/>
            </w:pPr>
            <w:r>
              <w:rPr>
                <w:rFonts w:hint="eastAsia"/>
              </w:rPr>
              <w:t>清光绪七年（1881年）</w:t>
            </w:r>
          </w:p>
        </w:tc>
        <w:tc>
          <w:tcPr>
            <w:tcW w:w="1063" w:type="pct"/>
            <w:vAlign w:val="center"/>
          </w:tcPr>
          <w:p w14:paraId="56C58962">
            <w:pPr>
              <w:pStyle w:val="12"/>
              <w:jc w:val="center"/>
            </w:pPr>
            <w:r>
              <w:rPr>
                <w:rFonts w:hint="eastAsia"/>
              </w:rPr>
              <w:t>石</w:t>
            </w:r>
          </w:p>
        </w:tc>
        <w:tc>
          <w:tcPr>
            <w:tcW w:w="1250" w:type="pct"/>
            <w:vAlign w:val="center"/>
          </w:tcPr>
          <w:p w14:paraId="1A8114A9">
            <w:pPr>
              <w:pStyle w:val="12"/>
              <w:jc w:val="center"/>
            </w:pPr>
            <w:r>
              <w:rPr>
                <w:rFonts w:hint="eastAsia"/>
              </w:rPr>
              <w:t>市区广州会馆</w:t>
            </w:r>
          </w:p>
        </w:tc>
      </w:tr>
      <w:tr w14:paraId="4F1431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55D8A64">
            <w:pPr>
              <w:pStyle w:val="12"/>
              <w:jc w:val="center"/>
            </w:pPr>
            <w:r>
              <w:rPr>
                <w:rFonts w:hint="eastAsia"/>
              </w:rPr>
              <w:t>水车公所</w:t>
            </w:r>
          </w:p>
        </w:tc>
        <w:tc>
          <w:tcPr>
            <w:tcW w:w="1437" w:type="pct"/>
            <w:vAlign w:val="center"/>
          </w:tcPr>
          <w:p w14:paraId="6B5C7516">
            <w:pPr>
              <w:pStyle w:val="12"/>
              <w:jc w:val="center"/>
            </w:pPr>
            <w:r>
              <w:rPr>
                <w:rFonts w:hint="eastAsia"/>
              </w:rPr>
              <w:t>光绪九年（1883年）</w:t>
            </w:r>
          </w:p>
        </w:tc>
        <w:tc>
          <w:tcPr>
            <w:tcW w:w="1063" w:type="pct"/>
            <w:vAlign w:val="center"/>
          </w:tcPr>
          <w:p w14:paraId="24EF7789">
            <w:pPr>
              <w:pStyle w:val="12"/>
              <w:jc w:val="center"/>
            </w:pPr>
            <w:r>
              <w:rPr>
                <w:rFonts w:hint="eastAsia"/>
              </w:rPr>
              <w:t>石</w:t>
            </w:r>
          </w:p>
        </w:tc>
        <w:tc>
          <w:tcPr>
            <w:tcW w:w="1250" w:type="pct"/>
            <w:vAlign w:val="center"/>
          </w:tcPr>
          <w:p w14:paraId="6FFD598D">
            <w:pPr>
              <w:pStyle w:val="12"/>
              <w:jc w:val="center"/>
            </w:pPr>
            <w:r>
              <w:rPr>
                <w:rFonts w:hint="eastAsia"/>
              </w:rPr>
              <w:t>市区广州会馆</w:t>
            </w:r>
          </w:p>
        </w:tc>
      </w:tr>
      <w:tr w14:paraId="1457D1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3B5CA59">
            <w:pPr>
              <w:pStyle w:val="12"/>
              <w:jc w:val="center"/>
            </w:pPr>
            <w:r>
              <w:rPr>
                <w:rFonts w:hint="eastAsia"/>
              </w:rPr>
              <w:t>椿萱并茂</w:t>
            </w:r>
          </w:p>
        </w:tc>
        <w:tc>
          <w:tcPr>
            <w:tcW w:w="1437" w:type="pct"/>
            <w:vAlign w:val="center"/>
          </w:tcPr>
          <w:p w14:paraId="29529902">
            <w:pPr>
              <w:pStyle w:val="12"/>
              <w:jc w:val="center"/>
            </w:pPr>
            <w:r>
              <w:rPr>
                <w:rFonts w:hint="eastAsia"/>
              </w:rPr>
              <w:t>清光绪十六年（1890年）</w:t>
            </w:r>
          </w:p>
        </w:tc>
        <w:tc>
          <w:tcPr>
            <w:tcW w:w="1063" w:type="pct"/>
            <w:vAlign w:val="center"/>
          </w:tcPr>
          <w:p w14:paraId="0969967B">
            <w:pPr>
              <w:pStyle w:val="12"/>
              <w:jc w:val="center"/>
            </w:pPr>
            <w:r>
              <w:rPr>
                <w:rFonts w:hint="eastAsia"/>
              </w:rPr>
              <w:t>木</w:t>
            </w:r>
          </w:p>
        </w:tc>
        <w:tc>
          <w:tcPr>
            <w:tcW w:w="1250" w:type="pct"/>
            <w:vAlign w:val="center"/>
          </w:tcPr>
          <w:p w14:paraId="5D0816D0">
            <w:pPr>
              <w:pStyle w:val="12"/>
              <w:jc w:val="center"/>
            </w:pPr>
            <w:r>
              <w:rPr>
                <w:rFonts w:hint="eastAsia"/>
              </w:rPr>
              <w:t>南亩长洞村</w:t>
            </w:r>
          </w:p>
        </w:tc>
      </w:tr>
      <w:tr w14:paraId="648953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0ECE5464">
            <w:pPr>
              <w:pStyle w:val="12"/>
              <w:jc w:val="center"/>
            </w:pPr>
            <w:r>
              <w:rPr>
                <w:rFonts w:hint="eastAsia"/>
              </w:rPr>
              <w:t>大夫第</w:t>
            </w:r>
          </w:p>
        </w:tc>
        <w:tc>
          <w:tcPr>
            <w:tcW w:w="1437" w:type="pct"/>
            <w:vAlign w:val="center"/>
          </w:tcPr>
          <w:p w14:paraId="54E1AC03">
            <w:pPr>
              <w:pStyle w:val="12"/>
              <w:jc w:val="center"/>
            </w:pPr>
            <w:r>
              <w:rPr>
                <w:rFonts w:hint="eastAsia"/>
              </w:rPr>
              <w:t>清光绪三十一年（1905年）</w:t>
            </w:r>
          </w:p>
        </w:tc>
        <w:tc>
          <w:tcPr>
            <w:tcW w:w="1063" w:type="pct"/>
            <w:vAlign w:val="center"/>
          </w:tcPr>
          <w:p w14:paraId="5AE07F41">
            <w:pPr>
              <w:pStyle w:val="12"/>
              <w:jc w:val="center"/>
            </w:pPr>
            <w:r>
              <w:rPr>
                <w:rFonts w:hint="eastAsia"/>
              </w:rPr>
              <w:t>木</w:t>
            </w:r>
          </w:p>
        </w:tc>
        <w:tc>
          <w:tcPr>
            <w:tcW w:w="1250" w:type="pct"/>
            <w:vAlign w:val="center"/>
          </w:tcPr>
          <w:p w14:paraId="654ABC1C">
            <w:pPr>
              <w:pStyle w:val="12"/>
              <w:jc w:val="center"/>
            </w:pPr>
            <w:r>
              <w:rPr>
                <w:rFonts w:hint="eastAsia"/>
              </w:rPr>
              <w:t>南亩长岭村</w:t>
            </w:r>
          </w:p>
        </w:tc>
      </w:tr>
      <w:tr w14:paraId="0EB705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E63E845">
            <w:pPr>
              <w:pStyle w:val="12"/>
              <w:jc w:val="center"/>
            </w:pPr>
            <w:r>
              <w:rPr>
                <w:rFonts w:hint="eastAsia"/>
              </w:rPr>
              <w:t>拔  元</w:t>
            </w:r>
          </w:p>
        </w:tc>
        <w:tc>
          <w:tcPr>
            <w:tcW w:w="1437" w:type="pct"/>
            <w:vAlign w:val="center"/>
          </w:tcPr>
          <w:p w14:paraId="7295E1AC">
            <w:pPr>
              <w:pStyle w:val="12"/>
              <w:jc w:val="center"/>
            </w:pPr>
            <w:r>
              <w:rPr>
                <w:rFonts w:hint="eastAsia"/>
              </w:rPr>
              <w:t>清宣统己酉年（1909年）</w:t>
            </w:r>
          </w:p>
        </w:tc>
        <w:tc>
          <w:tcPr>
            <w:tcW w:w="1063" w:type="pct"/>
            <w:vAlign w:val="center"/>
          </w:tcPr>
          <w:p w14:paraId="458AFC4F">
            <w:pPr>
              <w:pStyle w:val="12"/>
              <w:jc w:val="center"/>
            </w:pPr>
            <w:r>
              <w:rPr>
                <w:rFonts w:hint="eastAsia"/>
              </w:rPr>
              <w:t>木</w:t>
            </w:r>
          </w:p>
        </w:tc>
        <w:tc>
          <w:tcPr>
            <w:tcW w:w="1250" w:type="pct"/>
            <w:vAlign w:val="center"/>
          </w:tcPr>
          <w:p w14:paraId="706F8C1D">
            <w:pPr>
              <w:pStyle w:val="12"/>
              <w:jc w:val="center"/>
            </w:pPr>
            <w:r>
              <w:rPr>
                <w:rFonts w:hint="eastAsia"/>
              </w:rPr>
              <w:t>南亩芙蓉水星村</w:t>
            </w:r>
          </w:p>
        </w:tc>
      </w:tr>
      <w:tr w14:paraId="00CF1A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FDBEFB7">
            <w:pPr>
              <w:pStyle w:val="12"/>
              <w:jc w:val="center"/>
            </w:pPr>
            <w:r>
              <w:rPr>
                <w:rFonts w:hint="eastAsia"/>
              </w:rPr>
              <w:t>监  元</w:t>
            </w:r>
          </w:p>
        </w:tc>
        <w:tc>
          <w:tcPr>
            <w:tcW w:w="1437" w:type="pct"/>
            <w:vAlign w:val="center"/>
          </w:tcPr>
          <w:p w14:paraId="73F193EB">
            <w:pPr>
              <w:pStyle w:val="12"/>
              <w:jc w:val="center"/>
            </w:pPr>
            <w:r>
              <w:rPr>
                <w:rFonts w:hint="eastAsia"/>
              </w:rPr>
              <w:t>款毁</w:t>
            </w:r>
          </w:p>
        </w:tc>
        <w:tc>
          <w:tcPr>
            <w:tcW w:w="1063" w:type="pct"/>
            <w:vAlign w:val="center"/>
          </w:tcPr>
          <w:p w14:paraId="002F99BE">
            <w:pPr>
              <w:pStyle w:val="12"/>
              <w:jc w:val="center"/>
            </w:pPr>
            <w:r>
              <w:rPr>
                <w:rFonts w:hint="eastAsia"/>
              </w:rPr>
              <w:t>木</w:t>
            </w:r>
          </w:p>
        </w:tc>
        <w:tc>
          <w:tcPr>
            <w:tcW w:w="1250" w:type="pct"/>
            <w:vAlign w:val="center"/>
          </w:tcPr>
          <w:p w14:paraId="689D7A29">
            <w:pPr>
              <w:pStyle w:val="12"/>
              <w:jc w:val="center"/>
            </w:pPr>
            <w:r>
              <w:rPr>
                <w:rFonts w:hint="eastAsia"/>
              </w:rPr>
              <w:t>百顺东坑村</w:t>
            </w:r>
          </w:p>
        </w:tc>
      </w:tr>
      <w:tr w14:paraId="368D67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0F509F80">
            <w:pPr>
              <w:pStyle w:val="12"/>
              <w:jc w:val="center"/>
            </w:pPr>
            <w:r>
              <w:rPr>
                <w:rFonts w:hint="eastAsia"/>
              </w:rPr>
              <w:t>汾水流芳</w:t>
            </w:r>
          </w:p>
        </w:tc>
        <w:tc>
          <w:tcPr>
            <w:tcW w:w="1437" w:type="pct"/>
            <w:vAlign w:val="center"/>
          </w:tcPr>
          <w:p w14:paraId="0A555744">
            <w:pPr>
              <w:pStyle w:val="12"/>
              <w:jc w:val="center"/>
            </w:pPr>
            <w:r>
              <w:rPr>
                <w:rFonts w:hint="eastAsia"/>
              </w:rPr>
              <w:t>无款</w:t>
            </w:r>
          </w:p>
        </w:tc>
        <w:tc>
          <w:tcPr>
            <w:tcW w:w="1063" w:type="pct"/>
            <w:vAlign w:val="center"/>
          </w:tcPr>
          <w:p w14:paraId="3B2F44B3">
            <w:pPr>
              <w:pStyle w:val="12"/>
              <w:jc w:val="center"/>
            </w:pPr>
            <w:r>
              <w:rPr>
                <w:rFonts w:hint="eastAsia"/>
              </w:rPr>
              <w:t>石</w:t>
            </w:r>
          </w:p>
        </w:tc>
        <w:tc>
          <w:tcPr>
            <w:tcW w:w="1250" w:type="pct"/>
            <w:vAlign w:val="center"/>
          </w:tcPr>
          <w:p w14:paraId="2D0C99C4">
            <w:pPr>
              <w:pStyle w:val="12"/>
              <w:jc w:val="center"/>
            </w:pPr>
            <w:r>
              <w:rPr>
                <w:rFonts w:hint="eastAsia"/>
              </w:rPr>
              <w:t>南亩水星村</w:t>
            </w:r>
          </w:p>
        </w:tc>
      </w:tr>
      <w:tr w14:paraId="78F976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4F75DAF">
            <w:pPr>
              <w:pStyle w:val="12"/>
              <w:jc w:val="center"/>
            </w:pPr>
            <w:r>
              <w:rPr>
                <w:rFonts w:hint="eastAsia"/>
              </w:rPr>
              <w:t>清白世家</w:t>
            </w:r>
          </w:p>
        </w:tc>
        <w:tc>
          <w:tcPr>
            <w:tcW w:w="1437" w:type="pct"/>
            <w:vAlign w:val="center"/>
          </w:tcPr>
          <w:p w14:paraId="6907D09F">
            <w:pPr>
              <w:pStyle w:val="12"/>
              <w:jc w:val="center"/>
            </w:pPr>
            <w:r>
              <w:rPr>
                <w:rFonts w:hint="eastAsia"/>
              </w:rPr>
              <w:t>无款</w:t>
            </w:r>
          </w:p>
        </w:tc>
        <w:tc>
          <w:tcPr>
            <w:tcW w:w="1063" w:type="pct"/>
            <w:vAlign w:val="center"/>
          </w:tcPr>
          <w:p w14:paraId="26E785A6">
            <w:pPr>
              <w:pStyle w:val="12"/>
              <w:jc w:val="center"/>
            </w:pPr>
            <w:r>
              <w:rPr>
                <w:rFonts w:hint="eastAsia"/>
              </w:rPr>
              <w:t>石</w:t>
            </w:r>
          </w:p>
        </w:tc>
        <w:tc>
          <w:tcPr>
            <w:tcW w:w="1250" w:type="pct"/>
            <w:vAlign w:val="center"/>
          </w:tcPr>
          <w:p w14:paraId="6D991F89">
            <w:pPr>
              <w:pStyle w:val="12"/>
              <w:jc w:val="center"/>
            </w:pPr>
            <w:r>
              <w:rPr>
                <w:rFonts w:hint="eastAsia"/>
              </w:rPr>
              <w:t>孔江白胜村</w:t>
            </w:r>
          </w:p>
        </w:tc>
      </w:tr>
      <w:tr w14:paraId="535C82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07A66AFF">
            <w:pPr>
              <w:pStyle w:val="12"/>
              <w:jc w:val="center"/>
            </w:pPr>
            <w:r>
              <w:rPr>
                <w:rFonts w:hint="eastAsia"/>
              </w:rPr>
              <w:t>珠玑古巷吾家故乡</w:t>
            </w:r>
          </w:p>
        </w:tc>
        <w:tc>
          <w:tcPr>
            <w:tcW w:w="1437" w:type="pct"/>
            <w:vAlign w:val="center"/>
          </w:tcPr>
          <w:p w14:paraId="404F9CA4">
            <w:pPr>
              <w:pStyle w:val="12"/>
              <w:jc w:val="center"/>
            </w:pPr>
            <w:r>
              <w:rPr>
                <w:rFonts w:hint="eastAsia"/>
              </w:rPr>
              <w:t>民国18年（1929年）</w:t>
            </w:r>
          </w:p>
        </w:tc>
        <w:tc>
          <w:tcPr>
            <w:tcW w:w="1063" w:type="pct"/>
            <w:vAlign w:val="center"/>
          </w:tcPr>
          <w:p w14:paraId="5905DF1E">
            <w:pPr>
              <w:pStyle w:val="12"/>
              <w:jc w:val="center"/>
            </w:pPr>
            <w:r>
              <w:rPr>
                <w:rFonts w:hint="eastAsia"/>
              </w:rPr>
              <w:t>石</w:t>
            </w:r>
          </w:p>
        </w:tc>
        <w:tc>
          <w:tcPr>
            <w:tcW w:w="1250" w:type="pct"/>
            <w:vAlign w:val="center"/>
          </w:tcPr>
          <w:p w14:paraId="256A48A1">
            <w:pPr>
              <w:pStyle w:val="12"/>
              <w:jc w:val="center"/>
            </w:pPr>
            <w:r>
              <w:rPr>
                <w:rFonts w:hint="eastAsia"/>
              </w:rPr>
              <w:t>珠玑古巷景区</w:t>
            </w:r>
          </w:p>
        </w:tc>
      </w:tr>
      <w:tr w14:paraId="2C2734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0882F9DA">
            <w:pPr>
              <w:pStyle w:val="12"/>
              <w:jc w:val="center"/>
            </w:pPr>
            <w:r>
              <w:rPr>
                <w:rFonts w:hint="eastAsia"/>
              </w:rPr>
              <w:t>珠玑古巷</w:t>
            </w:r>
          </w:p>
        </w:tc>
        <w:tc>
          <w:tcPr>
            <w:tcW w:w="1437" w:type="pct"/>
            <w:vAlign w:val="center"/>
          </w:tcPr>
          <w:p w14:paraId="1A9F90AF">
            <w:pPr>
              <w:pStyle w:val="12"/>
              <w:jc w:val="center"/>
            </w:pPr>
            <w:r>
              <w:rPr>
                <w:rFonts w:hint="eastAsia"/>
              </w:rPr>
              <w:t>无款</w:t>
            </w:r>
          </w:p>
        </w:tc>
        <w:tc>
          <w:tcPr>
            <w:tcW w:w="1063" w:type="pct"/>
            <w:vAlign w:val="center"/>
          </w:tcPr>
          <w:p w14:paraId="1847C74E">
            <w:pPr>
              <w:pStyle w:val="12"/>
              <w:jc w:val="center"/>
            </w:pPr>
            <w:r>
              <w:rPr>
                <w:rFonts w:hint="eastAsia"/>
              </w:rPr>
              <w:t>石</w:t>
            </w:r>
          </w:p>
        </w:tc>
        <w:tc>
          <w:tcPr>
            <w:tcW w:w="1250" w:type="pct"/>
            <w:vAlign w:val="center"/>
          </w:tcPr>
          <w:p w14:paraId="576D0475">
            <w:pPr>
              <w:pStyle w:val="12"/>
              <w:jc w:val="center"/>
            </w:pPr>
            <w:r>
              <w:rPr>
                <w:rFonts w:hint="eastAsia"/>
              </w:rPr>
              <w:t>珠玑古巷景区</w:t>
            </w:r>
          </w:p>
        </w:tc>
      </w:tr>
      <w:tr w14:paraId="7928BB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837B0C8">
            <w:pPr>
              <w:pStyle w:val="12"/>
              <w:jc w:val="center"/>
            </w:pPr>
            <w:r>
              <w:rPr>
                <w:rFonts w:hint="eastAsia"/>
              </w:rPr>
              <w:t>珠玑楼</w:t>
            </w:r>
          </w:p>
        </w:tc>
        <w:tc>
          <w:tcPr>
            <w:tcW w:w="1437" w:type="pct"/>
            <w:vAlign w:val="center"/>
          </w:tcPr>
          <w:p w14:paraId="0A6FCA9C">
            <w:pPr>
              <w:pStyle w:val="12"/>
              <w:jc w:val="center"/>
            </w:pPr>
            <w:r>
              <w:rPr>
                <w:rFonts w:hint="eastAsia"/>
              </w:rPr>
              <w:t>无款</w:t>
            </w:r>
          </w:p>
        </w:tc>
        <w:tc>
          <w:tcPr>
            <w:tcW w:w="1063" w:type="pct"/>
            <w:vAlign w:val="center"/>
          </w:tcPr>
          <w:p w14:paraId="2610E016">
            <w:pPr>
              <w:pStyle w:val="12"/>
              <w:jc w:val="center"/>
            </w:pPr>
            <w:r>
              <w:rPr>
                <w:rFonts w:hint="eastAsia"/>
              </w:rPr>
              <w:t>砖</w:t>
            </w:r>
          </w:p>
        </w:tc>
        <w:tc>
          <w:tcPr>
            <w:tcW w:w="1250" w:type="pct"/>
            <w:vAlign w:val="center"/>
          </w:tcPr>
          <w:p w14:paraId="6A91B9D2">
            <w:pPr>
              <w:pStyle w:val="12"/>
              <w:jc w:val="center"/>
            </w:pPr>
            <w:r>
              <w:rPr>
                <w:rFonts w:hint="eastAsia"/>
              </w:rPr>
              <w:t>珠玑古巷景区</w:t>
            </w:r>
          </w:p>
        </w:tc>
      </w:tr>
      <w:tr w14:paraId="78C64E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38254F8">
            <w:pPr>
              <w:pStyle w:val="12"/>
              <w:jc w:val="center"/>
            </w:pPr>
            <w:r>
              <w:rPr>
                <w:rFonts w:hint="eastAsia"/>
              </w:rPr>
              <w:t>祖宗故居</w:t>
            </w:r>
          </w:p>
        </w:tc>
        <w:tc>
          <w:tcPr>
            <w:tcW w:w="1437" w:type="pct"/>
            <w:vAlign w:val="center"/>
          </w:tcPr>
          <w:p w14:paraId="199FA03D">
            <w:pPr>
              <w:pStyle w:val="12"/>
              <w:jc w:val="center"/>
            </w:pPr>
            <w:r>
              <w:rPr>
                <w:rFonts w:hint="eastAsia"/>
              </w:rPr>
              <w:t>民国16年（1927年）</w:t>
            </w:r>
          </w:p>
        </w:tc>
        <w:tc>
          <w:tcPr>
            <w:tcW w:w="1063" w:type="pct"/>
            <w:vAlign w:val="center"/>
          </w:tcPr>
          <w:p w14:paraId="44F965E1">
            <w:pPr>
              <w:pStyle w:val="12"/>
              <w:jc w:val="center"/>
            </w:pPr>
            <w:r>
              <w:rPr>
                <w:rFonts w:hint="eastAsia"/>
              </w:rPr>
              <w:t>石</w:t>
            </w:r>
          </w:p>
        </w:tc>
        <w:tc>
          <w:tcPr>
            <w:tcW w:w="1250" w:type="pct"/>
            <w:vAlign w:val="center"/>
          </w:tcPr>
          <w:p w14:paraId="7EDA6260">
            <w:pPr>
              <w:pStyle w:val="12"/>
              <w:jc w:val="center"/>
            </w:pPr>
            <w:r>
              <w:rPr>
                <w:rFonts w:hint="eastAsia"/>
              </w:rPr>
              <w:t>珠玑古巷景区</w:t>
            </w:r>
          </w:p>
        </w:tc>
      </w:tr>
      <w:tr w14:paraId="34041C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4566619">
            <w:pPr>
              <w:pStyle w:val="12"/>
              <w:jc w:val="center"/>
            </w:pPr>
            <w:r>
              <w:rPr>
                <w:rFonts w:hint="eastAsia"/>
              </w:rPr>
              <w:t>武义第</w:t>
            </w:r>
          </w:p>
        </w:tc>
        <w:tc>
          <w:tcPr>
            <w:tcW w:w="1437" w:type="pct"/>
            <w:vAlign w:val="center"/>
          </w:tcPr>
          <w:p w14:paraId="3CE53866">
            <w:pPr>
              <w:pStyle w:val="12"/>
              <w:jc w:val="center"/>
            </w:pPr>
            <w:r>
              <w:rPr>
                <w:rFonts w:hint="eastAsia"/>
              </w:rPr>
              <w:t>清同治年间</w:t>
            </w:r>
          </w:p>
        </w:tc>
        <w:tc>
          <w:tcPr>
            <w:tcW w:w="1063" w:type="pct"/>
            <w:vAlign w:val="center"/>
          </w:tcPr>
          <w:p w14:paraId="5D23E58E">
            <w:pPr>
              <w:pStyle w:val="12"/>
              <w:jc w:val="center"/>
            </w:pPr>
            <w:r>
              <w:rPr>
                <w:rFonts w:hint="eastAsia"/>
              </w:rPr>
              <w:t>木</w:t>
            </w:r>
          </w:p>
        </w:tc>
        <w:tc>
          <w:tcPr>
            <w:tcW w:w="1250" w:type="pct"/>
            <w:vAlign w:val="center"/>
          </w:tcPr>
          <w:p w14:paraId="0BE18157">
            <w:pPr>
              <w:pStyle w:val="12"/>
              <w:jc w:val="center"/>
            </w:pPr>
            <w:r>
              <w:rPr>
                <w:rFonts w:hint="eastAsia"/>
              </w:rPr>
              <w:t>珠玑灵潭村鸳鸯围</w:t>
            </w:r>
          </w:p>
        </w:tc>
      </w:tr>
    </w:tbl>
    <w:p w14:paraId="7D88C9FA">
      <w:pPr>
        <w:pStyle w:val="4"/>
        <w:rPr>
          <w:rFonts w:ascii="宋体" w:hAnsi="宋体" w:cs="宋体"/>
        </w:rPr>
      </w:pPr>
      <w:r>
        <w:rPr>
          <w:rFonts w:hint="eastAsia" w:ascii="宋体" w:hAnsi="宋体" w:cs="宋体"/>
        </w:rPr>
        <w:t>第六节  近、现代重要史迹</w:t>
      </w:r>
    </w:p>
    <w:p w14:paraId="4E2087A6">
      <w:pPr>
        <w:ind w:firstLine="420"/>
        <w:rPr>
          <w:rFonts w:ascii="宋体" w:hAnsi="宋体" w:cs="宋体"/>
        </w:rPr>
      </w:pPr>
      <w:r>
        <w:rPr>
          <w:rFonts w:hint="eastAsia" w:ascii="宋体" w:hAnsi="宋体" w:cs="宋体"/>
        </w:rPr>
        <w:t>近代、现代重要史迹，是指1840年至1949年期间各个时期的革命文物史迹。本节收录的是本市各个革命历史时期的遗址、旧址和当时红军在本地题写的标语、文告、歌谣、漫画等。</w:t>
      </w:r>
    </w:p>
    <w:p w14:paraId="0D603179">
      <w:pPr>
        <w:pStyle w:val="5"/>
        <w:rPr>
          <w:rFonts w:ascii="宋体" w:hAnsi="宋体" w:cs="宋体"/>
        </w:rPr>
      </w:pPr>
      <w:r>
        <w:rPr>
          <w:rFonts w:hint="eastAsia" w:ascii="宋体" w:hAnsi="宋体" w:cs="宋体"/>
        </w:rPr>
        <w:t>一、第一次国内革命战争时期遗址、旧址</w:t>
      </w:r>
    </w:p>
    <w:p w14:paraId="17DEF1BC">
      <w:pPr>
        <w:ind w:firstLine="422"/>
        <w:rPr>
          <w:rFonts w:ascii="宋体" w:hAnsi="宋体" w:cs="宋体"/>
        </w:rPr>
      </w:pPr>
      <w:r>
        <w:rPr>
          <w:rFonts w:hint="eastAsia" w:ascii="宋体" w:hAnsi="宋体" w:cs="宋体"/>
          <w:b/>
          <w:bCs/>
        </w:rPr>
        <w:t>1926年中共南雄县委议事旧址：</w:t>
      </w:r>
      <w:r>
        <w:rPr>
          <w:rFonts w:hint="eastAsia" w:ascii="宋体" w:hAnsi="宋体" w:cs="宋体"/>
        </w:rPr>
        <w:t>湖口镇老屋下村的花楼，是清末的2层楼房建筑，面阔2间5米，进深6米。</w:t>
      </w:r>
    </w:p>
    <w:p w14:paraId="5F70D89F">
      <w:pPr>
        <w:ind w:firstLine="422"/>
        <w:rPr>
          <w:rFonts w:ascii="宋体" w:hAnsi="宋体" w:cs="宋体"/>
        </w:rPr>
      </w:pPr>
      <w:r>
        <w:rPr>
          <w:rFonts w:hint="eastAsia" w:ascii="宋体" w:hAnsi="宋体" w:cs="宋体"/>
          <w:b/>
          <w:bCs/>
        </w:rPr>
        <w:t>1928年2月中共南雄县委贯彻“八七”会议精神旧址：</w:t>
      </w:r>
      <w:r>
        <w:rPr>
          <w:rFonts w:hint="eastAsia" w:ascii="宋体" w:hAnsi="宋体" w:cs="宋体"/>
        </w:rPr>
        <w:t>珠玑镇灵潭村鸳鸯围。该围坐北朝南，为明代建筑，呈椭圆形，面积约7500平方米。</w:t>
      </w:r>
    </w:p>
    <w:p w14:paraId="1EB44C0F">
      <w:pPr>
        <w:ind w:firstLine="422"/>
        <w:rPr>
          <w:rFonts w:ascii="宋体" w:hAnsi="宋体" w:cs="宋体"/>
        </w:rPr>
      </w:pPr>
      <w:r>
        <w:rPr>
          <w:rFonts w:hint="eastAsia" w:ascii="宋体" w:hAnsi="宋体" w:cs="宋体"/>
          <w:b/>
          <w:bCs/>
        </w:rPr>
        <w:t>南雄县苏维埃政府遗址：</w:t>
      </w:r>
      <w:r>
        <w:rPr>
          <w:rFonts w:hint="eastAsia" w:ascii="宋体" w:hAnsi="宋体" w:cs="宋体"/>
        </w:rPr>
        <w:t>油山镇上朔村上朔洋楼，原为2层楼房，1929年被国民党反动民团烧毁。现遗址面宽13.5米，进深13.15米。</w:t>
      </w:r>
    </w:p>
    <w:p w14:paraId="156207B3">
      <w:pPr>
        <w:pStyle w:val="5"/>
        <w:rPr>
          <w:rFonts w:ascii="宋体" w:hAnsi="宋体" w:cs="宋体"/>
        </w:rPr>
      </w:pPr>
      <w:r>
        <w:rPr>
          <w:rFonts w:hint="eastAsia" w:ascii="宋体" w:hAnsi="宋体" w:cs="宋体"/>
        </w:rPr>
        <w:t>二、第二次国内革命战争时期旧址、遗址</w:t>
      </w:r>
    </w:p>
    <w:p w14:paraId="15B05497">
      <w:pPr>
        <w:ind w:firstLine="422"/>
        <w:rPr>
          <w:rFonts w:ascii="宋体" w:hAnsi="宋体" w:cs="宋体"/>
        </w:rPr>
      </w:pPr>
      <w:r>
        <w:rPr>
          <w:rFonts w:hint="eastAsia" w:ascii="宋体" w:hAnsi="宋体" w:cs="宋体"/>
          <w:b/>
          <w:bCs/>
        </w:rPr>
        <w:t>1930年毛泽东、朱德等召开群众大会遗址：</w:t>
      </w:r>
      <w:r>
        <w:rPr>
          <w:rFonts w:hint="eastAsia" w:ascii="宋体" w:hAnsi="宋体" w:cs="宋体"/>
        </w:rPr>
        <w:t>市人民医院门诊部内的古榕树下。</w:t>
      </w:r>
    </w:p>
    <w:p w14:paraId="4E1D5A24">
      <w:pPr>
        <w:ind w:firstLine="422"/>
        <w:rPr>
          <w:rFonts w:ascii="宋体" w:hAnsi="宋体" w:cs="宋体"/>
        </w:rPr>
      </w:pPr>
      <w:r>
        <w:rPr>
          <w:rFonts w:hint="eastAsia" w:ascii="宋体" w:hAnsi="宋体" w:cs="宋体"/>
          <w:b/>
          <w:bCs/>
        </w:rPr>
        <w:t>1929年、1930年红五军、红四军军部驻地旧址：</w:t>
      </w:r>
      <w:r>
        <w:rPr>
          <w:rFonts w:hint="eastAsia" w:ascii="宋体" w:hAnsi="宋体" w:cs="宋体"/>
        </w:rPr>
        <w:t>上武庙，位于市区八一街八一路小学内。始建于明代（已毁）。</w:t>
      </w:r>
    </w:p>
    <w:p w14:paraId="3CE7C475">
      <w:pPr>
        <w:ind w:firstLine="422"/>
        <w:rPr>
          <w:rFonts w:ascii="宋体" w:hAnsi="宋体" w:cs="宋体"/>
        </w:rPr>
      </w:pPr>
      <w:r>
        <w:rPr>
          <w:rFonts w:hint="eastAsia" w:ascii="宋体" w:hAnsi="宋体" w:cs="宋体"/>
          <w:b/>
          <w:bCs/>
        </w:rPr>
        <w:t>1932年水口战役遗址：</w:t>
      </w:r>
      <w:r>
        <w:rPr>
          <w:rFonts w:hint="eastAsia" w:ascii="宋体" w:hAnsi="宋体" w:cs="宋体"/>
        </w:rPr>
        <w:t>水口镇水口圩一带。四面山丘起伏，东临浈江，中有1座沟通东、西两岸的石拱桥。</w:t>
      </w:r>
    </w:p>
    <w:p w14:paraId="0B1E6E07">
      <w:pPr>
        <w:ind w:firstLine="422"/>
        <w:rPr>
          <w:rFonts w:ascii="宋体" w:hAnsi="宋体" w:cs="宋体"/>
        </w:rPr>
      </w:pPr>
      <w:r>
        <w:rPr>
          <w:rFonts w:hint="eastAsia" w:ascii="宋体" w:hAnsi="宋体" w:cs="宋体"/>
          <w:b/>
          <w:bCs/>
        </w:rPr>
        <w:t>1935年项英、陈毅与赣粤边领导会合旧址：</w:t>
      </w:r>
      <w:r>
        <w:rPr>
          <w:rFonts w:hint="eastAsia" w:ascii="宋体" w:hAnsi="宋体" w:cs="宋体"/>
        </w:rPr>
        <w:t>油山镇廖地村。</w:t>
      </w:r>
    </w:p>
    <w:p w14:paraId="7A18D69B">
      <w:pPr>
        <w:ind w:firstLine="422"/>
        <w:rPr>
          <w:rFonts w:ascii="宋体" w:hAnsi="宋体" w:cs="宋体"/>
        </w:rPr>
      </w:pPr>
      <w:r>
        <w:rPr>
          <w:rFonts w:hint="eastAsia" w:ascii="宋体" w:hAnsi="宋体" w:cs="宋体"/>
          <w:b/>
          <w:bCs/>
        </w:rPr>
        <w:t>项英、陈毅主持召开赣粤边领导会议旧址：</w:t>
      </w:r>
      <w:r>
        <w:rPr>
          <w:rFonts w:hint="eastAsia" w:ascii="宋体" w:hAnsi="宋体" w:cs="宋体"/>
        </w:rPr>
        <w:t>油山镇大岭下彭屋，为砖木结构民房。</w:t>
      </w:r>
    </w:p>
    <w:p w14:paraId="2464556E">
      <w:pPr>
        <w:ind w:firstLine="422"/>
        <w:rPr>
          <w:rFonts w:ascii="宋体" w:hAnsi="宋体" w:cs="宋体"/>
        </w:rPr>
      </w:pPr>
      <w:r>
        <w:rPr>
          <w:rFonts w:hint="eastAsia" w:ascii="宋体" w:hAnsi="宋体" w:cs="宋体"/>
          <w:b/>
          <w:bCs/>
        </w:rPr>
        <w:t>陈毅在油山的露营地：</w:t>
      </w:r>
      <w:r>
        <w:rPr>
          <w:rFonts w:hint="eastAsia" w:ascii="宋体" w:hAnsi="宋体" w:cs="宋体"/>
        </w:rPr>
        <w:t>油山镇大兰村安背坑金星洞。洞高1.3米，宽0.85米至4米，深3.5米。</w:t>
      </w:r>
    </w:p>
    <w:p w14:paraId="7F2FE944">
      <w:pPr>
        <w:ind w:firstLine="422"/>
        <w:rPr>
          <w:rFonts w:ascii="宋体" w:hAnsi="宋体" w:cs="宋体"/>
        </w:rPr>
      </w:pPr>
      <w:r>
        <w:rPr>
          <w:rFonts w:hint="eastAsia" w:ascii="宋体" w:hAnsi="宋体" w:cs="宋体"/>
          <w:b/>
          <w:bCs/>
        </w:rPr>
        <w:t>1937年9月陈毅与国民党代表谈判团结抗日旧址：</w:t>
      </w:r>
      <w:r>
        <w:rPr>
          <w:rFonts w:hint="eastAsia" w:ascii="宋体" w:hAnsi="宋体" w:cs="宋体"/>
        </w:rPr>
        <w:t>该址位于市区北约27公里钟鼓岩山顶一石室内，石室为砖石结构，坐北朝南，面阔1间4米，进深3米。</w:t>
      </w:r>
    </w:p>
    <w:p w14:paraId="286BB038">
      <w:pPr>
        <w:pStyle w:val="5"/>
        <w:rPr>
          <w:rFonts w:ascii="宋体" w:hAnsi="宋体" w:cs="宋体"/>
        </w:rPr>
      </w:pPr>
      <w:r>
        <w:rPr>
          <w:rFonts w:hint="eastAsia" w:ascii="宋体" w:hAnsi="宋体" w:cs="宋体"/>
        </w:rPr>
        <w:t>三、抗日战争时期遗址、旧址</w:t>
      </w:r>
    </w:p>
    <w:p w14:paraId="66318697">
      <w:pPr>
        <w:ind w:firstLine="422"/>
        <w:rPr>
          <w:rFonts w:ascii="宋体" w:hAnsi="宋体" w:cs="宋体"/>
        </w:rPr>
      </w:pPr>
      <w:r>
        <w:rPr>
          <w:rFonts w:hint="eastAsia" w:ascii="宋体" w:hAnsi="宋体" w:cs="宋体"/>
          <w:b/>
          <w:bCs/>
        </w:rPr>
        <w:t>中共南雄县委机关旧址</w:t>
      </w:r>
      <w:r>
        <w:rPr>
          <w:rFonts w:hint="eastAsia" w:ascii="宋体" w:hAnsi="宋体" w:cs="宋体"/>
        </w:rPr>
        <w:t>：该旧址有三，其一在珠玑镇里塘坪村，为2层民房，坐北朝南，面积30平方米；其二在湖口镇赤溪湖村古庙，庙早毁；其三在古坑村。</w:t>
      </w:r>
    </w:p>
    <w:p w14:paraId="125CEFFC">
      <w:pPr>
        <w:ind w:firstLine="422"/>
        <w:rPr>
          <w:rFonts w:ascii="宋体" w:hAnsi="宋体" w:cs="宋体"/>
        </w:rPr>
      </w:pPr>
      <w:r>
        <w:rPr>
          <w:rFonts w:hint="eastAsia" w:ascii="宋体" w:hAnsi="宋体" w:cs="宋体"/>
          <w:b/>
          <w:bCs/>
        </w:rPr>
        <w:t>中共广东省委党员干部训练班旧址：</w:t>
      </w:r>
      <w:r>
        <w:rPr>
          <w:rFonts w:hint="eastAsia" w:ascii="宋体" w:hAnsi="宋体" w:cs="宋体"/>
        </w:rPr>
        <w:t>全安镇里岗岭村围楼，围楼为砖石结构，楼高约20米，面宽16米，进深16米，墙体四面开有枪眼。</w:t>
      </w:r>
    </w:p>
    <w:p w14:paraId="6DB9C292">
      <w:pPr>
        <w:ind w:firstLine="422"/>
        <w:rPr>
          <w:rFonts w:ascii="宋体" w:hAnsi="宋体" w:cs="宋体"/>
        </w:rPr>
      </w:pPr>
      <w:r>
        <w:rPr>
          <w:rFonts w:hint="eastAsia" w:ascii="宋体" w:hAnsi="宋体" w:cs="宋体"/>
          <w:b/>
          <w:bCs/>
        </w:rPr>
        <w:t>1939年中共广东省委机关旧址：</w:t>
      </w:r>
      <w:r>
        <w:rPr>
          <w:rFonts w:hint="eastAsia" w:ascii="宋体" w:hAnsi="宋体" w:cs="宋体"/>
        </w:rPr>
        <w:t>雄州镇瑶坑村。进深10米，为砖木结构民房。</w:t>
      </w:r>
    </w:p>
    <w:p w14:paraId="583D5B49">
      <w:pPr>
        <w:ind w:firstLine="422"/>
        <w:rPr>
          <w:rFonts w:ascii="宋体" w:hAnsi="宋体" w:cs="宋体"/>
        </w:rPr>
      </w:pPr>
      <w:r>
        <w:rPr>
          <w:rFonts w:hint="eastAsia" w:ascii="宋体" w:hAnsi="宋体" w:cs="宋体"/>
          <w:b/>
          <w:bCs/>
        </w:rPr>
        <w:t>1945年中共南雄县委党训班旧址：</w:t>
      </w:r>
      <w:r>
        <w:rPr>
          <w:rFonts w:hint="eastAsia" w:ascii="宋体" w:hAnsi="宋体" w:cs="宋体"/>
        </w:rPr>
        <w:t>珠玑镇下洞村。</w:t>
      </w:r>
    </w:p>
    <w:p w14:paraId="14F52A5B">
      <w:pPr>
        <w:pStyle w:val="5"/>
        <w:rPr>
          <w:rFonts w:ascii="宋体" w:hAnsi="宋体" w:cs="宋体"/>
        </w:rPr>
      </w:pPr>
      <w:r>
        <w:rPr>
          <w:rFonts w:hint="eastAsia" w:ascii="宋体" w:hAnsi="宋体" w:cs="宋体"/>
        </w:rPr>
        <w:t>四、解放战争时期旧址、遗址</w:t>
      </w:r>
    </w:p>
    <w:p w14:paraId="4C1499BA">
      <w:pPr>
        <w:ind w:firstLine="422"/>
        <w:rPr>
          <w:rFonts w:ascii="宋体" w:hAnsi="宋体" w:cs="宋体"/>
        </w:rPr>
      </w:pPr>
      <w:r>
        <w:rPr>
          <w:rFonts w:hint="eastAsia" w:ascii="宋体" w:hAnsi="宋体" w:cs="宋体"/>
          <w:b/>
          <w:bCs/>
        </w:rPr>
        <w:t>五岭地委、粤赣湘边人民解放总队机关旧址：</w:t>
      </w:r>
      <w:r>
        <w:rPr>
          <w:rFonts w:hint="eastAsia" w:ascii="宋体" w:hAnsi="宋体" w:cs="宋体"/>
        </w:rPr>
        <w:t>帽子峰油罗坑乾村祠堂。</w:t>
      </w:r>
    </w:p>
    <w:p w14:paraId="07ED3FD7">
      <w:pPr>
        <w:ind w:firstLine="422"/>
        <w:rPr>
          <w:rFonts w:ascii="宋体" w:hAnsi="宋体" w:cs="宋体"/>
        </w:rPr>
      </w:pPr>
      <w:r>
        <w:rPr>
          <w:rFonts w:hint="eastAsia" w:ascii="宋体" w:hAnsi="宋体" w:cs="宋体"/>
          <w:b/>
          <w:bCs/>
        </w:rPr>
        <w:t>五岭地委召开扩大会议遗址：</w:t>
      </w:r>
      <w:r>
        <w:rPr>
          <w:rFonts w:hint="eastAsia" w:ascii="宋体" w:hAnsi="宋体" w:cs="宋体"/>
        </w:rPr>
        <w:t>油山西坑畚箕窝。</w:t>
      </w:r>
    </w:p>
    <w:p w14:paraId="6A11F953">
      <w:pPr>
        <w:ind w:firstLine="422"/>
        <w:rPr>
          <w:rFonts w:ascii="宋体" w:hAnsi="宋体" w:cs="宋体"/>
        </w:rPr>
      </w:pPr>
      <w:r>
        <w:rPr>
          <w:rFonts w:hint="eastAsia" w:ascii="宋体" w:hAnsi="宋体" w:cs="宋体"/>
          <w:b/>
          <w:bCs/>
        </w:rPr>
        <w:t>南下大军与北江第二支队会师旧址：</w:t>
      </w:r>
      <w:r>
        <w:rPr>
          <w:rFonts w:hint="eastAsia" w:ascii="宋体" w:hAnsi="宋体" w:cs="宋体"/>
        </w:rPr>
        <w:t>梅关，位于南雄城北30公里的梅岭之巅，是历代兵家必争之地。</w:t>
      </w:r>
    </w:p>
    <w:p w14:paraId="556BFAB4">
      <w:pPr>
        <w:pStyle w:val="5"/>
        <w:rPr>
          <w:rFonts w:ascii="宋体" w:hAnsi="宋体" w:cs="宋体"/>
        </w:rPr>
      </w:pPr>
      <w:r>
        <w:rPr>
          <w:rFonts w:hint="eastAsia" w:ascii="宋体" w:hAnsi="宋体" w:cs="宋体"/>
        </w:rPr>
        <w:t>五、红军标语、漫画、歌谣</w:t>
      </w:r>
    </w:p>
    <w:p w14:paraId="6E9BA3B0">
      <w:pPr>
        <w:ind w:firstLine="422"/>
        <w:rPr>
          <w:rFonts w:ascii="宋体" w:hAnsi="宋体" w:cs="宋体"/>
          <w:b/>
          <w:bCs/>
        </w:rPr>
      </w:pPr>
      <w:r>
        <w:rPr>
          <w:rFonts w:hint="eastAsia" w:ascii="宋体" w:hAnsi="宋体" w:cs="宋体"/>
          <w:b/>
          <w:bCs/>
        </w:rPr>
        <w:t>梅关街尾头村红军标语</w:t>
      </w:r>
    </w:p>
    <w:p w14:paraId="3B0D2C2E">
      <w:pPr>
        <w:ind w:firstLine="420"/>
        <w:rPr>
          <w:rFonts w:ascii="宋体" w:hAnsi="宋体" w:cs="宋体"/>
        </w:rPr>
      </w:pPr>
      <w:r>
        <w:rPr>
          <w:rFonts w:hint="eastAsia" w:ascii="宋体" w:hAnsi="宋体" w:cs="宋体"/>
        </w:rPr>
        <w:t>录文：建立苏维埃政府／推翻国民党政府／组织工农赤卫军／消灭豪绅靖卫团／亲爱的工友们自动的团结起来／加入工农的武装／消灭豪绅地主的武装／参加到战场上去／消灭赣南的白军活捉余汉谋</w:t>
      </w:r>
    </w:p>
    <w:p w14:paraId="7281E82C">
      <w:pPr>
        <w:ind w:firstLine="420"/>
        <w:jc w:val="center"/>
        <w:rPr>
          <w:rFonts w:ascii="宋体" w:hAnsi="宋体" w:cs="宋体"/>
        </w:rPr>
      </w:pPr>
      <w:r>
        <w:rPr>
          <w:rFonts w:hint="eastAsia" w:ascii="宋体" w:hAnsi="宋体" w:cs="宋体"/>
        </w:rPr>
        <w:t>红天星丙、青年一组制</w:t>
      </w:r>
    </w:p>
    <w:p w14:paraId="16592D6B">
      <w:pPr>
        <w:ind w:firstLine="422"/>
        <w:rPr>
          <w:rFonts w:ascii="宋体" w:hAnsi="宋体" w:cs="宋体"/>
          <w:b/>
          <w:bCs/>
        </w:rPr>
      </w:pPr>
      <w:r>
        <w:rPr>
          <w:rFonts w:hint="eastAsia" w:ascii="宋体" w:hAnsi="宋体" w:cs="宋体"/>
          <w:b/>
          <w:bCs/>
        </w:rPr>
        <w:t>说明：该标语保存在珠玑镇梅关街尾头村公厅墙壁上。高1.1米，宽2米，字方大1015厘米，据调查分析，该标语写于1932年夏。1996年揭取，现由市博物馆收藏。</w:t>
      </w:r>
    </w:p>
    <w:p w14:paraId="50352DCF">
      <w:pPr>
        <w:ind w:firstLine="422"/>
        <w:rPr>
          <w:rFonts w:ascii="宋体" w:hAnsi="宋体" w:cs="宋体"/>
          <w:b/>
          <w:bCs/>
        </w:rPr>
      </w:pPr>
      <w:r>
        <w:rPr>
          <w:rFonts w:hint="eastAsia" w:ascii="宋体" w:hAnsi="宋体" w:cs="宋体"/>
          <w:b/>
          <w:bCs/>
        </w:rPr>
        <w:t>油山中东村红军标语</w:t>
      </w:r>
    </w:p>
    <w:p w14:paraId="11C1656B">
      <w:pPr>
        <w:ind w:firstLine="420"/>
        <w:rPr>
          <w:rFonts w:ascii="宋体" w:hAnsi="宋体" w:cs="宋体"/>
        </w:rPr>
      </w:pPr>
      <w:r>
        <w:rPr>
          <w:rFonts w:hint="eastAsia" w:ascii="宋体" w:hAnsi="宋体" w:cs="宋体"/>
        </w:rPr>
        <w:t>录文：白军士兵要杀掉你们的官长另举官长成立红军／拥护无产阶级的政府万岁／打倒日本帝国主义／白军士兵是工农出身不要开枪打工农</w:t>
      </w:r>
    </w:p>
    <w:p w14:paraId="09D399C1">
      <w:pPr>
        <w:ind w:firstLine="420"/>
        <w:jc w:val="center"/>
        <w:rPr>
          <w:rFonts w:ascii="宋体" w:hAnsi="宋体" w:cs="宋体"/>
        </w:rPr>
      </w:pPr>
      <w:r>
        <w:rPr>
          <w:rFonts w:hint="eastAsia" w:ascii="宋体" w:hAnsi="宋体" w:cs="宋体"/>
        </w:rPr>
        <w:t>一师二团一营四连</w:t>
      </w:r>
    </w:p>
    <w:p w14:paraId="7F4F9F03">
      <w:pPr>
        <w:ind w:firstLine="420"/>
        <w:rPr>
          <w:rFonts w:ascii="宋体" w:hAnsi="宋体" w:cs="宋体"/>
        </w:rPr>
      </w:pPr>
      <w:r>
        <w:rPr>
          <w:rFonts w:hint="eastAsia" w:ascii="宋体" w:hAnsi="宋体" w:cs="宋体"/>
        </w:rPr>
        <w:t>录文：实行累进税！／实行取消国民党政府的一切苛捐杂税！／要求取消烟叶出产税！／改组地主富农流氓包办的苏维埃政府！／实行不交租不完粮不纳税！／红军是工农谋解放的队伍！</w:t>
      </w:r>
    </w:p>
    <w:p w14:paraId="5C9B6BEC">
      <w:pPr>
        <w:ind w:firstLine="422"/>
        <w:rPr>
          <w:rFonts w:ascii="宋体" w:hAnsi="宋体" w:cs="宋体"/>
        </w:rPr>
      </w:pPr>
      <w:r>
        <w:rPr>
          <w:rFonts w:hint="eastAsia" w:ascii="宋体" w:hAnsi="宋体" w:cs="宋体"/>
          <w:b/>
          <w:bCs/>
        </w:rPr>
        <w:t>说明：以上标语保存在油山镇中东村曾昭瑞旧屋墙壁上。第1条高75厘米，宽60厘米，其中“打倒日本帝国主义”一条字体较大，笔迹跟署名一样风格。其余字体较小。第2条高1米，宽1.10米，字方大5厘米×7厘米。1996年揭取，现由市博物馆收藏。</w:t>
      </w:r>
    </w:p>
    <w:p w14:paraId="113619BD">
      <w:pPr>
        <w:ind w:firstLine="422"/>
        <w:rPr>
          <w:rFonts w:ascii="宋体" w:hAnsi="宋体" w:cs="宋体"/>
          <w:b/>
          <w:bCs/>
        </w:rPr>
      </w:pPr>
      <w:r>
        <w:rPr>
          <w:rFonts w:hint="eastAsia" w:ascii="宋体" w:hAnsi="宋体" w:cs="宋体"/>
          <w:b/>
          <w:bCs/>
        </w:rPr>
        <w:t>油山上朔村红军标语</w:t>
      </w:r>
    </w:p>
    <w:p w14:paraId="359D470F">
      <w:pPr>
        <w:ind w:firstLine="420"/>
        <w:rPr>
          <w:rFonts w:ascii="宋体" w:hAnsi="宋体" w:cs="宋体"/>
        </w:rPr>
      </w:pPr>
      <w:r>
        <w:rPr>
          <w:rFonts w:hint="eastAsia" w:ascii="宋体" w:hAnsi="宋体" w:cs="宋体"/>
        </w:rPr>
        <w:t>录文：农民暴动起来打土豪分田地</w:t>
      </w:r>
    </w:p>
    <w:p w14:paraId="1AB69166">
      <w:pPr>
        <w:ind w:firstLine="420"/>
        <w:jc w:val="center"/>
        <w:rPr>
          <w:rFonts w:ascii="宋体" w:hAnsi="宋体" w:cs="宋体"/>
        </w:rPr>
      </w:pPr>
      <w:r>
        <w:rPr>
          <w:rFonts w:hint="eastAsia" w:ascii="宋体" w:hAnsi="宋体" w:cs="宋体"/>
        </w:rPr>
        <w:t>红军埃革（3）宣</w:t>
      </w:r>
    </w:p>
    <w:p w14:paraId="327B156E">
      <w:pPr>
        <w:ind w:firstLine="422"/>
        <w:rPr>
          <w:rFonts w:ascii="宋体" w:hAnsi="宋体" w:cs="宋体"/>
          <w:b/>
          <w:bCs/>
        </w:rPr>
      </w:pPr>
      <w:r>
        <w:rPr>
          <w:rFonts w:hint="eastAsia" w:ascii="宋体" w:hAnsi="宋体" w:cs="宋体"/>
          <w:b/>
          <w:bCs/>
        </w:rPr>
        <w:t>说明：保存在油山镇上朔村上新屋门墙上。长96厘米，宽46厘米，字方大16×18厘米。是南雄游击第三大队书写的。1996年揭取，现由市博物馆收藏。</w:t>
      </w:r>
    </w:p>
    <w:p w14:paraId="6D871225">
      <w:pPr>
        <w:ind w:firstLine="422"/>
        <w:rPr>
          <w:rFonts w:ascii="宋体" w:hAnsi="宋体" w:cs="宋体"/>
          <w:b/>
          <w:bCs/>
        </w:rPr>
      </w:pPr>
      <w:r>
        <w:rPr>
          <w:rFonts w:hint="eastAsia" w:ascii="宋体" w:hAnsi="宋体" w:cs="宋体"/>
          <w:b/>
          <w:bCs/>
        </w:rPr>
        <w:t>水口篛过陈屋村红军标语</w:t>
      </w:r>
    </w:p>
    <w:p w14:paraId="170B3914">
      <w:pPr>
        <w:ind w:firstLine="420"/>
        <w:rPr>
          <w:rFonts w:ascii="宋体" w:hAnsi="宋体" w:cs="宋体"/>
        </w:rPr>
      </w:pPr>
      <w:r>
        <w:rPr>
          <w:rFonts w:hint="eastAsia" w:ascii="宋体" w:hAnsi="宋体" w:cs="宋体"/>
        </w:rPr>
        <w:t>录文：反对帝国主义瓜分中国</w:t>
      </w:r>
    </w:p>
    <w:p w14:paraId="356988A7">
      <w:pPr>
        <w:ind w:firstLine="420"/>
        <w:jc w:val="center"/>
        <w:rPr>
          <w:rFonts w:ascii="宋体" w:hAnsi="宋体" w:cs="宋体"/>
        </w:rPr>
      </w:pPr>
      <w:r>
        <w:rPr>
          <w:rFonts w:hint="eastAsia" w:ascii="宋体" w:hAnsi="宋体" w:cs="宋体"/>
        </w:rPr>
        <w:t>红军□□□</w:t>
      </w:r>
    </w:p>
    <w:p w14:paraId="36EBD445">
      <w:pPr>
        <w:ind w:firstLine="422"/>
        <w:rPr>
          <w:rFonts w:ascii="宋体" w:hAnsi="宋体" w:cs="宋体"/>
          <w:b/>
          <w:bCs/>
        </w:rPr>
      </w:pPr>
      <w:r>
        <w:rPr>
          <w:rFonts w:hint="eastAsia" w:ascii="宋体" w:hAnsi="宋体" w:cs="宋体"/>
          <w:b/>
          <w:bCs/>
        </w:rPr>
        <w:t>说明：保存在水口镇篛过陈屋村院墙上。石灰白字，全长13米，字方大80×90厘米，离地高2米。这条标语写于1932年夏“水口战役”期间。</w:t>
      </w:r>
    </w:p>
    <w:p w14:paraId="53CE6A0E">
      <w:pPr>
        <w:ind w:firstLine="422"/>
        <w:rPr>
          <w:rFonts w:ascii="宋体" w:hAnsi="宋体" w:cs="宋体"/>
          <w:b/>
          <w:bCs/>
        </w:rPr>
      </w:pPr>
      <w:r>
        <w:rPr>
          <w:rFonts w:hint="eastAsia" w:ascii="宋体" w:hAnsi="宋体" w:cs="宋体"/>
          <w:b/>
          <w:bCs/>
        </w:rPr>
        <w:t>水口钟屋村红军标语</w:t>
      </w:r>
    </w:p>
    <w:p w14:paraId="41401020">
      <w:pPr>
        <w:ind w:firstLine="420"/>
        <w:rPr>
          <w:rFonts w:ascii="宋体" w:hAnsi="宋体" w:cs="宋体"/>
        </w:rPr>
      </w:pPr>
      <w:r>
        <w:rPr>
          <w:rFonts w:hint="eastAsia" w:ascii="宋体" w:hAnsi="宋体" w:cs="宋体"/>
        </w:rPr>
        <w:t>录文：粤军弟兄是农工出身不要替军阀来打自家的工农红军</w:t>
      </w:r>
    </w:p>
    <w:p w14:paraId="577D6DE3">
      <w:pPr>
        <w:ind w:firstLine="420"/>
        <w:jc w:val="center"/>
        <w:rPr>
          <w:rFonts w:ascii="宋体" w:hAnsi="宋体" w:cs="宋体"/>
        </w:rPr>
      </w:pPr>
      <w:r>
        <w:rPr>
          <w:rFonts w:hint="eastAsia" w:ascii="宋体" w:hAnsi="宋体" w:cs="宋体"/>
        </w:rPr>
        <w:t>红军（甲□）</w:t>
      </w:r>
    </w:p>
    <w:p w14:paraId="13541661">
      <w:pPr>
        <w:ind w:firstLine="422"/>
        <w:rPr>
          <w:rFonts w:ascii="宋体" w:hAnsi="宋体" w:cs="宋体"/>
          <w:b/>
          <w:bCs/>
        </w:rPr>
      </w:pPr>
      <w:r>
        <w:rPr>
          <w:rFonts w:hint="eastAsia" w:ascii="宋体" w:hAnsi="宋体" w:cs="宋体"/>
          <w:b/>
          <w:bCs/>
        </w:rPr>
        <w:t>说明：保存在水口镇钟屋村院墙上。全长18米，石灰白字，字方大70厘米×90厘米，离地高2米。标语中的“粤”字已脱灰，但印迹仍很清楚，署名中最后一字看不清楚，写于1932年“水口战役”期间。</w:t>
      </w:r>
    </w:p>
    <w:p w14:paraId="5A7F63A0">
      <w:pPr>
        <w:ind w:firstLine="422"/>
        <w:rPr>
          <w:rFonts w:ascii="宋体" w:hAnsi="宋体" w:cs="宋体"/>
          <w:b/>
          <w:bCs/>
        </w:rPr>
      </w:pPr>
      <w:r>
        <w:rPr>
          <w:rFonts w:hint="eastAsia" w:ascii="宋体" w:hAnsi="宋体" w:cs="宋体"/>
          <w:b/>
          <w:bCs/>
        </w:rPr>
        <w:t>油山上朔村红军题壁歌谣</w:t>
      </w:r>
    </w:p>
    <w:p w14:paraId="74DACAA9">
      <w:pPr>
        <w:ind w:firstLine="420"/>
        <w:rPr>
          <w:rFonts w:ascii="宋体" w:hAnsi="宋体" w:cs="宋体"/>
        </w:rPr>
      </w:pPr>
      <w:r>
        <w:rPr>
          <w:rFonts w:hint="eastAsia" w:ascii="宋体" w:hAnsi="宋体" w:cs="宋体"/>
        </w:rPr>
        <w:t>录文：</w:t>
      </w:r>
    </w:p>
    <w:p w14:paraId="6B510415">
      <w:pPr>
        <w:ind w:firstLine="420"/>
        <w:jc w:val="center"/>
        <w:rPr>
          <w:rFonts w:ascii="宋体" w:hAnsi="宋体" w:cs="宋体"/>
        </w:rPr>
      </w:pPr>
      <w:r>
        <w:rPr>
          <w:rFonts w:hint="eastAsia" w:ascii="宋体" w:hAnsi="宋体" w:cs="宋体"/>
        </w:rPr>
        <w:t>当红军歌</w:t>
      </w:r>
    </w:p>
    <w:p w14:paraId="2F09E3F0">
      <w:pPr>
        <w:ind w:firstLine="420"/>
        <w:rPr>
          <w:rFonts w:ascii="宋体" w:hAnsi="宋体" w:cs="宋体"/>
        </w:rPr>
      </w:pPr>
      <w:r>
        <w:rPr>
          <w:rFonts w:hint="eastAsia" w:ascii="宋体" w:hAnsi="宋体" w:cs="宋体"/>
        </w:rPr>
        <w:t>当兵就要当红军，处处工农来欢迎。官长士兵都一样，没有谁来压迫人。当兵就要当红军，帮助工农打敌人。买办豪绅和地主，杀他一个不留情。当兵就要当红军，退伍下来不愁贫。会做工的有工做，会作田的有田耕。当兵就要当红军，冲锋陷阵杀敌人。消灭军阀和地主，民族革命快完成。</w:t>
      </w:r>
    </w:p>
    <w:p w14:paraId="716C0CEC">
      <w:pPr>
        <w:ind w:firstLine="422"/>
        <w:rPr>
          <w:rFonts w:ascii="宋体" w:hAnsi="宋体" w:cs="宋体"/>
        </w:rPr>
      </w:pPr>
      <w:r>
        <w:rPr>
          <w:rFonts w:hint="eastAsia" w:ascii="宋体" w:hAnsi="宋体" w:cs="宋体"/>
          <w:b/>
          <w:bCs/>
        </w:rPr>
        <w:t>说明：保存在油山镇上朔村徐家祠堂正门右侧墙上。高1.5米，宽1.4米。</w:t>
      </w:r>
    </w:p>
    <w:p w14:paraId="4856B7CD">
      <w:pPr>
        <w:ind w:firstLine="422"/>
        <w:rPr>
          <w:rFonts w:ascii="宋体" w:hAnsi="宋体" w:cs="宋体"/>
          <w:b/>
          <w:bCs/>
        </w:rPr>
      </w:pPr>
      <w:r>
        <w:rPr>
          <w:rFonts w:hint="eastAsia" w:ascii="宋体" w:hAnsi="宋体" w:cs="宋体"/>
          <w:b/>
          <w:bCs/>
        </w:rPr>
        <w:t>南亩鱼鲜村红军标语</w:t>
      </w:r>
    </w:p>
    <w:p w14:paraId="14D2C8A6">
      <w:pPr>
        <w:ind w:firstLine="420"/>
        <w:rPr>
          <w:rFonts w:ascii="宋体" w:hAnsi="宋体" w:cs="宋体"/>
        </w:rPr>
      </w:pPr>
      <w:r>
        <w:rPr>
          <w:rFonts w:hint="eastAsia" w:ascii="宋体" w:hAnsi="宋体" w:cs="宋体"/>
        </w:rPr>
        <w:t>录文：1.粤军弟兄是工农出身不要替军阀屠杀工农！2.粤军弟兄暴动起来拖枪来当红军！3.欢迎粤军弟兄来当红军！4.粤军弟兄要使家里老母有饭吃，只有暴动起来！5.医治白军伤病员！6.优待白军俘虏兵！</w:t>
      </w:r>
    </w:p>
    <w:p w14:paraId="71F3140F">
      <w:pPr>
        <w:ind w:firstLine="422"/>
        <w:rPr>
          <w:rFonts w:ascii="宋体" w:hAnsi="宋体" w:cs="宋体"/>
        </w:rPr>
      </w:pPr>
      <w:r>
        <w:rPr>
          <w:rFonts w:hint="eastAsia" w:ascii="宋体" w:hAnsi="宋体" w:cs="宋体"/>
          <w:b/>
          <w:bCs/>
        </w:rPr>
        <w:t>说明：保存在南亩镇鱼鲜村王瑞东住屋楼壁上。长1.3米，宽0.9米，字方大8×6厘米。1966年揭取，由市博物馆收藏。</w:t>
      </w:r>
    </w:p>
    <w:p w14:paraId="6AB76C0D">
      <w:pPr>
        <w:ind w:firstLine="422"/>
        <w:rPr>
          <w:rFonts w:ascii="宋体" w:hAnsi="宋体" w:cs="宋体"/>
          <w:b/>
          <w:bCs/>
        </w:rPr>
      </w:pPr>
      <w:r>
        <w:rPr>
          <w:rFonts w:hint="eastAsia" w:ascii="宋体" w:hAnsi="宋体" w:cs="宋体"/>
          <w:b/>
          <w:bCs/>
        </w:rPr>
        <w:t>南亩鱼鲜村红军题壁漫画</w:t>
      </w:r>
    </w:p>
    <w:p w14:paraId="6D81622A">
      <w:pPr>
        <w:ind w:firstLine="420"/>
        <w:rPr>
          <w:rFonts w:ascii="宋体" w:hAnsi="宋体" w:cs="宋体"/>
        </w:rPr>
      </w:pPr>
      <w:r>
        <w:rPr>
          <w:rFonts w:hint="eastAsia" w:ascii="宋体" w:hAnsi="宋体" w:cs="宋体"/>
        </w:rPr>
        <w:t>保存在南亩镇鱼鲜村王瑞安住屋楼壁上。画面高1米，宽0.80米，漫画的内容是：一洋人左手拿鞭，右手拿绳索牵着一条狗（写着何应钦的名字）。洋人高52厘米，走狗体长14厘米。乌龟体长10厘米。在画面的右上方写着“反对帝国主义军阀何应钦、陈济裳（棠）来进攻苏区和红军。”字方大5厘米。从洋人嘴里吐出来的训斥走狗的话，是作者在创作时涂掉的，看不清它的内容。1996年揭取，现由市博物馆收藏。</w:t>
      </w:r>
    </w:p>
    <w:p w14:paraId="345CD53F">
      <w:pPr>
        <w:ind w:firstLine="422"/>
        <w:rPr>
          <w:rFonts w:ascii="宋体" w:hAnsi="宋体" w:cs="宋体"/>
        </w:rPr>
      </w:pPr>
      <w:r>
        <w:rPr>
          <w:rFonts w:hint="eastAsia" w:ascii="宋体" w:hAnsi="宋体" w:cs="宋体"/>
          <w:b/>
          <w:bCs/>
        </w:rPr>
        <w:t>梅岭角湾村红军题壁歌谣（二选一）</w:t>
      </w:r>
    </w:p>
    <w:p w14:paraId="198F7A14">
      <w:pPr>
        <w:ind w:firstLine="420"/>
        <w:rPr>
          <w:rFonts w:ascii="宋体" w:hAnsi="宋体" w:cs="宋体"/>
        </w:rPr>
      </w:pPr>
      <w:r>
        <w:rPr>
          <w:rFonts w:hint="eastAsia" w:ascii="宋体" w:hAnsi="宋体" w:cs="宋体"/>
        </w:rPr>
        <w:t>录文：国民党四字经</w:t>
      </w:r>
    </w:p>
    <w:p w14:paraId="20F5867F">
      <w:pPr>
        <w:ind w:firstLine="420"/>
        <w:jc w:val="center"/>
        <w:rPr>
          <w:rFonts w:ascii="宋体" w:hAnsi="宋体" w:cs="宋体"/>
        </w:rPr>
      </w:pPr>
      <w:r>
        <w:rPr>
          <w:rFonts w:hint="eastAsia" w:ascii="宋体" w:hAnsi="宋体" w:cs="宋体"/>
        </w:rPr>
        <w:t>国民党部，昏庸顽固。国民政府，一群狼虎。</w:t>
      </w:r>
    </w:p>
    <w:p w14:paraId="1C2006DC">
      <w:pPr>
        <w:ind w:firstLine="420"/>
        <w:jc w:val="center"/>
        <w:rPr>
          <w:rFonts w:ascii="宋体" w:hAnsi="宋体" w:cs="宋体"/>
        </w:rPr>
      </w:pPr>
      <w:r>
        <w:rPr>
          <w:rFonts w:hint="eastAsia" w:ascii="宋体" w:hAnsi="宋体" w:cs="宋体"/>
        </w:rPr>
        <w:t>党内无党，帝王思想。派内无派，千奇万怪。</w:t>
      </w:r>
    </w:p>
    <w:p w14:paraId="27029F43">
      <w:pPr>
        <w:ind w:firstLine="420"/>
        <w:jc w:val="center"/>
        <w:rPr>
          <w:rFonts w:ascii="宋体" w:hAnsi="宋体" w:cs="宋体"/>
        </w:rPr>
      </w:pPr>
      <w:r>
        <w:rPr>
          <w:rFonts w:hint="eastAsia" w:ascii="宋体" w:hAnsi="宋体" w:cs="宋体"/>
        </w:rPr>
        <w:t>以党治国，愚民政策。忠实党员，只要花边。</w:t>
      </w:r>
    </w:p>
    <w:p w14:paraId="18D1F0B1">
      <w:pPr>
        <w:ind w:firstLine="420"/>
        <w:jc w:val="center"/>
        <w:rPr>
          <w:rFonts w:ascii="宋体" w:hAnsi="宋体" w:cs="宋体"/>
        </w:rPr>
      </w:pPr>
      <w:r>
        <w:rPr>
          <w:rFonts w:hint="eastAsia" w:ascii="宋体" w:hAnsi="宋体" w:cs="宋体"/>
        </w:rPr>
        <w:t>三民主义，胡说狗屁。军政时期，军阀囗意。</w:t>
      </w:r>
    </w:p>
    <w:p w14:paraId="702A63CA">
      <w:pPr>
        <w:ind w:firstLine="420"/>
        <w:jc w:val="center"/>
        <w:rPr>
          <w:rFonts w:ascii="宋体" w:hAnsi="宋体" w:cs="宋体"/>
        </w:rPr>
      </w:pPr>
      <w:r>
        <w:rPr>
          <w:rFonts w:hint="eastAsia" w:ascii="宋体" w:hAnsi="宋体" w:cs="宋体"/>
        </w:rPr>
        <w:t>训政时期，官僚运气。宪政时期，逍遥无畏。</w:t>
      </w:r>
    </w:p>
    <w:p w14:paraId="18E82062">
      <w:pPr>
        <w:ind w:firstLine="420"/>
        <w:jc w:val="center"/>
        <w:rPr>
          <w:rFonts w:ascii="宋体" w:hAnsi="宋体" w:cs="宋体"/>
        </w:rPr>
      </w:pPr>
      <w:r>
        <w:rPr>
          <w:rFonts w:hint="eastAsia" w:ascii="宋体" w:hAnsi="宋体" w:cs="宋体"/>
        </w:rPr>
        <w:t>建国大纲，官样文章。建国方略，欺骗囗□。</w:t>
      </w:r>
    </w:p>
    <w:p w14:paraId="42636B97">
      <w:pPr>
        <w:ind w:firstLine="420"/>
        <w:jc w:val="center"/>
        <w:rPr>
          <w:rFonts w:ascii="宋体" w:hAnsi="宋体" w:cs="宋体"/>
        </w:rPr>
      </w:pPr>
      <w:r>
        <w:rPr>
          <w:rFonts w:hint="eastAsia" w:ascii="宋体" w:hAnsi="宋体" w:cs="宋体"/>
        </w:rPr>
        <w:t>民族主义，勾结日美。民权主义，不囗囗囗。</w:t>
      </w:r>
    </w:p>
    <w:p w14:paraId="243275B7">
      <w:pPr>
        <w:ind w:firstLine="420"/>
        <w:jc w:val="center"/>
        <w:rPr>
          <w:rFonts w:ascii="宋体" w:hAnsi="宋体" w:cs="宋体"/>
        </w:rPr>
      </w:pPr>
      <w:r>
        <w:rPr>
          <w:rFonts w:hint="eastAsia" w:ascii="宋体" w:hAnsi="宋体" w:cs="宋体"/>
        </w:rPr>
        <w:t>民生主义，苛捐杂税。总理遗嘱，阿弥陀佛。</w:t>
      </w:r>
    </w:p>
    <w:p w14:paraId="78D36C06">
      <w:pPr>
        <w:ind w:firstLine="420"/>
        <w:jc w:val="center"/>
        <w:rPr>
          <w:rFonts w:ascii="宋体" w:hAnsi="宋体" w:cs="宋体"/>
        </w:rPr>
      </w:pPr>
      <w:r>
        <w:rPr>
          <w:rFonts w:hint="eastAsia" w:ascii="宋体" w:hAnsi="宋体" w:cs="宋体"/>
        </w:rPr>
        <w:t>红军语文四组制</w:t>
      </w:r>
    </w:p>
    <w:p w14:paraId="4E27CB46">
      <w:pPr>
        <w:ind w:firstLine="422"/>
        <w:rPr>
          <w:rFonts w:ascii="宋体" w:hAnsi="宋体" w:cs="宋体"/>
          <w:b/>
          <w:bCs/>
        </w:rPr>
      </w:pPr>
      <w:r>
        <w:rPr>
          <w:rFonts w:hint="eastAsia" w:ascii="宋体" w:hAnsi="宋体" w:cs="宋体"/>
          <w:b/>
          <w:bCs/>
        </w:rPr>
        <w:t>说明：歌谣保存在珠玑镇角湾村。保存在肖述珍住屋门墙外壁。宽70厘米，高60厘米，正文字方大4厘米。</w:t>
      </w:r>
    </w:p>
    <w:p w14:paraId="621E6B2F">
      <w:pPr>
        <w:ind w:firstLine="422"/>
        <w:rPr>
          <w:rFonts w:ascii="宋体" w:hAnsi="宋体" w:cs="宋体"/>
          <w:b/>
          <w:bCs/>
        </w:rPr>
      </w:pPr>
      <w:r>
        <w:rPr>
          <w:rFonts w:hint="eastAsia" w:ascii="宋体" w:hAnsi="宋体" w:cs="宋体"/>
          <w:b/>
          <w:bCs/>
        </w:rPr>
        <w:t>沧浪枫坑村红军标语（七选二）</w:t>
      </w:r>
    </w:p>
    <w:p w14:paraId="0519A92A">
      <w:pPr>
        <w:ind w:firstLine="420"/>
        <w:rPr>
          <w:rFonts w:ascii="宋体" w:hAnsi="宋体" w:cs="宋体"/>
        </w:rPr>
      </w:pPr>
      <w:r>
        <w:rPr>
          <w:rFonts w:hint="eastAsia" w:ascii="宋体" w:hAnsi="宋体" w:cs="宋体"/>
        </w:rPr>
        <w:t>录文：优待红军战士的家属／贫农起来组织贫农团／打倒欺骗民众的国民会议</w:t>
      </w:r>
    </w:p>
    <w:p w14:paraId="2E8AC2ED">
      <w:pPr>
        <w:ind w:firstLine="420"/>
        <w:jc w:val="center"/>
        <w:rPr>
          <w:rFonts w:ascii="宋体" w:hAnsi="宋体" w:cs="宋体"/>
        </w:rPr>
      </w:pPr>
      <w:r>
        <w:rPr>
          <w:rFonts w:hint="eastAsia" w:ascii="宋体" w:hAnsi="宋体" w:cs="宋体"/>
        </w:rPr>
        <w:t>赣粤边红军独立师第三团政治处制</w:t>
      </w:r>
    </w:p>
    <w:p w14:paraId="7B36F513">
      <w:pPr>
        <w:ind w:firstLine="422"/>
        <w:rPr>
          <w:rFonts w:ascii="宋体" w:hAnsi="宋体" w:cs="宋体"/>
          <w:b/>
          <w:bCs/>
        </w:rPr>
      </w:pPr>
      <w:r>
        <w:rPr>
          <w:rFonts w:hint="eastAsia" w:ascii="宋体" w:hAnsi="宋体" w:cs="宋体"/>
          <w:b/>
          <w:bCs/>
        </w:rPr>
        <w:t>说明：；该标语保存在乌迳镇沧浪枫坑村王先跃旧宅外壁上。全长2.20米，石灰白字，字迹基本清楚，有少数字模糊，个别字已缺。写于1935年。</w:t>
      </w:r>
    </w:p>
    <w:p w14:paraId="5F4FD821">
      <w:pPr>
        <w:ind w:firstLine="420"/>
        <w:rPr>
          <w:rFonts w:ascii="宋体" w:hAnsi="宋体" w:cs="宋体"/>
        </w:rPr>
      </w:pPr>
      <w:r>
        <w:rPr>
          <w:rFonts w:hint="eastAsia" w:ascii="宋体" w:hAnsi="宋体" w:cs="宋体"/>
        </w:rPr>
        <w:t>录文：打倒地主豪绅分得土地农民才有饭吃。／反对白军进攻赤区。</w:t>
      </w:r>
    </w:p>
    <w:p w14:paraId="28AA996B">
      <w:pPr>
        <w:ind w:firstLine="420"/>
        <w:jc w:val="center"/>
        <w:rPr>
          <w:rFonts w:ascii="宋体" w:hAnsi="宋体" w:cs="宋体"/>
        </w:rPr>
      </w:pPr>
      <w:r>
        <w:rPr>
          <w:rFonts w:hint="eastAsia" w:ascii="宋体" w:hAnsi="宋体" w:cs="宋体"/>
        </w:rPr>
        <w:t>红军独立师政治处制</w:t>
      </w:r>
    </w:p>
    <w:p w14:paraId="70D388E9">
      <w:pPr>
        <w:ind w:firstLine="422"/>
        <w:rPr>
          <w:rFonts w:ascii="宋体" w:hAnsi="宋体" w:cs="宋体"/>
        </w:rPr>
      </w:pPr>
      <w:r>
        <w:rPr>
          <w:rFonts w:hint="eastAsia" w:ascii="宋体" w:hAnsi="宋体" w:cs="宋体"/>
          <w:b/>
          <w:bCs/>
        </w:rPr>
        <w:t>说明：该标语保存在乌迳镇沧浪枫坑村王先跃旧宅外墙壁上。标语全长17.4米，石灰白字，字迹较清楚。写于1934年。</w:t>
      </w:r>
    </w:p>
    <w:p w14:paraId="42248D53">
      <w:pPr>
        <w:ind w:firstLine="422"/>
        <w:rPr>
          <w:rFonts w:ascii="宋体" w:hAnsi="宋体" w:cs="宋体"/>
          <w:b/>
          <w:bCs/>
        </w:rPr>
      </w:pPr>
      <w:r>
        <w:rPr>
          <w:rFonts w:hint="eastAsia" w:ascii="宋体" w:hAnsi="宋体" w:cs="宋体"/>
          <w:b/>
          <w:bCs/>
        </w:rPr>
        <w:t>梅关豪头村红军标语</w:t>
      </w:r>
    </w:p>
    <w:p w14:paraId="3C4CC8A7">
      <w:pPr>
        <w:ind w:firstLine="420"/>
        <w:rPr>
          <w:rFonts w:ascii="宋体" w:hAnsi="宋体" w:cs="宋体"/>
        </w:rPr>
      </w:pPr>
      <w:r>
        <w:rPr>
          <w:rFonts w:hint="eastAsia" w:ascii="宋体" w:hAnsi="宋体" w:cs="宋体"/>
        </w:rPr>
        <w:t>录文：红军是工农的军队。</w:t>
      </w:r>
    </w:p>
    <w:p w14:paraId="15D1B369">
      <w:pPr>
        <w:ind w:firstLine="420"/>
        <w:jc w:val="center"/>
        <w:rPr>
          <w:rFonts w:ascii="宋体" w:hAnsi="宋体" w:cs="宋体"/>
        </w:rPr>
      </w:pPr>
      <w:r>
        <w:rPr>
          <w:rFonts w:hint="eastAsia" w:ascii="宋体" w:hAnsi="宋体" w:cs="宋体"/>
        </w:rPr>
        <w:t>红军（宣）！</w:t>
      </w:r>
    </w:p>
    <w:p w14:paraId="33FFD421">
      <w:pPr>
        <w:ind w:firstLine="422"/>
        <w:rPr>
          <w:rFonts w:ascii="宋体" w:hAnsi="宋体" w:cs="宋体"/>
        </w:rPr>
      </w:pPr>
      <w:r>
        <w:rPr>
          <w:rFonts w:hint="eastAsia" w:ascii="宋体" w:hAnsi="宋体" w:cs="宋体"/>
          <w:b/>
          <w:bCs/>
        </w:rPr>
        <w:t>说明：该标语保存在小梅关豪头村赖兆昆住屋外墙上。长6米，字方大50×60厘米，据当地老人回忆，该标语是1932年夏“水口战役”前夕红军战士写的。</w:t>
      </w:r>
    </w:p>
    <w:p w14:paraId="6492E7A7">
      <w:pPr>
        <w:pStyle w:val="5"/>
        <w:rPr>
          <w:rFonts w:ascii="宋体" w:hAnsi="宋体" w:cs="宋体"/>
        </w:rPr>
      </w:pPr>
      <w:r>
        <w:rPr>
          <w:rFonts w:hint="eastAsia" w:ascii="宋体" w:hAnsi="宋体" w:cs="宋体"/>
        </w:rPr>
        <w:t>六、烈士陵园</w:t>
      </w:r>
    </w:p>
    <w:p w14:paraId="27035435">
      <w:pPr>
        <w:ind w:firstLine="420"/>
        <w:rPr>
          <w:rFonts w:ascii="宋体" w:hAnsi="宋体" w:cs="宋体"/>
        </w:rPr>
      </w:pPr>
      <w:r>
        <w:rPr>
          <w:rFonts w:hint="eastAsia" w:ascii="宋体" w:hAnsi="宋体" w:cs="宋体"/>
        </w:rPr>
        <w:t>1958年，南雄县人民政府在五里山兴建革命烈士陵园。1988年列为广东省重点纪念建筑保护单位。</w:t>
      </w:r>
    </w:p>
    <w:p w14:paraId="286D6C5F">
      <w:pPr>
        <w:ind w:firstLine="420"/>
        <w:rPr>
          <w:rFonts w:ascii="宋体" w:hAnsi="宋体" w:cs="宋体"/>
        </w:rPr>
      </w:pPr>
      <w:r>
        <w:rPr>
          <w:rFonts w:hint="eastAsia" w:ascii="宋体" w:hAnsi="宋体" w:cs="宋体"/>
        </w:rPr>
        <w:t>烈士陵园原坐东向西，高大的牌坊为正门，宽阔的横匾嵌着“革命烈士陵园”6个大字。牌坊后面长着2株榕树，树龄约在35年左右，长得枝叶繁茂，绿叶婆娑，与陵园相映，象征着革命烈士万古长青。</w:t>
      </w:r>
    </w:p>
    <w:p w14:paraId="51009B75">
      <w:pPr>
        <w:ind w:firstLine="420"/>
        <w:rPr>
          <w:rFonts w:ascii="宋体" w:hAnsi="宋体" w:cs="宋体"/>
        </w:rPr>
      </w:pPr>
      <w:r>
        <w:rPr>
          <w:rFonts w:hint="eastAsia" w:ascii="宋体" w:hAnsi="宋体" w:cs="宋体"/>
        </w:rPr>
        <w:t>1987年12月，中共南雄县委、县人民政府拨款重修，在南雄解放43周年前夕竣工。重修后的陵园大门面向323国道。门为仿古建筑，气势宏大，雄伟壮观。距门百余米处，有座赭红色的陈毅同志石雕坐像。陈毅头戴八角红军帽，身着红军装，脚穿草鞋。腰间插支驳壳枪，目向远方，基座砌黑色花岗岩板石，前碑刻《梅岭三章》壮丽诗句，后碑刻：“陈毅将军，中华雄杰。粤赣转战，威震顽敌。游击三年，斗争艰极。油山历险，梅岭突劫。山林为障，众志铁壁。破敌清剿，壮怀激烈。追求真理，心鉴日月。功高不居，来者启迪。佳章炙口，英名垂册。刻象镌碑，千秋仰节。”</w:t>
      </w:r>
    </w:p>
    <w:p w14:paraId="28D7AED3">
      <w:pPr>
        <w:ind w:firstLine="420"/>
        <w:rPr>
          <w:rFonts w:ascii="宋体" w:hAnsi="宋体" w:cs="宋体"/>
        </w:rPr>
      </w:pPr>
      <w:r>
        <w:rPr>
          <w:rFonts w:hint="eastAsia" w:ascii="宋体" w:hAnsi="宋体" w:cs="宋体"/>
        </w:rPr>
        <w:t>重修后的纪念碑为凸形，碑高26米。前碑身砌洁白彩釉砖，其他三面为粉红色水磨石米。“南雄人民革命烈士纪念碑”由原中共中央书记处书记陈丕显题，碑座嵌花岗岩石刻：“壬申初春，百事俱兴。雄州各业，如展翅鹍鹏。为缅怀先烈，激励后人，乃重修烈士碑。原碑建于1953年，经30载风雨，今日修缮，加高5米，雄伟耸云霄，期百世纪念，万民景仰，是为记。”整座碑造型挺拔，雄伟壮观，庄严简洁，碑四角松柏翠绿，处处鲜花绿树。</w:t>
      </w:r>
    </w:p>
    <w:p w14:paraId="4BA15705">
      <w:pPr>
        <w:ind w:firstLine="420"/>
        <w:rPr>
          <w:rFonts w:ascii="宋体" w:hAnsi="宋体" w:cs="宋体"/>
        </w:rPr>
      </w:pPr>
      <w:r>
        <w:rPr>
          <w:rFonts w:hint="eastAsia" w:ascii="宋体" w:hAnsi="宋体" w:cs="宋体"/>
        </w:rPr>
        <w:t>在纪念碑的东、西旁，分别有座工农赤卫队塑像，高2.7米。东侧为手握钢枪的工人赤卫队员，象征“枪杆子里面出政权”的伟大真理。赤卫队员背挎大刀，显示工农赤卫队大无畏的英雄气概。西侧是女农民赤卫队员，扎南雄乡间妇女头帕，着农民女襟衣，背着斗笠，右手提一竹筒茶水，意在慰劳红军游击队胜利归来。在她腰间皮带上，插一颗手榴弹，意寓随时支前参战。消灭来犯之敌。</w:t>
      </w:r>
    </w:p>
    <w:p w14:paraId="7DF9AEE7">
      <w:pPr>
        <w:ind w:firstLine="420"/>
        <w:rPr>
          <w:rFonts w:ascii="宋体" w:hAnsi="宋体" w:cs="宋体"/>
        </w:rPr>
      </w:pPr>
      <w:r>
        <w:rPr>
          <w:rFonts w:hint="eastAsia" w:ascii="宋体" w:hAnsi="宋体" w:cs="宋体"/>
        </w:rPr>
        <w:t>在碑后20余米处，筑有一座大牌坊，写着“人民英雄永垂不朽”8个大字。这里静谧肃穆，令人起敬。</w:t>
      </w:r>
    </w:p>
    <w:p w14:paraId="2B249E92">
      <w:pPr>
        <w:ind w:firstLine="420"/>
        <w:rPr>
          <w:rFonts w:ascii="宋体" w:hAnsi="宋体" w:cs="宋体"/>
        </w:rPr>
      </w:pPr>
      <w:r>
        <w:rPr>
          <w:rFonts w:hint="eastAsia" w:ascii="宋体" w:hAnsi="宋体" w:cs="宋体"/>
        </w:rPr>
        <w:t>园内东侧有李乐天烈士墓。</w:t>
      </w:r>
    </w:p>
    <w:p w14:paraId="743ACD1A">
      <w:pPr>
        <w:ind w:firstLine="420"/>
        <w:rPr>
          <w:rFonts w:ascii="宋体" w:hAnsi="宋体" w:cs="宋体"/>
        </w:rPr>
      </w:pPr>
      <w:r>
        <w:rPr>
          <w:rFonts w:hint="eastAsia" w:ascii="宋体" w:hAnsi="宋体" w:cs="宋体"/>
        </w:rPr>
        <w:t>每年清明节前后，各界人士纷纷到烈士陵园敬献花圈，缅怀革命先烈的不巧业绩。</w:t>
      </w:r>
    </w:p>
    <w:p w14:paraId="06FD5EF1">
      <w:pPr>
        <w:pStyle w:val="4"/>
        <w:rPr>
          <w:rFonts w:ascii="宋体" w:hAnsi="宋体" w:cs="宋体"/>
        </w:rPr>
      </w:pPr>
      <w:r>
        <w:rPr>
          <w:rFonts w:hint="eastAsia" w:ascii="宋体" w:hAnsi="宋体" w:cs="宋体"/>
        </w:rPr>
        <w:t>第七节  博物馆及馆藏文物</w:t>
      </w:r>
    </w:p>
    <w:p w14:paraId="5E191452">
      <w:pPr>
        <w:pStyle w:val="5"/>
        <w:rPr>
          <w:rFonts w:ascii="宋体" w:hAnsi="宋体" w:cs="宋体"/>
        </w:rPr>
      </w:pPr>
      <w:r>
        <w:rPr>
          <w:rFonts w:hint="eastAsia" w:ascii="宋体" w:hAnsi="宋体" w:cs="宋体"/>
        </w:rPr>
        <w:t>一、博物馆</w:t>
      </w:r>
    </w:p>
    <w:p w14:paraId="6AF1A02F">
      <w:pPr>
        <w:ind w:firstLine="420"/>
        <w:rPr>
          <w:rFonts w:ascii="宋体" w:hAnsi="宋体" w:cs="宋体"/>
        </w:rPr>
      </w:pPr>
      <w:r>
        <w:rPr>
          <w:rFonts w:hint="eastAsia" w:ascii="宋体" w:hAnsi="宋体" w:cs="宋体"/>
        </w:rPr>
        <w:t>南雄市博物馆，1982年2月成立，原馆位于市区永康路，建筑面积859平方米，以古建筑四合院形式建造。1994年8月，博物馆被评为广东省文物保护单位“四有”工作（有保护标志，有保护范围，有保护小组，有档案资料）先进单位。1995年5月，被韶关市委、市政府命名为首批爱国主义教育基地。1998年10月，完成15万字的第一部《南雄文物志》。2002年底因城市规划建设的需要，原馆拆迁，2004年12月重建竣工。该馆位于三影塔广场北侧，为3层仿古建筑，总投资200多万元，建筑面积2700多平方米，内设5个展厅，其展览陈列、文物库房、安全防范和办公等功能设置齐全、布局合理。</w:t>
      </w:r>
    </w:p>
    <w:p w14:paraId="4D5BB308">
      <w:pPr>
        <w:pStyle w:val="5"/>
        <w:rPr>
          <w:rFonts w:ascii="宋体" w:hAnsi="宋体" w:cs="宋体"/>
        </w:rPr>
      </w:pPr>
      <w:r>
        <w:rPr>
          <w:rFonts w:hint="eastAsia" w:ascii="宋体" w:hAnsi="宋体" w:cs="宋体"/>
        </w:rPr>
        <w:t>二、馆藏文物</w:t>
      </w:r>
    </w:p>
    <w:p w14:paraId="2CE5B7C4">
      <w:pPr>
        <w:ind w:firstLine="420"/>
        <w:rPr>
          <w:rFonts w:ascii="宋体" w:hAnsi="宋体" w:cs="宋体"/>
        </w:rPr>
      </w:pPr>
      <w:r>
        <w:rPr>
          <w:rFonts w:hint="eastAsia" w:ascii="宋体" w:hAnsi="宋体" w:cs="宋体"/>
        </w:rPr>
        <w:t>南雄市博物馆馆藏历史文物和革命文物详见表5-15。</w:t>
      </w:r>
    </w:p>
    <w:p w14:paraId="1A8B6048">
      <w:pPr>
        <w:ind w:firstLine="422"/>
        <w:jc w:val="center"/>
        <w:rPr>
          <w:rFonts w:ascii="宋体" w:hAnsi="宋体" w:cs="宋体"/>
          <w:b/>
          <w:bCs/>
        </w:rPr>
      </w:pPr>
      <w:r>
        <w:rPr>
          <w:rFonts w:hint="eastAsia" w:ascii="宋体" w:hAnsi="宋体" w:cs="宋体"/>
          <w:b/>
          <w:bCs/>
        </w:rPr>
        <w:t>南雄市博物馆馆藏历史文物一览</w:t>
      </w:r>
    </w:p>
    <w:p w14:paraId="6DA57543">
      <w:pPr>
        <w:ind w:firstLine="0" w:firstLineChars="0"/>
        <w:rPr>
          <w:rFonts w:ascii="宋体" w:hAnsi="宋体" w:cs="宋体"/>
          <w:b/>
          <w:bCs/>
        </w:rPr>
      </w:pPr>
      <w:r>
        <w:rPr>
          <w:rFonts w:hint="eastAsia" w:ascii="宋体" w:hAnsi="宋体" w:cs="宋体"/>
          <w:b/>
          <w:bCs/>
        </w:rPr>
        <w:t>表5-15</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39"/>
        <w:gridCol w:w="1416"/>
        <w:gridCol w:w="1417"/>
        <w:gridCol w:w="905"/>
        <w:gridCol w:w="941"/>
        <w:gridCol w:w="1843"/>
        <w:gridCol w:w="955"/>
        <w:gridCol w:w="1246"/>
      </w:tblGrid>
      <w:tr w14:paraId="31AE01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2" w:type="pct"/>
            <w:vAlign w:val="center"/>
          </w:tcPr>
          <w:p w14:paraId="78FC66A9">
            <w:pPr>
              <w:pStyle w:val="12"/>
              <w:jc w:val="center"/>
              <w:rPr>
                <w:b/>
              </w:rPr>
            </w:pPr>
            <w:r>
              <w:rPr>
                <w:rFonts w:hint="eastAsia"/>
                <w:b/>
              </w:rPr>
              <w:t>类别</w:t>
            </w:r>
          </w:p>
        </w:tc>
        <w:tc>
          <w:tcPr>
            <w:tcW w:w="711" w:type="pct"/>
            <w:vAlign w:val="center"/>
          </w:tcPr>
          <w:p w14:paraId="76FC47B0">
            <w:pPr>
              <w:pStyle w:val="12"/>
              <w:jc w:val="center"/>
              <w:rPr>
                <w:b/>
              </w:rPr>
            </w:pPr>
            <w:r>
              <w:rPr>
                <w:rFonts w:hint="eastAsia"/>
                <w:b/>
              </w:rPr>
              <w:t>名称</w:t>
            </w:r>
          </w:p>
        </w:tc>
        <w:tc>
          <w:tcPr>
            <w:tcW w:w="711" w:type="pct"/>
            <w:vAlign w:val="center"/>
          </w:tcPr>
          <w:p w14:paraId="59F902B7">
            <w:pPr>
              <w:pStyle w:val="12"/>
              <w:jc w:val="center"/>
              <w:rPr>
                <w:b/>
              </w:rPr>
            </w:pPr>
            <w:r>
              <w:rPr>
                <w:rFonts w:hint="eastAsia"/>
                <w:b/>
              </w:rPr>
              <w:t>时代</w:t>
            </w:r>
          </w:p>
        </w:tc>
        <w:tc>
          <w:tcPr>
            <w:tcW w:w="454" w:type="pct"/>
            <w:vAlign w:val="center"/>
          </w:tcPr>
          <w:p w14:paraId="2368E650">
            <w:pPr>
              <w:pStyle w:val="12"/>
              <w:jc w:val="center"/>
              <w:rPr>
                <w:b/>
              </w:rPr>
            </w:pPr>
            <w:r>
              <w:rPr>
                <w:rFonts w:hint="eastAsia"/>
                <w:b/>
              </w:rPr>
              <w:t>件数</w:t>
            </w:r>
          </w:p>
        </w:tc>
        <w:tc>
          <w:tcPr>
            <w:tcW w:w="472" w:type="pct"/>
            <w:vAlign w:val="center"/>
          </w:tcPr>
          <w:p w14:paraId="10F87943">
            <w:pPr>
              <w:pStyle w:val="12"/>
              <w:jc w:val="center"/>
              <w:rPr>
                <w:b/>
              </w:rPr>
            </w:pPr>
            <w:r>
              <w:rPr>
                <w:rFonts w:hint="eastAsia"/>
                <w:b/>
              </w:rPr>
              <w:t>类别</w:t>
            </w:r>
          </w:p>
        </w:tc>
        <w:tc>
          <w:tcPr>
            <w:tcW w:w="925" w:type="pct"/>
            <w:vAlign w:val="center"/>
          </w:tcPr>
          <w:p w14:paraId="5CE51B5C">
            <w:pPr>
              <w:pStyle w:val="12"/>
              <w:jc w:val="center"/>
              <w:rPr>
                <w:b/>
              </w:rPr>
            </w:pPr>
            <w:r>
              <w:rPr>
                <w:rFonts w:hint="eastAsia"/>
                <w:b/>
              </w:rPr>
              <w:t>名称</w:t>
            </w:r>
          </w:p>
        </w:tc>
        <w:tc>
          <w:tcPr>
            <w:tcW w:w="479" w:type="pct"/>
            <w:vAlign w:val="center"/>
          </w:tcPr>
          <w:p w14:paraId="25C11774">
            <w:pPr>
              <w:pStyle w:val="12"/>
              <w:jc w:val="center"/>
              <w:rPr>
                <w:b/>
              </w:rPr>
            </w:pPr>
            <w:r>
              <w:rPr>
                <w:rFonts w:hint="eastAsia"/>
                <w:b/>
              </w:rPr>
              <w:t>时代</w:t>
            </w:r>
          </w:p>
        </w:tc>
        <w:tc>
          <w:tcPr>
            <w:tcW w:w="625" w:type="pct"/>
            <w:vAlign w:val="center"/>
          </w:tcPr>
          <w:p w14:paraId="646A0754">
            <w:pPr>
              <w:pStyle w:val="12"/>
              <w:jc w:val="center"/>
              <w:rPr>
                <w:b/>
              </w:rPr>
            </w:pPr>
            <w:r>
              <w:rPr>
                <w:rFonts w:hint="eastAsia"/>
                <w:b/>
              </w:rPr>
              <w:t>件数</w:t>
            </w:r>
          </w:p>
        </w:tc>
      </w:tr>
      <w:tr w14:paraId="6E3030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2" w:type="pct"/>
            <w:vMerge w:val="restart"/>
            <w:vAlign w:val="center"/>
          </w:tcPr>
          <w:p w14:paraId="3099BB4E">
            <w:pPr>
              <w:pStyle w:val="12"/>
              <w:jc w:val="center"/>
            </w:pPr>
            <w:r>
              <w:rPr>
                <w:rFonts w:hint="eastAsia"/>
              </w:rPr>
              <w:t>石  器</w:t>
            </w:r>
          </w:p>
        </w:tc>
        <w:tc>
          <w:tcPr>
            <w:tcW w:w="711" w:type="pct"/>
            <w:vAlign w:val="center"/>
          </w:tcPr>
          <w:p w14:paraId="2F0E2095">
            <w:pPr>
              <w:pStyle w:val="12"/>
              <w:jc w:val="center"/>
            </w:pPr>
            <w:r>
              <w:rPr>
                <w:rFonts w:hint="eastAsia"/>
              </w:rPr>
              <w:t>石  斧</w:t>
            </w:r>
          </w:p>
        </w:tc>
        <w:tc>
          <w:tcPr>
            <w:tcW w:w="711" w:type="pct"/>
            <w:vAlign w:val="center"/>
          </w:tcPr>
          <w:p w14:paraId="5AA74DB1">
            <w:pPr>
              <w:pStyle w:val="12"/>
              <w:jc w:val="center"/>
            </w:pPr>
            <w:r>
              <w:rPr>
                <w:rFonts w:hint="eastAsia"/>
              </w:rPr>
              <w:t>新石器时期</w:t>
            </w:r>
          </w:p>
        </w:tc>
        <w:tc>
          <w:tcPr>
            <w:tcW w:w="454" w:type="pct"/>
            <w:vAlign w:val="center"/>
          </w:tcPr>
          <w:p w14:paraId="1D1DDA7F">
            <w:pPr>
              <w:pStyle w:val="12"/>
              <w:jc w:val="center"/>
            </w:pPr>
            <w:r>
              <w:rPr>
                <w:rFonts w:hint="eastAsia"/>
              </w:rPr>
              <w:t>4</w:t>
            </w:r>
          </w:p>
        </w:tc>
        <w:tc>
          <w:tcPr>
            <w:tcW w:w="472" w:type="pct"/>
            <w:vMerge w:val="restart"/>
            <w:vAlign w:val="center"/>
          </w:tcPr>
          <w:p w14:paraId="2F6B7E1F">
            <w:pPr>
              <w:pStyle w:val="12"/>
              <w:jc w:val="center"/>
            </w:pPr>
            <w:r>
              <w:rPr>
                <w:rFonts w:hint="eastAsia"/>
              </w:rPr>
              <w:t>古钱币</w:t>
            </w:r>
          </w:p>
        </w:tc>
        <w:tc>
          <w:tcPr>
            <w:tcW w:w="925" w:type="pct"/>
            <w:vAlign w:val="center"/>
          </w:tcPr>
          <w:p w14:paraId="7B17CD00">
            <w:pPr>
              <w:pStyle w:val="12"/>
              <w:jc w:val="center"/>
            </w:pPr>
            <w:r>
              <w:rPr>
                <w:rFonts w:hint="eastAsia"/>
              </w:rPr>
              <w:t>五铢钱</w:t>
            </w:r>
          </w:p>
        </w:tc>
        <w:tc>
          <w:tcPr>
            <w:tcW w:w="479" w:type="pct"/>
            <w:vAlign w:val="center"/>
          </w:tcPr>
          <w:p w14:paraId="0ECE5A9A">
            <w:pPr>
              <w:pStyle w:val="12"/>
              <w:jc w:val="center"/>
            </w:pPr>
            <w:r>
              <w:rPr>
                <w:rFonts w:hint="eastAsia"/>
              </w:rPr>
              <w:t>汉朝</w:t>
            </w:r>
          </w:p>
        </w:tc>
        <w:tc>
          <w:tcPr>
            <w:tcW w:w="625" w:type="pct"/>
            <w:vAlign w:val="center"/>
          </w:tcPr>
          <w:p w14:paraId="32C2E349">
            <w:pPr>
              <w:pStyle w:val="12"/>
              <w:jc w:val="center"/>
            </w:pPr>
            <w:r>
              <w:rPr>
                <w:rFonts w:hint="eastAsia"/>
              </w:rPr>
              <w:t>3</w:t>
            </w:r>
          </w:p>
        </w:tc>
      </w:tr>
      <w:tr w14:paraId="11057A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2" w:type="pct"/>
            <w:vMerge w:val="continue"/>
            <w:vAlign w:val="center"/>
          </w:tcPr>
          <w:p w14:paraId="4817AF89">
            <w:pPr>
              <w:pStyle w:val="12"/>
              <w:jc w:val="center"/>
            </w:pPr>
          </w:p>
        </w:tc>
        <w:tc>
          <w:tcPr>
            <w:tcW w:w="711" w:type="pct"/>
            <w:vAlign w:val="center"/>
          </w:tcPr>
          <w:p w14:paraId="58C38A21">
            <w:pPr>
              <w:pStyle w:val="12"/>
              <w:jc w:val="center"/>
            </w:pPr>
            <w:r>
              <w:rPr>
                <w:rFonts w:hint="eastAsia"/>
              </w:rPr>
              <w:t>石  锛</w:t>
            </w:r>
          </w:p>
        </w:tc>
        <w:tc>
          <w:tcPr>
            <w:tcW w:w="711" w:type="pct"/>
            <w:vAlign w:val="center"/>
          </w:tcPr>
          <w:p w14:paraId="39B84F3D">
            <w:pPr>
              <w:pStyle w:val="12"/>
              <w:jc w:val="center"/>
            </w:pPr>
            <w:r>
              <w:rPr>
                <w:rFonts w:hint="eastAsia"/>
              </w:rPr>
              <w:t>新石器时期</w:t>
            </w:r>
          </w:p>
        </w:tc>
        <w:tc>
          <w:tcPr>
            <w:tcW w:w="454" w:type="pct"/>
            <w:vAlign w:val="center"/>
          </w:tcPr>
          <w:p w14:paraId="1067F004">
            <w:pPr>
              <w:pStyle w:val="12"/>
              <w:jc w:val="center"/>
            </w:pPr>
            <w:r>
              <w:rPr>
                <w:rFonts w:hint="eastAsia"/>
              </w:rPr>
              <w:t>2</w:t>
            </w:r>
          </w:p>
        </w:tc>
        <w:tc>
          <w:tcPr>
            <w:tcW w:w="472" w:type="pct"/>
            <w:vMerge w:val="continue"/>
            <w:vAlign w:val="center"/>
          </w:tcPr>
          <w:p w14:paraId="5D5AF507">
            <w:pPr>
              <w:pStyle w:val="12"/>
              <w:jc w:val="center"/>
            </w:pPr>
          </w:p>
        </w:tc>
        <w:tc>
          <w:tcPr>
            <w:tcW w:w="925" w:type="pct"/>
            <w:vAlign w:val="center"/>
          </w:tcPr>
          <w:p w14:paraId="20648882">
            <w:pPr>
              <w:pStyle w:val="12"/>
              <w:jc w:val="center"/>
            </w:pPr>
            <w:r>
              <w:rPr>
                <w:rFonts w:hint="eastAsia"/>
              </w:rPr>
              <w:t>铜钱</w:t>
            </w:r>
          </w:p>
        </w:tc>
        <w:tc>
          <w:tcPr>
            <w:tcW w:w="479" w:type="pct"/>
            <w:vAlign w:val="center"/>
          </w:tcPr>
          <w:p w14:paraId="5719F381">
            <w:pPr>
              <w:pStyle w:val="12"/>
              <w:jc w:val="center"/>
            </w:pPr>
            <w:r>
              <w:rPr>
                <w:rFonts w:hint="eastAsia"/>
              </w:rPr>
              <w:t>唐、宋</w:t>
            </w:r>
          </w:p>
        </w:tc>
        <w:tc>
          <w:tcPr>
            <w:tcW w:w="625" w:type="pct"/>
            <w:vAlign w:val="center"/>
          </w:tcPr>
          <w:p w14:paraId="08834AF2">
            <w:pPr>
              <w:pStyle w:val="12"/>
              <w:jc w:val="center"/>
            </w:pPr>
            <w:r>
              <w:rPr>
                <w:rFonts w:hint="eastAsia"/>
              </w:rPr>
              <w:t>65斤</w:t>
            </w:r>
          </w:p>
        </w:tc>
      </w:tr>
      <w:tr w14:paraId="59DBE2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2" w:type="pct"/>
            <w:vMerge w:val="continue"/>
            <w:vAlign w:val="center"/>
          </w:tcPr>
          <w:p w14:paraId="21F94C5E">
            <w:pPr>
              <w:pStyle w:val="12"/>
              <w:jc w:val="center"/>
            </w:pPr>
          </w:p>
        </w:tc>
        <w:tc>
          <w:tcPr>
            <w:tcW w:w="711" w:type="pct"/>
            <w:vAlign w:val="center"/>
          </w:tcPr>
          <w:p w14:paraId="5C2C18B7">
            <w:pPr>
              <w:pStyle w:val="12"/>
              <w:jc w:val="center"/>
            </w:pPr>
            <w:r>
              <w:rPr>
                <w:rFonts w:hint="eastAsia"/>
              </w:rPr>
              <w:t>石  刀</w:t>
            </w:r>
          </w:p>
        </w:tc>
        <w:tc>
          <w:tcPr>
            <w:tcW w:w="711" w:type="pct"/>
            <w:vAlign w:val="center"/>
          </w:tcPr>
          <w:p w14:paraId="2FFDA134">
            <w:pPr>
              <w:pStyle w:val="12"/>
              <w:jc w:val="center"/>
            </w:pPr>
            <w:r>
              <w:rPr>
                <w:rFonts w:hint="eastAsia"/>
              </w:rPr>
              <w:t>新石器时期</w:t>
            </w:r>
          </w:p>
        </w:tc>
        <w:tc>
          <w:tcPr>
            <w:tcW w:w="454" w:type="pct"/>
            <w:vAlign w:val="center"/>
          </w:tcPr>
          <w:p w14:paraId="66D2445B">
            <w:pPr>
              <w:pStyle w:val="12"/>
              <w:jc w:val="center"/>
            </w:pPr>
            <w:r>
              <w:rPr>
                <w:rFonts w:hint="eastAsia"/>
              </w:rPr>
              <w:t>4</w:t>
            </w:r>
          </w:p>
        </w:tc>
        <w:tc>
          <w:tcPr>
            <w:tcW w:w="472" w:type="pct"/>
            <w:vMerge w:val="restart"/>
            <w:vAlign w:val="center"/>
          </w:tcPr>
          <w:p w14:paraId="30493D98">
            <w:pPr>
              <w:pStyle w:val="12"/>
              <w:jc w:val="center"/>
            </w:pPr>
            <w:r>
              <w:rPr>
                <w:rFonts w:hint="eastAsia"/>
              </w:rPr>
              <w:t>铁  器</w:t>
            </w:r>
          </w:p>
        </w:tc>
        <w:tc>
          <w:tcPr>
            <w:tcW w:w="925" w:type="pct"/>
            <w:vAlign w:val="center"/>
          </w:tcPr>
          <w:p w14:paraId="7284CA79">
            <w:pPr>
              <w:pStyle w:val="12"/>
              <w:jc w:val="center"/>
            </w:pPr>
            <w:r>
              <w:rPr>
                <w:rFonts w:hint="eastAsia"/>
              </w:rPr>
              <w:t>矛</w:t>
            </w:r>
          </w:p>
        </w:tc>
        <w:tc>
          <w:tcPr>
            <w:tcW w:w="479" w:type="pct"/>
            <w:vAlign w:val="center"/>
          </w:tcPr>
          <w:p w14:paraId="1AF1DA47">
            <w:pPr>
              <w:pStyle w:val="12"/>
              <w:jc w:val="center"/>
            </w:pPr>
            <w:r>
              <w:rPr>
                <w:rFonts w:hint="eastAsia"/>
              </w:rPr>
              <w:t>东汉</w:t>
            </w:r>
          </w:p>
        </w:tc>
        <w:tc>
          <w:tcPr>
            <w:tcW w:w="625" w:type="pct"/>
            <w:vAlign w:val="center"/>
          </w:tcPr>
          <w:p w14:paraId="61BB15B0">
            <w:pPr>
              <w:pStyle w:val="12"/>
              <w:jc w:val="center"/>
            </w:pPr>
            <w:r>
              <w:rPr>
                <w:rFonts w:hint="eastAsia"/>
              </w:rPr>
              <w:t>1</w:t>
            </w:r>
          </w:p>
        </w:tc>
      </w:tr>
      <w:tr w14:paraId="04EF2E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2" w:type="pct"/>
            <w:vMerge w:val="continue"/>
            <w:vAlign w:val="center"/>
          </w:tcPr>
          <w:p w14:paraId="7C8C6372">
            <w:pPr>
              <w:pStyle w:val="12"/>
              <w:jc w:val="center"/>
            </w:pPr>
          </w:p>
        </w:tc>
        <w:tc>
          <w:tcPr>
            <w:tcW w:w="711" w:type="pct"/>
            <w:vAlign w:val="center"/>
          </w:tcPr>
          <w:p w14:paraId="0D05BADD">
            <w:pPr>
              <w:pStyle w:val="12"/>
              <w:jc w:val="center"/>
            </w:pPr>
            <w:r>
              <w:rPr>
                <w:rFonts w:hint="eastAsia"/>
              </w:rPr>
              <w:t>石  斧</w:t>
            </w:r>
          </w:p>
        </w:tc>
        <w:tc>
          <w:tcPr>
            <w:tcW w:w="711" w:type="pct"/>
            <w:vAlign w:val="center"/>
          </w:tcPr>
          <w:p w14:paraId="276C8914">
            <w:pPr>
              <w:pStyle w:val="12"/>
              <w:jc w:val="center"/>
            </w:pPr>
            <w:r>
              <w:rPr>
                <w:rFonts w:hint="eastAsia"/>
              </w:rPr>
              <w:t>新石器时期</w:t>
            </w:r>
          </w:p>
        </w:tc>
        <w:tc>
          <w:tcPr>
            <w:tcW w:w="454" w:type="pct"/>
            <w:vAlign w:val="center"/>
          </w:tcPr>
          <w:p w14:paraId="4F4635ED">
            <w:pPr>
              <w:pStyle w:val="12"/>
              <w:jc w:val="center"/>
            </w:pPr>
            <w:r>
              <w:rPr>
                <w:rFonts w:hint="eastAsia"/>
              </w:rPr>
              <w:t>3</w:t>
            </w:r>
          </w:p>
        </w:tc>
        <w:tc>
          <w:tcPr>
            <w:tcW w:w="472" w:type="pct"/>
            <w:vMerge w:val="continue"/>
            <w:vAlign w:val="center"/>
          </w:tcPr>
          <w:p w14:paraId="4F76638A">
            <w:pPr>
              <w:pStyle w:val="12"/>
              <w:jc w:val="center"/>
            </w:pPr>
          </w:p>
        </w:tc>
        <w:tc>
          <w:tcPr>
            <w:tcW w:w="925" w:type="pct"/>
            <w:vAlign w:val="center"/>
          </w:tcPr>
          <w:p w14:paraId="43364AFD">
            <w:pPr>
              <w:pStyle w:val="12"/>
              <w:jc w:val="center"/>
            </w:pPr>
            <w:r>
              <w:rPr>
                <w:rFonts w:hint="eastAsia"/>
              </w:rPr>
              <w:t>削</w:t>
            </w:r>
          </w:p>
        </w:tc>
        <w:tc>
          <w:tcPr>
            <w:tcW w:w="479" w:type="pct"/>
            <w:vAlign w:val="center"/>
          </w:tcPr>
          <w:p w14:paraId="696BAEE3">
            <w:pPr>
              <w:pStyle w:val="12"/>
              <w:jc w:val="center"/>
            </w:pPr>
            <w:r>
              <w:rPr>
                <w:rFonts w:hint="eastAsia"/>
              </w:rPr>
              <w:t>东汉</w:t>
            </w:r>
          </w:p>
        </w:tc>
        <w:tc>
          <w:tcPr>
            <w:tcW w:w="625" w:type="pct"/>
            <w:vAlign w:val="center"/>
          </w:tcPr>
          <w:p w14:paraId="2A0B2D78">
            <w:pPr>
              <w:pStyle w:val="12"/>
              <w:jc w:val="center"/>
            </w:pPr>
            <w:r>
              <w:rPr>
                <w:rFonts w:hint="eastAsia"/>
              </w:rPr>
              <w:t>3</w:t>
            </w:r>
          </w:p>
        </w:tc>
      </w:tr>
      <w:tr w14:paraId="1E96C1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2" w:type="pct"/>
            <w:vMerge w:val="continue"/>
            <w:vAlign w:val="center"/>
          </w:tcPr>
          <w:p w14:paraId="52F3C06E">
            <w:pPr>
              <w:pStyle w:val="12"/>
              <w:jc w:val="center"/>
            </w:pPr>
          </w:p>
        </w:tc>
        <w:tc>
          <w:tcPr>
            <w:tcW w:w="711" w:type="pct"/>
            <w:vAlign w:val="center"/>
          </w:tcPr>
          <w:p w14:paraId="0CBB0679">
            <w:pPr>
              <w:pStyle w:val="12"/>
              <w:jc w:val="center"/>
            </w:pPr>
            <w:r>
              <w:rPr>
                <w:rFonts w:hint="eastAsia"/>
              </w:rPr>
              <w:t>牙  璋</w:t>
            </w:r>
          </w:p>
        </w:tc>
        <w:tc>
          <w:tcPr>
            <w:tcW w:w="711" w:type="pct"/>
            <w:vAlign w:val="center"/>
          </w:tcPr>
          <w:p w14:paraId="27FFEE8C">
            <w:pPr>
              <w:pStyle w:val="12"/>
              <w:jc w:val="center"/>
            </w:pPr>
            <w:r>
              <w:rPr>
                <w:rFonts w:hint="eastAsia"/>
              </w:rPr>
              <w:t>新石器时期</w:t>
            </w:r>
          </w:p>
        </w:tc>
        <w:tc>
          <w:tcPr>
            <w:tcW w:w="454" w:type="pct"/>
            <w:vAlign w:val="center"/>
          </w:tcPr>
          <w:p w14:paraId="4BC6D008">
            <w:pPr>
              <w:pStyle w:val="12"/>
              <w:jc w:val="center"/>
            </w:pPr>
            <w:r>
              <w:rPr>
                <w:rFonts w:hint="eastAsia"/>
              </w:rPr>
              <w:t>1</w:t>
            </w:r>
          </w:p>
        </w:tc>
        <w:tc>
          <w:tcPr>
            <w:tcW w:w="472" w:type="pct"/>
            <w:vMerge w:val="continue"/>
            <w:vAlign w:val="center"/>
          </w:tcPr>
          <w:p w14:paraId="20837673">
            <w:pPr>
              <w:pStyle w:val="12"/>
              <w:jc w:val="center"/>
            </w:pPr>
          </w:p>
        </w:tc>
        <w:tc>
          <w:tcPr>
            <w:tcW w:w="925" w:type="pct"/>
            <w:vAlign w:val="center"/>
          </w:tcPr>
          <w:p w14:paraId="7655C4E9">
            <w:pPr>
              <w:pStyle w:val="12"/>
              <w:jc w:val="center"/>
            </w:pPr>
            <w:r>
              <w:rPr>
                <w:rFonts w:hint="eastAsia"/>
              </w:rPr>
              <w:t>刀</w:t>
            </w:r>
          </w:p>
        </w:tc>
        <w:tc>
          <w:tcPr>
            <w:tcW w:w="479" w:type="pct"/>
            <w:vAlign w:val="center"/>
          </w:tcPr>
          <w:p w14:paraId="098521B0">
            <w:pPr>
              <w:pStyle w:val="12"/>
              <w:jc w:val="center"/>
            </w:pPr>
            <w:r>
              <w:rPr>
                <w:rFonts w:hint="eastAsia"/>
              </w:rPr>
              <w:t>东汉</w:t>
            </w:r>
          </w:p>
        </w:tc>
        <w:tc>
          <w:tcPr>
            <w:tcW w:w="625" w:type="pct"/>
            <w:vAlign w:val="center"/>
          </w:tcPr>
          <w:p w14:paraId="3D609909">
            <w:pPr>
              <w:pStyle w:val="12"/>
              <w:jc w:val="center"/>
            </w:pPr>
            <w:r>
              <w:rPr>
                <w:rFonts w:hint="eastAsia"/>
              </w:rPr>
              <w:t>2</w:t>
            </w:r>
          </w:p>
        </w:tc>
      </w:tr>
      <w:tr w14:paraId="551F23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2" w:type="pct"/>
            <w:vMerge w:val="restart"/>
            <w:vAlign w:val="center"/>
          </w:tcPr>
          <w:p w14:paraId="190F4227">
            <w:pPr>
              <w:pStyle w:val="12"/>
              <w:jc w:val="center"/>
            </w:pPr>
            <w:r>
              <w:rPr>
                <w:rFonts w:hint="eastAsia"/>
              </w:rPr>
              <w:t>铜  器</w:t>
            </w:r>
          </w:p>
        </w:tc>
        <w:tc>
          <w:tcPr>
            <w:tcW w:w="711" w:type="pct"/>
            <w:vAlign w:val="center"/>
          </w:tcPr>
          <w:p w14:paraId="7BCC6F5C">
            <w:pPr>
              <w:pStyle w:val="12"/>
              <w:jc w:val="center"/>
            </w:pPr>
            <w:r>
              <w:rPr>
                <w:rFonts w:hint="eastAsia"/>
              </w:rPr>
              <w:t>青铜矛</w:t>
            </w:r>
          </w:p>
        </w:tc>
        <w:tc>
          <w:tcPr>
            <w:tcW w:w="711" w:type="pct"/>
            <w:vAlign w:val="center"/>
          </w:tcPr>
          <w:p w14:paraId="08BF56CA">
            <w:pPr>
              <w:pStyle w:val="12"/>
              <w:jc w:val="center"/>
            </w:pPr>
            <w:r>
              <w:rPr>
                <w:rFonts w:hint="eastAsia"/>
              </w:rPr>
              <w:t>东汉</w:t>
            </w:r>
          </w:p>
        </w:tc>
        <w:tc>
          <w:tcPr>
            <w:tcW w:w="454" w:type="pct"/>
            <w:vAlign w:val="center"/>
          </w:tcPr>
          <w:p w14:paraId="53E056C3">
            <w:pPr>
              <w:pStyle w:val="12"/>
              <w:jc w:val="center"/>
            </w:pPr>
            <w:r>
              <w:rPr>
                <w:rFonts w:hint="eastAsia"/>
              </w:rPr>
              <w:t>1</w:t>
            </w:r>
          </w:p>
        </w:tc>
        <w:tc>
          <w:tcPr>
            <w:tcW w:w="472" w:type="pct"/>
            <w:vMerge w:val="continue"/>
            <w:vAlign w:val="center"/>
          </w:tcPr>
          <w:p w14:paraId="05D12D66">
            <w:pPr>
              <w:pStyle w:val="12"/>
              <w:jc w:val="center"/>
            </w:pPr>
          </w:p>
        </w:tc>
        <w:tc>
          <w:tcPr>
            <w:tcW w:w="925" w:type="pct"/>
            <w:vAlign w:val="center"/>
          </w:tcPr>
          <w:p w14:paraId="4EEFD520">
            <w:pPr>
              <w:pStyle w:val="12"/>
              <w:jc w:val="center"/>
            </w:pPr>
            <w:r>
              <w:rPr>
                <w:rFonts w:hint="eastAsia"/>
              </w:rPr>
              <w:t>削</w:t>
            </w:r>
          </w:p>
        </w:tc>
        <w:tc>
          <w:tcPr>
            <w:tcW w:w="479" w:type="pct"/>
            <w:vAlign w:val="center"/>
          </w:tcPr>
          <w:p w14:paraId="7C35B5AE">
            <w:pPr>
              <w:pStyle w:val="12"/>
              <w:jc w:val="center"/>
            </w:pPr>
            <w:r>
              <w:rPr>
                <w:rFonts w:hint="eastAsia"/>
              </w:rPr>
              <w:t>西晋</w:t>
            </w:r>
          </w:p>
        </w:tc>
        <w:tc>
          <w:tcPr>
            <w:tcW w:w="625" w:type="pct"/>
            <w:vAlign w:val="center"/>
          </w:tcPr>
          <w:p w14:paraId="539869A2">
            <w:pPr>
              <w:pStyle w:val="12"/>
              <w:jc w:val="center"/>
            </w:pPr>
            <w:r>
              <w:rPr>
                <w:rFonts w:hint="eastAsia"/>
              </w:rPr>
              <w:t>2</w:t>
            </w:r>
          </w:p>
        </w:tc>
      </w:tr>
      <w:tr w14:paraId="73A6A9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2" w:type="pct"/>
            <w:vMerge w:val="continue"/>
            <w:vAlign w:val="center"/>
          </w:tcPr>
          <w:p w14:paraId="5A2288E7">
            <w:pPr>
              <w:pStyle w:val="12"/>
              <w:jc w:val="center"/>
            </w:pPr>
          </w:p>
        </w:tc>
        <w:tc>
          <w:tcPr>
            <w:tcW w:w="711" w:type="pct"/>
            <w:vAlign w:val="center"/>
          </w:tcPr>
          <w:p w14:paraId="74009DC9">
            <w:pPr>
              <w:pStyle w:val="12"/>
              <w:jc w:val="center"/>
            </w:pPr>
            <w:r>
              <w:rPr>
                <w:rFonts w:hint="eastAsia"/>
              </w:rPr>
              <w:t>青铜镜</w:t>
            </w:r>
          </w:p>
        </w:tc>
        <w:tc>
          <w:tcPr>
            <w:tcW w:w="711" w:type="pct"/>
            <w:vAlign w:val="center"/>
          </w:tcPr>
          <w:p w14:paraId="090ED353">
            <w:pPr>
              <w:pStyle w:val="12"/>
              <w:jc w:val="center"/>
            </w:pPr>
            <w:r>
              <w:rPr>
                <w:rFonts w:hint="eastAsia"/>
              </w:rPr>
              <w:t>东汉</w:t>
            </w:r>
          </w:p>
        </w:tc>
        <w:tc>
          <w:tcPr>
            <w:tcW w:w="454" w:type="pct"/>
            <w:vAlign w:val="center"/>
          </w:tcPr>
          <w:p w14:paraId="22D8948B">
            <w:pPr>
              <w:pStyle w:val="12"/>
              <w:jc w:val="center"/>
            </w:pPr>
            <w:r>
              <w:rPr>
                <w:rFonts w:hint="eastAsia"/>
              </w:rPr>
              <w:t>2</w:t>
            </w:r>
          </w:p>
        </w:tc>
        <w:tc>
          <w:tcPr>
            <w:tcW w:w="472" w:type="pct"/>
            <w:vMerge w:val="continue"/>
            <w:vAlign w:val="center"/>
          </w:tcPr>
          <w:p w14:paraId="0673E013">
            <w:pPr>
              <w:pStyle w:val="12"/>
              <w:jc w:val="center"/>
            </w:pPr>
          </w:p>
        </w:tc>
        <w:tc>
          <w:tcPr>
            <w:tcW w:w="925" w:type="pct"/>
            <w:vAlign w:val="center"/>
          </w:tcPr>
          <w:p w14:paraId="53FC8C7D">
            <w:pPr>
              <w:pStyle w:val="12"/>
              <w:jc w:val="center"/>
            </w:pPr>
            <w:r>
              <w:rPr>
                <w:rFonts w:hint="eastAsia"/>
              </w:rPr>
              <w:t>环首刀</w:t>
            </w:r>
          </w:p>
        </w:tc>
        <w:tc>
          <w:tcPr>
            <w:tcW w:w="479" w:type="pct"/>
            <w:vAlign w:val="center"/>
          </w:tcPr>
          <w:p w14:paraId="3B9F3F8A">
            <w:pPr>
              <w:pStyle w:val="12"/>
              <w:jc w:val="center"/>
            </w:pPr>
            <w:r>
              <w:rPr>
                <w:rFonts w:hint="eastAsia"/>
              </w:rPr>
              <w:t>西晋</w:t>
            </w:r>
          </w:p>
        </w:tc>
        <w:tc>
          <w:tcPr>
            <w:tcW w:w="625" w:type="pct"/>
            <w:vAlign w:val="center"/>
          </w:tcPr>
          <w:p w14:paraId="77FA40F1">
            <w:pPr>
              <w:pStyle w:val="12"/>
              <w:jc w:val="center"/>
            </w:pPr>
            <w:r>
              <w:rPr>
                <w:rFonts w:hint="eastAsia"/>
              </w:rPr>
              <w:t>1</w:t>
            </w:r>
          </w:p>
        </w:tc>
      </w:tr>
      <w:tr w14:paraId="335FA5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2" w:type="pct"/>
            <w:vMerge w:val="continue"/>
            <w:vAlign w:val="center"/>
          </w:tcPr>
          <w:p w14:paraId="05F84FE7">
            <w:pPr>
              <w:pStyle w:val="12"/>
              <w:jc w:val="center"/>
            </w:pPr>
          </w:p>
        </w:tc>
        <w:tc>
          <w:tcPr>
            <w:tcW w:w="711" w:type="pct"/>
            <w:vAlign w:val="center"/>
          </w:tcPr>
          <w:p w14:paraId="6895571B">
            <w:pPr>
              <w:pStyle w:val="12"/>
              <w:jc w:val="center"/>
            </w:pPr>
            <w:r>
              <w:rPr>
                <w:rFonts w:hint="eastAsia"/>
              </w:rPr>
              <w:t>黄铜镜</w:t>
            </w:r>
          </w:p>
        </w:tc>
        <w:tc>
          <w:tcPr>
            <w:tcW w:w="711" w:type="pct"/>
            <w:vAlign w:val="center"/>
          </w:tcPr>
          <w:p w14:paraId="2533B58B">
            <w:pPr>
              <w:pStyle w:val="12"/>
              <w:jc w:val="center"/>
            </w:pPr>
            <w:r>
              <w:rPr>
                <w:rFonts w:hint="eastAsia"/>
              </w:rPr>
              <w:t>宋</w:t>
            </w:r>
          </w:p>
        </w:tc>
        <w:tc>
          <w:tcPr>
            <w:tcW w:w="454" w:type="pct"/>
            <w:vAlign w:val="center"/>
          </w:tcPr>
          <w:p w14:paraId="45D5F174">
            <w:pPr>
              <w:pStyle w:val="12"/>
              <w:jc w:val="center"/>
            </w:pPr>
            <w:r>
              <w:rPr>
                <w:rFonts w:hint="eastAsia"/>
              </w:rPr>
              <w:t>4</w:t>
            </w:r>
          </w:p>
        </w:tc>
        <w:tc>
          <w:tcPr>
            <w:tcW w:w="472" w:type="pct"/>
            <w:vMerge w:val="restart"/>
            <w:vAlign w:val="center"/>
          </w:tcPr>
          <w:p w14:paraId="6ADF1E1E">
            <w:pPr>
              <w:pStyle w:val="12"/>
              <w:jc w:val="center"/>
            </w:pPr>
            <w:r>
              <w:rPr>
                <w:rFonts w:hint="eastAsia"/>
              </w:rPr>
              <w:t>陶瓷器</w:t>
            </w:r>
          </w:p>
        </w:tc>
        <w:tc>
          <w:tcPr>
            <w:tcW w:w="925" w:type="pct"/>
            <w:vAlign w:val="center"/>
          </w:tcPr>
          <w:p w14:paraId="7AC2281F">
            <w:pPr>
              <w:pStyle w:val="12"/>
              <w:jc w:val="center"/>
            </w:pPr>
            <w:r>
              <w:rPr>
                <w:rFonts w:hint="eastAsia"/>
              </w:rPr>
              <w:t>陶罐</w:t>
            </w:r>
          </w:p>
        </w:tc>
        <w:tc>
          <w:tcPr>
            <w:tcW w:w="479" w:type="pct"/>
            <w:vAlign w:val="center"/>
          </w:tcPr>
          <w:p w14:paraId="24A699E3">
            <w:pPr>
              <w:pStyle w:val="12"/>
              <w:jc w:val="center"/>
            </w:pPr>
            <w:r>
              <w:rPr>
                <w:rFonts w:hint="eastAsia"/>
              </w:rPr>
              <w:t>东汉</w:t>
            </w:r>
          </w:p>
        </w:tc>
        <w:tc>
          <w:tcPr>
            <w:tcW w:w="625" w:type="pct"/>
            <w:vAlign w:val="center"/>
          </w:tcPr>
          <w:p w14:paraId="43E36EE3">
            <w:pPr>
              <w:pStyle w:val="12"/>
              <w:jc w:val="center"/>
            </w:pPr>
            <w:r>
              <w:rPr>
                <w:rFonts w:hint="eastAsia"/>
              </w:rPr>
              <w:t>8</w:t>
            </w:r>
          </w:p>
        </w:tc>
      </w:tr>
      <w:tr w14:paraId="66F748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2" w:type="pct"/>
            <w:vMerge w:val="continue"/>
            <w:vAlign w:val="center"/>
          </w:tcPr>
          <w:p w14:paraId="227E3CFC">
            <w:pPr>
              <w:pStyle w:val="12"/>
              <w:jc w:val="center"/>
            </w:pPr>
          </w:p>
        </w:tc>
        <w:tc>
          <w:tcPr>
            <w:tcW w:w="711" w:type="pct"/>
            <w:vAlign w:val="center"/>
          </w:tcPr>
          <w:p w14:paraId="2C710560">
            <w:pPr>
              <w:pStyle w:val="12"/>
              <w:jc w:val="center"/>
            </w:pPr>
            <w:r>
              <w:rPr>
                <w:rFonts w:hint="eastAsia"/>
              </w:rPr>
              <w:t>天王像</w:t>
            </w:r>
          </w:p>
        </w:tc>
        <w:tc>
          <w:tcPr>
            <w:tcW w:w="711" w:type="pct"/>
            <w:vAlign w:val="center"/>
          </w:tcPr>
          <w:p w14:paraId="5673145F">
            <w:pPr>
              <w:pStyle w:val="12"/>
              <w:jc w:val="center"/>
            </w:pPr>
            <w:r>
              <w:rPr>
                <w:rFonts w:hint="eastAsia"/>
              </w:rPr>
              <w:t>明</w:t>
            </w:r>
          </w:p>
        </w:tc>
        <w:tc>
          <w:tcPr>
            <w:tcW w:w="454" w:type="pct"/>
            <w:vAlign w:val="center"/>
          </w:tcPr>
          <w:p w14:paraId="51C8208F">
            <w:pPr>
              <w:pStyle w:val="12"/>
              <w:jc w:val="center"/>
            </w:pPr>
            <w:r>
              <w:rPr>
                <w:rFonts w:hint="eastAsia"/>
              </w:rPr>
              <w:t>2</w:t>
            </w:r>
          </w:p>
        </w:tc>
        <w:tc>
          <w:tcPr>
            <w:tcW w:w="472" w:type="pct"/>
            <w:vMerge w:val="continue"/>
            <w:vAlign w:val="center"/>
          </w:tcPr>
          <w:p w14:paraId="35DA3A47">
            <w:pPr>
              <w:pStyle w:val="12"/>
              <w:jc w:val="center"/>
            </w:pPr>
          </w:p>
        </w:tc>
        <w:tc>
          <w:tcPr>
            <w:tcW w:w="925" w:type="pct"/>
            <w:vAlign w:val="center"/>
          </w:tcPr>
          <w:p w14:paraId="3E1ADF13">
            <w:pPr>
              <w:pStyle w:val="12"/>
              <w:jc w:val="center"/>
            </w:pPr>
            <w:r>
              <w:rPr>
                <w:rFonts w:hint="eastAsia"/>
              </w:rPr>
              <w:t>陶碗</w:t>
            </w:r>
          </w:p>
        </w:tc>
        <w:tc>
          <w:tcPr>
            <w:tcW w:w="479" w:type="pct"/>
            <w:vAlign w:val="center"/>
          </w:tcPr>
          <w:p w14:paraId="63108AB1">
            <w:pPr>
              <w:pStyle w:val="12"/>
              <w:jc w:val="center"/>
            </w:pPr>
            <w:r>
              <w:rPr>
                <w:rFonts w:hint="eastAsia"/>
              </w:rPr>
              <w:t>东汉</w:t>
            </w:r>
          </w:p>
        </w:tc>
        <w:tc>
          <w:tcPr>
            <w:tcW w:w="625" w:type="pct"/>
            <w:vAlign w:val="center"/>
          </w:tcPr>
          <w:p w14:paraId="3069F459">
            <w:pPr>
              <w:pStyle w:val="12"/>
              <w:jc w:val="center"/>
            </w:pPr>
            <w:r>
              <w:rPr>
                <w:rFonts w:hint="eastAsia"/>
              </w:rPr>
              <w:t>2</w:t>
            </w:r>
          </w:p>
        </w:tc>
      </w:tr>
      <w:tr w14:paraId="70F389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2" w:type="pct"/>
            <w:vMerge w:val="continue"/>
            <w:vAlign w:val="center"/>
          </w:tcPr>
          <w:p w14:paraId="45B77FBB">
            <w:pPr>
              <w:pStyle w:val="12"/>
              <w:jc w:val="center"/>
            </w:pPr>
          </w:p>
        </w:tc>
        <w:tc>
          <w:tcPr>
            <w:tcW w:w="711" w:type="pct"/>
            <w:vAlign w:val="center"/>
          </w:tcPr>
          <w:p w14:paraId="58EA43C9">
            <w:pPr>
              <w:pStyle w:val="12"/>
              <w:jc w:val="center"/>
            </w:pPr>
            <w:r>
              <w:rPr>
                <w:rFonts w:hint="eastAsia"/>
              </w:rPr>
              <w:t>石  斧</w:t>
            </w:r>
          </w:p>
        </w:tc>
        <w:tc>
          <w:tcPr>
            <w:tcW w:w="711" w:type="pct"/>
            <w:vAlign w:val="center"/>
          </w:tcPr>
          <w:p w14:paraId="2BC2ACB3">
            <w:pPr>
              <w:pStyle w:val="12"/>
              <w:jc w:val="center"/>
            </w:pPr>
            <w:r>
              <w:rPr>
                <w:rFonts w:hint="eastAsia"/>
              </w:rPr>
              <w:t>新石器时期</w:t>
            </w:r>
          </w:p>
        </w:tc>
        <w:tc>
          <w:tcPr>
            <w:tcW w:w="454" w:type="pct"/>
            <w:vAlign w:val="center"/>
          </w:tcPr>
          <w:p w14:paraId="621DAF00">
            <w:pPr>
              <w:pStyle w:val="12"/>
              <w:jc w:val="center"/>
            </w:pPr>
            <w:r>
              <w:rPr>
                <w:rFonts w:hint="eastAsia"/>
              </w:rPr>
              <w:t>4</w:t>
            </w:r>
          </w:p>
        </w:tc>
        <w:tc>
          <w:tcPr>
            <w:tcW w:w="472" w:type="pct"/>
            <w:vMerge w:val="continue"/>
            <w:vAlign w:val="center"/>
          </w:tcPr>
          <w:p w14:paraId="022EDC9E">
            <w:pPr>
              <w:pStyle w:val="12"/>
              <w:jc w:val="center"/>
            </w:pPr>
          </w:p>
        </w:tc>
        <w:tc>
          <w:tcPr>
            <w:tcW w:w="925" w:type="pct"/>
            <w:vAlign w:val="center"/>
          </w:tcPr>
          <w:p w14:paraId="04AA66DF">
            <w:pPr>
              <w:pStyle w:val="12"/>
              <w:jc w:val="center"/>
            </w:pPr>
            <w:r>
              <w:rPr>
                <w:rFonts w:hint="eastAsia"/>
              </w:rPr>
              <w:t>耳杯</w:t>
            </w:r>
          </w:p>
        </w:tc>
        <w:tc>
          <w:tcPr>
            <w:tcW w:w="479" w:type="pct"/>
            <w:vAlign w:val="center"/>
          </w:tcPr>
          <w:p w14:paraId="671200B8">
            <w:pPr>
              <w:pStyle w:val="12"/>
              <w:jc w:val="center"/>
            </w:pPr>
            <w:r>
              <w:rPr>
                <w:rFonts w:hint="eastAsia"/>
              </w:rPr>
              <w:t>东汉</w:t>
            </w:r>
          </w:p>
        </w:tc>
        <w:tc>
          <w:tcPr>
            <w:tcW w:w="625" w:type="pct"/>
            <w:vAlign w:val="center"/>
          </w:tcPr>
          <w:p w14:paraId="6CF5390F">
            <w:pPr>
              <w:pStyle w:val="12"/>
              <w:jc w:val="center"/>
            </w:pPr>
            <w:r>
              <w:rPr>
                <w:rFonts w:hint="eastAsia"/>
              </w:rPr>
              <w:t>1</w:t>
            </w:r>
          </w:p>
        </w:tc>
      </w:tr>
      <w:tr w14:paraId="64A4C6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2" w:type="pct"/>
            <w:vMerge w:val="restart"/>
            <w:vAlign w:val="center"/>
          </w:tcPr>
          <w:p w14:paraId="27D51F3F">
            <w:pPr>
              <w:pStyle w:val="12"/>
              <w:jc w:val="center"/>
            </w:pPr>
          </w:p>
        </w:tc>
        <w:tc>
          <w:tcPr>
            <w:tcW w:w="711" w:type="pct"/>
            <w:vAlign w:val="center"/>
          </w:tcPr>
          <w:p w14:paraId="3FDD462E">
            <w:pPr>
              <w:pStyle w:val="12"/>
              <w:jc w:val="center"/>
            </w:pPr>
            <w:r>
              <w:rPr>
                <w:rFonts w:hint="eastAsia"/>
              </w:rPr>
              <w:t>香  炉</w:t>
            </w:r>
          </w:p>
        </w:tc>
        <w:tc>
          <w:tcPr>
            <w:tcW w:w="711" w:type="pct"/>
            <w:vAlign w:val="center"/>
          </w:tcPr>
          <w:p w14:paraId="2DC4783C">
            <w:pPr>
              <w:pStyle w:val="12"/>
              <w:jc w:val="center"/>
            </w:pPr>
            <w:r>
              <w:rPr>
                <w:rFonts w:hint="eastAsia"/>
              </w:rPr>
              <w:t>明</w:t>
            </w:r>
          </w:p>
        </w:tc>
        <w:tc>
          <w:tcPr>
            <w:tcW w:w="454" w:type="pct"/>
            <w:vAlign w:val="center"/>
          </w:tcPr>
          <w:p w14:paraId="7C8E653A">
            <w:pPr>
              <w:pStyle w:val="12"/>
              <w:jc w:val="center"/>
            </w:pPr>
            <w:r>
              <w:rPr>
                <w:rFonts w:hint="eastAsia"/>
              </w:rPr>
              <w:t>1</w:t>
            </w:r>
          </w:p>
        </w:tc>
        <w:tc>
          <w:tcPr>
            <w:tcW w:w="472" w:type="pct"/>
            <w:vMerge w:val="continue"/>
            <w:vAlign w:val="center"/>
          </w:tcPr>
          <w:p w14:paraId="305B3645">
            <w:pPr>
              <w:pStyle w:val="12"/>
              <w:jc w:val="center"/>
            </w:pPr>
          </w:p>
        </w:tc>
        <w:tc>
          <w:tcPr>
            <w:tcW w:w="925" w:type="pct"/>
            <w:vAlign w:val="center"/>
          </w:tcPr>
          <w:p w14:paraId="53CECAE4">
            <w:pPr>
              <w:pStyle w:val="12"/>
              <w:jc w:val="center"/>
            </w:pPr>
            <w:r>
              <w:rPr>
                <w:rFonts w:hint="eastAsia"/>
              </w:rPr>
              <w:t>红陶灶鼎模</w:t>
            </w:r>
          </w:p>
        </w:tc>
        <w:tc>
          <w:tcPr>
            <w:tcW w:w="479" w:type="pct"/>
            <w:vAlign w:val="center"/>
          </w:tcPr>
          <w:p w14:paraId="729F41A5">
            <w:pPr>
              <w:pStyle w:val="12"/>
              <w:jc w:val="center"/>
            </w:pPr>
            <w:r>
              <w:rPr>
                <w:rFonts w:hint="eastAsia"/>
              </w:rPr>
              <w:t>晋南北朝</w:t>
            </w:r>
          </w:p>
        </w:tc>
        <w:tc>
          <w:tcPr>
            <w:tcW w:w="625" w:type="pct"/>
            <w:vAlign w:val="center"/>
          </w:tcPr>
          <w:p w14:paraId="2437A7D7">
            <w:pPr>
              <w:pStyle w:val="12"/>
              <w:jc w:val="center"/>
            </w:pPr>
            <w:r>
              <w:rPr>
                <w:rFonts w:hint="eastAsia"/>
              </w:rPr>
              <w:t>2</w:t>
            </w:r>
          </w:p>
        </w:tc>
      </w:tr>
      <w:tr w14:paraId="4B8104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2" w:type="pct"/>
            <w:vMerge w:val="continue"/>
            <w:vAlign w:val="center"/>
          </w:tcPr>
          <w:p w14:paraId="2C1C789C">
            <w:pPr>
              <w:pStyle w:val="12"/>
              <w:jc w:val="center"/>
            </w:pPr>
          </w:p>
        </w:tc>
        <w:tc>
          <w:tcPr>
            <w:tcW w:w="711" w:type="pct"/>
            <w:vAlign w:val="center"/>
          </w:tcPr>
          <w:p w14:paraId="7EE4BECA">
            <w:pPr>
              <w:pStyle w:val="12"/>
              <w:jc w:val="center"/>
            </w:pPr>
            <w:r>
              <w:rPr>
                <w:rFonts w:hint="eastAsia"/>
              </w:rPr>
              <w:t>陶  勺</w:t>
            </w:r>
          </w:p>
        </w:tc>
        <w:tc>
          <w:tcPr>
            <w:tcW w:w="711" w:type="pct"/>
            <w:vAlign w:val="center"/>
          </w:tcPr>
          <w:p w14:paraId="1B62ADC8">
            <w:pPr>
              <w:pStyle w:val="12"/>
              <w:jc w:val="center"/>
            </w:pPr>
            <w:r>
              <w:rPr>
                <w:rFonts w:hint="eastAsia"/>
              </w:rPr>
              <w:t>东汉</w:t>
            </w:r>
          </w:p>
        </w:tc>
        <w:tc>
          <w:tcPr>
            <w:tcW w:w="454" w:type="pct"/>
            <w:vAlign w:val="center"/>
          </w:tcPr>
          <w:p w14:paraId="7C6839A1">
            <w:pPr>
              <w:pStyle w:val="12"/>
              <w:jc w:val="center"/>
            </w:pPr>
            <w:r>
              <w:rPr>
                <w:rFonts w:hint="eastAsia"/>
              </w:rPr>
              <w:t>1</w:t>
            </w:r>
          </w:p>
        </w:tc>
        <w:tc>
          <w:tcPr>
            <w:tcW w:w="472" w:type="pct"/>
            <w:vMerge w:val="continue"/>
            <w:vAlign w:val="center"/>
          </w:tcPr>
          <w:p w14:paraId="40DEDD27">
            <w:pPr>
              <w:pStyle w:val="12"/>
              <w:jc w:val="center"/>
            </w:pPr>
          </w:p>
        </w:tc>
        <w:tc>
          <w:tcPr>
            <w:tcW w:w="925" w:type="pct"/>
            <w:vAlign w:val="center"/>
          </w:tcPr>
          <w:p w14:paraId="0251B6CA">
            <w:pPr>
              <w:pStyle w:val="12"/>
              <w:jc w:val="center"/>
            </w:pPr>
            <w:r>
              <w:rPr>
                <w:rFonts w:hint="eastAsia"/>
              </w:rPr>
              <w:t>四耳陶罐</w:t>
            </w:r>
          </w:p>
        </w:tc>
        <w:tc>
          <w:tcPr>
            <w:tcW w:w="479" w:type="pct"/>
            <w:vAlign w:val="center"/>
          </w:tcPr>
          <w:p w14:paraId="708945D0">
            <w:pPr>
              <w:pStyle w:val="12"/>
              <w:jc w:val="center"/>
            </w:pPr>
            <w:r>
              <w:rPr>
                <w:rFonts w:hint="eastAsia"/>
              </w:rPr>
              <w:t>唐</w:t>
            </w:r>
          </w:p>
        </w:tc>
        <w:tc>
          <w:tcPr>
            <w:tcW w:w="625" w:type="pct"/>
            <w:vAlign w:val="center"/>
          </w:tcPr>
          <w:p w14:paraId="59DCB001">
            <w:pPr>
              <w:pStyle w:val="12"/>
              <w:jc w:val="center"/>
            </w:pPr>
            <w:r>
              <w:rPr>
                <w:rFonts w:hint="eastAsia"/>
              </w:rPr>
              <w:t>2</w:t>
            </w:r>
          </w:p>
        </w:tc>
      </w:tr>
      <w:tr w14:paraId="3EB520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2" w:type="pct"/>
            <w:vMerge w:val="continue"/>
            <w:vAlign w:val="center"/>
          </w:tcPr>
          <w:p w14:paraId="0C6CEE29">
            <w:pPr>
              <w:pStyle w:val="12"/>
              <w:jc w:val="center"/>
            </w:pPr>
          </w:p>
        </w:tc>
        <w:tc>
          <w:tcPr>
            <w:tcW w:w="711" w:type="pct"/>
            <w:vAlign w:val="center"/>
          </w:tcPr>
          <w:p w14:paraId="21E41B4C">
            <w:pPr>
              <w:pStyle w:val="12"/>
              <w:jc w:val="center"/>
            </w:pPr>
            <w:r>
              <w:rPr>
                <w:rFonts w:hint="eastAsia"/>
              </w:rPr>
              <w:t>陶盂</w:t>
            </w:r>
          </w:p>
        </w:tc>
        <w:tc>
          <w:tcPr>
            <w:tcW w:w="711" w:type="pct"/>
            <w:vAlign w:val="center"/>
          </w:tcPr>
          <w:p w14:paraId="46FBF6DB">
            <w:pPr>
              <w:pStyle w:val="12"/>
              <w:jc w:val="center"/>
            </w:pPr>
            <w:r>
              <w:rPr>
                <w:rFonts w:hint="eastAsia"/>
              </w:rPr>
              <w:t>东汉</w:t>
            </w:r>
          </w:p>
        </w:tc>
        <w:tc>
          <w:tcPr>
            <w:tcW w:w="454" w:type="pct"/>
            <w:vAlign w:val="center"/>
          </w:tcPr>
          <w:p w14:paraId="49DAFB70">
            <w:pPr>
              <w:pStyle w:val="12"/>
              <w:jc w:val="center"/>
            </w:pPr>
            <w:r>
              <w:rPr>
                <w:rFonts w:hint="eastAsia"/>
              </w:rPr>
              <w:t>1</w:t>
            </w:r>
          </w:p>
        </w:tc>
        <w:tc>
          <w:tcPr>
            <w:tcW w:w="472" w:type="pct"/>
            <w:vMerge w:val="continue"/>
            <w:vAlign w:val="center"/>
          </w:tcPr>
          <w:p w14:paraId="026C34CC">
            <w:pPr>
              <w:pStyle w:val="12"/>
              <w:jc w:val="center"/>
            </w:pPr>
          </w:p>
        </w:tc>
        <w:tc>
          <w:tcPr>
            <w:tcW w:w="925" w:type="pct"/>
            <w:vAlign w:val="center"/>
          </w:tcPr>
          <w:p w14:paraId="76706041">
            <w:pPr>
              <w:pStyle w:val="12"/>
              <w:jc w:val="center"/>
            </w:pPr>
            <w:r>
              <w:rPr>
                <w:rFonts w:hint="eastAsia"/>
              </w:rPr>
              <w:t>魂罈</w:t>
            </w:r>
          </w:p>
        </w:tc>
        <w:tc>
          <w:tcPr>
            <w:tcW w:w="479" w:type="pct"/>
            <w:vAlign w:val="center"/>
          </w:tcPr>
          <w:p w14:paraId="684A2F10">
            <w:pPr>
              <w:pStyle w:val="12"/>
              <w:jc w:val="center"/>
            </w:pPr>
            <w:r>
              <w:rPr>
                <w:rFonts w:hint="eastAsia"/>
              </w:rPr>
              <w:t>宋</w:t>
            </w:r>
          </w:p>
        </w:tc>
        <w:tc>
          <w:tcPr>
            <w:tcW w:w="625" w:type="pct"/>
            <w:vAlign w:val="center"/>
          </w:tcPr>
          <w:p w14:paraId="10642864">
            <w:pPr>
              <w:pStyle w:val="12"/>
              <w:jc w:val="center"/>
            </w:pPr>
            <w:r>
              <w:rPr>
                <w:rFonts w:hint="eastAsia"/>
              </w:rPr>
              <w:t>2</w:t>
            </w:r>
          </w:p>
        </w:tc>
      </w:tr>
      <w:tr w14:paraId="46691C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2" w:type="pct"/>
            <w:vMerge w:val="continue"/>
            <w:vAlign w:val="center"/>
          </w:tcPr>
          <w:p w14:paraId="3DF10E38">
            <w:pPr>
              <w:pStyle w:val="12"/>
              <w:jc w:val="center"/>
            </w:pPr>
          </w:p>
        </w:tc>
        <w:tc>
          <w:tcPr>
            <w:tcW w:w="711" w:type="pct"/>
            <w:vAlign w:val="center"/>
          </w:tcPr>
          <w:p w14:paraId="3E8FBED9">
            <w:pPr>
              <w:pStyle w:val="12"/>
              <w:jc w:val="center"/>
            </w:pPr>
            <w:r>
              <w:rPr>
                <w:rFonts w:hint="eastAsia"/>
              </w:rPr>
              <w:t>缽</w:t>
            </w:r>
          </w:p>
        </w:tc>
        <w:tc>
          <w:tcPr>
            <w:tcW w:w="711" w:type="pct"/>
            <w:vAlign w:val="center"/>
          </w:tcPr>
          <w:p w14:paraId="65CC0B1B">
            <w:pPr>
              <w:pStyle w:val="12"/>
              <w:jc w:val="center"/>
            </w:pPr>
            <w:r>
              <w:rPr>
                <w:rFonts w:hint="eastAsia"/>
              </w:rPr>
              <w:t>东汉</w:t>
            </w:r>
          </w:p>
        </w:tc>
        <w:tc>
          <w:tcPr>
            <w:tcW w:w="454" w:type="pct"/>
            <w:vAlign w:val="center"/>
          </w:tcPr>
          <w:p w14:paraId="77CF51E0">
            <w:pPr>
              <w:pStyle w:val="12"/>
              <w:jc w:val="center"/>
            </w:pPr>
            <w:r>
              <w:rPr>
                <w:rFonts w:hint="eastAsia"/>
              </w:rPr>
              <w:t>1</w:t>
            </w:r>
          </w:p>
        </w:tc>
        <w:tc>
          <w:tcPr>
            <w:tcW w:w="472" w:type="pct"/>
            <w:vMerge w:val="continue"/>
            <w:vAlign w:val="center"/>
          </w:tcPr>
          <w:p w14:paraId="72B3C07A">
            <w:pPr>
              <w:pStyle w:val="12"/>
              <w:jc w:val="center"/>
            </w:pPr>
          </w:p>
        </w:tc>
        <w:tc>
          <w:tcPr>
            <w:tcW w:w="925" w:type="pct"/>
            <w:vAlign w:val="center"/>
          </w:tcPr>
          <w:p w14:paraId="1529433E">
            <w:pPr>
              <w:pStyle w:val="12"/>
              <w:jc w:val="center"/>
            </w:pPr>
            <w:r>
              <w:rPr>
                <w:rFonts w:hint="eastAsia"/>
              </w:rPr>
              <w:t>青瓷碗</w:t>
            </w:r>
          </w:p>
        </w:tc>
        <w:tc>
          <w:tcPr>
            <w:tcW w:w="479" w:type="pct"/>
            <w:vAlign w:val="center"/>
          </w:tcPr>
          <w:p w14:paraId="5251F96B">
            <w:pPr>
              <w:pStyle w:val="12"/>
              <w:jc w:val="center"/>
            </w:pPr>
            <w:r>
              <w:rPr>
                <w:rFonts w:hint="eastAsia"/>
              </w:rPr>
              <w:t>宋</w:t>
            </w:r>
          </w:p>
        </w:tc>
        <w:tc>
          <w:tcPr>
            <w:tcW w:w="625" w:type="pct"/>
            <w:vAlign w:val="center"/>
          </w:tcPr>
          <w:p w14:paraId="7B3042AC">
            <w:pPr>
              <w:pStyle w:val="12"/>
              <w:jc w:val="center"/>
            </w:pPr>
            <w:r>
              <w:rPr>
                <w:rFonts w:hint="eastAsia"/>
              </w:rPr>
              <w:t>2</w:t>
            </w:r>
          </w:p>
        </w:tc>
      </w:tr>
      <w:tr w14:paraId="5873D33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2" w:type="pct"/>
            <w:vMerge w:val="continue"/>
            <w:vAlign w:val="center"/>
          </w:tcPr>
          <w:p w14:paraId="444F7219">
            <w:pPr>
              <w:pStyle w:val="12"/>
              <w:jc w:val="center"/>
            </w:pPr>
          </w:p>
        </w:tc>
        <w:tc>
          <w:tcPr>
            <w:tcW w:w="711" w:type="pct"/>
            <w:vAlign w:val="center"/>
          </w:tcPr>
          <w:p w14:paraId="5DE3F6DC">
            <w:pPr>
              <w:pStyle w:val="12"/>
              <w:jc w:val="center"/>
            </w:pPr>
            <w:r>
              <w:rPr>
                <w:rFonts w:hint="eastAsia"/>
              </w:rPr>
              <w:t>壸</w:t>
            </w:r>
          </w:p>
        </w:tc>
        <w:tc>
          <w:tcPr>
            <w:tcW w:w="711" w:type="pct"/>
            <w:vAlign w:val="center"/>
          </w:tcPr>
          <w:p w14:paraId="0FF61BEA">
            <w:pPr>
              <w:pStyle w:val="12"/>
              <w:jc w:val="center"/>
            </w:pPr>
            <w:r>
              <w:rPr>
                <w:rFonts w:hint="eastAsia"/>
              </w:rPr>
              <w:t>东汉</w:t>
            </w:r>
          </w:p>
        </w:tc>
        <w:tc>
          <w:tcPr>
            <w:tcW w:w="454" w:type="pct"/>
            <w:vAlign w:val="center"/>
          </w:tcPr>
          <w:p w14:paraId="6C8D18F0">
            <w:pPr>
              <w:pStyle w:val="12"/>
              <w:jc w:val="center"/>
            </w:pPr>
            <w:r>
              <w:rPr>
                <w:rFonts w:hint="eastAsia"/>
              </w:rPr>
              <w:t>4</w:t>
            </w:r>
          </w:p>
        </w:tc>
        <w:tc>
          <w:tcPr>
            <w:tcW w:w="472" w:type="pct"/>
            <w:vMerge w:val="continue"/>
            <w:vAlign w:val="center"/>
          </w:tcPr>
          <w:p w14:paraId="1961B58B">
            <w:pPr>
              <w:pStyle w:val="12"/>
              <w:jc w:val="center"/>
            </w:pPr>
          </w:p>
        </w:tc>
        <w:tc>
          <w:tcPr>
            <w:tcW w:w="925" w:type="pct"/>
            <w:vAlign w:val="center"/>
          </w:tcPr>
          <w:p w14:paraId="4BC18A8E">
            <w:pPr>
              <w:pStyle w:val="12"/>
              <w:jc w:val="center"/>
            </w:pPr>
            <w:r>
              <w:rPr>
                <w:rFonts w:hint="eastAsia"/>
              </w:rPr>
              <w:t>陶罐</w:t>
            </w:r>
          </w:p>
        </w:tc>
        <w:tc>
          <w:tcPr>
            <w:tcW w:w="479" w:type="pct"/>
            <w:vAlign w:val="center"/>
          </w:tcPr>
          <w:p w14:paraId="1292EC9C">
            <w:pPr>
              <w:pStyle w:val="12"/>
              <w:jc w:val="center"/>
            </w:pPr>
            <w:r>
              <w:rPr>
                <w:rFonts w:hint="eastAsia"/>
              </w:rPr>
              <w:t>明</w:t>
            </w:r>
          </w:p>
        </w:tc>
        <w:tc>
          <w:tcPr>
            <w:tcW w:w="625" w:type="pct"/>
            <w:vAlign w:val="center"/>
          </w:tcPr>
          <w:p w14:paraId="3E3511D2">
            <w:pPr>
              <w:pStyle w:val="12"/>
              <w:jc w:val="center"/>
            </w:pPr>
            <w:r>
              <w:rPr>
                <w:rFonts w:hint="eastAsia"/>
              </w:rPr>
              <w:t>2</w:t>
            </w:r>
          </w:p>
        </w:tc>
      </w:tr>
      <w:tr w14:paraId="6D2C43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2" w:type="pct"/>
            <w:vMerge w:val="continue"/>
            <w:vAlign w:val="center"/>
          </w:tcPr>
          <w:p w14:paraId="110FDD7E">
            <w:pPr>
              <w:pStyle w:val="12"/>
              <w:jc w:val="center"/>
            </w:pPr>
          </w:p>
        </w:tc>
        <w:tc>
          <w:tcPr>
            <w:tcW w:w="711" w:type="pct"/>
            <w:vAlign w:val="center"/>
          </w:tcPr>
          <w:p w14:paraId="4C55D04D">
            <w:pPr>
              <w:pStyle w:val="12"/>
              <w:jc w:val="center"/>
            </w:pPr>
            <w:r>
              <w:rPr>
                <w:rFonts w:hint="eastAsia"/>
              </w:rPr>
              <w:t>熏  炉</w:t>
            </w:r>
          </w:p>
        </w:tc>
        <w:tc>
          <w:tcPr>
            <w:tcW w:w="711" w:type="pct"/>
            <w:vAlign w:val="center"/>
          </w:tcPr>
          <w:p w14:paraId="2C4FA813">
            <w:pPr>
              <w:pStyle w:val="12"/>
              <w:jc w:val="center"/>
            </w:pPr>
            <w:r>
              <w:rPr>
                <w:rFonts w:hint="eastAsia"/>
              </w:rPr>
              <w:t>东汉</w:t>
            </w:r>
          </w:p>
        </w:tc>
        <w:tc>
          <w:tcPr>
            <w:tcW w:w="454" w:type="pct"/>
            <w:vAlign w:val="center"/>
          </w:tcPr>
          <w:p w14:paraId="56C91D72">
            <w:pPr>
              <w:pStyle w:val="12"/>
              <w:jc w:val="center"/>
            </w:pPr>
            <w:r>
              <w:rPr>
                <w:rFonts w:hint="eastAsia"/>
              </w:rPr>
              <w:t>1</w:t>
            </w:r>
          </w:p>
        </w:tc>
        <w:tc>
          <w:tcPr>
            <w:tcW w:w="472" w:type="pct"/>
            <w:vMerge w:val="continue"/>
            <w:vAlign w:val="center"/>
          </w:tcPr>
          <w:p w14:paraId="354240A2">
            <w:pPr>
              <w:pStyle w:val="12"/>
              <w:jc w:val="center"/>
            </w:pPr>
          </w:p>
        </w:tc>
        <w:tc>
          <w:tcPr>
            <w:tcW w:w="925" w:type="pct"/>
            <w:vAlign w:val="center"/>
          </w:tcPr>
          <w:p w14:paraId="7D77A8C8">
            <w:pPr>
              <w:pStyle w:val="12"/>
              <w:jc w:val="center"/>
            </w:pPr>
            <w:r>
              <w:rPr>
                <w:rFonts w:hint="eastAsia"/>
              </w:rPr>
              <w:t>青花碗</w:t>
            </w:r>
          </w:p>
        </w:tc>
        <w:tc>
          <w:tcPr>
            <w:tcW w:w="479" w:type="pct"/>
            <w:vAlign w:val="center"/>
          </w:tcPr>
          <w:p w14:paraId="1BA91727">
            <w:pPr>
              <w:pStyle w:val="12"/>
              <w:jc w:val="center"/>
            </w:pPr>
            <w:r>
              <w:rPr>
                <w:rFonts w:hint="eastAsia"/>
              </w:rPr>
              <w:t>明</w:t>
            </w:r>
          </w:p>
        </w:tc>
        <w:tc>
          <w:tcPr>
            <w:tcW w:w="625" w:type="pct"/>
            <w:vAlign w:val="center"/>
          </w:tcPr>
          <w:p w14:paraId="6F844896">
            <w:pPr>
              <w:pStyle w:val="12"/>
              <w:jc w:val="center"/>
            </w:pPr>
            <w:r>
              <w:rPr>
                <w:rFonts w:hint="eastAsia"/>
              </w:rPr>
              <w:t>2</w:t>
            </w:r>
          </w:p>
        </w:tc>
      </w:tr>
      <w:tr w14:paraId="635D74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2" w:type="pct"/>
            <w:vMerge w:val="continue"/>
            <w:vAlign w:val="center"/>
          </w:tcPr>
          <w:p w14:paraId="761088FD">
            <w:pPr>
              <w:pStyle w:val="12"/>
              <w:jc w:val="center"/>
            </w:pPr>
          </w:p>
        </w:tc>
        <w:tc>
          <w:tcPr>
            <w:tcW w:w="711" w:type="pct"/>
            <w:vAlign w:val="center"/>
          </w:tcPr>
          <w:p w14:paraId="03AE1EE3">
            <w:pPr>
              <w:pStyle w:val="12"/>
              <w:jc w:val="center"/>
            </w:pPr>
            <w:r>
              <w:rPr>
                <w:rFonts w:hint="eastAsia"/>
              </w:rPr>
              <w:t>陶香炉</w:t>
            </w:r>
          </w:p>
        </w:tc>
        <w:tc>
          <w:tcPr>
            <w:tcW w:w="711" w:type="pct"/>
            <w:vAlign w:val="center"/>
          </w:tcPr>
          <w:p w14:paraId="4CEBDF2E">
            <w:pPr>
              <w:pStyle w:val="12"/>
              <w:jc w:val="center"/>
            </w:pPr>
            <w:r>
              <w:rPr>
                <w:rFonts w:hint="eastAsia"/>
              </w:rPr>
              <w:t>东汉</w:t>
            </w:r>
          </w:p>
        </w:tc>
        <w:tc>
          <w:tcPr>
            <w:tcW w:w="454" w:type="pct"/>
            <w:vAlign w:val="center"/>
          </w:tcPr>
          <w:p w14:paraId="10BC8FB4">
            <w:pPr>
              <w:pStyle w:val="12"/>
              <w:jc w:val="center"/>
            </w:pPr>
            <w:r>
              <w:rPr>
                <w:rFonts w:hint="eastAsia"/>
              </w:rPr>
              <w:t>1</w:t>
            </w:r>
          </w:p>
        </w:tc>
        <w:tc>
          <w:tcPr>
            <w:tcW w:w="472" w:type="pct"/>
            <w:vMerge w:val="continue"/>
            <w:vAlign w:val="center"/>
          </w:tcPr>
          <w:p w14:paraId="17EF5544">
            <w:pPr>
              <w:pStyle w:val="12"/>
              <w:jc w:val="center"/>
            </w:pPr>
          </w:p>
        </w:tc>
        <w:tc>
          <w:tcPr>
            <w:tcW w:w="925" w:type="pct"/>
            <w:vAlign w:val="center"/>
          </w:tcPr>
          <w:p w14:paraId="134F93ED">
            <w:pPr>
              <w:pStyle w:val="12"/>
              <w:jc w:val="center"/>
            </w:pPr>
            <w:r>
              <w:rPr>
                <w:rFonts w:hint="eastAsia"/>
              </w:rPr>
              <w:t>青花瓷盅</w:t>
            </w:r>
          </w:p>
        </w:tc>
        <w:tc>
          <w:tcPr>
            <w:tcW w:w="479" w:type="pct"/>
            <w:vAlign w:val="center"/>
          </w:tcPr>
          <w:p w14:paraId="49EA0431">
            <w:pPr>
              <w:pStyle w:val="12"/>
              <w:jc w:val="center"/>
            </w:pPr>
            <w:r>
              <w:rPr>
                <w:rFonts w:hint="eastAsia"/>
              </w:rPr>
              <w:t>明</w:t>
            </w:r>
          </w:p>
        </w:tc>
        <w:tc>
          <w:tcPr>
            <w:tcW w:w="625" w:type="pct"/>
            <w:vAlign w:val="center"/>
          </w:tcPr>
          <w:p w14:paraId="3D4448A1">
            <w:pPr>
              <w:pStyle w:val="12"/>
              <w:jc w:val="center"/>
            </w:pPr>
            <w:r>
              <w:rPr>
                <w:rFonts w:hint="eastAsia"/>
              </w:rPr>
              <w:t>1</w:t>
            </w:r>
          </w:p>
        </w:tc>
      </w:tr>
      <w:tr w14:paraId="19830E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2" w:type="pct"/>
            <w:vMerge w:val="continue"/>
            <w:vAlign w:val="center"/>
          </w:tcPr>
          <w:p w14:paraId="69E5FE2C">
            <w:pPr>
              <w:pStyle w:val="12"/>
              <w:jc w:val="center"/>
            </w:pPr>
          </w:p>
        </w:tc>
        <w:tc>
          <w:tcPr>
            <w:tcW w:w="711" w:type="pct"/>
            <w:vAlign w:val="center"/>
          </w:tcPr>
          <w:p w14:paraId="7E6D80BE">
            <w:pPr>
              <w:pStyle w:val="12"/>
              <w:jc w:val="center"/>
            </w:pPr>
            <w:r>
              <w:rPr>
                <w:rFonts w:hint="eastAsia"/>
              </w:rPr>
              <w:t>陶  奁</w:t>
            </w:r>
          </w:p>
        </w:tc>
        <w:tc>
          <w:tcPr>
            <w:tcW w:w="711" w:type="pct"/>
            <w:vAlign w:val="center"/>
          </w:tcPr>
          <w:p w14:paraId="27915F0E">
            <w:pPr>
              <w:pStyle w:val="12"/>
              <w:jc w:val="center"/>
            </w:pPr>
            <w:r>
              <w:rPr>
                <w:rFonts w:hint="eastAsia"/>
              </w:rPr>
              <w:t>东汉</w:t>
            </w:r>
          </w:p>
        </w:tc>
        <w:tc>
          <w:tcPr>
            <w:tcW w:w="454" w:type="pct"/>
            <w:vAlign w:val="center"/>
          </w:tcPr>
          <w:p w14:paraId="3BB441E4">
            <w:pPr>
              <w:pStyle w:val="12"/>
              <w:jc w:val="center"/>
            </w:pPr>
            <w:r>
              <w:rPr>
                <w:rFonts w:hint="eastAsia"/>
              </w:rPr>
              <w:t>1</w:t>
            </w:r>
          </w:p>
        </w:tc>
        <w:tc>
          <w:tcPr>
            <w:tcW w:w="472" w:type="pct"/>
            <w:vMerge w:val="continue"/>
            <w:vAlign w:val="center"/>
          </w:tcPr>
          <w:p w14:paraId="4F5F6AA0">
            <w:pPr>
              <w:pStyle w:val="12"/>
              <w:jc w:val="center"/>
            </w:pPr>
          </w:p>
        </w:tc>
        <w:tc>
          <w:tcPr>
            <w:tcW w:w="925" w:type="pct"/>
            <w:vAlign w:val="center"/>
          </w:tcPr>
          <w:p w14:paraId="4670F4DA">
            <w:pPr>
              <w:pStyle w:val="12"/>
              <w:jc w:val="center"/>
            </w:pPr>
            <w:r>
              <w:rPr>
                <w:rFonts w:hint="eastAsia"/>
              </w:rPr>
              <w:t>青花瓷罐</w:t>
            </w:r>
          </w:p>
        </w:tc>
        <w:tc>
          <w:tcPr>
            <w:tcW w:w="479" w:type="pct"/>
            <w:vAlign w:val="center"/>
          </w:tcPr>
          <w:p w14:paraId="3A9BCC35">
            <w:pPr>
              <w:pStyle w:val="12"/>
              <w:jc w:val="center"/>
            </w:pPr>
            <w:r>
              <w:rPr>
                <w:rFonts w:hint="eastAsia"/>
              </w:rPr>
              <w:t>明</w:t>
            </w:r>
          </w:p>
        </w:tc>
        <w:tc>
          <w:tcPr>
            <w:tcW w:w="625" w:type="pct"/>
            <w:vAlign w:val="center"/>
          </w:tcPr>
          <w:p w14:paraId="45CA3041">
            <w:pPr>
              <w:pStyle w:val="12"/>
              <w:jc w:val="center"/>
            </w:pPr>
            <w:r>
              <w:rPr>
                <w:rFonts w:hint="eastAsia"/>
              </w:rPr>
              <w:t>1</w:t>
            </w:r>
          </w:p>
        </w:tc>
      </w:tr>
      <w:tr w14:paraId="628A90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2" w:type="pct"/>
            <w:vMerge w:val="continue"/>
            <w:vAlign w:val="center"/>
          </w:tcPr>
          <w:p w14:paraId="2EA8B16C">
            <w:pPr>
              <w:pStyle w:val="12"/>
              <w:jc w:val="center"/>
            </w:pPr>
          </w:p>
        </w:tc>
        <w:tc>
          <w:tcPr>
            <w:tcW w:w="711" w:type="pct"/>
            <w:vAlign w:val="center"/>
          </w:tcPr>
          <w:p w14:paraId="50390516">
            <w:pPr>
              <w:pStyle w:val="12"/>
              <w:jc w:val="center"/>
            </w:pPr>
            <w:r>
              <w:rPr>
                <w:rFonts w:hint="eastAsia"/>
              </w:rPr>
              <w:t>陶  屋</w:t>
            </w:r>
          </w:p>
        </w:tc>
        <w:tc>
          <w:tcPr>
            <w:tcW w:w="711" w:type="pct"/>
            <w:vAlign w:val="center"/>
          </w:tcPr>
          <w:p w14:paraId="35171137">
            <w:pPr>
              <w:pStyle w:val="12"/>
              <w:jc w:val="center"/>
            </w:pPr>
            <w:r>
              <w:rPr>
                <w:rFonts w:hint="eastAsia"/>
              </w:rPr>
              <w:t>东汉</w:t>
            </w:r>
          </w:p>
        </w:tc>
        <w:tc>
          <w:tcPr>
            <w:tcW w:w="454" w:type="pct"/>
            <w:vAlign w:val="center"/>
          </w:tcPr>
          <w:p w14:paraId="0CEBC1C2">
            <w:pPr>
              <w:pStyle w:val="12"/>
              <w:jc w:val="center"/>
            </w:pPr>
            <w:r>
              <w:rPr>
                <w:rFonts w:hint="eastAsia"/>
              </w:rPr>
              <w:t>1</w:t>
            </w:r>
          </w:p>
        </w:tc>
        <w:tc>
          <w:tcPr>
            <w:tcW w:w="472" w:type="pct"/>
            <w:vMerge w:val="continue"/>
            <w:vAlign w:val="center"/>
          </w:tcPr>
          <w:p w14:paraId="436FF242">
            <w:pPr>
              <w:pStyle w:val="12"/>
              <w:jc w:val="center"/>
            </w:pPr>
          </w:p>
        </w:tc>
        <w:tc>
          <w:tcPr>
            <w:tcW w:w="925" w:type="pct"/>
            <w:vAlign w:val="center"/>
          </w:tcPr>
          <w:p w14:paraId="1D70BFE5">
            <w:pPr>
              <w:pStyle w:val="12"/>
              <w:jc w:val="center"/>
            </w:pPr>
            <w:r>
              <w:rPr>
                <w:rFonts w:hint="eastAsia"/>
              </w:rPr>
              <w:t>青瓷碟</w:t>
            </w:r>
          </w:p>
        </w:tc>
        <w:tc>
          <w:tcPr>
            <w:tcW w:w="479" w:type="pct"/>
            <w:vAlign w:val="center"/>
          </w:tcPr>
          <w:p w14:paraId="6B84B029">
            <w:pPr>
              <w:pStyle w:val="12"/>
              <w:jc w:val="center"/>
            </w:pPr>
            <w:r>
              <w:rPr>
                <w:rFonts w:hint="eastAsia"/>
              </w:rPr>
              <w:t>清</w:t>
            </w:r>
          </w:p>
        </w:tc>
        <w:tc>
          <w:tcPr>
            <w:tcW w:w="625" w:type="pct"/>
            <w:vAlign w:val="center"/>
          </w:tcPr>
          <w:p w14:paraId="779344E6">
            <w:pPr>
              <w:pStyle w:val="12"/>
              <w:jc w:val="center"/>
            </w:pPr>
            <w:r>
              <w:rPr>
                <w:rFonts w:hint="eastAsia"/>
              </w:rPr>
              <w:t>6</w:t>
            </w:r>
          </w:p>
        </w:tc>
      </w:tr>
      <w:tr w14:paraId="0CDAFD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2" w:type="pct"/>
            <w:vMerge w:val="continue"/>
            <w:vAlign w:val="center"/>
          </w:tcPr>
          <w:p w14:paraId="322B5C61">
            <w:pPr>
              <w:pStyle w:val="12"/>
              <w:jc w:val="center"/>
            </w:pPr>
          </w:p>
        </w:tc>
        <w:tc>
          <w:tcPr>
            <w:tcW w:w="711" w:type="pct"/>
            <w:vAlign w:val="center"/>
          </w:tcPr>
          <w:p w14:paraId="4C56B9E7">
            <w:pPr>
              <w:pStyle w:val="12"/>
              <w:jc w:val="center"/>
            </w:pPr>
            <w:r>
              <w:rPr>
                <w:rFonts w:hint="eastAsia"/>
              </w:rPr>
              <w:t>陶作坊</w:t>
            </w:r>
          </w:p>
        </w:tc>
        <w:tc>
          <w:tcPr>
            <w:tcW w:w="711" w:type="pct"/>
            <w:vAlign w:val="center"/>
          </w:tcPr>
          <w:p w14:paraId="7322FE07">
            <w:pPr>
              <w:pStyle w:val="12"/>
              <w:jc w:val="center"/>
            </w:pPr>
            <w:r>
              <w:rPr>
                <w:rFonts w:hint="eastAsia"/>
              </w:rPr>
              <w:t>东汉</w:t>
            </w:r>
          </w:p>
        </w:tc>
        <w:tc>
          <w:tcPr>
            <w:tcW w:w="454" w:type="pct"/>
            <w:vAlign w:val="center"/>
          </w:tcPr>
          <w:p w14:paraId="3532A26E">
            <w:pPr>
              <w:pStyle w:val="12"/>
              <w:jc w:val="center"/>
            </w:pPr>
            <w:r>
              <w:rPr>
                <w:rFonts w:hint="eastAsia"/>
              </w:rPr>
              <w:t>1</w:t>
            </w:r>
          </w:p>
        </w:tc>
        <w:tc>
          <w:tcPr>
            <w:tcW w:w="472" w:type="pct"/>
            <w:vMerge w:val="continue"/>
            <w:vAlign w:val="center"/>
          </w:tcPr>
          <w:p w14:paraId="45A44693">
            <w:pPr>
              <w:pStyle w:val="12"/>
              <w:jc w:val="center"/>
            </w:pPr>
          </w:p>
        </w:tc>
        <w:tc>
          <w:tcPr>
            <w:tcW w:w="925" w:type="pct"/>
            <w:vAlign w:val="center"/>
          </w:tcPr>
          <w:p w14:paraId="6BAEC8B2">
            <w:pPr>
              <w:pStyle w:val="12"/>
              <w:jc w:val="center"/>
            </w:pPr>
            <w:r>
              <w:rPr>
                <w:rFonts w:hint="eastAsia"/>
              </w:rPr>
              <w:t>菱角粉彩碟</w:t>
            </w:r>
          </w:p>
        </w:tc>
        <w:tc>
          <w:tcPr>
            <w:tcW w:w="479" w:type="pct"/>
            <w:vAlign w:val="center"/>
          </w:tcPr>
          <w:p w14:paraId="079323B2">
            <w:pPr>
              <w:pStyle w:val="12"/>
              <w:jc w:val="center"/>
            </w:pPr>
            <w:r>
              <w:rPr>
                <w:rFonts w:hint="eastAsia"/>
              </w:rPr>
              <w:t>清</w:t>
            </w:r>
          </w:p>
        </w:tc>
        <w:tc>
          <w:tcPr>
            <w:tcW w:w="625" w:type="pct"/>
            <w:vAlign w:val="center"/>
          </w:tcPr>
          <w:p w14:paraId="6BC211E6">
            <w:pPr>
              <w:pStyle w:val="12"/>
              <w:jc w:val="center"/>
            </w:pPr>
            <w:r>
              <w:rPr>
                <w:rFonts w:hint="eastAsia"/>
              </w:rPr>
              <w:t>3</w:t>
            </w:r>
          </w:p>
        </w:tc>
      </w:tr>
      <w:tr w14:paraId="220100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2" w:type="pct"/>
            <w:vMerge w:val="continue"/>
            <w:vAlign w:val="center"/>
          </w:tcPr>
          <w:p w14:paraId="0EF8BC09">
            <w:pPr>
              <w:pStyle w:val="12"/>
              <w:jc w:val="center"/>
            </w:pPr>
          </w:p>
        </w:tc>
        <w:tc>
          <w:tcPr>
            <w:tcW w:w="711" w:type="pct"/>
            <w:vAlign w:val="center"/>
          </w:tcPr>
          <w:p w14:paraId="63DCA749">
            <w:pPr>
              <w:pStyle w:val="12"/>
              <w:jc w:val="center"/>
            </w:pPr>
            <w:r>
              <w:rPr>
                <w:rFonts w:hint="eastAsia"/>
              </w:rPr>
              <w:t>陶  井</w:t>
            </w:r>
          </w:p>
        </w:tc>
        <w:tc>
          <w:tcPr>
            <w:tcW w:w="711" w:type="pct"/>
            <w:vAlign w:val="center"/>
          </w:tcPr>
          <w:p w14:paraId="12CA5259">
            <w:pPr>
              <w:pStyle w:val="12"/>
              <w:jc w:val="center"/>
            </w:pPr>
            <w:r>
              <w:rPr>
                <w:rFonts w:hint="eastAsia"/>
              </w:rPr>
              <w:t>东汉</w:t>
            </w:r>
          </w:p>
        </w:tc>
        <w:tc>
          <w:tcPr>
            <w:tcW w:w="454" w:type="pct"/>
            <w:vAlign w:val="center"/>
          </w:tcPr>
          <w:p w14:paraId="33B6120D">
            <w:pPr>
              <w:pStyle w:val="12"/>
              <w:jc w:val="center"/>
            </w:pPr>
            <w:r>
              <w:rPr>
                <w:rFonts w:hint="eastAsia"/>
              </w:rPr>
              <w:t>1</w:t>
            </w:r>
          </w:p>
        </w:tc>
        <w:tc>
          <w:tcPr>
            <w:tcW w:w="472" w:type="pct"/>
            <w:vMerge w:val="continue"/>
            <w:vAlign w:val="center"/>
          </w:tcPr>
          <w:p w14:paraId="40A2A40B">
            <w:pPr>
              <w:pStyle w:val="12"/>
              <w:jc w:val="center"/>
            </w:pPr>
          </w:p>
        </w:tc>
        <w:tc>
          <w:tcPr>
            <w:tcW w:w="925" w:type="pct"/>
            <w:vAlign w:val="center"/>
          </w:tcPr>
          <w:p w14:paraId="2F7B8433">
            <w:pPr>
              <w:pStyle w:val="12"/>
              <w:jc w:val="center"/>
            </w:pPr>
            <w:r>
              <w:rPr>
                <w:rFonts w:hint="eastAsia"/>
              </w:rPr>
              <w:t>青瓷粉彩碟</w:t>
            </w:r>
          </w:p>
        </w:tc>
        <w:tc>
          <w:tcPr>
            <w:tcW w:w="479" w:type="pct"/>
            <w:vAlign w:val="center"/>
          </w:tcPr>
          <w:p w14:paraId="57B44CEC">
            <w:pPr>
              <w:pStyle w:val="12"/>
              <w:jc w:val="center"/>
            </w:pPr>
            <w:r>
              <w:rPr>
                <w:rFonts w:hint="eastAsia"/>
              </w:rPr>
              <w:t>清</w:t>
            </w:r>
          </w:p>
        </w:tc>
        <w:tc>
          <w:tcPr>
            <w:tcW w:w="625" w:type="pct"/>
            <w:vAlign w:val="center"/>
          </w:tcPr>
          <w:p w14:paraId="5E7549BB">
            <w:pPr>
              <w:pStyle w:val="12"/>
              <w:jc w:val="center"/>
            </w:pPr>
            <w:r>
              <w:rPr>
                <w:rFonts w:hint="eastAsia"/>
              </w:rPr>
              <w:t>1</w:t>
            </w:r>
          </w:p>
        </w:tc>
      </w:tr>
      <w:tr w14:paraId="0B92B0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2" w:type="pct"/>
            <w:vMerge w:val="continue"/>
            <w:vAlign w:val="center"/>
          </w:tcPr>
          <w:p w14:paraId="73499445">
            <w:pPr>
              <w:pStyle w:val="12"/>
              <w:jc w:val="center"/>
            </w:pPr>
          </w:p>
        </w:tc>
        <w:tc>
          <w:tcPr>
            <w:tcW w:w="711" w:type="pct"/>
            <w:vAlign w:val="center"/>
          </w:tcPr>
          <w:p w14:paraId="5492BBFA">
            <w:pPr>
              <w:pStyle w:val="12"/>
              <w:jc w:val="center"/>
            </w:pPr>
            <w:r>
              <w:rPr>
                <w:rFonts w:hint="eastAsia"/>
              </w:rPr>
              <w:t>四耳釉陶罐</w:t>
            </w:r>
          </w:p>
        </w:tc>
        <w:tc>
          <w:tcPr>
            <w:tcW w:w="711" w:type="pct"/>
            <w:vAlign w:val="center"/>
          </w:tcPr>
          <w:p w14:paraId="27FD7ED7">
            <w:pPr>
              <w:pStyle w:val="12"/>
              <w:jc w:val="center"/>
            </w:pPr>
            <w:r>
              <w:rPr>
                <w:rFonts w:hint="eastAsia"/>
              </w:rPr>
              <w:t>西晋</w:t>
            </w:r>
          </w:p>
        </w:tc>
        <w:tc>
          <w:tcPr>
            <w:tcW w:w="454" w:type="pct"/>
            <w:vAlign w:val="center"/>
          </w:tcPr>
          <w:p w14:paraId="2F90ADC1">
            <w:pPr>
              <w:pStyle w:val="12"/>
              <w:jc w:val="center"/>
            </w:pPr>
            <w:r>
              <w:rPr>
                <w:rFonts w:hint="eastAsia"/>
              </w:rPr>
              <w:t>2</w:t>
            </w:r>
          </w:p>
        </w:tc>
        <w:tc>
          <w:tcPr>
            <w:tcW w:w="472" w:type="pct"/>
            <w:vMerge w:val="continue"/>
            <w:vAlign w:val="center"/>
          </w:tcPr>
          <w:p w14:paraId="6AB5AEF9">
            <w:pPr>
              <w:pStyle w:val="12"/>
              <w:jc w:val="center"/>
            </w:pPr>
          </w:p>
        </w:tc>
        <w:tc>
          <w:tcPr>
            <w:tcW w:w="925" w:type="pct"/>
            <w:vAlign w:val="center"/>
          </w:tcPr>
          <w:p w14:paraId="76E9A713">
            <w:pPr>
              <w:pStyle w:val="12"/>
              <w:jc w:val="center"/>
            </w:pPr>
            <w:r>
              <w:rPr>
                <w:rFonts w:hint="eastAsia"/>
              </w:rPr>
              <w:t>青花瓷盅</w:t>
            </w:r>
          </w:p>
        </w:tc>
        <w:tc>
          <w:tcPr>
            <w:tcW w:w="479" w:type="pct"/>
            <w:vAlign w:val="center"/>
          </w:tcPr>
          <w:p w14:paraId="05A9058E">
            <w:pPr>
              <w:pStyle w:val="12"/>
              <w:jc w:val="center"/>
            </w:pPr>
            <w:r>
              <w:rPr>
                <w:rFonts w:hint="eastAsia"/>
              </w:rPr>
              <w:t>清</w:t>
            </w:r>
          </w:p>
        </w:tc>
        <w:tc>
          <w:tcPr>
            <w:tcW w:w="625" w:type="pct"/>
            <w:vAlign w:val="center"/>
          </w:tcPr>
          <w:p w14:paraId="7D3A23FC">
            <w:pPr>
              <w:pStyle w:val="12"/>
              <w:jc w:val="center"/>
            </w:pPr>
            <w:r>
              <w:rPr>
                <w:rFonts w:hint="eastAsia"/>
              </w:rPr>
              <w:t>1</w:t>
            </w:r>
          </w:p>
        </w:tc>
      </w:tr>
      <w:tr w14:paraId="4E15DB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2" w:type="pct"/>
            <w:vMerge w:val="continue"/>
            <w:vAlign w:val="center"/>
          </w:tcPr>
          <w:p w14:paraId="359C4E5D">
            <w:pPr>
              <w:pStyle w:val="12"/>
              <w:jc w:val="center"/>
            </w:pPr>
          </w:p>
        </w:tc>
        <w:tc>
          <w:tcPr>
            <w:tcW w:w="711" w:type="pct"/>
            <w:vAlign w:val="center"/>
          </w:tcPr>
          <w:p w14:paraId="556A1DEC">
            <w:pPr>
              <w:pStyle w:val="12"/>
              <w:jc w:val="center"/>
            </w:pPr>
            <w:r>
              <w:rPr>
                <w:rFonts w:hint="eastAsia"/>
              </w:rPr>
              <w:t>四耳红陶罐</w:t>
            </w:r>
          </w:p>
        </w:tc>
        <w:tc>
          <w:tcPr>
            <w:tcW w:w="711" w:type="pct"/>
            <w:vAlign w:val="center"/>
          </w:tcPr>
          <w:p w14:paraId="46B1A465">
            <w:pPr>
              <w:pStyle w:val="12"/>
              <w:jc w:val="center"/>
            </w:pPr>
            <w:r>
              <w:rPr>
                <w:rFonts w:hint="eastAsia"/>
              </w:rPr>
              <w:t>西晋</w:t>
            </w:r>
          </w:p>
        </w:tc>
        <w:tc>
          <w:tcPr>
            <w:tcW w:w="454" w:type="pct"/>
            <w:vAlign w:val="center"/>
          </w:tcPr>
          <w:p w14:paraId="005155E4">
            <w:pPr>
              <w:pStyle w:val="12"/>
              <w:jc w:val="center"/>
            </w:pPr>
            <w:r>
              <w:rPr>
                <w:rFonts w:hint="eastAsia"/>
              </w:rPr>
              <w:t>1</w:t>
            </w:r>
          </w:p>
        </w:tc>
        <w:tc>
          <w:tcPr>
            <w:tcW w:w="472" w:type="pct"/>
            <w:vMerge w:val="continue"/>
            <w:vAlign w:val="center"/>
          </w:tcPr>
          <w:p w14:paraId="404712F3">
            <w:pPr>
              <w:pStyle w:val="12"/>
              <w:jc w:val="center"/>
            </w:pPr>
          </w:p>
        </w:tc>
        <w:tc>
          <w:tcPr>
            <w:tcW w:w="925" w:type="pct"/>
            <w:vAlign w:val="center"/>
          </w:tcPr>
          <w:p w14:paraId="4DF57239">
            <w:pPr>
              <w:pStyle w:val="12"/>
              <w:jc w:val="center"/>
            </w:pPr>
            <w:r>
              <w:rPr>
                <w:rFonts w:hint="eastAsia"/>
              </w:rPr>
              <w:t>青花梅瓶</w:t>
            </w:r>
          </w:p>
        </w:tc>
        <w:tc>
          <w:tcPr>
            <w:tcW w:w="479" w:type="pct"/>
            <w:vAlign w:val="center"/>
          </w:tcPr>
          <w:p w14:paraId="0837AFB1">
            <w:pPr>
              <w:pStyle w:val="12"/>
              <w:jc w:val="center"/>
            </w:pPr>
            <w:r>
              <w:rPr>
                <w:rFonts w:hint="eastAsia"/>
              </w:rPr>
              <w:t>清</w:t>
            </w:r>
          </w:p>
        </w:tc>
        <w:tc>
          <w:tcPr>
            <w:tcW w:w="625" w:type="pct"/>
            <w:vAlign w:val="center"/>
          </w:tcPr>
          <w:p w14:paraId="2FF32EB0">
            <w:pPr>
              <w:pStyle w:val="12"/>
              <w:jc w:val="center"/>
            </w:pPr>
            <w:r>
              <w:rPr>
                <w:rFonts w:hint="eastAsia"/>
              </w:rPr>
              <w:t>3</w:t>
            </w:r>
          </w:p>
        </w:tc>
      </w:tr>
      <w:tr w14:paraId="75D6D6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2" w:type="pct"/>
            <w:vMerge w:val="continue"/>
            <w:vAlign w:val="center"/>
          </w:tcPr>
          <w:p w14:paraId="6C4E5B6B">
            <w:pPr>
              <w:pStyle w:val="12"/>
              <w:jc w:val="center"/>
            </w:pPr>
          </w:p>
        </w:tc>
        <w:tc>
          <w:tcPr>
            <w:tcW w:w="711" w:type="pct"/>
            <w:vAlign w:val="center"/>
          </w:tcPr>
          <w:p w14:paraId="42EAFAB4">
            <w:pPr>
              <w:pStyle w:val="12"/>
              <w:jc w:val="center"/>
            </w:pPr>
            <w:r>
              <w:rPr>
                <w:rFonts w:hint="eastAsia"/>
              </w:rPr>
              <w:t>双耳陶罐</w:t>
            </w:r>
          </w:p>
        </w:tc>
        <w:tc>
          <w:tcPr>
            <w:tcW w:w="711" w:type="pct"/>
            <w:vAlign w:val="center"/>
          </w:tcPr>
          <w:p w14:paraId="6805757C">
            <w:pPr>
              <w:pStyle w:val="12"/>
              <w:jc w:val="center"/>
            </w:pPr>
            <w:r>
              <w:rPr>
                <w:rFonts w:hint="eastAsia"/>
              </w:rPr>
              <w:t>西晋</w:t>
            </w:r>
          </w:p>
        </w:tc>
        <w:tc>
          <w:tcPr>
            <w:tcW w:w="454" w:type="pct"/>
            <w:vAlign w:val="center"/>
          </w:tcPr>
          <w:p w14:paraId="3F5011A4">
            <w:pPr>
              <w:pStyle w:val="12"/>
              <w:jc w:val="center"/>
            </w:pPr>
            <w:r>
              <w:rPr>
                <w:rFonts w:hint="eastAsia"/>
              </w:rPr>
              <w:t>9</w:t>
            </w:r>
          </w:p>
        </w:tc>
        <w:tc>
          <w:tcPr>
            <w:tcW w:w="472" w:type="pct"/>
            <w:vMerge w:val="continue"/>
            <w:vAlign w:val="center"/>
          </w:tcPr>
          <w:p w14:paraId="008E33C8">
            <w:pPr>
              <w:pStyle w:val="12"/>
              <w:jc w:val="center"/>
            </w:pPr>
          </w:p>
        </w:tc>
        <w:tc>
          <w:tcPr>
            <w:tcW w:w="925" w:type="pct"/>
            <w:vAlign w:val="center"/>
          </w:tcPr>
          <w:p w14:paraId="1BB6ED5A">
            <w:pPr>
              <w:pStyle w:val="12"/>
              <w:jc w:val="center"/>
            </w:pPr>
            <w:r>
              <w:rPr>
                <w:rFonts w:hint="eastAsia"/>
              </w:rPr>
              <w:t>五色粉彩龙凤瓶</w:t>
            </w:r>
          </w:p>
        </w:tc>
        <w:tc>
          <w:tcPr>
            <w:tcW w:w="479" w:type="pct"/>
            <w:vAlign w:val="center"/>
          </w:tcPr>
          <w:p w14:paraId="328DF993">
            <w:pPr>
              <w:pStyle w:val="12"/>
              <w:jc w:val="center"/>
            </w:pPr>
            <w:r>
              <w:rPr>
                <w:rFonts w:hint="eastAsia"/>
              </w:rPr>
              <w:t>清</w:t>
            </w:r>
          </w:p>
        </w:tc>
        <w:tc>
          <w:tcPr>
            <w:tcW w:w="625" w:type="pct"/>
            <w:vAlign w:val="center"/>
          </w:tcPr>
          <w:p w14:paraId="37E5A77D">
            <w:pPr>
              <w:pStyle w:val="12"/>
              <w:jc w:val="center"/>
            </w:pPr>
            <w:r>
              <w:rPr>
                <w:rFonts w:hint="eastAsia"/>
              </w:rPr>
              <w:t>1</w:t>
            </w:r>
          </w:p>
        </w:tc>
      </w:tr>
      <w:tr w14:paraId="580830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2" w:type="pct"/>
            <w:vMerge w:val="continue"/>
            <w:vAlign w:val="center"/>
          </w:tcPr>
          <w:p w14:paraId="1A1DD0E4">
            <w:pPr>
              <w:pStyle w:val="12"/>
              <w:jc w:val="center"/>
            </w:pPr>
          </w:p>
        </w:tc>
        <w:tc>
          <w:tcPr>
            <w:tcW w:w="711" w:type="pct"/>
            <w:vAlign w:val="center"/>
          </w:tcPr>
          <w:p w14:paraId="6156D65A">
            <w:pPr>
              <w:pStyle w:val="12"/>
              <w:jc w:val="center"/>
            </w:pPr>
            <w:r>
              <w:rPr>
                <w:rFonts w:hint="eastAsia"/>
              </w:rPr>
              <w:t>红陶井模型</w:t>
            </w:r>
          </w:p>
        </w:tc>
        <w:tc>
          <w:tcPr>
            <w:tcW w:w="711" w:type="pct"/>
            <w:vAlign w:val="center"/>
          </w:tcPr>
          <w:p w14:paraId="3BBBB849">
            <w:pPr>
              <w:pStyle w:val="12"/>
              <w:jc w:val="center"/>
            </w:pPr>
            <w:r>
              <w:rPr>
                <w:rFonts w:hint="eastAsia"/>
              </w:rPr>
              <w:t>西晋</w:t>
            </w:r>
          </w:p>
        </w:tc>
        <w:tc>
          <w:tcPr>
            <w:tcW w:w="454" w:type="pct"/>
            <w:vAlign w:val="center"/>
          </w:tcPr>
          <w:p w14:paraId="7C5DE9D3">
            <w:pPr>
              <w:pStyle w:val="12"/>
              <w:jc w:val="center"/>
            </w:pPr>
            <w:r>
              <w:rPr>
                <w:rFonts w:hint="eastAsia"/>
              </w:rPr>
              <w:t>1</w:t>
            </w:r>
          </w:p>
        </w:tc>
        <w:tc>
          <w:tcPr>
            <w:tcW w:w="472" w:type="pct"/>
            <w:vMerge w:val="continue"/>
            <w:vAlign w:val="center"/>
          </w:tcPr>
          <w:p w14:paraId="541B3BC1">
            <w:pPr>
              <w:pStyle w:val="12"/>
              <w:jc w:val="center"/>
            </w:pPr>
          </w:p>
        </w:tc>
        <w:tc>
          <w:tcPr>
            <w:tcW w:w="925" w:type="pct"/>
            <w:vAlign w:val="center"/>
          </w:tcPr>
          <w:p w14:paraId="02ADC089">
            <w:pPr>
              <w:pStyle w:val="12"/>
              <w:jc w:val="center"/>
            </w:pPr>
            <w:r>
              <w:rPr>
                <w:rFonts w:hint="eastAsia"/>
              </w:rPr>
              <w:t>粉彩水裂纹瓶</w:t>
            </w:r>
          </w:p>
        </w:tc>
        <w:tc>
          <w:tcPr>
            <w:tcW w:w="479" w:type="pct"/>
            <w:vAlign w:val="center"/>
          </w:tcPr>
          <w:p w14:paraId="1A69B041">
            <w:pPr>
              <w:pStyle w:val="12"/>
              <w:jc w:val="center"/>
            </w:pPr>
            <w:r>
              <w:rPr>
                <w:rFonts w:hint="eastAsia"/>
              </w:rPr>
              <w:t>清</w:t>
            </w:r>
          </w:p>
        </w:tc>
        <w:tc>
          <w:tcPr>
            <w:tcW w:w="625" w:type="pct"/>
            <w:vAlign w:val="center"/>
          </w:tcPr>
          <w:p w14:paraId="3ABD7BAF">
            <w:pPr>
              <w:pStyle w:val="12"/>
              <w:jc w:val="center"/>
            </w:pPr>
            <w:r>
              <w:rPr>
                <w:rFonts w:hint="eastAsia"/>
              </w:rPr>
              <w:t>3</w:t>
            </w:r>
          </w:p>
        </w:tc>
      </w:tr>
      <w:tr w14:paraId="15FEE2D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622" w:type="pct"/>
            <w:vMerge w:val="continue"/>
            <w:vAlign w:val="center"/>
          </w:tcPr>
          <w:p w14:paraId="7C9FAB50">
            <w:pPr>
              <w:pStyle w:val="12"/>
              <w:jc w:val="center"/>
            </w:pPr>
          </w:p>
        </w:tc>
        <w:tc>
          <w:tcPr>
            <w:tcW w:w="711" w:type="pct"/>
            <w:vAlign w:val="center"/>
          </w:tcPr>
          <w:p w14:paraId="6D9E278E">
            <w:pPr>
              <w:pStyle w:val="12"/>
              <w:jc w:val="center"/>
            </w:pPr>
            <w:r>
              <w:rPr>
                <w:rFonts w:hint="eastAsia"/>
              </w:rPr>
              <w:t>陶缽</w:t>
            </w:r>
          </w:p>
        </w:tc>
        <w:tc>
          <w:tcPr>
            <w:tcW w:w="711" w:type="pct"/>
            <w:vAlign w:val="center"/>
          </w:tcPr>
          <w:p w14:paraId="3132EF41">
            <w:pPr>
              <w:pStyle w:val="12"/>
              <w:jc w:val="center"/>
            </w:pPr>
            <w:r>
              <w:rPr>
                <w:rFonts w:hint="eastAsia"/>
              </w:rPr>
              <w:t>西晋</w:t>
            </w:r>
          </w:p>
        </w:tc>
        <w:tc>
          <w:tcPr>
            <w:tcW w:w="454" w:type="pct"/>
            <w:vAlign w:val="center"/>
          </w:tcPr>
          <w:p w14:paraId="1CC84979">
            <w:pPr>
              <w:pStyle w:val="12"/>
              <w:jc w:val="center"/>
            </w:pPr>
            <w:r>
              <w:rPr>
                <w:rFonts w:hint="eastAsia"/>
              </w:rPr>
              <w:t>1</w:t>
            </w:r>
          </w:p>
        </w:tc>
        <w:tc>
          <w:tcPr>
            <w:tcW w:w="472" w:type="pct"/>
            <w:vMerge w:val="continue"/>
            <w:vAlign w:val="center"/>
          </w:tcPr>
          <w:p w14:paraId="17D4CEEA">
            <w:pPr>
              <w:pStyle w:val="12"/>
              <w:jc w:val="center"/>
            </w:pPr>
          </w:p>
        </w:tc>
        <w:tc>
          <w:tcPr>
            <w:tcW w:w="925" w:type="pct"/>
            <w:vAlign w:val="center"/>
          </w:tcPr>
          <w:p w14:paraId="5EE09EEB">
            <w:pPr>
              <w:pStyle w:val="12"/>
              <w:jc w:val="center"/>
            </w:pPr>
            <w:r>
              <w:rPr>
                <w:rFonts w:hint="eastAsia"/>
              </w:rPr>
              <w:t>三彩梅瓶</w:t>
            </w:r>
          </w:p>
        </w:tc>
        <w:tc>
          <w:tcPr>
            <w:tcW w:w="479" w:type="pct"/>
            <w:vAlign w:val="center"/>
          </w:tcPr>
          <w:p w14:paraId="3452FC51">
            <w:pPr>
              <w:pStyle w:val="12"/>
              <w:jc w:val="center"/>
            </w:pPr>
            <w:r>
              <w:rPr>
                <w:rFonts w:hint="eastAsia"/>
              </w:rPr>
              <w:t>清</w:t>
            </w:r>
          </w:p>
        </w:tc>
        <w:tc>
          <w:tcPr>
            <w:tcW w:w="625" w:type="pct"/>
            <w:vAlign w:val="center"/>
          </w:tcPr>
          <w:p w14:paraId="2B273985">
            <w:pPr>
              <w:pStyle w:val="12"/>
              <w:jc w:val="center"/>
            </w:pPr>
            <w:r>
              <w:rPr>
                <w:rFonts w:hint="eastAsia"/>
              </w:rPr>
              <w:t>1</w:t>
            </w:r>
          </w:p>
        </w:tc>
      </w:tr>
      <w:tr w14:paraId="499C943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2" w:type="pct"/>
            <w:vMerge w:val="continue"/>
            <w:vAlign w:val="center"/>
          </w:tcPr>
          <w:p w14:paraId="29E9CE29">
            <w:pPr>
              <w:pStyle w:val="12"/>
              <w:jc w:val="center"/>
            </w:pPr>
          </w:p>
        </w:tc>
        <w:tc>
          <w:tcPr>
            <w:tcW w:w="711" w:type="pct"/>
            <w:vAlign w:val="center"/>
          </w:tcPr>
          <w:p w14:paraId="7F2BCD91">
            <w:pPr>
              <w:pStyle w:val="12"/>
              <w:jc w:val="center"/>
            </w:pPr>
            <w:r>
              <w:rPr>
                <w:rFonts w:hint="eastAsia"/>
              </w:rPr>
              <w:t>陶豆</w:t>
            </w:r>
          </w:p>
        </w:tc>
        <w:tc>
          <w:tcPr>
            <w:tcW w:w="711" w:type="pct"/>
            <w:vAlign w:val="center"/>
          </w:tcPr>
          <w:p w14:paraId="68497B4D">
            <w:pPr>
              <w:pStyle w:val="12"/>
              <w:jc w:val="center"/>
            </w:pPr>
            <w:r>
              <w:rPr>
                <w:rFonts w:hint="eastAsia"/>
              </w:rPr>
              <w:t>西晋</w:t>
            </w:r>
          </w:p>
        </w:tc>
        <w:tc>
          <w:tcPr>
            <w:tcW w:w="454" w:type="pct"/>
            <w:vAlign w:val="center"/>
          </w:tcPr>
          <w:p w14:paraId="78C54402">
            <w:pPr>
              <w:pStyle w:val="12"/>
              <w:jc w:val="center"/>
            </w:pPr>
            <w:r>
              <w:rPr>
                <w:rFonts w:hint="eastAsia"/>
              </w:rPr>
              <w:t>2</w:t>
            </w:r>
          </w:p>
        </w:tc>
        <w:tc>
          <w:tcPr>
            <w:tcW w:w="472" w:type="pct"/>
            <w:vMerge w:val="continue"/>
            <w:vAlign w:val="center"/>
          </w:tcPr>
          <w:p w14:paraId="00F8050D">
            <w:pPr>
              <w:pStyle w:val="12"/>
              <w:jc w:val="center"/>
            </w:pPr>
          </w:p>
        </w:tc>
        <w:tc>
          <w:tcPr>
            <w:tcW w:w="925" w:type="pct"/>
            <w:vAlign w:val="center"/>
          </w:tcPr>
          <w:p w14:paraId="2B9C0A2F">
            <w:pPr>
              <w:pStyle w:val="12"/>
              <w:jc w:val="center"/>
            </w:pPr>
            <w:r>
              <w:rPr>
                <w:rFonts w:hint="eastAsia"/>
              </w:rPr>
              <w:t>两耳青花瓷壶</w:t>
            </w:r>
          </w:p>
        </w:tc>
        <w:tc>
          <w:tcPr>
            <w:tcW w:w="479" w:type="pct"/>
            <w:vAlign w:val="center"/>
          </w:tcPr>
          <w:p w14:paraId="55740BA6">
            <w:pPr>
              <w:pStyle w:val="12"/>
              <w:jc w:val="center"/>
            </w:pPr>
            <w:r>
              <w:rPr>
                <w:rFonts w:hint="eastAsia"/>
              </w:rPr>
              <w:t>清</w:t>
            </w:r>
          </w:p>
        </w:tc>
        <w:tc>
          <w:tcPr>
            <w:tcW w:w="625" w:type="pct"/>
            <w:vAlign w:val="center"/>
          </w:tcPr>
          <w:p w14:paraId="2539FB1A">
            <w:pPr>
              <w:pStyle w:val="12"/>
              <w:jc w:val="center"/>
            </w:pPr>
            <w:r>
              <w:rPr>
                <w:rFonts w:hint="eastAsia"/>
              </w:rPr>
              <w:t>1</w:t>
            </w:r>
          </w:p>
        </w:tc>
      </w:tr>
      <w:tr w14:paraId="140819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2" w:type="pct"/>
            <w:vMerge w:val="continue"/>
            <w:vAlign w:val="center"/>
          </w:tcPr>
          <w:p w14:paraId="58332565">
            <w:pPr>
              <w:pStyle w:val="12"/>
              <w:jc w:val="center"/>
            </w:pPr>
          </w:p>
        </w:tc>
        <w:tc>
          <w:tcPr>
            <w:tcW w:w="711" w:type="pct"/>
            <w:vAlign w:val="center"/>
          </w:tcPr>
          <w:p w14:paraId="7C01E0D0">
            <w:pPr>
              <w:pStyle w:val="12"/>
              <w:jc w:val="center"/>
            </w:pPr>
            <w:r>
              <w:rPr>
                <w:rFonts w:hint="eastAsia"/>
              </w:rPr>
              <w:t>陶碗</w:t>
            </w:r>
          </w:p>
        </w:tc>
        <w:tc>
          <w:tcPr>
            <w:tcW w:w="711" w:type="pct"/>
            <w:vAlign w:val="center"/>
          </w:tcPr>
          <w:p w14:paraId="03D08A2D">
            <w:pPr>
              <w:pStyle w:val="12"/>
              <w:jc w:val="center"/>
            </w:pPr>
            <w:r>
              <w:rPr>
                <w:rFonts w:hint="eastAsia"/>
              </w:rPr>
              <w:t>西晋</w:t>
            </w:r>
          </w:p>
        </w:tc>
        <w:tc>
          <w:tcPr>
            <w:tcW w:w="454" w:type="pct"/>
            <w:vAlign w:val="center"/>
          </w:tcPr>
          <w:p w14:paraId="6910401C">
            <w:pPr>
              <w:pStyle w:val="12"/>
              <w:jc w:val="center"/>
            </w:pPr>
            <w:r>
              <w:rPr>
                <w:rFonts w:hint="eastAsia"/>
              </w:rPr>
              <w:t>2</w:t>
            </w:r>
          </w:p>
        </w:tc>
        <w:tc>
          <w:tcPr>
            <w:tcW w:w="472" w:type="pct"/>
            <w:vMerge w:val="continue"/>
            <w:vAlign w:val="center"/>
          </w:tcPr>
          <w:p w14:paraId="18C708D7">
            <w:pPr>
              <w:pStyle w:val="12"/>
              <w:jc w:val="center"/>
            </w:pPr>
          </w:p>
        </w:tc>
        <w:tc>
          <w:tcPr>
            <w:tcW w:w="925" w:type="pct"/>
            <w:vAlign w:val="center"/>
          </w:tcPr>
          <w:p w14:paraId="113481D8">
            <w:pPr>
              <w:pStyle w:val="12"/>
              <w:jc w:val="center"/>
            </w:pPr>
            <w:r>
              <w:rPr>
                <w:rFonts w:hint="eastAsia"/>
              </w:rPr>
              <w:t>五彩笔筒</w:t>
            </w:r>
          </w:p>
        </w:tc>
        <w:tc>
          <w:tcPr>
            <w:tcW w:w="479" w:type="pct"/>
            <w:vAlign w:val="center"/>
          </w:tcPr>
          <w:p w14:paraId="4BEF88B3">
            <w:pPr>
              <w:pStyle w:val="12"/>
              <w:jc w:val="center"/>
            </w:pPr>
            <w:r>
              <w:rPr>
                <w:rFonts w:hint="eastAsia"/>
              </w:rPr>
              <w:t>清</w:t>
            </w:r>
          </w:p>
        </w:tc>
        <w:tc>
          <w:tcPr>
            <w:tcW w:w="625" w:type="pct"/>
            <w:vAlign w:val="center"/>
          </w:tcPr>
          <w:p w14:paraId="7CDFD554">
            <w:pPr>
              <w:pStyle w:val="12"/>
              <w:jc w:val="center"/>
            </w:pPr>
            <w:r>
              <w:rPr>
                <w:rFonts w:hint="eastAsia"/>
              </w:rPr>
              <w:t>1</w:t>
            </w:r>
          </w:p>
        </w:tc>
      </w:tr>
      <w:tr w14:paraId="69BB81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2" w:type="pct"/>
            <w:vMerge w:val="continue"/>
            <w:vAlign w:val="center"/>
          </w:tcPr>
          <w:p w14:paraId="45F685EF">
            <w:pPr>
              <w:pStyle w:val="12"/>
              <w:jc w:val="center"/>
            </w:pPr>
          </w:p>
        </w:tc>
        <w:tc>
          <w:tcPr>
            <w:tcW w:w="711" w:type="pct"/>
            <w:vAlign w:val="center"/>
          </w:tcPr>
          <w:p w14:paraId="18643957">
            <w:pPr>
              <w:pStyle w:val="12"/>
              <w:jc w:val="center"/>
            </w:pPr>
            <w:r>
              <w:rPr>
                <w:rFonts w:hint="eastAsia"/>
              </w:rPr>
              <w:t>方格纹陶罐</w:t>
            </w:r>
          </w:p>
        </w:tc>
        <w:tc>
          <w:tcPr>
            <w:tcW w:w="711" w:type="pct"/>
            <w:vAlign w:val="center"/>
          </w:tcPr>
          <w:p w14:paraId="7D5564BF">
            <w:pPr>
              <w:pStyle w:val="12"/>
              <w:jc w:val="center"/>
            </w:pPr>
            <w:r>
              <w:rPr>
                <w:rFonts w:hint="eastAsia"/>
              </w:rPr>
              <w:t>西晋</w:t>
            </w:r>
          </w:p>
        </w:tc>
        <w:tc>
          <w:tcPr>
            <w:tcW w:w="454" w:type="pct"/>
            <w:vAlign w:val="center"/>
          </w:tcPr>
          <w:p w14:paraId="68637CFB">
            <w:pPr>
              <w:pStyle w:val="12"/>
              <w:jc w:val="center"/>
            </w:pPr>
            <w:r>
              <w:rPr>
                <w:rFonts w:hint="eastAsia"/>
              </w:rPr>
              <w:t>1</w:t>
            </w:r>
          </w:p>
        </w:tc>
        <w:tc>
          <w:tcPr>
            <w:tcW w:w="472" w:type="pct"/>
            <w:vMerge w:val="continue"/>
            <w:vAlign w:val="center"/>
          </w:tcPr>
          <w:p w14:paraId="5D837F8E">
            <w:pPr>
              <w:pStyle w:val="12"/>
              <w:jc w:val="center"/>
            </w:pPr>
          </w:p>
        </w:tc>
        <w:tc>
          <w:tcPr>
            <w:tcW w:w="925" w:type="pct"/>
            <w:vAlign w:val="center"/>
          </w:tcPr>
          <w:p w14:paraId="10F2537E">
            <w:pPr>
              <w:pStyle w:val="12"/>
              <w:jc w:val="center"/>
            </w:pPr>
            <w:r>
              <w:rPr>
                <w:rFonts w:hint="eastAsia"/>
              </w:rPr>
              <w:t>青色缽</w:t>
            </w:r>
          </w:p>
        </w:tc>
        <w:tc>
          <w:tcPr>
            <w:tcW w:w="479" w:type="pct"/>
            <w:vAlign w:val="center"/>
          </w:tcPr>
          <w:p w14:paraId="1BD6CD03">
            <w:pPr>
              <w:pStyle w:val="12"/>
              <w:jc w:val="center"/>
            </w:pPr>
            <w:r>
              <w:rPr>
                <w:rFonts w:hint="eastAsia"/>
              </w:rPr>
              <w:t>清</w:t>
            </w:r>
          </w:p>
        </w:tc>
        <w:tc>
          <w:tcPr>
            <w:tcW w:w="625" w:type="pct"/>
            <w:vAlign w:val="center"/>
          </w:tcPr>
          <w:p w14:paraId="7F8D5C52">
            <w:pPr>
              <w:pStyle w:val="12"/>
              <w:jc w:val="center"/>
            </w:pPr>
            <w:r>
              <w:rPr>
                <w:rFonts w:hint="eastAsia"/>
              </w:rPr>
              <w:t>1</w:t>
            </w:r>
          </w:p>
        </w:tc>
      </w:tr>
      <w:tr w14:paraId="21D33A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2" w:type="pct"/>
            <w:vAlign w:val="center"/>
          </w:tcPr>
          <w:p w14:paraId="42D66265">
            <w:pPr>
              <w:pStyle w:val="12"/>
              <w:jc w:val="center"/>
            </w:pPr>
          </w:p>
        </w:tc>
        <w:tc>
          <w:tcPr>
            <w:tcW w:w="711" w:type="pct"/>
            <w:vAlign w:val="center"/>
          </w:tcPr>
          <w:p w14:paraId="712BB583">
            <w:pPr>
              <w:pStyle w:val="12"/>
              <w:jc w:val="center"/>
            </w:pPr>
            <w:r>
              <w:rPr>
                <w:rFonts w:hint="eastAsia"/>
              </w:rPr>
              <w:t>盘口壶</w:t>
            </w:r>
          </w:p>
        </w:tc>
        <w:tc>
          <w:tcPr>
            <w:tcW w:w="711" w:type="pct"/>
            <w:vAlign w:val="center"/>
          </w:tcPr>
          <w:p w14:paraId="20C42094">
            <w:pPr>
              <w:pStyle w:val="12"/>
              <w:jc w:val="center"/>
            </w:pPr>
            <w:r>
              <w:rPr>
                <w:rFonts w:hint="eastAsia"/>
              </w:rPr>
              <w:t>晋</w:t>
            </w:r>
          </w:p>
        </w:tc>
        <w:tc>
          <w:tcPr>
            <w:tcW w:w="454" w:type="pct"/>
            <w:vAlign w:val="center"/>
          </w:tcPr>
          <w:p w14:paraId="7C67684C">
            <w:pPr>
              <w:pStyle w:val="12"/>
              <w:jc w:val="center"/>
            </w:pPr>
            <w:r>
              <w:rPr>
                <w:rFonts w:hint="eastAsia"/>
              </w:rPr>
              <w:t>2</w:t>
            </w:r>
          </w:p>
        </w:tc>
        <w:tc>
          <w:tcPr>
            <w:tcW w:w="472" w:type="pct"/>
            <w:vAlign w:val="center"/>
          </w:tcPr>
          <w:p w14:paraId="54D6B441">
            <w:pPr>
              <w:pStyle w:val="12"/>
              <w:jc w:val="center"/>
            </w:pPr>
          </w:p>
        </w:tc>
        <w:tc>
          <w:tcPr>
            <w:tcW w:w="925" w:type="pct"/>
            <w:vAlign w:val="center"/>
          </w:tcPr>
          <w:p w14:paraId="38F2D516">
            <w:pPr>
              <w:pStyle w:val="12"/>
              <w:jc w:val="center"/>
            </w:pPr>
            <w:r>
              <w:rPr>
                <w:rFonts w:hint="eastAsia"/>
              </w:rPr>
              <w:t>耳杯</w:t>
            </w:r>
          </w:p>
        </w:tc>
        <w:tc>
          <w:tcPr>
            <w:tcW w:w="479" w:type="pct"/>
            <w:vAlign w:val="center"/>
          </w:tcPr>
          <w:p w14:paraId="7D9F43AE">
            <w:pPr>
              <w:pStyle w:val="12"/>
              <w:jc w:val="center"/>
            </w:pPr>
            <w:r>
              <w:rPr>
                <w:rFonts w:hint="eastAsia"/>
              </w:rPr>
              <w:t>东汉</w:t>
            </w:r>
          </w:p>
        </w:tc>
        <w:tc>
          <w:tcPr>
            <w:tcW w:w="625" w:type="pct"/>
            <w:vAlign w:val="center"/>
          </w:tcPr>
          <w:p w14:paraId="077715AA">
            <w:pPr>
              <w:pStyle w:val="12"/>
              <w:jc w:val="center"/>
            </w:pPr>
            <w:r>
              <w:rPr>
                <w:rFonts w:hint="eastAsia"/>
              </w:rPr>
              <w:t>1</w:t>
            </w:r>
          </w:p>
        </w:tc>
      </w:tr>
    </w:tbl>
    <w:p w14:paraId="0392C90D">
      <w:pPr>
        <w:ind w:firstLine="422"/>
        <w:jc w:val="center"/>
        <w:rPr>
          <w:rFonts w:ascii="宋体" w:hAnsi="宋体" w:cs="宋体"/>
          <w:b/>
          <w:bCs/>
        </w:rPr>
      </w:pPr>
      <w:r>
        <w:rPr>
          <w:rFonts w:hint="eastAsia" w:ascii="宋体" w:hAnsi="宋体" w:cs="宋体"/>
          <w:b/>
          <w:bCs/>
        </w:rPr>
        <w:t>南雄市博物馆馆藏革命文物一览</w:t>
      </w:r>
    </w:p>
    <w:p w14:paraId="2B0A55FE">
      <w:pPr>
        <w:ind w:firstLine="0" w:firstLineChars="0"/>
        <w:rPr>
          <w:rFonts w:ascii="宋体" w:hAnsi="宋体" w:cs="宋体"/>
          <w:b/>
          <w:bCs/>
        </w:rPr>
      </w:pPr>
      <w:r>
        <w:rPr>
          <w:rFonts w:hint="eastAsia" w:ascii="宋体" w:hAnsi="宋体" w:cs="宋体"/>
          <w:b/>
          <w:bCs/>
        </w:rPr>
        <w:t>表5-16</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91"/>
        <w:gridCol w:w="737"/>
        <w:gridCol w:w="1843"/>
        <w:gridCol w:w="4891"/>
      </w:tblGrid>
      <w:tr w14:paraId="296622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2D27A52">
            <w:pPr>
              <w:pStyle w:val="12"/>
              <w:jc w:val="center"/>
              <w:rPr>
                <w:b/>
              </w:rPr>
            </w:pPr>
            <w:r>
              <w:rPr>
                <w:rFonts w:hint="eastAsia"/>
                <w:b/>
              </w:rPr>
              <w:t>名称</w:t>
            </w:r>
          </w:p>
        </w:tc>
        <w:tc>
          <w:tcPr>
            <w:tcW w:w="370" w:type="pct"/>
            <w:vAlign w:val="center"/>
          </w:tcPr>
          <w:p w14:paraId="0A53BDA9">
            <w:pPr>
              <w:pStyle w:val="12"/>
              <w:jc w:val="center"/>
              <w:rPr>
                <w:b/>
              </w:rPr>
            </w:pPr>
            <w:r>
              <w:rPr>
                <w:rFonts w:hint="eastAsia"/>
                <w:b/>
              </w:rPr>
              <w:t>件数</w:t>
            </w:r>
          </w:p>
        </w:tc>
        <w:tc>
          <w:tcPr>
            <w:tcW w:w="925" w:type="pct"/>
            <w:vAlign w:val="center"/>
          </w:tcPr>
          <w:p w14:paraId="7DBD4A40">
            <w:pPr>
              <w:pStyle w:val="12"/>
              <w:jc w:val="center"/>
              <w:rPr>
                <w:b/>
              </w:rPr>
            </w:pPr>
            <w:r>
              <w:rPr>
                <w:rFonts w:hint="eastAsia"/>
                <w:b/>
              </w:rPr>
              <w:t>时间</w:t>
            </w:r>
          </w:p>
        </w:tc>
        <w:tc>
          <w:tcPr>
            <w:tcW w:w="2455" w:type="pct"/>
            <w:vAlign w:val="center"/>
          </w:tcPr>
          <w:p w14:paraId="48B111D7">
            <w:pPr>
              <w:pStyle w:val="12"/>
              <w:jc w:val="center"/>
              <w:rPr>
                <w:b/>
              </w:rPr>
            </w:pPr>
            <w:r>
              <w:rPr>
                <w:rFonts w:hint="eastAsia"/>
                <w:b/>
              </w:rPr>
              <w:t>简介</w:t>
            </w:r>
          </w:p>
        </w:tc>
      </w:tr>
      <w:tr w14:paraId="76542F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0D85FCB">
            <w:pPr>
              <w:pStyle w:val="12"/>
              <w:jc w:val="center"/>
            </w:pPr>
            <w:r>
              <w:rPr>
                <w:rFonts w:hint="eastAsia"/>
              </w:rPr>
              <w:t>英国造铁炮</w:t>
            </w:r>
          </w:p>
        </w:tc>
        <w:tc>
          <w:tcPr>
            <w:tcW w:w="370" w:type="pct"/>
            <w:vAlign w:val="center"/>
          </w:tcPr>
          <w:p w14:paraId="1BDA8637">
            <w:pPr>
              <w:pStyle w:val="12"/>
              <w:jc w:val="center"/>
            </w:pPr>
            <w:r>
              <w:rPr>
                <w:rFonts w:hint="eastAsia"/>
              </w:rPr>
              <w:t>1</w:t>
            </w:r>
          </w:p>
        </w:tc>
        <w:tc>
          <w:tcPr>
            <w:tcW w:w="925" w:type="pct"/>
            <w:vAlign w:val="center"/>
          </w:tcPr>
          <w:p w14:paraId="01E6A9E0">
            <w:pPr>
              <w:pStyle w:val="12"/>
              <w:jc w:val="center"/>
            </w:pPr>
            <w:r>
              <w:rPr>
                <w:rFonts w:hint="eastAsia"/>
              </w:rPr>
              <w:t>1928年2月</w:t>
            </w:r>
          </w:p>
        </w:tc>
        <w:tc>
          <w:tcPr>
            <w:tcW w:w="2455" w:type="pct"/>
            <w:vAlign w:val="center"/>
          </w:tcPr>
          <w:p w14:paraId="1DCEDD46">
            <w:pPr>
              <w:pStyle w:val="12"/>
              <w:jc w:val="center"/>
            </w:pPr>
            <w:r>
              <w:rPr>
                <w:rFonts w:hint="eastAsia"/>
              </w:rPr>
              <w:t>湖口农民赤卫队武器</w:t>
            </w:r>
          </w:p>
        </w:tc>
      </w:tr>
      <w:tr w14:paraId="183FD5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B7BA69B">
            <w:pPr>
              <w:pStyle w:val="12"/>
              <w:jc w:val="center"/>
            </w:pPr>
            <w:r>
              <w:rPr>
                <w:rFonts w:hint="eastAsia"/>
              </w:rPr>
              <w:t>红军锅</w:t>
            </w:r>
          </w:p>
        </w:tc>
        <w:tc>
          <w:tcPr>
            <w:tcW w:w="370" w:type="pct"/>
            <w:vAlign w:val="center"/>
          </w:tcPr>
          <w:p w14:paraId="4822B7FA">
            <w:pPr>
              <w:pStyle w:val="12"/>
              <w:jc w:val="center"/>
            </w:pPr>
            <w:r>
              <w:rPr>
                <w:rFonts w:hint="eastAsia"/>
              </w:rPr>
              <w:t>1</w:t>
            </w:r>
          </w:p>
        </w:tc>
        <w:tc>
          <w:tcPr>
            <w:tcW w:w="925" w:type="pct"/>
            <w:vAlign w:val="center"/>
          </w:tcPr>
          <w:p w14:paraId="036B5D15">
            <w:pPr>
              <w:pStyle w:val="12"/>
              <w:jc w:val="center"/>
            </w:pPr>
            <w:r>
              <w:rPr>
                <w:rFonts w:hint="eastAsia"/>
              </w:rPr>
              <w:t>1932年7月</w:t>
            </w:r>
          </w:p>
        </w:tc>
        <w:tc>
          <w:tcPr>
            <w:tcW w:w="2455" w:type="pct"/>
            <w:vAlign w:val="center"/>
          </w:tcPr>
          <w:p w14:paraId="77B44CEA">
            <w:pPr>
              <w:pStyle w:val="12"/>
              <w:jc w:val="center"/>
            </w:pPr>
            <w:r>
              <w:rPr>
                <w:rFonts w:hint="eastAsia"/>
              </w:rPr>
              <w:t>“水口战役”红十二军的炊具</w:t>
            </w:r>
          </w:p>
        </w:tc>
      </w:tr>
      <w:tr w14:paraId="2D7CD9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0C12C617">
            <w:pPr>
              <w:pStyle w:val="12"/>
              <w:jc w:val="center"/>
            </w:pPr>
            <w:r>
              <w:rPr>
                <w:rFonts w:hint="eastAsia"/>
              </w:rPr>
              <w:t>土  炮</w:t>
            </w:r>
          </w:p>
        </w:tc>
        <w:tc>
          <w:tcPr>
            <w:tcW w:w="370" w:type="pct"/>
            <w:vAlign w:val="center"/>
          </w:tcPr>
          <w:p w14:paraId="01416822">
            <w:pPr>
              <w:pStyle w:val="12"/>
              <w:jc w:val="center"/>
            </w:pPr>
            <w:r>
              <w:rPr>
                <w:rFonts w:hint="eastAsia"/>
              </w:rPr>
              <w:t>10</w:t>
            </w:r>
          </w:p>
        </w:tc>
        <w:tc>
          <w:tcPr>
            <w:tcW w:w="925" w:type="pct"/>
            <w:vAlign w:val="center"/>
          </w:tcPr>
          <w:p w14:paraId="0D2F1A96">
            <w:pPr>
              <w:pStyle w:val="12"/>
              <w:jc w:val="center"/>
            </w:pPr>
            <w:r>
              <w:rPr>
                <w:rFonts w:hint="eastAsia"/>
              </w:rPr>
              <w:t>1928年2月</w:t>
            </w:r>
          </w:p>
        </w:tc>
        <w:tc>
          <w:tcPr>
            <w:tcW w:w="2455" w:type="pct"/>
            <w:vAlign w:val="center"/>
          </w:tcPr>
          <w:p w14:paraId="765FBAF0">
            <w:pPr>
              <w:pStyle w:val="12"/>
              <w:jc w:val="center"/>
            </w:pPr>
            <w:r>
              <w:rPr>
                <w:rFonts w:hint="eastAsia"/>
              </w:rPr>
              <w:t>南雄苏维埃赤卫队武器</w:t>
            </w:r>
          </w:p>
        </w:tc>
      </w:tr>
      <w:tr w14:paraId="41BA43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08B25943">
            <w:pPr>
              <w:pStyle w:val="12"/>
              <w:jc w:val="center"/>
            </w:pPr>
            <w:r>
              <w:rPr>
                <w:rFonts w:hint="eastAsia"/>
              </w:rPr>
              <w:t>七九步枪（烂）</w:t>
            </w:r>
          </w:p>
        </w:tc>
        <w:tc>
          <w:tcPr>
            <w:tcW w:w="370" w:type="pct"/>
            <w:vAlign w:val="center"/>
          </w:tcPr>
          <w:p w14:paraId="48B8F1D7">
            <w:pPr>
              <w:pStyle w:val="12"/>
              <w:jc w:val="center"/>
            </w:pPr>
            <w:r>
              <w:rPr>
                <w:rFonts w:hint="eastAsia"/>
              </w:rPr>
              <w:t>1</w:t>
            </w:r>
          </w:p>
        </w:tc>
        <w:tc>
          <w:tcPr>
            <w:tcW w:w="925" w:type="pct"/>
            <w:vAlign w:val="center"/>
          </w:tcPr>
          <w:p w14:paraId="08E8AFEF">
            <w:pPr>
              <w:pStyle w:val="12"/>
              <w:jc w:val="center"/>
            </w:pPr>
            <w:r>
              <w:rPr>
                <w:rFonts w:hint="eastAsia"/>
              </w:rPr>
              <w:t>1928年2月</w:t>
            </w:r>
          </w:p>
        </w:tc>
        <w:tc>
          <w:tcPr>
            <w:tcW w:w="2455" w:type="pct"/>
            <w:vAlign w:val="center"/>
          </w:tcPr>
          <w:p w14:paraId="69E18B39">
            <w:pPr>
              <w:pStyle w:val="12"/>
              <w:jc w:val="center"/>
            </w:pPr>
            <w:r>
              <w:rPr>
                <w:rFonts w:hint="eastAsia"/>
              </w:rPr>
              <w:t>南雄苏维埃赤卫队武器</w:t>
            </w:r>
          </w:p>
        </w:tc>
      </w:tr>
      <w:tr w14:paraId="6A2EFC0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1AFE48C">
            <w:pPr>
              <w:pStyle w:val="12"/>
              <w:jc w:val="center"/>
            </w:pPr>
            <w:r>
              <w:rPr>
                <w:rFonts w:hint="eastAsia"/>
              </w:rPr>
              <w:t>左轮手枪（破）</w:t>
            </w:r>
          </w:p>
        </w:tc>
        <w:tc>
          <w:tcPr>
            <w:tcW w:w="370" w:type="pct"/>
            <w:vAlign w:val="center"/>
          </w:tcPr>
          <w:p w14:paraId="4D0A6412">
            <w:pPr>
              <w:pStyle w:val="12"/>
              <w:jc w:val="center"/>
            </w:pPr>
            <w:r>
              <w:rPr>
                <w:rFonts w:hint="eastAsia"/>
              </w:rPr>
              <w:t>2</w:t>
            </w:r>
          </w:p>
        </w:tc>
        <w:tc>
          <w:tcPr>
            <w:tcW w:w="925" w:type="pct"/>
            <w:vAlign w:val="center"/>
          </w:tcPr>
          <w:p w14:paraId="4E730F10">
            <w:pPr>
              <w:pStyle w:val="12"/>
              <w:jc w:val="center"/>
            </w:pPr>
            <w:r>
              <w:rPr>
                <w:rFonts w:hint="eastAsia"/>
              </w:rPr>
              <w:t>1928年2月</w:t>
            </w:r>
          </w:p>
        </w:tc>
        <w:tc>
          <w:tcPr>
            <w:tcW w:w="2455" w:type="pct"/>
            <w:vAlign w:val="center"/>
          </w:tcPr>
          <w:p w14:paraId="52B438B3">
            <w:pPr>
              <w:pStyle w:val="12"/>
              <w:jc w:val="center"/>
            </w:pPr>
            <w:r>
              <w:rPr>
                <w:rFonts w:hint="eastAsia"/>
              </w:rPr>
              <w:t>南雄苏维埃赤卫队武器</w:t>
            </w:r>
          </w:p>
        </w:tc>
      </w:tr>
      <w:tr w14:paraId="2F33C9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E35CCE7">
            <w:pPr>
              <w:pStyle w:val="12"/>
              <w:jc w:val="center"/>
            </w:pPr>
            <w:r>
              <w:rPr>
                <w:rFonts w:hint="eastAsia"/>
              </w:rPr>
              <w:t>手枪（破）</w:t>
            </w:r>
          </w:p>
        </w:tc>
        <w:tc>
          <w:tcPr>
            <w:tcW w:w="370" w:type="pct"/>
            <w:vAlign w:val="center"/>
          </w:tcPr>
          <w:p w14:paraId="76F9BBFA">
            <w:pPr>
              <w:pStyle w:val="12"/>
              <w:jc w:val="center"/>
            </w:pPr>
            <w:r>
              <w:rPr>
                <w:rFonts w:hint="eastAsia"/>
              </w:rPr>
              <w:t>4</w:t>
            </w:r>
          </w:p>
        </w:tc>
        <w:tc>
          <w:tcPr>
            <w:tcW w:w="925" w:type="pct"/>
            <w:vAlign w:val="center"/>
          </w:tcPr>
          <w:p w14:paraId="5D4830C6">
            <w:pPr>
              <w:pStyle w:val="12"/>
              <w:jc w:val="center"/>
            </w:pPr>
            <w:r>
              <w:rPr>
                <w:rFonts w:hint="eastAsia"/>
              </w:rPr>
              <w:t>1928年2月</w:t>
            </w:r>
          </w:p>
        </w:tc>
        <w:tc>
          <w:tcPr>
            <w:tcW w:w="2455" w:type="pct"/>
            <w:vAlign w:val="center"/>
          </w:tcPr>
          <w:p w14:paraId="0A1BE472">
            <w:pPr>
              <w:pStyle w:val="12"/>
              <w:jc w:val="center"/>
            </w:pPr>
            <w:r>
              <w:rPr>
                <w:rFonts w:hint="eastAsia"/>
              </w:rPr>
              <w:t>南雄苏维埃赤卫队武器</w:t>
            </w:r>
          </w:p>
        </w:tc>
      </w:tr>
      <w:tr w14:paraId="01BFDD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FFA26AE">
            <w:pPr>
              <w:pStyle w:val="12"/>
              <w:jc w:val="center"/>
            </w:pPr>
            <w:r>
              <w:rPr>
                <w:rFonts w:hint="eastAsia"/>
              </w:rPr>
              <w:t>大刀、尖刀、匕首（旧）</w:t>
            </w:r>
          </w:p>
        </w:tc>
        <w:tc>
          <w:tcPr>
            <w:tcW w:w="370" w:type="pct"/>
            <w:vAlign w:val="center"/>
          </w:tcPr>
          <w:p w14:paraId="353C2E1C">
            <w:pPr>
              <w:pStyle w:val="12"/>
              <w:jc w:val="center"/>
            </w:pPr>
            <w:r>
              <w:rPr>
                <w:rFonts w:hint="eastAsia"/>
              </w:rPr>
              <w:t>86</w:t>
            </w:r>
          </w:p>
        </w:tc>
        <w:tc>
          <w:tcPr>
            <w:tcW w:w="925" w:type="pct"/>
            <w:vAlign w:val="center"/>
          </w:tcPr>
          <w:p w14:paraId="2CA26377">
            <w:pPr>
              <w:pStyle w:val="12"/>
              <w:jc w:val="center"/>
            </w:pPr>
            <w:r>
              <w:rPr>
                <w:rFonts w:hint="eastAsia"/>
              </w:rPr>
              <w:t>1928年2月</w:t>
            </w:r>
          </w:p>
        </w:tc>
        <w:tc>
          <w:tcPr>
            <w:tcW w:w="2455" w:type="pct"/>
            <w:vAlign w:val="center"/>
          </w:tcPr>
          <w:p w14:paraId="2AFC2EFF">
            <w:pPr>
              <w:pStyle w:val="12"/>
              <w:jc w:val="center"/>
            </w:pPr>
            <w:r>
              <w:rPr>
                <w:rFonts w:hint="eastAsia"/>
              </w:rPr>
              <w:t>南雄苏维埃赤卫队武装</w:t>
            </w:r>
          </w:p>
        </w:tc>
      </w:tr>
      <w:tr w14:paraId="2AA813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57B5FF23">
            <w:pPr>
              <w:pStyle w:val="12"/>
              <w:jc w:val="center"/>
            </w:pPr>
            <w:r>
              <w:rPr>
                <w:rFonts w:hint="eastAsia"/>
              </w:rPr>
              <w:t>耙头（旧）</w:t>
            </w:r>
          </w:p>
        </w:tc>
        <w:tc>
          <w:tcPr>
            <w:tcW w:w="370" w:type="pct"/>
            <w:vAlign w:val="center"/>
          </w:tcPr>
          <w:p w14:paraId="0D6AA9A5">
            <w:pPr>
              <w:pStyle w:val="12"/>
              <w:jc w:val="center"/>
            </w:pPr>
            <w:r>
              <w:rPr>
                <w:rFonts w:hint="eastAsia"/>
              </w:rPr>
              <w:t>7</w:t>
            </w:r>
          </w:p>
        </w:tc>
        <w:tc>
          <w:tcPr>
            <w:tcW w:w="925" w:type="pct"/>
            <w:vAlign w:val="center"/>
          </w:tcPr>
          <w:p w14:paraId="09DAD663">
            <w:pPr>
              <w:pStyle w:val="12"/>
              <w:jc w:val="center"/>
            </w:pPr>
            <w:r>
              <w:rPr>
                <w:rFonts w:hint="eastAsia"/>
              </w:rPr>
              <w:t>1928年2月</w:t>
            </w:r>
          </w:p>
        </w:tc>
        <w:tc>
          <w:tcPr>
            <w:tcW w:w="2455" w:type="pct"/>
            <w:vAlign w:val="center"/>
          </w:tcPr>
          <w:p w14:paraId="2BE6C0F2">
            <w:pPr>
              <w:pStyle w:val="12"/>
              <w:jc w:val="center"/>
            </w:pPr>
            <w:r>
              <w:rPr>
                <w:rFonts w:hint="eastAsia"/>
              </w:rPr>
              <w:t>南雄苏维埃赤卫队武器</w:t>
            </w:r>
          </w:p>
        </w:tc>
      </w:tr>
      <w:tr w14:paraId="620FD5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205AB7B">
            <w:pPr>
              <w:pStyle w:val="12"/>
              <w:jc w:val="center"/>
            </w:pPr>
            <w:r>
              <w:rPr>
                <w:rFonts w:hint="eastAsia"/>
              </w:rPr>
              <w:t>刺  刀</w:t>
            </w:r>
          </w:p>
        </w:tc>
        <w:tc>
          <w:tcPr>
            <w:tcW w:w="370" w:type="pct"/>
            <w:vAlign w:val="center"/>
          </w:tcPr>
          <w:p w14:paraId="4A7DC101">
            <w:pPr>
              <w:pStyle w:val="12"/>
              <w:jc w:val="center"/>
            </w:pPr>
            <w:r>
              <w:rPr>
                <w:rFonts w:hint="eastAsia"/>
              </w:rPr>
              <w:t>1</w:t>
            </w:r>
          </w:p>
        </w:tc>
        <w:tc>
          <w:tcPr>
            <w:tcW w:w="925" w:type="pct"/>
            <w:vAlign w:val="center"/>
          </w:tcPr>
          <w:p w14:paraId="7FD50CDD">
            <w:pPr>
              <w:pStyle w:val="12"/>
              <w:jc w:val="center"/>
            </w:pPr>
            <w:r>
              <w:rPr>
                <w:rFonts w:hint="eastAsia"/>
              </w:rPr>
              <w:t>1935年9月</w:t>
            </w:r>
          </w:p>
        </w:tc>
        <w:tc>
          <w:tcPr>
            <w:tcW w:w="2455" w:type="pct"/>
            <w:vAlign w:val="center"/>
          </w:tcPr>
          <w:p w14:paraId="55F258FB">
            <w:pPr>
              <w:pStyle w:val="12"/>
              <w:jc w:val="center"/>
            </w:pPr>
            <w:r>
              <w:rPr>
                <w:rFonts w:hint="eastAsia"/>
              </w:rPr>
              <w:t>烈士李乐天遗物</w:t>
            </w:r>
          </w:p>
        </w:tc>
      </w:tr>
      <w:tr w14:paraId="65D390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03881ADF">
            <w:pPr>
              <w:pStyle w:val="12"/>
              <w:jc w:val="center"/>
            </w:pPr>
            <w:r>
              <w:rPr>
                <w:rFonts w:hint="eastAsia"/>
              </w:rPr>
              <w:t>米  袋</w:t>
            </w:r>
          </w:p>
        </w:tc>
        <w:tc>
          <w:tcPr>
            <w:tcW w:w="370" w:type="pct"/>
            <w:vAlign w:val="center"/>
          </w:tcPr>
          <w:p w14:paraId="1BEB02FB">
            <w:pPr>
              <w:pStyle w:val="12"/>
              <w:jc w:val="center"/>
            </w:pPr>
            <w:r>
              <w:rPr>
                <w:rFonts w:hint="eastAsia"/>
              </w:rPr>
              <w:t>1</w:t>
            </w:r>
          </w:p>
        </w:tc>
        <w:tc>
          <w:tcPr>
            <w:tcW w:w="925" w:type="pct"/>
            <w:vAlign w:val="center"/>
          </w:tcPr>
          <w:p w14:paraId="1854D933">
            <w:pPr>
              <w:pStyle w:val="12"/>
              <w:jc w:val="center"/>
            </w:pPr>
            <w:r>
              <w:rPr>
                <w:rFonts w:hint="eastAsia"/>
              </w:rPr>
              <w:t>1933年</w:t>
            </w:r>
          </w:p>
        </w:tc>
        <w:tc>
          <w:tcPr>
            <w:tcW w:w="2455" w:type="pct"/>
            <w:vAlign w:val="center"/>
          </w:tcPr>
          <w:p w14:paraId="699DD086">
            <w:pPr>
              <w:pStyle w:val="12"/>
              <w:jc w:val="center"/>
            </w:pPr>
            <w:r>
              <w:rPr>
                <w:rFonts w:hint="eastAsia"/>
              </w:rPr>
              <w:t>烈士彭显模遗物</w:t>
            </w:r>
          </w:p>
        </w:tc>
      </w:tr>
      <w:tr w14:paraId="5B718D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B4A1E5D">
            <w:pPr>
              <w:pStyle w:val="12"/>
              <w:jc w:val="center"/>
            </w:pPr>
            <w:r>
              <w:rPr>
                <w:rFonts w:hint="eastAsia"/>
              </w:rPr>
              <w:t>照  片</w:t>
            </w:r>
          </w:p>
        </w:tc>
        <w:tc>
          <w:tcPr>
            <w:tcW w:w="370" w:type="pct"/>
            <w:vAlign w:val="center"/>
          </w:tcPr>
          <w:p w14:paraId="102FFE77">
            <w:pPr>
              <w:pStyle w:val="12"/>
              <w:jc w:val="center"/>
            </w:pPr>
            <w:r>
              <w:rPr>
                <w:rFonts w:hint="eastAsia"/>
              </w:rPr>
              <w:t>1</w:t>
            </w:r>
          </w:p>
        </w:tc>
        <w:tc>
          <w:tcPr>
            <w:tcW w:w="925" w:type="pct"/>
            <w:vAlign w:val="center"/>
          </w:tcPr>
          <w:p w14:paraId="2F9627EE">
            <w:pPr>
              <w:pStyle w:val="12"/>
              <w:jc w:val="center"/>
            </w:pPr>
            <w:r>
              <w:rPr>
                <w:rFonts w:hint="eastAsia"/>
              </w:rPr>
              <w:t>1925年</w:t>
            </w:r>
          </w:p>
        </w:tc>
        <w:tc>
          <w:tcPr>
            <w:tcW w:w="2455" w:type="pct"/>
            <w:vAlign w:val="center"/>
          </w:tcPr>
          <w:p w14:paraId="0962F6FC">
            <w:pPr>
              <w:pStyle w:val="12"/>
              <w:jc w:val="center"/>
            </w:pPr>
            <w:r>
              <w:rPr>
                <w:rFonts w:hint="eastAsia"/>
              </w:rPr>
              <w:t>烈士曾昭秀遗照</w:t>
            </w:r>
          </w:p>
        </w:tc>
      </w:tr>
      <w:tr w14:paraId="43E362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572BE39">
            <w:pPr>
              <w:pStyle w:val="12"/>
              <w:jc w:val="center"/>
            </w:pPr>
            <w:r>
              <w:rPr>
                <w:rFonts w:hint="eastAsia"/>
              </w:rPr>
              <w:t>照  片</w:t>
            </w:r>
          </w:p>
        </w:tc>
        <w:tc>
          <w:tcPr>
            <w:tcW w:w="370" w:type="pct"/>
            <w:vAlign w:val="center"/>
          </w:tcPr>
          <w:p w14:paraId="1279FE16">
            <w:pPr>
              <w:pStyle w:val="12"/>
              <w:jc w:val="center"/>
            </w:pPr>
            <w:r>
              <w:rPr>
                <w:rFonts w:hint="eastAsia"/>
              </w:rPr>
              <w:t>1</w:t>
            </w:r>
          </w:p>
        </w:tc>
        <w:tc>
          <w:tcPr>
            <w:tcW w:w="925" w:type="pct"/>
            <w:vAlign w:val="center"/>
          </w:tcPr>
          <w:p w14:paraId="0AD78E33">
            <w:pPr>
              <w:pStyle w:val="12"/>
              <w:jc w:val="center"/>
            </w:pPr>
            <w:r>
              <w:rPr>
                <w:rFonts w:hint="eastAsia"/>
              </w:rPr>
              <w:t>1938年</w:t>
            </w:r>
          </w:p>
        </w:tc>
        <w:tc>
          <w:tcPr>
            <w:tcW w:w="2455" w:type="pct"/>
            <w:vAlign w:val="center"/>
          </w:tcPr>
          <w:p w14:paraId="7CCDA9E0">
            <w:pPr>
              <w:pStyle w:val="12"/>
              <w:jc w:val="center"/>
            </w:pPr>
            <w:r>
              <w:rPr>
                <w:rFonts w:hint="eastAsia"/>
              </w:rPr>
              <w:t>烈士钟蛟蟠遗照</w:t>
            </w:r>
          </w:p>
        </w:tc>
      </w:tr>
      <w:tr w14:paraId="334E06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502B0209">
            <w:pPr>
              <w:pStyle w:val="12"/>
              <w:jc w:val="center"/>
            </w:pPr>
            <w:r>
              <w:rPr>
                <w:rFonts w:hint="eastAsia"/>
              </w:rPr>
              <w:t>合  照</w:t>
            </w:r>
          </w:p>
        </w:tc>
        <w:tc>
          <w:tcPr>
            <w:tcW w:w="370" w:type="pct"/>
            <w:vAlign w:val="center"/>
          </w:tcPr>
          <w:p w14:paraId="0DFA30DD">
            <w:pPr>
              <w:pStyle w:val="12"/>
              <w:jc w:val="center"/>
            </w:pPr>
            <w:r>
              <w:rPr>
                <w:rFonts w:hint="eastAsia"/>
              </w:rPr>
              <w:t>1</w:t>
            </w:r>
          </w:p>
        </w:tc>
        <w:tc>
          <w:tcPr>
            <w:tcW w:w="925" w:type="pct"/>
            <w:vAlign w:val="center"/>
          </w:tcPr>
          <w:p w14:paraId="41DEB678">
            <w:pPr>
              <w:pStyle w:val="12"/>
              <w:jc w:val="center"/>
            </w:pPr>
            <w:r>
              <w:rPr>
                <w:rFonts w:hint="eastAsia"/>
              </w:rPr>
              <w:t>1925年</w:t>
            </w:r>
          </w:p>
        </w:tc>
        <w:tc>
          <w:tcPr>
            <w:tcW w:w="2455" w:type="pct"/>
            <w:vAlign w:val="center"/>
          </w:tcPr>
          <w:p w14:paraId="04601A03">
            <w:pPr>
              <w:pStyle w:val="12"/>
              <w:jc w:val="center"/>
            </w:pPr>
            <w:r>
              <w:rPr>
                <w:rFonts w:hint="eastAsia"/>
              </w:rPr>
              <w:t>烈士曾昭秀、陈昭南、周序龙、彭显模、周群标五人在广州参加革命时合照</w:t>
            </w:r>
          </w:p>
        </w:tc>
      </w:tr>
      <w:tr w14:paraId="7C1538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1D2AE71">
            <w:pPr>
              <w:pStyle w:val="12"/>
              <w:jc w:val="center"/>
            </w:pPr>
            <w:r>
              <w:rPr>
                <w:rFonts w:hint="eastAsia"/>
              </w:rPr>
              <w:t>布  告</w:t>
            </w:r>
          </w:p>
        </w:tc>
        <w:tc>
          <w:tcPr>
            <w:tcW w:w="370" w:type="pct"/>
            <w:vAlign w:val="center"/>
          </w:tcPr>
          <w:p w14:paraId="47419191">
            <w:pPr>
              <w:pStyle w:val="12"/>
              <w:jc w:val="center"/>
            </w:pPr>
            <w:r>
              <w:rPr>
                <w:rFonts w:hint="eastAsia"/>
              </w:rPr>
              <w:t>1</w:t>
            </w:r>
          </w:p>
        </w:tc>
        <w:tc>
          <w:tcPr>
            <w:tcW w:w="925" w:type="pct"/>
            <w:vAlign w:val="center"/>
          </w:tcPr>
          <w:p w14:paraId="09CBA735">
            <w:pPr>
              <w:pStyle w:val="12"/>
              <w:jc w:val="center"/>
            </w:pPr>
            <w:r>
              <w:rPr>
                <w:rFonts w:hint="eastAsia"/>
              </w:rPr>
              <w:t>1928年2月</w:t>
            </w:r>
          </w:p>
        </w:tc>
        <w:tc>
          <w:tcPr>
            <w:tcW w:w="2455" w:type="pct"/>
            <w:vAlign w:val="center"/>
          </w:tcPr>
          <w:p w14:paraId="15980CF8">
            <w:pPr>
              <w:pStyle w:val="12"/>
              <w:jc w:val="center"/>
            </w:pPr>
            <w:r>
              <w:rPr>
                <w:rFonts w:hint="eastAsia"/>
              </w:rPr>
              <w:t>南雄苏维埃第五区政府的布告</w:t>
            </w:r>
          </w:p>
        </w:tc>
      </w:tr>
      <w:tr w14:paraId="1A239E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3EEC7EB">
            <w:pPr>
              <w:pStyle w:val="12"/>
              <w:jc w:val="center"/>
            </w:pPr>
            <w:r>
              <w:rPr>
                <w:rFonts w:hint="eastAsia"/>
              </w:rPr>
              <w:t>证  章</w:t>
            </w:r>
          </w:p>
        </w:tc>
        <w:tc>
          <w:tcPr>
            <w:tcW w:w="370" w:type="pct"/>
            <w:vAlign w:val="center"/>
          </w:tcPr>
          <w:p w14:paraId="2264626C">
            <w:pPr>
              <w:pStyle w:val="12"/>
              <w:jc w:val="center"/>
            </w:pPr>
            <w:r>
              <w:rPr>
                <w:rFonts w:hint="eastAsia"/>
              </w:rPr>
              <w:t>1枚</w:t>
            </w:r>
          </w:p>
        </w:tc>
        <w:tc>
          <w:tcPr>
            <w:tcW w:w="925" w:type="pct"/>
            <w:vAlign w:val="center"/>
          </w:tcPr>
          <w:p w14:paraId="36C887AA">
            <w:pPr>
              <w:pStyle w:val="12"/>
              <w:jc w:val="center"/>
            </w:pPr>
            <w:r>
              <w:rPr>
                <w:rFonts w:hint="eastAsia"/>
              </w:rPr>
              <w:t>1947年</w:t>
            </w:r>
          </w:p>
        </w:tc>
        <w:tc>
          <w:tcPr>
            <w:tcW w:w="2455" w:type="pct"/>
            <w:vAlign w:val="center"/>
          </w:tcPr>
          <w:p w14:paraId="6DF44470">
            <w:pPr>
              <w:pStyle w:val="12"/>
              <w:jc w:val="center"/>
            </w:pPr>
            <w:r>
              <w:rPr>
                <w:rFonts w:hint="eastAsia"/>
              </w:rPr>
              <w:t>珠玑中学证章</w:t>
            </w:r>
          </w:p>
        </w:tc>
      </w:tr>
      <w:tr w14:paraId="7A8443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658D2AA5">
            <w:pPr>
              <w:pStyle w:val="12"/>
              <w:jc w:val="center"/>
            </w:pPr>
            <w:r>
              <w:rPr>
                <w:rFonts w:hint="eastAsia"/>
              </w:rPr>
              <w:t>标语、诗歌、漫画</w:t>
            </w:r>
          </w:p>
        </w:tc>
        <w:tc>
          <w:tcPr>
            <w:tcW w:w="370" w:type="pct"/>
            <w:vAlign w:val="center"/>
          </w:tcPr>
          <w:p w14:paraId="304122F5">
            <w:pPr>
              <w:pStyle w:val="12"/>
              <w:jc w:val="center"/>
            </w:pPr>
            <w:r>
              <w:rPr>
                <w:rFonts w:hint="eastAsia"/>
              </w:rPr>
              <w:t>22</w:t>
            </w:r>
          </w:p>
        </w:tc>
        <w:tc>
          <w:tcPr>
            <w:tcW w:w="925" w:type="pct"/>
            <w:vAlign w:val="center"/>
          </w:tcPr>
          <w:p w14:paraId="57E2E846">
            <w:pPr>
              <w:pStyle w:val="12"/>
              <w:jc w:val="center"/>
            </w:pPr>
            <w:r>
              <w:rPr>
                <w:rFonts w:hint="eastAsia"/>
              </w:rPr>
              <w:t>1929年至1935年</w:t>
            </w:r>
          </w:p>
        </w:tc>
        <w:tc>
          <w:tcPr>
            <w:tcW w:w="2455" w:type="pct"/>
            <w:vAlign w:val="center"/>
          </w:tcPr>
          <w:p w14:paraId="7695EE91">
            <w:pPr>
              <w:pStyle w:val="12"/>
              <w:jc w:val="center"/>
            </w:pPr>
            <w:r>
              <w:rPr>
                <w:rFonts w:hint="eastAsia"/>
              </w:rPr>
              <w:t>中央红军经过南雄各地留下的题壁标语被揭取保护</w:t>
            </w:r>
          </w:p>
        </w:tc>
      </w:tr>
    </w:tbl>
    <w:p w14:paraId="500D72F1">
      <w:pPr>
        <w:ind w:firstLine="422"/>
        <w:jc w:val="center"/>
        <w:rPr>
          <w:rFonts w:ascii="宋体" w:hAnsi="宋体" w:cs="宋体"/>
          <w:b/>
          <w:bCs/>
        </w:rPr>
      </w:pPr>
      <w:r>
        <w:rPr>
          <w:rFonts w:hint="eastAsia" w:ascii="宋体" w:hAnsi="宋体" w:cs="宋体"/>
          <w:b/>
          <w:bCs/>
        </w:rPr>
        <w:t>南雄市各级文物保护单位一览</w:t>
      </w:r>
    </w:p>
    <w:p w14:paraId="14EF31E7">
      <w:pPr>
        <w:ind w:firstLine="0" w:firstLineChars="0"/>
        <w:rPr>
          <w:rFonts w:ascii="宋体" w:hAnsi="宋体" w:cs="宋体"/>
          <w:b/>
          <w:bCs/>
        </w:rPr>
      </w:pPr>
      <w:r>
        <w:rPr>
          <w:rFonts w:hint="eastAsia" w:ascii="宋体" w:hAnsi="宋体" w:cs="宋体"/>
          <w:b/>
          <w:bCs/>
        </w:rPr>
        <w:t>表5-17</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5"/>
        <w:gridCol w:w="2317"/>
        <w:gridCol w:w="1968"/>
        <w:gridCol w:w="928"/>
        <w:gridCol w:w="1931"/>
        <w:gridCol w:w="2123"/>
      </w:tblGrid>
      <w:tr w14:paraId="510A3F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1C14CE12">
            <w:pPr>
              <w:pStyle w:val="12"/>
              <w:jc w:val="center"/>
              <w:rPr>
                <w:b/>
              </w:rPr>
            </w:pPr>
            <w:r>
              <w:rPr>
                <w:rFonts w:hint="eastAsia"/>
                <w:b/>
              </w:rPr>
              <w:t>编号</w:t>
            </w:r>
          </w:p>
        </w:tc>
        <w:tc>
          <w:tcPr>
            <w:tcW w:w="1163" w:type="pct"/>
            <w:vAlign w:val="center"/>
          </w:tcPr>
          <w:p w14:paraId="3B4D9CEF">
            <w:pPr>
              <w:pStyle w:val="12"/>
              <w:jc w:val="center"/>
              <w:rPr>
                <w:b/>
              </w:rPr>
            </w:pPr>
            <w:r>
              <w:rPr>
                <w:rFonts w:hint="eastAsia"/>
                <w:b/>
              </w:rPr>
              <w:t>名  称</w:t>
            </w:r>
          </w:p>
        </w:tc>
        <w:tc>
          <w:tcPr>
            <w:tcW w:w="988" w:type="pct"/>
            <w:vAlign w:val="center"/>
          </w:tcPr>
          <w:p w14:paraId="402DAE7F">
            <w:pPr>
              <w:pStyle w:val="12"/>
              <w:jc w:val="center"/>
              <w:rPr>
                <w:b/>
              </w:rPr>
            </w:pPr>
            <w:r>
              <w:rPr>
                <w:rFonts w:hint="eastAsia"/>
                <w:b/>
              </w:rPr>
              <w:t>年  代</w:t>
            </w:r>
          </w:p>
        </w:tc>
        <w:tc>
          <w:tcPr>
            <w:tcW w:w="466" w:type="pct"/>
            <w:vAlign w:val="center"/>
          </w:tcPr>
          <w:p w14:paraId="48D38550">
            <w:pPr>
              <w:pStyle w:val="12"/>
              <w:jc w:val="center"/>
              <w:rPr>
                <w:b/>
              </w:rPr>
            </w:pPr>
            <w:r>
              <w:rPr>
                <w:rFonts w:hint="eastAsia"/>
                <w:b/>
              </w:rPr>
              <w:t>级别</w:t>
            </w:r>
          </w:p>
        </w:tc>
        <w:tc>
          <w:tcPr>
            <w:tcW w:w="969" w:type="pct"/>
            <w:vAlign w:val="center"/>
          </w:tcPr>
          <w:p w14:paraId="0257A7B8">
            <w:pPr>
              <w:pStyle w:val="12"/>
              <w:jc w:val="center"/>
              <w:rPr>
                <w:b/>
              </w:rPr>
            </w:pPr>
            <w:r>
              <w:rPr>
                <w:rFonts w:hint="eastAsia"/>
                <w:b/>
              </w:rPr>
              <w:t>公布时间</w:t>
            </w:r>
          </w:p>
        </w:tc>
        <w:tc>
          <w:tcPr>
            <w:tcW w:w="1065" w:type="pct"/>
            <w:vAlign w:val="center"/>
          </w:tcPr>
          <w:p w14:paraId="14F59BD1">
            <w:pPr>
              <w:pStyle w:val="12"/>
              <w:jc w:val="center"/>
              <w:rPr>
                <w:b/>
              </w:rPr>
            </w:pPr>
            <w:r>
              <w:rPr>
                <w:rFonts w:hint="eastAsia"/>
                <w:b/>
              </w:rPr>
              <w:t>地  址</w:t>
            </w:r>
          </w:p>
        </w:tc>
      </w:tr>
      <w:tr w14:paraId="412BA8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0C53BF02">
            <w:pPr>
              <w:pStyle w:val="12"/>
              <w:jc w:val="center"/>
            </w:pPr>
            <w:r>
              <w:rPr>
                <w:rFonts w:hint="eastAsia"/>
              </w:rPr>
              <w:t>1</w:t>
            </w:r>
          </w:p>
        </w:tc>
        <w:tc>
          <w:tcPr>
            <w:tcW w:w="1163" w:type="pct"/>
            <w:vAlign w:val="center"/>
          </w:tcPr>
          <w:p w14:paraId="6722EC25">
            <w:pPr>
              <w:pStyle w:val="12"/>
              <w:jc w:val="center"/>
            </w:pPr>
            <w:r>
              <w:rPr>
                <w:rFonts w:hint="eastAsia"/>
              </w:rPr>
              <w:t>三影塔</w:t>
            </w:r>
          </w:p>
        </w:tc>
        <w:tc>
          <w:tcPr>
            <w:tcW w:w="988" w:type="pct"/>
            <w:vAlign w:val="center"/>
          </w:tcPr>
          <w:p w14:paraId="54991A6F">
            <w:pPr>
              <w:pStyle w:val="12"/>
              <w:jc w:val="center"/>
            </w:pPr>
            <w:r>
              <w:rPr>
                <w:rFonts w:hint="eastAsia"/>
              </w:rPr>
              <w:t>北宋大中祥符二年（1009年）</w:t>
            </w:r>
          </w:p>
        </w:tc>
        <w:tc>
          <w:tcPr>
            <w:tcW w:w="466" w:type="pct"/>
            <w:vAlign w:val="center"/>
          </w:tcPr>
          <w:p w14:paraId="76BB8AAC">
            <w:pPr>
              <w:pStyle w:val="12"/>
              <w:jc w:val="center"/>
            </w:pPr>
            <w:r>
              <w:rPr>
                <w:rFonts w:hint="eastAsia"/>
              </w:rPr>
              <w:t>国家级</w:t>
            </w:r>
          </w:p>
        </w:tc>
        <w:tc>
          <w:tcPr>
            <w:tcW w:w="969" w:type="pct"/>
            <w:vAlign w:val="center"/>
          </w:tcPr>
          <w:p w14:paraId="59BAB927">
            <w:pPr>
              <w:pStyle w:val="12"/>
              <w:jc w:val="center"/>
            </w:pPr>
            <w:r>
              <w:rPr>
                <w:rFonts w:hint="eastAsia"/>
              </w:rPr>
              <w:t>1988年1月13日</w:t>
            </w:r>
          </w:p>
        </w:tc>
        <w:tc>
          <w:tcPr>
            <w:tcW w:w="1065" w:type="pct"/>
            <w:vAlign w:val="center"/>
          </w:tcPr>
          <w:p w14:paraId="7888654E">
            <w:pPr>
              <w:pStyle w:val="12"/>
              <w:jc w:val="center"/>
            </w:pPr>
            <w:r>
              <w:rPr>
                <w:rFonts w:hint="eastAsia"/>
              </w:rPr>
              <w:t>南雄市区三影塔广场</w:t>
            </w:r>
          </w:p>
        </w:tc>
      </w:tr>
      <w:tr w14:paraId="4A0E1E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2980ED49">
            <w:pPr>
              <w:pStyle w:val="12"/>
              <w:jc w:val="center"/>
            </w:pPr>
            <w:r>
              <w:rPr>
                <w:rFonts w:hint="eastAsia"/>
              </w:rPr>
              <w:t>2</w:t>
            </w:r>
          </w:p>
        </w:tc>
        <w:tc>
          <w:tcPr>
            <w:tcW w:w="1163" w:type="pct"/>
            <w:vAlign w:val="center"/>
          </w:tcPr>
          <w:p w14:paraId="0A54B52C">
            <w:pPr>
              <w:pStyle w:val="12"/>
              <w:jc w:val="center"/>
            </w:pPr>
            <w:r>
              <w:rPr>
                <w:rFonts w:hint="eastAsia"/>
              </w:rPr>
              <w:t>珠玑石塔</w:t>
            </w:r>
          </w:p>
        </w:tc>
        <w:tc>
          <w:tcPr>
            <w:tcW w:w="988" w:type="pct"/>
            <w:vAlign w:val="center"/>
          </w:tcPr>
          <w:p w14:paraId="4BB72B36">
            <w:pPr>
              <w:pStyle w:val="12"/>
              <w:jc w:val="center"/>
            </w:pPr>
            <w:r>
              <w:rPr>
                <w:rFonts w:hint="eastAsia"/>
              </w:rPr>
              <w:t>元至正十年（1350年）</w:t>
            </w:r>
          </w:p>
        </w:tc>
        <w:tc>
          <w:tcPr>
            <w:tcW w:w="466" w:type="pct"/>
            <w:vAlign w:val="center"/>
          </w:tcPr>
          <w:p w14:paraId="7FD187C4">
            <w:pPr>
              <w:pStyle w:val="12"/>
              <w:jc w:val="center"/>
            </w:pPr>
            <w:r>
              <w:rPr>
                <w:rFonts w:hint="eastAsia"/>
              </w:rPr>
              <w:t>省级</w:t>
            </w:r>
          </w:p>
        </w:tc>
        <w:tc>
          <w:tcPr>
            <w:tcW w:w="969" w:type="pct"/>
            <w:vAlign w:val="center"/>
          </w:tcPr>
          <w:p w14:paraId="6A0B1195">
            <w:pPr>
              <w:pStyle w:val="12"/>
              <w:jc w:val="center"/>
            </w:pPr>
            <w:r>
              <w:rPr>
                <w:rFonts w:hint="eastAsia"/>
              </w:rPr>
              <w:t>1979年12月17日</w:t>
            </w:r>
          </w:p>
        </w:tc>
        <w:tc>
          <w:tcPr>
            <w:tcW w:w="1065" w:type="pct"/>
            <w:vAlign w:val="center"/>
          </w:tcPr>
          <w:p w14:paraId="76559774">
            <w:pPr>
              <w:pStyle w:val="12"/>
              <w:jc w:val="center"/>
            </w:pPr>
            <w:r>
              <w:rPr>
                <w:rFonts w:hint="eastAsia"/>
              </w:rPr>
              <w:t>珠玑镇珠玑巷</w:t>
            </w:r>
          </w:p>
        </w:tc>
      </w:tr>
      <w:tr w14:paraId="7B2DDC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21FF6831">
            <w:pPr>
              <w:pStyle w:val="12"/>
              <w:jc w:val="center"/>
            </w:pPr>
            <w:r>
              <w:rPr>
                <w:rFonts w:hint="eastAsia"/>
              </w:rPr>
              <w:t>3</w:t>
            </w:r>
          </w:p>
        </w:tc>
        <w:tc>
          <w:tcPr>
            <w:tcW w:w="1163" w:type="pct"/>
            <w:vAlign w:val="center"/>
          </w:tcPr>
          <w:p w14:paraId="24080A7A">
            <w:pPr>
              <w:pStyle w:val="12"/>
              <w:jc w:val="center"/>
            </w:pPr>
            <w:r>
              <w:rPr>
                <w:rFonts w:hint="eastAsia"/>
              </w:rPr>
              <w:t>梅关含梅关古道</w:t>
            </w:r>
          </w:p>
        </w:tc>
        <w:tc>
          <w:tcPr>
            <w:tcW w:w="988" w:type="pct"/>
            <w:vAlign w:val="center"/>
          </w:tcPr>
          <w:p w14:paraId="5C91DA89">
            <w:pPr>
              <w:pStyle w:val="12"/>
              <w:jc w:val="center"/>
            </w:pPr>
            <w:r>
              <w:rPr>
                <w:rFonts w:hint="eastAsia"/>
              </w:rPr>
              <w:t>唐至清</w:t>
            </w:r>
          </w:p>
        </w:tc>
        <w:tc>
          <w:tcPr>
            <w:tcW w:w="466" w:type="pct"/>
            <w:vAlign w:val="center"/>
          </w:tcPr>
          <w:p w14:paraId="5C37EF7A">
            <w:pPr>
              <w:pStyle w:val="12"/>
              <w:jc w:val="center"/>
            </w:pPr>
            <w:r>
              <w:rPr>
                <w:rFonts w:hint="eastAsia"/>
              </w:rPr>
              <w:t>省级</w:t>
            </w:r>
          </w:p>
        </w:tc>
        <w:tc>
          <w:tcPr>
            <w:tcW w:w="969" w:type="pct"/>
            <w:vAlign w:val="center"/>
          </w:tcPr>
          <w:p w14:paraId="1109D143">
            <w:pPr>
              <w:pStyle w:val="12"/>
              <w:jc w:val="center"/>
            </w:pPr>
            <w:r>
              <w:rPr>
                <w:rFonts w:hint="eastAsia"/>
              </w:rPr>
              <w:t>1989年6月29日</w:t>
            </w:r>
          </w:p>
        </w:tc>
        <w:tc>
          <w:tcPr>
            <w:tcW w:w="1065" w:type="pct"/>
            <w:vAlign w:val="center"/>
          </w:tcPr>
          <w:p w14:paraId="3D739A83">
            <w:pPr>
              <w:pStyle w:val="12"/>
              <w:jc w:val="center"/>
            </w:pPr>
            <w:r>
              <w:rPr>
                <w:rFonts w:hint="eastAsia"/>
              </w:rPr>
              <w:t>珠玑镇</w:t>
            </w:r>
          </w:p>
        </w:tc>
      </w:tr>
      <w:tr w14:paraId="6E92BF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590589A1">
            <w:pPr>
              <w:pStyle w:val="12"/>
              <w:jc w:val="center"/>
            </w:pPr>
            <w:r>
              <w:rPr>
                <w:rFonts w:hint="eastAsia"/>
              </w:rPr>
              <w:t>4</w:t>
            </w:r>
          </w:p>
        </w:tc>
        <w:tc>
          <w:tcPr>
            <w:tcW w:w="1163" w:type="pct"/>
            <w:vAlign w:val="center"/>
          </w:tcPr>
          <w:p w14:paraId="59EBCBCE">
            <w:pPr>
              <w:pStyle w:val="12"/>
              <w:jc w:val="center"/>
            </w:pPr>
            <w:r>
              <w:rPr>
                <w:rFonts w:hint="eastAsia"/>
              </w:rPr>
              <w:t>钟鼓岩摩崖石刻</w:t>
            </w:r>
          </w:p>
        </w:tc>
        <w:tc>
          <w:tcPr>
            <w:tcW w:w="988" w:type="pct"/>
            <w:vAlign w:val="center"/>
          </w:tcPr>
          <w:p w14:paraId="52A82826">
            <w:pPr>
              <w:pStyle w:val="12"/>
              <w:jc w:val="center"/>
            </w:pPr>
            <w:r>
              <w:rPr>
                <w:rFonts w:hint="eastAsia"/>
              </w:rPr>
              <w:t>唐至民国</w:t>
            </w:r>
          </w:p>
        </w:tc>
        <w:tc>
          <w:tcPr>
            <w:tcW w:w="466" w:type="pct"/>
            <w:vAlign w:val="center"/>
          </w:tcPr>
          <w:p w14:paraId="34CD30A9">
            <w:pPr>
              <w:pStyle w:val="12"/>
              <w:jc w:val="center"/>
            </w:pPr>
            <w:r>
              <w:rPr>
                <w:rFonts w:hint="eastAsia"/>
              </w:rPr>
              <w:t>省级</w:t>
            </w:r>
          </w:p>
        </w:tc>
        <w:tc>
          <w:tcPr>
            <w:tcW w:w="969" w:type="pct"/>
            <w:vAlign w:val="center"/>
          </w:tcPr>
          <w:p w14:paraId="50DCF966">
            <w:pPr>
              <w:pStyle w:val="12"/>
              <w:jc w:val="center"/>
            </w:pPr>
            <w:r>
              <w:rPr>
                <w:rFonts w:hint="eastAsia"/>
              </w:rPr>
              <w:t>1989年6月29日</w:t>
            </w:r>
          </w:p>
        </w:tc>
        <w:tc>
          <w:tcPr>
            <w:tcW w:w="1065" w:type="pct"/>
            <w:vAlign w:val="center"/>
          </w:tcPr>
          <w:p w14:paraId="64B8E1BA">
            <w:pPr>
              <w:pStyle w:val="12"/>
              <w:jc w:val="center"/>
            </w:pPr>
            <w:r>
              <w:rPr>
                <w:rFonts w:hint="eastAsia"/>
              </w:rPr>
              <w:t>珠玑镇</w:t>
            </w:r>
          </w:p>
        </w:tc>
      </w:tr>
      <w:tr w14:paraId="3AFAE7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64940AAB">
            <w:pPr>
              <w:pStyle w:val="12"/>
              <w:jc w:val="center"/>
            </w:pPr>
            <w:r>
              <w:rPr>
                <w:rFonts w:hint="eastAsia"/>
              </w:rPr>
              <w:t>5</w:t>
            </w:r>
          </w:p>
        </w:tc>
        <w:tc>
          <w:tcPr>
            <w:tcW w:w="1163" w:type="pct"/>
            <w:vAlign w:val="center"/>
          </w:tcPr>
          <w:p w14:paraId="7112AD3B">
            <w:pPr>
              <w:pStyle w:val="12"/>
              <w:jc w:val="center"/>
            </w:pPr>
            <w:r>
              <w:rPr>
                <w:rFonts w:hint="eastAsia"/>
              </w:rPr>
              <w:t>正南门城楼</w:t>
            </w:r>
          </w:p>
        </w:tc>
        <w:tc>
          <w:tcPr>
            <w:tcW w:w="988" w:type="pct"/>
            <w:vAlign w:val="center"/>
          </w:tcPr>
          <w:p w14:paraId="0D06A625">
            <w:pPr>
              <w:pStyle w:val="12"/>
              <w:jc w:val="center"/>
            </w:pPr>
            <w:r>
              <w:rPr>
                <w:rFonts w:hint="eastAsia"/>
              </w:rPr>
              <w:t>宋至清</w:t>
            </w:r>
          </w:p>
        </w:tc>
        <w:tc>
          <w:tcPr>
            <w:tcW w:w="466" w:type="pct"/>
            <w:vAlign w:val="center"/>
          </w:tcPr>
          <w:p w14:paraId="3824BA64">
            <w:pPr>
              <w:pStyle w:val="12"/>
              <w:jc w:val="center"/>
            </w:pPr>
            <w:r>
              <w:rPr>
                <w:rFonts w:hint="eastAsia"/>
              </w:rPr>
              <w:t>省级</w:t>
            </w:r>
          </w:p>
        </w:tc>
        <w:tc>
          <w:tcPr>
            <w:tcW w:w="969" w:type="pct"/>
            <w:vAlign w:val="center"/>
          </w:tcPr>
          <w:p w14:paraId="63F02CFF">
            <w:pPr>
              <w:pStyle w:val="12"/>
              <w:jc w:val="center"/>
            </w:pPr>
            <w:r>
              <w:rPr>
                <w:rFonts w:hint="eastAsia"/>
              </w:rPr>
              <w:t>2002年7月</w:t>
            </w:r>
          </w:p>
        </w:tc>
        <w:tc>
          <w:tcPr>
            <w:tcW w:w="1065" w:type="pct"/>
            <w:vAlign w:val="center"/>
          </w:tcPr>
          <w:p w14:paraId="4A0B5725">
            <w:pPr>
              <w:pStyle w:val="12"/>
              <w:jc w:val="center"/>
            </w:pPr>
            <w:r>
              <w:rPr>
                <w:rFonts w:hint="eastAsia"/>
              </w:rPr>
              <w:t>南雄市区中山街</w:t>
            </w:r>
          </w:p>
        </w:tc>
      </w:tr>
      <w:tr w14:paraId="468FF1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0040FFEC">
            <w:pPr>
              <w:pStyle w:val="12"/>
              <w:jc w:val="center"/>
            </w:pPr>
            <w:r>
              <w:rPr>
                <w:rFonts w:hint="eastAsia"/>
              </w:rPr>
              <w:t>6</w:t>
            </w:r>
          </w:p>
        </w:tc>
        <w:tc>
          <w:tcPr>
            <w:tcW w:w="1163" w:type="pct"/>
            <w:vAlign w:val="center"/>
          </w:tcPr>
          <w:p w14:paraId="3BDF9791">
            <w:pPr>
              <w:pStyle w:val="12"/>
              <w:jc w:val="center"/>
            </w:pPr>
            <w:r>
              <w:rPr>
                <w:rFonts w:hint="eastAsia"/>
              </w:rPr>
              <w:t>广州会馆</w:t>
            </w:r>
          </w:p>
        </w:tc>
        <w:tc>
          <w:tcPr>
            <w:tcW w:w="988" w:type="pct"/>
            <w:vAlign w:val="center"/>
          </w:tcPr>
          <w:p w14:paraId="48292406">
            <w:pPr>
              <w:pStyle w:val="12"/>
              <w:jc w:val="center"/>
            </w:pPr>
            <w:r>
              <w:rPr>
                <w:rFonts w:hint="eastAsia"/>
              </w:rPr>
              <w:t>明至清</w:t>
            </w:r>
          </w:p>
        </w:tc>
        <w:tc>
          <w:tcPr>
            <w:tcW w:w="466" w:type="pct"/>
            <w:vAlign w:val="center"/>
          </w:tcPr>
          <w:p w14:paraId="6CE4EBBD">
            <w:pPr>
              <w:pStyle w:val="12"/>
              <w:jc w:val="center"/>
            </w:pPr>
            <w:r>
              <w:rPr>
                <w:rFonts w:hint="eastAsia"/>
              </w:rPr>
              <w:t>省级</w:t>
            </w:r>
          </w:p>
        </w:tc>
        <w:tc>
          <w:tcPr>
            <w:tcW w:w="969" w:type="pct"/>
            <w:vAlign w:val="center"/>
          </w:tcPr>
          <w:p w14:paraId="16967C5B">
            <w:pPr>
              <w:pStyle w:val="12"/>
              <w:jc w:val="center"/>
            </w:pPr>
            <w:r>
              <w:rPr>
                <w:rFonts w:hint="eastAsia"/>
              </w:rPr>
              <w:t>2002年7月</w:t>
            </w:r>
          </w:p>
        </w:tc>
        <w:tc>
          <w:tcPr>
            <w:tcW w:w="1065" w:type="pct"/>
            <w:vAlign w:val="center"/>
          </w:tcPr>
          <w:p w14:paraId="7D39B8CA">
            <w:pPr>
              <w:pStyle w:val="12"/>
              <w:jc w:val="center"/>
            </w:pPr>
            <w:r>
              <w:rPr>
                <w:rFonts w:hint="eastAsia"/>
              </w:rPr>
              <w:t>南雄市区埠前街</w:t>
            </w:r>
          </w:p>
        </w:tc>
      </w:tr>
      <w:tr w14:paraId="2F009D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109A4478">
            <w:pPr>
              <w:pStyle w:val="12"/>
              <w:jc w:val="center"/>
            </w:pPr>
            <w:r>
              <w:rPr>
                <w:rFonts w:hint="eastAsia"/>
              </w:rPr>
              <w:t>7</w:t>
            </w:r>
          </w:p>
        </w:tc>
        <w:tc>
          <w:tcPr>
            <w:tcW w:w="1163" w:type="pct"/>
            <w:vAlign w:val="center"/>
          </w:tcPr>
          <w:p w14:paraId="7161C7FD">
            <w:pPr>
              <w:pStyle w:val="12"/>
              <w:jc w:val="center"/>
            </w:pPr>
            <w:r>
              <w:rPr>
                <w:rFonts w:hint="eastAsia"/>
              </w:rPr>
              <w:t>珠玑古巷（含牌楼）</w:t>
            </w:r>
          </w:p>
        </w:tc>
        <w:tc>
          <w:tcPr>
            <w:tcW w:w="988" w:type="pct"/>
            <w:vAlign w:val="center"/>
          </w:tcPr>
          <w:p w14:paraId="3C5BE060">
            <w:pPr>
              <w:pStyle w:val="12"/>
              <w:jc w:val="center"/>
            </w:pPr>
            <w:r>
              <w:rPr>
                <w:rFonts w:hint="eastAsia"/>
              </w:rPr>
              <w:t>唐至清</w:t>
            </w:r>
          </w:p>
        </w:tc>
        <w:tc>
          <w:tcPr>
            <w:tcW w:w="466" w:type="pct"/>
            <w:vAlign w:val="center"/>
          </w:tcPr>
          <w:p w14:paraId="30B0FB59">
            <w:pPr>
              <w:pStyle w:val="12"/>
              <w:jc w:val="center"/>
            </w:pPr>
            <w:r>
              <w:rPr>
                <w:rFonts w:hint="eastAsia"/>
              </w:rPr>
              <w:t>市级</w:t>
            </w:r>
          </w:p>
        </w:tc>
        <w:tc>
          <w:tcPr>
            <w:tcW w:w="969" w:type="pct"/>
            <w:vAlign w:val="center"/>
          </w:tcPr>
          <w:p w14:paraId="14542FCD">
            <w:pPr>
              <w:pStyle w:val="12"/>
              <w:jc w:val="center"/>
            </w:pPr>
            <w:r>
              <w:rPr>
                <w:rFonts w:hint="eastAsia"/>
              </w:rPr>
              <w:t>1982年5月21日</w:t>
            </w:r>
          </w:p>
        </w:tc>
        <w:tc>
          <w:tcPr>
            <w:tcW w:w="1065" w:type="pct"/>
            <w:vAlign w:val="center"/>
          </w:tcPr>
          <w:p w14:paraId="24FA8339">
            <w:pPr>
              <w:pStyle w:val="12"/>
              <w:jc w:val="center"/>
            </w:pPr>
            <w:r>
              <w:rPr>
                <w:rFonts w:hint="eastAsia"/>
              </w:rPr>
              <w:t>珠玑镇</w:t>
            </w:r>
          </w:p>
        </w:tc>
      </w:tr>
      <w:tr w14:paraId="1C7EFA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744FD65E">
            <w:pPr>
              <w:pStyle w:val="12"/>
              <w:jc w:val="center"/>
            </w:pPr>
            <w:r>
              <w:rPr>
                <w:rFonts w:hint="eastAsia"/>
              </w:rPr>
              <w:t>8</w:t>
            </w:r>
          </w:p>
        </w:tc>
        <w:tc>
          <w:tcPr>
            <w:tcW w:w="1163" w:type="pct"/>
            <w:vAlign w:val="center"/>
          </w:tcPr>
          <w:p w14:paraId="39A69A1E">
            <w:pPr>
              <w:pStyle w:val="12"/>
              <w:jc w:val="center"/>
            </w:pPr>
            <w:r>
              <w:rPr>
                <w:rFonts w:hint="eastAsia"/>
              </w:rPr>
              <w:t>许村塔</w:t>
            </w:r>
          </w:p>
        </w:tc>
        <w:tc>
          <w:tcPr>
            <w:tcW w:w="988" w:type="pct"/>
            <w:vAlign w:val="center"/>
          </w:tcPr>
          <w:p w14:paraId="3E235CC5">
            <w:pPr>
              <w:pStyle w:val="12"/>
              <w:jc w:val="center"/>
            </w:pPr>
            <w:r>
              <w:rPr>
                <w:rFonts w:hint="eastAsia"/>
              </w:rPr>
              <w:t>北宋</w:t>
            </w:r>
          </w:p>
        </w:tc>
        <w:tc>
          <w:tcPr>
            <w:tcW w:w="466" w:type="pct"/>
            <w:vAlign w:val="center"/>
          </w:tcPr>
          <w:p w14:paraId="2087CCB9">
            <w:pPr>
              <w:pStyle w:val="12"/>
              <w:jc w:val="center"/>
            </w:pPr>
            <w:r>
              <w:rPr>
                <w:rFonts w:hint="eastAsia"/>
              </w:rPr>
              <w:t>市级</w:t>
            </w:r>
          </w:p>
        </w:tc>
        <w:tc>
          <w:tcPr>
            <w:tcW w:w="969" w:type="pct"/>
            <w:vAlign w:val="center"/>
          </w:tcPr>
          <w:p w14:paraId="1EEDFC71">
            <w:pPr>
              <w:pStyle w:val="12"/>
              <w:jc w:val="center"/>
            </w:pPr>
            <w:r>
              <w:rPr>
                <w:rFonts w:hint="eastAsia"/>
              </w:rPr>
              <w:t>1982年5月21日</w:t>
            </w:r>
          </w:p>
        </w:tc>
        <w:tc>
          <w:tcPr>
            <w:tcW w:w="1065" w:type="pct"/>
            <w:vAlign w:val="center"/>
          </w:tcPr>
          <w:p w14:paraId="4AD96D6F">
            <w:pPr>
              <w:pStyle w:val="12"/>
              <w:jc w:val="center"/>
            </w:pPr>
            <w:r>
              <w:rPr>
                <w:rFonts w:hint="eastAsia"/>
              </w:rPr>
              <w:t>黄坑镇许村</w:t>
            </w:r>
          </w:p>
        </w:tc>
      </w:tr>
      <w:tr w14:paraId="1DFDB4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43E34D5C">
            <w:pPr>
              <w:pStyle w:val="12"/>
              <w:jc w:val="center"/>
            </w:pPr>
            <w:r>
              <w:rPr>
                <w:rFonts w:hint="eastAsia"/>
              </w:rPr>
              <w:t>9</w:t>
            </w:r>
          </w:p>
        </w:tc>
        <w:tc>
          <w:tcPr>
            <w:tcW w:w="1163" w:type="pct"/>
            <w:vAlign w:val="center"/>
          </w:tcPr>
          <w:p w14:paraId="334E2645">
            <w:pPr>
              <w:pStyle w:val="12"/>
              <w:jc w:val="center"/>
            </w:pPr>
            <w:r>
              <w:rPr>
                <w:rFonts w:hint="eastAsia"/>
              </w:rPr>
              <w:t>新龙塔</w:t>
            </w:r>
          </w:p>
        </w:tc>
        <w:tc>
          <w:tcPr>
            <w:tcW w:w="988" w:type="pct"/>
            <w:vAlign w:val="center"/>
          </w:tcPr>
          <w:p w14:paraId="1E0602D1">
            <w:pPr>
              <w:pStyle w:val="12"/>
              <w:jc w:val="center"/>
            </w:pPr>
            <w:r>
              <w:rPr>
                <w:rFonts w:hint="eastAsia"/>
              </w:rPr>
              <w:t>宋</w:t>
            </w:r>
          </w:p>
        </w:tc>
        <w:tc>
          <w:tcPr>
            <w:tcW w:w="466" w:type="pct"/>
            <w:vAlign w:val="center"/>
          </w:tcPr>
          <w:p w14:paraId="2781DDAA">
            <w:pPr>
              <w:pStyle w:val="12"/>
              <w:jc w:val="center"/>
            </w:pPr>
            <w:r>
              <w:rPr>
                <w:rFonts w:hint="eastAsia"/>
              </w:rPr>
              <w:t>市级</w:t>
            </w:r>
          </w:p>
        </w:tc>
        <w:tc>
          <w:tcPr>
            <w:tcW w:w="969" w:type="pct"/>
            <w:vAlign w:val="center"/>
          </w:tcPr>
          <w:p w14:paraId="3BDC64AB">
            <w:pPr>
              <w:pStyle w:val="12"/>
              <w:jc w:val="center"/>
            </w:pPr>
            <w:r>
              <w:rPr>
                <w:rFonts w:hint="eastAsia"/>
              </w:rPr>
              <w:t>1982年5月21日</w:t>
            </w:r>
          </w:p>
        </w:tc>
        <w:tc>
          <w:tcPr>
            <w:tcW w:w="1065" w:type="pct"/>
            <w:vAlign w:val="center"/>
          </w:tcPr>
          <w:p w14:paraId="7E977647">
            <w:pPr>
              <w:pStyle w:val="12"/>
              <w:jc w:val="center"/>
            </w:pPr>
            <w:r>
              <w:rPr>
                <w:rFonts w:hint="eastAsia"/>
              </w:rPr>
              <w:t>坪田镇龙口村</w:t>
            </w:r>
          </w:p>
        </w:tc>
      </w:tr>
      <w:tr w14:paraId="4602F3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5DEAD74A">
            <w:pPr>
              <w:pStyle w:val="12"/>
              <w:jc w:val="center"/>
            </w:pPr>
            <w:r>
              <w:rPr>
                <w:rFonts w:hint="eastAsia"/>
              </w:rPr>
              <w:t>10</w:t>
            </w:r>
          </w:p>
        </w:tc>
        <w:tc>
          <w:tcPr>
            <w:tcW w:w="1163" w:type="pct"/>
            <w:vAlign w:val="center"/>
          </w:tcPr>
          <w:p w14:paraId="4A1A90D1">
            <w:pPr>
              <w:pStyle w:val="12"/>
              <w:jc w:val="center"/>
            </w:pPr>
            <w:r>
              <w:rPr>
                <w:rFonts w:hint="eastAsia"/>
              </w:rPr>
              <w:t>平林惜字塔</w:t>
            </w:r>
          </w:p>
        </w:tc>
        <w:tc>
          <w:tcPr>
            <w:tcW w:w="988" w:type="pct"/>
            <w:vAlign w:val="center"/>
          </w:tcPr>
          <w:p w14:paraId="54694193">
            <w:pPr>
              <w:pStyle w:val="12"/>
              <w:jc w:val="center"/>
            </w:pPr>
            <w:r>
              <w:rPr>
                <w:rFonts w:hint="eastAsia"/>
              </w:rPr>
              <w:t>明</w:t>
            </w:r>
          </w:p>
        </w:tc>
        <w:tc>
          <w:tcPr>
            <w:tcW w:w="466" w:type="pct"/>
            <w:vAlign w:val="center"/>
          </w:tcPr>
          <w:p w14:paraId="48303670">
            <w:pPr>
              <w:pStyle w:val="12"/>
              <w:jc w:val="center"/>
            </w:pPr>
            <w:r>
              <w:rPr>
                <w:rFonts w:hint="eastAsia"/>
              </w:rPr>
              <w:t>市级</w:t>
            </w:r>
          </w:p>
        </w:tc>
        <w:tc>
          <w:tcPr>
            <w:tcW w:w="969" w:type="pct"/>
            <w:vAlign w:val="center"/>
          </w:tcPr>
          <w:p w14:paraId="6CD612C3">
            <w:pPr>
              <w:pStyle w:val="12"/>
              <w:jc w:val="center"/>
            </w:pPr>
            <w:r>
              <w:rPr>
                <w:rFonts w:hint="eastAsia"/>
              </w:rPr>
              <w:t>1982年5月21日</w:t>
            </w:r>
          </w:p>
        </w:tc>
        <w:tc>
          <w:tcPr>
            <w:tcW w:w="1065" w:type="pct"/>
            <w:vAlign w:val="center"/>
          </w:tcPr>
          <w:p w14:paraId="196EB460">
            <w:pPr>
              <w:pStyle w:val="12"/>
              <w:jc w:val="center"/>
            </w:pPr>
            <w:r>
              <w:rPr>
                <w:rFonts w:hint="eastAsia"/>
              </w:rPr>
              <w:t>油山镇平林村</w:t>
            </w:r>
          </w:p>
        </w:tc>
      </w:tr>
      <w:tr w14:paraId="22B546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2F9402B6">
            <w:pPr>
              <w:pStyle w:val="12"/>
              <w:jc w:val="center"/>
            </w:pPr>
            <w:r>
              <w:rPr>
                <w:rFonts w:hint="eastAsia"/>
              </w:rPr>
              <w:t>11</w:t>
            </w:r>
          </w:p>
        </w:tc>
        <w:tc>
          <w:tcPr>
            <w:tcW w:w="1163" w:type="pct"/>
            <w:vAlign w:val="center"/>
          </w:tcPr>
          <w:p w14:paraId="03124B0B">
            <w:pPr>
              <w:pStyle w:val="12"/>
              <w:jc w:val="center"/>
            </w:pPr>
            <w:r>
              <w:rPr>
                <w:rFonts w:hint="eastAsia"/>
              </w:rPr>
              <w:t>上朔塔</w:t>
            </w:r>
          </w:p>
        </w:tc>
        <w:tc>
          <w:tcPr>
            <w:tcW w:w="988" w:type="pct"/>
            <w:vAlign w:val="center"/>
          </w:tcPr>
          <w:p w14:paraId="61A9DF3F">
            <w:pPr>
              <w:pStyle w:val="12"/>
              <w:jc w:val="center"/>
            </w:pPr>
            <w:r>
              <w:rPr>
                <w:rFonts w:hint="eastAsia"/>
              </w:rPr>
              <w:t>清</w:t>
            </w:r>
          </w:p>
        </w:tc>
        <w:tc>
          <w:tcPr>
            <w:tcW w:w="466" w:type="pct"/>
            <w:vAlign w:val="center"/>
          </w:tcPr>
          <w:p w14:paraId="4ECAF880">
            <w:pPr>
              <w:pStyle w:val="12"/>
              <w:jc w:val="center"/>
            </w:pPr>
            <w:r>
              <w:rPr>
                <w:rFonts w:hint="eastAsia"/>
              </w:rPr>
              <w:t>市级</w:t>
            </w:r>
          </w:p>
        </w:tc>
        <w:tc>
          <w:tcPr>
            <w:tcW w:w="969" w:type="pct"/>
            <w:vAlign w:val="center"/>
          </w:tcPr>
          <w:p w14:paraId="61E16DA4">
            <w:pPr>
              <w:pStyle w:val="12"/>
              <w:jc w:val="center"/>
            </w:pPr>
            <w:r>
              <w:rPr>
                <w:rFonts w:hint="eastAsia"/>
              </w:rPr>
              <w:t>1982年5月21日</w:t>
            </w:r>
          </w:p>
        </w:tc>
        <w:tc>
          <w:tcPr>
            <w:tcW w:w="1065" w:type="pct"/>
            <w:vAlign w:val="center"/>
          </w:tcPr>
          <w:p w14:paraId="086D0115">
            <w:pPr>
              <w:pStyle w:val="12"/>
              <w:jc w:val="center"/>
            </w:pPr>
            <w:r>
              <w:rPr>
                <w:rFonts w:hint="eastAsia"/>
              </w:rPr>
              <w:t>油山镇上朔村</w:t>
            </w:r>
          </w:p>
        </w:tc>
      </w:tr>
      <w:tr w14:paraId="2D1165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575EB75D">
            <w:pPr>
              <w:pStyle w:val="12"/>
              <w:jc w:val="center"/>
            </w:pPr>
            <w:r>
              <w:rPr>
                <w:rFonts w:hint="eastAsia"/>
              </w:rPr>
              <w:t>12</w:t>
            </w:r>
          </w:p>
        </w:tc>
        <w:tc>
          <w:tcPr>
            <w:tcW w:w="1163" w:type="pct"/>
            <w:vAlign w:val="center"/>
          </w:tcPr>
          <w:p w14:paraId="3DAF1B2C">
            <w:pPr>
              <w:pStyle w:val="12"/>
              <w:jc w:val="center"/>
            </w:pPr>
            <w:r>
              <w:rPr>
                <w:rFonts w:hint="eastAsia"/>
              </w:rPr>
              <w:t>南雄县苏维埃政府遗址</w:t>
            </w:r>
          </w:p>
        </w:tc>
        <w:tc>
          <w:tcPr>
            <w:tcW w:w="988" w:type="pct"/>
            <w:vAlign w:val="center"/>
          </w:tcPr>
          <w:p w14:paraId="3A98B7BC">
            <w:pPr>
              <w:pStyle w:val="12"/>
              <w:jc w:val="center"/>
            </w:pPr>
            <w:r>
              <w:rPr>
                <w:rFonts w:hint="eastAsia"/>
              </w:rPr>
              <w:t>大革命时期</w:t>
            </w:r>
          </w:p>
        </w:tc>
        <w:tc>
          <w:tcPr>
            <w:tcW w:w="466" w:type="pct"/>
            <w:vAlign w:val="center"/>
          </w:tcPr>
          <w:p w14:paraId="49EB01F4">
            <w:pPr>
              <w:pStyle w:val="12"/>
              <w:jc w:val="center"/>
            </w:pPr>
            <w:r>
              <w:rPr>
                <w:rFonts w:hint="eastAsia"/>
              </w:rPr>
              <w:t>市级</w:t>
            </w:r>
          </w:p>
        </w:tc>
        <w:tc>
          <w:tcPr>
            <w:tcW w:w="969" w:type="pct"/>
            <w:vAlign w:val="center"/>
          </w:tcPr>
          <w:p w14:paraId="4918E35F">
            <w:pPr>
              <w:pStyle w:val="12"/>
              <w:jc w:val="center"/>
            </w:pPr>
            <w:r>
              <w:rPr>
                <w:rFonts w:hint="eastAsia"/>
              </w:rPr>
              <w:t>1982年5月21日</w:t>
            </w:r>
          </w:p>
        </w:tc>
        <w:tc>
          <w:tcPr>
            <w:tcW w:w="1065" w:type="pct"/>
            <w:vAlign w:val="center"/>
          </w:tcPr>
          <w:p w14:paraId="0B5AA80A">
            <w:pPr>
              <w:pStyle w:val="12"/>
              <w:jc w:val="center"/>
            </w:pPr>
            <w:r>
              <w:rPr>
                <w:rFonts w:hint="eastAsia"/>
              </w:rPr>
              <w:t>油山镇上朔村</w:t>
            </w:r>
          </w:p>
        </w:tc>
      </w:tr>
      <w:tr w14:paraId="2FC86B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63ACA395">
            <w:pPr>
              <w:pStyle w:val="12"/>
              <w:jc w:val="center"/>
            </w:pPr>
            <w:r>
              <w:rPr>
                <w:rFonts w:hint="eastAsia"/>
              </w:rPr>
              <w:t>13</w:t>
            </w:r>
          </w:p>
        </w:tc>
        <w:tc>
          <w:tcPr>
            <w:tcW w:w="1163" w:type="pct"/>
            <w:vAlign w:val="center"/>
          </w:tcPr>
          <w:p w14:paraId="6EC2A981">
            <w:pPr>
              <w:pStyle w:val="12"/>
              <w:jc w:val="center"/>
            </w:pPr>
            <w:r>
              <w:rPr>
                <w:rFonts w:hint="eastAsia"/>
              </w:rPr>
              <w:t>红军标语、漫画</w:t>
            </w:r>
          </w:p>
        </w:tc>
        <w:tc>
          <w:tcPr>
            <w:tcW w:w="988" w:type="pct"/>
            <w:vAlign w:val="center"/>
          </w:tcPr>
          <w:p w14:paraId="387FC263">
            <w:pPr>
              <w:pStyle w:val="12"/>
              <w:jc w:val="center"/>
            </w:pPr>
            <w:r>
              <w:rPr>
                <w:rFonts w:hint="eastAsia"/>
              </w:rPr>
              <w:t>1932年</w:t>
            </w:r>
          </w:p>
        </w:tc>
        <w:tc>
          <w:tcPr>
            <w:tcW w:w="466" w:type="pct"/>
            <w:vAlign w:val="center"/>
          </w:tcPr>
          <w:p w14:paraId="623EEBD6">
            <w:pPr>
              <w:pStyle w:val="12"/>
              <w:jc w:val="center"/>
            </w:pPr>
            <w:r>
              <w:rPr>
                <w:rFonts w:hint="eastAsia"/>
              </w:rPr>
              <w:t>市级</w:t>
            </w:r>
          </w:p>
        </w:tc>
        <w:tc>
          <w:tcPr>
            <w:tcW w:w="969" w:type="pct"/>
            <w:vAlign w:val="center"/>
          </w:tcPr>
          <w:p w14:paraId="5D3F930D">
            <w:pPr>
              <w:pStyle w:val="12"/>
              <w:jc w:val="center"/>
            </w:pPr>
            <w:r>
              <w:rPr>
                <w:rFonts w:hint="eastAsia"/>
              </w:rPr>
              <w:t>1982年5月21日</w:t>
            </w:r>
          </w:p>
        </w:tc>
        <w:tc>
          <w:tcPr>
            <w:tcW w:w="1065" w:type="pct"/>
            <w:vAlign w:val="center"/>
          </w:tcPr>
          <w:p w14:paraId="453EAB2C">
            <w:pPr>
              <w:pStyle w:val="12"/>
              <w:jc w:val="center"/>
            </w:pPr>
            <w:r>
              <w:rPr>
                <w:rFonts w:hint="eastAsia"/>
              </w:rPr>
              <w:t>南亩镇鱼鲜村</w:t>
            </w:r>
          </w:p>
        </w:tc>
      </w:tr>
      <w:tr w14:paraId="16827B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25C5813F">
            <w:pPr>
              <w:pStyle w:val="12"/>
              <w:jc w:val="center"/>
            </w:pPr>
            <w:r>
              <w:rPr>
                <w:rFonts w:hint="eastAsia"/>
              </w:rPr>
              <w:t>14</w:t>
            </w:r>
          </w:p>
        </w:tc>
        <w:tc>
          <w:tcPr>
            <w:tcW w:w="1163" w:type="pct"/>
            <w:vAlign w:val="center"/>
          </w:tcPr>
          <w:p w14:paraId="296F3A9D">
            <w:pPr>
              <w:pStyle w:val="12"/>
              <w:jc w:val="center"/>
            </w:pPr>
            <w:r>
              <w:rPr>
                <w:rFonts w:hint="eastAsia"/>
              </w:rPr>
              <w:t>红军标语</w:t>
            </w:r>
          </w:p>
        </w:tc>
        <w:tc>
          <w:tcPr>
            <w:tcW w:w="988" w:type="pct"/>
            <w:vAlign w:val="center"/>
          </w:tcPr>
          <w:p w14:paraId="44E3B989">
            <w:pPr>
              <w:pStyle w:val="12"/>
              <w:jc w:val="center"/>
            </w:pPr>
            <w:r>
              <w:rPr>
                <w:rFonts w:hint="eastAsia"/>
              </w:rPr>
              <w:t>1932年</w:t>
            </w:r>
          </w:p>
        </w:tc>
        <w:tc>
          <w:tcPr>
            <w:tcW w:w="466" w:type="pct"/>
            <w:vAlign w:val="center"/>
          </w:tcPr>
          <w:p w14:paraId="27EF1737">
            <w:pPr>
              <w:pStyle w:val="12"/>
              <w:jc w:val="center"/>
            </w:pPr>
            <w:r>
              <w:rPr>
                <w:rFonts w:hint="eastAsia"/>
              </w:rPr>
              <w:t>市级</w:t>
            </w:r>
          </w:p>
        </w:tc>
        <w:tc>
          <w:tcPr>
            <w:tcW w:w="969" w:type="pct"/>
            <w:vAlign w:val="center"/>
          </w:tcPr>
          <w:p w14:paraId="5286A98F">
            <w:pPr>
              <w:pStyle w:val="12"/>
              <w:jc w:val="center"/>
            </w:pPr>
            <w:r>
              <w:rPr>
                <w:rFonts w:hint="eastAsia"/>
              </w:rPr>
              <w:t>1982年5月21日</w:t>
            </w:r>
          </w:p>
        </w:tc>
        <w:tc>
          <w:tcPr>
            <w:tcW w:w="1065" w:type="pct"/>
            <w:vAlign w:val="center"/>
          </w:tcPr>
          <w:p w14:paraId="6DA323F0">
            <w:pPr>
              <w:pStyle w:val="12"/>
              <w:jc w:val="center"/>
            </w:pPr>
            <w:r>
              <w:rPr>
                <w:rFonts w:hint="eastAsia"/>
              </w:rPr>
              <w:t>水口镇篛过陈屋、云西钟屋</w:t>
            </w:r>
          </w:p>
        </w:tc>
      </w:tr>
      <w:tr w14:paraId="5F7AAE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44CFDB44">
            <w:pPr>
              <w:pStyle w:val="12"/>
              <w:jc w:val="center"/>
            </w:pPr>
            <w:r>
              <w:rPr>
                <w:rFonts w:hint="eastAsia"/>
              </w:rPr>
              <w:t>15</w:t>
            </w:r>
          </w:p>
        </w:tc>
        <w:tc>
          <w:tcPr>
            <w:tcW w:w="1163" w:type="pct"/>
            <w:vAlign w:val="center"/>
          </w:tcPr>
          <w:p w14:paraId="3DB628DB">
            <w:pPr>
              <w:pStyle w:val="12"/>
              <w:jc w:val="center"/>
            </w:pPr>
            <w:r>
              <w:rPr>
                <w:rFonts w:hint="eastAsia"/>
              </w:rPr>
              <w:t>红军标语</w:t>
            </w:r>
          </w:p>
        </w:tc>
        <w:tc>
          <w:tcPr>
            <w:tcW w:w="988" w:type="pct"/>
            <w:vAlign w:val="center"/>
          </w:tcPr>
          <w:p w14:paraId="54CD9067">
            <w:pPr>
              <w:pStyle w:val="12"/>
              <w:jc w:val="center"/>
            </w:pPr>
            <w:r>
              <w:rPr>
                <w:rFonts w:hint="eastAsia"/>
              </w:rPr>
              <w:t>1932年</w:t>
            </w:r>
          </w:p>
        </w:tc>
        <w:tc>
          <w:tcPr>
            <w:tcW w:w="466" w:type="pct"/>
            <w:vAlign w:val="center"/>
          </w:tcPr>
          <w:p w14:paraId="1A5E7E24">
            <w:pPr>
              <w:pStyle w:val="12"/>
              <w:jc w:val="center"/>
            </w:pPr>
            <w:r>
              <w:rPr>
                <w:rFonts w:hint="eastAsia"/>
              </w:rPr>
              <w:t>市级</w:t>
            </w:r>
          </w:p>
        </w:tc>
        <w:tc>
          <w:tcPr>
            <w:tcW w:w="969" w:type="pct"/>
            <w:vAlign w:val="center"/>
          </w:tcPr>
          <w:p w14:paraId="1CFBD480">
            <w:pPr>
              <w:pStyle w:val="12"/>
              <w:jc w:val="center"/>
            </w:pPr>
            <w:r>
              <w:rPr>
                <w:rFonts w:hint="eastAsia"/>
              </w:rPr>
              <w:t>1982年5月21日</w:t>
            </w:r>
          </w:p>
        </w:tc>
        <w:tc>
          <w:tcPr>
            <w:tcW w:w="1065" w:type="pct"/>
            <w:vAlign w:val="center"/>
          </w:tcPr>
          <w:p w14:paraId="2E5A43A0">
            <w:pPr>
              <w:pStyle w:val="12"/>
              <w:jc w:val="center"/>
            </w:pPr>
            <w:r>
              <w:rPr>
                <w:rFonts w:hint="eastAsia"/>
              </w:rPr>
              <w:t>珠玑镇角湾、豪头、街尾头、中站</w:t>
            </w:r>
          </w:p>
        </w:tc>
      </w:tr>
      <w:tr w14:paraId="20432A6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3D1E8374">
            <w:pPr>
              <w:pStyle w:val="12"/>
              <w:jc w:val="center"/>
            </w:pPr>
            <w:r>
              <w:rPr>
                <w:rFonts w:hint="eastAsia"/>
              </w:rPr>
              <w:t>16</w:t>
            </w:r>
          </w:p>
        </w:tc>
        <w:tc>
          <w:tcPr>
            <w:tcW w:w="1163" w:type="pct"/>
            <w:vAlign w:val="center"/>
          </w:tcPr>
          <w:p w14:paraId="3DAB7335">
            <w:pPr>
              <w:pStyle w:val="12"/>
              <w:jc w:val="center"/>
            </w:pPr>
            <w:r>
              <w:rPr>
                <w:rFonts w:hint="eastAsia"/>
              </w:rPr>
              <w:t>红军标语</w:t>
            </w:r>
          </w:p>
        </w:tc>
        <w:tc>
          <w:tcPr>
            <w:tcW w:w="988" w:type="pct"/>
            <w:vAlign w:val="center"/>
          </w:tcPr>
          <w:p w14:paraId="2B3B9050">
            <w:pPr>
              <w:pStyle w:val="12"/>
              <w:jc w:val="center"/>
            </w:pPr>
            <w:r>
              <w:rPr>
                <w:rFonts w:hint="eastAsia"/>
              </w:rPr>
              <w:t>1929年至1934年</w:t>
            </w:r>
          </w:p>
        </w:tc>
        <w:tc>
          <w:tcPr>
            <w:tcW w:w="466" w:type="pct"/>
            <w:vAlign w:val="center"/>
          </w:tcPr>
          <w:p w14:paraId="36BE3F3E">
            <w:pPr>
              <w:pStyle w:val="12"/>
              <w:jc w:val="center"/>
            </w:pPr>
            <w:r>
              <w:rPr>
                <w:rFonts w:hint="eastAsia"/>
              </w:rPr>
              <w:t>市级</w:t>
            </w:r>
          </w:p>
        </w:tc>
        <w:tc>
          <w:tcPr>
            <w:tcW w:w="969" w:type="pct"/>
            <w:vAlign w:val="center"/>
          </w:tcPr>
          <w:p w14:paraId="5E95E640">
            <w:pPr>
              <w:pStyle w:val="12"/>
              <w:jc w:val="center"/>
            </w:pPr>
            <w:r>
              <w:rPr>
                <w:rFonts w:hint="eastAsia"/>
              </w:rPr>
              <w:t>1982年5月21日</w:t>
            </w:r>
          </w:p>
        </w:tc>
        <w:tc>
          <w:tcPr>
            <w:tcW w:w="1065" w:type="pct"/>
            <w:vAlign w:val="center"/>
          </w:tcPr>
          <w:p w14:paraId="12A1FB38">
            <w:pPr>
              <w:pStyle w:val="12"/>
              <w:jc w:val="center"/>
            </w:pPr>
            <w:r>
              <w:rPr>
                <w:rFonts w:hint="eastAsia"/>
              </w:rPr>
              <w:t>油山镇上朔、夹河口、中东村</w:t>
            </w:r>
          </w:p>
        </w:tc>
      </w:tr>
      <w:tr w14:paraId="05CBAF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2E676DA4">
            <w:pPr>
              <w:pStyle w:val="12"/>
              <w:jc w:val="center"/>
            </w:pPr>
            <w:r>
              <w:rPr>
                <w:rFonts w:hint="eastAsia"/>
              </w:rPr>
              <w:t>17</w:t>
            </w:r>
          </w:p>
        </w:tc>
        <w:tc>
          <w:tcPr>
            <w:tcW w:w="1163" w:type="pct"/>
            <w:vAlign w:val="center"/>
          </w:tcPr>
          <w:p w14:paraId="5CC4CADC">
            <w:pPr>
              <w:pStyle w:val="12"/>
              <w:jc w:val="center"/>
            </w:pPr>
            <w:r>
              <w:rPr>
                <w:rFonts w:hint="eastAsia"/>
              </w:rPr>
              <w:t>红军标语</w:t>
            </w:r>
          </w:p>
        </w:tc>
        <w:tc>
          <w:tcPr>
            <w:tcW w:w="988" w:type="pct"/>
            <w:vAlign w:val="center"/>
          </w:tcPr>
          <w:p w14:paraId="5C08DD8C">
            <w:pPr>
              <w:pStyle w:val="12"/>
              <w:jc w:val="center"/>
            </w:pPr>
            <w:r>
              <w:rPr>
                <w:rFonts w:hint="eastAsia"/>
              </w:rPr>
              <w:t>1935年</w:t>
            </w:r>
          </w:p>
        </w:tc>
        <w:tc>
          <w:tcPr>
            <w:tcW w:w="466" w:type="pct"/>
            <w:vAlign w:val="center"/>
          </w:tcPr>
          <w:p w14:paraId="0C711B22">
            <w:pPr>
              <w:pStyle w:val="12"/>
              <w:jc w:val="center"/>
            </w:pPr>
            <w:r>
              <w:rPr>
                <w:rFonts w:hint="eastAsia"/>
              </w:rPr>
              <w:t>市级</w:t>
            </w:r>
          </w:p>
        </w:tc>
        <w:tc>
          <w:tcPr>
            <w:tcW w:w="969" w:type="pct"/>
            <w:vAlign w:val="center"/>
          </w:tcPr>
          <w:p w14:paraId="65F2DA9D">
            <w:pPr>
              <w:pStyle w:val="12"/>
              <w:jc w:val="center"/>
            </w:pPr>
            <w:r>
              <w:rPr>
                <w:rFonts w:hint="eastAsia"/>
              </w:rPr>
              <w:t>1982年5月21日</w:t>
            </w:r>
          </w:p>
        </w:tc>
        <w:tc>
          <w:tcPr>
            <w:tcW w:w="1065" w:type="pct"/>
            <w:vAlign w:val="center"/>
          </w:tcPr>
          <w:p w14:paraId="0F7A4E4A">
            <w:pPr>
              <w:pStyle w:val="12"/>
              <w:jc w:val="center"/>
            </w:pPr>
            <w:r>
              <w:rPr>
                <w:rFonts w:hint="eastAsia"/>
              </w:rPr>
              <w:t>乌迳镇沧浪枫坑村</w:t>
            </w:r>
          </w:p>
        </w:tc>
      </w:tr>
      <w:tr w14:paraId="112E6A9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7176751F">
            <w:pPr>
              <w:pStyle w:val="12"/>
              <w:jc w:val="center"/>
            </w:pPr>
            <w:r>
              <w:rPr>
                <w:rFonts w:hint="eastAsia"/>
              </w:rPr>
              <w:t>18</w:t>
            </w:r>
          </w:p>
        </w:tc>
        <w:tc>
          <w:tcPr>
            <w:tcW w:w="1163" w:type="pct"/>
            <w:vAlign w:val="center"/>
          </w:tcPr>
          <w:p w14:paraId="7FDFFC8D">
            <w:pPr>
              <w:pStyle w:val="12"/>
              <w:jc w:val="center"/>
            </w:pPr>
            <w:r>
              <w:rPr>
                <w:rFonts w:hint="eastAsia"/>
              </w:rPr>
              <w:t>红军标语</w:t>
            </w:r>
          </w:p>
        </w:tc>
        <w:tc>
          <w:tcPr>
            <w:tcW w:w="988" w:type="pct"/>
            <w:vAlign w:val="center"/>
          </w:tcPr>
          <w:p w14:paraId="457A5862">
            <w:pPr>
              <w:pStyle w:val="12"/>
              <w:jc w:val="center"/>
            </w:pPr>
            <w:r>
              <w:rPr>
                <w:rFonts w:hint="eastAsia"/>
              </w:rPr>
              <w:t>1934年</w:t>
            </w:r>
          </w:p>
        </w:tc>
        <w:tc>
          <w:tcPr>
            <w:tcW w:w="466" w:type="pct"/>
            <w:vAlign w:val="center"/>
          </w:tcPr>
          <w:p w14:paraId="584C38F6">
            <w:pPr>
              <w:pStyle w:val="12"/>
              <w:jc w:val="center"/>
            </w:pPr>
            <w:r>
              <w:rPr>
                <w:rFonts w:hint="eastAsia"/>
              </w:rPr>
              <w:t>市级</w:t>
            </w:r>
          </w:p>
        </w:tc>
        <w:tc>
          <w:tcPr>
            <w:tcW w:w="969" w:type="pct"/>
            <w:vAlign w:val="center"/>
          </w:tcPr>
          <w:p w14:paraId="24E00579">
            <w:pPr>
              <w:pStyle w:val="12"/>
              <w:jc w:val="center"/>
            </w:pPr>
            <w:r>
              <w:rPr>
                <w:rFonts w:hint="eastAsia"/>
              </w:rPr>
              <w:t>1982年5月21日</w:t>
            </w:r>
          </w:p>
        </w:tc>
        <w:tc>
          <w:tcPr>
            <w:tcW w:w="1065" w:type="pct"/>
            <w:vAlign w:val="center"/>
          </w:tcPr>
          <w:p w14:paraId="7B730748">
            <w:pPr>
              <w:pStyle w:val="12"/>
              <w:jc w:val="center"/>
            </w:pPr>
            <w:r>
              <w:rPr>
                <w:rFonts w:hint="eastAsia"/>
              </w:rPr>
              <w:t>界址镇洋街、新汤村</w:t>
            </w:r>
          </w:p>
        </w:tc>
      </w:tr>
      <w:tr w14:paraId="48F597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5DCA6E6A">
            <w:pPr>
              <w:pStyle w:val="12"/>
              <w:jc w:val="center"/>
            </w:pPr>
            <w:r>
              <w:rPr>
                <w:rFonts w:hint="eastAsia"/>
              </w:rPr>
              <w:t>19</w:t>
            </w:r>
          </w:p>
        </w:tc>
        <w:tc>
          <w:tcPr>
            <w:tcW w:w="1163" w:type="pct"/>
            <w:vAlign w:val="center"/>
          </w:tcPr>
          <w:p w14:paraId="219734B6">
            <w:pPr>
              <w:pStyle w:val="12"/>
              <w:jc w:val="center"/>
            </w:pPr>
            <w:r>
              <w:rPr>
                <w:rFonts w:hint="eastAsia"/>
              </w:rPr>
              <w:t>红军标语</w:t>
            </w:r>
          </w:p>
        </w:tc>
        <w:tc>
          <w:tcPr>
            <w:tcW w:w="988" w:type="pct"/>
            <w:vAlign w:val="center"/>
          </w:tcPr>
          <w:p w14:paraId="520A721D">
            <w:pPr>
              <w:pStyle w:val="12"/>
              <w:jc w:val="center"/>
            </w:pPr>
            <w:r>
              <w:rPr>
                <w:rFonts w:hint="eastAsia"/>
              </w:rPr>
              <w:t>1929年至1934年</w:t>
            </w:r>
          </w:p>
        </w:tc>
        <w:tc>
          <w:tcPr>
            <w:tcW w:w="466" w:type="pct"/>
            <w:vAlign w:val="center"/>
          </w:tcPr>
          <w:p w14:paraId="20A4C83D">
            <w:pPr>
              <w:pStyle w:val="12"/>
              <w:jc w:val="center"/>
            </w:pPr>
            <w:r>
              <w:rPr>
                <w:rFonts w:hint="eastAsia"/>
              </w:rPr>
              <w:t>市级</w:t>
            </w:r>
          </w:p>
        </w:tc>
        <w:tc>
          <w:tcPr>
            <w:tcW w:w="969" w:type="pct"/>
            <w:vAlign w:val="center"/>
          </w:tcPr>
          <w:p w14:paraId="771FD1D4">
            <w:pPr>
              <w:pStyle w:val="12"/>
              <w:jc w:val="center"/>
            </w:pPr>
            <w:r>
              <w:rPr>
                <w:rFonts w:hint="eastAsia"/>
              </w:rPr>
              <w:t>1982年5月21日</w:t>
            </w:r>
          </w:p>
        </w:tc>
        <w:tc>
          <w:tcPr>
            <w:tcW w:w="1065" w:type="pct"/>
            <w:vAlign w:val="center"/>
          </w:tcPr>
          <w:p w14:paraId="62CB6228">
            <w:pPr>
              <w:pStyle w:val="12"/>
              <w:jc w:val="center"/>
            </w:pPr>
            <w:r>
              <w:rPr>
                <w:rFonts w:hint="eastAsia"/>
              </w:rPr>
              <w:t>珠玑镇灵潭村</w:t>
            </w:r>
          </w:p>
        </w:tc>
      </w:tr>
      <w:tr w14:paraId="6950F9C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360F41E6">
            <w:pPr>
              <w:pStyle w:val="12"/>
              <w:jc w:val="center"/>
            </w:pPr>
            <w:r>
              <w:rPr>
                <w:rFonts w:hint="eastAsia"/>
              </w:rPr>
              <w:t>20</w:t>
            </w:r>
          </w:p>
        </w:tc>
        <w:tc>
          <w:tcPr>
            <w:tcW w:w="1163" w:type="pct"/>
            <w:vAlign w:val="center"/>
          </w:tcPr>
          <w:p w14:paraId="641FACF0">
            <w:pPr>
              <w:pStyle w:val="12"/>
              <w:jc w:val="center"/>
            </w:pPr>
            <w:r>
              <w:rPr>
                <w:rFonts w:hint="eastAsia"/>
              </w:rPr>
              <w:t>罗佛寨红层保护区</w:t>
            </w:r>
          </w:p>
        </w:tc>
        <w:tc>
          <w:tcPr>
            <w:tcW w:w="988" w:type="pct"/>
            <w:vAlign w:val="center"/>
          </w:tcPr>
          <w:p w14:paraId="0D4B99F2">
            <w:pPr>
              <w:pStyle w:val="12"/>
              <w:jc w:val="center"/>
            </w:pPr>
            <w:r>
              <w:rPr>
                <w:rFonts w:hint="eastAsia"/>
              </w:rPr>
              <w:t>晚白垩纪至早第三纪</w:t>
            </w:r>
          </w:p>
        </w:tc>
        <w:tc>
          <w:tcPr>
            <w:tcW w:w="466" w:type="pct"/>
            <w:vAlign w:val="center"/>
          </w:tcPr>
          <w:p w14:paraId="19C831C6">
            <w:pPr>
              <w:pStyle w:val="12"/>
              <w:jc w:val="center"/>
            </w:pPr>
            <w:r>
              <w:rPr>
                <w:rFonts w:hint="eastAsia"/>
              </w:rPr>
              <w:t>省级</w:t>
            </w:r>
          </w:p>
        </w:tc>
        <w:tc>
          <w:tcPr>
            <w:tcW w:w="969" w:type="pct"/>
            <w:vAlign w:val="center"/>
          </w:tcPr>
          <w:p w14:paraId="03F9EC45">
            <w:pPr>
              <w:pStyle w:val="12"/>
              <w:jc w:val="center"/>
            </w:pPr>
            <w:r>
              <w:rPr>
                <w:rFonts w:hint="eastAsia"/>
              </w:rPr>
              <w:t>2005年4月</w:t>
            </w:r>
          </w:p>
        </w:tc>
        <w:tc>
          <w:tcPr>
            <w:tcW w:w="1065" w:type="pct"/>
            <w:vAlign w:val="center"/>
          </w:tcPr>
          <w:p w14:paraId="60471ED2">
            <w:pPr>
              <w:pStyle w:val="12"/>
              <w:jc w:val="center"/>
            </w:pPr>
            <w:r>
              <w:rPr>
                <w:rFonts w:hint="eastAsia"/>
              </w:rPr>
              <w:t>湖口镇罗佛寨村</w:t>
            </w:r>
          </w:p>
        </w:tc>
      </w:tr>
      <w:tr w14:paraId="175C06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7A170C1F">
            <w:pPr>
              <w:pStyle w:val="12"/>
              <w:jc w:val="center"/>
            </w:pPr>
            <w:r>
              <w:rPr>
                <w:rFonts w:hint="eastAsia"/>
              </w:rPr>
              <w:t>21</w:t>
            </w:r>
          </w:p>
        </w:tc>
        <w:tc>
          <w:tcPr>
            <w:tcW w:w="1163" w:type="pct"/>
            <w:vAlign w:val="center"/>
          </w:tcPr>
          <w:p w14:paraId="715996A7">
            <w:pPr>
              <w:pStyle w:val="12"/>
              <w:jc w:val="center"/>
            </w:pPr>
            <w:r>
              <w:rPr>
                <w:rFonts w:hint="eastAsia"/>
              </w:rPr>
              <w:t>松树坑红层保护区</w:t>
            </w:r>
          </w:p>
        </w:tc>
        <w:tc>
          <w:tcPr>
            <w:tcW w:w="988" w:type="pct"/>
            <w:vAlign w:val="center"/>
          </w:tcPr>
          <w:p w14:paraId="4C088BFA">
            <w:pPr>
              <w:pStyle w:val="12"/>
              <w:jc w:val="center"/>
            </w:pPr>
            <w:r>
              <w:rPr>
                <w:rFonts w:hint="eastAsia"/>
              </w:rPr>
              <w:t>早第三纪</w:t>
            </w:r>
          </w:p>
        </w:tc>
        <w:tc>
          <w:tcPr>
            <w:tcW w:w="466" w:type="pct"/>
            <w:vAlign w:val="center"/>
          </w:tcPr>
          <w:p w14:paraId="1E652EEE">
            <w:pPr>
              <w:pStyle w:val="12"/>
              <w:jc w:val="center"/>
            </w:pPr>
            <w:r>
              <w:rPr>
                <w:rFonts w:hint="eastAsia"/>
              </w:rPr>
              <w:t>省级</w:t>
            </w:r>
          </w:p>
        </w:tc>
        <w:tc>
          <w:tcPr>
            <w:tcW w:w="969" w:type="pct"/>
            <w:vAlign w:val="center"/>
          </w:tcPr>
          <w:p w14:paraId="531BAE8B">
            <w:pPr>
              <w:pStyle w:val="12"/>
              <w:jc w:val="center"/>
            </w:pPr>
            <w:r>
              <w:rPr>
                <w:rFonts w:hint="eastAsia"/>
              </w:rPr>
              <w:t>2005年4月</w:t>
            </w:r>
          </w:p>
        </w:tc>
        <w:tc>
          <w:tcPr>
            <w:tcW w:w="1065" w:type="pct"/>
            <w:vAlign w:val="center"/>
          </w:tcPr>
          <w:p w14:paraId="1849FBA3">
            <w:pPr>
              <w:pStyle w:val="12"/>
              <w:jc w:val="center"/>
            </w:pPr>
            <w:r>
              <w:rPr>
                <w:rFonts w:hint="eastAsia"/>
              </w:rPr>
              <w:t>南雄市区河南村</w:t>
            </w:r>
          </w:p>
        </w:tc>
      </w:tr>
      <w:tr w14:paraId="39AA9B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47A5EF9E">
            <w:pPr>
              <w:pStyle w:val="12"/>
              <w:jc w:val="center"/>
            </w:pPr>
            <w:r>
              <w:rPr>
                <w:rFonts w:hint="eastAsia"/>
              </w:rPr>
              <w:t>22</w:t>
            </w:r>
          </w:p>
        </w:tc>
        <w:tc>
          <w:tcPr>
            <w:tcW w:w="1163" w:type="pct"/>
            <w:vAlign w:val="center"/>
          </w:tcPr>
          <w:p w14:paraId="26CF4FA3">
            <w:pPr>
              <w:pStyle w:val="12"/>
              <w:jc w:val="center"/>
            </w:pPr>
            <w:r>
              <w:rPr>
                <w:rFonts w:hint="eastAsia"/>
              </w:rPr>
              <w:t>鹅颈岭红层保护区</w:t>
            </w:r>
          </w:p>
        </w:tc>
        <w:tc>
          <w:tcPr>
            <w:tcW w:w="988" w:type="pct"/>
            <w:vAlign w:val="center"/>
          </w:tcPr>
          <w:p w14:paraId="296F127F">
            <w:pPr>
              <w:pStyle w:val="12"/>
              <w:jc w:val="center"/>
            </w:pPr>
            <w:r>
              <w:rPr>
                <w:rFonts w:hint="eastAsia"/>
              </w:rPr>
              <w:t>晚白垩纪至早第三纪</w:t>
            </w:r>
          </w:p>
        </w:tc>
        <w:tc>
          <w:tcPr>
            <w:tcW w:w="466" w:type="pct"/>
            <w:vAlign w:val="center"/>
          </w:tcPr>
          <w:p w14:paraId="0C0182F2">
            <w:pPr>
              <w:pStyle w:val="12"/>
              <w:jc w:val="center"/>
            </w:pPr>
            <w:r>
              <w:rPr>
                <w:rFonts w:hint="eastAsia"/>
              </w:rPr>
              <w:t>省级</w:t>
            </w:r>
          </w:p>
        </w:tc>
        <w:tc>
          <w:tcPr>
            <w:tcW w:w="969" w:type="pct"/>
            <w:vAlign w:val="center"/>
          </w:tcPr>
          <w:p w14:paraId="730A9B74">
            <w:pPr>
              <w:pStyle w:val="12"/>
              <w:jc w:val="center"/>
            </w:pPr>
            <w:r>
              <w:rPr>
                <w:rFonts w:hint="eastAsia"/>
              </w:rPr>
              <w:t>2005年4月</w:t>
            </w:r>
          </w:p>
        </w:tc>
        <w:tc>
          <w:tcPr>
            <w:tcW w:w="1065" w:type="pct"/>
            <w:vAlign w:val="center"/>
          </w:tcPr>
          <w:p w14:paraId="419E7456">
            <w:pPr>
              <w:pStyle w:val="12"/>
              <w:jc w:val="center"/>
            </w:pPr>
            <w:r>
              <w:rPr>
                <w:rFonts w:hint="eastAsia"/>
              </w:rPr>
              <w:t>油山镇坪岭</w:t>
            </w:r>
          </w:p>
        </w:tc>
      </w:tr>
      <w:tr w14:paraId="10010F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158E2DDF">
            <w:pPr>
              <w:pStyle w:val="12"/>
              <w:jc w:val="center"/>
            </w:pPr>
            <w:r>
              <w:rPr>
                <w:rFonts w:hint="eastAsia"/>
              </w:rPr>
              <w:t>23</w:t>
            </w:r>
          </w:p>
        </w:tc>
        <w:tc>
          <w:tcPr>
            <w:tcW w:w="1163" w:type="pct"/>
            <w:vAlign w:val="center"/>
          </w:tcPr>
          <w:p w14:paraId="6FAD6158">
            <w:pPr>
              <w:pStyle w:val="12"/>
              <w:jc w:val="center"/>
            </w:pPr>
            <w:r>
              <w:rPr>
                <w:rFonts w:hint="eastAsia"/>
              </w:rPr>
              <w:t>杨梅坑红层保护区</w:t>
            </w:r>
          </w:p>
        </w:tc>
        <w:tc>
          <w:tcPr>
            <w:tcW w:w="988" w:type="pct"/>
            <w:vAlign w:val="center"/>
          </w:tcPr>
          <w:p w14:paraId="37612A51">
            <w:pPr>
              <w:pStyle w:val="12"/>
              <w:jc w:val="center"/>
            </w:pPr>
            <w:r>
              <w:rPr>
                <w:rFonts w:hint="eastAsia"/>
              </w:rPr>
              <w:t>晚白垩纪</w:t>
            </w:r>
          </w:p>
        </w:tc>
        <w:tc>
          <w:tcPr>
            <w:tcW w:w="466" w:type="pct"/>
            <w:vAlign w:val="center"/>
          </w:tcPr>
          <w:p w14:paraId="16BF47A0">
            <w:pPr>
              <w:pStyle w:val="12"/>
              <w:jc w:val="center"/>
            </w:pPr>
            <w:r>
              <w:rPr>
                <w:rFonts w:hint="eastAsia"/>
              </w:rPr>
              <w:t>省级</w:t>
            </w:r>
          </w:p>
        </w:tc>
        <w:tc>
          <w:tcPr>
            <w:tcW w:w="969" w:type="pct"/>
            <w:vAlign w:val="center"/>
          </w:tcPr>
          <w:p w14:paraId="0E9C087A">
            <w:pPr>
              <w:pStyle w:val="12"/>
              <w:jc w:val="center"/>
            </w:pPr>
            <w:r>
              <w:rPr>
                <w:rFonts w:hint="eastAsia"/>
              </w:rPr>
              <w:t>2005年4月</w:t>
            </w:r>
          </w:p>
        </w:tc>
        <w:tc>
          <w:tcPr>
            <w:tcW w:w="1065" w:type="pct"/>
            <w:vAlign w:val="center"/>
          </w:tcPr>
          <w:p w14:paraId="6E7A619F">
            <w:pPr>
              <w:pStyle w:val="12"/>
              <w:jc w:val="center"/>
            </w:pPr>
            <w:r>
              <w:rPr>
                <w:rFonts w:hint="eastAsia"/>
              </w:rPr>
              <w:t>油山镇坪岭</w:t>
            </w:r>
          </w:p>
        </w:tc>
      </w:tr>
      <w:tr w14:paraId="3F1A4B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1C51CBD1">
            <w:pPr>
              <w:pStyle w:val="12"/>
              <w:jc w:val="center"/>
            </w:pPr>
            <w:r>
              <w:rPr>
                <w:rFonts w:hint="eastAsia"/>
              </w:rPr>
              <w:t>24</w:t>
            </w:r>
          </w:p>
        </w:tc>
        <w:tc>
          <w:tcPr>
            <w:tcW w:w="1163" w:type="pct"/>
            <w:vAlign w:val="center"/>
          </w:tcPr>
          <w:p w14:paraId="1198561C">
            <w:pPr>
              <w:pStyle w:val="12"/>
              <w:jc w:val="center"/>
            </w:pPr>
            <w:r>
              <w:rPr>
                <w:rFonts w:hint="eastAsia"/>
              </w:rPr>
              <w:t>必得坑红层保护区</w:t>
            </w:r>
          </w:p>
        </w:tc>
        <w:tc>
          <w:tcPr>
            <w:tcW w:w="988" w:type="pct"/>
            <w:vAlign w:val="center"/>
          </w:tcPr>
          <w:p w14:paraId="1A6B36B0">
            <w:pPr>
              <w:pStyle w:val="12"/>
              <w:jc w:val="center"/>
            </w:pPr>
            <w:r>
              <w:rPr>
                <w:rFonts w:hint="eastAsia"/>
              </w:rPr>
              <w:t>早第三纪</w:t>
            </w:r>
          </w:p>
        </w:tc>
        <w:tc>
          <w:tcPr>
            <w:tcW w:w="466" w:type="pct"/>
            <w:vAlign w:val="center"/>
          </w:tcPr>
          <w:p w14:paraId="58BED405">
            <w:pPr>
              <w:pStyle w:val="12"/>
              <w:jc w:val="center"/>
            </w:pPr>
            <w:r>
              <w:rPr>
                <w:rFonts w:hint="eastAsia"/>
              </w:rPr>
              <w:t>省级</w:t>
            </w:r>
          </w:p>
        </w:tc>
        <w:tc>
          <w:tcPr>
            <w:tcW w:w="969" w:type="pct"/>
            <w:vAlign w:val="center"/>
          </w:tcPr>
          <w:p w14:paraId="58BD0021">
            <w:pPr>
              <w:pStyle w:val="12"/>
              <w:jc w:val="center"/>
            </w:pPr>
            <w:r>
              <w:rPr>
                <w:rFonts w:hint="eastAsia"/>
              </w:rPr>
              <w:t>2005年4月</w:t>
            </w:r>
          </w:p>
        </w:tc>
        <w:tc>
          <w:tcPr>
            <w:tcW w:w="1065" w:type="pct"/>
            <w:vAlign w:val="center"/>
          </w:tcPr>
          <w:p w14:paraId="6BD7BF87">
            <w:pPr>
              <w:pStyle w:val="12"/>
              <w:jc w:val="center"/>
            </w:pPr>
            <w:r>
              <w:rPr>
                <w:rFonts w:hint="eastAsia"/>
              </w:rPr>
              <w:t>油山镇必得坑</w:t>
            </w:r>
          </w:p>
        </w:tc>
      </w:tr>
      <w:tr w14:paraId="45B32F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0C3DEE40">
            <w:pPr>
              <w:pStyle w:val="12"/>
              <w:jc w:val="center"/>
            </w:pPr>
            <w:r>
              <w:rPr>
                <w:rFonts w:hint="eastAsia"/>
              </w:rPr>
              <w:t>25</w:t>
            </w:r>
          </w:p>
        </w:tc>
        <w:tc>
          <w:tcPr>
            <w:tcW w:w="1163" w:type="pct"/>
            <w:vAlign w:val="center"/>
          </w:tcPr>
          <w:p w14:paraId="73CE68C1">
            <w:pPr>
              <w:pStyle w:val="12"/>
              <w:jc w:val="center"/>
            </w:pPr>
            <w:r>
              <w:rPr>
                <w:rFonts w:hint="eastAsia"/>
              </w:rPr>
              <w:t>大成殿</w:t>
            </w:r>
          </w:p>
        </w:tc>
        <w:tc>
          <w:tcPr>
            <w:tcW w:w="988" w:type="pct"/>
            <w:vAlign w:val="center"/>
          </w:tcPr>
          <w:p w14:paraId="3F468F27">
            <w:pPr>
              <w:pStyle w:val="12"/>
              <w:jc w:val="center"/>
            </w:pPr>
            <w:r>
              <w:rPr>
                <w:rFonts w:hint="eastAsia"/>
              </w:rPr>
              <w:t>明</w:t>
            </w:r>
          </w:p>
        </w:tc>
        <w:tc>
          <w:tcPr>
            <w:tcW w:w="466" w:type="pct"/>
            <w:vAlign w:val="center"/>
          </w:tcPr>
          <w:p w14:paraId="281BEBA7">
            <w:pPr>
              <w:pStyle w:val="12"/>
              <w:jc w:val="center"/>
            </w:pPr>
            <w:r>
              <w:rPr>
                <w:rFonts w:hint="eastAsia"/>
              </w:rPr>
              <w:t>市级</w:t>
            </w:r>
          </w:p>
        </w:tc>
        <w:tc>
          <w:tcPr>
            <w:tcW w:w="969" w:type="pct"/>
            <w:vAlign w:val="center"/>
          </w:tcPr>
          <w:p w14:paraId="65CD9DDC">
            <w:pPr>
              <w:pStyle w:val="12"/>
              <w:jc w:val="center"/>
            </w:pPr>
            <w:r>
              <w:rPr>
                <w:rFonts w:hint="eastAsia"/>
              </w:rPr>
              <w:t>1995年7月21日</w:t>
            </w:r>
          </w:p>
        </w:tc>
        <w:tc>
          <w:tcPr>
            <w:tcW w:w="1065" w:type="pct"/>
            <w:vAlign w:val="center"/>
          </w:tcPr>
          <w:p w14:paraId="72EC0FD7">
            <w:pPr>
              <w:pStyle w:val="12"/>
              <w:jc w:val="center"/>
            </w:pPr>
            <w:r>
              <w:rPr>
                <w:rFonts w:hint="eastAsia"/>
              </w:rPr>
              <w:t>南雄市区爱民路</w:t>
            </w:r>
          </w:p>
        </w:tc>
      </w:tr>
      <w:tr w14:paraId="7FF5D0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4E89E9DB">
            <w:pPr>
              <w:pStyle w:val="12"/>
              <w:jc w:val="center"/>
            </w:pPr>
            <w:r>
              <w:rPr>
                <w:rFonts w:hint="eastAsia"/>
              </w:rPr>
              <w:t>26</w:t>
            </w:r>
          </w:p>
        </w:tc>
        <w:tc>
          <w:tcPr>
            <w:tcW w:w="1163" w:type="pct"/>
            <w:vAlign w:val="center"/>
          </w:tcPr>
          <w:p w14:paraId="49AC9123">
            <w:pPr>
              <w:pStyle w:val="12"/>
              <w:jc w:val="center"/>
            </w:pPr>
            <w:r>
              <w:rPr>
                <w:rFonts w:hint="eastAsia"/>
              </w:rPr>
              <w:t>里东戏台</w:t>
            </w:r>
          </w:p>
        </w:tc>
        <w:tc>
          <w:tcPr>
            <w:tcW w:w="988" w:type="pct"/>
            <w:vAlign w:val="center"/>
          </w:tcPr>
          <w:p w14:paraId="562F13A7">
            <w:pPr>
              <w:pStyle w:val="12"/>
              <w:jc w:val="center"/>
            </w:pPr>
            <w:r>
              <w:rPr>
                <w:rFonts w:hint="eastAsia"/>
              </w:rPr>
              <w:t>清</w:t>
            </w:r>
          </w:p>
        </w:tc>
        <w:tc>
          <w:tcPr>
            <w:tcW w:w="466" w:type="pct"/>
            <w:vAlign w:val="center"/>
          </w:tcPr>
          <w:p w14:paraId="623F242C">
            <w:pPr>
              <w:pStyle w:val="12"/>
              <w:jc w:val="center"/>
            </w:pPr>
            <w:r>
              <w:rPr>
                <w:rFonts w:hint="eastAsia"/>
              </w:rPr>
              <w:t>市级</w:t>
            </w:r>
          </w:p>
        </w:tc>
        <w:tc>
          <w:tcPr>
            <w:tcW w:w="969" w:type="pct"/>
            <w:vAlign w:val="center"/>
          </w:tcPr>
          <w:p w14:paraId="3FDC41F8">
            <w:pPr>
              <w:pStyle w:val="12"/>
              <w:jc w:val="center"/>
            </w:pPr>
            <w:r>
              <w:rPr>
                <w:rFonts w:hint="eastAsia"/>
              </w:rPr>
              <w:t>1995年7月21日</w:t>
            </w:r>
          </w:p>
        </w:tc>
        <w:tc>
          <w:tcPr>
            <w:tcW w:w="1065" w:type="pct"/>
            <w:vAlign w:val="center"/>
          </w:tcPr>
          <w:p w14:paraId="10290EB0">
            <w:pPr>
              <w:pStyle w:val="12"/>
              <w:jc w:val="center"/>
            </w:pPr>
            <w:r>
              <w:rPr>
                <w:rFonts w:hint="eastAsia"/>
              </w:rPr>
              <w:t>珠玑镇里东街</w:t>
            </w:r>
          </w:p>
        </w:tc>
      </w:tr>
      <w:tr w14:paraId="2A0F6D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264C4BD4">
            <w:pPr>
              <w:pStyle w:val="12"/>
              <w:jc w:val="center"/>
            </w:pPr>
            <w:r>
              <w:rPr>
                <w:rFonts w:hint="eastAsia"/>
              </w:rPr>
              <w:t>27</w:t>
            </w:r>
          </w:p>
        </w:tc>
        <w:tc>
          <w:tcPr>
            <w:tcW w:w="1163" w:type="pct"/>
            <w:vAlign w:val="center"/>
          </w:tcPr>
          <w:p w14:paraId="78B895DC">
            <w:pPr>
              <w:pStyle w:val="12"/>
              <w:jc w:val="center"/>
            </w:pPr>
            <w:r>
              <w:rPr>
                <w:rFonts w:hint="eastAsia"/>
              </w:rPr>
              <w:t>古城墙</w:t>
            </w:r>
          </w:p>
        </w:tc>
        <w:tc>
          <w:tcPr>
            <w:tcW w:w="988" w:type="pct"/>
            <w:vAlign w:val="center"/>
          </w:tcPr>
          <w:p w14:paraId="6FA57CAA">
            <w:pPr>
              <w:pStyle w:val="12"/>
              <w:jc w:val="center"/>
            </w:pPr>
            <w:r>
              <w:rPr>
                <w:rFonts w:hint="eastAsia"/>
              </w:rPr>
              <w:t>明至清</w:t>
            </w:r>
          </w:p>
        </w:tc>
        <w:tc>
          <w:tcPr>
            <w:tcW w:w="466" w:type="pct"/>
            <w:vAlign w:val="center"/>
          </w:tcPr>
          <w:p w14:paraId="4BBFAC91">
            <w:pPr>
              <w:pStyle w:val="12"/>
              <w:jc w:val="center"/>
            </w:pPr>
            <w:r>
              <w:rPr>
                <w:rFonts w:hint="eastAsia"/>
              </w:rPr>
              <w:t>市级</w:t>
            </w:r>
          </w:p>
        </w:tc>
        <w:tc>
          <w:tcPr>
            <w:tcW w:w="969" w:type="pct"/>
            <w:vAlign w:val="center"/>
          </w:tcPr>
          <w:p w14:paraId="4E9DD504">
            <w:pPr>
              <w:pStyle w:val="12"/>
              <w:jc w:val="center"/>
            </w:pPr>
            <w:r>
              <w:rPr>
                <w:rFonts w:hint="eastAsia"/>
              </w:rPr>
              <w:t>1995年7月21日</w:t>
            </w:r>
          </w:p>
        </w:tc>
        <w:tc>
          <w:tcPr>
            <w:tcW w:w="1065" w:type="pct"/>
            <w:vAlign w:val="center"/>
          </w:tcPr>
          <w:p w14:paraId="2FAB5643">
            <w:pPr>
              <w:pStyle w:val="12"/>
              <w:jc w:val="center"/>
            </w:pPr>
            <w:r>
              <w:rPr>
                <w:rFonts w:hint="eastAsia"/>
              </w:rPr>
              <w:t>市区</w:t>
            </w:r>
          </w:p>
        </w:tc>
      </w:tr>
      <w:tr w14:paraId="4417F4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33538F02">
            <w:pPr>
              <w:pStyle w:val="12"/>
              <w:jc w:val="center"/>
            </w:pPr>
            <w:r>
              <w:rPr>
                <w:rFonts w:hint="eastAsia"/>
              </w:rPr>
              <w:t>28</w:t>
            </w:r>
          </w:p>
        </w:tc>
        <w:tc>
          <w:tcPr>
            <w:tcW w:w="1163" w:type="pct"/>
            <w:vAlign w:val="center"/>
          </w:tcPr>
          <w:p w14:paraId="5D3FC415">
            <w:pPr>
              <w:pStyle w:val="12"/>
              <w:jc w:val="center"/>
            </w:pPr>
            <w:r>
              <w:rPr>
                <w:rFonts w:hint="eastAsia"/>
              </w:rPr>
              <w:t>油山白果树王</w:t>
            </w:r>
          </w:p>
        </w:tc>
        <w:tc>
          <w:tcPr>
            <w:tcW w:w="988" w:type="pct"/>
            <w:vAlign w:val="center"/>
          </w:tcPr>
          <w:p w14:paraId="30680CE0">
            <w:pPr>
              <w:pStyle w:val="12"/>
              <w:jc w:val="center"/>
            </w:pPr>
            <w:r>
              <w:rPr>
                <w:rFonts w:hint="eastAsia"/>
              </w:rPr>
              <w:t>唐</w:t>
            </w:r>
          </w:p>
        </w:tc>
        <w:tc>
          <w:tcPr>
            <w:tcW w:w="466" w:type="pct"/>
            <w:vAlign w:val="center"/>
          </w:tcPr>
          <w:p w14:paraId="2B3D47CC">
            <w:pPr>
              <w:pStyle w:val="12"/>
              <w:jc w:val="center"/>
            </w:pPr>
            <w:r>
              <w:rPr>
                <w:rFonts w:hint="eastAsia"/>
              </w:rPr>
              <w:t>市级</w:t>
            </w:r>
          </w:p>
        </w:tc>
        <w:tc>
          <w:tcPr>
            <w:tcW w:w="969" w:type="pct"/>
            <w:vAlign w:val="center"/>
          </w:tcPr>
          <w:p w14:paraId="3CBDD63E">
            <w:pPr>
              <w:pStyle w:val="12"/>
              <w:jc w:val="center"/>
            </w:pPr>
            <w:r>
              <w:rPr>
                <w:rFonts w:hint="eastAsia"/>
              </w:rPr>
              <w:t>1995年7月21日</w:t>
            </w:r>
          </w:p>
        </w:tc>
        <w:tc>
          <w:tcPr>
            <w:tcW w:w="1065" w:type="pct"/>
            <w:vAlign w:val="center"/>
          </w:tcPr>
          <w:p w14:paraId="55C2E58E">
            <w:pPr>
              <w:pStyle w:val="12"/>
              <w:jc w:val="center"/>
            </w:pPr>
            <w:r>
              <w:rPr>
                <w:rFonts w:hint="eastAsia"/>
              </w:rPr>
              <w:t>油山镇梓杉坳村</w:t>
            </w:r>
          </w:p>
        </w:tc>
      </w:tr>
      <w:tr w14:paraId="31B757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4ACA8B4C">
            <w:pPr>
              <w:pStyle w:val="12"/>
              <w:jc w:val="center"/>
            </w:pPr>
            <w:r>
              <w:rPr>
                <w:rFonts w:hint="eastAsia"/>
              </w:rPr>
              <w:t>29</w:t>
            </w:r>
          </w:p>
        </w:tc>
        <w:tc>
          <w:tcPr>
            <w:tcW w:w="1163" w:type="pct"/>
            <w:vAlign w:val="center"/>
          </w:tcPr>
          <w:p w14:paraId="2F6E922A">
            <w:pPr>
              <w:pStyle w:val="12"/>
              <w:jc w:val="center"/>
            </w:pPr>
            <w:r>
              <w:rPr>
                <w:rFonts w:hint="eastAsia"/>
              </w:rPr>
              <w:t>赣粤边红军独立师第三团团部旧址</w:t>
            </w:r>
          </w:p>
        </w:tc>
        <w:tc>
          <w:tcPr>
            <w:tcW w:w="988" w:type="pct"/>
            <w:vAlign w:val="center"/>
          </w:tcPr>
          <w:p w14:paraId="2E60E402">
            <w:pPr>
              <w:pStyle w:val="12"/>
              <w:jc w:val="center"/>
            </w:pPr>
            <w:r>
              <w:rPr>
                <w:rFonts w:hint="eastAsia"/>
              </w:rPr>
              <w:t>民国</w:t>
            </w:r>
          </w:p>
        </w:tc>
        <w:tc>
          <w:tcPr>
            <w:tcW w:w="466" w:type="pct"/>
            <w:vAlign w:val="center"/>
          </w:tcPr>
          <w:p w14:paraId="51C8A746">
            <w:pPr>
              <w:pStyle w:val="12"/>
              <w:jc w:val="center"/>
            </w:pPr>
            <w:r>
              <w:rPr>
                <w:rFonts w:hint="eastAsia"/>
              </w:rPr>
              <w:t>市级</w:t>
            </w:r>
          </w:p>
        </w:tc>
        <w:tc>
          <w:tcPr>
            <w:tcW w:w="969" w:type="pct"/>
            <w:vAlign w:val="center"/>
          </w:tcPr>
          <w:p w14:paraId="47C8EC15">
            <w:pPr>
              <w:pStyle w:val="12"/>
              <w:jc w:val="center"/>
            </w:pPr>
            <w:r>
              <w:rPr>
                <w:rFonts w:hint="eastAsia"/>
              </w:rPr>
              <w:t>1997年9月</w:t>
            </w:r>
          </w:p>
        </w:tc>
        <w:tc>
          <w:tcPr>
            <w:tcW w:w="1065" w:type="pct"/>
            <w:vAlign w:val="center"/>
          </w:tcPr>
          <w:p w14:paraId="2793291D">
            <w:pPr>
              <w:pStyle w:val="12"/>
              <w:jc w:val="center"/>
            </w:pPr>
            <w:r>
              <w:rPr>
                <w:rFonts w:hint="eastAsia"/>
              </w:rPr>
              <w:t>乌迳镇枫坑村</w:t>
            </w:r>
          </w:p>
        </w:tc>
      </w:tr>
      <w:tr w14:paraId="2392D3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7EB0BE7F">
            <w:pPr>
              <w:pStyle w:val="12"/>
              <w:jc w:val="center"/>
            </w:pPr>
            <w:r>
              <w:rPr>
                <w:rFonts w:hint="eastAsia"/>
              </w:rPr>
              <w:t>30</w:t>
            </w:r>
          </w:p>
        </w:tc>
        <w:tc>
          <w:tcPr>
            <w:tcW w:w="1163" w:type="pct"/>
            <w:vAlign w:val="center"/>
          </w:tcPr>
          <w:p w14:paraId="1AE512B6">
            <w:pPr>
              <w:pStyle w:val="12"/>
              <w:jc w:val="center"/>
            </w:pPr>
            <w:r>
              <w:rPr>
                <w:rFonts w:hint="eastAsia"/>
              </w:rPr>
              <w:t>回龙寺塔</w:t>
            </w:r>
          </w:p>
        </w:tc>
        <w:tc>
          <w:tcPr>
            <w:tcW w:w="988" w:type="pct"/>
            <w:vAlign w:val="center"/>
          </w:tcPr>
          <w:p w14:paraId="449D5F74">
            <w:pPr>
              <w:pStyle w:val="12"/>
              <w:jc w:val="center"/>
            </w:pPr>
            <w:r>
              <w:rPr>
                <w:rFonts w:hint="eastAsia"/>
              </w:rPr>
              <w:t>宋</w:t>
            </w:r>
          </w:p>
        </w:tc>
        <w:tc>
          <w:tcPr>
            <w:tcW w:w="466" w:type="pct"/>
            <w:vAlign w:val="center"/>
          </w:tcPr>
          <w:p w14:paraId="6C57559A">
            <w:pPr>
              <w:pStyle w:val="12"/>
              <w:jc w:val="center"/>
            </w:pPr>
            <w:r>
              <w:rPr>
                <w:rFonts w:hint="eastAsia"/>
              </w:rPr>
              <w:t>市级</w:t>
            </w:r>
          </w:p>
        </w:tc>
        <w:tc>
          <w:tcPr>
            <w:tcW w:w="969" w:type="pct"/>
            <w:vAlign w:val="center"/>
          </w:tcPr>
          <w:p w14:paraId="71F73182">
            <w:pPr>
              <w:pStyle w:val="12"/>
              <w:jc w:val="center"/>
            </w:pPr>
            <w:r>
              <w:rPr>
                <w:rFonts w:hint="eastAsia"/>
              </w:rPr>
              <w:t>1997年9月</w:t>
            </w:r>
          </w:p>
        </w:tc>
        <w:tc>
          <w:tcPr>
            <w:tcW w:w="1065" w:type="pct"/>
            <w:vAlign w:val="center"/>
          </w:tcPr>
          <w:p w14:paraId="4F9EFDE2">
            <w:pPr>
              <w:pStyle w:val="12"/>
              <w:jc w:val="center"/>
            </w:pPr>
            <w:r>
              <w:rPr>
                <w:rFonts w:hint="eastAsia"/>
              </w:rPr>
              <w:t>湖口镇罗田村</w:t>
            </w:r>
          </w:p>
        </w:tc>
      </w:tr>
      <w:tr w14:paraId="7682FD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7240EA40">
            <w:pPr>
              <w:pStyle w:val="12"/>
              <w:jc w:val="center"/>
            </w:pPr>
            <w:r>
              <w:rPr>
                <w:rFonts w:hint="eastAsia"/>
              </w:rPr>
              <w:t>31</w:t>
            </w:r>
          </w:p>
        </w:tc>
        <w:tc>
          <w:tcPr>
            <w:tcW w:w="1163" w:type="pct"/>
            <w:vAlign w:val="center"/>
          </w:tcPr>
          <w:p w14:paraId="72093848">
            <w:pPr>
              <w:pStyle w:val="12"/>
              <w:jc w:val="center"/>
            </w:pPr>
            <w:r>
              <w:rPr>
                <w:rFonts w:hint="eastAsia"/>
              </w:rPr>
              <w:t>溪头塔</w:t>
            </w:r>
          </w:p>
        </w:tc>
        <w:tc>
          <w:tcPr>
            <w:tcW w:w="988" w:type="pct"/>
            <w:vAlign w:val="center"/>
          </w:tcPr>
          <w:p w14:paraId="2E2484BB">
            <w:pPr>
              <w:pStyle w:val="12"/>
              <w:jc w:val="center"/>
            </w:pPr>
            <w:r>
              <w:rPr>
                <w:rFonts w:hint="eastAsia"/>
              </w:rPr>
              <w:t>宋</w:t>
            </w:r>
          </w:p>
        </w:tc>
        <w:tc>
          <w:tcPr>
            <w:tcW w:w="466" w:type="pct"/>
            <w:vAlign w:val="center"/>
          </w:tcPr>
          <w:p w14:paraId="160121B8">
            <w:pPr>
              <w:pStyle w:val="12"/>
              <w:jc w:val="center"/>
            </w:pPr>
            <w:r>
              <w:rPr>
                <w:rFonts w:hint="eastAsia"/>
              </w:rPr>
              <w:t>市级</w:t>
            </w:r>
          </w:p>
        </w:tc>
        <w:tc>
          <w:tcPr>
            <w:tcW w:w="969" w:type="pct"/>
            <w:vAlign w:val="center"/>
          </w:tcPr>
          <w:p w14:paraId="66BD4CB4">
            <w:pPr>
              <w:pStyle w:val="12"/>
              <w:jc w:val="center"/>
            </w:pPr>
            <w:r>
              <w:rPr>
                <w:rFonts w:hint="eastAsia"/>
              </w:rPr>
              <w:t>1997年9月</w:t>
            </w:r>
          </w:p>
        </w:tc>
        <w:tc>
          <w:tcPr>
            <w:tcW w:w="1065" w:type="pct"/>
            <w:vAlign w:val="center"/>
          </w:tcPr>
          <w:p w14:paraId="1907172C">
            <w:pPr>
              <w:pStyle w:val="12"/>
              <w:jc w:val="center"/>
            </w:pPr>
            <w:r>
              <w:rPr>
                <w:rFonts w:hint="eastAsia"/>
              </w:rPr>
              <w:t>百顺镇溪头老村</w:t>
            </w:r>
          </w:p>
        </w:tc>
      </w:tr>
      <w:tr w14:paraId="484CBB5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6AECE05F">
            <w:pPr>
              <w:pStyle w:val="12"/>
              <w:jc w:val="center"/>
            </w:pPr>
            <w:r>
              <w:rPr>
                <w:rFonts w:hint="eastAsia"/>
              </w:rPr>
              <w:t>32</w:t>
            </w:r>
          </w:p>
        </w:tc>
        <w:tc>
          <w:tcPr>
            <w:tcW w:w="1163" w:type="pct"/>
            <w:vAlign w:val="center"/>
          </w:tcPr>
          <w:p w14:paraId="39FE4B33">
            <w:pPr>
              <w:pStyle w:val="12"/>
              <w:jc w:val="center"/>
            </w:pPr>
            <w:r>
              <w:rPr>
                <w:rFonts w:hint="eastAsia"/>
              </w:rPr>
              <w:t>小竹塔</w:t>
            </w:r>
          </w:p>
        </w:tc>
        <w:tc>
          <w:tcPr>
            <w:tcW w:w="988" w:type="pct"/>
            <w:vAlign w:val="center"/>
          </w:tcPr>
          <w:p w14:paraId="570AFA5F">
            <w:pPr>
              <w:pStyle w:val="12"/>
              <w:jc w:val="center"/>
            </w:pPr>
            <w:r>
              <w:rPr>
                <w:rFonts w:hint="eastAsia"/>
              </w:rPr>
              <w:t>宋</w:t>
            </w:r>
          </w:p>
        </w:tc>
        <w:tc>
          <w:tcPr>
            <w:tcW w:w="466" w:type="pct"/>
            <w:vAlign w:val="center"/>
          </w:tcPr>
          <w:p w14:paraId="30E18E86">
            <w:pPr>
              <w:pStyle w:val="12"/>
              <w:jc w:val="center"/>
            </w:pPr>
            <w:r>
              <w:rPr>
                <w:rFonts w:hint="eastAsia"/>
              </w:rPr>
              <w:t>市级</w:t>
            </w:r>
          </w:p>
        </w:tc>
        <w:tc>
          <w:tcPr>
            <w:tcW w:w="969" w:type="pct"/>
            <w:vAlign w:val="center"/>
          </w:tcPr>
          <w:p w14:paraId="08E83337">
            <w:pPr>
              <w:pStyle w:val="12"/>
              <w:jc w:val="center"/>
            </w:pPr>
            <w:r>
              <w:rPr>
                <w:rFonts w:hint="eastAsia"/>
              </w:rPr>
              <w:t>1997年9月</w:t>
            </w:r>
          </w:p>
        </w:tc>
        <w:tc>
          <w:tcPr>
            <w:tcW w:w="1065" w:type="pct"/>
            <w:vAlign w:val="center"/>
          </w:tcPr>
          <w:p w14:paraId="5A07A0BD">
            <w:pPr>
              <w:pStyle w:val="12"/>
              <w:jc w:val="center"/>
            </w:pPr>
            <w:r>
              <w:rPr>
                <w:rFonts w:hint="eastAsia"/>
              </w:rPr>
              <w:t>江头镇小竹村</w:t>
            </w:r>
          </w:p>
        </w:tc>
      </w:tr>
      <w:tr w14:paraId="6406AD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16673B2F">
            <w:pPr>
              <w:pStyle w:val="12"/>
              <w:jc w:val="center"/>
            </w:pPr>
            <w:r>
              <w:rPr>
                <w:rFonts w:hint="eastAsia"/>
              </w:rPr>
              <w:t>33</w:t>
            </w:r>
          </w:p>
        </w:tc>
        <w:tc>
          <w:tcPr>
            <w:tcW w:w="1163" w:type="pct"/>
            <w:vAlign w:val="center"/>
          </w:tcPr>
          <w:p w14:paraId="1BA723BA">
            <w:pPr>
              <w:pStyle w:val="12"/>
              <w:jc w:val="center"/>
            </w:pPr>
            <w:r>
              <w:rPr>
                <w:rFonts w:hint="eastAsia"/>
              </w:rPr>
              <w:t>葛坪塔</w:t>
            </w:r>
          </w:p>
        </w:tc>
        <w:tc>
          <w:tcPr>
            <w:tcW w:w="988" w:type="pct"/>
            <w:vAlign w:val="center"/>
          </w:tcPr>
          <w:p w14:paraId="1CC369E3">
            <w:pPr>
              <w:pStyle w:val="12"/>
              <w:jc w:val="center"/>
            </w:pPr>
            <w:r>
              <w:rPr>
                <w:rFonts w:hint="eastAsia"/>
              </w:rPr>
              <w:t>宋</w:t>
            </w:r>
          </w:p>
        </w:tc>
        <w:tc>
          <w:tcPr>
            <w:tcW w:w="466" w:type="pct"/>
            <w:vAlign w:val="center"/>
          </w:tcPr>
          <w:p w14:paraId="585C7C6F">
            <w:pPr>
              <w:pStyle w:val="12"/>
              <w:jc w:val="center"/>
            </w:pPr>
            <w:r>
              <w:rPr>
                <w:rFonts w:hint="eastAsia"/>
              </w:rPr>
              <w:t>市级</w:t>
            </w:r>
          </w:p>
        </w:tc>
        <w:tc>
          <w:tcPr>
            <w:tcW w:w="969" w:type="pct"/>
            <w:vAlign w:val="center"/>
          </w:tcPr>
          <w:p w14:paraId="1EC2EE88">
            <w:pPr>
              <w:pStyle w:val="12"/>
              <w:jc w:val="center"/>
            </w:pPr>
            <w:r>
              <w:rPr>
                <w:rFonts w:hint="eastAsia"/>
              </w:rPr>
              <w:t>1997年9月</w:t>
            </w:r>
          </w:p>
        </w:tc>
        <w:tc>
          <w:tcPr>
            <w:tcW w:w="1065" w:type="pct"/>
            <w:vAlign w:val="center"/>
          </w:tcPr>
          <w:p w14:paraId="3B38F4FB">
            <w:pPr>
              <w:pStyle w:val="12"/>
              <w:jc w:val="center"/>
            </w:pPr>
            <w:r>
              <w:rPr>
                <w:rFonts w:hint="eastAsia"/>
              </w:rPr>
              <w:t>澜河镇葛坪塔下村</w:t>
            </w:r>
          </w:p>
        </w:tc>
      </w:tr>
      <w:tr w14:paraId="0B0B00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1725D32E">
            <w:pPr>
              <w:pStyle w:val="12"/>
              <w:jc w:val="center"/>
            </w:pPr>
            <w:r>
              <w:rPr>
                <w:rFonts w:hint="eastAsia"/>
              </w:rPr>
              <w:t>34</w:t>
            </w:r>
          </w:p>
        </w:tc>
        <w:tc>
          <w:tcPr>
            <w:tcW w:w="1163" w:type="pct"/>
            <w:vAlign w:val="center"/>
          </w:tcPr>
          <w:p w14:paraId="22B421D2">
            <w:pPr>
              <w:pStyle w:val="12"/>
              <w:jc w:val="center"/>
            </w:pPr>
            <w:r>
              <w:rPr>
                <w:rFonts w:hint="eastAsia"/>
              </w:rPr>
              <w:t>“七星世镇”城堡</w:t>
            </w:r>
          </w:p>
        </w:tc>
        <w:tc>
          <w:tcPr>
            <w:tcW w:w="988" w:type="pct"/>
            <w:vAlign w:val="center"/>
          </w:tcPr>
          <w:p w14:paraId="5580DBA3">
            <w:pPr>
              <w:pStyle w:val="12"/>
              <w:jc w:val="center"/>
            </w:pPr>
            <w:r>
              <w:rPr>
                <w:rFonts w:hint="eastAsia"/>
              </w:rPr>
              <w:t>明</w:t>
            </w:r>
          </w:p>
        </w:tc>
        <w:tc>
          <w:tcPr>
            <w:tcW w:w="466" w:type="pct"/>
            <w:vAlign w:val="center"/>
          </w:tcPr>
          <w:p w14:paraId="77C5361C">
            <w:pPr>
              <w:pStyle w:val="12"/>
              <w:jc w:val="center"/>
            </w:pPr>
            <w:r>
              <w:rPr>
                <w:rFonts w:hint="eastAsia"/>
              </w:rPr>
              <w:t>市级</w:t>
            </w:r>
          </w:p>
        </w:tc>
        <w:tc>
          <w:tcPr>
            <w:tcW w:w="969" w:type="pct"/>
            <w:vAlign w:val="center"/>
          </w:tcPr>
          <w:p w14:paraId="11E6928F">
            <w:pPr>
              <w:pStyle w:val="12"/>
              <w:jc w:val="center"/>
            </w:pPr>
            <w:r>
              <w:rPr>
                <w:rFonts w:hint="eastAsia"/>
              </w:rPr>
              <w:t>1997年9月</w:t>
            </w:r>
          </w:p>
        </w:tc>
        <w:tc>
          <w:tcPr>
            <w:tcW w:w="1065" w:type="pct"/>
            <w:vAlign w:val="center"/>
          </w:tcPr>
          <w:p w14:paraId="3FCA5BCC">
            <w:pPr>
              <w:pStyle w:val="12"/>
              <w:jc w:val="center"/>
            </w:pPr>
            <w:r>
              <w:rPr>
                <w:rFonts w:hint="eastAsia"/>
              </w:rPr>
              <w:t>乌迳镇水城村</w:t>
            </w:r>
          </w:p>
        </w:tc>
      </w:tr>
      <w:tr w14:paraId="703911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2F3CAFC8">
            <w:pPr>
              <w:pStyle w:val="12"/>
              <w:jc w:val="center"/>
            </w:pPr>
            <w:r>
              <w:rPr>
                <w:rFonts w:hint="eastAsia"/>
              </w:rPr>
              <w:t>35</w:t>
            </w:r>
          </w:p>
        </w:tc>
        <w:tc>
          <w:tcPr>
            <w:tcW w:w="1163" w:type="pct"/>
            <w:vAlign w:val="center"/>
          </w:tcPr>
          <w:p w14:paraId="2F78EE64">
            <w:pPr>
              <w:pStyle w:val="12"/>
              <w:jc w:val="center"/>
            </w:pPr>
            <w:r>
              <w:rPr>
                <w:rFonts w:hint="eastAsia"/>
              </w:rPr>
              <w:t>接龙桥</w:t>
            </w:r>
          </w:p>
        </w:tc>
        <w:tc>
          <w:tcPr>
            <w:tcW w:w="988" w:type="pct"/>
            <w:vAlign w:val="center"/>
          </w:tcPr>
          <w:p w14:paraId="64D46207">
            <w:pPr>
              <w:pStyle w:val="12"/>
              <w:jc w:val="center"/>
            </w:pPr>
            <w:r>
              <w:rPr>
                <w:rFonts w:hint="eastAsia"/>
              </w:rPr>
              <w:t>明</w:t>
            </w:r>
          </w:p>
        </w:tc>
        <w:tc>
          <w:tcPr>
            <w:tcW w:w="466" w:type="pct"/>
            <w:vAlign w:val="center"/>
          </w:tcPr>
          <w:p w14:paraId="5BD05263">
            <w:pPr>
              <w:pStyle w:val="12"/>
              <w:jc w:val="center"/>
            </w:pPr>
            <w:r>
              <w:rPr>
                <w:rFonts w:hint="eastAsia"/>
              </w:rPr>
              <w:t>市级</w:t>
            </w:r>
          </w:p>
        </w:tc>
        <w:tc>
          <w:tcPr>
            <w:tcW w:w="969" w:type="pct"/>
            <w:vAlign w:val="center"/>
          </w:tcPr>
          <w:p w14:paraId="35FC76B6">
            <w:pPr>
              <w:pStyle w:val="12"/>
              <w:jc w:val="center"/>
            </w:pPr>
            <w:r>
              <w:rPr>
                <w:rFonts w:hint="eastAsia"/>
              </w:rPr>
              <w:t>1997年9月</w:t>
            </w:r>
          </w:p>
        </w:tc>
        <w:tc>
          <w:tcPr>
            <w:tcW w:w="1065" w:type="pct"/>
            <w:vAlign w:val="center"/>
          </w:tcPr>
          <w:p w14:paraId="556045AC">
            <w:pPr>
              <w:pStyle w:val="12"/>
              <w:jc w:val="center"/>
            </w:pPr>
            <w:r>
              <w:rPr>
                <w:rFonts w:hint="eastAsia"/>
              </w:rPr>
              <w:t>南雄市郊田边水村</w:t>
            </w:r>
          </w:p>
        </w:tc>
      </w:tr>
      <w:tr w14:paraId="317BFF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6CA1F501">
            <w:pPr>
              <w:pStyle w:val="12"/>
              <w:jc w:val="center"/>
            </w:pPr>
            <w:r>
              <w:rPr>
                <w:rFonts w:hint="eastAsia"/>
              </w:rPr>
              <w:t>36</w:t>
            </w:r>
          </w:p>
        </w:tc>
        <w:tc>
          <w:tcPr>
            <w:tcW w:w="1163" w:type="pct"/>
            <w:vAlign w:val="center"/>
          </w:tcPr>
          <w:p w14:paraId="6F50E21F">
            <w:pPr>
              <w:pStyle w:val="12"/>
              <w:jc w:val="center"/>
            </w:pPr>
            <w:r>
              <w:rPr>
                <w:rFonts w:hint="eastAsia"/>
              </w:rPr>
              <w:t>进士牌坊</w:t>
            </w:r>
          </w:p>
        </w:tc>
        <w:tc>
          <w:tcPr>
            <w:tcW w:w="988" w:type="pct"/>
            <w:vAlign w:val="center"/>
          </w:tcPr>
          <w:p w14:paraId="62AB2F0E">
            <w:pPr>
              <w:pStyle w:val="12"/>
              <w:jc w:val="center"/>
            </w:pPr>
            <w:r>
              <w:rPr>
                <w:rFonts w:hint="eastAsia"/>
              </w:rPr>
              <w:t>清</w:t>
            </w:r>
          </w:p>
        </w:tc>
        <w:tc>
          <w:tcPr>
            <w:tcW w:w="466" w:type="pct"/>
            <w:vAlign w:val="center"/>
          </w:tcPr>
          <w:p w14:paraId="5F9AE1A8">
            <w:pPr>
              <w:pStyle w:val="12"/>
              <w:jc w:val="center"/>
            </w:pPr>
            <w:r>
              <w:rPr>
                <w:rFonts w:hint="eastAsia"/>
              </w:rPr>
              <w:t>市级</w:t>
            </w:r>
          </w:p>
        </w:tc>
        <w:tc>
          <w:tcPr>
            <w:tcW w:w="969" w:type="pct"/>
            <w:vAlign w:val="center"/>
          </w:tcPr>
          <w:p w14:paraId="1ADA9A0D">
            <w:pPr>
              <w:pStyle w:val="12"/>
              <w:jc w:val="center"/>
            </w:pPr>
            <w:r>
              <w:rPr>
                <w:rFonts w:hint="eastAsia"/>
              </w:rPr>
              <w:t>1997年9月</w:t>
            </w:r>
          </w:p>
        </w:tc>
        <w:tc>
          <w:tcPr>
            <w:tcW w:w="1065" w:type="pct"/>
            <w:vAlign w:val="center"/>
          </w:tcPr>
          <w:p w14:paraId="33A6ED97">
            <w:pPr>
              <w:pStyle w:val="12"/>
              <w:jc w:val="center"/>
            </w:pPr>
            <w:r>
              <w:rPr>
                <w:rFonts w:hint="eastAsia"/>
              </w:rPr>
              <w:t>乌迳镇孔塘村</w:t>
            </w:r>
          </w:p>
        </w:tc>
      </w:tr>
      <w:tr w14:paraId="1E3F2B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4E8690F8">
            <w:pPr>
              <w:pStyle w:val="12"/>
              <w:jc w:val="center"/>
            </w:pPr>
            <w:r>
              <w:rPr>
                <w:rFonts w:hint="eastAsia"/>
              </w:rPr>
              <w:t>37</w:t>
            </w:r>
          </w:p>
        </w:tc>
        <w:tc>
          <w:tcPr>
            <w:tcW w:w="1163" w:type="pct"/>
            <w:vAlign w:val="center"/>
          </w:tcPr>
          <w:p w14:paraId="5A0E1EAB">
            <w:pPr>
              <w:pStyle w:val="12"/>
              <w:jc w:val="center"/>
            </w:pPr>
            <w:r>
              <w:rPr>
                <w:rFonts w:hint="eastAsia"/>
              </w:rPr>
              <w:t>奎星阁</w:t>
            </w:r>
          </w:p>
        </w:tc>
        <w:tc>
          <w:tcPr>
            <w:tcW w:w="988" w:type="pct"/>
            <w:vAlign w:val="center"/>
          </w:tcPr>
          <w:p w14:paraId="5947F1DB">
            <w:pPr>
              <w:pStyle w:val="12"/>
              <w:jc w:val="center"/>
            </w:pPr>
            <w:r>
              <w:rPr>
                <w:rFonts w:hint="eastAsia"/>
              </w:rPr>
              <w:t>明清</w:t>
            </w:r>
          </w:p>
        </w:tc>
        <w:tc>
          <w:tcPr>
            <w:tcW w:w="466" w:type="pct"/>
            <w:vAlign w:val="center"/>
          </w:tcPr>
          <w:p w14:paraId="3A6D1435">
            <w:pPr>
              <w:pStyle w:val="12"/>
              <w:jc w:val="center"/>
            </w:pPr>
            <w:r>
              <w:rPr>
                <w:rFonts w:hint="eastAsia"/>
              </w:rPr>
              <w:t>市级</w:t>
            </w:r>
          </w:p>
        </w:tc>
        <w:tc>
          <w:tcPr>
            <w:tcW w:w="969" w:type="pct"/>
            <w:vAlign w:val="center"/>
          </w:tcPr>
          <w:p w14:paraId="06CFB52C">
            <w:pPr>
              <w:pStyle w:val="12"/>
              <w:jc w:val="center"/>
            </w:pPr>
            <w:r>
              <w:rPr>
                <w:rFonts w:hint="eastAsia"/>
              </w:rPr>
              <w:t>1997年9月</w:t>
            </w:r>
          </w:p>
        </w:tc>
        <w:tc>
          <w:tcPr>
            <w:tcW w:w="1065" w:type="pct"/>
            <w:vAlign w:val="center"/>
          </w:tcPr>
          <w:p w14:paraId="4E3F4E96">
            <w:pPr>
              <w:pStyle w:val="12"/>
              <w:jc w:val="center"/>
            </w:pPr>
            <w:r>
              <w:rPr>
                <w:rFonts w:hint="eastAsia"/>
              </w:rPr>
              <w:t>南雄市区达德街</w:t>
            </w:r>
          </w:p>
        </w:tc>
      </w:tr>
    </w:tbl>
    <w:p w14:paraId="41434458">
      <w:pPr>
        <w:pStyle w:val="4"/>
        <w:rPr>
          <w:rFonts w:ascii="宋体" w:hAnsi="宋体" w:cs="宋体"/>
        </w:rPr>
      </w:pPr>
      <w:r>
        <w:rPr>
          <w:rFonts w:hint="eastAsia" w:ascii="宋体" w:hAnsi="宋体" w:cs="宋体"/>
        </w:rPr>
        <w:t>第八节  名胜</w:t>
      </w:r>
    </w:p>
    <w:p w14:paraId="3F384788">
      <w:pPr>
        <w:pStyle w:val="5"/>
        <w:rPr>
          <w:rFonts w:ascii="宋体" w:hAnsi="宋体" w:cs="宋体"/>
        </w:rPr>
      </w:pPr>
      <w:r>
        <w:rPr>
          <w:rFonts w:hint="eastAsia" w:ascii="宋体" w:hAnsi="宋体" w:cs="宋体"/>
        </w:rPr>
        <w:t>一、南雄十景</w:t>
      </w:r>
    </w:p>
    <w:p w14:paraId="6DBB3AF2">
      <w:pPr>
        <w:ind w:firstLine="420"/>
        <w:rPr>
          <w:rFonts w:ascii="宋体" w:hAnsi="宋体" w:cs="宋体"/>
        </w:rPr>
      </w:pPr>
      <w:r>
        <w:rPr>
          <w:rFonts w:hint="eastAsia" w:ascii="宋体" w:hAnsi="宋体" w:cs="宋体"/>
        </w:rPr>
        <w:t>2004年，在全市开展《南雄十景》评选活动，评选出如下十景：</w:t>
      </w:r>
    </w:p>
    <w:p w14:paraId="0CF0EAC1">
      <w:pPr>
        <w:ind w:firstLine="422"/>
        <w:rPr>
          <w:rFonts w:ascii="宋体" w:hAnsi="宋体" w:cs="宋体"/>
          <w:b/>
          <w:bCs/>
        </w:rPr>
      </w:pPr>
      <w:r>
        <w:rPr>
          <w:rFonts w:hint="eastAsia" w:ascii="宋体" w:hAnsi="宋体" w:cs="宋体"/>
          <w:b/>
          <w:bCs/>
        </w:rPr>
        <w:t>南粤雄关</w:t>
      </w:r>
    </w:p>
    <w:p w14:paraId="439F456E">
      <w:pPr>
        <w:ind w:firstLine="420"/>
        <w:rPr>
          <w:rFonts w:ascii="宋体" w:hAnsi="宋体" w:cs="宋体"/>
        </w:rPr>
      </w:pPr>
      <w:r>
        <w:rPr>
          <w:rFonts w:hint="eastAsia" w:ascii="宋体" w:hAnsi="宋体" w:cs="宋体"/>
        </w:rPr>
        <w:t>位于市区北30公里，虎踞梅岭之巅。秦时名为横浦关，有戍卒驻守。唐相张九龄于开元四年（716年）奉诏劈关开道，成为古代沟通五岭南北之咽喉，联结珠江、长江之纽带。宋嘉祐八年（1063年）广南东路转运使蔡抗与江西提刑蔡挺兄弟修筑驿道，创建关楼，署名梅关。</w:t>
      </w:r>
    </w:p>
    <w:p w14:paraId="0255AF30">
      <w:pPr>
        <w:ind w:firstLine="420"/>
        <w:rPr>
          <w:rFonts w:ascii="宋体" w:hAnsi="宋体" w:cs="宋体"/>
        </w:rPr>
      </w:pPr>
      <w:r>
        <w:rPr>
          <w:rFonts w:hint="eastAsia" w:ascii="宋体" w:hAnsi="宋体" w:cs="宋体"/>
        </w:rPr>
        <w:t>关楼建于岭颠分水线南10米峭壁间，坐南向北，东西横卧，雄伟壮观。关楼额有明万历戊戌（1598年）南雄知府蒋杰题刻石匾，南面为“岭南第一关”，北面为“南粤雄关”，关前立巨碑，阴刻“梅岭”2个大字，落款为清康熙已未（1679年）南雄知府张凤翔重题。</w:t>
      </w:r>
    </w:p>
    <w:p w14:paraId="00ACFB6C">
      <w:pPr>
        <w:ind w:firstLine="420"/>
        <w:rPr>
          <w:rFonts w:ascii="宋体" w:hAnsi="宋体" w:cs="宋体"/>
        </w:rPr>
      </w:pPr>
      <w:r>
        <w:rPr>
          <w:rFonts w:hint="eastAsia" w:ascii="宋体" w:hAnsi="宋体" w:cs="宋体"/>
        </w:rPr>
        <w:t>千百年来，苏东坡、文天祥、朱熹、戚继光、何香凝、陶铸等名人志士由此度岭过关，许多可歌可泣事件在此风生水起。共和国元帅陈毅曾在此开展3年游击战，写下了脍炙人口的豪迈诗篇《梅岭三章》、《偷渡梅关》。1989年，梅关被列为广东省文物保护单位。</w:t>
      </w:r>
    </w:p>
    <w:p w14:paraId="02ACC110">
      <w:pPr>
        <w:ind w:firstLine="422"/>
        <w:rPr>
          <w:rFonts w:ascii="宋体" w:hAnsi="宋体" w:cs="宋体"/>
          <w:b/>
          <w:bCs/>
        </w:rPr>
      </w:pPr>
      <w:r>
        <w:rPr>
          <w:rFonts w:hint="eastAsia" w:ascii="宋体" w:hAnsi="宋体" w:cs="宋体"/>
          <w:b/>
          <w:bCs/>
        </w:rPr>
        <w:t>驿道寒梅</w:t>
      </w:r>
    </w:p>
    <w:p w14:paraId="671D593F">
      <w:pPr>
        <w:ind w:firstLine="420"/>
        <w:rPr>
          <w:rFonts w:ascii="宋体" w:hAnsi="宋体" w:cs="宋体"/>
        </w:rPr>
      </w:pPr>
      <w:r>
        <w:rPr>
          <w:rFonts w:hint="eastAsia" w:ascii="宋体" w:hAnsi="宋体" w:cs="宋体"/>
        </w:rPr>
        <w:t>梅岭古驿道自古多梅，以梅盛、花奇、风雅之特色而名闻五岭南北。梅盛，每当寒冬腊月，梅花怒放，锁关夹道，十里飘香，一片梅花世界，古来便有“梅开庾岭为香国”之称。花奇，因梅岭南北气候差异，梅花有“南枝先开，北枝后放”的奇异花景。风雅，驿道寒梅以其特有的风姿吸引了历代文人墨客，自三国吴儋耳太守陆凯题的第一首五绝《赠范晔》起，迄今留下了近千首咏梅诗词，古道两旁曾经是诗碑林立，形成了“一路梅花一路诗”的风雅景观。</w:t>
      </w:r>
    </w:p>
    <w:p w14:paraId="0A2D68E5">
      <w:pPr>
        <w:ind w:firstLine="422"/>
        <w:rPr>
          <w:rFonts w:ascii="宋体" w:hAnsi="宋体" w:cs="宋体"/>
          <w:b/>
          <w:bCs/>
        </w:rPr>
      </w:pPr>
      <w:r>
        <w:rPr>
          <w:rFonts w:hint="eastAsia" w:ascii="宋体" w:hAnsi="宋体" w:cs="宋体"/>
          <w:b/>
          <w:bCs/>
        </w:rPr>
        <w:t>珠玑古巷</w:t>
      </w:r>
    </w:p>
    <w:p w14:paraId="7E398751">
      <w:pPr>
        <w:ind w:firstLine="420"/>
        <w:rPr>
          <w:rFonts w:ascii="宋体" w:hAnsi="宋体" w:cs="宋体"/>
        </w:rPr>
      </w:pPr>
      <w:r>
        <w:rPr>
          <w:rFonts w:hint="eastAsia" w:ascii="宋体" w:hAnsi="宋体" w:cs="宋体"/>
        </w:rPr>
        <w:t>位于市区东北6公里。原称敬宗巷，因张兴七世同居，唐敬宗赐珠玑绦环，后为避敬宗讳而改名为珠玑巷。</w:t>
      </w:r>
    </w:p>
    <w:p w14:paraId="4C263C3F">
      <w:pPr>
        <w:ind w:firstLine="420"/>
        <w:rPr>
          <w:rFonts w:ascii="宋体" w:hAnsi="宋体" w:cs="宋体"/>
        </w:rPr>
      </w:pPr>
      <w:r>
        <w:rPr>
          <w:rFonts w:hint="eastAsia" w:ascii="宋体" w:hAnsi="宋体" w:cs="宋体"/>
        </w:rPr>
        <w:t>珠玑巷本为古驿道上的一个商贸重镇，又是中原南迁氏族发祥之地。唐宋时期，中原动乱，有140余姓氏族陆续南迁，均先聚居珠玑巷，休养生息，历数代而后再迁珠江三角洲一带。故海内外千万南迁后裔根系珠玑，都称珠玑巷为“七百年前桑梓乡”，每年前来寻根问祖者络绎不绝。珠玑巷成为爱国爱乡旅游观光胜地。</w:t>
      </w:r>
    </w:p>
    <w:p w14:paraId="36B6881D">
      <w:pPr>
        <w:ind w:firstLine="420"/>
        <w:rPr>
          <w:rFonts w:ascii="宋体" w:hAnsi="宋体" w:cs="宋体"/>
        </w:rPr>
      </w:pPr>
      <w:r>
        <w:rPr>
          <w:rFonts w:hint="eastAsia" w:ascii="宋体" w:hAnsi="宋体" w:cs="宋体"/>
        </w:rPr>
        <w:t>古巷南起驷马桥，北至凤凰桥，全长1.5公里，以卵石铺砌路面。巷内有重建的张昌故居，古朴的南门楼、中门楼、北门楼，宋代古镇民居风貌依稀可辨。还有贵妃石塔，为元至正十年（1350年）重立，是广东省唯一有纪年的元代石塔，被列为省文物保护单位。相传该塔是为纪念宋度宗朝胡妃而立，记述着珠玑巷人一次南迁壮举的故事。</w:t>
      </w:r>
    </w:p>
    <w:p w14:paraId="7FB2F620">
      <w:pPr>
        <w:ind w:firstLine="420"/>
        <w:rPr>
          <w:rFonts w:ascii="宋体" w:hAnsi="宋体" w:cs="宋体"/>
        </w:rPr>
      </w:pPr>
      <w:r>
        <w:rPr>
          <w:rFonts w:hint="eastAsia" w:ascii="宋体" w:hAnsi="宋体" w:cs="宋体"/>
        </w:rPr>
        <w:t>改革开放以来，南迁后裔为纪念祖先，在珠玑巷建起了祖居纪念区。内有高大的“祖居纪念”牌坊，巨型的南迁石雕群像，亭亭玉立的胡妃白玉雕像，珠玑巷历史博物馆，胡妃纪念馆，罗贵纪念馆以及苏、麦、周、黄、黎、邓、徐、何、陈、刘、钟等姓氏纪念馆。馆内陈列各姓氏宗族文化展品，较系统地反映了珠玑巷的人文历史和深厚的根文化。巷东有重建的沙水寺，今名大雄禅寺。2005年7月初，珠玑古巷被评为广东省最美的街区。</w:t>
      </w:r>
    </w:p>
    <w:p w14:paraId="624B25C0">
      <w:pPr>
        <w:ind w:firstLine="422"/>
        <w:rPr>
          <w:rFonts w:ascii="宋体" w:hAnsi="宋体" w:cs="宋体"/>
          <w:b/>
          <w:bCs/>
        </w:rPr>
      </w:pPr>
      <w:r>
        <w:rPr>
          <w:rFonts w:hint="eastAsia" w:ascii="宋体" w:hAnsi="宋体" w:cs="宋体"/>
          <w:b/>
          <w:bCs/>
        </w:rPr>
        <w:t>翠屏钟鼓</w:t>
      </w:r>
    </w:p>
    <w:p w14:paraId="59E75B58">
      <w:pPr>
        <w:ind w:firstLine="420"/>
        <w:rPr>
          <w:rFonts w:ascii="宋体" w:hAnsi="宋体" w:cs="宋体"/>
        </w:rPr>
      </w:pPr>
      <w:r>
        <w:rPr>
          <w:rFonts w:hint="eastAsia" w:ascii="宋体" w:hAnsi="宋体" w:cs="宋体"/>
        </w:rPr>
        <w:t>位于梅岭南麓，古道西侧。本名翠屏山，又称钟鼓岩。岩洞内有一乳石悬吊于顶，形如钟，抛石击之，声如钟磬，因名钟岩。钟岩转登半山处又一洞内，有一巨石形如鼓，投石击之，声如鼓响，因名鼓岩。钟鼓岩因此而得名。</w:t>
      </w:r>
    </w:p>
    <w:p w14:paraId="1A1519EA">
      <w:pPr>
        <w:ind w:firstLine="420"/>
        <w:rPr>
          <w:rFonts w:ascii="宋体" w:hAnsi="宋体" w:cs="宋体"/>
        </w:rPr>
      </w:pPr>
      <w:r>
        <w:rPr>
          <w:rFonts w:hint="eastAsia" w:ascii="宋体" w:hAnsi="宋体" w:cs="宋体"/>
        </w:rPr>
        <w:t>岩洞由下而上有摩崖石刻23处，如“诸仙岩”、“万福洞”、“上清景”、“南天福地”、“钟岩诗”、“玩月台诗”等，分别以楷草隶篆书法题刻。1988年列为广东省文物保护单位。</w:t>
      </w:r>
    </w:p>
    <w:p w14:paraId="78A33FBA">
      <w:pPr>
        <w:ind w:firstLine="420"/>
        <w:rPr>
          <w:rFonts w:ascii="宋体" w:hAnsi="宋体" w:cs="宋体"/>
        </w:rPr>
      </w:pPr>
      <w:r>
        <w:rPr>
          <w:rFonts w:hint="eastAsia" w:ascii="宋体" w:hAnsi="宋体" w:cs="宋体"/>
        </w:rPr>
        <w:t>洞旁有创建于唐代的洞真古观。还有南方国共合作抗日谈判遗址。1937年9月6日，陈毅下山与国民党代表在此举行第一次谈判，新四军抗日的第一声号角从这里吹响。</w:t>
      </w:r>
    </w:p>
    <w:p w14:paraId="2FD4BB65">
      <w:pPr>
        <w:ind w:firstLine="422"/>
        <w:rPr>
          <w:rFonts w:ascii="宋体" w:hAnsi="宋体" w:cs="宋体"/>
          <w:b/>
          <w:bCs/>
        </w:rPr>
      </w:pPr>
      <w:r>
        <w:rPr>
          <w:rFonts w:hint="eastAsia" w:ascii="宋体" w:hAnsi="宋体" w:cs="宋体"/>
          <w:b/>
          <w:bCs/>
        </w:rPr>
        <w:t>莲开净寺</w:t>
      </w:r>
    </w:p>
    <w:p w14:paraId="7582EB97">
      <w:pPr>
        <w:ind w:firstLine="420"/>
        <w:rPr>
          <w:rFonts w:ascii="宋体" w:hAnsi="宋体" w:cs="宋体"/>
        </w:rPr>
      </w:pPr>
      <w:r>
        <w:rPr>
          <w:rFonts w:hint="eastAsia" w:ascii="宋体" w:hAnsi="宋体" w:cs="宋体"/>
        </w:rPr>
        <w:t>位于市区东约1公里，原名莲社庵，创建于明天启六年（1626年），1996年兴工重建，2001年开光，更为今名。该寺按佛教丛林殿堂设计，由山门、天王殿、大雄宝殿、鼓楼、藏经楼组成，属四进三庭，对称式宫廷四合院仿宋佛教建筑，是江南地区规模最大的独式尼众法寺，设有尼众佛学讲经堂。</w:t>
      </w:r>
    </w:p>
    <w:p w14:paraId="56422354">
      <w:pPr>
        <w:ind w:firstLine="420"/>
        <w:rPr>
          <w:rFonts w:ascii="宋体" w:hAnsi="宋体" w:cs="宋体"/>
        </w:rPr>
      </w:pPr>
      <w:r>
        <w:rPr>
          <w:rFonts w:hint="eastAsia" w:ascii="宋体" w:hAnsi="宋体" w:cs="宋体"/>
        </w:rPr>
        <w:t>莲开净寺地势开阔，视野宽敞，环境清净，荷塘环绕，莲叶亭亭。这里既是佛门参禅悟道，净化心灵的幽静道场，又是信众、游人瞻仰佛教文化，清心养性的旅游胜地。</w:t>
      </w:r>
    </w:p>
    <w:p w14:paraId="7FB108B2">
      <w:pPr>
        <w:ind w:firstLine="422"/>
        <w:rPr>
          <w:rFonts w:ascii="宋体" w:hAnsi="宋体" w:cs="宋体"/>
          <w:b/>
          <w:bCs/>
        </w:rPr>
      </w:pPr>
      <w:r>
        <w:rPr>
          <w:rFonts w:hint="eastAsia" w:ascii="宋体" w:hAnsi="宋体" w:cs="宋体"/>
          <w:b/>
          <w:bCs/>
        </w:rPr>
        <w:t>苍石奇谷</w:t>
      </w:r>
    </w:p>
    <w:p w14:paraId="05103394">
      <w:pPr>
        <w:ind w:firstLine="420"/>
        <w:rPr>
          <w:rFonts w:ascii="宋体" w:hAnsi="宋体" w:cs="宋体"/>
        </w:rPr>
      </w:pPr>
      <w:r>
        <w:rPr>
          <w:rFonts w:hint="eastAsia" w:ascii="宋体" w:hAnsi="宋体" w:cs="宋体"/>
        </w:rPr>
        <w:t>位于市区西15公里，东部为紫色砂页岩，俗称“红岭”；西部为石英砂岩，俗称“白岩”。红岭白岩，地貌奇特。东部红石山峰突兀而起，峡谷纵深，壁立千仞。岩表沟壑万千，似瀑流飞泻，险象环生。在突兀的孤峰壁立处，生长着苍劲的黄山松，状如迎客，形态罕见。登峰东眺，红峦起伏，回首西望，松林如海。</w:t>
      </w:r>
    </w:p>
    <w:p w14:paraId="5B7D5D03">
      <w:pPr>
        <w:ind w:firstLine="420"/>
        <w:rPr>
          <w:rFonts w:ascii="宋体" w:hAnsi="宋体" w:cs="宋体"/>
        </w:rPr>
      </w:pPr>
      <w:r>
        <w:rPr>
          <w:rFonts w:hint="eastAsia" w:ascii="宋体" w:hAnsi="宋体" w:cs="宋体"/>
        </w:rPr>
        <w:t>苍石不仅是旅游、探险的好去处，而且也是地质科学考察和地理实习的难得场所。主要胜景有苍石寨、情人谷、五龙潭、寡婆桥等。</w:t>
      </w:r>
    </w:p>
    <w:p w14:paraId="139A23AE">
      <w:pPr>
        <w:ind w:firstLine="422"/>
        <w:rPr>
          <w:rFonts w:ascii="宋体" w:hAnsi="宋体" w:cs="宋体"/>
          <w:b/>
          <w:bCs/>
        </w:rPr>
      </w:pPr>
      <w:r>
        <w:rPr>
          <w:rFonts w:hint="eastAsia" w:ascii="宋体" w:hAnsi="宋体" w:cs="宋体"/>
          <w:b/>
          <w:bCs/>
        </w:rPr>
        <w:t>三影宝塔</w:t>
      </w:r>
    </w:p>
    <w:p w14:paraId="74BA2A48">
      <w:pPr>
        <w:ind w:firstLine="420"/>
        <w:rPr>
          <w:rFonts w:ascii="宋体" w:hAnsi="宋体" w:cs="宋体"/>
        </w:rPr>
      </w:pPr>
      <w:r>
        <w:rPr>
          <w:rFonts w:hint="eastAsia" w:ascii="宋体" w:hAnsi="宋体" w:cs="宋体"/>
        </w:rPr>
        <w:t>该塔是建于公元1009年的宋代名塔，古时因有一塔三影的奇观而得名。塔呈六角，共9层，塔高50.2米，塔顶为覆盖宝瓶的铜葫芦，每层檐角下悬吊铜铃，微风过处，铃声叮当。塔内置有木梯可供上下。游人拾级而上，可达顶层，凭栏远眺，雄州景色尽收眼底，令人心旷神怡。2002年市委市政府开发了26000平方米的三影塔广场，内有市博物馆、步行街、游乐场等，成为南雄市观光旅游、文化娱乐、休闲购物的城市活动中心。</w:t>
      </w:r>
    </w:p>
    <w:p w14:paraId="59A92E06">
      <w:pPr>
        <w:ind w:firstLine="422"/>
        <w:rPr>
          <w:rFonts w:ascii="宋体" w:hAnsi="宋体" w:cs="宋体"/>
          <w:b/>
          <w:bCs/>
        </w:rPr>
      </w:pPr>
      <w:r>
        <w:rPr>
          <w:rFonts w:hint="eastAsia" w:ascii="宋体" w:hAnsi="宋体" w:cs="宋体"/>
          <w:b/>
          <w:bCs/>
        </w:rPr>
        <w:t>古城流韵</w:t>
      </w:r>
    </w:p>
    <w:p w14:paraId="7BBC8886">
      <w:pPr>
        <w:ind w:firstLine="420"/>
        <w:rPr>
          <w:rFonts w:ascii="宋体" w:hAnsi="宋体" w:cs="宋体"/>
        </w:rPr>
      </w:pPr>
      <w:r>
        <w:rPr>
          <w:rFonts w:hint="eastAsia" w:ascii="宋体" w:hAnsi="宋体" w:cs="宋体"/>
        </w:rPr>
        <w:t>南雄是广东省历史文化名城，建置始于唐光宅元年（684年），而建城始于宋皇祐四年（1052年）。经近千年的沧桑，古城余韵犹历历在目。</w:t>
      </w:r>
    </w:p>
    <w:p w14:paraId="47FB66D7">
      <w:pPr>
        <w:ind w:firstLine="420"/>
        <w:rPr>
          <w:rFonts w:ascii="宋体" w:hAnsi="宋体" w:cs="宋体"/>
        </w:rPr>
      </w:pPr>
      <w:r>
        <w:rPr>
          <w:rFonts w:hint="eastAsia" w:ascii="宋体" w:hAnsi="宋体" w:cs="宋体"/>
        </w:rPr>
        <w:t>今存大成殿，原为学宫，始建于明建文元年（1399年）。古城墙，尚存沿浈江北岸水城，始建于明成化五年（1469年），城基完好，2005年已修复，并在古城码头原址上重建了3座门楼（即青云门楼、云衢门楼、皇华门楼）。正南门，始建于宋皇祐四年，明万历二十三年（1595年）重修，有知府张东旸题刻“正南门”匾额。广州会馆，是古代在南雄经商的广州府属南海、番禺、顺德等地商人为联络乡情而建的同乡会馆。会馆以青石和青砖建成，设计精巧，富丽堂皇，是市区保存最完好的清代建筑。还有建于明代的奎星阁以及古井、古榕、古宅等颇具特色的古迹。</w:t>
      </w:r>
    </w:p>
    <w:p w14:paraId="11492982">
      <w:pPr>
        <w:ind w:firstLine="422"/>
        <w:rPr>
          <w:rFonts w:ascii="宋体" w:hAnsi="宋体" w:cs="宋体"/>
          <w:b/>
          <w:bCs/>
        </w:rPr>
      </w:pPr>
      <w:r>
        <w:rPr>
          <w:rFonts w:hint="eastAsia" w:ascii="宋体" w:hAnsi="宋体" w:cs="宋体"/>
          <w:b/>
          <w:bCs/>
        </w:rPr>
        <w:t>红层龙踪</w:t>
      </w:r>
    </w:p>
    <w:p w14:paraId="0DA42AE7">
      <w:pPr>
        <w:ind w:firstLine="420"/>
        <w:rPr>
          <w:rFonts w:ascii="宋体" w:hAnsi="宋体" w:cs="宋体"/>
        </w:rPr>
      </w:pPr>
      <w:r>
        <w:rPr>
          <w:rFonts w:hint="eastAsia" w:ascii="宋体" w:hAnsi="宋体" w:cs="宋体"/>
        </w:rPr>
        <w:t>南雄红层素负盛名，在白垩纪晚期和早第三纪红层中，“罗佛寨组”、“上湖组”、“浓山组”、“大塘组”、“南雄群”已作为地质名词在世界上被正式采用。南雄红层蕴藏着各种各样的古生物化石，有恐龙、恐龙蛋、恐龙脚印、阶齿兽、贫齿兽、鳄鱼、龟、螺、各种介形类、轮藻类和硅化木等化石。南雄被称为“恐龙之乡”，是世界上研究恐龙最好的地方。1992年12月，县人民政府划定了5处红层保护区。2005年4月，又被广东省人民政府定为省级保护区，总面积为42.21平方公里。</w:t>
      </w:r>
    </w:p>
    <w:p w14:paraId="2D3063C7">
      <w:pPr>
        <w:ind w:firstLine="422"/>
        <w:rPr>
          <w:rFonts w:ascii="宋体" w:hAnsi="宋体" w:cs="宋体"/>
          <w:b/>
          <w:bCs/>
        </w:rPr>
      </w:pPr>
      <w:r>
        <w:rPr>
          <w:rFonts w:hint="eastAsia" w:ascii="宋体" w:hAnsi="宋体" w:cs="宋体"/>
          <w:b/>
          <w:bCs/>
        </w:rPr>
        <w:t>碧水青嶂</w:t>
      </w:r>
    </w:p>
    <w:p w14:paraId="2C33BF3C">
      <w:pPr>
        <w:ind w:firstLine="420"/>
        <w:rPr>
          <w:rFonts w:ascii="宋体" w:hAnsi="宋体" w:cs="宋体"/>
        </w:rPr>
      </w:pPr>
      <w:r>
        <w:rPr>
          <w:rFonts w:hint="eastAsia" w:ascii="宋体" w:hAnsi="宋体" w:cs="宋体"/>
        </w:rPr>
        <w:t>青嶂山是南雄市东南最高峰，山体面积100多平方公里，主峰海拔916米。境内以高山天池、杜鹃彩霞、松涛竹海、瀑布平湖、健身温泉等景点最为著名，水鹿、白鹇、穿山甲、水杉、观光木、半枫荷等珍稀动植物广布其间。青峰山是南雄盆地的重要生态屏障。站立山顶，南雄市区和南雄盆地尽收眼底。碧水青嶂，可谓奇秀甲东南。</w:t>
      </w:r>
    </w:p>
    <w:p w14:paraId="32597EFD">
      <w:pPr>
        <w:pStyle w:val="5"/>
        <w:rPr>
          <w:rFonts w:ascii="宋体" w:hAnsi="宋体" w:cs="宋体"/>
        </w:rPr>
      </w:pPr>
      <w:r>
        <w:rPr>
          <w:rFonts w:hint="eastAsia" w:ascii="宋体" w:hAnsi="宋体" w:cs="宋体"/>
        </w:rPr>
        <w:t>二、南雄古六景</w:t>
      </w:r>
    </w:p>
    <w:p w14:paraId="206D7715">
      <w:pPr>
        <w:ind w:firstLine="422"/>
        <w:rPr>
          <w:rFonts w:ascii="宋体" w:hAnsi="宋体" w:cs="宋体"/>
        </w:rPr>
      </w:pPr>
      <w:r>
        <w:rPr>
          <w:rFonts w:hint="eastAsia" w:ascii="宋体" w:hAnsi="宋体" w:cs="宋体"/>
          <w:b/>
          <w:bCs/>
        </w:rPr>
        <w:t xml:space="preserve">庾岭寒梅  </w:t>
      </w:r>
      <w:r>
        <w:rPr>
          <w:rFonts w:hint="eastAsia" w:ascii="宋体" w:hAnsi="宋体" w:cs="宋体"/>
        </w:rPr>
        <w:t>《直隶南雄州志》载：“城北九十里，即梅关也，梅树参差，至腊月，南枝先开，北枝后开，疏影横斜，暗香浮动，佳致可人。”</w:t>
      </w:r>
    </w:p>
    <w:p w14:paraId="1DE7AC6C">
      <w:pPr>
        <w:ind w:firstLine="422"/>
        <w:rPr>
          <w:rFonts w:ascii="宋体" w:hAnsi="宋体" w:cs="宋体"/>
        </w:rPr>
      </w:pPr>
      <w:r>
        <w:rPr>
          <w:rFonts w:hint="eastAsia" w:ascii="宋体" w:hAnsi="宋体" w:cs="宋体"/>
          <w:b/>
          <w:bCs/>
        </w:rPr>
        <w:t>官道虬松</w:t>
      </w:r>
      <w:r>
        <w:rPr>
          <w:rFonts w:hint="eastAsia" w:ascii="宋体" w:hAnsi="宋体" w:cs="宋体"/>
        </w:rPr>
        <w:t xml:space="preserve">  《直隶南雄州志》载：“距梅关二十里，唐张九龄植松道旁。宋嘉祐间，漕使蔡抗奉旨增植。元泰定间，郡守丁公添植，夹道阴翳，形若虬龙。”</w:t>
      </w:r>
    </w:p>
    <w:p w14:paraId="374A32B9">
      <w:pPr>
        <w:ind w:firstLine="422"/>
        <w:rPr>
          <w:rFonts w:ascii="宋体" w:hAnsi="宋体" w:cs="宋体"/>
        </w:rPr>
      </w:pPr>
      <w:r>
        <w:rPr>
          <w:rFonts w:hint="eastAsia" w:ascii="宋体" w:hAnsi="宋体" w:cs="宋体"/>
          <w:b/>
          <w:bCs/>
        </w:rPr>
        <w:t xml:space="preserve">灵岩瀑布 </w:t>
      </w:r>
      <w:r>
        <w:rPr>
          <w:rFonts w:hint="eastAsia" w:ascii="宋体" w:hAnsi="宋体" w:cs="宋体"/>
        </w:rPr>
        <w:t xml:space="preserve"> 《直隶南雄州志》载：“杨历岩以汉楼船将军杨仆经此得名。山顶方广百余丈，前后皆奇峰怪石，有潭深二丈许，绝壁有瀑布，内建祇林寺，瀑布为寺之屏。……岩下又有一岩，如巨口吸水，水喷薄至雨花台，乃成溪，潭旁有大小蒲团石。”原祇林寺中有众多菩萨，“生佛殿”有唐成公祖师肉身，又号澄虚大师。重阳佳节登山拜佛者甚众。祗林寺毁于1958年，瀑布亦因水源减少，并被引渠灌溉而不复存在。</w:t>
      </w:r>
    </w:p>
    <w:p w14:paraId="3AF61FF5">
      <w:pPr>
        <w:ind w:firstLine="422"/>
        <w:rPr>
          <w:rFonts w:ascii="宋体" w:hAnsi="宋体" w:cs="宋体"/>
        </w:rPr>
      </w:pPr>
      <w:r>
        <w:rPr>
          <w:rFonts w:hint="eastAsia" w:ascii="宋体" w:hAnsi="宋体" w:cs="宋体"/>
          <w:b/>
          <w:bCs/>
        </w:rPr>
        <w:t xml:space="preserve">凌江秋月  </w:t>
      </w:r>
      <w:r>
        <w:rPr>
          <w:rFonts w:hint="eastAsia" w:ascii="宋体" w:hAnsi="宋体" w:cs="宋体"/>
        </w:rPr>
        <w:t>《直隶南雄州志》载：“在城西，其水抱城而流，澄清莹澈，秋高月明，一色朗映，视他水为异，故名焉。”今凌江水浅，此景不存。</w:t>
      </w:r>
    </w:p>
    <w:p w14:paraId="11B1726F">
      <w:pPr>
        <w:ind w:firstLine="422"/>
        <w:rPr>
          <w:rFonts w:ascii="宋体" w:hAnsi="宋体" w:cs="宋体"/>
        </w:rPr>
      </w:pPr>
      <w:r>
        <w:rPr>
          <w:rFonts w:hint="eastAsia" w:ascii="宋体" w:hAnsi="宋体" w:cs="宋体"/>
          <w:b/>
          <w:bCs/>
        </w:rPr>
        <w:t xml:space="preserve">阴晴塔影  </w:t>
      </w:r>
      <w:r>
        <w:rPr>
          <w:rFonts w:hint="eastAsia" w:ascii="宋体" w:hAnsi="宋体" w:cs="宋体"/>
        </w:rPr>
        <w:t>《直隶南雄州志》载：“在延祥寺中，世传祥符二年已酉，异人建塔，其影有三，因立三影堂。其影阴晴俱见于壁间，二影倒悬，一影向上。见于厅堂间则吉，见于房室中则凶。”今塔在而堂影早无。</w:t>
      </w:r>
    </w:p>
    <w:p w14:paraId="55F1AF11">
      <w:pPr>
        <w:ind w:firstLine="422"/>
        <w:rPr>
          <w:rFonts w:ascii="宋体" w:hAnsi="宋体" w:cs="宋体"/>
        </w:rPr>
      </w:pPr>
      <w:r>
        <w:rPr>
          <w:rFonts w:hint="eastAsia" w:ascii="宋体" w:hAnsi="宋体" w:cs="宋体"/>
          <w:b/>
          <w:bCs/>
        </w:rPr>
        <w:t xml:space="preserve">温煦泉源 </w:t>
      </w:r>
      <w:r>
        <w:rPr>
          <w:rFonts w:hint="eastAsia" w:ascii="宋体" w:hAnsi="宋体" w:cs="宋体"/>
        </w:rPr>
        <w:t xml:space="preserve"> 《直隶南雄州志》载：“有二：一在城南十五里下坪；一在城西十五里修仁都（今暖水塘村），温泉旁砌石池，可以注水洩水，覆以亭，亭外有庵，邑人祓禊于此。”两泉犹存。</w:t>
      </w:r>
    </w:p>
    <w:p w14:paraId="6A96FCBB">
      <w:pPr>
        <w:pStyle w:val="2"/>
        <w:rPr>
          <w:rFonts w:ascii="宋体" w:hAnsi="宋体" w:cs="宋体"/>
        </w:rPr>
      </w:pPr>
      <w:r>
        <w:rPr>
          <w:rFonts w:hint="eastAsia" w:ascii="宋体" w:hAnsi="宋体" w:cs="宋体"/>
        </w:rPr>
        <w:t>第六编  社会</w:t>
      </w:r>
    </w:p>
    <w:p w14:paraId="76677AB0">
      <w:pPr>
        <w:pStyle w:val="3"/>
        <w:rPr>
          <w:rFonts w:ascii="宋体" w:hAnsi="宋体" w:cs="宋体"/>
        </w:rPr>
      </w:pPr>
      <w:r>
        <w:rPr>
          <w:rFonts w:hint="eastAsia" w:ascii="宋体" w:hAnsi="宋体" w:cs="宋体"/>
        </w:rPr>
        <w:t>第一章  人口  姓氏  民族</w:t>
      </w:r>
    </w:p>
    <w:p w14:paraId="669595A6">
      <w:pPr>
        <w:pStyle w:val="4"/>
        <w:rPr>
          <w:rFonts w:ascii="宋体" w:hAnsi="宋体" w:cs="宋体"/>
        </w:rPr>
      </w:pPr>
      <w:r>
        <w:rPr>
          <w:rFonts w:hint="eastAsia" w:ascii="宋体" w:hAnsi="宋体" w:cs="宋体"/>
        </w:rPr>
        <w:t>第一节  人口</w:t>
      </w:r>
    </w:p>
    <w:p w14:paraId="64A148F3">
      <w:pPr>
        <w:ind w:firstLine="420"/>
        <w:rPr>
          <w:rFonts w:ascii="宋体" w:hAnsi="宋体" w:cs="宋体"/>
        </w:rPr>
      </w:pPr>
      <w:r>
        <w:rPr>
          <w:rFonts w:hint="eastAsia" w:ascii="宋体" w:hAnsi="宋体" w:cs="宋体"/>
        </w:rPr>
        <w:t>新中国成立初期人口22万多人，1979年为381925人，30年增长73.6%，平均年增长2.48个百分点。以后由于计划生育工作的不断加强，人口增长速度减缓。2004年人口为457883人，比1979年增长19.88%，25年平均年增长0.7个百分点。</w:t>
      </w:r>
    </w:p>
    <w:p w14:paraId="1E1984DB">
      <w:pPr>
        <w:pStyle w:val="5"/>
        <w:rPr>
          <w:rFonts w:ascii="宋体" w:hAnsi="宋体" w:cs="宋体"/>
        </w:rPr>
      </w:pPr>
      <w:r>
        <w:rPr>
          <w:rFonts w:hint="eastAsia" w:ascii="宋体" w:hAnsi="宋体" w:cs="宋体"/>
        </w:rPr>
        <w:t>一、人口变化</w:t>
      </w:r>
    </w:p>
    <w:p w14:paraId="28D12C4A">
      <w:pPr>
        <w:ind w:firstLine="420"/>
        <w:rPr>
          <w:rFonts w:ascii="宋体" w:hAnsi="宋体" w:cs="宋体"/>
        </w:rPr>
      </w:pPr>
      <w:r>
        <w:rPr>
          <w:rFonts w:hint="eastAsia" w:ascii="宋体" w:hAnsi="宋体" w:cs="宋体"/>
        </w:rPr>
        <w:t>新中国成立后人口见表6-1～6-2：</w:t>
      </w:r>
    </w:p>
    <w:p w14:paraId="267E4326">
      <w:pPr>
        <w:ind w:firstLine="422"/>
        <w:jc w:val="center"/>
        <w:rPr>
          <w:rFonts w:ascii="宋体" w:hAnsi="宋体" w:cs="宋体"/>
          <w:b/>
          <w:bCs/>
        </w:rPr>
      </w:pPr>
      <w:r>
        <w:rPr>
          <w:rFonts w:hint="eastAsia" w:ascii="宋体" w:hAnsi="宋体" w:cs="宋体"/>
          <w:b/>
          <w:bCs/>
        </w:rPr>
        <w:t>1949年至1987年人口统计</w:t>
      </w:r>
    </w:p>
    <w:p w14:paraId="7FD7A9F0">
      <w:pPr>
        <w:ind w:firstLine="0" w:firstLineChars="0"/>
        <w:rPr>
          <w:rFonts w:ascii="宋体" w:hAnsi="宋体" w:cs="宋体"/>
          <w:b/>
          <w:bCs/>
        </w:rPr>
      </w:pPr>
      <w:r>
        <w:rPr>
          <w:rFonts w:hint="eastAsia" w:ascii="宋体" w:hAnsi="宋体" w:cs="宋体"/>
          <w:b/>
          <w:bCs/>
        </w:rPr>
        <w:t>表6-1</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5"/>
        <w:gridCol w:w="1245"/>
        <w:gridCol w:w="1245"/>
        <w:gridCol w:w="1245"/>
        <w:gridCol w:w="1245"/>
        <w:gridCol w:w="1245"/>
        <w:gridCol w:w="1246"/>
        <w:gridCol w:w="1246"/>
      </w:tblGrid>
      <w:tr w14:paraId="69EC35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18236C3D">
            <w:pPr>
              <w:pStyle w:val="12"/>
              <w:jc w:val="center"/>
              <w:rPr>
                <w:b/>
              </w:rPr>
            </w:pPr>
            <w:r>
              <w:rPr>
                <w:rFonts w:hint="eastAsia"/>
                <w:b/>
              </w:rPr>
              <w:t>年度</w:t>
            </w:r>
          </w:p>
        </w:tc>
        <w:tc>
          <w:tcPr>
            <w:tcW w:w="625" w:type="pct"/>
            <w:vAlign w:val="center"/>
          </w:tcPr>
          <w:p w14:paraId="3D36D2F0">
            <w:pPr>
              <w:pStyle w:val="12"/>
              <w:jc w:val="center"/>
              <w:rPr>
                <w:b/>
              </w:rPr>
            </w:pPr>
            <w:r>
              <w:rPr>
                <w:rFonts w:hint="eastAsia"/>
                <w:b/>
              </w:rPr>
              <w:t>总户数（户）</w:t>
            </w:r>
          </w:p>
        </w:tc>
        <w:tc>
          <w:tcPr>
            <w:tcW w:w="625" w:type="pct"/>
            <w:vAlign w:val="center"/>
          </w:tcPr>
          <w:p w14:paraId="276A9E00">
            <w:pPr>
              <w:pStyle w:val="12"/>
              <w:jc w:val="center"/>
              <w:rPr>
                <w:b/>
              </w:rPr>
            </w:pPr>
            <w:r>
              <w:rPr>
                <w:rFonts w:hint="eastAsia"/>
                <w:b/>
              </w:rPr>
              <w:t>总人口（人）</w:t>
            </w:r>
          </w:p>
        </w:tc>
        <w:tc>
          <w:tcPr>
            <w:tcW w:w="625" w:type="pct"/>
            <w:vAlign w:val="center"/>
          </w:tcPr>
          <w:p w14:paraId="6E7B3024">
            <w:pPr>
              <w:pStyle w:val="12"/>
              <w:jc w:val="center"/>
              <w:rPr>
                <w:b/>
              </w:rPr>
            </w:pPr>
            <w:r>
              <w:rPr>
                <w:rFonts w:hint="eastAsia"/>
                <w:b/>
              </w:rPr>
              <w:t>比上年增（%）</w:t>
            </w:r>
          </w:p>
        </w:tc>
        <w:tc>
          <w:tcPr>
            <w:tcW w:w="625" w:type="pct"/>
            <w:vAlign w:val="center"/>
          </w:tcPr>
          <w:p w14:paraId="65A6FBA5">
            <w:pPr>
              <w:pStyle w:val="12"/>
              <w:jc w:val="center"/>
              <w:rPr>
                <w:b/>
              </w:rPr>
            </w:pPr>
            <w:r>
              <w:rPr>
                <w:rFonts w:hint="eastAsia"/>
                <w:b/>
              </w:rPr>
              <w:t>年度</w:t>
            </w:r>
          </w:p>
        </w:tc>
        <w:tc>
          <w:tcPr>
            <w:tcW w:w="625" w:type="pct"/>
            <w:vAlign w:val="center"/>
          </w:tcPr>
          <w:p w14:paraId="79E15911">
            <w:pPr>
              <w:pStyle w:val="12"/>
              <w:jc w:val="center"/>
              <w:rPr>
                <w:b/>
              </w:rPr>
            </w:pPr>
            <w:r>
              <w:rPr>
                <w:rFonts w:hint="eastAsia"/>
                <w:b/>
              </w:rPr>
              <w:t>总户数（户）</w:t>
            </w:r>
          </w:p>
        </w:tc>
        <w:tc>
          <w:tcPr>
            <w:tcW w:w="625" w:type="pct"/>
            <w:vAlign w:val="center"/>
          </w:tcPr>
          <w:p w14:paraId="2BA7B6E4">
            <w:pPr>
              <w:pStyle w:val="12"/>
              <w:jc w:val="center"/>
              <w:rPr>
                <w:b/>
              </w:rPr>
            </w:pPr>
            <w:r>
              <w:rPr>
                <w:rFonts w:hint="eastAsia"/>
                <w:b/>
              </w:rPr>
              <w:t>总人口（人）</w:t>
            </w:r>
          </w:p>
        </w:tc>
        <w:tc>
          <w:tcPr>
            <w:tcW w:w="625" w:type="pct"/>
            <w:vAlign w:val="center"/>
          </w:tcPr>
          <w:p w14:paraId="4EAF6B84">
            <w:pPr>
              <w:pStyle w:val="12"/>
              <w:jc w:val="center"/>
              <w:rPr>
                <w:b/>
              </w:rPr>
            </w:pPr>
            <w:r>
              <w:rPr>
                <w:rFonts w:hint="eastAsia"/>
                <w:b/>
              </w:rPr>
              <w:t>比上年增（%）</w:t>
            </w:r>
          </w:p>
        </w:tc>
      </w:tr>
      <w:tr w14:paraId="325D7E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0CF438F0">
            <w:pPr>
              <w:pStyle w:val="12"/>
              <w:jc w:val="center"/>
            </w:pPr>
            <w:r>
              <w:t>1949</w:t>
            </w:r>
          </w:p>
        </w:tc>
        <w:tc>
          <w:tcPr>
            <w:tcW w:w="625" w:type="pct"/>
            <w:vAlign w:val="center"/>
          </w:tcPr>
          <w:p w14:paraId="186615D4">
            <w:pPr>
              <w:pStyle w:val="12"/>
              <w:jc w:val="center"/>
            </w:pPr>
            <w:r>
              <w:t>57045</w:t>
            </w:r>
          </w:p>
        </w:tc>
        <w:tc>
          <w:tcPr>
            <w:tcW w:w="625" w:type="pct"/>
            <w:vAlign w:val="center"/>
          </w:tcPr>
          <w:p w14:paraId="2E3E5540">
            <w:pPr>
              <w:pStyle w:val="12"/>
              <w:jc w:val="center"/>
            </w:pPr>
            <w:r>
              <w:t>222499</w:t>
            </w:r>
          </w:p>
        </w:tc>
        <w:tc>
          <w:tcPr>
            <w:tcW w:w="625" w:type="pct"/>
            <w:vAlign w:val="center"/>
          </w:tcPr>
          <w:p w14:paraId="1A473CA1">
            <w:pPr>
              <w:pStyle w:val="12"/>
              <w:jc w:val="center"/>
            </w:pPr>
            <w:r>
              <w:t>—</w:t>
            </w:r>
          </w:p>
        </w:tc>
        <w:tc>
          <w:tcPr>
            <w:tcW w:w="625" w:type="pct"/>
            <w:vAlign w:val="center"/>
          </w:tcPr>
          <w:p w14:paraId="49DCCFAE">
            <w:pPr>
              <w:pStyle w:val="12"/>
              <w:jc w:val="center"/>
            </w:pPr>
            <w:r>
              <w:t>1955</w:t>
            </w:r>
          </w:p>
        </w:tc>
        <w:tc>
          <w:tcPr>
            <w:tcW w:w="625" w:type="pct"/>
            <w:vAlign w:val="center"/>
          </w:tcPr>
          <w:p w14:paraId="249BBFF5">
            <w:pPr>
              <w:pStyle w:val="12"/>
              <w:jc w:val="center"/>
            </w:pPr>
            <w:r>
              <w:t>55008</w:t>
            </w:r>
          </w:p>
        </w:tc>
        <w:tc>
          <w:tcPr>
            <w:tcW w:w="625" w:type="pct"/>
            <w:vAlign w:val="center"/>
          </w:tcPr>
          <w:p w14:paraId="696084CC">
            <w:pPr>
              <w:pStyle w:val="12"/>
              <w:jc w:val="center"/>
            </w:pPr>
            <w:r>
              <w:t>231578</w:t>
            </w:r>
          </w:p>
        </w:tc>
        <w:tc>
          <w:tcPr>
            <w:tcW w:w="625" w:type="pct"/>
            <w:vAlign w:val="center"/>
          </w:tcPr>
          <w:p w14:paraId="29DC094E">
            <w:pPr>
              <w:pStyle w:val="12"/>
              <w:jc w:val="center"/>
            </w:pPr>
            <w:r>
              <w:t>3.1</w:t>
            </w:r>
          </w:p>
        </w:tc>
      </w:tr>
      <w:tr w14:paraId="72056B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734DE83E">
            <w:pPr>
              <w:pStyle w:val="12"/>
              <w:jc w:val="center"/>
            </w:pPr>
            <w:r>
              <w:t>1950</w:t>
            </w:r>
          </w:p>
        </w:tc>
        <w:tc>
          <w:tcPr>
            <w:tcW w:w="625" w:type="pct"/>
            <w:vAlign w:val="center"/>
          </w:tcPr>
          <w:p w14:paraId="048CC3C2">
            <w:pPr>
              <w:pStyle w:val="12"/>
              <w:jc w:val="center"/>
            </w:pPr>
            <w:r>
              <w:t>48992</w:t>
            </w:r>
          </w:p>
        </w:tc>
        <w:tc>
          <w:tcPr>
            <w:tcW w:w="625" w:type="pct"/>
            <w:vAlign w:val="center"/>
          </w:tcPr>
          <w:p w14:paraId="6237360A">
            <w:pPr>
              <w:pStyle w:val="12"/>
              <w:jc w:val="center"/>
            </w:pPr>
            <w:r>
              <w:t>211603</w:t>
            </w:r>
          </w:p>
        </w:tc>
        <w:tc>
          <w:tcPr>
            <w:tcW w:w="625" w:type="pct"/>
            <w:vAlign w:val="center"/>
          </w:tcPr>
          <w:p w14:paraId="2845B49E">
            <w:pPr>
              <w:pStyle w:val="12"/>
              <w:jc w:val="center"/>
            </w:pPr>
            <w:r>
              <w:rPr>
                <w:rFonts w:hint="eastAsia"/>
              </w:rPr>
              <w:t>-</w:t>
            </w:r>
            <w:r>
              <w:t>4</w:t>
            </w:r>
          </w:p>
        </w:tc>
        <w:tc>
          <w:tcPr>
            <w:tcW w:w="625" w:type="pct"/>
            <w:vAlign w:val="center"/>
          </w:tcPr>
          <w:p w14:paraId="3E2B57CA">
            <w:pPr>
              <w:pStyle w:val="12"/>
              <w:jc w:val="center"/>
            </w:pPr>
            <w:r>
              <w:t>1956</w:t>
            </w:r>
          </w:p>
        </w:tc>
        <w:tc>
          <w:tcPr>
            <w:tcW w:w="625" w:type="pct"/>
            <w:vAlign w:val="center"/>
          </w:tcPr>
          <w:p w14:paraId="08404401">
            <w:pPr>
              <w:pStyle w:val="12"/>
              <w:jc w:val="center"/>
            </w:pPr>
            <w:r>
              <w:t>54353</w:t>
            </w:r>
          </w:p>
        </w:tc>
        <w:tc>
          <w:tcPr>
            <w:tcW w:w="625" w:type="pct"/>
            <w:vAlign w:val="center"/>
          </w:tcPr>
          <w:p w14:paraId="60BF1FE1">
            <w:pPr>
              <w:pStyle w:val="12"/>
              <w:jc w:val="center"/>
            </w:pPr>
            <w:r>
              <w:t>233729</w:t>
            </w:r>
          </w:p>
        </w:tc>
        <w:tc>
          <w:tcPr>
            <w:tcW w:w="625" w:type="pct"/>
            <w:vAlign w:val="center"/>
          </w:tcPr>
          <w:p w14:paraId="4F29AB72">
            <w:pPr>
              <w:pStyle w:val="12"/>
              <w:jc w:val="center"/>
            </w:pPr>
            <w:r>
              <w:t>0.9</w:t>
            </w:r>
          </w:p>
        </w:tc>
      </w:tr>
      <w:tr w14:paraId="1FC1B0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3D1D5817">
            <w:pPr>
              <w:pStyle w:val="12"/>
              <w:jc w:val="center"/>
            </w:pPr>
            <w:r>
              <w:t>1951</w:t>
            </w:r>
          </w:p>
        </w:tc>
        <w:tc>
          <w:tcPr>
            <w:tcW w:w="625" w:type="pct"/>
            <w:vAlign w:val="center"/>
          </w:tcPr>
          <w:p w14:paraId="25708970">
            <w:pPr>
              <w:pStyle w:val="12"/>
              <w:jc w:val="center"/>
            </w:pPr>
            <w:r>
              <w:t>49917</w:t>
            </w:r>
          </w:p>
        </w:tc>
        <w:tc>
          <w:tcPr>
            <w:tcW w:w="625" w:type="pct"/>
            <w:vAlign w:val="center"/>
          </w:tcPr>
          <w:p w14:paraId="69834AA9">
            <w:pPr>
              <w:pStyle w:val="12"/>
              <w:jc w:val="center"/>
            </w:pPr>
            <w:r>
              <w:t>214448</w:t>
            </w:r>
          </w:p>
        </w:tc>
        <w:tc>
          <w:tcPr>
            <w:tcW w:w="625" w:type="pct"/>
            <w:vAlign w:val="center"/>
          </w:tcPr>
          <w:p w14:paraId="41B97B83">
            <w:pPr>
              <w:pStyle w:val="12"/>
              <w:jc w:val="center"/>
            </w:pPr>
            <w:r>
              <w:t>1.3</w:t>
            </w:r>
          </w:p>
        </w:tc>
        <w:tc>
          <w:tcPr>
            <w:tcW w:w="625" w:type="pct"/>
            <w:vAlign w:val="center"/>
          </w:tcPr>
          <w:p w14:paraId="5C22648F">
            <w:pPr>
              <w:pStyle w:val="12"/>
              <w:jc w:val="center"/>
            </w:pPr>
            <w:r>
              <w:t>1957</w:t>
            </w:r>
          </w:p>
        </w:tc>
        <w:tc>
          <w:tcPr>
            <w:tcW w:w="625" w:type="pct"/>
            <w:vAlign w:val="center"/>
          </w:tcPr>
          <w:p w14:paraId="66EB6AB7">
            <w:pPr>
              <w:pStyle w:val="12"/>
              <w:jc w:val="center"/>
            </w:pPr>
            <w:r>
              <w:t>52573</w:t>
            </w:r>
          </w:p>
        </w:tc>
        <w:tc>
          <w:tcPr>
            <w:tcW w:w="625" w:type="pct"/>
            <w:vAlign w:val="center"/>
          </w:tcPr>
          <w:p w14:paraId="15C68356">
            <w:pPr>
              <w:pStyle w:val="12"/>
              <w:jc w:val="center"/>
            </w:pPr>
            <w:r>
              <w:t>235402</w:t>
            </w:r>
          </w:p>
        </w:tc>
        <w:tc>
          <w:tcPr>
            <w:tcW w:w="625" w:type="pct"/>
            <w:vAlign w:val="center"/>
          </w:tcPr>
          <w:p w14:paraId="4D0EC782">
            <w:pPr>
              <w:pStyle w:val="12"/>
              <w:jc w:val="center"/>
            </w:pPr>
            <w:r>
              <w:t>0.7</w:t>
            </w:r>
          </w:p>
        </w:tc>
      </w:tr>
      <w:tr w14:paraId="09C707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672D8467">
            <w:pPr>
              <w:pStyle w:val="12"/>
              <w:jc w:val="center"/>
            </w:pPr>
            <w:r>
              <w:t>1952</w:t>
            </w:r>
          </w:p>
        </w:tc>
        <w:tc>
          <w:tcPr>
            <w:tcW w:w="625" w:type="pct"/>
            <w:vAlign w:val="center"/>
          </w:tcPr>
          <w:p w14:paraId="140A4046">
            <w:pPr>
              <w:pStyle w:val="12"/>
              <w:jc w:val="center"/>
            </w:pPr>
            <w:r>
              <w:t>54447</w:t>
            </w:r>
          </w:p>
        </w:tc>
        <w:tc>
          <w:tcPr>
            <w:tcW w:w="625" w:type="pct"/>
            <w:vAlign w:val="center"/>
          </w:tcPr>
          <w:p w14:paraId="58546C62">
            <w:pPr>
              <w:pStyle w:val="12"/>
              <w:jc w:val="center"/>
            </w:pPr>
            <w:r>
              <w:t>222810</w:t>
            </w:r>
          </w:p>
        </w:tc>
        <w:tc>
          <w:tcPr>
            <w:tcW w:w="625" w:type="pct"/>
            <w:vAlign w:val="center"/>
          </w:tcPr>
          <w:p w14:paraId="64C46A20">
            <w:pPr>
              <w:pStyle w:val="12"/>
              <w:jc w:val="center"/>
            </w:pPr>
            <w:r>
              <w:t>3.9</w:t>
            </w:r>
          </w:p>
        </w:tc>
        <w:tc>
          <w:tcPr>
            <w:tcW w:w="625" w:type="pct"/>
            <w:vAlign w:val="center"/>
          </w:tcPr>
          <w:p w14:paraId="27553306">
            <w:pPr>
              <w:pStyle w:val="12"/>
              <w:jc w:val="center"/>
            </w:pPr>
            <w:r>
              <w:t>1958</w:t>
            </w:r>
          </w:p>
        </w:tc>
        <w:tc>
          <w:tcPr>
            <w:tcW w:w="625" w:type="pct"/>
            <w:vAlign w:val="center"/>
          </w:tcPr>
          <w:p w14:paraId="5CF02A92">
            <w:pPr>
              <w:pStyle w:val="12"/>
              <w:jc w:val="center"/>
            </w:pPr>
            <w:r>
              <w:t>56225</w:t>
            </w:r>
          </w:p>
        </w:tc>
        <w:tc>
          <w:tcPr>
            <w:tcW w:w="625" w:type="pct"/>
            <w:vAlign w:val="center"/>
          </w:tcPr>
          <w:p w14:paraId="276C3F90">
            <w:pPr>
              <w:pStyle w:val="12"/>
              <w:jc w:val="center"/>
            </w:pPr>
            <w:r>
              <w:t>238808</w:t>
            </w:r>
          </w:p>
        </w:tc>
        <w:tc>
          <w:tcPr>
            <w:tcW w:w="625" w:type="pct"/>
            <w:vAlign w:val="center"/>
          </w:tcPr>
          <w:p w14:paraId="2C742FFA">
            <w:pPr>
              <w:pStyle w:val="12"/>
              <w:jc w:val="center"/>
            </w:pPr>
            <w:r>
              <w:t>1.4</w:t>
            </w:r>
          </w:p>
        </w:tc>
      </w:tr>
      <w:tr w14:paraId="0954ED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3632B51C">
            <w:pPr>
              <w:pStyle w:val="12"/>
              <w:jc w:val="center"/>
            </w:pPr>
            <w:r>
              <w:t>1953</w:t>
            </w:r>
          </w:p>
        </w:tc>
        <w:tc>
          <w:tcPr>
            <w:tcW w:w="625" w:type="pct"/>
            <w:vAlign w:val="center"/>
          </w:tcPr>
          <w:p w14:paraId="0884C2B2">
            <w:pPr>
              <w:pStyle w:val="12"/>
              <w:jc w:val="center"/>
            </w:pPr>
            <w:r>
              <w:t>54601</w:t>
            </w:r>
          </w:p>
        </w:tc>
        <w:tc>
          <w:tcPr>
            <w:tcW w:w="625" w:type="pct"/>
            <w:vAlign w:val="center"/>
          </w:tcPr>
          <w:p w14:paraId="05ADFA20">
            <w:pPr>
              <w:pStyle w:val="12"/>
              <w:jc w:val="center"/>
            </w:pPr>
            <w:r>
              <w:t>224512</w:t>
            </w:r>
          </w:p>
        </w:tc>
        <w:tc>
          <w:tcPr>
            <w:tcW w:w="625" w:type="pct"/>
            <w:vAlign w:val="center"/>
          </w:tcPr>
          <w:p w14:paraId="20E4FF5E">
            <w:pPr>
              <w:pStyle w:val="12"/>
              <w:jc w:val="center"/>
            </w:pPr>
            <w:r>
              <w:t>0.76</w:t>
            </w:r>
          </w:p>
        </w:tc>
        <w:tc>
          <w:tcPr>
            <w:tcW w:w="625" w:type="pct"/>
            <w:vAlign w:val="center"/>
          </w:tcPr>
          <w:p w14:paraId="24DBB4F0">
            <w:pPr>
              <w:pStyle w:val="12"/>
              <w:jc w:val="center"/>
            </w:pPr>
            <w:r>
              <w:t>1959</w:t>
            </w:r>
          </w:p>
        </w:tc>
        <w:tc>
          <w:tcPr>
            <w:tcW w:w="625" w:type="pct"/>
            <w:vAlign w:val="center"/>
          </w:tcPr>
          <w:p w14:paraId="0E9E64FF">
            <w:pPr>
              <w:pStyle w:val="12"/>
              <w:jc w:val="center"/>
            </w:pPr>
            <w:r>
              <w:t>56314</w:t>
            </w:r>
          </w:p>
        </w:tc>
        <w:tc>
          <w:tcPr>
            <w:tcW w:w="625" w:type="pct"/>
            <w:vAlign w:val="center"/>
          </w:tcPr>
          <w:p w14:paraId="4B31BE80">
            <w:pPr>
              <w:pStyle w:val="12"/>
              <w:jc w:val="center"/>
            </w:pPr>
            <w:r>
              <w:t>234457</w:t>
            </w:r>
          </w:p>
        </w:tc>
        <w:tc>
          <w:tcPr>
            <w:tcW w:w="625" w:type="pct"/>
            <w:vAlign w:val="center"/>
          </w:tcPr>
          <w:p w14:paraId="13FF5627">
            <w:pPr>
              <w:pStyle w:val="12"/>
              <w:jc w:val="center"/>
            </w:pPr>
            <w:r>
              <w:t>-1.8</w:t>
            </w:r>
          </w:p>
        </w:tc>
      </w:tr>
      <w:tr w14:paraId="28B7285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4EF48B05">
            <w:pPr>
              <w:pStyle w:val="12"/>
              <w:jc w:val="center"/>
            </w:pPr>
            <w:r>
              <w:t>1954</w:t>
            </w:r>
          </w:p>
        </w:tc>
        <w:tc>
          <w:tcPr>
            <w:tcW w:w="625" w:type="pct"/>
            <w:vAlign w:val="center"/>
          </w:tcPr>
          <w:p w14:paraId="220FDF35">
            <w:pPr>
              <w:pStyle w:val="12"/>
              <w:jc w:val="center"/>
            </w:pPr>
            <w:r>
              <w:t>54201</w:t>
            </w:r>
          </w:p>
        </w:tc>
        <w:tc>
          <w:tcPr>
            <w:tcW w:w="625" w:type="pct"/>
            <w:vAlign w:val="center"/>
          </w:tcPr>
          <w:p w14:paraId="5A43ED66">
            <w:pPr>
              <w:pStyle w:val="12"/>
              <w:jc w:val="center"/>
            </w:pPr>
            <w:r>
              <w:t>224599</w:t>
            </w:r>
          </w:p>
        </w:tc>
        <w:tc>
          <w:tcPr>
            <w:tcW w:w="625" w:type="pct"/>
            <w:vAlign w:val="center"/>
          </w:tcPr>
          <w:p w14:paraId="61410FA2">
            <w:pPr>
              <w:pStyle w:val="12"/>
              <w:jc w:val="center"/>
            </w:pPr>
            <w:r>
              <w:t>0.03</w:t>
            </w:r>
          </w:p>
        </w:tc>
        <w:tc>
          <w:tcPr>
            <w:tcW w:w="625" w:type="pct"/>
            <w:vAlign w:val="center"/>
          </w:tcPr>
          <w:p w14:paraId="4CA35B36">
            <w:pPr>
              <w:pStyle w:val="12"/>
              <w:jc w:val="center"/>
            </w:pPr>
            <w:r>
              <w:t>1960</w:t>
            </w:r>
          </w:p>
        </w:tc>
        <w:tc>
          <w:tcPr>
            <w:tcW w:w="625" w:type="pct"/>
            <w:vAlign w:val="center"/>
          </w:tcPr>
          <w:p w14:paraId="28312408">
            <w:pPr>
              <w:pStyle w:val="12"/>
              <w:jc w:val="center"/>
            </w:pPr>
            <w:r>
              <w:t>54242</w:t>
            </w:r>
          </w:p>
        </w:tc>
        <w:tc>
          <w:tcPr>
            <w:tcW w:w="625" w:type="pct"/>
            <w:vAlign w:val="center"/>
          </w:tcPr>
          <w:p w14:paraId="3871F29E">
            <w:pPr>
              <w:pStyle w:val="12"/>
              <w:jc w:val="center"/>
            </w:pPr>
            <w:r>
              <w:t>235191</w:t>
            </w:r>
          </w:p>
        </w:tc>
        <w:tc>
          <w:tcPr>
            <w:tcW w:w="625" w:type="pct"/>
            <w:vAlign w:val="center"/>
          </w:tcPr>
          <w:p w14:paraId="2BBC8A55">
            <w:pPr>
              <w:pStyle w:val="12"/>
              <w:jc w:val="center"/>
            </w:pPr>
            <w:r>
              <w:t>0.3</w:t>
            </w:r>
          </w:p>
        </w:tc>
      </w:tr>
      <w:tr w14:paraId="2249B8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76DDC7C3">
            <w:pPr>
              <w:pStyle w:val="12"/>
              <w:jc w:val="center"/>
            </w:pPr>
            <w:r>
              <w:t>1961</w:t>
            </w:r>
          </w:p>
        </w:tc>
        <w:tc>
          <w:tcPr>
            <w:tcW w:w="625" w:type="pct"/>
            <w:vAlign w:val="center"/>
          </w:tcPr>
          <w:p w14:paraId="36CF1F72">
            <w:pPr>
              <w:pStyle w:val="12"/>
              <w:jc w:val="center"/>
            </w:pPr>
            <w:r>
              <w:t>55045</w:t>
            </w:r>
          </w:p>
        </w:tc>
        <w:tc>
          <w:tcPr>
            <w:tcW w:w="625" w:type="pct"/>
            <w:vAlign w:val="center"/>
          </w:tcPr>
          <w:p w14:paraId="2F33BB59">
            <w:pPr>
              <w:pStyle w:val="12"/>
              <w:jc w:val="center"/>
            </w:pPr>
            <w:r>
              <w:t>237820</w:t>
            </w:r>
          </w:p>
        </w:tc>
        <w:tc>
          <w:tcPr>
            <w:tcW w:w="625" w:type="pct"/>
            <w:vAlign w:val="center"/>
          </w:tcPr>
          <w:p w14:paraId="58992239">
            <w:pPr>
              <w:pStyle w:val="12"/>
              <w:jc w:val="center"/>
            </w:pPr>
            <w:r>
              <w:t>1.1</w:t>
            </w:r>
          </w:p>
        </w:tc>
        <w:tc>
          <w:tcPr>
            <w:tcW w:w="625" w:type="pct"/>
            <w:vAlign w:val="center"/>
          </w:tcPr>
          <w:p w14:paraId="35A85742">
            <w:pPr>
              <w:pStyle w:val="12"/>
              <w:jc w:val="center"/>
            </w:pPr>
            <w:r>
              <w:t>1975</w:t>
            </w:r>
          </w:p>
        </w:tc>
        <w:tc>
          <w:tcPr>
            <w:tcW w:w="625" w:type="pct"/>
            <w:vAlign w:val="center"/>
          </w:tcPr>
          <w:p w14:paraId="54164791">
            <w:pPr>
              <w:pStyle w:val="12"/>
              <w:jc w:val="center"/>
            </w:pPr>
            <w:r>
              <w:t>60834</w:t>
            </w:r>
          </w:p>
        </w:tc>
        <w:tc>
          <w:tcPr>
            <w:tcW w:w="625" w:type="pct"/>
            <w:vAlign w:val="center"/>
          </w:tcPr>
          <w:p w14:paraId="18567D08">
            <w:pPr>
              <w:pStyle w:val="12"/>
              <w:jc w:val="center"/>
            </w:pPr>
            <w:r>
              <w:t>354471</w:t>
            </w:r>
          </w:p>
        </w:tc>
        <w:tc>
          <w:tcPr>
            <w:tcW w:w="625" w:type="pct"/>
            <w:vAlign w:val="center"/>
          </w:tcPr>
          <w:p w14:paraId="467DC161">
            <w:pPr>
              <w:pStyle w:val="12"/>
              <w:jc w:val="center"/>
            </w:pPr>
            <w:r>
              <w:t>1.9</w:t>
            </w:r>
          </w:p>
        </w:tc>
      </w:tr>
      <w:tr w14:paraId="1B90C5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0566B93E">
            <w:pPr>
              <w:pStyle w:val="12"/>
              <w:jc w:val="center"/>
            </w:pPr>
            <w:r>
              <w:t>1962</w:t>
            </w:r>
          </w:p>
        </w:tc>
        <w:tc>
          <w:tcPr>
            <w:tcW w:w="625" w:type="pct"/>
            <w:vAlign w:val="center"/>
          </w:tcPr>
          <w:p w14:paraId="69A10005">
            <w:pPr>
              <w:pStyle w:val="12"/>
              <w:jc w:val="center"/>
            </w:pPr>
            <w:r>
              <w:t>56052</w:t>
            </w:r>
          </w:p>
        </w:tc>
        <w:tc>
          <w:tcPr>
            <w:tcW w:w="625" w:type="pct"/>
            <w:vAlign w:val="center"/>
          </w:tcPr>
          <w:p w14:paraId="534F4BCE">
            <w:pPr>
              <w:pStyle w:val="12"/>
              <w:jc w:val="center"/>
            </w:pPr>
            <w:r>
              <w:t>249123</w:t>
            </w:r>
          </w:p>
        </w:tc>
        <w:tc>
          <w:tcPr>
            <w:tcW w:w="625" w:type="pct"/>
            <w:vAlign w:val="center"/>
          </w:tcPr>
          <w:p w14:paraId="070DC873">
            <w:pPr>
              <w:pStyle w:val="12"/>
              <w:jc w:val="center"/>
            </w:pPr>
            <w:r>
              <w:t>4.8</w:t>
            </w:r>
          </w:p>
        </w:tc>
        <w:tc>
          <w:tcPr>
            <w:tcW w:w="625" w:type="pct"/>
            <w:vAlign w:val="center"/>
          </w:tcPr>
          <w:p w14:paraId="14DC0742">
            <w:pPr>
              <w:pStyle w:val="12"/>
              <w:jc w:val="center"/>
            </w:pPr>
            <w:r>
              <w:t>1976</w:t>
            </w:r>
          </w:p>
        </w:tc>
        <w:tc>
          <w:tcPr>
            <w:tcW w:w="625" w:type="pct"/>
            <w:vAlign w:val="center"/>
          </w:tcPr>
          <w:p w14:paraId="6C94A7FA">
            <w:pPr>
              <w:pStyle w:val="12"/>
              <w:jc w:val="center"/>
            </w:pPr>
            <w:r>
              <w:t>61823</w:t>
            </w:r>
          </w:p>
        </w:tc>
        <w:tc>
          <w:tcPr>
            <w:tcW w:w="625" w:type="pct"/>
            <w:vAlign w:val="center"/>
          </w:tcPr>
          <w:p w14:paraId="788E080E">
            <w:pPr>
              <w:pStyle w:val="12"/>
              <w:jc w:val="center"/>
            </w:pPr>
            <w:r>
              <w:t>360029</w:t>
            </w:r>
          </w:p>
        </w:tc>
        <w:tc>
          <w:tcPr>
            <w:tcW w:w="625" w:type="pct"/>
            <w:vAlign w:val="center"/>
          </w:tcPr>
          <w:p w14:paraId="2F27EB8C">
            <w:pPr>
              <w:pStyle w:val="12"/>
              <w:jc w:val="center"/>
            </w:pPr>
            <w:r>
              <w:t>1.6</w:t>
            </w:r>
          </w:p>
        </w:tc>
      </w:tr>
      <w:tr w14:paraId="076B06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0F0F539B">
            <w:pPr>
              <w:pStyle w:val="12"/>
              <w:jc w:val="center"/>
            </w:pPr>
            <w:r>
              <w:t>1963</w:t>
            </w:r>
          </w:p>
        </w:tc>
        <w:tc>
          <w:tcPr>
            <w:tcW w:w="625" w:type="pct"/>
            <w:vAlign w:val="center"/>
          </w:tcPr>
          <w:p w14:paraId="4D48B921">
            <w:pPr>
              <w:pStyle w:val="12"/>
              <w:jc w:val="center"/>
            </w:pPr>
            <w:r>
              <w:t>56550</w:t>
            </w:r>
          </w:p>
        </w:tc>
        <w:tc>
          <w:tcPr>
            <w:tcW w:w="625" w:type="pct"/>
            <w:vAlign w:val="center"/>
          </w:tcPr>
          <w:p w14:paraId="75FB91C1">
            <w:pPr>
              <w:pStyle w:val="12"/>
              <w:jc w:val="center"/>
            </w:pPr>
            <w:r>
              <w:t>258722</w:t>
            </w:r>
          </w:p>
        </w:tc>
        <w:tc>
          <w:tcPr>
            <w:tcW w:w="625" w:type="pct"/>
            <w:vAlign w:val="center"/>
          </w:tcPr>
          <w:p w14:paraId="4D0E2E02">
            <w:pPr>
              <w:pStyle w:val="12"/>
              <w:jc w:val="center"/>
            </w:pPr>
            <w:r>
              <w:t>3.9</w:t>
            </w:r>
          </w:p>
        </w:tc>
        <w:tc>
          <w:tcPr>
            <w:tcW w:w="625" w:type="pct"/>
            <w:vAlign w:val="center"/>
          </w:tcPr>
          <w:p w14:paraId="0C5F05D0">
            <w:pPr>
              <w:pStyle w:val="12"/>
              <w:jc w:val="center"/>
            </w:pPr>
            <w:r>
              <w:t>1977</w:t>
            </w:r>
          </w:p>
        </w:tc>
        <w:tc>
          <w:tcPr>
            <w:tcW w:w="625" w:type="pct"/>
            <w:vAlign w:val="center"/>
          </w:tcPr>
          <w:p w14:paraId="001FA5E7">
            <w:pPr>
              <w:pStyle w:val="12"/>
              <w:jc w:val="center"/>
            </w:pPr>
            <w:r>
              <w:t>65843</w:t>
            </w:r>
          </w:p>
        </w:tc>
        <w:tc>
          <w:tcPr>
            <w:tcW w:w="625" w:type="pct"/>
            <w:vAlign w:val="center"/>
          </w:tcPr>
          <w:p w14:paraId="430CD5EF">
            <w:pPr>
              <w:pStyle w:val="12"/>
              <w:jc w:val="center"/>
            </w:pPr>
            <w:r>
              <w:t>367400</w:t>
            </w:r>
          </w:p>
        </w:tc>
        <w:tc>
          <w:tcPr>
            <w:tcW w:w="625" w:type="pct"/>
            <w:vAlign w:val="center"/>
          </w:tcPr>
          <w:p w14:paraId="4787732B">
            <w:pPr>
              <w:pStyle w:val="12"/>
              <w:jc w:val="center"/>
            </w:pPr>
            <w:r>
              <w:t>2.0</w:t>
            </w:r>
          </w:p>
        </w:tc>
      </w:tr>
      <w:tr w14:paraId="403D57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2930FA0B">
            <w:pPr>
              <w:pStyle w:val="12"/>
              <w:jc w:val="center"/>
            </w:pPr>
            <w:r>
              <w:t>1964</w:t>
            </w:r>
          </w:p>
        </w:tc>
        <w:tc>
          <w:tcPr>
            <w:tcW w:w="625" w:type="pct"/>
            <w:vAlign w:val="center"/>
          </w:tcPr>
          <w:p w14:paraId="12372041">
            <w:pPr>
              <w:pStyle w:val="12"/>
              <w:jc w:val="center"/>
            </w:pPr>
            <w:r>
              <w:t>56647</w:t>
            </w:r>
          </w:p>
        </w:tc>
        <w:tc>
          <w:tcPr>
            <w:tcW w:w="625" w:type="pct"/>
            <w:vAlign w:val="center"/>
          </w:tcPr>
          <w:p w14:paraId="420E34DC">
            <w:pPr>
              <w:pStyle w:val="12"/>
              <w:jc w:val="center"/>
            </w:pPr>
            <w:r>
              <w:t>262089</w:t>
            </w:r>
          </w:p>
        </w:tc>
        <w:tc>
          <w:tcPr>
            <w:tcW w:w="625" w:type="pct"/>
            <w:vAlign w:val="center"/>
          </w:tcPr>
          <w:p w14:paraId="715E3B52">
            <w:pPr>
              <w:pStyle w:val="12"/>
              <w:jc w:val="center"/>
            </w:pPr>
            <w:r>
              <w:t>1.3</w:t>
            </w:r>
          </w:p>
        </w:tc>
        <w:tc>
          <w:tcPr>
            <w:tcW w:w="625" w:type="pct"/>
            <w:vAlign w:val="center"/>
          </w:tcPr>
          <w:p w14:paraId="2C9EA5F1">
            <w:pPr>
              <w:pStyle w:val="12"/>
              <w:jc w:val="center"/>
            </w:pPr>
            <w:r>
              <w:t>1978</w:t>
            </w:r>
          </w:p>
        </w:tc>
        <w:tc>
          <w:tcPr>
            <w:tcW w:w="625" w:type="pct"/>
            <w:vAlign w:val="center"/>
          </w:tcPr>
          <w:p w14:paraId="171D442E">
            <w:pPr>
              <w:pStyle w:val="12"/>
              <w:jc w:val="center"/>
            </w:pPr>
            <w:r>
              <w:t>63840</w:t>
            </w:r>
          </w:p>
        </w:tc>
        <w:tc>
          <w:tcPr>
            <w:tcW w:w="625" w:type="pct"/>
            <w:vAlign w:val="center"/>
          </w:tcPr>
          <w:p w14:paraId="2CA96E7C">
            <w:pPr>
              <w:pStyle w:val="12"/>
              <w:jc w:val="center"/>
            </w:pPr>
            <w:r>
              <w:t>374728</w:t>
            </w:r>
          </w:p>
        </w:tc>
        <w:tc>
          <w:tcPr>
            <w:tcW w:w="625" w:type="pct"/>
            <w:vAlign w:val="center"/>
          </w:tcPr>
          <w:p w14:paraId="6AFE4323">
            <w:pPr>
              <w:pStyle w:val="12"/>
              <w:jc w:val="center"/>
            </w:pPr>
            <w:r>
              <w:t>2.0</w:t>
            </w:r>
          </w:p>
        </w:tc>
      </w:tr>
      <w:tr w14:paraId="19010A7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2692DC56">
            <w:pPr>
              <w:pStyle w:val="12"/>
              <w:jc w:val="center"/>
            </w:pPr>
            <w:r>
              <w:t>1965</w:t>
            </w:r>
          </w:p>
        </w:tc>
        <w:tc>
          <w:tcPr>
            <w:tcW w:w="625" w:type="pct"/>
            <w:vAlign w:val="center"/>
          </w:tcPr>
          <w:p w14:paraId="1C0B9521">
            <w:pPr>
              <w:pStyle w:val="12"/>
              <w:jc w:val="center"/>
            </w:pPr>
            <w:r>
              <w:t>57184</w:t>
            </w:r>
          </w:p>
        </w:tc>
        <w:tc>
          <w:tcPr>
            <w:tcW w:w="625" w:type="pct"/>
            <w:vAlign w:val="center"/>
          </w:tcPr>
          <w:p w14:paraId="0023E7B1">
            <w:pPr>
              <w:pStyle w:val="12"/>
              <w:jc w:val="center"/>
            </w:pPr>
            <w:r>
              <w:t>273298</w:t>
            </w:r>
          </w:p>
        </w:tc>
        <w:tc>
          <w:tcPr>
            <w:tcW w:w="625" w:type="pct"/>
            <w:vAlign w:val="center"/>
          </w:tcPr>
          <w:p w14:paraId="4994ECF3">
            <w:pPr>
              <w:pStyle w:val="12"/>
              <w:jc w:val="center"/>
            </w:pPr>
            <w:r>
              <w:t>4.3</w:t>
            </w:r>
          </w:p>
        </w:tc>
        <w:tc>
          <w:tcPr>
            <w:tcW w:w="625" w:type="pct"/>
            <w:vAlign w:val="center"/>
          </w:tcPr>
          <w:p w14:paraId="4E7DD295">
            <w:pPr>
              <w:pStyle w:val="12"/>
              <w:jc w:val="center"/>
            </w:pPr>
            <w:r>
              <w:t>1979</w:t>
            </w:r>
          </w:p>
        </w:tc>
        <w:tc>
          <w:tcPr>
            <w:tcW w:w="625" w:type="pct"/>
            <w:vAlign w:val="center"/>
          </w:tcPr>
          <w:p w14:paraId="3B33A513">
            <w:pPr>
              <w:pStyle w:val="12"/>
              <w:jc w:val="center"/>
            </w:pPr>
            <w:r>
              <w:t>64578</w:t>
            </w:r>
          </w:p>
        </w:tc>
        <w:tc>
          <w:tcPr>
            <w:tcW w:w="625" w:type="pct"/>
            <w:vAlign w:val="center"/>
          </w:tcPr>
          <w:p w14:paraId="424F22F0">
            <w:pPr>
              <w:pStyle w:val="12"/>
              <w:jc w:val="center"/>
            </w:pPr>
            <w:r>
              <w:t>381926</w:t>
            </w:r>
          </w:p>
        </w:tc>
        <w:tc>
          <w:tcPr>
            <w:tcW w:w="625" w:type="pct"/>
            <w:vAlign w:val="center"/>
          </w:tcPr>
          <w:p w14:paraId="102D7C13">
            <w:pPr>
              <w:pStyle w:val="12"/>
              <w:jc w:val="center"/>
            </w:pPr>
            <w:r>
              <w:t>1.9</w:t>
            </w:r>
          </w:p>
        </w:tc>
      </w:tr>
      <w:tr w14:paraId="6750C1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169C0C22">
            <w:pPr>
              <w:pStyle w:val="12"/>
              <w:jc w:val="center"/>
            </w:pPr>
            <w:r>
              <w:t>1966</w:t>
            </w:r>
          </w:p>
        </w:tc>
        <w:tc>
          <w:tcPr>
            <w:tcW w:w="625" w:type="pct"/>
            <w:vAlign w:val="center"/>
          </w:tcPr>
          <w:p w14:paraId="7F0EF5DF">
            <w:pPr>
              <w:pStyle w:val="12"/>
              <w:jc w:val="center"/>
            </w:pPr>
            <w:r>
              <w:t>57019</w:t>
            </w:r>
          </w:p>
        </w:tc>
        <w:tc>
          <w:tcPr>
            <w:tcW w:w="625" w:type="pct"/>
            <w:vAlign w:val="center"/>
          </w:tcPr>
          <w:p w14:paraId="2DCA2A9B">
            <w:pPr>
              <w:pStyle w:val="12"/>
              <w:jc w:val="center"/>
            </w:pPr>
            <w:r>
              <w:t>292118</w:t>
            </w:r>
          </w:p>
        </w:tc>
        <w:tc>
          <w:tcPr>
            <w:tcW w:w="625" w:type="pct"/>
            <w:vAlign w:val="center"/>
          </w:tcPr>
          <w:p w14:paraId="4E6F4169">
            <w:pPr>
              <w:pStyle w:val="12"/>
              <w:jc w:val="center"/>
            </w:pPr>
            <w:r>
              <w:t>6.9</w:t>
            </w:r>
          </w:p>
        </w:tc>
        <w:tc>
          <w:tcPr>
            <w:tcW w:w="625" w:type="pct"/>
            <w:vAlign w:val="center"/>
          </w:tcPr>
          <w:p w14:paraId="1A936D3D">
            <w:pPr>
              <w:pStyle w:val="12"/>
              <w:jc w:val="center"/>
            </w:pPr>
            <w:r>
              <w:t>1980</w:t>
            </w:r>
          </w:p>
        </w:tc>
        <w:tc>
          <w:tcPr>
            <w:tcW w:w="625" w:type="pct"/>
            <w:vAlign w:val="center"/>
          </w:tcPr>
          <w:p w14:paraId="7EAAFC5B">
            <w:pPr>
              <w:pStyle w:val="12"/>
              <w:jc w:val="center"/>
            </w:pPr>
            <w:r>
              <w:t>66107</w:t>
            </w:r>
          </w:p>
        </w:tc>
        <w:tc>
          <w:tcPr>
            <w:tcW w:w="625" w:type="pct"/>
            <w:vAlign w:val="center"/>
          </w:tcPr>
          <w:p w14:paraId="5F6C7E15">
            <w:pPr>
              <w:pStyle w:val="12"/>
              <w:jc w:val="center"/>
            </w:pPr>
            <w:r>
              <w:t>387708</w:t>
            </w:r>
          </w:p>
        </w:tc>
        <w:tc>
          <w:tcPr>
            <w:tcW w:w="625" w:type="pct"/>
            <w:vAlign w:val="center"/>
          </w:tcPr>
          <w:p w14:paraId="2D7AC024">
            <w:pPr>
              <w:pStyle w:val="12"/>
              <w:jc w:val="center"/>
            </w:pPr>
            <w:r>
              <w:t>1.5</w:t>
            </w:r>
          </w:p>
        </w:tc>
      </w:tr>
      <w:tr w14:paraId="4BA368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1BE128F1">
            <w:pPr>
              <w:pStyle w:val="12"/>
              <w:jc w:val="center"/>
            </w:pPr>
            <w:r>
              <w:t>1967</w:t>
            </w:r>
          </w:p>
        </w:tc>
        <w:tc>
          <w:tcPr>
            <w:tcW w:w="625" w:type="pct"/>
            <w:vAlign w:val="center"/>
          </w:tcPr>
          <w:p w14:paraId="54B14048">
            <w:pPr>
              <w:pStyle w:val="12"/>
              <w:jc w:val="center"/>
            </w:pPr>
            <w:r>
              <w:t>57337</w:t>
            </w:r>
          </w:p>
        </w:tc>
        <w:tc>
          <w:tcPr>
            <w:tcW w:w="625" w:type="pct"/>
            <w:vAlign w:val="center"/>
          </w:tcPr>
          <w:p w14:paraId="4D96E771">
            <w:pPr>
              <w:pStyle w:val="12"/>
              <w:jc w:val="center"/>
            </w:pPr>
            <w:r>
              <w:t>292411</w:t>
            </w:r>
          </w:p>
        </w:tc>
        <w:tc>
          <w:tcPr>
            <w:tcW w:w="625" w:type="pct"/>
            <w:vAlign w:val="center"/>
          </w:tcPr>
          <w:p w14:paraId="3E15DB81">
            <w:pPr>
              <w:pStyle w:val="12"/>
              <w:jc w:val="center"/>
            </w:pPr>
            <w:r>
              <w:t>0.1</w:t>
            </w:r>
          </w:p>
        </w:tc>
        <w:tc>
          <w:tcPr>
            <w:tcW w:w="625" w:type="pct"/>
            <w:vAlign w:val="center"/>
          </w:tcPr>
          <w:p w14:paraId="30B6293A">
            <w:pPr>
              <w:pStyle w:val="12"/>
              <w:jc w:val="center"/>
            </w:pPr>
            <w:r>
              <w:t>1981</w:t>
            </w:r>
          </w:p>
        </w:tc>
        <w:tc>
          <w:tcPr>
            <w:tcW w:w="625" w:type="pct"/>
            <w:vAlign w:val="center"/>
          </w:tcPr>
          <w:p w14:paraId="03C649E3">
            <w:pPr>
              <w:pStyle w:val="12"/>
              <w:jc w:val="center"/>
            </w:pPr>
            <w:r>
              <w:t>66748</w:t>
            </w:r>
          </w:p>
        </w:tc>
        <w:tc>
          <w:tcPr>
            <w:tcW w:w="625" w:type="pct"/>
            <w:vAlign w:val="center"/>
          </w:tcPr>
          <w:p w14:paraId="65A002B1">
            <w:pPr>
              <w:pStyle w:val="12"/>
              <w:jc w:val="center"/>
            </w:pPr>
            <w:r>
              <w:t>392569</w:t>
            </w:r>
          </w:p>
        </w:tc>
        <w:tc>
          <w:tcPr>
            <w:tcW w:w="625" w:type="pct"/>
            <w:vAlign w:val="center"/>
          </w:tcPr>
          <w:p w14:paraId="0CDA2619">
            <w:pPr>
              <w:pStyle w:val="12"/>
              <w:jc w:val="center"/>
            </w:pPr>
            <w:r>
              <w:t>1.3</w:t>
            </w:r>
          </w:p>
        </w:tc>
      </w:tr>
      <w:tr w14:paraId="6149AF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4DD0D092">
            <w:pPr>
              <w:pStyle w:val="12"/>
              <w:jc w:val="center"/>
            </w:pPr>
            <w:r>
              <w:t>1968</w:t>
            </w:r>
          </w:p>
        </w:tc>
        <w:tc>
          <w:tcPr>
            <w:tcW w:w="625" w:type="pct"/>
            <w:vAlign w:val="center"/>
          </w:tcPr>
          <w:p w14:paraId="55B54B60">
            <w:pPr>
              <w:pStyle w:val="12"/>
              <w:jc w:val="center"/>
            </w:pPr>
            <w:r>
              <w:t>57604</w:t>
            </w:r>
          </w:p>
        </w:tc>
        <w:tc>
          <w:tcPr>
            <w:tcW w:w="625" w:type="pct"/>
            <w:vAlign w:val="center"/>
          </w:tcPr>
          <w:p w14:paraId="115AD794">
            <w:pPr>
              <w:pStyle w:val="12"/>
              <w:jc w:val="center"/>
            </w:pPr>
            <w:r>
              <w:t>306177</w:t>
            </w:r>
          </w:p>
        </w:tc>
        <w:tc>
          <w:tcPr>
            <w:tcW w:w="625" w:type="pct"/>
            <w:vAlign w:val="center"/>
          </w:tcPr>
          <w:p w14:paraId="2C55F312">
            <w:pPr>
              <w:pStyle w:val="12"/>
              <w:jc w:val="center"/>
            </w:pPr>
            <w:r>
              <w:t>4.7</w:t>
            </w:r>
          </w:p>
        </w:tc>
        <w:tc>
          <w:tcPr>
            <w:tcW w:w="625" w:type="pct"/>
            <w:vAlign w:val="center"/>
          </w:tcPr>
          <w:p w14:paraId="7E21024E">
            <w:pPr>
              <w:pStyle w:val="12"/>
              <w:jc w:val="center"/>
            </w:pPr>
            <w:r>
              <w:t>1982</w:t>
            </w:r>
          </w:p>
        </w:tc>
        <w:tc>
          <w:tcPr>
            <w:tcW w:w="625" w:type="pct"/>
            <w:vAlign w:val="center"/>
          </w:tcPr>
          <w:p w14:paraId="787E0F09">
            <w:pPr>
              <w:pStyle w:val="12"/>
              <w:jc w:val="center"/>
            </w:pPr>
            <w:r>
              <w:t>67761</w:t>
            </w:r>
          </w:p>
        </w:tc>
        <w:tc>
          <w:tcPr>
            <w:tcW w:w="625" w:type="pct"/>
            <w:vAlign w:val="center"/>
          </w:tcPr>
          <w:p w14:paraId="1EEEBF14">
            <w:pPr>
              <w:pStyle w:val="12"/>
              <w:jc w:val="center"/>
            </w:pPr>
            <w:r>
              <w:t>397710</w:t>
            </w:r>
          </w:p>
        </w:tc>
        <w:tc>
          <w:tcPr>
            <w:tcW w:w="625" w:type="pct"/>
            <w:vAlign w:val="center"/>
          </w:tcPr>
          <w:p w14:paraId="44D48D87">
            <w:pPr>
              <w:pStyle w:val="12"/>
              <w:jc w:val="center"/>
            </w:pPr>
            <w:r>
              <w:t>1.3</w:t>
            </w:r>
          </w:p>
        </w:tc>
      </w:tr>
      <w:tr w14:paraId="402F07C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7B8471AE">
            <w:pPr>
              <w:pStyle w:val="12"/>
              <w:jc w:val="center"/>
            </w:pPr>
            <w:r>
              <w:t>1969</w:t>
            </w:r>
          </w:p>
        </w:tc>
        <w:tc>
          <w:tcPr>
            <w:tcW w:w="625" w:type="pct"/>
            <w:vAlign w:val="center"/>
          </w:tcPr>
          <w:p w14:paraId="116208D8">
            <w:pPr>
              <w:pStyle w:val="12"/>
              <w:jc w:val="center"/>
            </w:pPr>
            <w:r>
              <w:t>60180</w:t>
            </w:r>
          </w:p>
        </w:tc>
        <w:tc>
          <w:tcPr>
            <w:tcW w:w="625" w:type="pct"/>
            <w:vAlign w:val="center"/>
          </w:tcPr>
          <w:p w14:paraId="4CAB84CD">
            <w:pPr>
              <w:pStyle w:val="12"/>
              <w:jc w:val="center"/>
            </w:pPr>
            <w:r>
              <w:t>308847</w:t>
            </w:r>
          </w:p>
        </w:tc>
        <w:tc>
          <w:tcPr>
            <w:tcW w:w="625" w:type="pct"/>
            <w:vAlign w:val="center"/>
          </w:tcPr>
          <w:p w14:paraId="55375D87">
            <w:pPr>
              <w:pStyle w:val="12"/>
              <w:jc w:val="center"/>
            </w:pPr>
            <w:r>
              <w:t>0.9</w:t>
            </w:r>
          </w:p>
        </w:tc>
        <w:tc>
          <w:tcPr>
            <w:tcW w:w="625" w:type="pct"/>
            <w:vAlign w:val="center"/>
          </w:tcPr>
          <w:p w14:paraId="4784DE34">
            <w:pPr>
              <w:pStyle w:val="12"/>
              <w:jc w:val="center"/>
            </w:pPr>
            <w:r>
              <w:t>1983</w:t>
            </w:r>
          </w:p>
        </w:tc>
        <w:tc>
          <w:tcPr>
            <w:tcW w:w="625" w:type="pct"/>
            <w:vAlign w:val="center"/>
          </w:tcPr>
          <w:p w14:paraId="4413831B">
            <w:pPr>
              <w:pStyle w:val="12"/>
              <w:jc w:val="center"/>
            </w:pPr>
            <w:r>
              <w:t>68484</w:t>
            </w:r>
          </w:p>
        </w:tc>
        <w:tc>
          <w:tcPr>
            <w:tcW w:w="625" w:type="pct"/>
            <w:vAlign w:val="center"/>
          </w:tcPr>
          <w:p w14:paraId="5704F76C">
            <w:pPr>
              <w:pStyle w:val="12"/>
              <w:jc w:val="center"/>
            </w:pPr>
            <w:r>
              <w:t>400017</w:t>
            </w:r>
          </w:p>
        </w:tc>
        <w:tc>
          <w:tcPr>
            <w:tcW w:w="625" w:type="pct"/>
            <w:vAlign w:val="center"/>
          </w:tcPr>
          <w:p w14:paraId="278815A5">
            <w:pPr>
              <w:pStyle w:val="12"/>
              <w:jc w:val="center"/>
            </w:pPr>
            <w:r>
              <w:t>0.6</w:t>
            </w:r>
          </w:p>
        </w:tc>
      </w:tr>
      <w:tr w14:paraId="0A9461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49654493">
            <w:pPr>
              <w:pStyle w:val="12"/>
              <w:jc w:val="center"/>
            </w:pPr>
            <w:r>
              <w:t>1970</w:t>
            </w:r>
          </w:p>
        </w:tc>
        <w:tc>
          <w:tcPr>
            <w:tcW w:w="625" w:type="pct"/>
            <w:vAlign w:val="center"/>
          </w:tcPr>
          <w:p w14:paraId="53122824">
            <w:pPr>
              <w:pStyle w:val="12"/>
              <w:jc w:val="center"/>
            </w:pPr>
            <w:r>
              <w:t>59512</w:t>
            </w:r>
          </w:p>
        </w:tc>
        <w:tc>
          <w:tcPr>
            <w:tcW w:w="625" w:type="pct"/>
            <w:vAlign w:val="center"/>
          </w:tcPr>
          <w:p w14:paraId="406CD831">
            <w:pPr>
              <w:pStyle w:val="12"/>
              <w:jc w:val="center"/>
            </w:pPr>
            <w:r>
              <w:t>317829</w:t>
            </w:r>
          </w:p>
        </w:tc>
        <w:tc>
          <w:tcPr>
            <w:tcW w:w="625" w:type="pct"/>
            <w:vAlign w:val="center"/>
          </w:tcPr>
          <w:p w14:paraId="6B8A2540">
            <w:pPr>
              <w:pStyle w:val="12"/>
              <w:jc w:val="center"/>
            </w:pPr>
            <w:r>
              <w:t>2.9</w:t>
            </w:r>
          </w:p>
        </w:tc>
        <w:tc>
          <w:tcPr>
            <w:tcW w:w="625" w:type="pct"/>
            <w:vAlign w:val="center"/>
          </w:tcPr>
          <w:p w14:paraId="08ADB429">
            <w:pPr>
              <w:pStyle w:val="12"/>
              <w:jc w:val="center"/>
            </w:pPr>
            <w:r>
              <w:t>1984</w:t>
            </w:r>
          </w:p>
        </w:tc>
        <w:tc>
          <w:tcPr>
            <w:tcW w:w="625" w:type="pct"/>
            <w:vAlign w:val="center"/>
          </w:tcPr>
          <w:p w14:paraId="72269C51">
            <w:pPr>
              <w:pStyle w:val="12"/>
              <w:jc w:val="center"/>
            </w:pPr>
            <w:r>
              <w:t>69666</w:t>
            </w:r>
          </w:p>
        </w:tc>
        <w:tc>
          <w:tcPr>
            <w:tcW w:w="625" w:type="pct"/>
            <w:vAlign w:val="center"/>
          </w:tcPr>
          <w:p w14:paraId="76BD2846">
            <w:pPr>
              <w:pStyle w:val="12"/>
              <w:jc w:val="center"/>
            </w:pPr>
            <w:r>
              <w:t>404451</w:t>
            </w:r>
          </w:p>
        </w:tc>
        <w:tc>
          <w:tcPr>
            <w:tcW w:w="625" w:type="pct"/>
            <w:vAlign w:val="center"/>
          </w:tcPr>
          <w:p w14:paraId="111538C9">
            <w:pPr>
              <w:pStyle w:val="12"/>
              <w:jc w:val="center"/>
            </w:pPr>
            <w:r>
              <w:t>1.1</w:t>
            </w:r>
          </w:p>
        </w:tc>
      </w:tr>
      <w:tr w14:paraId="5DEEA4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37CD839F">
            <w:pPr>
              <w:pStyle w:val="12"/>
              <w:jc w:val="center"/>
            </w:pPr>
            <w:r>
              <w:t>1971</w:t>
            </w:r>
          </w:p>
        </w:tc>
        <w:tc>
          <w:tcPr>
            <w:tcW w:w="625" w:type="pct"/>
            <w:vAlign w:val="center"/>
          </w:tcPr>
          <w:p w14:paraId="05F2314A">
            <w:pPr>
              <w:pStyle w:val="12"/>
              <w:jc w:val="center"/>
            </w:pPr>
            <w:r>
              <w:t>63275</w:t>
            </w:r>
          </w:p>
        </w:tc>
        <w:tc>
          <w:tcPr>
            <w:tcW w:w="625" w:type="pct"/>
            <w:vAlign w:val="center"/>
          </w:tcPr>
          <w:p w14:paraId="1E3D721B">
            <w:pPr>
              <w:pStyle w:val="12"/>
              <w:jc w:val="center"/>
            </w:pPr>
            <w:r>
              <w:t>327101</w:t>
            </w:r>
          </w:p>
        </w:tc>
        <w:tc>
          <w:tcPr>
            <w:tcW w:w="625" w:type="pct"/>
            <w:vAlign w:val="center"/>
          </w:tcPr>
          <w:p w14:paraId="105EACA9">
            <w:pPr>
              <w:pStyle w:val="12"/>
              <w:jc w:val="center"/>
            </w:pPr>
            <w:r>
              <w:t>2.9</w:t>
            </w:r>
          </w:p>
        </w:tc>
        <w:tc>
          <w:tcPr>
            <w:tcW w:w="625" w:type="pct"/>
            <w:vAlign w:val="center"/>
          </w:tcPr>
          <w:p w14:paraId="7B4F840E">
            <w:pPr>
              <w:pStyle w:val="12"/>
              <w:jc w:val="center"/>
            </w:pPr>
            <w:r>
              <w:t>1985</w:t>
            </w:r>
          </w:p>
        </w:tc>
        <w:tc>
          <w:tcPr>
            <w:tcW w:w="625" w:type="pct"/>
            <w:vAlign w:val="center"/>
          </w:tcPr>
          <w:p w14:paraId="113DB416">
            <w:pPr>
              <w:pStyle w:val="12"/>
              <w:jc w:val="center"/>
            </w:pPr>
            <w:r>
              <w:t>73258</w:t>
            </w:r>
          </w:p>
        </w:tc>
        <w:tc>
          <w:tcPr>
            <w:tcW w:w="625" w:type="pct"/>
            <w:vAlign w:val="center"/>
          </w:tcPr>
          <w:p w14:paraId="32DAEC8C">
            <w:pPr>
              <w:pStyle w:val="12"/>
              <w:jc w:val="center"/>
            </w:pPr>
            <w:r>
              <w:t>408010</w:t>
            </w:r>
          </w:p>
        </w:tc>
        <w:tc>
          <w:tcPr>
            <w:tcW w:w="625" w:type="pct"/>
            <w:vAlign w:val="center"/>
          </w:tcPr>
          <w:p w14:paraId="47D014BC">
            <w:pPr>
              <w:pStyle w:val="12"/>
              <w:jc w:val="center"/>
            </w:pPr>
            <w:r>
              <w:t>0.9</w:t>
            </w:r>
          </w:p>
        </w:tc>
      </w:tr>
      <w:tr w14:paraId="0B54A8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1A0469FD">
            <w:pPr>
              <w:pStyle w:val="12"/>
              <w:jc w:val="center"/>
            </w:pPr>
            <w:r>
              <w:t>1972</w:t>
            </w:r>
          </w:p>
        </w:tc>
        <w:tc>
          <w:tcPr>
            <w:tcW w:w="625" w:type="pct"/>
            <w:vAlign w:val="center"/>
          </w:tcPr>
          <w:p w14:paraId="4DA82B51">
            <w:pPr>
              <w:pStyle w:val="12"/>
              <w:jc w:val="center"/>
            </w:pPr>
            <w:r>
              <w:t>60373</w:t>
            </w:r>
          </w:p>
        </w:tc>
        <w:tc>
          <w:tcPr>
            <w:tcW w:w="625" w:type="pct"/>
            <w:vAlign w:val="center"/>
          </w:tcPr>
          <w:p w14:paraId="410E695C">
            <w:pPr>
              <w:pStyle w:val="12"/>
              <w:jc w:val="center"/>
            </w:pPr>
            <w:r>
              <w:t>331661</w:t>
            </w:r>
          </w:p>
        </w:tc>
        <w:tc>
          <w:tcPr>
            <w:tcW w:w="625" w:type="pct"/>
            <w:vAlign w:val="center"/>
          </w:tcPr>
          <w:p w14:paraId="4B64B8DA">
            <w:pPr>
              <w:pStyle w:val="12"/>
              <w:jc w:val="center"/>
            </w:pPr>
            <w:r>
              <w:t>1.4</w:t>
            </w:r>
          </w:p>
        </w:tc>
        <w:tc>
          <w:tcPr>
            <w:tcW w:w="625" w:type="pct"/>
            <w:vAlign w:val="center"/>
          </w:tcPr>
          <w:p w14:paraId="41138509">
            <w:pPr>
              <w:pStyle w:val="12"/>
              <w:jc w:val="center"/>
            </w:pPr>
            <w:r>
              <w:t>1986</w:t>
            </w:r>
          </w:p>
        </w:tc>
        <w:tc>
          <w:tcPr>
            <w:tcW w:w="625" w:type="pct"/>
            <w:vAlign w:val="center"/>
          </w:tcPr>
          <w:p w14:paraId="0AAEEC79">
            <w:pPr>
              <w:pStyle w:val="12"/>
              <w:jc w:val="center"/>
            </w:pPr>
            <w:r>
              <w:t>75566</w:t>
            </w:r>
          </w:p>
        </w:tc>
        <w:tc>
          <w:tcPr>
            <w:tcW w:w="625" w:type="pct"/>
            <w:vAlign w:val="center"/>
          </w:tcPr>
          <w:p w14:paraId="5C586D63">
            <w:pPr>
              <w:pStyle w:val="12"/>
              <w:jc w:val="center"/>
            </w:pPr>
            <w:r>
              <w:t>411394</w:t>
            </w:r>
          </w:p>
        </w:tc>
        <w:tc>
          <w:tcPr>
            <w:tcW w:w="625" w:type="pct"/>
            <w:vAlign w:val="center"/>
          </w:tcPr>
          <w:p w14:paraId="63A0B278">
            <w:pPr>
              <w:pStyle w:val="12"/>
              <w:jc w:val="center"/>
            </w:pPr>
            <w:r>
              <w:t>0.8</w:t>
            </w:r>
          </w:p>
        </w:tc>
      </w:tr>
      <w:tr w14:paraId="7EF33A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64A7977D">
            <w:pPr>
              <w:pStyle w:val="12"/>
              <w:jc w:val="center"/>
            </w:pPr>
            <w:r>
              <w:t>1973</w:t>
            </w:r>
          </w:p>
        </w:tc>
        <w:tc>
          <w:tcPr>
            <w:tcW w:w="625" w:type="pct"/>
            <w:vAlign w:val="center"/>
          </w:tcPr>
          <w:p w14:paraId="55ECA26C">
            <w:pPr>
              <w:pStyle w:val="12"/>
              <w:jc w:val="center"/>
            </w:pPr>
            <w:r>
              <w:t>60185</w:t>
            </w:r>
          </w:p>
        </w:tc>
        <w:tc>
          <w:tcPr>
            <w:tcW w:w="625" w:type="pct"/>
            <w:vAlign w:val="center"/>
          </w:tcPr>
          <w:p w14:paraId="64F24FBE">
            <w:pPr>
              <w:pStyle w:val="12"/>
              <w:jc w:val="center"/>
            </w:pPr>
            <w:r>
              <w:t>340453</w:t>
            </w:r>
          </w:p>
        </w:tc>
        <w:tc>
          <w:tcPr>
            <w:tcW w:w="625" w:type="pct"/>
            <w:vAlign w:val="center"/>
          </w:tcPr>
          <w:p w14:paraId="6B9C9A95">
            <w:pPr>
              <w:pStyle w:val="12"/>
              <w:jc w:val="center"/>
            </w:pPr>
            <w:r>
              <w:t>2.7</w:t>
            </w:r>
          </w:p>
        </w:tc>
        <w:tc>
          <w:tcPr>
            <w:tcW w:w="625" w:type="pct"/>
            <w:vAlign w:val="center"/>
          </w:tcPr>
          <w:p w14:paraId="6BFE08EF">
            <w:pPr>
              <w:pStyle w:val="12"/>
              <w:jc w:val="center"/>
            </w:pPr>
            <w:r>
              <w:t>1987</w:t>
            </w:r>
          </w:p>
        </w:tc>
        <w:tc>
          <w:tcPr>
            <w:tcW w:w="625" w:type="pct"/>
            <w:vAlign w:val="center"/>
          </w:tcPr>
          <w:p w14:paraId="44481EAE">
            <w:pPr>
              <w:pStyle w:val="12"/>
              <w:jc w:val="center"/>
            </w:pPr>
            <w:r>
              <w:t>78084</w:t>
            </w:r>
          </w:p>
        </w:tc>
        <w:tc>
          <w:tcPr>
            <w:tcW w:w="625" w:type="pct"/>
            <w:vAlign w:val="center"/>
          </w:tcPr>
          <w:p w14:paraId="1C56689A">
            <w:pPr>
              <w:pStyle w:val="12"/>
              <w:jc w:val="center"/>
            </w:pPr>
            <w:r>
              <w:t>418629</w:t>
            </w:r>
          </w:p>
        </w:tc>
        <w:tc>
          <w:tcPr>
            <w:tcW w:w="625" w:type="pct"/>
            <w:vAlign w:val="center"/>
          </w:tcPr>
          <w:p w14:paraId="19EC77DE">
            <w:pPr>
              <w:pStyle w:val="12"/>
              <w:jc w:val="center"/>
            </w:pPr>
            <w:r>
              <w:t>1.8</w:t>
            </w:r>
          </w:p>
        </w:tc>
      </w:tr>
      <w:tr w14:paraId="5D29F3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2790B7FE">
            <w:pPr>
              <w:pStyle w:val="12"/>
              <w:jc w:val="center"/>
            </w:pPr>
            <w:r>
              <w:t>1974</w:t>
            </w:r>
          </w:p>
        </w:tc>
        <w:tc>
          <w:tcPr>
            <w:tcW w:w="625" w:type="pct"/>
            <w:vAlign w:val="center"/>
          </w:tcPr>
          <w:p w14:paraId="1CB9779A">
            <w:pPr>
              <w:pStyle w:val="12"/>
              <w:jc w:val="center"/>
            </w:pPr>
            <w:r>
              <w:t>60679</w:t>
            </w:r>
          </w:p>
        </w:tc>
        <w:tc>
          <w:tcPr>
            <w:tcW w:w="625" w:type="pct"/>
            <w:vAlign w:val="center"/>
          </w:tcPr>
          <w:p w14:paraId="01FD8D6F">
            <w:pPr>
              <w:pStyle w:val="12"/>
              <w:jc w:val="center"/>
            </w:pPr>
            <w:r>
              <w:t>347815</w:t>
            </w:r>
          </w:p>
        </w:tc>
        <w:tc>
          <w:tcPr>
            <w:tcW w:w="625" w:type="pct"/>
            <w:vAlign w:val="center"/>
          </w:tcPr>
          <w:p w14:paraId="702861B2">
            <w:pPr>
              <w:pStyle w:val="12"/>
              <w:jc w:val="center"/>
            </w:pPr>
            <w:r>
              <w:t>2.1</w:t>
            </w:r>
          </w:p>
        </w:tc>
        <w:tc>
          <w:tcPr>
            <w:tcW w:w="625" w:type="pct"/>
            <w:vAlign w:val="center"/>
          </w:tcPr>
          <w:p w14:paraId="2B430EDB">
            <w:pPr>
              <w:pStyle w:val="12"/>
              <w:jc w:val="center"/>
            </w:pPr>
            <w:r>
              <w:t>—</w:t>
            </w:r>
          </w:p>
        </w:tc>
        <w:tc>
          <w:tcPr>
            <w:tcW w:w="625" w:type="pct"/>
            <w:vAlign w:val="center"/>
          </w:tcPr>
          <w:p w14:paraId="48AE8116">
            <w:pPr>
              <w:pStyle w:val="12"/>
              <w:jc w:val="center"/>
            </w:pPr>
            <w:r>
              <w:t>—</w:t>
            </w:r>
          </w:p>
        </w:tc>
        <w:tc>
          <w:tcPr>
            <w:tcW w:w="625" w:type="pct"/>
            <w:vAlign w:val="center"/>
          </w:tcPr>
          <w:p w14:paraId="7FE82396">
            <w:pPr>
              <w:pStyle w:val="12"/>
              <w:jc w:val="center"/>
            </w:pPr>
            <w:r>
              <w:t>—</w:t>
            </w:r>
          </w:p>
        </w:tc>
        <w:tc>
          <w:tcPr>
            <w:tcW w:w="625" w:type="pct"/>
            <w:vAlign w:val="center"/>
          </w:tcPr>
          <w:p w14:paraId="2D36672A">
            <w:pPr>
              <w:pStyle w:val="12"/>
              <w:jc w:val="center"/>
            </w:pPr>
            <w:r>
              <w:t>—</w:t>
            </w:r>
          </w:p>
        </w:tc>
      </w:tr>
    </w:tbl>
    <w:p w14:paraId="07B931CF">
      <w:pPr>
        <w:ind w:firstLine="422"/>
        <w:jc w:val="center"/>
        <w:rPr>
          <w:rFonts w:ascii="宋体" w:hAnsi="宋体" w:cs="宋体"/>
          <w:b/>
          <w:bCs/>
        </w:rPr>
      </w:pPr>
      <w:r>
        <w:rPr>
          <w:rFonts w:hint="eastAsia" w:ascii="宋体" w:hAnsi="宋体" w:cs="宋体"/>
          <w:b/>
          <w:bCs/>
        </w:rPr>
        <w:t>1988年至2004年人口统计</w:t>
      </w:r>
    </w:p>
    <w:p w14:paraId="747659BD">
      <w:pPr>
        <w:ind w:firstLine="0" w:firstLineChars="0"/>
        <w:rPr>
          <w:rFonts w:ascii="宋体" w:hAnsi="宋体" w:cs="宋体"/>
          <w:b/>
          <w:bCs/>
        </w:rPr>
      </w:pPr>
      <w:r>
        <w:rPr>
          <w:rFonts w:hint="eastAsia" w:ascii="宋体" w:hAnsi="宋体" w:cs="宋体"/>
          <w:b/>
          <w:bCs/>
        </w:rPr>
        <w:t>表6-2</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5"/>
        <w:gridCol w:w="1245"/>
        <w:gridCol w:w="1245"/>
        <w:gridCol w:w="1245"/>
        <w:gridCol w:w="1245"/>
        <w:gridCol w:w="1245"/>
        <w:gridCol w:w="1246"/>
        <w:gridCol w:w="1246"/>
      </w:tblGrid>
      <w:tr w14:paraId="55E9BB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712BA63A">
            <w:pPr>
              <w:pStyle w:val="12"/>
              <w:jc w:val="center"/>
              <w:rPr>
                <w:b/>
              </w:rPr>
            </w:pPr>
            <w:r>
              <w:rPr>
                <w:rFonts w:hint="eastAsia"/>
                <w:b/>
              </w:rPr>
              <w:t>年度</w:t>
            </w:r>
          </w:p>
        </w:tc>
        <w:tc>
          <w:tcPr>
            <w:tcW w:w="625" w:type="pct"/>
            <w:vAlign w:val="center"/>
          </w:tcPr>
          <w:p w14:paraId="1C6B725E">
            <w:pPr>
              <w:pStyle w:val="12"/>
              <w:jc w:val="center"/>
              <w:rPr>
                <w:b/>
              </w:rPr>
            </w:pPr>
            <w:r>
              <w:rPr>
                <w:rFonts w:hint="eastAsia"/>
                <w:b/>
              </w:rPr>
              <w:t>总户数（户）</w:t>
            </w:r>
          </w:p>
        </w:tc>
        <w:tc>
          <w:tcPr>
            <w:tcW w:w="625" w:type="pct"/>
            <w:vAlign w:val="center"/>
          </w:tcPr>
          <w:p w14:paraId="7243275A">
            <w:pPr>
              <w:pStyle w:val="12"/>
              <w:jc w:val="center"/>
              <w:rPr>
                <w:b/>
              </w:rPr>
            </w:pPr>
            <w:r>
              <w:rPr>
                <w:rFonts w:hint="eastAsia"/>
                <w:b/>
              </w:rPr>
              <w:t>总人口（人）</w:t>
            </w:r>
          </w:p>
        </w:tc>
        <w:tc>
          <w:tcPr>
            <w:tcW w:w="625" w:type="pct"/>
            <w:vAlign w:val="center"/>
          </w:tcPr>
          <w:p w14:paraId="6EBC7B6D">
            <w:pPr>
              <w:pStyle w:val="12"/>
              <w:jc w:val="center"/>
              <w:rPr>
                <w:b/>
              </w:rPr>
            </w:pPr>
            <w:r>
              <w:rPr>
                <w:rFonts w:hint="eastAsia"/>
                <w:b/>
              </w:rPr>
              <w:t>比上年增（%）</w:t>
            </w:r>
          </w:p>
        </w:tc>
        <w:tc>
          <w:tcPr>
            <w:tcW w:w="625" w:type="pct"/>
            <w:vAlign w:val="center"/>
          </w:tcPr>
          <w:p w14:paraId="56616C06">
            <w:pPr>
              <w:pStyle w:val="12"/>
              <w:jc w:val="center"/>
              <w:rPr>
                <w:b/>
              </w:rPr>
            </w:pPr>
            <w:r>
              <w:rPr>
                <w:rFonts w:hint="eastAsia"/>
                <w:b/>
              </w:rPr>
              <w:t>年度</w:t>
            </w:r>
          </w:p>
        </w:tc>
        <w:tc>
          <w:tcPr>
            <w:tcW w:w="625" w:type="pct"/>
            <w:vAlign w:val="center"/>
          </w:tcPr>
          <w:p w14:paraId="4BAB1AE2">
            <w:pPr>
              <w:pStyle w:val="12"/>
              <w:jc w:val="center"/>
              <w:rPr>
                <w:b/>
              </w:rPr>
            </w:pPr>
            <w:r>
              <w:rPr>
                <w:rFonts w:hint="eastAsia"/>
                <w:b/>
              </w:rPr>
              <w:t>总户数（户）</w:t>
            </w:r>
          </w:p>
        </w:tc>
        <w:tc>
          <w:tcPr>
            <w:tcW w:w="625" w:type="pct"/>
            <w:vAlign w:val="center"/>
          </w:tcPr>
          <w:p w14:paraId="7E8DAE74">
            <w:pPr>
              <w:pStyle w:val="12"/>
              <w:jc w:val="center"/>
              <w:rPr>
                <w:b/>
              </w:rPr>
            </w:pPr>
            <w:r>
              <w:rPr>
                <w:rFonts w:hint="eastAsia"/>
                <w:b/>
              </w:rPr>
              <w:t>总人口（人）</w:t>
            </w:r>
          </w:p>
        </w:tc>
        <w:tc>
          <w:tcPr>
            <w:tcW w:w="625" w:type="pct"/>
            <w:vAlign w:val="center"/>
          </w:tcPr>
          <w:p w14:paraId="6BEDEF8B">
            <w:pPr>
              <w:pStyle w:val="12"/>
              <w:jc w:val="center"/>
              <w:rPr>
                <w:b/>
              </w:rPr>
            </w:pPr>
            <w:r>
              <w:rPr>
                <w:rFonts w:hint="eastAsia"/>
                <w:b/>
              </w:rPr>
              <w:t>比上年增（%）</w:t>
            </w:r>
          </w:p>
        </w:tc>
      </w:tr>
      <w:tr w14:paraId="33C4FD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3982D422">
            <w:pPr>
              <w:pStyle w:val="12"/>
              <w:jc w:val="center"/>
            </w:pPr>
            <w:r>
              <w:t>1988</w:t>
            </w:r>
          </w:p>
        </w:tc>
        <w:tc>
          <w:tcPr>
            <w:tcW w:w="625" w:type="pct"/>
            <w:vAlign w:val="center"/>
          </w:tcPr>
          <w:p w14:paraId="7C6A3614">
            <w:pPr>
              <w:pStyle w:val="12"/>
              <w:jc w:val="center"/>
            </w:pPr>
            <w:r>
              <w:t>79857</w:t>
            </w:r>
          </w:p>
        </w:tc>
        <w:tc>
          <w:tcPr>
            <w:tcW w:w="625" w:type="pct"/>
            <w:vAlign w:val="center"/>
          </w:tcPr>
          <w:p w14:paraId="285FA395">
            <w:pPr>
              <w:pStyle w:val="12"/>
              <w:jc w:val="center"/>
            </w:pPr>
            <w:r>
              <w:t>421685</w:t>
            </w:r>
          </w:p>
        </w:tc>
        <w:tc>
          <w:tcPr>
            <w:tcW w:w="625" w:type="pct"/>
            <w:vAlign w:val="center"/>
          </w:tcPr>
          <w:p w14:paraId="250E1B8D">
            <w:pPr>
              <w:pStyle w:val="12"/>
              <w:jc w:val="center"/>
            </w:pPr>
            <w:r>
              <w:t>0.77</w:t>
            </w:r>
          </w:p>
        </w:tc>
        <w:tc>
          <w:tcPr>
            <w:tcW w:w="625" w:type="pct"/>
            <w:vAlign w:val="center"/>
          </w:tcPr>
          <w:p w14:paraId="4F2AA103">
            <w:pPr>
              <w:pStyle w:val="12"/>
              <w:jc w:val="center"/>
            </w:pPr>
            <w:r>
              <w:t>1992</w:t>
            </w:r>
          </w:p>
        </w:tc>
        <w:tc>
          <w:tcPr>
            <w:tcW w:w="625" w:type="pct"/>
            <w:vAlign w:val="center"/>
          </w:tcPr>
          <w:p w14:paraId="10A503FE">
            <w:pPr>
              <w:pStyle w:val="12"/>
              <w:jc w:val="center"/>
            </w:pPr>
            <w:r>
              <w:t>89451</w:t>
            </w:r>
          </w:p>
        </w:tc>
        <w:tc>
          <w:tcPr>
            <w:tcW w:w="625" w:type="pct"/>
            <w:vAlign w:val="center"/>
          </w:tcPr>
          <w:p w14:paraId="5D2C4F20">
            <w:pPr>
              <w:pStyle w:val="12"/>
              <w:jc w:val="center"/>
            </w:pPr>
            <w:r>
              <w:t>443315</w:t>
            </w:r>
          </w:p>
        </w:tc>
        <w:tc>
          <w:tcPr>
            <w:tcW w:w="625" w:type="pct"/>
            <w:vAlign w:val="center"/>
          </w:tcPr>
          <w:p w14:paraId="2CDD8E74">
            <w:pPr>
              <w:pStyle w:val="12"/>
              <w:jc w:val="center"/>
            </w:pPr>
            <w:r>
              <w:t>0.70</w:t>
            </w:r>
          </w:p>
        </w:tc>
      </w:tr>
      <w:tr w14:paraId="2783E3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43361FB6">
            <w:pPr>
              <w:pStyle w:val="12"/>
              <w:jc w:val="center"/>
            </w:pPr>
            <w:r>
              <w:t>1989</w:t>
            </w:r>
          </w:p>
        </w:tc>
        <w:tc>
          <w:tcPr>
            <w:tcW w:w="625" w:type="pct"/>
            <w:vAlign w:val="center"/>
          </w:tcPr>
          <w:p w14:paraId="1036EC40">
            <w:pPr>
              <w:pStyle w:val="12"/>
              <w:jc w:val="center"/>
            </w:pPr>
            <w:r>
              <w:t>81517</w:t>
            </w:r>
          </w:p>
        </w:tc>
        <w:tc>
          <w:tcPr>
            <w:tcW w:w="625" w:type="pct"/>
            <w:vAlign w:val="center"/>
          </w:tcPr>
          <w:p w14:paraId="102A2ED8">
            <w:pPr>
              <w:pStyle w:val="12"/>
              <w:jc w:val="center"/>
            </w:pPr>
            <w:r>
              <w:t>429587</w:t>
            </w:r>
          </w:p>
        </w:tc>
        <w:tc>
          <w:tcPr>
            <w:tcW w:w="625" w:type="pct"/>
            <w:vAlign w:val="center"/>
          </w:tcPr>
          <w:p w14:paraId="253E79F2">
            <w:pPr>
              <w:pStyle w:val="12"/>
              <w:jc w:val="center"/>
            </w:pPr>
            <w:r>
              <w:t>1.8</w:t>
            </w:r>
          </w:p>
        </w:tc>
        <w:tc>
          <w:tcPr>
            <w:tcW w:w="625" w:type="pct"/>
            <w:vAlign w:val="center"/>
          </w:tcPr>
          <w:p w14:paraId="557A3036">
            <w:pPr>
              <w:pStyle w:val="12"/>
              <w:jc w:val="center"/>
            </w:pPr>
            <w:r>
              <w:t>1993</w:t>
            </w:r>
          </w:p>
        </w:tc>
        <w:tc>
          <w:tcPr>
            <w:tcW w:w="625" w:type="pct"/>
            <w:vAlign w:val="center"/>
          </w:tcPr>
          <w:p w14:paraId="3DD3B389">
            <w:pPr>
              <w:pStyle w:val="12"/>
              <w:jc w:val="center"/>
            </w:pPr>
            <w:r>
              <w:t>92648</w:t>
            </w:r>
          </w:p>
        </w:tc>
        <w:tc>
          <w:tcPr>
            <w:tcW w:w="625" w:type="pct"/>
            <w:vAlign w:val="center"/>
          </w:tcPr>
          <w:p w14:paraId="0157E2C7">
            <w:pPr>
              <w:pStyle w:val="12"/>
              <w:jc w:val="center"/>
            </w:pPr>
            <w:r>
              <w:t>444166</w:t>
            </w:r>
          </w:p>
        </w:tc>
        <w:tc>
          <w:tcPr>
            <w:tcW w:w="625" w:type="pct"/>
            <w:vAlign w:val="center"/>
          </w:tcPr>
          <w:p w14:paraId="279C5A63">
            <w:pPr>
              <w:pStyle w:val="12"/>
              <w:jc w:val="center"/>
            </w:pPr>
            <w:r>
              <w:t>0.2</w:t>
            </w:r>
          </w:p>
        </w:tc>
      </w:tr>
      <w:tr w14:paraId="266622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173ABEDC">
            <w:pPr>
              <w:pStyle w:val="12"/>
              <w:jc w:val="center"/>
            </w:pPr>
            <w:r>
              <w:t>1990</w:t>
            </w:r>
          </w:p>
        </w:tc>
        <w:tc>
          <w:tcPr>
            <w:tcW w:w="625" w:type="pct"/>
            <w:vAlign w:val="center"/>
          </w:tcPr>
          <w:p w14:paraId="537A3137">
            <w:pPr>
              <w:pStyle w:val="12"/>
              <w:jc w:val="center"/>
            </w:pPr>
            <w:r>
              <w:t>84846</w:t>
            </w:r>
          </w:p>
        </w:tc>
        <w:tc>
          <w:tcPr>
            <w:tcW w:w="625" w:type="pct"/>
            <w:vAlign w:val="center"/>
          </w:tcPr>
          <w:p w14:paraId="027A44C7">
            <w:pPr>
              <w:pStyle w:val="12"/>
              <w:jc w:val="center"/>
            </w:pPr>
            <w:r>
              <w:t>436017</w:t>
            </w:r>
          </w:p>
        </w:tc>
        <w:tc>
          <w:tcPr>
            <w:tcW w:w="625" w:type="pct"/>
            <w:vAlign w:val="center"/>
          </w:tcPr>
          <w:p w14:paraId="04D4FB05">
            <w:pPr>
              <w:pStyle w:val="12"/>
              <w:jc w:val="center"/>
            </w:pPr>
            <w:r>
              <w:t>1.4</w:t>
            </w:r>
          </w:p>
        </w:tc>
        <w:tc>
          <w:tcPr>
            <w:tcW w:w="625" w:type="pct"/>
            <w:vAlign w:val="center"/>
          </w:tcPr>
          <w:p w14:paraId="1E074F5A">
            <w:pPr>
              <w:pStyle w:val="12"/>
              <w:jc w:val="center"/>
            </w:pPr>
            <w:r>
              <w:t>1994</w:t>
            </w:r>
          </w:p>
        </w:tc>
        <w:tc>
          <w:tcPr>
            <w:tcW w:w="625" w:type="pct"/>
            <w:vAlign w:val="center"/>
          </w:tcPr>
          <w:p w14:paraId="53B35091">
            <w:pPr>
              <w:pStyle w:val="12"/>
              <w:jc w:val="center"/>
            </w:pPr>
            <w:r>
              <w:t>100050</w:t>
            </w:r>
          </w:p>
        </w:tc>
        <w:tc>
          <w:tcPr>
            <w:tcW w:w="625" w:type="pct"/>
            <w:vAlign w:val="center"/>
          </w:tcPr>
          <w:p w14:paraId="15BC0C1A">
            <w:pPr>
              <w:pStyle w:val="12"/>
              <w:jc w:val="center"/>
            </w:pPr>
            <w:r>
              <w:t>445914</w:t>
            </w:r>
          </w:p>
        </w:tc>
        <w:tc>
          <w:tcPr>
            <w:tcW w:w="625" w:type="pct"/>
            <w:vAlign w:val="center"/>
          </w:tcPr>
          <w:p w14:paraId="1020B18F">
            <w:pPr>
              <w:pStyle w:val="12"/>
              <w:jc w:val="center"/>
            </w:pPr>
            <w:r>
              <w:t>0.4</w:t>
            </w:r>
          </w:p>
        </w:tc>
      </w:tr>
      <w:tr w14:paraId="6E4A48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6B11BCFC">
            <w:pPr>
              <w:pStyle w:val="12"/>
              <w:jc w:val="center"/>
            </w:pPr>
            <w:r>
              <w:t>1991</w:t>
            </w:r>
          </w:p>
        </w:tc>
        <w:tc>
          <w:tcPr>
            <w:tcW w:w="625" w:type="pct"/>
            <w:vAlign w:val="center"/>
          </w:tcPr>
          <w:p w14:paraId="225BAF37">
            <w:pPr>
              <w:pStyle w:val="12"/>
              <w:jc w:val="center"/>
            </w:pPr>
            <w:r>
              <w:t>87554</w:t>
            </w:r>
          </w:p>
        </w:tc>
        <w:tc>
          <w:tcPr>
            <w:tcW w:w="625" w:type="pct"/>
            <w:vAlign w:val="center"/>
          </w:tcPr>
          <w:p w14:paraId="64973BB5">
            <w:pPr>
              <w:pStyle w:val="12"/>
              <w:jc w:val="center"/>
            </w:pPr>
            <w:r>
              <w:t>440218</w:t>
            </w:r>
          </w:p>
        </w:tc>
        <w:tc>
          <w:tcPr>
            <w:tcW w:w="625" w:type="pct"/>
            <w:vAlign w:val="center"/>
          </w:tcPr>
          <w:p w14:paraId="0B618F74">
            <w:pPr>
              <w:pStyle w:val="12"/>
              <w:jc w:val="center"/>
            </w:pPr>
            <w:r>
              <w:t>0.96</w:t>
            </w:r>
          </w:p>
        </w:tc>
        <w:tc>
          <w:tcPr>
            <w:tcW w:w="625" w:type="pct"/>
            <w:vAlign w:val="center"/>
          </w:tcPr>
          <w:p w14:paraId="6E89FBE9">
            <w:pPr>
              <w:pStyle w:val="12"/>
              <w:jc w:val="center"/>
            </w:pPr>
            <w:r>
              <w:t>1995</w:t>
            </w:r>
          </w:p>
        </w:tc>
        <w:tc>
          <w:tcPr>
            <w:tcW w:w="625" w:type="pct"/>
            <w:vAlign w:val="center"/>
          </w:tcPr>
          <w:p w14:paraId="70F82B9D">
            <w:pPr>
              <w:pStyle w:val="12"/>
              <w:jc w:val="center"/>
            </w:pPr>
            <w:r>
              <w:t>99802</w:t>
            </w:r>
          </w:p>
        </w:tc>
        <w:tc>
          <w:tcPr>
            <w:tcW w:w="625" w:type="pct"/>
            <w:vAlign w:val="center"/>
          </w:tcPr>
          <w:p w14:paraId="25B89BF2">
            <w:pPr>
              <w:pStyle w:val="12"/>
              <w:jc w:val="center"/>
            </w:pPr>
            <w:r>
              <w:t>446241</w:t>
            </w:r>
          </w:p>
        </w:tc>
        <w:tc>
          <w:tcPr>
            <w:tcW w:w="625" w:type="pct"/>
            <w:vAlign w:val="center"/>
          </w:tcPr>
          <w:p w14:paraId="1E44901D">
            <w:pPr>
              <w:pStyle w:val="12"/>
              <w:jc w:val="center"/>
            </w:pPr>
            <w:r>
              <w:t>0.1</w:t>
            </w:r>
          </w:p>
        </w:tc>
      </w:tr>
      <w:tr w14:paraId="1F9B54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5AF1FFCB">
            <w:pPr>
              <w:pStyle w:val="12"/>
              <w:jc w:val="center"/>
            </w:pPr>
            <w:r>
              <w:t>1996</w:t>
            </w:r>
          </w:p>
        </w:tc>
        <w:tc>
          <w:tcPr>
            <w:tcW w:w="625" w:type="pct"/>
            <w:vAlign w:val="center"/>
          </w:tcPr>
          <w:p w14:paraId="40EF0070">
            <w:pPr>
              <w:pStyle w:val="12"/>
              <w:jc w:val="center"/>
            </w:pPr>
            <w:r>
              <w:t>106263</w:t>
            </w:r>
          </w:p>
        </w:tc>
        <w:tc>
          <w:tcPr>
            <w:tcW w:w="625" w:type="pct"/>
            <w:vAlign w:val="center"/>
          </w:tcPr>
          <w:p w14:paraId="629D4851">
            <w:pPr>
              <w:pStyle w:val="12"/>
              <w:jc w:val="center"/>
            </w:pPr>
            <w:r>
              <w:t>447885</w:t>
            </w:r>
          </w:p>
        </w:tc>
        <w:tc>
          <w:tcPr>
            <w:tcW w:w="625" w:type="pct"/>
            <w:vAlign w:val="center"/>
          </w:tcPr>
          <w:p w14:paraId="644F6C20">
            <w:pPr>
              <w:pStyle w:val="12"/>
              <w:jc w:val="center"/>
            </w:pPr>
            <w:r>
              <w:t>0.4</w:t>
            </w:r>
          </w:p>
        </w:tc>
        <w:tc>
          <w:tcPr>
            <w:tcW w:w="625" w:type="pct"/>
            <w:vAlign w:val="center"/>
          </w:tcPr>
          <w:p w14:paraId="4A8B2705">
            <w:pPr>
              <w:pStyle w:val="12"/>
              <w:jc w:val="center"/>
            </w:pPr>
            <w:r>
              <w:t>2001</w:t>
            </w:r>
          </w:p>
        </w:tc>
        <w:tc>
          <w:tcPr>
            <w:tcW w:w="625" w:type="pct"/>
            <w:vAlign w:val="center"/>
          </w:tcPr>
          <w:p w14:paraId="0D8C59F6">
            <w:pPr>
              <w:pStyle w:val="12"/>
              <w:jc w:val="center"/>
            </w:pPr>
            <w:r>
              <w:t>117020</w:t>
            </w:r>
          </w:p>
        </w:tc>
        <w:tc>
          <w:tcPr>
            <w:tcW w:w="625" w:type="pct"/>
            <w:vAlign w:val="center"/>
          </w:tcPr>
          <w:p w14:paraId="78B09681">
            <w:pPr>
              <w:pStyle w:val="12"/>
              <w:jc w:val="center"/>
            </w:pPr>
            <w:r>
              <w:t>454384</w:t>
            </w:r>
          </w:p>
        </w:tc>
        <w:tc>
          <w:tcPr>
            <w:tcW w:w="625" w:type="pct"/>
            <w:vAlign w:val="center"/>
          </w:tcPr>
          <w:p w14:paraId="6F91F3B1">
            <w:pPr>
              <w:pStyle w:val="12"/>
              <w:jc w:val="center"/>
            </w:pPr>
            <w:r>
              <w:t>0.3</w:t>
            </w:r>
          </w:p>
        </w:tc>
      </w:tr>
      <w:tr w14:paraId="4A061A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347381C6">
            <w:pPr>
              <w:pStyle w:val="12"/>
              <w:jc w:val="center"/>
            </w:pPr>
            <w:r>
              <w:t>1997</w:t>
            </w:r>
          </w:p>
        </w:tc>
        <w:tc>
          <w:tcPr>
            <w:tcW w:w="625" w:type="pct"/>
            <w:vAlign w:val="center"/>
          </w:tcPr>
          <w:p w14:paraId="04D4C310">
            <w:pPr>
              <w:pStyle w:val="12"/>
              <w:jc w:val="center"/>
            </w:pPr>
            <w:r>
              <w:t>108262</w:t>
            </w:r>
          </w:p>
        </w:tc>
        <w:tc>
          <w:tcPr>
            <w:tcW w:w="625" w:type="pct"/>
            <w:vAlign w:val="center"/>
          </w:tcPr>
          <w:p w14:paraId="761AEDDD">
            <w:pPr>
              <w:pStyle w:val="12"/>
              <w:jc w:val="center"/>
            </w:pPr>
            <w:r>
              <w:t>449614</w:t>
            </w:r>
          </w:p>
        </w:tc>
        <w:tc>
          <w:tcPr>
            <w:tcW w:w="625" w:type="pct"/>
            <w:vAlign w:val="center"/>
          </w:tcPr>
          <w:p w14:paraId="3AF1AB0C">
            <w:pPr>
              <w:pStyle w:val="12"/>
              <w:jc w:val="center"/>
            </w:pPr>
            <w:r>
              <w:t>0.4</w:t>
            </w:r>
          </w:p>
        </w:tc>
        <w:tc>
          <w:tcPr>
            <w:tcW w:w="625" w:type="pct"/>
            <w:vAlign w:val="center"/>
          </w:tcPr>
          <w:p w14:paraId="5E19CEB7">
            <w:pPr>
              <w:pStyle w:val="12"/>
              <w:jc w:val="center"/>
            </w:pPr>
            <w:r>
              <w:t>2002</w:t>
            </w:r>
          </w:p>
        </w:tc>
        <w:tc>
          <w:tcPr>
            <w:tcW w:w="625" w:type="pct"/>
            <w:vAlign w:val="center"/>
          </w:tcPr>
          <w:p w14:paraId="23DB701E">
            <w:pPr>
              <w:pStyle w:val="12"/>
              <w:jc w:val="center"/>
            </w:pPr>
            <w:r>
              <w:t>118604</w:t>
            </w:r>
          </w:p>
        </w:tc>
        <w:tc>
          <w:tcPr>
            <w:tcW w:w="625" w:type="pct"/>
            <w:vAlign w:val="center"/>
          </w:tcPr>
          <w:p w14:paraId="6D5E6FD0">
            <w:pPr>
              <w:pStyle w:val="12"/>
              <w:jc w:val="center"/>
            </w:pPr>
            <w:r>
              <w:t>455715</w:t>
            </w:r>
          </w:p>
        </w:tc>
        <w:tc>
          <w:tcPr>
            <w:tcW w:w="625" w:type="pct"/>
            <w:vAlign w:val="center"/>
          </w:tcPr>
          <w:p w14:paraId="0E049850">
            <w:pPr>
              <w:pStyle w:val="12"/>
              <w:jc w:val="center"/>
            </w:pPr>
            <w:r>
              <w:t>0.3</w:t>
            </w:r>
          </w:p>
        </w:tc>
      </w:tr>
      <w:tr w14:paraId="13E12DE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6EA973B4">
            <w:pPr>
              <w:pStyle w:val="12"/>
              <w:jc w:val="center"/>
            </w:pPr>
            <w:r>
              <w:t>1998</w:t>
            </w:r>
          </w:p>
        </w:tc>
        <w:tc>
          <w:tcPr>
            <w:tcW w:w="625" w:type="pct"/>
            <w:vAlign w:val="center"/>
          </w:tcPr>
          <w:p w14:paraId="612B73B5">
            <w:pPr>
              <w:pStyle w:val="12"/>
              <w:jc w:val="center"/>
            </w:pPr>
            <w:r>
              <w:t>109310</w:t>
            </w:r>
          </w:p>
        </w:tc>
        <w:tc>
          <w:tcPr>
            <w:tcW w:w="625" w:type="pct"/>
            <w:vAlign w:val="center"/>
          </w:tcPr>
          <w:p w14:paraId="2EAE5999">
            <w:pPr>
              <w:pStyle w:val="12"/>
              <w:jc w:val="center"/>
            </w:pPr>
            <w:r>
              <w:t>450828</w:t>
            </w:r>
          </w:p>
        </w:tc>
        <w:tc>
          <w:tcPr>
            <w:tcW w:w="625" w:type="pct"/>
            <w:vAlign w:val="center"/>
          </w:tcPr>
          <w:p w14:paraId="2EFAF9D9">
            <w:pPr>
              <w:pStyle w:val="12"/>
              <w:jc w:val="center"/>
            </w:pPr>
            <w:r>
              <w:t>0.3</w:t>
            </w:r>
          </w:p>
        </w:tc>
        <w:tc>
          <w:tcPr>
            <w:tcW w:w="625" w:type="pct"/>
            <w:vAlign w:val="center"/>
          </w:tcPr>
          <w:p w14:paraId="16863273">
            <w:pPr>
              <w:pStyle w:val="12"/>
              <w:jc w:val="center"/>
            </w:pPr>
            <w:r>
              <w:t>2003</w:t>
            </w:r>
          </w:p>
        </w:tc>
        <w:tc>
          <w:tcPr>
            <w:tcW w:w="625" w:type="pct"/>
            <w:vAlign w:val="center"/>
          </w:tcPr>
          <w:p w14:paraId="7AEA3DCE">
            <w:pPr>
              <w:pStyle w:val="12"/>
              <w:jc w:val="center"/>
            </w:pPr>
            <w:r>
              <w:t>120212</w:t>
            </w:r>
          </w:p>
        </w:tc>
        <w:tc>
          <w:tcPr>
            <w:tcW w:w="625" w:type="pct"/>
            <w:vAlign w:val="center"/>
          </w:tcPr>
          <w:p w14:paraId="0DA5F271">
            <w:pPr>
              <w:pStyle w:val="12"/>
              <w:jc w:val="center"/>
            </w:pPr>
            <w:r>
              <w:t>456800</w:t>
            </w:r>
          </w:p>
        </w:tc>
        <w:tc>
          <w:tcPr>
            <w:tcW w:w="625" w:type="pct"/>
            <w:vAlign w:val="center"/>
          </w:tcPr>
          <w:p w14:paraId="52FAA89D">
            <w:pPr>
              <w:pStyle w:val="12"/>
              <w:jc w:val="center"/>
            </w:pPr>
            <w:r>
              <w:t>0.2</w:t>
            </w:r>
          </w:p>
        </w:tc>
      </w:tr>
      <w:tr w14:paraId="140AFC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0303860B">
            <w:pPr>
              <w:pStyle w:val="12"/>
              <w:jc w:val="center"/>
            </w:pPr>
            <w:r>
              <w:t>1999</w:t>
            </w:r>
          </w:p>
        </w:tc>
        <w:tc>
          <w:tcPr>
            <w:tcW w:w="625" w:type="pct"/>
            <w:vAlign w:val="center"/>
          </w:tcPr>
          <w:p w14:paraId="5431FE10">
            <w:pPr>
              <w:pStyle w:val="12"/>
              <w:jc w:val="center"/>
            </w:pPr>
            <w:r>
              <w:t>111789</w:t>
            </w:r>
          </w:p>
        </w:tc>
        <w:tc>
          <w:tcPr>
            <w:tcW w:w="625" w:type="pct"/>
            <w:vAlign w:val="center"/>
          </w:tcPr>
          <w:p w14:paraId="05B81682">
            <w:pPr>
              <w:pStyle w:val="12"/>
              <w:jc w:val="center"/>
            </w:pPr>
            <w:r>
              <w:t>451268</w:t>
            </w:r>
          </w:p>
        </w:tc>
        <w:tc>
          <w:tcPr>
            <w:tcW w:w="625" w:type="pct"/>
            <w:vAlign w:val="center"/>
          </w:tcPr>
          <w:p w14:paraId="51E8FBBA">
            <w:pPr>
              <w:pStyle w:val="12"/>
              <w:jc w:val="center"/>
            </w:pPr>
            <w:r>
              <w:t>0.1</w:t>
            </w:r>
          </w:p>
        </w:tc>
        <w:tc>
          <w:tcPr>
            <w:tcW w:w="625" w:type="pct"/>
            <w:vAlign w:val="center"/>
          </w:tcPr>
          <w:p w14:paraId="0271A281">
            <w:pPr>
              <w:pStyle w:val="12"/>
              <w:jc w:val="center"/>
            </w:pPr>
            <w:r>
              <w:t>2004</w:t>
            </w:r>
          </w:p>
        </w:tc>
        <w:tc>
          <w:tcPr>
            <w:tcW w:w="625" w:type="pct"/>
            <w:vAlign w:val="center"/>
          </w:tcPr>
          <w:p w14:paraId="10F9C850">
            <w:pPr>
              <w:pStyle w:val="12"/>
              <w:jc w:val="center"/>
            </w:pPr>
            <w:r>
              <w:t>122044</w:t>
            </w:r>
          </w:p>
        </w:tc>
        <w:tc>
          <w:tcPr>
            <w:tcW w:w="625" w:type="pct"/>
            <w:vAlign w:val="center"/>
          </w:tcPr>
          <w:p w14:paraId="33930CA9">
            <w:pPr>
              <w:pStyle w:val="12"/>
              <w:jc w:val="center"/>
            </w:pPr>
            <w:r>
              <w:t>457883</w:t>
            </w:r>
          </w:p>
        </w:tc>
        <w:tc>
          <w:tcPr>
            <w:tcW w:w="625" w:type="pct"/>
            <w:vAlign w:val="center"/>
          </w:tcPr>
          <w:p w14:paraId="7EC30BCC">
            <w:pPr>
              <w:pStyle w:val="12"/>
              <w:jc w:val="center"/>
            </w:pPr>
            <w:r>
              <w:t>0.2</w:t>
            </w:r>
          </w:p>
        </w:tc>
      </w:tr>
      <w:tr w14:paraId="40F31BE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52A164D2">
            <w:pPr>
              <w:pStyle w:val="12"/>
              <w:jc w:val="center"/>
            </w:pPr>
            <w:r>
              <w:t>2000</w:t>
            </w:r>
          </w:p>
        </w:tc>
        <w:tc>
          <w:tcPr>
            <w:tcW w:w="625" w:type="pct"/>
            <w:vAlign w:val="center"/>
          </w:tcPr>
          <w:p w14:paraId="4C64BC40">
            <w:pPr>
              <w:pStyle w:val="12"/>
              <w:jc w:val="center"/>
            </w:pPr>
            <w:r>
              <w:t>115982</w:t>
            </w:r>
          </w:p>
        </w:tc>
        <w:tc>
          <w:tcPr>
            <w:tcW w:w="625" w:type="pct"/>
            <w:vAlign w:val="center"/>
          </w:tcPr>
          <w:p w14:paraId="1A2A57CD">
            <w:pPr>
              <w:pStyle w:val="12"/>
              <w:jc w:val="center"/>
            </w:pPr>
            <w:r>
              <w:t>453097</w:t>
            </w:r>
          </w:p>
        </w:tc>
        <w:tc>
          <w:tcPr>
            <w:tcW w:w="625" w:type="pct"/>
            <w:vAlign w:val="center"/>
          </w:tcPr>
          <w:p w14:paraId="4EFAC986">
            <w:pPr>
              <w:pStyle w:val="12"/>
              <w:jc w:val="center"/>
            </w:pPr>
            <w:r>
              <w:t>0.4</w:t>
            </w:r>
          </w:p>
        </w:tc>
        <w:tc>
          <w:tcPr>
            <w:tcW w:w="625" w:type="pct"/>
            <w:vAlign w:val="center"/>
          </w:tcPr>
          <w:p w14:paraId="08480646">
            <w:pPr>
              <w:pStyle w:val="12"/>
              <w:jc w:val="center"/>
            </w:pPr>
            <w:r>
              <w:t>—</w:t>
            </w:r>
          </w:p>
        </w:tc>
        <w:tc>
          <w:tcPr>
            <w:tcW w:w="625" w:type="pct"/>
            <w:vAlign w:val="center"/>
          </w:tcPr>
          <w:p w14:paraId="2548060E">
            <w:pPr>
              <w:pStyle w:val="12"/>
              <w:jc w:val="center"/>
            </w:pPr>
            <w:r>
              <w:t>—</w:t>
            </w:r>
          </w:p>
        </w:tc>
        <w:tc>
          <w:tcPr>
            <w:tcW w:w="625" w:type="pct"/>
            <w:vAlign w:val="center"/>
          </w:tcPr>
          <w:p w14:paraId="6747745D">
            <w:pPr>
              <w:pStyle w:val="12"/>
              <w:jc w:val="center"/>
            </w:pPr>
            <w:r>
              <w:t>—</w:t>
            </w:r>
          </w:p>
        </w:tc>
        <w:tc>
          <w:tcPr>
            <w:tcW w:w="625" w:type="pct"/>
            <w:vAlign w:val="center"/>
          </w:tcPr>
          <w:p w14:paraId="772BDBBB">
            <w:pPr>
              <w:pStyle w:val="12"/>
              <w:jc w:val="center"/>
            </w:pPr>
            <w:r>
              <w:t>—</w:t>
            </w:r>
          </w:p>
        </w:tc>
      </w:tr>
    </w:tbl>
    <w:p w14:paraId="6FA419A5">
      <w:pPr>
        <w:pStyle w:val="5"/>
        <w:rPr>
          <w:rFonts w:ascii="宋体" w:hAnsi="宋体" w:cs="宋体"/>
        </w:rPr>
      </w:pPr>
      <w:r>
        <w:rPr>
          <w:rFonts w:hint="eastAsia" w:ascii="宋体" w:hAnsi="宋体" w:cs="宋体"/>
        </w:rPr>
        <w:t>二、历次人口普查之人口结构</w:t>
      </w:r>
    </w:p>
    <w:p w14:paraId="3BE8B193">
      <w:pPr>
        <w:ind w:firstLine="420"/>
        <w:rPr>
          <w:rFonts w:ascii="宋体" w:hAnsi="宋体" w:cs="宋体"/>
        </w:rPr>
      </w:pPr>
      <w:r>
        <w:rPr>
          <w:rFonts w:hint="eastAsia" w:ascii="宋体" w:hAnsi="宋体" w:cs="宋体"/>
        </w:rPr>
        <w:t>人口结构分城乡、性别、年龄、文化、行业职业、农业与非农业等方面，并以新中国成立后全国统一的五次人口普查资料志记。人口普查时间，第一次为1953年7月，第二次为1964年6月，第三次为1982年7月，第四次为1990年7月，第五次为2000年11月。</w:t>
      </w:r>
    </w:p>
    <w:p w14:paraId="0997AEB6">
      <w:pPr>
        <w:ind w:firstLine="422"/>
        <w:rPr>
          <w:rFonts w:ascii="宋体" w:hAnsi="宋体" w:cs="宋体"/>
          <w:b/>
          <w:bCs/>
        </w:rPr>
      </w:pPr>
      <w:r>
        <w:rPr>
          <w:rFonts w:hint="eastAsia" w:ascii="宋体" w:hAnsi="宋体" w:cs="宋体"/>
          <w:b/>
          <w:bCs/>
        </w:rPr>
        <w:t>（一）城乡、性别、农业与非农业人口构成</w:t>
      </w:r>
    </w:p>
    <w:p w14:paraId="1B1F7265">
      <w:pPr>
        <w:ind w:firstLine="422"/>
        <w:jc w:val="center"/>
        <w:rPr>
          <w:rFonts w:ascii="宋体" w:hAnsi="宋体" w:cs="宋体"/>
          <w:b/>
          <w:bCs/>
        </w:rPr>
      </w:pPr>
      <w:r>
        <w:rPr>
          <w:rFonts w:hint="eastAsia" w:ascii="宋体" w:hAnsi="宋体" w:cs="宋体"/>
          <w:b/>
          <w:bCs/>
        </w:rPr>
        <w:t>第一至第五次人口普查城乡、性别、农业与非农业构成情况</w:t>
      </w:r>
    </w:p>
    <w:p w14:paraId="105BAB55">
      <w:pPr>
        <w:ind w:firstLine="0" w:firstLineChars="0"/>
        <w:rPr>
          <w:rFonts w:ascii="宋体" w:hAnsi="宋体" w:cs="宋体"/>
          <w:b/>
          <w:bCs/>
        </w:rPr>
      </w:pPr>
      <w:r>
        <w:rPr>
          <w:rFonts w:hint="eastAsia" w:ascii="宋体" w:hAnsi="宋体" w:cs="宋体"/>
          <w:b/>
          <w:bCs/>
        </w:rPr>
        <w:t>表6-3</w:t>
      </w:r>
    </w:p>
    <w:p w14:paraId="11B05C3C">
      <w:pPr>
        <w:ind w:firstLine="422"/>
        <w:jc w:val="right"/>
        <w:rPr>
          <w:rFonts w:ascii="宋体" w:hAnsi="宋体" w:cs="宋体"/>
          <w:b/>
          <w:bCs/>
        </w:rPr>
      </w:pPr>
      <w:r>
        <w:rPr>
          <w:rFonts w:hint="eastAsia" w:ascii="宋体" w:hAnsi="宋体" w:cs="宋体"/>
          <w:b/>
          <w:bCs/>
        </w:rPr>
        <w:t>单位：人</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5"/>
        <w:gridCol w:w="1265"/>
        <w:gridCol w:w="1245"/>
        <w:gridCol w:w="1245"/>
        <w:gridCol w:w="1245"/>
        <w:gridCol w:w="1245"/>
        <w:gridCol w:w="1246"/>
        <w:gridCol w:w="1226"/>
      </w:tblGrid>
      <w:tr w14:paraId="0665BF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60" w:type="pct"/>
            <w:gridSpan w:val="2"/>
            <w:vMerge w:val="restart"/>
            <w:vAlign w:val="center"/>
          </w:tcPr>
          <w:p w14:paraId="5BE97E30">
            <w:pPr>
              <w:pStyle w:val="12"/>
              <w:jc w:val="center"/>
              <w:rPr>
                <w:b/>
              </w:rPr>
            </w:pPr>
            <w:r>
              <w:rPr>
                <w:rFonts w:hint="eastAsia"/>
                <w:b/>
              </w:rPr>
              <w:t>项  目</w:t>
            </w:r>
          </w:p>
        </w:tc>
        <w:tc>
          <w:tcPr>
            <w:tcW w:w="1250" w:type="pct"/>
            <w:gridSpan w:val="2"/>
            <w:vAlign w:val="center"/>
          </w:tcPr>
          <w:p w14:paraId="091CD786">
            <w:pPr>
              <w:pStyle w:val="12"/>
              <w:jc w:val="center"/>
              <w:rPr>
                <w:b/>
              </w:rPr>
            </w:pPr>
            <w:r>
              <w:rPr>
                <w:rFonts w:hint="eastAsia"/>
                <w:b/>
              </w:rPr>
              <w:t>城乡构成</w:t>
            </w:r>
          </w:p>
        </w:tc>
        <w:tc>
          <w:tcPr>
            <w:tcW w:w="1250" w:type="pct"/>
            <w:gridSpan w:val="2"/>
            <w:vAlign w:val="center"/>
          </w:tcPr>
          <w:p w14:paraId="1FFA2E85">
            <w:pPr>
              <w:pStyle w:val="12"/>
              <w:jc w:val="center"/>
              <w:rPr>
                <w:b/>
              </w:rPr>
            </w:pPr>
            <w:r>
              <w:rPr>
                <w:rFonts w:hint="eastAsia"/>
                <w:b/>
              </w:rPr>
              <w:t>性别构成</w:t>
            </w:r>
          </w:p>
        </w:tc>
        <w:tc>
          <w:tcPr>
            <w:tcW w:w="1241" w:type="pct"/>
            <w:gridSpan w:val="2"/>
            <w:vAlign w:val="center"/>
          </w:tcPr>
          <w:p w14:paraId="3EE71DF4">
            <w:pPr>
              <w:pStyle w:val="12"/>
              <w:jc w:val="center"/>
              <w:rPr>
                <w:b/>
              </w:rPr>
            </w:pPr>
            <w:r>
              <w:rPr>
                <w:rFonts w:hint="eastAsia"/>
                <w:b/>
              </w:rPr>
              <w:t>农业与非农业构成</w:t>
            </w:r>
          </w:p>
        </w:tc>
      </w:tr>
      <w:tr w14:paraId="10C5F7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5" w:type="pct"/>
            <w:gridSpan w:val="2"/>
            <w:vMerge w:val="continue"/>
            <w:vAlign w:val="center"/>
          </w:tcPr>
          <w:p w14:paraId="575028A1">
            <w:pPr>
              <w:pStyle w:val="12"/>
              <w:jc w:val="center"/>
              <w:rPr>
                <w:b/>
              </w:rPr>
            </w:pPr>
          </w:p>
        </w:tc>
        <w:tc>
          <w:tcPr>
            <w:tcW w:w="625" w:type="pct"/>
            <w:vAlign w:val="center"/>
          </w:tcPr>
          <w:p w14:paraId="5FD2FC5B">
            <w:pPr>
              <w:pStyle w:val="12"/>
              <w:jc w:val="center"/>
              <w:rPr>
                <w:b/>
              </w:rPr>
            </w:pPr>
            <w:r>
              <w:rPr>
                <w:rFonts w:hint="eastAsia"/>
                <w:b/>
              </w:rPr>
              <w:t>城市</w:t>
            </w:r>
          </w:p>
        </w:tc>
        <w:tc>
          <w:tcPr>
            <w:tcW w:w="625" w:type="pct"/>
            <w:vAlign w:val="center"/>
          </w:tcPr>
          <w:p w14:paraId="0D8B6ACF">
            <w:pPr>
              <w:pStyle w:val="12"/>
              <w:jc w:val="center"/>
              <w:rPr>
                <w:b/>
              </w:rPr>
            </w:pPr>
            <w:r>
              <w:rPr>
                <w:rFonts w:hint="eastAsia"/>
                <w:b/>
              </w:rPr>
              <w:t>乡村</w:t>
            </w:r>
          </w:p>
        </w:tc>
        <w:tc>
          <w:tcPr>
            <w:tcW w:w="625" w:type="pct"/>
            <w:vAlign w:val="center"/>
          </w:tcPr>
          <w:p w14:paraId="2ECF7FCF">
            <w:pPr>
              <w:pStyle w:val="12"/>
              <w:jc w:val="center"/>
              <w:rPr>
                <w:b/>
              </w:rPr>
            </w:pPr>
            <w:r>
              <w:rPr>
                <w:rFonts w:hint="eastAsia"/>
                <w:b/>
              </w:rPr>
              <w:t>男</w:t>
            </w:r>
          </w:p>
        </w:tc>
        <w:tc>
          <w:tcPr>
            <w:tcW w:w="625" w:type="pct"/>
            <w:vAlign w:val="center"/>
          </w:tcPr>
          <w:p w14:paraId="4CD50CDF">
            <w:pPr>
              <w:pStyle w:val="12"/>
              <w:jc w:val="center"/>
              <w:rPr>
                <w:b/>
              </w:rPr>
            </w:pPr>
            <w:r>
              <w:rPr>
                <w:rFonts w:hint="eastAsia"/>
                <w:b/>
              </w:rPr>
              <w:t>女</w:t>
            </w:r>
          </w:p>
        </w:tc>
        <w:tc>
          <w:tcPr>
            <w:tcW w:w="625" w:type="pct"/>
            <w:vAlign w:val="center"/>
          </w:tcPr>
          <w:p w14:paraId="6DEFEE6C">
            <w:pPr>
              <w:pStyle w:val="12"/>
              <w:jc w:val="center"/>
              <w:rPr>
                <w:b/>
              </w:rPr>
            </w:pPr>
            <w:r>
              <w:rPr>
                <w:rFonts w:hint="eastAsia"/>
                <w:b/>
              </w:rPr>
              <w:t>农业</w:t>
            </w:r>
          </w:p>
        </w:tc>
        <w:tc>
          <w:tcPr>
            <w:tcW w:w="621" w:type="pct"/>
            <w:vAlign w:val="center"/>
          </w:tcPr>
          <w:p w14:paraId="2C7A0F0C">
            <w:pPr>
              <w:pStyle w:val="12"/>
              <w:jc w:val="center"/>
              <w:rPr>
                <w:b/>
              </w:rPr>
            </w:pPr>
            <w:r>
              <w:rPr>
                <w:rFonts w:hint="eastAsia"/>
                <w:b/>
              </w:rPr>
              <w:t>非农业</w:t>
            </w:r>
          </w:p>
        </w:tc>
      </w:tr>
      <w:tr w14:paraId="0B16E7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restart"/>
            <w:vAlign w:val="center"/>
          </w:tcPr>
          <w:p w14:paraId="5963AE2A">
            <w:pPr>
              <w:pStyle w:val="12"/>
              <w:jc w:val="center"/>
            </w:pPr>
            <w:r>
              <w:rPr>
                <w:rFonts w:hint="eastAsia"/>
              </w:rPr>
              <w:t>第一次人口普查</w:t>
            </w:r>
          </w:p>
        </w:tc>
        <w:tc>
          <w:tcPr>
            <w:tcW w:w="629" w:type="pct"/>
            <w:vAlign w:val="center"/>
          </w:tcPr>
          <w:p w14:paraId="4BA579E7">
            <w:pPr>
              <w:pStyle w:val="12"/>
              <w:jc w:val="center"/>
            </w:pPr>
            <w:r>
              <w:rPr>
                <w:rFonts w:hint="eastAsia"/>
              </w:rPr>
              <w:t>人数</w:t>
            </w:r>
          </w:p>
        </w:tc>
        <w:tc>
          <w:tcPr>
            <w:tcW w:w="625" w:type="pct"/>
            <w:vAlign w:val="center"/>
          </w:tcPr>
          <w:p w14:paraId="0412CB75">
            <w:pPr>
              <w:pStyle w:val="12"/>
              <w:jc w:val="center"/>
            </w:pPr>
            <w:r>
              <w:rPr>
                <w:rFonts w:hint="eastAsia"/>
              </w:rPr>
              <w:t>24562</w:t>
            </w:r>
          </w:p>
        </w:tc>
        <w:tc>
          <w:tcPr>
            <w:tcW w:w="625" w:type="pct"/>
            <w:vAlign w:val="center"/>
          </w:tcPr>
          <w:p w14:paraId="602DD4B7">
            <w:pPr>
              <w:pStyle w:val="12"/>
              <w:jc w:val="center"/>
            </w:pPr>
            <w:r>
              <w:rPr>
                <w:rFonts w:hint="eastAsia"/>
              </w:rPr>
              <w:t>201036</w:t>
            </w:r>
          </w:p>
        </w:tc>
        <w:tc>
          <w:tcPr>
            <w:tcW w:w="625" w:type="pct"/>
            <w:vAlign w:val="center"/>
          </w:tcPr>
          <w:p w14:paraId="207DADE2">
            <w:pPr>
              <w:pStyle w:val="12"/>
              <w:jc w:val="center"/>
            </w:pPr>
            <w:r>
              <w:rPr>
                <w:rFonts w:hint="eastAsia"/>
              </w:rPr>
              <w:t>104728</w:t>
            </w:r>
          </w:p>
        </w:tc>
        <w:tc>
          <w:tcPr>
            <w:tcW w:w="625" w:type="pct"/>
            <w:vAlign w:val="center"/>
          </w:tcPr>
          <w:p w14:paraId="5B7ACDF2">
            <w:pPr>
              <w:pStyle w:val="12"/>
              <w:jc w:val="center"/>
            </w:pPr>
            <w:r>
              <w:rPr>
                <w:rFonts w:hint="eastAsia"/>
              </w:rPr>
              <w:t>120870</w:t>
            </w:r>
          </w:p>
        </w:tc>
        <w:tc>
          <w:tcPr>
            <w:tcW w:w="625" w:type="pct"/>
            <w:vAlign w:val="center"/>
          </w:tcPr>
          <w:p w14:paraId="2B94720C">
            <w:pPr>
              <w:pStyle w:val="12"/>
              <w:jc w:val="center"/>
            </w:pPr>
            <w:r>
              <w:rPr>
                <w:rFonts w:hint="eastAsia"/>
              </w:rPr>
              <w:t>201036</w:t>
            </w:r>
          </w:p>
        </w:tc>
        <w:tc>
          <w:tcPr>
            <w:tcW w:w="621" w:type="pct"/>
            <w:vAlign w:val="center"/>
          </w:tcPr>
          <w:p w14:paraId="582B420C">
            <w:pPr>
              <w:pStyle w:val="12"/>
              <w:jc w:val="center"/>
            </w:pPr>
            <w:r>
              <w:rPr>
                <w:rFonts w:hint="eastAsia"/>
              </w:rPr>
              <w:t>24562</w:t>
            </w:r>
          </w:p>
        </w:tc>
      </w:tr>
      <w:tr w14:paraId="18A84D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14:paraId="37146908">
            <w:pPr>
              <w:pStyle w:val="12"/>
              <w:jc w:val="center"/>
            </w:pPr>
          </w:p>
        </w:tc>
        <w:tc>
          <w:tcPr>
            <w:tcW w:w="634" w:type="pct"/>
            <w:vAlign w:val="center"/>
          </w:tcPr>
          <w:p w14:paraId="616F3319">
            <w:pPr>
              <w:pStyle w:val="12"/>
              <w:jc w:val="center"/>
            </w:pPr>
            <w:r>
              <w:rPr>
                <w:rFonts w:hint="eastAsia"/>
              </w:rPr>
              <w:t>比重</w:t>
            </w:r>
          </w:p>
        </w:tc>
        <w:tc>
          <w:tcPr>
            <w:tcW w:w="625" w:type="pct"/>
            <w:vAlign w:val="center"/>
          </w:tcPr>
          <w:p w14:paraId="56619280">
            <w:pPr>
              <w:pStyle w:val="12"/>
              <w:jc w:val="center"/>
            </w:pPr>
            <w:r>
              <w:rPr>
                <w:rFonts w:hint="eastAsia"/>
              </w:rPr>
              <w:t>10.9</w:t>
            </w:r>
          </w:p>
        </w:tc>
        <w:tc>
          <w:tcPr>
            <w:tcW w:w="625" w:type="pct"/>
            <w:vAlign w:val="center"/>
          </w:tcPr>
          <w:p w14:paraId="74AC5976">
            <w:pPr>
              <w:pStyle w:val="12"/>
              <w:jc w:val="center"/>
            </w:pPr>
            <w:r>
              <w:rPr>
                <w:rFonts w:hint="eastAsia"/>
              </w:rPr>
              <w:t>89.1</w:t>
            </w:r>
          </w:p>
        </w:tc>
        <w:tc>
          <w:tcPr>
            <w:tcW w:w="625" w:type="pct"/>
            <w:vAlign w:val="center"/>
          </w:tcPr>
          <w:p w14:paraId="7A842784">
            <w:pPr>
              <w:pStyle w:val="12"/>
              <w:jc w:val="center"/>
            </w:pPr>
            <w:r>
              <w:rPr>
                <w:rFonts w:hint="eastAsia"/>
              </w:rPr>
              <w:t>46.42</w:t>
            </w:r>
          </w:p>
        </w:tc>
        <w:tc>
          <w:tcPr>
            <w:tcW w:w="625" w:type="pct"/>
            <w:vAlign w:val="center"/>
          </w:tcPr>
          <w:p w14:paraId="4766194A">
            <w:pPr>
              <w:pStyle w:val="12"/>
              <w:jc w:val="center"/>
            </w:pPr>
            <w:r>
              <w:rPr>
                <w:rFonts w:hint="eastAsia"/>
              </w:rPr>
              <w:t>54.58</w:t>
            </w:r>
          </w:p>
        </w:tc>
        <w:tc>
          <w:tcPr>
            <w:tcW w:w="625" w:type="pct"/>
            <w:vAlign w:val="center"/>
          </w:tcPr>
          <w:p w14:paraId="5812ED12">
            <w:pPr>
              <w:pStyle w:val="12"/>
              <w:jc w:val="center"/>
            </w:pPr>
            <w:r>
              <w:rPr>
                <w:rFonts w:hint="eastAsia"/>
              </w:rPr>
              <w:t>89.1</w:t>
            </w:r>
          </w:p>
        </w:tc>
        <w:tc>
          <w:tcPr>
            <w:tcW w:w="616" w:type="pct"/>
            <w:vAlign w:val="center"/>
          </w:tcPr>
          <w:p w14:paraId="0F432A27">
            <w:pPr>
              <w:pStyle w:val="12"/>
              <w:jc w:val="center"/>
            </w:pPr>
            <w:r>
              <w:rPr>
                <w:rFonts w:hint="eastAsia"/>
              </w:rPr>
              <w:t>10.9</w:t>
            </w:r>
          </w:p>
        </w:tc>
      </w:tr>
      <w:tr w14:paraId="069287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restart"/>
            <w:vAlign w:val="center"/>
          </w:tcPr>
          <w:p w14:paraId="4B88EAD4">
            <w:pPr>
              <w:pStyle w:val="12"/>
              <w:jc w:val="center"/>
            </w:pPr>
            <w:r>
              <w:rPr>
                <w:rFonts w:hint="eastAsia"/>
              </w:rPr>
              <w:t>第二次人口普查</w:t>
            </w:r>
          </w:p>
        </w:tc>
        <w:tc>
          <w:tcPr>
            <w:tcW w:w="634" w:type="pct"/>
            <w:vAlign w:val="center"/>
          </w:tcPr>
          <w:p w14:paraId="1D1A4C56">
            <w:pPr>
              <w:pStyle w:val="12"/>
              <w:jc w:val="center"/>
            </w:pPr>
            <w:r>
              <w:rPr>
                <w:rFonts w:hint="eastAsia"/>
              </w:rPr>
              <w:t>人数</w:t>
            </w:r>
          </w:p>
        </w:tc>
        <w:tc>
          <w:tcPr>
            <w:tcW w:w="625" w:type="pct"/>
            <w:vAlign w:val="center"/>
          </w:tcPr>
          <w:p w14:paraId="5DA0D037">
            <w:pPr>
              <w:pStyle w:val="12"/>
              <w:jc w:val="center"/>
            </w:pPr>
            <w:r>
              <w:rPr>
                <w:rFonts w:hint="eastAsia"/>
              </w:rPr>
              <w:t>20881</w:t>
            </w:r>
          </w:p>
        </w:tc>
        <w:tc>
          <w:tcPr>
            <w:tcW w:w="625" w:type="pct"/>
            <w:vAlign w:val="center"/>
          </w:tcPr>
          <w:p w14:paraId="4469C8D2">
            <w:pPr>
              <w:pStyle w:val="12"/>
              <w:jc w:val="center"/>
            </w:pPr>
            <w:r>
              <w:rPr>
                <w:rFonts w:hint="eastAsia"/>
              </w:rPr>
              <w:t>236415</w:t>
            </w:r>
          </w:p>
        </w:tc>
        <w:tc>
          <w:tcPr>
            <w:tcW w:w="625" w:type="pct"/>
            <w:vAlign w:val="center"/>
          </w:tcPr>
          <w:p w14:paraId="558D6A91">
            <w:pPr>
              <w:pStyle w:val="12"/>
              <w:jc w:val="center"/>
            </w:pPr>
            <w:r>
              <w:rPr>
                <w:rFonts w:hint="eastAsia"/>
              </w:rPr>
              <w:t>124846</w:t>
            </w:r>
          </w:p>
        </w:tc>
        <w:tc>
          <w:tcPr>
            <w:tcW w:w="625" w:type="pct"/>
            <w:vAlign w:val="center"/>
          </w:tcPr>
          <w:p w14:paraId="257DC1F8">
            <w:pPr>
              <w:pStyle w:val="12"/>
              <w:jc w:val="center"/>
            </w:pPr>
            <w:r>
              <w:rPr>
                <w:rFonts w:hint="eastAsia"/>
              </w:rPr>
              <w:t>132450</w:t>
            </w:r>
          </w:p>
        </w:tc>
        <w:tc>
          <w:tcPr>
            <w:tcW w:w="625" w:type="pct"/>
            <w:vAlign w:val="center"/>
          </w:tcPr>
          <w:p w14:paraId="05108CF0">
            <w:pPr>
              <w:pStyle w:val="12"/>
              <w:jc w:val="center"/>
            </w:pPr>
            <w:r>
              <w:rPr>
                <w:rFonts w:hint="eastAsia"/>
              </w:rPr>
              <w:t>221195</w:t>
            </w:r>
          </w:p>
        </w:tc>
        <w:tc>
          <w:tcPr>
            <w:tcW w:w="616" w:type="pct"/>
            <w:vAlign w:val="center"/>
          </w:tcPr>
          <w:p w14:paraId="23E418D0">
            <w:pPr>
              <w:pStyle w:val="12"/>
              <w:jc w:val="center"/>
            </w:pPr>
            <w:r>
              <w:rPr>
                <w:rFonts w:hint="eastAsia"/>
              </w:rPr>
              <w:t>36101</w:t>
            </w:r>
          </w:p>
        </w:tc>
      </w:tr>
      <w:tr w14:paraId="5B9FAB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14:paraId="41B5278B">
            <w:pPr>
              <w:pStyle w:val="12"/>
              <w:jc w:val="center"/>
            </w:pPr>
          </w:p>
        </w:tc>
        <w:tc>
          <w:tcPr>
            <w:tcW w:w="634" w:type="pct"/>
            <w:vAlign w:val="center"/>
          </w:tcPr>
          <w:p w14:paraId="15DC3395">
            <w:pPr>
              <w:pStyle w:val="12"/>
              <w:jc w:val="center"/>
            </w:pPr>
            <w:r>
              <w:rPr>
                <w:rFonts w:hint="eastAsia"/>
              </w:rPr>
              <w:t>比重</w:t>
            </w:r>
          </w:p>
        </w:tc>
        <w:tc>
          <w:tcPr>
            <w:tcW w:w="625" w:type="pct"/>
            <w:vAlign w:val="center"/>
          </w:tcPr>
          <w:p w14:paraId="7BE1F498">
            <w:pPr>
              <w:pStyle w:val="12"/>
              <w:jc w:val="center"/>
            </w:pPr>
            <w:r>
              <w:rPr>
                <w:rFonts w:hint="eastAsia"/>
              </w:rPr>
              <w:t>8.1</w:t>
            </w:r>
          </w:p>
        </w:tc>
        <w:tc>
          <w:tcPr>
            <w:tcW w:w="625" w:type="pct"/>
            <w:vAlign w:val="center"/>
          </w:tcPr>
          <w:p w14:paraId="31C9FC43">
            <w:pPr>
              <w:pStyle w:val="12"/>
              <w:jc w:val="center"/>
            </w:pPr>
            <w:r>
              <w:rPr>
                <w:rFonts w:hint="eastAsia"/>
              </w:rPr>
              <w:t>91.9</w:t>
            </w:r>
          </w:p>
        </w:tc>
        <w:tc>
          <w:tcPr>
            <w:tcW w:w="625" w:type="pct"/>
            <w:vAlign w:val="center"/>
          </w:tcPr>
          <w:p w14:paraId="3D00DE90">
            <w:pPr>
              <w:pStyle w:val="12"/>
              <w:jc w:val="center"/>
            </w:pPr>
            <w:r>
              <w:rPr>
                <w:rFonts w:hint="eastAsia"/>
              </w:rPr>
              <w:t>48.5</w:t>
            </w:r>
          </w:p>
        </w:tc>
        <w:tc>
          <w:tcPr>
            <w:tcW w:w="625" w:type="pct"/>
            <w:vAlign w:val="center"/>
          </w:tcPr>
          <w:p w14:paraId="10DA14D7">
            <w:pPr>
              <w:pStyle w:val="12"/>
              <w:jc w:val="center"/>
            </w:pPr>
            <w:r>
              <w:rPr>
                <w:rFonts w:hint="eastAsia"/>
              </w:rPr>
              <w:t>51.5</w:t>
            </w:r>
          </w:p>
        </w:tc>
        <w:tc>
          <w:tcPr>
            <w:tcW w:w="625" w:type="pct"/>
            <w:vAlign w:val="center"/>
          </w:tcPr>
          <w:p w14:paraId="673AC46C">
            <w:pPr>
              <w:pStyle w:val="12"/>
              <w:jc w:val="center"/>
            </w:pPr>
            <w:r>
              <w:rPr>
                <w:rFonts w:hint="eastAsia"/>
              </w:rPr>
              <w:t>86.00</w:t>
            </w:r>
          </w:p>
        </w:tc>
        <w:tc>
          <w:tcPr>
            <w:tcW w:w="616" w:type="pct"/>
            <w:vAlign w:val="center"/>
          </w:tcPr>
          <w:p w14:paraId="163201D9">
            <w:pPr>
              <w:pStyle w:val="12"/>
              <w:jc w:val="center"/>
            </w:pPr>
            <w:r>
              <w:rPr>
                <w:rFonts w:hint="eastAsia"/>
              </w:rPr>
              <w:t>14.00</w:t>
            </w:r>
          </w:p>
        </w:tc>
      </w:tr>
      <w:tr w14:paraId="4A77AC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restart"/>
            <w:vAlign w:val="center"/>
          </w:tcPr>
          <w:p w14:paraId="67693DF1">
            <w:pPr>
              <w:pStyle w:val="12"/>
              <w:jc w:val="center"/>
            </w:pPr>
            <w:r>
              <w:rPr>
                <w:rFonts w:hint="eastAsia"/>
              </w:rPr>
              <w:t>第三次人口普查</w:t>
            </w:r>
          </w:p>
        </w:tc>
        <w:tc>
          <w:tcPr>
            <w:tcW w:w="634" w:type="pct"/>
            <w:vAlign w:val="center"/>
          </w:tcPr>
          <w:p w14:paraId="6AEF1CB3">
            <w:pPr>
              <w:pStyle w:val="12"/>
              <w:jc w:val="center"/>
            </w:pPr>
            <w:r>
              <w:rPr>
                <w:rFonts w:hint="eastAsia"/>
              </w:rPr>
              <w:t>人数</w:t>
            </w:r>
          </w:p>
        </w:tc>
        <w:tc>
          <w:tcPr>
            <w:tcW w:w="625" w:type="pct"/>
            <w:vAlign w:val="center"/>
          </w:tcPr>
          <w:p w14:paraId="2E36B11B">
            <w:pPr>
              <w:pStyle w:val="12"/>
              <w:jc w:val="center"/>
            </w:pPr>
            <w:r>
              <w:rPr>
                <w:rFonts w:hint="eastAsia"/>
              </w:rPr>
              <w:t>40974</w:t>
            </w:r>
          </w:p>
        </w:tc>
        <w:tc>
          <w:tcPr>
            <w:tcW w:w="625" w:type="pct"/>
            <w:vAlign w:val="center"/>
          </w:tcPr>
          <w:p w14:paraId="3C40BAF7">
            <w:pPr>
              <w:pStyle w:val="12"/>
              <w:jc w:val="center"/>
            </w:pPr>
            <w:r>
              <w:rPr>
                <w:rFonts w:hint="eastAsia"/>
              </w:rPr>
              <w:t>355688</w:t>
            </w:r>
          </w:p>
        </w:tc>
        <w:tc>
          <w:tcPr>
            <w:tcW w:w="625" w:type="pct"/>
            <w:vAlign w:val="center"/>
          </w:tcPr>
          <w:p w14:paraId="57BCB0A5">
            <w:pPr>
              <w:pStyle w:val="12"/>
              <w:jc w:val="center"/>
            </w:pPr>
            <w:r>
              <w:rPr>
                <w:rFonts w:hint="eastAsia"/>
              </w:rPr>
              <w:t>195961</w:t>
            </w:r>
          </w:p>
        </w:tc>
        <w:tc>
          <w:tcPr>
            <w:tcW w:w="625" w:type="pct"/>
            <w:vAlign w:val="center"/>
          </w:tcPr>
          <w:p w14:paraId="34FBAC34">
            <w:pPr>
              <w:pStyle w:val="12"/>
              <w:jc w:val="center"/>
            </w:pPr>
            <w:r>
              <w:rPr>
                <w:rFonts w:hint="eastAsia"/>
              </w:rPr>
              <w:t>200701</w:t>
            </w:r>
          </w:p>
        </w:tc>
        <w:tc>
          <w:tcPr>
            <w:tcW w:w="625" w:type="pct"/>
            <w:vAlign w:val="center"/>
          </w:tcPr>
          <w:p w14:paraId="11EAC7DA">
            <w:pPr>
              <w:pStyle w:val="12"/>
              <w:jc w:val="center"/>
            </w:pPr>
            <w:r>
              <w:rPr>
                <w:rFonts w:hint="eastAsia"/>
              </w:rPr>
              <w:t>354168</w:t>
            </w:r>
          </w:p>
        </w:tc>
        <w:tc>
          <w:tcPr>
            <w:tcW w:w="616" w:type="pct"/>
            <w:vAlign w:val="center"/>
          </w:tcPr>
          <w:p w14:paraId="7C58FC68">
            <w:pPr>
              <w:pStyle w:val="12"/>
              <w:jc w:val="center"/>
            </w:pPr>
            <w:r>
              <w:rPr>
                <w:rFonts w:hint="eastAsia"/>
              </w:rPr>
              <w:t>43542</w:t>
            </w:r>
          </w:p>
        </w:tc>
      </w:tr>
      <w:tr w14:paraId="1B44F0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14:paraId="53D36089">
            <w:pPr>
              <w:pStyle w:val="12"/>
              <w:jc w:val="center"/>
            </w:pPr>
          </w:p>
        </w:tc>
        <w:tc>
          <w:tcPr>
            <w:tcW w:w="634" w:type="pct"/>
            <w:vAlign w:val="center"/>
          </w:tcPr>
          <w:p w14:paraId="06E81A33">
            <w:pPr>
              <w:pStyle w:val="12"/>
              <w:jc w:val="center"/>
            </w:pPr>
            <w:r>
              <w:rPr>
                <w:rFonts w:hint="eastAsia"/>
              </w:rPr>
              <w:t>比重</w:t>
            </w:r>
          </w:p>
        </w:tc>
        <w:tc>
          <w:tcPr>
            <w:tcW w:w="625" w:type="pct"/>
            <w:vAlign w:val="center"/>
          </w:tcPr>
          <w:p w14:paraId="6203A3F0">
            <w:pPr>
              <w:pStyle w:val="12"/>
              <w:jc w:val="center"/>
            </w:pPr>
            <w:r>
              <w:rPr>
                <w:rFonts w:hint="eastAsia"/>
              </w:rPr>
              <w:t>10.3</w:t>
            </w:r>
          </w:p>
        </w:tc>
        <w:tc>
          <w:tcPr>
            <w:tcW w:w="625" w:type="pct"/>
            <w:vAlign w:val="center"/>
          </w:tcPr>
          <w:p w14:paraId="62DA7123">
            <w:pPr>
              <w:pStyle w:val="12"/>
              <w:jc w:val="center"/>
            </w:pPr>
            <w:r>
              <w:rPr>
                <w:rFonts w:hint="eastAsia"/>
              </w:rPr>
              <w:t>89.7</w:t>
            </w:r>
          </w:p>
        </w:tc>
        <w:tc>
          <w:tcPr>
            <w:tcW w:w="625" w:type="pct"/>
            <w:vAlign w:val="center"/>
          </w:tcPr>
          <w:p w14:paraId="2225FAE3">
            <w:pPr>
              <w:pStyle w:val="12"/>
              <w:jc w:val="center"/>
            </w:pPr>
            <w:r>
              <w:rPr>
                <w:rFonts w:hint="eastAsia"/>
              </w:rPr>
              <w:t>49.4</w:t>
            </w:r>
          </w:p>
        </w:tc>
        <w:tc>
          <w:tcPr>
            <w:tcW w:w="625" w:type="pct"/>
            <w:vAlign w:val="center"/>
          </w:tcPr>
          <w:p w14:paraId="253E39FD">
            <w:pPr>
              <w:pStyle w:val="12"/>
              <w:jc w:val="center"/>
            </w:pPr>
            <w:r>
              <w:rPr>
                <w:rFonts w:hint="eastAsia"/>
              </w:rPr>
              <w:t>50.6</w:t>
            </w:r>
          </w:p>
        </w:tc>
        <w:tc>
          <w:tcPr>
            <w:tcW w:w="625" w:type="pct"/>
            <w:vAlign w:val="center"/>
          </w:tcPr>
          <w:p w14:paraId="0FAC581B">
            <w:pPr>
              <w:pStyle w:val="12"/>
              <w:jc w:val="center"/>
            </w:pPr>
            <w:r>
              <w:rPr>
                <w:rFonts w:hint="eastAsia"/>
              </w:rPr>
              <w:t>89.05</w:t>
            </w:r>
          </w:p>
        </w:tc>
        <w:tc>
          <w:tcPr>
            <w:tcW w:w="616" w:type="pct"/>
            <w:vAlign w:val="center"/>
          </w:tcPr>
          <w:p w14:paraId="5039F361">
            <w:pPr>
              <w:pStyle w:val="12"/>
              <w:jc w:val="center"/>
            </w:pPr>
            <w:r>
              <w:rPr>
                <w:rFonts w:hint="eastAsia"/>
              </w:rPr>
              <w:t>10.95</w:t>
            </w:r>
          </w:p>
        </w:tc>
      </w:tr>
      <w:tr w14:paraId="0677D8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restart"/>
            <w:vAlign w:val="center"/>
          </w:tcPr>
          <w:p w14:paraId="66187A43">
            <w:pPr>
              <w:pStyle w:val="12"/>
              <w:jc w:val="center"/>
            </w:pPr>
            <w:r>
              <w:rPr>
                <w:rFonts w:hint="eastAsia"/>
              </w:rPr>
              <w:t>第四次人口普查</w:t>
            </w:r>
          </w:p>
        </w:tc>
        <w:tc>
          <w:tcPr>
            <w:tcW w:w="634" w:type="pct"/>
            <w:vAlign w:val="center"/>
          </w:tcPr>
          <w:p w14:paraId="67E7D594">
            <w:pPr>
              <w:pStyle w:val="12"/>
              <w:jc w:val="center"/>
            </w:pPr>
            <w:r>
              <w:rPr>
                <w:rFonts w:hint="eastAsia"/>
              </w:rPr>
              <w:t>人数</w:t>
            </w:r>
          </w:p>
        </w:tc>
        <w:tc>
          <w:tcPr>
            <w:tcW w:w="625" w:type="pct"/>
            <w:vAlign w:val="center"/>
          </w:tcPr>
          <w:p w14:paraId="4D180CF8">
            <w:pPr>
              <w:pStyle w:val="12"/>
              <w:jc w:val="center"/>
            </w:pPr>
            <w:r>
              <w:rPr>
                <w:rFonts w:hint="eastAsia"/>
              </w:rPr>
              <w:t>53110</w:t>
            </w:r>
          </w:p>
        </w:tc>
        <w:tc>
          <w:tcPr>
            <w:tcW w:w="625" w:type="pct"/>
            <w:vAlign w:val="center"/>
          </w:tcPr>
          <w:p w14:paraId="114136CF">
            <w:pPr>
              <w:pStyle w:val="12"/>
              <w:jc w:val="center"/>
            </w:pPr>
            <w:r>
              <w:rPr>
                <w:rFonts w:hint="eastAsia"/>
              </w:rPr>
              <w:t>381061</w:t>
            </w:r>
          </w:p>
        </w:tc>
        <w:tc>
          <w:tcPr>
            <w:tcW w:w="625" w:type="pct"/>
            <w:vAlign w:val="center"/>
          </w:tcPr>
          <w:p w14:paraId="0CA3B2A7">
            <w:pPr>
              <w:pStyle w:val="12"/>
              <w:jc w:val="center"/>
            </w:pPr>
            <w:r>
              <w:rPr>
                <w:rFonts w:hint="eastAsia"/>
              </w:rPr>
              <w:t>217338</w:t>
            </w:r>
          </w:p>
        </w:tc>
        <w:tc>
          <w:tcPr>
            <w:tcW w:w="625" w:type="pct"/>
            <w:vAlign w:val="center"/>
          </w:tcPr>
          <w:p w14:paraId="013EE8CC">
            <w:pPr>
              <w:pStyle w:val="12"/>
              <w:jc w:val="center"/>
            </w:pPr>
            <w:r>
              <w:rPr>
                <w:rFonts w:hint="eastAsia"/>
              </w:rPr>
              <w:t>216833</w:t>
            </w:r>
          </w:p>
        </w:tc>
        <w:tc>
          <w:tcPr>
            <w:tcW w:w="625" w:type="pct"/>
            <w:vAlign w:val="center"/>
          </w:tcPr>
          <w:p w14:paraId="36B72C4B">
            <w:pPr>
              <w:pStyle w:val="12"/>
              <w:jc w:val="center"/>
            </w:pPr>
            <w:r>
              <w:rPr>
                <w:rFonts w:hint="eastAsia"/>
              </w:rPr>
              <w:t>373310</w:t>
            </w:r>
          </w:p>
        </w:tc>
        <w:tc>
          <w:tcPr>
            <w:tcW w:w="616" w:type="pct"/>
            <w:vAlign w:val="center"/>
          </w:tcPr>
          <w:p w14:paraId="09DEDCBB">
            <w:pPr>
              <w:pStyle w:val="12"/>
              <w:jc w:val="center"/>
            </w:pPr>
            <w:r>
              <w:rPr>
                <w:rFonts w:hint="eastAsia"/>
              </w:rPr>
              <w:t>60861</w:t>
            </w:r>
          </w:p>
        </w:tc>
      </w:tr>
      <w:tr w14:paraId="2A8CDD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14:paraId="6CB4AFAC">
            <w:pPr>
              <w:pStyle w:val="12"/>
              <w:jc w:val="center"/>
            </w:pPr>
          </w:p>
        </w:tc>
        <w:tc>
          <w:tcPr>
            <w:tcW w:w="634" w:type="pct"/>
            <w:vAlign w:val="center"/>
          </w:tcPr>
          <w:p w14:paraId="752B6914">
            <w:pPr>
              <w:pStyle w:val="12"/>
              <w:jc w:val="center"/>
            </w:pPr>
            <w:r>
              <w:rPr>
                <w:rFonts w:hint="eastAsia"/>
              </w:rPr>
              <w:t>比重</w:t>
            </w:r>
          </w:p>
        </w:tc>
        <w:tc>
          <w:tcPr>
            <w:tcW w:w="625" w:type="pct"/>
            <w:vAlign w:val="center"/>
          </w:tcPr>
          <w:p w14:paraId="180EF3B1">
            <w:pPr>
              <w:pStyle w:val="12"/>
              <w:jc w:val="center"/>
            </w:pPr>
            <w:r>
              <w:rPr>
                <w:rFonts w:hint="eastAsia"/>
              </w:rPr>
              <w:t>12.24</w:t>
            </w:r>
          </w:p>
        </w:tc>
        <w:tc>
          <w:tcPr>
            <w:tcW w:w="625" w:type="pct"/>
            <w:vAlign w:val="center"/>
          </w:tcPr>
          <w:p w14:paraId="5AAE5908">
            <w:pPr>
              <w:pStyle w:val="12"/>
              <w:jc w:val="center"/>
            </w:pPr>
            <w:r>
              <w:rPr>
                <w:rFonts w:hint="eastAsia"/>
              </w:rPr>
              <w:t>87.76</w:t>
            </w:r>
          </w:p>
        </w:tc>
        <w:tc>
          <w:tcPr>
            <w:tcW w:w="625" w:type="pct"/>
            <w:vAlign w:val="center"/>
          </w:tcPr>
          <w:p w14:paraId="5E7710F4">
            <w:pPr>
              <w:pStyle w:val="12"/>
              <w:jc w:val="center"/>
            </w:pPr>
            <w:r>
              <w:rPr>
                <w:rFonts w:hint="eastAsia"/>
              </w:rPr>
              <w:t>50.06</w:t>
            </w:r>
          </w:p>
        </w:tc>
        <w:tc>
          <w:tcPr>
            <w:tcW w:w="625" w:type="pct"/>
            <w:vAlign w:val="center"/>
          </w:tcPr>
          <w:p w14:paraId="7E1CCBCD">
            <w:pPr>
              <w:pStyle w:val="12"/>
              <w:jc w:val="center"/>
            </w:pPr>
            <w:r>
              <w:rPr>
                <w:rFonts w:hint="eastAsia"/>
              </w:rPr>
              <w:t>49.94</w:t>
            </w:r>
          </w:p>
        </w:tc>
        <w:tc>
          <w:tcPr>
            <w:tcW w:w="625" w:type="pct"/>
            <w:vAlign w:val="center"/>
          </w:tcPr>
          <w:p w14:paraId="15C8B0BA">
            <w:pPr>
              <w:pStyle w:val="12"/>
              <w:jc w:val="center"/>
            </w:pPr>
            <w:r>
              <w:rPr>
                <w:rFonts w:hint="eastAsia"/>
              </w:rPr>
              <w:t>85.98</w:t>
            </w:r>
          </w:p>
        </w:tc>
        <w:tc>
          <w:tcPr>
            <w:tcW w:w="616" w:type="pct"/>
            <w:vAlign w:val="center"/>
          </w:tcPr>
          <w:p w14:paraId="7F643AC1">
            <w:pPr>
              <w:pStyle w:val="12"/>
              <w:jc w:val="center"/>
            </w:pPr>
            <w:r>
              <w:rPr>
                <w:rFonts w:hint="eastAsia"/>
              </w:rPr>
              <w:t>14.02</w:t>
            </w:r>
          </w:p>
        </w:tc>
      </w:tr>
      <w:tr w14:paraId="2CEDEB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restart"/>
            <w:vAlign w:val="center"/>
          </w:tcPr>
          <w:p w14:paraId="1F99F3C5">
            <w:pPr>
              <w:pStyle w:val="12"/>
              <w:jc w:val="center"/>
            </w:pPr>
            <w:r>
              <w:rPr>
                <w:rFonts w:hint="eastAsia"/>
              </w:rPr>
              <w:t>第五次人口普查</w:t>
            </w:r>
          </w:p>
        </w:tc>
        <w:tc>
          <w:tcPr>
            <w:tcW w:w="634" w:type="pct"/>
            <w:vAlign w:val="center"/>
          </w:tcPr>
          <w:p w14:paraId="00FA226A">
            <w:pPr>
              <w:pStyle w:val="12"/>
              <w:jc w:val="center"/>
            </w:pPr>
            <w:r>
              <w:rPr>
                <w:rFonts w:hint="eastAsia"/>
              </w:rPr>
              <w:t>人数</w:t>
            </w:r>
          </w:p>
        </w:tc>
        <w:tc>
          <w:tcPr>
            <w:tcW w:w="625" w:type="pct"/>
            <w:vAlign w:val="center"/>
          </w:tcPr>
          <w:p w14:paraId="71BA112B">
            <w:pPr>
              <w:pStyle w:val="12"/>
              <w:jc w:val="center"/>
            </w:pPr>
            <w:r>
              <w:rPr>
                <w:rFonts w:hint="eastAsia"/>
              </w:rPr>
              <w:t>143900</w:t>
            </w:r>
          </w:p>
        </w:tc>
        <w:tc>
          <w:tcPr>
            <w:tcW w:w="625" w:type="pct"/>
            <w:vAlign w:val="center"/>
          </w:tcPr>
          <w:p w14:paraId="7564EA1A">
            <w:pPr>
              <w:pStyle w:val="12"/>
              <w:jc w:val="center"/>
            </w:pPr>
            <w:r>
              <w:rPr>
                <w:rFonts w:hint="eastAsia"/>
              </w:rPr>
              <w:t>228900</w:t>
            </w:r>
          </w:p>
        </w:tc>
        <w:tc>
          <w:tcPr>
            <w:tcW w:w="625" w:type="pct"/>
            <w:vAlign w:val="center"/>
          </w:tcPr>
          <w:p w14:paraId="77481ABF">
            <w:pPr>
              <w:pStyle w:val="12"/>
              <w:jc w:val="center"/>
            </w:pPr>
            <w:r>
              <w:rPr>
                <w:rFonts w:hint="eastAsia"/>
              </w:rPr>
              <w:t>185330</w:t>
            </w:r>
          </w:p>
        </w:tc>
        <w:tc>
          <w:tcPr>
            <w:tcW w:w="625" w:type="pct"/>
            <w:vAlign w:val="center"/>
          </w:tcPr>
          <w:p w14:paraId="42F87586">
            <w:pPr>
              <w:pStyle w:val="12"/>
              <w:jc w:val="center"/>
            </w:pPr>
            <w:r>
              <w:rPr>
                <w:rFonts w:hint="eastAsia"/>
              </w:rPr>
              <w:t>187514</w:t>
            </w:r>
          </w:p>
        </w:tc>
        <w:tc>
          <w:tcPr>
            <w:tcW w:w="625" w:type="pct"/>
            <w:vAlign w:val="center"/>
          </w:tcPr>
          <w:p w14:paraId="0798916D">
            <w:pPr>
              <w:pStyle w:val="12"/>
              <w:jc w:val="center"/>
            </w:pPr>
            <w:r>
              <w:rPr>
                <w:rFonts w:hint="eastAsia"/>
              </w:rPr>
              <w:t>304959</w:t>
            </w:r>
          </w:p>
        </w:tc>
        <w:tc>
          <w:tcPr>
            <w:tcW w:w="616" w:type="pct"/>
            <w:vAlign w:val="center"/>
          </w:tcPr>
          <w:p w14:paraId="1D8FE2FE">
            <w:pPr>
              <w:pStyle w:val="12"/>
              <w:jc w:val="center"/>
            </w:pPr>
            <w:r>
              <w:rPr>
                <w:rFonts w:hint="eastAsia"/>
              </w:rPr>
              <w:t>64811</w:t>
            </w:r>
          </w:p>
        </w:tc>
      </w:tr>
      <w:tr w14:paraId="791994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14:paraId="78D95885">
            <w:pPr>
              <w:pStyle w:val="12"/>
              <w:jc w:val="center"/>
            </w:pPr>
          </w:p>
        </w:tc>
        <w:tc>
          <w:tcPr>
            <w:tcW w:w="634" w:type="pct"/>
            <w:vAlign w:val="center"/>
          </w:tcPr>
          <w:p w14:paraId="72EE431E">
            <w:pPr>
              <w:pStyle w:val="12"/>
              <w:jc w:val="center"/>
            </w:pPr>
            <w:r>
              <w:rPr>
                <w:rFonts w:hint="eastAsia"/>
              </w:rPr>
              <w:t>比重</w:t>
            </w:r>
          </w:p>
        </w:tc>
        <w:tc>
          <w:tcPr>
            <w:tcW w:w="625" w:type="pct"/>
            <w:vAlign w:val="center"/>
          </w:tcPr>
          <w:p w14:paraId="7344CBE2">
            <w:pPr>
              <w:pStyle w:val="12"/>
              <w:jc w:val="center"/>
            </w:pPr>
            <w:r>
              <w:rPr>
                <w:rFonts w:hint="eastAsia"/>
              </w:rPr>
              <w:t>38.60</w:t>
            </w:r>
          </w:p>
        </w:tc>
        <w:tc>
          <w:tcPr>
            <w:tcW w:w="625" w:type="pct"/>
            <w:vAlign w:val="center"/>
          </w:tcPr>
          <w:p w14:paraId="6584E5A6">
            <w:pPr>
              <w:pStyle w:val="12"/>
              <w:jc w:val="center"/>
            </w:pPr>
            <w:r>
              <w:rPr>
                <w:rFonts w:hint="eastAsia"/>
              </w:rPr>
              <w:t>61.40</w:t>
            </w:r>
          </w:p>
        </w:tc>
        <w:tc>
          <w:tcPr>
            <w:tcW w:w="625" w:type="pct"/>
            <w:vAlign w:val="center"/>
          </w:tcPr>
          <w:p w14:paraId="5BC25ABD">
            <w:pPr>
              <w:pStyle w:val="12"/>
              <w:jc w:val="center"/>
            </w:pPr>
            <w:r>
              <w:rPr>
                <w:rFonts w:hint="eastAsia"/>
              </w:rPr>
              <w:t>49.70</w:t>
            </w:r>
          </w:p>
        </w:tc>
        <w:tc>
          <w:tcPr>
            <w:tcW w:w="625" w:type="pct"/>
            <w:vAlign w:val="center"/>
          </w:tcPr>
          <w:p w14:paraId="26FC365D">
            <w:pPr>
              <w:pStyle w:val="12"/>
              <w:jc w:val="center"/>
            </w:pPr>
            <w:r>
              <w:rPr>
                <w:rFonts w:hint="eastAsia"/>
              </w:rPr>
              <w:t>50.29</w:t>
            </w:r>
          </w:p>
        </w:tc>
        <w:tc>
          <w:tcPr>
            <w:tcW w:w="625" w:type="pct"/>
            <w:vAlign w:val="center"/>
          </w:tcPr>
          <w:p w14:paraId="745FEF7F">
            <w:pPr>
              <w:pStyle w:val="12"/>
              <w:jc w:val="center"/>
            </w:pPr>
            <w:r>
              <w:rPr>
                <w:rFonts w:hint="eastAsia"/>
              </w:rPr>
              <w:t>82.47</w:t>
            </w:r>
          </w:p>
        </w:tc>
        <w:tc>
          <w:tcPr>
            <w:tcW w:w="616" w:type="pct"/>
            <w:vAlign w:val="center"/>
          </w:tcPr>
          <w:p w14:paraId="76BACF40">
            <w:pPr>
              <w:pStyle w:val="12"/>
              <w:jc w:val="center"/>
            </w:pPr>
            <w:r>
              <w:rPr>
                <w:rFonts w:hint="eastAsia"/>
              </w:rPr>
              <w:t>17.53</w:t>
            </w:r>
          </w:p>
        </w:tc>
      </w:tr>
    </w:tbl>
    <w:p w14:paraId="5B0FCDDB">
      <w:pPr>
        <w:ind w:firstLine="422"/>
        <w:rPr>
          <w:rFonts w:ascii="宋体" w:hAnsi="宋体" w:cs="宋体"/>
          <w:b/>
        </w:rPr>
      </w:pPr>
      <w:r>
        <w:rPr>
          <w:rFonts w:hint="eastAsia" w:ascii="宋体" w:hAnsi="宋体" w:cs="宋体"/>
          <w:b/>
        </w:rPr>
        <w:t>说明：①第一次至第四次普查城市人口指县城人口，第五次普查则加上农村小城镇人口。②第一次至第四次普查人口为户籍人口，第五次普查为登记时常住人口。</w:t>
      </w:r>
    </w:p>
    <w:p w14:paraId="105AB775">
      <w:pPr>
        <w:ind w:firstLine="422"/>
        <w:rPr>
          <w:rFonts w:ascii="宋体" w:hAnsi="宋体" w:cs="宋体"/>
        </w:rPr>
      </w:pPr>
      <w:r>
        <w:rPr>
          <w:rFonts w:hint="eastAsia" w:ascii="宋体" w:hAnsi="宋体" w:cs="宋体"/>
          <w:b/>
          <w:bCs/>
        </w:rPr>
        <w:t>（二）年龄构成</w:t>
      </w:r>
    </w:p>
    <w:p w14:paraId="159BEACA">
      <w:pPr>
        <w:ind w:firstLine="422"/>
        <w:jc w:val="center"/>
        <w:rPr>
          <w:rFonts w:ascii="宋体" w:hAnsi="宋体" w:cs="宋体"/>
          <w:b/>
          <w:bCs/>
        </w:rPr>
      </w:pPr>
      <w:r>
        <w:rPr>
          <w:rFonts w:hint="eastAsia" w:ascii="宋体" w:hAnsi="宋体" w:cs="宋体"/>
          <w:b/>
          <w:bCs/>
        </w:rPr>
        <w:t>第一、第二、第三次人口普查人口年龄分组统计</w:t>
      </w:r>
    </w:p>
    <w:p w14:paraId="0123CFBC">
      <w:pPr>
        <w:ind w:firstLine="0" w:firstLineChars="0"/>
        <w:rPr>
          <w:rFonts w:ascii="宋体" w:hAnsi="宋体" w:cs="宋体"/>
          <w:b/>
          <w:bCs/>
        </w:rPr>
      </w:pPr>
      <w:r>
        <w:rPr>
          <w:rFonts w:hint="eastAsia" w:ascii="宋体" w:hAnsi="宋体" w:cs="宋体"/>
          <w:b/>
          <w:bCs/>
        </w:rPr>
        <w:t>表6-4</w:t>
      </w:r>
    </w:p>
    <w:p w14:paraId="4DB1ACBA">
      <w:pPr>
        <w:ind w:firstLine="422"/>
        <w:jc w:val="right"/>
        <w:rPr>
          <w:rFonts w:ascii="宋体" w:hAnsi="宋体" w:cs="宋体"/>
          <w:b/>
          <w:bCs/>
        </w:rPr>
      </w:pPr>
      <w:r>
        <w:rPr>
          <w:rFonts w:hint="eastAsia" w:ascii="宋体" w:hAnsi="宋体" w:cs="宋体"/>
          <w:b/>
          <w:bCs/>
        </w:rPr>
        <w:t>单位：人、%</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22"/>
        <w:gridCol w:w="1422"/>
        <w:gridCol w:w="1422"/>
        <w:gridCol w:w="1425"/>
        <w:gridCol w:w="1425"/>
        <w:gridCol w:w="1425"/>
        <w:gridCol w:w="1421"/>
      </w:tblGrid>
      <w:tr w14:paraId="5B20DB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Merge w:val="restart"/>
            <w:vAlign w:val="center"/>
          </w:tcPr>
          <w:p w14:paraId="546A13E5">
            <w:pPr>
              <w:pStyle w:val="12"/>
              <w:jc w:val="center"/>
              <w:rPr>
                <w:b/>
              </w:rPr>
            </w:pPr>
            <w:r>
              <w:rPr>
                <w:rFonts w:hint="eastAsia"/>
                <w:b/>
              </w:rPr>
              <w:t>项  目</w:t>
            </w:r>
          </w:p>
        </w:tc>
        <w:tc>
          <w:tcPr>
            <w:tcW w:w="1428" w:type="pct"/>
            <w:gridSpan w:val="2"/>
            <w:vAlign w:val="center"/>
          </w:tcPr>
          <w:p w14:paraId="1FB0A741">
            <w:pPr>
              <w:pStyle w:val="12"/>
              <w:jc w:val="center"/>
              <w:rPr>
                <w:b/>
              </w:rPr>
            </w:pPr>
            <w:r>
              <w:rPr>
                <w:rFonts w:hint="eastAsia"/>
                <w:b/>
              </w:rPr>
              <w:t>第一次人口普查</w:t>
            </w:r>
          </w:p>
        </w:tc>
        <w:tc>
          <w:tcPr>
            <w:tcW w:w="1429" w:type="pct"/>
            <w:gridSpan w:val="2"/>
            <w:vAlign w:val="center"/>
          </w:tcPr>
          <w:p w14:paraId="189D2C5B">
            <w:pPr>
              <w:pStyle w:val="12"/>
              <w:jc w:val="center"/>
              <w:rPr>
                <w:b/>
              </w:rPr>
            </w:pPr>
            <w:r>
              <w:rPr>
                <w:rFonts w:hint="eastAsia"/>
                <w:b/>
              </w:rPr>
              <w:t>第二次人口普查</w:t>
            </w:r>
          </w:p>
        </w:tc>
        <w:tc>
          <w:tcPr>
            <w:tcW w:w="1429" w:type="pct"/>
            <w:gridSpan w:val="2"/>
            <w:vAlign w:val="center"/>
          </w:tcPr>
          <w:p w14:paraId="7465DF58">
            <w:pPr>
              <w:pStyle w:val="12"/>
              <w:jc w:val="center"/>
              <w:rPr>
                <w:b/>
              </w:rPr>
            </w:pPr>
            <w:r>
              <w:rPr>
                <w:rFonts w:hint="eastAsia"/>
                <w:b/>
              </w:rPr>
              <w:t>第三次人口普查</w:t>
            </w:r>
          </w:p>
        </w:tc>
      </w:tr>
      <w:tr w14:paraId="60B7E9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14:paraId="4D5C2FB8">
            <w:pPr>
              <w:pStyle w:val="12"/>
              <w:jc w:val="center"/>
              <w:rPr>
                <w:b/>
              </w:rPr>
            </w:pPr>
          </w:p>
        </w:tc>
        <w:tc>
          <w:tcPr>
            <w:tcW w:w="714" w:type="pct"/>
            <w:vAlign w:val="center"/>
          </w:tcPr>
          <w:p w14:paraId="0AA3CA0B">
            <w:pPr>
              <w:pStyle w:val="12"/>
              <w:jc w:val="center"/>
              <w:rPr>
                <w:b/>
              </w:rPr>
            </w:pPr>
            <w:r>
              <w:rPr>
                <w:rFonts w:hint="eastAsia"/>
                <w:b/>
              </w:rPr>
              <w:t>总人口</w:t>
            </w:r>
          </w:p>
        </w:tc>
        <w:tc>
          <w:tcPr>
            <w:tcW w:w="714" w:type="pct"/>
            <w:vAlign w:val="center"/>
          </w:tcPr>
          <w:p w14:paraId="32A9A5C5">
            <w:pPr>
              <w:pStyle w:val="12"/>
              <w:jc w:val="center"/>
              <w:rPr>
                <w:b/>
              </w:rPr>
            </w:pPr>
            <w:r>
              <w:rPr>
                <w:rFonts w:hint="eastAsia"/>
                <w:b/>
              </w:rPr>
              <w:t>占比</w:t>
            </w:r>
          </w:p>
        </w:tc>
        <w:tc>
          <w:tcPr>
            <w:tcW w:w="715" w:type="pct"/>
            <w:vAlign w:val="center"/>
          </w:tcPr>
          <w:p w14:paraId="3917CC8F">
            <w:pPr>
              <w:pStyle w:val="12"/>
              <w:jc w:val="center"/>
              <w:rPr>
                <w:b/>
              </w:rPr>
            </w:pPr>
            <w:r>
              <w:rPr>
                <w:rFonts w:hint="eastAsia"/>
                <w:b/>
              </w:rPr>
              <w:t>总人口</w:t>
            </w:r>
          </w:p>
        </w:tc>
        <w:tc>
          <w:tcPr>
            <w:tcW w:w="715" w:type="pct"/>
            <w:vAlign w:val="center"/>
          </w:tcPr>
          <w:p w14:paraId="4059AD6C">
            <w:pPr>
              <w:pStyle w:val="12"/>
              <w:jc w:val="center"/>
              <w:rPr>
                <w:b/>
              </w:rPr>
            </w:pPr>
            <w:r>
              <w:rPr>
                <w:rFonts w:hint="eastAsia"/>
                <w:b/>
              </w:rPr>
              <w:t>占比</w:t>
            </w:r>
          </w:p>
        </w:tc>
        <w:tc>
          <w:tcPr>
            <w:tcW w:w="715" w:type="pct"/>
            <w:vAlign w:val="center"/>
          </w:tcPr>
          <w:p w14:paraId="64870335">
            <w:pPr>
              <w:pStyle w:val="12"/>
              <w:jc w:val="center"/>
              <w:rPr>
                <w:b/>
              </w:rPr>
            </w:pPr>
            <w:r>
              <w:rPr>
                <w:rFonts w:hint="eastAsia"/>
                <w:b/>
              </w:rPr>
              <w:t>总人口</w:t>
            </w:r>
          </w:p>
        </w:tc>
        <w:tc>
          <w:tcPr>
            <w:tcW w:w="715" w:type="pct"/>
            <w:vAlign w:val="center"/>
          </w:tcPr>
          <w:p w14:paraId="66F9BA90">
            <w:pPr>
              <w:pStyle w:val="12"/>
              <w:jc w:val="center"/>
              <w:rPr>
                <w:b/>
              </w:rPr>
            </w:pPr>
            <w:r>
              <w:rPr>
                <w:rFonts w:hint="eastAsia"/>
                <w:b/>
              </w:rPr>
              <w:t>占比</w:t>
            </w:r>
          </w:p>
        </w:tc>
      </w:tr>
      <w:tr w14:paraId="7AB001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B587FA0">
            <w:pPr>
              <w:pStyle w:val="12"/>
              <w:jc w:val="center"/>
            </w:pPr>
            <w:r>
              <w:rPr>
                <w:rFonts w:hint="eastAsia"/>
              </w:rPr>
              <w:t>总计</w:t>
            </w:r>
          </w:p>
        </w:tc>
        <w:tc>
          <w:tcPr>
            <w:tcW w:w="714" w:type="pct"/>
            <w:vAlign w:val="center"/>
          </w:tcPr>
          <w:p w14:paraId="19F48595">
            <w:pPr>
              <w:pStyle w:val="12"/>
              <w:jc w:val="center"/>
            </w:pPr>
            <w:r>
              <w:rPr>
                <w:rFonts w:hint="eastAsia"/>
              </w:rPr>
              <w:t>225598</w:t>
            </w:r>
          </w:p>
        </w:tc>
        <w:tc>
          <w:tcPr>
            <w:tcW w:w="714" w:type="pct"/>
            <w:vAlign w:val="center"/>
          </w:tcPr>
          <w:p w14:paraId="3C4D61E4">
            <w:pPr>
              <w:pStyle w:val="12"/>
              <w:jc w:val="center"/>
            </w:pPr>
            <w:r>
              <w:rPr>
                <w:rFonts w:hint="eastAsia"/>
              </w:rPr>
              <w:t>100</w:t>
            </w:r>
          </w:p>
        </w:tc>
        <w:tc>
          <w:tcPr>
            <w:tcW w:w="715" w:type="pct"/>
            <w:vAlign w:val="center"/>
          </w:tcPr>
          <w:p w14:paraId="4EC5D54E">
            <w:pPr>
              <w:pStyle w:val="12"/>
              <w:jc w:val="center"/>
            </w:pPr>
            <w:r>
              <w:rPr>
                <w:rFonts w:hint="eastAsia"/>
              </w:rPr>
              <w:t>257296</w:t>
            </w:r>
          </w:p>
        </w:tc>
        <w:tc>
          <w:tcPr>
            <w:tcW w:w="715" w:type="pct"/>
            <w:vAlign w:val="center"/>
          </w:tcPr>
          <w:p w14:paraId="70618A43">
            <w:pPr>
              <w:pStyle w:val="12"/>
              <w:jc w:val="center"/>
            </w:pPr>
            <w:r>
              <w:rPr>
                <w:rFonts w:hint="eastAsia"/>
              </w:rPr>
              <w:t>100</w:t>
            </w:r>
          </w:p>
        </w:tc>
        <w:tc>
          <w:tcPr>
            <w:tcW w:w="715" w:type="pct"/>
            <w:vAlign w:val="center"/>
          </w:tcPr>
          <w:p w14:paraId="5BA1BF98">
            <w:pPr>
              <w:pStyle w:val="12"/>
              <w:jc w:val="center"/>
            </w:pPr>
            <w:r>
              <w:rPr>
                <w:rFonts w:hint="eastAsia"/>
              </w:rPr>
              <w:t>396662</w:t>
            </w:r>
          </w:p>
        </w:tc>
        <w:tc>
          <w:tcPr>
            <w:tcW w:w="715" w:type="pct"/>
            <w:vAlign w:val="center"/>
          </w:tcPr>
          <w:p w14:paraId="24FF94C4">
            <w:pPr>
              <w:pStyle w:val="12"/>
              <w:jc w:val="center"/>
            </w:pPr>
            <w:r>
              <w:rPr>
                <w:rFonts w:hint="eastAsia"/>
              </w:rPr>
              <w:t>100</w:t>
            </w:r>
          </w:p>
        </w:tc>
      </w:tr>
      <w:tr w14:paraId="160259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429F7A57">
            <w:pPr>
              <w:pStyle w:val="12"/>
              <w:jc w:val="center"/>
            </w:pPr>
            <w:r>
              <w:rPr>
                <w:rFonts w:hint="eastAsia"/>
              </w:rPr>
              <w:t>0岁~4岁</w:t>
            </w:r>
          </w:p>
        </w:tc>
        <w:tc>
          <w:tcPr>
            <w:tcW w:w="714" w:type="pct"/>
            <w:vAlign w:val="center"/>
          </w:tcPr>
          <w:p w14:paraId="5F38B705">
            <w:pPr>
              <w:pStyle w:val="12"/>
              <w:jc w:val="center"/>
            </w:pPr>
            <w:r>
              <w:rPr>
                <w:rFonts w:hint="eastAsia"/>
              </w:rPr>
              <w:t>31068</w:t>
            </w:r>
          </w:p>
        </w:tc>
        <w:tc>
          <w:tcPr>
            <w:tcW w:w="714" w:type="pct"/>
            <w:vAlign w:val="center"/>
          </w:tcPr>
          <w:p w14:paraId="167CC2D3">
            <w:pPr>
              <w:pStyle w:val="12"/>
              <w:jc w:val="center"/>
            </w:pPr>
            <w:r>
              <w:rPr>
                <w:rFonts w:hint="eastAsia"/>
              </w:rPr>
              <w:t>13.77</w:t>
            </w:r>
          </w:p>
        </w:tc>
        <w:tc>
          <w:tcPr>
            <w:tcW w:w="715" w:type="pct"/>
            <w:vAlign w:val="center"/>
          </w:tcPr>
          <w:p w14:paraId="7CA9D83D">
            <w:pPr>
              <w:pStyle w:val="12"/>
              <w:jc w:val="center"/>
            </w:pPr>
            <w:r>
              <w:rPr>
                <w:rFonts w:hint="eastAsia"/>
              </w:rPr>
              <w:t>39532</w:t>
            </w:r>
          </w:p>
        </w:tc>
        <w:tc>
          <w:tcPr>
            <w:tcW w:w="715" w:type="pct"/>
            <w:vAlign w:val="center"/>
          </w:tcPr>
          <w:p w14:paraId="5AEE8197">
            <w:pPr>
              <w:pStyle w:val="12"/>
              <w:jc w:val="center"/>
            </w:pPr>
            <w:r>
              <w:rPr>
                <w:rFonts w:hint="eastAsia"/>
              </w:rPr>
              <w:t>15.36</w:t>
            </w:r>
          </w:p>
        </w:tc>
        <w:tc>
          <w:tcPr>
            <w:tcW w:w="715" w:type="pct"/>
            <w:vAlign w:val="center"/>
          </w:tcPr>
          <w:p w14:paraId="665945EC">
            <w:pPr>
              <w:pStyle w:val="12"/>
              <w:jc w:val="center"/>
            </w:pPr>
            <w:r>
              <w:rPr>
                <w:rFonts w:hint="eastAsia"/>
              </w:rPr>
              <w:t>45106</w:t>
            </w:r>
          </w:p>
        </w:tc>
        <w:tc>
          <w:tcPr>
            <w:tcW w:w="715" w:type="pct"/>
            <w:vAlign w:val="center"/>
          </w:tcPr>
          <w:p w14:paraId="269985E3">
            <w:pPr>
              <w:pStyle w:val="12"/>
              <w:jc w:val="center"/>
            </w:pPr>
            <w:r>
              <w:rPr>
                <w:rFonts w:hint="eastAsia"/>
              </w:rPr>
              <w:t>11.37</w:t>
            </w:r>
          </w:p>
        </w:tc>
      </w:tr>
      <w:tr w14:paraId="776A52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4A42BEE3">
            <w:pPr>
              <w:pStyle w:val="12"/>
              <w:jc w:val="center"/>
            </w:pPr>
            <w:r>
              <w:rPr>
                <w:rFonts w:hint="eastAsia"/>
              </w:rPr>
              <w:t>5岁~9岁</w:t>
            </w:r>
          </w:p>
        </w:tc>
        <w:tc>
          <w:tcPr>
            <w:tcW w:w="714" w:type="pct"/>
            <w:vAlign w:val="center"/>
          </w:tcPr>
          <w:p w14:paraId="2A62BF94">
            <w:pPr>
              <w:pStyle w:val="12"/>
              <w:jc w:val="center"/>
            </w:pPr>
            <w:r>
              <w:rPr>
                <w:rFonts w:hint="eastAsia"/>
              </w:rPr>
              <w:t>20562</w:t>
            </w:r>
          </w:p>
        </w:tc>
        <w:tc>
          <w:tcPr>
            <w:tcW w:w="714" w:type="pct"/>
            <w:vAlign w:val="center"/>
          </w:tcPr>
          <w:p w14:paraId="6FBD4AC0">
            <w:pPr>
              <w:pStyle w:val="12"/>
              <w:jc w:val="center"/>
            </w:pPr>
            <w:r>
              <w:rPr>
                <w:rFonts w:hint="eastAsia"/>
              </w:rPr>
              <w:t>9.11</w:t>
            </w:r>
          </w:p>
        </w:tc>
        <w:tc>
          <w:tcPr>
            <w:tcW w:w="715" w:type="pct"/>
            <w:vAlign w:val="center"/>
          </w:tcPr>
          <w:p w14:paraId="4C54150F">
            <w:pPr>
              <w:pStyle w:val="12"/>
              <w:jc w:val="center"/>
            </w:pPr>
            <w:r>
              <w:rPr>
                <w:rFonts w:hint="eastAsia"/>
              </w:rPr>
              <w:t>32712</w:t>
            </w:r>
          </w:p>
        </w:tc>
        <w:tc>
          <w:tcPr>
            <w:tcW w:w="715" w:type="pct"/>
            <w:vAlign w:val="center"/>
          </w:tcPr>
          <w:p w14:paraId="26E84DC4">
            <w:pPr>
              <w:pStyle w:val="12"/>
              <w:jc w:val="center"/>
            </w:pPr>
            <w:r>
              <w:rPr>
                <w:rFonts w:hint="eastAsia"/>
              </w:rPr>
              <w:t>12.71</w:t>
            </w:r>
          </w:p>
        </w:tc>
        <w:tc>
          <w:tcPr>
            <w:tcW w:w="715" w:type="pct"/>
            <w:vAlign w:val="center"/>
          </w:tcPr>
          <w:p w14:paraId="29B9219D">
            <w:pPr>
              <w:pStyle w:val="12"/>
              <w:jc w:val="center"/>
            </w:pPr>
            <w:r>
              <w:rPr>
                <w:rFonts w:hint="eastAsia"/>
              </w:rPr>
              <w:t>50759</w:t>
            </w:r>
          </w:p>
        </w:tc>
        <w:tc>
          <w:tcPr>
            <w:tcW w:w="715" w:type="pct"/>
            <w:vAlign w:val="center"/>
          </w:tcPr>
          <w:p w14:paraId="409A1C75">
            <w:pPr>
              <w:pStyle w:val="12"/>
              <w:jc w:val="center"/>
            </w:pPr>
            <w:r>
              <w:rPr>
                <w:rFonts w:hint="eastAsia"/>
              </w:rPr>
              <w:t>12.80</w:t>
            </w:r>
          </w:p>
        </w:tc>
      </w:tr>
      <w:tr w14:paraId="384709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49CE1E0">
            <w:pPr>
              <w:pStyle w:val="12"/>
              <w:jc w:val="center"/>
            </w:pPr>
            <w:r>
              <w:rPr>
                <w:rFonts w:hint="eastAsia"/>
              </w:rPr>
              <w:t>10岁~14岁</w:t>
            </w:r>
          </w:p>
        </w:tc>
        <w:tc>
          <w:tcPr>
            <w:tcW w:w="714" w:type="pct"/>
            <w:vAlign w:val="center"/>
          </w:tcPr>
          <w:p w14:paraId="6A60C532">
            <w:pPr>
              <w:pStyle w:val="12"/>
              <w:jc w:val="center"/>
            </w:pPr>
            <w:r>
              <w:rPr>
                <w:rFonts w:hint="eastAsia"/>
              </w:rPr>
              <w:t>20157</w:t>
            </w:r>
          </w:p>
        </w:tc>
        <w:tc>
          <w:tcPr>
            <w:tcW w:w="714" w:type="pct"/>
            <w:vAlign w:val="center"/>
          </w:tcPr>
          <w:p w14:paraId="3A8164D7">
            <w:pPr>
              <w:pStyle w:val="12"/>
              <w:jc w:val="center"/>
            </w:pPr>
            <w:r>
              <w:rPr>
                <w:rFonts w:hint="eastAsia"/>
              </w:rPr>
              <w:t>8.9</w:t>
            </w:r>
          </w:p>
        </w:tc>
        <w:tc>
          <w:tcPr>
            <w:tcW w:w="715" w:type="pct"/>
            <w:vAlign w:val="center"/>
          </w:tcPr>
          <w:p w14:paraId="2B8EB1A3">
            <w:pPr>
              <w:pStyle w:val="12"/>
              <w:jc w:val="center"/>
            </w:pPr>
            <w:r>
              <w:rPr>
                <w:rFonts w:hint="eastAsia"/>
              </w:rPr>
              <w:t>28888</w:t>
            </w:r>
          </w:p>
        </w:tc>
        <w:tc>
          <w:tcPr>
            <w:tcW w:w="715" w:type="pct"/>
            <w:vAlign w:val="center"/>
          </w:tcPr>
          <w:p w14:paraId="5CE65877">
            <w:pPr>
              <w:pStyle w:val="12"/>
              <w:jc w:val="center"/>
            </w:pPr>
            <w:r>
              <w:rPr>
                <w:rFonts w:hint="eastAsia"/>
              </w:rPr>
              <w:t>11.23</w:t>
            </w:r>
          </w:p>
        </w:tc>
        <w:tc>
          <w:tcPr>
            <w:tcW w:w="715" w:type="pct"/>
            <w:vAlign w:val="center"/>
          </w:tcPr>
          <w:p w14:paraId="23D06BBE">
            <w:pPr>
              <w:pStyle w:val="12"/>
              <w:jc w:val="center"/>
            </w:pPr>
            <w:r>
              <w:rPr>
                <w:rFonts w:hint="eastAsia"/>
              </w:rPr>
              <w:t>58243</w:t>
            </w:r>
          </w:p>
        </w:tc>
        <w:tc>
          <w:tcPr>
            <w:tcW w:w="715" w:type="pct"/>
            <w:vAlign w:val="center"/>
          </w:tcPr>
          <w:p w14:paraId="0F57A6FC">
            <w:pPr>
              <w:pStyle w:val="12"/>
              <w:jc w:val="center"/>
            </w:pPr>
            <w:r>
              <w:rPr>
                <w:rFonts w:hint="eastAsia"/>
              </w:rPr>
              <w:t>14.68</w:t>
            </w:r>
          </w:p>
        </w:tc>
      </w:tr>
      <w:tr w14:paraId="3BA8CD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477292A">
            <w:pPr>
              <w:pStyle w:val="12"/>
              <w:jc w:val="center"/>
            </w:pPr>
            <w:r>
              <w:rPr>
                <w:rFonts w:hint="eastAsia"/>
              </w:rPr>
              <w:t>15岁~19岁</w:t>
            </w:r>
          </w:p>
        </w:tc>
        <w:tc>
          <w:tcPr>
            <w:tcW w:w="714" w:type="pct"/>
            <w:vAlign w:val="center"/>
          </w:tcPr>
          <w:p w14:paraId="1B9C5272">
            <w:pPr>
              <w:pStyle w:val="12"/>
              <w:jc w:val="center"/>
            </w:pPr>
            <w:r>
              <w:rPr>
                <w:rFonts w:hint="eastAsia"/>
              </w:rPr>
              <w:t>22804</w:t>
            </w:r>
          </w:p>
        </w:tc>
        <w:tc>
          <w:tcPr>
            <w:tcW w:w="714" w:type="pct"/>
            <w:vAlign w:val="center"/>
          </w:tcPr>
          <w:p w14:paraId="52D5E6F8">
            <w:pPr>
              <w:pStyle w:val="12"/>
              <w:jc w:val="center"/>
            </w:pPr>
            <w:r>
              <w:rPr>
                <w:rFonts w:hint="eastAsia"/>
              </w:rPr>
              <w:t>10.11</w:t>
            </w:r>
          </w:p>
        </w:tc>
        <w:tc>
          <w:tcPr>
            <w:tcW w:w="715" w:type="pct"/>
            <w:vAlign w:val="center"/>
          </w:tcPr>
          <w:p w14:paraId="6924BC0D">
            <w:pPr>
              <w:pStyle w:val="12"/>
              <w:jc w:val="center"/>
            </w:pPr>
            <w:r>
              <w:rPr>
                <w:rFonts w:hint="eastAsia"/>
              </w:rPr>
              <w:t>19085</w:t>
            </w:r>
          </w:p>
        </w:tc>
        <w:tc>
          <w:tcPr>
            <w:tcW w:w="715" w:type="pct"/>
            <w:vAlign w:val="center"/>
          </w:tcPr>
          <w:p w14:paraId="2DBCBE0C">
            <w:pPr>
              <w:pStyle w:val="12"/>
              <w:jc w:val="center"/>
            </w:pPr>
            <w:r>
              <w:rPr>
                <w:rFonts w:hint="eastAsia"/>
              </w:rPr>
              <w:t>7.42</w:t>
            </w:r>
          </w:p>
        </w:tc>
        <w:tc>
          <w:tcPr>
            <w:tcW w:w="715" w:type="pct"/>
            <w:vAlign w:val="center"/>
          </w:tcPr>
          <w:p w14:paraId="27981588">
            <w:pPr>
              <w:pStyle w:val="12"/>
              <w:jc w:val="center"/>
            </w:pPr>
            <w:r>
              <w:rPr>
                <w:rFonts w:hint="eastAsia"/>
              </w:rPr>
              <w:t>52177</w:t>
            </w:r>
          </w:p>
        </w:tc>
        <w:tc>
          <w:tcPr>
            <w:tcW w:w="715" w:type="pct"/>
            <w:vAlign w:val="center"/>
          </w:tcPr>
          <w:p w14:paraId="385CD6C9">
            <w:pPr>
              <w:pStyle w:val="12"/>
              <w:jc w:val="center"/>
            </w:pPr>
            <w:r>
              <w:rPr>
                <w:rFonts w:hint="eastAsia"/>
              </w:rPr>
              <w:t>13.15</w:t>
            </w:r>
          </w:p>
        </w:tc>
      </w:tr>
      <w:tr w14:paraId="36D63E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EB4BB6F">
            <w:pPr>
              <w:pStyle w:val="12"/>
              <w:jc w:val="center"/>
            </w:pPr>
            <w:r>
              <w:rPr>
                <w:rFonts w:hint="eastAsia"/>
              </w:rPr>
              <w:t>20岁~24岁</w:t>
            </w:r>
          </w:p>
        </w:tc>
        <w:tc>
          <w:tcPr>
            <w:tcW w:w="714" w:type="pct"/>
            <w:vAlign w:val="center"/>
          </w:tcPr>
          <w:p w14:paraId="70899F43">
            <w:pPr>
              <w:pStyle w:val="12"/>
              <w:jc w:val="center"/>
            </w:pPr>
            <w:r>
              <w:rPr>
                <w:rFonts w:hint="eastAsia"/>
              </w:rPr>
              <w:t>20442</w:t>
            </w:r>
          </w:p>
        </w:tc>
        <w:tc>
          <w:tcPr>
            <w:tcW w:w="714" w:type="pct"/>
            <w:vAlign w:val="center"/>
          </w:tcPr>
          <w:p w14:paraId="265DCDD6">
            <w:pPr>
              <w:pStyle w:val="12"/>
              <w:jc w:val="center"/>
            </w:pPr>
            <w:r>
              <w:rPr>
                <w:rFonts w:hint="eastAsia"/>
              </w:rPr>
              <w:t>9.06</w:t>
            </w:r>
          </w:p>
        </w:tc>
        <w:tc>
          <w:tcPr>
            <w:tcW w:w="715" w:type="pct"/>
            <w:vAlign w:val="center"/>
          </w:tcPr>
          <w:p w14:paraId="64A292C6">
            <w:pPr>
              <w:pStyle w:val="12"/>
              <w:jc w:val="center"/>
            </w:pPr>
            <w:r>
              <w:rPr>
                <w:rFonts w:hint="eastAsia"/>
              </w:rPr>
              <w:t>19640</w:t>
            </w:r>
          </w:p>
        </w:tc>
        <w:tc>
          <w:tcPr>
            <w:tcW w:w="715" w:type="pct"/>
            <w:vAlign w:val="center"/>
          </w:tcPr>
          <w:p w14:paraId="79EBE241">
            <w:pPr>
              <w:pStyle w:val="12"/>
              <w:jc w:val="center"/>
            </w:pPr>
            <w:r>
              <w:rPr>
                <w:rFonts w:hint="eastAsia"/>
              </w:rPr>
              <w:t>7.63</w:t>
            </w:r>
          </w:p>
        </w:tc>
        <w:tc>
          <w:tcPr>
            <w:tcW w:w="715" w:type="pct"/>
            <w:vAlign w:val="center"/>
          </w:tcPr>
          <w:p w14:paraId="6443D100">
            <w:pPr>
              <w:pStyle w:val="12"/>
              <w:jc w:val="center"/>
            </w:pPr>
            <w:r>
              <w:rPr>
                <w:rFonts w:hint="eastAsia"/>
              </w:rPr>
              <w:t>27673</w:t>
            </w:r>
          </w:p>
        </w:tc>
        <w:tc>
          <w:tcPr>
            <w:tcW w:w="715" w:type="pct"/>
            <w:vAlign w:val="center"/>
          </w:tcPr>
          <w:p w14:paraId="5A115794">
            <w:pPr>
              <w:pStyle w:val="12"/>
              <w:jc w:val="center"/>
            </w:pPr>
            <w:r>
              <w:rPr>
                <w:rFonts w:hint="eastAsia"/>
              </w:rPr>
              <w:t>6.98</w:t>
            </w:r>
          </w:p>
        </w:tc>
      </w:tr>
      <w:tr w14:paraId="5EE23B7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3C0CBF6">
            <w:pPr>
              <w:pStyle w:val="12"/>
              <w:jc w:val="center"/>
            </w:pPr>
            <w:r>
              <w:rPr>
                <w:rFonts w:hint="eastAsia"/>
              </w:rPr>
              <w:t>25岁~29岁</w:t>
            </w:r>
          </w:p>
        </w:tc>
        <w:tc>
          <w:tcPr>
            <w:tcW w:w="714" w:type="pct"/>
            <w:vAlign w:val="center"/>
          </w:tcPr>
          <w:p w14:paraId="73E5B03F">
            <w:pPr>
              <w:pStyle w:val="12"/>
              <w:jc w:val="center"/>
            </w:pPr>
            <w:r>
              <w:rPr>
                <w:rFonts w:hint="eastAsia"/>
              </w:rPr>
              <w:t>17677</w:t>
            </w:r>
          </w:p>
        </w:tc>
        <w:tc>
          <w:tcPr>
            <w:tcW w:w="714" w:type="pct"/>
            <w:vAlign w:val="center"/>
          </w:tcPr>
          <w:p w14:paraId="438652EA">
            <w:pPr>
              <w:pStyle w:val="12"/>
              <w:jc w:val="center"/>
            </w:pPr>
            <w:r>
              <w:rPr>
                <w:rFonts w:hint="eastAsia"/>
              </w:rPr>
              <w:t>7.84</w:t>
            </w:r>
          </w:p>
        </w:tc>
        <w:tc>
          <w:tcPr>
            <w:tcW w:w="715" w:type="pct"/>
            <w:vAlign w:val="center"/>
          </w:tcPr>
          <w:p w14:paraId="6F70E95D">
            <w:pPr>
              <w:pStyle w:val="12"/>
              <w:jc w:val="center"/>
            </w:pPr>
            <w:r>
              <w:rPr>
                <w:rFonts w:hint="eastAsia"/>
              </w:rPr>
              <w:t>21797</w:t>
            </w:r>
          </w:p>
        </w:tc>
        <w:tc>
          <w:tcPr>
            <w:tcW w:w="715" w:type="pct"/>
            <w:vAlign w:val="center"/>
          </w:tcPr>
          <w:p w14:paraId="10B7BE68">
            <w:pPr>
              <w:pStyle w:val="12"/>
              <w:jc w:val="center"/>
            </w:pPr>
            <w:r>
              <w:rPr>
                <w:rFonts w:hint="eastAsia"/>
              </w:rPr>
              <w:t>8.47</w:t>
            </w:r>
          </w:p>
        </w:tc>
        <w:tc>
          <w:tcPr>
            <w:tcW w:w="715" w:type="pct"/>
            <w:vAlign w:val="center"/>
          </w:tcPr>
          <w:p w14:paraId="443C0B86">
            <w:pPr>
              <w:pStyle w:val="12"/>
              <w:jc w:val="center"/>
            </w:pPr>
            <w:r>
              <w:rPr>
                <w:rFonts w:hint="eastAsia"/>
              </w:rPr>
              <w:t>29318</w:t>
            </w:r>
          </w:p>
        </w:tc>
        <w:tc>
          <w:tcPr>
            <w:tcW w:w="715" w:type="pct"/>
            <w:vAlign w:val="center"/>
          </w:tcPr>
          <w:p w14:paraId="43957A0B">
            <w:pPr>
              <w:pStyle w:val="12"/>
              <w:jc w:val="center"/>
            </w:pPr>
            <w:r>
              <w:rPr>
                <w:rFonts w:hint="eastAsia"/>
              </w:rPr>
              <w:t>7.39</w:t>
            </w:r>
          </w:p>
        </w:tc>
      </w:tr>
      <w:tr w14:paraId="6168ED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F207DDF">
            <w:pPr>
              <w:pStyle w:val="12"/>
              <w:jc w:val="center"/>
            </w:pPr>
            <w:r>
              <w:rPr>
                <w:rFonts w:hint="eastAsia"/>
              </w:rPr>
              <w:t>30岁~34岁</w:t>
            </w:r>
          </w:p>
        </w:tc>
        <w:tc>
          <w:tcPr>
            <w:tcW w:w="714" w:type="pct"/>
            <w:vAlign w:val="center"/>
          </w:tcPr>
          <w:p w14:paraId="20296272">
            <w:pPr>
              <w:pStyle w:val="12"/>
              <w:jc w:val="center"/>
            </w:pPr>
            <w:r>
              <w:rPr>
                <w:rFonts w:hint="eastAsia"/>
              </w:rPr>
              <w:t>15624</w:t>
            </w:r>
          </w:p>
        </w:tc>
        <w:tc>
          <w:tcPr>
            <w:tcW w:w="714" w:type="pct"/>
            <w:vAlign w:val="center"/>
          </w:tcPr>
          <w:p w14:paraId="065AAA49">
            <w:pPr>
              <w:pStyle w:val="12"/>
              <w:jc w:val="center"/>
            </w:pPr>
            <w:r>
              <w:rPr>
                <w:rFonts w:hint="eastAsia"/>
              </w:rPr>
              <w:t>6.93</w:t>
            </w:r>
          </w:p>
        </w:tc>
        <w:tc>
          <w:tcPr>
            <w:tcW w:w="715" w:type="pct"/>
            <w:vAlign w:val="center"/>
          </w:tcPr>
          <w:p w14:paraId="28D04787">
            <w:pPr>
              <w:pStyle w:val="12"/>
              <w:jc w:val="center"/>
            </w:pPr>
            <w:r>
              <w:rPr>
                <w:rFonts w:hint="eastAsia"/>
              </w:rPr>
              <w:t>18558</w:t>
            </w:r>
          </w:p>
        </w:tc>
        <w:tc>
          <w:tcPr>
            <w:tcW w:w="715" w:type="pct"/>
            <w:vAlign w:val="center"/>
          </w:tcPr>
          <w:p w14:paraId="084DBBD8">
            <w:pPr>
              <w:pStyle w:val="12"/>
              <w:jc w:val="center"/>
            </w:pPr>
            <w:r>
              <w:rPr>
                <w:rFonts w:hint="eastAsia"/>
              </w:rPr>
              <w:t>7.20</w:t>
            </w:r>
          </w:p>
        </w:tc>
        <w:tc>
          <w:tcPr>
            <w:tcW w:w="715" w:type="pct"/>
            <w:vAlign w:val="center"/>
          </w:tcPr>
          <w:p w14:paraId="17B9C167">
            <w:pPr>
              <w:pStyle w:val="12"/>
              <w:jc w:val="center"/>
            </w:pPr>
            <w:r>
              <w:rPr>
                <w:rFonts w:hint="eastAsia"/>
              </w:rPr>
              <w:t>22265</w:t>
            </w:r>
          </w:p>
        </w:tc>
        <w:tc>
          <w:tcPr>
            <w:tcW w:w="715" w:type="pct"/>
            <w:vAlign w:val="center"/>
          </w:tcPr>
          <w:p w14:paraId="31BE239B">
            <w:pPr>
              <w:pStyle w:val="12"/>
              <w:jc w:val="center"/>
            </w:pPr>
            <w:r>
              <w:rPr>
                <w:rFonts w:hint="eastAsia"/>
              </w:rPr>
              <w:t>5.61</w:t>
            </w:r>
          </w:p>
        </w:tc>
      </w:tr>
      <w:tr w14:paraId="66673A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9248060">
            <w:pPr>
              <w:pStyle w:val="12"/>
              <w:jc w:val="center"/>
            </w:pPr>
            <w:r>
              <w:rPr>
                <w:rFonts w:hint="eastAsia"/>
              </w:rPr>
              <w:t>35岁~39岁</w:t>
            </w:r>
          </w:p>
        </w:tc>
        <w:tc>
          <w:tcPr>
            <w:tcW w:w="714" w:type="pct"/>
            <w:vAlign w:val="center"/>
          </w:tcPr>
          <w:p w14:paraId="6BCC1E2F">
            <w:pPr>
              <w:pStyle w:val="12"/>
              <w:jc w:val="center"/>
            </w:pPr>
            <w:r>
              <w:rPr>
                <w:rFonts w:hint="eastAsia"/>
              </w:rPr>
              <w:t>15071</w:t>
            </w:r>
          </w:p>
        </w:tc>
        <w:tc>
          <w:tcPr>
            <w:tcW w:w="714" w:type="pct"/>
            <w:vAlign w:val="center"/>
          </w:tcPr>
          <w:p w14:paraId="6F016265">
            <w:pPr>
              <w:pStyle w:val="12"/>
              <w:jc w:val="center"/>
            </w:pPr>
            <w:r>
              <w:rPr>
                <w:rFonts w:hint="eastAsia"/>
              </w:rPr>
              <w:t>6.68</w:t>
            </w:r>
          </w:p>
        </w:tc>
        <w:tc>
          <w:tcPr>
            <w:tcW w:w="715" w:type="pct"/>
            <w:vAlign w:val="center"/>
          </w:tcPr>
          <w:p w14:paraId="6A2C3036">
            <w:pPr>
              <w:pStyle w:val="12"/>
              <w:jc w:val="center"/>
            </w:pPr>
            <w:r>
              <w:rPr>
                <w:rFonts w:hint="eastAsia"/>
              </w:rPr>
              <w:t>19423</w:t>
            </w:r>
          </w:p>
        </w:tc>
        <w:tc>
          <w:tcPr>
            <w:tcW w:w="715" w:type="pct"/>
            <w:vAlign w:val="center"/>
          </w:tcPr>
          <w:p w14:paraId="1B23F602">
            <w:pPr>
              <w:pStyle w:val="12"/>
              <w:jc w:val="center"/>
            </w:pPr>
            <w:r>
              <w:rPr>
                <w:rFonts w:hint="eastAsia"/>
              </w:rPr>
              <w:t>6.38</w:t>
            </w:r>
          </w:p>
        </w:tc>
        <w:tc>
          <w:tcPr>
            <w:tcW w:w="715" w:type="pct"/>
            <w:vAlign w:val="center"/>
          </w:tcPr>
          <w:p w14:paraId="200C59BD">
            <w:pPr>
              <w:pStyle w:val="12"/>
              <w:jc w:val="center"/>
            </w:pPr>
            <w:r>
              <w:rPr>
                <w:rFonts w:hint="eastAsia"/>
              </w:rPr>
              <w:t>16761</w:t>
            </w:r>
          </w:p>
        </w:tc>
        <w:tc>
          <w:tcPr>
            <w:tcW w:w="715" w:type="pct"/>
            <w:vAlign w:val="center"/>
          </w:tcPr>
          <w:p w14:paraId="315EC19A">
            <w:pPr>
              <w:pStyle w:val="12"/>
              <w:jc w:val="center"/>
            </w:pPr>
            <w:r>
              <w:rPr>
                <w:rFonts w:hint="eastAsia"/>
              </w:rPr>
              <w:t>4.23</w:t>
            </w:r>
          </w:p>
        </w:tc>
      </w:tr>
      <w:tr w14:paraId="5827CA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2B88760E">
            <w:pPr>
              <w:pStyle w:val="12"/>
              <w:jc w:val="center"/>
            </w:pPr>
            <w:r>
              <w:rPr>
                <w:rFonts w:hint="eastAsia"/>
              </w:rPr>
              <w:t>40岁~44岁</w:t>
            </w:r>
          </w:p>
        </w:tc>
        <w:tc>
          <w:tcPr>
            <w:tcW w:w="714" w:type="pct"/>
            <w:vAlign w:val="center"/>
          </w:tcPr>
          <w:p w14:paraId="138C99CF">
            <w:pPr>
              <w:pStyle w:val="12"/>
              <w:jc w:val="center"/>
            </w:pPr>
            <w:r>
              <w:rPr>
                <w:rFonts w:hint="eastAsia"/>
              </w:rPr>
              <w:t>14361</w:t>
            </w:r>
          </w:p>
        </w:tc>
        <w:tc>
          <w:tcPr>
            <w:tcW w:w="714" w:type="pct"/>
            <w:vAlign w:val="center"/>
          </w:tcPr>
          <w:p w14:paraId="47845019">
            <w:pPr>
              <w:pStyle w:val="12"/>
              <w:jc w:val="center"/>
            </w:pPr>
            <w:r>
              <w:rPr>
                <w:rFonts w:hint="eastAsia"/>
              </w:rPr>
              <w:t>6.37</w:t>
            </w:r>
          </w:p>
        </w:tc>
        <w:tc>
          <w:tcPr>
            <w:tcW w:w="715" w:type="pct"/>
            <w:vAlign w:val="center"/>
          </w:tcPr>
          <w:p w14:paraId="6BE8AC32">
            <w:pPr>
              <w:pStyle w:val="12"/>
              <w:jc w:val="center"/>
            </w:pPr>
            <w:r>
              <w:rPr>
                <w:rFonts w:hint="eastAsia"/>
              </w:rPr>
              <w:t>12781</w:t>
            </w:r>
          </w:p>
        </w:tc>
        <w:tc>
          <w:tcPr>
            <w:tcW w:w="715" w:type="pct"/>
            <w:vAlign w:val="center"/>
          </w:tcPr>
          <w:p w14:paraId="014DEE9D">
            <w:pPr>
              <w:pStyle w:val="12"/>
              <w:jc w:val="center"/>
            </w:pPr>
            <w:r>
              <w:rPr>
                <w:rFonts w:hint="eastAsia"/>
              </w:rPr>
              <w:t>4.97</w:t>
            </w:r>
          </w:p>
        </w:tc>
        <w:tc>
          <w:tcPr>
            <w:tcW w:w="715" w:type="pct"/>
            <w:vAlign w:val="center"/>
          </w:tcPr>
          <w:p w14:paraId="7C0E9344">
            <w:pPr>
              <w:pStyle w:val="12"/>
              <w:jc w:val="center"/>
            </w:pPr>
            <w:r>
              <w:rPr>
                <w:rFonts w:hint="eastAsia"/>
              </w:rPr>
              <w:t>16841</w:t>
            </w:r>
          </w:p>
        </w:tc>
        <w:tc>
          <w:tcPr>
            <w:tcW w:w="715" w:type="pct"/>
            <w:vAlign w:val="center"/>
          </w:tcPr>
          <w:p w14:paraId="77A1ECDF">
            <w:pPr>
              <w:pStyle w:val="12"/>
              <w:jc w:val="center"/>
            </w:pPr>
            <w:r>
              <w:rPr>
                <w:rFonts w:hint="eastAsia"/>
              </w:rPr>
              <w:t>4.25</w:t>
            </w:r>
          </w:p>
        </w:tc>
      </w:tr>
      <w:tr w14:paraId="1D5828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A158105">
            <w:pPr>
              <w:pStyle w:val="12"/>
              <w:jc w:val="center"/>
            </w:pPr>
            <w:r>
              <w:rPr>
                <w:rFonts w:hint="eastAsia"/>
              </w:rPr>
              <w:t>45岁~49岁</w:t>
            </w:r>
          </w:p>
        </w:tc>
        <w:tc>
          <w:tcPr>
            <w:tcW w:w="714" w:type="pct"/>
            <w:vAlign w:val="center"/>
          </w:tcPr>
          <w:p w14:paraId="501C29A4">
            <w:pPr>
              <w:pStyle w:val="12"/>
              <w:jc w:val="center"/>
            </w:pPr>
            <w:r>
              <w:rPr>
                <w:rFonts w:hint="eastAsia"/>
              </w:rPr>
              <w:t>12368</w:t>
            </w:r>
          </w:p>
        </w:tc>
        <w:tc>
          <w:tcPr>
            <w:tcW w:w="714" w:type="pct"/>
            <w:vAlign w:val="center"/>
          </w:tcPr>
          <w:p w14:paraId="4E26151F">
            <w:pPr>
              <w:pStyle w:val="12"/>
              <w:jc w:val="center"/>
            </w:pPr>
            <w:r>
              <w:rPr>
                <w:rFonts w:hint="eastAsia"/>
              </w:rPr>
              <w:t>5.48</w:t>
            </w:r>
          </w:p>
        </w:tc>
        <w:tc>
          <w:tcPr>
            <w:tcW w:w="715" w:type="pct"/>
            <w:vAlign w:val="center"/>
          </w:tcPr>
          <w:p w14:paraId="4A767E03">
            <w:pPr>
              <w:pStyle w:val="12"/>
              <w:jc w:val="center"/>
            </w:pPr>
            <w:r>
              <w:rPr>
                <w:rFonts w:hint="eastAsia"/>
              </w:rPr>
              <w:t>11970</w:t>
            </w:r>
          </w:p>
        </w:tc>
        <w:tc>
          <w:tcPr>
            <w:tcW w:w="715" w:type="pct"/>
            <w:vAlign w:val="center"/>
          </w:tcPr>
          <w:p w14:paraId="487D58E3">
            <w:pPr>
              <w:pStyle w:val="12"/>
              <w:jc w:val="center"/>
            </w:pPr>
            <w:r>
              <w:rPr>
                <w:rFonts w:hint="eastAsia"/>
              </w:rPr>
              <w:t>4.65</w:t>
            </w:r>
          </w:p>
        </w:tc>
        <w:tc>
          <w:tcPr>
            <w:tcW w:w="715" w:type="pct"/>
            <w:vAlign w:val="center"/>
          </w:tcPr>
          <w:p w14:paraId="016FCBE8">
            <w:pPr>
              <w:pStyle w:val="12"/>
              <w:jc w:val="center"/>
            </w:pPr>
            <w:r>
              <w:rPr>
                <w:rFonts w:hint="eastAsia"/>
              </w:rPr>
              <w:t>18657</w:t>
            </w:r>
          </w:p>
        </w:tc>
        <w:tc>
          <w:tcPr>
            <w:tcW w:w="715" w:type="pct"/>
            <w:vAlign w:val="center"/>
          </w:tcPr>
          <w:p w14:paraId="7C384B08">
            <w:pPr>
              <w:pStyle w:val="12"/>
              <w:jc w:val="center"/>
            </w:pPr>
            <w:r>
              <w:rPr>
                <w:rFonts w:hint="eastAsia"/>
              </w:rPr>
              <w:t>4.70</w:t>
            </w:r>
          </w:p>
        </w:tc>
      </w:tr>
      <w:tr w14:paraId="21927A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E58A9D0">
            <w:pPr>
              <w:pStyle w:val="12"/>
              <w:jc w:val="center"/>
            </w:pPr>
            <w:r>
              <w:rPr>
                <w:rFonts w:hint="eastAsia"/>
              </w:rPr>
              <w:t>50岁~54岁</w:t>
            </w:r>
          </w:p>
        </w:tc>
        <w:tc>
          <w:tcPr>
            <w:tcW w:w="714" w:type="pct"/>
            <w:vAlign w:val="center"/>
          </w:tcPr>
          <w:p w14:paraId="02A89A89">
            <w:pPr>
              <w:pStyle w:val="12"/>
              <w:jc w:val="center"/>
            </w:pPr>
            <w:r>
              <w:rPr>
                <w:rFonts w:hint="eastAsia"/>
              </w:rPr>
              <w:t>9386</w:t>
            </w:r>
          </w:p>
        </w:tc>
        <w:tc>
          <w:tcPr>
            <w:tcW w:w="714" w:type="pct"/>
            <w:vAlign w:val="center"/>
          </w:tcPr>
          <w:p w14:paraId="48941C16">
            <w:pPr>
              <w:pStyle w:val="12"/>
              <w:jc w:val="center"/>
            </w:pPr>
            <w:r>
              <w:rPr>
                <w:rFonts w:hint="eastAsia"/>
              </w:rPr>
              <w:t>4.16</w:t>
            </w:r>
          </w:p>
        </w:tc>
        <w:tc>
          <w:tcPr>
            <w:tcW w:w="715" w:type="pct"/>
            <w:vAlign w:val="center"/>
          </w:tcPr>
          <w:p w14:paraId="71270160">
            <w:pPr>
              <w:pStyle w:val="12"/>
              <w:jc w:val="center"/>
            </w:pPr>
            <w:r>
              <w:rPr>
                <w:rFonts w:hint="eastAsia"/>
              </w:rPr>
              <w:t>10965</w:t>
            </w:r>
          </w:p>
        </w:tc>
        <w:tc>
          <w:tcPr>
            <w:tcW w:w="715" w:type="pct"/>
            <w:vAlign w:val="center"/>
          </w:tcPr>
          <w:p w14:paraId="13D7AE4C">
            <w:pPr>
              <w:pStyle w:val="12"/>
              <w:jc w:val="center"/>
            </w:pPr>
            <w:r>
              <w:rPr>
                <w:rFonts w:hint="eastAsia"/>
              </w:rPr>
              <w:t>4.26</w:t>
            </w:r>
          </w:p>
        </w:tc>
        <w:tc>
          <w:tcPr>
            <w:tcW w:w="715" w:type="pct"/>
            <w:vAlign w:val="center"/>
          </w:tcPr>
          <w:p w14:paraId="20159D7E">
            <w:pPr>
              <w:pStyle w:val="12"/>
              <w:jc w:val="center"/>
            </w:pPr>
            <w:r>
              <w:rPr>
                <w:rFonts w:hint="eastAsia"/>
              </w:rPr>
              <w:t>15870</w:t>
            </w:r>
          </w:p>
        </w:tc>
        <w:tc>
          <w:tcPr>
            <w:tcW w:w="715" w:type="pct"/>
            <w:vAlign w:val="center"/>
          </w:tcPr>
          <w:p w14:paraId="32B89029">
            <w:pPr>
              <w:pStyle w:val="12"/>
              <w:jc w:val="center"/>
            </w:pPr>
            <w:r>
              <w:rPr>
                <w:rFonts w:hint="eastAsia"/>
              </w:rPr>
              <w:t>4.00</w:t>
            </w:r>
          </w:p>
        </w:tc>
      </w:tr>
      <w:tr w14:paraId="33F013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4877244">
            <w:pPr>
              <w:pStyle w:val="12"/>
              <w:jc w:val="center"/>
            </w:pPr>
            <w:r>
              <w:rPr>
                <w:rFonts w:hint="eastAsia"/>
              </w:rPr>
              <w:t>55岁~59岁</w:t>
            </w:r>
          </w:p>
        </w:tc>
        <w:tc>
          <w:tcPr>
            <w:tcW w:w="714" w:type="pct"/>
            <w:vAlign w:val="center"/>
          </w:tcPr>
          <w:p w14:paraId="1334E77E">
            <w:pPr>
              <w:pStyle w:val="12"/>
              <w:jc w:val="center"/>
            </w:pPr>
            <w:r>
              <w:rPr>
                <w:rFonts w:hint="eastAsia"/>
              </w:rPr>
              <w:t>8866</w:t>
            </w:r>
          </w:p>
        </w:tc>
        <w:tc>
          <w:tcPr>
            <w:tcW w:w="714" w:type="pct"/>
            <w:vAlign w:val="center"/>
          </w:tcPr>
          <w:p w14:paraId="455D5612">
            <w:pPr>
              <w:pStyle w:val="12"/>
              <w:jc w:val="center"/>
            </w:pPr>
            <w:r>
              <w:rPr>
                <w:rFonts w:hint="eastAsia"/>
              </w:rPr>
              <w:t>3.93</w:t>
            </w:r>
          </w:p>
        </w:tc>
        <w:tc>
          <w:tcPr>
            <w:tcW w:w="715" w:type="pct"/>
            <w:vAlign w:val="center"/>
          </w:tcPr>
          <w:p w14:paraId="69A8D877">
            <w:pPr>
              <w:pStyle w:val="12"/>
              <w:jc w:val="center"/>
            </w:pPr>
            <w:r>
              <w:rPr>
                <w:rFonts w:hint="eastAsia"/>
              </w:rPr>
              <w:t>9266</w:t>
            </w:r>
          </w:p>
        </w:tc>
        <w:tc>
          <w:tcPr>
            <w:tcW w:w="715" w:type="pct"/>
            <w:vAlign w:val="center"/>
          </w:tcPr>
          <w:p w14:paraId="0C8F7B46">
            <w:pPr>
              <w:pStyle w:val="12"/>
              <w:jc w:val="center"/>
            </w:pPr>
            <w:r>
              <w:rPr>
                <w:rFonts w:hint="eastAsia"/>
              </w:rPr>
              <w:t>3.60</w:t>
            </w:r>
          </w:p>
        </w:tc>
        <w:tc>
          <w:tcPr>
            <w:tcW w:w="715" w:type="pct"/>
            <w:vAlign w:val="center"/>
          </w:tcPr>
          <w:p w14:paraId="699F8BDE">
            <w:pPr>
              <w:pStyle w:val="12"/>
              <w:jc w:val="center"/>
            </w:pPr>
            <w:r>
              <w:rPr>
                <w:rFonts w:hint="eastAsia"/>
              </w:rPr>
              <w:t>12966</w:t>
            </w:r>
          </w:p>
        </w:tc>
        <w:tc>
          <w:tcPr>
            <w:tcW w:w="715" w:type="pct"/>
            <w:vAlign w:val="center"/>
          </w:tcPr>
          <w:p w14:paraId="1BB9BCE1">
            <w:pPr>
              <w:pStyle w:val="12"/>
              <w:jc w:val="center"/>
            </w:pPr>
            <w:r>
              <w:rPr>
                <w:rFonts w:hint="eastAsia"/>
              </w:rPr>
              <w:t>3.27</w:t>
            </w:r>
          </w:p>
        </w:tc>
      </w:tr>
      <w:tr w14:paraId="4E8164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4310A830">
            <w:pPr>
              <w:pStyle w:val="12"/>
              <w:jc w:val="center"/>
            </w:pPr>
            <w:r>
              <w:rPr>
                <w:rFonts w:hint="eastAsia"/>
              </w:rPr>
              <w:t>60岁~64岁</w:t>
            </w:r>
          </w:p>
        </w:tc>
        <w:tc>
          <w:tcPr>
            <w:tcW w:w="714" w:type="pct"/>
            <w:vAlign w:val="center"/>
          </w:tcPr>
          <w:p w14:paraId="4B845892">
            <w:pPr>
              <w:pStyle w:val="12"/>
              <w:jc w:val="center"/>
            </w:pPr>
            <w:r>
              <w:rPr>
                <w:rFonts w:hint="eastAsia"/>
              </w:rPr>
              <w:t>7414</w:t>
            </w:r>
          </w:p>
        </w:tc>
        <w:tc>
          <w:tcPr>
            <w:tcW w:w="714" w:type="pct"/>
            <w:vAlign w:val="center"/>
          </w:tcPr>
          <w:p w14:paraId="58B1B391">
            <w:pPr>
              <w:pStyle w:val="12"/>
              <w:jc w:val="center"/>
            </w:pPr>
            <w:r>
              <w:rPr>
                <w:rFonts w:hint="eastAsia"/>
              </w:rPr>
              <w:t>3.29</w:t>
            </w:r>
          </w:p>
        </w:tc>
        <w:tc>
          <w:tcPr>
            <w:tcW w:w="715" w:type="pct"/>
            <w:vAlign w:val="center"/>
          </w:tcPr>
          <w:p w14:paraId="000DF7F3">
            <w:pPr>
              <w:pStyle w:val="12"/>
              <w:jc w:val="center"/>
            </w:pPr>
            <w:r>
              <w:rPr>
                <w:rFonts w:hint="eastAsia"/>
              </w:rPr>
              <w:t>6393</w:t>
            </w:r>
          </w:p>
        </w:tc>
        <w:tc>
          <w:tcPr>
            <w:tcW w:w="715" w:type="pct"/>
            <w:vAlign w:val="center"/>
          </w:tcPr>
          <w:p w14:paraId="62C6591F">
            <w:pPr>
              <w:pStyle w:val="12"/>
              <w:jc w:val="center"/>
            </w:pPr>
            <w:r>
              <w:rPr>
                <w:rFonts w:hint="eastAsia"/>
              </w:rPr>
              <w:t>2.48</w:t>
            </w:r>
          </w:p>
        </w:tc>
        <w:tc>
          <w:tcPr>
            <w:tcW w:w="715" w:type="pct"/>
            <w:vAlign w:val="center"/>
          </w:tcPr>
          <w:p w14:paraId="44C1374B">
            <w:pPr>
              <w:pStyle w:val="12"/>
              <w:jc w:val="center"/>
            </w:pPr>
            <w:r>
              <w:rPr>
                <w:rFonts w:hint="eastAsia"/>
              </w:rPr>
              <w:t>10713</w:t>
            </w:r>
          </w:p>
        </w:tc>
        <w:tc>
          <w:tcPr>
            <w:tcW w:w="715" w:type="pct"/>
            <w:vAlign w:val="center"/>
          </w:tcPr>
          <w:p w14:paraId="17863DD6">
            <w:pPr>
              <w:pStyle w:val="12"/>
              <w:jc w:val="center"/>
            </w:pPr>
            <w:r>
              <w:rPr>
                <w:rFonts w:hint="eastAsia"/>
              </w:rPr>
              <w:t>2.70</w:t>
            </w:r>
          </w:p>
        </w:tc>
      </w:tr>
      <w:tr w14:paraId="238942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D0F35FB">
            <w:pPr>
              <w:pStyle w:val="12"/>
              <w:jc w:val="center"/>
            </w:pPr>
            <w:r>
              <w:rPr>
                <w:rFonts w:hint="eastAsia"/>
              </w:rPr>
              <w:t>65岁~69岁</w:t>
            </w:r>
          </w:p>
        </w:tc>
        <w:tc>
          <w:tcPr>
            <w:tcW w:w="714" w:type="pct"/>
            <w:vAlign w:val="center"/>
          </w:tcPr>
          <w:p w14:paraId="775120DF">
            <w:pPr>
              <w:pStyle w:val="12"/>
              <w:jc w:val="center"/>
            </w:pPr>
            <w:r>
              <w:rPr>
                <w:rFonts w:hint="eastAsia"/>
              </w:rPr>
              <w:t>4817</w:t>
            </w:r>
          </w:p>
        </w:tc>
        <w:tc>
          <w:tcPr>
            <w:tcW w:w="714" w:type="pct"/>
            <w:vAlign w:val="center"/>
          </w:tcPr>
          <w:p w14:paraId="25144562">
            <w:pPr>
              <w:pStyle w:val="12"/>
              <w:jc w:val="center"/>
            </w:pPr>
            <w:r>
              <w:rPr>
                <w:rFonts w:hint="eastAsia"/>
              </w:rPr>
              <w:t>2.14</w:t>
            </w:r>
          </w:p>
        </w:tc>
        <w:tc>
          <w:tcPr>
            <w:tcW w:w="715" w:type="pct"/>
            <w:vAlign w:val="center"/>
          </w:tcPr>
          <w:p w14:paraId="77033377">
            <w:pPr>
              <w:pStyle w:val="12"/>
              <w:jc w:val="center"/>
            </w:pPr>
            <w:r>
              <w:rPr>
                <w:rFonts w:hint="eastAsia"/>
              </w:rPr>
              <w:t>4428</w:t>
            </w:r>
          </w:p>
        </w:tc>
        <w:tc>
          <w:tcPr>
            <w:tcW w:w="715" w:type="pct"/>
            <w:vAlign w:val="center"/>
          </w:tcPr>
          <w:p w14:paraId="0BA53446">
            <w:pPr>
              <w:pStyle w:val="12"/>
              <w:jc w:val="center"/>
            </w:pPr>
            <w:r>
              <w:rPr>
                <w:rFonts w:hint="eastAsia"/>
              </w:rPr>
              <w:t>1.72</w:t>
            </w:r>
          </w:p>
        </w:tc>
        <w:tc>
          <w:tcPr>
            <w:tcW w:w="715" w:type="pct"/>
            <w:vAlign w:val="center"/>
          </w:tcPr>
          <w:p w14:paraId="00E8A9A2">
            <w:pPr>
              <w:pStyle w:val="12"/>
              <w:jc w:val="center"/>
            </w:pPr>
            <w:r>
              <w:rPr>
                <w:rFonts w:hint="eastAsia"/>
              </w:rPr>
              <w:t>8082</w:t>
            </w:r>
          </w:p>
        </w:tc>
        <w:tc>
          <w:tcPr>
            <w:tcW w:w="715" w:type="pct"/>
            <w:vAlign w:val="center"/>
          </w:tcPr>
          <w:p w14:paraId="0F8DC5C4">
            <w:pPr>
              <w:pStyle w:val="12"/>
              <w:jc w:val="center"/>
            </w:pPr>
            <w:r>
              <w:rPr>
                <w:rFonts w:hint="eastAsia"/>
              </w:rPr>
              <w:t>2.04</w:t>
            </w:r>
          </w:p>
        </w:tc>
      </w:tr>
      <w:tr w14:paraId="5B5B4C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7BF30AA">
            <w:pPr>
              <w:pStyle w:val="12"/>
              <w:jc w:val="center"/>
            </w:pPr>
            <w:r>
              <w:rPr>
                <w:rFonts w:hint="eastAsia"/>
              </w:rPr>
              <w:t>70岁~74岁</w:t>
            </w:r>
          </w:p>
        </w:tc>
        <w:tc>
          <w:tcPr>
            <w:tcW w:w="714" w:type="pct"/>
            <w:vAlign w:val="center"/>
          </w:tcPr>
          <w:p w14:paraId="7C8CEA88">
            <w:pPr>
              <w:pStyle w:val="12"/>
              <w:jc w:val="center"/>
            </w:pPr>
            <w:r>
              <w:rPr>
                <w:rFonts w:hint="eastAsia"/>
              </w:rPr>
              <w:t>2726</w:t>
            </w:r>
          </w:p>
        </w:tc>
        <w:tc>
          <w:tcPr>
            <w:tcW w:w="714" w:type="pct"/>
            <w:vAlign w:val="center"/>
          </w:tcPr>
          <w:p w14:paraId="1AFE87E9">
            <w:pPr>
              <w:pStyle w:val="12"/>
              <w:jc w:val="center"/>
            </w:pPr>
            <w:r>
              <w:rPr>
                <w:rFonts w:hint="eastAsia"/>
              </w:rPr>
              <w:t>1.21</w:t>
            </w:r>
          </w:p>
        </w:tc>
        <w:tc>
          <w:tcPr>
            <w:tcW w:w="715" w:type="pct"/>
            <w:vAlign w:val="center"/>
          </w:tcPr>
          <w:p w14:paraId="64011941">
            <w:pPr>
              <w:pStyle w:val="12"/>
              <w:jc w:val="center"/>
            </w:pPr>
            <w:r>
              <w:rPr>
                <w:rFonts w:hint="eastAsia"/>
              </w:rPr>
              <w:t>2881</w:t>
            </w:r>
          </w:p>
        </w:tc>
        <w:tc>
          <w:tcPr>
            <w:tcW w:w="715" w:type="pct"/>
            <w:vAlign w:val="center"/>
          </w:tcPr>
          <w:p w14:paraId="36565FEC">
            <w:pPr>
              <w:pStyle w:val="12"/>
              <w:jc w:val="center"/>
            </w:pPr>
            <w:r>
              <w:rPr>
                <w:rFonts w:hint="eastAsia"/>
              </w:rPr>
              <w:t>1.12</w:t>
            </w:r>
          </w:p>
        </w:tc>
        <w:tc>
          <w:tcPr>
            <w:tcW w:w="715" w:type="pct"/>
            <w:vAlign w:val="center"/>
          </w:tcPr>
          <w:p w14:paraId="7F0B949D">
            <w:pPr>
              <w:pStyle w:val="12"/>
              <w:jc w:val="center"/>
            </w:pPr>
            <w:r>
              <w:rPr>
                <w:rFonts w:hint="eastAsia"/>
              </w:rPr>
              <w:t>6006</w:t>
            </w:r>
          </w:p>
        </w:tc>
        <w:tc>
          <w:tcPr>
            <w:tcW w:w="715" w:type="pct"/>
            <w:vAlign w:val="center"/>
          </w:tcPr>
          <w:p w14:paraId="32706D00">
            <w:pPr>
              <w:pStyle w:val="12"/>
              <w:jc w:val="center"/>
            </w:pPr>
            <w:r>
              <w:rPr>
                <w:rFonts w:hint="eastAsia"/>
              </w:rPr>
              <w:t>1.51</w:t>
            </w:r>
          </w:p>
        </w:tc>
      </w:tr>
      <w:tr w14:paraId="00A241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17511D4">
            <w:pPr>
              <w:pStyle w:val="12"/>
              <w:jc w:val="center"/>
            </w:pPr>
            <w:r>
              <w:rPr>
                <w:rFonts w:hint="eastAsia"/>
              </w:rPr>
              <w:t>75岁~79岁</w:t>
            </w:r>
          </w:p>
        </w:tc>
        <w:tc>
          <w:tcPr>
            <w:tcW w:w="714" w:type="pct"/>
            <w:vAlign w:val="center"/>
          </w:tcPr>
          <w:p w14:paraId="74CD60D8">
            <w:pPr>
              <w:pStyle w:val="12"/>
              <w:jc w:val="center"/>
            </w:pPr>
            <w:r>
              <w:rPr>
                <w:rFonts w:hint="eastAsia"/>
              </w:rPr>
              <w:t>1562</w:t>
            </w:r>
          </w:p>
        </w:tc>
        <w:tc>
          <w:tcPr>
            <w:tcW w:w="714" w:type="pct"/>
            <w:vAlign w:val="center"/>
          </w:tcPr>
          <w:p w14:paraId="31B1EAE6">
            <w:pPr>
              <w:pStyle w:val="12"/>
              <w:jc w:val="center"/>
            </w:pPr>
            <w:r>
              <w:rPr>
                <w:rFonts w:hint="eastAsia"/>
              </w:rPr>
              <w:t>0.69</w:t>
            </w:r>
          </w:p>
        </w:tc>
        <w:tc>
          <w:tcPr>
            <w:tcW w:w="715" w:type="pct"/>
            <w:vAlign w:val="center"/>
          </w:tcPr>
          <w:p w14:paraId="2CA1BB29">
            <w:pPr>
              <w:pStyle w:val="12"/>
              <w:jc w:val="center"/>
            </w:pPr>
            <w:r>
              <w:rPr>
                <w:rFonts w:hint="eastAsia"/>
              </w:rPr>
              <w:t>1353</w:t>
            </w:r>
          </w:p>
        </w:tc>
        <w:tc>
          <w:tcPr>
            <w:tcW w:w="715" w:type="pct"/>
            <w:vAlign w:val="center"/>
          </w:tcPr>
          <w:p w14:paraId="749DFBA6">
            <w:pPr>
              <w:pStyle w:val="12"/>
              <w:jc w:val="center"/>
            </w:pPr>
            <w:r>
              <w:rPr>
                <w:rFonts w:hint="eastAsia"/>
              </w:rPr>
              <w:t>0.53</w:t>
            </w:r>
          </w:p>
        </w:tc>
        <w:tc>
          <w:tcPr>
            <w:tcW w:w="715" w:type="pct"/>
            <w:vAlign w:val="center"/>
          </w:tcPr>
          <w:p w14:paraId="6B684279">
            <w:pPr>
              <w:pStyle w:val="12"/>
              <w:jc w:val="center"/>
            </w:pPr>
            <w:r>
              <w:rPr>
                <w:rFonts w:hint="eastAsia"/>
              </w:rPr>
              <w:t>3413</w:t>
            </w:r>
          </w:p>
        </w:tc>
        <w:tc>
          <w:tcPr>
            <w:tcW w:w="715" w:type="pct"/>
            <w:vAlign w:val="center"/>
          </w:tcPr>
          <w:p w14:paraId="60CCF8BD">
            <w:pPr>
              <w:pStyle w:val="12"/>
              <w:jc w:val="center"/>
            </w:pPr>
            <w:r>
              <w:rPr>
                <w:rFonts w:hint="eastAsia"/>
              </w:rPr>
              <w:t>0.86</w:t>
            </w:r>
          </w:p>
        </w:tc>
      </w:tr>
      <w:tr w14:paraId="122A413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A964008">
            <w:pPr>
              <w:pStyle w:val="12"/>
              <w:jc w:val="center"/>
            </w:pPr>
            <w:r>
              <w:rPr>
                <w:rFonts w:hint="eastAsia"/>
              </w:rPr>
              <w:t>80岁~84岁</w:t>
            </w:r>
          </w:p>
        </w:tc>
        <w:tc>
          <w:tcPr>
            <w:tcW w:w="714" w:type="pct"/>
            <w:vAlign w:val="center"/>
          </w:tcPr>
          <w:p w14:paraId="54E7E776">
            <w:pPr>
              <w:pStyle w:val="12"/>
              <w:jc w:val="center"/>
            </w:pPr>
            <w:r>
              <w:rPr>
                <w:rFonts w:hint="eastAsia"/>
              </w:rPr>
              <w:t>518</w:t>
            </w:r>
          </w:p>
        </w:tc>
        <w:tc>
          <w:tcPr>
            <w:tcW w:w="714" w:type="pct"/>
            <w:vAlign w:val="center"/>
          </w:tcPr>
          <w:p w14:paraId="69559E0F">
            <w:pPr>
              <w:pStyle w:val="12"/>
              <w:jc w:val="center"/>
            </w:pPr>
            <w:r>
              <w:rPr>
                <w:rFonts w:hint="eastAsia"/>
              </w:rPr>
              <w:t>—</w:t>
            </w:r>
          </w:p>
        </w:tc>
        <w:tc>
          <w:tcPr>
            <w:tcW w:w="715" w:type="pct"/>
            <w:vAlign w:val="center"/>
          </w:tcPr>
          <w:p w14:paraId="7A92A56D">
            <w:pPr>
              <w:pStyle w:val="12"/>
              <w:jc w:val="center"/>
            </w:pPr>
            <w:r>
              <w:rPr>
                <w:rFonts w:hint="eastAsia"/>
              </w:rPr>
              <w:t>416</w:t>
            </w:r>
          </w:p>
        </w:tc>
        <w:tc>
          <w:tcPr>
            <w:tcW w:w="715" w:type="pct"/>
            <w:vAlign w:val="center"/>
          </w:tcPr>
          <w:p w14:paraId="6616F321">
            <w:pPr>
              <w:pStyle w:val="12"/>
              <w:jc w:val="center"/>
            </w:pPr>
            <w:r>
              <w:rPr>
                <w:rFonts w:hint="eastAsia"/>
              </w:rPr>
              <w:t>—</w:t>
            </w:r>
          </w:p>
        </w:tc>
        <w:tc>
          <w:tcPr>
            <w:tcW w:w="715" w:type="pct"/>
            <w:vAlign w:val="center"/>
          </w:tcPr>
          <w:p w14:paraId="68C5ADFD">
            <w:pPr>
              <w:pStyle w:val="12"/>
              <w:jc w:val="center"/>
            </w:pPr>
            <w:r>
              <w:rPr>
                <w:rFonts w:hint="eastAsia"/>
              </w:rPr>
              <w:t>1296</w:t>
            </w:r>
          </w:p>
        </w:tc>
        <w:tc>
          <w:tcPr>
            <w:tcW w:w="715" w:type="pct"/>
            <w:vAlign w:val="center"/>
          </w:tcPr>
          <w:p w14:paraId="03D1B13F">
            <w:pPr>
              <w:pStyle w:val="12"/>
              <w:jc w:val="center"/>
            </w:pPr>
            <w:r>
              <w:rPr>
                <w:rFonts w:hint="eastAsia"/>
              </w:rPr>
              <w:t>—</w:t>
            </w:r>
          </w:p>
        </w:tc>
      </w:tr>
      <w:tr w14:paraId="2EEFE5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0362594">
            <w:pPr>
              <w:pStyle w:val="12"/>
              <w:jc w:val="center"/>
            </w:pPr>
            <w:r>
              <w:rPr>
                <w:rFonts w:hint="eastAsia"/>
              </w:rPr>
              <w:t>85岁~89岁</w:t>
            </w:r>
          </w:p>
        </w:tc>
        <w:tc>
          <w:tcPr>
            <w:tcW w:w="714" w:type="pct"/>
            <w:vAlign w:val="center"/>
          </w:tcPr>
          <w:p w14:paraId="0BAC1345">
            <w:pPr>
              <w:pStyle w:val="12"/>
              <w:jc w:val="center"/>
            </w:pPr>
            <w:r>
              <w:rPr>
                <w:rFonts w:hint="eastAsia"/>
              </w:rPr>
              <w:t>151</w:t>
            </w:r>
          </w:p>
        </w:tc>
        <w:tc>
          <w:tcPr>
            <w:tcW w:w="714" w:type="pct"/>
            <w:vAlign w:val="center"/>
          </w:tcPr>
          <w:p w14:paraId="1AB1E226">
            <w:pPr>
              <w:pStyle w:val="12"/>
              <w:jc w:val="center"/>
            </w:pPr>
            <w:r>
              <w:rPr>
                <w:rFonts w:hint="eastAsia"/>
              </w:rPr>
              <w:t>—</w:t>
            </w:r>
          </w:p>
        </w:tc>
        <w:tc>
          <w:tcPr>
            <w:tcW w:w="715" w:type="pct"/>
            <w:vAlign w:val="center"/>
          </w:tcPr>
          <w:p w14:paraId="59F69D6F">
            <w:pPr>
              <w:pStyle w:val="12"/>
              <w:jc w:val="center"/>
            </w:pPr>
            <w:r>
              <w:rPr>
                <w:rFonts w:hint="eastAsia"/>
              </w:rPr>
              <w:t>127</w:t>
            </w:r>
          </w:p>
        </w:tc>
        <w:tc>
          <w:tcPr>
            <w:tcW w:w="715" w:type="pct"/>
            <w:vAlign w:val="center"/>
          </w:tcPr>
          <w:p w14:paraId="5C1A5E7C">
            <w:pPr>
              <w:pStyle w:val="12"/>
              <w:jc w:val="center"/>
            </w:pPr>
            <w:r>
              <w:rPr>
                <w:rFonts w:hint="eastAsia"/>
              </w:rPr>
              <w:t>—</w:t>
            </w:r>
          </w:p>
        </w:tc>
        <w:tc>
          <w:tcPr>
            <w:tcW w:w="715" w:type="pct"/>
            <w:vAlign w:val="center"/>
          </w:tcPr>
          <w:p w14:paraId="3153F32F">
            <w:pPr>
              <w:pStyle w:val="12"/>
              <w:jc w:val="center"/>
            </w:pPr>
            <w:r>
              <w:rPr>
                <w:rFonts w:hint="eastAsia"/>
              </w:rPr>
              <w:t>412</w:t>
            </w:r>
          </w:p>
        </w:tc>
        <w:tc>
          <w:tcPr>
            <w:tcW w:w="715" w:type="pct"/>
            <w:vAlign w:val="center"/>
          </w:tcPr>
          <w:p w14:paraId="1581CA1E">
            <w:pPr>
              <w:pStyle w:val="12"/>
              <w:jc w:val="center"/>
            </w:pPr>
            <w:r>
              <w:rPr>
                <w:rFonts w:hint="eastAsia"/>
              </w:rPr>
              <w:t>—</w:t>
            </w:r>
          </w:p>
        </w:tc>
      </w:tr>
      <w:tr w14:paraId="6635123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B3A01E0">
            <w:pPr>
              <w:pStyle w:val="12"/>
              <w:jc w:val="center"/>
            </w:pPr>
            <w:r>
              <w:rPr>
                <w:rFonts w:hint="eastAsia"/>
              </w:rPr>
              <w:t>90岁~94岁</w:t>
            </w:r>
          </w:p>
        </w:tc>
        <w:tc>
          <w:tcPr>
            <w:tcW w:w="714" w:type="pct"/>
            <w:vAlign w:val="center"/>
          </w:tcPr>
          <w:p w14:paraId="4B6BF7A9">
            <w:pPr>
              <w:pStyle w:val="12"/>
              <w:jc w:val="center"/>
            </w:pPr>
            <w:r>
              <w:rPr>
                <w:rFonts w:hint="eastAsia"/>
              </w:rPr>
              <w:t>18</w:t>
            </w:r>
          </w:p>
        </w:tc>
        <w:tc>
          <w:tcPr>
            <w:tcW w:w="714" w:type="pct"/>
            <w:vAlign w:val="center"/>
          </w:tcPr>
          <w:p w14:paraId="1C8B31ED">
            <w:pPr>
              <w:pStyle w:val="12"/>
              <w:jc w:val="center"/>
            </w:pPr>
            <w:r>
              <w:rPr>
                <w:rFonts w:hint="eastAsia"/>
              </w:rPr>
              <w:t>—</w:t>
            </w:r>
          </w:p>
        </w:tc>
        <w:tc>
          <w:tcPr>
            <w:tcW w:w="715" w:type="pct"/>
            <w:vAlign w:val="center"/>
          </w:tcPr>
          <w:p w14:paraId="3D866A39">
            <w:pPr>
              <w:pStyle w:val="12"/>
              <w:jc w:val="center"/>
            </w:pPr>
            <w:r>
              <w:rPr>
                <w:rFonts w:hint="eastAsia"/>
              </w:rPr>
              <w:t>21</w:t>
            </w:r>
          </w:p>
        </w:tc>
        <w:tc>
          <w:tcPr>
            <w:tcW w:w="715" w:type="pct"/>
            <w:vAlign w:val="center"/>
          </w:tcPr>
          <w:p w14:paraId="40A86EF8">
            <w:pPr>
              <w:pStyle w:val="12"/>
              <w:jc w:val="center"/>
            </w:pPr>
            <w:r>
              <w:rPr>
                <w:rFonts w:hint="eastAsia"/>
              </w:rPr>
              <w:t>—</w:t>
            </w:r>
          </w:p>
        </w:tc>
        <w:tc>
          <w:tcPr>
            <w:tcW w:w="715" w:type="pct"/>
            <w:vAlign w:val="center"/>
          </w:tcPr>
          <w:p w14:paraId="3B074F61">
            <w:pPr>
              <w:pStyle w:val="12"/>
              <w:jc w:val="center"/>
            </w:pPr>
            <w:r>
              <w:rPr>
                <w:rFonts w:hint="eastAsia"/>
              </w:rPr>
              <w:t>90</w:t>
            </w:r>
          </w:p>
        </w:tc>
        <w:tc>
          <w:tcPr>
            <w:tcW w:w="715" w:type="pct"/>
            <w:vAlign w:val="center"/>
          </w:tcPr>
          <w:p w14:paraId="0921D2F8">
            <w:pPr>
              <w:pStyle w:val="12"/>
              <w:jc w:val="center"/>
            </w:pPr>
            <w:r>
              <w:rPr>
                <w:rFonts w:hint="eastAsia"/>
              </w:rPr>
              <w:t>—</w:t>
            </w:r>
          </w:p>
        </w:tc>
      </w:tr>
      <w:tr w14:paraId="5711E1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358BDEC">
            <w:pPr>
              <w:pStyle w:val="12"/>
              <w:jc w:val="center"/>
            </w:pPr>
            <w:r>
              <w:rPr>
                <w:rFonts w:hint="eastAsia"/>
              </w:rPr>
              <w:t>95岁~99岁</w:t>
            </w:r>
          </w:p>
        </w:tc>
        <w:tc>
          <w:tcPr>
            <w:tcW w:w="714" w:type="pct"/>
            <w:vAlign w:val="center"/>
          </w:tcPr>
          <w:p w14:paraId="71594EDF">
            <w:pPr>
              <w:pStyle w:val="12"/>
              <w:jc w:val="center"/>
            </w:pPr>
            <w:r>
              <w:rPr>
                <w:rFonts w:hint="eastAsia"/>
              </w:rPr>
              <w:t>6</w:t>
            </w:r>
          </w:p>
        </w:tc>
        <w:tc>
          <w:tcPr>
            <w:tcW w:w="714" w:type="pct"/>
            <w:vAlign w:val="center"/>
          </w:tcPr>
          <w:p w14:paraId="50242456">
            <w:pPr>
              <w:pStyle w:val="12"/>
              <w:jc w:val="center"/>
            </w:pPr>
            <w:r>
              <w:rPr>
                <w:rFonts w:hint="eastAsia"/>
              </w:rPr>
              <w:t>—</w:t>
            </w:r>
          </w:p>
        </w:tc>
        <w:tc>
          <w:tcPr>
            <w:tcW w:w="715" w:type="pct"/>
            <w:vAlign w:val="center"/>
          </w:tcPr>
          <w:p w14:paraId="57C73FEE">
            <w:pPr>
              <w:pStyle w:val="12"/>
              <w:jc w:val="center"/>
            </w:pPr>
            <w:r>
              <w:rPr>
                <w:rFonts w:hint="eastAsia"/>
              </w:rPr>
              <w:t>5</w:t>
            </w:r>
          </w:p>
        </w:tc>
        <w:tc>
          <w:tcPr>
            <w:tcW w:w="715" w:type="pct"/>
            <w:vAlign w:val="center"/>
          </w:tcPr>
          <w:p w14:paraId="096BEF34">
            <w:pPr>
              <w:pStyle w:val="12"/>
              <w:jc w:val="center"/>
            </w:pPr>
            <w:r>
              <w:rPr>
                <w:rFonts w:hint="eastAsia"/>
              </w:rPr>
              <w:t>—</w:t>
            </w:r>
          </w:p>
        </w:tc>
        <w:tc>
          <w:tcPr>
            <w:tcW w:w="715" w:type="pct"/>
            <w:vAlign w:val="center"/>
          </w:tcPr>
          <w:p w14:paraId="687DD33A">
            <w:pPr>
              <w:pStyle w:val="12"/>
              <w:jc w:val="center"/>
            </w:pPr>
            <w:r>
              <w:rPr>
                <w:rFonts w:hint="eastAsia"/>
              </w:rPr>
              <w:t>13</w:t>
            </w:r>
          </w:p>
        </w:tc>
        <w:tc>
          <w:tcPr>
            <w:tcW w:w="715" w:type="pct"/>
            <w:vAlign w:val="center"/>
          </w:tcPr>
          <w:p w14:paraId="548A8E44">
            <w:pPr>
              <w:pStyle w:val="12"/>
              <w:jc w:val="center"/>
            </w:pPr>
            <w:r>
              <w:rPr>
                <w:rFonts w:hint="eastAsia"/>
              </w:rPr>
              <w:t>—</w:t>
            </w:r>
          </w:p>
        </w:tc>
      </w:tr>
      <w:tr w14:paraId="04D57E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2D00789">
            <w:pPr>
              <w:pStyle w:val="12"/>
              <w:jc w:val="center"/>
            </w:pPr>
            <w:r>
              <w:rPr>
                <w:rFonts w:hint="eastAsia"/>
              </w:rPr>
              <w:t>100岁以上</w:t>
            </w:r>
          </w:p>
        </w:tc>
        <w:tc>
          <w:tcPr>
            <w:tcW w:w="714" w:type="pct"/>
            <w:vAlign w:val="center"/>
          </w:tcPr>
          <w:p w14:paraId="61BA5220">
            <w:pPr>
              <w:pStyle w:val="12"/>
              <w:jc w:val="center"/>
            </w:pPr>
            <w:r>
              <w:rPr>
                <w:rFonts w:hint="eastAsia"/>
              </w:rPr>
              <w:t>—</w:t>
            </w:r>
          </w:p>
        </w:tc>
        <w:tc>
          <w:tcPr>
            <w:tcW w:w="714" w:type="pct"/>
            <w:vAlign w:val="center"/>
          </w:tcPr>
          <w:p w14:paraId="773BF3FA">
            <w:pPr>
              <w:pStyle w:val="12"/>
              <w:jc w:val="center"/>
            </w:pPr>
            <w:r>
              <w:rPr>
                <w:rFonts w:hint="eastAsia"/>
              </w:rPr>
              <w:t>—</w:t>
            </w:r>
          </w:p>
        </w:tc>
        <w:tc>
          <w:tcPr>
            <w:tcW w:w="715" w:type="pct"/>
            <w:vAlign w:val="center"/>
          </w:tcPr>
          <w:p w14:paraId="00E803D1">
            <w:pPr>
              <w:pStyle w:val="12"/>
              <w:jc w:val="center"/>
            </w:pPr>
            <w:r>
              <w:rPr>
                <w:rFonts w:hint="eastAsia"/>
              </w:rPr>
              <w:t>1</w:t>
            </w:r>
          </w:p>
        </w:tc>
        <w:tc>
          <w:tcPr>
            <w:tcW w:w="715" w:type="pct"/>
            <w:vAlign w:val="center"/>
          </w:tcPr>
          <w:p w14:paraId="4B68AB59">
            <w:pPr>
              <w:pStyle w:val="12"/>
              <w:jc w:val="center"/>
            </w:pPr>
            <w:r>
              <w:rPr>
                <w:rFonts w:hint="eastAsia"/>
              </w:rPr>
              <w:t>—</w:t>
            </w:r>
          </w:p>
        </w:tc>
        <w:tc>
          <w:tcPr>
            <w:tcW w:w="715" w:type="pct"/>
            <w:vAlign w:val="center"/>
          </w:tcPr>
          <w:p w14:paraId="24EC39CF">
            <w:pPr>
              <w:pStyle w:val="12"/>
              <w:jc w:val="center"/>
            </w:pPr>
            <w:r>
              <w:rPr>
                <w:rFonts w:hint="eastAsia"/>
              </w:rPr>
              <w:t>1</w:t>
            </w:r>
          </w:p>
        </w:tc>
        <w:tc>
          <w:tcPr>
            <w:tcW w:w="715" w:type="pct"/>
            <w:vAlign w:val="center"/>
          </w:tcPr>
          <w:p w14:paraId="74E339A5">
            <w:pPr>
              <w:pStyle w:val="12"/>
              <w:jc w:val="center"/>
            </w:pPr>
          </w:p>
        </w:tc>
      </w:tr>
      <w:tr w14:paraId="47F0FE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B3AB89E">
            <w:pPr>
              <w:pStyle w:val="12"/>
              <w:jc w:val="center"/>
            </w:pPr>
            <w:r>
              <w:rPr>
                <w:rFonts w:hint="eastAsia"/>
              </w:rPr>
              <w:t>不  详</w:t>
            </w:r>
          </w:p>
        </w:tc>
        <w:tc>
          <w:tcPr>
            <w:tcW w:w="714" w:type="pct"/>
            <w:vAlign w:val="center"/>
          </w:tcPr>
          <w:p w14:paraId="076AE45A">
            <w:pPr>
              <w:pStyle w:val="12"/>
              <w:jc w:val="center"/>
            </w:pPr>
            <w:r>
              <w:rPr>
                <w:rFonts w:hint="eastAsia"/>
              </w:rPr>
              <w:t>—</w:t>
            </w:r>
          </w:p>
        </w:tc>
        <w:tc>
          <w:tcPr>
            <w:tcW w:w="714" w:type="pct"/>
            <w:vAlign w:val="center"/>
          </w:tcPr>
          <w:p w14:paraId="5AD186A5">
            <w:pPr>
              <w:pStyle w:val="12"/>
              <w:jc w:val="center"/>
            </w:pPr>
            <w:r>
              <w:rPr>
                <w:rFonts w:hint="eastAsia"/>
              </w:rPr>
              <w:t>—</w:t>
            </w:r>
          </w:p>
        </w:tc>
        <w:tc>
          <w:tcPr>
            <w:tcW w:w="715" w:type="pct"/>
            <w:vAlign w:val="center"/>
          </w:tcPr>
          <w:p w14:paraId="3DC110A9">
            <w:pPr>
              <w:pStyle w:val="12"/>
              <w:jc w:val="center"/>
            </w:pPr>
            <w:r>
              <w:rPr>
                <w:rFonts w:hint="eastAsia"/>
              </w:rPr>
              <w:t>24</w:t>
            </w:r>
          </w:p>
        </w:tc>
        <w:tc>
          <w:tcPr>
            <w:tcW w:w="715" w:type="pct"/>
            <w:vAlign w:val="center"/>
          </w:tcPr>
          <w:p w14:paraId="342EA20A">
            <w:pPr>
              <w:pStyle w:val="12"/>
              <w:jc w:val="center"/>
            </w:pPr>
            <w:r>
              <w:rPr>
                <w:rFonts w:hint="eastAsia"/>
              </w:rPr>
              <w:t>—</w:t>
            </w:r>
          </w:p>
        </w:tc>
        <w:tc>
          <w:tcPr>
            <w:tcW w:w="715" w:type="pct"/>
            <w:vAlign w:val="center"/>
          </w:tcPr>
          <w:p w14:paraId="667FE8A8">
            <w:pPr>
              <w:pStyle w:val="12"/>
              <w:jc w:val="center"/>
            </w:pPr>
            <w:r>
              <w:rPr>
                <w:rFonts w:hint="eastAsia"/>
              </w:rPr>
              <w:t>—</w:t>
            </w:r>
          </w:p>
        </w:tc>
        <w:tc>
          <w:tcPr>
            <w:tcW w:w="715" w:type="pct"/>
            <w:vAlign w:val="center"/>
          </w:tcPr>
          <w:p w14:paraId="58A1F906">
            <w:pPr>
              <w:pStyle w:val="12"/>
              <w:jc w:val="center"/>
            </w:pPr>
            <w:r>
              <w:rPr>
                <w:rFonts w:hint="eastAsia"/>
              </w:rPr>
              <w:t>—</w:t>
            </w:r>
          </w:p>
        </w:tc>
      </w:tr>
    </w:tbl>
    <w:p w14:paraId="1CB20DE5">
      <w:pPr>
        <w:ind w:firstLine="422"/>
        <w:jc w:val="center"/>
        <w:rPr>
          <w:rFonts w:ascii="宋体" w:hAnsi="宋体" w:cs="宋体"/>
          <w:b/>
          <w:bCs/>
        </w:rPr>
      </w:pPr>
      <w:r>
        <w:rPr>
          <w:rFonts w:hint="eastAsia" w:ascii="宋体" w:hAnsi="宋体" w:cs="宋体"/>
          <w:b/>
          <w:bCs/>
        </w:rPr>
        <w:t>第四、第五次人口普查年龄及性别比分组统计</w:t>
      </w:r>
    </w:p>
    <w:p w14:paraId="15CE9B5A">
      <w:pPr>
        <w:ind w:firstLine="0" w:firstLineChars="0"/>
        <w:rPr>
          <w:rFonts w:ascii="宋体" w:hAnsi="宋体" w:cs="宋体"/>
          <w:b/>
          <w:bCs/>
        </w:rPr>
      </w:pPr>
      <w:r>
        <w:rPr>
          <w:rFonts w:hint="eastAsia" w:ascii="宋体" w:hAnsi="宋体" w:cs="宋体"/>
          <w:b/>
          <w:bCs/>
        </w:rPr>
        <w:t>表6-5</w:t>
      </w:r>
    </w:p>
    <w:p w14:paraId="302F4CCD">
      <w:pPr>
        <w:ind w:firstLine="422"/>
        <w:jc w:val="right"/>
        <w:rPr>
          <w:rFonts w:ascii="宋体" w:hAnsi="宋体" w:cs="宋体"/>
          <w:b/>
          <w:bCs/>
        </w:rPr>
      </w:pPr>
      <w:r>
        <w:rPr>
          <w:rFonts w:hint="eastAsia" w:ascii="宋体" w:hAnsi="宋体" w:cs="宋体"/>
          <w:b/>
          <w:bCs/>
        </w:rPr>
        <w:t>单位：人、%</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22"/>
        <w:gridCol w:w="1422"/>
        <w:gridCol w:w="1422"/>
        <w:gridCol w:w="1425"/>
        <w:gridCol w:w="1425"/>
        <w:gridCol w:w="1425"/>
        <w:gridCol w:w="1421"/>
      </w:tblGrid>
      <w:tr w14:paraId="39706F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Merge w:val="restart"/>
            <w:vAlign w:val="center"/>
          </w:tcPr>
          <w:p w14:paraId="4FF2EB21">
            <w:pPr>
              <w:pStyle w:val="12"/>
              <w:jc w:val="center"/>
              <w:rPr>
                <w:b/>
              </w:rPr>
            </w:pPr>
            <w:r>
              <w:rPr>
                <w:rFonts w:hint="eastAsia"/>
                <w:b/>
              </w:rPr>
              <w:t>年龄别</w:t>
            </w:r>
          </w:p>
        </w:tc>
        <w:tc>
          <w:tcPr>
            <w:tcW w:w="2142" w:type="pct"/>
            <w:gridSpan w:val="3"/>
            <w:vAlign w:val="center"/>
          </w:tcPr>
          <w:p w14:paraId="1E283FD3">
            <w:pPr>
              <w:pStyle w:val="12"/>
              <w:jc w:val="center"/>
              <w:rPr>
                <w:b/>
              </w:rPr>
            </w:pPr>
            <w:r>
              <w:rPr>
                <w:rFonts w:hint="eastAsia"/>
                <w:b/>
              </w:rPr>
              <w:t>第四次人口普查</w:t>
            </w:r>
          </w:p>
        </w:tc>
        <w:tc>
          <w:tcPr>
            <w:tcW w:w="2144" w:type="pct"/>
            <w:gridSpan w:val="3"/>
            <w:vAlign w:val="center"/>
          </w:tcPr>
          <w:p w14:paraId="3C4221A9">
            <w:pPr>
              <w:pStyle w:val="12"/>
              <w:jc w:val="center"/>
              <w:rPr>
                <w:b/>
              </w:rPr>
            </w:pPr>
            <w:r>
              <w:rPr>
                <w:rFonts w:hint="eastAsia"/>
                <w:b/>
              </w:rPr>
              <w:t>第五次人口普查</w:t>
            </w:r>
          </w:p>
        </w:tc>
      </w:tr>
      <w:tr w14:paraId="6EED8B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Merge w:val="continue"/>
            <w:vAlign w:val="center"/>
          </w:tcPr>
          <w:p w14:paraId="2FDB10E9">
            <w:pPr>
              <w:pStyle w:val="12"/>
              <w:jc w:val="center"/>
              <w:rPr>
                <w:b/>
              </w:rPr>
            </w:pPr>
          </w:p>
        </w:tc>
        <w:tc>
          <w:tcPr>
            <w:tcW w:w="714" w:type="pct"/>
            <w:vAlign w:val="center"/>
          </w:tcPr>
          <w:p w14:paraId="4B7627A6">
            <w:pPr>
              <w:pStyle w:val="12"/>
              <w:jc w:val="center"/>
              <w:rPr>
                <w:b/>
              </w:rPr>
            </w:pPr>
            <w:r>
              <w:rPr>
                <w:rFonts w:hint="eastAsia"/>
                <w:b/>
              </w:rPr>
              <w:t>总人口</w:t>
            </w:r>
          </w:p>
        </w:tc>
        <w:tc>
          <w:tcPr>
            <w:tcW w:w="714" w:type="pct"/>
            <w:vAlign w:val="center"/>
          </w:tcPr>
          <w:p w14:paraId="45153A2F">
            <w:pPr>
              <w:pStyle w:val="12"/>
              <w:jc w:val="center"/>
              <w:rPr>
                <w:b/>
              </w:rPr>
            </w:pPr>
            <w:r>
              <w:rPr>
                <w:rFonts w:hint="eastAsia"/>
                <w:b/>
              </w:rPr>
              <w:t>占比</w:t>
            </w:r>
          </w:p>
        </w:tc>
        <w:tc>
          <w:tcPr>
            <w:tcW w:w="715" w:type="pct"/>
            <w:vAlign w:val="center"/>
          </w:tcPr>
          <w:p w14:paraId="21323095">
            <w:pPr>
              <w:pStyle w:val="12"/>
              <w:jc w:val="center"/>
              <w:rPr>
                <w:b/>
              </w:rPr>
            </w:pPr>
            <w:r>
              <w:rPr>
                <w:rFonts w:hint="eastAsia"/>
                <w:b/>
              </w:rPr>
              <w:t>性别比</w:t>
            </w:r>
          </w:p>
          <w:p w14:paraId="3FD43D45">
            <w:pPr>
              <w:pStyle w:val="12"/>
              <w:jc w:val="center"/>
              <w:rPr>
                <w:b/>
              </w:rPr>
            </w:pPr>
            <w:r>
              <w:rPr>
                <w:rFonts w:hint="eastAsia"/>
                <w:b/>
              </w:rPr>
              <w:t>（女=100）</w:t>
            </w:r>
          </w:p>
        </w:tc>
        <w:tc>
          <w:tcPr>
            <w:tcW w:w="715" w:type="pct"/>
            <w:vAlign w:val="center"/>
          </w:tcPr>
          <w:p w14:paraId="26B726AD">
            <w:pPr>
              <w:pStyle w:val="12"/>
              <w:jc w:val="center"/>
              <w:rPr>
                <w:b/>
              </w:rPr>
            </w:pPr>
            <w:r>
              <w:rPr>
                <w:rFonts w:hint="eastAsia"/>
                <w:b/>
              </w:rPr>
              <w:t>总人口</w:t>
            </w:r>
          </w:p>
        </w:tc>
        <w:tc>
          <w:tcPr>
            <w:tcW w:w="715" w:type="pct"/>
            <w:vAlign w:val="center"/>
          </w:tcPr>
          <w:p w14:paraId="5C6B8B04">
            <w:pPr>
              <w:pStyle w:val="12"/>
              <w:jc w:val="center"/>
              <w:rPr>
                <w:b/>
              </w:rPr>
            </w:pPr>
            <w:r>
              <w:rPr>
                <w:rFonts w:hint="eastAsia"/>
                <w:b/>
              </w:rPr>
              <w:t>占比</w:t>
            </w:r>
          </w:p>
        </w:tc>
        <w:tc>
          <w:tcPr>
            <w:tcW w:w="715" w:type="pct"/>
            <w:vAlign w:val="center"/>
          </w:tcPr>
          <w:p w14:paraId="2A506446">
            <w:pPr>
              <w:pStyle w:val="12"/>
              <w:jc w:val="center"/>
              <w:rPr>
                <w:b/>
              </w:rPr>
            </w:pPr>
            <w:r>
              <w:rPr>
                <w:rFonts w:hint="eastAsia"/>
                <w:b/>
              </w:rPr>
              <w:t>性别比</w:t>
            </w:r>
          </w:p>
          <w:p w14:paraId="76B1DE53">
            <w:pPr>
              <w:pStyle w:val="12"/>
              <w:jc w:val="center"/>
              <w:rPr>
                <w:b/>
              </w:rPr>
            </w:pPr>
            <w:r>
              <w:rPr>
                <w:rFonts w:hint="eastAsia"/>
                <w:b/>
              </w:rPr>
              <w:t>（女=100）</w:t>
            </w:r>
          </w:p>
        </w:tc>
      </w:tr>
      <w:tr w14:paraId="693DDE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2ABCCE7D">
            <w:pPr>
              <w:pStyle w:val="12"/>
              <w:jc w:val="center"/>
            </w:pPr>
            <w:r>
              <w:rPr>
                <w:rFonts w:hint="eastAsia"/>
              </w:rPr>
              <w:t>总  计</w:t>
            </w:r>
          </w:p>
        </w:tc>
        <w:tc>
          <w:tcPr>
            <w:tcW w:w="714" w:type="pct"/>
            <w:vAlign w:val="center"/>
          </w:tcPr>
          <w:p w14:paraId="3B41525A">
            <w:pPr>
              <w:pStyle w:val="12"/>
              <w:jc w:val="center"/>
            </w:pPr>
            <w:r>
              <w:rPr>
                <w:rFonts w:hint="eastAsia"/>
              </w:rPr>
              <w:t>434171</w:t>
            </w:r>
          </w:p>
        </w:tc>
        <w:tc>
          <w:tcPr>
            <w:tcW w:w="714" w:type="pct"/>
            <w:vAlign w:val="center"/>
          </w:tcPr>
          <w:p w14:paraId="763CF906">
            <w:pPr>
              <w:pStyle w:val="12"/>
              <w:jc w:val="center"/>
            </w:pPr>
            <w:r>
              <w:rPr>
                <w:rFonts w:hint="eastAsia"/>
              </w:rPr>
              <w:t>100</w:t>
            </w:r>
          </w:p>
        </w:tc>
        <w:tc>
          <w:tcPr>
            <w:tcW w:w="715" w:type="pct"/>
            <w:vAlign w:val="center"/>
          </w:tcPr>
          <w:p w14:paraId="77A393C6">
            <w:pPr>
              <w:pStyle w:val="12"/>
              <w:jc w:val="center"/>
            </w:pPr>
            <w:r>
              <w:rPr>
                <w:rFonts w:hint="eastAsia"/>
              </w:rPr>
              <w:t>100.23</w:t>
            </w:r>
          </w:p>
        </w:tc>
        <w:tc>
          <w:tcPr>
            <w:tcW w:w="715" w:type="pct"/>
            <w:vAlign w:val="center"/>
          </w:tcPr>
          <w:p w14:paraId="3879B74B">
            <w:pPr>
              <w:pStyle w:val="12"/>
              <w:jc w:val="center"/>
            </w:pPr>
            <w:r>
              <w:rPr>
                <w:rFonts w:hint="eastAsia"/>
              </w:rPr>
              <w:t>372844</w:t>
            </w:r>
          </w:p>
        </w:tc>
        <w:tc>
          <w:tcPr>
            <w:tcW w:w="715" w:type="pct"/>
            <w:vAlign w:val="center"/>
          </w:tcPr>
          <w:p w14:paraId="03EFF91C">
            <w:pPr>
              <w:pStyle w:val="12"/>
              <w:jc w:val="center"/>
            </w:pPr>
            <w:r>
              <w:rPr>
                <w:rFonts w:hint="eastAsia"/>
              </w:rPr>
              <w:t>100</w:t>
            </w:r>
          </w:p>
        </w:tc>
        <w:tc>
          <w:tcPr>
            <w:tcW w:w="715" w:type="pct"/>
            <w:vAlign w:val="center"/>
          </w:tcPr>
          <w:p w14:paraId="0FD39DAB">
            <w:pPr>
              <w:pStyle w:val="12"/>
              <w:jc w:val="center"/>
            </w:pPr>
            <w:r>
              <w:rPr>
                <w:rFonts w:hint="eastAsia"/>
              </w:rPr>
              <w:t>98.84</w:t>
            </w:r>
          </w:p>
        </w:tc>
      </w:tr>
      <w:tr w14:paraId="79420B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4C1FA25">
            <w:pPr>
              <w:pStyle w:val="12"/>
              <w:jc w:val="center"/>
            </w:pPr>
            <w:r>
              <w:rPr>
                <w:rFonts w:hint="eastAsia"/>
              </w:rPr>
              <w:t>0岁~4岁</w:t>
            </w:r>
          </w:p>
        </w:tc>
        <w:tc>
          <w:tcPr>
            <w:tcW w:w="714" w:type="pct"/>
            <w:vAlign w:val="center"/>
          </w:tcPr>
          <w:p w14:paraId="0B0F50E2">
            <w:pPr>
              <w:pStyle w:val="12"/>
              <w:jc w:val="center"/>
            </w:pPr>
            <w:r>
              <w:rPr>
                <w:rFonts w:hint="eastAsia"/>
              </w:rPr>
              <w:t>44111</w:t>
            </w:r>
          </w:p>
        </w:tc>
        <w:tc>
          <w:tcPr>
            <w:tcW w:w="714" w:type="pct"/>
            <w:vAlign w:val="center"/>
          </w:tcPr>
          <w:p w14:paraId="7AA4AB64">
            <w:pPr>
              <w:pStyle w:val="12"/>
              <w:jc w:val="center"/>
            </w:pPr>
            <w:r>
              <w:rPr>
                <w:rFonts w:hint="eastAsia"/>
              </w:rPr>
              <w:t>10.16</w:t>
            </w:r>
          </w:p>
        </w:tc>
        <w:tc>
          <w:tcPr>
            <w:tcW w:w="715" w:type="pct"/>
            <w:vAlign w:val="center"/>
          </w:tcPr>
          <w:p w14:paraId="7C6880DF">
            <w:pPr>
              <w:pStyle w:val="12"/>
              <w:jc w:val="center"/>
            </w:pPr>
            <w:r>
              <w:rPr>
                <w:rFonts w:hint="eastAsia"/>
              </w:rPr>
              <w:t>106.93</w:t>
            </w:r>
          </w:p>
        </w:tc>
        <w:tc>
          <w:tcPr>
            <w:tcW w:w="715" w:type="pct"/>
            <w:vAlign w:val="center"/>
          </w:tcPr>
          <w:p w14:paraId="57DFF877">
            <w:pPr>
              <w:pStyle w:val="12"/>
              <w:jc w:val="center"/>
            </w:pPr>
            <w:r>
              <w:rPr>
                <w:rFonts w:hint="eastAsia"/>
              </w:rPr>
              <w:t>27641</w:t>
            </w:r>
          </w:p>
        </w:tc>
        <w:tc>
          <w:tcPr>
            <w:tcW w:w="715" w:type="pct"/>
            <w:vAlign w:val="center"/>
          </w:tcPr>
          <w:p w14:paraId="7379101D">
            <w:pPr>
              <w:pStyle w:val="12"/>
              <w:jc w:val="center"/>
            </w:pPr>
            <w:r>
              <w:rPr>
                <w:rFonts w:hint="eastAsia"/>
              </w:rPr>
              <w:t>7.41</w:t>
            </w:r>
          </w:p>
        </w:tc>
        <w:tc>
          <w:tcPr>
            <w:tcW w:w="715" w:type="pct"/>
            <w:vAlign w:val="center"/>
          </w:tcPr>
          <w:p w14:paraId="48819ECF">
            <w:pPr>
              <w:pStyle w:val="12"/>
              <w:jc w:val="center"/>
            </w:pPr>
            <w:r>
              <w:rPr>
                <w:rFonts w:hint="eastAsia"/>
              </w:rPr>
              <w:t>120.32</w:t>
            </w:r>
          </w:p>
        </w:tc>
      </w:tr>
      <w:tr w14:paraId="2C572A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EC3F3A9">
            <w:pPr>
              <w:pStyle w:val="12"/>
              <w:jc w:val="center"/>
            </w:pPr>
            <w:r>
              <w:rPr>
                <w:rFonts w:hint="eastAsia"/>
              </w:rPr>
              <w:t>0岁</w:t>
            </w:r>
          </w:p>
        </w:tc>
        <w:tc>
          <w:tcPr>
            <w:tcW w:w="714" w:type="pct"/>
            <w:vAlign w:val="center"/>
          </w:tcPr>
          <w:p w14:paraId="22AD6C2F">
            <w:pPr>
              <w:pStyle w:val="12"/>
              <w:jc w:val="center"/>
            </w:pPr>
            <w:r>
              <w:rPr>
                <w:rFonts w:hint="eastAsia"/>
              </w:rPr>
              <w:t>9568</w:t>
            </w:r>
          </w:p>
        </w:tc>
        <w:tc>
          <w:tcPr>
            <w:tcW w:w="714" w:type="pct"/>
            <w:vAlign w:val="center"/>
          </w:tcPr>
          <w:p w14:paraId="37C2F63C">
            <w:pPr>
              <w:pStyle w:val="12"/>
              <w:jc w:val="center"/>
            </w:pPr>
            <w:r>
              <w:rPr>
                <w:rFonts w:hint="eastAsia"/>
              </w:rPr>
              <w:t>2.20</w:t>
            </w:r>
          </w:p>
        </w:tc>
        <w:tc>
          <w:tcPr>
            <w:tcW w:w="715" w:type="pct"/>
            <w:vAlign w:val="center"/>
          </w:tcPr>
          <w:p w14:paraId="1082B6A7">
            <w:pPr>
              <w:pStyle w:val="12"/>
              <w:jc w:val="center"/>
            </w:pPr>
            <w:r>
              <w:rPr>
                <w:rFonts w:hint="eastAsia"/>
              </w:rPr>
              <w:t>109.41</w:t>
            </w:r>
          </w:p>
        </w:tc>
        <w:tc>
          <w:tcPr>
            <w:tcW w:w="715" w:type="pct"/>
            <w:vAlign w:val="center"/>
          </w:tcPr>
          <w:p w14:paraId="6105A380">
            <w:pPr>
              <w:pStyle w:val="12"/>
              <w:jc w:val="center"/>
            </w:pPr>
            <w:r>
              <w:rPr>
                <w:rFonts w:hint="eastAsia"/>
              </w:rPr>
              <w:t>4597</w:t>
            </w:r>
          </w:p>
        </w:tc>
        <w:tc>
          <w:tcPr>
            <w:tcW w:w="715" w:type="pct"/>
            <w:vAlign w:val="center"/>
          </w:tcPr>
          <w:p w14:paraId="0A84AAFA">
            <w:pPr>
              <w:pStyle w:val="12"/>
              <w:jc w:val="center"/>
            </w:pPr>
            <w:r>
              <w:rPr>
                <w:rFonts w:hint="eastAsia"/>
              </w:rPr>
              <w:t>1.23</w:t>
            </w:r>
          </w:p>
        </w:tc>
        <w:tc>
          <w:tcPr>
            <w:tcW w:w="715" w:type="pct"/>
            <w:vAlign w:val="center"/>
          </w:tcPr>
          <w:p w14:paraId="3A16DE90">
            <w:pPr>
              <w:pStyle w:val="12"/>
              <w:jc w:val="center"/>
            </w:pPr>
            <w:r>
              <w:rPr>
                <w:rFonts w:hint="eastAsia"/>
              </w:rPr>
              <w:t>120.37</w:t>
            </w:r>
          </w:p>
        </w:tc>
      </w:tr>
      <w:tr w14:paraId="2DFC6B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55495C2">
            <w:pPr>
              <w:pStyle w:val="12"/>
              <w:jc w:val="center"/>
            </w:pPr>
            <w:r>
              <w:rPr>
                <w:rFonts w:hint="eastAsia"/>
              </w:rPr>
              <w:t>1岁</w:t>
            </w:r>
          </w:p>
        </w:tc>
        <w:tc>
          <w:tcPr>
            <w:tcW w:w="714" w:type="pct"/>
            <w:vAlign w:val="center"/>
          </w:tcPr>
          <w:p w14:paraId="79489491">
            <w:pPr>
              <w:pStyle w:val="12"/>
              <w:jc w:val="center"/>
            </w:pPr>
            <w:r>
              <w:rPr>
                <w:rFonts w:hint="eastAsia"/>
              </w:rPr>
              <w:t>9026</w:t>
            </w:r>
          </w:p>
        </w:tc>
        <w:tc>
          <w:tcPr>
            <w:tcW w:w="714" w:type="pct"/>
            <w:vAlign w:val="center"/>
          </w:tcPr>
          <w:p w14:paraId="474C9FBF">
            <w:pPr>
              <w:pStyle w:val="12"/>
              <w:jc w:val="center"/>
            </w:pPr>
            <w:r>
              <w:rPr>
                <w:rFonts w:hint="eastAsia"/>
              </w:rPr>
              <w:t>2.08</w:t>
            </w:r>
          </w:p>
        </w:tc>
        <w:tc>
          <w:tcPr>
            <w:tcW w:w="715" w:type="pct"/>
            <w:vAlign w:val="center"/>
          </w:tcPr>
          <w:p w14:paraId="3DC1ABD1">
            <w:pPr>
              <w:pStyle w:val="12"/>
              <w:jc w:val="center"/>
            </w:pPr>
            <w:r>
              <w:rPr>
                <w:rFonts w:hint="eastAsia"/>
              </w:rPr>
              <w:t>109.18</w:t>
            </w:r>
          </w:p>
        </w:tc>
        <w:tc>
          <w:tcPr>
            <w:tcW w:w="715" w:type="pct"/>
            <w:vAlign w:val="center"/>
          </w:tcPr>
          <w:p w14:paraId="321E1ACF">
            <w:pPr>
              <w:pStyle w:val="12"/>
              <w:jc w:val="center"/>
            </w:pPr>
            <w:r>
              <w:rPr>
                <w:rFonts w:hint="eastAsia"/>
              </w:rPr>
              <w:t>4393</w:t>
            </w:r>
          </w:p>
        </w:tc>
        <w:tc>
          <w:tcPr>
            <w:tcW w:w="715" w:type="pct"/>
            <w:vAlign w:val="center"/>
          </w:tcPr>
          <w:p w14:paraId="53A120C4">
            <w:pPr>
              <w:pStyle w:val="12"/>
              <w:jc w:val="center"/>
            </w:pPr>
            <w:r>
              <w:rPr>
                <w:rFonts w:hint="eastAsia"/>
              </w:rPr>
              <w:t>1.18</w:t>
            </w:r>
          </w:p>
        </w:tc>
        <w:tc>
          <w:tcPr>
            <w:tcW w:w="715" w:type="pct"/>
            <w:vAlign w:val="center"/>
          </w:tcPr>
          <w:p w14:paraId="62D075EF">
            <w:pPr>
              <w:pStyle w:val="12"/>
              <w:jc w:val="center"/>
            </w:pPr>
            <w:r>
              <w:rPr>
                <w:rFonts w:hint="eastAsia"/>
              </w:rPr>
              <w:t>122.32</w:t>
            </w:r>
          </w:p>
        </w:tc>
      </w:tr>
      <w:tr w14:paraId="064CE3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A4119F8">
            <w:pPr>
              <w:pStyle w:val="12"/>
              <w:jc w:val="center"/>
            </w:pPr>
            <w:r>
              <w:rPr>
                <w:rFonts w:hint="eastAsia"/>
              </w:rPr>
              <w:t>2岁</w:t>
            </w:r>
          </w:p>
        </w:tc>
        <w:tc>
          <w:tcPr>
            <w:tcW w:w="714" w:type="pct"/>
            <w:vAlign w:val="center"/>
          </w:tcPr>
          <w:p w14:paraId="1BC1E191">
            <w:pPr>
              <w:pStyle w:val="12"/>
              <w:jc w:val="center"/>
            </w:pPr>
            <w:r>
              <w:rPr>
                <w:rFonts w:hint="eastAsia"/>
              </w:rPr>
              <w:t>8327</w:t>
            </w:r>
          </w:p>
        </w:tc>
        <w:tc>
          <w:tcPr>
            <w:tcW w:w="714" w:type="pct"/>
            <w:vAlign w:val="center"/>
          </w:tcPr>
          <w:p w14:paraId="630B118C">
            <w:pPr>
              <w:pStyle w:val="12"/>
              <w:jc w:val="center"/>
            </w:pPr>
            <w:r>
              <w:rPr>
                <w:rFonts w:hint="eastAsia"/>
              </w:rPr>
              <w:t>1.92</w:t>
            </w:r>
          </w:p>
        </w:tc>
        <w:tc>
          <w:tcPr>
            <w:tcW w:w="715" w:type="pct"/>
            <w:vAlign w:val="center"/>
          </w:tcPr>
          <w:p w14:paraId="07596D23">
            <w:pPr>
              <w:pStyle w:val="12"/>
              <w:jc w:val="center"/>
            </w:pPr>
            <w:r>
              <w:rPr>
                <w:rFonts w:hint="eastAsia"/>
              </w:rPr>
              <w:t>103.94</w:t>
            </w:r>
          </w:p>
        </w:tc>
        <w:tc>
          <w:tcPr>
            <w:tcW w:w="715" w:type="pct"/>
            <w:vAlign w:val="center"/>
          </w:tcPr>
          <w:p w14:paraId="096FD029">
            <w:pPr>
              <w:pStyle w:val="12"/>
              <w:jc w:val="center"/>
            </w:pPr>
            <w:r>
              <w:rPr>
                <w:rFonts w:hint="eastAsia"/>
              </w:rPr>
              <w:t>5780</w:t>
            </w:r>
          </w:p>
        </w:tc>
        <w:tc>
          <w:tcPr>
            <w:tcW w:w="715" w:type="pct"/>
            <w:vAlign w:val="center"/>
          </w:tcPr>
          <w:p w14:paraId="176051CF">
            <w:pPr>
              <w:pStyle w:val="12"/>
              <w:jc w:val="center"/>
            </w:pPr>
            <w:r>
              <w:rPr>
                <w:rFonts w:hint="eastAsia"/>
              </w:rPr>
              <w:t>1.55</w:t>
            </w:r>
          </w:p>
        </w:tc>
        <w:tc>
          <w:tcPr>
            <w:tcW w:w="715" w:type="pct"/>
            <w:vAlign w:val="center"/>
          </w:tcPr>
          <w:p w14:paraId="1ACEB637">
            <w:pPr>
              <w:pStyle w:val="12"/>
              <w:jc w:val="center"/>
            </w:pPr>
            <w:r>
              <w:rPr>
                <w:rFonts w:hint="eastAsia"/>
              </w:rPr>
              <w:t>123.77</w:t>
            </w:r>
          </w:p>
        </w:tc>
      </w:tr>
      <w:tr w14:paraId="46F403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12FF821">
            <w:pPr>
              <w:pStyle w:val="12"/>
              <w:jc w:val="center"/>
            </w:pPr>
            <w:r>
              <w:rPr>
                <w:rFonts w:hint="eastAsia"/>
              </w:rPr>
              <w:t>3岁</w:t>
            </w:r>
          </w:p>
        </w:tc>
        <w:tc>
          <w:tcPr>
            <w:tcW w:w="714" w:type="pct"/>
            <w:vAlign w:val="center"/>
          </w:tcPr>
          <w:p w14:paraId="631266B8">
            <w:pPr>
              <w:pStyle w:val="12"/>
              <w:jc w:val="center"/>
            </w:pPr>
            <w:r>
              <w:rPr>
                <w:rFonts w:hint="eastAsia"/>
              </w:rPr>
              <w:t>8992</w:t>
            </w:r>
          </w:p>
        </w:tc>
        <w:tc>
          <w:tcPr>
            <w:tcW w:w="714" w:type="pct"/>
            <w:vAlign w:val="center"/>
          </w:tcPr>
          <w:p w14:paraId="62DFB098">
            <w:pPr>
              <w:pStyle w:val="12"/>
              <w:jc w:val="center"/>
            </w:pPr>
            <w:r>
              <w:rPr>
                <w:rFonts w:hint="eastAsia"/>
              </w:rPr>
              <w:t>2.07</w:t>
            </w:r>
          </w:p>
        </w:tc>
        <w:tc>
          <w:tcPr>
            <w:tcW w:w="715" w:type="pct"/>
            <w:vAlign w:val="center"/>
          </w:tcPr>
          <w:p w14:paraId="29621AD0">
            <w:pPr>
              <w:pStyle w:val="12"/>
              <w:jc w:val="center"/>
            </w:pPr>
            <w:r>
              <w:rPr>
                <w:rFonts w:hint="eastAsia"/>
              </w:rPr>
              <w:t>104.74</w:t>
            </w:r>
          </w:p>
        </w:tc>
        <w:tc>
          <w:tcPr>
            <w:tcW w:w="715" w:type="pct"/>
            <w:vAlign w:val="center"/>
          </w:tcPr>
          <w:p w14:paraId="450A96B2">
            <w:pPr>
              <w:pStyle w:val="12"/>
              <w:jc w:val="center"/>
            </w:pPr>
            <w:r>
              <w:rPr>
                <w:rFonts w:hint="eastAsia"/>
              </w:rPr>
              <w:t>6535</w:t>
            </w:r>
          </w:p>
        </w:tc>
        <w:tc>
          <w:tcPr>
            <w:tcW w:w="715" w:type="pct"/>
            <w:vAlign w:val="center"/>
          </w:tcPr>
          <w:p w14:paraId="68619C12">
            <w:pPr>
              <w:pStyle w:val="12"/>
              <w:jc w:val="center"/>
            </w:pPr>
            <w:r>
              <w:rPr>
                <w:rFonts w:hint="eastAsia"/>
              </w:rPr>
              <w:t>1.75</w:t>
            </w:r>
          </w:p>
        </w:tc>
        <w:tc>
          <w:tcPr>
            <w:tcW w:w="715" w:type="pct"/>
            <w:vAlign w:val="center"/>
          </w:tcPr>
          <w:p w14:paraId="4187142D">
            <w:pPr>
              <w:pStyle w:val="12"/>
              <w:jc w:val="center"/>
            </w:pPr>
            <w:r>
              <w:rPr>
                <w:rFonts w:hint="eastAsia"/>
              </w:rPr>
              <w:t>119.81</w:t>
            </w:r>
          </w:p>
        </w:tc>
      </w:tr>
      <w:tr w14:paraId="2FE180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2DE2F1F6">
            <w:pPr>
              <w:pStyle w:val="12"/>
              <w:jc w:val="center"/>
            </w:pPr>
            <w:r>
              <w:rPr>
                <w:rFonts w:hint="eastAsia"/>
              </w:rPr>
              <w:t>4岁</w:t>
            </w:r>
          </w:p>
        </w:tc>
        <w:tc>
          <w:tcPr>
            <w:tcW w:w="714" w:type="pct"/>
            <w:vAlign w:val="center"/>
          </w:tcPr>
          <w:p w14:paraId="1AD7AF29">
            <w:pPr>
              <w:pStyle w:val="12"/>
              <w:jc w:val="center"/>
            </w:pPr>
            <w:r>
              <w:rPr>
                <w:rFonts w:hint="eastAsia"/>
              </w:rPr>
              <w:t>8198</w:t>
            </w:r>
          </w:p>
        </w:tc>
        <w:tc>
          <w:tcPr>
            <w:tcW w:w="714" w:type="pct"/>
            <w:vAlign w:val="center"/>
          </w:tcPr>
          <w:p w14:paraId="5FB99774">
            <w:pPr>
              <w:pStyle w:val="12"/>
              <w:jc w:val="center"/>
            </w:pPr>
            <w:r>
              <w:rPr>
                <w:rFonts w:hint="eastAsia"/>
              </w:rPr>
              <w:t>1.89</w:t>
            </w:r>
          </w:p>
        </w:tc>
        <w:tc>
          <w:tcPr>
            <w:tcW w:w="715" w:type="pct"/>
            <w:vAlign w:val="center"/>
          </w:tcPr>
          <w:p w14:paraId="5076FCF0">
            <w:pPr>
              <w:pStyle w:val="12"/>
              <w:jc w:val="center"/>
            </w:pPr>
            <w:r>
              <w:rPr>
                <w:rFonts w:hint="eastAsia"/>
              </w:rPr>
              <w:t>107.12</w:t>
            </w:r>
          </w:p>
        </w:tc>
        <w:tc>
          <w:tcPr>
            <w:tcW w:w="715" w:type="pct"/>
            <w:vAlign w:val="center"/>
          </w:tcPr>
          <w:p w14:paraId="535C4B8E">
            <w:pPr>
              <w:pStyle w:val="12"/>
              <w:jc w:val="center"/>
            </w:pPr>
            <w:r>
              <w:rPr>
                <w:rFonts w:hint="eastAsia"/>
              </w:rPr>
              <w:t>6336</w:t>
            </w:r>
          </w:p>
        </w:tc>
        <w:tc>
          <w:tcPr>
            <w:tcW w:w="715" w:type="pct"/>
            <w:vAlign w:val="center"/>
          </w:tcPr>
          <w:p w14:paraId="45D82A0F">
            <w:pPr>
              <w:pStyle w:val="12"/>
              <w:jc w:val="center"/>
            </w:pPr>
            <w:r>
              <w:rPr>
                <w:rFonts w:hint="eastAsia"/>
              </w:rPr>
              <w:t>1.70</w:t>
            </w:r>
          </w:p>
        </w:tc>
        <w:tc>
          <w:tcPr>
            <w:tcW w:w="715" w:type="pct"/>
            <w:vAlign w:val="center"/>
          </w:tcPr>
          <w:p w14:paraId="2BACB1CA">
            <w:pPr>
              <w:pStyle w:val="12"/>
              <w:jc w:val="center"/>
            </w:pPr>
            <w:r>
              <w:rPr>
                <w:rFonts w:hint="eastAsia"/>
              </w:rPr>
              <w:t>116.39</w:t>
            </w:r>
          </w:p>
        </w:tc>
      </w:tr>
      <w:tr w14:paraId="70E664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65BDBD8">
            <w:pPr>
              <w:pStyle w:val="12"/>
              <w:jc w:val="center"/>
            </w:pPr>
            <w:r>
              <w:rPr>
                <w:rFonts w:hint="eastAsia"/>
              </w:rPr>
              <w:t>5岁~9岁</w:t>
            </w:r>
          </w:p>
        </w:tc>
        <w:tc>
          <w:tcPr>
            <w:tcW w:w="714" w:type="pct"/>
            <w:vAlign w:val="center"/>
          </w:tcPr>
          <w:p w14:paraId="0C72A871">
            <w:pPr>
              <w:pStyle w:val="12"/>
              <w:jc w:val="center"/>
            </w:pPr>
            <w:r>
              <w:rPr>
                <w:rFonts w:hint="eastAsia"/>
              </w:rPr>
              <w:t>42723</w:t>
            </w:r>
          </w:p>
        </w:tc>
        <w:tc>
          <w:tcPr>
            <w:tcW w:w="714" w:type="pct"/>
            <w:vAlign w:val="center"/>
          </w:tcPr>
          <w:p w14:paraId="318880D6">
            <w:pPr>
              <w:pStyle w:val="12"/>
              <w:jc w:val="center"/>
            </w:pPr>
            <w:r>
              <w:rPr>
                <w:rFonts w:hint="eastAsia"/>
              </w:rPr>
              <w:t>9.84</w:t>
            </w:r>
          </w:p>
        </w:tc>
        <w:tc>
          <w:tcPr>
            <w:tcW w:w="715" w:type="pct"/>
            <w:vAlign w:val="center"/>
          </w:tcPr>
          <w:p w14:paraId="63CACADF">
            <w:pPr>
              <w:pStyle w:val="12"/>
              <w:jc w:val="center"/>
            </w:pPr>
            <w:r>
              <w:rPr>
                <w:rFonts w:hint="eastAsia"/>
              </w:rPr>
              <w:t>108.59</w:t>
            </w:r>
          </w:p>
        </w:tc>
        <w:tc>
          <w:tcPr>
            <w:tcW w:w="715" w:type="pct"/>
            <w:vAlign w:val="center"/>
          </w:tcPr>
          <w:p w14:paraId="4BD49CD5">
            <w:pPr>
              <w:pStyle w:val="12"/>
              <w:jc w:val="center"/>
            </w:pPr>
            <w:r>
              <w:rPr>
                <w:rFonts w:hint="eastAsia"/>
              </w:rPr>
              <w:t>34642</w:t>
            </w:r>
          </w:p>
        </w:tc>
        <w:tc>
          <w:tcPr>
            <w:tcW w:w="715" w:type="pct"/>
            <w:vAlign w:val="center"/>
          </w:tcPr>
          <w:p w14:paraId="39A7D329">
            <w:pPr>
              <w:pStyle w:val="12"/>
              <w:jc w:val="center"/>
            </w:pPr>
            <w:r>
              <w:rPr>
                <w:rFonts w:hint="eastAsia"/>
              </w:rPr>
              <w:t>9.29</w:t>
            </w:r>
          </w:p>
        </w:tc>
        <w:tc>
          <w:tcPr>
            <w:tcW w:w="715" w:type="pct"/>
            <w:vAlign w:val="center"/>
          </w:tcPr>
          <w:p w14:paraId="6C359C34">
            <w:pPr>
              <w:pStyle w:val="12"/>
              <w:jc w:val="center"/>
            </w:pPr>
            <w:r>
              <w:rPr>
                <w:rFonts w:hint="eastAsia"/>
              </w:rPr>
              <w:t>118.80</w:t>
            </w:r>
          </w:p>
        </w:tc>
      </w:tr>
      <w:tr w14:paraId="196A5B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226D17B">
            <w:pPr>
              <w:pStyle w:val="12"/>
              <w:jc w:val="center"/>
            </w:pPr>
            <w:r>
              <w:rPr>
                <w:rFonts w:hint="eastAsia"/>
              </w:rPr>
              <w:t>5岁</w:t>
            </w:r>
          </w:p>
        </w:tc>
        <w:tc>
          <w:tcPr>
            <w:tcW w:w="714" w:type="pct"/>
            <w:vAlign w:val="center"/>
          </w:tcPr>
          <w:p w14:paraId="1F5A703D">
            <w:pPr>
              <w:pStyle w:val="12"/>
              <w:jc w:val="center"/>
            </w:pPr>
            <w:r>
              <w:rPr>
                <w:rFonts w:hint="eastAsia"/>
              </w:rPr>
              <w:t>8277</w:t>
            </w:r>
          </w:p>
        </w:tc>
        <w:tc>
          <w:tcPr>
            <w:tcW w:w="714" w:type="pct"/>
            <w:vAlign w:val="center"/>
          </w:tcPr>
          <w:p w14:paraId="5DB6B3D5">
            <w:pPr>
              <w:pStyle w:val="12"/>
              <w:jc w:val="center"/>
            </w:pPr>
            <w:r>
              <w:rPr>
                <w:rFonts w:hint="eastAsia"/>
              </w:rPr>
              <w:t>1.91</w:t>
            </w:r>
          </w:p>
        </w:tc>
        <w:tc>
          <w:tcPr>
            <w:tcW w:w="715" w:type="pct"/>
            <w:vAlign w:val="center"/>
          </w:tcPr>
          <w:p w14:paraId="467283C6">
            <w:pPr>
              <w:pStyle w:val="12"/>
              <w:jc w:val="center"/>
            </w:pPr>
            <w:r>
              <w:rPr>
                <w:rFonts w:hint="eastAsia"/>
              </w:rPr>
              <w:t>112.45</w:t>
            </w:r>
          </w:p>
        </w:tc>
        <w:tc>
          <w:tcPr>
            <w:tcW w:w="715" w:type="pct"/>
            <w:vAlign w:val="center"/>
          </w:tcPr>
          <w:p w14:paraId="0C1B9BC6">
            <w:pPr>
              <w:pStyle w:val="12"/>
              <w:jc w:val="center"/>
            </w:pPr>
            <w:r>
              <w:rPr>
                <w:rFonts w:hint="eastAsia"/>
              </w:rPr>
              <w:t>6400</w:t>
            </w:r>
          </w:p>
        </w:tc>
        <w:tc>
          <w:tcPr>
            <w:tcW w:w="715" w:type="pct"/>
            <w:vAlign w:val="center"/>
          </w:tcPr>
          <w:p w14:paraId="53225EDA">
            <w:pPr>
              <w:pStyle w:val="12"/>
              <w:jc w:val="center"/>
            </w:pPr>
            <w:r>
              <w:rPr>
                <w:rFonts w:hint="eastAsia"/>
              </w:rPr>
              <w:t>1.72</w:t>
            </w:r>
          </w:p>
        </w:tc>
        <w:tc>
          <w:tcPr>
            <w:tcW w:w="715" w:type="pct"/>
            <w:vAlign w:val="center"/>
          </w:tcPr>
          <w:p w14:paraId="77E0B71D">
            <w:pPr>
              <w:pStyle w:val="12"/>
              <w:jc w:val="center"/>
            </w:pPr>
            <w:r>
              <w:rPr>
                <w:rFonts w:hint="eastAsia"/>
              </w:rPr>
              <w:t>123.31</w:t>
            </w:r>
          </w:p>
        </w:tc>
      </w:tr>
      <w:tr w14:paraId="05B9BE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4A5F71A7">
            <w:pPr>
              <w:pStyle w:val="12"/>
              <w:jc w:val="center"/>
            </w:pPr>
            <w:r>
              <w:rPr>
                <w:rFonts w:hint="eastAsia"/>
              </w:rPr>
              <w:t>6岁</w:t>
            </w:r>
          </w:p>
        </w:tc>
        <w:tc>
          <w:tcPr>
            <w:tcW w:w="714" w:type="pct"/>
            <w:vAlign w:val="center"/>
          </w:tcPr>
          <w:p w14:paraId="7612F6A3">
            <w:pPr>
              <w:pStyle w:val="12"/>
              <w:jc w:val="center"/>
            </w:pPr>
            <w:r>
              <w:rPr>
                <w:rFonts w:hint="eastAsia"/>
              </w:rPr>
              <w:t>8223</w:t>
            </w:r>
          </w:p>
        </w:tc>
        <w:tc>
          <w:tcPr>
            <w:tcW w:w="714" w:type="pct"/>
            <w:vAlign w:val="center"/>
          </w:tcPr>
          <w:p w14:paraId="111E87E1">
            <w:pPr>
              <w:pStyle w:val="12"/>
              <w:jc w:val="center"/>
            </w:pPr>
            <w:r>
              <w:rPr>
                <w:rFonts w:hint="eastAsia"/>
              </w:rPr>
              <w:t>1.89</w:t>
            </w:r>
          </w:p>
        </w:tc>
        <w:tc>
          <w:tcPr>
            <w:tcW w:w="715" w:type="pct"/>
            <w:vAlign w:val="center"/>
          </w:tcPr>
          <w:p w14:paraId="748C52A5">
            <w:pPr>
              <w:pStyle w:val="12"/>
              <w:jc w:val="center"/>
            </w:pPr>
            <w:r>
              <w:rPr>
                <w:rFonts w:hint="eastAsia"/>
              </w:rPr>
              <w:t>108.81</w:t>
            </w:r>
          </w:p>
        </w:tc>
        <w:tc>
          <w:tcPr>
            <w:tcW w:w="715" w:type="pct"/>
            <w:vAlign w:val="center"/>
          </w:tcPr>
          <w:p w14:paraId="1072DF8F">
            <w:pPr>
              <w:pStyle w:val="12"/>
              <w:jc w:val="center"/>
            </w:pPr>
            <w:r>
              <w:rPr>
                <w:rFonts w:hint="eastAsia"/>
              </w:rPr>
              <w:t>6088</w:t>
            </w:r>
          </w:p>
        </w:tc>
        <w:tc>
          <w:tcPr>
            <w:tcW w:w="715" w:type="pct"/>
            <w:vAlign w:val="center"/>
          </w:tcPr>
          <w:p w14:paraId="08A7F502">
            <w:pPr>
              <w:pStyle w:val="12"/>
              <w:jc w:val="center"/>
            </w:pPr>
            <w:r>
              <w:rPr>
                <w:rFonts w:hint="eastAsia"/>
              </w:rPr>
              <w:t>1.63</w:t>
            </w:r>
          </w:p>
        </w:tc>
        <w:tc>
          <w:tcPr>
            <w:tcW w:w="715" w:type="pct"/>
            <w:vAlign w:val="center"/>
          </w:tcPr>
          <w:p w14:paraId="04A289A4">
            <w:pPr>
              <w:pStyle w:val="12"/>
              <w:jc w:val="center"/>
            </w:pPr>
            <w:r>
              <w:rPr>
                <w:rFonts w:hint="eastAsia"/>
              </w:rPr>
              <w:t>122.60</w:t>
            </w:r>
          </w:p>
        </w:tc>
      </w:tr>
      <w:tr w14:paraId="68A194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3A165E2">
            <w:pPr>
              <w:pStyle w:val="12"/>
              <w:jc w:val="center"/>
            </w:pPr>
            <w:r>
              <w:rPr>
                <w:rFonts w:hint="eastAsia"/>
              </w:rPr>
              <w:t>7岁</w:t>
            </w:r>
          </w:p>
        </w:tc>
        <w:tc>
          <w:tcPr>
            <w:tcW w:w="714" w:type="pct"/>
            <w:vAlign w:val="center"/>
          </w:tcPr>
          <w:p w14:paraId="4251777A">
            <w:pPr>
              <w:pStyle w:val="12"/>
              <w:jc w:val="center"/>
            </w:pPr>
            <w:r>
              <w:rPr>
                <w:rFonts w:hint="eastAsia"/>
              </w:rPr>
              <w:t>8653</w:t>
            </w:r>
          </w:p>
        </w:tc>
        <w:tc>
          <w:tcPr>
            <w:tcW w:w="714" w:type="pct"/>
            <w:vAlign w:val="center"/>
          </w:tcPr>
          <w:p w14:paraId="5EEA23FA">
            <w:pPr>
              <w:pStyle w:val="12"/>
              <w:jc w:val="center"/>
            </w:pPr>
            <w:r>
              <w:rPr>
                <w:rFonts w:hint="eastAsia"/>
              </w:rPr>
              <w:t>1.99</w:t>
            </w:r>
          </w:p>
        </w:tc>
        <w:tc>
          <w:tcPr>
            <w:tcW w:w="715" w:type="pct"/>
            <w:vAlign w:val="center"/>
          </w:tcPr>
          <w:p w14:paraId="10BDE318">
            <w:pPr>
              <w:pStyle w:val="12"/>
              <w:jc w:val="center"/>
            </w:pPr>
            <w:r>
              <w:rPr>
                <w:rFonts w:hint="eastAsia"/>
              </w:rPr>
              <w:t>105.49</w:t>
            </w:r>
          </w:p>
        </w:tc>
        <w:tc>
          <w:tcPr>
            <w:tcW w:w="715" w:type="pct"/>
            <w:vAlign w:val="center"/>
          </w:tcPr>
          <w:p w14:paraId="643A54A9">
            <w:pPr>
              <w:pStyle w:val="12"/>
              <w:jc w:val="center"/>
            </w:pPr>
            <w:r>
              <w:rPr>
                <w:rFonts w:hint="eastAsia"/>
              </w:rPr>
              <w:t>7104</w:t>
            </w:r>
          </w:p>
        </w:tc>
        <w:tc>
          <w:tcPr>
            <w:tcW w:w="715" w:type="pct"/>
            <w:vAlign w:val="center"/>
          </w:tcPr>
          <w:p w14:paraId="1CB1E891">
            <w:pPr>
              <w:pStyle w:val="12"/>
              <w:jc w:val="center"/>
            </w:pPr>
            <w:r>
              <w:rPr>
                <w:rFonts w:hint="eastAsia"/>
              </w:rPr>
              <w:t>1.91</w:t>
            </w:r>
          </w:p>
        </w:tc>
        <w:tc>
          <w:tcPr>
            <w:tcW w:w="715" w:type="pct"/>
            <w:vAlign w:val="center"/>
          </w:tcPr>
          <w:p w14:paraId="2D43EC15">
            <w:pPr>
              <w:pStyle w:val="12"/>
              <w:jc w:val="center"/>
            </w:pPr>
            <w:r>
              <w:rPr>
                <w:rFonts w:hint="eastAsia"/>
              </w:rPr>
              <w:t>119.26</w:t>
            </w:r>
          </w:p>
        </w:tc>
      </w:tr>
      <w:tr w14:paraId="330114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52B7EEC">
            <w:pPr>
              <w:pStyle w:val="12"/>
              <w:jc w:val="center"/>
            </w:pPr>
            <w:r>
              <w:rPr>
                <w:rFonts w:hint="eastAsia"/>
              </w:rPr>
              <w:t>8岁</w:t>
            </w:r>
          </w:p>
        </w:tc>
        <w:tc>
          <w:tcPr>
            <w:tcW w:w="714" w:type="pct"/>
            <w:vAlign w:val="center"/>
          </w:tcPr>
          <w:p w14:paraId="45AECF23">
            <w:pPr>
              <w:pStyle w:val="12"/>
              <w:jc w:val="center"/>
            </w:pPr>
            <w:r>
              <w:rPr>
                <w:rFonts w:hint="eastAsia"/>
              </w:rPr>
              <w:t>9218</w:t>
            </w:r>
          </w:p>
        </w:tc>
        <w:tc>
          <w:tcPr>
            <w:tcW w:w="714" w:type="pct"/>
            <w:vAlign w:val="center"/>
          </w:tcPr>
          <w:p w14:paraId="155656E4">
            <w:pPr>
              <w:pStyle w:val="12"/>
              <w:jc w:val="center"/>
            </w:pPr>
            <w:r>
              <w:rPr>
                <w:rFonts w:hint="eastAsia"/>
              </w:rPr>
              <w:t>2.12</w:t>
            </w:r>
          </w:p>
        </w:tc>
        <w:tc>
          <w:tcPr>
            <w:tcW w:w="715" w:type="pct"/>
            <w:vAlign w:val="center"/>
          </w:tcPr>
          <w:p w14:paraId="799C03D5">
            <w:pPr>
              <w:pStyle w:val="12"/>
              <w:jc w:val="center"/>
            </w:pPr>
            <w:r>
              <w:rPr>
                <w:rFonts w:hint="eastAsia"/>
              </w:rPr>
              <w:t>110.89</w:t>
            </w:r>
          </w:p>
        </w:tc>
        <w:tc>
          <w:tcPr>
            <w:tcW w:w="715" w:type="pct"/>
            <w:vAlign w:val="center"/>
          </w:tcPr>
          <w:p w14:paraId="1238A74E">
            <w:pPr>
              <w:pStyle w:val="12"/>
              <w:jc w:val="center"/>
            </w:pPr>
            <w:r>
              <w:rPr>
                <w:rFonts w:hint="eastAsia"/>
              </w:rPr>
              <w:t>7144</w:t>
            </w:r>
          </w:p>
        </w:tc>
        <w:tc>
          <w:tcPr>
            <w:tcW w:w="715" w:type="pct"/>
            <w:vAlign w:val="center"/>
          </w:tcPr>
          <w:p w14:paraId="7229CABB">
            <w:pPr>
              <w:pStyle w:val="12"/>
              <w:jc w:val="center"/>
            </w:pPr>
            <w:r>
              <w:rPr>
                <w:rFonts w:hint="eastAsia"/>
              </w:rPr>
              <w:t>1.92</w:t>
            </w:r>
          </w:p>
        </w:tc>
        <w:tc>
          <w:tcPr>
            <w:tcW w:w="715" w:type="pct"/>
            <w:vAlign w:val="center"/>
          </w:tcPr>
          <w:p w14:paraId="58924B30">
            <w:pPr>
              <w:pStyle w:val="12"/>
              <w:jc w:val="center"/>
            </w:pPr>
            <w:r>
              <w:rPr>
                <w:rFonts w:hint="eastAsia"/>
              </w:rPr>
              <w:t>120.22</w:t>
            </w:r>
          </w:p>
        </w:tc>
      </w:tr>
      <w:tr w14:paraId="7D0E1C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4AAD2CB">
            <w:pPr>
              <w:pStyle w:val="12"/>
              <w:jc w:val="center"/>
            </w:pPr>
            <w:r>
              <w:rPr>
                <w:rFonts w:hint="eastAsia"/>
              </w:rPr>
              <w:t>9岁</w:t>
            </w:r>
          </w:p>
        </w:tc>
        <w:tc>
          <w:tcPr>
            <w:tcW w:w="714" w:type="pct"/>
            <w:vAlign w:val="center"/>
          </w:tcPr>
          <w:p w14:paraId="023AA96A">
            <w:pPr>
              <w:pStyle w:val="12"/>
              <w:jc w:val="center"/>
            </w:pPr>
            <w:r>
              <w:rPr>
                <w:rFonts w:hint="eastAsia"/>
              </w:rPr>
              <w:t>8352</w:t>
            </w:r>
          </w:p>
        </w:tc>
        <w:tc>
          <w:tcPr>
            <w:tcW w:w="714" w:type="pct"/>
            <w:vAlign w:val="center"/>
          </w:tcPr>
          <w:p w14:paraId="7FE23ACA">
            <w:pPr>
              <w:pStyle w:val="12"/>
              <w:jc w:val="center"/>
            </w:pPr>
            <w:r>
              <w:rPr>
                <w:rFonts w:hint="eastAsia"/>
              </w:rPr>
              <w:t>1.92</w:t>
            </w:r>
          </w:p>
        </w:tc>
        <w:tc>
          <w:tcPr>
            <w:tcW w:w="715" w:type="pct"/>
            <w:vAlign w:val="center"/>
          </w:tcPr>
          <w:p w14:paraId="08FAFA97">
            <w:pPr>
              <w:pStyle w:val="12"/>
              <w:jc w:val="center"/>
            </w:pPr>
            <w:r>
              <w:rPr>
                <w:rFonts w:hint="eastAsia"/>
              </w:rPr>
              <w:t>105.41</w:t>
            </w:r>
          </w:p>
        </w:tc>
        <w:tc>
          <w:tcPr>
            <w:tcW w:w="715" w:type="pct"/>
            <w:vAlign w:val="center"/>
          </w:tcPr>
          <w:p w14:paraId="1FE53AAE">
            <w:pPr>
              <w:pStyle w:val="12"/>
              <w:jc w:val="center"/>
            </w:pPr>
            <w:r>
              <w:rPr>
                <w:rFonts w:hint="eastAsia"/>
              </w:rPr>
              <w:t>7906</w:t>
            </w:r>
          </w:p>
        </w:tc>
        <w:tc>
          <w:tcPr>
            <w:tcW w:w="715" w:type="pct"/>
            <w:vAlign w:val="center"/>
          </w:tcPr>
          <w:p w14:paraId="45A2E257">
            <w:pPr>
              <w:pStyle w:val="12"/>
              <w:jc w:val="center"/>
            </w:pPr>
            <w:r>
              <w:rPr>
                <w:rFonts w:hint="eastAsia"/>
              </w:rPr>
              <w:t>2.12</w:t>
            </w:r>
          </w:p>
        </w:tc>
        <w:tc>
          <w:tcPr>
            <w:tcW w:w="715" w:type="pct"/>
            <w:vAlign w:val="center"/>
          </w:tcPr>
          <w:p w14:paraId="3DF787EC">
            <w:pPr>
              <w:pStyle w:val="12"/>
              <w:jc w:val="center"/>
            </w:pPr>
            <w:r>
              <w:rPr>
                <w:rFonts w:hint="eastAsia"/>
              </w:rPr>
              <w:t>110.94</w:t>
            </w:r>
          </w:p>
        </w:tc>
      </w:tr>
      <w:tr w14:paraId="4E0301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46A88811">
            <w:pPr>
              <w:pStyle w:val="12"/>
              <w:jc w:val="center"/>
            </w:pPr>
            <w:r>
              <w:rPr>
                <w:rFonts w:hint="eastAsia"/>
              </w:rPr>
              <w:t>10岁~14岁</w:t>
            </w:r>
          </w:p>
        </w:tc>
        <w:tc>
          <w:tcPr>
            <w:tcW w:w="714" w:type="pct"/>
            <w:vAlign w:val="center"/>
          </w:tcPr>
          <w:p w14:paraId="7B752EB4">
            <w:pPr>
              <w:pStyle w:val="12"/>
              <w:jc w:val="center"/>
            </w:pPr>
            <w:r>
              <w:rPr>
                <w:rFonts w:hint="eastAsia"/>
              </w:rPr>
              <w:t>46513</w:t>
            </w:r>
          </w:p>
        </w:tc>
        <w:tc>
          <w:tcPr>
            <w:tcW w:w="714" w:type="pct"/>
            <w:vAlign w:val="center"/>
          </w:tcPr>
          <w:p w14:paraId="0BB234C1">
            <w:pPr>
              <w:pStyle w:val="12"/>
              <w:jc w:val="center"/>
            </w:pPr>
            <w:r>
              <w:rPr>
                <w:rFonts w:hint="eastAsia"/>
              </w:rPr>
              <w:t>10.71</w:t>
            </w:r>
          </w:p>
        </w:tc>
        <w:tc>
          <w:tcPr>
            <w:tcW w:w="715" w:type="pct"/>
            <w:vAlign w:val="center"/>
          </w:tcPr>
          <w:p w14:paraId="5699EEA3">
            <w:pPr>
              <w:pStyle w:val="12"/>
              <w:jc w:val="center"/>
            </w:pPr>
            <w:r>
              <w:rPr>
                <w:rFonts w:hint="eastAsia"/>
              </w:rPr>
              <w:t>106.69</w:t>
            </w:r>
          </w:p>
        </w:tc>
        <w:tc>
          <w:tcPr>
            <w:tcW w:w="715" w:type="pct"/>
            <w:vAlign w:val="center"/>
          </w:tcPr>
          <w:p w14:paraId="4DB88D11">
            <w:pPr>
              <w:pStyle w:val="12"/>
              <w:jc w:val="center"/>
            </w:pPr>
            <w:r>
              <w:rPr>
                <w:rFonts w:hint="eastAsia"/>
              </w:rPr>
              <w:t>43210</w:t>
            </w:r>
          </w:p>
        </w:tc>
        <w:tc>
          <w:tcPr>
            <w:tcW w:w="715" w:type="pct"/>
            <w:vAlign w:val="center"/>
          </w:tcPr>
          <w:p w14:paraId="249EA4B5">
            <w:pPr>
              <w:pStyle w:val="12"/>
              <w:jc w:val="center"/>
            </w:pPr>
            <w:r>
              <w:rPr>
                <w:rFonts w:hint="eastAsia"/>
              </w:rPr>
              <w:t>11.59</w:t>
            </w:r>
          </w:p>
        </w:tc>
        <w:tc>
          <w:tcPr>
            <w:tcW w:w="715" w:type="pct"/>
            <w:vAlign w:val="center"/>
          </w:tcPr>
          <w:p w14:paraId="4AB7B626">
            <w:pPr>
              <w:pStyle w:val="12"/>
              <w:jc w:val="center"/>
            </w:pPr>
            <w:r>
              <w:rPr>
                <w:rFonts w:hint="eastAsia"/>
              </w:rPr>
              <w:t>106.74</w:t>
            </w:r>
          </w:p>
        </w:tc>
      </w:tr>
      <w:tr w14:paraId="177B7DA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61808D8">
            <w:pPr>
              <w:pStyle w:val="12"/>
              <w:jc w:val="center"/>
            </w:pPr>
            <w:r>
              <w:rPr>
                <w:rFonts w:hint="eastAsia"/>
              </w:rPr>
              <w:t>10岁</w:t>
            </w:r>
          </w:p>
        </w:tc>
        <w:tc>
          <w:tcPr>
            <w:tcW w:w="714" w:type="pct"/>
            <w:vAlign w:val="center"/>
          </w:tcPr>
          <w:p w14:paraId="69D72101">
            <w:pPr>
              <w:pStyle w:val="12"/>
              <w:jc w:val="center"/>
            </w:pPr>
            <w:r>
              <w:rPr>
                <w:rFonts w:hint="eastAsia"/>
              </w:rPr>
              <w:t>9553</w:t>
            </w:r>
          </w:p>
        </w:tc>
        <w:tc>
          <w:tcPr>
            <w:tcW w:w="714" w:type="pct"/>
            <w:vAlign w:val="center"/>
          </w:tcPr>
          <w:p w14:paraId="0C822443">
            <w:pPr>
              <w:pStyle w:val="12"/>
              <w:jc w:val="center"/>
            </w:pPr>
            <w:r>
              <w:rPr>
                <w:rFonts w:hint="eastAsia"/>
              </w:rPr>
              <w:t>2.20</w:t>
            </w:r>
          </w:p>
        </w:tc>
        <w:tc>
          <w:tcPr>
            <w:tcW w:w="715" w:type="pct"/>
            <w:vAlign w:val="center"/>
          </w:tcPr>
          <w:p w14:paraId="6C15E206">
            <w:pPr>
              <w:pStyle w:val="12"/>
              <w:jc w:val="center"/>
            </w:pPr>
            <w:r>
              <w:rPr>
                <w:rFonts w:hint="eastAsia"/>
              </w:rPr>
              <w:t>109.04</w:t>
            </w:r>
          </w:p>
        </w:tc>
        <w:tc>
          <w:tcPr>
            <w:tcW w:w="715" w:type="pct"/>
            <w:vAlign w:val="center"/>
          </w:tcPr>
          <w:p w14:paraId="55219048">
            <w:pPr>
              <w:pStyle w:val="12"/>
              <w:jc w:val="center"/>
            </w:pPr>
            <w:r>
              <w:rPr>
                <w:rFonts w:hint="eastAsia"/>
              </w:rPr>
              <w:t>8955</w:t>
            </w:r>
          </w:p>
        </w:tc>
        <w:tc>
          <w:tcPr>
            <w:tcW w:w="715" w:type="pct"/>
            <w:vAlign w:val="center"/>
          </w:tcPr>
          <w:p w14:paraId="453A07DA">
            <w:pPr>
              <w:pStyle w:val="12"/>
              <w:jc w:val="center"/>
            </w:pPr>
            <w:r>
              <w:rPr>
                <w:rFonts w:hint="eastAsia"/>
              </w:rPr>
              <w:t>2.40</w:t>
            </w:r>
          </w:p>
        </w:tc>
        <w:tc>
          <w:tcPr>
            <w:tcW w:w="715" w:type="pct"/>
            <w:vAlign w:val="center"/>
          </w:tcPr>
          <w:p w14:paraId="0B9A7EC8">
            <w:pPr>
              <w:pStyle w:val="12"/>
              <w:jc w:val="center"/>
            </w:pPr>
            <w:r>
              <w:rPr>
                <w:rFonts w:hint="eastAsia"/>
              </w:rPr>
              <w:t>109.03</w:t>
            </w:r>
          </w:p>
        </w:tc>
      </w:tr>
      <w:tr w14:paraId="4801B3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70697E8">
            <w:pPr>
              <w:pStyle w:val="12"/>
              <w:jc w:val="center"/>
            </w:pPr>
            <w:r>
              <w:rPr>
                <w:rFonts w:hint="eastAsia"/>
              </w:rPr>
              <w:t>11岁</w:t>
            </w:r>
          </w:p>
        </w:tc>
        <w:tc>
          <w:tcPr>
            <w:tcW w:w="714" w:type="pct"/>
            <w:vAlign w:val="center"/>
          </w:tcPr>
          <w:p w14:paraId="78F080BB">
            <w:pPr>
              <w:pStyle w:val="12"/>
              <w:jc w:val="center"/>
            </w:pPr>
            <w:r>
              <w:rPr>
                <w:rFonts w:hint="eastAsia"/>
              </w:rPr>
              <w:t>9666</w:t>
            </w:r>
          </w:p>
        </w:tc>
        <w:tc>
          <w:tcPr>
            <w:tcW w:w="714" w:type="pct"/>
            <w:vAlign w:val="center"/>
          </w:tcPr>
          <w:p w14:paraId="035C1A7B">
            <w:pPr>
              <w:pStyle w:val="12"/>
              <w:jc w:val="center"/>
            </w:pPr>
            <w:r>
              <w:rPr>
                <w:rFonts w:hint="eastAsia"/>
              </w:rPr>
              <w:t>2.23</w:t>
            </w:r>
          </w:p>
        </w:tc>
        <w:tc>
          <w:tcPr>
            <w:tcW w:w="715" w:type="pct"/>
            <w:vAlign w:val="center"/>
          </w:tcPr>
          <w:p w14:paraId="278DA307">
            <w:pPr>
              <w:pStyle w:val="12"/>
              <w:jc w:val="center"/>
            </w:pPr>
            <w:r>
              <w:rPr>
                <w:rFonts w:hint="eastAsia"/>
              </w:rPr>
              <w:t>105.57</w:t>
            </w:r>
          </w:p>
        </w:tc>
        <w:tc>
          <w:tcPr>
            <w:tcW w:w="715" w:type="pct"/>
            <w:vAlign w:val="center"/>
          </w:tcPr>
          <w:p w14:paraId="7D7763B7">
            <w:pPr>
              <w:pStyle w:val="12"/>
              <w:jc w:val="center"/>
            </w:pPr>
            <w:r>
              <w:rPr>
                <w:rFonts w:hint="eastAsia"/>
              </w:rPr>
              <w:t>9114</w:t>
            </w:r>
          </w:p>
        </w:tc>
        <w:tc>
          <w:tcPr>
            <w:tcW w:w="715" w:type="pct"/>
            <w:vAlign w:val="center"/>
          </w:tcPr>
          <w:p w14:paraId="6B3C20F4">
            <w:pPr>
              <w:pStyle w:val="12"/>
              <w:jc w:val="center"/>
            </w:pPr>
            <w:r>
              <w:rPr>
                <w:rFonts w:hint="eastAsia"/>
              </w:rPr>
              <w:t>2.44</w:t>
            </w:r>
          </w:p>
        </w:tc>
        <w:tc>
          <w:tcPr>
            <w:tcW w:w="715" w:type="pct"/>
            <w:vAlign w:val="center"/>
          </w:tcPr>
          <w:p w14:paraId="28993231">
            <w:pPr>
              <w:pStyle w:val="12"/>
              <w:jc w:val="center"/>
            </w:pPr>
            <w:r>
              <w:rPr>
                <w:rFonts w:hint="eastAsia"/>
              </w:rPr>
              <w:t>106.81</w:t>
            </w:r>
          </w:p>
        </w:tc>
      </w:tr>
      <w:tr w14:paraId="7E65E0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E99F750">
            <w:pPr>
              <w:pStyle w:val="12"/>
              <w:jc w:val="center"/>
            </w:pPr>
            <w:r>
              <w:rPr>
                <w:rFonts w:hint="eastAsia"/>
              </w:rPr>
              <w:t>12岁</w:t>
            </w:r>
          </w:p>
        </w:tc>
        <w:tc>
          <w:tcPr>
            <w:tcW w:w="714" w:type="pct"/>
            <w:vAlign w:val="center"/>
          </w:tcPr>
          <w:p w14:paraId="3FF9776C">
            <w:pPr>
              <w:pStyle w:val="12"/>
              <w:jc w:val="center"/>
            </w:pPr>
            <w:r>
              <w:rPr>
                <w:rFonts w:hint="eastAsia"/>
              </w:rPr>
              <w:t>9308</w:t>
            </w:r>
          </w:p>
        </w:tc>
        <w:tc>
          <w:tcPr>
            <w:tcW w:w="714" w:type="pct"/>
            <w:vAlign w:val="center"/>
          </w:tcPr>
          <w:p w14:paraId="7BD22305">
            <w:pPr>
              <w:pStyle w:val="12"/>
              <w:jc w:val="center"/>
            </w:pPr>
            <w:r>
              <w:rPr>
                <w:rFonts w:hint="eastAsia"/>
              </w:rPr>
              <w:t>2.14</w:t>
            </w:r>
          </w:p>
        </w:tc>
        <w:tc>
          <w:tcPr>
            <w:tcW w:w="715" w:type="pct"/>
            <w:vAlign w:val="center"/>
          </w:tcPr>
          <w:p w14:paraId="1910B1D6">
            <w:pPr>
              <w:pStyle w:val="12"/>
              <w:jc w:val="center"/>
            </w:pPr>
            <w:r>
              <w:rPr>
                <w:rFonts w:hint="eastAsia"/>
              </w:rPr>
              <w:t>107.81</w:t>
            </w:r>
          </w:p>
        </w:tc>
        <w:tc>
          <w:tcPr>
            <w:tcW w:w="715" w:type="pct"/>
            <w:vAlign w:val="center"/>
          </w:tcPr>
          <w:p w14:paraId="5DF6595D">
            <w:pPr>
              <w:pStyle w:val="12"/>
              <w:jc w:val="center"/>
            </w:pPr>
            <w:r>
              <w:rPr>
                <w:rFonts w:hint="eastAsia"/>
              </w:rPr>
              <w:t>8492</w:t>
            </w:r>
          </w:p>
        </w:tc>
        <w:tc>
          <w:tcPr>
            <w:tcW w:w="715" w:type="pct"/>
            <w:vAlign w:val="center"/>
          </w:tcPr>
          <w:p w14:paraId="17ADC76E">
            <w:pPr>
              <w:pStyle w:val="12"/>
              <w:jc w:val="center"/>
            </w:pPr>
            <w:r>
              <w:rPr>
                <w:rFonts w:hint="eastAsia"/>
              </w:rPr>
              <w:t>2.28</w:t>
            </w:r>
          </w:p>
        </w:tc>
        <w:tc>
          <w:tcPr>
            <w:tcW w:w="715" w:type="pct"/>
            <w:vAlign w:val="center"/>
          </w:tcPr>
          <w:p w14:paraId="4BA846A3">
            <w:pPr>
              <w:pStyle w:val="12"/>
              <w:jc w:val="center"/>
            </w:pPr>
            <w:r>
              <w:rPr>
                <w:rFonts w:hint="eastAsia"/>
              </w:rPr>
              <w:t>104.33</w:t>
            </w:r>
          </w:p>
        </w:tc>
      </w:tr>
      <w:tr w14:paraId="6504FC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DC8C203">
            <w:pPr>
              <w:pStyle w:val="12"/>
              <w:jc w:val="center"/>
            </w:pPr>
            <w:r>
              <w:rPr>
                <w:rFonts w:hint="eastAsia"/>
              </w:rPr>
              <w:t>13岁</w:t>
            </w:r>
          </w:p>
        </w:tc>
        <w:tc>
          <w:tcPr>
            <w:tcW w:w="714" w:type="pct"/>
            <w:vAlign w:val="center"/>
          </w:tcPr>
          <w:p w14:paraId="646A0A66">
            <w:pPr>
              <w:pStyle w:val="12"/>
              <w:jc w:val="center"/>
            </w:pPr>
            <w:r>
              <w:rPr>
                <w:rFonts w:hint="eastAsia"/>
              </w:rPr>
              <w:t>8890</w:t>
            </w:r>
          </w:p>
        </w:tc>
        <w:tc>
          <w:tcPr>
            <w:tcW w:w="714" w:type="pct"/>
            <w:vAlign w:val="center"/>
          </w:tcPr>
          <w:p w14:paraId="6242455B">
            <w:pPr>
              <w:pStyle w:val="12"/>
              <w:jc w:val="center"/>
            </w:pPr>
            <w:r>
              <w:rPr>
                <w:rFonts w:hint="eastAsia"/>
              </w:rPr>
              <w:t>2.05</w:t>
            </w:r>
          </w:p>
        </w:tc>
        <w:tc>
          <w:tcPr>
            <w:tcW w:w="715" w:type="pct"/>
            <w:vAlign w:val="center"/>
          </w:tcPr>
          <w:p w14:paraId="152E79E4">
            <w:pPr>
              <w:pStyle w:val="12"/>
              <w:jc w:val="center"/>
            </w:pPr>
            <w:r>
              <w:rPr>
                <w:rFonts w:hint="eastAsia"/>
              </w:rPr>
              <w:t>104.89</w:t>
            </w:r>
          </w:p>
        </w:tc>
        <w:tc>
          <w:tcPr>
            <w:tcW w:w="715" w:type="pct"/>
            <w:vAlign w:val="center"/>
          </w:tcPr>
          <w:p w14:paraId="4C8E60D0">
            <w:pPr>
              <w:pStyle w:val="12"/>
              <w:jc w:val="center"/>
            </w:pPr>
            <w:r>
              <w:rPr>
                <w:rFonts w:hint="eastAsia"/>
              </w:rPr>
              <w:t>8659</w:t>
            </w:r>
          </w:p>
        </w:tc>
        <w:tc>
          <w:tcPr>
            <w:tcW w:w="715" w:type="pct"/>
            <w:vAlign w:val="center"/>
          </w:tcPr>
          <w:p w14:paraId="50B66A1D">
            <w:pPr>
              <w:pStyle w:val="12"/>
              <w:jc w:val="center"/>
            </w:pPr>
            <w:r>
              <w:rPr>
                <w:rFonts w:hint="eastAsia"/>
              </w:rPr>
              <w:t>2.32</w:t>
            </w:r>
          </w:p>
        </w:tc>
        <w:tc>
          <w:tcPr>
            <w:tcW w:w="715" w:type="pct"/>
            <w:vAlign w:val="center"/>
          </w:tcPr>
          <w:p w14:paraId="36EDECDD">
            <w:pPr>
              <w:pStyle w:val="12"/>
              <w:jc w:val="center"/>
            </w:pPr>
            <w:r>
              <w:rPr>
                <w:rFonts w:hint="eastAsia"/>
              </w:rPr>
              <w:t>108.25</w:t>
            </w:r>
          </w:p>
        </w:tc>
      </w:tr>
      <w:tr w14:paraId="779A7B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29AEF7D">
            <w:pPr>
              <w:pStyle w:val="12"/>
              <w:jc w:val="center"/>
            </w:pPr>
            <w:r>
              <w:rPr>
                <w:rFonts w:hint="eastAsia"/>
              </w:rPr>
              <w:t>14岁</w:t>
            </w:r>
          </w:p>
        </w:tc>
        <w:tc>
          <w:tcPr>
            <w:tcW w:w="714" w:type="pct"/>
            <w:vAlign w:val="center"/>
          </w:tcPr>
          <w:p w14:paraId="1E7722A8">
            <w:pPr>
              <w:pStyle w:val="12"/>
              <w:jc w:val="center"/>
            </w:pPr>
            <w:r>
              <w:rPr>
                <w:rFonts w:hint="eastAsia"/>
              </w:rPr>
              <w:t>9096</w:t>
            </w:r>
          </w:p>
        </w:tc>
        <w:tc>
          <w:tcPr>
            <w:tcW w:w="714" w:type="pct"/>
            <w:vAlign w:val="center"/>
          </w:tcPr>
          <w:p w14:paraId="3252826F">
            <w:pPr>
              <w:pStyle w:val="12"/>
              <w:jc w:val="center"/>
            </w:pPr>
            <w:r>
              <w:rPr>
                <w:rFonts w:hint="eastAsia"/>
              </w:rPr>
              <w:t>2.10</w:t>
            </w:r>
          </w:p>
        </w:tc>
        <w:tc>
          <w:tcPr>
            <w:tcW w:w="715" w:type="pct"/>
            <w:vAlign w:val="center"/>
          </w:tcPr>
          <w:p w14:paraId="41090553">
            <w:pPr>
              <w:pStyle w:val="12"/>
              <w:jc w:val="center"/>
            </w:pPr>
            <w:r>
              <w:rPr>
                <w:rFonts w:hint="eastAsia"/>
              </w:rPr>
              <w:t>106.27</w:t>
            </w:r>
          </w:p>
        </w:tc>
        <w:tc>
          <w:tcPr>
            <w:tcW w:w="715" w:type="pct"/>
            <w:vAlign w:val="center"/>
          </w:tcPr>
          <w:p w14:paraId="5134BDA5">
            <w:pPr>
              <w:pStyle w:val="12"/>
              <w:jc w:val="center"/>
            </w:pPr>
            <w:r>
              <w:rPr>
                <w:rFonts w:hint="eastAsia"/>
              </w:rPr>
              <w:t>7990</w:t>
            </w:r>
          </w:p>
        </w:tc>
        <w:tc>
          <w:tcPr>
            <w:tcW w:w="715" w:type="pct"/>
            <w:vAlign w:val="center"/>
          </w:tcPr>
          <w:p w14:paraId="364EBE0D">
            <w:pPr>
              <w:pStyle w:val="12"/>
              <w:jc w:val="center"/>
            </w:pPr>
            <w:r>
              <w:rPr>
                <w:rFonts w:hint="eastAsia"/>
              </w:rPr>
              <w:t>2.14</w:t>
            </w:r>
          </w:p>
        </w:tc>
        <w:tc>
          <w:tcPr>
            <w:tcW w:w="715" w:type="pct"/>
            <w:vAlign w:val="center"/>
          </w:tcPr>
          <w:p w14:paraId="6AA0C0E0">
            <w:pPr>
              <w:pStyle w:val="12"/>
              <w:jc w:val="center"/>
            </w:pPr>
            <w:r>
              <w:rPr>
                <w:rFonts w:hint="eastAsia"/>
              </w:rPr>
              <w:t>105.08</w:t>
            </w:r>
          </w:p>
        </w:tc>
      </w:tr>
      <w:tr w14:paraId="4C7D95A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F40970D">
            <w:pPr>
              <w:pStyle w:val="12"/>
              <w:jc w:val="center"/>
            </w:pPr>
            <w:r>
              <w:rPr>
                <w:rFonts w:hint="eastAsia"/>
              </w:rPr>
              <w:t>15岁~19岁</w:t>
            </w:r>
          </w:p>
        </w:tc>
        <w:tc>
          <w:tcPr>
            <w:tcW w:w="714" w:type="pct"/>
            <w:vAlign w:val="center"/>
          </w:tcPr>
          <w:p w14:paraId="0901DB42">
            <w:pPr>
              <w:pStyle w:val="12"/>
              <w:jc w:val="center"/>
            </w:pPr>
            <w:r>
              <w:rPr>
                <w:rFonts w:hint="eastAsia"/>
              </w:rPr>
              <w:t>52256</w:t>
            </w:r>
          </w:p>
        </w:tc>
        <w:tc>
          <w:tcPr>
            <w:tcW w:w="714" w:type="pct"/>
            <w:vAlign w:val="center"/>
          </w:tcPr>
          <w:p w14:paraId="629121C1">
            <w:pPr>
              <w:pStyle w:val="12"/>
              <w:jc w:val="center"/>
            </w:pPr>
            <w:r>
              <w:rPr>
                <w:rFonts w:hint="eastAsia"/>
              </w:rPr>
              <w:t>12.04</w:t>
            </w:r>
          </w:p>
        </w:tc>
        <w:tc>
          <w:tcPr>
            <w:tcW w:w="715" w:type="pct"/>
            <w:vAlign w:val="center"/>
          </w:tcPr>
          <w:p w14:paraId="316E5002">
            <w:pPr>
              <w:pStyle w:val="12"/>
              <w:jc w:val="center"/>
            </w:pPr>
            <w:r>
              <w:rPr>
                <w:rFonts w:hint="eastAsia"/>
              </w:rPr>
              <w:t>106.28</w:t>
            </w:r>
          </w:p>
        </w:tc>
        <w:tc>
          <w:tcPr>
            <w:tcW w:w="715" w:type="pct"/>
            <w:vAlign w:val="center"/>
          </w:tcPr>
          <w:p w14:paraId="62181950">
            <w:pPr>
              <w:pStyle w:val="12"/>
              <w:jc w:val="center"/>
            </w:pPr>
            <w:r>
              <w:rPr>
                <w:rFonts w:hint="eastAsia"/>
              </w:rPr>
              <w:t>26195</w:t>
            </w:r>
          </w:p>
        </w:tc>
        <w:tc>
          <w:tcPr>
            <w:tcW w:w="715" w:type="pct"/>
            <w:vAlign w:val="center"/>
          </w:tcPr>
          <w:p w14:paraId="66C5BE0F">
            <w:pPr>
              <w:pStyle w:val="12"/>
              <w:jc w:val="center"/>
            </w:pPr>
            <w:r>
              <w:rPr>
                <w:rFonts w:hint="eastAsia"/>
              </w:rPr>
              <w:t>7.03</w:t>
            </w:r>
          </w:p>
        </w:tc>
        <w:tc>
          <w:tcPr>
            <w:tcW w:w="715" w:type="pct"/>
            <w:vAlign w:val="center"/>
          </w:tcPr>
          <w:p w14:paraId="77246930">
            <w:pPr>
              <w:pStyle w:val="12"/>
              <w:jc w:val="center"/>
            </w:pPr>
            <w:r>
              <w:rPr>
                <w:rFonts w:hint="eastAsia"/>
              </w:rPr>
              <w:t>132.82</w:t>
            </w:r>
          </w:p>
        </w:tc>
      </w:tr>
      <w:tr w14:paraId="1D099A3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925416C">
            <w:pPr>
              <w:pStyle w:val="12"/>
              <w:jc w:val="center"/>
            </w:pPr>
            <w:r>
              <w:rPr>
                <w:rFonts w:hint="eastAsia"/>
              </w:rPr>
              <w:t>15岁</w:t>
            </w:r>
          </w:p>
        </w:tc>
        <w:tc>
          <w:tcPr>
            <w:tcW w:w="714" w:type="pct"/>
            <w:vAlign w:val="center"/>
          </w:tcPr>
          <w:p w14:paraId="7EC6CC28">
            <w:pPr>
              <w:pStyle w:val="12"/>
              <w:jc w:val="center"/>
            </w:pPr>
            <w:r>
              <w:rPr>
                <w:rFonts w:hint="eastAsia"/>
              </w:rPr>
              <w:t>10297</w:t>
            </w:r>
          </w:p>
        </w:tc>
        <w:tc>
          <w:tcPr>
            <w:tcW w:w="714" w:type="pct"/>
            <w:vAlign w:val="center"/>
          </w:tcPr>
          <w:p w14:paraId="54E2DF13">
            <w:pPr>
              <w:pStyle w:val="12"/>
              <w:jc w:val="center"/>
            </w:pPr>
            <w:r>
              <w:rPr>
                <w:rFonts w:hint="eastAsia"/>
              </w:rPr>
              <w:t>2.37</w:t>
            </w:r>
          </w:p>
        </w:tc>
        <w:tc>
          <w:tcPr>
            <w:tcW w:w="715" w:type="pct"/>
            <w:vAlign w:val="center"/>
          </w:tcPr>
          <w:p w14:paraId="76FBE572">
            <w:pPr>
              <w:pStyle w:val="12"/>
              <w:jc w:val="center"/>
            </w:pPr>
            <w:r>
              <w:rPr>
                <w:rFonts w:hint="eastAsia"/>
              </w:rPr>
              <w:t>107.89</w:t>
            </w:r>
          </w:p>
        </w:tc>
        <w:tc>
          <w:tcPr>
            <w:tcW w:w="715" w:type="pct"/>
            <w:vAlign w:val="center"/>
          </w:tcPr>
          <w:p w14:paraId="47B64F75">
            <w:pPr>
              <w:pStyle w:val="12"/>
              <w:jc w:val="center"/>
            </w:pPr>
            <w:r>
              <w:rPr>
                <w:rFonts w:hint="eastAsia"/>
              </w:rPr>
              <w:t>7537</w:t>
            </w:r>
          </w:p>
        </w:tc>
        <w:tc>
          <w:tcPr>
            <w:tcW w:w="715" w:type="pct"/>
            <w:vAlign w:val="center"/>
          </w:tcPr>
          <w:p w14:paraId="10242A1B">
            <w:pPr>
              <w:pStyle w:val="12"/>
              <w:jc w:val="center"/>
            </w:pPr>
            <w:r>
              <w:rPr>
                <w:rFonts w:hint="eastAsia"/>
              </w:rPr>
              <w:t>2.02</w:t>
            </w:r>
          </w:p>
        </w:tc>
        <w:tc>
          <w:tcPr>
            <w:tcW w:w="715" w:type="pct"/>
            <w:vAlign w:val="center"/>
          </w:tcPr>
          <w:p w14:paraId="58F52FDD">
            <w:pPr>
              <w:pStyle w:val="12"/>
              <w:jc w:val="center"/>
            </w:pPr>
            <w:r>
              <w:rPr>
                <w:rFonts w:hint="eastAsia"/>
              </w:rPr>
              <w:t>116.95</w:t>
            </w:r>
          </w:p>
        </w:tc>
      </w:tr>
      <w:tr w14:paraId="179047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A481B7C">
            <w:pPr>
              <w:pStyle w:val="12"/>
              <w:jc w:val="center"/>
            </w:pPr>
            <w:r>
              <w:rPr>
                <w:rFonts w:hint="eastAsia"/>
              </w:rPr>
              <w:t>16岁</w:t>
            </w:r>
          </w:p>
        </w:tc>
        <w:tc>
          <w:tcPr>
            <w:tcW w:w="714" w:type="pct"/>
            <w:vAlign w:val="center"/>
          </w:tcPr>
          <w:p w14:paraId="5AD80081">
            <w:pPr>
              <w:pStyle w:val="12"/>
              <w:jc w:val="center"/>
            </w:pPr>
            <w:r>
              <w:rPr>
                <w:rFonts w:hint="eastAsia"/>
              </w:rPr>
              <w:t>10744</w:t>
            </w:r>
          </w:p>
        </w:tc>
        <w:tc>
          <w:tcPr>
            <w:tcW w:w="714" w:type="pct"/>
            <w:vAlign w:val="center"/>
          </w:tcPr>
          <w:p w14:paraId="5B8FE60A">
            <w:pPr>
              <w:pStyle w:val="12"/>
              <w:jc w:val="center"/>
            </w:pPr>
            <w:r>
              <w:rPr>
                <w:rFonts w:hint="eastAsia"/>
              </w:rPr>
              <w:t>2.47</w:t>
            </w:r>
          </w:p>
        </w:tc>
        <w:tc>
          <w:tcPr>
            <w:tcW w:w="715" w:type="pct"/>
            <w:vAlign w:val="center"/>
          </w:tcPr>
          <w:p w14:paraId="7E2A7EDA">
            <w:pPr>
              <w:pStyle w:val="12"/>
              <w:jc w:val="center"/>
            </w:pPr>
            <w:r>
              <w:rPr>
                <w:rFonts w:hint="eastAsia"/>
              </w:rPr>
              <w:t>107.93</w:t>
            </w:r>
          </w:p>
        </w:tc>
        <w:tc>
          <w:tcPr>
            <w:tcW w:w="715" w:type="pct"/>
            <w:vAlign w:val="center"/>
          </w:tcPr>
          <w:p w14:paraId="24040558">
            <w:pPr>
              <w:pStyle w:val="12"/>
              <w:jc w:val="center"/>
            </w:pPr>
            <w:r>
              <w:rPr>
                <w:rFonts w:hint="eastAsia"/>
              </w:rPr>
              <w:t>6376</w:t>
            </w:r>
          </w:p>
        </w:tc>
        <w:tc>
          <w:tcPr>
            <w:tcW w:w="715" w:type="pct"/>
            <w:vAlign w:val="center"/>
          </w:tcPr>
          <w:p w14:paraId="1E23B756">
            <w:pPr>
              <w:pStyle w:val="12"/>
              <w:jc w:val="center"/>
            </w:pPr>
            <w:r>
              <w:rPr>
                <w:rFonts w:hint="eastAsia"/>
              </w:rPr>
              <w:t>1.71</w:t>
            </w:r>
          </w:p>
        </w:tc>
        <w:tc>
          <w:tcPr>
            <w:tcW w:w="715" w:type="pct"/>
            <w:vAlign w:val="center"/>
          </w:tcPr>
          <w:p w14:paraId="734E5802">
            <w:pPr>
              <w:pStyle w:val="12"/>
              <w:jc w:val="center"/>
            </w:pPr>
            <w:r>
              <w:rPr>
                <w:rFonts w:hint="eastAsia"/>
              </w:rPr>
              <w:t>127.96</w:t>
            </w:r>
          </w:p>
        </w:tc>
      </w:tr>
      <w:tr w14:paraId="4027C7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8BB5E0D">
            <w:pPr>
              <w:pStyle w:val="12"/>
              <w:jc w:val="center"/>
            </w:pPr>
            <w:r>
              <w:rPr>
                <w:rFonts w:hint="eastAsia"/>
              </w:rPr>
              <w:t>17岁</w:t>
            </w:r>
          </w:p>
        </w:tc>
        <w:tc>
          <w:tcPr>
            <w:tcW w:w="714" w:type="pct"/>
            <w:vAlign w:val="center"/>
          </w:tcPr>
          <w:p w14:paraId="0551FA16">
            <w:pPr>
              <w:pStyle w:val="12"/>
              <w:jc w:val="center"/>
            </w:pPr>
            <w:r>
              <w:rPr>
                <w:rFonts w:hint="eastAsia"/>
              </w:rPr>
              <w:t>10472</w:t>
            </w:r>
          </w:p>
        </w:tc>
        <w:tc>
          <w:tcPr>
            <w:tcW w:w="714" w:type="pct"/>
            <w:vAlign w:val="center"/>
          </w:tcPr>
          <w:p w14:paraId="5CA66D5B">
            <w:pPr>
              <w:pStyle w:val="12"/>
              <w:jc w:val="center"/>
            </w:pPr>
            <w:r>
              <w:rPr>
                <w:rFonts w:hint="eastAsia"/>
              </w:rPr>
              <w:t>2.41</w:t>
            </w:r>
          </w:p>
        </w:tc>
        <w:tc>
          <w:tcPr>
            <w:tcW w:w="715" w:type="pct"/>
            <w:vAlign w:val="center"/>
          </w:tcPr>
          <w:p w14:paraId="43E29488">
            <w:pPr>
              <w:pStyle w:val="12"/>
              <w:jc w:val="center"/>
            </w:pPr>
            <w:r>
              <w:rPr>
                <w:rFonts w:hint="eastAsia"/>
              </w:rPr>
              <w:t>108.56</w:t>
            </w:r>
          </w:p>
        </w:tc>
        <w:tc>
          <w:tcPr>
            <w:tcW w:w="715" w:type="pct"/>
            <w:vAlign w:val="center"/>
          </w:tcPr>
          <w:p w14:paraId="6A98FD35">
            <w:pPr>
              <w:pStyle w:val="12"/>
              <w:jc w:val="center"/>
            </w:pPr>
            <w:r>
              <w:rPr>
                <w:rFonts w:hint="eastAsia"/>
              </w:rPr>
              <w:t>5239</w:t>
            </w:r>
          </w:p>
        </w:tc>
        <w:tc>
          <w:tcPr>
            <w:tcW w:w="715" w:type="pct"/>
            <w:vAlign w:val="center"/>
          </w:tcPr>
          <w:p w14:paraId="46EAFBC3">
            <w:pPr>
              <w:pStyle w:val="12"/>
              <w:jc w:val="center"/>
            </w:pPr>
            <w:r>
              <w:rPr>
                <w:rFonts w:hint="eastAsia"/>
              </w:rPr>
              <w:t>1.41</w:t>
            </w:r>
          </w:p>
        </w:tc>
        <w:tc>
          <w:tcPr>
            <w:tcW w:w="715" w:type="pct"/>
            <w:vAlign w:val="center"/>
          </w:tcPr>
          <w:p w14:paraId="5C1A4435">
            <w:pPr>
              <w:pStyle w:val="12"/>
              <w:jc w:val="center"/>
            </w:pPr>
            <w:r>
              <w:rPr>
                <w:rFonts w:hint="eastAsia"/>
              </w:rPr>
              <w:t>136.63</w:t>
            </w:r>
          </w:p>
        </w:tc>
      </w:tr>
      <w:tr w14:paraId="0BFFB1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0953B62">
            <w:pPr>
              <w:pStyle w:val="12"/>
              <w:jc w:val="center"/>
            </w:pPr>
            <w:r>
              <w:rPr>
                <w:rFonts w:hint="eastAsia"/>
              </w:rPr>
              <w:t>18岁</w:t>
            </w:r>
          </w:p>
        </w:tc>
        <w:tc>
          <w:tcPr>
            <w:tcW w:w="714" w:type="pct"/>
            <w:vAlign w:val="center"/>
          </w:tcPr>
          <w:p w14:paraId="4A773809">
            <w:pPr>
              <w:pStyle w:val="12"/>
              <w:jc w:val="center"/>
            </w:pPr>
            <w:r>
              <w:rPr>
                <w:rFonts w:hint="eastAsia"/>
              </w:rPr>
              <w:t>10492</w:t>
            </w:r>
          </w:p>
        </w:tc>
        <w:tc>
          <w:tcPr>
            <w:tcW w:w="714" w:type="pct"/>
            <w:vAlign w:val="center"/>
          </w:tcPr>
          <w:p w14:paraId="3322462A">
            <w:pPr>
              <w:pStyle w:val="12"/>
              <w:jc w:val="center"/>
            </w:pPr>
            <w:r>
              <w:rPr>
                <w:rFonts w:hint="eastAsia"/>
              </w:rPr>
              <w:t>2.42</w:t>
            </w:r>
          </w:p>
        </w:tc>
        <w:tc>
          <w:tcPr>
            <w:tcW w:w="715" w:type="pct"/>
            <w:vAlign w:val="center"/>
          </w:tcPr>
          <w:p w14:paraId="7B0E0299">
            <w:pPr>
              <w:pStyle w:val="12"/>
              <w:jc w:val="center"/>
            </w:pPr>
            <w:r>
              <w:rPr>
                <w:rFonts w:hint="eastAsia"/>
              </w:rPr>
              <w:t>106.45</w:t>
            </w:r>
          </w:p>
        </w:tc>
        <w:tc>
          <w:tcPr>
            <w:tcW w:w="715" w:type="pct"/>
            <w:vAlign w:val="center"/>
          </w:tcPr>
          <w:p w14:paraId="263AAE25">
            <w:pPr>
              <w:pStyle w:val="12"/>
              <w:jc w:val="center"/>
            </w:pPr>
            <w:r>
              <w:rPr>
                <w:rFonts w:hint="eastAsia"/>
              </w:rPr>
              <w:t>4203</w:t>
            </w:r>
          </w:p>
        </w:tc>
        <w:tc>
          <w:tcPr>
            <w:tcW w:w="715" w:type="pct"/>
            <w:vAlign w:val="center"/>
          </w:tcPr>
          <w:p w14:paraId="47B56928">
            <w:pPr>
              <w:pStyle w:val="12"/>
              <w:jc w:val="center"/>
            </w:pPr>
            <w:r>
              <w:rPr>
                <w:rFonts w:hint="eastAsia"/>
              </w:rPr>
              <w:t>1.13</w:t>
            </w:r>
          </w:p>
        </w:tc>
        <w:tc>
          <w:tcPr>
            <w:tcW w:w="715" w:type="pct"/>
            <w:vAlign w:val="center"/>
          </w:tcPr>
          <w:p w14:paraId="7DA2DE71">
            <w:pPr>
              <w:pStyle w:val="12"/>
              <w:jc w:val="center"/>
            </w:pPr>
            <w:r>
              <w:rPr>
                <w:rFonts w:hint="eastAsia"/>
              </w:rPr>
              <w:t>152.13</w:t>
            </w:r>
          </w:p>
        </w:tc>
      </w:tr>
      <w:tr w14:paraId="202B97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CC3E61E">
            <w:pPr>
              <w:pStyle w:val="12"/>
              <w:jc w:val="center"/>
            </w:pPr>
            <w:r>
              <w:rPr>
                <w:rFonts w:hint="eastAsia"/>
              </w:rPr>
              <w:t>19岁</w:t>
            </w:r>
          </w:p>
        </w:tc>
        <w:tc>
          <w:tcPr>
            <w:tcW w:w="714" w:type="pct"/>
            <w:vAlign w:val="center"/>
          </w:tcPr>
          <w:p w14:paraId="5BAE740F">
            <w:pPr>
              <w:pStyle w:val="12"/>
              <w:jc w:val="center"/>
            </w:pPr>
            <w:r>
              <w:rPr>
                <w:rFonts w:hint="eastAsia"/>
              </w:rPr>
              <w:t>10251</w:t>
            </w:r>
          </w:p>
        </w:tc>
        <w:tc>
          <w:tcPr>
            <w:tcW w:w="714" w:type="pct"/>
            <w:vAlign w:val="center"/>
          </w:tcPr>
          <w:p w14:paraId="1BB3A738">
            <w:pPr>
              <w:pStyle w:val="12"/>
              <w:jc w:val="center"/>
            </w:pPr>
            <w:r>
              <w:rPr>
                <w:rFonts w:hint="eastAsia"/>
              </w:rPr>
              <w:t>2.36</w:t>
            </w:r>
          </w:p>
        </w:tc>
        <w:tc>
          <w:tcPr>
            <w:tcW w:w="715" w:type="pct"/>
            <w:vAlign w:val="center"/>
          </w:tcPr>
          <w:p w14:paraId="416DA526">
            <w:pPr>
              <w:pStyle w:val="12"/>
              <w:jc w:val="center"/>
            </w:pPr>
            <w:r>
              <w:rPr>
                <w:rFonts w:hint="eastAsia"/>
              </w:rPr>
              <w:t>100.61</w:t>
            </w:r>
          </w:p>
        </w:tc>
        <w:tc>
          <w:tcPr>
            <w:tcW w:w="715" w:type="pct"/>
            <w:vAlign w:val="center"/>
          </w:tcPr>
          <w:p w14:paraId="79272969">
            <w:pPr>
              <w:pStyle w:val="12"/>
              <w:jc w:val="center"/>
            </w:pPr>
            <w:r>
              <w:rPr>
                <w:rFonts w:hint="eastAsia"/>
              </w:rPr>
              <w:t>2840</w:t>
            </w:r>
          </w:p>
        </w:tc>
        <w:tc>
          <w:tcPr>
            <w:tcW w:w="715" w:type="pct"/>
            <w:vAlign w:val="center"/>
          </w:tcPr>
          <w:p w14:paraId="2A0828BB">
            <w:pPr>
              <w:pStyle w:val="12"/>
              <w:jc w:val="center"/>
            </w:pPr>
            <w:r>
              <w:rPr>
                <w:rFonts w:hint="eastAsia"/>
              </w:rPr>
              <w:t>0.76</w:t>
            </w:r>
          </w:p>
        </w:tc>
        <w:tc>
          <w:tcPr>
            <w:tcW w:w="715" w:type="pct"/>
            <w:vAlign w:val="center"/>
          </w:tcPr>
          <w:p w14:paraId="45BFF9F3">
            <w:pPr>
              <w:pStyle w:val="12"/>
              <w:jc w:val="center"/>
            </w:pPr>
            <w:r>
              <w:rPr>
                <w:rFonts w:hint="eastAsia"/>
              </w:rPr>
              <w:t>158.42</w:t>
            </w:r>
          </w:p>
        </w:tc>
      </w:tr>
      <w:tr w14:paraId="7D78119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46F9092B">
            <w:pPr>
              <w:pStyle w:val="12"/>
              <w:jc w:val="center"/>
            </w:pPr>
            <w:r>
              <w:rPr>
                <w:rFonts w:hint="eastAsia"/>
              </w:rPr>
              <w:t>20岁~24岁</w:t>
            </w:r>
          </w:p>
        </w:tc>
        <w:tc>
          <w:tcPr>
            <w:tcW w:w="714" w:type="pct"/>
            <w:vAlign w:val="center"/>
          </w:tcPr>
          <w:p w14:paraId="6FED851E">
            <w:pPr>
              <w:pStyle w:val="12"/>
              <w:jc w:val="center"/>
            </w:pPr>
            <w:r>
              <w:rPr>
                <w:rFonts w:hint="eastAsia"/>
              </w:rPr>
              <w:t>50925</w:t>
            </w:r>
          </w:p>
        </w:tc>
        <w:tc>
          <w:tcPr>
            <w:tcW w:w="714" w:type="pct"/>
            <w:vAlign w:val="center"/>
          </w:tcPr>
          <w:p w14:paraId="20F96C12">
            <w:pPr>
              <w:pStyle w:val="12"/>
              <w:jc w:val="center"/>
            </w:pPr>
            <w:r>
              <w:rPr>
                <w:rFonts w:hint="eastAsia"/>
              </w:rPr>
              <w:t>11.73</w:t>
            </w:r>
          </w:p>
        </w:tc>
        <w:tc>
          <w:tcPr>
            <w:tcW w:w="715" w:type="pct"/>
            <w:vAlign w:val="center"/>
          </w:tcPr>
          <w:p w14:paraId="7BD298D5">
            <w:pPr>
              <w:pStyle w:val="12"/>
              <w:jc w:val="center"/>
            </w:pPr>
            <w:r>
              <w:rPr>
                <w:rFonts w:hint="eastAsia"/>
              </w:rPr>
              <w:t>100.87</w:t>
            </w:r>
          </w:p>
        </w:tc>
        <w:tc>
          <w:tcPr>
            <w:tcW w:w="715" w:type="pct"/>
            <w:vAlign w:val="center"/>
          </w:tcPr>
          <w:p w14:paraId="10065E5D">
            <w:pPr>
              <w:pStyle w:val="12"/>
              <w:jc w:val="center"/>
            </w:pPr>
            <w:r>
              <w:rPr>
                <w:rFonts w:hint="eastAsia"/>
              </w:rPr>
              <w:t>14747</w:t>
            </w:r>
          </w:p>
        </w:tc>
        <w:tc>
          <w:tcPr>
            <w:tcW w:w="715" w:type="pct"/>
            <w:vAlign w:val="center"/>
          </w:tcPr>
          <w:p w14:paraId="18D60C51">
            <w:pPr>
              <w:pStyle w:val="12"/>
              <w:jc w:val="center"/>
            </w:pPr>
            <w:r>
              <w:rPr>
                <w:rFonts w:hint="eastAsia"/>
              </w:rPr>
              <w:t>3.96</w:t>
            </w:r>
          </w:p>
        </w:tc>
        <w:tc>
          <w:tcPr>
            <w:tcW w:w="715" w:type="pct"/>
            <w:vAlign w:val="center"/>
          </w:tcPr>
          <w:p w14:paraId="73720D73">
            <w:pPr>
              <w:pStyle w:val="12"/>
              <w:jc w:val="center"/>
            </w:pPr>
            <w:r>
              <w:rPr>
                <w:rFonts w:hint="eastAsia"/>
              </w:rPr>
              <w:t>101.85</w:t>
            </w:r>
          </w:p>
        </w:tc>
      </w:tr>
      <w:tr w14:paraId="4AB4F4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403327A5">
            <w:pPr>
              <w:pStyle w:val="12"/>
              <w:jc w:val="center"/>
            </w:pPr>
            <w:r>
              <w:rPr>
                <w:rFonts w:hint="eastAsia"/>
              </w:rPr>
              <w:t>20岁</w:t>
            </w:r>
          </w:p>
        </w:tc>
        <w:tc>
          <w:tcPr>
            <w:tcW w:w="714" w:type="pct"/>
            <w:vAlign w:val="center"/>
          </w:tcPr>
          <w:p w14:paraId="7B87541C">
            <w:pPr>
              <w:pStyle w:val="12"/>
              <w:jc w:val="center"/>
            </w:pPr>
            <w:r>
              <w:rPr>
                <w:rFonts w:hint="eastAsia"/>
              </w:rPr>
              <w:t>10339</w:t>
            </w:r>
          </w:p>
        </w:tc>
        <w:tc>
          <w:tcPr>
            <w:tcW w:w="714" w:type="pct"/>
            <w:vAlign w:val="center"/>
          </w:tcPr>
          <w:p w14:paraId="52A65420">
            <w:pPr>
              <w:pStyle w:val="12"/>
              <w:jc w:val="center"/>
            </w:pPr>
            <w:r>
              <w:rPr>
                <w:rFonts w:hint="eastAsia"/>
              </w:rPr>
              <w:t>2.38</w:t>
            </w:r>
          </w:p>
        </w:tc>
        <w:tc>
          <w:tcPr>
            <w:tcW w:w="715" w:type="pct"/>
            <w:vAlign w:val="center"/>
          </w:tcPr>
          <w:p w14:paraId="10760C01">
            <w:pPr>
              <w:pStyle w:val="12"/>
              <w:jc w:val="center"/>
            </w:pPr>
            <w:r>
              <w:rPr>
                <w:rFonts w:hint="eastAsia"/>
              </w:rPr>
              <w:t>101.70</w:t>
            </w:r>
          </w:p>
        </w:tc>
        <w:tc>
          <w:tcPr>
            <w:tcW w:w="715" w:type="pct"/>
            <w:vAlign w:val="center"/>
          </w:tcPr>
          <w:p w14:paraId="286791D9">
            <w:pPr>
              <w:pStyle w:val="12"/>
              <w:jc w:val="center"/>
            </w:pPr>
            <w:r>
              <w:rPr>
                <w:rFonts w:hint="eastAsia"/>
              </w:rPr>
              <w:t>2451</w:t>
            </w:r>
          </w:p>
        </w:tc>
        <w:tc>
          <w:tcPr>
            <w:tcW w:w="715" w:type="pct"/>
            <w:vAlign w:val="center"/>
          </w:tcPr>
          <w:p w14:paraId="46E57FE1">
            <w:pPr>
              <w:pStyle w:val="12"/>
              <w:jc w:val="center"/>
            </w:pPr>
            <w:r>
              <w:rPr>
                <w:rFonts w:hint="eastAsia"/>
              </w:rPr>
              <w:t>0.66</w:t>
            </w:r>
          </w:p>
        </w:tc>
        <w:tc>
          <w:tcPr>
            <w:tcW w:w="715" w:type="pct"/>
            <w:vAlign w:val="center"/>
          </w:tcPr>
          <w:p w14:paraId="33D36668">
            <w:pPr>
              <w:pStyle w:val="12"/>
              <w:jc w:val="center"/>
            </w:pPr>
            <w:r>
              <w:rPr>
                <w:rFonts w:hint="eastAsia"/>
              </w:rPr>
              <w:t>125.28</w:t>
            </w:r>
          </w:p>
        </w:tc>
      </w:tr>
      <w:tr w14:paraId="200D20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2D09393">
            <w:pPr>
              <w:pStyle w:val="12"/>
              <w:jc w:val="center"/>
            </w:pPr>
            <w:r>
              <w:rPr>
                <w:rFonts w:hint="eastAsia"/>
              </w:rPr>
              <w:t>21岁</w:t>
            </w:r>
          </w:p>
        </w:tc>
        <w:tc>
          <w:tcPr>
            <w:tcW w:w="714" w:type="pct"/>
            <w:vAlign w:val="center"/>
          </w:tcPr>
          <w:p w14:paraId="7E1A163D">
            <w:pPr>
              <w:pStyle w:val="12"/>
              <w:jc w:val="center"/>
            </w:pPr>
            <w:r>
              <w:rPr>
                <w:rFonts w:hint="eastAsia"/>
              </w:rPr>
              <w:t>10482</w:t>
            </w:r>
          </w:p>
        </w:tc>
        <w:tc>
          <w:tcPr>
            <w:tcW w:w="714" w:type="pct"/>
            <w:vAlign w:val="center"/>
          </w:tcPr>
          <w:p w14:paraId="29410432">
            <w:pPr>
              <w:pStyle w:val="12"/>
              <w:jc w:val="center"/>
            </w:pPr>
            <w:r>
              <w:rPr>
                <w:rFonts w:hint="eastAsia"/>
              </w:rPr>
              <w:t>2.41</w:t>
            </w:r>
          </w:p>
        </w:tc>
        <w:tc>
          <w:tcPr>
            <w:tcW w:w="715" w:type="pct"/>
            <w:vAlign w:val="center"/>
          </w:tcPr>
          <w:p w14:paraId="09BE95F0">
            <w:pPr>
              <w:pStyle w:val="12"/>
              <w:jc w:val="center"/>
            </w:pPr>
            <w:r>
              <w:rPr>
                <w:rFonts w:hint="eastAsia"/>
              </w:rPr>
              <w:t>103.85</w:t>
            </w:r>
          </w:p>
        </w:tc>
        <w:tc>
          <w:tcPr>
            <w:tcW w:w="715" w:type="pct"/>
            <w:vAlign w:val="center"/>
          </w:tcPr>
          <w:p w14:paraId="2E96A497">
            <w:pPr>
              <w:pStyle w:val="12"/>
              <w:jc w:val="center"/>
            </w:pPr>
            <w:r>
              <w:rPr>
                <w:rFonts w:hint="eastAsia"/>
              </w:rPr>
              <w:t>2775</w:t>
            </w:r>
          </w:p>
        </w:tc>
        <w:tc>
          <w:tcPr>
            <w:tcW w:w="715" w:type="pct"/>
            <w:vAlign w:val="center"/>
          </w:tcPr>
          <w:p w14:paraId="5243B891">
            <w:pPr>
              <w:pStyle w:val="12"/>
              <w:jc w:val="center"/>
            </w:pPr>
            <w:r>
              <w:rPr>
                <w:rFonts w:hint="eastAsia"/>
              </w:rPr>
              <w:t>0.74</w:t>
            </w:r>
          </w:p>
        </w:tc>
        <w:tc>
          <w:tcPr>
            <w:tcW w:w="715" w:type="pct"/>
            <w:vAlign w:val="center"/>
          </w:tcPr>
          <w:p w14:paraId="4A78A1FE">
            <w:pPr>
              <w:pStyle w:val="12"/>
              <w:jc w:val="center"/>
            </w:pPr>
            <w:r>
              <w:rPr>
                <w:rFonts w:hint="eastAsia"/>
              </w:rPr>
              <w:t>115.95</w:t>
            </w:r>
          </w:p>
        </w:tc>
      </w:tr>
      <w:tr w14:paraId="7C0CDA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C9FF321">
            <w:pPr>
              <w:pStyle w:val="12"/>
              <w:jc w:val="center"/>
            </w:pPr>
            <w:r>
              <w:rPr>
                <w:rFonts w:hint="eastAsia"/>
              </w:rPr>
              <w:t>22岁</w:t>
            </w:r>
          </w:p>
        </w:tc>
        <w:tc>
          <w:tcPr>
            <w:tcW w:w="714" w:type="pct"/>
            <w:vAlign w:val="center"/>
          </w:tcPr>
          <w:p w14:paraId="30A1CE4E">
            <w:pPr>
              <w:pStyle w:val="12"/>
              <w:jc w:val="center"/>
            </w:pPr>
            <w:r>
              <w:rPr>
                <w:rFonts w:hint="eastAsia"/>
              </w:rPr>
              <w:t>10158</w:t>
            </w:r>
          </w:p>
        </w:tc>
        <w:tc>
          <w:tcPr>
            <w:tcW w:w="714" w:type="pct"/>
            <w:vAlign w:val="center"/>
          </w:tcPr>
          <w:p w14:paraId="33839C7A">
            <w:pPr>
              <w:pStyle w:val="12"/>
              <w:jc w:val="center"/>
            </w:pPr>
            <w:r>
              <w:rPr>
                <w:rFonts w:hint="eastAsia"/>
              </w:rPr>
              <w:t>2.34</w:t>
            </w:r>
          </w:p>
        </w:tc>
        <w:tc>
          <w:tcPr>
            <w:tcW w:w="715" w:type="pct"/>
            <w:vAlign w:val="center"/>
          </w:tcPr>
          <w:p w14:paraId="486073A7">
            <w:pPr>
              <w:pStyle w:val="12"/>
              <w:jc w:val="center"/>
            </w:pPr>
            <w:r>
              <w:rPr>
                <w:rFonts w:hint="eastAsia"/>
              </w:rPr>
              <w:t>98.48</w:t>
            </w:r>
          </w:p>
        </w:tc>
        <w:tc>
          <w:tcPr>
            <w:tcW w:w="715" w:type="pct"/>
            <w:vAlign w:val="center"/>
          </w:tcPr>
          <w:p w14:paraId="0100BD85">
            <w:pPr>
              <w:pStyle w:val="12"/>
              <w:jc w:val="center"/>
            </w:pPr>
            <w:r>
              <w:rPr>
                <w:rFonts w:hint="eastAsia"/>
              </w:rPr>
              <w:t>2945</w:t>
            </w:r>
          </w:p>
        </w:tc>
        <w:tc>
          <w:tcPr>
            <w:tcW w:w="715" w:type="pct"/>
            <w:vAlign w:val="center"/>
          </w:tcPr>
          <w:p w14:paraId="64D8888F">
            <w:pPr>
              <w:pStyle w:val="12"/>
              <w:jc w:val="center"/>
            </w:pPr>
            <w:r>
              <w:rPr>
                <w:rFonts w:hint="eastAsia"/>
              </w:rPr>
              <w:t>0.79</w:t>
            </w:r>
          </w:p>
        </w:tc>
        <w:tc>
          <w:tcPr>
            <w:tcW w:w="715" w:type="pct"/>
            <w:vAlign w:val="center"/>
          </w:tcPr>
          <w:p w14:paraId="70749330">
            <w:pPr>
              <w:pStyle w:val="12"/>
              <w:jc w:val="center"/>
            </w:pPr>
            <w:r>
              <w:rPr>
                <w:rFonts w:hint="eastAsia"/>
              </w:rPr>
              <w:t>98.85</w:t>
            </w:r>
          </w:p>
        </w:tc>
      </w:tr>
      <w:tr w14:paraId="226FE1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D6DB80D">
            <w:pPr>
              <w:pStyle w:val="12"/>
              <w:jc w:val="center"/>
            </w:pPr>
            <w:r>
              <w:rPr>
                <w:rFonts w:hint="eastAsia"/>
              </w:rPr>
              <w:t>23岁</w:t>
            </w:r>
          </w:p>
        </w:tc>
        <w:tc>
          <w:tcPr>
            <w:tcW w:w="714" w:type="pct"/>
            <w:vAlign w:val="center"/>
          </w:tcPr>
          <w:p w14:paraId="3DF1EC20">
            <w:pPr>
              <w:pStyle w:val="12"/>
              <w:jc w:val="center"/>
            </w:pPr>
            <w:r>
              <w:rPr>
                <w:rFonts w:hint="eastAsia"/>
              </w:rPr>
              <w:t>9633</w:t>
            </w:r>
          </w:p>
        </w:tc>
        <w:tc>
          <w:tcPr>
            <w:tcW w:w="714" w:type="pct"/>
            <w:vAlign w:val="center"/>
          </w:tcPr>
          <w:p w14:paraId="3A4D01A3">
            <w:pPr>
              <w:pStyle w:val="12"/>
              <w:jc w:val="center"/>
            </w:pPr>
            <w:r>
              <w:rPr>
                <w:rFonts w:hint="eastAsia"/>
              </w:rPr>
              <w:t>2.22</w:t>
            </w:r>
          </w:p>
        </w:tc>
        <w:tc>
          <w:tcPr>
            <w:tcW w:w="715" w:type="pct"/>
            <w:vAlign w:val="center"/>
          </w:tcPr>
          <w:p w14:paraId="4D85600C">
            <w:pPr>
              <w:pStyle w:val="12"/>
              <w:jc w:val="center"/>
            </w:pPr>
            <w:r>
              <w:rPr>
                <w:rFonts w:hint="eastAsia"/>
              </w:rPr>
              <w:t>97.92</w:t>
            </w:r>
          </w:p>
        </w:tc>
        <w:tc>
          <w:tcPr>
            <w:tcW w:w="715" w:type="pct"/>
            <w:vAlign w:val="center"/>
          </w:tcPr>
          <w:p w14:paraId="6B6D8081">
            <w:pPr>
              <w:pStyle w:val="12"/>
              <w:jc w:val="center"/>
            </w:pPr>
            <w:r>
              <w:rPr>
                <w:rFonts w:hint="eastAsia"/>
              </w:rPr>
              <w:t>2995</w:t>
            </w:r>
          </w:p>
        </w:tc>
        <w:tc>
          <w:tcPr>
            <w:tcW w:w="715" w:type="pct"/>
            <w:vAlign w:val="center"/>
          </w:tcPr>
          <w:p w14:paraId="02F90D77">
            <w:pPr>
              <w:pStyle w:val="12"/>
              <w:jc w:val="center"/>
            </w:pPr>
            <w:r>
              <w:rPr>
                <w:rFonts w:hint="eastAsia"/>
              </w:rPr>
              <w:t>0.80</w:t>
            </w:r>
          </w:p>
        </w:tc>
        <w:tc>
          <w:tcPr>
            <w:tcW w:w="715" w:type="pct"/>
            <w:vAlign w:val="center"/>
          </w:tcPr>
          <w:p w14:paraId="7E7935C9">
            <w:pPr>
              <w:pStyle w:val="12"/>
              <w:jc w:val="center"/>
            </w:pPr>
            <w:r>
              <w:rPr>
                <w:rFonts w:hint="eastAsia"/>
              </w:rPr>
              <w:t>94.86</w:t>
            </w:r>
          </w:p>
        </w:tc>
      </w:tr>
      <w:tr w14:paraId="7D7B99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5B39F7E">
            <w:pPr>
              <w:pStyle w:val="12"/>
              <w:jc w:val="center"/>
            </w:pPr>
            <w:r>
              <w:rPr>
                <w:rFonts w:hint="eastAsia"/>
              </w:rPr>
              <w:t>24岁</w:t>
            </w:r>
          </w:p>
        </w:tc>
        <w:tc>
          <w:tcPr>
            <w:tcW w:w="714" w:type="pct"/>
            <w:vAlign w:val="center"/>
          </w:tcPr>
          <w:p w14:paraId="35F2CF66">
            <w:pPr>
              <w:pStyle w:val="12"/>
              <w:jc w:val="center"/>
            </w:pPr>
            <w:r>
              <w:rPr>
                <w:rFonts w:hint="eastAsia"/>
              </w:rPr>
              <w:t>10313</w:t>
            </w:r>
          </w:p>
        </w:tc>
        <w:tc>
          <w:tcPr>
            <w:tcW w:w="714" w:type="pct"/>
            <w:vAlign w:val="center"/>
          </w:tcPr>
          <w:p w14:paraId="3E015436">
            <w:pPr>
              <w:pStyle w:val="12"/>
              <w:jc w:val="center"/>
            </w:pPr>
            <w:r>
              <w:rPr>
                <w:rFonts w:hint="eastAsia"/>
              </w:rPr>
              <w:t>2.38</w:t>
            </w:r>
          </w:p>
        </w:tc>
        <w:tc>
          <w:tcPr>
            <w:tcW w:w="715" w:type="pct"/>
            <w:vAlign w:val="center"/>
          </w:tcPr>
          <w:p w14:paraId="2F414BC9">
            <w:pPr>
              <w:pStyle w:val="12"/>
              <w:jc w:val="center"/>
            </w:pPr>
            <w:r>
              <w:rPr>
                <w:rFonts w:hint="eastAsia"/>
              </w:rPr>
              <w:t>102.26</w:t>
            </w:r>
          </w:p>
        </w:tc>
        <w:tc>
          <w:tcPr>
            <w:tcW w:w="715" w:type="pct"/>
            <w:vAlign w:val="center"/>
          </w:tcPr>
          <w:p w14:paraId="1ED5ABCF">
            <w:pPr>
              <w:pStyle w:val="12"/>
              <w:jc w:val="center"/>
            </w:pPr>
            <w:r>
              <w:rPr>
                <w:rFonts w:hint="eastAsia"/>
              </w:rPr>
              <w:t>3581</w:t>
            </w:r>
          </w:p>
        </w:tc>
        <w:tc>
          <w:tcPr>
            <w:tcW w:w="715" w:type="pct"/>
            <w:vAlign w:val="center"/>
          </w:tcPr>
          <w:p w14:paraId="0E8D99EF">
            <w:pPr>
              <w:pStyle w:val="12"/>
              <w:jc w:val="center"/>
            </w:pPr>
            <w:r>
              <w:rPr>
                <w:rFonts w:hint="eastAsia"/>
              </w:rPr>
              <w:t>0.96</w:t>
            </w:r>
          </w:p>
        </w:tc>
        <w:tc>
          <w:tcPr>
            <w:tcW w:w="715" w:type="pct"/>
            <w:vAlign w:val="center"/>
          </w:tcPr>
          <w:p w14:paraId="2F9240F8">
            <w:pPr>
              <w:pStyle w:val="12"/>
              <w:jc w:val="center"/>
            </w:pPr>
            <w:r>
              <w:rPr>
                <w:rFonts w:hint="eastAsia"/>
              </w:rPr>
              <w:t>87.00</w:t>
            </w:r>
          </w:p>
        </w:tc>
      </w:tr>
      <w:tr w14:paraId="6D55E8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27DF67A">
            <w:pPr>
              <w:pStyle w:val="12"/>
              <w:jc w:val="center"/>
            </w:pPr>
            <w:r>
              <w:rPr>
                <w:rFonts w:hint="eastAsia"/>
              </w:rPr>
              <w:t>25岁~29岁</w:t>
            </w:r>
          </w:p>
        </w:tc>
        <w:tc>
          <w:tcPr>
            <w:tcW w:w="714" w:type="pct"/>
            <w:vAlign w:val="center"/>
          </w:tcPr>
          <w:p w14:paraId="351AE788">
            <w:pPr>
              <w:pStyle w:val="12"/>
              <w:jc w:val="center"/>
            </w:pPr>
            <w:r>
              <w:rPr>
                <w:rFonts w:hint="eastAsia"/>
              </w:rPr>
              <w:t>40228</w:t>
            </w:r>
          </w:p>
        </w:tc>
        <w:tc>
          <w:tcPr>
            <w:tcW w:w="714" w:type="pct"/>
            <w:vAlign w:val="center"/>
          </w:tcPr>
          <w:p w14:paraId="7AC901FE">
            <w:pPr>
              <w:pStyle w:val="12"/>
              <w:jc w:val="center"/>
            </w:pPr>
            <w:r>
              <w:rPr>
                <w:rFonts w:hint="eastAsia"/>
              </w:rPr>
              <w:t>9.27</w:t>
            </w:r>
          </w:p>
        </w:tc>
        <w:tc>
          <w:tcPr>
            <w:tcW w:w="715" w:type="pct"/>
            <w:vAlign w:val="center"/>
          </w:tcPr>
          <w:p w14:paraId="13EACEAC">
            <w:pPr>
              <w:pStyle w:val="12"/>
              <w:jc w:val="center"/>
            </w:pPr>
            <w:r>
              <w:rPr>
                <w:rFonts w:hint="eastAsia"/>
              </w:rPr>
              <w:t>104.98</w:t>
            </w:r>
          </w:p>
        </w:tc>
        <w:tc>
          <w:tcPr>
            <w:tcW w:w="715" w:type="pct"/>
            <w:vAlign w:val="center"/>
          </w:tcPr>
          <w:p w14:paraId="122D2BF2">
            <w:pPr>
              <w:pStyle w:val="12"/>
              <w:jc w:val="center"/>
            </w:pPr>
            <w:r>
              <w:rPr>
                <w:rFonts w:hint="eastAsia"/>
              </w:rPr>
              <w:t>27001</w:t>
            </w:r>
          </w:p>
        </w:tc>
        <w:tc>
          <w:tcPr>
            <w:tcW w:w="715" w:type="pct"/>
            <w:vAlign w:val="center"/>
          </w:tcPr>
          <w:p w14:paraId="22033721">
            <w:pPr>
              <w:pStyle w:val="12"/>
              <w:jc w:val="center"/>
            </w:pPr>
            <w:r>
              <w:rPr>
                <w:rFonts w:hint="eastAsia"/>
              </w:rPr>
              <w:t>7.24</w:t>
            </w:r>
          </w:p>
        </w:tc>
        <w:tc>
          <w:tcPr>
            <w:tcW w:w="715" w:type="pct"/>
            <w:vAlign w:val="center"/>
          </w:tcPr>
          <w:p w14:paraId="2E73A826">
            <w:pPr>
              <w:pStyle w:val="12"/>
              <w:jc w:val="center"/>
            </w:pPr>
            <w:r>
              <w:rPr>
                <w:rFonts w:hint="eastAsia"/>
              </w:rPr>
              <w:t>84.01</w:t>
            </w:r>
          </w:p>
        </w:tc>
      </w:tr>
      <w:tr w14:paraId="32BD5E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B84AE4A">
            <w:pPr>
              <w:pStyle w:val="12"/>
              <w:jc w:val="center"/>
            </w:pPr>
            <w:r>
              <w:rPr>
                <w:rFonts w:hint="eastAsia"/>
              </w:rPr>
              <w:t>25岁</w:t>
            </w:r>
          </w:p>
        </w:tc>
        <w:tc>
          <w:tcPr>
            <w:tcW w:w="714" w:type="pct"/>
            <w:vAlign w:val="center"/>
          </w:tcPr>
          <w:p w14:paraId="279500A7">
            <w:pPr>
              <w:pStyle w:val="12"/>
              <w:jc w:val="center"/>
            </w:pPr>
            <w:r>
              <w:rPr>
                <w:rFonts w:hint="eastAsia"/>
              </w:rPr>
              <w:t>9882</w:t>
            </w:r>
          </w:p>
        </w:tc>
        <w:tc>
          <w:tcPr>
            <w:tcW w:w="714" w:type="pct"/>
            <w:vAlign w:val="center"/>
          </w:tcPr>
          <w:p w14:paraId="18B4B874">
            <w:pPr>
              <w:pStyle w:val="12"/>
              <w:jc w:val="center"/>
            </w:pPr>
            <w:r>
              <w:rPr>
                <w:rFonts w:hint="eastAsia"/>
              </w:rPr>
              <w:t>2.28</w:t>
            </w:r>
          </w:p>
        </w:tc>
        <w:tc>
          <w:tcPr>
            <w:tcW w:w="715" w:type="pct"/>
            <w:vAlign w:val="center"/>
          </w:tcPr>
          <w:p w14:paraId="0B21F5D4">
            <w:pPr>
              <w:pStyle w:val="12"/>
              <w:jc w:val="center"/>
            </w:pPr>
            <w:r>
              <w:rPr>
                <w:rFonts w:hint="eastAsia"/>
              </w:rPr>
              <w:t>100.77</w:t>
            </w:r>
          </w:p>
        </w:tc>
        <w:tc>
          <w:tcPr>
            <w:tcW w:w="715" w:type="pct"/>
            <w:vAlign w:val="center"/>
          </w:tcPr>
          <w:p w14:paraId="6E886F36">
            <w:pPr>
              <w:pStyle w:val="12"/>
              <w:jc w:val="center"/>
            </w:pPr>
            <w:r>
              <w:rPr>
                <w:rFonts w:hint="eastAsia"/>
              </w:rPr>
              <w:t>4152</w:t>
            </w:r>
          </w:p>
        </w:tc>
        <w:tc>
          <w:tcPr>
            <w:tcW w:w="715" w:type="pct"/>
            <w:vAlign w:val="center"/>
          </w:tcPr>
          <w:p w14:paraId="000BA627">
            <w:pPr>
              <w:pStyle w:val="12"/>
              <w:jc w:val="center"/>
            </w:pPr>
            <w:r>
              <w:rPr>
                <w:rFonts w:hint="eastAsia"/>
              </w:rPr>
              <w:t>1.11</w:t>
            </w:r>
          </w:p>
        </w:tc>
        <w:tc>
          <w:tcPr>
            <w:tcW w:w="715" w:type="pct"/>
            <w:vAlign w:val="center"/>
          </w:tcPr>
          <w:p w14:paraId="7A190EF9">
            <w:pPr>
              <w:pStyle w:val="12"/>
              <w:jc w:val="center"/>
            </w:pPr>
            <w:r>
              <w:rPr>
                <w:rFonts w:hint="eastAsia"/>
              </w:rPr>
              <w:t>91.16</w:t>
            </w:r>
          </w:p>
        </w:tc>
      </w:tr>
      <w:tr w14:paraId="527BA7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231B51DE">
            <w:pPr>
              <w:pStyle w:val="12"/>
              <w:jc w:val="center"/>
            </w:pPr>
            <w:r>
              <w:rPr>
                <w:rFonts w:hint="eastAsia"/>
              </w:rPr>
              <w:t>26岁</w:t>
            </w:r>
          </w:p>
        </w:tc>
        <w:tc>
          <w:tcPr>
            <w:tcW w:w="714" w:type="pct"/>
            <w:vAlign w:val="center"/>
          </w:tcPr>
          <w:p w14:paraId="4E2B1800">
            <w:pPr>
              <w:pStyle w:val="12"/>
              <w:jc w:val="center"/>
            </w:pPr>
            <w:r>
              <w:rPr>
                <w:rFonts w:hint="eastAsia"/>
              </w:rPr>
              <w:t>9581</w:t>
            </w:r>
          </w:p>
        </w:tc>
        <w:tc>
          <w:tcPr>
            <w:tcW w:w="714" w:type="pct"/>
            <w:vAlign w:val="center"/>
          </w:tcPr>
          <w:p w14:paraId="17AC4DC9">
            <w:pPr>
              <w:pStyle w:val="12"/>
              <w:jc w:val="center"/>
            </w:pPr>
            <w:r>
              <w:rPr>
                <w:rFonts w:hint="eastAsia"/>
              </w:rPr>
              <w:t>2.21</w:t>
            </w:r>
          </w:p>
        </w:tc>
        <w:tc>
          <w:tcPr>
            <w:tcW w:w="715" w:type="pct"/>
            <w:vAlign w:val="center"/>
          </w:tcPr>
          <w:p w14:paraId="32D3F3D4">
            <w:pPr>
              <w:pStyle w:val="12"/>
              <w:jc w:val="center"/>
            </w:pPr>
            <w:r>
              <w:rPr>
                <w:rFonts w:hint="eastAsia"/>
              </w:rPr>
              <w:t>106.98</w:t>
            </w:r>
          </w:p>
        </w:tc>
        <w:tc>
          <w:tcPr>
            <w:tcW w:w="715" w:type="pct"/>
            <w:vAlign w:val="center"/>
          </w:tcPr>
          <w:p w14:paraId="7423721B">
            <w:pPr>
              <w:pStyle w:val="12"/>
              <w:jc w:val="center"/>
            </w:pPr>
            <w:r>
              <w:rPr>
                <w:rFonts w:hint="eastAsia"/>
              </w:rPr>
              <w:t>5078</w:t>
            </w:r>
          </w:p>
        </w:tc>
        <w:tc>
          <w:tcPr>
            <w:tcW w:w="715" w:type="pct"/>
            <w:vAlign w:val="center"/>
          </w:tcPr>
          <w:p w14:paraId="29874FE2">
            <w:pPr>
              <w:pStyle w:val="12"/>
              <w:jc w:val="center"/>
            </w:pPr>
            <w:r>
              <w:rPr>
                <w:rFonts w:hint="eastAsia"/>
              </w:rPr>
              <w:t>1.36</w:t>
            </w:r>
          </w:p>
        </w:tc>
        <w:tc>
          <w:tcPr>
            <w:tcW w:w="715" w:type="pct"/>
            <w:vAlign w:val="center"/>
          </w:tcPr>
          <w:p w14:paraId="1047F498">
            <w:pPr>
              <w:pStyle w:val="12"/>
              <w:jc w:val="center"/>
            </w:pPr>
            <w:r>
              <w:rPr>
                <w:rFonts w:hint="eastAsia"/>
              </w:rPr>
              <w:t>87.24</w:t>
            </w:r>
          </w:p>
        </w:tc>
      </w:tr>
      <w:tr w14:paraId="2724BD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4500C40D">
            <w:pPr>
              <w:pStyle w:val="12"/>
              <w:jc w:val="center"/>
            </w:pPr>
            <w:r>
              <w:rPr>
                <w:rFonts w:hint="eastAsia"/>
              </w:rPr>
              <w:t>27岁</w:t>
            </w:r>
          </w:p>
        </w:tc>
        <w:tc>
          <w:tcPr>
            <w:tcW w:w="714" w:type="pct"/>
            <w:vAlign w:val="center"/>
          </w:tcPr>
          <w:p w14:paraId="514B19F0">
            <w:pPr>
              <w:pStyle w:val="12"/>
              <w:jc w:val="center"/>
            </w:pPr>
            <w:r>
              <w:rPr>
                <w:rFonts w:hint="eastAsia"/>
              </w:rPr>
              <w:t>9178</w:t>
            </w:r>
          </w:p>
        </w:tc>
        <w:tc>
          <w:tcPr>
            <w:tcW w:w="714" w:type="pct"/>
            <w:vAlign w:val="center"/>
          </w:tcPr>
          <w:p w14:paraId="37E36E93">
            <w:pPr>
              <w:pStyle w:val="12"/>
              <w:jc w:val="center"/>
            </w:pPr>
            <w:r>
              <w:rPr>
                <w:rFonts w:hint="eastAsia"/>
              </w:rPr>
              <w:t>2.11</w:t>
            </w:r>
          </w:p>
        </w:tc>
        <w:tc>
          <w:tcPr>
            <w:tcW w:w="715" w:type="pct"/>
            <w:vAlign w:val="center"/>
          </w:tcPr>
          <w:p w14:paraId="7A3E2BB2">
            <w:pPr>
              <w:pStyle w:val="12"/>
              <w:jc w:val="center"/>
            </w:pPr>
            <w:r>
              <w:rPr>
                <w:rFonts w:hint="eastAsia"/>
              </w:rPr>
              <w:t>104.27</w:t>
            </w:r>
          </w:p>
        </w:tc>
        <w:tc>
          <w:tcPr>
            <w:tcW w:w="715" w:type="pct"/>
            <w:vAlign w:val="center"/>
          </w:tcPr>
          <w:p w14:paraId="6EDB79E6">
            <w:pPr>
              <w:pStyle w:val="12"/>
              <w:jc w:val="center"/>
            </w:pPr>
            <w:r>
              <w:rPr>
                <w:rFonts w:hint="eastAsia"/>
              </w:rPr>
              <w:t>5457</w:t>
            </w:r>
          </w:p>
        </w:tc>
        <w:tc>
          <w:tcPr>
            <w:tcW w:w="715" w:type="pct"/>
            <w:vAlign w:val="center"/>
          </w:tcPr>
          <w:p w14:paraId="6E4DBA9C">
            <w:pPr>
              <w:pStyle w:val="12"/>
              <w:jc w:val="center"/>
            </w:pPr>
            <w:r>
              <w:rPr>
                <w:rFonts w:hint="eastAsia"/>
              </w:rPr>
              <w:t>1.46</w:t>
            </w:r>
          </w:p>
        </w:tc>
        <w:tc>
          <w:tcPr>
            <w:tcW w:w="715" w:type="pct"/>
            <w:vAlign w:val="center"/>
          </w:tcPr>
          <w:p w14:paraId="64B30B4D">
            <w:pPr>
              <w:pStyle w:val="12"/>
              <w:jc w:val="center"/>
            </w:pPr>
            <w:r>
              <w:rPr>
                <w:rFonts w:hint="eastAsia"/>
              </w:rPr>
              <w:t>77.52</w:t>
            </w:r>
          </w:p>
        </w:tc>
      </w:tr>
      <w:tr w14:paraId="400124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FC8F63B">
            <w:pPr>
              <w:pStyle w:val="12"/>
              <w:jc w:val="center"/>
            </w:pPr>
            <w:r>
              <w:rPr>
                <w:rFonts w:hint="eastAsia"/>
              </w:rPr>
              <w:t>28岁</w:t>
            </w:r>
          </w:p>
        </w:tc>
        <w:tc>
          <w:tcPr>
            <w:tcW w:w="714" w:type="pct"/>
            <w:vAlign w:val="center"/>
          </w:tcPr>
          <w:p w14:paraId="6EC91D5B">
            <w:pPr>
              <w:pStyle w:val="12"/>
              <w:jc w:val="center"/>
            </w:pPr>
            <w:r>
              <w:rPr>
                <w:rFonts w:hint="eastAsia"/>
              </w:rPr>
              <w:t>7312</w:t>
            </w:r>
          </w:p>
        </w:tc>
        <w:tc>
          <w:tcPr>
            <w:tcW w:w="714" w:type="pct"/>
            <w:vAlign w:val="center"/>
          </w:tcPr>
          <w:p w14:paraId="761AAFC9">
            <w:pPr>
              <w:pStyle w:val="12"/>
              <w:jc w:val="center"/>
            </w:pPr>
            <w:r>
              <w:rPr>
                <w:rFonts w:hint="eastAsia"/>
              </w:rPr>
              <w:t>1.68</w:t>
            </w:r>
          </w:p>
        </w:tc>
        <w:tc>
          <w:tcPr>
            <w:tcW w:w="715" w:type="pct"/>
            <w:vAlign w:val="center"/>
          </w:tcPr>
          <w:p w14:paraId="52D5B316">
            <w:pPr>
              <w:pStyle w:val="12"/>
              <w:jc w:val="center"/>
            </w:pPr>
            <w:r>
              <w:rPr>
                <w:rFonts w:hint="eastAsia"/>
              </w:rPr>
              <w:t>109.45</w:t>
            </w:r>
          </w:p>
        </w:tc>
        <w:tc>
          <w:tcPr>
            <w:tcW w:w="715" w:type="pct"/>
            <w:vAlign w:val="center"/>
          </w:tcPr>
          <w:p w14:paraId="0B8AB4FD">
            <w:pPr>
              <w:pStyle w:val="12"/>
              <w:jc w:val="center"/>
            </w:pPr>
            <w:r>
              <w:rPr>
                <w:rFonts w:hint="eastAsia"/>
              </w:rPr>
              <w:t>5944</w:t>
            </w:r>
          </w:p>
        </w:tc>
        <w:tc>
          <w:tcPr>
            <w:tcW w:w="715" w:type="pct"/>
            <w:vAlign w:val="center"/>
          </w:tcPr>
          <w:p w14:paraId="2096B055">
            <w:pPr>
              <w:pStyle w:val="12"/>
              <w:jc w:val="center"/>
            </w:pPr>
            <w:r>
              <w:rPr>
                <w:rFonts w:hint="eastAsia"/>
              </w:rPr>
              <w:t>1.59</w:t>
            </w:r>
          </w:p>
        </w:tc>
        <w:tc>
          <w:tcPr>
            <w:tcW w:w="715" w:type="pct"/>
            <w:vAlign w:val="center"/>
          </w:tcPr>
          <w:p w14:paraId="78BCBE55">
            <w:pPr>
              <w:pStyle w:val="12"/>
              <w:jc w:val="center"/>
            </w:pPr>
            <w:r>
              <w:rPr>
                <w:rFonts w:hint="eastAsia"/>
              </w:rPr>
              <w:t>82.05</w:t>
            </w:r>
          </w:p>
        </w:tc>
      </w:tr>
      <w:tr w14:paraId="7E89523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DF4A562">
            <w:pPr>
              <w:pStyle w:val="12"/>
              <w:jc w:val="center"/>
            </w:pPr>
            <w:r>
              <w:rPr>
                <w:rFonts w:hint="eastAsia"/>
              </w:rPr>
              <w:t>29岁</w:t>
            </w:r>
          </w:p>
        </w:tc>
        <w:tc>
          <w:tcPr>
            <w:tcW w:w="714" w:type="pct"/>
            <w:vAlign w:val="center"/>
          </w:tcPr>
          <w:p w14:paraId="27835583">
            <w:pPr>
              <w:pStyle w:val="12"/>
              <w:jc w:val="center"/>
            </w:pPr>
            <w:r>
              <w:rPr>
                <w:rFonts w:hint="eastAsia"/>
              </w:rPr>
              <w:t>4275</w:t>
            </w:r>
          </w:p>
        </w:tc>
        <w:tc>
          <w:tcPr>
            <w:tcW w:w="714" w:type="pct"/>
            <w:vAlign w:val="center"/>
          </w:tcPr>
          <w:p w14:paraId="02E89A4F">
            <w:pPr>
              <w:pStyle w:val="12"/>
              <w:jc w:val="center"/>
            </w:pPr>
            <w:r>
              <w:rPr>
                <w:rFonts w:hint="eastAsia"/>
              </w:rPr>
              <w:t>0.98</w:t>
            </w:r>
          </w:p>
        </w:tc>
        <w:tc>
          <w:tcPr>
            <w:tcW w:w="715" w:type="pct"/>
            <w:vAlign w:val="center"/>
          </w:tcPr>
          <w:p w14:paraId="015EC8B5">
            <w:pPr>
              <w:pStyle w:val="12"/>
              <w:jc w:val="center"/>
            </w:pPr>
            <w:r>
              <w:rPr>
                <w:rFonts w:hint="eastAsia"/>
              </w:rPr>
              <w:t>104.64</w:t>
            </w:r>
          </w:p>
        </w:tc>
        <w:tc>
          <w:tcPr>
            <w:tcW w:w="715" w:type="pct"/>
            <w:vAlign w:val="center"/>
          </w:tcPr>
          <w:p w14:paraId="630E145C">
            <w:pPr>
              <w:pStyle w:val="12"/>
              <w:jc w:val="center"/>
            </w:pPr>
            <w:r>
              <w:rPr>
                <w:rFonts w:hint="eastAsia"/>
              </w:rPr>
              <w:t>6370</w:t>
            </w:r>
          </w:p>
        </w:tc>
        <w:tc>
          <w:tcPr>
            <w:tcW w:w="715" w:type="pct"/>
            <w:vAlign w:val="center"/>
          </w:tcPr>
          <w:p w14:paraId="138B1645">
            <w:pPr>
              <w:pStyle w:val="12"/>
              <w:jc w:val="center"/>
            </w:pPr>
            <w:r>
              <w:rPr>
                <w:rFonts w:hint="eastAsia"/>
              </w:rPr>
              <w:t>1.71</w:t>
            </w:r>
          </w:p>
        </w:tc>
        <w:tc>
          <w:tcPr>
            <w:tcW w:w="715" w:type="pct"/>
            <w:vAlign w:val="center"/>
          </w:tcPr>
          <w:p w14:paraId="2752A5DC">
            <w:pPr>
              <w:pStyle w:val="12"/>
              <w:jc w:val="center"/>
            </w:pPr>
            <w:r>
              <w:rPr>
                <w:rFonts w:hint="eastAsia"/>
              </w:rPr>
              <w:t>84.64</w:t>
            </w:r>
          </w:p>
        </w:tc>
      </w:tr>
      <w:tr w14:paraId="7A58DE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4DF8277">
            <w:pPr>
              <w:pStyle w:val="12"/>
              <w:jc w:val="center"/>
            </w:pPr>
            <w:r>
              <w:rPr>
                <w:rFonts w:hint="eastAsia"/>
              </w:rPr>
              <w:t>30岁~34岁</w:t>
            </w:r>
          </w:p>
        </w:tc>
        <w:tc>
          <w:tcPr>
            <w:tcW w:w="714" w:type="pct"/>
            <w:vAlign w:val="center"/>
          </w:tcPr>
          <w:p w14:paraId="36E12934">
            <w:pPr>
              <w:pStyle w:val="12"/>
              <w:jc w:val="center"/>
            </w:pPr>
            <w:r>
              <w:rPr>
                <w:rFonts w:hint="eastAsia"/>
              </w:rPr>
              <w:t>26678</w:t>
            </w:r>
          </w:p>
        </w:tc>
        <w:tc>
          <w:tcPr>
            <w:tcW w:w="714" w:type="pct"/>
            <w:vAlign w:val="center"/>
          </w:tcPr>
          <w:p w14:paraId="32B3C228">
            <w:pPr>
              <w:pStyle w:val="12"/>
              <w:jc w:val="center"/>
            </w:pPr>
            <w:r>
              <w:rPr>
                <w:rFonts w:hint="eastAsia"/>
              </w:rPr>
              <w:t>6.14</w:t>
            </w:r>
          </w:p>
        </w:tc>
        <w:tc>
          <w:tcPr>
            <w:tcW w:w="715" w:type="pct"/>
            <w:vAlign w:val="center"/>
          </w:tcPr>
          <w:p w14:paraId="7AF3E26D">
            <w:pPr>
              <w:pStyle w:val="12"/>
              <w:jc w:val="center"/>
            </w:pPr>
            <w:r>
              <w:rPr>
                <w:rFonts w:hint="eastAsia"/>
              </w:rPr>
              <w:t>107.71</w:t>
            </w:r>
          </w:p>
        </w:tc>
        <w:tc>
          <w:tcPr>
            <w:tcW w:w="715" w:type="pct"/>
            <w:vAlign w:val="center"/>
          </w:tcPr>
          <w:p w14:paraId="4DC9D2E5">
            <w:pPr>
              <w:pStyle w:val="12"/>
              <w:jc w:val="center"/>
            </w:pPr>
            <w:r>
              <w:rPr>
                <w:rFonts w:hint="eastAsia"/>
              </w:rPr>
              <w:t>38240</w:t>
            </w:r>
          </w:p>
        </w:tc>
        <w:tc>
          <w:tcPr>
            <w:tcW w:w="715" w:type="pct"/>
            <w:vAlign w:val="center"/>
          </w:tcPr>
          <w:p w14:paraId="64D0CCCC">
            <w:pPr>
              <w:pStyle w:val="12"/>
              <w:jc w:val="center"/>
            </w:pPr>
            <w:r>
              <w:rPr>
                <w:rFonts w:hint="eastAsia"/>
              </w:rPr>
              <w:t>10.26</w:t>
            </w:r>
          </w:p>
        </w:tc>
        <w:tc>
          <w:tcPr>
            <w:tcW w:w="715" w:type="pct"/>
            <w:vAlign w:val="center"/>
          </w:tcPr>
          <w:p w14:paraId="3F49992E">
            <w:pPr>
              <w:pStyle w:val="12"/>
              <w:jc w:val="center"/>
            </w:pPr>
            <w:r>
              <w:rPr>
                <w:rFonts w:hint="eastAsia"/>
              </w:rPr>
              <w:t>89.14</w:t>
            </w:r>
          </w:p>
        </w:tc>
      </w:tr>
      <w:tr w14:paraId="1982E5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B11CB29">
            <w:pPr>
              <w:pStyle w:val="12"/>
              <w:jc w:val="center"/>
            </w:pPr>
            <w:r>
              <w:rPr>
                <w:rFonts w:hint="eastAsia"/>
              </w:rPr>
              <w:t>30岁</w:t>
            </w:r>
          </w:p>
        </w:tc>
        <w:tc>
          <w:tcPr>
            <w:tcW w:w="714" w:type="pct"/>
            <w:vAlign w:val="center"/>
          </w:tcPr>
          <w:p w14:paraId="7AD27146">
            <w:pPr>
              <w:pStyle w:val="12"/>
              <w:jc w:val="center"/>
            </w:pPr>
            <w:r>
              <w:rPr>
                <w:rFonts w:hint="eastAsia"/>
              </w:rPr>
              <w:t>3863</w:t>
            </w:r>
          </w:p>
        </w:tc>
        <w:tc>
          <w:tcPr>
            <w:tcW w:w="714" w:type="pct"/>
            <w:vAlign w:val="center"/>
          </w:tcPr>
          <w:p w14:paraId="23AA6443">
            <w:pPr>
              <w:pStyle w:val="12"/>
              <w:jc w:val="center"/>
            </w:pPr>
            <w:r>
              <w:rPr>
                <w:rFonts w:hint="eastAsia"/>
              </w:rPr>
              <w:t>0.89</w:t>
            </w:r>
          </w:p>
        </w:tc>
        <w:tc>
          <w:tcPr>
            <w:tcW w:w="715" w:type="pct"/>
            <w:vAlign w:val="center"/>
          </w:tcPr>
          <w:p w14:paraId="4E739B35">
            <w:pPr>
              <w:pStyle w:val="12"/>
              <w:jc w:val="center"/>
            </w:pPr>
            <w:r>
              <w:rPr>
                <w:rFonts w:hint="eastAsia"/>
              </w:rPr>
              <w:t>99.95</w:t>
            </w:r>
          </w:p>
        </w:tc>
        <w:tc>
          <w:tcPr>
            <w:tcW w:w="715" w:type="pct"/>
            <w:vAlign w:val="center"/>
          </w:tcPr>
          <w:p w14:paraId="6841F447">
            <w:pPr>
              <w:pStyle w:val="12"/>
              <w:jc w:val="center"/>
            </w:pPr>
            <w:r>
              <w:rPr>
                <w:rFonts w:hint="eastAsia"/>
              </w:rPr>
              <w:t>7119</w:t>
            </w:r>
          </w:p>
        </w:tc>
        <w:tc>
          <w:tcPr>
            <w:tcW w:w="715" w:type="pct"/>
            <w:vAlign w:val="center"/>
          </w:tcPr>
          <w:p w14:paraId="38CD57E1">
            <w:pPr>
              <w:pStyle w:val="12"/>
              <w:jc w:val="center"/>
            </w:pPr>
            <w:r>
              <w:rPr>
                <w:rFonts w:hint="eastAsia"/>
              </w:rPr>
              <w:t>1.91</w:t>
            </w:r>
          </w:p>
        </w:tc>
        <w:tc>
          <w:tcPr>
            <w:tcW w:w="715" w:type="pct"/>
            <w:vAlign w:val="center"/>
          </w:tcPr>
          <w:p w14:paraId="2DD788B6">
            <w:pPr>
              <w:pStyle w:val="12"/>
              <w:jc w:val="center"/>
            </w:pPr>
            <w:r>
              <w:rPr>
                <w:rFonts w:hint="eastAsia"/>
              </w:rPr>
              <w:t>85.63</w:t>
            </w:r>
          </w:p>
        </w:tc>
      </w:tr>
      <w:tr w14:paraId="5D7C48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1170DA0">
            <w:pPr>
              <w:pStyle w:val="12"/>
              <w:jc w:val="center"/>
            </w:pPr>
            <w:r>
              <w:rPr>
                <w:rFonts w:hint="eastAsia"/>
              </w:rPr>
              <w:t>31岁</w:t>
            </w:r>
          </w:p>
        </w:tc>
        <w:tc>
          <w:tcPr>
            <w:tcW w:w="714" w:type="pct"/>
            <w:vAlign w:val="center"/>
          </w:tcPr>
          <w:p w14:paraId="65AB6B65">
            <w:pPr>
              <w:pStyle w:val="12"/>
              <w:jc w:val="center"/>
            </w:pPr>
            <w:r>
              <w:rPr>
                <w:rFonts w:hint="eastAsia"/>
              </w:rPr>
              <w:t>5165</w:t>
            </w:r>
          </w:p>
        </w:tc>
        <w:tc>
          <w:tcPr>
            <w:tcW w:w="714" w:type="pct"/>
            <w:vAlign w:val="center"/>
          </w:tcPr>
          <w:p w14:paraId="705A2F8C">
            <w:pPr>
              <w:pStyle w:val="12"/>
              <w:jc w:val="center"/>
            </w:pPr>
            <w:r>
              <w:rPr>
                <w:rFonts w:hint="eastAsia"/>
              </w:rPr>
              <w:t>1.19</w:t>
            </w:r>
          </w:p>
        </w:tc>
        <w:tc>
          <w:tcPr>
            <w:tcW w:w="715" w:type="pct"/>
            <w:vAlign w:val="center"/>
          </w:tcPr>
          <w:p w14:paraId="09F866D7">
            <w:pPr>
              <w:pStyle w:val="12"/>
              <w:jc w:val="center"/>
            </w:pPr>
            <w:r>
              <w:rPr>
                <w:rFonts w:hint="eastAsia"/>
              </w:rPr>
              <w:t>112.11</w:t>
            </w:r>
          </w:p>
        </w:tc>
        <w:tc>
          <w:tcPr>
            <w:tcW w:w="715" w:type="pct"/>
            <w:vAlign w:val="center"/>
          </w:tcPr>
          <w:p w14:paraId="2A243156">
            <w:pPr>
              <w:pStyle w:val="12"/>
              <w:jc w:val="center"/>
            </w:pPr>
            <w:r>
              <w:rPr>
                <w:rFonts w:hint="eastAsia"/>
              </w:rPr>
              <w:t>7225</w:t>
            </w:r>
          </w:p>
        </w:tc>
        <w:tc>
          <w:tcPr>
            <w:tcW w:w="715" w:type="pct"/>
            <w:vAlign w:val="center"/>
          </w:tcPr>
          <w:p w14:paraId="3AB53C88">
            <w:pPr>
              <w:pStyle w:val="12"/>
              <w:jc w:val="center"/>
            </w:pPr>
            <w:r>
              <w:rPr>
                <w:rFonts w:hint="eastAsia"/>
              </w:rPr>
              <w:t>1.94</w:t>
            </w:r>
          </w:p>
        </w:tc>
        <w:tc>
          <w:tcPr>
            <w:tcW w:w="715" w:type="pct"/>
            <w:vAlign w:val="center"/>
          </w:tcPr>
          <w:p w14:paraId="7BDEA88C">
            <w:pPr>
              <w:pStyle w:val="12"/>
              <w:jc w:val="center"/>
            </w:pPr>
            <w:r>
              <w:rPr>
                <w:rFonts w:hint="eastAsia"/>
              </w:rPr>
              <w:t>91.34</w:t>
            </w:r>
          </w:p>
        </w:tc>
      </w:tr>
      <w:tr w14:paraId="61DE61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DFC479F">
            <w:pPr>
              <w:pStyle w:val="12"/>
              <w:jc w:val="center"/>
            </w:pPr>
            <w:r>
              <w:rPr>
                <w:rFonts w:hint="eastAsia"/>
              </w:rPr>
              <w:t>32岁</w:t>
            </w:r>
          </w:p>
        </w:tc>
        <w:tc>
          <w:tcPr>
            <w:tcW w:w="714" w:type="pct"/>
            <w:vAlign w:val="center"/>
          </w:tcPr>
          <w:p w14:paraId="3322C12C">
            <w:pPr>
              <w:pStyle w:val="12"/>
              <w:jc w:val="center"/>
            </w:pPr>
            <w:r>
              <w:rPr>
                <w:rFonts w:hint="eastAsia"/>
              </w:rPr>
              <w:t>6370</w:t>
            </w:r>
          </w:p>
        </w:tc>
        <w:tc>
          <w:tcPr>
            <w:tcW w:w="714" w:type="pct"/>
            <w:vAlign w:val="center"/>
          </w:tcPr>
          <w:p w14:paraId="3002B2DD">
            <w:pPr>
              <w:pStyle w:val="12"/>
              <w:jc w:val="center"/>
            </w:pPr>
            <w:r>
              <w:rPr>
                <w:rFonts w:hint="eastAsia"/>
              </w:rPr>
              <w:t>1.47</w:t>
            </w:r>
          </w:p>
        </w:tc>
        <w:tc>
          <w:tcPr>
            <w:tcW w:w="715" w:type="pct"/>
            <w:vAlign w:val="center"/>
          </w:tcPr>
          <w:p w14:paraId="32ED56D4">
            <w:pPr>
              <w:pStyle w:val="12"/>
              <w:jc w:val="center"/>
            </w:pPr>
            <w:r>
              <w:rPr>
                <w:rFonts w:hint="eastAsia"/>
              </w:rPr>
              <w:t>115.20</w:t>
            </w:r>
          </w:p>
        </w:tc>
        <w:tc>
          <w:tcPr>
            <w:tcW w:w="715" w:type="pct"/>
            <w:vAlign w:val="center"/>
          </w:tcPr>
          <w:p w14:paraId="567BAEAD">
            <w:pPr>
              <w:pStyle w:val="12"/>
              <w:jc w:val="center"/>
            </w:pPr>
            <w:r>
              <w:rPr>
                <w:rFonts w:hint="eastAsia"/>
              </w:rPr>
              <w:t>8419</w:t>
            </w:r>
          </w:p>
        </w:tc>
        <w:tc>
          <w:tcPr>
            <w:tcW w:w="715" w:type="pct"/>
            <w:vAlign w:val="center"/>
          </w:tcPr>
          <w:p w14:paraId="3B34533C">
            <w:pPr>
              <w:pStyle w:val="12"/>
              <w:jc w:val="center"/>
            </w:pPr>
            <w:r>
              <w:rPr>
                <w:rFonts w:hint="eastAsia"/>
              </w:rPr>
              <w:t>2.26</w:t>
            </w:r>
          </w:p>
        </w:tc>
        <w:tc>
          <w:tcPr>
            <w:tcW w:w="715" w:type="pct"/>
            <w:vAlign w:val="center"/>
          </w:tcPr>
          <w:p w14:paraId="671B8EEB">
            <w:pPr>
              <w:pStyle w:val="12"/>
              <w:jc w:val="center"/>
            </w:pPr>
            <w:r>
              <w:rPr>
                <w:rFonts w:hint="eastAsia"/>
              </w:rPr>
              <w:t>86.80</w:t>
            </w:r>
          </w:p>
        </w:tc>
      </w:tr>
      <w:tr w14:paraId="13D2FD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43CBC31D">
            <w:pPr>
              <w:pStyle w:val="12"/>
              <w:jc w:val="center"/>
            </w:pPr>
            <w:r>
              <w:rPr>
                <w:rFonts w:hint="eastAsia"/>
              </w:rPr>
              <w:t>33岁</w:t>
            </w:r>
          </w:p>
        </w:tc>
        <w:tc>
          <w:tcPr>
            <w:tcW w:w="714" w:type="pct"/>
            <w:vAlign w:val="center"/>
          </w:tcPr>
          <w:p w14:paraId="25871DA1">
            <w:pPr>
              <w:pStyle w:val="12"/>
              <w:jc w:val="center"/>
            </w:pPr>
            <w:r>
              <w:rPr>
                <w:rFonts w:hint="eastAsia"/>
              </w:rPr>
              <w:t>5928</w:t>
            </w:r>
          </w:p>
        </w:tc>
        <w:tc>
          <w:tcPr>
            <w:tcW w:w="714" w:type="pct"/>
            <w:vAlign w:val="center"/>
          </w:tcPr>
          <w:p w14:paraId="793F1FC2">
            <w:pPr>
              <w:pStyle w:val="12"/>
              <w:jc w:val="center"/>
            </w:pPr>
            <w:r>
              <w:rPr>
                <w:rFonts w:hint="eastAsia"/>
              </w:rPr>
              <w:t>1.37</w:t>
            </w:r>
          </w:p>
        </w:tc>
        <w:tc>
          <w:tcPr>
            <w:tcW w:w="715" w:type="pct"/>
            <w:vAlign w:val="center"/>
          </w:tcPr>
          <w:p w14:paraId="1EF04EEC">
            <w:pPr>
              <w:pStyle w:val="12"/>
              <w:jc w:val="center"/>
            </w:pPr>
            <w:r>
              <w:rPr>
                <w:rFonts w:hint="eastAsia"/>
              </w:rPr>
              <w:t>101.70</w:t>
            </w:r>
          </w:p>
        </w:tc>
        <w:tc>
          <w:tcPr>
            <w:tcW w:w="715" w:type="pct"/>
            <w:vAlign w:val="center"/>
          </w:tcPr>
          <w:p w14:paraId="60FFA746">
            <w:pPr>
              <w:pStyle w:val="12"/>
              <w:jc w:val="center"/>
            </w:pPr>
            <w:r>
              <w:rPr>
                <w:rFonts w:hint="eastAsia"/>
              </w:rPr>
              <w:t>7259</w:t>
            </w:r>
          </w:p>
        </w:tc>
        <w:tc>
          <w:tcPr>
            <w:tcW w:w="715" w:type="pct"/>
            <w:vAlign w:val="center"/>
          </w:tcPr>
          <w:p w14:paraId="62745266">
            <w:pPr>
              <w:pStyle w:val="12"/>
              <w:jc w:val="center"/>
            </w:pPr>
            <w:r>
              <w:rPr>
                <w:rFonts w:hint="eastAsia"/>
              </w:rPr>
              <w:t>1.95</w:t>
            </w:r>
          </w:p>
        </w:tc>
        <w:tc>
          <w:tcPr>
            <w:tcW w:w="715" w:type="pct"/>
            <w:vAlign w:val="center"/>
          </w:tcPr>
          <w:p w14:paraId="06367CB7">
            <w:pPr>
              <w:pStyle w:val="12"/>
              <w:jc w:val="center"/>
            </w:pPr>
            <w:r>
              <w:rPr>
                <w:rFonts w:hint="eastAsia"/>
              </w:rPr>
              <w:t>89.68</w:t>
            </w:r>
          </w:p>
        </w:tc>
      </w:tr>
      <w:tr w14:paraId="151D25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628D5A0">
            <w:pPr>
              <w:pStyle w:val="12"/>
              <w:jc w:val="center"/>
            </w:pPr>
            <w:r>
              <w:rPr>
                <w:rFonts w:hint="eastAsia"/>
              </w:rPr>
              <w:t>34岁</w:t>
            </w:r>
          </w:p>
        </w:tc>
        <w:tc>
          <w:tcPr>
            <w:tcW w:w="714" w:type="pct"/>
            <w:vAlign w:val="center"/>
          </w:tcPr>
          <w:p w14:paraId="79100D15">
            <w:pPr>
              <w:pStyle w:val="12"/>
              <w:jc w:val="center"/>
            </w:pPr>
            <w:r>
              <w:rPr>
                <w:rFonts w:hint="eastAsia"/>
              </w:rPr>
              <w:t>5352</w:t>
            </w:r>
          </w:p>
        </w:tc>
        <w:tc>
          <w:tcPr>
            <w:tcW w:w="714" w:type="pct"/>
            <w:vAlign w:val="center"/>
          </w:tcPr>
          <w:p w14:paraId="31616C6E">
            <w:pPr>
              <w:pStyle w:val="12"/>
              <w:jc w:val="center"/>
            </w:pPr>
            <w:r>
              <w:rPr>
                <w:rFonts w:hint="eastAsia"/>
              </w:rPr>
              <w:t>1.23</w:t>
            </w:r>
          </w:p>
        </w:tc>
        <w:tc>
          <w:tcPr>
            <w:tcW w:w="715" w:type="pct"/>
            <w:vAlign w:val="center"/>
          </w:tcPr>
          <w:p w14:paraId="25A7FC14">
            <w:pPr>
              <w:pStyle w:val="12"/>
              <w:jc w:val="center"/>
            </w:pPr>
            <w:r>
              <w:rPr>
                <w:rFonts w:hint="eastAsia"/>
              </w:rPr>
              <w:t>107.60</w:t>
            </w:r>
          </w:p>
        </w:tc>
        <w:tc>
          <w:tcPr>
            <w:tcW w:w="715" w:type="pct"/>
            <w:vAlign w:val="center"/>
          </w:tcPr>
          <w:p w14:paraId="436B64DD">
            <w:pPr>
              <w:pStyle w:val="12"/>
              <w:jc w:val="center"/>
            </w:pPr>
            <w:r>
              <w:rPr>
                <w:rFonts w:hint="eastAsia"/>
              </w:rPr>
              <w:t>8218</w:t>
            </w:r>
          </w:p>
        </w:tc>
        <w:tc>
          <w:tcPr>
            <w:tcW w:w="715" w:type="pct"/>
            <w:vAlign w:val="center"/>
          </w:tcPr>
          <w:p w14:paraId="4862B3B9">
            <w:pPr>
              <w:pStyle w:val="12"/>
              <w:jc w:val="center"/>
            </w:pPr>
            <w:r>
              <w:rPr>
                <w:rFonts w:hint="eastAsia"/>
              </w:rPr>
              <w:t>2.20</w:t>
            </w:r>
          </w:p>
        </w:tc>
        <w:tc>
          <w:tcPr>
            <w:tcW w:w="715" w:type="pct"/>
            <w:vAlign w:val="center"/>
          </w:tcPr>
          <w:p w14:paraId="289B7F42">
            <w:pPr>
              <w:pStyle w:val="12"/>
              <w:jc w:val="center"/>
            </w:pPr>
            <w:r>
              <w:rPr>
                <w:rFonts w:hint="eastAsia"/>
              </w:rPr>
              <w:t>92.32</w:t>
            </w:r>
          </w:p>
        </w:tc>
      </w:tr>
      <w:tr w14:paraId="132C4E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4445058">
            <w:pPr>
              <w:pStyle w:val="12"/>
              <w:jc w:val="center"/>
            </w:pPr>
            <w:r>
              <w:rPr>
                <w:rFonts w:hint="eastAsia"/>
              </w:rPr>
              <w:t>35岁~39岁</w:t>
            </w:r>
          </w:p>
        </w:tc>
        <w:tc>
          <w:tcPr>
            <w:tcW w:w="714" w:type="pct"/>
            <w:vAlign w:val="center"/>
          </w:tcPr>
          <w:p w14:paraId="3F8E76FA">
            <w:pPr>
              <w:pStyle w:val="12"/>
              <w:jc w:val="center"/>
            </w:pPr>
            <w:r>
              <w:rPr>
                <w:rFonts w:hint="eastAsia"/>
              </w:rPr>
              <w:t>27113</w:t>
            </w:r>
          </w:p>
        </w:tc>
        <w:tc>
          <w:tcPr>
            <w:tcW w:w="714" w:type="pct"/>
            <w:vAlign w:val="center"/>
          </w:tcPr>
          <w:p w14:paraId="37D97428">
            <w:pPr>
              <w:pStyle w:val="12"/>
              <w:jc w:val="center"/>
            </w:pPr>
            <w:r>
              <w:rPr>
                <w:rFonts w:hint="eastAsia"/>
              </w:rPr>
              <w:t>6.24</w:t>
            </w:r>
          </w:p>
        </w:tc>
        <w:tc>
          <w:tcPr>
            <w:tcW w:w="715" w:type="pct"/>
            <w:vAlign w:val="center"/>
          </w:tcPr>
          <w:p w14:paraId="14FD1E24">
            <w:pPr>
              <w:pStyle w:val="12"/>
              <w:jc w:val="center"/>
            </w:pPr>
            <w:r>
              <w:rPr>
                <w:rFonts w:hint="eastAsia"/>
              </w:rPr>
              <w:t>106.20</w:t>
            </w:r>
          </w:p>
        </w:tc>
        <w:tc>
          <w:tcPr>
            <w:tcW w:w="715" w:type="pct"/>
            <w:vAlign w:val="center"/>
          </w:tcPr>
          <w:p w14:paraId="45C8FDAA">
            <w:pPr>
              <w:pStyle w:val="12"/>
              <w:jc w:val="center"/>
            </w:pPr>
            <w:r>
              <w:rPr>
                <w:rFonts w:hint="eastAsia"/>
              </w:rPr>
              <w:t>35981</w:t>
            </w:r>
          </w:p>
        </w:tc>
        <w:tc>
          <w:tcPr>
            <w:tcW w:w="715" w:type="pct"/>
            <w:vAlign w:val="center"/>
          </w:tcPr>
          <w:p w14:paraId="7EFD037C">
            <w:pPr>
              <w:pStyle w:val="12"/>
              <w:jc w:val="center"/>
            </w:pPr>
            <w:r>
              <w:rPr>
                <w:rFonts w:hint="eastAsia"/>
              </w:rPr>
              <w:t>9.65</w:t>
            </w:r>
          </w:p>
        </w:tc>
        <w:tc>
          <w:tcPr>
            <w:tcW w:w="715" w:type="pct"/>
            <w:vAlign w:val="center"/>
          </w:tcPr>
          <w:p w14:paraId="0E5E303B">
            <w:pPr>
              <w:pStyle w:val="12"/>
              <w:jc w:val="center"/>
            </w:pPr>
            <w:r>
              <w:rPr>
                <w:rFonts w:hint="eastAsia"/>
              </w:rPr>
              <w:t>94.08</w:t>
            </w:r>
          </w:p>
        </w:tc>
      </w:tr>
      <w:tr w14:paraId="7EF88B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0DDB6B3">
            <w:pPr>
              <w:pStyle w:val="12"/>
              <w:jc w:val="center"/>
            </w:pPr>
            <w:r>
              <w:rPr>
                <w:rFonts w:hint="eastAsia"/>
              </w:rPr>
              <w:t>35岁</w:t>
            </w:r>
          </w:p>
        </w:tc>
        <w:tc>
          <w:tcPr>
            <w:tcW w:w="714" w:type="pct"/>
            <w:vAlign w:val="center"/>
          </w:tcPr>
          <w:p w14:paraId="3395D0B6">
            <w:pPr>
              <w:pStyle w:val="12"/>
              <w:jc w:val="center"/>
            </w:pPr>
            <w:r>
              <w:rPr>
                <w:rFonts w:hint="eastAsia"/>
              </w:rPr>
              <w:t>6165</w:t>
            </w:r>
          </w:p>
        </w:tc>
        <w:tc>
          <w:tcPr>
            <w:tcW w:w="714" w:type="pct"/>
            <w:vAlign w:val="center"/>
          </w:tcPr>
          <w:p w14:paraId="5E26214E">
            <w:pPr>
              <w:pStyle w:val="12"/>
              <w:jc w:val="center"/>
            </w:pPr>
            <w:r>
              <w:rPr>
                <w:rFonts w:hint="eastAsia"/>
              </w:rPr>
              <w:t>1.42</w:t>
            </w:r>
          </w:p>
        </w:tc>
        <w:tc>
          <w:tcPr>
            <w:tcW w:w="715" w:type="pct"/>
            <w:vAlign w:val="center"/>
          </w:tcPr>
          <w:p w14:paraId="33BB3347">
            <w:pPr>
              <w:pStyle w:val="12"/>
              <w:jc w:val="center"/>
            </w:pPr>
            <w:r>
              <w:rPr>
                <w:rFonts w:hint="eastAsia"/>
              </w:rPr>
              <w:t>115.41</w:t>
            </w:r>
          </w:p>
        </w:tc>
        <w:tc>
          <w:tcPr>
            <w:tcW w:w="715" w:type="pct"/>
            <w:vAlign w:val="center"/>
          </w:tcPr>
          <w:p w14:paraId="601C02B7">
            <w:pPr>
              <w:pStyle w:val="12"/>
              <w:jc w:val="center"/>
            </w:pPr>
            <w:r>
              <w:rPr>
                <w:rFonts w:hint="eastAsia"/>
              </w:rPr>
              <w:t>8377</w:t>
            </w:r>
          </w:p>
        </w:tc>
        <w:tc>
          <w:tcPr>
            <w:tcW w:w="715" w:type="pct"/>
            <w:vAlign w:val="center"/>
          </w:tcPr>
          <w:p w14:paraId="1840180C">
            <w:pPr>
              <w:pStyle w:val="12"/>
              <w:jc w:val="center"/>
            </w:pPr>
            <w:r>
              <w:rPr>
                <w:rFonts w:hint="eastAsia"/>
              </w:rPr>
              <w:t>2.25</w:t>
            </w:r>
          </w:p>
        </w:tc>
        <w:tc>
          <w:tcPr>
            <w:tcW w:w="715" w:type="pct"/>
            <w:vAlign w:val="center"/>
          </w:tcPr>
          <w:p w14:paraId="38C55690">
            <w:pPr>
              <w:pStyle w:val="12"/>
              <w:jc w:val="center"/>
            </w:pPr>
            <w:r>
              <w:rPr>
                <w:rFonts w:hint="eastAsia"/>
              </w:rPr>
              <w:t>92.97</w:t>
            </w:r>
          </w:p>
        </w:tc>
      </w:tr>
      <w:tr w14:paraId="2DAC8A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B53331A">
            <w:pPr>
              <w:pStyle w:val="12"/>
              <w:jc w:val="center"/>
            </w:pPr>
            <w:r>
              <w:rPr>
                <w:rFonts w:hint="eastAsia"/>
              </w:rPr>
              <w:t>36岁</w:t>
            </w:r>
          </w:p>
        </w:tc>
        <w:tc>
          <w:tcPr>
            <w:tcW w:w="714" w:type="pct"/>
            <w:vAlign w:val="center"/>
          </w:tcPr>
          <w:p w14:paraId="073D599D">
            <w:pPr>
              <w:pStyle w:val="12"/>
              <w:jc w:val="center"/>
            </w:pPr>
            <w:r>
              <w:rPr>
                <w:rFonts w:hint="eastAsia"/>
              </w:rPr>
              <w:t>5943</w:t>
            </w:r>
          </w:p>
        </w:tc>
        <w:tc>
          <w:tcPr>
            <w:tcW w:w="714" w:type="pct"/>
            <w:vAlign w:val="center"/>
          </w:tcPr>
          <w:p w14:paraId="02A8E7E8">
            <w:pPr>
              <w:pStyle w:val="12"/>
              <w:jc w:val="center"/>
            </w:pPr>
            <w:r>
              <w:rPr>
                <w:rFonts w:hint="eastAsia"/>
              </w:rPr>
              <w:t>1.37</w:t>
            </w:r>
          </w:p>
        </w:tc>
        <w:tc>
          <w:tcPr>
            <w:tcW w:w="715" w:type="pct"/>
            <w:vAlign w:val="center"/>
          </w:tcPr>
          <w:p w14:paraId="0D38BEBF">
            <w:pPr>
              <w:pStyle w:val="12"/>
              <w:jc w:val="center"/>
            </w:pPr>
            <w:r>
              <w:rPr>
                <w:rFonts w:hint="eastAsia"/>
              </w:rPr>
              <w:t>105.21</w:t>
            </w:r>
          </w:p>
        </w:tc>
        <w:tc>
          <w:tcPr>
            <w:tcW w:w="715" w:type="pct"/>
            <w:vAlign w:val="center"/>
          </w:tcPr>
          <w:p w14:paraId="23DFE5E3">
            <w:pPr>
              <w:pStyle w:val="12"/>
              <w:jc w:val="center"/>
            </w:pPr>
            <w:r>
              <w:rPr>
                <w:rFonts w:hint="eastAsia"/>
              </w:rPr>
              <w:t>7984</w:t>
            </w:r>
          </w:p>
        </w:tc>
        <w:tc>
          <w:tcPr>
            <w:tcW w:w="715" w:type="pct"/>
            <w:vAlign w:val="center"/>
          </w:tcPr>
          <w:p w14:paraId="198254C9">
            <w:pPr>
              <w:pStyle w:val="12"/>
              <w:jc w:val="center"/>
            </w:pPr>
            <w:r>
              <w:rPr>
                <w:rFonts w:hint="eastAsia"/>
              </w:rPr>
              <w:t>2.14</w:t>
            </w:r>
          </w:p>
        </w:tc>
        <w:tc>
          <w:tcPr>
            <w:tcW w:w="715" w:type="pct"/>
            <w:vAlign w:val="center"/>
          </w:tcPr>
          <w:p w14:paraId="67524126">
            <w:pPr>
              <w:pStyle w:val="12"/>
              <w:jc w:val="center"/>
            </w:pPr>
            <w:r>
              <w:rPr>
                <w:rFonts w:hint="eastAsia"/>
              </w:rPr>
              <w:t>94.97</w:t>
            </w:r>
          </w:p>
        </w:tc>
      </w:tr>
      <w:tr w14:paraId="1E8A05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3B6D3A5">
            <w:pPr>
              <w:pStyle w:val="12"/>
              <w:jc w:val="center"/>
            </w:pPr>
            <w:r>
              <w:rPr>
                <w:rFonts w:hint="eastAsia"/>
              </w:rPr>
              <w:t>37岁</w:t>
            </w:r>
          </w:p>
        </w:tc>
        <w:tc>
          <w:tcPr>
            <w:tcW w:w="714" w:type="pct"/>
            <w:vAlign w:val="center"/>
          </w:tcPr>
          <w:p w14:paraId="34AD1D4B">
            <w:pPr>
              <w:pStyle w:val="12"/>
              <w:jc w:val="center"/>
            </w:pPr>
            <w:r>
              <w:rPr>
                <w:rFonts w:hint="eastAsia"/>
              </w:rPr>
              <w:t>5656</w:t>
            </w:r>
          </w:p>
        </w:tc>
        <w:tc>
          <w:tcPr>
            <w:tcW w:w="714" w:type="pct"/>
            <w:vAlign w:val="center"/>
          </w:tcPr>
          <w:p w14:paraId="5CD28A71">
            <w:pPr>
              <w:pStyle w:val="12"/>
              <w:jc w:val="center"/>
            </w:pPr>
            <w:r>
              <w:rPr>
                <w:rFonts w:hint="eastAsia"/>
              </w:rPr>
              <w:t>1.30</w:t>
            </w:r>
          </w:p>
        </w:tc>
        <w:tc>
          <w:tcPr>
            <w:tcW w:w="715" w:type="pct"/>
            <w:vAlign w:val="center"/>
          </w:tcPr>
          <w:p w14:paraId="206AF297">
            <w:pPr>
              <w:pStyle w:val="12"/>
              <w:jc w:val="center"/>
            </w:pPr>
            <w:r>
              <w:rPr>
                <w:rFonts w:hint="eastAsia"/>
              </w:rPr>
              <w:t>107.79</w:t>
            </w:r>
          </w:p>
        </w:tc>
        <w:tc>
          <w:tcPr>
            <w:tcW w:w="715" w:type="pct"/>
            <w:vAlign w:val="center"/>
          </w:tcPr>
          <w:p w14:paraId="767DE2D4">
            <w:pPr>
              <w:pStyle w:val="12"/>
              <w:jc w:val="center"/>
            </w:pPr>
            <w:r>
              <w:rPr>
                <w:rFonts w:hint="eastAsia"/>
              </w:rPr>
              <w:t>8084</w:t>
            </w:r>
          </w:p>
        </w:tc>
        <w:tc>
          <w:tcPr>
            <w:tcW w:w="715" w:type="pct"/>
            <w:vAlign w:val="center"/>
          </w:tcPr>
          <w:p w14:paraId="567F3927">
            <w:pPr>
              <w:pStyle w:val="12"/>
              <w:jc w:val="center"/>
            </w:pPr>
            <w:r>
              <w:rPr>
                <w:rFonts w:hint="eastAsia"/>
              </w:rPr>
              <w:t>2.17</w:t>
            </w:r>
          </w:p>
        </w:tc>
        <w:tc>
          <w:tcPr>
            <w:tcW w:w="715" w:type="pct"/>
            <w:vAlign w:val="center"/>
          </w:tcPr>
          <w:p w14:paraId="168B5D39">
            <w:pPr>
              <w:pStyle w:val="12"/>
              <w:jc w:val="center"/>
            </w:pPr>
            <w:r>
              <w:rPr>
                <w:rFonts w:hint="eastAsia"/>
              </w:rPr>
              <w:t>96.88</w:t>
            </w:r>
          </w:p>
        </w:tc>
      </w:tr>
      <w:tr w14:paraId="31CA8F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5BBCB37">
            <w:pPr>
              <w:pStyle w:val="12"/>
              <w:jc w:val="center"/>
            </w:pPr>
            <w:r>
              <w:rPr>
                <w:rFonts w:hint="eastAsia"/>
              </w:rPr>
              <w:t>38岁</w:t>
            </w:r>
          </w:p>
        </w:tc>
        <w:tc>
          <w:tcPr>
            <w:tcW w:w="714" w:type="pct"/>
            <w:vAlign w:val="center"/>
          </w:tcPr>
          <w:p w14:paraId="003F5EA2">
            <w:pPr>
              <w:pStyle w:val="12"/>
              <w:jc w:val="center"/>
            </w:pPr>
            <w:r>
              <w:rPr>
                <w:rFonts w:hint="eastAsia"/>
              </w:rPr>
              <w:t>5050</w:t>
            </w:r>
          </w:p>
        </w:tc>
        <w:tc>
          <w:tcPr>
            <w:tcW w:w="714" w:type="pct"/>
            <w:vAlign w:val="center"/>
          </w:tcPr>
          <w:p w14:paraId="323AA5E5">
            <w:pPr>
              <w:pStyle w:val="12"/>
              <w:jc w:val="center"/>
            </w:pPr>
            <w:r>
              <w:rPr>
                <w:rFonts w:hint="eastAsia"/>
              </w:rPr>
              <w:t>1.16</w:t>
            </w:r>
          </w:p>
        </w:tc>
        <w:tc>
          <w:tcPr>
            <w:tcW w:w="715" w:type="pct"/>
            <w:vAlign w:val="center"/>
          </w:tcPr>
          <w:p w14:paraId="3B7DA5AB">
            <w:pPr>
              <w:pStyle w:val="12"/>
              <w:jc w:val="center"/>
            </w:pPr>
            <w:r>
              <w:rPr>
                <w:rFonts w:hint="eastAsia"/>
              </w:rPr>
              <w:t>105.37</w:t>
            </w:r>
          </w:p>
        </w:tc>
        <w:tc>
          <w:tcPr>
            <w:tcW w:w="715" w:type="pct"/>
            <w:vAlign w:val="center"/>
          </w:tcPr>
          <w:p w14:paraId="7AB57F17">
            <w:pPr>
              <w:pStyle w:val="12"/>
              <w:jc w:val="center"/>
            </w:pPr>
            <w:r>
              <w:rPr>
                <w:rFonts w:hint="eastAsia"/>
              </w:rPr>
              <w:t>7410</w:t>
            </w:r>
          </w:p>
        </w:tc>
        <w:tc>
          <w:tcPr>
            <w:tcW w:w="715" w:type="pct"/>
            <w:vAlign w:val="center"/>
          </w:tcPr>
          <w:p w14:paraId="0D61CFAB">
            <w:pPr>
              <w:pStyle w:val="12"/>
              <w:jc w:val="center"/>
            </w:pPr>
            <w:r>
              <w:rPr>
                <w:rFonts w:hint="eastAsia"/>
              </w:rPr>
              <w:t>1.99</w:t>
            </w:r>
          </w:p>
        </w:tc>
        <w:tc>
          <w:tcPr>
            <w:tcW w:w="715" w:type="pct"/>
            <w:vAlign w:val="center"/>
          </w:tcPr>
          <w:p w14:paraId="110728DB">
            <w:pPr>
              <w:pStyle w:val="12"/>
              <w:jc w:val="center"/>
            </w:pPr>
            <w:r>
              <w:rPr>
                <w:rFonts w:hint="eastAsia"/>
              </w:rPr>
              <w:t>90.49</w:t>
            </w:r>
          </w:p>
        </w:tc>
      </w:tr>
      <w:tr w14:paraId="3800A3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2FFC08C7">
            <w:pPr>
              <w:pStyle w:val="12"/>
              <w:jc w:val="center"/>
            </w:pPr>
            <w:r>
              <w:rPr>
                <w:rFonts w:hint="eastAsia"/>
              </w:rPr>
              <w:t>39岁</w:t>
            </w:r>
          </w:p>
        </w:tc>
        <w:tc>
          <w:tcPr>
            <w:tcW w:w="714" w:type="pct"/>
            <w:vAlign w:val="center"/>
          </w:tcPr>
          <w:p w14:paraId="6B49C33F">
            <w:pPr>
              <w:pStyle w:val="12"/>
              <w:jc w:val="center"/>
            </w:pPr>
            <w:r>
              <w:rPr>
                <w:rFonts w:hint="eastAsia"/>
              </w:rPr>
              <w:t>4299</w:t>
            </w:r>
          </w:p>
        </w:tc>
        <w:tc>
          <w:tcPr>
            <w:tcW w:w="714" w:type="pct"/>
            <w:vAlign w:val="center"/>
          </w:tcPr>
          <w:p w14:paraId="575C47B5">
            <w:pPr>
              <w:pStyle w:val="12"/>
              <w:jc w:val="center"/>
            </w:pPr>
            <w:r>
              <w:rPr>
                <w:rFonts w:hint="eastAsia"/>
              </w:rPr>
              <w:t>0.99</w:t>
            </w:r>
          </w:p>
        </w:tc>
        <w:tc>
          <w:tcPr>
            <w:tcW w:w="715" w:type="pct"/>
            <w:vAlign w:val="center"/>
          </w:tcPr>
          <w:p w14:paraId="2521FEC0">
            <w:pPr>
              <w:pStyle w:val="12"/>
              <w:jc w:val="center"/>
            </w:pPr>
            <w:r>
              <w:rPr>
                <w:rFonts w:hint="eastAsia"/>
              </w:rPr>
              <w:t>94.52</w:t>
            </w:r>
          </w:p>
        </w:tc>
        <w:tc>
          <w:tcPr>
            <w:tcW w:w="715" w:type="pct"/>
            <w:vAlign w:val="center"/>
          </w:tcPr>
          <w:p w14:paraId="697C3496">
            <w:pPr>
              <w:pStyle w:val="12"/>
              <w:jc w:val="center"/>
            </w:pPr>
            <w:r>
              <w:rPr>
                <w:rFonts w:hint="eastAsia"/>
              </w:rPr>
              <w:t>4126</w:t>
            </w:r>
          </w:p>
        </w:tc>
        <w:tc>
          <w:tcPr>
            <w:tcW w:w="715" w:type="pct"/>
            <w:vAlign w:val="center"/>
          </w:tcPr>
          <w:p w14:paraId="6534B4A3">
            <w:pPr>
              <w:pStyle w:val="12"/>
              <w:jc w:val="center"/>
            </w:pPr>
            <w:r>
              <w:rPr>
                <w:rFonts w:hint="eastAsia"/>
              </w:rPr>
              <w:t>1.11</w:t>
            </w:r>
          </w:p>
        </w:tc>
        <w:tc>
          <w:tcPr>
            <w:tcW w:w="715" w:type="pct"/>
            <w:vAlign w:val="center"/>
          </w:tcPr>
          <w:p w14:paraId="206E73AF">
            <w:pPr>
              <w:pStyle w:val="12"/>
              <w:jc w:val="center"/>
            </w:pPr>
            <w:r>
              <w:rPr>
                <w:rFonts w:hint="eastAsia"/>
              </w:rPr>
              <w:t>95.82</w:t>
            </w:r>
          </w:p>
        </w:tc>
      </w:tr>
      <w:tr w14:paraId="5E45A3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1D7FE03">
            <w:pPr>
              <w:pStyle w:val="12"/>
              <w:jc w:val="center"/>
            </w:pPr>
            <w:r>
              <w:rPr>
                <w:rFonts w:hint="eastAsia"/>
              </w:rPr>
              <w:t>40岁~44岁</w:t>
            </w:r>
          </w:p>
        </w:tc>
        <w:tc>
          <w:tcPr>
            <w:tcW w:w="714" w:type="pct"/>
            <w:vAlign w:val="center"/>
          </w:tcPr>
          <w:p w14:paraId="55E4780C">
            <w:pPr>
              <w:pStyle w:val="12"/>
              <w:jc w:val="center"/>
            </w:pPr>
            <w:r>
              <w:rPr>
                <w:rFonts w:hint="eastAsia"/>
              </w:rPr>
              <w:t>19121</w:t>
            </w:r>
          </w:p>
        </w:tc>
        <w:tc>
          <w:tcPr>
            <w:tcW w:w="714" w:type="pct"/>
            <w:vAlign w:val="center"/>
          </w:tcPr>
          <w:p w14:paraId="53F0D0C7">
            <w:pPr>
              <w:pStyle w:val="12"/>
              <w:jc w:val="center"/>
            </w:pPr>
            <w:r>
              <w:rPr>
                <w:rFonts w:hint="eastAsia"/>
              </w:rPr>
              <w:t>4.40</w:t>
            </w:r>
          </w:p>
        </w:tc>
        <w:tc>
          <w:tcPr>
            <w:tcW w:w="715" w:type="pct"/>
            <w:vAlign w:val="center"/>
          </w:tcPr>
          <w:p w14:paraId="4C0B81CA">
            <w:pPr>
              <w:pStyle w:val="12"/>
              <w:jc w:val="center"/>
            </w:pPr>
            <w:r>
              <w:rPr>
                <w:rFonts w:hint="eastAsia"/>
              </w:rPr>
              <w:t>107.59</w:t>
            </w:r>
          </w:p>
        </w:tc>
        <w:tc>
          <w:tcPr>
            <w:tcW w:w="715" w:type="pct"/>
            <w:vAlign w:val="center"/>
          </w:tcPr>
          <w:p w14:paraId="2FEB91E5">
            <w:pPr>
              <w:pStyle w:val="12"/>
              <w:jc w:val="center"/>
            </w:pPr>
            <w:r>
              <w:rPr>
                <w:rFonts w:hint="eastAsia"/>
              </w:rPr>
              <w:t>23288</w:t>
            </w:r>
          </w:p>
        </w:tc>
        <w:tc>
          <w:tcPr>
            <w:tcW w:w="715" w:type="pct"/>
            <w:vAlign w:val="center"/>
          </w:tcPr>
          <w:p w14:paraId="1DCC9FA3">
            <w:pPr>
              <w:pStyle w:val="12"/>
              <w:jc w:val="center"/>
            </w:pPr>
            <w:r>
              <w:rPr>
                <w:rFonts w:hint="eastAsia"/>
              </w:rPr>
              <w:t>6.25</w:t>
            </w:r>
          </w:p>
        </w:tc>
        <w:tc>
          <w:tcPr>
            <w:tcW w:w="715" w:type="pct"/>
            <w:vAlign w:val="center"/>
          </w:tcPr>
          <w:p w14:paraId="7210EDE1">
            <w:pPr>
              <w:pStyle w:val="12"/>
              <w:jc w:val="center"/>
            </w:pPr>
            <w:r>
              <w:rPr>
                <w:rFonts w:hint="eastAsia"/>
              </w:rPr>
              <w:t>100.09</w:t>
            </w:r>
          </w:p>
        </w:tc>
      </w:tr>
      <w:tr w14:paraId="68BA44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2BE4E05">
            <w:pPr>
              <w:pStyle w:val="12"/>
              <w:jc w:val="center"/>
            </w:pPr>
            <w:r>
              <w:rPr>
                <w:rFonts w:hint="eastAsia"/>
              </w:rPr>
              <w:t>40岁</w:t>
            </w:r>
          </w:p>
        </w:tc>
        <w:tc>
          <w:tcPr>
            <w:tcW w:w="714" w:type="pct"/>
            <w:vAlign w:val="center"/>
          </w:tcPr>
          <w:p w14:paraId="2E86A35E">
            <w:pPr>
              <w:pStyle w:val="12"/>
              <w:jc w:val="center"/>
            </w:pPr>
            <w:r>
              <w:rPr>
                <w:rFonts w:hint="eastAsia"/>
              </w:rPr>
              <w:t>4815</w:t>
            </w:r>
          </w:p>
        </w:tc>
        <w:tc>
          <w:tcPr>
            <w:tcW w:w="714" w:type="pct"/>
            <w:vAlign w:val="center"/>
          </w:tcPr>
          <w:p w14:paraId="5FF9745B">
            <w:pPr>
              <w:pStyle w:val="12"/>
              <w:jc w:val="center"/>
            </w:pPr>
            <w:r>
              <w:rPr>
                <w:rFonts w:hint="eastAsia"/>
              </w:rPr>
              <w:t>1.11</w:t>
            </w:r>
          </w:p>
        </w:tc>
        <w:tc>
          <w:tcPr>
            <w:tcW w:w="715" w:type="pct"/>
            <w:vAlign w:val="center"/>
          </w:tcPr>
          <w:p w14:paraId="6FE8D9F5">
            <w:pPr>
              <w:pStyle w:val="12"/>
              <w:jc w:val="center"/>
            </w:pPr>
            <w:r>
              <w:rPr>
                <w:rFonts w:hint="eastAsia"/>
              </w:rPr>
              <w:t>117.68</w:t>
            </w:r>
          </w:p>
        </w:tc>
        <w:tc>
          <w:tcPr>
            <w:tcW w:w="715" w:type="pct"/>
            <w:vAlign w:val="center"/>
          </w:tcPr>
          <w:p w14:paraId="0D267A9F">
            <w:pPr>
              <w:pStyle w:val="12"/>
              <w:jc w:val="center"/>
            </w:pPr>
            <w:r>
              <w:rPr>
                <w:rFonts w:hint="eastAsia"/>
              </w:rPr>
              <w:t>3432</w:t>
            </w:r>
          </w:p>
        </w:tc>
        <w:tc>
          <w:tcPr>
            <w:tcW w:w="715" w:type="pct"/>
            <w:vAlign w:val="center"/>
          </w:tcPr>
          <w:p w14:paraId="595FFA10">
            <w:pPr>
              <w:pStyle w:val="12"/>
              <w:jc w:val="center"/>
            </w:pPr>
            <w:r>
              <w:rPr>
                <w:rFonts w:hint="eastAsia"/>
              </w:rPr>
              <w:t>0.92</w:t>
            </w:r>
          </w:p>
        </w:tc>
        <w:tc>
          <w:tcPr>
            <w:tcW w:w="715" w:type="pct"/>
            <w:vAlign w:val="center"/>
          </w:tcPr>
          <w:p w14:paraId="72E5789A">
            <w:pPr>
              <w:pStyle w:val="12"/>
              <w:jc w:val="center"/>
            </w:pPr>
            <w:r>
              <w:rPr>
                <w:rFonts w:hint="eastAsia"/>
              </w:rPr>
              <w:t>95.56</w:t>
            </w:r>
          </w:p>
        </w:tc>
      </w:tr>
      <w:tr w14:paraId="40B06F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4CFCE83">
            <w:pPr>
              <w:pStyle w:val="12"/>
              <w:jc w:val="center"/>
            </w:pPr>
            <w:r>
              <w:rPr>
                <w:rFonts w:hint="eastAsia"/>
              </w:rPr>
              <w:t>41岁</w:t>
            </w:r>
          </w:p>
        </w:tc>
        <w:tc>
          <w:tcPr>
            <w:tcW w:w="714" w:type="pct"/>
            <w:vAlign w:val="center"/>
          </w:tcPr>
          <w:p w14:paraId="28046607">
            <w:pPr>
              <w:pStyle w:val="12"/>
              <w:jc w:val="center"/>
            </w:pPr>
            <w:r>
              <w:rPr>
                <w:rFonts w:hint="eastAsia"/>
              </w:rPr>
              <w:t>4077</w:t>
            </w:r>
          </w:p>
        </w:tc>
        <w:tc>
          <w:tcPr>
            <w:tcW w:w="714" w:type="pct"/>
            <w:vAlign w:val="center"/>
          </w:tcPr>
          <w:p w14:paraId="3B13FB62">
            <w:pPr>
              <w:pStyle w:val="12"/>
              <w:jc w:val="center"/>
            </w:pPr>
            <w:r>
              <w:rPr>
                <w:rFonts w:hint="eastAsia"/>
              </w:rPr>
              <w:t>0.94</w:t>
            </w:r>
          </w:p>
        </w:tc>
        <w:tc>
          <w:tcPr>
            <w:tcW w:w="715" w:type="pct"/>
            <w:vAlign w:val="center"/>
          </w:tcPr>
          <w:p w14:paraId="57A31DC3">
            <w:pPr>
              <w:pStyle w:val="12"/>
              <w:jc w:val="center"/>
            </w:pPr>
            <w:r>
              <w:rPr>
                <w:rFonts w:hint="eastAsia"/>
              </w:rPr>
              <w:t>109.40</w:t>
            </w:r>
          </w:p>
        </w:tc>
        <w:tc>
          <w:tcPr>
            <w:tcW w:w="715" w:type="pct"/>
            <w:vAlign w:val="center"/>
          </w:tcPr>
          <w:p w14:paraId="14A59D93">
            <w:pPr>
              <w:pStyle w:val="12"/>
              <w:jc w:val="center"/>
            </w:pPr>
            <w:r>
              <w:rPr>
                <w:rFonts w:hint="eastAsia"/>
              </w:rPr>
              <w:t>3710</w:t>
            </w:r>
          </w:p>
        </w:tc>
        <w:tc>
          <w:tcPr>
            <w:tcW w:w="715" w:type="pct"/>
            <w:vAlign w:val="center"/>
          </w:tcPr>
          <w:p w14:paraId="40F8E608">
            <w:pPr>
              <w:pStyle w:val="12"/>
              <w:jc w:val="center"/>
            </w:pPr>
            <w:r>
              <w:rPr>
                <w:rFonts w:hint="eastAsia"/>
              </w:rPr>
              <w:t>1.00</w:t>
            </w:r>
          </w:p>
        </w:tc>
        <w:tc>
          <w:tcPr>
            <w:tcW w:w="715" w:type="pct"/>
            <w:vAlign w:val="center"/>
          </w:tcPr>
          <w:p w14:paraId="26CA7D1F">
            <w:pPr>
              <w:pStyle w:val="12"/>
              <w:jc w:val="center"/>
            </w:pPr>
            <w:r>
              <w:rPr>
                <w:rFonts w:hint="eastAsia"/>
              </w:rPr>
              <w:t>96.40</w:t>
            </w:r>
          </w:p>
        </w:tc>
      </w:tr>
      <w:tr w14:paraId="018DD9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49E86483">
            <w:pPr>
              <w:pStyle w:val="12"/>
              <w:jc w:val="center"/>
            </w:pPr>
            <w:r>
              <w:rPr>
                <w:rFonts w:hint="eastAsia"/>
              </w:rPr>
              <w:t>42岁</w:t>
            </w:r>
          </w:p>
        </w:tc>
        <w:tc>
          <w:tcPr>
            <w:tcW w:w="714" w:type="pct"/>
            <w:vAlign w:val="center"/>
          </w:tcPr>
          <w:p w14:paraId="38C2A19D">
            <w:pPr>
              <w:pStyle w:val="12"/>
              <w:jc w:val="center"/>
            </w:pPr>
            <w:r>
              <w:rPr>
                <w:rFonts w:hint="eastAsia"/>
              </w:rPr>
              <w:t>3680</w:t>
            </w:r>
          </w:p>
        </w:tc>
        <w:tc>
          <w:tcPr>
            <w:tcW w:w="714" w:type="pct"/>
            <w:vAlign w:val="center"/>
          </w:tcPr>
          <w:p w14:paraId="2A46F1E6">
            <w:pPr>
              <w:pStyle w:val="12"/>
              <w:jc w:val="center"/>
            </w:pPr>
            <w:r>
              <w:rPr>
                <w:rFonts w:hint="eastAsia"/>
              </w:rPr>
              <w:t>0.85</w:t>
            </w:r>
          </w:p>
        </w:tc>
        <w:tc>
          <w:tcPr>
            <w:tcW w:w="715" w:type="pct"/>
            <w:vAlign w:val="center"/>
          </w:tcPr>
          <w:p w14:paraId="0B841D72">
            <w:pPr>
              <w:pStyle w:val="12"/>
              <w:jc w:val="center"/>
            </w:pPr>
            <w:r>
              <w:rPr>
                <w:rFonts w:hint="eastAsia"/>
              </w:rPr>
              <w:t>103.77</w:t>
            </w:r>
          </w:p>
        </w:tc>
        <w:tc>
          <w:tcPr>
            <w:tcW w:w="715" w:type="pct"/>
            <w:vAlign w:val="center"/>
          </w:tcPr>
          <w:p w14:paraId="44545A50">
            <w:pPr>
              <w:pStyle w:val="12"/>
              <w:jc w:val="center"/>
            </w:pPr>
            <w:r>
              <w:rPr>
                <w:rFonts w:hint="eastAsia"/>
              </w:rPr>
              <w:t>5533</w:t>
            </w:r>
          </w:p>
        </w:tc>
        <w:tc>
          <w:tcPr>
            <w:tcW w:w="715" w:type="pct"/>
            <w:vAlign w:val="center"/>
          </w:tcPr>
          <w:p w14:paraId="4A1597B1">
            <w:pPr>
              <w:pStyle w:val="12"/>
              <w:jc w:val="center"/>
            </w:pPr>
            <w:r>
              <w:rPr>
                <w:rFonts w:hint="eastAsia"/>
              </w:rPr>
              <w:t>1.48</w:t>
            </w:r>
          </w:p>
        </w:tc>
        <w:tc>
          <w:tcPr>
            <w:tcW w:w="715" w:type="pct"/>
            <w:vAlign w:val="center"/>
          </w:tcPr>
          <w:p w14:paraId="235C2B62">
            <w:pPr>
              <w:pStyle w:val="12"/>
              <w:jc w:val="center"/>
            </w:pPr>
            <w:r>
              <w:rPr>
                <w:rFonts w:hint="eastAsia"/>
              </w:rPr>
              <w:t>102.90</w:t>
            </w:r>
          </w:p>
        </w:tc>
      </w:tr>
      <w:tr w14:paraId="6F0E7C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B86B545">
            <w:pPr>
              <w:pStyle w:val="12"/>
              <w:jc w:val="center"/>
            </w:pPr>
            <w:r>
              <w:rPr>
                <w:rFonts w:hint="eastAsia"/>
              </w:rPr>
              <w:t>43岁</w:t>
            </w:r>
          </w:p>
        </w:tc>
        <w:tc>
          <w:tcPr>
            <w:tcW w:w="714" w:type="pct"/>
            <w:vAlign w:val="center"/>
          </w:tcPr>
          <w:p w14:paraId="54DCE9FA">
            <w:pPr>
              <w:pStyle w:val="12"/>
              <w:jc w:val="center"/>
            </w:pPr>
            <w:r>
              <w:rPr>
                <w:rFonts w:hint="eastAsia"/>
              </w:rPr>
              <w:t>3331</w:t>
            </w:r>
          </w:p>
        </w:tc>
        <w:tc>
          <w:tcPr>
            <w:tcW w:w="714" w:type="pct"/>
            <w:vAlign w:val="center"/>
          </w:tcPr>
          <w:p w14:paraId="7D3D62D3">
            <w:pPr>
              <w:pStyle w:val="12"/>
              <w:jc w:val="center"/>
            </w:pPr>
            <w:r>
              <w:rPr>
                <w:rFonts w:hint="eastAsia"/>
              </w:rPr>
              <w:t>0.77</w:t>
            </w:r>
          </w:p>
        </w:tc>
        <w:tc>
          <w:tcPr>
            <w:tcW w:w="715" w:type="pct"/>
            <w:vAlign w:val="center"/>
          </w:tcPr>
          <w:p w14:paraId="2DFFE688">
            <w:pPr>
              <w:pStyle w:val="12"/>
              <w:jc w:val="center"/>
            </w:pPr>
            <w:r>
              <w:rPr>
                <w:rFonts w:hint="eastAsia"/>
              </w:rPr>
              <w:t>100.54</w:t>
            </w:r>
          </w:p>
        </w:tc>
        <w:tc>
          <w:tcPr>
            <w:tcW w:w="715" w:type="pct"/>
            <w:vAlign w:val="center"/>
          </w:tcPr>
          <w:p w14:paraId="7B47CA4E">
            <w:pPr>
              <w:pStyle w:val="12"/>
              <w:jc w:val="center"/>
            </w:pPr>
            <w:r>
              <w:rPr>
                <w:rFonts w:hint="eastAsia"/>
              </w:rPr>
              <w:t>5523</w:t>
            </w:r>
          </w:p>
        </w:tc>
        <w:tc>
          <w:tcPr>
            <w:tcW w:w="715" w:type="pct"/>
            <w:vAlign w:val="center"/>
          </w:tcPr>
          <w:p w14:paraId="032F987A">
            <w:pPr>
              <w:pStyle w:val="12"/>
              <w:jc w:val="center"/>
            </w:pPr>
            <w:r>
              <w:rPr>
                <w:rFonts w:hint="eastAsia"/>
              </w:rPr>
              <w:t>1.48</w:t>
            </w:r>
          </w:p>
        </w:tc>
        <w:tc>
          <w:tcPr>
            <w:tcW w:w="715" w:type="pct"/>
            <w:vAlign w:val="center"/>
          </w:tcPr>
          <w:p w14:paraId="70152B5C">
            <w:pPr>
              <w:pStyle w:val="12"/>
              <w:jc w:val="center"/>
            </w:pPr>
            <w:r>
              <w:rPr>
                <w:rFonts w:hint="eastAsia"/>
              </w:rPr>
              <w:t>105.62</w:t>
            </w:r>
          </w:p>
        </w:tc>
      </w:tr>
      <w:tr w14:paraId="770B4A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A8AFE7F">
            <w:pPr>
              <w:pStyle w:val="12"/>
              <w:jc w:val="center"/>
            </w:pPr>
            <w:r>
              <w:rPr>
                <w:rFonts w:hint="eastAsia"/>
              </w:rPr>
              <w:t>44岁</w:t>
            </w:r>
          </w:p>
        </w:tc>
        <w:tc>
          <w:tcPr>
            <w:tcW w:w="714" w:type="pct"/>
            <w:vAlign w:val="center"/>
          </w:tcPr>
          <w:p w14:paraId="65F6AB21">
            <w:pPr>
              <w:pStyle w:val="12"/>
              <w:jc w:val="center"/>
            </w:pPr>
            <w:r>
              <w:rPr>
                <w:rFonts w:hint="eastAsia"/>
              </w:rPr>
              <w:t>3218</w:t>
            </w:r>
          </w:p>
        </w:tc>
        <w:tc>
          <w:tcPr>
            <w:tcW w:w="714" w:type="pct"/>
            <w:vAlign w:val="center"/>
          </w:tcPr>
          <w:p w14:paraId="32D41855">
            <w:pPr>
              <w:pStyle w:val="12"/>
              <w:jc w:val="center"/>
            </w:pPr>
            <w:r>
              <w:rPr>
                <w:rFonts w:hint="eastAsia"/>
              </w:rPr>
              <w:t>0.74</w:t>
            </w:r>
          </w:p>
        </w:tc>
        <w:tc>
          <w:tcPr>
            <w:tcW w:w="715" w:type="pct"/>
            <w:vAlign w:val="center"/>
          </w:tcPr>
          <w:p w14:paraId="1A8EAB86">
            <w:pPr>
              <w:pStyle w:val="12"/>
              <w:jc w:val="center"/>
            </w:pPr>
            <w:r>
              <w:rPr>
                <w:rFonts w:hint="eastAsia"/>
              </w:rPr>
              <w:t>103.03</w:t>
            </w:r>
          </w:p>
        </w:tc>
        <w:tc>
          <w:tcPr>
            <w:tcW w:w="715" w:type="pct"/>
            <w:vAlign w:val="center"/>
          </w:tcPr>
          <w:p w14:paraId="610C18DE">
            <w:pPr>
              <w:pStyle w:val="12"/>
              <w:jc w:val="center"/>
            </w:pPr>
            <w:r>
              <w:rPr>
                <w:rFonts w:hint="eastAsia"/>
              </w:rPr>
              <w:t>5090</w:t>
            </w:r>
          </w:p>
        </w:tc>
        <w:tc>
          <w:tcPr>
            <w:tcW w:w="715" w:type="pct"/>
            <w:vAlign w:val="center"/>
          </w:tcPr>
          <w:p w14:paraId="0F287226">
            <w:pPr>
              <w:pStyle w:val="12"/>
              <w:jc w:val="center"/>
            </w:pPr>
            <w:r>
              <w:rPr>
                <w:rFonts w:hint="eastAsia"/>
              </w:rPr>
              <w:t>1.37</w:t>
            </w:r>
          </w:p>
        </w:tc>
        <w:tc>
          <w:tcPr>
            <w:tcW w:w="715" w:type="pct"/>
            <w:vAlign w:val="center"/>
          </w:tcPr>
          <w:p w14:paraId="61E19464">
            <w:pPr>
              <w:pStyle w:val="12"/>
              <w:jc w:val="center"/>
            </w:pPr>
            <w:r>
              <w:rPr>
                <w:rFonts w:hint="eastAsia"/>
              </w:rPr>
              <w:t>97.13</w:t>
            </w:r>
          </w:p>
        </w:tc>
      </w:tr>
      <w:tr w14:paraId="610C90E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7603C08">
            <w:pPr>
              <w:pStyle w:val="12"/>
              <w:jc w:val="center"/>
            </w:pPr>
            <w:r>
              <w:rPr>
                <w:rFonts w:hint="eastAsia"/>
              </w:rPr>
              <w:t>45岁~49岁</w:t>
            </w:r>
          </w:p>
        </w:tc>
        <w:tc>
          <w:tcPr>
            <w:tcW w:w="714" w:type="pct"/>
            <w:vAlign w:val="center"/>
          </w:tcPr>
          <w:p w14:paraId="10B322D2">
            <w:pPr>
              <w:pStyle w:val="12"/>
              <w:jc w:val="center"/>
            </w:pPr>
            <w:r>
              <w:rPr>
                <w:rFonts w:hint="eastAsia"/>
              </w:rPr>
              <w:t>15903</w:t>
            </w:r>
          </w:p>
        </w:tc>
        <w:tc>
          <w:tcPr>
            <w:tcW w:w="714" w:type="pct"/>
            <w:vAlign w:val="center"/>
          </w:tcPr>
          <w:p w14:paraId="1E882FEB">
            <w:pPr>
              <w:pStyle w:val="12"/>
              <w:jc w:val="center"/>
            </w:pPr>
            <w:r>
              <w:rPr>
                <w:rFonts w:hint="eastAsia"/>
              </w:rPr>
              <w:t>3.66</w:t>
            </w:r>
          </w:p>
        </w:tc>
        <w:tc>
          <w:tcPr>
            <w:tcW w:w="715" w:type="pct"/>
            <w:vAlign w:val="center"/>
          </w:tcPr>
          <w:p w14:paraId="50657D4F">
            <w:pPr>
              <w:pStyle w:val="12"/>
              <w:jc w:val="center"/>
            </w:pPr>
            <w:r>
              <w:rPr>
                <w:rFonts w:hint="eastAsia"/>
              </w:rPr>
              <w:t>103.78</w:t>
            </w:r>
          </w:p>
        </w:tc>
        <w:tc>
          <w:tcPr>
            <w:tcW w:w="715" w:type="pct"/>
            <w:vAlign w:val="center"/>
          </w:tcPr>
          <w:p w14:paraId="11B652F1">
            <w:pPr>
              <w:pStyle w:val="12"/>
              <w:jc w:val="center"/>
            </w:pPr>
            <w:r>
              <w:rPr>
                <w:rFonts w:hint="eastAsia"/>
              </w:rPr>
              <w:t>24717</w:t>
            </w:r>
          </w:p>
        </w:tc>
        <w:tc>
          <w:tcPr>
            <w:tcW w:w="715" w:type="pct"/>
            <w:vAlign w:val="center"/>
          </w:tcPr>
          <w:p w14:paraId="434E4360">
            <w:pPr>
              <w:pStyle w:val="12"/>
              <w:jc w:val="center"/>
            </w:pPr>
            <w:r>
              <w:rPr>
                <w:rFonts w:hint="eastAsia"/>
              </w:rPr>
              <w:t>6.63</w:t>
            </w:r>
          </w:p>
        </w:tc>
        <w:tc>
          <w:tcPr>
            <w:tcW w:w="715" w:type="pct"/>
            <w:vAlign w:val="center"/>
          </w:tcPr>
          <w:p w14:paraId="0C775C06">
            <w:pPr>
              <w:pStyle w:val="12"/>
              <w:jc w:val="center"/>
            </w:pPr>
            <w:r>
              <w:rPr>
                <w:rFonts w:hint="eastAsia"/>
              </w:rPr>
              <w:t>101.48</w:t>
            </w:r>
          </w:p>
        </w:tc>
      </w:tr>
      <w:tr w14:paraId="439BCD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259D1207">
            <w:pPr>
              <w:pStyle w:val="12"/>
              <w:jc w:val="center"/>
            </w:pPr>
            <w:r>
              <w:rPr>
                <w:rFonts w:hint="eastAsia"/>
              </w:rPr>
              <w:t>45岁</w:t>
            </w:r>
          </w:p>
        </w:tc>
        <w:tc>
          <w:tcPr>
            <w:tcW w:w="714" w:type="pct"/>
            <w:vAlign w:val="center"/>
          </w:tcPr>
          <w:p w14:paraId="781A4B21">
            <w:pPr>
              <w:pStyle w:val="12"/>
              <w:jc w:val="center"/>
            </w:pPr>
            <w:r>
              <w:rPr>
                <w:rFonts w:hint="eastAsia"/>
              </w:rPr>
              <w:t>3208</w:t>
            </w:r>
          </w:p>
        </w:tc>
        <w:tc>
          <w:tcPr>
            <w:tcW w:w="714" w:type="pct"/>
            <w:vAlign w:val="center"/>
          </w:tcPr>
          <w:p w14:paraId="0F5BC26A">
            <w:pPr>
              <w:pStyle w:val="12"/>
              <w:jc w:val="center"/>
            </w:pPr>
            <w:r>
              <w:rPr>
                <w:rFonts w:hint="eastAsia"/>
              </w:rPr>
              <w:t>0.74</w:t>
            </w:r>
          </w:p>
        </w:tc>
        <w:tc>
          <w:tcPr>
            <w:tcW w:w="715" w:type="pct"/>
            <w:vAlign w:val="center"/>
          </w:tcPr>
          <w:p w14:paraId="656D4F05">
            <w:pPr>
              <w:pStyle w:val="12"/>
              <w:jc w:val="center"/>
            </w:pPr>
            <w:r>
              <w:rPr>
                <w:rFonts w:hint="eastAsia"/>
              </w:rPr>
              <w:t>106.04</w:t>
            </w:r>
          </w:p>
        </w:tc>
        <w:tc>
          <w:tcPr>
            <w:tcW w:w="715" w:type="pct"/>
            <w:vAlign w:val="center"/>
          </w:tcPr>
          <w:p w14:paraId="263EA67C">
            <w:pPr>
              <w:pStyle w:val="12"/>
              <w:jc w:val="center"/>
            </w:pPr>
            <w:r>
              <w:rPr>
                <w:rFonts w:hint="eastAsia"/>
              </w:rPr>
              <w:t>5044</w:t>
            </w:r>
          </w:p>
        </w:tc>
        <w:tc>
          <w:tcPr>
            <w:tcW w:w="715" w:type="pct"/>
            <w:vAlign w:val="center"/>
          </w:tcPr>
          <w:p w14:paraId="19E7FDA9">
            <w:pPr>
              <w:pStyle w:val="12"/>
              <w:jc w:val="center"/>
            </w:pPr>
            <w:r>
              <w:rPr>
                <w:rFonts w:hint="eastAsia"/>
              </w:rPr>
              <w:t>1.35</w:t>
            </w:r>
          </w:p>
        </w:tc>
        <w:tc>
          <w:tcPr>
            <w:tcW w:w="715" w:type="pct"/>
            <w:vAlign w:val="center"/>
          </w:tcPr>
          <w:p w14:paraId="53855D1B">
            <w:pPr>
              <w:pStyle w:val="12"/>
              <w:jc w:val="center"/>
            </w:pPr>
            <w:r>
              <w:rPr>
                <w:rFonts w:hint="eastAsia"/>
              </w:rPr>
              <w:t>108.00</w:t>
            </w:r>
          </w:p>
        </w:tc>
      </w:tr>
      <w:tr w14:paraId="402669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3BF399D">
            <w:pPr>
              <w:pStyle w:val="12"/>
              <w:jc w:val="center"/>
            </w:pPr>
            <w:r>
              <w:rPr>
                <w:rFonts w:hint="eastAsia"/>
              </w:rPr>
              <w:t>46岁</w:t>
            </w:r>
          </w:p>
        </w:tc>
        <w:tc>
          <w:tcPr>
            <w:tcW w:w="714" w:type="pct"/>
            <w:vAlign w:val="center"/>
          </w:tcPr>
          <w:p w14:paraId="2E9A9285">
            <w:pPr>
              <w:pStyle w:val="12"/>
              <w:jc w:val="center"/>
            </w:pPr>
            <w:r>
              <w:rPr>
                <w:rFonts w:hint="eastAsia"/>
              </w:rPr>
              <w:t>3175</w:t>
            </w:r>
          </w:p>
        </w:tc>
        <w:tc>
          <w:tcPr>
            <w:tcW w:w="714" w:type="pct"/>
            <w:vAlign w:val="center"/>
          </w:tcPr>
          <w:p w14:paraId="0B5268B7">
            <w:pPr>
              <w:pStyle w:val="12"/>
              <w:jc w:val="center"/>
            </w:pPr>
            <w:r>
              <w:rPr>
                <w:rFonts w:hint="eastAsia"/>
              </w:rPr>
              <w:t>0.73</w:t>
            </w:r>
          </w:p>
        </w:tc>
        <w:tc>
          <w:tcPr>
            <w:tcW w:w="715" w:type="pct"/>
            <w:vAlign w:val="center"/>
          </w:tcPr>
          <w:p w14:paraId="2942B437">
            <w:pPr>
              <w:pStyle w:val="12"/>
              <w:jc w:val="center"/>
            </w:pPr>
            <w:r>
              <w:rPr>
                <w:rFonts w:hint="eastAsia"/>
              </w:rPr>
              <w:t>107.25</w:t>
            </w:r>
          </w:p>
        </w:tc>
        <w:tc>
          <w:tcPr>
            <w:tcW w:w="715" w:type="pct"/>
            <w:vAlign w:val="center"/>
          </w:tcPr>
          <w:p w14:paraId="6465523C">
            <w:pPr>
              <w:pStyle w:val="12"/>
              <w:jc w:val="center"/>
            </w:pPr>
            <w:r>
              <w:rPr>
                <w:rFonts w:hint="eastAsia"/>
              </w:rPr>
              <w:t>5549</w:t>
            </w:r>
          </w:p>
        </w:tc>
        <w:tc>
          <w:tcPr>
            <w:tcW w:w="715" w:type="pct"/>
            <w:vAlign w:val="center"/>
          </w:tcPr>
          <w:p w14:paraId="5B64CEF3">
            <w:pPr>
              <w:pStyle w:val="12"/>
              <w:jc w:val="center"/>
            </w:pPr>
            <w:r>
              <w:rPr>
                <w:rFonts w:hint="eastAsia"/>
              </w:rPr>
              <w:t>1.49</w:t>
            </w:r>
          </w:p>
        </w:tc>
        <w:tc>
          <w:tcPr>
            <w:tcW w:w="715" w:type="pct"/>
            <w:vAlign w:val="center"/>
          </w:tcPr>
          <w:p w14:paraId="12A99BA0">
            <w:pPr>
              <w:pStyle w:val="12"/>
              <w:jc w:val="center"/>
            </w:pPr>
            <w:r>
              <w:rPr>
                <w:rFonts w:hint="eastAsia"/>
              </w:rPr>
              <w:t>103.56</w:t>
            </w:r>
          </w:p>
        </w:tc>
      </w:tr>
      <w:tr w14:paraId="21E49A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B321D7F">
            <w:pPr>
              <w:pStyle w:val="12"/>
              <w:jc w:val="center"/>
            </w:pPr>
            <w:r>
              <w:rPr>
                <w:rFonts w:hint="eastAsia"/>
              </w:rPr>
              <w:t>47岁</w:t>
            </w:r>
          </w:p>
        </w:tc>
        <w:tc>
          <w:tcPr>
            <w:tcW w:w="714" w:type="pct"/>
            <w:vAlign w:val="center"/>
          </w:tcPr>
          <w:p w14:paraId="7219F2A3">
            <w:pPr>
              <w:pStyle w:val="12"/>
              <w:jc w:val="center"/>
            </w:pPr>
            <w:r>
              <w:rPr>
                <w:rFonts w:hint="eastAsia"/>
              </w:rPr>
              <w:t>3043</w:t>
            </w:r>
          </w:p>
        </w:tc>
        <w:tc>
          <w:tcPr>
            <w:tcW w:w="714" w:type="pct"/>
            <w:vAlign w:val="center"/>
          </w:tcPr>
          <w:p w14:paraId="786086D6">
            <w:pPr>
              <w:pStyle w:val="12"/>
              <w:jc w:val="center"/>
            </w:pPr>
            <w:r>
              <w:rPr>
                <w:rFonts w:hint="eastAsia"/>
              </w:rPr>
              <w:t>0.70</w:t>
            </w:r>
          </w:p>
        </w:tc>
        <w:tc>
          <w:tcPr>
            <w:tcW w:w="715" w:type="pct"/>
            <w:vAlign w:val="center"/>
          </w:tcPr>
          <w:p w14:paraId="4FFAE6AB">
            <w:pPr>
              <w:pStyle w:val="12"/>
              <w:jc w:val="center"/>
            </w:pPr>
            <w:r>
              <w:rPr>
                <w:rFonts w:hint="eastAsia"/>
              </w:rPr>
              <w:t>103.00</w:t>
            </w:r>
          </w:p>
        </w:tc>
        <w:tc>
          <w:tcPr>
            <w:tcW w:w="715" w:type="pct"/>
            <w:vAlign w:val="center"/>
          </w:tcPr>
          <w:p w14:paraId="2A179E98">
            <w:pPr>
              <w:pStyle w:val="12"/>
              <w:jc w:val="center"/>
            </w:pPr>
            <w:r>
              <w:rPr>
                <w:rFonts w:hint="eastAsia"/>
              </w:rPr>
              <w:t>5217</w:t>
            </w:r>
          </w:p>
        </w:tc>
        <w:tc>
          <w:tcPr>
            <w:tcW w:w="715" w:type="pct"/>
            <w:vAlign w:val="center"/>
          </w:tcPr>
          <w:p w14:paraId="1F50CD14">
            <w:pPr>
              <w:pStyle w:val="12"/>
              <w:jc w:val="center"/>
            </w:pPr>
            <w:r>
              <w:rPr>
                <w:rFonts w:hint="eastAsia"/>
              </w:rPr>
              <w:t>1.40</w:t>
            </w:r>
          </w:p>
        </w:tc>
        <w:tc>
          <w:tcPr>
            <w:tcW w:w="715" w:type="pct"/>
            <w:vAlign w:val="center"/>
          </w:tcPr>
          <w:p w14:paraId="2B9A00D8">
            <w:pPr>
              <w:pStyle w:val="12"/>
              <w:jc w:val="center"/>
            </w:pPr>
            <w:r>
              <w:rPr>
                <w:rFonts w:hint="eastAsia"/>
              </w:rPr>
              <w:t>97.39</w:t>
            </w:r>
          </w:p>
        </w:tc>
      </w:tr>
      <w:tr w14:paraId="3FF4F5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46CD5C14">
            <w:pPr>
              <w:pStyle w:val="12"/>
              <w:jc w:val="center"/>
            </w:pPr>
            <w:r>
              <w:rPr>
                <w:rFonts w:hint="eastAsia"/>
              </w:rPr>
              <w:t>48岁</w:t>
            </w:r>
          </w:p>
        </w:tc>
        <w:tc>
          <w:tcPr>
            <w:tcW w:w="714" w:type="pct"/>
            <w:vAlign w:val="center"/>
          </w:tcPr>
          <w:p w14:paraId="2B54FC2C">
            <w:pPr>
              <w:pStyle w:val="12"/>
              <w:jc w:val="center"/>
            </w:pPr>
            <w:r>
              <w:rPr>
                <w:rFonts w:hint="eastAsia"/>
              </w:rPr>
              <w:t>3199</w:t>
            </w:r>
          </w:p>
        </w:tc>
        <w:tc>
          <w:tcPr>
            <w:tcW w:w="714" w:type="pct"/>
            <w:vAlign w:val="center"/>
          </w:tcPr>
          <w:p w14:paraId="5727DFD3">
            <w:pPr>
              <w:pStyle w:val="12"/>
              <w:jc w:val="center"/>
            </w:pPr>
            <w:r>
              <w:rPr>
                <w:rFonts w:hint="eastAsia"/>
              </w:rPr>
              <w:t>0.74</w:t>
            </w:r>
          </w:p>
        </w:tc>
        <w:tc>
          <w:tcPr>
            <w:tcW w:w="715" w:type="pct"/>
            <w:vAlign w:val="center"/>
          </w:tcPr>
          <w:p w14:paraId="709B07FF">
            <w:pPr>
              <w:pStyle w:val="12"/>
              <w:jc w:val="center"/>
            </w:pPr>
            <w:r>
              <w:rPr>
                <w:rFonts w:hint="eastAsia"/>
              </w:rPr>
              <w:t>96.26</w:t>
            </w:r>
          </w:p>
        </w:tc>
        <w:tc>
          <w:tcPr>
            <w:tcW w:w="715" w:type="pct"/>
            <w:vAlign w:val="center"/>
          </w:tcPr>
          <w:p w14:paraId="56E2E690">
            <w:pPr>
              <w:pStyle w:val="12"/>
              <w:jc w:val="center"/>
            </w:pPr>
            <w:r>
              <w:rPr>
                <w:rFonts w:hint="eastAsia"/>
              </w:rPr>
              <w:t>5097</w:t>
            </w:r>
          </w:p>
        </w:tc>
        <w:tc>
          <w:tcPr>
            <w:tcW w:w="715" w:type="pct"/>
            <w:vAlign w:val="center"/>
          </w:tcPr>
          <w:p w14:paraId="30C31BF6">
            <w:pPr>
              <w:pStyle w:val="12"/>
              <w:jc w:val="center"/>
            </w:pPr>
            <w:r>
              <w:rPr>
                <w:rFonts w:hint="eastAsia"/>
              </w:rPr>
              <w:t>1.37</w:t>
            </w:r>
          </w:p>
        </w:tc>
        <w:tc>
          <w:tcPr>
            <w:tcW w:w="715" w:type="pct"/>
            <w:vAlign w:val="center"/>
          </w:tcPr>
          <w:p w14:paraId="1AF213E8">
            <w:pPr>
              <w:pStyle w:val="12"/>
              <w:jc w:val="center"/>
            </w:pPr>
            <w:r>
              <w:rPr>
                <w:rFonts w:hint="eastAsia"/>
              </w:rPr>
              <w:t>102.50</w:t>
            </w:r>
          </w:p>
        </w:tc>
      </w:tr>
      <w:tr w14:paraId="116B8A7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4C78FFD">
            <w:pPr>
              <w:pStyle w:val="12"/>
              <w:jc w:val="center"/>
            </w:pPr>
            <w:r>
              <w:rPr>
                <w:rFonts w:hint="eastAsia"/>
              </w:rPr>
              <w:t>49岁</w:t>
            </w:r>
          </w:p>
        </w:tc>
        <w:tc>
          <w:tcPr>
            <w:tcW w:w="714" w:type="pct"/>
            <w:vAlign w:val="center"/>
          </w:tcPr>
          <w:p w14:paraId="462756E5">
            <w:pPr>
              <w:pStyle w:val="12"/>
              <w:jc w:val="center"/>
            </w:pPr>
            <w:r>
              <w:rPr>
                <w:rFonts w:hint="eastAsia"/>
              </w:rPr>
              <w:t>3278</w:t>
            </w:r>
          </w:p>
        </w:tc>
        <w:tc>
          <w:tcPr>
            <w:tcW w:w="714" w:type="pct"/>
            <w:vAlign w:val="center"/>
          </w:tcPr>
          <w:p w14:paraId="0F2BE52E">
            <w:pPr>
              <w:pStyle w:val="12"/>
              <w:jc w:val="center"/>
            </w:pPr>
            <w:r>
              <w:rPr>
                <w:rFonts w:hint="eastAsia"/>
              </w:rPr>
              <w:t>0.76</w:t>
            </w:r>
          </w:p>
        </w:tc>
        <w:tc>
          <w:tcPr>
            <w:tcW w:w="715" w:type="pct"/>
            <w:vAlign w:val="center"/>
          </w:tcPr>
          <w:p w14:paraId="6F759FA7">
            <w:pPr>
              <w:pStyle w:val="12"/>
              <w:jc w:val="center"/>
            </w:pPr>
            <w:r>
              <w:rPr>
                <w:rFonts w:hint="eastAsia"/>
              </w:rPr>
              <w:t>106.68</w:t>
            </w:r>
          </w:p>
        </w:tc>
        <w:tc>
          <w:tcPr>
            <w:tcW w:w="715" w:type="pct"/>
            <w:vAlign w:val="center"/>
          </w:tcPr>
          <w:p w14:paraId="37654174">
            <w:pPr>
              <w:pStyle w:val="12"/>
              <w:jc w:val="center"/>
            </w:pPr>
            <w:r>
              <w:rPr>
                <w:rFonts w:hint="eastAsia"/>
              </w:rPr>
              <w:t>3810</w:t>
            </w:r>
          </w:p>
        </w:tc>
        <w:tc>
          <w:tcPr>
            <w:tcW w:w="715" w:type="pct"/>
            <w:vAlign w:val="center"/>
          </w:tcPr>
          <w:p w14:paraId="3CD606BB">
            <w:pPr>
              <w:pStyle w:val="12"/>
              <w:jc w:val="center"/>
            </w:pPr>
            <w:r>
              <w:rPr>
                <w:rFonts w:hint="eastAsia"/>
              </w:rPr>
              <w:t>1.02</w:t>
            </w:r>
          </w:p>
        </w:tc>
        <w:tc>
          <w:tcPr>
            <w:tcW w:w="715" w:type="pct"/>
            <w:vAlign w:val="center"/>
          </w:tcPr>
          <w:p w14:paraId="5DBD2258">
            <w:pPr>
              <w:pStyle w:val="12"/>
              <w:jc w:val="center"/>
            </w:pPr>
            <w:r>
              <w:rPr>
                <w:rFonts w:hint="eastAsia"/>
              </w:rPr>
              <w:t>94.69</w:t>
            </w:r>
          </w:p>
        </w:tc>
      </w:tr>
      <w:tr w14:paraId="6789DE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A2E2217">
            <w:pPr>
              <w:pStyle w:val="12"/>
              <w:jc w:val="center"/>
            </w:pPr>
            <w:r>
              <w:rPr>
                <w:rFonts w:hint="eastAsia"/>
              </w:rPr>
              <w:t>50岁~54岁</w:t>
            </w:r>
          </w:p>
        </w:tc>
        <w:tc>
          <w:tcPr>
            <w:tcW w:w="714" w:type="pct"/>
            <w:vAlign w:val="center"/>
          </w:tcPr>
          <w:p w14:paraId="18F434B7">
            <w:pPr>
              <w:pStyle w:val="12"/>
              <w:jc w:val="center"/>
            </w:pPr>
            <w:r>
              <w:rPr>
                <w:rFonts w:hint="eastAsia"/>
              </w:rPr>
              <w:t>16864</w:t>
            </w:r>
          </w:p>
        </w:tc>
        <w:tc>
          <w:tcPr>
            <w:tcW w:w="714" w:type="pct"/>
            <w:vAlign w:val="center"/>
          </w:tcPr>
          <w:p w14:paraId="7DD1685D">
            <w:pPr>
              <w:pStyle w:val="12"/>
              <w:jc w:val="center"/>
            </w:pPr>
            <w:r>
              <w:rPr>
                <w:rFonts w:hint="eastAsia"/>
              </w:rPr>
              <w:t>3.88</w:t>
            </w:r>
          </w:p>
        </w:tc>
        <w:tc>
          <w:tcPr>
            <w:tcW w:w="715" w:type="pct"/>
            <w:vAlign w:val="center"/>
          </w:tcPr>
          <w:p w14:paraId="08D44CB7">
            <w:pPr>
              <w:pStyle w:val="12"/>
              <w:jc w:val="center"/>
            </w:pPr>
            <w:r>
              <w:rPr>
                <w:rFonts w:hint="eastAsia"/>
              </w:rPr>
              <w:t>101.15</w:t>
            </w:r>
          </w:p>
        </w:tc>
        <w:tc>
          <w:tcPr>
            <w:tcW w:w="715" w:type="pct"/>
            <w:vAlign w:val="center"/>
          </w:tcPr>
          <w:p w14:paraId="734A357D">
            <w:pPr>
              <w:pStyle w:val="12"/>
              <w:jc w:val="center"/>
            </w:pPr>
            <w:r>
              <w:rPr>
                <w:rFonts w:hint="eastAsia"/>
              </w:rPr>
              <w:t>17733</w:t>
            </w:r>
          </w:p>
        </w:tc>
        <w:tc>
          <w:tcPr>
            <w:tcW w:w="715" w:type="pct"/>
            <w:vAlign w:val="center"/>
          </w:tcPr>
          <w:p w14:paraId="1F18C1B8">
            <w:pPr>
              <w:pStyle w:val="12"/>
              <w:jc w:val="center"/>
            </w:pPr>
            <w:r>
              <w:rPr>
                <w:rFonts w:hint="eastAsia"/>
              </w:rPr>
              <w:t>4.76</w:t>
            </w:r>
          </w:p>
        </w:tc>
        <w:tc>
          <w:tcPr>
            <w:tcW w:w="715" w:type="pct"/>
            <w:vAlign w:val="center"/>
          </w:tcPr>
          <w:p w14:paraId="6CDE5B4B">
            <w:pPr>
              <w:pStyle w:val="12"/>
              <w:jc w:val="center"/>
            </w:pPr>
            <w:r>
              <w:rPr>
                <w:rFonts w:hint="eastAsia"/>
              </w:rPr>
              <w:t>104.67</w:t>
            </w:r>
          </w:p>
        </w:tc>
      </w:tr>
      <w:tr w14:paraId="15576F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78E2DC2">
            <w:pPr>
              <w:pStyle w:val="12"/>
              <w:jc w:val="center"/>
            </w:pPr>
            <w:r>
              <w:rPr>
                <w:rFonts w:hint="eastAsia"/>
              </w:rPr>
              <w:t>50岁</w:t>
            </w:r>
          </w:p>
        </w:tc>
        <w:tc>
          <w:tcPr>
            <w:tcW w:w="714" w:type="pct"/>
            <w:vAlign w:val="center"/>
          </w:tcPr>
          <w:p w14:paraId="69125456">
            <w:pPr>
              <w:pStyle w:val="12"/>
              <w:jc w:val="center"/>
            </w:pPr>
            <w:r>
              <w:rPr>
                <w:rFonts w:hint="eastAsia"/>
              </w:rPr>
              <w:t>3334</w:t>
            </w:r>
          </w:p>
        </w:tc>
        <w:tc>
          <w:tcPr>
            <w:tcW w:w="714" w:type="pct"/>
            <w:vAlign w:val="center"/>
          </w:tcPr>
          <w:p w14:paraId="6ABAA184">
            <w:pPr>
              <w:pStyle w:val="12"/>
              <w:jc w:val="center"/>
            </w:pPr>
            <w:r>
              <w:rPr>
                <w:rFonts w:hint="eastAsia"/>
              </w:rPr>
              <w:t>0.77</w:t>
            </w:r>
          </w:p>
        </w:tc>
        <w:tc>
          <w:tcPr>
            <w:tcW w:w="715" w:type="pct"/>
            <w:vAlign w:val="center"/>
          </w:tcPr>
          <w:p w14:paraId="7EFF8B54">
            <w:pPr>
              <w:pStyle w:val="12"/>
              <w:jc w:val="center"/>
            </w:pPr>
            <w:r>
              <w:rPr>
                <w:rFonts w:hint="eastAsia"/>
              </w:rPr>
              <w:t>100.12</w:t>
            </w:r>
          </w:p>
        </w:tc>
        <w:tc>
          <w:tcPr>
            <w:tcW w:w="715" w:type="pct"/>
            <w:vAlign w:val="center"/>
          </w:tcPr>
          <w:p w14:paraId="7CF1DA46">
            <w:pPr>
              <w:pStyle w:val="12"/>
              <w:jc w:val="center"/>
            </w:pPr>
            <w:r>
              <w:rPr>
                <w:rFonts w:hint="eastAsia"/>
              </w:rPr>
              <w:t>4106</w:t>
            </w:r>
          </w:p>
        </w:tc>
        <w:tc>
          <w:tcPr>
            <w:tcW w:w="715" w:type="pct"/>
            <w:vAlign w:val="center"/>
          </w:tcPr>
          <w:p w14:paraId="79728612">
            <w:pPr>
              <w:pStyle w:val="12"/>
              <w:jc w:val="center"/>
            </w:pPr>
            <w:r>
              <w:rPr>
                <w:rFonts w:hint="eastAsia"/>
              </w:rPr>
              <w:t>1.10</w:t>
            </w:r>
          </w:p>
        </w:tc>
        <w:tc>
          <w:tcPr>
            <w:tcW w:w="715" w:type="pct"/>
            <w:vAlign w:val="center"/>
          </w:tcPr>
          <w:p w14:paraId="5EAF00C3">
            <w:pPr>
              <w:pStyle w:val="12"/>
              <w:jc w:val="center"/>
            </w:pPr>
            <w:r>
              <w:rPr>
                <w:rFonts w:hint="eastAsia"/>
              </w:rPr>
              <w:t>101.57</w:t>
            </w:r>
          </w:p>
        </w:tc>
      </w:tr>
      <w:tr w14:paraId="7ED97F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142C3AA">
            <w:pPr>
              <w:pStyle w:val="12"/>
              <w:jc w:val="center"/>
            </w:pPr>
            <w:r>
              <w:rPr>
                <w:rFonts w:hint="eastAsia"/>
              </w:rPr>
              <w:t>51岁</w:t>
            </w:r>
          </w:p>
        </w:tc>
        <w:tc>
          <w:tcPr>
            <w:tcW w:w="714" w:type="pct"/>
            <w:vAlign w:val="center"/>
          </w:tcPr>
          <w:p w14:paraId="77EFEE3F">
            <w:pPr>
              <w:pStyle w:val="12"/>
              <w:jc w:val="center"/>
            </w:pPr>
            <w:r>
              <w:rPr>
                <w:rFonts w:hint="eastAsia"/>
              </w:rPr>
              <w:t>3179</w:t>
            </w:r>
          </w:p>
        </w:tc>
        <w:tc>
          <w:tcPr>
            <w:tcW w:w="714" w:type="pct"/>
            <w:vAlign w:val="center"/>
          </w:tcPr>
          <w:p w14:paraId="4F5757BF">
            <w:pPr>
              <w:pStyle w:val="12"/>
              <w:jc w:val="center"/>
            </w:pPr>
            <w:r>
              <w:rPr>
                <w:rFonts w:hint="eastAsia"/>
              </w:rPr>
              <w:t>0.73</w:t>
            </w:r>
          </w:p>
        </w:tc>
        <w:tc>
          <w:tcPr>
            <w:tcW w:w="715" w:type="pct"/>
            <w:vAlign w:val="center"/>
          </w:tcPr>
          <w:p w14:paraId="32F9F82A">
            <w:pPr>
              <w:pStyle w:val="12"/>
              <w:jc w:val="center"/>
            </w:pPr>
            <w:r>
              <w:rPr>
                <w:rFonts w:hint="eastAsia"/>
              </w:rPr>
              <w:t>104.27</w:t>
            </w:r>
          </w:p>
        </w:tc>
        <w:tc>
          <w:tcPr>
            <w:tcW w:w="715" w:type="pct"/>
            <w:vAlign w:val="center"/>
          </w:tcPr>
          <w:p w14:paraId="214E48B6">
            <w:pPr>
              <w:pStyle w:val="12"/>
              <w:jc w:val="center"/>
            </w:pPr>
            <w:r>
              <w:rPr>
                <w:rFonts w:hint="eastAsia"/>
              </w:rPr>
              <w:t>4194</w:t>
            </w:r>
          </w:p>
        </w:tc>
        <w:tc>
          <w:tcPr>
            <w:tcW w:w="715" w:type="pct"/>
            <w:vAlign w:val="center"/>
          </w:tcPr>
          <w:p w14:paraId="425068AA">
            <w:pPr>
              <w:pStyle w:val="12"/>
              <w:jc w:val="center"/>
            </w:pPr>
            <w:r>
              <w:rPr>
                <w:rFonts w:hint="eastAsia"/>
              </w:rPr>
              <w:t>1.12</w:t>
            </w:r>
          </w:p>
        </w:tc>
        <w:tc>
          <w:tcPr>
            <w:tcW w:w="715" w:type="pct"/>
            <w:vAlign w:val="center"/>
          </w:tcPr>
          <w:p w14:paraId="6E5FD491">
            <w:pPr>
              <w:pStyle w:val="12"/>
              <w:jc w:val="center"/>
            </w:pPr>
            <w:r>
              <w:rPr>
                <w:rFonts w:hint="eastAsia"/>
              </w:rPr>
              <w:t>119.70</w:t>
            </w:r>
          </w:p>
        </w:tc>
      </w:tr>
      <w:tr w14:paraId="5437123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09B74F5">
            <w:pPr>
              <w:pStyle w:val="12"/>
              <w:jc w:val="center"/>
            </w:pPr>
            <w:r>
              <w:rPr>
                <w:rFonts w:hint="eastAsia"/>
              </w:rPr>
              <w:t>52岁</w:t>
            </w:r>
          </w:p>
        </w:tc>
        <w:tc>
          <w:tcPr>
            <w:tcW w:w="714" w:type="pct"/>
            <w:vAlign w:val="center"/>
          </w:tcPr>
          <w:p w14:paraId="4E561234">
            <w:pPr>
              <w:pStyle w:val="12"/>
              <w:jc w:val="center"/>
            </w:pPr>
            <w:r>
              <w:rPr>
                <w:rFonts w:hint="eastAsia"/>
              </w:rPr>
              <w:t>3338</w:t>
            </w:r>
          </w:p>
        </w:tc>
        <w:tc>
          <w:tcPr>
            <w:tcW w:w="714" w:type="pct"/>
            <w:vAlign w:val="center"/>
          </w:tcPr>
          <w:p w14:paraId="37119E40">
            <w:pPr>
              <w:pStyle w:val="12"/>
              <w:jc w:val="center"/>
            </w:pPr>
            <w:r>
              <w:rPr>
                <w:rFonts w:hint="eastAsia"/>
              </w:rPr>
              <w:t>0.77</w:t>
            </w:r>
          </w:p>
        </w:tc>
        <w:tc>
          <w:tcPr>
            <w:tcW w:w="715" w:type="pct"/>
            <w:vAlign w:val="center"/>
          </w:tcPr>
          <w:p w14:paraId="3428FBC7">
            <w:pPr>
              <w:pStyle w:val="12"/>
              <w:jc w:val="center"/>
            </w:pPr>
            <w:r>
              <w:rPr>
                <w:rFonts w:hint="eastAsia"/>
              </w:rPr>
              <w:t>105.67</w:t>
            </w:r>
          </w:p>
        </w:tc>
        <w:tc>
          <w:tcPr>
            <w:tcW w:w="715" w:type="pct"/>
            <w:vAlign w:val="center"/>
          </w:tcPr>
          <w:p w14:paraId="0944B4ED">
            <w:pPr>
              <w:pStyle w:val="12"/>
              <w:jc w:val="center"/>
            </w:pPr>
            <w:r>
              <w:rPr>
                <w:rFonts w:hint="eastAsia"/>
              </w:rPr>
              <w:t>3363</w:t>
            </w:r>
          </w:p>
        </w:tc>
        <w:tc>
          <w:tcPr>
            <w:tcW w:w="715" w:type="pct"/>
            <w:vAlign w:val="center"/>
          </w:tcPr>
          <w:p w14:paraId="2AAE99A4">
            <w:pPr>
              <w:pStyle w:val="12"/>
              <w:jc w:val="center"/>
            </w:pPr>
            <w:r>
              <w:rPr>
                <w:rFonts w:hint="eastAsia"/>
              </w:rPr>
              <w:t>0.90</w:t>
            </w:r>
          </w:p>
        </w:tc>
        <w:tc>
          <w:tcPr>
            <w:tcW w:w="715" w:type="pct"/>
            <w:vAlign w:val="center"/>
          </w:tcPr>
          <w:p w14:paraId="7839FA69">
            <w:pPr>
              <w:pStyle w:val="12"/>
              <w:jc w:val="center"/>
            </w:pPr>
            <w:r>
              <w:rPr>
                <w:rFonts w:hint="eastAsia"/>
              </w:rPr>
              <w:t>99.35</w:t>
            </w:r>
          </w:p>
        </w:tc>
      </w:tr>
      <w:tr w14:paraId="7FC6A1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2927A411">
            <w:pPr>
              <w:pStyle w:val="12"/>
              <w:jc w:val="center"/>
            </w:pPr>
            <w:r>
              <w:rPr>
                <w:rFonts w:hint="eastAsia"/>
              </w:rPr>
              <w:t>53岁</w:t>
            </w:r>
          </w:p>
        </w:tc>
        <w:tc>
          <w:tcPr>
            <w:tcW w:w="714" w:type="pct"/>
            <w:vAlign w:val="center"/>
          </w:tcPr>
          <w:p w14:paraId="707ADD12">
            <w:pPr>
              <w:pStyle w:val="12"/>
              <w:jc w:val="center"/>
            </w:pPr>
            <w:r>
              <w:rPr>
                <w:rFonts w:hint="eastAsia"/>
              </w:rPr>
              <w:t>3481</w:t>
            </w:r>
          </w:p>
        </w:tc>
        <w:tc>
          <w:tcPr>
            <w:tcW w:w="714" w:type="pct"/>
            <w:vAlign w:val="center"/>
          </w:tcPr>
          <w:p w14:paraId="4163571F">
            <w:pPr>
              <w:pStyle w:val="12"/>
              <w:jc w:val="center"/>
            </w:pPr>
            <w:r>
              <w:rPr>
                <w:rFonts w:hint="eastAsia"/>
              </w:rPr>
              <w:t>0.80</w:t>
            </w:r>
          </w:p>
        </w:tc>
        <w:tc>
          <w:tcPr>
            <w:tcW w:w="715" w:type="pct"/>
            <w:vAlign w:val="center"/>
          </w:tcPr>
          <w:p w14:paraId="4ED7EEA3">
            <w:pPr>
              <w:pStyle w:val="12"/>
              <w:jc w:val="center"/>
            </w:pPr>
            <w:r>
              <w:rPr>
                <w:rFonts w:hint="eastAsia"/>
              </w:rPr>
              <w:t>99.03</w:t>
            </w:r>
          </w:p>
        </w:tc>
        <w:tc>
          <w:tcPr>
            <w:tcW w:w="715" w:type="pct"/>
            <w:vAlign w:val="center"/>
          </w:tcPr>
          <w:p w14:paraId="61B09BF4">
            <w:pPr>
              <w:pStyle w:val="12"/>
              <w:jc w:val="center"/>
            </w:pPr>
            <w:r>
              <w:rPr>
                <w:rFonts w:hint="eastAsia"/>
              </w:rPr>
              <w:t>3132</w:t>
            </w:r>
          </w:p>
        </w:tc>
        <w:tc>
          <w:tcPr>
            <w:tcW w:w="715" w:type="pct"/>
            <w:vAlign w:val="center"/>
          </w:tcPr>
          <w:p w14:paraId="3051751B">
            <w:pPr>
              <w:pStyle w:val="12"/>
              <w:jc w:val="center"/>
            </w:pPr>
            <w:r>
              <w:rPr>
                <w:rFonts w:hint="eastAsia"/>
              </w:rPr>
              <w:t>0.84</w:t>
            </w:r>
          </w:p>
        </w:tc>
        <w:tc>
          <w:tcPr>
            <w:tcW w:w="715" w:type="pct"/>
            <w:vAlign w:val="center"/>
          </w:tcPr>
          <w:p w14:paraId="1762AD43">
            <w:pPr>
              <w:pStyle w:val="12"/>
              <w:jc w:val="center"/>
            </w:pPr>
            <w:r>
              <w:rPr>
                <w:rFonts w:hint="eastAsia"/>
              </w:rPr>
              <w:t>100.26</w:t>
            </w:r>
          </w:p>
        </w:tc>
      </w:tr>
      <w:tr w14:paraId="423F43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0ED7B9C">
            <w:pPr>
              <w:pStyle w:val="12"/>
              <w:jc w:val="center"/>
            </w:pPr>
            <w:r>
              <w:rPr>
                <w:rFonts w:hint="eastAsia"/>
              </w:rPr>
              <w:t>54岁</w:t>
            </w:r>
          </w:p>
        </w:tc>
        <w:tc>
          <w:tcPr>
            <w:tcW w:w="714" w:type="pct"/>
            <w:vAlign w:val="center"/>
          </w:tcPr>
          <w:p w14:paraId="19BACE0D">
            <w:pPr>
              <w:pStyle w:val="12"/>
              <w:jc w:val="center"/>
            </w:pPr>
            <w:r>
              <w:rPr>
                <w:rFonts w:hint="eastAsia"/>
              </w:rPr>
              <w:t>3532</w:t>
            </w:r>
          </w:p>
        </w:tc>
        <w:tc>
          <w:tcPr>
            <w:tcW w:w="714" w:type="pct"/>
            <w:vAlign w:val="center"/>
          </w:tcPr>
          <w:p w14:paraId="2416AAB7">
            <w:pPr>
              <w:pStyle w:val="12"/>
              <w:jc w:val="center"/>
            </w:pPr>
            <w:r>
              <w:rPr>
                <w:rFonts w:hint="eastAsia"/>
              </w:rPr>
              <w:t>0.81</w:t>
            </w:r>
          </w:p>
        </w:tc>
        <w:tc>
          <w:tcPr>
            <w:tcW w:w="715" w:type="pct"/>
            <w:vAlign w:val="center"/>
          </w:tcPr>
          <w:p w14:paraId="4CBC8118">
            <w:pPr>
              <w:pStyle w:val="12"/>
              <w:jc w:val="center"/>
            </w:pPr>
            <w:r>
              <w:rPr>
                <w:rFonts w:hint="eastAsia"/>
              </w:rPr>
              <w:t>97.10</w:t>
            </w:r>
          </w:p>
        </w:tc>
        <w:tc>
          <w:tcPr>
            <w:tcW w:w="715" w:type="pct"/>
            <w:vAlign w:val="center"/>
          </w:tcPr>
          <w:p w14:paraId="7B3EBAED">
            <w:pPr>
              <w:pStyle w:val="12"/>
              <w:jc w:val="center"/>
            </w:pPr>
            <w:r>
              <w:rPr>
                <w:rFonts w:hint="eastAsia"/>
              </w:rPr>
              <w:t>2938</w:t>
            </w:r>
          </w:p>
        </w:tc>
        <w:tc>
          <w:tcPr>
            <w:tcW w:w="715" w:type="pct"/>
            <w:vAlign w:val="center"/>
          </w:tcPr>
          <w:p w14:paraId="185200E9">
            <w:pPr>
              <w:pStyle w:val="12"/>
              <w:jc w:val="center"/>
            </w:pPr>
            <w:r>
              <w:rPr>
                <w:rFonts w:hint="eastAsia"/>
              </w:rPr>
              <w:t>0.79</w:t>
            </w:r>
          </w:p>
        </w:tc>
        <w:tc>
          <w:tcPr>
            <w:tcW w:w="715" w:type="pct"/>
            <w:vAlign w:val="center"/>
          </w:tcPr>
          <w:p w14:paraId="4F31172E">
            <w:pPr>
              <w:pStyle w:val="12"/>
              <w:jc w:val="center"/>
            </w:pPr>
            <w:r>
              <w:rPr>
                <w:rFonts w:hint="eastAsia"/>
              </w:rPr>
              <w:t>100.27</w:t>
            </w:r>
          </w:p>
        </w:tc>
      </w:tr>
      <w:tr w14:paraId="15B449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1A4063B">
            <w:pPr>
              <w:pStyle w:val="12"/>
              <w:jc w:val="center"/>
            </w:pPr>
            <w:r>
              <w:rPr>
                <w:rFonts w:hint="eastAsia"/>
              </w:rPr>
              <w:t>55岁~59岁</w:t>
            </w:r>
          </w:p>
        </w:tc>
        <w:tc>
          <w:tcPr>
            <w:tcW w:w="714" w:type="pct"/>
            <w:vAlign w:val="center"/>
          </w:tcPr>
          <w:p w14:paraId="6D14D05D">
            <w:pPr>
              <w:pStyle w:val="12"/>
              <w:jc w:val="center"/>
            </w:pPr>
            <w:r>
              <w:rPr>
                <w:rFonts w:hint="eastAsia"/>
              </w:rPr>
              <w:t>15920</w:t>
            </w:r>
          </w:p>
        </w:tc>
        <w:tc>
          <w:tcPr>
            <w:tcW w:w="714" w:type="pct"/>
            <w:vAlign w:val="center"/>
          </w:tcPr>
          <w:p w14:paraId="12547808">
            <w:pPr>
              <w:pStyle w:val="12"/>
              <w:jc w:val="center"/>
            </w:pPr>
            <w:r>
              <w:rPr>
                <w:rFonts w:hint="eastAsia"/>
              </w:rPr>
              <w:t>3.67</w:t>
            </w:r>
          </w:p>
        </w:tc>
        <w:tc>
          <w:tcPr>
            <w:tcW w:w="715" w:type="pct"/>
            <w:vAlign w:val="center"/>
          </w:tcPr>
          <w:p w14:paraId="32C59244">
            <w:pPr>
              <w:pStyle w:val="12"/>
              <w:jc w:val="center"/>
            </w:pPr>
            <w:r>
              <w:rPr>
                <w:rFonts w:hint="eastAsia"/>
              </w:rPr>
              <w:t>84.47</w:t>
            </w:r>
          </w:p>
        </w:tc>
        <w:tc>
          <w:tcPr>
            <w:tcW w:w="715" w:type="pct"/>
            <w:vAlign w:val="center"/>
          </w:tcPr>
          <w:p w14:paraId="084245DA">
            <w:pPr>
              <w:pStyle w:val="12"/>
              <w:jc w:val="center"/>
            </w:pPr>
            <w:r>
              <w:rPr>
                <w:rFonts w:hint="eastAsia"/>
              </w:rPr>
              <w:t>13745</w:t>
            </w:r>
          </w:p>
        </w:tc>
        <w:tc>
          <w:tcPr>
            <w:tcW w:w="715" w:type="pct"/>
            <w:vAlign w:val="center"/>
          </w:tcPr>
          <w:p w14:paraId="018298BB">
            <w:pPr>
              <w:pStyle w:val="12"/>
              <w:jc w:val="center"/>
            </w:pPr>
            <w:r>
              <w:rPr>
                <w:rFonts w:hint="eastAsia"/>
              </w:rPr>
              <w:t>3.69</w:t>
            </w:r>
          </w:p>
        </w:tc>
        <w:tc>
          <w:tcPr>
            <w:tcW w:w="715" w:type="pct"/>
            <w:vAlign w:val="center"/>
          </w:tcPr>
          <w:p w14:paraId="331632E6">
            <w:pPr>
              <w:pStyle w:val="12"/>
              <w:jc w:val="center"/>
            </w:pPr>
            <w:r>
              <w:rPr>
                <w:rFonts w:hint="eastAsia"/>
              </w:rPr>
              <w:t>102.79</w:t>
            </w:r>
          </w:p>
        </w:tc>
      </w:tr>
      <w:tr w14:paraId="2F41A5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4597091E">
            <w:pPr>
              <w:pStyle w:val="12"/>
              <w:jc w:val="center"/>
            </w:pPr>
            <w:r>
              <w:rPr>
                <w:rFonts w:hint="eastAsia"/>
              </w:rPr>
              <w:t>55岁</w:t>
            </w:r>
          </w:p>
        </w:tc>
        <w:tc>
          <w:tcPr>
            <w:tcW w:w="714" w:type="pct"/>
            <w:vAlign w:val="center"/>
          </w:tcPr>
          <w:p w14:paraId="6B43D316">
            <w:pPr>
              <w:pStyle w:val="12"/>
              <w:jc w:val="center"/>
            </w:pPr>
            <w:r>
              <w:rPr>
                <w:rFonts w:hint="eastAsia"/>
              </w:rPr>
              <w:t>3283</w:t>
            </w:r>
          </w:p>
        </w:tc>
        <w:tc>
          <w:tcPr>
            <w:tcW w:w="714" w:type="pct"/>
            <w:vAlign w:val="center"/>
          </w:tcPr>
          <w:p w14:paraId="2D99A0D1">
            <w:pPr>
              <w:pStyle w:val="12"/>
              <w:jc w:val="center"/>
            </w:pPr>
            <w:r>
              <w:rPr>
                <w:rFonts w:hint="eastAsia"/>
              </w:rPr>
              <w:t>0.76</w:t>
            </w:r>
          </w:p>
        </w:tc>
        <w:tc>
          <w:tcPr>
            <w:tcW w:w="715" w:type="pct"/>
            <w:vAlign w:val="center"/>
          </w:tcPr>
          <w:p w14:paraId="589F100F">
            <w:pPr>
              <w:pStyle w:val="12"/>
              <w:jc w:val="center"/>
            </w:pPr>
            <w:r>
              <w:rPr>
                <w:rFonts w:hint="eastAsia"/>
              </w:rPr>
              <w:t>90.87</w:t>
            </w:r>
          </w:p>
        </w:tc>
        <w:tc>
          <w:tcPr>
            <w:tcW w:w="715" w:type="pct"/>
            <w:vAlign w:val="center"/>
          </w:tcPr>
          <w:p w14:paraId="1167604F">
            <w:pPr>
              <w:pStyle w:val="12"/>
              <w:jc w:val="center"/>
            </w:pPr>
            <w:r>
              <w:rPr>
                <w:rFonts w:hint="eastAsia"/>
              </w:rPr>
              <w:t>2822</w:t>
            </w:r>
          </w:p>
        </w:tc>
        <w:tc>
          <w:tcPr>
            <w:tcW w:w="715" w:type="pct"/>
            <w:vAlign w:val="center"/>
          </w:tcPr>
          <w:p w14:paraId="4A372AC9">
            <w:pPr>
              <w:pStyle w:val="12"/>
              <w:jc w:val="center"/>
            </w:pPr>
            <w:r>
              <w:rPr>
                <w:rFonts w:hint="eastAsia"/>
              </w:rPr>
              <w:t>0.76</w:t>
            </w:r>
          </w:p>
        </w:tc>
        <w:tc>
          <w:tcPr>
            <w:tcW w:w="715" w:type="pct"/>
            <w:vAlign w:val="center"/>
          </w:tcPr>
          <w:p w14:paraId="5FA23B4B">
            <w:pPr>
              <w:pStyle w:val="12"/>
              <w:jc w:val="center"/>
            </w:pPr>
            <w:r>
              <w:rPr>
                <w:rFonts w:hint="eastAsia"/>
              </w:rPr>
              <w:t>105.09</w:t>
            </w:r>
          </w:p>
        </w:tc>
      </w:tr>
      <w:tr w14:paraId="55DC4E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419CF7A">
            <w:pPr>
              <w:pStyle w:val="12"/>
              <w:jc w:val="center"/>
            </w:pPr>
            <w:r>
              <w:rPr>
                <w:rFonts w:hint="eastAsia"/>
              </w:rPr>
              <w:t>56岁</w:t>
            </w:r>
          </w:p>
        </w:tc>
        <w:tc>
          <w:tcPr>
            <w:tcW w:w="714" w:type="pct"/>
            <w:vAlign w:val="center"/>
          </w:tcPr>
          <w:p w14:paraId="5AD3BB7C">
            <w:pPr>
              <w:pStyle w:val="12"/>
              <w:jc w:val="center"/>
            </w:pPr>
            <w:r>
              <w:rPr>
                <w:rFonts w:hint="eastAsia"/>
              </w:rPr>
              <w:t>3251</w:t>
            </w:r>
          </w:p>
        </w:tc>
        <w:tc>
          <w:tcPr>
            <w:tcW w:w="714" w:type="pct"/>
            <w:vAlign w:val="center"/>
          </w:tcPr>
          <w:p w14:paraId="55C9D860">
            <w:pPr>
              <w:pStyle w:val="12"/>
              <w:jc w:val="center"/>
            </w:pPr>
            <w:r>
              <w:rPr>
                <w:rFonts w:hint="eastAsia"/>
              </w:rPr>
              <w:t>0.75</w:t>
            </w:r>
          </w:p>
        </w:tc>
        <w:tc>
          <w:tcPr>
            <w:tcW w:w="715" w:type="pct"/>
            <w:vAlign w:val="center"/>
          </w:tcPr>
          <w:p w14:paraId="1620507F">
            <w:pPr>
              <w:pStyle w:val="12"/>
              <w:jc w:val="center"/>
            </w:pPr>
            <w:r>
              <w:rPr>
                <w:rFonts w:hint="eastAsia"/>
              </w:rPr>
              <w:t>90.01</w:t>
            </w:r>
          </w:p>
        </w:tc>
        <w:tc>
          <w:tcPr>
            <w:tcW w:w="715" w:type="pct"/>
            <w:vAlign w:val="center"/>
          </w:tcPr>
          <w:p w14:paraId="78D9DADE">
            <w:pPr>
              <w:pStyle w:val="12"/>
              <w:jc w:val="center"/>
            </w:pPr>
            <w:r>
              <w:rPr>
                <w:rFonts w:hint="eastAsia"/>
              </w:rPr>
              <w:t>2807</w:t>
            </w:r>
          </w:p>
        </w:tc>
        <w:tc>
          <w:tcPr>
            <w:tcW w:w="715" w:type="pct"/>
            <w:vAlign w:val="center"/>
          </w:tcPr>
          <w:p w14:paraId="7ABB97A3">
            <w:pPr>
              <w:pStyle w:val="12"/>
              <w:jc w:val="center"/>
            </w:pPr>
            <w:r>
              <w:rPr>
                <w:rFonts w:hint="eastAsia"/>
              </w:rPr>
              <w:t>0.75</w:t>
            </w:r>
          </w:p>
        </w:tc>
        <w:tc>
          <w:tcPr>
            <w:tcW w:w="715" w:type="pct"/>
            <w:vAlign w:val="center"/>
          </w:tcPr>
          <w:p w14:paraId="3BD9A5B1">
            <w:pPr>
              <w:pStyle w:val="12"/>
              <w:jc w:val="center"/>
            </w:pPr>
            <w:r>
              <w:rPr>
                <w:rFonts w:hint="eastAsia"/>
              </w:rPr>
              <w:t>109.95</w:t>
            </w:r>
          </w:p>
        </w:tc>
      </w:tr>
      <w:tr w14:paraId="391E73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B7A4C46">
            <w:pPr>
              <w:pStyle w:val="12"/>
              <w:jc w:val="center"/>
            </w:pPr>
            <w:r>
              <w:rPr>
                <w:rFonts w:hint="eastAsia"/>
              </w:rPr>
              <w:t>57岁</w:t>
            </w:r>
          </w:p>
        </w:tc>
        <w:tc>
          <w:tcPr>
            <w:tcW w:w="714" w:type="pct"/>
            <w:vAlign w:val="center"/>
          </w:tcPr>
          <w:p w14:paraId="79DBD9FE">
            <w:pPr>
              <w:pStyle w:val="12"/>
              <w:jc w:val="center"/>
            </w:pPr>
            <w:r>
              <w:rPr>
                <w:rFonts w:hint="eastAsia"/>
              </w:rPr>
              <w:t>3190</w:t>
            </w:r>
          </w:p>
        </w:tc>
        <w:tc>
          <w:tcPr>
            <w:tcW w:w="714" w:type="pct"/>
            <w:vAlign w:val="center"/>
          </w:tcPr>
          <w:p w14:paraId="26FF89E2">
            <w:pPr>
              <w:pStyle w:val="12"/>
              <w:jc w:val="center"/>
            </w:pPr>
            <w:r>
              <w:rPr>
                <w:rFonts w:hint="eastAsia"/>
              </w:rPr>
              <w:t>0.73</w:t>
            </w:r>
          </w:p>
        </w:tc>
        <w:tc>
          <w:tcPr>
            <w:tcW w:w="715" w:type="pct"/>
            <w:vAlign w:val="center"/>
          </w:tcPr>
          <w:p w14:paraId="0D3AD1C0">
            <w:pPr>
              <w:pStyle w:val="12"/>
              <w:jc w:val="center"/>
            </w:pPr>
            <w:r>
              <w:rPr>
                <w:rFonts w:hint="eastAsia"/>
              </w:rPr>
              <w:t>82.60</w:t>
            </w:r>
          </w:p>
        </w:tc>
        <w:tc>
          <w:tcPr>
            <w:tcW w:w="715" w:type="pct"/>
            <w:vAlign w:val="center"/>
          </w:tcPr>
          <w:p w14:paraId="0628F6ED">
            <w:pPr>
              <w:pStyle w:val="12"/>
              <w:jc w:val="center"/>
            </w:pPr>
            <w:r>
              <w:rPr>
                <w:rFonts w:hint="eastAsia"/>
              </w:rPr>
              <w:t>2637</w:t>
            </w:r>
          </w:p>
        </w:tc>
        <w:tc>
          <w:tcPr>
            <w:tcW w:w="715" w:type="pct"/>
            <w:vAlign w:val="center"/>
          </w:tcPr>
          <w:p w14:paraId="56C8B53A">
            <w:pPr>
              <w:pStyle w:val="12"/>
              <w:jc w:val="center"/>
            </w:pPr>
            <w:r>
              <w:rPr>
                <w:rFonts w:hint="eastAsia"/>
              </w:rPr>
              <w:t>0.71</w:t>
            </w:r>
          </w:p>
        </w:tc>
        <w:tc>
          <w:tcPr>
            <w:tcW w:w="715" w:type="pct"/>
            <w:vAlign w:val="center"/>
          </w:tcPr>
          <w:p w14:paraId="70E85969">
            <w:pPr>
              <w:pStyle w:val="12"/>
              <w:jc w:val="center"/>
            </w:pPr>
            <w:r>
              <w:rPr>
                <w:rFonts w:hint="eastAsia"/>
              </w:rPr>
              <w:t>103.47</w:t>
            </w:r>
          </w:p>
        </w:tc>
      </w:tr>
      <w:tr w14:paraId="450401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17BC5C6">
            <w:pPr>
              <w:pStyle w:val="12"/>
              <w:jc w:val="center"/>
            </w:pPr>
            <w:r>
              <w:rPr>
                <w:rFonts w:hint="eastAsia"/>
              </w:rPr>
              <w:t>58岁</w:t>
            </w:r>
          </w:p>
        </w:tc>
        <w:tc>
          <w:tcPr>
            <w:tcW w:w="714" w:type="pct"/>
            <w:vAlign w:val="center"/>
          </w:tcPr>
          <w:p w14:paraId="2415B117">
            <w:pPr>
              <w:pStyle w:val="12"/>
              <w:jc w:val="center"/>
            </w:pPr>
            <w:r>
              <w:rPr>
                <w:rFonts w:hint="eastAsia"/>
              </w:rPr>
              <w:t>3246</w:t>
            </w:r>
          </w:p>
        </w:tc>
        <w:tc>
          <w:tcPr>
            <w:tcW w:w="714" w:type="pct"/>
            <w:vAlign w:val="center"/>
          </w:tcPr>
          <w:p w14:paraId="55B2D8D5">
            <w:pPr>
              <w:pStyle w:val="12"/>
              <w:jc w:val="center"/>
            </w:pPr>
            <w:r>
              <w:rPr>
                <w:rFonts w:hint="eastAsia"/>
              </w:rPr>
              <w:t>0.75</w:t>
            </w:r>
          </w:p>
        </w:tc>
        <w:tc>
          <w:tcPr>
            <w:tcW w:w="715" w:type="pct"/>
            <w:vAlign w:val="center"/>
          </w:tcPr>
          <w:p w14:paraId="3E7B0801">
            <w:pPr>
              <w:pStyle w:val="12"/>
              <w:jc w:val="center"/>
            </w:pPr>
            <w:r>
              <w:rPr>
                <w:rFonts w:hint="eastAsia"/>
              </w:rPr>
              <w:t>79.04</w:t>
            </w:r>
          </w:p>
        </w:tc>
        <w:tc>
          <w:tcPr>
            <w:tcW w:w="715" w:type="pct"/>
            <w:vAlign w:val="center"/>
          </w:tcPr>
          <w:p w14:paraId="27FBF129">
            <w:pPr>
              <w:pStyle w:val="12"/>
              <w:jc w:val="center"/>
            </w:pPr>
            <w:r>
              <w:rPr>
                <w:rFonts w:hint="eastAsia"/>
              </w:rPr>
              <w:t>2685</w:t>
            </w:r>
          </w:p>
        </w:tc>
        <w:tc>
          <w:tcPr>
            <w:tcW w:w="715" w:type="pct"/>
            <w:vAlign w:val="center"/>
          </w:tcPr>
          <w:p w14:paraId="5015C116">
            <w:pPr>
              <w:pStyle w:val="12"/>
              <w:jc w:val="center"/>
            </w:pPr>
            <w:r>
              <w:rPr>
                <w:rFonts w:hint="eastAsia"/>
              </w:rPr>
              <w:t>0.72</w:t>
            </w:r>
          </w:p>
        </w:tc>
        <w:tc>
          <w:tcPr>
            <w:tcW w:w="715" w:type="pct"/>
            <w:vAlign w:val="center"/>
          </w:tcPr>
          <w:p w14:paraId="3FA5E4E0">
            <w:pPr>
              <w:pStyle w:val="12"/>
              <w:jc w:val="center"/>
            </w:pPr>
            <w:r>
              <w:rPr>
                <w:rFonts w:hint="eastAsia"/>
              </w:rPr>
              <w:t>99.78</w:t>
            </w:r>
          </w:p>
        </w:tc>
      </w:tr>
      <w:tr w14:paraId="28A8F5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9E70158">
            <w:pPr>
              <w:pStyle w:val="12"/>
              <w:jc w:val="center"/>
            </w:pPr>
            <w:r>
              <w:rPr>
                <w:rFonts w:hint="eastAsia"/>
              </w:rPr>
              <w:t>59岁</w:t>
            </w:r>
          </w:p>
        </w:tc>
        <w:tc>
          <w:tcPr>
            <w:tcW w:w="714" w:type="pct"/>
            <w:vAlign w:val="center"/>
          </w:tcPr>
          <w:p w14:paraId="64B48BA6">
            <w:pPr>
              <w:pStyle w:val="12"/>
              <w:jc w:val="center"/>
            </w:pPr>
            <w:r>
              <w:rPr>
                <w:rFonts w:hint="eastAsia"/>
              </w:rPr>
              <w:t>2950</w:t>
            </w:r>
          </w:p>
        </w:tc>
        <w:tc>
          <w:tcPr>
            <w:tcW w:w="714" w:type="pct"/>
            <w:vAlign w:val="center"/>
          </w:tcPr>
          <w:p w14:paraId="4DD1C6EF">
            <w:pPr>
              <w:pStyle w:val="12"/>
              <w:jc w:val="center"/>
            </w:pPr>
            <w:r>
              <w:rPr>
                <w:rFonts w:hint="eastAsia"/>
              </w:rPr>
              <w:t>0.68</w:t>
            </w:r>
          </w:p>
        </w:tc>
        <w:tc>
          <w:tcPr>
            <w:tcW w:w="715" w:type="pct"/>
            <w:vAlign w:val="center"/>
          </w:tcPr>
          <w:p w14:paraId="7A9F1BFD">
            <w:pPr>
              <w:pStyle w:val="12"/>
              <w:jc w:val="center"/>
            </w:pPr>
            <w:r>
              <w:rPr>
                <w:rFonts w:hint="eastAsia"/>
              </w:rPr>
              <w:t>79.99</w:t>
            </w:r>
          </w:p>
        </w:tc>
        <w:tc>
          <w:tcPr>
            <w:tcW w:w="715" w:type="pct"/>
            <w:vAlign w:val="center"/>
          </w:tcPr>
          <w:p w14:paraId="4960271E">
            <w:pPr>
              <w:pStyle w:val="12"/>
              <w:jc w:val="center"/>
            </w:pPr>
            <w:r>
              <w:rPr>
                <w:rFonts w:hint="eastAsia"/>
              </w:rPr>
              <w:t>2794</w:t>
            </w:r>
          </w:p>
        </w:tc>
        <w:tc>
          <w:tcPr>
            <w:tcW w:w="715" w:type="pct"/>
            <w:vAlign w:val="center"/>
          </w:tcPr>
          <w:p w14:paraId="66B4F3CE">
            <w:pPr>
              <w:pStyle w:val="12"/>
              <w:jc w:val="center"/>
            </w:pPr>
            <w:r>
              <w:rPr>
                <w:rFonts w:hint="eastAsia"/>
              </w:rPr>
              <w:t>0.75</w:t>
            </w:r>
          </w:p>
        </w:tc>
        <w:tc>
          <w:tcPr>
            <w:tcW w:w="715" w:type="pct"/>
            <w:vAlign w:val="center"/>
          </w:tcPr>
          <w:p w14:paraId="13BD8284">
            <w:pPr>
              <w:pStyle w:val="12"/>
              <w:jc w:val="center"/>
            </w:pPr>
            <w:r>
              <w:rPr>
                <w:rFonts w:hint="eastAsia"/>
              </w:rPr>
              <w:t>96.07</w:t>
            </w:r>
          </w:p>
        </w:tc>
      </w:tr>
      <w:tr w14:paraId="2EB580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28CA72DA">
            <w:pPr>
              <w:pStyle w:val="12"/>
              <w:jc w:val="center"/>
            </w:pPr>
            <w:r>
              <w:rPr>
                <w:rFonts w:hint="eastAsia"/>
              </w:rPr>
              <w:t>60岁~64岁</w:t>
            </w:r>
          </w:p>
        </w:tc>
        <w:tc>
          <w:tcPr>
            <w:tcW w:w="714" w:type="pct"/>
            <w:vAlign w:val="center"/>
          </w:tcPr>
          <w:p w14:paraId="2857231E">
            <w:pPr>
              <w:pStyle w:val="12"/>
              <w:jc w:val="center"/>
            </w:pPr>
            <w:r>
              <w:rPr>
                <w:rFonts w:hint="eastAsia"/>
              </w:rPr>
              <w:t>13108</w:t>
            </w:r>
          </w:p>
        </w:tc>
        <w:tc>
          <w:tcPr>
            <w:tcW w:w="714" w:type="pct"/>
            <w:vAlign w:val="center"/>
          </w:tcPr>
          <w:p w14:paraId="72839EF6">
            <w:pPr>
              <w:pStyle w:val="12"/>
              <w:jc w:val="center"/>
            </w:pPr>
            <w:r>
              <w:rPr>
                <w:rFonts w:hint="eastAsia"/>
              </w:rPr>
              <w:t>3.02</w:t>
            </w:r>
          </w:p>
        </w:tc>
        <w:tc>
          <w:tcPr>
            <w:tcW w:w="715" w:type="pct"/>
            <w:vAlign w:val="center"/>
          </w:tcPr>
          <w:p w14:paraId="3A5D6F87">
            <w:pPr>
              <w:pStyle w:val="12"/>
              <w:jc w:val="center"/>
            </w:pPr>
            <w:r>
              <w:rPr>
                <w:rFonts w:hint="eastAsia"/>
              </w:rPr>
              <w:t>77.09</w:t>
            </w:r>
          </w:p>
        </w:tc>
        <w:tc>
          <w:tcPr>
            <w:tcW w:w="715" w:type="pct"/>
            <w:vAlign w:val="center"/>
          </w:tcPr>
          <w:p w14:paraId="310CDA1F">
            <w:pPr>
              <w:pStyle w:val="12"/>
              <w:jc w:val="center"/>
            </w:pPr>
            <w:r>
              <w:rPr>
                <w:rFonts w:hint="eastAsia"/>
              </w:rPr>
              <w:t>14050</w:t>
            </w:r>
          </w:p>
        </w:tc>
        <w:tc>
          <w:tcPr>
            <w:tcW w:w="715" w:type="pct"/>
            <w:vAlign w:val="center"/>
          </w:tcPr>
          <w:p w14:paraId="2A72F8C2">
            <w:pPr>
              <w:pStyle w:val="12"/>
              <w:jc w:val="center"/>
            </w:pPr>
            <w:r>
              <w:rPr>
                <w:rFonts w:hint="eastAsia"/>
              </w:rPr>
              <w:t>3.77</w:t>
            </w:r>
          </w:p>
        </w:tc>
        <w:tc>
          <w:tcPr>
            <w:tcW w:w="715" w:type="pct"/>
            <w:vAlign w:val="center"/>
          </w:tcPr>
          <w:p w14:paraId="7CF1F60B">
            <w:pPr>
              <w:pStyle w:val="12"/>
              <w:jc w:val="center"/>
            </w:pPr>
            <w:r>
              <w:rPr>
                <w:rFonts w:hint="eastAsia"/>
              </w:rPr>
              <w:t>95.74</w:t>
            </w:r>
          </w:p>
        </w:tc>
      </w:tr>
      <w:tr w14:paraId="0646EC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39D1170">
            <w:pPr>
              <w:pStyle w:val="12"/>
              <w:jc w:val="center"/>
            </w:pPr>
            <w:r>
              <w:rPr>
                <w:rFonts w:hint="eastAsia"/>
              </w:rPr>
              <w:t>60岁</w:t>
            </w:r>
          </w:p>
        </w:tc>
        <w:tc>
          <w:tcPr>
            <w:tcW w:w="714" w:type="pct"/>
            <w:vAlign w:val="center"/>
          </w:tcPr>
          <w:p w14:paraId="1AE24EEA">
            <w:pPr>
              <w:pStyle w:val="12"/>
              <w:jc w:val="center"/>
            </w:pPr>
            <w:r>
              <w:rPr>
                <w:rFonts w:hint="eastAsia"/>
              </w:rPr>
              <w:t>2942</w:t>
            </w:r>
          </w:p>
        </w:tc>
        <w:tc>
          <w:tcPr>
            <w:tcW w:w="714" w:type="pct"/>
            <w:vAlign w:val="center"/>
          </w:tcPr>
          <w:p w14:paraId="226EB4E2">
            <w:pPr>
              <w:pStyle w:val="12"/>
              <w:jc w:val="center"/>
            </w:pPr>
            <w:r>
              <w:rPr>
                <w:rFonts w:hint="eastAsia"/>
              </w:rPr>
              <w:t>0.68</w:t>
            </w:r>
          </w:p>
        </w:tc>
        <w:tc>
          <w:tcPr>
            <w:tcW w:w="715" w:type="pct"/>
            <w:vAlign w:val="center"/>
          </w:tcPr>
          <w:p w14:paraId="6EF1779B">
            <w:pPr>
              <w:pStyle w:val="12"/>
              <w:jc w:val="center"/>
            </w:pPr>
            <w:r>
              <w:rPr>
                <w:rFonts w:hint="eastAsia"/>
              </w:rPr>
              <w:t>75.75</w:t>
            </w:r>
          </w:p>
        </w:tc>
        <w:tc>
          <w:tcPr>
            <w:tcW w:w="715" w:type="pct"/>
            <w:vAlign w:val="center"/>
          </w:tcPr>
          <w:p w14:paraId="43DA08F8">
            <w:pPr>
              <w:pStyle w:val="12"/>
              <w:jc w:val="center"/>
            </w:pPr>
            <w:r>
              <w:rPr>
                <w:rFonts w:hint="eastAsia"/>
              </w:rPr>
              <w:t>2966</w:t>
            </w:r>
          </w:p>
        </w:tc>
        <w:tc>
          <w:tcPr>
            <w:tcW w:w="715" w:type="pct"/>
            <w:vAlign w:val="center"/>
          </w:tcPr>
          <w:p w14:paraId="2236117A">
            <w:pPr>
              <w:pStyle w:val="12"/>
              <w:jc w:val="center"/>
            </w:pPr>
            <w:r>
              <w:rPr>
                <w:rFonts w:hint="eastAsia"/>
              </w:rPr>
              <w:t>0.80</w:t>
            </w:r>
          </w:p>
        </w:tc>
        <w:tc>
          <w:tcPr>
            <w:tcW w:w="715" w:type="pct"/>
            <w:vAlign w:val="center"/>
          </w:tcPr>
          <w:p w14:paraId="45798401">
            <w:pPr>
              <w:pStyle w:val="12"/>
              <w:jc w:val="center"/>
            </w:pPr>
            <w:r>
              <w:rPr>
                <w:rFonts w:hint="eastAsia"/>
              </w:rPr>
              <w:t>99.60</w:t>
            </w:r>
          </w:p>
        </w:tc>
      </w:tr>
      <w:tr w14:paraId="20C741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4931B805">
            <w:pPr>
              <w:pStyle w:val="12"/>
              <w:jc w:val="center"/>
            </w:pPr>
            <w:r>
              <w:rPr>
                <w:rFonts w:hint="eastAsia"/>
              </w:rPr>
              <w:t>61岁</w:t>
            </w:r>
          </w:p>
        </w:tc>
        <w:tc>
          <w:tcPr>
            <w:tcW w:w="714" w:type="pct"/>
            <w:vAlign w:val="center"/>
          </w:tcPr>
          <w:p w14:paraId="46BCF74F">
            <w:pPr>
              <w:pStyle w:val="12"/>
              <w:jc w:val="center"/>
            </w:pPr>
            <w:r>
              <w:rPr>
                <w:rFonts w:hint="eastAsia"/>
              </w:rPr>
              <w:t>2526</w:t>
            </w:r>
          </w:p>
        </w:tc>
        <w:tc>
          <w:tcPr>
            <w:tcW w:w="714" w:type="pct"/>
            <w:vAlign w:val="center"/>
          </w:tcPr>
          <w:p w14:paraId="4EA7A72A">
            <w:pPr>
              <w:pStyle w:val="12"/>
              <w:jc w:val="center"/>
            </w:pPr>
            <w:r>
              <w:rPr>
                <w:rFonts w:hint="eastAsia"/>
              </w:rPr>
              <w:t>0.58</w:t>
            </w:r>
          </w:p>
        </w:tc>
        <w:tc>
          <w:tcPr>
            <w:tcW w:w="715" w:type="pct"/>
            <w:vAlign w:val="center"/>
          </w:tcPr>
          <w:p w14:paraId="6E85B0AE">
            <w:pPr>
              <w:pStyle w:val="12"/>
              <w:jc w:val="center"/>
            </w:pPr>
            <w:r>
              <w:rPr>
                <w:rFonts w:hint="eastAsia"/>
              </w:rPr>
              <w:t>80.04</w:t>
            </w:r>
          </w:p>
        </w:tc>
        <w:tc>
          <w:tcPr>
            <w:tcW w:w="715" w:type="pct"/>
            <w:vAlign w:val="center"/>
          </w:tcPr>
          <w:p w14:paraId="21B1F13F">
            <w:pPr>
              <w:pStyle w:val="12"/>
              <w:jc w:val="center"/>
            </w:pPr>
            <w:r>
              <w:rPr>
                <w:rFonts w:hint="eastAsia"/>
              </w:rPr>
              <w:t>2476</w:t>
            </w:r>
          </w:p>
        </w:tc>
        <w:tc>
          <w:tcPr>
            <w:tcW w:w="715" w:type="pct"/>
            <w:vAlign w:val="center"/>
          </w:tcPr>
          <w:p w14:paraId="05A1D89E">
            <w:pPr>
              <w:pStyle w:val="12"/>
              <w:jc w:val="center"/>
            </w:pPr>
            <w:r>
              <w:rPr>
                <w:rFonts w:hint="eastAsia"/>
              </w:rPr>
              <w:t>0.66</w:t>
            </w:r>
          </w:p>
        </w:tc>
        <w:tc>
          <w:tcPr>
            <w:tcW w:w="715" w:type="pct"/>
            <w:vAlign w:val="center"/>
          </w:tcPr>
          <w:p w14:paraId="169D40D0">
            <w:pPr>
              <w:pStyle w:val="12"/>
              <w:jc w:val="center"/>
            </w:pPr>
            <w:r>
              <w:rPr>
                <w:rFonts w:hint="eastAsia"/>
              </w:rPr>
              <w:t>96.35</w:t>
            </w:r>
          </w:p>
        </w:tc>
      </w:tr>
      <w:tr w14:paraId="509192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5E4D69A">
            <w:pPr>
              <w:pStyle w:val="12"/>
              <w:jc w:val="center"/>
            </w:pPr>
            <w:r>
              <w:rPr>
                <w:rFonts w:hint="eastAsia"/>
              </w:rPr>
              <w:t>62岁</w:t>
            </w:r>
          </w:p>
        </w:tc>
        <w:tc>
          <w:tcPr>
            <w:tcW w:w="714" w:type="pct"/>
            <w:vAlign w:val="center"/>
          </w:tcPr>
          <w:p w14:paraId="2FD8D480">
            <w:pPr>
              <w:pStyle w:val="12"/>
              <w:jc w:val="center"/>
            </w:pPr>
            <w:r>
              <w:rPr>
                <w:rFonts w:hint="eastAsia"/>
              </w:rPr>
              <w:t>2716</w:t>
            </w:r>
          </w:p>
        </w:tc>
        <w:tc>
          <w:tcPr>
            <w:tcW w:w="714" w:type="pct"/>
            <w:vAlign w:val="center"/>
          </w:tcPr>
          <w:p w14:paraId="1B5C92CB">
            <w:pPr>
              <w:pStyle w:val="12"/>
              <w:jc w:val="center"/>
            </w:pPr>
            <w:r>
              <w:rPr>
                <w:rFonts w:hint="eastAsia"/>
              </w:rPr>
              <w:t>0.63</w:t>
            </w:r>
          </w:p>
        </w:tc>
        <w:tc>
          <w:tcPr>
            <w:tcW w:w="715" w:type="pct"/>
            <w:vAlign w:val="center"/>
          </w:tcPr>
          <w:p w14:paraId="1E5F544A">
            <w:pPr>
              <w:pStyle w:val="12"/>
              <w:jc w:val="center"/>
            </w:pPr>
            <w:r>
              <w:rPr>
                <w:rFonts w:hint="eastAsia"/>
              </w:rPr>
              <w:t>78.10</w:t>
            </w:r>
          </w:p>
        </w:tc>
        <w:tc>
          <w:tcPr>
            <w:tcW w:w="715" w:type="pct"/>
            <w:vAlign w:val="center"/>
          </w:tcPr>
          <w:p w14:paraId="42C4D062">
            <w:pPr>
              <w:pStyle w:val="12"/>
              <w:jc w:val="center"/>
            </w:pPr>
            <w:r>
              <w:rPr>
                <w:rFonts w:hint="eastAsia"/>
              </w:rPr>
              <w:t>2855</w:t>
            </w:r>
          </w:p>
        </w:tc>
        <w:tc>
          <w:tcPr>
            <w:tcW w:w="715" w:type="pct"/>
            <w:vAlign w:val="center"/>
          </w:tcPr>
          <w:p w14:paraId="3CAE28A8">
            <w:pPr>
              <w:pStyle w:val="12"/>
              <w:jc w:val="center"/>
            </w:pPr>
            <w:r>
              <w:rPr>
                <w:rFonts w:hint="eastAsia"/>
              </w:rPr>
              <w:t>0.77</w:t>
            </w:r>
          </w:p>
        </w:tc>
        <w:tc>
          <w:tcPr>
            <w:tcW w:w="715" w:type="pct"/>
            <w:vAlign w:val="center"/>
          </w:tcPr>
          <w:p w14:paraId="6A90E2C1">
            <w:pPr>
              <w:pStyle w:val="12"/>
              <w:jc w:val="center"/>
            </w:pPr>
            <w:r>
              <w:rPr>
                <w:rFonts w:hint="eastAsia"/>
              </w:rPr>
              <w:t>96.49</w:t>
            </w:r>
          </w:p>
        </w:tc>
      </w:tr>
      <w:tr w14:paraId="13BC96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2F327CC7">
            <w:pPr>
              <w:pStyle w:val="12"/>
              <w:jc w:val="center"/>
            </w:pPr>
            <w:r>
              <w:rPr>
                <w:rFonts w:hint="eastAsia"/>
              </w:rPr>
              <w:t>63岁</w:t>
            </w:r>
          </w:p>
        </w:tc>
        <w:tc>
          <w:tcPr>
            <w:tcW w:w="714" w:type="pct"/>
            <w:vAlign w:val="center"/>
          </w:tcPr>
          <w:p w14:paraId="6F550A4A">
            <w:pPr>
              <w:pStyle w:val="12"/>
              <w:jc w:val="center"/>
            </w:pPr>
            <w:r>
              <w:rPr>
                <w:rFonts w:hint="eastAsia"/>
              </w:rPr>
              <w:t>2590</w:t>
            </w:r>
          </w:p>
        </w:tc>
        <w:tc>
          <w:tcPr>
            <w:tcW w:w="714" w:type="pct"/>
            <w:vAlign w:val="center"/>
          </w:tcPr>
          <w:p w14:paraId="453DC5FD">
            <w:pPr>
              <w:pStyle w:val="12"/>
              <w:jc w:val="center"/>
            </w:pPr>
            <w:r>
              <w:rPr>
                <w:rFonts w:hint="eastAsia"/>
              </w:rPr>
              <w:t>0.60</w:t>
            </w:r>
          </w:p>
        </w:tc>
        <w:tc>
          <w:tcPr>
            <w:tcW w:w="715" w:type="pct"/>
            <w:vAlign w:val="center"/>
          </w:tcPr>
          <w:p w14:paraId="3E594A12">
            <w:pPr>
              <w:pStyle w:val="12"/>
              <w:jc w:val="center"/>
            </w:pPr>
            <w:r>
              <w:rPr>
                <w:rFonts w:hint="eastAsia"/>
              </w:rPr>
              <w:t>79.61</w:t>
            </w:r>
          </w:p>
        </w:tc>
        <w:tc>
          <w:tcPr>
            <w:tcW w:w="715" w:type="pct"/>
            <w:vAlign w:val="center"/>
          </w:tcPr>
          <w:p w14:paraId="40A1314D">
            <w:pPr>
              <w:pStyle w:val="12"/>
              <w:jc w:val="center"/>
            </w:pPr>
            <w:r>
              <w:rPr>
                <w:rFonts w:hint="eastAsia"/>
              </w:rPr>
              <w:t>2855</w:t>
            </w:r>
          </w:p>
        </w:tc>
        <w:tc>
          <w:tcPr>
            <w:tcW w:w="715" w:type="pct"/>
            <w:vAlign w:val="center"/>
          </w:tcPr>
          <w:p w14:paraId="170D8B5B">
            <w:pPr>
              <w:pStyle w:val="12"/>
              <w:jc w:val="center"/>
            </w:pPr>
            <w:r>
              <w:rPr>
                <w:rFonts w:hint="eastAsia"/>
              </w:rPr>
              <w:t>0.77</w:t>
            </w:r>
          </w:p>
        </w:tc>
        <w:tc>
          <w:tcPr>
            <w:tcW w:w="715" w:type="pct"/>
            <w:vAlign w:val="center"/>
          </w:tcPr>
          <w:p w14:paraId="4F861EDF">
            <w:pPr>
              <w:pStyle w:val="12"/>
              <w:jc w:val="center"/>
            </w:pPr>
            <w:r>
              <w:rPr>
                <w:rFonts w:hint="eastAsia"/>
              </w:rPr>
              <w:t>96.56</w:t>
            </w:r>
          </w:p>
        </w:tc>
      </w:tr>
      <w:tr w14:paraId="68B966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FDB015E">
            <w:pPr>
              <w:pStyle w:val="12"/>
              <w:jc w:val="center"/>
            </w:pPr>
            <w:r>
              <w:rPr>
                <w:rFonts w:hint="eastAsia"/>
              </w:rPr>
              <w:t>64岁</w:t>
            </w:r>
          </w:p>
        </w:tc>
        <w:tc>
          <w:tcPr>
            <w:tcW w:w="714" w:type="pct"/>
            <w:vAlign w:val="center"/>
          </w:tcPr>
          <w:p w14:paraId="1427E9F0">
            <w:pPr>
              <w:pStyle w:val="12"/>
              <w:jc w:val="center"/>
            </w:pPr>
            <w:r>
              <w:rPr>
                <w:rFonts w:hint="eastAsia"/>
              </w:rPr>
              <w:t>2334</w:t>
            </w:r>
          </w:p>
        </w:tc>
        <w:tc>
          <w:tcPr>
            <w:tcW w:w="714" w:type="pct"/>
            <w:vAlign w:val="center"/>
          </w:tcPr>
          <w:p w14:paraId="3E35B43A">
            <w:pPr>
              <w:pStyle w:val="12"/>
              <w:jc w:val="center"/>
            </w:pPr>
            <w:r>
              <w:rPr>
                <w:rFonts w:hint="eastAsia"/>
              </w:rPr>
              <w:t>0.54</w:t>
            </w:r>
          </w:p>
        </w:tc>
        <w:tc>
          <w:tcPr>
            <w:tcW w:w="715" w:type="pct"/>
            <w:vAlign w:val="center"/>
          </w:tcPr>
          <w:p w14:paraId="50FE987E">
            <w:pPr>
              <w:pStyle w:val="12"/>
              <w:jc w:val="center"/>
            </w:pPr>
            <w:r>
              <w:rPr>
                <w:rFonts w:hint="eastAsia"/>
              </w:rPr>
              <w:t>71.87</w:t>
            </w:r>
          </w:p>
        </w:tc>
        <w:tc>
          <w:tcPr>
            <w:tcW w:w="715" w:type="pct"/>
            <w:vAlign w:val="center"/>
          </w:tcPr>
          <w:p w14:paraId="6690CDB1">
            <w:pPr>
              <w:pStyle w:val="12"/>
              <w:jc w:val="center"/>
            </w:pPr>
            <w:r>
              <w:rPr>
                <w:rFonts w:hint="eastAsia"/>
              </w:rPr>
              <w:t>2854</w:t>
            </w:r>
          </w:p>
        </w:tc>
        <w:tc>
          <w:tcPr>
            <w:tcW w:w="715" w:type="pct"/>
            <w:vAlign w:val="center"/>
          </w:tcPr>
          <w:p w14:paraId="23E100C3">
            <w:pPr>
              <w:pStyle w:val="12"/>
              <w:jc w:val="center"/>
            </w:pPr>
            <w:r>
              <w:rPr>
                <w:rFonts w:hint="eastAsia"/>
              </w:rPr>
              <w:t>0.77</w:t>
            </w:r>
          </w:p>
        </w:tc>
        <w:tc>
          <w:tcPr>
            <w:tcW w:w="715" w:type="pct"/>
            <w:vAlign w:val="center"/>
          </w:tcPr>
          <w:p w14:paraId="57817CEA">
            <w:pPr>
              <w:pStyle w:val="12"/>
              <w:jc w:val="center"/>
            </w:pPr>
            <w:r>
              <w:rPr>
                <w:rFonts w:hint="eastAsia"/>
              </w:rPr>
              <w:t>89.97</w:t>
            </w:r>
          </w:p>
        </w:tc>
      </w:tr>
      <w:tr w14:paraId="54A603C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2F19CB1F">
            <w:pPr>
              <w:pStyle w:val="12"/>
              <w:jc w:val="center"/>
            </w:pPr>
            <w:r>
              <w:rPr>
                <w:rFonts w:hint="eastAsia"/>
              </w:rPr>
              <w:t>65岁~69岁</w:t>
            </w:r>
          </w:p>
        </w:tc>
        <w:tc>
          <w:tcPr>
            <w:tcW w:w="714" w:type="pct"/>
            <w:vAlign w:val="center"/>
          </w:tcPr>
          <w:p w14:paraId="0235E216">
            <w:pPr>
              <w:pStyle w:val="12"/>
              <w:jc w:val="center"/>
            </w:pPr>
            <w:r>
              <w:rPr>
                <w:rFonts w:hint="eastAsia"/>
              </w:rPr>
              <w:t>9342</w:t>
            </w:r>
          </w:p>
        </w:tc>
        <w:tc>
          <w:tcPr>
            <w:tcW w:w="714" w:type="pct"/>
            <w:vAlign w:val="center"/>
          </w:tcPr>
          <w:p w14:paraId="590E157D">
            <w:pPr>
              <w:pStyle w:val="12"/>
              <w:jc w:val="center"/>
            </w:pPr>
            <w:r>
              <w:rPr>
                <w:rFonts w:hint="eastAsia"/>
              </w:rPr>
              <w:t>2.15</w:t>
            </w:r>
          </w:p>
        </w:tc>
        <w:tc>
          <w:tcPr>
            <w:tcW w:w="715" w:type="pct"/>
            <w:vAlign w:val="center"/>
          </w:tcPr>
          <w:p w14:paraId="65441B99">
            <w:pPr>
              <w:pStyle w:val="12"/>
              <w:jc w:val="center"/>
            </w:pPr>
            <w:r>
              <w:rPr>
                <w:rFonts w:hint="eastAsia"/>
              </w:rPr>
              <w:t>61.77</w:t>
            </w:r>
          </w:p>
        </w:tc>
        <w:tc>
          <w:tcPr>
            <w:tcW w:w="715" w:type="pct"/>
            <w:vAlign w:val="center"/>
          </w:tcPr>
          <w:p w14:paraId="5BF1FE13">
            <w:pPr>
              <w:pStyle w:val="12"/>
              <w:jc w:val="center"/>
            </w:pPr>
            <w:r>
              <w:rPr>
                <w:rFonts w:hint="eastAsia"/>
              </w:rPr>
              <w:t>12790</w:t>
            </w:r>
          </w:p>
        </w:tc>
        <w:tc>
          <w:tcPr>
            <w:tcW w:w="715" w:type="pct"/>
            <w:vAlign w:val="center"/>
          </w:tcPr>
          <w:p w14:paraId="46557DF4">
            <w:pPr>
              <w:pStyle w:val="12"/>
              <w:jc w:val="center"/>
            </w:pPr>
            <w:r>
              <w:rPr>
                <w:rFonts w:hint="eastAsia"/>
              </w:rPr>
              <w:t>3.43</w:t>
            </w:r>
          </w:p>
        </w:tc>
        <w:tc>
          <w:tcPr>
            <w:tcW w:w="715" w:type="pct"/>
            <w:vAlign w:val="center"/>
          </w:tcPr>
          <w:p w14:paraId="2184C0F4">
            <w:pPr>
              <w:pStyle w:val="12"/>
              <w:jc w:val="center"/>
            </w:pPr>
            <w:r>
              <w:rPr>
                <w:rFonts w:hint="eastAsia"/>
              </w:rPr>
              <w:t>76.29</w:t>
            </w:r>
          </w:p>
        </w:tc>
      </w:tr>
      <w:tr w14:paraId="77EE70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0C9DDF2">
            <w:pPr>
              <w:pStyle w:val="12"/>
              <w:jc w:val="center"/>
            </w:pPr>
            <w:r>
              <w:rPr>
                <w:rFonts w:hint="eastAsia"/>
              </w:rPr>
              <w:t>65岁</w:t>
            </w:r>
          </w:p>
        </w:tc>
        <w:tc>
          <w:tcPr>
            <w:tcW w:w="714" w:type="pct"/>
            <w:vAlign w:val="center"/>
          </w:tcPr>
          <w:p w14:paraId="6163CDD7">
            <w:pPr>
              <w:pStyle w:val="12"/>
              <w:jc w:val="center"/>
            </w:pPr>
            <w:r>
              <w:rPr>
                <w:rFonts w:hint="eastAsia"/>
              </w:rPr>
              <w:t>2207</w:t>
            </w:r>
          </w:p>
        </w:tc>
        <w:tc>
          <w:tcPr>
            <w:tcW w:w="714" w:type="pct"/>
            <w:vAlign w:val="center"/>
          </w:tcPr>
          <w:p w14:paraId="60EF864C">
            <w:pPr>
              <w:pStyle w:val="12"/>
              <w:jc w:val="center"/>
            </w:pPr>
            <w:r>
              <w:rPr>
                <w:rFonts w:hint="eastAsia"/>
              </w:rPr>
              <w:t>0.51</w:t>
            </w:r>
          </w:p>
        </w:tc>
        <w:tc>
          <w:tcPr>
            <w:tcW w:w="715" w:type="pct"/>
            <w:vAlign w:val="center"/>
          </w:tcPr>
          <w:p w14:paraId="2EA8F175">
            <w:pPr>
              <w:pStyle w:val="12"/>
              <w:jc w:val="center"/>
            </w:pPr>
            <w:r>
              <w:rPr>
                <w:rFonts w:hint="eastAsia"/>
              </w:rPr>
              <w:t>62.28</w:t>
            </w:r>
          </w:p>
        </w:tc>
        <w:tc>
          <w:tcPr>
            <w:tcW w:w="715" w:type="pct"/>
            <w:vAlign w:val="center"/>
          </w:tcPr>
          <w:p w14:paraId="5F274C40">
            <w:pPr>
              <w:pStyle w:val="12"/>
              <w:jc w:val="center"/>
            </w:pPr>
            <w:r>
              <w:rPr>
                <w:rFonts w:hint="eastAsia"/>
              </w:rPr>
              <w:t>2920</w:t>
            </w:r>
          </w:p>
        </w:tc>
        <w:tc>
          <w:tcPr>
            <w:tcW w:w="715" w:type="pct"/>
            <w:vAlign w:val="center"/>
          </w:tcPr>
          <w:p w14:paraId="00CFA4F8">
            <w:pPr>
              <w:pStyle w:val="12"/>
              <w:jc w:val="center"/>
            </w:pPr>
            <w:r>
              <w:rPr>
                <w:rFonts w:hint="eastAsia"/>
              </w:rPr>
              <w:t>0.78</w:t>
            </w:r>
          </w:p>
        </w:tc>
        <w:tc>
          <w:tcPr>
            <w:tcW w:w="715" w:type="pct"/>
            <w:vAlign w:val="center"/>
          </w:tcPr>
          <w:p w14:paraId="6A05921E">
            <w:pPr>
              <w:pStyle w:val="12"/>
              <w:jc w:val="center"/>
            </w:pPr>
            <w:r>
              <w:rPr>
                <w:rFonts w:hint="eastAsia"/>
              </w:rPr>
              <w:t>82.27</w:t>
            </w:r>
          </w:p>
        </w:tc>
      </w:tr>
      <w:tr w14:paraId="5F3A79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47D703FB">
            <w:pPr>
              <w:pStyle w:val="12"/>
              <w:jc w:val="center"/>
            </w:pPr>
            <w:r>
              <w:rPr>
                <w:rFonts w:hint="eastAsia"/>
              </w:rPr>
              <w:t>66岁</w:t>
            </w:r>
          </w:p>
        </w:tc>
        <w:tc>
          <w:tcPr>
            <w:tcW w:w="714" w:type="pct"/>
            <w:vAlign w:val="center"/>
          </w:tcPr>
          <w:p w14:paraId="15E5815F">
            <w:pPr>
              <w:pStyle w:val="12"/>
              <w:jc w:val="center"/>
            </w:pPr>
            <w:r>
              <w:rPr>
                <w:rFonts w:hint="eastAsia"/>
              </w:rPr>
              <w:t>1948</w:t>
            </w:r>
          </w:p>
        </w:tc>
        <w:tc>
          <w:tcPr>
            <w:tcW w:w="714" w:type="pct"/>
            <w:vAlign w:val="center"/>
          </w:tcPr>
          <w:p w14:paraId="787AA1FE">
            <w:pPr>
              <w:pStyle w:val="12"/>
              <w:jc w:val="center"/>
            </w:pPr>
            <w:r>
              <w:rPr>
                <w:rFonts w:hint="eastAsia"/>
              </w:rPr>
              <w:t>0.45</w:t>
            </w:r>
          </w:p>
        </w:tc>
        <w:tc>
          <w:tcPr>
            <w:tcW w:w="715" w:type="pct"/>
            <w:vAlign w:val="center"/>
          </w:tcPr>
          <w:p w14:paraId="5A27292F">
            <w:pPr>
              <w:pStyle w:val="12"/>
              <w:jc w:val="center"/>
            </w:pPr>
            <w:r>
              <w:rPr>
                <w:rFonts w:hint="eastAsia"/>
              </w:rPr>
              <w:t>71.78</w:t>
            </w:r>
          </w:p>
        </w:tc>
        <w:tc>
          <w:tcPr>
            <w:tcW w:w="715" w:type="pct"/>
            <w:vAlign w:val="center"/>
          </w:tcPr>
          <w:p w14:paraId="19D34C20">
            <w:pPr>
              <w:pStyle w:val="12"/>
              <w:jc w:val="center"/>
            </w:pPr>
            <w:r>
              <w:rPr>
                <w:rFonts w:hint="eastAsia"/>
              </w:rPr>
              <w:t>2474</w:t>
            </w:r>
          </w:p>
        </w:tc>
        <w:tc>
          <w:tcPr>
            <w:tcW w:w="715" w:type="pct"/>
            <w:vAlign w:val="center"/>
          </w:tcPr>
          <w:p w14:paraId="063AD131">
            <w:pPr>
              <w:pStyle w:val="12"/>
              <w:jc w:val="center"/>
            </w:pPr>
            <w:r>
              <w:rPr>
                <w:rFonts w:hint="eastAsia"/>
              </w:rPr>
              <w:t>0.66</w:t>
            </w:r>
          </w:p>
        </w:tc>
        <w:tc>
          <w:tcPr>
            <w:tcW w:w="715" w:type="pct"/>
            <w:vAlign w:val="center"/>
          </w:tcPr>
          <w:p w14:paraId="3276496A">
            <w:pPr>
              <w:pStyle w:val="12"/>
              <w:jc w:val="center"/>
            </w:pPr>
            <w:r>
              <w:rPr>
                <w:rFonts w:hint="eastAsia"/>
              </w:rPr>
              <w:t>80.85</w:t>
            </w:r>
          </w:p>
        </w:tc>
      </w:tr>
      <w:tr w14:paraId="371DF7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7B381AA">
            <w:pPr>
              <w:pStyle w:val="12"/>
              <w:jc w:val="center"/>
            </w:pPr>
            <w:r>
              <w:rPr>
                <w:rFonts w:hint="eastAsia"/>
              </w:rPr>
              <w:t>67岁</w:t>
            </w:r>
          </w:p>
        </w:tc>
        <w:tc>
          <w:tcPr>
            <w:tcW w:w="714" w:type="pct"/>
            <w:vAlign w:val="center"/>
          </w:tcPr>
          <w:p w14:paraId="227E6EE3">
            <w:pPr>
              <w:pStyle w:val="12"/>
              <w:jc w:val="center"/>
            </w:pPr>
            <w:r>
              <w:rPr>
                <w:rFonts w:hint="eastAsia"/>
              </w:rPr>
              <w:t>1775</w:t>
            </w:r>
          </w:p>
        </w:tc>
        <w:tc>
          <w:tcPr>
            <w:tcW w:w="714" w:type="pct"/>
            <w:vAlign w:val="center"/>
          </w:tcPr>
          <w:p w14:paraId="54E8BF29">
            <w:pPr>
              <w:pStyle w:val="12"/>
              <w:jc w:val="center"/>
            </w:pPr>
            <w:r>
              <w:rPr>
                <w:rFonts w:hint="eastAsia"/>
              </w:rPr>
              <w:t>0.41</w:t>
            </w:r>
          </w:p>
        </w:tc>
        <w:tc>
          <w:tcPr>
            <w:tcW w:w="715" w:type="pct"/>
            <w:vAlign w:val="center"/>
          </w:tcPr>
          <w:p w14:paraId="34466819">
            <w:pPr>
              <w:pStyle w:val="12"/>
              <w:jc w:val="center"/>
            </w:pPr>
            <w:r>
              <w:rPr>
                <w:rFonts w:hint="eastAsia"/>
              </w:rPr>
              <w:t>58.20</w:t>
            </w:r>
          </w:p>
        </w:tc>
        <w:tc>
          <w:tcPr>
            <w:tcW w:w="715" w:type="pct"/>
            <w:vAlign w:val="center"/>
          </w:tcPr>
          <w:p w14:paraId="6468F013">
            <w:pPr>
              <w:pStyle w:val="12"/>
              <w:jc w:val="center"/>
            </w:pPr>
            <w:r>
              <w:rPr>
                <w:rFonts w:hint="eastAsia"/>
              </w:rPr>
              <w:t>2545</w:t>
            </w:r>
          </w:p>
        </w:tc>
        <w:tc>
          <w:tcPr>
            <w:tcW w:w="715" w:type="pct"/>
            <w:vAlign w:val="center"/>
          </w:tcPr>
          <w:p w14:paraId="079334EA">
            <w:pPr>
              <w:pStyle w:val="12"/>
              <w:jc w:val="center"/>
            </w:pPr>
            <w:r>
              <w:rPr>
                <w:rFonts w:hint="eastAsia"/>
              </w:rPr>
              <w:t>0.68</w:t>
            </w:r>
          </w:p>
        </w:tc>
        <w:tc>
          <w:tcPr>
            <w:tcW w:w="715" w:type="pct"/>
            <w:vAlign w:val="center"/>
          </w:tcPr>
          <w:p w14:paraId="4B98984A">
            <w:pPr>
              <w:pStyle w:val="12"/>
              <w:jc w:val="center"/>
            </w:pPr>
            <w:r>
              <w:rPr>
                <w:rFonts w:hint="eastAsia"/>
              </w:rPr>
              <w:t>77.11</w:t>
            </w:r>
          </w:p>
        </w:tc>
      </w:tr>
      <w:tr w14:paraId="61F2C2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ECF1CA4">
            <w:pPr>
              <w:pStyle w:val="12"/>
              <w:jc w:val="center"/>
            </w:pPr>
            <w:r>
              <w:rPr>
                <w:rFonts w:hint="eastAsia"/>
              </w:rPr>
              <w:t>68岁</w:t>
            </w:r>
          </w:p>
        </w:tc>
        <w:tc>
          <w:tcPr>
            <w:tcW w:w="714" w:type="pct"/>
            <w:vAlign w:val="center"/>
          </w:tcPr>
          <w:p w14:paraId="1C1CE3E8">
            <w:pPr>
              <w:pStyle w:val="12"/>
              <w:jc w:val="center"/>
            </w:pPr>
            <w:r>
              <w:rPr>
                <w:rFonts w:hint="eastAsia"/>
              </w:rPr>
              <w:t>1763</w:t>
            </w:r>
          </w:p>
        </w:tc>
        <w:tc>
          <w:tcPr>
            <w:tcW w:w="714" w:type="pct"/>
            <w:vAlign w:val="center"/>
          </w:tcPr>
          <w:p w14:paraId="250E7A3B">
            <w:pPr>
              <w:pStyle w:val="12"/>
              <w:jc w:val="center"/>
            </w:pPr>
            <w:r>
              <w:rPr>
                <w:rFonts w:hint="eastAsia"/>
              </w:rPr>
              <w:t>0.41</w:t>
            </w:r>
          </w:p>
        </w:tc>
        <w:tc>
          <w:tcPr>
            <w:tcW w:w="715" w:type="pct"/>
            <w:vAlign w:val="center"/>
          </w:tcPr>
          <w:p w14:paraId="3FCCA09D">
            <w:pPr>
              <w:pStyle w:val="12"/>
              <w:jc w:val="center"/>
            </w:pPr>
            <w:r>
              <w:rPr>
                <w:rFonts w:hint="eastAsia"/>
              </w:rPr>
              <w:t>59.55</w:t>
            </w:r>
          </w:p>
        </w:tc>
        <w:tc>
          <w:tcPr>
            <w:tcW w:w="715" w:type="pct"/>
            <w:vAlign w:val="center"/>
          </w:tcPr>
          <w:p w14:paraId="69CDCC31">
            <w:pPr>
              <w:pStyle w:val="12"/>
              <w:jc w:val="center"/>
            </w:pPr>
            <w:r>
              <w:rPr>
                <w:rFonts w:hint="eastAsia"/>
              </w:rPr>
              <w:t>2585</w:t>
            </w:r>
          </w:p>
        </w:tc>
        <w:tc>
          <w:tcPr>
            <w:tcW w:w="715" w:type="pct"/>
            <w:vAlign w:val="center"/>
          </w:tcPr>
          <w:p w14:paraId="69DFA5F4">
            <w:pPr>
              <w:pStyle w:val="12"/>
              <w:jc w:val="center"/>
            </w:pPr>
            <w:r>
              <w:rPr>
                <w:rFonts w:hint="eastAsia"/>
              </w:rPr>
              <w:t>0.69</w:t>
            </w:r>
          </w:p>
        </w:tc>
        <w:tc>
          <w:tcPr>
            <w:tcW w:w="715" w:type="pct"/>
            <w:vAlign w:val="center"/>
          </w:tcPr>
          <w:p w14:paraId="37046BF8">
            <w:pPr>
              <w:pStyle w:val="12"/>
              <w:jc w:val="center"/>
            </w:pPr>
            <w:r>
              <w:rPr>
                <w:rFonts w:hint="eastAsia"/>
              </w:rPr>
              <w:t>69.51</w:t>
            </w:r>
          </w:p>
        </w:tc>
      </w:tr>
      <w:tr w14:paraId="1C2FDF3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491E1BB">
            <w:pPr>
              <w:pStyle w:val="12"/>
              <w:jc w:val="center"/>
            </w:pPr>
            <w:r>
              <w:rPr>
                <w:rFonts w:hint="eastAsia"/>
              </w:rPr>
              <w:t>69岁</w:t>
            </w:r>
          </w:p>
        </w:tc>
        <w:tc>
          <w:tcPr>
            <w:tcW w:w="714" w:type="pct"/>
            <w:vAlign w:val="center"/>
          </w:tcPr>
          <w:p w14:paraId="661DA9A9">
            <w:pPr>
              <w:pStyle w:val="12"/>
              <w:jc w:val="center"/>
            </w:pPr>
            <w:r>
              <w:rPr>
                <w:rFonts w:hint="eastAsia"/>
              </w:rPr>
              <w:t>1649</w:t>
            </w:r>
          </w:p>
        </w:tc>
        <w:tc>
          <w:tcPr>
            <w:tcW w:w="714" w:type="pct"/>
            <w:vAlign w:val="center"/>
          </w:tcPr>
          <w:p w14:paraId="7A5A6C54">
            <w:pPr>
              <w:pStyle w:val="12"/>
              <w:jc w:val="center"/>
            </w:pPr>
            <w:r>
              <w:rPr>
                <w:rFonts w:hint="eastAsia"/>
              </w:rPr>
              <w:t>0.38</w:t>
            </w:r>
          </w:p>
        </w:tc>
        <w:tc>
          <w:tcPr>
            <w:tcW w:w="715" w:type="pct"/>
            <w:vAlign w:val="center"/>
          </w:tcPr>
          <w:p w14:paraId="5C65CE01">
            <w:pPr>
              <w:pStyle w:val="12"/>
              <w:jc w:val="center"/>
            </w:pPr>
            <w:r>
              <w:rPr>
                <w:rFonts w:hint="eastAsia"/>
              </w:rPr>
              <w:t>56.45</w:t>
            </w:r>
          </w:p>
        </w:tc>
        <w:tc>
          <w:tcPr>
            <w:tcW w:w="715" w:type="pct"/>
            <w:vAlign w:val="center"/>
          </w:tcPr>
          <w:p w14:paraId="3CE3C752">
            <w:pPr>
              <w:pStyle w:val="12"/>
              <w:jc w:val="center"/>
            </w:pPr>
            <w:r>
              <w:rPr>
                <w:rFonts w:hint="eastAsia"/>
              </w:rPr>
              <w:t>2266</w:t>
            </w:r>
          </w:p>
        </w:tc>
        <w:tc>
          <w:tcPr>
            <w:tcW w:w="715" w:type="pct"/>
            <w:vAlign w:val="center"/>
          </w:tcPr>
          <w:p w14:paraId="35E176E2">
            <w:pPr>
              <w:pStyle w:val="12"/>
              <w:jc w:val="center"/>
            </w:pPr>
            <w:r>
              <w:rPr>
                <w:rFonts w:hint="eastAsia"/>
              </w:rPr>
              <w:t>0.61</w:t>
            </w:r>
          </w:p>
        </w:tc>
        <w:tc>
          <w:tcPr>
            <w:tcW w:w="715" w:type="pct"/>
            <w:vAlign w:val="center"/>
          </w:tcPr>
          <w:p w14:paraId="0389D86B">
            <w:pPr>
              <w:pStyle w:val="12"/>
              <w:jc w:val="center"/>
            </w:pPr>
            <w:r>
              <w:rPr>
                <w:rFonts w:hint="eastAsia"/>
              </w:rPr>
              <w:t>71.28</w:t>
            </w:r>
          </w:p>
        </w:tc>
      </w:tr>
      <w:tr w14:paraId="614F6BB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9E72460">
            <w:pPr>
              <w:pStyle w:val="12"/>
              <w:jc w:val="center"/>
            </w:pPr>
            <w:r>
              <w:rPr>
                <w:rFonts w:hint="eastAsia"/>
              </w:rPr>
              <w:t>70岁~74岁</w:t>
            </w:r>
          </w:p>
        </w:tc>
        <w:tc>
          <w:tcPr>
            <w:tcW w:w="714" w:type="pct"/>
            <w:vAlign w:val="center"/>
          </w:tcPr>
          <w:p w14:paraId="50C8E53D">
            <w:pPr>
              <w:pStyle w:val="12"/>
              <w:jc w:val="center"/>
            </w:pPr>
            <w:r>
              <w:rPr>
                <w:rFonts w:hint="eastAsia"/>
              </w:rPr>
              <w:t>6744</w:t>
            </w:r>
          </w:p>
        </w:tc>
        <w:tc>
          <w:tcPr>
            <w:tcW w:w="714" w:type="pct"/>
            <w:vAlign w:val="center"/>
          </w:tcPr>
          <w:p w14:paraId="78EA252B">
            <w:pPr>
              <w:pStyle w:val="12"/>
              <w:jc w:val="center"/>
            </w:pPr>
            <w:r>
              <w:rPr>
                <w:rFonts w:hint="eastAsia"/>
              </w:rPr>
              <w:t>1.55</w:t>
            </w:r>
          </w:p>
        </w:tc>
        <w:tc>
          <w:tcPr>
            <w:tcW w:w="715" w:type="pct"/>
            <w:vAlign w:val="center"/>
          </w:tcPr>
          <w:p w14:paraId="62B4465F">
            <w:pPr>
              <w:pStyle w:val="12"/>
              <w:jc w:val="center"/>
            </w:pPr>
            <w:r>
              <w:rPr>
                <w:rFonts w:hint="eastAsia"/>
              </w:rPr>
              <w:t>57.24</w:t>
            </w:r>
          </w:p>
        </w:tc>
        <w:tc>
          <w:tcPr>
            <w:tcW w:w="715" w:type="pct"/>
            <w:vAlign w:val="center"/>
          </w:tcPr>
          <w:p w14:paraId="0974DD13">
            <w:pPr>
              <w:pStyle w:val="12"/>
              <w:jc w:val="center"/>
            </w:pPr>
            <w:r>
              <w:rPr>
                <w:rFonts w:hint="eastAsia"/>
              </w:rPr>
              <w:t>9171</w:t>
            </w:r>
          </w:p>
        </w:tc>
        <w:tc>
          <w:tcPr>
            <w:tcW w:w="715" w:type="pct"/>
            <w:vAlign w:val="center"/>
          </w:tcPr>
          <w:p w14:paraId="318931C1">
            <w:pPr>
              <w:pStyle w:val="12"/>
              <w:jc w:val="center"/>
            </w:pPr>
            <w:r>
              <w:rPr>
                <w:rFonts w:hint="eastAsia"/>
              </w:rPr>
              <w:t>2.46</w:t>
            </w:r>
          </w:p>
        </w:tc>
        <w:tc>
          <w:tcPr>
            <w:tcW w:w="715" w:type="pct"/>
            <w:vAlign w:val="center"/>
          </w:tcPr>
          <w:p w14:paraId="201CDC14">
            <w:pPr>
              <w:pStyle w:val="12"/>
              <w:jc w:val="center"/>
            </w:pPr>
            <w:r>
              <w:rPr>
                <w:rFonts w:hint="eastAsia"/>
              </w:rPr>
              <w:t>62.23</w:t>
            </w:r>
          </w:p>
        </w:tc>
      </w:tr>
      <w:tr w14:paraId="16E9E4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ADAB087">
            <w:pPr>
              <w:pStyle w:val="12"/>
              <w:jc w:val="center"/>
            </w:pPr>
            <w:r>
              <w:rPr>
                <w:rFonts w:hint="eastAsia"/>
              </w:rPr>
              <w:t>70岁</w:t>
            </w:r>
          </w:p>
        </w:tc>
        <w:tc>
          <w:tcPr>
            <w:tcW w:w="714" w:type="pct"/>
            <w:vAlign w:val="center"/>
          </w:tcPr>
          <w:p w14:paraId="65CC5B99">
            <w:pPr>
              <w:pStyle w:val="12"/>
              <w:jc w:val="center"/>
            </w:pPr>
            <w:r>
              <w:rPr>
                <w:rFonts w:hint="eastAsia"/>
              </w:rPr>
              <w:t>1574</w:t>
            </w:r>
          </w:p>
        </w:tc>
        <w:tc>
          <w:tcPr>
            <w:tcW w:w="714" w:type="pct"/>
            <w:vAlign w:val="center"/>
          </w:tcPr>
          <w:p w14:paraId="2591BC2E">
            <w:pPr>
              <w:pStyle w:val="12"/>
              <w:jc w:val="center"/>
            </w:pPr>
            <w:r>
              <w:rPr>
                <w:rFonts w:hint="eastAsia"/>
              </w:rPr>
              <w:t>0.36</w:t>
            </w:r>
          </w:p>
        </w:tc>
        <w:tc>
          <w:tcPr>
            <w:tcW w:w="715" w:type="pct"/>
            <w:vAlign w:val="center"/>
          </w:tcPr>
          <w:p w14:paraId="241C48FD">
            <w:pPr>
              <w:pStyle w:val="12"/>
              <w:jc w:val="center"/>
            </w:pPr>
            <w:r>
              <w:rPr>
                <w:rFonts w:hint="eastAsia"/>
              </w:rPr>
              <w:t>58.51</w:t>
            </w:r>
          </w:p>
        </w:tc>
        <w:tc>
          <w:tcPr>
            <w:tcW w:w="715" w:type="pct"/>
            <w:vAlign w:val="center"/>
          </w:tcPr>
          <w:p w14:paraId="7EEAC512">
            <w:pPr>
              <w:pStyle w:val="12"/>
              <w:jc w:val="center"/>
            </w:pPr>
            <w:r>
              <w:rPr>
                <w:rFonts w:hint="eastAsia"/>
              </w:rPr>
              <w:t>2225</w:t>
            </w:r>
          </w:p>
        </w:tc>
        <w:tc>
          <w:tcPr>
            <w:tcW w:w="715" w:type="pct"/>
            <w:vAlign w:val="center"/>
          </w:tcPr>
          <w:p w14:paraId="39FC15A2">
            <w:pPr>
              <w:pStyle w:val="12"/>
              <w:jc w:val="center"/>
            </w:pPr>
            <w:r>
              <w:rPr>
                <w:rFonts w:hint="eastAsia"/>
              </w:rPr>
              <w:t>0.60</w:t>
            </w:r>
          </w:p>
        </w:tc>
        <w:tc>
          <w:tcPr>
            <w:tcW w:w="715" w:type="pct"/>
            <w:vAlign w:val="center"/>
          </w:tcPr>
          <w:p w14:paraId="734FB810">
            <w:pPr>
              <w:pStyle w:val="12"/>
              <w:jc w:val="center"/>
            </w:pPr>
            <w:r>
              <w:rPr>
                <w:rFonts w:hint="eastAsia"/>
              </w:rPr>
              <w:t>64.45</w:t>
            </w:r>
          </w:p>
        </w:tc>
      </w:tr>
      <w:tr w14:paraId="66EEC0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EC21DE8">
            <w:pPr>
              <w:pStyle w:val="12"/>
              <w:jc w:val="center"/>
            </w:pPr>
            <w:r>
              <w:rPr>
                <w:rFonts w:hint="eastAsia"/>
              </w:rPr>
              <w:t>71岁</w:t>
            </w:r>
          </w:p>
        </w:tc>
        <w:tc>
          <w:tcPr>
            <w:tcW w:w="714" w:type="pct"/>
            <w:vAlign w:val="center"/>
          </w:tcPr>
          <w:p w14:paraId="5ACD9E89">
            <w:pPr>
              <w:pStyle w:val="12"/>
              <w:jc w:val="center"/>
            </w:pPr>
            <w:r>
              <w:rPr>
                <w:rFonts w:hint="eastAsia"/>
              </w:rPr>
              <w:t>1399</w:t>
            </w:r>
          </w:p>
        </w:tc>
        <w:tc>
          <w:tcPr>
            <w:tcW w:w="714" w:type="pct"/>
            <w:vAlign w:val="center"/>
          </w:tcPr>
          <w:p w14:paraId="03B689F5">
            <w:pPr>
              <w:pStyle w:val="12"/>
              <w:jc w:val="center"/>
            </w:pPr>
            <w:r>
              <w:rPr>
                <w:rFonts w:hint="eastAsia"/>
              </w:rPr>
              <w:t>0.32</w:t>
            </w:r>
          </w:p>
        </w:tc>
        <w:tc>
          <w:tcPr>
            <w:tcW w:w="715" w:type="pct"/>
            <w:vAlign w:val="center"/>
          </w:tcPr>
          <w:p w14:paraId="2A421BE8">
            <w:pPr>
              <w:pStyle w:val="12"/>
              <w:jc w:val="center"/>
            </w:pPr>
            <w:r>
              <w:rPr>
                <w:rFonts w:hint="eastAsia"/>
              </w:rPr>
              <w:t>61.73</w:t>
            </w:r>
          </w:p>
        </w:tc>
        <w:tc>
          <w:tcPr>
            <w:tcW w:w="715" w:type="pct"/>
            <w:vAlign w:val="center"/>
          </w:tcPr>
          <w:p w14:paraId="6531A77E">
            <w:pPr>
              <w:pStyle w:val="12"/>
              <w:jc w:val="center"/>
            </w:pPr>
            <w:r>
              <w:rPr>
                <w:rFonts w:hint="eastAsia"/>
              </w:rPr>
              <w:t>1760</w:t>
            </w:r>
          </w:p>
        </w:tc>
        <w:tc>
          <w:tcPr>
            <w:tcW w:w="715" w:type="pct"/>
            <w:vAlign w:val="center"/>
          </w:tcPr>
          <w:p w14:paraId="0C2743CA">
            <w:pPr>
              <w:pStyle w:val="12"/>
              <w:jc w:val="center"/>
            </w:pPr>
            <w:r>
              <w:rPr>
                <w:rFonts w:hint="eastAsia"/>
              </w:rPr>
              <w:t>0.47</w:t>
            </w:r>
          </w:p>
        </w:tc>
        <w:tc>
          <w:tcPr>
            <w:tcW w:w="715" w:type="pct"/>
            <w:vAlign w:val="center"/>
          </w:tcPr>
          <w:p w14:paraId="42CDBB73">
            <w:pPr>
              <w:pStyle w:val="12"/>
              <w:jc w:val="center"/>
            </w:pPr>
            <w:r>
              <w:rPr>
                <w:rFonts w:hint="eastAsia"/>
              </w:rPr>
              <w:t>64.49</w:t>
            </w:r>
          </w:p>
        </w:tc>
      </w:tr>
      <w:tr w14:paraId="2A12CE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94AB116">
            <w:pPr>
              <w:pStyle w:val="12"/>
              <w:jc w:val="center"/>
            </w:pPr>
            <w:r>
              <w:rPr>
                <w:rFonts w:hint="eastAsia"/>
              </w:rPr>
              <w:t>72岁</w:t>
            </w:r>
          </w:p>
        </w:tc>
        <w:tc>
          <w:tcPr>
            <w:tcW w:w="714" w:type="pct"/>
            <w:vAlign w:val="center"/>
          </w:tcPr>
          <w:p w14:paraId="725068F7">
            <w:pPr>
              <w:pStyle w:val="12"/>
              <w:jc w:val="center"/>
            </w:pPr>
            <w:r>
              <w:rPr>
                <w:rFonts w:hint="eastAsia"/>
              </w:rPr>
              <w:t>1393</w:t>
            </w:r>
          </w:p>
        </w:tc>
        <w:tc>
          <w:tcPr>
            <w:tcW w:w="714" w:type="pct"/>
            <w:vAlign w:val="center"/>
          </w:tcPr>
          <w:p w14:paraId="4608C31C">
            <w:pPr>
              <w:pStyle w:val="12"/>
              <w:jc w:val="center"/>
            </w:pPr>
            <w:r>
              <w:rPr>
                <w:rFonts w:hint="eastAsia"/>
              </w:rPr>
              <w:t>0.32</w:t>
            </w:r>
          </w:p>
        </w:tc>
        <w:tc>
          <w:tcPr>
            <w:tcW w:w="715" w:type="pct"/>
            <w:vAlign w:val="center"/>
          </w:tcPr>
          <w:p w14:paraId="31401751">
            <w:pPr>
              <w:pStyle w:val="12"/>
              <w:jc w:val="center"/>
            </w:pPr>
            <w:r>
              <w:rPr>
                <w:rFonts w:hint="eastAsia"/>
              </w:rPr>
              <w:t>60.48</w:t>
            </w:r>
          </w:p>
        </w:tc>
        <w:tc>
          <w:tcPr>
            <w:tcW w:w="715" w:type="pct"/>
            <w:vAlign w:val="center"/>
          </w:tcPr>
          <w:p w14:paraId="53C500A1">
            <w:pPr>
              <w:pStyle w:val="12"/>
              <w:jc w:val="center"/>
            </w:pPr>
            <w:r>
              <w:rPr>
                <w:rFonts w:hint="eastAsia"/>
              </w:rPr>
              <w:t>1853</w:t>
            </w:r>
          </w:p>
        </w:tc>
        <w:tc>
          <w:tcPr>
            <w:tcW w:w="715" w:type="pct"/>
            <w:vAlign w:val="center"/>
          </w:tcPr>
          <w:p w14:paraId="24930B79">
            <w:pPr>
              <w:pStyle w:val="12"/>
              <w:jc w:val="center"/>
            </w:pPr>
            <w:r>
              <w:rPr>
                <w:rFonts w:hint="eastAsia"/>
              </w:rPr>
              <w:t>0.50</w:t>
            </w:r>
          </w:p>
        </w:tc>
        <w:tc>
          <w:tcPr>
            <w:tcW w:w="715" w:type="pct"/>
            <w:vAlign w:val="center"/>
          </w:tcPr>
          <w:p w14:paraId="317AFF55">
            <w:pPr>
              <w:pStyle w:val="12"/>
              <w:jc w:val="center"/>
            </w:pPr>
            <w:r>
              <w:rPr>
                <w:rFonts w:hint="eastAsia"/>
              </w:rPr>
              <w:t>58.51</w:t>
            </w:r>
          </w:p>
        </w:tc>
      </w:tr>
      <w:tr w14:paraId="086F4F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4CCEEF2A">
            <w:pPr>
              <w:pStyle w:val="12"/>
              <w:jc w:val="center"/>
            </w:pPr>
            <w:r>
              <w:rPr>
                <w:rFonts w:hint="eastAsia"/>
              </w:rPr>
              <w:t>73岁</w:t>
            </w:r>
          </w:p>
        </w:tc>
        <w:tc>
          <w:tcPr>
            <w:tcW w:w="714" w:type="pct"/>
            <w:vAlign w:val="center"/>
          </w:tcPr>
          <w:p w14:paraId="6B51618D">
            <w:pPr>
              <w:pStyle w:val="12"/>
              <w:jc w:val="center"/>
            </w:pPr>
            <w:r>
              <w:rPr>
                <w:rFonts w:hint="eastAsia"/>
              </w:rPr>
              <w:t>1301</w:t>
            </w:r>
          </w:p>
        </w:tc>
        <w:tc>
          <w:tcPr>
            <w:tcW w:w="714" w:type="pct"/>
            <w:vAlign w:val="center"/>
          </w:tcPr>
          <w:p w14:paraId="18C7D457">
            <w:pPr>
              <w:pStyle w:val="12"/>
              <w:jc w:val="center"/>
            </w:pPr>
            <w:r>
              <w:rPr>
                <w:rFonts w:hint="eastAsia"/>
              </w:rPr>
              <w:t>0.30</w:t>
            </w:r>
          </w:p>
        </w:tc>
        <w:tc>
          <w:tcPr>
            <w:tcW w:w="715" w:type="pct"/>
            <w:vAlign w:val="center"/>
          </w:tcPr>
          <w:p w14:paraId="5B3BFAF2">
            <w:pPr>
              <w:pStyle w:val="12"/>
              <w:jc w:val="center"/>
            </w:pPr>
            <w:r>
              <w:rPr>
                <w:rFonts w:hint="eastAsia"/>
              </w:rPr>
              <w:t>54.88</w:t>
            </w:r>
          </w:p>
        </w:tc>
        <w:tc>
          <w:tcPr>
            <w:tcW w:w="715" w:type="pct"/>
            <w:vAlign w:val="center"/>
          </w:tcPr>
          <w:p w14:paraId="0CD415E1">
            <w:pPr>
              <w:pStyle w:val="12"/>
              <w:jc w:val="center"/>
            </w:pPr>
            <w:r>
              <w:rPr>
                <w:rFonts w:hint="eastAsia"/>
              </w:rPr>
              <w:t>1816</w:t>
            </w:r>
          </w:p>
        </w:tc>
        <w:tc>
          <w:tcPr>
            <w:tcW w:w="715" w:type="pct"/>
            <w:vAlign w:val="center"/>
          </w:tcPr>
          <w:p w14:paraId="02B298FA">
            <w:pPr>
              <w:pStyle w:val="12"/>
              <w:jc w:val="center"/>
            </w:pPr>
            <w:r>
              <w:rPr>
                <w:rFonts w:hint="eastAsia"/>
              </w:rPr>
              <w:t>0.49</w:t>
            </w:r>
          </w:p>
        </w:tc>
        <w:tc>
          <w:tcPr>
            <w:tcW w:w="715" w:type="pct"/>
            <w:vAlign w:val="center"/>
          </w:tcPr>
          <w:p w14:paraId="7966661E">
            <w:pPr>
              <w:pStyle w:val="12"/>
              <w:jc w:val="center"/>
            </w:pPr>
            <w:r>
              <w:rPr>
                <w:rFonts w:hint="eastAsia"/>
              </w:rPr>
              <w:t>65.54</w:t>
            </w:r>
          </w:p>
        </w:tc>
      </w:tr>
      <w:tr w14:paraId="4586D9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2FAE5E5">
            <w:pPr>
              <w:pStyle w:val="12"/>
              <w:jc w:val="center"/>
            </w:pPr>
            <w:r>
              <w:rPr>
                <w:rFonts w:hint="eastAsia"/>
              </w:rPr>
              <w:t>74岁</w:t>
            </w:r>
          </w:p>
        </w:tc>
        <w:tc>
          <w:tcPr>
            <w:tcW w:w="714" w:type="pct"/>
            <w:vAlign w:val="center"/>
          </w:tcPr>
          <w:p w14:paraId="61F4BD9B">
            <w:pPr>
              <w:pStyle w:val="12"/>
              <w:jc w:val="center"/>
            </w:pPr>
            <w:r>
              <w:rPr>
                <w:rFonts w:hint="eastAsia"/>
              </w:rPr>
              <w:t>1077</w:t>
            </w:r>
          </w:p>
        </w:tc>
        <w:tc>
          <w:tcPr>
            <w:tcW w:w="714" w:type="pct"/>
            <w:vAlign w:val="center"/>
          </w:tcPr>
          <w:p w14:paraId="738DF299">
            <w:pPr>
              <w:pStyle w:val="12"/>
              <w:jc w:val="center"/>
            </w:pPr>
            <w:r>
              <w:rPr>
                <w:rFonts w:hint="eastAsia"/>
              </w:rPr>
              <w:t>0.25</w:t>
            </w:r>
          </w:p>
        </w:tc>
        <w:tc>
          <w:tcPr>
            <w:tcW w:w="715" w:type="pct"/>
            <w:vAlign w:val="center"/>
          </w:tcPr>
          <w:p w14:paraId="67BB200A">
            <w:pPr>
              <w:pStyle w:val="12"/>
              <w:jc w:val="center"/>
            </w:pPr>
            <w:r>
              <w:rPr>
                <w:rFonts w:hint="eastAsia"/>
              </w:rPr>
              <w:t>48.96</w:t>
            </w:r>
          </w:p>
        </w:tc>
        <w:tc>
          <w:tcPr>
            <w:tcW w:w="715" w:type="pct"/>
            <w:vAlign w:val="center"/>
          </w:tcPr>
          <w:p w14:paraId="0725FA29">
            <w:pPr>
              <w:pStyle w:val="12"/>
              <w:jc w:val="center"/>
            </w:pPr>
            <w:r>
              <w:rPr>
                <w:rFonts w:hint="eastAsia"/>
              </w:rPr>
              <w:t>1517</w:t>
            </w:r>
          </w:p>
        </w:tc>
        <w:tc>
          <w:tcPr>
            <w:tcW w:w="715" w:type="pct"/>
            <w:vAlign w:val="center"/>
          </w:tcPr>
          <w:p w14:paraId="05B08ED5">
            <w:pPr>
              <w:pStyle w:val="12"/>
              <w:jc w:val="center"/>
            </w:pPr>
            <w:r>
              <w:rPr>
                <w:rFonts w:hint="eastAsia"/>
              </w:rPr>
              <w:t>0.41</w:t>
            </w:r>
          </w:p>
        </w:tc>
        <w:tc>
          <w:tcPr>
            <w:tcW w:w="715" w:type="pct"/>
            <w:vAlign w:val="center"/>
          </w:tcPr>
          <w:p w14:paraId="531210F4">
            <w:pPr>
              <w:pStyle w:val="12"/>
              <w:jc w:val="center"/>
            </w:pPr>
            <w:r>
              <w:rPr>
                <w:rFonts w:hint="eastAsia"/>
              </w:rPr>
              <w:t>57.37</w:t>
            </w:r>
          </w:p>
        </w:tc>
      </w:tr>
      <w:tr w14:paraId="0DF23C6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BFA3A73">
            <w:pPr>
              <w:pStyle w:val="12"/>
              <w:jc w:val="center"/>
            </w:pPr>
            <w:r>
              <w:rPr>
                <w:rFonts w:hint="eastAsia"/>
              </w:rPr>
              <w:t>75~79岁</w:t>
            </w:r>
          </w:p>
        </w:tc>
        <w:tc>
          <w:tcPr>
            <w:tcW w:w="714" w:type="pct"/>
            <w:vAlign w:val="center"/>
          </w:tcPr>
          <w:p w14:paraId="47A51AD3">
            <w:pPr>
              <w:pStyle w:val="12"/>
              <w:jc w:val="center"/>
            </w:pPr>
            <w:r>
              <w:rPr>
                <w:rFonts w:hint="eastAsia"/>
              </w:rPr>
              <w:t>3975</w:t>
            </w:r>
          </w:p>
        </w:tc>
        <w:tc>
          <w:tcPr>
            <w:tcW w:w="714" w:type="pct"/>
            <w:vAlign w:val="center"/>
          </w:tcPr>
          <w:p w14:paraId="0FAA13B8">
            <w:pPr>
              <w:pStyle w:val="12"/>
              <w:jc w:val="center"/>
            </w:pPr>
            <w:r>
              <w:rPr>
                <w:rFonts w:hint="eastAsia"/>
              </w:rPr>
              <w:t>0.92</w:t>
            </w:r>
          </w:p>
        </w:tc>
        <w:tc>
          <w:tcPr>
            <w:tcW w:w="715" w:type="pct"/>
            <w:vAlign w:val="center"/>
          </w:tcPr>
          <w:p w14:paraId="1CF863EA">
            <w:pPr>
              <w:pStyle w:val="12"/>
              <w:jc w:val="center"/>
            </w:pPr>
            <w:r>
              <w:rPr>
                <w:rFonts w:hint="eastAsia"/>
              </w:rPr>
              <w:t>47.44</w:t>
            </w:r>
          </w:p>
        </w:tc>
        <w:tc>
          <w:tcPr>
            <w:tcW w:w="715" w:type="pct"/>
            <w:vAlign w:val="center"/>
          </w:tcPr>
          <w:p w14:paraId="0BE5F51B">
            <w:pPr>
              <w:pStyle w:val="12"/>
              <w:jc w:val="center"/>
            </w:pPr>
            <w:r>
              <w:rPr>
                <w:rFonts w:hint="eastAsia"/>
              </w:rPr>
              <w:t>5498</w:t>
            </w:r>
          </w:p>
        </w:tc>
        <w:tc>
          <w:tcPr>
            <w:tcW w:w="715" w:type="pct"/>
            <w:vAlign w:val="center"/>
          </w:tcPr>
          <w:p w14:paraId="41BC0967">
            <w:pPr>
              <w:pStyle w:val="12"/>
              <w:jc w:val="center"/>
            </w:pPr>
            <w:r>
              <w:rPr>
                <w:rFonts w:hint="eastAsia"/>
              </w:rPr>
              <w:t>1.47</w:t>
            </w:r>
          </w:p>
        </w:tc>
        <w:tc>
          <w:tcPr>
            <w:tcW w:w="715" w:type="pct"/>
            <w:vAlign w:val="center"/>
          </w:tcPr>
          <w:p w14:paraId="06C475B0">
            <w:pPr>
              <w:pStyle w:val="12"/>
              <w:jc w:val="center"/>
            </w:pPr>
            <w:r>
              <w:rPr>
                <w:rFonts w:hint="eastAsia"/>
              </w:rPr>
              <w:t>48.51</w:t>
            </w:r>
          </w:p>
        </w:tc>
      </w:tr>
      <w:tr w14:paraId="3F15DA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4349E7F">
            <w:pPr>
              <w:pStyle w:val="12"/>
              <w:jc w:val="center"/>
            </w:pPr>
            <w:r>
              <w:rPr>
                <w:rFonts w:hint="eastAsia"/>
              </w:rPr>
              <w:t>75岁</w:t>
            </w:r>
          </w:p>
        </w:tc>
        <w:tc>
          <w:tcPr>
            <w:tcW w:w="714" w:type="pct"/>
            <w:vAlign w:val="center"/>
          </w:tcPr>
          <w:p w14:paraId="37DC268A">
            <w:pPr>
              <w:pStyle w:val="12"/>
              <w:jc w:val="center"/>
            </w:pPr>
            <w:r>
              <w:rPr>
                <w:rFonts w:hint="eastAsia"/>
              </w:rPr>
              <w:t>924</w:t>
            </w:r>
          </w:p>
        </w:tc>
        <w:tc>
          <w:tcPr>
            <w:tcW w:w="714" w:type="pct"/>
            <w:vAlign w:val="center"/>
          </w:tcPr>
          <w:p w14:paraId="3FA5F6B1">
            <w:pPr>
              <w:pStyle w:val="12"/>
              <w:jc w:val="center"/>
            </w:pPr>
            <w:r>
              <w:rPr>
                <w:rFonts w:hint="eastAsia"/>
              </w:rPr>
              <w:t>0.21</w:t>
            </w:r>
          </w:p>
        </w:tc>
        <w:tc>
          <w:tcPr>
            <w:tcW w:w="715" w:type="pct"/>
            <w:vAlign w:val="center"/>
          </w:tcPr>
          <w:p w14:paraId="59D630A3">
            <w:pPr>
              <w:pStyle w:val="12"/>
              <w:jc w:val="center"/>
            </w:pPr>
            <w:r>
              <w:rPr>
                <w:rFonts w:hint="eastAsia"/>
              </w:rPr>
              <w:t>56.61</w:t>
            </w:r>
          </w:p>
        </w:tc>
        <w:tc>
          <w:tcPr>
            <w:tcW w:w="715" w:type="pct"/>
            <w:vAlign w:val="center"/>
          </w:tcPr>
          <w:p w14:paraId="7167F772">
            <w:pPr>
              <w:pStyle w:val="12"/>
              <w:jc w:val="center"/>
            </w:pPr>
            <w:r>
              <w:rPr>
                <w:rFonts w:hint="eastAsia"/>
              </w:rPr>
              <w:t>1439</w:t>
            </w:r>
          </w:p>
        </w:tc>
        <w:tc>
          <w:tcPr>
            <w:tcW w:w="715" w:type="pct"/>
            <w:vAlign w:val="center"/>
          </w:tcPr>
          <w:p w14:paraId="51EAE13D">
            <w:pPr>
              <w:pStyle w:val="12"/>
              <w:jc w:val="center"/>
            </w:pPr>
            <w:r>
              <w:rPr>
                <w:rFonts w:hint="eastAsia"/>
              </w:rPr>
              <w:t>0.39</w:t>
            </w:r>
          </w:p>
        </w:tc>
        <w:tc>
          <w:tcPr>
            <w:tcW w:w="715" w:type="pct"/>
            <w:vAlign w:val="center"/>
          </w:tcPr>
          <w:p w14:paraId="6A5A663E">
            <w:pPr>
              <w:pStyle w:val="12"/>
              <w:jc w:val="center"/>
            </w:pPr>
            <w:r>
              <w:rPr>
                <w:rFonts w:hint="eastAsia"/>
              </w:rPr>
              <w:t>56.24</w:t>
            </w:r>
          </w:p>
        </w:tc>
      </w:tr>
      <w:tr w14:paraId="178D4B1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0B1F911">
            <w:pPr>
              <w:pStyle w:val="12"/>
              <w:jc w:val="center"/>
            </w:pPr>
            <w:r>
              <w:rPr>
                <w:rFonts w:hint="eastAsia"/>
              </w:rPr>
              <w:t>76岁</w:t>
            </w:r>
          </w:p>
        </w:tc>
        <w:tc>
          <w:tcPr>
            <w:tcW w:w="714" w:type="pct"/>
            <w:vAlign w:val="center"/>
          </w:tcPr>
          <w:p w14:paraId="6C4BFC46">
            <w:pPr>
              <w:pStyle w:val="12"/>
              <w:jc w:val="center"/>
            </w:pPr>
            <w:r>
              <w:rPr>
                <w:rFonts w:hint="eastAsia"/>
              </w:rPr>
              <w:t>865</w:t>
            </w:r>
          </w:p>
        </w:tc>
        <w:tc>
          <w:tcPr>
            <w:tcW w:w="714" w:type="pct"/>
            <w:vAlign w:val="center"/>
          </w:tcPr>
          <w:p w14:paraId="5FE30AB1">
            <w:pPr>
              <w:pStyle w:val="12"/>
              <w:jc w:val="center"/>
            </w:pPr>
            <w:r>
              <w:rPr>
                <w:rFonts w:hint="eastAsia"/>
              </w:rPr>
              <w:t>0.20</w:t>
            </w:r>
          </w:p>
        </w:tc>
        <w:tc>
          <w:tcPr>
            <w:tcW w:w="715" w:type="pct"/>
            <w:vAlign w:val="center"/>
          </w:tcPr>
          <w:p w14:paraId="6CCC7C03">
            <w:pPr>
              <w:pStyle w:val="12"/>
              <w:jc w:val="center"/>
            </w:pPr>
            <w:r>
              <w:rPr>
                <w:rFonts w:hint="eastAsia"/>
              </w:rPr>
              <w:t>43.45</w:t>
            </w:r>
          </w:p>
        </w:tc>
        <w:tc>
          <w:tcPr>
            <w:tcW w:w="715" w:type="pct"/>
            <w:vAlign w:val="center"/>
          </w:tcPr>
          <w:p w14:paraId="71B2AEA4">
            <w:pPr>
              <w:pStyle w:val="12"/>
              <w:jc w:val="center"/>
            </w:pPr>
            <w:r>
              <w:rPr>
                <w:rFonts w:hint="eastAsia"/>
              </w:rPr>
              <w:t>1159</w:t>
            </w:r>
          </w:p>
        </w:tc>
        <w:tc>
          <w:tcPr>
            <w:tcW w:w="715" w:type="pct"/>
            <w:vAlign w:val="center"/>
          </w:tcPr>
          <w:p w14:paraId="6A018F41">
            <w:pPr>
              <w:pStyle w:val="12"/>
              <w:jc w:val="center"/>
            </w:pPr>
            <w:r>
              <w:rPr>
                <w:rFonts w:hint="eastAsia"/>
              </w:rPr>
              <w:t>0.31</w:t>
            </w:r>
          </w:p>
        </w:tc>
        <w:tc>
          <w:tcPr>
            <w:tcW w:w="715" w:type="pct"/>
            <w:vAlign w:val="center"/>
          </w:tcPr>
          <w:p w14:paraId="4E8A30F7">
            <w:pPr>
              <w:pStyle w:val="12"/>
              <w:jc w:val="center"/>
            </w:pPr>
            <w:r>
              <w:rPr>
                <w:rFonts w:hint="eastAsia"/>
              </w:rPr>
              <w:t>52.10</w:t>
            </w:r>
          </w:p>
        </w:tc>
      </w:tr>
      <w:tr w14:paraId="3F7F14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AC82DF2">
            <w:pPr>
              <w:pStyle w:val="12"/>
              <w:jc w:val="center"/>
            </w:pPr>
            <w:r>
              <w:rPr>
                <w:rFonts w:hint="eastAsia"/>
              </w:rPr>
              <w:t>77岁</w:t>
            </w:r>
          </w:p>
        </w:tc>
        <w:tc>
          <w:tcPr>
            <w:tcW w:w="714" w:type="pct"/>
            <w:vAlign w:val="center"/>
          </w:tcPr>
          <w:p w14:paraId="41F47921">
            <w:pPr>
              <w:pStyle w:val="12"/>
              <w:jc w:val="center"/>
            </w:pPr>
            <w:r>
              <w:rPr>
                <w:rFonts w:hint="eastAsia"/>
              </w:rPr>
              <w:t>745</w:t>
            </w:r>
          </w:p>
        </w:tc>
        <w:tc>
          <w:tcPr>
            <w:tcW w:w="714" w:type="pct"/>
            <w:vAlign w:val="center"/>
          </w:tcPr>
          <w:p w14:paraId="0D3E4D7A">
            <w:pPr>
              <w:pStyle w:val="12"/>
              <w:jc w:val="center"/>
            </w:pPr>
            <w:r>
              <w:rPr>
                <w:rFonts w:hint="eastAsia"/>
              </w:rPr>
              <w:t>0.17</w:t>
            </w:r>
          </w:p>
        </w:tc>
        <w:tc>
          <w:tcPr>
            <w:tcW w:w="715" w:type="pct"/>
            <w:vAlign w:val="center"/>
          </w:tcPr>
          <w:p w14:paraId="1978BD80">
            <w:pPr>
              <w:pStyle w:val="12"/>
              <w:jc w:val="center"/>
            </w:pPr>
            <w:r>
              <w:rPr>
                <w:rFonts w:hint="eastAsia"/>
              </w:rPr>
              <w:t>47.52</w:t>
            </w:r>
          </w:p>
        </w:tc>
        <w:tc>
          <w:tcPr>
            <w:tcW w:w="715" w:type="pct"/>
            <w:vAlign w:val="center"/>
          </w:tcPr>
          <w:p w14:paraId="3A66B042">
            <w:pPr>
              <w:pStyle w:val="12"/>
              <w:jc w:val="center"/>
            </w:pPr>
            <w:r>
              <w:rPr>
                <w:rFonts w:hint="eastAsia"/>
              </w:rPr>
              <w:t>1026</w:t>
            </w:r>
          </w:p>
        </w:tc>
        <w:tc>
          <w:tcPr>
            <w:tcW w:w="715" w:type="pct"/>
            <w:vAlign w:val="center"/>
          </w:tcPr>
          <w:p w14:paraId="223B2610">
            <w:pPr>
              <w:pStyle w:val="12"/>
              <w:jc w:val="center"/>
            </w:pPr>
            <w:r>
              <w:rPr>
                <w:rFonts w:hint="eastAsia"/>
              </w:rPr>
              <w:t>0.28</w:t>
            </w:r>
          </w:p>
        </w:tc>
        <w:tc>
          <w:tcPr>
            <w:tcW w:w="715" w:type="pct"/>
            <w:vAlign w:val="center"/>
          </w:tcPr>
          <w:p w14:paraId="69FD19BA">
            <w:pPr>
              <w:pStyle w:val="12"/>
              <w:jc w:val="center"/>
            </w:pPr>
            <w:r>
              <w:rPr>
                <w:rFonts w:hint="eastAsia"/>
              </w:rPr>
              <w:t>42.90</w:t>
            </w:r>
          </w:p>
        </w:tc>
      </w:tr>
      <w:tr w14:paraId="1A371B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FA172A6">
            <w:pPr>
              <w:pStyle w:val="12"/>
              <w:jc w:val="center"/>
            </w:pPr>
            <w:r>
              <w:rPr>
                <w:rFonts w:hint="eastAsia"/>
              </w:rPr>
              <w:t>78岁</w:t>
            </w:r>
          </w:p>
        </w:tc>
        <w:tc>
          <w:tcPr>
            <w:tcW w:w="714" w:type="pct"/>
            <w:vAlign w:val="center"/>
          </w:tcPr>
          <w:p w14:paraId="2DD5A2E6">
            <w:pPr>
              <w:pStyle w:val="12"/>
              <w:jc w:val="center"/>
            </w:pPr>
            <w:r>
              <w:rPr>
                <w:rFonts w:hint="eastAsia"/>
              </w:rPr>
              <w:t>812</w:t>
            </w:r>
          </w:p>
        </w:tc>
        <w:tc>
          <w:tcPr>
            <w:tcW w:w="714" w:type="pct"/>
            <w:vAlign w:val="center"/>
          </w:tcPr>
          <w:p w14:paraId="5CCA30C4">
            <w:pPr>
              <w:pStyle w:val="12"/>
              <w:jc w:val="center"/>
            </w:pPr>
            <w:r>
              <w:rPr>
                <w:rFonts w:hint="eastAsia"/>
              </w:rPr>
              <w:t>0.19</w:t>
            </w:r>
          </w:p>
        </w:tc>
        <w:tc>
          <w:tcPr>
            <w:tcW w:w="715" w:type="pct"/>
            <w:vAlign w:val="center"/>
          </w:tcPr>
          <w:p w14:paraId="14DE7071">
            <w:pPr>
              <w:pStyle w:val="12"/>
              <w:jc w:val="center"/>
            </w:pPr>
            <w:r>
              <w:rPr>
                <w:rFonts w:hint="eastAsia"/>
              </w:rPr>
              <w:t>48.99</w:t>
            </w:r>
          </w:p>
        </w:tc>
        <w:tc>
          <w:tcPr>
            <w:tcW w:w="715" w:type="pct"/>
            <w:vAlign w:val="center"/>
          </w:tcPr>
          <w:p w14:paraId="1AB79807">
            <w:pPr>
              <w:pStyle w:val="12"/>
              <w:jc w:val="center"/>
            </w:pPr>
            <w:r>
              <w:rPr>
                <w:rFonts w:hint="eastAsia"/>
              </w:rPr>
              <w:t>999</w:t>
            </w:r>
          </w:p>
        </w:tc>
        <w:tc>
          <w:tcPr>
            <w:tcW w:w="715" w:type="pct"/>
            <w:vAlign w:val="center"/>
          </w:tcPr>
          <w:p w14:paraId="19B7BEF3">
            <w:pPr>
              <w:pStyle w:val="12"/>
              <w:jc w:val="center"/>
            </w:pPr>
            <w:r>
              <w:rPr>
                <w:rFonts w:hint="eastAsia"/>
              </w:rPr>
              <w:t>0.27</w:t>
            </w:r>
          </w:p>
        </w:tc>
        <w:tc>
          <w:tcPr>
            <w:tcW w:w="715" w:type="pct"/>
            <w:vAlign w:val="center"/>
          </w:tcPr>
          <w:p w14:paraId="3FDDC185">
            <w:pPr>
              <w:pStyle w:val="12"/>
              <w:jc w:val="center"/>
            </w:pPr>
            <w:r>
              <w:rPr>
                <w:rFonts w:hint="eastAsia"/>
              </w:rPr>
              <w:t>40.70</w:t>
            </w:r>
          </w:p>
        </w:tc>
      </w:tr>
      <w:tr w14:paraId="3B4E290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518519B">
            <w:pPr>
              <w:pStyle w:val="12"/>
              <w:jc w:val="center"/>
            </w:pPr>
            <w:r>
              <w:rPr>
                <w:rFonts w:hint="eastAsia"/>
              </w:rPr>
              <w:t>79岁</w:t>
            </w:r>
          </w:p>
        </w:tc>
        <w:tc>
          <w:tcPr>
            <w:tcW w:w="714" w:type="pct"/>
            <w:vAlign w:val="center"/>
          </w:tcPr>
          <w:p w14:paraId="3D4A215C">
            <w:pPr>
              <w:pStyle w:val="12"/>
              <w:jc w:val="center"/>
            </w:pPr>
            <w:r>
              <w:rPr>
                <w:rFonts w:hint="eastAsia"/>
              </w:rPr>
              <w:t>629</w:t>
            </w:r>
          </w:p>
        </w:tc>
        <w:tc>
          <w:tcPr>
            <w:tcW w:w="714" w:type="pct"/>
            <w:vAlign w:val="center"/>
          </w:tcPr>
          <w:p w14:paraId="267108CD">
            <w:pPr>
              <w:pStyle w:val="12"/>
              <w:jc w:val="center"/>
            </w:pPr>
            <w:r>
              <w:rPr>
                <w:rFonts w:hint="eastAsia"/>
              </w:rPr>
              <w:t>0.14</w:t>
            </w:r>
          </w:p>
        </w:tc>
        <w:tc>
          <w:tcPr>
            <w:tcW w:w="715" w:type="pct"/>
            <w:vAlign w:val="center"/>
          </w:tcPr>
          <w:p w14:paraId="10F4BE3E">
            <w:pPr>
              <w:pStyle w:val="12"/>
              <w:jc w:val="center"/>
            </w:pPr>
            <w:r>
              <w:rPr>
                <w:rFonts w:hint="eastAsia"/>
              </w:rPr>
              <w:t>38.85</w:t>
            </w:r>
          </w:p>
        </w:tc>
        <w:tc>
          <w:tcPr>
            <w:tcW w:w="715" w:type="pct"/>
            <w:vAlign w:val="center"/>
          </w:tcPr>
          <w:p w14:paraId="5692CE05">
            <w:pPr>
              <w:pStyle w:val="12"/>
              <w:jc w:val="center"/>
            </w:pPr>
            <w:r>
              <w:rPr>
                <w:rFonts w:hint="eastAsia"/>
              </w:rPr>
              <w:t>875</w:t>
            </w:r>
          </w:p>
        </w:tc>
        <w:tc>
          <w:tcPr>
            <w:tcW w:w="715" w:type="pct"/>
            <w:vAlign w:val="center"/>
          </w:tcPr>
          <w:p w14:paraId="7CED62A8">
            <w:pPr>
              <w:pStyle w:val="12"/>
              <w:jc w:val="center"/>
            </w:pPr>
            <w:r>
              <w:rPr>
                <w:rFonts w:hint="eastAsia"/>
              </w:rPr>
              <w:t>0.23</w:t>
            </w:r>
          </w:p>
        </w:tc>
        <w:tc>
          <w:tcPr>
            <w:tcW w:w="715" w:type="pct"/>
            <w:vAlign w:val="center"/>
          </w:tcPr>
          <w:p w14:paraId="35BA8DEA">
            <w:pPr>
              <w:pStyle w:val="12"/>
              <w:jc w:val="center"/>
            </w:pPr>
            <w:r>
              <w:rPr>
                <w:rFonts w:hint="eastAsia"/>
              </w:rPr>
              <w:t>45.83</w:t>
            </w:r>
          </w:p>
        </w:tc>
      </w:tr>
      <w:tr w14:paraId="3F9C54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E0CB296">
            <w:pPr>
              <w:pStyle w:val="12"/>
              <w:jc w:val="center"/>
            </w:pPr>
            <w:r>
              <w:rPr>
                <w:rFonts w:hint="eastAsia"/>
              </w:rPr>
              <w:t>80岁~84岁</w:t>
            </w:r>
          </w:p>
        </w:tc>
        <w:tc>
          <w:tcPr>
            <w:tcW w:w="714" w:type="pct"/>
            <w:vAlign w:val="center"/>
          </w:tcPr>
          <w:p w14:paraId="346EC5F0">
            <w:pPr>
              <w:pStyle w:val="12"/>
              <w:jc w:val="center"/>
            </w:pPr>
            <w:r>
              <w:rPr>
                <w:rFonts w:hint="eastAsia"/>
              </w:rPr>
              <w:t>1852</w:t>
            </w:r>
          </w:p>
        </w:tc>
        <w:tc>
          <w:tcPr>
            <w:tcW w:w="714" w:type="pct"/>
            <w:vAlign w:val="center"/>
          </w:tcPr>
          <w:p w14:paraId="0599685A">
            <w:pPr>
              <w:pStyle w:val="12"/>
              <w:jc w:val="center"/>
            </w:pPr>
            <w:r>
              <w:rPr>
                <w:rFonts w:hint="eastAsia"/>
              </w:rPr>
              <w:t>0.43</w:t>
            </w:r>
          </w:p>
        </w:tc>
        <w:tc>
          <w:tcPr>
            <w:tcW w:w="715" w:type="pct"/>
            <w:vAlign w:val="center"/>
          </w:tcPr>
          <w:p w14:paraId="35634447">
            <w:pPr>
              <w:pStyle w:val="12"/>
              <w:jc w:val="center"/>
            </w:pPr>
            <w:r>
              <w:rPr>
                <w:rFonts w:hint="eastAsia"/>
              </w:rPr>
              <w:t>33.82</w:t>
            </w:r>
          </w:p>
        </w:tc>
        <w:tc>
          <w:tcPr>
            <w:tcW w:w="715" w:type="pct"/>
            <w:vAlign w:val="center"/>
          </w:tcPr>
          <w:p w14:paraId="2FF7A32B">
            <w:pPr>
              <w:pStyle w:val="12"/>
              <w:jc w:val="center"/>
            </w:pPr>
            <w:r>
              <w:rPr>
                <w:rFonts w:hint="eastAsia"/>
              </w:rPr>
              <w:t>2843</w:t>
            </w:r>
          </w:p>
        </w:tc>
        <w:tc>
          <w:tcPr>
            <w:tcW w:w="715" w:type="pct"/>
            <w:vAlign w:val="center"/>
          </w:tcPr>
          <w:p w14:paraId="40FEDBAE">
            <w:pPr>
              <w:pStyle w:val="12"/>
              <w:jc w:val="center"/>
            </w:pPr>
            <w:r>
              <w:rPr>
                <w:rFonts w:hint="eastAsia"/>
              </w:rPr>
              <w:t>0.76</w:t>
            </w:r>
          </w:p>
        </w:tc>
        <w:tc>
          <w:tcPr>
            <w:tcW w:w="715" w:type="pct"/>
            <w:vAlign w:val="center"/>
          </w:tcPr>
          <w:p w14:paraId="43E88ED9">
            <w:pPr>
              <w:pStyle w:val="12"/>
              <w:jc w:val="center"/>
            </w:pPr>
            <w:r>
              <w:rPr>
                <w:rFonts w:hint="eastAsia"/>
              </w:rPr>
              <w:t>38.75</w:t>
            </w:r>
          </w:p>
        </w:tc>
      </w:tr>
      <w:tr w14:paraId="252292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6DCDB04">
            <w:pPr>
              <w:pStyle w:val="12"/>
              <w:jc w:val="center"/>
            </w:pPr>
            <w:r>
              <w:rPr>
                <w:rFonts w:hint="eastAsia"/>
              </w:rPr>
              <w:t>80岁</w:t>
            </w:r>
          </w:p>
        </w:tc>
        <w:tc>
          <w:tcPr>
            <w:tcW w:w="714" w:type="pct"/>
            <w:vAlign w:val="center"/>
          </w:tcPr>
          <w:p w14:paraId="65C4DB0E">
            <w:pPr>
              <w:pStyle w:val="12"/>
              <w:jc w:val="center"/>
            </w:pPr>
            <w:r>
              <w:rPr>
                <w:rFonts w:hint="eastAsia"/>
              </w:rPr>
              <w:t>533</w:t>
            </w:r>
          </w:p>
        </w:tc>
        <w:tc>
          <w:tcPr>
            <w:tcW w:w="714" w:type="pct"/>
            <w:vAlign w:val="center"/>
          </w:tcPr>
          <w:p w14:paraId="47BAEEB3">
            <w:pPr>
              <w:pStyle w:val="12"/>
              <w:jc w:val="center"/>
            </w:pPr>
            <w:r>
              <w:rPr>
                <w:rFonts w:hint="eastAsia"/>
              </w:rPr>
              <w:t>0.12</w:t>
            </w:r>
          </w:p>
        </w:tc>
        <w:tc>
          <w:tcPr>
            <w:tcW w:w="715" w:type="pct"/>
            <w:vAlign w:val="center"/>
          </w:tcPr>
          <w:p w14:paraId="5F5B6DF3">
            <w:pPr>
              <w:pStyle w:val="12"/>
              <w:jc w:val="center"/>
            </w:pPr>
            <w:r>
              <w:rPr>
                <w:rFonts w:hint="eastAsia"/>
              </w:rPr>
              <w:t>40.63</w:t>
            </w:r>
          </w:p>
        </w:tc>
        <w:tc>
          <w:tcPr>
            <w:tcW w:w="715" w:type="pct"/>
            <w:vAlign w:val="center"/>
          </w:tcPr>
          <w:p w14:paraId="4AD28107">
            <w:pPr>
              <w:pStyle w:val="12"/>
              <w:jc w:val="center"/>
            </w:pPr>
            <w:r>
              <w:rPr>
                <w:rFonts w:hint="eastAsia"/>
              </w:rPr>
              <w:t>780</w:t>
            </w:r>
          </w:p>
        </w:tc>
        <w:tc>
          <w:tcPr>
            <w:tcW w:w="715" w:type="pct"/>
            <w:vAlign w:val="center"/>
          </w:tcPr>
          <w:p w14:paraId="210C743E">
            <w:pPr>
              <w:pStyle w:val="12"/>
              <w:jc w:val="center"/>
            </w:pPr>
            <w:r>
              <w:rPr>
                <w:rFonts w:hint="eastAsia"/>
              </w:rPr>
              <w:t>0.21</w:t>
            </w:r>
          </w:p>
        </w:tc>
        <w:tc>
          <w:tcPr>
            <w:tcW w:w="715" w:type="pct"/>
            <w:vAlign w:val="center"/>
          </w:tcPr>
          <w:p w14:paraId="5116C186">
            <w:pPr>
              <w:pStyle w:val="12"/>
              <w:jc w:val="center"/>
            </w:pPr>
            <w:r>
              <w:rPr>
                <w:rFonts w:hint="eastAsia"/>
              </w:rPr>
              <w:t>36.13</w:t>
            </w:r>
          </w:p>
        </w:tc>
      </w:tr>
      <w:tr w14:paraId="75BE7C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433DEA6">
            <w:pPr>
              <w:pStyle w:val="12"/>
              <w:jc w:val="center"/>
            </w:pPr>
            <w:r>
              <w:rPr>
                <w:rFonts w:hint="eastAsia"/>
              </w:rPr>
              <w:t>81岁</w:t>
            </w:r>
          </w:p>
        </w:tc>
        <w:tc>
          <w:tcPr>
            <w:tcW w:w="714" w:type="pct"/>
            <w:vAlign w:val="center"/>
          </w:tcPr>
          <w:p w14:paraId="5880C7F9">
            <w:pPr>
              <w:pStyle w:val="12"/>
              <w:jc w:val="center"/>
            </w:pPr>
            <w:r>
              <w:rPr>
                <w:rFonts w:hint="eastAsia"/>
              </w:rPr>
              <w:t>416</w:t>
            </w:r>
          </w:p>
        </w:tc>
        <w:tc>
          <w:tcPr>
            <w:tcW w:w="714" w:type="pct"/>
            <w:vAlign w:val="center"/>
          </w:tcPr>
          <w:p w14:paraId="2A3921CB">
            <w:pPr>
              <w:pStyle w:val="12"/>
              <w:jc w:val="center"/>
            </w:pPr>
            <w:r>
              <w:rPr>
                <w:rFonts w:hint="eastAsia"/>
              </w:rPr>
              <w:t>0.10</w:t>
            </w:r>
          </w:p>
        </w:tc>
        <w:tc>
          <w:tcPr>
            <w:tcW w:w="715" w:type="pct"/>
            <w:vAlign w:val="center"/>
          </w:tcPr>
          <w:p w14:paraId="0FE07F37">
            <w:pPr>
              <w:pStyle w:val="12"/>
              <w:jc w:val="center"/>
            </w:pPr>
            <w:r>
              <w:rPr>
                <w:rFonts w:hint="eastAsia"/>
              </w:rPr>
              <w:t>32.06</w:t>
            </w:r>
          </w:p>
        </w:tc>
        <w:tc>
          <w:tcPr>
            <w:tcW w:w="715" w:type="pct"/>
            <w:vAlign w:val="center"/>
          </w:tcPr>
          <w:p w14:paraId="36264B8B">
            <w:pPr>
              <w:pStyle w:val="12"/>
              <w:jc w:val="center"/>
            </w:pPr>
            <w:r>
              <w:rPr>
                <w:rFonts w:hint="eastAsia"/>
              </w:rPr>
              <w:t>634</w:t>
            </w:r>
          </w:p>
        </w:tc>
        <w:tc>
          <w:tcPr>
            <w:tcW w:w="715" w:type="pct"/>
            <w:vAlign w:val="center"/>
          </w:tcPr>
          <w:p w14:paraId="73BAE6FB">
            <w:pPr>
              <w:pStyle w:val="12"/>
              <w:jc w:val="center"/>
            </w:pPr>
            <w:r>
              <w:rPr>
                <w:rFonts w:hint="eastAsia"/>
              </w:rPr>
              <w:t>0.17</w:t>
            </w:r>
          </w:p>
        </w:tc>
        <w:tc>
          <w:tcPr>
            <w:tcW w:w="715" w:type="pct"/>
            <w:vAlign w:val="center"/>
          </w:tcPr>
          <w:p w14:paraId="0E75762E">
            <w:pPr>
              <w:pStyle w:val="12"/>
              <w:jc w:val="center"/>
            </w:pPr>
            <w:r>
              <w:rPr>
                <w:rFonts w:hint="eastAsia"/>
              </w:rPr>
              <w:t>43.76</w:t>
            </w:r>
          </w:p>
        </w:tc>
      </w:tr>
      <w:tr w14:paraId="769AFB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D8DBB9F">
            <w:pPr>
              <w:pStyle w:val="12"/>
              <w:jc w:val="center"/>
            </w:pPr>
            <w:r>
              <w:rPr>
                <w:rFonts w:hint="eastAsia"/>
              </w:rPr>
              <w:t>82岁</w:t>
            </w:r>
          </w:p>
        </w:tc>
        <w:tc>
          <w:tcPr>
            <w:tcW w:w="714" w:type="pct"/>
            <w:vAlign w:val="center"/>
          </w:tcPr>
          <w:p w14:paraId="62CB9CFD">
            <w:pPr>
              <w:pStyle w:val="12"/>
              <w:jc w:val="center"/>
            </w:pPr>
            <w:r>
              <w:rPr>
                <w:rFonts w:hint="eastAsia"/>
              </w:rPr>
              <w:t>385</w:t>
            </w:r>
          </w:p>
        </w:tc>
        <w:tc>
          <w:tcPr>
            <w:tcW w:w="714" w:type="pct"/>
            <w:vAlign w:val="center"/>
          </w:tcPr>
          <w:p w14:paraId="3353EA9E">
            <w:pPr>
              <w:pStyle w:val="12"/>
              <w:jc w:val="center"/>
            </w:pPr>
            <w:r>
              <w:rPr>
                <w:rFonts w:hint="eastAsia"/>
              </w:rPr>
              <w:t>0.09</w:t>
            </w:r>
          </w:p>
        </w:tc>
        <w:tc>
          <w:tcPr>
            <w:tcW w:w="715" w:type="pct"/>
            <w:vAlign w:val="center"/>
          </w:tcPr>
          <w:p w14:paraId="737D7701">
            <w:pPr>
              <w:pStyle w:val="12"/>
              <w:jc w:val="center"/>
            </w:pPr>
            <w:r>
              <w:rPr>
                <w:rFonts w:hint="eastAsia"/>
              </w:rPr>
              <w:t>27.06</w:t>
            </w:r>
          </w:p>
        </w:tc>
        <w:tc>
          <w:tcPr>
            <w:tcW w:w="715" w:type="pct"/>
            <w:vAlign w:val="center"/>
          </w:tcPr>
          <w:p w14:paraId="40F808D0">
            <w:pPr>
              <w:pStyle w:val="12"/>
              <w:jc w:val="center"/>
            </w:pPr>
            <w:r>
              <w:rPr>
                <w:rFonts w:hint="eastAsia"/>
              </w:rPr>
              <w:t>531</w:t>
            </w:r>
          </w:p>
        </w:tc>
        <w:tc>
          <w:tcPr>
            <w:tcW w:w="715" w:type="pct"/>
            <w:vAlign w:val="center"/>
          </w:tcPr>
          <w:p w14:paraId="0923E8F9">
            <w:pPr>
              <w:pStyle w:val="12"/>
              <w:jc w:val="center"/>
            </w:pPr>
            <w:r>
              <w:rPr>
                <w:rFonts w:hint="eastAsia"/>
              </w:rPr>
              <w:t>0.14</w:t>
            </w:r>
          </w:p>
        </w:tc>
        <w:tc>
          <w:tcPr>
            <w:tcW w:w="715" w:type="pct"/>
            <w:vAlign w:val="center"/>
          </w:tcPr>
          <w:p w14:paraId="5CFFCC00">
            <w:pPr>
              <w:pStyle w:val="12"/>
              <w:jc w:val="center"/>
            </w:pPr>
            <w:r>
              <w:rPr>
                <w:rFonts w:hint="eastAsia"/>
              </w:rPr>
              <w:t>39.01</w:t>
            </w:r>
          </w:p>
        </w:tc>
      </w:tr>
      <w:tr w14:paraId="6F52B59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333FDDB0">
            <w:pPr>
              <w:pStyle w:val="12"/>
              <w:jc w:val="center"/>
            </w:pPr>
            <w:r>
              <w:rPr>
                <w:rFonts w:hint="eastAsia"/>
              </w:rPr>
              <w:t>83岁</w:t>
            </w:r>
          </w:p>
        </w:tc>
        <w:tc>
          <w:tcPr>
            <w:tcW w:w="714" w:type="pct"/>
            <w:vAlign w:val="center"/>
          </w:tcPr>
          <w:p w14:paraId="2DEDA5A7">
            <w:pPr>
              <w:pStyle w:val="12"/>
              <w:jc w:val="center"/>
            </w:pPr>
            <w:r>
              <w:rPr>
                <w:rFonts w:hint="eastAsia"/>
              </w:rPr>
              <w:t>294</w:t>
            </w:r>
          </w:p>
        </w:tc>
        <w:tc>
          <w:tcPr>
            <w:tcW w:w="714" w:type="pct"/>
            <w:vAlign w:val="center"/>
          </w:tcPr>
          <w:p w14:paraId="3277DB1A">
            <w:pPr>
              <w:pStyle w:val="12"/>
              <w:jc w:val="center"/>
            </w:pPr>
            <w:r>
              <w:rPr>
                <w:rFonts w:hint="eastAsia"/>
              </w:rPr>
              <w:t>0.07</w:t>
            </w:r>
          </w:p>
        </w:tc>
        <w:tc>
          <w:tcPr>
            <w:tcW w:w="715" w:type="pct"/>
            <w:vAlign w:val="center"/>
          </w:tcPr>
          <w:p w14:paraId="005A5245">
            <w:pPr>
              <w:pStyle w:val="12"/>
              <w:jc w:val="center"/>
            </w:pPr>
            <w:r>
              <w:rPr>
                <w:rFonts w:hint="eastAsia"/>
              </w:rPr>
              <w:t>40.00</w:t>
            </w:r>
          </w:p>
        </w:tc>
        <w:tc>
          <w:tcPr>
            <w:tcW w:w="715" w:type="pct"/>
            <w:vAlign w:val="center"/>
          </w:tcPr>
          <w:p w14:paraId="79A03CD8">
            <w:pPr>
              <w:pStyle w:val="12"/>
              <w:jc w:val="center"/>
            </w:pPr>
            <w:r>
              <w:rPr>
                <w:rFonts w:hint="eastAsia"/>
              </w:rPr>
              <w:t>492</w:t>
            </w:r>
          </w:p>
        </w:tc>
        <w:tc>
          <w:tcPr>
            <w:tcW w:w="715" w:type="pct"/>
            <w:vAlign w:val="center"/>
          </w:tcPr>
          <w:p w14:paraId="4B7B1068">
            <w:pPr>
              <w:pStyle w:val="12"/>
              <w:jc w:val="center"/>
            </w:pPr>
            <w:r>
              <w:rPr>
                <w:rFonts w:hint="eastAsia"/>
              </w:rPr>
              <w:t>0.13</w:t>
            </w:r>
          </w:p>
        </w:tc>
        <w:tc>
          <w:tcPr>
            <w:tcW w:w="715" w:type="pct"/>
            <w:vAlign w:val="center"/>
          </w:tcPr>
          <w:p w14:paraId="23A3F9D4">
            <w:pPr>
              <w:pStyle w:val="12"/>
              <w:jc w:val="center"/>
            </w:pPr>
            <w:r>
              <w:rPr>
                <w:rFonts w:hint="eastAsia"/>
              </w:rPr>
              <w:t>37.43</w:t>
            </w:r>
          </w:p>
        </w:tc>
      </w:tr>
      <w:tr w14:paraId="56C171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6B4EC0E">
            <w:pPr>
              <w:pStyle w:val="12"/>
              <w:jc w:val="center"/>
            </w:pPr>
            <w:r>
              <w:rPr>
                <w:rFonts w:hint="eastAsia"/>
              </w:rPr>
              <w:t>84岁</w:t>
            </w:r>
          </w:p>
        </w:tc>
        <w:tc>
          <w:tcPr>
            <w:tcW w:w="714" w:type="pct"/>
            <w:vAlign w:val="center"/>
          </w:tcPr>
          <w:p w14:paraId="797BB043">
            <w:pPr>
              <w:pStyle w:val="12"/>
              <w:jc w:val="center"/>
            </w:pPr>
            <w:r>
              <w:rPr>
                <w:rFonts w:hint="eastAsia"/>
              </w:rPr>
              <w:t>224</w:t>
            </w:r>
          </w:p>
        </w:tc>
        <w:tc>
          <w:tcPr>
            <w:tcW w:w="714" w:type="pct"/>
            <w:vAlign w:val="center"/>
          </w:tcPr>
          <w:p w14:paraId="7CDBEAA7">
            <w:pPr>
              <w:pStyle w:val="12"/>
              <w:jc w:val="center"/>
            </w:pPr>
            <w:r>
              <w:rPr>
                <w:rFonts w:hint="eastAsia"/>
              </w:rPr>
              <w:t>0.05</w:t>
            </w:r>
          </w:p>
        </w:tc>
        <w:tc>
          <w:tcPr>
            <w:tcW w:w="715" w:type="pct"/>
            <w:vAlign w:val="center"/>
          </w:tcPr>
          <w:p w14:paraId="35A55A82">
            <w:pPr>
              <w:pStyle w:val="12"/>
              <w:jc w:val="center"/>
            </w:pPr>
            <w:r>
              <w:rPr>
                <w:rFonts w:hint="eastAsia"/>
              </w:rPr>
              <w:t>26.55</w:t>
            </w:r>
          </w:p>
        </w:tc>
        <w:tc>
          <w:tcPr>
            <w:tcW w:w="715" w:type="pct"/>
            <w:vAlign w:val="center"/>
          </w:tcPr>
          <w:p w14:paraId="25A37CD1">
            <w:pPr>
              <w:pStyle w:val="12"/>
              <w:jc w:val="center"/>
            </w:pPr>
            <w:r>
              <w:rPr>
                <w:rFonts w:hint="eastAsia"/>
              </w:rPr>
              <w:t>406</w:t>
            </w:r>
          </w:p>
        </w:tc>
        <w:tc>
          <w:tcPr>
            <w:tcW w:w="715" w:type="pct"/>
            <w:vAlign w:val="center"/>
          </w:tcPr>
          <w:p w14:paraId="0636B263">
            <w:pPr>
              <w:pStyle w:val="12"/>
              <w:jc w:val="center"/>
            </w:pPr>
            <w:r>
              <w:rPr>
                <w:rFonts w:hint="eastAsia"/>
              </w:rPr>
              <w:t>0.11</w:t>
            </w:r>
          </w:p>
        </w:tc>
        <w:tc>
          <w:tcPr>
            <w:tcW w:w="715" w:type="pct"/>
            <w:vAlign w:val="center"/>
          </w:tcPr>
          <w:p w14:paraId="77ECF0C1">
            <w:pPr>
              <w:pStyle w:val="12"/>
              <w:jc w:val="center"/>
            </w:pPr>
            <w:r>
              <w:rPr>
                <w:rFonts w:hint="eastAsia"/>
              </w:rPr>
              <w:t>37.63</w:t>
            </w:r>
          </w:p>
        </w:tc>
      </w:tr>
      <w:tr w14:paraId="3BA177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C87B4F8">
            <w:pPr>
              <w:pStyle w:val="12"/>
              <w:jc w:val="center"/>
            </w:pPr>
            <w:r>
              <w:rPr>
                <w:rFonts w:hint="eastAsia"/>
              </w:rPr>
              <w:t>85岁~89岁</w:t>
            </w:r>
          </w:p>
        </w:tc>
        <w:tc>
          <w:tcPr>
            <w:tcW w:w="714" w:type="pct"/>
            <w:vAlign w:val="center"/>
          </w:tcPr>
          <w:p w14:paraId="6A65D614">
            <w:pPr>
              <w:pStyle w:val="12"/>
              <w:jc w:val="center"/>
            </w:pPr>
            <w:r>
              <w:rPr>
                <w:rFonts w:hint="eastAsia"/>
              </w:rPr>
              <w:t>683</w:t>
            </w:r>
          </w:p>
        </w:tc>
        <w:tc>
          <w:tcPr>
            <w:tcW w:w="714" w:type="pct"/>
            <w:vAlign w:val="center"/>
          </w:tcPr>
          <w:p w14:paraId="77CE17EE">
            <w:pPr>
              <w:pStyle w:val="12"/>
              <w:jc w:val="center"/>
            </w:pPr>
            <w:r>
              <w:rPr>
                <w:rFonts w:hint="eastAsia"/>
              </w:rPr>
              <w:t>0.16</w:t>
            </w:r>
          </w:p>
        </w:tc>
        <w:tc>
          <w:tcPr>
            <w:tcW w:w="715" w:type="pct"/>
            <w:vAlign w:val="center"/>
          </w:tcPr>
          <w:p w14:paraId="2C376C5A">
            <w:pPr>
              <w:pStyle w:val="12"/>
              <w:jc w:val="center"/>
            </w:pPr>
            <w:r>
              <w:rPr>
                <w:rFonts w:hint="eastAsia"/>
              </w:rPr>
              <w:t>23.29</w:t>
            </w:r>
          </w:p>
        </w:tc>
        <w:tc>
          <w:tcPr>
            <w:tcW w:w="715" w:type="pct"/>
            <w:vAlign w:val="center"/>
          </w:tcPr>
          <w:p w14:paraId="3D4BE72F">
            <w:pPr>
              <w:pStyle w:val="12"/>
              <w:jc w:val="center"/>
            </w:pPr>
            <w:r>
              <w:rPr>
                <w:rFonts w:hint="eastAsia"/>
              </w:rPr>
              <w:t>1032</w:t>
            </w:r>
          </w:p>
        </w:tc>
        <w:tc>
          <w:tcPr>
            <w:tcW w:w="715" w:type="pct"/>
            <w:vAlign w:val="center"/>
          </w:tcPr>
          <w:p w14:paraId="689884EF">
            <w:pPr>
              <w:pStyle w:val="12"/>
              <w:jc w:val="center"/>
            </w:pPr>
            <w:r>
              <w:rPr>
                <w:rFonts w:hint="eastAsia"/>
              </w:rPr>
              <w:t>0.28</w:t>
            </w:r>
          </w:p>
        </w:tc>
        <w:tc>
          <w:tcPr>
            <w:tcW w:w="715" w:type="pct"/>
            <w:vAlign w:val="center"/>
          </w:tcPr>
          <w:p w14:paraId="231520FA">
            <w:pPr>
              <w:pStyle w:val="12"/>
              <w:jc w:val="center"/>
            </w:pPr>
            <w:r>
              <w:rPr>
                <w:rFonts w:hint="eastAsia"/>
              </w:rPr>
              <w:t>31.63</w:t>
            </w:r>
          </w:p>
        </w:tc>
      </w:tr>
      <w:tr w14:paraId="085B23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BDD5693">
            <w:pPr>
              <w:pStyle w:val="12"/>
              <w:jc w:val="center"/>
            </w:pPr>
            <w:r>
              <w:rPr>
                <w:rFonts w:hint="eastAsia"/>
              </w:rPr>
              <w:t>85岁</w:t>
            </w:r>
          </w:p>
        </w:tc>
        <w:tc>
          <w:tcPr>
            <w:tcW w:w="714" w:type="pct"/>
            <w:vAlign w:val="center"/>
          </w:tcPr>
          <w:p w14:paraId="3951F1B3">
            <w:pPr>
              <w:pStyle w:val="12"/>
              <w:jc w:val="center"/>
            </w:pPr>
            <w:r>
              <w:rPr>
                <w:rFonts w:hint="eastAsia"/>
              </w:rPr>
              <w:t>226</w:t>
            </w:r>
          </w:p>
        </w:tc>
        <w:tc>
          <w:tcPr>
            <w:tcW w:w="714" w:type="pct"/>
            <w:vAlign w:val="center"/>
          </w:tcPr>
          <w:p w14:paraId="23764137">
            <w:pPr>
              <w:pStyle w:val="12"/>
              <w:jc w:val="center"/>
            </w:pPr>
            <w:r>
              <w:rPr>
                <w:rFonts w:hint="eastAsia"/>
              </w:rPr>
              <w:t>0.05</w:t>
            </w:r>
          </w:p>
        </w:tc>
        <w:tc>
          <w:tcPr>
            <w:tcW w:w="715" w:type="pct"/>
            <w:vAlign w:val="center"/>
          </w:tcPr>
          <w:p w14:paraId="0DBE3396">
            <w:pPr>
              <w:pStyle w:val="12"/>
              <w:jc w:val="center"/>
            </w:pPr>
            <w:r>
              <w:rPr>
                <w:rFonts w:hint="eastAsia"/>
              </w:rPr>
              <w:t>24.18</w:t>
            </w:r>
          </w:p>
        </w:tc>
        <w:tc>
          <w:tcPr>
            <w:tcW w:w="715" w:type="pct"/>
            <w:vAlign w:val="center"/>
          </w:tcPr>
          <w:p w14:paraId="671A816C">
            <w:pPr>
              <w:pStyle w:val="12"/>
              <w:jc w:val="center"/>
            </w:pPr>
            <w:r>
              <w:rPr>
                <w:rFonts w:hint="eastAsia"/>
              </w:rPr>
              <w:t>327</w:t>
            </w:r>
          </w:p>
        </w:tc>
        <w:tc>
          <w:tcPr>
            <w:tcW w:w="715" w:type="pct"/>
            <w:vAlign w:val="center"/>
          </w:tcPr>
          <w:p w14:paraId="0F235F5A">
            <w:pPr>
              <w:pStyle w:val="12"/>
              <w:jc w:val="center"/>
            </w:pPr>
            <w:r>
              <w:rPr>
                <w:rFonts w:hint="eastAsia"/>
              </w:rPr>
              <w:t>0.09</w:t>
            </w:r>
          </w:p>
        </w:tc>
        <w:tc>
          <w:tcPr>
            <w:tcW w:w="715" w:type="pct"/>
            <w:vAlign w:val="center"/>
          </w:tcPr>
          <w:p w14:paraId="618E01A6">
            <w:pPr>
              <w:pStyle w:val="12"/>
              <w:jc w:val="center"/>
            </w:pPr>
            <w:r>
              <w:rPr>
                <w:rFonts w:hint="eastAsia"/>
              </w:rPr>
              <w:t>35.68</w:t>
            </w:r>
          </w:p>
        </w:tc>
      </w:tr>
      <w:tr w14:paraId="150083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4CCAE9B3">
            <w:pPr>
              <w:pStyle w:val="12"/>
              <w:jc w:val="center"/>
            </w:pPr>
            <w:r>
              <w:rPr>
                <w:rFonts w:hint="eastAsia"/>
              </w:rPr>
              <w:t>86岁</w:t>
            </w:r>
          </w:p>
        </w:tc>
        <w:tc>
          <w:tcPr>
            <w:tcW w:w="714" w:type="pct"/>
            <w:vAlign w:val="center"/>
          </w:tcPr>
          <w:p w14:paraId="37EC61FD">
            <w:pPr>
              <w:pStyle w:val="12"/>
              <w:jc w:val="center"/>
            </w:pPr>
            <w:r>
              <w:rPr>
                <w:rFonts w:hint="eastAsia"/>
              </w:rPr>
              <w:t>159</w:t>
            </w:r>
          </w:p>
        </w:tc>
        <w:tc>
          <w:tcPr>
            <w:tcW w:w="714" w:type="pct"/>
            <w:vAlign w:val="center"/>
          </w:tcPr>
          <w:p w14:paraId="32B00D54">
            <w:pPr>
              <w:pStyle w:val="12"/>
              <w:jc w:val="center"/>
            </w:pPr>
            <w:r>
              <w:rPr>
                <w:rFonts w:hint="eastAsia"/>
              </w:rPr>
              <w:t>0.04</w:t>
            </w:r>
          </w:p>
        </w:tc>
        <w:tc>
          <w:tcPr>
            <w:tcW w:w="715" w:type="pct"/>
            <w:vAlign w:val="center"/>
          </w:tcPr>
          <w:p w14:paraId="010205B7">
            <w:pPr>
              <w:pStyle w:val="12"/>
              <w:jc w:val="center"/>
            </w:pPr>
            <w:r>
              <w:rPr>
                <w:rFonts w:hint="eastAsia"/>
              </w:rPr>
              <w:t>25.20</w:t>
            </w:r>
          </w:p>
        </w:tc>
        <w:tc>
          <w:tcPr>
            <w:tcW w:w="715" w:type="pct"/>
            <w:vAlign w:val="center"/>
          </w:tcPr>
          <w:p w14:paraId="78AAEAA6">
            <w:pPr>
              <w:pStyle w:val="12"/>
              <w:jc w:val="center"/>
            </w:pPr>
            <w:r>
              <w:rPr>
                <w:rFonts w:hint="eastAsia"/>
              </w:rPr>
              <w:t>234</w:t>
            </w:r>
          </w:p>
        </w:tc>
        <w:tc>
          <w:tcPr>
            <w:tcW w:w="715" w:type="pct"/>
            <w:vAlign w:val="center"/>
          </w:tcPr>
          <w:p w14:paraId="0FF73712">
            <w:pPr>
              <w:pStyle w:val="12"/>
              <w:jc w:val="center"/>
            </w:pPr>
            <w:r>
              <w:rPr>
                <w:rFonts w:hint="eastAsia"/>
              </w:rPr>
              <w:t>0.06</w:t>
            </w:r>
          </w:p>
        </w:tc>
        <w:tc>
          <w:tcPr>
            <w:tcW w:w="715" w:type="pct"/>
            <w:vAlign w:val="center"/>
          </w:tcPr>
          <w:p w14:paraId="32DFC436">
            <w:pPr>
              <w:pStyle w:val="12"/>
              <w:jc w:val="center"/>
            </w:pPr>
            <w:r>
              <w:rPr>
                <w:rFonts w:hint="eastAsia"/>
              </w:rPr>
              <w:t>32.2</w:t>
            </w:r>
          </w:p>
        </w:tc>
      </w:tr>
      <w:tr w14:paraId="357C850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40EF623B">
            <w:pPr>
              <w:pStyle w:val="12"/>
              <w:jc w:val="center"/>
            </w:pPr>
            <w:r>
              <w:rPr>
                <w:rFonts w:hint="eastAsia"/>
              </w:rPr>
              <w:t>87岁</w:t>
            </w:r>
          </w:p>
        </w:tc>
        <w:tc>
          <w:tcPr>
            <w:tcW w:w="714" w:type="pct"/>
            <w:vAlign w:val="center"/>
          </w:tcPr>
          <w:p w14:paraId="7DFD150D">
            <w:pPr>
              <w:pStyle w:val="12"/>
              <w:jc w:val="center"/>
            </w:pPr>
            <w:r>
              <w:rPr>
                <w:rFonts w:hint="eastAsia"/>
              </w:rPr>
              <w:t>125</w:t>
            </w:r>
          </w:p>
        </w:tc>
        <w:tc>
          <w:tcPr>
            <w:tcW w:w="714" w:type="pct"/>
            <w:vAlign w:val="center"/>
          </w:tcPr>
          <w:p w14:paraId="14E1D657">
            <w:pPr>
              <w:pStyle w:val="12"/>
              <w:jc w:val="center"/>
            </w:pPr>
            <w:r>
              <w:rPr>
                <w:rFonts w:hint="eastAsia"/>
              </w:rPr>
              <w:t>0.03</w:t>
            </w:r>
          </w:p>
        </w:tc>
        <w:tc>
          <w:tcPr>
            <w:tcW w:w="715" w:type="pct"/>
            <w:vAlign w:val="center"/>
          </w:tcPr>
          <w:p w14:paraId="234730BA">
            <w:pPr>
              <w:pStyle w:val="12"/>
              <w:jc w:val="center"/>
            </w:pPr>
            <w:r>
              <w:rPr>
                <w:rFonts w:hint="eastAsia"/>
              </w:rPr>
              <w:t>27.55</w:t>
            </w:r>
          </w:p>
        </w:tc>
        <w:tc>
          <w:tcPr>
            <w:tcW w:w="715" w:type="pct"/>
            <w:vAlign w:val="center"/>
          </w:tcPr>
          <w:p w14:paraId="27D2075E">
            <w:pPr>
              <w:pStyle w:val="12"/>
              <w:jc w:val="center"/>
            </w:pPr>
            <w:r>
              <w:rPr>
                <w:rFonts w:hint="eastAsia"/>
              </w:rPr>
              <w:t>198</w:t>
            </w:r>
          </w:p>
        </w:tc>
        <w:tc>
          <w:tcPr>
            <w:tcW w:w="715" w:type="pct"/>
            <w:vAlign w:val="center"/>
          </w:tcPr>
          <w:p w14:paraId="5B14DF4B">
            <w:pPr>
              <w:pStyle w:val="12"/>
              <w:jc w:val="center"/>
            </w:pPr>
            <w:r>
              <w:rPr>
                <w:rFonts w:hint="eastAsia"/>
              </w:rPr>
              <w:t>0.05</w:t>
            </w:r>
          </w:p>
        </w:tc>
        <w:tc>
          <w:tcPr>
            <w:tcW w:w="715" w:type="pct"/>
            <w:vAlign w:val="center"/>
          </w:tcPr>
          <w:p w14:paraId="4802C004">
            <w:pPr>
              <w:pStyle w:val="12"/>
              <w:jc w:val="center"/>
            </w:pPr>
            <w:r>
              <w:rPr>
                <w:rFonts w:hint="eastAsia"/>
              </w:rPr>
              <w:t>33.78</w:t>
            </w:r>
          </w:p>
        </w:tc>
      </w:tr>
      <w:tr w14:paraId="1A1C393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6F1F0A89">
            <w:pPr>
              <w:pStyle w:val="12"/>
              <w:jc w:val="center"/>
            </w:pPr>
            <w:r>
              <w:rPr>
                <w:rFonts w:hint="eastAsia"/>
              </w:rPr>
              <w:t>88岁</w:t>
            </w:r>
          </w:p>
        </w:tc>
        <w:tc>
          <w:tcPr>
            <w:tcW w:w="714" w:type="pct"/>
            <w:vAlign w:val="center"/>
          </w:tcPr>
          <w:p w14:paraId="7B654AAB">
            <w:pPr>
              <w:pStyle w:val="12"/>
              <w:jc w:val="center"/>
            </w:pPr>
            <w:r>
              <w:rPr>
                <w:rFonts w:hint="eastAsia"/>
              </w:rPr>
              <w:t>96</w:t>
            </w:r>
          </w:p>
        </w:tc>
        <w:tc>
          <w:tcPr>
            <w:tcW w:w="714" w:type="pct"/>
            <w:vAlign w:val="center"/>
          </w:tcPr>
          <w:p w14:paraId="7825FF77">
            <w:pPr>
              <w:pStyle w:val="12"/>
              <w:jc w:val="center"/>
            </w:pPr>
            <w:r>
              <w:rPr>
                <w:rFonts w:hint="eastAsia"/>
              </w:rPr>
              <w:t>0.02</w:t>
            </w:r>
          </w:p>
        </w:tc>
        <w:tc>
          <w:tcPr>
            <w:tcW w:w="715" w:type="pct"/>
            <w:vAlign w:val="center"/>
          </w:tcPr>
          <w:p w14:paraId="76528D93">
            <w:pPr>
              <w:pStyle w:val="12"/>
              <w:jc w:val="center"/>
            </w:pPr>
            <w:r>
              <w:rPr>
                <w:rFonts w:hint="eastAsia"/>
              </w:rPr>
              <w:t>17.07</w:t>
            </w:r>
          </w:p>
        </w:tc>
        <w:tc>
          <w:tcPr>
            <w:tcW w:w="715" w:type="pct"/>
            <w:vAlign w:val="center"/>
          </w:tcPr>
          <w:p w14:paraId="648A104D">
            <w:pPr>
              <w:pStyle w:val="12"/>
              <w:jc w:val="center"/>
            </w:pPr>
            <w:r>
              <w:rPr>
                <w:rFonts w:hint="eastAsia"/>
              </w:rPr>
              <w:t>160</w:t>
            </w:r>
          </w:p>
        </w:tc>
        <w:tc>
          <w:tcPr>
            <w:tcW w:w="715" w:type="pct"/>
            <w:vAlign w:val="center"/>
          </w:tcPr>
          <w:p w14:paraId="7657D514">
            <w:pPr>
              <w:pStyle w:val="12"/>
              <w:jc w:val="center"/>
            </w:pPr>
            <w:r>
              <w:rPr>
                <w:rFonts w:hint="eastAsia"/>
              </w:rPr>
              <w:t>0.04</w:t>
            </w:r>
          </w:p>
        </w:tc>
        <w:tc>
          <w:tcPr>
            <w:tcW w:w="715" w:type="pct"/>
            <w:vAlign w:val="center"/>
          </w:tcPr>
          <w:p w14:paraId="28812467">
            <w:pPr>
              <w:pStyle w:val="12"/>
              <w:jc w:val="center"/>
            </w:pPr>
            <w:r>
              <w:rPr>
                <w:rFonts w:hint="eastAsia"/>
              </w:rPr>
              <w:t>25.98</w:t>
            </w:r>
          </w:p>
        </w:tc>
      </w:tr>
      <w:tr w14:paraId="08C1CB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BF609C3">
            <w:pPr>
              <w:pStyle w:val="12"/>
              <w:jc w:val="center"/>
            </w:pPr>
            <w:r>
              <w:rPr>
                <w:rFonts w:hint="eastAsia"/>
              </w:rPr>
              <w:t>89岁</w:t>
            </w:r>
          </w:p>
        </w:tc>
        <w:tc>
          <w:tcPr>
            <w:tcW w:w="714" w:type="pct"/>
            <w:vAlign w:val="center"/>
          </w:tcPr>
          <w:p w14:paraId="7F6CEA8A">
            <w:pPr>
              <w:pStyle w:val="12"/>
              <w:jc w:val="center"/>
            </w:pPr>
            <w:r>
              <w:rPr>
                <w:rFonts w:hint="eastAsia"/>
              </w:rPr>
              <w:t>77</w:t>
            </w:r>
          </w:p>
        </w:tc>
        <w:tc>
          <w:tcPr>
            <w:tcW w:w="714" w:type="pct"/>
            <w:vAlign w:val="center"/>
          </w:tcPr>
          <w:p w14:paraId="14D63EB9">
            <w:pPr>
              <w:pStyle w:val="12"/>
              <w:jc w:val="center"/>
            </w:pPr>
            <w:r>
              <w:rPr>
                <w:rFonts w:hint="eastAsia"/>
              </w:rPr>
              <w:t>0.02</w:t>
            </w:r>
          </w:p>
        </w:tc>
        <w:tc>
          <w:tcPr>
            <w:tcW w:w="715" w:type="pct"/>
            <w:vAlign w:val="center"/>
          </w:tcPr>
          <w:p w14:paraId="5AE9A667">
            <w:pPr>
              <w:pStyle w:val="12"/>
              <w:jc w:val="center"/>
            </w:pPr>
            <w:r>
              <w:rPr>
                <w:rFonts w:hint="eastAsia"/>
              </w:rPr>
              <w:t>18.46</w:t>
            </w:r>
          </w:p>
        </w:tc>
        <w:tc>
          <w:tcPr>
            <w:tcW w:w="715" w:type="pct"/>
            <w:vAlign w:val="center"/>
          </w:tcPr>
          <w:p w14:paraId="0FC98B5C">
            <w:pPr>
              <w:pStyle w:val="12"/>
              <w:jc w:val="center"/>
            </w:pPr>
            <w:r>
              <w:rPr>
                <w:rFonts w:hint="eastAsia"/>
              </w:rPr>
              <w:t>113</w:t>
            </w:r>
          </w:p>
        </w:tc>
        <w:tc>
          <w:tcPr>
            <w:tcW w:w="715" w:type="pct"/>
            <w:vAlign w:val="center"/>
          </w:tcPr>
          <w:p w14:paraId="5A20B136">
            <w:pPr>
              <w:pStyle w:val="12"/>
              <w:jc w:val="center"/>
            </w:pPr>
            <w:r>
              <w:rPr>
                <w:rFonts w:hint="eastAsia"/>
              </w:rPr>
              <w:t>0.03</w:t>
            </w:r>
          </w:p>
        </w:tc>
        <w:tc>
          <w:tcPr>
            <w:tcW w:w="715" w:type="pct"/>
            <w:vAlign w:val="center"/>
          </w:tcPr>
          <w:p w14:paraId="25BC639D">
            <w:pPr>
              <w:pStyle w:val="12"/>
              <w:jc w:val="center"/>
            </w:pPr>
            <w:r>
              <w:rPr>
                <w:rFonts w:hint="eastAsia"/>
              </w:rPr>
              <w:t>24.18</w:t>
            </w:r>
          </w:p>
        </w:tc>
      </w:tr>
      <w:tr w14:paraId="6BEDDB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2DA6CC83">
            <w:pPr>
              <w:pStyle w:val="12"/>
              <w:jc w:val="center"/>
            </w:pPr>
            <w:r>
              <w:rPr>
                <w:rFonts w:hint="eastAsia"/>
              </w:rPr>
              <w:t>90岁~94岁</w:t>
            </w:r>
          </w:p>
        </w:tc>
        <w:tc>
          <w:tcPr>
            <w:tcW w:w="714" w:type="pct"/>
            <w:vAlign w:val="center"/>
          </w:tcPr>
          <w:p w14:paraId="1E84BD0D">
            <w:pPr>
              <w:pStyle w:val="12"/>
              <w:jc w:val="center"/>
            </w:pPr>
            <w:r>
              <w:rPr>
                <w:rFonts w:hint="eastAsia"/>
              </w:rPr>
              <w:t>90</w:t>
            </w:r>
          </w:p>
        </w:tc>
        <w:tc>
          <w:tcPr>
            <w:tcW w:w="714" w:type="pct"/>
            <w:vAlign w:val="center"/>
          </w:tcPr>
          <w:p w14:paraId="09196A45">
            <w:pPr>
              <w:pStyle w:val="12"/>
              <w:jc w:val="center"/>
            </w:pPr>
            <w:r>
              <w:rPr>
                <w:rFonts w:hint="eastAsia"/>
              </w:rPr>
              <w:t>0.01</w:t>
            </w:r>
          </w:p>
        </w:tc>
        <w:tc>
          <w:tcPr>
            <w:tcW w:w="715" w:type="pct"/>
            <w:vAlign w:val="center"/>
          </w:tcPr>
          <w:p w14:paraId="45025982">
            <w:pPr>
              <w:pStyle w:val="12"/>
              <w:jc w:val="center"/>
            </w:pPr>
            <w:r>
              <w:rPr>
                <w:rFonts w:hint="eastAsia"/>
              </w:rPr>
              <w:t>16.88</w:t>
            </w:r>
          </w:p>
        </w:tc>
        <w:tc>
          <w:tcPr>
            <w:tcW w:w="715" w:type="pct"/>
            <w:vAlign w:val="center"/>
          </w:tcPr>
          <w:p w14:paraId="1DDE387E">
            <w:pPr>
              <w:pStyle w:val="12"/>
              <w:jc w:val="center"/>
            </w:pPr>
            <w:r>
              <w:rPr>
                <w:rFonts w:hint="eastAsia"/>
              </w:rPr>
              <w:t>256</w:t>
            </w:r>
          </w:p>
        </w:tc>
        <w:tc>
          <w:tcPr>
            <w:tcW w:w="715" w:type="pct"/>
            <w:vAlign w:val="center"/>
          </w:tcPr>
          <w:p w14:paraId="548C7290">
            <w:pPr>
              <w:pStyle w:val="12"/>
              <w:jc w:val="center"/>
            </w:pPr>
            <w:r>
              <w:rPr>
                <w:rFonts w:hint="eastAsia"/>
              </w:rPr>
              <w:t>0.07</w:t>
            </w:r>
          </w:p>
        </w:tc>
        <w:tc>
          <w:tcPr>
            <w:tcW w:w="715" w:type="pct"/>
            <w:vAlign w:val="center"/>
          </w:tcPr>
          <w:p w14:paraId="0B05750D">
            <w:pPr>
              <w:pStyle w:val="12"/>
              <w:jc w:val="center"/>
            </w:pPr>
            <w:r>
              <w:rPr>
                <w:rFonts w:hint="eastAsia"/>
              </w:rPr>
              <w:t>19.07</w:t>
            </w:r>
          </w:p>
        </w:tc>
      </w:tr>
      <w:tr w14:paraId="14ED5B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2BE3E8FA">
            <w:pPr>
              <w:pStyle w:val="12"/>
              <w:jc w:val="center"/>
            </w:pPr>
            <w:r>
              <w:rPr>
                <w:rFonts w:hint="eastAsia"/>
              </w:rPr>
              <w:t>90岁</w:t>
            </w:r>
          </w:p>
        </w:tc>
        <w:tc>
          <w:tcPr>
            <w:tcW w:w="714" w:type="pct"/>
            <w:vAlign w:val="center"/>
          </w:tcPr>
          <w:p w14:paraId="7D95D9A0">
            <w:pPr>
              <w:pStyle w:val="12"/>
              <w:jc w:val="center"/>
            </w:pPr>
            <w:r>
              <w:rPr>
                <w:rFonts w:hint="eastAsia"/>
              </w:rPr>
              <w:t>47</w:t>
            </w:r>
          </w:p>
        </w:tc>
        <w:tc>
          <w:tcPr>
            <w:tcW w:w="714" w:type="pct"/>
            <w:vAlign w:val="center"/>
          </w:tcPr>
          <w:p w14:paraId="5D41996A">
            <w:pPr>
              <w:pStyle w:val="12"/>
              <w:jc w:val="center"/>
            </w:pPr>
            <w:r>
              <w:rPr>
                <w:rFonts w:hint="eastAsia"/>
              </w:rPr>
              <w:t>—</w:t>
            </w:r>
          </w:p>
        </w:tc>
        <w:tc>
          <w:tcPr>
            <w:tcW w:w="715" w:type="pct"/>
            <w:vAlign w:val="center"/>
          </w:tcPr>
          <w:p w14:paraId="05E8426B">
            <w:pPr>
              <w:pStyle w:val="12"/>
              <w:jc w:val="center"/>
            </w:pPr>
            <w:r>
              <w:rPr>
                <w:rFonts w:hint="eastAsia"/>
              </w:rPr>
              <w:t>27.03</w:t>
            </w:r>
          </w:p>
        </w:tc>
        <w:tc>
          <w:tcPr>
            <w:tcW w:w="715" w:type="pct"/>
            <w:vAlign w:val="center"/>
          </w:tcPr>
          <w:p w14:paraId="3293C9DD">
            <w:pPr>
              <w:pStyle w:val="12"/>
              <w:jc w:val="center"/>
            </w:pPr>
            <w:r>
              <w:rPr>
                <w:rFonts w:hint="eastAsia"/>
              </w:rPr>
              <w:t>98</w:t>
            </w:r>
          </w:p>
        </w:tc>
        <w:tc>
          <w:tcPr>
            <w:tcW w:w="715" w:type="pct"/>
            <w:vAlign w:val="center"/>
          </w:tcPr>
          <w:p w14:paraId="1C7B3D3C">
            <w:pPr>
              <w:pStyle w:val="12"/>
              <w:jc w:val="center"/>
            </w:pPr>
            <w:r>
              <w:rPr>
                <w:rFonts w:hint="eastAsia"/>
              </w:rPr>
              <w:t>0.03</w:t>
            </w:r>
          </w:p>
        </w:tc>
        <w:tc>
          <w:tcPr>
            <w:tcW w:w="715" w:type="pct"/>
            <w:vAlign w:val="center"/>
          </w:tcPr>
          <w:p w14:paraId="7B03081B">
            <w:pPr>
              <w:pStyle w:val="12"/>
              <w:jc w:val="center"/>
            </w:pPr>
            <w:r>
              <w:rPr>
                <w:rFonts w:hint="eastAsia"/>
              </w:rPr>
              <w:t>18.07</w:t>
            </w:r>
          </w:p>
        </w:tc>
      </w:tr>
      <w:tr w14:paraId="5F5CB3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17F46FFB">
            <w:pPr>
              <w:pStyle w:val="12"/>
              <w:jc w:val="center"/>
            </w:pPr>
            <w:r>
              <w:rPr>
                <w:rFonts w:hint="eastAsia"/>
              </w:rPr>
              <w:t>91岁</w:t>
            </w:r>
          </w:p>
        </w:tc>
        <w:tc>
          <w:tcPr>
            <w:tcW w:w="714" w:type="pct"/>
            <w:vAlign w:val="center"/>
          </w:tcPr>
          <w:p w14:paraId="61141CDD">
            <w:pPr>
              <w:pStyle w:val="12"/>
              <w:jc w:val="center"/>
            </w:pPr>
            <w:r>
              <w:rPr>
                <w:rFonts w:hint="eastAsia"/>
              </w:rPr>
              <w:t>15</w:t>
            </w:r>
          </w:p>
        </w:tc>
        <w:tc>
          <w:tcPr>
            <w:tcW w:w="714" w:type="pct"/>
            <w:vAlign w:val="center"/>
          </w:tcPr>
          <w:p w14:paraId="671248B4">
            <w:pPr>
              <w:pStyle w:val="12"/>
              <w:jc w:val="center"/>
            </w:pPr>
            <w:r>
              <w:rPr>
                <w:rFonts w:hint="eastAsia"/>
              </w:rPr>
              <w:t>—</w:t>
            </w:r>
          </w:p>
        </w:tc>
        <w:tc>
          <w:tcPr>
            <w:tcW w:w="715" w:type="pct"/>
            <w:vAlign w:val="center"/>
          </w:tcPr>
          <w:p w14:paraId="71A4F957">
            <w:pPr>
              <w:pStyle w:val="12"/>
              <w:jc w:val="center"/>
            </w:pPr>
            <w:r>
              <w:rPr>
                <w:rFonts w:hint="eastAsia"/>
              </w:rPr>
              <w:t>—</w:t>
            </w:r>
          </w:p>
        </w:tc>
        <w:tc>
          <w:tcPr>
            <w:tcW w:w="715" w:type="pct"/>
            <w:vAlign w:val="center"/>
          </w:tcPr>
          <w:p w14:paraId="45D39621">
            <w:pPr>
              <w:pStyle w:val="12"/>
              <w:jc w:val="center"/>
            </w:pPr>
            <w:r>
              <w:rPr>
                <w:rFonts w:hint="eastAsia"/>
              </w:rPr>
              <w:t>53</w:t>
            </w:r>
          </w:p>
        </w:tc>
        <w:tc>
          <w:tcPr>
            <w:tcW w:w="715" w:type="pct"/>
            <w:vAlign w:val="center"/>
          </w:tcPr>
          <w:p w14:paraId="4C5E57D2">
            <w:pPr>
              <w:pStyle w:val="12"/>
              <w:jc w:val="center"/>
            </w:pPr>
            <w:r>
              <w:rPr>
                <w:rFonts w:hint="eastAsia"/>
              </w:rPr>
              <w:t>0.01</w:t>
            </w:r>
          </w:p>
        </w:tc>
        <w:tc>
          <w:tcPr>
            <w:tcW w:w="715" w:type="pct"/>
            <w:vAlign w:val="center"/>
          </w:tcPr>
          <w:p w14:paraId="0B7751D9">
            <w:pPr>
              <w:pStyle w:val="12"/>
              <w:jc w:val="center"/>
            </w:pPr>
            <w:r>
              <w:rPr>
                <w:rFonts w:hint="eastAsia"/>
              </w:rPr>
              <w:t>12.77</w:t>
            </w:r>
          </w:p>
        </w:tc>
      </w:tr>
      <w:tr w14:paraId="4B5538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23FFBEFD">
            <w:pPr>
              <w:pStyle w:val="12"/>
              <w:jc w:val="center"/>
            </w:pPr>
            <w:r>
              <w:rPr>
                <w:rFonts w:hint="eastAsia"/>
              </w:rPr>
              <w:t>92岁</w:t>
            </w:r>
          </w:p>
        </w:tc>
        <w:tc>
          <w:tcPr>
            <w:tcW w:w="714" w:type="pct"/>
            <w:vAlign w:val="center"/>
          </w:tcPr>
          <w:p w14:paraId="177B22FA">
            <w:pPr>
              <w:pStyle w:val="12"/>
              <w:jc w:val="center"/>
            </w:pPr>
            <w:r>
              <w:rPr>
                <w:rFonts w:hint="eastAsia"/>
              </w:rPr>
              <w:t>13</w:t>
            </w:r>
          </w:p>
        </w:tc>
        <w:tc>
          <w:tcPr>
            <w:tcW w:w="714" w:type="pct"/>
            <w:vAlign w:val="center"/>
          </w:tcPr>
          <w:p w14:paraId="221091D5">
            <w:pPr>
              <w:pStyle w:val="12"/>
              <w:jc w:val="center"/>
            </w:pPr>
            <w:r>
              <w:rPr>
                <w:rFonts w:hint="eastAsia"/>
              </w:rPr>
              <w:t>—</w:t>
            </w:r>
          </w:p>
        </w:tc>
        <w:tc>
          <w:tcPr>
            <w:tcW w:w="715" w:type="pct"/>
            <w:vAlign w:val="center"/>
          </w:tcPr>
          <w:p w14:paraId="16BEB90E">
            <w:pPr>
              <w:pStyle w:val="12"/>
              <w:jc w:val="center"/>
            </w:pPr>
            <w:r>
              <w:rPr>
                <w:rFonts w:hint="eastAsia"/>
              </w:rPr>
              <w:t>—</w:t>
            </w:r>
          </w:p>
        </w:tc>
        <w:tc>
          <w:tcPr>
            <w:tcW w:w="715" w:type="pct"/>
            <w:vAlign w:val="center"/>
          </w:tcPr>
          <w:p w14:paraId="054F492D">
            <w:pPr>
              <w:pStyle w:val="12"/>
              <w:jc w:val="center"/>
            </w:pPr>
            <w:r>
              <w:rPr>
                <w:rFonts w:hint="eastAsia"/>
              </w:rPr>
              <w:t>55</w:t>
            </w:r>
          </w:p>
        </w:tc>
        <w:tc>
          <w:tcPr>
            <w:tcW w:w="715" w:type="pct"/>
            <w:vAlign w:val="center"/>
          </w:tcPr>
          <w:p w14:paraId="1C1ED912">
            <w:pPr>
              <w:pStyle w:val="12"/>
              <w:jc w:val="center"/>
            </w:pPr>
            <w:r>
              <w:rPr>
                <w:rFonts w:hint="eastAsia"/>
              </w:rPr>
              <w:t>0.01</w:t>
            </w:r>
          </w:p>
        </w:tc>
        <w:tc>
          <w:tcPr>
            <w:tcW w:w="715" w:type="pct"/>
            <w:vAlign w:val="center"/>
          </w:tcPr>
          <w:p w14:paraId="5B5D8AF0">
            <w:pPr>
              <w:pStyle w:val="12"/>
              <w:jc w:val="center"/>
            </w:pPr>
            <w:r>
              <w:rPr>
                <w:rFonts w:hint="eastAsia"/>
              </w:rPr>
              <w:t>19.57</w:t>
            </w:r>
          </w:p>
        </w:tc>
      </w:tr>
      <w:tr w14:paraId="2123A8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7A58621E">
            <w:pPr>
              <w:pStyle w:val="12"/>
              <w:jc w:val="center"/>
            </w:pPr>
            <w:r>
              <w:rPr>
                <w:rFonts w:hint="eastAsia"/>
              </w:rPr>
              <w:t>93岁</w:t>
            </w:r>
          </w:p>
        </w:tc>
        <w:tc>
          <w:tcPr>
            <w:tcW w:w="714" w:type="pct"/>
            <w:vAlign w:val="center"/>
          </w:tcPr>
          <w:p w14:paraId="050FFF29">
            <w:pPr>
              <w:pStyle w:val="12"/>
              <w:jc w:val="center"/>
            </w:pPr>
            <w:r>
              <w:rPr>
                <w:rFonts w:hint="eastAsia"/>
              </w:rPr>
              <w:t>9</w:t>
            </w:r>
          </w:p>
        </w:tc>
        <w:tc>
          <w:tcPr>
            <w:tcW w:w="714" w:type="pct"/>
            <w:vAlign w:val="center"/>
          </w:tcPr>
          <w:p w14:paraId="7AD26541">
            <w:pPr>
              <w:pStyle w:val="12"/>
              <w:jc w:val="center"/>
            </w:pPr>
            <w:r>
              <w:rPr>
                <w:rFonts w:hint="eastAsia"/>
              </w:rPr>
              <w:t>—</w:t>
            </w:r>
          </w:p>
        </w:tc>
        <w:tc>
          <w:tcPr>
            <w:tcW w:w="715" w:type="pct"/>
            <w:vAlign w:val="center"/>
          </w:tcPr>
          <w:p w14:paraId="52A2FA71">
            <w:pPr>
              <w:pStyle w:val="12"/>
              <w:jc w:val="center"/>
            </w:pPr>
            <w:r>
              <w:rPr>
                <w:rFonts w:hint="eastAsia"/>
              </w:rPr>
              <w:t>12.50</w:t>
            </w:r>
          </w:p>
        </w:tc>
        <w:tc>
          <w:tcPr>
            <w:tcW w:w="715" w:type="pct"/>
            <w:vAlign w:val="center"/>
          </w:tcPr>
          <w:p w14:paraId="3EA09522">
            <w:pPr>
              <w:pStyle w:val="12"/>
              <w:jc w:val="center"/>
            </w:pPr>
            <w:r>
              <w:rPr>
                <w:rFonts w:hint="eastAsia"/>
              </w:rPr>
              <w:t>36</w:t>
            </w:r>
          </w:p>
        </w:tc>
        <w:tc>
          <w:tcPr>
            <w:tcW w:w="715" w:type="pct"/>
            <w:vAlign w:val="center"/>
          </w:tcPr>
          <w:p w14:paraId="0985121C">
            <w:pPr>
              <w:pStyle w:val="12"/>
              <w:jc w:val="center"/>
            </w:pPr>
            <w:r>
              <w:rPr>
                <w:rFonts w:hint="eastAsia"/>
              </w:rPr>
              <w:t>0.01</w:t>
            </w:r>
          </w:p>
        </w:tc>
        <w:tc>
          <w:tcPr>
            <w:tcW w:w="715" w:type="pct"/>
            <w:vAlign w:val="center"/>
          </w:tcPr>
          <w:p w14:paraId="142E2D68">
            <w:pPr>
              <w:pStyle w:val="12"/>
              <w:jc w:val="center"/>
            </w:pPr>
            <w:r>
              <w:rPr>
                <w:rFonts w:hint="eastAsia"/>
              </w:rPr>
              <w:t>33.33</w:t>
            </w:r>
          </w:p>
        </w:tc>
      </w:tr>
      <w:tr w14:paraId="33073D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2735BAAE">
            <w:pPr>
              <w:pStyle w:val="12"/>
              <w:jc w:val="center"/>
            </w:pPr>
            <w:r>
              <w:rPr>
                <w:rFonts w:hint="eastAsia"/>
              </w:rPr>
              <w:t>94岁</w:t>
            </w:r>
          </w:p>
        </w:tc>
        <w:tc>
          <w:tcPr>
            <w:tcW w:w="714" w:type="pct"/>
            <w:vAlign w:val="center"/>
          </w:tcPr>
          <w:p w14:paraId="17282FDA">
            <w:pPr>
              <w:pStyle w:val="12"/>
              <w:jc w:val="center"/>
            </w:pPr>
            <w:r>
              <w:rPr>
                <w:rFonts w:hint="eastAsia"/>
              </w:rPr>
              <w:t>6</w:t>
            </w:r>
          </w:p>
        </w:tc>
        <w:tc>
          <w:tcPr>
            <w:tcW w:w="714" w:type="pct"/>
            <w:vAlign w:val="center"/>
          </w:tcPr>
          <w:p w14:paraId="69AC6773">
            <w:pPr>
              <w:pStyle w:val="12"/>
              <w:jc w:val="center"/>
            </w:pPr>
            <w:r>
              <w:rPr>
                <w:rFonts w:hint="eastAsia"/>
              </w:rPr>
              <w:t>—</w:t>
            </w:r>
          </w:p>
        </w:tc>
        <w:tc>
          <w:tcPr>
            <w:tcW w:w="715" w:type="pct"/>
            <w:vAlign w:val="center"/>
          </w:tcPr>
          <w:p w14:paraId="32BA562A">
            <w:pPr>
              <w:pStyle w:val="12"/>
              <w:jc w:val="center"/>
            </w:pPr>
            <w:r>
              <w:rPr>
                <w:rFonts w:hint="eastAsia"/>
              </w:rPr>
              <w:t>50.00</w:t>
            </w:r>
          </w:p>
        </w:tc>
        <w:tc>
          <w:tcPr>
            <w:tcW w:w="715" w:type="pct"/>
            <w:vAlign w:val="center"/>
          </w:tcPr>
          <w:p w14:paraId="316D10AA">
            <w:pPr>
              <w:pStyle w:val="12"/>
              <w:jc w:val="center"/>
            </w:pPr>
            <w:r>
              <w:rPr>
                <w:rFonts w:hint="eastAsia"/>
              </w:rPr>
              <w:t>14</w:t>
            </w:r>
          </w:p>
        </w:tc>
        <w:tc>
          <w:tcPr>
            <w:tcW w:w="715" w:type="pct"/>
            <w:vAlign w:val="center"/>
          </w:tcPr>
          <w:p w14:paraId="67B83918">
            <w:pPr>
              <w:pStyle w:val="12"/>
              <w:jc w:val="center"/>
            </w:pPr>
            <w:r>
              <w:rPr>
                <w:rFonts w:hint="eastAsia"/>
              </w:rPr>
              <w:t>—</w:t>
            </w:r>
          </w:p>
        </w:tc>
        <w:tc>
          <w:tcPr>
            <w:tcW w:w="715" w:type="pct"/>
            <w:vAlign w:val="center"/>
          </w:tcPr>
          <w:p w14:paraId="053F29DE">
            <w:pPr>
              <w:pStyle w:val="12"/>
              <w:jc w:val="center"/>
            </w:pPr>
            <w:r>
              <w:rPr>
                <w:rFonts w:hint="eastAsia"/>
              </w:rPr>
              <w:t>16.67</w:t>
            </w:r>
          </w:p>
        </w:tc>
      </w:tr>
      <w:tr w14:paraId="2250E1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2F61FEE5">
            <w:pPr>
              <w:pStyle w:val="12"/>
              <w:jc w:val="center"/>
            </w:pPr>
            <w:r>
              <w:rPr>
                <w:rFonts w:hint="eastAsia"/>
              </w:rPr>
              <w:t>95岁~99岁</w:t>
            </w:r>
          </w:p>
        </w:tc>
        <w:tc>
          <w:tcPr>
            <w:tcW w:w="714" w:type="pct"/>
            <w:vAlign w:val="center"/>
          </w:tcPr>
          <w:p w14:paraId="2A01F5B2">
            <w:pPr>
              <w:pStyle w:val="12"/>
              <w:jc w:val="center"/>
            </w:pPr>
            <w:r>
              <w:rPr>
                <w:rFonts w:hint="eastAsia"/>
              </w:rPr>
              <w:t>21</w:t>
            </w:r>
          </w:p>
        </w:tc>
        <w:tc>
          <w:tcPr>
            <w:tcW w:w="714" w:type="pct"/>
            <w:vAlign w:val="center"/>
          </w:tcPr>
          <w:p w14:paraId="537818D2">
            <w:pPr>
              <w:pStyle w:val="12"/>
              <w:jc w:val="center"/>
            </w:pPr>
            <w:r>
              <w:rPr>
                <w:rFonts w:hint="eastAsia"/>
              </w:rPr>
              <w:t>—</w:t>
            </w:r>
          </w:p>
        </w:tc>
        <w:tc>
          <w:tcPr>
            <w:tcW w:w="715" w:type="pct"/>
            <w:vAlign w:val="center"/>
          </w:tcPr>
          <w:p w14:paraId="7EFA1F93">
            <w:pPr>
              <w:pStyle w:val="12"/>
              <w:jc w:val="center"/>
            </w:pPr>
            <w:r>
              <w:rPr>
                <w:rFonts w:hint="eastAsia"/>
              </w:rPr>
              <w:t>5.00</w:t>
            </w:r>
          </w:p>
        </w:tc>
        <w:tc>
          <w:tcPr>
            <w:tcW w:w="715" w:type="pct"/>
            <w:vAlign w:val="center"/>
          </w:tcPr>
          <w:p w14:paraId="789CA8C1">
            <w:pPr>
              <w:pStyle w:val="12"/>
              <w:jc w:val="center"/>
            </w:pPr>
            <w:r>
              <w:rPr>
                <w:rFonts w:hint="eastAsia"/>
              </w:rPr>
              <w:t>60</w:t>
            </w:r>
          </w:p>
        </w:tc>
        <w:tc>
          <w:tcPr>
            <w:tcW w:w="715" w:type="pct"/>
            <w:vAlign w:val="center"/>
          </w:tcPr>
          <w:p w14:paraId="005CF741">
            <w:pPr>
              <w:pStyle w:val="12"/>
              <w:jc w:val="center"/>
            </w:pPr>
            <w:r>
              <w:rPr>
                <w:rFonts w:hint="eastAsia"/>
              </w:rPr>
              <w:t>0.02</w:t>
            </w:r>
          </w:p>
        </w:tc>
        <w:tc>
          <w:tcPr>
            <w:tcW w:w="715" w:type="pct"/>
            <w:vAlign w:val="center"/>
          </w:tcPr>
          <w:p w14:paraId="1A7AC6B8">
            <w:pPr>
              <w:pStyle w:val="12"/>
              <w:jc w:val="center"/>
            </w:pPr>
            <w:r>
              <w:rPr>
                <w:rFonts w:hint="eastAsia"/>
              </w:rPr>
              <w:t>22.45</w:t>
            </w:r>
          </w:p>
        </w:tc>
      </w:tr>
      <w:tr w14:paraId="35B3C0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FBD8961">
            <w:pPr>
              <w:pStyle w:val="12"/>
              <w:jc w:val="center"/>
            </w:pPr>
            <w:r>
              <w:rPr>
                <w:rFonts w:hint="eastAsia"/>
              </w:rPr>
              <w:t>95岁</w:t>
            </w:r>
          </w:p>
        </w:tc>
        <w:tc>
          <w:tcPr>
            <w:tcW w:w="714" w:type="pct"/>
            <w:vAlign w:val="center"/>
          </w:tcPr>
          <w:p w14:paraId="6AA3548C">
            <w:pPr>
              <w:pStyle w:val="12"/>
              <w:jc w:val="center"/>
            </w:pPr>
            <w:r>
              <w:rPr>
                <w:rFonts w:hint="eastAsia"/>
              </w:rPr>
              <w:t>4</w:t>
            </w:r>
          </w:p>
        </w:tc>
        <w:tc>
          <w:tcPr>
            <w:tcW w:w="714" w:type="pct"/>
            <w:vAlign w:val="center"/>
          </w:tcPr>
          <w:p w14:paraId="3FDE18EE">
            <w:pPr>
              <w:pStyle w:val="12"/>
              <w:jc w:val="center"/>
            </w:pPr>
            <w:r>
              <w:rPr>
                <w:rFonts w:hint="eastAsia"/>
              </w:rPr>
              <w:t>—</w:t>
            </w:r>
          </w:p>
        </w:tc>
        <w:tc>
          <w:tcPr>
            <w:tcW w:w="715" w:type="pct"/>
            <w:vAlign w:val="center"/>
          </w:tcPr>
          <w:p w14:paraId="28387F9B">
            <w:pPr>
              <w:pStyle w:val="12"/>
              <w:jc w:val="center"/>
            </w:pPr>
            <w:r>
              <w:rPr>
                <w:rFonts w:hint="eastAsia"/>
              </w:rPr>
              <w:t>—</w:t>
            </w:r>
          </w:p>
        </w:tc>
        <w:tc>
          <w:tcPr>
            <w:tcW w:w="715" w:type="pct"/>
            <w:vAlign w:val="center"/>
          </w:tcPr>
          <w:p w14:paraId="1AC2AE60">
            <w:pPr>
              <w:pStyle w:val="12"/>
              <w:jc w:val="center"/>
            </w:pPr>
            <w:r>
              <w:rPr>
                <w:rFonts w:hint="eastAsia"/>
              </w:rPr>
              <w:t>24</w:t>
            </w:r>
          </w:p>
        </w:tc>
        <w:tc>
          <w:tcPr>
            <w:tcW w:w="715" w:type="pct"/>
            <w:vAlign w:val="center"/>
          </w:tcPr>
          <w:p w14:paraId="0654C91F">
            <w:pPr>
              <w:pStyle w:val="12"/>
              <w:jc w:val="center"/>
            </w:pPr>
            <w:r>
              <w:rPr>
                <w:rFonts w:hint="eastAsia"/>
              </w:rPr>
              <w:t>0.01</w:t>
            </w:r>
          </w:p>
        </w:tc>
        <w:tc>
          <w:tcPr>
            <w:tcW w:w="715" w:type="pct"/>
            <w:vAlign w:val="center"/>
          </w:tcPr>
          <w:p w14:paraId="0D40AF67">
            <w:pPr>
              <w:pStyle w:val="12"/>
              <w:jc w:val="center"/>
            </w:pPr>
            <w:r>
              <w:rPr>
                <w:rFonts w:hint="eastAsia"/>
              </w:rPr>
              <w:t>14.29</w:t>
            </w:r>
          </w:p>
        </w:tc>
      </w:tr>
      <w:tr w14:paraId="510721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0F719C59">
            <w:pPr>
              <w:pStyle w:val="12"/>
              <w:jc w:val="center"/>
            </w:pPr>
            <w:r>
              <w:rPr>
                <w:rFonts w:hint="eastAsia"/>
              </w:rPr>
              <w:t>96岁</w:t>
            </w:r>
          </w:p>
        </w:tc>
        <w:tc>
          <w:tcPr>
            <w:tcW w:w="714" w:type="pct"/>
            <w:vAlign w:val="center"/>
          </w:tcPr>
          <w:p w14:paraId="58002D87">
            <w:pPr>
              <w:pStyle w:val="12"/>
              <w:jc w:val="center"/>
            </w:pPr>
            <w:r>
              <w:rPr>
                <w:rFonts w:hint="eastAsia"/>
              </w:rPr>
              <w:t>8</w:t>
            </w:r>
          </w:p>
        </w:tc>
        <w:tc>
          <w:tcPr>
            <w:tcW w:w="714" w:type="pct"/>
            <w:vAlign w:val="center"/>
          </w:tcPr>
          <w:p w14:paraId="38A3D84C">
            <w:pPr>
              <w:pStyle w:val="12"/>
              <w:jc w:val="center"/>
            </w:pPr>
            <w:r>
              <w:rPr>
                <w:rFonts w:hint="eastAsia"/>
              </w:rPr>
              <w:t>—</w:t>
            </w:r>
          </w:p>
        </w:tc>
        <w:tc>
          <w:tcPr>
            <w:tcW w:w="715" w:type="pct"/>
            <w:vAlign w:val="center"/>
          </w:tcPr>
          <w:p w14:paraId="7CFEBB24">
            <w:pPr>
              <w:pStyle w:val="12"/>
              <w:jc w:val="center"/>
            </w:pPr>
            <w:r>
              <w:rPr>
                <w:rFonts w:hint="eastAsia"/>
              </w:rPr>
              <w:t>14.29</w:t>
            </w:r>
          </w:p>
        </w:tc>
        <w:tc>
          <w:tcPr>
            <w:tcW w:w="715" w:type="pct"/>
            <w:vAlign w:val="center"/>
          </w:tcPr>
          <w:p w14:paraId="5259B846">
            <w:pPr>
              <w:pStyle w:val="12"/>
              <w:jc w:val="center"/>
            </w:pPr>
            <w:r>
              <w:rPr>
                <w:rFonts w:hint="eastAsia"/>
              </w:rPr>
              <w:t>13</w:t>
            </w:r>
          </w:p>
        </w:tc>
        <w:tc>
          <w:tcPr>
            <w:tcW w:w="715" w:type="pct"/>
            <w:vAlign w:val="center"/>
          </w:tcPr>
          <w:p w14:paraId="3B5B792D">
            <w:pPr>
              <w:pStyle w:val="12"/>
              <w:jc w:val="center"/>
            </w:pPr>
            <w:r>
              <w:rPr>
                <w:rFonts w:hint="eastAsia"/>
              </w:rPr>
              <w:t>—</w:t>
            </w:r>
          </w:p>
        </w:tc>
        <w:tc>
          <w:tcPr>
            <w:tcW w:w="715" w:type="pct"/>
            <w:vAlign w:val="center"/>
          </w:tcPr>
          <w:p w14:paraId="4CAF5666">
            <w:pPr>
              <w:pStyle w:val="12"/>
              <w:jc w:val="center"/>
            </w:pPr>
            <w:r>
              <w:rPr>
                <w:rFonts w:hint="eastAsia"/>
              </w:rPr>
              <w:t>30.00</w:t>
            </w:r>
          </w:p>
        </w:tc>
      </w:tr>
      <w:tr w14:paraId="6E2003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294B9256">
            <w:pPr>
              <w:pStyle w:val="12"/>
              <w:jc w:val="center"/>
            </w:pPr>
            <w:r>
              <w:rPr>
                <w:rFonts w:hint="eastAsia"/>
              </w:rPr>
              <w:t>97岁</w:t>
            </w:r>
          </w:p>
        </w:tc>
        <w:tc>
          <w:tcPr>
            <w:tcW w:w="714" w:type="pct"/>
            <w:vAlign w:val="center"/>
          </w:tcPr>
          <w:p w14:paraId="740F6849">
            <w:pPr>
              <w:pStyle w:val="12"/>
              <w:jc w:val="center"/>
            </w:pPr>
            <w:r>
              <w:rPr>
                <w:rFonts w:hint="eastAsia"/>
              </w:rPr>
              <w:t>2</w:t>
            </w:r>
          </w:p>
        </w:tc>
        <w:tc>
          <w:tcPr>
            <w:tcW w:w="714" w:type="pct"/>
            <w:vAlign w:val="center"/>
          </w:tcPr>
          <w:p w14:paraId="612E5400">
            <w:pPr>
              <w:pStyle w:val="12"/>
              <w:jc w:val="center"/>
            </w:pPr>
            <w:r>
              <w:rPr>
                <w:rFonts w:hint="eastAsia"/>
              </w:rPr>
              <w:t>—</w:t>
            </w:r>
          </w:p>
        </w:tc>
        <w:tc>
          <w:tcPr>
            <w:tcW w:w="715" w:type="pct"/>
            <w:vAlign w:val="center"/>
          </w:tcPr>
          <w:p w14:paraId="59100458">
            <w:pPr>
              <w:pStyle w:val="12"/>
              <w:jc w:val="center"/>
            </w:pPr>
            <w:r>
              <w:rPr>
                <w:rFonts w:hint="eastAsia"/>
              </w:rPr>
              <w:t>—</w:t>
            </w:r>
          </w:p>
        </w:tc>
        <w:tc>
          <w:tcPr>
            <w:tcW w:w="715" w:type="pct"/>
            <w:vAlign w:val="center"/>
          </w:tcPr>
          <w:p w14:paraId="4628FB1D">
            <w:pPr>
              <w:pStyle w:val="12"/>
              <w:jc w:val="center"/>
            </w:pPr>
            <w:r>
              <w:rPr>
                <w:rFonts w:hint="eastAsia"/>
              </w:rPr>
              <w:t>11</w:t>
            </w:r>
          </w:p>
        </w:tc>
        <w:tc>
          <w:tcPr>
            <w:tcW w:w="715" w:type="pct"/>
            <w:vAlign w:val="center"/>
          </w:tcPr>
          <w:p w14:paraId="15BFF0E7">
            <w:pPr>
              <w:pStyle w:val="12"/>
              <w:jc w:val="center"/>
            </w:pPr>
            <w:r>
              <w:rPr>
                <w:rFonts w:hint="eastAsia"/>
              </w:rPr>
              <w:t>—</w:t>
            </w:r>
          </w:p>
        </w:tc>
        <w:tc>
          <w:tcPr>
            <w:tcW w:w="715" w:type="pct"/>
            <w:vAlign w:val="center"/>
          </w:tcPr>
          <w:p w14:paraId="6A0D4509">
            <w:pPr>
              <w:pStyle w:val="12"/>
              <w:jc w:val="center"/>
            </w:pPr>
            <w:r>
              <w:rPr>
                <w:rFonts w:hint="eastAsia"/>
              </w:rPr>
              <w:t>22.22</w:t>
            </w:r>
          </w:p>
        </w:tc>
      </w:tr>
      <w:tr w14:paraId="6398AF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2F26B45A">
            <w:pPr>
              <w:pStyle w:val="12"/>
              <w:jc w:val="center"/>
            </w:pPr>
            <w:r>
              <w:rPr>
                <w:rFonts w:hint="eastAsia"/>
              </w:rPr>
              <w:t>98岁</w:t>
            </w:r>
          </w:p>
        </w:tc>
        <w:tc>
          <w:tcPr>
            <w:tcW w:w="714" w:type="pct"/>
            <w:vAlign w:val="center"/>
          </w:tcPr>
          <w:p w14:paraId="1E2A32BD">
            <w:pPr>
              <w:pStyle w:val="12"/>
              <w:jc w:val="center"/>
            </w:pPr>
            <w:r>
              <w:rPr>
                <w:rFonts w:hint="eastAsia"/>
              </w:rPr>
              <w:t>4</w:t>
            </w:r>
          </w:p>
        </w:tc>
        <w:tc>
          <w:tcPr>
            <w:tcW w:w="714" w:type="pct"/>
            <w:vAlign w:val="center"/>
          </w:tcPr>
          <w:p w14:paraId="5A3EA1E7">
            <w:pPr>
              <w:pStyle w:val="12"/>
              <w:jc w:val="center"/>
            </w:pPr>
            <w:r>
              <w:rPr>
                <w:rFonts w:hint="eastAsia"/>
              </w:rPr>
              <w:t>—</w:t>
            </w:r>
          </w:p>
        </w:tc>
        <w:tc>
          <w:tcPr>
            <w:tcW w:w="715" w:type="pct"/>
            <w:vAlign w:val="center"/>
          </w:tcPr>
          <w:p w14:paraId="7785FB69">
            <w:pPr>
              <w:pStyle w:val="12"/>
              <w:jc w:val="center"/>
            </w:pPr>
            <w:r>
              <w:rPr>
                <w:rFonts w:hint="eastAsia"/>
              </w:rPr>
              <w:t>—</w:t>
            </w:r>
          </w:p>
        </w:tc>
        <w:tc>
          <w:tcPr>
            <w:tcW w:w="715" w:type="pct"/>
            <w:vAlign w:val="center"/>
          </w:tcPr>
          <w:p w14:paraId="7BB5F755">
            <w:pPr>
              <w:pStyle w:val="12"/>
              <w:jc w:val="center"/>
            </w:pPr>
            <w:r>
              <w:rPr>
                <w:rFonts w:hint="eastAsia"/>
              </w:rPr>
              <w:t>7</w:t>
            </w:r>
          </w:p>
        </w:tc>
        <w:tc>
          <w:tcPr>
            <w:tcW w:w="715" w:type="pct"/>
            <w:vAlign w:val="center"/>
          </w:tcPr>
          <w:p w14:paraId="2FF9AD8C">
            <w:pPr>
              <w:pStyle w:val="12"/>
              <w:jc w:val="center"/>
            </w:pPr>
            <w:r>
              <w:rPr>
                <w:rFonts w:hint="eastAsia"/>
              </w:rPr>
              <w:t>—</w:t>
            </w:r>
          </w:p>
        </w:tc>
        <w:tc>
          <w:tcPr>
            <w:tcW w:w="715" w:type="pct"/>
            <w:vAlign w:val="center"/>
          </w:tcPr>
          <w:p w14:paraId="3EF2269D">
            <w:pPr>
              <w:pStyle w:val="12"/>
              <w:jc w:val="center"/>
            </w:pPr>
            <w:r>
              <w:rPr>
                <w:rFonts w:hint="eastAsia"/>
              </w:rPr>
              <w:t>75.00</w:t>
            </w:r>
          </w:p>
        </w:tc>
      </w:tr>
      <w:tr w14:paraId="4ED17A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2E5F4248">
            <w:pPr>
              <w:pStyle w:val="12"/>
              <w:jc w:val="center"/>
            </w:pPr>
            <w:r>
              <w:rPr>
                <w:rFonts w:hint="eastAsia"/>
              </w:rPr>
              <w:t>99岁</w:t>
            </w:r>
          </w:p>
        </w:tc>
        <w:tc>
          <w:tcPr>
            <w:tcW w:w="714" w:type="pct"/>
            <w:vAlign w:val="center"/>
          </w:tcPr>
          <w:p w14:paraId="1612F7C4">
            <w:pPr>
              <w:pStyle w:val="12"/>
              <w:jc w:val="center"/>
            </w:pPr>
            <w:r>
              <w:rPr>
                <w:rFonts w:hint="eastAsia"/>
              </w:rPr>
              <w:t>3</w:t>
            </w:r>
          </w:p>
        </w:tc>
        <w:tc>
          <w:tcPr>
            <w:tcW w:w="714" w:type="pct"/>
            <w:vAlign w:val="center"/>
          </w:tcPr>
          <w:p w14:paraId="4C8AE9A5">
            <w:pPr>
              <w:pStyle w:val="12"/>
              <w:jc w:val="center"/>
            </w:pPr>
            <w:r>
              <w:rPr>
                <w:rFonts w:hint="eastAsia"/>
              </w:rPr>
              <w:t>—</w:t>
            </w:r>
          </w:p>
        </w:tc>
        <w:tc>
          <w:tcPr>
            <w:tcW w:w="715" w:type="pct"/>
            <w:vAlign w:val="center"/>
          </w:tcPr>
          <w:p w14:paraId="5FFFA935">
            <w:pPr>
              <w:pStyle w:val="12"/>
              <w:jc w:val="center"/>
            </w:pPr>
            <w:r>
              <w:rPr>
                <w:rFonts w:hint="eastAsia"/>
              </w:rPr>
              <w:t>—</w:t>
            </w:r>
          </w:p>
        </w:tc>
        <w:tc>
          <w:tcPr>
            <w:tcW w:w="715" w:type="pct"/>
            <w:vAlign w:val="center"/>
          </w:tcPr>
          <w:p w14:paraId="7DFBCD1E">
            <w:pPr>
              <w:pStyle w:val="12"/>
              <w:jc w:val="center"/>
            </w:pPr>
            <w:r>
              <w:rPr>
                <w:rFonts w:hint="eastAsia"/>
              </w:rPr>
              <w:t>5</w:t>
            </w:r>
          </w:p>
        </w:tc>
        <w:tc>
          <w:tcPr>
            <w:tcW w:w="715" w:type="pct"/>
            <w:vAlign w:val="center"/>
          </w:tcPr>
          <w:p w14:paraId="66DD8EBF">
            <w:pPr>
              <w:pStyle w:val="12"/>
              <w:jc w:val="center"/>
            </w:pPr>
            <w:r>
              <w:rPr>
                <w:rFonts w:hint="eastAsia"/>
              </w:rPr>
              <w:t>—</w:t>
            </w:r>
          </w:p>
        </w:tc>
        <w:tc>
          <w:tcPr>
            <w:tcW w:w="715" w:type="pct"/>
            <w:vAlign w:val="center"/>
          </w:tcPr>
          <w:p w14:paraId="5DD41AF7">
            <w:pPr>
              <w:pStyle w:val="12"/>
              <w:jc w:val="center"/>
            </w:pPr>
            <w:r>
              <w:rPr>
                <w:rFonts w:hint="eastAsia"/>
              </w:rPr>
              <w:t>—</w:t>
            </w:r>
          </w:p>
        </w:tc>
      </w:tr>
      <w:tr w14:paraId="5C364F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14:paraId="51DF7846">
            <w:pPr>
              <w:pStyle w:val="12"/>
              <w:jc w:val="center"/>
            </w:pPr>
            <w:r>
              <w:rPr>
                <w:rFonts w:hint="eastAsia"/>
              </w:rPr>
              <w:t>100岁以上</w:t>
            </w:r>
          </w:p>
        </w:tc>
        <w:tc>
          <w:tcPr>
            <w:tcW w:w="714" w:type="pct"/>
            <w:vAlign w:val="center"/>
          </w:tcPr>
          <w:p w14:paraId="025D7175">
            <w:pPr>
              <w:pStyle w:val="12"/>
              <w:jc w:val="center"/>
            </w:pPr>
            <w:r>
              <w:rPr>
                <w:rFonts w:hint="eastAsia"/>
              </w:rPr>
              <w:t>1</w:t>
            </w:r>
          </w:p>
        </w:tc>
        <w:tc>
          <w:tcPr>
            <w:tcW w:w="714" w:type="pct"/>
            <w:vAlign w:val="center"/>
          </w:tcPr>
          <w:p w14:paraId="41D5B819">
            <w:pPr>
              <w:pStyle w:val="12"/>
              <w:jc w:val="center"/>
            </w:pPr>
            <w:r>
              <w:rPr>
                <w:rFonts w:hint="eastAsia"/>
              </w:rPr>
              <w:t>—</w:t>
            </w:r>
          </w:p>
        </w:tc>
        <w:tc>
          <w:tcPr>
            <w:tcW w:w="715" w:type="pct"/>
            <w:vAlign w:val="center"/>
          </w:tcPr>
          <w:p w14:paraId="6F035D1D">
            <w:pPr>
              <w:pStyle w:val="12"/>
              <w:jc w:val="center"/>
            </w:pPr>
            <w:r>
              <w:rPr>
                <w:rFonts w:hint="eastAsia"/>
              </w:rPr>
              <w:t>—</w:t>
            </w:r>
          </w:p>
        </w:tc>
        <w:tc>
          <w:tcPr>
            <w:tcW w:w="715" w:type="pct"/>
            <w:vAlign w:val="center"/>
          </w:tcPr>
          <w:p w14:paraId="4A9E943B">
            <w:pPr>
              <w:pStyle w:val="12"/>
              <w:jc w:val="center"/>
            </w:pPr>
            <w:r>
              <w:rPr>
                <w:rFonts w:hint="eastAsia"/>
              </w:rPr>
              <w:t>4</w:t>
            </w:r>
          </w:p>
        </w:tc>
        <w:tc>
          <w:tcPr>
            <w:tcW w:w="715" w:type="pct"/>
            <w:vAlign w:val="center"/>
          </w:tcPr>
          <w:p w14:paraId="3EEBEC94">
            <w:pPr>
              <w:pStyle w:val="12"/>
              <w:jc w:val="center"/>
            </w:pPr>
            <w:r>
              <w:rPr>
                <w:rFonts w:hint="eastAsia"/>
              </w:rPr>
              <w:t>—</w:t>
            </w:r>
          </w:p>
        </w:tc>
        <w:tc>
          <w:tcPr>
            <w:tcW w:w="715" w:type="pct"/>
            <w:vAlign w:val="center"/>
          </w:tcPr>
          <w:p w14:paraId="2E78E818">
            <w:pPr>
              <w:pStyle w:val="12"/>
              <w:jc w:val="center"/>
            </w:pPr>
            <w:r>
              <w:rPr>
                <w:rFonts w:hint="eastAsia"/>
              </w:rPr>
              <w:t>—</w:t>
            </w:r>
          </w:p>
        </w:tc>
      </w:tr>
    </w:tbl>
    <w:p w14:paraId="72E23DF9">
      <w:pPr>
        <w:ind w:firstLine="422"/>
        <w:rPr>
          <w:rFonts w:ascii="宋体" w:hAnsi="宋体" w:cs="宋体"/>
          <w:b/>
        </w:rPr>
      </w:pPr>
      <w:r>
        <w:rPr>
          <w:rFonts w:hint="eastAsia" w:ascii="宋体" w:hAnsi="宋体" w:cs="宋体"/>
          <w:b/>
        </w:rPr>
        <w:t>说明：第五次人口普查的总人口为登记时常住人口，少于户籍人口450380人。</w:t>
      </w:r>
    </w:p>
    <w:p w14:paraId="657898F1">
      <w:pPr>
        <w:ind w:firstLine="422"/>
        <w:rPr>
          <w:rFonts w:ascii="宋体" w:hAnsi="宋体" w:cs="宋体"/>
        </w:rPr>
      </w:pPr>
      <w:r>
        <w:rPr>
          <w:rFonts w:hint="eastAsia" w:ascii="宋体" w:hAnsi="宋体" w:cs="宋体"/>
          <w:b/>
          <w:bCs/>
        </w:rPr>
        <w:t>（三）文化构成</w:t>
      </w:r>
    </w:p>
    <w:p w14:paraId="14BD380F">
      <w:pPr>
        <w:ind w:firstLine="422"/>
        <w:jc w:val="center"/>
        <w:rPr>
          <w:rFonts w:ascii="宋体" w:hAnsi="宋体" w:cs="宋体"/>
          <w:b/>
          <w:bCs/>
        </w:rPr>
      </w:pPr>
      <w:r>
        <w:rPr>
          <w:rFonts w:hint="eastAsia" w:ascii="宋体" w:hAnsi="宋体" w:cs="宋体"/>
          <w:b/>
          <w:bCs/>
        </w:rPr>
        <w:t>南雄市新中国成立前与新中国成立后二次人口普查的人口文化构成情况</w:t>
      </w:r>
    </w:p>
    <w:p w14:paraId="21FDC152">
      <w:pPr>
        <w:ind w:firstLine="0" w:firstLineChars="0"/>
        <w:rPr>
          <w:rFonts w:ascii="宋体" w:hAnsi="宋体" w:cs="宋体"/>
          <w:b/>
          <w:bCs/>
        </w:rPr>
      </w:pPr>
      <w:r>
        <w:rPr>
          <w:rFonts w:hint="eastAsia" w:ascii="宋体" w:hAnsi="宋体" w:cs="宋体"/>
          <w:b/>
          <w:bCs/>
        </w:rPr>
        <w:t>表6-6</w:t>
      </w:r>
    </w:p>
    <w:p w14:paraId="3059215D">
      <w:pPr>
        <w:ind w:firstLine="422"/>
        <w:jc w:val="right"/>
        <w:rPr>
          <w:rFonts w:ascii="宋体" w:hAnsi="宋体" w:cs="宋体"/>
          <w:b/>
          <w:bCs/>
        </w:rPr>
      </w:pPr>
      <w:r>
        <w:rPr>
          <w:rFonts w:hint="eastAsia" w:ascii="宋体" w:hAnsi="宋体" w:cs="宋体"/>
          <w:b/>
          <w:bCs/>
        </w:rPr>
        <w:t>单位：人、%</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96"/>
        <w:gridCol w:w="996"/>
        <w:gridCol w:w="996"/>
        <w:gridCol w:w="996"/>
        <w:gridCol w:w="996"/>
        <w:gridCol w:w="996"/>
        <w:gridCol w:w="996"/>
        <w:gridCol w:w="996"/>
        <w:gridCol w:w="997"/>
        <w:gridCol w:w="997"/>
      </w:tblGrid>
      <w:tr w14:paraId="1A08A5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pct"/>
            <w:gridSpan w:val="2"/>
            <w:vMerge w:val="restart"/>
            <w:vAlign w:val="center"/>
          </w:tcPr>
          <w:p w14:paraId="5238041B">
            <w:pPr>
              <w:pStyle w:val="12"/>
              <w:jc w:val="center"/>
              <w:rPr>
                <w:rFonts w:ascii="宋体" w:hAnsi="宋体"/>
                <w:b/>
                <w:szCs w:val="21"/>
              </w:rPr>
            </w:pPr>
            <w:r>
              <w:rPr>
                <w:rFonts w:hint="eastAsia" w:ascii="宋体" w:hAnsi="宋体"/>
                <w:b/>
                <w:szCs w:val="21"/>
              </w:rPr>
              <w:t>项    目</w:t>
            </w:r>
          </w:p>
        </w:tc>
        <w:tc>
          <w:tcPr>
            <w:tcW w:w="999" w:type="pct"/>
            <w:gridSpan w:val="2"/>
            <w:vAlign w:val="center"/>
          </w:tcPr>
          <w:p w14:paraId="1F668DEC">
            <w:pPr>
              <w:pStyle w:val="12"/>
              <w:jc w:val="center"/>
              <w:rPr>
                <w:rFonts w:ascii="宋体" w:hAnsi="宋体"/>
                <w:b/>
                <w:szCs w:val="21"/>
              </w:rPr>
            </w:pPr>
            <w:r>
              <w:rPr>
                <w:rFonts w:hint="eastAsia" w:ascii="宋体" w:hAnsi="宋体"/>
                <w:b/>
                <w:szCs w:val="21"/>
              </w:rPr>
              <w:t>新中国成立前（1945年）</w:t>
            </w:r>
          </w:p>
        </w:tc>
        <w:tc>
          <w:tcPr>
            <w:tcW w:w="1000" w:type="pct"/>
            <w:gridSpan w:val="2"/>
            <w:vAlign w:val="center"/>
          </w:tcPr>
          <w:p w14:paraId="755E74B2">
            <w:pPr>
              <w:pStyle w:val="12"/>
              <w:jc w:val="center"/>
              <w:rPr>
                <w:rFonts w:ascii="宋体" w:hAnsi="宋体"/>
                <w:b/>
                <w:szCs w:val="21"/>
              </w:rPr>
            </w:pPr>
            <w:r>
              <w:rPr>
                <w:rFonts w:hint="eastAsia" w:ascii="宋体" w:hAnsi="宋体"/>
                <w:b/>
                <w:szCs w:val="21"/>
              </w:rPr>
              <w:t>第二次人口普查（1964年6月）</w:t>
            </w:r>
          </w:p>
        </w:tc>
        <w:tc>
          <w:tcPr>
            <w:tcW w:w="1000" w:type="pct"/>
            <w:gridSpan w:val="2"/>
            <w:vAlign w:val="center"/>
          </w:tcPr>
          <w:p w14:paraId="49C094F3">
            <w:pPr>
              <w:pStyle w:val="12"/>
              <w:jc w:val="center"/>
              <w:rPr>
                <w:rFonts w:ascii="宋体" w:hAnsi="宋体"/>
                <w:b/>
                <w:szCs w:val="21"/>
              </w:rPr>
            </w:pPr>
            <w:r>
              <w:rPr>
                <w:rFonts w:hint="eastAsia" w:ascii="宋体" w:hAnsi="宋体"/>
                <w:b/>
                <w:szCs w:val="21"/>
              </w:rPr>
              <w:t>第三次人口普查（1982年7月）</w:t>
            </w:r>
          </w:p>
        </w:tc>
        <w:tc>
          <w:tcPr>
            <w:tcW w:w="1000" w:type="pct"/>
            <w:gridSpan w:val="2"/>
            <w:vAlign w:val="center"/>
          </w:tcPr>
          <w:p w14:paraId="4696628E">
            <w:pPr>
              <w:pStyle w:val="12"/>
              <w:jc w:val="center"/>
              <w:rPr>
                <w:rFonts w:ascii="宋体" w:hAnsi="宋体"/>
                <w:b/>
                <w:szCs w:val="21"/>
              </w:rPr>
            </w:pPr>
            <w:r>
              <w:rPr>
                <w:rFonts w:hint="eastAsia" w:ascii="宋体" w:hAnsi="宋体"/>
                <w:b/>
                <w:szCs w:val="21"/>
              </w:rPr>
              <w:t>1987年</w:t>
            </w:r>
          </w:p>
        </w:tc>
      </w:tr>
      <w:tr w14:paraId="2B79A9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pct"/>
            <w:gridSpan w:val="2"/>
            <w:vMerge w:val="continue"/>
            <w:vAlign w:val="center"/>
          </w:tcPr>
          <w:p w14:paraId="1E9D7568">
            <w:pPr>
              <w:pStyle w:val="12"/>
              <w:jc w:val="center"/>
              <w:rPr>
                <w:rFonts w:ascii="宋体" w:hAnsi="宋体"/>
                <w:b/>
                <w:szCs w:val="21"/>
              </w:rPr>
            </w:pPr>
          </w:p>
        </w:tc>
        <w:tc>
          <w:tcPr>
            <w:tcW w:w="500" w:type="pct"/>
            <w:vAlign w:val="center"/>
          </w:tcPr>
          <w:p w14:paraId="65E6B0F9">
            <w:pPr>
              <w:pStyle w:val="12"/>
              <w:jc w:val="center"/>
              <w:rPr>
                <w:rFonts w:ascii="宋体" w:hAnsi="宋体"/>
                <w:b/>
                <w:szCs w:val="21"/>
              </w:rPr>
            </w:pPr>
            <w:r>
              <w:rPr>
                <w:rFonts w:hint="eastAsia" w:ascii="宋体" w:hAnsi="宋体"/>
                <w:b/>
                <w:szCs w:val="21"/>
              </w:rPr>
              <w:t>人数</w:t>
            </w:r>
          </w:p>
        </w:tc>
        <w:tc>
          <w:tcPr>
            <w:tcW w:w="500" w:type="pct"/>
            <w:vAlign w:val="center"/>
          </w:tcPr>
          <w:p w14:paraId="4BA9C6DD">
            <w:pPr>
              <w:pStyle w:val="12"/>
              <w:jc w:val="center"/>
              <w:rPr>
                <w:rFonts w:ascii="宋体" w:hAnsi="宋体"/>
                <w:b/>
                <w:szCs w:val="21"/>
              </w:rPr>
            </w:pPr>
            <w:r>
              <w:rPr>
                <w:rFonts w:hint="eastAsia" w:ascii="宋体" w:hAnsi="宋体"/>
                <w:b/>
                <w:szCs w:val="21"/>
              </w:rPr>
              <w:t>占比</w:t>
            </w:r>
          </w:p>
        </w:tc>
        <w:tc>
          <w:tcPr>
            <w:tcW w:w="500" w:type="pct"/>
            <w:vAlign w:val="center"/>
          </w:tcPr>
          <w:p w14:paraId="51756793">
            <w:pPr>
              <w:pStyle w:val="12"/>
              <w:jc w:val="center"/>
              <w:rPr>
                <w:rFonts w:ascii="宋体" w:hAnsi="宋体"/>
                <w:b/>
                <w:szCs w:val="21"/>
              </w:rPr>
            </w:pPr>
            <w:r>
              <w:rPr>
                <w:rFonts w:hint="eastAsia" w:ascii="宋体" w:hAnsi="宋体"/>
                <w:b/>
                <w:szCs w:val="21"/>
              </w:rPr>
              <w:t>人数</w:t>
            </w:r>
          </w:p>
        </w:tc>
        <w:tc>
          <w:tcPr>
            <w:tcW w:w="500" w:type="pct"/>
            <w:vAlign w:val="center"/>
          </w:tcPr>
          <w:p w14:paraId="59D77BD6">
            <w:pPr>
              <w:pStyle w:val="12"/>
              <w:jc w:val="center"/>
              <w:rPr>
                <w:rFonts w:ascii="宋体" w:hAnsi="宋体"/>
                <w:b/>
                <w:szCs w:val="21"/>
              </w:rPr>
            </w:pPr>
            <w:r>
              <w:rPr>
                <w:rFonts w:hint="eastAsia" w:ascii="宋体" w:hAnsi="宋体"/>
                <w:b/>
                <w:szCs w:val="21"/>
              </w:rPr>
              <w:t>占比</w:t>
            </w:r>
          </w:p>
        </w:tc>
        <w:tc>
          <w:tcPr>
            <w:tcW w:w="500" w:type="pct"/>
            <w:vAlign w:val="center"/>
          </w:tcPr>
          <w:p w14:paraId="1027C0D3">
            <w:pPr>
              <w:pStyle w:val="12"/>
              <w:jc w:val="center"/>
              <w:rPr>
                <w:rFonts w:ascii="宋体" w:hAnsi="宋体"/>
                <w:b/>
                <w:szCs w:val="21"/>
              </w:rPr>
            </w:pPr>
            <w:r>
              <w:rPr>
                <w:rFonts w:hint="eastAsia" w:ascii="宋体" w:hAnsi="宋体"/>
                <w:b/>
                <w:szCs w:val="21"/>
              </w:rPr>
              <w:t>人数</w:t>
            </w:r>
          </w:p>
        </w:tc>
        <w:tc>
          <w:tcPr>
            <w:tcW w:w="500" w:type="pct"/>
            <w:vAlign w:val="center"/>
          </w:tcPr>
          <w:p w14:paraId="659B2879">
            <w:pPr>
              <w:pStyle w:val="12"/>
              <w:jc w:val="center"/>
              <w:rPr>
                <w:rFonts w:ascii="宋体" w:hAnsi="宋体"/>
                <w:b/>
                <w:szCs w:val="21"/>
              </w:rPr>
            </w:pPr>
            <w:r>
              <w:rPr>
                <w:rFonts w:hint="eastAsia" w:ascii="宋体" w:hAnsi="宋体"/>
                <w:b/>
                <w:szCs w:val="21"/>
              </w:rPr>
              <w:t>占比</w:t>
            </w:r>
          </w:p>
        </w:tc>
        <w:tc>
          <w:tcPr>
            <w:tcW w:w="500" w:type="pct"/>
            <w:vAlign w:val="center"/>
          </w:tcPr>
          <w:p w14:paraId="1E232CCD">
            <w:pPr>
              <w:pStyle w:val="12"/>
              <w:jc w:val="center"/>
              <w:rPr>
                <w:rFonts w:ascii="宋体" w:hAnsi="宋体"/>
                <w:b/>
                <w:szCs w:val="21"/>
              </w:rPr>
            </w:pPr>
            <w:r>
              <w:rPr>
                <w:rFonts w:hint="eastAsia" w:ascii="宋体" w:hAnsi="宋体"/>
                <w:b/>
                <w:szCs w:val="21"/>
              </w:rPr>
              <w:t>人数</w:t>
            </w:r>
          </w:p>
        </w:tc>
        <w:tc>
          <w:tcPr>
            <w:tcW w:w="500" w:type="pct"/>
            <w:vAlign w:val="center"/>
          </w:tcPr>
          <w:p w14:paraId="6210B795">
            <w:pPr>
              <w:pStyle w:val="12"/>
              <w:jc w:val="center"/>
              <w:rPr>
                <w:rFonts w:ascii="宋体" w:hAnsi="宋体"/>
                <w:b/>
                <w:szCs w:val="21"/>
              </w:rPr>
            </w:pPr>
            <w:r>
              <w:rPr>
                <w:rFonts w:hint="eastAsia" w:ascii="宋体" w:hAnsi="宋体"/>
                <w:b/>
                <w:szCs w:val="21"/>
              </w:rPr>
              <w:t>占比</w:t>
            </w:r>
          </w:p>
        </w:tc>
      </w:tr>
      <w:tr w14:paraId="61FD83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pct"/>
            <w:gridSpan w:val="2"/>
            <w:vAlign w:val="center"/>
          </w:tcPr>
          <w:p w14:paraId="44802D45">
            <w:pPr>
              <w:pStyle w:val="12"/>
              <w:jc w:val="center"/>
              <w:rPr>
                <w:rFonts w:ascii="宋体" w:hAnsi="宋体"/>
                <w:szCs w:val="21"/>
              </w:rPr>
            </w:pPr>
            <w:r>
              <w:rPr>
                <w:rFonts w:hint="eastAsia" w:ascii="宋体" w:hAnsi="宋体"/>
                <w:szCs w:val="21"/>
              </w:rPr>
              <w:t>合  计</w:t>
            </w:r>
          </w:p>
        </w:tc>
        <w:tc>
          <w:tcPr>
            <w:tcW w:w="500" w:type="pct"/>
            <w:vAlign w:val="center"/>
          </w:tcPr>
          <w:p w14:paraId="1299B788">
            <w:pPr>
              <w:pStyle w:val="12"/>
              <w:jc w:val="center"/>
              <w:rPr>
                <w:rFonts w:ascii="宋体" w:hAnsi="宋体"/>
                <w:szCs w:val="21"/>
              </w:rPr>
            </w:pPr>
            <w:r>
              <w:rPr>
                <w:rFonts w:hint="eastAsia" w:ascii="宋体" w:hAnsi="宋体"/>
                <w:szCs w:val="21"/>
              </w:rPr>
              <w:t>202943</w:t>
            </w:r>
          </w:p>
        </w:tc>
        <w:tc>
          <w:tcPr>
            <w:tcW w:w="500" w:type="pct"/>
            <w:vAlign w:val="center"/>
          </w:tcPr>
          <w:p w14:paraId="7EFD91F9">
            <w:pPr>
              <w:pStyle w:val="12"/>
              <w:jc w:val="center"/>
              <w:rPr>
                <w:rFonts w:ascii="宋体" w:hAnsi="宋体"/>
                <w:szCs w:val="21"/>
              </w:rPr>
            </w:pPr>
            <w:r>
              <w:rPr>
                <w:rFonts w:hint="eastAsia" w:ascii="宋体" w:hAnsi="宋体"/>
                <w:szCs w:val="21"/>
              </w:rPr>
              <w:t>100</w:t>
            </w:r>
          </w:p>
        </w:tc>
        <w:tc>
          <w:tcPr>
            <w:tcW w:w="500" w:type="pct"/>
            <w:vAlign w:val="center"/>
          </w:tcPr>
          <w:p w14:paraId="128A5BF2">
            <w:pPr>
              <w:pStyle w:val="12"/>
              <w:jc w:val="center"/>
              <w:rPr>
                <w:rFonts w:ascii="宋体" w:hAnsi="宋体"/>
                <w:szCs w:val="21"/>
              </w:rPr>
            </w:pPr>
            <w:r>
              <w:rPr>
                <w:rFonts w:hint="eastAsia" w:ascii="宋体" w:hAnsi="宋体"/>
                <w:szCs w:val="21"/>
              </w:rPr>
              <w:t>257296</w:t>
            </w:r>
          </w:p>
        </w:tc>
        <w:tc>
          <w:tcPr>
            <w:tcW w:w="500" w:type="pct"/>
            <w:vAlign w:val="center"/>
          </w:tcPr>
          <w:p w14:paraId="76DC496D">
            <w:pPr>
              <w:pStyle w:val="12"/>
              <w:jc w:val="center"/>
              <w:rPr>
                <w:rFonts w:ascii="宋体" w:hAnsi="宋体"/>
                <w:szCs w:val="21"/>
              </w:rPr>
            </w:pPr>
            <w:r>
              <w:rPr>
                <w:rFonts w:hint="eastAsia" w:ascii="宋体" w:hAnsi="宋体"/>
                <w:szCs w:val="21"/>
              </w:rPr>
              <w:t>100</w:t>
            </w:r>
          </w:p>
        </w:tc>
        <w:tc>
          <w:tcPr>
            <w:tcW w:w="500" w:type="pct"/>
            <w:vAlign w:val="center"/>
          </w:tcPr>
          <w:p w14:paraId="24710A67">
            <w:pPr>
              <w:pStyle w:val="12"/>
              <w:jc w:val="center"/>
              <w:rPr>
                <w:rFonts w:ascii="宋体" w:hAnsi="宋体"/>
                <w:szCs w:val="21"/>
              </w:rPr>
            </w:pPr>
            <w:r>
              <w:rPr>
                <w:rFonts w:hint="eastAsia" w:ascii="宋体" w:hAnsi="宋体"/>
                <w:szCs w:val="21"/>
              </w:rPr>
              <w:t>396662</w:t>
            </w:r>
          </w:p>
        </w:tc>
        <w:tc>
          <w:tcPr>
            <w:tcW w:w="500" w:type="pct"/>
            <w:vAlign w:val="center"/>
          </w:tcPr>
          <w:p w14:paraId="352B862A">
            <w:pPr>
              <w:pStyle w:val="12"/>
              <w:jc w:val="center"/>
              <w:rPr>
                <w:rFonts w:ascii="宋体" w:hAnsi="宋体"/>
                <w:szCs w:val="21"/>
              </w:rPr>
            </w:pPr>
            <w:r>
              <w:rPr>
                <w:rFonts w:hint="eastAsia" w:ascii="宋体" w:hAnsi="宋体"/>
                <w:szCs w:val="21"/>
              </w:rPr>
              <w:t>100</w:t>
            </w:r>
          </w:p>
        </w:tc>
        <w:tc>
          <w:tcPr>
            <w:tcW w:w="500" w:type="pct"/>
            <w:vAlign w:val="center"/>
          </w:tcPr>
          <w:p w14:paraId="066CDB70">
            <w:pPr>
              <w:pStyle w:val="12"/>
              <w:jc w:val="center"/>
              <w:rPr>
                <w:rFonts w:ascii="宋体" w:hAnsi="宋体"/>
                <w:szCs w:val="21"/>
              </w:rPr>
            </w:pPr>
            <w:r>
              <w:rPr>
                <w:rFonts w:hint="eastAsia" w:ascii="宋体" w:hAnsi="宋体"/>
                <w:szCs w:val="21"/>
              </w:rPr>
              <w:t>418629</w:t>
            </w:r>
          </w:p>
        </w:tc>
        <w:tc>
          <w:tcPr>
            <w:tcW w:w="500" w:type="pct"/>
            <w:vAlign w:val="center"/>
          </w:tcPr>
          <w:p w14:paraId="278FDE3A">
            <w:pPr>
              <w:pStyle w:val="12"/>
              <w:jc w:val="center"/>
              <w:rPr>
                <w:rFonts w:ascii="宋体" w:hAnsi="宋体"/>
                <w:szCs w:val="21"/>
              </w:rPr>
            </w:pPr>
            <w:r>
              <w:rPr>
                <w:rFonts w:hint="eastAsia" w:ascii="宋体" w:hAnsi="宋体"/>
                <w:szCs w:val="21"/>
              </w:rPr>
              <w:t>100</w:t>
            </w:r>
          </w:p>
        </w:tc>
      </w:tr>
      <w:tr w14:paraId="04DAB4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 w:type="pct"/>
            <w:vMerge w:val="restart"/>
            <w:vAlign w:val="center"/>
          </w:tcPr>
          <w:p w14:paraId="38102062">
            <w:pPr>
              <w:pStyle w:val="12"/>
              <w:jc w:val="center"/>
              <w:rPr>
                <w:rFonts w:ascii="宋体" w:hAnsi="宋体"/>
                <w:szCs w:val="21"/>
              </w:rPr>
            </w:pPr>
            <w:r>
              <w:rPr>
                <w:rFonts w:hint="eastAsia" w:ascii="宋体" w:hAnsi="宋体"/>
                <w:szCs w:val="21"/>
              </w:rPr>
              <w:t>12岁以下不在校儿童</w:t>
            </w:r>
          </w:p>
        </w:tc>
        <w:tc>
          <w:tcPr>
            <w:tcW w:w="500" w:type="pct"/>
            <w:vAlign w:val="center"/>
          </w:tcPr>
          <w:p w14:paraId="086EC303">
            <w:pPr>
              <w:pStyle w:val="12"/>
              <w:jc w:val="center"/>
              <w:rPr>
                <w:rFonts w:ascii="宋体" w:hAnsi="宋体"/>
                <w:szCs w:val="21"/>
              </w:rPr>
            </w:pPr>
            <w:r>
              <w:rPr>
                <w:rFonts w:hint="eastAsia" w:ascii="宋体" w:hAnsi="宋体"/>
                <w:szCs w:val="21"/>
              </w:rPr>
              <w:t>小  计</w:t>
            </w:r>
          </w:p>
        </w:tc>
        <w:tc>
          <w:tcPr>
            <w:tcW w:w="500" w:type="pct"/>
            <w:vAlign w:val="center"/>
          </w:tcPr>
          <w:p w14:paraId="049BE7C7">
            <w:pPr>
              <w:pStyle w:val="12"/>
              <w:jc w:val="center"/>
              <w:rPr>
                <w:rFonts w:ascii="宋体" w:hAnsi="宋体"/>
                <w:szCs w:val="21"/>
              </w:rPr>
            </w:pPr>
            <w:r>
              <w:rPr>
                <w:rFonts w:hint="eastAsia" w:ascii="宋体" w:hAnsi="宋体"/>
                <w:szCs w:val="21"/>
              </w:rPr>
              <w:t>60895</w:t>
            </w:r>
          </w:p>
        </w:tc>
        <w:tc>
          <w:tcPr>
            <w:tcW w:w="500" w:type="pct"/>
            <w:vAlign w:val="center"/>
          </w:tcPr>
          <w:p w14:paraId="1C1E8819">
            <w:pPr>
              <w:pStyle w:val="12"/>
              <w:jc w:val="center"/>
              <w:rPr>
                <w:rFonts w:ascii="宋体" w:hAnsi="宋体"/>
                <w:szCs w:val="21"/>
              </w:rPr>
            </w:pPr>
            <w:r>
              <w:rPr>
                <w:rFonts w:hint="eastAsia" w:ascii="宋体" w:hAnsi="宋体"/>
                <w:szCs w:val="21"/>
              </w:rPr>
              <w:t>30</w:t>
            </w:r>
          </w:p>
        </w:tc>
        <w:tc>
          <w:tcPr>
            <w:tcW w:w="500" w:type="pct"/>
            <w:vAlign w:val="center"/>
          </w:tcPr>
          <w:p w14:paraId="709661E8">
            <w:pPr>
              <w:pStyle w:val="12"/>
              <w:jc w:val="center"/>
              <w:rPr>
                <w:rFonts w:ascii="宋体" w:hAnsi="宋体"/>
                <w:szCs w:val="21"/>
              </w:rPr>
            </w:pPr>
            <w:r>
              <w:rPr>
                <w:rFonts w:hint="eastAsia" w:ascii="宋体" w:hAnsi="宋体"/>
                <w:szCs w:val="21"/>
              </w:rPr>
              <w:t>70352</w:t>
            </w:r>
          </w:p>
        </w:tc>
        <w:tc>
          <w:tcPr>
            <w:tcW w:w="500" w:type="pct"/>
            <w:vAlign w:val="center"/>
          </w:tcPr>
          <w:p w14:paraId="3BDE2DED">
            <w:pPr>
              <w:pStyle w:val="12"/>
              <w:jc w:val="center"/>
              <w:rPr>
                <w:rFonts w:ascii="宋体" w:hAnsi="宋体"/>
                <w:szCs w:val="21"/>
              </w:rPr>
            </w:pPr>
            <w:r>
              <w:rPr>
                <w:rFonts w:hint="eastAsia" w:ascii="宋体" w:hAnsi="宋体"/>
                <w:szCs w:val="21"/>
              </w:rPr>
              <w:t>27.4</w:t>
            </w:r>
          </w:p>
        </w:tc>
        <w:tc>
          <w:tcPr>
            <w:tcW w:w="500" w:type="pct"/>
            <w:vAlign w:val="center"/>
          </w:tcPr>
          <w:p w14:paraId="30162C96">
            <w:pPr>
              <w:pStyle w:val="12"/>
              <w:jc w:val="center"/>
              <w:rPr>
                <w:rFonts w:ascii="宋体" w:hAnsi="宋体"/>
                <w:szCs w:val="21"/>
              </w:rPr>
            </w:pPr>
            <w:r>
              <w:rPr>
                <w:rFonts w:hint="eastAsia" w:ascii="宋体" w:hAnsi="宋体"/>
                <w:szCs w:val="21"/>
              </w:rPr>
              <w:t>27100</w:t>
            </w:r>
          </w:p>
        </w:tc>
        <w:tc>
          <w:tcPr>
            <w:tcW w:w="500" w:type="pct"/>
            <w:vAlign w:val="center"/>
          </w:tcPr>
          <w:p w14:paraId="453451F5">
            <w:pPr>
              <w:pStyle w:val="12"/>
              <w:jc w:val="center"/>
              <w:rPr>
                <w:rFonts w:ascii="宋体" w:hAnsi="宋体"/>
                <w:szCs w:val="21"/>
              </w:rPr>
            </w:pPr>
            <w:r>
              <w:rPr>
                <w:rFonts w:hint="eastAsia" w:ascii="宋体" w:hAnsi="宋体"/>
                <w:szCs w:val="21"/>
              </w:rPr>
              <w:t>6.8</w:t>
            </w:r>
          </w:p>
        </w:tc>
        <w:tc>
          <w:tcPr>
            <w:tcW w:w="500" w:type="pct"/>
            <w:vAlign w:val="center"/>
          </w:tcPr>
          <w:p w14:paraId="2CCB8420">
            <w:pPr>
              <w:pStyle w:val="12"/>
              <w:jc w:val="center"/>
              <w:rPr>
                <w:rFonts w:ascii="宋体" w:hAnsi="宋体"/>
                <w:szCs w:val="21"/>
              </w:rPr>
            </w:pPr>
            <w:r>
              <w:rPr>
                <w:rFonts w:hint="eastAsia" w:ascii="宋体" w:hAnsi="宋体"/>
                <w:szCs w:val="21"/>
              </w:rPr>
              <w:t>19880</w:t>
            </w:r>
          </w:p>
        </w:tc>
        <w:tc>
          <w:tcPr>
            <w:tcW w:w="500" w:type="pct"/>
            <w:vAlign w:val="center"/>
          </w:tcPr>
          <w:p w14:paraId="53AC755F">
            <w:pPr>
              <w:pStyle w:val="12"/>
              <w:jc w:val="center"/>
              <w:rPr>
                <w:rFonts w:ascii="宋体" w:hAnsi="宋体"/>
                <w:szCs w:val="21"/>
              </w:rPr>
            </w:pPr>
            <w:r>
              <w:rPr>
                <w:rFonts w:hint="eastAsia" w:ascii="宋体" w:hAnsi="宋体"/>
                <w:szCs w:val="21"/>
              </w:rPr>
              <w:t>4.7</w:t>
            </w:r>
          </w:p>
        </w:tc>
      </w:tr>
      <w:tr w14:paraId="63378F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5B989965">
            <w:pPr>
              <w:pStyle w:val="12"/>
              <w:jc w:val="center"/>
              <w:rPr>
                <w:rFonts w:ascii="宋体" w:hAnsi="宋体"/>
                <w:szCs w:val="21"/>
              </w:rPr>
            </w:pPr>
          </w:p>
        </w:tc>
        <w:tc>
          <w:tcPr>
            <w:tcW w:w="500" w:type="pct"/>
            <w:vAlign w:val="center"/>
          </w:tcPr>
          <w:p w14:paraId="444403FE">
            <w:pPr>
              <w:pStyle w:val="12"/>
              <w:jc w:val="center"/>
              <w:rPr>
                <w:rFonts w:ascii="宋体" w:hAnsi="宋体"/>
                <w:szCs w:val="21"/>
              </w:rPr>
            </w:pPr>
            <w:r>
              <w:rPr>
                <w:rFonts w:hint="eastAsia" w:ascii="宋体" w:hAnsi="宋体"/>
                <w:szCs w:val="21"/>
              </w:rPr>
              <w:t>其中7岁~12岁</w:t>
            </w:r>
          </w:p>
        </w:tc>
        <w:tc>
          <w:tcPr>
            <w:tcW w:w="500" w:type="pct"/>
            <w:vAlign w:val="center"/>
          </w:tcPr>
          <w:p w14:paraId="1F3424F0">
            <w:pPr>
              <w:pStyle w:val="12"/>
              <w:jc w:val="center"/>
              <w:rPr>
                <w:rFonts w:ascii="宋体" w:hAnsi="宋体"/>
                <w:szCs w:val="21"/>
              </w:rPr>
            </w:pPr>
            <w:r>
              <w:rPr>
                <w:rFonts w:hint="eastAsia" w:ascii="宋体" w:hAnsi="宋体"/>
                <w:szCs w:val="21"/>
              </w:rPr>
              <w:t>—</w:t>
            </w:r>
          </w:p>
        </w:tc>
        <w:tc>
          <w:tcPr>
            <w:tcW w:w="500" w:type="pct"/>
            <w:vAlign w:val="center"/>
          </w:tcPr>
          <w:p w14:paraId="0E819175">
            <w:pPr>
              <w:pStyle w:val="12"/>
              <w:jc w:val="center"/>
              <w:rPr>
                <w:rFonts w:ascii="宋体" w:hAnsi="宋体"/>
                <w:szCs w:val="21"/>
              </w:rPr>
            </w:pPr>
            <w:r>
              <w:rPr>
                <w:rFonts w:hint="eastAsia" w:ascii="宋体" w:hAnsi="宋体"/>
                <w:szCs w:val="21"/>
              </w:rPr>
              <w:t>—</w:t>
            </w:r>
          </w:p>
        </w:tc>
        <w:tc>
          <w:tcPr>
            <w:tcW w:w="500" w:type="pct"/>
            <w:vAlign w:val="center"/>
          </w:tcPr>
          <w:p w14:paraId="3439F6B9">
            <w:pPr>
              <w:pStyle w:val="12"/>
              <w:jc w:val="center"/>
              <w:rPr>
                <w:rFonts w:ascii="宋体" w:hAnsi="宋体"/>
                <w:szCs w:val="21"/>
              </w:rPr>
            </w:pPr>
            <w:r>
              <w:rPr>
                <w:rFonts w:hint="eastAsia" w:ascii="宋体" w:hAnsi="宋体"/>
                <w:szCs w:val="21"/>
              </w:rPr>
              <w:t>18610</w:t>
            </w:r>
          </w:p>
        </w:tc>
        <w:tc>
          <w:tcPr>
            <w:tcW w:w="500" w:type="pct"/>
            <w:vAlign w:val="center"/>
          </w:tcPr>
          <w:p w14:paraId="0DDD9860">
            <w:pPr>
              <w:pStyle w:val="12"/>
              <w:jc w:val="center"/>
              <w:rPr>
                <w:rFonts w:ascii="宋体" w:hAnsi="宋体"/>
                <w:szCs w:val="21"/>
              </w:rPr>
            </w:pPr>
            <w:r>
              <w:rPr>
                <w:rFonts w:hint="eastAsia" w:ascii="宋体" w:hAnsi="宋体"/>
                <w:szCs w:val="21"/>
              </w:rPr>
              <w:t>7.26</w:t>
            </w:r>
          </w:p>
        </w:tc>
        <w:tc>
          <w:tcPr>
            <w:tcW w:w="500" w:type="pct"/>
            <w:vAlign w:val="center"/>
          </w:tcPr>
          <w:p w14:paraId="15D6CDCE">
            <w:pPr>
              <w:pStyle w:val="12"/>
              <w:jc w:val="center"/>
              <w:rPr>
                <w:rFonts w:ascii="宋体" w:hAnsi="宋体"/>
                <w:szCs w:val="21"/>
              </w:rPr>
            </w:pPr>
            <w:r>
              <w:rPr>
                <w:rFonts w:hint="eastAsia" w:ascii="宋体" w:hAnsi="宋体"/>
                <w:szCs w:val="21"/>
              </w:rPr>
              <w:t>—</w:t>
            </w:r>
          </w:p>
        </w:tc>
        <w:tc>
          <w:tcPr>
            <w:tcW w:w="500" w:type="pct"/>
            <w:vAlign w:val="center"/>
          </w:tcPr>
          <w:p w14:paraId="75D78E45">
            <w:pPr>
              <w:pStyle w:val="12"/>
              <w:jc w:val="center"/>
              <w:rPr>
                <w:rFonts w:ascii="宋体" w:hAnsi="宋体"/>
                <w:szCs w:val="21"/>
              </w:rPr>
            </w:pPr>
            <w:r>
              <w:rPr>
                <w:rFonts w:hint="eastAsia" w:ascii="宋体" w:hAnsi="宋体"/>
                <w:szCs w:val="21"/>
              </w:rPr>
              <w:t>—</w:t>
            </w:r>
          </w:p>
        </w:tc>
        <w:tc>
          <w:tcPr>
            <w:tcW w:w="500" w:type="pct"/>
            <w:vAlign w:val="center"/>
          </w:tcPr>
          <w:p w14:paraId="1005AEB3">
            <w:pPr>
              <w:pStyle w:val="12"/>
              <w:jc w:val="center"/>
              <w:rPr>
                <w:rFonts w:ascii="宋体" w:hAnsi="宋体"/>
                <w:szCs w:val="21"/>
              </w:rPr>
            </w:pPr>
            <w:r>
              <w:rPr>
                <w:rFonts w:hint="eastAsia" w:ascii="宋体" w:hAnsi="宋体"/>
                <w:szCs w:val="21"/>
              </w:rPr>
              <w:t>6500</w:t>
            </w:r>
          </w:p>
        </w:tc>
        <w:tc>
          <w:tcPr>
            <w:tcW w:w="500" w:type="pct"/>
            <w:vAlign w:val="center"/>
          </w:tcPr>
          <w:p w14:paraId="65B31CE8">
            <w:pPr>
              <w:pStyle w:val="12"/>
              <w:jc w:val="center"/>
              <w:rPr>
                <w:rFonts w:ascii="宋体" w:hAnsi="宋体"/>
                <w:szCs w:val="21"/>
              </w:rPr>
            </w:pPr>
            <w:r>
              <w:rPr>
                <w:rFonts w:hint="eastAsia" w:ascii="宋体" w:hAnsi="宋体"/>
                <w:szCs w:val="21"/>
              </w:rPr>
              <w:t>1.5</w:t>
            </w:r>
          </w:p>
        </w:tc>
      </w:tr>
      <w:tr w14:paraId="45198A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 w:type="pct"/>
            <w:vMerge w:val="restart"/>
            <w:vAlign w:val="center"/>
          </w:tcPr>
          <w:p w14:paraId="447B7917">
            <w:pPr>
              <w:pStyle w:val="12"/>
              <w:jc w:val="center"/>
              <w:rPr>
                <w:rFonts w:ascii="宋体" w:hAnsi="宋体"/>
                <w:szCs w:val="21"/>
              </w:rPr>
            </w:pPr>
            <w:r>
              <w:rPr>
                <w:rFonts w:hint="eastAsia" w:ascii="宋体" w:hAnsi="宋体"/>
                <w:szCs w:val="21"/>
              </w:rPr>
              <w:t>文盲数</w:t>
            </w:r>
          </w:p>
        </w:tc>
        <w:tc>
          <w:tcPr>
            <w:tcW w:w="500" w:type="pct"/>
            <w:vAlign w:val="center"/>
          </w:tcPr>
          <w:p w14:paraId="7C8F01AF">
            <w:pPr>
              <w:pStyle w:val="12"/>
              <w:jc w:val="center"/>
              <w:rPr>
                <w:rFonts w:ascii="宋体" w:hAnsi="宋体"/>
                <w:szCs w:val="21"/>
              </w:rPr>
            </w:pPr>
            <w:r>
              <w:rPr>
                <w:rFonts w:hint="eastAsia" w:ascii="宋体" w:hAnsi="宋体"/>
                <w:szCs w:val="21"/>
              </w:rPr>
              <w:t>小  计</w:t>
            </w:r>
          </w:p>
        </w:tc>
        <w:tc>
          <w:tcPr>
            <w:tcW w:w="500" w:type="pct"/>
            <w:vAlign w:val="center"/>
          </w:tcPr>
          <w:p w14:paraId="289E5ACF">
            <w:pPr>
              <w:pStyle w:val="12"/>
              <w:jc w:val="center"/>
              <w:rPr>
                <w:rFonts w:ascii="宋体" w:hAnsi="宋体"/>
                <w:szCs w:val="21"/>
              </w:rPr>
            </w:pPr>
            <w:r>
              <w:rPr>
                <w:rFonts w:hint="eastAsia" w:ascii="宋体" w:hAnsi="宋体"/>
                <w:szCs w:val="21"/>
              </w:rPr>
              <w:t>122485</w:t>
            </w:r>
          </w:p>
        </w:tc>
        <w:tc>
          <w:tcPr>
            <w:tcW w:w="500" w:type="pct"/>
            <w:vAlign w:val="center"/>
          </w:tcPr>
          <w:p w14:paraId="4D36083B">
            <w:pPr>
              <w:pStyle w:val="12"/>
              <w:jc w:val="center"/>
              <w:rPr>
                <w:rFonts w:ascii="宋体" w:hAnsi="宋体"/>
                <w:szCs w:val="21"/>
              </w:rPr>
            </w:pPr>
            <w:r>
              <w:rPr>
                <w:rFonts w:hint="eastAsia" w:ascii="宋体" w:hAnsi="宋体"/>
                <w:szCs w:val="21"/>
              </w:rPr>
              <w:t>60.3</w:t>
            </w:r>
          </w:p>
        </w:tc>
        <w:tc>
          <w:tcPr>
            <w:tcW w:w="500" w:type="pct"/>
            <w:vAlign w:val="center"/>
          </w:tcPr>
          <w:p w14:paraId="75E46889">
            <w:pPr>
              <w:pStyle w:val="12"/>
              <w:jc w:val="center"/>
              <w:rPr>
                <w:rFonts w:ascii="宋体" w:hAnsi="宋体"/>
                <w:szCs w:val="21"/>
              </w:rPr>
            </w:pPr>
            <w:r>
              <w:rPr>
                <w:rFonts w:hint="eastAsia" w:ascii="宋体" w:hAnsi="宋体"/>
                <w:szCs w:val="21"/>
              </w:rPr>
              <w:t>93020</w:t>
            </w:r>
          </w:p>
        </w:tc>
        <w:tc>
          <w:tcPr>
            <w:tcW w:w="500" w:type="pct"/>
            <w:vAlign w:val="center"/>
          </w:tcPr>
          <w:p w14:paraId="68A4EFC1">
            <w:pPr>
              <w:pStyle w:val="12"/>
              <w:jc w:val="center"/>
              <w:rPr>
                <w:rFonts w:ascii="宋体" w:hAnsi="宋体"/>
                <w:szCs w:val="21"/>
              </w:rPr>
            </w:pPr>
            <w:r>
              <w:rPr>
                <w:rFonts w:hint="eastAsia" w:ascii="宋体" w:hAnsi="宋体"/>
                <w:szCs w:val="21"/>
              </w:rPr>
              <w:t>36.4</w:t>
            </w:r>
          </w:p>
        </w:tc>
        <w:tc>
          <w:tcPr>
            <w:tcW w:w="500" w:type="pct"/>
            <w:vAlign w:val="center"/>
          </w:tcPr>
          <w:p w14:paraId="0589FE28">
            <w:pPr>
              <w:pStyle w:val="12"/>
              <w:jc w:val="center"/>
              <w:rPr>
                <w:rFonts w:ascii="宋体" w:hAnsi="宋体"/>
                <w:szCs w:val="21"/>
              </w:rPr>
            </w:pPr>
            <w:r>
              <w:rPr>
                <w:rFonts w:hint="eastAsia" w:ascii="宋体" w:hAnsi="宋体"/>
                <w:szCs w:val="21"/>
              </w:rPr>
              <w:t>144410</w:t>
            </w:r>
          </w:p>
        </w:tc>
        <w:tc>
          <w:tcPr>
            <w:tcW w:w="500" w:type="pct"/>
            <w:vAlign w:val="center"/>
          </w:tcPr>
          <w:p w14:paraId="623EC1DC">
            <w:pPr>
              <w:pStyle w:val="12"/>
              <w:jc w:val="center"/>
              <w:rPr>
                <w:rFonts w:ascii="宋体" w:hAnsi="宋体"/>
                <w:szCs w:val="21"/>
              </w:rPr>
            </w:pPr>
            <w:r>
              <w:rPr>
                <w:rFonts w:hint="eastAsia" w:ascii="宋体" w:hAnsi="宋体"/>
                <w:szCs w:val="21"/>
              </w:rPr>
              <w:t>36.4</w:t>
            </w:r>
          </w:p>
        </w:tc>
        <w:tc>
          <w:tcPr>
            <w:tcW w:w="500" w:type="pct"/>
            <w:vAlign w:val="center"/>
          </w:tcPr>
          <w:p w14:paraId="529F7791">
            <w:pPr>
              <w:pStyle w:val="12"/>
              <w:jc w:val="center"/>
              <w:rPr>
                <w:rFonts w:ascii="宋体" w:hAnsi="宋体"/>
                <w:szCs w:val="21"/>
              </w:rPr>
            </w:pPr>
            <w:r>
              <w:rPr>
                <w:rFonts w:hint="eastAsia" w:ascii="宋体" w:hAnsi="宋体"/>
                <w:szCs w:val="21"/>
              </w:rPr>
              <w:t>110290</w:t>
            </w:r>
          </w:p>
        </w:tc>
        <w:tc>
          <w:tcPr>
            <w:tcW w:w="500" w:type="pct"/>
            <w:vAlign w:val="center"/>
          </w:tcPr>
          <w:p w14:paraId="648A95EA">
            <w:pPr>
              <w:pStyle w:val="12"/>
              <w:jc w:val="center"/>
              <w:rPr>
                <w:rFonts w:ascii="宋体" w:hAnsi="宋体"/>
                <w:szCs w:val="21"/>
              </w:rPr>
            </w:pPr>
            <w:r>
              <w:rPr>
                <w:rFonts w:hint="eastAsia" w:ascii="宋体" w:hAnsi="宋体"/>
                <w:szCs w:val="21"/>
              </w:rPr>
              <w:t>26.3</w:t>
            </w:r>
          </w:p>
        </w:tc>
      </w:tr>
      <w:tr w14:paraId="338CFE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6F5F5A14">
            <w:pPr>
              <w:pStyle w:val="12"/>
              <w:jc w:val="center"/>
              <w:rPr>
                <w:rFonts w:ascii="宋体" w:hAnsi="宋体"/>
                <w:szCs w:val="21"/>
              </w:rPr>
            </w:pPr>
          </w:p>
        </w:tc>
        <w:tc>
          <w:tcPr>
            <w:tcW w:w="500" w:type="pct"/>
            <w:vAlign w:val="center"/>
          </w:tcPr>
          <w:p w14:paraId="05609907">
            <w:pPr>
              <w:pStyle w:val="12"/>
              <w:jc w:val="center"/>
              <w:rPr>
                <w:rFonts w:ascii="宋体" w:hAnsi="宋体"/>
                <w:szCs w:val="21"/>
              </w:rPr>
            </w:pPr>
            <w:r>
              <w:rPr>
                <w:rFonts w:hint="eastAsia" w:ascii="宋体" w:hAnsi="宋体"/>
                <w:szCs w:val="21"/>
              </w:rPr>
              <w:t>13岁以上</w:t>
            </w:r>
          </w:p>
        </w:tc>
        <w:tc>
          <w:tcPr>
            <w:tcW w:w="500" w:type="pct"/>
            <w:vAlign w:val="center"/>
          </w:tcPr>
          <w:p w14:paraId="248FEA13">
            <w:pPr>
              <w:pStyle w:val="12"/>
              <w:jc w:val="center"/>
              <w:rPr>
                <w:rFonts w:ascii="宋体" w:hAnsi="宋体"/>
                <w:szCs w:val="21"/>
              </w:rPr>
            </w:pPr>
            <w:r>
              <w:rPr>
                <w:rFonts w:hint="eastAsia" w:ascii="宋体" w:hAnsi="宋体"/>
                <w:szCs w:val="21"/>
              </w:rPr>
              <w:t>—</w:t>
            </w:r>
          </w:p>
        </w:tc>
        <w:tc>
          <w:tcPr>
            <w:tcW w:w="500" w:type="pct"/>
            <w:vAlign w:val="center"/>
          </w:tcPr>
          <w:p w14:paraId="3959CE7B">
            <w:pPr>
              <w:pStyle w:val="12"/>
              <w:jc w:val="center"/>
              <w:rPr>
                <w:rFonts w:ascii="宋体" w:hAnsi="宋体"/>
                <w:szCs w:val="21"/>
              </w:rPr>
            </w:pPr>
            <w:r>
              <w:rPr>
                <w:rFonts w:hint="eastAsia" w:ascii="宋体" w:hAnsi="宋体"/>
                <w:szCs w:val="21"/>
              </w:rPr>
              <w:t>—</w:t>
            </w:r>
          </w:p>
        </w:tc>
        <w:tc>
          <w:tcPr>
            <w:tcW w:w="500" w:type="pct"/>
            <w:vAlign w:val="center"/>
          </w:tcPr>
          <w:p w14:paraId="206A9433">
            <w:pPr>
              <w:pStyle w:val="12"/>
              <w:jc w:val="center"/>
              <w:rPr>
                <w:rFonts w:ascii="宋体" w:hAnsi="宋体"/>
                <w:szCs w:val="21"/>
              </w:rPr>
            </w:pPr>
            <w:r>
              <w:rPr>
                <w:rFonts w:hint="eastAsia" w:ascii="宋体" w:hAnsi="宋体"/>
                <w:szCs w:val="21"/>
              </w:rPr>
              <w:t>48600</w:t>
            </w:r>
          </w:p>
        </w:tc>
        <w:tc>
          <w:tcPr>
            <w:tcW w:w="500" w:type="pct"/>
            <w:vAlign w:val="center"/>
          </w:tcPr>
          <w:p w14:paraId="0A55AB3D">
            <w:pPr>
              <w:pStyle w:val="12"/>
              <w:jc w:val="center"/>
              <w:rPr>
                <w:rFonts w:ascii="宋体" w:hAnsi="宋体"/>
                <w:szCs w:val="21"/>
              </w:rPr>
            </w:pPr>
            <w:r>
              <w:rPr>
                <w:rFonts w:hint="eastAsia" w:ascii="宋体" w:hAnsi="宋体"/>
                <w:szCs w:val="21"/>
              </w:rPr>
              <w:t>18.99</w:t>
            </w:r>
          </w:p>
        </w:tc>
        <w:tc>
          <w:tcPr>
            <w:tcW w:w="500" w:type="pct"/>
            <w:vAlign w:val="center"/>
          </w:tcPr>
          <w:p w14:paraId="6829E13C">
            <w:pPr>
              <w:pStyle w:val="12"/>
              <w:jc w:val="center"/>
              <w:rPr>
                <w:rFonts w:ascii="宋体" w:hAnsi="宋体"/>
                <w:szCs w:val="21"/>
              </w:rPr>
            </w:pPr>
            <w:r>
              <w:rPr>
                <w:rFonts w:hint="eastAsia" w:ascii="宋体" w:hAnsi="宋体"/>
                <w:szCs w:val="21"/>
              </w:rPr>
              <w:t>90410</w:t>
            </w:r>
          </w:p>
        </w:tc>
        <w:tc>
          <w:tcPr>
            <w:tcW w:w="500" w:type="pct"/>
            <w:vAlign w:val="center"/>
          </w:tcPr>
          <w:p w14:paraId="12820D11">
            <w:pPr>
              <w:pStyle w:val="12"/>
              <w:jc w:val="center"/>
              <w:rPr>
                <w:rFonts w:ascii="宋体" w:hAnsi="宋体"/>
                <w:szCs w:val="21"/>
              </w:rPr>
            </w:pPr>
            <w:r>
              <w:rPr>
                <w:rFonts w:hint="eastAsia" w:ascii="宋体" w:hAnsi="宋体"/>
                <w:szCs w:val="21"/>
              </w:rPr>
              <w:t>22.8</w:t>
            </w:r>
          </w:p>
        </w:tc>
        <w:tc>
          <w:tcPr>
            <w:tcW w:w="500" w:type="pct"/>
            <w:vAlign w:val="center"/>
          </w:tcPr>
          <w:p w14:paraId="41D543A2">
            <w:pPr>
              <w:pStyle w:val="12"/>
              <w:jc w:val="center"/>
              <w:rPr>
                <w:rFonts w:ascii="宋体" w:hAnsi="宋体"/>
                <w:szCs w:val="21"/>
              </w:rPr>
            </w:pPr>
            <w:r>
              <w:rPr>
                <w:rFonts w:hint="eastAsia" w:ascii="宋体" w:hAnsi="宋体"/>
                <w:szCs w:val="21"/>
              </w:rPr>
              <w:t>—</w:t>
            </w:r>
          </w:p>
        </w:tc>
        <w:tc>
          <w:tcPr>
            <w:tcW w:w="500" w:type="pct"/>
            <w:vAlign w:val="center"/>
          </w:tcPr>
          <w:p w14:paraId="6F13DCAA">
            <w:pPr>
              <w:pStyle w:val="12"/>
              <w:jc w:val="center"/>
              <w:rPr>
                <w:rFonts w:ascii="宋体" w:hAnsi="宋体"/>
                <w:szCs w:val="21"/>
              </w:rPr>
            </w:pPr>
            <w:r>
              <w:rPr>
                <w:rFonts w:hint="eastAsia" w:ascii="宋体" w:hAnsi="宋体"/>
                <w:szCs w:val="21"/>
              </w:rPr>
              <w:t>—</w:t>
            </w:r>
          </w:p>
        </w:tc>
      </w:tr>
      <w:tr w14:paraId="54F304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pct"/>
            <w:gridSpan w:val="2"/>
            <w:vAlign w:val="center"/>
          </w:tcPr>
          <w:p w14:paraId="0CC481D2">
            <w:pPr>
              <w:pStyle w:val="12"/>
              <w:jc w:val="center"/>
              <w:rPr>
                <w:rFonts w:ascii="宋体" w:hAnsi="宋体"/>
                <w:szCs w:val="21"/>
              </w:rPr>
            </w:pPr>
            <w:r>
              <w:rPr>
                <w:rFonts w:hint="eastAsia" w:ascii="宋体" w:hAnsi="宋体"/>
                <w:szCs w:val="21"/>
              </w:rPr>
              <w:t>小  学</w:t>
            </w:r>
          </w:p>
        </w:tc>
        <w:tc>
          <w:tcPr>
            <w:tcW w:w="500" w:type="pct"/>
            <w:vAlign w:val="center"/>
          </w:tcPr>
          <w:p w14:paraId="77DA99B7">
            <w:pPr>
              <w:pStyle w:val="12"/>
              <w:jc w:val="center"/>
              <w:rPr>
                <w:rFonts w:ascii="宋体" w:hAnsi="宋体"/>
                <w:szCs w:val="21"/>
              </w:rPr>
            </w:pPr>
            <w:r>
              <w:rPr>
                <w:rFonts w:hint="eastAsia" w:ascii="宋体" w:hAnsi="宋体"/>
                <w:szCs w:val="21"/>
              </w:rPr>
              <w:t>16235</w:t>
            </w:r>
          </w:p>
        </w:tc>
        <w:tc>
          <w:tcPr>
            <w:tcW w:w="500" w:type="pct"/>
            <w:vAlign w:val="center"/>
          </w:tcPr>
          <w:p w14:paraId="5D5C37C8">
            <w:pPr>
              <w:pStyle w:val="12"/>
              <w:jc w:val="center"/>
              <w:rPr>
                <w:rFonts w:ascii="宋体" w:hAnsi="宋体"/>
                <w:szCs w:val="21"/>
              </w:rPr>
            </w:pPr>
            <w:r>
              <w:rPr>
                <w:rFonts w:hint="eastAsia" w:ascii="宋体" w:hAnsi="宋体"/>
                <w:szCs w:val="21"/>
              </w:rPr>
              <w:t>8.0</w:t>
            </w:r>
          </w:p>
        </w:tc>
        <w:tc>
          <w:tcPr>
            <w:tcW w:w="500" w:type="pct"/>
            <w:vAlign w:val="center"/>
          </w:tcPr>
          <w:p w14:paraId="1847A807">
            <w:pPr>
              <w:pStyle w:val="12"/>
              <w:jc w:val="center"/>
              <w:rPr>
                <w:rFonts w:ascii="宋体" w:hAnsi="宋体"/>
                <w:szCs w:val="21"/>
              </w:rPr>
            </w:pPr>
            <w:r>
              <w:rPr>
                <w:rFonts w:hint="eastAsia" w:ascii="宋体" w:hAnsi="宋体"/>
                <w:szCs w:val="21"/>
              </w:rPr>
              <w:t>79420</w:t>
            </w:r>
          </w:p>
        </w:tc>
        <w:tc>
          <w:tcPr>
            <w:tcW w:w="500" w:type="pct"/>
            <w:vAlign w:val="center"/>
          </w:tcPr>
          <w:p w14:paraId="05BD8AB6">
            <w:pPr>
              <w:pStyle w:val="12"/>
              <w:jc w:val="center"/>
              <w:rPr>
                <w:rFonts w:ascii="宋体" w:hAnsi="宋体"/>
                <w:szCs w:val="21"/>
              </w:rPr>
            </w:pPr>
            <w:r>
              <w:rPr>
                <w:rFonts w:hint="eastAsia" w:ascii="宋体" w:hAnsi="宋体"/>
                <w:szCs w:val="21"/>
              </w:rPr>
              <w:t>30.76</w:t>
            </w:r>
          </w:p>
        </w:tc>
        <w:tc>
          <w:tcPr>
            <w:tcW w:w="500" w:type="pct"/>
            <w:vAlign w:val="center"/>
          </w:tcPr>
          <w:p w14:paraId="56465FF4">
            <w:pPr>
              <w:pStyle w:val="12"/>
              <w:jc w:val="center"/>
              <w:rPr>
                <w:rFonts w:ascii="宋体" w:hAnsi="宋体"/>
                <w:szCs w:val="21"/>
              </w:rPr>
            </w:pPr>
            <w:r>
              <w:rPr>
                <w:rFonts w:hint="eastAsia" w:ascii="宋体" w:hAnsi="宋体"/>
                <w:szCs w:val="21"/>
              </w:rPr>
              <w:t>150650</w:t>
            </w:r>
          </w:p>
        </w:tc>
        <w:tc>
          <w:tcPr>
            <w:tcW w:w="500" w:type="pct"/>
            <w:vAlign w:val="center"/>
          </w:tcPr>
          <w:p w14:paraId="60917FB1">
            <w:pPr>
              <w:pStyle w:val="12"/>
              <w:jc w:val="center"/>
              <w:rPr>
                <w:rFonts w:ascii="宋体" w:hAnsi="宋体"/>
                <w:szCs w:val="21"/>
              </w:rPr>
            </w:pPr>
            <w:r>
              <w:rPr>
                <w:rFonts w:hint="eastAsia" w:ascii="宋体" w:hAnsi="宋体"/>
                <w:szCs w:val="21"/>
              </w:rPr>
              <w:t>38.0</w:t>
            </w:r>
          </w:p>
        </w:tc>
        <w:tc>
          <w:tcPr>
            <w:tcW w:w="500" w:type="pct"/>
            <w:vAlign w:val="center"/>
          </w:tcPr>
          <w:p w14:paraId="1525AEDA">
            <w:pPr>
              <w:pStyle w:val="12"/>
              <w:jc w:val="center"/>
              <w:rPr>
                <w:rFonts w:ascii="宋体" w:hAnsi="宋体"/>
                <w:szCs w:val="21"/>
              </w:rPr>
            </w:pPr>
            <w:r>
              <w:rPr>
                <w:rFonts w:hint="eastAsia" w:ascii="宋体" w:hAnsi="宋体"/>
                <w:szCs w:val="21"/>
              </w:rPr>
              <w:t>192470</w:t>
            </w:r>
          </w:p>
        </w:tc>
        <w:tc>
          <w:tcPr>
            <w:tcW w:w="500" w:type="pct"/>
            <w:vAlign w:val="center"/>
          </w:tcPr>
          <w:p w14:paraId="721F4250">
            <w:pPr>
              <w:pStyle w:val="12"/>
              <w:jc w:val="center"/>
              <w:rPr>
                <w:rFonts w:ascii="宋体" w:hAnsi="宋体"/>
                <w:szCs w:val="21"/>
              </w:rPr>
            </w:pPr>
            <w:r>
              <w:rPr>
                <w:rFonts w:hint="eastAsia" w:ascii="宋体" w:hAnsi="宋体"/>
                <w:szCs w:val="21"/>
              </w:rPr>
              <w:t>46</w:t>
            </w:r>
          </w:p>
        </w:tc>
      </w:tr>
      <w:tr w14:paraId="554495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pct"/>
            <w:gridSpan w:val="2"/>
            <w:vAlign w:val="center"/>
          </w:tcPr>
          <w:p w14:paraId="5A7B34EA">
            <w:pPr>
              <w:pStyle w:val="12"/>
              <w:jc w:val="center"/>
              <w:rPr>
                <w:rFonts w:ascii="宋体" w:hAnsi="宋体"/>
                <w:szCs w:val="21"/>
              </w:rPr>
            </w:pPr>
            <w:r>
              <w:rPr>
                <w:rFonts w:hint="eastAsia" w:ascii="宋体" w:hAnsi="宋体"/>
                <w:szCs w:val="21"/>
              </w:rPr>
              <w:t>初  中</w:t>
            </w:r>
          </w:p>
        </w:tc>
        <w:tc>
          <w:tcPr>
            <w:tcW w:w="500" w:type="pct"/>
            <w:vAlign w:val="center"/>
          </w:tcPr>
          <w:p w14:paraId="63A89837">
            <w:pPr>
              <w:pStyle w:val="12"/>
              <w:jc w:val="center"/>
              <w:rPr>
                <w:rFonts w:ascii="宋体" w:hAnsi="宋体"/>
                <w:szCs w:val="21"/>
              </w:rPr>
            </w:pPr>
            <w:r>
              <w:rPr>
                <w:rFonts w:hint="eastAsia" w:ascii="宋体" w:hAnsi="宋体"/>
                <w:szCs w:val="21"/>
              </w:rPr>
              <w:t>3044</w:t>
            </w:r>
          </w:p>
        </w:tc>
        <w:tc>
          <w:tcPr>
            <w:tcW w:w="500" w:type="pct"/>
            <w:vAlign w:val="center"/>
          </w:tcPr>
          <w:p w14:paraId="25C0D7DE">
            <w:pPr>
              <w:pStyle w:val="12"/>
              <w:jc w:val="center"/>
              <w:rPr>
                <w:rFonts w:ascii="宋体" w:hAnsi="宋体"/>
                <w:szCs w:val="21"/>
              </w:rPr>
            </w:pPr>
            <w:r>
              <w:rPr>
                <w:rFonts w:hint="eastAsia" w:ascii="宋体" w:hAnsi="宋体"/>
                <w:szCs w:val="21"/>
              </w:rPr>
              <w:t>1.5</w:t>
            </w:r>
          </w:p>
        </w:tc>
        <w:tc>
          <w:tcPr>
            <w:tcW w:w="500" w:type="pct"/>
            <w:vAlign w:val="center"/>
          </w:tcPr>
          <w:p w14:paraId="0F4E080B">
            <w:pPr>
              <w:pStyle w:val="12"/>
              <w:jc w:val="center"/>
              <w:rPr>
                <w:rFonts w:ascii="宋体" w:hAnsi="宋体"/>
                <w:szCs w:val="21"/>
              </w:rPr>
            </w:pPr>
            <w:r>
              <w:rPr>
                <w:rFonts w:hint="eastAsia" w:ascii="宋体" w:hAnsi="宋体"/>
                <w:szCs w:val="21"/>
              </w:rPr>
              <w:t>11186</w:t>
            </w:r>
          </w:p>
        </w:tc>
        <w:tc>
          <w:tcPr>
            <w:tcW w:w="500" w:type="pct"/>
            <w:vAlign w:val="center"/>
          </w:tcPr>
          <w:p w14:paraId="5967D940">
            <w:pPr>
              <w:pStyle w:val="12"/>
              <w:jc w:val="center"/>
              <w:rPr>
                <w:rFonts w:ascii="宋体" w:hAnsi="宋体"/>
                <w:szCs w:val="21"/>
              </w:rPr>
            </w:pPr>
            <w:r>
              <w:rPr>
                <w:rFonts w:hint="eastAsia" w:ascii="宋体" w:hAnsi="宋体"/>
                <w:szCs w:val="21"/>
              </w:rPr>
              <w:t>4.2</w:t>
            </w:r>
          </w:p>
        </w:tc>
        <w:tc>
          <w:tcPr>
            <w:tcW w:w="500" w:type="pct"/>
            <w:vAlign w:val="center"/>
          </w:tcPr>
          <w:p w14:paraId="098DAA6D">
            <w:pPr>
              <w:pStyle w:val="12"/>
              <w:jc w:val="center"/>
              <w:rPr>
                <w:rFonts w:ascii="宋体" w:hAnsi="宋体"/>
                <w:szCs w:val="21"/>
              </w:rPr>
            </w:pPr>
            <w:r>
              <w:rPr>
                <w:rFonts w:hint="eastAsia" w:ascii="宋体" w:hAnsi="宋体"/>
                <w:szCs w:val="21"/>
              </w:rPr>
              <w:t>49730</w:t>
            </w:r>
          </w:p>
        </w:tc>
        <w:tc>
          <w:tcPr>
            <w:tcW w:w="500" w:type="pct"/>
            <w:vAlign w:val="center"/>
          </w:tcPr>
          <w:p w14:paraId="2B48D99B">
            <w:pPr>
              <w:pStyle w:val="12"/>
              <w:jc w:val="center"/>
              <w:rPr>
                <w:rFonts w:ascii="宋体" w:hAnsi="宋体"/>
                <w:szCs w:val="21"/>
              </w:rPr>
            </w:pPr>
            <w:r>
              <w:rPr>
                <w:rFonts w:hint="eastAsia" w:ascii="宋体" w:hAnsi="宋体"/>
                <w:szCs w:val="21"/>
              </w:rPr>
              <w:t>12.5</w:t>
            </w:r>
          </w:p>
        </w:tc>
        <w:tc>
          <w:tcPr>
            <w:tcW w:w="500" w:type="pct"/>
            <w:vAlign w:val="center"/>
          </w:tcPr>
          <w:p w14:paraId="5D43C9C4">
            <w:pPr>
              <w:pStyle w:val="12"/>
              <w:jc w:val="center"/>
              <w:rPr>
                <w:rFonts w:ascii="宋体" w:hAnsi="宋体"/>
                <w:szCs w:val="21"/>
              </w:rPr>
            </w:pPr>
            <w:r>
              <w:rPr>
                <w:rFonts w:hint="eastAsia" w:ascii="宋体" w:hAnsi="宋体"/>
                <w:szCs w:val="21"/>
              </w:rPr>
              <w:t>66580</w:t>
            </w:r>
          </w:p>
        </w:tc>
        <w:tc>
          <w:tcPr>
            <w:tcW w:w="500" w:type="pct"/>
            <w:vAlign w:val="center"/>
          </w:tcPr>
          <w:p w14:paraId="32CD7A93">
            <w:pPr>
              <w:pStyle w:val="12"/>
              <w:jc w:val="center"/>
              <w:rPr>
                <w:rFonts w:ascii="宋体" w:hAnsi="宋体"/>
                <w:szCs w:val="21"/>
              </w:rPr>
            </w:pPr>
            <w:r>
              <w:rPr>
                <w:rFonts w:hint="eastAsia" w:ascii="宋体" w:hAnsi="宋体"/>
                <w:szCs w:val="21"/>
              </w:rPr>
              <w:t>15.9</w:t>
            </w:r>
          </w:p>
        </w:tc>
      </w:tr>
      <w:tr w14:paraId="697298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pct"/>
            <w:gridSpan w:val="2"/>
            <w:vAlign w:val="center"/>
          </w:tcPr>
          <w:p w14:paraId="788C4655">
            <w:pPr>
              <w:pStyle w:val="12"/>
              <w:jc w:val="center"/>
              <w:rPr>
                <w:rFonts w:ascii="宋体" w:hAnsi="宋体"/>
                <w:szCs w:val="21"/>
              </w:rPr>
            </w:pPr>
            <w:r>
              <w:rPr>
                <w:rFonts w:hint="eastAsia" w:ascii="宋体" w:hAnsi="宋体"/>
                <w:szCs w:val="21"/>
              </w:rPr>
              <w:t>高  中</w:t>
            </w:r>
          </w:p>
        </w:tc>
        <w:tc>
          <w:tcPr>
            <w:tcW w:w="500" w:type="pct"/>
            <w:vAlign w:val="center"/>
          </w:tcPr>
          <w:p w14:paraId="2FEB98DE">
            <w:pPr>
              <w:pStyle w:val="12"/>
              <w:jc w:val="center"/>
              <w:rPr>
                <w:rFonts w:ascii="宋体" w:hAnsi="宋体"/>
                <w:szCs w:val="21"/>
              </w:rPr>
            </w:pPr>
            <w:r>
              <w:rPr>
                <w:rFonts w:hint="eastAsia" w:ascii="宋体" w:hAnsi="宋体"/>
                <w:szCs w:val="21"/>
              </w:rPr>
              <w:t>223</w:t>
            </w:r>
          </w:p>
        </w:tc>
        <w:tc>
          <w:tcPr>
            <w:tcW w:w="500" w:type="pct"/>
            <w:vAlign w:val="center"/>
          </w:tcPr>
          <w:p w14:paraId="6BE4F26F">
            <w:pPr>
              <w:pStyle w:val="12"/>
              <w:jc w:val="center"/>
              <w:rPr>
                <w:rFonts w:ascii="宋体" w:hAnsi="宋体"/>
                <w:szCs w:val="21"/>
              </w:rPr>
            </w:pPr>
            <w:r>
              <w:rPr>
                <w:rFonts w:hint="eastAsia" w:ascii="宋体" w:hAnsi="宋体"/>
                <w:szCs w:val="21"/>
              </w:rPr>
              <w:t>0.11</w:t>
            </w:r>
          </w:p>
        </w:tc>
        <w:tc>
          <w:tcPr>
            <w:tcW w:w="500" w:type="pct"/>
            <w:vAlign w:val="center"/>
          </w:tcPr>
          <w:p w14:paraId="3E129FEE">
            <w:pPr>
              <w:pStyle w:val="12"/>
              <w:jc w:val="center"/>
              <w:rPr>
                <w:rFonts w:ascii="宋体" w:hAnsi="宋体"/>
                <w:szCs w:val="21"/>
              </w:rPr>
            </w:pPr>
            <w:r>
              <w:rPr>
                <w:rFonts w:hint="eastAsia" w:ascii="宋体" w:hAnsi="宋体"/>
                <w:szCs w:val="21"/>
              </w:rPr>
              <w:t>2749</w:t>
            </w:r>
          </w:p>
        </w:tc>
        <w:tc>
          <w:tcPr>
            <w:tcW w:w="500" w:type="pct"/>
            <w:vAlign w:val="center"/>
          </w:tcPr>
          <w:p w14:paraId="7DE69585">
            <w:pPr>
              <w:pStyle w:val="12"/>
              <w:jc w:val="center"/>
              <w:rPr>
                <w:rFonts w:ascii="宋体" w:hAnsi="宋体"/>
                <w:szCs w:val="21"/>
              </w:rPr>
            </w:pPr>
            <w:r>
              <w:rPr>
                <w:rFonts w:hint="eastAsia" w:ascii="宋体" w:hAnsi="宋体"/>
                <w:szCs w:val="21"/>
              </w:rPr>
              <w:t>1.06</w:t>
            </w:r>
          </w:p>
        </w:tc>
        <w:tc>
          <w:tcPr>
            <w:tcW w:w="500" w:type="pct"/>
            <w:vAlign w:val="center"/>
          </w:tcPr>
          <w:p w14:paraId="7098E463">
            <w:pPr>
              <w:pStyle w:val="12"/>
              <w:jc w:val="center"/>
              <w:rPr>
                <w:rFonts w:ascii="宋体" w:hAnsi="宋体"/>
                <w:szCs w:val="21"/>
              </w:rPr>
            </w:pPr>
            <w:r>
              <w:rPr>
                <w:rFonts w:hint="eastAsia" w:ascii="宋体" w:hAnsi="宋体"/>
                <w:szCs w:val="21"/>
              </w:rPr>
              <w:t>24070</w:t>
            </w:r>
          </w:p>
        </w:tc>
        <w:tc>
          <w:tcPr>
            <w:tcW w:w="500" w:type="pct"/>
            <w:vAlign w:val="center"/>
          </w:tcPr>
          <w:p w14:paraId="561A9CA8">
            <w:pPr>
              <w:pStyle w:val="12"/>
              <w:jc w:val="center"/>
              <w:rPr>
                <w:rFonts w:ascii="宋体" w:hAnsi="宋体"/>
                <w:szCs w:val="21"/>
              </w:rPr>
            </w:pPr>
            <w:r>
              <w:rPr>
                <w:rFonts w:hint="eastAsia" w:ascii="宋体" w:hAnsi="宋体"/>
                <w:szCs w:val="21"/>
              </w:rPr>
              <w:t>6.1</w:t>
            </w:r>
          </w:p>
        </w:tc>
        <w:tc>
          <w:tcPr>
            <w:tcW w:w="500" w:type="pct"/>
            <w:vAlign w:val="center"/>
          </w:tcPr>
          <w:p w14:paraId="392FAD89">
            <w:pPr>
              <w:pStyle w:val="12"/>
              <w:jc w:val="center"/>
              <w:rPr>
                <w:rFonts w:ascii="宋体" w:hAnsi="宋体"/>
                <w:szCs w:val="21"/>
              </w:rPr>
            </w:pPr>
            <w:r>
              <w:rPr>
                <w:rFonts w:hint="eastAsia" w:ascii="宋体" w:hAnsi="宋体"/>
                <w:szCs w:val="21"/>
              </w:rPr>
              <w:t>28410</w:t>
            </w:r>
          </w:p>
        </w:tc>
        <w:tc>
          <w:tcPr>
            <w:tcW w:w="500" w:type="pct"/>
            <w:vAlign w:val="center"/>
          </w:tcPr>
          <w:p w14:paraId="180D8B37">
            <w:pPr>
              <w:pStyle w:val="12"/>
              <w:jc w:val="center"/>
              <w:rPr>
                <w:rFonts w:ascii="宋体" w:hAnsi="宋体"/>
                <w:szCs w:val="21"/>
              </w:rPr>
            </w:pPr>
            <w:r>
              <w:rPr>
                <w:rFonts w:hint="eastAsia" w:ascii="宋体" w:hAnsi="宋体"/>
                <w:szCs w:val="21"/>
              </w:rPr>
              <w:t>6.7</w:t>
            </w:r>
          </w:p>
        </w:tc>
      </w:tr>
      <w:tr w14:paraId="3E2CEF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pct"/>
            <w:gridSpan w:val="2"/>
            <w:vAlign w:val="center"/>
          </w:tcPr>
          <w:p w14:paraId="00BE0223">
            <w:pPr>
              <w:pStyle w:val="12"/>
              <w:jc w:val="center"/>
              <w:rPr>
                <w:rFonts w:ascii="宋体" w:hAnsi="宋体"/>
                <w:szCs w:val="21"/>
              </w:rPr>
            </w:pPr>
            <w:r>
              <w:rPr>
                <w:rFonts w:hint="eastAsia" w:ascii="宋体" w:hAnsi="宋体"/>
                <w:szCs w:val="21"/>
              </w:rPr>
              <w:t>大专以上</w:t>
            </w:r>
          </w:p>
        </w:tc>
        <w:tc>
          <w:tcPr>
            <w:tcW w:w="500" w:type="pct"/>
            <w:vAlign w:val="center"/>
          </w:tcPr>
          <w:p w14:paraId="3D4E2E25">
            <w:pPr>
              <w:pStyle w:val="12"/>
              <w:jc w:val="center"/>
              <w:rPr>
                <w:rFonts w:ascii="宋体" w:hAnsi="宋体"/>
                <w:szCs w:val="21"/>
              </w:rPr>
            </w:pPr>
            <w:r>
              <w:rPr>
                <w:rFonts w:hint="eastAsia" w:ascii="宋体" w:hAnsi="宋体"/>
                <w:szCs w:val="21"/>
              </w:rPr>
              <w:t>61</w:t>
            </w:r>
          </w:p>
        </w:tc>
        <w:tc>
          <w:tcPr>
            <w:tcW w:w="500" w:type="pct"/>
            <w:vAlign w:val="center"/>
          </w:tcPr>
          <w:p w14:paraId="3CBD8E46">
            <w:pPr>
              <w:pStyle w:val="12"/>
              <w:jc w:val="center"/>
              <w:rPr>
                <w:rFonts w:ascii="宋体" w:hAnsi="宋体"/>
                <w:szCs w:val="21"/>
              </w:rPr>
            </w:pPr>
            <w:r>
              <w:rPr>
                <w:rFonts w:hint="eastAsia" w:ascii="宋体" w:hAnsi="宋体"/>
                <w:szCs w:val="21"/>
              </w:rPr>
              <w:t>0.03</w:t>
            </w:r>
          </w:p>
        </w:tc>
        <w:tc>
          <w:tcPr>
            <w:tcW w:w="500" w:type="pct"/>
            <w:vAlign w:val="center"/>
          </w:tcPr>
          <w:p w14:paraId="31C27282">
            <w:pPr>
              <w:pStyle w:val="12"/>
              <w:jc w:val="center"/>
              <w:rPr>
                <w:rFonts w:ascii="宋体" w:hAnsi="宋体"/>
                <w:szCs w:val="21"/>
              </w:rPr>
            </w:pPr>
            <w:r>
              <w:rPr>
                <w:rFonts w:hint="eastAsia" w:ascii="宋体" w:hAnsi="宋体"/>
                <w:szCs w:val="21"/>
              </w:rPr>
              <w:t>491</w:t>
            </w:r>
          </w:p>
        </w:tc>
        <w:tc>
          <w:tcPr>
            <w:tcW w:w="500" w:type="pct"/>
            <w:vAlign w:val="center"/>
          </w:tcPr>
          <w:p w14:paraId="72CAC9C1">
            <w:pPr>
              <w:pStyle w:val="12"/>
              <w:jc w:val="center"/>
              <w:rPr>
                <w:rFonts w:ascii="宋体" w:hAnsi="宋体"/>
                <w:szCs w:val="21"/>
              </w:rPr>
            </w:pPr>
            <w:r>
              <w:rPr>
                <w:rFonts w:hint="eastAsia" w:ascii="宋体" w:hAnsi="宋体"/>
                <w:szCs w:val="21"/>
              </w:rPr>
              <w:t>0.18</w:t>
            </w:r>
          </w:p>
        </w:tc>
        <w:tc>
          <w:tcPr>
            <w:tcW w:w="500" w:type="pct"/>
            <w:vAlign w:val="center"/>
          </w:tcPr>
          <w:p w14:paraId="7374B424">
            <w:pPr>
              <w:pStyle w:val="12"/>
              <w:jc w:val="center"/>
              <w:rPr>
                <w:rFonts w:ascii="宋体" w:hAnsi="宋体"/>
                <w:szCs w:val="21"/>
              </w:rPr>
            </w:pPr>
            <w:r>
              <w:rPr>
                <w:rFonts w:hint="eastAsia" w:ascii="宋体" w:hAnsi="宋体"/>
                <w:szCs w:val="21"/>
              </w:rPr>
              <w:t>700</w:t>
            </w:r>
          </w:p>
        </w:tc>
        <w:tc>
          <w:tcPr>
            <w:tcW w:w="500" w:type="pct"/>
            <w:vAlign w:val="center"/>
          </w:tcPr>
          <w:p w14:paraId="5DCA5794">
            <w:pPr>
              <w:pStyle w:val="12"/>
              <w:jc w:val="center"/>
              <w:rPr>
                <w:rFonts w:ascii="宋体" w:hAnsi="宋体"/>
                <w:szCs w:val="21"/>
              </w:rPr>
            </w:pPr>
            <w:r>
              <w:rPr>
                <w:rFonts w:hint="eastAsia" w:ascii="宋体" w:hAnsi="宋体"/>
                <w:szCs w:val="21"/>
              </w:rPr>
              <w:t>0.2</w:t>
            </w:r>
          </w:p>
        </w:tc>
        <w:tc>
          <w:tcPr>
            <w:tcW w:w="500" w:type="pct"/>
            <w:vAlign w:val="center"/>
          </w:tcPr>
          <w:p w14:paraId="14720154">
            <w:pPr>
              <w:pStyle w:val="12"/>
              <w:jc w:val="center"/>
              <w:rPr>
                <w:rFonts w:ascii="宋体" w:hAnsi="宋体"/>
                <w:szCs w:val="21"/>
              </w:rPr>
            </w:pPr>
            <w:r>
              <w:rPr>
                <w:rFonts w:hint="eastAsia" w:ascii="宋体" w:hAnsi="宋体"/>
                <w:szCs w:val="21"/>
              </w:rPr>
              <w:t>1000</w:t>
            </w:r>
          </w:p>
        </w:tc>
        <w:tc>
          <w:tcPr>
            <w:tcW w:w="500" w:type="pct"/>
            <w:vAlign w:val="center"/>
          </w:tcPr>
          <w:p w14:paraId="618E9FA3">
            <w:pPr>
              <w:pStyle w:val="12"/>
              <w:jc w:val="center"/>
              <w:rPr>
                <w:rFonts w:ascii="宋体" w:hAnsi="宋体"/>
                <w:szCs w:val="21"/>
              </w:rPr>
            </w:pPr>
            <w:r>
              <w:rPr>
                <w:rFonts w:hint="eastAsia" w:ascii="宋体" w:hAnsi="宋体"/>
                <w:szCs w:val="21"/>
              </w:rPr>
              <w:t>0.2</w:t>
            </w:r>
          </w:p>
        </w:tc>
      </w:tr>
    </w:tbl>
    <w:p w14:paraId="306B588A">
      <w:pPr>
        <w:ind w:firstLine="422"/>
        <w:jc w:val="center"/>
        <w:rPr>
          <w:rFonts w:ascii="宋体" w:hAnsi="宋体" w:cs="宋体"/>
          <w:b/>
          <w:bCs/>
        </w:rPr>
      </w:pPr>
      <w:r>
        <w:rPr>
          <w:rFonts w:hint="eastAsia" w:ascii="宋体" w:hAnsi="宋体" w:cs="宋体"/>
          <w:b/>
          <w:bCs/>
        </w:rPr>
        <w:t>南雄市第四、五次人口普查的人口文化构成情况</w:t>
      </w:r>
    </w:p>
    <w:p w14:paraId="08AFABF1">
      <w:pPr>
        <w:ind w:firstLine="0" w:firstLineChars="0"/>
        <w:rPr>
          <w:rFonts w:ascii="宋体" w:hAnsi="宋体" w:cs="宋体"/>
          <w:b/>
          <w:bCs/>
        </w:rPr>
      </w:pPr>
      <w:r>
        <w:rPr>
          <w:rFonts w:hint="eastAsia" w:ascii="宋体" w:hAnsi="宋体" w:cs="宋体"/>
          <w:b/>
          <w:bCs/>
        </w:rPr>
        <w:t>表6-7</w:t>
      </w:r>
    </w:p>
    <w:p w14:paraId="63991EE9">
      <w:pPr>
        <w:ind w:firstLine="422"/>
        <w:jc w:val="right"/>
        <w:rPr>
          <w:rFonts w:ascii="宋体" w:hAnsi="宋体" w:cs="宋体"/>
          <w:b/>
          <w:bCs/>
        </w:rPr>
      </w:pPr>
      <w:r>
        <w:rPr>
          <w:rFonts w:hint="eastAsia" w:ascii="宋体" w:hAnsi="宋体" w:cs="宋体"/>
          <w:b/>
          <w:bCs/>
        </w:rPr>
        <w:t>单位：人、%</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1"/>
        <w:gridCol w:w="753"/>
        <w:gridCol w:w="996"/>
        <w:gridCol w:w="996"/>
        <w:gridCol w:w="996"/>
        <w:gridCol w:w="996"/>
        <w:gridCol w:w="996"/>
        <w:gridCol w:w="996"/>
        <w:gridCol w:w="997"/>
        <w:gridCol w:w="995"/>
      </w:tblGrid>
      <w:tr w14:paraId="3918DD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1" w:type="pct"/>
            <w:gridSpan w:val="2"/>
            <w:vAlign w:val="center"/>
          </w:tcPr>
          <w:p w14:paraId="3E4C60D7">
            <w:pPr>
              <w:pStyle w:val="12"/>
              <w:jc w:val="center"/>
              <w:rPr>
                <w:b/>
              </w:rPr>
            </w:pPr>
            <w:r>
              <w:rPr>
                <w:rFonts w:hint="eastAsia"/>
                <w:b/>
              </w:rPr>
              <w:t>项  目</w:t>
            </w:r>
          </w:p>
        </w:tc>
        <w:tc>
          <w:tcPr>
            <w:tcW w:w="500" w:type="pct"/>
            <w:vAlign w:val="center"/>
          </w:tcPr>
          <w:p w14:paraId="7EBB8914">
            <w:pPr>
              <w:pStyle w:val="12"/>
              <w:jc w:val="center"/>
              <w:rPr>
                <w:b/>
              </w:rPr>
            </w:pPr>
            <w:r>
              <w:rPr>
                <w:rFonts w:hint="eastAsia"/>
                <w:b/>
              </w:rPr>
              <w:t>6岁及6岁以上人口数</w:t>
            </w:r>
          </w:p>
        </w:tc>
        <w:tc>
          <w:tcPr>
            <w:tcW w:w="500" w:type="pct"/>
            <w:vAlign w:val="center"/>
          </w:tcPr>
          <w:p w14:paraId="013E8D12">
            <w:pPr>
              <w:pStyle w:val="12"/>
              <w:jc w:val="center"/>
              <w:rPr>
                <w:b/>
              </w:rPr>
            </w:pPr>
            <w:r>
              <w:rPr>
                <w:rFonts w:hint="eastAsia"/>
                <w:b/>
              </w:rPr>
              <w:t>大学本科（含研究生）</w:t>
            </w:r>
          </w:p>
        </w:tc>
        <w:tc>
          <w:tcPr>
            <w:tcW w:w="500" w:type="pct"/>
            <w:vAlign w:val="center"/>
          </w:tcPr>
          <w:p w14:paraId="5B69485F">
            <w:pPr>
              <w:pStyle w:val="12"/>
              <w:jc w:val="center"/>
              <w:rPr>
                <w:b/>
              </w:rPr>
            </w:pPr>
            <w:r>
              <w:rPr>
                <w:rFonts w:hint="eastAsia"/>
                <w:b/>
              </w:rPr>
              <w:t>大学专科</w:t>
            </w:r>
          </w:p>
        </w:tc>
        <w:tc>
          <w:tcPr>
            <w:tcW w:w="500" w:type="pct"/>
            <w:vAlign w:val="center"/>
          </w:tcPr>
          <w:p w14:paraId="327EC41F">
            <w:pPr>
              <w:pStyle w:val="12"/>
              <w:jc w:val="center"/>
              <w:rPr>
                <w:b/>
              </w:rPr>
            </w:pPr>
            <w:r>
              <w:rPr>
                <w:rFonts w:hint="eastAsia"/>
                <w:b/>
              </w:rPr>
              <w:t>中专</w:t>
            </w:r>
          </w:p>
        </w:tc>
        <w:tc>
          <w:tcPr>
            <w:tcW w:w="500" w:type="pct"/>
            <w:vAlign w:val="center"/>
          </w:tcPr>
          <w:p w14:paraId="10AC0266">
            <w:pPr>
              <w:pStyle w:val="12"/>
              <w:jc w:val="center"/>
              <w:rPr>
                <w:b/>
              </w:rPr>
            </w:pPr>
            <w:r>
              <w:rPr>
                <w:rFonts w:hint="eastAsia"/>
                <w:b/>
              </w:rPr>
              <w:t>高中</w:t>
            </w:r>
          </w:p>
        </w:tc>
        <w:tc>
          <w:tcPr>
            <w:tcW w:w="500" w:type="pct"/>
            <w:vAlign w:val="center"/>
          </w:tcPr>
          <w:p w14:paraId="32C6D2F6">
            <w:pPr>
              <w:pStyle w:val="12"/>
              <w:jc w:val="center"/>
              <w:rPr>
                <w:b/>
              </w:rPr>
            </w:pPr>
            <w:r>
              <w:rPr>
                <w:rFonts w:hint="eastAsia"/>
                <w:b/>
              </w:rPr>
              <w:t>初中</w:t>
            </w:r>
          </w:p>
        </w:tc>
        <w:tc>
          <w:tcPr>
            <w:tcW w:w="500" w:type="pct"/>
            <w:vAlign w:val="center"/>
          </w:tcPr>
          <w:p w14:paraId="2F1D141A">
            <w:pPr>
              <w:pStyle w:val="12"/>
              <w:jc w:val="center"/>
              <w:rPr>
                <w:b/>
              </w:rPr>
            </w:pPr>
            <w:r>
              <w:rPr>
                <w:rFonts w:hint="eastAsia"/>
                <w:b/>
              </w:rPr>
              <w:t>小学</w:t>
            </w:r>
          </w:p>
        </w:tc>
        <w:tc>
          <w:tcPr>
            <w:tcW w:w="500" w:type="pct"/>
            <w:vAlign w:val="center"/>
          </w:tcPr>
          <w:p w14:paraId="772EC61C">
            <w:pPr>
              <w:pStyle w:val="12"/>
              <w:jc w:val="center"/>
              <w:rPr>
                <w:b/>
              </w:rPr>
            </w:pPr>
            <w:r>
              <w:rPr>
                <w:rFonts w:hint="eastAsia"/>
                <w:b/>
              </w:rPr>
              <w:t>不识字或识字很少</w:t>
            </w:r>
          </w:p>
        </w:tc>
      </w:tr>
      <w:tr w14:paraId="46FB87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Merge w:val="restart"/>
            <w:vAlign w:val="center"/>
          </w:tcPr>
          <w:p w14:paraId="2A0BAF48">
            <w:pPr>
              <w:pStyle w:val="12"/>
              <w:jc w:val="center"/>
            </w:pPr>
            <w:r>
              <w:rPr>
                <w:rFonts w:hint="eastAsia"/>
              </w:rPr>
              <w:t>第四次人口普查</w:t>
            </w:r>
          </w:p>
        </w:tc>
        <w:tc>
          <w:tcPr>
            <w:tcW w:w="377" w:type="pct"/>
            <w:vAlign w:val="center"/>
          </w:tcPr>
          <w:p w14:paraId="1E991509">
            <w:pPr>
              <w:pStyle w:val="12"/>
              <w:jc w:val="center"/>
            </w:pPr>
            <w:r>
              <w:rPr>
                <w:rFonts w:hint="eastAsia"/>
              </w:rPr>
              <w:t>人数</w:t>
            </w:r>
          </w:p>
        </w:tc>
        <w:tc>
          <w:tcPr>
            <w:tcW w:w="500" w:type="pct"/>
            <w:vAlign w:val="center"/>
          </w:tcPr>
          <w:p w14:paraId="06EA27F6">
            <w:pPr>
              <w:pStyle w:val="12"/>
              <w:jc w:val="center"/>
            </w:pPr>
            <w:r>
              <w:rPr>
                <w:rFonts w:hint="eastAsia"/>
              </w:rPr>
              <w:t>381783</w:t>
            </w:r>
          </w:p>
        </w:tc>
        <w:tc>
          <w:tcPr>
            <w:tcW w:w="500" w:type="pct"/>
            <w:vAlign w:val="center"/>
          </w:tcPr>
          <w:p w14:paraId="60ADB471">
            <w:pPr>
              <w:pStyle w:val="12"/>
              <w:jc w:val="center"/>
            </w:pPr>
            <w:r>
              <w:rPr>
                <w:rFonts w:hint="eastAsia"/>
              </w:rPr>
              <w:t>375</w:t>
            </w:r>
          </w:p>
        </w:tc>
        <w:tc>
          <w:tcPr>
            <w:tcW w:w="500" w:type="pct"/>
            <w:vAlign w:val="center"/>
          </w:tcPr>
          <w:p w14:paraId="3D2E5481">
            <w:pPr>
              <w:pStyle w:val="12"/>
              <w:jc w:val="center"/>
            </w:pPr>
            <w:r>
              <w:rPr>
                <w:rFonts w:hint="eastAsia"/>
              </w:rPr>
              <w:t>2419</w:t>
            </w:r>
          </w:p>
        </w:tc>
        <w:tc>
          <w:tcPr>
            <w:tcW w:w="500" w:type="pct"/>
            <w:vAlign w:val="center"/>
          </w:tcPr>
          <w:p w14:paraId="539AFF64">
            <w:pPr>
              <w:pStyle w:val="12"/>
              <w:jc w:val="center"/>
            </w:pPr>
            <w:r>
              <w:rPr>
                <w:rFonts w:hint="eastAsia"/>
              </w:rPr>
              <w:t>4349</w:t>
            </w:r>
          </w:p>
        </w:tc>
        <w:tc>
          <w:tcPr>
            <w:tcW w:w="500" w:type="pct"/>
            <w:vAlign w:val="center"/>
          </w:tcPr>
          <w:p w14:paraId="58D8600A">
            <w:pPr>
              <w:pStyle w:val="12"/>
              <w:jc w:val="center"/>
            </w:pPr>
            <w:r>
              <w:rPr>
                <w:rFonts w:hint="eastAsia"/>
              </w:rPr>
              <w:t>26677</w:t>
            </w:r>
          </w:p>
        </w:tc>
        <w:tc>
          <w:tcPr>
            <w:tcW w:w="500" w:type="pct"/>
            <w:vAlign w:val="center"/>
          </w:tcPr>
          <w:p w14:paraId="5ADE662B">
            <w:pPr>
              <w:pStyle w:val="12"/>
              <w:jc w:val="center"/>
            </w:pPr>
            <w:r>
              <w:rPr>
                <w:rFonts w:hint="eastAsia"/>
              </w:rPr>
              <w:t>77872</w:t>
            </w:r>
          </w:p>
        </w:tc>
        <w:tc>
          <w:tcPr>
            <w:tcW w:w="500" w:type="pct"/>
            <w:vAlign w:val="center"/>
          </w:tcPr>
          <w:p w14:paraId="5CD5AA3B">
            <w:pPr>
              <w:pStyle w:val="12"/>
              <w:jc w:val="center"/>
            </w:pPr>
            <w:r>
              <w:rPr>
                <w:rFonts w:hint="eastAsia"/>
              </w:rPr>
              <w:t>190077</w:t>
            </w:r>
          </w:p>
        </w:tc>
        <w:tc>
          <w:tcPr>
            <w:tcW w:w="500" w:type="pct"/>
            <w:vAlign w:val="center"/>
          </w:tcPr>
          <w:p w14:paraId="321A39E0">
            <w:pPr>
              <w:pStyle w:val="12"/>
              <w:jc w:val="center"/>
            </w:pPr>
            <w:r>
              <w:rPr>
                <w:rFonts w:hint="eastAsia"/>
              </w:rPr>
              <w:t>80014</w:t>
            </w:r>
          </w:p>
        </w:tc>
      </w:tr>
      <w:tr w14:paraId="5F4C97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Merge w:val="continue"/>
            <w:vAlign w:val="center"/>
          </w:tcPr>
          <w:p w14:paraId="20408BC3">
            <w:pPr>
              <w:pStyle w:val="12"/>
              <w:jc w:val="center"/>
            </w:pPr>
          </w:p>
        </w:tc>
        <w:tc>
          <w:tcPr>
            <w:tcW w:w="377" w:type="pct"/>
            <w:vAlign w:val="center"/>
          </w:tcPr>
          <w:p w14:paraId="4B1C8C32">
            <w:pPr>
              <w:pStyle w:val="12"/>
              <w:jc w:val="center"/>
            </w:pPr>
            <w:r>
              <w:rPr>
                <w:rFonts w:hint="eastAsia"/>
              </w:rPr>
              <w:t>占比</w:t>
            </w:r>
          </w:p>
        </w:tc>
        <w:tc>
          <w:tcPr>
            <w:tcW w:w="500" w:type="pct"/>
            <w:vAlign w:val="center"/>
          </w:tcPr>
          <w:p w14:paraId="172BD079">
            <w:pPr>
              <w:pStyle w:val="12"/>
              <w:jc w:val="center"/>
            </w:pPr>
            <w:r>
              <w:rPr>
                <w:rFonts w:hint="eastAsia"/>
              </w:rPr>
              <w:t>100</w:t>
            </w:r>
          </w:p>
        </w:tc>
        <w:tc>
          <w:tcPr>
            <w:tcW w:w="500" w:type="pct"/>
            <w:vAlign w:val="center"/>
          </w:tcPr>
          <w:p w14:paraId="0ECED381">
            <w:pPr>
              <w:pStyle w:val="12"/>
              <w:jc w:val="center"/>
            </w:pPr>
            <w:r>
              <w:rPr>
                <w:rFonts w:hint="eastAsia"/>
              </w:rPr>
              <w:t>0.09</w:t>
            </w:r>
          </w:p>
        </w:tc>
        <w:tc>
          <w:tcPr>
            <w:tcW w:w="500" w:type="pct"/>
            <w:vAlign w:val="center"/>
          </w:tcPr>
          <w:p w14:paraId="5B3D087F">
            <w:pPr>
              <w:pStyle w:val="12"/>
              <w:jc w:val="center"/>
            </w:pPr>
            <w:r>
              <w:rPr>
                <w:rFonts w:hint="eastAsia"/>
              </w:rPr>
              <w:t>0.63</w:t>
            </w:r>
          </w:p>
        </w:tc>
        <w:tc>
          <w:tcPr>
            <w:tcW w:w="500" w:type="pct"/>
            <w:vAlign w:val="center"/>
          </w:tcPr>
          <w:p w14:paraId="01C2A4F2">
            <w:pPr>
              <w:pStyle w:val="12"/>
              <w:jc w:val="center"/>
            </w:pPr>
            <w:r>
              <w:rPr>
                <w:rFonts w:hint="eastAsia"/>
              </w:rPr>
              <w:t>1.14</w:t>
            </w:r>
          </w:p>
        </w:tc>
        <w:tc>
          <w:tcPr>
            <w:tcW w:w="500" w:type="pct"/>
            <w:vAlign w:val="center"/>
          </w:tcPr>
          <w:p w14:paraId="36EDB1C2">
            <w:pPr>
              <w:pStyle w:val="12"/>
              <w:jc w:val="center"/>
            </w:pPr>
            <w:r>
              <w:rPr>
                <w:rFonts w:hint="eastAsia"/>
              </w:rPr>
              <w:t>6.99</w:t>
            </w:r>
          </w:p>
        </w:tc>
        <w:tc>
          <w:tcPr>
            <w:tcW w:w="500" w:type="pct"/>
            <w:vAlign w:val="center"/>
          </w:tcPr>
          <w:p w14:paraId="2DF28EBA">
            <w:pPr>
              <w:pStyle w:val="12"/>
              <w:jc w:val="center"/>
            </w:pPr>
            <w:r>
              <w:rPr>
                <w:rFonts w:hint="eastAsia"/>
              </w:rPr>
              <w:t>20.40</w:t>
            </w:r>
          </w:p>
        </w:tc>
        <w:tc>
          <w:tcPr>
            <w:tcW w:w="500" w:type="pct"/>
            <w:vAlign w:val="center"/>
          </w:tcPr>
          <w:p w14:paraId="076DC39E">
            <w:pPr>
              <w:pStyle w:val="12"/>
              <w:jc w:val="center"/>
            </w:pPr>
            <w:r>
              <w:rPr>
                <w:rFonts w:hint="eastAsia"/>
              </w:rPr>
              <w:t>49.79</w:t>
            </w:r>
          </w:p>
        </w:tc>
        <w:tc>
          <w:tcPr>
            <w:tcW w:w="500" w:type="pct"/>
            <w:vAlign w:val="center"/>
          </w:tcPr>
          <w:p w14:paraId="4A1B0DCE">
            <w:pPr>
              <w:pStyle w:val="12"/>
              <w:jc w:val="center"/>
            </w:pPr>
            <w:r>
              <w:rPr>
                <w:rFonts w:hint="eastAsia"/>
              </w:rPr>
              <w:t>20.96</w:t>
            </w:r>
          </w:p>
        </w:tc>
      </w:tr>
      <w:tr w14:paraId="6191A46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Merge w:val="restart"/>
            <w:vAlign w:val="center"/>
          </w:tcPr>
          <w:p w14:paraId="35DFF89D">
            <w:pPr>
              <w:pStyle w:val="12"/>
              <w:jc w:val="center"/>
            </w:pPr>
            <w:r>
              <w:rPr>
                <w:rFonts w:hint="eastAsia"/>
              </w:rPr>
              <w:t>第五次人口普查</w:t>
            </w:r>
          </w:p>
        </w:tc>
        <w:tc>
          <w:tcPr>
            <w:tcW w:w="377" w:type="pct"/>
            <w:vAlign w:val="center"/>
          </w:tcPr>
          <w:p w14:paraId="647AD878">
            <w:pPr>
              <w:pStyle w:val="12"/>
              <w:jc w:val="center"/>
            </w:pPr>
            <w:r>
              <w:rPr>
                <w:rFonts w:hint="eastAsia"/>
              </w:rPr>
              <w:t>人数</w:t>
            </w:r>
          </w:p>
        </w:tc>
        <w:tc>
          <w:tcPr>
            <w:tcW w:w="500" w:type="pct"/>
            <w:vAlign w:val="center"/>
          </w:tcPr>
          <w:p w14:paraId="6122B212">
            <w:pPr>
              <w:pStyle w:val="12"/>
              <w:jc w:val="center"/>
            </w:pPr>
            <w:r>
              <w:rPr>
                <w:rFonts w:hint="eastAsia"/>
              </w:rPr>
              <w:t>338803</w:t>
            </w:r>
          </w:p>
        </w:tc>
        <w:tc>
          <w:tcPr>
            <w:tcW w:w="500" w:type="pct"/>
            <w:vAlign w:val="center"/>
          </w:tcPr>
          <w:p w14:paraId="033121E1">
            <w:pPr>
              <w:pStyle w:val="12"/>
              <w:jc w:val="center"/>
            </w:pPr>
            <w:r>
              <w:rPr>
                <w:rFonts w:hint="eastAsia"/>
              </w:rPr>
              <w:t>891</w:t>
            </w:r>
          </w:p>
        </w:tc>
        <w:tc>
          <w:tcPr>
            <w:tcW w:w="500" w:type="pct"/>
            <w:vAlign w:val="center"/>
          </w:tcPr>
          <w:p w14:paraId="0D8D458B">
            <w:pPr>
              <w:pStyle w:val="12"/>
              <w:jc w:val="center"/>
            </w:pPr>
            <w:r>
              <w:rPr>
                <w:rFonts w:hint="eastAsia"/>
              </w:rPr>
              <w:t>6311</w:t>
            </w:r>
          </w:p>
        </w:tc>
        <w:tc>
          <w:tcPr>
            <w:tcW w:w="500" w:type="pct"/>
            <w:vAlign w:val="center"/>
          </w:tcPr>
          <w:p w14:paraId="4DF6D9B6">
            <w:pPr>
              <w:pStyle w:val="12"/>
              <w:jc w:val="center"/>
            </w:pPr>
            <w:r>
              <w:rPr>
                <w:rFonts w:hint="eastAsia"/>
              </w:rPr>
              <w:t>8500</w:t>
            </w:r>
          </w:p>
        </w:tc>
        <w:tc>
          <w:tcPr>
            <w:tcW w:w="500" w:type="pct"/>
            <w:vAlign w:val="center"/>
          </w:tcPr>
          <w:p w14:paraId="3B9E445E">
            <w:pPr>
              <w:pStyle w:val="12"/>
              <w:jc w:val="center"/>
            </w:pPr>
            <w:r>
              <w:rPr>
                <w:rFonts w:hint="eastAsia"/>
              </w:rPr>
              <w:t>25074</w:t>
            </w:r>
          </w:p>
        </w:tc>
        <w:tc>
          <w:tcPr>
            <w:tcW w:w="500" w:type="pct"/>
            <w:vAlign w:val="center"/>
          </w:tcPr>
          <w:p w14:paraId="1DD0E0DE">
            <w:pPr>
              <w:pStyle w:val="12"/>
              <w:jc w:val="center"/>
            </w:pPr>
            <w:r>
              <w:rPr>
                <w:rFonts w:hint="eastAsia"/>
              </w:rPr>
              <w:t>92538</w:t>
            </w:r>
          </w:p>
        </w:tc>
        <w:tc>
          <w:tcPr>
            <w:tcW w:w="500" w:type="pct"/>
            <w:vAlign w:val="center"/>
          </w:tcPr>
          <w:p w14:paraId="787999DF">
            <w:pPr>
              <w:pStyle w:val="12"/>
              <w:jc w:val="center"/>
            </w:pPr>
            <w:r>
              <w:rPr>
                <w:rFonts w:hint="eastAsia"/>
              </w:rPr>
              <w:t>167689</w:t>
            </w:r>
          </w:p>
        </w:tc>
        <w:tc>
          <w:tcPr>
            <w:tcW w:w="500" w:type="pct"/>
            <w:vAlign w:val="center"/>
          </w:tcPr>
          <w:p w14:paraId="61F0CDA2">
            <w:pPr>
              <w:pStyle w:val="12"/>
              <w:jc w:val="center"/>
            </w:pPr>
            <w:r>
              <w:rPr>
                <w:rFonts w:hint="eastAsia"/>
              </w:rPr>
              <w:t>37800</w:t>
            </w:r>
          </w:p>
        </w:tc>
      </w:tr>
      <w:tr w14:paraId="33EDD9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Merge w:val="continue"/>
            <w:vAlign w:val="center"/>
          </w:tcPr>
          <w:p w14:paraId="0217EF79">
            <w:pPr>
              <w:pStyle w:val="12"/>
              <w:jc w:val="center"/>
            </w:pPr>
          </w:p>
        </w:tc>
        <w:tc>
          <w:tcPr>
            <w:tcW w:w="377" w:type="pct"/>
            <w:vAlign w:val="center"/>
          </w:tcPr>
          <w:p w14:paraId="48E372FA">
            <w:pPr>
              <w:pStyle w:val="12"/>
              <w:jc w:val="center"/>
            </w:pPr>
            <w:r>
              <w:rPr>
                <w:rFonts w:hint="eastAsia"/>
              </w:rPr>
              <w:t>占比</w:t>
            </w:r>
          </w:p>
        </w:tc>
        <w:tc>
          <w:tcPr>
            <w:tcW w:w="500" w:type="pct"/>
            <w:vAlign w:val="center"/>
          </w:tcPr>
          <w:p w14:paraId="05CCD351">
            <w:pPr>
              <w:pStyle w:val="12"/>
              <w:jc w:val="center"/>
            </w:pPr>
            <w:r>
              <w:rPr>
                <w:rFonts w:hint="eastAsia"/>
              </w:rPr>
              <w:t>100</w:t>
            </w:r>
          </w:p>
        </w:tc>
        <w:tc>
          <w:tcPr>
            <w:tcW w:w="500" w:type="pct"/>
            <w:vAlign w:val="center"/>
          </w:tcPr>
          <w:p w14:paraId="2173A282">
            <w:pPr>
              <w:pStyle w:val="12"/>
              <w:jc w:val="center"/>
            </w:pPr>
            <w:r>
              <w:rPr>
                <w:rFonts w:hint="eastAsia"/>
              </w:rPr>
              <w:t>0.26</w:t>
            </w:r>
          </w:p>
        </w:tc>
        <w:tc>
          <w:tcPr>
            <w:tcW w:w="500" w:type="pct"/>
            <w:vAlign w:val="center"/>
          </w:tcPr>
          <w:p w14:paraId="77B6EFBF">
            <w:pPr>
              <w:pStyle w:val="12"/>
              <w:jc w:val="center"/>
            </w:pPr>
            <w:r>
              <w:rPr>
                <w:rFonts w:hint="eastAsia"/>
              </w:rPr>
              <w:t>1.86</w:t>
            </w:r>
          </w:p>
        </w:tc>
        <w:tc>
          <w:tcPr>
            <w:tcW w:w="500" w:type="pct"/>
            <w:vAlign w:val="center"/>
          </w:tcPr>
          <w:p w14:paraId="7B769E19">
            <w:pPr>
              <w:pStyle w:val="12"/>
              <w:jc w:val="center"/>
            </w:pPr>
            <w:r>
              <w:rPr>
                <w:rFonts w:hint="eastAsia"/>
              </w:rPr>
              <w:t>2.50</w:t>
            </w:r>
          </w:p>
        </w:tc>
        <w:tc>
          <w:tcPr>
            <w:tcW w:w="500" w:type="pct"/>
            <w:vAlign w:val="center"/>
          </w:tcPr>
          <w:p w14:paraId="72574872">
            <w:pPr>
              <w:pStyle w:val="12"/>
              <w:jc w:val="center"/>
            </w:pPr>
            <w:r>
              <w:rPr>
                <w:rFonts w:hint="eastAsia"/>
              </w:rPr>
              <w:t>7.40</w:t>
            </w:r>
          </w:p>
        </w:tc>
        <w:tc>
          <w:tcPr>
            <w:tcW w:w="500" w:type="pct"/>
            <w:vAlign w:val="center"/>
          </w:tcPr>
          <w:p w14:paraId="2CAC5E72">
            <w:pPr>
              <w:pStyle w:val="12"/>
              <w:jc w:val="center"/>
            </w:pPr>
            <w:r>
              <w:rPr>
                <w:rFonts w:hint="eastAsia"/>
              </w:rPr>
              <w:t>27.31</w:t>
            </w:r>
          </w:p>
        </w:tc>
        <w:tc>
          <w:tcPr>
            <w:tcW w:w="500" w:type="pct"/>
            <w:vAlign w:val="center"/>
          </w:tcPr>
          <w:p w14:paraId="388DF1F7">
            <w:pPr>
              <w:pStyle w:val="12"/>
              <w:jc w:val="center"/>
            </w:pPr>
            <w:r>
              <w:rPr>
                <w:rFonts w:hint="eastAsia"/>
              </w:rPr>
              <w:t>49.49</w:t>
            </w:r>
          </w:p>
        </w:tc>
        <w:tc>
          <w:tcPr>
            <w:tcW w:w="500" w:type="pct"/>
            <w:vAlign w:val="center"/>
          </w:tcPr>
          <w:p w14:paraId="2748167D">
            <w:pPr>
              <w:pStyle w:val="12"/>
              <w:jc w:val="center"/>
            </w:pPr>
            <w:r>
              <w:rPr>
                <w:rFonts w:hint="eastAsia"/>
              </w:rPr>
              <w:t>11.16</w:t>
            </w:r>
          </w:p>
        </w:tc>
      </w:tr>
    </w:tbl>
    <w:p w14:paraId="60FB7DF2">
      <w:pPr>
        <w:ind w:firstLine="422"/>
        <w:rPr>
          <w:rFonts w:ascii="宋体" w:hAnsi="宋体" w:cs="宋体"/>
          <w:b/>
        </w:rPr>
      </w:pPr>
      <w:r>
        <w:rPr>
          <w:rFonts w:hint="eastAsia" w:ascii="宋体" w:hAnsi="宋体" w:cs="宋体"/>
          <w:b/>
        </w:rPr>
        <w:t>说明：第五次人口普查15岁及15岁以上文盲、半文盲人口为32690人，占12.23%。第五次人口普查的人口为登记时常住人口。</w:t>
      </w:r>
    </w:p>
    <w:p w14:paraId="1F743DC6">
      <w:pPr>
        <w:ind w:firstLine="422"/>
        <w:rPr>
          <w:rFonts w:ascii="宋体" w:hAnsi="宋体" w:cs="宋体"/>
          <w:b/>
          <w:bCs/>
        </w:rPr>
      </w:pPr>
      <w:r>
        <w:rPr>
          <w:rFonts w:hint="eastAsia" w:ascii="宋体" w:hAnsi="宋体" w:cs="宋体"/>
          <w:b/>
          <w:bCs/>
        </w:rPr>
        <w:t>（四）行业职业构成</w:t>
      </w:r>
    </w:p>
    <w:p w14:paraId="7AD62DE6">
      <w:pPr>
        <w:ind w:firstLine="420"/>
        <w:rPr>
          <w:rFonts w:ascii="宋体" w:hAnsi="宋体" w:cs="宋体"/>
        </w:rPr>
      </w:pPr>
      <w:r>
        <w:rPr>
          <w:rFonts w:hint="eastAsia" w:ascii="宋体" w:hAnsi="宋体" w:cs="宋体"/>
        </w:rPr>
        <w:t>1.第三、四、五次人口普查在业人口行业构成详见表6-8：</w:t>
      </w:r>
    </w:p>
    <w:p w14:paraId="3B778193">
      <w:pPr>
        <w:ind w:firstLine="422"/>
        <w:jc w:val="center"/>
        <w:rPr>
          <w:rFonts w:ascii="宋体" w:hAnsi="宋体" w:cs="宋体"/>
          <w:b/>
          <w:bCs/>
        </w:rPr>
      </w:pPr>
      <w:r>
        <w:rPr>
          <w:rFonts w:hint="eastAsia" w:ascii="宋体" w:hAnsi="宋体" w:cs="宋体"/>
          <w:b/>
          <w:bCs/>
        </w:rPr>
        <w:t>南雄市第三、四、五次人口普查在业人口行业结构</w:t>
      </w:r>
    </w:p>
    <w:p w14:paraId="59AC9938">
      <w:pPr>
        <w:ind w:firstLine="0" w:firstLineChars="0"/>
        <w:rPr>
          <w:rFonts w:ascii="宋体" w:hAnsi="宋体" w:cs="宋体"/>
          <w:b/>
          <w:bCs/>
        </w:rPr>
      </w:pPr>
      <w:r>
        <w:rPr>
          <w:rFonts w:hint="eastAsia" w:ascii="宋体" w:hAnsi="宋体" w:cs="宋体"/>
          <w:b/>
          <w:bCs/>
        </w:rPr>
        <w:t>表6-8</w:t>
      </w:r>
    </w:p>
    <w:p w14:paraId="31FC8F18">
      <w:pPr>
        <w:ind w:firstLine="422"/>
        <w:jc w:val="right"/>
        <w:rPr>
          <w:rFonts w:ascii="宋体" w:hAnsi="宋体" w:cs="宋体"/>
          <w:b/>
          <w:bCs/>
        </w:rPr>
      </w:pPr>
      <w:r>
        <w:rPr>
          <w:rFonts w:hint="eastAsia" w:ascii="宋体" w:hAnsi="宋体" w:cs="宋体"/>
          <w:b/>
          <w:bCs/>
        </w:rPr>
        <w:t>单位：人、%</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44"/>
        <w:gridCol w:w="1235"/>
        <w:gridCol w:w="1237"/>
        <w:gridCol w:w="1235"/>
        <w:gridCol w:w="1237"/>
        <w:gridCol w:w="1236"/>
        <w:gridCol w:w="1238"/>
      </w:tblGrid>
      <w:tr w14:paraId="4EC9F7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7" w:type="pct"/>
            <w:vAlign w:val="center"/>
          </w:tcPr>
          <w:p w14:paraId="0CA3E769">
            <w:pPr>
              <w:pStyle w:val="12"/>
              <w:jc w:val="center"/>
              <w:rPr>
                <w:b/>
              </w:rPr>
            </w:pPr>
            <w:r>
              <w:rPr>
                <w:rFonts w:hint="eastAsia"/>
                <w:b/>
              </w:rPr>
              <w:t>行  业</w:t>
            </w:r>
          </w:p>
        </w:tc>
        <w:tc>
          <w:tcPr>
            <w:tcW w:w="620" w:type="pct"/>
            <w:vAlign w:val="center"/>
          </w:tcPr>
          <w:p w14:paraId="358AFCF6">
            <w:pPr>
              <w:pStyle w:val="12"/>
              <w:jc w:val="center"/>
              <w:rPr>
                <w:b/>
              </w:rPr>
            </w:pPr>
            <w:r>
              <w:rPr>
                <w:rFonts w:hint="eastAsia"/>
                <w:b/>
              </w:rPr>
              <w:t>人数</w:t>
            </w:r>
          </w:p>
        </w:tc>
        <w:tc>
          <w:tcPr>
            <w:tcW w:w="621" w:type="pct"/>
            <w:vAlign w:val="center"/>
          </w:tcPr>
          <w:p w14:paraId="5BBC1538">
            <w:pPr>
              <w:pStyle w:val="12"/>
              <w:jc w:val="center"/>
              <w:rPr>
                <w:b/>
              </w:rPr>
            </w:pPr>
            <w:r>
              <w:rPr>
                <w:rFonts w:hint="eastAsia"/>
                <w:b/>
              </w:rPr>
              <w:t>占在业人口比</w:t>
            </w:r>
          </w:p>
        </w:tc>
        <w:tc>
          <w:tcPr>
            <w:tcW w:w="620" w:type="pct"/>
            <w:vAlign w:val="center"/>
          </w:tcPr>
          <w:p w14:paraId="3E80EED0">
            <w:pPr>
              <w:pStyle w:val="12"/>
              <w:jc w:val="center"/>
              <w:rPr>
                <w:b/>
              </w:rPr>
            </w:pPr>
            <w:r>
              <w:rPr>
                <w:rFonts w:hint="eastAsia"/>
                <w:b/>
              </w:rPr>
              <w:t>人数</w:t>
            </w:r>
          </w:p>
        </w:tc>
        <w:tc>
          <w:tcPr>
            <w:tcW w:w="621" w:type="pct"/>
            <w:vAlign w:val="center"/>
          </w:tcPr>
          <w:p w14:paraId="4F648A95">
            <w:pPr>
              <w:pStyle w:val="12"/>
              <w:jc w:val="center"/>
              <w:rPr>
                <w:b/>
              </w:rPr>
            </w:pPr>
            <w:r>
              <w:rPr>
                <w:rFonts w:hint="eastAsia"/>
                <w:b/>
              </w:rPr>
              <w:t>占在业人口比</w:t>
            </w:r>
          </w:p>
        </w:tc>
        <w:tc>
          <w:tcPr>
            <w:tcW w:w="620" w:type="pct"/>
            <w:vAlign w:val="center"/>
          </w:tcPr>
          <w:p w14:paraId="217CA13F">
            <w:pPr>
              <w:pStyle w:val="12"/>
              <w:jc w:val="center"/>
              <w:rPr>
                <w:b/>
              </w:rPr>
            </w:pPr>
            <w:r>
              <w:rPr>
                <w:rFonts w:hint="eastAsia"/>
                <w:b/>
              </w:rPr>
              <w:t>人数</w:t>
            </w:r>
          </w:p>
        </w:tc>
        <w:tc>
          <w:tcPr>
            <w:tcW w:w="621" w:type="pct"/>
            <w:vAlign w:val="center"/>
          </w:tcPr>
          <w:p w14:paraId="2A7ACD5B">
            <w:pPr>
              <w:pStyle w:val="12"/>
              <w:jc w:val="center"/>
              <w:rPr>
                <w:b/>
              </w:rPr>
            </w:pPr>
            <w:r>
              <w:rPr>
                <w:rFonts w:hint="eastAsia"/>
                <w:b/>
              </w:rPr>
              <w:t>占在业人口比</w:t>
            </w:r>
          </w:p>
        </w:tc>
      </w:tr>
      <w:tr w14:paraId="0B5C60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7" w:type="pct"/>
            <w:vAlign w:val="center"/>
          </w:tcPr>
          <w:p w14:paraId="40559FF0">
            <w:pPr>
              <w:pStyle w:val="12"/>
              <w:jc w:val="left"/>
            </w:pPr>
            <w:r>
              <w:rPr>
                <w:rFonts w:hint="eastAsia"/>
              </w:rPr>
              <w:t>农林牧渔水利业</w:t>
            </w:r>
          </w:p>
        </w:tc>
        <w:tc>
          <w:tcPr>
            <w:tcW w:w="620" w:type="pct"/>
            <w:vAlign w:val="center"/>
          </w:tcPr>
          <w:p w14:paraId="30ED58DB">
            <w:pPr>
              <w:pStyle w:val="12"/>
              <w:jc w:val="center"/>
            </w:pPr>
            <w:r>
              <w:rPr>
                <w:rFonts w:hint="eastAsia"/>
              </w:rPr>
              <w:t>157878</w:t>
            </w:r>
          </w:p>
        </w:tc>
        <w:tc>
          <w:tcPr>
            <w:tcW w:w="621" w:type="pct"/>
            <w:vAlign w:val="center"/>
          </w:tcPr>
          <w:p w14:paraId="2975F404">
            <w:pPr>
              <w:pStyle w:val="12"/>
              <w:jc w:val="center"/>
            </w:pPr>
            <w:r>
              <w:rPr>
                <w:rFonts w:hint="eastAsia"/>
              </w:rPr>
              <w:t>84.63</w:t>
            </w:r>
          </w:p>
        </w:tc>
        <w:tc>
          <w:tcPr>
            <w:tcW w:w="620" w:type="pct"/>
            <w:vAlign w:val="center"/>
          </w:tcPr>
          <w:p w14:paraId="0F0A06A5">
            <w:pPr>
              <w:pStyle w:val="12"/>
              <w:jc w:val="center"/>
            </w:pPr>
            <w:r>
              <w:rPr>
                <w:rFonts w:hint="eastAsia"/>
              </w:rPr>
              <w:t>190695</w:t>
            </w:r>
          </w:p>
        </w:tc>
        <w:tc>
          <w:tcPr>
            <w:tcW w:w="621" w:type="pct"/>
            <w:vAlign w:val="center"/>
          </w:tcPr>
          <w:p w14:paraId="22085713">
            <w:pPr>
              <w:pStyle w:val="12"/>
              <w:jc w:val="center"/>
            </w:pPr>
            <w:r>
              <w:rPr>
                <w:rFonts w:hint="eastAsia"/>
              </w:rPr>
              <w:t>81.82</w:t>
            </w:r>
          </w:p>
        </w:tc>
        <w:tc>
          <w:tcPr>
            <w:tcW w:w="620" w:type="pct"/>
            <w:vAlign w:val="center"/>
          </w:tcPr>
          <w:p w14:paraId="38578C95">
            <w:pPr>
              <w:pStyle w:val="12"/>
              <w:jc w:val="center"/>
            </w:pPr>
            <w:r>
              <w:rPr>
                <w:rFonts w:hint="eastAsia"/>
              </w:rPr>
              <w:t>14504</w:t>
            </w:r>
          </w:p>
        </w:tc>
        <w:tc>
          <w:tcPr>
            <w:tcW w:w="621" w:type="pct"/>
            <w:vAlign w:val="center"/>
          </w:tcPr>
          <w:p w14:paraId="368454FA">
            <w:pPr>
              <w:pStyle w:val="12"/>
              <w:jc w:val="center"/>
            </w:pPr>
            <w:r>
              <w:rPr>
                <w:rFonts w:hint="eastAsia"/>
              </w:rPr>
              <w:t>75.60</w:t>
            </w:r>
          </w:p>
        </w:tc>
      </w:tr>
      <w:tr w14:paraId="08877E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7" w:type="pct"/>
            <w:vAlign w:val="center"/>
          </w:tcPr>
          <w:p w14:paraId="788CF808">
            <w:pPr>
              <w:pStyle w:val="12"/>
              <w:jc w:val="left"/>
            </w:pPr>
            <w:r>
              <w:rPr>
                <w:rFonts w:hint="eastAsia"/>
              </w:rPr>
              <w:t>工  业</w:t>
            </w:r>
          </w:p>
        </w:tc>
        <w:tc>
          <w:tcPr>
            <w:tcW w:w="620" w:type="pct"/>
            <w:vAlign w:val="center"/>
          </w:tcPr>
          <w:p w14:paraId="17361320">
            <w:pPr>
              <w:pStyle w:val="12"/>
              <w:jc w:val="center"/>
            </w:pPr>
            <w:r>
              <w:rPr>
                <w:rFonts w:hint="eastAsia"/>
              </w:rPr>
              <w:t>10963</w:t>
            </w:r>
          </w:p>
        </w:tc>
        <w:tc>
          <w:tcPr>
            <w:tcW w:w="621" w:type="pct"/>
            <w:vAlign w:val="center"/>
          </w:tcPr>
          <w:p w14:paraId="074A992A">
            <w:pPr>
              <w:pStyle w:val="12"/>
              <w:jc w:val="center"/>
            </w:pPr>
            <w:r>
              <w:rPr>
                <w:rFonts w:hint="eastAsia"/>
              </w:rPr>
              <w:t>5.88</w:t>
            </w:r>
          </w:p>
        </w:tc>
        <w:tc>
          <w:tcPr>
            <w:tcW w:w="620" w:type="pct"/>
            <w:vAlign w:val="center"/>
          </w:tcPr>
          <w:p w14:paraId="506BECB5">
            <w:pPr>
              <w:pStyle w:val="12"/>
              <w:jc w:val="center"/>
            </w:pPr>
            <w:r>
              <w:rPr>
                <w:rFonts w:hint="eastAsia"/>
              </w:rPr>
              <w:t>14963</w:t>
            </w:r>
          </w:p>
        </w:tc>
        <w:tc>
          <w:tcPr>
            <w:tcW w:w="621" w:type="pct"/>
            <w:vAlign w:val="center"/>
          </w:tcPr>
          <w:p w14:paraId="05C1A9F7">
            <w:pPr>
              <w:pStyle w:val="12"/>
              <w:jc w:val="center"/>
            </w:pPr>
            <w:r>
              <w:rPr>
                <w:rFonts w:hint="eastAsia"/>
              </w:rPr>
              <w:t>6.42</w:t>
            </w:r>
          </w:p>
        </w:tc>
        <w:tc>
          <w:tcPr>
            <w:tcW w:w="620" w:type="pct"/>
            <w:vAlign w:val="center"/>
          </w:tcPr>
          <w:p w14:paraId="2EB11D84">
            <w:pPr>
              <w:pStyle w:val="12"/>
              <w:jc w:val="center"/>
            </w:pPr>
            <w:r>
              <w:rPr>
                <w:rFonts w:hint="eastAsia"/>
              </w:rPr>
              <w:t>1226</w:t>
            </w:r>
          </w:p>
        </w:tc>
        <w:tc>
          <w:tcPr>
            <w:tcW w:w="621" w:type="pct"/>
            <w:vAlign w:val="center"/>
          </w:tcPr>
          <w:p w14:paraId="499ABF4F">
            <w:pPr>
              <w:pStyle w:val="12"/>
              <w:jc w:val="center"/>
            </w:pPr>
            <w:r>
              <w:rPr>
                <w:rFonts w:hint="eastAsia"/>
              </w:rPr>
              <w:t>6.39</w:t>
            </w:r>
          </w:p>
        </w:tc>
      </w:tr>
      <w:tr w14:paraId="66718F9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7" w:type="pct"/>
            <w:vAlign w:val="center"/>
          </w:tcPr>
          <w:p w14:paraId="101DDD12">
            <w:pPr>
              <w:pStyle w:val="12"/>
              <w:jc w:val="left"/>
            </w:pPr>
            <w:r>
              <w:rPr>
                <w:rFonts w:hint="eastAsia"/>
              </w:rPr>
              <w:t>地质普查和勘探业</w:t>
            </w:r>
          </w:p>
        </w:tc>
        <w:tc>
          <w:tcPr>
            <w:tcW w:w="620" w:type="pct"/>
            <w:vAlign w:val="center"/>
          </w:tcPr>
          <w:p w14:paraId="55143C35">
            <w:pPr>
              <w:pStyle w:val="12"/>
              <w:jc w:val="center"/>
            </w:pPr>
            <w:r>
              <w:rPr>
                <w:rFonts w:hint="eastAsia"/>
              </w:rPr>
              <w:t>214</w:t>
            </w:r>
          </w:p>
        </w:tc>
        <w:tc>
          <w:tcPr>
            <w:tcW w:w="621" w:type="pct"/>
            <w:vAlign w:val="center"/>
          </w:tcPr>
          <w:p w14:paraId="2D8AFB50">
            <w:pPr>
              <w:pStyle w:val="12"/>
              <w:jc w:val="center"/>
            </w:pPr>
            <w:r>
              <w:rPr>
                <w:rFonts w:hint="eastAsia"/>
              </w:rPr>
              <w:t>0.11</w:t>
            </w:r>
          </w:p>
        </w:tc>
        <w:tc>
          <w:tcPr>
            <w:tcW w:w="620" w:type="pct"/>
            <w:vAlign w:val="center"/>
          </w:tcPr>
          <w:p w14:paraId="4225BC4D">
            <w:pPr>
              <w:pStyle w:val="12"/>
              <w:jc w:val="center"/>
            </w:pPr>
            <w:r>
              <w:rPr>
                <w:rFonts w:hint="eastAsia"/>
              </w:rPr>
              <w:t>2</w:t>
            </w:r>
          </w:p>
        </w:tc>
        <w:tc>
          <w:tcPr>
            <w:tcW w:w="621" w:type="pct"/>
            <w:vAlign w:val="center"/>
          </w:tcPr>
          <w:p w14:paraId="3F7B21CA">
            <w:pPr>
              <w:pStyle w:val="12"/>
              <w:jc w:val="center"/>
            </w:pPr>
            <w:r>
              <w:rPr>
                <w:rFonts w:hint="eastAsia"/>
              </w:rPr>
              <w:t>—</w:t>
            </w:r>
          </w:p>
        </w:tc>
        <w:tc>
          <w:tcPr>
            <w:tcW w:w="620" w:type="pct"/>
            <w:vAlign w:val="center"/>
          </w:tcPr>
          <w:p w14:paraId="30D6762E">
            <w:pPr>
              <w:pStyle w:val="12"/>
              <w:jc w:val="center"/>
            </w:pPr>
            <w:r>
              <w:rPr>
                <w:rFonts w:hint="eastAsia"/>
              </w:rPr>
              <w:t>29</w:t>
            </w:r>
          </w:p>
        </w:tc>
        <w:tc>
          <w:tcPr>
            <w:tcW w:w="621" w:type="pct"/>
            <w:vAlign w:val="center"/>
          </w:tcPr>
          <w:p w14:paraId="7CCDA58A">
            <w:pPr>
              <w:pStyle w:val="12"/>
              <w:jc w:val="center"/>
            </w:pPr>
            <w:r>
              <w:rPr>
                <w:rFonts w:hint="eastAsia"/>
              </w:rPr>
              <w:t>0.15</w:t>
            </w:r>
          </w:p>
        </w:tc>
      </w:tr>
      <w:tr w14:paraId="20F0FD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7" w:type="pct"/>
            <w:vAlign w:val="center"/>
          </w:tcPr>
          <w:p w14:paraId="3063CE4B">
            <w:pPr>
              <w:pStyle w:val="12"/>
              <w:jc w:val="left"/>
            </w:pPr>
            <w:r>
              <w:rPr>
                <w:rFonts w:hint="eastAsia"/>
              </w:rPr>
              <w:t>建筑业</w:t>
            </w:r>
          </w:p>
        </w:tc>
        <w:tc>
          <w:tcPr>
            <w:tcW w:w="620" w:type="pct"/>
            <w:vAlign w:val="center"/>
          </w:tcPr>
          <w:p w14:paraId="42D5BC91">
            <w:pPr>
              <w:pStyle w:val="12"/>
              <w:jc w:val="center"/>
            </w:pPr>
            <w:r>
              <w:rPr>
                <w:rFonts w:hint="eastAsia"/>
              </w:rPr>
              <w:t>1615</w:t>
            </w:r>
          </w:p>
        </w:tc>
        <w:tc>
          <w:tcPr>
            <w:tcW w:w="621" w:type="pct"/>
            <w:vAlign w:val="center"/>
          </w:tcPr>
          <w:p w14:paraId="1556779C">
            <w:pPr>
              <w:pStyle w:val="12"/>
              <w:jc w:val="center"/>
            </w:pPr>
            <w:r>
              <w:rPr>
                <w:rFonts w:hint="eastAsia"/>
              </w:rPr>
              <w:t>0.87</w:t>
            </w:r>
          </w:p>
        </w:tc>
        <w:tc>
          <w:tcPr>
            <w:tcW w:w="620" w:type="pct"/>
            <w:vAlign w:val="center"/>
          </w:tcPr>
          <w:p w14:paraId="3927200B">
            <w:pPr>
              <w:pStyle w:val="12"/>
              <w:jc w:val="center"/>
            </w:pPr>
            <w:r>
              <w:rPr>
                <w:rFonts w:hint="eastAsia"/>
              </w:rPr>
              <w:t>1815</w:t>
            </w:r>
          </w:p>
        </w:tc>
        <w:tc>
          <w:tcPr>
            <w:tcW w:w="621" w:type="pct"/>
            <w:vAlign w:val="center"/>
          </w:tcPr>
          <w:p w14:paraId="5D59148D">
            <w:pPr>
              <w:pStyle w:val="12"/>
              <w:jc w:val="center"/>
            </w:pPr>
            <w:r>
              <w:rPr>
                <w:rFonts w:hint="eastAsia"/>
              </w:rPr>
              <w:t>0.78</w:t>
            </w:r>
          </w:p>
        </w:tc>
        <w:tc>
          <w:tcPr>
            <w:tcW w:w="620" w:type="pct"/>
            <w:vAlign w:val="center"/>
          </w:tcPr>
          <w:p w14:paraId="60E3573D">
            <w:pPr>
              <w:pStyle w:val="12"/>
              <w:jc w:val="center"/>
            </w:pPr>
            <w:r>
              <w:rPr>
                <w:rFonts w:hint="eastAsia"/>
              </w:rPr>
              <w:t>349</w:t>
            </w:r>
          </w:p>
        </w:tc>
        <w:tc>
          <w:tcPr>
            <w:tcW w:w="621" w:type="pct"/>
            <w:vAlign w:val="center"/>
          </w:tcPr>
          <w:p w14:paraId="7BBA394A">
            <w:pPr>
              <w:pStyle w:val="12"/>
              <w:jc w:val="center"/>
            </w:pPr>
            <w:r>
              <w:rPr>
                <w:rFonts w:hint="eastAsia"/>
              </w:rPr>
              <w:t>1.82</w:t>
            </w:r>
          </w:p>
        </w:tc>
      </w:tr>
      <w:tr w14:paraId="66F80A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7" w:type="pct"/>
            <w:vAlign w:val="center"/>
          </w:tcPr>
          <w:p w14:paraId="3B052FDF">
            <w:pPr>
              <w:pStyle w:val="12"/>
              <w:jc w:val="left"/>
            </w:pPr>
            <w:r>
              <w:rPr>
                <w:rFonts w:hint="eastAsia"/>
              </w:rPr>
              <w:t>交通运输邮电通讯业</w:t>
            </w:r>
          </w:p>
        </w:tc>
        <w:tc>
          <w:tcPr>
            <w:tcW w:w="620" w:type="pct"/>
            <w:vAlign w:val="center"/>
          </w:tcPr>
          <w:p w14:paraId="0173DB42">
            <w:pPr>
              <w:pStyle w:val="12"/>
              <w:jc w:val="center"/>
            </w:pPr>
            <w:r>
              <w:rPr>
                <w:rFonts w:hint="eastAsia"/>
              </w:rPr>
              <w:t>2036</w:t>
            </w:r>
          </w:p>
        </w:tc>
        <w:tc>
          <w:tcPr>
            <w:tcW w:w="621" w:type="pct"/>
            <w:vAlign w:val="center"/>
          </w:tcPr>
          <w:p w14:paraId="7F68F697">
            <w:pPr>
              <w:pStyle w:val="12"/>
              <w:jc w:val="center"/>
            </w:pPr>
            <w:r>
              <w:rPr>
                <w:rFonts w:hint="eastAsia"/>
              </w:rPr>
              <w:t>1.09</w:t>
            </w:r>
          </w:p>
        </w:tc>
        <w:tc>
          <w:tcPr>
            <w:tcW w:w="620" w:type="pct"/>
            <w:vAlign w:val="center"/>
          </w:tcPr>
          <w:p w14:paraId="0EAF43F3">
            <w:pPr>
              <w:pStyle w:val="12"/>
              <w:jc w:val="center"/>
            </w:pPr>
            <w:r>
              <w:rPr>
                <w:rFonts w:hint="eastAsia"/>
              </w:rPr>
              <w:t>2714</w:t>
            </w:r>
          </w:p>
        </w:tc>
        <w:tc>
          <w:tcPr>
            <w:tcW w:w="621" w:type="pct"/>
            <w:vAlign w:val="center"/>
          </w:tcPr>
          <w:p w14:paraId="119641DC">
            <w:pPr>
              <w:pStyle w:val="12"/>
              <w:jc w:val="center"/>
            </w:pPr>
            <w:r>
              <w:rPr>
                <w:rFonts w:hint="eastAsia"/>
              </w:rPr>
              <w:t>1.16</w:t>
            </w:r>
          </w:p>
        </w:tc>
        <w:tc>
          <w:tcPr>
            <w:tcW w:w="620" w:type="pct"/>
            <w:vAlign w:val="center"/>
          </w:tcPr>
          <w:p w14:paraId="44C44DA4">
            <w:pPr>
              <w:pStyle w:val="12"/>
              <w:jc w:val="center"/>
            </w:pPr>
            <w:r>
              <w:rPr>
                <w:rFonts w:hint="eastAsia"/>
              </w:rPr>
              <w:t>272</w:t>
            </w:r>
          </w:p>
        </w:tc>
        <w:tc>
          <w:tcPr>
            <w:tcW w:w="621" w:type="pct"/>
            <w:vAlign w:val="center"/>
          </w:tcPr>
          <w:p w14:paraId="4F9FBBE6">
            <w:pPr>
              <w:pStyle w:val="12"/>
              <w:jc w:val="center"/>
            </w:pPr>
            <w:r>
              <w:rPr>
                <w:rFonts w:hint="eastAsia"/>
              </w:rPr>
              <w:t>1.42</w:t>
            </w:r>
          </w:p>
        </w:tc>
      </w:tr>
      <w:tr w14:paraId="50E6C3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7" w:type="pct"/>
            <w:vAlign w:val="center"/>
          </w:tcPr>
          <w:p w14:paraId="3FF9D717">
            <w:pPr>
              <w:pStyle w:val="12"/>
              <w:jc w:val="left"/>
            </w:pPr>
            <w:r>
              <w:rPr>
                <w:rFonts w:hint="eastAsia"/>
              </w:rPr>
              <w:t>商业、公共饮食业物资供销和仓储业</w:t>
            </w:r>
          </w:p>
        </w:tc>
        <w:tc>
          <w:tcPr>
            <w:tcW w:w="620" w:type="pct"/>
            <w:vAlign w:val="center"/>
          </w:tcPr>
          <w:p w14:paraId="31D6A67F">
            <w:pPr>
              <w:pStyle w:val="12"/>
              <w:jc w:val="center"/>
            </w:pPr>
            <w:r>
              <w:rPr>
                <w:rFonts w:hint="eastAsia"/>
              </w:rPr>
              <w:t>3912</w:t>
            </w:r>
          </w:p>
        </w:tc>
        <w:tc>
          <w:tcPr>
            <w:tcW w:w="621" w:type="pct"/>
            <w:vAlign w:val="center"/>
          </w:tcPr>
          <w:p w14:paraId="00B89F5E">
            <w:pPr>
              <w:pStyle w:val="12"/>
              <w:jc w:val="center"/>
            </w:pPr>
            <w:r>
              <w:rPr>
                <w:rFonts w:hint="eastAsia"/>
              </w:rPr>
              <w:t>2.09</w:t>
            </w:r>
          </w:p>
        </w:tc>
        <w:tc>
          <w:tcPr>
            <w:tcW w:w="620" w:type="pct"/>
            <w:vAlign w:val="center"/>
          </w:tcPr>
          <w:p w14:paraId="2091982E">
            <w:pPr>
              <w:pStyle w:val="12"/>
              <w:jc w:val="center"/>
            </w:pPr>
            <w:r>
              <w:rPr>
                <w:rFonts w:hint="eastAsia"/>
              </w:rPr>
              <w:t>8133</w:t>
            </w:r>
          </w:p>
        </w:tc>
        <w:tc>
          <w:tcPr>
            <w:tcW w:w="621" w:type="pct"/>
            <w:vAlign w:val="center"/>
          </w:tcPr>
          <w:p w14:paraId="5D8D76B9">
            <w:pPr>
              <w:pStyle w:val="12"/>
              <w:jc w:val="center"/>
            </w:pPr>
            <w:r>
              <w:rPr>
                <w:rFonts w:hint="eastAsia"/>
              </w:rPr>
              <w:t>3.49</w:t>
            </w:r>
          </w:p>
        </w:tc>
        <w:tc>
          <w:tcPr>
            <w:tcW w:w="620" w:type="pct"/>
            <w:vAlign w:val="center"/>
          </w:tcPr>
          <w:p w14:paraId="2475E42F">
            <w:pPr>
              <w:pStyle w:val="12"/>
              <w:jc w:val="center"/>
            </w:pPr>
            <w:r>
              <w:rPr>
                <w:rFonts w:hint="eastAsia"/>
              </w:rPr>
              <w:t>1047</w:t>
            </w:r>
          </w:p>
        </w:tc>
        <w:tc>
          <w:tcPr>
            <w:tcW w:w="621" w:type="pct"/>
            <w:vAlign w:val="center"/>
          </w:tcPr>
          <w:p w14:paraId="55192C9F">
            <w:pPr>
              <w:pStyle w:val="12"/>
              <w:jc w:val="center"/>
            </w:pPr>
            <w:r>
              <w:rPr>
                <w:rFonts w:hint="eastAsia"/>
              </w:rPr>
              <w:t>5.46</w:t>
            </w:r>
          </w:p>
        </w:tc>
      </w:tr>
      <w:tr w14:paraId="0496AC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7" w:type="pct"/>
            <w:vAlign w:val="center"/>
          </w:tcPr>
          <w:p w14:paraId="5A07471D">
            <w:pPr>
              <w:pStyle w:val="12"/>
              <w:jc w:val="left"/>
            </w:pPr>
            <w:r>
              <w:rPr>
                <w:rFonts w:hint="eastAsia"/>
              </w:rPr>
              <w:t>房地产管理、公共事业、居民服务和咨询服务业</w:t>
            </w:r>
          </w:p>
        </w:tc>
        <w:tc>
          <w:tcPr>
            <w:tcW w:w="620" w:type="pct"/>
            <w:vAlign w:val="center"/>
          </w:tcPr>
          <w:p w14:paraId="75478445">
            <w:pPr>
              <w:pStyle w:val="12"/>
              <w:jc w:val="center"/>
            </w:pPr>
            <w:r>
              <w:rPr>
                <w:rFonts w:hint="eastAsia"/>
              </w:rPr>
              <w:t>473</w:t>
            </w:r>
          </w:p>
        </w:tc>
        <w:tc>
          <w:tcPr>
            <w:tcW w:w="621" w:type="pct"/>
            <w:vAlign w:val="center"/>
          </w:tcPr>
          <w:p w14:paraId="175246FB">
            <w:pPr>
              <w:pStyle w:val="12"/>
              <w:jc w:val="center"/>
            </w:pPr>
            <w:r>
              <w:rPr>
                <w:rFonts w:hint="eastAsia"/>
              </w:rPr>
              <w:t>0.25</w:t>
            </w:r>
          </w:p>
        </w:tc>
        <w:tc>
          <w:tcPr>
            <w:tcW w:w="620" w:type="pct"/>
            <w:vAlign w:val="center"/>
          </w:tcPr>
          <w:p w14:paraId="1A3C3FD7">
            <w:pPr>
              <w:pStyle w:val="12"/>
              <w:jc w:val="center"/>
            </w:pPr>
            <w:r>
              <w:rPr>
                <w:rFonts w:hint="eastAsia"/>
              </w:rPr>
              <w:t>1622</w:t>
            </w:r>
          </w:p>
        </w:tc>
        <w:tc>
          <w:tcPr>
            <w:tcW w:w="621" w:type="pct"/>
            <w:vAlign w:val="center"/>
          </w:tcPr>
          <w:p w14:paraId="3CA3E163">
            <w:pPr>
              <w:pStyle w:val="12"/>
              <w:jc w:val="center"/>
            </w:pPr>
            <w:r>
              <w:rPr>
                <w:rFonts w:hint="eastAsia"/>
              </w:rPr>
              <w:t>0.70</w:t>
            </w:r>
          </w:p>
        </w:tc>
        <w:tc>
          <w:tcPr>
            <w:tcW w:w="620" w:type="pct"/>
            <w:vAlign w:val="center"/>
          </w:tcPr>
          <w:p w14:paraId="21A9DD89">
            <w:pPr>
              <w:pStyle w:val="12"/>
              <w:jc w:val="center"/>
            </w:pPr>
            <w:r>
              <w:rPr>
                <w:rFonts w:hint="eastAsia"/>
              </w:rPr>
              <w:t>316</w:t>
            </w:r>
          </w:p>
        </w:tc>
        <w:tc>
          <w:tcPr>
            <w:tcW w:w="621" w:type="pct"/>
            <w:vAlign w:val="center"/>
          </w:tcPr>
          <w:p w14:paraId="2959E611">
            <w:pPr>
              <w:pStyle w:val="12"/>
              <w:jc w:val="center"/>
            </w:pPr>
            <w:r>
              <w:rPr>
                <w:rFonts w:hint="eastAsia"/>
              </w:rPr>
              <w:t>1.65</w:t>
            </w:r>
          </w:p>
        </w:tc>
      </w:tr>
      <w:tr w14:paraId="0F4FCF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7" w:type="pct"/>
            <w:vAlign w:val="center"/>
          </w:tcPr>
          <w:p w14:paraId="4B6D2D86">
            <w:pPr>
              <w:pStyle w:val="12"/>
              <w:jc w:val="left"/>
            </w:pPr>
            <w:r>
              <w:rPr>
                <w:rFonts w:hint="eastAsia"/>
              </w:rPr>
              <w:t>卫生、体育和社会福利事业</w:t>
            </w:r>
          </w:p>
        </w:tc>
        <w:tc>
          <w:tcPr>
            <w:tcW w:w="620" w:type="pct"/>
            <w:vAlign w:val="center"/>
          </w:tcPr>
          <w:p w14:paraId="54866E0D">
            <w:pPr>
              <w:pStyle w:val="12"/>
              <w:jc w:val="center"/>
            </w:pPr>
            <w:r>
              <w:rPr>
                <w:rFonts w:hint="eastAsia"/>
              </w:rPr>
              <w:t>1131</w:t>
            </w:r>
          </w:p>
        </w:tc>
        <w:tc>
          <w:tcPr>
            <w:tcW w:w="621" w:type="pct"/>
            <w:vAlign w:val="center"/>
          </w:tcPr>
          <w:p w14:paraId="04F507F0">
            <w:pPr>
              <w:pStyle w:val="12"/>
              <w:jc w:val="center"/>
            </w:pPr>
            <w:r>
              <w:rPr>
                <w:rFonts w:hint="eastAsia"/>
              </w:rPr>
              <w:t>0.61</w:t>
            </w:r>
          </w:p>
        </w:tc>
        <w:tc>
          <w:tcPr>
            <w:tcW w:w="620" w:type="pct"/>
            <w:vAlign w:val="center"/>
          </w:tcPr>
          <w:p w14:paraId="5CFCBEB2">
            <w:pPr>
              <w:pStyle w:val="12"/>
              <w:jc w:val="center"/>
            </w:pPr>
            <w:r>
              <w:rPr>
                <w:rFonts w:hint="eastAsia"/>
              </w:rPr>
              <w:t>1308</w:t>
            </w:r>
          </w:p>
        </w:tc>
        <w:tc>
          <w:tcPr>
            <w:tcW w:w="621" w:type="pct"/>
            <w:vAlign w:val="center"/>
          </w:tcPr>
          <w:p w14:paraId="1238F4E0">
            <w:pPr>
              <w:pStyle w:val="12"/>
              <w:jc w:val="center"/>
            </w:pPr>
            <w:r>
              <w:rPr>
                <w:rFonts w:hint="eastAsia"/>
              </w:rPr>
              <w:t>0.56</w:t>
            </w:r>
          </w:p>
        </w:tc>
        <w:tc>
          <w:tcPr>
            <w:tcW w:w="620" w:type="pct"/>
            <w:vAlign w:val="center"/>
          </w:tcPr>
          <w:p w14:paraId="497FD2FC">
            <w:pPr>
              <w:pStyle w:val="12"/>
              <w:jc w:val="center"/>
            </w:pPr>
            <w:r>
              <w:rPr>
                <w:rFonts w:hint="eastAsia"/>
              </w:rPr>
              <w:t>169</w:t>
            </w:r>
          </w:p>
        </w:tc>
        <w:tc>
          <w:tcPr>
            <w:tcW w:w="621" w:type="pct"/>
            <w:vAlign w:val="center"/>
          </w:tcPr>
          <w:p w14:paraId="1E57A523">
            <w:pPr>
              <w:pStyle w:val="12"/>
              <w:jc w:val="center"/>
            </w:pPr>
            <w:r>
              <w:rPr>
                <w:rFonts w:hint="eastAsia"/>
              </w:rPr>
              <w:t>0.88</w:t>
            </w:r>
          </w:p>
        </w:tc>
      </w:tr>
      <w:tr w14:paraId="09995B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7" w:type="pct"/>
            <w:vAlign w:val="center"/>
          </w:tcPr>
          <w:p w14:paraId="37195C1B">
            <w:pPr>
              <w:pStyle w:val="12"/>
              <w:jc w:val="left"/>
            </w:pPr>
            <w:r>
              <w:rPr>
                <w:rFonts w:hint="eastAsia"/>
              </w:rPr>
              <w:t>教育、文化艺术和广播电视事业</w:t>
            </w:r>
          </w:p>
        </w:tc>
        <w:tc>
          <w:tcPr>
            <w:tcW w:w="620" w:type="pct"/>
            <w:vAlign w:val="center"/>
          </w:tcPr>
          <w:p w14:paraId="46B04184">
            <w:pPr>
              <w:pStyle w:val="12"/>
              <w:jc w:val="center"/>
            </w:pPr>
            <w:r>
              <w:rPr>
                <w:rFonts w:hint="eastAsia"/>
              </w:rPr>
              <w:t>4405</w:t>
            </w:r>
          </w:p>
        </w:tc>
        <w:tc>
          <w:tcPr>
            <w:tcW w:w="621" w:type="pct"/>
            <w:vAlign w:val="center"/>
          </w:tcPr>
          <w:p w14:paraId="7354C86B">
            <w:pPr>
              <w:pStyle w:val="12"/>
              <w:jc w:val="center"/>
            </w:pPr>
            <w:r>
              <w:rPr>
                <w:rFonts w:hint="eastAsia"/>
              </w:rPr>
              <w:t>2.36</w:t>
            </w:r>
          </w:p>
        </w:tc>
        <w:tc>
          <w:tcPr>
            <w:tcW w:w="620" w:type="pct"/>
            <w:vAlign w:val="center"/>
          </w:tcPr>
          <w:p w14:paraId="572F1106">
            <w:pPr>
              <w:pStyle w:val="12"/>
              <w:jc w:val="center"/>
            </w:pPr>
            <w:r>
              <w:rPr>
                <w:rFonts w:hint="eastAsia"/>
              </w:rPr>
              <w:t>5430</w:t>
            </w:r>
          </w:p>
        </w:tc>
        <w:tc>
          <w:tcPr>
            <w:tcW w:w="621" w:type="pct"/>
            <w:vAlign w:val="center"/>
          </w:tcPr>
          <w:p w14:paraId="65A9AA20">
            <w:pPr>
              <w:pStyle w:val="12"/>
              <w:jc w:val="center"/>
            </w:pPr>
            <w:r>
              <w:rPr>
                <w:rFonts w:hint="eastAsia"/>
              </w:rPr>
              <w:t>2.33</w:t>
            </w:r>
          </w:p>
        </w:tc>
        <w:tc>
          <w:tcPr>
            <w:tcW w:w="620" w:type="pct"/>
            <w:vAlign w:val="center"/>
          </w:tcPr>
          <w:p w14:paraId="1E979BBF">
            <w:pPr>
              <w:pStyle w:val="12"/>
              <w:jc w:val="center"/>
            </w:pPr>
            <w:r>
              <w:rPr>
                <w:rFonts w:hint="eastAsia"/>
              </w:rPr>
              <w:t>643</w:t>
            </w:r>
          </w:p>
        </w:tc>
        <w:tc>
          <w:tcPr>
            <w:tcW w:w="621" w:type="pct"/>
            <w:vAlign w:val="center"/>
          </w:tcPr>
          <w:p w14:paraId="54873FBB">
            <w:pPr>
              <w:pStyle w:val="12"/>
              <w:jc w:val="center"/>
            </w:pPr>
            <w:r>
              <w:rPr>
                <w:rFonts w:hint="eastAsia"/>
              </w:rPr>
              <w:t>3.35</w:t>
            </w:r>
          </w:p>
        </w:tc>
      </w:tr>
      <w:tr w14:paraId="601DB1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7" w:type="pct"/>
            <w:vAlign w:val="center"/>
          </w:tcPr>
          <w:p w14:paraId="1FCE40DD">
            <w:pPr>
              <w:pStyle w:val="12"/>
              <w:jc w:val="left"/>
            </w:pPr>
            <w:r>
              <w:rPr>
                <w:rFonts w:hint="eastAsia"/>
              </w:rPr>
              <w:t>科学研究和综合技术服务业</w:t>
            </w:r>
          </w:p>
        </w:tc>
        <w:tc>
          <w:tcPr>
            <w:tcW w:w="620" w:type="pct"/>
            <w:vAlign w:val="center"/>
          </w:tcPr>
          <w:p w14:paraId="5795864B">
            <w:pPr>
              <w:pStyle w:val="12"/>
              <w:jc w:val="center"/>
            </w:pPr>
            <w:r>
              <w:rPr>
                <w:rFonts w:hint="eastAsia"/>
              </w:rPr>
              <w:t>240</w:t>
            </w:r>
          </w:p>
        </w:tc>
        <w:tc>
          <w:tcPr>
            <w:tcW w:w="621" w:type="pct"/>
            <w:vAlign w:val="center"/>
          </w:tcPr>
          <w:p w14:paraId="3E6E908D">
            <w:pPr>
              <w:pStyle w:val="12"/>
              <w:jc w:val="center"/>
            </w:pPr>
            <w:r>
              <w:rPr>
                <w:rFonts w:hint="eastAsia"/>
              </w:rPr>
              <w:t>0.13</w:t>
            </w:r>
          </w:p>
        </w:tc>
        <w:tc>
          <w:tcPr>
            <w:tcW w:w="620" w:type="pct"/>
            <w:vAlign w:val="center"/>
          </w:tcPr>
          <w:p w14:paraId="6BAE16DF">
            <w:pPr>
              <w:pStyle w:val="12"/>
              <w:jc w:val="center"/>
            </w:pPr>
            <w:r>
              <w:rPr>
                <w:rFonts w:hint="eastAsia"/>
              </w:rPr>
              <w:t>181</w:t>
            </w:r>
          </w:p>
        </w:tc>
        <w:tc>
          <w:tcPr>
            <w:tcW w:w="621" w:type="pct"/>
            <w:vAlign w:val="center"/>
          </w:tcPr>
          <w:p w14:paraId="3A0FCD97">
            <w:pPr>
              <w:pStyle w:val="12"/>
              <w:jc w:val="center"/>
            </w:pPr>
            <w:r>
              <w:rPr>
                <w:rFonts w:hint="eastAsia"/>
              </w:rPr>
              <w:t>0.08</w:t>
            </w:r>
          </w:p>
        </w:tc>
        <w:tc>
          <w:tcPr>
            <w:tcW w:w="620" w:type="pct"/>
            <w:vAlign w:val="center"/>
          </w:tcPr>
          <w:p w14:paraId="696B5AF6">
            <w:pPr>
              <w:pStyle w:val="12"/>
              <w:jc w:val="center"/>
            </w:pPr>
            <w:r>
              <w:rPr>
                <w:rFonts w:hint="eastAsia"/>
              </w:rPr>
              <w:t>18</w:t>
            </w:r>
          </w:p>
        </w:tc>
        <w:tc>
          <w:tcPr>
            <w:tcW w:w="621" w:type="pct"/>
            <w:vAlign w:val="center"/>
          </w:tcPr>
          <w:p w14:paraId="344EE621">
            <w:pPr>
              <w:pStyle w:val="12"/>
              <w:jc w:val="center"/>
            </w:pPr>
            <w:r>
              <w:rPr>
                <w:rFonts w:hint="eastAsia"/>
              </w:rPr>
              <w:t>0.09</w:t>
            </w:r>
          </w:p>
        </w:tc>
      </w:tr>
      <w:tr w14:paraId="35BDC8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7" w:type="pct"/>
            <w:vAlign w:val="center"/>
          </w:tcPr>
          <w:p w14:paraId="59BFFE3B">
            <w:pPr>
              <w:pStyle w:val="12"/>
              <w:jc w:val="left"/>
            </w:pPr>
            <w:r>
              <w:rPr>
                <w:rFonts w:hint="eastAsia"/>
              </w:rPr>
              <w:t>金融保险业</w:t>
            </w:r>
          </w:p>
        </w:tc>
        <w:tc>
          <w:tcPr>
            <w:tcW w:w="620" w:type="pct"/>
            <w:vAlign w:val="center"/>
          </w:tcPr>
          <w:p w14:paraId="0EA7063D">
            <w:pPr>
              <w:pStyle w:val="12"/>
              <w:jc w:val="center"/>
            </w:pPr>
            <w:r>
              <w:rPr>
                <w:rFonts w:hint="eastAsia"/>
              </w:rPr>
              <w:t>404</w:t>
            </w:r>
          </w:p>
        </w:tc>
        <w:tc>
          <w:tcPr>
            <w:tcW w:w="621" w:type="pct"/>
            <w:vAlign w:val="center"/>
          </w:tcPr>
          <w:p w14:paraId="27954932">
            <w:pPr>
              <w:pStyle w:val="12"/>
              <w:jc w:val="center"/>
            </w:pPr>
            <w:r>
              <w:rPr>
                <w:rFonts w:hint="eastAsia"/>
              </w:rPr>
              <w:t>0.22</w:t>
            </w:r>
          </w:p>
        </w:tc>
        <w:tc>
          <w:tcPr>
            <w:tcW w:w="620" w:type="pct"/>
            <w:vAlign w:val="center"/>
          </w:tcPr>
          <w:p w14:paraId="2B7831A3">
            <w:pPr>
              <w:pStyle w:val="12"/>
              <w:jc w:val="center"/>
            </w:pPr>
            <w:r>
              <w:rPr>
                <w:rFonts w:hint="eastAsia"/>
              </w:rPr>
              <w:t>790</w:t>
            </w:r>
          </w:p>
        </w:tc>
        <w:tc>
          <w:tcPr>
            <w:tcW w:w="621" w:type="pct"/>
            <w:vAlign w:val="center"/>
          </w:tcPr>
          <w:p w14:paraId="3A203EA3">
            <w:pPr>
              <w:pStyle w:val="12"/>
              <w:jc w:val="center"/>
            </w:pPr>
            <w:r>
              <w:rPr>
                <w:rFonts w:hint="eastAsia"/>
              </w:rPr>
              <w:t>0.34</w:t>
            </w:r>
          </w:p>
        </w:tc>
        <w:tc>
          <w:tcPr>
            <w:tcW w:w="620" w:type="pct"/>
            <w:vAlign w:val="center"/>
          </w:tcPr>
          <w:p w14:paraId="4DA6A111">
            <w:pPr>
              <w:pStyle w:val="12"/>
              <w:jc w:val="center"/>
            </w:pPr>
            <w:r>
              <w:rPr>
                <w:rFonts w:hint="eastAsia"/>
              </w:rPr>
              <w:t>77</w:t>
            </w:r>
          </w:p>
        </w:tc>
        <w:tc>
          <w:tcPr>
            <w:tcW w:w="621" w:type="pct"/>
            <w:vAlign w:val="center"/>
          </w:tcPr>
          <w:p w14:paraId="32663C57">
            <w:pPr>
              <w:pStyle w:val="12"/>
              <w:jc w:val="center"/>
            </w:pPr>
            <w:r>
              <w:rPr>
                <w:rFonts w:hint="eastAsia"/>
              </w:rPr>
              <w:t>0.40</w:t>
            </w:r>
          </w:p>
        </w:tc>
      </w:tr>
      <w:tr w14:paraId="29BF66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7" w:type="pct"/>
            <w:vAlign w:val="center"/>
          </w:tcPr>
          <w:p w14:paraId="17094CDE">
            <w:pPr>
              <w:pStyle w:val="12"/>
              <w:jc w:val="left"/>
            </w:pPr>
            <w:r>
              <w:rPr>
                <w:rFonts w:hint="eastAsia"/>
              </w:rPr>
              <w:t>国家机关、政党机关和社会团体</w:t>
            </w:r>
          </w:p>
        </w:tc>
        <w:tc>
          <w:tcPr>
            <w:tcW w:w="620" w:type="pct"/>
            <w:vAlign w:val="center"/>
          </w:tcPr>
          <w:p w14:paraId="7D26DFDA">
            <w:pPr>
              <w:pStyle w:val="12"/>
              <w:jc w:val="center"/>
            </w:pPr>
            <w:r>
              <w:rPr>
                <w:rFonts w:hint="eastAsia"/>
              </w:rPr>
              <w:t>3269</w:t>
            </w:r>
          </w:p>
        </w:tc>
        <w:tc>
          <w:tcPr>
            <w:tcW w:w="621" w:type="pct"/>
            <w:vAlign w:val="center"/>
          </w:tcPr>
          <w:p w14:paraId="3CE37EBA">
            <w:pPr>
              <w:pStyle w:val="12"/>
              <w:jc w:val="center"/>
            </w:pPr>
            <w:r>
              <w:rPr>
                <w:rFonts w:hint="eastAsia"/>
              </w:rPr>
              <w:t>1.75</w:t>
            </w:r>
          </w:p>
        </w:tc>
        <w:tc>
          <w:tcPr>
            <w:tcW w:w="620" w:type="pct"/>
            <w:vAlign w:val="center"/>
          </w:tcPr>
          <w:p w14:paraId="2A407E4E">
            <w:pPr>
              <w:pStyle w:val="12"/>
              <w:jc w:val="center"/>
            </w:pPr>
            <w:r>
              <w:rPr>
                <w:rFonts w:hint="eastAsia"/>
              </w:rPr>
              <w:t>5407</w:t>
            </w:r>
          </w:p>
        </w:tc>
        <w:tc>
          <w:tcPr>
            <w:tcW w:w="621" w:type="pct"/>
            <w:vAlign w:val="center"/>
          </w:tcPr>
          <w:p w14:paraId="682226E0">
            <w:pPr>
              <w:pStyle w:val="12"/>
              <w:jc w:val="center"/>
            </w:pPr>
            <w:r>
              <w:rPr>
                <w:rFonts w:hint="eastAsia"/>
              </w:rPr>
              <w:t>2.32</w:t>
            </w:r>
          </w:p>
        </w:tc>
        <w:tc>
          <w:tcPr>
            <w:tcW w:w="620" w:type="pct"/>
            <w:vAlign w:val="center"/>
          </w:tcPr>
          <w:p w14:paraId="7E8D4327">
            <w:pPr>
              <w:pStyle w:val="12"/>
              <w:jc w:val="center"/>
            </w:pPr>
            <w:r>
              <w:rPr>
                <w:rFonts w:hint="eastAsia"/>
              </w:rPr>
              <w:t>542</w:t>
            </w:r>
          </w:p>
        </w:tc>
        <w:tc>
          <w:tcPr>
            <w:tcW w:w="621" w:type="pct"/>
            <w:vAlign w:val="center"/>
          </w:tcPr>
          <w:p w14:paraId="2B8A9235">
            <w:pPr>
              <w:pStyle w:val="12"/>
              <w:jc w:val="center"/>
            </w:pPr>
            <w:r>
              <w:rPr>
                <w:rFonts w:hint="eastAsia"/>
              </w:rPr>
              <w:t>2.82</w:t>
            </w:r>
          </w:p>
        </w:tc>
      </w:tr>
      <w:tr w14:paraId="37E40C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7" w:type="pct"/>
            <w:vAlign w:val="center"/>
          </w:tcPr>
          <w:p w14:paraId="4153AB34">
            <w:pPr>
              <w:pStyle w:val="12"/>
              <w:jc w:val="left"/>
            </w:pPr>
            <w:r>
              <w:rPr>
                <w:rFonts w:hint="eastAsia"/>
              </w:rPr>
              <w:t>其他行业</w:t>
            </w:r>
          </w:p>
        </w:tc>
        <w:tc>
          <w:tcPr>
            <w:tcW w:w="620" w:type="pct"/>
            <w:vAlign w:val="center"/>
          </w:tcPr>
          <w:p w14:paraId="7C949523">
            <w:pPr>
              <w:pStyle w:val="12"/>
              <w:jc w:val="center"/>
            </w:pPr>
            <w:r>
              <w:rPr>
                <w:rFonts w:hint="eastAsia"/>
              </w:rPr>
              <w:t>10</w:t>
            </w:r>
          </w:p>
        </w:tc>
        <w:tc>
          <w:tcPr>
            <w:tcW w:w="621" w:type="pct"/>
            <w:vAlign w:val="center"/>
          </w:tcPr>
          <w:p w14:paraId="2F8834EE">
            <w:pPr>
              <w:pStyle w:val="12"/>
              <w:jc w:val="center"/>
            </w:pPr>
            <w:r>
              <w:rPr>
                <w:rFonts w:hint="eastAsia"/>
              </w:rPr>
              <w:t>0.005</w:t>
            </w:r>
          </w:p>
        </w:tc>
        <w:tc>
          <w:tcPr>
            <w:tcW w:w="620" w:type="pct"/>
            <w:vAlign w:val="center"/>
          </w:tcPr>
          <w:p w14:paraId="5368AD0B">
            <w:pPr>
              <w:pStyle w:val="12"/>
              <w:jc w:val="center"/>
            </w:pPr>
            <w:r>
              <w:rPr>
                <w:rFonts w:hint="eastAsia"/>
              </w:rPr>
              <w:t>1</w:t>
            </w:r>
          </w:p>
        </w:tc>
        <w:tc>
          <w:tcPr>
            <w:tcW w:w="621" w:type="pct"/>
            <w:vAlign w:val="center"/>
          </w:tcPr>
          <w:p w14:paraId="1B80754D">
            <w:pPr>
              <w:pStyle w:val="12"/>
              <w:jc w:val="center"/>
            </w:pPr>
            <w:r>
              <w:rPr>
                <w:rFonts w:hint="eastAsia"/>
              </w:rPr>
              <w:t>—</w:t>
            </w:r>
          </w:p>
        </w:tc>
        <w:tc>
          <w:tcPr>
            <w:tcW w:w="620" w:type="pct"/>
            <w:vAlign w:val="center"/>
          </w:tcPr>
          <w:p w14:paraId="3FA933BD">
            <w:pPr>
              <w:pStyle w:val="12"/>
              <w:jc w:val="center"/>
            </w:pPr>
            <w:r>
              <w:rPr>
                <w:rFonts w:hint="eastAsia"/>
              </w:rPr>
              <w:t>4</w:t>
            </w:r>
          </w:p>
        </w:tc>
        <w:tc>
          <w:tcPr>
            <w:tcW w:w="621" w:type="pct"/>
            <w:vAlign w:val="center"/>
          </w:tcPr>
          <w:p w14:paraId="7132CC3A">
            <w:pPr>
              <w:pStyle w:val="12"/>
              <w:jc w:val="center"/>
            </w:pPr>
            <w:r>
              <w:rPr>
                <w:rFonts w:hint="eastAsia"/>
              </w:rPr>
              <w:t>—</w:t>
            </w:r>
          </w:p>
        </w:tc>
      </w:tr>
      <w:tr w14:paraId="056374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7" w:type="pct"/>
            <w:vAlign w:val="center"/>
          </w:tcPr>
          <w:p w14:paraId="55B74F27">
            <w:pPr>
              <w:pStyle w:val="12"/>
              <w:jc w:val="left"/>
            </w:pPr>
            <w:r>
              <w:rPr>
                <w:rFonts w:hint="eastAsia"/>
              </w:rPr>
              <w:t>在业人口总计</w:t>
            </w:r>
          </w:p>
        </w:tc>
        <w:tc>
          <w:tcPr>
            <w:tcW w:w="620" w:type="pct"/>
            <w:vAlign w:val="center"/>
          </w:tcPr>
          <w:p w14:paraId="4A5C3656">
            <w:pPr>
              <w:pStyle w:val="12"/>
              <w:jc w:val="center"/>
            </w:pPr>
            <w:r>
              <w:rPr>
                <w:rFonts w:hint="eastAsia"/>
              </w:rPr>
              <w:t>186550</w:t>
            </w:r>
          </w:p>
        </w:tc>
        <w:tc>
          <w:tcPr>
            <w:tcW w:w="621" w:type="pct"/>
            <w:vAlign w:val="center"/>
          </w:tcPr>
          <w:p w14:paraId="4AAEC624">
            <w:pPr>
              <w:pStyle w:val="12"/>
              <w:jc w:val="center"/>
            </w:pPr>
            <w:r>
              <w:rPr>
                <w:rFonts w:hint="eastAsia"/>
              </w:rPr>
              <w:t>100</w:t>
            </w:r>
          </w:p>
        </w:tc>
        <w:tc>
          <w:tcPr>
            <w:tcW w:w="620" w:type="pct"/>
            <w:vAlign w:val="center"/>
          </w:tcPr>
          <w:p w14:paraId="23AB3112">
            <w:pPr>
              <w:pStyle w:val="12"/>
              <w:jc w:val="center"/>
            </w:pPr>
            <w:r>
              <w:rPr>
                <w:rFonts w:hint="eastAsia"/>
              </w:rPr>
              <w:t>233061</w:t>
            </w:r>
          </w:p>
        </w:tc>
        <w:tc>
          <w:tcPr>
            <w:tcW w:w="621" w:type="pct"/>
            <w:vAlign w:val="center"/>
          </w:tcPr>
          <w:p w14:paraId="6AE09E4E">
            <w:pPr>
              <w:pStyle w:val="12"/>
              <w:jc w:val="center"/>
            </w:pPr>
            <w:r>
              <w:rPr>
                <w:rFonts w:hint="eastAsia"/>
              </w:rPr>
              <w:t>100</w:t>
            </w:r>
          </w:p>
        </w:tc>
        <w:tc>
          <w:tcPr>
            <w:tcW w:w="620" w:type="pct"/>
            <w:vAlign w:val="center"/>
          </w:tcPr>
          <w:p w14:paraId="1E0D0209">
            <w:pPr>
              <w:pStyle w:val="12"/>
              <w:jc w:val="center"/>
            </w:pPr>
            <w:r>
              <w:rPr>
                <w:rFonts w:hint="eastAsia"/>
              </w:rPr>
              <w:t>19186</w:t>
            </w:r>
          </w:p>
        </w:tc>
        <w:tc>
          <w:tcPr>
            <w:tcW w:w="621" w:type="pct"/>
            <w:vAlign w:val="center"/>
          </w:tcPr>
          <w:p w14:paraId="2A752733">
            <w:pPr>
              <w:pStyle w:val="12"/>
              <w:jc w:val="center"/>
            </w:pPr>
            <w:r>
              <w:rPr>
                <w:rFonts w:hint="eastAsia"/>
              </w:rPr>
              <w:t>100</w:t>
            </w:r>
          </w:p>
        </w:tc>
      </w:tr>
    </w:tbl>
    <w:p w14:paraId="6A362296">
      <w:pPr>
        <w:ind w:firstLine="422"/>
        <w:rPr>
          <w:rFonts w:ascii="宋体" w:hAnsi="宋体" w:cs="宋体"/>
          <w:b/>
        </w:rPr>
      </w:pPr>
      <w:r>
        <w:rPr>
          <w:rFonts w:hint="eastAsia" w:ascii="宋体" w:hAnsi="宋体" w:cs="宋体"/>
          <w:b/>
        </w:rPr>
        <w:t>说明：①工业含采掘业、制造业、电力煤气、自来水的生产和供应业。②第五次人口普查在业人口为常住在业人口。</w:t>
      </w:r>
    </w:p>
    <w:p w14:paraId="6CCDDF93">
      <w:pPr>
        <w:ind w:firstLine="420"/>
        <w:rPr>
          <w:rFonts w:ascii="宋体" w:hAnsi="宋体" w:cs="宋体"/>
        </w:rPr>
      </w:pPr>
      <w:r>
        <w:rPr>
          <w:rFonts w:hint="eastAsia" w:ascii="宋体" w:hAnsi="宋体" w:cs="宋体"/>
        </w:rPr>
        <w:t>2.第三、四、五次人口普查在业人口职业结构详见表6-9：</w:t>
      </w:r>
    </w:p>
    <w:p w14:paraId="67F81BD2">
      <w:pPr>
        <w:ind w:firstLine="422"/>
        <w:jc w:val="center"/>
        <w:rPr>
          <w:rFonts w:ascii="宋体" w:hAnsi="宋体" w:cs="宋体"/>
          <w:b/>
          <w:bCs/>
        </w:rPr>
      </w:pPr>
      <w:r>
        <w:rPr>
          <w:rFonts w:hint="eastAsia" w:ascii="宋体" w:hAnsi="宋体" w:cs="宋体"/>
          <w:b/>
          <w:bCs/>
        </w:rPr>
        <w:t>南雄市第三、四、五次人口普查在业人口职业结构</w:t>
      </w:r>
    </w:p>
    <w:p w14:paraId="50FF12B9">
      <w:pPr>
        <w:ind w:firstLine="0" w:firstLineChars="0"/>
        <w:rPr>
          <w:rFonts w:ascii="宋体" w:hAnsi="宋体" w:cs="宋体"/>
          <w:b/>
          <w:bCs/>
        </w:rPr>
      </w:pPr>
      <w:r>
        <w:rPr>
          <w:rFonts w:hint="eastAsia" w:ascii="宋体" w:hAnsi="宋体" w:cs="宋体"/>
          <w:b/>
          <w:bCs/>
        </w:rPr>
        <w:t>表6-9</w:t>
      </w:r>
    </w:p>
    <w:p w14:paraId="05D58D02">
      <w:pPr>
        <w:ind w:firstLine="422"/>
        <w:jc w:val="right"/>
        <w:rPr>
          <w:rFonts w:ascii="宋体" w:hAnsi="宋体" w:cs="宋体"/>
          <w:b/>
          <w:bCs/>
        </w:rPr>
      </w:pPr>
      <w:r>
        <w:rPr>
          <w:rFonts w:hint="eastAsia" w:ascii="宋体" w:hAnsi="宋体" w:cs="宋体"/>
          <w:b/>
          <w:bCs/>
        </w:rPr>
        <w:t>单位：人、%</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43"/>
        <w:gridCol w:w="881"/>
        <w:gridCol w:w="1702"/>
        <w:gridCol w:w="881"/>
        <w:gridCol w:w="1672"/>
        <w:gridCol w:w="851"/>
        <w:gridCol w:w="1632"/>
      </w:tblGrid>
      <w:tr w14:paraId="47DED3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1176" w:type="pct"/>
            <w:vAlign w:val="center"/>
          </w:tcPr>
          <w:p w14:paraId="412D66D8">
            <w:pPr>
              <w:pStyle w:val="12"/>
              <w:jc w:val="center"/>
              <w:rPr>
                <w:b/>
              </w:rPr>
            </w:pPr>
            <w:r>
              <w:rPr>
                <w:rFonts w:hint="eastAsia"/>
                <w:b/>
              </w:rPr>
              <w:t>职  业</w:t>
            </w:r>
          </w:p>
        </w:tc>
        <w:tc>
          <w:tcPr>
            <w:tcW w:w="442" w:type="pct"/>
            <w:vAlign w:val="center"/>
          </w:tcPr>
          <w:p w14:paraId="519752A4">
            <w:pPr>
              <w:pStyle w:val="12"/>
              <w:jc w:val="center"/>
              <w:rPr>
                <w:b/>
              </w:rPr>
            </w:pPr>
            <w:r>
              <w:rPr>
                <w:rFonts w:hint="eastAsia"/>
                <w:b/>
              </w:rPr>
              <w:t>人数</w:t>
            </w:r>
          </w:p>
        </w:tc>
        <w:tc>
          <w:tcPr>
            <w:tcW w:w="854" w:type="pct"/>
            <w:vAlign w:val="center"/>
          </w:tcPr>
          <w:p w14:paraId="0540967E">
            <w:pPr>
              <w:pStyle w:val="12"/>
              <w:jc w:val="center"/>
              <w:rPr>
                <w:b/>
              </w:rPr>
            </w:pPr>
            <w:r>
              <w:rPr>
                <w:rFonts w:hint="eastAsia"/>
                <w:b/>
              </w:rPr>
              <w:t>占在业人口比</w:t>
            </w:r>
          </w:p>
        </w:tc>
        <w:tc>
          <w:tcPr>
            <w:tcW w:w="442" w:type="pct"/>
            <w:vAlign w:val="center"/>
          </w:tcPr>
          <w:p w14:paraId="0C81AD88">
            <w:pPr>
              <w:pStyle w:val="12"/>
              <w:jc w:val="center"/>
              <w:rPr>
                <w:b/>
              </w:rPr>
            </w:pPr>
            <w:r>
              <w:rPr>
                <w:rFonts w:hint="eastAsia"/>
                <w:b/>
              </w:rPr>
              <w:t>人数</w:t>
            </w:r>
          </w:p>
        </w:tc>
        <w:tc>
          <w:tcPr>
            <w:tcW w:w="839" w:type="pct"/>
            <w:vAlign w:val="center"/>
          </w:tcPr>
          <w:p w14:paraId="5D842C41">
            <w:pPr>
              <w:pStyle w:val="12"/>
              <w:jc w:val="center"/>
              <w:rPr>
                <w:b/>
              </w:rPr>
            </w:pPr>
            <w:r>
              <w:rPr>
                <w:rFonts w:hint="eastAsia"/>
                <w:b/>
              </w:rPr>
              <w:t>占在业人口比</w:t>
            </w:r>
          </w:p>
        </w:tc>
        <w:tc>
          <w:tcPr>
            <w:tcW w:w="427" w:type="pct"/>
            <w:vAlign w:val="center"/>
          </w:tcPr>
          <w:p w14:paraId="60ABBF50">
            <w:pPr>
              <w:pStyle w:val="12"/>
              <w:jc w:val="center"/>
              <w:rPr>
                <w:b/>
              </w:rPr>
            </w:pPr>
            <w:r>
              <w:rPr>
                <w:rFonts w:hint="eastAsia"/>
                <w:b/>
              </w:rPr>
              <w:t>人数</w:t>
            </w:r>
          </w:p>
        </w:tc>
        <w:tc>
          <w:tcPr>
            <w:tcW w:w="819" w:type="pct"/>
            <w:vAlign w:val="center"/>
          </w:tcPr>
          <w:p w14:paraId="26615A43">
            <w:pPr>
              <w:pStyle w:val="12"/>
              <w:jc w:val="center"/>
              <w:rPr>
                <w:b/>
              </w:rPr>
            </w:pPr>
            <w:r>
              <w:rPr>
                <w:rFonts w:hint="eastAsia"/>
                <w:b/>
              </w:rPr>
              <w:t>占在业人口比</w:t>
            </w:r>
          </w:p>
        </w:tc>
      </w:tr>
      <w:tr w14:paraId="15F0EF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76" w:type="pct"/>
            <w:vAlign w:val="center"/>
          </w:tcPr>
          <w:p w14:paraId="1ACFE121">
            <w:pPr>
              <w:pStyle w:val="12"/>
              <w:jc w:val="left"/>
            </w:pPr>
            <w:r>
              <w:rPr>
                <w:rFonts w:hint="eastAsia"/>
              </w:rPr>
              <w:t>在业人口</w:t>
            </w:r>
          </w:p>
        </w:tc>
        <w:tc>
          <w:tcPr>
            <w:tcW w:w="442" w:type="pct"/>
            <w:vAlign w:val="center"/>
          </w:tcPr>
          <w:p w14:paraId="4DF89B33">
            <w:pPr>
              <w:pStyle w:val="12"/>
              <w:jc w:val="center"/>
            </w:pPr>
            <w:r>
              <w:rPr>
                <w:rFonts w:hint="eastAsia"/>
              </w:rPr>
              <w:t>186550</w:t>
            </w:r>
          </w:p>
        </w:tc>
        <w:tc>
          <w:tcPr>
            <w:tcW w:w="854" w:type="pct"/>
            <w:vAlign w:val="center"/>
          </w:tcPr>
          <w:p w14:paraId="038049AB">
            <w:pPr>
              <w:pStyle w:val="12"/>
              <w:jc w:val="center"/>
            </w:pPr>
            <w:r>
              <w:rPr>
                <w:rFonts w:hint="eastAsia"/>
              </w:rPr>
              <w:t>100</w:t>
            </w:r>
          </w:p>
        </w:tc>
        <w:tc>
          <w:tcPr>
            <w:tcW w:w="442" w:type="pct"/>
            <w:vAlign w:val="center"/>
          </w:tcPr>
          <w:p w14:paraId="692B01A3">
            <w:pPr>
              <w:pStyle w:val="12"/>
              <w:jc w:val="center"/>
            </w:pPr>
            <w:r>
              <w:rPr>
                <w:rFonts w:hint="eastAsia"/>
              </w:rPr>
              <w:t>233061</w:t>
            </w:r>
          </w:p>
        </w:tc>
        <w:tc>
          <w:tcPr>
            <w:tcW w:w="839" w:type="pct"/>
            <w:vAlign w:val="center"/>
          </w:tcPr>
          <w:p w14:paraId="7278C085">
            <w:pPr>
              <w:pStyle w:val="12"/>
              <w:jc w:val="center"/>
            </w:pPr>
            <w:r>
              <w:rPr>
                <w:rFonts w:hint="eastAsia"/>
              </w:rPr>
              <w:t>100</w:t>
            </w:r>
          </w:p>
        </w:tc>
        <w:tc>
          <w:tcPr>
            <w:tcW w:w="427" w:type="pct"/>
            <w:vAlign w:val="center"/>
          </w:tcPr>
          <w:p w14:paraId="25C70C53">
            <w:pPr>
              <w:pStyle w:val="12"/>
              <w:jc w:val="center"/>
            </w:pPr>
            <w:r>
              <w:rPr>
                <w:rFonts w:hint="eastAsia"/>
              </w:rPr>
              <w:t>19186</w:t>
            </w:r>
          </w:p>
        </w:tc>
        <w:tc>
          <w:tcPr>
            <w:tcW w:w="819" w:type="pct"/>
            <w:vAlign w:val="center"/>
          </w:tcPr>
          <w:p w14:paraId="1CED4160">
            <w:pPr>
              <w:pStyle w:val="12"/>
              <w:jc w:val="center"/>
            </w:pPr>
            <w:r>
              <w:rPr>
                <w:rFonts w:hint="eastAsia"/>
              </w:rPr>
              <w:t>100</w:t>
            </w:r>
          </w:p>
        </w:tc>
      </w:tr>
      <w:tr w14:paraId="63A8E6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76" w:type="pct"/>
            <w:vAlign w:val="center"/>
          </w:tcPr>
          <w:p w14:paraId="5AFAAD29">
            <w:pPr>
              <w:pStyle w:val="12"/>
              <w:jc w:val="left"/>
            </w:pPr>
            <w:r>
              <w:rPr>
                <w:rFonts w:hint="eastAsia"/>
              </w:rPr>
              <w:t>各类专业技术人员</w:t>
            </w:r>
          </w:p>
        </w:tc>
        <w:tc>
          <w:tcPr>
            <w:tcW w:w="442" w:type="pct"/>
            <w:vAlign w:val="center"/>
          </w:tcPr>
          <w:p w14:paraId="6CAB7BD7">
            <w:pPr>
              <w:pStyle w:val="12"/>
              <w:jc w:val="center"/>
            </w:pPr>
            <w:r>
              <w:rPr>
                <w:rFonts w:hint="eastAsia"/>
              </w:rPr>
              <w:t>7426</w:t>
            </w:r>
          </w:p>
        </w:tc>
        <w:tc>
          <w:tcPr>
            <w:tcW w:w="854" w:type="pct"/>
            <w:vAlign w:val="center"/>
          </w:tcPr>
          <w:p w14:paraId="028177D9">
            <w:pPr>
              <w:pStyle w:val="12"/>
              <w:jc w:val="center"/>
            </w:pPr>
            <w:r>
              <w:rPr>
                <w:rFonts w:hint="eastAsia"/>
              </w:rPr>
              <w:t>3.98</w:t>
            </w:r>
          </w:p>
        </w:tc>
        <w:tc>
          <w:tcPr>
            <w:tcW w:w="442" w:type="pct"/>
            <w:vAlign w:val="center"/>
          </w:tcPr>
          <w:p w14:paraId="5BBB12FF">
            <w:pPr>
              <w:pStyle w:val="12"/>
              <w:jc w:val="center"/>
            </w:pPr>
            <w:r>
              <w:rPr>
                <w:rFonts w:hint="eastAsia"/>
              </w:rPr>
              <w:t>9723</w:t>
            </w:r>
          </w:p>
        </w:tc>
        <w:tc>
          <w:tcPr>
            <w:tcW w:w="839" w:type="pct"/>
            <w:vAlign w:val="center"/>
          </w:tcPr>
          <w:p w14:paraId="7ECB022E">
            <w:pPr>
              <w:pStyle w:val="12"/>
              <w:jc w:val="center"/>
            </w:pPr>
            <w:r>
              <w:rPr>
                <w:rFonts w:hint="eastAsia"/>
              </w:rPr>
              <w:t>4.17</w:t>
            </w:r>
          </w:p>
        </w:tc>
        <w:tc>
          <w:tcPr>
            <w:tcW w:w="427" w:type="pct"/>
            <w:vAlign w:val="center"/>
          </w:tcPr>
          <w:p w14:paraId="40C97CEA">
            <w:pPr>
              <w:pStyle w:val="12"/>
              <w:jc w:val="center"/>
            </w:pPr>
            <w:r>
              <w:rPr>
                <w:rFonts w:hint="eastAsia"/>
              </w:rPr>
              <w:t>940</w:t>
            </w:r>
          </w:p>
        </w:tc>
        <w:tc>
          <w:tcPr>
            <w:tcW w:w="819" w:type="pct"/>
            <w:vAlign w:val="center"/>
          </w:tcPr>
          <w:p w14:paraId="57C4B65E">
            <w:pPr>
              <w:pStyle w:val="12"/>
              <w:jc w:val="center"/>
            </w:pPr>
            <w:r>
              <w:rPr>
                <w:rFonts w:hint="eastAsia"/>
              </w:rPr>
              <w:t>4.50</w:t>
            </w:r>
          </w:p>
        </w:tc>
      </w:tr>
      <w:tr w14:paraId="314FDB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76" w:type="pct"/>
            <w:vAlign w:val="center"/>
          </w:tcPr>
          <w:p w14:paraId="36C2E1CB">
            <w:pPr>
              <w:pStyle w:val="12"/>
              <w:jc w:val="left"/>
            </w:pPr>
            <w:r>
              <w:rPr>
                <w:rFonts w:hint="eastAsia"/>
              </w:rPr>
              <w:t>国家机关党群组织企事业单位负责人</w:t>
            </w:r>
          </w:p>
        </w:tc>
        <w:tc>
          <w:tcPr>
            <w:tcW w:w="442" w:type="pct"/>
            <w:vAlign w:val="center"/>
          </w:tcPr>
          <w:p w14:paraId="10CBE03D">
            <w:pPr>
              <w:pStyle w:val="12"/>
              <w:jc w:val="center"/>
            </w:pPr>
            <w:r>
              <w:rPr>
                <w:rFonts w:hint="eastAsia"/>
              </w:rPr>
              <w:t>1760</w:t>
            </w:r>
          </w:p>
        </w:tc>
        <w:tc>
          <w:tcPr>
            <w:tcW w:w="854" w:type="pct"/>
            <w:vAlign w:val="center"/>
          </w:tcPr>
          <w:p w14:paraId="19B98328">
            <w:pPr>
              <w:pStyle w:val="12"/>
              <w:jc w:val="center"/>
            </w:pPr>
            <w:r>
              <w:rPr>
                <w:rFonts w:hint="eastAsia"/>
              </w:rPr>
              <w:t>0.94</w:t>
            </w:r>
          </w:p>
        </w:tc>
        <w:tc>
          <w:tcPr>
            <w:tcW w:w="442" w:type="pct"/>
            <w:vAlign w:val="center"/>
          </w:tcPr>
          <w:p w14:paraId="1BE4189C">
            <w:pPr>
              <w:pStyle w:val="12"/>
              <w:jc w:val="center"/>
            </w:pPr>
            <w:r>
              <w:rPr>
                <w:rFonts w:hint="eastAsia"/>
              </w:rPr>
              <w:t>1920</w:t>
            </w:r>
          </w:p>
        </w:tc>
        <w:tc>
          <w:tcPr>
            <w:tcW w:w="839" w:type="pct"/>
            <w:vAlign w:val="center"/>
          </w:tcPr>
          <w:p w14:paraId="041E22FD">
            <w:pPr>
              <w:pStyle w:val="12"/>
              <w:jc w:val="center"/>
            </w:pPr>
            <w:r>
              <w:rPr>
                <w:rFonts w:hint="eastAsia"/>
              </w:rPr>
              <w:t>0.82</w:t>
            </w:r>
          </w:p>
        </w:tc>
        <w:tc>
          <w:tcPr>
            <w:tcW w:w="427" w:type="pct"/>
            <w:vAlign w:val="center"/>
          </w:tcPr>
          <w:p w14:paraId="4B17E81A">
            <w:pPr>
              <w:pStyle w:val="12"/>
              <w:jc w:val="center"/>
            </w:pPr>
            <w:r>
              <w:rPr>
                <w:rFonts w:hint="eastAsia"/>
              </w:rPr>
              <w:t>176</w:t>
            </w:r>
          </w:p>
        </w:tc>
        <w:tc>
          <w:tcPr>
            <w:tcW w:w="819" w:type="pct"/>
            <w:vAlign w:val="center"/>
          </w:tcPr>
          <w:p w14:paraId="7268FFEC">
            <w:pPr>
              <w:pStyle w:val="12"/>
              <w:jc w:val="center"/>
            </w:pPr>
            <w:r>
              <w:rPr>
                <w:rFonts w:hint="eastAsia"/>
              </w:rPr>
              <w:t>0.92</w:t>
            </w:r>
          </w:p>
        </w:tc>
      </w:tr>
      <w:tr w14:paraId="487E52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76" w:type="pct"/>
            <w:vAlign w:val="center"/>
          </w:tcPr>
          <w:p w14:paraId="58A09670">
            <w:pPr>
              <w:pStyle w:val="12"/>
              <w:jc w:val="left"/>
            </w:pPr>
            <w:r>
              <w:rPr>
                <w:rFonts w:hint="eastAsia"/>
              </w:rPr>
              <w:t>办事人员和有关人员</w:t>
            </w:r>
          </w:p>
        </w:tc>
        <w:tc>
          <w:tcPr>
            <w:tcW w:w="442" w:type="pct"/>
            <w:vAlign w:val="center"/>
          </w:tcPr>
          <w:p w14:paraId="3F0AB640">
            <w:pPr>
              <w:pStyle w:val="12"/>
              <w:jc w:val="center"/>
            </w:pPr>
            <w:r>
              <w:rPr>
                <w:rFonts w:hint="eastAsia"/>
              </w:rPr>
              <w:t>1617</w:t>
            </w:r>
          </w:p>
        </w:tc>
        <w:tc>
          <w:tcPr>
            <w:tcW w:w="854" w:type="pct"/>
            <w:vAlign w:val="center"/>
          </w:tcPr>
          <w:p w14:paraId="3DE92127">
            <w:pPr>
              <w:pStyle w:val="12"/>
              <w:jc w:val="center"/>
            </w:pPr>
            <w:r>
              <w:rPr>
                <w:rFonts w:hint="eastAsia"/>
              </w:rPr>
              <w:t>0.87</w:t>
            </w:r>
          </w:p>
        </w:tc>
        <w:tc>
          <w:tcPr>
            <w:tcW w:w="442" w:type="pct"/>
            <w:vAlign w:val="center"/>
          </w:tcPr>
          <w:p w14:paraId="5E6D5A48">
            <w:pPr>
              <w:pStyle w:val="12"/>
              <w:jc w:val="center"/>
            </w:pPr>
            <w:r>
              <w:rPr>
                <w:rFonts w:hint="eastAsia"/>
              </w:rPr>
              <w:t>3509</w:t>
            </w:r>
          </w:p>
        </w:tc>
        <w:tc>
          <w:tcPr>
            <w:tcW w:w="839" w:type="pct"/>
            <w:vAlign w:val="center"/>
          </w:tcPr>
          <w:p w14:paraId="6FC27A83">
            <w:pPr>
              <w:pStyle w:val="12"/>
              <w:jc w:val="center"/>
            </w:pPr>
            <w:r>
              <w:rPr>
                <w:rFonts w:hint="eastAsia"/>
              </w:rPr>
              <w:t>1.51</w:t>
            </w:r>
          </w:p>
        </w:tc>
        <w:tc>
          <w:tcPr>
            <w:tcW w:w="427" w:type="pct"/>
            <w:vAlign w:val="center"/>
          </w:tcPr>
          <w:p w14:paraId="38DAB4E5">
            <w:pPr>
              <w:pStyle w:val="12"/>
              <w:jc w:val="center"/>
            </w:pPr>
            <w:r>
              <w:rPr>
                <w:rFonts w:hint="eastAsia"/>
              </w:rPr>
              <w:t>569</w:t>
            </w:r>
          </w:p>
        </w:tc>
        <w:tc>
          <w:tcPr>
            <w:tcW w:w="819" w:type="pct"/>
            <w:vAlign w:val="center"/>
          </w:tcPr>
          <w:p w14:paraId="403AF0E7">
            <w:pPr>
              <w:pStyle w:val="12"/>
              <w:jc w:val="center"/>
            </w:pPr>
            <w:r>
              <w:rPr>
                <w:rFonts w:hint="eastAsia"/>
              </w:rPr>
              <w:t>2.97</w:t>
            </w:r>
          </w:p>
        </w:tc>
      </w:tr>
      <w:tr w14:paraId="7A3052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76" w:type="pct"/>
            <w:vAlign w:val="center"/>
          </w:tcPr>
          <w:p w14:paraId="5F0DC1C9">
            <w:pPr>
              <w:pStyle w:val="12"/>
              <w:jc w:val="left"/>
            </w:pPr>
            <w:r>
              <w:rPr>
                <w:rFonts w:hint="eastAsia"/>
              </w:rPr>
              <w:t>商业工作人员</w:t>
            </w:r>
          </w:p>
        </w:tc>
        <w:tc>
          <w:tcPr>
            <w:tcW w:w="442" w:type="pct"/>
            <w:vAlign w:val="center"/>
          </w:tcPr>
          <w:p w14:paraId="0CDE495B">
            <w:pPr>
              <w:pStyle w:val="12"/>
              <w:jc w:val="center"/>
            </w:pPr>
            <w:r>
              <w:rPr>
                <w:rFonts w:hint="eastAsia"/>
              </w:rPr>
              <w:t>2692</w:t>
            </w:r>
          </w:p>
        </w:tc>
        <w:tc>
          <w:tcPr>
            <w:tcW w:w="854" w:type="pct"/>
            <w:vAlign w:val="center"/>
          </w:tcPr>
          <w:p w14:paraId="4F306EE8">
            <w:pPr>
              <w:pStyle w:val="12"/>
              <w:jc w:val="center"/>
            </w:pPr>
            <w:r>
              <w:rPr>
                <w:rFonts w:hint="eastAsia"/>
              </w:rPr>
              <w:t>1.44</w:t>
            </w:r>
          </w:p>
        </w:tc>
        <w:tc>
          <w:tcPr>
            <w:tcW w:w="442" w:type="pct"/>
            <w:vAlign w:val="center"/>
          </w:tcPr>
          <w:p w14:paraId="03160B0F">
            <w:pPr>
              <w:pStyle w:val="12"/>
              <w:jc w:val="center"/>
            </w:pPr>
            <w:r>
              <w:rPr>
                <w:rFonts w:hint="eastAsia"/>
              </w:rPr>
              <w:t>6243</w:t>
            </w:r>
          </w:p>
        </w:tc>
        <w:tc>
          <w:tcPr>
            <w:tcW w:w="839" w:type="pct"/>
            <w:vAlign w:val="center"/>
          </w:tcPr>
          <w:p w14:paraId="4418AF02">
            <w:pPr>
              <w:pStyle w:val="12"/>
              <w:jc w:val="center"/>
            </w:pPr>
            <w:r>
              <w:rPr>
                <w:rFonts w:hint="eastAsia"/>
              </w:rPr>
              <w:t>2.68</w:t>
            </w:r>
          </w:p>
        </w:tc>
        <w:tc>
          <w:tcPr>
            <w:tcW w:w="427" w:type="pct"/>
            <w:vAlign w:val="center"/>
          </w:tcPr>
          <w:p w14:paraId="372A1A3A">
            <w:pPr>
              <w:pStyle w:val="12"/>
              <w:jc w:val="center"/>
            </w:pPr>
          </w:p>
        </w:tc>
        <w:tc>
          <w:tcPr>
            <w:tcW w:w="819" w:type="pct"/>
            <w:vAlign w:val="center"/>
          </w:tcPr>
          <w:p w14:paraId="18E2409E">
            <w:pPr>
              <w:pStyle w:val="12"/>
              <w:jc w:val="center"/>
            </w:pPr>
          </w:p>
        </w:tc>
      </w:tr>
      <w:tr w14:paraId="7316A0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76" w:type="pct"/>
            <w:vAlign w:val="center"/>
          </w:tcPr>
          <w:p w14:paraId="5F1F725F">
            <w:pPr>
              <w:pStyle w:val="12"/>
              <w:jc w:val="left"/>
            </w:pPr>
            <w:r>
              <w:rPr>
                <w:rFonts w:hint="eastAsia"/>
              </w:rPr>
              <w:t>服务性工作人员</w:t>
            </w:r>
          </w:p>
        </w:tc>
        <w:tc>
          <w:tcPr>
            <w:tcW w:w="442" w:type="pct"/>
            <w:vAlign w:val="center"/>
          </w:tcPr>
          <w:p w14:paraId="43BBFE78">
            <w:pPr>
              <w:pStyle w:val="12"/>
              <w:jc w:val="center"/>
            </w:pPr>
            <w:r>
              <w:rPr>
                <w:rFonts w:hint="eastAsia"/>
              </w:rPr>
              <w:t>2586</w:t>
            </w:r>
          </w:p>
        </w:tc>
        <w:tc>
          <w:tcPr>
            <w:tcW w:w="854" w:type="pct"/>
            <w:vAlign w:val="center"/>
          </w:tcPr>
          <w:p w14:paraId="171049FC">
            <w:pPr>
              <w:pStyle w:val="12"/>
              <w:jc w:val="center"/>
            </w:pPr>
            <w:r>
              <w:rPr>
                <w:rFonts w:hint="eastAsia"/>
              </w:rPr>
              <w:t>1.39</w:t>
            </w:r>
          </w:p>
        </w:tc>
        <w:tc>
          <w:tcPr>
            <w:tcW w:w="442" w:type="pct"/>
            <w:vAlign w:val="center"/>
          </w:tcPr>
          <w:p w14:paraId="316FED7C">
            <w:pPr>
              <w:pStyle w:val="12"/>
              <w:jc w:val="center"/>
            </w:pPr>
            <w:r>
              <w:rPr>
                <w:rFonts w:hint="eastAsia"/>
              </w:rPr>
              <w:t>3995</w:t>
            </w:r>
          </w:p>
        </w:tc>
        <w:tc>
          <w:tcPr>
            <w:tcW w:w="839" w:type="pct"/>
            <w:vAlign w:val="center"/>
          </w:tcPr>
          <w:p w14:paraId="6B1CA729">
            <w:pPr>
              <w:pStyle w:val="12"/>
              <w:jc w:val="center"/>
            </w:pPr>
            <w:r>
              <w:rPr>
                <w:rFonts w:hint="eastAsia"/>
              </w:rPr>
              <w:t>1.71</w:t>
            </w:r>
          </w:p>
        </w:tc>
        <w:tc>
          <w:tcPr>
            <w:tcW w:w="427" w:type="pct"/>
            <w:vAlign w:val="center"/>
          </w:tcPr>
          <w:p w14:paraId="7B7D4DE4">
            <w:pPr>
              <w:pStyle w:val="12"/>
              <w:jc w:val="center"/>
            </w:pPr>
            <w:r>
              <w:rPr>
                <w:rFonts w:hint="eastAsia"/>
              </w:rPr>
              <w:t>1382</w:t>
            </w:r>
          </w:p>
        </w:tc>
        <w:tc>
          <w:tcPr>
            <w:tcW w:w="819" w:type="pct"/>
            <w:vAlign w:val="center"/>
          </w:tcPr>
          <w:p w14:paraId="1248065D">
            <w:pPr>
              <w:pStyle w:val="12"/>
              <w:jc w:val="center"/>
            </w:pPr>
            <w:r>
              <w:rPr>
                <w:rFonts w:hint="eastAsia"/>
              </w:rPr>
              <w:t>7.20</w:t>
            </w:r>
          </w:p>
        </w:tc>
      </w:tr>
      <w:tr w14:paraId="66C136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76" w:type="pct"/>
            <w:vAlign w:val="center"/>
          </w:tcPr>
          <w:p w14:paraId="301718E9">
            <w:pPr>
              <w:pStyle w:val="12"/>
              <w:jc w:val="left"/>
            </w:pPr>
            <w:r>
              <w:rPr>
                <w:rFonts w:hint="eastAsia"/>
              </w:rPr>
              <w:t>农业牧渔劳动者</w:t>
            </w:r>
          </w:p>
        </w:tc>
        <w:tc>
          <w:tcPr>
            <w:tcW w:w="442" w:type="pct"/>
            <w:vAlign w:val="center"/>
          </w:tcPr>
          <w:p w14:paraId="34ED142D">
            <w:pPr>
              <w:pStyle w:val="12"/>
              <w:jc w:val="center"/>
            </w:pPr>
            <w:r>
              <w:rPr>
                <w:rFonts w:hint="eastAsia"/>
              </w:rPr>
              <w:t>157541</w:t>
            </w:r>
          </w:p>
        </w:tc>
        <w:tc>
          <w:tcPr>
            <w:tcW w:w="854" w:type="pct"/>
            <w:vAlign w:val="center"/>
          </w:tcPr>
          <w:p w14:paraId="3724CC9D">
            <w:pPr>
              <w:pStyle w:val="12"/>
              <w:jc w:val="center"/>
            </w:pPr>
            <w:r>
              <w:rPr>
                <w:rFonts w:hint="eastAsia"/>
              </w:rPr>
              <w:t>84.45</w:t>
            </w:r>
          </w:p>
        </w:tc>
        <w:tc>
          <w:tcPr>
            <w:tcW w:w="442" w:type="pct"/>
            <w:vAlign w:val="center"/>
          </w:tcPr>
          <w:p w14:paraId="2FE15335">
            <w:pPr>
              <w:pStyle w:val="12"/>
              <w:jc w:val="center"/>
            </w:pPr>
            <w:r>
              <w:rPr>
                <w:rFonts w:hint="eastAsia"/>
              </w:rPr>
              <w:t>190507</w:t>
            </w:r>
          </w:p>
        </w:tc>
        <w:tc>
          <w:tcPr>
            <w:tcW w:w="839" w:type="pct"/>
            <w:vAlign w:val="center"/>
          </w:tcPr>
          <w:p w14:paraId="713DA3BE">
            <w:pPr>
              <w:pStyle w:val="12"/>
              <w:jc w:val="center"/>
            </w:pPr>
            <w:r>
              <w:rPr>
                <w:rFonts w:hint="eastAsia"/>
              </w:rPr>
              <w:t>81.74</w:t>
            </w:r>
          </w:p>
        </w:tc>
        <w:tc>
          <w:tcPr>
            <w:tcW w:w="427" w:type="pct"/>
            <w:vAlign w:val="center"/>
          </w:tcPr>
          <w:p w14:paraId="3BBBEFF7">
            <w:pPr>
              <w:pStyle w:val="12"/>
              <w:jc w:val="center"/>
            </w:pPr>
            <w:r>
              <w:rPr>
                <w:rFonts w:hint="eastAsia"/>
              </w:rPr>
              <w:t>14630</w:t>
            </w:r>
          </w:p>
        </w:tc>
        <w:tc>
          <w:tcPr>
            <w:tcW w:w="819" w:type="pct"/>
            <w:vAlign w:val="center"/>
          </w:tcPr>
          <w:p w14:paraId="30D7109A">
            <w:pPr>
              <w:pStyle w:val="12"/>
              <w:jc w:val="center"/>
            </w:pPr>
            <w:r>
              <w:rPr>
                <w:rFonts w:hint="eastAsia"/>
              </w:rPr>
              <w:t>76.25</w:t>
            </w:r>
          </w:p>
        </w:tc>
      </w:tr>
      <w:tr w14:paraId="1B1AF3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76" w:type="pct"/>
            <w:vAlign w:val="center"/>
          </w:tcPr>
          <w:p w14:paraId="3C1748F6">
            <w:pPr>
              <w:pStyle w:val="12"/>
              <w:jc w:val="left"/>
            </w:pPr>
            <w:r>
              <w:rPr>
                <w:rFonts w:hint="eastAsia"/>
              </w:rPr>
              <w:t>生产工人、运输工人和有关人员</w:t>
            </w:r>
          </w:p>
        </w:tc>
        <w:tc>
          <w:tcPr>
            <w:tcW w:w="442" w:type="pct"/>
            <w:vAlign w:val="center"/>
          </w:tcPr>
          <w:p w14:paraId="0488BBC4">
            <w:pPr>
              <w:pStyle w:val="12"/>
              <w:jc w:val="center"/>
            </w:pPr>
            <w:r>
              <w:rPr>
                <w:rFonts w:hint="eastAsia"/>
              </w:rPr>
              <w:t>12927</w:t>
            </w:r>
          </w:p>
        </w:tc>
        <w:tc>
          <w:tcPr>
            <w:tcW w:w="854" w:type="pct"/>
            <w:vAlign w:val="center"/>
          </w:tcPr>
          <w:p w14:paraId="4DECBB82">
            <w:pPr>
              <w:pStyle w:val="12"/>
              <w:jc w:val="center"/>
            </w:pPr>
            <w:r>
              <w:rPr>
                <w:rFonts w:hint="eastAsia"/>
              </w:rPr>
              <w:t>6.93</w:t>
            </w:r>
          </w:p>
        </w:tc>
        <w:tc>
          <w:tcPr>
            <w:tcW w:w="442" w:type="pct"/>
            <w:vAlign w:val="center"/>
          </w:tcPr>
          <w:p w14:paraId="7460FD3C">
            <w:pPr>
              <w:pStyle w:val="12"/>
              <w:jc w:val="center"/>
            </w:pPr>
            <w:r>
              <w:rPr>
                <w:rFonts w:hint="eastAsia"/>
              </w:rPr>
              <w:t>17146</w:t>
            </w:r>
          </w:p>
        </w:tc>
        <w:tc>
          <w:tcPr>
            <w:tcW w:w="839" w:type="pct"/>
            <w:vAlign w:val="center"/>
          </w:tcPr>
          <w:p w14:paraId="18944BD0">
            <w:pPr>
              <w:pStyle w:val="12"/>
              <w:jc w:val="center"/>
            </w:pPr>
            <w:r>
              <w:rPr>
                <w:rFonts w:hint="eastAsia"/>
              </w:rPr>
              <w:t>7.36</w:t>
            </w:r>
          </w:p>
        </w:tc>
        <w:tc>
          <w:tcPr>
            <w:tcW w:w="427" w:type="pct"/>
            <w:vAlign w:val="center"/>
          </w:tcPr>
          <w:p w14:paraId="5C501CCF">
            <w:pPr>
              <w:pStyle w:val="12"/>
              <w:jc w:val="center"/>
            </w:pPr>
            <w:r>
              <w:rPr>
                <w:rFonts w:hint="eastAsia"/>
              </w:rPr>
              <w:t>1489</w:t>
            </w:r>
          </w:p>
        </w:tc>
        <w:tc>
          <w:tcPr>
            <w:tcW w:w="819" w:type="pct"/>
            <w:vAlign w:val="center"/>
          </w:tcPr>
          <w:p w14:paraId="1B39BE4B">
            <w:pPr>
              <w:pStyle w:val="12"/>
              <w:jc w:val="center"/>
            </w:pPr>
            <w:r>
              <w:rPr>
                <w:rFonts w:hint="eastAsia"/>
              </w:rPr>
              <w:t>7.76</w:t>
            </w:r>
          </w:p>
        </w:tc>
      </w:tr>
      <w:tr w14:paraId="7E35CF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76" w:type="pct"/>
            <w:vAlign w:val="center"/>
          </w:tcPr>
          <w:p w14:paraId="7566994C">
            <w:pPr>
              <w:pStyle w:val="12"/>
              <w:jc w:val="left"/>
            </w:pPr>
            <w:r>
              <w:rPr>
                <w:rFonts w:hint="eastAsia"/>
              </w:rPr>
              <w:t>不便分类的其他劳动者</w:t>
            </w:r>
          </w:p>
        </w:tc>
        <w:tc>
          <w:tcPr>
            <w:tcW w:w="442" w:type="pct"/>
            <w:vAlign w:val="center"/>
          </w:tcPr>
          <w:p w14:paraId="14D7C760">
            <w:pPr>
              <w:pStyle w:val="12"/>
              <w:jc w:val="center"/>
            </w:pPr>
            <w:r>
              <w:rPr>
                <w:rFonts w:hint="eastAsia"/>
              </w:rPr>
              <w:t>1</w:t>
            </w:r>
          </w:p>
        </w:tc>
        <w:tc>
          <w:tcPr>
            <w:tcW w:w="854" w:type="pct"/>
            <w:vAlign w:val="center"/>
          </w:tcPr>
          <w:p w14:paraId="479DA16E">
            <w:pPr>
              <w:pStyle w:val="12"/>
              <w:jc w:val="center"/>
            </w:pPr>
            <w:r>
              <w:rPr>
                <w:rFonts w:hint="eastAsia"/>
              </w:rPr>
              <w:t>—</w:t>
            </w:r>
          </w:p>
        </w:tc>
        <w:tc>
          <w:tcPr>
            <w:tcW w:w="442" w:type="pct"/>
            <w:vAlign w:val="center"/>
          </w:tcPr>
          <w:p w14:paraId="44B238B0">
            <w:pPr>
              <w:pStyle w:val="12"/>
              <w:jc w:val="center"/>
            </w:pPr>
            <w:r>
              <w:rPr>
                <w:rFonts w:hint="eastAsia"/>
              </w:rPr>
              <w:t>18</w:t>
            </w:r>
          </w:p>
        </w:tc>
        <w:tc>
          <w:tcPr>
            <w:tcW w:w="839" w:type="pct"/>
            <w:vAlign w:val="center"/>
          </w:tcPr>
          <w:p w14:paraId="6286BB7F">
            <w:pPr>
              <w:pStyle w:val="12"/>
              <w:jc w:val="center"/>
            </w:pPr>
            <w:r>
              <w:rPr>
                <w:rFonts w:hint="eastAsia"/>
              </w:rPr>
              <w:t>—</w:t>
            </w:r>
          </w:p>
        </w:tc>
        <w:tc>
          <w:tcPr>
            <w:tcW w:w="427" w:type="pct"/>
            <w:vAlign w:val="center"/>
          </w:tcPr>
          <w:p w14:paraId="03B954F6">
            <w:pPr>
              <w:pStyle w:val="12"/>
              <w:jc w:val="center"/>
            </w:pPr>
            <w:r>
              <w:rPr>
                <w:rFonts w:hint="eastAsia"/>
              </w:rPr>
              <w:t>—</w:t>
            </w:r>
          </w:p>
        </w:tc>
        <w:tc>
          <w:tcPr>
            <w:tcW w:w="819" w:type="pct"/>
            <w:vAlign w:val="center"/>
          </w:tcPr>
          <w:p w14:paraId="142698A6">
            <w:pPr>
              <w:pStyle w:val="12"/>
              <w:jc w:val="center"/>
            </w:pPr>
          </w:p>
        </w:tc>
      </w:tr>
    </w:tbl>
    <w:p w14:paraId="30BA73CC">
      <w:pPr>
        <w:ind w:firstLine="422"/>
        <w:rPr>
          <w:rFonts w:ascii="宋体" w:hAnsi="宋体" w:cs="宋体"/>
          <w:b/>
        </w:rPr>
      </w:pPr>
      <w:r>
        <w:rPr>
          <w:rFonts w:hint="eastAsia" w:ascii="宋体" w:hAnsi="宋体" w:cs="宋体"/>
          <w:b/>
        </w:rPr>
        <w:t>说明：第五次人口普查在业人口为常住在业人口数。</w:t>
      </w:r>
    </w:p>
    <w:p w14:paraId="2D11D7B7">
      <w:pPr>
        <w:pStyle w:val="5"/>
        <w:rPr>
          <w:rFonts w:ascii="宋体" w:hAnsi="宋体" w:cs="宋体"/>
        </w:rPr>
      </w:pPr>
      <w:r>
        <w:rPr>
          <w:rFonts w:hint="eastAsia" w:ascii="宋体" w:hAnsi="宋体" w:cs="宋体"/>
        </w:rPr>
        <w:t>三、计划生育</w:t>
      </w:r>
    </w:p>
    <w:p w14:paraId="056B5162">
      <w:pPr>
        <w:ind w:firstLine="420"/>
        <w:rPr>
          <w:rFonts w:ascii="宋体" w:hAnsi="宋体" w:cs="宋体"/>
        </w:rPr>
      </w:pPr>
      <w:r>
        <w:rPr>
          <w:rFonts w:hint="eastAsia" w:ascii="宋体" w:hAnsi="宋体" w:cs="宋体"/>
        </w:rPr>
        <w:t>1963年计划生育工作作为医药卫生部门的一项工作，县成立计划生育指导委员会，下设办公室，归属卫生局。1975年，计划生育工作列入党政部门重要议事日程，县成立计划生育指导小组，下设计划生育办公室，为县政府科局一级工作机构，各公社配备计划生育专职干部1人。1984年计划生育办公室改为计划生育委员会。各级党政领导实行两种生产（工农业生产、人口生产）一起抓，建立计划生育工作承包责任制和岗位责任制。计划生育列为各乡镇工作考核四大指标之一，按百分制，经济发展30分，乡镇企业30分，计划生育工作30分，造林10分。对计划生育规定了三项考核指标：计划生育率达95%，多胎率控制在5%以下，人口控制（出生率）指标在规划指标以内。1986年，实行人口计划包干责任制。</w:t>
      </w:r>
    </w:p>
    <w:p w14:paraId="73588874">
      <w:pPr>
        <w:ind w:firstLine="420"/>
        <w:rPr>
          <w:rFonts w:ascii="宋体" w:hAnsi="宋体" w:cs="宋体"/>
        </w:rPr>
      </w:pPr>
      <w:r>
        <w:rPr>
          <w:rFonts w:hint="eastAsia" w:ascii="宋体" w:hAnsi="宋体" w:cs="宋体"/>
        </w:rPr>
        <w:t>计划生育工作从1975年起取得一定成效，1980年至1982年有较大突破，1983年进入省市先进行列。1986年，南雄县被国家计划生育委员会授予“全国计划生育先进集体”称号。1986年育龄夫妇节育率达88.19%，人口出生率为10.36‰，人口自然增长率为4.75‰。</w:t>
      </w:r>
    </w:p>
    <w:p w14:paraId="45E37E08">
      <w:pPr>
        <w:ind w:firstLine="420"/>
        <w:rPr>
          <w:rFonts w:ascii="宋体" w:hAnsi="宋体" w:cs="宋体"/>
        </w:rPr>
      </w:pPr>
      <w:r>
        <w:rPr>
          <w:rFonts w:hint="eastAsia" w:ascii="宋体" w:hAnsi="宋体" w:cs="宋体"/>
        </w:rPr>
        <w:t>进入上20纪90年代，计划生育工作贯彻“三为主”、“三结合”工作方针，即坚持以宣传教育为主，避孕节育为主，经常性工作为主；计划生育工作与发展经济相结合，与帮助农民勤劳致富奔小康相结合，与建设文明幸福家庭相结合。</w:t>
      </w:r>
    </w:p>
    <w:p w14:paraId="22FA48AB">
      <w:pPr>
        <w:ind w:firstLine="422"/>
        <w:rPr>
          <w:rFonts w:ascii="宋体" w:hAnsi="宋体" w:cs="宋体"/>
          <w:b/>
          <w:bCs/>
        </w:rPr>
      </w:pPr>
      <w:r>
        <w:rPr>
          <w:rFonts w:hint="eastAsia" w:ascii="宋体" w:hAnsi="宋体" w:cs="宋体"/>
          <w:b/>
          <w:bCs/>
        </w:rPr>
        <w:t>（一）厉行计划生育领导责任制。</w:t>
      </w:r>
    </w:p>
    <w:p w14:paraId="6A0A74C1">
      <w:pPr>
        <w:ind w:firstLine="420"/>
        <w:rPr>
          <w:rFonts w:ascii="宋体" w:hAnsi="宋体" w:cs="宋体"/>
        </w:rPr>
      </w:pPr>
      <w:r>
        <w:rPr>
          <w:rFonts w:hint="eastAsia" w:ascii="宋体" w:hAnsi="宋体" w:cs="宋体"/>
        </w:rPr>
        <w:t>市（县）成立计划生育领导小组，由市（县）委书记为组长，完善各级党委政府人口与计划生育目标管理责任制、计划生育综合治理责任制。厉行“一票否决权”，逐级进行不定期不定点“飞行检查”，发现问题，依例追查领导责任。使计划生育工作在各级党委政府的直接领导和各部门的密切配合下，成为上下左右齐抓共管的工作。</w:t>
      </w:r>
    </w:p>
    <w:p w14:paraId="4D637D6A">
      <w:pPr>
        <w:ind w:firstLine="422"/>
        <w:rPr>
          <w:rFonts w:ascii="宋体" w:hAnsi="宋体" w:cs="宋体"/>
          <w:b/>
          <w:bCs/>
        </w:rPr>
      </w:pPr>
      <w:r>
        <w:rPr>
          <w:rFonts w:hint="eastAsia" w:ascii="宋体" w:hAnsi="宋体" w:cs="宋体"/>
          <w:b/>
          <w:bCs/>
        </w:rPr>
        <w:t>（二）不断完善计划生育工作基础建设。</w:t>
      </w:r>
    </w:p>
    <w:p w14:paraId="7B0ACAB0">
      <w:pPr>
        <w:ind w:firstLine="420"/>
        <w:rPr>
          <w:rFonts w:ascii="宋体" w:hAnsi="宋体" w:cs="宋体"/>
        </w:rPr>
      </w:pPr>
      <w:r>
        <w:rPr>
          <w:rFonts w:hint="eastAsia" w:ascii="宋体" w:hAnsi="宋体" w:cs="宋体"/>
        </w:rPr>
        <w:t>各村都成立了计划生育办公室，179个村兴建了计生服务楼，形成了以市计生服务站为龙头的计生服务网络。各镇设计划生育服务所，配备了波姆仪、人流机、化验等设备，随时开展上环、取环、查环、查孕以及妇科普查等计划生育手术临床业务。各村设计划生育服务室，配备了B超床、药具柜等设备。2002年，通过招聘调入23名医技人员充实镇计生服务所，又公开招聘了228名村计生专干，初步建立起一支较胜任的镇、村计生队伍。</w:t>
      </w:r>
    </w:p>
    <w:p w14:paraId="6633C9A7">
      <w:pPr>
        <w:ind w:firstLine="422"/>
        <w:rPr>
          <w:rFonts w:ascii="宋体" w:hAnsi="宋体" w:cs="宋体"/>
          <w:b/>
          <w:bCs/>
        </w:rPr>
      </w:pPr>
      <w:r>
        <w:rPr>
          <w:rFonts w:hint="eastAsia" w:ascii="宋体" w:hAnsi="宋体" w:cs="宋体"/>
          <w:b/>
          <w:bCs/>
        </w:rPr>
        <w:t>（三）落实“三为主”、“三结合”各项措施。</w:t>
      </w:r>
    </w:p>
    <w:p w14:paraId="488CC715">
      <w:pPr>
        <w:ind w:firstLine="420"/>
        <w:rPr>
          <w:rFonts w:ascii="宋体" w:hAnsi="宋体" w:cs="宋体"/>
        </w:rPr>
      </w:pPr>
      <w:r>
        <w:rPr>
          <w:rFonts w:hint="eastAsia" w:ascii="宋体" w:hAnsi="宋体" w:cs="宋体"/>
        </w:rPr>
        <w:t>各镇以婚育学校为阵地，经常开展计划生育政策、科学知识宣传和青春期、新婚期、孕产期、育儿期、更年期等“五期教育”。坚持每季度一次的查环查孕活动，每年组织3次～4次计划生育集中服务活动，以及开展计划生育合格村、先进村、模范村活动。2004年贯彻省市关于农村部分计划生育家庭奖励办法，给826户奖励对象颁发了奖励和奖励金发放证。</w:t>
      </w:r>
    </w:p>
    <w:p w14:paraId="4DDEB03A">
      <w:pPr>
        <w:ind w:firstLine="422"/>
        <w:rPr>
          <w:rFonts w:ascii="宋体" w:hAnsi="宋体" w:cs="宋体"/>
          <w:b/>
          <w:bCs/>
        </w:rPr>
      </w:pPr>
      <w:r>
        <w:rPr>
          <w:rFonts w:hint="eastAsia" w:ascii="宋体" w:hAnsi="宋体" w:cs="宋体"/>
          <w:b/>
          <w:bCs/>
        </w:rPr>
        <w:t>（四）计划生育工作成效。</w:t>
      </w:r>
    </w:p>
    <w:p w14:paraId="63964BA2">
      <w:pPr>
        <w:ind w:firstLine="420"/>
        <w:rPr>
          <w:rFonts w:ascii="宋体" w:hAnsi="宋体" w:cs="宋体"/>
        </w:rPr>
      </w:pPr>
      <w:r>
        <w:rPr>
          <w:rFonts w:hint="eastAsia" w:ascii="宋体" w:hAnsi="宋体" w:cs="宋体"/>
        </w:rPr>
        <w:t>1993年至1997年，全市（县）出生率分别为：18.78‰、19.07‰、17.67‰、18.25%、17.30%；计划生育率分别为：76.47%、71.19%、70.02%、71.01%、74.49%；多孩率分别为：10.62%、12.82%、10.70%、8.61%、6.60%。</w:t>
      </w:r>
    </w:p>
    <w:p w14:paraId="3A1E8049">
      <w:pPr>
        <w:ind w:firstLine="420"/>
        <w:rPr>
          <w:rFonts w:ascii="宋体" w:hAnsi="宋体" w:cs="宋体"/>
        </w:rPr>
      </w:pPr>
      <w:r>
        <w:rPr>
          <w:rFonts w:hint="eastAsia" w:ascii="宋体" w:hAnsi="宋体" w:cs="宋体"/>
        </w:rPr>
        <w:t>1998年至2005年，全市出生率分别为：12.17‰、10.46‰、10.84‰、11.51‰、11.52‰、12.32‰、12.00‰、12.00‰；计划生育率分别为：90.12%、92.29%、92.98%、91.54%、91.34%、91.57%、90.46%、90.46%；人口自然增长率分别为：6.29‰、4.63‰、5.07‰、5.83‰、5.63‰、6.54‰、6.18‰、6.18‰。</w:t>
      </w:r>
    </w:p>
    <w:p w14:paraId="417762F5">
      <w:pPr>
        <w:pStyle w:val="4"/>
        <w:rPr>
          <w:rFonts w:ascii="宋体" w:hAnsi="宋体" w:cs="宋体"/>
        </w:rPr>
      </w:pPr>
      <w:r>
        <w:rPr>
          <w:rFonts w:hint="eastAsia" w:ascii="宋体" w:hAnsi="宋体" w:cs="宋体"/>
        </w:rPr>
        <w:t>第二节  姓氏</w:t>
      </w:r>
    </w:p>
    <w:p w14:paraId="1C74E7D7">
      <w:pPr>
        <w:ind w:firstLine="420"/>
        <w:rPr>
          <w:rFonts w:ascii="宋体" w:hAnsi="宋体" w:cs="宋体"/>
        </w:rPr>
      </w:pPr>
      <w:r>
        <w:rPr>
          <w:rFonts w:hint="eastAsia" w:ascii="宋体" w:hAnsi="宋体" w:cs="宋体"/>
        </w:rPr>
        <w:t>据2004年南雄市史志办调查南雄乡村姓氏户数及其分布资料，整理录之表6-10：</w:t>
      </w:r>
    </w:p>
    <w:p w14:paraId="419D1DE6">
      <w:pPr>
        <w:pStyle w:val="5"/>
        <w:rPr>
          <w:rFonts w:ascii="宋体" w:hAnsi="宋体" w:cs="宋体"/>
        </w:rPr>
      </w:pPr>
      <w:r>
        <w:rPr>
          <w:rFonts w:hint="eastAsia" w:ascii="宋体" w:hAnsi="宋体" w:cs="宋体"/>
        </w:rPr>
        <w:t>一、姓氏户数</w:t>
      </w:r>
    </w:p>
    <w:p w14:paraId="2756D29A">
      <w:pPr>
        <w:ind w:firstLine="420"/>
        <w:rPr>
          <w:rFonts w:ascii="宋体" w:hAnsi="宋体" w:cs="宋体"/>
        </w:rPr>
      </w:pPr>
      <w:r>
        <w:rPr>
          <w:rFonts w:hint="eastAsia" w:ascii="宋体" w:hAnsi="宋体" w:cs="宋体"/>
        </w:rPr>
        <w:t>按各姓氏户数多少分列如下：</w:t>
      </w:r>
    </w:p>
    <w:p w14:paraId="30B19640">
      <w:pPr>
        <w:ind w:firstLine="422"/>
        <w:jc w:val="center"/>
        <w:rPr>
          <w:rFonts w:ascii="宋体" w:hAnsi="宋体" w:cs="宋体"/>
          <w:b/>
          <w:bCs/>
        </w:rPr>
      </w:pPr>
      <w:r>
        <w:rPr>
          <w:rFonts w:hint="eastAsia" w:ascii="宋体" w:hAnsi="宋体" w:cs="宋体"/>
          <w:b/>
          <w:bCs/>
        </w:rPr>
        <w:t>南雄市姓氏统计</w:t>
      </w:r>
    </w:p>
    <w:p w14:paraId="3D48B464">
      <w:pPr>
        <w:ind w:firstLine="0" w:firstLineChars="0"/>
        <w:rPr>
          <w:rFonts w:ascii="宋体" w:hAnsi="宋体" w:cs="宋体"/>
          <w:b/>
          <w:bCs/>
        </w:rPr>
      </w:pPr>
      <w:r>
        <w:rPr>
          <w:rFonts w:hint="eastAsia" w:ascii="宋体" w:hAnsi="宋体" w:cs="宋体"/>
          <w:b/>
          <w:bCs/>
        </w:rPr>
        <w:t>表6-10</w:t>
      </w:r>
    </w:p>
    <w:p w14:paraId="76FAC2D9">
      <w:pPr>
        <w:ind w:firstLine="422"/>
        <w:jc w:val="right"/>
        <w:rPr>
          <w:rFonts w:ascii="宋体" w:hAnsi="宋体" w:cs="宋体"/>
          <w:b/>
          <w:bCs/>
        </w:rPr>
      </w:pPr>
      <w:r>
        <w:rPr>
          <w:rFonts w:hint="eastAsia" w:ascii="宋体" w:hAnsi="宋体" w:cs="宋体"/>
          <w:b/>
          <w:bCs/>
        </w:rPr>
        <w:t>单位：户、%</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1275"/>
        <w:gridCol w:w="1275"/>
        <w:gridCol w:w="1473"/>
        <w:gridCol w:w="939"/>
        <w:gridCol w:w="1275"/>
        <w:gridCol w:w="1275"/>
        <w:gridCol w:w="1491"/>
      </w:tblGrid>
      <w:tr w14:paraId="10A4B9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263CDBC0">
            <w:pPr>
              <w:pStyle w:val="12"/>
              <w:jc w:val="center"/>
              <w:rPr>
                <w:b/>
              </w:rPr>
            </w:pPr>
            <w:r>
              <w:rPr>
                <w:rFonts w:hint="eastAsia"/>
                <w:b/>
              </w:rPr>
              <w:t>序号</w:t>
            </w:r>
          </w:p>
        </w:tc>
        <w:tc>
          <w:tcPr>
            <w:tcW w:w="640" w:type="pct"/>
            <w:vAlign w:val="center"/>
          </w:tcPr>
          <w:p w14:paraId="557EA3E8">
            <w:pPr>
              <w:pStyle w:val="12"/>
              <w:jc w:val="center"/>
              <w:rPr>
                <w:b/>
              </w:rPr>
            </w:pPr>
            <w:r>
              <w:rPr>
                <w:rFonts w:hint="eastAsia"/>
                <w:b/>
              </w:rPr>
              <w:t>姓</w:t>
            </w:r>
          </w:p>
        </w:tc>
        <w:tc>
          <w:tcPr>
            <w:tcW w:w="640" w:type="pct"/>
            <w:vAlign w:val="center"/>
          </w:tcPr>
          <w:p w14:paraId="634E1C22">
            <w:pPr>
              <w:pStyle w:val="12"/>
              <w:jc w:val="center"/>
              <w:rPr>
                <w:b/>
              </w:rPr>
            </w:pPr>
            <w:r>
              <w:rPr>
                <w:rFonts w:hint="eastAsia"/>
                <w:b/>
              </w:rPr>
              <w:t>户数</w:t>
            </w:r>
          </w:p>
        </w:tc>
        <w:tc>
          <w:tcPr>
            <w:tcW w:w="739" w:type="pct"/>
            <w:vAlign w:val="center"/>
          </w:tcPr>
          <w:p w14:paraId="557F48E9">
            <w:pPr>
              <w:pStyle w:val="12"/>
              <w:jc w:val="center"/>
              <w:rPr>
                <w:b/>
              </w:rPr>
            </w:pPr>
            <w:r>
              <w:rPr>
                <w:rFonts w:hint="eastAsia"/>
                <w:b/>
              </w:rPr>
              <w:t>占总户数比</w:t>
            </w:r>
          </w:p>
        </w:tc>
        <w:tc>
          <w:tcPr>
            <w:tcW w:w="471" w:type="pct"/>
            <w:vAlign w:val="center"/>
          </w:tcPr>
          <w:p w14:paraId="0FC48A72">
            <w:pPr>
              <w:pStyle w:val="12"/>
              <w:jc w:val="center"/>
              <w:rPr>
                <w:b/>
              </w:rPr>
            </w:pPr>
            <w:r>
              <w:rPr>
                <w:rFonts w:hint="eastAsia"/>
                <w:b/>
              </w:rPr>
              <w:t>序号</w:t>
            </w:r>
          </w:p>
        </w:tc>
        <w:tc>
          <w:tcPr>
            <w:tcW w:w="640" w:type="pct"/>
            <w:vAlign w:val="center"/>
          </w:tcPr>
          <w:p w14:paraId="29C5A506">
            <w:pPr>
              <w:pStyle w:val="12"/>
              <w:jc w:val="center"/>
              <w:rPr>
                <w:b/>
              </w:rPr>
            </w:pPr>
            <w:r>
              <w:rPr>
                <w:rFonts w:hint="eastAsia"/>
                <w:b/>
              </w:rPr>
              <w:t>姓</w:t>
            </w:r>
          </w:p>
        </w:tc>
        <w:tc>
          <w:tcPr>
            <w:tcW w:w="640" w:type="pct"/>
            <w:vAlign w:val="center"/>
          </w:tcPr>
          <w:p w14:paraId="50E87084">
            <w:pPr>
              <w:pStyle w:val="12"/>
              <w:jc w:val="center"/>
              <w:rPr>
                <w:b/>
              </w:rPr>
            </w:pPr>
            <w:r>
              <w:rPr>
                <w:rFonts w:hint="eastAsia"/>
                <w:b/>
              </w:rPr>
              <w:t>户数</w:t>
            </w:r>
          </w:p>
        </w:tc>
        <w:tc>
          <w:tcPr>
            <w:tcW w:w="748" w:type="pct"/>
            <w:vAlign w:val="center"/>
          </w:tcPr>
          <w:p w14:paraId="646BF596">
            <w:pPr>
              <w:pStyle w:val="12"/>
              <w:jc w:val="center"/>
              <w:rPr>
                <w:b/>
              </w:rPr>
            </w:pPr>
            <w:r>
              <w:rPr>
                <w:rFonts w:hint="eastAsia"/>
                <w:b/>
              </w:rPr>
              <w:t>占总户数比</w:t>
            </w:r>
          </w:p>
        </w:tc>
      </w:tr>
      <w:tr w14:paraId="27466B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5C07A217">
            <w:pPr>
              <w:pStyle w:val="12"/>
              <w:jc w:val="center"/>
            </w:pPr>
            <w:r>
              <w:rPr>
                <w:rFonts w:hint="eastAsia"/>
              </w:rPr>
              <w:t>1</w:t>
            </w:r>
          </w:p>
        </w:tc>
        <w:tc>
          <w:tcPr>
            <w:tcW w:w="640" w:type="pct"/>
            <w:vAlign w:val="center"/>
          </w:tcPr>
          <w:p w14:paraId="496FB119">
            <w:pPr>
              <w:pStyle w:val="12"/>
              <w:jc w:val="center"/>
            </w:pPr>
            <w:r>
              <w:rPr>
                <w:rFonts w:hint="eastAsia"/>
              </w:rPr>
              <w:t>刘</w:t>
            </w:r>
          </w:p>
        </w:tc>
        <w:tc>
          <w:tcPr>
            <w:tcW w:w="640" w:type="pct"/>
            <w:vAlign w:val="center"/>
          </w:tcPr>
          <w:p w14:paraId="57E80D4A">
            <w:pPr>
              <w:pStyle w:val="12"/>
              <w:jc w:val="center"/>
            </w:pPr>
            <w:r>
              <w:rPr>
                <w:rFonts w:hint="eastAsia"/>
              </w:rPr>
              <w:t>6955</w:t>
            </w:r>
          </w:p>
        </w:tc>
        <w:tc>
          <w:tcPr>
            <w:tcW w:w="739" w:type="pct"/>
            <w:vAlign w:val="center"/>
          </w:tcPr>
          <w:p w14:paraId="70122F35">
            <w:pPr>
              <w:pStyle w:val="12"/>
              <w:jc w:val="center"/>
            </w:pPr>
            <w:r>
              <w:rPr>
                <w:rFonts w:hint="eastAsia"/>
              </w:rPr>
              <w:t>8.36</w:t>
            </w:r>
          </w:p>
        </w:tc>
        <w:tc>
          <w:tcPr>
            <w:tcW w:w="471" w:type="pct"/>
            <w:vAlign w:val="center"/>
          </w:tcPr>
          <w:p w14:paraId="6040D4F6">
            <w:pPr>
              <w:pStyle w:val="12"/>
              <w:jc w:val="center"/>
            </w:pPr>
            <w:r>
              <w:rPr>
                <w:rFonts w:hint="eastAsia"/>
              </w:rPr>
              <w:t>16</w:t>
            </w:r>
          </w:p>
        </w:tc>
        <w:tc>
          <w:tcPr>
            <w:tcW w:w="640" w:type="pct"/>
            <w:vAlign w:val="center"/>
          </w:tcPr>
          <w:p w14:paraId="186B630A">
            <w:pPr>
              <w:pStyle w:val="12"/>
              <w:jc w:val="center"/>
            </w:pPr>
            <w:r>
              <w:rPr>
                <w:rFonts w:hint="eastAsia"/>
              </w:rPr>
              <w:t>董</w:t>
            </w:r>
          </w:p>
        </w:tc>
        <w:tc>
          <w:tcPr>
            <w:tcW w:w="640" w:type="pct"/>
            <w:vAlign w:val="center"/>
          </w:tcPr>
          <w:p w14:paraId="20792636">
            <w:pPr>
              <w:pStyle w:val="12"/>
              <w:jc w:val="center"/>
            </w:pPr>
            <w:r>
              <w:rPr>
                <w:rFonts w:hint="eastAsia"/>
              </w:rPr>
              <w:t>1699</w:t>
            </w:r>
          </w:p>
        </w:tc>
        <w:tc>
          <w:tcPr>
            <w:tcW w:w="748" w:type="pct"/>
            <w:vAlign w:val="center"/>
          </w:tcPr>
          <w:p w14:paraId="6ECE0B75">
            <w:pPr>
              <w:pStyle w:val="12"/>
              <w:jc w:val="center"/>
            </w:pPr>
            <w:r>
              <w:rPr>
                <w:rFonts w:hint="eastAsia"/>
              </w:rPr>
              <w:t>2.04</w:t>
            </w:r>
          </w:p>
        </w:tc>
      </w:tr>
      <w:tr w14:paraId="702799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620F3A6F">
            <w:pPr>
              <w:pStyle w:val="12"/>
              <w:jc w:val="center"/>
            </w:pPr>
            <w:r>
              <w:rPr>
                <w:rFonts w:hint="eastAsia"/>
              </w:rPr>
              <w:t>2</w:t>
            </w:r>
          </w:p>
        </w:tc>
        <w:tc>
          <w:tcPr>
            <w:tcW w:w="640" w:type="pct"/>
            <w:vAlign w:val="center"/>
          </w:tcPr>
          <w:p w14:paraId="4C345E22">
            <w:pPr>
              <w:pStyle w:val="12"/>
              <w:jc w:val="center"/>
            </w:pPr>
            <w:r>
              <w:rPr>
                <w:rFonts w:hint="eastAsia"/>
              </w:rPr>
              <w:t>叶</w:t>
            </w:r>
          </w:p>
        </w:tc>
        <w:tc>
          <w:tcPr>
            <w:tcW w:w="640" w:type="pct"/>
            <w:vAlign w:val="center"/>
          </w:tcPr>
          <w:p w14:paraId="3073EE47">
            <w:pPr>
              <w:pStyle w:val="12"/>
              <w:jc w:val="center"/>
            </w:pPr>
            <w:r>
              <w:rPr>
                <w:rFonts w:hint="eastAsia"/>
              </w:rPr>
              <w:t>5866</w:t>
            </w:r>
          </w:p>
        </w:tc>
        <w:tc>
          <w:tcPr>
            <w:tcW w:w="739" w:type="pct"/>
            <w:vAlign w:val="center"/>
          </w:tcPr>
          <w:p w14:paraId="56DE54AC">
            <w:pPr>
              <w:pStyle w:val="12"/>
              <w:jc w:val="center"/>
            </w:pPr>
            <w:r>
              <w:rPr>
                <w:rFonts w:hint="eastAsia"/>
              </w:rPr>
              <w:t>7.05</w:t>
            </w:r>
          </w:p>
        </w:tc>
        <w:tc>
          <w:tcPr>
            <w:tcW w:w="471" w:type="pct"/>
            <w:vAlign w:val="center"/>
          </w:tcPr>
          <w:p w14:paraId="46C0D212">
            <w:pPr>
              <w:pStyle w:val="12"/>
              <w:jc w:val="center"/>
            </w:pPr>
            <w:r>
              <w:rPr>
                <w:rFonts w:hint="eastAsia"/>
              </w:rPr>
              <w:t>17</w:t>
            </w:r>
          </w:p>
        </w:tc>
        <w:tc>
          <w:tcPr>
            <w:tcW w:w="640" w:type="pct"/>
            <w:vAlign w:val="center"/>
          </w:tcPr>
          <w:p w14:paraId="3F023AFE">
            <w:pPr>
              <w:pStyle w:val="12"/>
              <w:jc w:val="center"/>
            </w:pPr>
            <w:r>
              <w:rPr>
                <w:rFonts w:hint="eastAsia"/>
              </w:rPr>
              <w:t>沈</w:t>
            </w:r>
          </w:p>
        </w:tc>
        <w:tc>
          <w:tcPr>
            <w:tcW w:w="640" w:type="pct"/>
            <w:vAlign w:val="center"/>
          </w:tcPr>
          <w:p w14:paraId="192FE41E">
            <w:pPr>
              <w:pStyle w:val="12"/>
              <w:jc w:val="center"/>
            </w:pPr>
            <w:r>
              <w:rPr>
                <w:rFonts w:hint="eastAsia"/>
              </w:rPr>
              <w:t>1645</w:t>
            </w:r>
          </w:p>
        </w:tc>
        <w:tc>
          <w:tcPr>
            <w:tcW w:w="748" w:type="pct"/>
            <w:vAlign w:val="center"/>
          </w:tcPr>
          <w:p w14:paraId="2C4A161E">
            <w:pPr>
              <w:pStyle w:val="12"/>
              <w:jc w:val="center"/>
            </w:pPr>
            <w:r>
              <w:rPr>
                <w:rFonts w:hint="eastAsia"/>
              </w:rPr>
              <w:t>1.98</w:t>
            </w:r>
          </w:p>
        </w:tc>
      </w:tr>
      <w:tr w14:paraId="2EE737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162BA363">
            <w:pPr>
              <w:pStyle w:val="12"/>
              <w:jc w:val="center"/>
            </w:pPr>
            <w:r>
              <w:rPr>
                <w:rFonts w:hint="eastAsia"/>
              </w:rPr>
              <w:t>3</w:t>
            </w:r>
          </w:p>
        </w:tc>
        <w:tc>
          <w:tcPr>
            <w:tcW w:w="640" w:type="pct"/>
            <w:vAlign w:val="center"/>
          </w:tcPr>
          <w:p w14:paraId="070BA8E4">
            <w:pPr>
              <w:pStyle w:val="12"/>
              <w:jc w:val="center"/>
            </w:pPr>
            <w:r>
              <w:rPr>
                <w:rFonts w:hint="eastAsia"/>
              </w:rPr>
              <w:t>陈</w:t>
            </w:r>
          </w:p>
        </w:tc>
        <w:tc>
          <w:tcPr>
            <w:tcW w:w="640" w:type="pct"/>
            <w:vAlign w:val="center"/>
          </w:tcPr>
          <w:p w14:paraId="39843528">
            <w:pPr>
              <w:pStyle w:val="12"/>
              <w:jc w:val="center"/>
            </w:pPr>
            <w:r>
              <w:rPr>
                <w:rFonts w:hint="eastAsia"/>
              </w:rPr>
              <w:t>4954</w:t>
            </w:r>
          </w:p>
        </w:tc>
        <w:tc>
          <w:tcPr>
            <w:tcW w:w="739" w:type="pct"/>
            <w:vAlign w:val="center"/>
          </w:tcPr>
          <w:p w14:paraId="35692C21">
            <w:pPr>
              <w:pStyle w:val="12"/>
              <w:jc w:val="center"/>
            </w:pPr>
            <w:r>
              <w:rPr>
                <w:rFonts w:hint="eastAsia"/>
              </w:rPr>
              <w:t>5.95</w:t>
            </w:r>
          </w:p>
        </w:tc>
        <w:tc>
          <w:tcPr>
            <w:tcW w:w="471" w:type="pct"/>
            <w:vAlign w:val="center"/>
          </w:tcPr>
          <w:p w14:paraId="4A5060AD">
            <w:pPr>
              <w:pStyle w:val="12"/>
              <w:jc w:val="center"/>
            </w:pPr>
            <w:r>
              <w:rPr>
                <w:rFonts w:hint="eastAsia"/>
              </w:rPr>
              <w:t>18</w:t>
            </w:r>
          </w:p>
        </w:tc>
        <w:tc>
          <w:tcPr>
            <w:tcW w:w="640" w:type="pct"/>
            <w:vAlign w:val="center"/>
          </w:tcPr>
          <w:p w14:paraId="38334977">
            <w:pPr>
              <w:pStyle w:val="12"/>
              <w:jc w:val="center"/>
            </w:pPr>
            <w:r>
              <w:rPr>
                <w:rFonts w:hint="eastAsia"/>
              </w:rPr>
              <w:t>朱</w:t>
            </w:r>
          </w:p>
        </w:tc>
        <w:tc>
          <w:tcPr>
            <w:tcW w:w="640" w:type="pct"/>
            <w:vAlign w:val="center"/>
          </w:tcPr>
          <w:p w14:paraId="324CB2AF">
            <w:pPr>
              <w:pStyle w:val="12"/>
              <w:jc w:val="center"/>
            </w:pPr>
            <w:r>
              <w:rPr>
                <w:rFonts w:hint="eastAsia"/>
              </w:rPr>
              <w:t>1459</w:t>
            </w:r>
          </w:p>
        </w:tc>
        <w:tc>
          <w:tcPr>
            <w:tcW w:w="748" w:type="pct"/>
            <w:vAlign w:val="center"/>
          </w:tcPr>
          <w:p w14:paraId="3F0A2539">
            <w:pPr>
              <w:pStyle w:val="12"/>
              <w:jc w:val="center"/>
            </w:pPr>
            <w:r>
              <w:rPr>
                <w:rFonts w:hint="eastAsia"/>
              </w:rPr>
              <w:t>1.75</w:t>
            </w:r>
          </w:p>
        </w:tc>
      </w:tr>
      <w:tr w14:paraId="00431B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3940B2BE">
            <w:pPr>
              <w:pStyle w:val="12"/>
              <w:jc w:val="center"/>
            </w:pPr>
            <w:r>
              <w:rPr>
                <w:rFonts w:hint="eastAsia"/>
              </w:rPr>
              <w:t>4</w:t>
            </w:r>
          </w:p>
        </w:tc>
        <w:tc>
          <w:tcPr>
            <w:tcW w:w="640" w:type="pct"/>
            <w:vAlign w:val="center"/>
          </w:tcPr>
          <w:p w14:paraId="1A93B82E">
            <w:pPr>
              <w:pStyle w:val="12"/>
              <w:jc w:val="center"/>
            </w:pPr>
            <w:r>
              <w:rPr>
                <w:rFonts w:hint="eastAsia"/>
              </w:rPr>
              <w:t>李</w:t>
            </w:r>
          </w:p>
        </w:tc>
        <w:tc>
          <w:tcPr>
            <w:tcW w:w="640" w:type="pct"/>
            <w:vAlign w:val="center"/>
          </w:tcPr>
          <w:p w14:paraId="63E817F8">
            <w:pPr>
              <w:pStyle w:val="12"/>
              <w:jc w:val="center"/>
            </w:pPr>
            <w:r>
              <w:rPr>
                <w:rFonts w:hint="eastAsia"/>
              </w:rPr>
              <w:t>4830</w:t>
            </w:r>
          </w:p>
        </w:tc>
        <w:tc>
          <w:tcPr>
            <w:tcW w:w="739" w:type="pct"/>
            <w:vAlign w:val="center"/>
          </w:tcPr>
          <w:p w14:paraId="7BC3AA60">
            <w:pPr>
              <w:pStyle w:val="12"/>
              <w:jc w:val="center"/>
            </w:pPr>
            <w:r>
              <w:rPr>
                <w:rFonts w:hint="eastAsia"/>
              </w:rPr>
              <w:t>5.81</w:t>
            </w:r>
          </w:p>
        </w:tc>
        <w:tc>
          <w:tcPr>
            <w:tcW w:w="471" w:type="pct"/>
            <w:vAlign w:val="center"/>
          </w:tcPr>
          <w:p w14:paraId="7399382A">
            <w:pPr>
              <w:pStyle w:val="12"/>
              <w:jc w:val="center"/>
            </w:pPr>
            <w:r>
              <w:rPr>
                <w:rFonts w:hint="eastAsia"/>
              </w:rPr>
              <w:t>19</w:t>
            </w:r>
          </w:p>
        </w:tc>
        <w:tc>
          <w:tcPr>
            <w:tcW w:w="640" w:type="pct"/>
            <w:vAlign w:val="center"/>
          </w:tcPr>
          <w:p w14:paraId="06723DFB">
            <w:pPr>
              <w:pStyle w:val="12"/>
              <w:jc w:val="center"/>
            </w:pPr>
            <w:r>
              <w:rPr>
                <w:rFonts w:hint="eastAsia"/>
              </w:rPr>
              <w:t>彭</w:t>
            </w:r>
          </w:p>
        </w:tc>
        <w:tc>
          <w:tcPr>
            <w:tcW w:w="640" w:type="pct"/>
            <w:vAlign w:val="center"/>
          </w:tcPr>
          <w:p w14:paraId="534AA744">
            <w:pPr>
              <w:pStyle w:val="12"/>
              <w:jc w:val="center"/>
            </w:pPr>
            <w:r>
              <w:rPr>
                <w:rFonts w:hint="eastAsia"/>
              </w:rPr>
              <w:t>1395</w:t>
            </w:r>
          </w:p>
        </w:tc>
        <w:tc>
          <w:tcPr>
            <w:tcW w:w="748" w:type="pct"/>
            <w:vAlign w:val="center"/>
          </w:tcPr>
          <w:p w14:paraId="532043FB">
            <w:pPr>
              <w:pStyle w:val="12"/>
              <w:jc w:val="center"/>
            </w:pPr>
            <w:r>
              <w:rPr>
                <w:rFonts w:hint="eastAsia"/>
              </w:rPr>
              <w:t>1.68</w:t>
            </w:r>
          </w:p>
        </w:tc>
      </w:tr>
      <w:tr w14:paraId="787D68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36B7EA1D">
            <w:pPr>
              <w:pStyle w:val="12"/>
              <w:jc w:val="center"/>
            </w:pPr>
            <w:r>
              <w:rPr>
                <w:rFonts w:hint="eastAsia"/>
              </w:rPr>
              <w:t>5</w:t>
            </w:r>
          </w:p>
        </w:tc>
        <w:tc>
          <w:tcPr>
            <w:tcW w:w="640" w:type="pct"/>
            <w:vAlign w:val="center"/>
          </w:tcPr>
          <w:p w14:paraId="260F279C">
            <w:pPr>
              <w:pStyle w:val="12"/>
              <w:jc w:val="center"/>
            </w:pPr>
            <w:r>
              <w:rPr>
                <w:rFonts w:hint="eastAsia"/>
              </w:rPr>
              <w:t>黄</w:t>
            </w:r>
          </w:p>
        </w:tc>
        <w:tc>
          <w:tcPr>
            <w:tcW w:w="640" w:type="pct"/>
            <w:vAlign w:val="center"/>
          </w:tcPr>
          <w:p w14:paraId="3C4CD0A4">
            <w:pPr>
              <w:pStyle w:val="12"/>
              <w:jc w:val="center"/>
            </w:pPr>
            <w:r>
              <w:rPr>
                <w:rFonts w:hint="eastAsia"/>
              </w:rPr>
              <w:t>4820</w:t>
            </w:r>
          </w:p>
        </w:tc>
        <w:tc>
          <w:tcPr>
            <w:tcW w:w="739" w:type="pct"/>
            <w:vAlign w:val="center"/>
          </w:tcPr>
          <w:p w14:paraId="0AC9E25E">
            <w:pPr>
              <w:pStyle w:val="12"/>
              <w:jc w:val="center"/>
            </w:pPr>
            <w:r>
              <w:rPr>
                <w:rFonts w:hint="eastAsia"/>
              </w:rPr>
              <w:t>5.79</w:t>
            </w:r>
          </w:p>
        </w:tc>
        <w:tc>
          <w:tcPr>
            <w:tcW w:w="471" w:type="pct"/>
            <w:vAlign w:val="center"/>
          </w:tcPr>
          <w:p w14:paraId="54FB8AEB">
            <w:pPr>
              <w:pStyle w:val="12"/>
              <w:jc w:val="center"/>
            </w:pPr>
            <w:r>
              <w:rPr>
                <w:rFonts w:hint="eastAsia"/>
              </w:rPr>
              <w:t>20</w:t>
            </w:r>
          </w:p>
        </w:tc>
        <w:tc>
          <w:tcPr>
            <w:tcW w:w="640" w:type="pct"/>
            <w:vAlign w:val="center"/>
          </w:tcPr>
          <w:p w14:paraId="1721E94B">
            <w:pPr>
              <w:pStyle w:val="12"/>
              <w:jc w:val="center"/>
            </w:pPr>
            <w:r>
              <w:rPr>
                <w:rFonts w:hint="eastAsia"/>
              </w:rPr>
              <w:t>赵</w:t>
            </w:r>
          </w:p>
        </w:tc>
        <w:tc>
          <w:tcPr>
            <w:tcW w:w="640" w:type="pct"/>
            <w:vAlign w:val="center"/>
          </w:tcPr>
          <w:p w14:paraId="1A37CDFE">
            <w:pPr>
              <w:pStyle w:val="12"/>
              <w:jc w:val="center"/>
            </w:pPr>
            <w:r>
              <w:rPr>
                <w:rFonts w:hint="eastAsia"/>
              </w:rPr>
              <w:t>1361</w:t>
            </w:r>
          </w:p>
        </w:tc>
        <w:tc>
          <w:tcPr>
            <w:tcW w:w="748" w:type="pct"/>
            <w:vAlign w:val="center"/>
          </w:tcPr>
          <w:p w14:paraId="2CFF2427">
            <w:pPr>
              <w:pStyle w:val="12"/>
              <w:jc w:val="center"/>
            </w:pPr>
            <w:r>
              <w:rPr>
                <w:rFonts w:hint="eastAsia"/>
              </w:rPr>
              <w:t>1.63</w:t>
            </w:r>
          </w:p>
        </w:tc>
      </w:tr>
      <w:tr w14:paraId="0A4A19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248CB554">
            <w:pPr>
              <w:pStyle w:val="12"/>
              <w:jc w:val="center"/>
            </w:pPr>
            <w:r>
              <w:rPr>
                <w:rFonts w:hint="eastAsia"/>
              </w:rPr>
              <w:t>6</w:t>
            </w:r>
          </w:p>
        </w:tc>
        <w:tc>
          <w:tcPr>
            <w:tcW w:w="640" w:type="pct"/>
            <w:vAlign w:val="center"/>
          </w:tcPr>
          <w:p w14:paraId="45C4EDCF">
            <w:pPr>
              <w:pStyle w:val="12"/>
              <w:jc w:val="center"/>
            </w:pPr>
            <w:r>
              <w:rPr>
                <w:rFonts w:hint="eastAsia"/>
              </w:rPr>
              <w:t>张</w:t>
            </w:r>
          </w:p>
        </w:tc>
        <w:tc>
          <w:tcPr>
            <w:tcW w:w="640" w:type="pct"/>
            <w:vAlign w:val="center"/>
          </w:tcPr>
          <w:p w14:paraId="1EB6BAD5">
            <w:pPr>
              <w:pStyle w:val="12"/>
              <w:jc w:val="center"/>
            </w:pPr>
            <w:r>
              <w:rPr>
                <w:rFonts w:hint="eastAsia"/>
              </w:rPr>
              <w:t>4087</w:t>
            </w:r>
          </w:p>
        </w:tc>
        <w:tc>
          <w:tcPr>
            <w:tcW w:w="739" w:type="pct"/>
            <w:vAlign w:val="center"/>
          </w:tcPr>
          <w:p w14:paraId="252842B7">
            <w:pPr>
              <w:pStyle w:val="12"/>
              <w:jc w:val="center"/>
            </w:pPr>
            <w:r>
              <w:rPr>
                <w:rFonts w:hint="eastAsia"/>
              </w:rPr>
              <w:t>4.91</w:t>
            </w:r>
          </w:p>
        </w:tc>
        <w:tc>
          <w:tcPr>
            <w:tcW w:w="471" w:type="pct"/>
            <w:vAlign w:val="center"/>
          </w:tcPr>
          <w:p w14:paraId="4652B5CB">
            <w:pPr>
              <w:pStyle w:val="12"/>
              <w:jc w:val="center"/>
            </w:pPr>
            <w:r>
              <w:rPr>
                <w:rFonts w:hint="eastAsia"/>
              </w:rPr>
              <w:t>21</w:t>
            </w:r>
          </w:p>
        </w:tc>
        <w:tc>
          <w:tcPr>
            <w:tcW w:w="640" w:type="pct"/>
            <w:vAlign w:val="center"/>
          </w:tcPr>
          <w:p w14:paraId="1025E1A4">
            <w:pPr>
              <w:pStyle w:val="12"/>
              <w:jc w:val="center"/>
            </w:pPr>
            <w:r>
              <w:rPr>
                <w:rFonts w:hint="eastAsia"/>
              </w:rPr>
              <w:t>林</w:t>
            </w:r>
          </w:p>
        </w:tc>
        <w:tc>
          <w:tcPr>
            <w:tcW w:w="640" w:type="pct"/>
            <w:vAlign w:val="center"/>
          </w:tcPr>
          <w:p w14:paraId="238EE3F9">
            <w:pPr>
              <w:pStyle w:val="12"/>
              <w:jc w:val="center"/>
            </w:pPr>
            <w:r>
              <w:rPr>
                <w:rFonts w:hint="eastAsia"/>
              </w:rPr>
              <w:t>1223</w:t>
            </w:r>
          </w:p>
        </w:tc>
        <w:tc>
          <w:tcPr>
            <w:tcW w:w="748" w:type="pct"/>
            <w:vAlign w:val="center"/>
          </w:tcPr>
          <w:p w14:paraId="7B5FE4D1">
            <w:pPr>
              <w:pStyle w:val="12"/>
              <w:jc w:val="center"/>
            </w:pPr>
            <w:r>
              <w:rPr>
                <w:rFonts w:hint="eastAsia"/>
              </w:rPr>
              <w:t>1.47</w:t>
            </w:r>
          </w:p>
        </w:tc>
      </w:tr>
      <w:tr w14:paraId="259AC8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74E9879A">
            <w:pPr>
              <w:pStyle w:val="12"/>
              <w:jc w:val="center"/>
            </w:pPr>
            <w:r>
              <w:rPr>
                <w:rFonts w:hint="eastAsia"/>
              </w:rPr>
              <w:t>7</w:t>
            </w:r>
          </w:p>
        </w:tc>
        <w:tc>
          <w:tcPr>
            <w:tcW w:w="640" w:type="pct"/>
            <w:vAlign w:val="center"/>
          </w:tcPr>
          <w:p w14:paraId="24E42595">
            <w:pPr>
              <w:pStyle w:val="12"/>
              <w:jc w:val="center"/>
            </w:pPr>
            <w:r>
              <w:rPr>
                <w:rFonts w:hint="eastAsia"/>
              </w:rPr>
              <w:t>邓</w:t>
            </w:r>
          </w:p>
        </w:tc>
        <w:tc>
          <w:tcPr>
            <w:tcW w:w="640" w:type="pct"/>
            <w:vAlign w:val="center"/>
          </w:tcPr>
          <w:p w14:paraId="0D8EA9F7">
            <w:pPr>
              <w:pStyle w:val="12"/>
              <w:jc w:val="center"/>
            </w:pPr>
            <w:r>
              <w:rPr>
                <w:rFonts w:hint="eastAsia"/>
              </w:rPr>
              <w:t>3206</w:t>
            </w:r>
          </w:p>
        </w:tc>
        <w:tc>
          <w:tcPr>
            <w:tcW w:w="739" w:type="pct"/>
            <w:vAlign w:val="center"/>
          </w:tcPr>
          <w:p w14:paraId="07EB10FC">
            <w:pPr>
              <w:pStyle w:val="12"/>
              <w:jc w:val="center"/>
            </w:pPr>
            <w:r>
              <w:rPr>
                <w:rFonts w:hint="eastAsia"/>
              </w:rPr>
              <w:t>3.85</w:t>
            </w:r>
          </w:p>
        </w:tc>
        <w:tc>
          <w:tcPr>
            <w:tcW w:w="471" w:type="pct"/>
            <w:vAlign w:val="center"/>
          </w:tcPr>
          <w:p w14:paraId="2A96107D">
            <w:pPr>
              <w:pStyle w:val="12"/>
              <w:jc w:val="center"/>
            </w:pPr>
            <w:r>
              <w:rPr>
                <w:rFonts w:hint="eastAsia"/>
              </w:rPr>
              <w:t>22</w:t>
            </w:r>
          </w:p>
        </w:tc>
        <w:tc>
          <w:tcPr>
            <w:tcW w:w="640" w:type="pct"/>
            <w:vAlign w:val="center"/>
          </w:tcPr>
          <w:p w14:paraId="0AEEC218">
            <w:pPr>
              <w:pStyle w:val="12"/>
              <w:jc w:val="center"/>
            </w:pPr>
            <w:r>
              <w:rPr>
                <w:rFonts w:hint="eastAsia"/>
              </w:rPr>
              <w:t>卢</w:t>
            </w:r>
          </w:p>
        </w:tc>
        <w:tc>
          <w:tcPr>
            <w:tcW w:w="640" w:type="pct"/>
            <w:vAlign w:val="center"/>
          </w:tcPr>
          <w:p w14:paraId="6A3367D7">
            <w:pPr>
              <w:pStyle w:val="12"/>
              <w:jc w:val="center"/>
            </w:pPr>
            <w:r>
              <w:rPr>
                <w:rFonts w:hint="eastAsia"/>
              </w:rPr>
              <w:t>1173</w:t>
            </w:r>
          </w:p>
        </w:tc>
        <w:tc>
          <w:tcPr>
            <w:tcW w:w="748" w:type="pct"/>
            <w:vAlign w:val="center"/>
          </w:tcPr>
          <w:p w14:paraId="6D6B8256">
            <w:pPr>
              <w:pStyle w:val="12"/>
              <w:jc w:val="center"/>
            </w:pPr>
            <w:r>
              <w:rPr>
                <w:rFonts w:hint="eastAsia"/>
              </w:rPr>
              <w:t>1.41</w:t>
            </w:r>
          </w:p>
        </w:tc>
      </w:tr>
      <w:tr w14:paraId="4DFA97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18A09DD9">
            <w:pPr>
              <w:pStyle w:val="12"/>
              <w:jc w:val="center"/>
            </w:pPr>
            <w:r>
              <w:rPr>
                <w:rFonts w:hint="eastAsia"/>
              </w:rPr>
              <w:t>8</w:t>
            </w:r>
          </w:p>
        </w:tc>
        <w:tc>
          <w:tcPr>
            <w:tcW w:w="640" w:type="pct"/>
            <w:vAlign w:val="center"/>
          </w:tcPr>
          <w:p w14:paraId="299F9AF9">
            <w:pPr>
              <w:pStyle w:val="12"/>
              <w:jc w:val="center"/>
            </w:pPr>
            <w:r>
              <w:rPr>
                <w:rFonts w:hint="eastAsia"/>
              </w:rPr>
              <w:t>何</w:t>
            </w:r>
          </w:p>
        </w:tc>
        <w:tc>
          <w:tcPr>
            <w:tcW w:w="640" w:type="pct"/>
            <w:vAlign w:val="center"/>
          </w:tcPr>
          <w:p w14:paraId="182253DA">
            <w:pPr>
              <w:pStyle w:val="12"/>
              <w:jc w:val="center"/>
            </w:pPr>
            <w:r>
              <w:rPr>
                <w:rFonts w:hint="eastAsia"/>
              </w:rPr>
              <w:t>3021</w:t>
            </w:r>
          </w:p>
        </w:tc>
        <w:tc>
          <w:tcPr>
            <w:tcW w:w="739" w:type="pct"/>
            <w:vAlign w:val="center"/>
          </w:tcPr>
          <w:p w14:paraId="695A13B2">
            <w:pPr>
              <w:pStyle w:val="12"/>
              <w:jc w:val="center"/>
            </w:pPr>
            <w:r>
              <w:rPr>
                <w:rFonts w:hint="eastAsia"/>
              </w:rPr>
              <w:t>3.63</w:t>
            </w:r>
          </w:p>
        </w:tc>
        <w:tc>
          <w:tcPr>
            <w:tcW w:w="471" w:type="pct"/>
            <w:vAlign w:val="center"/>
          </w:tcPr>
          <w:p w14:paraId="31CF11D3">
            <w:pPr>
              <w:pStyle w:val="12"/>
              <w:jc w:val="center"/>
            </w:pPr>
            <w:r>
              <w:rPr>
                <w:rFonts w:hint="eastAsia"/>
              </w:rPr>
              <w:t>23</w:t>
            </w:r>
          </w:p>
        </w:tc>
        <w:tc>
          <w:tcPr>
            <w:tcW w:w="640" w:type="pct"/>
            <w:vAlign w:val="center"/>
          </w:tcPr>
          <w:p w14:paraId="0984F23A">
            <w:pPr>
              <w:pStyle w:val="12"/>
              <w:jc w:val="center"/>
            </w:pPr>
            <w:r>
              <w:rPr>
                <w:rFonts w:hint="eastAsia"/>
              </w:rPr>
              <w:t>徐</w:t>
            </w:r>
          </w:p>
        </w:tc>
        <w:tc>
          <w:tcPr>
            <w:tcW w:w="640" w:type="pct"/>
            <w:vAlign w:val="center"/>
          </w:tcPr>
          <w:p w14:paraId="42121523">
            <w:pPr>
              <w:pStyle w:val="12"/>
              <w:jc w:val="center"/>
            </w:pPr>
            <w:r>
              <w:rPr>
                <w:rFonts w:hint="eastAsia"/>
              </w:rPr>
              <w:t>1077</w:t>
            </w:r>
          </w:p>
        </w:tc>
        <w:tc>
          <w:tcPr>
            <w:tcW w:w="748" w:type="pct"/>
            <w:vAlign w:val="center"/>
          </w:tcPr>
          <w:p w14:paraId="35EE3303">
            <w:pPr>
              <w:pStyle w:val="12"/>
              <w:jc w:val="center"/>
            </w:pPr>
            <w:r>
              <w:rPr>
                <w:rFonts w:hint="eastAsia"/>
              </w:rPr>
              <w:t>1.29</w:t>
            </w:r>
          </w:p>
        </w:tc>
      </w:tr>
      <w:tr w14:paraId="2E460B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414DCE63">
            <w:pPr>
              <w:pStyle w:val="12"/>
              <w:jc w:val="center"/>
            </w:pPr>
            <w:r>
              <w:rPr>
                <w:rFonts w:hint="eastAsia"/>
              </w:rPr>
              <w:t>9</w:t>
            </w:r>
          </w:p>
        </w:tc>
        <w:tc>
          <w:tcPr>
            <w:tcW w:w="640" w:type="pct"/>
            <w:vAlign w:val="center"/>
          </w:tcPr>
          <w:p w14:paraId="47416BFC">
            <w:pPr>
              <w:pStyle w:val="12"/>
              <w:jc w:val="center"/>
            </w:pPr>
            <w:r>
              <w:rPr>
                <w:rFonts w:hint="eastAsia"/>
              </w:rPr>
              <w:t>钟</w:t>
            </w:r>
          </w:p>
        </w:tc>
        <w:tc>
          <w:tcPr>
            <w:tcW w:w="640" w:type="pct"/>
            <w:vAlign w:val="center"/>
          </w:tcPr>
          <w:p w14:paraId="725B0C11">
            <w:pPr>
              <w:pStyle w:val="12"/>
              <w:jc w:val="center"/>
            </w:pPr>
            <w:r>
              <w:rPr>
                <w:rFonts w:hint="eastAsia"/>
              </w:rPr>
              <w:t>2399</w:t>
            </w:r>
          </w:p>
        </w:tc>
        <w:tc>
          <w:tcPr>
            <w:tcW w:w="739" w:type="pct"/>
            <w:vAlign w:val="center"/>
          </w:tcPr>
          <w:p w14:paraId="40CFC412">
            <w:pPr>
              <w:pStyle w:val="12"/>
              <w:jc w:val="center"/>
            </w:pPr>
            <w:r>
              <w:rPr>
                <w:rFonts w:hint="eastAsia"/>
              </w:rPr>
              <w:t>2.88</w:t>
            </w:r>
          </w:p>
        </w:tc>
        <w:tc>
          <w:tcPr>
            <w:tcW w:w="471" w:type="pct"/>
            <w:vAlign w:val="center"/>
          </w:tcPr>
          <w:p w14:paraId="146C20A5">
            <w:pPr>
              <w:pStyle w:val="12"/>
              <w:jc w:val="center"/>
            </w:pPr>
            <w:r>
              <w:rPr>
                <w:rFonts w:hint="eastAsia"/>
              </w:rPr>
              <w:t>24</w:t>
            </w:r>
          </w:p>
        </w:tc>
        <w:tc>
          <w:tcPr>
            <w:tcW w:w="640" w:type="pct"/>
            <w:vAlign w:val="center"/>
          </w:tcPr>
          <w:p w14:paraId="4A59D7DE">
            <w:pPr>
              <w:pStyle w:val="12"/>
              <w:jc w:val="center"/>
            </w:pPr>
            <w:r>
              <w:rPr>
                <w:rFonts w:hint="eastAsia"/>
              </w:rPr>
              <w:t>罗</w:t>
            </w:r>
          </w:p>
        </w:tc>
        <w:tc>
          <w:tcPr>
            <w:tcW w:w="640" w:type="pct"/>
            <w:vAlign w:val="center"/>
          </w:tcPr>
          <w:p w14:paraId="22C4C9A5">
            <w:pPr>
              <w:pStyle w:val="12"/>
              <w:jc w:val="center"/>
            </w:pPr>
            <w:r>
              <w:rPr>
                <w:rFonts w:hint="eastAsia"/>
              </w:rPr>
              <w:t>1004</w:t>
            </w:r>
          </w:p>
        </w:tc>
        <w:tc>
          <w:tcPr>
            <w:tcW w:w="748" w:type="pct"/>
            <w:vAlign w:val="center"/>
          </w:tcPr>
          <w:p w14:paraId="0094A5A7">
            <w:pPr>
              <w:pStyle w:val="12"/>
              <w:jc w:val="center"/>
            </w:pPr>
            <w:r>
              <w:rPr>
                <w:rFonts w:hint="eastAsia"/>
              </w:rPr>
              <w:t>1.21</w:t>
            </w:r>
          </w:p>
        </w:tc>
      </w:tr>
      <w:tr w14:paraId="567B4D5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376122C4">
            <w:pPr>
              <w:pStyle w:val="12"/>
              <w:jc w:val="center"/>
            </w:pPr>
            <w:r>
              <w:rPr>
                <w:rFonts w:hint="eastAsia"/>
              </w:rPr>
              <w:t>10</w:t>
            </w:r>
          </w:p>
        </w:tc>
        <w:tc>
          <w:tcPr>
            <w:tcW w:w="640" w:type="pct"/>
            <w:vAlign w:val="center"/>
          </w:tcPr>
          <w:p w14:paraId="14265CF0">
            <w:pPr>
              <w:pStyle w:val="12"/>
              <w:jc w:val="center"/>
            </w:pPr>
            <w:r>
              <w:rPr>
                <w:rFonts w:hint="eastAsia"/>
              </w:rPr>
              <w:t>王</w:t>
            </w:r>
          </w:p>
        </w:tc>
        <w:tc>
          <w:tcPr>
            <w:tcW w:w="640" w:type="pct"/>
            <w:vAlign w:val="center"/>
          </w:tcPr>
          <w:p w14:paraId="5CCEC9B2">
            <w:pPr>
              <w:pStyle w:val="12"/>
              <w:jc w:val="center"/>
            </w:pPr>
            <w:r>
              <w:rPr>
                <w:rFonts w:hint="eastAsia"/>
              </w:rPr>
              <w:t>2337</w:t>
            </w:r>
          </w:p>
        </w:tc>
        <w:tc>
          <w:tcPr>
            <w:tcW w:w="739" w:type="pct"/>
            <w:vAlign w:val="center"/>
          </w:tcPr>
          <w:p w14:paraId="4446CF6E">
            <w:pPr>
              <w:pStyle w:val="12"/>
              <w:jc w:val="center"/>
            </w:pPr>
            <w:r>
              <w:rPr>
                <w:rFonts w:hint="eastAsia"/>
              </w:rPr>
              <w:t>2.81</w:t>
            </w:r>
          </w:p>
        </w:tc>
        <w:tc>
          <w:tcPr>
            <w:tcW w:w="471" w:type="pct"/>
            <w:vAlign w:val="center"/>
          </w:tcPr>
          <w:p w14:paraId="55F2A07F">
            <w:pPr>
              <w:pStyle w:val="12"/>
              <w:jc w:val="center"/>
            </w:pPr>
            <w:r>
              <w:rPr>
                <w:rFonts w:hint="eastAsia"/>
              </w:rPr>
              <w:t>25</w:t>
            </w:r>
          </w:p>
        </w:tc>
        <w:tc>
          <w:tcPr>
            <w:tcW w:w="640" w:type="pct"/>
            <w:vAlign w:val="center"/>
          </w:tcPr>
          <w:p w14:paraId="061C1EE2">
            <w:pPr>
              <w:pStyle w:val="12"/>
              <w:jc w:val="center"/>
            </w:pPr>
            <w:r>
              <w:rPr>
                <w:rFonts w:hint="eastAsia"/>
              </w:rPr>
              <w:t>肖</w:t>
            </w:r>
          </w:p>
        </w:tc>
        <w:tc>
          <w:tcPr>
            <w:tcW w:w="640" w:type="pct"/>
            <w:vAlign w:val="center"/>
          </w:tcPr>
          <w:p w14:paraId="72AF8C5E">
            <w:pPr>
              <w:pStyle w:val="12"/>
              <w:jc w:val="center"/>
            </w:pPr>
            <w:r>
              <w:rPr>
                <w:rFonts w:hint="eastAsia"/>
              </w:rPr>
              <w:t>995</w:t>
            </w:r>
          </w:p>
        </w:tc>
        <w:tc>
          <w:tcPr>
            <w:tcW w:w="748" w:type="pct"/>
            <w:vAlign w:val="center"/>
          </w:tcPr>
          <w:p w14:paraId="3263F605">
            <w:pPr>
              <w:pStyle w:val="12"/>
              <w:jc w:val="center"/>
            </w:pPr>
            <w:r>
              <w:rPr>
                <w:rFonts w:hint="eastAsia"/>
              </w:rPr>
              <w:t>1.20</w:t>
            </w:r>
          </w:p>
        </w:tc>
      </w:tr>
      <w:tr w14:paraId="496C84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19B26AE5">
            <w:pPr>
              <w:pStyle w:val="12"/>
              <w:jc w:val="center"/>
            </w:pPr>
            <w:r>
              <w:rPr>
                <w:rFonts w:hint="eastAsia"/>
              </w:rPr>
              <w:t>11</w:t>
            </w:r>
          </w:p>
        </w:tc>
        <w:tc>
          <w:tcPr>
            <w:tcW w:w="640" w:type="pct"/>
            <w:vAlign w:val="center"/>
          </w:tcPr>
          <w:p w14:paraId="2AABEE51">
            <w:pPr>
              <w:pStyle w:val="12"/>
              <w:jc w:val="center"/>
            </w:pPr>
            <w:r>
              <w:rPr>
                <w:rFonts w:hint="eastAsia"/>
              </w:rPr>
              <w:t>曾</w:t>
            </w:r>
          </w:p>
        </w:tc>
        <w:tc>
          <w:tcPr>
            <w:tcW w:w="640" w:type="pct"/>
            <w:vAlign w:val="center"/>
          </w:tcPr>
          <w:p w14:paraId="4196BAE7">
            <w:pPr>
              <w:pStyle w:val="12"/>
              <w:jc w:val="center"/>
            </w:pPr>
            <w:r>
              <w:rPr>
                <w:rFonts w:hint="eastAsia"/>
              </w:rPr>
              <w:t>2108</w:t>
            </w:r>
          </w:p>
        </w:tc>
        <w:tc>
          <w:tcPr>
            <w:tcW w:w="739" w:type="pct"/>
            <w:vAlign w:val="center"/>
          </w:tcPr>
          <w:p w14:paraId="7406FEF2">
            <w:pPr>
              <w:pStyle w:val="12"/>
              <w:jc w:val="center"/>
            </w:pPr>
            <w:r>
              <w:rPr>
                <w:rFonts w:hint="eastAsia"/>
              </w:rPr>
              <w:t>2.53</w:t>
            </w:r>
          </w:p>
        </w:tc>
        <w:tc>
          <w:tcPr>
            <w:tcW w:w="471" w:type="pct"/>
            <w:vAlign w:val="center"/>
          </w:tcPr>
          <w:p w14:paraId="48F927BF">
            <w:pPr>
              <w:pStyle w:val="12"/>
              <w:jc w:val="center"/>
            </w:pPr>
            <w:r>
              <w:rPr>
                <w:rFonts w:hint="eastAsia"/>
              </w:rPr>
              <w:t>26</w:t>
            </w:r>
          </w:p>
        </w:tc>
        <w:tc>
          <w:tcPr>
            <w:tcW w:w="640" w:type="pct"/>
            <w:vAlign w:val="center"/>
          </w:tcPr>
          <w:p w14:paraId="00B42D4F">
            <w:pPr>
              <w:pStyle w:val="12"/>
              <w:jc w:val="center"/>
            </w:pPr>
            <w:r>
              <w:rPr>
                <w:rFonts w:hint="eastAsia"/>
              </w:rPr>
              <w:t>邱</w:t>
            </w:r>
          </w:p>
        </w:tc>
        <w:tc>
          <w:tcPr>
            <w:tcW w:w="640" w:type="pct"/>
            <w:vAlign w:val="center"/>
          </w:tcPr>
          <w:p w14:paraId="32DC96A1">
            <w:pPr>
              <w:pStyle w:val="12"/>
              <w:jc w:val="center"/>
            </w:pPr>
            <w:r>
              <w:rPr>
                <w:rFonts w:hint="eastAsia"/>
              </w:rPr>
              <w:t>976</w:t>
            </w:r>
          </w:p>
        </w:tc>
        <w:tc>
          <w:tcPr>
            <w:tcW w:w="748" w:type="pct"/>
            <w:vAlign w:val="center"/>
          </w:tcPr>
          <w:p w14:paraId="5CC4AB4C">
            <w:pPr>
              <w:pStyle w:val="12"/>
              <w:jc w:val="center"/>
            </w:pPr>
            <w:r>
              <w:rPr>
                <w:rFonts w:hint="eastAsia"/>
              </w:rPr>
              <w:t>1.17</w:t>
            </w:r>
          </w:p>
        </w:tc>
      </w:tr>
      <w:tr w14:paraId="4FBB57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2CD3A691">
            <w:pPr>
              <w:pStyle w:val="12"/>
              <w:jc w:val="center"/>
            </w:pPr>
            <w:r>
              <w:rPr>
                <w:rFonts w:hint="eastAsia"/>
              </w:rPr>
              <w:t>12</w:t>
            </w:r>
          </w:p>
        </w:tc>
        <w:tc>
          <w:tcPr>
            <w:tcW w:w="640" w:type="pct"/>
            <w:vAlign w:val="center"/>
          </w:tcPr>
          <w:p w14:paraId="043AE719">
            <w:pPr>
              <w:pStyle w:val="12"/>
              <w:jc w:val="center"/>
            </w:pPr>
            <w:r>
              <w:rPr>
                <w:rFonts w:hint="eastAsia"/>
              </w:rPr>
              <w:t>赖</w:t>
            </w:r>
          </w:p>
        </w:tc>
        <w:tc>
          <w:tcPr>
            <w:tcW w:w="640" w:type="pct"/>
            <w:vAlign w:val="center"/>
          </w:tcPr>
          <w:p w14:paraId="4CF87AF2">
            <w:pPr>
              <w:pStyle w:val="12"/>
              <w:jc w:val="center"/>
            </w:pPr>
            <w:r>
              <w:rPr>
                <w:rFonts w:hint="eastAsia"/>
              </w:rPr>
              <w:t>2069</w:t>
            </w:r>
          </w:p>
        </w:tc>
        <w:tc>
          <w:tcPr>
            <w:tcW w:w="739" w:type="pct"/>
            <w:vAlign w:val="center"/>
          </w:tcPr>
          <w:p w14:paraId="7BE9F7D1">
            <w:pPr>
              <w:pStyle w:val="12"/>
              <w:jc w:val="center"/>
            </w:pPr>
            <w:r>
              <w:rPr>
                <w:rFonts w:hint="eastAsia"/>
              </w:rPr>
              <w:t>2.48</w:t>
            </w:r>
          </w:p>
        </w:tc>
        <w:tc>
          <w:tcPr>
            <w:tcW w:w="471" w:type="pct"/>
            <w:vAlign w:val="center"/>
          </w:tcPr>
          <w:p w14:paraId="61734805">
            <w:pPr>
              <w:pStyle w:val="12"/>
              <w:jc w:val="center"/>
            </w:pPr>
            <w:r>
              <w:rPr>
                <w:rFonts w:hint="eastAsia"/>
              </w:rPr>
              <w:t>27</w:t>
            </w:r>
          </w:p>
        </w:tc>
        <w:tc>
          <w:tcPr>
            <w:tcW w:w="640" w:type="pct"/>
            <w:vAlign w:val="center"/>
          </w:tcPr>
          <w:p w14:paraId="418D49FE">
            <w:pPr>
              <w:pStyle w:val="12"/>
              <w:jc w:val="center"/>
            </w:pPr>
            <w:r>
              <w:rPr>
                <w:rFonts w:hint="eastAsia"/>
              </w:rPr>
              <w:t>马</w:t>
            </w:r>
          </w:p>
        </w:tc>
        <w:tc>
          <w:tcPr>
            <w:tcW w:w="640" w:type="pct"/>
            <w:vAlign w:val="center"/>
          </w:tcPr>
          <w:p w14:paraId="10D6F851">
            <w:pPr>
              <w:pStyle w:val="12"/>
              <w:jc w:val="center"/>
            </w:pPr>
            <w:r>
              <w:rPr>
                <w:rFonts w:hint="eastAsia"/>
              </w:rPr>
              <w:t>963</w:t>
            </w:r>
          </w:p>
        </w:tc>
        <w:tc>
          <w:tcPr>
            <w:tcW w:w="748" w:type="pct"/>
            <w:vAlign w:val="center"/>
          </w:tcPr>
          <w:p w14:paraId="48B2A32A">
            <w:pPr>
              <w:pStyle w:val="12"/>
              <w:jc w:val="center"/>
            </w:pPr>
            <w:r>
              <w:rPr>
                <w:rFonts w:hint="eastAsia"/>
              </w:rPr>
              <w:t>1.16</w:t>
            </w:r>
          </w:p>
        </w:tc>
      </w:tr>
      <w:tr w14:paraId="684301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1466C775">
            <w:pPr>
              <w:pStyle w:val="12"/>
              <w:jc w:val="center"/>
            </w:pPr>
            <w:r>
              <w:rPr>
                <w:rFonts w:hint="eastAsia"/>
              </w:rPr>
              <w:t>13</w:t>
            </w:r>
          </w:p>
        </w:tc>
        <w:tc>
          <w:tcPr>
            <w:tcW w:w="640" w:type="pct"/>
            <w:vAlign w:val="center"/>
          </w:tcPr>
          <w:p w14:paraId="407D8F6C">
            <w:pPr>
              <w:pStyle w:val="12"/>
              <w:jc w:val="center"/>
            </w:pPr>
            <w:r>
              <w:rPr>
                <w:rFonts w:hint="eastAsia"/>
              </w:rPr>
              <w:t>吴</w:t>
            </w:r>
          </w:p>
        </w:tc>
        <w:tc>
          <w:tcPr>
            <w:tcW w:w="640" w:type="pct"/>
            <w:vAlign w:val="center"/>
          </w:tcPr>
          <w:p w14:paraId="094BB5BB">
            <w:pPr>
              <w:pStyle w:val="12"/>
              <w:jc w:val="center"/>
            </w:pPr>
            <w:r>
              <w:rPr>
                <w:rFonts w:hint="eastAsia"/>
              </w:rPr>
              <w:t>2063</w:t>
            </w:r>
          </w:p>
        </w:tc>
        <w:tc>
          <w:tcPr>
            <w:tcW w:w="739" w:type="pct"/>
            <w:vAlign w:val="center"/>
          </w:tcPr>
          <w:p w14:paraId="4EB3B843">
            <w:pPr>
              <w:pStyle w:val="12"/>
              <w:jc w:val="center"/>
            </w:pPr>
            <w:r>
              <w:rPr>
                <w:rFonts w:hint="eastAsia"/>
              </w:rPr>
              <w:t>2.48</w:t>
            </w:r>
          </w:p>
        </w:tc>
        <w:tc>
          <w:tcPr>
            <w:tcW w:w="471" w:type="pct"/>
            <w:vAlign w:val="center"/>
          </w:tcPr>
          <w:p w14:paraId="08F58352">
            <w:pPr>
              <w:pStyle w:val="12"/>
              <w:jc w:val="center"/>
            </w:pPr>
            <w:r>
              <w:rPr>
                <w:rFonts w:hint="eastAsia"/>
              </w:rPr>
              <w:t>28</w:t>
            </w:r>
          </w:p>
        </w:tc>
        <w:tc>
          <w:tcPr>
            <w:tcW w:w="640" w:type="pct"/>
            <w:vAlign w:val="center"/>
          </w:tcPr>
          <w:p w14:paraId="7E6FF094">
            <w:pPr>
              <w:pStyle w:val="12"/>
              <w:jc w:val="center"/>
            </w:pPr>
            <w:r>
              <w:rPr>
                <w:rFonts w:hint="eastAsia"/>
              </w:rPr>
              <w:t>杨</w:t>
            </w:r>
          </w:p>
        </w:tc>
        <w:tc>
          <w:tcPr>
            <w:tcW w:w="640" w:type="pct"/>
            <w:vAlign w:val="center"/>
          </w:tcPr>
          <w:p w14:paraId="08224DE2">
            <w:pPr>
              <w:pStyle w:val="12"/>
              <w:jc w:val="center"/>
            </w:pPr>
            <w:r>
              <w:rPr>
                <w:rFonts w:hint="eastAsia"/>
              </w:rPr>
              <w:t>945</w:t>
            </w:r>
          </w:p>
        </w:tc>
        <w:tc>
          <w:tcPr>
            <w:tcW w:w="748" w:type="pct"/>
            <w:vAlign w:val="center"/>
          </w:tcPr>
          <w:p w14:paraId="6CC7D5CB">
            <w:pPr>
              <w:pStyle w:val="12"/>
              <w:jc w:val="center"/>
            </w:pPr>
            <w:r>
              <w:rPr>
                <w:rFonts w:hint="eastAsia"/>
              </w:rPr>
              <w:t>1.14</w:t>
            </w:r>
          </w:p>
        </w:tc>
      </w:tr>
      <w:tr w14:paraId="2457F1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6F53B780">
            <w:pPr>
              <w:pStyle w:val="12"/>
              <w:jc w:val="center"/>
            </w:pPr>
            <w:r>
              <w:rPr>
                <w:rFonts w:hint="eastAsia"/>
              </w:rPr>
              <w:t>14</w:t>
            </w:r>
          </w:p>
        </w:tc>
        <w:tc>
          <w:tcPr>
            <w:tcW w:w="640" w:type="pct"/>
            <w:vAlign w:val="center"/>
          </w:tcPr>
          <w:p w14:paraId="346A38D4">
            <w:pPr>
              <w:pStyle w:val="12"/>
              <w:jc w:val="center"/>
            </w:pPr>
            <w:r>
              <w:rPr>
                <w:rFonts w:hint="eastAsia"/>
              </w:rPr>
              <w:t>郭</w:t>
            </w:r>
          </w:p>
        </w:tc>
        <w:tc>
          <w:tcPr>
            <w:tcW w:w="640" w:type="pct"/>
            <w:vAlign w:val="center"/>
          </w:tcPr>
          <w:p w14:paraId="03045B5C">
            <w:pPr>
              <w:pStyle w:val="12"/>
              <w:jc w:val="center"/>
            </w:pPr>
            <w:r>
              <w:rPr>
                <w:rFonts w:hint="eastAsia"/>
              </w:rPr>
              <w:t>1760</w:t>
            </w:r>
          </w:p>
        </w:tc>
        <w:tc>
          <w:tcPr>
            <w:tcW w:w="739" w:type="pct"/>
            <w:vAlign w:val="center"/>
          </w:tcPr>
          <w:p w14:paraId="7C7CC48A">
            <w:pPr>
              <w:pStyle w:val="12"/>
              <w:jc w:val="center"/>
            </w:pPr>
            <w:r>
              <w:rPr>
                <w:rFonts w:hint="eastAsia"/>
              </w:rPr>
              <w:t>2.11</w:t>
            </w:r>
          </w:p>
        </w:tc>
        <w:tc>
          <w:tcPr>
            <w:tcW w:w="471" w:type="pct"/>
            <w:vAlign w:val="center"/>
          </w:tcPr>
          <w:p w14:paraId="5990BB9B">
            <w:pPr>
              <w:pStyle w:val="12"/>
              <w:jc w:val="center"/>
            </w:pPr>
            <w:r>
              <w:rPr>
                <w:rFonts w:hint="eastAsia"/>
              </w:rPr>
              <w:t>29</w:t>
            </w:r>
          </w:p>
        </w:tc>
        <w:tc>
          <w:tcPr>
            <w:tcW w:w="640" w:type="pct"/>
            <w:vAlign w:val="center"/>
          </w:tcPr>
          <w:p w14:paraId="710FF939">
            <w:pPr>
              <w:pStyle w:val="12"/>
              <w:jc w:val="center"/>
            </w:pPr>
            <w:r>
              <w:rPr>
                <w:rFonts w:hint="eastAsia"/>
              </w:rPr>
              <w:t>谭</w:t>
            </w:r>
          </w:p>
        </w:tc>
        <w:tc>
          <w:tcPr>
            <w:tcW w:w="640" w:type="pct"/>
            <w:vAlign w:val="center"/>
          </w:tcPr>
          <w:p w14:paraId="6BF35625">
            <w:pPr>
              <w:pStyle w:val="12"/>
              <w:jc w:val="center"/>
            </w:pPr>
            <w:r>
              <w:rPr>
                <w:rFonts w:hint="eastAsia"/>
              </w:rPr>
              <w:t>785</w:t>
            </w:r>
          </w:p>
        </w:tc>
        <w:tc>
          <w:tcPr>
            <w:tcW w:w="748" w:type="pct"/>
            <w:vAlign w:val="center"/>
          </w:tcPr>
          <w:p w14:paraId="432B7047">
            <w:pPr>
              <w:pStyle w:val="12"/>
              <w:jc w:val="center"/>
            </w:pPr>
            <w:r>
              <w:rPr>
                <w:rFonts w:hint="eastAsia"/>
              </w:rPr>
              <w:t>0.94</w:t>
            </w:r>
          </w:p>
        </w:tc>
      </w:tr>
      <w:tr w14:paraId="659C7B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09C934F1">
            <w:pPr>
              <w:pStyle w:val="12"/>
              <w:jc w:val="center"/>
            </w:pPr>
            <w:r>
              <w:rPr>
                <w:rFonts w:hint="eastAsia"/>
              </w:rPr>
              <w:t>15</w:t>
            </w:r>
          </w:p>
        </w:tc>
        <w:tc>
          <w:tcPr>
            <w:tcW w:w="640" w:type="pct"/>
            <w:vAlign w:val="center"/>
          </w:tcPr>
          <w:p w14:paraId="618A3EE6">
            <w:pPr>
              <w:pStyle w:val="12"/>
              <w:jc w:val="center"/>
            </w:pPr>
            <w:r>
              <w:rPr>
                <w:rFonts w:hint="eastAsia"/>
              </w:rPr>
              <w:t>谢</w:t>
            </w:r>
          </w:p>
        </w:tc>
        <w:tc>
          <w:tcPr>
            <w:tcW w:w="640" w:type="pct"/>
            <w:vAlign w:val="center"/>
          </w:tcPr>
          <w:p w14:paraId="3F30F765">
            <w:pPr>
              <w:pStyle w:val="12"/>
              <w:jc w:val="center"/>
            </w:pPr>
            <w:r>
              <w:rPr>
                <w:rFonts w:hint="eastAsia"/>
              </w:rPr>
              <w:t>1744</w:t>
            </w:r>
          </w:p>
        </w:tc>
        <w:tc>
          <w:tcPr>
            <w:tcW w:w="739" w:type="pct"/>
            <w:vAlign w:val="center"/>
          </w:tcPr>
          <w:p w14:paraId="16ECD192">
            <w:pPr>
              <w:pStyle w:val="12"/>
              <w:jc w:val="center"/>
            </w:pPr>
            <w:r>
              <w:rPr>
                <w:rFonts w:hint="eastAsia"/>
              </w:rPr>
              <w:t>2.10</w:t>
            </w:r>
          </w:p>
        </w:tc>
        <w:tc>
          <w:tcPr>
            <w:tcW w:w="471" w:type="pct"/>
            <w:vAlign w:val="center"/>
          </w:tcPr>
          <w:p w14:paraId="616DA234">
            <w:pPr>
              <w:pStyle w:val="12"/>
              <w:jc w:val="center"/>
            </w:pPr>
            <w:r>
              <w:rPr>
                <w:rFonts w:hint="eastAsia"/>
              </w:rPr>
              <w:t>30</w:t>
            </w:r>
          </w:p>
        </w:tc>
        <w:tc>
          <w:tcPr>
            <w:tcW w:w="640" w:type="pct"/>
            <w:vAlign w:val="center"/>
          </w:tcPr>
          <w:p w14:paraId="0F28BC8C">
            <w:pPr>
              <w:pStyle w:val="12"/>
              <w:jc w:val="center"/>
            </w:pPr>
            <w:r>
              <w:rPr>
                <w:rFonts w:hint="eastAsia"/>
              </w:rPr>
              <w:t>温</w:t>
            </w:r>
          </w:p>
        </w:tc>
        <w:tc>
          <w:tcPr>
            <w:tcW w:w="640" w:type="pct"/>
            <w:vAlign w:val="center"/>
          </w:tcPr>
          <w:p w14:paraId="0EBD2244">
            <w:pPr>
              <w:pStyle w:val="12"/>
              <w:jc w:val="center"/>
            </w:pPr>
            <w:r>
              <w:rPr>
                <w:rFonts w:hint="eastAsia"/>
              </w:rPr>
              <w:t>756</w:t>
            </w:r>
          </w:p>
        </w:tc>
        <w:tc>
          <w:tcPr>
            <w:tcW w:w="748" w:type="pct"/>
            <w:vAlign w:val="center"/>
          </w:tcPr>
          <w:p w14:paraId="75B518E6">
            <w:pPr>
              <w:pStyle w:val="12"/>
              <w:jc w:val="center"/>
            </w:pPr>
            <w:r>
              <w:rPr>
                <w:rFonts w:hint="eastAsia"/>
              </w:rPr>
              <w:t>0.91</w:t>
            </w:r>
          </w:p>
        </w:tc>
      </w:tr>
      <w:tr w14:paraId="706ED8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76980974">
            <w:pPr>
              <w:pStyle w:val="12"/>
              <w:jc w:val="center"/>
            </w:pPr>
            <w:r>
              <w:rPr>
                <w:rFonts w:hint="eastAsia"/>
              </w:rPr>
              <w:t>31</w:t>
            </w:r>
          </w:p>
        </w:tc>
        <w:tc>
          <w:tcPr>
            <w:tcW w:w="640" w:type="pct"/>
            <w:vAlign w:val="center"/>
          </w:tcPr>
          <w:p w14:paraId="5F70DB58">
            <w:pPr>
              <w:pStyle w:val="12"/>
              <w:jc w:val="center"/>
            </w:pPr>
            <w:r>
              <w:rPr>
                <w:rFonts w:hint="eastAsia"/>
              </w:rPr>
              <w:t>严</w:t>
            </w:r>
          </w:p>
        </w:tc>
        <w:tc>
          <w:tcPr>
            <w:tcW w:w="640" w:type="pct"/>
            <w:vAlign w:val="center"/>
          </w:tcPr>
          <w:p w14:paraId="16C993FF">
            <w:pPr>
              <w:pStyle w:val="12"/>
              <w:jc w:val="center"/>
            </w:pPr>
            <w:r>
              <w:rPr>
                <w:rFonts w:hint="eastAsia"/>
              </w:rPr>
              <w:t>749</w:t>
            </w:r>
          </w:p>
        </w:tc>
        <w:tc>
          <w:tcPr>
            <w:tcW w:w="739" w:type="pct"/>
            <w:vAlign w:val="center"/>
          </w:tcPr>
          <w:p w14:paraId="3D670749">
            <w:pPr>
              <w:pStyle w:val="12"/>
              <w:jc w:val="center"/>
            </w:pPr>
            <w:r>
              <w:rPr>
                <w:rFonts w:hint="eastAsia"/>
              </w:rPr>
              <w:t>0.90</w:t>
            </w:r>
          </w:p>
        </w:tc>
        <w:tc>
          <w:tcPr>
            <w:tcW w:w="471" w:type="pct"/>
            <w:vAlign w:val="center"/>
          </w:tcPr>
          <w:p w14:paraId="74D11294">
            <w:pPr>
              <w:pStyle w:val="12"/>
              <w:jc w:val="center"/>
            </w:pPr>
            <w:r>
              <w:rPr>
                <w:rFonts w:hint="eastAsia"/>
              </w:rPr>
              <w:t>54</w:t>
            </w:r>
          </w:p>
        </w:tc>
        <w:tc>
          <w:tcPr>
            <w:tcW w:w="640" w:type="pct"/>
            <w:vAlign w:val="center"/>
          </w:tcPr>
          <w:p w14:paraId="4636B50A">
            <w:pPr>
              <w:pStyle w:val="12"/>
              <w:jc w:val="center"/>
            </w:pPr>
            <w:r>
              <w:rPr>
                <w:rFonts w:hint="eastAsia"/>
              </w:rPr>
              <w:t>唐</w:t>
            </w:r>
          </w:p>
        </w:tc>
        <w:tc>
          <w:tcPr>
            <w:tcW w:w="640" w:type="pct"/>
            <w:vAlign w:val="center"/>
          </w:tcPr>
          <w:p w14:paraId="22F1E166">
            <w:pPr>
              <w:pStyle w:val="12"/>
              <w:jc w:val="center"/>
            </w:pPr>
            <w:r>
              <w:rPr>
                <w:rFonts w:hint="eastAsia"/>
              </w:rPr>
              <w:t>177</w:t>
            </w:r>
          </w:p>
        </w:tc>
        <w:tc>
          <w:tcPr>
            <w:tcW w:w="748" w:type="pct"/>
            <w:vAlign w:val="center"/>
          </w:tcPr>
          <w:p w14:paraId="63A2E6F8">
            <w:pPr>
              <w:pStyle w:val="12"/>
              <w:jc w:val="center"/>
            </w:pPr>
            <w:r>
              <w:rPr>
                <w:rFonts w:hint="eastAsia"/>
              </w:rPr>
              <w:t>0.21</w:t>
            </w:r>
          </w:p>
        </w:tc>
      </w:tr>
      <w:tr w14:paraId="5DDF09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58BAD69C">
            <w:pPr>
              <w:pStyle w:val="12"/>
              <w:jc w:val="center"/>
            </w:pPr>
            <w:r>
              <w:rPr>
                <w:rFonts w:hint="eastAsia"/>
              </w:rPr>
              <w:t>32</w:t>
            </w:r>
          </w:p>
        </w:tc>
        <w:tc>
          <w:tcPr>
            <w:tcW w:w="640" w:type="pct"/>
            <w:vAlign w:val="center"/>
          </w:tcPr>
          <w:p w14:paraId="36372CEB">
            <w:pPr>
              <w:pStyle w:val="12"/>
              <w:jc w:val="center"/>
            </w:pPr>
            <w:r>
              <w:rPr>
                <w:rFonts w:hint="eastAsia"/>
              </w:rPr>
              <w:t>胡</w:t>
            </w:r>
          </w:p>
        </w:tc>
        <w:tc>
          <w:tcPr>
            <w:tcW w:w="640" w:type="pct"/>
            <w:vAlign w:val="center"/>
          </w:tcPr>
          <w:p w14:paraId="444C4A7F">
            <w:pPr>
              <w:pStyle w:val="12"/>
              <w:jc w:val="center"/>
            </w:pPr>
            <w:r>
              <w:rPr>
                <w:rFonts w:hint="eastAsia"/>
              </w:rPr>
              <w:t>642</w:t>
            </w:r>
          </w:p>
        </w:tc>
        <w:tc>
          <w:tcPr>
            <w:tcW w:w="739" w:type="pct"/>
            <w:vAlign w:val="center"/>
          </w:tcPr>
          <w:p w14:paraId="010D3501">
            <w:pPr>
              <w:pStyle w:val="12"/>
              <w:jc w:val="center"/>
            </w:pPr>
            <w:r>
              <w:rPr>
                <w:rFonts w:hint="eastAsia"/>
              </w:rPr>
              <w:t>0.77</w:t>
            </w:r>
          </w:p>
        </w:tc>
        <w:tc>
          <w:tcPr>
            <w:tcW w:w="471" w:type="pct"/>
            <w:vAlign w:val="center"/>
          </w:tcPr>
          <w:p w14:paraId="235E25B5">
            <w:pPr>
              <w:pStyle w:val="12"/>
              <w:jc w:val="center"/>
            </w:pPr>
            <w:r>
              <w:rPr>
                <w:rFonts w:hint="eastAsia"/>
              </w:rPr>
              <w:t>55</w:t>
            </w:r>
          </w:p>
        </w:tc>
        <w:tc>
          <w:tcPr>
            <w:tcW w:w="640" w:type="pct"/>
            <w:vAlign w:val="center"/>
          </w:tcPr>
          <w:p w14:paraId="4B8CC726">
            <w:pPr>
              <w:pStyle w:val="12"/>
              <w:jc w:val="center"/>
            </w:pPr>
            <w:r>
              <w:rPr>
                <w:rFonts w:hint="eastAsia"/>
              </w:rPr>
              <w:t>杜</w:t>
            </w:r>
          </w:p>
        </w:tc>
        <w:tc>
          <w:tcPr>
            <w:tcW w:w="640" w:type="pct"/>
            <w:vAlign w:val="center"/>
          </w:tcPr>
          <w:p w14:paraId="7C19840F">
            <w:pPr>
              <w:pStyle w:val="12"/>
              <w:jc w:val="center"/>
            </w:pPr>
            <w:r>
              <w:rPr>
                <w:rFonts w:hint="eastAsia"/>
              </w:rPr>
              <w:t>165</w:t>
            </w:r>
          </w:p>
        </w:tc>
        <w:tc>
          <w:tcPr>
            <w:tcW w:w="748" w:type="pct"/>
            <w:vAlign w:val="center"/>
          </w:tcPr>
          <w:p w14:paraId="28B789B2">
            <w:pPr>
              <w:pStyle w:val="12"/>
              <w:jc w:val="center"/>
            </w:pPr>
            <w:r>
              <w:rPr>
                <w:rFonts w:hint="eastAsia"/>
              </w:rPr>
              <w:t>0.20</w:t>
            </w:r>
          </w:p>
        </w:tc>
      </w:tr>
      <w:tr w14:paraId="16A9FF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5C5DBFBE">
            <w:pPr>
              <w:pStyle w:val="12"/>
              <w:jc w:val="center"/>
            </w:pPr>
            <w:r>
              <w:rPr>
                <w:rFonts w:hint="eastAsia"/>
              </w:rPr>
              <w:t>33</w:t>
            </w:r>
          </w:p>
        </w:tc>
        <w:tc>
          <w:tcPr>
            <w:tcW w:w="640" w:type="pct"/>
            <w:vAlign w:val="center"/>
          </w:tcPr>
          <w:p w14:paraId="707C660A">
            <w:pPr>
              <w:pStyle w:val="12"/>
              <w:jc w:val="center"/>
            </w:pPr>
            <w:r>
              <w:rPr>
                <w:rFonts w:hint="eastAsia"/>
              </w:rPr>
              <w:t>龚</w:t>
            </w:r>
          </w:p>
        </w:tc>
        <w:tc>
          <w:tcPr>
            <w:tcW w:w="640" w:type="pct"/>
            <w:vAlign w:val="center"/>
          </w:tcPr>
          <w:p w14:paraId="219BA2F9">
            <w:pPr>
              <w:pStyle w:val="12"/>
              <w:jc w:val="center"/>
            </w:pPr>
            <w:r>
              <w:rPr>
                <w:rFonts w:hint="eastAsia"/>
              </w:rPr>
              <w:t>624</w:t>
            </w:r>
          </w:p>
        </w:tc>
        <w:tc>
          <w:tcPr>
            <w:tcW w:w="739" w:type="pct"/>
            <w:vAlign w:val="center"/>
          </w:tcPr>
          <w:p w14:paraId="06A6760A">
            <w:pPr>
              <w:pStyle w:val="12"/>
              <w:jc w:val="center"/>
            </w:pPr>
            <w:r>
              <w:rPr>
                <w:rFonts w:hint="eastAsia"/>
              </w:rPr>
              <w:t>0.75</w:t>
            </w:r>
          </w:p>
        </w:tc>
        <w:tc>
          <w:tcPr>
            <w:tcW w:w="471" w:type="pct"/>
            <w:vAlign w:val="center"/>
          </w:tcPr>
          <w:p w14:paraId="4E6AEBAA">
            <w:pPr>
              <w:pStyle w:val="12"/>
              <w:jc w:val="center"/>
            </w:pPr>
            <w:r>
              <w:rPr>
                <w:rFonts w:hint="eastAsia"/>
              </w:rPr>
              <w:t>56</w:t>
            </w:r>
          </w:p>
        </w:tc>
        <w:tc>
          <w:tcPr>
            <w:tcW w:w="640" w:type="pct"/>
            <w:vAlign w:val="center"/>
          </w:tcPr>
          <w:p w14:paraId="71FB30D3">
            <w:pPr>
              <w:pStyle w:val="12"/>
              <w:jc w:val="center"/>
            </w:pPr>
            <w:r>
              <w:rPr>
                <w:rFonts w:hint="eastAsia"/>
              </w:rPr>
              <w:t>麦</w:t>
            </w:r>
          </w:p>
        </w:tc>
        <w:tc>
          <w:tcPr>
            <w:tcW w:w="640" w:type="pct"/>
            <w:vAlign w:val="center"/>
          </w:tcPr>
          <w:p w14:paraId="5F8EF785">
            <w:pPr>
              <w:pStyle w:val="12"/>
              <w:jc w:val="center"/>
            </w:pPr>
            <w:r>
              <w:rPr>
                <w:rFonts w:hint="eastAsia"/>
              </w:rPr>
              <w:t>147</w:t>
            </w:r>
          </w:p>
        </w:tc>
        <w:tc>
          <w:tcPr>
            <w:tcW w:w="748" w:type="pct"/>
            <w:vAlign w:val="center"/>
          </w:tcPr>
          <w:p w14:paraId="64BEDA61">
            <w:pPr>
              <w:pStyle w:val="12"/>
              <w:jc w:val="center"/>
            </w:pPr>
            <w:r>
              <w:rPr>
                <w:rFonts w:hint="eastAsia"/>
              </w:rPr>
              <w:t>0.18</w:t>
            </w:r>
          </w:p>
        </w:tc>
      </w:tr>
      <w:tr w14:paraId="647AF6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395117FB">
            <w:pPr>
              <w:pStyle w:val="12"/>
              <w:jc w:val="center"/>
            </w:pPr>
            <w:r>
              <w:rPr>
                <w:rFonts w:hint="eastAsia"/>
              </w:rPr>
              <w:t>34</w:t>
            </w:r>
          </w:p>
        </w:tc>
        <w:tc>
          <w:tcPr>
            <w:tcW w:w="640" w:type="pct"/>
            <w:vAlign w:val="center"/>
          </w:tcPr>
          <w:p w14:paraId="6B898130">
            <w:pPr>
              <w:pStyle w:val="12"/>
              <w:jc w:val="center"/>
            </w:pPr>
            <w:r>
              <w:rPr>
                <w:rFonts w:hint="eastAsia"/>
              </w:rPr>
              <w:t>廖</w:t>
            </w:r>
          </w:p>
        </w:tc>
        <w:tc>
          <w:tcPr>
            <w:tcW w:w="640" w:type="pct"/>
            <w:vAlign w:val="center"/>
          </w:tcPr>
          <w:p w14:paraId="5B6EEACC">
            <w:pPr>
              <w:pStyle w:val="12"/>
              <w:jc w:val="center"/>
            </w:pPr>
            <w:r>
              <w:rPr>
                <w:rFonts w:hint="eastAsia"/>
              </w:rPr>
              <w:t>601</w:t>
            </w:r>
          </w:p>
        </w:tc>
        <w:tc>
          <w:tcPr>
            <w:tcW w:w="739" w:type="pct"/>
            <w:vAlign w:val="center"/>
          </w:tcPr>
          <w:p w14:paraId="1D4658DB">
            <w:pPr>
              <w:pStyle w:val="12"/>
              <w:jc w:val="center"/>
            </w:pPr>
            <w:r>
              <w:rPr>
                <w:rFonts w:hint="eastAsia"/>
              </w:rPr>
              <w:t>0.72</w:t>
            </w:r>
          </w:p>
        </w:tc>
        <w:tc>
          <w:tcPr>
            <w:tcW w:w="471" w:type="pct"/>
            <w:vAlign w:val="center"/>
          </w:tcPr>
          <w:p w14:paraId="0AA50766">
            <w:pPr>
              <w:pStyle w:val="12"/>
              <w:jc w:val="center"/>
            </w:pPr>
            <w:r>
              <w:rPr>
                <w:rFonts w:hint="eastAsia"/>
              </w:rPr>
              <w:t>57</w:t>
            </w:r>
          </w:p>
        </w:tc>
        <w:tc>
          <w:tcPr>
            <w:tcW w:w="640" w:type="pct"/>
            <w:vAlign w:val="center"/>
          </w:tcPr>
          <w:p w14:paraId="1F597FFB">
            <w:pPr>
              <w:pStyle w:val="12"/>
              <w:jc w:val="center"/>
            </w:pPr>
            <w:r>
              <w:rPr>
                <w:rFonts w:hint="eastAsia"/>
              </w:rPr>
              <w:t>邬</w:t>
            </w:r>
          </w:p>
        </w:tc>
        <w:tc>
          <w:tcPr>
            <w:tcW w:w="640" w:type="pct"/>
            <w:vAlign w:val="center"/>
          </w:tcPr>
          <w:p w14:paraId="6AAD46D7">
            <w:pPr>
              <w:pStyle w:val="12"/>
              <w:jc w:val="center"/>
            </w:pPr>
            <w:r>
              <w:rPr>
                <w:rFonts w:hint="eastAsia"/>
              </w:rPr>
              <w:t>143</w:t>
            </w:r>
          </w:p>
        </w:tc>
        <w:tc>
          <w:tcPr>
            <w:tcW w:w="748" w:type="pct"/>
            <w:vAlign w:val="center"/>
          </w:tcPr>
          <w:p w14:paraId="51E12694">
            <w:pPr>
              <w:pStyle w:val="12"/>
              <w:jc w:val="center"/>
            </w:pPr>
            <w:r>
              <w:rPr>
                <w:rFonts w:hint="eastAsia"/>
              </w:rPr>
              <w:t>0.17</w:t>
            </w:r>
          </w:p>
        </w:tc>
      </w:tr>
      <w:tr w14:paraId="478A90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2F769E39">
            <w:pPr>
              <w:pStyle w:val="12"/>
              <w:jc w:val="center"/>
            </w:pPr>
            <w:r>
              <w:rPr>
                <w:rFonts w:hint="eastAsia"/>
              </w:rPr>
              <w:t>35</w:t>
            </w:r>
          </w:p>
        </w:tc>
        <w:tc>
          <w:tcPr>
            <w:tcW w:w="640" w:type="pct"/>
            <w:vAlign w:val="center"/>
          </w:tcPr>
          <w:p w14:paraId="35FA7548">
            <w:pPr>
              <w:pStyle w:val="12"/>
              <w:jc w:val="center"/>
            </w:pPr>
            <w:r>
              <w:rPr>
                <w:rFonts w:hint="eastAsia"/>
              </w:rPr>
              <w:t>聂</w:t>
            </w:r>
          </w:p>
        </w:tc>
        <w:tc>
          <w:tcPr>
            <w:tcW w:w="640" w:type="pct"/>
            <w:vAlign w:val="center"/>
          </w:tcPr>
          <w:p w14:paraId="0387BD98">
            <w:pPr>
              <w:pStyle w:val="12"/>
              <w:jc w:val="center"/>
            </w:pPr>
            <w:r>
              <w:rPr>
                <w:rFonts w:hint="eastAsia"/>
              </w:rPr>
              <w:t>599</w:t>
            </w:r>
          </w:p>
        </w:tc>
        <w:tc>
          <w:tcPr>
            <w:tcW w:w="739" w:type="pct"/>
            <w:vAlign w:val="center"/>
          </w:tcPr>
          <w:p w14:paraId="204A22C5">
            <w:pPr>
              <w:pStyle w:val="12"/>
              <w:jc w:val="center"/>
            </w:pPr>
            <w:r>
              <w:rPr>
                <w:rFonts w:hint="eastAsia"/>
              </w:rPr>
              <w:t>0.72</w:t>
            </w:r>
          </w:p>
        </w:tc>
        <w:tc>
          <w:tcPr>
            <w:tcW w:w="471" w:type="pct"/>
            <w:vAlign w:val="center"/>
          </w:tcPr>
          <w:p w14:paraId="1F8F5320">
            <w:pPr>
              <w:pStyle w:val="12"/>
              <w:jc w:val="center"/>
            </w:pPr>
            <w:r>
              <w:rPr>
                <w:rFonts w:hint="eastAsia"/>
              </w:rPr>
              <w:t>58</w:t>
            </w:r>
          </w:p>
        </w:tc>
        <w:tc>
          <w:tcPr>
            <w:tcW w:w="640" w:type="pct"/>
            <w:vAlign w:val="center"/>
          </w:tcPr>
          <w:p w14:paraId="08547AFA">
            <w:pPr>
              <w:pStyle w:val="12"/>
              <w:jc w:val="center"/>
            </w:pPr>
            <w:r>
              <w:rPr>
                <w:rFonts w:hint="eastAsia"/>
              </w:rPr>
              <w:t>邹</w:t>
            </w:r>
          </w:p>
        </w:tc>
        <w:tc>
          <w:tcPr>
            <w:tcW w:w="640" w:type="pct"/>
            <w:vAlign w:val="center"/>
          </w:tcPr>
          <w:p w14:paraId="28F7FFCD">
            <w:pPr>
              <w:pStyle w:val="12"/>
              <w:jc w:val="center"/>
            </w:pPr>
            <w:r>
              <w:rPr>
                <w:rFonts w:hint="eastAsia"/>
              </w:rPr>
              <w:t>142</w:t>
            </w:r>
          </w:p>
        </w:tc>
        <w:tc>
          <w:tcPr>
            <w:tcW w:w="748" w:type="pct"/>
            <w:vAlign w:val="center"/>
          </w:tcPr>
          <w:p w14:paraId="29C61477">
            <w:pPr>
              <w:pStyle w:val="12"/>
              <w:jc w:val="center"/>
            </w:pPr>
            <w:r>
              <w:rPr>
                <w:rFonts w:hint="eastAsia"/>
              </w:rPr>
              <w:t>0.17</w:t>
            </w:r>
          </w:p>
        </w:tc>
      </w:tr>
      <w:tr w14:paraId="3EC9F7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492A017F">
            <w:pPr>
              <w:pStyle w:val="12"/>
              <w:jc w:val="center"/>
            </w:pPr>
            <w:r>
              <w:rPr>
                <w:rFonts w:hint="eastAsia"/>
              </w:rPr>
              <w:t>36</w:t>
            </w:r>
          </w:p>
        </w:tc>
        <w:tc>
          <w:tcPr>
            <w:tcW w:w="640" w:type="pct"/>
            <w:vAlign w:val="center"/>
          </w:tcPr>
          <w:p w14:paraId="7FD4F6C6">
            <w:pPr>
              <w:pStyle w:val="12"/>
              <w:jc w:val="center"/>
            </w:pPr>
            <w:r>
              <w:rPr>
                <w:rFonts w:hint="eastAsia"/>
              </w:rPr>
              <w:t>雷</w:t>
            </w:r>
          </w:p>
        </w:tc>
        <w:tc>
          <w:tcPr>
            <w:tcW w:w="640" w:type="pct"/>
            <w:vAlign w:val="center"/>
          </w:tcPr>
          <w:p w14:paraId="239E69E2">
            <w:pPr>
              <w:pStyle w:val="12"/>
              <w:jc w:val="center"/>
            </w:pPr>
            <w:r>
              <w:rPr>
                <w:rFonts w:hint="eastAsia"/>
              </w:rPr>
              <w:t>597</w:t>
            </w:r>
          </w:p>
        </w:tc>
        <w:tc>
          <w:tcPr>
            <w:tcW w:w="739" w:type="pct"/>
            <w:vAlign w:val="center"/>
          </w:tcPr>
          <w:p w14:paraId="43DC49F0">
            <w:pPr>
              <w:pStyle w:val="12"/>
              <w:jc w:val="center"/>
            </w:pPr>
            <w:r>
              <w:rPr>
                <w:rFonts w:hint="eastAsia"/>
              </w:rPr>
              <w:t>0.71</w:t>
            </w:r>
          </w:p>
        </w:tc>
        <w:tc>
          <w:tcPr>
            <w:tcW w:w="471" w:type="pct"/>
            <w:vAlign w:val="center"/>
          </w:tcPr>
          <w:p w14:paraId="4BDDFC80">
            <w:pPr>
              <w:pStyle w:val="12"/>
              <w:jc w:val="center"/>
            </w:pPr>
            <w:r>
              <w:rPr>
                <w:rFonts w:hint="eastAsia"/>
              </w:rPr>
              <w:t>59</w:t>
            </w:r>
          </w:p>
        </w:tc>
        <w:tc>
          <w:tcPr>
            <w:tcW w:w="640" w:type="pct"/>
            <w:vAlign w:val="center"/>
          </w:tcPr>
          <w:p w14:paraId="2293575E">
            <w:pPr>
              <w:pStyle w:val="12"/>
              <w:jc w:val="center"/>
            </w:pPr>
            <w:r>
              <w:rPr>
                <w:rFonts w:hint="eastAsia"/>
              </w:rPr>
              <w:t>余</w:t>
            </w:r>
          </w:p>
        </w:tc>
        <w:tc>
          <w:tcPr>
            <w:tcW w:w="640" w:type="pct"/>
            <w:vAlign w:val="center"/>
          </w:tcPr>
          <w:p w14:paraId="49CCE653">
            <w:pPr>
              <w:pStyle w:val="12"/>
              <w:jc w:val="center"/>
            </w:pPr>
            <w:r>
              <w:rPr>
                <w:rFonts w:hint="eastAsia"/>
              </w:rPr>
              <w:t>138</w:t>
            </w:r>
          </w:p>
        </w:tc>
        <w:tc>
          <w:tcPr>
            <w:tcW w:w="748" w:type="pct"/>
            <w:vAlign w:val="center"/>
          </w:tcPr>
          <w:p w14:paraId="23F1F9DB">
            <w:pPr>
              <w:pStyle w:val="12"/>
              <w:jc w:val="center"/>
            </w:pPr>
            <w:r>
              <w:rPr>
                <w:rFonts w:hint="eastAsia"/>
              </w:rPr>
              <w:t>0.17</w:t>
            </w:r>
          </w:p>
        </w:tc>
      </w:tr>
      <w:tr w14:paraId="710710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2670FAB8">
            <w:pPr>
              <w:pStyle w:val="12"/>
              <w:jc w:val="center"/>
            </w:pPr>
            <w:r>
              <w:rPr>
                <w:rFonts w:hint="eastAsia"/>
              </w:rPr>
              <w:t>37</w:t>
            </w:r>
          </w:p>
        </w:tc>
        <w:tc>
          <w:tcPr>
            <w:tcW w:w="640" w:type="pct"/>
            <w:vAlign w:val="center"/>
          </w:tcPr>
          <w:p w14:paraId="791CDC06">
            <w:pPr>
              <w:pStyle w:val="12"/>
              <w:jc w:val="center"/>
            </w:pPr>
            <w:r>
              <w:rPr>
                <w:rFonts w:hint="eastAsia"/>
              </w:rPr>
              <w:t>蓝</w:t>
            </w:r>
          </w:p>
        </w:tc>
        <w:tc>
          <w:tcPr>
            <w:tcW w:w="640" w:type="pct"/>
            <w:vAlign w:val="center"/>
          </w:tcPr>
          <w:p w14:paraId="281150D7">
            <w:pPr>
              <w:pStyle w:val="12"/>
              <w:jc w:val="center"/>
            </w:pPr>
            <w:r>
              <w:rPr>
                <w:rFonts w:hint="eastAsia"/>
              </w:rPr>
              <w:t>588</w:t>
            </w:r>
          </w:p>
        </w:tc>
        <w:tc>
          <w:tcPr>
            <w:tcW w:w="739" w:type="pct"/>
            <w:vAlign w:val="center"/>
          </w:tcPr>
          <w:p w14:paraId="07A209D2">
            <w:pPr>
              <w:pStyle w:val="12"/>
              <w:jc w:val="center"/>
            </w:pPr>
            <w:r>
              <w:rPr>
                <w:rFonts w:hint="eastAsia"/>
              </w:rPr>
              <w:t>0.70</w:t>
            </w:r>
          </w:p>
        </w:tc>
        <w:tc>
          <w:tcPr>
            <w:tcW w:w="471" w:type="pct"/>
            <w:vAlign w:val="center"/>
          </w:tcPr>
          <w:p w14:paraId="235412EB">
            <w:pPr>
              <w:pStyle w:val="12"/>
              <w:jc w:val="center"/>
            </w:pPr>
            <w:r>
              <w:rPr>
                <w:rFonts w:hint="eastAsia"/>
              </w:rPr>
              <w:t>60</w:t>
            </w:r>
          </w:p>
        </w:tc>
        <w:tc>
          <w:tcPr>
            <w:tcW w:w="640" w:type="pct"/>
            <w:vAlign w:val="center"/>
          </w:tcPr>
          <w:p w14:paraId="496D7AC4">
            <w:pPr>
              <w:pStyle w:val="12"/>
              <w:jc w:val="center"/>
            </w:pPr>
            <w:r>
              <w:rPr>
                <w:rFonts w:hint="eastAsia"/>
              </w:rPr>
              <w:t>苏</w:t>
            </w:r>
          </w:p>
        </w:tc>
        <w:tc>
          <w:tcPr>
            <w:tcW w:w="640" w:type="pct"/>
            <w:vAlign w:val="center"/>
          </w:tcPr>
          <w:p w14:paraId="3B14DBF4">
            <w:pPr>
              <w:pStyle w:val="12"/>
              <w:jc w:val="center"/>
            </w:pPr>
            <w:r>
              <w:rPr>
                <w:rFonts w:hint="eastAsia"/>
              </w:rPr>
              <w:t>130</w:t>
            </w:r>
          </w:p>
        </w:tc>
        <w:tc>
          <w:tcPr>
            <w:tcW w:w="748" w:type="pct"/>
            <w:vAlign w:val="center"/>
          </w:tcPr>
          <w:p w14:paraId="0BF9160E">
            <w:pPr>
              <w:pStyle w:val="12"/>
              <w:jc w:val="center"/>
            </w:pPr>
            <w:r>
              <w:rPr>
                <w:rFonts w:hint="eastAsia"/>
              </w:rPr>
              <w:t>0.16</w:t>
            </w:r>
          </w:p>
        </w:tc>
      </w:tr>
      <w:tr w14:paraId="7F3889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42F4AAF4">
            <w:pPr>
              <w:pStyle w:val="12"/>
              <w:jc w:val="center"/>
            </w:pPr>
            <w:r>
              <w:rPr>
                <w:rFonts w:hint="eastAsia"/>
              </w:rPr>
              <w:t>38</w:t>
            </w:r>
          </w:p>
        </w:tc>
        <w:tc>
          <w:tcPr>
            <w:tcW w:w="640" w:type="pct"/>
            <w:vAlign w:val="center"/>
          </w:tcPr>
          <w:p w14:paraId="403557D2">
            <w:pPr>
              <w:pStyle w:val="12"/>
              <w:jc w:val="center"/>
            </w:pPr>
            <w:r>
              <w:rPr>
                <w:rFonts w:hint="eastAsia"/>
              </w:rPr>
              <w:t>周</w:t>
            </w:r>
          </w:p>
        </w:tc>
        <w:tc>
          <w:tcPr>
            <w:tcW w:w="640" w:type="pct"/>
            <w:vAlign w:val="center"/>
          </w:tcPr>
          <w:p w14:paraId="0F6177B7">
            <w:pPr>
              <w:pStyle w:val="12"/>
              <w:jc w:val="center"/>
            </w:pPr>
            <w:r>
              <w:rPr>
                <w:rFonts w:hint="eastAsia"/>
              </w:rPr>
              <w:t>519</w:t>
            </w:r>
          </w:p>
        </w:tc>
        <w:tc>
          <w:tcPr>
            <w:tcW w:w="739" w:type="pct"/>
            <w:vAlign w:val="center"/>
          </w:tcPr>
          <w:p w14:paraId="6DED4DAD">
            <w:pPr>
              <w:pStyle w:val="12"/>
              <w:jc w:val="center"/>
            </w:pPr>
            <w:r>
              <w:rPr>
                <w:rFonts w:hint="eastAsia"/>
              </w:rPr>
              <w:t>0.62</w:t>
            </w:r>
          </w:p>
        </w:tc>
        <w:tc>
          <w:tcPr>
            <w:tcW w:w="471" w:type="pct"/>
            <w:vAlign w:val="center"/>
          </w:tcPr>
          <w:p w14:paraId="71012120">
            <w:pPr>
              <w:pStyle w:val="12"/>
              <w:jc w:val="center"/>
            </w:pPr>
            <w:r>
              <w:rPr>
                <w:rFonts w:hint="eastAsia"/>
              </w:rPr>
              <w:t>61</w:t>
            </w:r>
          </w:p>
        </w:tc>
        <w:tc>
          <w:tcPr>
            <w:tcW w:w="640" w:type="pct"/>
            <w:vAlign w:val="center"/>
          </w:tcPr>
          <w:p w14:paraId="6E049505">
            <w:pPr>
              <w:pStyle w:val="12"/>
              <w:jc w:val="center"/>
            </w:pPr>
            <w:r>
              <w:rPr>
                <w:rFonts w:hint="eastAsia"/>
              </w:rPr>
              <w:t>华</w:t>
            </w:r>
          </w:p>
        </w:tc>
        <w:tc>
          <w:tcPr>
            <w:tcW w:w="640" w:type="pct"/>
            <w:vAlign w:val="center"/>
          </w:tcPr>
          <w:p w14:paraId="4B698050">
            <w:pPr>
              <w:pStyle w:val="12"/>
              <w:jc w:val="center"/>
            </w:pPr>
            <w:r>
              <w:rPr>
                <w:rFonts w:hint="eastAsia"/>
              </w:rPr>
              <w:t>129</w:t>
            </w:r>
          </w:p>
        </w:tc>
        <w:tc>
          <w:tcPr>
            <w:tcW w:w="748" w:type="pct"/>
            <w:vAlign w:val="center"/>
          </w:tcPr>
          <w:p w14:paraId="593B479A">
            <w:pPr>
              <w:pStyle w:val="12"/>
              <w:jc w:val="center"/>
            </w:pPr>
            <w:r>
              <w:rPr>
                <w:rFonts w:hint="eastAsia"/>
              </w:rPr>
              <w:t>0.16</w:t>
            </w:r>
          </w:p>
        </w:tc>
      </w:tr>
      <w:tr w14:paraId="42B1AF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2A9CF4AE">
            <w:pPr>
              <w:pStyle w:val="12"/>
              <w:jc w:val="center"/>
            </w:pPr>
            <w:r>
              <w:rPr>
                <w:rFonts w:hint="eastAsia"/>
              </w:rPr>
              <w:t>39</w:t>
            </w:r>
          </w:p>
        </w:tc>
        <w:tc>
          <w:tcPr>
            <w:tcW w:w="640" w:type="pct"/>
            <w:vAlign w:val="center"/>
          </w:tcPr>
          <w:p w14:paraId="7DACC1C1">
            <w:pPr>
              <w:pStyle w:val="12"/>
              <w:jc w:val="center"/>
            </w:pPr>
            <w:r>
              <w:rPr>
                <w:rFonts w:hint="eastAsia"/>
              </w:rPr>
              <w:t>姚</w:t>
            </w:r>
          </w:p>
        </w:tc>
        <w:tc>
          <w:tcPr>
            <w:tcW w:w="640" w:type="pct"/>
            <w:vAlign w:val="center"/>
          </w:tcPr>
          <w:p w14:paraId="4CEAF59A">
            <w:pPr>
              <w:pStyle w:val="12"/>
              <w:jc w:val="center"/>
            </w:pPr>
            <w:r>
              <w:rPr>
                <w:rFonts w:hint="eastAsia"/>
              </w:rPr>
              <w:t>413</w:t>
            </w:r>
          </w:p>
        </w:tc>
        <w:tc>
          <w:tcPr>
            <w:tcW w:w="739" w:type="pct"/>
            <w:vAlign w:val="center"/>
          </w:tcPr>
          <w:p w14:paraId="130DF51F">
            <w:pPr>
              <w:pStyle w:val="12"/>
              <w:jc w:val="center"/>
            </w:pPr>
            <w:r>
              <w:rPr>
                <w:rFonts w:hint="eastAsia"/>
              </w:rPr>
              <w:t>0.50</w:t>
            </w:r>
          </w:p>
        </w:tc>
        <w:tc>
          <w:tcPr>
            <w:tcW w:w="471" w:type="pct"/>
            <w:vAlign w:val="center"/>
          </w:tcPr>
          <w:p w14:paraId="152B5884">
            <w:pPr>
              <w:pStyle w:val="12"/>
              <w:jc w:val="center"/>
            </w:pPr>
            <w:r>
              <w:rPr>
                <w:rFonts w:hint="eastAsia"/>
              </w:rPr>
              <w:t>62</w:t>
            </w:r>
          </w:p>
        </w:tc>
        <w:tc>
          <w:tcPr>
            <w:tcW w:w="640" w:type="pct"/>
            <w:vAlign w:val="center"/>
          </w:tcPr>
          <w:p w14:paraId="03489CA2">
            <w:pPr>
              <w:pStyle w:val="12"/>
              <w:jc w:val="center"/>
            </w:pPr>
            <w:r>
              <w:rPr>
                <w:rFonts w:hint="eastAsia"/>
              </w:rPr>
              <w:t>游</w:t>
            </w:r>
          </w:p>
        </w:tc>
        <w:tc>
          <w:tcPr>
            <w:tcW w:w="640" w:type="pct"/>
            <w:vAlign w:val="center"/>
          </w:tcPr>
          <w:p w14:paraId="5DF4F60A">
            <w:pPr>
              <w:pStyle w:val="12"/>
              <w:jc w:val="center"/>
            </w:pPr>
            <w:r>
              <w:rPr>
                <w:rFonts w:hint="eastAsia"/>
              </w:rPr>
              <w:t>124</w:t>
            </w:r>
          </w:p>
        </w:tc>
        <w:tc>
          <w:tcPr>
            <w:tcW w:w="748" w:type="pct"/>
            <w:vAlign w:val="center"/>
          </w:tcPr>
          <w:p w14:paraId="31EBB736">
            <w:pPr>
              <w:pStyle w:val="12"/>
              <w:jc w:val="center"/>
            </w:pPr>
            <w:r>
              <w:rPr>
                <w:rFonts w:hint="eastAsia"/>
              </w:rPr>
              <w:t>0.15</w:t>
            </w:r>
          </w:p>
        </w:tc>
      </w:tr>
      <w:tr w14:paraId="135B04A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07E0A8FA">
            <w:pPr>
              <w:pStyle w:val="12"/>
              <w:jc w:val="center"/>
            </w:pPr>
            <w:r>
              <w:rPr>
                <w:rFonts w:hint="eastAsia"/>
              </w:rPr>
              <w:t>40</w:t>
            </w:r>
          </w:p>
        </w:tc>
        <w:tc>
          <w:tcPr>
            <w:tcW w:w="640" w:type="pct"/>
            <w:vAlign w:val="center"/>
          </w:tcPr>
          <w:p w14:paraId="530FD45B">
            <w:pPr>
              <w:pStyle w:val="12"/>
              <w:jc w:val="center"/>
            </w:pPr>
            <w:r>
              <w:rPr>
                <w:rFonts w:hint="eastAsia"/>
              </w:rPr>
              <w:t>欧阳</w:t>
            </w:r>
          </w:p>
        </w:tc>
        <w:tc>
          <w:tcPr>
            <w:tcW w:w="640" w:type="pct"/>
            <w:vAlign w:val="center"/>
          </w:tcPr>
          <w:p w14:paraId="2ED75A30">
            <w:pPr>
              <w:pStyle w:val="12"/>
              <w:jc w:val="center"/>
            </w:pPr>
            <w:r>
              <w:rPr>
                <w:rFonts w:hint="eastAsia"/>
              </w:rPr>
              <w:t>394</w:t>
            </w:r>
          </w:p>
        </w:tc>
        <w:tc>
          <w:tcPr>
            <w:tcW w:w="739" w:type="pct"/>
            <w:vAlign w:val="center"/>
          </w:tcPr>
          <w:p w14:paraId="365A6677">
            <w:pPr>
              <w:pStyle w:val="12"/>
              <w:jc w:val="center"/>
            </w:pPr>
            <w:r>
              <w:rPr>
                <w:rFonts w:hint="eastAsia"/>
              </w:rPr>
              <w:t>0.47</w:t>
            </w:r>
          </w:p>
        </w:tc>
        <w:tc>
          <w:tcPr>
            <w:tcW w:w="471" w:type="pct"/>
            <w:vAlign w:val="center"/>
          </w:tcPr>
          <w:p w14:paraId="2A2C1324">
            <w:pPr>
              <w:pStyle w:val="12"/>
              <w:jc w:val="center"/>
            </w:pPr>
            <w:r>
              <w:rPr>
                <w:rFonts w:hint="eastAsia"/>
              </w:rPr>
              <w:t>63</w:t>
            </w:r>
          </w:p>
        </w:tc>
        <w:tc>
          <w:tcPr>
            <w:tcW w:w="640" w:type="pct"/>
            <w:vAlign w:val="center"/>
          </w:tcPr>
          <w:p w14:paraId="318B4022">
            <w:pPr>
              <w:pStyle w:val="12"/>
              <w:jc w:val="center"/>
            </w:pPr>
            <w:r>
              <w:rPr>
                <w:rFonts w:hint="eastAsia"/>
              </w:rPr>
              <w:t>曹</w:t>
            </w:r>
          </w:p>
        </w:tc>
        <w:tc>
          <w:tcPr>
            <w:tcW w:w="640" w:type="pct"/>
            <w:vAlign w:val="center"/>
          </w:tcPr>
          <w:p w14:paraId="726FC063">
            <w:pPr>
              <w:pStyle w:val="12"/>
              <w:jc w:val="center"/>
            </w:pPr>
            <w:r>
              <w:rPr>
                <w:rFonts w:hint="eastAsia"/>
              </w:rPr>
              <w:t>121</w:t>
            </w:r>
          </w:p>
        </w:tc>
        <w:tc>
          <w:tcPr>
            <w:tcW w:w="748" w:type="pct"/>
            <w:vAlign w:val="center"/>
          </w:tcPr>
          <w:p w14:paraId="7E9B0ABC">
            <w:pPr>
              <w:pStyle w:val="12"/>
              <w:jc w:val="center"/>
            </w:pPr>
            <w:r>
              <w:rPr>
                <w:rFonts w:hint="eastAsia"/>
              </w:rPr>
              <w:t>0.15</w:t>
            </w:r>
          </w:p>
        </w:tc>
      </w:tr>
      <w:tr w14:paraId="49B375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34B64016">
            <w:pPr>
              <w:pStyle w:val="12"/>
              <w:jc w:val="center"/>
            </w:pPr>
            <w:r>
              <w:rPr>
                <w:rFonts w:hint="eastAsia"/>
              </w:rPr>
              <w:t>41</w:t>
            </w:r>
          </w:p>
        </w:tc>
        <w:tc>
          <w:tcPr>
            <w:tcW w:w="640" w:type="pct"/>
            <w:vAlign w:val="center"/>
          </w:tcPr>
          <w:p w14:paraId="01DBA298">
            <w:pPr>
              <w:pStyle w:val="12"/>
              <w:jc w:val="center"/>
            </w:pPr>
            <w:r>
              <w:rPr>
                <w:rFonts w:hint="eastAsia"/>
              </w:rPr>
              <w:t>饶</w:t>
            </w:r>
          </w:p>
        </w:tc>
        <w:tc>
          <w:tcPr>
            <w:tcW w:w="640" w:type="pct"/>
            <w:vAlign w:val="center"/>
          </w:tcPr>
          <w:p w14:paraId="1BA68954">
            <w:pPr>
              <w:pStyle w:val="12"/>
              <w:jc w:val="center"/>
            </w:pPr>
            <w:r>
              <w:rPr>
                <w:rFonts w:hint="eastAsia"/>
              </w:rPr>
              <w:t>408</w:t>
            </w:r>
          </w:p>
        </w:tc>
        <w:tc>
          <w:tcPr>
            <w:tcW w:w="739" w:type="pct"/>
            <w:vAlign w:val="center"/>
          </w:tcPr>
          <w:p w14:paraId="287DC204">
            <w:pPr>
              <w:pStyle w:val="12"/>
              <w:jc w:val="center"/>
            </w:pPr>
            <w:r>
              <w:rPr>
                <w:rFonts w:hint="eastAsia"/>
              </w:rPr>
              <w:t>0.49</w:t>
            </w:r>
          </w:p>
        </w:tc>
        <w:tc>
          <w:tcPr>
            <w:tcW w:w="471" w:type="pct"/>
            <w:vAlign w:val="center"/>
          </w:tcPr>
          <w:p w14:paraId="0AFCC383">
            <w:pPr>
              <w:pStyle w:val="12"/>
              <w:jc w:val="center"/>
            </w:pPr>
            <w:r>
              <w:rPr>
                <w:rFonts w:hint="eastAsia"/>
              </w:rPr>
              <w:t>64</w:t>
            </w:r>
          </w:p>
        </w:tc>
        <w:tc>
          <w:tcPr>
            <w:tcW w:w="640" w:type="pct"/>
            <w:vAlign w:val="center"/>
          </w:tcPr>
          <w:p w14:paraId="795A24A6">
            <w:pPr>
              <w:pStyle w:val="12"/>
              <w:jc w:val="center"/>
            </w:pPr>
            <w:r>
              <w:rPr>
                <w:rFonts w:hint="eastAsia"/>
              </w:rPr>
              <w:t>魏</w:t>
            </w:r>
          </w:p>
        </w:tc>
        <w:tc>
          <w:tcPr>
            <w:tcW w:w="640" w:type="pct"/>
            <w:vAlign w:val="center"/>
          </w:tcPr>
          <w:p w14:paraId="3A7F2EBE">
            <w:pPr>
              <w:pStyle w:val="12"/>
              <w:jc w:val="center"/>
            </w:pPr>
            <w:r>
              <w:rPr>
                <w:rFonts w:hint="eastAsia"/>
              </w:rPr>
              <w:t>110</w:t>
            </w:r>
          </w:p>
        </w:tc>
        <w:tc>
          <w:tcPr>
            <w:tcW w:w="748" w:type="pct"/>
            <w:vAlign w:val="center"/>
          </w:tcPr>
          <w:p w14:paraId="336B458E">
            <w:pPr>
              <w:pStyle w:val="12"/>
              <w:jc w:val="center"/>
            </w:pPr>
            <w:r>
              <w:rPr>
                <w:rFonts w:hint="eastAsia"/>
              </w:rPr>
              <w:t>0.13</w:t>
            </w:r>
          </w:p>
        </w:tc>
      </w:tr>
      <w:tr w14:paraId="6C23A7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7F283A6D">
            <w:pPr>
              <w:pStyle w:val="12"/>
              <w:jc w:val="center"/>
            </w:pPr>
            <w:r>
              <w:rPr>
                <w:rFonts w:hint="eastAsia"/>
              </w:rPr>
              <w:t>42</w:t>
            </w:r>
          </w:p>
        </w:tc>
        <w:tc>
          <w:tcPr>
            <w:tcW w:w="640" w:type="pct"/>
            <w:vAlign w:val="center"/>
          </w:tcPr>
          <w:p w14:paraId="5E031767">
            <w:pPr>
              <w:pStyle w:val="12"/>
              <w:jc w:val="center"/>
            </w:pPr>
            <w:r>
              <w:rPr>
                <w:rFonts w:hint="eastAsia"/>
              </w:rPr>
              <w:t>冯</w:t>
            </w:r>
          </w:p>
        </w:tc>
        <w:tc>
          <w:tcPr>
            <w:tcW w:w="640" w:type="pct"/>
            <w:vAlign w:val="center"/>
          </w:tcPr>
          <w:p w14:paraId="156C0786">
            <w:pPr>
              <w:pStyle w:val="12"/>
              <w:jc w:val="center"/>
            </w:pPr>
            <w:r>
              <w:rPr>
                <w:rFonts w:hint="eastAsia"/>
              </w:rPr>
              <w:t>397</w:t>
            </w:r>
          </w:p>
        </w:tc>
        <w:tc>
          <w:tcPr>
            <w:tcW w:w="739" w:type="pct"/>
            <w:vAlign w:val="center"/>
          </w:tcPr>
          <w:p w14:paraId="49AB50FB">
            <w:pPr>
              <w:pStyle w:val="12"/>
              <w:jc w:val="center"/>
            </w:pPr>
            <w:r>
              <w:rPr>
                <w:rFonts w:hint="eastAsia"/>
              </w:rPr>
              <w:t>0.48</w:t>
            </w:r>
          </w:p>
        </w:tc>
        <w:tc>
          <w:tcPr>
            <w:tcW w:w="471" w:type="pct"/>
            <w:vAlign w:val="center"/>
          </w:tcPr>
          <w:p w14:paraId="0B88FD7D">
            <w:pPr>
              <w:pStyle w:val="12"/>
              <w:jc w:val="center"/>
            </w:pPr>
            <w:r>
              <w:rPr>
                <w:rFonts w:hint="eastAsia"/>
              </w:rPr>
              <w:t>65</w:t>
            </w:r>
          </w:p>
        </w:tc>
        <w:tc>
          <w:tcPr>
            <w:tcW w:w="640" w:type="pct"/>
            <w:vAlign w:val="center"/>
          </w:tcPr>
          <w:p w14:paraId="7C58DEBF">
            <w:pPr>
              <w:pStyle w:val="12"/>
              <w:jc w:val="center"/>
            </w:pPr>
            <w:r>
              <w:rPr>
                <w:rFonts w:hint="eastAsia"/>
              </w:rPr>
              <w:t>傅</w:t>
            </w:r>
          </w:p>
        </w:tc>
        <w:tc>
          <w:tcPr>
            <w:tcW w:w="640" w:type="pct"/>
            <w:vAlign w:val="center"/>
          </w:tcPr>
          <w:p w14:paraId="20B45189">
            <w:pPr>
              <w:pStyle w:val="12"/>
              <w:jc w:val="center"/>
            </w:pPr>
            <w:r>
              <w:rPr>
                <w:rFonts w:hint="eastAsia"/>
              </w:rPr>
              <w:t>108</w:t>
            </w:r>
          </w:p>
        </w:tc>
        <w:tc>
          <w:tcPr>
            <w:tcW w:w="748" w:type="pct"/>
            <w:vAlign w:val="center"/>
          </w:tcPr>
          <w:p w14:paraId="704113AE">
            <w:pPr>
              <w:pStyle w:val="12"/>
              <w:jc w:val="center"/>
            </w:pPr>
            <w:r>
              <w:rPr>
                <w:rFonts w:hint="eastAsia"/>
              </w:rPr>
              <w:t>0.13</w:t>
            </w:r>
          </w:p>
        </w:tc>
      </w:tr>
      <w:tr w14:paraId="1E1545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30619BA4">
            <w:pPr>
              <w:pStyle w:val="12"/>
              <w:jc w:val="center"/>
            </w:pPr>
            <w:r>
              <w:rPr>
                <w:rFonts w:hint="eastAsia"/>
              </w:rPr>
              <w:t>43</w:t>
            </w:r>
          </w:p>
        </w:tc>
        <w:tc>
          <w:tcPr>
            <w:tcW w:w="640" w:type="pct"/>
            <w:vAlign w:val="center"/>
          </w:tcPr>
          <w:p w14:paraId="698B08E7">
            <w:pPr>
              <w:pStyle w:val="12"/>
              <w:jc w:val="center"/>
            </w:pPr>
            <w:r>
              <w:rPr>
                <w:rFonts w:hint="eastAsia"/>
              </w:rPr>
              <w:t>郑</w:t>
            </w:r>
          </w:p>
        </w:tc>
        <w:tc>
          <w:tcPr>
            <w:tcW w:w="640" w:type="pct"/>
            <w:vAlign w:val="center"/>
          </w:tcPr>
          <w:p w14:paraId="5B083B59">
            <w:pPr>
              <w:pStyle w:val="12"/>
              <w:jc w:val="center"/>
            </w:pPr>
            <w:r>
              <w:rPr>
                <w:rFonts w:hint="eastAsia"/>
              </w:rPr>
              <w:t>378</w:t>
            </w:r>
          </w:p>
        </w:tc>
        <w:tc>
          <w:tcPr>
            <w:tcW w:w="739" w:type="pct"/>
            <w:vAlign w:val="center"/>
          </w:tcPr>
          <w:p w14:paraId="2D147761">
            <w:pPr>
              <w:pStyle w:val="12"/>
              <w:jc w:val="center"/>
            </w:pPr>
            <w:r>
              <w:rPr>
                <w:rFonts w:hint="eastAsia"/>
              </w:rPr>
              <w:t>0.45</w:t>
            </w:r>
          </w:p>
        </w:tc>
        <w:tc>
          <w:tcPr>
            <w:tcW w:w="471" w:type="pct"/>
            <w:vAlign w:val="center"/>
          </w:tcPr>
          <w:p w14:paraId="372C9507">
            <w:pPr>
              <w:pStyle w:val="12"/>
              <w:jc w:val="center"/>
            </w:pPr>
            <w:r>
              <w:rPr>
                <w:rFonts w:hint="eastAsia"/>
              </w:rPr>
              <w:t>66</w:t>
            </w:r>
          </w:p>
        </w:tc>
        <w:tc>
          <w:tcPr>
            <w:tcW w:w="640" w:type="pct"/>
            <w:vAlign w:val="center"/>
          </w:tcPr>
          <w:p w14:paraId="03020BDE">
            <w:pPr>
              <w:pStyle w:val="12"/>
              <w:jc w:val="center"/>
            </w:pPr>
            <w:r>
              <w:rPr>
                <w:rFonts w:hint="eastAsia"/>
              </w:rPr>
              <w:t>童</w:t>
            </w:r>
          </w:p>
        </w:tc>
        <w:tc>
          <w:tcPr>
            <w:tcW w:w="640" w:type="pct"/>
            <w:vAlign w:val="center"/>
          </w:tcPr>
          <w:p w14:paraId="1F05A1F7">
            <w:pPr>
              <w:pStyle w:val="12"/>
              <w:jc w:val="center"/>
            </w:pPr>
            <w:r>
              <w:rPr>
                <w:rFonts w:hint="eastAsia"/>
              </w:rPr>
              <w:t>104</w:t>
            </w:r>
          </w:p>
        </w:tc>
        <w:tc>
          <w:tcPr>
            <w:tcW w:w="748" w:type="pct"/>
            <w:vAlign w:val="center"/>
          </w:tcPr>
          <w:p w14:paraId="5428CC99">
            <w:pPr>
              <w:pStyle w:val="12"/>
              <w:jc w:val="center"/>
            </w:pPr>
            <w:r>
              <w:rPr>
                <w:rFonts w:hint="eastAsia"/>
              </w:rPr>
              <w:t>0.13</w:t>
            </w:r>
          </w:p>
        </w:tc>
      </w:tr>
      <w:tr w14:paraId="4866B6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1E7105D2">
            <w:pPr>
              <w:pStyle w:val="12"/>
              <w:jc w:val="center"/>
            </w:pPr>
            <w:r>
              <w:rPr>
                <w:rFonts w:hint="eastAsia"/>
              </w:rPr>
              <w:t>44</w:t>
            </w:r>
          </w:p>
        </w:tc>
        <w:tc>
          <w:tcPr>
            <w:tcW w:w="640" w:type="pct"/>
            <w:vAlign w:val="center"/>
          </w:tcPr>
          <w:p w14:paraId="71DB5F6D">
            <w:pPr>
              <w:pStyle w:val="12"/>
              <w:jc w:val="center"/>
            </w:pPr>
            <w:r>
              <w:rPr>
                <w:rFonts w:hint="eastAsia"/>
              </w:rPr>
              <w:t>江</w:t>
            </w:r>
          </w:p>
        </w:tc>
        <w:tc>
          <w:tcPr>
            <w:tcW w:w="640" w:type="pct"/>
            <w:vAlign w:val="center"/>
          </w:tcPr>
          <w:p w14:paraId="30B83314">
            <w:pPr>
              <w:pStyle w:val="12"/>
              <w:jc w:val="center"/>
            </w:pPr>
            <w:r>
              <w:rPr>
                <w:rFonts w:hint="eastAsia"/>
              </w:rPr>
              <w:t>370</w:t>
            </w:r>
          </w:p>
        </w:tc>
        <w:tc>
          <w:tcPr>
            <w:tcW w:w="739" w:type="pct"/>
            <w:vAlign w:val="center"/>
          </w:tcPr>
          <w:p w14:paraId="68B9241F">
            <w:pPr>
              <w:pStyle w:val="12"/>
              <w:jc w:val="center"/>
            </w:pPr>
            <w:r>
              <w:rPr>
                <w:rFonts w:hint="eastAsia"/>
              </w:rPr>
              <w:t>0.44</w:t>
            </w:r>
          </w:p>
        </w:tc>
        <w:tc>
          <w:tcPr>
            <w:tcW w:w="471" w:type="pct"/>
            <w:vAlign w:val="center"/>
          </w:tcPr>
          <w:p w14:paraId="01961904">
            <w:pPr>
              <w:pStyle w:val="12"/>
              <w:jc w:val="center"/>
            </w:pPr>
            <w:r>
              <w:rPr>
                <w:rFonts w:hint="eastAsia"/>
              </w:rPr>
              <w:t>67</w:t>
            </w:r>
          </w:p>
        </w:tc>
        <w:tc>
          <w:tcPr>
            <w:tcW w:w="640" w:type="pct"/>
            <w:vAlign w:val="center"/>
          </w:tcPr>
          <w:p w14:paraId="6E1E8FC4">
            <w:pPr>
              <w:pStyle w:val="12"/>
              <w:jc w:val="center"/>
            </w:pPr>
            <w:r>
              <w:rPr>
                <w:rFonts w:hint="eastAsia"/>
              </w:rPr>
              <w:t>汤</w:t>
            </w:r>
          </w:p>
        </w:tc>
        <w:tc>
          <w:tcPr>
            <w:tcW w:w="640" w:type="pct"/>
            <w:vAlign w:val="center"/>
          </w:tcPr>
          <w:p w14:paraId="20AC014C">
            <w:pPr>
              <w:pStyle w:val="12"/>
              <w:jc w:val="center"/>
            </w:pPr>
            <w:r>
              <w:rPr>
                <w:rFonts w:hint="eastAsia"/>
              </w:rPr>
              <w:t>101</w:t>
            </w:r>
          </w:p>
        </w:tc>
        <w:tc>
          <w:tcPr>
            <w:tcW w:w="748" w:type="pct"/>
            <w:vAlign w:val="center"/>
          </w:tcPr>
          <w:p w14:paraId="4E7D4934">
            <w:pPr>
              <w:pStyle w:val="12"/>
              <w:jc w:val="center"/>
            </w:pPr>
            <w:r>
              <w:rPr>
                <w:rFonts w:hint="eastAsia"/>
              </w:rPr>
              <w:t>0.12</w:t>
            </w:r>
          </w:p>
        </w:tc>
      </w:tr>
      <w:tr w14:paraId="2E54B1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2569CEA1">
            <w:pPr>
              <w:pStyle w:val="12"/>
              <w:jc w:val="center"/>
            </w:pPr>
            <w:r>
              <w:rPr>
                <w:rFonts w:hint="eastAsia"/>
              </w:rPr>
              <w:t>45</w:t>
            </w:r>
          </w:p>
        </w:tc>
        <w:tc>
          <w:tcPr>
            <w:tcW w:w="640" w:type="pct"/>
            <w:vAlign w:val="center"/>
          </w:tcPr>
          <w:p w14:paraId="0A09B1C3">
            <w:pPr>
              <w:pStyle w:val="12"/>
              <w:jc w:val="center"/>
            </w:pPr>
            <w:r>
              <w:rPr>
                <w:rFonts w:hint="eastAsia"/>
              </w:rPr>
              <w:t>梁</w:t>
            </w:r>
          </w:p>
        </w:tc>
        <w:tc>
          <w:tcPr>
            <w:tcW w:w="640" w:type="pct"/>
            <w:vAlign w:val="center"/>
          </w:tcPr>
          <w:p w14:paraId="1995A151">
            <w:pPr>
              <w:pStyle w:val="12"/>
              <w:jc w:val="center"/>
            </w:pPr>
            <w:r>
              <w:rPr>
                <w:rFonts w:hint="eastAsia"/>
              </w:rPr>
              <w:t>369</w:t>
            </w:r>
          </w:p>
        </w:tc>
        <w:tc>
          <w:tcPr>
            <w:tcW w:w="739" w:type="pct"/>
            <w:vAlign w:val="center"/>
          </w:tcPr>
          <w:p w14:paraId="1FD91103">
            <w:pPr>
              <w:pStyle w:val="12"/>
              <w:jc w:val="center"/>
            </w:pPr>
            <w:r>
              <w:rPr>
                <w:rFonts w:hint="eastAsia"/>
              </w:rPr>
              <w:t>0.44</w:t>
            </w:r>
          </w:p>
        </w:tc>
        <w:tc>
          <w:tcPr>
            <w:tcW w:w="471" w:type="pct"/>
            <w:vAlign w:val="center"/>
          </w:tcPr>
          <w:p w14:paraId="0B56BA76">
            <w:pPr>
              <w:pStyle w:val="12"/>
              <w:jc w:val="center"/>
            </w:pPr>
            <w:r>
              <w:rPr>
                <w:rFonts w:hint="eastAsia"/>
              </w:rPr>
              <w:t>68</w:t>
            </w:r>
          </w:p>
        </w:tc>
        <w:tc>
          <w:tcPr>
            <w:tcW w:w="640" w:type="pct"/>
            <w:vAlign w:val="center"/>
          </w:tcPr>
          <w:p w14:paraId="3DE99689">
            <w:pPr>
              <w:pStyle w:val="12"/>
              <w:jc w:val="center"/>
            </w:pPr>
            <w:r>
              <w:rPr>
                <w:rFonts w:hint="eastAsia"/>
              </w:rPr>
              <w:t>阳</w:t>
            </w:r>
          </w:p>
        </w:tc>
        <w:tc>
          <w:tcPr>
            <w:tcW w:w="640" w:type="pct"/>
            <w:vAlign w:val="center"/>
          </w:tcPr>
          <w:p w14:paraId="1CE29DCE">
            <w:pPr>
              <w:pStyle w:val="12"/>
              <w:jc w:val="center"/>
            </w:pPr>
            <w:r>
              <w:rPr>
                <w:rFonts w:hint="eastAsia"/>
              </w:rPr>
              <w:t>100</w:t>
            </w:r>
          </w:p>
        </w:tc>
        <w:tc>
          <w:tcPr>
            <w:tcW w:w="748" w:type="pct"/>
            <w:vAlign w:val="center"/>
          </w:tcPr>
          <w:p w14:paraId="75FCB50B">
            <w:pPr>
              <w:pStyle w:val="12"/>
              <w:jc w:val="center"/>
            </w:pPr>
            <w:r>
              <w:rPr>
                <w:rFonts w:hint="eastAsia"/>
              </w:rPr>
              <w:t>0.12</w:t>
            </w:r>
          </w:p>
        </w:tc>
      </w:tr>
      <w:tr w14:paraId="532D6C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1FCA2ABD">
            <w:pPr>
              <w:pStyle w:val="12"/>
              <w:jc w:val="center"/>
            </w:pPr>
            <w:r>
              <w:rPr>
                <w:rFonts w:hint="eastAsia"/>
              </w:rPr>
              <w:t>46</w:t>
            </w:r>
          </w:p>
        </w:tc>
        <w:tc>
          <w:tcPr>
            <w:tcW w:w="640" w:type="pct"/>
            <w:vAlign w:val="center"/>
          </w:tcPr>
          <w:p w14:paraId="14FC2A64">
            <w:pPr>
              <w:pStyle w:val="12"/>
              <w:jc w:val="center"/>
            </w:pPr>
            <w:r>
              <w:rPr>
                <w:rFonts w:hint="eastAsia"/>
              </w:rPr>
              <w:t>孔</w:t>
            </w:r>
          </w:p>
        </w:tc>
        <w:tc>
          <w:tcPr>
            <w:tcW w:w="640" w:type="pct"/>
            <w:vAlign w:val="center"/>
          </w:tcPr>
          <w:p w14:paraId="3DE14ABE">
            <w:pPr>
              <w:pStyle w:val="12"/>
              <w:jc w:val="center"/>
            </w:pPr>
            <w:r>
              <w:rPr>
                <w:rFonts w:hint="eastAsia"/>
              </w:rPr>
              <w:t>343</w:t>
            </w:r>
          </w:p>
        </w:tc>
        <w:tc>
          <w:tcPr>
            <w:tcW w:w="739" w:type="pct"/>
            <w:vAlign w:val="center"/>
          </w:tcPr>
          <w:p w14:paraId="39A2F2E7">
            <w:pPr>
              <w:pStyle w:val="12"/>
              <w:jc w:val="center"/>
            </w:pPr>
            <w:r>
              <w:rPr>
                <w:rFonts w:hint="eastAsia"/>
              </w:rPr>
              <w:t>0.41</w:t>
            </w:r>
          </w:p>
        </w:tc>
        <w:tc>
          <w:tcPr>
            <w:tcW w:w="471" w:type="pct"/>
            <w:vAlign w:val="center"/>
          </w:tcPr>
          <w:p w14:paraId="1F3D9D8E">
            <w:pPr>
              <w:pStyle w:val="12"/>
              <w:jc w:val="center"/>
            </w:pPr>
            <w:r>
              <w:rPr>
                <w:rFonts w:hint="eastAsia"/>
              </w:rPr>
              <w:t>69</w:t>
            </w:r>
          </w:p>
        </w:tc>
        <w:tc>
          <w:tcPr>
            <w:tcW w:w="640" w:type="pct"/>
            <w:vAlign w:val="center"/>
          </w:tcPr>
          <w:p w14:paraId="23025280">
            <w:pPr>
              <w:pStyle w:val="12"/>
              <w:jc w:val="center"/>
            </w:pPr>
            <w:r>
              <w:rPr>
                <w:rFonts w:hint="eastAsia"/>
              </w:rPr>
              <w:t>尹</w:t>
            </w:r>
          </w:p>
        </w:tc>
        <w:tc>
          <w:tcPr>
            <w:tcW w:w="640" w:type="pct"/>
            <w:vAlign w:val="center"/>
          </w:tcPr>
          <w:p w14:paraId="3EB47B99">
            <w:pPr>
              <w:pStyle w:val="12"/>
              <w:jc w:val="center"/>
            </w:pPr>
            <w:r>
              <w:rPr>
                <w:rFonts w:hint="eastAsia"/>
              </w:rPr>
              <w:t>93</w:t>
            </w:r>
          </w:p>
        </w:tc>
        <w:tc>
          <w:tcPr>
            <w:tcW w:w="748" w:type="pct"/>
            <w:vAlign w:val="center"/>
          </w:tcPr>
          <w:p w14:paraId="0F08E371">
            <w:pPr>
              <w:pStyle w:val="12"/>
              <w:jc w:val="center"/>
            </w:pPr>
            <w:r>
              <w:rPr>
                <w:rFonts w:hint="eastAsia"/>
              </w:rPr>
              <w:t>0.11</w:t>
            </w:r>
          </w:p>
        </w:tc>
      </w:tr>
      <w:tr w14:paraId="0B23DD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0B7018AA">
            <w:pPr>
              <w:pStyle w:val="12"/>
              <w:jc w:val="center"/>
            </w:pPr>
            <w:r>
              <w:rPr>
                <w:rFonts w:hint="eastAsia"/>
              </w:rPr>
              <w:t>47</w:t>
            </w:r>
          </w:p>
        </w:tc>
        <w:tc>
          <w:tcPr>
            <w:tcW w:w="640" w:type="pct"/>
            <w:vAlign w:val="center"/>
          </w:tcPr>
          <w:p w14:paraId="49C07D92">
            <w:pPr>
              <w:pStyle w:val="12"/>
              <w:jc w:val="center"/>
            </w:pPr>
            <w:r>
              <w:rPr>
                <w:rFonts w:hint="eastAsia"/>
              </w:rPr>
              <w:t>蔡</w:t>
            </w:r>
          </w:p>
        </w:tc>
        <w:tc>
          <w:tcPr>
            <w:tcW w:w="640" w:type="pct"/>
            <w:vAlign w:val="center"/>
          </w:tcPr>
          <w:p w14:paraId="20A84DF5">
            <w:pPr>
              <w:pStyle w:val="12"/>
              <w:jc w:val="center"/>
            </w:pPr>
            <w:r>
              <w:rPr>
                <w:rFonts w:hint="eastAsia"/>
              </w:rPr>
              <w:t>327</w:t>
            </w:r>
          </w:p>
        </w:tc>
        <w:tc>
          <w:tcPr>
            <w:tcW w:w="739" w:type="pct"/>
            <w:vAlign w:val="center"/>
          </w:tcPr>
          <w:p w14:paraId="6009B19E">
            <w:pPr>
              <w:pStyle w:val="12"/>
              <w:jc w:val="center"/>
            </w:pPr>
            <w:r>
              <w:rPr>
                <w:rFonts w:hint="eastAsia"/>
              </w:rPr>
              <w:t>0.39</w:t>
            </w:r>
          </w:p>
        </w:tc>
        <w:tc>
          <w:tcPr>
            <w:tcW w:w="471" w:type="pct"/>
            <w:vAlign w:val="center"/>
          </w:tcPr>
          <w:p w14:paraId="656F4760">
            <w:pPr>
              <w:pStyle w:val="12"/>
              <w:jc w:val="center"/>
            </w:pPr>
            <w:r>
              <w:rPr>
                <w:rFonts w:hint="eastAsia"/>
              </w:rPr>
              <w:t>70</w:t>
            </w:r>
          </w:p>
        </w:tc>
        <w:tc>
          <w:tcPr>
            <w:tcW w:w="640" w:type="pct"/>
            <w:vAlign w:val="center"/>
          </w:tcPr>
          <w:p w14:paraId="7D783A95">
            <w:pPr>
              <w:pStyle w:val="12"/>
              <w:jc w:val="center"/>
            </w:pPr>
            <w:r>
              <w:rPr>
                <w:rFonts w:hint="eastAsia"/>
              </w:rPr>
              <w:t>田</w:t>
            </w:r>
          </w:p>
        </w:tc>
        <w:tc>
          <w:tcPr>
            <w:tcW w:w="640" w:type="pct"/>
            <w:vAlign w:val="center"/>
          </w:tcPr>
          <w:p w14:paraId="764E96A9">
            <w:pPr>
              <w:pStyle w:val="12"/>
              <w:jc w:val="center"/>
            </w:pPr>
            <w:r>
              <w:rPr>
                <w:rFonts w:hint="eastAsia"/>
              </w:rPr>
              <w:t>91</w:t>
            </w:r>
          </w:p>
        </w:tc>
        <w:tc>
          <w:tcPr>
            <w:tcW w:w="748" w:type="pct"/>
            <w:vAlign w:val="center"/>
          </w:tcPr>
          <w:p w14:paraId="7F386EC0">
            <w:pPr>
              <w:pStyle w:val="12"/>
              <w:jc w:val="center"/>
            </w:pPr>
            <w:r>
              <w:rPr>
                <w:rFonts w:hint="eastAsia"/>
              </w:rPr>
              <w:t>0.11</w:t>
            </w:r>
          </w:p>
        </w:tc>
      </w:tr>
      <w:tr w14:paraId="7DDBF6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099C91B7">
            <w:pPr>
              <w:pStyle w:val="12"/>
              <w:jc w:val="center"/>
            </w:pPr>
            <w:r>
              <w:rPr>
                <w:rFonts w:hint="eastAsia"/>
              </w:rPr>
              <w:t>48</w:t>
            </w:r>
          </w:p>
        </w:tc>
        <w:tc>
          <w:tcPr>
            <w:tcW w:w="640" w:type="pct"/>
            <w:vAlign w:val="center"/>
          </w:tcPr>
          <w:p w14:paraId="6ADAD3BB">
            <w:pPr>
              <w:pStyle w:val="12"/>
              <w:jc w:val="center"/>
            </w:pPr>
            <w:r>
              <w:rPr>
                <w:rFonts w:hint="eastAsia"/>
              </w:rPr>
              <w:t>凌</w:t>
            </w:r>
          </w:p>
        </w:tc>
        <w:tc>
          <w:tcPr>
            <w:tcW w:w="640" w:type="pct"/>
            <w:vAlign w:val="center"/>
          </w:tcPr>
          <w:p w14:paraId="5454FF96">
            <w:pPr>
              <w:pStyle w:val="12"/>
              <w:jc w:val="center"/>
            </w:pPr>
            <w:r>
              <w:rPr>
                <w:rFonts w:hint="eastAsia"/>
              </w:rPr>
              <w:t>297</w:t>
            </w:r>
          </w:p>
        </w:tc>
        <w:tc>
          <w:tcPr>
            <w:tcW w:w="739" w:type="pct"/>
            <w:vAlign w:val="center"/>
          </w:tcPr>
          <w:p w14:paraId="6E4192EA">
            <w:pPr>
              <w:pStyle w:val="12"/>
              <w:jc w:val="center"/>
            </w:pPr>
            <w:r>
              <w:rPr>
                <w:rFonts w:hint="eastAsia"/>
              </w:rPr>
              <w:t>0.36</w:t>
            </w:r>
          </w:p>
        </w:tc>
        <w:tc>
          <w:tcPr>
            <w:tcW w:w="471" w:type="pct"/>
            <w:vAlign w:val="center"/>
          </w:tcPr>
          <w:p w14:paraId="53339FDA">
            <w:pPr>
              <w:pStyle w:val="12"/>
              <w:jc w:val="center"/>
            </w:pPr>
            <w:r>
              <w:rPr>
                <w:rFonts w:hint="eastAsia"/>
              </w:rPr>
              <w:t>71</w:t>
            </w:r>
          </w:p>
        </w:tc>
        <w:tc>
          <w:tcPr>
            <w:tcW w:w="640" w:type="pct"/>
            <w:vAlign w:val="center"/>
          </w:tcPr>
          <w:p w14:paraId="16A1657B">
            <w:pPr>
              <w:pStyle w:val="12"/>
              <w:jc w:val="center"/>
            </w:pPr>
            <w:r>
              <w:rPr>
                <w:rFonts w:hint="eastAsia"/>
              </w:rPr>
              <w:t>利</w:t>
            </w:r>
          </w:p>
        </w:tc>
        <w:tc>
          <w:tcPr>
            <w:tcW w:w="640" w:type="pct"/>
            <w:vAlign w:val="center"/>
          </w:tcPr>
          <w:p w14:paraId="35579BB5">
            <w:pPr>
              <w:pStyle w:val="12"/>
              <w:jc w:val="center"/>
            </w:pPr>
            <w:r>
              <w:rPr>
                <w:rFonts w:hint="eastAsia"/>
              </w:rPr>
              <w:t>89</w:t>
            </w:r>
          </w:p>
        </w:tc>
        <w:tc>
          <w:tcPr>
            <w:tcW w:w="748" w:type="pct"/>
            <w:vAlign w:val="center"/>
          </w:tcPr>
          <w:p w14:paraId="0DF5FA8E">
            <w:pPr>
              <w:pStyle w:val="12"/>
              <w:jc w:val="center"/>
            </w:pPr>
            <w:r>
              <w:rPr>
                <w:rFonts w:hint="eastAsia"/>
              </w:rPr>
              <w:t>0.11</w:t>
            </w:r>
          </w:p>
        </w:tc>
      </w:tr>
      <w:tr w14:paraId="4C2C04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2FB28A75">
            <w:pPr>
              <w:pStyle w:val="12"/>
              <w:jc w:val="center"/>
            </w:pPr>
            <w:r>
              <w:rPr>
                <w:rFonts w:hint="eastAsia"/>
              </w:rPr>
              <w:t>49</w:t>
            </w:r>
          </w:p>
        </w:tc>
        <w:tc>
          <w:tcPr>
            <w:tcW w:w="640" w:type="pct"/>
            <w:vAlign w:val="center"/>
          </w:tcPr>
          <w:p w14:paraId="47D967F8">
            <w:pPr>
              <w:pStyle w:val="12"/>
              <w:jc w:val="center"/>
            </w:pPr>
            <w:r>
              <w:rPr>
                <w:rFonts w:hint="eastAsia"/>
              </w:rPr>
              <w:t>丁</w:t>
            </w:r>
          </w:p>
        </w:tc>
        <w:tc>
          <w:tcPr>
            <w:tcW w:w="640" w:type="pct"/>
            <w:vAlign w:val="center"/>
          </w:tcPr>
          <w:p w14:paraId="70D42498">
            <w:pPr>
              <w:pStyle w:val="12"/>
              <w:jc w:val="center"/>
            </w:pPr>
            <w:r>
              <w:rPr>
                <w:rFonts w:hint="eastAsia"/>
              </w:rPr>
              <w:t>289</w:t>
            </w:r>
          </w:p>
        </w:tc>
        <w:tc>
          <w:tcPr>
            <w:tcW w:w="739" w:type="pct"/>
            <w:vAlign w:val="center"/>
          </w:tcPr>
          <w:p w14:paraId="12966241">
            <w:pPr>
              <w:pStyle w:val="12"/>
              <w:jc w:val="center"/>
            </w:pPr>
            <w:r>
              <w:rPr>
                <w:rFonts w:hint="eastAsia"/>
              </w:rPr>
              <w:t>0.35</w:t>
            </w:r>
          </w:p>
        </w:tc>
        <w:tc>
          <w:tcPr>
            <w:tcW w:w="471" w:type="pct"/>
            <w:vAlign w:val="center"/>
          </w:tcPr>
          <w:p w14:paraId="53E619AB">
            <w:pPr>
              <w:pStyle w:val="12"/>
              <w:jc w:val="center"/>
            </w:pPr>
            <w:r>
              <w:rPr>
                <w:rFonts w:hint="eastAsia"/>
              </w:rPr>
              <w:t>72</w:t>
            </w:r>
          </w:p>
        </w:tc>
        <w:tc>
          <w:tcPr>
            <w:tcW w:w="640" w:type="pct"/>
            <w:vAlign w:val="center"/>
          </w:tcPr>
          <w:p w14:paraId="7AF5BB13">
            <w:pPr>
              <w:pStyle w:val="12"/>
              <w:jc w:val="center"/>
            </w:pPr>
            <w:r>
              <w:rPr>
                <w:rFonts w:hint="eastAsia"/>
              </w:rPr>
              <w:t>范</w:t>
            </w:r>
          </w:p>
        </w:tc>
        <w:tc>
          <w:tcPr>
            <w:tcW w:w="640" w:type="pct"/>
            <w:vAlign w:val="center"/>
          </w:tcPr>
          <w:p w14:paraId="2266E70F">
            <w:pPr>
              <w:pStyle w:val="12"/>
              <w:jc w:val="center"/>
            </w:pPr>
            <w:r>
              <w:rPr>
                <w:rFonts w:hint="eastAsia"/>
              </w:rPr>
              <w:t>74</w:t>
            </w:r>
          </w:p>
        </w:tc>
        <w:tc>
          <w:tcPr>
            <w:tcW w:w="748" w:type="pct"/>
            <w:vAlign w:val="center"/>
          </w:tcPr>
          <w:p w14:paraId="3ADD5946">
            <w:pPr>
              <w:pStyle w:val="12"/>
              <w:jc w:val="center"/>
            </w:pPr>
            <w:r>
              <w:rPr>
                <w:rFonts w:hint="eastAsia"/>
              </w:rPr>
              <w:t>0.09</w:t>
            </w:r>
          </w:p>
        </w:tc>
      </w:tr>
      <w:tr w14:paraId="2D4B53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686AA5C1">
            <w:pPr>
              <w:pStyle w:val="12"/>
              <w:jc w:val="center"/>
            </w:pPr>
            <w:r>
              <w:rPr>
                <w:rFonts w:hint="eastAsia"/>
              </w:rPr>
              <w:t>50</w:t>
            </w:r>
          </w:p>
        </w:tc>
        <w:tc>
          <w:tcPr>
            <w:tcW w:w="640" w:type="pct"/>
            <w:vAlign w:val="center"/>
          </w:tcPr>
          <w:p w14:paraId="349273CA">
            <w:pPr>
              <w:pStyle w:val="12"/>
              <w:jc w:val="center"/>
            </w:pPr>
            <w:r>
              <w:rPr>
                <w:rFonts w:hint="eastAsia"/>
              </w:rPr>
              <w:t>高</w:t>
            </w:r>
          </w:p>
        </w:tc>
        <w:tc>
          <w:tcPr>
            <w:tcW w:w="640" w:type="pct"/>
            <w:vAlign w:val="center"/>
          </w:tcPr>
          <w:p w14:paraId="58084BC0">
            <w:pPr>
              <w:pStyle w:val="12"/>
              <w:jc w:val="center"/>
            </w:pPr>
            <w:r>
              <w:rPr>
                <w:rFonts w:hint="eastAsia"/>
              </w:rPr>
              <w:t>247</w:t>
            </w:r>
          </w:p>
        </w:tc>
        <w:tc>
          <w:tcPr>
            <w:tcW w:w="739" w:type="pct"/>
            <w:vAlign w:val="center"/>
          </w:tcPr>
          <w:p w14:paraId="37C92D3D">
            <w:pPr>
              <w:pStyle w:val="12"/>
              <w:jc w:val="center"/>
            </w:pPr>
            <w:r>
              <w:rPr>
                <w:rFonts w:hint="eastAsia"/>
              </w:rPr>
              <w:t>0.30</w:t>
            </w:r>
          </w:p>
        </w:tc>
        <w:tc>
          <w:tcPr>
            <w:tcW w:w="471" w:type="pct"/>
            <w:vAlign w:val="center"/>
          </w:tcPr>
          <w:p w14:paraId="2139614E">
            <w:pPr>
              <w:pStyle w:val="12"/>
              <w:jc w:val="center"/>
            </w:pPr>
            <w:r>
              <w:rPr>
                <w:rFonts w:hint="eastAsia"/>
              </w:rPr>
              <w:t>73</w:t>
            </w:r>
          </w:p>
        </w:tc>
        <w:tc>
          <w:tcPr>
            <w:tcW w:w="640" w:type="pct"/>
            <w:vAlign w:val="center"/>
          </w:tcPr>
          <w:p w14:paraId="4442865A">
            <w:pPr>
              <w:pStyle w:val="12"/>
              <w:jc w:val="center"/>
            </w:pPr>
            <w:r>
              <w:rPr>
                <w:rFonts w:hint="eastAsia"/>
              </w:rPr>
              <w:t>袁</w:t>
            </w:r>
          </w:p>
        </w:tc>
        <w:tc>
          <w:tcPr>
            <w:tcW w:w="640" w:type="pct"/>
            <w:vAlign w:val="center"/>
          </w:tcPr>
          <w:p w14:paraId="62EABC41">
            <w:pPr>
              <w:pStyle w:val="12"/>
              <w:jc w:val="center"/>
            </w:pPr>
            <w:r>
              <w:rPr>
                <w:rFonts w:hint="eastAsia"/>
              </w:rPr>
              <w:t>72</w:t>
            </w:r>
          </w:p>
        </w:tc>
        <w:tc>
          <w:tcPr>
            <w:tcW w:w="748" w:type="pct"/>
            <w:vAlign w:val="center"/>
          </w:tcPr>
          <w:p w14:paraId="2D2F13A9">
            <w:pPr>
              <w:pStyle w:val="12"/>
              <w:jc w:val="center"/>
            </w:pPr>
            <w:r>
              <w:rPr>
                <w:rFonts w:hint="eastAsia"/>
              </w:rPr>
              <w:t>0.09</w:t>
            </w:r>
          </w:p>
        </w:tc>
      </w:tr>
      <w:tr w14:paraId="0056D4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7DE07735">
            <w:pPr>
              <w:pStyle w:val="12"/>
              <w:jc w:val="center"/>
            </w:pPr>
            <w:r>
              <w:rPr>
                <w:rFonts w:hint="eastAsia"/>
              </w:rPr>
              <w:t>51</w:t>
            </w:r>
          </w:p>
        </w:tc>
        <w:tc>
          <w:tcPr>
            <w:tcW w:w="640" w:type="pct"/>
            <w:vAlign w:val="center"/>
          </w:tcPr>
          <w:p w14:paraId="1E50C4CE">
            <w:pPr>
              <w:pStyle w:val="12"/>
              <w:jc w:val="center"/>
            </w:pPr>
            <w:r>
              <w:rPr>
                <w:rFonts w:hint="eastAsia"/>
              </w:rPr>
              <w:t>戴</w:t>
            </w:r>
          </w:p>
        </w:tc>
        <w:tc>
          <w:tcPr>
            <w:tcW w:w="640" w:type="pct"/>
            <w:vAlign w:val="center"/>
          </w:tcPr>
          <w:p w14:paraId="08748CE7">
            <w:pPr>
              <w:pStyle w:val="12"/>
              <w:jc w:val="center"/>
            </w:pPr>
            <w:r>
              <w:rPr>
                <w:rFonts w:hint="eastAsia"/>
              </w:rPr>
              <w:t>242</w:t>
            </w:r>
          </w:p>
        </w:tc>
        <w:tc>
          <w:tcPr>
            <w:tcW w:w="739" w:type="pct"/>
            <w:vAlign w:val="center"/>
          </w:tcPr>
          <w:p w14:paraId="168C933C">
            <w:pPr>
              <w:pStyle w:val="12"/>
              <w:jc w:val="center"/>
            </w:pPr>
            <w:r>
              <w:rPr>
                <w:rFonts w:hint="eastAsia"/>
              </w:rPr>
              <w:t>0.29</w:t>
            </w:r>
          </w:p>
        </w:tc>
        <w:tc>
          <w:tcPr>
            <w:tcW w:w="471" w:type="pct"/>
            <w:vAlign w:val="center"/>
          </w:tcPr>
          <w:p w14:paraId="55607387">
            <w:pPr>
              <w:pStyle w:val="12"/>
              <w:jc w:val="center"/>
            </w:pPr>
            <w:r>
              <w:rPr>
                <w:rFonts w:hint="eastAsia"/>
              </w:rPr>
              <w:t>74</w:t>
            </w:r>
          </w:p>
        </w:tc>
        <w:tc>
          <w:tcPr>
            <w:tcW w:w="640" w:type="pct"/>
            <w:vAlign w:val="center"/>
          </w:tcPr>
          <w:p w14:paraId="07531593">
            <w:pPr>
              <w:pStyle w:val="12"/>
              <w:jc w:val="center"/>
            </w:pPr>
            <w:r>
              <w:rPr>
                <w:rFonts w:hint="eastAsia"/>
              </w:rPr>
              <w:t>郝</w:t>
            </w:r>
          </w:p>
        </w:tc>
        <w:tc>
          <w:tcPr>
            <w:tcW w:w="640" w:type="pct"/>
            <w:vAlign w:val="center"/>
          </w:tcPr>
          <w:p w14:paraId="3E1A4104">
            <w:pPr>
              <w:pStyle w:val="12"/>
              <w:jc w:val="center"/>
            </w:pPr>
            <w:r>
              <w:rPr>
                <w:rFonts w:hint="eastAsia"/>
              </w:rPr>
              <w:t>70</w:t>
            </w:r>
          </w:p>
        </w:tc>
        <w:tc>
          <w:tcPr>
            <w:tcW w:w="748" w:type="pct"/>
            <w:vAlign w:val="center"/>
          </w:tcPr>
          <w:p w14:paraId="0C8CBEC3">
            <w:pPr>
              <w:pStyle w:val="12"/>
              <w:jc w:val="center"/>
            </w:pPr>
            <w:r>
              <w:rPr>
                <w:rFonts w:hint="eastAsia"/>
              </w:rPr>
              <w:t>0.08</w:t>
            </w:r>
          </w:p>
        </w:tc>
      </w:tr>
      <w:tr w14:paraId="355014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61ED8013">
            <w:pPr>
              <w:pStyle w:val="12"/>
              <w:jc w:val="center"/>
            </w:pPr>
            <w:r>
              <w:rPr>
                <w:rFonts w:hint="eastAsia"/>
              </w:rPr>
              <w:t>52</w:t>
            </w:r>
          </w:p>
        </w:tc>
        <w:tc>
          <w:tcPr>
            <w:tcW w:w="640" w:type="pct"/>
            <w:vAlign w:val="center"/>
          </w:tcPr>
          <w:p w14:paraId="7ADA80CE">
            <w:pPr>
              <w:pStyle w:val="12"/>
              <w:jc w:val="center"/>
            </w:pPr>
            <w:r>
              <w:rPr>
                <w:rFonts w:hint="eastAsia"/>
              </w:rPr>
              <w:t>欧</w:t>
            </w:r>
          </w:p>
        </w:tc>
        <w:tc>
          <w:tcPr>
            <w:tcW w:w="640" w:type="pct"/>
            <w:vAlign w:val="center"/>
          </w:tcPr>
          <w:p w14:paraId="41DA55BD">
            <w:pPr>
              <w:pStyle w:val="12"/>
              <w:jc w:val="center"/>
            </w:pPr>
            <w:r>
              <w:rPr>
                <w:rFonts w:hint="eastAsia"/>
              </w:rPr>
              <w:t>222</w:t>
            </w:r>
          </w:p>
        </w:tc>
        <w:tc>
          <w:tcPr>
            <w:tcW w:w="739" w:type="pct"/>
            <w:vAlign w:val="center"/>
          </w:tcPr>
          <w:p w14:paraId="4943E450">
            <w:pPr>
              <w:pStyle w:val="12"/>
              <w:jc w:val="center"/>
            </w:pPr>
            <w:r>
              <w:rPr>
                <w:rFonts w:hint="eastAsia"/>
              </w:rPr>
              <w:t>0.27</w:t>
            </w:r>
          </w:p>
        </w:tc>
        <w:tc>
          <w:tcPr>
            <w:tcW w:w="471" w:type="pct"/>
            <w:vAlign w:val="center"/>
          </w:tcPr>
          <w:p w14:paraId="729F5230">
            <w:pPr>
              <w:pStyle w:val="12"/>
              <w:jc w:val="center"/>
            </w:pPr>
            <w:r>
              <w:rPr>
                <w:rFonts w:hint="eastAsia"/>
              </w:rPr>
              <w:t>75</w:t>
            </w:r>
          </w:p>
        </w:tc>
        <w:tc>
          <w:tcPr>
            <w:tcW w:w="640" w:type="pct"/>
            <w:vAlign w:val="center"/>
          </w:tcPr>
          <w:p w14:paraId="71864C20">
            <w:pPr>
              <w:pStyle w:val="12"/>
              <w:jc w:val="center"/>
            </w:pPr>
            <w:r>
              <w:rPr>
                <w:rFonts w:hint="eastAsia"/>
              </w:rPr>
              <w:t>夏</w:t>
            </w:r>
          </w:p>
        </w:tc>
        <w:tc>
          <w:tcPr>
            <w:tcW w:w="640" w:type="pct"/>
            <w:vAlign w:val="center"/>
          </w:tcPr>
          <w:p w14:paraId="5CE488B6">
            <w:pPr>
              <w:pStyle w:val="12"/>
              <w:jc w:val="center"/>
            </w:pPr>
            <w:r>
              <w:rPr>
                <w:rFonts w:hint="eastAsia"/>
              </w:rPr>
              <w:t>69</w:t>
            </w:r>
          </w:p>
        </w:tc>
        <w:tc>
          <w:tcPr>
            <w:tcW w:w="748" w:type="pct"/>
            <w:vAlign w:val="center"/>
          </w:tcPr>
          <w:p w14:paraId="56740938">
            <w:pPr>
              <w:pStyle w:val="12"/>
              <w:jc w:val="center"/>
            </w:pPr>
            <w:r>
              <w:rPr>
                <w:rFonts w:hint="eastAsia"/>
              </w:rPr>
              <w:t>0.08</w:t>
            </w:r>
          </w:p>
        </w:tc>
      </w:tr>
      <w:tr w14:paraId="599B32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319F0C28">
            <w:pPr>
              <w:pStyle w:val="12"/>
              <w:jc w:val="center"/>
            </w:pPr>
            <w:r>
              <w:rPr>
                <w:rFonts w:hint="eastAsia"/>
              </w:rPr>
              <w:t>53</w:t>
            </w:r>
          </w:p>
        </w:tc>
        <w:tc>
          <w:tcPr>
            <w:tcW w:w="640" w:type="pct"/>
            <w:vAlign w:val="center"/>
          </w:tcPr>
          <w:p w14:paraId="566B3573">
            <w:pPr>
              <w:pStyle w:val="12"/>
              <w:jc w:val="center"/>
            </w:pPr>
            <w:r>
              <w:rPr>
                <w:rFonts w:hint="eastAsia"/>
              </w:rPr>
              <w:t>侯</w:t>
            </w:r>
          </w:p>
        </w:tc>
        <w:tc>
          <w:tcPr>
            <w:tcW w:w="640" w:type="pct"/>
            <w:vAlign w:val="center"/>
          </w:tcPr>
          <w:p w14:paraId="1A2C8AEE">
            <w:pPr>
              <w:pStyle w:val="12"/>
              <w:jc w:val="center"/>
            </w:pPr>
            <w:r>
              <w:rPr>
                <w:rFonts w:hint="eastAsia"/>
              </w:rPr>
              <w:t>219</w:t>
            </w:r>
          </w:p>
        </w:tc>
        <w:tc>
          <w:tcPr>
            <w:tcW w:w="739" w:type="pct"/>
            <w:vAlign w:val="center"/>
          </w:tcPr>
          <w:p w14:paraId="5E0F7F62">
            <w:pPr>
              <w:pStyle w:val="12"/>
              <w:jc w:val="center"/>
            </w:pPr>
            <w:r>
              <w:rPr>
                <w:rFonts w:hint="eastAsia"/>
              </w:rPr>
              <w:t>0.26</w:t>
            </w:r>
          </w:p>
        </w:tc>
        <w:tc>
          <w:tcPr>
            <w:tcW w:w="471" w:type="pct"/>
            <w:vAlign w:val="center"/>
          </w:tcPr>
          <w:p w14:paraId="7FEC9951">
            <w:pPr>
              <w:pStyle w:val="12"/>
              <w:jc w:val="center"/>
            </w:pPr>
            <w:r>
              <w:rPr>
                <w:rFonts w:hint="eastAsia"/>
              </w:rPr>
              <w:t>76</w:t>
            </w:r>
          </w:p>
        </w:tc>
        <w:tc>
          <w:tcPr>
            <w:tcW w:w="640" w:type="pct"/>
            <w:vAlign w:val="center"/>
          </w:tcPr>
          <w:p w14:paraId="6E3E7861">
            <w:pPr>
              <w:pStyle w:val="12"/>
              <w:jc w:val="center"/>
            </w:pPr>
            <w:r>
              <w:rPr>
                <w:rFonts w:hint="eastAsia"/>
              </w:rPr>
              <w:t>潘</w:t>
            </w:r>
          </w:p>
        </w:tc>
        <w:tc>
          <w:tcPr>
            <w:tcW w:w="640" w:type="pct"/>
            <w:vAlign w:val="center"/>
          </w:tcPr>
          <w:p w14:paraId="44CA5D06">
            <w:pPr>
              <w:pStyle w:val="12"/>
              <w:jc w:val="center"/>
            </w:pPr>
            <w:r>
              <w:rPr>
                <w:rFonts w:hint="eastAsia"/>
              </w:rPr>
              <w:t>65</w:t>
            </w:r>
          </w:p>
        </w:tc>
        <w:tc>
          <w:tcPr>
            <w:tcW w:w="748" w:type="pct"/>
            <w:vAlign w:val="center"/>
          </w:tcPr>
          <w:p w14:paraId="294F087C">
            <w:pPr>
              <w:pStyle w:val="12"/>
              <w:jc w:val="center"/>
            </w:pPr>
            <w:r>
              <w:rPr>
                <w:rFonts w:hint="eastAsia"/>
              </w:rPr>
              <w:t>0.08</w:t>
            </w:r>
          </w:p>
        </w:tc>
      </w:tr>
      <w:tr w14:paraId="7E95E9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2C366D6F">
            <w:pPr>
              <w:pStyle w:val="12"/>
              <w:jc w:val="center"/>
            </w:pPr>
            <w:r>
              <w:rPr>
                <w:rFonts w:hint="eastAsia"/>
              </w:rPr>
              <w:t>77</w:t>
            </w:r>
          </w:p>
        </w:tc>
        <w:tc>
          <w:tcPr>
            <w:tcW w:w="640" w:type="pct"/>
            <w:vAlign w:val="center"/>
          </w:tcPr>
          <w:p w14:paraId="3D574A05">
            <w:pPr>
              <w:pStyle w:val="12"/>
              <w:jc w:val="center"/>
            </w:pPr>
            <w:r>
              <w:rPr>
                <w:rFonts w:hint="eastAsia"/>
              </w:rPr>
              <w:t>蒲</w:t>
            </w:r>
          </w:p>
        </w:tc>
        <w:tc>
          <w:tcPr>
            <w:tcW w:w="640" w:type="pct"/>
            <w:vAlign w:val="center"/>
          </w:tcPr>
          <w:p w14:paraId="5FA423B7">
            <w:pPr>
              <w:pStyle w:val="12"/>
              <w:jc w:val="center"/>
            </w:pPr>
            <w:r>
              <w:rPr>
                <w:rFonts w:hint="eastAsia"/>
              </w:rPr>
              <w:t>65</w:t>
            </w:r>
          </w:p>
        </w:tc>
        <w:tc>
          <w:tcPr>
            <w:tcW w:w="739" w:type="pct"/>
            <w:vAlign w:val="center"/>
          </w:tcPr>
          <w:p w14:paraId="2260A002">
            <w:pPr>
              <w:pStyle w:val="12"/>
              <w:jc w:val="center"/>
            </w:pPr>
            <w:r>
              <w:rPr>
                <w:rFonts w:hint="eastAsia"/>
              </w:rPr>
              <w:t>0.08</w:t>
            </w:r>
          </w:p>
        </w:tc>
        <w:tc>
          <w:tcPr>
            <w:tcW w:w="471" w:type="pct"/>
            <w:vAlign w:val="center"/>
          </w:tcPr>
          <w:p w14:paraId="62EAC5BE">
            <w:pPr>
              <w:pStyle w:val="12"/>
              <w:jc w:val="center"/>
            </w:pPr>
            <w:r>
              <w:rPr>
                <w:rFonts w:hint="eastAsia"/>
              </w:rPr>
              <w:t>95</w:t>
            </w:r>
          </w:p>
        </w:tc>
        <w:tc>
          <w:tcPr>
            <w:tcW w:w="640" w:type="pct"/>
            <w:vAlign w:val="center"/>
          </w:tcPr>
          <w:p w14:paraId="0EC493E5">
            <w:pPr>
              <w:pStyle w:val="12"/>
              <w:jc w:val="center"/>
            </w:pPr>
            <w:r>
              <w:rPr>
                <w:rFonts w:hint="eastAsia"/>
              </w:rPr>
              <w:t>孙</w:t>
            </w:r>
          </w:p>
        </w:tc>
        <w:tc>
          <w:tcPr>
            <w:tcW w:w="640" w:type="pct"/>
            <w:vAlign w:val="center"/>
          </w:tcPr>
          <w:p w14:paraId="77B0005D">
            <w:pPr>
              <w:pStyle w:val="12"/>
              <w:jc w:val="center"/>
            </w:pPr>
            <w:r>
              <w:rPr>
                <w:rFonts w:hint="eastAsia"/>
              </w:rPr>
              <w:t>25</w:t>
            </w:r>
          </w:p>
        </w:tc>
        <w:tc>
          <w:tcPr>
            <w:tcW w:w="748" w:type="pct"/>
            <w:vAlign w:val="center"/>
          </w:tcPr>
          <w:p w14:paraId="51AFA3B1">
            <w:pPr>
              <w:pStyle w:val="12"/>
              <w:jc w:val="center"/>
            </w:pPr>
            <w:r>
              <w:rPr>
                <w:rFonts w:hint="eastAsia"/>
              </w:rPr>
              <w:t>0.03</w:t>
            </w:r>
          </w:p>
        </w:tc>
      </w:tr>
      <w:tr w14:paraId="06091D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795358F7">
            <w:pPr>
              <w:pStyle w:val="12"/>
              <w:jc w:val="center"/>
            </w:pPr>
            <w:r>
              <w:rPr>
                <w:rFonts w:hint="eastAsia"/>
              </w:rPr>
              <w:t>78</w:t>
            </w:r>
          </w:p>
        </w:tc>
        <w:tc>
          <w:tcPr>
            <w:tcW w:w="640" w:type="pct"/>
            <w:vAlign w:val="center"/>
          </w:tcPr>
          <w:p w14:paraId="733025AD">
            <w:pPr>
              <w:pStyle w:val="12"/>
              <w:jc w:val="center"/>
            </w:pPr>
            <w:r>
              <w:rPr>
                <w:rFonts w:hint="eastAsia"/>
              </w:rPr>
              <w:t>池</w:t>
            </w:r>
          </w:p>
        </w:tc>
        <w:tc>
          <w:tcPr>
            <w:tcW w:w="640" w:type="pct"/>
            <w:vAlign w:val="center"/>
          </w:tcPr>
          <w:p w14:paraId="2519EF66">
            <w:pPr>
              <w:pStyle w:val="12"/>
              <w:jc w:val="center"/>
            </w:pPr>
            <w:r>
              <w:rPr>
                <w:rFonts w:hint="eastAsia"/>
              </w:rPr>
              <w:t>63</w:t>
            </w:r>
          </w:p>
        </w:tc>
        <w:tc>
          <w:tcPr>
            <w:tcW w:w="739" w:type="pct"/>
            <w:vAlign w:val="center"/>
          </w:tcPr>
          <w:p w14:paraId="2F9ADB84">
            <w:pPr>
              <w:pStyle w:val="12"/>
              <w:jc w:val="center"/>
            </w:pPr>
            <w:r>
              <w:rPr>
                <w:rFonts w:hint="eastAsia"/>
              </w:rPr>
              <w:t>0.07</w:t>
            </w:r>
          </w:p>
        </w:tc>
        <w:tc>
          <w:tcPr>
            <w:tcW w:w="2498" w:type="pct"/>
            <w:gridSpan w:val="4"/>
            <w:vAlign w:val="center"/>
          </w:tcPr>
          <w:p w14:paraId="0C4E3FF0">
            <w:pPr>
              <w:pStyle w:val="12"/>
              <w:jc w:val="center"/>
            </w:pPr>
            <w:r>
              <w:rPr>
                <w:rFonts w:hint="eastAsia"/>
              </w:rPr>
              <w:t>20户以下姓氏（右边数字为户数）</w:t>
            </w:r>
          </w:p>
        </w:tc>
      </w:tr>
      <w:tr w14:paraId="3AA8AF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7DB9727A">
            <w:pPr>
              <w:pStyle w:val="12"/>
              <w:jc w:val="center"/>
            </w:pPr>
            <w:r>
              <w:rPr>
                <w:rFonts w:hint="eastAsia"/>
              </w:rPr>
              <w:t>79</w:t>
            </w:r>
          </w:p>
        </w:tc>
        <w:tc>
          <w:tcPr>
            <w:tcW w:w="640" w:type="pct"/>
            <w:vAlign w:val="center"/>
          </w:tcPr>
          <w:p w14:paraId="035C0EAF">
            <w:pPr>
              <w:pStyle w:val="12"/>
              <w:jc w:val="center"/>
            </w:pPr>
            <w:r>
              <w:rPr>
                <w:rFonts w:hint="eastAsia"/>
              </w:rPr>
              <w:t>洪</w:t>
            </w:r>
          </w:p>
        </w:tc>
        <w:tc>
          <w:tcPr>
            <w:tcW w:w="640" w:type="pct"/>
            <w:vAlign w:val="center"/>
          </w:tcPr>
          <w:p w14:paraId="56C8E125">
            <w:pPr>
              <w:pStyle w:val="12"/>
              <w:jc w:val="center"/>
            </w:pPr>
            <w:r>
              <w:rPr>
                <w:rFonts w:hint="eastAsia"/>
              </w:rPr>
              <w:t>62</w:t>
            </w:r>
          </w:p>
        </w:tc>
        <w:tc>
          <w:tcPr>
            <w:tcW w:w="739" w:type="pct"/>
            <w:vAlign w:val="center"/>
          </w:tcPr>
          <w:p w14:paraId="4E619E6A">
            <w:pPr>
              <w:pStyle w:val="12"/>
              <w:jc w:val="center"/>
            </w:pPr>
            <w:r>
              <w:rPr>
                <w:rFonts w:hint="eastAsia"/>
              </w:rPr>
              <w:t>0.07</w:t>
            </w:r>
          </w:p>
        </w:tc>
        <w:tc>
          <w:tcPr>
            <w:tcW w:w="471" w:type="pct"/>
            <w:vAlign w:val="center"/>
          </w:tcPr>
          <w:p w14:paraId="02455D0B">
            <w:pPr>
              <w:pStyle w:val="12"/>
              <w:jc w:val="center"/>
            </w:pPr>
            <w:r>
              <w:rPr>
                <w:rFonts w:hint="eastAsia"/>
              </w:rPr>
              <w:t>96</w:t>
            </w:r>
          </w:p>
        </w:tc>
        <w:tc>
          <w:tcPr>
            <w:tcW w:w="640" w:type="pct"/>
            <w:vAlign w:val="center"/>
          </w:tcPr>
          <w:p w14:paraId="73DB1786">
            <w:pPr>
              <w:pStyle w:val="12"/>
              <w:jc w:val="center"/>
            </w:pPr>
            <w:r>
              <w:rPr>
                <w:rFonts w:hint="eastAsia"/>
              </w:rPr>
              <w:t>练</w:t>
            </w:r>
          </w:p>
        </w:tc>
        <w:tc>
          <w:tcPr>
            <w:tcW w:w="640" w:type="pct"/>
            <w:vAlign w:val="center"/>
          </w:tcPr>
          <w:p w14:paraId="2010764E">
            <w:pPr>
              <w:pStyle w:val="12"/>
              <w:jc w:val="center"/>
            </w:pPr>
            <w:r>
              <w:rPr>
                <w:rFonts w:hint="eastAsia"/>
              </w:rPr>
              <w:t>25</w:t>
            </w:r>
          </w:p>
        </w:tc>
        <w:tc>
          <w:tcPr>
            <w:tcW w:w="748" w:type="pct"/>
            <w:vAlign w:val="center"/>
          </w:tcPr>
          <w:p w14:paraId="1CF94386">
            <w:pPr>
              <w:pStyle w:val="12"/>
              <w:jc w:val="center"/>
            </w:pPr>
            <w:r>
              <w:rPr>
                <w:rFonts w:hint="eastAsia"/>
              </w:rPr>
              <w:t>0.03</w:t>
            </w:r>
          </w:p>
        </w:tc>
      </w:tr>
      <w:tr w14:paraId="049C99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4AA43BB0">
            <w:pPr>
              <w:pStyle w:val="12"/>
              <w:jc w:val="center"/>
            </w:pPr>
            <w:r>
              <w:rPr>
                <w:rFonts w:hint="eastAsia"/>
              </w:rPr>
              <w:t>80</w:t>
            </w:r>
          </w:p>
        </w:tc>
        <w:tc>
          <w:tcPr>
            <w:tcW w:w="640" w:type="pct"/>
            <w:vAlign w:val="center"/>
          </w:tcPr>
          <w:p w14:paraId="6145A79F">
            <w:pPr>
              <w:pStyle w:val="12"/>
              <w:jc w:val="center"/>
            </w:pPr>
            <w:r>
              <w:rPr>
                <w:rFonts w:hint="eastAsia"/>
              </w:rPr>
              <w:t>吕</w:t>
            </w:r>
          </w:p>
        </w:tc>
        <w:tc>
          <w:tcPr>
            <w:tcW w:w="640" w:type="pct"/>
            <w:vAlign w:val="center"/>
          </w:tcPr>
          <w:p w14:paraId="36764608">
            <w:pPr>
              <w:pStyle w:val="12"/>
              <w:jc w:val="center"/>
            </w:pPr>
            <w:r>
              <w:rPr>
                <w:rFonts w:hint="eastAsia"/>
              </w:rPr>
              <w:t>58</w:t>
            </w:r>
          </w:p>
        </w:tc>
        <w:tc>
          <w:tcPr>
            <w:tcW w:w="739" w:type="pct"/>
            <w:vAlign w:val="center"/>
          </w:tcPr>
          <w:p w14:paraId="3B3C8EDF">
            <w:pPr>
              <w:pStyle w:val="12"/>
              <w:jc w:val="center"/>
            </w:pPr>
            <w:r>
              <w:rPr>
                <w:rFonts w:hint="eastAsia"/>
              </w:rPr>
              <w:t>0.07</w:t>
            </w:r>
          </w:p>
        </w:tc>
        <w:tc>
          <w:tcPr>
            <w:tcW w:w="471" w:type="pct"/>
            <w:vAlign w:val="center"/>
          </w:tcPr>
          <w:p w14:paraId="0256E47F">
            <w:pPr>
              <w:pStyle w:val="12"/>
              <w:jc w:val="center"/>
            </w:pPr>
            <w:r>
              <w:rPr>
                <w:rFonts w:hint="eastAsia"/>
              </w:rPr>
              <w:t>97</w:t>
            </w:r>
          </w:p>
        </w:tc>
        <w:tc>
          <w:tcPr>
            <w:tcW w:w="640" w:type="pct"/>
            <w:vAlign w:val="center"/>
          </w:tcPr>
          <w:p w14:paraId="79E24228">
            <w:pPr>
              <w:pStyle w:val="12"/>
              <w:jc w:val="center"/>
            </w:pPr>
            <w:r>
              <w:rPr>
                <w:rFonts w:hint="eastAsia"/>
              </w:rPr>
              <w:t>葛</w:t>
            </w:r>
          </w:p>
        </w:tc>
        <w:tc>
          <w:tcPr>
            <w:tcW w:w="640" w:type="pct"/>
            <w:vAlign w:val="center"/>
          </w:tcPr>
          <w:p w14:paraId="396E5A17">
            <w:pPr>
              <w:pStyle w:val="12"/>
              <w:jc w:val="center"/>
            </w:pPr>
            <w:r>
              <w:rPr>
                <w:rFonts w:hint="eastAsia"/>
              </w:rPr>
              <w:t>24</w:t>
            </w:r>
          </w:p>
        </w:tc>
        <w:tc>
          <w:tcPr>
            <w:tcW w:w="748" w:type="pct"/>
            <w:vAlign w:val="center"/>
          </w:tcPr>
          <w:p w14:paraId="29780C9F">
            <w:pPr>
              <w:pStyle w:val="12"/>
              <w:jc w:val="center"/>
            </w:pPr>
            <w:r>
              <w:rPr>
                <w:rFonts w:hint="eastAsia"/>
              </w:rPr>
              <w:t>0.03</w:t>
            </w:r>
          </w:p>
        </w:tc>
      </w:tr>
      <w:tr w14:paraId="6E39E8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45E70FCB">
            <w:pPr>
              <w:pStyle w:val="12"/>
              <w:jc w:val="center"/>
            </w:pPr>
            <w:r>
              <w:rPr>
                <w:rFonts w:hint="eastAsia"/>
              </w:rPr>
              <w:t>81</w:t>
            </w:r>
          </w:p>
        </w:tc>
        <w:tc>
          <w:tcPr>
            <w:tcW w:w="640" w:type="pct"/>
            <w:vAlign w:val="center"/>
          </w:tcPr>
          <w:p w14:paraId="3D2DA640">
            <w:pPr>
              <w:pStyle w:val="12"/>
              <w:jc w:val="center"/>
            </w:pPr>
            <w:r>
              <w:rPr>
                <w:rFonts w:hint="eastAsia"/>
              </w:rPr>
              <w:t>莫</w:t>
            </w:r>
          </w:p>
        </w:tc>
        <w:tc>
          <w:tcPr>
            <w:tcW w:w="640" w:type="pct"/>
            <w:vAlign w:val="center"/>
          </w:tcPr>
          <w:p w14:paraId="2B544404">
            <w:pPr>
              <w:pStyle w:val="12"/>
              <w:jc w:val="center"/>
            </w:pPr>
            <w:r>
              <w:rPr>
                <w:rFonts w:hint="eastAsia"/>
              </w:rPr>
              <w:t>55</w:t>
            </w:r>
          </w:p>
        </w:tc>
        <w:tc>
          <w:tcPr>
            <w:tcW w:w="739" w:type="pct"/>
            <w:vAlign w:val="center"/>
          </w:tcPr>
          <w:p w14:paraId="350CACED">
            <w:pPr>
              <w:pStyle w:val="12"/>
              <w:jc w:val="center"/>
            </w:pPr>
            <w:r>
              <w:rPr>
                <w:rFonts w:hint="eastAsia"/>
              </w:rPr>
              <w:t>0.07</w:t>
            </w:r>
          </w:p>
        </w:tc>
        <w:tc>
          <w:tcPr>
            <w:tcW w:w="471" w:type="pct"/>
            <w:vAlign w:val="center"/>
          </w:tcPr>
          <w:p w14:paraId="0D9F579C">
            <w:pPr>
              <w:pStyle w:val="12"/>
              <w:jc w:val="center"/>
            </w:pPr>
            <w:r>
              <w:rPr>
                <w:rFonts w:hint="eastAsia"/>
              </w:rPr>
              <w:t>98</w:t>
            </w:r>
          </w:p>
        </w:tc>
        <w:tc>
          <w:tcPr>
            <w:tcW w:w="640" w:type="pct"/>
            <w:vAlign w:val="center"/>
          </w:tcPr>
          <w:p w14:paraId="092B7DB5">
            <w:pPr>
              <w:pStyle w:val="12"/>
              <w:jc w:val="center"/>
            </w:pPr>
            <w:r>
              <w:rPr>
                <w:rFonts w:hint="eastAsia"/>
              </w:rPr>
              <w:t>纪</w:t>
            </w:r>
          </w:p>
        </w:tc>
        <w:tc>
          <w:tcPr>
            <w:tcW w:w="640" w:type="pct"/>
            <w:vAlign w:val="center"/>
          </w:tcPr>
          <w:p w14:paraId="2B03B622">
            <w:pPr>
              <w:pStyle w:val="12"/>
              <w:jc w:val="center"/>
            </w:pPr>
            <w:r>
              <w:rPr>
                <w:rFonts w:hint="eastAsia"/>
              </w:rPr>
              <w:t>24</w:t>
            </w:r>
          </w:p>
        </w:tc>
        <w:tc>
          <w:tcPr>
            <w:tcW w:w="748" w:type="pct"/>
            <w:vAlign w:val="center"/>
          </w:tcPr>
          <w:p w14:paraId="01BC18A6">
            <w:pPr>
              <w:pStyle w:val="12"/>
              <w:jc w:val="center"/>
            </w:pPr>
            <w:r>
              <w:rPr>
                <w:rFonts w:hint="eastAsia"/>
              </w:rPr>
              <w:t>0.03</w:t>
            </w:r>
          </w:p>
        </w:tc>
      </w:tr>
      <w:tr w14:paraId="40B5EE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0A1EF52B">
            <w:pPr>
              <w:pStyle w:val="12"/>
              <w:jc w:val="center"/>
            </w:pPr>
            <w:r>
              <w:rPr>
                <w:rFonts w:hint="eastAsia"/>
              </w:rPr>
              <w:t>82</w:t>
            </w:r>
          </w:p>
        </w:tc>
        <w:tc>
          <w:tcPr>
            <w:tcW w:w="640" w:type="pct"/>
            <w:vAlign w:val="center"/>
          </w:tcPr>
          <w:p w14:paraId="69A1A927">
            <w:pPr>
              <w:pStyle w:val="12"/>
              <w:jc w:val="center"/>
            </w:pPr>
            <w:r>
              <w:rPr>
                <w:rFonts w:hint="eastAsia"/>
              </w:rPr>
              <w:t>黎</w:t>
            </w:r>
          </w:p>
        </w:tc>
        <w:tc>
          <w:tcPr>
            <w:tcW w:w="640" w:type="pct"/>
            <w:vAlign w:val="center"/>
          </w:tcPr>
          <w:p w14:paraId="023D2A73">
            <w:pPr>
              <w:pStyle w:val="12"/>
              <w:jc w:val="center"/>
            </w:pPr>
            <w:r>
              <w:rPr>
                <w:rFonts w:hint="eastAsia"/>
              </w:rPr>
              <w:t>53</w:t>
            </w:r>
          </w:p>
        </w:tc>
        <w:tc>
          <w:tcPr>
            <w:tcW w:w="739" w:type="pct"/>
            <w:vAlign w:val="center"/>
          </w:tcPr>
          <w:p w14:paraId="67772705">
            <w:pPr>
              <w:pStyle w:val="12"/>
              <w:jc w:val="center"/>
            </w:pPr>
            <w:r>
              <w:rPr>
                <w:rFonts w:hint="eastAsia"/>
              </w:rPr>
              <w:t>0.06</w:t>
            </w:r>
          </w:p>
        </w:tc>
        <w:tc>
          <w:tcPr>
            <w:tcW w:w="471" w:type="pct"/>
            <w:vAlign w:val="center"/>
          </w:tcPr>
          <w:p w14:paraId="09A4FB22">
            <w:pPr>
              <w:pStyle w:val="12"/>
              <w:jc w:val="center"/>
            </w:pPr>
            <w:r>
              <w:rPr>
                <w:rFonts w:hint="eastAsia"/>
              </w:rPr>
              <w:t>99</w:t>
            </w:r>
          </w:p>
        </w:tc>
        <w:tc>
          <w:tcPr>
            <w:tcW w:w="640" w:type="pct"/>
            <w:vAlign w:val="center"/>
          </w:tcPr>
          <w:p w14:paraId="07BD6F29">
            <w:pPr>
              <w:pStyle w:val="12"/>
              <w:jc w:val="center"/>
            </w:pPr>
            <w:r>
              <w:rPr>
                <w:rFonts w:hint="eastAsia"/>
              </w:rPr>
              <w:t>施</w:t>
            </w:r>
          </w:p>
        </w:tc>
        <w:tc>
          <w:tcPr>
            <w:tcW w:w="640" w:type="pct"/>
            <w:vAlign w:val="center"/>
          </w:tcPr>
          <w:p w14:paraId="09ECF676">
            <w:pPr>
              <w:pStyle w:val="12"/>
              <w:jc w:val="center"/>
            </w:pPr>
            <w:r>
              <w:rPr>
                <w:rFonts w:hint="eastAsia"/>
              </w:rPr>
              <w:t>20</w:t>
            </w:r>
          </w:p>
        </w:tc>
        <w:tc>
          <w:tcPr>
            <w:tcW w:w="748" w:type="pct"/>
            <w:vAlign w:val="center"/>
          </w:tcPr>
          <w:p w14:paraId="0E26E1CA">
            <w:pPr>
              <w:pStyle w:val="12"/>
              <w:jc w:val="center"/>
            </w:pPr>
            <w:r>
              <w:rPr>
                <w:rFonts w:hint="eastAsia"/>
              </w:rPr>
              <w:t>0.02</w:t>
            </w:r>
          </w:p>
        </w:tc>
      </w:tr>
      <w:tr w14:paraId="3A8B17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57E769C4">
            <w:pPr>
              <w:pStyle w:val="12"/>
              <w:jc w:val="center"/>
            </w:pPr>
            <w:r>
              <w:rPr>
                <w:rFonts w:hint="eastAsia"/>
              </w:rPr>
              <w:t>83</w:t>
            </w:r>
          </w:p>
        </w:tc>
        <w:tc>
          <w:tcPr>
            <w:tcW w:w="640" w:type="pct"/>
            <w:vAlign w:val="center"/>
          </w:tcPr>
          <w:p w14:paraId="65A3190C">
            <w:pPr>
              <w:pStyle w:val="12"/>
              <w:jc w:val="center"/>
            </w:pPr>
            <w:r>
              <w:rPr>
                <w:rFonts w:hint="eastAsia"/>
              </w:rPr>
              <w:t>熊</w:t>
            </w:r>
          </w:p>
        </w:tc>
        <w:tc>
          <w:tcPr>
            <w:tcW w:w="640" w:type="pct"/>
            <w:vAlign w:val="center"/>
          </w:tcPr>
          <w:p w14:paraId="3EF88D5C">
            <w:pPr>
              <w:pStyle w:val="12"/>
              <w:jc w:val="center"/>
            </w:pPr>
            <w:r>
              <w:rPr>
                <w:rFonts w:hint="eastAsia"/>
              </w:rPr>
              <w:t>52</w:t>
            </w:r>
          </w:p>
        </w:tc>
        <w:tc>
          <w:tcPr>
            <w:tcW w:w="739" w:type="pct"/>
            <w:vAlign w:val="center"/>
          </w:tcPr>
          <w:p w14:paraId="007F28B6">
            <w:pPr>
              <w:pStyle w:val="12"/>
              <w:jc w:val="center"/>
            </w:pPr>
            <w:r>
              <w:rPr>
                <w:rFonts w:hint="eastAsia"/>
              </w:rPr>
              <w:t>0.06</w:t>
            </w:r>
          </w:p>
        </w:tc>
        <w:tc>
          <w:tcPr>
            <w:tcW w:w="471" w:type="pct"/>
            <w:vAlign w:val="center"/>
          </w:tcPr>
          <w:p w14:paraId="0888BFF9">
            <w:pPr>
              <w:pStyle w:val="12"/>
              <w:jc w:val="center"/>
            </w:pPr>
            <w:r>
              <w:rPr>
                <w:rFonts w:hint="eastAsia"/>
              </w:rPr>
              <w:t>顾19</w:t>
            </w:r>
          </w:p>
        </w:tc>
        <w:tc>
          <w:tcPr>
            <w:tcW w:w="640" w:type="pct"/>
            <w:vAlign w:val="center"/>
          </w:tcPr>
          <w:p w14:paraId="0A52BA0E">
            <w:pPr>
              <w:pStyle w:val="12"/>
              <w:jc w:val="center"/>
            </w:pPr>
            <w:r>
              <w:rPr>
                <w:rFonts w:hint="eastAsia"/>
              </w:rPr>
              <w:t>邝18</w:t>
            </w:r>
          </w:p>
        </w:tc>
        <w:tc>
          <w:tcPr>
            <w:tcW w:w="640" w:type="pct"/>
            <w:vAlign w:val="center"/>
          </w:tcPr>
          <w:p w14:paraId="0EA2C20D">
            <w:pPr>
              <w:pStyle w:val="12"/>
              <w:jc w:val="center"/>
            </w:pPr>
            <w:r>
              <w:rPr>
                <w:rFonts w:hint="eastAsia"/>
              </w:rPr>
              <w:t>崔17</w:t>
            </w:r>
          </w:p>
        </w:tc>
        <w:tc>
          <w:tcPr>
            <w:tcW w:w="748" w:type="pct"/>
            <w:vAlign w:val="center"/>
          </w:tcPr>
          <w:p w14:paraId="68A64C64">
            <w:pPr>
              <w:pStyle w:val="12"/>
              <w:jc w:val="center"/>
            </w:pPr>
            <w:r>
              <w:rPr>
                <w:rFonts w:hint="eastAsia"/>
              </w:rPr>
              <w:t>旷16</w:t>
            </w:r>
          </w:p>
        </w:tc>
      </w:tr>
      <w:tr w14:paraId="527265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1E0B5656">
            <w:pPr>
              <w:pStyle w:val="12"/>
              <w:jc w:val="center"/>
            </w:pPr>
            <w:r>
              <w:rPr>
                <w:rFonts w:hint="eastAsia"/>
              </w:rPr>
              <w:t>84</w:t>
            </w:r>
          </w:p>
        </w:tc>
        <w:tc>
          <w:tcPr>
            <w:tcW w:w="640" w:type="pct"/>
            <w:vAlign w:val="center"/>
          </w:tcPr>
          <w:p w14:paraId="60E3E457">
            <w:pPr>
              <w:pStyle w:val="12"/>
              <w:jc w:val="center"/>
            </w:pPr>
            <w:r>
              <w:rPr>
                <w:rFonts w:hint="eastAsia"/>
              </w:rPr>
              <w:t>涂</w:t>
            </w:r>
          </w:p>
        </w:tc>
        <w:tc>
          <w:tcPr>
            <w:tcW w:w="640" w:type="pct"/>
            <w:vAlign w:val="center"/>
          </w:tcPr>
          <w:p w14:paraId="564A2247">
            <w:pPr>
              <w:pStyle w:val="12"/>
              <w:jc w:val="center"/>
            </w:pPr>
            <w:r>
              <w:rPr>
                <w:rFonts w:hint="eastAsia"/>
              </w:rPr>
              <w:t>49</w:t>
            </w:r>
          </w:p>
        </w:tc>
        <w:tc>
          <w:tcPr>
            <w:tcW w:w="739" w:type="pct"/>
            <w:vAlign w:val="center"/>
          </w:tcPr>
          <w:p w14:paraId="106EA199">
            <w:pPr>
              <w:pStyle w:val="12"/>
              <w:jc w:val="center"/>
            </w:pPr>
            <w:r>
              <w:rPr>
                <w:rFonts w:hint="eastAsia"/>
              </w:rPr>
              <w:t>0.05</w:t>
            </w:r>
          </w:p>
        </w:tc>
        <w:tc>
          <w:tcPr>
            <w:tcW w:w="471" w:type="pct"/>
            <w:vAlign w:val="center"/>
          </w:tcPr>
          <w:p w14:paraId="2B98C9CC">
            <w:pPr>
              <w:pStyle w:val="12"/>
              <w:jc w:val="center"/>
            </w:pPr>
            <w:r>
              <w:rPr>
                <w:rFonts w:hint="eastAsia"/>
              </w:rPr>
              <w:t>毛8</w:t>
            </w:r>
          </w:p>
        </w:tc>
        <w:tc>
          <w:tcPr>
            <w:tcW w:w="640" w:type="pct"/>
            <w:vAlign w:val="center"/>
          </w:tcPr>
          <w:p w14:paraId="5E08C394">
            <w:pPr>
              <w:pStyle w:val="12"/>
              <w:jc w:val="center"/>
            </w:pPr>
            <w:r>
              <w:rPr>
                <w:rFonts w:hint="eastAsia"/>
              </w:rPr>
              <w:t>姜7</w:t>
            </w:r>
          </w:p>
        </w:tc>
        <w:tc>
          <w:tcPr>
            <w:tcW w:w="640" w:type="pct"/>
            <w:vAlign w:val="center"/>
          </w:tcPr>
          <w:p w14:paraId="07BCFF66">
            <w:pPr>
              <w:pStyle w:val="12"/>
              <w:jc w:val="center"/>
            </w:pPr>
            <w:r>
              <w:rPr>
                <w:rFonts w:hint="eastAsia"/>
              </w:rPr>
              <w:t>吉7</w:t>
            </w:r>
          </w:p>
        </w:tc>
        <w:tc>
          <w:tcPr>
            <w:tcW w:w="748" w:type="pct"/>
            <w:vAlign w:val="center"/>
          </w:tcPr>
          <w:p w14:paraId="219515BE">
            <w:pPr>
              <w:pStyle w:val="12"/>
              <w:jc w:val="center"/>
            </w:pPr>
            <w:r>
              <w:rPr>
                <w:rFonts w:hint="eastAsia"/>
              </w:rPr>
              <w:t>颜7</w:t>
            </w:r>
          </w:p>
        </w:tc>
      </w:tr>
      <w:tr w14:paraId="3CB433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302571F3">
            <w:pPr>
              <w:pStyle w:val="12"/>
              <w:jc w:val="center"/>
            </w:pPr>
            <w:r>
              <w:rPr>
                <w:rFonts w:hint="eastAsia"/>
              </w:rPr>
              <w:t>85</w:t>
            </w:r>
          </w:p>
        </w:tc>
        <w:tc>
          <w:tcPr>
            <w:tcW w:w="640" w:type="pct"/>
            <w:vAlign w:val="center"/>
          </w:tcPr>
          <w:p w14:paraId="7D5D8AD4">
            <w:pPr>
              <w:pStyle w:val="12"/>
              <w:jc w:val="center"/>
            </w:pPr>
            <w:r>
              <w:rPr>
                <w:rFonts w:hint="eastAsia"/>
              </w:rPr>
              <w:t>石</w:t>
            </w:r>
          </w:p>
        </w:tc>
        <w:tc>
          <w:tcPr>
            <w:tcW w:w="640" w:type="pct"/>
            <w:vAlign w:val="center"/>
          </w:tcPr>
          <w:p w14:paraId="06BA9AF0">
            <w:pPr>
              <w:pStyle w:val="12"/>
              <w:jc w:val="center"/>
            </w:pPr>
            <w:r>
              <w:rPr>
                <w:rFonts w:hint="eastAsia"/>
              </w:rPr>
              <w:t>45</w:t>
            </w:r>
          </w:p>
        </w:tc>
        <w:tc>
          <w:tcPr>
            <w:tcW w:w="739" w:type="pct"/>
            <w:vAlign w:val="center"/>
          </w:tcPr>
          <w:p w14:paraId="4689C53C">
            <w:pPr>
              <w:pStyle w:val="12"/>
              <w:jc w:val="center"/>
            </w:pPr>
            <w:r>
              <w:rPr>
                <w:rFonts w:hint="eastAsia"/>
              </w:rPr>
              <w:t>0.05</w:t>
            </w:r>
          </w:p>
        </w:tc>
        <w:tc>
          <w:tcPr>
            <w:tcW w:w="471" w:type="pct"/>
            <w:vAlign w:val="center"/>
          </w:tcPr>
          <w:p w14:paraId="4F54C33C">
            <w:pPr>
              <w:pStyle w:val="12"/>
              <w:jc w:val="center"/>
            </w:pPr>
            <w:r>
              <w:rPr>
                <w:rFonts w:hint="eastAsia"/>
              </w:rPr>
              <w:t>屈6</w:t>
            </w:r>
          </w:p>
        </w:tc>
        <w:tc>
          <w:tcPr>
            <w:tcW w:w="640" w:type="pct"/>
            <w:vAlign w:val="center"/>
          </w:tcPr>
          <w:p w14:paraId="68688666">
            <w:pPr>
              <w:pStyle w:val="12"/>
              <w:jc w:val="center"/>
            </w:pPr>
            <w:r>
              <w:rPr>
                <w:rFonts w:hint="eastAsia"/>
              </w:rPr>
              <w:t>武5</w:t>
            </w:r>
          </w:p>
        </w:tc>
        <w:tc>
          <w:tcPr>
            <w:tcW w:w="640" w:type="pct"/>
            <w:vAlign w:val="center"/>
          </w:tcPr>
          <w:p w14:paraId="4EC3D06E">
            <w:pPr>
              <w:pStyle w:val="12"/>
              <w:jc w:val="center"/>
            </w:pPr>
            <w:r>
              <w:rPr>
                <w:rFonts w:hint="eastAsia"/>
              </w:rPr>
              <w:t>卓5</w:t>
            </w:r>
          </w:p>
        </w:tc>
        <w:tc>
          <w:tcPr>
            <w:tcW w:w="748" w:type="pct"/>
            <w:vAlign w:val="center"/>
          </w:tcPr>
          <w:p w14:paraId="3BF70BB8">
            <w:pPr>
              <w:pStyle w:val="12"/>
              <w:jc w:val="center"/>
            </w:pPr>
            <w:r>
              <w:rPr>
                <w:rFonts w:hint="eastAsia"/>
              </w:rPr>
              <w:t>宋5</w:t>
            </w:r>
          </w:p>
        </w:tc>
      </w:tr>
      <w:tr w14:paraId="5F799F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321F06BB">
            <w:pPr>
              <w:pStyle w:val="12"/>
              <w:jc w:val="center"/>
            </w:pPr>
            <w:r>
              <w:rPr>
                <w:rFonts w:hint="eastAsia"/>
              </w:rPr>
              <w:t>86</w:t>
            </w:r>
          </w:p>
        </w:tc>
        <w:tc>
          <w:tcPr>
            <w:tcW w:w="640" w:type="pct"/>
            <w:vAlign w:val="center"/>
          </w:tcPr>
          <w:p w14:paraId="6DAFD0AB">
            <w:pPr>
              <w:pStyle w:val="12"/>
              <w:jc w:val="center"/>
            </w:pPr>
            <w:r>
              <w:rPr>
                <w:rFonts w:hint="eastAsia"/>
              </w:rPr>
              <w:t>巫</w:t>
            </w:r>
          </w:p>
        </w:tc>
        <w:tc>
          <w:tcPr>
            <w:tcW w:w="640" w:type="pct"/>
            <w:vAlign w:val="center"/>
          </w:tcPr>
          <w:p w14:paraId="7B24E447">
            <w:pPr>
              <w:pStyle w:val="12"/>
              <w:jc w:val="center"/>
            </w:pPr>
            <w:r>
              <w:rPr>
                <w:rFonts w:hint="eastAsia"/>
              </w:rPr>
              <w:t>43</w:t>
            </w:r>
          </w:p>
        </w:tc>
        <w:tc>
          <w:tcPr>
            <w:tcW w:w="739" w:type="pct"/>
            <w:vAlign w:val="center"/>
          </w:tcPr>
          <w:p w14:paraId="3890DC55">
            <w:pPr>
              <w:pStyle w:val="12"/>
              <w:jc w:val="center"/>
            </w:pPr>
            <w:r>
              <w:rPr>
                <w:rFonts w:hint="eastAsia"/>
              </w:rPr>
              <w:t>0.05</w:t>
            </w:r>
          </w:p>
        </w:tc>
        <w:tc>
          <w:tcPr>
            <w:tcW w:w="471" w:type="pct"/>
            <w:vAlign w:val="center"/>
          </w:tcPr>
          <w:p w14:paraId="672F5213">
            <w:pPr>
              <w:pStyle w:val="12"/>
              <w:jc w:val="center"/>
            </w:pPr>
            <w:r>
              <w:rPr>
                <w:rFonts w:hint="eastAsia"/>
              </w:rPr>
              <w:t>方5</w:t>
            </w:r>
          </w:p>
        </w:tc>
        <w:tc>
          <w:tcPr>
            <w:tcW w:w="640" w:type="pct"/>
            <w:vAlign w:val="center"/>
          </w:tcPr>
          <w:p w14:paraId="02C4A139">
            <w:pPr>
              <w:pStyle w:val="12"/>
              <w:jc w:val="center"/>
            </w:pPr>
            <w:r>
              <w:rPr>
                <w:rFonts w:hint="eastAsia"/>
              </w:rPr>
              <w:t>金5</w:t>
            </w:r>
          </w:p>
        </w:tc>
        <w:tc>
          <w:tcPr>
            <w:tcW w:w="640" w:type="pct"/>
            <w:vAlign w:val="center"/>
          </w:tcPr>
          <w:p w14:paraId="55E15A67">
            <w:pPr>
              <w:pStyle w:val="12"/>
              <w:jc w:val="center"/>
            </w:pPr>
            <w:r>
              <w:rPr>
                <w:rFonts w:hint="eastAsia"/>
              </w:rPr>
              <w:t>宁4</w:t>
            </w:r>
          </w:p>
        </w:tc>
        <w:tc>
          <w:tcPr>
            <w:tcW w:w="748" w:type="pct"/>
            <w:vAlign w:val="center"/>
          </w:tcPr>
          <w:p w14:paraId="0966C6EA">
            <w:pPr>
              <w:pStyle w:val="12"/>
              <w:jc w:val="center"/>
            </w:pPr>
            <w:r>
              <w:rPr>
                <w:rFonts w:hint="eastAsia"/>
              </w:rPr>
              <w:t>虞4</w:t>
            </w:r>
          </w:p>
        </w:tc>
      </w:tr>
      <w:tr w14:paraId="183DFF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0CE869D6">
            <w:pPr>
              <w:pStyle w:val="12"/>
              <w:jc w:val="center"/>
            </w:pPr>
            <w:r>
              <w:rPr>
                <w:rFonts w:hint="eastAsia"/>
              </w:rPr>
              <w:t>87</w:t>
            </w:r>
          </w:p>
        </w:tc>
        <w:tc>
          <w:tcPr>
            <w:tcW w:w="640" w:type="pct"/>
            <w:vAlign w:val="center"/>
          </w:tcPr>
          <w:p w14:paraId="6F1B4E2E">
            <w:pPr>
              <w:pStyle w:val="12"/>
              <w:jc w:val="center"/>
            </w:pPr>
            <w:r>
              <w:rPr>
                <w:rFonts w:hint="eastAsia"/>
              </w:rPr>
              <w:t>荣</w:t>
            </w:r>
          </w:p>
        </w:tc>
        <w:tc>
          <w:tcPr>
            <w:tcW w:w="640" w:type="pct"/>
            <w:vAlign w:val="center"/>
          </w:tcPr>
          <w:p w14:paraId="474A0FF4">
            <w:pPr>
              <w:pStyle w:val="12"/>
              <w:jc w:val="center"/>
            </w:pPr>
            <w:r>
              <w:rPr>
                <w:rFonts w:hint="eastAsia"/>
              </w:rPr>
              <w:t>41</w:t>
            </w:r>
          </w:p>
        </w:tc>
        <w:tc>
          <w:tcPr>
            <w:tcW w:w="739" w:type="pct"/>
            <w:vAlign w:val="center"/>
          </w:tcPr>
          <w:p w14:paraId="63351B6E">
            <w:pPr>
              <w:pStyle w:val="12"/>
              <w:jc w:val="center"/>
            </w:pPr>
            <w:r>
              <w:rPr>
                <w:rFonts w:hint="eastAsia"/>
              </w:rPr>
              <w:t>0.05</w:t>
            </w:r>
          </w:p>
        </w:tc>
        <w:tc>
          <w:tcPr>
            <w:tcW w:w="471" w:type="pct"/>
            <w:vAlign w:val="center"/>
          </w:tcPr>
          <w:p w14:paraId="1D0BAC66">
            <w:pPr>
              <w:pStyle w:val="12"/>
              <w:jc w:val="center"/>
            </w:pPr>
            <w:r>
              <w:rPr>
                <w:rFonts w:hint="eastAsia"/>
              </w:rPr>
              <w:t>古4</w:t>
            </w:r>
          </w:p>
        </w:tc>
        <w:tc>
          <w:tcPr>
            <w:tcW w:w="640" w:type="pct"/>
            <w:vAlign w:val="center"/>
          </w:tcPr>
          <w:p w14:paraId="22E746A4">
            <w:pPr>
              <w:pStyle w:val="12"/>
              <w:jc w:val="center"/>
            </w:pPr>
            <w:r>
              <w:rPr>
                <w:rFonts w:hint="eastAsia"/>
              </w:rPr>
              <w:t>竺4</w:t>
            </w:r>
          </w:p>
        </w:tc>
        <w:tc>
          <w:tcPr>
            <w:tcW w:w="640" w:type="pct"/>
            <w:vAlign w:val="center"/>
          </w:tcPr>
          <w:p w14:paraId="46A553ED">
            <w:pPr>
              <w:pStyle w:val="12"/>
              <w:jc w:val="center"/>
            </w:pPr>
            <w:r>
              <w:rPr>
                <w:rFonts w:hint="eastAsia"/>
              </w:rPr>
              <w:t>谌4</w:t>
            </w:r>
          </w:p>
        </w:tc>
        <w:tc>
          <w:tcPr>
            <w:tcW w:w="748" w:type="pct"/>
            <w:vAlign w:val="center"/>
          </w:tcPr>
          <w:p w14:paraId="7CC416E5">
            <w:pPr>
              <w:pStyle w:val="12"/>
              <w:jc w:val="center"/>
            </w:pPr>
            <w:r>
              <w:rPr>
                <w:rFonts w:hint="eastAsia"/>
              </w:rPr>
              <w:t>竹4</w:t>
            </w:r>
          </w:p>
        </w:tc>
      </w:tr>
      <w:tr w14:paraId="1D8354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7EE4E513">
            <w:pPr>
              <w:pStyle w:val="12"/>
              <w:jc w:val="center"/>
            </w:pPr>
            <w:r>
              <w:rPr>
                <w:rFonts w:hint="eastAsia"/>
              </w:rPr>
              <w:t>88</w:t>
            </w:r>
          </w:p>
        </w:tc>
        <w:tc>
          <w:tcPr>
            <w:tcW w:w="640" w:type="pct"/>
            <w:vAlign w:val="center"/>
          </w:tcPr>
          <w:p w14:paraId="7F6009E5">
            <w:pPr>
              <w:pStyle w:val="12"/>
              <w:jc w:val="center"/>
            </w:pPr>
            <w:r>
              <w:rPr>
                <w:rFonts w:hint="eastAsia"/>
              </w:rPr>
              <w:t>许</w:t>
            </w:r>
          </w:p>
        </w:tc>
        <w:tc>
          <w:tcPr>
            <w:tcW w:w="640" w:type="pct"/>
            <w:vAlign w:val="center"/>
          </w:tcPr>
          <w:p w14:paraId="085380F1">
            <w:pPr>
              <w:pStyle w:val="12"/>
              <w:jc w:val="center"/>
            </w:pPr>
            <w:r>
              <w:rPr>
                <w:rFonts w:hint="eastAsia"/>
              </w:rPr>
              <w:t>36</w:t>
            </w:r>
          </w:p>
        </w:tc>
        <w:tc>
          <w:tcPr>
            <w:tcW w:w="739" w:type="pct"/>
            <w:vAlign w:val="center"/>
          </w:tcPr>
          <w:p w14:paraId="16478CA3">
            <w:pPr>
              <w:pStyle w:val="12"/>
              <w:jc w:val="center"/>
            </w:pPr>
            <w:r>
              <w:rPr>
                <w:rFonts w:hint="eastAsia"/>
              </w:rPr>
              <w:t>0.04</w:t>
            </w:r>
          </w:p>
        </w:tc>
        <w:tc>
          <w:tcPr>
            <w:tcW w:w="471" w:type="pct"/>
            <w:vAlign w:val="center"/>
          </w:tcPr>
          <w:p w14:paraId="4684C66A">
            <w:pPr>
              <w:pStyle w:val="12"/>
              <w:jc w:val="center"/>
            </w:pPr>
            <w:r>
              <w:rPr>
                <w:rFonts w:hint="eastAsia"/>
              </w:rPr>
              <w:t>庄3</w:t>
            </w:r>
          </w:p>
        </w:tc>
        <w:tc>
          <w:tcPr>
            <w:tcW w:w="640" w:type="pct"/>
            <w:vAlign w:val="center"/>
          </w:tcPr>
          <w:p w14:paraId="7456C6AD">
            <w:pPr>
              <w:pStyle w:val="12"/>
              <w:jc w:val="center"/>
            </w:pPr>
            <w:r>
              <w:rPr>
                <w:rFonts w:hint="eastAsia"/>
              </w:rPr>
              <w:t>龙3</w:t>
            </w:r>
          </w:p>
        </w:tc>
        <w:tc>
          <w:tcPr>
            <w:tcW w:w="640" w:type="pct"/>
            <w:vAlign w:val="center"/>
          </w:tcPr>
          <w:p w14:paraId="3F1DEF7B">
            <w:pPr>
              <w:pStyle w:val="12"/>
              <w:jc w:val="center"/>
            </w:pPr>
            <w:r>
              <w:rPr>
                <w:rFonts w:hint="eastAsia"/>
              </w:rPr>
              <w:t>封3</w:t>
            </w:r>
          </w:p>
        </w:tc>
        <w:tc>
          <w:tcPr>
            <w:tcW w:w="748" w:type="pct"/>
            <w:vAlign w:val="center"/>
          </w:tcPr>
          <w:p w14:paraId="5971B66D">
            <w:pPr>
              <w:pStyle w:val="12"/>
              <w:jc w:val="center"/>
            </w:pPr>
            <w:r>
              <w:rPr>
                <w:rFonts w:hint="eastAsia"/>
              </w:rPr>
              <w:t>桃3</w:t>
            </w:r>
          </w:p>
        </w:tc>
      </w:tr>
      <w:tr w14:paraId="5E8729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75264BC5">
            <w:pPr>
              <w:pStyle w:val="12"/>
              <w:jc w:val="center"/>
            </w:pPr>
            <w:r>
              <w:rPr>
                <w:rFonts w:hint="eastAsia"/>
              </w:rPr>
              <w:t>89</w:t>
            </w:r>
          </w:p>
        </w:tc>
        <w:tc>
          <w:tcPr>
            <w:tcW w:w="640" w:type="pct"/>
            <w:vAlign w:val="center"/>
          </w:tcPr>
          <w:p w14:paraId="120382A4">
            <w:pPr>
              <w:pStyle w:val="12"/>
              <w:jc w:val="center"/>
            </w:pPr>
            <w:r>
              <w:rPr>
                <w:rFonts w:hint="eastAsia"/>
              </w:rPr>
              <w:t>殷</w:t>
            </w:r>
          </w:p>
        </w:tc>
        <w:tc>
          <w:tcPr>
            <w:tcW w:w="640" w:type="pct"/>
            <w:vAlign w:val="center"/>
          </w:tcPr>
          <w:p w14:paraId="7ADF420B">
            <w:pPr>
              <w:pStyle w:val="12"/>
              <w:jc w:val="center"/>
            </w:pPr>
            <w:r>
              <w:rPr>
                <w:rFonts w:hint="eastAsia"/>
              </w:rPr>
              <w:t>35</w:t>
            </w:r>
          </w:p>
        </w:tc>
        <w:tc>
          <w:tcPr>
            <w:tcW w:w="739" w:type="pct"/>
            <w:vAlign w:val="center"/>
          </w:tcPr>
          <w:p w14:paraId="2F51C286">
            <w:pPr>
              <w:pStyle w:val="12"/>
              <w:jc w:val="center"/>
            </w:pPr>
            <w:r>
              <w:rPr>
                <w:rFonts w:hint="eastAsia"/>
              </w:rPr>
              <w:t>0.04</w:t>
            </w:r>
          </w:p>
        </w:tc>
        <w:tc>
          <w:tcPr>
            <w:tcW w:w="471" w:type="pct"/>
            <w:vAlign w:val="center"/>
          </w:tcPr>
          <w:p w14:paraId="4B237936">
            <w:pPr>
              <w:pStyle w:val="12"/>
              <w:jc w:val="center"/>
            </w:pPr>
            <w:r>
              <w:rPr>
                <w:rFonts w:hint="eastAsia"/>
              </w:rPr>
              <w:t>倪2</w:t>
            </w:r>
          </w:p>
        </w:tc>
        <w:tc>
          <w:tcPr>
            <w:tcW w:w="640" w:type="pct"/>
            <w:vAlign w:val="center"/>
          </w:tcPr>
          <w:p w14:paraId="2B227F25">
            <w:pPr>
              <w:pStyle w:val="12"/>
              <w:jc w:val="center"/>
            </w:pPr>
            <w:r>
              <w:rPr>
                <w:rFonts w:hint="eastAsia"/>
              </w:rPr>
              <w:t>幸2</w:t>
            </w:r>
          </w:p>
        </w:tc>
        <w:tc>
          <w:tcPr>
            <w:tcW w:w="640" w:type="pct"/>
            <w:vAlign w:val="center"/>
          </w:tcPr>
          <w:p w14:paraId="6B03ED1E">
            <w:pPr>
              <w:pStyle w:val="12"/>
              <w:jc w:val="center"/>
            </w:pPr>
            <w:r>
              <w:rPr>
                <w:rFonts w:hint="eastAsia"/>
              </w:rPr>
              <w:t>关2</w:t>
            </w:r>
          </w:p>
        </w:tc>
        <w:tc>
          <w:tcPr>
            <w:tcW w:w="748" w:type="pct"/>
            <w:vAlign w:val="center"/>
          </w:tcPr>
          <w:p w14:paraId="14EDDB7A">
            <w:pPr>
              <w:pStyle w:val="12"/>
              <w:jc w:val="center"/>
            </w:pPr>
            <w:r>
              <w:rPr>
                <w:rFonts w:hint="eastAsia"/>
              </w:rPr>
              <w:t>简2</w:t>
            </w:r>
          </w:p>
        </w:tc>
      </w:tr>
      <w:tr w14:paraId="5FC357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113B1637">
            <w:pPr>
              <w:pStyle w:val="12"/>
              <w:jc w:val="center"/>
            </w:pPr>
            <w:r>
              <w:rPr>
                <w:rFonts w:hint="eastAsia"/>
              </w:rPr>
              <w:t>90</w:t>
            </w:r>
          </w:p>
        </w:tc>
        <w:tc>
          <w:tcPr>
            <w:tcW w:w="640" w:type="pct"/>
            <w:vAlign w:val="center"/>
          </w:tcPr>
          <w:p w14:paraId="23117C53">
            <w:pPr>
              <w:pStyle w:val="12"/>
              <w:jc w:val="center"/>
            </w:pPr>
            <w:r>
              <w:rPr>
                <w:rFonts w:hint="eastAsia"/>
              </w:rPr>
              <w:t>康</w:t>
            </w:r>
          </w:p>
        </w:tc>
        <w:tc>
          <w:tcPr>
            <w:tcW w:w="640" w:type="pct"/>
            <w:vAlign w:val="center"/>
          </w:tcPr>
          <w:p w14:paraId="70C835D7">
            <w:pPr>
              <w:pStyle w:val="12"/>
              <w:jc w:val="center"/>
            </w:pPr>
            <w:r>
              <w:rPr>
                <w:rFonts w:hint="eastAsia"/>
              </w:rPr>
              <w:t>34</w:t>
            </w:r>
          </w:p>
        </w:tc>
        <w:tc>
          <w:tcPr>
            <w:tcW w:w="739" w:type="pct"/>
            <w:vAlign w:val="center"/>
          </w:tcPr>
          <w:p w14:paraId="51FFDF77">
            <w:pPr>
              <w:pStyle w:val="12"/>
              <w:jc w:val="center"/>
            </w:pPr>
            <w:r>
              <w:rPr>
                <w:rFonts w:hint="eastAsia"/>
              </w:rPr>
              <w:t>0.04</w:t>
            </w:r>
          </w:p>
        </w:tc>
        <w:tc>
          <w:tcPr>
            <w:tcW w:w="471" w:type="pct"/>
            <w:vAlign w:val="center"/>
          </w:tcPr>
          <w:p w14:paraId="5D5D1C19">
            <w:pPr>
              <w:pStyle w:val="12"/>
              <w:jc w:val="center"/>
            </w:pPr>
            <w:r>
              <w:rPr>
                <w:rFonts w:hint="eastAsia"/>
              </w:rPr>
              <w:t>舒2</w:t>
            </w:r>
          </w:p>
        </w:tc>
        <w:tc>
          <w:tcPr>
            <w:tcW w:w="640" w:type="pct"/>
            <w:vAlign w:val="center"/>
          </w:tcPr>
          <w:p w14:paraId="07D92F23">
            <w:pPr>
              <w:pStyle w:val="12"/>
              <w:jc w:val="center"/>
            </w:pPr>
            <w:r>
              <w:rPr>
                <w:rFonts w:hint="eastAsia"/>
              </w:rPr>
              <w:t>包2</w:t>
            </w:r>
          </w:p>
        </w:tc>
        <w:tc>
          <w:tcPr>
            <w:tcW w:w="640" w:type="pct"/>
            <w:vAlign w:val="center"/>
          </w:tcPr>
          <w:p w14:paraId="2B6CF3EF">
            <w:pPr>
              <w:pStyle w:val="12"/>
              <w:jc w:val="center"/>
            </w:pPr>
            <w:r>
              <w:rPr>
                <w:rFonts w:hint="eastAsia"/>
              </w:rPr>
              <w:t>席1</w:t>
            </w:r>
          </w:p>
        </w:tc>
        <w:tc>
          <w:tcPr>
            <w:tcW w:w="748" w:type="pct"/>
            <w:vAlign w:val="center"/>
          </w:tcPr>
          <w:p w14:paraId="6B524E60">
            <w:pPr>
              <w:pStyle w:val="12"/>
              <w:jc w:val="center"/>
            </w:pPr>
            <w:r>
              <w:rPr>
                <w:rFonts w:hint="eastAsia"/>
              </w:rPr>
              <w:t>阙1</w:t>
            </w:r>
          </w:p>
        </w:tc>
      </w:tr>
      <w:tr w14:paraId="49CE52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6C1CF47B">
            <w:pPr>
              <w:pStyle w:val="12"/>
              <w:jc w:val="center"/>
            </w:pPr>
            <w:r>
              <w:rPr>
                <w:rFonts w:hint="eastAsia"/>
              </w:rPr>
              <w:t>91</w:t>
            </w:r>
          </w:p>
        </w:tc>
        <w:tc>
          <w:tcPr>
            <w:tcW w:w="640" w:type="pct"/>
            <w:vAlign w:val="center"/>
          </w:tcPr>
          <w:p w14:paraId="62798F25">
            <w:pPr>
              <w:pStyle w:val="12"/>
              <w:jc w:val="center"/>
            </w:pPr>
            <w:r>
              <w:rPr>
                <w:rFonts w:hint="eastAsia"/>
              </w:rPr>
              <w:t>伍</w:t>
            </w:r>
          </w:p>
        </w:tc>
        <w:tc>
          <w:tcPr>
            <w:tcW w:w="640" w:type="pct"/>
            <w:vAlign w:val="center"/>
          </w:tcPr>
          <w:p w14:paraId="6FAD60F7">
            <w:pPr>
              <w:pStyle w:val="12"/>
              <w:jc w:val="center"/>
            </w:pPr>
            <w:r>
              <w:rPr>
                <w:rFonts w:hint="eastAsia"/>
              </w:rPr>
              <w:t>33</w:t>
            </w:r>
          </w:p>
        </w:tc>
        <w:tc>
          <w:tcPr>
            <w:tcW w:w="739" w:type="pct"/>
            <w:vAlign w:val="center"/>
          </w:tcPr>
          <w:p w14:paraId="4D4E1D8F">
            <w:pPr>
              <w:pStyle w:val="12"/>
              <w:jc w:val="center"/>
            </w:pPr>
            <w:r>
              <w:rPr>
                <w:rFonts w:hint="eastAsia"/>
              </w:rPr>
              <w:t>0.04</w:t>
            </w:r>
          </w:p>
        </w:tc>
        <w:tc>
          <w:tcPr>
            <w:tcW w:w="471" w:type="pct"/>
            <w:vAlign w:val="center"/>
          </w:tcPr>
          <w:p w14:paraId="43E75D32">
            <w:pPr>
              <w:pStyle w:val="12"/>
              <w:jc w:val="center"/>
            </w:pPr>
            <w:r>
              <w:rPr>
                <w:rFonts w:hint="eastAsia"/>
              </w:rPr>
              <w:t>商1</w:t>
            </w:r>
          </w:p>
        </w:tc>
        <w:tc>
          <w:tcPr>
            <w:tcW w:w="640" w:type="pct"/>
            <w:vAlign w:val="center"/>
          </w:tcPr>
          <w:p w14:paraId="517C1762">
            <w:pPr>
              <w:pStyle w:val="12"/>
              <w:jc w:val="center"/>
            </w:pPr>
            <w:r>
              <w:rPr>
                <w:rFonts w:hint="eastAsia"/>
              </w:rPr>
              <w:t>常1</w:t>
            </w:r>
          </w:p>
        </w:tc>
        <w:tc>
          <w:tcPr>
            <w:tcW w:w="640" w:type="pct"/>
            <w:vAlign w:val="center"/>
          </w:tcPr>
          <w:p w14:paraId="211725FF">
            <w:pPr>
              <w:pStyle w:val="12"/>
              <w:jc w:val="center"/>
            </w:pPr>
            <w:r>
              <w:rPr>
                <w:rFonts w:hint="eastAsia"/>
              </w:rPr>
              <w:t>梅1</w:t>
            </w:r>
          </w:p>
        </w:tc>
        <w:tc>
          <w:tcPr>
            <w:tcW w:w="748" w:type="pct"/>
            <w:vAlign w:val="center"/>
          </w:tcPr>
          <w:p w14:paraId="3A1E273B">
            <w:pPr>
              <w:pStyle w:val="12"/>
              <w:jc w:val="center"/>
            </w:pPr>
            <w:r>
              <w:rPr>
                <w:rFonts w:hint="eastAsia"/>
              </w:rPr>
              <w:t>裴1</w:t>
            </w:r>
          </w:p>
        </w:tc>
      </w:tr>
      <w:tr w14:paraId="3C7F50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3557315C">
            <w:pPr>
              <w:pStyle w:val="12"/>
              <w:jc w:val="center"/>
            </w:pPr>
            <w:r>
              <w:rPr>
                <w:rFonts w:hint="eastAsia"/>
              </w:rPr>
              <w:t>92</w:t>
            </w:r>
          </w:p>
        </w:tc>
        <w:tc>
          <w:tcPr>
            <w:tcW w:w="640" w:type="pct"/>
            <w:vAlign w:val="center"/>
          </w:tcPr>
          <w:p w14:paraId="727CE935">
            <w:pPr>
              <w:pStyle w:val="12"/>
              <w:jc w:val="center"/>
            </w:pPr>
            <w:r>
              <w:rPr>
                <w:rFonts w:hint="eastAsia"/>
              </w:rPr>
              <w:t>甘</w:t>
            </w:r>
          </w:p>
        </w:tc>
        <w:tc>
          <w:tcPr>
            <w:tcW w:w="640" w:type="pct"/>
            <w:vAlign w:val="center"/>
          </w:tcPr>
          <w:p w14:paraId="6F2D8ABE">
            <w:pPr>
              <w:pStyle w:val="12"/>
              <w:jc w:val="center"/>
            </w:pPr>
            <w:r>
              <w:rPr>
                <w:rFonts w:hint="eastAsia"/>
              </w:rPr>
              <w:t>31</w:t>
            </w:r>
          </w:p>
        </w:tc>
        <w:tc>
          <w:tcPr>
            <w:tcW w:w="739" w:type="pct"/>
            <w:vAlign w:val="center"/>
          </w:tcPr>
          <w:p w14:paraId="5C783271">
            <w:pPr>
              <w:pStyle w:val="12"/>
              <w:jc w:val="center"/>
            </w:pPr>
            <w:r>
              <w:rPr>
                <w:rFonts w:hint="eastAsia"/>
              </w:rPr>
              <w:t>0.04</w:t>
            </w:r>
          </w:p>
        </w:tc>
        <w:tc>
          <w:tcPr>
            <w:tcW w:w="471" w:type="pct"/>
            <w:vAlign w:val="center"/>
          </w:tcPr>
          <w:p w14:paraId="44EBD467">
            <w:pPr>
              <w:pStyle w:val="12"/>
              <w:jc w:val="center"/>
            </w:pPr>
            <w:r>
              <w:rPr>
                <w:rFonts w:hint="eastAsia"/>
              </w:rPr>
              <w:t>万1</w:t>
            </w:r>
          </w:p>
        </w:tc>
        <w:tc>
          <w:tcPr>
            <w:tcW w:w="640" w:type="pct"/>
            <w:vAlign w:val="center"/>
          </w:tcPr>
          <w:p w14:paraId="21BB4D8F">
            <w:pPr>
              <w:pStyle w:val="12"/>
              <w:jc w:val="center"/>
            </w:pPr>
            <w:r>
              <w:rPr>
                <w:rFonts w:hint="eastAsia"/>
              </w:rPr>
              <w:t>申1</w:t>
            </w:r>
          </w:p>
        </w:tc>
        <w:tc>
          <w:tcPr>
            <w:tcW w:w="640" w:type="pct"/>
            <w:vAlign w:val="center"/>
          </w:tcPr>
          <w:p w14:paraId="3162095A">
            <w:pPr>
              <w:pStyle w:val="12"/>
              <w:jc w:val="center"/>
            </w:pPr>
            <w:r>
              <w:rPr>
                <w:rFonts w:hint="eastAsia"/>
              </w:rPr>
              <w:t>勾1</w:t>
            </w:r>
          </w:p>
        </w:tc>
        <w:tc>
          <w:tcPr>
            <w:tcW w:w="748" w:type="pct"/>
            <w:vAlign w:val="center"/>
          </w:tcPr>
          <w:p w14:paraId="5AFB81BB">
            <w:pPr>
              <w:pStyle w:val="12"/>
              <w:jc w:val="center"/>
            </w:pPr>
            <w:r>
              <w:rPr>
                <w:rFonts w:hint="eastAsia"/>
              </w:rPr>
              <w:t>衷1</w:t>
            </w:r>
          </w:p>
        </w:tc>
      </w:tr>
      <w:tr w14:paraId="024FAB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0529DD4D">
            <w:pPr>
              <w:pStyle w:val="12"/>
              <w:jc w:val="center"/>
            </w:pPr>
            <w:r>
              <w:rPr>
                <w:rFonts w:hint="eastAsia"/>
              </w:rPr>
              <w:t>93</w:t>
            </w:r>
          </w:p>
        </w:tc>
        <w:tc>
          <w:tcPr>
            <w:tcW w:w="640" w:type="pct"/>
            <w:vAlign w:val="center"/>
          </w:tcPr>
          <w:p w14:paraId="3CB10273">
            <w:pPr>
              <w:pStyle w:val="12"/>
              <w:jc w:val="center"/>
            </w:pPr>
            <w:r>
              <w:rPr>
                <w:rFonts w:hint="eastAsia"/>
              </w:rPr>
              <w:t>陶</w:t>
            </w:r>
          </w:p>
        </w:tc>
        <w:tc>
          <w:tcPr>
            <w:tcW w:w="640" w:type="pct"/>
            <w:vAlign w:val="center"/>
          </w:tcPr>
          <w:p w14:paraId="15EAED8E">
            <w:pPr>
              <w:pStyle w:val="12"/>
              <w:jc w:val="center"/>
            </w:pPr>
            <w:r>
              <w:rPr>
                <w:rFonts w:hint="eastAsia"/>
              </w:rPr>
              <w:t>29</w:t>
            </w:r>
          </w:p>
        </w:tc>
        <w:tc>
          <w:tcPr>
            <w:tcW w:w="739" w:type="pct"/>
            <w:vAlign w:val="center"/>
          </w:tcPr>
          <w:p w14:paraId="1B1919A1">
            <w:pPr>
              <w:pStyle w:val="12"/>
              <w:jc w:val="center"/>
            </w:pPr>
            <w:r>
              <w:rPr>
                <w:rFonts w:hint="eastAsia"/>
              </w:rPr>
              <w:t>0.03</w:t>
            </w:r>
          </w:p>
        </w:tc>
        <w:tc>
          <w:tcPr>
            <w:tcW w:w="471" w:type="pct"/>
            <w:vAlign w:val="center"/>
          </w:tcPr>
          <w:p w14:paraId="28375350">
            <w:pPr>
              <w:pStyle w:val="12"/>
              <w:jc w:val="center"/>
            </w:pPr>
            <w:r>
              <w:rPr>
                <w:rFonts w:hint="eastAsia"/>
              </w:rPr>
              <w:t>覃1</w:t>
            </w:r>
          </w:p>
        </w:tc>
        <w:tc>
          <w:tcPr>
            <w:tcW w:w="640" w:type="pct"/>
            <w:vAlign w:val="center"/>
          </w:tcPr>
          <w:p w14:paraId="75F499FB">
            <w:pPr>
              <w:pStyle w:val="12"/>
              <w:jc w:val="center"/>
            </w:pPr>
            <w:r>
              <w:rPr>
                <w:rFonts w:hint="eastAsia"/>
              </w:rPr>
              <w:t>岑1</w:t>
            </w:r>
          </w:p>
        </w:tc>
        <w:tc>
          <w:tcPr>
            <w:tcW w:w="640" w:type="pct"/>
            <w:vAlign w:val="center"/>
          </w:tcPr>
          <w:p w14:paraId="06CE2D3A">
            <w:pPr>
              <w:pStyle w:val="12"/>
              <w:jc w:val="center"/>
            </w:pPr>
            <w:r>
              <w:rPr>
                <w:rFonts w:hint="eastAsia"/>
              </w:rPr>
              <w:t>—</w:t>
            </w:r>
          </w:p>
        </w:tc>
        <w:tc>
          <w:tcPr>
            <w:tcW w:w="748" w:type="pct"/>
            <w:vAlign w:val="center"/>
          </w:tcPr>
          <w:p w14:paraId="417B2438">
            <w:pPr>
              <w:pStyle w:val="12"/>
              <w:jc w:val="center"/>
            </w:pPr>
            <w:r>
              <w:rPr>
                <w:rFonts w:hint="eastAsia"/>
              </w:rPr>
              <w:t>—</w:t>
            </w:r>
          </w:p>
        </w:tc>
      </w:tr>
      <w:tr w14:paraId="7F630A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1" w:type="pct"/>
            <w:vAlign w:val="center"/>
          </w:tcPr>
          <w:p w14:paraId="2EEDD116">
            <w:pPr>
              <w:pStyle w:val="12"/>
              <w:jc w:val="center"/>
            </w:pPr>
            <w:r>
              <w:rPr>
                <w:rFonts w:hint="eastAsia"/>
              </w:rPr>
              <w:t>94</w:t>
            </w:r>
          </w:p>
        </w:tc>
        <w:tc>
          <w:tcPr>
            <w:tcW w:w="640" w:type="pct"/>
            <w:vAlign w:val="center"/>
          </w:tcPr>
          <w:p w14:paraId="1995CCA9">
            <w:pPr>
              <w:pStyle w:val="12"/>
              <w:jc w:val="center"/>
            </w:pPr>
            <w:r>
              <w:rPr>
                <w:rFonts w:hint="eastAsia"/>
              </w:rPr>
              <w:t>汪</w:t>
            </w:r>
          </w:p>
        </w:tc>
        <w:tc>
          <w:tcPr>
            <w:tcW w:w="640" w:type="pct"/>
            <w:vAlign w:val="center"/>
          </w:tcPr>
          <w:p w14:paraId="75D4CE2E">
            <w:pPr>
              <w:pStyle w:val="12"/>
              <w:jc w:val="center"/>
            </w:pPr>
            <w:r>
              <w:rPr>
                <w:rFonts w:hint="eastAsia"/>
              </w:rPr>
              <w:t>27</w:t>
            </w:r>
          </w:p>
        </w:tc>
        <w:tc>
          <w:tcPr>
            <w:tcW w:w="739" w:type="pct"/>
            <w:vAlign w:val="center"/>
          </w:tcPr>
          <w:p w14:paraId="566DE5E7">
            <w:pPr>
              <w:pStyle w:val="12"/>
              <w:jc w:val="center"/>
            </w:pPr>
            <w:r>
              <w:rPr>
                <w:rFonts w:hint="eastAsia"/>
              </w:rPr>
              <w:t>0.03</w:t>
            </w:r>
          </w:p>
        </w:tc>
        <w:tc>
          <w:tcPr>
            <w:tcW w:w="471" w:type="pct"/>
            <w:vAlign w:val="center"/>
          </w:tcPr>
          <w:p w14:paraId="0EBF0B8B">
            <w:pPr>
              <w:pStyle w:val="12"/>
              <w:jc w:val="center"/>
            </w:pPr>
          </w:p>
        </w:tc>
        <w:tc>
          <w:tcPr>
            <w:tcW w:w="640" w:type="pct"/>
            <w:vAlign w:val="center"/>
          </w:tcPr>
          <w:p w14:paraId="23BFA07A">
            <w:pPr>
              <w:pStyle w:val="12"/>
              <w:jc w:val="center"/>
            </w:pPr>
          </w:p>
        </w:tc>
        <w:tc>
          <w:tcPr>
            <w:tcW w:w="640" w:type="pct"/>
            <w:vAlign w:val="center"/>
          </w:tcPr>
          <w:p w14:paraId="675755AC">
            <w:pPr>
              <w:pStyle w:val="12"/>
              <w:jc w:val="center"/>
            </w:pPr>
          </w:p>
        </w:tc>
        <w:tc>
          <w:tcPr>
            <w:tcW w:w="748" w:type="pct"/>
            <w:vAlign w:val="center"/>
          </w:tcPr>
          <w:p w14:paraId="1540E910">
            <w:pPr>
              <w:pStyle w:val="12"/>
              <w:jc w:val="center"/>
            </w:pPr>
          </w:p>
        </w:tc>
      </w:tr>
    </w:tbl>
    <w:p w14:paraId="5131A167">
      <w:pPr>
        <w:ind w:firstLine="422"/>
        <w:rPr>
          <w:rFonts w:ascii="宋体" w:hAnsi="宋体" w:cs="宋体"/>
          <w:b/>
        </w:rPr>
      </w:pPr>
      <w:r>
        <w:rPr>
          <w:rFonts w:hint="eastAsia" w:ascii="宋体" w:hAnsi="宋体" w:cs="宋体"/>
          <w:b/>
        </w:rPr>
        <w:t>说明：以上合计：141姓83190户（不含市区）</w:t>
      </w:r>
    </w:p>
    <w:p w14:paraId="32DC4F4B">
      <w:pPr>
        <w:pStyle w:val="5"/>
        <w:rPr>
          <w:rFonts w:ascii="宋体" w:hAnsi="宋体" w:cs="宋体"/>
        </w:rPr>
      </w:pPr>
      <w:r>
        <w:rPr>
          <w:rFonts w:hint="eastAsia" w:ascii="宋体" w:hAnsi="宋体" w:cs="宋体"/>
        </w:rPr>
        <w:t>二、姓氏分布</w:t>
      </w:r>
    </w:p>
    <w:p w14:paraId="476280B3">
      <w:pPr>
        <w:ind w:firstLine="420"/>
        <w:rPr>
          <w:rFonts w:ascii="宋体" w:hAnsi="宋体" w:cs="宋体"/>
        </w:rPr>
      </w:pPr>
      <w:r>
        <w:rPr>
          <w:rFonts w:hint="eastAsia" w:ascii="宋体" w:hAnsi="宋体" w:cs="宋体"/>
        </w:rPr>
        <w:t>各姓聚居百户以上的镇及50户以上的村落分列表6-11：</w:t>
      </w:r>
    </w:p>
    <w:p w14:paraId="421856D1">
      <w:pPr>
        <w:ind w:firstLine="422"/>
        <w:jc w:val="center"/>
        <w:rPr>
          <w:rFonts w:ascii="宋体" w:hAnsi="宋体" w:cs="宋体"/>
          <w:b/>
          <w:bCs/>
        </w:rPr>
      </w:pPr>
      <w:r>
        <w:rPr>
          <w:rFonts w:hint="eastAsia" w:ascii="宋体" w:hAnsi="宋体" w:cs="宋体"/>
          <w:b/>
          <w:bCs/>
        </w:rPr>
        <w:t>南雄市姓氏分布统计</w:t>
      </w:r>
    </w:p>
    <w:p w14:paraId="630059CC">
      <w:pPr>
        <w:ind w:firstLine="0" w:firstLineChars="0"/>
        <w:rPr>
          <w:rFonts w:ascii="宋体" w:hAnsi="宋体" w:cs="宋体"/>
          <w:b/>
          <w:bCs/>
        </w:rPr>
      </w:pPr>
      <w:r>
        <w:rPr>
          <w:rFonts w:hint="eastAsia" w:ascii="宋体" w:hAnsi="宋体" w:cs="宋体"/>
          <w:b/>
          <w:bCs/>
        </w:rPr>
        <w:t>表6-11</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5"/>
        <w:gridCol w:w="3381"/>
        <w:gridCol w:w="5886"/>
      </w:tblGrid>
      <w:tr w14:paraId="39DBDC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0F390406">
            <w:pPr>
              <w:pStyle w:val="12"/>
              <w:jc w:val="center"/>
              <w:rPr>
                <w:b/>
              </w:rPr>
            </w:pPr>
            <w:r>
              <w:rPr>
                <w:rFonts w:hint="eastAsia"/>
                <w:b/>
              </w:rPr>
              <w:t>姓</w:t>
            </w:r>
          </w:p>
        </w:tc>
        <w:tc>
          <w:tcPr>
            <w:tcW w:w="1697" w:type="pct"/>
            <w:vAlign w:val="center"/>
          </w:tcPr>
          <w:p w14:paraId="7A4D1198">
            <w:pPr>
              <w:pStyle w:val="12"/>
              <w:jc w:val="center"/>
              <w:rPr>
                <w:b/>
              </w:rPr>
            </w:pPr>
            <w:r>
              <w:rPr>
                <w:rFonts w:hint="eastAsia"/>
                <w:b/>
              </w:rPr>
              <w:t>聚居百户以上的镇</w:t>
            </w:r>
          </w:p>
        </w:tc>
        <w:tc>
          <w:tcPr>
            <w:tcW w:w="2954" w:type="pct"/>
            <w:vAlign w:val="center"/>
          </w:tcPr>
          <w:p w14:paraId="26BC60AA">
            <w:pPr>
              <w:pStyle w:val="12"/>
              <w:jc w:val="center"/>
              <w:rPr>
                <w:b/>
              </w:rPr>
            </w:pPr>
            <w:r>
              <w:rPr>
                <w:rFonts w:hint="eastAsia"/>
                <w:b/>
              </w:rPr>
              <w:t>聚居五十户以上的村落</w:t>
            </w:r>
          </w:p>
        </w:tc>
      </w:tr>
      <w:tr w14:paraId="3B5C5D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41E523B7">
            <w:pPr>
              <w:pStyle w:val="12"/>
              <w:jc w:val="center"/>
            </w:pPr>
            <w:r>
              <w:rPr>
                <w:rFonts w:hint="eastAsia"/>
              </w:rPr>
              <w:t>刘</w:t>
            </w:r>
          </w:p>
        </w:tc>
        <w:tc>
          <w:tcPr>
            <w:tcW w:w="1697" w:type="pct"/>
            <w:vAlign w:val="center"/>
          </w:tcPr>
          <w:p w14:paraId="653B2136">
            <w:pPr>
              <w:pStyle w:val="12"/>
              <w:jc w:val="left"/>
            </w:pPr>
            <w:r>
              <w:rPr>
                <w:rFonts w:hint="eastAsia"/>
              </w:rPr>
              <w:t>湖口（1353）    珠玑（966）</w:t>
            </w:r>
          </w:p>
          <w:p w14:paraId="4C66B3A4">
            <w:pPr>
              <w:pStyle w:val="12"/>
              <w:jc w:val="left"/>
            </w:pPr>
            <w:r>
              <w:rPr>
                <w:rFonts w:hint="eastAsia"/>
              </w:rPr>
              <w:t>雄州（834）     南亩（567）</w:t>
            </w:r>
          </w:p>
          <w:p w14:paraId="27642999">
            <w:pPr>
              <w:pStyle w:val="12"/>
              <w:jc w:val="left"/>
            </w:pPr>
            <w:r>
              <w:rPr>
                <w:rFonts w:hint="eastAsia"/>
              </w:rPr>
              <w:t>全安（520）     水口（346）</w:t>
            </w:r>
          </w:p>
          <w:p w14:paraId="33887AFF">
            <w:pPr>
              <w:pStyle w:val="12"/>
              <w:jc w:val="left"/>
            </w:pPr>
            <w:r>
              <w:rPr>
                <w:rFonts w:hint="eastAsia"/>
              </w:rPr>
              <w:t>邓坊（351）     界址（287）</w:t>
            </w:r>
          </w:p>
          <w:p w14:paraId="7858922C">
            <w:pPr>
              <w:pStyle w:val="12"/>
              <w:jc w:val="left"/>
            </w:pPr>
            <w:r>
              <w:rPr>
                <w:rFonts w:hint="eastAsia"/>
              </w:rPr>
              <w:t>坪田（248）     主田（236）</w:t>
            </w:r>
          </w:p>
          <w:p w14:paraId="671C1632">
            <w:pPr>
              <w:pStyle w:val="12"/>
              <w:jc w:val="left"/>
            </w:pPr>
            <w:r>
              <w:rPr>
                <w:rFonts w:hint="eastAsia"/>
              </w:rPr>
              <w:t>帽子峰（230）   古市（227）</w:t>
            </w:r>
          </w:p>
          <w:p w14:paraId="55F09B0D">
            <w:pPr>
              <w:pStyle w:val="12"/>
              <w:jc w:val="left"/>
            </w:pPr>
            <w:r>
              <w:rPr>
                <w:rFonts w:hint="eastAsia"/>
              </w:rPr>
              <w:t>乌迳（221）     黄坑（172）</w:t>
            </w:r>
          </w:p>
          <w:p w14:paraId="120C3154">
            <w:pPr>
              <w:pStyle w:val="12"/>
              <w:jc w:val="left"/>
            </w:pPr>
            <w:r>
              <w:rPr>
                <w:rFonts w:hint="eastAsia"/>
              </w:rPr>
              <w:t>油山（167）    澜河（121）</w:t>
            </w:r>
          </w:p>
        </w:tc>
        <w:tc>
          <w:tcPr>
            <w:tcW w:w="2954" w:type="pct"/>
            <w:vAlign w:val="center"/>
          </w:tcPr>
          <w:p w14:paraId="23D501E6">
            <w:pPr>
              <w:pStyle w:val="12"/>
              <w:jc w:val="left"/>
            </w:pPr>
            <w:r>
              <w:rPr>
                <w:rFonts w:hint="eastAsia"/>
              </w:rPr>
              <w:t>琵琶岭（250）      瑶坑（134）         老圩场（97）</w:t>
            </w:r>
          </w:p>
          <w:p w14:paraId="01DBEDE2">
            <w:pPr>
              <w:pStyle w:val="12"/>
              <w:jc w:val="left"/>
            </w:pPr>
            <w:r>
              <w:rPr>
                <w:rFonts w:hint="eastAsia"/>
              </w:rPr>
              <w:t>铺背围俚（98）     晏塘（87）          老龙（87）</w:t>
            </w:r>
          </w:p>
          <w:p w14:paraId="31748F6F">
            <w:pPr>
              <w:pStyle w:val="12"/>
              <w:jc w:val="left"/>
            </w:pPr>
            <w:r>
              <w:rPr>
                <w:rFonts w:hint="eastAsia"/>
              </w:rPr>
              <w:t>石庄刘屋（87）     界址坳下（83）      月光坪（82）</w:t>
            </w:r>
          </w:p>
          <w:p w14:paraId="4E39FF99">
            <w:pPr>
              <w:pStyle w:val="12"/>
              <w:jc w:val="left"/>
            </w:pPr>
            <w:r>
              <w:rPr>
                <w:rFonts w:hint="eastAsia"/>
              </w:rPr>
              <w:t>长龙刘屋（81）     邓公桥（74）        老流坑（72）</w:t>
            </w:r>
          </w:p>
          <w:p w14:paraId="3E1CF1C3">
            <w:pPr>
              <w:pStyle w:val="12"/>
              <w:jc w:val="left"/>
            </w:pPr>
            <w:r>
              <w:rPr>
                <w:rFonts w:hint="eastAsia"/>
              </w:rPr>
              <w:t>角公塘（71）       长迳五六队（70）    赤马水底（69）长迳二三队（66）   古头（65）          长坑塔塘（64）</w:t>
            </w:r>
          </w:p>
          <w:p w14:paraId="71164FC4">
            <w:pPr>
              <w:pStyle w:val="12"/>
              <w:jc w:val="left"/>
            </w:pPr>
            <w:r>
              <w:rPr>
                <w:rFonts w:hint="eastAsia"/>
              </w:rPr>
              <w:t>里和墟（64）       黄田刘屋（63）      百顺汾水（63）</w:t>
            </w:r>
          </w:p>
          <w:p w14:paraId="10DB5F32">
            <w:pPr>
              <w:pStyle w:val="12"/>
              <w:jc w:val="left"/>
            </w:pPr>
            <w:r>
              <w:rPr>
                <w:rFonts w:hint="eastAsia"/>
              </w:rPr>
              <w:t>里东刘屋山（60）   江背（60）          坪地田心（60）</w:t>
            </w:r>
          </w:p>
          <w:p w14:paraId="0B545728">
            <w:pPr>
              <w:pStyle w:val="12"/>
              <w:jc w:val="left"/>
            </w:pPr>
            <w:r>
              <w:rPr>
                <w:rFonts w:hint="eastAsia"/>
              </w:rPr>
              <w:t>枫树下（58）       岗围老屋（56）      铺背（56）</w:t>
            </w:r>
          </w:p>
          <w:p w14:paraId="75683E98">
            <w:pPr>
              <w:pStyle w:val="12"/>
              <w:jc w:val="left"/>
            </w:pPr>
            <w:r>
              <w:rPr>
                <w:rFonts w:hint="eastAsia"/>
              </w:rPr>
              <w:t>赤马黄陂（54）     坪湖（53）          城门上井（51）</w:t>
            </w:r>
          </w:p>
          <w:p w14:paraId="03764B50">
            <w:pPr>
              <w:pStyle w:val="12"/>
              <w:jc w:val="left"/>
            </w:pPr>
            <w:r>
              <w:rPr>
                <w:rFonts w:hint="eastAsia"/>
              </w:rPr>
              <w:t>岗围围俚（51）     岗围梅杆（49）      猪头岭（49）</w:t>
            </w:r>
          </w:p>
          <w:p w14:paraId="698C6C6A">
            <w:pPr>
              <w:pStyle w:val="12"/>
              <w:jc w:val="left"/>
            </w:pPr>
            <w:r>
              <w:rPr>
                <w:rFonts w:hint="eastAsia"/>
              </w:rPr>
              <w:t>灵潭石头坝（49）   南亩长洞（48）      黎口上坪（49）</w:t>
            </w:r>
          </w:p>
        </w:tc>
      </w:tr>
      <w:tr w14:paraId="19E39B3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1F335FF2">
            <w:pPr>
              <w:pStyle w:val="12"/>
              <w:jc w:val="center"/>
            </w:pPr>
            <w:r>
              <w:rPr>
                <w:rFonts w:hint="eastAsia"/>
              </w:rPr>
              <w:t>叶</w:t>
            </w:r>
          </w:p>
        </w:tc>
        <w:tc>
          <w:tcPr>
            <w:tcW w:w="1697" w:type="pct"/>
            <w:vAlign w:val="center"/>
          </w:tcPr>
          <w:p w14:paraId="391CEE83">
            <w:pPr>
              <w:pStyle w:val="12"/>
              <w:jc w:val="left"/>
            </w:pPr>
            <w:r>
              <w:rPr>
                <w:rFonts w:hint="eastAsia"/>
              </w:rPr>
              <w:t>坪田（2170）   乌迳（1799）</w:t>
            </w:r>
          </w:p>
          <w:p w14:paraId="30B7FC6E">
            <w:pPr>
              <w:pStyle w:val="12"/>
              <w:jc w:val="left"/>
            </w:pPr>
            <w:r>
              <w:rPr>
                <w:rFonts w:hint="eastAsia"/>
              </w:rPr>
              <w:t>南亩（394）    界址（236）</w:t>
            </w:r>
          </w:p>
          <w:p w14:paraId="5956D5F1">
            <w:pPr>
              <w:pStyle w:val="12"/>
              <w:jc w:val="left"/>
            </w:pPr>
            <w:r>
              <w:rPr>
                <w:rFonts w:hint="eastAsia"/>
              </w:rPr>
              <w:t>雄州（202）    油山（190）</w:t>
            </w:r>
          </w:p>
          <w:p w14:paraId="08C73115">
            <w:pPr>
              <w:pStyle w:val="12"/>
              <w:jc w:val="left"/>
            </w:pPr>
            <w:r>
              <w:rPr>
                <w:rFonts w:hint="eastAsia"/>
              </w:rPr>
              <w:t>邓坊（179）    黄坑（149）</w:t>
            </w:r>
          </w:p>
          <w:p w14:paraId="3767097E">
            <w:pPr>
              <w:pStyle w:val="12"/>
              <w:jc w:val="left"/>
            </w:pPr>
            <w:r>
              <w:rPr>
                <w:rFonts w:hint="eastAsia"/>
              </w:rPr>
              <w:t>百顺（116）    水口（103）</w:t>
            </w:r>
          </w:p>
        </w:tc>
        <w:tc>
          <w:tcPr>
            <w:tcW w:w="2954" w:type="pct"/>
            <w:vAlign w:val="center"/>
          </w:tcPr>
          <w:p w14:paraId="76888CD4">
            <w:pPr>
              <w:pStyle w:val="12"/>
              <w:jc w:val="left"/>
            </w:pPr>
            <w:r>
              <w:rPr>
                <w:rFonts w:hint="eastAsia"/>
              </w:rPr>
              <w:t>黄塘（426）        龙口（252）         山下（186）</w:t>
            </w:r>
          </w:p>
          <w:p w14:paraId="69672544">
            <w:pPr>
              <w:pStyle w:val="12"/>
              <w:jc w:val="left"/>
            </w:pPr>
            <w:r>
              <w:rPr>
                <w:rFonts w:hint="eastAsia"/>
              </w:rPr>
              <w:t>白胜（156）        叶坑（134）         邓坊（125）</w:t>
            </w:r>
          </w:p>
          <w:p w14:paraId="51A127D6">
            <w:pPr>
              <w:pStyle w:val="12"/>
              <w:jc w:val="left"/>
            </w:pPr>
            <w:r>
              <w:rPr>
                <w:rFonts w:hint="eastAsia"/>
              </w:rPr>
              <w:t>龙头（118）        溯水（111）         响联大坑（109）</w:t>
            </w:r>
          </w:p>
          <w:p w14:paraId="4151A3B8">
            <w:pPr>
              <w:pStyle w:val="12"/>
              <w:jc w:val="left"/>
            </w:pPr>
            <w:r>
              <w:rPr>
                <w:rFonts w:hint="eastAsia"/>
              </w:rPr>
              <w:t>坪塘（93）         背迳石塘（86）      水城（84）</w:t>
            </w:r>
          </w:p>
          <w:p w14:paraId="7154322B">
            <w:pPr>
              <w:pStyle w:val="12"/>
              <w:jc w:val="left"/>
            </w:pPr>
            <w:r>
              <w:rPr>
                <w:rFonts w:hint="eastAsia"/>
              </w:rPr>
              <w:t>坪田老屋（77）      背迳东塘（75）     百顺东坑（72）</w:t>
            </w:r>
          </w:p>
          <w:p w14:paraId="5B55F649">
            <w:pPr>
              <w:pStyle w:val="12"/>
              <w:jc w:val="left"/>
            </w:pPr>
            <w:r>
              <w:rPr>
                <w:rFonts w:hint="eastAsia"/>
              </w:rPr>
              <w:t>姜塘（64）          横岭（64）         下屋子（62）</w:t>
            </w:r>
          </w:p>
          <w:p w14:paraId="0F0704CA">
            <w:pPr>
              <w:pStyle w:val="12"/>
              <w:jc w:val="left"/>
            </w:pPr>
            <w:r>
              <w:rPr>
                <w:rFonts w:hint="eastAsia"/>
              </w:rPr>
              <w:t>泷头叶屋（61）      必得坑（61）       乌迳黄泥井（59）</w:t>
            </w:r>
          </w:p>
          <w:p w14:paraId="4729EDF2">
            <w:pPr>
              <w:pStyle w:val="12"/>
              <w:jc w:val="left"/>
            </w:pPr>
            <w:r>
              <w:rPr>
                <w:rFonts w:hint="eastAsia"/>
              </w:rPr>
              <w:t>欧班（57）          上澜（54）         赤马黄陂（52）</w:t>
            </w:r>
          </w:p>
          <w:p w14:paraId="1452847B">
            <w:pPr>
              <w:pStyle w:val="12"/>
              <w:jc w:val="left"/>
            </w:pPr>
            <w:r>
              <w:rPr>
                <w:rFonts w:hint="eastAsia"/>
              </w:rPr>
              <w:t>水塘围俚（53）      老坳背（51）       小塘东岭下（50）</w:t>
            </w:r>
          </w:p>
          <w:p w14:paraId="49233F22">
            <w:pPr>
              <w:pStyle w:val="12"/>
              <w:jc w:val="left"/>
            </w:pPr>
            <w:r>
              <w:rPr>
                <w:rFonts w:hint="eastAsia"/>
              </w:rPr>
              <w:t>勋口田心（50）      勋口老屋（50）</w:t>
            </w:r>
          </w:p>
        </w:tc>
      </w:tr>
      <w:tr w14:paraId="533A81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27627E36">
            <w:pPr>
              <w:pStyle w:val="12"/>
              <w:jc w:val="center"/>
            </w:pPr>
            <w:r>
              <w:rPr>
                <w:rFonts w:hint="eastAsia"/>
              </w:rPr>
              <w:t>陈</w:t>
            </w:r>
          </w:p>
        </w:tc>
        <w:tc>
          <w:tcPr>
            <w:tcW w:w="1697" w:type="pct"/>
            <w:vAlign w:val="center"/>
          </w:tcPr>
          <w:p w14:paraId="46912112">
            <w:pPr>
              <w:pStyle w:val="12"/>
              <w:jc w:val="left"/>
            </w:pPr>
            <w:r>
              <w:rPr>
                <w:rFonts w:hint="eastAsia"/>
              </w:rPr>
              <w:t>湖口（653）    黄坑（596）</w:t>
            </w:r>
          </w:p>
          <w:p w14:paraId="54BB3AEF">
            <w:pPr>
              <w:pStyle w:val="12"/>
              <w:jc w:val="left"/>
            </w:pPr>
            <w:r>
              <w:rPr>
                <w:rFonts w:hint="eastAsia"/>
              </w:rPr>
              <w:t>古市（487）     水口（487）</w:t>
            </w:r>
          </w:p>
          <w:p w14:paraId="06362CEA">
            <w:pPr>
              <w:pStyle w:val="12"/>
              <w:jc w:val="left"/>
            </w:pPr>
            <w:r>
              <w:rPr>
                <w:rFonts w:hint="eastAsia"/>
              </w:rPr>
              <w:t>珠玑（455）    全安（328）</w:t>
            </w:r>
          </w:p>
          <w:p w14:paraId="5F565760">
            <w:pPr>
              <w:pStyle w:val="12"/>
              <w:jc w:val="left"/>
            </w:pPr>
            <w:r>
              <w:rPr>
                <w:rFonts w:hint="eastAsia"/>
              </w:rPr>
              <w:t>雄州（429）    乌迳（285）</w:t>
            </w:r>
          </w:p>
          <w:p w14:paraId="2E70AD9D">
            <w:pPr>
              <w:pStyle w:val="12"/>
              <w:jc w:val="left"/>
            </w:pPr>
            <w:r>
              <w:rPr>
                <w:rFonts w:hint="eastAsia"/>
              </w:rPr>
              <w:t>邓坊（251）     主田（191）</w:t>
            </w:r>
          </w:p>
          <w:p w14:paraId="28DB3588">
            <w:pPr>
              <w:pStyle w:val="12"/>
              <w:jc w:val="left"/>
            </w:pPr>
            <w:r>
              <w:rPr>
                <w:rFonts w:hint="eastAsia"/>
              </w:rPr>
              <w:t>油山（179）    帽子峰（137）</w:t>
            </w:r>
          </w:p>
        </w:tc>
        <w:tc>
          <w:tcPr>
            <w:tcW w:w="2954" w:type="pct"/>
            <w:vAlign w:val="center"/>
          </w:tcPr>
          <w:p w14:paraId="7DF70155">
            <w:pPr>
              <w:pStyle w:val="12"/>
              <w:jc w:val="left"/>
            </w:pPr>
            <w:r>
              <w:rPr>
                <w:rFonts w:hint="eastAsia"/>
              </w:rPr>
              <w:t>溪塘（250）         沙头（175）        黄坑坪岗（158）</w:t>
            </w:r>
          </w:p>
          <w:p w14:paraId="24E72DE4">
            <w:pPr>
              <w:pStyle w:val="12"/>
              <w:jc w:val="left"/>
            </w:pPr>
            <w:r>
              <w:rPr>
                <w:rFonts w:hint="eastAsia"/>
              </w:rPr>
              <w:t>龙眼头（139）       许村（139）        耶溪（118）</w:t>
            </w:r>
          </w:p>
          <w:p w14:paraId="0ACED379">
            <w:pPr>
              <w:pStyle w:val="12"/>
              <w:jc w:val="left"/>
            </w:pPr>
            <w:r>
              <w:rPr>
                <w:rFonts w:hint="eastAsia"/>
              </w:rPr>
              <w:t>城门（116）         湖口石坑（94）     太和旱坑（94）</w:t>
            </w:r>
          </w:p>
          <w:p w14:paraId="57F9E281">
            <w:pPr>
              <w:pStyle w:val="12"/>
              <w:jc w:val="left"/>
            </w:pPr>
            <w:r>
              <w:rPr>
                <w:rFonts w:hint="eastAsia"/>
              </w:rPr>
              <w:t>邓坊竹头坪（84）    修仁苍边（81）     黄坑小陂头（81）</w:t>
            </w:r>
          </w:p>
          <w:p w14:paraId="51349CD6">
            <w:pPr>
              <w:pStyle w:val="12"/>
              <w:jc w:val="left"/>
            </w:pPr>
            <w:r>
              <w:rPr>
                <w:rFonts w:hint="eastAsia"/>
              </w:rPr>
              <w:t>里东岗（72）        泷头龙头角（69）    湖口石古圳（63）</w:t>
            </w:r>
          </w:p>
          <w:p w14:paraId="13B048AF">
            <w:pPr>
              <w:pStyle w:val="12"/>
              <w:jc w:val="left"/>
            </w:pPr>
            <w:r>
              <w:rPr>
                <w:rFonts w:hint="eastAsia"/>
              </w:rPr>
              <w:t>修仁村头（62）      修仁（61）         长龙棠木山（61）</w:t>
            </w:r>
          </w:p>
          <w:p w14:paraId="53E334E8">
            <w:pPr>
              <w:pStyle w:val="12"/>
              <w:jc w:val="left"/>
            </w:pPr>
            <w:r>
              <w:rPr>
                <w:rFonts w:hint="eastAsia"/>
              </w:rPr>
              <w:t>三角岭新龙（60）    荆岗（60）         泷头清龙弯（58）</w:t>
            </w:r>
          </w:p>
          <w:p w14:paraId="2DA22695">
            <w:pPr>
              <w:pStyle w:val="12"/>
              <w:jc w:val="left"/>
            </w:pPr>
            <w:r>
              <w:rPr>
                <w:rFonts w:hint="eastAsia"/>
              </w:rPr>
              <w:t>高溯流塘（56）      承平长坑（53）    艻迳打铁排（50）</w:t>
            </w:r>
          </w:p>
          <w:p w14:paraId="768A33AB">
            <w:pPr>
              <w:pStyle w:val="12"/>
              <w:jc w:val="left"/>
            </w:pPr>
            <w:r>
              <w:rPr>
                <w:rFonts w:hint="eastAsia"/>
              </w:rPr>
              <w:t>坪田楚坑（50）</w:t>
            </w:r>
          </w:p>
        </w:tc>
      </w:tr>
      <w:tr w14:paraId="48D4B4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6716A3A6">
            <w:pPr>
              <w:pStyle w:val="12"/>
              <w:jc w:val="center"/>
            </w:pPr>
            <w:r>
              <w:rPr>
                <w:rFonts w:hint="eastAsia"/>
              </w:rPr>
              <w:t>黄</w:t>
            </w:r>
          </w:p>
        </w:tc>
        <w:tc>
          <w:tcPr>
            <w:tcW w:w="1697" w:type="pct"/>
            <w:vAlign w:val="center"/>
          </w:tcPr>
          <w:p w14:paraId="3B55602F">
            <w:pPr>
              <w:pStyle w:val="12"/>
              <w:jc w:val="left"/>
            </w:pPr>
            <w:r>
              <w:rPr>
                <w:rFonts w:hint="eastAsia"/>
              </w:rPr>
              <w:t>油山（1269）    乌迳（671）</w:t>
            </w:r>
          </w:p>
          <w:p w14:paraId="1A79DA59">
            <w:pPr>
              <w:pStyle w:val="12"/>
              <w:jc w:val="left"/>
            </w:pPr>
            <w:r>
              <w:rPr>
                <w:rFonts w:hint="eastAsia"/>
              </w:rPr>
              <w:t>雄州（488）    主田（438）</w:t>
            </w:r>
          </w:p>
          <w:p w14:paraId="38710D07">
            <w:pPr>
              <w:pStyle w:val="12"/>
              <w:jc w:val="left"/>
            </w:pPr>
            <w:r>
              <w:rPr>
                <w:rFonts w:hint="eastAsia"/>
              </w:rPr>
              <w:t>百顺（242）    全安（226）</w:t>
            </w:r>
          </w:p>
          <w:p w14:paraId="49C86457">
            <w:pPr>
              <w:pStyle w:val="12"/>
              <w:jc w:val="left"/>
            </w:pPr>
            <w:r>
              <w:rPr>
                <w:rFonts w:hint="eastAsia"/>
              </w:rPr>
              <w:t>南亩（224）    珠玑（219）</w:t>
            </w:r>
          </w:p>
          <w:p w14:paraId="44DEA911">
            <w:pPr>
              <w:pStyle w:val="12"/>
              <w:jc w:val="left"/>
            </w:pPr>
            <w:r>
              <w:rPr>
                <w:rFonts w:hint="eastAsia"/>
              </w:rPr>
              <w:t>湖口（197）     江头（190）</w:t>
            </w:r>
          </w:p>
          <w:p w14:paraId="79E7F4FA">
            <w:pPr>
              <w:pStyle w:val="12"/>
              <w:jc w:val="left"/>
            </w:pPr>
            <w:r>
              <w:rPr>
                <w:rFonts w:hint="eastAsia"/>
              </w:rPr>
              <w:t>古市（176）    邓坊（109）</w:t>
            </w:r>
          </w:p>
          <w:p w14:paraId="1CCD6786">
            <w:pPr>
              <w:pStyle w:val="12"/>
              <w:jc w:val="left"/>
            </w:pPr>
            <w:r>
              <w:rPr>
                <w:rFonts w:hint="eastAsia"/>
              </w:rPr>
              <w:t>帽子峰（107）</w:t>
            </w:r>
          </w:p>
        </w:tc>
        <w:tc>
          <w:tcPr>
            <w:tcW w:w="2954" w:type="pct"/>
            <w:vAlign w:val="center"/>
          </w:tcPr>
          <w:p w14:paraId="291A6DCC">
            <w:pPr>
              <w:pStyle w:val="12"/>
              <w:jc w:val="left"/>
            </w:pPr>
            <w:r>
              <w:rPr>
                <w:rFonts w:hint="eastAsia"/>
              </w:rPr>
              <w:t>爱敬（418）        上浆（238）        官门楼（211）</w:t>
            </w:r>
          </w:p>
          <w:p w14:paraId="739E42D5">
            <w:pPr>
              <w:pStyle w:val="12"/>
              <w:jc w:val="left"/>
            </w:pPr>
            <w:r>
              <w:rPr>
                <w:rFonts w:hint="eastAsia"/>
              </w:rPr>
              <w:t>井头（177）        下会（147）        五渡（125）</w:t>
            </w:r>
          </w:p>
          <w:p w14:paraId="2A1202F5">
            <w:pPr>
              <w:pStyle w:val="12"/>
              <w:jc w:val="left"/>
            </w:pPr>
            <w:r>
              <w:rPr>
                <w:rFonts w:hint="eastAsia"/>
              </w:rPr>
              <w:t>灵潭（114）        长龙乌泥坑（95）   白胜迳口（87）</w:t>
            </w:r>
          </w:p>
          <w:p w14:paraId="4E575162">
            <w:pPr>
              <w:pStyle w:val="12"/>
              <w:jc w:val="left"/>
            </w:pPr>
            <w:r>
              <w:rPr>
                <w:rFonts w:hint="eastAsia"/>
              </w:rPr>
              <w:t>铺背长岭（78）     上河塘（76）       百顺杨梅（69）</w:t>
            </w:r>
          </w:p>
          <w:p w14:paraId="4F316BBB">
            <w:pPr>
              <w:pStyle w:val="12"/>
              <w:jc w:val="left"/>
            </w:pPr>
            <w:r>
              <w:rPr>
                <w:rFonts w:hint="eastAsia"/>
              </w:rPr>
              <w:t>坪塘黄屋（53）     小竹乌高塘（51）   锦陂五炉（51）</w:t>
            </w:r>
          </w:p>
        </w:tc>
      </w:tr>
      <w:tr w14:paraId="5BF062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03F88B26">
            <w:pPr>
              <w:pStyle w:val="12"/>
              <w:jc w:val="center"/>
            </w:pPr>
            <w:r>
              <w:rPr>
                <w:rFonts w:hint="eastAsia"/>
              </w:rPr>
              <w:t>李</w:t>
            </w:r>
          </w:p>
        </w:tc>
        <w:tc>
          <w:tcPr>
            <w:tcW w:w="1697" w:type="pct"/>
            <w:vAlign w:val="center"/>
          </w:tcPr>
          <w:p w14:paraId="12B47BAC">
            <w:pPr>
              <w:pStyle w:val="12"/>
              <w:jc w:val="left"/>
            </w:pPr>
            <w:r>
              <w:rPr>
                <w:rFonts w:hint="eastAsia"/>
              </w:rPr>
              <w:t>乌迳（1262）    珠玑（563）</w:t>
            </w:r>
          </w:p>
          <w:p w14:paraId="3ED470CD">
            <w:pPr>
              <w:pStyle w:val="12"/>
              <w:jc w:val="left"/>
            </w:pPr>
            <w:r>
              <w:rPr>
                <w:rFonts w:hint="eastAsia"/>
              </w:rPr>
              <w:t>雄州（421）    古市（366）</w:t>
            </w:r>
          </w:p>
          <w:p w14:paraId="5A90D6B4">
            <w:pPr>
              <w:pStyle w:val="12"/>
              <w:jc w:val="left"/>
            </w:pPr>
            <w:r>
              <w:rPr>
                <w:rFonts w:hint="eastAsia"/>
              </w:rPr>
              <w:t>全安（350）    油山（317）</w:t>
            </w:r>
          </w:p>
          <w:p w14:paraId="16BD8D69">
            <w:pPr>
              <w:pStyle w:val="12"/>
              <w:jc w:val="left"/>
            </w:pPr>
            <w:r>
              <w:rPr>
                <w:rFonts w:hint="eastAsia"/>
              </w:rPr>
              <w:t>黄坑（268）    主田（219）</w:t>
            </w:r>
          </w:p>
          <w:p w14:paraId="1F7D4358">
            <w:pPr>
              <w:pStyle w:val="12"/>
              <w:jc w:val="left"/>
            </w:pPr>
            <w:r>
              <w:rPr>
                <w:rFonts w:hint="eastAsia"/>
              </w:rPr>
              <w:t>水口（181）     江头（177）</w:t>
            </w:r>
          </w:p>
          <w:p w14:paraId="66769EF6">
            <w:pPr>
              <w:pStyle w:val="12"/>
              <w:jc w:val="left"/>
            </w:pPr>
            <w:r>
              <w:rPr>
                <w:rFonts w:hint="eastAsia"/>
              </w:rPr>
              <w:t>澜河（142）    南亩（132）</w:t>
            </w:r>
          </w:p>
        </w:tc>
        <w:tc>
          <w:tcPr>
            <w:tcW w:w="2954" w:type="pct"/>
            <w:vAlign w:val="center"/>
          </w:tcPr>
          <w:p w14:paraId="2236FCD6">
            <w:pPr>
              <w:pStyle w:val="12"/>
              <w:jc w:val="left"/>
            </w:pPr>
            <w:r>
              <w:rPr>
                <w:rFonts w:hint="eastAsia"/>
              </w:rPr>
              <w:t>新田（547）       里仁（183）        黄坑坪岗（150）</w:t>
            </w:r>
          </w:p>
          <w:p w14:paraId="3FB1A3A7">
            <w:pPr>
              <w:pStyle w:val="12"/>
              <w:jc w:val="left"/>
            </w:pPr>
            <w:r>
              <w:rPr>
                <w:rFonts w:hint="eastAsia"/>
              </w:rPr>
              <w:t>水南洞（142）     古城（141）        乌迳田心（112）</w:t>
            </w:r>
          </w:p>
          <w:p w14:paraId="76A7DA9A">
            <w:pPr>
              <w:pStyle w:val="12"/>
              <w:jc w:val="left"/>
            </w:pPr>
            <w:r>
              <w:rPr>
                <w:rFonts w:hint="eastAsia"/>
              </w:rPr>
              <w:t>洞底（102）       大岭背（101）      高溯中心乾（98）</w:t>
            </w:r>
          </w:p>
          <w:p w14:paraId="2B939035">
            <w:pPr>
              <w:pStyle w:val="12"/>
              <w:jc w:val="left"/>
            </w:pPr>
            <w:r>
              <w:rPr>
                <w:rFonts w:hint="eastAsia"/>
              </w:rPr>
              <w:t>三洲（98）        兰溪（76）         官溪（74）</w:t>
            </w:r>
          </w:p>
          <w:p w14:paraId="5B9403C0">
            <w:pPr>
              <w:pStyle w:val="12"/>
              <w:jc w:val="left"/>
            </w:pPr>
            <w:r>
              <w:rPr>
                <w:rFonts w:hint="eastAsia"/>
              </w:rPr>
              <w:t>坪田长坑（71）    迎江头（67）       樟坑（62）</w:t>
            </w:r>
          </w:p>
          <w:p w14:paraId="40426C64">
            <w:pPr>
              <w:pStyle w:val="12"/>
              <w:jc w:val="left"/>
            </w:pPr>
            <w:r>
              <w:rPr>
                <w:rFonts w:hint="eastAsia"/>
              </w:rPr>
              <w:t>鱼塘下陂坑（55）  长迳（53）         丹布中厅（52）</w:t>
            </w:r>
          </w:p>
          <w:p w14:paraId="53A72616">
            <w:pPr>
              <w:pStyle w:val="12"/>
              <w:jc w:val="left"/>
            </w:pPr>
            <w:r>
              <w:rPr>
                <w:rFonts w:hint="eastAsia"/>
              </w:rPr>
              <w:t>河塘（50）        百顺（48）         高基头（47）</w:t>
            </w:r>
          </w:p>
        </w:tc>
      </w:tr>
      <w:tr w14:paraId="0F640F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0044AB17">
            <w:pPr>
              <w:pStyle w:val="12"/>
              <w:jc w:val="center"/>
            </w:pPr>
            <w:r>
              <w:rPr>
                <w:rFonts w:hint="eastAsia"/>
              </w:rPr>
              <w:t>张</w:t>
            </w:r>
          </w:p>
        </w:tc>
        <w:tc>
          <w:tcPr>
            <w:tcW w:w="1697" w:type="pct"/>
            <w:vAlign w:val="center"/>
          </w:tcPr>
          <w:p w14:paraId="4BE76310">
            <w:pPr>
              <w:pStyle w:val="12"/>
              <w:jc w:val="left"/>
            </w:pPr>
            <w:r>
              <w:rPr>
                <w:rFonts w:hint="eastAsia"/>
              </w:rPr>
              <w:t>湖口（582）    水口（522）</w:t>
            </w:r>
          </w:p>
          <w:p w14:paraId="60D032F9">
            <w:pPr>
              <w:pStyle w:val="12"/>
              <w:jc w:val="left"/>
            </w:pPr>
            <w:r>
              <w:rPr>
                <w:rFonts w:hint="eastAsia"/>
              </w:rPr>
              <w:t>全安（402）     珠玑（336）</w:t>
            </w:r>
          </w:p>
          <w:p w14:paraId="402E8008">
            <w:pPr>
              <w:pStyle w:val="12"/>
              <w:jc w:val="left"/>
            </w:pPr>
            <w:r>
              <w:rPr>
                <w:rFonts w:hint="eastAsia"/>
              </w:rPr>
              <w:t>古市（334）    邓坊（286）</w:t>
            </w:r>
          </w:p>
          <w:p w14:paraId="3FCC84B0">
            <w:pPr>
              <w:pStyle w:val="12"/>
              <w:jc w:val="left"/>
            </w:pPr>
            <w:r>
              <w:rPr>
                <w:rFonts w:hint="eastAsia"/>
              </w:rPr>
              <w:t>江头（280）    帽子峰（250）</w:t>
            </w:r>
          </w:p>
          <w:p w14:paraId="1FEDFB81">
            <w:pPr>
              <w:pStyle w:val="12"/>
              <w:jc w:val="left"/>
            </w:pPr>
            <w:r>
              <w:rPr>
                <w:rFonts w:hint="eastAsia"/>
              </w:rPr>
              <w:t>雄州（222）    百顺（183）</w:t>
            </w:r>
          </w:p>
          <w:p w14:paraId="7315D10B">
            <w:pPr>
              <w:pStyle w:val="12"/>
              <w:jc w:val="left"/>
            </w:pPr>
            <w:r>
              <w:rPr>
                <w:rFonts w:hint="eastAsia"/>
              </w:rPr>
              <w:t>主田（165）    黄坑（108）</w:t>
            </w:r>
          </w:p>
          <w:p w14:paraId="377039AC">
            <w:pPr>
              <w:pStyle w:val="12"/>
              <w:jc w:val="left"/>
            </w:pPr>
            <w:r>
              <w:rPr>
                <w:rFonts w:hint="eastAsia"/>
              </w:rPr>
              <w:t>乌迳（103）</w:t>
            </w:r>
          </w:p>
        </w:tc>
        <w:tc>
          <w:tcPr>
            <w:tcW w:w="2954" w:type="pct"/>
            <w:vAlign w:val="center"/>
          </w:tcPr>
          <w:p w14:paraId="142DDE92">
            <w:pPr>
              <w:pStyle w:val="12"/>
              <w:jc w:val="left"/>
            </w:pPr>
            <w:r>
              <w:rPr>
                <w:rFonts w:hint="eastAsia"/>
              </w:rPr>
              <w:t>大部（197）       积塔（147）        廉塔石（117）</w:t>
            </w:r>
          </w:p>
          <w:p w14:paraId="42271221">
            <w:pPr>
              <w:pStyle w:val="12"/>
              <w:jc w:val="left"/>
            </w:pPr>
            <w:r>
              <w:rPr>
                <w:rFonts w:hint="eastAsia"/>
              </w:rPr>
              <w:t>瓜园（113）       下楼（105）        里元（100）</w:t>
            </w:r>
          </w:p>
          <w:p w14:paraId="6FA1E7D4">
            <w:pPr>
              <w:pStyle w:val="12"/>
              <w:jc w:val="left"/>
            </w:pPr>
            <w:r>
              <w:rPr>
                <w:rFonts w:hint="eastAsia"/>
              </w:rPr>
              <w:t>长迳（97）         古田（89）        尚睦（82）</w:t>
            </w:r>
          </w:p>
          <w:p w14:paraId="49607FCA">
            <w:pPr>
              <w:pStyle w:val="12"/>
              <w:jc w:val="left"/>
            </w:pPr>
            <w:r>
              <w:rPr>
                <w:rFonts w:hint="eastAsia"/>
              </w:rPr>
              <w:t>群星（76）         学堂（63）        三角（58）</w:t>
            </w:r>
          </w:p>
          <w:p w14:paraId="766990D7">
            <w:pPr>
              <w:pStyle w:val="12"/>
              <w:jc w:val="left"/>
            </w:pPr>
            <w:r>
              <w:rPr>
                <w:rFonts w:hint="eastAsia"/>
              </w:rPr>
              <w:t>湖口张屋（58）     河塘（56）        界址下芫（55）</w:t>
            </w:r>
          </w:p>
          <w:p w14:paraId="422E6DC5">
            <w:pPr>
              <w:pStyle w:val="12"/>
              <w:jc w:val="left"/>
            </w:pPr>
            <w:r>
              <w:rPr>
                <w:rFonts w:hint="eastAsia"/>
              </w:rPr>
              <w:t>赤石（54）         长龙坪湖（53）    西洞大塘（51）</w:t>
            </w:r>
          </w:p>
        </w:tc>
      </w:tr>
      <w:tr w14:paraId="52F316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0A991FA8">
            <w:pPr>
              <w:pStyle w:val="12"/>
              <w:jc w:val="center"/>
            </w:pPr>
            <w:r>
              <w:rPr>
                <w:rFonts w:hint="eastAsia"/>
              </w:rPr>
              <w:t>邓</w:t>
            </w:r>
          </w:p>
        </w:tc>
        <w:tc>
          <w:tcPr>
            <w:tcW w:w="1697" w:type="pct"/>
            <w:vAlign w:val="center"/>
          </w:tcPr>
          <w:p w14:paraId="540EC807">
            <w:pPr>
              <w:pStyle w:val="12"/>
              <w:jc w:val="left"/>
            </w:pPr>
            <w:r>
              <w:rPr>
                <w:rFonts w:hint="eastAsia"/>
              </w:rPr>
              <w:t>坪田（772）    全安（467）</w:t>
            </w:r>
          </w:p>
          <w:p w14:paraId="3723CB8B">
            <w:pPr>
              <w:pStyle w:val="12"/>
              <w:jc w:val="left"/>
            </w:pPr>
            <w:r>
              <w:rPr>
                <w:rFonts w:hint="eastAsia"/>
              </w:rPr>
              <w:t>珠玑（334）     雄州（242）</w:t>
            </w:r>
          </w:p>
          <w:p w14:paraId="3C36626D">
            <w:pPr>
              <w:pStyle w:val="12"/>
              <w:jc w:val="left"/>
            </w:pPr>
            <w:r>
              <w:rPr>
                <w:rFonts w:hint="eastAsia"/>
              </w:rPr>
              <w:t>南亩（230）     主田（184）</w:t>
            </w:r>
          </w:p>
          <w:p w14:paraId="16224A6D">
            <w:pPr>
              <w:pStyle w:val="12"/>
              <w:jc w:val="left"/>
            </w:pPr>
            <w:r>
              <w:rPr>
                <w:rFonts w:hint="eastAsia"/>
              </w:rPr>
              <w:t>江头（175）     帽子峰（166）</w:t>
            </w:r>
          </w:p>
          <w:p w14:paraId="53A6F52D">
            <w:pPr>
              <w:pStyle w:val="12"/>
              <w:jc w:val="left"/>
            </w:pPr>
            <w:r>
              <w:rPr>
                <w:rFonts w:hint="eastAsia"/>
              </w:rPr>
              <w:t>乌迳（116）</w:t>
            </w:r>
          </w:p>
        </w:tc>
        <w:tc>
          <w:tcPr>
            <w:tcW w:w="2954" w:type="pct"/>
            <w:vAlign w:val="center"/>
          </w:tcPr>
          <w:p w14:paraId="31980340">
            <w:pPr>
              <w:pStyle w:val="12"/>
              <w:jc w:val="left"/>
            </w:pPr>
            <w:r>
              <w:rPr>
                <w:rFonts w:hint="eastAsia"/>
              </w:rPr>
              <w:t>古塘（166）        腊树园（93）      艻迳兴塘（92）</w:t>
            </w:r>
          </w:p>
          <w:p w14:paraId="1D3656FE">
            <w:pPr>
              <w:pStyle w:val="12"/>
              <w:jc w:val="left"/>
            </w:pPr>
            <w:r>
              <w:rPr>
                <w:rFonts w:hint="eastAsia"/>
              </w:rPr>
              <w:t>长迳邓屋（83）     坪田邓坳（81）    聪背吊口塘（73）</w:t>
            </w:r>
          </w:p>
          <w:p w14:paraId="1BEAA8BF">
            <w:pPr>
              <w:pStyle w:val="12"/>
              <w:jc w:val="left"/>
            </w:pPr>
            <w:r>
              <w:rPr>
                <w:rFonts w:hint="eastAsia"/>
              </w:rPr>
              <w:t>洞头丰源（62）     三洲（59）        水口邓屋（53）</w:t>
            </w:r>
          </w:p>
          <w:p w14:paraId="34CA9ED4">
            <w:pPr>
              <w:pStyle w:val="12"/>
              <w:jc w:val="left"/>
            </w:pPr>
            <w:r>
              <w:rPr>
                <w:rFonts w:hint="eastAsia"/>
              </w:rPr>
              <w:t>涌溪（51）         涌溪祠堂（51）    坪田枫树下（48）</w:t>
            </w:r>
          </w:p>
          <w:p w14:paraId="75A02F34">
            <w:pPr>
              <w:pStyle w:val="12"/>
              <w:jc w:val="left"/>
            </w:pPr>
            <w:r>
              <w:rPr>
                <w:rFonts w:hint="eastAsia"/>
              </w:rPr>
              <w:t>坪田茶塘下（48）</w:t>
            </w:r>
          </w:p>
        </w:tc>
      </w:tr>
      <w:tr w14:paraId="467D32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65EEB9B5">
            <w:pPr>
              <w:pStyle w:val="12"/>
              <w:jc w:val="center"/>
            </w:pPr>
            <w:r>
              <w:rPr>
                <w:rFonts w:hint="eastAsia"/>
              </w:rPr>
              <w:t>何</w:t>
            </w:r>
          </w:p>
        </w:tc>
        <w:tc>
          <w:tcPr>
            <w:tcW w:w="1697" w:type="pct"/>
            <w:vAlign w:val="center"/>
          </w:tcPr>
          <w:p w14:paraId="00C5239C">
            <w:pPr>
              <w:pStyle w:val="12"/>
              <w:jc w:val="left"/>
            </w:pPr>
            <w:r>
              <w:rPr>
                <w:rFonts w:hint="eastAsia"/>
              </w:rPr>
              <w:t>水口（982）     黄坑（520）</w:t>
            </w:r>
          </w:p>
          <w:p w14:paraId="3A96332B">
            <w:pPr>
              <w:pStyle w:val="12"/>
              <w:jc w:val="left"/>
            </w:pPr>
            <w:r>
              <w:rPr>
                <w:rFonts w:hint="eastAsia"/>
              </w:rPr>
              <w:t>湖口（404）     珠玑（394）</w:t>
            </w:r>
          </w:p>
          <w:p w14:paraId="47111047">
            <w:pPr>
              <w:pStyle w:val="12"/>
              <w:jc w:val="left"/>
            </w:pPr>
            <w:r>
              <w:rPr>
                <w:rFonts w:hint="eastAsia"/>
              </w:rPr>
              <w:t>主田（183）     百顺（106）</w:t>
            </w:r>
          </w:p>
          <w:p w14:paraId="5C2046F6">
            <w:pPr>
              <w:pStyle w:val="12"/>
              <w:jc w:val="left"/>
            </w:pPr>
            <w:r>
              <w:rPr>
                <w:rFonts w:hint="eastAsia"/>
              </w:rPr>
              <w:t>全安（104）     雄州（104）</w:t>
            </w:r>
          </w:p>
        </w:tc>
        <w:tc>
          <w:tcPr>
            <w:tcW w:w="2954" w:type="pct"/>
            <w:vAlign w:val="center"/>
          </w:tcPr>
          <w:p w14:paraId="3B95207B">
            <w:pPr>
              <w:pStyle w:val="12"/>
              <w:jc w:val="left"/>
            </w:pPr>
            <w:r>
              <w:rPr>
                <w:rFonts w:hint="eastAsia"/>
              </w:rPr>
              <w:t>河村（300）        大坪（202）       长市白木（201）</w:t>
            </w:r>
          </w:p>
          <w:p w14:paraId="7538844C">
            <w:pPr>
              <w:pStyle w:val="12"/>
              <w:jc w:val="left"/>
            </w:pPr>
            <w:r>
              <w:rPr>
                <w:rFonts w:hint="eastAsia"/>
              </w:rPr>
              <w:t>社前茅坑（140）    湖口下陂山（122） 珠玑下汾（120）</w:t>
            </w:r>
          </w:p>
          <w:p w14:paraId="4A50FDF0">
            <w:pPr>
              <w:pStyle w:val="12"/>
              <w:jc w:val="left"/>
            </w:pPr>
            <w:r>
              <w:rPr>
                <w:rFonts w:hint="eastAsia"/>
              </w:rPr>
              <w:t>黄坑社官前（86）   群星高排（80）    春坑（74）</w:t>
            </w:r>
          </w:p>
          <w:p w14:paraId="3205F2FA">
            <w:pPr>
              <w:pStyle w:val="12"/>
              <w:jc w:val="left"/>
            </w:pPr>
            <w:r>
              <w:rPr>
                <w:rFonts w:hint="eastAsia"/>
              </w:rPr>
              <w:t>下祗芫（63）       上嵩（63）        主田大汾（55）</w:t>
            </w:r>
          </w:p>
          <w:p w14:paraId="10C78BDC">
            <w:pPr>
              <w:pStyle w:val="12"/>
              <w:jc w:val="left"/>
            </w:pPr>
            <w:r>
              <w:rPr>
                <w:rFonts w:hint="eastAsia"/>
              </w:rPr>
              <w:t>百顺（54）    油山花树下（54）       黄坑鲢尾岭（54）</w:t>
            </w:r>
          </w:p>
        </w:tc>
      </w:tr>
      <w:tr w14:paraId="0DAD62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7D41F32B">
            <w:pPr>
              <w:pStyle w:val="12"/>
              <w:jc w:val="center"/>
            </w:pPr>
            <w:r>
              <w:rPr>
                <w:rFonts w:hint="eastAsia"/>
              </w:rPr>
              <w:t>沈</w:t>
            </w:r>
          </w:p>
        </w:tc>
        <w:tc>
          <w:tcPr>
            <w:tcW w:w="1697" w:type="pct"/>
            <w:vAlign w:val="center"/>
          </w:tcPr>
          <w:p w14:paraId="14F12A9B">
            <w:pPr>
              <w:pStyle w:val="12"/>
              <w:jc w:val="left"/>
            </w:pPr>
            <w:r>
              <w:rPr>
                <w:rFonts w:hint="eastAsia"/>
              </w:rPr>
              <w:t>黄坑（1040）    油山（191）</w:t>
            </w:r>
          </w:p>
          <w:p w14:paraId="30B9F80B">
            <w:pPr>
              <w:pStyle w:val="12"/>
              <w:jc w:val="left"/>
            </w:pPr>
            <w:r>
              <w:rPr>
                <w:rFonts w:hint="eastAsia"/>
              </w:rPr>
              <w:t>全安（159）</w:t>
            </w:r>
          </w:p>
        </w:tc>
        <w:tc>
          <w:tcPr>
            <w:tcW w:w="2954" w:type="pct"/>
            <w:vAlign w:val="center"/>
          </w:tcPr>
          <w:p w14:paraId="67354458">
            <w:pPr>
              <w:pStyle w:val="12"/>
              <w:jc w:val="left"/>
            </w:pPr>
            <w:r>
              <w:rPr>
                <w:rFonts w:hint="eastAsia"/>
              </w:rPr>
              <w:t>下会（180）        下槎（162）       园岭（112）</w:t>
            </w:r>
          </w:p>
          <w:p w14:paraId="685EE66B">
            <w:pPr>
              <w:pStyle w:val="12"/>
              <w:jc w:val="left"/>
            </w:pPr>
            <w:r>
              <w:rPr>
                <w:rFonts w:hint="eastAsia"/>
              </w:rPr>
              <w:t>板桥坑（102）      枫坑（95）        上象坳背（90）</w:t>
            </w:r>
          </w:p>
          <w:p w14:paraId="6EDCDB58">
            <w:pPr>
              <w:pStyle w:val="12"/>
              <w:jc w:val="left"/>
            </w:pPr>
            <w:r>
              <w:rPr>
                <w:rFonts w:hint="eastAsia"/>
              </w:rPr>
              <w:t>里和陂（87）       上象田心（71）    龙凤井（64）</w:t>
            </w:r>
          </w:p>
          <w:p w14:paraId="7D6F48A7">
            <w:pPr>
              <w:pStyle w:val="12"/>
              <w:jc w:val="left"/>
            </w:pPr>
            <w:r>
              <w:rPr>
                <w:rFonts w:hint="eastAsia"/>
              </w:rPr>
              <w:t>公陂坑（62）      羊角（57）</w:t>
            </w:r>
          </w:p>
        </w:tc>
      </w:tr>
      <w:tr w14:paraId="436D53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0315348D">
            <w:pPr>
              <w:pStyle w:val="12"/>
              <w:jc w:val="center"/>
            </w:pPr>
            <w:r>
              <w:rPr>
                <w:rFonts w:hint="eastAsia"/>
              </w:rPr>
              <w:t>钟</w:t>
            </w:r>
          </w:p>
        </w:tc>
        <w:tc>
          <w:tcPr>
            <w:tcW w:w="1697" w:type="pct"/>
            <w:vAlign w:val="center"/>
          </w:tcPr>
          <w:p w14:paraId="395C7E8E">
            <w:pPr>
              <w:pStyle w:val="12"/>
              <w:jc w:val="left"/>
            </w:pPr>
            <w:r>
              <w:rPr>
                <w:rFonts w:hint="eastAsia"/>
              </w:rPr>
              <w:t>珠玑（573）    全安（315）</w:t>
            </w:r>
          </w:p>
          <w:p w14:paraId="2CF48913">
            <w:pPr>
              <w:pStyle w:val="12"/>
              <w:jc w:val="left"/>
            </w:pPr>
            <w:r>
              <w:rPr>
                <w:rFonts w:hint="eastAsia"/>
              </w:rPr>
              <w:t>江头（274）     邓坊（214）</w:t>
            </w:r>
          </w:p>
          <w:p w14:paraId="21823387">
            <w:pPr>
              <w:pStyle w:val="12"/>
              <w:jc w:val="left"/>
            </w:pPr>
            <w:r>
              <w:rPr>
                <w:rFonts w:hint="eastAsia"/>
              </w:rPr>
              <w:t>水口（196）     古市（163）</w:t>
            </w:r>
          </w:p>
          <w:p w14:paraId="367204E6">
            <w:pPr>
              <w:pStyle w:val="12"/>
              <w:jc w:val="left"/>
            </w:pPr>
            <w:r>
              <w:rPr>
                <w:rFonts w:hint="eastAsia"/>
              </w:rPr>
              <w:t>油山（156）     雄州（124）</w:t>
            </w:r>
          </w:p>
          <w:p w14:paraId="6EBE8F56">
            <w:pPr>
              <w:pStyle w:val="12"/>
              <w:jc w:val="left"/>
            </w:pPr>
            <w:r>
              <w:rPr>
                <w:rFonts w:hint="eastAsia"/>
              </w:rPr>
              <w:t>乌迳（99）</w:t>
            </w:r>
          </w:p>
        </w:tc>
        <w:tc>
          <w:tcPr>
            <w:tcW w:w="2954" w:type="pct"/>
            <w:vAlign w:val="center"/>
          </w:tcPr>
          <w:p w14:paraId="023F4F1B">
            <w:pPr>
              <w:pStyle w:val="12"/>
              <w:jc w:val="left"/>
            </w:pPr>
            <w:r>
              <w:rPr>
                <w:rFonts w:hint="eastAsia"/>
              </w:rPr>
              <w:t>灵潭（122）       当面岭（89）       马战（78）</w:t>
            </w:r>
          </w:p>
          <w:p w14:paraId="1E6D3068">
            <w:pPr>
              <w:pStyle w:val="12"/>
              <w:jc w:val="left"/>
            </w:pPr>
            <w:r>
              <w:rPr>
                <w:rFonts w:hint="eastAsia"/>
              </w:rPr>
              <w:t>大兰廖地（73）    里仁田心（71）     里东周地（65）</w:t>
            </w:r>
          </w:p>
          <w:p w14:paraId="6C698D6E">
            <w:pPr>
              <w:pStyle w:val="12"/>
              <w:jc w:val="left"/>
            </w:pPr>
            <w:r>
              <w:rPr>
                <w:rFonts w:hint="eastAsia"/>
              </w:rPr>
              <w:t>珠玑下街（62）    泰源钟屋（58）     龙迳（58）</w:t>
            </w:r>
          </w:p>
          <w:p w14:paraId="37FCF41E">
            <w:pPr>
              <w:pStyle w:val="12"/>
              <w:jc w:val="left"/>
            </w:pPr>
            <w:r>
              <w:rPr>
                <w:rFonts w:hint="eastAsia"/>
              </w:rPr>
              <w:t>岗围江坪（57）    沙头（56）         王亭石（52）</w:t>
            </w:r>
          </w:p>
          <w:p w14:paraId="51D9E203">
            <w:pPr>
              <w:pStyle w:val="12"/>
              <w:jc w:val="left"/>
            </w:pPr>
            <w:r>
              <w:rPr>
                <w:rFonts w:hint="eastAsia"/>
              </w:rPr>
              <w:t>鹅公岭（52）      邓坊（52）         百顺（51）</w:t>
            </w:r>
          </w:p>
        </w:tc>
      </w:tr>
      <w:tr w14:paraId="3A446F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017E3DD8">
            <w:pPr>
              <w:pStyle w:val="12"/>
              <w:jc w:val="center"/>
            </w:pPr>
            <w:r>
              <w:rPr>
                <w:rFonts w:hint="eastAsia"/>
              </w:rPr>
              <w:t>王</w:t>
            </w:r>
          </w:p>
        </w:tc>
        <w:tc>
          <w:tcPr>
            <w:tcW w:w="1697" w:type="pct"/>
            <w:vAlign w:val="center"/>
          </w:tcPr>
          <w:p w14:paraId="0FA051B5">
            <w:pPr>
              <w:pStyle w:val="12"/>
              <w:jc w:val="left"/>
            </w:pPr>
            <w:r>
              <w:rPr>
                <w:rFonts w:hint="eastAsia"/>
              </w:rPr>
              <w:t>邓坊（451）    南亩（384）</w:t>
            </w:r>
          </w:p>
          <w:p w14:paraId="59956D97">
            <w:pPr>
              <w:pStyle w:val="12"/>
              <w:jc w:val="left"/>
            </w:pPr>
            <w:r>
              <w:rPr>
                <w:rFonts w:hint="eastAsia"/>
              </w:rPr>
              <w:t>乌迳（334）     界址（326）</w:t>
            </w:r>
          </w:p>
          <w:p w14:paraId="05AD018F">
            <w:pPr>
              <w:pStyle w:val="12"/>
              <w:jc w:val="left"/>
            </w:pPr>
            <w:r>
              <w:rPr>
                <w:rFonts w:hint="eastAsia"/>
              </w:rPr>
              <w:t>珠玑（182）    油山（170）</w:t>
            </w:r>
          </w:p>
          <w:p w14:paraId="54E478BC">
            <w:pPr>
              <w:pStyle w:val="12"/>
              <w:jc w:val="left"/>
            </w:pPr>
            <w:r>
              <w:rPr>
                <w:rFonts w:hint="eastAsia"/>
              </w:rPr>
              <w:t>雄州（169）</w:t>
            </w:r>
          </w:p>
        </w:tc>
        <w:tc>
          <w:tcPr>
            <w:tcW w:w="2954" w:type="pct"/>
            <w:vAlign w:val="center"/>
          </w:tcPr>
          <w:p w14:paraId="62EB8CDD">
            <w:pPr>
              <w:pStyle w:val="12"/>
              <w:jc w:val="left"/>
            </w:pPr>
            <w:r>
              <w:rPr>
                <w:rFonts w:hint="eastAsia"/>
              </w:rPr>
              <w:t>赤石（248）       鱼鲜（191）        高陂（180）</w:t>
            </w:r>
          </w:p>
          <w:p w14:paraId="21440E5F">
            <w:pPr>
              <w:pStyle w:val="12"/>
              <w:jc w:val="left"/>
            </w:pPr>
            <w:r>
              <w:rPr>
                <w:rFonts w:hint="eastAsia"/>
              </w:rPr>
              <w:t>下汾（128）       荷树坑（120）      勋口（102）</w:t>
            </w:r>
          </w:p>
          <w:p w14:paraId="0A0667E0">
            <w:pPr>
              <w:pStyle w:val="12"/>
              <w:jc w:val="left"/>
            </w:pPr>
            <w:r>
              <w:rPr>
                <w:rFonts w:hint="eastAsia"/>
              </w:rPr>
              <w:t>茶头背（88）      上浆田（87）       沧浪枫坑（58）</w:t>
            </w:r>
          </w:p>
          <w:p w14:paraId="4436E5C8">
            <w:pPr>
              <w:pStyle w:val="12"/>
              <w:jc w:val="left"/>
            </w:pPr>
            <w:r>
              <w:rPr>
                <w:rFonts w:hint="eastAsia"/>
              </w:rPr>
              <w:t>窑灶口（53）      坪地山（52）</w:t>
            </w:r>
          </w:p>
        </w:tc>
      </w:tr>
      <w:tr w14:paraId="368A43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192F2F3D">
            <w:pPr>
              <w:pStyle w:val="12"/>
              <w:jc w:val="center"/>
            </w:pPr>
            <w:r>
              <w:rPr>
                <w:rFonts w:hint="eastAsia"/>
              </w:rPr>
              <w:t>吴</w:t>
            </w:r>
          </w:p>
        </w:tc>
        <w:tc>
          <w:tcPr>
            <w:tcW w:w="1697" w:type="pct"/>
            <w:vAlign w:val="center"/>
          </w:tcPr>
          <w:p w14:paraId="2CF04121">
            <w:pPr>
              <w:pStyle w:val="12"/>
              <w:jc w:val="left"/>
            </w:pPr>
            <w:r>
              <w:rPr>
                <w:rFonts w:hint="eastAsia"/>
              </w:rPr>
              <w:t>江头（394）    雄州（352）</w:t>
            </w:r>
          </w:p>
          <w:p w14:paraId="05BA44D3">
            <w:pPr>
              <w:pStyle w:val="12"/>
              <w:jc w:val="left"/>
            </w:pPr>
            <w:r>
              <w:rPr>
                <w:rFonts w:hint="eastAsia"/>
              </w:rPr>
              <w:t>珠玑（289）     百顺（219）</w:t>
            </w:r>
          </w:p>
          <w:p w14:paraId="613253B4">
            <w:pPr>
              <w:pStyle w:val="12"/>
              <w:jc w:val="left"/>
            </w:pPr>
            <w:r>
              <w:rPr>
                <w:rFonts w:hint="eastAsia"/>
              </w:rPr>
              <w:t>湖口（190）    水口（158）</w:t>
            </w:r>
          </w:p>
          <w:p w14:paraId="3AA2415E">
            <w:pPr>
              <w:pStyle w:val="12"/>
              <w:jc w:val="left"/>
            </w:pPr>
            <w:r>
              <w:rPr>
                <w:rFonts w:hint="eastAsia"/>
              </w:rPr>
              <w:t>南亩（103）</w:t>
            </w:r>
          </w:p>
        </w:tc>
        <w:tc>
          <w:tcPr>
            <w:tcW w:w="2954" w:type="pct"/>
            <w:vAlign w:val="center"/>
          </w:tcPr>
          <w:p w14:paraId="23B27EE0">
            <w:pPr>
              <w:pStyle w:val="12"/>
              <w:jc w:val="left"/>
            </w:pPr>
            <w:r>
              <w:rPr>
                <w:rFonts w:hint="eastAsia"/>
              </w:rPr>
              <w:t>湖地（183）       里东（147）        江头坪岗（139）</w:t>
            </w:r>
          </w:p>
          <w:p w14:paraId="229435BC">
            <w:pPr>
              <w:pStyle w:val="12"/>
              <w:jc w:val="left"/>
            </w:pPr>
            <w:r>
              <w:rPr>
                <w:rFonts w:hint="eastAsia"/>
              </w:rPr>
              <w:t>迳口（131）       元圃（99）        上坪（99）</w:t>
            </w:r>
          </w:p>
          <w:p w14:paraId="28394208">
            <w:pPr>
              <w:pStyle w:val="12"/>
              <w:jc w:val="left"/>
            </w:pPr>
            <w:r>
              <w:rPr>
                <w:rFonts w:hint="eastAsia"/>
              </w:rPr>
              <w:t>三角吴屋（78）    涌溪（75）        叟里元（67）</w:t>
            </w:r>
          </w:p>
          <w:p w14:paraId="4A33D0F8">
            <w:pPr>
              <w:pStyle w:val="12"/>
              <w:jc w:val="left"/>
            </w:pPr>
            <w:r>
              <w:rPr>
                <w:rFonts w:hint="eastAsia"/>
              </w:rPr>
              <w:t>官门楼小塘下（50  石庄卷头（50）</w:t>
            </w:r>
          </w:p>
        </w:tc>
      </w:tr>
      <w:tr w14:paraId="668B4C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45CE3D07">
            <w:pPr>
              <w:pStyle w:val="12"/>
              <w:jc w:val="center"/>
            </w:pPr>
            <w:r>
              <w:rPr>
                <w:rFonts w:hint="eastAsia"/>
              </w:rPr>
              <w:t>曾</w:t>
            </w:r>
          </w:p>
        </w:tc>
        <w:tc>
          <w:tcPr>
            <w:tcW w:w="1697" w:type="pct"/>
            <w:vAlign w:val="center"/>
          </w:tcPr>
          <w:p w14:paraId="36D63CB1">
            <w:pPr>
              <w:pStyle w:val="12"/>
              <w:jc w:val="left"/>
            </w:pPr>
            <w:r>
              <w:rPr>
                <w:rFonts w:hint="eastAsia"/>
              </w:rPr>
              <w:t>珠玑（581）    湖口（447）</w:t>
            </w:r>
          </w:p>
          <w:p w14:paraId="40E36F3C">
            <w:pPr>
              <w:pStyle w:val="12"/>
              <w:jc w:val="left"/>
            </w:pPr>
            <w:r>
              <w:rPr>
                <w:rFonts w:hint="eastAsia"/>
              </w:rPr>
              <w:t>黄坑（228）     乌迳（173）</w:t>
            </w:r>
          </w:p>
          <w:p w14:paraId="4380040E">
            <w:pPr>
              <w:pStyle w:val="12"/>
              <w:jc w:val="left"/>
            </w:pPr>
            <w:r>
              <w:rPr>
                <w:rFonts w:hint="eastAsia"/>
              </w:rPr>
              <w:t>水口（130）    邓坊（113）</w:t>
            </w:r>
          </w:p>
          <w:p w14:paraId="2122274C">
            <w:pPr>
              <w:pStyle w:val="12"/>
              <w:jc w:val="left"/>
            </w:pPr>
            <w:r>
              <w:rPr>
                <w:rFonts w:hint="eastAsia"/>
              </w:rPr>
              <w:t>雄州（112）    主田（100）</w:t>
            </w:r>
          </w:p>
        </w:tc>
        <w:tc>
          <w:tcPr>
            <w:tcW w:w="2954" w:type="pct"/>
            <w:vAlign w:val="center"/>
          </w:tcPr>
          <w:p w14:paraId="3A80F0F2">
            <w:pPr>
              <w:pStyle w:val="12"/>
              <w:jc w:val="left"/>
            </w:pPr>
            <w:r>
              <w:rPr>
                <w:rFonts w:hint="eastAsia"/>
              </w:rPr>
              <w:t>珠玑罗田（166）   里元竹山下（99）  白龙桥背坑（83）</w:t>
            </w:r>
          </w:p>
          <w:p w14:paraId="08024EE1">
            <w:pPr>
              <w:pStyle w:val="12"/>
              <w:jc w:val="left"/>
            </w:pPr>
            <w:r>
              <w:rPr>
                <w:rFonts w:hint="eastAsia"/>
              </w:rPr>
              <w:t>湖口高田（70）    罗古坑（70）      灵潭后围（62）</w:t>
            </w:r>
          </w:p>
          <w:p w14:paraId="376C94C8">
            <w:pPr>
              <w:pStyle w:val="12"/>
              <w:jc w:val="left"/>
            </w:pPr>
            <w:r>
              <w:rPr>
                <w:rFonts w:hint="eastAsia"/>
              </w:rPr>
              <w:t>贵村（57）        湖口老圩（56）      黄坑中心下只屋（54）</w:t>
            </w:r>
          </w:p>
          <w:p w14:paraId="13A075CF">
            <w:pPr>
              <w:pStyle w:val="12"/>
              <w:jc w:val="left"/>
            </w:pPr>
            <w:r>
              <w:rPr>
                <w:rFonts w:hint="eastAsia"/>
              </w:rPr>
              <w:t>罗田巷脑（50）</w:t>
            </w:r>
          </w:p>
        </w:tc>
      </w:tr>
      <w:tr w14:paraId="55E857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496737AF">
            <w:pPr>
              <w:pStyle w:val="12"/>
              <w:jc w:val="center"/>
            </w:pPr>
            <w:r>
              <w:rPr>
                <w:rFonts w:hint="eastAsia"/>
              </w:rPr>
              <w:t>谢</w:t>
            </w:r>
          </w:p>
        </w:tc>
        <w:tc>
          <w:tcPr>
            <w:tcW w:w="1697" w:type="pct"/>
            <w:vAlign w:val="center"/>
          </w:tcPr>
          <w:p w14:paraId="7F61F8DA">
            <w:pPr>
              <w:pStyle w:val="12"/>
              <w:jc w:val="left"/>
            </w:pPr>
            <w:r>
              <w:rPr>
                <w:rFonts w:hint="eastAsia"/>
              </w:rPr>
              <w:t>湖口（473）    油山（433）</w:t>
            </w:r>
          </w:p>
          <w:p w14:paraId="6EB61CB6">
            <w:pPr>
              <w:pStyle w:val="12"/>
              <w:jc w:val="left"/>
            </w:pPr>
            <w:r>
              <w:rPr>
                <w:rFonts w:hint="eastAsia"/>
              </w:rPr>
              <w:t>百顺（164）     珠玑（126）</w:t>
            </w:r>
          </w:p>
          <w:p w14:paraId="3DE177C3">
            <w:pPr>
              <w:pStyle w:val="12"/>
              <w:jc w:val="left"/>
            </w:pPr>
            <w:r>
              <w:rPr>
                <w:rFonts w:hint="eastAsia"/>
              </w:rPr>
              <w:t>雄州（119）    水口（111）</w:t>
            </w:r>
          </w:p>
        </w:tc>
        <w:tc>
          <w:tcPr>
            <w:tcW w:w="2954" w:type="pct"/>
            <w:vAlign w:val="center"/>
          </w:tcPr>
          <w:p w14:paraId="13889BA5">
            <w:pPr>
              <w:pStyle w:val="12"/>
              <w:jc w:val="left"/>
            </w:pPr>
            <w:r>
              <w:rPr>
                <w:rFonts w:hint="eastAsia"/>
              </w:rPr>
              <w:t>孔村（277）      洋汾（205）       午田（146）</w:t>
            </w:r>
          </w:p>
          <w:p w14:paraId="4DD56681">
            <w:pPr>
              <w:pStyle w:val="12"/>
              <w:jc w:val="left"/>
            </w:pPr>
            <w:r>
              <w:rPr>
                <w:rFonts w:hint="eastAsia"/>
              </w:rPr>
              <w:t>百顺杨梅（111）  樟屋谢屋（82）    龙川水（78）</w:t>
            </w:r>
          </w:p>
          <w:p w14:paraId="4ABB0A9A">
            <w:pPr>
              <w:pStyle w:val="12"/>
              <w:jc w:val="left"/>
            </w:pPr>
            <w:r>
              <w:rPr>
                <w:rFonts w:hint="eastAsia"/>
              </w:rPr>
              <w:t>大塘（66）       连山老村（65）</w:t>
            </w:r>
          </w:p>
        </w:tc>
      </w:tr>
      <w:tr w14:paraId="169E5C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2E94BC95">
            <w:pPr>
              <w:pStyle w:val="12"/>
              <w:jc w:val="center"/>
            </w:pPr>
            <w:r>
              <w:rPr>
                <w:rFonts w:hint="eastAsia"/>
              </w:rPr>
              <w:t>赖</w:t>
            </w:r>
          </w:p>
        </w:tc>
        <w:tc>
          <w:tcPr>
            <w:tcW w:w="1697" w:type="pct"/>
            <w:vAlign w:val="center"/>
          </w:tcPr>
          <w:p w14:paraId="3B5DCE21">
            <w:pPr>
              <w:pStyle w:val="12"/>
              <w:jc w:val="left"/>
            </w:pPr>
            <w:r>
              <w:rPr>
                <w:rFonts w:hint="eastAsia"/>
              </w:rPr>
              <w:t>乌迳（1201）    坪田（201）</w:t>
            </w:r>
          </w:p>
          <w:p w14:paraId="3F14D97C">
            <w:pPr>
              <w:pStyle w:val="12"/>
              <w:jc w:val="left"/>
            </w:pPr>
            <w:r>
              <w:rPr>
                <w:rFonts w:hint="eastAsia"/>
              </w:rPr>
              <w:t>珠玑（201）    界址（145）</w:t>
            </w:r>
          </w:p>
        </w:tc>
        <w:tc>
          <w:tcPr>
            <w:tcW w:w="2954" w:type="pct"/>
            <w:vAlign w:val="center"/>
          </w:tcPr>
          <w:p w14:paraId="7CE3BC58">
            <w:pPr>
              <w:pStyle w:val="12"/>
              <w:jc w:val="left"/>
            </w:pPr>
            <w:r>
              <w:rPr>
                <w:rFonts w:hint="eastAsia"/>
              </w:rPr>
              <w:t>孔塘（375）      庙前（338）       许村（97）</w:t>
            </w:r>
          </w:p>
          <w:p w14:paraId="19D9221C">
            <w:pPr>
              <w:pStyle w:val="12"/>
              <w:jc w:val="left"/>
            </w:pPr>
            <w:r>
              <w:rPr>
                <w:rFonts w:hint="eastAsia"/>
              </w:rPr>
              <w:t>乌迳下街（73）   荆岗（66）        祗巷双巴树（63）</w:t>
            </w:r>
          </w:p>
          <w:p w14:paraId="78420AB8">
            <w:pPr>
              <w:pStyle w:val="12"/>
              <w:jc w:val="left"/>
            </w:pPr>
            <w:r>
              <w:rPr>
                <w:rFonts w:hint="eastAsia"/>
              </w:rPr>
              <w:t>界址汶井（58）   沧浪徐屋（54）    乌迳麻齐塘（52）</w:t>
            </w:r>
          </w:p>
        </w:tc>
      </w:tr>
      <w:tr w14:paraId="77171A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6F565D2A">
            <w:pPr>
              <w:pStyle w:val="12"/>
              <w:jc w:val="center"/>
            </w:pPr>
            <w:r>
              <w:rPr>
                <w:rFonts w:hint="eastAsia"/>
              </w:rPr>
              <w:t>赵</w:t>
            </w:r>
          </w:p>
        </w:tc>
        <w:tc>
          <w:tcPr>
            <w:tcW w:w="1697" w:type="pct"/>
            <w:vAlign w:val="center"/>
          </w:tcPr>
          <w:p w14:paraId="32E50519">
            <w:pPr>
              <w:pStyle w:val="12"/>
              <w:jc w:val="left"/>
            </w:pPr>
            <w:r>
              <w:rPr>
                <w:rFonts w:hint="eastAsia"/>
              </w:rPr>
              <w:t>界址（658）    乌迳（399）</w:t>
            </w:r>
          </w:p>
          <w:p w14:paraId="7D76A285">
            <w:pPr>
              <w:pStyle w:val="12"/>
              <w:jc w:val="left"/>
            </w:pPr>
            <w:r>
              <w:rPr>
                <w:rFonts w:hint="eastAsia"/>
              </w:rPr>
              <w:t>南亩（133）</w:t>
            </w:r>
          </w:p>
        </w:tc>
        <w:tc>
          <w:tcPr>
            <w:tcW w:w="2954" w:type="pct"/>
            <w:vAlign w:val="center"/>
          </w:tcPr>
          <w:p w14:paraId="7072EC6C">
            <w:pPr>
              <w:pStyle w:val="12"/>
              <w:jc w:val="left"/>
            </w:pPr>
            <w:r>
              <w:rPr>
                <w:rFonts w:hint="eastAsia"/>
              </w:rPr>
              <w:t>赵屋（143）      新汤（124）       下屋子（83）</w:t>
            </w:r>
          </w:p>
          <w:p w14:paraId="1F9BF8E8">
            <w:pPr>
              <w:pStyle w:val="12"/>
              <w:jc w:val="left"/>
            </w:pPr>
            <w:r>
              <w:rPr>
                <w:rFonts w:hint="eastAsia"/>
              </w:rPr>
              <w:t>文元（66）       大坑松山（62）    白胜塘角下（56）</w:t>
            </w:r>
          </w:p>
          <w:p w14:paraId="5F092576">
            <w:pPr>
              <w:pStyle w:val="12"/>
              <w:jc w:val="left"/>
            </w:pPr>
            <w:r>
              <w:rPr>
                <w:rFonts w:hint="eastAsia"/>
              </w:rPr>
              <w:t>官门楼仓子前（55）  铺背苟子脑（51）  窑灶口雷公坵（50）</w:t>
            </w:r>
          </w:p>
          <w:p w14:paraId="5D1B320F">
            <w:pPr>
              <w:pStyle w:val="12"/>
              <w:jc w:val="left"/>
            </w:pPr>
            <w:r>
              <w:rPr>
                <w:rFonts w:hint="eastAsia"/>
              </w:rPr>
              <w:t>界址流皮塘（50） 孔塘观塘（50）</w:t>
            </w:r>
          </w:p>
        </w:tc>
      </w:tr>
      <w:tr w14:paraId="79A910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65D9AAAA">
            <w:pPr>
              <w:pStyle w:val="12"/>
              <w:jc w:val="center"/>
            </w:pPr>
            <w:r>
              <w:rPr>
                <w:rFonts w:hint="eastAsia"/>
              </w:rPr>
              <w:t>郭</w:t>
            </w:r>
          </w:p>
        </w:tc>
        <w:tc>
          <w:tcPr>
            <w:tcW w:w="1697" w:type="pct"/>
            <w:vAlign w:val="center"/>
          </w:tcPr>
          <w:p w14:paraId="5AD5BB28">
            <w:pPr>
              <w:pStyle w:val="12"/>
              <w:jc w:val="left"/>
            </w:pPr>
            <w:r>
              <w:rPr>
                <w:rFonts w:hint="eastAsia"/>
              </w:rPr>
              <w:t>油山（377）    南亩（353）</w:t>
            </w:r>
          </w:p>
          <w:p w14:paraId="4C27D679">
            <w:pPr>
              <w:pStyle w:val="12"/>
              <w:jc w:val="left"/>
            </w:pPr>
            <w:r>
              <w:rPr>
                <w:rFonts w:hint="eastAsia"/>
              </w:rPr>
              <w:t>雄州（211）     乌迳（269）</w:t>
            </w:r>
          </w:p>
          <w:p w14:paraId="695B12E4">
            <w:pPr>
              <w:pStyle w:val="12"/>
              <w:jc w:val="left"/>
            </w:pPr>
            <w:r>
              <w:rPr>
                <w:rFonts w:hint="eastAsia"/>
              </w:rPr>
              <w:t>珠玑（268）</w:t>
            </w:r>
          </w:p>
        </w:tc>
        <w:tc>
          <w:tcPr>
            <w:tcW w:w="2954" w:type="pct"/>
            <w:vAlign w:val="center"/>
          </w:tcPr>
          <w:p w14:paraId="7D53FE1B">
            <w:pPr>
              <w:pStyle w:val="12"/>
              <w:jc w:val="left"/>
            </w:pPr>
            <w:r>
              <w:rPr>
                <w:rFonts w:hint="eastAsia"/>
              </w:rPr>
              <w:t>浆田郭屋（221）  坪塘（119）        观斗坪（99）</w:t>
            </w:r>
          </w:p>
          <w:p w14:paraId="6D762267">
            <w:pPr>
              <w:pStyle w:val="12"/>
              <w:jc w:val="left"/>
            </w:pPr>
            <w:r>
              <w:rPr>
                <w:rFonts w:hint="eastAsia"/>
              </w:rPr>
              <w:t>赤水塘（91）    观新郭屋（75）    长龙山塘（70）</w:t>
            </w:r>
          </w:p>
          <w:p w14:paraId="30C864D9">
            <w:pPr>
              <w:pStyle w:val="12"/>
              <w:jc w:val="left"/>
            </w:pPr>
            <w:r>
              <w:rPr>
                <w:rFonts w:hint="eastAsia"/>
              </w:rPr>
              <w:t>实竹坑（60）    南山郭屋（54）    实围（50）</w:t>
            </w:r>
          </w:p>
          <w:p w14:paraId="40958D35">
            <w:pPr>
              <w:pStyle w:val="12"/>
              <w:jc w:val="left"/>
            </w:pPr>
            <w:r>
              <w:rPr>
                <w:rFonts w:hint="eastAsia"/>
              </w:rPr>
              <w:t>南亩芙围（50）  水星（49）</w:t>
            </w:r>
          </w:p>
        </w:tc>
      </w:tr>
      <w:tr w14:paraId="445935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74BF8430">
            <w:pPr>
              <w:pStyle w:val="12"/>
              <w:jc w:val="center"/>
            </w:pPr>
            <w:r>
              <w:rPr>
                <w:rFonts w:hint="eastAsia"/>
              </w:rPr>
              <w:t>董</w:t>
            </w:r>
          </w:p>
        </w:tc>
        <w:tc>
          <w:tcPr>
            <w:tcW w:w="1697" w:type="pct"/>
            <w:vAlign w:val="center"/>
          </w:tcPr>
          <w:p w14:paraId="3258BF70">
            <w:pPr>
              <w:pStyle w:val="12"/>
              <w:jc w:val="left"/>
            </w:pPr>
            <w:r>
              <w:rPr>
                <w:rFonts w:hint="eastAsia"/>
              </w:rPr>
              <w:t>乌迳（752）    界址（426）</w:t>
            </w:r>
          </w:p>
          <w:p w14:paraId="6DDB7201">
            <w:pPr>
              <w:pStyle w:val="12"/>
              <w:jc w:val="left"/>
            </w:pPr>
            <w:r>
              <w:rPr>
                <w:rFonts w:hint="eastAsia"/>
              </w:rPr>
              <w:t>坪田（421）</w:t>
            </w:r>
          </w:p>
        </w:tc>
        <w:tc>
          <w:tcPr>
            <w:tcW w:w="2954" w:type="pct"/>
            <w:vAlign w:val="center"/>
          </w:tcPr>
          <w:p w14:paraId="7EE099D0">
            <w:pPr>
              <w:pStyle w:val="12"/>
              <w:jc w:val="left"/>
            </w:pPr>
            <w:r>
              <w:rPr>
                <w:rFonts w:hint="eastAsia"/>
              </w:rPr>
              <w:t>水松（513）     界址（138）      老龙（105）</w:t>
            </w:r>
          </w:p>
          <w:p w14:paraId="5D53270C">
            <w:pPr>
              <w:pStyle w:val="12"/>
              <w:jc w:val="left"/>
            </w:pPr>
            <w:r>
              <w:rPr>
                <w:rFonts w:hint="eastAsia"/>
              </w:rPr>
              <w:t>赵坑（102）     洋街（98）       田心松木塘（74）</w:t>
            </w:r>
          </w:p>
          <w:p w14:paraId="7BD55901">
            <w:pPr>
              <w:pStyle w:val="12"/>
              <w:jc w:val="left"/>
            </w:pPr>
            <w:r>
              <w:rPr>
                <w:rFonts w:hint="eastAsia"/>
              </w:rPr>
              <w:t>石陂（74）      麦栋（54）       官陂松树下（48）</w:t>
            </w:r>
          </w:p>
        </w:tc>
      </w:tr>
      <w:tr w14:paraId="6231888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28CE7FF6">
            <w:pPr>
              <w:pStyle w:val="12"/>
              <w:jc w:val="center"/>
            </w:pPr>
            <w:r>
              <w:rPr>
                <w:rFonts w:hint="eastAsia"/>
              </w:rPr>
              <w:t>朱</w:t>
            </w:r>
          </w:p>
        </w:tc>
        <w:tc>
          <w:tcPr>
            <w:tcW w:w="1697" w:type="pct"/>
            <w:vAlign w:val="center"/>
          </w:tcPr>
          <w:p w14:paraId="0E4F22CB">
            <w:pPr>
              <w:pStyle w:val="12"/>
              <w:jc w:val="left"/>
            </w:pPr>
            <w:r>
              <w:rPr>
                <w:rFonts w:hint="eastAsia"/>
              </w:rPr>
              <w:t>雄州（330）    湖口（217）</w:t>
            </w:r>
          </w:p>
          <w:p w14:paraId="64533315">
            <w:pPr>
              <w:pStyle w:val="12"/>
              <w:jc w:val="left"/>
            </w:pPr>
            <w:r>
              <w:rPr>
                <w:rFonts w:hint="eastAsia"/>
              </w:rPr>
              <w:t>珠玑（161）     全安（149）</w:t>
            </w:r>
          </w:p>
          <w:p w14:paraId="6D18AAC4">
            <w:pPr>
              <w:pStyle w:val="12"/>
              <w:jc w:val="left"/>
            </w:pPr>
            <w:r>
              <w:rPr>
                <w:rFonts w:hint="eastAsia"/>
              </w:rPr>
              <w:t>邓坊（112）    百顺（103）</w:t>
            </w:r>
          </w:p>
        </w:tc>
        <w:tc>
          <w:tcPr>
            <w:tcW w:w="2954" w:type="pct"/>
            <w:vAlign w:val="center"/>
          </w:tcPr>
          <w:p w14:paraId="5DD7F48E">
            <w:pPr>
              <w:pStyle w:val="12"/>
              <w:jc w:val="left"/>
            </w:pPr>
            <w:r>
              <w:rPr>
                <w:rFonts w:hint="eastAsia"/>
              </w:rPr>
              <w:t>沙道丘（71）    樟地背（69）     雄州水西（62）</w:t>
            </w:r>
          </w:p>
          <w:p w14:paraId="556F8554">
            <w:pPr>
              <w:pStyle w:val="12"/>
              <w:jc w:val="left"/>
            </w:pPr>
            <w:r>
              <w:rPr>
                <w:rFonts w:hint="eastAsia"/>
              </w:rPr>
              <w:t>百顺大沙洲（58） 湖口上下门（54）  葛坪（53）</w:t>
            </w:r>
          </w:p>
          <w:p w14:paraId="0BFCE3AC">
            <w:pPr>
              <w:pStyle w:val="12"/>
              <w:jc w:val="left"/>
            </w:pPr>
            <w:r>
              <w:rPr>
                <w:rFonts w:hint="eastAsia"/>
              </w:rPr>
              <w:t>陂头（45）       青山口（45）      陈公庙（44）</w:t>
            </w:r>
          </w:p>
        </w:tc>
      </w:tr>
      <w:tr w14:paraId="5C2E9F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0C5A52A4">
            <w:pPr>
              <w:pStyle w:val="12"/>
              <w:jc w:val="center"/>
            </w:pPr>
            <w:r>
              <w:rPr>
                <w:rFonts w:hint="eastAsia"/>
              </w:rPr>
              <w:t>彭</w:t>
            </w:r>
          </w:p>
        </w:tc>
        <w:tc>
          <w:tcPr>
            <w:tcW w:w="1697" w:type="pct"/>
            <w:vAlign w:val="center"/>
          </w:tcPr>
          <w:p w14:paraId="5F3D2C34">
            <w:pPr>
              <w:pStyle w:val="12"/>
              <w:jc w:val="left"/>
            </w:pPr>
            <w:r>
              <w:rPr>
                <w:rFonts w:hint="eastAsia"/>
              </w:rPr>
              <w:t>油山（1186）</w:t>
            </w:r>
          </w:p>
        </w:tc>
        <w:tc>
          <w:tcPr>
            <w:tcW w:w="2954" w:type="pct"/>
            <w:vAlign w:val="center"/>
          </w:tcPr>
          <w:p w14:paraId="61964D25">
            <w:pPr>
              <w:pStyle w:val="12"/>
              <w:jc w:val="left"/>
            </w:pPr>
            <w:r>
              <w:rPr>
                <w:rFonts w:hint="eastAsia"/>
              </w:rPr>
              <w:t>上朔（622）      高口（75）        百顺大沙州（58）</w:t>
            </w:r>
          </w:p>
          <w:p w14:paraId="1F38D713">
            <w:pPr>
              <w:pStyle w:val="12"/>
              <w:jc w:val="left"/>
            </w:pPr>
            <w:r>
              <w:rPr>
                <w:rFonts w:hint="eastAsia"/>
              </w:rPr>
              <w:t>龙迳傍江坑（56） 油山象咀头（52）</w:t>
            </w:r>
          </w:p>
        </w:tc>
      </w:tr>
      <w:tr w14:paraId="47D477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6D1AF39D">
            <w:pPr>
              <w:pStyle w:val="12"/>
              <w:jc w:val="center"/>
            </w:pPr>
            <w:r>
              <w:rPr>
                <w:rFonts w:hint="eastAsia"/>
              </w:rPr>
              <w:t>林</w:t>
            </w:r>
          </w:p>
        </w:tc>
        <w:tc>
          <w:tcPr>
            <w:tcW w:w="1697" w:type="pct"/>
            <w:vAlign w:val="center"/>
          </w:tcPr>
          <w:p w14:paraId="352A4103">
            <w:pPr>
              <w:pStyle w:val="12"/>
              <w:jc w:val="left"/>
            </w:pPr>
            <w:r>
              <w:rPr>
                <w:rFonts w:hint="eastAsia"/>
              </w:rPr>
              <w:t>全安（201）    澜河（200）</w:t>
            </w:r>
          </w:p>
          <w:p w14:paraId="28413844">
            <w:pPr>
              <w:pStyle w:val="12"/>
              <w:jc w:val="left"/>
            </w:pPr>
            <w:r>
              <w:rPr>
                <w:rFonts w:hint="eastAsia"/>
              </w:rPr>
              <w:t>湖口（167）    珠玑（110）</w:t>
            </w:r>
          </w:p>
        </w:tc>
        <w:tc>
          <w:tcPr>
            <w:tcW w:w="2954" w:type="pct"/>
            <w:vAlign w:val="center"/>
          </w:tcPr>
          <w:p w14:paraId="6ED4C0C3">
            <w:pPr>
              <w:pStyle w:val="12"/>
              <w:jc w:val="left"/>
            </w:pPr>
            <w:r>
              <w:rPr>
                <w:rFonts w:hint="eastAsia"/>
              </w:rPr>
              <w:t>陂头林屋（96）   耶溪新四方坑（58）  百顺东坑（47）</w:t>
            </w:r>
          </w:p>
          <w:p w14:paraId="2881774E">
            <w:pPr>
              <w:pStyle w:val="12"/>
              <w:jc w:val="left"/>
            </w:pPr>
            <w:r>
              <w:rPr>
                <w:rFonts w:hint="eastAsia"/>
              </w:rPr>
              <w:t>赤溪湖（45）    小塘丰乡（44）</w:t>
            </w:r>
          </w:p>
        </w:tc>
      </w:tr>
      <w:tr w14:paraId="46207B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38916692">
            <w:pPr>
              <w:pStyle w:val="12"/>
              <w:jc w:val="center"/>
            </w:pPr>
            <w:r>
              <w:rPr>
                <w:rFonts w:hint="eastAsia"/>
              </w:rPr>
              <w:t>卢</w:t>
            </w:r>
          </w:p>
        </w:tc>
        <w:tc>
          <w:tcPr>
            <w:tcW w:w="1697" w:type="pct"/>
            <w:vAlign w:val="center"/>
          </w:tcPr>
          <w:p w14:paraId="3DB46137">
            <w:pPr>
              <w:pStyle w:val="12"/>
              <w:jc w:val="left"/>
            </w:pPr>
            <w:r>
              <w:rPr>
                <w:rFonts w:hint="eastAsia"/>
              </w:rPr>
              <w:t>珠玑（345）    黄坑（235）</w:t>
            </w:r>
          </w:p>
          <w:p w14:paraId="07BBF356">
            <w:pPr>
              <w:pStyle w:val="12"/>
              <w:jc w:val="left"/>
            </w:pPr>
            <w:r>
              <w:rPr>
                <w:rFonts w:hint="eastAsia"/>
              </w:rPr>
              <w:t>古市（126）     邓坊（104）</w:t>
            </w:r>
          </w:p>
        </w:tc>
        <w:tc>
          <w:tcPr>
            <w:tcW w:w="2954" w:type="pct"/>
            <w:vAlign w:val="center"/>
          </w:tcPr>
          <w:p w14:paraId="14905200">
            <w:pPr>
              <w:pStyle w:val="12"/>
              <w:jc w:val="left"/>
            </w:pPr>
            <w:r>
              <w:rPr>
                <w:rFonts w:hint="eastAsia"/>
              </w:rPr>
              <w:t>和睦塘（98）      黄坑上坑（92）      四方坑（72）</w:t>
            </w:r>
          </w:p>
          <w:p w14:paraId="2D3BC05F">
            <w:pPr>
              <w:pStyle w:val="12"/>
              <w:jc w:val="left"/>
            </w:pPr>
            <w:r>
              <w:rPr>
                <w:rFonts w:hint="eastAsia"/>
              </w:rPr>
              <w:t>洋湖塘窝（58）    百顺大沙洲（44）</w:t>
            </w:r>
          </w:p>
        </w:tc>
      </w:tr>
      <w:tr w14:paraId="2D94ED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295D76A7">
            <w:pPr>
              <w:pStyle w:val="12"/>
              <w:jc w:val="center"/>
            </w:pPr>
            <w:r>
              <w:rPr>
                <w:rFonts w:hint="eastAsia"/>
              </w:rPr>
              <w:t>邱</w:t>
            </w:r>
          </w:p>
        </w:tc>
        <w:tc>
          <w:tcPr>
            <w:tcW w:w="1697" w:type="pct"/>
            <w:vAlign w:val="center"/>
          </w:tcPr>
          <w:p w14:paraId="0875A3F3">
            <w:pPr>
              <w:pStyle w:val="12"/>
              <w:jc w:val="left"/>
            </w:pPr>
            <w:r>
              <w:rPr>
                <w:rFonts w:hint="eastAsia"/>
              </w:rPr>
              <w:t>全安（203）    水口（186）</w:t>
            </w:r>
          </w:p>
          <w:p w14:paraId="563BD978">
            <w:pPr>
              <w:pStyle w:val="12"/>
              <w:jc w:val="left"/>
            </w:pPr>
            <w:r>
              <w:rPr>
                <w:rFonts w:hint="eastAsia"/>
              </w:rPr>
              <w:t>湖口（138）</w:t>
            </w:r>
          </w:p>
        </w:tc>
        <w:tc>
          <w:tcPr>
            <w:tcW w:w="2954" w:type="pct"/>
            <w:vAlign w:val="center"/>
          </w:tcPr>
          <w:p w14:paraId="32FB7651">
            <w:pPr>
              <w:pStyle w:val="12"/>
              <w:jc w:val="left"/>
            </w:pPr>
            <w:r>
              <w:rPr>
                <w:rFonts w:hint="eastAsia"/>
              </w:rPr>
              <w:t>承平长坑（106）   廓公岭（98）    坪田小塘（59）</w:t>
            </w:r>
          </w:p>
          <w:p w14:paraId="50411E0A">
            <w:pPr>
              <w:pStyle w:val="12"/>
              <w:jc w:val="left"/>
            </w:pPr>
            <w:r>
              <w:rPr>
                <w:rFonts w:hint="eastAsia"/>
              </w:rPr>
              <w:t>河塘（46）        百顺（45）</w:t>
            </w:r>
          </w:p>
        </w:tc>
      </w:tr>
      <w:tr w14:paraId="502784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4DFA9DE3">
            <w:pPr>
              <w:pStyle w:val="12"/>
              <w:jc w:val="center"/>
            </w:pPr>
            <w:r>
              <w:rPr>
                <w:rFonts w:hint="eastAsia"/>
              </w:rPr>
              <w:t>杨</w:t>
            </w:r>
          </w:p>
        </w:tc>
        <w:tc>
          <w:tcPr>
            <w:tcW w:w="1697" w:type="pct"/>
            <w:vAlign w:val="center"/>
          </w:tcPr>
          <w:p w14:paraId="3048B4FA">
            <w:pPr>
              <w:pStyle w:val="12"/>
              <w:jc w:val="left"/>
            </w:pPr>
            <w:r>
              <w:rPr>
                <w:rFonts w:hint="eastAsia"/>
              </w:rPr>
              <w:t>湖口（254）  黄坑（116）</w:t>
            </w:r>
          </w:p>
        </w:tc>
        <w:tc>
          <w:tcPr>
            <w:tcW w:w="2954" w:type="pct"/>
            <w:vAlign w:val="center"/>
          </w:tcPr>
          <w:p w14:paraId="59E05E35">
            <w:pPr>
              <w:pStyle w:val="12"/>
              <w:jc w:val="left"/>
            </w:pPr>
            <w:r>
              <w:rPr>
                <w:rFonts w:hint="eastAsia"/>
              </w:rPr>
              <w:t>社前云下（116）    湖口上园（73）    百顺溪头（64）</w:t>
            </w:r>
          </w:p>
          <w:p w14:paraId="7606A845">
            <w:pPr>
              <w:pStyle w:val="12"/>
              <w:jc w:val="left"/>
            </w:pPr>
            <w:r>
              <w:rPr>
                <w:rFonts w:hint="eastAsia"/>
              </w:rPr>
              <w:t>湖口社官下（62）   湖口田心（58）    祗芫（57）</w:t>
            </w:r>
          </w:p>
          <w:p w14:paraId="15278F33">
            <w:pPr>
              <w:pStyle w:val="12"/>
              <w:jc w:val="left"/>
            </w:pPr>
            <w:r>
              <w:rPr>
                <w:rFonts w:hint="eastAsia"/>
              </w:rPr>
              <w:t>江头杨屋（52）     湖口下园（52）    黎口桥（52）</w:t>
            </w:r>
          </w:p>
        </w:tc>
      </w:tr>
      <w:tr w14:paraId="1EC62B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01046D2E">
            <w:pPr>
              <w:pStyle w:val="12"/>
              <w:jc w:val="center"/>
            </w:pPr>
            <w:r>
              <w:rPr>
                <w:rFonts w:hint="eastAsia"/>
              </w:rPr>
              <w:t>罗</w:t>
            </w:r>
          </w:p>
        </w:tc>
        <w:tc>
          <w:tcPr>
            <w:tcW w:w="1697" w:type="pct"/>
            <w:vAlign w:val="center"/>
          </w:tcPr>
          <w:p w14:paraId="44116D1F">
            <w:pPr>
              <w:pStyle w:val="12"/>
              <w:jc w:val="left"/>
            </w:pPr>
            <w:r>
              <w:rPr>
                <w:rFonts w:hint="eastAsia"/>
              </w:rPr>
              <w:t>全安（304）  珠玑（190）</w:t>
            </w:r>
          </w:p>
          <w:p w14:paraId="3FE2D730">
            <w:pPr>
              <w:pStyle w:val="12"/>
              <w:jc w:val="left"/>
            </w:pPr>
            <w:r>
              <w:rPr>
                <w:rFonts w:hint="eastAsia"/>
              </w:rPr>
              <w:t>雄州（115）</w:t>
            </w:r>
          </w:p>
        </w:tc>
        <w:tc>
          <w:tcPr>
            <w:tcW w:w="2954" w:type="pct"/>
            <w:vAlign w:val="center"/>
          </w:tcPr>
          <w:p w14:paraId="711F188A">
            <w:pPr>
              <w:pStyle w:val="12"/>
              <w:jc w:val="left"/>
            </w:pPr>
            <w:r>
              <w:rPr>
                <w:rFonts w:hint="eastAsia"/>
              </w:rPr>
              <w:t>杨历（195）        九塘（67）        珠玑榕树下（48）</w:t>
            </w:r>
          </w:p>
        </w:tc>
      </w:tr>
      <w:tr w14:paraId="57B228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28F5F318">
            <w:pPr>
              <w:pStyle w:val="12"/>
              <w:jc w:val="center"/>
            </w:pPr>
            <w:r>
              <w:rPr>
                <w:rFonts w:hint="eastAsia"/>
              </w:rPr>
              <w:t>徐</w:t>
            </w:r>
          </w:p>
        </w:tc>
        <w:tc>
          <w:tcPr>
            <w:tcW w:w="1697" w:type="pct"/>
            <w:vAlign w:val="center"/>
          </w:tcPr>
          <w:p w14:paraId="3A53D4A4">
            <w:pPr>
              <w:pStyle w:val="12"/>
              <w:jc w:val="left"/>
            </w:pPr>
            <w:r>
              <w:rPr>
                <w:rFonts w:hint="eastAsia"/>
              </w:rPr>
              <w:t>珠玑（575）    邓坊（149）</w:t>
            </w:r>
          </w:p>
          <w:p w14:paraId="2C19AB70">
            <w:pPr>
              <w:pStyle w:val="12"/>
              <w:jc w:val="left"/>
            </w:pPr>
            <w:r>
              <w:rPr>
                <w:rFonts w:hint="eastAsia"/>
              </w:rPr>
              <w:t>湖口（114）</w:t>
            </w:r>
          </w:p>
        </w:tc>
        <w:tc>
          <w:tcPr>
            <w:tcW w:w="2954" w:type="pct"/>
            <w:vAlign w:val="center"/>
          </w:tcPr>
          <w:p w14:paraId="01233600">
            <w:pPr>
              <w:pStyle w:val="12"/>
              <w:jc w:val="left"/>
            </w:pPr>
            <w:r>
              <w:rPr>
                <w:rFonts w:hint="eastAsia"/>
              </w:rPr>
              <w:t>中站（163）        邓坊（83）        上朔（56）</w:t>
            </w:r>
          </w:p>
          <w:p w14:paraId="1575DE3D">
            <w:pPr>
              <w:pStyle w:val="12"/>
              <w:jc w:val="left"/>
            </w:pPr>
            <w:r>
              <w:rPr>
                <w:rFonts w:hint="eastAsia"/>
              </w:rPr>
              <w:t>拱桥（54）</w:t>
            </w:r>
          </w:p>
        </w:tc>
      </w:tr>
      <w:tr w14:paraId="7616E7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45B72A17">
            <w:pPr>
              <w:pStyle w:val="12"/>
              <w:jc w:val="center"/>
            </w:pPr>
            <w:r>
              <w:rPr>
                <w:rFonts w:hint="eastAsia"/>
              </w:rPr>
              <w:t>马</w:t>
            </w:r>
          </w:p>
        </w:tc>
        <w:tc>
          <w:tcPr>
            <w:tcW w:w="1697" w:type="pct"/>
            <w:vAlign w:val="center"/>
          </w:tcPr>
          <w:p w14:paraId="5BF4E31F">
            <w:pPr>
              <w:pStyle w:val="12"/>
              <w:jc w:val="left"/>
            </w:pPr>
            <w:r>
              <w:rPr>
                <w:rFonts w:hint="eastAsia"/>
              </w:rPr>
              <w:t>古市（747）</w:t>
            </w:r>
          </w:p>
        </w:tc>
        <w:tc>
          <w:tcPr>
            <w:tcW w:w="2954" w:type="pct"/>
            <w:vAlign w:val="center"/>
          </w:tcPr>
          <w:p w14:paraId="05D0AF98">
            <w:pPr>
              <w:pStyle w:val="12"/>
              <w:jc w:val="left"/>
            </w:pPr>
            <w:r>
              <w:rPr>
                <w:rFonts w:hint="eastAsia"/>
              </w:rPr>
              <w:t>溪口（206）        珠辉（56）        倚逢（120）</w:t>
            </w:r>
          </w:p>
          <w:p w14:paraId="142BFD3D">
            <w:pPr>
              <w:pStyle w:val="12"/>
              <w:jc w:val="left"/>
            </w:pPr>
            <w:r>
              <w:rPr>
                <w:rFonts w:hint="eastAsia"/>
              </w:rPr>
              <w:t>泰源马屋（52）</w:t>
            </w:r>
          </w:p>
        </w:tc>
      </w:tr>
      <w:tr w14:paraId="0D981F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54C0F647">
            <w:pPr>
              <w:pStyle w:val="12"/>
              <w:jc w:val="center"/>
            </w:pPr>
            <w:r>
              <w:rPr>
                <w:rFonts w:hint="eastAsia"/>
              </w:rPr>
              <w:t>肖</w:t>
            </w:r>
          </w:p>
        </w:tc>
        <w:tc>
          <w:tcPr>
            <w:tcW w:w="1697" w:type="pct"/>
            <w:vAlign w:val="center"/>
          </w:tcPr>
          <w:p w14:paraId="70A8D42E">
            <w:pPr>
              <w:pStyle w:val="12"/>
              <w:jc w:val="left"/>
            </w:pPr>
            <w:r>
              <w:rPr>
                <w:rFonts w:hint="eastAsia"/>
              </w:rPr>
              <w:t>湖口（275）    雄州（201）</w:t>
            </w:r>
          </w:p>
          <w:p w14:paraId="06C4CB74">
            <w:pPr>
              <w:pStyle w:val="12"/>
              <w:jc w:val="left"/>
            </w:pPr>
            <w:r>
              <w:rPr>
                <w:rFonts w:hint="eastAsia"/>
              </w:rPr>
              <w:t>水口（192）</w:t>
            </w:r>
          </w:p>
        </w:tc>
        <w:tc>
          <w:tcPr>
            <w:tcW w:w="2954" w:type="pct"/>
            <w:vAlign w:val="center"/>
          </w:tcPr>
          <w:p w14:paraId="0F9B00A3">
            <w:pPr>
              <w:pStyle w:val="12"/>
              <w:jc w:val="left"/>
            </w:pPr>
            <w:r>
              <w:rPr>
                <w:rFonts w:hint="eastAsia"/>
              </w:rPr>
              <w:t>新迳（128）        新湖公坑（98）    佛子前（94）</w:t>
            </w:r>
          </w:p>
          <w:p w14:paraId="7325140F">
            <w:pPr>
              <w:pStyle w:val="12"/>
              <w:jc w:val="left"/>
            </w:pPr>
            <w:r>
              <w:rPr>
                <w:rFonts w:hint="eastAsia"/>
              </w:rPr>
              <w:t>赤岭龙头山（92）   坪田高发（72）    赤岭大村（61）</w:t>
            </w:r>
          </w:p>
        </w:tc>
      </w:tr>
      <w:tr w14:paraId="052944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6080EFBD">
            <w:pPr>
              <w:pStyle w:val="12"/>
              <w:jc w:val="center"/>
            </w:pPr>
            <w:r>
              <w:rPr>
                <w:rFonts w:hint="eastAsia"/>
              </w:rPr>
              <w:t>温</w:t>
            </w:r>
          </w:p>
        </w:tc>
        <w:tc>
          <w:tcPr>
            <w:tcW w:w="1697" w:type="pct"/>
            <w:vAlign w:val="center"/>
          </w:tcPr>
          <w:p w14:paraId="23F97E8D">
            <w:pPr>
              <w:pStyle w:val="12"/>
              <w:jc w:val="left"/>
            </w:pPr>
            <w:r>
              <w:rPr>
                <w:rFonts w:hint="eastAsia"/>
              </w:rPr>
              <w:t>湖口（238）  坪田（100）</w:t>
            </w:r>
          </w:p>
        </w:tc>
        <w:tc>
          <w:tcPr>
            <w:tcW w:w="2954" w:type="pct"/>
            <w:vAlign w:val="center"/>
          </w:tcPr>
          <w:p w14:paraId="744C275A">
            <w:pPr>
              <w:pStyle w:val="12"/>
              <w:jc w:val="left"/>
            </w:pPr>
            <w:r>
              <w:rPr>
                <w:rFonts w:hint="eastAsia"/>
              </w:rPr>
              <w:t>新湖罗田（237）    坪田长坑（100）   黄坑水西温屋（83）</w:t>
            </w:r>
          </w:p>
          <w:p w14:paraId="54F6B6E6">
            <w:pPr>
              <w:pStyle w:val="12"/>
              <w:jc w:val="left"/>
            </w:pPr>
            <w:r>
              <w:rPr>
                <w:rFonts w:hint="eastAsia"/>
              </w:rPr>
              <w:t>油山黄田温屋（76）</w:t>
            </w:r>
          </w:p>
        </w:tc>
      </w:tr>
      <w:tr w14:paraId="2D5015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542D9BE8">
            <w:pPr>
              <w:pStyle w:val="12"/>
              <w:jc w:val="center"/>
            </w:pPr>
            <w:r>
              <w:rPr>
                <w:rFonts w:hint="eastAsia"/>
              </w:rPr>
              <w:t>郑</w:t>
            </w:r>
          </w:p>
        </w:tc>
        <w:tc>
          <w:tcPr>
            <w:tcW w:w="1697" w:type="pct"/>
            <w:vAlign w:val="center"/>
          </w:tcPr>
          <w:p w14:paraId="383E5403">
            <w:pPr>
              <w:pStyle w:val="12"/>
              <w:jc w:val="left"/>
            </w:pPr>
            <w:r>
              <w:rPr>
                <w:rFonts w:hint="eastAsia"/>
              </w:rPr>
              <w:t>雄州（126）  乌迳（113）</w:t>
            </w:r>
          </w:p>
        </w:tc>
        <w:tc>
          <w:tcPr>
            <w:tcW w:w="2954" w:type="pct"/>
            <w:vAlign w:val="center"/>
          </w:tcPr>
          <w:p w14:paraId="35143576">
            <w:pPr>
              <w:pStyle w:val="12"/>
              <w:jc w:val="left"/>
            </w:pPr>
            <w:r>
              <w:rPr>
                <w:rFonts w:hint="eastAsia"/>
              </w:rPr>
              <w:t>三洲（71）        黄洞（50）      石溪水（51）</w:t>
            </w:r>
          </w:p>
        </w:tc>
      </w:tr>
      <w:tr w14:paraId="4528D0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01AF7C9E">
            <w:pPr>
              <w:pStyle w:val="12"/>
              <w:jc w:val="center"/>
            </w:pPr>
            <w:r>
              <w:rPr>
                <w:rFonts w:hint="eastAsia"/>
              </w:rPr>
              <w:t>姚</w:t>
            </w:r>
          </w:p>
        </w:tc>
        <w:tc>
          <w:tcPr>
            <w:tcW w:w="1697" w:type="pct"/>
            <w:vAlign w:val="center"/>
          </w:tcPr>
          <w:p w14:paraId="72FDE5F7">
            <w:pPr>
              <w:pStyle w:val="12"/>
              <w:jc w:val="left"/>
            </w:pPr>
            <w:r>
              <w:rPr>
                <w:rFonts w:hint="eastAsia"/>
              </w:rPr>
              <w:t>古市（199）  主田（125）</w:t>
            </w:r>
          </w:p>
        </w:tc>
        <w:tc>
          <w:tcPr>
            <w:tcW w:w="2954" w:type="pct"/>
            <w:vAlign w:val="center"/>
          </w:tcPr>
          <w:p w14:paraId="51AF127F">
            <w:pPr>
              <w:pStyle w:val="12"/>
              <w:jc w:val="left"/>
            </w:pPr>
            <w:r>
              <w:rPr>
                <w:rFonts w:hint="eastAsia"/>
              </w:rPr>
              <w:t>古市姚塘（165）  主田姚屋（119）</w:t>
            </w:r>
          </w:p>
        </w:tc>
      </w:tr>
      <w:tr w14:paraId="32DC58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4D55F762">
            <w:pPr>
              <w:pStyle w:val="12"/>
              <w:jc w:val="center"/>
            </w:pPr>
            <w:r>
              <w:rPr>
                <w:rFonts w:hint="eastAsia"/>
              </w:rPr>
              <w:t>梁</w:t>
            </w:r>
          </w:p>
        </w:tc>
        <w:tc>
          <w:tcPr>
            <w:tcW w:w="1697" w:type="pct"/>
            <w:vAlign w:val="center"/>
          </w:tcPr>
          <w:p w14:paraId="1FB9CD2B">
            <w:pPr>
              <w:pStyle w:val="12"/>
              <w:jc w:val="left"/>
            </w:pPr>
            <w:r>
              <w:rPr>
                <w:rFonts w:hint="eastAsia"/>
              </w:rPr>
              <w:t>雄州（134）</w:t>
            </w:r>
          </w:p>
        </w:tc>
        <w:tc>
          <w:tcPr>
            <w:tcW w:w="2954" w:type="pct"/>
            <w:vAlign w:val="center"/>
          </w:tcPr>
          <w:p w14:paraId="1D1A3F25">
            <w:pPr>
              <w:pStyle w:val="12"/>
              <w:jc w:val="left"/>
            </w:pPr>
            <w:r>
              <w:rPr>
                <w:rFonts w:hint="eastAsia"/>
              </w:rPr>
              <w:t>荆岗（82）       主田大坝（47）  乌迳兰丘（47）</w:t>
            </w:r>
          </w:p>
        </w:tc>
      </w:tr>
      <w:tr w14:paraId="2FE497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08DF9BED">
            <w:pPr>
              <w:pStyle w:val="12"/>
              <w:jc w:val="center"/>
            </w:pPr>
            <w:r>
              <w:rPr>
                <w:rFonts w:hint="eastAsia"/>
              </w:rPr>
              <w:t>周</w:t>
            </w:r>
          </w:p>
        </w:tc>
        <w:tc>
          <w:tcPr>
            <w:tcW w:w="1697" w:type="pct"/>
            <w:vAlign w:val="center"/>
          </w:tcPr>
          <w:p w14:paraId="250E8426">
            <w:pPr>
              <w:pStyle w:val="12"/>
              <w:jc w:val="left"/>
            </w:pPr>
            <w:r>
              <w:rPr>
                <w:rFonts w:hint="eastAsia"/>
              </w:rPr>
              <w:t>珠玑（207）  黄坑（111）</w:t>
            </w:r>
          </w:p>
        </w:tc>
        <w:tc>
          <w:tcPr>
            <w:tcW w:w="2954" w:type="pct"/>
            <w:vAlign w:val="center"/>
          </w:tcPr>
          <w:p w14:paraId="6D835765">
            <w:pPr>
              <w:pStyle w:val="12"/>
              <w:jc w:val="left"/>
            </w:pPr>
            <w:r>
              <w:rPr>
                <w:rFonts w:hint="eastAsia"/>
              </w:rPr>
              <w:t>黄坑园岭（74）   里东（77）</w:t>
            </w:r>
          </w:p>
        </w:tc>
      </w:tr>
      <w:tr w14:paraId="5F384B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1298FBE0">
            <w:pPr>
              <w:pStyle w:val="12"/>
              <w:jc w:val="center"/>
            </w:pPr>
            <w:r>
              <w:rPr>
                <w:rFonts w:hint="eastAsia"/>
              </w:rPr>
              <w:t>谭</w:t>
            </w:r>
          </w:p>
        </w:tc>
        <w:tc>
          <w:tcPr>
            <w:tcW w:w="1697" w:type="pct"/>
            <w:vAlign w:val="center"/>
          </w:tcPr>
          <w:p w14:paraId="55A689E0">
            <w:pPr>
              <w:pStyle w:val="12"/>
              <w:jc w:val="left"/>
            </w:pPr>
            <w:r>
              <w:rPr>
                <w:rFonts w:hint="eastAsia"/>
              </w:rPr>
              <w:t>帽子峰（246）    澜河（176）</w:t>
            </w:r>
          </w:p>
          <w:p w14:paraId="77BF3085">
            <w:pPr>
              <w:pStyle w:val="12"/>
              <w:jc w:val="left"/>
            </w:pPr>
            <w:r>
              <w:rPr>
                <w:rFonts w:hint="eastAsia"/>
              </w:rPr>
              <w:t>主田（110）</w:t>
            </w:r>
          </w:p>
        </w:tc>
        <w:tc>
          <w:tcPr>
            <w:tcW w:w="2954" w:type="pct"/>
            <w:vAlign w:val="center"/>
          </w:tcPr>
          <w:p w14:paraId="73092072">
            <w:pPr>
              <w:pStyle w:val="12"/>
              <w:jc w:val="left"/>
            </w:pPr>
            <w:r>
              <w:rPr>
                <w:rFonts w:hint="eastAsia"/>
              </w:rPr>
              <w:t>主田（79）       富竹（75）      梨树（70）</w:t>
            </w:r>
          </w:p>
          <w:p w14:paraId="20E2F7AB">
            <w:pPr>
              <w:pStyle w:val="12"/>
              <w:jc w:val="left"/>
            </w:pPr>
            <w:r>
              <w:rPr>
                <w:rFonts w:hint="eastAsia"/>
              </w:rPr>
              <w:t>澜河（56）       杨梅（54）      白云鱼口坑（51）</w:t>
            </w:r>
          </w:p>
        </w:tc>
      </w:tr>
      <w:tr w14:paraId="6EFB50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33269F40">
            <w:pPr>
              <w:pStyle w:val="12"/>
              <w:jc w:val="center"/>
            </w:pPr>
            <w:r>
              <w:rPr>
                <w:rFonts w:hint="eastAsia"/>
              </w:rPr>
              <w:t>胡</w:t>
            </w:r>
          </w:p>
        </w:tc>
        <w:tc>
          <w:tcPr>
            <w:tcW w:w="1697" w:type="pct"/>
            <w:vAlign w:val="center"/>
          </w:tcPr>
          <w:p w14:paraId="416A0976">
            <w:pPr>
              <w:pStyle w:val="12"/>
              <w:jc w:val="left"/>
            </w:pPr>
            <w:r>
              <w:rPr>
                <w:rFonts w:hint="eastAsia"/>
              </w:rPr>
              <w:t>全安（166）    雄州（151）</w:t>
            </w:r>
          </w:p>
          <w:p w14:paraId="5A032B0C">
            <w:pPr>
              <w:pStyle w:val="12"/>
              <w:jc w:val="left"/>
            </w:pPr>
            <w:r>
              <w:rPr>
                <w:rFonts w:hint="eastAsia"/>
              </w:rPr>
              <w:t>珠玑（103）</w:t>
            </w:r>
          </w:p>
        </w:tc>
        <w:tc>
          <w:tcPr>
            <w:tcW w:w="2954" w:type="pct"/>
            <w:vAlign w:val="center"/>
          </w:tcPr>
          <w:p w14:paraId="6C0B66A7">
            <w:pPr>
              <w:pStyle w:val="12"/>
              <w:jc w:val="left"/>
            </w:pPr>
            <w:r>
              <w:rPr>
                <w:rFonts w:hint="eastAsia"/>
              </w:rPr>
              <w:t>湖口窝塘（77）   百顺东坑（64）  雄州小水（62）</w:t>
            </w:r>
          </w:p>
          <w:p w14:paraId="200003FA">
            <w:pPr>
              <w:pStyle w:val="12"/>
              <w:jc w:val="left"/>
            </w:pPr>
            <w:r>
              <w:rPr>
                <w:rFonts w:hint="eastAsia"/>
              </w:rPr>
              <w:t>珠玑石塘胡屋（55）</w:t>
            </w:r>
          </w:p>
        </w:tc>
      </w:tr>
      <w:tr w14:paraId="14FDA9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5E5F6BAF">
            <w:pPr>
              <w:pStyle w:val="12"/>
              <w:jc w:val="center"/>
            </w:pPr>
            <w:r>
              <w:rPr>
                <w:rFonts w:hint="eastAsia"/>
              </w:rPr>
              <w:t>严</w:t>
            </w:r>
          </w:p>
        </w:tc>
        <w:tc>
          <w:tcPr>
            <w:tcW w:w="1697" w:type="pct"/>
            <w:vAlign w:val="center"/>
          </w:tcPr>
          <w:p w14:paraId="52313210">
            <w:pPr>
              <w:pStyle w:val="12"/>
              <w:jc w:val="left"/>
            </w:pPr>
            <w:r>
              <w:rPr>
                <w:rFonts w:hint="eastAsia"/>
              </w:rPr>
              <w:t>界址（592）</w:t>
            </w:r>
          </w:p>
        </w:tc>
        <w:tc>
          <w:tcPr>
            <w:tcW w:w="2954" w:type="pct"/>
            <w:vAlign w:val="center"/>
          </w:tcPr>
          <w:p w14:paraId="5EDBFF6B">
            <w:pPr>
              <w:pStyle w:val="12"/>
              <w:jc w:val="left"/>
            </w:pPr>
            <w:r>
              <w:rPr>
                <w:rFonts w:hint="eastAsia"/>
              </w:rPr>
              <w:t>崇化（388）      界址虎珠坑（73） 下屋古池（56）</w:t>
            </w:r>
          </w:p>
          <w:p w14:paraId="3AFC87FD">
            <w:pPr>
              <w:pStyle w:val="12"/>
              <w:jc w:val="left"/>
            </w:pPr>
            <w:r>
              <w:rPr>
                <w:rFonts w:hint="eastAsia"/>
              </w:rPr>
              <w:t>老龙官路头（49）</w:t>
            </w:r>
          </w:p>
        </w:tc>
      </w:tr>
      <w:tr w14:paraId="628962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0B80171C">
            <w:pPr>
              <w:pStyle w:val="12"/>
              <w:jc w:val="center"/>
            </w:pPr>
            <w:r>
              <w:rPr>
                <w:rFonts w:hint="eastAsia"/>
              </w:rPr>
              <w:t>聂</w:t>
            </w:r>
          </w:p>
        </w:tc>
        <w:tc>
          <w:tcPr>
            <w:tcW w:w="1697" w:type="pct"/>
            <w:vAlign w:val="center"/>
          </w:tcPr>
          <w:p w14:paraId="6EE1BB91">
            <w:pPr>
              <w:pStyle w:val="12"/>
              <w:jc w:val="left"/>
            </w:pPr>
            <w:r>
              <w:rPr>
                <w:rFonts w:hint="eastAsia"/>
              </w:rPr>
              <w:t>雄州（145）  帽子峰（129）</w:t>
            </w:r>
          </w:p>
        </w:tc>
        <w:tc>
          <w:tcPr>
            <w:tcW w:w="2954" w:type="pct"/>
            <w:vAlign w:val="center"/>
          </w:tcPr>
          <w:p w14:paraId="039FB30C">
            <w:pPr>
              <w:pStyle w:val="12"/>
              <w:jc w:val="left"/>
            </w:pPr>
            <w:r>
              <w:rPr>
                <w:rFonts w:hint="eastAsia"/>
              </w:rPr>
              <w:t>勋口聂屋（90）   长迳二塘（63）    帽子峰上龙（62）</w:t>
            </w:r>
          </w:p>
        </w:tc>
      </w:tr>
      <w:tr w14:paraId="3E24DC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0814DC4C">
            <w:pPr>
              <w:pStyle w:val="12"/>
              <w:jc w:val="center"/>
            </w:pPr>
            <w:r>
              <w:rPr>
                <w:rFonts w:hint="eastAsia"/>
              </w:rPr>
              <w:t>雷</w:t>
            </w:r>
          </w:p>
        </w:tc>
        <w:tc>
          <w:tcPr>
            <w:tcW w:w="1697" w:type="pct"/>
            <w:vAlign w:val="center"/>
          </w:tcPr>
          <w:p w14:paraId="5C8B42ED">
            <w:pPr>
              <w:pStyle w:val="12"/>
              <w:jc w:val="left"/>
            </w:pPr>
            <w:r>
              <w:rPr>
                <w:rFonts w:hint="eastAsia"/>
              </w:rPr>
              <w:t>全安（110）  主田（109）</w:t>
            </w:r>
          </w:p>
        </w:tc>
        <w:tc>
          <w:tcPr>
            <w:tcW w:w="2954" w:type="pct"/>
            <w:vAlign w:val="center"/>
          </w:tcPr>
          <w:p w14:paraId="2091B416">
            <w:pPr>
              <w:pStyle w:val="12"/>
              <w:jc w:val="left"/>
            </w:pPr>
            <w:r>
              <w:rPr>
                <w:rFonts w:hint="eastAsia"/>
              </w:rPr>
              <w:t>锦陂井湾（58）   黄坑小陂头（44）  三枫（43）</w:t>
            </w:r>
          </w:p>
        </w:tc>
      </w:tr>
      <w:tr w14:paraId="7FFC6E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285BFAE8">
            <w:pPr>
              <w:pStyle w:val="12"/>
              <w:jc w:val="center"/>
            </w:pPr>
            <w:r>
              <w:rPr>
                <w:rFonts w:hint="eastAsia"/>
              </w:rPr>
              <w:t>蓝</w:t>
            </w:r>
          </w:p>
        </w:tc>
        <w:tc>
          <w:tcPr>
            <w:tcW w:w="1697" w:type="pct"/>
            <w:vAlign w:val="center"/>
          </w:tcPr>
          <w:p w14:paraId="2A40DA91">
            <w:pPr>
              <w:pStyle w:val="12"/>
              <w:jc w:val="left"/>
            </w:pPr>
            <w:r>
              <w:rPr>
                <w:rFonts w:hint="eastAsia"/>
              </w:rPr>
              <w:t>乌迳（158）  黄坑（174）</w:t>
            </w:r>
          </w:p>
        </w:tc>
        <w:tc>
          <w:tcPr>
            <w:tcW w:w="2954" w:type="pct"/>
            <w:vAlign w:val="center"/>
          </w:tcPr>
          <w:p w14:paraId="7AC3D1B9">
            <w:pPr>
              <w:pStyle w:val="12"/>
              <w:jc w:val="left"/>
            </w:pPr>
            <w:r>
              <w:rPr>
                <w:rFonts w:hint="eastAsia"/>
              </w:rPr>
              <w:t>许村（114）      下坝（60）        鹁鸪洞（56）</w:t>
            </w:r>
          </w:p>
        </w:tc>
      </w:tr>
      <w:tr w14:paraId="50E2F1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9" w:type="pct"/>
            <w:vAlign w:val="center"/>
          </w:tcPr>
          <w:p w14:paraId="1BC4319C">
            <w:pPr>
              <w:pStyle w:val="12"/>
              <w:jc w:val="center"/>
            </w:pPr>
            <w:r>
              <w:rPr>
                <w:rFonts w:hint="eastAsia"/>
              </w:rPr>
              <w:t>冯</w:t>
            </w:r>
          </w:p>
        </w:tc>
        <w:tc>
          <w:tcPr>
            <w:tcW w:w="1697" w:type="pct"/>
            <w:vAlign w:val="center"/>
          </w:tcPr>
          <w:p w14:paraId="27484598">
            <w:pPr>
              <w:pStyle w:val="12"/>
              <w:jc w:val="left"/>
            </w:pPr>
            <w:r>
              <w:rPr>
                <w:rFonts w:hint="eastAsia"/>
              </w:rPr>
              <w:t>油山（212）  坪田（129）</w:t>
            </w:r>
          </w:p>
        </w:tc>
        <w:tc>
          <w:tcPr>
            <w:tcW w:w="2954" w:type="pct"/>
            <w:vAlign w:val="center"/>
          </w:tcPr>
          <w:p w14:paraId="60350ACA">
            <w:pPr>
              <w:pStyle w:val="12"/>
              <w:jc w:val="left"/>
            </w:pPr>
            <w:r>
              <w:rPr>
                <w:rFonts w:hint="eastAsia"/>
              </w:rPr>
              <w:t>延村（197）      迳洞（129）</w:t>
            </w:r>
          </w:p>
        </w:tc>
      </w:tr>
    </w:tbl>
    <w:p w14:paraId="049321C3">
      <w:pPr>
        <w:ind w:firstLine="422"/>
        <w:rPr>
          <w:rFonts w:ascii="宋体" w:hAnsi="宋体" w:cs="宋体"/>
          <w:b/>
        </w:rPr>
      </w:pPr>
      <w:r>
        <w:rPr>
          <w:rFonts w:hint="eastAsia" w:ascii="宋体" w:hAnsi="宋体" w:cs="宋体"/>
          <w:b/>
        </w:rPr>
        <w:t>说明：括号内数字为聚居户数。</w:t>
      </w:r>
    </w:p>
    <w:p w14:paraId="7440BB3E">
      <w:pPr>
        <w:ind w:firstLine="420"/>
        <w:rPr>
          <w:rFonts w:ascii="宋体" w:hAnsi="宋体" w:cs="宋体"/>
        </w:rPr>
      </w:pPr>
      <w:r>
        <w:rPr>
          <w:rFonts w:hint="eastAsia" w:ascii="宋体" w:hAnsi="宋体" w:cs="宋体"/>
        </w:rPr>
        <w:t>其他各姓主要聚居地：</w:t>
      </w:r>
    </w:p>
    <w:p w14:paraId="101AFC19">
      <w:pPr>
        <w:ind w:firstLine="420"/>
        <w:rPr>
          <w:rFonts w:ascii="宋体" w:hAnsi="宋体" w:cs="宋体"/>
        </w:rPr>
      </w:pPr>
      <w:r>
        <w:rPr>
          <w:rFonts w:hint="eastAsia" w:ascii="宋体" w:hAnsi="宋体" w:cs="宋体"/>
        </w:rPr>
        <w:t>龚氏    坪田长坑（126）全安羊角（72）江头涌溪大坪山（67）</w:t>
      </w:r>
    </w:p>
    <w:p w14:paraId="197B30AB">
      <w:pPr>
        <w:ind w:firstLine="420"/>
        <w:rPr>
          <w:rFonts w:ascii="宋体" w:hAnsi="宋体" w:cs="宋体"/>
        </w:rPr>
      </w:pPr>
      <w:r>
        <w:rPr>
          <w:rFonts w:hint="eastAsia" w:ascii="宋体" w:hAnsi="宋体" w:cs="宋体"/>
        </w:rPr>
        <w:t>廖氏    黄坑园岭（66）</w:t>
      </w:r>
    </w:p>
    <w:p w14:paraId="0BDF1E23">
      <w:pPr>
        <w:ind w:firstLine="420"/>
        <w:rPr>
          <w:rFonts w:ascii="宋体" w:hAnsi="宋体" w:cs="宋体"/>
        </w:rPr>
      </w:pPr>
      <w:r>
        <w:rPr>
          <w:rFonts w:hint="eastAsia" w:ascii="宋体" w:hAnsi="宋体" w:cs="宋体"/>
        </w:rPr>
        <w:t>饶氏    水口沙头（54）珠玑叟里元（52）雄州赤水塘（39）</w:t>
      </w:r>
    </w:p>
    <w:p w14:paraId="259B1977">
      <w:pPr>
        <w:ind w:firstLine="420"/>
        <w:rPr>
          <w:rFonts w:ascii="宋体" w:hAnsi="宋体" w:cs="宋体"/>
        </w:rPr>
      </w:pPr>
      <w:r>
        <w:rPr>
          <w:rFonts w:hint="eastAsia" w:ascii="宋体" w:hAnsi="宋体" w:cs="宋体"/>
        </w:rPr>
        <w:t>欧阳氏  水口弱过（363）</w:t>
      </w:r>
    </w:p>
    <w:p w14:paraId="0D445BD5">
      <w:pPr>
        <w:ind w:firstLine="420"/>
        <w:rPr>
          <w:rFonts w:ascii="宋体" w:hAnsi="宋体" w:cs="宋体"/>
        </w:rPr>
      </w:pPr>
      <w:r>
        <w:rPr>
          <w:rFonts w:hint="eastAsia" w:ascii="宋体" w:hAnsi="宋体" w:cs="宋体"/>
        </w:rPr>
        <w:t>欧氏    大塘糠头岭（50）古城（85）</w:t>
      </w:r>
    </w:p>
    <w:p w14:paraId="73E3A323">
      <w:pPr>
        <w:ind w:firstLine="420"/>
        <w:rPr>
          <w:rFonts w:ascii="宋体" w:hAnsi="宋体" w:cs="宋体"/>
        </w:rPr>
      </w:pPr>
      <w:r>
        <w:rPr>
          <w:rFonts w:hint="eastAsia" w:ascii="宋体" w:hAnsi="宋体" w:cs="宋体"/>
        </w:rPr>
        <w:t>孔氏    油山平林（309）</w:t>
      </w:r>
    </w:p>
    <w:p w14:paraId="6B93554C">
      <w:pPr>
        <w:ind w:firstLine="420"/>
        <w:rPr>
          <w:rFonts w:ascii="宋体" w:hAnsi="宋体" w:cs="宋体"/>
        </w:rPr>
      </w:pPr>
      <w:r>
        <w:rPr>
          <w:rFonts w:hint="eastAsia" w:ascii="宋体" w:hAnsi="宋体" w:cs="宋体"/>
        </w:rPr>
        <w:t>高氏    全安河塘（44）乌迳鱼塘（100）</w:t>
      </w:r>
    </w:p>
    <w:p w14:paraId="3F98D1E7">
      <w:pPr>
        <w:ind w:firstLine="420"/>
        <w:rPr>
          <w:rFonts w:ascii="宋体" w:hAnsi="宋体" w:cs="宋体"/>
        </w:rPr>
      </w:pPr>
      <w:r>
        <w:rPr>
          <w:rFonts w:hint="eastAsia" w:ascii="宋体" w:hAnsi="宋体" w:cs="宋体"/>
        </w:rPr>
        <w:t>戴氏    珠玑祗芫（118）湖口新湖石榜下（74）</w:t>
      </w:r>
    </w:p>
    <w:p w14:paraId="2DF8E291">
      <w:pPr>
        <w:ind w:firstLine="420"/>
        <w:rPr>
          <w:rFonts w:ascii="宋体" w:hAnsi="宋体" w:cs="宋体"/>
        </w:rPr>
      </w:pPr>
      <w:r>
        <w:rPr>
          <w:rFonts w:hint="eastAsia" w:ascii="宋体" w:hAnsi="宋体" w:cs="宋体"/>
        </w:rPr>
        <w:t>蔡氏    南亩（130）湖口三角（65）</w:t>
      </w:r>
    </w:p>
    <w:p w14:paraId="571AE9FC">
      <w:pPr>
        <w:ind w:firstLine="420"/>
        <w:rPr>
          <w:rFonts w:ascii="宋体" w:hAnsi="宋体" w:cs="宋体"/>
        </w:rPr>
      </w:pPr>
      <w:r>
        <w:rPr>
          <w:rFonts w:hint="eastAsia" w:ascii="宋体" w:hAnsi="宋体" w:cs="宋体"/>
        </w:rPr>
        <w:t>江氏    邓坊新圩（78）梅关邓坑（64）珠玑叟里元（54）</w:t>
      </w:r>
    </w:p>
    <w:p w14:paraId="5833D7B8">
      <w:pPr>
        <w:ind w:firstLine="420"/>
        <w:rPr>
          <w:rFonts w:ascii="宋体" w:hAnsi="宋体" w:cs="宋体"/>
        </w:rPr>
      </w:pPr>
      <w:r>
        <w:rPr>
          <w:rFonts w:hint="eastAsia" w:ascii="宋体" w:hAnsi="宋体" w:cs="宋体"/>
        </w:rPr>
        <w:t>丁氏    湖口长市江背（108）乌迳龙迳大溪背（81）雄州铺背溪田寺（52）</w:t>
      </w:r>
    </w:p>
    <w:p w14:paraId="521C7E4A">
      <w:pPr>
        <w:ind w:firstLine="420"/>
        <w:rPr>
          <w:rFonts w:ascii="宋体" w:hAnsi="宋体" w:cs="宋体"/>
        </w:rPr>
      </w:pPr>
      <w:r>
        <w:rPr>
          <w:rFonts w:hint="eastAsia" w:ascii="宋体" w:hAnsi="宋体" w:cs="宋体"/>
        </w:rPr>
        <w:t>汤氏    珠玑叟里元（40）</w:t>
      </w:r>
    </w:p>
    <w:p w14:paraId="69450743">
      <w:pPr>
        <w:ind w:firstLine="420"/>
        <w:rPr>
          <w:rFonts w:ascii="宋体" w:hAnsi="宋体" w:cs="宋体"/>
        </w:rPr>
      </w:pPr>
      <w:r>
        <w:rPr>
          <w:rFonts w:hint="eastAsia" w:ascii="宋体" w:hAnsi="宋体" w:cs="宋体"/>
        </w:rPr>
        <w:t>袁氏    湖口长市江背（36）</w:t>
      </w:r>
    </w:p>
    <w:p w14:paraId="42529516">
      <w:pPr>
        <w:ind w:firstLine="420"/>
        <w:rPr>
          <w:rFonts w:ascii="宋体" w:hAnsi="宋体" w:cs="宋体"/>
        </w:rPr>
      </w:pPr>
      <w:r>
        <w:rPr>
          <w:rFonts w:hint="eastAsia" w:ascii="宋体" w:hAnsi="宋体" w:cs="宋体"/>
        </w:rPr>
        <w:t>苏氏    梅关（42）全安兰溪（39）大坪（36）</w:t>
      </w:r>
    </w:p>
    <w:p w14:paraId="6FF3BBBD">
      <w:pPr>
        <w:ind w:firstLine="420"/>
        <w:rPr>
          <w:rFonts w:ascii="宋体" w:hAnsi="宋体" w:cs="宋体"/>
        </w:rPr>
      </w:pPr>
      <w:r>
        <w:rPr>
          <w:rFonts w:hint="eastAsia" w:ascii="宋体" w:hAnsi="宋体" w:cs="宋体"/>
        </w:rPr>
        <w:t>余氏    黄坑罗坑（67）</w:t>
      </w:r>
    </w:p>
    <w:p w14:paraId="450C8DE1">
      <w:pPr>
        <w:ind w:firstLine="420"/>
        <w:rPr>
          <w:rFonts w:ascii="宋体" w:hAnsi="宋体" w:cs="宋体"/>
        </w:rPr>
      </w:pPr>
      <w:r>
        <w:rPr>
          <w:rFonts w:hint="eastAsia" w:ascii="宋体" w:hAnsi="宋体" w:cs="宋体"/>
        </w:rPr>
        <w:t>傅氏    乌迳孔江（37）</w:t>
      </w:r>
    </w:p>
    <w:p w14:paraId="19B6E3AB">
      <w:pPr>
        <w:ind w:firstLine="420"/>
        <w:rPr>
          <w:rFonts w:ascii="宋体" w:hAnsi="宋体" w:cs="宋体"/>
        </w:rPr>
      </w:pPr>
      <w:r>
        <w:rPr>
          <w:rFonts w:hint="eastAsia" w:ascii="宋体" w:hAnsi="宋体" w:cs="宋体"/>
        </w:rPr>
        <w:t>尹氏    珠玑角湾尹屋（40）</w:t>
      </w:r>
    </w:p>
    <w:p w14:paraId="38FC20D6">
      <w:pPr>
        <w:ind w:firstLine="420"/>
        <w:rPr>
          <w:rFonts w:ascii="宋体" w:hAnsi="宋体" w:cs="宋体"/>
        </w:rPr>
      </w:pPr>
      <w:r>
        <w:rPr>
          <w:rFonts w:hint="eastAsia" w:ascii="宋体" w:hAnsi="宋体" w:cs="宋体"/>
        </w:rPr>
        <w:t>曹氏    邓坊益田寨下（51）</w:t>
      </w:r>
    </w:p>
    <w:p w14:paraId="6E966842">
      <w:pPr>
        <w:ind w:firstLine="420"/>
        <w:rPr>
          <w:rFonts w:ascii="宋体" w:hAnsi="宋体" w:cs="宋体"/>
        </w:rPr>
      </w:pPr>
      <w:r>
        <w:rPr>
          <w:rFonts w:hint="eastAsia" w:ascii="宋体" w:hAnsi="宋体" w:cs="宋体"/>
        </w:rPr>
        <w:t>游氏    雄州观新游屋（40）水口长坳（37）</w:t>
      </w:r>
    </w:p>
    <w:p w14:paraId="3EBC3F70">
      <w:pPr>
        <w:ind w:firstLine="420"/>
        <w:rPr>
          <w:rFonts w:ascii="宋体" w:hAnsi="宋体" w:cs="宋体"/>
        </w:rPr>
      </w:pPr>
      <w:r>
        <w:rPr>
          <w:rFonts w:hint="eastAsia" w:ascii="宋体" w:hAnsi="宋体" w:cs="宋体"/>
        </w:rPr>
        <w:t>邬氏    澜河官田（84）</w:t>
      </w:r>
    </w:p>
    <w:p w14:paraId="63869349">
      <w:pPr>
        <w:ind w:firstLine="420"/>
        <w:rPr>
          <w:rFonts w:ascii="宋体" w:hAnsi="宋体" w:cs="宋体"/>
        </w:rPr>
      </w:pPr>
      <w:r>
        <w:rPr>
          <w:rFonts w:hint="eastAsia" w:ascii="宋体" w:hAnsi="宋体" w:cs="宋体"/>
        </w:rPr>
        <w:t>唐氏    雄州勋口高桥（80）唐屋（53）</w:t>
      </w:r>
    </w:p>
    <w:p w14:paraId="229BE930">
      <w:pPr>
        <w:ind w:firstLine="420"/>
        <w:rPr>
          <w:rFonts w:ascii="宋体" w:hAnsi="宋体" w:cs="宋体"/>
        </w:rPr>
      </w:pPr>
      <w:r>
        <w:rPr>
          <w:rFonts w:hint="eastAsia" w:ascii="宋体" w:hAnsi="宋体" w:cs="宋体"/>
        </w:rPr>
        <w:t>田氏    全安陂头莲塘坳（85）</w:t>
      </w:r>
    </w:p>
    <w:p w14:paraId="6FADB431">
      <w:pPr>
        <w:ind w:firstLine="420"/>
        <w:rPr>
          <w:rFonts w:ascii="宋体" w:hAnsi="宋体" w:cs="宋体"/>
        </w:rPr>
      </w:pPr>
      <w:r>
        <w:rPr>
          <w:rFonts w:hint="eastAsia" w:ascii="宋体" w:hAnsi="宋体" w:cs="宋体"/>
        </w:rPr>
        <w:t>利氏    油山平林南利（54）</w:t>
      </w:r>
    </w:p>
    <w:p w14:paraId="162BB5D6">
      <w:pPr>
        <w:ind w:firstLine="420"/>
        <w:rPr>
          <w:rFonts w:ascii="宋体" w:hAnsi="宋体" w:cs="宋体"/>
        </w:rPr>
      </w:pPr>
      <w:r>
        <w:rPr>
          <w:rFonts w:hint="eastAsia" w:ascii="宋体" w:hAnsi="宋体" w:cs="宋体"/>
        </w:rPr>
        <w:t>范氏    主田窑合（54）</w:t>
      </w:r>
    </w:p>
    <w:p w14:paraId="7F3C5CC0">
      <w:pPr>
        <w:ind w:firstLine="420"/>
        <w:rPr>
          <w:rFonts w:ascii="宋体" w:hAnsi="宋体" w:cs="宋体"/>
        </w:rPr>
      </w:pPr>
      <w:r>
        <w:rPr>
          <w:rFonts w:hint="eastAsia" w:ascii="宋体" w:hAnsi="宋体" w:cs="宋体"/>
        </w:rPr>
        <w:t>涂氏    澜河上</w:t>
      </w:r>
      <w:r>
        <w:rPr>
          <w:rFonts w:hint="eastAsia" w:ascii="宋体" w:hAnsi="宋体" w:cs="宋体"/>
        </w:rPr>
        <w:drawing>
          <wp:inline distT="0" distB="0" distL="0" distR="0">
            <wp:extent cx="167005" cy="190500"/>
            <wp:effectExtent l="0" t="0" r="4445" b="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a:xfrm>
                      <a:off x="0" y="0"/>
                      <a:ext cx="167005" cy="190500"/>
                    </a:xfrm>
                    <a:prstGeom prst="rect">
                      <a:avLst/>
                    </a:prstGeom>
                    <a:noFill/>
                    <a:ln>
                      <a:noFill/>
                    </a:ln>
                  </pic:spPr>
                </pic:pic>
              </a:graphicData>
            </a:graphic>
          </wp:inline>
        </w:drawing>
      </w:r>
      <w:r>
        <w:rPr>
          <w:rFonts w:hint="eastAsia" w:ascii="宋体" w:hAnsi="宋体" w:cs="宋体"/>
        </w:rPr>
        <w:t>（34）</w:t>
      </w:r>
    </w:p>
    <w:p w14:paraId="1D034CA2">
      <w:pPr>
        <w:ind w:firstLine="420"/>
        <w:rPr>
          <w:rFonts w:ascii="宋体" w:hAnsi="宋体" w:cs="宋体"/>
        </w:rPr>
      </w:pPr>
      <w:r>
        <w:rPr>
          <w:rFonts w:hint="eastAsia" w:ascii="宋体" w:hAnsi="宋体" w:cs="宋体"/>
        </w:rPr>
        <w:t>池氏    江头小竹（29）</w:t>
      </w:r>
    </w:p>
    <w:p w14:paraId="15D99F29">
      <w:pPr>
        <w:ind w:firstLine="420"/>
        <w:rPr>
          <w:rFonts w:ascii="宋体" w:hAnsi="宋体" w:cs="宋体"/>
        </w:rPr>
      </w:pPr>
      <w:r>
        <w:rPr>
          <w:rFonts w:hint="eastAsia" w:ascii="宋体" w:hAnsi="宋体" w:cs="宋体"/>
        </w:rPr>
        <w:t>麦氏    百顺朱安（91）黄坑塘源坑（38）</w:t>
      </w:r>
    </w:p>
    <w:p w14:paraId="754F001F">
      <w:pPr>
        <w:ind w:firstLine="420"/>
        <w:rPr>
          <w:rFonts w:ascii="宋体" w:hAnsi="宋体" w:cs="宋体"/>
        </w:rPr>
      </w:pPr>
      <w:r>
        <w:rPr>
          <w:rFonts w:hint="eastAsia" w:ascii="宋体" w:hAnsi="宋体" w:cs="宋体"/>
        </w:rPr>
        <w:t>魏氏    湖口新迳苦棟树下（47）</w:t>
      </w:r>
    </w:p>
    <w:p w14:paraId="2F477064">
      <w:pPr>
        <w:ind w:firstLine="420"/>
        <w:rPr>
          <w:rFonts w:ascii="宋体" w:hAnsi="宋体" w:cs="宋体"/>
        </w:rPr>
      </w:pPr>
      <w:r>
        <w:rPr>
          <w:rFonts w:hint="eastAsia" w:ascii="宋体" w:hAnsi="宋体" w:cs="宋体"/>
        </w:rPr>
        <w:t>华氏    珠玑里东秧桤心（47）</w:t>
      </w:r>
    </w:p>
    <w:p w14:paraId="36D5EF4B">
      <w:pPr>
        <w:ind w:firstLine="420"/>
        <w:rPr>
          <w:rFonts w:ascii="宋体" w:hAnsi="宋体" w:cs="宋体"/>
        </w:rPr>
      </w:pPr>
      <w:r>
        <w:rPr>
          <w:rFonts w:hint="eastAsia" w:ascii="宋体" w:hAnsi="宋体" w:cs="宋体"/>
        </w:rPr>
        <w:t>夏氏    邓坊洋西井湾（36）百顺汾水（31）</w:t>
      </w:r>
    </w:p>
    <w:p w14:paraId="2F7C0DFF">
      <w:pPr>
        <w:ind w:firstLine="420"/>
        <w:rPr>
          <w:rFonts w:ascii="宋体" w:hAnsi="宋体" w:cs="宋体"/>
        </w:rPr>
      </w:pPr>
      <w:r>
        <w:rPr>
          <w:rFonts w:hint="eastAsia" w:ascii="宋体" w:hAnsi="宋体" w:cs="宋体"/>
        </w:rPr>
        <w:t>凌氏    湖口长市彭坑（103）湖口三水（119）珠玑叟里元（38）</w:t>
      </w:r>
    </w:p>
    <w:p w14:paraId="4A79B514">
      <w:pPr>
        <w:ind w:firstLine="420"/>
        <w:rPr>
          <w:rFonts w:ascii="宋体" w:hAnsi="宋体" w:cs="宋体"/>
        </w:rPr>
      </w:pPr>
      <w:r>
        <w:rPr>
          <w:rFonts w:hint="eastAsia" w:ascii="宋体" w:hAnsi="宋体" w:cs="宋体"/>
        </w:rPr>
        <w:t>甘氏    百顺湖地（30）</w:t>
      </w:r>
    </w:p>
    <w:p w14:paraId="19D51CB5">
      <w:pPr>
        <w:ind w:firstLine="420"/>
        <w:rPr>
          <w:rFonts w:ascii="宋体" w:hAnsi="宋体" w:cs="宋体"/>
        </w:rPr>
      </w:pPr>
      <w:r>
        <w:rPr>
          <w:rFonts w:hint="eastAsia" w:ascii="宋体" w:hAnsi="宋体" w:cs="宋体"/>
        </w:rPr>
        <w:t>郝氏    南亩水尾（69）</w:t>
      </w:r>
    </w:p>
    <w:p w14:paraId="65E0D251">
      <w:pPr>
        <w:ind w:firstLine="420"/>
        <w:rPr>
          <w:rFonts w:ascii="宋体" w:hAnsi="宋体" w:cs="宋体"/>
        </w:rPr>
      </w:pPr>
      <w:r>
        <w:rPr>
          <w:rFonts w:hint="eastAsia" w:ascii="宋体" w:hAnsi="宋体" w:cs="宋体"/>
        </w:rPr>
        <w:t>殷氏    南亩樟屋石坳（35）</w:t>
      </w:r>
    </w:p>
    <w:p w14:paraId="5FF2355E">
      <w:pPr>
        <w:ind w:firstLine="420"/>
        <w:rPr>
          <w:rFonts w:ascii="宋体" w:hAnsi="宋体" w:cs="宋体"/>
        </w:rPr>
      </w:pPr>
      <w:r>
        <w:rPr>
          <w:rFonts w:hint="eastAsia" w:ascii="宋体" w:hAnsi="宋体" w:cs="宋体"/>
        </w:rPr>
        <w:t>侯氏    百顺（121）江头武岭（60）</w:t>
      </w:r>
    </w:p>
    <w:p w14:paraId="1735F091">
      <w:pPr>
        <w:ind w:firstLine="420"/>
        <w:rPr>
          <w:rFonts w:ascii="宋体" w:hAnsi="宋体" w:cs="宋体"/>
        </w:rPr>
      </w:pPr>
      <w:r>
        <w:rPr>
          <w:rFonts w:hint="eastAsia" w:ascii="宋体" w:hAnsi="宋体" w:cs="宋体"/>
        </w:rPr>
        <w:t>石氏    古市石屋（35）</w:t>
      </w:r>
    </w:p>
    <w:p w14:paraId="2B5B54DF">
      <w:pPr>
        <w:ind w:firstLine="420"/>
        <w:rPr>
          <w:rFonts w:ascii="宋体" w:hAnsi="宋体" w:cs="宋体"/>
        </w:rPr>
      </w:pPr>
      <w:r>
        <w:rPr>
          <w:rFonts w:hint="eastAsia" w:ascii="宋体" w:hAnsi="宋体" w:cs="宋体"/>
        </w:rPr>
        <w:t>蒲氏    水口大部塘背（65）</w:t>
      </w:r>
    </w:p>
    <w:p w14:paraId="1E7BD308">
      <w:pPr>
        <w:ind w:firstLine="420"/>
        <w:rPr>
          <w:rFonts w:ascii="宋体" w:hAnsi="宋体" w:cs="宋体"/>
        </w:rPr>
      </w:pPr>
      <w:r>
        <w:rPr>
          <w:rFonts w:hint="eastAsia" w:ascii="宋体" w:hAnsi="宋体" w:cs="宋体"/>
        </w:rPr>
        <w:t>巫氏    澜河葛坪（29）</w:t>
      </w:r>
    </w:p>
    <w:p w14:paraId="59845D70">
      <w:pPr>
        <w:ind w:firstLine="420"/>
        <w:rPr>
          <w:rFonts w:ascii="宋体" w:hAnsi="宋体" w:cs="宋体"/>
        </w:rPr>
      </w:pPr>
      <w:r>
        <w:rPr>
          <w:rFonts w:hint="eastAsia" w:ascii="宋体" w:hAnsi="宋体" w:cs="宋体"/>
        </w:rPr>
        <w:t>童氏    水口沙头（50）</w:t>
      </w:r>
    </w:p>
    <w:p w14:paraId="65A61E9C">
      <w:pPr>
        <w:ind w:firstLine="420"/>
        <w:rPr>
          <w:rFonts w:ascii="宋体" w:hAnsi="宋体" w:cs="宋体"/>
        </w:rPr>
      </w:pPr>
      <w:r>
        <w:rPr>
          <w:rFonts w:hint="eastAsia" w:ascii="宋体" w:hAnsi="宋体" w:cs="宋体"/>
        </w:rPr>
        <w:t>阳氏    黄坑耶溪（89）</w:t>
      </w:r>
    </w:p>
    <w:p w14:paraId="3B1C6CBE">
      <w:pPr>
        <w:ind w:firstLine="420"/>
        <w:rPr>
          <w:rFonts w:ascii="宋体" w:hAnsi="宋体" w:cs="宋体"/>
        </w:rPr>
      </w:pPr>
      <w:r>
        <w:rPr>
          <w:rFonts w:hint="eastAsia" w:ascii="宋体" w:hAnsi="宋体" w:cs="宋体"/>
        </w:rPr>
        <w:t>洪氏    雄州贵村（39）</w:t>
      </w:r>
    </w:p>
    <w:p w14:paraId="784A845A">
      <w:pPr>
        <w:ind w:firstLine="420"/>
        <w:rPr>
          <w:rFonts w:ascii="宋体" w:hAnsi="宋体" w:cs="宋体"/>
        </w:rPr>
      </w:pPr>
      <w:r>
        <w:rPr>
          <w:rFonts w:hint="eastAsia" w:ascii="宋体" w:hAnsi="宋体" w:cs="宋体"/>
        </w:rPr>
        <w:t>说明：括号内数字为聚居户数。</w:t>
      </w:r>
    </w:p>
    <w:p w14:paraId="711DE4FE">
      <w:pPr>
        <w:pStyle w:val="5"/>
        <w:rPr>
          <w:rFonts w:ascii="宋体" w:hAnsi="宋体" w:cs="宋体"/>
        </w:rPr>
      </w:pPr>
      <w:r>
        <w:rPr>
          <w:rFonts w:hint="eastAsia" w:ascii="宋体" w:hAnsi="宋体" w:cs="宋体"/>
        </w:rPr>
        <w:t>三、珠玑巷南迁氏族</w:t>
      </w:r>
    </w:p>
    <w:p w14:paraId="69CB4FEC">
      <w:pPr>
        <w:ind w:firstLine="420"/>
        <w:rPr>
          <w:rFonts w:ascii="宋体" w:hAnsi="宋体" w:cs="宋体"/>
        </w:rPr>
      </w:pPr>
      <w:r>
        <w:rPr>
          <w:rFonts w:hint="eastAsia" w:ascii="宋体" w:hAnsi="宋体" w:cs="宋体"/>
        </w:rPr>
        <w:t>珠玑巷原名敬宗巷，位于沙水河畔沙水村。唐开元四年（716年）张九龄开通大庾岭驿道，沙水村扼驿道要冲，商旅云集，乃逐步由乡间小村落而变为商贸重镇。至中唐，张九龄曾孙张纲（吉州刺史）徙居南雄沙水村敬宗巷，传至张兴，治家有方，七世同居，孝义声闻遐迩。唐皇敬宗闻奏，赐珠玑绦环以旌之。后为避敬宗讳，改敬宗巷为珠玑巷。此后，珠玑以其特有的地理优势和传统的孝义之风，吸引了中原南迁氏族到此驻足聚居，发祥昌盛，历数代而再迁珠江三角洲一带。自唐末至宋末元初，三百多年间，珠玑巷氏族处于不断迁徙之中，一批批氏族陆续从中原江南迁来，又一批批氏族陆续向珠江三角洲一带南迁而去。有些学者研究推定，珠玑巷移民后裔约占今广府民系的60%以上，约2000余万人，其中，宋末以后成陆的珠江三角洲地区，是分布高密区，约占80%以上，其他地区则在40%以上。这些后裔至今认同珠玑巷是祖居是故乡，是先祖发祥之地，前来寻根拜祖者，络绎不绝。</w:t>
      </w:r>
    </w:p>
    <w:p w14:paraId="0533015C">
      <w:pPr>
        <w:ind w:firstLine="422"/>
        <w:rPr>
          <w:rFonts w:ascii="宋体" w:hAnsi="宋体" w:cs="宋体"/>
          <w:b/>
          <w:bCs/>
        </w:rPr>
      </w:pPr>
      <w:r>
        <w:rPr>
          <w:rFonts w:hint="eastAsia" w:ascii="宋体" w:hAnsi="宋体" w:cs="宋体"/>
          <w:b/>
          <w:bCs/>
        </w:rPr>
        <w:t>（一）南迁氏族分布</w:t>
      </w:r>
    </w:p>
    <w:p w14:paraId="2B8005F9">
      <w:pPr>
        <w:ind w:firstLine="420"/>
        <w:rPr>
          <w:rFonts w:ascii="宋体" w:hAnsi="宋体" w:cs="宋体"/>
        </w:rPr>
      </w:pPr>
      <w:r>
        <w:rPr>
          <w:rFonts w:hint="eastAsia" w:ascii="宋体" w:hAnsi="宋体" w:cs="宋体"/>
        </w:rPr>
        <w:t>据今珠江三角洲各姓氏族谱记载，其先祖来自珠玑巷的有148姓，依姓氏笔画为序录之如下：丁、刁、卫、马、文、方、王、邓、孔、韦、车、尹、区、仇、毛、刘、冯、邝、石、甘、古、龙、司徒、叶、卢、帅、白、汤、许、安、江、祁、关、阮、孙、老、成、吕、伍、伦、任、朱、邬、宋、张、李、邹、陈、麦、严、苏、劳、杨、杜、陆、邵、肖、吴、岑、何、余、邱、利、郑、庞、房、冼、明、林、屈、欧、武、招、范、欧阳、罗、易、周、金、胡、赵、柯、封、茹、钟、侯、姚、复、俞、郭、高、唐、容、凌、涂、夏、聂、莫、莆、袁、徐、翁、梁、康、曹、黄、梅、崔、符、巢、曾、谢、温、湛、董、彭、韩、植、蒋、戚、鲁、覃、程、傅、源、蓝、蒙、雷、甄、简、鲍、锡、詹、廖、谭、蔡、翟、慕容、熊、缪、颜、潘、褟、樊、黎、霍、戴、魏。</w:t>
      </w:r>
    </w:p>
    <w:p w14:paraId="7FFB6BAA">
      <w:pPr>
        <w:ind w:firstLine="420"/>
        <w:rPr>
          <w:rFonts w:ascii="宋体" w:hAnsi="宋体" w:cs="宋体"/>
        </w:rPr>
      </w:pPr>
      <w:r>
        <w:rPr>
          <w:rFonts w:hint="eastAsia" w:ascii="宋体" w:hAnsi="宋体" w:cs="宋体"/>
        </w:rPr>
        <w:t>南迁氏族主要分布于新会、开平、鹤山、南海、顺德、中山、高要、番禺、东莞等地区。新会有43姓110族，据《新会乡土志·氏族》称，单是宋末咸淳间，由珠玑巷迁来者占全邑氏族之六七成。开平有20姓32族，据民国时出版的《开平乡土志·氏族》称，珠玑巷迁来者人口达23万多。中山有37姓71族，《香山县志》续编称，珠玑巷迁来者人口达10余万。此外，鹤山31姓79族，南海43姓80族，顺德28姓53族，高要53姓118族，番禺15姓23族，东莞33姓79族，增城18姓55族。</w:t>
      </w:r>
    </w:p>
    <w:p w14:paraId="4B8C234C">
      <w:pPr>
        <w:ind w:firstLine="422"/>
        <w:rPr>
          <w:rFonts w:ascii="宋体" w:hAnsi="宋体" w:cs="宋体"/>
          <w:b/>
          <w:bCs/>
        </w:rPr>
      </w:pPr>
      <w:r>
        <w:rPr>
          <w:rFonts w:hint="eastAsia" w:ascii="宋体" w:hAnsi="宋体" w:cs="宋体"/>
          <w:b/>
          <w:bCs/>
        </w:rPr>
        <w:t>（二）氏族迁徙录要</w:t>
      </w:r>
    </w:p>
    <w:p w14:paraId="7961196F">
      <w:pPr>
        <w:ind w:firstLine="422"/>
        <w:rPr>
          <w:rFonts w:ascii="宋体" w:hAnsi="宋体" w:cs="宋体"/>
        </w:rPr>
      </w:pPr>
      <w:r>
        <w:rPr>
          <w:rFonts w:hint="eastAsia" w:ascii="宋体" w:hAnsi="宋体" w:cs="宋体"/>
          <w:b/>
          <w:bCs/>
        </w:rPr>
        <w:t xml:space="preserve">张族 </w:t>
      </w:r>
      <w:r>
        <w:rPr>
          <w:rFonts w:hint="eastAsia" w:ascii="宋体" w:hAnsi="宋体" w:cs="宋体"/>
        </w:rPr>
        <w:t xml:space="preserve"> 珠玑巷基祖张纲，唐张九龄五世孙，吉州刺史，其后裔孝义传家，七世同居，为珠玑巷第一世家，九传至张昌，于后唐时迁冈州。</w:t>
      </w:r>
    </w:p>
    <w:p w14:paraId="5012D260">
      <w:pPr>
        <w:ind w:firstLine="422"/>
        <w:rPr>
          <w:rFonts w:ascii="宋体" w:hAnsi="宋体" w:cs="宋体"/>
        </w:rPr>
      </w:pPr>
      <w:r>
        <w:rPr>
          <w:rFonts w:hint="eastAsia" w:ascii="宋体" w:hAnsi="宋体" w:cs="宋体"/>
          <w:b/>
          <w:bCs/>
        </w:rPr>
        <w:t xml:space="preserve">何族 </w:t>
      </w:r>
      <w:r>
        <w:rPr>
          <w:rFonts w:hint="eastAsia" w:ascii="宋体" w:hAnsi="宋体" w:cs="宋体"/>
        </w:rPr>
        <w:t xml:space="preserve"> 珠玑巷基祖何昶，其先祖原居荆州桂阳，后徙阳山通儒坊。五代后周时，何昶拜南海参军，持节谕南汉，南汉主刘晟不纳，乃携家馆于珠玑巷。后何昶为民平盗战死，宋熙和间赠清海军节度使，子孙遂世居珠玑巷，承传忠义家风，历传十二代，至南宋何礼生五子，长子何琇守祖居，次子何琛迁番禺，三子何琰迁肇庆，四子何瓒迁新州，五子何琪迁循州，各自开基，子孙繁衍，为一方望族。</w:t>
      </w:r>
    </w:p>
    <w:p w14:paraId="0E8ADF2D">
      <w:pPr>
        <w:ind w:firstLine="422"/>
        <w:rPr>
          <w:rFonts w:ascii="宋体" w:hAnsi="宋体" w:cs="宋体"/>
        </w:rPr>
      </w:pPr>
      <w:r>
        <w:rPr>
          <w:rFonts w:hint="eastAsia" w:ascii="宋体" w:hAnsi="宋体" w:cs="宋体"/>
          <w:b/>
          <w:bCs/>
        </w:rPr>
        <w:t xml:space="preserve">罗族  </w:t>
      </w:r>
      <w:r>
        <w:rPr>
          <w:rFonts w:hint="eastAsia" w:ascii="宋体" w:hAnsi="宋体" w:cs="宋体"/>
        </w:rPr>
        <w:t>珠玑巷基祖罗彦瓌，并州太原人，宋开国功臣，累官侍卫步军都指挥使，领武信军节度使，为避宋太祖赵匡胤之猜疑，弃官远徙珠玑巷，子孙致力垦罗田，筑罗陂。历传七代至罗贵，南宋绍兴间，仗义扶危，率领37姓97户人家避难南迁冈州（今新会），增图甲，定户籍“辟处以结庐，辟地以种食”。各姓后裔团结互助，艰苦创业，为开发珠三角作出了贡献。</w:t>
      </w:r>
    </w:p>
    <w:p w14:paraId="7732DFD6">
      <w:pPr>
        <w:ind w:firstLine="422"/>
        <w:rPr>
          <w:rFonts w:ascii="宋体" w:hAnsi="宋体" w:cs="宋体"/>
        </w:rPr>
      </w:pPr>
      <w:r>
        <w:rPr>
          <w:rFonts w:hint="eastAsia" w:ascii="宋体" w:hAnsi="宋体" w:cs="宋体"/>
          <w:b/>
          <w:bCs/>
        </w:rPr>
        <w:t xml:space="preserve">徐族 </w:t>
      </w:r>
      <w:r>
        <w:rPr>
          <w:rFonts w:hint="eastAsia" w:ascii="宋体" w:hAnsi="宋体" w:cs="宋体"/>
        </w:rPr>
        <w:t xml:space="preserve"> 珠玑巷基祖徐彦伯，原居江西濠州，北宋初为太子宾客，任满，迁居珠玑巷，历三代，传至徐信、徐俭、徐伟三兄弟，均以文学名。徐信字泽江，北宋皇祐四年进士，历官中书台谏，刚直有正声，与苏东坡友善雅好，同气相求。徐信在朝不得志，乃弃官归隐珠玑巷，设坛讲学。当时，徐信之社学与南雄城州学、平林孔林书院同为南雄三大教化之所，使南雄文风大振，人文蔚起，宋代举进士52名，为粤北之冠。“靖康之难”宋室南迁。南宋绍兴间，80多岁的徐信为求清静之所，与弟徐俭南迁广州龙津路，继续设坛讲学。其子孙散居顺德、清远、增城、博罗等地。</w:t>
      </w:r>
    </w:p>
    <w:p w14:paraId="37D8A36A">
      <w:pPr>
        <w:ind w:firstLine="422"/>
        <w:rPr>
          <w:rFonts w:ascii="宋体" w:hAnsi="宋体" w:cs="宋体"/>
        </w:rPr>
      </w:pPr>
      <w:r>
        <w:rPr>
          <w:rFonts w:hint="eastAsia" w:ascii="宋体" w:hAnsi="宋体" w:cs="宋体"/>
          <w:b/>
          <w:bCs/>
        </w:rPr>
        <w:t xml:space="preserve">黄族  </w:t>
      </w:r>
      <w:r>
        <w:rPr>
          <w:rFonts w:hint="eastAsia" w:ascii="宋体" w:hAnsi="宋体" w:cs="宋体"/>
        </w:rPr>
        <w:t>聚居珠玑巷有数支，以黄昌一支为著。黄昌原籍福建莆田，北宋元祐二年进士，任南雄州守，升都漕运使，因官而入籍珠玑巷。次子黄澄洛，北宋政和五年进士，其子黄居正，南宋淳熙二年进士第一，累官刑部尚书。一门三代，高官显宦。黄居正生四子，分别南迁新会杜阮、鹤山黄峒、顺德甘竹、滩头等地。</w:t>
      </w:r>
    </w:p>
    <w:p w14:paraId="36026A89">
      <w:pPr>
        <w:ind w:firstLine="422"/>
        <w:rPr>
          <w:rFonts w:ascii="宋体" w:hAnsi="宋体" w:cs="宋体"/>
        </w:rPr>
      </w:pPr>
      <w:r>
        <w:rPr>
          <w:rFonts w:hint="eastAsia" w:ascii="宋体" w:hAnsi="宋体" w:cs="宋体"/>
          <w:b/>
          <w:bCs/>
        </w:rPr>
        <w:t xml:space="preserve">陈族 </w:t>
      </w:r>
      <w:r>
        <w:rPr>
          <w:rFonts w:hint="eastAsia" w:ascii="宋体" w:hAnsi="宋体" w:cs="宋体"/>
        </w:rPr>
        <w:t xml:space="preserve"> 聚居珠玑巷有数支，以陈文一支为著。陈文自福建迁珠玑巷九龙井，子鼎为河南太守。曾孙辉为进士，谏议大夫，生七子。长子谟，进士，刑部侍郎；三子英，进士，宣议大夫。九龙井一时门庭光耀。南宋末，其后裔均陆续迁珠三角，丁口兴旺。</w:t>
      </w:r>
    </w:p>
    <w:p w14:paraId="5E35847B">
      <w:pPr>
        <w:ind w:firstLine="422"/>
        <w:rPr>
          <w:rFonts w:ascii="宋体" w:hAnsi="宋体" w:cs="宋体"/>
        </w:rPr>
      </w:pPr>
      <w:r>
        <w:rPr>
          <w:rFonts w:hint="eastAsia" w:ascii="宋体" w:hAnsi="宋体" w:cs="宋体"/>
          <w:b/>
          <w:bCs/>
        </w:rPr>
        <w:t xml:space="preserve">麦族  </w:t>
      </w:r>
      <w:r>
        <w:rPr>
          <w:rFonts w:hint="eastAsia" w:ascii="宋体" w:hAnsi="宋体" w:cs="宋体"/>
        </w:rPr>
        <w:t>隋右屯位大将军、宿国公麦铁杖十六世孙麦必达、必荣、必秀、必瑞、必雄五兄弟，号称“五必君”，世居南雄珠玑巷。必荣字尚仁，登北宋崇宁癸未（1103年）贡选，官至奉政大夫。必秀字尚义，登北宋政和丙申（1116年）乡贡。南宋初，避兵祸，兄弟挈眷南迁。必达居香山黄旗角，后裔分迁小榄。必荣居东莞，必秀居南海，必瑞居番禺，必雄居新会。（《小榄麦氏族谱》）</w:t>
      </w:r>
    </w:p>
    <w:p w14:paraId="5F5BE5AA">
      <w:pPr>
        <w:ind w:firstLine="422"/>
        <w:rPr>
          <w:rFonts w:ascii="宋体" w:hAnsi="宋体" w:cs="宋体"/>
        </w:rPr>
      </w:pPr>
      <w:r>
        <w:rPr>
          <w:rFonts w:hint="eastAsia" w:ascii="宋体" w:hAnsi="宋体" w:cs="宋体"/>
          <w:b/>
          <w:bCs/>
        </w:rPr>
        <w:t xml:space="preserve">梁族 </w:t>
      </w:r>
      <w:r>
        <w:rPr>
          <w:rFonts w:hint="eastAsia" w:ascii="宋体" w:hAnsi="宋体" w:cs="宋体"/>
        </w:rPr>
        <w:t xml:space="preserve"> 先祖为赠太师越国公梁格之次子梁熙学，宋室南渡时，避乱流寓韶州南华寺，继迁保昌沙水里珠玑巷，赘居许塘许氏兰室公女，生二子：长充、次兖。充生子登，淳熙间举明经，掌增城教，终于任，遗四子：文奎、文璧、文治、文定，奎、璧卜居东莞之板石，治、定则随母蔡氏归居广州。兖生五子，徙居化州、安定等地。（东莞《梁氏崇桂堂族谱》明洪武三年旧序）</w:t>
      </w:r>
    </w:p>
    <w:p w14:paraId="4F591C75">
      <w:pPr>
        <w:ind w:firstLine="422"/>
        <w:rPr>
          <w:rFonts w:ascii="宋体" w:hAnsi="宋体" w:cs="宋体"/>
        </w:rPr>
      </w:pPr>
      <w:r>
        <w:rPr>
          <w:rFonts w:hint="eastAsia" w:ascii="宋体" w:hAnsi="宋体" w:cs="宋体"/>
          <w:b/>
          <w:bCs/>
        </w:rPr>
        <w:t xml:space="preserve">马族 </w:t>
      </w:r>
      <w:r>
        <w:rPr>
          <w:rFonts w:hint="eastAsia" w:ascii="宋体" w:hAnsi="宋体" w:cs="宋体"/>
        </w:rPr>
        <w:t xml:space="preserve"> 顺德杨滘马氏族谱载弼德院顾问大臣、广东提督学政、礼部右侍郎朱祖谋撰《议叙郎中马君暨夫人墓表》称：“君字任基，一字小尹。先世籍江西饶州，宋咸淳中，有泗真者迁南雄，又避兵而南，止于顺德之杨家焉”。又新会《马氏本房世谱》（清·嘉庆）称：“先严崇基公，手揖本房世谱……略著于篇首曰：原南雄珠玑之裔，立乡新会河塘张土园……前人未有传录，此谱专录本房以镇祥公为首，乃始祖之八世孙。”</w:t>
      </w:r>
    </w:p>
    <w:p w14:paraId="66FF68EC">
      <w:pPr>
        <w:ind w:firstLine="422"/>
        <w:rPr>
          <w:rFonts w:ascii="宋体" w:hAnsi="宋体" w:cs="宋体"/>
        </w:rPr>
      </w:pPr>
      <w:r>
        <w:rPr>
          <w:rFonts w:hint="eastAsia" w:ascii="宋体" w:hAnsi="宋体" w:cs="宋体"/>
          <w:b/>
          <w:bCs/>
        </w:rPr>
        <w:t xml:space="preserve">邓族  </w:t>
      </w:r>
      <w:r>
        <w:rPr>
          <w:rFonts w:hint="eastAsia" w:ascii="宋体" w:hAnsi="宋体" w:cs="宋体"/>
        </w:rPr>
        <w:t>珠玑巷基祖邓宣，原居江西吉水白沙里，子邓汉黻，宋初为承务郎。开宝间，举家迁南雄珠现巷，传至曾孙符协，崇宁进士，授阳春令，权南雄州倅，因南游东莞，乐桂角山（今属香港新界）山水之美，筑力瀛书楼，讲学其中。迁三世墓于元朗。其后裔居福隆、岑田、元朗、大埔等地，族望一方。</w:t>
      </w:r>
    </w:p>
    <w:p w14:paraId="0EEE2752">
      <w:pPr>
        <w:ind w:firstLine="422"/>
        <w:rPr>
          <w:rFonts w:ascii="宋体" w:hAnsi="宋体" w:cs="宋体"/>
        </w:rPr>
      </w:pPr>
      <w:r>
        <w:rPr>
          <w:rFonts w:hint="eastAsia" w:ascii="宋体" w:hAnsi="宋体" w:cs="宋体"/>
          <w:b/>
          <w:bCs/>
        </w:rPr>
        <w:t xml:space="preserve">苏族  </w:t>
      </w:r>
      <w:r>
        <w:rPr>
          <w:rFonts w:hint="eastAsia" w:ascii="宋体" w:hAnsi="宋体" w:cs="宋体"/>
        </w:rPr>
        <w:t>先祖由四川眉州迁来珠玑巷开基。其后裔苏绍箕，字嗣良，号晴川。生于北宋元祐三年（1088年），宣和间官至殿中监，力主抗金，遭排斥，弃官回珠玑巷隐居。南宋立，高宗封苏绍基为右丞相、太尉，赠上柱国。绍基淡泊功名尘世，举家迁广州，隐居白云山月溪寺。其后裔为顺德碧江望族。白云山摩星岭侧有苏家山，建有苏公祠。</w:t>
      </w:r>
    </w:p>
    <w:p w14:paraId="204A051B">
      <w:pPr>
        <w:ind w:firstLine="422"/>
        <w:rPr>
          <w:rFonts w:ascii="宋体" w:hAnsi="宋体" w:cs="宋体"/>
        </w:rPr>
      </w:pPr>
      <w:r>
        <w:rPr>
          <w:rFonts w:hint="eastAsia" w:ascii="宋体" w:hAnsi="宋体" w:cs="宋体"/>
          <w:b/>
          <w:bCs/>
        </w:rPr>
        <w:t xml:space="preserve">霍族 </w:t>
      </w:r>
      <w:r>
        <w:rPr>
          <w:rFonts w:hint="eastAsia" w:ascii="宋体" w:hAnsi="宋体" w:cs="宋体"/>
        </w:rPr>
        <w:t xml:space="preserve"> 霍祖正一郎，原居霍山之下，当宋靖康时，中原板荡，浩然去国，舟车南下，直抵粤之雄州沙水珠玑巷，后游于南海，携家舟次佛山，筑室三月冈。</w:t>
      </w:r>
    </w:p>
    <w:p w14:paraId="184D474A">
      <w:pPr>
        <w:ind w:firstLine="422"/>
        <w:rPr>
          <w:rFonts w:ascii="宋体" w:hAnsi="宋体" w:cs="宋体"/>
        </w:rPr>
      </w:pPr>
      <w:r>
        <w:rPr>
          <w:rFonts w:hint="eastAsia" w:ascii="宋体" w:hAnsi="宋体" w:cs="宋体"/>
          <w:b/>
          <w:bCs/>
        </w:rPr>
        <w:t xml:space="preserve">黎族 </w:t>
      </w:r>
      <w:r>
        <w:rPr>
          <w:rFonts w:hint="eastAsia" w:ascii="宋体" w:hAnsi="宋体" w:cs="宋体"/>
        </w:rPr>
        <w:t xml:space="preserve"> 其先姑苏人，刺史公仕唐，宦游岭南，因家居南雄珠玑巷，历宋，至念泗者，崇宁间举贤良，拜侍御史，南迁入广州，居番禺之礼园。</w:t>
      </w:r>
    </w:p>
    <w:p w14:paraId="0F5A9ACD">
      <w:pPr>
        <w:ind w:firstLine="422"/>
        <w:rPr>
          <w:rFonts w:ascii="宋体" w:hAnsi="宋体" w:cs="宋体"/>
        </w:rPr>
      </w:pPr>
      <w:r>
        <w:rPr>
          <w:rFonts w:hint="eastAsia" w:ascii="宋体" w:hAnsi="宋体" w:cs="宋体"/>
          <w:b/>
          <w:bCs/>
        </w:rPr>
        <w:t xml:space="preserve">孙族  </w:t>
      </w:r>
      <w:r>
        <w:rPr>
          <w:rFonts w:hint="eastAsia" w:ascii="宋体" w:hAnsi="宋体" w:cs="宋体"/>
        </w:rPr>
        <w:t>其祖望出太原乐安。宋熙宁间，孙固历官枢密副使。嫡孙常德仕元为杭州刺史。元末，避乱流寓南雄珠玑巷。明初，迁宝安，生四子，长子贵荣居员头山，三子贵绍居三株竹，四子贵武居南海，次子贵华居东莞上沙，后裔再迁中山。</w:t>
      </w:r>
    </w:p>
    <w:p w14:paraId="11DC4F7A">
      <w:pPr>
        <w:ind w:firstLine="422"/>
        <w:rPr>
          <w:rFonts w:ascii="宋体" w:hAnsi="宋体" w:cs="宋体"/>
        </w:rPr>
      </w:pPr>
      <w:r>
        <w:rPr>
          <w:rFonts w:hint="eastAsia" w:ascii="宋体" w:hAnsi="宋体" w:cs="宋体"/>
          <w:b/>
          <w:bCs/>
        </w:rPr>
        <w:t xml:space="preserve">康族 </w:t>
      </w:r>
      <w:r>
        <w:rPr>
          <w:rFonts w:hint="eastAsia" w:ascii="宋体" w:hAnsi="宋体" w:cs="宋体"/>
        </w:rPr>
        <w:t xml:space="preserve"> 康有为《自编年谱》：“始祖建元，南宋时，自南雄珠玑里始迁南海西樵山北之银塘乡。”</w:t>
      </w:r>
    </w:p>
    <w:p w14:paraId="474329BD">
      <w:pPr>
        <w:ind w:firstLine="422"/>
        <w:rPr>
          <w:rFonts w:ascii="宋体" w:hAnsi="宋体" w:cs="宋体"/>
        </w:rPr>
      </w:pPr>
      <w:r>
        <w:rPr>
          <w:rFonts w:hint="eastAsia" w:ascii="宋体" w:hAnsi="宋体" w:cs="宋体"/>
          <w:b/>
          <w:bCs/>
        </w:rPr>
        <w:t xml:space="preserve">关族  </w:t>
      </w:r>
      <w:r>
        <w:rPr>
          <w:rFonts w:hint="eastAsia" w:ascii="宋体" w:hAnsi="宋体" w:cs="宋体"/>
        </w:rPr>
        <w:t>基祖关贞，原居解州，关羽之后。宋咸淳元年，徙居保昌珠玑里，居七年，为避难，再徙南海九江乡。</w:t>
      </w:r>
    </w:p>
    <w:p w14:paraId="33CBF345">
      <w:pPr>
        <w:ind w:firstLine="422"/>
        <w:rPr>
          <w:rFonts w:ascii="宋体" w:hAnsi="宋体" w:cs="宋体"/>
        </w:rPr>
      </w:pPr>
      <w:r>
        <w:rPr>
          <w:rFonts w:hint="eastAsia" w:ascii="宋体" w:hAnsi="宋体" w:cs="宋体"/>
          <w:b/>
          <w:bCs/>
        </w:rPr>
        <w:t xml:space="preserve">植族 </w:t>
      </w:r>
      <w:r>
        <w:rPr>
          <w:rFonts w:hint="eastAsia" w:ascii="宋体" w:hAnsi="宋体" w:cs="宋体"/>
        </w:rPr>
        <w:t xml:space="preserve"> 《植氏族谱》（1993年）称：始祖植元真，南唐时人，本姓相，因触犯皇法，遭灭九族，乃改名易姓，以相为植，隐居南雄珠玑巷。历传十三代，南宋末，植光翰、弘翰迁广西梧州，再迁怀集，后裔迁三水、清远等地。</w:t>
      </w:r>
    </w:p>
    <w:p w14:paraId="635D5651">
      <w:pPr>
        <w:ind w:firstLine="422"/>
        <w:rPr>
          <w:rFonts w:ascii="宋体" w:hAnsi="宋体" w:cs="宋体"/>
        </w:rPr>
      </w:pPr>
      <w:r>
        <w:rPr>
          <w:rFonts w:hint="eastAsia" w:ascii="宋体" w:hAnsi="宋体" w:cs="宋体"/>
          <w:b/>
          <w:bCs/>
        </w:rPr>
        <w:t xml:space="preserve">江族 </w:t>
      </w:r>
      <w:r>
        <w:rPr>
          <w:rFonts w:hint="eastAsia" w:ascii="宋体" w:hAnsi="宋体" w:cs="宋体"/>
        </w:rPr>
        <w:t xml:space="preserve"> 花县平山村《江氏族谱·序》称：先祖江一龙携三子：置、同、禄由江西吉安迁到南雄珠玑巷。唐景福元年（892年），一龙奉命携长子置及孙洲迁广州，寓于光孝街，旋迁城北四十里长河之上卜居。同迁之民，土壁篷盖，列里巷，因立名江村。</w:t>
      </w:r>
    </w:p>
    <w:p w14:paraId="03E4309A">
      <w:pPr>
        <w:ind w:firstLine="422"/>
        <w:rPr>
          <w:rFonts w:ascii="宋体" w:hAnsi="宋体" w:cs="宋体"/>
        </w:rPr>
      </w:pPr>
      <w:r>
        <w:rPr>
          <w:rFonts w:hint="eastAsia" w:ascii="宋体" w:hAnsi="宋体" w:cs="宋体"/>
          <w:b/>
          <w:bCs/>
        </w:rPr>
        <w:t xml:space="preserve">源族 </w:t>
      </w:r>
      <w:r>
        <w:rPr>
          <w:rFonts w:hint="eastAsia" w:ascii="宋体" w:hAnsi="宋体" w:cs="宋体"/>
        </w:rPr>
        <w:t xml:space="preserve"> 鹤山霄乡村《源氏大宗族谱》称：源族为鲜卑族秃发部后裔，南北朝时，该部在青海建立南凉政权，后为西秦所灭。南凉王之子秃发贺投奔鲜卑拓跋部北魏。魏太武帝封秃发贺为西平王，赐姓源，意为同出鲜卑之源。其后裔为避中原动乱徙居南雄珠玑巷。南宋咸淳甲戌（1274年）南迁鹤山霄乡，筑坚城，故旧称坚城乡，城早毁，而源氏祠堂仍存，楹联云：“北魏同源远，南雄衍泽长。”“簪缨传北魏，事业纪西平。”</w:t>
      </w:r>
    </w:p>
    <w:p w14:paraId="1E6BC379">
      <w:pPr>
        <w:ind w:firstLine="422"/>
        <w:rPr>
          <w:rFonts w:ascii="宋体" w:hAnsi="宋体" w:cs="宋体"/>
          <w:b/>
          <w:bCs/>
        </w:rPr>
      </w:pPr>
      <w:r>
        <w:rPr>
          <w:rFonts w:hint="eastAsia" w:ascii="宋体" w:hAnsi="宋体" w:cs="宋体"/>
          <w:b/>
          <w:bCs/>
        </w:rPr>
        <w:t>说明：以上各氏族源流均摘录自该族族谱。</w:t>
      </w:r>
    </w:p>
    <w:p w14:paraId="689979C4">
      <w:pPr>
        <w:pStyle w:val="4"/>
        <w:rPr>
          <w:rFonts w:ascii="宋体" w:hAnsi="宋体" w:cs="宋体"/>
        </w:rPr>
      </w:pPr>
      <w:r>
        <w:rPr>
          <w:rFonts w:hint="eastAsia" w:ascii="宋体" w:hAnsi="宋体" w:cs="宋体"/>
        </w:rPr>
        <w:t>第三节  民族</w:t>
      </w:r>
    </w:p>
    <w:p w14:paraId="6A2BF51F">
      <w:pPr>
        <w:ind w:firstLine="420"/>
        <w:rPr>
          <w:rFonts w:ascii="宋体" w:hAnsi="宋体" w:cs="宋体"/>
        </w:rPr>
      </w:pPr>
      <w:r>
        <w:rPr>
          <w:rFonts w:hint="eastAsia" w:ascii="宋体" w:hAnsi="宋体" w:cs="宋体"/>
        </w:rPr>
        <w:t>本市民族以汉族为主，还有畬族。根据蓝、雷二姓部分群众的要求，经韶关市民族事务委员会分别于1987年8月6日、1988年2月4日批准，恢复蓝姓、雷姓部分人的畲族民族成分。全市畲族共有1222户，5371人。分布于17个镇48个行政村77个自然村。详见本志附录迁雄氏族开基录。</w:t>
      </w:r>
    </w:p>
    <w:p w14:paraId="7B200313">
      <w:pPr>
        <w:pStyle w:val="3"/>
        <w:rPr>
          <w:rFonts w:ascii="宋体" w:hAnsi="宋体" w:cs="宋体"/>
        </w:rPr>
      </w:pPr>
      <w:r>
        <w:rPr>
          <w:rFonts w:hint="eastAsia" w:ascii="宋体" w:hAnsi="宋体" w:cs="宋体"/>
        </w:rPr>
        <w:t>第二章  人事</w:t>
      </w:r>
    </w:p>
    <w:p w14:paraId="382D7528">
      <w:pPr>
        <w:pStyle w:val="4"/>
        <w:rPr>
          <w:rFonts w:ascii="宋体" w:hAnsi="宋体" w:cs="宋体"/>
        </w:rPr>
      </w:pPr>
      <w:r>
        <w:rPr>
          <w:rFonts w:hint="eastAsia" w:ascii="宋体" w:hAnsi="宋体" w:cs="宋体"/>
        </w:rPr>
        <w:t>第一节  建立国家公务员制度前的干部结构</w:t>
      </w:r>
    </w:p>
    <w:p w14:paraId="68FF3C06">
      <w:pPr>
        <w:ind w:firstLine="420"/>
        <w:rPr>
          <w:rFonts w:ascii="宋体" w:hAnsi="宋体" w:cs="宋体"/>
        </w:rPr>
      </w:pPr>
      <w:r>
        <w:rPr>
          <w:rFonts w:hint="eastAsia" w:ascii="宋体" w:hAnsi="宋体" w:cs="宋体"/>
        </w:rPr>
        <w:t>新中国成立后，国家机关工作人员和企事业单位工作人员统称为干部。初期，国家机关和企事业单位干部主要来自坚持游击战争的地方干部，还有来自南下的中国人民解放军参加土地改革后转业到地方工作的干部279人。这些干部构成南雄干部队伍的骨干。土地改革运动后从土改积极分子中吸收一批干部充实区、乡基层。1956年吸收120多名潮汕知识青年充实县机关。此后，干部主要来自军队转业和大中专毕业生。1964年“四清”（清账目、清仓库、清工分、清财物）时分3批吸收100多名农村知识青年（称为政治学徒）参加“四清”，经锻炼后转为国家干部。1970年吸收800多名知识轻年为财贸战线职工，后有一批转为国家干部。1984至1987年，实行公开考试，择优录用的办法，聘任补充乡镇干部174名。1988年以后，从社会上录用优秀人才。</w:t>
      </w:r>
    </w:p>
    <w:p w14:paraId="3F82BB1E">
      <w:pPr>
        <w:ind w:firstLine="420"/>
        <w:rPr>
          <w:rFonts w:ascii="宋体" w:hAnsi="宋体" w:cs="宋体"/>
        </w:rPr>
      </w:pPr>
      <w:r>
        <w:rPr>
          <w:rFonts w:hint="eastAsia" w:ascii="宋体" w:hAnsi="宋体" w:cs="宋体"/>
        </w:rPr>
        <w:t>1951年至1987年干部数额直线上升，县乡镇行政机关、企事业单位国家干部及中小学教师由518名增加到5941名，增长10.5倍。干部队伍中妇女干部比重有所增加，1951年女干部占总数的4.3%，1986年为14.6%。干部文化程度自1980年以后有较大变化。1980年以前大专文化程度干部不到1%，1986年达14.9%。初中以下文化程度干部1957年占83.65%，1986年占38.98%。干部年龄结构，1951年至1957年以青年干部为主，45岁以下干部占90%以上，此后，青年干部比例逐步下降，中老年干部比例则逐年增大。1979年，25岁以下干部仅占0.4%，46岁～55岁干部占23.87%，56岁以上干部占4.15%。1980年以后年轻干部与老干部比重逐年增加，1986年25岁以下干部占13.34%，46岁～55岁干部占31.89%，56岁以上干部占8.71%。</w:t>
      </w:r>
    </w:p>
    <w:p w14:paraId="1A6723F7">
      <w:pPr>
        <w:pStyle w:val="4"/>
        <w:rPr>
          <w:rFonts w:ascii="宋体" w:hAnsi="宋体" w:cs="宋体"/>
        </w:rPr>
      </w:pPr>
      <w:r>
        <w:rPr>
          <w:rFonts w:hint="eastAsia" w:ascii="宋体" w:hAnsi="宋体" w:cs="宋体"/>
        </w:rPr>
        <w:t>第二节  建立国家公务员制度</w:t>
      </w:r>
    </w:p>
    <w:p w14:paraId="6D37E816">
      <w:pPr>
        <w:pStyle w:val="5"/>
        <w:rPr>
          <w:rFonts w:ascii="宋体" w:hAnsi="宋体" w:cs="宋体"/>
        </w:rPr>
      </w:pPr>
      <w:r>
        <w:rPr>
          <w:rFonts w:hint="eastAsia" w:ascii="宋体" w:hAnsi="宋体" w:cs="宋体"/>
        </w:rPr>
        <w:t>一、公务员过渡</w:t>
      </w:r>
    </w:p>
    <w:p w14:paraId="730364A1">
      <w:pPr>
        <w:ind w:firstLine="420"/>
        <w:rPr>
          <w:rFonts w:ascii="宋体" w:hAnsi="宋体" w:cs="宋体"/>
        </w:rPr>
      </w:pPr>
      <w:r>
        <w:rPr>
          <w:rFonts w:hint="eastAsia" w:ascii="宋体" w:hAnsi="宋体" w:cs="宋体"/>
        </w:rPr>
        <w:t>根据中华人民共和国国务院颁发的《国家公务员暂行条例》和《广东省建立和推行国家公务员制度实施方案》，南雄市委、市政府于1997年按照“积极推进，平稳过渡，逐步入轨”的工作思路，积极推行国家公务员制度。对市直国家机关和乡镇机关工作人员进行了有关公务员制度的知识及专业技能的培训、考试，并以机构改革“三定”方案为依据，搞好职位设置，确定每个职位职责和任职资格条件，作为国家公务员的过渡、录用、考核、培训、晋升的依据。</w:t>
      </w:r>
    </w:p>
    <w:p w14:paraId="01A1AC25">
      <w:pPr>
        <w:ind w:firstLine="420"/>
        <w:rPr>
          <w:rFonts w:ascii="宋体" w:hAnsi="宋体" w:cs="宋体"/>
        </w:rPr>
      </w:pPr>
      <w:r>
        <w:rPr>
          <w:rFonts w:hint="eastAsia" w:ascii="宋体" w:hAnsi="宋体" w:cs="宋体"/>
        </w:rPr>
        <w:t>1998年3月起进行国家公务员过渡。首先对领导职位，非领导职位以及科办员职位进行科学规范。市直机关设置37个，内设机构187个，职位952个，其中领导职位135个，非领导职位70个，科办员职位747个；24个镇，内设机构145个，职位630个，其中领导职位104个，科办员职位526个。其次是规范职位说明书。严格按照职位说明书的7项内容用精炼扼要的文字对每一个职位进行科学的分析、评价、概述，使其成为录用、考核、晋升的依据。然后进行人员过渡。行政机关工作人员凡具有干部身份，符合公务员过渡的5个基本条件，可过渡为国家公务员。5个基本条件是：①本人自愿；②近两年内年度考核均在称职以上；③具有高中毕业以上文化程度（50岁以上可放宽到初中毕业文化程度）；④经过岗位培训并取得合格证书；⑤身体健康。全市符合条件过渡为公务员的人数是：市直机关900人、镇机关467人，合计1367人；暂缓过渡：市直机关6人，镇机关9人；不能过渡：市直机关10人，镇机关3人。</w:t>
      </w:r>
    </w:p>
    <w:p w14:paraId="3A2CE756">
      <w:pPr>
        <w:ind w:firstLine="420"/>
        <w:rPr>
          <w:rFonts w:ascii="宋体" w:hAnsi="宋体" w:cs="宋体"/>
        </w:rPr>
      </w:pPr>
      <w:r>
        <w:rPr>
          <w:rFonts w:hint="eastAsia" w:ascii="宋体" w:hAnsi="宋体" w:cs="宋体"/>
        </w:rPr>
        <w:t>1998年10月29日举行国家公务员任命书首发式暨“做人民满意的公务员”动员大会，对已批准过渡为国家公务员的人员重新进行职务任命，发给了统一规格的《国家公务员任命书》，标志着南雄市国家公务员制度的建立。1999年又对具有行政管理职能的18个事业单位中符合条件的185人过渡为国家公务员。这些单位是：招生办4人、勤工办3人、“三防办”1人、物检所7人、广州办事处5人、财政所75人、市志办3人、机关事务处8人、接待办3人、残联5人、档案局6人、旅游局2人、经济技术协作办3人、绿化沼气办11人、水保办9人、水产管理总站13人、畜牧管理总站7人、公安森林分局20人。</w:t>
      </w:r>
    </w:p>
    <w:p w14:paraId="7E9EC3BD">
      <w:pPr>
        <w:pStyle w:val="5"/>
        <w:rPr>
          <w:rFonts w:ascii="宋体" w:hAnsi="宋体" w:cs="宋体"/>
        </w:rPr>
      </w:pPr>
      <w:r>
        <w:rPr>
          <w:rFonts w:hint="eastAsia" w:ascii="宋体" w:hAnsi="宋体" w:cs="宋体"/>
        </w:rPr>
        <w:t>二、公务员结构</w:t>
      </w:r>
    </w:p>
    <w:p w14:paraId="001D6F7A">
      <w:pPr>
        <w:ind w:firstLine="420"/>
        <w:rPr>
          <w:rFonts w:ascii="宋体" w:hAnsi="宋体" w:cs="宋体"/>
        </w:rPr>
      </w:pPr>
      <w:r>
        <w:rPr>
          <w:rFonts w:hint="eastAsia" w:ascii="宋体" w:hAnsi="宋体" w:cs="宋体"/>
        </w:rPr>
        <w:t>国家公务员过渡前，其结构详见表6-12：</w:t>
      </w:r>
    </w:p>
    <w:p w14:paraId="09F757E0">
      <w:pPr>
        <w:ind w:firstLine="422"/>
        <w:jc w:val="center"/>
        <w:rPr>
          <w:rFonts w:ascii="宋体" w:hAnsi="宋体" w:cs="宋体"/>
          <w:b/>
          <w:bCs/>
        </w:rPr>
      </w:pPr>
      <w:r>
        <w:rPr>
          <w:rFonts w:hint="eastAsia" w:ascii="宋体" w:hAnsi="宋体" w:cs="宋体"/>
          <w:b/>
          <w:bCs/>
        </w:rPr>
        <w:t>1997年国家公务员基本情况统计</w:t>
      </w:r>
    </w:p>
    <w:p w14:paraId="24451145">
      <w:pPr>
        <w:ind w:firstLine="0" w:firstLineChars="0"/>
        <w:rPr>
          <w:rFonts w:ascii="宋体" w:hAnsi="宋体" w:cs="宋体"/>
          <w:b/>
          <w:bCs/>
        </w:rPr>
      </w:pPr>
      <w:r>
        <w:rPr>
          <w:rFonts w:hint="eastAsia" w:ascii="宋体" w:hAnsi="宋体" w:cs="宋体"/>
          <w:b/>
          <w:bCs/>
        </w:rPr>
        <w:t>表6-12</w:t>
      </w:r>
    </w:p>
    <w:p w14:paraId="603A454F">
      <w:pPr>
        <w:ind w:firstLine="422"/>
        <w:jc w:val="right"/>
        <w:rPr>
          <w:rFonts w:ascii="宋体" w:hAnsi="宋体" w:cs="宋体"/>
          <w:b/>
          <w:bCs/>
        </w:rPr>
      </w:pPr>
      <w:r>
        <w:rPr>
          <w:rFonts w:hint="eastAsia" w:ascii="宋体" w:hAnsi="宋体" w:cs="宋体"/>
          <w:b/>
          <w:bCs/>
        </w:rPr>
        <w:t>单位：人</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504"/>
        <w:gridCol w:w="505"/>
        <w:gridCol w:w="505"/>
        <w:gridCol w:w="505"/>
        <w:gridCol w:w="412"/>
        <w:gridCol w:w="412"/>
        <w:gridCol w:w="412"/>
        <w:gridCol w:w="505"/>
        <w:gridCol w:w="505"/>
        <w:gridCol w:w="505"/>
        <w:gridCol w:w="643"/>
        <w:gridCol w:w="635"/>
        <w:gridCol w:w="635"/>
        <w:gridCol w:w="637"/>
        <w:gridCol w:w="635"/>
        <w:gridCol w:w="637"/>
        <w:gridCol w:w="635"/>
        <w:gridCol w:w="633"/>
      </w:tblGrid>
      <w:tr w14:paraId="086785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c>
          <w:tcPr>
            <w:tcW w:w="256" w:type="pct"/>
            <w:vMerge w:val="restart"/>
            <w:vAlign w:val="center"/>
          </w:tcPr>
          <w:p w14:paraId="0F6ED5C4">
            <w:pPr>
              <w:pStyle w:val="12"/>
              <w:jc w:val="center"/>
              <w:rPr>
                <w:rFonts w:ascii="宋体" w:hAnsi="宋体"/>
                <w:b/>
              </w:rPr>
            </w:pPr>
            <w:r>
              <w:rPr>
                <w:rFonts w:hint="eastAsia" w:ascii="宋体" w:hAnsi="宋体"/>
                <w:b/>
              </w:rPr>
              <w:t>公务员总数</w:t>
            </w:r>
          </w:p>
        </w:tc>
        <w:tc>
          <w:tcPr>
            <w:tcW w:w="512" w:type="pct"/>
            <w:gridSpan w:val="2"/>
            <w:vAlign w:val="center"/>
          </w:tcPr>
          <w:p w14:paraId="1A7CA0A8">
            <w:pPr>
              <w:pStyle w:val="12"/>
              <w:jc w:val="center"/>
              <w:rPr>
                <w:rFonts w:ascii="宋体" w:hAnsi="宋体"/>
                <w:b/>
              </w:rPr>
            </w:pPr>
            <w:r>
              <w:rPr>
                <w:rFonts w:hint="eastAsia" w:ascii="宋体" w:hAnsi="宋体"/>
                <w:b/>
              </w:rPr>
              <w:t>性别</w:t>
            </w:r>
          </w:p>
        </w:tc>
        <w:tc>
          <w:tcPr>
            <w:tcW w:w="465" w:type="pct"/>
            <w:gridSpan w:val="2"/>
            <w:vAlign w:val="center"/>
          </w:tcPr>
          <w:p w14:paraId="7B7206CF">
            <w:pPr>
              <w:pStyle w:val="12"/>
              <w:jc w:val="center"/>
              <w:rPr>
                <w:rFonts w:ascii="宋体" w:hAnsi="宋体"/>
                <w:b/>
              </w:rPr>
            </w:pPr>
            <w:r>
              <w:rPr>
                <w:rFonts w:hint="eastAsia" w:ascii="宋体" w:hAnsi="宋体"/>
                <w:b/>
              </w:rPr>
              <w:t>党派民族</w:t>
            </w:r>
          </w:p>
        </w:tc>
        <w:tc>
          <w:tcPr>
            <w:tcW w:w="1512" w:type="pct"/>
            <w:gridSpan w:val="6"/>
            <w:vAlign w:val="center"/>
          </w:tcPr>
          <w:p w14:paraId="69E6507E">
            <w:pPr>
              <w:pStyle w:val="12"/>
              <w:jc w:val="center"/>
              <w:rPr>
                <w:rFonts w:ascii="宋体" w:hAnsi="宋体"/>
                <w:b/>
              </w:rPr>
            </w:pPr>
            <w:r>
              <w:rPr>
                <w:rFonts w:hint="eastAsia" w:ascii="宋体" w:hAnsi="宋体"/>
                <w:b/>
              </w:rPr>
              <w:t>学历</w:t>
            </w:r>
          </w:p>
        </w:tc>
        <w:tc>
          <w:tcPr>
            <w:tcW w:w="2256" w:type="pct"/>
            <w:gridSpan w:val="7"/>
            <w:vAlign w:val="center"/>
          </w:tcPr>
          <w:p w14:paraId="3CE15536">
            <w:pPr>
              <w:pStyle w:val="12"/>
              <w:jc w:val="center"/>
              <w:rPr>
                <w:rFonts w:ascii="宋体" w:hAnsi="宋体"/>
                <w:b/>
              </w:rPr>
            </w:pPr>
            <w:r>
              <w:rPr>
                <w:rFonts w:hint="eastAsia" w:ascii="宋体" w:hAnsi="宋体"/>
                <w:b/>
              </w:rPr>
              <w:t>年龄</w:t>
            </w:r>
          </w:p>
        </w:tc>
      </w:tr>
      <w:tr w14:paraId="4497E07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c>
          <w:tcPr>
            <w:tcW w:w="256" w:type="pct"/>
            <w:vMerge w:val="continue"/>
            <w:vAlign w:val="center"/>
          </w:tcPr>
          <w:p w14:paraId="337E74E0">
            <w:pPr>
              <w:pStyle w:val="12"/>
              <w:jc w:val="center"/>
              <w:rPr>
                <w:rFonts w:ascii="宋体" w:hAnsi="宋体"/>
                <w:b/>
              </w:rPr>
            </w:pPr>
          </w:p>
        </w:tc>
        <w:tc>
          <w:tcPr>
            <w:tcW w:w="256" w:type="pct"/>
            <w:vAlign w:val="center"/>
          </w:tcPr>
          <w:p w14:paraId="0A07C665">
            <w:pPr>
              <w:pStyle w:val="12"/>
              <w:jc w:val="center"/>
              <w:rPr>
                <w:rFonts w:ascii="宋体" w:hAnsi="宋体"/>
                <w:b/>
              </w:rPr>
            </w:pPr>
            <w:r>
              <w:rPr>
                <w:rFonts w:hint="eastAsia" w:ascii="宋体" w:hAnsi="宋体"/>
                <w:b/>
              </w:rPr>
              <w:t>男</w:t>
            </w:r>
          </w:p>
        </w:tc>
        <w:tc>
          <w:tcPr>
            <w:tcW w:w="256" w:type="pct"/>
            <w:vAlign w:val="center"/>
          </w:tcPr>
          <w:p w14:paraId="02921B26">
            <w:pPr>
              <w:pStyle w:val="12"/>
              <w:jc w:val="center"/>
              <w:rPr>
                <w:rFonts w:ascii="宋体" w:hAnsi="宋体"/>
                <w:b/>
              </w:rPr>
            </w:pPr>
            <w:r>
              <w:rPr>
                <w:rFonts w:hint="eastAsia" w:ascii="宋体" w:hAnsi="宋体"/>
                <w:b/>
              </w:rPr>
              <w:t>女</w:t>
            </w:r>
          </w:p>
        </w:tc>
        <w:tc>
          <w:tcPr>
            <w:tcW w:w="256" w:type="pct"/>
            <w:vAlign w:val="center"/>
          </w:tcPr>
          <w:p w14:paraId="6E186155">
            <w:pPr>
              <w:pStyle w:val="12"/>
              <w:jc w:val="center"/>
              <w:rPr>
                <w:rFonts w:ascii="宋体" w:hAnsi="宋体"/>
                <w:b/>
              </w:rPr>
            </w:pPr>
            <w:r>
              <w:rPr>
                <w:rFonts w:hint="eastAsia" w:ascii="宋体" w:hAnsi="宋体"/>
                <w:b/>
              </w:rPr>
              <w:t>共产党员</w:t>
            </w:r>
          </w:p>
        </w:tc>
        <w:tc>
          <w:tcPr>
            <w:tcW w:w="209" w:type="pct"/>
            <w:vAlign w:val="center"/>
          </w:tcPr>
          <w:p w14:paraId="17E537D1">
            <w:pPr>
              <w:pStyle w:val="12"/>
              <w:jc w:val="center"/>
              <w:rPr>
                <w:rFonts w:ascii="宋体" w:hAnsi="宋体"/>
                <w:b/>
              </w:rPr>
            </w:pPr>
            <w:r>
              <w:rPr>
                <w:rFonts w:hint="eastAsia" w:ascii="宋体" w:hAnsi="宋体"/>
                <w:b/>
              </w:rPr>
              <w:t>少数民族</w:t>
            </w:r>
          </w:p>
        </w:tc>
        <w:tc>
          <w:tcPr>
            <w:tcW w:w="209" w:type="pct"/>
            <w:vAlign w:val="center"/>
          </w:tcPr>
          <w:p w14:paraId="3C6CBB4B">
            <w:pPr>
              <w:pStyle w:val="12"/>
              <w:jc w:val="center"/>
              <w:rPr>
                <w:rFonts w:ascii="宋体" w:hAnsi="宋体"/>
                <w:b/>
              </w:rPr>
            </w:pPr>
            <w:r>
              <w:rPr>
                <w:rFonts w:hint="eastAsia" w:ascii="宋体" w:hAnsi="宋体"/>
                <w:b/>
              </w:rPr>
              <w:t>研究生</w:t>
            </w:r>
          </w:p>
        </w:tc>
        <w:tc>
          <w:tcPr>
            <w:tcW w:w="209" w:type="pct"/>
            <w:vAlign w:val="center"/>
          </w:tcPr>
          <w:p w14:paraId="010B1C6B">
            <w:pPr>
              <w:pStyle w:val="12"/>
              <w:jc w:val="center"/>
              <w:rPr>
                <w:rFonts w:ascii="宋体" w:hAnsi="宋体"/>
                <w:b/>
              </w:rPr>
            </w:pPr>
            <w:r>
              <w:rPr>
                <w:rFonts w:hint="eastAsia" w:ascii="宋体" w:hAnsi="宋体"/>
                <w:b/>
              </w:rPr>
              <w:t>大学本科</w:t>
            </w:r>
          </w:p>
        </w:tc>
        <w:tc>
          <w:tcPr>
            <w:tcW w:w="256" w:type="pct"/>
            <w:vAlign w:val="center"/>
          </w:tcPr>
          <w:p w14:paraId="14B6F5F3">
            <w:pPr>
              <w:pStyle w:val="12"/>
              <w:jc w:val="center"/>
              <w:rPr>
                <w:rFonts w:ascii="宋体" w:hAnsi="宋体"/>
                <w:b/>
              </w:rPr>
            </w:pPr>
            <w:r>
              <w:rPr>
                <w:rFonts w:hint="eastAsia" w:ascii="宋体" w:hAnsi="宋体"/>
                <w:b/>
              </w:rPr>
              <w:t>大学专科</w:t>
            </w:r>
          </w:p>
        </w:tc>
        <w:tc>
          <w:tcPr>
            <w:tcW w:w="256" w:type="pct"/>
            <w:vAlign w:val="center"/>
          </w:tcPr>
          <w:p w14:paraId="6E7AFCF1">
            <w:pPr>
              <w:pStyle w:val="12"/>
              <w:jc w:val="center"/>
              <w:rPr>
                <w:rFonts w:ascii="宋体" w:hAnsi="宋体"/>
                <w:b/>
              </w:rPr>
            </w:pPr>
            <w:r>
              <w:rPr>
                <w:rFonts w:hint="eastAsia" w:ascii="宋体" w:hAnsi="宋体"/>
                <w:b/>
              </w:rPr>
              <w:t>中专</w:t>
            </w:r>
          </w:p>
        </w:tc>
        <w:tc>
          <w:tcPr>
            <w:tcW w:w="256" w:type="pct"/>
            <w:vAlign w:val="center"/>
          </w:tcPr>
          <w:p w14:paraId="0DEAD333">
            <w:pPr>
              <w:pStyle w:val="12"/>
              <w:jc w:val="center"/>
              <w:rPr>
                <w:rFonts w:ascii="宋体" w:hAnsi="宋体"/>
                <w:b/>
              </w:rPr>
            </w:pPr>
            <w:r>
              <w:rPr>
                <w:rFonts w:hint="eastAsia" w:ascii="宋体" w:hAnsi="宋体"/>
                <w:b/>
              </w:rPr>
              <w:t>高中</w:t>
            </w:r>
          </w:p>
        </w:tc>
        <w:tc>
          <w:tcPr>
            <w:tcW w:w="326" w:type="pct"/>
            <w:vAlign w:val="center"/>
          </w:tcPr>
          <w:p w14:paraId="35D566B1">
            <w:pPr>
              <w:pStyle w:val="12"/>
              <w:jc w:val="center"/>
              <w:rPr>
                <w:rFonts w:ascii="宋体" w:hAnsi="宋体"/>
                <w:b/>
              </w:rPr>
            </w:pPr>
            <w:r>
              <w:rPr>
                <w:rFonts w:hint="eastAsia" w:ascii="宋体" w:hAnsi="宋体"/>
                <w:b/>
              </w:rPr>
              <w:t>初中以下</w:t>
            </w:r>
          </w:p>
        </w:tc>
        <w:tc>
          <w:tcPr>
            <w:tcW w:w="322" w:type="pct"/>
            <w:vAlign w:val="center"/>
          </w:tcPr>
          <w:p w14:paraId="7DBA7451">
            <w:pPr>
              <w:pStyle w:val="12"/>
              <w:jc w:val="center"/>
              <w:rPr>
                <w:rFonts w:ascii="宋体" w:hAnsi="宋体"/>
                <w:b/>
              </w:rPr>
            </w:pPr>
            <w:r>
              <w:rPr>
                <w:rFonts w:hint="eastAsia" w:ascii="宋体" w:hAnsi="宋体"/>
                <w:b/>
              </w:rPr>
              <w:t>30岁及以下</w:t>
            </w:r>
          </w:p>
        </w:tc>
        <w:tc>
          <w:tcPr>
            <w:tcW w:w="322" w:type="pct"/>
            <w:vAlign w:val="center"/>
          </w:tcPr>
          <w:p w14:paraId="5A299083">
            <w:pPr>
              <w:pStyle w:val="12"/>
              <w:jc w:val="center"/>
              <w:rPr>
                <w:rFonts w:ascii="宋体" w:hAnsi="宋体"/>
                <w:b/>
              </w:rPr>
            </w:pPr>
            <w:r>
              <w:rPr>
                <w:rFonts w:hint="eastAsia" w:ascii="宋体" w:hAnsi="宋体"/>
                <w:b/>
              </w:rPr>
              <w:t>31～35岁</w:t>
            </w:r>
          </w:p>
        </w:tc>
        <w:tc>
          <w:tcPr>
            <w:tcW w:w="323" w:type="pct"/>
            <w:vAlign w:val="center"/>
          </w:tcPr>
          <w:p w14:paraId="60724295">
            <w:pPr>
              <w:pStyle w:val="12"/>
              <w:jc w:val="center"/>
              <w:rPr>
                <w:rFonts w:ascii="宋体" w:hAnsi="宋体"/>
                <w:b/>
              </w:rPr>
            </w:pPr>
            <w:r>
              <w:rPr>
                <w:rFonts w:hint="eastAsia" w:ascii="宋体" w:hAnsi="宋体"/>
                <w:b/>
              </w:rPr>
              <w:t>36～40岁</w:t>
            </w:r>
          </w:p>
        </w:tc>
        <w:tc>
          <w:tcPr>
            <w:tcW w:w="322" w:type="pct"/>
            <w:vAlign w:val="center"/>
          </w:tcPr>
          <w:p w14:paraId="494C0C31">
            <w:pPr>
              <w:pStyle w:val="12"/>
              <w:jc w:val="center"/>
              <w:rPr>
                <w:rFonts w:ascii="宋体" w:hAnsi="宋体"/>
                <w:b/>
              </w:rPr>
            </w:pPr>
            <w:r>
              <w:rPr>
                <w:rFonts w:hint="eastAsia" w:ascii="宋体" w:hAnsi="宋体"/>
                <w:b/>
              </w:rPr>
              <w:t>41～45岁</w:t>
            </w:r>
          </w:p>
        </w:tc>
        <w:tc>
          <w:tcPr>
            <w:tcW w:w="323" w:type="pct"/>
            <w:vAlign w:val="center"/>
          </w:tcPr>
          <w:p w14:paraId="55F11433">
            <w:pPr>
              <w:pStyle w:val="12"/>
              <w:jc w:val="center"/>
              <w:rPr>
                <w:rFonts w:ascii="宋体" w:hAnsi="宋体"/>
                <w:b/>
              </w:rPr>
            </w:pPr>
            <w:r>
              <w:rPr>
                <w:rFonts w:hint="eastAsia" w:ascii="宋体" w:hAnsi="宋体"/>
                <w:b/>
              </w:rPr>
              <w:t>46～50岁</w:t>
            </w:r>
          </w:p>
        </w:tc>
        <w:tc>
          <w:tcPr>
            <w:tcW w:w="322" w:type="pct"/>
            <w:vAlign w:val="center"/>
          </w:tcPr>
          <w:p w14:paraId="77AC170A">
            <w:pPr>
              <w:pStyle w:val="12"/>
              <w:jc w:val="center"/>
              <w:rPr>
                <w:rFonts w:ascii="宋体" w:hAnsi="宋体"/>
                <w:b/>
              </w:rPr>
            </w:pPr>
            <w:r>
              <w:rPr>
                <w:rFonts w:hint="eastAsia" w:ascii="宋体" w:hAnsi="宋体"/>
                <w:b/>
              </w:rPr>
              <w:t>51～54岁</w:t>
            </w:r>
          </w:p>
        </w:tc>
        <w:tc>
          <w:tcPr>
            <w:tcW w:w="323" w:type="pct"/>
            <w:vAlign w:val="center"/>
          </w:tcPr>
          <w:p w14:paraId="380DE5AE">
            <w:pPr>
              <w:pStyle w:val="12"/>
              <w:jc w:val="center"/>
              <w:rPr>
                <w:rFonts w:ascii="宋体" w:hAnsi="宋体"/>
                <w:b/>
              </w:rPr>
            </w:pPr>
            <w:r>
              <w:rPr>
                <w:rFonts w:hint="eastAsia" w:ascii="宋体" w:hAnsi="宋体"/>
                <w:b/>
              </w:rPr>
              <w:t>55～60岁</w:t>
            </w:r>
          </w:p>
        </w:tc>
      </w:tr>
      <w:tr w14:paraId="545483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c>
          <w:tcPr>
            <w:tcW w:w="256" w:type="pct"/>
            <w:vAlign w:val="center"/>
          </w:tcPr>
          <w:p w14:paraId="40BAE698">
            <w:pPr>
              <w:pStyle w:val="12"/>
              <w:jc w:val="center"/>
              <w:rPr>
                <w:rFonts w:ascii="宋体" w:hAnsi="宋体"/>
              </w:rPr>
            </w:pPr>
            <w:r>
              <w:rPr>
                <w:rFonts w:ascii="宋体" w:hAnsi="宋体"/>
              </w:rPr>
              <w:t>913</w:t>
            </w:r>
          </w:p>
        </w:tc>
        <w:tc>
          <w:tcPr>
            <w:tcW w:w="256" w:type="pct"/>
            <w:vAlign w:val="center"/>
          </w:tcPr>
          <w:p w14:paraId="41DF54C9">
            <w:pPr>
              <w:pStyle w:val="12"/>
              <w:jc w:val="center"/>
              <w:rPr>
                <w:rFonts w:ascii="宋体" w:hAnsi="宋体"/>
              </w:rPr>
            </w:pPr>
            <w:r>
              <w:rPr>
                <w:rFonts w:ascii="宋体" w:hAnsi="宋体"/>
              </w:rPr>
              <w:t>721</w:t>
            </w:r>
          </w:p>
        </w:tc>
        <w:tc>
          <w:tcPr>
            <w:tcW w:w="256" w:type="pct"/>
            <w:vAlign w:val="center"/>
          </w:tcPr>
          <w:p w14:paraId="4E1888F3">
            <w:pPr>
              <w:pStyle w:val="12"/>
              <w:jc w:val="center"/>
              <w:rPr>
                <w:rFonts w:ascii="宋体" w:hAnsi="宋体"/>
              </w:rPr>
            </w:pPr>
            <w:r>
              <w:rPr>
                <w:rFonts w:ascii="宋体" w:hAnsi="宋体"/>
              </w:rPr>
              <w:t>192</w:t>
            </w:r>
          </w:p>
        </w:tc>
        <w:tc>
          <w:tcPr>
            <w:tcW w:w="256" w:type="pct"/>
            <w:vAlign w:val="center"/>
          </w:tcPr>
          <w:p w14:paraId="5C58B64B">
            <w:pPr>
              <w:pStyle w:val="12"/>
              <w:jc w:val="center"/>
              <w:rPr>
                <w:rFonts w:ascii="宋体" w:hAnsi="宋体"/>
              </w:rPr>
            </w:pPr>
            <w:r>
              <w:rPr>
                <w:rFonts w:ascii="宋体" w:hAnsi="宋体"/>
              </w:rPr>
              <w:t>603</w:t>
            </w:r>
          </w:p>
        </w:tc>
        <w:tc>
          <w:tcPr>
            <w:tcW w:w="209" w:type="pct"/>
            <w:vAlign w:val="center"/>
          </w:tcPr>
          <w:p w14:paraId="760EEEB5">
            <w:pPr>
              <w:pStyle w:val="12"/>
              <w:jc w:val="center"/>
              <w:rPr>
                <w:rFonts w:ascii="宋体" w:hAnsi="宋体"/>
              </w:rPr>
            </w:pPr>
            <w:r>
              <w:rPr>
                <w:rFonts w:ascii="宋体" w:hAnsi="宋体"/>
              </w:rPr>
              <w:t>6</w:t>
            </w:r>
          </w:p>
        </w:tc>
        <w:tc>
          <w:tcPr>
            <w:tcW w:w="209" w:type="pct"/>
            <w:vAlign w:val="center"/>
          </w:tcPr>
          <w:p w14:paraId="3FF1BF72">
            <w:pPr>
              <w:pStyle w:val="12"/>
              <w:jc w:val="center"/>
              <w:rPr>
                <w:rFonts w:ascii="宋体" w:hAnsi="宋体"/>
              </w:rPr>
            </w:pPr>
            <w:r>
              <w:rPr>
                <w:rFonts w:ascii="宋体" w:hAnsi="宋体"/>
              </w:rPr>
              <w:t>1</w:t>
            </w:r>
          </w:p>
        </w:tc>
        <w:tc>
          <w:tcPr>
            <w:tcW w:w="209" w:type="pct"/>
            <w:vAlign w:val="center"/>
          </w:tcPr>
          <w:p w14:paraId="2D04E236">
            <w:pPr>
              <w:pStyle w:val="12"/>
              <w:jc w:val="center"/>
              <w:rPr>
                <w:rFonts w:ascii="宋体" w:hAnsi="宋体"/>
              </w:rPr>
            </w:pPr>
            <w:r>
              <w:rPr>
                <w:rFonts w:ascii="宋体" w:hAnsi="宋体"/>
              </w:rPr>
              <w:t>42</w:t>
            </w:r>
          </w:p>
        </w:tc>
        <w:tc>
          <w:tcPr>
            <w:tcW w:w="256" w:type="pct"/>
            <w:vAlign w:val="center"/>
          </w:tcPr>
          <w:p w14:paraId="58B8DF8F">
            <w:pPr>
              <w:pStyle w:val="12"/>
              <w:jc w:val="center"/>
              <w:rPr>
                <w:rFonts w:ascii="宋体" w:hAnsi="宋体"/>
              </w:rPr>
            </w:pPr>
            <w:r>
              <w:rPr>
                <w:rFonts w:ascii="宋体" w:hAnsi="宋体"/>
              </w:rPr>
              <w:t>384</w:t>
            </w:r>
          </w:p>
        </w:tc>
        <w:tc>
          <w:tcPr>
            <w:tcW w:w="256" w:type="pct"/>
            <w:vAlign w:val="center"/>
          </w:tcPr>
          <w:p w14:paraId="66760F48">
            <w:pPr>
              <w:pStyle w:val="12"/>
              <w:jc w:val="center"/>
              <w:rPr>
                <w:rFonts w:ascii="宋体" w:hAnsi="宋体"/>
              </w:rPr>
            </w:pPr>
            <w:r>
              <w:rPr>
                <w:rFonts w:ascii="宋体" w:hAnsi="宋体"/>
              </w:rPr>
              <w:t>305</w:t>
            </w:r>
          </w:p>
        </w:tc>
        <w:tc>
          <w:tcPr>
            <w:tcW w:w="256" w:type="pct"/>
            <w:vAlign w:val="center"/>
          </w:tcPr>
          <w:p w14:paraId="0428E70A">
            <w:pPr>
              <w:pStyle w:val="12"/>
              <w:jc w:val="center"/>
              <w:rPr>
                <w:rFonts w:ascii="宋体" w:hAnsi="宋体"/>
              </w:rPr>
            </w:pPr>
            <w:r>
              <w:rPr>
                <w:rFonts w:ascii="宋体" w:hAnsi="宋体"/>
              </w:rPr>
              <w:t>148</w:t>
            </w:r>
          </w:p>
        </w:tc>
        <w:tc>
          <w:tcPr>
            <w:tcW w:w="326" w:type="pct"/>
            <w:vAlign w:val="center"/>
          </w:tcPr>
          <w:p w14:paraId="36761C08">
            <w:pPr>
              <w:pStyle w:val="12"/>
              <w:jc w:val="center"/>
              <w:rPr>
                <w:rFonts w:ascii="宋体" w:hAnsi="宋体"/>
              </w:rPr>
            </w:pPr>
            <w:r>
              <w:rPr>
                <w:rFonts w:ascii="宋体" w:hAnsi="宋体"/>
              </w:rPr>
              <w:t>33</w:t>
            </w:r>
          </w:p>
        </w:tc>
        <w:tc>
          <w:tcPr>
            <w:tcW w:w="322" w:type="pct"/>
            <w:vAlign w:val="center"/>
          </w:tcPr>
          <w:p w14:paraId="673928C5">
            <w:pPr>
              <w:pStyle w:val="12"/>
              <w:jc w:val="center"/>
              <w:rPr>
                <w:rFonts w:ascii="宋体" w:hAnsi="宋体"/>
              </w:rPr>
            </w:pPr>
            <w:r>
              <w:rPr>
                <w:rFonts w:ascii="宋体" w:hAnsi="宋体"/>
              </w:rPr>
              <w:t>220</w:t>
            </w:r>
          </w:p>
        </w:tc>
        <w:tc>
          <w:tcPr>
            <w:tcW w:w="322" w:type="pct"/>
            <w:vAlign w:val="center"/>
          </w:tcPr>
          <w:p w14:paraId="6A590B55">
            <w:pPr>
              <w:pStyle w:val="12"/>
              <w:jc w:val="center"/>
              <w:rPr>
                <w:rFonts w:ascii="宋体" w:hAnsi="宋体"/>
              </w:rPr>
            </w:pPr>
            <w:r>
              <w:rPr>
                <w:rFonts w:ascii="宋体" w:hAnsi="宋体"/>
              </w:rPr>
              <w:t>178</w:t>
            </w:r>
          </w:p>
        </w:tc>
        <w:tc>
          <w:tcPr>
            <w:tcW w:w="323" w:type="pct"/>
            <w:vAlign w:val="center"/>
          </w:tcPr>
          <w:p w14:paraId="680FFBB2">
            <w:pPr>
              <w:pStyle w:val="12"/>
              <w:jc w:val="center"/>
              <w:rPr>
                <w:rFonts w:ascii="宋体" w:hAnsi="宋体"/>
              </w:rPr>
            </w:pPr>
            <w:r>
              <w:rPr>
                <w:rFonts w:ascii="宋体" w:hAnsi="宋体"/>
              </w:rPr>
              <w:t>166</w:t>
            </w:r>
          </w:p>
        </w:tc>
        <w:tc>
          <w:tcPr>
            <w:tcW w:w="322" w:type="pct"/>
            <w:vAlign w:val="center"/>
          </w:tcPr>
          <w:p w14:paraId="4CE80FD8">
            <w:pPr>
              <w:pStyle w:val="12"/>
              <w:jc w:val="center"/>
              <w:rPr>
                <w:rFonts w:ascii="宋体" w:hAnsi="宋体"/>
              </w:rPr>
            </w:pPr>
            <w:r>
              <w:rPr>
                <w:rFonts w:ascii="宋体" w:hAnsi="宋体"/>
              </w:rPr>
              <w:t>166</w:t>
            </w:r>
          </w:p>
        </w:tc>
        <w:tc>
          <w:tcPr>
            <w:tcW w:w="323" w:type="pct"/>
            <w:vAlign w:val="center"/>
          </w:tcPr>
          <w:p w14:paraId="4B05766A">
            <w:pPr>
              <w:pStyle w:val="12"/>
              <w:jc w:val="center"/>
              <w:rPr>
                <w:rFonts w:ascii="宋体" w:hAnsi="宋体"/>
              </w:rPr>
            </w:pPr>
            <w:r>
              <w:rPr>
                <w:rFonts w:ascii="宋体" w:hAnsi="宋体"/>
              </w:rPr>
              <w:t>92</w:t>
            </w:r>
          </w:p>
        </w:tc>
        <w:tc>
          <w:tcPr>
            <w:tcW w:w="322" w:type="pct"/>
            <w:vAlign w:val="center"/>
          </w:tcPr>
          <w:p w14:paraId="215477B3">
            <w:pPr>
              <w:pStyle w:val="12"/>
              <w:jc w:val="center"/>
              <w:rPr>
                <w:rFonts w:ascii="宋体" w:hAnsi="宋体"/>
              </w:rPr>
            </w:pPr>
            <w:r>
              <w:rPr>
                <w:rFonts w:ascii="宋体" w:hAnsi="宋体"/>
              </w:rPr>
              <w:t>46</w:t>
            </w:r>
          </w:p>
        </w:tc>
        <w:tc>
          <w:tcPr>
            <w:tcW w:w="323" w:type="pct"/>
            <w:vAlign w:val="center"/>
          </w:tcPr>
          <w:p w14:paraId="63507EC0">
            <w:pPr>
              <w:pStyle w:val="12"/>
              <w:jc w:val="center"/>
              <w:rPr>
                <w:rFonts w:ascii="宋体" w:hAnsi="宋体"/>
              </w:rPr>
            </w:pPr>
            <w:r>
              <w:rPr>
                <w:rFonts w:ascii="宋体" w:hAnsi="宋体"/>
              </w:rPr>
              <w:t>45</w:t>
            </w:r>
          </w:p>
        </w:tc>
      </w:tr>
    </w:tbl>
    <w:p w14:paraId="4CD3E097">
      <w:pPr>
        <w:ind w:firstLine="420"/>
        <w:rPr>
          <w:rFonts w:ascii="宋体" w:hAnsi="宋体" w:cs="宋体"/>
        </w:rPr>
      </w:pPr>
      <w:r>
        <w:rPr>
          <w:rFonts w:hint="eastAsia" w:ascii="宋体" w:hAnsi="宋体" w:cs="宋体"/>
        </w:rPr>
        <w:t>国家公务员完成过渡后，素质有所提高。在职人数因有部分人提前退休或离岗退养而有所减少。2000年全市在职公务员1280人，2004年全市在职公务员1237人，其结构详见表6-13</w:t>
      </w:r>
    </w:p>
    <w:p w14:paraId="4978A73D">
      <w:pPr>
        <w:ind w:firstLine="422"/>
        <w:jc w:val="center"/>
        <w:rPr>
          <w:rFonts w:ascii="宋体" w:hAnsi="宋体" w:cs="宋体"/>
          <w:b/>
          <w:bCs/>
        </w:rPr>
      </w:pPr>
      <w:r>
        <w:rPr>
          <w:rFonts w:hint="eastAsia" w:ascii="宋体" w:hAnsi="宋体" w:cs="宋体"/>
          <w:b/>
          <w:bCs/>
        </w:rPr>
        <w:t>南雄市国家公务员基本情况</w:t>
      </w:r>
    </w:p>
    <w:p w14:paraId="3ACA4B72">
      <w:pPr>
        <w:ind w:firstLine="0" w:firstLineChars="0"/>
        <w:rPr>
          <w:rFonts w:ascii="宋体" w:hAnsi="宋体" w:cs="宋体"/>
          <w:b/>
          <w:bCs/>
        </w:rPr>
      </w:pPr>
      <w:r>
        <w:rPr>
          <w:rFonts w:hint="eastAsia" w:ascii="宋体" w:hAnsi="宋体" w:cs="宋体"/>
          <w:b/>
          <w:bCs/>
        </w:rPr>
        <w:t>表6-13</w:t>
      </w:r>
    </w:p>
    <w:p w14:paraId="5B4D3CC7">
      <w:pPr>
        <w:ind w:firstLine="422"/>
        <w:jc w:val="right"/>
        <w:rPr>
          <w:rFonts w:ascii="宋体" w:hAnsi="宋体" w:cs="宋体"/>
          <w:b/>
          <w:bCs/>
        </w:rPr>
      </w:pPr>
      <w:r>
        <w:rPr>
          <w:rFonts w:hint="eastAsia" w:ascii="宋体" w:hAnsi="宋体" w:cs="宋体"/>
          <w:b/>
          <w:bCs/>
        </w:rPr>
        <w:t>单位：人</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492"/>
        <w:gridCol w:w="492"/>
        <w:gridCol w:w="492"/>
        <w:gridCol w:w="398"/>
        <w:gridCol w:w="381"/>
        <w:gridCol w:w="492"/>
        <w:gridCol w:w="410"/>
        <w:gridCol w:w="451"/>
        <w:gridCol w:w="451"/>
        <w:gridCol w:w="451"/>
        <w:gridCol w:w="451"/>
        <w:gridCol w:w="451"/>
        <w:gridCol w:w="451"/>
        <w:gridCol w:w="451"/>
        <w:gridCol w:w="591"/>
        <w:gridCol w:w="591"/>
        <w:gridCol w:w="591"/>
        <w:gridCol w:w="591"/>
        <w:gridCol w:w="591"/>
        <w:gridCol w:w="591"/>
      </w:tblGrid>
      <w:tr w14:paraId="5836FC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c>
          <w:tcPr>
            <w:tcW w:w="250" w:type="pct"/>
            <w:vMerge w:val="restart"/>
            <w:tcBorders>
              <w:tl2br w:val="single" w:color="auto" w:sz="4" w:space="0"/>
            </w:tcBorders>
            <w:vAlign w:val="center"/>
          </w:tcPr>
          <w:p w14:paraId="4709779D">
            <w:pPr>
              <w:pStyle w:val="12"/>
              <w:jc w:val="center"/>
              <w:rPr>
                <w:rFonts w:ascii="宋体" w:hAnsi="宋体"/>
                <w:b/>
                <w:w w:val="90"/>
              </w:rPr>
            </w:pPr>
            <w:r>
              <w:rPr>
                <w:rFonts w:hint="eastAsia" w:ascii="宋体" w:hAnsi="宋体"/>
                <w:b/>
                <w:w w:val="90"/>
              </w:rPr>
              <w:t>项目年份</w:t>
            </w:r>
          </w:p>
        </w:tc>
        <w:tc>
          <w:tcPr>
            <w:tcW w:w="250" w:type="pct"/>
            <w:vMerge w:val="restart"/>
            <w:vAlign w:val="center"/>
          </w:tcPr>
          <w:p w14:paraId="7F440281">
            <w:pPr>
              <w:pStyle w:val="12"/>
              <w:jc w:val="center"/>
              <w:rPr>
                <w:rFonts w:ascii="宋体" w:hAnsi="宋体"/>
                <w:b/>
                <w:w w:val="90"/>
              </w:rPr>
            </w:pPr>
            <w:r>
              <w:rPr>
                <w:rFonts w:hint="eastAsia" w:ascii="宋体" w:hAnsi="宋体"/>
                <w:b/>
                <w:w w:val="90"/>
              </w:rPr>
              <w:t>公务员总数</w:t>
            </w:r>
          </w:p>
        </w:tc>
        <w:tc>
          <w:tcPr>
            <w:tcW w:w="500" w:type="pct"/>
            <w:gridSpan w:val="2"/>
            <w:vAlign w:val="center"/>
          </w:tcPr>
          <w:p w14:paraId="34AB0453">
            <w:pPr>
              <w:pStyle w:val="12"/>
              <w:jc w:val="center"/>
              <w:rPr>
                <w:rFonts w:ascii="宋体" w:hAnsi="宋体"/>
                <w:b/>
                <w:w w:val="90"/>
              </w:rPr>
            </w:pPr>
            <w:r>
              <w:rPr>
                <w:rFonts w:hint="eastAsia" w:ascii="宋体" w:hAnsi="宋体"/>
                <w:b/>
                <w:w w:val="90"/>
              </w:rPr>
              <w:t>性别</w:t>
            </w:r>
          </w:p>
        </w:tc>
        <w:tc>
          <w:tcPr>
            <w:tcW w:w="750" w:type="pct"/>
            <w:gridSpan w:val="3"/>
            <w:vAlign w:val="center"/>
          </w:tcPr>
          <w:p w14:paraId="778377BE">
            <w:pPr>
              <w:pStyle w:val="12"/>
              <w:jc w:val="center"/>
              <w:rPr>
                <w:rFonts w:ascii="宋体" w:hAnsi="宋体"/>
                <w:b/>
                <w:w w:val="90"/>
              </w:rPr>
            </w:pPr>
            <w:r>
              <w:rPr>
                <w:rFonts w:hint="eastAsia" w:ascii="宋体" w:hAnsi="宋体"/>
                <w:b/>
                <w:w w:val="90"/>
              </w:rPr>
              <w:t>民族党派</w:t>
            </w:r>
          </w:p>
        </w:tc>
        <w:tc>
          <w:tcPr>
            <w:tcW w:w="1499" w:type="pct"/>
            <w:gridSpan w:val="6"/>
            <w:vAlign w:val="center"/>
          </w:tcPr>
          <w:p w14:paraId="6C31A0FB">
            <w:pPr>
              <w:pStyle w:val="12"/>
              <w:jc w:val="center"/>
              <w:rPr>
                <w:rFonts w:ascii="宋体" w:hAnsi="宋体"/>
                <w:b/>
                <w:w w:val="90"/>
              </w:rPr>
            </w:pPr>
            <w:r>
              <w:rPr>
                <w:rFonts w:hint="eastAsia" w:ascii="宋体" w:hAnsi="宋体"/>
                <w:b/>
                <w:w w:val="90"/>
              </w:rPr>
              <w:t>学历</w:t>
            </w:r>
          </w:p>
        </w:tc>
        <w:tc>
          <w:tcPr>
            <w:tcW w:w="1752" w:type="pct"/>
            <w:gridSpan w:val="7"/>
            <w:vAlign w:val="center"/>
          </w:tcPr>
          <w:p w14:paraId="02A2B593">
            <w:pPr>
              <w:pStyle w:val="12"/>
              <w:jc w:val="center"/>
              <w:rPr>
                <w:rFonts w:ascii="宋体" w:hAnsi="宋体"/>
                <w:b/>
                <w:w w:val="90"/>
              </w:rPr>
            </w:pPr>
            <w:r>
              <w:rPr>
                <w:rFonts w:hint="eastAsia" w:ascii="宋体" w:hAnsi="宋体"/>
                <w:b/>
                <w:w w:val="90"/>
              </w:rPr>
              <w:t>年龄</w:t>
            </w:r>
          </w:p>
        </w:tc>
      </w:tr>
      <w:tr w14:paraId="3A630E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c>
          <w:tcPr>
            <w:tcW w:w="250" w:type="pct"/>
            <w:vMerge w:val="continue"/>
            <w:tcBorders>
              <w:tl2br w:val="single" w:color="auto" w:sz="4" w:space="0"/>
            </w:tcBorders>
            <w:vAlign w:val="center"/>
          </w:tcPr>
          <w:p w14:paraId="31B54F88">
            <w:pPr>
              <w:pStyle w:val="12"/>
              <w:jc w:val="center"/>
              <w:rPr>
                <w:rFonts w:ascii="宋体" w:hAnsi="宋体"/>
                <w:b/>
                <w:w w:val="90"/>
              </w:rPr>
            </w:pPr>
          </w:p>
        </w:tc>
        <w:tc>
          <w:tcPr>
            <w:tcW w:w="250" w:type="pct"/>
            <w:vMerge w:val="continue"/>
            <w:vAlign w:val="center"/>
          </w:tcPr>
          <w:p w14:paraId="142570A0">
            <w:pPr>
              <w:pStyle w:val="12"/>
              <w:jc w:val="center"/>
              <w:rPr>
                <w:rFonts w:ascii="宋体" w:hAnsi="宋体"/>
                <w:b/>
                <w:w w:val="90"/>
              </w:rPr>
            </w:pPr>
          </w:p>
        </w:tc>
        <w:tc>
          <w:tcPr>
            <w:tcW w:w="250" w:type="pct"/>
            <w:vAlign w:val="center"/>
          </w:tcPr>
          <w:p w14:paraId="62F19506">
            <w:pPr>
              <w:pStyle w:val="12"/>
              <w:jc w:val="center"/>
              <w:rPr>
                <w:rFonts w:ascii="宋体" w:hAnsi="宋体"/>
                <w:b/>
                <w:w w:val="90"/>
              </w:rPr>
            </w:pPr>
            <w:r>
              <w:rPr>
                <w:rFonts w:hint="eastAsia" w:ascii="宋体" w:hAnsi="宋体"/>
                <w:b/>
                <w:w w:val="90"/>
              </w:rPr>
              <w:t>男</w:t>
            </w:r>
          </w:p>
        </w:tc>
        <w:tc>
          <w:tcPr>
            <w:tcW w:w="250" w:type="pct"/>
            <w:vAlign w:val="center"/>
          </w:tcPr>
          <w:p w14:paraId="0D71E7C9">
            <w:pPr>
              <w:pStyle w:val="12"/>
              <w:jc w:val="center"/>
              <w:rPr>
                <w:rFonts w:ascii="宋体" w:hAnsi="宋体"/>
                <w:b/>
                <w:w w:val="90"/>
              </w:rPr>
            </w:pPr>
            <w:r>
              <w:rPr>
                <w:rFonts w:hint="eastAsia" w:ascii="宋体" w:hAnsi="宋体"/>
                <w:b/>
                <w:w w:val="90"/>
              </w:rPr>
              <w:t>女</w:t>
            </w:r>
          </w:p>
        </w:tc>
        <w:tc>
          <w:tcPr>
            <w:tcW w:w="250" w:type="pct"/>
            <w:vAlign w:val="center"/>
          </w:tcPr>
          <w:p w14:paraId="2F2E25CA">
            <w:pPr>
              <w:pStyle w:val="12"/>
              <w:jc w:val="center"/>
              <w:rPr>
                <w:rFonts w:ascii="宋体" w:hAnsi="宋体"/>
                <w:b/>
                <w:w w:val="90"/>
              </w:rPr>
            </w:pPr>
            <w:r>
              <w:rPr>
                <w:rFonts w:hint="eastAsia" w:ascii="宋体" w:hAnsi="宋体"/>
                <w:b/>
                <w:w w:val="90"/>
              </w:rPr>
              <w:t>少数民族</w:t>
            </w:r>
          </w:p>
        </w:tc>
        <w:tc>
          <w:tcPr>
            <w:tcW w:w="250" w:type="pct"/>
            <w:vAlign w:val="center"/>
          </w:tcPr>
          <w:p w14:paraId="48AE0F5F">
            <w:pPr>
              <w:pStyle w:val="12"/>
              <w:jc w:val="center"/>
              <w:rPr>
                <w:rFonts w:ascii="宋体" w:hAnsi="宋体"/>
                <w:b/>
                <w:w w:val="90"/>
              </w:rPr>
            </w:pPr>
            <w:r>
              <w:rPr>
                <w:rFonts w:hint="eastAsia" w:ascii="宋体" w:hAnsi="宋体"/>
                <w:b/>
                <w:w w:val="90"/>
              </w:rPr>
              <w:t>共产党员</w:t>
            </w:r>
          </w:p>
        </w:tc>
        <w:tc>
          <w:tcPr>
            <w:tcW w:w="250" w:type="pct"/>
            <w:vAlign w:val="center"/>
          </w:tcPr>
          <w:p w14:paraId="1177C71F">
            <w:pPr>
              <w:pStyle w:val="12"/>
              <w:jc w:val="center"/>
              <w:rPr>
                <w:rFonts w:ascii="宋体" w:hAnsi="宋体"/>
                <w:b/>
                <w:w w:val="90"/>
              </w:rPr>
            </w:pPr>
            <w:r>
              <w:rPr>
                <w:rFonts w:hint="eastAsia" w:ascii="宋体" w:hAnsi="宋体"/>
                <w:b/>
                <w:w w:val="90"/>
              </w:rPr>
              <w:t>民主党派</w:t>
            </w:r>
          </w:p>
        </w:tc>
        <w:tc>
          <w:tcPr>
            <w:tcW w:w="250" w:type="pct"/>
            <w:vAlign w:val="center"/>
          </w:tcPr>
          <w:p w14:paraId="1365FED8">
            <w:pPr>
              <w:pStyle w:val="12"/>
              <w:jc w:val="center"/>
              <w:rPr>
                <w:rFonts w:ascii="宋体" w:hAnsi="宋体"/>
                <w:b/>
                <w:w w:val="90"/>
              </w:rPr>
            </w:pPr>
            <w:r>
              <w:rPr>
                <w:rFonts w:hint="eastAsia" w:ascii="宋体" w:hAnsi="宋体"/>
                <w:b/>
                <w:w w:val="90"/>
              </w:rPr>
              <w:t>研究生</w:t>
            </w:r>
          </w:p>
        </w:tc>
        <w:tc>
          <w:tcPr>
            <w:tcW w:w="250" w:type="pct"/>
            <w:vAlign w:val="center"/>
          </w:tcPr>
          <w:p w14:paraId="11DBF075">
            <w:pPr>
              <w:pStyle w:val="12"/>
              <w:jc w:val="center"/>
              <w:rPr>
                <w:rFonts w:ascii="宋体" w:hAnsi="宋体"/>
                <w:b/>
                <w:w w:val="90"/>
              </w:rPr>
            </w:pPr>
            <w:r>
              <w:rPr>
                <w:rFonts w:hint="eastAsia" w:ascii="宋体" w:hAnsi="宋体"/>
                <w:b/>
                <w:w w:val="90"/>
              </w:rPr>
              <w:t>本科</w:t>
            </w:r>
          </w:p>
        </w:tc>
        <w:tc>
          <w:tcPr>
            <w:tcW w:w="250" w:type="pct"/>
            <w:vAlign w:val="center"/>
          </w:tcPr>
          <w:p w14:paraId="31B30C10">
            <w:pPr>
              <w:pStyle w:val="12"/>
              <w:jc w:val="center"/>
              <w:rPr>
                <w:rFonts w:ascii="宋体" w:hAnsi="宋体"/>
                <w:b/>
                <w:w w:val="90"/>
              </w:rPr>
            </w:pPr>
            <w:r>
              <w:rPr>
                <w:rFonts w:hint="eastAsia" w:ascii="宋体" w:hAnsi="宋体"/>
                <w:b/>
                <w:w w:val="90"/>
              </w:rPr>
              <w:t>专科</w:t>
            </w:r>
          </w:p>
        </w:tc>
        <w:tc>
          <w:tcPr>
            <w:tcW w:w="250" w:type="pct"/>
            <w:vAlign w:val="center"/>
          </w:tcPr>
          <w:p w14:paraId="297024C1">
            <w:pPr>
              <w:pStyle w:val="12"/>
              <w:jc w:val="center"/>
              <w:rPr>
                <w:rFonts w:ascii="宋体" w:hAnsi="宋体"/>
                <w:b/>
                <w:w w:val="90"/>
              </w:rPr>
            </w:pPr>
            <w:r>
              <w:rPr>
                <w:rFonts w:hint="eastAsia" w:ascii="宋体" w:hAnsi="宋体"/>
                <w:b/>
                <w:w w:val="90"/>
              </w:rPr>
              <w:t>中专</w:t>
            </w:r>
          </w:p>
        </w:tc>
        <w:tc>
          <w:tcPr>
            <w:tcW w:w="250" w:type="pct"/>
            <w:vAlign w:val="center"/>
          </w:tcPr>
          <w:p w14:paraId="476DC903">
            <w:pPr>
              <w:pStyle w:val="12"/>
              <w:jc w:val="center"/>
              <w:rPr>
                <w:rFonts w:ascii="宋体" w:hAnsi="宋体"/>
                <w:b/>
                <w:w w:val="90"/>
              </w:rPr>
            </w:pPr>
            <w:r>
              <w:rPr>
                <w:rFonts w:hint="eastAsia" w:ascii="宋体" w:hAnsi="宋体"/>
                <w:b/>
                <w:w w:val="90"/>
              </w:rPr>
              <w:t>高中</w:t>
            </w:r>
          </w:p>
        </w:tc>
        <w:tc>
          <w:tcPr>
            <w:tcW w:w="250" w:type="pct"/>
            <w:vAlign w:val="center"/>
          </w:tcPr>
          <w:p w14:paraId="6B8D8C3D">
            <w:pPr>
              <w:pStyle w:val="12"/>
              <w:jc w:val="center"/>
              <w:rPr>
                <w:rFonts w:ascii="宋体" w:hAnsi="宋体"/>
                <w:b/>
                <w:w w:val="90"/>
              </w:rPr>
            </w:pPr>
            <w:r>
              <w:rPr>
                <w:rFonts w:hint="eastAsia" w:ascii="宋体" w:hAnsi="宋体"/>
                <w:b/>
                <w:w w:val="90"/>
              </w:rPr>
              <w:t>初中以下</w:t>
            </w:r>
          </w:p>
        </w:tc>
        <w:tc>
          <w:tcPr>
            <w:tcW w:w="250" w:type="pct"/>
            <w:vAlign w:val="center"/>
          </w:tcPr>
          <w:p w14:paraId="40F4C5C9">
            <w:pPr>
              <w:pStyle w:val="12"/>
              <w:jc w:val="center"/>
              <w:rPr>
                <w:rFonts w:ascii="宋体" w:hAnsi="宋体"/>
                <w:b/>
                <w:w w:val="90"/>
              </w:rPr>
            </w:pPr>
            <w:r>
              <w:rPr>
                <w:rFonts w:hint="eastAsia" w:ascii="宋体" w:hAnsi="宋体"/>
                <w:b/>
                <w:w w:val="90"/>
              </w:rPr>
              <w:t>30岁以下</w:t>
            </w:r>
          </w:p>
        </w:tc>
        <w:tc>
          <w:tcPr>
            <w:tcW w:w="250" w:type="pct"/>
            <w:vAlign w:val="center"/>
          </w:tcPr>
          <w:p w14:paraId="63CC5688">
            <w:pPr>
              <w:pStyle w:val="12"/>
              <w:jc w:val="center"/>
              <w:rPr>
                <w:rFonts w:ascii="宋体" w:hAnsi="宋体"/>
                <w:b/>
                <w:w w:val="90"/>
              </w:rPr>
            </w:pPr>
            <w:r>
              <w:rPr>
                <w:rFonts w:hint="eastAsia" w:ascii="宋体" w:hAnsi="宋体"/>
                <w:b/>
                <w:w w:val="90"/>
              </w:rPr>
              <w:t>31~35岁</w:t>
            </w:r>
          </w:p>
        </w:tc>
        <w:tc>
          <w:tcPr>
            <w:tcW w:w="250" w:type="pct"/>
            <w:vAlign w:val="center"/>
          </w:tcPr>
          <w:p w14:paraId="097FE261">
            <w:pPr>
              <w:pStyle w:val="12"/>
              <w:jc w:val="center"/>
              <w:rPr>
                <w:rFonts w:ascii="宋体" w:hAnsi="宋体"/>
                <w:b/>
                <w:w w:val="90"/>
              </w:rPr>
            </w:pPr>
            <w:r>
              <w:rPr>
                <w:rFonts w:hint="eastAsia" w:ascii="宋体" w:hAnsi="宋体"/>
                <w:b/>
                <w:w w:val="90"/>
              </w:rPr>
              <w:t>36~40岁</w:t>
            </w:r>
          </w:p>
        </w:tc>
        <w:tc>
          <w:tcPr>
            <w:tcW w:w="250" w:type="pct"/>
            <w:vAlign w:val="center"/>
          </w:tcPr>
          <w:p w14:paraId="58DB61FB">
            <w:pPr>
              <w:pStyle w:val="12"/>
              <w:jc w:val="center"/>
              <w:rPr>
                <w:rFonts w:ascii="宋体" w:hAnsi="宋体"/>
                <w:b/>
                <w:w w:val="90"/>
              </w:rPr>
            </w:pPr>
            <w:r>
              <w:rPr>
                <w:rFonts w:hint="eastAsia" w:ascii="宋体" w:hAnsi="宋体"/>
                <w:b/>
                <w:w w:val="90"/>
              </w:rPr>
              <w:t>41~45岁</w:t>
            </w:r>
          </w:p>
        </w:tc>
        <w:tc>
          <w:tcPr>
            <w:tcW w:w="250" w:type="pct"/>
            <w:vAlign w:val="center"/>
          </w:tcPr>
          <w:p w14:paraId="422E551E">
            <w:pPr>
              <w:pStyle w:val="12"/>
              <w:jc w:val="center"/>
              <w:rPr>
                <w:rFonts w:ascii="宋体" w:hAnsi="宋体"/>
                <w:b/>
                <w:w w:val="90"/>
              </w:rPr>
            </w:pPr>
            <w:r>
              <w:rPr>
                <w:rFonts w:hint="eastAsia" w:ascii="宋体" w:hAnsi="宋体"/>
                <w:b/>
                <w:w w:val="90"/>
              </w:rPr>
              <w:t>46~50岁</w:t>
            </w:r>
          </w:p>
        </w:tc>
        <w:tc>
          <w:tcPr>
            <w:tcW w:w="250" w:type="pct"/>
            <w:vAlign w:val="center"/>
          </w:tcPr>
          <w:p w14:paraId="263D2A0E">
            <w:pPr>
              <w:pStyle w:val="12"/>
              <w:jc w:val="center"/>
              <w:rPr>
                <w:rFonts w:ascii="宋体" w:hAnsi="宋体"/>
                <w:b/>
                <w:w w:val="90"/>
              </w:rPr>
            </w:pPr>
            <w:r>
              <w:rPr>
                <w:rFonts w:hint="eastAsia" w:ascii="宋体" w:hAnsi="宋体"/>
                <w:b/>
                <w:w w:val="90"/>
              </w:rPr>
              <w:t>51~55岁</w:t>
            </w:r>
          </w:p>
        </w:tc>
        <w:tc>
          <w:tcPr>
            <w:tcW w:w="250" w:type="pct"/>
            <w:vAlign w:val="center"/>
          </w:tcPr>
          <w:p w14:paraId="3FEC744A">
            <w:pPr>
              <w:pStyle w:val="12"/>
              <w:jc w:val="center"/>
              <w:rPr>
                <w:rFonts w:ascii="宋体" w:hAnsi="宋体"/>
                <w:b/>
                <w:w w:val="90"/>
              </w:rPr>
            </w:pPr>
            <w:r>
              <w:rPr>
                <w:rFonts w:hint="eastAsia" w:ascii="宋体" w:hAnsi="宋体"/>
                <w:b/>
                <w:w w:val="90"/>
              </w:rPr>
              <w:t>56~60岁</w:t>
            </w:r>
          </w:p>
        </w:tc>
      </w:tr>
      <w:tr w14:paraId="4D3F23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c>
          <w:tcPr>
            <w:tcW w:w="250" w:type="pct"/>
            <w:vAlign w:val="center"/>
          </w:tcPr>
          <w:p w14:paraId="5BADCCCD">
            <w:pPr>
              <w:pStyle w:val="12"/>
              <w:jc w:val="center"/>
              <w:rPr>
                <w:rFonts w:ascii="宋体" w:hAnsi="宋体"/>
                <w:w w:val="90"/>
              </w:rPr>
            </w:pPr>
            <w:r>
              <w:rPr>
                <w:rFonts w:ascii="宋体" w:hAnsi="宋体"/>
                <w:w w:val="90"/>
              </w:rPr>
              <w:t>2000</w:t>
            </w:r>
          </w:p>
        </w:tc>
        <w:tc>
          <w:tcPr>
            <w:tcW w:w="250" w:type="pct"/>
            <w:vAlign w:val="center"/>
          </w:tcPr>
          <w:p w14:paraId="0719A6F7">
            <w:pPr>
              <w:pStyle w:val="12"/>
              <w:jc w:val="center"/>
              <w:rPr>
                <w:rFonts w:ascii="宋体" w:hAnsi="宋体"/>
                <w:w w:val="90"/>
              </w:rPr>
            </w:pPr>
            <w:r>
              <w:rPr>
                <w:rFonts w:ascii="宋体" w:hAnsi="宋体"/>
                <w:w w:val="90"/>
              </w:rPr>
              <w:t>1281</w:t>
            </w:r>
          </w:p>
        </w:tc>
        <w:tc>
          <w:tcPr>
            <w:tcW w:w="250" w:type="pct"/>
            <w:vAlign w:val="center"/>
          </w:tcPr>
          <w:p w14:paraId="233AFC9B">
            <w:pPr>
              <w:pStyle w:val="12"/>
              <w:jc w:val="center"/>
              <w:rPr>
                <w:rFonts w:ascii="宋体" w:hAnsi="宋体"/>
                <w:w w:val="90"/>
              </w:rPr>
            </w:pPr>
            <w:r>
              <w:rPr>
                <w:rFonts w:ascii="宋体" w:hAnsi="宋体"/>
                <w:w w:val="90"/>
              </w:rPr>
              <w:t>1087</w:t>
            </w:r>
          </w:p>
        </w:tc>
        <w:tc>
          <w:tcPr>
            <w:tcW w:w="250" w:type="pct"/>
            <w:vAlign w:val="center"/>
          </w:tcPr>
          <w:p w14:paraId="6E43C3C6">
            <w:pPr>
              <w:pStyle w:val="12"/>
              <w:jc w:val="center"/>
              <w:rPr>
                <w:rFonts w:ascii="宋体" w:hAnsi="宋体"/>
                <w:w w:val="90"/>
              </w:rPr>
            </w:pPr>
            <w:r>
              <w:rPr>
                <w:rFonts w:ascii="宋体" w:hAnsi="宋体"/>
                <w:w w:val="90"/>
              </w:rPr>
              <w:t>194</w:t>
            </w:r>
          </w:p>
        </w:tc>
        <w:tc>
          <w:tcPr>
            <w:tcW w:w="250" w:type="pct"/>
            <w:vAlign w:val="center"/>
          </w:tcPr>
          <w:p w14:paraId="307E0E4A">
            <w:pPr>
              <w:pStyle w:val="12"/>
              <w:jc w:val="center"/>
              <w:rPr>
                <w:rFonts w:ascii="宋体" w:hAnsi="宋体"/>
                <w:w w:val="90"/>
              </w:rPr>
            </w:pPr>
            <w:r>
              <w:rPr>
                <w:rFonts w:ascii="宋体" w:hAnsi="宋体"/>
                <w:w w:val="90"/>
              </w:rPr>
              <w:t>24</w:t>
            </w:r>
          </w:p>
        </w:tc>
        <w:tc>
          <w:tcPr>
            <w:tcW w:w="250" w:type="pct"/>
            <w:vAlign w:val="center"/>
          </w:tcPr>
          <w:p w14:paraId="19BA8FE3">
            <w:pPr>
              <w:pStyle w:val="12"/>
              <w:jc w:val="center"/>
              <w:rPr>
                <w:rFonts w:ascii="宋体" w:hAnsi="宋体"/>
                <w:w w:val="90"/>
              </w:rPr>
            </w:pPr>
            <w:r>
              <w:rPr>
                <w:rFonts w:ascii="宋体" w:hAnsi="宋体"/>
                <w:w w:val="90"/>
              </w:rPr>
              <w:t>1008</w:t>
            </w:r>
          </w:p>
        </w:tc>
        <w:tc>
          <w:tcPr>
            <w:tcW w:w="250" w:type="pct"/>
            <w:vAlign w:val="center"/>
          </w:tcPr>
          <w:p w14:paraId="77B8C2E4">
            <w:pPr>
              <w:pStyle w:val="12"/>
              <w:jc w:val="center"/>
              <w:rPr>
                <w:rFonts w:ascii="宋体" w:hAnsi="宋体"/>
                <w:w w:val="90"/>
              </w:rPr>
            </w:pPr>
            <w:r>
              <w:rPr>
                <w:rFonts w:ascii="宋体" w:hAnsi="宋体"/>
                <w:w w:val="90"/>
              </w:rPr>
              <w:t>1</w:t>
            </w:r>
          </w:p>
        </w:tc>
        <w:tc>
          <w:tcPr>
            <w:tcW w:w="250" w:type="pct"/>
            <w:vAlign w:val="center"/>
          </w:tcPr>
          <w:p w14:paraId="34D95EDB">
            <w:pPr>
              <w:pStyle w:val="12"/>
              <w:jc w:val="center"/>
              <w:rPr>
                <w:rFonts w:ascii="宋体" w:hAnsi="宋体"/>
                <w:w w:val="90"/>
              </w:rPr>
            </w:pPr>
            <w:r>
              <w:rPr>
                <w:rFonts w:ascii="宋体" w:hAnsi="宋体"/>
                <w:w w:val="90"/>
              </w:rPr>
              <w:t>8</w:t>
            </w:r>
          </w:p>
        </w:tc>
        <w:tc>
          <w:tcPr>
            <w:tcW w:w="250" w:type="pct"/>
            <w:vAlign w:val="center"/>
          </w:tcPr>
          <w:p w14:paraId="1A9548FF">
            <w:pPr>
              <w:pStyle w:val="12"/>
              <w:jc w:val="center"/>
              <w:rPr>
                <w:rFonts w:ascii="宋体" w:hAnsi="宋体"/>
                <w:w w:val="90"/>
              </w:rPr>
            </w:pPr>
            <w:r>
              <w:rPr>
                <w:rFonts w:ascii="宋体" w:hAnsi="宋体"/>
                <w:w w:val="90"/>
              </w:rPr>
              <w:t>68</w:t>
            </w:r>
          </w:p>
        </w:tc>
        <w:tc>
          <w:tcPr>
            <w:tcW w:w="250" w:type="pct"/>
            <w:vAlign w:val="center"/>
          </w:tcPr>
          <w:p w14:paraId="6421330A">
            <w:pPr>
              <w:pStyle w:val="12"/>
              <w:jc w:val="center"/>
              <w:rPr>
                <w:rFonts w:ascii="宋体" w:hAnsi="宋体"/>
                <w:w w:val="90"/>
              </w:rPr>
            </w:pPr>
            <w:r>
              <w:rPr>
                <w:rFonts w:ascii="宋体" w:hAnsi="宋体"/>
                <w:w w:val="90"/>
              </w:rPr>
              <w:t>566</w:t>
            </w:r>
          </w:p>
        </w:tc>
        <w:tc>
          <w:tcPr>
            <w:tcW w:w="250" w:type="pct"/>
            <w:vAlign w:val="center"/>
          </w:tcPr>
          <w:p w14:paraId="1AD2C6A5">
            <w:pPr>
              <w:pStyle w:val="12"/>
              <w:jc w:val="center"/>
              <w:rPr>
                <w:rFonts w:ascii="宋体" w:hAnsi="宋体"/>
                <w:w w:val="90"/>
              </w:rPr>
            </w:pPr>
            <w:r>
              <w:rPr>
                <w:rFonts w:ascii="宋体" w:hAnsi="宋体"/>
                <w:w w:val="90"/>
              </w:rPr>
              <w:t>310</w:t>
            </w:r>
          </w:p>
        </w:tc>
        <w:tc>
          <w:tcPr>
            <w:tcW w:w="250" w:type="pct"/>
            <w:vAlign w:val="center"/>
          </w:tcPr>
          <w:p w14:paraId="4F255B0F">
            <w:pPr>
              <w:pStyle w:val="12"/>
              <w:jc w:val="center"/>
              <w:rPr>
                <w:rFonts w:ascii="宋体" w:hAnsi="宋体"/>
                <w:w w:val="90"/>
              </w:rPr>
            </w:pPr>
            <w:r>
              <w:rPr>
                <w:rFonts w:ascii="宋体" w:hAnsi="宋体"/>
                <w:w w:val="90"/>
              </w:rPr>
              <w:t>258</w:t>
            </w:r>
          </w:p>
        </w:tc>
        <w:tc>
          <w:tcPr>
            <w:tcW w:w="250" w:type="pct"/>
            <w:vAlign w:val="center"/>
          </w:tcPr>
          <w:p w14:paraId="03D8D4AD">
            <w:pPr>
              <w:pStyle w:val="12"/>
              <w:jc w:val="center"/>
              <w:rPr>
                <w:rFonts w:ascii="宋体" w:hAnsi="宋体"/>
                <w:w w:val="90"/>
              </w:rPr>
            </w:pPr>
            <w:r>
              <w:rPr>
                <w:rFonts w:ascii="宋体" w:hAnsi="宋体"/>
                <w:w w:val="90"/>
              </w:rPr>
              <w:t>72</w:t>
            </w:r>
          </w:p>
        </w:tc>
        <w:tc>
          <w:tcPr>
            <w:tcW w:w="250" w:type="pct"/>
            <w:vAlign w:val="center"/>
          </w:tcPr>
          <w:p w14:paraId="0EA214A4">
            <w:pPr>
              <w:pStyle w:val="12"/>
              <w:jc w:val="center"/>
              <w:rPr>
                <w:rFonts w:ascii="宋体" w:hAnsi="宋体"/>
                <w:w w:val="90"/>
              </w:rPr>
            </w:pPr>
            <w:r>
              <w:rPr>
                <w:rFonts w:ascii="宋体" w:hAnsi="宋体"/>
                <w:w w:val="90"/>
              </w:rPr>
              <w:t>320</w:t>
            </w:r>
          </w:p>
        </w:tc>
        <w:tc>
          <w:tcPr>
            <w:tcW w:w="250" w:type="pct"/>
            <w:vAlign w:val="center"/>
          </w:tcPr>
          <w:p w14:paraId="6517B2CE">
            <w:pPr>
              <w:pStyle w:val="12"/>
              <w:jc w:val="center"/>
              <w:rPr>
                <w:rFonts w:ascii="宋体" w:hAnsi="宋体"/>
                <w:w w:val="90"/>
              </w:rPr>
            </w:pPr>
            <w:r>
              <w:rPr>
                <w:rFonts w:ascii="宋体" w:hAnsi="宋体"/>
                <w:w w:val="90"/>
              </w:rPr>
              <w:t>276</w:t>
            </w:r>
          </w:p>
        </w:tc>
        <w:tc>
          <w:tcPr>
            <w:tcW w:w="250" w:type="pct"/>
            <w:vAlign w:val="center"/>
          </w:tcPr>
          <w:p w14:paraId="7B8FA7BC">
            <w:pPr>
              <w:pStyle w:val="12"/>
              <w:jc w:val="center"/>
              <w:rPr>
                <w:rFonts w:ascii="宋体" w:hAnsi="宋体"/>
                <w:w w:val="90"/>
              </w:rPr>
            </w:pPr>
            <w:r>
              <w:rPr>
                <w:rFonts w:ascii="宋体" w:hAnsi="宋体"/>
                <w:w w:val="90"/>
              </w:rPr>
              <w:t>262</w:t>
            </w:r>
          </w:p>
        </w:tc>
        <w:tc>
          <w:tcPr>
            <w:tcW w:w="250" w:type="pct"/>
            <w:vAlign w:val="center"/>
          </w:tcPr>
          <w:p w14:paraId="540554FA">
            <w:pPr>
              <w:pStyle w:val="12"/>
              <w:jc w:val="center"/>
              <w:rPr>
                <w:rFonts w:ascii="宋体" w:hAnsi="宋体"/>
                <w:w w:val="90"/>
              </w:rPr>
            </w:pPr>
            <w:r>
              <w:rPr>
                <w:rFonts w:ascii="宋体" w:hAnsi="宋体"/>
                <w:w w:val="90"/>
              </w:rPr>
              <w:t>222</w:t>
            </w:r>
          </w:p>
        </w:tc>
        <w:tc>
          <w:tcPr>
            <w:tcW w:w="250" w:type="pct"/>
            <w:vAlign w:val="center"/>
          </w:tcPr>
          <w:p w14:paraId="7EB56B8B">
            <w:pPr>
              <w:pStyle w:val="12"/>
              <w:jc w:val="center"/>
              <w:rPr>
                <w:rFonts w:ascii="宋体" w:hAnsi="宋体"/>
                <w:w w:val="90"/>
              </w:rPr>
            </w:pPr>
            <w:r>
              <w:rPr>
                <w:rFonts w:ascii="宋体" w:hAnsi="宋体"/>
                <w:w w:val="90"/>
              </w:rPr>
              <w:t>110</w:t>
            </w:r>
          </w:p>
        </w:tc>
        <w:tc>
          <w:tcPr>
            <w:tcW w:w="250" w:type="pct"/>
            <w:vAlign w:val="center"/>
          </w:tcPr>
          <w:p w14:paraId="5DF86A37">
            <w:pPr>
              <w:pStyle w:val="12"/>
              <w:jc w:val="center"/>
              <w:rPr>
                <w:rFonts w:ascii="宋体" w:hAnsi="宋体"/>
                <w:w w:val="90"/>
              </w:rPr>
            </w:pPr>
            <w:r>
              <w:rPr>
                <w:rFonts w:ascii="宋体" w:hAnsi="宋体"/>
                <w:w w:val="90"/>
              </w:rPr>
              <w:t>53</w:t>
            </w:r>
          </w:p>
        </w:tc>
        <w:tc>
          <w:tcPr>
            <w:tcW w:w="250" w:type="pct"/>
            <w:vAlign w:val="center"/>
          </w:tcPr>
          <w:p w14:paraId="31919601">
            <w:pPr>
              <w:pStyle w:val="12"/>
              <w:jc w:val="center"/>
              <w:rPr>
                <w:rFonts w:ascii="宋体" w:hAnsi="宋体"/>
                <w:w w:val="90"/>
              </w:rPr>
            </w:pPr>
            <w:r>
              <w:rPr>
                <w:rFonts w:ascii="宋体" w:hAnsi="宋体"/>
                <w:w w:val="90"/>
              </w:rPr>
              <w:t>28</w:t>
            </w:r>
          </w:p>
        </w:tc>
      </w:tr>
      <w:tr w14:paraId="7C3C8E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c>
          <w:tcPr>
            <w:tcW w:w="250" w:type="pct"/>
            <w:vAlign w:val="center"/>
          </w:tcPr>
          <w:p w14:paraId="5761101A">
            <w:pPr>
              <w:pStyle w:val="12"/>
              <w:jc w:val="center"/>
              <w:rPr>
                <w:rFonts w:ascii="宋体" w:hAnsi="宋体"/>
                <w:w w:val="90"/>
              </w:rPr>
            </w:pPr>
            <w:r>
              <w:rPr>
                <w:rFonts w:ascii="宋体" w:hAnsi="宋体"/>
                <w:w w:val="90"/>
              </w:rPr>
              <w:t>2004</w:t>
            </w:r>
          </w:p>
        </w:tc>
        <w:tc>
          <w:tcPr>
            <w:tcW w:w="250" w:type="pct"/>
            <w:vAlign w:val="center"/>
          </w:tcPr>
          <w:p w14:paraId="3591B8E8">
            <w:pPr>
              <w:pStyle w:val="12"/>
              <w:jc w:val="center"/>
              <w:rPr>
                <w:rFonts w:ascii="宋体" w:hAnsi="宋体"/>
                <w:w w:val="90"/>
              </w:rPr>
            </w:pPr>
            <w:r>
              <w:rPr>
                <w:rFonts w:ascii="宋体" w:hAnsi="宋体"/>
                <w:w w:val="90"/>
              </w:rPr>
              <w:t>1237</w:t>
            </w:r>
          </w:p>
        </w:tc>
        <w:tc>
          <w:tcPr>
            <w:tcW w:w="250" w:type="pct"/>
            <w:vAlign w:val="center"/>
          </w:tcPr>
          <w:p w14:paraId="34BCF5D8">
            <w:pPr>
              <w:pStyle w:val="12"/>
              <w:jc w:val="center"/>
              <w:rPr>
                <w:rFonts w:ascii="宋体" w:hAnsi="宋体"/>
                <w:w w:val="90"/>
              </w:rPr>
            </w:pPr>
            <w:r>
              <w:rPr>
                <w:rFonts w:ascii="宋体" w:hAnsi="宋体"/>
                <w:w w:val="90"/>
              </w:rPr>
              <w:t>1051</w:t>
            </w:r>
          </w:p>
        </w:tc>
        <w:tc>
          <w:tcPr>
            <w:tcW w:w="250" w:type="pct"/>
            <w:vAlign w:val="center"/>
          </w:tcPr>
          <w:p w14:paraId="1D6B0C46">
            <w:pPr>
              <w:pStyle w:val="12"/>
              <w:jc w:val="center"/>
              <w:rPr>
                <w:rFonts w:ascii="宋体" w:hAnsi="宋体"/>
                <w:w w:val="90"/>
              </w:rPr>
            </w:pPr>
            <w:r>
              <w:rPr>
                <w:rFonts w:ascii="宋体" w:hAnsi="宋体"/>
                <w:w w:val="90"/>
              </w:rPr>
              <w:t>186</w:t>
            </w:r>
          </w:p>
        </w:tc>
        <w:tc>
          <w:tcPr>
            <w:tcW w:w="250" w:type="pct"/>
            <w:vAlign w:val="center"/>
          </w:tcPr>
          <w:p w14:paraId="5E9A4280">
            <w:pPr>
              <w:pStyle w:val="12"/>
              <w:jc w:val="center"/>
              <w:rPr>
                <w:rFonts w:ascii="宋体" w:hAnsi="宋体"/>
                <w:w w:val="90"/>
              </w:rPr>
            </w:pPr>
            <w:r>
              <w:rPr>
                <w:rFonts w:ascii="宋体" w:hAnsi="宋体"/>
                <w:w w:val="90"/>
              </w:rPr>
              <w:t>21</w:t>
            </w:r>
          </w:p>
        </w:tc>
        <w:tc>
          <w:tcPr>
            <w:tcW w:w="250" w:type="pct"/>
            <w:vAlign w:val="center"/>
          </w:tcPr>
          <w:p w14:paraId="7ED521DD">
            <w:pPr>
              <w:pStyle w:val="12"/>
              <w:jc w:val="center"/>
              <w:rPr>
                <w:rFonts w:ascii="宋体" w:hAnsi="宋体"/>
                <w:w w:val="90"/>
              </w:rPr>
            </w:pPr>
            <w:r>
              <w:rPr>
                <w:rFonts w:ascii="宋体" w:hAnsi="宋体"/>
                <w:w w:val="90"/>
              </w:rPr>
              <w:t>991</w:t>
            </w:r>
          </w:p>
        </w:tc>
        <w:tc>
          <w:tcPr>
            <w:tcW w:w="250" w:type="pct"/>
            <w:vAlign w:val="center"/>
          </w:tcPr>
          <w:p w14:paraId="5B29B009">
            <w:pPr>
              <w:pStyle w:val="12"/>
              <w:jc w:val="center"/>
              <w:rPr>
                <w:rFonts w:ascii="宋体" w:hAnsi="宋体"/>
                <w:w w:val="90"/>
              </w:rPr>
            </w:pPr>
            <w:r>
              <w:rPr>
                <w:rFonts w:ascii="宋体" w:hAnsi="宋体"/>
                <w:w w:val="90"/>
              </w:rPr>
              <w:t>—</w:t>
            </w:r>
          </w:p>
        </w:tc>
        <w:tc>
          <w:tcPr>
            <w:tcW w:w="250" w:type="pct"/>
            <w:vAlign w:val="center"/>
          </w:tcPr>
          <w:p w14:paraId="2C9C80EF">
            <w:pPr>
              <w:pStyle w:val="12"/>
              <w:jc w:val="center"/>
              <w:rPr>
                <w:rFonts w:ascii="宋体" w:hAnsi="宋体"/>
                <w:w w:val="90"/>
              </w:rPr>
            </w:pPr>
            <w:r>
              <w:rPr>
                <w:rFonts w:ascii="宋体" w:hAnsi="宋体"/>
                <w:w w:val="90"/>
              </w:rPr>
              <w:t>11</w:t>
            </w:r>
          </w:p>
        </w:tc>
        <w:tc>
          <w:tcPr>
            <w:tcW w:w="250" w:type="pct"/>
            <w:vAlign w:val="center"/>
          </w:tcPr>
          <w:p w14:paraId="3A14FADF">
            <w:pPr>
              <w:pStyle w:val="12"/>
              <w:jc w:val="center"/>
              <w:rPr>
                <w:rFonts w:ascii="宋体" w:hAnsi="宋体"/>
                <w:w w:val="90"/>
              </w:rPr>
            </w:pPr>
            <w:r>
              <w:rPr>
                <w:rFonts w:ascii="宋体" w:hAnsi="宋体"/>
                <w:w w:val="90"/>
              </w:rPr>
              <w:t>72</w:t>
            </w:r>
          </w:p>
        </w:tc>
        <w:tc>
          <w:tcPr>
            <w:tcW w:w="250" w:type="pct"/>
            <w:vAlign w:val="center"/>
          </w:tcPr>
          <w:p w14:paraId="30C1A5B3">
            <w:pPr>
              <w:pStyle w:val="12"/>
              <w:jc w:val="center"/>
              <w:rPr>
                <w:rFonts w:ascii="宋体" w:hAnsi="宋体"/>
                <w:w w:val="90"/>
              </w:rPr>
            </w:pPr>
            <w:r>
              <w:rPr>
                <w:rFonts w:ascii="宋体" w:hAnsi="宋体"/>
                <w:w w:val="90"/>
              </w:rPr>
              <w:t>748</w:t>
            </w:r>
          </w:p>
        </w:tc>
        <w:tc>
          <w:tcPr>
            <w:tcW w:w="250" w:type="pct"/>
            <w:vAlign w:val="center"/>
          </w:tcPr>
          <w:p w14:paraId="695CB511">
            <w:pPr>
              <w:pStyle w:val="12"/>
              <w:jc w:val="center"/>
              <w:rPr>
                <w:rFonts w:ascii="宋体" w:hAnsi="宋体"/>
                <w:w w:val="90"/>
              </w:rPr>
            </w:pPr>
            <w:r>
              <w:rPr>
                <w:rFonts w:ascii="宋体" w:hAnsi="宋体"/>
                <w:w w:val="90"/>
              </w:rPr>
              <w:t>249</w:t>
            </w:r>
          </w:p>
        </w:tc>
        <w:tc>
          <w:tcPr>
            <w:tcW w:w="250" w:type="pct"/>
            <w:vAlign w:val="center"/>
          </w:tcPr>
          <w:p w14:paraId="227247DB">
            <w:pPr>
              <w:pStyle w:val="12"/>
              <w:jc w:val="center"/>
              <w:rPr>
                <w:rFonts w:ascii="宋体" w:hAnsi="宋体"/>
                <w:w w:val="90"/>
              </w:rPr>
            </w:pPr>
            <w:r>
              <w:rPr>
                <w:rFonts w:ascii="宋体" w:hAnsi="宋体"/>
                <w:w w:val="90"/>
              </w:rPr>
              <w:t>145</w:t>
            </w:r>
          </w:p>
        </w:tc>
        <w:tc>
          <w:tcPr>
            <w:tcW w:w="250" w:type="pct"/>
            <w:vAlign w:val="center"/>
          </w:tcPr>
          <w:p w14:paraId="5A9FDB6E">
            <w:pPr>
              <w:pStyle w:val="12"/>
              <w:jc w:val="center"/>
              <w:rPr>
                <w:rFonts w:ascii="宋体" w:hAnsi="宋体"/>
                <w:w w:val="90"/>
              </w:rPr>
            </w:pPr>
            <w:r>
              <w:rPr>
                <w:rFonts w:ascii="宋体" w:hAnsi="宋体"/>
                <w:w w:val="90"/>
              </w:rPr>
              <w:t>12</w:t>
            </w:r>
          </w:p>
        </w:tc>
        <w:tc>
          <w:tcPr>
            <w:tcW w:w="250" w:type="pct"/>
            <w:vAlign w:val="center"/>
          </w:tcPr>
          <w:p w14:paraId="78712DEE">
            <w:pPr>
              <w:pStyle w:val="12"/>
              <w:jc w:val="center"/>
              <w:rPr>
                <w:rFonts w:ascii="宋体" w:hAnsi="宋体"/>
                <w:w w:val="90"/>
              </w:rPr>
            </w:pPr>
            <w:r>
              <w:rPr>
                <w:rFonts w:ascii="宋体" w:hAnsi="宋体"/>
                <w:w w:val="90"/>
              </w:rPr>
              <w:t>328</w:t>
            </w:r>
          </w:p>
        </w:tc>
        <w:tc>
          <w:tcPr>
            <w:tcW w:w="250" w:type="pct"/>
            <w:vAlign w:val="center"/>
          </w:tcPr>
          <w:p w14:paraId="22D09219">
            <w:pPr>
              <w:pStyle w:val="12"/>
              <w:jc w:val="center"/>
              <w:rPr>
                <w:rFonts w:ascii="宋体" w:hAnsi="宋体"/>
                <w:w w:val="90"/>
              </w:rPr>
            </w:pPr>
            <w:r>
              <w:rPr>
                <w:rFonts w:ascii="宋体" w:hAnsi="宋体"/>
                <w:w w:val="90"/>
              </w:rPr>
              <w:t>295</w:t>
            </w:r>
          </w:p>
        </w:tc>
        <w:tc>
          <w:tcPr>
            <w:tcW w:w="250" w:type="pct"/>
            <w:vAlign w:val="center"/>
          </w:tcPr>
          <w:p w14:paraId="501B7A25">
            <w:pPr>
              <w:pStyle w:val="12"/>
              <w:jc w:val="center"/>
              <w:rPr>
                <w:rFonts w:ascii="宋体" w:hAnsi="宋体"/>
                <w:w w:val="90"/>
              </w:rPr>
            </w:pPr>
            <w:r>
              <w:rPr>
                <w:rFonts w:ascii="宋体" w:hAnsi="宋体"/>
                <w:w w:val="90"/>
              </w:rPr>
              <w:t>256</w:t>
            </w:r>
          </w:p>
        </w:tc>
        <w:tc>
          <w:tcPr>
            <w:tcW w:w="250" w:type="pct"/>
            <w:vAlign w:val="center"/>
          </w:tcPr>
          <w:p w14:paraId="44481D3D">
            <w:pPr>
              <w:pStyle w:val="12"/>
              <w:jc w:val="center"/>
              <w:rPr>
                <w:rFonts w:ascii="宋体" w:hAnsi="宋体"/>
                <w:w w:val="90"/>
              </w:rPr>
            </w:pPr>
            <w:r>
              <w:rPr>
                <w:rFonts w:ascii="宋体" w:hAnsi="宋体"/>
                <w:w w:val="90"/>
              </w:rPr>
              <w:t>238</w:t>
            </w:r>
          </w:p>
        </w:tc>
        <w:tc>
          <w:tcPr>
            <w:tcW w:w="250" w:type="pct"/>
            <w:vAlign w:val="center"/>
          </w:tcPr>
          <w:p w14:paraId="78001CCD">
            <w:pPr>
              <w:pStyle w:val="12"/>
              <w:jc w:val="center"/>
              <w:rPr>
                <w:rFonts w:ascii="宋体" w:hAnsi="宋体"/>
                <w:w w:val="90"/>
              </w:rPr>
            </w:pPr>
            <w:r>
              <w:rPr>
                <w:rFonts w:ascii="宋体" w:hAnsi="宋体"/>
                <w:w w:val="90"/>
              </w:rPr>
              <w:t>85</w:t>
            </w:r>
          </w:p>
        </w:tc>
        <w:tc>
          <w:tcPr>
            <w:tcW w:w="250" w:type="pct"/>
            <w:vAlign w:val="center"/>
          </w:tcPr>
          <w:p w14:paraId="5D5F278A">
            <w:pPr>
              <w:pStyle w:val="12"/>
              <w:jc w:val="center"/>
              <w:rPr>
                <w:rFonts w:ascii="宋体" w:hAnsi="宋体"/>
                <w:w w:val="90"/>
              </w:rPr>
            </w:pPr>
            <w:r>
              <w:rPr>
                <w:rFonts w:ascii="宋体" w:hAnsi="宋体"/>
                <w:w w:val="90"/>
              </w:rPr>
              <w:t>35</w:t>
            </w:r>
          </w:p>
        </w:tc>
        <w:tc>
          <w:tcPr>
            <w:tcW w:w="250" w:type="pct"/>
            <w:vAlign w:val="center"/>
          </w:tcPr>
          <w:p w14:paraId="61DC2554">
            <w:pPr>
              <w:pStyle w:val="12"/>
              <w:jc w:val="center"/>
              <w:rPr>
                <w:rFonts w:ascii="宋体" w:hAnsi="宋体"/>
                <w:w w:val="90"/>
              </w:rPr>
            </w:pPr>
            <w:r>
              <w:rPr>
                <w:rFonts w:ascii="宋体" w:hAnsi="宋体"/>
                <w:w w:val="90"/>
              </w:rPr>
              <w:t>—</w:t>
            </w:r>
          </w:p>
        </w:tc>
      </w:tr>
    </w:tbl>
    <w:p w14:paraId="1AA0D469">
      <w:pPr>
        <w:ind w:firstLine="422"/>
        <w:rPr>
          <w:rFonts w:ascii="宋体" w:hAnsi="宋体" w:cs="宋体"/>
          <w:b/>
        </w:rPr>
      </w:pPr>
      <w:r>
        <w:rPr>
          <w:rFonts w:hint="eastAsia" w:ascii="宋体" w:hAnsi="宋体" w:cs="宋体"/>
          <w:b/>
        </w:rPr>
        <w:t>说明：表列数字不含“依照”、“参照”管理单位。</w:t>
      </w:r>
    </w:p>
    <w:p w14:paraId="4192D768">
      <w:pPr>
        <w:pStyle w:val="5"/>
        <w:rPr>
          <w:rFonts w:ascii="宋体" w:hAnsi="宋体" w:cs="宋体"/>
        </w:rPr>
      </w:pPr>
      <w:r>
        <w:rPr>
          <w:rFonts w:hint="eastAsia" w:ascii="宋体" w:hAnsi="宋体" w:cs="宋体"/>
        </w:rPr>
        <w:t>三、公务员录用、提拔任免与辞职、辞退</w:t>
      </w:r>
    </w:p>
    <w:p w14:paraId="1C94C861">
      <w:pPr>
        <w:ind w:firstLine="422"/>
        <w:rPr>
          <w:rFonts w:ascii="宋体" w:hAnsi="宋体" w:cs="宋体"/>
          <w:b/>
          <w:bCs/>
        </w:rPr>
      </w:pPr>
      <w:r>
        <w:rPr>
          <w:rFonts w:hint="eastAsia" w:ascii="宋体" w:hAnsi="宋体" w:cs="宋体"/>
          <w:b/>
          <w:bCs/>
        </w:rPr>
        <w:t>（一）公务员录用</w:t>
      </w:r>
    </w:p>
    <w:p w14:paraId="12562A7A">
      <w:pPr>
        <w:ind w:firstLine="420"/>
        <w:rPr>
          <w:rFonts w:ascii="宋体" w:hAnsi="宋体" w:cs="宋体"/>
        </w:rPr>
      </w:pPr>
      <w:r>
        <w:rPr>
          <w:rFonts w:hint="eastAsia" w:ascii="宋体" w:hAnsi="宋体" w:cs="宋体"/>
        </w:rPr>
        <w:t>根据《国家公务员录用暂行规定》，对新进入公务员队伍人员坚持公开、平等、竞争，择优录用原则，实行凡进必考制度。一是对公务员岗位基本知识进行公开考试，二是由录用机关对参考人员进行组织考核，在德能才智同等条件下，优先录用考试成绩优良人员。</w:t>
      </w:r>
    </w:p>
    <w:p w14:paraId="1AD676F9">
      <w:pPr>
        <w:ind w:firstLine="420"/>
        <w:rPr>
          <w:rFonts w:ascii="宋体" w:hAnsi="宋体" w:cs="宋体"/>
        </w:rPr>
      </w:pPr>
      <w:r>
        <w:rPr>
          <w:rFonts w:hint="eastAsia" w:ascii="宋体" w:hAnsi="宋体" w:cs="宋体"/>
        </w:rPr>
        <w:t>1999年，首次为乡镇机关录用女性公务员17人，事业单位人员133人。2002年，录用国家机关公务员42人，事业单位人员19人。</w:t>
      </w:r>
    </w:p>
    <w:p w14:paraId="14CDF405">
      <w:pPr>
        <w:ind w:firstLine="422"/>
        <w:rPr>
          <w:rFonts w:ascii="宋体" w:hAnsi="宋体" w:cs="宋体"/>
          <w:b/>
          <w:bCs/>
        </w:rPr>
      </w:pPr>
      <w:r>
        <w:rPr>
          <w:rFonts w:hint="eastAsia" w:ascii="宋体" w:hAnsi="宋体" w:cs="宋体"/>
          <w:b/>
          <w:bCs/>
        </w:rPr>
        <w:t>（二）公务员提拔任免</w:t>
      </w:r>
    </w:p>
    <w:p w14:paraId="61599F96">
      <w:pPr>
        <w:ind w:firstLine="420"/>
        <w:rPr>
          <w:rFonts w:ascii="宋体" w:hAnsi="宋体" w:cs="宋体"/>
        </w:rPr>
      </w:pPr>
      <w:r>
        <w:rPr>
          <w:rFonts w:hint="eastAsia" w:ascii="宋体" w:hAnsi="宋体" w:cs="宋体"/>
        </w:rPr>
        <w:t>公务员提拔任职实行任前公示制和考试。对拟任副科长以上领导职务人员均在任前一个月张榜公示，听取各方意见，同时组织拟任人员进行有关知识的考试，择优提拔。</w:t>
      </w:r>
    </w:p>
    <w:p w14:paraId="719725E4">
      <w:pPr>
        <w:ind w:firstLine="422"/>
        <w:rPr>
          <w:rFonts w:ascii="宋体" w:hAnsi="宋体" w:cs="宋体"/>
          <w:b/>
          <w:bCs/>
        </w:rPr>
      </w:pPr>
      <w:r>
        <w:rPr>
          <w:rFonts w:hint="eastAsia" w:ascii="宋体" w:hAnsi="宋体" w:cs="宋体"/>
          <w:b/>
          <w:bCs/>
        </w:rPr>
        <w:t>（三）公务员辞职、辞退</w:t>
      </w:r>
    </w:p>
    <w:p w14:paraId="0E9774CE">
      <w:pPr>
        <w:ind w:firstLine="420"/>
        <w:rPr>
          <w:rFonts w:ascii="宋体" w:hAnsi="宋体" w:cs="宋体"/>
        </w:rPr>
      </w:pPr>
      <w:r>
        <w:rPr>
          <w:rFonts w:hint="eastAsia" w:ascii="宋体" w:hAnsi="宋体" w:cs="宋体"/>
        </w:rPr>
        <w:t>根据《国家公务员辞职辞退暂行规定》，从1999年至2004年，全市共有6名公务员辞职，10名公务员被辞退。</w:t>
      </w:r>
    </w:p>
    <w:p w14:paraId="0EF399E9">
      <w:pPr>
        <w:pStyle w:val="5"/>
        <w:rPr>
          <w:rFonts w:ascii="宋体" w:hAnsi="宋体" w:cs="宋体"/>
        </w:rPr>
      </w:pPr>
      <w:r>
        <w:rPr>
          <w:rFonts w:hint="eastAsia" w:ascii="宋体" w:hAnsi="宋体" w:cs="宋体"/>
        </w:rPr>
        <w:t>四、公务员考核与奖惩</w:t>
      </w:r>
    </w:p>
    <w:p w14:paraId="7ADF9386">
      <w:pPr>
        <w:ind w:firstLine="420"/>
        <w:rPr>
          <w:rFonts w:ascii="宋体" w:hAnsi="宋体" w:cs="宋体"/>
        </w:rPr>
      </w:pPr>
      <w:r>
        <w:rPr>
          <w:rFonts w:hint="eastAsia" w:ascii="宋体" w:hAnsi="宋体" w:cs="宋体"/>
        </w:rPr>
        <w:t>公务员考核按照《国家公务员考核规定》进行，考核内容为德、能、勤、绩四个方面，重点考核工作实绩，一年一考。考核结果分为优秀、称职、基本称职和不称职四个等次。被定为优秀等次的人数，一般掌握在本部国家公务员总人数的13%以内，最多不超过15%，并坚持按政策兑现考核结果。凡评为优秀等次的给予奖励；凡两年连续评为不称职（不合格）的应辞退或离职培训。</w:t>
      </w:r>
    </w:p>
    <w:p w14:paraId="201E1DD5">
      <w:pPr>
        <w:pStyle w:val="5"/>
        <w:rPr>
          <w:rFonts w:ascii="宋体" w:hAnsi="宋体" w:cs="宋体"/>
        </w:rPr>
      </w:pPr>
      <w:r>
        <w:rPr>
          <w:rFonts w:hint="eastAsia" w:ascii="宋体" w:hAnsi="宋体" w:cs="宋体"/>
        </w:rPr>
        <w:t>五、公务员培训</w:t>
      </w:r>
    </w:p>
    <w:p w14:paraId="7385A908">
      <w:pPr>
        <w:ind w:firstLine="420"/>
        <w:rPr>
          <w:rFonts w:ascii="宋体" w:hAnsi="宋体" w:cs="宋体"/>
        </w:rPr>
      </w:pPr>
      <w:r>
        <w:rPr>
          <w:rFonts w:hint="eastAsia" w:ascii="宋体" w:hAnsi="宋体" w:cs="宋体"/>
        </w:rPr>
        <w:t>为保证公务员的素质和能力，根据经济社会发展的需要，按照职位要求，分别实行对新录用公务员的培训；晋升领导职务的任职培训；根据专项工作需要，进行专门业务培训和在职国家公务员更新知识培训。1998年推行公务员制度以来，培训公务员超过2万人次。</w:t>
      </w:r>
    </w:p>
    <w:p w14:paraId="50BAA5B4">
      <w:pPr>
        <w:pStyle w:val="4"/>
        <w:rPr>
          <w:rFonts w:ascii="宋体" w:hAnsi="宋体" w:cs="宋体"/>
        </w:rPr>
      </w:pPr>
      <w:r>
        <w:rPr>
          <w:rFonts w:hint="eastAsia" w:ascii="宋体" w:hAnsi="宋体" w:cs="宋体"/>
        </w:rPr>
        <w:t>第三节  建立专业技术人员管理制度</w:t>
      </w:r>
    </w:p>
    <w:p w14:paraId="4F75474F">
      <w:pPr>
        <w:pStyle w:val="5"/>
        <w:rPr>
          <w:rFonts w:ascii="宋体" w:hAnsi="宋体" w:cs="宋体"/>
        </w:rPr>
      </w:pPr>
      <w:r>
        <w:rPr>
          <w:rFonts w:hint="eastAsia" w:ascii="宋体" w:hAnsi="宋体" w:cs="宋体"/>
        </w:rPr>
        <w:t>一、专业技术人员职称评聘</w:t>
      </w:r>
    </w:p>
    <w:p w14:paraId="6847E05D">
      <w:pPr>
        <w:ind w:firstLine="420"/>
        <w:rPr>
          <w:rFonts w:ascii="宋体" w:hAnsi="宋体" w:cs="宋体"/>
        </w:rPr>
      </w:pPr>
      <w:r>
        <w:rPr>
          <w:rFonts w:hint="eastAsia" w:ascii="宋体" w:hAnsi="宋体" w:cs="宋体"/>
        </w:rPr>
        <w:t>南雄专业技术人员职称评聘始于1981年，原来由市科委负责，从1996年2月起移交市人事局管理。评：是对符合条件的专业技术人员进行技术资格即技术职称的评定。聘：是有关用人单位，根据工作需要，对取得专业技术资格的人员实行聘用。20多年来，本市始终实行评、聘分开制度。至1998年底，全市有专业技术人员8772人，其中高级职称223人，中级2305人，初级6244人。2002年对全市专业技术人员进行普查换证。已换证的：高级职称174人，中级2140人，初级3594人，共5908人。同年送省评定高级职称33人，韶关市评定中级职称292人，本市评定初级职称329人。2004年，全市专业技术队伍情况详见表6-14：</w:t>
      </w:r>
    </w:p>
    <w:p w14:paraId="1321174C">
      <w:pPr>
        <w:ind w:firstLine="422"/>
        <w:jc w:val="center"/>
        <w:rPr>
          <w:rFonts w:ascii="宋体" w:hAnsi="宋体" w:cs="宋体"/>
          <w:b/>
          <w:bCs/>
        </w:rPr>
      </w:pPr>
      <w:r>
        <w:rPr>
          <w:rFonts w:hint="eastAsia" w:ascii="宋体" w:hAnsi="宋体" w:cs="宋体"/>
          <w:b/>
          <w:bCs/>
        </w:rPr>
        <w:t>2004年南雄市专业技术人员统计</w:t>
      </w:r>
    </w:p>
    <w:p w14:paraId="0252C065">
      <w:pPr>
        <w:ind w:firstLine="0" w:firstLineChars="0"/>
        <w:rPr>
          <w:rFonts w:ascii="宋体" w:hAnsi="宋体" w:cs="宋体"/>
          <w:b/>
          <w:bCs/>
        </w:rPr>
      </w:pPr>
      <w:r>
        <w:rPr>
          <w:rFonts w:hint="eastAsia" w:ascii="宋体" w:hAnsi="宋体" w:cs="宋体"/>
          <w:b/>
          <w:bCs/>
        </w:rPr>
        <w:t>表6-14</w:t>
      </w:r>
    </w:p>
    <w:p w14:paraId="0A7E7215">
      <w:pPr>
        <w:ind w:firstLine="422"/>
        <w:jc w:val="right"/>
        <w:rPr>
          <w:rFonts w:ascii="宋体" w:hAnsi="宋体" w:cs="宋体"/>
          <w:b/>
          <w:bCs/>
        </w:rPr>
      </w:pPr>
      <w:r>
        <w:rPr>
          <w:rFonts w:hint="eastAsia" w:ascii="宋体" w:hAnsi="宋体" w:cs="宋体"/>
          <w:b/>
          <w:bCs/>
        </w:rPr>
        <w:t>单位：人</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6"/>
        <w:gridCol w:w="1978"/>
        <w:gridCol w:w="1277"/>
        <w:gridCol w:w="992"/>
        <w:gridCol w:w="992"/>
        <w:gridCol w:w="992"/>
        <w:gridCol w:w="992"/>
        <w:gridCol w:w="851"/>
        <w:gridCol w:w="782"/>
      </w:tblGrid>
      <w:tr w14:paraId="54F29F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48" w:type="pct"/>
            <w:gridSpan w:val="2"/>
            <w:vAlign w:val="center"/>
          </w:tcPr>
          <w:p w14:paraId="51992114">
            <w:pPr>
              <w:pStyle w:val="12"/>
              <w:jc w:val="center"/>
              <w:rPr>
                <w:b/>
              </w:rPr>
            </w:pPr>
            <w:r>
              <w:rPr>
                <w:rFonts w:hint="eastAsia"/>
                <w:b/>
              </w:rPr>
              <w:t>项目</w:t>
            </w:r>
          </w:p>
        </w:tc>
        <w:tc>
          <w:tcPr>
            <w:tcW w:w="641" w:type="pct"/>
            <w:vAlign w:val="center"/>
          </w:tcPr>
          <w:p w14:paraId="6D2047CC">
            <w:pPr>
              <w:pStyle w:val="12"/>
              <w:jc w:val="center"/>
              <w:rPr>
                <w:b/>
              </w:rPr>
            </w:pPr>
            <w:r>
              <w:rPr>
                <w:rFonts w:hint="eastAsia"/>
                <w:b/>
              </w:rPr>
              <w:t>专业技术人员总数</w:t>
            </w:r>
          </w:p>
        </w:tc>
        <w:tc>
          <w:tcPr>
            <w:tcW w:w="498" w:type="pct"/>
            <w:vAlign w:val="center"/>
          </w:tcPr>
          <w:p w14:paraId="53ADF659">
            <w:pPr>
              <w:pStyle w:val="12"/>
              <w:jc w:val="center"/>
              <w:rPr>
                <w:b/>
              </w:rPr>
            </w:pPr>
            <w:r>
              <w:rPr>
                <w:rFonts w:hint="eastAsia"/>
                <w:b/>
              </w:rPr>
              <w:t>副高</w:t>
            </w:r>
          </w:p>
        </w:tc>
        <w:tc>
          <w:tcPr>
            <w:tcW w:w="498" w:type="pct"/>
            <w:vAlign w:val="center"/>
          </w:tcPr>
          <w:p w14:paraId="05EC6D8C">
            <w:pPr>
              <w:pStyle w:val="12"/>
              <w:jc w:val="center"/>
              <w:rPr>
                <w:b/>
              </w:rPr>
            </w:pPr>
            <w:r>
              <w:rPr>
                <w:rFonts w:hint="eastAsia"/>
                <w:b/>
              </w:rPr>
              <w:t>不分正副高</w:t>
            </w:r>
          </w:p>
        </w:tc>
        <w:tc>
          <w:tcPr>
            <w:tcW w:w="498" w:type="pct"/>
            <w:vAlign w:val="center"/>
          </w:tcPr>
          <w:p w14:paraId="695286B0">
            <w:pPr>
              <w:pStyle w:val="12"/>
              <w:jc w:val="center"/>
              <w:rPr>
                <w:b/>
              </w:rPr>
            </w:pPr>
            <w:r>
              <w:rPr>
                <w:rFonts w:hint="eastAsia"/>
                <w:b/>
              </w:rPr>
              <w:t>中级</w:t>
            </w:r>
          </w:p>
        </w:tc>
        <w:tc>
          <w:tcPr>
            <w:tcW w:w="498" w:type="pct"/>
            <w:vAlign w:val="center"/>
          </w:tcPr>
          <w:p w14:paraId="6831FC4E">
            <w:pPr>
              <w:pStyle w:val="12"/>
              <w:jc w:val="center"/>
              <w:rPr>
                <w:b/>
              </w:rPr>
            </w:pPr>
            <w:r>
              <w:rPr>
                <w:rFonts w:hint="eastAsia"/>
                <w:b/>
              </w:rPr>
              <w:t>助理级</w:t>
            </w:r>
          </w:p>
        </w:tc>
        <w:tc>
          <w:tcPr>
            <w:tcW w:w="427" w:type="pct"/>
            <w:vAlign w:val="center"/>
          </w:tcPr>
          <w:p w14:paraId="0B2098B2">
            <w:pPr>
              <w:pStyle w:val="12"/>
              <w:jc w:val="center"/>
              <w:rPr>
                <w:b/>
              </w:rPr>
            </w:pPr>
            <w:r>
              <w:rPr>
                <w:rFonts w:hint="eastAsia"/>
                <w:b/>
              </w:rPr>
              <w:t>员级</w:t>
            </w:r>
          </w:p>
        </w:tc>
        <w:tc>
          <w:tcPr>
            <w:tcW w:w="392" w:type="pct"/>
            <w:vAlign w:val="center"/>
          </w:tcPr>
          <w:p w14:paraId="714666A7">
            <w:pPr>
              <w:pStyle w:val="12"/>
              <w:jc w:val="center"/>
              <w:rPr>
                <w:b/>
              </w:rPr>
            </w:pPr>
            <w:r>
              <w:rPr>
                <w:rFonts w:hint="eastAsia"/>
                <w:b/>
              </w:rPr>
              <w:t>考试初级</w:t>
            </w:r>
          </w:p>
        </w:tc>
      </w:tr>
      <w:tr w14:paraId="6671BA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48" w:type="pct"/>
            <w:gridSpan w:val="2"/>
            <w:vAlign w:val="center"/>
          </w:tcPr>
          <w:p w14:paraId="204EF498">
            <w:pPr>
              <w:pStyle w:val="12"/>
              <w:jc w:val="center"/>
            </w:pPr>
            <w:r>
              <w:rPr>
                <w:rFonts w:hint="eastAsia"/>
              </w:rPr>
              <w:t>总数</w:t>
            </w:r>
          </w:p>
        </w:tc>
        <w:tc>
          <w:tcPr>
            <w:tcW w:w="641" w:type="pct"/>
            <w:vAlign w:val="center"/>
          </w:tcPr>
          <w:p w14:paraId="21C0005F">
            <w:pPr>
              <w:pStyle w:val="12"/>
              <w:jc w:val="center"/>
            </w:pPr>
            <w:r>
              <w:rPr>
                <w:rFonts w:hint="eastAsia"/>
              </w:rPr>
              <w:t>8479</w:t>
            </w:r>
          </w:p>
        </w:tc>
        <w:tc>
          <w:tcPr>
            <w:tcW w:w="498" w:type="pct"/>
            <w:vAlign w:val="center"/>
          </w:tcPr>
          <w:p w14:paraId="0EC7627A">
            <w:pPr>
              <w:pStyle w:val="12"/>
              <w:jc w:val="center"/>
            </w:pPr>
            <w:r>
              <w:rPr>
                <w:rFonts w:hint="eastAsia"/>
              </w:rPr>
              <w:t>26</w:t>
            </w:r>
          </w:p>
        </w:tc>
        <w:tc>
          <w:tcPr>
            <w:tcW w:w="498" w:type="pct"/>
            <w:vAlign w:val="center"/>
          </w:tcPr>
          <w:p w14:paraId="59241C0A">
            <w:pPr>
              <w:pStyle w:val="12"/>
              <w:jc w:val="center"/>
            </w:pPr>
            <w:r>
              <w:rPr>
                <w:rFonts w:hint="eastAsia"/>
              </w:rPr>
              <w:t>199</w:t>
            </w:r>
          </w:p>
        </w:tc>
        <w:tc>
          <w:tcPr>
            <w:tcW w:w="498" w:type="pct"/>
            <w:vAlign w:val="center"/>
          </w:tcPr>
          <w:p w14:paraId="3F2B5CE3">
            <w:pPr>
              <w:pStyle w:val="12"/>
              <w:jc w:val="center"/>
            </w:pPr>
            <w:r>
              <w:rPr>
                <w:rFonts w:hint="eastAsia"/>
              </w:rPr>
              <w:t>2896</w:t>
            </w:r>
          </w:p>
        </w:tc>
        <w:tc>
          <w:tcPr>
            <w:tcW w:w="498" w:type="pct"/>
            <w:vAlign w:val="center"/>
          </w:tcPr>
          <w:p w14:paraId="2116AE05">
            <w:pPr>
              <w:pStyle w:val="12"/>
              <w:jc w:val="center"/>
            </w:pPr>
            <w:r>
              <w:rPr>
                <w:rFonts w:hint="eastAsia"/>
              </w:rPr>
              <w:t>4125</w:t>
            </w:r>
          </w:p>
        </w:tc>
        <w:tc>
          <w:tcPr>
            <w:tcW w:w="427" w:type="pct"/>
            <w:vAlign w:val="center"/>
          </w:tcPr>
          <w:p w14:paraId="64E09D61">
            <w:pPr>
              <w:pStyle w:val="12"/>
              <w:jc w:val="center"/>
            </w:pPr>
            <w:r>
              <w:rPr>
                <w:rFonts w:hint="eastAsia"/>
              </w:rPr>
              <w:t>1214</w:t>
            </w:r>
          </w:p>
        </w:tc>
        <w:tc>
          <w:tcPr>
            <w:tcW w:w="392" w:type="pct"/>
            <w:vAlign w:val="center"/>
          </w:tcPr>
          <w:p w14:paraId="0DF9ADDF">
            <w:pPr>
              <w:pStyle w:val="12"/>
              <w:jc w:val="center"/>
            </w:pPr>
            <w:r>
              <w:rPr>
                <w:rFonts w:hint="eastAsia"/>
              </w:rPr>
              <w:t>19</w:t>
            </w:r>
          </w:p>
        </w:tc>
      </w:tr>
      <w:tr w14:paraId="5F0D230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restart"/>
            <w:vAlign w:val="center"/>
          </w:tcPr>
          <w:p w14:paraId="68D32412">
            <w:pPr>
              <w:pStyle w:val="12"/>
              <w:jc w:val="center"/>
            </w:pPr>
            <w:r>
              <w:rPr>
                <w:rFonts w:hint="eastAsia"/>
              </w:rPr>
              <w:t>机构</w:t>
            </w:r>
          </w:p>
        </w:tc>
        <w:tc>
          <w:tcPr>
            <w:tcW w:w="993" w:type="pct"/>
            <w:vAlign w:val="center"/>
          </w:tcPr>
          <w:p w14:paraId="490EE699">
            <w:pPr>
              <w:pStyle w:val="12"/>
              <w:jc w:val="left"/>
            </w:pPr>
            <w:r>
              <w:rPr>
                <w:rFonts w:hint="eastAsia"/>
              </w:rPr>
              <w:t>事业单位</w:t>
            </w:r>
          </w:p>
        </w:tc>
        <w:tc>
          <w:tcPr>
            <w:tcW w:w="641" w:type="pct"/>
            <w:vAlign w:val="center"/>
          </w:tcPr>
          <w:p w14:paraId="60709094">
            <w:pPr>
              <w:pStyle w:val="12"/>
              <w:jc w:val="center"/>
            </w:pPr>
            <w:r>
              <w:rPr>
                <w:rFonts w:hint="eastAsia"/>
              </w:rPr>
              <w:t>7299</w:t>
            </w:r>
          </w:p>
        </w:tc>
        <w:tc>
          <w:tcPr>
            <w:tcW w:w="498" w:type="pct"/>
            <w:vAlign w:val="center"/>
          </w:tcPr>
          <w:p w14:paraId="16BB32EF">
            <w:pPr>
              <w:pStyle w:val="12"/>
              <w:jc w:val="center"/>
            </w:pPr>
            <w:r>
              <w:rPr>
                <w:rFonts w:hint="eastAsia"/>
              </w:rPr>
              <w:t>24</w:t>
            </w:r>
          </w:p>
        </w:tc>
        <w:tc>
          <w:tcPr>
            <w:tcW w:w="498" w:type="pct"/>
            <w:vAlign w:val="center"/>
          </w:tcPr>
          <w:p w14:paraId="314F3C39">
            <w:pPr>
              <w:pStyle w:val="12"/>
              <w:jc w:val="center"/>
            </w:pPr>
            <w:r>
              <w:rPr>
                <w:rFonts w:hint="eastAsia"/>
              </w:rPr>
              <w:t>199</w:t>
            </w:r>
          </w:p>
        </w:tc>
        <w:tc>
          <w:tcPr>
            <w:tcW w:w="498" w:type="pct"/>
            <w:vAlign w:val="center"/>
          </w:tcPr>
          <w:p w14:paraId="1FA6A531">
            <w:pPr>
              <w:pStyle w:val="12"/>
              <w:jc w:val="center"/>
            </w:pPr>
            <w:r>
              <w:rPr>
                <w:rFonts w:hint="eastAsia"/>
              </w:rPr>
              <w:t>2777</w:t>
            </w:r>
          </w:p>
        </w:tc>
        <w:tc>
          <w:tcPr>
            <w:tcW w:w="498" w:type="pct"/>
            <w:vAlign w:val="center"/>
          </w:tcPr>
          <w:p w14:paraId="6A6D9876">
            <w:pPr>
              <w:pStyle w:val="12"/>
              <w:jc w:val="center"/>
            </w:pPr>
            <w:r>
              <w:rPr>
                <w:rFonts w:hint="eastAsia"/>
              </w:rPr>
              <w:t>3612</w:t>
            </w:r>
          </w:p>
        </w:tc>
        <w:tc>
          <w:tcPr>
            <w:tcW w:w="427" w:type="pct"/>
            <w:vAlign w:val="center"/>
          </w:tcPr>
          <w:p w14:paraId="733DB48E">
            <w:pPr>
              <w:pStyle w:val="12"/>
              <w:jc w:val="center"/>
            </w:pPr>
            <w:r>
              <w:rPr>
                <w:rFonts w:hint="eastAsia"/>
              </w:rPr>
              <w:t>684</w:t>
            </w:r>
          </w:p>
        </w:tc>
        <w:tc>
          <w:tcPr>
            <w:tcW w:w="392" w:type="pct"/>
            <w:vAlign w:val="center"/>
          </w:tcPr>
          <w:p w14:paraId="2D4DE38B">
            <w:pPr>
              <w:pStyle w:val="12"/>
              <w:jc w:val="center"/>
            </w:pPr>
            <w:r>
              <w:rPr>
                <w:rFonts w:hint="eastAsia"/>
              </w:rPr>
              <w:t>3</w:t>
            </w:r>
          </w:p>
        </w:tc>
      </w:tr>
      <w:tr w14:paraId="7D53C0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4B1D2438">
            <w:pPr>
              <w:pStyle w:val="12"/>
              <w:jc w:val="center"/>
            </w:pPr>
          </w:p>
        </w:tc>
        <w:tc>
          <w:tcPr>
            <w:tcW w:w="993" w:type="pct"/>
            <w:vAlign w:val="center"/>
          </w:tcPr>
          <w:p w14:paraId="49725390">
            <w:pPr>
              <w:pStyle w:val="12"/>
              <w:jc w:val="left"/>
            </w:pPr>
            <w:r>
              <w:rPr>
                <w:rFonts w:hint="eastAsia"/>
              </w:rPr>
              <w:t>企业单位</w:t>
            </w:r>
          </w:p>
        </w:tc>
        <w:tc>
          <w:tcPr>
            <w:tcW w:w="641" w:type="pct"/>
            <w:vAlign w:val="center"/>
          </w:tcPr>
          <w:p w14:paraId="2A5BB806">
            <w:pPr>
              <w:pStyle w:val="12"/>
              <w:jc w:val="center"/>
            </w:pPr>
            <w:r>
              <w:rPr>
                <w:rFonts w:hint="eastAsia"/>
              </w:rPr>
              <w:t>1095</w:t>
            </w:r>
          </w:p>
        </w:tc>
        <w:tc>
          <w:tcPr>
            <w:tcW w:w="498" w:type="pct"/>
            <w:vAlign w:val="center"/>
          </w:tcPr>
          <w:p w14:paraId="11F9A01D">
            <w:pPr>
              <w:pStyle w:val="12"/>
              <w:jc w:val="center"/>
            </w:pPr>
            <w:r>
              <w:rPr>
                <w:rFonts w:hint="eastAsia"/>
              </w:rPr>
              <w:t>1</w:t>
            </w:r>
          </w:p>
        </w:tc>
        <w:tc>
          <w:tcPr>
            <w:tcW w:w="498" w:type="pct"/>
            <w:vAlign w:val="center"/>
          </w:tcPr>
          <w:p w14:paraId="5843ADAF">
            <w:pPr>
              <w:pStyle w:val="12"/>
              <w:jc w:val="center"/>
            </w:pPr>
            <w:r>
              <w:rPr>
                <w:rFonts w:hint="eastAsia"/>
              </w:rPr>
              <w:t>—</w:t>
            </w:r>
          </w:p>
        </w:tc>
        <w:tc>
          <w:tcPr>
            <w:tcW w:w="498" w:type="pct"/>
            <w:vAlign w:val="center"/>
          </w:tcPr>
          <w:p w14:paraId="7CB7EFDF">
            <w:pPr>
              <w:pStyle w:val="12"/>
              <w:jc w:val="center"/>
            </w:pPr>
            <w:r>
              <w:rPr>
                <w:rFonts w:hint="eastAsia"/>
              </w:rPr>
              <w:t>118</w:t>
            </w:r>
          </w:p>
        </w:tc>
        <w:tc>
          <w:tcPr>
            <w:tcW w:w="498" w:type="pct"/>
            <w:vAlign w:val="center"/>
          </w:tcPr>
          <w:p w14:paraId="012C71F9">
            <w:pPr>
              <w:pStyle w:val="12"/>
              <w:jc w:val="center"/>
            </w:pPr>
            <w:r>
              <w:rPr>
                <w:rFonts w:hint="eastAsia"/>
              </w:rPr>
              <w:t>473</w:t>
            </w:r>
          </w:p>
        </w:tc>
        <w:tc>
          <w:tcPr>
            <w:tcW w:w="427" w:type="pct"/>
            <w:vAlign w:val="center"/>
          </w:tcPr>
          <w:p w14:paraId="69C49C87">
            <w:pPr>
              <w:pStyle w:val="12"/>
              <w:jc w:val="center"/>
            </w:pPr>
            <w:r>
              <w:rPr>
                <w:rFonts w:hint="eastAsia"/>
              </w:rPr>
              <w:t>487</w:t>
            </w:r>
          </w:p>
        </w:tc>
        <w:tc>
          <w:tcPr>
            <w:tcW w:w="392" w:type="pct"/>
            <w:vAlign w:val="center"/>
          </w:tcPr>
          <w:p w14:paraId="60BF3C02">
            <w:pPr>
              <w:pStyle w:val="12"/>
              <w:jc w:val="center"/>
            </w:pPr>
            <w:r>
              <w:rPr>
                <w:rFonts w:hint="eastAsia"/>
              </w:rPr>
              <w:t>16</w:t>
            </w:r>
          </w:p>
        </w:tc>
      </w:tr>
      <w:tr w14:paraId="70D893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5A7E60B6">
            <w:pPr>
              <w:pStyle w:val="12"/>
              <w:jc w:val="center"/>
            </w:pPr>
          </w:p>
        </w:tc>
        <w:tc>
          <w:tcPr>
            <w:tcW w:w="993" w:type="pct"/>
            <w:vAlign w:val="center"/>
          </w:tcPr>
          <w:p w14:paraId="5C56DDFB">
            <w:pPr>
              <w:pStyle w:val="12"/>
              <w:jc w:val="left"/>
            </w:pPr>
            <w:r>
              <w:rPr>
                <w:rFonts w:hint="eastAsia"/>
              </w:rPr>
              <w:t>其  他</w:t>
            </w:r>
          </w:p>
        </w:tc>
        <w:tc>
          <w:tcPr>
            <w:tcW w:w="641" w:type="pct"/>
            <w:vAlign w:val="center"/>
          </w:tcPr>
          <w:p w14:paraId="21EF0B64">
            <w:pPr>
              <w:pStyle w:val="12"/>
              <w:jc w:val="center"/>
            </w:pPr>
            <w:r>
              <w:rPr>
                <w:rFonts w:hint="eastAsia"/>
              </w:rPr>
              <w:t>85</w:t>
            </w:r>
          </w:p>
        </w:tc>
        <w:tc>
          <w:tcPr>
            <w:tcW w:w="498" w:type="pct"/>
            <w:vAlign w:val="center"/>
          </w:tcPr>
          <w:p w14:paraId="756E3A02">
            <w:pPr>
              <w:pStyle w:val="12"/>
              <w:jc w:val="center"/>
            </w:pPr>
            <w:r>
              <w:rPr>
                <w:rFonts w:hint="eastAsia"/>
              </w:rPr>
              <w:t>1</w:t>
            </w:r>
          </w:p>
        </w:tc>
        <w:tc>
          <w:tcPr>
            <w:tcW w:w="498" w:type="pct"/>
            <w:vAlign w:val="center"/>
          </w:tcPr>
          <w:p w14:paraId="215DC35F">
            <w:pPr>
              <w:pStyle w:val="12"/>
              <w:jc w:val="center"/>
            </w:pPr>
            <w:r>
              <w:rPr>
                <w:rFonts w:hint="eastAsia"/>
              </w:rPr>
              <w:t>—</w:t>
            </w:r>
          </w:p>
        </w:tc>
        <w:tc>
          <w:tcPr>
            <w:tcW w:w="498" w:type="pct"/>
            <w:vAlign w:val="center"/>
          </w:tcPr>
          <w:p w14:paraId="4C82B304">
            <w:pPr>
              <w:pStyle w:val="12"/>
              <w:jc w:val="center"/>
            </w:pPr>
            <w:r>
              <w:rPr>
                <w:rFonts w:hint="eastAsia"/>
              </w:rPr>
              <w:t>1</w:t>
            </w:r>
          </w:p>
        </w:tc>
        <w:tc>
          <w:tcPr>
            <w:tcW w:w="498" w:type="pct"/>
            <w:vAlign w:val="center"/>
          </w:tcPr>
          <w:p w14:paraId="2F084159">
            <w:pPr>
              <w:pStyle w:val="12"/>
              <w:jc w:val="center"/>
            </w:pPr>
            <w:r>
              <w:rPr>
                <w:rFonts w:hint="eastAsia"/>
              </w:rPr>
              <w:t>340</w:t>
            </w:r>
          </w:p>
        </w:tc>
        <w:tc>
          <w:tcPr>
            <w:tcW w:w="427" w:type="pct"/>
            <w:vAlign w:val="center"/>
          </w:tcPr>
          <w:p w14:paraId="67FFF1F7">
            <w:pPr>
              <w:pStyle w:val="12"/>
              <w:jc w:val="center"/>
            </w:pPr>
            <w:r>
              <w:rPr>
                <w:rFonts w:hint="eastAsia"/>
              </w:rPr>
              <w:t>43</w:t>
            </w:r>
          </w:p>
        </w:tc>
        <w:tc>
          <w:tcPr>
            <w:tcW w:w="392" w:type="pct"/>
            <w:vAlign w:val="center"/>
          </w:tcPr>
          <w:p w14:paraId="55285826">
            <w:pPr>
              <w:pStyle w:val="12"/>
              <w:jc w:val="center"/>
            </w:pPr>
            <w:r>
              <w:rPr>
                <w:rFonts w:hint="eastAsia"/>
              </w:rPr>
              <w:t>—</w:t>
            </w:r>
          </w:p>
        </w:tc>
      </w:tr>
      <w:tr w14:paraId="7B16F3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restart"/>
            <w:vAlign w:val="center"/>
          </w:tcPr>
          <w:p w14:paraId="6E73A8B8">
            <w:pPr>
              <w:pStyle w:val="12"/>
              <w:jc w:val="center"/>
            </w:pPr>
            <w:r>
              <w:rPr>
                <w:rFonts w:hint="eastAsia"/>
              </w:rPr>
              <w:t>专业技术资格系列</w:t>
            </w:r>
          </w:p>
        </w:tc>
        <w:tc>
          <w:tcPr>
            <w:tcW w:w="993" w:type="pct"/>
            <w:vAlign w:val="center"/>
          </w:tcPr>
          <w:p w14:paraId="17F68E8B">
            <w:pPr>
              <w:pStyle w:val="12"/>
              <w:jc w:val="left"/>
            </w:pPr>
            <w:r>
              <w:rPr>
                <w:rFonts w:hint="eastAsia"/>
              </w:rPr>
              <w:t>工程技术人员</w:t>
            </w:r>
          </w:p>
        </w:tc>
        <w:tc>
          <w:tcPr>
            <w:tcW w:w="641" w:type="pct"/>
            <w:vAlign w:val="center"/>
          </w:tcPr>
          <w:p w14:paraId="516B5BF5">
            <w:pPr>
              <w:pStyle w:val="12"/>
              <w:jc w:val="center"/>
            </w:pPr>
            <w:r>
              <w:rPr>
                <w:rFonts w:hint="eastAsia"/>
              </w:rPr>
              <w:t>665</w:t>
            </w:r>
          </w:p>
        </w:tc>
        <w:tc>
          <w:tcPr>
            <w:tcW w:w="498" w:type="pct"/>
            <w:vAlign w:val="center"/>
          </w:tcPr>
          <w:p w14:paraId="271C84F1">
            <w:pPr>
              <w:pStyle w:val="12"/>
              <w:jc w:val="center"/>
            </w:pPr>
            <w:r>
              <w:rPr>
                <w:rFonts w:hint="eastAsia"/>
              </w:rPr>
              <w:t>1</w:t>
            </w:r>
          </w:p>
        </w:tc>
        <w:tc>
          <w:tcPr>
            <w:tcW w:w="498" w:type="pct"/>
            <w:vAlign w:val="center"/>
          </w:tcPr>
          <w:p w14:paraId="1DFE38DB">
            <w:pPr>
              <w:pStyle w:val="12"/>
              <w:jc w:val="center"/>
            </w:pPr>
            <w:r>
              <w:rPr>
                <w:rFonts w:hint="eastAsia"/>
              </w:rPr>
              <w:t>—</w:t>
            </w:r>
          </w:p>
        </w:tc>
        <w:tc>
          <w:tcPr>
            <w:tcW w:w="498" w:type="pct"/>
            <w:vAlign w:val="center"/>
          </w:tcPr>
          <w:p w14:paraId="53747A41">
            <w:pPr>
              <w:pStyle w:val="12"/>
              <w:jc w:val="center"/>
            </w:pPr>
            <w:r>
              <w:rPr>
                <w:rFonts w:hint="eastAsia"/>
              </w:rPr>
              <w:t>103</w:t>
            </w:r>
          </w:p>
        </w:tc>
        <w:tc>
          <w:tcPr>
            <w:tcW w:w="498" w:type="pct"/>
            <w:vAlign w:val="center"/>
          </w:tcPr>
          <w:p w14:paraId="531CBBE8">
            <w:pPr>
              <w:pStyle w:val="12"/>
              <w:jc w:val="center"/>
            </w:pPr>
            <w:r>
              <w:rPr>
                <w:rFonts w:hint="eastAsia"/>
              </w:rPr>
              <w:t>346</w:t>
            </w:r>
          </w:p>
        </w:tc>
        <w:tc>
          <w:tcPr>
            <w:tcW w:w="427" w:type="pct"/>
            <w:vAlign w:val="center"/>
          </w:tcPr>
          <w:p w14:paraId="1F383CB3">
            <w:pPr>
              <w:pStyle w:val="12"/>
              <w:jc w:val="center"/>
            </w:pPr>
            <w:r>
              <w:rPr>
                <w:rFonts w:hint="eastAsia"/>
              </w:rPr>
              <w:t>215</w:t>
            </w:r>
          </w:p>
        </w:tc>
        <w:tc>
          <w:tcPr>
            <w:tcW w:w="392" w:type="pct"/>
            <w:vAlign w:val="center"/>
          </w:tcPr>
          <w:p w14:paraId="4772F41A">
            <w:pPr>
              <w:pStyle w:val="12"/>
              <w:jc w:val="center"/>
            </w:pPr>
            <w:r>
              <w:rPr>
                <w:rFonts w:hint="eastAsia"/>
              </w:rPr>
              <w:t>—</w:t>
            </w:r>
          </w:p>
        </w:tc>
      </w:tr>
      <w:tr w14:paraId="07B614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3F87B57A">
            <w:pPr>
              <w:pStyle w:val="12"/>
              <w:jc w:val="center"/>
            </w:pPr>
          </w:p>
        </w:tc>
        <w:tc>
          <w:tcPr>
            <w:tcW w:w="993" w:type="pct"/>
            <w:vAlign w:val="center"/>
          </w:tcPr>
          <w:p w14:paraId="77FA17B5">
            <w:pPr>
              <w:pStyle w:val="12"/>
              <w:jc w:val="left"/>
            </w:pPr>
            <w:r>
              <w:rPr>
                <w:rFonts w:hint="eastAsia"/>
              </w:rPr>
              <w:t>会计专业人员</w:t>
            </w:r>
          </w:p>
        </w:tc>
        <w:tc>
          <w:tcPr>
            <w:tcW w:w="641" w:type="pct"/>
            <w:vAlign w:val="center"/>
          </w:tcPr>
          <w:p w14:paraId="00B73D07">
            <w:pPr>
              <w:pStyle w:val="12"/>
              <w:jc w:val="center"/>
            </w:pPr>
            <w:r>
              <w:rPr>
                <w:rFonts w:hint="eastAsia"/>
              </w:rPr>
              <w:t>311</w:t>
            </w:r>
          </w:p>
        </w:tc>
        <w:tc>
          <w:tcPr>
            <w:tcW w:w="498" w:type="pct"/>
            <w:vAlign w:val="center"/>
          </w:tcPr>
          <w:p w14:paraId="28ADA082">
            <w:pPr>
              <w:pStyle w:val="12"/>
              <w:jc w:val="center"/>
            </w:pPr>
            <w:r>
              <w:rPr>
                <w:rFonts w:hint="eastAsia"/>
              </w:rPr>
              <w:t>—</w:t>
            </w:r>
          </w:p>
        </w:tc>
        <w:tc>
          <w:tcPr>
            <w:tcW w:w="498" w:type="pct"/>
            <w:vAlign w:val="center"/>
          </w:tcPr>
          <w:p w14:paraId="34B5FF6B">
            <w:pPr>
              <w:pStyle w:val="12"/>
              <w:jc w:val="center"/>
            </w:pPr>
            <w:r>
              <w:rPr>
                <w:rFonts w:hint="eastAsia"/>
              </w:rPr>
              <w:t>—</w:t>
            </w:r>
          </w:p>
        </w:tc>
        <w:tc>
          <w:tcPr>
            <w:tcW w:w="498" w:type="pct"/>
            <w:vAlign w:val="center"/>
          </w:tcPr>
          <w:p w14:paraId="0581B34B">
            <w:pPr>
              <w:pStyle w:val="12"/>
              <w:jc w:val="center"/>
            </w:pPr>
            <w:r>
              <w:rPr>
                <w:rFonts w:hint="eastAsia"/>
              </w:rPr>
              <w:t>21</w:t>
            </w:r>
          </w:p>
        </w:tc>
        <w:tc>
          <w:tcPr>
            <w:tcW w:w="498" w:type="pct"/>
            <w:vAlign w:val="center"/>
          </w:tcPr>
          <w:p w14:paraId="61B94E8C">
            <w:pPr>
              <w:pStyle w:val="12"/>
              <w:jc w:val="center"/>
            </w:pPr>
            <w:r>
              <w:rPr>
                <w:rFonts w:hint="eastAsia"/>
              </w:rPr>
              <w:t>122</w:t>
            </w:r>
          </w:p>
        </w:tc>
        <w:tc>
          <w:tcPr>
            <w:tcW w:w="427" w:type="pct"/>
            <w:vAlign w:val="center"/>
          </w:tcPr>
          <w:p w14:paraId="78098409">
            <w:pPr>
              <w:pStyle w:val="12"/>
              <w:jc w:val="center"/>
            </w:pPr>
            <w:r>
              <w:rPr>
                <w:rFonts w:hint="eastAsia"/>
              </w:rPr>
              <w:t>165</w:t>
            </w:r>
          </w:p>
        </w:tc>
        <w:tc>
          <w:tcPr>
            <w:tcW w:w="392" w:type="pct"/>
            <w:vAlign w:val="center"/>
          </w:tcPr>
          <w:p w14:paraId="1E28D75D">
            <w:pPr>
              <w:pStyle w:val="12"/>
              <w:jc w:val="center"/>
            </w:pPr>
            <w:r>
              <w:rPr>
                <w:rFonts w:hint="eastAsia"/>
              </w:rPr>
              <w:t>3</w:t>
            </w:r>
          </w:p>
        </w:tc>
      </w:tr>
      <w:tr w14:paraId="3385FEC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682AB008">
            <w:pPr>
              <w:pStyle w:val="12"/>
              <w:jc w:val="center"/>
            </w:pPr>
          </w:p>
        </w:tc>
        <w:tc>
          <w:tcPr>
            <w:tcW w:w="993" w:type="pct"/>
            <w:vAlign w:val="center"/>
          </w:tcPr>
          <w:p w14:paraId="236B7C00">
            <w:pPr>
              <w:pStyle w:val="12"/>
              <w:jc w:val="left"/>
            </w:pPr>
            <w:r>
              <w:rPr>
                <w:rFonts w:hint="eastAsia"/>
              </w:rPr>
              <w:t>经济技术人员</w:t>
            </w:r>
          </w:p>
        </w:tc>
        <w:tc>
          <w:tcPr>
            <w:tcW w:w="641" w:type="pct"/>
            <w:vAlign w:val="center"/>
          </w:tcPr>
          <w:p w14:paraId="02004D9C">
            <w:pPr>
              <w:pStyle w:val="12"/>
              <w:jc w:val="center"/>
            </w:pPr>
            <w:r>
              <w:rPr>
                <w:rFonts w:hint="eastAsia"/>
              </w:rPr>
              <w:t>333</w:t>
            </w:r>
          </w:p>
        </w:tc>
        <w:tc>
          <w:tcPr>
            <w:tcW w:w="498" w:type="pct"/>
            <w:vAlign w:val="center"/>
          </w:tcPr>
          <w:p w14:paraId="038521E1">
            <w:pPr>
              <w:pStyle w:val="12"/>
              <w:jc w:val="center"/>
            </w:pPr>
            <w:r>
              <w:rPr>
                <w:rFonts w:hint="eastAsia"/>
              </w:rPr>
              <w:t>1</w:t>
            </w:r>
          </w:p>
        </w:tc>
        <w:tc>
          <w:tcPr>
            <w:tcW w:w="498" w:type="pct"/>
            <w:vAlign w:val="center"/>
          </w:tcPr>
          <w:p w14:paraId="517BF96B">
            <w:pPr>
              <w:pStyle w:val="12"/>
              <w:jc w:val="center"/>
            </w:pPr>
            <w:r>
              <w:rPr>
                <w:rFonts w:hint="eastAsia"/>
              </w:rPr>
              <w:t>—</w:t>
            </w:r>
          </w:p>
        </w:tc>
        <w:tc>
          <w:tcPr>
            <w:tcW w:w="498" w:type="pct"/>
            <w:vAlign w:val="center"/>
          </w:tcPr>
          <w:p w14:paraId="12FAD08B">
            <w:pPr>
              <w:pStyle w:val="12"/>
              <w:jc w:val="center"/>
            </w:pPr>
            <w:r>
              <w:rPr>
                <w:rFonts w:hint="eastAsia"/>
              </w:rPr>
              <w:t>78</w:t>
            </w:r>
          </w:p>
        </w:tc>
        <w:tc>
          <w:tcPr>
            <w:tcW w:w="498" w:type="pct"/>
            <w:vAlign w:val="center"/>
          </w:tcPr>
          <w:p w14:paraId="7FDB18E4">
            <w:pPr>
              <w:pStyle w:val="12"/>
              <w:jc w:val="center"/>
            </w:pPr>
            <w:r>
              <w:rPr>
                <w:rFonts w:hint="eastAsia"/>
              </w:rPr>
              <w:t>129</w:t>
            </w:r>
          </w:p>
        </w:tc>
        <w:tc>
          <w:tcPr>
            <w:tcW w:w="427" w:type="pct"/>
            <w:vAlign w:val="center"/>
          </w:tcPr>
          <w:p w14:paraId="23C96A95">
            <w:pPr>
              <w:pStyle w:val="12"/>
              <w:jc w:val="center"/>
            </w:pPr>
            <w:r>
              <w:rPr>
                <w:rFonts w:hint="eastAsia"/>
              </w:rPr>
              <w:t>112</w:t>
            </w:r>
          </w:p>
        </w:tc>
        <w:tc>
          <w:tcPr>
            <w:tcW w:w="392" w:type="pct"/>
            <w:vAlign w:val="center"/>
          </w:tcPr>
          <w:p w14:paraId="047AC5C8">
            <w:pPr>
              <w:pStyle w:val="12"/>
              <w:jc w:val="center"/>
            </w:pPr>
            <w:r>
              <w:rPr>
                <w:rFonts w:hint="eastAsia"/>
              </w:rPr>
              <w:t>13</w:t>
            </w:r>
          </w:p>
        </w:tc>
      </w:tr>
      <w:tr w14:paraId="0A1CC9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638E277C">
            <w:pPr>
              <w:pStyle w:val="12"/>
              <w:jc w:val="center"/>
            </w:pPr>
          </w:p>
        </w:tc>
        <w:tc>
          <w:tcPr>
            <w:tcW w:w="993" w:type="pct"/>
            <w:vAlign w:val="center"/>
          </w:tcPr>
          <w:p w14:paraId="5D3078B0">
            <w:pPr>
              <w:pStyle w:val="12"/>
              <w:jc w:val="left"/>
            </w:pPr>
            <w:r>
              <w:rPr>
                <w:rFonts w:hint="eastAsia"/>
              </w:rPr>
              <w:t>农业技术人员</w:t>
            </w:r>
          </w:p>
        </w:tc>
        <w:tc>
          <w:tcPr>
            <w:tcW w:w="641" w:type="pct"/>
            <w:vAlign w:val="center"/>
          </w:tcPr>
          <w:p w14:paraId="4171145C">
            <w:pPr>
              <w:pStyle w:val="12"/>
              <w:jc w:val="center"/>
            </w:pPr>
            <w:r>
              <w:rPr>
                <w:rFonts w:hint="eastAsia"/>
              </w:rPr>
              <w:t>322</w:t>
            </w:r>
          </w:p>
        </w:tc>
        <w:tc>
          <w:tcPr>
            <w:tcW w:w="498" w:type="pct"/>
            <w:vAlign w:val="center"/>
          </w:tcPr>
          <w:p w14:paraId="41F801D7">
            <w:pPr>
              <w:pStyle w:val="12"/>
              <w:jc w:val="center"/>
            </w:pPr>
            <w:r>
              <w:rPr>
                <w:rFonts w:hint="eastAsia"/>
              </w:rPr>
              <w:t>—</w:t>
            </w:r>
          </w:p>
        </w:tc>
        <w:tc>
          <w:tcPr>
            <w:tcW w:w="498" w:type="pct"/>
            <w:vAlign w:val="center"/>
          </w:tcPr>
          <w:p w14:paraId="382FDCC3">
            <w:pPr>
              <w:pStyle w:val="12"/>
              <w:jc w:val="center"/>
            </w:pPr>
            <w:r>
              <w:rPr>
                <w:rFonts w:hint="eastAsia"/>
              </w:rPr>
              <w:t>—</w:t>
            </w:r>
          </w:p>
        </w:tc>
        <w:tc>
          <w:tcPr>
            <w:tcW w:w="498" w:type="pct"/>
            <w:vAlign w:val="center"/>
          </w:tcPr>
          <w:p w14:paraId="44BD7BB2">
            <w:pPr>
              <w:pStyle w:val="12"/>
              <w:jc w:val="center"/>
            </w:pPr>
            <w:r>
              <w:rPr>
                <w:rFonts w:hint="eastAsia"/>
              </w:rPr>
              <w:t>67</w:t>
            </w:r>
          </w:p>
        </w:tc>
        <w:tc>
          <w:tcPr>
            <w:tcW w:w="498" w:type="pct"/>
            <w:vAlign w:val="center"/>
          </w:tcPr>
          <w:p w14:paraId="424BDADD">
            <w:pPr>
              <w:pStyle w:val="12"/>
              <w:jc w:val="center"/>
            </w:pPr>
            <w:r>
              <w:rPr>
                <w:rFonts w:hint="eastAsia"/>
              </w:rPr>
              <w:t>167</w:t>
            </w:r>
          </w:p>
        </w:tc>
        <w:tc>
          <w:tcPr>
            <w:tcW w:w="427" w:type="pct"/>
            <w:vAlign w:val="center"/>
          </w:tcPr>
          <w:p w14:paraId="1E853F75">
            <w:pPr>
              <w:pStyle w:val="12"/>
              <w:jc w:val="center"/>
            </w:pPr>
            <w:r>
              <w:rPr>
                <w:rFonts w:hint="eastAsia"/>
              </w:rPr>
              <w:t>88</w:t>
            </w:r>
          </w:p>
        </w:tc>
        <w:tc>
          <w:tcPr>
            <w:tcW w:w="392" w:type="pct"/>
            <w:vAlign w:val="center"/>
          </w:tcPr>
          <w:p w14:paraId="3DEDB844">
            <w:pPr>
              <w:pStyle w:val="12"/>
              <w:jc w:val="center"/>
            </w:pPr>
            <w:r>
              <w:rPr>
                <w:rFonts w:hint="eastAsia"/>
              </w:rPr>
              <w:t>—</w:t>
            </w:r>
          </w:p>
        </w:tc>
      </w:tr>
      <w:tr w14:paraId="2FEC3E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348C18EC">
            <w:pPr>
              <w:pStyle w:val="12"/>
              <w:jc w:val="center"/>
            </w:pPr>
          </w:p>
        </w:tc>
        <w:tc>
          <w:tcPr>
            <w:tcW w:w="993" w:type="pct"/>
            <w:vAlign w:val="center"/>
          </w:tcPr>
          <w:p w14:paraId="7936DBEE">
            <w:pPr>
              <w:pStyle w:val="12"/>
              <w:jc w:val="left"/>
            </w:pPr>
            <w:r>
              <w:rPr>
                <w:rFonts w:hint="eastAsia"/>
              </w:rPr>
              <w:t>统计专业人员</w:t>
            </w:r>
          </w:p>
        </w:tc>
        <w:tc>
          <w:tcPr>
            <w:tcW w:w="641" w:type="pct"/>
            <w:vAlign w:val="center"/>
          </w:tcPr>
          <w:p w14:paraId="0929498F">
            <w:pPr>
              <w:pStyle w:val="12"/>
              <w:jc w:val="center"/>
            </w:pPr>
            <w:r>
              <w:rPr>
                <w:rFonts w:hint="eastAsia"/>
              </w:rPr>
              <w:t>60</w:t>
            </w:r>
          </w:p>
        </w:tc>
        <w:tc>
          <w:tcPr>
            <w:tcW w:w="498" w:type="pct"/>
            <w:vAlign w:val="center"/>
          </w:tcPr>
          <w:p w14:paraId="317FBE11">
            <w:pPr>
              <w:pStyle w:val="12"/>
              <w:jc w:val="center"/>
            </w:pPr>
            <w:r>
              <w:rPr>
                <w:rFonts w:hint="eastAsia"/>
              </w:rPr>
              <w:t>—</w:t>
            </w:r>
          </w:p>
        </w:tc>
        <w:tc>
          <w:tcPr>
            <w:tcW w:w="498" w:type="pct"/>
            <w:vAlign w:val="center"/>
          </w:tcPr>
          <w:p w14:paraId="39811575">
            <w:pPr>
              <w:pStyle w:val="12"/>
              <w:jc w:val="center"/>
            </w:pPr>
            <w:r>
              <w:rPr>
                <w:rFonts w:hint="eastAsia"/>
              </w:rPr>
              <w:t>—</w:t>
            </w:r>
          </w:p>
        </w:tc>
        <w:tc>
          <w:tcPr>
            <w:tcW w:w="498" w:type="pct"/>
            <w:vAlign w:val="center"/>
          </w:tcPr>
          <w:p w14:paraId="751ABADE">
            <w:pPr>
              <w:pStyle w:val="12"/>
              <w:jc w:val="center"/>
            </w:pPr>
            <w:r>
              <w:rPr>
                <w:rFonts w:hint="eastAsia"/>
              </w:rPr>
              <w:t>9</w:t>
            </w:r>
          </w:p>
        </w:tc>
        <w:tc>
          <w:tcPr>
            <w:tcW w:w="498" w:type="pct"/>
            <w:vAlign w:val="center"/>
          </w:tcPr>
          <w:p w14:paraId="2EA9F7DF">
            <w:pPr>
              <w:pStyle w:val="12"/>
              <w:jc w:val="center"/>
            </w:pPr>
            <w:r>
              <w:rPr>
                <w:rFonts w:hint="eastAsia"/>
              </w:rPr>
              <w:t>8</w:t>
            </w:r>
          </w:p>
        </w:tc>
        <w:tc>
          <w:tcPr>
            <w:tcW w:w="427" w:type="pct"/>
            <w:vAlign w:val="center"/>
          </w:tcPr>
          <w:p w14:paraId="6DEFDD06">
            <w:pPr>
              <w:pStyle w:val="12"/>
              <w:jc w:val="center"/>
            </w:pPr>
            <w:r>
              <w:rPr>
                <w:rFonts w:hint="eastAsia"/>
              </w:rPr>
              <w:t>41</w:t>
            </w:r>
          </w:p>
        </w:tc>
        <w:tc>
          <w:tcPr>
            <w:tcW w:w="392" w:type="pct"/>
            <w:vAlign w:val="center"/>
          </w:tcPr>
          <w:p w14:paraId="08B0CA7C">
            <w:pPr>
              <w:pStyle w:val="12"/>
              <w:jc w:val="center"/>
            </w:pPr>
            <w:r>
              <w:rPr>
                <w:rFonts w:hint="eastAsia"/>
              </w:rPr>
              <w:t>2</w:t>
            </w:r>
          </w:p>
        </w:tc>
      </w:tr>
      <w:tr w14:paraId="049BE79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07023493">
            <w:pPr>
              <w:pStyle w:val="12"/>
              <w:jc w:val="center"/>
            </w:pPr>
          </w:p>
        </w:tc>
        <w:tc>
          <w:tcPr>
            <w:tcW w:w="993" w:type="pct"/>
            <w:vAlign w:val="center"/>
          </w:tcPr>
          <w:p w14:paraId="3B359920">
            <w:pPr>
              <w:pStyle w:val="12"/>
              <w:jc w:val="left"/>
            </w:pPr>
            <w:r>
              <w:rPr>
                <w:rFonts w:hint="eastAsia"/>
              </w:rPr>
              <w:t>图书资料专业人员</w:t>
            </w:r>
          </w:p>
        </w:tc>
        <w:tc>
          <w:tcPr>
            <w:tcW w:w="641" w:type="pct"/>
            <w:vAlign w:val="center"/>
          </w:tcPr>
          <w:p w14:paraId="0542C146">
            <w:pPr>
              <w:pStyle w:val="12"/>
              <w:jc w:val="center"/>
            </w:pPr>
            <w:r>
              <w:rPr>
                <w:rFonts w:hint="eastAsia"/>
              </w:rPr>
              <w:t>27</w:t>
            </w:r>
          </w:p>
        </w:tc>
        <w:tc>
          <w:tcPr>
            <w:tcW w:w="498" w:type="pct"/>
            <w:vAlign w:val="center"/>
          </w:tcPr>
          <w:p w14:paraId="6DE36357">
            <w:pPr>
              <w:pStyle w:val="12"/>
              <w:jc w:val="center"/>
            </w:pPr>
            <w:r>
              <w:rPr>
                <w:rFonts w:hint="eastAsia"/>
              </w:rPr>
              <w:t>—</w:t>
            </w:r>
          </w:p>
        </w:tc>
        <w:tc>
          <w:tcPr>
            <w:tcW w:w="498" w:type="pct"/>
            <w:vAlign w:val="center"/>
          </w:tcPr>
          <w:p w14:paraId="120F1076">
            <w:pPr>
              <w:pStyle w:val="12"/>
              <w:jc w:val="center"/>
            </w:pPr>
            <w:r>
              <w:rPr>
                <w:rFonts w:hint="eastAsia"/>
              </w:rPr>
              <w:t>—</w:t>
            </w:r>
          </w:p>
        </w:tc>
        <w:tc>
          <w:tcPr>
            <w:tcW w:w="498" w:type="pct"/>
            <w:vAlign w:val="center"/>
          </w:tcPr>
          <w:p w14:paraId="1943C209">
            <w:pPr>
              <w:pStyle w:val="12"/>
              <w:jc w:val="center"/>
            </w:pPr>
            <w:r>
              <w:rPr>
                <w:rFonts w:hint="eastAsia"/>
              </w:rPr>
              <w:t>2</w:t>
            </w:r>
          </w:p>
        </w:tc>
        <w:tc>
          <w:tcPr>
            <w:tcW w:w="498" w:type="pct"/>
            <w:vAlign w:val="center"/>
          </w:tcPr>
          <w:p w14:paraId="120C2D97">
            <w:pPr>
              <w:pStyle w:val="12"/>
              <w:jc w:val="center"/>
            </w:pPr>
            <w:r>
              <w:rPr>
                <w:rFonts w:hint="eastAsia"/>
              </w:rPr>
              <w:t>21</w:t>
            </w:r>
          </w:p>
        </w:tc>
        <w:tc>
          <w:tcPr>
            <w:tcW w:w="427" w:type="pct"/>
            <w:vAlign w:val="center"/>
          </w:tcPr>
          <w:p w14:paraId="2B5670DE">
            <w:pPr>
              <w:pStyle w:val="12"/>
              <w:jc w:val="center"/>
            </w:pPr>
            <w:r>
              <w:rPr>
                <w:rFonts w:hint="eastAsia"/>
              </w:rPr>
              <w:t>4</w:t>
            </w:r>
          </w:p>
        </w:tc>
        <w:tc>
          <w:tcPr>
            <w:tcW w:w="392" w:type="pct"/>
            <w:vAlign w:val="center"/>
          </w:tcPr>
          <w:p w14:paraId="3DB34CDB">
            <w:pPr>
              <w:pStyle w:val="12"/>
              <w:jc w:val="center"/>
            </w:pPr>
            <w:r>
              <w:rPr>
                <w:rFonts w:hint="eastAsia"/>
              </w:rPr>
              <w:t>—</w:t>
            </w:r>
          </w:p>
        </w:tc>
      </w:tr>
      <w:tr w14:paraId="43151DE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555" w:type="pct"/>
            <w:vMerge w:val="continue"/>
            <w:vAlign w:val="center"/>
          </w:tcPr>
          <w:p w14:paraId="3F39D3C6">
            <w:pPr>
              <w:pStyle w:val="12"/>
              <w:jc w:val="center"/>
            </w:pPr>
          </w:p>
        </w:tc>
        <w:tc>
          <w:tcPr>
            <w:tcW w:w="993" w:type="pct"/>
            <w:vAlign w:val="center"/>
          </w:tcPr>
          <w:p w14:paraId="55788342">
            <w:pPr>
              <w:pStyle w:val="12"/>
              <w:jc w:val="left"/>
            </w:pPr>
            <w:r>
              <w:rPr>
                <w:rFonts w:hint="eastAsia"/>
              </w:rPr>
              <w:t>卫生技术人员</w:t>
            </w:r>
          </w:p>
        </w:tc>
        <w:tc>
          <w:tcPr>
            <w:tcW w:w="641" w:type="pct"/>
            <w:vAlign w:val="center"/>
          </w:tcPr>
          <w:p w14:paraId="5489F3AF">
            <w:pPr>
              <w:pStyle w:val="12"/>
              <w:jc w:val="center"/>
            </w:pPr>
            <w:r>
              <w:rPr>
                <w:rFonts w:hint="eastAsia"/>
              </w:rPr>
              <w:t>1130</w:t>
            </w:r>
          </w:p>
        </w:tc>
        <w:tc>
          <w:tcPr>
            <w:tcW w:w="498" w:type="pct"/>
            <w:vAlign w:val="center"/>
          </w:tcPr>
          <w:p w14:paraId="3E00B41B">
            <w:pPr>
              <w:pStyle w:val="12"/>
              <w:jc w:val="center"/>
            </w:pPr>
            <w:r>
              <w:rPr>
                <w:rFonts w:hint="eastAsia"/>
              </w:rPr>
              <w:t>19</w:t>
            </w:r>
          </w:p>
        </w:tc>
        <w:tc>
          <w:tcPr>
            <w:tcW w:w="498" w:type="pct"/>
            <w:vAlign w:val="center"/>
          </w:tcPr>
          <w:p w14:paraId="0920DE68">
            <w:pPr>
              <w:pStyle w:val="12"/>
              <w:jc w:val="center"/>
            </w:pPr>
            <w:r>
              <w:rPr>
                <w:rFonts w:hint="eastAsia"/>
              </w:rPr>
              <w:t>—</w:t>
            </w:r>
          </w:p>
        </w:tc>
        <w:tc>
          <w:tcPr>
            <w:tcW w:w="498" w:type="pct"/>
            <w:vAlign w:val="center"/>
          </w:tcPr>
          <w:p w14:paraId="008F14E4">
            <w:pPr>
              <w:pStyle w:val="12"/>
              <w:jc w:val="center"/>
            </w:pPr>
            <w:r>
              <w:rPr>
                <w:rFonts w:hint="eastAsia"/>
              </w:rPr>
              <w:t>202</w:t>
            </w:r>
          </w:p>
        </w:tc>
        <w:tc>
          <w:tcPr>
            <w:tcW w:w="498" w:type="pct"/>
            <w:vAlign w:val="center"/>
          </w:tcPr>
          <w:p w14:paraId="4830F5DF">
            <w:pPr>
              <w:pStyle w:val="12"/>
              <w:jc w:val="center"/>
            </w:pPr>
            <w:r>
              <w:rPr>
                <w:rFonts w:hint="eastAsia"/>
              </w:rPr>
              <w:t>436</w:t>
            </w:r>
          </w:p>
        </w:tc>
        <w:tc>
          <w:tcPr>
            <w:tcW w:w="427" w:type="pct"/>
            <w:vAlign w:val="center"/>
          </w:tcPr>
          <w:p w14:paraId="0EE14952">
            <w:pPr>
              <w:pStyle w:val="12"/>
              <w:jc w:val="center"/>
            </w:pPr>
            <w:r>
              <w:rPr>
                <w:rFonts w:hint="eastAsia"/>
              </w:rPr>
              <w:t>472</w:t>
            </w:r>
          </w:p>
        </w:tc>
        <w:tc>
          <w:tcPr>
            <w:tcW w:w="392" w:type="pct"/>
            <w:vAlign w:val="center"/>
          </w:tcPr>
          <w:p w14:paraId="1EFBCD2B">
            <w:pPr>
              <w:pStyle w:val="12"/>
              <w:jc w:val="center"/>
            </w:pPr>
            <w:r>
              <w:rPr>
                <w:rFonts w:hint="eastAsia"/>
              </w:rPr>
              <w:t>1</w:t>
            </w:r>
          </w:p>
        </w:tc>
      </w:tr>
      <w:tr w14:paraId="467683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4D39F20C">
            <w:pPr>
              <w:pStyle w:val="12"/>
              <w:jc w:val="center"/>
            </w:pPr>
          </w:p>
        </w:tc>
        <w:tc>
          <w:tcPr>
            <w:tcW w:w="993" w:type="pct"/>
            <w:vAlign w:val="center"/>
          </w:tcPr>
          <w:p w14:paraId="26A008A8">
            <w:pPr>
              <w:pStyle w:val="12"/>
              <w:jc w:val="left"/>
            </w:pPr>
            <w:r>
              <w:rPr>
                <w:rFonts w:hint="eastAsia"/>
              </w:rPr>
              <w:t>小学、幼儿园教师</w:t>
            </w:r>
          </w:p>
        </w:tc>
        <w:tc>
          <w:tcPr>
            <w:tcW w:w="641" w:type="pct"/>
            <w:vAlign w:val="center"/>
          </w:tcPr>
          <w:p w14:paraId="00B613E9">
            <w:pPr>
              <w:pStyle w:val="12"/>
              <w:jc w:val="center"/>
            </w:pPr>
            <w:r>
              <w:rPr>
                <w:rFonts w:hint="eastAsia"/>
              </w:rPr>
              <w:t>3614</w:t>
            </w:r>
          </w:p>
        </w:tc>
        <w:tc>
          <w:tcPr>
            <w:tcW w:w="498" w:type="pct"/>
            <w:vAlign w:val="center"/>
          </w:tcPr>
          <w:p w14:paraId="1E80A069">
            <w:pPr>
              <w:pStyle w:val="12"/>
              <w:jc w:val="center"/>
            </w:pPr>
            <w:r>
              <w:rPr>
                <w:rFonts w:hint="eastAsia"/>
              </w:rPr>
              <w:t>—</w:t>
            </w:r>
          </w:p>
        </w:tc>
        <w:tc>
          <w:tcPr>
            <w:tcW w:w="498" w:type="pct"/>
            <w:vAlign w:val="center"/>
          </w:tcPr>
          <w:p w14:paraId="32952321">
            <w:pPr>
              <w:pStyle w:val="12"/>
              <w:jc w:val="center"/>
            </w:pPr>
            <w:r>
              <w:rPr>
                <w:rFonts w:hint="eastAsia"/>
              </w:rPr>
              <w:t>—</w:t>
            </w:r>
          </w:p>
        </w:tc>
        <w:tc>
          <w:tcPr>
            <w:tcW w:w="498" w:type="pct"/>
            <w:vAlign w:val="center"/>
          </w:tcPr>
          <w:p w14:paraId="799F0026">
            <w:pPr>
              <w:pStyle w:val="12"/>
              <w:jc w:val="center"/>
            </w:pPr>
            <w:r>
              <w:rPr>
                <w:rFonts w:hint="eastAsia"/>
              </w:rPr>
              <w:t>1404</w:t>
            </w:r>
          </w:p>
        </w:tc>
        <w:tc>
          <w:tcPr>
            <w:tcW w:w="498" w:type="pct"/>
            <w:vAlign w:val="center"/>
          </w:tcPr>
          <w:p w14:paraId="351CEB5D">
            <w:pPr>
              <w:pStyle w:val="12"/>
              <w:jc w:val="center"/>
            </w:pPr>
            <w:r>
              <w:rPr>
                <w:rFonts w:hint="eastAsia"/>
              </w:rPr>
              <w:t>2121</w:t>
            </w:r>
          </w:p>
        </w:tc>
        <w:tc>
          <w:tcPr>
            <w:tcW w:w="427" w:type="pct"/>
            <w:vAlign w:val="center"/>
          </w:tcPr>
          <w:p w14:paraId="19437D08">
            <w:pPr>
              <w:pStyle w:val="12"/>
              <w:jc w:val="center"/>
            </w:pPr>
            <w:r>
              <w:rPr>
                <w:rFonts w:hint="eastAsia"/>
              </w:rPr>
              <w:t>89</w:t>
            </w:r>
          </w:p>
        </w:tc>
        <w:tc>
          <w:tcPr>
            <w:tcW w:w="392" w:type="pct"/>
            <w:vAlign w:val="center"/>
          </w:tcPr>
          <w:p w14:paraId="639A3EDC">
            <w:pPr>
              <w:pStyle w:val="12"/>
              <w:jc w:val="center"/>
            </w:pPr>
            <w:r>
              <w:rPr>
                <w:rFonts w:hint="eastAsia"/>
              </w:rPr>
              <w:t>—</w:t>
            </w:r>
          </w:p>
        </w:tc>
      </w:tr>
      <w:tr w14:paraId="08B3EA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0A7AF9B9">
            <w:pPr>
              <w:pStyle w:val="12"/>
              <w:jc w:val="center"/>
            </w:pPr>
          </w:p>
        </w:tc>
        <w:tc>
          <w:tcPr>
            <w:tcW w:w="993" w:type="pct"/>
            <w:vAlign w:val="center"/>
          </w:tcPr>
          <w:p w14:paraId="6918CB01">
            <w:pPr>
              <w:pStyle w:val="12"/>
              <w:jc w:val="left"/>
            </w:pPr>
            <w:r>
              <w:rPr>
                <w:rFonts w:hint="eastAsia"/>
              </w:rPr>
              <w:t>新闻专业人员</w:t>
            </w:r>
          </w:p>
        </w:tc>
        <w:tc>
          <w:tcPr>
            <w:tcW w:w="641" w:type="pct"/>
            <w:vAlign w:val="center"/>
          </w:tcPr>
          <w:p w14:paraId="544F84FC">
            <w:pPr>
              <w:pStyle w:val="12"/>
              <w:jc w:val="center"/>
            </w:pPr>
            <w:r>
              <w:rPr>
                <w:rFonts w:hint="eastAsia"/>
              </w:rPr>
              <w:t>21</w:t>
            </w:r>
          </w:p>
        </w:tc>
        <w:tc>
          <w:tcPr>
            <w:tcW w:w="498" w:type="pct"/>
            <w:vAlign w:val="center"/>
          </w:tcPr>
          <w:p w14:paraId="4DA2EF6B">
            <w:pPr>
              <w:pStyle w:val="12"/>
              <w:jc w:val="center"/>
            </w:pPr>
            <w:r>
              <w:rPr>
                <w:rFonts w:hint="eastAsia"/>
              </w:rPr>
              <w:t>—</w:t>
            </w:r>
          </w:p>
        </w:tc>
        <w:tc>
          <w:tcPr>
            <w:tcW w:w="498" w:type="pct"/>
            <w:vAlign w:val="center"/>
          </w:tcPr>
          <w:p w14:paraId="10F77280">
            <w:pPr>
              <w:pStyle w:val="12"/>
              <w:jc w:val="center"/>
            </w:pPr>
            <w:r>
              <w:rPr>
                <w:rFonts w:hint="eastAsia"/>
              </w:rPr>
              <w:t>—</w:t>
            </w:r>
          </w:p>
        </w:tc>
        <w:tc>
          <w:tcPr>
            <w:tcW w:w="498" w:type="pct"/>
            <w:vAlign w:val="center"/>
          </w:tcPr>
          <w:p w14:paraId="010DC1A7">
            <w:pPr>
              <w:pStyle w:val="12"/>
              <w:jc w:val="center"/>
            </w:pPr>
            <w:r>
              <w:rPr>
                <w:rFonts w:hint="eastAsia"/>
              </w:rPr>
              <w:t>4</w:t>
            </w:r>
          </w:p>
        </w:tc>
        <w:tc>
          <w:tcPr>
            <w:tcW w:w="498" w:type="pct"/>
            <w:vAlign w:val="center"/>
          </w:tcPr>
          <w:p w14:paraId="3CE3DD21">
            <w:pPr>
              <w:pStyle w:val="12"/>
              <w:jc w:val="center"/>
            </w:pPr>
            <w:r>
              <w:rPr>
                <w:rFonts w:hint="eastAsia"/>
              </w:rPr>
              <w:t>15</w:t>
            </w:r>
          </w:p>
        </w:tc>
        <w:tc>
          <w:tcPr>
            <w:tcW w:w="427" w:type="pct"/>
            <w:vAlign w:val="center"/>
          </w:tcPr>
          <w:p w14:paraId="40568908">
            <w:pPr>
              <w:pStyle w:val="12"/>
              <w:jc w:val="center"/>
            </w:pPr>
            <w:r>
              <w:rPr>
                <w:rFonts w:hint="eastAsia"/>
              </w:rPr>
              <w:t>2</w:t>
            </w:r>
          </w:p>
        </w:tc>
        <w:tc>
          <w:tcPr>
            <w:tcW w:w="392" w:type="pct"/>
            <w:vAlign w:val="center"/>
          </w:tcPr>
          <w:p w14:paraId="52B283B0">
            <w:pPr>
              <w:pStyle w:val="12"/>
              <w:jc w:val="center"/>
            </w:pPr>
            <w:r>
              <w:rPr>
                <w:rFonts w:hint="eastAsia"/>
              </w:rPr>
              <w:t>—</w:t>
            </w:r>
          </w:p>
        </w:tc>
      </w:tr>
      <w:tr w14:paraId="344240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3EF84B7F">
            <w:pPr>
              <w:pStyle w:val="12"/>
              <w:jc w:val="center"/>
            </w:pPr>
          </w:p>
        </w:tc>
        <w:tc>
          <w:tcPr>
            <w:tcW w:w="993" w:type="pct"/>
            <w:tcBorders>
              <w:bottom w:val="single" w:color="auto" w:sz="4" w:space="0"/>
            </w:tcBorders>
            <w:vAlign w:val="center"/>
          </w:tcPr>
          <w:p w14:paraId="0525156B">
            <w:pPr>
              <w:pStyle w:val="12"/>
              <w:jc w:val="left"/>
            </w:pPr>
            <w:r>
              <w:rPr>
                <w:rFonts w:hint="eastAsia"/>
              </w:rPr>
              <w:t>艺术专业人员</w:t>
            </w:r>
          </w:p>
        </w:tc>
        <w:tc>
          <w:tcPr>
            <w:tcW w:w="641" w:type="pct"/>
            <w:tcBorders>
              <w:bottom w:val="single" w:color="auto" w:sz="4" w:space="0"/>
            </w:tcBorders>
            <w:vAlign w:val="center"/>
          </w:tcPr>
          <w:p w14:paraId="64B85261">
            <w:pPr>
              <w:pStyle w:val="12"/>
              <w:jc w:val="center"/>
            </w:pPr>
            <w:r>
              <w:rPr>
                <w:rFonts w:hint="eastAsia"/>
              </w:rPr>
              <w:t>32</w:t>
            </w:r>
          </w:p>
        </w:tc>
        <w:tc>
          <w:tcPr>
            <w:tcW w:w="498" w:type="pct"/>
            <w:tcBorders>
              <w:bottom w:val="single" w:color="auto" w:sz="4" w:space="0"/>
            </w:tcBorders>
            <w:vAlign w:val="center"/>
          </w:tcPr>
          <w:p w14:paraId="5AF9DF3C">
            <w:pPr>
              <w:pStyle w:val="12"/>
              <w:jc w:val="center"/>
            </w:pPr>
            <w:r>
              <w:rPr>
                <w:rFonts w:hint="eastAsia"/>
              </w:rPr>
              <w:t>—</w:t>
            </w:r>
          </w:p>
        </w:tc>
        <w:tc>
          <w:tcPr>
            <w:tcW w:w="498" w:type="pct"/>
            <w:tcBorders>
              <w:bottom w:val="single" w:color="auto" w:sz="4" w:space="0"/>
            </w:tcBorders>
            <w:vAlign w:val="center"/>
          </w:tcPr>
          <w:p w14:paraId="1445DB81">
            <w:pPr>
              <w:pStyle w:val="12"/>
              <w:jc w:val="center"/>
            </w:pPr>
            <w:r>
              <w:rPr>
                <w:rFonts w:hint="eastAsia"/>
              </w:rPr>
              <w:t>—</w:t>
            </w:r>
          </w:p>
        </w:tc>
        <w:tc>
          <w:tcPr>
            <w:tcW w:w="498" w:type="pct"/>
            <w:tcBorders>
              <w:bottom w:val="single" w:color="auto" w:sz="4" w:space="0"/>
            </w:tcBorders>
            <w:vAlign w:val="center"/>
          </w:tcPr>
          <w:p w14:paraId="2F8730D5">
            <w:pPr>
              <w:pStyle w:val="12"/>
              <w:jc w:val="center"/>
            </w:pPr>
            <w:r>
              <w:rPr>
                <w:rFonts w:hint="eastAsia"/>
              </w:rPr>
              <w:t>3</w:t>
            </w:r>
          </w:p>
        </w:tc>
        <w:tc>
          <w:tcPr>
            <w:tcW w:w="498" w:type="pct"/>
            <w:tcBorders>
              <w:bottom w:val="single" w:color="auto" w:sz="4" w:space="0"/>
            </w:tcBorders>
            <w:vAlign w:val="center"/>
          </w:tcPr>
          <w:p w14:paraId="14E237D0">
            <w:pPr>
              <w:pStyle w:val="12"/>
              <w:jc w:val="center"/>
            </w:pPr>
            <w:r>
              <w:rPr>
                <w:rFonts w:hint="eastAsia"/>
              </w:rPr>
              <w:t>17</w:t>
            </w:r>
          </w:p>
        </w:tc>
        <w:tc>
          <w:tcPr>
            <w:tcW w:w="427" w:type="pct"/>
            <w:tcBorders>
              <w:bottom w:val="single" w:color="auto" w:sz="4" w:space="0"/>
            </w:tcBorders>
            <w:vAlign w:val="center"/>
          </w:tcPr>
          <w:p w14:paraId="26CCCAFB">
            <w:pPr>
              <w:pStyle w:val="12"/>
              <w:jc w:val="center"/>
            </w:pPr>
            <w:r>
              <w:rPr>
                <w:rFonts w:hint="eastAsia"/>
              </w:rPr>
              <w:t>12</w:t>
            </w:r>
          </w:p>
        </w:tc>
        <w:tc>
          <w:tcPr>
            <w:tcW w:w="392" w:type="pct"/>
            <w:tcBorders>
              <w:bottom w:val="single" w:color="auto" w:sz="4" w:space="0"/>
            </w:tcBorders>
            <w:vAlign w:val="center"/>
          </w:tcPr>
          <w:p w14:paraId="0E002184">
            <w:pPr>
              <w:pStyle w:val="12"/>
              <w:jc w:val="center"/>
            </w:pPr>
            <w:r>
              <w:rPr>
                <w:rFonts w:hint="eastAsia"/>
              </w:rPr>
              <w:t>—</w:t>
            </w:r>
          </w:p>
        </w:tc>
      </w:tr>
      <w:tr w14:paraId="3FC1F8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6C7AF705">
            <w:pPr>
              <w:pStyle w:val="12"/>
              <w:jc w:val="center"/>
            </w:pPr>
          </w:p>
        </w:tc>
        <w:tc>
          <w:tcPr>
            <w:tcW w:w="993" w:type="pct"/>
            <w:vAlign w:val="center"/>
          </w:tcPr>
          <w:p w14:paraId="7395C72F">
            <w:pPr>
              <w:pStyle w:val="12"/>
              <w:jc w:val="left"/>
            </w:pPr>
            <w:r>
              <w:rPr>
                <w:rFonts w:hint="eastAsia"/>
              </w:rPr>
              <w:t>工艺美术</w:t>
            </w:r>
          </w:p>
        </w:tc>
        <w:tc>
          <w:tcPr>
            <w:tcW w:w="641" w:type="pct"/>
            <w:vAlign w:val="center"/>
          </w:tcPr>
          <w:p w14:paraId="5CEFA6F0">
            <w:pPr>
              <w:pStyle w:val="12"/>
              <w:jc w:val="center"/>
            </w:pPr>
            <w:r>
              <w:rPr>
                <w:rFonts w:hint="eastAsia"/>
              </w:rPr>
              <w:t>5</w:t>
            </w:r>
          </w:p>
        </w:tc>
        <w:tc>
          <w:tcPr>
            <w:tcW w:w="498" w:type="pct"/>
            <w:vAlign w:val="center"/>
          </w:tcPr>
          <w:p w14:paraId="2806EF63">
            <w:pPr>
              <w:pStyle w:val="12"/>
              <w:jc w:val="center"/>
            </w:pPr>
            <w:r>
              <w:rPr>
                <w:rFonts w:hint="eastAsia"/>
              </w:rPr>
              <w:t>—</w:t>
            </w:r>
          </w:p>
        </w:tc>
        <w:tc>
          <w:tcPr>
            <w:tcW w:w="498" w:type="pct"/>
            <w:vAlign w:val="center"/>
          </w:tcPr>
          <w:p w14:paraId="3887FA3C">
            <w:pPr>
              <w:pStyle w:val="12"/>
              <w:jc w:val="center"/>
            </w:pPr>
            <w:r>
              <w:rPr>
                <w:rFonts w:hint="eastAsia"/>
              </w:rPr>
              <w:t>—</w:t>
            </w:r>
          </w:p>
        </w:tc>
        <w:tc>
          <w:tcPr>
            <w:tcW w:w="498" w:type="pct"/>
            <w:vAlign w:val="center"/>
          </w:tcPr>
          <w:p w14:paraId="061CE3FE">
            <w:pPr>
              <w:pStyle w:val="12"/>
              <w:jc w:val="center"/>
            </w:pPr>
            <w:r>
              <w:rPr>
                <w:rFonts w:hint="eastAsia"/>
              </w:rPr>
              <w:t>—</w:t>
            </w:r>
          </w:p>
        </w:tc>
        <w:tc>
          <w:tcPr>
            <w:tcW w:w="498" w:type="pct"/>
            <w:vAlign w:val="center"/>
          </w:tcPr>
          <w:p w14:paraId="0826B3A4">
            <w:pPr>
              <w:pStyle w:val="12"/>
              <w:jc w:val="center"/>
            </w:pPr>
            <w:r>
              <w:rPr>
                <w:rFonts w:hint="eastAsia"/>
              </w:rPr>
              <w:t>4</w:t>
            </w:r>
          </w:p>
        </w:tc>
        <w:tc>
          <w:tcPr>
            <w:tcW w:w="427" w:type="pct"/>
            <w:vAlign w:val="center"/>
          </w:tcPr>
          <w:p w14:paraId="102F7251">
            <w:pPr>
              <w:pStyle w:val="12"/>
              <w:jc w:val="center"/>
            </w:pPr>
            <w:r>
              <w:rPr>
                <w:rFonts w:hint="eastAsia"/>
              </w:rPr>
              <w:t>1</w:t>
            </w:r>
          </w:p>
        </w:tc>
        <w:tc>
          <w:tcPr>
            <w:tcW w:w="392" w:type="pct"/>
            <w:tcBorders>
              <w:right w:val="nil"/>
            </w:tcBorders>
            <w:vAlign w:val="center"/>
          </w:tcPr>
          <w:p w14:paraId="1E31BA42">
            <w:pPr>
              <w:pStyle w:val="12"/>
              <w:jc w:val="center"/>
            </w:pPr>
            <w:r>
              <w:rPr>
                <w:rFonts w:hint="eastAsia"/>
              </w:rPr>
              <w:t>—</w:t>
            </w:r>
          </w:p>
        </w:tc>
      </w:tr>
      <w:tr w14:paraId="082604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3778E158">
            <w:pPr>
              <w:pStyle w:val="12"/>
              <w:jc w:val="center"/>
            </w:pPr>
          </w:p>
        </w:tc>
        <w:tc>
          <w:tcPr>
            <w:tcW w:w="993" w:type="pct"/>
            <w:vAlign w:val="center"/>
          </w:tcPr>
          <w:p w14:paraId="7D4CC2AB">
            <w:pPr>
              <w:pStyle w:val="12"/>
              <w:jc w:val="left"/>
            </w:pPr>
            <w:r>
              <w:rPr>
                <w:rFonts w:hint="eastAsia"/>
              </w:rPr>
              <w:t>中等专业学校教师</w:t>
            </w:r>
          </w:p>
        </w:tc>
        <w:tc>
          <w:tcPr>
            <w:tcW w:w="641" w:type="pct"/>
            <w:vAlign w:val="center"/>
          </w:tcPr>
          <w:p w14:paraId="5D3FD7A6">
            <w:pPr>
              <w:pStyle w:val="12"/>
              <w:jc w:val="center"/>
            </w:pPr>
            <w:r>
              <w:rPr>
                <w:rFonts w:hint="eastAsia"/>
              </w:rPr>
              <w:t>42</w:t>
            </w:r>
          </w:p>
        </w:tc>
        <w:tc>
          <w:tcPr>
            <w:tcW w:w="498" w:type="pct"/>
            <w:vAlign w:val="center"/>
          </w:tcPr>
          <w:p w14:paraId="0047D213">
            <w:pPr>
              <w:pStyle w:val="12"/>
              <w:jc w:val="center"/>
            </w:pPr>
            <w:r>
              <w:rPr>
                <w:rFonts w:hint="eastAsia"/>
              </w:rPr>
              <w:t>5</w:t>
            </w:r>
          </w:p>
        </w:tc>
        <w:tc>
          <w:tcPr>
            <w:tcW w:w="498" w:type="pct"/>
            <w:vAlign w:val="center"/>
          </w:tcPr>
          <w:p w14:paraId="1DDE4266">
            <w:pPr>
              <w:pStyle w:val="12"/>
              <w:jc w:val="center"/>
            </w:pPr>
            <w:r>
              <w:rPr>
                <w:rFonts w:hint="eastAsia"/>
              </w:rPr>
              <w:t>—</w:t>
            </w:r>
          </w:p>
        </w:tc>
        <w:tc>
          <w:tcPr>
            <w:tcW w:w="498" w:type="pct"/>
            <w:vAlign w:val="center"/>
          </w:tcPr>
          <w:p w14:paraId="10ECD8E7">
            <w:pPr>
              <w:pStyle w:val="12"/>
              <w:jc w:val="center"/>
            </w:pPr>
            <w:r>
              <w:rPr>
                <w:rFonts w:hint="eastAsia"/>
              </w:rPr>
              <w:t>13</w:t>
            </w:r>
          </w:p>
        </w:tc>
        <w:tc>
          <w:tcPr>
            <w:tcW w:w="498" w:type="pct"/>
            <w:vAlign w:val="center"/>
          </w:tcPr>
          <w:p w14:paraId="50F18A68">
            <w:pPr>
              <w:pStyle w:val="12"/>
              <w:jc w:val="center"/>
            </w:pPr>
            <w:r>
              <w:rPr>
                <w:rFonts w:hint="eastAsia"/>
              </w:rPr>
              <w:t>18</w:t>
            </w:r>
          </w:p>
        </w:tc>
        <w:tc>
          <w:tcPr>
            <w:tcW w:w="427" w:type="pct"/>
            <w:vAlign w:val="center"/>
          </w:tcPr>
          <w:p w14:paraId="3F9B9084">
            <w:pPr>
              <w:pStyle w:val="12"/>
              <w:jc w:val="center"/>
            </w:pPr>
            <w:r>
              <w:rPr>
                <w:rFonts w:hint="eastAsia"/>
              </w:rPr>
              <w:t>6</w:t>
            </w:r>
          </w:p>
        </w:tc>
        <w:tc>
          <w:tcPr>
            <w:tcW w:w="392" w:type="pct"/>
            <w:tcBorders>
              <w:right w:val="nil"/>
            </w:tcBorders>
            <w:vAlign w:val="center"/>
          </w:tcPr>
          <w:p w14:paraId="774C4E85">
            <w:pPr>
              <w:pStyle w:val="12"/>
              <w:jc w:val="center"/>
            </w:pPr>
            <w:r>
              <w:rPr>
                <w:rFonts w:hint="eastAsia"/>
              </w:rPr>
              <w:t>—</w:t>
            </w:r>
          </w:p>
        </w:tc>
      </w:tr>
      <w:tr w14:paraId="72ECEC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619E4E59">
            <w:pPr>
              <w:pStyle w:val="12"/>
              <w:jc w:val="center"/>
            </w:pPr>
          </w:p>
        </w:tc>
        <w:tc>
          <w:tcPr>
            <w:tcW w:w="993" w:type="pct"/>
            <w:vAlign w:val="center"/>
          </w:tcPr>
          <w:p w14:paraId="2DC2C3F7">
            <w:pPr>
              <w:pStyle w:val="12"/>
              <w:jc w:val="left"/>
            </w:pPr>
            <w:r>
              <w:rPr>
                <w:rFonts w:hint="eastAsia"/>
              </w:rPr>
              <w:t>中学教师</w:t>
            </w:r>
          </w:p>
        </w:tc>
        <w:tc>
          <w:tcPr>
            <w:tcW w:w="641" w:type="pct"/>
            <w:vAlign w:val="center"/>
          </w:tcPr>
          <w:p w14:paraId="618D2D98">
            <w:pPr>
              <w:pStyle w:val="12"/>
              <w:jc w:val="center"/>
            </w:pPr>
            <w:r>
              <w:rPr>
                <w:rFonts w:hint="eastAsia"/>
              </w:rPr>
              <w:t>1916</w:t>
            </w:r>
          </w:p>
        </w:tc>
        <w:tc>
          <w:tcPr>
            <w:tcW w:w="498" w:type="pct"/>
            <w:vAlign w:val="center"/>
          </w:tcPr>
          <w:p w14:paraId="313DA0A4">
            <w:pPr>
              <w:pStyle w:val="12"/>
              <w:jc w:val="center"/>
            </w:pPr>
            <w:r>
              <w:rPr>
                <w:rFonts w:hint="eastAsia"/>
              </w:rPr>
              <w:t>—</w:t>
            </w:r>
          </w:p>
        </w:tc>
        <w:tc>
          <w:tcPr>
            <w:tcW w:w="498" w:type="pct"/>
            <w:vAlign w:val="center"/>
          </w:tcPr>
          <w:p w14:paraId="2C8FD97D">
            <w:pPr>
              <w:pStyle w:val="12"/>
              <w:jc w:val="center"/>
            </w:pPr>
            <w:r>
              <w:rPr>
                <w:rFonts w:hint="eastAsia"/>
              </w:rPr>
              <w:t>199</w:t>
            </w:r>
          </w:p>
        </w:tc>
        <w:tc>
          <w:tcPr>
            <w:tcW w:w="498" w:type="pct"/>
            <w:vAlign w:val="center"/>
          </w:tcPr>
          <w:p w14:paraId="592A28BF">
            <w:pPr>
              <w:pStyle w:val="12"/>
              <w:jc w:val="center"/>
            </w:pPr>
            <w:r>
              <w:rPr>
                <w:rFonts w:hint="eastAsia"/>
              </w:rPr>
              <w:t>989</w:t>
            </w:r>
          </w:p>
        </w:tc>
        <w:tc>
          <w:tcPr>
            <w:tcW w:w="498" w:type="pct"/>
            <w:vAlign w:val="center"/>
          </w:tcPr>
          <w:p w14:paraId="1C032ED2">
            <w:pPr>
              <w:pStyle w:val="12"/>
              <w:jc w:val="center"/>
            </w:pPr>
            <w:r>
              <w:rPr>
                <w:rFonts w:hint="eastAsia"/>
              </w:rPr>
              <w:t>721</w:t>
            </w:r>
          </w:p>
        </w:tc>
        <w:tc>
          <w:tcPr>
            <w:tcW w:w="427" w:type="pct"/>
            <w:vAlign w:val="center"/>
          </w:tcPr>
          <w:p w14:paraId="70B59BAC">
            <w:pPr>
              <w:pStyle w:val="12"/>
              <w:jc w:val="center"/>
            </w:pPr>
            <w:r>
              <w:rPr>
                <w:rFonts w:hint="eastAsia"/>
              </w:rPr>
              <w:t>7</w:t>
            </w:r>
          </w:p>
        </w:tc>
        <w:tc>
          <w:tcPr>
            <w:tcW w:w="392" w:type="pct"/>
            <w:vAlign w:val="center"/>
          </w:tcPr>
          <w:p w14:paraId="4C333477">
            <w:pPr>
              <w:pStyle w:val="12"/>
              <w:jc w:val="center"/>
            </w:pPr>
            <w:r>
              <w:rPr>
                <w:rFonts w:hint="eastAsia"/>
              </w:rPr>
              <w:t>—</w:t>
            </w:r>
          </w:p>
        </w:tc>
      </w:tr>
      <w:tr w14:paraId="09F3C3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restart"/>
            <w:vAlign w:val="center"/>
          </w:tcPr>
          <w:p w14:paraId="21D12E6C">
            <w:pPr>
              <w:pStyle w:val="12"/>
              <w:jc w:val="center"/>
            </w:pPr>
            <w:r>
              <w:rPr>
                <w:rFonts w:hint="eastAsia"/>
              </w:rPr>
              <w:t>学历</w:t>
            </w:r>
          </w:p>
        </w:tc>
        <w:tc>
          <w:tcPr>
            <w:tcW w:w="993" w:type="pct"/>
            <w:vAlign w:val="center"/>
          </w:tcPr>
          <w:p w14:paraId="0A571F58">
            <w:pPr>
              <w:pStyle w:val="12"/>
              <w:jc w:val="left"/>
            </w:pPr>
            <w:r>
              <w:rPr>
                <w:rFonts w:hint="eastAsia"/>
              </w:rPr>
              <w:t>研究生</w:t>
            </w:r>
          </w:p>
        </w:tc>
        <w:tc>
          <w:tcPr>
            <w:tcW w:w="641" w:type="pct"/>
            <w:vAlign w:val="center"/>
          </w:tcPr>
          <w:p w14:paraId="028C91E7">
            <w:pPr>
              <w:pStyle w:val="12"/>
              <w:jc w:val="center"/>
            </w:pPr>
            <w:r>
              <w:rPr>
                <w:rFonts w:hint="eastAsia"/>
              </w:rPr>
              <w:t>6</w:t>
            </w:r>
          </w:p>
        </w:tc>
        <w:tc>
          <w:tcPr>
            <w:tcW w:w="498" w:type="pct"/>
            <w:vAlign w:val="center"/>
          </w:tcPr>
          <w:p w14:paraId="252203C1">
            <w:pPr>
              <w:pStyle w:val="12"/>
              <w:jc w:val="center"/>
            </w:pPr>
            <w:r>
              <w:rPr>
                <w:rFonts w:hint="eastAsia"/>
              </w:rPr>
              <w:t>—</w:t>
            </w:r>
          </w:p>
        </w:tc>
        <w:tc>
          <w:tcPr>
            <w:tcW w:w="498" w:type="pct"/>
            <w:vAlign w:val="center"/>
          </w:tcPr>
          <w:p w14:paraId="15D0B756">
            <w:pPr>
              <w:pStyle w:val="12"/>
              <w:jc w:val="center"/>
            </w:pPr>
            <w:r>
              <w:rPr>
                <w:rFonts w:hint="eastAsia"/>
              </w:rPr>
              <w:t>—</w:t>
            </w:r>
          </w:p>
        </w:tc>
        <w:tc>
          <w:tcPr>
            <w:tcW w:w="498" w:type="pct"/>
            <w:vAlign w:val="center"/>
          </w:tcPr>
          <w:p w14:paraId="1FFAEF5D">
            <w:pPr>
              <w:pStyle w:val="12"/>
              <w:jc w:val="center"/>
            </w:pPr>
            <w:r>
              <w:rPr>
                <w:rFonts w:hint="eastAsia"/>
              </w:rPr>
              <w:t>3</w:t>
            </w:r>
          </w:p>
        </w:tc>
        <w:tc>
          <w:tcPr>
            <w:tcW w:w="498" w:type="pct"/>
            <w:vAlign w:val="center"/>
          </w:tcPr>
          <w:p w14:paraId="16580FE7">
            <w:pPr>
              <w:pStyle w:val="12"/>
              <w:jc w:val="center"/>
            </w:pPr>
            <w:r>
              <w:rPr>
                <w:rFonts w:hint="eastAsia"/>
              </w:rPr>
              <w:t>3</w:t>
            </w:r>
          </w:p>
        </w:tc>
        <w:tc>
          <w:tcPr>
            <w:tcW w:w="427" w:type="pct"/>
            <w:vAlign w:val="center"/>
          </w:tcPr>
          <w:p w14:paraId="649284C0">
            <w:pPr>
              <w:pStyle w:val="12"/>
              <w:jc w:val="center"/>
            </w:pPr>
            <w:r>
              <w:rPr>
                <w:rFonts w:hint="eastAsia"/>
              </w:rPr>
              <w:t>—</w:t>
            </w:r>
          </w:p>
        </w:tc>
        <w:tc>
          <w:tcPr>
            <w:tcW w:w="392" w:type="pct"/>
            <w:vAlign w:val="center"/>
          </w:tcPr>
          <w:p w14:paraId="5AB28326">
            <w:pPr>
              <w:pStyle w:val="12"/>
              <w:jc w:val="center"/>
            </w:pPr>
            <w:r>
              <w:rPr>
                <w:rFonts w:hint="eastAsia"/>
              </w:rPr>
              <w:t>—</w:t>
            </w:r>
          </w:p>
        </w:tc>
      </w:tr>
      <w:tr w14:paraId="3BD8CE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29C95385">
            <w:pPr>
              <w:pStyle w:val="12"/>
              <w:jc w:val="center"/>
            </w:pPr>
          </w:p>
        </w:tc>
        <w:tc>
          <w:tcPr>
            <w:tcW w:w="993" w:type="pct"/>
            <w:vAlign w:val="center"/>
          </w:tcPr>
          <w:p w14:paraId="284DDC92">
            <w:pPr>
              <w:pStyle w:val="12"/>
              <w:jc w:val="left"/>
            </w:pPr>
            <w:r>
              <w:rPr>
                <w:rFonts w:hint="eastAsia"/>
              </w:rPr>
              <w:t>本  科</w:t>
            </w:r>
          </w:p>
        </w:tc>
        <w:tc>
          <w:tcPr>
            <w:tcW w:w="641" w:type="pct"/>
            <w:vAlign w:val="center"/>
          </w:tcPr>
          <w:p w14:paraId="41CAAA2F">
            <w:pPr>
              <w:pStyle w:val="12"/>
              <w:jc w:val="center"/>
            </w:pPr>
            <w:r>
              <w:rPr>
                <w:rFonts w:hint="eastAsia"/>
              </w:rPr>
              <w:t>715</w:t>
            </w:r>
          </w:p>
        </w:tc>
        <w:tc>
          <w:tcPr>
            <w:tcW w:w="498" w:type="pct"/>
            <w:vAlign w:val="center"/>
          </w:tcPr>
          <w:p w14:paraId="2462B475">
            <w:pPr>
              <w:pStyle w:val="12"/>
              <w:jc w:val="center"/>
            </w:pPr>
            <w:r>
              <w:rPr>
                <w:rFonts w:hint="eastAsia"/>
              </w:rPr>
              <w:t>15</w:t>
            </w:r>
          </w:p>
        </w:tc>
        <w:tc>
          <w:tcPr>
            <w:tcW w:w="498" w:type="pct"/>
            <w:vAlign w:val="center"/>
          </w:tcPr>
          <w:p w14:paraId="2B81790F">
            <w:pPr>
              <w:pStyle w:val="12"/>
              <w:jc w:val="center"/>
            </w:pPr>
            <w:r>
              <w:rPr>
                <w:rFonts w:hint="eastAsia"/>
              </w:rPr>
              <w:t>96</w:t>
            </w:r>
          </w:p>
        </w:tc>
        <w:tc>
          <w:tcPr>
            <w:tcW w:w="498" w:type="pct"/>
            <w:vAlign w:val="center"/>
          </w:tcPr>
          <w:p w14:paraId="211F00EC">
            <w:pPr>
              <w:pStyle w:val="12"/>
              <w:jc w:val="center"/>
            </w:pPr>
            <w:r>
              <w:rPr>
                <w:rFonts w:hint="eastAsia"/>
              </w:rPr>
              <w:t>400</w:t>
            </w:r>
          </w:p>
        </w:tc>
        <w:tc>
          <w:tcPr>
            <w:tcW w:w="498" w:type="pct"/>
            <w:vAlign w:val="center"/>
          </w:tcPr>
          <w:p w14:paraId="5442D6AD">
            <w:pPr>
              <w:pStyle w:val="12"/>
              <w:jc w:val="center"/>
            </w:pPr>
            <w:r>
              <w:rPr>
                <w:rFonts w:hint="eastAsia"/>
              </w:rPr>
              <w:t>193</w:t>
            </w:r>
          </w:p>
        </w:tc>
        <w:tc>
          <w:tcPr>
            <w:tcW w:w="427" w:type="pct"/>
            <w:vAlign w:val="center"/>
          </w:tcPr>
          <w:p w14:paraId="2C0031F7">
            <w:pPr>
              <w:pStyle w:val="12"/>
              <w:jc w:val="center"/>
            </w:pPr>
            <w:r>
              <w:rPr>
                <w:rFonts w:hint="eastAsia"/>
              </w:rPr>
              <w:t>11</w:t>
            </w:r>
          </w:p>
        </w:tc>
        <w:tc>
          <w:tcPr>
            <w:tcW w:w="392" w:type="pct"/>
            <w:vAlign w:val="center"/>
          </w:tcPr>
          <w:p w14:paraId="66208F77">
            <w:pPr>
              <w:pStyle w:val="12"/>
              <w:jc w:val="center"/>
            </w:pPr>
          </w:p>
        </w:tc>
      </w:tr>
      <w:tr w14:paraId="01BAA4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70A990CB">
            <w:pPr>
              <w:pStyle w:val="12"/>
              <w:jc w:val="center"/>
            </w:pPr>
          </w:p>
        </w:tc>
        <w:tc>
          <w:tcPr>
            <w:tcW w:w="993" w:type="pct"/>
            <w:vAlign w:val="center"/>
          </w:tcPr>
          <w:p w14:paraId="36DFE963">
            <w:pPr>
              <w:pStyle w:val="12"/>
              <w:jc w:val="left"/>
            </w:pPr>
            <w:r>
              <w:rPr>
                <w:rFonts w:hint="eastAsia"/>
              </w:rPr>
              <w:t>大  专</w:t>
            </w:r>
          </w:p>
        </w:tc>
        <w:tc>
          <w:tcPr>
            <w:tcW w:w="641" w:type="pct"/>
            <w:vAlign w:val="center"/>
          </w:tcPr>
          <w:p w14:paraId="3E08DDFE">
            <w:pPr>
              <w:pStyle w:val="12"/>
              <w:jc w:val="center"/>
            </w:pPr>
            <w:r>
              <w:rPr>
                <w:rFonts w:hint="eastAsia"/>
              </w:rPr>
              <w:t>3431</w:t>
            </w:r>
          </w:p>
        </w:tc>
        <w:tc>
          <w:tcPr>
            <w:tcW w:w="498" w:type="pct"/>
            <w:vAlign w:val="center"/>
          </w:tcPr>
          <w:p w14:paraId="798100F5">
            <w:pPr>
              <w:pStyle w:val="12"/>
              <w:jc w:val="center"/>
            </w:pPr>
            <w:r>
              <w:rPr>
                <w:rFonts w:hint="eastAsia"/>
              </w:rPr>
              <w:t>8</w:t>
            </w:r>
          </w:p>
        </w:tc>
        <w:tc>
          <w:tcPr>
            <w:tcW w:w="498" w:type="pct"/>
            <w:vAlign w:val="center"/>
          </w:tcPr>
          <w:p w14:paraId="5FBD5FA0">
            <w:pPr>
              <w:pStyle w:val="12"/>
              <w:jc w:val="center"/>
            </w:pPr>
            <w:r>
              <w:rPr>
                <w:rFonts w:hint="eastAsia"/>
              </w:rPr>
              <w:t>100</w:t>
            </w:r>
          </w:p>
        </w:tc>
        <w:tc>
          <w:tcPr>
            <w:tcW w:w="498" w:type="pct"/>
            <w:vAlign w:val="center"/>
          </w:tcPr>
          <w:p w14:paraId="77C881AA">
            <w:pPr>
              <w:pStyle w:val="12"/>
              <w:jc w:val="center"/>
            </w:pPr>
            <w:r>
              <w:rPr>
                <w:rFonts w:hint="eastAsia"/>
              </w:rPr>
              <w:t>1388</w:t>
            </w:r>
          </w:p>
        </w:tc>
        <w:tc>
          <w:tcPr>
            <w:tcW w:w="498" w:type="pct"/>
            <w:vAlign w:val="center"/>
          </w:tcPr>
          <w:p w14:paraId="5E7C5AA1">
            <w:pPr>
              <w:pStyle w:val="12"/>
              <w:jc w:val="center"/>
            </w:pPr>
            <w:r>
              <w:rPr>
                <w:rFonts w:hint="eastAsia"/>
              </w:rPr>
              <w:t>1780</w:t>
            </w:r>
          </w:p>
        </w:tc>
        <w:tc>
          <w:tcPr>
            <w:tcW w:w="427" w:type="pct"/>
            <w:vAlign w:val="center"/>
          </w:tcPr>
          <w:p w14:paraId="6A82820B">
            <w:pPr>
              <w:pStyle w:val="12"/>
              <w:jc w:val="center"/>
            </w:pPr>
            <w:r>
              <w:rPr>
                <w:rFonts w:hint="eastAsia"/>
              </w:rPr>
              <w:t>146</w:t>
            </w:r>
          </w:p>
        </w:tc>
        <w:tc>
          <w:tcPr>
            <w:tcW w:w="392" w:type="pct"/>
            <w:vAlign w:val="center"/>
          </w:tcPr>
          <w:p w14:paraId="04B95DFC">
            <w:pPr>
              <w:pStyle w:val="12"/>
              <w:jc w:val="center"/>
            </w:pPr>
            <w:r>
              <w:rPr>
                <w:rFonts w:hint="eastAsia"/>
              </w:rPr>
              <w:t>9</w:t>
            </w:r>
          </w:p>
        </w:tc>
      </w:tr>
      <w:tr w14:paraId="459960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restart"/>
            <w:vAlign w:val="center"/>
          </w:tcPr>
          <w:p w14:paraId="6B9AED8F">
            <w:pPr>
              <w:pStyle w:val="12"/>
              <w:jc w:val="center"/>
            </w:pPr>
            <w:r>
              <w:rPr>
                <w:rFonts w:hint="eastAsia"/>
              </w:rPr>
              <w:t>年龄</w:t>
            </w:r>
          </w:p>
        </w:tc>
        <w:tc>
          <w:tcPr>
            <w:tcW w:w="993" w:type="pct"/>
            <w:vAlign w:val="center"/>
          </w:tcPr>
          <w:p w14:paraId="0A8C9718">
            <w:pPr>
              <w:pStyle w:val="12"/>
              <w:jc w:val="left"/>
            </w:pPr>
            <w:r>
              <w:rPr>
                <w:rFonts w:hint="eastAsia"/>
              </w:rPr>
              <w:t>25岁以下</w:t>
            </w:r>
          </w:p>
        </w:tc>
        <w:tc>
          <w:tcPr>
            <w:tcW w:w="641" w:type="pct"/>
            <w:vAlign w:val="center"/>
          </w:tcPr>
          <w:p w14:paraId="775FF288">
            <w:pPr>
              <w:pStyle w:val="12"/>
              <w:jc w:val="center"/>
            </w:pPr>
            <w:r>
              <w:rPr>
                <w:rFonts w:hint="eastAsia"/>
              </w:rPr>
              <w:t>313</w:t>
            </w:r>
          </w:p>
        </w:tc>
        <w:tc>
          <w:tcPr>
            <w:tcW w:w="498" w:type="pct"/>
            <w:vAlign w:val="center"/>
          </w:tcPr>
          <w:p w14:paraId="0A403020">
            <w:pPr>
              <w:pStyle w:val="12"/>
              <w:jc w:val="center"/>
            </w:pPr>
            <w:r>
              <w:rPr>
                <w:rFonts w:hint="eastAsia"/>
              </w:rPr>
              <w:t>—</w:t>
            </w:r>
          </w:p>
        </w:tc>
        <w:tc>
          <w:tcPr>
            <w:tcW w:w="498" w:type="pct"/>
            <w:vAlign w:val="center"/>
          </w:tcPr>
          <w:p w14:paraId="0D98BB55">
            <w:pPr>
              <w:pStyle w:val="12"/>
              <w:jc w:val="center"/>
            </w:pPr>
            <w:r>
              <w:rPr>
                <w:rFonts w:hint="eastAsia"/>
              </w:rPr>
              <w:t>—</w:t>
            </w:r>
          </w:p>
        </w:tc>
        <w:tc>
          <w:tcPr>
            <w:tcW w:w="498" w:type="pct"/>
            <w:vAlign w:val="center"/>
          </w:tcPr>
          <w:p w14:paraId="1D218607">
            <w:pPr>
              <w:pStyle w:val="12"/>
              <w:jc w:val="center"/>
            </w:pPr>
            <w:r>
              <w:rPr>
                <w:rFonts w:hint="eastAsia"/>
              </w:rPr>
              <w:t>2</w:t>
            </w:r>
          </w:p>
        </w:tc>
        <w:tc>
          <w:tcPr>
            <w:tcW w:w="498" w:type="pct"/>
            <w:vAlign w:val="center"/>
          </w:tcPr>
          <w:p w14:paraId="247D509C">
            <w:pPr>
              <w:pStyle w:val="12"/>
              <w:jc w:val="center"/>
            </w:pPr>
            <w:r>
              <w:rPr>
                <w:rFonts w:hint="eastAsia"/>
              </w:rPr>
              <w:t>311</w:t>
            </w:r>
          </w:p>
        </w:tc>
        <w:tc>
          <w:tcPr>
            <w:tcW w:w="427" w:type="pct"/>
            <w:vAlign w:val="center"/>
          </w:tcPr>
          <w:p w14:paraId="73AFAC2F">
            <w:pPr>
              <w:pStyle w:val="12"/>
              <w:jc w:val="center"/>
            </w:pPr>
            <w:r>
              <w:rPr>
                <w:rFonts w:hint="eastAsia"/>
              </w:rPr>
              <w:t>—</w:t>
            </w:r>
          </w:p>
        </w:tc>
        <w:tc>
          <w:tcPr>
            <w:tcW w:w="392" w:type="pct"/>
            <w:vAlign w:val="center"/>
          </w:tcPr>
          <w:p w14:paraId="685B5392">
            <w:pPr>
              <w:pStyle w:val="12"/>
              <w:jc w:val="center"/>
            </w:pPr>
            <w:r>
              <w:rPr>
                <w:rFonts w:hint="eastAsia"/>
              </w:rPr>
              <w:t>—</w:t>
            </w:r>
          </w:p>
        </w:tc>
      </w:tr>
      <w:tr w14:paraId="7B387D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68B50703">
            <w:pPr>
              <w:pStyle w:val="12"/>
              <w:jc w:val="center"/>
            </w:pPr>
          </w:p>
        </w:tc>
        <w:tc>
          <w:tcPr>
            <w:tcW w:w="993" w:type="pct"/>
            <w:vAlign w:val="center"/>
          </w:tcPr>
          <w:p w14:paraId="6913F9B4">
            <w:pPr>
              <w:pStyle w:val="12"/>
              <w:jc w:val="left"/>
            </w:pPr>
            <w:r>
              <w:rPr>
                <w:rFonts w:hint="eastAsia"/>
              </w:rPr>
              <w:t>26~30岁</w:t>
            </w:r>
          </w:p>
        </w:tc>
        <w:tc>
          <w:tcPr>
            <w:tcW w:w="641" w:type="pct"/>
            <w:vAlign w:val="center"/>
          </w:tcPr>
          <w:p w14:paraId="477B7209">
            <w:pPr>
              <w:pStyle w:val="12"/>
              <w:jc w:val="center"/>
            </w:pPr>
            <w:r>
              <w:rPr>
                <w:rFonts w:hint="eastAsia"/>
              </w:rPr>
              <w:t>1633</w:t>
            </w:r>
          </w:p>
        </w:tc>
        <w:tc>
          <w:tcPr>
            <w:tcW w:w="498" w:type="pct"/>
            <w:vAlign w:val="center"/>
          </w:tcPr>
          <w:p w14:paraId="0D86B132">
            <w:pPr>
              <w:pStyle w:val="12"/>
              <w:jc w:val="center"/>
            </w:pPr>
            <w:r>
              <w:rPr>
                <w:rFonts w:hint="eastAsia"/>
              </w:rPr>
              <w:t>—</w:t>
            </w:r>
          </w:p>
        </w:tc>
        <w:tc>
          <w:tcPr>
            <w:tcW w:w="498" w:type="pct"/>
            <w:vAlign w:val="center"/>
          </w:tcPr>
          <w:p w14:paraId="131CDE69">
            <w:pPr>
              <w:pStyle w:val="12"/>
              <w:jc w:val="center"/>
            </w:pPr>
            <w:r>
              <w:rPr>
                <w:rFonts w:hint="eastAsia"/>
              </w:rPr>
              <w:t>—</w:t>
            </w:r>
          </w:p>
        </w:tc>
        <w:tc>
          <w:tcPr>
            <w:tcW w:w="498" w:type="pct"/>
            <w:vAlign w:val="center"/>
          </w:tcPr>
          <w:p w14:paraId="293967C1">
            <w:pPr>
              <w:pStyle w:val="12"/>
              <w:jc w:val="center"/>
            </w:pPr>
            <w:r>
              <w:rPr>
                <w:rFonts w:hint="eastAsia"/>
              </w:rPr>
              <w:t>32</w:t>
            </w:r>
          </w:p>
        </w:tc>
        <w:tc>
          <w:tcPr>
            <w:tcW w:w="498" w:type="pct"/>
            <w:vAlign w:val="center"/>
          </w:tcPr>
          <w:p w14:paraId="6233E654">
            <w:pPr>
              <w:pStyle w:val="12"/>
              <w:jc w:val="center"/>
            </w:pPr>
            <w:r>
              <w:rPr>
                <w:rFonts w:hint="eastAsia"/>
              </w:rPr>
              <w:t>1601</w:t>
            </w:r>
          </w:p>
        </w:tc>
        <w:tc>
          <w:tcPr>
            <w:tcW w:w="427" w:type="pct"/>
            <w:vAlign w:val="center"/>
          </w:tcPr>
          <w:p w14:paraId="23B8CEC5">
            <w:pPr>
              <w:pStyle w:val="12"/>
              <w:jc w:val="center"/>
            </w:pPr>
            <w:r>
              <w:rPr>
                <w:rFonts w:hint="eastAsia"/>
              </w:rPr>
              <w:t>—</w:t>
            </w:r>
          </w:p>
        </w:tc>
        <w:tc>
          <w:tcPr>
            <w:tcW w:w="392" w:type="pct"/>
            <w:vAlign w:val="center"/>
          </w:tcPr>
          <w:p w14:paraId="2B0296CC">
            <w:pPr>
              <w:pStyle w:val="12"/>
              <w:jc w:val="center"/>
            </w:pPr>
            <w:r>
              <w:rPr>
                <w:rFonts w:hint="eastAsia"/>
              </w:rPr>
              <w:t>—</w:t>
            </w:r>
          </w:p>
        </w:tc>
      </w:tr>
      <w:tr w14:paraId="42DAA5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55D675A1">
            <w:pPr>
              <w:pStyle w:val="12"/>
              <w:jc w:val="center"/>
            </w:pPr>
          </w:p>
        </w:tc>
        <w:tc>
          <w:tcPr>
            <w:tcW w:w="993" w:type="pct"/>
            <w:vAlign w:val="center"/>
          </w:tcPr>
          <w:p w14:paraId="1767D1D9">
            <w:pPr>
              <w:pStyle w:val="12"/>
              <w:jc w:val="left"/>
            </w:pPr>
            <w:r>
              <w:rPr>
                <w:rFonts w:hint="eastAsia"/>
              </w:rPr>
              <w:t>31~35岁</w:t>
            </w:r>
          </w:p>
        </w:tc>
        <w:tc>
          <w:tcPr>
            <w:tcW w:w="641" w:type="pct"/>
            <w:vAlign w:val="center"/>
          </w:tcPr>
          <w:p w14:paraId="2CCB9632">
            <w:pPr>
              <w:pStyle w:val="12"/>
              <w:jc w:val="center"/>
            </w:pPr>
            <w:r>
              <w:rPr>
                <w:rFonts w:hint="eastAsia"/>
              </w:rPr>
              <w:t>1662</w:t>
            </w:r>
          </w:p>
        </w:tc>
        <w:tc>
          <w:tcPr>
            <w:tcW w:w="498" w:type="pct"/>
            <w:vAlign w:val="center"/>
          </w:tcPr>
          <w:p w14:paraId="01639E4C">
            <w:pPr>
              <w:pStyle w:val="12"/>
              <w:jc w:val="center"/>
            </w:pPr>
            <w:r>
              <w:rPr>
                <w:rFonts w:hint="eastAsia"/>
              </w:rPr>
              <w:t>—</w:t>
            </w:r>
          </w:p>
        </w:tc>
        <w:tc>
          <w:tcPr>
            <w:tcW w:w="498" w:type="pct"/>
            <w:vAlign w:val="center"/>
          </w:tcPr>
          <w:p w14:paraId="4B30E215">
            <w:pPr>
              <w:pStyle w:val="12"/>
              <w:jc w:val="center"/>
            </w:pPr>
            <w:r>
              <w:rPr>
                <w:rFonts w:hint="eastAsia"/>
              </w:rPr>
              <w:t>—</w:t>
            </w:r>
          </w:p>
        </w:tc>
        <w:tc>
          <w:tcPr>
            <w:tcW w:w="498" w:type="pct"/>
            <w:vAlign w:val="center"/>
          </w:tcPr>
          <w:p w14:paraId="788A8373">
            <w:pPr>
              <w:pStyle w:val="12"/>
              <w:jc w:val="center"/>
            </w:pPr>
            <w:r>
              <w:rPr>
                <w:rFonts w:hint="eastAsia"/>
              </w:rPr>
              <w:t>438</w:t>
            </w:r>
          </w:p>
        </w:tc>
        <w:tc>
          <w:tcPr>
            <w:tcW w:w="498" w:type="pct"/>
            <w:vAlign w:val="center"/>
          </w:tcPr>
          <w:p w14:paraId="1C358CF2">
            <w:pPr>
              <w:pStyle w:val="12"/>
              <w:jc w:val="center"/>
            </w:pPr>
            <w:r>
              <w:rPr>
                <w:rFonts w:hint="eastAsia"/>
              </w:rPr>
              <w:t>1224</w:t>
            </w:r>
          </w:p>
        </w:tc>
        <w:tc>
          <w:tcPr>
            <w:tcW w:w="427" w:type="pct"/>
            <w:vAlign w:val="center"/>
          </w:tcPr>
          <w:p w14:paraId="24808913">
            <w:pPr>
              <w:pStyle w:val="12"/>
              <w:jc w:val="center"/>
            </w:pPr>
            <w:r>
              <w:rPr>
                <w:rFonts w:hint="eastAsia"/>
              </w:rPr>
              <w:t>—</w:t>
            </w:r>
          </w:p>
        </w:tc>
        <w:tc>
          <w:tcPr>
            <w:tcW w:w="392" w:type="pct"/>
            <w:vAlign w:val="center"/>
          </w:tcPr>
          <w:p w14:paraId="381BA0AD">
            <w:pPr>
              <w:pStyle w:val="12"/>
              <w:jc w:val="center"/>
            </w:pPr>
            <w:r>
              <w:rPr>
                <w:rFonts w:hint="eastAsia"/>
              </w:rPr>
              <w:t>—</w:t>
            </w:r>
          </w:p>
        </w:tc>
      </w:tr>
      <w:tr w14:paraId="4607E75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46D70A0A">
            <w:pPr>
              <w:pStyle w:val="12"/>
              <w:jc w:val="center"/>
            </w:pPr>
          </w:p>
        </w:tc>
        <w:tc>
          <w:tcPr>
            <w:tcW w:w="993" w:type="pct"/>
            <w:vAlign w:val="center"/>
          </w:tcPr>
          <w:p w14:paraId="2FC24FB7">
            <w:pPr>
              <w:pStyle w:val="12"/>
              <w:jc w:val="left"/>
            </w:pPr>
            <w:r>
              <w:rPr>
                <w:rFonts w:hint="eastAsia"/>
              </w:rPr>
              <w:t>36~40岁</w:t>
            </w:r>
          </w:p>
        </w:tc>
        <w:tc>
          <w:tcPr>
            <w:tcW w:w="641" w:type="pct"/>
            <w:vAlign w:val="center"/>
          </w:tcPr>
          <w:p w14:paraId="6BD20708">
            <w:pPr>
              <w:pStyle w:val="12"/>
              <w:jc w:val="center"/>
            </w:pPr>
            <w:r>
              <w:rPr>
                <w:rFonts w:hint="eastAsia"/>
              </w:rPr>
              <w:t>1594</w:t>
            </w:r>
          </w:p>
        </w:tc>
        <w:tc>
          <w:tcPr>
            <w:tcW w:w="498" w:type="pct"/>
            <w:vAlign w:val="center"/>
          </w:tcPr>
          <w:p w14:paraId="6FA2DFE7">
            <w:pPr>
              <w:pStyle w:val="12"/>
              <w:jc w:val="center"/>
            </w:pPr>
            <w:r>
              <w:rPr>
                <w:rFonts w:hint="eastAsia"/>
              </w:rPr>
              <w:t>2</w:t>
            </w:r>
          </w:p>
        </w:tc>
        <w:tc>
          <w:tcPr>
            <w:tcW w:w="498" w:type="pct"/>
            <w:vAlign w:val="center"/>
          </w:tcPr>
          <w:p w14:paraId="55FBA9A9">
            <w:pPr>
              <w:pStyle w:val="12"/>
              <w:jc w:val="center"/>
            </w:pPr>
            <w:r>
              <w:rPr>
                <w:rFonts w:hint="eastAsia"/>
              </w:rPr>
              <w:t>18</w:t>
            </w:r>
          </w:p>
        </w:tc>
        <w:tc>
          <w:tcPr>
            <w:tcW w:w="498" w:type="pct"/>
            <w:vAlign w:val="center"/>
          </w:tcPr>
          <w:p w14:paraId="665B1DAF">
            <w:pPr>
              <w:pStyle w:val="12"/>
              <w:jc w:val="center"/>
            </w:pPr>
            <w:r>
              <w:rPr>
                <w:rFonts w:hint="eastAsia"/>
              </w:rPr>
              <w:t>731</w:t>
            </w:r>
          </w:p>
        </w:tc>
        <w:tc>
          <w:tcPr>
            <w:tcW w:w="498" w:type="pct"/>
            <w:vAlign w:val="center"/>
          </w:tcPr>
          <w:p w14:paraId="39316B87">
            <w:pPr>
              <w:pStyle w:val="12"/>
              <w:jc w:val="center"/>
            </w:pPr>
            <w:r>
              <w:rPr>
                <w:rFonts w:hint="eastAsia"/>
              </w:rPr>
              <w:t>843</w:t>
            </w:r>
          </w:p>
        </w:tc>
        <w:tc>
          <w:tcPr>
            <w:tcW w:w="427" w:type="pct"/>
            <w:vAlign w:val="center"/>
          </w:tcPr>
          <w:p w14:paraId="6E9D15EB">
            <w:pPr>
              <w:pStyle w:val="12"/>
              <w:jc w:val="center"/>
            </w:pPr>
            <w:r>
              <w:rPr>
                <w:rFonts w:hint="eastAsia"/>
              </w:rPr>
              <w:t>—</w:t>
            </w:r>
          </w:p>
        </w:tc>
        <w:tc>
          <w:tcPr>
            <w:tcW w:w="392" w:type="pct"/>
            <w:vAlign w:val="center"/>
          </w:tcPr>
          <w:p w14:paraId="03FEDCCB">
            <w:pPr>
              <w:pStyle w:val="12"/>
              <w:jc w:val="center"/>
            </w:pPr>
            <w:r>
              <w:rPr>
                <w:rFonts w:hint="eastAsia"/>
              </w:rPr>
              <w:t>—</w:t>
            </w:r>
          </w:p>
        </w:tc>
      </w:tr>
      <w:tr w14:paraId="407B35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448FAF52">
            <w:pPr>
              <w:pStyle w:val="12"/>
              <w:jc w:val="center"/>
            </w:pPr>
          </w:p>
        </w:tc>
        <w:tc>
          <w:tcPr>
            <w:tcW w:w="993" w:type="pct"/>
            <w:vAlign w:val="center"/>
          </w:tcPr>
          <w:p w14:paraId="7FF9C7A8">
            <w:pPr>
              <w:pStyle w:val="12"/>
              <w:jc w:val="left"/>
            </w:pPr>
            <w:r>
              <w:rPr>
                <w:rFonts w:hint="eastAsia"/>
              </w:rPr>
              <w:t>41岁以上</w:t>
            </w:r>
          </w:p>
        </w:tc>
        <w:tc>
          <w:tcPr>
            <w:tcW w:w="641" w:type="pct"/>
            <w:vAlign w:val="center"/>
          </w:tcPr>
          <w:p w14:paraId="221EE559">
            <w:pPr>
              <w:pStyle w:val="12"/>
              <w:jc w:val="center"/>
            </w:pPr>
            <w:r>
              <w:rPr>
                <w:rFonts w:hint="eastAsia"/>
              </w:rPr>
              <w:t>3072</w:t>
            </w:r>
          </w:p>
        </w:tc>
        <w:tc>
          <w:tcPr>
            <w:tcW w:w="498" w:type="pct"/>
            <w:vAlign w:val="center"/>
          </w:tcPr>
          <w:p w14:paraId="19E81ED0">
            <w:pPr>
              <w:pStyle w:val="12"/>
              <w:jc w:val="center"/>
            </w:pPr>
            <w:r>
              <w:rPr>
                <w:rFonts w:hint="eastAsia"/>
              </w:rPr>
              <w:t>—</w:t>
            </w:r>
          </w:p>
        </w:tc>
        <w:tc>
          <w:tcPr>
            <w:tcW w:w="498" w:type="pct"/>
            <w:vAlign w:val="center"/>
          </w:tcPr>
          <w:p w14:paraId="024950EC">
            <w:pPr>
              <w:pStyle w:val="12"/>
              <w:jc w:val="center"/>
            </w:pPr>
            <w:r>
              <w:rPr>
                <w:rFonts w:hint="eastAsia"/>
              </w:rPr>
              <w:t>—</w:t>
            </w:r>
          </w:p>
        </w:tc>
        <w:tc>
          <w:tcPr>
            <w:tcW w:w="498" w:type="pct"/>
            <w:vAlign w:val="center"/>
          </w:tcPr>
          <w:p w14:paraId="27EB038F">
            <w:pPr>
              <w:pStyle w:val="12"/>
              <w:jc w:val="center"/>
            </w:pPr>
            <w:r>
              <w:rPr>
                <w:rFonts w:hint="eastAsia"/>
              </w:rPr>
              <w:t>1693</w:t>
            </w:r>
          </w:p>
        </w:tc>
        <w:tc>
          <w:tcPr>
            <w:tcW w:w="498" w:type="pct"/>
            <w:vAlign w:val="center"/>
          </w:tcPr>
          <w:p w14:paraId="45978640">
            <w:pPr>
              <w:pStyle w:val="12"/>
              <w:jc w:val="center"/>
            </w:pPr>
            <w:r>
              <w:rPr>
                <w:rFonts w:hint="eastAsia"/>
              </w:rPr>
              <w:t>1379</w:t>
            </w:r>
          </w:p>
        </w:tc>
        <w:tc>
          <w:tcPr>
            <w:tcW w:w="427" w:type="pct"/>
            <w:vAlign w:val="center"/>
          </w:tcPr>
          <w:p w14:paraId="13F27340">
            <w:pPr>
              <w:pStyle w:val="12"/>
              <w:jc w:val="center"/>
            </w:pPr>
            <w:r>
              <w:rPr>
                <w:rFonts w:hint="eastAsia"/>
              </w:rPr>
              <w:t>—</w:t>
            </w:r>
          </w:p>
        </w:tc>
        <w:tc>
          <w:tcPr>
            <w:tcW w:w="392" w:type="pct"/>
            <w:vAlign w:val="center"/>
          </w:tcPr>
          <w:p w14:paraId="4819472F">
            <w:pPr>
              <w:pStyle w:val="12"/>
              <w:jc w:val="center"/>
            </w:pPr>
            <w:r>
              <w:rPr>
                <w:rFonts w:hint="eastAsia"/>
              </w:rPr>
              <w:t>—</w:t>
            </w:r>
          </w:p>
        </w:tc>
      </w:tr>
      <w:tr w14:paraId="174D5F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06C1C992">
            <w:pPr>
              <w:pStyle w:val="12"/>
              <w:jc w:val="center"/>
            </w:pPr>
          </w:p>
        </w:tc>
        <w:tc>
          <w:tcPr>
            <w:tcW w:w="993" w:type="pct"/>
            <w:vAlign w:val="center"/>
          </w:tcPr>
          <w:p w14:paraId="42C8ED57">
            <w:pPr>
              <w:pStyle w:val="12"/>
              <w:jc w:val="left"/>
            </w:pPr>
            <w:r>
              <w:rPr>
                <w:rFonts w:hint="eastAsia"/>
              </w:rPr>
              <w:t>40~45岁</w:t>
            </w:r>
          </w:p>
        </w:tc>
        <w:tc>
          <w:tcPr>
            <w:tcW w:w="641" w:type="pct"/>
            <w:vAlign w:val="center"/>
          </w:tcPr>
          <w:p w14:paraId="6BEDDA1F">
            <w:pPr>
              <w:pStyle w:val="12"/>
              <w:jc w:val="center"/>
            </w:pPr>
            <w:r>
              <w:rPr>
                <w:rFonts w:hint="eastAsia"/>
              </w:rPr>
              <w:t>36</w:t>
            </w:r>
          </w:p>
        </w:tc>
        <w:tc>
          <w:tcPr>
            <w:tcW w:w="498" w:type="pct"/>
            <w:vAlign w:val="center"/>
          </w:tcPr>
          <w:p w14:paraId="2D030F39">
            <w:pPr>
              <w:pStyle w:val="12"/>
              <w:jc w:val="center"/>
            </w:pPr>
            <w:r>
              <w:rPr>
                <w:rFonts w:hint="eastAsia"/>
              </w:rPr>
              <w:t>2</w:t>
            </w:r>
          </w:p>
        </w:tc>
        <w:tc>
          <w:tcPr>
            <w:tcW w:w="498" w:type="pct"/>
            <w:vAlign w:val="center"/>
          </w:tcPr>
          <w:p w14:paraId="3144D367">
            <w:pPr>
              <w:pStyle w:val="12"/>
              <w:jc w:val="center"/>
            </w:pPr>
            <w:r>
              <w:rPr>
                <w:rFonts w:hint="eastAsia"/>
              </w:rPr>
              <w:t>34</w:t>
            </w:r>
          </w:p>
        </w:tc>
        <w:tc>
          <w:tcPr>
            <w:tcW w:w="498" w:type="pct"/>
            <w:vAlign w:val="center"/>
          </w:tcPr>
          <w:p w14:paraId="2E19740D">
            <w:pPr>
              <w:pStyle w:val="12"/>
              <w:jc w:val="center"/>
            </w:pPr>
            <w:r>
              <w:rPr>
                <w:rFonts w:hint="eastAsia"/>
              </w:rPr>
              <w:t>—</w:t>
            </w:r>
          </w:p>
        </w:tc>
        <w:tc>
          <w:tcPr>
            <w:tcW w:w="498" w:type="pct"/>
            <w:vAlign w:val="center"/>
          </w:tcPr>
          <w:p w14:paraId="0674F1E6">
            <w:pPr>
              <w:pStyle w:val="12"/>
              <w:jc w:val="center"/>
            </w:pPr>
            <w:r>
              <w:rPr>
                <w:rFonts w:hint="eastAsia"/>
              </w:rPr>
              <w:t>—</w:t>
            </w:r>
          </w:p>
        </w:tc>
        <w:tc>
          <w:tcPr>
            <w:tcW w:w="427" w:type="pct"/>
            <w:vAlign w:val="center"/>
          </w:tcPr>
          <w:p w14:paraId="09879BC3">
            <w:pPr>
              <w:pStyle w:val="12"/>
              <w:jc w:val="center"/>
            </w:pPr>
            <w:r>
              <w:rPr>
                <w:rFonts w:hint="eastAsia"/>
              </w:rPr>
              <w:t>—</w:t>
            </w:r>
          </w:p>
        </w:tc>
        <w:tc>
          <w:tcPr>
            <w:tcW w:w="392" w:type="pct"/>
            <w:vAlign w:val="center"/>
          </w:tcPr>
          <w:p w14:paraId="1714F4DA">
            <w:pPr>
              <w:pStyle w:val="12"/>
              <w:jc w:val="center"/>
            </w:pPr>
            <w:r>
              <w:rPr>
                <w:rFonts w:hint="eastAsia"/>
              </w:rPr>
              <w:t>—</w:t>
            </w:r>
          </w:p>
        </w:tc>
      </w:tr>
      <w:tr w14:paraId="762AA9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14:paraId="14D27A76">
            <w:pPr>
              <w:pStyle w:val="12"/>
              <w:jc w:val="center"/>
            </w:pPr>
          </w:p>
        </w:tc>
        <w:tc>
          <w:tcPr>
            <w:tcW w:w="993" w:type="pct"/>
            <w:vAlign w:val="center"/>
          </w:tcPr>
          <w:p w14:paraId="11C6D744">
            <w:pPr>
              <w:pStyle w:val="12"/>
              <w:jc w:val="left"/>
            </w:pPr>
            <w:r>
              <w:rPr>
                <w:rFonts w:hint="eastAsia"/>
              </w:rPr>
              <w:t>46岁以上</w:t>
            </w:r>
          </w:p>
        </w:tc>
        <w:tc>
          <w:tcPr>
            <w:tcW w:w="641" w:type="pct"/>
            <w:vAlign w:val="center"/>
          </w:tcPr>
          <w:p w14:paraId="29674FA7">
            <w:pPr>
              <w:pStyle w:val="12"/>
              <w:jc w:val="center"/>
            </w:pPr>
            <w:r>
              <w:rPr>
                <w:rFonts w:hint="eastAsia"/>
              </w:rPr>
              <w:t>169</w:t>
            </w:r>
          </w:p>
        </w:tc>
        <w:tc>
          <w:tcPr>
            <w:tcW w:w="498" w:type="pct"/>
            <w:vAlign w:val="center"/>
          </w:tcPr>
          <w:p w14:paraId="729D331B">
            <w:pPr>
              <w:pStyle w:val="12"/>
              <w:jc w:val="center"/>
            </w:pPr>
            <w:r>
              <w:rPr>
                <w:rFonts w:hint="eastAsia"/>
              </w:rPr>
              <w:t>22</w:t>
            </w:r>
          </w:p>
        </w:tc>
        <w:tc>
          <w:tcPr>
            <w:tcW w:w="498" w:type="pct"/>
            <w:vAlign w:val="center"/>
          </w:tcPr>
          <w:p w14:paraId="64B2B43C">
            <w:pPr>
              <w:pStyle w:val="12"/>
              <w:jc w:val="center"/>
            </w:pPr>
            <w:r>
              <w:rPr>
                <w:rFonts w:hint="eastAsia"/>
              </w:rPr>
              <w:t>147</w:t>
            </w:r>
          </w:p>
        </w:tc>
        <w:tc>
          <w:tcPr>
            <w:tcW w:w="498" w:type="pct"/>
            <w:vAlign w:val="center"/>
          </w:tcPr>
          <w:p w14:paraId="3F51F04E">
            <w:pPr>
              <w:pStyle w:val="12"/>
              <w:jc w:val="center"/>
            </w:pPr>
            <w:r>
              <w:rPr>
                <w:rFonts w:hint="eastAsia"/>
              </w:rPr>
              <w:t>—</w:t>
            </w:r>
          </w:p>
        </w:tc>
        <w:tc>
          <w:tcPr>
            <w:tcW w:w="498" w:type="pct"/>
            <w:vAlign w:val="center"/>
          </w:tcPr>
          <w:p w14:paraId="2386F34D">
            <w:pPr>
              <w:pStyle w:val="12"/>
              <w:jc w:val="center"/>
            </w:pPr>
            <w:r>
              <w:rPr>
                <w:rFonts w:hint="eastAsia"/>
              </w:rPr>
              <w:t>—</w:t>
            </w:r>
          </w:p>
        </w:tc>
        <w:tc>
          <w:tcPr>
            <w:tcW w:w="427" w:type="pct"/>
            <w:vAlign w:val="center"/>
          </w:tcPr>
          <w:p w14:paraId="1B41DD6A">
            <w:pPr>
              <w:pStyle w:val="12"/>
              <w:jc w:val="center"/>
            </w:pPr>
            <w:r>
              <w:rPr>
                <w:rFonts w:hint="eastAsia"/>
              </w:rPr>
              <w:t>—</w:t>
            </w:r>
          </w:p>
        </w:tc>
        <w:tc>
          <w:tcPr>
            <w:tcW w:w="392" w:type="pct"/>
            <w:vAlign w:val="center"/>
          </w:tcPr>
          <w:p w14:paraId="6DA4E048">
            <w:pPr>
              <w:pStyle w:val="12"/>
              <w:jc w:val="center"/>
            </w:pPr>
            <w:r>
              <w:rPr>
                <w:rFonts w:hint="eastAsia"/>
              </w:rPr>
              <w:t>—</w:t>
            </w:r>
          </w:p>
        </w:tc>
      </w:tr>
    </w:tbl>
    <w:p w14:paraId="368826C8">
      <w:pPr>
        <w:pStyle w:val="5"/>
        <w:rPr>
          <w:rFonts w:ascii="宋体" w:hAnsi="宋体" w:cs="宋体"/>
        </w:rPr>
      </w:pPr>
      <w:r>
        <w:rPr>
          <w:rFonts w:hint="eastAsia" w:ascii="宋体" w:hAnsi="宋体" w:cs="宋体"/>
        </w:rPr>
        <w:t>二、专业技术人员的培训与激励</w:t>
      </w:r>
    </w:p>
    <w:p w14:paraId="1A5A2E21">
      <w:pPr>
        <w:ind w:firstLine="420"/>
        <w:rPr>
          <w:rFonts w:ascii="宋体" w:hAnsi="宋体" w:cs="宋体"/>
        </w:rPr>
      </w:pPr>
      <w:r>
        <w:rPr>
          <w:rFonts w:hint="eastAsia" w:ascii="宋体" w:hAnsi="宋体" w:cs="宋体"/>
        </w:rPr>
        <w:t>专业技术人员的继续教育，由人事部门统一规划，规范公共课的培训考核；主管部门根据各自工作需要抓专业课的培训考核。据统计，1988年至2004年，全市举办专业技术人员培训班77期，参加培训人员22250人次。其中，南雄市烟草公司举办专业人员培训班35期，参加培训人员7250人次。</w:t>
      </w:r>
    </w:p>
    <w:p w14:paraId="5CCE0055">
      <w:pPr>
        <w:ind w:firstLine="420"/>
        <w:rPr>
          <w:rFonts w:ascii="宋体" w:hAnsi="宋体" w:cs="宋体"/>
        </w:rPr>
      </w:pPr>
      <w:r>
        <w:rPr>
          <w:rFonts w:hint="eastAsia" w:ascii="宋体" w:hAnsi="宋体" w:cs="宋体"/>
        </w:rPr>
        <w:t>建立激励机制，重奖有突出贡献的专业技术人才。1988年以来，对在农业、工业、教育、卫生等工作岗位上做出突出成绩的80多名专业技术人才给予晋升一级工资奖励，或一次性奖金。</w:t>
      </w:r>
    </w:p>
    <w:p w14:paraId="73410B9B">
      <w:pPr>
        <w:pStyle w:val="5"/>
        <w:rPr>
          <w:rFonts w:ascii="宋体" w:hAnsi="宋体" w:cs="宋体"/>
        </w:rPr>
      </w:pPr>
      <w:r>
        <w:rPr>
          <w:rFonts w:hint="eastAsia" w:ascii="宋体" w:hAnsi="宋体" w:cs="宋体"/>
        </w:rPr>
        <w:t>三、专业技术人才的开发引进与交流</w:t>
      </w:r>
    </w:p>
    <w:p w14:paraId="0C0BE99E">
      <w:pPr>
        <w:ind w:firstLine="420"/>
        <w:rPr>
          <w:rFonts w:ascii="宋体" w:hAnsi="宋体" w:cs="宋体"/>
        </w:rPr>
      </w:pPr>
      <w:r>
        <w:rPr>
          <w:rFonts w:hint="eastAsia" w:ascii="宋体" w:hAnsi="宋体" w:cs="宋体"/>
        </w:rPr>
        <w:t>有关部门制定了“南引资力，北纳人才”工作方针，积极参加各地人才交流活动，主动与江西、湖南、江苏等地大专院校、科研单位联系，引进高、中级人才或大专以上学历人才，较好地解决教育卫生、建筑设计、珍稀动物养殖、农产品加工、毛竹开发、水电建设等方面人才紧缺问题。</w:t>
      </w:r>
    </w:p>
    <w:p w14:paraId="69B1C43D">
      <w:pPr>
        <w:ind w:firstLine="420"/>
        <w:rPr>
          <w:rFonts w:ascii="宋体" w:hAnsi="宋体" w:cs="宋体"/>
        </w:rPr>
      </w:pPr>
      <w:r>
        <w:rPr>
          <w:rFonts w:hint="eastAsia" w:ascii="宋体" w:hAnsi="宋体" w:cs="宋体"/>
        </w:rPr>
        <w:t>1988年至2004年，本市先后从外地引进各类专业技术人才210人。其中具有本科学历167人，大专学历26人，中专17人；具有高级技术职称3人，中级29人、初级56人。主要来自湖南、江西等地。1998年以来，先后有16个镇建立了人才服务工作站，并已挂牌开业。</w:t>
      </w:r>
    </w:p>
    <w:p w14:paraId="238545D1">
      <w:pPr>
        <w:pStyle w:val="4"/>
        <w:rPr>
          <w:rFonts w:ascii="宋体" w:hAnsi="宋体" w:cs="宋体"/>
        </w:rPr>
      </w:pPr>
      <w:r>
        <w:rPr>
          <w:rFonts w:hint="eastAsia" w:ascii="宋体" w:hAnsi="宋体" w:cs="宋体"/>
        </w:rPr>
        <w:t>第四节  工资制度改革</w:t>
      </w:r>
    </w:p>
    <w:p w14:paraId="15A643A1">
      <w:pPr>
        <w:ind w:firstLine="420"/>
        <w:rPr>
          <w:rFonts w:ascii="宋体" w:hAnsi="宋体" w:cs="宋体"/>
        </w:rPr>
      </w:pPr>
      <w:r>
        <w:rPr>
          <w:rFonts w:hint="eastAsia" w:ascii="宋体" w:hAnsi="宋体" w:cs="宋体"/>
        </w:rPr>
        <w:t>1993年10月，根据国家工资政策，建立了不同行业特点的工资机制。主要分为三大类：凡企业人员实行企业工资；事业单位人员实行事业工资；行政人员实行公务员工资。</w:t>
      </w:r>
    </w:p>
    <w:p w14:paraId="2C79EF96">
      <w:pPr>
        <w:pStyle w:val="5"/>
        <w:rPr>
          <w:rFonts w:ascii="宋体" w:hAnsi="宋体" w:cs="宋体"/>
        </w:rPr>
      </w:pPr>
      <w:r>
        <w:rPr>
          <w:rFonts w:hint="eastAsia" w:ascii="宋体" w:hAnsi="宋体" w:cs="宋体"/>
        </w:rPr>
        <w:t>一、公务员工资改革</w:t>
      </w:r>
    </w:p>
    <w:p w14:paraId="77CA22B3">
      <w:pPr>
        <w:ind w:firstLine="420"/>
        <w:rPr>
          <w:rFonts w:ascii="宋体" w:hAnsi="宋体" w:cs="宋体"/>
        </w:rPr>
      </w:pPr>
      <w:r>
        <w:rPr>
          <w:rFonts w:hint="eastAsia" w:ascii="宋体" w:hAnsi="宋体" w:cs="宋体"/>
        </w:rPr>
        <w:t>公务员工资改革，于1993年10月开始，主要由结构工资改为职级工资制，其工资主要由基本工资（职务工资、级别工资、基础工资、工龄工资）和各项津贴补助及奖金三大部分构成。这次改革，使原来机关、事业单位使用同一结构工资型积累起来的工资水平偏低，各类人员工资“平台”突出，缺乏正常增资机制等矛盾得到合理的理顺，体现了机关、事业单位各自特色，实现了工资的正常增长。2000年末，国家公务员平均工资8384元，对比1988年有所增长。1988年，机关、事业单位工作人员年人均各项补贴为852元；而2000年，公务员年人均津贴和补贴为4596元，增长540%。</w:t>
      </w:r>
    </w:p>
    <w:p w14:paraId="5C854920">
      <w:pPr>
        <w:pStyle w:val="5"/>
        <w:rPr>
          <w:rFonts w:ascii="宋体" w:hAnsi="宋体" w:cs="宋体"/>
        </w:rPr>
      </w:pPr>
      <w:r>
        <w:rPr>
          <w:rFonts w:hint="eastAsia" w:ascii="宋体" w:hAnsi="宋体" w:cs="宋体"/>
        </w:rPr>
        <w:t>二、专业技术人员工资改革</w:t>
      </w:r>
    </w:p>
    <w:p w14:paraId="015E6532">
      <w:pPr>
        <w:ind w:firstLine="420"/>
        <w:rPr>
          <w:rFonts w:ascii="宋体" w:hAnsi="宋体" w:cs="宋体"/>
        </w:rPr>
      </w:pPr>
      <w:r>
        <w:rPr>
          <w:rFonts w:hint="eastAsia" w:ascii="宋体" w:hAnsi="宋体" w:cs="宋体"/>
        </w:rPr>
        <w:t>专业技术人员工资改革由结构工资改为以专业技术职务工资为主，岗位津贴为辅的分类工资制度。即专业技术人员的工资主要由固定部分和津贴二部分构成。事业单位专业技术人员工资又分为三类：管理人员领取职员工资，专业技术人员领取职称工资，工人领取普工或技工工资。改革后，专业技术人员工资增幅较大。2000年人年均工资：教育、文化部门为8971元（其中，中小学校为11753元），科研部门为8700元，卫生、体育和社会福利部门为8907元，金融保险部门为9938元。专业技术人员工资对比1988年约增长40%多。</w:t>
      </w:r>
    </w:p>
    <w:p w14:paraId="5B52FF3D">
      <w:pPr>
        <w:pStyle w:val="4"/>
        <w:rPr>
          <w:rFonts w:ascii="宋体" w:hAnsi="宋体" w:cs="宋体"/>
        </w:rPr>
      </w:pPr>
      <w:r>
        <w:rPr>
          <w:rFonts w:hint="eastAsia" w:ascii="宋体" w:hAnsi="宋体" w:cs="宋体"/>
        </w:rPr>
        <w:t>第五节  离退休制度</w:t>
      </w:r>
    </w:p>
    <w:p w14:paraId="3D980253">
      <w:pPr>
        <w:ind w:firstLine="420"/>
        <w:rPr>
          <w:rFonts w:ascii="宋体" w:hAnsi="宋体" w:cs="宋体"/>
        </w:rPr>
      </w:pPr>
      <w:r>
        <w:rPr>
          <w:rFonts w:hint="eastAsia" w:ascii="宋体" w:hAnsi="宋体" w:cs="宋体"/>
        </w:rPr>
        <w:t>新中国成立前参加革命工作，年满60周岁的人员实行离职休养制；新中国成立后参加工作的人员实行退休制，其退休年龄原定男年满60周岁，女年满55周岁。20世纪90年代末，因机构改革紧缩编制，有条件地允许一些干部自愿提前退休。中共南雄市委雄发〔2001〕25号文规定，正科现职一把手，男年满57周岁，女年满52周岁的离岗退养。副科以下（含非领导职务正科级干部）人员男年满55周岁，女年满50周岁也离岗退养。个别接近上述年龄的人员（男满52周岁，女满47周岁）工作年限满20年，因身体或其他特殊原因，经组织批准可以离岗退养。凡符合以上退养条件的，经本人申请，组织批准可提前退休，分别给予职务工资补贴，最高不能超过3个档次。</w:t>
      </w:r>
    </w:p>
    <w:p w14:paraId="692DE713">
      <w:pPr>
        <w:ind w:firstLine="420"/>
        <w:rPr>
          <w:rFonts w:ascii="宋体" w:hAnsi="宋体" w:cs="宋体"/>
        </w:rPr>
      </w:pPr>
      <w:r>
        <w:rPr>
          <w:rFonts w:hint="eastAsia" w:ascii="宋体" w:hAnsi="宋体" w:cs="宋体"/>
        </w:rPr>
        <w:t>至2004年，全市有离退休795人，其中离休143人。离休人员中，享受副厅级待遇1人，处级55人，科级12人。离休人员除享受在职一样的各种待遇，工资领取100%外，按人伍时间分别增发交通费、护理费等各项补贴。全市退休652人，其中处级49人。退休人员按规定发给退休费。</w:t>
      </w:r>
    </w:p>
    <w:p w14:paraId="38EC0925">
      <w:pPr>
        <w:pStyle w:val="3"/>
        <w:rPr>
          <w:rFonts w:ascii="宋体" w:hAnsi="宋体" w:cs="宋体"/>
        </w:rPr>
      </w:pPr>
      <w:r>
        <w:rPr>
          <w:rFonts w:hint="eastAsia" w:ascii="宋体" w:hAnsi="宋体" w:cs="宋体"/>
        </w:rPr>
        <w:t>第三章  劳动和社会保障</w:t>
      </w:r>
    </w:p>
    <w:p w14:paraId="46099329">
      <w:pPr>
        <w:pStyle w:val="4"/>
        <w:rPr>
          <w:rFonts w:ascii="宋体" w:hAnsi="宋体" w:cs="宋体"/>
        </w:rPr>
      </w:pPr>
      <w:r>
        <w:rPr>
          <w:rFonts w:hint="eastAsia" w:ascii="宋体" w:hAnsi="宋体" w:cs="宋体"/>
        </w:rPr>
        <w:t>第一节  机构</w:t>
      </w:r>
    </w:p>
    <w:p w14:paraId="74C5359E">
      <w:pPr>
        <w:ind w:firstLine="420"/>
        <w:rPr>
          <w:rFonts w:ascii="宋体" w:hAnsi="宋体" w:cs="宋体"/>
        </w:rPr>
      </w:pPr>
      <w:r>
        <w:rPr>
          <w:rFonts w:hint="eastAsia" w:ascii="宋体" w:hAnsi="宋体" w:cs="宋体"/>
        </w:rPr>
        <w:t>1979年11月成立县劳动服务公司（2001年，更名为南雄市劳动就业服务管理中心）。1984年7月成立县社会劳动保险公司，1990年8月更名为南雄县社会保险事业管理局。1998年4月，撤销劳动局下属的保险事业管理局，重新组建市政府直属的南雄市社会保险管理局。2002年2月，撤销市劳动局、社会保险管理局，组建南雄市劳动和社会保障局。同时设立社会保险基金管理中心。2003年7月，社会保险基金管理中心更名为韶关市社会保险基金管理中心南雄市办事处，上划韶关市社会保险基金管理中心管理。2004年12月，撤销南雄市社会保险基金办事处医疗保险股，成立韶关市医疗保险服务中心南雄市办事处。</w:t>
      </w:r>
    </w:p>
    <w:p w14:paraId="65928B45">
      <w:pPr>
        <w:pStyle w:val="4"/>
        <w:rPr>
          <w:rFonts w:ascii="宋体" w:hAnsi="宋体" w:cs="宋体"/>
        </w:rPr>
      </w:pPr>
      <w:r>
        <w:rPr>
          <w:rFonts w:hint="eastAsia" w:ascii="宋体" w:hAnsi="宋体" w:cs="宋体"/>
        </w:rPr>
        <w:t>第二节  劳动制度改革</w:t>
      </w:r>
    </w:p>
    <w:p w14:paraId="75F7470A">
      <w:pPr>
        <w:ind w:firstLine="420"/>
        <w:rPr>
          <w:rFonts w:ascii="宋体" w:hAnsi="宋体" w:cs="宋体"/>
        </w:rPr>
      </w:pPr>
      <w:r>
        <w:rPr>
          <w:rFonts w:hint="eastAsia" w:ascii="宋体" w:hAnsi="宋体" w:cs="宋体"/>
        </w:rPr>
        <w:t>1979年，劳动就业制度改革，实行国家统筹安排规划下由劳动部门介绍就业。至1987年止共安置18424人就业，其中全民所有制单位安置3407人，县以上集体单位安置1385人，其他各类型单位安置3986人，个体劳动者3381人，临时性工作6255人。</w:t>
      </w:r>
    </w:p>
    <w:p w14:paraId="4FDE8C87">
      <w:pPr>
        <w:ind w:firstLine="420"/>
        <w:rPr>
          <w:rFonts w:ascii="宋体" w:hAnsi="宋体" w:cs="宋体"/>
        </w:rPr>
      </w:pPr>
      <w:r>
        <w:rPr>
          <w:rFonts w:hint="eastAsia" w:ascii="宋体" w:hAnsi="宋体" w:cs="宋体"/>
        </w:rPr>
        <w:t>1988年以后劳动制度改革不断深化，企业逐步实行自主招工，劳动局不再向企业下达招工计划指标。企业招用工人实行劳动合同制。1994年以前，企业用工仍存在多种形式：固定工、合同工、临时工和计划外用工。1995年1月1日，《中华人民共和国劳动法》实施以后，企业用工形式统一为劳动合同制用工，用工单位必须与职工签订劳动合同。</w:t>
      </w:r>
    </w:p>
    <w:p w14:paraId="70579C42">
      <w:pPr>
        <w:pStyle w:val="4"/>
        <w:rPr>
          <w:rFonts w:ascii="宋体" w:hAnsi="宋体" w:cs="宋体"/>
        </w:rPr>
      </w:pPr>
      <w:r>
        <w:rPr>
          <w:rFonts w:hint="eastAsia" w:ascii="宋体" w:hAnsi="宋体" w:cs="宋体"/>
        </w:rPr>
        <w:t>第三节  劳动就业</w:t>
      </w:r>
    </w:p>
    <w:p w14:paraId="627988C4">
      <w:pPr>
        <w:pStyle w:val="5"/>
        <w:rPr>
          <w:rFonts w:ascii="宋体" w:hAnsi="宋体" w:cs="宋体"/>
        </w:rPr>
      </w:pPr>
      <w:r>
        <w:rPr>
          <w:rFonts w:hint="eastAsia" w:ascii="宋体" w:hAnsi="宋体" w:cs="宋体"/>
        </w:rPr>
        <w:t>一、就业和再就业</w:t>
      </w:r>
    </w:p>
    <w:p w14:paraId="5357D2BC">
      <w:pPr>
        <w:ind w:firstLine="420"/>
        <w:rPr>
          <w:rFonts w:ascii="宋体" w:hAnsi="宋体" w:cs="宋体"/>
        </w:rPr>
      </w:pPr>
      <w:r>
        <w:rPr>
          <w:rFonts w:hint="eastAsia" w:ascii="宋体" w:hAnsi="宋体" w:cs="宋体"/>
        </w:rPr>
        <w:t>1988年起，劳动部门对企业招工的职能转为监督、指导和服务。1988年至1994年，劳动局指导并为企业单位办理招用合同工和安置职工3974人。1988年至2004年，劳动局共组织输出劳动力41227人，缓解了全市就业矛盾。</w:t>
      </w:r>
    </w:p>
    <w:p w14:paraId="6DC92144">
      <w:pPr>
        <w:ind w:firstLine="420"/>
        <w:rPr>
          <w:rFonts w:ascii="宋体" w:hAnsi="宋体" w:cs="宋体"/>
        </w:rPr>
      </w:pPr>
      <w:r>
        <w:rPr>
          <w:rFonts w:hint="eastAsia" w:ascii="宋体" w:hAnsi="宋体" w:cs="宋体"/>
        </w:rPr>
        <w:t>1996年开始实施再就业工程以来，全市就业局势保持稳定。城镇登记失业率历年控制在3.1%以内。1996年至2004年，全市共开发就业岗位11820个，7683名下岗失业职工实现再就业，再就业率达到65%。其中在外资企业就业1080人，民营企业就业2785人，从事个体经营2504人，其他灵活就业的13144人。发放“再就业优惠证”2870本，为1162户下岗失业人员从事个体经营减免各项税费164.84万元。发放鼓励和扶持下岗职工自主创业的小额担保贷款32户64万元。开发社区就业岗位1450个，安置下岗失业人员1017人就业。发布劳务信息、求职信息3786条，提供用工岗位50000多个，提供免费职业介绍、求职登记服务8000多人次，成功介绍就业4960人次。举办劳务招聘会25场，提供就业岗位24000个，实现就业人数4950人。</w:t>
      </w:r>
    </w:p>
    <w:p w14:paraId="071F312F">
      <w:pPr>
        <w:pStyle w:val="5"/>
        <w:rPr>
          <w:rFonts w:ascii="宋体" w:hAnsi="宋体" w:cs="宋体"/>
        </w:rPr>
      </w:pPr>
      <w:r>
        <w:rPr>
          <w:rFonts w:hint="eastAsia" w:ascii="宋体" w:hAnsi="宋体" w:cs="宋体"/>
        </w:rPr>
        <w:t>二、职业技能培训</w:t>
      </w:r>
    </w:p>
    <w:p w14:paraId="4ABAFFB2">
      <w:pPr>
        <w:ind w:firstLine="420"/>
        <w:rPr>
          <w:rFonts w:ascii="宋体" w:hAnsi="宋体" w:cs="宋体"/>
        </w:rPr>
      </w:pPr>
      <w:r>
        <w:rPr>
          <w:rFonts w:hint="eastAsia" w:ascii="宋体" w:hAnsi="宋体" w:cs="宋体"/>
        </w:rPr>
        <w:t>1981年至1987年对职工实行先培训后就业。先后培训118期，6470人，1987年有900多人次参加了特殊工种培训。</w:t>
      </w:r>
    </w:p>
    <w:p w14:paraId="0C5C1FB3">
      <w:pPr>
        <w:ind w:firstLine="420"/>
        <w:rPr>
          <w:rFonts w:ascii="宋体" w:hAnsi="宋体" w:cs="宋体"/>
        </w:rPr>
      </w:pPr>
      <w:r>
        <w:rPr>
          <w:rFonts w:hint="eastAsia" w:ascii="宋体" w:hAnsi="宋体" w:cs="宋体"/>
        </w:rPr>
        <w:t>1988年以来，坚持以培训基地为依托，以市场需求为导向，以实用技术和中短期的岗位技能培训为主，积极为下岗失业人员开展职业技能培训。1988年至1992年，共举办各类培训班182期，培训锅炉工、司炉工、水质化验员、电工、电焊工、家电维修、财会、车缝工等共8480人次，其中待业人员4148人次，在职职工4332人次。1993年至1997年，共培训锅炉工、司炉工、电工、电焊工等在职工人岗位培训845人次。1998年至2004年共举办各类下岗、失业职工转岗培训班185期，培训失业职工7401人次；培训农村富余劳动力9950人，培训后实现转移就业7423人。1988年至2005年举办各类职业资格证书培训班98期，颁发各类职业资格证书4180人次。</w:t>
      </w:r>
    </w:p>
    <w:p w14:paraId="397B7C2B">
      <w:pPr>
        <w:ind w:firstLine="420"/>
        <w:rPr>
          <w:rFonts w:ascii="宋体" w:hAnsi="宋体" w:cs="宋体"/>
        </w:rPr>
      </w:pPr>
      <w:r>
        <w:rPr>
          <w:rFonts w:hint="eastAsia" w:ascii="宋体" w:hAnsi="宋体" w:cs="宋体"/>
        </w:rPr>
        <w:t>在开展职业技能培训的同时，积极抓好技工学校招生录取工作。至2005年止，全市共有3629名学生进入技工学校就读。其中：按照广东省、韶关市提出的“培训一人，就业一人，脱贫一户”的目标，我市共输出了贫困生272名入读技工学校。</w:t>
      </w:r>
    </w:p>
    <w:p w14:paraId="6E46EBC2">
      <w:pPr>
        <w:pStyle w:val="4"/>
        <w:rPr>
          <w:rFonts w:ascii="宋体" w:hAnsi="宋体" w:cs="宋体"/>
        </w:rPr>
      </w:pPr>
      <w:r>
        <w:rPr>
          <w:rFonts w:hint="eastAsia" w:ascii="宋体" w:hAnsi="宋体" w:cs="宋体"/>
        </w:rPr>
        <w:t>第四节  劳动争议调解仲裁</w:t>
      </w:r>
    </w:p>
    <w:p w14:paraId="04E46D1E">
      <w:pPr>
        <w:ind w:firstLine="420"/>
        <w:rPr>
          <w:rFonts w:ascii="宋体" w:hAnsi="宋体" w:cs="宋体"/>
        </w:rPr>
      </w:pPr>
      <w:r>
        <w:rPr>
          <w:rFonts w:hint="eastAsia" w:ascii="宋体" w:hAnsi="宋体" w:cs="宋体"/>
        </w:rPr>
        <w:t>1987年，县劳动争议仲裁委员会成立。县属22个副科级企业成立劳动争议调解委员会。</w:t>
      </w:r>
    </w:p>
    <w:p w14:paraId="58341C30">
      <w:pPr>
        <w:ind w:firstLine="420"/>
        <w:rPr>
          <w:rFonts w:ascii="宋体" w:hAnsi="宋体" w:cs="宋体"/>
        </w:rPr>
      </w:pPr>
      <w:r>
        <w:rPr>
          <w:rFonts w:hint="eastAsia" w:ascii="宋体" w:hAnsi="宋体" w:cs="宋体"/>
        </w:rPr>
        <w:t>1988年以来，劳动争议仲裁委员会积极宣传贯彻实施国家劳动保障政策和劳动法律法规，坚持开展劳动保障监察专项检查与日常巡查，不断加大执法力度，大力整顿和规范劳动用工行为，认真查处各类劳动违法行为，切实维护劳动者和用人单位的合法权益。1988年至2005年共组织专项检查35人次，检查企业1200家，涉及人数58000人次。查处劳动争议纠纷287宗。清理拖欠工资463万元，涉及人数1685人。受理劳动争议196宗，涉及人数353人，结案189宗，结案率96%。接待群众来信来访6480多人次。开展单位劳动年审750多户，劳动监察检查单位700多户，涉及劳动者50000多人次。</w:t>
      </w:r>
    </w:p>
    <w:p w14:paraId="375CE743">
      <w:pPr>
        <w:pStyle w:val="4"/>
        <w:rPr>
          <w:rFonts w:ascii="宋体" w:hAnsi="宋体" w:cs="宋体"/>
        </w:rPr>
      </w:pPr>
      <w:r>
        <w:rPr>
          <w:rFonts w:hint="eastAsia" w:ascii="宋体" w:hAnsi="宋体" w:cs="宋体"/>
        </w:rPr>
        <w:t>第五节  职工工资</w:t>
      </w:r>
    </w:p>
    <w:p w14:paraId="47453529">
      <w:pPr>
        <w:ind w:firstLine="420"/>
        <w:rPr>
          <w:rFonts w:ascii="宋体" w:hAnsi="宋体" w:cs="宋体"/>
        </w:rPr>
      </w:pPr>
      <w:r>
        <w:rPr>
          <w:rFonts w:hint="eastAsia" w:ascii="宋体" w:hAnsi="宋体" w:cs="宋体"/>
        </w:rPr>
        <w:t>1956年9月实行工资改革，南雄县划为五类工资区。1986年调为6类工资区，在此期间，职工工资经过多次调整。全民所有制单位职工工资，1957年人年均为449元，1987年增加到1746元，集体所有制单位职工也相应增加到1187元。</w:t>
      </w:r>
    </w:p>
    <w:p w14:paraId="4889F739">
      <w:pPr>
        <w:ind w:firstLine="420"/>
        <w:rPr>
          <w:rFonts w:ascii="宋体" w:hAnsi="宋体" w:cs="宋体"/>
        </w:rPr>
      </w:pPr>
      <w:r>
        <w:rPr>
          <w:rFonts w:hint="eastAsia" w:ascii="宋体" w:hAnsi="宋体" w:cs="宋体"/>
        </w:rPr>
        <w:t>1988年7月起，逐步实行企业工资总额与经济效益挂钩。1989年有29家企业实行了挂钩，未实行的62家则实行工资基金管理。</w:t>
      </w:r>
    </w:p>
    <w:p w14:paraId="0064AC6D">
      <w:pPr>
        <w:ind w:firstLine="420"/>
        <w:rPr>
          <w:rFonts w:ascii="宋体" w:hAnsi="宋体" w:cs="宋体"/>
        </w:rPr>
      </w:pPr>
      <w:r>
        <w:rPr>
          <w:rFonts w:hint="eastAsia" w:ascii="宋体" w:hAnsi="宋体" w:cs="宋体"/>
        </w:rPr>
        <w:t>1995年实施劳动法以后，国家逐步放开档案工资管理。从1998年起实行社会最低工资标准，以1998年为188元／月起，已经历了3次调整，分别为270元／月、280元／月、2004年为352元／月。</w:t>
      </w:r>
    </w:p>
    <w:p w14:paraId="06CC643D">
      <w:pPr>
        <w:pStyle w:val="4"/>
        <w:rPr>
          <w:rFonts w:ascii="宋体" w:hAnsi="宋体" w:cs="宋体"/>
        </w:rPr>
      </w:pPr>
      <w:r>
        <w:rPr>
          <w:rFonts w:hint="eastAsia" w:ascii="宋体" w:hAnsi="宋体" w:cs="宋体"/>
        </w:rPr>
        <w:t>第六节  社会和医疗保险</w:t>
      </w:r>
    </w:p>
    <w:p w14:paraId="6008927A">
      <w:pPr>
        <w:pStyle w:val="5"/>
        <w:rPr>
          <w:rFonts w:ascii="宋体" w:hAnsi="宋体" w:cs="宋体"/>
        </w:rPr>
      </w:pPr>
      <w:r>
        <w:rPr>
          <w:rFonts w:hint="eastAsia" w:ascii="宋体" w:hAnsi="宋体" w:cs="宋体"/>
        </w:rPr>
        <w:t>一、养老保险</w:t>
      </w:r>
    </w:p>
    <w:p w14:paraId="7A1BDF3F">
      <w:pPr>
        <w:ind w:firstLine="420"/>
        <w:rPr>
          <w:rFonts w:ascii="宋体" w:hAnsi="宋体" w:cs="宋体"/>
        </w:rPr>
      </w:pPr>
      <w:r>
        <w:rPr>
          <w:rFonts w:hint="eastAsia" w:ascii="宋体" w:hAnsi="宋体" w:cs="宋体"/>
        </w:rPr>
        <w:t>1984年7月，实行退休基金社会统筹，按“以薪养老，循环调剂，以支定筹，略有结余”的原则办理，统筹金不够用时，由地方财政补贴。1994年起，养老保险实行社会统筹与个人账户相结合的管理办法。养老保险征缴，以全市上年度职工平均工资为基数确定缴费工资上下限的标准，即单位按全部职工工资总额，个人按本人工资、薪金申报，工资、薪金低于全市上年度职工平均工资60%的，按60%计征，超过全市上年度职工平均工资300%的，按300%计征。单位和职工按月缴纳养老保险费。职工养老保险待遇与缴费工资、缴费年限挂钩，与国民经济发展和社会生活水平提高相适应，各个时期有所调整。单位缴费比例：从1994年至1998年为18.5%，1998年至2000年为20%。1991年开始建立个人账户，至1994年4月每人每月缴纳2元，1994年5月开始个人按缴费基数比例征收，1994年5月至1996年6月按2%计征，1996年7月至1998年6月按3%计征，1998年7月至1999年6月按4%计征，1999年7月至2000年12月按5%计征。至2004年止，参加养老保险单位1434个，参保职工22079人（含非公有制单位），约占应保人数的95%。</w:t>
      </w:r>
    </w:p>
    <w:p w14:paraId="0AE1D128">
      <w:pPr>
        <w:pStyle w:val="5"/>
        <w:rPr>
          <w:rFonts w:ascii="宋体" w:hAnsi="宋体" w:cs="宋体"/>
        </w:rPr>
      </w:pPr>
      <w:r>
        <w:rPr>
          <w:rFonts w:hint="eastAsia" w:ascii="宋体" w:hAnsi="宋体" w:cs="宋体"/>
        </w:rPr>
        <w:t>二、失业保险</w:t>
      </w:r>
    </w:p>
    <w:p w14:paraId="7A5AFA09">
      <w:pPr>
        <w:ind w:firstLine="420"/>
        <w:rPr>
          <w:rFonts w:ascii="宋体" w:hAnsi="宋体" w:cs="宋体"/>
        </w:rPr>
      </w:pPr>
      <w:r>
        <w:rPr>
          <w:rFonts w:hint="eastAsia" w:ascii="宋体" w:hAnsi="宋体" w:cs="宋体"/>
        </w:rPr>
        <w:t>1986年10月，贯彻国务院《国营企业职工待业保险暂行规定》，在国有企业建立职工失业保险制度。失业保险费由单位按养老保险缴费基数的1%计征。1998年7月开始，失业保险费率调整为3%，其中单位缴纳2%，职工个人缴纳1%。2004年止，参加失业保险单位373个，享受失业保险待遇17059人，约占应保人数的95%。</w:t>
      </w:r>
    </w:p>
    <w:p w14:paraId="60901528">
      <w:pPr>
        <w:pStyle w:val="5"/>
        <w:rPr>
          <w:rFonts w:ascii="宋体" w:hAnsi="宋体" w:cs="宋体"/>
        </w:rPr>
      </w:pPr>
      <w:r>
        <w:rPr>
          <w:rFonts w:hint="eastAsia" w:ascii="宋体" w:hAnsi="宋体" w:cs="宋体"/>
        </w:rPr>
        <w:t>三、工伤保险</w:t>
      </w:r>
    </w:p>
    <w:p w14:paraId="4489A725">
      <w:pPr>
        <w:ind w:firstLine="420"/>
        <w:rPr>
          <w:rFonts w:ascii="宋体" w:hAnsi="宋体" w:cs="宋体"/>
        </w:rPr>
      </w:pPr>
      <w:r>
        <w:rPr>
          <w:rFonts w:hint="eastAsia" w:ascii="宋体" w:hAnsi="宋体" w:cs="宋体"/>
        </w:rPr>
        <w:t>1992年8月开始实施工伤保险。工伤保险费按不同的行业分别征收0.5%～1.5%，个人不征收工伤保险费。至2004年止，参加工伤保险单位274个，参保人数13039人（含非公有制单位），约占应保人数的95%。</w:t>
      </w:r>
    </w:p>
    <w:p w14:paraId="2226FDD6">
      <w:pPr>
        <w:pStyle w:val="5"/>
        <w:rPr>
          <w:rFonts w:ascii="宋体" w:hAnsi="宋体" w:cs="宋体"/>
        </w:rPr>
      </w:pPr>
      <w:r>
        <w:rPr>
          <w:rFonts w:hint="eastAsia" w:ascii="宋体" w:hAnsi="宋体" w:cs="宋体"/>
        </w:rPr>
        <w:t>四、医疗保险</w:t>
      </w:r>
    </w:p>
    <w:p w14:paraId="4D877F03">
      <w:pPr>
        <w:ind w:firstLine="420"/>
        <w:rPr>
          <w:rFonts w:ascii="宋体" w:hAnsi="宋体" w:cs="宋体"/>
        </w:rPr>
      </w:pPr>
      <w:r>
        <w:rPr>
          <w:rFonts w:hint="eastAsia" w:ascii="宋体" w:hAnsi="宋体" w:cs="宋体"/>
        </w:rPr>
        <w:t>1952年10月，企业职工开始实行公费医疗制度，医疗费和住院费全部由企业负担，实报实销。职工供养的直系亲属享受半费医疗。1980年以后，改为每月按工龄发给个人包干，重病住院医疗费用由企业适当报销全部或部分。</w:t>
      </w:r>
    </w:p>
    <w:p w14:paraId="3CC90F13">
      <w:pPr>
        <w:ind w:firstLine="420"/>
        <w:rPr>
          <w:rFonts w:ascii="宋体" w:hAnsi="宋体" w:cs="宋体"/>
        </w:rPr>
      </w:pPr>
      <w:r>
        <w:rPr>
          <w:rFonts w:hint="eastAsia" w:ascii="宋体" w:hAnsi="宋体" w:cs="宋体"/>
        </w:rPr>
        <w:t>2001年11月实施《南雄市城镇职工基本医疗保险实施细则》，2001年12月正式征缴医保基金，基本医疗保险费由用人单位和在职职工双方共同负担，基金实行社会统筹和个人账户相结合。2002年1月医保基金开始运作。5年来单位缴费比例为6.5%，个人缴费比例为2%。缴费基数则逐年按社会平均工资调整，其中2001年在职人员按不低于570元计算，退休人员按710元计算；2002年在职人员按不低于490元计算，退休人员按710元计算；2003年企业在职人员按不低于607元计算，行政、事业单位在职人员按4项工资650元计算，退休人员按710元计算；2004年企业在职人员按不低于667元计算，行政、事业单位在职人员按700元计算，退休人员按1025元计算。5年来参保人数在3万人左右。至2005年12月止，参加医保单位扩展到419家，参加职工为21299人，参保职工占职工总数的95%。2005年应缴金额2045万元，实际征收医保基金1698万元，医保各项待遇支付为1483万元，收支平衡且有节余。和基本医疗运作同步的大额医疗保险也被强力推行，构建了以基本医疗为主的多层次医疗保障体系。</w:t>
      </w:r>
    </w:p>
    <w:p w14:paraId="6A75E3E2">
      <w:pPr>
        <w:ind w:firstLine="420"/>
        <w:rPr>
          <w:rFonts w:ascii="宋体" w:hAnsi="宋体" w:cs="宋体"/>
        </w:rPr>
      </w:pPr>
      <w:r>
        <w:rPr>
          <w:rFonts w:hint="eastAsia" w:ascii="宋体" w:hAnsi="宋体" w:cs="宋体"/>
        </w:rPr>
        <w:t>2001年至2004年参加社会保险（含养老保险、工伤保险、失业保险）人数、基金收缴、基金支付情况见表6-15：</w:t>
      </w:r>
    </w:p>
    <w:p w14:paraId="792E7D23">
      <w:pPr>
        <w:ind w:firstLine="422"/>
        <w:jc w:val="center"/>
        <w:rPr>
          <w:rFonts w:ascii="宋体" w:hAnsi="宋体" w:cs="宋体"/>
          <w:b/>
          <w:bCs/>
        </w:rPr>
      </w:pPr>
      <w:r>
        <w:rPr>
          <w:rFonts w:hint="eastAsia" w:ascii="宋体" w:hAnsi="宋体" w:cs="宋体"/>
          <w:b/>
          <w:bCs/>
        </w:rPr>
        <w:t>南雄市社会和医疗保险情况</w:t>
      </w:r>
    </w:p>
    <w:p w14:paraId="5C86B314">
      <w:pPr>
        <w:ind w:firstLine="0" w:firstLineChars="0"/>
        <w:rPr>
          <w:rFonts w:ascii="宋体" w:hAnsi="宋体" w:cs="宋体"/>
          <w:b/>
          <w:bCs/>
        </w:rPr>
      </w:pPr>
      <w:r>
        <w:rPr>
          <w:rFonts w:hint="eastAsia" w:ascii="宋体" w:hAnsi="宋体" w:cs="宋体"/>
          <w:b/>
          <w:bCs/>
        </w:rPr>
        <w:t>表6-15</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5"/>
        <w:gridCol w:w="1245"/>
        <w:gridCol w:w="1245"/>
        <w:gridCol w:w="1245"/>
        <w:gridCol w:w="1245"/>
        <w:gridCol w:w="1245"/>
        <w:gridCol w:w="1246"/>
        <w:gridCol w:w="1246"/>
      </w:tblGrid>
      <w:tr w14:paraId="617137E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3210F6E8">
            <w:pPr>
              <w:pStyle w:val="12"/>
              <w:jc w:val="center"/>
              <w:rPr>
                <w:b/>
              </w:rPr>
            </w:pPr>
            <w:r>
              <w:rPr>
                <w:rFonts w:hint="eastAsia"/>
                <w:b/>
              </w:rPr>
              <w:t>年份</w:t>
            </w:r>
          </w:p>
        </w:tc>
        <w:tc>
          <w:tcPr>
            <w:tcW w:w="625" w:type="pct"/>
            <w:vAlign w:val="center"/>
          </w:tcPr>
          <w:p w14:paraId="63B4990F">
            <w:pPr>
              <w:pStyle w:val="12"/>
              <w:jc w:val="center"/>
              <w:rPr>
                <w:b/>
              </w:rPr>
            </w:pPr>
            <w:r>
              <w:rPr>
                <w:rFonts w:hint="eastAsia"/>
                <w:b/>
              </w:rPr>
              <w:t>项目</w:t>
            </w:r>
          </w:p>
        </w:tc>
        <w:tc>
          <w:tcPr>
            <w:tcW w:w="625" w:type="pct"/>
            <w:vAlign w:val="center"/>
          </w:tcPr>
          <w:p w14:paraId="11320609">
            <w:pPr>
              <w:pStyle w:val="12"/>
              <w:jc w:val="center"/>
              <w:rPr>
                <w:b/>
              </w:rPr>
            </w:pPr>
            <w:r>
              <w:rPr>
                <w:rFonts w:hint="eastAsia"/>
                <w:b/>
              </w:rPr>
              <w:t>参保人数（人）</w:t>
            </w:r>
          </w:p>
        </w:tc>
        <w:tc>
          <w:tcPr>
            <w:tcW w:w="625" w:type="pct"/>
            <w:vAlign w:val="center"/>
          </w:tcPr>
          <w:p w14:paraId="46E16C18">
            <w:pPr>
              <w:pStyle w:val="12"/>
              <w:jc w:val="center"/>
              <w:rPr>
                <w:b/>
              </w:rPr>
            </w:pPr>
            <w:r>
              <w:rPr>
                <w:rFonts w:hint="eastAsia"/>
                <w:b/>
              </w:rPr>
              <w:t>实际缴费人数（人）</w:t>
            </w:r>
          </w:p>
        </w:tc>
        <w:tc>
          <w:tcPr>
            <w:tcW w:w="625" w:type="pct"/>
            <w:vAlign w:val="center"/>
          </w:tcPr>
          <w:p w14:paraId="46FE3DD5">
            <w:pPr>
              <w:pStyle w:val="12"/>
              <w:jc w:val="center"/>
              <w:rPr>
                <w:b/>
              </w:rPr>
            </w:pPr>
            <w:r>
              <w:rPr>
                <w:rFonts w:hint="eastAsia"/>
                <w:b/>
              </w:rPr>
              <w:t>应缴金额（万元）</w:t>
            </w:r>
          </w:p>
        </w:tc>
        <w:tc>
          <w:tcPr>
            <w:tcW w:w="625" w:type="pct"/>
            <w:vAlign w:val="center"/>
          </w:tcPr>
          <w:p w14:paraId="4CAA40C3">
            <w:pPr>
              <w:pStyle w:val="12"/>
              <w:jc w:val="center"/>
              <w:rPr>
                <w:b/>
              </w:rPr>
            </w:pPr>
            <w:r>
              <w:rPr>
                <w:rFonts w:hint="eastAsia"/>
                <w:b/>
              </w:rPr>
              <w:t>实缴金额（万元）</w:t>
            </w:r>
          </w:p>
        </w:tc>
        <w:tc>
          <w:tcPr>
            <w:tcW w:w="625" w:type="pct"/>
            <w:vAlign w:val="center"/>
          </w:tcPr>
          <w:p w14:paraId="0ACF4217">
            <w:pPr>
              <w:pStyle w:val="12"/>
              <w:jc w:val="center"/>
              <w:rPr>
                <w:b/>
              </w:rPr>
            </w:pPr>
            <w:r>
              <w:rPr>
                <w:rFonts w:hint="eastAsia"/>
                <w:b/>
              </w:rPr>
              <w:t>收缴率（%）</w:t>
            </w:r>
          </w:p>
        </w:tc>
        <w:tc>
          <w:tcPr>
            <w:tcW w:w="625" w:type="pct"/>
            <w:vAlign w:val="center"/>
          </w:tcPr>
          <w:p w14:paraId="214F8AAC">
            <w:pPr>
              <w:pStyle w:val="12"/>
              <w:jc w:val="center"/>
              <w:rPr>
                <w:b/>
              </w:rPr>
            </w:pPr>
            <w:r>
              <w:rPr>
                <w:rFonts w:hint="eastAsia"/>
                <w:b/>
              </w:rPr>
              <w:t>基金发放（万元）</w:t>
            </w:r>
          </w:p>
        </w:tc>
      </w:tr>
      <w:tr w14:paraId="4B11B3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restart"/>
            <w:vAlign w:val="center"/>
          </w:tcPr>
          <w:p w14:paraId="41D4D041">
            <w:pPr>
              <w:pStyle w:val="12"/>
              <w:jc w:val="center"/>
            </w:pPr>
            <w:r>
              <w:rPr>
                <w:rFonts w:hint="eastAsia"/>
              </w:rPr>
              <w:t>2001</w:t>
            </w:r>
          </w:p>
        </w:tc>
        <w:tc>
          <w:tcPr>
            <w:tcW w:w="625" w:type="pct"/>
            <w:vAlign w:val="center"/>
          </w:tcPr>
          <w:p w14:paraId="63D80FC7">
            <w:pPr>
              <w:pStyle w:val="12"/>
              <w:jc w:val="center"/>
            </w:pPr>
            <w:r>
              <w:rPr>
                <w:rFonts w:hint="eastAsia"/>
              </w:rPr>
              <w:t>养老</w:t>
            </w:r>
          </w:p>
        </w:tc>
        <w:tc>
          <w:tcPr>
            <w:tcW w:w="625" w:type="pct"/>
            <w:vAlign w:val="center"/>
          </w:tcPr>
          <w:p w14:paraId="6232D490">
            <w:pPr>
              <w:pStyle w:val="12"/>
              <w:jc w:val="center"/>
            </w:pPr>
            <w:r>
              <w:rPr>
                <w:rFonts w:hint="eastAsia"/>
              </w:rPr>
              <w:t>29277</w:t>
            </w:r>
          </w:p>
        </w:tc>
        <w:tc>
          <w:tcPr>
            <w:tcW w:w="625" w:type="pct"/>
            <w:vAlign w:val="center"/>
          </w:tcPr>
          <w:p w14:paraId="0BB81C99">
            <w:pPr>
              <w:pStyle w:val="12"/>
              <w:jc w:val="center"/>
            </w:pPr>
            <w:r>
              <w:rPr>
                <w:rFonts w:hint="eastAsia"/>
              </w:rPr>
              <w:t>26866</w:t>
            </w:r>
          </w:p>
        </w:tc>
        <w:tc>
          <w:tcPr>
            <w:tcW w:w="625" w:type="pct"/>
            <w:vAlign w:val="center"/>
          </w:tcPr>
          <w:p w14:paraId="70635916">
            <w:pPr>
              <w:pStyle w:val="12"/>
              <w:jc w:val="center"/>
            </w:pPr>
            <w:r>
              <w:rPr>
                <w:rFonts w:hint="eastAsia"/>
              </w:rPr>
              <w:t>2366</w:t>
            </w:r>
          </w:p>
        </w:tc>
        <w:tc>
          <w:tcPr>
            <w:tcW w:w="625" w:type="pct"/>
            <w:vAlign w:val="center"/>
          </w:tcPr>
          <w:p w14:paraId="7D58952A">
            <w:pPr>
              <w:pStyle w:val="12"/>
              <w:jc w:val="center"/>
            </w:pPr>
            <w:r>
              <w:rPr>
                <w:rFonts w:hint="eastAsia"/>
              </w:rPr>
              <w:t>2279</w:t>
            </w:r>
          </w:p>
        </w:tc>
        <w:tc>
          <w:tcPr>
            <w:tcW w:w="625" w:type="pct"/>
            <w:vAlign w:val="center"/>
          </w:tcPr>
          <w:p w14:paraId="05DA0E6A">
            <w:pPr>
              <w:pStyle w:val="12"/>
              <w:jc w:val="center"/>
            </w:pPr>
            <w:r>
              <w:rPr>
                <w:rFonts w:hint="eastAsia"/>
              </w:rPr>
              <w:t>96</w:t>
            </w:r>
          </w:p>
        </w:tc>
        <w:tc>
          <w:tcPr>
            <w:tcW w:w="625" w:type="pct"/>
            <w:vAlign w:val="center"/>
          </w:tcPr>
          <w:p w14:paraId="09E84BD7">
            <w:pPr>
              <w:pStyle w:val="12"/>
              <w:jc w:val="center"/>
            </w:pPr>
            <w:r>
              <w:rPr>
                <w:rFonts w:hint="eastAsia"/>
              </w:rPr>
              <w:t>2077</w:t>
            </w:r>
          </w:p>
        </w:tc>
      </w:tr>
      <w:tr w14:paraId="46A33F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14:paraId="6264DD9A">
            <w:pPr>
              <w:pStyle w:val="12"/>
              <w:jc w:val="center"/>
            </w:pPr>
          </w:p>
        </w:tc>
        <w:tc>
          <w:tcPr>
            <w:tcW w:w="625" w:type="pct"/>
            <w:vAlign w:val="center"/>
          </w:tcPr>
          <w:p w14:paraId="73992179">
            <w:pPr>
              <w:pStyle w:val="12"/>
              <w:jc w:val="center"/>
            </w:pPr>
            <w:r>
              <w:rPr>
                <w:rFonts w:hint="eastAsia"/>
              </w:rPr>
              <w:t>工伤</w:t>
            </w:r>
          </w:p>
        </w:tc>
        <w:tc>
          <w:tcPr>
            <w:tcW w:w="625" w:type="pct"/>
            <w:vAlign w:val="center"/>
          </w:tcPr>
          <w:p w14:paraId="39106B58">
            <w:pPr>
              <w:pStyle w:val="12"/>
              <w:jc w:val="center"/>
            </w:pPr>
            <w:r>
              <w:rPr>
                <w:rFonts w:hint="eastAsia"/>
              </w:rPr>
              <w:t>17361</w:t>
            </w:r>
          </w:p>
        </w:tc>
        <w:tc>
          <w:tcPr>
            <w:tcW w:w="625" w:type="pct"/>
            <w:vAlign w:val="center"/>
          </w:tcPr>
          <w:p w14:paraId="5002E26F">
            <w:pPr>
              <w:pStyle w:val="12"/>
              <w:jc w:val="center"/>
            </w:pPr>
            <w:r>
              <w:rPr>
                <w:rFonts w:hint="eastAsia"/>
              </w:rPr>
              <w:t>—</w:t>
            </w:r>
          </w:p>
        </w:tc>
        <w:tc>
          <w:tcPr>
            <w:tcW w:w="625" w:type="pct"/>
            <w:vAlign w:val="center"/>
          </w:tcPr>
          <w:p w14:paraId="64272C8A">
            <w:pPr>
              <w:pStyle w:val="12"/>
              <w:jc w:val="center"/>
            </w:pPr>
            <w:r>
              <w:rPr>
                <w:rFonts w:hint="eastAsia"/>
              </w:rPr>
              <w:t>55</w:t>
            </w:r>
          </w:p>
        </w:tc>
        <w:tc>
          <w:tcPr>
            <w:tcW w:w="625" w:type="pct"/>
            <w:vAlign w:val="center"/>
          </w:tcPr>
          <w:p w14:paraId="48BB8EAC">
            <w:pPr>
              <w:pStyle w:val="12"/>
              <w:jc w:val="center"/>
            </w:pPr>
            <w:r>
              <w:rPr>
                <w:rFonts w:hint="eastAsia"/>
              </w:rPr>
              <w:t>53</w:t>
            </w:r>
          </w:p>
        </w:tc>
        <w:tc>
          <w:tcPr>
            <w:tcW w:w="625" w:type="pct"/>
            <w:vAlign w:val="center"/>
          </w:tcPr>
          <w:p w14:paraId="1EE20402">
            <w:pPr>
              <w:pStyle w:val="12"/>
              <w:jc w:val="center"/>
            </w:pPr>
            <w:r>
              <w:rPr>
                <w:rFonts w:hint="eastAsia"/>
              </w:rPr>
              <w:t>96</w:t>
            </w:r>
          </w:p>
        </w:tc>
        <w:tc>
          <w:tcPr>
            <w:tcW w:w="625" w:type="pct"/>
            <w:vAlign w:val="center"/>
          </w:tcPr>
          <w:p w14:paraId="70566227">
            <w:pPr>
              <w:pStyle w:val="12"/>
              <w:jc w:val="center"/>
            </w:pPr>
            <w:r>
              <w:rPr>
                <w:rFonts w:hint="eastAsia"/>
              </w:rPr>
              <w:t>24</w:t>
            </w:r>
          </w:p>
        </w:tc>
      </w:tr>
      <w:tr w14:paraId="21D12D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14:paraId="3BFCE6ED">
            <w:pPr>
              <w:pStyle w:val="12"/>
              <w:jc w:val="center"/>
            </w:pPr>
          </w:p>
        </w:tc>
        <w:tc>
          <w:tcPr>
            <w:tcW w:w="625" w:type="pct"/>
            <w:vAlign w:val="center"/>
          </w:tcPr>
          <w:p w14:paraId="63DCCA26">
            <w:pPr>
              <w:pStyle w:val="12"/>
              <w:jc w:val="center"/>
            </w:pPr>
            <w:r>
              <w:rPr>
                <w:rFonts w:hint="eastAsia"/>
              </w:rPr>
              <w:t>失业</w:t>
            </w:r>
          </w:p>
        </w:tc>
        <w:tc>
          <w:tcPr>
            <w:tcW w:w="625" w:type="pct"/>
            <w:vAlign w:val="center"/>
          </w:tcPr>
          <w:p w14:paraId="7D5E1B22">
            <w:pPr>
              <w:pStyle w:val="12"/>
              <w:jc w:val="center"/>
            </w:pPr>
            <w:r>
              <w:rPr>
                <w:rFonts w:hint="eastAsia"/>
              </w:rPr>
              <w:t>21138</w:t>
            </w:r>
          </w:p>
        </w:tc>
        <w:tc>
          <w:tcPr>
            <w:tcW w:w="625" w:type="pct"/>
            <w:vAlign w:val="center"/>
          </w:tcPr>
          <w:p w14:paraId="1740E295">
            <w:pPr>
              <w:pStyle w:val="12"/>
              <w:jc w:val="center"/>
            </w:pPr>
            <w:r>
              <w:rPr>
                <w:rFonts w:hint="eastAsia"/>
              </w:rPr>
              <w:t>—</w:t>
            </w:r>
          </w:p>
        </w:tc>
        <w:tc>
          <w:tcPr>
            <w:tcW w:w="625" w:type="pct"/>
            <w:vAlign w:val="center"/>
          </w:tcPr>
          <w:p w14:paraId="2B7EAC59">
            <w:pPr>
              <w:pStyle w:val="12"/>
              <w:jc w:val="center"/>
            </w:pPr>
            <w:r>
              <w:rPr>
                <w:rFonts w:hint="eastAsia"/>
              </w:rPr>
              <w:t>389</w:t>
            </w:r>
          </w:p>
        </w:tc>
        <w:tc>
          <w:tcPr>
            <w:tcW w:w="625" w:type="pct"/>
            <w:vAlign w:val="center"/>
          </w:tcPr>
          <w:p w14:paraId="46E80A3D">
            <w:pPr>
              <w:pStyle w:val="12"/>
              <w:jc w:val="center"/>
            </w:pPr>
            <w:r>
              <w:rPr>
                <w:rFonts w:hint="eastAsia"/>
              </w:rPr>
              <w:t>332</w:t>
            </w:r>
          </w:p>
        </w:tc>
        <w:tc>
          <w:tcPr>
            <w:tcW w:w="625" w:type="pct"/>
            <w:vAlign w:val="center"/>
          </w:tcPr>
          <w:p w14:paraId="4E65E898">
            <w:pPr>
              <w:pStyle w:val="12"/>
              <w:jc w:val="center"/>
            </w:pPr>
            <w:r>
              <w:rPr>
                <w:rFonts w:hint="eastAsia"/>
              </w:rPr>
              <w:t>85</w:t>
            </w:r>
          </w:p>
        </w:tc>
        <w:tc>
          <w:tcPr>
            <w:tcW w:w="625" w:type="pct"/>
            <w:vAlign w:val="center"/>
          </w:tcPr>
          <w:p w14:paraId="455D7243">
            <w:pPr>
              <w:pStyle w:val="12"/>
              <w:jc w:val="center"/>
            </w:pPr>
            <w:r>
              <w:rPr>
                <w:rFonts w:hint="eastAsia"/>
              </w:rPr>
              <w:t>305</w:t>
            </w:r>
          </w:p>
        </w:tc>
      </w:tr>
      <w:tr w14:paraId="773E46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14:paraId="38226D32">
            <w:pPr>
              <w:pStyle w:val="12"/>
              <w:jc w:val="center"/>
            </w:pPr>
          </w:p>
        </w:tc>
        <w:tc>
          <w:tcPr>
            <w:tcW w:w="625" w:type="pct"/>
            <w:vAlign w:val="center"/>
          </w:tcPr>
          <w:p w14:paraId="4C43CAF8">
            <w:pPr>
              <w:pStyle w:val="12"/>
              <w:jc w:val="center"/>
            </w:pPr>
            <w:r>
              <w:rPr>
                <w:rFonts w:hint="eastAsia"/>
              </w:rPr>
              <w:t>医疗</w:t>
            </w:r>
          </w:p>
        </w:tc>
        <w:tc>
          <w:tcPr>
            <w:tcW w:w="625" w:type="pct"/>
            <w:vAlign w:val="center"/>
          </w:tcPr>
          <w:p w14:paraId="27EC5354">
            <w:pPr>
              <w:pStyle w:val="12"/>
              <w:jc w:val="center"/>
            </w:pPr>
            <w:r>
              <w:rPr>
                <w:rFonts w:hint="eastAsia"/>
              </w:rPr>
              <w:t>21108</w:t>
            </w:r>
          </w:p>
        </w:tc>
        <w:tc>
          <w:tcPr>
            <w:tcW w:w="625" w:type="pct"/>
            <w:vAlign w:val="center"/>
          </w:tcPr>
          <w:p w14:paraId="664D8E54">
            <w:pPr>
              <w:pStyle w:val="12"/>
              <w:jc w:val="center"/>
            </w:pPr>
            <w:r>
              <w:rPr>
                <w:rFonts w:hint="eastAsia"/>
              </w:rPr>
              <w:t>—</w:t>
            </w:r>
          </w:p>
        </w:tc>
        <w:tc>
          <w:tcPr>
            <w:tcW w:w="625" w:type="pct"/>
            <w:vAlign w:val="center"/>
          </w:tcPr>
          <w:p w14:paraId="0735BC27">
            <w:pPr>
              <w:pStyle w:val="12"/>
              <w:jc w:val="center"/>
            </w:pPr>
            <w:r>
              <w:rPr>
                <w:rFonts w:hint="eastAsia"/>
              </w:rPr>
              <w:t>194</w:t>
            </w:r>
          </w:p>
        </w:tc>
        <w:tc>
          <w:tcPr>
            <w:tcW w:w="625" w:type="pct"/>
            <w:vAlign w:val="center"/>
          </w:tcPr>
          <w:p w14:paraId="4D4E668C">
            <w:pPr>
              <w:pStyle w:val="12"/>
              <w:jc w:val="center"/>
            </w:pPr>
            <w:r>
              <w:rPr>
                <w:rFonts w:hint="eastAsia"/>
              </w:rPr>
              <w:t>192</w:t>
            </w:r>
          </w:p>
        </w:tc>
        <w:tc>
          <w:tcPr>
            <w:tcW w:w="625" w:type="pct"/>
            <w:vAlign w:val="center"/>
          </w:tcPr>
          <w:p w14:paraId="0A5D6F89">
            <w:pPr>
              <w:pStyle w:val="12"/>
              <w:jc w:val="center"/>
            </w:pPr>
            <w:r>
              <w:rPr>
                <w:rFonts w:hint="eastAsia"/>
              </w:rPr>
              <w:t>99</w:t>
            </w:r>
          </w:p>
        </w:tc>
        <w:tc>
          <w:tcPr>
            <w:tcW w:w="625" w:type="pct"/>
            <w:vAlign w:val="center"/>
          </w:tcPr>
          <w:p w14:paraId="50CFB823">
            <w:pPr>
              <w:pStyle w:val="12"/>
              <w:jc w:val="center"/>
            </w:pPr>
            <w:r>
              <w:rPr>
                <w:rFonts w:hint="eastAsia"/>
              </w:rPr>
              <w:t>—</w:t>
            </w:r>
          </w:p>
        </w:tc>
      </w:tr>
      <w:tr w14:paraId="629FD2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14:paraId="780A6A03">
            <w:pPr>
              <w:pStyle w:val="12"/>
              <w:jc w:val="center"/>
            </w:pPr>
          </w:p>
        </w:tc>
        <w:tc>
          <w:tcPr>
            <w:tcW w:w="625" w:type="pct"/>
            <w:vAlign w:val="center"/>
          </w:tcPr>
          <w:p w14:paraId="12EBC766">
            <w:pPr>
              <w:pStyle w:val="12"/>
              <w:jc w:val="center"/>
            </w:pPr>
            <w:r>
              <w:rPr>
                <w:rFonts w:hint="eastAsia"/>
              </w:rPr>
              <w:t>生育</w:t>
            </w:r>
          </w:p>
        </w:tc>
        <w:tc>
          <w:tcPr>
            <w:tcW w:w="625" w:type="pct"/>
            <w:vAlign w:val="center"/>
          </w:tcPr>
          <w:p w14:paraId="20293888">
            <w:pPr>
              <w:pStyle w:val="12"/>
              <w:jc w:val="center"/>
            </w:pPr>
            <w:r>
              <w:rPr>
                <w:rFonts w:hint="eastAsia"/>
              </w:rPr>
              <w:t>—</w:t>
            </w:r>
          </w:p>
        </w:tc>
        <w:tc>
          <w:tcPr>
            <w:tcW w:w="625" w:type="pct"/>
            <w:vAlign w:val="center"/>
          </w:tcPr>
          <w:p w14:paraId="2312E198">
            <w:pPr>
              <w:pStyle w:val="12"/>
              <w:jc w:val="center"/>
            </w:pPr>
            <w:r>
              <w:rPr>
                <w:rFonts w:hint="eastAsia"/>
              </w:rPr>
              <w:t>—</w:t>
            </w:r>
          </w:p>
        </w:tc>
        <w:tc>
          <w:tcPr>
            <w:tcW w:w="625" w:type="pct"/>
            <w:vAlign w:val="center"/>
          </w:tcPr>
          <w:p w14:paraId="7F3758DD">
            <w:pPr>
              <w:pStyle w:val="12"/>
              <w:jc w:val="center"/>
            </w:pPr>
            <w:r>
              <w:rPr>
                <w:rFonts w:hint="eastAsia"/>
              </w:rPr>
              <w:t>—</w:t>
            </w:r>
          </w:p>
        </w:tc>
        <w:tc>
          <w:tcPr>
            <w:tcW w:w="625" w:type="pct"/>
            <w:vAlign w:val="center"/>
          </w:tcPr>
          <w:p w14:paraId="0B12836A">
            <w:pPr>
              <w:pStyle w:val="12"/>
              <w:jc w:val="center"/>
            </w:pPr>
            <w:r>
              <w:rPr>
                <w:rFonts w:hint="eastAsia"/>
              </w:rPr>
              <w:t>—</w:t>
            </w:r>
          </w:p>
        </w:tc>
        <w:tc>
          <w:tcPr>
            <w:tcW w:w="625" w:type="pct"/>
            <w:vAlign w:val="center"/>
          </w:tcPr>
          <w:p w14:paraId="003E89D1">
            <w:pPr>
              <w:pStyle w:val="12"/>
              <w:jc w:val="center"/>
            </w:pPr>
            <w:r>
              <w:rPr>
                <w:rFonts w:hint="eastAsia"/>
              </w:rPr>
              <w:t>—</w:t>
            </w:r>
          </w:p>
        </w:tc>
        <w:tc>
          <w:tcPr>
            <w:tcW w:w="625" w:type="pct"/>
            <w:vAlign w:val="center"/>
          </w:tcPr>
          <w:p w14:paraId="4977EA84">
            <w:pPr>
              <w:pStyle w:val="12"/>
              <w:jc w:val="center"/>
            </w:pPr>
            <w:r>
              <w:rPr>
                <w:rFonts w:hint="eastAsia"/>
              </w:rPr>
              <w:t>—</w:t>
            </w:r>
          </w:p>
        </w:tc>
      </w:tr>
      <w:tr w14:paraId="2D1587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14:paraId="4EFF8C13">
            <w:pPr>
              <w:pStyle w:val="12"/>
              <w:jc w:val="center"/>
            </w:pPr>
          </w:p>
        </w:tc>
        <w:tc>
          <w:tcPr>
            <w:tcW w:w="625" w:type="pct"/>
            <w:vAlign w:val="center"/>
          </w:tcPr>
          <w:p w14:paraId="30D7A1FD">
            <w:pPr>
              <w:pStyle w:val="12"/>
              <w:jc w:val="center"/>
            </w:pPr>
            <w:r>
              <w:rPr>
                <w:rFonts w:hint="eastAsia"/>
              </w:rPr>
              <w:t>合计</w:t>
            </w:r>
          </w:p>
        </w:tc>
        <w:tc>
          <w:tcPr>
            <w:tcW w:w="625" w:type="pct"/>
            <w:vAlign w:val="center"/>
          </w:tcPr>
          <w:p w14:paraId="4755249D">
            <w:pPr>
              <w:pStyle w:val="12"/>
              <w:jc w:val="center"/>
            </w:pPr>
            <w:r>
              <w:rPr>
                <w:rFonts w:hint="eastAsia"/>
              </w:rPr>
              <w:t>—</w:t>
            </w:r>
          </w:p>
        </w:tc>
        <w:tc>
          <w:tcPr>
            <w:tcW w:w="625" w:type="pct"/>
            <w:vAlign w:val="center"/>
          </w:tcPr>
          <w:p w14:paraId="5A1DC606">
            <w:pPr>
              <w:pStyle w:val="12"/>
              <w:jc w:val="center"/>
            </w:pPr>
            <w:r>
              <w:rPr>
                <w:rFonts w:hint="eastAsia"/>
              </w:rPr>
              <w:t>—</w:t>
            </w:r>
          </w:p>
        </w:tc>
        <w:tc>
          <w:tcPr>
            <w:tcW w:w="625" w:type="pct"/>
            <w:vAlign w:val="center"/>
          </w:tcPr>
          <w:p w14:paraId="38504C95">
            <w:pPr>
              <w:pStyle w:val="12"/>
              <w:jc w:val="center"/>
            </w:pPr>
            <w:r>
              <w:rPr>
                <w:rFonts w:hint="eastAsia"/>
              </w:rPr>
              <w:t>3004</w:t>
            </w:r>
          </w:p>
        </w:tc>
        <w:tc>
          <w:tcPr>
            <w:tcW w:w="625" w:type="pct"/>
            <w:vAlign w:val="center"/>
          </w:tcPr>
          <w:p w14:paraId="24651EA5">
            <w:pPr>
              <w:pStyle w:val="12"/>
              <w:jc w:val="center"/>
            </w:pPr>
            <w:r>
              <w:rPr>
                <w:rFonts w:hint="eastAsia"/>
              </w:rPr>
              <w:t>2856</w:t>
            </w:r>
          </w:p>
        </w:tc>
        <w:tc>
          <w:tcPr>
            <w:tcW w:w="625" w:type="pct"/>
            <w:vAlign w:val="center"/>
          </w:tcPr>
          <w:p w14:paraId="73256B4F">
            <w:pPr>
              <w:pStyle w:val="12"/>
              <w:jc w:val="center"/>
            </w:pPr>
            <w:r>
              <w:rPr>
                <w:rFonts w:hint="eastAsia"/>
              </w:rPr>
              <w:t>95</w:t>
            </w:r>
          </w:p>
        </w:tc>
        <w:tc>
          <w:tcPr>
            <w:tcW w:w="625" w:type="pct"/>
            <w:vAlign w:val="center"/>
          </w:tcPr>
          <w:p w14:paraId="4A5B66E9">
            <w:pPr>
              <w:pStyle w:val="12"/>
              <w:jc w:val="center"/>
            </w:pPr>
            <w:r>
              <w:rPr>
                <w:rFonts w:hint="eastAsia"/>
              </w:rPr>
              <w:t>2406</w:t>
            </w:r>
          </w:p>
        </w:tc>
      </w:tr>
      <w:tr w14:paraId="076E4F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restart"/>
            <w:vAlign w:val="center"/>
          </w:tcPr>
          <w:p w14:paraId="70A6B378">
            <w:pPr>
              <w:pStyle w:val="12"/>
              <w:jc w:val="center"/>
            </w:pPr>
            <w:r>
              <w:rPr>
                <w:rFonts w:hint="eastAsia"/>
              </w:rPr>
              <w:t>2002</w:t>
            </w:r>
          </w:p>
        </w:tc>
        <w:tc>
          <w:tcPr>
            <w:tcW w:w="625" w:type="pct"/>
            <w:vAlign w:val="center"/>
          </w:tcPr>
          <w:p w14:paraId="2C3ACD49">
            <w:pPr>
              <w:pStyle w:val="12"/>
              <w:jc w:val="center"/>
            </w:pPr>
            <w:r>
              <w:rPr>
                <w:rFonts w:hint="eastAsia"/>
              </w:rPr>
              <w:t>养老</w:t>
            </w:r>
          </w:p>
        </w:tc>
        <w:tc>
          <w:tcPr>
            <w:tcW w:w="625" w:type="pct"/>
            <w:vAlign w:val="center"/>
          </w:tcPr>
          <w:p w14:paraId="7070EBD3">
            <w:pPr>
              <w:pStyle w:val="12"/>
              <w:jc w:val="center"/>
            </w:pPr>
            <w:r>
              <w:rPr>
                <w:rFonts w:hint="eastAsia"/>
              </w:rPr>
              <w:t>25835</w:t>
            </w:r>
          </w:p>
        </w:tc>
        <w:tc>
          <w:tcPr>
            <w:tcW w:w="625" w:type="pct"/>
            <w:vAlign w:val="center"/>
          </w:tcPr>
          <w:p w14:paraId="59E21877">
            <w:pPr>
              <w:pStyle w:val="12"/>
              <w:jc w:val="center"/>
            </w:pPr>
            <w:r>
              <w:rPr>
                <w:rFonts w:hint="eastAsia"/>
              </w:rPr>
              <w:t>22088</w:t>
            </w:r>
          </w:p>
        </w:tc>
        <w:tc>
          <w:tcPr>
            <w:tcW w:w="625" w:type="pct"/>
            <w:vAlign w:val="center"/>
          </w:tcPr>
          <w:p w14:paraId="3232BFA6">
            <w:pPr>
              <w:pStyle w:val="12"/>
              <w:jc w:val="center"/>
            </w:pPr>
            <w:r>
              <w:rPr>
                <w:rFonts w:hint="eastAsia"/>
              </w:rPr>
              <w:t>2517</w:t>
            </w:r>
          </w:p>
        </w:tc>
        <w:tc>
          <w:tcPr>
            <w:tcW w:w="625" w:type="pct"/>
            <w:vAlign w:val="center"/>
          </w:tcPr>
          <w:p w14:paraId="5D97E334">
            <w:pPr>
              <w:pStyle w:val="12"/>
              <w:jc w:val="center"/>
            </w:pPr>
            <w:r>
              <w:rPr>
                <w:rFonts w:hint="eastAsia"/>
              </w:rPr>
              <w:t>2106</w:t>
            </w:r>
          </w:p>
        </w:tc>
        <w:tc>
          <w:tcPr>
            <w:tcW w:w="625" w:type="pct"/>
            <w:vAlign w:val="center"/>
          </w:tcPr>
          <w:p w14:paraId="53981107">
            <w:pPr>
              <w:pStyle w:val="12"/>
              <w:jc w:val="center"/>
            </w:pPr>
            <w:r>
              <w:rPr>
                <w:rFonts w:hint="eastAsia"/>
              </w:rPr>
              <w:t>84</w:t>
            </w:r>
          </w:p>
        </w:tc>
        <w:tc>
          <w:tcPr>
            <w:tcW w:w="625" w:type="pct"/>
            <w:vAlign w:val="center"/>
          </w:tcPr>
          <w:p w14:paraId="4CDB9795">
            <w:pPr>
              <w:pStyle w:val="12"/>
              <w:jc w:val="center"/>
            </w:pPr>
            <w:r>
              <w:rPr>
                <w:rFonts w:hint="eastAsia"/>
              </w:rPr>
              <w:t>2236</w:t>
            </w:r>
          </w:p>
        </w:tc>
      </w:tr>
      <w:tr w14:paraId="0D7279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14:paraId="013A5033">
            <w:pPr>
              <w:pStyle w:val="12"/>
              <w:jc w:val="center"/>
            </w:pPr>
          </w:p>
        </w:tc>
        <w:tc>
          <w:tcPr>
            <w:tcW w:w="625" w:type="pct"/>
            <w:vAlign w:val="center"/>
          </w:tcPr>
          <w:p w14:paraId="27D00935">
            <w:pPr>
              <w:pStyle w:val="12"/>
              <w:jc w:val="center"/>
            </w:pPr>
            <w:r>
              <w:rPr>
                <w:rFonts w:hint="eastAsia"/>
              </w:rPr>
              <w:t>工伤</w:t>
            </w:r>
          </w:p>
        </w:tc>
        <w:tc>
          <w:tcPr>
            <w:tcW w:w="625" w:type="pct"/>
            <w:vAlign w:val="center"/>
          </w:tcPr>
          <w:p w14:paraId="337612B7">
            <w:pPr>
              <w:pStyle w:val="12"/>
              <w:jc w:val="center"/>
            </w:pPr>
            <w:r>
              <w:rPr>
                <w:rFonts w:hint="eastAsia"/>
              </w:rPr>
              <w:t>13665</w:t>
            </w:r>
          </w:p>
        </w:tc>
        <w:tc>
          <w:tcPr>
            <w:tcW w:w="625" w:type="pct"/>
            <w:vAlign w:val="center"/>
          </w:tcPr>
          <w:p w14:paraId="74E5D8A5">
            <w:pPr>
              <w:pStyle w:val="12"/>
              <w:jc w:val="center"/>
            </w:pPr>
            <w:r>
              <w:rPr>
                <w:rFonts w:hint="eastAsia"/>
              </w:rPr>
              <w:t>9918</w:t>
            </w:r>
          </w:p>
        </w:tc>
        <w:tc>
          <w:tcPr>
            <w:tcW w:w="625" w:type="pct"/>
            <w:vAlign w:val="center"/>
          </w:tcPr>
          <w:p w14:paraId="2E7E2C96">
            <w:pPr>
              <w:pStyle w:val="12"/>
              <w:jc w:val="center"/>
            </w:pPr>
            <w:r>
              <w:rPr>
                <w:rFonts w:hint="eastAsia"/>
              </w:rPr>
              <w:t>1695</w:t>
            </w:r>
          </w:p>
        </w:tc>
        <w:tc>
          <w:tcPr>
            <w:tcW w:w="625" w:type="pct"/>
            <w:vAlign w:val="center"/>
          </w:tcPr>
          <w:p w14:paraId="61281037">
            <w:pPr>
              <w:pStyle w:val="12"/>
              <w:jc w:val="center"/>
            </w:pPr>
            <w:r>
              <w:rPr>
                <w:rFonts w:hint="eastAsia"/>
              </w:rPr>
              <w:t>1589</w:t>
            </w:r>
          </w:p>
        </w:tc>
        <w:tc>
          <w:tcPr>
            <w:tcW w:w="625" w:type="pct"/>
            <w:vAlign w:val="center"/>
          </w:tcPr>
          <w:p w14:paraId="51F0D990">
            <w:pPr>
              <w:pStyle w:val="12"/>
              <w:jc w:val="center"/>
            </w:pPr>
            <w:r>
              <w:rPr>
                <w:rFonts w:hint="eastAsia"/>
              </w:rPr>
              <w:t>94</w:t>
            </w:r>
          </w:p>
        </w:tc>
        <w:tc>
          <w:tcPr>
            <w:tcW w:w="625" w:type="pct"/>
            <w:vAlign w:val="center"/>
          </w:tcPr>
          <w:p w14:paraId="57B7B5C1">
            <w:pPr>
              <w:pStyle w:val="12"/>
              <w:jc w:val="center"/>
            </w:pPr>
            <w:r>
              <w:rPr>
                <w:rFonts w:hint="eastAsia"/>
              </w:rPr>
              <w:t>38</w:t>
            </w:r>
          </w:p>
        </w:tc>
      </w:tr>
      <w:tr w14:paraId="5A95D2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14:paraId="7612C042">
            <w:pPr>
              <w:pStyle w:val="12"/>
              <w:jc w:val="center"/>
            </w:pPr>
          </w:p>
        </w:tc>
        <w:tc>
          <w:tcPr>
            <w:tcW w:w="625" w:type="pct"/>
            <w:vAlign w:val="center"/>
          </w:tcPr>
          <w:p w14:paraId="29078C39">
            <w:pPr>
              <w:pStyle w:val="12"/>
              <w:jc w:val="center"/>
            </w:pPr>
            <w:r>
              <w:rPr>
                <w:rFonts w:hint="eastAsia"/>
              </w:rPr>
              <w:t>失业</w:t>
            </w:r>
          </w:p>
        </w:tc>
        <w:tc>
          <w:tcPr>
            <w:tcW w:w="625" w:type="pct"/>
            <w:vAlign w:val="center"/>
          </w:tcPr>
          <w:p w14:paraId="0B12AFD9">
            <w:pPr>
              <w:pStyle w:val="12"/>
              <w:jc w:val="center"/>
            </w:pPr>
            <w:r>
              <w:rPr>
                <w:rFonts w:hint="eastAsia"/>
              </w:rPr>
              <w:t>18933</w:t>
            </w:r>
          </w:p>
        </w:tc>
        <w:tc>
          <w:tcPr>
            <w:tcW w:w="625" w:type="pct"/>
            <w:vAlign w:val="center"/>
          </w:tcPr>
          <w:p w14:paraId="2DD05EEC">
            <w:pPr>
              <w:pStyle w:val="12"/>
              <w:jc w:val="center"/>
            </w:pPr>
            <w:r>
              <w:rPr>
                <w:rFonts w:hint="eastAsia"/>
              </w:rPr>
              <w:t>15186</w:t>
            </w:r>
          </w:p>
        </w:tc>
        <w:tc>
          <w:tcPr>
            <w:tcW w:w="625" w:type="pct"/>
            <w:vAlign w:val="center"/>
          </w:tcPr>
          <w:p w14:paraId="59E44D20">
            <w:pPr>
              <w:pStyle w:val="12"/>
              <w:jc w:val="center"/>
            </w:pPr>
            <w:r>
              <w:rPr>
                <w:rFonts w:hint="eastAsia"/>
              </w:rPr>
              <w:t>407</w:t>
            </w:r>
          </w:p>
        </w:tc>
        <w:tc>
          <w:tcPr>
            <w:tcW w:w="625" w:type="pct"/>
            <w:vAlign w:val="center"/>
          </w:tcPr>
          <w:p w14:paraId="7DDB1157">
            <w:pPr>
              <w:pStyle w:val="12"/>
              <w:jc w:val="center"/>
            </w:pPr>
            <w:r>
              <w:rPr>
                <w:rFonts w:hint="eastAsia"/>
              </w:rPr>
              <w:t>337</w:t>
            </w:r>
          </w:p>
        </w:tc>
        <w:tc>
          <w:tcPr>
            <w:tcW w:w="625" w:type="pct"/>
            <w:vAlign w:val="center"/>
          </w:tcPr>
          <w:p w14:paraId="19CE889E">
            <w:pPr>
              <w:pStyle w:val="12"/>
              <w:jc w:val="center"/>
            </w:pPr>
            <w:r>
              <w:rPr>
                <w:rFonts w:hint="eastAsia"/>
              </w:rPr>
              <w:t>83</w:t>
            </w:r>
          </w:p>
        </w:tc>
        <w:tc>
          <w:tcPr>
            <w:tcW w:w="625" w:type="pct"/>
            <w:vAlign w:val="center"/>
          </w:tcPr>
          <w:p w14:paraId="07B4D766">
            <w:pPr>
              <w:pStyle w:val="12"/>
              <w:jc w:val="center"/>
            </w:pPr>
            <w:r>
              <w:rPr>
                <w:rFonts w:hint="eastAsia"/>
              </w:rPr>
              <w:t>457</w:t>
            </w:r>
          </w:p>
        </w:tc>
      </w:tr>
      <w:tr w14:paraId="694B8B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14:paraId="46D9060F">
            <w:pPr>
              <w:pStyle w:val="12"/>
              <w:jc w:val="center"/>
            </w:pPr>
          </w:p>
        </w:tc>
        <w:tc>
          <w:tcPr>
            <w:tcW w:w="625" w:type="pct"/>
            <w:vAlign w:val="center"/>
          </w:tcPr>
          <w:p w14:paraId="46BD66D8">
            <w:pPr>
              <w:pStyle w:val="12"/>
              <w:jc w:val="center"/>
            </w:pPr>
            <w:r>
              <w:rPr>
                <w:rFonts w:hint="eastAsia"/>
              </w:rPr>
              <w:t>医疗</w:t>
            </w:r>
          </w:p>
        </w:tc>
        <w:tc>
          <w:tcPr>
            <w:tcW w:w="625" w:type="pct"/>
            <w:vAlign w:val="center"/>
          </w:tcPr>
          <w:p w14:paraId="37D650B8">
            <w:pPr>
              <w:pStyle w:val="12"/>
              <w:jc w:val="center"/>
            </w:pPr>
            <w:r>
              <w:rPr>
                <w:rFonts w:hint="eastAsia"/>
              </w:rPr>
              <w:t>19907</w:t>
            </w:r>
          </w:p>
        </w:tc>
        <w:tc>
          <w:tcPr>
            <w:tcW w:w="625" w:type="pct"/>
            <w:vAlign w:val="center"/>
          </w:tcPr>
          <w:p w14:paraId="7A646750">
            <w:pPr>
              <w:pStyle w:val="12"/>
              <w:jc w:val="center"/>
            </w:pPr>
            <w:r>
              <w:rPr>
                <w:rFonts w:hint="eastAsia"/>
              </w:rPr>
              <w:t>19907</w:t>
            </w:r>
          </w:p>
        </w:tc>
        <w:tc>
          <w:tcPr>
            <w:tcW w:w="625" w:type="pct"/>
            <w:vAlign w:val="center"/>
          </w:tcPr>
          <w:p w14:paraId="0A9869FA">
            <w:pPr>
              <w:pStyle w:val="12"/>
              <w:jc w:val="center"/>
            </w:pPr>
            <w:r>
              <w:rPr>
                <w:rFonts w:hint="eastAsia"/>
              </w:rPr>
              <w:t>1695</w:t>
            </w:r>
          </w:p>
        </w:tc>
        <w:tc>
          <w:tcPr>
            <w:tcW w:w="625" w:type="pct"/>
            <w:vAlign w:val="center"/>
          </w:tcPr>
          <w:p w14:paraId="334745A7">
            <w:pPr>
              <w:pStyle w:val="12"/>
              <w:jc w:val="center"/>
            </w:pPr>
            <w:r>
              <w:rPr>
                <w:rFonts w:hint="eastAsia"/>
              </w:rPr>
              <w:t>1589</w:t>
            </w:r>
          </w:p>
        </w:tc>
        <w:tc>
          <w:tcPr>
            <w:tcW w:w="625" w:type="pct"/>
            <w:vAlign w:val="center"/>
          </w:tcPr>
          <w:p w14:paraId="2E369A26">
            <w:pPr>
              <w:pStyle w:val="12"/>
              <w:jc w:val="center"/>
            </w:pPr>
            <w:r>
              <w:rPr>
                <w:rFonts w:hint="eastAsia"/>
              </w:rPr>
              <w:t>94</w:t>
            </w:r>
          </w:p>
        </w:tc>
        <w:tc>
          <w:tcPr>
            <w:tcW w:w="625" w:type="pct"/>
            <w:vAlign w:val="center"/>
          </w:tcPr>
          <w:p w14:paraId="6DE42112">
            <w:pPr>
              <w:pStyle w:val="12"/>
              <w:jc w:val="center"/>
            </w:pPr>
            <w:r>
              <w:rPr>
                <w:rFonts w:hint="eastAsia"/>
              </w:rPr>
              <w:t>1450</w:t>
            </w:r>
          </w:p>
        </w:tc>
      </w:tr>
      <w:tr w14:paraId="0151E3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14:paraId="2D004553">
            <w:pPr>
              <w:pStyle w:val="12"/>
              <w:jc w:val="center"/>
            </w:pPr>
          </w:p>
        </w:tc>
        <w:tc>
          <w:tcPr>
            <w:tcW w:w="625" w:type="pct"/>
            <w:vAlign w:val="center"/>
          </w:tcPr>
          <w:p w14:paraId="75942C26">
            <w:pPr>
              <w:pStyle w:val="12"/>
              <w:jc w:val="center"/>
            </w:pPr>
            <w:r>
              <w:rPr>
                <w:rFonts w:hint="eastAsia"/>
              </w:rPr>
              <w:t>生育</w:t>
            </w:r>
          </w:p>
        </w:tc>
        <w:tc>
          <w:tcPr>
            <w:tcW w:w="625" w:type="pct"/>
            <w:vAlign w:val="center"/>
          </w:tcPr>
          <w:p w14:paraId="39B6C189">
            <w:pPr>
              <w:pStyle w:val="12"/>
              <w:jc w:val="center"/>
            </w:pPr>
            <w:r>
              <w:rPr>
                <w:rFonts w:hint="eastAsia"/>
              </w:rPr>
              <w:t>—</w:t>
            </w:r>
          </w:p>
        </w:tc>
        <w:tc>
          <w:tcPr>
            <w:tcW w:w="625" w:type="pct"/>
            <w:vAlign w:val="center"/>
          </w:tcPr>
          <w:p w14:paraId="1E302616">
            <w:pPr>
              <w:pStyle w:val="12"/>
              <w:jc w:val="center"/>
            </w:pPr>
            <w:r>
              <w:rPr>
                <w:rFonts w:hint="eastAsia"/>
              </w:rPr>
              <w:t>—</w:t>
            </w:r>
          </w:p>
        </w:tc>
        <w:tc>
          <w:tcPr>
            <w:tcW w:w="625" w:type="pct"/>
            <w:vAlign w:val="center"/>
          </w:tcPr>
          <w:p w14:paraId="6239CB84">
            <w:pPr>
              <w:pStyle w:val="12"/>
              <w:jc w:val="center"/>
            </w:pPr>
            <w:r>
              <w:rPr>
                <w:rFonts w:hint="eastAsia"/>
              </w:rPr>
              <w:t>—</w:t>
            </w:r>
          </w:p>
        </w:tc>
        <w:tc>
          <w:tcPr>
            <w:tcW w:w="625" w:type="pct"/>
            <w:vAlign w:val="center"/>
          </w:tcPr>
          <w:p w14:paraId="186F5CE8">
            <w:pPr>
              <w:pStyle w:val="12"/>
              <w:jc w:val="center"/>
            </w:pPr>
            <w:r>
              <w:rPr>
                <w:rFonts w:hint="eastAsia"/>
              </w:rPr>
              <w:t>—</w:t>
            </w:r>
          </w:p>
        </w:tc>
        <w:tc>
          <w:tcPr>
            <w:tcW w:w="625" w:type="pct"/>
            <w:vAlign w:val="center"/>
          </w:tcPr>
          <w:p w14:paraId="056251BD">
            <w:pPr>
              <w:pStyle w:val="12"/>
              <w:jc w:val="center"/>
            </w:pPr>
            <w:r>
              <w:rPr>
                <w:rFonts w:hint="eastAsia"/>
              </w:rPr>
              <w:t>—</w:t>
            </w:r>
          </w:p>
        </w:tc>
        <w:tc>
          <w:tcPr>
            <w:tcW w:w="625" w:type="pct"/>
            <w:vAlign w:val="center"/>
          </w:tcPr>
          <w:p w14:paraId="634BA317">
            <w:pPr>
              <w:pStyle w:val="12"/>
              <w:jc w:val="center"/>
            </w:pPr>
            <w:r>
              <w:rPr>
                <w:rFonts w:hint="eastAsia"/>
              </w:rPr>
              <w:t>—</w:t>
            </w:r>
          </w:p>
        </w:tc>
      </w:tr>
      <w:tr w14:paraId="58B146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14:paraId="081B00B8">
            <w:pPr>
              <w:pStyle w:val="12"/>
              <w:jc w:val="center"/>
            </w:pPr>
          </w:p>
        </w:tc>
        <w:tc>
          <w:tcPr>
            <w:tcW w:w="625" w:type="pct"/>
            <w:vAlign w:val="center"/>
          </w:tcPr>
          <w:p w14:paraId="20A055A2">
            <w:pPr>
              <w:pStyle w:val="12"/>
              <w:jc w:val="center"/>
            </w:pPr>
            <w:r>
              <w:rPr>
                <w:rFonts w:hint="eastAsia"/>
              </w:rPr>
              <w:t>合计</w:t>
            </w:r>
          </w:p>
        </w:tc>
        <w:tc>
          <w:tcPr>
            <w:tcW w:w="625" w:type="pct"/>
            <w:vAlign w:val="center"/>
          </w:tcPr>
          <w:p w14:paraId="3451703C">
            <w:pPr>
              <w:pStyle w:val="12"/>
              <w:jc w:val="center"/>
            </w:pPr>
            <w:r>
              <w:rPr>
                <w:rFonts w:hint="eastAsia"/>
              </w:rPr>
              <w:t>—</w:t>
            </w:r>
          </w:p>
        </w:tc>
        <w:tc>
          <w:tcPr>
            <w:tcW w:w="625" w:type="pct"/>
            <w:vAlign w:val="center"/>
          </w:tcPr>
          <w:p w14:paraId="16C12CA1">
            <w:pPr>
              <w:pStyle w:val="12"/>
              <w:jc w:val="center"/>
            </w:pPr>
            <w:r>
              <w:rPr>
                <w:rFonts w:hint="eastAsia"/>
              </w:rPr>
              <w:t>—</w:t>
            </w:r>
          </w:p>
        </w:tc>
        <w:tc>
          <w:tcPr>
            <w:tcW w:w="625" w:type="pct"/>
            <w:vAlign w:val="center"/>
          </w:tcPr>
          <w:p w14:paraId="019EEBD8">
            <w:pPr>
              <w:pStyle w:val="12"/>
              <w:jc w:val="center"/>
            </w:pPr>
            <w:r>
              <w:rPr>
                <w:rFonts w:hint="eastAsia"/>
              </w:rPr>
              <w:t>6314</w:t>
            </w:r>
          </w:p>
        </w:tc>
        <w:tc>
          <w:tcPr>
            <w:tcW w:w="625" w:type="pct"/>
            <w:vAlign w:val="center"/>
          </w:tcPr>
          <w:p w14:paraId="7FAA7348">
            <w:pPr>
              <w:pStyle w:val="12"/>
              <w:jc w:val="center"/>
            </w:pPr>
            <w:r>
              <w:rPr>
                <w:rFonts w:hint="eastAsia"/>
              </w:rPr>
              <w:t>5621</w:t>
            </w:r>
          </w:p>
        </w:tc>
        <w:tc>
          <w:tcPr>
            <w:tcW w:w="625" w:type="pct"/>
            <w:vAlign w:val="center"/>
          </w:tcPr>
          <w:p w14:paraId="435F5E48">
            <w:pPr>
              <w:pStyle w:val="12"/>
              <w:jc w:val="center"/>
            </w:pPr>
            <w:r>
              <w:rPr>
                <w:rFonts w:hint="eastAsia"/>
              </w:rPr>
              <w:t>89</w:t>
            </w:r>
          </w:p>
        </w:tc>
        <w:tc>
          <w:tcPr>
            <w:tcW w:w="625" w:type="pct"/>
            <w:vAlign w:val="center"/>
          </w:tcPr>
          <w:p w14:paraId="39F3828A">
            <w:pPr>
              <w:pStyle w:val="12"/>
              <w:jc w:val="center"/>
            </w:pPr>
            <w:r>
              <w:rPr>
                <w:rFonts w:hint="eastAsia"/>
              </w:rPr>
              <w:t>4181</w:t>
            </w:r>
          </w:p>
        </w:tc>
      </w:tr>
      <w:tr w14:paraId="46C395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restart"/>
            <w:vAlign w:val="center"/>
          </w:tcPr>
          <w:p w14:paraId="7DE48A5B">
            <w:pPr>
              <w:pStyle w:val="12"/>
              <w:jc w:val="center"/>
            </w:pPr>
            <w:r>
              <w:rPr>
                <w:rFonts w:hint="eastAsia"/>
              </w:rPr>
              <w:t>2003</w:t>
            </w:r>
          </w:p>
        </w:tc>
        <w:tc>
          <w:tcPr>
            <w:tcW w:w="625" w:type="pct"/>
            <w:vAlign w:val="center"/>
          </w:tcPr>
          <w:p w14:paraId="45F7EE1A">
            <w:pPr>
              <w:pStyle w:val="12"/>
              <w:jc w:val="center"/>
            </w:pPr>
            <w:r>
              <w:rPr>
                <w:rFonts w:hint="eastAsia"/>
              </w:rPr>
              <w:t>养老</w:t>
            </w:r>
          </w:p>
        </w:tc>
        <w:tc>
          <w:tcPr>
            <w:tcW w:w="625" w:type="pct"/>
            <w:vAlign w:val="center"/>
          </w:tcPr>
          <w:p w14:paraId="7F44480F">
            <w:pPr>
              <w:pStyle w:val="12"/>
              <w:jc w:val="center"/>
            </w:pPr>
            <w:r>
              <w:rPr>
                <w:rFonts w:hint="eastAsia"/>
              </w:rPr>
              <w:t>22726</w:t>
            </w:r>
          </w:p>
        </w:tc>
        <w:tc>
          <w:tcPr>
            <w:tcW w:w="625" w:type="pct"/>
            <w:vAlign w:val="center"/>
          </w:tcPr>
          <w:p w14:paraId="5196B452">
            <w:pPr>
              <w:pStyle w:val="12"/>
              <w:jc w:val="center"/>
            </w:pPr>
            <w:r>
              <w:rPr>
                <w:rFonts w:hint="eastAsia"/>
              </w:rPr>
              <w:t>18621</w:t>
            </w:r>
          </w:p>
        </w:tc>
        <w:tc>
          <w:tcPr>
            <w:tcW w:w="625" w:type="pct"/>
            <w:vAlign w:val="center"/>
          </w:tcPr>
          <w:p w14:paraId="461BCF47">
            <w:pPr>
              <w:pStyle w:val="12"/>
              <w:jc w:val="center"/>
            </w:pPr>
            <w:r>
              <w:rPr>
                <w:rFonts w:hint="eastAsia"/>
              </w:rPr>
              <w:t>3485</w:t>
            </w:r>
          </w:p>
        </w:tc>
        <w:tc>
          <w:tcPr>
            <w:tcW w:w="625" w:type="pct"/>
            <w:vAlign w:val="center"/>
          </w:tcPr>
          <w:p w14:paraId="3A68F2D8">
            <w:pPr>
              <w:pStyle w:val="12"/>
              <w:jc w:val="center"/>
            </w:pPr>
            <w:r>
              <w:rPr>
                <w:rFonts w:hint="eastAsia"/>
              </w:rPr>
              <w:t>2606</w:t>
            </w:r>
          </w:p>
        </w:tc>
        <w:tc>
          <w:tcPr>
            <w:tcW w:w="625" w:type="pct"/>
            <w:vAlign w:val="center"/>
          </w:tcPr>
          <w:p w14:paraId="2822B647">
            <w:pPr>
              <w:pStyle w:val="12"/>
              <w:jc w:val="center"/>
            </w:pPr>
            <w:r>
              <w:rPr>
                <w:rFonts w:hint="eastAsia"/>
              </w:rPr>
              <w:t>75</w:t>
            </w:r>
          </w:p>
        </w:tc>
        <w:tc>
          <w:tcPr>
            <w:tcW w:w="625" w:type="pct"/>
            <w:vAlign w:val="center"/>
          </w:tcPr>
          <w:p w14:paraId="549C697F">
            <w:pPr>
              <w:pStyle w:val="12"/>
              <w:jc w:val="center"/>
            </w:pPr>
            <w:r>
              <w:rPr>
                <w:rFonts w:hint="eastAsia"/>
              </w:rPr>
              <w:t>2702</w:t>
            </w:r>
          </w:p>
        </w:tc>
      </w:tr>
      <w:tr w14:paraId="20C955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14:paraId="67124C7F">
            <w:pPr>
              <w:pStyle w:val="12"/>
              <w:jc w:val="center"/>
            </w:pPr>
          </w:p>
        </w:tc>
        <w:tc>
          <w:tcPr>
            <w:tcW w:w="625" w:type="pct"/>
            <w:vAlign w:val="center"/>
          </w:tcPr>
          <w:p w14:paraId="1AC1D3CC">
            <w:pPr>
              <w:pStyle w:val="12"/>
              <w:jc w:val="center"/>
            </w:pPr>
            <w:r>
              <w:rPr>
                <w:rFonts w:hint="eastAsia"/>
              </w:rPr>
              <w:t>工伤</w:t>
            </w:r>
          </w:p>
        </w:tc>
        <w:tc>
          <w:tcPr>
            <w:tcW w:w="625" w:type="pct"/>
            <w:vAlign w:val="center"/>
          </w:tcPr>
          <w:p w14:paraId="56B23B7D">
            <w:pPr>
              <w:pStyle w:val="12"/>
              <w:jc w:val="center"/>
            </w:pPr>
            <w:r>
              <w:rPr>
                <w:rFonts w:hint="eastAsia"/>
              </w:rPr>
              <w:t>13369</w:t>
            </w:r>
          </w:p>
        </w:tc>
        <w:tc>
          <w:tcPr>
            <w:tcW w:w="625" w:type="pct"/>
            <w:vAlign w:val="center"/>
          </w:tcPr>
          <w:p w14:paraId="7530835A">
            <w:pPr>
              <w:pStyle w:val="12"/>
              <w:jc w:val="center"/>
            </w:pPr>
            <w:r>
              <w:rPr>
                <w:rFonts w:hint="eastAsia"/>
              </w:rPr>
              <w:t>8635</w:t>
            </w:r>
          </w:p>
        </w:tc>
        <w:tc>
          <w:tcPr>
            <w:tcW w:w="625" w:type="pct"/>
            <w:vAlign w:val="center"/>
          </w:tcPr>
          <w:p w14:paraId="5971204B">
            <w:pPr>
              <w:pStyle w:val="12"/>
              <w:jc w:val="center"/>
            </w:pPr>
            <w:r>
              <w:rPr>
                <w:rFonts w:hint="eastAsia"/>
              </w:rPr>
              <w:t>58</w:t>
            </w:r>
          </w:p>
        </w:tc>
        <w:tc>
          <w:tcPr>
            <w:tcW w:w="625" w:type="pct"/>
            <w:vAlign w:val="center"/>
          </w:tcPr>
          <w:p w14:paraId="18FF15A8">
            <w:pPr>
              <w:pStyle w:val="12"/>
              <w:jc w:val="center"/>
            </w:pPr>
            <w:r>
              <w:rPr>
                <w:rFonts w:hint="eastAsia"/>
              </w:rPr>
              <w:t>57</w:t>
            </w:r>
          </w:p>
        </w:tc>
        <w:tc>
          <w:tcPr>
            <w:tcW w:w="625" w:type="pct"/>
            <w:vAlign w:val="center"/>
          </w:tcPr>
          <w:p w14:paraId="11E1BA45">
            <w:pPr>
              <w:pStyle w:val="12"/>
              <w:jc w:val="center"/>
            </w:pPr>
            <w:r>
              <w:rPr>
                <w:rFonts w:hint="eastAsia"/>
              </w:rPr>
              <w:t>98</w:t>
            </w:r>
          </w:p>
        </w:tc>
        <w:tc>
          <w:tcPr>
            <w:tcW w:w="625" w:type="pct"/>
            <w:vAlign w:val="center"/>
          </w:tcPr>
          <w:p w14:paraId="6B4B2550">
            <w:pPr>
              <w:pStyle w:val="12"/>
              <w:jc w:val="center"/>
            </w:pPr>
            <w:r>
              <w:rPr>
                <w:rFonts w:hint="eastAsia"/>
              </w:rPr>
              <w:t>26</w:t>
            </w:r>
          </w:p>
        </w:tc>
      </w:tr>
      <w:tr w14:paraId="219D10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14:paraId="1F835C04">
            <w:pPr>
              <w:pStyle w:val="12"/>
              <w:jc w:val="center"/>
            </w:pPr>
          </w:p>
        </w:tc>
        <w:tc>
          <w:tcPr>
            <w:tcW w:w="625" w:type="pct"/>
            <w:vAlign w:val="center"/>
          </w:tcPr>
          <w:p w14:paraId="2F331221">
            <w:pPr>
              <w:pStyle w:val="12"/>
              <w:jc w:val="center"/>
            </w:pPr>
            <w:r>
              <w:rPr>
                <w:rFonts w:hint="eastAsia"/>
              </w:rPr>
              <w:t>失业</w:t>
            </w:r>
          </w:p>
        </w:tc>
        <w:tc>
          <w:tcPr>
            <w:tcW w:w="625" w:type="pct"/>
            <w:vAlign w:val="center"/>
          </w:tcPr>
          <w:p w14:paraId="297C851C">
            <w:pPr>
              <w:pStyle w:val="12"/>
              <w:jc w:val="center"/>
            </w:pPr>
            <w:r>
              <w:rPr>
                <w:rFonts w:hint="eastAsia"/>
              </w:rPr>
              <w:t>17385</w:t>
            </w:r>
          </w:p>
        </w:tc>
        <w:tc>
          <w:tcPr>
            <w:tcW w:w="625" w:type="pct"/>
            <w:vAlign w:val="center"/>
          </w:tcPr>
          <w:p w14:paraId="40F39515">
            <w:pPr>
              <w:pStyle w:val="12"/>
              <w:jc w:val="center"/>
            </w:pPr>
            <w:r>
              <w:rPr>
                <w:rFonts w:hint="eastAsia"/>
              </w:rPr>
              <w:t>13734</w:t>
            </w:r>
          </w:p>
        </w:tc>
        <w:tc>
          <w:tcPr>
            <w:tcW w:w="625" w:type="pct"/>
            <w:vAlign w:val="center"/>
          </w:tcPr>
          <w:p w14:paraId="602823B7">
            <w:pPr>
              <w:pStyle w:val="12"/>
              <w:jc w:val="center"/>
            </w:pPr>
            <w:r>
              <w:rPr>
                <w:rFonts w:hint="eastAsia"/>
              </w:rPr>
              <w:t>522</w:t>
            </w:r>
          </w:p>
        </w:tc>
        <w:tc>
          <w:tcPr>
            <w:tcW w:w="625" w:type="pct"/>
            <w:vAlign w:val="center"/>
          </w:tcPr>
          <w:p w14:paraId="437B9D3B">
            <w:pPr>
              <w:pStyle w:val="12"/>
              <w:jc w:val="center"/>
            </w:pPr>
            <w:r>
              <w:rPr>
                <w:rFonts w:hint="eastAsia"/>
              </w:rPr>
              <w:t>336</w:t>
            </w:r>
          </w:p>
        </w:tc>
        <w:tc>
          <w:tcPr>
            <w:tcW w:w="625" w:type="pct"/>
            <w:vAlign w:val="center"/>
          </w:tcPr>
          <w:p w14:paraId="4DF03E9E">
            <w:pPr>
              <w:pStyle w:val="12"/>
              <w:jc w:val="center"/>
            </w:pPr>
            <w:r>
              <w:rPr>
                <w:rFonts w:hint="eastAsia"/>
              </w:rPr>
              <w:t>64</w:t>
            </w:r>
          </w:p>
        </w:tc>
        <w:tc>
          <w:tcPr>
            <w:tcW w:w="625" w:type="pct"/>
            <w:vAlign w:val="center"/>
          </w:tcPr>
          <w:p w14:paraId="163170F6">
            <w:pPr>
              <w:pStyle w:val="12"/>
              <w:jc w:val="center"/>
            </w:pPr>
            <w:r>
              <w:rPr>
                <w:rFonts w:hint="eastAsia"/>
              </w:rPr>
              <w:t>532</w:t>
            </w:r>
          </w:p>
        </w:tc>
      </w:tr>
      <w:tr w14:paraId="4D2FDF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14:paraId="4AAADB07">
            <w:pPr>
              <w:pStyle w:val="12"/>
              <w:jc w:val="center"/>
            </w:pPr>
          </w:p>
        </w:tc>
        <w:tc>
          <w:tcPr>
            <w:tcW w:w="625" w:type="pct"/>
            <w:vAlign w:val="center"/>
          </w:tcPr>
          <w:p w14:paraId="50F54A94">
            <w:pPr>
              <w:pStyle w:val="12"/>
              <w:jc w:val="center"/>
            </w:pPr>
            <w:r>
              <w:rPr>
                <w:rFonts w:hint="eastAsia"/>
              </w:rPr>
              <w:t>医疗</w:t>
            </w:r>
          </w:p>
        </w:tc>
        <w:tc>
          <w:tcPr>
            <w:tcW w:w="625" w:type="pct"/>
            <w:vAlign w:val="center"/>
          </w:tcPr>
          <w:p w14:paraId="1BFA1313">
            <w:pPr>
              <w:pStyle w:val="12"/>
              <w:jc w:val="center"/>
            </w:pPr>
            <w:r>
              <w:rPr>
                <w:rFonts w:hint="eastAsia"/>
              </w:rPr>
              <w:t>22018</w:t>
            </w:r>
          </w:p>
        </w:tc>
        <w:tc>
          <w:tcPr>
            <w:tcW w:w="625" w:type="pct"/>
            <w:vAlign w:val="center"/>
          </w:tcPr>
          <w:p w14:paraId="64CAD07A">
            <w:pPr>
              <w:pStyle w:val="12"/>
              <w:jc w:val="center"/>
            </w:pPr>
            <w:r>
              <w:rPr>
                <w:rFonts w:hint="eastAsia"/>
              </w:rPr>
              <w:t>22018</w:t>
            </w:r>
          </w:p>
        </w:tc>
        <w:tc>
          <w:tcPr>
            <w:tcW w:w="625" w:type="pct"/>
            <w:vAlign w:val="center"/>
          </w:tcPr>
          <w:p w14:paraId="37B721C9">
            <w:pPr>
              <w:pStyle w:val="12"/>
              <w:jc w:val="center"/>
            </w:pPr>
            <w:r>
              <w:rPr>
                <w:rFonts w:hint="eastAsia"/>
              </w:rPr>
              <w:t>2062</w:t>
            </w:r>
          </w:p>
        </w:tc>
        <w:tc>
          <w:tcPr>
            <w:tcW w:w="625" w:type="pct"/>
            <w:vAlign w:val="center"/>
          </w:tcPr>
          <w:p w14:paraId="01CB1727">
            <w:pPr>
              <w:pStyle w:val="12"/>
              <w:jc w:val="center"/>
            </w:pPr>
            <w:r>
              <w:rPr>
                <w:rFonts w:hint="eastAsia"/>
              </w:rPr>
              <w:t>1487</w:t>
            </w:r>
          </w:p>
        </w:tc>
        <w:tc>
          <w:tcPr>
            <w:tcW w:w="625" w:type="pct"/>
            <w:vAlign w:val="center"/>
          </w:tcPr>
          <w:p w14:paraId="6267B47E">
            <w:pPr>
              <w:pStyle w:val="12"/>
              <w:jc w:val="center"/>
            </w:pPr>
            <w:r>
              <w:rPr>
                <w:rFonts w:hint="eastAsia"/>
              </w:rPr>
              <w:t>72</w:t>
            </w:r>
          </w:p>
        </w:tc>
        <w:tc>
          <w:tcPr>
            <w:tcW w:w="625" w:type="pct"/>
            <w:vAlign w:val="center"/>
          </w:tcPr>
          <w:p w14:paraId="10A179D3">
            <w:pPr>
              <w:pStyle w:val="12"/>
              <w:jc w:val="center"/>
            </w:pPr>
            <w:r>
              <w:rPr>
                <w:rFonts w:hint="eastAsia"/>
              </w:rPr>
              <w:t>1079</w:t>
            </w:r>
          </w:p>
        </w:tc>
      </w:tr>
      <w:tr w14:paraId="28F8DD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14:paraId="4C45DC1A">
            <w:pPr>
              <w:pStyle w:val="12"/>
              <w:jc w:val="center"/>
            </w:pPr>
          </w:p>
        </w:tc>
        <w:tc>
          <w:tcPr>
            <w:tcW w:w="625" w:type="pct"/>
            <w:vAlign w:val="center"/>
          </w:tcPr>
          <w:p w14:paraId="7230C942">
            <w:pPr>
              <w:pStyle w:val="12"/>
              <w:jc w:val="center"/>
            </w:pPr>
            <w:r>
              <w:rPr>
                <w:rFonts w:hint="eastAsia"/>
              </w:rPr>
              <w:t>生育</w:t>
            </w:r>
          </w:p>
        </w:tc>
        <w:tc>
          <w:tcPr>
            <w:tcW w:w="625" w:type="pct"/>
            <w:vAlign w:val="center"/>
          </w:tcPr>
          <w:p w14:paraId="6BC4FCC3">
            <w:pPr>
              <w:pStyle w:val="12"/>
              <w:jc w:val="center"/>
            </w:pPr>
            <w:r>
              <w:rPr>
                <w:rFonts w:hint="eastAsia"/>
              </w:rPr>
              <w:t>8974</w:t>
            </w:r>
          </w:p>
        </w:tc>
        <w:tc>
          <w:tcPr>
            <w:tcW w:w="625" w:type="pct"/>
            <w:vAlign w:val="center"/>
          </w:tcPr>
          <w:p w14:paraId="79AE2EED">
            <w:pPr>
              <w:pStyle w:val="12"/>
              <w:jc w:val="center"/>
            </w:pPr>
            <w:r>
              <w:rPr>
                <w:rFonts w:hint="eastAsia"/>
              </w:rPr>
              <w:t>8974</w:t>
            </w:r>
          </w:p>
        </w:tc>
        <w:tc>
          <w:tcPr>
            <w:tcW w:w="625" w:type="pct"/>
            <w:vAlign w:val="center"/>
          </w:tcPr>
          <w:p w14:paraId="3C8940E9">
            <w:pPr>
              <w:pStyle w:val="12"/>
              <w:jc w:val="center"/>
            </w:pPr>
            <w:r>
              <w:rPr>
                <w:rFonts w:hint="eastAsia"/>
              </w:rPr>
              <w:t>18</w:t>
            </w:r>
          </w:p>
        </w:tc>
        <w:tc>
          <w:tcPr>
            <w:tcW w:w="625" w:type="pct"/>
            <w:vAlign w:val="center"/>
          </w:tcPr>
          <w:p w14:paraId="0C86735D">
            <w:pPr>
              <w:pStyle w:val="12"/>
              <w:jc w:val="center"/>
            </w:pPr>
            <w:r>
              <w:rPr>
                <w:rFonts w:hint="eastAsia"/>
              </w:rPr>
              <w:t>17</w:t>
            </w:r>
          </w:p>
        </w:tc>
        <w:tc>
          <w:tcPr>
            <w:tcW w:w="625" w:type="pct"/>
            <w:vAlign w:val="center"/>
          </w:tcPr>
          <w:p w14:paraId="08F1A9BE">
            <w:pPr>
              <w:pStyle w:val="12"/>
              <w:jc w:val="center"/>
            </w:pPr>
            <w:r>
              <w:rPr>
                <w:rFonts w:hint="eastAsia"/>
              </w:rPr>
              <w:t>94</w:t>
            </w:r>
          </w:p>
        </w:tc>
        <w:tc>
          <w:tcPr>
            <w:tcW w:w="625" w:type="pct"/>
            <w:vAlign w:val="center"/>
          </w:tcPr>
          <w:p w14:paraId="16937129">
            <w:pPr>
              <w:pStyle w:val="12"/>
              <w:jc w:val="center"/>
            </w:pPr>
            <w:r>
              <w:rPr>
                <w:rFonts w:hint="eastAsia"/>
              </w:rPr>
              <w:t>4</w:t>
            </w:r>
          </w:p>
        </w:tc>
      </w:tr>
      <w:tr w14:paraId="2E6F62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14:paraId="4F2CE181">
            <w:pPr>
              <w:pStyle w:val="12"/>
              <w:jc w:val="center"/>
            </w:pPr>
          </w:p>
        </w:tc>
        <w:tc>
          <w:tcPr>
            <w:tcW w:w="625" w:type="pct"/>
            <w:vAlign w:val="center"/>
          </w:tcPr>
          <w:p w14:paraId="698C9C95">
            <w:pPr>
              <w:pStyle w:val="12"/>
              <w:jc w:val="center"/>
            </w:pPr>
            <w:r>
              <w:rPr>
                <w:rFonts w:hint="eastAsia"/>
              </w:rPr>
              <w:t>合计</w:t>
            </w:r>
          </w:p>
        </w:tc>
        <w:tc>
          <w:tcPr>
            <w:tcW w:w="625" w:type="pct"/>
            <w:vAlign w:val="center"/>
          </w:tcPr>
          <w:p w14:paraId="1D7A656C">
            <w:pPr>
              <w:pStyle w:val="12"/>
              <w:jc w:val="center"/>
            </w:pPr>
            <w:r>
              <w:rPr>
                <w:rFonts w:hint="eastAsia"/>
              </w:rPr>
              <w:t>—</w:t>
            </w:r>
          </w:p>
        </w:tc>
        <w:tc>
          <w:tcPr>
            <w:tcW w:w="625" w:type="pct"/>
            <w:vAlign w:val="center"/>
          </w:tcPr>
          <w:p w14:paraId="219A74FF">
            <w:pPr>
              <w:pStyle w:val="12"/>
              <w:jc w:val="center"/>
            </w:pPr>
            <w:r>
              <w:rPr>
                <w:rFonts w:hint="eastAsia"/>
              </w:rPr>
              <w:t>—</w:t>
            </w:r>
          </w:p>
        </w:tc>
        <w:tc>
          <w:tcPr>
            <w:tcW w:w="625" w:type="pct"/>
            <w:vAlign w:val="center"/>
          </w:tcPr>
          <w:p w14:paraId="5C445961">
            <w:pPr>
              <w:pStyle w:val="12"/>
              <w:jc w:val="center"/>
            </w:pPr>
            <w:r>
              <w:rPr>
                <w:rFonts w:hint="eastAsia"/>
              </w:rPr>
              <w:t>6145</w:t>
            </w:r>
          </w:p>
        </w:tc>
        <w:tc>
          <w:tcPr>
            <w:tcW w:w="625" w:type="pct"/>
            <w:vAlign w:val="center"/>
          </w:tcPr>
          <w:p w14:paraId="7ADE92DB">
            <w:pPr>
              <w:pStyle w:val="12"/>
              <w:jc w:val="center"/>
            </w:pPr>
            <w:r>
              <w:rPr>
                <w:rFonts w:hint="eastAsia"/>
              </w:rPr>
              <w:t>4503</w:t>
            </w:r>
          </w:p>
        </w:tc>
        <w:tc>
          <w:tcPr>
            <w:tcW w:w="625" w:type="pct"/>
            <w:vAlign w:val="center"/>
          </w:tcPr>
          <w:p w14:paraId="111C7A62">
            <w:pPr>
              <w:pStyle w:val="12"/>
              <w:jc w:val="center"/>
            </w:pPr>
            <w:r>
              <w:rPr>
                <w:rFonts w:hint="eastAsia"/>
              </w:rPr>
              <w:t>73</w:t>
            </w:r>
          </w:p>
        </w:tc>
        <w:tc>
          <w:tcPr>
            <w:tcW w:w="625" w:type="pct"/>
            <w:vAlign w:val="center"/>
          </w:tcPr>
          <w:p w14:paraId="631AD1A9">
            <w:pPr>
              <w:pStyle w:val="12"/>
              <w:jc w:val="center"/>
            </w:pPr>
            <w:r>
              <w:rPr>
                <w:rFonts w:hint="eastAsia"/>
              </w:rPr>
              <w:t>4343</w:t>
            </w:r>
          </w:p>
        </w:tc>
      </w:tr>
      <w:tr w14:paraId="7D8513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restart"/>
            <w:vAlign w:val="center"/>
          </w:tcPr>
          <w:p w14:paraId="4D192558">
            <w:pPr>
              <w:pStyle w:val="12"/>
              <w:jc w:val="center"/>
            </w:pPr>
            <w:r>
              <w:rPr>
                <w:rFonts w:hint="eastAsia"/>
              </w:rPr>
              <w:t>2004</w:t>
            </w:r>
          </w:p>
        </w:tc>
        <w:tc>
          <w:tcPr>
            <w:tcW w:w="625" w:type="pct"/>
            <w:vAlign w:val="center"/>
          </w:tcPr>
          <w:p w14:paraId="166968D3">
            <w:pPr>
              <w:pStyle w:val="12"/>
              <w:jc w:val="center"/>
            </w:pPr>
            <w:r>
              <w:rPr>
                <w:rFonts w:hint="eastAsia"/>
              </w:rPr>
              <w:t>养老</w:t>
            </w:r>
          </w:p>
        </w:tc>
        <w:tc>
          <w:tcPr>
            <w:tcW w:w="625" w:type="pct"/>
            <w:vAlign w:val="center"/>
          </w:tcPr>
          <w:p w14:paraId="4D67E9E6">
            <w:pPr>
              <w:pStyle w:val="12"/>
              <w:jc w:val="center"/>
            </w:pPr>
            <w:r>
              <w:rPr>
                <w:rFonts w:hint="eastAsia"/>
              </w:rPr>
              <w:t>22079</w:t>
            </w:r>
          </w:p>
        </w:tc>
        <w:tc>
          <w:tcPr>
            <w:tcW w:w="625" w:type="pct"/>
            <w:vAlign w:val="center"/>
          </w:tcPr>
          <w:p w14:paraId="5321F244">
            <w:pPr>
              <w:pStyle w:val="12"/>
              <w:jc w:val="center"/>
            </w:pPr>
            <w:r>
              <w:rPr>
                <w:rFonts w:hint="eastAsia"/>
              </w:rPr>
              <w:t>17623</w:t>
            </w:r>
          </w:p>
        </w:tc>
        <w:tc>
          <w:tcPr>
            <w:tcW w:w="625" w:type="pct"/>
            <w:vAlign w:val="center"/>
          </w:tcPr>
          <w:p w14:paraId="3788DD13">
            <w:pPr>
              <w:pStyle w:val="12"/>
              <w:jc w:val="center"/>
            </w:pPr>
            <w:r>
              <w:rPr>
                <w:rFonts w:hint="eastAsia"/>
              </w:rPr>
              <w:t>3716</w:t>
            </w:r>
          </w:p>
        </w:tc>
        <w:tc>
          <w:tcPr>
            <w:tcW w:w="625" w:type="pct"/>
            <w:vAlign w:val="center"/>
          </w:tcPr>
          <w:p w14:paraId="52B625F0">
            <w:pPr>
              <w:pStyle w:val="12"/>
              <w:jc w:val="center"/>
            </w:pPr>
            <w:r>
              <w:rPr>
                <w:rFonts w:hint="eastAsia"/>
              </w:rPr>
              <w:t>3206</w:t>
            </w:r>
          </w:p>
        </w:tc>
        <w:tc>
          <w:tcPr>
            <w:tcW w:w="625" w:type="pct"/>
            <w:vAlign w:val="center"/>
          </w:tcPr>
          <w:p w14:paraId="284A761D">
            <w:pPr>
              <w:pStyle w:val="12"/>
              <w:jc w:val="center"/>
            </w:pPr>
            <w:r>
              <w:rPr>
                <w:rFonts w:hint="eastAsia"/>
              </w:rPr>
              <w:t>86</w:t>
            </w:r>
          </w:p>
        </w:tc>
        <w:tc>
          <w:tcPr>
            <w:tcW w:w="625" w:type="pct"/>
            <w:vAlign w:val="center"/>
          </w:tcPr>
          <w:p w14:paraId="49028DB9">
            <w:pPr>
              <w:pStyle w:val="12"/>
              <w:jc w:val="center"/>
            </w:pPr>
            <w:r>
              <w:rPr>
                <w:rFonts w:hint="eastAsia"/>
              </w:rPr>
              <w:t>3218</w:t>
            </w:r>
          </w:p>
        </w:tc>
      </w:tr>
      <w:tr w14:paraId="2331EE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14:paraId="61016D6C">
            <w:pPr>
              <w:pStyle w:val="12"/>
              <w:jc w:val="center"/>
            </w:pPr>
          </w:p>
        </w:tc>
        <w:tc>
          <w:tcPr>
            <w:tcW w:w="625" w:type="pct"/>
            <w:vAlign w:val="center"/>
          </w:tcPr>
          <w:p w14:paraId="2586D73B">
            <w:pPr>
              <w:pStyle w:val="12"/>
              <w:jc w:val="center"/>
            </w:pPr>
            <w:r>
              <w:rPr>
                <w:rFonts w:hint="eastAsia"/>
              </w:rPr>
              <w:t>工伤</w:t>
            </w:r>
          </w:p>
        </w:tc>
        <w:tc>
          <w:tcPr>
            <w:tcW w:w="625" w:type="pct"/>
            <w:vAlign w:val="center"/>
          </w:tcPr>
          <w:p w14:paraId="6922BDEF">
            <w:pPr>
              <w:pStyle w:val="12"/>
              <w:jc w:val="center"/>
            </w:pPr>
            <w:r>
              <w:rPr>
                <w:rFonts w:hint="eastAsia"/>
              </w:rPr>
              <w:t>13039</w:t>
            </w:r>
          </w:p>
        </w:tc>
        <w:tc>
          <w:tcPr>
            <w:tcW w:w="625" w:type="pct"/>
            <w:vAlign w:val="center"/>
          </w:tcPr>
          <w:p w14:paraId="227081EE">
            <w:pPr>
              <w:pStyle w:val="12"/>
              <w:jc w:val="center"/>
            </w:pPr>
            <w:r>
              <w:rPr>
                <w:rFonts w:hint="eastAsia"/>
              </w:rPr>
              <w:t>6828</w:t>
            </w:r>
          </w:p>
        </w:tc>
        <w:tc>
          <w:tcPr>
            <w:tcW w:w="625" w:type="pct"/>
            <w:vAlign w:val="center"/>
          </w:tcPr>
          <w:p w14:paraId="68D49253">
            <w:pPr>
              <w:pStyle w:val="12"/>
              <w:jc w:val="center"/>
            </w:pPr>
            <w:r>
              <w:rPr>
                <w:rFonts w:hint="eastAsia"/>
              </w:rPr>
              <w:t>63</w:t>
            </w:r>
          </w:p>
        </w:tc>
        <w:tc>
          <w:tcPr>
            <w:tcW w:w="625" w:type="pct"/>
            <w:vAlign w:val="center"/>
          </w:tcPr>
          <w:p w14:paraId="63DC922A">
            <w:pPr>
              <w:pStyle w:val="12"/>
              <w:jc w:val="center"/>
            </w:pPr>
            <w:r>
              <w:rPr>
                <w:rFonts w:hint="eastAsia"/>
              </w:rPr>
              <w:t>53</w:t>
            </w:r>
          </w:p>
        </w:tc>
        <w:tc>
          <w:tcPr>
            <w:tcW w:w="625" w:type="pct"/>
            <w:vAlign w:val="center"/>
          </w:tcPr>
          <w:p w14:paraId="31CD1B9C">
            <w:pPr>
              <w:pStyle w:val="12"/>
              <w:jc w:val="center"/>
            </w:pPr>
            <w:r>
              <w:rPr>
                <w:rFonts w:hint="eastAsia"/>
              </w:rPr>
              <w:t>84</w:t>
            </w:r>
          </w:p>
        </w:tc>
        <w:tc>
          <w:tcPr>
            <w:tcW w:w="625" w:type="pct"/>
            <w:vAlign w:val="center"/>
          </w:tcPr>
          <w:p w14:paraId="761309F1">
            <w:pPr>
              <w:pStyle w:val="12"/>
              <w:jc w:val="center"/>
            </w:pPr>
            <w:r>
              <w:rPr>
                <w:rFonts w:hint="eastAsia"/>
              </w:rPr>
              <w:t>36</w:t>
            </w:r>
          </w:p>
        </w:tc>
      </w:tr>
      <w:tr w14:paraId="41AA48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14:paraId="2151F804">
            <w:pPr>
              <w:pStyle w:val="12"/>
              <w:jc w:val="center"/>
            </w:pPr>
          </w:p>
        </w:tc>
        <w:tc>
          <w:tcPr>
            <w:tcW w:w="625" w:type="pct"/>
            <w:vAlign w:val="center"/>
          </w:tcPr>
          <w:p w14:paraId="099DF8CC">
            <w:pPr>
              <w:pStyle w:val="12"/>
              <w:jc w:val="center"/>
            </w:pPr>
            <w:r>
              <w:rPr>
                <w:rFonts w:hint="eastAsia"/>
              </w:rPr>
              <w:t>失业</w:t>
            </w:r>
          </w:p>
        </w:tc>
        <w:tc>
          <w:tcPr>
            <w:tcW w:w="625" w:type="pct"/>
            <w:vAlign w:val="center"/>
          </w:tcPr>
          <w:p w14:paraId="36A1F381">
            <w:pPr>
              <w:pStyle w:val="12"/>
              <w:jc w:val="center"/>
            </w:pPr>
            <w:r>
              <w:rPr>
                <w:rFonts w:hint="eastAsia"/>
              </w:rPr>
              <w:t>17059</w:t>
            </w:r>
          </w:p>
        </w:tc>
        <w:tc>
          <w:tcPr>
            <w:tcW w:w="625" w:type="pct"/>
            <w:vAlign w:val="center"/>
          </w:tcPr>
          <w:p w14:paraId="16142E16">
            <w:pPr>
              <w:pStyle w:val="12"/>
              <w:jc w:val="center"/>
            </w:pPr>
            <w:r>
              <w:rPr>
                <w:rFonts w:hint="eastAsia"/>
              </w:rPr>
              <w:t>13500</w:t>
            </w:r>
          </w:p>
        </w:tc>
        <w:tc>
          <w:tcPr>
            <w:tcW w:w="625" w:type="pct"/>
            <w:vAlign w:val="center"/>
          </w:tcPr>
          <w:p w14:paraId="656E9314">
            <w:pPr>
              <w:pStyle w:val="12"/>
              <w:jc w:val="center"/>
            </w:pPr>
            <w:r>
              <w:rPr>
                <w:rFonts w:hint="eastAsia"/>
              </w:rPr>
              <w:t>470</w:t>
            </w:r>
          </w:p>
        </w:tc>
        <w:tc>
          <w:tcPr>
            <w:tcW w:w="625" w:type="pct"/>
            <w:vAlign w:val="center"/>
          </w:tcPr>
          <w:p w14:paraId="30CD5ED7">
            <w:pPr>
              <w:pStyle w:val="12"/>
              <w:jc w:val="center"/>
            </w:pPr>
            <w:r>
              <w:rPr>
                <w:rFonts w:hint="eastAsia"/>
              </w:rPr>
              <w:t>383</w:t>
            </w:r>
          </w:p>
        </w:tc>
        <w:tc>
          <w:tcPr>
            <w:tcW w:w="625" w:type="pct"/>
            <w:vAlign w:val="center"/>
          </w:tcPr>
          <w:p w14:paraId="77C697E0">
            <w:pPr>
              <w:pStyle w:val="12"/>
              <w:jc w:val="center"/>
            </w:pPr>
            <w:r>
              <w:rPr>
                <w:rFonts w:hint="eastAsia"/>
              </w:rPr>
              <w:t>81</w:t>
            </w:r>
          </w:p>
        </w:tc>
        <w:tc>
          <w:tcPr>
            <w:tcW w:w="625" w:type="pct"/>
            <w:vAlign w:val="center"/>
          </w:tcPr>
          <w:p w14:paraId="2F8DDC7F">
            <w:pPr>
              <w:pStyle w:val="12"/>
              <w:jc w:val="center"/>
            </w:pPr>
            <w:r>
              <w:rPr>
                <w:rFonts w:hint="eastAsia"/>
              </w:rPr>
              <w:t>508</w:t>
            </w:r>
          </w:p>
        </w:tc>
      </w:tr>
      <w:tr w14:paraId="7FA8EC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14:paraId="6ED77E8D">
            <w:pPr>
              <w:pStyle w:val="12"/>
              <w:jc w:val="center"/>
            </w:pPr>
          </w:p>
        </w:tc>
        <w:tc>
          <w:tcPr>
            <w:tcW w:w="625" w:type="pct"/>
            <w:vAlign w:val="center"/>
          </w:tcPr>
          <w:p w14:paraId="20B6860A">
            <w:pPr>
              <w:pStyle w:val="12"/>
              <w:jc w:val="center"/>
            </w:pPr>
            <w:r>
              <w:rPr>
                <w:rFonts w:hint="eastAsia"/>
              </w:rPr>
              <w:t>医疗</w:t>
            </w:r>
          </w:p>
        </w:tc>
        <w:tc>
          <w:tcPr>
            <w:tcW w:w="625" w:type="pct"/>
            <w:vAlign w:val="center"/>
          </w:tcPr>
          <w:p w14:paraId="57205A86">
            <w:pPr>
              <w:pStyle w:val="12"/>
              <w:jc w:val="center"/>
            </w:pPr>
            <w:r>
              <w:rPr>
                <w:rFonts w:hint="eastAsia"/>
              </w:rPr>
              <w:t>21976</w:t>
            </w:r>
          </w:p>
        </w:tc>
        <w:tc>
          <w:tcPr>
            <w:tcW w:w="625" w:type="pct"/>
            <w:vAlign w:val="center"/>
          </w:tcPr>
          <w:p w14:paraId="58CF40DD">
            <w:pPr>
              <w:pStyle w:val="12"/>
              <w:jc w:val="center"/>
            </w:pPr>
            <w:r>
              <w:rPr>
                <w:rFonts w:hint="eastAsia"/>
              </w:rPr>
              <w:t>21383</w:t>
            </w:r>
          </w:p>
        </w:tc>
        <w:tc>
          <w:tcPr>
            <w:tcW w:w="625" w:type="pct"/>
            <w:vAlign w:val="center"/>
          </w:tcPr>
          <w:p w14:paraId="30C996F9">
            <w:pPr>
              <w:pStyle w:val="12"/>
              <w:jc w:val="center"/>
            </w:pPr>
            <w:r>
              <w:rPr>
                <w:rFonts w:hint="eastAsia"/>
              </w:rPr>
              <w:t>1693</w:t>
            </w:r>
          </w:p>
        </w:tc>
        <w:tc>
          <w:tcPr>
            <w:tcW w:w="625" w:type="pct"/>
            <w:vAlign w:val="center"/>
          </w:tcPr>
          <w:p w14:paraId="56FEB708">
            <w:pPr>
              <w:pStyle w:val="12"/>
              <w:jc w:val="center"/>
            </w:pPr>
            <w:r>
              <w:rPr>
                <w:rFonts w:hint="eastAsia"/>
              </w:rPr>
              <w:t>1569</w:t>
            </w:r>
          </w:p>
        </w:tc>
        <w:tc>
          <w:tcPr>
            <w:tcW w:w="625" w:type="pct"/>
            <w:vAlign w:val="center"/>
          </w:tcPr>
          <w:p w14:paraId="58B52D42">
            <w:pPr>
              <w:pStyle w:val="12"/>
              <w:jc w:val="center"/>
            </w:pPr>
            <w:r>
              <w:rPr>
                <w:rFonts w:hint="eastAsia"/>
              </w:rPr>
              <w:t>93</w:t>
            </w:r>
          </w:p>
        </w:tc>
        <w:tc>
          <w:tcPr>
            <w:tcW w:w="625" w:type="pct"/>
            <w:vAlign w:val="center"/>
          </w:tcPr>
          <w:p w14:paraId="2142960B">
            <w:pPr>
              <w:pStyle w:val="12"/>
              <w:jc w:val="center"/>
            </w:pPr>
            <w:r>
              <w:rPr>
                <w:rFonts w:hint="eastAsia"/>
              </w:rPr>
              <w:t>1611</w:t>
            </w:r>
          </w:p>
        </w:tc>
      </w:tr>
      <w:tr w14:paraId="0457BE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14:paraId="14A243D0">
            <w:pPr>
              <w:pStyle w:val="12"/>
              <w:jc w:val="center"/>
            </w:pPr>
          </w:p>
        </w:tc>
        <w:tc>
          <w:tcPr>
            <w:tcW w:w="625" w:type="pct"/>
            <w:vAlign w:val="center"/>
          </w:tcPr>
          <w:p w14:paraId="135AE4E1">
            <w:pPr>
              <w:pStyle w:val="12"/>
              <w:jc w:val="center"/>
            </w:pPr>
            <w:r>
              <w:rPr>
                <w:rFonts w:hint="eastAsia"/>
              </w:rPr>
              <w:t>生育</w:t>
            </w:r>
          </w:p>
        </w:tc>
        <w:tc>
          <w:tcPr>
            <w:tcW w:w="625" w:type="pct"/>
            <w:vAlign w:val="center"/>
          </w:tcPr>
          <w:p w14:paraId="0AAF8BC3">
            <w:pPr>
              <w:pStyle w:val="12"/>
              <w:jc w:val="center"/>
            </w:pPr>
            <w:r>
              <w:rPr>
                <w:rFonts w:hint="eastAsia"/>
              </w:rPr>
              <w:t>7267</w:t>
            </w:r>
          </w:p>
        </w:tc>
        <w:tc>
          <w:tcPr>
            <w:tcW w:w="625" w:type="pct"/>
            <w:vAlign w:val="center"/>
          </w:tcPr>
          <w:p w14:paraId="056A6BCF">
            <w:pPr>
              <w:pStyle w:val="12"/>
              <w:jc w:val="center"/>
            </w:pPr>
            <w:r>
              <w:rPr>
                <w:rFonts w:hint="eastAsia"/>
              </w:rPr>
              <w:t>7027</w:t>
            </w:r>
          </w:p>
        </w:tc>
        <w:tc>
          <w:tcPr>
            <w:tcW w:w="625" w:type="pct"/>
            <w:vAlign w:val="center"/>
          </w:tcPr>
          <w:p w14:paraId="20230B74">
            <w:pPr>
              <w:pStyle w:val="12"/>
              <w:jc w:val="center"/>
            </w:pPr>
            <w:r>
              <w:rPr>
                <w:rFonts w:hint="eastAsia"/>
              </w:rPr>
              <w:t>36</w:t>
            </w:r>
          </w:p>
        </w:tc>
        <w:tc>
          <w:tcPr>
            <w:tcW w:w="625" w:type="pct"/>
            <w:vAlign w:val="center"/>
          </w:tcPr>
          <w:p w14:paraId="65563510">
            <w:pPr>
              <w:pStyle w:val="12"/>
              <w:jc w:val="center"/>
            </w:pPr>
            <w:r>
              <w:rPr>
                <w:rFonts w:hint="eastAsia"/>
              </w:rPr>
              <w:t>34</w:t>
            </w:r>
          </w:p>
        </w:tc>
        <w:tc>
          <w:tcPr>
            <w:tcW w:w="625" w:type="pct"/>
            <w:vAlign w:val="center"/>
          </w:tcPr>
          <w:p w14:paraId="3CB1C15D">
            <w:pPr>
              <w:pStyle w:val="12"/>
              <w:jc w:val="center"/>
            </w:pPr>
            <w:r>
              <w:rPr>
                <w:rFonts w:hint="eastAsia"/>
              </w:rPr>
              <w:t>94</w:t>
            </w:r>
          </w:p>
        </w:tc>
        <w:tc>
          <w:tcPr>
            <w:tcW w:w="625" w:type="pct"/>
            <w:vAlign w:val="center"/>
          </w:tcPr>
          <w:p w14:paraId="1B1B2603">
            <w:pPr>
              <w:pStyle w:val="12"/>
              <w:jc w:val="center"/>
            </w:pPr>
            <w:r>
              <w:rPr>
                <w:rFonts w:hint="eastAsia"/>
              </w:rPr>
              <w:t>23</w:t>
            </w:r>
          </w:p>
        </w:tc>
      </w:tr>
      <w:tr w14:paraId="69EEF5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14:paraId="5FF7AF7A">
            <w:pPr>
              <w:pStyle w:val="12"/>
              <w:jc w:val="center"/>
            </w:pPr>
          </w:p>
        </w:tc>
        <w:tc>
          <w:tcPr>
            <w:tcW w:w="625" w:type="pct"/>
            <w:vAlign w:val="center"/>
          </w:tcPr>
          <w:p w14:paraId="3B0E5434">
            <w:pPr>
              <w:pStyle w:val="12"/>
              <w:jc w:val="center"/>
            </w:pPr>
            <w:r>
              <w:rPr>
                <w:rFonts w:hint="eastAsia"/>
              </w:rPr>
              <w:t>合计</w:t>
            </w:r>
          </w:p>
        </w:tc>
        <w:tc>
          <w:tcPr>
            <w:tcW w:w="625" w:type="pct"/>
            <w:vAlign w:val="center"/>
          </w:tcPr>
          <w:p w14:paraId="581F2752">
            <w:pPr>
              <w:pStyle w:val="12"/>
              <w:jc w:val="center"/>
            </w:pPr>
            <w:r>
              <w:rPr>
                <w:rFonts w:hint="eastAsia"/>
              </w:rPr>
              <w:t>—</w:t>
            </w:r>
          </w:p>
        </w:tc>
        <w:tc>
          <w:tcPr>
            <w:tcW w:w="625" w:type="pct"/>
            <w:vAlign w:val="center"/>
          </w:tcPr>
          <w:p w14:paraId="1139D71B">
            <w:pPr>
              <w:pStyle w:val="12"/>
              <w:jc w:val="center"/>
            </w:pPr>
            <w:r>
              <w:rPr>
                <w:rFonts w:hint="eastAsia"/>
              </w:rPr>
              <w:t>—</w:t>
            </w:r>
          </w:p>
        </w:tc>
        <w:tc>
          <w:tcPr>
            <w:tcW w:w="625" w:type="pct"/>
            <w:vAlign w:val="center"/>
          </w:tcPr>
          <w:p w14:paraId="78C33728">
            <w:pPr>
              <w:pStyle w:val="12"/>
              <w:jc w:val="center"/>
            </w:pPr>
            <w:r>
              <w:rPr>
                <w:rFonts w:hint="eastAsia"/>
              </w:rPr>
              <w:t>5978</w:t>
            </w:r>
          </w:p>
        </w:tc>
        <w:tc>
          <w:tcPr>
            <w:tcW w:w="625" w:type="pct"/>
            <w:vAlign w:val="center"/>
          </w:tcPr>
          <w:p w14:paraId="52D33897">
            <w:pPr>
              <w:pStyle w:val="12"/>
              <w:jc w:val="center"/>
            </w:pPr>
            <w:r>
              <w:rPr>
                <w:rFonts w:hint="eastAsia"/>
              </w:rPr>
              <w:t>5245</w:t>
            </w:r>
          </w:p>
        </w:tc>
        <w:tc>
          <w:tcPr>
            <w:tcW w:w="625" w:type="pct"/>
            <w:vAlign w:val="center"/>
          </w:tcPr>
          <w:p w14:paraId="6DFDBBD3">
            <w:pPr>
              <w:pStyle w:val="12"/>
              <w:jc w:val="center"/>
            </w:pPr>
            <w:r>
              <w:rPr>
                <w:rFonts w:hint="eastAsia"/>
              </w:rPr>
              <w:t>88</w:t>
            </w:r>
          </w:p>
        </w:tc>
        <w:tc>
          <w:tcPr>
            <w:tcW w:w="625" w:type="pct"/>
            <w:vAlign w:val="center"/>
          </w:tcPr>
          <w:p w14:paraId="751879B7">
            <w:pPr>
              <w:pStyle w:val="12"/>
              <w:jc w:val="center"/>
            </w:pPr>
            <w:r>
              <w:rPr>
                <w:rFonts w:hint="eastAsia"/>
              </w:rPr>
              <w:t>5394</w:t>
            </w:r>
          </w:p>
        </w:tc>
      </w:tr>
    </w:tbl>
    <w:p w14:paraId="23F6C441">
      <w:pPr>
        <w:pStyle w:val="3"/>
        <w:rPr>
          <w:rFonts w:ascii="宋体" w:hAnsi="宋体" w:cs="宋体"/>
        </w:rPr>
      </w:pPr>
      <w:r>
        <w:rPr>
          <w:rFonts w:hint="eastAsia" w:ascii="宋体" w:hAnsi="宋体" w:cs="宋体"/>
        </w:rPr>
        <w:t>第四章  民政</w:t>
      </w:r>
    </w:p>
    <w:p w14:paraId="736CE988">
      <w:pPr>
        <w:pStyle w:val="4"/>
        <w:rPr>
          <w:rFonts w:ascii="宋体" w:hAnsi="宋体" w:cs="宋体"/>
        </w:rPr>
      </w:pPr>
      <w:r>
        <w:rPr>
          <w:rFonts w:hint="eastAsia" w:ascii="宋体" w:hAnsi="宋体" w:cs="宋体"/>
        </w:rPr>
        <w:t>第一节  优抚</w:t>
      </w:r>
    </w:p>
    <w:p w14:paraId="1E1CA5A3">
      <w:pPr>
        <w:pStyle w:val="5"/>
        <w:rPr>
          <w:rFonts w:ascii="宋体" w:hAnsi="宋体" w:cs="宋体"/>
        </w:rPr>
      </w:pPr>
      <w:r>
        <w:rPr>
          <w:rFonts w:hint="eastAsia" w:ascii="宋体" w:hAnsi="宋体" w:cs="宋体"/>
        </w:rPr>
        <w:t>一、政府抚恤</w:t>
      </w:r>
    </w:p>
    <w:p w14:paraId="4D1AA9F0">
      <w:pPr>
        <w:ind w:firstLine="420"/>
        <w:rPr>
          <w:rFonts w:ascii="宋体" w:hAnsi="宋体" w:cs="宋体"/>
        </w:rPr>
      </w:pPr>
      <w:r>
        <w:rPr>
          <w:rFonts w:hint="eastAsia" w:ascii="宋体" w:hAnsi="宋体" w:cs="宋体"/>
        </w:rPr>
        <w:t>节日慰问。1951年春节，中央慰问团到县属衹芫、篛过、湖口等老区慰问。此后50多年来，每年春节和“八一”建军节，市（县）政府都组织各界代表慰问驻军、烈军属、复退军人和荣残军人。其中，1988年至2004年累计支出慰问金161.64万元。</w:t>
      </w:r>
    </w:p>
    <w:p w14:paraId="2FA5EA0C">
      <w:pPr>
        <w:ind w:firstLine="420"/>
        <w:rPr>
          <w:rFonts w:ascii="宋体" w:hAnsi="宋体" w:cs="宋体"/>
        </w:rPr>
      </w:pPr>
      <w:r>
        <w:rPr>
          <w:rFonts w:hint="eastAsia" w:ascii="宋体" w:hAnsi="宋体" w:cs="宋体"/>
        </w:rPr>
        <w:t>临时性优抚补助。新中国成立初期至1959年，对遇到特殊困难的优抚对象实行临时性的优抚补助，包括生产生活补助、学费补助、节日慰问补助等。这一期间，全县临时性优抚补助合计现金17.66万元，稻谷36万多公斤，布被、衣物4438件。1959年，享受临时性优抚补助的烈属304户，军属519户，残废军人36户。1988年至2004年，市政府、民政部门共发放临时性优抚补助867万元，享受过临时补助的优抚对象14450人次。</w:t>
      </w:r>
    </w:p>
    <w:p w14:paraId="330D6752">
      <w:pPr>
        <w:ind w:firstLine="420"/>
        <w:rPr>
          <w:rFonts w:ascii="宋体" w:hAnsi="宋体" w:cs="宋体"/>
        </w:rPr>
      </w:pPr>
      <w:r>
        <w:rPr>
          <w:rFonts w:hint="eastAsia" w:ascii="宋体" w:hAnsi="宋体" w:cs="宋体"/>
        </w:rPr>
        <w:t>一次性抚恤。对烈士家属发放一次性抚恤金。1951年主要发放抚恤粮，分为两种：一种是75公斤稻谷加人民币2元；一种是150公斤稻谷加人民币1.5元。1953年8月，改抚恤粮为抚恤金，标准是：战士180元，班长230元，连、排职280元，营职350元，团职450元，师职650元。</w:t>
      </w:r>
    </w:p>
    <w:p w14:paraId="45C9218E">
      <w:pPr>
        <w:ind w:firstLine="420"/>
        <w:rPr>
          <w:rFonts w:ascii="宋体" w:hAnsi="宋体" w:cs="宋体"/>
        </w:rPr>
      </w:pPr>
      <w:r>
        <w:rPr>
          <w:rFonts w:hint="eastAsia" w:ascii="宋体" w:hAnsi="宋体" w:cs="宋体"/>
        </w:rPr>
        <w:t>定期补助。1960年至1982年，县人民政府对生活困难的烈军属、残废军人和年老体弱的复员退伍军人给予定期补助。1960年县补助的标准是：丧失劳动能力、无依无靠的烈军属每人每月4元～5元；人口多劳力少的或劳力长期患病的烈、军属，每人每月补2元～2.5元；长期患病的复员军人每月每人补1.5元。以后随着群众生活水平的提高而不断增加，1961年起人月均补助2.86元，1976年起人月均补助6.13元，1979年起人月均补助6.69元。1961年经济困难时期，对部分优抚对象还实行营养品和粮食的定量照顾。</w:t>
      </w:r>
    </w:p>
    <w:p w14:paraId="0C469901">
      <w:pPr>
        <w:ind w:firstLine="420"/>
        <w:rPr>
          <w:rFonts w:ascii="宋体" w:hAnsi="宋体" w:cs="宋体"/>
        </w:rPr>
      </w:pPr>
      <w:r>
        <w:rPr>
          <w:rFonts w:hint="eastAsia" w:ascii="宋体" w:hAnsi="宋体" w:cs="宋体"/>
        </w:rPr>
        <w:t>定期抚恤。1983年1月，对重点优抚对象改定期补助为定期抚恤，并提高抚恤标准。农村每人每月由15元增加到21元；城镇每人每月由20元增加到28元。从1985年起，凡符合抚恤条件的烈属、因公牺牲的军人家属和病故军人家属，均改定期补助为定期抚恤。全县已抚恤烈士家属115户，因公牺牲的军人家属和病故军人家属24户。原定期补贴每人每月平均13元，改为定期抚恤后，每人每月平均23元。1988年至2004年，先后5次提高抚恤补助标准，抚恤对象1100名，累计发放抚恤金1800多万元。</w:t>
      </w:r>
    </w:p>
    <w:p w14:paraId="0DA8C053">
      <w:pPr>
        <w:pStyle w:val="5"/>
        <w:rPr>
          <w:rFonts w:ascii="宋体" w:hAnsi="宋体" w:cs="宋体"/>
        </w:rPr>
      </w:pPr>
      <w:r>
        <w:rPr>
          <w:rFonts w:hint="eastAsia" w:ascii="宋体" w:hAnsi="宋体" w:cs="宋体"/>
        </w:rPr>
        <w:t>二、群众优待</w:t>
      </w:r>
    </w:p>
    <w:p w14:paraId="3D8B695C">
      <w:pPr>
        <w:ind w:firstLine="420"/>
        <w:rPr>
          <w:rFonts w:ascii="宋体" w:hAnsi="宋体" w:cs="宋体"/>
        </w:rPr>
      </w:pPr>
      <w:r>
        <w:rPr>
          <w:rFonts w:hint="eastAsia" w:ascii="宋体" w:hAnsi="宋体" w:cs="宋体"/>
        </w:rPr>
        <w:t>优待代耕。1950年至1955年，对缺乏劳动力的军属、残废军人、带病回乡的复员军人，由当地政府组织代耕队代耕，并实行“六先”：先送粪、先犁耙、先种、先中耕除草、先收、先打。1950年至1953年，全县组织代耕队400多个，41953人，受代耕的烈属470户，军属1813户，工属（即国家行政工作人员的家属）601户，面积共820.53公顷。</w:t>
      </w:r>
    </w:p>
    <w:p w14:paraId="014FC3A4">
      <w:pPr>
        <w:ind w:firstLine="420"/>
        <w:rPr>
          <w:rFonts w:ascii="宋体" w:hAnsi="宋体" w:cs="宋体"/>
        </w:rPr>
      </w:pPr>
      <w:r>
        <w:rPr>
          <w:rFonts w:hint="eastAsia" w:ascii="宋体" w:hAnsi="宋体" w:cs="宋体"/>
        </w:rPr>
        <w:t>优待劳动日。1956年农业合作化后，对优抚对象主要是优待劳动日（或称劳动工分）。优待方法是以上一年度全队人均工分作为一般收入水平，与烈军属、残废军人全家按正常劳动情况每人平均应得工分相比较，达不到全队平均工分水平的，由生产队优抚小组评议，给予优待劳动日（工分）的数量，经过社员代表会讨论通过，由公社发给优待证，年头评定，年终分配时兑现，多劳动不少补，少劳动不多补。</w:t>
      </w:r>
    </w:p>
    <w:p w14:paraId="2818036E">
      <w:pPr>
        <w:ind w:firstLine="420"/>
        <w:rPr>
          <w:rFonts w:ascii="宋体" w:hAnsi="宋体" w:cs="宋体"/>
        </w:rPr>
      </w:pPr>
      <w:r>
        <w:rPr>
          <w:rFonts w:hint="eastAsia" w:ascii="宋体" w:hAnsi="宋体" w:cs="宋体"/>
        </w:rPr>
        <w:t>普通优待。1981年，农村实行联产承包责任制后，凡是军人家属，原则上一律给予优待。优待标准由社队根据其家庭实际情况和生产队或生产大队每个劳动力全年平均收入水平，优待半个到一个全劳动力一年的收入。1984年至1986年共优待军属2623户，发出优待款340209元，户均129.70元。1987年，乡镇实行统筹烈军属优待金。是年义务兵家属703户，户均优待264.56元；320户烈属，户均优待252.58元。城镇（含圩镇）对非农业人口的义务兵家属实行普遍优待的标准是：义务兵原来有工作的，按本人基本工资额1/2（低于20元按20元发给）由原工作单位发给其家属。凡属待业青年入伍的，由所在城镇街道按每月20元发给其家属。1988年以后以镇为单位统筹军烈属优待金，农村义务兵和军烈属优待金标准各镇不一，每年每户300元～1000元不等。</w:t>
      </w:r>
    </w:p>
    <w:p w14:paraId="455DFF7E">
      <w:pPr>
        <w:pStyle w:val="4"/>
        <w:rPr>
          <w:rFonts w:ascii="宋体" w:hAnsi="宋体" w:cs="宋体"/>
        </w:rPr>
      </w:pPr>
      <w:r>
        <w:rPr>
          <w:rFonts w:hint="eastAsia" w:ascii="宋体" w:hAnsi="宋体" w:cs="宋体"/>
        </w:rPr>
        <w:t>第二节  复退军人安置</w:t>
      </w:r>
    </w:p>
    <w:p w14:paraId="6E26CD3B">
      <w:pPr>
        <w:ind w:firstLine="420"/>
        <w:rPr>
          <w:rFonts w:ascii="宋体" w:hAnsi="宋体" w:cs="宋体"/>
        </w:rPr>
      </w:pPr>
      <w:r>
        <w:rPr>
          <w:rFonts w:hint="eastAsia" w:ascii="宋体" w:hAnsi="宋体" w:cs="宋体"/>
        </w:rPr>
        <w:t>1950年至1987年，全县复员、转业、退伍军人6318人。县政府按照“从哪里来，回哪里去”的安置政策，并根据退伍军人的才能，适当安排就业。安排到国营单位的1558人，安排参加边疆建设的121人，安置回乡务农的4639人。带病回乡的复员军人，有12名分期分批保送到韶关复员军人疗养院治疗，有35名在本县治疗。对安排回乡生产的复员退伍军人，由当地政府支持他劳动致富。至1987年止，重点扶持534名退伍军人摆脱贫困，其中25人走向富裕，107人收入高于当地平均水平，402人收入相当于当地平均水平。</w:t>
      </w:r>
    </w:p>
    <w:p w14:paraId="38CE0D65">
      <w:pPr>
        <w:ind w:firstLine="420"/>
        <w:rPr>
          <w:rFonts w:ascii="宋体" w:hAnsi="宋体" w:cs="宋体"/>
        </w:rPr>
      </w:pPr>
      <w:r>
        <w:rPr>
          <w:rFonts w:hint="eastAsia" w:ascii="宋体" w:hAnsi="宋体" w:cs="宋体"/>
        </w:rPr>
        <w:t>1988年至2004年，全市退伍义务兵共5056名，根据安置政策，农村退伍义务兵一律回乡务农，非农义务兵和志愿兵由有关部门适当安排就业。</w:t>
      </w:r>
    </w:p>
    <w:p w14:paraId="40CE0F00">
      <w:pPr>
        <w:pStyle w:val="4"/>
        <w:rPr>
          <w:rFonts w:ascii="宋体" w:hAnsi="宋体" w:cs="宋体"/>
        </w:rPr>
      </w:pPr>
      <w:r>
        <w:rPr>
          <w:rFonts w:hint="eastAsia" w:ascii="宋体" w:hAnsi="宋体" w:cs="宋体"/>
        </w:rPr>
        <w:t>第三节  老区建设</w:t>
      </w:r>
    </w:p>
    <w:p w14:paraId="14C39991">
      <w:pPr>
        <w:pStyle w:val="5"/>
        <w:rPr>
          <w:rFonts w:ascii="宋体" w:hAnsi="宋体" w:cs="宋体"/>
        </w:rPr>
      </w:pPr>
      <w:r>
        <w:rPr>
          <w:rFonts w:hint="eastAsia" w:ascii="宋体" w:hAnsi="宋体" w:cs="宋体"/>
        </w:rPr>
        <w:t>一、老区分布</w:t>
      </w:r>
    </w:p>
    <w:p w14:paraId="2AD05473">
      <w:pPr>
        <w:ind w:firstLine="420"/>
        <w:rPr>
          <w:rFonts w:ascii="宋体" w:hAnsi="宋体" w:cs="宋体"/>
        </w:rPr>
      </w:pPr>
      <w:r>
        <w:rPr>
          <w:rFonts w:hint="eastAsia" w:ascii="宋体" w:hAnsi="宋体" w:cs="宋体"/>
        </w:rPr>
        <w:t>至2004年，先后多次调查核实并经广东省和韶关市人民政府批准，南雄革命老区分布在17个镇168个行政村，1350个自然村。其中属第二次国内革命战争时期的老区有390个自然村，抗日战争时期的老区有77个自然村，解放战争时期的老区有883个自然村，均已列入1997年省民政厅编印的《广东省革命老区村庄名册》，兹摘列如表6-16：</w:t>
      </w:r>
    </w:p>
    <w:p w14:paraId="262A4EB7">
      <w:pPr>
        <w:ind w:firstLine="422"/>
        <w:jc w:val="center"/>
        <w:rPr>
          <w:rFonts w:ascii="宋体" w:hAnsi="宋体" w:cs="宋体"/>
          <w:b/>
          <w:bCs/>
        </w:rPr>
      </w:pPr>
      <w:r>
        <w:rPr>
          <w:rFonts w:hint="eastAsia" w:ascii="宋体" w:hAnsi="宋体" w:cs="宋体"/>
          <w:b/>
          <w:bCs/>
        </w:rPr>
        <w:t>南雄市革命老区分布一览</w:t>
      </w:r>
    </w:p>
    <w:p w14:paraId="154279F5">
      <w:pPr>
        <w:ind w:firstLine="0" w:firstLineChars="0"/>
        <w:rPr>
          <w:rFonts w:ascii="宋体" w:hAnsi="宋体" w:cs="宋体"/>
          <w:b/>
          <w:bCs/>
        </w:rPr>
      </w:pPr>
      <w:r>
        <w:rPr>
          <w:rFonts w:hint="eastAsia" w:ascii="宋体" w:hAnsi="宋体" w:cs="宋体"/>
          <w:b/>
          <w:bCs/>
        </w:rPr>
        <w:t>表6-16</w:t>
      </w:r>
    </w:p>
    <w:p w14:paraId="096F7F15">
      <w:pPr>
        <w:ind w:firstLine="422"/>
        <w:jc w:val="right"/>
        <w:rPr>
          <w:rFonts w:ascii="宋体" w:hAnsi="宋体" w:cs="宋体"/>
          <w:b/>
          <w:bCs/>
        </w:rPr>
      </w:pPr>
      <w:r>
        <w:rPr>
          <w:rFonts w:hint="eastAsia" w:ascii="宋体" w:hAnsi="宋体" w:cs="宋体"/>
          <w:b/>
          <w:bCs/>
        </w:rPr>
        <w:t>单位：个</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59"/>
        <w:gridCol w:w="1659"/>
        <w:gridCol w:w="1662"/>
        <w:gridCol w:w="1662"/>
        <w:gridCol w:w="1662"/>
        <w:gridCol w:w="1658"/>
      </w:tblGrid>
      <w:tr w14:paraId="441F0F4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Merge w:val="restart"/>
            <w:vAlign w:val="center"/>
          </w:tcPr>
          <w:p w14:paraId="35900FD4">
            <w:pPr>
              <w:pStyle w:val="12"/>
              <w:jc w:val="center"/>
              <w:rPr>
                <w:b/>
              </w:rPr>
            </w:pPr>
            <w:r>
              <w:rPr>
                <w:rFonts w:hint="eastAsia"/>
                <w:b/>
              </w:rPr>
              <w:t>镇别</w:t>
            </w:r>
          </w:p>
        </w:tc>
        <w:tc>
          <w:tcPr>
            <w:tcW w:w="833" w:type="pct"/>
            <w:vMerge w:val="restart"/>
            <w:vAlign w:val="center"/>
          </w:tcPr>
          <w:p w14:paraId="644E468C">
            <w:pPr>
              <w:pStyle w:val="12"/>
              <w:jc w:val="center"/>
              <w:rPr>
                <w:b/>
              </w:rPr>
            </w:pPr>
            <w:r>
              <w:rPr>
                <w:rFonts w:hint="eastAsia"/>
                <w:b/>
              </w:rPr>
              <w:t>革命老区行政村数</w:t>
            </w:r>
          </w:p>
        </w:tc>
        <w:tc>
          <w:tcPr>
            <w:tcW w:w="834" w:type="pct"/>
            <w:vMerge w:val="restart"/>
            <w:vAlign w:val="center"/>
          </w:tcPr>
          <w:p w14:paraId="1EA7096F">
            <w:pPr>
              <w:pStyle w:val="12"/>
              <w:jc w:val="center"/>
              <w:rPr>
                <w:b/>
              </w:rPr>
            </w:pPr>
            <w:r>
              <w:rPr>
                <w:rFonts w:hint="eastAsia"/>
                <w:b/>
              </w:rPr>
              <w:t>革命老区自然村数</w:t>
            </w:r>
          </w:p>
        </w:tc>
        <w:tc>
          <w:tcPr>
            <w:tcW w:w="2501" w:type="pct"/>
            <w:gridSpan w:val="3"/>
            <w:vAlign w:val="center"/>
          </w:tcPr>
          <w:p w14:paraId="5244B8B6">
            <w:pPr>
              <w:pStyle w:val="12"/>
              <w:jc w:val="center"/>
              <w:rPr>
                <w:b/>
              </w:rPr>
            </w:pPr>
            <w:r>
              <w:rPr>
                <w:rFonts w:hint="eastAsia"/>
                <w:b/>
              </w:rPr>
              <w:t>老区类别</w:t>
            </w:r>
          </w:p>
        </w:tc>
      </w:tr>
      <w:tr w14:paraId="560349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Merge w:val="continue"/>
            <w:vAlign w:val="center"/>
          </w:tcPr>
          <w:p w14:paraId="627AC91E">
            <w:pPr>
              <w:pStyle w:val="12"/>
              <w:jc w:val="center"/>
              <w:rPr>
                <w:b/>
              </w:rPr>
            </w:pPr>
          </w:p>
        </w:tc>
        <w:tc>
          <w:tcPr>
            <w:tcW w:w="833" w:type="pct"/>
            <w:vMerge w:val="continue"/>
            <w:vAlign w:val="center"/>
          </w:tcPr>
          <w:p w14:paraId="26DD464D">
            <w:pPr>
              <w:pStyle w:val="12"/>
              <w:jc w:val="center"/>
              <w:rPr>
                <w:b/>
              </w:rPr>
            </w:pPr>
          </w:p>
        </w:tc>
        <w:tc>
          <w:tcPr>
            <w:tcW w:w="834" w:type="pct"/>
            <w:vMerge w:val="continue"/>
            <w:vAlign w:val="center"/>
          </w:tcPr>
          <w:p w14:paraId="3CCA85D3">
            <w:pPr>
              <w:pStyle w:val="12"/>
              <w:jc w:val="center"/>
              <w:rPr>
                <w:b/>
              </w:rPr>
            </w:pPr>
          </w:p>
        </w:tc>
        <w:tc>
          <w:tcPr>
            <w:tcW w:w="834" w:type="pct"/>
            <w:vAlign w:val="center"/>
          </w:tcPr>
          <w:p w14:paraId="7DE338CB">
            <w:pPr>
              <w:pStyle w:val="12"/>
              <w:jc w:val="center"/>
              <w:rPr>
                <w:b/>
              </w:rPr>
            </w:pPr>
            <w:r>
              <w:rPr>
                <w:rFonts w:hint="eastAsia"/>
                <w:b/>
              </w:rPr>
              <w:t>第二次国内革命战争时期</w:t>
            </w:r>
          </w:p>
        </w:tc>
        <w:tc>
          <w:tcPr>
            <w:tcW w:w="834" w:type="pct"/>
            <w:vAlign w:val="center"/>
          </w:tcPr>
          <w:p w14:paraId="34F053D8">
            <w:pPr>
              <w:pStyle w:val="12"/>
              <w:jc w:val="center"/>
              <w:rPr>
                <w:b/>
              </w:rPr>
            </w:pPr>
            <w:r>
              <w:rPr>
                <w:rFonts w:hint="eastAsia"/>
                <w:b/>
              </w:rPr>
              <w:t>抗日战争时期</w:t>
            </w:r>
          </w:p>
        </w:tc>
        <w:tc>
          <w:tcPr>
            <w:tcW w:w="834" w:type="pct"/>
            <w:vAlign w:val="center"/>
          </w:tcPr>
          <w:p w14:paraId="2A955B2A">
            <w:pPr>
              <w:pStyle w:val="12"/>
              <w:jc w:val="center"/>
              <w:rPr>
                <w:b/>
              </w:rPr>
            </w:pPr>
            <w:r>
              <w:rPr>
                <w:rFonts w:hint="eastAsia"/>
                <w:b/>
              </w:rPr>
              <w:t>解放战争时期</w:t>
            </w:r>
          </w:p>
        </w:tc>
      </w:tr>
      <w:tr w14:paraId="644AB3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253F9266">
            <w:pPr>
              <w:pStyle w:val="12"/>
              <w:jc w:val="center"/>
            </w:pPr>
            <w:r>
              <w:rPr>
                <w:rFonts w:hint="eastAsia"/>
              </w:rPr>
              <w:t>油山</w:t>
            </w:r>
          </w:p>
        </w:tc>
        <w:tc>
          <w:tcPr>
            <w:tcW w:w="833" w:type="pct"/>
            <w:vAlign w:val="center"/>
          </w:tcPr>
          <w:p w14:paraId="766AB6DD">
            <w:pPr>
              <w:pStyle w:val="12"/>
              <w:jc w:val="center"/>
            </w:pPr>
            <w:r>
              <w:rPr>
                <w:rFonts w:hint="eastAsia"/>
              </w:rPr>
              <w:t>18</w:t>
            </w:r>
          </w:p>
        </w:tc>
        <w:tc>
          <w:tcPr>
            <w:tcW w:w="834" w:type="pct"/>
            <w:vAlign w:val="center"/>
          </w:tcPr>
          <w:p w14:paraId="65F72213">
            <w:pPr>
              <w:pStyle w:val="12"/>
              <w:jc w:val="center"/>
            </w:pPr>
            <w:r>
              <w:rPr>
                <w:rFonts w:hint="eastAsia"/>
              </w:rPr>
              <w:t>120</w:t>
            </w:r>
          </w:p>
        </w:tc>
        <w:tc>
          <w:tcPr>
            <w:tcW w:w="834" w:type="pct"/>
            <w:vAlign w:val="center"/>
          </w:tcPr>
          <w:p w14:paraId="08EA042A">
            <w:pPr>
              <w:pStyle w:val="12"/>
              <w:jc w:val="center"/>
            </w:pPr>
            <w:r>
              <w:rPr>
                <w:rFonts w:hint="eastAsia"/>
              </w:rPr>
              <w:t>114</w:t>
            </w:r>
          </w:p>
        </w:tc>
        <w:tc>
          <w:tcPr>
            <w:tcW w:w="834" w:type="pct"/>
            <w:vAlign w:val="center"/>
          </w:tcPr>
          <w:p w14:paraId="0CA3869B">
            <w:pPr>
              <w:pStyle w:val="12"/>
              <w:jc w:val="center"/>
            </w:pPr>
            <w:r>
              <w:rPr>
                <w:rFonts w:hint="eastAsia"/>
              </w:rPr>
              <w:t>0</w:t>
            </w:r>
          </w:p>
        </w:tc>
        <w:tc>
          <w:tcPr>
            <w:tcW w:w="834" w:type="pct"/>
            <w:vAlign w:val="center"/>
          </w:tcPr>
          <w:p w14:paraId="13F574FD">
            <w:pPr>
              <w:pStyle w:val="12"/>
              <w:jc w:val="center"/>
            </w:pPr>
            <w:r>
              <w:rPr>
                <w:rFonts w:hint="eastAsia"/>
              </w:rPr>
              <w:t>6</w:t>
            </w:r>
          </w:p>
        </w:tc>
      </w:tr>
      <w:tr w14:paraId="4C91CE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22FDB387">
            <w:pPr>
              <w:pStyle w:val="12"/>
              <w:jc w:val="center"/>
            </w:pPr>
            <w:r>
              <w:rPr>
                <w:rFonts w:hint="eastAsia"/>
              </w:rPr>
              <w:t>乌迳</w:t>
            </w:r>
          </w:p>
        </w:tc>
        <w:tc>
          <w:tcPr>
            <w:tcW w:w="833" w:type="pct"/>
            <w:vAlign w:val="center"/>
          </w:tcPr>
          <w:p w14:paraId="5C94FDB7">
            <w:pPr>
              <w:pStyle w:val="12"/>
              <w:jc w:val="center"/>
            </w:pPr>
            <w:r>
              <w:rPr>
                <w:rFonts w:hint="eastAsia"/>
              </w:rPr>
              <w:t>20</w:t>
            </w:r>
          </w:p>
        </w:tc>
        <w:tc>
          <w:tcPr>
            <w:tcW w:w="834" w:type="pct"/>
            <w:vAlign w:val="center"/>
          </w:tcPr>
          <w:p w14:paraId="3A794FB8">
            <w:pPr>
              <w:pStyle w:val="12"/>
              <w:jc w:val="center"/>
            </w:pPr>
            <w:r>
              <w:rPr>
                <w:rFonts w:hint="eastAsia"/>
              </w:rPr>
              <w:t>147</w:t>
            </w:r>
          </w:p>
        </w:tc>
        <w:tc>
          <w:tcPr>
            <w:tcW w:w="834" w:type="pct"/>
            <w:vAlign w:val="center"/>
          </w:tcPr>
          <w:p w14:paraId="54929ADB">
            <w:pPr>
              <w:pStyle w:val="12"/>
              <w:jc w:val="center"/>
            </w:pPr>
            <w:r>
              <w:rPr>
                <w:rFonts w:hint="eastAsia"/>
              </w:rPr>
              <w:t>48</w:t>
            </w:r>
          </w:p>
        </w:tc>
        <w:tc>
          <w:tcPr>
            <w:tcW w:w="834" w:type="pct"/>
            <w:vAlign w:val="center"/>
          </w:tcPr>
          <w:p w14:paraId="3D268B34">
            <w:pPr>
              <w:pStyle w:val="12"/>
              <w:jc w:val="center"/>
            </w:pPr>
            <w:r>
              <w:rPr>
                <w:rFonts w:hint="eastAsia"/>
              </w:rPr>
              <w:t>15</w:t>
            </w:r>
          </w:p>
        </w:tc>
        <w:tc>
          <w:tcPr>
            <w:tcW w:w="834" w:type="pct"/>
            <w:vAlign w:val="center"/>
          </w:tcPr>
          <w:p w14:paraId="7999B69D">
            <w:pPr>
              <w:pStyle w:val="12"/>
              <w:jc w:val="center"/>
            </w:pPr>
            <w:r>
              <w:rPr>
                <w:rFonts w:hint="eastAsia"/>
              </w:rPr>
              <w:t>84</w:t>
            </w:r>
          </w:p>
        </w:tc>
      </w:tr>
      <w:tr w14:paraId="356364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242C5E99">
            <w:pPr>
              <w:pStyle w:val="12"/>
              <w:jc w:val="center"/>
            </w:pPr>
            <w:r>
              <w:rPr>
                <w:rFonts w:hint="eastAsia"/>
              </w:rPr>
              <w:t>坪田</w:t>
            </w:r>
          </w:p>
        </w:tc>
        <w:tc>
          <w:tcPr>
            <w:tcW w:w="833" w:type="pct"/>
            <w:vAlign w:val="center"/>
          </w:tcPr>
          <w:p w14:paraId="1256A555">
            <w:pPr>
              <w:pStyle w:val="12"/>
              <w:jc w:val="center"/>
            </w:pPr>
            <w:r>
              <w:rPr>
                <w:rFonts w:hint="eastAsia"/>
              </w:rPr>
              <w:t>13</w:t>
            </w:r>
          </w:p>
        </w:tc>
        <w:tc>
          <w:tcPr>
            <w:tcW w:w="834" w:type="pct"/>
            <w:vAlign w:val="center"/>
          </w:tcPr>
          <w:p w14:paraId="6CC53816">
            <w:pPr>
              <w:pStyle w:val="12"/>
              <w:jc w:val="center"/>
            </w:pPr>
            <w:r>
              <w:rPr>
                <w:rFonts w:hint="eastAsia"/>
              </w:rPr>
              <w:t>108</w:t>
            </w:r>
          </w:p>
        </w:tc>
        <w:tc>
          <w:tcPr>
            <w:tcW w:w="834" w:type="pct"/>
            <w:vAlign w:val="center"/>
          </w:tcPr>
          <w:p w14:paraId="1516E267">
            <w:pPr>
              <w:pStyle w:val="12"/>
              <w:jc w:val="center"/>
            </w:pPr>
            <w:r>
              <w:rPr>
                <w:rFonts w:hint="eastAsia"/>
              </w:rPr>
              <w:t>65</w:t>
            </w:r>
          </w:p>
        </w:tc>
        <w:tc>
          <w:tcPr>
            <w:tcW w:w="834" w:type="pct"/>
            <w:vAlign w:val="center"/>
          </w:tcPr>
          <w:p w14:paraId="0119F6E9">
            <w:pPr>
              <w:pStyle w:val="12"/>
              <w:jc w:val="center"/>
            </w:pPr>
            <w:r>
              <w:rPr>
                <w:rFonts w:hint="eastAsia"/>
              </w:rPr>
              <w:t>5</w:t>
            </w:r>
          </w:p>
        </w:tc>
        <w:tc>
          <w:tcPr>
            <w:tcW w:w="834" w:type="pct"/>
            <w:vAlign w:val="center"/>
          </w:tcPr>
          <w:p w14:paraId="11279E2E">
            <w:pPr>
              <w:pStyle w:val="12"/>
              <w:jc w:val="center"/>
            </w:pPr>
            <w:r>
              <w:rPr>
                <w:rFonts w:hint="eastAsia"/>
              </w:rPr>
              <w:t>38</w:t>
            </w:r>
          </w:p>
        </w:tc>
      </w:tr>
      <w:tr w14:paraId="36894D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339CF580">
            <w:pPr>
              <w:pStyle w:val="12"/>
              <w:jc w:val="center"/>
            </w:pPr>
            <w:r>
              <w:rPr>
                <w:rFonts w:hint="eastAsia"/>
              </w:rPr>
              <w:t>界址</w:t>
            </w:r>
          </w:p>
        </w:tc>
        <w:tc>
          <w:tcPr>
            <w:tcW w:w="833" w:type="pct"/>
            <w:vAlign w:val="center"/>
          </w:tcPr>
          <w:p w14:paraId="7B56323F">
            <w:pPr>
              <w:pStyle w:val="12"/>
              <w:jc w:val="center"/>
            </w:pPr>
            <w:r>
              <w:rPr>
                <w:rFonts w:hint="eastAsia"/>
              </w:rPr>
              <w:t>8</w:t>
            </w:r>
          </w:p>
        </w:tc>
        <w:tc>
          <w:tcPr>
            <w:tcW w:w="834" w:type="pct"/>
            <w:vAlign w:val="center"/>
          </w:tcPr>
          <w:p w14:paraId="1E441CDF">
            <w:pPr>
              <w:pStyle w:val="12"/>
              <w:jc w:val="center"/>
            </w:pPr>
            <w:r>
              <w:rPr>
                <w:rFonts w:hint="eastAsia"/>
              </w:rPr>
              <w:t>66</w:t>
            </w:r>
          </w:p>
        </w:tc>
        <w:tc>
          <w:tcPr>
            <w:tcW w:w="834" w:type="pct"/>
            <w:vAlign w:val="center"/>
          </w:tcPr>
          <w:p w14:paraId="28B9E9E2">
            <w:pPr>
              <w:pStyle w:val="12"/>
              <w:jc w:val="center"/>
            </w:pPr>
            <w:r>
              <w:rPr>
                <w:rFonts w:hint="eastAsia"/>
              </w:rPr>
              <w:t>2</w:t>
            </w:r>
          </w:p>
        </w:tc>
        <w:tc>
          <w:tcPr>
            <w:tcW w:w="834" w:type="pct"/>
            <w:vAlign w:val="center"/>
          </w:tcPr>
          <w:p w14:paraId="752C17DA">
            <w:pPr>
              <w:pStyle w:val="12"/>
              <w:jc w:val="center"/>
            </w:pPr>
            <w:r>
              <w:rPr>
                <w:rFonts w:hint="eastAsia"/>
              </w:rPr>
              <w:t>0</w:t>
            </w:r>
          </w:p>
        </w:tc>
        <w:tc>
          <w:tcPr>
            <w:tcW w:w="834" w:type="pct"/>
            <w:vAlign w:val="center"/>
          </w:tcPr>
          <w:p w14:paraId="51319280">
            <w:pPr>
              <w:pStyle w:val="12"/>
              <w:jc w:val="center"/>
            </w:pPr>
            <w:r>
              <w:rPr>
                <w:rFonts w:hint="eastAsia"/>
              </w:rPr>
              <w:t>64</w:t>
            </w:r>
          </w:p>
        </w:tc>
      </w:tr>
      <w:tr w14:paraId="0EC053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37118996">
            <w:pPr>
              <w:pStyle w:val="12"/>
              <w:jc w:val="center"/>
            </w:pPr>
            <w:r>
              <w:rPr>
                <w:rFonts w:hint="eastAsia"/>
              </w:rPr>
              <w:t>黄坑</w:t>
            </w:r>
          </w:p>
        </w:tc>
        <w:tc>
          <w:tcPr>
            <w:tcW w:w="833" w:type="pct"/>
            <w:vAlign w:val="center"/>
          </w:tcPr>
          <w:p w14:paraId="2F47A0E6">
            <w:pPr>
              <w:pStyle w:val="12"/>
              <w:jc w:val="center"/>
            </w:pPr>
            <w:r>
              <w:rPr>
                <w:rFonts w:hint="eastAsia"/>
              </w:rPr>
              <w:t>12</w:t>
            </w:r>
          </w:p>
        </w:tc>
        <w:tc>
          <w:tcPr>
            <w:tcW w:w="834" w:type="pct"/>
            <w:vAlign w:val="center"/>
          </w:tcPr>
          <w:p w14:paraId="2FDA54AF">
            <w:pPr>
              <w:pStyle w:val="12"/>
              <w:jc w:val="center"/>
            </w:pPr>
            <w:r>
              <w:rPr>
                <w:rFonts w:hint="eastAsia"/>
              </w:rPr>
              <w:t>55</w:t>
            </w:r>
          </w:p>
        </w:tc>
        <w:tc>
          <w:tcPr>
            <w:tcW w:w="834" w:type="pct"/>
            <w:vAlign w:val="center"/>
          </w:tcPr>
          <w:p w14:paraId="127007CD">
            <w:pPr>
              <w:pStyle w:val="12"/>
              <w:jc w:val="center"/>
            </w:pPr>
            <w:r>
              <w:rPr>
                <w:rFonts w:hint="eastAsia"/>
              </w:rPr>
              <w:t>3</w:t>
            </w:r>
          </w:p>
        </w:tc>
        <w:tc>
          <w:tcPr>
            <w:tcW w:w="834" w:type="pct"/>
            <w:vAlign w:val="center"/>
          </w:tcPr>
          <w:p w14:paraId="66A49285">
            <w:pPr>
              <w:pStyle w:val="12"/>
              <w:jc w:val="center"/>
            </w:pPr>
            <w:r>
              <w:rPr>
                <w:rFonts w:hint="eastAsia"/>
              </w:rPr>
              <w:t>1</w:t>
            </w:r>
          </w:p>
        </w:tc>
        <w:tc>
          <w:tcPr>
            <w:tcW w:w="834" w:type="pct"/>
            <w:vAlign w:val="center"/>
          </w:tcPr>
          <w:p w14:paraId="52FF6D98">
            <w:pPr>
              <w:pStyle w:val="12"/>
              <w:jc w:val="center"/>
            </w:pPr>
            <w:r>
              <w:rPr>
                <w:rFonts w:hint="eastAsia"/>
              </w:rPr>
              <w:t>51</w:t>
            </w:r>
          </w:p>
        </w:tc>
      </w:tr>
      <w:tr w14:paraId="32C81F1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7F183AEF">
            <w:pPr>
              <w:pStyle w:val="12"/>
              <w:jc w:val="center"/>
            </w:pPr>
            <w:r>
              <w:rPr>
                <w:rFonts w:hint="eastAsia"/>
              </w:rPr>
              <w:t>南亩</w:t>
            </w:r>
          </w:p>
        </w:tc>
        <w:tc>
          <w:tcPr>
            <w:tcW w:w="833" w:type="pct"/>
            <w:vAlign w:val="center"/>
          </w:tcPr>
          <w:p w14:paraId="58B7663B">
            <w:pPr>
              <w:pStyle w:val="12"/>
              <w:jc w:val="center"/>
            </w:pPr>
            <w:r>
              <w:rPr>
                <w:rFonts w:hint="eastAsia"/>
              </w:rPr>
              <w:t>6</w:t>
            </w:r>
          </w:p>
        </w:tc>
        <w:tc>
          <w:tcPr>
            <w:tcW w:w="834" w:type="pct"/>
            <w:vAlign w:val="center"/>
          </w:tcPr>
          <w:p w14:paraId="4BF6ABD6">
            <w:pPr>
              <w:pStyle w:val="12"/>
              <w:jc w:val="center"/>
            </w:pPr>
            <w:r>
              <w:rPr>
                <w:rFonts w:hint="eastAsia"/>
              </w:rPr>
              <w:t>51</w:t>
            </w:r>
          </w:p>
        </w:tc>
        <w:tc>
          <w:tcPr>
            <w:tcW w:w="834" w:type="pct"/>
            <w:vAlign w:val="center"/>
          </w:tcPr>
          <w:p w14:paraId="68AAF58C">
            <w:pPr>
              <w:pStyle w:val="12"/>
              <w:jc w:val="center"/>
            </w:pPr>
            <w:r>
              <w:rPr>
                <w:rFonts w:hint="eastAsia"/>
              </w:rPr>
              <w:t>0</w:t>
            </w:r>
          </w:p>
        </w:tc>
        <w:tc>
          <w:tcPr>
            <w:tcW w:w="834" w:type="pct"/>
            <w:vAlign w:val="center"/>
          </w:tcPr>
          <w:p w14:paraId="7839049D">
            <w:pPr>
              <w:pStyle w:val="12"/>
              <w:jc w:val="center"/>
            </w:pPr>
            <w:r>
              <w:rPr>
                <w:rFonts w:hint="eastAsia"/>
              </w:rPr>
              <w:t>0</w:t>
            </w:r>
          </w:p>
        </w:tc>
        <w:tc>
          <w:tcPr>
            <w:tcW w:w="834" w:type="pct"/>
            <w:vAlign w:val="center"/>
          </w:tcPr>
          <w:p w14:paraId="1E3372A8">
            <w:pPr>
              <w:pStyle w:val="12"/>
              <w:jc w:val="center"/>
            </w:pPr>
            <w:r>
              <w:rPr>
                <w:rFonts w:hint="eastAsia"/>
              </w:rPr>
              <w:t>51</w:t>
            </w:r>
          </w:p>
        </w:tc>
      </w:tr>
      <w:tr w14:paraId="2A04BC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7144B35D">
            <w:pPr>
              <w:pStyle w:val="12"/>
              <w:jc w:val="center"/>
            </w:pPr>
            <w:r>
              <w:rPr>
                <w:rFonts w:hint="eastAsia"/>
              </w:rPr>
              <w:t>水口</w:t>
            </w:r>
          </w:p>
        </w:tc>
        <w:tc>
          <w:tcPr>
            <w:tcW w:w="833" w:type="pct"/>
            <w:vAlign w:val="center"/>
          </w:tcPr>
          <w:p w14:paraId="52AD80AD">
            <w:pPr>
              <w:pStyle w:val="12"/>
              <w:jc w:val="center"/>
            </w:pPr>
            <w:r>
              <w:rPr>
                <w:rFonts w:hint="eastAsia"/>
              </w:rPr>
              <w:t>7</w:t>
            </w:r>
          </w:p>
        </w:tc>
        <w:tc>
          <w:tcPr>
            <w:tcW w:w="834" w:type="pct"/>
            <w:vAlign w:val="center"/>
          </w:tcPr>
          <w:p w14:paraId="05745347">
            <w:pPr>
              <w:pStyle w:val="12"/>
              <w:jc w:val="center"/>
            </w:pPr>
            <w:r>
              <w:rPr>
                <w:rFonts w:hint="eastAsia"/>
              </w:rPr>
              <w:t>70</w:t>
            </w:r>
          </w:p>
        </w:tc>
        <w:tc>
          <w:tcPr>
            <w:tcW w:w="834" w:type="pct"/>
            <w:vAlign w:val="center"/>
          </w:tcPr>
          <w:p w14:paraId="651A4809">
            <w:pPr>
              <w:pStyle w:val="12"/>
              <w:jc w:val="center"/>
            </w:pPr>
            <w:r>
              <w:rPr>
                <w:rFonts w:hint="eastAsia"/>
              </w:rPr>
              <w:t>9</w:t>
            </w:r>
          </w:p>
        </w:tc>
        <w:tc>
          <w:tcPr>
            <w:tcW w:w="834" w:type="pct"/>
            <w:vAlign w:val="center"/>
          </w:tcPr>
          <w:p w14:paraId="64279B2A">
            <w:pPr>
              <w:pStyle w:val="12"/>
              <w:jc w:val="center"/>
            </w:pPr>
            <w:r>
              <w:rPr>
                <w:rFonts w:hint="eastAsia"/>
              </w:rPr>
              <w:t>0</w:t>
            </w:r>
          </w:p>
        </w:tc>
        <w:tc>
          <w:tcPr>
            <w:tcW w:w="834" w:type="pct"/>
            <w:vAlign w:val="center"/>
          </w:tcPr>
          <w:p w14:paraId="77A99BE3">
            <w:pPr>
              <w:pStyle w:val="12"/>
              <w:jc w:val="center"/>
            </w:pPr>
            <w:r>
              <w:rPr>
                <w:rFonts w:hint="eastAsia"/>
              </w:rPr>
              <w:t>61</w:t>
            </w:r>
          </w:p>
        </w:tc>
      </w:tr>
      <w:tr w14:paraId="45F5BE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7C738714">
            <w:pPr>
              <w:pStyle w:val="12"/>
              <w:jc w:val="center"/>
            </w:pPr>
            <w:r>
              <w:rPr>
                <w:rFonts w:hint="eastAsia"/>
              </w:rPr>
              <w:t>邓坊</w:t>
            </w:r>
          </w:p>
        </w:tc>
        <w:tc>
          <w:tcPr>
            <w:tcW w:w="833" w:type="pct"/>
            <w:vAlign w:val="center"/>
          </w:tcPr>
          <w:p w14:paraId="206C1EF3">
            <w:pPr>
              <w:pStyle w:val="12"/>
              <w:jc w:val="center"/>
            </w:pPr>
            <w:r>
              <w:rPr>
                <w:rFonts w:hint="eastAsia"/>
              </w:rPr>
              <w:t>8</w:t>
            </w:r>
          </w:p>
        </w:tc>
        <w:tc>
          <w:tcPr>
            <w:tcW w:w="834" w:type="pct"/>
            <w:vAlign w:val="center"/>
          </w:tcPr>
          <w:p w14:paraId="5C97FB24">
            <w:pPr>
              <w:pStyle w:val="12"/>
              <w:jc w:val="center"/>
            </w:pPr>
            <w:r>
              <w:rPr>
                <w:rFonts w:hint="eastAsia"/>
              </w:rPr>
              <w:t>50</w:t>
            </w:r>
          </w:p>
        </w:tc>
        <w:tc>
          <w:tcPr>
            <w:tcW w:w="834" w:type="pct"/>
            <w:vAlign w:val="center"/>
          </w:tcPr>
          <w:p w14:paraId="799B891C">
            <w:pPr>
              <w:pStyle w:val="12"/>
              <w:jc w:val="center"/>
            </w:pPr>
            <w:r>
              <w:rPr>
                <w:rFonts w:hint="eastAsia"/>
              </w:rPr>
              <w:t>18</w:t>
            </w:r>
          </w:p>
        </w:tc>
        <w:tc>
          <w:tcPr>
            <w:tcW w:w="834" w:type="pct"/>
            <w:vAlign w:val="center"/>
          </w:tcPr>
          <w:p w14:paraId="1491C6B6">
            <w:pPr>
              <w:pStyle w:val="12"/>
              <w:jc w:val="center"/>
            </w:pPr>
            <w:r>
              <w:rPr>
                <w:rFonts w:hint="eastAsia"/>
              </w:rPr>
              <w:t>0</w:t>
            </w:r>
          </w:p>
        </w:tc>
        <w:tc>
          <w:tcPr>
            <w:tcW w:w="834" w:type="pct"/>
            <w:vAlign w:val="center"/>
          </w:tcPr>
          <w:p w14:paraId="2024A363">
            <w:pPr>
              <w:pStyle w:val="12"/>
              <w:jc w:val="center"/>
            </w:pPr>
            <w:r>
              <w:rPr>
                <w:rFonts w:hint="eastAsia"/>
              </w:rPr>
              <w:t>32</w:t>
            </w:r>
          </w:p>
        </w:tc>
      </w:tr>
      <w:tr w14:paraId="787064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12B0B4B3">
            <w:pPr>
              <w:pStyle w:val="12"/>
              <w:jc w:val="center"/>
            </w:pPr>
            <w:r>
              <w:rPr>
                <w:rFonts w:hint="eastAsia"/>
              </w:rPr>
              <w:t>珠玑</w:t>
            </w:r>
          </w:p>
        </w:tc>
        <w:tc>
          <w:tcPr>
            <w:tcW w:w="833" w:type="pct"/>
            <w:vAlign w:val="center"/>
          </w:tcPr>
          <w:p w14:paraId="6457CA16">
            <w:pPr>
              <w:pStyle w:val="12"/>
              <w:jc w:val="center"/>
            </w:pPr>
            <w:r>
              <w:rPr>
                <w:rFonts w:hint="eastAsia"/>
              </w:rPr>
              <w:t>18</w:t>
            </w:r>
          </w:p>
        </w:tc>
        <w:tc>
          <w:tcPr>
            <w:tcW w:w="834" w:type="pct"/>
            <w:vAlign w:val="center"/>
          </w:tcPr>
          <w:p w14:paraId="3D4636A6">
            <w:pPr>
              <w:pStyle w:val="12"/>
              <w:jc w:val="center"/>
            </w:pPr>
            <w:r>
              <w:rPr>
                <w:rFonts w:hint="eastAsia"/>
              </w:rPr>
              <w:t>126</w:t>
            </w:r>
          </w:p>
        </w:tc>
        <w:tc>
          <w:tcPr>
            <w:tcW w:w="834" w:type="pct"/>
            <w:vAlign w:val="center"/>
          </w:tcPr>
          <w:p w14:paraId="57F1D8A2">
            <w:pPr>
              <w:pStyle w:val="12"/>
              <w:jc w:val="center"/>
            </w:pPr>
            <w:r>
              <w:rPr>
                <w:rFonts w:hint="eastAsia"/>
              </w:rPr>
              <w:t>51</w:t>
            </w:r>
          </w:p>
        </w:tc>
        <w:tc>
          <w:tcPr>
            <w:tcW w:w="834" w:type="pct"/>
            <w:vAlign w:val="center"/>
          </w:tcPr>
          <w:p w14:paraId="293B7DAC">
            <w:pPr>
              <w:pStyle w:val="12"/>
              <w:jc w:val="center"/>
            </w:pPr>
            <w:r>
              <w:rPr>
                <w:rFonts w:hint="eastAsia"/>
              </w:rPr>
              <w:t>26</w:t>
            </w:r>
          </w:p>
        </w:tc>
        <w:tc>
          <w:tcPr>
            <w:tcW w:w="834" w:type="pct"/>
            <w:vAlign w:val="center"/>
          </w:tcPr>
          <w:p w14:paraId="4693B48C">
            <w:pPr>
              <w:pStyle w:val="12"/>
              <w:jc w:val="center"/>
            </w:pPr>
            <w:r>
              <w:rPr>
                <w:rFonts w:hint="eastAsia"/>
              </w:rPr>
              <w:t>49</w:t>
            </w:r>
          </w:p>
        </w:tc>
      </w:tr>
      <w:tr w14:paraId="48E036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44B32031">
            <w:pPr>
              <w:pStyle w:val="12"/>
              <w:jc w:val="center"/>
            </w:pPr>
            <w:r>
              <w:rPr>
                <w:rFonts w:hint="eastAsia"/>
              </w:rPr>
              <w:t>湖口</w:t>
            </w:r>
          </w:p>
        </w:tc>
        <w:tc>
          <w:tcPr>
            <w:tcW w:w="833" w:type="pct"/>
            <w:vAlign w:val="center"/>
          </w:tcPr>
          <w:p w14:paraId="5BA03C7A">
            <w:pPr>
              <w:pStyle w:val="12"/>
              <w:jc w:val="center"/>
            </w:pPr>
            <w:r>
              <w:rPr>
                <w:rFonts w:hint="eastAsia"/>
              </w:rPr>
              <w:t>14</w:t>
            </w:r>
          </w:p>
        </w:tc>
        <w:tc>
          <w:tcPr>
            <w:tcW w:w="834" w:type="pct"/>
            <w:vAlign w:val="center"/>
          </w:tcPr>
          <w:p w14:paraId="774C0573">
            <w:pPr>
              <w:pStyle w:val="12"/>
              <w:jc w:val="center"/>
            </w:pPr>
            <w:r>
              <w:rPr>
                <w:rFonts w:hint="eastAsia"/>
              </w:rPr>
              <w:t>114</w:t>
            </w:r>
          </w:p>
        </w:tc>
        <w:tc>
          <w:tcPr>
            <w:tcW w:w="834" w:type="pct"/>
            <w:vAlign w:val="center"/>
          </w:tcPr>
          <w:p w14:paraId="0E57F71B">
            <w:pPr>
              <w:pStyle w:val="12"/>
              <w:jc w:val="center"/>
            </w:pPr>
            <w:r>
              <w:rPr>
                <w:rFonts w:hint="eastAsia"/>
              </w:rPr>
              <w:t>48</w:t>
            </w:r>
          </w:p>
        </w:tc>
        <w:tc>
          <w:tcPr>
            <w:tcW w:w="834" w:type="pct"/>
            <w:vAlign w:val="center"/>
          </w:tcPr>
          <w:p w14:paraId="072FF931">
            <w:pPr>
              <w:pStyle w:val="12"/>
              <w:jc w:val="center"/>
            </w:pPr>
            <w:r>
              <w:rPr>
                <w:rFonts w:hint="eastAsia"/>
              </w:rPr>
              <w:t>22</w:t>
            </w:r>
          </w:p>
        </w:tc>
        <w:tc>
          <w:tcPr>
            <w:tcW w:w="834" w:type="pct"/>
            <w:vAlign w:val="center"/>
          </w:tcPr>
          <w:p w14:paraId="7C751973">
            <w:pPr>
              <w:pStyle w:val="12"/>
              <w:jc w:val="center"/>
            </w:pPr>
            <w:r>
              <w:rPr>
                <w:rFonts w:hint="eastAsia"/>
              </w:rPr>
              <w:t>44</w:t>
            </w:r>
          </w:p>
        </w:tc>
      </w:tr>
      <w:tr w14:paraId="1E64C3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603FC45A">
            <w:pPr>
              <w:pStyle w:val="12"/>
              <w:jc w:val="center"/>
            </w:pPr>
            <w:r>
              <w:rPr>
                <w:rFonts w:hint="eastAsia"/>
              </w:rPr>
              <w:t>主田</w:t>
            </w:r>
          </w:p>
        </w:tc>
        <w:tc>
          <w:tcPr>
            <w:tcW w:w="833" w:type="pct"/>
            <w:vAlign w:val="center"/>
          </w:tcPr>
          <w:p w14:paraId="6BCB4F63">
            <w:pPr>
              <w:pStyle w:val="12"/>
              <w:jc w:val="center"/>
            </w:pPr>
            <w:r>
              <w:rPr>
                <w:rFonts w:hint="eastAsia"/>
              </w:rPr>
              <w:t>7</w:t>
            </w:r>
          </w:p>
        </w:tc>
        <w:tc>
          <w:tcPr>
            <w:tcW w:w="834" w:type="pct"/>
            <w:vAlign w:val="center"/>
          </w:tcPr>
          <w:p w14:paraId="1B22DFBF">
            <w:pPr>
              <w:pStyle w:val="12"/>
              <w:jc w:val="center"/>
            </w:pPr>
            <w:r>
              <w:rPr>
                <w:rFonts w:hint="eastAsia"/>
              </w:rPr>
              <w:t>56</w:t>
            </w:r>
          </w:p>
        </w:tc>
        <w:tc>
          <w:tcPr>
            <w:tcW w:w="834" w:type="pct"/>
            <w:vAlign w:val="center"/>
          </w:tcPr>
          <w:p w14:paraId="4112D0B6">
            <w:pPr>
              <w:pStyle w:val="12"/>
              <w:jc w:val="center"/>
            </w:pPr>
            <w:r>
              <w:rPr>
                <w:rFonts w:hint="eastAsia"/>
              </w:rPr>
              <w:t>0</w:t>
            </w:r>
          </w:p>
        </w:tc>
        <w:tc>
          <w:tcPr>
            <w:tcW w:w="834" w:type="pct"/>
            <w:vAlign w:val="center"/>
          </w:tcPr>
          <w:p w14:paraId="3D971137">
            <w:pPr>
              <w:pStyle w:val="12"/>
              <w:jc w:val="center"/>
            </w:pPr>
            <w:r>
              <w:rPr>
                <w:rFonts w:hint="eastAsia"/>
              </w:rPr>
              <w:t>0</w:t>
            </w:r>
          </w:p>
        </w:tc>
        <w:tc>
          <w:tcPr>
            <w:tcW w:w="834" w:type="pct"/>
            <w:vAlign w:val="center"/>
          </w:tcPr>
          <w:p w14:paraId="40E04E7C">
            <w:pPr>
              <w:pStyle w:val="12"/>
              <w:jc w:val="center"/>
            </w:pPr>
            <w:r>
              <w:rPr>
                <w:rFonts w:hint="eastAsia"/>
              </w:rPr>
              <w:t>56</w:t>
            </w:r>
          </w:p>
        </w:tc>
      </w:tr>
      <w:tr w14:paraId="10CFD7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6EFBCEBF">
            <w:pPr>
              <w:pStyle w:val="12"/>
              <w:jc w:val="center"/>
            </w:pPr>
            <w:r>
              <w:rPr>
                <w:rFonts w:hint="eastAsia"/>
              </w:rPr>
              <w:t>古市</w:t>
            </w:r>
          </w:p>
        </w:tc>
        <w:tc>
          <w:tcPr>
            <w:tcW w:w="833" w:type="pct"/>
            <w:vAlign w:val="center"/>
          </w:tcPr>
          <w:p w14:paraId="6D228342">
            <w:pPr>
              <w:pStyle w:val="12"/>
              <w:jc w:val="center"/>
            </w:pPr>
            <w:r>
              <w:rPr>
                <w:rFonts w:hint="eastAsia"/>
              </w:rPr>
              <w:t>6</w:t>
            </w:r>
          </w:p>
        </w:tc>
        <w:tc>
          <w:tcPr>
            <w:tcW w:w="834" w:type="pct"/>
            <w:vAlign w:val="center"/>
          </w:tcPr>
          <w:p w14:paraId="6EDBC754">
            <w:pPr>
              <w:pStyle w:val="12"/>
              <w:jc w:val="center"/>
            </w:pPr>
            <w:r>
              <w:rPr>
                <w:rFonts w:hint="eastAsia"/>
              </w:rPr>
              <w:t>57</w:t>
            </w:r>
          </w:p>
        </w:tc>
        <w:tc>
          <w:tcPr>
            <w:tcW w:w="834" w:type="pct"/>
            <w:vAlign w:val="center"/>
          </w:tcPr>
          <w:p w14:paraId="43EAB676">
            <w:pPr>
              <w:pStyle w:val="12"/>
              <w:jc w:val="center"/>
            </w:pPr>
            <w:r>
              <w:rPr>
                <w:rFonts w:hint="eastAsia"/>
              </w:rPr>
              <w:t>0</w:t>
            </w:r>
          </w:p>
        </w:tc>
        <w:tc>
          <w:tcPr>
            <w:tcW w:w="834" w:type="pct"/>
            <w:vAlign w:val="center"/>
          </w:tcPr>
          <w:p w14:paraId="281E1C73">
            <w:pPr>
              <w:pStyle w:val="12"/>
              <w:jc w:val="center"/>
            </w:pPr>
            <w:r>
              <w:rPr>
                <w:rFonts w:hint="eastAsia"/>
              </w:rPr>
              <w:t>0</w:t>
            </w:r>
          </w:p>
        </w:tc>
        <w:tc>
          <w:tcPr>
            <w:tcW w:w="834" w:type="pct"/>
            <w:vAlign w:val="center"/>
          </w:tcPr>
          <w:p w14:paraId="53B8E812">
            <w:pPr>
              <w:pStyle w:val="12"/>
              <w:jc w:val="center"/>
            </w:pPr>
            <w:r>
              <w:rPr>
                <w:rFonts w:hint="eastAsia"/>
              </w:rPr>
              <w:t>57</w:t>
            </w:r>
          </w:p>
        </w:tc>
      </w:tr>
      <w:tr w14:paraId="6A64FF3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1A1A8599">
            <w:pPr>
              <w:pStyle w:val="12"/>
              <w:jc w:val="center"/>
            </w:pPr>
            <w:r>
              <w:rPr>
                <w:rFonts w:hint="eastAsia"/>
              </w:rPr>
              <w:t>全安</w:t>
            </w:r>
          </w:p>
        </w:tc>
        <w:tc>
          <w:tcPr>
            <w:tcW w:w="833" w:type="pct"/>
            <w:vAlign w:val="center"/>
          </w:tcPr>
          <w:p w14:paraId="61E49555">
            <w:pPr>
              <w:pStyle w:val="12"/>
              <w:jc w:val="center"/>
            </w:pPr>
            <w:r>
              <w:rPr>
                <w:rFonts w:hint="eastAsia"/>
              </w:rPr>
              <w:t>12</w:t>
            </w:r>
          </w:p>
        </w:tc>
        <w:tc>
          <w:tcPr>
            <w:tcW w:w="834" w:type="pct"/>
            <w:vAlign w:val="center"/>
          </w:tcPr>
          <w:p w14:paraId="720E82A0">
            <w:pPr>
              <w:pStyle w:val="12"/>
              <w:jc w:val="center"/>
            </w:pPr>
            <w:r>
              <w:rPr>
                <w:rFonts w:hint="eastAsia"/>
              </w:rPr>
              <w:t>132</w:t>
            </w:r>
          </w:p>
        </w:tc>
        <w:tc>
          <w:tcPr>
            <w:tcW w:w="834" w:type="pct"/>
            <w:vAlign w:val="center"/>
          </w:tcPr>
          <w:p w14:paraId="7F9C0408">
            <w:pPr>
              <w:pStyle w:val="12"/>
              <w:jc w:val="center"/>
            </w:pPr>
            <w:r>
              <w:rPr>
                <w:rFonts w:hint="eastAsia"/>
              </w:rPr>
              <w:t>3</w:t>
            </w:r>
          </w:p>
        </w:tc>
        <w:tc>
          <w:tcPr>
            <w:tcW w:w="834" w:type="pct"/>
            <w:vAlign w:val="center"/>
          </w:tcPr>
          <w:p w14:paraId="235FBD3C">
            <w:pPr>
              <w:pStyle w:val="12"/>
              <w:jc w:val="center"/>
            </w:pPr>
            <w:r>
              <w:rPr>
                <w:rFonts w:hint="eastAsia"/>
              </w:rPr>
              <w:t>0</w:t>
            </w:r>
          </w:p>
        </w:tc>
        <w:tc>
          <w:tcPr>
            <w:tcW w:w="834" w:type="pct"/>
            <w:vAlign w:val="center"/>
          </w:tcPr>
          <w:p w14:paraId="4DD32208">
            <w:pPr>
              <w:pStyle w:val="12"/>
              <w:jc w:val="center"/>
            </w:pPr>
            <w:r>
              <w:rPr>
                <w:rFonts w:hint="eastAsia"/>
              </w:rPr>
              <w:t>129</w:t>
            </w:r>
          </w:p>
        </w:tc>
      </w:tr>
      <w:tr w14:paraId="69664B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5CA849B6">
            <w:pPr>
              <w:pStyle w:val="12"/>
              <w:jc w:val="center"/>
            </w:pPr>
            <w:r>
              <w:rPr>
                <w:rFonts w:hint="eastAsia"/>
              </w:rPr>
              <w:t>帽子峰</w:t>
            </w:r>
          </w:p>
        </w:tc>
        <w:tc>
          <w:tcPr>
            <w:tcW w:w="833" w:type="pct"/>
            <w:vAlign w:val="center"/>
          </w:tcPr>
          <w:p w14:paraId="59CBB1D6">
            <w:pPr>
              <w:pStyle w:val="12"/>
              <w:jc w:val="center"/>
            </w:pPr>
            <w:r>
              <w:rPr>
                <w:rFonts w:hint="eastAsia"/>
              </w:rPr>
              <w:t>5</w:t>
            </w:r>
          </w:p>
        </w:tc>
        <w:tc>
          <w:tcPr>
            <w:tcW w:w="834" w:type="pct"/>
            <w:vAlign w:val="center"/>
          </w:tcPr>
          <w:p w14:paraId="20A4588C">
            <w:pPr>
              <w:pStyle w:val="12"/>
              <w:jc w:val="center"/>
            </w:pPr>
            <w:r>
              <w:rPr>
                <w:rFonts w:hint="eastAsia"/>
              </w:rPr>
              <w:t>73</w:t>
            </w:r>
          </w:p>
        </w:tc>
        <w:tc>
          <w:tcPr>
            <w:tcW w:w="834" w:type="pct"/>
            <w:vAlign w:val="center"/>
          </w:tcPr>
          <w:p w14:paraId="2B245934">
            <w:pPr>
              <w:pStyle w:val="12"/>
              <w:jc w:val="center"/>
            </w:pPr>
            <w:r>
              <w:rPr>
                <w:rFonts w:hint="eastAsia"/>
              </w:rPr>
              <w:t>17</w:t>
            </w:r>
          </w:p>
        </w:tc>
        <w:tc>
          <w:tcPr>
            <w:tcW w:w="834" w:type="pct"/>
            <w:vAlign w:val="center"/>
          </w:tcPr>
          <w:p w14:paraId="6124D9AE">
            <w:pPr>
              <w:pStyle w:val="12"/>
              <w:jc w:val="center"/>
            </w:pPr>
            <w:r>
              <w:rPr>
                <w:rFonts w:hint="eastAsia"/>
              </w:rPr>
              <w:t>0</w:t>
            </w:r>
          </w:p>
        </w:tc>
        <w:tc>
          <w:tcPr>
            <w:tcW w:w="834" w:type="pct"/>
            <w:vAlign w:val="center"/>
          </w:tcPr>
          <w:p w14:paraId="47E1D824">
            <w:pPr>
              <w:pStyle w:val="12"/>
              <w:jc w:val="center"/>
            </w:pPr>
            <w:r>
              <w:rPr>
                <w:rFonts w:hint="eastAsia"/>
              </w:rPr>
              <w:t>56</w:t>
            </w:r>
          </w:p>
        </w:tc>
      </w:tr>
      <w:tr w14:paraId="3B971E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2D1B41F4">
            <w:pPr>
              <w:pStyle w:val="12"/>
              <w:jc w:val="center"/>
            </w:pPr>
            <w:r>
              <w:rPr>
                <w:rFonts w:hint="eastAsia"/>
              </w:rPr>
              <w:t>澜河</w:t>
            </w:r>
          </w:p>
        </w:tc>
        <w:tc>
          <w:tcPr>
            <w:tcW w:w="833" w:type="pct"/>
            <w:vAlign w:val="center"/>
          </w:tcPr>
          <w:p w14:paraId="50CC4C52">
            <w:pPr>
              <w:pStyle w:val="12"/>
              <w:jc w:val="center"/>
            </w:pPr>
            <w:r>
              <w:rPr>
                <w:rFonts w:hint="eastAsia"/>
              </w:rPr>
              <w:t>6</w:t>
            </w:r>
          </w:p>
        </w:tc>
        <w:tc>
          <w:tcPr>
            <w:tcW w:w="834" w:type="pct"/>
            <w:vAlign w:val="center"/>
          </w:tcPr>
          <w:p w14:paraId="1BC78C51">
            <w:pPr>
              <w:pStyle w:val="12"/>
              <w:jc w:val="center"/>
            </w:pPr>
            <w:r>
              <w:rPr>
                <w:rFonts w:hint="eastAsia"/>
              </w:rPr>
              <w:t>78</w:t>
            </w:r>
          </w:p>
        </w:tc>
        <w:tc>
          <w:tcPr>
            <w:tcW w:w="834" w:type="pct"/>
            <w:vAlign w:val="center"/>
          </w:tcPr>
          <w:p w14:paraId="713B2CD8">
            <w:pPr>
              <w:pStyle w:val="12"/>
              <w:jc w:val="center"/>
            </w:pPr>
            <w:r>
              <w:rPr>
                <w:rFonts w:hint="eastAsia"/>
              </w:rPr>
              <w:t>11</w:t>
            </w:r>
          </w:p>
        </w:tc>
        <w:tc>
          <w:tcPr>
            <w:tcW w:w="834" w:type="pct"/>
            <w:vAlign w:val="center"/>
          </w:tcPr>
          <w:p w14:paraId="411874F6">
            <w:pPr>
              <w:pStyle w:val="12"/>
              <w:jc w:val="center"/>
            </w:pPr>
            <w:r>
              <w:rPr>
                <w:rFonts w:hint="eastAsia"/>
              </w:rPr>
              <w:t>0</w:t>
            </w:r>
          </w:p>
        </w:tc>
        <w:tc>
          <w:tcPr>
            <w:tcW w:w="834" w:type="pct"/>
            <w:vAlign w:val="center"/>
          </w:tcPr>
          <w:p w14:paraId="3B397138">
            <w:pPr>
              <w:pStyle w:val="12"/>
              <w:jc w:val="center"/>
            </w:pPr>
            <w:r>
              <w:rPr>
                <w:rFonts w:hint="eastAsia"/>
              </w:rPr>
              <w:t>67</w:t>
            </w:r>
          </w:p>
        </w:tc>
      </w:tr>
      <w:tr w14:paraId="6265387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6788D095">
            <w:pPr>
              <w:pStyle w:val="12"/>
              <w:jc w:val="center"/>
            </w:pPr>
            <w:r>
              <w:rPr>
                <w:rFonts w:hint="eastAsia"/>
              </w:rPr>
              <w:t>百顺</w:t>
            </w:r>
          </w:p>
        </w:tc>
        <w:tc>
          <w:tcPr>
            <w:tcW w:w="833" w:type="pct"/>
            <w:vAlign w:val="center"/>
          </w:tcPr>
          <w:p w14:paraId="146A345D">
            <w:pPr>
              <w:pStyle w:val="12"/>
              <w:jc w:val="center"/>
            </w:pPr>
            <w:r>
              <w:rPr>
                <w:rFonts w:hint="eastAsia"/>
              </w:rPr>
              <w:t>3</w:t>
            </w:r>
          </w:p>
        </w:tc>
        <w:tc>
          <w:tcPr>
            <w:tcW w:w="834" w:type="pct"/>
            <w:vAlign w:val="center"/>
          </w:tcPr>
          <w:p w14:paraId="5DA9A140">
            <w:pPr>
              <w:pStyle w:val="12"/>
              <w:jc w:val="center"/>
            </w:pPr>
            <w:r>
              <w:rPr>
                <w:rFonts w:hint="eastAsia"/>
              </w:rPr>
              <w:t>34</w:t>
            </w:r>
          </w:p>
        </w:tc>
        <w:tc>
          <w:tcPr>
            <w:tcW w:w="834" w:type="pct"/>
            <w:vAlign w:val="center"/>
          </w:tcPr>
          <w:p w14:paraId="53B05419">
            <w:pPr>
              <w:pStyle w:val="12"/>
              <w:jc w:val="center"/>
            </w:pPr>
            <w:r>
              <w:rPr>
                <w:rFonts w:hint="eastAsia"/>
              </w:rPr>
              <w:t>0</w:t>
            </w:r>
          </w:p>
        </w:tc>
        <w:tc>
          <w:tcPr>
            <w:tcW w:w="834" w:type="pct"/>
            <w:vAlign w:val="center"/>
          </w:tcPr>
          <w:p w14:paraId="2AE3341A">
            <w:pPr>
              <w:pStyle w:val="12"/>
              <w:jc w:val="center"/>
            </w:pPr>
            <w:r>
              <w:rPr>
                <w:rFonts w:hint="eastAsia"/>
              </w:rPr>
              <w:t>0</w:t>
            </w:r>
          </w:p>
        </w:tc>
        <w:tc>
          <w:tcPr>
            <w:tcW w:w="834" w:type="pct"/>
            <w:vAlign w:val="center"/>
          </w:tcPr>
          <w:p w14:paraId="7D229E70">
            <w:pPr>
              <w:pStyle w:val="12"/>
              <w:jc w:val="center"/>
            </w:pPr>
            <w:r>
              <w:rPr>
                <w:rFonts w:hint="eastAsia"/>
              </w:rPr>
              <w:t>34</w:t>
            </w:r>
          </w:p>
        </w:tc>
      </w:tr>
      <w:tr w14:paraId="078C72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67741A20">
            <w:pPr>
              <w:pStyle w:val="12"/>
              <w:jc w:val="center"/>
            </w:pPr>
            <w:r>
              <w:rPr>
                <w:rFonts w:hint="eastAsia"/>
              </w:rPr>
              <w:t>雄州</w:t>
            </w:r>
          </w:p>
        </w:tc>
        <w:tc>
          <w:tcPr>
            <w:tcW w:w="833" w:type="pct"/>
            <w:vAlign w:val="center"/>
          </w:tcPr>
          <w:p w14:paraId="068612BC">
            <w:pPr>
              <w:pStyle w:val="12"/>
              <w:jc w:val="center"/>
            </w:pPr>
            <w:r>
              <w:rPr>
                <w:rFonts w:hint="eastAsia"/>
              </w:rPr>
              <w:t>5</w:t>
            </w:r>
          </w:p>
        </w:tc>
        <w:tc>
          <w:tcPr>
            <w:tcW w:w="834" w:type="pct"/>
            <w:vAlign w:val="center"/>
          </w:tcPr>
          <w:p w14:paraId="26F45898">
            <w:pPr>
              <w:pStyle w:val="12"/>
              <w:jc w:val="center"/>
            </w:pPr>
            <w:r>
              <w:rPr>
                <w:rFonts w:hint="eastAsia"/>
              </w:rPr>
              <w:t>13</w:t>
            </w:r>
          </w:p>
        </w:tc>
        <w:tc>
          <w:tcPr>
            <w:tcW w:w="834" w:type="pct"/>
            <w:vAlign w:val="center"/>
          </w:tcPr>
          <w:p w14:paraId="3B12CF03">
            <w:pPr>
              <w:pStyle w:val="12"/>
              <w:jc w:val="center"/>
            </w:pPr>
            <w:r>
              <w:rPr>
                <w:rFonts w:hint="eastAsia"/>
              </w:rPr>
              <w:t>1</w:t>
            </w:r>
          </w:p>
        </w:tc>
        <w:tc>
          <w:tcPr>
            <w:tcW w:w="834" w:type="pct"/>
            <w:vAlign w:val="center"/>
          </w:tcPr>
          <w:p w14:paraId="4800D8E6">
            <w:pPr>
              <w:pStyle w:val="12"/>
              <w:jc w:val="center"/>
            </w:pPr>
            <w:r>
              <w:rPr>
                <w:rFonts w:hint="eastAsia"/>
              </w:rPr>
              <w:t>8</w:t>
            </w:r>
          </w:p>
        </w:tc>
        <w:tc>
          <w:tcPr>
            <w:tcW w:w="834" w:type="pct"/>
            <w:vAlign w:val="center"/>
          </w:tcPr>
          <w:p w14:paraId="48CD6601">
            <w:pPr>
              <w:pStyle w:val="12"/>
              <w:jc w:val="center"/>
            </w:pPr>
            <w:r>
              <w:rPr>
                <w:rFonts w:hint="eastAsia"/>
              </w:rPr>
              <w:t>4</w:t>
            </w:r>
          </w:p>
        </w:tc>
      </w:tr>
      <w:tr w14:paraId="1C2125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67B115A2">
            <w:pPr>
              <w:pStyle w:val="12"/>
              <w:jc w:val="center"/>
            </w:pPr>
            <w:r>
              <w:rPr>
                <w:rFonts w:hint="eastAsia"/>
              </w:rPr>
              <w:t>合计</w:t>
            </w:r>
          </w:p>
        </w:tc>
        <w:tc>
          <w:tcPr>
            <w:tcW w:w="833" w:type="pct"/>
            <w:vAlign w:val="center"/>
          </w:tcPr>
          <w:p w14:paraId="25FA8B53">
            <w:pPr>
              <w:pStyle w:val="12"/>
              <w:jc w:val="center"/>
            </w:pPr>
            <w:r>
              <w:rPr>
                <w:rFonts w:hint="eastAsia"/>
              </w:rPr>
              <w:t>168</w:t>
            </w:r>
          </w:p>
        </w:tc>
        <w:tc>
          <w:tcPr>
            <w:tcW w:w="834" w:type="pct"/>
            <w:vAlign w:val="center"/>
          </w:tcPr>
          <w:p w14:paraId="05FDE6D9">
            <w:pPr>
              <w:pStyle w:val="12"/>
              <w:jc w:val="center"/>
            </w:pPr>
            <w:r>
              <w:rPr>
                <w:rFonts w:hint="eastAsia"/>
              </w:rPr>
              <w:t>1350</w:t>
            </w:r>
          </w:p>
        </w:tc>
        <w:tc>
          <w:tcPr>
            <w:tcW w:w="834" w:type="pct"/>
            <w:vAlign w:val="center"/>
          </w:tcPr>
          <w:p w14:paraId="69E3F3F9">
            <w:pPr>
              <w:pStyle w:val="12"/>
              <w:jc w:val="center"/>
            </w:pPr>
            <w:r>
              <w:rPr>
                <w:rFonts w:hint="eastAsia"/>
              </w:rPr>
              <w:t>390</w:t>
            </w:r>
          </w:p>
        </w:tc>
        <w:tc>
          <w:tcPr>
            <w:tcW w:w="834" w:type="pct"/>
            <w:vAlign w:val="center"/>
          </w:tcPr>
          <w:p w14:paraId="06D28C4D">
            <w:pPr>
              <w:pStyle w:val="12"/>
              <w:jc w:val="center"/>
            </w:pPr>
            <w:r>
              <w:rPr>
                <w:rFonts w:hint="eastAsia"/>
              </w:rPr>
              <w:t>77</w:t>
            </w:r>
          </w:p>
        </w:tc>
        <w:tc>
          <w:tcPr>
            <w:tcW w:w="834" w:type="pct"/>
            <w:vAlign w:val="center"/>
          </w:tcPr>
          <w:p w14:paraId="0B111BD3">
            <w:pPr>
              <w:pStyle w:val="12"/>
              <w:jc w:val="center"/>
            </w:pPr>
            <w:r>
              <w:rPr>
                <w:rFonts w:hint="eastAsia"/>
              </w:rPr>
              <w:t>883</w:t>
            </w:r>
          </w:p>
        </w:tc>
      </w:tr>
    </w:tbl>
    <w:p w14:paraId="3CB41A65">
      <w:pPr>
        <w:pStyle w:val="5"/>
        <w:rPr>
          <w:rFonts w:ascii="宋体" w:hAnsi="宋体" w:cs="宋体"/>
        </w:rPr>
      </w:pPr>
      <w:r>
        <w:rPr>
          <w:rFonts w:hint="eastAsia" w:ascii="宋体" w:hAnsi="宋体" w:cs="宋体"/>
        </w:rPr>
        <w:t>二、老区建设</w:t>
      </w:r>
    </w:p>
    <w:p w14:paraId="0153D9C7">
      <w:pPr>
        <w:ind w:firstLine="420"/>
        <w:rPr>
          <w:rFonts w:ascii="宋体" w:hAnsi="宋体" w:cs="宋体"/>
        </w:rPr>
      </w:pPr>
      <w:r>
        <w:rPr>
          <w:rFonts w:hint="eastAsia" w:ascii="宋体" w:hAnsi="宋体" w:cs="宋体"/>
        </w:rPr>
        <w:t>在革命低潮时期，南雄革命根据地被摧毁的自然村有几十个，被杀害的干部、战士1268人，损失惨重。新中国成立后，南雄被列为全省重点老区之一。1957年成立老区建设委员会，从各方面帮助老区建设。</w:t>
      </w:r>
    </w:p>
    <w:p w14:paraId="51301395">
      <w:pPr>
        <w:ind w:firstLine="420"/>
        <w:rPr>
          <w:rFonts w:ascii="宋体" w:hAnsi="宋体" w:cs="宋体"/>
        </w:rPr>
      </w:pPr>
      <w:r>
        <w:rPr>
          <w:rFonts w:hint="eastAsia" w:ascii="宋体" w:hAnsi="宋体" w:cs="宋体"/>
        </w:rPr>
        <w:t>解决衣食住困难。1950年至1959年，政府发放特殊救济粮18613公斤，棉被、夹被、蚊帐、衣服共6347件，耕牛596头。先后拨款124万元，新建、修建住房9139间，另拨专款47万多元，解决老区人民生活困难。还建立老区义仓9座。</w:t>
      </w:r>
    </w:p>
    <w:p w14:paraId="71988167">
      <w:pPr>
        <w:ind w:firstLine="420"/>
        <w:rPr>
          <w:rFonts w:ascii="宋体" w:hAnsi="宋体" w:cs="宋体"/>
        </w:rPr>
      </w:pPr>
      <w:r>
        <w:rPr>
          <w:rFonts w:hint="eastAsia" w:ascii="宋体" w:hAnsi="宋体" w:cs="宋体"/>
        </w:rPr>
        <w:t>修建山塘、陂头、水电站。1956年至1987年，政府投资为老区新建山塘83宗，修建山塘61宗，陂头19宗。新建水电站6座，装机容量875千瓦。架设高压线路8条，总长36.9公里，使老区千家万户用上了电，结束了“松光竹篾来照明”的历史。</w:t>
      </w:r>
    </w:p>
    <w:p w14:paraId="47F62C4B">
      <w:pPr>
        <w:ind w:firstLine="420"/>
        <w:rPr>
          <w:rFonts w:ascii="宋体" w:hAnsi="宋体" w:cs="宋体"/>
        </w:rPr>
      </w:pPr>
      <w:r>
        <w:rPr>
          <w:rFonts w:hint="eastAsia" w:ascii="宋体" w:hAnsi="宋体" w:cs="宋体"/>
        </w:rPr>
        <w:t>修筑公路乡道。1958年至1987年，政府拨款为老区新建公路15条149公里，新开乡道11条56公里，修建桥梁60座。</w:t>
      </w:r>
    </w:p>
    <w:p w14:paraId="69743712">
      <w:pPr>
        <w:ind w:firstLine="420"/>
        <w:rPr>
          <w:rFonts w:ascii="宋体" w:hAnsi="宋体" w:cs="宋体"/>
        </w:rPr>
      </w:pPr>
      <w:r>
        <w:rPr>
          <w:rFonts w:hint="eastAsia" w:ascii="宋体" w:hAnsi="宋体" w:cs="宋体"/>
        </w:rPr>
        <w:t>解决饮水困难。至1987年，政府拨款46800元，新开水井83口，新建自来水工程7宗，解决了上朔、篛过等老区26130人饮水困难。</w:t>
      </w:r>
    </w:p>
    <w:p w14:paraId="0B958976">
      <w:pPr>
        <w:ind w:firstLine="420"/>
        <w:rPr>
          <w:rFonts w:ascii="宋体" w:hAnsi="宋体" w:cs="宋体"/>
        </w:rPr>
      </w:pPr>
      <w:r>
        <w:rPr>
          <w:rFonts w:hint="eastAsia" w:ascii="宋体" w:hAnsi="宋体" w:cs="宋体"/>
        </w:rPr>
        <w:t>发展教育卫生事业。新中国成立前，老区乡镇无一间中学和卫生院。1987年，全县老区每个镇（乡）都有中学，每个行政村都有小学，各乡镇都建有卫生院，共有病床2123张，手术台21张。</w:t>
      </w:r>
    </w:p>
    <w:p w14:paraId="745D8CEF">
      <w:pPr>
        <w:ind w:firstLine="420"/>
        <w:rPr>
          <w:rFonts w:ascii="宋体" w:hAnsi="宋体" w:cs="宋体"/>
        </w:rPr>
      </w:pPr>
      <w:r>
        <w:rPr>
          <w:rFonts w:hint="eastAsia" w:ascii="宋体" w:hAnsi="宋体" w:cs="宋体"/>
        </w:rPr>
        <w:t>南雄市老区建设促进会于1993年成立，2002年第三届理事会成立后，3年来从各方面争取资金，为老区建设办了5件实事：①每年减免8143名贫困家庭子女的学杂费304.5万元；②改造老区危破小学84所，共投入资金2582万元，其中省拨款1860万元，引进港澳等地人士捐款543万元；③改水、修路项目9个，获省扶持资金34.5万元；④申报在校大中专革命烈士后裔62人次，获助学金4.1万元；⑤争取省拨资金8万元，兴建李乐天烈士铜像、油山革命纪念碑、水口战役纪念公园等爱国主义教育基地。</w:t>
      </w:r>
    </w:p>
    <w:p w14:paraId="3AD8122A">
      <w:pPr>
        <w:pStyle w:val="4"/>
        <w:rPr>
          <w:rFonts w:ascii="宋体" w:hAnsi="宋体" w:cs="宋体"/>
        </w:rPr>
      </w:pPr>
      <w:r>
        <w:rPr>
          <w:rFonts w:hint="eastAsia" w:ascii="宋体" w:hAnsi="宋体" w:cs="宋体"/>
        </w:rPr>
        <w:t>第四节  赈济</w:t>
      </w:r>
    </w:p>
    <w:p w14:paraId="7C572ADA">
      <w:pPr>
        <w:ind w:firstLine="422"/>
        <w:rPr>
          <w:rFonts w:ascii="宋体" w:hAnsi="宋体" w:cs="宋体"/>
          <w:b/>
          <w:bCs/>
        </w:rPr>
      </w:pPr>
      <w:r>
        <w:rPr>
          <w:rFonts w:hint="eastAsia" w:ascii="宋体" w:hAnsi="宋体" w:cs="宋体"/>
          <w:b/>
          <w:bCs/>
        </w:rPr>
        <w:t>（一）自然灾害救济</w:t>
      </w:r>
    </w:p>
    <w:p w14:paraId="0CFCB3B5">
      <w:pPr>
        <w:ind w:firstLine="420"/>
        <w:rPr>
          <w:rFonts w:ascii="宋体" w:hAnsi="宋体" w:cs="宋体"/>
        </w:rPr>
      </w:pPr>
      <w:r>
        <w:rPr>
          <w:rFonts w:hint="eastAsia" w:ascii="宋体" w:hAnsi="宋体" w:cs="宋体"/>
        </w:rPr>
        <w:t>旱灾救济。新中国成立后55年来，共拨旱灾救济款103.3万元。1956年秋旱严重，晚造受灾面积14666.67公顷，失收4933.33公顷，全县粮食减产22.3%。黄坑、湖口有的农业社颗粒无收。因灾荒造成断粮1252户，5998人。全县发放预购农作物款97万元，贷款87万元，救济款7万元，扶持农民生产自救。1963年又一次大旱，早稻受旱近半，晚稻又受旱七成多，全县拨救济款24.14万元，减免受重灾的14个公社359个生产队的农业税。</w:t>
      </w:r>
    </w:p>
    <w:p w14:paraId="1B16E3A2">
      <w:pPr>
        <w:ind w:firstLine="420"/>
        <w:rPr>
          <w:rFonts w:ascii="宋体" w:hAnsi="宋体" w:cs="宋体"/>
        </w:rPr>
      </w:pPr>
      <w:r>
        <w:rPr>
          <w:rFonts w:hint="eastAsia" w:ascii="宋体" w:hAnsi="宋体" w:cs="宋体"/>
        </w:rPr>
        <w:t>水灾救济。55年来，累计受水灾面积达65380公顷，倒塌房屋5732间，死41人，伤65人，发放救济款750.28万元。1959年5月29日至6月22日，20多天下了9次特大暴雨，受浸农作物5133.33公顷，受浸村庄50多个，塌房2867间，死8人，伤21人。灾后，县政府派出43名干部，深入灾区发动群众开展生产救灾，发放救济款57500元。1964年6月，连续三次受洪水袭击，县城水涨至维新路，农村受灾的有18个公社，120个大队，1398个生产队，27000多户，11万多人。受害农作物9333.33多公顷，房屋倒塌869间，死亡2人，伤5人。县政府及时发放救济款21.8万元，统销粮47230担，银行发放贷款33.44万元，支援灾区生产自救。1991年9月7日至8日的大暴雨，全县有19个乡镇、1个林场、2个矿山受灾。死33人，伤17人，失踪5人，倒塌房屋2320间，受灾农田3200多公顷，县政府拨出救济款10万元，衣物1万多件，生活用品1500件，食品一大批，干部群众捐款13.8万元，衣物28086件。</w:t>
      </w:r>
    </w:p>
    <w:p w14:paraId="748A8735">
      <w:pPr>
        <w:ind w:firstLine="420"/>
        <w:rPr>
          <w:rFonts w:ascii="宋体" w:hAnsi="宋体" w:cs="宋体"/>
        </w:rPr>
      </w:pPr>
      <w:r>
        <w:rPr>
          <w:rFonts w:hint="eastAsia" w:ascii="宋体" w:hAnsi="宋体" w:cs="宋体"/>
        </w:rPr>
        <w:t>风雹灾害救济。新中国成立55年来，出现大风冰雹10多次，累计受害农作物33033.33公顷，倒塌房屋3481间，死23人，伤519人。在救灾中，干部群众捐款20.37万元，县政府发放救济款30.4万元。最严重的是1985年3月27日晚上8时，部分地区产生强烈的雷雨大风、冰雹，最大风力11至12级，最大冰雹直径30厘米。受灾面积30多平方公里，死9人，伤58人，倒塌房屋2068间。县成立救灾指挥部，及时拨出救济款5.1万元，动员137个单位捐献20.37万元、粮票60796公斤、大米1512公斤、稻谷19440公斤、衣服18168件、杉木3302条。</w:t>
      </w:r>
    </w:p>
    <w:p w14:paraId="2089DEB7">
      <w:pPr>
        <w:ind w:firstLine="422"/>
        <w:rPr>
          <w:rFonts w:ascii="宋体" w:hAnsi="宋体" w:cs="宋体"/>
          <w:b/>
          <w:bCs/>
        </w:rPr>
      </w:pPr>
      <w:r>
        <w:rPr>
          <w:rFonts w:hint="eastAsia" w:ascii="宋体" w:hAnsi="宋体" w:cs="宋体"/>
          <w:b/>
          <w:bCs/>
        </w:rPr>
        <w:t>（二）社会救济与扶贫</w:t>
      </w:r>
    </w:p>
    <w:p w14:paraId="248B9F78">
      <w:pPr>
        <w:ind w:firstLine="420"/>
        <w:rPr>
          <w:rFonts w:ascii="宋体" w:hAnsi="宋体" w:cs="宋体"/>
        </w:rPr>
      </w:pPr>
      <w:r>
        <w:rPr>
          <w:rFonts w:hint="eastAsia" w:ascii="宋体" w:hAnsi="宋体" w:cs="宋体"/>
        </w:rPr>
        <w:t>1.临时救济。1950年至1954年，农村没有依靠的孤寡老幼残及其他救济对象，由县人民政府给予救济。5年共发放救济款3.19万元，救济粮760吨（稻谷）。1955年农业合作化后至1980年26年间，对因天灾人祸等意外事故而造成的贫困户，由生产队从劳动安排、扶助家庭副业等方面给予照顾。政府适当给予救济，发放棉被、夹被、棉衣、衣服等救济物资共15545件，救济款119.37万元。中共十一届三中全会后，县政府对贫困户的救济，采取从资金、技术、种苗等方面扶助贫困户发展生产，即群众称之为“造血型”的救济方法。1987年，县政府成立扶贫办公室，对年人均收入200元以下的3161户贫困户（占全县农户的4.8%）逐户调查摸底，县、乡两级共筹集扶贫资金211万元，扶助他们发展生产。</w:t>
      </w:r>
    </w:p>
    <w:p w14:paraId="1BA53415">
      <w:pPr>
        <w:ind w:firstLine="420"/>
        <w:rPr>
          <w:rFonts w:ascii="宋体" w:hAnsi="宋体" w:cs="宋体"/>
        </w:rPr>
      </w:pPr>
      <w:r>
        <w:rPr>
          <w:rFonts w:hint="eastAsia" w:ascii="宋体" w:hAnsi="宋体" w:cs="宋体"/>
        </w:rPr>
        <w:t>在城镇，对生活无依靠丧失劳动能力的老残疾贫民，发放救济款物或临时生产补助。1976年至1987年，发放救济款22.57万元。其中临时救济款4.21万元，定期救济款11.95万元，其他补助6.41万元。</w:t>
      </w:r>
    </w:p>
    <w:p w14:paraId="26456F2F">
      <w:pPr>
        <w:ind w:firstLine="420"/>
        <w:rPr>
          <w:rFonts w:ascii="宋体" w:hAnsi="宋体" w:cs="宋体"/>
        </w:rPr>
      </w:pPr>
      <w:r>
        <w:rPr>
          <w:rFonts w:hint="eastAsia" w:ascii="宋体" w:hAnsi="宋体" w:cs="宋体"/>
        </w:rPr>
        <w:t>1980年至1987年救济麻风病人659人，发放救济款11.57万元。</w:t>
      </w:r>
    </w:p>
    <w:p w14:paraId="57A9B782">
      <w:pPr>
        <w:ind w:firstLine="420"/>
        <w:rPr>
          <w:rFonts w:ascii="宋体" w:hAnsi="宋体" w:cs="宋体"/>
        </w:rPr>
      </w:pPr>
      <w:r>
        <w:rPr>
          <w:rFonts w:hint="eastAsia" w:ascii="宋体" w:hAnsi="宋体" w:cs="宋体"/>
        </w:rPr>
        <w:t>1988年至2000年累计发放临时救济款165万元，救济了13000多人次。</w:t>
      </w:r>
    </w:p>
    <w:p w14:paraId="1A8E9AE9">
      <w:pPr>
        <w:ind w:firstLine="420"/>
        <w:rPr>
          <w:rFonts w:ascii="宋体" w:hAnsi="宋体" w:cs="宋体"/>
        </w:rPr>
      </w:pPr>
      <w:r>
        <w:rPr>
          <w:rFonts w:hint="eastAsia" w:ascii="宋体" w:hAnsi="宋体" w:cs="宋体"/>
        </w:rPr>
        <w:t>2.定期补助。五保老人主要由镇统筹和村委会负责供养，市政府给予定期生活补助。农村散居五保户每人每月补助10元，在院五保户每人每月补助20元。享受定补的五保老人从1988年至2004年累计8450人次。</w:t>
      </w:r>
    </w:p>
    <w:p w14:paraId="5168B16E">
      <w:pPr>
        <w:ind w:firstLine="420"/>
        <w:rPr>
          <w:rFonts w:ascii="宋体" w:hAnsi="宋体" w:cs="宋体"/>
        </w:rPr>
      </w:pPr>
      <w:r>
        <w:rPr>
          <w:rFonts w:hint="eastAsia" w:ascii="宋体" w:hAnsi="宋体" w:cs="宋体"/>
        </w:rPr>
        <w:t>3.最低生活保障。从1996年开始，本市实施最低生活保障制度，规定城镇最低生活保障线为130元，农村为85元，人均月收入低于此标准的将得到政府的差额补助，保障其最低生活需要。1996年至2000年，全市累计有低保对象8000多人次，发放低保资金1008万元。</w:t>
      </w:r>
    </w:p>
    <w:p w14:paraId="743D0FD8">
      <w:pPr>
        <w:pStyle w:val="4"/>
        <w:rPr>
          <w:rFonts w:ascii="宋体" w:hAnsi="宋体" w:cs="宋体"/>
        </w:rPr>
      </w:pPr>
      <w:r>
        <w:rPr>
          <w:rFonts w:hint="eastAsia" w:ascii="宋体" w:hAnsi="宋体" w:cs="宋体"/>
        </w:rPr>
        <w:t>第五节  社会福利</w:t>
      </w:r>
    </w:p>
    <w:p w14:paraId="2AF955E5">
      <w:pPr>
        <w:ind w:firstLine="422"/>
        <w:rPr>
          <w:rFonts w:ascii="宋体" w:hAnsi="宋体" w:cs="宋体"/>
          <w:b/>
          <w:bCs/>
        </w:rPr>
      </w:pPr>
      <w:r>
        <w:rPr>
          <w:rFonts w:hint="eastAsia" w:ascii="宋体" w:hAnsi="宋体" w:cs="宋体"/>
          <w:b/>
          <w:bCs/>
        </w:rPr>
        <w:t>（一）赡养五保老人</w:t>
      </w:r>
    </w:p>
    <w:p w14:paraId="7DD54121">
      <w:pPr>
        <w:ind w:firstLine="420"/>
        <w:rPr>
          <w:rFonts w:ascii="宋体" w:hAnsi="宋体" w:cs="宋体"/>
        </w:rPr>
      </w:pPr>
      <w:r>
        <w:rPr>
          <w:rFonts w:hint="eastAsia" w:ascii="宋体" w:hAnsi="宋体" w:cs="宋体"/>
        </w:rPr>
        <w:t>人民政府对无依无靠的鳏寡孤独老人实行“五保”，即保衣、食、住、医、葬。1958年，由人民公社办敬老院。1987年敬老院增至21间，建筑面积11540平方米，在院老人120人。敬老院由乡镇直接管理，生活费、医疗费、埋葬费由乡镇解决，另国家给予定额补助。2004年，全市有敬老院25间，其中1间为珠玑巷后裔捐助兴建。全市敬老院占地面积2.7万平方米，每年平均供养五保老人378人。敬老院由镇政府管理，生活费、医疗费、埋葬费由镇负担，市政府给予定额补助，每人每月20元。</w:t>
      </w:r>
    </w:p>
    <w:p w14:paraId="13EDD130">
      <w:pPr>
        <w:ind w:firstLine="420"/>
        <w:rPr>
          <w:rFonts w:ascii="宋体" w:hAnsi="宋体" w:cs="宋体"/>
        </w:rPr>
      </w:pPr>
      <w:r>
        <w:rPr>
          <w:rFonts w:hint="eastAsia" w:ascii="宋体" w:hAnsi="宋体" w:cs="宋体"/>
        </w:rPr>
        <w:t>对未入院的五保老人，采取“集体赡养为主，国家补助为辅”的方针。1981年，农村实行联产承包责任制后，五保老人供养经费实行由乡镇统筹供给与国家补助相结合，赡养办法有集体供养，有亲友包养。1987年全县集体供养294人，亲友包养660人，共954人，全年每人平均生活费367元。</w:t>
      </w:r>
    </w:p>
    <w:p w14:paraId="085F602F">
      <w:pPr>
        <w:ind w:firstLine="422"/>
        <w:rPr>
          <w:rFonts w:ascii="宋体" w:hAnsi="宋体" w:cs="宋体"/>
          <w:b/>
          <w:bCs/>
        </w:rPr>
      </w:pPr>
      <w:r>
        <w:rPr>
          <w:rFonts w:hint="eastAsia" w:ascii="宋体" w:hAnsi="宋体" w:cs="宋体"/>
          <w:b/>
          <w:bCs/>
        </w:rPr>
        <w:t>（二）抚育孤儿</w:t>
      </w:r>
    </w:p>
    <w:p w14:paraId="232D28FF">
      <w:pPr>
        <w:ind w:firstLine="420"/>
        <w:rPr>
          <w:rFonts w:ascii="宋体" w:hAnsi="宋体" w:cs="宋体"/>
        </w:rPr>
      </w:pPr>
      <w:r>
        <w:rPr>
          <w:rFonts w:hint="eastAsia" w:ascii="宋体" w:hAnsi="宋体" w:cs="宋体"/>
        </w:rPr>
        <w:t>1960年，县政府拨款43200元，在主田公社泷下村兴建儿童福利院，入院孤儿21名，占全县孤儿的14.1%。1961年接收49名，同年迁至主田公社大坝村，改名为孤儿院。1965年底收养孤儿77名。孤儿实行半耕半读，配备一名中师毕业生当老师。入院孤儿成长后，部分由政府安排工作，部分由亲属接回去。至1987年，接收入院儿童共计117名，已安排工作102名，在院15名。此后不再接收孤儿，改由各镇敬老院抚养。</w:t>
      </w:r>
    </w:p>
    <w:p w14:paraId="287A09AD">
      <w:pPr>
        <w:ind w:firstLine="422"/>
        <w:rPr>
          <w:rFonts w:ascii="宋体" w:hAnsi="宋体" w:cs="宋体"/>
          <w:b/>
          <w:bCs/>
        </w:rPr>
      </w:pPr>
      <w:r>
        <w:rPr>
          <w:rFonts w:hint="eastAsia" w:ascii="宋体" w:hAnsi="宋体" w:cs="宋体"/>
          <w:b/>
          <w:bCs/>
        </w:rPr>
        <w:t>（三）收养残疾人</w:t>
      </w:r>
    </w:p>
    <w:p w14:paraId="0B8C6526">
      <w:pPr>
        <w:ind w:firstLine="420"/>
        <w:rPr>
          <w:rFonts w:ascii="宋体" w:hAnsi="宋体" w:cs="宋体"/>
        </w:rPr>
      </w:pPr>
      <w:r>
        <w:rPr>
          <w:rFonts w:hint="eastAsia" w:ascii="宋体" w:hAnsi="宋体" w:cs="宋体"/>
        </w:rPr>
        <w:t>1958年冬建盲残院1间，收养社会上无依靠的盲、聋、哑等残疾人。1962年秋与城镇敬老院合并。1990年4月，南雄残疾人联合会成立，隶属县民政局，分出残联。担负残疾人康复、办证及残疾人福利互助工作。1995年5月从民政局分出为独立核算事业单位。2004年全市残疾人2.3万人，残联在职人员5人。</w:t>
      </w:r>
    </w:p>
    <w:p w14:paraId="387A0C9A">
      <w:pPr>
        <w:ind w:firstLine="420"/>
        <w:rPr>
          <w:rFonts w:ascii="宋体" w:hAnsi="宋体" w:cs="宋体"/>
        </w:rPr>
      </w:pPr>
      <w:r>
        <w:rPr>
          <w:rFonts w:hint="eastAsia" w:ascii="宋体" w:hAnsi="宋体" w:cs="宋体"/>
        </w:rPr>
        <w:t>1988年至2004年，残联多次邀请省眼科专家，为南雄眼疾病患者治疗，使1588名白内障患者重见光明。举办15期农村残疾人种养业培训班，免费培训508人次。举办8期盲人保健按摩培训班，免费培训了165名盲人次。通过培训组织和扶持农村残疾人从事种植业、养殖业、保健按摩和其他形式的生产劳动，鼓励和帮助残疾人自谋职业的有1765户。积极推行分散按比例安排残疾人就业的规定，已有71个单位按在职人员1.5%的比例安排残疾人就业113人。</w:t>
      </w:r>
    </w:p>
    <w:p w14:paraId="1D549D32">
      <w:pPr>
        <w:ind w:firstLine="422"/>
        <w:rPr>
          <w:rFonts w:ascii="宋体" w:hAnsi="宋体" w:cs="宋体"/>
          <w:b/>
          <w:bCs/>
        </w:rPr>
      </w:pPr>
      <w:r>
        <w:rPr>
          <w:rFonts w:hint="eastAsia" w:ascii="宋体" w:hAnsi="宋体" w:cs="宋体"/>
          <w:b/>
          <w:bCs/>
        </w:rPr>
        <w:t>（四）县福利厂</w:t>
      </w:r>
    </w:p>
    <w:p w14:paraId="5B827E80">
      <w:pPr>
        <w:ind w:firstLine="420"/>
        <w:rPr>
          <w:rFonts w:ascii="宋体" w:hAnsi="宋体" w:cs="宋体"/>
        </w:rPr>
      </w:pPr>
      <w:r>
        <w:rPr>
          <w:rFonts w:hint="eastAsia" w:ascii="宋体" w:hAnsi="宋体" w:cs="宋体"/>
        </w:rPr>
        <w:t>1976年7月县福利厂建成投产，安置社会上无依无靠的盲聋哑等残疾人员及孤儿院应安置的人员。1979年因经营不善而停办，1982年复办。1987年有职工24人，厂内办有藤器、竹器车间、杂货门市部，还有养猪、养奶牛等。1987年产值17.5万元，利润1.75万元。</w:t>
      </w:r>
    </w:p>
    <w:p w14:paraId="7EEDAF1C">
      <w:pPr>
        <w:ind w:firstLine="420"/>
        <w:rPr>
          <w:rFonts w:ascii="宋体" w:hAnsi="宋体" w:cs="宋体"/>
        </w:rPr>
      </w:pPr>
      <w:r>
        <w:rPr>
          <w:rFonts w:hint="eastAsia" w:ascii="宋体" w:hAnsi="宋体" w:cs="宋体"/>
        </w:rPr>
        <w:t>由于经营管理水平低，产品更新换代慢和资金缺乏，福利厂于1992年倒闭，工人自寻出路，部分工人被烈士陵园管理所聘为临时工。</w:t>
      </w:r>
    </w:p>
    <w:p w14:paraId="0836E474">
      <w:pPr>
        <w:ind w:firstLine="422"/>
        <w:rPr>
          <w:rFonts w:ascii="宋体" w:hAnsi="宋体" w:cs="宋体"/>
          <w:b/>
          <w:bCs/>
        </w:rPr>
      </w:pPr>
      <w:r>
        <w:rPr>
          <w:rFonts w:hint="eastAsia" w:ascii="宋体" w:hAnsi="宋体" w:cs="宋体"/>
          <w:b/>
          <w:bCs/>
        </w:rPr>
        <w:t>（五）社会福利奖票</w:t>
      </w:r>
    </w:p>
    <w:p w14:paraId="08B4F2EB">
      <w:pPr>
        <w:ind w:firstLine="420"/>
        <w:rPr>
          <w:rFonts w:ascii="宋体" w:hAnsi="宋体" w:cs="宋体"/>
        </w:rPr>
      </w:pPr>
      <w:r>
        <w:rPr>
          <w:rFonts w:hint="eastAsia" w:ascii="宋体" w:hAnsi="宋体" w:cs="宋体"/>
        </w:rPr>
        <w:t>1993年至1997年，积极开展社会福利有奖募捐活动，共销售福利奖票2066144张，筹集福利金53.1万元。中国电脑福利彩票韶关发行站于2000年在南雄设点销售。至2004年，全市约有30个投注站，年销售400余万元。</w:t>
      </w:r>
    </w:p>
    <w:p w14:paraId="7F6AE460">
      <w:pPr>
        <w:pStyle w:val="4"/>
        <w:rPr>
          <w:rFonts w:ascii="宋体" w:hAnsi="宋体" w:cs="宋体"/>
        </w:rPr>
      </w:pPr>
      <w:r>
        <w:rPr>
          <w:rFonts w:hint="eastAsia" w:ascii="宋体" w:hAnsi="宋体" w:cs="宋体"/>
        </w:rPr>
        <w:t>第六节  婚姻登记</w:t>
      </w:r>
    </w:p>
    <w:p w14:paraId="19E104EC">
      <w:pPr>
        <w:pStyle w:val="5"/>
        <w:rPr>
          <w:rFonts w:ascii="宋体" w:hAnsi="宋体" w:cs="宋体"/>
        </w:rPr>
      </w:pPr>
      <w:r>
        <w:rPr>
          <w:rFonts w:hint="eastAsia" w:ascii="宋体" w:hAnsi="宋体" w:cs="宋体"/>
        </w:rPr>
        <w:t>一、贯彻婚姻法</w:t>
      </w:r>
    </w:p>
    <w:p w14:paraId="3DC2FBCE">
      <w:pPr>
        <w:ind w:firstLine="420"/>
        <w:rPr>
          <w:rFonts w:ascii="宋体" w:hAnsi="宋体" w:cs="宋体"/>
        </w:rPr>
      </w:pPr>
      <w:r>
        <w:rPr>
          <w:rFonts w:hint="eastAsia" w:ascii="宋体" w:hAnsi="宋体" w:cs="宋体"/>
        </w:rPr>
        <w:t>1950年《中华人民共和国婚姻法》颁布后，结合土地改革开展大规模的宣传贯彻。1953年成立南雄县贯彻婚姻法委员会，培训工作队员227人，区、乡干部1315人，深入乡村，宣传贯彻。1963年5月，县成立贯彻婚姻法运动再宣传领导小组，开展贯彻婚姻法和晚婚的宣传活动。1985年至1987年在普及法律常识的宣传教育中，进一步宣传贯彻1980年颁布的婚姻法，培训考核婚姻登记员。1986年全县25名婚姻登记员，全部参加业务考核，发给婚姻登记员合格证。乡镇成立“移风易俗理事会”，提倡婚事新办，清理违反婚姻法行为。全县共清理早婚487人，私婚293人，换婚57人，包办婚姻79人，买卖婚姻19人，重婚5人，依法分别处理。黎口、江头、孔江3个乡共有310对夫妻补办结婚登记手续。</w:t>
      </w:r>
    </w:p>
    <w:p w14:paraId="2357E9BA">
      <w:pPr>
        <w:pStyle w:val="5"/>
        <w:rPr>
          <w:rFonts w:ascii="宋体" w:hAnsi="宋体" w:cs="宋体"/>
        </w:rPr>
      </w:pPr>
      <w:r>
        <w:rPr>
          <w:rFonts w:hint="eastAsia" w:ascii="宋体" w:hAnsi="宋体" w:cs="宋体"/>
        </w:rPr>
        <w:t>二、结婚登记</w:t>
      </w:r>
    </w:p>
    <w:p w14:paraId="7CEED262">
      <w:pPr>
        <w:ind w:firstLine="420"/>
        <w:rPr>
          <w:rFonts w:ascii="宋体" w:hAnsi="宋体" w:cs="宋体"/>
        </w:rPr>
      </w:pPr>
      <w:r>
        <w:rPr>
          <w:rFonts w:hint="eastAsia" w:ascii="宋体" w:hAnsi="宋体" w:cs="宋体"/>
        </w:rPr>
        <w:t>坚持依法登记，纠正有些地方一度规定离婚结婚要领导层层批准和结婚登记附加购买国库券、完成国家任务等条件以及乱收费的错误做法。做到随到随办，方便群众。涉及港、澳、台同胞的结婚登记工作，原由省、市政府办理，1985年始放权到县。</w:t>
      </w:r>
    </w:p>
    <w:p w14:paraId="737DA05B">
      <w:pPr>
        <w:ind w:firstLine="420"/>
        <w:rPr>
          <w:rFonts w:ascii="宋体" w:hAnsi="宋体" w:cs="宋体"/>
        </w:rPr>
      </w:pPr>
      <w:r>
        <w:rPr>
          <w:rFonts w:hint="eastAsia" w:ascii="宋体" w:hAnsi="宋体" w:cs="宋体"/>
        </w:rPr>
        <w:t>1988年至2004年全市共办理结婚登记41210对，其中涉港澳台123对。初婚人数78387人，再婚人数4033人。</w:t>
      </w:r>
    </w:p>
    <w:p w14:paraId="6AF6AE11">
      <w:pPr>
        <w:pStyle w:val="5"/>
        <w:rPr>
          <w:rFonts w:ascii="宋体" w:hAnsi="宋体" w:cs="宋体"/>
        </w:rPr>
      </w:pPr>
      <w:r>
        <w:rPr>
          <w:rFonts w:hint="eastAsia" w:ascii="宋体" w:hAnsi="宋体" w:cs="宋体"/>
        </w:rPr>
        <w:t>三、离婚登记</w:t>
      </w:r>
    </w:p>
    <w:p w14:paraId="678A327C">
      <w:pPr>
        <w:ind w:firstLine="420"/>
        <w:rPr>
          <w:rFonts w:ascii="宋体" w:hAnsi="宋体" w:cs="宋体"/>
        </w:rPr>
      </w:pPr>
      <w:r>
        <w:rPr>
          <w:rFonts w:hint="eastAsia" w:ascii="宋体" w:hAnsi="宋体" w:cs="宋体"/>
        </w:rPr>
        <w:t>1950年至1954年，依法办理离婚的有4483对。属于童养媳、包办婚姻的占75%，重婚纳妾的占25%。</w:t>
      </w:r>
    </w:p>
    <w:p w14:paraId="1384F3CF">
      <w:pPr>
        <w:ind w:firstLine="420"/>
        <w:rPr>
          <w:rFonts w:ascii="宋体" w:hAnsi="宋体" w:cs="宋体"/>
        </w:rPr>
      </w:pPr>
      <w:r>
        <w:rPr>
          <w:rFonts w:hint="eastAsia" w:ascii="宋体" w:hAnsi="宋体" w:cs="宋体"/>
        </w:rPr>
        <w:t>从1973年至1977年法院受理的婚姻案件共171起，平均每年34起。1982年至1987年受理527起，平均每年88起。</w:t>
      </w:r>
    </w:p>
    <w:p w14:paraId="7A78D9C6">
      <w:pPr>
        <w:ind w:firstLine="420"/>
        <w:rPr>
          <w:rFonts w:ascii="宋体" w:hAnsi="宋体" w:cs="宋体"/>
        </w:rPr>
      </w:pPr>
      <w:r>
        <w:rPr>
          <w:rFonts w:hint="eastAsia" w:ascii="宋体" w:hAnsi="宋体" w:cs="宋体"/>
        </w:rPr>
        <w:t>1988年至2004年全市办理协议离婚765起，平均每年48起。</w:t>
      </w:r>
    </w:p>
    <w:p w14:paraId="33E71FE4">
      <w:pPr>
        <w:pStyle w:val="4"/>
        <w:rPr>
          <w:rFonts w:ascii="宋体" w:hAnsi="宋体" w:cs="宋体"/>
        </w:rPr>
      </w:pPr>
      <w:r>
        <w:rPr>
          <w:rFonts w:hint="eastAsia" w:ascii="宋体" w:hAnsi="宋体" w:cs="宋体"/>
        </w:rPr>
        <w:t>第七节  殡葬改革</w:t>
      </w:r>
    </w:p>
    <w:p w14:paraId="4CC545C9">
      <w:pPr>
        <w:pStyle w:val="5"/>
        <w:rPr>
          <w:rFonts w:ascii="宋体" w:hAnsi="宋体" w:cs="宋体"/>
        </w:rPr>
      </w:pPr>
      <w:r>
        <w:rPr>
          <w:rFonts w:hint="eastAsia" w:ascii="宋体" w:hAnsi="宋体" w:cs="宋体"/>
        </w:rPr>
        <w:t>一、推行火葬</w:t>
      </w:r>
    </w:p>
    <w:p w14:paraId="3194F41C">
      <w:pPr>
        <w:ind w:firstLine="420"/>
        <w:rPr>
          <w:rFonts w:ascii="宋体" w:hAnsi="宋体" w:cs="宋体"/>
        </w:rPr>
      </w:pPr>
      <w:r>
        <w:rPr>
          <w:rFonts w:hint="eastAsia" w:ascii="宋体" w:hAnsi="宋体" w:cs="宋体"/>
        </w:rPr>
        <w:t>南雄从宋朝到明朝，原有火葬习俗。明洪武三年（1370年）正月，诏令禁止火葬，但禁而不止。明崇祯十三年（1640年），郡守周燝又令禁止火葬。清雍正十三年（1735年）再禁火葬，并革乡村落地税，为土葬提供方便，至晚清已无火葬。</w:t>
      </w:r>
    </w:p>
    <w:p w14:paraId="08C9144B">
      <w:pPr>
        <w:ind w:firstLine="420"/>
        <w:rPr>
          <w:rFonts w:ascii="宋体" w:hAnsi="宋体" w:cs="宋体"/>
        </w:rPr>
      </w:pPr>
      <w:r>
        <w:rPr>
          <w:rFonts w:hint="eastAsia" w:ascii="宋体" w:hAnsi="宋体" w:cs="宋体"/>
        </w:rPr>
        <w:t>新中国成立后提倡火葬。南雄火葬场从1974年动工，1976年竣工，坐落在雄余、雄信公路交叉点的赤土岗上，场地面积25330平方米，建筑面积1064平方米，投资12.96万元，烟囱高35米，有可容百多人的追悼堂，有防腐室、骨灰寄存室，有2座可同时火化尸体的反射煤炉，两辆机动殡葬运输车，有冰尸机等尸体防护设备。为搞好殡葬改革，县政府严禁用耕地作墓地，禁止出租、转让、买卖墓地或墓穴，禁止恢复或建立宗族墓地，禁止任何单位和个人经营棺木和土葬用品。规定国家干部、职工带头实行火葬，不实行火葬的不得享受丧葬补助费，所在单位也不得为其丧事活动提供方便。从1976年8月火葬场开始服务至1987年，火化3800多具尸体。火化率仅占一成多。</w:t>
      </w:r>
    </w:p>
    <w:p w14:paraId="0D696FAE">
      <w:pPr>
        <w:ind w:firstLine="420"/>
        <w:rPr>
          <w:rFonts w:ascii="宋体" w:hAnsi="宋体" w:cs="宋体"/>
        </w:rPr>
      </w:pPr>
      <w:r>
        <w:rPr>
          <w:rFonts w:hint="eastAsia" w:ascii="宋体" w:hAnsi="宋体" w:cs="宋体"/>
        </w:rPr>
        <w:t>1988年后，殡葬设施不断改善，至2000年先后投入380多万元，兴建火化车间，购进燃油火化炉2座，还对殡管所进行了美化绿化，使殡管所设备更先进，环境更卫生。1988年至2004年火化率40%。</w:t>
      </w:r>
    </w:p>
    <w:p w14:paraId="2374E50B">
      <w:pPr>
        <w:pStyle w:val="5"/>
        <w:rPr>
          <w:rFonts w:ascii="宋体" w:hAnsi="宋体" w:cs="宋体"/>
        </w:rPr>
      </w:pPr>
      <w:r>
        <w:rPr>
          <w:rFonts w:hint="eastAsia" w:ascii="宋体" w:hAnsi="宋体" w:cs="宋体"/>
        </w:rPr>
        <w:t>二、南山陵园公墓</w:t>
      </w:r>
    </w:p>
    <w:p w14:paraId="01690FAB">
      <w:pPr>
        <w:ind w:firstLine="420"/>
        <w:rPr>
          <w:rFonts w:ascii="宋体" w:hAnsi="宋体" w:cs="宋体"/>
        </w:rPr>
      </w:pPr>
      <w:r>
        <w:rPr>
          <w:rFonts w:hint="eastAsia" w:ascii="宋体" w:hAnsi="宋体" w:cs="宋体"/>
        </w:rPr>
        <w:t>1996年，市民政局与主田镇合作，在主田镇的主田和城门村委会所属的荒山上兴建了南山陵园公墓，提供丧主安葬遗体骨灰。公墓的兴建，有效地防止了乱葬的违法行为。</w:t>
      </w:r>
    </w:p>
    <w:p w14:paraId="62C17707">
      <w:pPr>
        <w:ind w:firstLine="420"/>
        <w:rPr>
          <w:rFonts w:ascii="宋体" w:hAnsi="宋体" w:cs="宋体"/>
        </w:rPr>
      </w:pPr>
      <w:r>
        <w:rPr>
          <w:rFonts w:hint="eastAsia" w:ascii="宋体" w:hAnsi="宋体" w:cs="宋体"/>
        </w:rPr>
        <w:t>第八节  基层群众自治组织建设</w:t>
      </w:r>
    </w:p>
    <w:p w14:paraId="1E97207B">
      <w:pPr>
        <w:ind w:firstLine="420"/>
        <w:rPr>
          <w:rFonts w:ascii="宋体" w:hAnsi="宋体" w:cs="宋体"/>
        </w:rPr>
      </w:pPr>
      <w:r>
        <w:rPr>
          <w:rFonts w:hint="eastAsia" w:ascii="宋体" w:hAnsi="宋体" w:cs="宋体"/>
        </w:rPr>
        <w:t>1998年，全市221个管理区改为村民委员会，同时开展了村委会组成人员的第一次民主直选。选出村委会成员991人，其中主任221人，副主任169人，成员601人。在村委会成员直选期间，按村民自治组织原则，进行了村委会的建章立制工作，建立了村民会议制度，村民代表议事制度和理财、治安等组织制度。此后，村民委员会换届选举，均如期举行。</w:t>
      </w:r>
    </w:p>
    <w:p w14:paraId="755A0FB0">
      <w:pPr>
        <w:ind w:firstLine="420"/>
        <w:rPr>
          <w:rFonts w:ascii="宋体" w:hAnsi="宋体" w:cs="宋体"/>
        </w:rPr>
      </w:pPr>
      <w:r>
        <w:rPr>
          <w:rFonts w:hint="eastAsia" w:ascii="宋体" w:hAnsi="宋体" w:cs="宋体"/>
        </w:rPr>
        <w:t>1998年第一届村委会成员直选后，市政府于1999年开展了村委会干部培训，培训班持续了1个多月，对全市直选出来的516名村委会正副主任、支部书记和24个镇的党群书记、办公室主任，进行了法制、农科技术和农村基层管理等方面的培训。此后，对每届村委成员会都进行任前培训。</w:t>
      </w:r>
    </w:p>
    <w:p w14:paraId="0A51542A">
      <w:pPr>
        <w:ind w:firstLine="420"/>
        <w:rPr>
          <w:rFonts w:ascii="宋体" w:hAnsi="宋体" w:cs="宋体"/>
        </w:rPr>
      </w:pPr>
      <w:r>
        <w:rPr>
          <w:rFonts w:hint="eastAsia" w:ascii="宋体" w:hAnsi="宋体" w:cs="宋体"/>
        </w:rPr>
        <w:t>从1999年开始，全市开展了镇政府的政务公开和村委会的村务公开工作。全市各镇和村委会均建立了政务公开栏和村务公开栏，定期将镇政府和村委会的财务收支、民政、计生等情况向群众公开，增加透明度，接受群众监督。</w:t>
      </w:r>
    </w:p>
    <w:p w14:paraId="45C1A30B">
      <w:pPr>
        <w:ind w:firstLine="420"/>
        <w:rPr>
          <w:rFonts w:ascii="宋体" w:hAnsi="宋体" w:cs="宋体"/>
        </w:rPr>
      </w:pPr>
      <w:r>
        <w:rPr>
          <w:rFonts w:hint="eastAsia" w:ascii="宋体" w:hAnsi="宋体" w:cs="宋体"/>
        </w:rPr>
        <w:t>村委会成员报酬仍沿用由村提留和村集体经济收入中支出，每年每人3000元～10000元不等。2004年起，村委会干部报酬由市财政统筹解决。</w:t>
      </w:r>
    </w:p>
    <w:p w14:paraId="16D4BD54">
      <w:pPr>
        <w:pStyle w:val="3"/>
        <w:rPr>
          <w:rFonts w:ascii="宋体" w:hAnsi="宋体" w:cs="宋体"/>
        </w:rPr>
      </w:pPr>
      <w:r>
        <w:rPr>
          <w:rFonts w:hint="eastAsia" w:ascii="宋体" w:hAnsi="宋体" w:cs="宋体"/>
        </w:rPr>
        <w:t>第五章  人民生活</w:t>
      </w:r>
    </w:p>
    <w:p w14:paraId="4E9ED394">
      <w:pPr>
        <w:ind w:firstLine="420"/>
        <w:rPr>
          <w:rFonts w:ascii="宋体" w:hAnsi="宋体" w:cs="宋体"/>
        </w:rPr>
      </w:pPr>
      <w:r>
        <w:rPr>
          <w:rFonts w:hint="eastAsia" w:ascii="宋体" w:hAnsi="宋体" w:cs="宋体"/>
        </w:rPr>
        <w:t>南雄人民生活尚简朴，求实惠，重温饱而不务奢华，住房较宽而多粗陋，生活水平居粤北各县之中上。1984年以来，烟区农民随着黄烟生产的发展，部分农民逐步走上富裕。山区农民致力山区资源开发，逐步摆脱贫困。2000年9月全市农村实现小康达标。</w:t>
      </w:r>
    </w:p>
    <w:p w14:paraId="452114FA">
      <w:pPr>
        <w:pStyle w:val="4"/>
        <w:rPr>
          <w:rFonts w:ascii="宋体" w:hAnsi="宋体" w:cs="宋体"/>
        </w:rPr>
      </w:pPr>
      <w:r>
        <w:rPr>
          <w:rFonts w:hint="eastAsia" w:ascii="宋体" w:hAnsi="宋体" w:cs="宋体"/>
        </w:rPr>
        <w:t>第一节  收入</w:t>
      </w:r>
    </w:p>
    <w:p w14:paraId="0FF2C161">
      <w:pPr>
        <w:pStyle w:val="5"/>
        <w:rPr>
          <w:rFonts w:ascii="宋体" w:hAnsi="宋体" w:cs="宋体"/>
        </w:rPr>
      </w:pPr>
      <w:r>
        <w:rPr>
          <w:rFonts w:hint="eastAsia" w:ascii="宋体" w:hAnsi="宋体" w:cs="宋体"/>
        </w:rPr>
        <w:t>一、农民收入</w:t>
      </w:r>
    </w:p>
    <w:p w14:paraId="0510586F">
      <w:pPr>
        <w:ind w:firstLine="422"/>
        <w:rPr>
          <w:rFonts w:ascii="宋体" w:hAnsi="宋体" w:cs="宋体"/>
        </w:rPr>
      </w:pPr>
      <w:r>
        <w:rPr>
          <w:rFonts w:hint="eastAsia" w:ascii="宋体" w:hAnsi="宋体" w:cs="宋体"/>
          <w:b/>
          <w:bCs/>
        </w:rPr>
        <w:t>1.新中国成立后农村人均收入，见表6-17：</w:t>
      </w:r>
    </w:p>
    <w:p w14:paraId="4619C36C">
      <w:pPr>
        <w:ind w:firstLine="422"/>
        <w:jc w:val="center"/>
        <w:rPr>
          <w:rFonts w:ascii="宋体" w:hAnsi="宋体" w:cs="宋体"/>
          <w:b/>
          <w:bCs/>
        </w:rPr>
      </w:pPr>
      <w:r>
        <w:rPr>
          <w:rFonts w:hint="eastAsia" w:ascii="宋体" w:hAnsi="宋体" w:cs="宋体"/>
          <w:b/>
          <w:bCs/>
        </w:rPr>
        <w:t>南雄县主要年份农村人均收入</w:t>
      </w:r>
    </w:p>
    <w:p w14:paraId="02B56B65">
      <w:pPr>
        <w:ind w:firstLine="0" w:firstLineChars="0"/>
        <w:rPr>
          <w:rFonts w:ascii="宋体" w:hAnsi="宋体" w:cs="宋体"/>
          <w:b/>
          <w:bCs/>
        </w:rPr>
      </w:pPr>
      <w:r>
        <w:rPr>
          <w:rFonts w:hint="eastAsia" w:ascii="宋体" w:hAnsi="宋体" w:cs="宋体"/>
          <w:b/>
          <w:bCs/>
        </w:rPr>
        <w:t>表6-17</w:t>
      </w:r>
    </w:p>
    <w:p w14:paraId="67F81261">
      <w:pPr>
        <w:ind w:firstLine="422"/>
        <w:jc w:val="right"/>
        <w:rPr>
          <w:rFonts w:ascii="宋体" w:hAnsi="宋体" w:cs="宋体"/>
          <w:b/>
          <w:bCs/>
        </w:rPr>
      </w:pPr>
      <w:r>
        <w:rPr>
          <w:rFonts w:hint="eastAsia" w:ascii="宋体" w:hAnsi="宋体" w:cs="宋体"/>
          <w:b/>
          <w:bCs/>
        </w:rPr>
        <w:t>单位：元</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2490"/>
        <w:gridCol w:w="2491"/>
        <w:gridCol w:w="2491"/>
      </w:tblGrid>
      <w:tr w14:paraId="4D7FB6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3B4B233">
            <w:pPr>
              <w:pStyle w:val="12"/>
              <w:jc w:val="center"/>
              <w:rPr>
                <w:b/>
              </w:rPr>
            </w:pPr>
            <w:r>
              <w:rPr>
                <w:rFonts w:hint="eastAsia"/>
                <w:b/>
              </w:rPr>
              <w:t>年份</w:t>
            </w:r>
          </w:p>
        </w:tc>
        <w:tc>
          <w:tcPr>
            <w:tcW w:w="1250" w:type="pct"/>
            <w:vAlign w:val="center"/>
          </w:tcPr>
          <w:p w14:paraId="7EAFF45A">
            <w:pPr>
              <w:pStyle w:val="12"/>
              <w:jc w:val="center"/>
              <w:rPr>
                <w:b/>
              </w:rPr>
            </w:pPr>
            <w:r>
              <w:rPr>
                <w:rFonts w:hint="eastAsia"/>
                <w:b/>
              </w:rPr>
              <w:t>纯收入</w:t>
            </w:r>
          </w:p>
        </w:tc>
        <w:tc>
          <w:tcPr>
            <w:tcW w:w="1250" w:type="pct"/>
            <w:vAlign w:val="center"/>
          </w:tcPr>
          <w:p w14:paraId="01C2037B">
            <w:pPr>
              <w:pStyle w:val="12"/>
              <w:jc w:val="center"/>
              <w:rPr>
                <w:b/>
              </w:rPr>
            </w:pPr>
            <w:r>
              <w:rPr>
                <w:rFonts w:hint="eastAsia"/>
                <w:b/>
              </w:rPr>
              <w:t>年份</w:t>
            </w:r>
          </w:p>
        </w:tc>
        <w:tc>
          <w:tcPr>
            <w:tcW w:w="1250" w:type="pct"/>
            <w:vAlign w:val="center"/>
          </w:tcPr>
          <w:p w14:paraId="1A42B15E">
            <w:pPr>
              <w:pStyle w:val="12"/>
              <w:jc w:val="center"/>
              <w:rPr>
                <w:b/>
              </w:rPr>
            </w:pPr>
            <w:r>
              <w:rPr>
                <w:rFonts w:hint="eastAsia"/>
                <w:b/>
              </w:rPr>
              <w:t>纯收入</w:t>
            </w:r>
          </w:p>
        </w:tc>
      </w:tr>
      <w:tr w14:paraId="2E1DC0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6CF78DC4">
            <w:pPr>
              <w:pStyle w:val="12"/>
              <w:jc w:val="center"/>
            </w:pPr>
            <w:r>
              <w:t>1957</w:t>
            </w:r>
          </w:p>
        </w:tc>
        <w:tc>
          <w:tcPr>
            <w:tcW w:w="1250" w:type="pct"/>
            <w:vAlign w:val="center"/>
          </w:tcPr>
          <w:p w14:paraId="5DB20D87">
            <w:pPr>
              <w:pStyle w:val="12"/>
              <w:jc w:val="center"/>
            </w:pPr>
            <w:r>
              <w:t>48.50</w:t>
            </w:r>
          </w:p>
        </w:tc>
        <w:tc>
          <w:tcPr>
            <w:tcW w:w="1250" w:type="pct"/>
            <w:vAlign w:val="center"/>
          </w:tcPr>
          <w:p w14:paraId="6F3B463C">
            <w:pPr>
              <w:pStyle w:val="12"/>
              <w:jc w:val="center"/>
            </w:pPr>
            <w:r>
              <w:t>1995</w:t>
            </w:r>
          </w:p>
        </w:tc>
        <w:tc>
          <w:tcPr>
            <w:tcW w:w="1250" w:type="pct"/>
            <w:vAlign w:val="center"/>
          </w:tcPr>
          <w:p w14:paraId="3C5516F0">
            <w:pPr>
              <w:pStyle w:val="12"/>
              <w:jc w:val="center"/>
            </w:pPr>
            <w:r>
              <w:t>1523</w:t>
            </w:r>
          </w:p>
        </w:tc>
      </w:tr>
      <w:tr w14:paraId="5B7A40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28868A1">
            <w:pPr>
              <w:pStyle w:val="12"/>
              <w:jc w:val="center"/>
            </w:pPr>
            <w:r>
              <w:t>1962</w:t>
            </w:r>
          </w:p>
        </w:tc>
        <w:tc>
          <w:tcPr>
            <w:tcW w:w="1250" w:type="pct"/>
            <w:vAlign w:val="center"/>
          </w:tcPr>
          <w:p w14:paraId="1CBBD833">
            <w:pPr>
              <w:pStyle w:val="12"/>
              <w:jc w:val="center"/>
            </w:pPr>
            <w:r>
              <w:t>48.60</w:t>
            </w:r>
          </w:p>
        </w:tc>
        <w:tc>
          <w:tcPr>
            <w:tcW w:w="1250" w:type="pct"/>
            <w:vAlign w:val="center"/>
          </w:tcPr>
          <w:p w14:paraId="7D544BE7">
            <w:pPr>
              <w:pStyle w:val="12"/>
              <w:jc w:val="center"/>
            </w:pPr>
            <w:r>
              <w:t>1996</w:t>
            </w:r>
          </w:p>
        </w:tc>
        <w:tc>
          <w:tcPr>
            <w:tcW w:w="1250" w:type="pct"/>
            <w:vAlign w:val="center"/>
          </w:tcPr>
          <w:p w14:paraId="07FD748C">
            <w:pPr>
              <w:pStyle w:val="12"/>
              <w:jc w:val="center"/>
            </w:pPr>
            <w:r>
              <w:t>1751</w:t>
            </w:r>
          </w:p>
        </w:tc>
      </w:tr>
      <w:tr w14:paraId="27BA7B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0F5396BC">
            <w:pPr>
              <w:pStyle w:val="12"/>
              <w:jc w:val="center"/>
            </w:pPr>
            <w:r>
              <w:t>1965</w:t>
            </w:r>
          </w:p>
        </w:tc>
        <w:tc>
          <w:tcPr>
            <w:tcW w:w="1250" w:type="pct"/>
            <w:vAlign w:val="center"/>
          </w:tcPr>
          <w:p w14:paraId="10A5116E">
            <w:pPr>
              <w:pStyle w:val="12"/>
              <w:jc w:val="center"/>
            </w:pPr>
            <w:r>
              <w:t>73.00</w:t>
            </w:r>
          </w:p>
        </w:tc>
        <w:tc>
          <w:tcPr>
            <w:tcW w:w="1250" w:type="pct"/>
            <w:vAlign w:val="center"/>
          </w:tcPr>
          <w:p w14:paraId="15CA7EFE">
            <w:pPr>
              <w:pStyle w:val="12"/>
              <w:jc w:val="center"/>
            </w:pPr>
            <w:r>
              <w:t>1997</w:t>
            </w:r>
          </w:p>
        </w:tc>
        <w:tc>
          <w:tcPr>
            <w:tcW w:w="1250" w:type="pct"/>
            <w:vAlign w:val="center"/>
          </w:tcPr>
          <w:p w14:paraId="1C3E9018">
            <w:pPr>
              <w:pStyle w:val="12"/>
              <w:jc w:val="center"/>
            </w:pPr>
            <w:r>
              <w:t>2023</w:t>
            </w:r>
          </w:p>
        </w:tc>
      </w:tr>
      <w:tr w14:paraId="55EC9C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06AFC88">
            <w:pPr>
              <w:pStyle w:val="12"/>
              <w:jc w:val="center"/>
            </w:pPr>
            <w:r>
              <w:t>1966</w:t>
            </w:r>
          </w:p>
        </w:tc>
        <w:tc>
          <w:tcPr>
            <w:tcW w:w="1250" w:type="pct"/>
            <w:vAlign w:val="center"/>
          </w:tcPr>
          <w:p w14:paraId="73D85210">
            <w:pPr>
              <w:pStyle w:val="12"/>
              <w:jc w:val="center"/>
            </w:pPr>
            <w:r>
              <w:t>85.41</w:t>
            </w:r>
          </w:p>
        </w:tc>
        <w:tc>
          <w:tcPr>
            <w:tcW w:w="1250" w:type="pct"/>
            <w:vAlign w:val="center"/>
          </w:tcPr>
          <w:p w14:paraId="63D03CC4">
            <w:pPr>
              <w:pStyle w:val="12"/>
              <w:jc w:val="center"/>
            </w:pPr>
            <w:r>
              <w:t>1998</w:t>
            </w:r>
          </w:p>
        </w:tc>
        <w:tc>
          <w:tcPr>
            <w:tcW w:w="1250" w:type="pct"/>
            <w:vAlign w:val="center"/>
          </w:tcPr>
          <w:p w14:paraId="42A30DB1">
            <w:pPr>
              <w:pStyle w:val="12"/>
              <w:jc w:val="center"/>
            </w:pPr>
            <w:r>
              <w:t>2298</w:t>
            </w:r>
          </w:p>
        </w:tc>
      </w:tr>
      <w:tr w14:paraId="3FBC1D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93DD787">
            <w:pPr>
              <w:pStyle w:val="12"/>
              <w:jc w:val="center"/>
            </w:pPr>
            <w:r>
              <w:t>1976</w:t>
            </w:r>
          </w:p>
        </w:tc>
        <w:tc>
          <w:tcPr>
            <w:tcW w:w="1250" w:type="pct"/>
            <w:vAlign w:val="center"/>
          </w:tcPr>
          <w:p w14:paraId="472853D5">
            <w:pPr>
              <w:pStyle w:val="12"/>
              <w:jc w:val="center"/>
            </w:pPr>
            <w:r>
              <w:t>79.00</w:t>
            </w:r>
          </w:p>
        </w:tc>
        <w:tc>
          <w:tcPr>
            <w:tcW w:w="1250" w:type="pct"/>
            <w:vAlign w:val="center"/>
          </w:tcPr>
          <w:p w14:paraId="69A3E025">
            <w:pPr>
              <w:pStyle w:val="12"/>
              <w:jc w:val="center"/>
            </w:pPr>
            <w:r>
              <w:t>1999</w:t>
            </w:r>
          </w:p>
        </w:tc>
        <w:tc>
          <w:tcPr>
            <w:tcW w:w="1250" w:type="pct"/>
            <w:vAlign w:val="center"/>
          </w:tcPr>
          <w:p w14:paraId="3E3CA6DA">
            <w:pPr>
              <w:pStyle w:val="12"/>
              <w:jc w:val="center"/>
            </w:pPr>
            <w:r>
              <w:t>2610</w:t>
            </w:r>
          </w:p>
        </w:tc>
      </w:tr>
      <w:tr w14:paraId="0C833F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C891D91">
            <w:pPr>
              <w:pStyle w:val="12"/>
              <w:jc w:val="center"/>
            </w:pPr>
            <w:r>
              <w:t>1978</w:t>
            </w:r>
          </w:p>
        </w:tc>
        <w:tc>
          <w:tcPr>
            <w:tcW w:w="1250" w:type="pct"/>
            <w:vAlign w:val="center"/>
          </w:tcPr>
          <w:p w14:paraId="4DE7B6EE">
            <w:pPr>
              <w:pStyle w:val="12"/>
              <w:jc w:val="center"/>
            </w:pPr>
            <w:r>
              <w:t>85.82</w:t>
            </w:r>
          </w:p>
        </w:tc>
        <w:tc>
          <w:tcPr>
            <w:tcW w:w="1250" w:type="pct"/>
            <w:vAlign w:val="center"/>
          </w:tcPr>
          <w:p w14:paraId="0DF4ED36">
            <w:pPr>
              <w:pStyle w:val="12"/>
              <w:jc w:val="center"/>
            </w:pPr>
            <w:r>
              <w:t>2000</w:t>
            </w:r>
          </w:p>
        </w:tc>
        <w:tc>
          <w:tcPr>
            <w:tcW w:w="1250" w:type="pct"/>
            <w:vAlign w:val="center"/>
          </w:tcPr>
          <w:p w14:paraId="5A300F1E">
            <w:pPr>
              <w:pStyle w:val="12"/>
              <w:jc w:val="center"/>
            </w:pPr>
            <w:r>
              <w:t>2921</w:t>
            </w:r>
          </w:p>
        </w:tc>
      </w:tr>
      <w:tr w14:paraId="3DD9F9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F1E9F2E">
            <w:pPr>
              <w:pStyle w:val="12"/>
              <w:jc w:val="center"/>
            </w:pPr>
            <w:r>
              <w:t>1979</w:t>
            </w:r>
          </w:p>
        </w:tc>
        <w:tc>
          <w:tcPr>
            <w:tcW w:w="1250" w:type="pct"/>
            <w:vAlign w:val="center"/>
          </w:tcPr>
          <w:p w14:paraId="78EC915C">
            <w:pPr>
              <w:pStyle w:val="12"/>
              <w:jc w:val="center"/>
            </w:pPr>
            <w:r>
              <w:t>105.38</w:t>
            </w:r>
          </w:p>
        </w:tc>
        <w:tc>
          <w:tcPr>
            <w:tcW w:w="1250" w:type="pct"/>
            <w:vAlign w:val="center"/>
          </w:tcPr>
          <w:p w14:paraId="75EB913C">
            <w:pPr>
              <w:pStyle w:val="12"/>
              <w:jc w:val="center"/>
            </w:pPr>
            <w:r>
              <w:t>2001</w:t>
            </w:r>
          </w:p>
        </w:tc>
        <w:tc>
          <w:tcPr>
            <w:tcW w:w="1250" w:type="pct"/>
            <w:vAlign w:val="center"/>
          </w:tcPr>
          <w:p w14:paraId="45230BB3">
            <w:pPr>
              <w:pStyle w:val="12"/>
              <w:jc w:val="center"/>
            </w:pPr>
            <w:r>
              <w:t>3165</w:t>
            </w:r>
          </w:p>
        </w:tc>
      </w:tr>
      <w:tr w14:paraId="2174AC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38F47DD">
            <w:pPr>
              <w:pStyle w:val="12"/>
              <w:jc w:val="center"/>
            </w:pPr>
            <w:r>
              <w:t>1980</w:t>
            </w:r>
          </w:p>
        </w:tc>
        <w:tc>
          <w:tcPr>
            <w:tcW w:w="1250" w:type="pct"/>
            <w:vAlign w:val="center"/>
          </w:tcPr>
          <w:p w14:paraId="011A10BA">
            <w:pPr>
              <w:pStyle w:val="12"/>
              <w:jc w:val="center"/>
            </w:pPr>
            <w:r>
              <w:t>115.47</w:t>
            </w:r>
          </w:p>
        </w:tc>
        <w:tc>
          <w:tcPr>
            <w:tcW w:w="1250" w:type="pct"/>
            <w:vAlign w:val="center"/>
          </w:tcPr>
          <w:p w14:paraId="725683FF">
            <w:pPr>
              <w:pStyle w:val="12"/>
              <w:jc w:val="center"/>
            </w:pPr>
            <w:r>
              <w:t>2002</w:t>
            </w:r>
          </w:p>
        </w:tc>
        <w:tc>
          <w:tcPr>
            <w:tcW w:w="1250" w:type="pct"/>
            <w:vAlign w:val="center"/>
          </w:tcPr>
          <w:p w14:paraId="003FE5A3">
            <w:pPr>
              <w:pStyle w:val="12"/>
              <w:jc w:val="center"/>
            </w:pPr>
            <w:r>
              <w:t>3370</w:t>
            </w:r>
          </w:p>
        </w:tc>
      </w:tr>
      <w:tr w14:paraId="3F379A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458EBF9">
            <w:pPr>
              <w:pStyle w:val="12"/>
              <w:jc w:val="center"/>
            </w:pPr>
            <w:r>
              <w:t>1988</w:t>
            </w:r>
          </w:p>
        </w:tc>
        <w:tc>
          <w:tcPr>
            <w:tcW w:w="1250" w:type="pct"/>
            <w:vAlign w:val="center"/>
          </w:tcPr>
          <w:p w14:paraId="2311F911">
            <w:pPr>
              <w:pStyle w:val="12"/>
              <w:jc w:val="center"/>
            </w:pPr>
            <w:r>
              <w:t>708</w:t>
            </w:r>
          </w:p>
        </w:tc>
        <w:tc>
          <w:tcPr>
            <w:tcW w:w="1250" w:type="pct"/>
            <w:vAlign w:val="center"/>
          </w:tcPr>
          <w:p w14:paraId="465B38B4">
            <w:pPr>
              <w:pStyle w:val="12"/>
              <w:jc w:val="center"/>
            </w:pPr>
            <w:r>
              <w:t>2003</w:t>
            </w:r>
          </w:p>
        </w:tc>
        <w:tc>
          <w:tcPr>
            <w:tcW w:w="1250" w:type="pct"/>
            <w:vAlign w:val="center"/>
          </w:tcPr>
          <w:p w14:paraId="55F9D581">
            <w:pPr>
              <w:pStyle w:val="12"/>
              <w:jc w:val="center"/>
            </w:pPr>
            <w:r>
              <w:t>3478</w:t>
            </w:r>
          </w:p>
        </w:tc>
      </w:tr>
      <w:tr w14:paraId="14739A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0F3A43D">
            <w:pPr>
              <w:pStyle w:val="12"/>
              <w:jc w:val="center"/>
            </w:pPr>
            <w:r>
              <w:t>1992</w:t>
            </w:r>
          </w:p>
        </w:tc>
        <w:tc>
          <w:tcPr>
            <w:tcW w:w="1250" w:type="pct"/>
            <w:vAlign w:val="center"/>
          </w:tcPr>
          <w:p w14:paraId="2958C03C">
            <w:pPr>
              <w:pStyle w:val="12"/>
              <w:jc w:val="center"/>
            </w:pPr>
            <w:r>
              <w:t>1014</w:t>
            </w:r>
          </w:p>
        </w:tc>
        <w:tc>
          <w:tcPr>
            <w:tcW w:w="1250" w:type="pct"/>
            <w:vAlign w:val="center"/>
          </w:tcPr>
          <w:p w14:paraId="18E34F09">
            <w:pPr>
              <w:pStyle w:val="12"/>
              <w:jc w:val="center"/>
            </w:pPr>
            <w:r>
              <w:t>2004</w:t>
            </w:r>
          </w:p>
        </w:tc>
        <w:tc>
          <w:tcPr>
            <w:tcW w:w="1250" w:type="pct"/>
            <w:vAlign w:val="center"/>
          </w:tcPr>
          <w:p w14:paraId="67821531">
            <w:pPr>
              <w:pStyle w:val="12"/>
              <w:jc w:val="center"/>
            </w:pPr>
            <w:r>
              <w:t>3165</w:t>
            </w:r>
          </w:p>
        </w:tc>
      </w:tr>
    </w:tbl>
    <w:p w14:paraId="09BC7E91">
      <w:pPr>
        <w:ind w:firstLine="422"/>
        <w:rPr>
          <w:rFonts w:ascii="宋体" w:hAnsi="宋体" w:cs="宋体"/>
          <w:b/>
        </w:rPr>
      </w:pPr>
      <w:r>
        <w:rPr>
          <w:rFonts w:hint="eastAsia" w:ascii="宋体" w:hAnsi="宋体" w:cs="宋体"/>
          <w:b/>
        </w:rPr>
        <w:t>说明：①1984年以前收入不含农户自产自用的柴火、蔬菜、肉蛋，1984年起则含。②1993年至2003年，农民人均纯收入按评估调整计算数。③2004年以后农民人均纯收入按MPPS调查数。</w:t>
      </w:r>
    </w:p>
    <w:p w14:paraId="5A579CCB">
      <w:pPr>
        <w:ind w:firstLine="422"/>
        <w:rPr>
          <w:rFonts w:ascii="宋体" w:hAnsi="宋体" w:cs="宋体"/>
          <w:b/>
          <w:bCs/>
        </w:rPr>
      </w:pPr>
      <w:r>
        <w:rPr>
          <w:rFonts w:hint="eastAsia" w:ascii="宋体" w:hAnsi="宋体" w:cs="宋体"/>
          <w:b/>
          <w:bCs/>
        </w:rPr>
        <w:t>2.2004年各镇年人均收入依序排列如下：</w:t>
      </w:r>
    </w:p>
    <w:p w14:paraId="5075C7C1">
      <w:pPr>
        <w:ind w:firstLine="420"/>
        <w:rPr>
          <w:rFonts w:ascii="宋体" w:hAnsi="宋体" w:cs="宋体"/>
        </w:rPr>
      </w:pPr>
      <w:r>
        <w:rPr>
          <w:rFonts w:hint="eastAsia" w:ascii="宋体" w:hAnsi="宋体" w:cs="宋体"/>
        </w:rPr>
        <w:t>雄州3726元，主田3365元，古市3338元，湖口3289元，黎口3263元，全安3255元，珠玑3251元，澜河3195元，帽子峰3186元，黄坑3181元，乌迳3165元，水口3126元，邓坊3109元，江头3064元，南亩3050元，百顺2989元，梅岭2988元，坪田2987元，界址2950元，油山2945元，</w:t>
      </w:r>
    </w:p>
    <w:p w14:paraId="265FB276">
      <w:pPr>
        <w:ind w:firstLine="422"/>
        <w:rPr>
          <w:rFonts w:ascii="宋体" w:hAnsi="宋体" w:cs="宋体"/>
          <w:b/>
          <w:bCs/>
        </w:rPr>
      </w:pPr>
      <w:r>
        <w:rPr>
          <w:rFonts w:hint="eastAsia" w:ascii="宋体" w:hAnsi="宋体" w:cs="宋体"/>
          <w:b/>
          <w:bCs/>
        </w:rPr>
        <w:t>3.1979年至2004年抽样调查农户年人均收入水平，详见表6-18：</w:t>
      </w:r>
    </w:p>
    <w:p w14:paraId="6AEF94F8">
      <w:pPr>
        <w:ind w:firstLine="422"/>
        <w:jc w:val="center"/>
        <w:rPr>
          <w:rFonts w:ascii="宋体" w:hAnsi="宋体" w:cs="宋体"/>
          <w:b/>
          <w:bCs/>
        </w:rPr>
      </w:pPr>
      <w:r>
        <w:rPr>
          <w:rFonts w:hint="eastAsia" w:ascii="宋体" w:hAnsi="宋体" w:cs="宋体"/>
          <w:b/>
          <w:bCs/>
        </w:rPr>
        <w:t>南雄市1979年至2004年农户人均收入水平抽样调查</w:t>
      </w:r>
    </w:p>
    <w:p w14:paraId="6E1DF7CE">
      <w:pPr>
        <w:ind w:firstLine="0" w:firstLineChars="0"/>
        <w:rPr>
          <w:rFonts w:ascii="宋体" w:hAnsi="宋体" w:cs="宋体"/>
          <w:b/>
          <w:bCs/>
        </w:rPr>
      </w:pPr>
      <w:r>
        <w:rPr>
          <w:rFonts w:hint="eastAsia" w:ascii="宋体" w:hAnsi="宋体" w:cs="宋体"/>
          <w:b/>
          <w:bCs/>
        </w:rPr>
        <w:t>表6-18</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842"/>
        <w:gridCol w:w="564"/>
        <w:gridCol w:w="564"/>
        <w:gridCol w:w="564"/>
        <w:gridCol w:w="564"/>
        <w:gridCol w:w="564"/>
        <w:gridCol w:w="564"/>
        <w:gridCol w:w="564"/>
        <w:gridCol w:w="564"/>
        <w:gridCol w:w="564"/>
        <w:gridCol w:w="564"/>
        <w:gridCol w:w="564"/>
        <w:gridCol w:w="564"/>
        <w:gridCol w:w="564"/>
        <w:gridCol w:w="564"/>
        <w:gridCol w:w="564"/>
        <w:gridCol w:w="558"/>
      </w:tblGrid>
      <w:tr w14:paraId="5FFAB7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c>
          <w:tcPr>
            <w:tcW w:w="427" w:type="pct"/>
            <w:vAlign w:val="center"/>
          </w:tcPr>
          <w:p w14:paraId="05133616">
            <w:pPr>
              <w:pStyle w:val="12"/>
              <w:jc w:val="center"/>
              <w:rPr>
                <w:rFonts w:ascii="宋体" w:hAnsi="宋体"/>
                <w:b/>
                <w:w w:val="66"/>
              </w:rPr>
            </w:pPr>
            <w:r>
              <w:rPr>
                <w:rFonts w:hint="eastAsia" w:ascii="宋体" w:hAnsi="宋体"/>
                <w:b/>
                <w:w w:val="66"/>
              </w:rPr>
              <w:t>人均纯收入水平分组</w:t>
            </w:r>
          </w:p>
        </w:tc>
        <w:tc>
          <w:tcPr>
            <w:tcW w:w="286" w:type="pct"/>
            <w:vAlign w:val="center"/>
          </w:tcPr>
          <w:p w14:paraId="591928EF">
            <w:pPr>
              <w:pStyle w:val="12"/>
              <w:jc w:val="center"/>
              <w:rPr>
                <w:rFonts w:ascii="宋体" w:hAnsi="宋体"/>
                <w:b/>
                <w:w w:val="66"/>
              </w:rPr>
            </w:pPr>
            <w:r>
              <w:rPr>
                <w:rFonts w:hint="eastAsia" w:ascii="宋体" w:hAnsi="宋体"/>
                <w:b/>
                <w:w w:val="66"/>
              </w:rPr>
              <w:t>1979年（户）</w:t>
            </w:r>
          </w:p>
        </w:tc>
        <w:tc>
          <w:tcPr>
            <w:tcW w:w="286" w:type="pct"/>
            <w:vAlign w:val="center"/>
          </w:tcPr>
          <w:p w14:paraId="6D58912E">
            <w:pPr>
              <w:pStyle w:val="12"/>
              <w:jc w:val="center"/>
              <w:rPr>
                <w:rFonts w:ascii="宋体" w:hAnsi="宋体"/>
                <w:b/>
                <w:w w:val="66"/>
              </w:rPr>
            </w:pPr>
            <w:r>
              <w:rPr>
                <w:rFonts w:hint="eastAsia" w:ascii="宋体" w:hAnsi="宋体"/>
                <w:b/>
                <w:w w:val="66"/>
              </w:rPr>
              <w:t>占当年调查户比（%）</w:t>
            </w:r>
          </w:p>
        </w:tc>
        <w:tc>
          <w:tcPr>
            <w:tcW w:w="286" w:type="pct"/>
            <w:vAlign w:val="center"/>
          </w:tcPr>
          <w:p w14:paraId="3493E79B">
            <w:pPr>
              <w:pStyle w:val="12"/>
              <w:jc w:val="center"/>
              <w:rPr>
                <w:rFonts w:ascii="宋体" w:hAnsi="宋体"/>
                <w:b/>
                <w:w w:val="66"/>
              </w:rPr>
            </w:pPr>
            <w:r>
              <w:rPr>
                <w:rFonts w:hint="eastAsia" w:ascii="宋体" w:hAnsi="宋体"/>
                <w:b/>
                <w:w w:val="66"/>
              </w:rPr>
              <w:t>1985年（户）</w:t>
            </w:r>
          </w:p>
        </w:tc>
        <w:tc>
          <w:tcPr>
            <w:tcW w:w="286" w:type="pct"/>
            <w:vAlign w:val="center"/>
          </w:tcPr>
          <w:p w14:paraId="40E9B242">
            <w:pPr>
              <w:pStyle w:val="12"/>
              <w:jc w:val="center"/>
              <w:rPr>
                <w:rFonts w:ascii="宋体" w:hAnsi="宋体"/>
                <w:b/>
                <w:w w:val="66"/>
              </w:rPr>
            </w:pPr>
            <w:r>
              <w:rPr>
                <w:rFonts w:hint="eastAsia" w:ascii="宋体" w:hAnsi="宋体"/>
                <w:b/>
                <w:w w:val="66"/>
              </w:rPr>
              <w:t>占当年调查户比（%）</w:t>
            </w:r>
          </w:p>
        </w:tc>
        <w:tc>
          <w:tcPr>
            <w:tcW w:w="286" w:type="pct"/>
            <w:vAlign w:val="center"/>
          </w:tcPr>
          <w:p w14:paraId="109349FE">
            <w:pPr>
              <w:pStyle w:val="12"/>
              <w:jc w:val="center"/>
              <w:rPr>
                <w:rFonts w:ascii="宋体" w:hAnsi="宋体"/>
                <w:b/>
                <w:w w:val="66"/>
              </w:rPr>
            </w:pPr>
            <w:r>
              <w:rPr>
                <w:rFonts w:hint="eastAsia" w:ascii="宋体" w:hAnsi="宋体"/>
                <w:b/>
                <w:w w:val="66"/>
              </w:rPr>
              <w:t>1986年（户）</w:t>
            </w:r>
          </w:p>
        </w:tc>
        <w:tc>
          <w:tcPr>
            <w:tcW w:w="286" w:type="pct"/>
            <w:vAlign w:val="center"/>
          </w:tcPr>
          <w:p w14:paraId="2349B6A7">
            <w:pPr>
              <w:pStyle w:val="12"/>
              <w:jc w:val="center"/>
              <w:rPr>
                <w:rFonts w:ascii="宋体" w:hAnsi="宋体"/>
                <w:b/>
                <w:w w:val="66"/>
              </w:rPr>
            </w:pPr>
            <w:r>
              <w:rPr>
                <w:rFonts w:hint="eastAsia" w:ascii="宋体" w:hAnsi="宋体"/>
                <w:b/>
                <w:w w:val="66"/>
              </w:rPr>
              <w:t>占当年调查户比（%）</w:t>
            </w:r>
          </w:p>
        </w:tc>
        <w:tc>
          <w:tcPr>
            <w:tcW w:w="286" w:type="pct"/>
            <w:vAlign w:val="center"/>
          </w:tcPr>
          <w:p w14:paraId="2E989AE6">
            <w:pPr>
              <w:pStyle w:val="12"/>
              <w:jc w:val="center"/>
              <w:rPr>
                <w:rFonts w:ascii="宋体" w:hAnsi="宋体"/>
                <w:b/>
                <w:w w:val="66"/>
              </w:rPr>
            </w:pPr>
            <w:r>
              <w:rPr>
                <w:rFonts w:hint="eastAsia" w:ascii="宋体" w:hAnsi="宋体"/>
                <w:b/>
                <w:w w:val="66"/>
              </w:rPr>
              <w:t>1987年（户）</w:t>
            </w:r>
          </w:p>
        </w:tc>
        <w:tc>
          <w:tcPr>
            <w:tcW w:w="286" w:type="pct"/>
            <w:vAlign w:val="center"/>
          </w:tcPr>
          <w:p w14:paraId="1557294A">
            <w:pPr>
              <w:pStyle w:val="12"/>
              <w:jc w:val="center"/>
              <w:rPr>
                <w:rFonts w:ascii="宋体" w:hAnsi="宋体"/>
                <w:b/>
                <w:w w:val="66"/>
              </w:rPr>
            </w:pPr>
            <w:r>
              <w:rPr>
                <w:rFonts w:hint="eastAsia" w:ascii="宋体" w:hAnsi="宋体"/>
                <w:b/>
                <w:w w:val="66"/>
              </w:rPr>
              <w:t>占当年调查户比（%）</w:t>
            </w:r>
          </w:p>
        </w:tc>
        <w:tc>
          <w:tcPr>
            <w:tcW w:w="286" w:type="pct"/>
            <w:vAlign w:val="center"/>
          </w:tcPr>
          <w:p w14:paraId="489DBD69">
            <w:pPr>
              <w:pStyle w:val="12"/>
              <w:jc w:val="center"/>
              <w:rPr>
                <w:rFonts w:ascii="宋体" w:hAnsi="宋体"/>
                <w:b/>
                <w:w w:val="66"/>
              </w:rPr>
            </w:pPr>
            <w:r>
              <w:rPr>
                <w:rFonts w:hint="eastAsia" w:ascii="宋体" w:hAnsi="宋体"/>
                <w:b/>
                <w:w w:val="66"/>
              </w:rPr>
              <w:t>1988年（户）</w:t>
            </w:r>
          </w:p>
        </w:tc>
        <w:tc>
          <w:tcPr>
            <w:tcW w:w="286" w:type="pct"/>
            <w:vAlign w:val="center"/>
          </w:tcPr>
          <w:p w14:paraId="42BE4052">
            <w:pPr>
              <w:pStyle w:val="12"/>
              <w:jc w:val="center"/>
              <w:rPr>
                <w:rFonts w:ascii="宋体" w:hAnsi="宋体"/>
                <w:b/>
                <w:w w:val="66"/>
              </w:rPr>
            </w:pPr>
            <w:r>
              <w:rPr>
                <w:rFonts w:hint="eastAsia" w:ascii="宋体" w:hAnsi="宋体"/>
                <w:b/>
                <w:w w:val="66"/>
              </w:rPr>
              <w:t>占当年调查户比（%）</w:t>
            </w:r>
          </w:p>
        </w:tc>
        <w:tc>
          <w:tcPr>
            <w:tcW w:w="286" w:type="pct"/>
            <w:vAlign w:val="center"/>
          </w:tcPr>
          <w:p w14:paraId="7D7C11CE">
            <w:pPr>
              <w:pStyle w:val="12"/>
              <w:jc w:val="center"/>
              <w:rPr>
                <w:rFonts w:ascii="宋体" w:hAnsi="宋体"/>
                <w:b/>
                <w:w w:val="66"/>
              </w:rPr>
            </w:pPr>
            <w:r>
              <w:rPr>
                <w:rFonts w:hint="eastAsia" w:ascii="宋体" w:hAnsi="宋体"/>
                <w:b/>
                <w:w w:val="66"/>
              </w:rPr>
              <w:t>1992年（户）</w:t>
            </w:r>
          </w:p>
        </w:tc>
        <w:tc>
          <w:tcPr>
            <w:tcW w:w="286" w:type="pct"/>
            <w:vAlign w:val="center"/>
          </w:tcPr>
          <w:p w14:paraId="39F00AA4">
            <w:pPr>
              <w:pStyle w:val="12"/>
              <w:jc w:val="center"/>
              <w:rPr>
                <w:rFonts w:ascii="宋体" w:hAnsi="宋体"/>
                <w:b/>
                <w:w w:val="66"/>
              </w:rPr>
            </w:pPr>
            <w:r>
              <w:rPr>
                <w:rFonts w:hint="eastAsia" w:ascii="宋体" w:hAnsi="宋体"/>
                <w:b/>
                <w:w w:val="66"/>
              </w:rPr>
              <w:t>占当年调查户比（%）</w:t>
            </w:r>
          </w:p>
        </w:tc>
        <w:tc>
          <w:tcPr>
            <w:tcW w:w="286" w:type="pct"/>
            <w:vAlign w:val="center"/>
          </w:tcPr>
          <w:p w14:paraId="5E11A6BF">
            <w:pPr>
              <w:pStyle w:val="12"/>
              <w:jc w:val="center"/>
              <w:rPr>
                <w:rFonts w:ascii="宋体" w:hAnsi="宋体"/>
                <w:b/>
                <w:w w:val="66"/>
              </w:rPr>
            </w:pPr>
            <w:r>
              <w:rPr>
                <w:rFonts w:hint="eastAsia" w:ascii="宋体" w:hAnsi="宋体"/>
                <w:b/>
                <w:w w:val="66"/>
              </w:rPr>
              <w:t>1997年（户）</w:t>
            </w:r>
          </w:p>
        </w:tc>
        <w:tc>
          <w:tcPr>
            <w:tcW w:w="286" w:type="pct"/>
            <w:vAlign w:val="center"/>
          </w:tcPr>
          <w:p w14:paraId="733D1B76">
            <w:pPr>
              <w:pStyle w:val="12"/>
              <w:jc w:val="center"/>
              <w:rPr>
                <w:rFonts w:ascii="宋体" w:hAnsi="宋体"/>
                <w:b/>
                <w:w w:val="66"/>
              </w:rPr>
            </w:pPr>
            <w:r>
              <w:rPr>
                <w:rFonts w:hint="eastAsia" w:ascii="宋体" w:hAnsi="宋体"/>
                <w:b/>
                <w:w w:val="66"/>
              </w:rPr>
              <w:t>占当年调查户比（%）</w:t>
            </w:r>
          </w:p>
        </w:tc>
        <w:tc>
          <w:tcPr>
            <w:tcW w:w="286" w:type="pct"/>
            <w:vAlign w:val="center"/>
          </w:tcPr>
          <w:p w14:paraId="56218D91">
            <w:pPr>
              <w:pStyle w:val="12"/>
              <w:jc w:val="center"/>
              <w:rPr>
                <w:rFonts w:ascii="宋体" w:hAnsi="宋体"/>
                <w:b/>
                <w:w w:val="66"/>
              </w:rPr>
            </w:pPr>
            <w:r>
              <w:rPr>
                <w:rFonts w:hint="eastAsia" w:ascii="宋体" w:hAnsi="宋体"/>
                <w:b/>
                <w:w w:val="66"/>
              </w:rPr>
              <w:t>2004年（户）</w:t>
            </w:r>
          </w:p>
        </w:tc>
        <w:tc>
          <w:tcPr>
            <w:tcW w:w="283" w:type="pct"/>
            <w:vAlign w:val="center"/>
          </w:tcPr>
          <w:p w14:paraId="71BA5E60">
            <w:pPr>
              <w:pStyle w:val="12"/>
              <w:jc w:val="center"/>
              <w:rPr>
                <w:rFonts w:ascii="宋体" w:hAnsi="宋体"/>
                <w:b/>
                <w:w w:val="66"/>
              </w:rPr>
            </w:pPr>
            <w:r>
              <w:rPr>
                <w:rFonts w:hint="eastAsia" w:ascii="宋体" w:hAnsi="宋体"/>
                <w:b/>
                <w:w w:val="66"/>
              </w:rPr>
              <w:t>占当年调查户比（%）</w:t>
            </w:r>
          </w:p>
        </w:tc>
      </w:tr>
      <w:tr w14:paraId="772726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c>
          <w:tcPr>
            <w:tcW w:w="427" w:type="pct"/>
            <w:vAlign w:val="center"/>
          </w:tcPr>
          <w:p w14:paraId="61F61935">
            <w:pPr>
              <w:pStyle w:val="12"/>
              <w:jc w:val="center"/>
              <w:rPr>
                <w:rFonts w:ascii="宋体" w:hAnsi="宋体"/>
                <w:w w:val="66"/>
              </w:rPr>
            </w:pPr>
            <w:r>
              <w:rPr>
                <w:rFonts w:hint="eastAsia" w:ascii="宋体" w:hAnsi="宋体"/>
                <w:w w:val="66"/>
              </w:rPr>
              <w:t>调查数</w:t>
            </w:r>
          </w:p>
        </w:tc>
        <w:tc>
          <w:tcPr>
            <w:tcW w:w="286" w:type="pct"/>
            <w:vAlign w:val="center"/>
          </w:tcPr>
          <w:p w14:paraId="1E1DBBE7">
            <w:pPr>
              <w:pStyle w:val="12"/>
              <w:jc w:val="center"/>
              <w:rPr>
                <w:rFonts w:ascii="宋体" w:hAnsi="宋体"/>
                <w:w w:val="66"/>
              </w:rPr>
            </w:pPr>
            <w:r>
              <w:rPr>
                <w:rFonts w:hint="eastAsia" w:ascii="宋体" w:hAnsi="宋体"/>
                <w:w w:val="66"/>
              </w:rPr>
              <w:t>80</w:t>
            </w:r>
          </w:p>
        </w:tc>
        <w:tc>
          <w:tcPr>
            <w:tcW w:w="286" w:type="pct"/>
            <w:vAlign w:val="center"/>
          </w:tcPr>
          <w:p w14:paraId="52B2ECC0">
            <w:pPr>
              <w:pStyle w:val="12"/>
              <w:jc w:val="center"/>
              <w:rPr>
                <w:rFonts w:ascii="宋体" w:hAnsi="宋体"/>
                <w:w w:val="66"/>
              </w:rPr>
            </w:pPr>
            <w:r>
              <w:rPr>
                <w:rFonts w:hint="eastAsia" w:ascii="宋体" w:hAnsi="宋体"/>
                <w:w w:val="66"/>
              </w:rPr>
              <w:t>100</w:t>
            </w:r>
          </w:p>
        </w:tc>
        <w:tc>
          <w:tcPr>
            <w:tcW w:w="286" w:type="pct"/>
            <w:vAlign w:val="center"/>
          </w:tcPr>
          <w:p w14:paraId="5BC18F4A">
            <w:pPr>
              <w:pStyle w:val="12"/>
              <w:jc w:val="center"/>
              <w:rPr>
                <w:rFonts w:ascii="宋体" w:hAnsi="宋体"/>
                <w:w w:val="66"/>
              </w:rPr>
            </w:pPr>
            <w:r>
              <w:rPr>
                <w:rFonts w:hint="eastAsia" w:ascii="宋体" w:hAnsi="宋体"/>
                <w:w w:val="66"/>
              </w:rPr>
              <w:t>80</w:t>
            </w:r>
          </w:p>
        </w:tc>
        <w:tc>
          <w:tcPr>
            <w:tcW w:w="286" w:type="pct"/>
            <w:vAlign w:val="center"/>
          </w:tcPr>
          <w:p w14:paraId="40564341">
            <w:pPr>
              <w:pStyle w:val="12"/>
              <w:jc w:val="center"/>
              <w:rPr>
                <w:rFonts w:ascii="宋体" w:hAnsi="宋体"/>
                <w:w w:val="66"/>
              </w:rPr>
            </w:pPr>
            <w:r>
              <w:rPr>
                <w:rFonts w:hint="eastAsia" w:ascii="宋体" w:hAnsi="宋体"/>
                <w:w w:val="66"/>
              </w:rPr>
              <w:t>100</w:t>
            </w:r>
          </w:p>
        </w:tc>
        <w:tc>
          <w:tcPr>
            <w:tcW w:w="286" w:type="pct"/>
            <w:vAlign w:val="center"/>
          </w:tcPr>
          <w:p w14:paraId="1D05BA0B">
            <w:pPr>
              <w:pStyle w:val="12"/>
              <w:jc w:val="center"/>
              <w:rPr>
                <w:rFonts w:ascii="宋体" w:hAnsi="宋体"/>
                <w:w w:val="66"/>
              </w:rPr>
            </w:pPr>
            <w:r>
              <w:rPr>
                <w:rFonts w:hint="eastAsia" w:ascii="宋体" w:hAnsi="宋体"/>
                <w:w w:val="66"/>
              </w:rPr>
              <w:t>80</w:t>
            </w:r>
          </w:p>
        </w:tc>
        <w:tc>
          <w:tcPr>
            <w:tcW w:w="286" w:type="pct"/>
            <w:vAlign w:val="center"/>
          </w:tcPr>
          <w:p w14:paraId="585E256E">
            <w:pPr>
              <w:pStyle w:val="12"/>
              <w:jc w:val="center"/>
              <w:rPr>
                <w:rFonts w:ascii="宋体" w:hAnsi="宋体"/>
                <w:w w:val="66"/>
              </w:rPr>
            </w:pPr>
            <w:r>
              <w:rPr>
                <w:rFonts w:hint="eastAsia" w:ascii="宋体" w:hAnsi="宋体"/>
                <w:w w:val="66"/>
              </w:rPr>
              <w:t>100</w:t>
            </w:r>
          </w:p>
        </w:tc>
        <w:tc>
          <w:tcPr>
            <w:tcW w:w="286" w:type="pct"/>
            <w:vAlign w:val="center"/>
          </w:tcPr>
          <w:p w14:paraId="178D8398">
            <w:pPr>
              <w:pStyle w:val="12"/>
              <w:jc w:val="center"/>
              <w:rPr>
                <w:rFonts w:ascii="宋体" w:hAnsi="宋体"/>
                <w:w w:val="66"/>
              </w:rPr>
            </w:pPr>
            <w:r>
              <w:rPr>
                <w:rFonts w:hint="eastAsia" w:ascii="宋体" w:hAnsi="宋体"/>
                <w:w w:val="66"/>
              </w:rPr>
              <w:t>80</w:t>
            </w:r>
          </w:p>
        </w:tc>
        <w:tc>
          <w:tcPr>
            <w:tcW w:w="286" w:type="pct"/>
            <w:vAlign w:val="center"/>
          </w:tcPr>
          <w:p w14:paraId="6C2E527E">
            <w:pPr>
              <w:pStyle w:val="12"/>
              <w:jc w:val="center"/>
              <w:rPr>
                <w:rFonts w:ascii="宋体" w:hAnsi="宋体"/>
                <w:w w:val="66"/>
              </w:rPr>
            </w:pPr>
            <w:r>
              <w:rPr>
                <w:rFonts w:hint="eastAsia" w:ascii="宋体" w:hAnsi="宋体"/>
                <w:w w:val="66"/>
              </w:rPr>
              <w:t>100</w:t>
            </w:r>
          </w:p>
        </w:tc>
        <w:tc>
          <w:tcPr>
            <w:tcW w:w="286" w:type="pct"/>
            <w:vAlign w:val="center"/>
          </w:tcPr>
          <w:p w14:paraId="5556CE17">
            <w:pPr>
              <w:pStyle w:val="12"/>
              <w:jc w:val="center"/>
              <w:rPr>
                <w:rFonts w:ascii="宋体" w:hAnsi="宋体"/>
                <w:w w:val="66"/>
              </w:rPr>
            </w:pPr>
            <w:r>
              <w:rPr>
                <w:rFonts w:hint="eastAsia" w:ascii="宋体" w:hAnsi="宋体"/>
                <w:w w:val="66"/>
              </w:rPr>
              <w:t>80</w:t>
            </w:r>
          </w:p>
        </w:tc>
        <w:tc>
          <w:tcPr>
            <w:tcW w:w="286" w:type="pct"/>
            <w:vAlign w:val="center"/>
          </w:tcPr>
          <w:p w14:paraId="2A990C7F">
            <w:pPr>
              <w:pStyle w:val="12"/>
              <w:jc w:val="center"/>
              <w:rPr>
                <w:rFonts w:ascii="宋体" w:hAnsi="宋体"/>
                <w:w w:val="66"/>
              </w:rPr>
            </w:pPr>
            <w:r>
              <w:rPr>
                <w:rFonts w:hint="eastAsia" w:ascii="宋体" w:hAnsi="宋体"/>
                <w:w w:val="66"/>
              </w:rPr>
              <w:t>100</w:t>
            </w:r>
          </w:p>
        </w:tc>
        <w:tc>
          <w:tcPr>
            <w:tcW w:w="286" w:type="pct"/>
            <w:vAlign w:val="center"/>
          </w:tcPr>
          <w:p w14:paraId="7E206D49">
            <w:pPr>
              <w:pStyle w:val="12"/>
              <w:jc w:val="center"/>
              <w:rPr>
                <w:rFonts w:ascii="宋体" w:hAnsi="宋体"/>
                <w:w w:val="66"/>
              </w:rPr>
            </w:pPr>
            <w:r>
              <w:rPr>
                <w:rFonts w:hint="eastAsia" w:ascii="宋体" w:hAnsi="宋体"/>
                <w:w w:val="66"/>
              </w:rPr>
              <w:t>80</w:t>
            </w:r>
          </w:p>
        </w:tc>
        <w:tc>
          <w:tcPr>
            <w:tcW w:w="286" w:type="pct"/>
            <w:vAlign w:val="center"/>
          </w:tcPr>
          <w:p w14:paraId="08CDB525">
            <w:pPr>
              <w:pStyle w:val="12"/>
              <w:jc w:val="center"/>
              <w:rPr>
                <w:rFonts w:ascii="宋体" w:hAnsi="宋体"/>
                <w:w w:val="66"/>
              </w:rPr>
            </w:pPr>
            <w:r>
              <w:rPr>
                <w:rFonts w:hint="eastAsia" w:ascii="宋体" w:hAnsi="宋体"/>
                <w:w w:val="66"/>
              </w:rPr>
              <w:t>100</w:t>
            </w:r>
          </w:p>
        </w:tc>
        <w:tc>
          <w:tcPr>
            <w:tcW w:w="286" w:type="pct"/>
            <w:vAlign w:val="center"/>
          </w:tcPr>
          <w:p w14:paraId="409F2A69">
            <w:pPr>
              <w:pStyle w:val="12"/>
              <w:jc w:val="center"/>
              <w:rPr>
                <w:rFonts w:ascii="宋体" w:hAnsi="宋体"/>
                <w:w w:val="66"/>
              </w:rPr>
            </w:pPr>
            <w:r>
              <w:rPr>
                <w:rFonts w:hint="eastAsia" w:ascii="宋体" w:hAnsi="宋体"/>
                <w:w w:val="66"/>
              </w:rPr>
              <w:t>70</w:t>
            </w:r>
          </w:p>
        </w:tc>
        <w:tc>
          <w:tcPr>
            <w:tcW w:w="286" w:type="pct"/>
            <w:vAlign w:val="center"/>
          </w:tcPr>
          <w:p w14:paraId="6A73B591">
            <w:pPr>
              <w:pStyle w:val="12"/>
              <w:jc w:val="center"/>
              <w:rPr>
                <w:rFonts w:ascii="宋体" w:hAnsi="宋体"/>
                <w:w w:val="66"/>
              </w:rPr>
            </w:pPr>
            <w:r>
              <w:rPr>
                <w:rFonts w:hint="eastAsia" w:ascii="宋体" w:hAnsi="宋体"/>
                <w:w w:val="66"/>
              </w:rPr>
              <w:t>100</w:t>
            </w:r>
          </w:p>
        </w:tc>
        <w:tc>
          <w:tcPr>
            <w:tcW w:w="286" w:type="pct"/>
            <w:vAlign w:val="center"/>
          </w:tcPr>
          <w:p w14:paraId="6ADDE585">
            <w:pPr>
              <w:pStyle w:val="12"/>
              <w:jc w:val="center"/>
              <w:rPr>
                <w:rFonts w:ascii="宋体" w:hAnsi="宋体"/>
                <w:w w:val="66"/>
              </w:rPr>
            </w:pPr>
            <w:r>
              <w:rPr>
                <w:rFonts w:hint="eastAsia" w:ascii="宋体" w:hAnsi="宋体"/>
                <w:w w:val="66"/>
              </w:rPr>
              <w:t>70</w:t>
            </w:r>
          </w:p>
        </w:tc>
        <w:tc>
          <w:tcPr>
            <w:tcW w:w="283" w:type="pct"/>
            <w:vAlign w:val="center"/>
          </w:tcPr>
          <w:p w14:paraId="761C87D9">
            <w:pPr>
              <w:pStyle w:val="12"/>
              <w:jc w:val="center"/>
              <w:rPr>
                <w:rFonts w:ascii="宋体" w:hAnsi="宋体"/>
                <w:w w:val="66"/>
              </w:rPr>
            </w:pPr>
            <w:r>
              <w:rPr>
                <w:rFonts w:hint="eastAsia" w:ascii="宋体" w:hAnsi="宋体"/>
                <w:w w:val="66"/>
              </w:rPr>
              <w:t>100</w:t>
            </w:r>
          </w:p>
        </w:tc>
      </w:tr>
      <w:tr w14:paraId="221D4C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c>
          <w:tcPr>
            <w:tcW w:w="427" w:type="pct"/>
            <w:vAlign w:val="center"/>
          </w:tcPr>
          <w:p w14:paraId="766E3B12">
            <w:pPr>
              <w:pStyle w:val="12"/>
              <w:jc w:val="center"/>
              <w:rPr>
                <w:rFonts w:ascii="宋体" w:hAnsi="宋体"/>
                <w:w w:val="66"/>
              </w:rPr>
            </w:pPr>
            <w:r>
              <w:rPr>
                <w:rFonts w:hint="eastAsia" w:ascii="宋体" w:hAnsi="宋体"/>
                <w:w w:val="66"/>
              </w:rPr>
              <w:t>100～150元</w:t>
            </w:r>
          </w:p>
        </w:tc>
        <w:tc>
          <w:tcPr>
            <w:tcW w:w="286" w:type="pct"/>
            <w:vAlign w:val="center"/>
          </w:tcPr>
          <w:p w14:paraId="7A5CD51F">
            <w:pPr>
              <w:pStyle w:val="12"/>
              <w:jc w:val="center"/>
              <w:rPr>
                <w:rFonts w:ascii="宋体" w:hAnsi="宋体"/>
                <w:w w:val="66"/>
              </w:rPr>
            </w:pPr>
            <w:r>
              <w:rPr>
                <w:rFonts w:hint="eastAsia" w:ascii="宋体" w:hAnsi="宋体"/>
                <w:w w:val="66"/>
              </w:rPr>
              <w:t>2</w:t>
            </w:r>
          </w:p>
        </w:tc>
        <w:tc>
          <w:tcPr>
            <w:tcW w:w="286" w:type="pct"/>
            <w:vAlign w:val="center"/>
          </w:tcPr>
          <w:p w14:paraId="74A58F52">
            <w:pPr>
              <w:pStyle w:val="12"/>
              <w:jc w:val="center"/>
              <w:rPr>
                <w:rFonts w:ascii="宋体" w:hAnsi="宋体"/>
                <w:w w:val="66"/>
              </w:rPr>
            </w:pPr>
            <w:r>
              <w:rPr>
                <w:rFonts w:hint="eastAsia" w:ascii="宋体" w:hAnsi="宋体"/>
                <w:w w:val="66"/>
              </w:rPr>
              <w:t>2.5</w:t>
            </w:r>
          </w:p>
        </w:tc>
        <w:tc>
          <w:tcPr>
            <w:tcW w:w="286" w:type="pct"/>
            <w:vAlign w:val="center"/>
          </w:tcPr>
          <w:p w14:paraId="4DCAD7BF">
            <w:pPr>
              <w:pStyle w:val="12"/>
              <w:jc w:val="center"/>
              <w:rPr>
                <w:rFonts w:ascii="宋体" w:hAnsi="宋体"/>
                <w:w w:val="66"/>
              </w:rPr>
            </w:pPr>
            <w:r>
              <w:rPr>
                <w:rFonts w:hint="eastAsia" w:ascii="宋体" w:hAnsi="宋体"/>
                <w:w w:val="66"/>
              </w:rPr>
              <w:t>1</w:t>
            </w:r>
          </w:p>
        </w:tc>
        <w:tc>
          <w:tcPr>
            <w:tcW w:w="286" w:type="pct"/>
            <w:vAlign w:val="center"/>
          </w:tcPr>
          <w:p w14:paraId="36B49B92">
            <w:pPr>
              <w:pStyle w:val="12"/>
              <w:jc w:val="center"/>
              <w:rPr>
                <w:rFonts w:ascii="宋体" w:hAnsi="宋体"/>
                <w:w w:val="66"/>
              </w:rPr>
            </w:pPr>
            <w:r>
              <w:rPr>
                <w:rFonts w:hint="eastAsia" w:ascii="宋体" w:hAnsi="宋体"/>
                <w:w w:val="66"/>
              </w:rPr>
              <w:t>1.27</w:t>
            </w:r>
          </w:p>
        </w:tc>
        <w:tc>
          <w:tcPr>
            <w:tcW w:w="286" w:type="pct"/>
            <w:vAlign w:val="center"/>
          </w:tcPr>
          <w:p w14:paraId="026FD2D4">
            <w:pPr>
              <w:pStyle w:val="12"/>
              <w:jc w:val="center"/>
              <w:rPr>
                <w:rFonts w:ascii="宋体" w:hAnsi="宋体"/>
                <w:w w:val="66"/>
              </w:rPr>
            </w:pPr>
            <w:r>
              <w:rPr>
                <w:rFonts w:hint="eastAsia" w:ascii="宋体" w:hAnsi="宋体"/>
                <w:w w:val="66"/>
              </w:rPr>
              <w:t>—</w:t>
            </w:r>
          </w:p>
        </w:tc>
        <w:tc>
          <w:tcPr>
            <w:tcW w:w="286" w:type="pct"/>
            <w:vAlign w:val="center"/>
          </w:tcPr>
          <w:p w14:paraId="3B05C6BE">
            <w:pPr>
              <w:pStyle w:val="12"/>
              <w:jc w:val="center"/>
              <w:rPr>
                <w:rFonts w:ascii="宋体" w:hAnsi="宋体"/>
                <w:w w:val="66"/>
              </w:rPr>
            </w:pPr>
            <w:r>
              <w:rPr>
                <w:rFonts w:hint="eastAsia" w:ascii="宋体" w:hAnsi="宋体"/>
                <w:w w:val="66"/>
              </w:rPr>
              <w:t>—</w:t>
            </w:r>
          </w:p>
        </w:tc>
        <w:tc>
          <w:tcPr>
            <w:tcW w:w="286" w:type="pct"/>
            <w:vAlign w:val="center"/>
          </w:tcPr>
          <w:p w14:paraId="0DF810D1">
            <w:pPr>
              <w:pStyle w:val="12"/>
              <w:jc w:val="center"/>
              <w:rPr>
                <w:rFonts w:ascii="宋体" w:hAnsi="宋体"/>
                <w:w w:val="66"/>
              </w:rPr>
            </w:pPr>
            <w:r>
              <w:rPr>
                <w:rFonts w:hint="eastAsia" w:ascii="宋体" w:hAnsi="宋体"/>
                <w:w w:val="66"/>
              </w:rPr>
              <w:t>—</w:t>
            </w:r>
          </w:p>
        </w:tc>
        <w:tc>
          <w:tcPr>
            <w:tcW w:w="286" w:type="pct"/>
            <w:vAlign w:val="center"/>
          </w:tcPr>
          <w:p w14:paraId="6DBD79E3">
            <w:pPr>
              <w:pStyle w:val="12"/>
              <w:jc w:val="center"/>
              <w:rPr>
                <w:rFonts w:ascii="宋体" w:hAnsi="宋体"/>
                <w:w w:val="66"/>
              </w:rPr>
            </w:pPr>
            <w:r>
              <w:rPr>
                <w:rFonts w:hint="eastAsia" w:ascii="宋体" w:hAnsi="宋体"/>
                <w:w w:val="66"/>
              </w:rPr>
              <w:t>—</w:t>
            </w:r>
          </w:p>
        </w:tc>
        <w:tc>
          <w:tcPr>
            <w:tcW w:w="286" w:type="pct"/>
            <w:vAlign w:val="center"/>
          </w:tcPr>
          <w:p w14:paraId="602636DE">
            <w:pPr>
              <w:pStyle w:val="12"/>
              <w:jc w:val="center"/>
              <w:rPr>
                <w:rFonts w:ascii="宋体" w:hAnsi="宋体"/>
                <w:w w:val="66"/>
              </w:rPr>
            </w:pPr>
            <w:r>
              <w:rPr>
                <w:rFonts w:hint="eastAsia" w:ascii="宋体" w:hAnsi="宋体"/>
                <w:w w:val="66"/>
              </w:rPr>
              <w:t>—</w:t>
            </w:r>
          </w:p>
        </w:tc>
        <w:tc>
          <w:tcPr>
            <w:tcW w:w="286" w:type="pct"/>
            <w:vAlign w:val="center"/>
          </w:tcPr>
          <w:p w14:paraId="456F04C4">
            <w:pPr>
              <w:pStyle w:val="12"/>
              <w:jc w:val="center"/>
              <w:rPr>
                <w:rFonts w:ascii="宋体" w:hAnsi="宋体"/>
                <w:w w:val="66"/>
              </w:rPr>
            </w:pPr>
            <w:r>
              <w:rPr>
                <w:rFonts w:hint="eastAsia" w:ascii="宋体" w:hAnsi="宋体"/>
                <w:w w:val="66"/>
              </w:rPr>
              <w:t>—</w:t>
            </w:r>
          </w:p>
        </w:tc>
        <w:tc>
          <w:tcPr>
            <w:tcW w:w="286" w:type="pct"/>
            <w:vAlign w:val="center"/>
          </w:tcPr>
          <w:p w14:paraId="4BE18655">
            <w:pPr>
              <w:pStyle w:val="12"/>
              <w:jc w:val="center"/>
              <w:rPr>
                <w:rFonts w:ascii="宋体" w:hAnsi="宋体"/>
                <w:w w:val="66"/>
              </w:rPr>
            </w:pPr>
            <w:r>
              <w:rPr>
                <w:rFonts w:hint="eastAsia" w:ascii="宋体" w:hAnsi="宋体"/>
                <w:w w:val="66"/>
              </w:rPr>
              <w:t>—</w:t>
            </w:r>
          </w:p>
        </w:tc>
        <w:tc>
          <w:tcPr>
            <w:tcW w:w="286" w:type="pct"/>
            <w:vAlign w:val="center"/>
          </w:tcPr>
          <w:p w14:paraId="2416F0F4">
            <w:pPr>
              <w:pStyle w:val="12"/>
              <w:jc w:val="center"/>
              <w:rPr>
                <w:rFonts w:ascii="宋体" w:hAnsi="宋体"/>
                <w:w w:val="66"/>
              </w:rPr>
            </w:pPr>
            <w:r>
              <w:rPr>
                <w:rFonts w:hint="eastAsia" w:ascii="宋体" w:hAnsi="宋体"/>
                <w:w w:val="66"/>
              </w:rPr>
              <w:t>—</w:t>
            </w:r>
          </w:p>
        </w:tc>
        <w:tc>
          <w:tcPr>
            <w:tcW w:w="286" w:type="pct"/>
            <w:vAlign w:val="center"/>
          </w:tcPr>
          <w:p w14:paraId="59EFB1E9">
            <w:pPr>
              <w:pStyle w:val="12"/>
              <w:jc w:val="center"/>
              <w:rPr>
                <w:rFonts w:ascii="宋体" w:hAnsi="宋体"/>
                <w:w w:val="66"/>
              </w:rPr>
            </w:pPr>
            <w:r>
              <w:rPr>
                <w:rFonts w:hint="eastAsia" w:ascii="宋体" w:hAnsi="宋体"/>
                <w:w w:val="66"/>
              </w:rPr>
              <w:t>—</w:t>
            </w:r>
          </w:p>
        </w:tc>
        <w:tc>
          <w:tcPr>
            <w:tcW w:w="286" w:type="pct"/>
            <w:vAlign w:val="center"/>
          </w:tcPr>
          <w:p w14:paraId="716FDD04">
            <w:pPr>
              <w:pStyle w:val="12"/>
              <w:jc w:val="center"/>
              <w:rPr>
                <w:rFonts w:ascii="宋体" w:hAnsi="宋体"/>
                <w:w w:val="66"/>
              </w:rPr>
            </w:pPr>
            <w:r>
              <w:rPr>
                <w:rFonts w:hint="eastAsia" w:ascii="宋体" w:hAnsi="宋体"/>
                <w:w w:val="66"/>
              </w:rPr>
              <w:t>—</w:t>
            </w:r>
          </w:p>
        </w:tc>
        <w:tc>
          <w:tcPr>
            <w:tcW w:w="286" w:type="pct"/>
            <w:vAlign w:val="center"/>
          </w:tcPr>
          <w:p w14:paraId="35202A7F">
            <w:pPr>
              <w:pStyle w:val="12"/>
              <w:jc w:val="center"/>
              <w:rPr>
                <w:rFonts w:ascii="宋体" w:hAnsi="宋体"/>
                <w:w w:val="66"/>
              </w:rPr>
            </w:pPr>
            <w:r>
              <w:rPr>
                <w:rFonts w:hint="eastAsia" w:ascii="宋体" w:hAnsi="宋体"/>
                <w:w w:val="66"/>
              </w:rPr>
              <w:t>—</w:t>
            </w:r>
          </w:p>
        </w:tc>
        <w:tc>
          <w:tcPr>
            <w:tcW w:w="283" w:type="pct"/>
            <w:vAlign w:val="center"/>
          </w:tcPr>
          <w:p w14:paraId="7937250E">
            <w:pPr>
              <w:pStyle w:val="12"/>
              <w:jc w:val="center"/>
              <w:rPr>
                <w:rFonts w:ascii="宋体" w:hAnsi="宋体"/>
                <w:w w:val="66"/>
              </w:rPr>
            </w:pPr>
            <w:r>
              <w:rPr>
                <w:rFonts w:hint="eastAsia" w:ascii="宋体" w:hAnsi="宋体"/>
                <w:w w:val="66"/>
              </w:rPr>
              <w:t>—</w:t>
            </w:r>
          </w:p>
        </w:tc>
      </w:tr>
      <w:tr w14:paraId="4B0C38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c>
          <w:tcPr>
            <w:tcW w:w="427" w:type="pct"/>
            <w:vAlign w:val="center"/>
          </w:tcPr>
          <w:p w14:paraId="77EC7845">
            <w:pPr>
              <w:pStyle w:val="12"/>
              <w:jc w:val="center"/>
              <w:rPr>
                <w:rFonts w:ascii="宋体" w:hAnsi="宋体"/>
                <w:w w:val="66"/>
              </w:rPr>
            </w:pPr>
            <w:r>
              <w:rPr>
                <w:rFonts w:hint="eastAsia" w:ascii="宋体" w:hAnsi="宋体"/>
                <w:w w:val="66"/>
              </w:rPr>
              <w:t>151～200元</w:t>
            </w:r>
          </w:p>
        </w:tc>
        <w:tc>
          <w:tcPr>
            <w:tcW w:w="286" w:type="pct"/>
            <w:vAlign w:val="center"/>
          </w:tcPr>
          <w:p w14:paraId="2CFAC65B">
            <w:pPr>
              <w:pStyle w:val="12"/>
              <w:jc w:val="center"/>
              <w:rPr>
                <w:rFonts w:ascii="宋体" w:hAnsi="宋体"/>
                <w:w w:val="66"/>
              </w:rPr>
            </w:pPr>
            <w:r>
              <w:rPr>
                <w:rFonts w:hint="eastAsia" w:ascii="宋体" w:hAnsi="宋体"/>
                <w:w w:val="66"/>
              </w:rPr>
              <w:t>1</w:t>
            </w:r>
          </w:p>
        </w:tc>
        <w:tc>
          <w:tcPr>
            <w:tcW w:w="286" w:type="pct"/>
            <w:vAlign w:val="center"/>
          </w:tcPr>
          <w:p w14:paraId="2EE3FB20">
            <w:pPr>
              <w:pStyle w:val="12"/>
              <w:jc w:val="center"/>
              <w:rPr>
                <w:rFonts w:ascii="宋体" w:hAnsi="宋体"/>
                <w:w w:val="66"/>
              </w:rPr>
            </w:pPr>
            <w:r>
              <w:rPr>
                <w:rFonts w:hint="eastAsia" w:ascii="宋体" w:hAnsi="宋体"/>
                <w:w w:val="66"/>
              </w:rPr>
              <w:t>1.25</w:t>
            </w:r>
          </w:p>
        </w:tc>
        <w:tc>
          <w:tcPr>
            <w:tcW w:w="286" w:type="pct"/>
            <w:vAlign w:val="center"/>
          </w:tcPr>
          <w:p w14:paraId="74AA4C49">
            <w:pPr>
              <w:pStyle w:val="12"/>
              <w:jc w:val="center"/>
              <w:rPr>
                <w:rFonts w:ascii="宋体" w:hAnsi="宋体"/>
                <w:w w:val="66"/>
              </w:rPr>
            </w:pPr>
            <w:r>
              <w:rPr>
                <w:rFonts w:hint="eastAsia" w:ascii="宋体" w:hAnsi="宋体"/>
                <w:w w:val="66"/>
              </w:rPr>
              <w:t>1</w:t>
            </w:r>
          </w:p>
        </w:tc>
        <w:tc>
          <w:tcPr>
            <w:tcW w:w="286" w:type="pct"/>
            <w:vAlign w:val="center"/>
          </w:tcPr>
          <w:p w14:paraId="2107EB36">
            <w:pPr>
              <w:pStyle w:val="12"/>
              <w:jc w:val="center"/>
              <w:rPr>
                <w:rFonts w:ascii="宋体" w:hAnsi="宋体"/>
                <w:w w:val="66"/>
              </w:rPr>
            </w:pPr>
            <w:r>
              <w:rPr>
                <w:rFonts w:hint="eastAsia" w:ascii="宋体" w:hAnsi="宋体"/>
                <w:w w:val="66"/>
              </w:rPr>
              <w:t>1.27</w:t>
            </w:r>
          </w:p>
        </w:tc>
        <w:tc>
          <w:tcPr>
            <w:tcW w:w="286" w:type="pct"/>
            <w:vAlign w:val="center"/>
          </w:tcPr>
          <w:p w14:paraId="65AD9BCE">
            <w:pPr>
              <w:pStyle w:val="12"/>
              <w:jc w:val="center"/>
              <w:rPr>
                <w:rFonts w:ascii="宋体" w:hAnsi="宋体"/>
                <w:w w:val="66"/>
              </w:rPr>
            </w:pPr>
            <w:r>
              <w:rPr>
                <w:rFonts w:hint="eastAsia" w:ascii="宋体" w:hAnsi="宋体"/>
                <w:w w:val="66"/>
              </w:rPr>
              <w:t>—</w:t>
            </w:r>
          </w:p>
        </w:tc>
        <w:tc>
          <w:tcPr>
            <w:tcW w:w="286" w:type="pct"/>
            <w:vAlign w:val="center"/>
          </w:tcPr>
          <w:p w14:paraId="58EA7F35">
            <w:pPr>
              <w:pStyle w:val="12"/>
              <w:jc w:val="center"/>
              <w:rPr>
                <w:rFonts w:ascii="宋体" w:hAnsi="宋体"/>
                <w:w w:val="66"/>
              </w:rPr>
            </w:pPr>
            <w:r>
              <w:rPr>
                <w:rFonts w:hint="eastAsia" w:ascii="宋体" w:hAnsi="宋体"/>
                <w:w w:val="66"/>
              </w:rPr>
              <w:t>—</w:t>
            </w:r>
          </w:p>
        </w:tc>
        <w:tc>
          <w:tcPr>
            <w:tcW w:w="286" w:type="pct"/>
            <w:vAlign w:val="center"/>
          </w:tcPr>
          <w:p w14:paraId="342AF6D4">
            <w:pPr>
              <w:pStyle w:val="12"/>
              <w:jc w:val="center"/>
              <w:rPr>
                <w:rFonts w:ascii="宋体" w:hAnsi="宋体"/>
                <w:w w:val="66"/>
              </w:rPr>
            </w:pPr>
            <w:r>
              <w:rPr>
                <w:rFonts w:hint="eastAsia" w:ascii="宋体" w:hAnsi="宋体"/>
                <w:w w:val="66"/>
              </w:rPr>
              <w:t>—</w:t>
            </w:r>
          </w:p>
        </w:tc>
        <w:tc>
          <w:tcPr>
            <w:tcW w:w="286" w:type="pct"/>
            <w:vAlign w:val="center"/>
          </w:tcPr>
          <w:p w14:paraId="03A8E295">
            <w:pPr>
              <w:pStyle w:val="12"/>
              <w:jc w:val="center"/>
              <w:rPr>
                <w:rFonts w:ascii="宋体" w:hAnsi="宋体"/>
                <w:w w:val="66"/>
              </w:rPr>
            </w:pPr>
            <w:r>
              <w:rPr>
                <w:rFonts w:hint="eastAsia" w:ascii="宋体" w:hAnsi="宋体"/>
                <w:w w:val="66"/>
              </w:rPr>
              <w:t>—</w:t>
            </w:r>
          </w:p>
        </w:tc>
        <w:tc>
          <w:tcPr>
            <w:tcW w:w="286" w:type="pct"/>
            <w:vAlign w:val="center"/>
          </w:tcPr>
          <w:p w14:paraId="43DC5929">
            <w:pPr>
              <w:pStyle w:val="12"/>
              <w:jc w:val="center"/>
              <w:rPr>
                <w:rFonts w:ascii="宋体" w:hAnsi="宋体"/>
                <w:w w:val="66"/>
              </w:rPr>
            </w:pPr>
            <w:r>
              <w:rPr>
                <w:rFonts w:hint="eastAsia" w:ascii="宋体" w:hAnsi="宋体"/>
                <w:w w:val="66"/>
              </w:rPr>
              <w:t>—</w:t>
            </w:r>
          </w:p>
        </w:tc>
        <w:tc>
          <w:tcPr>
            <w:tcW w:w="286" w:type="pct"/>
            <w:vAlign w:val="center"/>
          </w:tcPr>
          <w:p w14:paraId="11395500">
            <w:pPr>
              <w:pStyle w:val="12"/>
              <w:jc w:val="center"/>
              <w:rPr>
                <w:rFonts w:ascii="宋体" w:hAnsi="宋体"/>
                <w:w w:val="66"/>
              </w:rPr>
            </w:pPr>
            <w:r>
              <w:rPr>
                <w:rFonts w:hint="eastAsia" w:ascii="宋体" w:hAnsi="宋体"/>
                <w:w w:val="66"/>
              </w:rPr>
              <w:t>—</w:t>
            </w:r>
          </w:p>
        </w:tc>
        <w:tc>
          <w:tcPr>
            <w:tcW w:w="286" w:type="pct"/>
            <w:vAlign w:val="center"/>
          </w:tcPr>
          <w:p w14:paraId="6A3006BB">
            <w:pPr>
              <w:pStyle w:val="12"/>
              <w:jc w:val="center"/>
              <w:rPr>
                <w:rFonts w:ascii="宋体" w:hAnsi="宋体"/>
                <w:w w:val="66"/>
              </w:rPr>
            </w:pPr>
            <w:r>
              <w:rPr>
                <w:rFonts w:hint="eastAsia" w:ascii="宋体" w:hAnsi="宋体"/>
                <w:w w:val="66"/>
              </w:rPr>
              <w:t>—</w:t>
            </w:r>
          </w:p>
        </w:tc>
        <w:tc>
          <w:tcPr>
            <w:tcW w:w="286" w:type="pct"/>
            <w:vAlign w:val="center"/>
          </w:tcPr>
          <w:p w14:paraId="0A61146A">
            <w:pPr>
              <w:pStyle w:val="12"/>
              <w:jc w:val="center"/>
              <w:rPr>
                <w:rFonts w:ascii="宋体" w:hAnsi="宋体"/>
                <w:w w:val="66"/>
              </w:rPr>
            </w:pPr>
            <w:r>
              <w:rPr>
                <w:rFonts w:hint="eastAsia" w:ascii="宋体" w:hAnsi="宋体"/>
                <w:w w:val="66"/>
              </w:rPr>
              <w:t>—</w:t>
            </w:r>
          </w:p>
        </w:tc>
        <w:tc>
          <w:tcPr>
            <w:tcW w:w="286" w:type="pct"/>
            <w:vAlign w:val="center"/>
          </w:tcPr>
          <w:p w14:paraId="7707B9D4">
            <w:pPr>
              <w:pStyle w:val="12"/>
              <w:jc w:val="center"/>
              <w:rPr>
                <w:rFonts w:ascii="宋体" w:hAnsi="宋体"/>
                <w:w w:val="66"/>
              </w:rPr>
            </w:pPr>
            <w:r>
              <w:rPr>
                <w:rFonts w:hint="eastAsia" w:ascii="宋体" w:hAnsi="宋体"/>
                <w:w w:val="66"/>
              </w:rPr>
              <w:t>—</w:t>
            </w:r>
          </w:p>
        </w:tc>
        <w:tc>
          <w:tcPr>
            <w:tcW w:w="286" w:type="pct"/>
            <w:vAlign w:val="center"/>
          </w:tcPr>
          <w:p w14:paraId="0B4D5E7A">
            <w:pPr>
              <w:pStyle w:val="12"/>
              <w:jc w:val="center"/>
              <w:rPr>
                <w:rFonts w:ascii="宋体" w:hAnsi="宋体"/>
                <w:w w:val="66"/>
              </w:rPr>
            </w:pPr>
            <w:r>
              <w:rPr>
                <w:rFonts w:hint="eastAsia" w:ascii="宋体" w:hAnsi="宋体"/>
                <w:w w:val="66"/>
              </w:rPr>
              <w:t>—</w:t>
            </w:r>
          </w:p>
        </w:tc>
        <w:tc>
          <w:tcPr>
            <w:tcW w:w="286" w:type="pct"/>
            <w:vAlign w:val="center"/>
          </w:tcPr>
          <w:p w14:paraId="17FB4D6A">
            <w:pPr>
              <w:pStyle w:val="12"/>
              <w:jc w:val="center"/>
              <w:rPr>
                <w:rFonts w:ascii="宋体" w:hAnsi="宋体"/>
                <w:w w:val="66"/>
              </w:rPr>
            </w:pPr>
            <w:r>
              <w:rPr>
                <w:rFonts w:hint="eastAsia" w:ascii="宋体" w:hAnsi="宋体"/>
                <w:w w:val="66"/>
              </w:rPr>
              <w:t>—</w:t>
            </w:r>
          </w:p>
        </w:tc>
        <w:tc>
          <w:tcPr>
            <w:tcW w:w="283" w:type="pct"/>
            <w:vAlign w:val="center"/>
          </w:tcPr>
          <w:p w14:paraId="4D46C847">
            <w:pPr>
              <w:pStyle w:val="12"/>
              <w:jc w:val="center"/>
              <w:rPr>
                <w:rFonts w:ascii="宋体" w:hAnsi="宋体"/>
                <w:w w:val="66"/>
              </w:rPr>
            </w:pPr>
            <w:r>
              <w:rPr>
                <w:rFonts w:hint="eastAsia" w:ascii="宋体" w:hAnsi="宋体"/>
                <w:w w:val="66"/>
              </w:rPr>
              <w:t>—</w:t>
            </w:r>
          </w:p>
        </w:tc>
      </w:tr>
      <w:tr w14:paraId="612B93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c>
          <w:tcPr>
            <w:tcW w:w="427" w:type="pct"/>
            <w:vAlign w:val="center"/>
          </w:tcPr>
          <w:p w14:paraId="46C5E2FB">
            <w:pPr>
              <w:pStyle w:val="12"/>
              <w:jc w:val="center"/>
              <w:rPr>
                <w:rFonts w:ascii="宋体" w:hAnsi="宋体"/>
                <w:w w:val="66"/>
              </w:rPr>
            </w:pPr>
            <w:r>
              <w:rPr>
                <w:rFonts w:hint="eastAsia" w:ascii="宋体" w:hAnsi="宋体"/>
                <w:w w:val="66"/>
              </w:rPr>
              <w:t>201～300元</w:t>
            </w:r>
          </w:p>
        </w:tc>
        <w:tc>
          <w:tcPr>
            <w:tcW w:w="286" w:type="pct"/>
            <w:vAlign w:val="center"/>
          </w:tcPr>
          <w:p w14:paraId="372E4898">
            <w:pPr>
              <w:pStyle w:val="12"/>
              <w:jc w:val="center"/>
              <w:rPr>
                <w:rFonts w:ascii="宋体" w:hAnsi="宋体"/>
                <w:w w:val="66"/>
              </w:rPr>
            </w:pPr>
            <w:r>
              <w:rPr>
                <w:rFonts w:hint="eastAsia" w:ascii="宋体" w:hAnsi="宋体"/>
                <w:w w:val="66"/>
              </w:rPr>
              <w:t>32</w:t>
            </w:r>
          </w:p>
        </w:tc>
        <w:tc>
          <w:tcPr>
            <w:tcW w:w="286" w:type="pct"/>
            <w:vAlign w:val="center"/>
          </w:tcPr>
          <w:p w14:paraId="70341DF6">
            <w:pPr>
              <w:pStyle w:val="12"/>
              <w:jc w:val="center"/>
              <w:rPr>
                <w:rFonts w:ascii="宋体" w:hAnsi="宋体"/>
                <w:w w:val="66"/>
              </w:rPr>
            </w:pPr>
            <w:r>
              <w:rPr>
                <w:rFonts w:hint="eastAsia" w:ascii="宋体" w:hAnsi="宋体"/>
                <w:w w:val="66"/>
              </w:rPr>
              <w:t>40</w:t>
            </w:r>
          </w:p>
        </w:tc>
        <w:tc>
          <w:tcPr>
            <w:tcW w:w="286" w:type="pct"/>
            <w:vAlign w:val="center"/>
          </w:tcPr>
          <w:p w14:paraId="71CD98C2">
            <w:pPr>
              <w:pStyle w:val="12"/>
              <w:jc w:val="center"/>
              <w:rPr>
                <w:rFonts w:ascii="宋体" w:hAnsi="宋体"/>
                <w:w w:val="66"/>
              </w:rPr>
            </w:pPr>
            <w:r>
              <w:rPr>
                <w:rFonts w:hint="eastAsia" w:ascii="宋体" w:hAnsi="宋体"/>
                <w:w w:val="66"/>
              </w:rPr>
              <w:t>24</w:t>
            </w:r>
          </w:p>
        </w:tc>
        <w:tc>
          <w:tcPr>
            <w:tcW w:w="286" w:type="pct"/>
            <w:vAlign w:val="center"/>
          </w:tcPr>
          <w:p w14:paraId="5E61D12B">
            <w:pPr>
              <w:pStyle w:val="12"/>
              <w:jc w:val="center"/>
              <w:rPr>
                <w:rFonts w:ascii="宋体" w:hAnsi="宋体"/>
                <w:w w:val="66"/>
              </w:rPr>
            </w:pPr>
            <w:r>
              <w:rPr>
                <w:rFonts w:hint="eastAsia" w:ascii="宋体" w:hAnsi="宋体"/>
                <w:w w:val="66"/>
              </w:rPr>
              <w:t>30.38</w:t>
            </w:r>
          </w:p>
        </w:tc>
        <w:tc>
          <w:tcPr>
            <w:tcW w:w="286" w:type="pct"/>
            <w:vAlign w:val="center"/>
          </w:tcPr>
          <w:p w14:paraId="09E33B75">
            <w:pPr>
              <w:pStyle w:val="12"/>
              <w:jc w:val="center"/>
              <w:rPr>
                <w:rFonts w:ascii="宋体" w:hAnsi="宋体"/>
                <w:w w:val="66"/>
              </w:rPr>
            </w:pPr>
            <w:r>
              <w:rPr>
                <w:rFonts w:hint="eastAsia" w:ascii="宋体" w:hAnsi="宋体"/>
                <w:w w:val="66"/>
              </w:rPr>
              <w:t>13</w:t>
            </w:r>
          </w:p>
        </w:tc>
        <w:tc>
          <w:tcPr>
            <w:tcW w:w="286" w:type="pct"/>
            <w:vAlign w:val="center"/>
          </w:tcPr>
          <w:p w14:paraId="22C3FC8C">
            <w:pPr>
              <w:pStyle w:val="12"/>
              <w:jc w:val="center"/>
              <w:rPr>
                <w:rFonts w:ascii="宋体" w:hAnsi="宋体"/>
                <w:w w:val="66"/>
              </w:rPr>
            </w:pPr>
            <w:r>
              <w:rPr>
                <w:rFonts w:hint="eastAsia" w:ascii="宋体" w:hAnsi="宋体"/>
                <w:w w:val="66"/>
              </w:rPr>
              <w:t>16.25</w:t>
            </w:r>
          </w:p>
        </w:tc>
        <w:tc>
          <w:tcPr>
            <w:tcW w:w="286" w:type="pct"/>
            <w:vAlign w:val="center"/>
          </w:tcPr>
          <w:p w14:paraId="5B558E87">
            <w:pPr>
              <w:pStyle w:val="12"/>
              <w:jc w:val="center"/>
              <w:rPr>
                <w:rFonts w:ascii="宋体" w:hAnsi="宋体"/>
                <w:w w:val="66"/>
              </w:rPr>
            </w:pPr>
            <w:r>
              <w:rPr>
                <w:rFonts w:hint="eastAsia" w:ascii="宋体" w:hAnsi="宋体"/>
                <w:w w:val="66"/>
              </w:rPr>
              <w:t>1</w:t>
            </w:r>
          </w:p>
        </w:tc>
        <w:tc>
          <w:tcPr>
            <w:tcW w:w="286" w:type="pct"/>
            <w:vAlign w:val="center"/>
          </w:tcPr>
          <w:p w14:paraId="596342AD">
            <w:pPr>
              <w:pStyle w:val="12"/>
              <w:jc w:val="center"/>
              <w:rPr>
                <w:rFonts w:ascii="宋体" w:hAnsi="宋体"/>
                <w:w w:val="66"/>
              </w:rPr>
            </w:pPr>
            <w:r>
              <w:rPr>
                <w:rFonts w:hint="eastAsia" w:ascii="宋体" w:hAnsi="宋体"/>
                <w:w w:val="66"/>
              </w:rPr>
              <w:t>1.25</w:t>
            </w:r>
          </w:p>
        </w:tc>
        <w:tc>
          <w:tcPr>
            <w:tcW w:w="286" w:type="pct"/>
            <w:vAlign w:val="center"/>
          </w:tcPr>
          <w:p w14:paraId="1F452B52">
            <w:pPr>
              <w:pStyle w:val="12"/>
              <w:jc w:val="center"/>
              <w:rPr>
                <w:rFonts w:ascii="宋体" w:hAnsi="宋体"/>
                <w:w w:val="66"/>
              </w:rPr>
            </w:pPr>
            <w:r>
              <w:rPr>
                <w:rFonts w:hint="eastAsia" w:ascii="宋体" w:hAnsi="宋体"/>
                <w:w w:val="66"/>
              </w:rPr>
              <w:t>—</w:t>
            </w:r>
          </w:p>
        </w:tc>
        <w:tc>
          <w:tcPr>
            <w:tcW w:w="286" w:type="pct"/>
            <w:vAlign w:val="center"/>
          </w:tcPr>
          <w:p w14:paraId="25CA3DE3">
            <w:pPr>
              <w:pStyle w:val="12"/>
              <w:jc w:val="center"/>
              <w:rPr>
                <w:rFonts w:ascii="宋体" w:hAnsi="宋体"/>
                <w:w w:val="66"/>
              </w:rPr>
            </w:pPr>
            <w:r>
              <w:rPr>
                <w:rFonts w:hint="eastAsia" w:ascii="宋体" w:hAnsi="宋体"/>
                <w:w w:val="66"/>
              </w:rPr>
              <w:t>—</w:t>
            </w:r>
          </w:p>
        </w:tc>
        <w:tc>
          <w:tcPr>
            <w:tcW w:w="286" w:type="pct"/>
            <w:vAlign w:val="center"/>
          </w:tcPr>
          <w:p w14:paraId="55156E8B">
            <w:pPr>
              <w:pStyle w:val="12"/>
              <w:jc w:val="center"/>
              <w:rPr>
                <w:rFonts w:ascii="宋体" w:hAnsi="宋体"/>
                <w:w w:val="66"/>
              </w:rPr>
            </w:pPr>
            <w:r>
              <w:rPr>
                <w:rFonts w:hint="eastAsia" w:ascii="宋体" w:hAnsi="宋体"/>
                <w:w w:val="66"/>
              </w:rPr>
              <w:t>—</w:t>
            </w:r>
          </w:p>
        </w:tc>
        <w:tc>
          <w:tcPr>
            <w:tcW w:w="286" w:type="pct"/>
            <w:vAlign w:val="center"/>
          </w:tcPr>
          <w:p w14:paraId="5F0283FC">
            <w:pPr>
              <w:pStyle w:val="12"/>
              <w:jc w:val="center"/>
              <w:rPr>
                <w:rFonts w:ascii="宋体" w:hAnsi="宋体"/>
                <w:w w:val="66"/>
              </w:rPr>
            </w:pPr>
            <w:r>
              <w:rPr>
                <w:rFonts w:hint="eastAsia" w:ascii="宋体" w:hAnsi="宋体"/>
                <w:w w:val="66"/>
              </w:rPr>
              <w:t>—</w:t>
            </w:r>
          </w:p>
        </w:tc>
        <w:tc>
          <w:tcPr>
            <w:tcW w:w="286" w:type="pct"/>
            <w:vAlign w:val="center"/>
          </w:tcPr>
          <w:p w14:paraId="682FBB21">
            <w:pPr>
              <w:pStyle w:val="12"/>
              <w:jc w:val="center"/>
              <w:rPr>
                <w:rFonts w:ascii="宋体" w:hAnsi="宋体"/>
                <w:w w:val="66"/>
              </w:rPr>
            </w:pPr>
            <w:r>
              <w:rPr>
                <w:rFonts w:hint="eastAsia" w:ascii="宋体" w:hAnsi="宋体"/>
                <w:w w:val="66"/>
              </w:rPr>
              <w:t>—</w:t>
            </w:r>
          </w:p>
        </w:tc>
        <w:tc>
          <w:tcPr>
            <w:tcW w:w="286" w:type="pct"/>
            <w:vAlign w:val="center"/>
          </w:tcPr>
          <w:p w14:paraId="0060F0B6">
            <w:pPr>
              <w:pStyle w:val="12"/>
              <w:jc w:val="center"/>
              <w:rPr>
                <w:rFonts w:ascii="宋体" w:hAnsi="宋体"/>
                <w:w w:val="66"/>
              </w:rPr>
            </w:pPr>
            <w:r>
              <w:rPr>
                <w:rFonts w:hint="eastAsia" w:ascii="宋体" w:hAnsi="宋体"/>
                <w:w w:val="66"/>
              </w:rPr>
              <w:t>—</w:t>
            </w:r>
          </w:p>
        </w:tc>
        <w:tc>
          <w:tcPr>
            <w:tcW w:w="286" w:type="pct"/>
            <w:vAlign w:val="center"/>
          </w:tcPr>
          <w:p w14:paraId="7019C71A">
            <w:pPr>
              <w:pStyle w:val="12"/>
              <w:jc w:val="center"/>
              <w:rPr>
                <w:rFonts w:ascii="宋体" w:hAnsi="宋体"/>
                <w:w w:val="66"/>
              </w:rPr>
            </w:pPr>
            <w:r>
              <w:rPr>
                <w:rFonts w:hint="eastAsia" w:ascii="宋体" w:hAnsi="宋体"/>
                <w:w w:val="66"/>
              </w:rPr>
              <w:t>—</w:t>
            </w:r>
          </w:p>
        </w:tc>
        <w:tc>
          <w:tcPr>
            <w:tcW w:w="283" w:type="pct"/>
            <w:vAlign w:val="center"/>
          </w:tcPr>
          <w:p w14:paraId="1A9E3B33">
            <w:pPr>
              <w:pStyle w:val="12"/>
              <w:jc w:val="center"/>
              <w:rPr>
                <w:rFonts w:ascii="宋体" w:hAnsi="宋体"/>
                <w:w w:val="66"/>
              </w:rPr>
            </w:pPr>
            <w:r>
              <w:rPr>
                <w:rFonts w:hint="eastAsia" w:ascii="宋体" w:hAnsi="宋体"/>
                <w:w w:val="66"/>
              </w:rPr>
              <w:t>—</w:t>
            </w:r>
          </w:p>
        </w:tc>
      </w:tr>
      <w:tr w14:paraId="68E8C8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c>
          <w:tcPr>
            <w:tcW w:w="427" w:type="pct"/>
            <w:vAlign w:val="center"/>
          </w:tcPr>
          <w:p w14:paraId="44737712">
            <w:pPr>
              <w:pStyle w:val="12"/>
              <w:jc w:val="center"/>
              <w:rPr>
                <w:rFonts w:ascii="宋体" w:hAnsi="宋体"/>
                <w:w w:val="66"/>
              </w:rPr>
            </w:pPr>
            <w:r>
              <w:rPr>
                <w:rFonts w:hint="eastAsia" w:ascii="宋体" w:hAnsi="宋体"/>
                <w:w w:val="66"/>
              </w:rPr>
              <w:t>301～400元</w:t>
            </w:r>
          </w:p>
        </w:tc>
        <w:tc>
          <w:tcPr>
            <w:tcW w:w="286" w:type="pct"/>
            <w:vAlign w:val="center"/>
          </w:tcPr>
          <w:p w14:paraId="768AD92D">
            <w:pPr>
              <w:pStyle w:val="12"/>
              <w:jc w:val="center"/>
              <w:rPr>
                <w:rFonts w:ascii="宋体" w:hAnsi="宋体"/>
                <w:w w:val="66"/>
              </w:rPr>
            </w:pPr>
            <w:r>
              <w:rPr>
                <w:rFonts w:hint="eastAsia" w:ascii="宋体" w:hAnsi="宋体"/>
                <w:w w:val="66"/>
              </w:rPr>
              <w:t>28</w:t>
            </w:r>
          </w:p>
        </w:tc>
        <w:tc>
          <w:tcPr>
            <w:tcW w:w="286" w:type="pct"/>
            <w:vAlign w:val="center"/>
          </w:tcPr>
          <w:p w14:paraId="2AA526CC">
            <w:pPr>
              <w:pStyle w:val="12"/>
              <w:jc w:val="center"/>
              <w:rPr>
                <w:rFonts w:ascii="宋体" w:hAnsi="宋体"/>
                <w:w w:val="66"/>
              </w:rPr>
            </w:pPr>
            <w:r>
              <w:rPr>
                <w:rFonts w:hint="eastAsia" w:ascii="宋体" w:hAnsi="宋体"/>
                <w:w w:val="66"/>
              </w:rPr>
              <w:t>35</w:t>
            </w:r>
          </w:p>
        </w:tc>
        <w:tc>
          <w:tcPr>
            <w:tcW w:w="286" w:type="pct"/>
            <w:vAlign w:val="center"/>
          </w:tcPr>
          <w:p w14:paraId="44D277BC">
            <w:pPr>
              <w:pStyle w:val="12"/>
              <w:jc w:val="center"/>
              <w:rPr>
                <w:rFonts w:ascii="宋体" w:hAnsi="宋体"/>
                <w:w w:val="66"/>
              </w:rPr>
            </w:pPr>
            <w:r>
              <w:rPr>
                <w:rFonts w:hint="eastAsia" w:ascii="宋体" w:hAnsi="宋体"/>
                <w:w w:val="66"/>
              </w:rPr>
              <w:t>33</w:t>
            </w:r>
          </w:p>
        </w:tc>
        <w:tc>
          <w:tcPr>
            <w:tcW w:w="286" w:type="pct"/>
            <w:vAlign w:val="center"/>
          </w:tcPr>
          <w:p w14:paraId="61EA3312">
            <w:pPr>
              <w:pStyle w:val="12"/>
              <w:jc w:val="center"/>
              <w:rPr>
                <w:rFonts w:ascii="宋体" w:hAnsi="宋体"/>
                <w:w w:val="66"/>
              </w:rPr>
            </w:pPr>
            <w:r>
              <w:rPr>
                <w:rFonts w:hint="eastAsia" w:ascii="宋体" w:hAnsi="宋体"/>
                <w:w w:val="66"/>
              </w:rPr>
              <w:t>41.77</w:t>
            </w:r>
          </w:p>
        </w:tc>
        <w:tc>
          <w:tcPr>
            <w:tcW w:w="286" w:type="pct"/>
            <w:vAlign w:val="center"/>
          </w:tcPr>
          <w:p w14:paraId="7E39EF8F">
            <w:pPr>
              <w:pStyle w:val="12"/>
              <w:jc w:val="center"/>
              <w:rPr>
                <w:rFonts w:ascii="宋体" w:hAnsi="宋体"/>
                <w:w w:val="66"/>
              </w:rPr>
            </w:pPr>
            <w:r>
              <w:rPr>
                <w:rFonts w:hint="eastAsia" w:ascii="宋体" w:hAnsi="宋体"/>
                <w:w w:val="66"/>
              </w:rPr>
              <w:t>35</w:t>
            </w:r>
          </w:p>
        </w:tc>
        <w:tc>
          <w:tcPr>
            <w:tcW w:w="286" w:type="pct"/>
            <w:vAlign w:val="center"/>
          </w:tcPr>
          <w:p w14:paraId="1D185251">
            <w:pPr>
              <w:pStyle w:val="12"/>
              <w:jc w:val="center"/>
              <w:rPr>
                <w:rFonts w:ascii="宋体" w:hAnsi="宋体"/>
                <w:w w:val="66"/>
              </w:rPr>
            </w:pPr>
            <w:r>
              <w:rPr>
                <w:rFonts w:hint="eastAsia" w:ascii="宋体" w:hAnsi="宋体"/>
                <w:w w:val="66"/>
              </w:rPr>
              <w:t>43.75</w:t>
            </w:r>
          </w:p>
        </w:tc>
        <w:tc>
          <w:tcPr>
            <w:tcW w:w="286" w:type="pct"/>
            <w:vAlign w:val="center"/>
          </w:tcPr>
          <w:p w14:paraId="13841C65">
            <w:pPr>
              <w:pStyle w:val="12"/>
              <w:jc w:val="center"/>
              <w:rPr>
                <w:rFonts w:ascii="宋体" w:hAnsi="宋体"/>
                <w:w w:val="66"/>
              </w:rPr>
            </w:pPr>
            <w:r>
              <w:rPr>
                <w:rFonts w:hint="eastAsia" w:ascii="宋体" w:hAnsi="宋体"/>
                <w:w w:val="66"/>
              </w:rPr>
              <w:t>2</w:t>
            </w:r>
          </w:p>
        </w:tc>
        <w:tc>
          <w:tcPr>
            <w:tcW w:w="286" w:type="pct"/>
            <w:vAlign w:val="center"/>
          </w:tcPr>
          <w:p w14:paraId="0AE283FB">
            <w:pPr>
              <w:pStyle w:val="12"/>
              <w:jc w:val="center"/>
              <w:rPr>
                <w:rFonts w:ascii="宋体" w:hAnsi="宋体"/>
                <w:w w:val="66"/>
              </w:rPr>
            </w:pPr>
            <w:r>
              <w:rPr>
                <w:rFonts w:hint="eastAsia" w:ascii="宋体" w:hAnsi="宋体"/>
                <w:w w:val="66"/>
              </w:rPr>
              <w:t>2.5</w:t>
            </w:r>
          </w:p>
        </w:tc>
        <w:tc>
          <w:tcPr>
            <w:tcW w:w="286" w:type="pct"/>
            <w:vAlign w:val="center"/>
          </w:tcPr>
          <w:p w14:paraId="06967BDB">
            <w:pPr>
              <w:pStyle w:val="12"/>
              <w:jc w:val="center"/>
              <w:rPr>
                <w:rFonts w:ascii="宋体" w:hAnsi="宋体"/>
                <w:w w:val="66"/>
              </w:rPr>
            </w:pPr>
            <w:r>
              <w:rPr>
                <w:rFonts w:hint="eastAsia" w:ascii="宋体" w:hAnsi="宋体"/>
                <w:w w:val="66"/>
              </w:rPr>
              <w:t>4</w:t>
            </w:r>
          </w:p>
        </w:tc>
        <w:tc>
          <w:tcPr>
            <w:tcW w:w="286" w:type="pct"/>
            <w:vAlign w:val="center"/>
          </w:tcPr>
          <w:p w14:paraId="3CEFF293">
            <w:pPr>
              <w:pStyle w:val="12"/>
              <w:jc w:val="center"/>
              <w:rPr>
                <w:rFonts w:ascii="宋体" w:hAnsi="宋体"/>
                <w:w w:val="66"/>
              </w:rPr>
            </w:pPr>
            <w:r>
              <w:rPr>
                <w:rFonts w:hint="eastAsia" w:ascii="宋体" w:hAnsi="宋体"/>
                <w:w w:val="66"/>
              </w:rPr>
              <w:t>5</w:t>
            </w:r>
          </w:p>
        </w:tc>
        <w:tc>
          <w:tcPr>
            <w:tcW w:w="286" w:type="pct"/>
            <w:vAlign w:val="center"/>
          </w:tcPr>
          <w:p w14:paraId="0E79F645">
            <w:pPr>
              <w:pStyle w:val="12"/>
              <w:jc w:val="center"/>
              <w:rPr>
                <w:rFonts w:ascii="宋体" w:hAnsi="宋体"/>
                <w:w w:val="66"/>
              </w:rPr>
            </w:pPr>
            <w:r>
              <w:rPr>
                <w:rFonts w:hint="eastAsia" w:ascii="宋体" w:hAnsi="宋体"/>
                <w:w w:val="66"/>
              </w:rPr>
              <w:t>—</w:t>
            </w:r>
          </w:p>
        </w:tc>
        <w:tc>
          <w:tcPr>
            <w:tcW w:w="286" w:type="pct"/>
            <w:vAlign w:val="center"/>
          </w:tcPr>
          <w:p w14:paraId="75FF4F00">
            <w:pPr>
              <w:pStyle w:val="12"/>
              <w:jc w:val="center"/>
              <w:rPr>
                <w:rFonts w:ascii="宋体" w:hAnsi="宋体"/>
                <w:w w:val="66"/>
              </w:rPr>
            </w:pPr>
            <w:r>
              <w:rPr>
                <w:rFonts w:hint="eastAsia" w:ascii="宋体" w:hAnsi="宋体"/>
                <w:w w:val="66"/>
              </w:rPr>
              <w:t>—</w:t>
            </w:r>
          </w:p>
        </w:tc>
        <w:tc>
          <w:tcPr>
            <w:tcW w:w="286" w:type="pct"/>
            <w:vAlign w:val="center"/>
          </w:tcPr>
          <w:p w14:paraId="35CD9790">
            <w:pPr>
              <w:pStyle w:val="12"/>
              <w:jc w:val="center"/>
              <w:rPr>
                <w:rFonts w:ascii="宋体" w:hAnsi="宋体"/>
                <w:w w:val="66"/>
              </w:rPr>
            </w:pPr>
            <w:r>
              <w:rPr>
                <w:rFonts w:hint="eastAsia" w:ascii="宋体" w:hAnsi="宋体"/>
                <w:w w:val="66"/>
              </w:rPr>
              <w:t>—</w:t>
            </w:r>
          </w:p>
        </w:tc>
        <w:tc>
          <w:tcPr>
            <w:tcW w:w="286" w:type="pct"/>
            <w:vAlign w:val="center"/>
          </w:tcPr>
          <w:p w14:paraId="327A1C3A">
            <w:pPr>
              <w:pStyle w:val="12"/>
              <w:jc w:val="center"/>
              <w:rPr>
                <w:rFonts w:ascii="宋体" w:hAnsi="宋体"/>
                <w:w w:val="66"/>
              </w:rPr>
            </w:pPr>
            <w:r>
              <w:rPr>
                <w:rFonts w:hint="eastAsia" w:ascii="宋体" w:hAnsi="宋体"/>
                <w:w w:val="66"/>
              </w:rPr>
              <w:t>—</w:t>
            </w:r>
          </w:p>
        </w:tc>
        <w:tc>
          <w:tcPr>
            <w:tcW w:w="286" w:type="pct"/>
            <w:vAlign w:val="center"/>
          </w:tcPr>
          <w:p w14:paraId="66707358">
            <w:pPr>
              <w:pStyle w:val="12"/>
              <w:jc w:val="center"/>
              <w:rPr>
                <w:rFonts w:ascii="宋体" w:hAnsi="宋体"/>
                <w:w w:val="66"/>
              </w:rPr>
            </w:pPr>
            <w:r>
              <w:rPr>
                <w:rFonts w:hint="eastAsia" w:ascii="宋体" w:hAnsi="宋体"/>
                <w:w w:val="66"/>
              </w:rPr>
              <w:t>—</w:t>
            </w:r>
          </w:p>
        </w:tc>
        <w:tc>
          <w:tcPr>
            <w:tcW w:w="283" w:type="pct"/>
            <w:vAlign w:val="center"/>
          </w:tcPr>
          <w:p w14:paraId="7A86F4A0">
            <w:pPr>
              <w:pStyle w:val="12"/>
              <w:jc w:val="center"/>
              <w:rPr>
                <w:rFonts w:ascii="宋体" w:hAnsi="宋体"/>
                <w:w w:val="66"/>
              </w:rPr>
            </w:pPr>
            <w:r>
              <w:rPr>
                <w:rFonts w:hint="eastAsia" w:ascii="宋体" w:hAnsi="宋体"/>
                <w:w w:val="66"/>
              </w:rPr>
              <w:t>—</w:t>
            </w:r>
          </w:p>
        </w:tc>
      </w:tr>
      <w:tr w14:paraId="22D96A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c>
          <w:tcPr>
            <w:tcW w:w="427" w:type="pct"/>
            <w:vAlign w:val="center"/>
          </w:tcPr>
          <w:p w14:paraId="35C26BBE">
            <w:pPr>
              <w:pStyle w:val="12"/>
              <w:jc w:val="center"/>
              <w:rPr>
                <w:rFonts w:ascii="宋体" w:hAnsi="宋体"/>
                <w:w w:val="66"/>
              </w:rPr>
            </w:pPr>
            <w:r>
              <w:rPr>
                <w:rFonts w:hint="eastAsia" w:ascii="宋体" w:hAnsi="宋体"/>
                <w:w w:val="66"/>
              </w:rPr>
              <w:t>401～500元</w:t>
            </w:r>
          </w:p>
        </w:tc>
        <w:tc>
          <w:tcPr>
            <w:tcW w:w="286" w:type="pct"/>
            <w:vAlign w:val="center"/>
          </w:tcPr>
          <w:p w14:paraId="68B39024">
            <w:pPr>
              <w:pStyle w:val="12"/>
              <w:jc w:val="center"/>
              <w:rPr>
                <w:rFonts w:ascii="宋体" w:hAnsi="宋体"/>
                <w:w w:val="66"/>
              </w:rPr>
            </w:pPr>
            <w:r>
              <w:rPr>
                <w:rFonts w:hint="eastAsia" w:ascii="宋体" w:hAnsi="宋体"/>
                <w:w w:val="66"/>
              </w:rPr>
              <w:t>7</w:t>
            </w:r>
          </w:p>
        </w:tc>
        <w:tc>
          <w:tcPr>
            <w:tcW w:w="286" w:type="pct"/>
            <w:vAlign w:val="center"/>
          </w:tcPr>
          <w:p w14:paraId="2C6145DE">
            <w:pPr>
              <w:pStyle w:val="12"/>
              <w:jc w:val="center"/>
              <w:rPr>
                <w:rFonts w:ascii="宋体" w:hAnsi="宋体"/>
                <w:w w:val="66"/>
              </w:rPr>
            </w:pPr>
            <w:r>
              <w:rPr>
                <w:rFonts w:hint="eastAsia" w:ascii="宋体" w:hAnsi="宋体"/>
                <w:w w:val="66"/>
              </w:rPr>
              <w:t>8.75</w:t>
            </w:r>
          </w:p>
        </w:tc>
        <w:tc>
          <w:tcPr>
            <w:tcW w:w="286" w:type="pct"/>
            <w:vAlign w:val="center"/>
          </w:tcPr>
          <w:p w14:paraId="3FCBE0B5">
            <w:pPr>
              <w:pStyle w:val="12"/>
              <w:jc w:val="center"/>
              <w:rPr>
                <w:rFonts w:ascii="宋体" w:hAnsi="宋体"/>
                <w:w w:val="66"/>
              </w:rPr>
            </w:pPr>
            <w:r>
              <w:rPr>
                <w:rFonts w:hint="eastAsia" w:ascii="宋体" w:hAnsi="宋体"/>
                <w:w w:val="66"/>
              </w:rPr>
              <w:t>10</w:t>
            </w:r>
          </w:p>
        </w:tc>
        <w:tc>
          <w:tcPr>
            <w:tcW w:w="286" w:type="pct"/>
            <w:vAlign w:val="center"/>
          </w:tcPr>
          <w:p w14:paraId="0A2766A4">
            <w:pPr>
              <w:pStyle w:val="12"/>
              <w:jc w:val="center"/>
              <w:rPr>
                <w:rFonts w:ascii="宋体" w:hAnsi="宋体"/>
                <w:w w:val="66"/>
              </w:rPr>
            </w:pPr>
            <w:r>
              <w:rPr>
                <w:rFonts w:hint="eastAsia" w:ascii="宋体" w:hAnsi="宋体"/>
                <w:w w:val="66"/>
              </w:rPr>
              <w:t>12.66</w:t>
            </w:r>
          </w:p>
        </w:tc>
        <w:tc>
          <w:tcPr>
            <w:tcW w:w="286" w:type="pct"/>
            <w:vAlign w:val="center"/>
          </w:tcPr>
          <w:p w14:paraId="1BF918BA">
            <w:pPr>
              <w:pStyle w:val="12"/>
              <w:jc w:val="center"/>
              <w:rPr>
                <w:rFonts w:ascii="宋体" w:hAnsi="宋体"/>
                <w:w w:val="66"/>
              </w:rPr>
            </w:pPr>
            <w:r>
              <w:rPr>
                <w:rFonts w:hint="eastAsia" w:ascii="宋体" w:hAnsi="宋体"/>
                <w:w w:val="66"/>
              </w:rPr>
              <w:t>21</w:t>
            </w:r>
          </w:p>
        </w:tc>
        <w:tc>
          <w:tcPr>
            <w:tcW w:w="286" w:type="pct"/>
            <w:vAlign w:val="center"/>
          </w:tcPr>
          <w:p w14:paraId="5A4548EA">
            <w:pPr>
              <w:pStyle w:val="12"/>
              <w:jc w:val="center"/>
              <w:rPr>
                <w:rFonts w:ascii="宋体" w:hAnsi="宋体"/>
                <w:w w:val="66"/>
              </w:rPr>
            </w:pPr>
            <w:r>
              <w:rPr>
                <w:rFonts w:hint="eastAsia" w:ascii="宋体" w:hAnsi="宋体"/>
                <w:w w:val="66"/>
              </w:rPr>
              <w:t>26.25</w:t>
            </w:r>
          </w:p>
        </w:tc>
        <w:tc>
          <w:tcPr>
            <w:tcW w:w="286" w:type="pct"/>
            <w:vAlign w:val="center"/>
          </w:tcPr>
          <w:p w14:paraId="3672A9C1">
            <w:pPr>
              <w:pStyle w:val="12"/>
              <w:jc w:val="center"/>
              <w:rPr>
                <w:rFonts w:ascii="宋体" w:hAnsi="宋体"/>
                <w:w w:val="66"/>
              </w:rPr>
            </w:pPr>
            <w:r>
              <w:rPr>
                <w:rFonts w:hint="eastAsia" w:ascii="宋体" w:hAnsi="宋体"/>
                <w:w w:val="66"/>
              </w:rPr>
              <w:t>15</w:t>
            </w:r>
          </w:p>
        </w:tc>
        <w:tc>
          <w:tcPr>
            <w:tcW w:w="286" w:type="pct"/>
            <w:vAlign w:val="center"/>
          </w:tcPr>
          <w:p w14:paraId="023AFAD7">
            <w:pPr>
              <w:pStyle w:val="12"/>
              <w:jc w:val="center"/>
              <w:rPr>
                <w:rFonts w:ascii="宋体" w:hAnsi="宋体"/>
                <w:w w:val="66"/>
              </w:rPr>
            </w:pPr>
            <w:r>
              <w:rPr>
                <w:rFonts w:hint="eastAsia" w:ascii="宋体" w:hAnsi="宋体"/>
                <w:w w:val="66"/>
              </w:rPr>
              <w:t>18.75</w:t>
            </w:r>
          </w:p>
        </w:tc>
        <w:tc>
          <w:tcPr>
            <w:tcW w:w="286" w:type="pct"/>
            <w:vAlign w:val="center"/>
          </w:tcPr>
          <w:p w14:paraId="54B99400">
            <w:pPr>
              <w:pStyle w:val="12"/>
              <w:jc w:val="center"/>
              <w:rPr>
                <w:rFonts w:ascii="宋体" w:hAnsi="宋体"/>
                <w:w w:val="66"/>
              </w:rPr>
            </w:pPr>
            <w:r>
              <w:rPr>
                <w:rFonts w:hint="eastAsia" w:ascii="宋体" w:hAnsi="宋体"/>
                <w:w w:val="66"/>
              </w:rPr>
              <w:t>11</w:t>
            </w:r>
          </w:p>
        </w:tc>
        <w:tc>
          <w:tcPr>
            <w:tcW w:w="286" w:type="pct"/>
            <w:vAlign w:val="center"/>
          </w:tcPr>
          <w:p w14:paraId="0B841E23">
            <w:pPr>
              <w:pStyle w:val="12"/>
              <w:jc w:val="center"/>
              <w:rPr>
                <w:rFonts w:ascii="宋体" w:hAnsi="宋体"/>
                <w:w w:val="66"/>
              </w:rPr>
            </w:pPr>
            <w:r>
              <w:rPr>
                <w:rFonts w:hint="eastAsia" w:ascii="宋体" w:hAnsi="宋体"/>
                <w:w w:val="66"/>
              </w:rPr>
              <w:t>13.75</w:t>
            </w:r>
          </w:p>
        </w:tc>
        <w:tc>
          <w:tcPr>
            <w:tcW w:w="286" w:type="pct"/>
            <w:vAlign w:val="center"/>
          </w:tcPr>
          <w:p w14:paraId="16B7AA52">
            <w:pPr>
              <w:pStyle w:val="12"/>
              <w:jc w:val="center"/>
              <w:rPr>
                <w:rFonts w:ascii="宋体" w:hAnsi="宋体"/>
                <w:w w:val="66"/>
              </w:rPr>
            </w:pPr>
            <w:r>
              <w:rPr>
                <w:rFonts w:hint="eastAsia" w:ascii="宋体" w:hAnsi="宋体"/>
                <w:w w:val="66"/>
              </w:rPr>
              <w:t>1</w:t>
            </w:r>
          </w:p>
        </w:tc>
        <w:tc>
          <w:tcPr>
            <w:tcW w:w="286" w:type="pct"/>
            <w:vAlign w:val="center"/>
          </w:tcPr>
          <w:p w14:paraId="64F31A9F">
            <w:pPr>
              <w:pStyle w:val="12"/>
              <w:jc w:val="center"/>
              <w:rPr>
                <w:rFonts w:ascii="宋体" w:hAnsi="宋体"/>
                <w:w w:val="66"/>
              </w:rPr>
            </w:pPr>
            <w:r>
              <w:rPr>
                <w:rFonts w:hint="eastAsia" w:ascii="宋体" w:hAnsi="宋体"/>
                <w:w w:val="66"/>
              </w:rPr>
              <w:t>1.25</w:t>
            </w:r>
          </w:p>
        </w:tc>
        <w:tc>
          <w:tcPr>
            <w:tcW w:w="286" w:type="pct"/>
            <w:vAlign w:val="center"/>
          </w:tcPr>
          <w:p w14:paraId="3AEB2E6D">
            <w:pPr>
              <w:pStyle w:val="12"/>
              <w:jc w:val="center"/>
              <w:rPr>
                <w:rFonts w:ascii="宋体" w:hAnsi="宋体"/>
                <w:w w:val="66"/>
              </w:rPr>
            </w:pPr>
            <w:r>
              <w:rPr>
                <w:rFonts w:hint="eastAsia" w:ascii="宋体" w:hAnsi="宋体"/>
                <w:w w:val="66"/>
              </w:rPr>
              <w:t>—</w:t>
            </w:r>
          </w:p>
        </w:tc>
        <w:tc>
          <w:tcPr>
            <w:tcW w:w="286" w:type="pct"/>
            <w:vAlign w:val="center"/>
          </w:tcPr>
          <w:p w14:paraId="7AAE7DE1">
            <w:pPr>
              <w:pStyle w:val="12"/>
              <w:jc w:val="center"/>
              <w:rPr>
                <w:rFonts w:ascii="宋体" w:hAnsi="宋体"/>
                <w:w w:val="66"/>
              </w:rPr>
            </w:pPr>
            <w:r>
              <w:rPr>
                <w:rFonts w:hint="eastAsia" w:ascii="宋体" w:hAnsi="宋体"/>
                <w:w w:val="66"/>
              </w:rPr>
              <w:t>—</w:t>
            </w:r>
          </w:p>
        </w:tc>
        <w:tc>
          <w:tcPr>
            <w:tcW w:w="286" w:type="pct"/>
            <w:vAlign w:val="center"/>
          </w:tcPr>
          <w:p w14:paraId="0702B290">
            <w:pPr>
              <w:pStyle w:val="12"/>
              <w:jc w:val="center"/>
              <w:rPr>
                <w:rFonts w:ascii="宋体" w:hAnsi="宋体"/>
                <w:w w:val="66"/>
              </w:rPr>
            </w:pPr>
            <w:r>
              <w:rPr>
                <w:rFonts w:hint="eastAsia" w:ascii="宋体" w:hAnsi="宋体"/>
                <w:w w:val="66"/>
              </w:rPr>
              <w:t>—</w:t>
            </w:r>
          </w:p>
        </w:tc>
        <w:tc>
          <w:tcPr>
            <w:tcW w:w="283" w:type="pct"/>
            <w:vAlign w:val="center"/>
          </w:tcPr>
          <w:p w14:paraId="02717135">
            <w:pPr>
              <w:pStyle w:val="12"/>
              <w:jc w:val="center"/>
              <w:rPr>
                <w:rFonts w:ascii="宋体" w:hAnsi="宋体"/>
                <w:w w:val="66"/>
              </w:rPr>
            </w:pPr>
            <w:r>
              <w:rPr>
                <w:rFonts w:hint="eastAsia" w:ascii="宋体" w:hAnsi="宋体"/>
                <w:w w:val="66"/>
              </w:rPr>
              <w:t>—</w:t>
            </w:r>
          </w:p>
        </w:tc>
      </w:tr>
      <w:tr w14:paraId="3FEADC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c>
          <w:tcPr>
            <w:tcW w:w="427" w:type="pct"/>
            <w:vAlign w:val="center"/>
          </w:tcPr>
          <w:p w14:paraId="0D159B8F">
            <w:pPr>
              <w:pStyle w:val="12"/>
              <w:jc w:val="center"/>
              <w:rPr>
                <w:rFonts w:ascii="宋体" w:hAnsi="宋体"/>
                <w:w w:val="66"/>
              </w:rPr>
            </w:pPr>
            <w:r>
              <w:rPr>
                <w:rFonts w:hint="eastAsia" w:ascii="宋体" w:hAnsi="宋体"/>
                <w:w w:val="66"/>
              </w:rPr>
              <w:t>501～600元</w:t>
            </w:r>
          </w:p>
        </w:tc>
        <w:tc>
          <w:tcPr>
            <w:tcW w:w="286" w:type="pct"/>
            <w:vAlign w:val="center"/>
          </w:tcPr>
          <w:p w14:paraId="732D50BB">
            <w:pPr>
              <w:pStyle w:val="12"/>
              <w:jc w:val="center"/>
              <w:rPr>
                <w:rFonts w:ascii="宋体" w:hAnsi="宋体"/>
                <w:w w:val="66"/>
              </w:rPr>
            </w:pPr>
            <w:r>
              <w:rPr>
                <w:rFonts w:hint="eastAsia" w:ascii="宋体" w:hAnsi="宋体"/>
                <w:w w:val="66"/>
              </w:rPr>
              <w:t>8</w:t>
            </w:r>
          </w:p>
        </w:tc>
        <w:tc>
          <w:tcPr>
            <w:tcW w:w="286" w:type="pct"/>
            <w:vAlign w:val="center"/>
          </w:tcPr>
          <w:p w14:paraId="0E646117">
            <w:pPr>
              <w:pStyle w:val="12"/>
              <w:jc w:val="center"/>
              <w:rPr>
                <w:rFonts w:ascii="宋体" w:hAnsi="宋体"/>
                <w:w w:val="66"/>
              </w:rPr>
            </w:pPr>
            <w:r>
              <w:rPr>
                <w:rFonts w:hint="eastAsia" w:ascii="宋体" w:hAnsi="宋体"/>
                <w:w w:val="66"/>
              </w:rPr>
              <w:t>10</w:t>
            </w:r>
          </w:p>
        </w:tc>
        <w:tc>
          <w:tcPr>
            <w:tcW w:w="286" w:type="pct"/>
            <w:vAlign w:val="center"/>
          </w:tcPr>
          <w:p w14:paraId="3764A7AB">
            <w:pPr>
              <w:pStyle w:val="12"/>
              <w:jc w:val="center"/>
              <w:rPr>
                <w:rFonts w:ascii="宋体" w:hAnsi="宋体"/>
                <w:w w:val="66"/>
              </w:rPr>
            </w:pPr>
            <w:r>
              <w:rPr>
                <w:rFonts w:hint="eastAsia" w:ascii="宋体" w:hAnsi="宋体"/>
                <w:w w:val="66"/>
              </w:rPr>
              <w:t>7</w:t>
            </w:r>
          </w:p>
        </w:tc>
        <w:tc>
          <w:tcPr>
            <w:tcW w:w="286" w:type="pct"/>
            <w:vAlign w:val="center"/>
          </w:tcPr>
          <w:p w14:paraId="30954293">
            <w:pPr>
              <w:pStyle w:val="12"/>
              <w:jc w:val="center"/>
              <w:rPr>
                <w:rFonts w:ascii="宋体" w:hAnsi="宋体"/>
                <w:w w:val="66"/>
              </w:rPr>
            </w:pPr>
            <w:r>
              <w:rPr>
                <w:rFonts w:hint="eastAsia" w:ascii="宋体" w:hAnsi="宋体"/>
                <w:w w:val="66"/>
              </w:rPr>
              <w:t>8.75</w:t>
            </w:r>
          </w:p>
        </w:tc>
        <w:tc>
          <w:tcPr>
            <w:tcW w:w="286" w:type="pct"/>
            <w:vAlign w:val="center"/>
          </w:tcPr>
          <w:p w14:paraId="55152705">
            <w:pPr>
              <w:pStyle w:val="12"/>
              <w:jc w:val="center"/>
              <w:rPr>
                <w:rFonts w:ascii="宋体" w:hAnsi="宋体"/>
                <w:w w:val="66"/>
              </w:rPr>
            </w:pPr>
            <w:r>
              <w:rPr>
                <w:rFonts w:hint="eastAsia" w:ascii="宋体" w:hAnsi="宋体"/>
                <w:w w:val="66"/>
              </w:rPr>
              <w:t>9</w:t>
            </w:r>
          </w:p>
        </w:tc>
        <w:tc>
          <w:tcPr>
            <w:tcW w:w="286" w:type="pct"/>
            <w:vAlign w:val="center"/>
          </w:tcPr>
          <w:p w14:paraId="4A6A2268">
            <w:pPr>
              <w:pStyle w:val="12"/>
              <w:jc w:val="center"/>
              <w:rPr>
                <w:rFonts w:ascii="宋体" w:hAnsi="宋体"/>
                <w:w w:val="66"/>
              </w:rPr>
            </w:pPr>
            <w:r>
              <w:rPr>
                <w:rFonts w:hint="eastAsia" w:ascii="宋体" w:hAnsi="宋体"/>
                <w:w w:val="66"/>
              </w:rPr>
              <w:t>11.25</w:t>
            </w:r>
          </w:p>
        </w:tc>
        <w:tc>
          <w:tcPr>
            <w:tcW w:w="286" w:type="pct"/>
            <w:vAlign w:val="center"/>
          </w:tcPr>
          <w:p w14:paraId="041C6F73">
            <w:pPr>
              <w:pStyle w:val="12"/>
              <w:jc w:val="center"/>
              <w:rPr>
                <w:rFonts w:ascii="宋体" w:hAnsi="宋体"/>
                <w:w w:val="66"/>
              </w:rPr>
            </w:pPr>
            <w:r>
              <w:rPr>
                <w:rFonts w:hint="eastAsia" w:ascii="宋体" w:hAnsi="宋体"/>
                <w:w w:val="66"/>
              </w:rPr>
              <w:t>19</w:t>
            </w:r>
          </w:p>
        </w:tc>
        <w:tc>
          <w:tcPr>
            <w:tcW w:w="286" w:type="pct"/>
            <w:vAlign w:val="center"/>
          </w:tcPr>
          <w:p w14:paraId="69302B24">
            <w:pPr>
              <w:pStyle w:val="12"/>
              <w:jc w:val="center"/>
              <w:rPr>
                <w:rFonts w:ascii="宋体" w:hAnsi="宋体"/>
                <w:w w:val="66"/>
              </w:rPr>
            </w:pPr>
            <w:r>
              <w:rPr>
                <w:rFonts w:hint="eastAsia" w:ascii="宋体" w:hAnsi="宋体"/>
                <w:w w:val="66"/>
              </w:rPr>
              <w:t>23.75</w:t>
            </w:r>
          </w:p>
        </w:tc>
        <w:tc>
          <w:tcPr>
            <w:tcW w:w="286" w:type="pct"/>
            <w:vAlign w:val="center"/>
          </w:tcPr>
          <w:p w14:paraId="0D4EB426">
            <w:pPr>
              <w:pStyle w:val="12"/>
              <w:jc w:val="center"/>
              <w:rPr>
                <w:rFonts w:ascii="宋体" w:hAnsi="宋体"/>
                <w:w w:val="66"/>
              </w:rPr>
            </w:pPr>
            <w:r>
              <w:rPr>
                <w:rFonts w:hint="eastAsia" w:ascii="宋体" w:hAnsi="宋体"/>
                <w:w w:val="66"/>
              </w:rPr>
              <w:t>14</w:t>
            </w:r>
          </w:p>
        </w:tc>
        <w:tc>
          <w:tcPr>
            <w:tcW w:w="286" w:type="pct"/>
            <w:vAlign w:val="center"/>
          </w:tcPr>
          <w:p w14:paraId="3A7BF192">
            <w:pPr>
              <w:pStyle w:val="12"/>
              <w:jc w:val="center"/>
              <w:rPr>
                <w:rFonts w:ascii="宋体" w:hAnsi="宋体"/>
                <w:w w:val="66"/>
              </w:rPr>
            </w:pPr>
            <w:r>
              <w:rPr>
                <w:rFonts w:hint="eastAsia" w:ascii="宋体" w:hAnsi="宋体"/>
                <w:w w:val="66"/>
              </w:rPr>
              <w:t>17.5</w:t>
            </w:r>
          </w:p>
        </w:tc>
        <w:tc>
          <w:tcPr>
            <w:tcW w:w="286" w:type="pct"/>
            <w:vAlign w:val="center"/>
          </w:tcPr>
          <w:p w14:paraId="56EA0812">
            <w:pPr>
              <w:pStyle w:val="12"/>
              <w:jc w:val="center"/>
              <w:rPr>
                <w:rFonts w:ascii="宋体" w:hAnsi="宋体"/>
                <w:w w:val="66"/>
              </w:rPr>
            </w:pPr>
            <w:r>
              <w:rPr>
                <w:rFonts w:hint="eastAsia" w:ascii="宋体" w:hAnsi="宋体"/>
                <w:w w:val="66"/>
              </w:rPr>
              <w:t>3</w:t>
            </w:r>
          </w:p>
        </w:tc>
        <w:tc>
          <w:tcPr>
            <w:tcW w:w="286" w:type="pct"/>
            <w:vAlign w:val="center"/>
          </w:tcPr>
          <w:p w14:paraId="063FC4AB">
            <w:pPr>
              <w:pStyle w:val="12"/>
              <w:jc w:val="center"/>
              <w:rPr>
                <w:rFonts w:ascii="宋体" w:hAnsi="宋体"/>
                <w:w w:val="66"/>
              </w:rPr>
            </w:pPr>
            <w:r>
              <w:rPr>
                <w:rFonts w:hint="eastAsia" w:ascii="宋体" w:hAnsi="宋体"/>
                <w:w w:val="66"/>
              </w:rPr>
              <w:t>3.75</w:t>
            </w:r>
          </w:p>
        </w:tc>
        <w:tc>
          <w:tcPr>
            <w:tcW w:w="286" w:type="pct"/>
            <w:vAlign w:val="center"/>
          </w:tcPr>
          <w:p w14:paraId="42036812">
            <w:pPr>
              <w:pStyle w:val="12"/>
              <w:jc w:val="center"/>
              <w:rPr>
                <w:rFonts w:ascii="宋体" w:hAnsi="宋体"/>
                <w:w w:val="66"/>
              </w:rPr>
            </w:pPr>
            <w:r>
              <w:rPr>
                <w:rFonts w:hint="eastAsia" w:ascii="宋体" w:hAnsi="宋体"/>
                <w:w w:val="66"/>
              </w:rPr>
              <w:t>—</w:t>
            </w:r>
          </w:p>
        </w:tc>
        <w:tc>
          <w:tcPr>
            <w:tcW w:w="286" w:type="pct"/>
            <w:vAlign w:val="center"/>
          </w:tcPr>
          <w:p w14:paraId="17A30D9C">
            <w:pPr>
              <w:pStyle w:val="12"/>
              <w:jc w:val="center"/>
              <w:rPr>
                <w:rFonts w:ascii="宋体" w:hAnsi="宋体"/>
                <w:w w:val="66"/>
              </w:rPr>
            </w:pPr>
            <w:r>
              <w:rPr>
                <w:rFonts w:hint="eastAsia" w:ascii="宋体" w:hAnsi="宋体"/>
                <w:w w:val="66"/>
              </w:rPr>
              <w:t>—</w:t>
            </w:r>
          </w:p>
        </w:tc>
        <w:tc>
          <w:tcPr>
            <w:tcW w:w="286" w:type="pct"/>
            <w:vAlign w:val="center"/>
          </w:tcPr>
          <w:p w14:paraId="16233188">
            <w:pPr>
              <w:pStyle w:val="12"/>
              <w:jc w:val="center"/>
              <w:rPr>
                <w:rFonts w:ascii="宋体" w:hAnsi="宋体"/>
                <w:w w:val="66"/>
              </w:rPr>
            </w:pPr>
            <w:r>
              <w:rPr>
                <w:rFonts w:hint="eastAsia" w:ascii="宋体" w:hAnsi="宋体"/>
                <w:w w:val="66"/>
              </w:rPr>
              <w:t>—</w:t>
            </w:r>
          </w:p>
        </w:tc>
        <w:tc>
          <w:tcPr>
            <w:tcW w:w="283" w:type="pct"/>
            <w:vAlign w:val="center"/>
          </w:tcPr>
          <w:p w14:paraId="2F4CFFB3">
            <w:pPr>
              <w:pStyle w:val="12"/>
              <w:jc w:val="center"/>
              <w:rPr>
                <w:rFonts w:ascii="宋体" w:hAnsi="宋体"/>
                <w:w w:val="66"/>
              </w:rPr>
            </w:pPr>
            <w:r>
              <w:rPr>
                <w:rFonts w:hint="eastAsia" w:ascii="宋体" w:hAnsi="宋体"/>
                <w:w w:val="66"/>
              </w:rPr>
              <w:t>—</w:t>
            </w:r>
          </w:p>
        </w:tc>
      </w:tr>
      <w:tr w14:paraId="5DD243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c>
          <w:tcPr>
            <w:tcW w:w="427" w:type="pct"/>
            <w:vAlign w:val="center"/>
          </w:tcPr>
          <w:p w14:paraId="328DD53C">
            <w:pPr>
              <w:pStyle w:val="12"/>
              <w:jc w:val="center"/>
              <w:rPr>
                <w:rFonts w:ascii="宋体" w:hAnsi="宋体"/>
                <w:w w:val="66"/>
              </w:rPr>
            </w:pPr>
            <w:r>
              <w:rPr>
                <w:rFonts w:hint="eastAsia" w:ascii="宋体" w:hAnsi="宋体"/>
                <w:w w:val="66"/>
              </w:rPr>
              <w:t>601～800元</w:t>
            </w:r>
          </w:p>
        </w:tc>
        <w:tc>
          <w:tcPr>
            <w:tcW w:w="286" w:type="pct"/>
            <w:vAlign w:val="center"/>
          </w:tcPr>
          <w:p w14:paraId="48C410D4">
            <w:pPr>
              <w:pStyle w:val="12"/>
              <w:jc w:val="center"/>
              <w:rPr>
                <w:rFonts w:ascii="宋体" w:hAnsi="宋体"/>
                <w:w w:val="66"/>
              </w:rPr>
            </w:pPr>
            <w:r>
              <w:rPr>
                <w:rFonts w:hint="eastAsia" w:ascii="宋体" w:hAnsi="宋体"/>
                <w:w w:val="66"/>
              </w:rPr>
              <w:t>2</w:t>
            </w:r>
          </w:p>
        </w:tc>
        <w:tc>
          <w:tcPr>
            <w:tcW w:w="286" w:type="pct"/>
            <w:vAlign w:val="center"/>
          </w:tcPr>
          <w:p w14:paraId="2F313453">
            <w:pPr>
              <w:pStyle w:val="12"/>
              <w:jc w:val="center"/>
              <w:rPr>
                <w:rFonts w:ascii="宋体" w:hAnsi="宋体"/>
                <w:w w:val="66"/>
              </w:rPr>
            </w:pPr>
            <w:r>
              <w:rPr>
                <w:rFonts w:hint="eastAsia" w:ascii="宋体" w:hAnsi="宋体"/>
                <w:w w:val="66"/>
              </w:rPr>
              <w:t>2.5</w:t>
            </w:r>
          </w:p>
        </w:tc>
        <w:tc>
          <w:tcPr>
            <w:tcW w:w="286" w:type="pct"/>
            <w:vAlign w:val="center"/>
          </w:tcPr>
          <w:p w14:paraId="53EB58F4">
            <w:pPr>
              <w:pStyle w:val="12"/>
              <w:jc w:val="center"/>
              <w:rPr>
                <w:rFonts w:ascii="宋体" w:hAnsi="宋体"/>
                <w:w w:val="66"/>
              </w:rPr>
            </w:pPr>
            <w:r>
              <w:rPr>
                <w:rFonts w:hint="eastAsia" w:ascii="宋体" w:hAnsi="宋体"/>
                <w:w w:val="66"/>
              </w:rPr>
              <w:t>3</w:t>
            </w:r>
          </w:p>
        </w:tc>
        <w:tc>
          <w:tcPr>
            <w:tcW w:w="286" w:type="pct"/>
            <w:vAlign w:val="center"/>
          </w:tcPr>
          <w:p w14:paraId="36B068A3">
            <w:pPr>
              <w:pStyle w:val="12"/>
              <w:jc w:val="center"/>
              <w:rPr>
                <w:rFonts w:ascii="宋体" w:hAnsi="宋体"/>
                <w:w w:val="66"/>
              </w:rPr>
            </w:pPr>
            <w:r>
              <w:rPr>
                <w:rFonts w:hint="eastAsia" w:ascii="宋体" w:hAnsi="宋体"/>
                <w:w w:val="66"/>
              </w:rPr>
              <w:t>3.8</w:t>
            </w:r>
          </w:p>
        </w:tc>
        <w:tc>
          <w:tcPr>
            <w:tcW w:w="286" w:type="pct"/>
            <w:vAlign w:val="center"/>
          </w:tcPr>
          <w:p w14:paraId="5DFF68D1">
            <w:pPr>
              <w:pStyle w:val="12"/>
              <w:jc w:val="center"/>
              <w:rPr>
                <w:rFonts w:ascii="宋体" w:hAnsi="宋体"/>
                <w:w w:val="66"/>
              </w:rPr>
            </w:pPr>
            <w:r>
              <w:rPr>
                <w:rFonts w:hint="eastAsia" w:ascii="宋体" w:hAnsi="宋体"/>
                <w:w w:val="66"/>
              </w:rPr>
              <w:t>1</w:t>
            </w:r>
          </w:p>
        </w:tc>
        <w:tc>
          <w:tcPr>
            <w:tcW w:w="286" w:type="pct"/>
            <w:vAlign w:val="center"/>
          </w:tcPr>
          <w:p w14:paraId="5F4C4D3F">
            <w:pPr>
              <w:pStyle w:val="12"/>
              <w:jc w:val="center"/>
              <w:rPr>
                <w:rFonts w:ascii="宋体" w:hAnsi="宋体"/>
                <w:w w:val="66"/>
              </w:rPr>
            </w:pPr>
            <w:r>
              <w:rPr>
                <w:rFonts w:hint="eastAsia" w:ascii="宋体" w:hAnsi="宋体"/>
                <w:w w:val="66"/>
              </w:rPr>
              <w:t>1.25</w:t>
            </w:r>
          </w:p>
        </w:tc>
        <w:tc>
          <w:tcPr>
            <w:tcW w:w="286" w:type="pct"/>
            <w:vAlign w:val="center"/>
          </w:tcPr>
          <w:p w14:paraId="598D8202">
            <w:pPr>
              <w:pStyle w:val="12"/>
              <w:jc w:val="center"/>
              <w:rPr>
                <w:rFonts w:ascii="宋体" w:hAnsi="宋体"/>
                <w:w w:val="66"/>
              </w:rPr>
            </w:pPr>
            <w:r>
              <w:rPr>
                <w:rFonts w:hint="eastAsia" w:ascii="宋体" w:hAnsi="宋体"/>
                <w:w w:val="66"/>
              </w:rPr>
              <w:t>31</w:t>
            </w:r>
          </w:p>
        </w:tc>
        <w:tc>
          <w:tcPr>
            <w:tcW w:w="286" w:type="pct"/>
            <w:vAlign w:val="center"/>
          </w:tcPr>
          <w:p w14:paraId="53A9274C">
            <w:pPr>
              <w:pStyle w:val="12"/>
              <w:jc w:val="center"/>
              <w:rPr>
                <w:rFonts w:ascii="宋体" w:hAnsi="宋体"/>
                <w:w w:val="66"/>
              </w:rPr>
            </w:pPr>
            <w:r>
              <w:rPr>
                <w:rFonts w:hint="eastAsia" w:ascii="宋体" w:hAnsi="宋体"/>
                <w:w w:val="66"/>
              </w:rPr>
              <w:t>38.75</w:t>
            </w:r>
          </w:p>
        </w:tc>
        <w:tc>
          <w:tcPr>
            <w:tcW w:w="286" w:type="pct"/>
            <w:vAlign w:val="center"/>
          </w:tcPr>
          <w:p w14:paraId="1E537D2C">
            <w:pPr>
              <w:pStyle w:val="12"/>
              <w:jc w:val="center"/>
              <w:rPr>
                <w:rFonts w:ascii="宋体" w:hAnsi="宋体"/>
                <w:w w:val="66"/>
              </w:rPr>
            </w:pPr>
            <w:r>
              <w:rPr>
                <w:rFonts w:hint="eastAsia" w:ascii="宋体" w:hAnsi="宋体"/>
                <w:w w:val="66"/>
              </w:rPr>
              <w:t>27</w:t>
            </w:r>
          </w:p>
        </w:tc>
        <w:tc>
          <w:tcPr>
            <w:tcW w:w="286" w:type="pct"/>
            <w:vAlign w:val="center"/>
          </w:tcPr>
          <w:p w14:paraId="0E2F9102">
            <w:pPr>
              <w:pStyle w:val="12"/>
              <w:jc w:val="center"/>
              <w:rPr>
                <w:rFonts w:ascii="宋体" w:hAnsi="宋体"/>
                <w:w w:val="66"/>
              </w:rPr>
            </w:pPr>
            <w:r>
              <w:rPr>
                <w:rFonts w:hint="eastAsia" w:ascii="宋体" w:hAnsi="宋体"/>
                <w:w w:val="66"/>
              </w:rPr>
              <w:t>33.75</w:t>
            </w:r>
          </w:p>
        </w:tc>
        <w:tc>
          <w:tcPr>
            <w:tcW w:w="286" w:type="pct"/>
            <w:vAlign w:val="center"/>
          </w:tcPr>
          <w:p w14:paraId="618A80E1">
            <w:pPr>
              <w:pStyle w:val="12"/>
              <w:jc w:val="center"/>
              <w:rPr>
                <w:rFonts w:ascii="宋体" w:hAnsi="宋体"/>
                <w:w w:val="66"/>
              </w:rPr>
            </w:pPr>
            <w:r>
              <w:rPr>
                <w:rFonts w:hint="eastAsia" w:ascii="宋体" w:hAnsi="宋体"/>
                <w:w w:val="66"/>
              </w:rPr>
              <w:t>13</w:t>
            </w:r>
          </w:p>
        </w:tc>
        <w:tc>
          <w:tcPr>
            <w:tcW w:w="286" w:type="pct"/>
            <w:vAlign w:val="center"/>
          </w:tcPr>
          <w:p w14:paraId="0B5C9C77">
            <w:pPr>
              <w:pStyle w:val="12"/>
              <w:jc w:val="center"/>
              <w:rPr>
                <w:rFonts w:ascii="宋体" w:hAnsi="宋体"/>
                <w:w w:val="66"/>
              </w:rPr>
            </w:pPr>
            <w:r>
              <w:rPr>
                <w:rFonts w:hint="eastAsia" w:ascii="宋体" w:hAnsi="宋体"/>
                <w:w w:val="66"/>
              </w:rPr>
              <w:t>16.25</w:t>
            </w:r>
          </w:p>
        </w:tc>
        <w:tc>
          <w:tcPr>
            <w:tcW w:w="286" w:type="pct"/>
            <w:vAlign w:val="center"/>
          </w:tcPr>
          <w:p w14:paraId="77FF7E52">
            <w:pPr>
              <w:pStyle w:val="12"/>
              <w:jc w:val="center"/>
              <w:rPr>
                <w:rFonts w:ascii="宋体" w:hAnsi="宋体"/>
                <w:w w:val="66"/>
              </w:rPr>
            </w:pPr>
            <w:r>
              <w:rPr>
                <w:rFonts w:hint="eastAsia" w:ascii="宋体" w:hAnsi="宋体"/>
                <w:w w:val="66"/>
              </w:rPr>
              <w:t>—</w:t>
            </w:r>
          </w:p>
        </w:tc>
        <w:tc>
          <w:tcPr>
            <w:tcW w:w="286" w:type="pct"/>
            <w:vAlign w:val="center"/>
          </w:tcPr>
          <w:p w14:paraId="3A465836">
            <w:pPr>
              <w:pStyle w:val="12"/>
              <w:jc w:val="center"/>
              <w:rPr>
                <w:rFonts w:ascii="宋体" w:hAnsi="宋体"/>
                <w:w w:val="66"/>
              </w:rPr>
            </w:pPr>
            <w:r>
              <w:rPr>
                <w:rFonts w:hint="eastAsia" w:ascii="宋体" w:hAnsi="宋体"/>
                <w:w w:val="66"/>
              </w:rPr>
              <w:t>—</w:t>
            </w:r>
          </w:p>
        </w:tc>
        <w:tc>
          <w:tcPr>
            <w:tcW w:w="286" w:type="pct"/>
            <w:vAlign w:val="center"/>
          </w:tcPr>
          <w:p w14:paraId="587DADD9">
            <w:pPr>
              <w:pStyle w:val="12"/>
              <w:jc w:val="center"/>
              <w:rPr>
                <w:rFonts w:ascii="宋体" w:hAnsi="宋体"/>
                <w:w w:val="66"/>
              </w:rPr>
            </w:pPr>
            <w:r>
              <w:rPr>
                <w:rFonts w:hint="eastAsia" w:ascii="宋体" w:hAnsi="宋体"/>
                <w:w w:val="66"/>
              </w:rPr>
              <w:t>—</w:t>
            </w:r>
          </w:p>
        </w:tc>
        <w:tc>
          <w:tcPr>
            <w:tcW w:w="283" w:type="pct"/>
            <w:vAlign w:val="center"/>
          </w:tcPr>
          <w:p w14:paraId="30A6ADE1">
            <w:pPr>
              <w:pStyle w:val="12"/>
              <w:jc w:val="center"/>
              <w:rPr>
                <w:rFonts w:ascii="宋体" w:hAnsi="宋体"/>
                <w:w w:val="66"/>
              </w:rPr>
            </w:pPr>
            <w:r>
              <w:rPr>
                <w:rFonts w:hint="eastAsia" w:ascii="宋体" w:hAnsi="宋体"/>
                <w:w w:val="66"/>
              </w:rPr>
              <w:t>—</w:t>
            </w:r>
          </w:p>
        </w:tc>
      </w:tr>
      <w:tr w14:paraId="4A536B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c>
          <w:tcPr>
            <w:tcW w:w="427" w:type="pct"/>
            <w:vAlign w:val="center"/>
          </w:tcPr>
          <w:p w14:paraId="12B16F8B">
            <w:pPr>
              <w:pStyle w:val="12"/>
              <w:jc w:val="center"/>
              <w:rPr>
                <w:rFonts w:ascii="宋体" w:hAnsi="宋体"/>
                <w:w w:val="66"/>
              </w:rPr>
            </w:pPr>
            <w:r>
              <w:rPr>
                <w:rFonts w:hint="eastAsia" w:ascii="宋体" w:hAnsi="宋体"/>
                <w:w w:val="66"/>
              </w:rPr>
              <w:t>801～1000元</w:t>
            </w:r>
          </w:p>
        </w:tc>
        <w:tc>
          <w:tcPr>
            <w:tcW w:w="286" w:type="pct"/>
            <w:vAlign w:val="center"/>
          </w:tcPr>
          <w:p w14:paraId="1F87C0D7">
            <w:pPr>
              <w:pStyle w:val="12"/>
              <w:jc w:val="center"/>
              <w:rPr>
                <w:rFonts w:ascii="宋体" w:hAnsi="宋体"/>
                <w:w w:val="66"/>
              </w:rPr>
            </w:pPr>
            <w:r>
              <w:rPr>
                <w:rFonts w:hint="eastAsia" w:ascii="宋体" w:hAnsi="宋体"/>
                <w:w w:val="66"/>
              </w:rPr>
              <w:t>—</w:t>
            </w:r>
          </w:p>
        </w:tc>
        <w:tc>
          <w:tcPr>
            <w:tcW w:w="286" w:type="pct"/>
            <w:vAlign w:val="center"/>
          </w:tcPr>
          <w:p w14:paraId="07D2FC07">
            <w:pPr>
              <w:pStyle w:val="12"/>
              <w:jc w:val="center"/>
              <w:rPr>
                <w:rFonts w:ascii="宋体" w:hAnsi="宋体"/>
                <w:w w:val="66"/>
              </w:rPr>
            </w:pPr>
            <w:r>
              <w:rPr>
                <w:rFonts w:hint="eastAsia" w:ascii="宋体" w:hAnsi="宋体"/>
                <w:w w:val="66"/>
              </w:rPr>
              <w:t>—</w:t>
            </w:r>
          </w:p>
        </w:tc>
        <w:tc>
          <w:tcPr>
            <w:tcW w:w="286" w:type="pct"/>
            <w:vAlign w:val="center"/>
          </w:tcPr>
          <w:p w14:paraId="2C6196F9">
            <w:pPr>
              <w:pStyle w:val="12"/>
              <w:jc w:val="center"/>
              <w:rPr>
                <w:rFonts w:ascii="宋体" w:hAnsi="宋体"/>
                <w:w w:val="66"/>
              </w:rPr>
            </w:pPr>
            <w:r>
              <w:rPr>
                <w:rFonts w:hint="eastAsia" w:ascii="宋体" w:hAnsi="宋体"/>
                <w:w w:val="66"/>
              </w:rPr>
              <w:t>1</w:t>
            </w:r>
          </w:p>
        </w:tc>
        <w:tc>
          <w:tcPr>
            <w:tcW w:w="286" w:type="pct"/>
            <w:vAlign w:val="center"/>
          </w:tcPr>
          <w:p w14:paraId="5340649A">
            <w:pPr>
              <w:pStyle w:val="12"/>
              <w:jc w:val="center"/>
              <w:rPr>
                <w:rFonts w:ascii="宋体" w:hAnsi="宋体"/>
                <w:w w:val="66"/>
              </w:rPr>
            </w:pPr>
            <w:r>
              <w:rPr>
                <w:rFonts w:hint="eastAsia" w:ascii="宋体" w:hAnsi="宋体"/>
                <w:w w:val="66"/>
              </w:rPr>
              <w:t>1.26</w:t>
            </w:r>
          </w:p>
        </w:tc>
        <w:tc>
          <w:tcPr>
            <w:tcW w:w="286" w:type="pct"/>
            <w:vAlign w:val="center"/>
          </w:tcPr>
          <w:p w14:paraId="0F785C4C">
            <w:pPr>
              <w:pStyle w:val="12"/>
              <w:jc w:val="center"/>
              <w:rPr>
                <w:rFonts w:ascii="宋体" w:hAnsi="宋体"/>
                <w:w w:val="66"/>
              </w:rPr>
            </w:pPr>
            <w:r>
              <w:rPr>
                <w:rFonts w:hint="eastAsia" w:ascii="宋体" w:hAnsi="宋体"/>
                <w:w w:val="66"/>
              </w:rPr>
              <w:t>—</w:t>
            </w:r>
          </w:p>
        </w:tc>
        <w:tc>
          <w:tcPr>
            <w:tcW w:w="286" w:type="pct"/>
            <w:vAlign w:val="center"/>
          </w:tcPr>
          <w:p w14:paraId="104D8623">
            <w:pPr>
              <w:pStyle w:val="12"/>
              <w:jc w:val="center"/>
              <w:rPr>
                <w:rFonts w:ascii="宋体" w:hAnsi="宋体"/>
                <w:w w:val="66"/>
              </w:rPr>
            </w:pPr>
            <w:r>
              <w:rPr>
                <w:rFonts w:hint="eastAsia" w:ascii="宋体" w:hAnsi="宋体"/>
                <w:w w:val="66"/>
              </w:rPr>
              <w:t>—</w:t>
            </w:r>
          </w:p>
        </w:tc>
        <w:tc>
          <w:tcPr>
            <w:tcW w:w="286" w:type="pct"/>
            <w:vAlign w:val="center"/>
          </w:tcPr>
          <w:p w14:paraId="7A238BCD">
            <w:pPr>
              <w:pStyle w:val="12"/>
              <w:jc w:val="center"/>
              <w:rPr>
                <w:rFonts w:ascii="宋体" w:hAnsi="宋体"/>
                <w:w w:val="66"/>
              </w:rPr>
            </w:pPr>
            <w:r>
              <w:rPr>
                <w:rFonts w:hint="eastAsia" w:ascii="宋体" w:hAnsi="宋体"/>
                <w:w w:val="66"/>
              </w:rPr>
              <w:t>9</w:t>
            </w:r>
          </w:p>
        </w:tc>
        <w:tc>
          <w:tcPr>
            <w:tcW w:w="286" w:type="pct"/>
            <w:vAlign w:val="center"/>
          </w:tcPr>
          <w:p w14:paraId="6D24D877">
            <w:pPr>
              <w:pStyle w:val="12"/>
              <w:jc w:val="center"/>
              <w:rPr>
                <w:rFonts w:ascii="宋体" w:hAnsi="宋体"/>
                <w:w w:val="66"/>
              </w:rPr>
            </w:pPr>
            <w:r>
              <w:rPr>
                <w:rFonts w:hint="eastAsia" w:ascii="宋体" w:hAnsi="宋体"/>
                <w:w w:val="66"/>
              </w:rPr>
              <w:t>11.25</w:t>
            </w:r>
          </w:p>
        </w:tc>
        <w:tc>
          <w:tcPr>
            <w:tcW w:w="286" w:type="pct"/>
            <w:vAlign w:val="center"/>
          </w:tcPr>
          <w:p w14:paraId="38F472A5">
            <w:pPr>
              <w:pStyle w:val="12"/>
              <w:jc w:val="center"/>
              <w:rPr>
                <w:rFonts w:ascii="宋体" w:hAnsi="宋体"/>
                <w:w w:val="66"/>
              </w:rPr>
            </w:pPr>
            <w:r>
              <w:rPr>
                <w:rFonts w:hint="eastAsia" w:ascii="宋体" w:hAnsi="宋体"/>
                <w:w w:val="66"/>
              </w:rPr>
              <w:t>15</w:t>
            </w:r>
          </w:p>
        </w:tc>
        <w:tc>
          <w:tcPr>
            <w:tcW w:w="286" w:type="pct"/>
            <w:vAlign w:val="center"/>
          </w:tcPr>
          <w:p w14:paraId="151025D5">
            <w:pPr>
              <w:pStyle w:val="12"/>
              <w:jc w:val="center"/>
              <w:rPr>
                <w:rFonts w:ascii="宋体" w:hAnsi="宋体"/>
                <w:w w:val="66"/>
              </w:rPr>
            </w:pPr>
            <w:r>
              <w:rPr>
                <w:rFonts w:hint="eastAsia" w:ascii="宋体" w:hAnsi="宋体"/>
                <w:w w:val="66"/>
              </w:rPr>
              <w:t>18.75</w:t>
            </w:r>
          </w:p>
        </w:tc>
        <w:tc>
          <w:tcPr>
            <w:tcW w:w="286" w:type="pct"/>
            <w:vAlign w:val="center"/>
          </w:tcPr>
          <w:p w14:paraId="430A0570">
            <w:pPr>
              <w:pStyle w:val="12"/>
              <w:jc w:val="center"/>
              <w:rPr>
                <w:rFonts w:ascii="宋体" w:hAnsi="宋体"/>
                <w:w w:val="66"/>
              </w:rPr>
            </w:pPr>
            <w:r>
              <w:rPr>
                <w:rFonts w:hint="eastAsia" w:ascii="宋体" w:hAnsi="宋体"/>
                <w:w w:val="66"/>
              </w:rPr>
              <w:t>25</w:t>
            </w:r>
          </w:p>
        </w:tc>
        <w:tc>
          <w:tcPr>
            <w:tcW w:w="286" w:type="pct"/>
            <w:vAlign w:val="center"/>
          </w:tcPr>
          <w:p w14:paraId="3470CCB6">
            <w:pPr>
              <w:pStyle w:val="12"/>
              <w:jc w:val="center"/>
              <w:rPr>
                <w:rFonts w:ascii="宋体" w:hAnsi="宋体"/>
                <w:w w:val="66"/>
              </w:rPr>
            </w:pPr>
            <w:r>
              <w:rPr>
                <w:rFonts w:hint="eastAsia" w:ascii="宋体" w:hAnsi="宋体"/>
                <w:w w:val="66"/>
              </w:rPr>
              <w:t>31.25</w:t>
            </w:r>
          </w:p>
        </w:tc>
        <w:tc>
          <w:tcPr>
            <w:tcW w:w="286" w:type="pct"/>
            <w:vAlign w:val="center"/>
          </w:tcPr>
          <w:p w14:paraId="4FA79447">
            <w:pPr>
              <w:pStyle w:val="12"/>
              <w:jc w:val="center"/>
              <w:rPr>
                <w:rFonts w:ascii="宋体" w:hAnsi="宋体"/>
                <w:w w:val="66"/>
              </w:rPr>
            </w:pPr>
            <w:r>
              <w:rPr>
                <w:rFonts w:hint="eastAsia" w:ascii="宋体" w:hAnsi="宋体"/>
                <w:w w:val="66"/>
              </w:rPr>
              <w:t>—</w:t>
            </w:r>
          </w:p>
        </w:tc>
        <w:tc>
          <w:tcPr>
            <w:tcW w:w="286" w:type="pct"/>
            <w:vAlign w:val="center"/>
          </w:tcPr>
          <w:p w14:paraId="747F6764">
            <w:pPr>
              <w:pStyle w:val="12"/>
              <w:jc w:val="center"/>
              <w:rPr>
                <w:rFonts w:ascii="宋体" w:hAnsi="宋体"/>
                <w:w w:val="66"/>
              </w:rPr>
            </w:pPr>
            <w:r>
              <w:rPr>
                <w:rFonts w:hint="eastAsia" w:ascii="宋体" w:hAnsi="宋体"/>
                <w:w w:val="66"/>
              </w:rPr>
              <w:t>—</w:t>
            </w:r>
          </w:p>
        </w:tc>
        <w:tc>
          <w:tcPr>
            <w:tcW w:w="286" w:type="pct"/>
            <w:vAlign w:val="center"/>
          </w:tcPr>
          <w:p w14:paraId="2DDF5679">
            <w:pPr>
              <w:pStyle w:val="12"/>
              <w:jc w:val="center"/>
              <w:rPr>
                <w:rFonts w:ascii="宋体" w:hAnsi="宋体"/>
                <w:w w:val="66"/>
              </w:rPr>
            </w:pPr>
            <w:r>
              <w:rPr>
                <w:rFonts w:hint="eastAsia" w:ascii="宋体" w:hAnsi="宋体"/>
                <w:w w:val="66"/>
              </w:rPr>
              <w:t>—</w:t>
            </w:r>
          </w:p>
        </w:tc>
        <w:tc>
          <w:tcPr>
            <w:tcW w:w="283" w:type="pct"/>
            <w:vAlign w:val="center"/>
          </w:tcPr>
          <w:p w14:paraId="67B3FF2C">
            <w:pPr>
              <w:pStyle w:val="12"/>
              <w:jc w:val="center"/>
              <w:rPr>
                <w:rFonts w:ascii="宋体" w:hAnsi="宋体"/>
                <w:w w:val="66"/>
              </w:rPr>
            </w:pPr>
            <w:r>
              <w:rPr>
                <w:rFonts w:hint="eastAsia" w:ascii="宋体" w:hAnsi="宋体"/>
                <w:w w:val="66"/>
              </w:rPr>
              <w:t>—</w:t>
            </w:r>
          </w:p>
        </w:tc>
      </w:tr>
      <w:tr w14:paraId="0A29A9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c>
          <w:tcPr>
            <w:tcW w:w="427" w:type="pct"/>
            <w:vAlign w:val="center"/>
          </w:tcPr>
          <w:p w14:paraId="7D9818F8">
            <w:pPr>
              <w:pStyle w:val="12"/>
              <w:jc w:val="center"/>
              <w:rPr>
                <w:rFonts w:ascii="宋体" w:hAnsi="宋体"/>
                <w:w w:val="66"/>
              </w:rPr>
            </w:pPr>
            <w:r>
              <w:rPr>
                <w:rFonts w:hint="eastAsia" w:ascii="宋体" w:hAnsi="宋体"/>
                <w:w w:val="66"/>
              </w:rPr>
              <w:t>1001～1500元</w:t>
            </w:r>
          </w:p>
        </w:tc>
        <w:tc>
          <w:tcPr>
            <w:tcW w:w="286" w:type="pct"/>
            <w:vAlign w:val="center"/>
          </w:tcPr>
          <w:p w14:paraId="51F09A6D">
            <w:pPr>
              <w:pStyle w:val="12"/>
              <w:jc w:val="center"/>
              <w:rPr>
                <w:rFonts w:ascii="宋体" w:hAnsi="宋体"/>
                <w:w w:val="66"/>
              </w:rPr>
            </w:pPr>
            <w:r>
              <w:rPr>
                <w:rFonts w:hint="eastAsia" w:ascii="宋体" w:hAnsi="宋体"/>
                <w:w w:val="66"/>
              </w:rPr>
              <w:t>—</w:t>
            </w:r>
          </w:p>
        </w:tc>
        <w:tc>
          <w:tcPr>
            <w:tcW w:w="286" w:type="pct"/>
            <w:vAlign w:val="center"/>
          </w:tcPr>
          <w:p w14:paraId="5948688F">
            <w:pPr>
              <w:pStyle w:val="12"/>
              <w:jc w:val="center"/>
              <w:rPr>
                <w:rFonts w:ascii="宋体" w:hAnsi="宋体"/>
                <w:w w:val="66"/>
              </w:rPr>
            </w:pPr>
            <w:r>
              <w:rPr>
                <w:rFonts w:hint="eastAsia" w:ascii="宋体" w:hAnsi="宋体"/>
                <w:w w:val="66"/>
              </w:rPr>
              <w:t>—</w:t>
            </w:r>
          </w:p>
        </w:tc>
        <w:tc>
          <w:tcPr>
            <w:tcW w:w="286" w:type="pct"/>
            <w:vAlign w:val="center"/>
          </w:tcPr>
          <w:p w14:paraId="4A109864">
            <w:pPr>
              <w:pStyle w:val="12"/>
              <w:jc w:val="center"/>
              <w:rPr>
                <w:rFonts w:ascii="宋体" w:hAnsi="宋体"/>
                <w:w w:val="66"/>
              </w:rPr>
            </w:pPr>
            <w:r>
              <w:rPr>
                <w:rFonts w:hint="eastAsia" w:ascii="宋体" w:hAnsi="宋体"/>
                <w:w w:val="66"/>
              </w:rPr>
              <w:t>—</w:t>
            </w:r>
          </w:p>
        </w:tc>
        <w:tc>
          <w:tcPr>
            <w:tcW w:w="286" w:type="pct"/>
            <w:vAlign w:val="center"/>
          </w:tcPr>
          <w:p w14:paraId="3684F5F4">
            <w:pPr>
              <w:pStyle w:val="12"/>
              <w:jc w:val="center"/>
              <w:rPr>
                <w:rFonts w:ascii="宋体" w:hAnsi="宋体"/>
                <w:w w:val="66"/>
              </w:rPr>
            </w:pPr>
            <w:r>
              <w:rPr>
                <w:rFonts w:hint="eastAsia" w:ascii="宋体" w:hAnsi="宋体"/>
                <w:w w:val="66"/>
              </w:rPr>
              <w:t>—</w:t>
            </w:r>
          </w:p>
        </w:tc>
        <w:tc>
          <w:tcPr>
            <w:tcW w:w="286" w:type="pct"/>
            <w:vAlign w:val="center"/>
          </w:tcPr>
          <w:p w14:paraId="3A56515B">
            <w:pPr>
              <w:pStyle w:val="12"/>
              <w:jc w:val="center"/>
              <w:rPr>
                <w:rFonts w:ascii="宋体" w:hAnsi="宋体"/>
                <w:w w:val="66"/>
              </w:rPr>
            </w:pPr>
            <w:r>
              <w:rPr>
                <w:rFonts w:hint="eastAsia" w:ascii="宋体" w:hAnsi="宋体"/>
                <w:w w:val="66"/>
              </w:rPr>
              <w:t>—</w:t>
            </w:r>
          </w:p>
        </w:tc>
        <w:tc>
          <w:tcPr>
            <w:tcW w:w="286" w:type="pct"/>
            <w:vAlign w:val="center"/>
          </w:tcPr>
          <w:p w14:paraId="40B9F181">
            <w:pPr>
              <w:pStyle w:val="12"/>
              <w:jc w:val="center"/>
              <w:rPr>
                <w:rFonts w:ascii="宋体" w:hAnsi="宋体"/>
                <w:w w:val="66"/>
              </w:rPr>
            </w:pPr>
            <w:r>
              <w:rPr>
                <w:rFonts w:hint="eastAsia" w:ascii="宋体" w:hAnsi="宋体"/>
                <w:w w:val="66"/>
              </w:rPr>
              <w:t>—</w:t>
            </w:r>
          </w:p>
        </w:tc>
        <w:tc>
          <w:tcPr>
            <w:tcW w:w="286" w:type="pct"/>
            <w:vAlign w:val="center"/>
          </w:tcPr>
          <w:p w14:paraId="68E7142D">
            <w:pPr>
              <w:pStyle w:val="12"/>
              <w:jc w:val="center"/>
              <w:rPr>
                <w:rFonts w:ascii="宋体" w:hAnsi="宋体"/>
                <w:w w:val="66"/>
              </w:rPr>
            </w:pPr>
            <w:r>
              <w:rPr>
                <w:rFonts w:hint="eastAsia" w:ascii="宋体" w:hAnsi="宋体"/>
                <w:w w:val="66"/>
              </w:rPr>
              <w:t>—</w:t>
            </w:r>
          </w:p>
        </w:tc>
        <w:tc>
          <w:tcPr>
            <w:tcW w:w="286" w:type="pct"/>
            <w:vAlign w:val="center"/>
          </w:tcPr>
          <w:p w14:paraId="6FEE20B8">
            <w:pPr>
              <w:pStyle w:val="12"/>
              <w:jc w:val="center"/>
              <w:rPr>
                <w:rFonts w:ascii="宋体" w:hAnsi="宋体"/>
                <w:w w:val="66"/>
              </w:rPr>
            </w:pPr>
            <w:r>
              <w:rPr>
                <w:rFonts w:hint="eastAsia" w:ascii="宋体" w:hAnsi="宋体"/>
                <w:w w:val="66"/>
              </w:rPr>
              <w:t>—</w:t>
            </w:r>
          </w:p>
        </w:tc>
        <w:tc>
          <w:tcPr>
            <w:tcW w:w="286" w:type="pct"/>
            <w:vAlign w:val="center"/>
          </w:tcPr>
          <w:p w14:paraId="2512219C">
            <w:pPr>
              <w:pStyle w:val="12"/>
              <w:jc w:val="center"/>
              <w:rPr>
                <w:rFonts w:ascii="宋体" w:hAnsi="宋体"/>
                <w:w w:val="66"/>
              </w:rPr>
            </w:pPr>
            <w:r>
              <w:rPr>
                <w:rFonts w:hint="eastAsia" w:ascii="宋体" w:hAnsi="宋体"/>
                <w:w w:val="66"/>
              </w:rPr>
              <w:t>8</w:t>
            </w:r>
          </w:p>
        </w:tc>
        <w:tc>
          <w:tcPr>
            <w:tcW w:w="286" w:type="pct"/>
            <w:vAlign w:val="center"/>
          </w:tcPr>
          <w:p w14:paraId="1F0ECAB1">
            <w:pPr>
              <w:pStyle w:val="12"/>
              <w:jc w:val="center"/>
              <w:rPr>
                <w:rFonts w:ascii="宋体" w:hAnsi="宋体"/>
                <w:w w:val="66"/>
              </w:rPr>
            </w:pPr>
            <w:r>
              <w:rPr>
                <w:rFonts w:hint="eastAsia" w:ascii="宋体" w:hAnsi="宋体"/>
                <w:w w:val="66"/>
              </w:rPr>
              <w:t>10</w:t>
            </w:r>
          </w:p>
        </w:tc>
        <w:tc>
          <w:tcPr>
            <w:tcW w:w="286" w:type="pct"/>
            <w:vAlign w:val="center"/>
          </w:tcPr>
          <w:p w14:paraId="0AAD4C46">
            <w:pPr>
              <w:pStyle w:val="12"/>
              <w:jc w:val="center"/>
              <w:rPr>
                <w:rFonts w:ascii="宋体" w:hAnsi="宋体"/>
                <w:w w:val="66"/>
              </w:rPr>
            </w:pPr>
            <w:r>
              <w:rPr>
                <w:rFonts w:hint="eastAsia" w:ascii="宋体" w:hAnsi="宋体"/>
                <w:w w:val="66"/>
              </w:rPr>
              <w:t>35</w:t>
            </w:r>
          </w:p>
        </w:tc>
        <w:tc>
          <w:tcPr>
            <w:tcW w:w="286" w:type="pct"/>
            <w:vAlign w:val="center"/>
          </w:tcPr>
          <w:p w14:paraId="4BD0D8EB">
            <w:pPr>
              <w:pStyle w:val="12"/>
              <w:jc w:val="center"/>
              <w:rPr>
                <w:rFonts w:ascii="宋体" w:hAnsi="宋体"/>
                <w:w w:val="66"/>
              </w:rPr>
            </w:pPr>
            <w:r>
              <w:rPr>
                <w:rFonts w:hint="eastAsia" w:ascii="宋体" w:hAnsi="宋体"/>
                <w:w w:val="66"/>
              </w:rPr>
              <w:t>43.75</w:t>
            </w:r>
          </w:p>
        </w:tc>
        <w:tc>
          <w:tcPr>
            <w:tcW w:w="286" w:type="pct"/>
            <w:vAlign w:val="center"/>
          </w:tcPr>
          <w:p w14:paraId="6C39DA56">
            <w:pPr>
              <w:pStyle w:val="12"/>
              <w:jc w:val="center"/>
              <w:rPr>
                <w:rFonts w:ascii="宋体" w:hAnsi="宋体"/>
                <w:w w:val="66"/>
              </w:rPr>
            </w:pPr>
            <w:r>
              <w:rPr>
                <w:rFonts w:hint="eastAsia" w:ascii="宋体" w:hAnsi="宋体"/>
                <w:w w:val="66"/>
              </w:rPr>
              <w:t>7</w:t>
            </w:r>
          </w:p>
        </w:tc>
        <w:tc>
          <w:tcPr>
            <w:tcW w:w="286" w:type="pct"/>
            <w:vAlign w:val="center"/>
          </w:tcPr>
          <w:p w14:paraId="06530C39">
            <w:pPr>
              <w:pStyle w:val="12"/>
              <w:jc w:val="center"/>
              <w:rPr>
                <w:rFonts w:ascii="宋体" w:hAnsi="宋体"/>
                <w:w w:val="66"/>
              </w:rPr>
            </w:pPr>
            <w:r>
              <w:rPr>
                <w:rFonts w:hint="eastAsia" w:ascii="宋体" w:hAnsi="宋体"/>
                <w:w w:val="66"/>
              </w:rPr>
              <w:t>10</w:t>
            </w:r>
          </w:p>
        </w:tc>
        <w:tc>
          <w:tcPr>
            <w:tcW w:w="286" w:type="pct"/>
            <w:vAlign w:val="center"/>
          </w:tcPr>
          <w:p w14:paraId="348214D4">
            <w:pPr>
              <w:pStyle w:val="12"/>
              <w:jc w:val="center"/>
              <w:rPr>
                <w:rFonts w:ascii="宋体" w:hAnsi="宋体"/>
                <w:w w:val="66"/>
              </w:rPr>
            </w:pPr>
            <w:r>
              <w:rPr>
                <w:rFonts w:hint="eastAsia" w:ascii="宋体" w:hAnsi="宋体"/>
                <w:w w:val="66"/>
              </w:rPr>
              <w:t>3</w:t>
            </w:r>
          </w:p>
        </w:tc>
        <w:tc>
          <w:tcPr>
            <w:tcW w:w="283" w:type="pct"/>
            <w:vAlign w:val="center"/>
          </w:tcPr>
          <w:p w14:paraId="7BCE7805">
            <w:pPr>
              <w:pStyle w:val="12"/>
              <w:jc w:val="center"/>
              <w:rPr>
                <w:rFonts w:ascii="宋体" w:hAnsi="宋体"/>
                <w:w w:val="66"/>
              </w:rPr>
            </w:pPr>
            <w:r>
              <w:rPr>
                <w:rFonts w:hint="eastAsia" w:ascii="宋体" w:hAnsi="宋体"/>
                <w:w w:val="66"/>
              </w:rPr>
              <w:t>4.29</w:t>
            </w:r>
          </w:p>
        </w:tc>
      </w:tr>
      <w:tr w14:paraId="2308E2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c>
          <w:tcPr>
            <w:tcW w:w="427" w:type="pct"/>
            <w:vAlign w:val="center"/>
          </w:tcPr>
          <w:p w14:paraId="6E050DB3">
            <w:pPr>
              <w:pStyle w:val="12"/>
              <w:jc w:val="center"/>
              <w:rPr>
                <w:rFonts w:ascii="宋体" w:hAnsi="宋体"/>
                <w:w w:val="66"/>
              </w:rPr>
            </w:pPr>
            <w:r>
              <w:rPr>
                <w:rFonts w:hint="eastAsia" w:ascii="宋体" w:hAnsi="宋体"/>
                <w:w w:val="66"/>
              </w:rPr>
              <w:t>2000元以上</w:t>
            </w:r>
          </w:p>
        </w:tc>
        <w:tc>
          <w:tcPr>
            <w:tcW w:w="286" w:type="pct"/>
            <w:vAlign w:val="center"/>
          </w:tcPr>
          <w:p w14:paraId="6A6D8883">
            <w:pPr>
              <w:pStyle w:val="12"/>
              <w:jc w:val="center"/>
              <w:rPr>
                <w:rFonts w:ascii="宋体" w:hAnsi="宋体"/>
                <w:w w:val="66"/>
              </w:rPr>
            </w:pPr>
            <w:r>
              <w:rPr>
                <w:rFonts w:hint="eastAsia" w:ascii="宋体" w:hAnsi="宋体"/>
                <w:w w:val="66"/>
              </w:rPr>
              <w:t>—</w:t>
            </w:r>
          </w:p>
        </w:tc>
        <w:tc>
          <w:tcPr>
            <w:tcW w:w="286" w:type="pct"/>
            <w:vAlign w:val="center"/>
          </w:tcPr>
          <w:p w14:paraId="58442D25">
            <w:pPr>
              <w:pStyle w:val="12"/>
              <w:jc w:val="center"/>
              <w:rPr>
                <w:rFonts w:ascii="宋体" w:hAnsi="宋体"/>
                <w:w w:val="66"/>
              </w:rPr>
            </w:pPr>
            <w:r>
              <w:rPr>
                <w:rFonts w:hint="eastAsia" w:ascii="宋体" w:hAnsi="宋体"/>
                <w:w w:val="66"/>
              </w:rPr>
              <w:t>—</w:t>
            </w:r>
          </w:p>
        </w:tc>
        <w:tc>
          <w:tcPr>
            <w:tcW w:w="286" w:type="pct"/>
            <w:vAlign w:val="center"/>
          </w:tcPr>
          <w:p w14:paraId="393873F4">
            <w:pPr>
              <w:pStyle w:val="12"/>
              <w:jc w:val="center"/>
              <w:rPr>
                <w:rFonts w:ascii="宋体" w:hAnsi="宋体"/>
                <w:w w:val="66"/>
              </w:rPr>
            </w:pPr>
            <w:r>
              <w:rPr>
                <w:rFonts w:hint="eastAsia" w:ascii="宋体" w:hAnsi="宋体"/>
                <w:w w:val="66"/>
              </w:rPr>
              <w:t>—</w:t>
            </w:r>
          </w:p>
        </w:tc>
        <w:tc>
          <w:tcPr>
            <w:tcW w:w="286" w:type="pct"/>
            <w:vAlign w:val="center"/>
          </w:tcPr>
          <w:p w14:paraId="2D9B9194">
            <w:pPr>
              <w:pStyle w:val="12"/>
              <w:jc w:val="center"/>
              <w:rPr>
                <w:rFonts w:ascii="宋体" w:hAnsi="宋体"/>
                <w:w w:val="66"/>
              </w:rPr>
            </w:pPr>
            <w:r>
              <w:rPr>
                <w:rFonts w:hint="eastAsia" w:ascii="宋体" w:hAnsi="宋体"/>
                <w:w w:val="66"/>
              </w:rPr>
              <w:t>—</w:t>
            </w:r>
          </w:p>
        </w:tc>
        <w:tc>
          <w:tcPr>
            <w:tcW w:w="286" w:type="pct"/>
            <w:vAlign w:val="center"/>
          </w:tcPr>
          <w:p w14:paraId="7A0B55DD">
            <w:pPr>
              <w:pStyle w:val="12"/>
              <w:jc w:val="center"/>
              <w:rPr>
                <w:rFonts w:ascii="宋体" w:hAnsi="宋体"/>
                <w:w w:val="66"/>
              </w:rPr>
            </w:pPr>
            <w:r>
              <w:rPr>
                <w:rFonts w:hint="eastAsia" w:ascii="宋体" w:hAnsi="宋体"/>
                <w:w w:val="66"/>
              </w:rPr>
              <w:t>1</w:t>
            </w:r>
          </w:p>
        </w:tc>
        <w:tc>
          <w:tcPr>
            <w:tcW w:w="286" w:type="pct"/>
            <w:vAlign w:val="center"/>
          </w:tcPr>
          <w:p w14:paraId="0E96042F">
            <w:pPr>
              <w:pStyle w:val="12"/>
              <w:jc w:val="center"/>
              <w:rPr>
                <w:rFonts w:ascii="宋体" w:hAnsi="宋体"/>
                <w:w w:val="66"/>
              </w:rPr>
            </w:pPr>
            <w:r>
              <w:rPr>
                <w:rFonts w:hint="eastAsia" w:ascii="宋体" w:hAnsi="宋体"/>
                <w:w w:val="66"/>
              </w:rPr>
              <w:t>1.25</w:t>
            </w:r>
          </w:p>
        </w:tc>
        <w:tc>
          <w:tcPr>
            <w:tcW w:w="286" w:type="pct"/>
            <w:vAlign w:val="center"/>
          </w:tcPr>
          <w:p w14:paraId="49E4D2F4">
            <w:pPr>
              <w:pStyle w:val="12"/>
              <w:jc w:val="center"/>
              <w:rPr>
                <w:rFonts w:ascii="宋体" w:hAnsi="宋体"/>
                <w:w w:val="66"/>
              </w:rPr>
            </w:pPr>
            <w:r>
              <w:rPr>
                <w:rFonts w:hint="eastAsia" w:ascii="宋体" w:hAnsi="宋体"/>
                <w:w w:val="66"/>
              </w:rPr>
              <w:t>3</w:t>
            </w:r>
          </w:p>
        </w:tc>
        <w:tc>
          <w:tcPr>
            <w:tcW w:w="286" w:type="pct"/>
            <w:vAlign w:val="center"/>
          </w:tcPr>
          <w:p w14:paraId="79F62CA5">
            <w:pPr>
              <w:pStyle w:val="12"/>
              <w:jc w:val="center"/>
              <w:rPr>
                <w:rFonts w:ascii="宋体" w:hAnsi="宋体"/>
                <w:w w:val="66"/>
              </w:rPr>
            </w:pPr>
            <w:r>
              <w:rPr>
                <w:rFonts w:hint="eastAsia" w:ascii="宋体" w:hAnsi="宋体"/>
                <w:w w:val="66"/>
              </w:rPr>
              <w:t>3.75</w:t>
            </w:r>
          </w:p>
        </w:tc>
        <w:tc>
          <w:tcPr>
            <w:tcW w:w="286" w:type="pct"/>
            <w:vAlign w:val="center"/>
          </w:tcPr>
          <w:p w14:paraId="55E4FCCB">
            <w:pPr>
              <w:pStyle w:val="12"/>
              <w:jc w:val="center"/>
              <w:rPr>
                <w:rFonts w:ascii="宋体" w:hAnsi="宋体"/>
                <w:w w:val="66"/>
              </w:rPr>
            </w:pPr>
            <w:r>
              <w:rPr>
                <w:rFonts w:hint="eastAsia" w:ascii="宋体" w:hAnsi="宋体"/>
                <w:w w:val="66"/>
              </w:rPr>
              <w:t>1</w:t>
            </w:r>
          </w:p>
        </w:tc>
        <w:tc>
          <w:tcPr>
            <w:tcW w:w="286" w:type="pct"/>
            <w:vAlign w:val="center"/>
          </w:tcPr>
          <w:p w14:paraId="31100F11">
            <w:pPr>
              <w:pStyle w:val="12"/>
              <w:jc w:val="center"/>
              <w:rPr>
                <w:rFonts w:ascii="宋体" w:hAnsi="宋体"/>
                <w:w w:val="66"/>
              </w:rPr>
            </w:pPr>
            <w:r>
              <w:rPr>
                <w:rFonts w:hint="eastAsia" w:ascii="宋体" w:hAnsi="宋体"/>
                <w:w w:val="66"/>
              </w:rPr>
              <w:t>1.25</w:t>
            </w:r>
          </w:p>
        </w:tc>
        <w:tc>
          <w:tcPr>
            <w:tcW w:w="286" w:type="pct"/>
            <w:vAlign w:val="center"/>
          </w:tcPr>
          <w:p w14:paraId="53693BA3">
            <w:pPr>
              <w:pStyle w:val="12"/>
              <w:jc w:val="center"/>
              <w:rPr>
                <w:rFonts w:ascii="宋体" w:hAnsi="宋体"/>
                <w:w w:val="66"/>
              </w:rPr>
            </w:pPr>
            <w:r>
              <w:rPr>
                <w:rFonts w:hint="eastAsia" w:ascii="宋体" w:hAnsi="宋体"/>
                <w:w w:val="66"/>
              </w:rPr>
              <w:t>3</w:t>
            </w:r>
          </w:p>
        </w:tc>
        <w:tc>
          <w:tcPr>
            <w:tcW w:w="286" w:type="pct"/>
            <w:vAlign w:val="center"/>
          </w:tcPr>
          <w:p w14:paraId="36B96732">
            <w:pPr>
              <w:pStyle w:val="12"/>
              <w:jc w:val="center"/>
              <w:rPr>
                <w:rFonts w:ascii="宋体" w:hAnsi="宋体"/>
                <w:w w:val="66"/>
              </w:rPr>
            </w:pPr>
            <w:r>
              <w:rPr>
                <w:rFonts w:hint="eastAsia" w:ascii="宋体" w:hAnsi="宋体"/>
                <w:w w:val="66"/>
              </w:rPr>
              <w:t>3.75</w:t>
            </w:r>
          </w:p>
        </w:tc>
        <w:tc>
          <w:tcPr>
            <w:tcW w:w="286" w:type="pct"/>
            <w:vAlign w:val="center"/>
          </w:tcPr>
          <w:p w14:paraId="1B653E99">
            <w:pPr>
              <w:pStyle w:val="12"/>
              <w:jc w:val="center"/>
              <w:rPr>
                <w:rFonts w:ascii="宋体" w:hAnsi="宋体"/>
                <w:w w:val="66"/>
              </w:rPr>
            </w:pPr>
            <w:r>
              <w:rPr>
                <w:rFonts w:hint="eastAsia" w:ascii="宋体" w:hAnsi="宋体"/>
                <w:w w:val="66"/>
              </w:rPr>
              <w:t>63</w:t>
            </w:r>
          </w:p>
        </w:tc>
        <w:tc>
          <w:tcPr>
            <w:tcW w:w="286" w:type="pct"/>
            <w:vAlign w:val="center"/>
          </w:tcPr>
          <w:p w14:paraId="7FACFD61">
            <w:pPr>
              <w:pStyle w:val="12"/>
              <w:jc w:val="center"/>
              <w:rPr>
                <w:rFonts w:ascii="宋体" w:hAnsi="宋体"/>
                <w:w w:val="66"/>
              </w:rPr>
            </w:pPr>
            <w:r>
              <w:rPr>
                <w:rFonts w:hint="eastAsia" w:ascii="宋体" w:hAnsi="宋体"/>
                <w:w w:val="66"/>
              </w:rPr>
              <w:t>90</w:t>
            </w:r>
          </w:p>
        </w:tc>
        <w:tc>
          <w:tcPr>
            <w:tcW w:w="286" w:type="pct"/>
            <w:vAlign w:val="center"/>
          </w:tcPr>
          <w:p w14:paraId="0361A197">
            <w:pPr>
              <w:pStyle w:val="12"/>
              <w:jc w:val="center"/>
              <w:rPr>
                <w:rFonts w:ascii="宋体" w:hAnsi="宋体"/>
                <w:w w:val="66"/>
              </w:rPr>
            </w:pPr>
            <w:r>
              <w:rPr>
                <w:rFonts w:hint="eastAsia" w:ascii="宋体" w:hAnsi="宋体"/>
                <w:w w:val="66"/>
              </w:rPr>
              <w:t>67</w:t>
            </w:r>
          </w:p>
        </w:tc>
        <w:tc>
          <w:tcPr>
            <w:tcW w:w="283" w:type="pct"/>
            <w:vAlign w:val="center"/>
          </w:tcPr>
          <w:p w14:paraId="1FFC5471">
            <w:pPr>
              <w:pStyle w:val="12"/>
              <w:jc w:val="center"/>
              <w:rPr>
                <w:rFonts w:ascii="宋体" w:hAnsi="宋体"/>
                <w:w w:val="66"/>
              </w:rPr>
            </w:pPr>
            <w:r>
              <w:rPr>
                <w:rFonts w:hint="eastAsia" w:ascii="宋体" w:hAnsi="宋体"/>
                <w:w w:val="66"/>
              </w:rPr>
              <w:t>98.71</w:t>
            </w:r>
          </w:p>
        </w:tc>
      </w:tr>
    </w:tbl>
    <w:p w14:paraId="75F114E6">
      <w:pPr>
        <w:ind w:firstLine="422"/>
        <w:rPr>
          <w:rFonts w:ascii="宋体" w:hAnsi="宋体" w:cs="宋体"/>
          <w:b/>
          <w:bCs/>
        </w:rPr>
      </w:pPr>
      <w:r>
        <w:rPr>
          <w:rFonts w:hint="eastAsia" w:ascii="宋体" w:hAnsi="宋体" w:cs="宋体"/>
          <w:b/>
          <w:bCs/>
        </w:rPr>
        <w:t>4.农民收入构成。</w:t>
      </w:r>
    </w:p>
    <w:p w14:paraId="3C2810D3">
      <w:pPr>
        <w:ind w:firstLine="422"/>
        <w:jc w:val="center"/>
        <w:rPr>
          <w:rFonts w:ascii="宋体" w:hAnsi="宋体" w:cs="宋体"/>
          <w:b/>
          <w:bCs/>
        </w:rPr>
      </w:pPr>
      <w:r>
        <w:rPr>
          <w:rFonts w:hint="eastAsia" w:ascii="宋体" w:hAnsi="宋体" w:cs="宋体"/>
          <w:b/>
          <w:bCs/>
        </w:rPr>
        <w:t>南雄县1980年至1987年农民收入构成抽样调查</w:t>
      </w:r>
    </w:p>
    <w:p w14:paraId="1E480452">
      <w:pPr>
        <w:ind w:firstLine="0" w:firstLineChars="0"/>
        <w:rPr>
          <w:rFonts w:ascii="宋体" w:hAnsi="宋体" w:cs="宋体"/>
          <w:b/>
          <w:bCs/>
        </w:rPr>
      </w:pPr>
      <w:r>
        <w:rPr>
          <w:rFonts w:hint="eastAsia" w:ascii="宋体" w:hAnsi="宋体" w:cs="宋体"/>
          <w:b/>
          <w:bCs/>
        </w:rPr>
        <w:t>表6-19</w:t>
      </w:r>
    </w:p>
    <w:p w14:paraId="26A51D16">
      <w:pPr>
        <w:ind w:firstLine="422"/>
        <w:jc w:val="right"/>
        <w:rPr>
          <w:rFonts w:ascii="宋体" w:hAnsi="宋体" w:cs="宋体"/>
          <w:b/>
          <w:bCs/>
        </w:rPr>
      </w:pPr>
      <w:r>
        <w:rPr>
          <w:rFonts w:hint="eastAsia" w:ascii="宋体" w:hAnsi="宋体" w:cs="宋体"/>
          <w:b/>
          <w:bCs/>
        </w:rPr>
        <w:t>单位：元、%</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10"/>
        <w:gridCol w:w="1132"/>
        <w:gridCol w:w="1273"/>
        <w:gridCol w:w="1273"/>
        <w:gridCol w:w="1275"/>
        <w:gridCol w:w="1275"/>
        <w:gridCol w:w="1134"/>
        <w:gridCol w:w="1490"/>
      </w:tblGrid>
      <w:tr w14:paraId="1FEC84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7" w:type="pct"/>
            <w:vMerge w:val="restart"/>
            <w:vAlign w:val="center"/>
          </w:tcPr>
          <w:p w14:paraId="15CDD146">
            <w:pPr>
              <w:pStyle w:val="12"/>
              <w:jc w:val="center"/>
              <w:rPr>
                <w:b/>
              </w:rPr>
            </w:pPr>
            <w:r>
              <w:rPr>
                <w:rFonts w:hint="eastAsia"/>
                <w:b/>
              </w:rPr>
              <w:t>年份</w:t>
            </w:r>
          </w:p>
        </w:tc>
        <w:tc>
          <w:tcPr>
            <w:tcW w:w="568" w:type="pct"/>
            <w:vMerge w:val="restart"/>
            <w:vAlign w:val="center"/>
          </w:tcPr>
          <w:p w14:paraId="3AB9F455">
            <w:pPr>
              <w:pStyle w:val="12"/>
              <w:jc w:val="center"/>
              <w:rPr>
                <w:b/>
              </w:rPr>
            </w:pPr>
            <w:r>
              <w:rPr>
                <w:rFonts w:hint="eastAsia"/>
                <w:b/>
              </w:rPr>
              <w:t>年人均纯收入</w:t>
            </w:r>
          </w:p>
        </w:tc>
        <w:tc>
          <w:tcPr>
            <w:tcW w:w="3875" w:type="pct"/>
            <w:gridSpan w:val="6"/>
            <w:vAlign w:val="center"/>
          </w:tcPr>
          <w:p w14:paraId="12F9C0EE">
            <w:pPr>
              <w:pStyle w:val="12"/>
              <w:jc w:val="center"/>
              <w:rPr>
                <w:b/>
              </w:rPr>
            </w:pPr>
            <w:r>
              <w:rPr>
                <w:rFonts w:hint="eastAsia"/>
                <w:b/>
              </w:rPr>
              <w:t>其中</w:t>
            </w:r>
          </w:p>
        </w:tc>
      </w:tr>
      <w:tr w14:paraId="3C90DF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7" w:type="pct"/>
            <w:vMerge w:val="continue"/>
            <w:vAlign w:val="center"/>
          </w:tcPr>
          <w:p w14:paraId="1664B262">
            <w:pPr>
              <w:pStyle w:val="12"/>
              <w:jc w:val="center"/>
              <w:rPr>
                <w:b/>
              </w:rPr>
            </w:pPr>
          </w:p>
        </w:tc>
        <w:tc>
          <w:tcPr>
            <w:tcW w:w="568" w:type="pct"/>
            <w:vMerge w:val="continue"/>
            <w:vAlign w:val="center"/>
          </w:tcPr>
          <w:p w14:paraId="0224F131">
            <w:pPr>
              <w:pStyle w:val="12"/>
              <w:jc w:val="center"/>
              <w:rPr>
                <w:b/>
              </w:rPr>
            </w:pPr>
          </w:p>
        </w:tc>
        <w:tc>
          <w:tcPr>
            <w:tcW w:w="1278" w:type="pct"/>
            <w:gridSpan w:val="2"/>
            <w:vAlign w:val="center"/>
          </w:tcPr>
          <w:p w14:paraId="2BE7E153">
            <w:pPr>
              <w:pStyle w:val="12"/>
              <w:jc w:val="center"/>
              <w:rPr>
                <w:b/>
              </w:rPr>
            </w:pPr>
            <w:r>
              <w:rPr>
                <w:rFonts w:hint="eastAsia"/>
                <w:b/>
              </w:rPr>
              <w:t>从集体中得到的收入</w:t>
            </w:r>
          </w:p>
        </w:tc>
        <w:tc>
          <w:tcPr>
            <w:tcW w:w="1280" w:type="pct"/>
            <w:gridSpan w:val="2"/>
            <w:vAlign w:val="center"/>
          </w:tcPr>
          <w:p w14:paraId="166C42F5">
            <w:pPr>
              <w:pStyle w:val="12"/>
              <w:jc w:val="center"/>
              <w:rPr>
                <w:b/>
              </w:rPr>
            </w:pPr>
            <w:r>
              <w:rPr>
                <w:rFonts w:hint="eastAsia"/>
                <w:b/>
              </w:rPr>
              <w:t>家庭经营纯收入</w:t>
            </w:r>
          </w:p>
        </w:tc>
        <w:tc>
          <w:tcPr>
            <w:tcW w:w="1317" w:type="pct"/>
            <w:gridSpan w:val="2"/>
            <w:vAlign w:val="center"/>
          </w:tcPr>
          <w:p w14:paraId="6533F9CC">
            <w:pPr>
              <w:pStyle w:val="12"/>
              <w:jc w:val="center"/>
              <w:rPr>
                <w:b/>
              </w:rPr>
            </w:pPr>
            <w:r>
              <w:rPr>
                <w:rFonts w:hint="eastAsia"/>
                <w:b/>
              </w:rPr>
              <w:t>其他非生产性收入</w:t>
            </w:r>
          </w:p>
        </w:tc>
      </w:tr>
      <w:tr w14:paraId="622793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7" w:type="pct"/>
            <w:vMerge w:val="continue"/>
            <w:vAlign w:val="center"/>
          </w:tcPr>
          <w:p w14:paraId="3F4BF751">
            <w:pPr>
              <w:pStyle w:val="12"/>
              <w:jc w:val="center"/>
              <w:rPr>
                <w:b/>
              </w:rPr>
            </w:pPr>
          </w:p>
        </w:tc>
        <w:tc>
          <w:tcPr>
            <w:tcW w:w="568" w:type="pct"/>
            <w:vMerge w:val="continue"/>
            <w:vAlign w:val="center"/>
          </w:tcPr>
          <w:p w14:paraId="11D403ED">
            <w:pPr>
              <w:pStyle w:val="12"/>
              <w:jc w:val="center"/>
              <w:rPr>
                <w:b/>
              </w:rPr>
            </w:pPr>
          </w:p>
        </w:tc>
        <w:tc>
          <w:tcPr>
            <w:tcW w:w="639" w:type="pct"/>
            <w:vAlign w:val="center"/>
          </w:tcPr>
          <w:p w14:paraId="39D51134">
            <w:pPr>
              <w:pStyle w:val="12"/>
              <w:jc w:val="center"/>
              <w:rPr>
                <w:b/>
              </w:rPr>
            </w:pPr>
            <w:r>
              <w:rPr>
                <w:rFonts w:hint="eastAsia"/>
                <w:b/>
              </w:rPr>
              <w:t>金额</w:t>
            </w:r>
          </w:p>
        </w:tc>
        <w:tc>
          <w:tcPr>
            <w:tcW w:w="639" w:type="pct"/>
            <w:vAlign w:val="center"/>
          </w:tcPr>
          <w:p w14:paraId="663A79E3">
            <w:pPr>
              <w:pStyle w:val="12"/>
              <w:jc w:val="center"/>
              <w:rPr>
                <w:b/>
              </w:rPr>
            </w:pPr>
            <w:r>
              <w:rPr>
                <w:rFonts w:hint="eastAsia"/>
                <w:b/>
              </w:rPr>
              <w:t>占总收入比</w:t>
            </w:r>
          </w:p>
        </w:tc>
        <w:tc>
          <w:tcPr>
            <w:tcW w:w="640" w:type="pct"/>
            <w:vAlign w:val="center"/>
          </w:tcPr>
          <w:p w14:paraId="60DC6908">
            <w:pPr>
              <w:pStyle w:val="12"/>
              <w:jc w:val="center"/>
              <w:rPr>
                <w:b/>
              </w:rPr>
            </w:pPr>
            <w:r>
              <w:rPr>
                <w:rFonts w:hint="eastAsia"/>
                <w:b/>
              </w:rPr>
              <w:t>金额</w:t>
            </w:r>
          </w:p>
        </w:tc>
        <w:tc>
          <w:tcPr>
            <w:tcW w:w="640" w:type="pct"/>
            <w:vAlign w:val="center"/>
          </w:tcPr>
          <w:p w14:paraId="5FEAC1E9">
            <w:pPr>
              <w:pStyle w:val="12"/>
              <w:jc w:val="center"/>
              <w:rPr>
                <w:b/>
              </w:rPr>
            </w:pPr>
            <w:r>
              <w:rPr>
                <w:rFonts w:hint="eastAsia"/>
                <w:b/>
              </w:rPr>
              <w:t>占总收入比</w:t>
            </w:r>
          </w:p>
        </w:tc>
        <w:tc>
          <w:tcPr>
            <w:tcW w:w="569" w:type="pct"/>
            <w:vAlign w:val="center"/>
          </w:tcPr>
          <w:p w14:paraId="2A9EBBED">
            <w:pPr>
              <w:pStyle w:val="12"/>
              <w:jc w:val="center"/>
              <w:rPr>
                <w:b/>
              </w:rPr>
            </w:pPr>
            <w:r>
              <w:rPr>
                <w:rFonts w:hint="eastAsia"/>
                <w:b/>
              </w:rPr>
              <w:t>金额</w:t>
            </w:r>
          </w:p>
        </w:tc>
        <w:tc>
          <w:tcPr>
            <w:tcW w:w="748" w:type="pct"/>
            <w:vAlign w:val="center"/>
          </w:tcPr>
          <w:p w14:paraId="08BE9D93">
            <w:pPr>
              <w:pStyle w:val="12"/>
              <w:jc w:val="center"/>
              <w:rPr>
                <w:b/>
              </w:rPr>
            </w:pPr>
            <w:r>
              <w:rPr>
                <w:rFonts w:hint="eastAsia"/>
                <w:b/>
              </w:rPr>
              <w:t>占总收入比</w:t>
            </w:r>
          </w:p>
        </w:tc>
      </w:tr>
      <w:tr w14:paraId="5DA40E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7" w:type="pct"/>
            <w:vAlign w:val="center"/>
          </w:tcPr>
          <w:p w14:paraId="033383CE">
            <w:pPr>
              <w:pStyle w:val="12"/>
              <w:jc w:val="center"/>
            </w:pPr>
            <w:r>
              <w:t>1980</w:t>
            </w:r>
          </w:p>
        </w:tc>
        <w:tc>
          <w:tcPr>
            <w:tcW w:w="568" w:type="pct"/>
            <w:vAlign w:val="center"/>
          </w:tcPr>
          <w:p w14:paraId="6526C749">
            <w:pPr>
              <w:pStyle w:val="12"/>
              <w:jc w:val="center"/>
            </w:pPr>
            <w:r>
              <w:t>188.36</w:t>
            </w:r>
          </w:p>
        </w:tc>
        <w:tc>
          <w:tcPr>
            <w:tcW w:w="639" w:type="pct"/>
            <w:vAlign w:val="center"/>
          </w:tcPr>
          <w:p w14:paraId="431D00FD">
            <w:pPr>
              <w:pStyle w:val="12"/>
              <w:jc w:val="center"/>
            </w:pPr>
            <w:r>
              <w:t>124.6</w:t>
            </w:r>
          </w:p>
        </w:tc>
        <w:tc>
          <w:tcPr>
            <w:tcW w:w="639" w:type="pct"/>
            <w:vAlign w:val="center"/>
          </w:tcPr>
          <w:p w14:paraId="5D9BD495">
            <w:pPr>
              <w:pStyle w:val="12"/>
              <w:jc w:val="center"/>
            </w:pPr>
            <w:r>
              <w:t>66.15</w:t>
            </w:r>
          </w:p>
        </w:tc>
        <w:tc>
          <w:tcPr>
            <w:tcW w:w="640" w:type="pct"/>
            <w:vAlign w:val="center"/>
          </w:tcPr>
          <w:p w14:paraId="494938C1">
            <w:pPr>
              <w:pStyle w:val="12"/>
              <w:jc w:val="center"/>
            </w:pPr>
            <w:r>
              <w:t>52.85</w:t>
            </w:r>
          </w:p>
        </w:tc>
        <w:tc>
          <w:tcPr>
            <w:tcW w:w="640" w:type="pct"/>
            <w:vAlign w:val="center"/>
          </w:tcPr>
          <w:p w14:paraId="030CD292">
            <w:pPr>
              <w:pStyle w:val="12"/>
              <w:jc w:val="center"/>
            </w:pPr>
            <w:r>
              <w:t>28.06</w:t>
            </w:r>
          </w:p>
        </w:tc>
        <w:tc>
          <w:tcPr>
            <w:tcW w:w="569" w:type="pct"/>
            <w:vAlign w:val="center"/>
          </w:tcPr>
          <w:p w14:paraId="544B3806">
            <w:pPr>
              <w:pStyle w:val="12"/>
              <w:jc w:val="center"/>
            </w:pPr>
            <w:r>
              <w:t>10.91</w:t>
            </w:r>
          </w:p>
        </w:tc>
        <w:tc>
          <w:tcPr>
            <w:tcW w:w="748" w:type="pct"/>
            <w:vAlign w:val="center"/>
          </w:tcPr>
          <w:p w14:paraId="022C0D0F">
            <w:pPr>
              <w:pStyle w:val="12"/>
              <w:jc w:val="center"/>
            </w:pPr>
            <w:r>
              <w:t>5.79</w:t>
            </w:r>
          </w:p>
        </w:tc>
      </w:tr>
      <w:tr w14:paraId="71282D8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7" w:type="pct"/>
            <w:vAlign w:val="center"/>
          </w:tcPr>
          <w:p w14:paraId="2711F8DF">
            <w:pPr>
              <w:pStyle w:val="12"/>
              <w:jc w:val="center"/>
            </w:pPr>
            <w:r>
              <w:t>1981</w:t>
            </w:r>
          </w:p>
        </w:tc>
        <w:tc>
          <w:tcPr>
            <w:tcW w:w="568" w:type="pct"/>
            <w:vAlign w:val="center"/>
          </w:tcPr>
          <w:p w14:paraId="5473559F">
            <w:pPr>
              <w:pStyle w:val="12"/>
              <w:jc w:val="center"/>
            </w:pPr>
            <w:r>
              <w:t>290.44</w:t>
            </w:r>
          </w:p>
        </w:tc>
        <w:tc>
          <w:tcPr>
            <w:tcW w:w="639" w:type="pct"/>
            <w:vAlign w:val="center"/>
          </w:tcPr>
          <w:p w14:paraId="0FA63C21">
            <w:pPr>
              <w:pStyle w:val="12"/>
              <w:jc w:val="center"/>
            </w:pPr>
            <w:r>
              <w:t>172.66</w:t>
            </w:r>
          </w:p>
        </w:tc>
        <w:tc>
          <w:tcPr>
            <w:tcW w:w="639" w:type="pct"/>
            <w:vAlign w:val="center"/>
          </w:tcPr>
          <w:p w14:paraId="7F2E0A9C">
            <w:pPr>
              <w:pStyle w:val="12"/>
              <w:jc w:val="center"/>
            </w:pPr>
            <w:r>
              <w:t>59.45</w:t>
            </w:r>
          </w:p>
        </w:tc>
        <w:tc>
          <w:tcPr>
            <w:tcW w:w="640" w:type="pct"/>
            <w:vAlign w:val="center"/>
          </w:tcPr>
          <w:p w14:paraId="1D0EF74F">
            <w:pPr>
              <w:pStyle w:val="12"/>
              <w:jc w:val="center"/>
            </w:pPr>
            <w:r>
              <w:t>96.97</w:t>
            </w:r>
          </w:p>
        </w:tc>
        <w:tc>
          <w:tcPr>
            <w:tcW w:w="640" w:type="pct"/>
            <w:vAlign w:val="center"/>
          </w:tcPr>
          <w:p w14:paraId="2C371995">
            <w:pPr>
              <w:pStyle w:val="12"/>
              <w:jc w:val="center"/>
            </w:pPr>
            <w:r>
              <w:t>33.39</w:t>
            </w:r>
          </w:p>
        </w:tc>
        <w:tc>
          <w:tcPr>
            <w:tcW w:w="569" w:type="pct"/>
            <w:vAlign w:val="center"/>
          </w:tcPr>
          <w:p w14:paraId="64BCD06C">
            <w:pPr>
              <w:pStyle w:val="12"/>
              <w:jc w:val="center"/>
            </w:pPr>
            <w:r>
              <w:t>20.81</w:t>
            </w:r>
          </w:p>
        </w:tc>
        <w:tc>
          <w:tcPr>
            <w:tcW w:w="748" w:type="pct"/>
            <w:vAlign w:val="center"/>
          </w:tcPr>
          <w:p w14:paraId="596CB644">
            <w:pPr>
              <w:pStyle w:val="12"/>
              <w:jc w:val="center"/>
            </w:pPr>
            <w:r>
              <w:t>7.16</w:t>
            </w:r>
          </w:p>
        </w:tc>
      </w:tr>
      <w:tr w14:paraId="4A6D19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7" w:type="pct"/>
            <w:vAlign w:val="center"/>
          </w:tcPr>
          <w:p w14:paraId="15FBC2B5">
            <w:pPr>
              <w:pStyle w:val="12"/>
              <w:jc w:val="center"/>
            </w:pPr>
            <w:r>
              <w:t>1982</w:t>
            </w:r>
          </w:p>
        </w:tc>
        <w:tc>
          <w:tcPr>
            <w:tcW w:w="568" w:type="pct"/>
            <w:vAlign w:val="center"/>
          </w:tcPr>
          <w:p w14:paraId="5643D92C">
            <w:pPr>
              <w:pStyle w:val="12"/>
              <w:jc w:val="center"/>
            </w:pPr>
            <w:r>
              <w:t>313.3</w:t>
            </w:r>
          </w:p>
        </w:tc>
        <w:tc>
          <w:tcPr>
            <w:tcW w:w="639" w:type="pct"/>
            <w:vAlign w:val="center"/>
          </w:tcPr>
          <w:p w14:paraId="79866655">
            <w:pPr>
              <w:pStyle w:val="12"/>
              <w:jc w:val="center"/>
            </w:pPr>
            <w:r>
              <w:t>147.2</w:t>
            </w:r>
          </w:p>
        </w:tc>
        <w:tc>
          <w:tcPr>
            <w:tcW w:w="639" w:type="pct"/>
            <w:vAlign w:val="center"/>
          </w:tcPr>
          <w:p w14:paraId="06937E98">
            <w:pPr>
              <w:pStyle w:val="12"/>
              <w:jc w:val="center"/>
            </w:pPr>
            <w:r>
              <w:t>46.98</w:t>
            </w:r>
          </w:p>
        </w:tc>
        <w:tc>
          <w:tcPr>
            <w:tcW w:w="640" w:type="pct"/>
            <w:vAlign w:val="center"/>
          </w:tcPr>
          <w:p w14:paraId="3BB6DEE6">
            <w:pPr>
              <w:pStyle w:val="12"/>
              <w:jc w:val="center"/>
            </w:pPr>
            <w:r>
              <w:t>143.1</w:t>
            </w:r>
          </w:p>
        </w:tc>
        <w:tc>
          <w:tcPr>
            <w:tcW w:w="640" w:type="pct"/>
            <w:vAlign w:val="center"/>
          </w:tcPr>
          <w:p w14:paraId="02BBB113">
            <w:pPr>
              <w:pStyle w:val="12"/>
              <w:jc w:val="center"/>
            </w:pPr>
            <w:r>
              <w:t>45.68</w:t>
            </w:r>
          </w:p>
        </w:tc>
        <w:tc>
          <w:tcPr>
            <w:tcW w:w="569" w:type="pct"/>
            <w:vAlign w:val="center"/>
          </w:tcPr>
          <w:p w14:paraId="5BAFF3D5">
            <w:pPr>
              <w:pStyle w:val="12"/>
              <w:jc w:val="center"/>
            </w:pPr>
            <w:r>
              <w:t>23</w:t>
            </w:r>
          </w:p>
        </w:tc>
        <w:tc>
          <w:tcPr>
            <w:tcW w:w="748" w:type="pct"/>
            <w:vAlign w:val="center"/>
          </w:tcPr>
          <w:p w14:paraId="584ABD85">
            <w:pPr>
              <w:pStyle w:val="12"/>
              <w:jc w:val="center"/>
            </w:pPr>
            <w:r>
              <w:t>7.34</w:t>
            </w:r>
          </w:p>
        </w:tc>
      </w:tr>
      <w:tr w14:paraId="64FE83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7" w:type="pct"/>
            <w:vAlign w:val="center"/>
          </w:tcPr>
          <w:p w14:paraId="6FF69B4D">
            <w:pPr>
              <w:pStyle w:val="12"/>
              <w:jc w:val="center"/>
            </w:pPr>
            <w:r>
              <w:t>1983</w:t>
            </w:r>
          </w:p>
        </w:tc>
        <w:tc>
          <w:tcPr>
            <w:tcW w:w="568" w:type="pct"/>
            <w:vAlign w:val="center"/>
          </w:tcPr>
          <w:p w14:paraId="34F8A7AB">
            <w:pPr>
              <w:pStyle w:val="12"/>
              <w:jc w:val="center"/>
            </w:pPr>
            <w:r>
              <w:t>368</w:t>
            </w:r>
          </w:p>
        </w:tc>
        <w:tc>
          <w:tcPr>
            <w:tcW w:w="639" w:type="pct"/>
            <w:vAlign w:val="center"/>
          </w:tcPr>
          <w:p w14:paraId="3514B3EE">
            <w:pPr>
              <w:pStyle w:val="12"/>
              <w:jc w:val="center"/>
            </w:pPr>
            <w:r>
              <w:t>12</w:t>
            </w:r>
          </w:p>
        </w:tc>
        <w:tc>
          <w:tcPr>
            <w:tcW w:w="639" w:type="pct"/>
            <w:vAlign w:val="center"/>
          </w:tcPr>
          <w:p w14:paraId="4C2D3D4A">
            <w:pPr>
              <w:pStyle w:val="12"/>
              <w:jc w:val="center"/>
            </w:pPr>
            <w:r>
              <w:t>3.3</w:t>
            </w:r>
          </w:p>
        </w:tc>
        <w:tc>
          <w:tcPr>
            <w:tcW w:w="640" w:type="pct"/>
            <w:vAlign w:val="center"/>
          </w:tcPr>
          <w:p w14:paraId="7B0BC33C">
            <w:pPr>
              <w:pStyle w:val="12"/>
              <w:jc w:val="center"/>
            </w:pPr>
            <w:r>
              <w:t>345</w:t>
            </w:r>
          </w:p>
        </w:tc>
        <w:tc>
          <w:tcPr>
            <w:tcW w:w="640" w:type="pct"/>
            <w:vAlign w:val="center"/>
          </w:tcPr>
          <w:p w14:paraId="295B7A4B">
            <w:pPr>
              <w:pStyle w:val="12"/>
              <w:jc w:val="center"/>
            </w:pPr>
            <w:r>
              <w:t>93.71</w:t>
            </w:r>
          </w:p>
        </w:tc>
        <w:tc>
          <w:tcPr>
            <w:tcW w:w="569" w:type="pct"/>
            <w:vAlign w:val="center"/>
          </w:tcPr>
          <w:p w14:paraId="33BBC0F2">
            <w:pPr>
              <w:pStyle w:val="12"/>
              <w:jc w:val="center"/>
            </w:pPr>
            <w:r>
              <w:t>11</w:t>
            </w:r>
          </w:p>
        </w:tc>
        <w:tc>
          <w:tcPr>
            <w:tcW w:w="748" w:type="pct"/>
            <w:vAlign w:val="center"/>
          </w:tcPr>
          <w:p w14:paraId="32701718">
            <w:pPr>
              <w:pStyle w:val="12"/>
              <w:jc w:val="center"/>
            </w:pPr>
            <w:r>
              <w:t>2.99</w:t>
            </w:r>
          </w:p>
        </w:tc>
      </w:tr>
      <w:tr w14:paraId="559420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7" w:type="pct"/>
            <w:vAlign w:val="center"/>
          </w:tcPr>
          <w:p w14:paraId="4C763FC7">
            <w:pPr>
              <w:pStyle w:val="12"/>
              <w:jc w:val="center"/>
            </w:pPr>
            <w:r>
              <w:t>1984</w:t>
            </w:r>
          </w:p>
        </w:tc>
        <w:tc>
          <w:tcPr>
            <w:tcW w:w="568" w:type="pct"/>
            <w:vAlign w:val="center"/>
          </w:tcPr>
          <w:p w14:paraId="5E337B23">
            <w:pPr>
              <w:pStyle w:val="12"/>
              <w:jc w:val="center"/>
            </w:pPr>
            <w:r>
              <w:t>446</w:t>
            </w:r>
          </w:p>
        </w:tc>
        <w:tc>
          <w:tcPr>
            <w:tcW w:w="639" w:type="pct"/>
            <w:vAlign w:val="center"/>
          </w:tcPr>
          <w:p w14:paraId="1E66ACDB">
            <w:pPr>
              <w:pStyle w:val="12"/>
              <w:jc w:val="center"/>
            </w:pPr>
            <w:r>
              <w:t>7.7</w:t>
            </w:r>
          </w:p>
        </w:tc>
        <w:tc>
          <w:tcPr>
            <w:tcW w:w="639" w:type="pct"/>
            <w:vAlign w:val="center"/>
          </w:tcPr>
          <w:p w14:paraId="0DDC3FD2">
            <w:pPr>
              <w:pStyle w:val="12"/>
              <w:jc w:val="center"/>
            </w:pPr>
            <w:r>
              <w:t>1.73</w:t>
            </w:r>
          </w:p>
        </w:tc>
        <w:tc>
          <w:tcPr>
            <w:tcW w:w="640" w:type="pct"/>
            <w:vAlign w:val="center"/>
          </w:tcPr>
          <w:p w14:paraId="1658A097">
            <w:pPr>
              <w:pStyle w:val="12"/>
              <w:jc w:val="center"/>
            </w:pPr>
            <w:r>
              <w:t>422.9</w:t>
            </w:r>
          </w:p>
        </w:tc>
        <w:tc>
          <w:tcPr>
            <w:tcW w:w="640" w:type="pct"/>
            <w:vAlign w:val="center"/>
          </w:tcPr>
          <w:p w14:paraId="154DF0A2">
            <w:pPr>
              <w:pStyle w:val="12"/>
              <w:jc w:val="center"/>
            </w:pPr>
            <w:r>
              <w:t>94.82</w:t>
            </w:r>
          </w:p>
        </w:tc>
        <w:tc>
          <w:tcPr>
            <w:tcW w:w="569" w:type="pct"/>
            <w:vAlign w:val="center"/>
          </w:tcPr>
          <w:p w14:paraId="1D0A96A5">
            <w:pPr>
              <w:pStyle w:val="12"/>
              <w:jc w:val="center"/>
            </w:pPr>
            <w:r>
              <w:t>15.4</w:t>
            </w:r>
          </w:p>
        </w:tc>
        <w:tc>
          <w:tcPr>
            <w:tcW w:w="748" w:type="pct"/>
            <w:vAlign w:val="center"/>
          </w:tcPr>
          <w:p w14:paraId="08942E57">
            <w:pPr>
              <w:pStyle w:val="12"/>
              <w:jc w:val="center"/>
            </w:pPr>
            <w:r>
              <w:t>3.45</w:t>
            </w:r>
          </w:p>
        </w:tc>
      </w:tr>
      <w:tr w14:paraId="604226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7" w:type="pct"/>
            <w:vAlign w:val="center"/>
          </w:tcPr>
          <w:p w14:paraId="45B6E33D">
            <w:pPr>
              <w:pStyle w:val="12"/>
              <w:jc w:val="center"/>
            </w:pPr>
            <w:r>
              <w:t>1985</w:t>
            </w:r>
          </w:p>
        </w:tc>
        <w:tc>
          <w:tcPr>
            <w:tcW w:w="568" w:type="pct"/>
            <w:vAlign w:val="center"/>
          </w:tcPr>
          <w:p w14:paraId="2B820E28">
            <w:pPr>
              <w:pStyle w:val="12"/>
              <w:jc w:val="center"/>
            </w:pPr>
            <w:r>
              <w:t>357</w:t>
            </w:r>
          </w:p>
        </w:tc>
        <w:tc>
          <w:tcPr>
            <w:tcW w:w="639" w:type="pct"/>
            <w:vAlign w:val="center"/>
          </w:tcPr>
          <w:p w14:paraId="43253F9D">
            <w:pPr>
              <w:pStyle w:val="12"/>
              <w:jc w:val="center"/>
            </w:pPr>
            <w:r>
              <w:t>5</w:t>
            </w:r>
          </w:p>
        </w:tc>
        <w:tc>
          <w:tcPr>
            <w:tcW w:w="639" w:type="pct"/>
            <w:vAlign w:val="center"/>
          </w:tcPr>
          <w:p w14:paraId="03008842">
            <w:pPr>
              <w:pStyle w:val="12"/>
              <w:jc w:val="center"/>
            </w:pPr>
            <w:r>
              <w:t>1.4</w:t>
            </w:r>
          </w:p>
        </w:tc>
        <w:tc>
          <w:tcPr>
            <w:tcW w:w="640" w:type="pct"/>
            <w:vAlign w:val="center"/>
          </w:tcPr>
          <w:p w14:paraId="1F2C5422">
            <w:pPr>
              <w:pStyle w:val="12"/>
              <w:jc w:val="center"/>
            </w:pPr>
            <w:r>
              <w:t>332</w:t>
            </w:r>
          </w:p>
        </w:tc>
        <w:tc>
          <w:tcPr>
            <w:tcW w:w="640" w:type="pct"/>
            <w:vAlign w:val="center"/>
          </w:tcPr>
          <w:p w14:paraId="79D4EC0C">
            <w:pPr>
              <w:pStyle w:val="12"/>
              <w:jc w:val="center"/>
            </w:pPr>
            <w:r>
              <w:t>93</w:t>
            </w:r>
          </w:p>
        </w:tc>
        <w:tc>
          <w:tcPr>
            <w:tcW w:w="569" w:type="pct"/>
            <w:vAlign w:val="center"/>
          </w:tcPr>
          <w:p w14:paraId="6E16FB4C">
            <w:pPr>
              <w:pStyle w:val="12"/>
              <w:jc w:val="center"/>
            </w:pPr>
            <w:r>
              <w:t>20</w:t>
            </w:r>
          </w:p>
        </w:tc>
        <w:tc>
          <w:tcPr>
            <w:tcW w:w="748" w:type="pct"/>
            <w:vAlign w:val="center"/>
          </w:tcPr>
          <w:p w14:paraId="66C71DD7">
            <w:pPr>
              <w:pStyle w:val="12"/>
              <w:jc w:val="center"/>
            </w:pPr>
            <w:r>
              <w:t>5.6</w:t>
            </w:r>
          </w:p>
        </w:tc>
      </w:tr>
      <w:tr w14:paraId="15BED4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7" w:type="pct"/>
            <w:vAlign w:val="center"/>
          </w:tcPr>
          <w:p w14:paraId="4683CAA1">
            <w:pPr>
              <w:pStyle w:val="12"/>
              <w:jc w:val="center"/>
            </w:pPr>
            <w:r>
              <w:t>1986</w:t>
            </w:r>
          </w:p>
        </w:tc>
        <w:tc>
          <w:tcPr>
            <w:tcW w:w="568" w:type="pct"/>
            <w:vAlign w:val="center"/>
          </w:tcPr>
          <w:p w14:paraId="6D625873">
            <w:pPr>
              <w:pStyle w:val="12"/>
              <w:jc w:val="center"/>
            </w:pPr>
            <w:r>
              <w:t>458</w:t>
            </w:r>
          </w:p>
        </w:tc>
        <w:tc>
          <w:tcPr>
            <w:tcW w:w="639" w:type="pct"/>
            <w:vAlign w:val="center"/>
          </w:tcPr>
          <w:p w14:paraId="5959EB33">
            <w:pPr>
              <w:pStyle w:val="12"/>
              <w:jc w:val="center"/>
            </w:pPr>
            <w:r>
              <w:t>1</w:t>
            </w:r>
          </w:p>
        </w:tc>
        <w:tc>
          <w:tcPr>
            <w:tcW w:w="639" w:type="pct"/>
            <w:vAlign w:val="center"/>
          </w:tcPr>
          <w:p w14:paraId="07DC9F83">
            <w:pPr>
              <w:pStyle w:val="12"/>
              <w:jc w:val="center"/>
            </w:pPr>
            <w:r>
              <w:t>0.22</w:t>
            </w:r>
          </w:p>
        </w:tc>
        <w:tc>
          <w:tcPr>
            <w:tcW w:w="640" w:type="pct"/>
            <w:vAlign w:val="center"/>
          </w:tcPr>
          <w:p w14:paraId="21C05EA9">
            <w:pPr>
              <w:pStyle w:val="12"/>
              <w:jc w:val="center"/>
            </w:pPr>
            <w:r>
              <w:t>440</w:t>
            </w:r>
          </w:p>
        </w:tc>
        <w:tc>
          <w:tcPr>
            <w:tcW w:w="640" w:type="pct"/>
            <w:vAlign w:val="center"/>
          </w:tcPr>
          <w:p w14:paraId="66BF5AEB">
            <w:pPr>
              <w:pStyle w:val="12"/>
              <w:jc w:val="center"/>
            </w:pPr>
            <w:r>
              <w:t>96.07</w:t>
            </w:r>
          </w:p>
        </w:tc>
        <w:tc>
          <w:tcPr>
            <w:tcW w:w="569" w:type="pct"/>
            <w:vAlign w:val="center"/>
          </w:tcPr>
          <w:p w14:paraId="5D1FF53B">
            <w:pPr>
              <w:pStyle w:val="12"/>
              <w:jc w:val="center"/>
            </w:pPr>
            <w:r>
              <w:t>17</w:t>
            </w:r>
          </w:p>
        </w:tc>
        <w:tc>
          <w:tcPr>
            <w:tcW w:w="748" w:type="pct"/>
            <w:vAlign w:val="center"/>
          </w:tcPr>
          <w:p w14:paraId="0BDB9295">
            <w:pPr>
              <w:pStyle w:val="12"/>
              <w:jc w:val="center"/>
            </w:pPr>
            <w:r>
              <w:t>3.71</w:t>
            </w:r>
          </w:p>
        </w:tc>
      </w:tr>
      <w:tr w14:paraId="1A6EF1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7" w:type="pct"/>
            <w:vAlign w:val="center"/>
          </w:tcPr>
          <w:p w14:paraId="54048B64">
            <w:pPr>
              <w:pStyle w:val="12"/>
              <w:jc w:val="center"/>
            </w:pPr>
            <w:r>
              <w:t>1987</w:t>
            </w:r>
          </w:p>
        </w:tc>
        <w:tc>
          <w:tcPr>
            <w:tcW w:w="568" w:type="pct"/>
            <w:vAlign w:val="center"/>
          </w:tcPr>
          <w:p w14:paraId="4F246E26">
            <w:pPr>
              <w:pStyle w:val="12"/>
              <w:jc w:val="center"/>
            </w:pPr>
            <w:r>
              <w:t>651</w:t>
            </w:r>
          </w:p>
        </w:tc>
        <w:tc>
          <w:tcPr>
            <w:tcW w:w="639" w:type="pct"/>
            <w:vAlign w:val="center"/>
          </w:tcPr>
          <w:p w14:paraId="286F06E8">
            <w:pPr>
              <w:pStyle w:val="12"/>
              <w:jc w:val="center"/>
            </w:pPr>
            <w:r>
              <w:t>5.12</w:t>
            </w:r>
          </w:p>
        </w:tc>
        <w:tc>
          <w:tcPr>
            <w:tcW w:w="639" w:type="pct"/>
            <w:vAlign w:val="center"/>
          </w:tcPr>
          <w:p w14:paraId="411D8C6D">
            <w:pPr>
              <w:pStyle w:val="12"/>
              <w:jc w:val="center"/>
            </w:pPr>
            <w:r>
              <w:t>0.79</w:t>
            </w:r>
          </w:p>
        </w:tc>
        <w:tc>
          <w:tcPr>
            <w:tcW w:w="640" w:type="pct"/>
            <w:vAlign w:val="center"/>
          </w:tcPr>
          <w:p w14:paraId="2E8A37A4">
            <w:pPr>
              <w:pStyle w:val="12"/>
              <w:jc w:val="center"/>
            </w:pPr>
            <w:r>
              <w:t>623.88</w:t>
            </w:r>
          </w:p>
        </w:tc>
        <w:tc>
          <w:tcPr>
            <w:tcW w:w="640" w:type="pct"/>
            <w:vAlign w:val="center"/>
          </w:tcPr>
          <w:p w14:paraId="3E084B91">
            <w:pPr>
              <w:pStyle w:val="12"/>
              <w:jc w:val="center"/>
            </w:pPr>
            <w:r>
              <w:t>95.83</w:t>
            </w:r>
          </w:p>
        </w:tc>
        <w:tc>
          <w:tcPr>
            <w:tcW w:w="569" w:type="pct"/>
            <w:vAlign w:val="center"/>
          </w:tcPr>
          <w:p w14:paraId="2B033AB7">
            <w:pPr>
              <w:pStyle w:val="12"/>
              <w:jc w:val="center"/>
            </w:pPr>
            <w:r>
              <w:t>22</w:t>
            </w:r>
          </w:p>
        </w:tc>
        <w:tc>
          <w:tcPr>
            <w:tcW w:w="748" w:type="pct"/>
            <w:vAlign w:val="center"/>
          </w:tcPr>
          <w:p w14:paraId="3156F496">
            <w:pPr>
              <w:pStyle w:val="12"/>
              <w:jc w:val="center"/>
            </w:pPr>
            <w:r>
              <w:t>3.38</w:t>
            </w:r>
          </w:p>
        </w:tc>
      </w:tr>
    </w:tbl>
    <w:p w14:paraId="2417FD8E">
      <w:pPr>
        <w:ind w:firstLine="422"/>
        <w:rPr>
          <w:rFonts w:ascii="宋体" w:hAnsi="宋体" w:cs="宋体"/>
          <w:b/>
        </w:rPr>
      </w:pPr>
      <w:r>
        <w:rPr>
          <w:rFonts w:hint="eastAsia" w:ascii="宋体" w:hAnsi="宋体" w:cs="宋体"/>
          <w:b/>
        </w:rPr>
        <w:t>说明：以上抽样调查数字均来自县农村社会经济抽样调查队。1981年全县普遍实行包产到户。</w:t>
      </w:r>
    </w:p>
    <w:p w14:paraId="0717DE5B">
      <w:pPr>
        <w:ind w:firstLine="422"/>
        <w:jc w:val="center"/>
        <w:rPr>
          <w:rFonts w:ascii="宋体" w:hAnsi="宋体" w:cs="宋体"/>
          <w:b/>
          <w:bCs/>
        </w:rPr>
      </w:pPr>
      <w:r>
        <w:rPr>
          <w:rFonts w:hint="eastAsia" w:ascii="宋体" w:hAnsi="宋体" w:cs="宋体"/>
          <w:b/>
          <w:bCs/>
        </w:rPr>
        <w:t>南雄市1995年至2004年农民收入构成抽样调查</w:t>
      </w:r>
    </w:p>
    <w:p w14:paraId="0A781C19">
      <w:pPr>
        <w:ind w:firstLine="0" w:firstLineChars="0"/>
        <w:rPr>
          <w:rFonts w:ascii="宋体" w:hAnsi="宋体" w:cs="宋体"/>
          <w:b/>
          <w:bCs/>
        </w:rPr>
      </w:pPr>
      <w:r>
        <w:rPr>
          <w:rFonts w:hint="eastAsia" w:ascii="宋体" w:hAnsi="宋体" w:cs="宋体"/>
          <w:b/>
          <w:bCs/>
        </w:rPr>
        <w:t>表6-20</w:t>
      </w:r>
    </w:p>
    <w:p w14:paraId="550891D2">
      <w:pPr>
        <w:ind w:firstLine="422"/>
        <w:jc w:val="right"/>
        <w:rPr>
          <w:rFonts w:ascii="宋体" w:hAnsi="宋体" w:cs="宋体"/>
          <w:b/>
          <w:bCs/>
        </w:rPr>
      </w:pPr>
      <w:r>
        <w:rPr>
          <w:rFonts w:hint="eastAsia" w:ascii="宋体" w:hAnsi="宋体" w:cs="宋体"/>
          <w:b/>
          <w:bCs/>
        </w:rPr>
        <w:t>单位：元、%</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59"/>
        <w:gridCol w:w="1659"/>
        <w:gridCol w:w="1662"/>
        <w:gridCol w:w="1662"/>
        <w:gridCol w:w="1662"/>
        <w:gridCol w:w="1658"/>
      </w:tblGrid>
      <w:tr w14:paraId="63BC0D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Merge w:val="restart"/>
            <w:vAlign w:val="center"/>
          </w:tcPr>
          <w:p w14:paraId="185F5F49">
            <w:pPr>
              <w:pStyle w:val="12"/>
              <w:jc w:val="center"/>
              <w:rPr>
                <w:b/>
              </w:rPr>
            </w:pPr>
            <w:r>
              <w:rPr>
                <w:rFonts w:hint="eastAsia"/>
                <w:b/>
              </w:rPr>
              <w:t>年份</w:t>
            </w:r>
          </w:p>
        </w:tc>
        <w:tc>
          <w:tcPr>
            <w:tcW w:w="833" w:type="pct"/>
            <w:vMerge w:val="restart"/>
            <w:vAlign w:val="center"/>
          </w:tcPr>
          <w:p w14:paraId="7CFBDB50">
            <w:pPr>
              <w:pStyle w:val="12"/>
              <w:jc w:val="center"/>
              <w:rPr>
                <w:b/>
              </w:rPr>
            </w:pPr>
            <w:r>
              <w:rPr>
                <w:rFonts w:hint="eastAsia"/>
                <w:b/>
              </w:rPr>
              <w:t>年人平均纯收入</w:t>
            </w:r>
          </w:p>
        </w:tc>
        <w:tc>
          <w:tcPr>
            <w:tcW w:w="3334" w:type="pct"/>
            <w:gridSpan w:val="4"/>
            <w:vAlign w:val="center"/>
          </w:tcPr>
          <w:p w14:paraId="3F268C40">
            <w:pPr>
              <w:pStyle w:val="12"/>
              <w:jc w:val="center"/>
              <w:rPr>
                <w:b/>
              </w:rPr>
            </w:pPr>
            <w:r>
              <w:rPr>
                <w:rFonts w:hint="eastAsia"/>
                <w:b/>
              </w:rPr>
              <w:t>其  中</w:t>
            </w:r>
          </w:p>
        </w:tc>
      </w:tr>
      <w:tr w14:paraId="680C1F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Merge w:val="continue"/>
            <w:vAlign w:val="center"/>
          </w:tcPr>
          <w:p w14:paraId="259521D2">
            <w:pPr>
              <w:pStyle w:val="12"/>
              <w:jc w:val="center"/>
              <w:rPr>
                <w:b/>
              </w:rPr>
            </w:pPr>
          </w:p>
        </w:tc>
        <w:tc>
          <w:tcPr>
            <w:tcW w:w="833" w:type="pct"/>
            <w:vMerge w:val="continue"/>
            <w:vAlign w:val="center"/>
          </w:tcPr>
          <w:p w14:paraId="6A41F97C">
            <w:pPr>
              <w:pStyle w:val="12"/>
              <w:jc w:val="center"/>
              <w:rPr>
                <w:b/>
              </w:rPr>
            </w:pPr>
          </w:p>
        </w:tc>
        <w:tc>
          <w:tcPr>
            <w:tcW w:w="1667" w:type="pct"/>
            <w:gridSpan w:val="2"/>
            <w:vAlign w:val="center"/>
          </w:tcPr>
          <w:p w14:paraId="29544CBB">
            <w:pPr>
              <w:pStyle w:val="12"/>
              <w:jc w:val="center"/>
              <w:rPr>
                <w:b/>
              </w:rPr>
            </w:pPr>
            <w:r>
              <w:rPr>
                <w:rFonts w:hint="eastAsia"/>
                <w:b/>
              </w:rPr>
              <w:t>家庭经营纯收入</w:t>
            </w:r>
          </w:p>
        </w:tc>
        <w:tc>
          <w:tcPr>
            <w:tcW w:w="1667" w:type="pct"/>
            <w:gridSpan w:val="2"/>
            <w:vAlign w:val="center"/>
          </w:tcPr>
          <w:p w14:paraId="6638A1F1">
            <w:pPr>
              <w:pStyle w:val="12"/>
              <w:jc w:val="center"/>
              <w:rPr>
                <w:b/>
              </w:rPr>
            </w:pPr>
            <w:r>
              <w:rPr>
                <w:rFonts w:hint="eastAsia"/>
                <w:b/>
              </w:rPr>
              <w:t>其他收入</w:t>
            </w:r>
          </w:p>
        </w:tc>
      </w:tr>
      <w:tr w14:paraId="0B392C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Merge w:val="continue"/>
            <w:vAlign w:val="center"/>
          </w:tcPr>
          <w:p w14:paraId="417F9620">
            <w:pPr>
              <w:pStyle w:val="12"/>
              <w:jc w:val="center"/>
              <w:rPr>
                <w:b/>
              </w:rPr>
            </w:pPr>
          </w:p>
        </w:tc>
        <w:tc>
          <w:tcPr>
            <w:tcW w:w="833" w:type="pct"/>
            <w:vMerge w:val="continue"/>
            <w:vAlign w:val="center"/>
          </w:tcPr>
          <w:p w14:paraId="72B8A69E">
            <w:pPr>
              <w:pStyle w:val="12"/>
              <w:jc w:val="center"/>
              <w:rPr>
                <w:b/>
              </w:rPr>
            </w:pPr>
          </w:p>
        </w:tc>
        <w:tc>
          <w:tcPr>
            <w:tcW w:w="834" w:type="pct"/>
            <w:vAlign w:val="center"/>
          </w:tcPr>
          <w:p w14:paraId="03ACE9C7">
            <w:pPr>
              <w:pStyle w:val="12"/>
              <w:jc w:val="center"/>
              <w:rPr>
                <w:b/>
              </w:rPr>
            </w:pPr>
            <w:r>
              <w:rPr>
                <w:rFonts w:hint="eastAsia"/>
                <w:b/>
              </w:rPr>
              <w:t>金额</w:t>
            </w:r>
          </w:p>
        </w:tc>
        <w:tc>
          <w:tcPr>
            <w:tcW w:w="834" w:type="pct"/>
            <w:vAlign w:val="center"/>
          </w:tcPr>
          <w:p w14:paraId="445B1A24">
            <w:pPr>
              <w:pStyle w:val="12"/>
              <w:jc w:val="center"/>
              <w:rPr>
                <w:b/>
              </w:rPr>
            </w:pPr>
            <w:r>
              <w:rPr>
                <w:rFonts w:hint="eastAsia"/>
                <w:b/>
              </w:rPr>
              <w:t>占总收入比</w:t>
            </w:r>
          </w:p>
        </w:tc>
        <w:tc>
          <w:tcPr>
            <w:tcW w:w="834" w:type="pct"/>
            <w:vAlign w:val="center"/>
          </w:tcPr>
          <w:p w14:paraId="4CD6F4A4">
            <w:pPr>
              <w:pStyle w:val="12"/>
              <w:jc w:val="center"/>
              <w:rPr>
                <w:b/>
              </w:rPr>
            </w:pPr>
            <w:r>
              <w:rPr>
                <w:rFonts w:hint="eastAsia"/>
                <w:b/>
              </w:rPr>
              <w:t>金额</w:t>
            </w:r>
          </w:p>
        </w:tc>
        <w:tc>
          <w:tcPr>
            <w:tcW w:w="834" w:type="pct"/>
            <w:vAlign w:val="center"/>
          </w:tcPr>
          <w:p w14:paraId="4BBE96E7">
            <w:pPr>
              <w:pStyle w:val="12"/>
              <w:jc w:val="center"/>
              <w:rPr>
                <w:b/>
              </w:rPr>
            </w:pPr>
            <w:r>
              <w:rPr>
                <w:rFonts w:hint="eastAsia"/>
                <w:b/>
              </w:rPr>
              <w:t>占总收入比</w:t>
            </w:r>
          </w:p>
        </w:tc>
      </w:tr>
      <w:tr w14:paraId="08F861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34AF79F9">
            <w:pPr>
              <w:pStyle w:val="12"/>
              <w:jc w:val="center"/>
            </w:pPr>
            <w:r>
              <w:rPr>
                <w:rFonts w:hint="eastAsia"/>
              </w:rPr>
              <w:t>1995年</w:t>
            </w:r>
          </w:p>
        </w:tc>
        <w:tc>
          <w:tcPr>
            <w:tcW w:w="833" w:type="pct"/>
            <w:vAlign w:val="center"/>
          </w:tcPr>
          <w:p w14:paraId="4D315A14">
            <w:pPr>
              <w:pStyle w:val="12"/>
              <w:jc w:val="center"/>
            </w:pPr>
            <w:r>
              <w:rPr>
                <w:rFonts w:hint="eastAsia"/>
              </w:rPr>
              <w:t>1892.64</w:t>
            </w:r>
          </w:p>
        </w:tc>
        <w:tc>
          <w:tcPr>
            <w:tcW w:w="834" w:type="pct"/>
            <w:vAlign w:val="center"/>
          </w:tcPr>
          <w:p w14:paraId="54AF47D5">
            <w:pPr>
              <w:pStyle w:val="12"/>
              <w:jc w:val="center"/>
            </w:pPr>
            <w:r>
              <w:rPr>
                <w:rFonts w:hint="eastAsia"/>
              </w:rPr>
              <w:t>1474</w:t>
            </w:r>
          </w:p>
        </w:tc>
        <w:tc>
          <w:tcPr>
            <w:tcW w:w="834" w:type="pct"/>
            <w:vAlign w:val="center"/>
          </w:tcPr>
          <w:p w14:paraId="692AE8B2">
            <w:pPr>
              <w:pStyle w:val="12"/>
              <w:jc w:val="center"/>
            </w:pPr>
            <w:r>
              <w:rPr>
                <w:rFonts w:hint="eastAsia"/>
              </w:rPr>
              <w:t>78%</w:t>
            </w:r>
          </w:p>
        </w:tc>
        <w:tc>
          <w:tcPr>
            <w:tcW w:w="834" w:type="pct"/>
            <w:vAlign w:val="center"/>
          </w:tcPr>
          <w:p w14:paraId="67E4B203">
            <w:pPr>
              <w:pStyle w:val="12"/>
              <w:jc w:val="center"/>
            </w:pPr>
            <w:r>
              <w:rPr>
                <w:rFonts w:hint="eastAsia"/>
              </w:rPr>
              <w:t>418.64</w:t>
            </w:r>
          </w:p>
        </w:tc>
        <w:tc>
          <w:tcPr>
            <w:tcW w:w="834" w:type="pct"/>
            <w:vAlign w:val="center"/>
          </w:tcPr>
          <w:p w14:paraId="5511112E">
            <w:pPr>
              <w:pStyle w:val="12"/>
              <w:jc w:val="center"/>
            </w:pPr>
            <w:r>
              <w:rPr>
                <w:rFonts w:hint="eastAsia"/>
              </w:rPr>
              <w:t>22%</w:t>
            </w:r>
          </w:p>
        </w:tc>
      </w:tr>
      <w:tr w14:paraId="76A879B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7128ADC4">
            <w:pPr>
              <w:pStyle w:val="12"/>
              <w:jc w:val="center"/>
            </w:pPr>
            <w:r>
              <w:rPr>
                <w:rFonts w:hint="eastAsia"/>
              </w:rPr>
              <w:t>1996年</w:t>
            </w:r>
          </w:p>
        </w:tc>
        <w:tc>
          <w:tcPr>
            <w:tcW w:w="833" w:type="pct"/>
            <w:vAlign w:val="center"/>
          </w:tcPr>
          <w:p w14:paraId="75A849FB">
            <w:pPr>
              <w:pStyle w:val="12"/>
              <w:jc w:val="center"/>
            </w:pPr>
            <w:r>
              <w:rPr>
                <w:rFonts w:hint="eastAsia"/>
              </w:rPr>
              <w:t>2479.28</w:t>
            </w:r>
          </w:p>
        </w:tc>
        <w:tc>
          <w:tcPr>
            <w:tcW w:w="834" w:type="pct"/>
            <w:vAlign w:val="center"/>
          </w:tcPr>
          <w:p w14:paraId="27CBF8AF">
            <w:pPr>
              <w:pStyle w:val="12"/>
              <w:jc w:val="center"/>
            </w:pPr>
            <w:r>
              <w:rPr>
                <w:rFonts w:hint="eastAsia"/>
              </w:rPr>
              <w:t>1827.47</w:t>
            </w:r>
          </w:p>
        </w:tc>
        <w:tc>
          <w:tcPr>
            <w:tcW w:w="834" w:type="pct"/>
            <w:vAlign w:val="center"/>
          </w:tcPr>
          <w:p w14:paraId="072CBB9B">
            <w:pPr>
              <w:pStyle w:val="12"/>
              <w:jc w:val="center"/>
            </w:pPr>
            <w:r>
              <w:rPr>
                <w:rFonts w:hint="eastAsia"/>
              </w:rPr>
              <w:t>74%</w:t>
            </w:r>
          </w:p>
        </w:tc>
        <w:tc>
          <w:tcPr>
            <w:tcW w:w="834" w:type="pct"/>
            <w:vAlign w:val="center"/>
          </w:tcPr>
          <w:p w14:paraId="647C427F">
            <w:pPr>
              <w:pStyle w:val="12"/>
              <w:jc w:val="center"/>
            </w:pPr>
            <w:r>
              <w:rPr>
                <w:rFonts w:hint="eastAsia"/>
              </w:rPr>
              <w:t>651.81</w:t>
            </w:r>
          </w:p>
        </w:tc>
        <w:tc>
          <w:tcPr>
            <w:tcW w:w="834" w:type="pct"/>
            <w:vAlign w:val="center"/>
          </w:tcPr>
          <w:p w14:paraId="6DFE3709">
            <w:pPr>
              <w:pStyle w:val="12"/>
              <w:jc w:val="center"/>
            </w:pPr>
            <w:r>
              <w:rPr>
                <w:rFonts w:hint="eastAsia"/>
              </w:rPr>
              <w:t>26%</w:t>
            </w:r>
          </w:p>
        </w:tc>
      </w:tr>
      <w:tr w14:paraId="2954BD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677DC167">
            <w:pPr>
              <w:pStyle w:val="12"/>
              <w:jc w:val="center"/>
            </w:pPr>
            <w:r>
              <w:rPr>
                <w:rFonts w:hint="eastAsia"/>
              </w:rPr>
              <w:t>1997年</w:t>
            </w:r>
          </w:p>
        </w:tc>
        <w:tc>
          <w:tcPr>
            <w:tcW w:w="833" w:type="pct"/>
            <w:vAlign w:val="center"/>
          </w:tcPr>
          <w:p w14:paraId="221C4011">
            <w:pPr>
              <w:pStyle w:val="12"/>
              <w:jc w:val="center"/>
            </w:pPr>
            <w:r>
              <w:rPr>
                <w:rFonts w:hint="eastAsia"/>
              </w:rPr>
              <w:t>2996.49</w:t>
            </w:r>
          </w:p>
        </w:tc>
        <w:tc>
          <w:tcPr>
            <w:tcW w:w="834" w:type="pct"/>
            <w:vAlign w:val="center"/>
          </w:tcPr>
          <w:p w14:paraId="1445B321">
            <w:pPr>
              <w:pStyle w:val="12"/>
              <w:jc w:val="center"/>
            </w:pPr>
            <w:r>
              <w:rPr>
                <w:rFonts w:hint="eastAsia"/>
              </w:rPr>
              <w:t>2305.65</w:t>
            </w:r>
          </w:p>
        </w:tc>
        <w:tc>
          <w:tcPr>
            <w:tcW w:w="834" w:type="pct"/>
            <w:vAlign w:val="center"/>
          </w:tcPr>
          <w:p w14:paraId="5BE919FC">
            <w:pPr>
              <w:pStyle w:val="12"/>
              <w:jc w:val="center"/>
            </w:pPr>
            <w:r>
              <w:rPr>
                <w:rFonts w:hint="eastAsia"/>
              </w:rPr>
              <w:t>77%</w:t>
            </w:r>
          </w:p>
        </w:tc>
        <w:tc>
          <w:tcPr>
            <w:tcW w:w="834" w:type="pct"/>
            <w:vAlign w:val="center"/>
          </w:tcPr>
          <w:p w14:paraId="4927C193">
            <w:pPr>
              <w:pStyle w:val="12"/>
              <w:jc w:val="center"/>
            </w:pPr>
            <w:r>
              <w:rPr>
                <w:rFonts w:hint="eastAsia"/>
              </w:rPr>
              <w:t>690.84</w:t>
            </w:r>
          </w:p>
        </w:tc>
        <w:tc>
          <w:tcPr>
            <w:tcW w:w="834" w:type="pct"/>
            <w:vAlign w:val="center"/>
          </w:tcPr>
          <w:p w14:paraId="504E07D1">
            <w:pPr>
              <w:pStyle w:val="12"/>
              <w:jc w:val="center"/>
            </w:pPr>
            <w:r>
              <w:rPr>
                <w:rFonts w:hint="eastAsia"/>
              </w:rPr>
              <w:t>23%</w:t>
            </w:r>
          </w:p>
        </w:tc>
      </w:tr>
      <w:tr w14:paraId="4F2E4C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313D7722">
            <w:pPr>
              <w:pStyle w:val="12"/>
              <w:jc w:val="center"/>
            </w:pPr>
            <w:r>
              <w:rPr>
                <w:rFonts w:hint="eastAsia"/>
              </w:rPr>
              <w:t>1998年</w:t>
            </w:r>
          </w:p>
        </w:tc>
        <w:tc>
          <w:tcPr>
            <w:tcW w:w="833" w:type="pct"/>
            <w:vAlign w:val="center"/>
          </w:tcPr>
          <w:p w14:paraId="26247FE8">
            <w:pPr>
              <w:pStyle w:val="12"/>
              <w:jc w:val="center"/>
            </w:pPr>
            <w:r>
              <w:rPr>
                <w:rFonts w:hint="eastAsia"/>
              </w:rPr>
              <w:t>3089.69</w:t>
            </w:r>
          </w:p>
        </w:tc>
        <w:tc>
          <w:tcPr>
            <w:tcW w:w="834" w:type="pct"/>
            <w:vAlign w:val="center"/>
          </w:tcPr>
          <w:p w14:paraId="3A44C949">
            <w:pPr>
              <w:pStyle w:val="12"/>
              <w:jc w:val="center"/>
            </w:pPr>
            <w:r>
              <w:rPr>
                <w:rFonts w:hint="eastAsia"/>
              </w:rPr>
              <w:t>2286.34</w:t>
            </w:r>
          </w:p>
        </w:tc>
        <w:tc>
          <w:tcPr>
            <w:tcW w:w="834" w:type="pct"/>
            <w:vAlign w:val="center"/>
          </w:tcPr>
          <w:p w14:paraId="4DBE82E2">
            <w:pPr>
              <w:pStyle w:val="12"/>
              <w:jc w:val="center"/>
            </w:pPr>
            <w:r>
              <w:rPr>
                <w:rFonts w:hint="eastAsia"/>
              </w:rPr>
              <w:t>74%</w:t>
            </w:r>
          </w:p>
        </w:tc>
        <w:tc>
          <w:tcPr>
            <w:tcW w:w="834" w:type="pct"/>
            <w:vAlign w:val="center"/>
          </w:tcPr>
          <w:p w14:paraId="7AB5F126">
            <w:pPr>
              <w:pStyle w:val="12"/>
              <w:jc w:val="center"/>
            </w:pPr>
            <w:r>
              <w:rPr>
                <w:rFonts w:hint="eastAsia"/>
              </w:rPr>
              <w:t>803.34</w:t>
            </w:r>
          </w:p>
        </w:tc>
        <w:tc>
          <w:tcPr>
            <w:tcW w:w="834" w:type="pct"/>
            <w:vAlign w:val="center"/>
          </w:tcPr>
          <w:p w14:paraId="38B72631">
            <w:pPr>
              <w:pStyle w:val="12"/>
              <w:jc w:val="center"/>
            </w:pPr>
            <w:r>
              <w:rPr>
                <w:rFonts w:hint="eastAsia"/>
              </w:rPr>
              <w:t>26%</w:t>
            </w:r>
          </w:p>
        </w:tc>
      </w:tr>
      <w:tr w14:paraId="04057D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7B77DCCD">
            <w:pPr>
              <w:pStyle w:val="12"/>
              <w:jc w:val="center"/>
            </w:pPr>
            <w:r>
              <w:rPr>
                <w:rFonts w:hint="eastAsia"/>
              </w:rPr>
              <w:t>1999年</w:t>
            </w:r>
          </w:p>
        </w:tc>
        <w:tc>
          <w:tcPr>
            <w:tcW w:w="833" w:type="pct"/>
            <w:vAlign w:val="center"/>
          </w:tcPr>
          <w:p w14:paraId="5CE92016">
            <w:pPr>
              <w:pStyle w:val="12"/>
              <w:jc w:val="center"/>
            </w:pPr>
            <w:r>
              <w:rPr>
                <w:rFonts w:hint="eastAsia"/>
              </w:rPr>
              <w:t>3418.86</w:t>
            </w:r>
          </w:p>
        </w:tc>
        <w:tc>
          <w:tcPr>
            <w:tcW w:w="834" w:type="pct"/>
            <w:vAlign w:val="center"/>
          </w:tcPr>
          <w:p w14:paraId="22F5709A">
            <w:pPr>
              <w:pStyle w:val="12"/>
              <w:jc w:val="center"/>
            </w:pPr>
            <w:r>
              <w:rPr>
                <w:rFonts w:hint="eastAsia"/>
              </w:rPr>
              <w:t>2481.81</w:t>
            </w:r>
          </w:p>
        </w:tc>
        <w:tc>
          <w:tcPr>
            <w:tcW w:w="834" w:type="pct"/>
            <w:vAlign w:val="center"/>
          </w:tcPr>
          <w:p w14:paraId="3A52892B">
            <w:pPr>
              <w:pStyle w:val="12"/>
              <w:jc w:val="center"/>
            </w:pPr>
            <w:r>
              <w:rPr>
                <w:rFonts w:hint="eastAsia"/>
              </w:rPr>
              <w:t>73%</w:t>
            </w:r>
          </w:p>
        </w:tc>
        <w:tc>
          <w:tcPr>
            <w:tcW w:w="834" w:type="pct"/>
            <w:vAlign w:val="center"/>
          </w:tcPr>
          <w:p w14:paraId="562E200E">
            <w:pPr>
              <w:pStyle w:val="12"/>
              <w:jc w:val="center"/>
            </w:pPr>
            <w:r>
              <w:rPr>
                <w:rFonts w:hint="eastAsia"/>
              </w:rPr>
              <w:t>937.05</w:t>
            </w:r>
          </w:p>
        </w:tc>
        <w:tc>
          <w:tcPr>
            <w:tcW w:w="834" w:type="pct"/>
            <w:vAlign w:val="center"/>
          </w:tcPr>
          <w:p w14:paraId="0C77E9A4">
            <w:pPr>
              <w:pStyle w:val="12"/>
              <w:jc w:val="center"/>
            </w:pPr>
            <w:r>
              <w:rPr>
                <w:rFonts w:hint="eastAsia"/>
              </w:rPr>
              <w:t>27%</w:t>
            </w:r>
          </w:p>
        </w:tc>
      </w:tr>
      <w:tr w14:paraId="680A1D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7451AAC9">
            <w:pPr>
              <w:pStyle w:val="12"/>
              <w:jc w:val="center"/>
            </w:pPr>
            <w:r>
              <w:rPr>
                <w:rFonts w:hint="eastAsia"/>
              </w:rPr>
              <w:t>2000年</w:t>
            </w:r>
          </w:p>
        </w:tc>
        <w:tc>
          <w:tcPr>
            <w:tcW w:w="833" w:type="pct"/>
            <w:vAlign w:val="center"/>
          </w:tcPr>
          <w:p w14:paraId="63987DC8">
            <w:pPr>
              <w:pStyle w:val="12"/>
              <w:jc w:val="center"/>
            </w:pPr>
            <w:r>
              <w:rPr>
                <w:rFonts w:hint="eastAsia"/>
              </w:rPr>
              <w:t>3527</w:t>
            </w:r>
          </w:p>
        </w:tc>
        <w:tc>
          <w:tcPr>
            <w:tcW w:w="834" w:type="pct"/>
            <w:vAlign w:val="center"/>
          </w:tcPr>
          <w:p w14:paraId="1FDD186C">
            <w:pPr>
              <w:pStyle w:val="12"/>
              <w:jc w:val="center"/>
            </w:pPr>
            <w:r>
              <w:rPr>
                <w:rFonts w:hint="eastAsia"/>
              </w:rPr>
              <w:t>1820</w:t>
            </w:r>
          </w:p>
        </w:tc>
        <w:tc>
          <w:tcPr>
            <w:tcW w:w="834" w:type="pct"/>
            <w:vAlign w:val="center"/>
          </w:tcPr>
          <w:p w14:paraId="47D3E725">
            <w:pPr>
              <w:pStyle w:val="12"/>
              <w:jc w:val="center"/>
            </w:pPr>
            <w:r>
              <w:rPr>
                <w:rFonts w:hint="eastAsia"/>
              </w:rPr>
              <w:t>51.6%</w:t>
            </w:r>
          </w:p>
        </w:tc>
        <w:tc>
          <w:tcPr>
            <w:tcW w:w="834" w:type="pct"/>
            <w:vAlign w:val="center"/>
          </w:tcPr>
          <w:p w14:paraId="38509DD3">
            <w:pPr>
              <w:pStyle w:val="12"/>
              <w:jc w:val="center"/>
            </w:pPr>
            <w:r>
              <w:rPr>
                <w:rFonts w:hint="eastAsia"/>
              </w:rPr>
              <w:t>1707</w:t>
            </w:r>
          </w:p>
        </w:tc>
        <w:tc>
          <w:tcPr>
            <w:tcW w:w="834" w:type="pct"/>
            <w:vAlign w:val="center"/>
          </w:tcPr>
          <w:p w14:paraId="08099D89">
            <w:pPr>
              <w:pStyle w:val="12"/>
              <w:jc w:val="center"/>
            </w:pPr>
            <w:r>
              <w:rPr>
                <w:rFonts w:hint="eastAsia"/>
              </w:rPr>
              <w:t>48.4%</w:t>
            </w:r>
          </w:p>
        </w:tc>
      </w:tr>
      <w:tr w14:paraId="183ACF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3E2B4C38">
            <w:pPr>
              <w:pStyle w:val="12"/>
              <w:jc w:val="center"/>
            </w:pPr>
            <w:r>
              <w:rPr>
                <w:rFonts w:hint="eastAsia"/>
              </w:rPr>
              <w:t>2001年</w:t>
            </w:r>
          </w:p>
        </w:tc>
        <w:tc>
          <w:tcPr>
            <w:tcW w:w="833" w:type="pct"/>
            <w:vAlign w:val="center"/>
          </w:tcPr>
          <w:p w14:paraId="7CB031A2">
            <w:pPr>
              <w:pStyle w:val="12"/>
              <w:jc w:val="center"/>
            </w:pPr>
            <w:r>
              <w:rPr>
                <w:rFonts w:hint="eastAsia"/>
              </w:rPr>
              <w:t>3475</w:t>
            </w:r>
          </w:p>
        </w:tc>
        <w:tc>
          <w:tcPr>
            <w:tcW w:w="834" w:type="pct"/>
            <w:vAlign w:val="center"/>
          </w:tcPr>
          <w:p w14:paraId="15397197">
            <w:pPr>
              <w:pStyle w:val="12"/>
              <w:jc w:val="center"/>
            </w:pPr>
            <w:r>
              <w:rPr>
                <w:rFonts w:hint="eastAsia"/>
              </w:rPr>
              <w:t>1760</w:t>
            </w:r>
          </w:p>
        </w:tc>
        <w:tc>
          <w:tcPr>
            <w:tcW w:w="834" w:type="pct"/>
            <w:vAlign w:val="center"/>
          </w:tcPr>
          <w:p w14:paraId="5E814AAC">
            <w:pPr>
              <w:pStyle w:val="12"/>
              <w:jc w:val="center"/>
            </w:pPr>
            <w:r>
              <w:rPr>
                <w:rFonts w:hint="eastAsia"/>
              </w:rPr>
              <w:t>50.65%</w:t>
            </w:r>
          </w:p>
        </w:tc>
        <w:tc>
          <w:tcPr>
            <w:tcW w:w="834" w:type="pct"/>
            <w:vAlign w:val="center"/>
          </w:tcPr>
          <w:p w14:paraId="1417311C">
            <w:pPr>
              <w:pStyle w:val="12"/>
              <w:jc w:val="center"/>
            </w:pPr>
            <w:r>
              <w:rPr>
                <w:rFonts w:hint="eastAsia"/>
              </w:rPr>
              <w:t>1715</w:t>
            </w:r>
          </w:p>
        </w:tc>
        <w:tc>
          <w:tcPr>
            <w:tcW w:w="834" w:type="pct"/>
            <w:vAlign w:val="center"/>
          </w:tcPr>
          <w:p w14:paraId="462F6566">
            <w:pPr>
              <w:pStyle w:val="12"/>
              <w:jc w:val="center"/>
            </w:pPr>
            <w:r>
              <w:rPr>
                <w:rFonts w:hint="eastAsia"/>
              </w:rPr>
              <w:t>49.35%</w:t>
            </w:r>
          </w:p>
        </w:tc>
      </w:tr>
      <w:tr w14:paraId="79CAB1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3E406242">
            <w:pPr>
              <w:pStyle w:val="12"/>
              <w:jc w:val="center"/>
            </w:pPr>
            <w:r>
              <w:rPr>
                <w:rFonts w:hint="eastAsia"/>
              </w:rPr>
              <w:t>2002年</w:t>
            </w:r>
          </w:p>
        </w:tc>
        <w:tc>
          <w:tcPr>
            <w:tcW w:w="833" w:type="pct"/>
            <w:vAlign w:val="center"/>
          </w:tcPr>
          <w:p w14:paraId="6847EB78">
            <w:pPr>
              <w:pStyle w:val="12"/>
              <w:jc w:val="center"/>
            </w:pPr>
            <w:r>
              <w:rPr>
                <w:rFonts w:hint="eastAsia"/>
              </w:rPr>
              <w:t>3612</w:t>
            </w:r>
          </w:p>
        </w:tc>
        <w:tc>
          <w:tcPr>
            <w:tcW w:w="834" w:type="pct"/>
            <w:vAlign w:val="center"/>
          </w:tcPr>
          <w:p w14:paraId="77FEF917">
            <w:pPr>
              <w:pStyle w:val="12"/>
              <w:jc w:val="center"/>
            </w:pPr>
            <w:r>
              <w:rPr>
                <w:rFonts w:hint="eastAsia"/>
              </w:rPr>
              <w:t>1917</w:t>
            </w:r>
          </w:p>
        </w:tc>
        <w:tc>
          <w:tcPr>
            <w:tcW w:w="834" w:type="pct"/>
            <w:vAlign w:val="center"/>
          </w:tcPr>
          <w:p w14:paraId="1B83B066">
            <w:pPr>
              <w:pStyle w:val="12"/>
              <w:jc w:val="center"/>
            </w:pPr>
            <w:r>
              <w:rPr>
                <w:rFonts w:hint="eastAsia"/>
              </w:rPr>
              <w:t>53.01%</w:t>
            </w:r>
          </w:p>
        </w:tc>
        <w:tc>
          <w:tcPr>
            <w:tcW w:w="834" w:type="pct"/>
            <w:vAlign w:val="center"/>
          </w:tcPr>
          <w:p w14:paraId="143C40A5">
            <w:pPr>
              <w:pStyle w:val="12"/>
              <w:jc w:val="center"/>
            </w:pPr>
            <w:r>
              <w:rPr>
                <w:rFonts w:hint="eastAsia"/>
              </w:rPr>
              <w:t>1695</w:t>
            </w:r>
          </w:p>
        </w:tc>
        <w:tc>
          <w:tcPr>
            <w:tcW w:w="834" w:type="pct"/>
            <w:vAlign w:val="center"/>
          </w:tcPr>
          <w:p w14:paraId="5987F49A">
            <w:pPr>
              <w:pStyle w:val="12"/>
              <w:jc w:val="center"/>
            </w:pPr>
            <w:r>
              <w:rPr>
                <w:rFonts w:hint="eastAsia"/>
              </w:rPr>
              <w:t>46.93%</w:t>
            </w:r>
          </w:p>
        </w:tc>
      </w:tr>
      <w:tr w14:paraId="1AFBFC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24CD391C">
            <w:pPr>
              <w:pStyle w:val="12"/>
              <w:jc w:val="center"/>
            </w:pPr>
            <w:r>
              <w:rPr>
                <w:rFonts w:hint="eastAsia"/>
              </w:rPr>
              <w:t>2003年</w:t>
            </w:r>
          </w:p>
        </w:tc>
        <w:tc>
          <w:tcPr>
            <w:tcW w:w="833" w:type="pct"/>
            <w:vAlign w:val="center"/>
          </w:tcPr>
          <w:p w14:paraId="62F91D9A">
            <w:pPr>
              <w:pStyle w:val="12"/>
              <w:jc w:val="center"/>
            </w:pPr>
            <w:r>
              <w:rPr>
                <w:rFonts w:hint="eastAsia"/>
              </w:rPr>
              <w:t>3808</w:t>
            </w:r>
          </w:p>
        </w:tc>
        <w:tc>
          <w:tcPr>
            <w:tcW w:w="834" w:type="pct"/>
            <w:vAlign w:val="center"/>
          </w:tcPr>
          <w:p w14:paraId="11D3D026">
            <w:pPr>
              <w:pStyle w:val="12"/>
              <w:jc w:val="center"/>
            </w:pPr>
            <w:r>
              <w:rPr>
                <w:rFonts w:hint="eastAsia"/>
              </w:rPr>
              <w:t>2020</w:t>
            </w:r>
          </w:p>
        </w:tc>
        <w:tc>
          <w:tcPr>
            <w:tcW w:w="834" w:type="pct"/>
            <w:vAlign w:val="center"/>
          </w:tcPr>
          <w:p w14:paraId="393FFE94">
            <w:pPr>
              <w:pStyle w:val="12"/>
              <w:jc w:val="center"/>
            </w:pPr>
            <w:r>
              <w:rPr>
                <w:rFonts w:hint="eastAsia"/>
              </w:rPr>
              <w:t>53.05%</w:t>
            </w:r>
          </w:p>
        </w:tc>
        <w:tc>
          <w:tcPr>
            <w:tcW w:w="834" w:type="pct"/>
            <w:vAlign w:val="center"/>
          </w:tcPr>
          <w:p w14:paraId="6FD348B5">
            <w:pPr>
              <w:pStyle w:val="12"/>
              <w:jc w:val="center"/>
            </w:pPr>
            <w:r>
              <w:rPr>
                <w:rFonts w:hint="eastAsia"/>
              </w:rPr>
              <w:t>1788</w:t>
            </w:r>
          </w:p>
        </w:tc>
        <w:tc>
          <w:tcPr>
            <w:tcW w:w="834" w:type="pct"/>
            <w:vAlign w:val="center"/>
          </w:tcPr>
          <w:p w14:paraId="232E5B99">
            <w:pPr>
              <w:pStyle w:val="12"/>
              <w:jc w:val="center"/>
            </w:pPr>
            <w:r>
              <w:rPr>
                <w:rFonts w:hint="eastAsia"/>
              </w:rPr>
              <w:t>46.95%</w:t>
            </w:r>
          </w:p>
        </w:tc>
      </w:tr>
      <w:tr w14:paraId="0AC6EF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0A9CB73C">
            <w:pPr>
              <w:pStyle w:val="12"/>
              <w:jc w:val="center"/>
            </w:pPr>
            <w:r>
              <w:rPr>
                <w:rFonts w:hint="eastAsia"/>
              </w:rPr>
              <w:t>2004年</w:t>
            </w:r>
          </w:p>
        </w:tc>
        <w:tc>
          <w:tcPr>
            <w:tcW w:w="833" w:type="pct"/>
            <w:vAlign w:val="center"/>
          </w:tcPr>
          <w:p w14:paraId="1A164FA1">
            <w:pPr>
              <w:pStyle w:val="12"/>
              <w:jc w:val="center"/>
            </w:pPr>
            <w:r>
              <w:rPr>
                <w:rFonts w:hint="eastAsia"/>
              </w:rPr>
              <w:t>4680</w:t>
            </w:r>
          </w:p>
        </w:tc>
        <w:tc>
          <w:tcPr>
            <w:tcW w:w="834" w:type="pct"/>
            <w:vAlign w:val="center"/>
          </w:tcPr>
          <w:p w14:paraId="55AF12AF">
            <w:pPr>
              <w:pStyle w:val="12"/>
              <w:jc w:val="center"/>
            </w:pPr>
            <w:r>
              <w:rPr>
                <w:rFonts w:hint="eastAsia"/>
              </w:rPr>
              <w:t>2691</w:t>
            </w:r>
          </w:p>
        </w:tc>
        <w:tc>
          <w:tcPr>
            <w:tcW w:w="834" w:type="pct"/>
            <w:vAlign w:val="center"/>
          </w:tcPr>
          <w:p w14:paraId="04EF9B0A">
            <w:pPr>
              <w:pStyle w:val="12"/>
              <w:jc w:val="center"/>
            </w:pPr>
            <w:r>
              <w:rPr>
                <w:rFonts w:hint="eastAsia"/>
              </w:rPr>
              <w:t>57.5%</w:t>
            </w:r>
          </w:p>
        </w:tc>
        <w:tc>
          <w:tcPr>
            <w:tcW w:w="834" w:type="pct"/>
            <w:vAlign w:val="center"/>
          </w:tcPr>
          <w:p w14:paraId="52B38302">
            <w:pPr>
              <w:pStyle w:val="12"/>
              <w:jc w:val="center"/>
            </w:pPr>
            <w:r>
              <w:rPr>
                <w:rFonts w:hint="eastAsia"/>
              </w:rPr>
              <w:t>1989</w:t>
            </w:r>
          </w:p>
        </w:tc>
        <w:tc>
          <w:tcPr>
            <w:tcW w:w="834" w:type="pct"/>
            <w:vAlign w:val="center"/>
          </w:tcPr>
          <w:p w14:paraId="27AD451C">
            <w:pPr>
              <w:pStyle w:val="12"/>
              <w:jc w:val="center"/>
            </w:pPr>
            <w:r>
              <w:rPr>
                <w:rFonts w:hint="eastAsia"/>
              </w:rPr>
              <w:t>42.5%</w:t>
            </w:r>
          </w:p>
        </w:tc>
      </w:tr>
    </w:tbl>
    <w:p w14:paraId="434BB994">
      <w:pPr>
        <w:pStyle w:val="5"/>
        <w:rPr>
          <w:rFonts w:ascii="宋体" w:hAnsi="宋体" w:cs="宋体"/>
        </w:rPr>
      </w:pPr>
      <w:r>
        <w:rPr>
          <w:rFonts w:hint="eastAsia" w:ascii="宋体" w:hAnsi="宋体" w:cs="宋体"/>
        </w:rPr>
        <w:t>二、职工收入</w:t>
      </w:r>
    </w:p>
    <w:p w14:paraId="0DB24DC8">
      <w:pPr>
        <w:ind w:firstLine="422"/>
        <w:rPr>
          <w:rFonts w:ascii="宋体" w:hAnsi="宋体" w:cs="宋体"/>
          <w:b/>
          <w:bCs/>
        </w:rPr>
      </w:pPr>
      <w:r>
        <w:rPr>
          <w:rFonts w:hint="eastAsia" w:ascii="宋体" w:hAnsi="宋体" w:cs="宋体"/>
          <w:b/>
          <w:bCs/>
        </w:rPr>
        <w:t>1.全民所有制职工收入</w:t>
      </w:r>
    </w:p>
    <w:p w14:paraId="48CDC55D">
      <w:pPr>
        <w:ind w:firstLine="422"/>
        <w:jc w:val="center"/>
        <w:rPr>
          <w:rFonts w:ascii="宋体" w:hAnsi="宋体" w:cs="宋体"/>
          <w:b/>
          <w:bCs/>
        </w:rPr>
      </w:pPr>
      <w:r>
        <w:rPr>
          <w:rFonts w:hint="eastAsia" w:ascii="宋体" w:hAnsi="宋体" w:cs="宋体"/>
          <w:b/>
          <w:bCs/>
        </w:rPr>
        <w:t>南雄县1950年至1987年主要年份全民所有制职工工资情况</w:t>
      </w:r>
    </w:p>
    <w:p w14:paraId="1344F6BF">
      <w:pPr>
        <w:ind w:firstLine="0" w:firstLineChars="0"/>
        <w:rPr>
          <w:rFonts w:ascii="宋体" w:hAnsi="宋体" w:cs="宋体"/>
          <w:b/>
          <w:bCs/>
        </w:rPr>
      </w:pPr>
      <w:r>
        <w:rPr>
          <w:rFonts w:hint="eastAsia" w:ascii="宋体" w:hAnsi="宋体" w:cs="宋体"/>
          <w:b/>
          <w:bCs/>
        </w:rPr>
        <w:t>表6-21</w:t>
      </w:r>
    </w:p>
    <w:p w14:paraId="07913CD4">
      <w:pPr>
        <w:ind w:firstLine="422"/>
        <w:jc w:val="right"/>
        <w:rPr>
          <w:rFonts w:ascii="宋体" w:hAnsi="宋体" w:cs="宋体"/>
          <w:b/>
          <w:bCs/>
        </w:rPr>
      </w:pPr>
      <w:r>
        <w:rPr>
          <w:rFonts w:hint="eastAsia" w:ascii="宋体" w:hAnsi="宋体" w:cs="宋体"/>
          <w:b/>
          <w:bCs/>
        </w:rPr>
        <w:t>单位：元</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04"/>
        <w:gridCol w:w="904"/>
        <w:gridCol w:w="904"/>
        <w:gridCol w:w="905"/>
        <w:gridCol w:w="905"/>
        <w:gridCol w:w="905"/>
        <w:gridCol w:w="905"/>
        <w:gridCol w:w="905"/>
        <w:gridCol w:w="905"/>
        <w:gridCol w:w="907"/>
        <w:gridCol w:w="913"/>
      </w:tblGrid>
      <w:tr w14:paraId="384A45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Merge w:val="restart"/>
            <w:vAlign w:val="center"/>
          </w:tcPr>
          <w:p w14:paraId="6A36C548">
            <w:pPr>
              <w:pStyle w:val="12"/>
              <w:jc w:val="center"/>
              <w:rPr>
                <w:b/>
              </w:rPr>
            </w:pPr>
            <w:r>
              <w:rPr>
                <w:rFonts w:hint="eastAsia"/>
                <w:b/>
              </w:rPr>
              <w:t>年份</w:t>
            </w:r>
          </w:p>
        </w:tc>
        <w:tc>
          <w:tcPr>
            <w:tcW w:w="454" w:type="pct"/>
            <w:vMerge w:val="restart"/>
            <w:vAlign w:val="center"/>
          </w:tcPr>
          <w:p w14:paraId="0A4AB080">
            <w:pPr>
              <w:pStyle w:val="12"/>
              <w:jc w:val="center"/>
              <w:rPr>
                <w:b/>
              </w:rPr>
            </w:pPr>
            <w:r>
              <w:rPr>
                <w:rFonts w:hint="eastAsia"/>
                <w:b/>
              </w:rPr>
              <w:t>全部职工年人均工资</w:t>
            </w:r>
          </w:p>
        </w:tc>
        <w:tc>
          <w:tcPr>
            <w:tcW w:w="4091" w:type="pct"/>
            <w:gridSpan w:val="9"/>
            <w:vAlign w:val="center"/>
          </w:tcPr>
          <w:p w14:paraId="35497C26">
            <w:pPr>
              <w:pStyle w:val="12"/>
              <w:jc w:val="center"/>
              <w:rPr>
                <w:b/>
              </w:rPr>
            </w:pPr>
            <w:r>
              <w:rPr>
                <w:rFonts w:hint="eastAsia"/>
                <w:b/>
              </w:rPr>
              <w:t>各国民经济行业职工年均工资</w:t>
            </w:r>
          </w:p>
        </w:tc>
      </w:tr>
      <w:tr w14:paraId="398169F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Merge w:val="continue"/>
            <w:vAlign w:val="center"/>
          </w:tcPr>
          <w:p w14:paraId="2845F4A9">
            <w:pPr>
              <w:pStyle w:val="12"/>
              <w:jc w:val="center"/>
              <w:rPr>
                <w:b/>
              </w:rPr>
            </w:pPr>
          </w:p>
        </w:tc>
        <w:tc>
          <w:tcPr>
            <w:tcW w:w="454" w:type="pct"/>
            <w:vMerge w:val="continue"/>
            <w:vAlign w:val="center"/>
          </w:tcPr>
          <w:p w14:paraId="58A883E5">
            <w:pPr>
              <w:pStyle w:val="12"/>
              <w:jc w:val="center"/>
              <w:rPr>
                <w:b/>
              </w:rPr>
            </w:pPr>
          </w:p>
        </w:tc>
        <w:tc>
          <w:tcPr>
            <w:tcW w:w="454" w:type="pct"/>
            <w:vAlign w:val="center"/>
          </w:tcPr>
          <w:p w14:paraId="7C402E13">
            <w:pPr>
              <w:pStyle w:val="12"/>
              <w:jc w:val="center"/>
              <w:rPr>
                <w:b/>
              </w:rPr>
            </w:pPr>
            <w:r>
              <w:rPr>
                <w:rFonts w:hint="eastAsia"/>
                <w:b/>
              </w:rPr>
              <w:t>工业</w:t>
            </w:r>
          </w:p>
        </w:tc>
        <w:tc>
          <w:tcPr>
            <w:tcW w:w="454" w:type="pct"/>
            <w:vAlign w:val="center"/>
          </w:tcPr>
          <w:p w14:paraId="54EEB116">
            <w:pPr>
              <w:pStyle w:val="12"/>
              <w:jc w:val="center"/>
              <w:rPr>
                <w:b/>
              </w:rPr>
            </w:pPr>
            <w:r>
              <w:rPr>
                <w:rFonts w:hint="eastAsia"/>
                <w:b/>
              </w:rPr>
              <w:t>基本建设</w:t>
            </w:r>
          </w:p>
        </w:tc>
        <w:tc>
          <w:tcPr>
            <w:tcW w:w="454" w:type="pct"/>
            <w:vAlign w:val="center"/>
          </w:tcPr>
          <w:p w14:paraId="2328C654">
            <w:pPr>
              <w:pStyle w:val="12"/>
              <w:jc w:val="center"/>
              <w:rPr>
                <w:b/>
              </w:rPr>
            </w:pPr>
            <w:r>
              <w:rPr>
                <w:rFonts w:hint="eastAsia"/>
                <w:b/>
              </w:rPr>
              <w:t>农林水利</w:t>
            </w:r>
          </w:p>
        </w:tc>
        <w:tc>
          <w:tcPr>
            <w:tcW w:w="454" w:type="pct"/>
            <w:vAlign w:val="center"/>
          </w:tcPr>
          <w:p w14:paraId="44CA760C">
            <w:pPr>
              <w:pStyle w:val="12"/>
              <w:jc w:val="center"/>
              <w:rPr>
                <w:b/>
              </w:rPr>
            </w:pPr>
            <w:r>
              <w:rPr>
                <w:rFonts w:hint="eastAsia"/>
                <w:b/>
              </w:rPr>
              <w:t>运输邮电</w:t>
            </w:r>
          </w:p>
        </w:tc>
        <w:tc>
          <w:tcPr>
            <w:tcW w:w="454" w:type="pct"/>
            <w:vAlign w:val="center"/>
          </w:tcPr>
          <w:p w14:paraId="50A2142B">
            <w:pPr>
              <w:pStyle w:val="12"/>
              <w:jc w:val="center"/>
              <w:rPr>
                <w:b/>
              </w:rPr>
            </w:pPr>
            <w:r>
              <w:rPr>
                <w:rFonts w:hint="eastAsia"/>
                <w:b/>
              </w:rPr>
              <w:t>商业、饮食、服务、物资</w:t>
            </w:r>
          </w:p>
        </w:tc>
        <w:tc>
          <w:tcPr>
            <w:tcW w:w="454" w:type="pct"/>
            <w:vAlign w:val="center"/>
          </w:tcPr>
          <w:p w14:paraId="245B1339">
            <w:pPr>
              <w:pStyle w:val="12"/>
              <w:jc w:val="center"/>
              <w:rPr>
                <w:b/>
              </w:rPr>
            </w:pPr>
            <w:r>
              <w:rPr>
                <w:rFonts w:hint="eastAsia"/>
                <w:b/>
              </w:rPr>
              <w:t>城市公用事业</w:t>
            </w:r>
          </w:p>
        </w:tc>
        <w:tc>
          <w:tcPr>
            <w:tcW w:w="454" w:type="pct"/>
            <w:vAlign w:val="center"/>
          </w:tcPr>
          <w:p w14:paraId="14502F9A">
            <w:pPr>
              <w:pStyle w:val="12"/>
              <w:jc w:val="center"/>
              <w:rPr>
                <w:b/>
              </w:rPr>
            </w:pPr>
            <w:r>
              <w:rPr>
                <w:rFonts w:hint="eastAsia"/>
                <w:b/>
              </w:rPr>
              <w:t>科学、文化、教育、卫生、体育、广播</w:t>
            </w:r>
          </w:p>
        </w:tc>
        <w:tc>
          <w:tcPr>
            <w:tcW w:w="455" w:type="pct"/>
            <w:vAlign w:val="center"/>
          </w:tcPr>
          <w:p w14:paraId="554431BE">
            <w:pPr>
              <w:pStyle w:val="12"/>
              <w:jc w:val="center"/>
              <w:rPr>
                <w:b/>
              </w:rPr>
            </w:pPr>
            <w:r>
              <w:rPr>
                <w:rFonts w:hint="eastAsia"/>
                <w:b/>
              </w:rPr>
              <w:t>金融保险</w:t>
            </w:r>
          </w:p>
        </w:tc>
        <w:tc>
          <w:tcPr>
            <w:tcW w:w="455" w:type="pct"/>
            <w:vAlign w:val="center"/>
          </w:tcPr>
          <w:p w14:paraId="232A7AE7">
            <w:pPr>
              <w:pStyle w:val="12"/>
              <w:jc w:val="center"/>
              <w:rPr>
                <w:b/>
              </w:rPr>
            </w:pPr>
            <w:r>
              <w:rPr>
                <w:rFonts w:hint="eastAsia"/>
                <w:b/>
              </w:rPr>
              <w:t>国家机关人民团体</w:t>
            </w:r>
          </w:p>
        </w:tc>
      </w:tr>
      <w:tr w14:paraId="675759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14:paraId="7F5EF1EA">
            <w:pPr>
              <w:pStyle w:val="12"/>
              <w:jc w:val="center"/>
            </w:pPr>
            <w:r>
              <w:t>1950</w:t>
            </w:r>
          </w:p>
        </w:tc>
        <w:tc>
          <w:tcPr>
            <w:tcW w:w="454" w:type="pct"/>
            <w:vAlign w:val="center"/>
          </w:tcPr>
          <w:p w14:paraId="3A000F80">
            <w:pPr>
              <w:pStyle w:val="12"/>
              <w:jc w:val="center"/>
            </w:pPr>
            <w:r>
              <w:t>221</w:t>
            </w:r>
          </w:p>
        </w:tc>
        <w:tc>
          <w:tcPr>
            <w:tcW w:w="454" w:type="pct"/>
            <w:vAlign w:val="center"/>
          </w:tcPr>
          <w:p w14:paraId="76B08B48">
            <w:pPr>
              <w:pStyle w:val="12"/>
              <w:jc w:val="center"/>
            </w:pPr>
            <w:r>
              <w:t>311</w:t>
            </w:r>
          </w:p>
        </w:tc>
        <w:tc>
          <w:tcPr>
            <w:tcW w:w="454" w:type="pct"/>
            <w:vAlign w:val="center"/>
          </w:tcPr>
          <w:p w14:paraId="41027CE8">
            <w:pPr>
              <w:pStyle w:val="12"/>
              <w:jc w:val="center"/>
            </w:pPr>
            <w:r>
              <w:t>—</w:t>
            </w:r>
          </w:p>
        </w:tc>
        <w:tc>
          <w:tcPr>
            <w:tcW w:w="454" w:type="pct"/>
            <w:vAlign w:val="center"/>
          </w:tcPr>
          <w:p w14:paraId="3C80CCFA">
            <w:pPr>
              <w:pStyle w:val="12"/>
              <w:jc w:val="center"/>
            </w:pPr>
            <w:r>
              <w:t>168</w:t>
            </w:r>
          </w:p>
        </w:tc>
        <w:tc>
          <w:tcPr>
            <w:tcW w:w="454" w:type="pct"/>
            <w:vAlign w:val="center"/>
          </w:tcPr>
          <w:p w14:paraId="7673E7DB">
            <w:pPr>
              <w:pStyle w:val="12"/>
              <w:jc w:val="center"/>
            </w:pPr>
            <w:r>
              <w:t>454</w:t>
            </w:r>
          </w:p>
        </w:tc>
        <w:tc>
          <w:tcPr>
            <w:tcW w:w="454" w:type="pct"/>
            <w:vAlign w:val="center"/>
          </w:tcPr>
          <w:p w14:paraId="33B60FDF">
            <w:pPr>
              <w:pStyle w:val="12"/>
              <w:jc w:val="center"/>
            </w:pPr>
            <w:r>
              <w:t>168</w:t>
            </w:r>
          </w:p>
        </w:tc>
        <w:tc>
          <w:tcPr>
            <w:tcW w:w="454" w:type="pct"/>
            <w:vAlign w:val="center"/>
          </w:tcPr>
          <w:p w14:paraId="1B67DB88">
            <w:pPr>
              <w:pStyle w:val="12"/>
              <w:jc w:val="center"/>
            </w:pPr>
            <w:r>
              <w:t>—</w:t>
            </w:r>
          </w:p>
        </w:tc>
        <w:tc>
          <w:tcPr>
            <w:tcW w:w="454" w:type="pct"/>
            <w:vAlign w:val="center"/>
          </w:tcPr>
          <w:p w14:paraId="7CA07519">
            <w:pPr>
              <w:pStyle w:val="12"/>
              <w:jc w:val="center"/>
            </w:pPr>
            <w:r>
              <w:t>216</w:t>
            </w:r>
          </w:p>
        </w:tc>
        <w:tc>
          <w:tcPr>
            <w:tcW w:w="455" w:type="pct"/>
            <w:vAlign w:val="center"/>
          </w:tcPr>
          <w:p w14:paraId="475F2CB9">
            <w:pPr>
              <w:pStyle w:val="12"/>
              <w:jc w:val="center"/>
            </w:pPr>
            <w:r>
              <w:t>468</w:t>
            </w:r>
          </w:p>
        </w:tc>
        <w:tc>
          <w:tcPr>
            <w:tcW w:w="455" w:type="pct"/>
            <w:vAlign w:val="center"/>
          </w:tcPr>
          <w:p w14:paraId="13A60CCE">
            <w:pPr>
              <w:pStyle w:val="12"/>
              <w:jc w:val="center"/>
            </w:pPr>
            <w:r>
              <w:t>180</w:t>
            </w:r>
          </w:p>
        </w:tc>
      </w:tr>
      <w:tr w14:paraId="2CA819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14:paraId="141A3AE5">
            <w:pPr>
              <w:pStyle w:val="12"/>
              <w:jc w:val="center"/>
            </w:pPr>
            <w:r>
              <w:t>1952</w:t>
            </w:r>
          </w:p>
        </w:tc>
        <w:tc>
          <w:tcPr>
            <w:tcW w:w="454" w:type="pct"/>
            <w:vAlign w:val="center"/>
          </w:tcPr>
          <w:p w14:paraId="6327A341">
            <w:pPr>
              <w:pStyle w:val="12"/>
              <w:jc w:val="center"/>
            </w:pPr>
            <w:r>
              <w:t>306</w:t>
            </w:r>
          </w:p>
        </w:tc>
        <w:tc>
          <w:tcPr>
            <w:tcW w:w="454" w:type="pct"/>
            <w:vAlign w:val="center"/>
          </w:tcPr>
          <w:p w14:paraId="2E7A756E">
            <w:pPr>
              <w:pStyle w:val="12"/>
              <w:jc w:val="center"/>
            </w:pPr>
            <w:r>
              <w:t>423</w:t>
            </w:r>
          </w:p>
        </w:tc>
        <w:tc>
          <w:tcPr>
            <w:tcW w:w="454" w:type="pct"/>
            <w:vAlign w:val="center"/>
          </w:tcPr>
          <w:p w14:paraId="523D0A09">
            <w:pPr>
              <w:pStyle w:val="12"/>
              <w:jc w:val="center"/>
            </w:pPr>
            <w:r>
              <w:t>—</w:t>
            </w:r>
          </w:p>
        </w:tc>
        <w:tc>
          <w:tcPr>
            <w:tcW w:w="454" w:type="pct"/>
            <w:vAlign w:val="center"/>
          </w:tcPr>
          <w:p w14:paraId="6BE396CB">
            <w:pPr>
              <w:pStyle w:val="12"/>
              <w:jc w:val="center"/>
            </w:pPr>
            <w:r>
              <w:t>312</w:t>
            </w:r>
          </w:p>
        </w:tc>
        <w:tc>
          <w:tcPr>
            <w:tcW w:w="454" w:type="pct"/>
            <w:vAlign w:val="center"/>
          </w:tcPr>
          <w:p w14:paraId="4B88D3B6">
            <w:pPr>
              <w:pStyle w:val="12"/>
              <w:jc w:val="center"/>
            </w:pPr>
            <w:r>
              <w:t>463</w:t>
            </w:r>
          </w:p>
        </w:tc>
        <w:tc>
          <w:tcPr>
            <w:tcW w:w="454" w:type="pct"/>
            <w:vAlign w:val="center"/>
          </w:tcPr>
          <w:p w14:paraId="63846F7C">
            <w:pPr>
              <w:pStyle w:val="12"/>
              <w:jc w:val="center"/>
            </w:pPr>
            <w:r>
              <w:t>276</w:t>
            </w:r>
          </w:p>
        </w:tc>
        <w:tc>
          <w:tcPr>
            <w:tcW w:w="454" w:type="pct"/>
            <w:vAlign w:val="center"/>
          </w:tcPr>
          <w:p w14:paraId="30142DEE">
            <w:pPr>
              <w:pStyle w:val="12"/>
              <w:jc w:val="center"/>
            </w:pPr>
            <w:r>
              <w:t>—</w:t>
            </w:r>
          </w:p>
        </w:tc>
        <w:tc>
          <w:tcPr>
            <w:tcW w:w="454" w:type="pct"/>
            <w:vAlign w:val="center"/>
          </w:tcPr>
          <w:p w14:paraId="4E950910">
            <w:pPr>
              <w:pStyle w:val="12"/>
              <w:jc w:val="center"/>
            </w:pPr>
            <w:r>
              <w:t>276</w:t>
            </w:r>
          </w:p>
        </w:tc>
        <w:tc>
          <w:tcPr>
            <w:tcW w:w="455" w:type="pct"/>
            <w:vAlign w:val="center"/>
          </w:tcPr>
          <w:p w14:paraId="15A3E76D">
            <w:pPr>
              <w:pStyle w:val="12"/>
              <w:jc w:val="center"/>
            </w:pPr>
            <w:r>
              <w:t>506</w:t>
            </w:r>
          </w:p>
        </w:tc>
        <w:tc>
          <w:tcPr>
            <w:tcW w:w="455" w:type="pct"/>
            <w:vAlign w:val="center"/>
          </w:tcPr>
          <w:p w14:paraId="1F3282EF">
            <w:pPr>
              <w:pStyle w:val="12"/>
              <w:jc w:val="center"/>
            </w:pPr>
            <w:r>
              <w:t>288</w:t>
            </w:r>
          </w:p>
        </w:tc>
      </w:tr>
      <w:tr w14:paraId="457FD5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14:paraId="7E01F0DB">
            <w:pPr>
              <w:pStyle w:val="12"/>
              <w:jc w:val="center"/>
            </w:pPr>
            <w:r>
              <w:t>1957</w:t>
            </w:r>
          </w:p>
        </w:tc>
        <w:tc>
          <w:tcPr>
            <w:tcW w:w="454" w:type="pct"/>
            <w:vAlign w:val="center"/>
          </w:tcPr>
          <w:p w14:paraId="3911679A">
            <w:pPr>
              <w:pStyle w:val="12"/>
              <w:jc w:val="center"/>
            </w:pPr>
            <w:r>
              <w:t>454</w:t>
            </w:r>
          </w:p>
        </w:tc>
        <w:tc>
          <w:tcPr>
            <w:tcW w:w="454" w:type="pct"/>
            <w:vAlign w:val="center"/>
          </w:tcPr>
          <w:p w14:paraId="5DEF2939">
            <w:pPr>
              <w:pStyle w:val="12"/>
              <w:jc w:val="center"/>
            </w:pPr>
            <w:r>
              <w:t>341</w:t>
            </w:r>
          </w:p>
        </w:tc>
        <w:tc>
          <w:tcPr>
            <w:tcW w:w="454" w:type="pct"/>
            <w:vAlign w:val="center"/>
          </w:tcPr>
          <w:p w14:paraId="1B5DC56C">
            <w:pPr>
              <w:pStyle w:val="12"/>
              <w:jc w:val="center"/>
            </w:pPr>
            <w:r>
              <w:t>402</w:t>
            </w:r>
          </w:p>
        </w:tc>
        <w:tc>
          <w:tcPr>
            <w:tcW w:w="454" w:type="pct"/>
            <w:vAlign w:val="center"/>
          </w:tcPr>
          <w:p w14:paraId="78EBBCAF">
            <w:pPr>
              <w:pStyle w:val="12"/>
              <w:jc w:val="center"/>
            </w:pPr>
            <w:r>
              <w:t>418</w:t>
            </w:r>
          </w:p>
        </w:tc>
        <w:tc>
          <w:tcPr>
            <w:tcW w:w="454" w:type="pct"/>
            <w:vAlign w:val="center"/>
          </w:tcPr>
          <w:p w14:paraId="303F5547">
            <w:pPr>
              <w:pStyle w:val="12"/>
              <w:jc w:val="center"/>
            </w:pPr>
            <w:r>
              <w:t>525</w:t>
            </w:r>
          </w:p>
        </w:tc>
        <w:tc>
          <w:tcPr>
            <w:tcW w:w="454" w:type="pct"/>
            <w:vAlign w:val="center"/>
          </w:tcPr>
          <w:p w14:paraId="17835A7D">
            <w:pPr>
              <w:pStyle w:val="12"/>
              <w:jc w:val="center"/>
            </w:pPr>
            <w:r>
              <w:t>384</w:t>
            </w:r>
          </w:p>
        </w:tc>
        <w:tc>
          <w:tcPr>
            <w:tcW w:w="454" w:type="pct"/>
            <w:vAlign w:val="center"/>
          </w:tcPr>
          <w:p w14:paraId="195BA86F">
            <w:pPr>
              <w:pStyle w:val="12"/>
              <w:jc w:val="center"/>
            </w:pPr>
            <w:r>
              <w:t>—</w:t>
            </w:r>
          </w:p>
        </w:tc>
        <w:tc>
          <w:tcPr>
            <w:tcW w:w="454" w:type="pct"/>
            <w:vAlign w:val="center"/>
          </w:tcPr>
          <w:p w14:paraId="16B625F8">
            <w:pPr>
              <w:pStyle w:val="12"/>
              <w:jc w:val="center"/>
            </w:pPr>
            <w:r>
              <w:t>468</w:t>
            </w:r>
          </w:p>
        </w:tc>
        <w:tc>
          <w:tcPr>
            <w:tcW w:w="455" w:type="pct"/>
            <w:vAlign w:val="center"/>
          </w:tcPr>
          <w:p w14:paraId="4F2FDC0E">
            <w:pPr>
              <w:pStyle w:val="12"/>
              <w:jc w:val="center"/>
            </w:pPr>
            <w:r>
              <w:t>546</w:t>
            </w:r>
          </w:p>
        </w:tc>
        <w:tc>
          <w:tcPr>
            <w:tcW w:w="455" w:type="pct"/>
            <w:vAlign w:val="center"/>
          </w:tcPr>
          <w:p w14:paraId="112A0775">
            <w:pPr>
              <w:pStyle w:val="12"/>
              <w:jc w:val="center"/>
            </w:pPr>
            <w:r>
              <w:t>564</w:t>
            </w:r>
          </w:p>
        </w:tc>
      </w:tr>
      <w:tr w14:paraId="2964AF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14:paraId="0A04E717">
            <w:pPr>
              <w:pStyle w:val="12"/>
              <w:jc w:val="center"/>
            </w:pPr>
            <w:r>
              <w:t>1959</w:t>
            </w:r>
          </w:p>
        </w:tc>
        <w:tc>
          <w:tcPr>
            <w:tcW w:w="454" w:type="pct"/>
            <w:vAlign w:val="center"/>
          </w:tcPr>
          <w:p w14:paraId="40DB9208">
            <w:pPr>
              <w:pStyle w:val="12"/>
              <w:jc w:val="center"/>
            </w:pPr>
            <w:r>
              <w:t>430</w:t>
            </w:r>
          </w:p>
        </w:tc>
        <w:tc>
          <w:tcPr>
            <w:tcW w:w="454" w:type="pct"/>
            <w:vAlign w:val="center"/>
          </w:tcPr>
          <w:p w14:paraId="4F695D06">
            <w:pPr>
              <w:pStyle w:val="12"/>
              <w:jc w:val="center"/>
            </w:pPr>
            <w:r>
              <w:t>511</w:t>
            </w:r>
          </w:p>
        </w:tc>
        <w:tc>
          <w:tcPr>
            <w:tcW w:w="454" w:type="pct"/>
            <w:vAlign w:val="center"/>
          </w:tcPr>
          <w:p w14:paraId="73D9A576">
            <w:pPr>
              <w:pStyle w:val="12"/>
              <w:jc w:val="center"/>
            </w:pPr>
            <w:r>
              <w:t>392</w:t>
            </w:r>
          </w:p>
        </w:tc>
        <w:tc>
          <w:tcPr>
            <w:tcW w:w="454" w:type="pct"/>
            <w:vAlign w:val="center"/>
          </w:tcPr>
          <w:p w14:paraId="16B9F767">
            <w:pPr>
              <w:pStyle w:val="12"/>
              <w:jc w:val="center"/>
            </w:pPr>
            <w:r>
              <w:t>437</w:t>
            </w:r>
          </w:p>
        </w:tc>
        <w:tc>
          <w:tcPr>
            <w:tcW w:w="454" w:type="pct"/>
            <w:vAlign w:val="center"/>
          </w:tcPr>
          <w:p w14:paraId="1AA83BEB">
            <w:pPr>
              <w:pStyle w:val="12"/>
              <w:jc w:val="center"/>
            </w:pPr>
            <w:r>
              <w:t>475</w:t>
            </w:r>
          </w:p>
        </w:tc>
        <w:tc>
          <w:tcPr>
            <w:tcW w:w="454" w:type="pct"/>
            <w:vAlign w:val="center"/>
          </w:tcPr>
          <w:p w14:paraId="4D2017C5">
            <w:pPr>
              <w:pStyle w:val="12"/>
              <w:jc w:val="center"/>
            </w:pPr>
            <w:r>
              <w:t>387</w:t>
            </w:r>
          </w:p>
        </w:tc>
        <w:tc>
          <w:tcPr>
            <w:tcW w:w="454" w:type="pct"/>
            <w:vAlign w:val="center"/>
          </w:tcPr>
          <w:p w14:paraId="5E0908A4">
            <w:pPr>
              <w:pStyle w:val="12"/>
              <w:jc w:val="center"/>
            </w:pPr>
            <w:r>
              <w:t>—</w:t>
            </w:r>
          </w:p>
        </w:tc>
        <w:tc>
          <w:tcPr>
            <w:tcW w:w="454" w:type="pct"/>
            <w:vAlign w:val="center"/>
          </w:tcPr>
          <w:p w14:paraId="35EE5A5F">
            <w:pPr>
              <w:pStyle w:val="12"/>
              <w:jc w:val="center"/>
            </w:pPr>
            <w:r>
              <w:t>333</w:t>
            </w:r>
          </w:p>
        </w:tc>
        <w:tc>
          <w:tcPr>
            <w:tcW w:w="455" w:type="pct"/>
            <w:vAlign w:val="center"/>
          </w:tcPr>
          <w:p w14:paraId="544BE686">
            <w:pPr>
              <w:pStyle w:val="12"/>
              <w:jc w:val="center"/>
            </w:pPr>
            <w:r>
              <w:t>522</w:t>
            </w:r>
          </w:p>
        </w:tc>
        <w:tc>
          <w:tcPr>
            <w:tcW w:w="455" w:type="pct"/>
            <w:vAlign w:val="center"/>
          </w:tcPr>
          <w:p w14:paraId="3BC8D74D">
            <w:pPr>
              <w:pStyle w:val="12"/>
              <w:jc w:val="center"/>
            </w:pPr>
            <w:r>
              <w:t>498</w:t>
            </w:r>
          </w:p>
        </w:tc>
      </w:tr>
      <w:tr w14:paraId="08B8A1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14:paraId="67101C36">
            <w:pPr>
              <w:pStyle w:val="12"/>
              <w:jc w:val="center"/>
            </w:pPr>
            <w:r>
              <w:t>1965</w:t>
            </w:r>
          </w:p>
        </w:tc>
        <w:tc>
          <w:tcPr>
            <w:tcW w:w="454" w:type="pct"/>
            <w:vAlign w:val="center"/>
          </w:tcPr>
          <w:p w14:paraId="44789B93">
            <w:pPr>
              <w:pStyle w:val="12"/>
              <w:jc w:val="center"/>
            </w:pPr>
            <w:r>
              <w:t>496</w:t>
            </w:r>
          </w:p>
        </w:tc>
        <w:tc>
          <w:tcPr>
            <w:tcW w:w="454" w:type="pct"/>
            <w:vAlign w:val="center"/>
          </w:tcPr>
          <w:p w14:paraId="3A4EBFC9">
            <w:pPr>
              <w:pStyle w:val="12"/>
              <w:jc w:val="center"/>
            </w:pPr>
            <w:r>
              <w:t>609</w:t>
            </w:r>
          </w:p>
        </w:tc>
        <w:tc>
          <w:tcPr>
            <w:tcW w:w="454" w:type="pct"/>
            <w:vAlign w:val="center"/>
          </w:tcPr>
          <w:p w14:paraId="1C7493B6">
            <w:pPr>
              <w:pStyle w:val="12"/>
              <w:jc w:val="center"/>
            </w:pPr>
            <w:r>
              <w:t>384</w:t>
            </w:r>
          </w:p>
        </w:tc>
        <w:tc>
          <w:tcPr>
            <w:tcW w:w="454" w:type="pct"/>
            <w:vAlign w:val="center"/>
          </w:tcPr>
          <w:p w14:paraId="7B4D9FD0">
            <w:pPr>
              <w:pStyle w:val="12"/>
              <w:jc w:val="center"/>
            </w:pPr>
            <w:r>
              <w:t>346</w:t>
            </w:r>
          </w:p>
        </w:tc>
        <w:tc>
          <w:tcPr>
            <w:tcW w:w="454" w:type="pct"/>
            <w:vAlign w:val="center"/>
          </w:tcPr>
          <w:p w14:paraId="4E39F93F">
            <w:pPr>
              <w:pStyle w:val="12"/>
              <w:jc w:val="center"/>
            </w:pPr>
            <w:r>
              <w:t>518</w:t>
            </w:r>
          </w:p>
        </w:tc>
        <w:tc>
          <w:tcPr>
            <w:tcW w:w="454" w:type="pct"/>
            <w:vAlign w:val="center"/>
          </w:tcPr>
          <w:p w14:paraId="72016AF9">
            <w:pPr>
              <w:pStyle w:val="12"/>
              <w:jc w:val="center"/>
            </w:pPr>
            <w:r>
              <w:t>444</w:t>
            </w:r>
          </w:p>
        </w:tc>
        <w:tc>
          <w:tcPr>
            <w:tcW w:w="454" w:type="pct"/>
            <w:vAlign w:val="center"/>
          </w:tcPr>
          <w:p w14:paraId="3E288E8A">
            <w:pPr>
              <w:pStyle w:val="12"/>
              <w:jc w:val="center"/>
            </w:pPr>
            <w:r>
              <w:t>—</w:t>
            </w:r>
          </w:p>
        </w:tc>
        <w:tc>
          <w:tcPr>
            <w:tcW w:w="454" w:type="pct"/>
            <w:vAlign w:val="center"/>
          </w:tcPr>
          <w:p w14:paraId="1711F9E2">
            <w:pPr>
              <w:pStyle w:val="12"/>
              <w:jc w:val="center"/>
            </w:pPr>
            <w:r>
              <w:t>470</w:t>
            </w:r>
          </w:p>
        </w:tc>
        <w:tc>
          <w:tcPr>
            <w:tcW w:w="455" w:type="pct"/>
            <w:vAlign w:val="center"/>
          </w:tcPr>
          <w:p w14:paraId="097331B1">
            <w:pPr>
              <w:pStyle w:val="12"/>
              <w:jc w:val="center"/>
            </w:pPr>
            <w:r>
              <w:t>557</w:t>
            </w:r>
          </w:p>
        </w:tc>
        <w:tc>
          <w:tcPr>
            <w:tcW w:w="455" w:type="pct"/>
            <w:vAlign w:val="center"/>
          </w:tcPr>
          <w:p w14:paraId="0929F2E7">
            <w:pPr>
              <w:pStyle w:val="12"/>
              <w:jc w:val="center"/>
            </w:pPr>
            <w:r>
              <w:t>572</w:t>
            </w:r>
          </w:p>
        </w:tc>
      </w:tr>
      <w:tr w14:paraId="536BEB5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14:paraId="3EA6ED50">
            <w:pPr>
              <w:pStyle w:val="12"/>
              <w:jc w:val="center"/>
            </w:pPr>
            <w:r>
              <w:t>1971</w:t>
            </w:r>
          </w:p>
        </w:tc>
        <w:tc>
          <w:tcPr>
            <w:tcW w:w="454" w:type="pct"/>
            <w:vAlign w:val="center"/>
          </w:tcPr>
          <w:p w14:paraId="663FE0DA">
            <w:pPr>
              <w:pStyle w:val="12"/>
              <w:jc w:val="center"/>
            </w:pPr>
            <w:r>
              <w:t>450</w:t>
            </w:r>
          </w:p>
        </w:tc>
        <w:tc>
          <w:tcPr>
            <w:tcW w:w="454" w:type="pct"/>
            <w:vAlign w:val="center"/>
          </w:tcPr>
          <w:p w14:paraId="5031BC6B">
            <w:pPr>
              <w:pStyle w:val="12"/>
              <w:jc w:val="center"/>
            </w:pPr>
            <w:r>
              <w:t>418</w:t>
            </w:r>
          </w:p>
        </w:tc>
        <w:tc>
          <w:tcPr>
            <w:tcW w:w="454" w:type="pct"/>
            <w:vAlign w:val="center"/>
          </w:tcPr>
          <w:p w14:paraId="6888C49C">
            <w:pPr>
              <w:pStyle w:val="12"/>
              <w:jc w:val="center"/>
            </w:pPr>
            <w:r>
              <w:t>301</w:t>
            </w:r>
          </w:p>
        </w:tc>
        <w:tc>
          <w:tcPr>
            <w:tcW w:w="454" w:type="pct"/>
            <w:vAlign w:val="center"/>
          </w:tcPr>
          <w:p w14:paraId="7BEAB44F">
            <w:pPr>
              <w:pStyle w:val="12"/>
              <w:jc w:val="center"/>
            </w:pPr>
            <w:r>
              <w:t>364</w:t>
            </w:r>
          </w:p>
        </w:tc>
        <w:tc>
          <w:tcPr>
            <w:tcW w:w="454" w:type="pct"/>
            <w:vAlign w:val="center"/>
          </w:tcPr>
          <w:p w14:paraId="1AC946D9">
            <w:pPr>
              <w:pStyle w:val="12"/>
              <w:jc w:val="center"/>
            </w:pPr>
            <w:r>
              <w:t>532</w:t>
            </w:r>
          </w:p>
        </w:tc>
        <w:tc>
          <w:tcPr>
            <w:tcW w:w="454" w:type="pct"/>
            <w:vAlign w:val="center"/>
          </w:tcPr>
          <w:p w14:paraId="7CD33F5B">
            <w:pPr>
              <w:pStyle w:val="12"/>
              <w:jc w:val="center"/>
            </w:pPr>
            <w:r>
              <w:t>404</w:t>
            </w:r>
          </w:p>
        </w:tc>
        <w:tc>
          <w:tcPr>
            <w:tcW w:w="454" w:type="pct"/>
            <w:vAlign w:val="center"/>
          </w:tcPr>
          <w:p w14:paraId="0CA01AD7">
            <w:pPr>
              <w:pStyle w:val="12"/>
              <w:jc w:val="center"/>
            </w:pPr>
            <w:r>
              <w:t>643</w:t>
            </w:r>
          </w:p>
        </w:tc>
        <w:tc>
          <w:tcPr>
            <w:tcW w:w="454" w:type="pct"/>
            <w:vAlign w:val="center"/>
          </w:tcPr>
          <w:p w14:paraId="04AC9875">
            <w:pPr>
              <w:pStyle w:val="12"/>
              <w:jc w:val="center"/>
            </w:pPr>
            <w:r>
              <w:t>483</w:t>
            </w:r>
          </w:p>
        </w:tc>
        <w:tc>
          <w:tcPr>
            <w:tcW w:w="455" w:type="pct"/>
            <w:vAlign w:val="center"/>
          </w:tcPr>
          <w:p w14:paraId="03DF085F">
            <w:pPr>
              <w:pStyle w:val="12"/>
              <w:jc w:val="center"/>
            </w:pPr>
            <w:r>
              <w:t>391</w:t>
            </w:r>
          </w:p>
        </w:tc>
        <w:tc>
          <w:tcPr>
            <w:tcW w:w="455" w:type="pct"/>
            <w:vAlign w:val="center"/>
          </w:tcPr>
          <w:p w14:paraId="5032651A">
            <w:pPr>
              <w:pStyle w:val="12"/>
              <w:jc w:val="center"/>
            </w:pPr>
            <w:r>
              <w:t>582</w:t>
            </w:r>
          </w:p>
        </w:tc>
      </w:tr>
      <w:tr w14:paraId="753C14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14:paraId="0D45A454">
            <w:pPr>
              <w:pStyle w:val="12"/>
              <w:jc w:val="center"/>
            </w:pPr>
            <w:r>
              <w:t>1979</w:t>
            </w:r>
          </w:p>
        </w:tc>
        <w:tc>
          <w:tcPr>
            <w:tcW w:w="454" w:type="pct"/>
            <w:vAlign w:val="center"/>
          </w:tcPr>
          <w:p w14:paraId="1034DFBE">
            <w:pPr>
              <w:pStyle w:val="12"/>
              <w:jc w:val="center"/>
            </w:pPr>
            <w:r>
              <w:t>599</w:t>
            </w:r>
          </w:p>
        </w:tc>
        <w:tc>
          <w:tcPr>
            <w:tcW w:w="454" w:type="pct"/>
            <w:vAlign w:val="center"/>
          </w:tcPr>
          <w:p w14:paraId="38DA78B1">
            <w:pPr>
              <w:pStyle w:val="12"/>
              <w:jc w:val="center"/>
            </w:pPr>
            <w:r>
              <w:t>693</w:t>
            </w:r>
          </w:p>
        </w:tc>
        <w:tc>
          <w:tcPr>
            <w:tcW w:w="454" w:type="pct"/>
            <w:vAlign w:val="center"/>
          </w:tcPr>
          <w:p w14:paraId="3262C219">
            <w:pPr>
              <w:pStyle w:val="12"/>
              <w:jc w:val="center"/>
            </w:pPr>
            <w:r>
              <w:t>—</w:t>
            </w:r>
          </w:p>
        </w:tc>
        <w:tc>
          <w:tcPr>
            <w:tcW w:w="454" w:type="pct"/>
            <w:vAlign w:val="center"/>
          </w:tcPr>
          <w:p w14:paraId="5012205C">
            <w:pPr>
              <w:pStyle w:val="12"/>
              <w:jc w:val="center"/>
            </w:pPr>
            <w:r>
              <w:t>562</w:t>
            </w:r>
          </w:p>
        </w:tc>
        <w:tc>
          <w:tcPr>
            <w:tcW w:w="454" w:type="pct"/>
            <w:vAlign w:val="center"/>
          </w:tcPr>
          <w:p w14:paraId="49A4F4EE">
            <w:pPr>
              <w:pStyle w:val="12"/>
              <w:jc w:val="center"/>
            </w:pPr>
            <w:r>
              <w:t>804</w:t>
            </w:r>
          </w:p>
        </w:tc>
        <w:tc>
          <w:tcPr>
            <w:tcW w:w="454" w:type="pct"/>
            <w:vAlign w:val="center"/>
          </w:tcPr>
          <w:p w14:paraId="09643FBB">
            <w:pPr>
              <w:pStyle w:val="12"/>
              <w:jc w:val="center"/>
            </w:pPr>
            <w:r>
              <w:t>651</w:t>
            </w:r>
          </w:p>
        </w:tc>
        <w:tc>
          <w:tcPr>
            <w:tcW w:w="454" w:type="pct"/>
            <w:vAlign w:val="center"/>
          </w:tcPr>
          <w:p w14:paraId="0FCA2979">
            <w:pPr>
              <w:pStyle w:val="12"/>
              <w:jc w:val="center"/>
            </w:pPr>
            <w:r>
              <w:t>556</w:t>
            </w:r>
          </w:p>
        </w:tc>
        <w:tc>
          <w:tcPr>
            <w:tcW w:w="454" w:type="pct"/>
            <w:vAlign w:val="center"/>
          </w:tcPr>
          <w:p w14:paraId="155BA85C">
            <w:pPr>
              <w:pStyle w:val="12"/>
              <w:jc w:val="center"/>
            </w:pPr>
            <w:r>
              <w:t>445</w:t>
            </w:r>
          </w:p>
        </w:tc>
        <w:tc>
          <w:tcPr>
            <w:tcW w:w="455" w:type="pct"/>
            <w:vAlign w:val="center"/>
          </w:tcPr>
          <w:p w14:paraId="44915762">
            <w:pPr>
              <w:pStyle w:val="12"/>
              <w:jc w:val="center"/>
            </w:pPr>
            <w:r>
              <w:t>546</w:t>
            </w:r>
          </w:p>
        </w:tc>
        <w:tc>
          <w:tcPr>
            <w:tcW w:w="455" w:type="pct"/>
            <w:vAlign w:val="center"/>
          </w:tcPr>
          <w:p w14:paraId="4E94B915">
            <w:pPr>
              <w:pStyle w:val="12"/>
              <w:jc w:val="center"/>
            </w:pPr>
            <w:r>
              <w:t>661</w:t>
            </w:r>
          </w:p>
        </w:tc>
      </w:tr>
      <w:tr w14:paraId="3112CD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14:paraId="0C4003A8">
            <w:pPr>
              <w:pStyle w:val="12"/>
              <w:jc w:val="center"/>
            </w:pPr>
            <w:r>
              <w:t>1983</w:t>
            </w:r>
          </w:p>
        </w:tc>
        <w:tc>
          <w:tcPr>
            <w:tcW w:w="454" w:type="pct"/>
            <w:vAlign w:val="center"/>
          </w:tcPr>
          <w:p w14:paraId="356D06A5">
            <w:pPr>
              <w:pStyle w:val="12"/>
              <w:jc w:val="center"/>
            </w:pPr>
            <w:r>
              <w:t>1002</w:t>
            </w:r>
          </w:p>
        </w:tc>
        <w:tc>
          <w:tcPr>
            <w:tcW w:w="454" w:type="pct"/>
            <w:vAlign w:val="center"/>
          </w:tcPr>
          <w:p w14:paraId="221B5DF1">
            <w:pPr>
              <w:pStyle w:val="12"/>
              <w:jc w:val="center"/>
            </w:pPr>
            <w:r>
              <w:t>1097</w:t>
            </w:r>
          </w:p>
        </w:tc>
        <w:tc>
          <w:tcPr>
            <w:tcW w:w="454" w:type="pct"/>
            <w:vAlign w:val="center"/>
          </w:tcPr>
          <w:p w14:paraId="5309C10D">
            <w:pPr>
              <w:pStyle w:val="12"/>
              <w:jc w:val="center"/>
            </w:pPr>
            <w:r>
              <w:t>—</w:t>
            </w:r>
          </w:p>
        </w:tc>
        <w:tc>
          <w:tcPr>
            <w:tcW w:w="454" w:type="pct"/>
            <w:vAlign w:val="center"/>
          </w:tcPr>
          <w:p w14:paraId="5231190C">
            <w:pPr>
              <w:pStyle w:val="12"/>
              <w:jc w:val="center"/>
            </w:pPr>
            <w:r>
              <w:t>1049</w:t>
            </w:r>
          </w:p>
        </w:tc>
        <w:tc>
          <w:tcPr>
            <w:tcW w:w="454" w:type="pct"/>
            <w:vAlign w:val="center"/>
          </w:tcPr>
          <w:p w14:paraId="66273570">
            <w:pPr>
              <w:pStyle w:val="12"/>
              <w:jc w:val="center"/>
            </w:pPr>
            <w:r>
              <w:t>1196</w:t>
            </w:r>
          </w:p>
        </w:tc>
        <w:tc>
          <w:tcPr>
            <w:tcW w:w="454" w:type="pct"/>
            <w:vAlign w:val="center"/>
          </w:tcPr>
          <w:p w14:paraId="6CE60F32">
            <w:pPr>
              <w:pStyle w:val="12"/>
              <w:jc w:val="center"/>
            </w:pPr>
            <w:r>
              <w:t>867</w:t>
            </w:r>
          </w:p>
        </w:tc>
        <w:tc>
          <w:tcPr>
            <w:tcW w:w="454" w:type="pct"/>
            <w:vAlign w:val="center"/>
          </w:tcPr>
          <w:p w14:paraId="174C278E">
            <w:pPr>
              <w:pStyle w:val="12"/>
              <w:jc w:val="center"/>
            </w:pPr>
            <w:r>
              <w:t>818</w:t>
            </w:r>
          </w:p>
        </w:tc>
        <w:tc>
          <w:tcPr>
            <w:tcW w:w="454" w:type="pct"/>
            <w:vAlign w:val="center"/>
          </w:tcPr>
          <w:p w14:paraId="36BA1525">
            <w:pPr>
              <w:pStyle w:val="12"/>
              <w:jc w:val="center"/>
            </w:pPr>
            <w:r>
              <w:t>991</w:t>
            </w:r>
          </w:p>
        </w:tc>
        <w:tc>
          <w:tcPr>
            <w:tcW w:w="455" w:type="pct"/>
            <w:vAlign w:val="center"/>
          </w:tcPr>
          <w:p w14:paraId="6FBBE381">
            <w:pPr>
              <w:pStyle w:val="12"/>
              <w:jc w:val="center"/>
            </w:pPr>
            <w:r>
              <w:t>955</w:t>
            </w:r>
          </w:p>
        </w:tc>
        <w:tc>
          <w:tcPr>
            <w:tcW w:w="455" w:type="pct"/>
            <w:vAlign w:val="center"/>
          </w:tcPr>
          <w:p w14:paraId="6952EDFF">
            <w:pPr>
              <w:pStyle w:val="12"/>
              <w:jc w:val="center"/>
            </w:pPr>
            <w:r>
              <w:t>955</w:t>
            </w:r>
          </w:p>
        </w:tc>
      </w:tr>
      <w:tr w14:paraId="4ACB5E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14:paraId="79D78D8B">
            <w:pPr>
              <w:pStyle w:val="12"/>
              <w:jc w:val="center"/>
            </w:pPr>
            <w:r>
              <w:t>1987</w:t>
            </w:r>
          </w:p>
        </w:tc>
        <w:tc>
          <w:tcPr>
            <w:tcW w:w="454" w:type="pct"/>
            <w:vAlign w:val="center"/>
          </w:tcPr>
          <w:p w14:paraId="3EB3FC62">
            <w:pPr>
              <w:pStyle w:val="12"/>
              <w:jc w:val="center"/>
            </w:pPr>
            <w:r>
              <w:t>1746</w:t>
            </w:r>
          </w:p>
        </w:tc>
        <w:tc>
          <w:tcPr>
            <w:tcW w:w="454" w:type="pct"/>
            <w:vAlign w:val="center"/>
          </w:tcPr>
          <w:p w14:paraId="39DA3928">
            <w:pPr>
              <w:pStyle w:val="12"/>
              <w:jc w:val="center"/>
            </w:pPr>
            <w:r>
              <w:t>1814</w:t>
            </w:r>
          </w:p>
        </w:tc>
        <w:tc>
          <w:tcPr>
            <w:tcW w:w="454" w:type="pct"/>
            <w:vAlign w:val="center"/>
          </w:tcPr>
          <w:p w14:paraId="6BA880B5">
            <w:pPr>
              <w:pStyle w:val="12"/>
              <w:jc w:val="center"/>
            </w:pPr>
            <w:r>
              <w:t>—</w:t>
            </w:r>
          </w:p>
        </w:tc>
        <w:tc>
          <w:tcPr>
            <w:tcW w:w="454" w:type="pct"/>
            <w:vAlign w:val="center"/>
          </w:tcPr>
          <w:p w14:paraId="738D1F38">
            <w:pPr>
              <w:pStyle w:val="12"/>
              <w:jc w:val="center"/>
            </w:pPr>
            <w:r>
              <w:t>1533</w:t>
            </w:r>
          </w:p>
        </w:tc>
        <w:tc>
          <w:tcPr>
            <w:tcW w:w="454" w:type="pct"/>
            <w:vAlign w:val="center"/>
          </w:tcPr>
          <w:p w14:paraId="2CA72278">
            <w:pPr>
              <w:pStyle w:val="12"/>
              <w:jc w:val="center"/>
            </w:pPr>
            <w:r>
              <w:t>1603</w:t>
            </w:r>
          </w:p>
        </w:tc>
        <w:tc>
          <w:tcPr>
            <w:tcW w:w="454" w:type="pct"/>
            <w:vAlign w:val="center"/>
          </w:tcPr>
          <w:p w14:paraId="3672697B">
            <w:pPr>
              <w:pStyle w:val="12"/>
              <w:jc w:val="center"/>
            </w:pPr>
            <w:r>
              <w:t>1476</w:t>
            </w:r>
          </w:p>
        </w:tc>
        <w:tc>
          <w:tcPr>
            <w:tcW w:w="454" w:type="pct"/>
            <w:vAlign w:val="center"/>
          </w:tcPr>
          <w:p w14:paraId="5B97E7D5">
            <w:pPr>
              <w:pStyle w:val="12"/>
              <w:jc w:val="center"/>
            </w:pPr>
            <w:r>
              <w:t>1740</w:t>
            </w:r>
          </w:p>
        </w:tc>
        <w:tc>
          <w:tcPr>
            <w:tcW w:w="454" w:type="pct"/>
            <w:vAlign w:val="center"/>
          </w:tcPr>
          <w:p w14:paraId="26A54EB8">
            <w:pPr>
              <w:pStyle w:val="12"/>
              <w:jc w:val="center"/>
            </w:pPr>
            <w:r>
              <w:t>1856</w:t>
            </w:r>
          </w:p>
        </w:tc>
        <w:tc>
          <w:tcPr>
            <w:tcW w:w="455" w:type="pct"/>
            <w:vAlign w:val="center"/>
          </w:tcPr>
          <w:p w14:paraId="43DE7C87">
            <w:pPr>
              <w:pStyle w:val="12"/>
              <w:jc w:val="center"/>
            </w:pPr>
            <w:r>
              <w:t>1721</w:t>
            </w:r>
          </w:p>
        </w:tc>
        <w:tc>
          <w:tcPr>
            <w:tcW w:w="455" w:type="pct"/>
            <w:vAlign w:val="center"/>
          </w:tcPr>
          <w:p w14:paraId="47B913BE">
            <w:pPr>
              <w:pStyle w:val="12"/>
              <w:jc w:val="center"/>
            </w:pPr>
            <w:r>
              <w:t>1824</w:t>
            </w:r>
          </w:p>
        </w:tc>
      </w:tr>
    </w:tbl>
    <w:p w14:paraId="201C5532">
      <w:pPr>
        <w:ind w:firstLine="422"/>
        <w:jc w:val="center"/>
        <w:rPr>
          <w:rFonts w:ascii="宋体" w:hAnsi="宋体" w:cs="宋体"/>
          <w:b/>
          <w:bCs/>
        </w:rPr>
      </w:pPr>
      <w:r>
        <w:rPr>
          <w:rFonts w:hint="eastAsia" w:ascii="宋体" w:hAnsi="宋体" w:cs="宋体"/>
          <w:b/>
          <w:bCs/>
        </w:rPr>
        <w:t>1988年至2000年南雄市国有经济单位在职职工工资情况</w:t>
      </w:r>
    </w:p>
    <w:p w14:paraId="398B7153">
      <w:pPr>
        <w:ind w:firstLine="0" w:firstLineChars="0"/>
        <w:rPr>
          <w:rFonts w:ascii="宋体" w:hAnsi="宋体" w:cs="宋体"/>
          <w:b/>
          <w:bCs/>
        </w:rPr>
      </w:pPr>
      <w:r>
        <w:rPr>
          <w:rFonts w:hint="eastAsia" w:ascii="宋体" w:hAnsi="宋体" w:cs="宋体"/>
          <w:b/>
          <w:bCs/>
        </w:rPr>
        <w:t>表6-22</w:t>
      </w:r>
    </w:p>
    <w:p w14:paraId="7A00796D">
      <w:pPr>
        <w:ind w:firstLine="422"/>
        <w:jc w:val="right"/>
        <w:rPr>
          <w:rFonts w:ascii="宋体" w:hAnsi="宋体" w:cs="宋体"/>
          <w:b/>
          <w:bCs/>
        </w:rPr>
      </w:pPr>
      <w:r>
        <w:rPr>
          <w:rFonts w:hint="eastAsia" w:ascii="宋体" w:hAnsi="宋体" w:cs="宋体"/>
          <w:b/>
          <w:bCs/>
        </w:rPr>
        <w:t>单位：元</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3"/>
        <w:gridCol w:w="803"/>
        <w:gridCol w:w="747"/>
        <w:gridCol w:w="747"/>
        <w:gridCol w:w="747"/>
        <w:gridCol w:w="747"/>
        <w:gridCol w:w="815"/>
        <w:gridCol w:w="747"/>
        <w:gridCol w:w="747"/>
        <w:gridCol w:w="747"/>
        <w:gridCol w:w="747"/>
        <w:gridCol w:w="815"/>
        <w:gridCol w:w="750"/>
      </w:tblGrid>
      <w:tr w14:paraId="38BA79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3" w:type="pct"/>
            <w:vMerge w:val="restart"/>
            <w:vAlign w:val="center"/>
          </w:tcPr>
          <w:p w14:paraId="78F57E21">
            <w:pPr>
              <w:pStyle w:val="12"/>
              <w:jc w:val="center"/>
              <w:rPr>
                <w:rFonts w:ascii="宋体" w:hAnsi="宋体"/>
                <w:b/>
              </w:rPr>
            </w:pPr>
            <w:r>
              <w:rPr>
                <w:rFonts w:hint="eastAsia" w:ascii="宋体" w:hAnsi="宋体"/>
                <w:b/>
              </w:rPr>
              <w:t>年份</w:t>
            </w:r>
          </w:p>
        </w:tc>
        <w:tc>
          <w:tcPr>
            <w:tcW w:w="403" w:type="pct"/>
            <w:vMerge w:val="restart"/>
            <w:vAlign w:val="center"/>
          </w:tcPr>
          <w:p w14:paraId="06626791">
            <w:pPr>
              <w:pStyle w:val="12"/>
              <w:jc w:val="center"/>
              <w:rPr>
                <w:rFonts w:ascii="宋体" w:hAnsi="宋体"/>
                <w:b/>
              </w:rPr>
            </w:pPr>
            <w:r>
              <w:rPr>
                <w:rFonts w:hint="eastAsia" w:ascii="宋体" w:hAnsi="宋体"/>
                <w:b/>
              </w:rPr>
              <w:t>全部职工年人均工资</w:t>
            </w:r>
          </w:p>
        </w:tc>
        <w:tc>
          <w:tcPr>
            <w:tcW w:w="4195" w:type="pct"/>
            <w:gridSpan w:val="11"/>
            <w:vAlign w:val="center"/>
          </w:tcPr>
          <w:p w14:paraId="5A6782C9">
            <w:pPr>
              <w:pStyle w:val="12"/>
              <w:jc w:val="center"/>
              <w:rPr>
                <w:rFonts w:ascii="宋体" w:hAnsi="宋体"/>
                <w:b/>
              </w:rPr>
            </w:pPr>
            <w:r>
              <w:rPr>
                <w:rFonts w:hint="eastAsia" w:ascii="宋体" w:hAnsi="宋体"/>
                <w:b/>
              </w:rPr>
              <w:t>各国民经济行业职工年平均工资</w:t>
            </w:r>
          </w:p>
        </w:tc>
      </w:tr>
      <w:tr w14:paraId="38BA3B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3" w:type="pct"/>
            <w:vMerge w:val="continue"/>
            <w:vAlign w:val="center"/>
          </w:tcPr>
          <w:p w14:paraId="32AC6474">
            <w:pPr>
              <w:pStyle w:val="12"/>
              <w:jc w:val="center"/>
              <w:rPr>
                <w:rFonts w:ascii="宋体" w:hAnsi="宋体"/>
                <w:b/>
              </w:rPr>
            </w:pPr>
          </w:p>
        </w:tc>
        <w:tc>
          <w:tcPr>
            <w:tcW w:w="403" w:type="pct"/>
            <w:vMerge w:val="continue"/>
            <w:vAlign w:val="center"/>
          </w:tcPr>
          <w:p w14:paraId="0285ABC3">
            <w:pPr>
              <w:pStyle w:val="12"/>
              <w:jc w:val="center"/>
              <w:rPr>
                <w:rFonts w:ascii="宋体" w:hAnsi="宋体"/>
                <w:b/>
              </w:rPr>
            </w:pPr>
          </w:p>
        </w:tc>
        <w:tc>
          <w:tcPr>
            <w:tcW w:w="375" w:type="pct"/>
            <w:vAlign w:val="center"/>
          </w:tcPr>
          <w:p w14:paraId="13964DC2">
            <w:pPr>
              <w:pStyle w:val="12"/>
              <w:jc w:val="center"/>
              <w:rPr>
                <w:rFonts w:ascii="宋体" w:hAnsi="宋体"/>
                <w:b/>
              </w:rPr>
            </w:pPr>
            <w:r>
              <w:rPr>
                <w:rFonts w:hint="eastAsia" w:ascii="宋体" w:hAnsi="宋体"/>
                <w:b/>
              </w:rPr>
              <w:t>农林牧渔水利业</w:t>
            </w:r>
          </w:p>
        </w:tc>
        <w:tc>
          <w:tcPr>
            <w:tcW w:w="375" w:type="pct"/>
            <w:vAlign w:val="center"/>
          </w:tcPr>
          <w:p w14:paraId="521D0092">
            <w:pPr>
              <w:pStyle w:val="12"/>
              <w:jc w:val="center"/>
              <w:rPr>
                <w:rFonts w:ascii="宋体" w:hAnsi="宋体"/>
                <w:b/>
              </w:rPr>
            </w:pPr>
            <w:r>
              <w:rPr>
                <w:rFonts w:hint="eastAsia" w:ascii="宋体" w:hAnsi="宋体"/>
                <w:b/>
              </w:rPr>
              <w:t>工业</w:t>
            </w:r>
          </w:p>
        </w:tc>
        <w:tc>
          <w:tcPr>
            <w:tcW w:w="375" w:type="pct"/>
            <w:vAlign w:val="center"/>
          </w:tcPr>
          <w:p w14:paraId="5145A39A">
            <w:pPr>
              <w:pStyle w:val="12"/>
              <w:jc w:val="center"/>
              <w:rPr>
                <w:rFonts w:ascii="宋体" w:hAnsi="宋体"/>
                <w:b/>
              </w:rPr>
            </w:pPr>
            <w:r>
              <w:rPr>
                <w:rFonts w:hint="eastAsia" w:ascii="宋体" w:hAnsi="宋体"/>
                <w:b/>
              </w:rPr>
              <w:t>建筑业</w:t>
            </w:r>
          </w:p>
        </w:tc>
        <w:tc>
          <w:tcPr>
            <w:tcW w:w="375" w:type="pct"/>
            <w:vAlign w:val="center"/>
          </w:tcPr>
          <w:p w14:paraId="57917449">
            <w:pPr>
              <w:pStyle w:val="12"/>
              <w:jc w:val="center"/>
              <w:rPr>
                <w:rFonts w:ascii="宋体" w:hAnsi="宋体"/>
                <w:b/>
              </w:rPr>
            </w:pPr>
            <w:r>
              <w:rPr>
                <w:rFonts w:hint="eastAsia" w:ascii="宋体" w:hAnsi="宋体"/>
                <w:b/>
              </w:rPr>
              <w:t>交通、邮电、通讯业</w:t>
            </w:r>
          </w:p>
        </w:tc>
        <w:tc>
          <w:tcPr>
            <w:tcW w:w="409" w:type="pct"/>
            <w:vAlign w:val="center"/>
          </w:tcPr>
          <w:p w14:paraId="5FBE4A92">
            <w:pPr>
              <w:pStyle w:val="12"/>
              <w:jc w:val="center"/>
              <w:rPr>
                <w:rFonts w:ascii="宋体" w:hAnsi="宋体"/>
                <w:b/>
              </w:rPr>
            </w:pPr>
            <w:r>
              <w:rPr>
                <w:rFonts w:hint="eastAsia" w:ascii="宋体" w:hAnsi="宋体"/>
                <w:b/>
              </w:rPr>
              <w:t>商业、餐饮、物资、供销业</w:t>
            </w:r>
          </w:p>
        </w:tc>
        <w:tc>
          <w:tcPr>
            <w:tcW w:w="375" w:type="pct"/>
            <w:vAlign w:val="center"/>
          </w:tcPr>
          <w:p w14:paraId="73B58749">
            <w:pPr>
              <w:pStyle w:val="12"/>
              <w:jc w:val="center"/>
              <w:rPr>
                <w:rFonts w:ascii="宋体" w:hAnsi="宋体"/>
                <w:b/>
              </w:rPr>
            </w:pPr>
            <w:r>
              <w:rPr>
                <w:rFonts w:hint="eastAsia" w:ascii="宋体" w:hAnsi="宋体"/>
                <w:b/>
              </w:rPr>
              <w:t>房地产、公用居民服务业</w:t>
            </w:r>
          </w:p>
        </w:tc>
        <w:tc>
          <w:tcPr>
            <w:tcW w:w="375" w:type="pct"/>
            <w:vAlign w:val="center"/>
          </w:tcPr>
          <w:p w14:paraId="7B95CCEC">
            <w:pPr>
              <w:pStyle w:val="12"/>
              <w:jc w:val="center"/>
              <w:rPr>
                <w:rFonts w:ascii="宋体" w:hAnsi="宋体"/>
                <w:b/>
              </w:rPr>
            </w:pPr>
            <w:r>
              <w:rPr>
                <w:rFonts w:hint="eastAsia" w:ascii="宋体" w:hAnsi="宋体"/>
                <w:b/>
              </w:rPr>
              <w:t>卫生、体育、社会服务业</w:t>
            </w:r>
          </w:p>
        </w:tc>
        <w:tc>
          <w:tcPr>
            <w:tcW w:w="375" w:type="pct"/>
            <w:vAlign w:val="center"/>
          </w:tcPr>
          <w:p w14:paraId="4BB0A553">
            <w:pPr>
              <w:pStyle w:val="12"/>
              <w:jc w:val="center"/>
              <w:rPr>
                <w:rFonts w:ascii="宋体" w:hAnsi="宋体"/>
                <w:b/>
              </w:rPr>
            </w:pPr>
            <w:r>
              <w:rPr>
                <w:rFonts w:hint="eastAsia" w:ascii="宋体" w:hAnsi="宋体"/>
                <w:b/>
              </w:rPr>
              <w:t>科研综合技术服务业</w:t>
            </w:r>
          </w:p>
        </w:tc>
        <w:tc>
          <w:tcPr>
            <w:tcW w:w="375" w:type="pct"/>
            <w:vAlign w:val="center"/>
          </w:tcPr>
          <w:p w14:paraId="7CA2228D">
            <w:pPr>
              <w:pStyle w:val="12"/>
              <w:jc w:val="center"/>
              <w:rPr>
                <w:rFonts w:ascii="宋体" w:hAnsi="宋体"/>
                <w:b/>
              </w:rPr>
            </w:pPr>
            <w:r>
              <w:rPr>
                <w:rFonts w:hint="eastAsia" w:ascii="宋体" w:hAnsi="宋体"/>
                <w:b/>
              </w:rPr>
              <w:t>教育、文化、艺术、广播电视业</w:t>
            </w:r>
          </w:p>
        </w:tc>
        <w:tc>
          <w:tcPr>
            <w:tcW w:w="409" w:type="pct"/>
            <w:vAlign w:val="center"/>
          </w:tcPr>
          <w:p w14:paraId="3B982C80">
            <w:pPr>
              <w:pStyle w:val="12"/>
              <w:jc w:val="center"/>
              <w:rPr>
                <w:rFonts w:ascii="宋体" w:hAnsi="宋体"/>
                <w:b/>
              </w:rPr>
            </w:pPr>
            <w:r>
              <w:rPr>
                <w:rFonts w:hint="eastAsia" w:ascii="宋体" w:hAnsi="宋体"/>
                <w:b/>
              </w:rPr>
              <w:t>金融保险业</w:t>
            </w:r>
          </w:p>
        </w:tc>
        <w:tc>
          <w:tcPr>
            <w:tcW w:w="375" w:type="pct"/>
            <w:vAlign w:val="center"/>
          </w:tcPr>
          <w:p w14:paraId="4484CE1E">
            <w:pPr>
              <w:pStyle w:val="12"/>
              <w:jc w:val="center"/>
              <w:rPr>
                <w:rFonts w:ascii="宋体" w:hAnsi="宋体"/>
                <w:b/>
              </w:rPr>
            </w:pPr>
            <w:r>
              <w:rPr>
                <w:rFonts w:hint="eastAsia" w:ascii="宋体" w:hAnsi="宋体"/>
                <w:b/>
              </w:rPr>
              <w:t>国家机关、社会团体</w:t>
            </w:r>
          </w:p>
        </w:tc>
      </w:tr>
      <w:tr w14:paraId="414AF3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3" w:type="pct"/>
            <w:vAlign w:val="center"/>
          </w:tcPr>
          <w:p w14:paraId="208D4707">
            <w:pPr>
              <w:pStyle w:val="12"/>
              <w:jc w:val="center"/>
              <w:rPr>
                <w:rFonts w:ascii="宋体" w:hAnsi="宋体"/>
              </w:rPr>
            </w:pPr>
            <w:r>
              <w:rPr>
                <w:rFonts w:ascii="宋体" w:hAnsi="宋体"/>
              </w:rPr>
              <w:t>1988</w:t>
            </w:r>
          </w:p>
        </w:tc>
        <w:tc>
          <w:tcPr>
            <w:tcW w:w="403" w:type="pct"/>
            <w:vAlign w:val="center"/>
          </w:tcPr>
          <w:p w14:paraId="706D684B">
            <w:pPr>
              <w:pStyle w:val="12"/>
              <w:jc w:val="center"/>
              <w:rPr>
                <w:rFonts w:ascii="宋体" w:hAnsi="宋体"/>
              </w:rPr>
            </w:pPr>
            <w:r>
              <w:rPr>
                <w:rFonts w:ascii="宋体" w:hAnsi="宋体"/>
              </w:rPr>
              <w:t>2078</w:t>
            </w:r>
          </w:p>
        </w:tc>
        <w:tc>
          <w:tcPr>
            <w:tcW w:w="375" w:type="pct"/>
            <w:vAlign w:val="center"/>
          </w:tcPr>
          <w:p w14:paraId="2160E594">
            <w:pPr>
              <w:pStyle w:val="12"/>
              <w:jc w:val="center"/>
              <w:rPr>
                <w:rFonts w:ascii="宋体" w:hAnsi="宋体"/>
              </w:rPr>
            </w:pPr>
            <w:r>
              <w:rPr>
                <w:rFonts w:ascii="宋体" w:hAnsi="宋体"/>
              </w:rPr>
              <w:t>1842</w:t>
            </w:r>
          </w:p>
        </w:tc>
        <w:tc>
          <w:tcPr>
            <w:tcW w:w="375" w:type="pct"/>
            <w:vAlign w:val="center"/>
          </w:tcPr>
          <w:p w14:paraId="47878140">
            <w:pPr>
              <w:pStyle w:val="12"/>
              <w:jc w:val="center"/>
              <w:rPr>
                <w:rFonts w:ascii="宋体" w:hAnsi="宋体"/>
              </w:rPr>
            </w:pPr>
            <w:r>
              <w:rPr>
                <w:rFonts w:ascii="宋体" w:hAnsi="宋体"/>
              </w:rPr>
              <w:t>2098</w:t>
            </w:r>
          </w:p>
        </w:tc>
        <w:tc>
          <w:tcPr>
            <w:tcW w:w="375" w:type="pct"/>
            <w:vAlign w:val="center"/>
          </w:tcPr>
          <w:p w14:paraId="145016D2">
            <w:pPr>
              <w:pStyle w:val="12"/>
              <w:jc w:val="center"/>
              <w:rPr>
                <w:rFonts w:ascii="宋体" w:hAnsi="宋体"/>
              </w:rPr>
            </w:pPr>
            <w:r>
              <w:rPr>
                <w:rFonts w:ascii="宋体" w:hAnsi="宋体"/>
              </w:rPr>
              <w:t>—</w:t>
            </w:r>
          </w:p>
        </w:tc>
        <w:tc>
          <w:tcPr>
            <w:tcW w:w="375" w:type="pct"/>
            <w:vAlign w:val="center"/>
          </w:tcPr>
          <w:p w14:paraId="1904606A">
            <w:pPr>
              <w:pStyle w:val="12"/>
              <w:jc w:val="center"/>
              <w:rPr>
                <w:rFonts w:ascii="宋体" w:hAnsi="宋体"/>
              </w:rPr>
            </w:pPr>
            <w:r>
              <w:rPr>
                <w:rFonts w:ascii="宋体" w:hAnsi="宋体"/>
              </w:rPr>
              <w:t>2021</w:t>
            </w:r>
          </w:p>
        </w:tc>
        <w:tc>
          <w:tcPr>
            <w:tcW w:w="409" w:type="pct"/>
            <w:vAlign w:val="center"/>
          </w:tcPr>
          <w:p w14:paraId="70359EEB">
            <w:pPr>
              <w:pStyle w:val="12"/>
              <w:jc w:val="center"/>
              <w:rPr>
                <w:rFonts w:ascii="宋体" w:hAnsi="宋体"/>
              </w:rPr>
            </w:pPr>
            <w:r>
              <w:rPr>
                <w:rFonts w:ascii="宋体" w:hAnsi="宋体"/>
              </w:rPr>
              <w:t>2146</w:t>
            </w:r>
          </w:p>
        </w:tc>
        <w:tc>
          <w:tcPr>
            <w:tcW w:w="375" w:type="pct"/>
            <w:vAlign w:val="center"/>
          </w:tcPr>
          <w:p w14:paraId="502E3847">
            <w:pPr>
              <w:pStyle w:val="12"/>
              <w:jc w:val="center"/>
              <w:rPr>
                <w:rFonts w:ascii="宋体" w:hAnsi="宋体"/>
              </w:rPr>
            </w:pPr>
            <w:r>
              <w:rPr>
                <w:rFonts w:ascii="宋体" w:hAnsi="宋体"/>
              </w:rPr>
              <w:t>2213</w:t>
            </w:r>
          </w:p>
        </w:tc>
        <w:tc>
          <w:tcPr>
            <w:tcW w:w="375" w:type="pct"/>
            <w:vAlign w:val="center"/>
          </w:tcPr>
          <w:p w14:paraId="6129D3BA">
            <w:pPr>
              <w:pStyle w:val="12"/>
              <w:jc w:val="center"/>
              <w:rPr>
                <w:rFonts w:ascii="宋体" w:hAnsi="宋体"/>
              </w:rPr>
            </w:pPr>
            <w:r>
              <w:rPr>
                <w:rFonts w:ascii="宋体" w:hAnsi="宋体"/>
              </w:rPr>
              <w:t>2511</w:t>
            </w:r>
          </w:p>
        </w:tc>
        <w:tc>
          <w:tcPr>
            <w:tcW w:w="375" w:type="pct"/>
            <w:vAlign w:val="center"/>
          </w:tcPr>
          <w:p w14:paraId="65124FF2">
            <w:pPr>
              <w:pStyle w:val="12"/>
              <w:jc w:val="center"/>
              <w:rPr>
                <w:rFonts w:ascii="宋体" w:hAnsi="宋体"/>
              </w:rPr>
            </w:pPr>
            <w:r>
              <w:rPr>
                <w:rFonts w:ascii="宋体" w:hAnsi="宋体"/>
              </w:rPr>
              <w:t>1965</w:t>
            </w:r>
          </w:p>
        </w:tc>
        <w:tc>
          <w:tcPr>
            <w:tcW w:w="375" w:type="pct"/>
            <w:vAlign w:val="center"/>
          </w:tcPr>
          <w:p w14:paraId="2AA4D609">
            <w:pPr>
              <w:pStyle w:val="12"/>
              <w:jc w:val="center"/>
              <w:rPr>
                <w:rFonts w:ascii="宋体" w:hAnsi="宋体"/>
              </w:rPr>
            </w:pPr>
            <w:r>
              <w:rPr>
                <w:rFonts w:ascii="宋体" w:hAnsi="宋体"/>
              </w:rPr>
              <w:t>1903</w:t>
            </w:r>
          </w:p>
        </w:tc>
        <w:tc>
          <w:tcPr>
            <w:tcW w:w="409" w:type="pct"/>
            <w:vAlign w:val="center"/>
          </w:tcPr>
          <w:p w14:paraId="2C831CA7">
            <w:pPr>
              <w:pStyle w:val="12"/>
              <w:jc w:val="center"/>
              <w:rPr>
                <w:rFonts w:ascii="宋体" w:hAnsi="宋体"/>
              </w:rPr>
            </w:pPr>
            <w:r>
              <w:rPr>
                <w:rFonts w:ascii="宋体" w:hAnsi="宋体"/>
              </w:rPr>
              <w:t>2184</w:t>
            </w:r>
          </w:p>
        </w:tc>
        <w:tc>
          <w:tcPr>
            <w:tcW w:w="375" w:type="pct"/>
            <w:vAlign w:val="center"/>
          </w:tcPr>
          <w:p w14:paraId="07C598AD">
            <w:pPr>
              <w:pStyle w:val="12"/>
              <w:jc w:val="center"/>
              <w:rPr>
                <w:rFonts w:ascii="宋体" w:hAnsi="宋体"/>
              </w:rPr>
            </w:pPr>
            <w:r>
              <w:rPr>
                <w:rFonts w:ascii="宋体" w:hAnsi="宋体"/>
              </w:rPr>
              <w:t>2207</w:t>
            </w:r>
          </w:p>
        </w:tc>
      </w:tr>
      <w:tr w14:paraId="6B3C19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3" w:type="pct"/>
            <w:vAlign w:val="center"/>
          </w:tcPr>
          <w:p w14:paraId="63E161D4">
            <w:pPr>
              <w:pStyle w:val="12"/>
              <w:jc w:val="center"/>
              <w:rPr>
                <w:rFonts w:ascii="宋体" w:hAnsi="宋体"/>
              </w:rPr>
            </w:pPr>
            <w:r>
              <w:rPr>
                <w:rFonts w:ascii="宋体" w:hAnsi="宋体"/>
              </w:rPr>
              <w:t>1993</w:t>
            </w:r>
          </w:p>
        </w:tc>
        <w:tc>
          <w:tcPr>
            <w:tcW w:w="403" w:type="pct"/>
            <w:vAlign w:val="center"/>
          </w:tcPr>
          <w:p w14:paraId="2BBB81B1">
            <w:pPr>
              <w:pStyle w:val="12"/>
              <w:jc w:val="center"/>
              <w:rPr>
                <w:rFonts w:ascii="宋体" w:hAnsi="宋体"/>
              </w:rPr>
            </w:pPr>
            <w:r>
              <w:rPr>
                <w:rFonts w:ascii="宋体" w:hAnsi="宋体"/>
              </w:rPr>
              <w:t>3942</w:t>
            </w:r>
          </w:p>
        </w:tc>
        <w:tc>
          <w:tcPr>
            <w:tcW w:w="375" w:type="pct"/>
            <w:vAlign w:val="center"/>
          </w:tcPr>
          <w:p w14:paraId="78CEEE5A">
            <w:pPr>
              <w:pStyle w:val="12"/>
              <w:jc w:val="center"/>
              <w:rPr>
                <w:rFonts w:ascii="宋体" w:hAnsi="宋体"/>
              </w:rPr>
            </w:pPr>
            <w:r>
              <w:rPr>
                <w:rFonts w:ascii="宋体" w:hAnsi="宋体"/>
              </w:rPr>
              <w:t>4023</w:t>
            </w:r>
          </w:p>
        </w:tc>
        <w:tc>
          <w:tcPr>
            <w:tcW w:w="375" w:type="pct"/>
            <w:vAlign w:val="center"/>
          </w:tcPr>
          <w:p w14:paraId="44EC8BAD">
            <w:pPr>
              <w:pStyle w:val="12"/>
              <w:jc w:val="center"/>
              <w:rPr>
                <w:rFonts w:ascii="宋体" w:hAnsi="宋体"/>
              </w:rPr>
            </w:pPr>
            <w:r>
              <w:rPr>
                <w:rFonts w:ascii="宋体" w:hAnsi="宋体"/>
              </w:rPr>
              <w:t>3934</w:t>
            </w:r>
          </w:p>
        </w:tc>
        <w:tc>
          <w:tcPr>
            <w:tcW w:w="375" w:type="pct"/>
            <w:vAlign w:val="center"/>
          </w:tcPr>
          <w:p w14:paraId="2FC71939">
            <w:pPr>
              <w:pStyle w:val="12"/>
              <w:jc w:val="center"/>
              <w:rPr>
                <w:rFonts w:ascii="宋体" w:hAnsi="宋体"/>
              </w:rPr>
            </w:pPr>
            <w:r>
              <w:rPr>
                <w:rFonts w:ascii="宋体" w:hAnsi="宋体"/>
              </w:rPr>
              <w:t>1538</w:t>
            </w:r>
          </w:p>
        </w:tc>
        <w:tc>
          <w:tcPr>
            <w:tcW w:w="375" w:type="pct"/>
            <w:vAlign w:val="center"/>
          </w:tcPr>
          <w:p w14:paraId="378A493F">
            <w:pPr>
              <w:pStyle w:val="12"/>
              <w:jc w:val="center"/>
              <w:rPr>
                <w:rFonts w:ascii="宋体" w:hAnsi="宋体"/>
              </w:rPr>
            </w:pPr>
            <w:r>
              <w:rPr>
                <w:rFonts w:ascii="宋体" w:hAnsi="宋体"/>
              </w:rPr>
              <w:t>4422</w:t>
            </w:r>
          </w:p>
        </w:tc>
        <w:tc>
          <w:tcPr>
            <w:tcW w:w="409" w:type="pct"/>
            <w:vAlign w:val="center"/>
          </w:tcPr>
          <w:p w14:paraId="5C2292DC">
            <w:pPr>
              <w:pStyle w:val="12"/>
              <w:jc w:val="center"/>
              <w:rPr>
                <w:rFonts w:ascii="宋体" w:hAnsi="宋体"/>
              </w:rPr>
            </w:pPr>
            <w:r>
              <w:rPr>
                <w:rFonts w:ascii="宋体" w:hAnsi="宋体"/>
              </w:rPr>
              <w:t>2741</w:t>
            </w:r>
          </w:p>
        </w:tc>
        <w:tc>
          <w:tcPr>
            <w:tcW w:w="375" w:type="pct"/>
            <w:vAlign w:val="center"/>
          </w:tcPr>
          <w:p w14:paraId="7184701C">
            <w:pPr>
              <w:pStyle w:val="12"/>
              <w:jc w:val="center"/>
              <w:rPr>
                <w:rFonts w:ascii="宋体" w:hAnsi="宋体"/>
              </w:rPr>
            </w:pPr>
            <w:r>
              <w:rPr>
                <w:rFonts w:ascii="宋体" w:hAnsi="宋体"/>
              </w:rPr>
              <w:t>3029</w:t>
            </w:r>
          </w:p>
        </w:tc>
        <w:tc>
          <w:tcPr>
            <w:tcW w:w="375" w:type="pct"/>
            <w:vAlign w:val="center"/>
          </w:tcPr>
          <w:p w14:paraId="43A41AB4">
            <w:pPr>
              <w:pStyle w:val="12"/>
              <w:jc w:val="center"/>
              <w:rPr>
                <w:rFonts w:ascii="宋体" w:hAnsi="宋体"/>
              </w:rPr>
            </w:pPr>
            <w:r>
              <w:rPr>
                <w:rFonts w:ascii="宋体" w:hAnsi="宋体"/>
              </w:rPr>
              <w:t>3828</w:t>
            </w:r>
          </w:p>
        </w:tc>
        <w:tc>
          <w:tcPr>
            <w:tcW w:w="375" w:type="pct"/>
            <w:vAlign w:val="center"/>
          </w:tcPr>
          <w:p w14:paraId="402E2A24">
            <w:pPr>
              <w:pStyle w:val="12"/>
              <w:jc w:val="center"/>
              <w:rPr>
                <w:rFonts w:ascii="宋体" w:hAnsi="宋体"/>
              </w:rPr>
            </w:pPr>
            <w:r>
              <w:rPr>
                <w:rFonts w:ascii="宋体" w:hAnsi="宋体"/>
              </w:rPr>
              <w:t>4251</w:t>
            </w:r>
          </w:p>
        </w:tc>
        <w:tc>
          <w:tcPr>
            <w:tcW w:w="375" w:type="pct"/>
            <w:vAlign w:val="center"/>
          </w:tcPr>
          <w:p w14:paraId="404E8921">
            <w:pPr>
              <w:pStyle w:val="12"/>
              <w:jc w:val="center"/>
              <w:rPr>
                <w:rFonts w:ascii="宋体" w:hAnsi="宋体"/>
              </w:rPr>
            </w:pPr>
            <w:r>
              <w:rPr>
                <w:rFonts w:ascii="宋体" w:hAnsi="宋体"/>
              </w:rPr>
              <w:t>4479</w:t>
            </w:r>
          </w:p>
        </w:tc>
        <w:tc>
          <w:tcPr>
            <w:tcW w:w="409" w:type="pct"/>
            <w:vAlign w:val="center"/>
          </w:tcPr>
          <w:p w14:paraId="7F38C163">
            <w:pPr>
              <w:pStyle w:val="12"/>
              <w:jc w:val="center"/>
              <w:rPr>
                <w:rFonts w:ascii="宋体" w:hAnsi="宋体"/>
              </w:rPr>
            </w:pPr>
            <w:r>
              <w:rPr>
                <w:rFonts w:ascii="宋体" w:hAnsi="宋体"/>
              </w:rPr>
              <w:t>5028</w:t>
            </w:r>
          </w:p>
        </w:tc>
        <w:tc>
          <w:tcPr>
            <w:tcW w:w="375" w:type="pct"/>
            <w:vAlign w:val="center"/>
          </w:tcPr>
          <w:p w14:paraId="1167510E">
            <w:pPr>
              <w:pStyle w:val="12"/>
              <w:jc w:val="center"/>
              <w:rPr>
                <w:rFonts w:ascii="宋体" w:hAnsi="宋体"/>
              </w:rPr>
            </w:pPr>
            <w:r>
              <w:rPr>
                <w:rFonts w:ascii="宋体" w:hAnsi="宋体"/>
              </w:rPr>
              <w:t>4151</w:t>
            </w:r>
          </w:p>
        </w:tc>
      </w:tr>
      <w:tr w14:paraId="37BC4D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3" w:type="pct"/>
            <w:vAlign w:val="center"/>
          </w:tcPr>
          <w:p w14:paraId="55D39718">
            <w:pPr>
              <w:pStyle w:val="12"/>
              <w:jc w:val="center"/>
              <w:rPr>
                <w:rFonts w:ascii="宋体" w:hAnsi="宋体"/>
              </w:rPr>
            </w:pPr>
            <w:r>
              <w:rPr>
                <w:rFonts w:ascii="宋体" w:hAnsi="宋体"/>
              </w:rPr>
              <w:t>1996</w:t>
            </w:r>
          </w:p>
        </w:tc>
        <w:tc>
          <w:tcPr>
            <w:tcW w:w="403" w:type="pct"/>
            <w:vAlign w:val="center"/>
          </w:tcPr>
          <w:p w14:paraId="2CA2A8EA">
            <w:pPr>
              <w:pStyle w:val="12"/>
              <w:jc w:val="center"/>
              <w:rPr>
                <w:rFonts w:ascii="宋体" w:hAnsi="宋体"/>
              </w:rPr>
            </w:pPr>
            <w:r>
              <w:rPr>
                <w:rFonts w:ascii="宋体" w:hAnsi="宋体"/>
              </w:rPr>
              <w:t>6860</w:t>
            </w:r>
          </w:p>
        </w:tc>
        <w:tc>
          <w:tcPr>
            <w:tcW w:w="375" w:type="pct"/>
            <w:vAlign w:val="center"/>
          </w:tcPr>
          <w:p w14:paraId="2F3B3B9F">
            <w:pPr>
              <w:pStyle w:val="12"/>
              <w:jc w:val="center"/>
              <w:rPr>
                <w:rFonts w:ascii="宋体" w:hAnsi="宋体"/>
              </w:rPr>
            </w:pPr>
            <w:r>
              <w:rPr>
                <w:rFonts w:ascii="宋体" w:hAnsi="宋体"/>
              </w:rPr>
              <w:t>6405</w:t>
            </w:r>
          </w:p>
        </w:tc>
        <w:tc>
          <w:tcPr>
            <w:tcW w:w="375" w:type="pct"/>
            <w:vAlign w:val="center"/>
          </w:tcPr>
          <w:p w14:paraId="74F833C7">
            <w:pPr>
              <w:pStyle w:val="12"/>
              <w:jc w:val="center"/>
              <w:rPr>
                <w:rFonts w:ascii="宋体" w:hAnsi="宋体"/>
              </w:rPr>
            </w:pPr>
            <w:r>
              <w:rPr>
                <w:rFonts w:ascii="宋体" w:hAnsi="宋体"/>
              </w:rPr>
              <w:t>6192</w:t>
            </w:r>
          </w:p>
        </w:tc>
        <w:tc>
          <w:tcPr>
            <w:tcW w:w="375" w:type="pct"/>
            <w:vAlign w:val="center"/>
          </w:tcPr>
          <w:p w14:paraId="4E54251B">
            <w:pPr>
              <w:pStyle w:val="12"/>
              <w:jc w:val="center"/>
              <w:rPr>
                <w:rFonts w:ascii="宋体" w:hAnsi="宋体"/>
              </w:rPr>
            </w:pPr>
            <w:r>
              <w:rPr>
                <w:rFonts w:ascii="宋体" w:hAnsi="宋体"/>
              </w:rPr>
              <w:t>4333</w:t>
            </w:r>
          </w:p>
        </w:tc>
        <w:tc>
          <w:tcPr>
            <w:tcW w:w="375" w:type="pct"/>
            <w:vAlign w:val="center"/>
          </w:tcPr>
          <w:p w14:paraId="3AAF3CF2">
            <w:pPr>
              <w:pStyle w:val="12"/>
              <w:jc w:val="center"/>
              <w:rPr>
                <w:rFonts w:ascii="宋体" w:hAnsi="宋体"/>
              </w:rPr>
            </w:pPr>
            <w:r>
              <w:rPr>
                <w:rFonts w:ascii="宋体" w:hAnsi="宋体"/>
              </w:rPr>
              <w:t>6955</w:t>
            </w:r>
          </w:p>
        </w:tc>
        <w:tc>
          <w:tcPr>
            <w:tcW w:w="409" w:type="pct"/>
            <w:vAlign w:val="center"/>
          </w:tcPr>
          <w:p w14:paraId="0964AB17">
            <w:pPr>
              <w:pStyle w:val="12"/>
              <w:jc w:val="center"/>
              <w:rPr>
                <w:rFonts w:ascii="宋体" w:hAnsi="宋体"/>
              </w:rPr>
            </w:pPr>
            <w:r>
              <w:rPr>
                <w:rFonts w:ascii="宋体" w:hAnsi="宋体"/>
              </w:rPr>
              <w:t>6450</w:t>
            </w:r>
          </w:p>
        </w:tc>
        <w:tc>
          <w:tcPr>
            <w:tcW w:w="375" w:type="pct"/>
            <w:vAlign w:val="center"/>
          </w:tcPr>
          <w:p w14:paraId="0347FC7D">
            <w:pPr>
              <w:pStyle w:val="12"/>
              <w:jc w:val="center"/>
              <w:rPr>
                <w:rFonts w:ascii="宋体" w:hAnsi="宋体"/>
              </w:rPr>
            </w:pPr>
            <w:r>
              <w:rPr>
                <w:rFonts w:ascii="宋体" w:hAnsi="宋体"/>
              </w:rPr>
              <w:t>5862</w:t>
            </w:r>
          </w:p>
        </w:tc>
        <w:tc>
          <w:tcPr>
            <w:tcW w:w="375" w:type="pct"/>
            <w:vAlign w:val="center"/>
          </w:tcPr>
          <w:p w14:paraId="6B767581">
            <w:pPr>
              <w:pStyle w:val="12"/>
              <w:jc w:val="center"/>
              <w:rPr>
                <w:rFonts w:ascii="宋体" w:hAnsi="宋体"/>
              </w:rPr>
            </w:pPr>
            <w:r>
              <w:rPr>
                <w:rFonts w:ascii="宋体" w:hAnsi="宋体"/>
              </w:rPr>
              <w:t>7121</w:t>
            </w:r>
          </w:p>
        </w:tc>
        <w:tc>
          <w:tcPr>
            <w:tcW w:w="375" w:type="pct"/>
            <w:vAlign w:val="center"/>
          </w:tcPr>
          <w:p w14:paraId="7F6DE9FF">
            <w:pPr>
              <w:pStyle w:val="12"/>
              <w:jc w:val="center"/>
              <w:rPr>
                <w:rFonts w:ascii="宋体" w:hAnsi="宋体"/>
              </w:rPr>
            </w:pPr>
            <w:r>
              <w:rPr>
                <w:rFonts w:ascii="宋体" w:hAnsi="宋体"/>
              </w:rPr>
              <w:t>6751</w:t>
            </w:r>
          </w:p>
        </w:tc>
        <w:tc>
          <w:tcPr>
            <w:tcW w:w="375" w:type="pct"/>
            <w:vAlign w:val="center"/>
          </w:tcPr>
          <w:p w14:paraId="062A7564">
            <w:pPr>
              <w:pStyle w:val="12"/>
              <w:jc w:val="center"/>
              <w:rPr>
                <w:rFonts w:ascii="宋体" w:hAnsi="宋体"/>
              </w:rPr>
            </w:pPr>
            <w:r>
              <w:rPr>
                <w:rFonts w:ascii="宋体" w:hAnsi="宋体"/>
              </w:rPr>
              <w:t>7524</w:t>
            </w:r>
          </w:p>
        </w:tc>
        <w:tc>
          <w:tcPr>
            <w:tcW w:w="409" w:type="pct"/>
            <w:vAlign w:val="center"/>
          </w:tcPr>
          <w:p w14:paraId="71EE1A67">
            <w:pPr>
              <w:pStyle w:val="12"/>
              <w:jc w:val="center"/>
              <w:rPr>
                <w:rFonts w:ascii="宋体" w:hAnsi="宋体"/>
              </w:rPr>
            </w:pPr>
            <w:r>
              <w:rPr>
                <w:rFonts w:ascii="宋体" w:hAnsi="宋体"/>
              </w:rPr>
              <w:t>9070</w:t>
            </w:r>
          </w:p>
        </w:tc>
        <w:tc>
          <w:tcPr>
            <w:tcW w:w="375" w:type="pct"/>
            <w:vAlign w:val="center"/>
          </w:tcPr>
          <w:p w14:paraId="218F0A16">
            <w:pPr>
              <w:pStyle w:val="12"/>
              <w:jc w:val="center"/>
              <w:rPr>
                <w:rFonts w:ascii="宋体" w:hAnsi="宋体"/>
              </w:rPr>
            </w:pPr>
            <w:r>
              <w:rPr>
                <w:rFonts w:ascii="宋体" w:hAnsi="宋体"/>
              </w:rPr>
              <w:t>7052</w:t>
            </w:r>
          </w:p>
        </w:tc>
      </w:tr>
      <w:tr w14:paraId="15D94C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3" w:type="pct"/>
            <w:vAlign w:val="center"/>
          </w:tcPr>
          <w:p w14:paraId="6A753288">
            <w:pPr>
              <w:pStyle w:val="12"/>
              <w:jc w:val="center"/>
              <w:rPr>
                <w:rFonts w:ascii="宋体" w:hAnsi="宋体"/>
              </w:rPr>
            </w:pPr>
            <w:r>
              <w:rPr>
                <w:rFonts w:ascii="宋体" w:hAnsi="宋体"/>
              </w:rPr>
              <w:t>1997</w:t>
            </w:r>
          </w:p>
        </w:tc>
        <w:tc>
          <w:tcPr>
            <w:tcW w:w="403" w:type="pct"/>
            <w:vAlign w:val="center"/>
          </w:tcPr>
          <w:p w14:paraId="34B62091">
            <w:pPr>
              <w:pStyle w:val="12"/>
              <w:jc w:val="center"/>
              <w:rPr>
                <w:rFonts w:ascii="宋体" w:hAnsi="宋体"/>
              </w:rPr>
            </w:pPr>
            <w:r>
              <w:rPr>
                <w:rFonts w:ascii="宋体" w:hAnsi="宋体"/>
              </w:rPr>
              <w:t>6760</w:t>
            </w:r>
          </w:p>
        </w:tc>
        <w:tc>
          <w:tcPr>
            <w:tcW w:w="375" w:type="pct"/>
            <w:vAlign w:val="center"/>
          </w:tcPr>
          <w:p w14:paraId="12D5DF36">
            <w:pPr>
              <w:pStyle w:val="12"/>
              <w:jc w:val="center"/>
              <w:rPr>
                <w:rFonts w:ascii="宋体" w:hAnsi="宋体"/>
              </w:rPr>
            </w:pPr>
            <w:r>
              <w:rPr>
                <w:rFonts w:ascii="宋体" w:hAnsi="宋体"/>
              </w:rPr>
              <w:t>4764</w:t>
            </w:r>
          </w:p>
        </w:tc>
        <w:tc>
          <w:tcPr>
            <w:tcW w:w="375" w:type="pct"/>
            <w:vAlign w:val="center"/>
          </w:tcPr>
          <w:p w14:paraId="50006EAA">
            <w:pPr>
              <w:pStyle w:val="12"/>
              <w:jc w:val="center"/>
              <w:rPr>
                <w:rFonts w:ascii="宋体" w:hAnsi="宋体"/>
              </w:rPr>
            </w:pPr>
            <w:r>
              <w:rPr>
                <w:rFonts w:ascii="宋体" w:hAnsi="宋体"/>
              </w:rPr>
              <w:t>6796</w:t>
            </w:r>
          </w:p>
        </w:tc>
        <w:tc>
          <w:tcPr>
            <w:tcW w:w="375" w:type="pct"/>
            <w:vAlign w:val="center"/>
          </w:tcPr>
          <w:p w14:paraId="372C0846">
            <w:pPr>
              <w:pStyle w:val="12"/>
              <w:jc w:val="center"/>
              <w:rPr>
                <w:rFonts w:ascii="宋体" w:hAnsi="宋体"/>
              </w:rPr>
            </w:pPr>
            <w:r>
              <w:rPr>
                <w:rFonts w:ascii="宋体" w:hAnsi="宋体"/>
              </w:rPr>
              <w:t>—</w:t>
            </w:r>
          </w:p>
        </w:tc>
        <w:tc>
          <w:tcPr>
            <w:tcW w:w="375" w:type="pct"/>
            <w:vAlign w:val="center"/>
          </w:tcPr>
          <w:p w14:paraId="01EBFC13">
            <w:pPr>
              <w:pStyle w:val="12"/>
              <w:jc w:val="center"/>
              <w:rPr>
                <w:rFonts w:ascii="宋体" w:hAnsi="宋体"/>
              </w:rPr>
            </w:pPr>
            <w:r>
              <w:rPr>
                <w:rFonts w:ascii="宋体" w:hAnsi="宋体"/>
              </w:rPr>
              <w:t>5465</w:t>
            </w:r>
          </w:p>
        </w:tc>
        <w:tc>
          <w:tcPr>
            <w:tcW w:w="409" w:type="pct"/>
            <w:vAlign w:val="center"/>
          </w:tcPr>
          <w:p w14:paraId="4F4FF519">
            <w:pPr>
              <w:pStyle w:val="12"/>
              <w:jc w:val="center"/>
              <w:rPr>
                <w:rFonts w:ascii="宋体" w:hAnsi="宋体"/>
              </w:rPr>
            </w:pPr>
            <w:r>
              <w:rPr>
                <w:rFonts w:ascii="宋体" w:hAnsi="宋体"/>
              </w:rPr>
              <w:t>5553</w:t>
            </w:r>
          </w:p>
        </w:tc>
        <w:tc>
          <w:tcPr>
            <w:tcW w:w="375" w:type="pct"/>
            <w:vAlign w:val="center"/>
          </w:tcPr>
          <w:p w14:paraId="70E54CE4">
            <w:pPr>
              <w:pStyle w:val="12"/>
              <w:jc w:val="center"/>
              <w:rPr>
                <w:rFonts w:ascii="宋体" w:hAnsi="宋体"/>
              </w:rPr>
            </w:pPr>
            <w:r>
              <w:rPr>
                <w:rFonts w:ascii="宋体" w:hAnsi="宋体"/>
              </w:rPr>
              <w:t>6587</w:t>
            </w:r>
          </w:p>
        </w:tc>
        <w:tc>
          <w:tcPr>
            <w:tcW w:w="375" w:type="pct"/>
            <w:vAlign w:val="center"/>
          </w:tcPr>
          <w:p w14:paraId="16165D3C">
            <w:pPr>
              <w:pStyle w:val="12"/>
              <w:jc w:val="center"/>
              <w:rPr>
                <w:rFonts w:ascii="宋体" w:hAnsi="宋体"/>
              </w:rPr>
            </w:pPr>
            <w:r>
              <w:rPr>
                <w:rFonts w:ascii="宋体" w:hAnsi="宋体"/>
              </w:rPr>
              <w:t>6837</w:t>
            </w:r>
          </w:p>
        </w:tc>
        <w:tc>
          <w:tcPr>
            <w:tcW w:w="375" w:type="pct"/>
            <w:vAlign w:val="center"/>
          </w:tcPr>
          <w:p w14:paraId="1F480297">
            <w:pPr>
              <w:pStyle w:val="12"/>
              <w:jc w:val="center"/>
              <w:rPr>
                <w:rFonts w:ascii="宋体" w:hAnsi="宋体"/>
              </w:rPr>
            </w:pPr>
            <w:r>
              <w:rPr>
                <w:rFonts w:ascii="宋体" w:hAnsi="宋体"/>
              </w:rPr>
              <w:t>6455</w:t>
            </w:r>
          </w:p>
        </w:tc>
        <w:tc>
          <w:tcPr>
            <w:tcW w:w="375" w:type="pct"/>
            <w:vAlign w:val="center"/>
          </w:tcPr>
          <w:p w14:paraId="2106DF1B">
            <w:pPr>
              <w:pStyle w:val="12"/>
              <w:jc w:val="center"/>
              <w:rPr>
                <w:rFonts w:ascii="宋体" w:hAnsi="宋体"/>
              </w:rPr>
            </w:pPr>
            <w:r>
              <w:rPr>
                <w:rFonts w:ascii="宋体" w:hAnsi="宋体"/>
              </w:rPr>
              <w:t>7539</w:t>
            </w:r>
          </w:p>
        </w:tc>
        <w:tc>
          <w:tcPr>
            <w:tcW w:w="409" w:type="pct"/>
            <w:vAlign w:val="center"/>
          </w:tcPr>
          <w:p w14:paraId="552B0C25">
            <w:pPr>
              <w:pStyle w:val="12"/>
              <w:jc w:val="center"/>
              <w:rPr>
                <w:rFonts w:ascii="宋体" w:hAnsi="宋体"/>
              </w:rPr>
            </w:pPr>
            <w:r>
              <w:rPr>
                <w:rFonts w:ascii="宋体" w:hAnsi="宋体"/>
              </w:rPr>
              <w:t>10145</w:t>
            </w:r>
          </w:p>
        </w:tc>
        <w:tc>
          <w:tcPr>
            <w:tcW w:w="375" w:type="pct"/>
            <w:vAlign w:val="center"/>
          </w:tcPr>
          <w:p w14:paraId="75A9CC0F">
            <w:pPr>
              <w:pStyle w:val="12"/>
              <w:jc w:val="center"/>
              <w:rPr>
                <w:rFonts w:ascii="宋体" w:hAnsi="宋体"/>
              </w:rPr>
            </w:pPr>
            <w:r>
              <w:rPr>
                <w:rFonts w:ascii="宋体" w:hAnsi="宋体"/>
              </w:rPr>
              <w:t>6851</w:t>
            </w:r>
          </w:p>
        </w:tc>
      </w:tr>
      <w:tr w14:paraId="2948259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3" w:type="pct"/>
            <w:vAlign w:val="center"/>
          </w:tcPr>
          <w:p w14:paraId="35FC967A">
            <w:pPr>
              <w:pStyle w:val="12"/>
              <w:jc w:val="center"/>
              <w:rPr>
                <w:rFonts w:ascii="宋体" w:hAnsi="宋体"/>
              </w:rPr>
            </w:pPr>
            <w:r>
              <w:rPr>
                <w:rFonts w:ascii="宋体" w:hAnsi="宋体"/>
              </w:rPr>
              <w:t>1998</w:t>
            </w:r>
          </w:p>
        </w:tc>
        <w:tc>
          <w:tcPr>
            <w:tcW w:w="403" w:type="pct"/>
            <w:vAlign w:val="center"/>
          </w:tcPr>
          <w:p w14:paraId="5B54AB1B">
            <w:pPr>
              <w:pStyle w:val="12"/>
              <w:jc w:val="center"/>
              <w:rPr>
                <w:rFonts w:ascii="宋体" w:hAnsi="宋体"/>
              </w:rPr>
            </w:pPr>
            <w:r>
              <w:rPr>
                <w:rFonts w:ascii="宋体" w:hAnsi="宋体"/>
              </w:rPr>
              <w:t>7211</w:t>
            </w:r>
          </w:p>
        </w:tc>
        <w:tc>
          <w:tcPr>
            <w:tcW w:w="375" w:type="pct"/>
            <w:vAlign w:val="center"/>
          </w:tcPr>
          <w:p w14:paraId="533EF1FB">
            <w:pPr>
              <w:pStyle w:val="12"/>
              <w:jc w:val="center"/>
              <w:rPr>
                <w:rFonts w:ascii="宋体" w:hAnsi="宋体"/>
              </w:rPr>
            </w:pPr>
            <w:r>
              <w:rPr>
                <w:rFonts w:ascii="宋体" w:hAnsi="宋体"/>
              </w:rPr>
              <w:t>4630</w:t>
            </w:r>
          </w:p>
        </w:tc>
        <w:tc>
          <w:tcPr>
            <w:tcW w:w="375" w:type="pct"/>
            <w:vAlign w:val="center"/>
          </w:tcPr>
          <w:p w14:paraId="05277611">
            <w:pPr>
              <w:pStyle w:val="12"/>
              <w:jc w:val="center"/>
              <w:rPr>
                <w:rFonts w:ascii="宋体" w:hAnsi="宋体"/>
              </w:rPr>
            </w:pPr>
            <w:r>
              <w:rPr>
                <w:rFonts w:ascii="宋体" w:hAnsi="宋体"/>
              </w:rPr>
              <w:t>7032</w:t>
            </w:r>
          </w:p>
        </w:tc>
        <w:tc>
          <w:tcPr>
            <w:tcW w:w="375" w:type="pct"/>
            <w:vAlign w:val="center"/>
          </w:tcPr>
          <w:p w14:paraId="3A3468F5">
            <w:pPr>
              <w:pStyle w:val="12"/>
              <w:jc w:val="center"/>
              <w:rPr>
                <w:rFonts w:ascii="宋体" w:hAnsi="宋体"/>
              </w:rPr>
            </w:pPr>
            <w:r>
              <w:rPr>
                <w:rFonts w:ascii="宋体" w:hAnsi="宋体"/>
              </w:rPr>
              <w:t>8269</w:t>
            </w:r>
          </w:p>
        </w:tc>
        <w:tc>
          <w:tcPr>
            <w:tcW w:w="375" w:type="pct"/>
            <w:vAlign w:val="center"/>
          </w:tcPr>
          <w:p w14:paraId="6F17910A">
            <w:pPr>
              <w:pStyle w:val="12"/>
              <w:jc w:val="center"/>
              <w:rPr>
                <w:rFonts w:ascii="宋体" w:hAnsi="宋体"/>
              </w:rPr>
            </w:pPr>
            <w:r>
              <w:rPr>
                <w:rFonts w:ascii="宋体" w:hAnsi="宋体"/>
              </w:rPr>
              <w:t>9240</w:t>
            </w:r>
          </w:p>
        </w:tc>
        <w:tc>
          <w:tcPr>
            <w:tcW w:w="409" w:type="pct"/>
            <w:vAlign w:val="center"/>
          </w:tcPr>
          <w:p w14:paraId="7A465195">
            <w:pPr>
              <w:pStyle w:val="12"/>
              <w:jc w:val="center"/>
              <w:rPr>
                <w:rFonts w:ascii="宋体" w:hAnsi="宋体"/>
              </w:rPr>
            </w:pPr>
            <w:r>
              <w:rPr>
                <w:rFonts w:ascii="宋体" w:hAnsi="宋体"/>
              </w:rPr>
              <w:t>6684</w:t>
            </w:r>
          </w:p>
        </w:tc>
        <w:tc>
          <w:tcPr>
            <w:tcW w:w="375" w:type="pct"/>
            <w:vAlign w:val="center"/>
          </w:tcPr>
          <w:p w14:paraId="46379577">
            <w:pPr>
              <w:pStyle w:val="12"/>
              <w:jc w:val="center"/>
              <w:rPr>
                <w:rFonts w:ascii="宋体" w:hAnsi="宋体"/>
              </w:rPr>
            </w:pPr>
            <w:r>
              <w:rPr>
                <w:rFonts w:ascii="宋体" w:hAnsi="宋体"/>
              </w:rPr>
              <w:t>6403</w:t>
            </w:r>
          </w:p>
        </w:tc>
        <w:tc>
          <w:tcPr>
            <w:tcW w:w="375" w:type="pct"/>
            <w:vAlign w:val="center"/>
          </w:tcPr>
          <w:p w14:paraId="3AF2FD16">
            <w:pPr>
              <w:pStyle w:val="12"/>
              <w:jc w:val="center"/>
              <w:rPr>
                <w:rFonts w:ascii="宋体" w:hAnsi="宋体"/>
              </w:rPr>
            </w:pPr>
            <w:r>
              <w:rPr>
                <w:rFonts w:ascii="宋体" w:hAnsi="宋体"/>
              </w:rPr>
              <w:t>7385</w:t>
            </w:r>
          </w:p>
        </w:tc>
        <w:tc>
          <w:tcPr>
            <w:tcW w:w="375" w:type="pct"/>
            <w:vAlign w:val="center"/>
          </w:tcPr>
          <w:p w14:paraId="794D4826">
            <w:pPr>
              <w:pStyle w:val="12"/>
              <w:jc w:val="center"/>
              <w:rPr>
                <w:rFonts w:ascii="宋体" w:hAnsi="宋体"/>
              </w:rPr>
            </w:pPr>
            <w:r>
              <w:rPr>
                <w:rFonts w:ascii="宋体" w:hAnsi="宋体"/>
              </w:rPr>
              <w:t>5160</w:t>
            </w:r>
          </w:p>
        </w:tc>
        <w:tc>
          <w:tcPr>
            <w:tcW w:w="375" w:type="pct"/>
            <w:vAlign w:val="center"/>
          </w:tcPr>
          <w:p w14:paraId="365E200D">
            <w:pPr>
              <w:pStyle w:val="12"/>
              <w:jc w:val="center"/>
              <w:rPr>
                <w:rFonts w:ascii="宋体" w:hAnsi="宋体"/>
              </w:rPr>
            </w:pPr>
            <w:r>
              <w:rPr>
                <w:rFonts w:ascii="宋体" w:hAnsi="宋体"/>
              </w:rPr>
              <w:t>7559</w:t>
            </w:r>
          </w:p>
        </w:tc>
        <w:tc>
          <w:tcPr>
            <w:tcW w:w="409" w:type="pct"/>
            <w:vAlign w:val="center"/>
          </w:tcPr>
          <w:p w14:paraId="1B249865">
            <w:pPr>
              <w:pStyle w:val="12"/>
              <w:jc w:val="center"/>
              <w:rPr>
                <w:rFonts w:ascii="宋体" w:hAnsi="宋体"/>
              </w:rPr>
            </w:pPr>
            <w:r>
              <w:rPr>
                <w:rFonts w:ascii="宋体" w:hAnsi="宋体"/>
              </w:rPr>
              <w:t>9527</w:t>
            </w:r>
          </w:p>
        </w:tc>
        <w:tc>
          <w:tcPr>
            <w:tcW w:w="375" w:type="pct"/>
            <w:vAlign w:val="center"/>
          </w:tcPr>
          <w:p w14:paraId="2C99F5C2">
            <w:pPr>
              <w:pStyle w:val="12"/>
              <w:jc w:val="center"/>
              <w:rPr>
                <w:rFonts w:ascii="宋体" w:hAnsi="宋体"/>
              </w:rPr>
            </w:pPr>
            <w:r>
              <w:rPr>
                <w:rFonts w:ascii="宋体" w:hAnsi="宋体"/>
              </w:rPr>
              <w:t>6915</w:t>
            </w:r>
          </w:p>
        </w:tc>
      </w:tr>
      <w:tr w14:paraId="481084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3" w:type="pct"/>
            <w:vAlign w:val="center"/>
          </w:tcPr>
          <w:p w14:paraId="40CB4398">
            <w:pPr>
              <w:pStyle w:val="12"/>
              <w:jc w:val="center"/>
              <w:rPr>
                <w:rFonts w:ascii="宋体" w:hAnsi="宋体"/>
              </w:rPr>
            </w:pPr>
            <w:r>
              <w:rPr>
                <w:rFonts w:ascii="宋体" w:hAnsi="宋体"/>
              </w:rPr>
              <w:t>1999</w:t>
            </w:r>
          </w:p>
        </w:tc>
        <w:tc>
          <w:tcPr>
            <w:tcW w:w="403" w:type="pct"/>
            <w:vAlign w:val="center"/>
          </w:tcPr>
          <w:p w14:paraId="6871E672">
            <w:pPr>
              <w:pStyle w:val="12"/>
              <w:jc w:val="center"/>
              <w:rPr>
                <w:rFonts w:ascii="宋体" w:hAnsi="宋体"/>
              </w:rPr>
            </w:pPr>
            <w:r>
              <w:rPr>
                <w:rFonts w:ascii="宋体" w:hAnsi="宋体"/>
              </w:rPr>
              <w:t>8237</w:t>
            </w:r>
          </w:p>
        </w:tc>
        <w:tc>
          <w:tcPr>
            <w:tcW w:w="375" w:type="pct"/>
            <w:vAlign w:val="center"/>
          </w:tcPr>
          <w:p w14:paraId="5D0EEE0D">
            <w:pPr>
              <w:pStyle w:val="12"/>
              <w:jc w:val="center"/>
              <w:rPr>
                <w:rFonts w:ascii="宋体" w:hAnsi="宋体"/>
              </w:rPr>
            </w:pPr>
            <w:r>
              <w:rPr>
                <w:rFonts w:ascii="宋体" w:hAnsi="宋体"/>
              </w:rPr>
              <w:t>6669</w:t>
            </w:r>
          </w:p>
        </w:tc>
        <w:tc>
          <w:tcPr>
            <w:tcW w:w="375" w:type="pct"/>
            <w:vAlign w:val="center"/>
          </w:tcPr>
          <w:p w14:paraId="3C9CE845">
            <w:pPr>
              <w:pStyle w:val="12"/>
              <w:jc w:val="center"/>
              <w:rPr>
                <w:rFonts w:ascii="宋体" w:hAnsi="宋体"/>
              </w:rPr>
            </w:pPr>
            <w:r>
              <w:rPr>
                <w:rFonts w:ascii="宋体" w:hAnsi="宋体"/>
              </w:rPr>
              <w:t>7139</w:t>
            </w:r>
          </w:p>
        </w:tc>
        <w:tc>
          <w:tcPr>
            <w:tcW w:w="375" w:type="pct"/>
            <w:vAlign w:val="center"/>
          </w:tcPr>
          <w:p w14:paraId="76C64B5F">
            <w:pPr>
              <w:pStyle w:val="12"/>
              <w:jc w:val="center"/>
              <w:rPr>
                <w:rFonts w:ascii="宋体" w:hAnsi="宋体"/>
              </w:rPr>
            </w:pPr>
            <w:r>
              <w:rPr>
                <w:rFonts w:ascii="宋体" w:hAnsi="宋体"/>
              </w:rPr>
              <w:t>7283</w:t>
            </w:r>
          </w:p>
        </w:tc>
        <w:tc>
          <w:tcPr>
            <w:tcW w:w="375" w:type="pct"/>
            <w:vAlign w:val="center"/>
          </w:tcPr>
          <w:p w14:paraId="078C0393">
            <w:pPr>
              <w:pStyle w:val="12"/>
              <w:jc w:val="center"/>
              <w:rPr>
                <w:rFonts w:ascii="宋体" w:hAnsi="宋体"/>
              </w:rPr>
            </w:pPr>
            <w:r>
              <w:rPr>
                <w:rFonts w:ascii="宋体" w:hAnsi="宋体"/>
              </w:rPr>
              <w:t>9274</w:t>
            </w:r>
          </w:p>
        </w:tc>
        <w:tc>
          <w:tcPr>
            <w:tcW w:w="409" w:type="pct"/>
            <w:vAlign w:val="center"/>
          </w:tcPr>
          <w:p w14:paraId="4512B366">
            <w:pPr>
              <w:pStyle w:val="12"/>
              <w:jc w:val="center"/>
              <w:rPr>
                <w:rFonts w:ascii="宋体" w:hAnsi="宋体"/>
              </w:rPr>
            </w:pPr>
            <w:r>
              <w:rPr>
                <w:rFonts w:ascii="宋体" w:hAnsi="宋体"/>
              </w:rPr>
              <w:t>7417</w:t>
            </w:r>
          </w:p>
        </w:tc>
        <w:tc>
          <w:tcPr>
            <w:tcW w:w="375" w:type="pct"/>
            <w:vAlign w:val="center"/>
          </w:tcPr>
          <w:p w14:paraId="44C7057A">
            <w:pPr>
              <w:pStyle w:val="12"/>
              <w:jc w:val="center"/>
              <w:rPr>
                <w:rFonts w:ascii="宋体" w:hAnsi="宋体"/>
              </w:rPr>
            </w:pPr>
            <w:r>
              <w:rPr>
                <w:rFonts w:ascii="宋体" w:hAnsi="宋体"/>
              </w:rPr>
              <w:t>7223</w:t>
            </w:r>
          </w:p>
        </w:tc>
        <w:tc>
          <w:tcPr>
            <w:tcW w:w="375" w:type="pct"/>
            <w:vAlign w:val="center"/>
          </w:tcPr>
          <w:p w14:paraId="27465D5F">
            <w:pPr>
              <w:pStyle w:val="12"/>
              <w:jc w:val="center"/>
              <w:rPr>
                <w:rFonts w:ascii="宋体" w:hAnsi="宋体"/>
              </w:rPr>
            </w:pPr>
            <w:r>
              <w:rPr>
                <w:rFonts w:ascii="宋体" w:hAnsi="宋体"/>
              </w:rPr>
              <w:t>9609</w:t>
            </w:r>
          </w:p>
        </w:tc>
        <w:tc>
          <w:tcPr>
            <w:tcW w:w="375" w:type="pct"/>
            <w:vAlign w:val="center"/>
          </w:tcPr>
          <w:p w14:paraId="7FCF98CA">
            <w:pPr>
              <w:pStyle w:val="12"/>
              <w:jc w:val="center"/>
              <w:rPr>
                <w:rFonts w:ascii="宋体" w:hAnsi="宋体"/>
              </w:rPr>
            </w:pPr>
            <w:r>
              <w:rPr>
                <w:rFonts w:ascii="宋体" w:hAnsi="宋体"/>
              </w:rPr>
              <w:t>5714</w:t>
            </w:r>
          </w:p>
        </w:tc>
        <w:tc>
          <w:tcPr>
            <w:tcW w:w="375" w:type="pct"/>
            <w:vAlign w:val="center"/>
          </w:tcPr>
          <w:p w14:paraId="6BBA33BF">
            <w:pPr>
              <w:pStyle w:val="12"/>
              <w:jc w:val="center"/>
              <w:rPr>
                <w:rFonts w:ascii="宋体" w:hAnsi="宋体"/>
              </w:rPr>
            </w:pPr>
            <w:r>
              <w:rPr>
                <w:rFonts w:ascii="宋体" w:hAnsi="宋体"/>
              </w:rPr>
              <w:t>8862</w:t>
            </w:r>
          </w:p>
        </w:tc>
        <w:tc>
          <w:tcPr>
            <w:tcW w:w="409" w:type="pct"/>
            <w:vAlign w:val="center"/>
          </w:tcPr>
          <w:p w14:paraId="27837FF5">
            <w:pPr>
              <w:pStyle w:val="12"/>
              <w:jc w:val="center"/>
              <w:rPr>
                <w:rFonts w:ascii="宋体" w:hAnsi="宋体"/>
              </w:rPr>
            </w:pPr>
            <w:r>
              <w:rPr>
                <w:rFonts w:ascii="宋体" w:hAnsi="宋体"/>
              </w:rPr>
              <w:t>10298</w:t>
            </w:r>
          </w:p>
        </w:tc>
        <w:tc>
          <w:tcPr>
            <w:tcW w:w="375" w:type="pct"/>
            <w:vAlign w:val="center"/>
          </w:tcPr>
          <w:p w14:paraId="628D179F">
            <w:pPr>
              <w:pStyle w:val="12"/>
              <w:jc w:val="center"/>
              <w:rPr>
                <w:rFonts w:ascii="宋体" w:hAnsi="宋体"/>
              </w:rPr>
            </w:pPr>
            <w:r>
              <w:rPr>
                <w:rFonts w:ascii="宋体" w:hAnsi="宋体"/>
              </w:rPr>
              <w:t>8046</w:t>
            </w:r>
          </w:p>
        </w:tc>
      </w:tr>
      <w:tr w14:paraId="0C7AFC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3" w:type="pct"/>
            <w:vAlign w:val="center"/>
          </w:tcPr>
          <w:p w14:paraId="26EC8AE9">
            <w:pPr>
              <w:pStyle w:val="12"/>
              <w:jc w:val="center"/>
              <w:rPr>
                <w:rFonts w:ascii="宋体" w:hAnsi="宋体"/>
              </w:rPr>
            </w:pPr>
            <w:r>
              <w:rPr>
                <w:rFonts w:ascii="宋体" w:hAnsi="宋体"/>
              </w:rPr>
              <w:t>2000</w:t>
            </w:r>
          </w:p>
        </w:tc>
        <w:tc>
          <w:tcPr>
            <w:tcW w:w="403" w:type="pct"/>
            <w:vAlign w:val="center"/>
          </w:tcPr>
          <w:p w14:paraId="0D11D2D7">
            <w:pPr>
              <w:pStyle w:val="12"/>
              <w:jc w:val="center"/>
              <w:rPr>
                <w:rFonts w:ascii="宋体" w:hAnsi="宋体"/>
              </w:rPr>
            </w:pPr>
            <w:r>
              <w:rPr>
                <w:rFonts w:ascii="宋体" w:hAnsi="宋体"/>
              </w:rPr>
              <w:t>9217</w:t>
            </w:r>
          </w:p>
        </w:tc>
        <w:tc>
          <w:tcPr>
            <w:tcW w:w="375" w:type="pct"/>
            <w:vAlign w:val="center"/>
          </w:tcPr>
          <w:p w14:paraId="06016050">
            <w:pPr>
              <w:pStyle w:val="12"/>
              <w:jc w:val="center"/>
              <w:rPr>
                <w:rFonts w:ascii="宋体" w:hAnsi="宋体"/>
              </w:rPr>
            </w:pPr>
            <w:r>
              <w:rPr>
                <w:rFonts w:ascii="宋体" w:hAnsi="宋体"/>
              </w:rPr>
              <w:t>6174</w:t>
            </w:r>
          </w:p>
        </w:tc>
        <w:tc>
          <w:tcPr>
            <w:tcW w:w="375" w:type="pct"/>
            <w:vAlign w:val="center"/>
          </w:tcPr>
          <w:p w14:paraId="6E795F4D">
            <w:pPr>
              <w:pStyle w:val="12"/>
              <w:jc w:val="center"/>
              <w:rPr>
                <w:rFonts w:ascii="宋体" w:hAnsi="宋体"/>
              </w:rPr>
            </w:pPr>
            <w:r>
              <w:rPr>
                <w:rFonts w:ascii="宋体" w:hAnsi="宋体"/>
              </w:rPr>
              <w:t>7892</w:t>
            </w:r>
          </w:p>
        </w:tc>
        <w:tc>
          <w:tcPr>
            <w:tcW w:w="375" w:type="pct"/>
            <w:vAlign w:val="center"/>
          </w:tcPr>
          <w:p w14:paraId="64F5F54B">
            <w:pPr>
              <w:pStyle w:val="12"/>
              <w:jc w:val="center"/>
              <w:rPr>
                <w:rFonts w:ascii="宋体" w:hAnsi="宋体"/>
              </w:rPr>
            </w:pPr>
            <w:r>
              <w:rPr>
                <w:rFonts w:ascii="宋体" w:hAnsi="宋体"/>
              </w:rPr>
              <w:t>8814</w:t>
            </w:r>
          </w:p>
        </w:tc>
        <w:tc>
          <w:tcPr>
            <w:tcW w:w="375" w:type="pct"/>
            <w:vAlign w:val="center"/>
          </w:tcPr>
          <w:p w14:paraId="2E245C4A">
            <w:pPr>
              <w:pStyle w:val="12"/>
              <w:jc w:val="center"/>
              <w:rPr>
                <w:rFonts w:ascii="宋体" w:hAnsi="宋体"/>
              </w:rPr>
            </w:pPr>
            <w:r>
              <w:rPr>
                <w:rFonts w:ascii="宋体" w:hAnsi="宋体"/>
              </w:rPr>
              <w:t>9568</w:t>
            </w:r>
          </w:p>
        </w:tc>
        <w:tc>
          <w:tcPr>
            <w:tcW w:w="409" w:type="pct"/>
            <w:vAlign w:val="center"/>
          </w:tcPr>
          <w:p w14:paraId="0AFD0FD0">
            <w:pPr>
              <w:pStyle w:val="12"/>
              <w:jc w:val="center"/>
              <w:rPr>
                <w:rFonts w:ascii="宋体" w:hAnsi="宋体"/>
              </w:rPr>
            </w:pPr>
            <w:r>
              <w:rPr>
                <w:rFonts w:ascii="宋体" w:hAnsi="宋体"/>
              </w:rPr>
              <w:t>12863</w:t>
            </w:r>
          </w:p>
        </w:tc>
        <w:tc>
          <w:tcPr>
            <w:tcW w:w="375" w:type="pct"/>
            <w:vAlign w:val="center"/>
          </w:tcPr>
          <w:p w14:paraId="6157C977">
            <w:pPr>
              <w:pStyle w:val="12"/>
              <w:jc w:val="center"/>
              <w:rPr>
                <w:rFonts w:ascii="宋体" w:hAnsi="宋体"/>
              </w:rPr>
            </w:pPr>
            <w:r>
              <w:rPr>
                <w:rFonts w:ascii="宋体" w:hAnsi="宋体"/>
              </w:rPr>
              <w:t>7109</w:t>
            </w:r>
          </w:p>
        </w:tc>
        <w:tc>
          <w:tcPr>
            <w:tcW w:w="375" w:type="pct"/>
            <w:vAlign w:val="center"/>
          </w:tcPr>
          <w:p w14:paraId="1812DC62">
            <w:pPr>
              <w:pStyle w:val="12"/>
              <w:jc w:val="center"/>
              <w:rPr>
                <w:rFonts w:ascii="宋体" w:hAnsi="宋体"/>
              </w:rPr>
            </w:pPr>
            <w:r>
              <w:rPr>
                <w:rFonts w:ascii="宋体" w:hAnsi="宋体"/>
              </w:rPr>
              <w:t>9085</w:t>
            </w:r>
          </w:p>
        </w:tc>
        <w:tc>
          <w:tcPr>
            <w:tcW w:w="375" w:type="pct"/>
            <w:vAlign w:val="center"/>
          </w:tcPr>
          <w:p w14:paraId="7E314A5E">
            <w:pPr>
              <w:pStyle w:val="12"/>
              <w:jc w:val="center"/>
              <w:rPr>
                <w:rFonts w:ascii="宋体" w:hAnsi="宋体"/>
              </w:rPr>
            </w:pPr>
            <w:r>
              <w:rPr>
                <w:rFonts w:ascii="宋体" w:hAnsi="宋体"/>
              </w:rPr>
              <w:t>6463</w:t>
            </w:r>
          </w:p>
        </w:tc>
        <w:tc>
          <w:tcPr>
            <w:tcW w:w="375" w:type="pct"/>
            <w:vAlign w:val="center"/>
          </w:tcPr>
          <w:p w14:paraId="6B012829">
            <w:pPr>
              <w:pStyle w:val="12"/>
              <w:jc w:val="center"/>
              <w:rPr>
                <w:rFonts w:ascii="宋体" w:hAnsi="宋体"/>
              </w:rPr>
            </w:pPr>
            <w:r>
              <w:rPr>
                <w:rFonts w:ascii="宋体" w:hAnsi="宋体"/>
              </w:rPr>
              <w:t>9601</w:t>
            </w:r>
          </w:p>
        </w:tc>
        <w:tc>
          <w:tcPr>
            <w:tcW w:w="409" w:type="pct"/>
            <w:vAlign w:val="center"/>
          </w:tcPr>
          <w:p w14:paraId="03FCAB0A">
            <w:pPr>
              <w:pStyle w:val="12"/>
              <w:jc w:val="center"/>
              <w:rPr>
                <w:rFonts w:ascii="宋体" w:hAnsi="宋体"/>
              </w:rPr>
            </w:pPr>
            <w:r>
              <w:rPr>
                <w:rFonts w:ascii="宋体" w:hAnsi="宋体"/>
              </w:rPr>
              <w:t>12545</w:t>
            </w:r>
          </w:p>
        </w:tc>
        <w:tc>
          <w:tcPr>
            <w:tcW w:w="375" w:type="pct"/>
            <w:vAlign w:val="center"/>
          </w:tcPr>
          <w:p w14:paraId="3D311281">
            <w:pPr>
              <w:pStyle w:val="12"/>
              <w:jc w:val="center"/>
              <w:rPr>
                <w:rFonts w:ascii="宋体" w:hAnsi="宋体"/>
              </w:rPr>
            </w:pPr>
            <w:r>
              <w:rPr>
                <w:rFonts w:ascii="宋体" w:hAnsi="宋体"/>
              </w:rPr>
              <w:t>8889</w:t>
            </w:r>
          </w:p>
        </w:tc>
      </w:tr>
    </w:tbl>
    <w:p w14:paraId="3BA80714">
      <w:pPr>
        <w:ind w:firstLine="422"/>
        <w:rPr>
          <w:rFonts w:ascii="宋体" w:hAnsi="宋体" w:cs="宋体"/>
          <w:b/>
          <w:bCs/>
        </w:rPr>
      </w:pPr>
      <w:r>
        <w:rPr>
          <w:rFonts w:hint="eastAsia" w:ascii="宋体" w:hAnsi="宋体" w:cs="宋体"/>
          <w:b/>
          <w:bCs/>
        </w:rPr>
        <w:t>2.城镇集体职工收入</w:t>
      </w:r>
    </w:p>
    <w:p w14:paraId="772BFE48">
      <w:pPr>
        <w:ind w:firstLine="422"/>
        <w:jc w:val="center"/>
        <w:rPr>
          <w:rFonts w:ascii="宋体" w:hAnsi="宋体" w:cs="宋体"/>
          <w:b/>
          <w:bCs/>
        </w:rPr>
      </w:pPr>
      <w:r>
        <w:rPr>
          <w:rFonts w:hint="eastAsia" w:ascii="宋体" w:hAnsi="宋体" w:cs="宋体"/>
          <w:b/>
          <w:bCs/>
        </w:rPr>
        <w:t>1978年至1987年主要年份南雄县城镇集体职工工资情况</w:t>
      </w:r>
    </w:p>
    <w:p w14:paraId="18CFC1F3">
      <w:pPr>
        <w:ind w:firstLine="0" w:firstLineChars="0"/>
        <w:rPr>
          <w:rFonts w:ascii="宋体" w:hAnsi="宋体" w:cs="宋体"/>
          <w:b/>
          <w:bCs/>
        </w:rPr>
      </w:pPr>
      <w:r>
        <w:rPr>
          <w:rFonts w:hint="eastAsia" w:ascii="宋体" w:hAnsi="宋体" w:cs="宋体"/>
          <w:b/>
          <w:bCs/>
        </w:rPr>
        <w:t>表6-23</w:t>
      </w:r>
    </w:p>
    <w:p w14:paraId="2975F5E5">
      <w:pPr>
        <w:ind w:firstLine="422"/>
        <w:jc w:val="right"/>
        <w:rPr>
          <w:rFonts w:ascii="宋体" w:hAnsi="宋体" w:cs="宋体"/>
          <w:b/>
          <w:bCs/>
        </w:rPr>
      </w:pPr>
      <w:r>
        <w:rPr>
          <w:rFonts w:hint="eastAsia" w:ascii="宋体" w:hAnsi="宋体" w:cs="宋体"/>
          <w:b/>
          <w:bCs/>
        </w:rPr>
        <w:t>单位：元</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9"/>
        <w:gridCol w:w="763"/>
        <w:gridCol w:w="729"/>
        <w:gridCol w:w="705"/>
        <w:gridCol w:w="705"/>
        <w:gridCol w:w="731"/>
        <w:gridCol w:w="811"/>
        <w:gridCol w:w="811"/>
        <w:gridCol w:w="811"/>
        <w:gridCol w:w="811"/>
        <w:gridCol w:w="811"/>
        <w:gridCol w:w="811"/>
        <w:gridCol w:w="734"/>
      </w:tblGrid>
      <w:tr w14:paraId="7165F4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6" w:type="pct"/>
            <w:vMerge w:val="restart"/>
            <w:vAlign w:val="center"/>
          </w:tcPr>
          <w:p w14:paraId="4EBC6402">
            <w:pPr>
              <w:pStyle w:val="12"/>
              <w:jc w:val="center"/>
              <w:rPr>
                <w:rFonts w:ascii="宋体" w:hAnsi="宋体"/>
                <w:b/>
              </w:rPr>
            </w:pPr>
            <w:r>
              <w:rPr>
                <w:rFonts w:hint="eastAsia" w:ascii="宋体" w:hAnsi="宋体"/>
                <w:b/>
              </w:rPr>
              <w:t>年份</w:t>
            </w:r>
          </w:p>
        </w:tc>
        <w:tc>
          <w:tcPr>
            <w:tcW w:w="383" w:type="pct"/>
            <w:vMerge w:val="restart"/>
            <w:vAlign w:val="center"/>
          </w:tcPr>
          <w:p w14:paraId="06FDD844">
            <w:pPr>
              <w:pStyle w:val="12"/>
              <w:jc w:val="center"/>
              <w:rPr>
                <w:rFonts w:ascii="宋体" w:hAnsi="宋体"/>
                <w:b/>
              </w:rPr>
            </w:pPr>
            <w:r>
              <w:rPr>
                <w:rFonts w:hint="eastAsia" w:ascii="宋体" w:hAnsi="宋体"/>
                <w:b/>
              </w:rPr>
              <w:t>全部职工年人均工资</w:t>
            </w:r>
          </w:p>
        </w:tc>
        <w:tc>
          <w:tcPr>
            <w:tcW w:w="4251" w:type="pct"/>
            <w:gridSpan w:val="11"/>
            <w:vAlign w:val="center"/>
          </w:tcPr>
          <w:p w14:paraId="6612F593">
            <w:pPr>
              <w:pStyle w:val="12"/>
              <w:jc w:val="center"/>
              <w:rPr>
                <w:rFonts w:ascii="宋体" w:hAnsi="宋体"/>
                <w:b/>
              </w:rPr>
            </w:pPr>
            <w:r>
              <w:rPr>
                <w:rFonts w:hint="eastAsia" w:ascii="宋体" w:hAnsi="宋体"/>
                <w:b/>
              </w:rPr>
              <w:t>各国民经济行业职工年均工资</w:t>
            </w:r>
          </w:p>
        </w:tc>
      </w:tr>
      <w:tr w14:paraId="03737F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6" w:type="pct"/>
            <w:vMerge w:val="continue"/>
            <w:vAlign w:val="center"/>
          </w:tcPr>
          <w:p w14:paraId="28AE6091">
            <w:pPr>
              <w:pStyle w:val="12"/>
              <w:jc w:val="center"/>
              <w:rPr>
                <w:rFonts w:ascii="宋体" w:hAnsi="宋体"/>
                <w:b/>
              </w:rPr>
            </w:pPr>
          </w:p>
        </w:tc>
        <w:tc>
          <w:tcPr>
            <w:tcW w:w="383" w:type="pct"/>
            <w:vMerge w:val="continue"/>
            <w:vAlign w:val="center"/>
          </w:tcPr>
          <w:p w14:paraId="407514E6">
            <w:pPr>
              <w:pStyle w:val="12"/>
              <w:jc w:val="center"/>
              <w:rPr>
                <w:rFonts w:ascii="宋体" w:hAnsi="宋体"/>
                <w:b/>
              </w:rPr>
            </w:pPr>
          </w:p>
        </w:tc>
        <w:tc>
          <w:tcPr>
            <w:tcW w:w="366" w:type="pct"/>
            <w:vMerge w:val="restart"/>
            <w:vAlign w:val="center"/>
          </w:tcPr>
          <w:p w14:paraId="12C0D804">
            <w:pPr>
              <w:pStyle w:val="12"/>
              <w:jc w:val="center"/>
              <w:rPr>
                <w:rFonts w:ascii="宋体" w:hAnsi="宋体"/>
                <w:b/>
              </w:rPr>
            </w:pPr>
            <w:r>
              <w:rPr>
                <w:rFonts w:hint="eastAsia" w:ascii="宋体" w:hAnsi="宋体"/>
                <w:b/>
              </w:rPr>
              <w:t>农林牧副渔水利</w:t>
            </w:r>
          </w:p>
        </w:tc>
        <w:tc>
          <w:tcPr>
            <w:tcW w:w="354" w:type="pct"/>
            <w:vMerge w:val="restart"/>
            <w:vAlign w:val="center"/>
          </w:tcPr>
          <w:p w14:paraId="3FE33851">
            <w:pPr>
              <w:pStyle w:val="12"/>
              <w:jc w:val="center"/>
              <w:rPr>
                <w:rFonts w:ascii="宋体" w:hAnsi="宋体"/>
                <w:b/>
              </w:rPr>
            </w:pPr>
            <w:r>
              <w:rPr>
                <w:rFonts w:hint="eastAsia" w:ascii="宋体" w:hAnsi="宋体"/>
                <w:b/>
              </w:rPr>
              <w:t>工业</w:t>
            </w:r>
          </w:p>
        </w:tc>
        <w:tc>
          <w:tcPr>
            <w:tcW w:w="721" w:type="pct"/>
            <w:gridSpan w:val="2"/>
            <w:vAlign w:val="center"/>
          </w:tcPr>
          <w:p w14:paraId="77D57C4A">
            <w:pPr>
              <w:pStyle w:val="12"/>
              <w:jc w:val="center"/>
              <w:rPr>
                <w:rFonts w:ascii="宋体" w:hAnsi="宋体"/>
                <w:b/>
              </w:rPr>
            </w:pPr>
            <w:r>
              <w:rPr>
                <w:rFonts w:hint="eastAsia" w:ascii="宋体" w:hAnsi="宋体"/>
                <w:b/>
              </w:rPr>
              <w:t>其中</w:t>
            </w:r>
          </w:p>
        </w:tc>
        <w:tc>
          <w:tcPr>
            <w:tcW w:w="407" w:type="pct"/>
            <w:vMerge w:val="restart"/>
            <w:vAlign w:val="center"/>
          </w:tcPr>
          <w:p w14:paraId="70EA94CE">
            <w:pPr>
              <w:pStyle w:val="12"/>
              <w:jc w:val="center"/>
              <w:rPr>
                <w:rFonts w:ascii="宋体" w:hAnsi="宋体"/>
                <w:b/>
              </w:rPr>
            </w:pPr>
            <w:r>
              <w:rPr>
                <w:rFonts w:hint="eastAsia" w:ascii="宋体" w:hAnsi="宋体"/>
                <w:b/>
              </w:rPr>
              <w:t>建筑业</w:t>
            </w:r>
          </w:p>
        </w:tc>
        <w:tc>
          <w:tcPr>
            <w:tcW w:w="407" w:type="pct"/>
            <w:vMerge w:val="restart"/>
            <w:vAlign w:val="center"/>
          </w:tcPr>
          <w:p w14:paraId="28AB0DFE">
            <w:pPr>
              <w:pStyle w:val="12"/>
              <w:jc w:val="center"/>
              <w:rPr>
                <w:rFonts w:ascii="宋体" w:hAnsi="宋体"/>
                <w:b/>
              </w:rPr>
            </w:pPr>
            <w:r>
              <w:rPr>
                <w:rFonts w:hint="eastAsia" w:ascii="宋体" w:hAnsi="宋体"/>
                <w:b/>
              </w:rPr>
              <w:t>交通运输邮电</w:t>
            </w:r>
          </w:p>
        </w:tc>
        <w:tc>
          <w:tcPr>
            <w:tcW w:w="407" w:type="pct"/>
            <w:vMerge w:val="restart"/>
            <w:vAlign w:val="center"/>
          </w:tcPr>
          <w:p w14:paraId="3A8DDCB1">
            <w:pPr>
              <w:pStyle w:val="12"/>
              <w:jc w:val="center"/>
              <w:rPr>
                <w:rFonts w:ascii="宋体" w:hAnsi="宋体"/>
                <w:b/>
              </w:rPr>
            </w:pPr>
            <w:r>
              <w:rPr>
                <w:rFonts w:hint="eastAsia" w:ascii="宋体" w:hAnsi="宋体"/>
                <w:b/>
              </w:rPr>
              <w:t>商业饮食和物资供销</w:t>
            </w:r>
          </w:p>
        </w:tc>
        <w:tc>
          <w:tcPr>
            <w:tcW w:w="407" w:type="pct"/>
            <w:vMerge w:val="restart"/>
            <w:vAlign w:val="center"/>
          </w:tcPr>
          <w:p w14:paraId="3B5AC061">
            <w:pPr>
              <w:pStyle w:val="12"/>
              <w:jc w:val="center"/>
              <w:rPr>
                <w:rFonts w:ascii="宋体" w:hAnsi="宋体"/>
                <w:b/>
              </w:rPr>
            </w:pPr>
            <w:r>
              <w:rPr>
                <w:rFonts w:hint="eastAsia" w:ascii="宋体" w:hAnsi="宋体"/>
                <w:b/>
              </w:rPr>
              <w:t>房产管理公用事业</w:t>
            </w:r>
          </w:p>
        </w:tc>
        <w:tc>
          <w:tcPr>
            <w:tcW w:w="407" w:type="pct"/>
            <w:vMerge w:val="restart"/>
            <w:vAlign w:val="center"/>
          </w:tcPr>
          <w:p w14:paraId="011A16C7">
            <w:pPr>
              <w:pStyle w:val="12"/>
              <w:jc w:val="center"/>
              <w:rPr>
                <w:rFonts w:ascii="宋体" w:hAnsi="宋体"/>
                <w:b/>
              </w:rPr>
            </w:pPr>
            <w:r>
              <w:rPr>
                <w:rFonts w:hint="eastAsia" w:ascii="宋体" w:hAnsi="宋体"/>
                <w:b/>
              </w:rPr>
              <w:t>卫生体育和社会福利事业</w:t>
            </w:r>
          </w:p>
        </w:tc>
        <w:tc>
          <w:tcPr>
            <w:tcW w:w="407" w:type="pct"/>
            <w:vMerge w:val="restart"/>
            <w:vAlign w:val="center"/>
          </w:tcPr>
          <w:p w14:paraId="00C7EDBF">
            <w:pPr>
              <w:pStyle w:val="12"/>
              <w:jc w:val="center"/>
              <w:rPr>
                <w:rFonts w:ascii="宋体" w:hAnsi="宋体"/>
                <w:b/>
              </w:rPr>
            </w:pPr>
            <w:r>
              <w:rPr>
                <w:rFonts w:hint="eastAsia" w:ascii="宋体" w:hAnsi="宋体"/>
                <w:b/>
              </w:rPr>
              <w:t>金融保险业</w:t>
            </w:r>
          </w:p>
        </w:tc>
        <w:tc>
          <w:tcPr>
            <w:tcW w:w="367" w:type="pct"/>
            <w:vMerge w:val="restart"/>
            <w:vAlign w:val="center"/>
          </w:tcPr>
          <w:p w14:paraId="609159D1">
            <w:pPr>
              <w:pStyle w:val="12"/>
              <w:jc w:val="center"/>
              <w:rPr>
                <w:rFonts w:ascii="宋体" w:hAnsi="宋体"/>
                <w:b/>
              </w:rPr>
            </w:pPr>
            <w:r>
              <w:rPr>
                <w:rFonts w:hint="eastAsia" w:ascii="宋体" w:hAnsi="宋体"/>
                <w:b/>
              </w:rPr>
              <w:t>国家机关和社会团体</w:t>
            </w:r>
          </w:p>
        </w:tc>
      </w:tr>
      <w:tr w14:paraId="4D4BAC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6" w:type="pct"/>
            <w:vMerge w:val="continue"/>
            <w:vAlign w:val="center"/>
          </w:tcPr>
          <w:p w14:paraId="45D55904">
            <w:pPr>
              <w:pStyle w:val="12"/>
              <w:jc w:val="center"/>
              <w:rPr>
                <w:rFonts w:ascii="宋体" w:hAnsi="宋体"/>
              </w:rPr>
            </w:pPr>
          </w:p>
        </w:tc>
        <w:tc>
          <w:tcPr>
            <w:tcW w:w="383" w:type="pct"/>
            <w:vMerge w:val="continue"/>
            <w:vAlign w:val="center"/>
          </w:tcPr>
          <w:p w14:paraId="3FD71BFC">
            <w:pPr>
              <w:pStyle w:val="12"/>
              <w:jc w:val="center"/>
              <w:rPr>
                <w:rFonts w:ascii="宋体" w:hAnsi="宋体"/>
              </w:rPr>
            </w:pPr>
          </w:p>
        </w:tc>
        <w:tc>
          <w:tcPr>
            <w:tcW w:w="366" w:type="pct"/>
            <w:vMerge w:val="continue"/>
            <w:vAlign w:val="center"/>
          </w:tcPr>
          <w:p w14:paraId="2C4F1965">
            <w:pPr>
              <w:pStyle w:val="12"/>
              <w:jc w:val="center"/>
              <w:rPr>
                <w:rFonts w:ascii="宋体" w:hAnsi="宋体"/>
              </w:rPr>
            </w:pPr>
          </w:p>
        </w:tc>
        <w:tc>
          <w:tcPr>
            <w:tcW w:w="354" w:type="pct"/>
            <w:vMerge w:val="continue"/>
            <w:vAlign w:val="center"/>
          </w:tcPr>
          <w:p w14:paraId="6DB31CA2">
            <w:pPr>
              <w:pStyle w:val="12"/>
              <w:jc w:val="center"/>
              <w:rPr>
                <w:rFonts w:ascii="宋体" w:hAnsi="宋体"/>
              </w:rPr>
            </w:pPr>
          </w:p>
        </w:tc>
        <w:tc>
          <w:tcPr>
            <w:tcW w:w="354" w:type="pct"/>
            <w:vAlign w:val="center"/>
          </w:tcPr>
          <w:p w14:paraId="6071642C">
            <w:pPr>
              <w:pStyle w:val="12"/>
              <w:jc w:val="center"/>
              <w:rPr>
                <w:rFonts w:ascii="宋体" w:hAnsi="宋体"/>
                <w:b/>
              </w:rPr>
            </w:pPr>
            <w:r>
              <w:rPr>
                <w:rFonts w:hint="eastAsia" w:ascii="宋体" w:hAnsi="宋体"/>
                <w:b/>
              </w:rPr>
              <w:t>轻工业</w:t>
            </w:r>
          </w:p>
        </w:tc>
        <w:tc>
          <w:tcPr>
            <w:tcW w:w="367" w:type="pct"/>
            <w:vAlign w:val="center"/>
          </w:tcPr>
          <w:p w14:paraId="125B5B92">
            <w:pPr>
              <w:pStyle w:val="12"/>
              <w:jc w:val="center"/>
              <w:rPr>
                <w:rFonts w:ascii="宋体" w:hAnsi="宋体"/>
                <w:b/>
              </w:rPr>
            </w:pPr>
            <w:r>
              <w:rPr>
                <w:rFonts w:hint="eastAsia" w:ascii="宋体" w:hAnsi="宋体"/>
                <w:b/>
              </w:rPr>
              <w:t>重工业</w:t>
            </w:r>
          </w:p>
        </w:tc>
        <w:tc>
          <w:tcPr>
            <w:tcW w:w="407" w:type="pct"/>
            <w:vMerge w:val="continue"/>
            <w:vAlign w:val="center"/>
          </w:tcPr>
          <w:p w14:paraId="5DEB458E">
            <w:pPr>
              <w:pStyle w:val="12"/>
              <w:jc w:val="center"/>
              <w:rPr>
                <w:rFonts w:ascii="宋体" w:hAnsi="宋体"/>
              </w:rPr>
            </w:pPr>
          </w:p>
        </w:tc>
        <w:tc>
          <w:tcPr>
            <w:tcW w:w="407" w:type="pct"/>
            <w:vMerge w:val="continue"/>
            <w:vAlign w:val="center"/>
          </w:tcPr>
          <w:p w14:paraId="16A9731B">
            <w:pPr>
              <w:pStyle w:val="12"/>
              <w:jc w:val="center"/>
              <w:rPr>
                <w:rFonts w:ascii="宋体" w:hAnsi="宋体"/>
              </w:rPr>
            </w:pPr>
          </w:p>
        </w:tc>
        <w:tc>
          <w:tcPr>
            <w:tcW w:w="407" w:type="pct"/>
            <w:vMerge w:val="continue"/>
            <w:vAlign w:val="center"/>
          </w:tcPr>
          <w:p w14:paraId="07381751">
            <w:pPr>
              <w:pStyle w:val="12"/>
              <w:jc w:val="center"/>
              <w:rPr>
                <w:rFonts w:ascii="宋体" w:hAnsi="宋体"/>
              </w:rPr>
            </w:pPr>
          </w:p>
        </w:tc>
        <w:tc>
          <w:tcPr>
            <w:tcW w:w="407" w:type="pct"/>
            <w:vMerge w:val="continue"/>
            <w:vAlign w:val="center"/>
          </w:tcPr>
          <w:p w14:paraId="7ECD1051">
            <w:pPr>
              <w:pStyle w:val="12"/>
              <w:jc w:val="center"/>
              <w:rPr>
                <w:rFonts w:ascii="宋体" w:hAnsi="宋体"/>
              </w:rPr>
            </w:pPr>
          </w:p>
        </w:tc>
        <w:tc>
          <w:tcPr>
            <w:tcW w:w="407" w:type="pct"/>
            <w:vMerge w:val="continue"/>
            <w:vAlign w:val="center"/>
          </w:tcPr>
          <w:p w14:paraId="763395E5">
            <w:pPr>
              <w:pStyle w:val="12"/>
              <w:jc w:val="center"/>
              <w:rPr>
                <w:rFonts w:ascii="宋体" w:hAnsi="宋体"/>
              </w:rPr>
            </w:pPr>
          </w:p>
        </w:tc>
        <w:tc>
          <w:tcPr>
            <w:tcW w:w="407" w:type="pct"/>
            <w:vMerge w:val="continue"/>
            <w:vAlign w:val="center"/>
          </w:tcPr>
          <w:p w14:paraId="3E70F53B">
            <w:pPr>
              <w:pStyle w:val="12"/>
              <w:jc w:val="center"/>
              <w:rPr>
                <w:rFonts w:ascii="宋体" w:hAnsi="宋体"/>
              </w:rPr>
            </w:pPr>
          </w:p>
        </w:tc>
        <w:tc>
          <w:tcPr>
            <w:tcW w:w="367" w:type="pct"/>
            <w:vMerge w:val="continue"/>
            <w:vAlign w:val="center"/>
          </w:tcPr>
          <w:p w14:paraId="64BEAFAE">
            <w:pPr>
              <w:pStyle w:val="12"/>
              <w:jc w:val="center"/>
              <w:rPr>
                <w:rFonts w:ascii="宋体" w:hAnsi="宋体"/>
              </w:rPr>
            </w:pPr>
          </w:p>
        </w:tc>
      </w:tr>
      <w:tr w14:paraId="126D19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6" w:type="pct"/>
            <w:vAlign w:val="center"/>
          </w:tcPr>
          <w:p w14:paraId="6D52AFE0">
            <w:pPr>
              <w:pStyle w:val="12"/>
              <w:jc w:val="center"/>
              <w:rPr>
                <w:rFonts w:ascii="宋体" w:hAnsi="宋体"/>
              </w:rPr>
            </w:pPr>
            <w:r>
              <w:rPr>
                <w:rFonts w:ascii="宋体" w:hAnsi="宋体"/>
              </w:rPr>
              <w:t>1978</w:t>
            </w:r>
          </w:p>
        </w:tc>
        <w:tc>
          <w:tcPr>
            <w:tcW w:w="383" w:type="pct"/>
            <w:vAlign w:val="center"/>
          </w:tcPr>
          <w:p w14:paraId="65FF53A6">
            <w:pPr>
              <w:pStyle w:val="12"/>
              <w:jc w:val="center"/>
              <w:rPr>
                <w:rFonts w:ascii="宋体" w:hAnsi="宋体"/>
              </w:rPr>
            </w:pPr>
            <w:r>
              <w:rPr>
                <w:rFonts w:ascii="宋体" w:hAnsi="宋体"/>
              </w:rPr>
              <w:t>561</w:t>
            </w:r>
          </w:p>
        </w:tc>
        <w:tc>
          <w:tcPr>
            <w:tcW w:w="366" w:type="pct"/>
            <w:vAlign w:val="center"/>
          </w:tcPr>
          <w:p w14:paraId="1BA3531E">
            <w:pPr>
              <w:pStyle w:val="12"/>
              <w:jc w:val="center"/>
              <w:rPr>
                <w:rFonts w:ascii="宋体" w:hAnsi="宋体"/>
              </w:rPr>
            </w:pPr>
            <w:r>
              <w:rPr>
                <w:rFonts w:ascii="宋体" w:hAnsi="宋体"/>
              </w:rPr>
              <w:t>411</w:t>
            </w:r>
          </w:p>
        </w:tc>
        <w:tc>
          <w:tcPr>
            <w:tcW w:w="354" w:type="pct"/>
            <w:vAlign w:val="center"/>
          </w:tcPr>
          <w:p w14:paraId="4EB8B783">
            <w:pPr>
              <w:pStyle w:val="12"/>
              <w:jc w:val="center"/>
              <w:rPr>
                <w:rFonts w:ascii="宋体" w:hAnsi="宋体"/>
              </w:rPr>
            </w:pPr>
            <w:r>
              <w:rPr>
                <w:rFonts w:ascii="宋体" w:hAnsi="宋体"/>
              </w:rPr>
              <w:t>601</w:t>
            </w:r>
          </w:p>
        </w:tc>
        <w:tc>
          <w:tcPr>
            <w:tcW w:w="354" w:type="pct"/>
            <w:vAlign w:val="center"/>
          </w:tcPr>
          <w:p w14:paraId="3FB0ABB4">
            <w:pPr>
              <w:pStyle w:val="12"/>
              <w:jc w:val="center"/>
              <w:rPr>
                <w:rFonts w:ascii="宋体" w:hAnsi="宋体"/>
              </w:rPr>
            </w:pPr>
            <w:r>
              <w:rPr>
                <w:rFonts w:ascii="宋体" w:hAnsi="宋体"/>
              </w:rPr>
              <w:t>603</w:t>
            </w:r>
          </w:p>
        </w:tc>
        <w:tc>
          <w:tcPr>
            <w:tcW w:w="367" w:type="pct"/>
            <w:vAlign w:val="center"/>
          </w:tcPr>
          <w:p w14:paraId="33290593">
            <w:pPr>
              <w:pStyle w:val="12"/>
              <w:jc w:val="center"/>
              <w:rPr>
                <w:rFonts w:ascii="宋体" w:hAnsi="宋体"/>
              </w:rPr>
            </w:pPr>
            <w:r>
              <w:rPr>
                <w:rFonts w:ascii="宋体" w:hAnsi="宋体"/>
              </w:rPr>
              <w:t>584</w:t>
            </w:r>
          </w:p>
        </w:tc>
        <w:tc>
          <w:tcPr>
            <w:tcW w:w="407" w:type="pct"/>
            <w:vAlign w:val="center"/>
          </w:tcPr>
          <w:p w14:paraId="43BE37CE">
            <w:pPr>
              <w:pStyle w:val="12"/>
              <w:jc w:val="center"/>
              <w:rPr>
                <w:rFonts w:ascii="宋体" w:hAnsi="宋体"/>
              </w:rPr>
            </w:pPr>
            <w:r>
              <w:rPr>
                <w:rFonts w:ascii="宋体" w:hAnsi="宋体"/>
              </w:rPr>
              <w:t>579</w:t>
            </w:r>
          </w:p>
        </w:tc>
        <w:tc>
          <w:tcPr>
            <w:tcW w:w="407" w:type="pct"/>
            <w:vAlign w:val="center"/>
          </w:tcPr>
          <w:p w14:paraId="35EBB2C9">
            <w:pPr>
              <w:pStyle w:val="12"/>
              <w:jc w:val="center"/>
              <w:rPr>
                <w:rFonts w:ascii="宋体" w:hAnsi="宋体"/>
              </w:rPr>
            </w:pPr>
            <w:r>
              <w:rPr>
                <w:rFonts w:ascii="宋体" w:hAnsi="宋体"/>
              </w:rPr>
              <w:t>574</w:t>
            </w:r>
          </w:p>
        </w:tc>
        <w:tc>
          <w:tcPr>
            <w:tcW w:w="407" w:type="pct"/>
            <w:vAlign w:val="center"/>
          </w:tcPr>
          <w:p w14:paraId="5ECF2474">
            <w:pPr>
              <w:pStyle w:val="12"/>
              <w:jc w:val="center"/>
              <w:rPr>
                <w:rFonts w:ascii="宋体" w:hAnsi="宋体"/>
              </w:rPr>
            </w:pPr>
            <w:r>
              <w:rPr>
                <w:rFonts w:ascii="宋体" w:hAnsi="宋体"/>
              </w:rPr>
              <w:t>374</w:t>
            </w:r>
          </w:p>
        </w:tc>
        <w:tc>
          <w:tcPr>
            <w:tcW w:w="407" w:type="pct"/>
            <w:vAlign w:val="center"/>
          </w:tcPr>
          <w:p w14:paraId="6E7C8FA9">
            <w:pPr>
              <w:pStyle w:val="12"/>
              <w:jc w:val="center"/>
              <w:rPr>
                <w:rFonts w:ascii="宋体" w:hAnsi="宋体"/>
              </w:rPr>
            </w:pPr>
            <w:r>
              <w:rPr>
                <w:rFonts w:ascii="宋体" w:hAnsi="宋体"/>
              </w:rPr>
              <w:t>562</w:t>
            </w:r>
          </w:p>
        </w:tc>
        <w:tc>
          <w:tcPr>
            <w:tcW w:w="407" w:type="pct"/>
            <w:vAlign w:val="center"/>
          </w:tcPr>
          <w:p w14:paraId="663A6814">
            <w:pPr>
              <w:pStyle w:val="12"/>
              <w:jc w:val="center"/>
              <w:rPr>
                <w:rFonts w:ascii="宋体" w:hAnsi="宋体"/>
              </w:rPr>
            </w:pPr>
            <w:r>
              <w:rPr>
                <w:rFonts w:ascii="宋体" w:hAnsi="宋体"/>
              </w:rPr>
              <w:t>540</w:t>
            </w:r>
          </w:p>
        </w:tc>
        <w:tc>
          <w:tcPr>
            <w:tcW w:w="407" w:type="pct"/>
            <w:vAlign w:val="center"/>
          </w:tcPr>
          <w:p w14:paraId="67D44F55">
            <w:pPr>
              <w:pStyle w:val="12"/>
              <w:jc w:val="center"/>
              <w:rPr>
                <w:rFonts w:ascii="宋体" w:hAnsi="宋体"/>
              </w:rPr>
            </w:pPr>
            <w:r>
              <w:rPr>
                <w:rFonts w:ascii="宋体" w:hAnsi="宋体"/>
              </w:rPr>
              <w:t>506</w:t>
            </w:r>
          </w:p>
        </w:tc>
        <w:tc>
          <w:tcPr>
            <w:tcW w:w="367" w:type="pct"/>
            <w:vAlign w:val="center"/>
          </w:tcPr>
          <w:p w14:paraId="6469A19B">
            <w:pPr>
              <w:pStyle w:val="12"/>
              <w:jc w:val="center"/>
              <w:rPr>
                <w:rFonts w:ascii="宋体" w:hAnsi="宋体"/>
              </w:rPr>
            </w:pPr>
            <w:r>
              <w:rPr>
                <w:rFonts w:ascii="宋体" w:hAnsi="宋体"/>
              </w:rPr>
              <w:t>463</w:t>
            </w:r>
          </w:p>
        </w:tc>
      </w:tr>
      <w:tr w14:paraId="13EE9B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6" w:type="pct"/>
            <w:vAlign w:val="center"/>
          </w:tcPr>
          <w:p w14:paraId="738B67BA">
            <w:pPr>
              <w:pStyle w:val="12"/>
              <w:jc w:val="center"/>
              <w:rPr>
                <w:rFonts w:ascii="宋体" w:hAnsi="宋体"/>
              </w:rPr>
            </w:pPr>
            <w:r>
              <w:rPr>
                <w:rFonts w:ascii="宋体" w:hAnsi="宋体"/>
              </w:rPr>
              <w:t>1979</w:t>
            </w:r>
          </w:p>
        </w:tc>
        <w:tc>
          <w:tcPr>
            <w:tcW w:w="383" w:type="pct"/>
            <w:vAlign w:val="center"/>
          </w:tcPr>
          <w:p w14:paraId="44D38A4B">
            <w:pPr>
              <w:pStyle w:val="12"/>
              <w:jc w:val="center"/>
              <w:rPr>
                <w:rFonts w:ascii="宋体" w:hAnsi="宋体"/>
              </w:rPr>
            </w:pPr>
            <w:r>
              <w:rPr>
                <w:rFonts w:ascii="宋体" w:hAnsi="宋体"/>
              </w:rPr>
              <w:t>585</w:t>
            </w:r>
          </w:p>
        </w:tc>
        <w:tc>
          <w:tcPr>
            <w:tcW w:w="366" w:type="pct"/>
            <w:vAlign w:val="center"/>
          </w:tcPr>
          <w:p w14:paraId="3BE0CB58">
            <w:pPr>
              <w:pStyle w:val="12"/>
              <w:jc w:val="center"/>
              <w:rPr>
                <w:rFonts w:ascii="宋体" w:hAnsi="宋体"/>
              </w:rPr>
            </w:pPr>
            <w:r>
              <w:rPr>
                <w:rFonts w:ascii="宋体" w:hAnsi="宋体"/>
              </w:rPr>
              <w:t>436</w:t>
            </w:r>
          </w:p>
        </w:tc>
        <w:tc>
          <w:tcPr>
            <w:tcW w:w="354" w:type="pct"/>
            <w:vAlign w:val="center"/>
          </w:tcPr>
          <w:p w14:paraId="4F644CED">
            <w:pPr>
              <w:pStyle w:val="12"/>
              <w:jc w:val="center"/>
              <w:rPr>
                <w:rFonts w:ascii="宋体" w:hAnsi="宋体"/>
              </w:rPr>
            </w:pPr>
            <w:r>
              <w:rPr>
                <w:rFonts w:ascii="宋体" w:hAnsi="宋体"/>
              </w:rPr>
              <w:t>635</w:t>
            </w:r>
          </w:p>
        </w:tc>
        <w:tc>
          <w:tcPr>
            <w:tcW w:w="354" w:type="pct"/>
            <w:vAlign w:val="center"/>
          </w:tcPr>
          <w:p w14:paraId="14DCF52B">
            <w:pPr>
              <w:pStyle w:val="12"/>
              <w:jc w:val="center"/>
              <w:rPr>
                <w:rFonts w:ascii="宋体" w:hAnsi="宋体"/>
              </w:rPr>
            </w:pPr>
            <w:r>
              <w:rPr>
                <w:rFonts w:ascii="宋体" w:hAnsi="宋体"/>
              </w:rPr>
              <w:t>627</w:t>
            </w:r>
          </w:p>
        </w:tc>
        <w:tc>
          <w:tcPr>
            <w:tcW w:w="367" w:type="pct"/>
            <w:vAlign w:val="center"/>
          </w:tcPr>
          <w:p w14:paraId="7317476A">
            <w:pPr>
              <w:pStyle w:val="12"/>
              <w:jc w:val="center"/>
              <w:rPr>
                <w:rFonts w:ascii="宋体" w:hAnsi="宋体"/>
              </w:rPr>
            </w:pPr>
            <w:r>
              <w:rPr>
                <w:rFonts w:ascii="宋体" w:hAnsi="宋体"/>
              </w:rPr>
              <w:t>686</w:t>
            </w:r>
          </w:p>
        </w:tc>
        <w:tc>
          <w:tcPr>
            <w:tcW w:w="407" w:type="pct"/>
            <w:vAlign w:val="center"/>
          </w:tcPr>
          <w:p w14:paraId="2CA3B937">
            <w:pPr>
              <w:pStyle w:val="12"/>
              <w:jc w:val="center"/>
              <w:rPr>
                <w:rFonts w:ascii="宋体" w:hAnsi="宋体"/>
              </w:rPr>
            </w:pPr>
            <w:r>
              <w:rPr>
                <w:rFonts w:ascii="宋体" w:hAnsi="宋体"/>
              </w:rPr>
              <w:t>545</w:t>
            </w:r>
          </w:p>
        </w:tc>
        <w:tc>
          <w:tcPr>
            <w:tcW w:w="407" w:type="pct"/>
            <w:vAlign w:val="center"/>
          </w:tcPr>
          <w:p w14:paraId="17BD826B">
            <w:pPr>
              <w:pStyle w:val="12"/>
              <w:jc w:val="center"/>
              <w:rPr>
                <w:rFonts w:ascii="宋体" w:hAnsi="宋体"/>
              </w:rPr>
            </w:pPr>
            <w:r>
              <w:rPr>
                <w:rFonts w:ascii="宋体" w:hAnsi="宋体"/>
              </w:rPr>
              <w:t>592</w:t>
            </w:r>
          </w:p>
        </w:tc>
        <w:tc>
          <w:tcPr>
            <w:tcW w:w="407" w:type="pct"/>
            <w:vAlign w:val="center"/>
          </w:tcPr>
          <w:p w14:paraId="59713146">
            <w:pPr>
              <w:pStyle w:val="12"/>
              <w:jc w:val="center"/>
              <w:rPr>
                <w:rFonts w:ascii="宋体" w:hAnsi="宋体"/>
              </w:rPr>
            </w:pPr>
            <w:r>
              <w:rPr>
                <w:rFonts w:ascii="宋体" w:hAnsi="宋体"/>
              </w:rPr>
              <w:t>393</w:t>
            </w:r>
          </w:p>
        </w:tc>
        <w:tc>
          <w:tcPr>
            <w:tcW w:w="407" w:type="pct"/>
            <w:vAlign w:val="center"/>
          </w:tcPr>
          <w:p w14:paraId="3560BB59">
            <w:pPr>
              <w:pStyle w:val="12"/>
              <w:jc w:val="center"/>
              <w:rPr>
                <w:rFonts w:ascii="宋体" w:hAnsi="宋体"/>
              </w:rPr>
            </w:pPr>
            <w:r>
              <w:rPr>
                <w:rFonts w:ascii="宋体" w:hAnsi="宋体"/>
              </w:rPr>
              <w:t>362</w:t>
            </w:r>
          </w:p>
        </w:tc>
        <w:tc>
          <w:tcPr>
            <w:tcW w:w="407" w:type="pct"/>
            <w:vAlign w:val="center"/>
          </w:tcPr>
          <w:p w14:paraId="5F90F2D5">
            <w:pPr>
              <w:pStyle w:val="12"/>
              <w:jc w:val="center"/>
              <w:rPr>
                <w:rFonts w:ascii="宋体" w:hAnsi="宋体"/>
              </w:rPr>
            </w:pPr>
            <w:r>
              <w:rPr>
                <w:rFonts w:ascii="宋体" w:hAnsi="宋体"/>
              </w:rPr>
              <w:t>521</w:t>
            </w:r>
          </w:p>
        </w:tc>
        <w:tc>
          <w:tcPr>
            <w:tcW w:w="407" w:type="pct"/>
            <w:vAlign w:val="center"/>
          </w:tcPr>
          <w:p w14:paraId="5E216518">
            <w:pPr>
              <w:pStyle w:val="12"/>
              <w:jc w:val="center"/>
              <w:rPr>
                <w:rFonts w:ascii="宋体" w:hAnsi="宋体"/>
              </w:rPr>
            </w:pPr>
            <w:r>
              <w:rPr>
                <w:rFonts w:ascii="宋体" w:hAnsi="宋体"/>
              </w:rPr>
              <w:t>566</w:t>
            </w:r>
          </w:p>
        </w:tc>
        <w:tc>
          <w:tcPr>
            <w:tcW w:w="367" w:type="pct"/>
            <w:vAlign w:val="center"/>
          </w:tcPr>
          <w:p w14:paraId="598DE885">
            <w:pPr>
              <w:pStyle w:val="12"/>
              <w:jc w:val="center"/>
              <w:rPr>
                <w:rFonts w:ascii="宋体" w:hAnsi="宋体"/>
              </w:rPr>
            </w:pPr>
            <w:r>
              <w:rPr>
                <w:rFonts w:ascii="宋体" w:hAnsi="宋体"/>
              </w:rPr>
              <w:t>508</w:t>
            </w:r>
          </w:p>
        </w:tc>
      </w:tr>
      <w:tr w14:paraId="08BD0D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6" w:type="pct"/>
            <w:vAlign w:val="center"/>
          </w:tcPr>
          <w:p w14:paraId="1528EE2E">
            <w:pPr>
              <w:pStyle w:val="12"/>
              <w:jc w:val="center"/>
              <w:rPr>
                <w:rFonts w:ascii="宋体" w:hAnsi="宋体"/>
              </w:rPr>
            </w:pPr>
            <w:r>
              <w:rPr>
                <w:rFonts w:ascii="宋体" w:hAnsi="宋体"/>
              </w:rPr>
              <w:t>1983</w:t>
            </w:r>
          </w:p>
        </w:tc>
        <w:tc>
          <w:tcPr>
            <w:tcW w:w="383" w:type="pct"/>
            <w:vAlign w:val="center"/>
          </w:tcPr>
          <w:p w14:paraId="22EEC795">
            <w:pPr>
              <w:pStyle w:val="12"/>
              <w:jc w:val="center"/>
              <w:rPr>
                <w:rFonts w:ascii="宋体" w:hAnsi="宋体"/>
              </w:rPr>
            </w:pPr>
            <w:r>
              <w:rPr>
                <w:rFonts w:ascii="宋体" w:hAnsi="宋体"/>
              </w:rPr>
              <w:t>737</w:t>
            </w:r>
          </w:p>
        </w:tc>
        <w:tc>
          <w:tcPr>
            <w:tcW w:w="366" w:type="pct"/>
            <w:vAlign w:val="center"/>
          </w:tcPr>
          <w:p w14:paraId="5DD3FE8C">
            <w:pPr>
              <w:pStyle w:val="12"/>
              <w:jc w:val="center"/>
              <w:rPr>
                <w:rFonts w:ascii="宋体" w:hAnsi="宋体"/>
              </w:rPr>
            </w:pPr>
            <w:r>
              <w:rPr>
                <w:rFonts w:ascii="宋体" w:hAnsi="宋体"/>
              </w:rPr>
              <w:t>1015</w:t>
            </w:r>
          </w:p>
        </w:tc>
        <w:tc>
          <w:tcPr>
            <w:tcW w:w="354" w:type="pct"/>
            <w:vAlign w:val="center"/>
          </w:tcPr>
          <w:p w14:paraId="0D181054">
            <w:pPr>
              <w:pStyle w:val="12"/>
              <w:jc w:val="center"/>
              <w:rPr>
                <w:rFonts w:ascii="宋体" w:hAnsi="宋体"/>
              </w:rPr>
            </w:pPr>
            <w:r>
              <w:rPr>
                <w:rFonts w:ascii="宋体" w:hAnsi="宋体"/>
              </w:rPr>
              <w:t>789</w:t>
            </w:r>
          </w:p>
        </w:tc>
        <w:tc>
          <w:tcPr>
            <w:tcW w:w="354" w:type="pct"/>
            <w:vAlign w:val="center"/>
          </w:tcPr>
          <w:p w14:paraId="6B17AAF6">
            <w:pPr>
              <w:pStyle w:val="12"/>
              <w:jc w:val="center"/>
              <w:rPr>
                <w:rFonts w:ascii="宋体" w:hAnsi="宋体"/>
              </w:rPr>
            </w:pPr>
            <w:r>
              <w:rPr>
                <w:rFonts w:ascii="宋体" w:hAnsi="宋体"/>
              </w:rPr>
              <w:t>664</w:t>
            </w:r>
          </w:p>
        </w:tc>
        <w:tc>
          <w:tcPr>
            <w:tcW w:w="367" w:type="pct"/>
            <w:vAlign w:val="center"/>
          </w:tcPr>
          <w:p w14:paraId="3E866DD7">
            <w:pPr>
              <w:pStyle w:val="12"/>
              <w:jc w:val="center"/>
              <w:rPr>
                <w:rFonts w:ascii="宋体" w:hAnsi="宋体"/>
              </w:rPr>
            </w:pPr>
            <w:r>
              <w:rPr>
                <w:rFonts w:ascii="宋体" w:hAnsi="宋体"/>
              </w:rPr>
              <w:t>837</w:t>
            </w:r>
          </w:p>
        </w:tc>
        <w:tc>
          <w:tcPr>
            <w:tcW w:w="407" w:type="pct"/>
            <w:vAlign w:val="center"/>
          </w:tcPr>
          <w:p w14:paraId="799A13DE">
            <w:pPr>
              <w:pStyle w:val="12"/>
              <w:jc w:val="center"/>
              <w:rPr>
                <w:rFonts w:ascii="宋体" w:hAnsi="宋体"/>
              </w:rPr>
            </w:pPr>
            <w:r>
              <w:rPr>
                <w:rFonts w:ascii="宋体" w:hAnsi="宋体"/>
              </w:rPr>
              <w:t>914</w:t>
            </w:r>
          </w:p>
        </w:tc>
        <w:tc>
          <w:tcPr>
            <w:tcW w:w="407" w:type="pct"/>
            <w:vAlign w:val="center"/>
          </w:tcPr>
          <w:p w14:paraId="6EB2253E">
            <w:pPr>
              <w:pStyle w:val="12"/>
              <w:jc w:val="center"/>
              <w:rPr>
                <w:rFonts w:ascii="宋体" w:hAnsi="宋体"/>
              </w:rPr>
            </w:pPr>
            <w:r>
              <w:rPr>
                <w:rFonts w:ascii="宋体" w:hAnsi="宋体"/>
              </w:rPr>
              <w:t>674</w:t>
            </w:r>
          </w:p>
        </w:tc>
        <w:tc>
          <w:tcPr>
            <w:tcW w:w="407" w:type="pct"/>
            <w:vAlign w:val="center"/>
          </w:tcPr>
          <w:p w14:paraId="38965007">
            <w:pPr>
              <w:pStyle w:val="12"/>
              <w:jc w:val="center"/>
              <w:rPr>
                <w:rFonts w:ascii="宋体" w:hAnsi="宋体"/>
              </w:rPr>
            </w:pPr>
            <w:r>
              <w:rPr>
                <w:rFonts w:ascii="宋体" w:hAnsi="宋体"/>
              </w:rPr>
              <w:t>609</w:t>
            </w:r>
          </w:p>
        </w:tc>
        <w:tc>
          <w:tcPr>
            <w:tcW w:w="407" w:type="pct"/>
            <w:vAlign w:val="center"/>
          </w:tcPr>
          <w:p w14:paraId="4BC8EF0B">
            <w:pPr>
              <w:pStyle w:val="12"/>
              <w:jc w:val="center"/>
              <w:rPr>
                <w:rFonts w:ascii="宋体" w:hAnsi="宋体"/>
              </w:rPr>
            </w:pPr>
            <w:r>
              <w:rPr>
                <w:rFonts w:ascii="宋体" w:hAnsi="宋体"/>
              </w:rPr>
              <w:t>612</w:t>
            </w:r>
          </w:p>
        </w:tc>
        <w:tc>
          <w:tcPr>
            <w:tcW w:w="407" w:type="pct"/>
            <w:vAlign w:val="center"/>
          </w:tcPr>
          <w:p w14:paraId="7480D084">
            <w:pPr>
              <w:pStyle w:val="12"/>
              <w:jc w:val="center"/>
              <w:rPr>
                <w:rFonts w:ascii="宋体" w:hAnsi="宋体"/>
              </w:rPr>
            </w:pPr>
            <w:r>
              <w:rPr>
                <w:rFonts w:ascii="宋体" w:hAnsi="宋体"/>
              </w:rPr>
              <w:t>1031</w:t>
            </w:r>
          </w:p>
        </w:tc>
        <w:tc>
          <w:tcPr>
            <w:tcW w:w="407" w:type="pct"/>
            <w:vAlign w:val="center"/>
          </w:tcPr>
          <w:p w14:paraId="5B706BAF">
            <w:pPr>
              <w:pStyle w:val="12"/>
              <w:jc w:val="center"/>
              <w:rPr>
                <w:rFonts w:ascii="宋体" w:hAnsi="宋体"/>
              </w:rPr>
            </w:pPr>
            <w:r>
              <w:rPr>
                <w:rFonts w:ascii="宋体" w:hAnsi="宋体"/>
              </w:rPr>
              <w:t>725</w:t>
            </w:r>
          </w:p>
        </w:tc>
        <w:tc>
          <w:tcPr>
            <w:tcW w:w="367" w:type="pct"/>
            <w:vAlign w:val="center"/>
          </w:tcPr>
          <w:p w14:paraId="05FBE632">
            <w:pPr>
              <w:pStyle w:val="12"/>
              <w:jc w:val="center"/>
              <w:rPr>
                <w:rFonts w:ascii="宋体" w:hAnsi="宋体"/>
              </w:rPr>
            </w:pPr>
            <w:r>
              <w:rPr>
                <w:rFonts w:ascii="宋体" w:hAnsi="宋体"/>
              </w:rPr>
              <w:t>1177</w:t>
            </w:r>
          </w:p>
        </w:tc>
      </w:tr>
      <w:tr w14:paraId="0A051B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6" w:type="pct"/>
            <w:vAlign w:val="center"/>
          </w:tcPr>
          <w:p w14:paraId="37D40BAA">
            <w:pPr>
              <w:pStyle w:val="12"/>
              <w:jc w:val="center"/>
              <w:rPr>
                <w:rFonts w:ascii="宋体" w:hAnsi="宋体"/>
              </w:rPr>
            </w:pPr>
            <w:r>
              <w:rPr>
                <w:rFonts w:ascii="宋体" w:hAnsi="宋体"/>
              </w:rPr>
              <w:t>1987</w:t>
            </w:r>
          </w:p>
        </w:tc>
        <w:tc>
          <w:tcPr>
            <w:tcW w:w="383" w:type="pct"/>
            <w:vAlign w:val="center"/>
          </w:tcPr>
          <w:p w14:paraId="3A006A05">
            <w:pPr>
              <w:pStyle w:val="12"/>
              <w:jc w:val="center"/>
              <w:rPr>
                <w:rFonts w:ascii="宋体" w:hAnsi="宋体"/>
              </w:rPr>
            </w:pPr>
            <w:r>
              <w:rPr>
                <w:rFonts w:ascii="宋体" w:hAnsi="宋体"/>
              </w:rPr>
              <w:t>1188</w:t>
            </w:r>
          </w:p>
        </w:tc>
        <w:tc>
          <w:tcPr>
            <w:tcW w:w="366" w:type="pct"/>
            <w:vAlign w:val="center"/>
          </w:tcPr>
          <w:p w14:paraId="10181A2D">
            <w:pPr>
              <w:pStyle w:val="12"/>
              <w:jc w:val="center"/>
              <w:rPr>
                <w:rFonts w:ascii="宋体" w:hAnsi="宋体"/>
              </w:rPr>
            </w:pPr>
            <w:r>
              <w:rPr>
                <w:rFonts w:ascii="宋体" w:hAnsi="宋体"/>
              </w:rPr>
              <w:t>1040</w:t>
            </w:r>
          </w:p>
        </w:tc>
        <w:tc>
          <w:tcPr>
            <w:tcW w:w="354" w:type="pct"/>
            <w:vAlign w:val="center"/>
          </w:tcPr>
          <w:p w14:paraId="7B2600B3">
            <w:pPr>
              <w:pStyle w:val="12"/>
              <w:jc w:val="center"/>
              <w:rPr>
                <w:rFonts w:ascii="宋体" w:hAnsi="宋体"/>
              </w:rPr>
            </w:pPr>
            <w:r>
              <w:rPr>
                <w:rFonts w:ascii="宋体" w:hAnsi="宋体"/>
              </w:rPr>
              <w:t>988</w:t>
            </w:r>
          </w:p>
        </w:tc>
        <w:tc>
          <w:tcPr>
            <w:tcW w:w="354" w:type="pct"/>
            <w:vAlign w:val="center"/>
          </w:tcPr>
          <w:p w14:paraId="0D35DE37">
            <w:pPr>
              <w:pStyle w:val="12"/>
              <w:jc w:val="center"/>
              <w:rPr>
                <w:rFonts w:ascii="宋体" w:hAnsi="宋体"/>
              </w:rPr>
            </w:pPr>
            <w:r>
              <w:rPr>
                <w:rFonts w:ascii="宋体" w:hAnsi="宋体"/>
              </w:rPr>
              <w:t>910</w:t>
            </w:r>
          </w:p>
        </w:tc>
        <w:tc>
          <w:tcPr>
            <w:tcW w:w="367" w:type="pct"/>
            <w:vAlign w:val="center"/>
          </w:tcPr>
          <w:p w14:paraId="19BD2538">
            <w:pPr>
              <w:pStyle w:val="12"/>
              <w:jc w:val="center"/>
              <w:rPr>
                <w:rFonts w:ascii="宋体" w:hAnsi="宋体"/>
              </w:rPr>
            </w:pPr>
            <w:r>
              <w:rPr>
                <w:rFonts w:ascii="宋体" w:hAnsi="宋体"/>
              </w:rPr>
              <w:t>1374</w:t>
            </w:r>
          </w:p>
        </w:tc>
        <w:tc>
          <w:tcPr>
            <w:tcW w:w="407" w:type="pct"/>
            <w:vAlign w:val="center"/>
          </w:tcPr>
          <w:p w14:paraId="31C9C35D">
            <w:pPr>
              <w:pStyle w:val="12"/>
              <w:jc w:val="center"/>
              <w:rPr>
                <w:rFonts w:ascii="宋体" w:hAnsi="宋体"/>
              </w:rPr>
            </w:pPr>
            <w:r>
              <w:rPr>
                <w:rFonts w:ascii="宋体" w:hAnsi="宋体"/>
              </w:rPr>
              <w:t>1605</w:t>
            </w:r>
          </w:p>
        </w:tc>
        <w:tc>
          <w:tcPr>
            <w:tcW w:w="407" w:type="pct"/>
            <w:vAlign w:val="center"/>
          </w:tcPr>
          <w:p w14:paraId="1A9874AB">
            <w:pPr>
              <w:pStyle w:val="12"/>
              <w:jc w:val="center"/>
              <w:rPr>
                <w:rFonts w:ascii="宋体" w:hAnsi="宋体"/>
              </w:rPr>
            </w:pPr>
            <w:r>
              <w:rPr>
                <w:rFonts w:ascii="宋体" w:hAnsi="宋体"/>
              </w:rPr>
              <w:t>737</w:t>
            </w:r>
          </w:p>
        </w:tc>
        <w:tc>
          <w:tcPr>
            <w:tcW w:w="407" w:type="pct"/>
            <w:vAlign w:val="center"/>
          </w:tcPr>
          <w:p w14:paraId="7EFFC1A9">
            <w:pPr>
              <w:pStyle w:val="12"/>
              <w:jc w:val="center"/>
              <w:rPr>
                <w:rFonts w:ascii="宋体" w:hAnsi="宋体"/>
              </w:rPr>
            </w:pPr>
            <w:r>
              <w:rPr>
                <w:rFonts w:ascii="宋体" w:hAnsi="宋体"/>
              </w:rPr>
              <w:t>1437</w:t>
            </w:r>
          </w:p>
        </w:tc>
        <w:tc>
          <w:tcPr>
            <w:tcW w:w="407" w:type="pct"/>
            <w:vAlign w:val="center"/>
          </w:tcPr>
          <w:p w14:paraId="0DA1BDC2">
            <w:pPr>
              <w:pStyle w:val="12"/>
              <w:jc w:val="center"/>
              <w:rPr>
                <w:rFonts w:ascii="宋体" w:hAnsi="宋体"/>
              </w:rPr>
            </w:pPr>
            <w:r>
              <w:rPr>
                <w:rFonts w:ascii="宋体" w:hAnsi="宋体"/>
              </w:rPr>
              <w:t>1365</w:t>
            </w:r>
          </w:p>
        </w:tc>
        <w:tc>
          <w:tcPr>
            <w:tcW w:w="407" w:type="pct"/>
            <w:vAlign w:val="center"/>
          </w:tcPr>
          <w:p w14:paraId="4AED84E9">
            <w:pPr>
              <w:pStyle w:val="12"/>
              <w:jc w:val="center"/>
              <w:rPr>
                <w:rFonts w:ascii="宋体" w:hAnsi="宋体"/>
              </w:rPr>
            </w:pPr>
            <w:r>
              <w:rPr>
                <w:rFonts w:ascii="宋体" w:hAnsi="宋体"/>
              </w:rPr>
              <w:t>1740</w:t>
            </w:r>
          </w:p>
        </w:tc>
        <w:tc>
          <w:tcPr>
            <w:tcW w:w="407" w:type="pct"/>
            <w:vAlign w:val="center"/>
          </w:tcPr>
          <w:p w14:paraId="5EE014A5">
            <w:pPr>
              <w:pStyle w:val="12"/>
              <w:jc w:val="center"/>
              <w:rPr>
                <w:rFonts w:ascii="宋体" w:hAnsi="宋体"/>
              </w:rPr>
            </w:pPr>
            <w:r>
              <w:rPr>
                <w:rFonts w:ascii="宋体" w:hAnsi="宋体"/>
              </w:rPr>
              <w:t>1391</w:t>
            </w:r>
          </w:p>
        </w:tc>
        <w:tc>
          <w:tcPr>
            <w:tcW w:w="367" w:type="pct"/>
            <w:vAlign w:val="center"/>
          </w:tcPr>
          <w:p w14:paraId="016F141D">
            <w:pPr>
              <w:pStyle w:val="12"/>
              <w:jc w:val="center"/>
              <w:rPr>
                <w:rFonts w:ascii="宋体" w:hAnsi="宋体"/>
              </w:rPr>
            </w:pPr>
            <w:r>
              <w:rPr>
                <w:rFonts w:ascii="宋体" w:hAnsi="宋体"/>
              </w:rPr>
              <w:t>1737</w:t>
            </w:r>
          </w:p>
        </w:tc>
      </w:tr>
    </w:tbl>
    <w:p w14:paraId="591AE329">
      <w:pPr>
        <w:ind w:firstLine="0" w:firstLineChars="0"/>
        <w:jc w:val="center"/>
        <w:rPr>
          <w:b/>
        </w:rPr>
      </w:pPr>
      <w:r>
        <w:rPr>
          <w:rFonts w:hint="eastAsia"/>
          <w:b/>
        </w:rPr>
        <w:t>1988年至2004年南雄市集体单位在岗职工工资情况</w:t>
      </w:r>
    </w:p>
    <w:p w14:paraId="53F55B06">
      <w:pPr>
        <w:ind w:firstLine="0" w:firstLineChars="0"/>
        <w:rPr>
          <w:b/>
        </w:rPr>
      </w:pPr>
      <w:r>
        <w:rPr>
          <w:rFonts w:hint="eastAsia"/>
          <w:b/>
        </w:rPr>
        <w:t>表6-24</w:t>
      </w:r>
    </w:p>
    <w:p w14:paraId="11418290">
      <w:pPr>
        <w:ind w:firstLine="0" w:firstLineChars="0"/>
        <w:jc w:val="right"/>
        <w:rPr>
          <w:b/>
        </w:rPr>
      </w:pPr>
      <w:r>
        <w:rPr>
          <w:rFonts w:hint="eastAsia"/>
          <w:b/>
        </w:rPr>
        <w:t>单位：人、元</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5"/>
        <w:gridCol w:w="1245"/>
        <w:gridCol w:w="1245"/>
        <w:gridCol w:w="1245"/>
        <w:gridCol w:w="1245"/>
        <w:gridCol w:w="1245"/>
        <w:gridCol w:w="1246"/>
        <w:gridCol w:w="1246"/>
      </w:tblGrid>
      <w:tr w14:paraId="577357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restart"/>
            <w:vAlign w:val="center"/>
          </w:tcPr>
          <w:p w14:paraId="51B0DFB3">
            <w:pPr>
              <w:pStyle w:val="12"/>
              <w:jc w:val="center"/>
              <w:rPr>
                <w:b/>
              </w:rPr>
            </w:pPr>
            <w:r>
              <w:rPr>
                <w:rFonts w:hint="eastAsia"/>
                <w:b/>
              </w:rPr>
              <w:t>年份</w:t>
            </w:r>
          </w:p>
        </w:tc>
        <w:tc>
          <w:tcPr>
            <w:tcW w:w="625" w:type="pct"/>
            <w:vMerge w:val="restart"/>
            <w:vAlign w:val="center"/>
          </w:tcPr>
          <w:p w14:paraId="018CDC16">
            <w:pPr>
              <w:pStyle w:val="12"/>
              <w:jc w:val="center"/>
              <w:rPr>
                <w:b/>
              </w:rPr>
            </w:pPr>
            <w:r>
              <w:rPr>
                <w:rFonts w:hint="eastAsia"/>
                <w:b/>
              </w:rPr>
              <w:t>人数</w:t>
            </w:r>
          </w:p>
        </w:tc>
        <w:tc>
          <w:tcPr>
            <w:tcW w:w="625" w:type="pct"/>
            <w:vMerge w:val="restart"/>
            <w:vAlign w:val="center"/>
          </w:tcPr>
          <w:p w14:paraId="69B9B8FF">
            <w:pPr>
              <w:pStyle w:val="12"/>
              <w:jc w:val="center"/>
              <w:rPr>
                <w:b/>
              </w:rPr>
            </w:pPr>
            <w:r>
              <w:rPr>
                <w:rFonts w:hint="eastAsia"/>
                <w:b/>
              </w:rPr>
              <w:t>全部职工年平均工资</w:t>
            </w:r>
          </w:p>
        </w:tc>
        <w:tc>
          <w:tcPr>
            <w:tcW w:w="3126" w:type="pct"/>
            <w:gridSpan w:val="5"/>
            <w:vAlign w:val="center"/>
          </w:tcPr>
          <w:p w14:paraId="11BFA2E3">
            <w:pPr>
              <w:pStyle w:val="12"/>
              <w:jc w:val="center"/>
              <w:rPr>
                <w:b/>
              </w:rPr>
            </w:pPr>
            <w:r>
              <w:rPr>
                <w:rFonts w:hint="eastAsia"/>
                <w:b/>
              </w:rPr>
              <w:t>各国民经济行业职工年平均工资</w:t>
            </w:r>
          </w:p>
        </w:tc>
      </w:tr>
      <w:tr w14:paraId="47B8A03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14:paraId="5CAE04BF">
            <w:pPr>
              <w:pStyle w:val="12"/>
              <w:jc w:val="center"/>
              <w:rPr>
                <w:b/>
              </w:rPr>
            </w:pPr>
          </w:p>
        </w:tc>
        <w:tc>
          <w:tcPr>
            <w:tcW w:w="625" w:type="pct"/>
            <w:vMerge w:val="continue"/>
            <w:vAlign w:val="center"/>
          </w:tcPr>
          <w:p w14:paraId="2AD38F3A">
            <w:pPr>
              <w:pStyle w:val="12"/>
              <w:jc w:val="center"/>
              <w:rPr>
                <w:b/>
              </w:rPr>
            </w:pPr>
          </w:p>
        </w:tc>
        <w:tc>
          <w:tcPr>
            <w:tcW w:w="625" w:type="pct"/>
            <w:vMerge w:val="continue"/>
            <w:vAlign w:val="center"/>
          </w:tcPr>
          <w:p w14:paraId="0CD79CC7">
            <w:pPr>
              <w:pStyle w:val="12"/>
              <w:jc w:val="center"/>
              <w:rPr>
                <w:b/>
              </w:rPr>
            </w:pPr>
          </w:p>
        </w:tc>
        <w:tc>
          <w:tcPr>
            <w:tcW w:w="625" w:type="pct"/>
            <w:vAlign w:val="center"/>
          </w:tcPr>
          <w:p w14:paraId="54639080">
            <w:pPr>
              <w:pStyle w:val="12"/>
              <w:jc w:val="center"/>
              <w:rPr>
                <w:b/>
              </w:rPr>
            </w:pPr>
            <w:r>
              <w:rPr>
                <w:rFonts w:hint="eastAsia"/>
                <w:b/>
              </w:rPr>
              <w:t>工业</w:t>
            </w:r>
          </w:p>
        </w:tc>
        <w:tc>
          <w:tcPr>
            <w:tcW w:w="625" w:type="pct"/>
            <w:vAlign w:val="center"/>
          </w:tcPr>
          <w:p w14:paraId="2812F141">
            <w:pPr>
              <w:pStyle w:val="12"/>
              <w:jc w:val="center"/>
              <w:rPr>
                <w:b/>
              </w:rPr>
            </w:pPr>
            <w:r>
              <w:rPr>
                <w:rFonts w:hint="eastAsia"/>
                <w:b/>
              </w:rPr>
              <w:t>建筑业</w:t>
            </w:r>
          </w:p>
        </w:tc>
        <w:tc>
          <w:tcPr>
            <w:tcW w:w="625" w:type="pct"/>
            <w:vAlign w:val="center"/>
          </w:tcPr>
          <w:p w14:paraId="6FB4333B">
            <w:pPr>
              <w:pStyle w:val="12"/>
              <w:jc w:val="center"/>
              <w:rPr>
                <w:b/>
              </w:rPr>
            </w:pPr>
            <w:r>
              <w:rPr>
                <w:rFonts w:hint="eastAsia"/>
                <w:b/>
              </w:rPr>
              <w:t>房地产业</w:t>
            </w:r>
          </w:p>
        </w:tc>
        <w:tc>
          <w:tcPr>
            <w:tcW w:w="625" w:type="pct"/>
            <w:vAlign w:val="center"/>
          </w:tcPr>
          <w:p w14:paraId="478F47A3">
            <w:pPr>
              <w:pStyle w:val="12"/>
              <w:jc w:val="center"/>
              <w:rPr>
                <w:b/>
              </w:rPr>
            </w:pPr>
            <w:r>
              <w:rPr>
                <w:rFonts w:hint="eastAsia"/>
                <w:b/>
              </w:rPr>
              <w:t>商业、贸易业、饮食业、供销业</w:t>
            </w:r>
          </w:p>
        </w:tc>
        <w:tc>
          <w:tcPr>
            <w:tcW w:w="625" w:type="pct"/>
            <w:vAlign w:val="center"/>
          </w:tcPr>
          <w:p w14:paraId="5E59FD92">
            <w:pPr>
              <w:pStyle w:val="12"/>
              <w:jc w:val="center"/>
              <w:rPr>
                <w:b/>
              </w:rPr>
            </w:pPr>
            <w:r>
              <w:rPr>
                <w:rFonts w:hint="eastAsia"/>
                <w:b/>
              </w:rPr>
              <w:t>其他行业</w:t>
            </w:r>
          </w:p>
        </w:tc>
      </w:tr>
      <w:tr w14:paraId="257BD8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3F210EAD">
            <w:pPr>
              <w:pStyle w:val="12"/>
              <w:jc w:val="center"/>
            </w:pPr>
            <w:r>
              <w:t>1988</w:t>
            </w:r>
          </w:p>
        </w:tc>
        <w:tc>
          <w:tcPr>
            <w:tcW w:w="625" w:type="pct"/>
            <w:vAlign w:val="center"/>
          </w:tcPr>
          <w:p w14:paraId="33D92A32">
            <w:pPr>
              <w:pStyle w:val="12"/>
              <w:jc w:val="center"/>
            </w:pPr>
            <w:r>
              <w:t>7506</w:t>
            </w:r>
          </w:p>
        </w:tc>
        <w:tc>
          <w:tcPr>
            <w:tcW w:w="625" w:type="pct"/>
            <w:vAlign w:val="center"/>
          </w:tcPr>
          <w:p w14:paraId="4EC609BA">
            <w:pPr>
              <w:pStyle w:val="12"/>
              <w:jc w:val="center"/>
            </w:pPr>
            <w:r>
              <w:t>1592</w:t>
            </w:r>
          </w:p>
        </w:tc>
        <w:tc>
          <w:tcPr>
            <w:tcW w:w="625" w:type="pct"/>
            <w:vAlign w:val="center"/>
          </w:tcPr>
          <w:p w14:paraId="5B0119BA">
            <w:pPr>
              <w:pStyle w:val="12"/>
              <w:jc w:val="center"/>
            </w:pPr>
            <w:r>
              <w:t>1372</w:t>
            </w:r>
          </w:p>
        </w:tc>
        <w:tc>
          <w:tcPr>
            <w:tcW w:w="625" w:type="pct"/>
            <w:vAlign w:val="center"/>
          </w:tcPr>
          <w:p w14:paraId="04F95579">
            <w:pPr>
              <w:pStyle w:val="12"/>
              <w:jc w:val="center"/>
            </w:pPr>
            <w:r>
              <w:t>1798</w:t>
            </w:r>
          </w:p>
        </w:tc>
        <w:tc>
          <w:tcPr>
            <w:tcW w:w="625" w:type="pct"/>
            <w:vAlign w:val="center"/>
          </w:tcPr>
          <w:p w14:paraId="55B3F33E">
            <w:pPr>
              <w:pStyle w:val="12"/>
              <w:jc w:val="center"/>
            </w:pPr>
            <w:r>
              <w:t>1826</w:t>
            </w:r>
          </w:p>
        </w:tc>
        <w:tc>
          <w:tcPr>
            <w:tcW w:w="625" w:type="pct"/>
            <w:vAlign w:val="center"/>
          </w:tcPr>
          <w:p w14:paraId="348A42CD">
            <w:pPr>
              <w:pStyle w:val="12"/>
              <w:jc w:val="center"/>
            </w:pPr>
            <w:r>
              <w:t>2021</w:t>
            </w:r>
          </w:p>
        </w:tc>
        <w:tc>
          <w:tcPr>
            <w:tcW w:w="625" w:type="pct"/>
            <w:vAlign w:val="center"/>
          </w:tcPr>
          <w:p w14:paraId="0D884556">
            <w:pPr>
              <w:pStyle w:val="12"/>
              <w:jc w:val="center"/>
            </w:pPr>
            <w:r>
              <w:t>—</w:t>
            </w:r>
          </w:p>
        </w:tc>
      </w:tr>
      <w:tr w14:paraId="2C1C41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3377F9F7">
            <w:pPr>
              <w:pStyle w:val="12"/>
              <w:jc w:val="center"/>
            </w:pPr>
            <w:r>
              <w:t>1993</w:t>
            </w:r>
          </w:p>
        </w:tc>
        <w:tc>
          <w:tcPr>
            <w:tcW w:w="625" w:type="pct"/>
            <w:vAlign w:val="center"/>
          </w:tcPr>
          <w:p w14:paraId="66DE5C79">
            <w:pPr>
              <w:pStyle w:val="12"/>
              <w:jc w:val="center"/>
            </w:pPr>
            <w:r>
              <w:t>5744</w:t>
            </w:r>
          </w:p>
        </w:tc>
        <w:tc>
          <w:tcPr>
            <w:tcW w:w="625" w:type="pct"/>
            <w:vAlign w:val="center"/>
          </w:tcPr>
          <w:p w14:paraId="2F295E54">
            <w:pPr>
              <w:pStyle w:val="12"/>
              <w:jc w:val="center"/>
            </w:pPr>
            <w:r>
              <w:t>2733</w:t>
            </w:r>
          </w:p>
        </w:tc>
        <w:tc>
          <w:tcPr>
            <w:tcW w:w="625" w:type="pct"/>
            <w:vAlign w:val="center"/>
          </w:tcPr>
          <w:p w14:paraId="1CBBAA25">
            <w:pPr>
              <w:pStyle w:val="12"/>
              <w:jc w:val="center"/>
            </w:pPr>
            <w:r>
              <w:t>2490</w:t>
            </w:r>
          </w:p>
        </w:tc>
        <w:tc>
          <w:tcPr>
            <w:tcW w:w="625" w:type="pct"/>
            <w:vAlign w:val="center"/>
          </w:tcPr>
          <w:p w14:paraId="0DFF55C1">
            <w:pPr>
              <w:pStyle w:val="12"/>
              <w:jc w:val="center"/>
            </w:pPr>
            <w:r>
              <w:t>3742</w:t>
            </w:r>
          </w:p>
        </w:tc>
        <w:tc>
          <w:tcPr>
            <w:tcW w:w="625" w:type="pct"/>
            <w:vAlign w:val="center"/>
          </w:tcPr>
          <w:p w14:paraId="7C00B5D0">
            <w:pPr>
              <w:pStyle w:val="12"/>
              <w:jc w:val="center"/>
            </w:pPr>
            <w:r>
              <w:t>—</w:t>
            </w:r>
          </w:p>
        </w:tc>
        <w:tc>
          <w:tcPr>
            <w:tcW w:w="625" w:type="pct"/>
            <w:vAlign w:val="center"/>
          </w:tcPr>
          <w:p w14:paraId="753C7075">
            <w:pPr>
              <w:pStyle w:val="12"/>
              <w:jc w:val="center"/>
            </w:pPr>
            <w:r>
              <w:t>2313</w:t>
            </w:r>
          </w:p>
        </w:tc>
        <w:tc>
          <w:tcPr>
            <w:tcW w:w="625" w:type="pct"/>
            <w:vAlign w:val="center"/>
          </w:tcPr>
          <w:p w14:paraId="4A97C1F0">
            <w:pPr>
              <w:pStyle w:val="12"/>
              <w:jc w:val="center"/>
            </w:pPr>
            <w:r>
              <w:t>—</w:t>
            </w:r>
          </w:p>
        </w:tc>
      </w:tr>
      <w:tr w14:paraId="0F7AB7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26FC12E7">
            <w:pPr>
              <w:pStyle w:val="12"/>
              <w:jc w:val="center"/>
            </w:pPr>
            <w:r>
              <w:t>1994</w:t>
            </w:r>
          </w:p>
        </w:tc>
        <w:tc>
          <w:tcPr>
            <w:tcW w:w="625" w:type="pct"/>
            <w:vAlign w:val="center"/>
          </w:tcPr>
          <w:p w14:paraId="39AA55BE">
            <w:pPr>
              <w:pStyle w:val="12"/>
              <w:jc w:val="center"/>
            </w:pPr>
            <w:r>
              <w:t>5711</w:t>
            </w:r>
          </w:p>
        </w:tc>
        <w:tc>
          <w:tcPr>
            <w:tcW w:w="625" w:type="pct"/>
            <w:vAlign w:val="center"/>
          </w:tcPr>
          <w:p w14:paraId="276B7789">
            <w:pPr>
              <w:pStyle w:val="12"/>
              <w:jc w:val="center"/>
            </w:pPr>
            <w:r>
              <w:t>3033</w:t>
            </w:r>
          </w:p>
        </w:tc>
        <w:tc>
          <w:tcPr>
            <w:tcW w:w="625" w:type="pct"/>
            <w:vAlign w:val="center"/>
          </w:tcPr>
          <w:p w14:paraId="6163513B">
            <w:pPr>
              <w:pStyle w:val="12"/>
              <w:jc w:val="center"/>
            </w:pPr>
            <w:r>
              <w:t>2991</w:t>
            </w:r>
          </w:p>
        </w:tc>
        <w:tc>
          <w:tcPr>
            <w:tcW w:w="625" w:type="pct"/>
            <w:vAlign w:val="center"/>
          </w:tcPr>
          <w:p w14:paraId="1EA693A3">
            <w:pPr>
              <w:pStyle w:val="12"/>
              <w:jc w:val="center"/>
            </w:pPr>
            <w:r>
              <w:t>3017</w:t>
            </w:r>
          </w:p>
        </w:tc>
        <w:tc>
          <w:tcPr>
            <w:tcW w:w="625" w:type="pct"/>
            <w:vAlign w:val="center"/>
          </w:tcPr>
          <w:p w14:paraId="1FBFF0AF">
            <w:pPr>
              <w:pStyle w:val="12"/>
              <w:jc w:val="center"/>
            </w:pPr>
            <w:r>
              <w:t>—</w:t>
            </w:r>
          </w:p>
        </w:tc>
        <w:tc>
          <w:tcPr>
            <w:tcW w:w="625" w:type="pct"/>
            <w:vAlign w:val="center"/>
          </w:tcPr>
          <w:p w14:paraId="7A40A06D">
            <w:pPr>
              <w:pStyle w:val="12"/>
              <w:jc w:val="center"/>
            </w:pPr>
            <w:r>
              <w:t>2929</w:t>
            </w:r>
          </w:p>
        </w:tc>
        <w:tc>
          <w:tcPr>
            <w:tcW w:w="625" w:type="pct"/>
            <w:vAlign w:val="center"/>
          </w:tcPr>
          <w:p w14:paraId="139B9A22">
            <w:pPr>
              <w:pStyle w:val="12"/>
              <w:jc w:val="center"/>
            </w:pPr>
            <w:r>
              <w:t>—</w:t>
            </w:r>
          </w:p>
        </w:tc>
      </w:tr>
      <w:tr w14:paraId="6B7057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5B0CB24C">
            <w:pPr>
              <w:pStyle w:val="12"/>
              <w:jc w:val="center"/>
            </w:pPr>
            <w:r>
              <w:t>1996</w:t>
            </w:r>
          </w:p>
        </w:tc>
        <w:tc>
          <w:tcPr>
            <w:tcW w:w="625" w:type="pct"/>
            <w:vAlign w:val="center"/>
          </w:tcPr>
          <w:p w14:paraId="08D51A4F">
            <w:pPr>
              <w:pStyle w:val="12"/>
              <w:jc w:val="center"/>
            </w:pPr>
            <w:r>
              <w:t>7461</w:t>
            </w:r>
          </w:p>
        </w:tc>
        <w:tc>
          <w:tcPr>
            <w:tcW w:w="625" w:type="pct"/>
            <w:vAlign w:val="center"/>
          </w:tcPr>
          <w:p w14:paraId="7B81A445">
            <w:pPr>
              <w:pStyle w:val="12"/>
              <w:jc w:val="center"/>
            </w:pPr>
            <w:r>
              <w:t>4328</w:t>
            </w:r>
          </w:p>
        </w:tc>
        <w:tc>
          <w:tcPr>
            <w:tcW w:w="625" w:type="pct"/>
            <w:vAlign w:val="center"/>
          </w:tcPr>
          <w:p w14:paraId="3DC4F9A2">
            <w:pPr>
              <w:pStyle w:val="12"/>
              <w:jc w:val="center"/>
            </w:pPr>
            <w:r>
              <w:t>4075</w:t>
            </w:r>
          </w:p>
        </w:tc>
        <w:tc>
          <w:tcPr>
            <w:tcW w:w="625" w:type="pct"/>
            <w:vAlign w:val="center"/>
          </w:tcPr>
          <w:p w14:paraId="5895FD09">
            <w:pPr>
              <w:pStyle w:val="12"/>
              <w:jc w:val="center"/>
            </w:pPr>
            <w:r>
              <w:t>4467</w:t>
            </w:r>
          </w:p>
        </w:tc>
        <w:tc>
          <w:tcPr>
            <w:tcW w:w="625" w:type="pct"/>
            <w:vAlign w:val="center"/>
          </w:tcPr>
          <w:p w14:paraId="5615A4EC">
            <w:pPr>
              <w:pStyle w:val="12"/>
              <w:jc w:val="center"/>
            </w:pPr>
            <w:r>
              <w:t>—</w:t>
            </w:r>
          </w:p>
        </w:tc>
        <w:tc>
          <w:tcPr>
            <w:tcW w:w="625" w:type="pct"/>
            <w:vAlign w:val="center"/>
          </w:tcPr>
          <w:p w14:paraId="77EFE885">
            <w:pPr>
              <w:pStyle w:val="12"/>
              <w:jc w:val="center"/>
            </w:pPr>
            <w:r>
              <w:t>3602</w:t>
            </w:r>
          </w:p>
        </w:tc>
        <w:tc>
          <w:tcPr>
            <w:tcW w:w="625" w:type="pct"/>
            <w:vAlign w:val="center"/>
          </w:tcPr>
          <w:p w14:paraId="6C96CEE8">
            <w:pPr>
              <w:pStyle w:val="12"/>
              <w:jc w:val="center"/>
            </w:pPr>
            <w:r>
              <w:t>—</w:t>
            </w:r>
          </w:p>
        </w:tc>
      </w:tr>
      <w:tr w14:paraId="0BC3E8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3F0D8B5B">
            <w:pPr>
              <w:pStyle w:val="12"/>
              <w:jc w:val="center"/>
            </w:pPr>
            <w:r>
              <w:t>1997</w:t>
            </w:r>
          </w:p>
        </w:tc>
        <w:tc>
          <w:tcPr>
            <w:tcW w:w="625" w:type="pct"/>
            <w:vAlign w:val="center"/>
          </w:tcPr>
          <w:p w14:paraId="192FA572">
            <w:pPr>
              <w:pStyle w:val="12"/>
              <w:jc w:val="center"/>
            </w:pPr>
            <w:r>
              <w:t>5638</w:t>
            </w:r>
          </w:p>
        </w:tc>
        <w:tc>
          <w:tcPr>
            <w:tcW w:w="625" w:type="pct"/>
            <w:vAlign w:val="center"/>
          </w:tcPr>
          <w:p w14:paraId="0D89D488">
            <w:pPr>
              <w:pStyle w:val="12"/>
              <w:jc w:val="center"/>
            </w:pPr>
            <w:r>
              <w:t>3918</w:t>
            </w:r>
          </w:p>
        </w:tc>
        <w:tc>
          <w:tcPr>
            <w:tcW w:w="625" w:type="pct"/>
            <w:vAlign w:val="center"/>
          </w:tcPr>
          <w:p w14:paraId="145753C2">
            <w:pPr>
              <w:pStyle w:val="12"/>
              <w:jc w:val="center"/>
            </w:pPr>
            <w:r>
              <w:t>3865</w:t>
            </w:r>
          </w:p>
        </w:tc>
        <w:tc>
          <w:tcPr>
            <w:tcW w:w="625" w:type="pct"/>
            <w:vAlign w:val="center"/>
          </w:tcPr>
          <w:p w14:paraId="5B377FBA">
            <w:pPr>
              <w:pStyle w:val="12"/>
              <w:jc w:val="center"/>
            </w:pPr>
            <w:r>
              <w:t>5251</w:t>
            </w:r>
          </w:p>
        </w:tc>
        <w:tc>
          <w:tcPr>
            <w:tcW w:w="625" w:type="pct"/>
            <w:vAlign w:val="center"/>
          </w:tcPr>
          <w:p w14:paraId="5AF8E729">
            <w:pPr>
              <w:pStyle w:val="12"/>
              <w:jc w:val="center"/>
            </w:pPr>
            <w:r>
              <w:t>—</w:t>
            </w:r>
          </w:p>
        </w:tc>
        <w:tc>
          <w:tcPr>
            <w:tcW w:w="625" w:type="pct"/>
            <w:vAlign w:val="center"/>
          </w:tcPr>
          <w:p w14:paraId="37828C93">
            <w:pPr>
              <w:pStyle w:val="12"/>
              <w:jc w:val="center"/>
            </w:pPr>
            <w:r>
              <w:t>3670</w:t>
            </w:r>
          </w:p>
        </w:tc>
        <w:tc>
          <w:tcPr>
            <w:tcW w:w="625" w:type="pct"/>
            <w:vAlign w:val="center"/>
          </w:tcPr>
          <w:p w14:paraId="79D8E27D">
            <w:pPr>
              <w:pStyle w:val="12"/>
              <w:jc w:val="center"/>
            </w:pPr>
            <w:r>
              <w:t>—</w:t>
            </w:r>
          </w:p>
        </w:tc>
      </w:tr>
      <w:tr w14:paraId="22070B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2AC3C415">
            <w:pPr>
              <w:pStyle w:val="12"/>
              <w:jc w:val="center"/>
            </w:pPr>
            <w:r>
              <w:t>1998</w:t>
            </w:r>
          </w:p>
        </w:tc>
        <w:tc>
          <w:tcPr>
            <w:tcW w:w="625" w:type="pct"/>
            <w:vAlign w:val="center"/>
          </w:tcPr>
          <w:p w14:paraId="68AD28C9">
            <w:pPr>
              <w:pStyle w:val="12"/>
              <w:jc w:val="center"/>
            </w:pPr>
            <w:r>
              <w:t>4634</w:t>
            </w:r>
          </w:p>
        </w:tc>
        <w:tc>
          <w:tcPr>
            <w:tcW w:w="625" w:type="pct"/>
            <w:vAlign w:val="center"/>
          </w:tcPr>
          <w:p w14:paraId="31D92438">
            <w:pPr>
              <w:pStyle w:val="12"/>
              <w:jc w:val="center"/>
            </w:pPr>
            <w:r>
              <w:t>4158</w:t>
            </w:r>
          </w:p>
        </w:tc>
        <w:tc>
          <w:tcPr>
            <w:tcW w:w="625" w:type="pct"/>
            <w:vAlign w:val="center"/>
          </w:tcPr>
          <w:p w14:paraId="736539DA">
            <w:pPr>
              <w:pStyle w:val="12"/>
              <w:jc w:val="center"/>
            </w:pPr>
            <w:r>
              <w:t>4153</w:t>
            </w:r>
          </w:p>
        </w:tc>
        <w:tc>
          <w:tcPr>
            <w:tcW w:w="625" w:type="pct"/>
            <w:vAlign w:val="center"/>
          </w:tcPr>
          <w:p w14:paraId="263249EE">
            <w:pPr>
              <w:pStyle w:val="12"/>
              <w:jc w:val="center"/>
            </w:pPr>
            <w:r>
              <w:t>4330</w:t>
            </w:r>
          </w:p>
        </w:tc>
        <w:tc>
          <w:tcPr>
            <w:tcW w:w="625" w:type="pct"/>
            <w:vAlign w:val="center"/>
          </w:tcPr>
          <w:p w14:paraId="1EEF809E">
            <w:pPr>
              <w:pStyle w:val="12"/>
              <w:jc w:val="center"/>
            </w:pPr>
            <w:r>
              <w:t>5310</w:t>
            </w:r>
          </w:p>
        </w:tc>
        <w:tc>
          <w:tcPr>
            <w:tcW w:w="625" w:type="pct"/>
            <w:vAlign w:val="center"/>
          </w:tcPr>
          <w:p w14:paraId="741E321B">
            <w:pPr>
              <w:pStyle w:val="12"/>
              <w:jc w:val="center"/>
            </w:pPr>
            <w:r>
              <w:t>3572</w:t>
            </w:r>
          </w:p>
        </w:tc>
        <w:tc>
          <w:tcPr>
            <w:tcW w:w="625" w:type="pct"/>
            <w:vAlign w:val="center"/>
          </w:tcPr>
          <w:p w14:paraId="0FB33102">
            <w:pPr>
              <w:pStyle w:val="12"/>
              <w:jc w:val="center"/>
            </w:pPr>
            <w:r>
              <w:t>7091</w:t>
            </w:r>
          </w:p>
        </w:tc>
      </w:tr>
      <w:tr w14:paraId="4D2EFB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1A4C6BF6">
            <w:pPr>
              <w:pStyle w:val="12"/>
              <w:jc w:val="center"/>
            </w:pPr>
            <w:r>
              <w:t>1999</w:t>
            </w:r>
          </w:p>
        </w:tc>
        <w:tc>
          <w:tcPr>
            <w:tcW w:w="625" w:type="pct"/>
            <w:vAlign w:val="center"/>
          </w:tcPr>
          <w:p w14:paraId="6D24A942">
            <w:pPr>
              <w:pStyle w:val="12"/>
              <w:jc w:val="center"/>
            </w:pPr>
            <w:r>
              <w:t>3584</w:t>
            </w:r>
          </w:p>
        </w:tc>
        <w:tc>
          <w:tcPr>
            <w:tcW w:w="625" w:type="pct"/>
            <w:vAlign w:val="center"/>
          </w:tcPr>
          <w:p w14:paraId="05EC906F">
            <w:pPr>
              <w:pStyle w:val="12"/>
              <w:jc w:val="center"/>
            </w:pPr>
            <w:r>
              <w:t>4432</w:t>
            </w:r>
          </w:p>
        </w:tc>
        <w:tc>
          <w:tcPr>
            <w:tcW w:w="625" w:type="pct"/>
            <w:vAlign w:val="center"/>
          </w:tcPr>
          <w:p w14:paraId="20241B6B">
            <w:pPr>
              <w:pStyle w:val="12"/>
              <w:jc w:val="center"/>
            </w:pPr>
            <w:r>
              <w:t>5249</w:t>
            </w:r>
          </w:p>
        </w:tc>
        <w:tc>
          <w:tcPr>
            <w:tcW w:w="625" w:type="pct"/>
            <w:vAlign w:val="center"/>
          </w:tcPr>
          <w:p w14:paraId="362283BC">
            <w:pPr>
              <w:pStyle w:val="12"/>
              <w:jc w:val="center"/>
            </w:pPr>
            <w:r>
              <w:t>4219</w:t>
            </w:r>
          </w:p>
        </w:tc>
        <w:tc>
          <w:tcPr>
            <w:tcW w:w="625" w:type="pct"/>
            <w:vAlign w:val="center"/>
          </w:tcPr>
          <w:p w14:paraId="7A4D3737">
            <w:pPr>
              <w:pStyle w:val="12"/>
              <w:jc w:val="center"/>
            </w:pPr>
            <w:r>
              <w:t>3598</w:t>
            </w:r>
          </w:p>
        </w:tc>
        <w:tc>
          <w:tcPr>
            <w:tcW w:w="625" w:type="pct"/>
            <w:vAlign w:val="center"/>
          </w:tcPr>
          <w:p w14:paraId="59D88E78">
            <w:pPr>
              <w:pStyle w:val="12"/>
              <w:jc w:val="center"/>
            </w:pPr>
            <w:r>
              <w:t>3915</w:t>
            </w:r>
          </w:p>
        </w:tc>
        <w:tc>
          <w:tcPr>
            <w:tcW w:w="625" w:type="pct"/>
            <w:vAlign w:val="center"/>
          </w:tcPr>
          <w:p w14:paraId="3005E539">
            <w:pPr>
              <w:pStyle w:val="12"/>
              <w:jc w:val="center"/>
            </w:pPr>
            <w:r>
              <w:t>7000</w:t>
            </w:r>
          </w:p>
        </w:tc>
      </w:tr>
      <w:tr w14:paraId="379B7F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6CE4E425">
            <w:pPr>
              <w:pStyle w:val="12"/>
              <w:jc w:val="center"/>
            </w:pPr>
            <w:r>
              <w:t>2000</w:t>
            </w:r>
          </w:p>
        </w:tc>
        <w:tc>
          <w:tcPr>
            <w:tcW w:w="625" w:type="pct"/>
            <w:vAlign w:val="center"/>
          </w:tcPr>
          <w:p w14:paraId="7A9C9BED">
            <w:pPr>
              <w:pStyle w:val="12"/>
              <w:jc w:val="center"/>
            </w:pPr>
            <w:r>
              <w:t>3940</w:t>
            </w:r>
          </w:p>
        </w:tc>
        <w:tc>
          <w:tcPr>
            <w:tcW w:w="625" w:type="pct"/>
            <w:vAlign w:val="center"/>
          </w:tcPr>
          <w:p w14:paraId="66A88AC9">
            <w:pPr>
              <w:pStyle w:val="12"/>
              <w:jc w:val="center"/>
            </w:pPr>
            <w:r>
              <w:t>5930</w:t>
            </w:r>
          </w:p>
        </w:tc>
        <w:tc>
          <w:tcPr>
            <w:tcW w:w="625" w:type="pct"/>
            <w:vAlign w:val="center"/>
          </w:tcPr>
          <w:p w14:paraId="76C0C852">
            <w:pPr>
              <w:pStyle w:val="12"/>
              <w:jc w:val="center"/>
            </w:pPr>
            <w:r>
              <w:t>4379</w:t>
            </w:r>
          </w:p>
        </w:tc>
        <w:tc>
          <w:tcPr>
            <w:tcW w:w="625" w:type="pct"/>
            <w:vAlign w:val="center"/>
          </w:tcPr>
          <w:p w14:paraId="5C820C53">
            <w:pPr>
              <w:pStyle w:val="12"/>
              <w:jc w:val="center"/>
            </w:pPr>
            <w:r>
              <w:t>7405</w:t>
            </w:r>
          </w:p>
        </w:tc>
        <w:tc>
          <w:tcPr>
            <w:tcW w:w="625" w:type="pct"/>
            <w:vAlign w:val="center"/>
          </w:tcPr>
          <w:p w14:paraId="28E46622">
            <w:pPr>
              <w:pStyle w:val="12"/>
              <w:jc w:val="center"/>
            </w:pPr>
            <w:r>
              <w:t>6000</w:t>
            </w:r>
          </w:p>
        </w:tc>
        <w:tc>
          <w:tcPr>
            <w:tcW w:w="625" w:type="pct"/>
            <w:vAlign w:val="center"/>
          </w:tcPr>
          <w:p w14:paraId="316FE488">
            <w:pPr>
              <w:pStyle w:val="12"/>
              <w:jc w:val="center"/>
            </w:pPr>
            <w:r>
              <w:t>4017</w:t>
            </w:r>
          </w:p>
        </w:tc>
        <w:tc>
          <w:tcPr>
            <w:tcW w:w="625" w:type="pct"/>
            <w:vAlign w:val="center"/>
          </w:tcPr>
          <w:p w14:paraId="43FA49CD">
            <w:pPr>
              <w:pStyle w:val="12"/>
              <w:jc w:val="center"/>
            </w:pPr>
            <w:r>
              <w:t>7360</w:t>
            </w:r>
          </w:p>
        </w:tc>
      </w:tr>
      <w:tr w14:paraId="48C212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0B1A26E8">
            <w:pPr>
              <w:pStyle w:val="12"/>
              <w:jc w:val="center"/>
            </w:pPr>
            <w:r>
              <w:t>2001</w:t>
            </w:r>
          </w:p>
        </w:tc>
        <w:tc>
          <w:tcPr>
            <w:tcW w:w="625" w:type="pct"/>
            <w:vAlign w:val="center"/>
          </w:tcPr>
          <w:p w14:paraId="7315B21E">
            <w:pPr>
              <w:pStyle w:val="12"/>
              <w:jc w:val="center"/>
            </w:pPr>
            <w:r>
              <w:t>2860</w:t>
            </w:r>
          </w:p>
        </w:tc>
        <w:tc>
          <w:tcPr>
            <w:tcW w:w="625" w:type="pct"/>
            <w:vAlign w:val="center"/>
          </w:tcPr>
          <w:p w14:paraId="381A14C7">
            <w:pPr>
              <w:pStyle w:val="12"/>
              <w:jc w:val="center"/>
            </w:pPr>
            <w:r>
              <w:t>7355</w:t>
            </w:r>
          </w:p>
        </w:tc>
        <w:tc>
          <w:tcPr>
            <w:tcW w:w="625" w:type="pct"/>
            <w:vAlign w:val="center"/>
          </w:tcPr>
          <w:p w14:paraId="61AE1796">
            <w:pPr>
              <w:pStyle w:val="12"/>
              <w:jc w:val="center"/>
            </w:pPr>
            <w:r>
              <w:t>6509</w:t>
            </w:r>
          </w:p>
        </w:tc>
        <w:tc>
          <w:tcPr>
            <w:tcW w:w="625" w:type="pct"/>
            <w:vAlign w:val="center"/>
          </w:tcPr>
          <w:p w14:paraId="2B9F58E6">
            <w:pPr>
              <w:pStyle w:val="12"/>
              <w:jc w:val="center"/>
            </w:pPr>
            <w:r>
              <w:t>8318</w:t>
            </w:r>
          </w:p>
        </w:tc>
        <w:tc>
          <w:tcPr>
            <w:tcW w:w="625" w:type="pct"/>
            <w:vAlign w:val="center"/>
          </w:tcPr>
          <w:p w14:paraId="08AE4A46">
            <w:pPr>
              <w:pStyle w:val="12"/>
              <w:jc w:val="center"/>
            </w:pPr>
            <w:r>
              <w:t>—</w:t>
            </w:r>
          </w:p>
        </w:tc>
        <w:tc>
          <w:tcPr>
            <w:tcW w:w="625" w:type="pct"/>
            <w:vAlign w:val="center"/>
          </w:tcPr>
          <w:p w14:paraId="689AB822">
            <w:pPr>
              <w:pStyle w:val="12"/>
              <w:jc w:val="center"/>
            </w:pPr>
            <w:r>
              <w:t>4640</w:t>
            </w:r>
          </w:p>
        </w:tc>
        <w:tc>
          <w:tcPr>
            <w:tcW w:w="625" w:type="pct"/>
            <w:vAlign w:val="center"/>
          </w:tcPr>
          <w:p w14:paraId="60C41ED4">
            <w:pPr>
              <w:pStyle w:val="12"/>
              <w:jc w:val="center"/>
            </w:pPr>
            <w:r>
              <w:t>9017</w:t>
            </w:r>
          </w:p>
        </w:tc>
      </w:tr>
      <w:tr w14:paraId="2853F0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594DCEF0">
            <w:pPr>
              <w:pStyle w:val="12"/>
              <w:jc w:val="center"/>
            </w:pPr>
            <w:r>
              <w:t>2002</w:t>
            </w:r>
          </w:p>
        </w:tc>
        <w:tc>
          <w:tcPr>
            <w:tcW w:w="625" w:type="pct"/>
            <w:vAlign w:val="center"/>
          </w:tcPr>
          <w:p w14:paraId="2A695DD7">
            <w:pPr>
              <w:pStyle w:val="12"/>
              <w:jc w:val="center"/>
            </w:pPr>
            <w:r>
              <w:t>2157</w:t>
            </w:r>
          </w:p>
        </w:tc>
        <w:tc>
          <w:tcPr>
            <w:tcW w:w="625" w:type="pct"/>
            <w:vAlign w:val="center"/>
          </w:tcPr>
          <w:p w14:paraId="2AD465E7">
            <w:pPr>
              <w:pStyle w:val="12"/>
              <w:jc w:val="center"/>
            </w:pPr>
            <w:r>
              <w:t>8566</w:t>
            </w:r>
          </w:p>
        </w:tc>
        <w:tc>
          <w:tcPr>
            <w:tcW w:w="625" w:type="pct"/>
            <w:vAlign w:val="center"/>
          </w:tcPr>
          <w:p w14:paraId="05F83568">
            <w:pPr>
              <w:pStyle w:val="12"/>
              <w:jc w:val="center"/>
            </w:pPr>
            <w:r>
              <w:t>5473</w:t>
            </w:r>
          </w:p>
        </w:tc>
        <w:tc>
          <w:tcPr>
            <w:tcW w:w="625" w:type="pct"/>
            <w:vAlign w:val="center"/>
          </w:tcPr>
          <w:p w14:paraId="348EB927">
            <w:pPr>
              <w:pStyle w:val="12"/>
              <w:jc w:val="center"/>
            </w:pPr>
            <w:r>
              <w:t>8835</w:t>
            </w:r>
          </w:p>
        </w:tc>
        <w:tc>
          <w:tcPr>
            <w:tcW w:w="625" w:type="pct"/>
            <w:vAlign w:val="center"/>
          </w:tcPr>
          <w:p w14:paraId="53D5064C">
            <w:pPr>
              <w:pStyle w:val="12"/>
              <w:jc w:val="center"/>
            </w:pPr>
            <w:r>
              <w:t>9310</w:t>
            </w:r>
          </w:p>
        </w:tc>
        <w:tc>
          <w:tcPr>
            <w:tcW w:w="625" w:type="pct"/>
            <w:vAlign w:val="center"/>
          </w:tcPr>
          <w:p w14:paraId="357532DB">
            <w:pPr>
              <w:pStyle w:val="12"/>
              <w:jc w:val="center"/>
            </w:pPr>
            <w:r>
              <w:t>4773</w:t>
            </w:r>
          </w:p>
        </w:tc>
        <w:tc>
          <w:tcPr>
            <w:tcW w:w="625" w:type="pct"/>
            <w:vAlign w:val="center"/>
          </w:tcPr>
          <w:p w14:paraId="3E65721D">
            <w:pPr>
              <w:pStyle w:val="12"/>
              <w:jc w:val="center"/>
            </w:pPr>
            <w:r>
              <w:t>12476</w:t>
            </w:r>
          </w:p>
        </w:tc>
      </w:tr>
      <w:tr w14:paraId="2DDE9D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07A42D80">
            <w:pPr>
              <w:pStyle w:val="12"/>
              <w:jc w:val="center"/>
            </w:pPr>
            <w:r>
              <w:t>2003</w:t>
            </w:r>
          </w:p>
        </w:tc>
        <w:tc>
          <w:tcPr>
            <w:tcW w:w="625" w:type="pct"/>
            <w:vAlign w:val="center"/>
          </w:tcPr>
          <w:p w14:paraId="06DD565D">
            <w:pPr>
              <w:pStyle w:val="12"/>
              <w:jc w:val="center"/>
            </w:pPr>
            <w:r>
              <w:t>1883</w:t>
            </w:r>
          </w:p>
        </w:tc>
        <w:tc>
          <w:tcPr>
            <w:tcW w:w="625" w:type="pct"/>
            <w:vAlign w:val="center"/>
          </w:tcPr>
          <w:p w14:paraId="6B40B558">
            <w:pPr>
              <w:pStyle w:val="12"/>
              <w:jc w:val="center"/>
            </w:pPr>
            <w:r>
              <w:t>7077</w:t>
            </w:r>
          </w:p>
        </w:tc>
        <w:tc>
          <w:tcPr>
            <w:tcW w:w="625" w:type="pct"/>
            <w:vAlign w:val="center"/>
          </w:tcPr>
          <w:p w14:paraId="112DDBFE">
            <w:pPr>
              <w:pStyle w:val="12"/>
              <w:jc w:val="center"/>
            </w:pPr>
            <w:r>
              <w:t>5818</w:t>
            </w:r>
          </w:p>
        </w:tc>
        <w:tc>
          <w:tcPr>
            <w:tcW w:w="625" w:type="pct"/>
            <w:vAlign w:val="center"/>
          </w:tcPr>
          <w:p w14:paraId="0E84FBE9">
            <w:pPr>
              <w:pStyle w:val="12"/>
              <w:jc w:val="center"/>
            </w:pPr>
            <w:r>
              <w:t>5609</w:t>
            </w:r>
          </w:p>
        </w:tc>
        <w:tc>
          <w:tcPr>
            <w:tcW w:w="625" w:type="pct"/>
            <w:vAlign w:val="center"/>
          </w:tcPr>
          <w:p w14:paraId="770AA7D0">
            <w:pPr>
              <w:pStyle w:val="12"/>
              <w:jc w:val="center"/>
            </w:pPr>
            <w:r>
              <w:t>9241</w:t>
            </w:r>
          </w:p>
        </w:tc>
        <w:tc>
          <w:tcPr>
            <w:tcW w:w="625" w:type="pct"/>
            <w:vAlign w:val="center"/>
          </w:tcPr>
          <w:p w14:paraId="4BD1DABB">
            <w:pPr>
              <w:pStyle w:val="12"/>
              <w:jc w:val="center"/>
            </w:pPr>
            <w:r>
              <w:t>5684</w:t>
            </w:r>
          </w:p>
        </w:tc>
        <w:tc>
          <w:tcPr>
            <w:tcW w:w="625" w:type="pct"/>
            <w:vAlign w:val="center"/>
          </w:tcPr>
          <w:p w14:paraId="1AD1BB6A">
            <w:pPr>
              <w:pStyle w:val="12"/>
              <w:jc w:val="center"/>
            </w:pPr>
            <w:r>
              <w:t>—</w:t>
            </w:r>
          </w:p>
        </w:tc>
      </w:tr>
      <w:tr w14:paraId="3729A2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6014264E">
            <w:pPr>
              <w:pStyle w:val="12"/>
              <w:jc w:val="center"/>
            </w:pPr>
            <w:r>
              <w:t>2004</w:t>
            </w:r>
          </w:p>
        </w:tc>
        <w:tc>
          <w:tcPr>
            <w:tcW w:w="625" w:type="pct"/>
            <w:vAlign w:val="center"/>
          </w:tcPr>
          <w:p w14:paraId="2C4F6DAA">
            <w:pPr>
              <w:pStyle w:val="12"/>
              <w:jc w:val="center"/>
            </w:pPr>
            <w:r>
              <w:t>1764</w:t>
            </w:r>
          </w:p>
        </w:tc>
        <w:tc>
          <w:tcPr>
            <w:tcW w:w="625" w:type="pct"/>
            <w:vAlign w:val="center"/>
          </w:tcPr>
          <w:p w14:paraId="1F12E3C1">
            <w:pPr>
              <w:pStyle w:val="12"/>
              <w:jc w:val="center"/>
            </w:pPr>
            <w:r>
              <w:t>11156</w:t>
            </w:r>
          </w:p>
        </w:tc>
        <w:tc>
          <w:tcPr>
            <w:tcW w:w="625" w:type="pct"/>
            <w:vAlign w:val="center"/>
          </w:tcPr>
          <w:p w14:paraId="62245BC7">
            <w:pPr>
              <w:pStyle w:val="12"/>
              <w:jc w:val="center"/>
            </w:pPr>
            <w:r>
              <w:t>4520</w:t>
            </w:r>
          </w:p>
        </w:tc>
        <w:tc>
          <w:tcPr>
            <w:tcW w:w="625" w:type="pct"/>
            <w:vAlign w:val="center"/>
          </w:tcPr>
          <w:p w14:paraId="34AAB2BC">
            <w:pPr>
              <w:pStyle w:val="12"/>
              <w:jc w:val="center"/>
            </w:pPr>
            <w:r>
              <w:t>8608</w:t>
            </w:r>
          </w:p>
        </w:tc>
        <w:tc>
          <w:tcPr>
            <w:tcW w:w="625" w:type="pct"/>
            <w:vAlign w:val="center"/>
          </w:tcPr>
          <w:p w14:paraId="0678542A">
            <w:pPr>
              <w:pStyle w:val="12"/>
              <w:jc w:val="center"/>
            </w:pPr>
            <w:r>
              <w:t>9655</w:t>
            </w:r>
          </w:p>
        </w:tc>
        <w:tc>
          <w:tcPr>
            <w:tcW w:w="625" w:type="pct"/>
            <w:vAlign w:val="center"/>
          </w:tcPr>
          <w:p w14:paraId="54F21D6C">
            <w:pPr>
              <w:pStyle w:val="12"/>
              <w:jc w:val="center"/>
            </w:pPr>
            <w:r>
              <w:t>5847</w:t>
            </w:r>
          </w:p>
        </w:tc>
        <w:tc>
          <w:tcPr>
            <w:tcW w:w="625" w:type="pct"/>
            <w:vAlign w:val="center"/>
          </w:tcPr>
          <w:p w14:paraId="32359530">
            <w:pPr>
              <w:pStyle w:val="12"/>
              <w:jc w:val="center"/>
            </w:pPr>
            <w:r>
              <w:t>—</w:t>
            </w:r>
          </w:p>
        </w:tc>
      </w:tr>
    </w:tbl>
    <w:p w14:paraId="1E37E335">
      <w:pPr>
        <w:pStyle w:val="4"/>
        <w:rPr>
          <w:rFonts w:ascii="宋体" w:hAnsi="宋体" w:cs="宋体"/>
        </w:rPr>
      </w:pPr>
      <w:r>
        <w:rPr>
          <w:rFonts w:hint="eastAsia" w:ascii="宋体" w:hAnsi="宋体" w:cs="宋体"/>
        </w:rPr>
        <w:t>第二节  消费</w:t>
      </w:r>
    </w:p>
    <w:p w14:paraId="3EE2A363">
      <w:pPr>
        <w:pStyle w:val="5"/>
        <w:rPr>
          <w:rFonts w:ascii="宋体" w:hAnsi="宋体" w:cs="宋体"/>
        </w:rPr>
      </w:pPr>
      <w:r>
        <w:rPr>
          <w:rFonts w:hint="eastAsia" w:ascii="宋体" w:hAnsi="宋体" w:cs="宋体"/>
        </w:rPr>
        <w:t>一、食品</w:t>
      </w:r>
    </w:p>
    <w:p w14:paraId="3B2B8409">
      <w:pPr>
        <w:ind w:firstLine="422"/>
        <w:rPr>
          <w:rFonts w:ascii="宋体" w:hAnsi="宋体" w:cs="宋体"/>
          <w:b/>
          <w:bCs/>
        </w:rPr>
      </w:pPr>
      <w:r>
        <w:rPr>
          <w:rFonts w:hint="eastAsia" w:ascii="宋体" w:hAnsi="宋体" w:cs="宋体"/>
          <w:b/>
          <w:bCs/>
        </w:rPr>
        <w:t>（一）农民食品消费</w:t>
      </w:r>
    </w:p>
    <w:p w14:paraId="768B322A">
      <w:pPr>
        <w:ind w:firstLine="422"/>
        <w:rPr>
          <w:rFonts w:ascii="宋体" w:hAnsi="宋体" w:cs="宋体"/>
          <w:b/>
          <w:bCs/>
        </w:rPr>
      </w:pPr>
      <w:r>
        <w:rPr>
          <w:rFonts w:hint="eastAsia" w:ascii="宋体" w:hAnsi="宋体" w:cs="宋体"/>
          <w:b/>
          <w:bCs/>
        </w:rPr>
        <w:t>1.粮食消费</w:t>
      </w:r>
    </w:p>
    <w:p w14:paraId="711048A2">
      <w:pPr>
        <w:ind w:firstLine="420"/>
        <w:rPr>
          <w:rFonts w:ascii="宋体" w:hAnsi="宋体" w:cs="宋体"/>
        </w:rPr>
      </w:pPr>
      <w:r>
        <w:rPr>
          <w:rFonts w:hint="eastAsia" w:ascii="宋体" w:hAnsi="宋体" w:cs="宋体"/>
        </w:rPr>
        <w:t>广东省典型乡调查工作队于1955年11月在第一区承平乡进行调查表明，1948年、1949年，有40%的农民每天吃两餐饭一餐粥（或番薯、芋头等杂粮），55%的农民每天吃一餐饭两餐粥（或两餐杂粮），尚有5%的农民每天3餐都吃粥或吃杂粮。在春荒夏荒时，则绝大多数农民吃番薯和粥，或吃野菜、豆角。</w:t>
      </w:r>
    </w:p>
    <w:p w14:paraId="078567B3">
      <w:pPr>
        <w:ind w:firstLine="420"/>
        <w:rPr>
          <w:rFonts w:ascii="宋体" w:hAnsi="宋体" w:cs="宋体"/>
        </w:rPr>
      </w:pPr>
      <w:r>
        <w:rPr>
          <w:rFonts w:hint="eastAsia" w:ascii="宋体" w:hAnsi="宋体" w:cs="宋体"/>
        </w:rPr>
        <w:t>新中国成立后，经过3年国民经济的恢复和土地改革运动的完成，农业取得丰收。1954年人均粮食280公斤（稻谷，下同）。1956年实行粮食“三定”（定产、定购、定销），全县定产73470吨，定购8750吨，定销6120吨，农村人平留粮261.5公斤（含口粮、种子、饲料粮）。</w:t>
      </w:r>
    </w:p>
    <w:p w14:paraId="5507FBE6">
      <w:pPr>
        <w:ind w:firstLine="420"/>
        <w:rPr>
          <w:rFonts w:ascii="宋体" w:hAnsi="宋体" w:cs="宋体"/>
        </w:rPr>
      </w:pPr>
      <w:r>
        <w:rPr>
          <w:rFonts w:hint="eastAsia" w:ascii="宋体" w:hAnsi="宋体" w:cs="宋体"/>
        </w:rPr>
        <w:t>1958年，由于“大跃进”，搞高指标、高征购，城乡人民粮食消费下降。1959年4月16日县委、县人委发文规定居民每月定量大米9公斤。同年5月16日又发文规定，非农业人口供应标准为：一级劳动每人每月定量大米（以下同）18公斤，二级劳动16公斤，三级劳动14公斤，印刷工人11.5公斤，中学生12.5公斤，机关干部职工10公斤，中小学教师10.5公斤，10岁以上居民11.5公斤。1960年4月24日县委向地委作农村粮食情况报告称：由4月至7月中旬，农村安排每人平均粮食（稻谷）46.1公斤，其中4月份14公斤，5月份13.5公斤，6月份13.1公斤，7月份（半个月）6公斤。农民处于饥饿状态，连年出现水肿病、干瘦病、非正常死亡多。1961年贯彻调整方针，农村安排口粮年人均仅有稻谷180公斤（含杂粮），是谓“保护线”。1963年以后，粮食情况逐步好转，1965年人均粮食达262.5公斤。“文化大革命”期间，由于“战备粮”征得多些，以及人口增长等等原因，农民口粮有所下降。1968年人均207.5公斤稻谷。1975年、1976年、1978年，口粮水平有所回升，年人均口粮分别为稻谷276公斤，282公斤，267公斤。</w:t>
      </w:r>
    </w:p>
    <w:p w14:paraId="659C6EE7">
      <w:pPr>
        <w:ind w:firstLine="420"/>
        <w:rPr>
          <w:rFonts w:ascii="宋体" w:hAnsi="宋体" w:cs="宋体"/>
        </w:rPr>
      </w:pPr>
      <w:r>
        <w:rPr>
          <w:rFonts w:hint="eastAsia" w:ascii="宋体" w:hAnsi="宋体" w:cs="宋体"/>
        </w:rPr>
        <w:t>中共十一届三中全会后，特别是实行联产承包责任制后，农民粮食消费直线上升。1979年人均拥有粮食304公斤（稻谷，下同），1982年增加到370公斤。1984年至1987年，因调整农作物布局，扩大黄烟种植面积，粮食总产有所下降，农民口粮消费也有所减少，但人均消费主要副食品却逐年增加，仍保持足食水平。1984年农民人均拥有粮食305.5公斤，1987年为286公斤。</w:t>
      </w:r>
    </w:p>
    <w:p w14:paraId="35208BDA">
      <w:pPr>
        <w:ind w:firstLine="420"/>
        <w:rPr>
          <w:rFonts w:ascii="宋体" w:hAnsi="宋体" w:cs="宋体"/>
        </w:rPr>
      </w:pPr>
      <w:r>
        <w:rPr>
          <w:rFonts w:hint="eastAsia" w:ascii="宋体" w:hAnsi="宋体" w:cs="宋体"/>
        </w:rPr>
        <w:t>20世纪90年代，南雄市民的生活水平整体上得以提高，粮食充足。粮食等主要食品随着市场的变化逐步开放，供应充足，粮油价格随市场变化波动。2000年全市粮食产量达255707吨，农民人均拥有粮食684公斤，平均每公斤粮食价格为2元。</w:t>
      </w:r>
    </w:p>
    <w:p w14:paraId="7F8897D3">
      <w:pPr>
        <w:ind w:firstLine="422"/>
        <w:rPr>
          <w:rFonts w:ascii="宋体" w:hAnsi="宋体" w:cs="宋体"/>
          <w:b/>
          <w:bCs/>
        </w:rPr>
      </w:pPr>
      <w:r>
        <w:rPr>
          <w:rFonts w:hint="eastAsia" w:ascii="宋体" w:hAnsi="宋体" w:cs="宋体"/>
          <w:b/>
          <w:bCs/>
        </w:rPr>
        <w:t>2.食油消费</w:t>
      </w:r>
    </w:p>
    <w:p w14:paraId="0E026325">
      <w:pPr>
        <w:ind w:firstLine="420"/>
        <w:rPr>
          <w:rFonts w:ascii="宋体" w:hAnsi="宋体" w:cs="宋体"/>
        </w:rPr>
      </w:pPr>
      <w:r>
        <w:rPr>
          <w:rFonts w:hint="eastAsia" w:ascii="宋体" w:hAnsi="宋体" w:cs="宋体"/>
        </w:rPr>
        <w:t>新中国成立后，农民食油水平与口粮水平情况相似。1956年、1957年分别为年人均3.35公斤、3.1公斤。1958年起连年下降，1962年人均仅1.25公斤。1963年后有所提高，一般在3公斤～5公斤之间。1981年联产承包责任制后，消费水平大幅度提高，1981年人均达6.5公斤，1984年6.7公斤，1986年6.95公斤，1987年为5公斤。</w:t>
      </w:r>
    </w:p>
    <w:p w14:paraId="490DABAE">
      <w:pPr>
        <w:ind w:firstLine="422"/>
        <w:rPr>
          <w:rFonts w:ascii="宋体" w:hAnsi="宋体" w:cs="宋体"/>
          <w:b/>
          <w:bCs/>
        </w:rPr>
      </w:pPr>
      <w:r>
        <w:rPr>
          <w:rFonts w:hint="eastAsia" w:ascii="宋体" w:hAnsi="宋体" w:cs="宋体"/>
          <w:b/>
          <w:bCs/>
        </w:rPr>
        <w:t>3.主要副食品消费</w:t>
      </w:r>
    </w:p>
    <w:p w14:paraId="037EDAA3">
      <w:pPr>
        <w:ind w:firstLine="420"/>
        <w:rPr>
          <w:rFonts w:ascii="宋体" w:hAnsi="宋体" w:cs="宋体"/>
        </w:rPr>
      </w:pPr>
      <w:r>
        <w:rPr>
          <w:rFonts w:hint="eastAsia" w:ascii="宋体" w:hAnsi="宋体" w:cs="宋体"/>
        </w:rPr>
        <w:t>据市统计局对80户农民抽样调查，主要副食品人年均消费量，自1979年改革开放以来，历年有所增加。猪肉年人均消费1980年为5.6公斤，2000年为25.58公斤。家禽年人均消费1980年为1.62公斤，2000年为10.13公斤。水果年人均消费1986年为2公斤，2000年为35.97公斤。</w:t>
      </w:r>
    </w:p>
    <w:p w14:paraId="090B85EC">
      <w:pPr>
        <w:ind w:firstLine="422"/>
        <w:rPr>
          <w:rFonts w:ascii="宋体" w:hAnsi="宋体" w:cs="宋体"/>
          <w:b/>
          <w:bCs/>
        </w:rPr>
      </w:pPr>
      <w:r>
        <w:rPr>
          <w:rFonts w:hint="eastAsia" w:ascii="宋体" w:hAnsi="宋体" w:cs="宋体"/>
          <w:b/>
          <w:bCs/>
        </w:rPr>
        <w:t>（二）非农业人口食品消费</w:t>
      </w:r>
    </w:p>
    <w:p w14:paraId="5A7264AE">
      <w:pPr>
        <w:ind w:firstLine="422"/>
        <w:rPr>
          <w:rFonts w:ascii="宋体" w:hAnsi="宋体" w:cs="宋体"/>
          <w:b/>
          <w:bCs/>
        </w:rPr>
      </w:pPr>
      <w:r>
        <w:rPr>
          <w:rFonts w:hint="eastAsia" w:ascii="宋体" w:hAnsi="宋体" w:cs="宋体"/>
          <w:b/>
          <w:bCs/>
        </w:rPr>
        <w:t>1.粮油消费</w:t>
      </w:r>
    </w:p>
    <w:p w14:paraId="3E7CCCDC">
      <w:pPr>
        <w:ind w:firstLine="420"/>
        <w:rPr>
          <w:rFonts w:ascii="宋体" w:hAnsi="宋体" w:cs="宋体"/>
        </w:rPr>
      </w:pPr>
      <w:r>
        <w:rPr>
          <w:rFonts w:hint="eastAsia" w:ascii="宋体" w:hAnsi="宋体" w:cs="宋体"/>
        </w:rPr>
        <w:t>粮食：1955年至1987年的33年间，非农业人口口粮实行按人定等，按等定量和按劳动类型工种划分定量标准，以等别和工种定量供应到户到人。1966年至1987年人均月供应标准（大米）为特重体力劳动者21.5公斤，10周岁以上居民12公斤，10周岁以下小孩6公斤～10.5公斤。</w:t>
      </w:r>
    </w:p>
    <w:p w14:paraId="6F9AA0C0">
      <w:pPr>
        <w:ind w:firstLine="420"/>
        <w:rPr>
          <w:rFonts w:ascii="宋体" w:hAnsi="宋体" w:cs="宋体"/>
        </w:rPr>
      </w:pPr>
      <w:r>
        <w:rPr>
          <w:rFonts w:hint="eastAsia" w:ascii="宋体" w:hAnsi="宋体" w:cs="宋体"/>
        </w:rPr>
        <w:t>食油：1954年7月起实行定量供应，至1958年止，月人均供应食油125克。1959年至1961年经济困难时，月人均供应78克。1962年恢复到125克。1987年7月增加到200克。1988年4月起取消定量供应。</w:t>
      </w:r>
    </w:p>
    <w:p w14:paraId="28BEBD9D">
      <w:pPr>
        <w:ind w:firstLine="420"/>
        <w:rPr>
          <w:rFonts w:ascii="宋体" w:hAnsi="宋体" w:cs="宋体"/>
        </w:rPr>
      </w:pPr>
      <w:r>
        <w:rPr>
          <w:rFonts w:hint="eastAsia" w:ascii="宋体" w:hAnsi="宋体" w:cs="宋体"/>
        </w:rPr>
        <w:t>20世纪90年代居民粮油消费基本上由市场自由供给，物资充足，居民消费量逐年有所提高，价格随市场而定。</w:t>
      </w:r>
    </w:p>
    <w:p w14:paraId="0425B0F0">
      <w:pPr>
        <w:ind w:firstLine="422"/>
        <w:rPr>
          <w:rFonts w:ascii="宋体" w:hAnsi="宋体" w:cs="宋体"/>
          <w:b/>
          <w:bCs/>
        </w:rPr>
      </w:pPr>
      <w:r>
        <w:rPr>
          <w:rFonts w:hint="eastAsia" w:ascii="宋体" w:hAnsi="宋体" w:cs="宋体"/>
          <w:b/>
          <w:bCs/>
        </w:rPr>
        <w:t>2.猪肉消费</w:t>
      </w:r>
    </w:p>
    <w:p w14:paraId="4EE58527">
      <w:pPr>
        <w:ind w:firstLine="420"/>
        <w:rPr>
          <w:rFonts w:ascii="宋体" w:hAnsi="宋体" w:cs="宋体"/>
        </w:rPr>
      </w:pPr>
      <w:r>
        <w:rPr>
          <w:rFonts w:hint="eastAsia" w:ascii="宋体" w:hAnsi="宋体" w:cs="宋体"/>
        </w:rPr>
        <w:t>1957年至1984年对非农业人口实行凭证定量供应猪肉。历年每人每月供应标准：1957年至1958年1公斤，1959年至1961年0.25公斤，1963年至1968年0.5公斤，1969年至1971年0.3公斤。1972年至1984年，每年人均8公斤～9公斤。1985年1月起，取消对非农业人口猪肉凭证定量供应。1985年至1987年，根据雄州镇市场猪肉销量概算，全镇人口年均猪肉消费：1985年为12.44公斤，1986年为26.83公斤，1987年为33.3公斤（含附城农业人口进城购买数）。</w:t>
      </w:r>
    </w:p>
    <w:p w14:paraId="3BB45DC9">
      <w:pPr>
        <w:ind w:firstLine="420"/>
        <w:rPr>
          <w:rFonts w:ascii="宋体" w:hAnsi="宋体" w:cs="宋体"/>
        </w:rPr>
      </w:pPr>
      <w:r>
        <w:rPr>
          <w:rFonts w:hint="eastAsia" w:ascii="宋体" w:hAnsi="宋体" w:cs="宋体"/>
        </w:rPr>
        <w:t>20世纪90年代猪肉消费随市场的开放日益增多，居民消费量一年比一年增多，价格随市场的供求定位。</w:t>
      </w:r>
    </w:p>
    <w:p w14:paraId="4FC4108C">
      <w:pPr>
        <w:pStyle w:val="5"/>
        <w:rPr>
          <w:rFonts w:ascii="宋体" w:hAnsi="宋体" w:cs="宋体"/>
        </w:rPr>
      </w:pPr>
      <w:r>
        <w:rPr>
          <w:rFonts w:hint="eastAsia" w:ascii="宋体" w:hAnsi="宋体" w:cs="宋体"/>
        </w:rPr>
        <w:t>二、衣着</w:t>
      </w:r>
    </w:p>
    <w:p w14:paraId="3B437DAD">
      <w:pPr>
        <w:ind w:firstLine="420"/>
        <w:rPr>
          <w:rFonts w:ascii="宋体" w:hAnsi="宋体" w:cs="宋体"/>
        </w:rPr>
      </w:pPr>
      <w:r>
        <w:rPr>
          <w:rFonts w:hint="eastAsia" w:ascii="宋体" w:hAnsi="宋体" w:cs="宋体"/>
        </w:rPr>
        <w:t>棉布用量：1954年至1983年，国家实行凭证定量供应，供应标准：1954年，每人每年（以下同）12米，1955年13.3米，1957年至1959年6.66米，1960年至1961年0.76米，1962年至1968年为2.66米，以后有所增加，1979年至1983年为4.8米。以后，取消棉布限量，成衣销售量逐年增加，布料销售逐年减少。</w:t>
      </w:r>
    </w:p>
    <w:p w14:paraId="7D9D7D3F">
      <w:pPr>
        <w:ind w:firstLine="420"/>
        <w:rPr>
          <w:rFonts w:ascii="宋体" w:hAnsi="宋体" w:cs="宋体"/>
        </w:rPr>
      </w:pPr>
      <w:r>
        <w:rPr>
          <w:rFonts w:hint="eastAsia" w:ascii="宋体" w:hAnsi="宋体" w:cs="宋体"/>
        </w:rPr>
        <w:t>布料：1970年以前，人民穿衣以棉布为主，盛行咔叽、呢绒。1963年本县开始使用尼龙布，年销1000米，1971年起盛行，1974年达677400米。以后转用较高档的涤纶，1981年起盛行，1983年消费量达839600米。</w:t>
      </w:r>
    </w:p>
    <w:p w14:paraId="06255E22">
      <w:pPr>
        <w:ind w:firstLine="420"/>
        <w:rPr>
          <w:rFonts w:ascii="宋体" w:hAnsi="宋体" w:cs="宋体"/>
        </w:rPr>
      </w:pPr>
      <w:r>
        <w:rPr>
          <w:rFonts w:hint="eastAsia" w:ascii="宋体" w:hAnsi="宋体" w:cs="宋体"/>
        </w:rPr>
        <w:t>服式：1965年以前中山装为主，“文化大革命”期间盛行军干装、青年装，1984年以后时尚西装、时装。</w:t>
      </w:r>
    </w:p>
    <w:p w14:paraId="4327ABEB">
      <w:pPr>
        <w:ind w:firstLine="420"/>
        <w:rPr>
          <w:rFonts w:ascii="宋体" w:hAnsi="宋体" w:cs="宋体"/>
        </w:rPr>
      </w:pPr>
      <w:r>
        <w:rPr>
          <w:rFonts w:hint="eastAsia" w:ascii="宋体" w:hAnsi="宋体" w:cs="宋体"/>
        </w:rPr>
        <w:t>鞋袜：20世纪60年代盛行胶鞋，70年代盛行塑料鞋，80年代时尚皮鞋。全县胶鞋销售，1951年为12600双，最高为1986年，达207700双。1985年皮鞋销售量为37000双。袜子，50年代多为长棉线袜，老人多穿布袜；60年代多为棉线短袜，70年代多为短尼龙袜、丝光袜；80年代盛行毛巾料袜。90年代，农村、城市居民衣着呈现多样化，城镇居民穿着逐步讲究品牌、品质。</w:t>
      </w:r>
    </w:p>
    <w:p w14:paraId="1C294A8B">
      <w:pPr>
        <w:pStyle w:val="5"/>
        <w:rPr>
          <w:rFonts w:ascii="宋体" w:hAnsi="宋体" w:cs="宋体"/>
        </w:rPr>
      </w:pPr>
      <w:r>
        <w:rPr>
          <w:rFonts w:hint="eastAsia" w:ascii="宋体" w:hAnsi="宋体" w:cs="宋体"/>
        </w:rPr>
        <w:t>三、居住</w:t>
      </w:r>
    </w:p>
    <w:p w14:paraId="213B4383">
      <w:pPr>
        <w:ind w:firstLine="420"/>
        <w:rPr>
          <w:rFonts w:ascii="宋体" w:hAnsi="宋体" w:cs="宋体"/>
        </w:rPr>
      </w:pPr>
      <w:r>
        <w:rPr>
          <w:rFonts w:hint="eastAsia" w:ascii="宋体" w:hAnsi="宋体" w:cs="宋体"/>
        </w:rPr>
        <w:t>土改后，随着人民生活水平的提高，逐年新建、改造一批房屋，基本上实现人畜分居。1979年起，农民逐年兴建红砖瓦房及钢筋水泥混合结构房屋，出现了一批新村新街新民居。据县统计局农村社会经济抽样调查队对农村80户抽样调查，1987年全县农村人均住房面积为15.01平方米，其中平原地区为18.26平方米，丘陵地区为13.15平方米，山区为12.68平方米。</w:t>
      </w:r>
    </w:p>
    <w:p w14:paraId="1CA89373">
      <w:pPr>
        <w:ind w:firstLine="420"/>
        <w:rPr>
          <w:rFonts w:ascii="宋体" w:hAnsi="宋体" w:cs="宋体"/>
        </w:rPr>
      </w:pPr>
      <w:r>
        <w:rPr>
          <w:rFonts w:hint="eastAsia" w:ascii="宋体" w:hAnsi="宋体" w:cs="宋体"/>
        </w:rPr>
        <w:t>新中国成立初期，县城居民人均住宅面积为9平方米，多为土砖瓦房，少数青砖瓦房。1965年起兴建单元住宅，推广钢筋水泥混合结构，住房数量逐年增加，质量大大提高。20世纪80年代，出现一批高层商住楼房及住宅小区。住房采用马赛克、彩釉砖、防潮砖铺，瓷片镶壁，装修趋求高档。</w:t>
      </w:r>
    </w:p>
    <w:p w14:paraId="1040B957">
      <w:pPr>
        <w:ind w:firstLine="420"/>
        <w:rPr>
          <w:rFonts w:ascii="宋体" w:hAnsi="宋体" w:cs="宋体"/>
        </w:rPr>
      </w:pPr>
      <w:r>
        <w:rPr>
          <w:rFonts w:hint="eastAsia" w:ascii="宋体" w:hAnsi="宋体" w:cs="宋体"/>
        </w:rPr>
        <w:t>20世纪90年代，南雄城镇、农村居民随着收入水平的不断提高，住房面积不断增多，私人建房以红砖、混凝土结构为主。城镇高层建筑商住房越来越多，且讲究装修与环保。1990年建住宅面积为178370平方米，1995年为34540平方米，2000年为1196149平方米。2004年为342619平方米。2000年全市人均居住在50平方米以上的家庭户为8558户；40平方米～49平方米为7316户；30平方米～39平方米的为14782户；20平方米～29平方米的为29673户；17平方米～19平方米的为8032户；13平方米～16平方米的为16849户；9平方米～12平方米的为13176户；8平方米以下的为6731户。2004年农村住户抽样调查人均钢筋砖木结构住房面积为18.88平方米。</w:t>
      </w:r>
    </w:p>
    <w:p w14:paraId="60AF0FAD">
      <w:pPr>
        <w:pStyle w:val="5"/>
        <w:rPr>
          <w:rFonts w:ascii="宋体" w:hAnsi="宋体" w:cs="宋体"/>
        </w:rPr>
      </w:pPr>
      <w:r>
        <w:rPr>
          <w:rFonts w:hint="eastAsia" w:ascii="宋体" w:hAnsi="宋体" w:cs="宋体"/>
        </w:rPr>
        <w:t>四、日用物品</w:t>
      </w:r>
    </w:p>
    <w:p w14:paraId="0B53794A">
      <w:pPr>
        <w:ind w:firstLine="420"/>
        <w:rPr>
          <w:rFonts w:ascii="宋体" w:hAnsi="宋体" w:cs="宋体"/>
        </w:rPr>
      </w:pPr>
      <w:r>
        <w:rPr>
          <w:rFonts w:hint="eastAsia" w:ascii="宋体" w:hAnsi="宋体" w:cs="宋体"/>
        </w:rPr>
        <w:t>传统用具有方桌、圆桌、木椅、竹椅、板凳、木橱、木箱、四门高柜，以及大小缸罐、木盆木桶、斗笠、葵扇、纸扇、梳妆台等。洗衣多用茶麩、“洗衫子”。照明，平原以花生油为主，山区以竹篾“松光”为主。清末逐步使用煤油灯。抗日战争期间，火柴奇缺，农村多用小块钢铁击石取火。</w:t>
      </w:r>
    </w:p>
    <w:p w14:paraId="271792C7">
      <w:pPr>
        <w:ind w:firstLine="420"/>
        <w:rPr>
          <w:rFonts w:ascii="宋体" w:hAnsi="宋体" w:cs="宋体"/>
        </w:rPr>
      </w:pPr>
      <w:r>
        <w:rPr>
          <w:rFonts w:hint="eastAsia" w:ascii="宋体" w:hAnsi="宋体" w:cs="宋体"/>
        </w:rPr>
        <w:t>新中国成立后，日用品在数量上、质量上、式样上不断发展变化。炊具由陶器、生铁发展到铁制品、铝制品和不锈钢制品。口杯由陶瓷品发展到搪瓷、玻璃、有机玻璃、塑料制品。雨具由斗笠、纸伞发展到棉布伞、化纤布伞、半自动开关伞、半自动开关折伞。大板凳发展到各类型的沙发。在城镇，日常用具20世纪五六十年代普及毛巾、牙刷、手电筒、热水瓶。70年代普及单车、衣车、手表、收音机及各式新款家具。80年代家用电器骤兴，前期普及电饭煲、电风扇，后期普及收录机、洗衣机、电视机、录像机、照相机、电冰箱等，开始崇尚金银饰品和化妆品。现代日用品在农村普及时间比城镇约迟5年～10年。21世纪初，极少数先富裕起来的人购置小汽车。</w:t>
      </w:r>
    </w:p>
    <w:p w14:paraId="7655DFA4">
      <w:pPr>
        <w:ind w:firstLine="420"/>
        <w:rPr>
          <w:rFonts w:ascii="宋体" w:hAnsi="宋体" w:cs="宋体"/>
        </w:rPr>
      </w:pPr>
      <w:r>
        <w:rPr>
          <w:rFonts w:hint="eastAsia" w:ascii="宋体" w:hAnsi="宋体" w:cs="宋体"/>
        </w:rPr>
        <w:t>2004年农村住户抽样调查：每百户家庭年末拥有电视机119台（其中彩电106台），电话79部，摩托车54辆，自行车173辆，影碟机56台，收录机21台，电冰箱4.3台，照相机8.6台。</w:t>
      </w:r>
    </w:p>
    <w:p w14:paraId="0C88BF16">
      <w:pPr>
        <w:pStyle w:val="4"/>
        <w:rPr>
          <w:rFonts w:ascii="宋体" w:hAnsi="宋体" w:cs="宋体"/>
        </w:rPr>
      </w:pPr>
      <w:r>
        <w:rPr>
          <w:rFonts w:hint="eastAsia" w:ascii="宋体" w:hAnsi="宋体" w:cs="宋体"/>
        </w:rPr>
        <w:t>第三节  消费结构</w:t>
      </w:r>
    </w:p>
    <w:p w14:paraId="3AE51729">
      <w:pPr>
        <w:ind w:firstLine="420"/>
        <w:rPr>
          <w:rFonts w:ascii="宋体" w:hAnsi="宋体" w:cs="宋体"/>
        </w:rPr>
      </w:pPr>
      <w:r>
        <w:rPr>
          <w:rFonts w:hint="eastAsia" w:ascii="宋体" w:hAnsi="宋体" w:cs="宋体"/>
        </w:rPr>
        <w:t>新中国成立后，农民消费结构变化不大，食品仍占60%～70%，仍属温饱型。1987年县统计局对农村80户抽样调查消费结构情况：食品305.73元，占消费总额60.7%；衣着27.86元，占5.53%；住房38.13元，占7.57%；燃料41.03元，占8.14%；医药10.97元，占2.17%；文化、娱乐17.5元，占3.47%。</w:t>
      </w:r>
    </w:p>
    <w:p w14:paraId="0633B9F4">
      <w:pPr>
        <w:ind w:firstLine="420"/>
        <w:rPr>
          <w:rFonts w:ascii="宋体" w:hAnsi="宋体" w:cs="宋体"/>
        </w:rPr>
      </w:pPr>
      <w:r>
        <w:rPr>
          <w:rFonts w:hint="eastAsia" w:ascii="宋体" w:hAnsi="宋体" w:cs="宋体"/>
        </w:rPr>
        <w:t>20世纪90年代以来，随着经济文化发展，消费结构有较大变化。2004年农村住户抽样调查统计：年人均食品消费926元，占消费总额的35.6%；衣着114元，占4.4%；居住505元，占19.42%；医疗保健212元，占8.15%；文化教育350元，占13.46%；交通通讯308元，占11.85%；家具用品154元，占5.9%。</w:t>
      </w:r>
    </w:p>
    <w:p w14:paraId="39C807E8">
      <w:pPr>
        <w:pStyle w:val="3"/>
        <w:rPr>
          <w:rFonts w:ascii="宋体" w:hAnsi="宋体" w:cs="宋体"/>
        </w:rPr>
      </w:pPr>
      <w:r>
        <w:rPr>
          <w:rFonts w:hint="eastAsia" w:ascii="宋体" w:hAnsi="宋体" w:cs="宋体"/>
        </w:rPr>
        <w:t>第六章  风俗</w:t>
      </w:r>
    </w:p>
    <w:p w14:paraId="58552135">
      <w:pPr>
        <w:pStyle w:val="4"/>
        <w:rPr>
          <w:rFonts w:ascii="宋体" w:hAnsi="宋体" w:cs="宋体"/>
        </w:rPr>
      </w:pPr>
      <w:r>
        <w:rPr>
          <w:rFonts w:hint="eastAsia" w:ascii="宋体" w:hAnsi="宋体" w:cs="宋体"/>
        </w:rPr>
        <w:t>第一节  古今风俗简述</w:t>
      </w:r>
    </w:p>
    <w:p w14:paraId="5BB55846">
      <w:pPr>
        <w:ind w:firstLine="420"/>
        <w:rPr>
          <w:rFonts w:ascii="宋体" w:hAnsi="宋体" w:cs="宋体"/>
        </w:rPr>
      </w:pPr>
      <w:r>
        <w:rPr>
          <w:rFonts w:hint="eastAsia" w:ascii="宋体" w:hAnsi="宋体" w:cs="宋体"/>
        </w:rPr>
        <w:t>《直隶南雄州志·风俗》载：“南雄人性轻悍，质直任信”，“俗杂夷夏，地虽偏小，无珍异之产，来四方之民，而土性温厚，有膏沃之田，以为家给之具”。“风存朴茂，俗尚俭勤，士耻干营，农殚力作，工无淫巧，贾乏重赀，虽为冲要之区，尚留余古之气。”“世俗有三陋，一曰婚不亲迎，二曰丧用鼓乐，三曰葬谋风水。”</w:t>
      </w:r>
    </w:p>
    <w:p w14:paraId="7C416AAA">
      <w:pPr>
        <w:ind w:firstLine="420"/>
        <w:rPr>
          <w:rFonts w:ascii="宋体" w:hAnsi="宋体" w:cs="宋体"/>
        </w:rPr>
      </w:pPr>
      <w:r>
        <w:rPr>
          <w:rFonts w:hint="eastAsia" w:ascii="宋体" w:hAnsi="宋体" w:cs="宋体"/>
        </w:rPr>
        <w:t>时令节日主要有：立春前一日迎春东郊鞭土牛；元夕闹花灯；冻虫节撒石灰；五戊日乡间赛社；清明节上坟修筑致祭；天中节插蒲艾，喷雄黄酒，龙舟竞渡；七夕士女乞巧；中元节祭祀先祖；中秋夜啣杯赏月，妇女踏月姐；九月九日为新葬者送寒衣；十一月冬至饮冬酒，扫祖墓；腊月廿四日过小年，初适嫁者舅家盛备斋筵油糍馈送婿宅，谓之谢灶饭。</w:t>
      </w:r>
    </w:p>
    <w:p w14:paraId="51186247">
      <w:pPr>
        <w:ind w:firstLine="420"/>
        <w:rPr>
          <w:rFonts w:ascii="宋体" w:hAnsi="宋体" w:cs="宋体"/>
        </w:rPr>
      </w:pPr>
      <w:r>
        <w:rPr>
          <w:rFonts w:hint="eastAsia" w:ascii="宋体" w:hAnsi="宋体" w:cs="宋体"/>
        </w:rPr>
        <w:t>《南雄县志·风俗》记载：</w:t>
      </w:r>
    </w:p>
    <w:p w14:paraId="044FA0BC">
      <w:pPr>
        <w:ind w:firstLine="420"/>
        <w:rPr>
          <w:rFonts w:ascii="宋体" w:hAnsi="宋体" w:cs="宋体"/>
        </w:rPr>
      </w:pPr>
      <w:r>
        <w:rPr>
          <w:rFonts w:hint="eastAsia" w:ascii="宋体" w:hAnsi="宋体" w:cs="宋体"/>
        </w:rPr>
        <w:t>生产习俗。有出早工、换工互助、开耕放牛祭神、检茶桃、打横塘、折灶换壁等。</w:t>
      </w:r>
    </w:p>
    <w:p w14:paraId="75465985">
      <w:pPr>
        <w:ind w:firstLine="420"/>
        <w:rPr>
          <w:rFonts w:ascii="宋体" w:hAnsi="宋体" w:cs="宋体"/>
        </w:rPr>
      </w:pPr>
      <w:r>
        <w:rPr>
          <w:rFonts w:hint="eastAsia" w:ascii="宋体" w:hAnsi="宋体" w:cs="宋体"/>
        </w:rPr>
        <w:t>生活习俗。饮食以吃辣椒、吃酸笋、吸烟为三嗜好。</w:t>
      </w:r>
    </w:p>
    <w:p w14:paraId="54F65380">
      <w:pPr>
        <w:ind w:firstLine="420"/>
        <w:rPr>
          <w:rFonts w:ascii="宋体" w:hAnsi="宋体" w:cs="宋体"/>
        </w:rPr>
      </w:pPr>
      <w:r>
        <w:rPr>
          <w:rFonts w:hint="eastAsia" w:ascii="宋体" w:hAnsi="宋体" w:cs="宋体"/>
        </w:rPr>
        <w:t>传统食品以钻缸酒、番薯糟、酿油烧豆腐、春节腊味、节令糍类为特色。春节腊味多种多样，除腊鸭外，还有腊肉、腊肠、腊猪肚、腊猪利、腊猪肝、腊鸡、腊鹅、腊鱼、腊野禽等。糍类更是形形色色应节而出，有油糍、黄年糍、麻糍、饺俚糍、白水麻糍、芋圆糍、豆浆糍、蕉叶糍、铁勺糍、软团糍、艾糍、锅巴糍等等。</w:t>
      </w:r>
    </w:p>
    <w:p w14:paraId="3F1ADA6C">
      <w:pPr>
        <w:ind w:firstLine="420"/>
        <w:rPr>
          <w:rFonts w:ascii="宋体" w:hAnsi="宋体" w:cs="宋体"/>
        </w:rPr>
      </w:pPr>
      <w:r>
        <w:rPr>
          <w:rFonts w:hint="eastAsia" w:ascii="宋体" w:hAnsi="宋体" w:cs="宋体"/>
        </w:rPr>
        <w:t>岁时节日。全市各地共有春节、正月十五日元宵节、三月清明节、五月五日端午节、六月二十三日尝新节、七月十五中元节、八月十五中秋节、九月九日重阳节、十二月冬至节。还有上方的姓氏节，不同地区、不同行业的天后旦、鲁班先师旦、药王菩萨旦、七姑娘旦、杜康旦、五谷旦、土地旦、赵公旦等等。</w:t>
      </w:r>
    </w:p>
    <w:p w14:paraId="0056AD30">
      <w:pPr>
        <w:ind w:firstLine="420"/>
        <w:rPr>
          <w:rFonts w:ascii="宋体" w:hAnsi="宋体" w:cs="宋体"/>
        </w:rPr>
      </w:pPr>
      <w:r>
        <w:rPr>
          <w:rFonts w:hint="eastAsia" w:ascii="宋体" w:hAnsi="宋体" w:cs="宋体"/>
        </w:rPr>
        <w:t>婚丧喜庆。旧时以婚事之礼节为繁缛。就大者而言，从相亲起，有送年庚、过大礼、送日子、迎亲、拜堂、闹洞房等。就小者而言，如迎亲礼数就有十几项，迎亲前一日，男家有暖房、暖轿、暖厨，送催妆礼，女家则有开眉话别。迎亲日，男家要组织迎亲队伍到女家接亲。女家则有四次哭嫁，直至出亲上轿。新娘到了男家有过“磨篮”进大门，而后拜堂，进洞房，揭头盖，饮交杯酒，闹洞房等等。</w:t>
      </w:r>
    </w:p>
    <w:p w14:paraId="16DAD240">
      <w:pPr>
        <w:ind w:firstLine="420"/>
        <w:rPr>
          <w:rFonts w:ascii="宋体" w:hAnsi="宋体" w:cs="宋体"/>
        </w:rPr>
      </w:pPr>
      <w:r>
        <w:rPr>
          <w:rFonts w:hint="eastAsia" w:ascii="宋体" w:hAnsi="宋体" w:cs="宋体"/>
        </w:rPr>
        <w:t>生育习俗。旧时有催生、洗三朝、满月做姜酒、百日留百岁毛、周岁戴百家锁等。</w:t>
      </w:r>
    </w:p>
    <w:p w14:paraId="135AF653">
      <w:pPr>
        <w:pStyle w:val="4"/>
        <w:rPr>
          <w:rFonts w:ascii="宋体" w:hAnsi="宋体" w:cs="宋体"/>
        </w:rPr>
      </w:pPr>
      <w:r>
        <w:rPr>
          <w:rFonts w:hint="eastAsia" w:ascii="宋体" w:hAnsi="宋体" w:cs="宋体"/>
        </w:rPr>
        <w:t>第二节  特异风俗专记</w:t>
      </w:r>
    </w:p>
    <w:p w14:paraId="27578247">
      <w:pPr>
        <w:pStyle w:val="5"/>
        <w:rPr>
          <w:rFonts w:ascii="宋体" w:hAnsi="宋体" w:cs="宋体"/>
        </w:rPr>
      </w:pPr>
      <w:r>
        <w:rPr>
          <w:rFonts w:hint="eastAsia" w:ascii="宋体" w:hAnsi="宋体" w:cs="宋体"/>
        </w:rPr>
        <w:t>一、南雄上方姓氏节</w:t>
      </w:r>
    </w:p>
    <w:p w14:paraId="530E0BE7">
      <w:pPr>
        <w:ind w:firstLine="420"/>
        <w:rPr>
          <w:rFonts w:ascii="宋体" w:hAnsi="宋体" w:cs="宋体"/>
        </w:rPr>
      </w:pPr>
      <w:r>
        <w:rPr>
          <w:rFonts w:hint="eastAsia" w:ascii="宋体" w:hAnsi="宋体" w:cs="宋体"/>
        </w:rPr>
        <w:t>南雄以乌迳为中心的孔江、界址、新龙、坪田、南亩、大塘、油山等地，盛行姓氏节。一般以该族祖先的生日或对该氏族具有重大意义的日子为姓氏节节日。届时，由轮值首事（头人）牵头筹办（公堂出资），设坛祭祀，抬菩萨（祖像）出行游村，请戏班日夜演戏。各户则广邀亲戚朋友前来作客，为时三五七天，合家团圆，全族聚会，各姓亲朋相庆，祥和友爱，热闹非凡，比之春节元宵有过之无不及。一姓过节，百家联欢。姓氏节把敬祖崇先、文化娱乐、情谊交流融于一体，群众乐于参与，自古以来，盛行不衰。</w:t>
      </w:r>
    </w:p>
    <w:p w14:paraId="4C22F33C">
      <w:pPr>
        <w:ind w:firstLine="420"/>
        <w:rPr>
          <w:rFonts w:ascii="宋体" w:hAnsi="宋体" w:cs="宋体"/>
        </w:rPr>
      </w:pPr>
      <w:r>
        <w:rPr>
          <w:rFonts w:hint="eastAsia" w:ascii="宋体" w:hAnsi="宋体" w:cs="宋体"/>
        </w:rPr>
        <w:t>姓氏节的具体情形，且看龙口叶族见闻。</w:t>
      </w:r>
    </w:p>
    <w:p w14:paraId="41D1175F">
      <w:pPr>
        <w:ind w:firstLine="420"/>
        <w:rPr>
          <w:rFonts w:ascii="宋体" w:hAnsi="宋体" w:cs="宋体"/>
        </w:rPr>
      </w:pPr>
      <w:r>
        <w:rPr>
          <w:rFonts w:hint="eastAsia" w:ascii="宋体" w:hAnsi="宋体" w:cs="宋体"/>
        </w:rPr>
        <w:t>龙口叶族姓氏节定于农历八月十六日，即先祖叶云兴都统的生日。叶云兴是南雄乌迳一带叶族二世祖，南汉时任千夫长，为保境安民，战死白石岗，敕封都统。龙口叶氏祠堂一金玉堂设神龛，置都统塑像，并以其生日为姓氏节日。</w:t>
      </w:r>
    </w:p>
    <w:p w14:paraId="29B6BB3B">
      <w:pPr>
        <w:ind w:firstLine="420"/>
        <w:rPr>
          <w:rFonts w:ascii="宋体" w:hAnsi="宋体" w:cs="宋体"/>
        </w:rPr>
      </w:pPr>
      <w:r>
        <w:rPr>
          <w:rFonts w:hint="eastAsia" w:ascii="宋体" w:hAnsi="宋体" w:cs="宋体"/>
        </w:rPr>
        <w:t>初十日，主持姓氏节头人（当值首事）组织人员进祠堂打扫卫生，搭戏台，蒸酒杀猪，购置祭品等。</w:t>
      </w:r>
    </w:p>
    <w:p w14:paraId="4B44165D">
      <w:pPr>
        <w:ind w:firstLine="420"/>
        <w:rPr>
          <w:rFonts w:ascii="宋体" w:hAnsi="宋体" w:cs="宋体"/>
        </w:rPr>
      </w:pPr>
      <w:r>
        <w:rPr>
          <w:rFonts w:hint="eastAsia" w:ascii="宋体" w:hAnsi="宋体" w:cs="宋体"/>
        </w:rPr>
        <w:t>十四日起，都统菩萨下座开光。把都统木雕像从神龛中抬下来，抹去尘灰，换上新袍，张贴新联：“都从武艺树洪勋，想当年尽忠尽孝尽名节；统率英雄建伟绩，看今朝祐国祐民祐子孙。”下座时还要依仪行礼祭拜，是谓开光。当日开始唱戏，有日场夜场，全村顿时热闹起来，一片鼓乐升平。</w:t>
      </w:r>
    </w:p>
    <w:p w14:paraId="328977FC">
      <w:pPr>
        <w:ind w:firstLine="420"/>
        <w:rPr>
          <w:rFonts w:ascii="宋体" w:hAnsi="宋体" w:cs="宋体"/>
        </w:rPr>
      </w:pPr>
      <w:r>
        <w:rPr>
          <w:rFonts w:hint="eastAsia" w:ascii="宋体" w:hAnsi="宋体" w:cs="宋体"/>
        </w:rPr>
        <w:t>十六日，都统菩萨出行，各家亲戚朋友亦于是日前来作客。这是姓氏节进入高潮的日子，整个村庄都沸腾起来了。</w:t>
      </w:r>
    </w:p>
    <w:p w14:paraId="309B6FC2">
      <w:pPr>
        <w:ind w:firstLine="420"/>
        <w:rPr>
          <w:rFonts w:ascii="宋体" w:hAnsi="宋体" w:cs="宋体"/>
        </w:rPr>
      </w:pPr>
      <w:r>
        <w:rPr>
          <w:rFonts w:hint="eastAsia" w:ascii="宋体" w:hAnsi="宋体" w:cs="宋体"/>
        </w:rPr>
        <w:t>菩萨出行既隆重又热烈，以礼炮、花灯、华盖、彩帜为前导，接着是六堂故事（一房装扮一堂，一堂一种故事人物）然后是菩萨神轿，随之乐生吹打跟进，最后是几十位“先生”身穿白长衫，头戴白礼帽，一手托香盘，一手持纸扇，盘中香烟袅袅，手中白扇轻摇，潇洒而又庄重。游行队伍从龙口金玉堂出发，浩浩荡荡直到老龙圩停轿，菩萨坐坛，各方子孙备带香烛供品前来敬奉，一群又一群，络绎不绝。但见老龙圩人头攒动，香烟缭绕，鼓乐悠扬，鞭炮阵阵。午后，又依原阵势浩浩荡荡地抬着菩萨回祠堂。</w:t>
      </w:r>
    </w:p>
    <w:p w14:paraId="6831984E">
      <w:pPr>
        <w:ind w:firstLine="420"/>
        <w:rPr>
          <w:rFonts w:ascii="宋体" w:hAnsi="宋体" w:cs="宋体"/>
        </w:rPr>
      </w:pPr>
      <w:r>
        <w:rPr>
          <w:rFonts w:hint="eastAsia" w:ascii="宋体" w:hAnsi="宋体" w:cs="宋体"/>
        </w:rPr>
        <w:t>在菩萨出行的队伍中，最引人注目的是那几十位如翩翩白鹤的“先生”。他们都是名登祠堂黄榜的读书人。旧例，凡是庠生（秀才）都在祠堂张贴黄榜。清末，废科举兴学堂以后，凡高等小学毕业生也上黄榜。后来，因高等小学毕业生太多了，规定中学毕业生才上黄榜。名登黄榜者均称为“先生”，在宗族中优礼相待，有资格参与行礼、迎送菩萨，依例每人可得胙肉二斤半。</w:t>
      </w:r>
    </w:p>
    <w:p w14:paraId="7BFDF346">
      <w:pPr>
        <w:ind w:firstLine="420"/>
        <w:rPr>
          <w:rFonts w:ascii="宋体" w:hAnsi="宋体" w:cs="宋体"/>
        </w:rPr>
      </w:pPr>
      <w:r>
        <w:rPr>
          <w:rFonts w:hint="eastAsia" w:ascii="宋体" w:hAnsi="宋体" w:cs="宋体"/>
        </w:rPr>
        <w:t>十七日，各家自摆筵席宴请亲戚朋友，丰俭由便，重在聚会，主客欢聚一堂，看戏喝酒，叙谈问候，在欢声笑语中增进情谊。</w:t>
      </w:r>
    </w:p>
    <w:p w14:paraId="3821CB27">
      <w:pPr>
        <w:ind w:firstLine="420"/>
        <w:rPr>
          <w:rFonts w:ascii="宋体" w:hAnsi="宋体" w:cs="宋体"/>
        </w:rPr>
      </w:pPr>
      <w:r>
        <w:rPr>
          <w:rFonts w:hint="eastAsia" w:ascii="宋体" w:hAnsi="宋体" w:cs="宋体"/>
        </w:rPr>
        <w:t>十八日，都统菩萨归座。在祠堂依例行礼，把菩萨抬回神龛。姓氏节到此结束，宾客陆续散去。戏班继续唱戏，唱够六天，到十九日收场。</w:t>
      </w:r>
    </w:p>
    <w:p w14:paraId="313DFADD">
      <w:pPr>
        <w:ind w:firstLine="420"/>
        <w:rPr>
          <w:rFonts w:ascii="宋体" w:hAnsi="宋体" w:cs="宋体"/>
        </w:rPr>
      </w:pPr>
      <w:r>
        <w:rPr>
          <w:rFonts w:hint="eastAsia" w:ascii="宋体" w:hAnsi="宋体" w:cs="宋体"/>
        </w:rPr>
        <w:t>其他各姓姓氏节形式大体相同，日期有别，敬奉的菩萨不同。新田李氏姓氏节为农历九月十三日，是新田李氏祖先李金马的生日。李金马是唐元和年间户部侍郎，金紫光禄大夫，政声卓著。姓氏节联云：时维九月，庆九功，歌九德，岁岁共祝重九后；序属三秋，祝三多，行三礼，年年同庆十三辰。</w:t>
      </w:r>
    </w:p>
    <w:p w14:paraId="192B0D2F">
      <w:pPr>
        <w:ind w:firstLine="420"/>
        <w:rPr>
          <w:rFonts w:ascii="宋体" w:hAnsi="宋体" w:cs="宋体"/>
        </w:rPr>
      </w:pPr>
      <w:r>
        <w:rPr>
          <w:rFonts w:hint="eastAsia" w:ascii="宋体" w:hAnsi="宋体" w:cs="宋体"/>
        </w:rPr>
        <w:t>上朔彭氏姓氏节为农历十月初八，敬奉的是福祖菩萨。福祖即上朔彭氏二世祖彭旴。后周时，彭旴征南海贼，英勇善战，遇伏阵亡，宋熙和年间敕封将军，上朔立祠祭祀。上朔彭族十四房，人丁兴旺，姓氏节尤其隆重热闹，唱戏一连七天七夜。</w:t>
      </w:r>
    </w:p>
    <w:p w14:paraId="45349B97">
      <w:pPr>
        <w:ind w:firstLine="420"/>
        <w:rPr>
          <w:rFonts w:ascii="宋体" w:hAnsi="宋体" w:cs="宋体"/>
        </w:rPr>
      </w:pPr>
      <w:r>
        <w:rPr>
          <w:rFonts w:hint="eastAsia" w:ascii="宋体" w:hAnsi="宋体" w:cs="宋体"/>
        </w:rPr>
        <w:t>界址赵氏姓氏节为农历七月十四日，敬奉的是宋太祖赵匡胤和赵子龙。界址赵氏都是赵匡胤的后裔。在龙头坊（赵屋）搭戏台演戏，一连五天。十四日菩萨出行到赵氏聚居的部分村庄，十五日菩萨进界址圩（是日为界址圩日），十六日散客。</w:t>
      </w:r>
    </w:p>
    <w:p w14:paraId="2177AFF6">
      <w:pPr>
        <w:ind w:firstLine="420"/>
        <w:rPr>
          <w:rFonts w:ascii="宋体" w:hAnsi="宋体" w:cs="宋体"/>
        </w:rPr>
      </w:pPr>
      <w:r>
        <w:rPr>
          <w:rFonts w:hint="eastAsia" w:ascii="宋体" w:hAnsi="宋体" w:cs="宋体"/>
        </w:rPr>
        <w:t>界址董氏姓氏节为农历八月十四日，敬奉的是南雄董氏始迁祖董玮及其曾孙董双保、董双生兄弟，两人因讨寇有功，敕封将军。十三日菩萨下座，十四日菩萨出行，十六日散客，唱戏三至五天。</w:t>
      </w:r>
    </w:p>
    <w:p w14:paraId="7298B884">
      <w:pPr>
        <w:ind w:firstLine="420"/>
        <w:rPr>
          <w:rFonts w:ascii="宋体" w:hAnsi="宋体" w:cs="宋体"/>
        </w:rPr>
      </w:pPr>
      <w:r>
        <w:rPr>
          <w:rFonts w:hint="eastAsia" w:ascii="宋体" w:hAnsi="宋体" w:cs="宋体"/>
        </w:rPr>
        <w:t>各族姓氏节流行至今，情况已大不相同，日期依旧，内容简化。迷信色彩大减，敬祖睦族之风犹存。各族都保留亲戚朋友聚会的活动，起到了缅怀祖先，增进情谊的作用。</w:t>
      </w:r>
    </w:p>
    <w:p w14:paraId="6189402C">
      <w:pPr>
        <w:pStyle w:val="5"/>
        <w:rPr>
          <w:rFonts w:ascii="宋体" w:hAnsi="宋体" w:cs="宋体"/>
        </w:rPr>
      </w:pPr>
      <w:r>
        <w:rPr>
          <w:rFonts w:hint="eastAsia" w:ascii="宋体" w:hAnsi="宋体" w:cs="宋体"/>
        </w:rPr>
        <w:t>二、乡村嫁娶习俗</w:t>
      </w:r>
    </w:p>
    <w:p w14:paraId="5698A4D0">
      <w:pPr>
        <w:ind w:firstLine="420"/>
        <w:rPr>
          <w:rFonts w:ascii="宋体" w:hAnsi="宋体" w:cs="宋体"/>
        </w:rPr>
      </w:pPr>
      <w:r>
        <w:rPr>
          <w:rFonts w:hint="eastAsia" w:ascii="宋体" w:hAnsi="宋体" w:cs="宋体"/>
        </w:rPr>
        <w:t>乡村嫁娶旧礼俗最为繁缛，就其要者琐记如下：</w:t>
      </w:r>
    </w:p>
    <w:p w14:paraId="1370B22D">
      <w:pPr>
        <w:ind w:firstLine="422"/>
        <w:rPr>
          <w:rFonts w:ascii="宋体" w:hAnsi="宋体" w:cs="宋体"/>
          <w:b/>
          <w:bCs/>
        </w:rPr>
      </w:pPr>
      <w:r>
        <w:rPr>
          <w:rFonts w:hint="eastAsia" w:ascii="宋体" w:hAnsi="宋体" w:cs="宋体"/>
          <w:b/>
          <w:bCs/>
        </w:rPr>
        <w:t>（一）开眉、哭嫁</w:t>
      </w:r>
    </w:p>
    <w:p w14:paraId="6C9F8F45">
      <w:pPr>
        <w:ind w:firstLine="420"/>
        <w:rPr>
          <w:rFonts w:ascii="宋体" w:hAnsi="宋体" w:cs="宋体"/>
        </w:rPr>
      </w:pPr>
      <w:r>
        <w:rPr>
          <w:rFonts w:hint="eastAsia" w:ascii="宋体" w:hAnsi="宋体" w:cs="宋体"/>
        </w:rPr>
        <w:t>开眉，一般在报日晚上十二点，女家据其男家所来佳期中写定的时间和指定的方向，由出嫁女子大嫂或其他亲人（此人必须是男双女对、有子有女的），给其开眉。即用剃刀剃净或用麻线绞拔女子额门上、脸上和脖子上的汗毛，修平发髻，改变头发的梳妆样式，以示风光明媚嫁出去。因为女人额门上的汗毛一般不易长，结婚后一年半载出门，即使不穿新娘衫，人们也看出她已出嫁，花已有主。</w:t>
      </w:r>
    </w:p>
    <w:p w14:paraId="14053EEF">
      <w:pPr>
        <w:ind w:firstLine="420"/>
        <w:rPr>
          <w:rFonts w:ascii="宋体" w:hAnsi="宋体" w:cs="宋体"/>
        </w:rPr>
      </w:pPr>
      <w:r>
        <w:rPr>
          <w:rFonts w:hint="eastAsia" w:ascii="宋体" w:hAnsi="宋体" w:cs="宋体"/>
        </w:rPr>
        <w:t>开眉后，出嫁女要与母亲和衣同床一宿。和衣即女子穿着平时自己穿洗过的衫裤睡，并一直穿到新婚晚上与新郎同睡一夜。到新婚第二晚方可换穿其他衣裤。与母同宿的意思大概是：该女子从本房本床诞生，现由本房本床嫁出，到了男家的床上也和本床一样成双成对繁衍后代。再一个重要目的是同床时，由母亲静静地向女儿传授一些心平气和做女人、相夫教子做媳妇的道理，和有关性生活方面应注意的事。如女子的父亲不在世的，则不用跟母亲同宿，因为床已失去双对。</w:t>
      </w:r>
    </w:p>
    <w:p w14:paraId="6444FD7D">
      <w:pPr>
        <w:ind w:firstLine="420"/>
        <w:rPr>
          <w:rFonts w:ascii="宋体" w:hAnsi="宋体" w:cs="宋体"/>
        </w:rPr>
      </w:pPr>
      <w:r>
        <w:rPr>
          <w:rFonts w:hint="eastAsia" w:ascii="宋体" w:hAnsi="宋体" w:cs="宋体"/>
        </w:rPr>
        <w:t>哭嫁，有四次哭。第一次哭，是在清早，母女俩想想今天就要骨肉离散了，便相对痛哭起来。母亲想如果当年生下的是男孩，今天就是娶新娘子进自己的家里，而只因命苦生下这个女孩，长至这么大了，今天就要离父母而嫁出去。一来十几、二十年的养育之情难以割舍；二来嫁出后少了一个得力助手，许多工夫要自己一人承担；三来自己的闺女嫁到新的家庭中是否习惯，新家庭成员对其女是好是坏等等，难免伤心地痛哭起来。女儿看着母亲痛哭，也会想起与父母难舍难分的养育之恩以及即将进新的家庭中，丈夫对自己如何，公公婆婆对自己如何，今后日子如何过等等，想起这些面临的问题而痛哭起来。第二次哭，是当男家迎亲的乐师进门，女子听见乐师吹打声，想起在母家滞留时间不多了，又一次痛哭。第三次哭，是在亲戚叔伯前来劝言时，也怀着与亲戚叔伯难舍难分之情而哭。第四次哭，是哭得最恸的出亲上轿时，背亲人从母房背起新娘走向祖堂叩头三下，转向天井叩头三下，直背到花轿前，乐师跟着新娘从母房吹至祖堂、花轿前。这时吹打的调子较凄凉。都是带哭的音调，难免使人潸然泪下。此时，新娘紧紧地抓住背亲人的衣服不肯松开，哭得前仰后翻。背亲人则用事先备好的一个红包给新娘，趁新娘手接红包时，放下新娘，并推进轿内，放下轿帷。轿夫将轿缓缓抬起。此刻新娘母亲停哭，叫新娘用力向轿底跺三足，以查验轿是否稳实，提示轿夫一路小心，乐响轿行，出亲事毕。</w:t>
      </w:r>
    </w:p>
    <w:p w14:paraId="31CBE120">
      <w:pPr>
        <w:ind w:firstLine="422"/>
        <w:rPr>
          <w:rFonts w:ascii="宋体" w:hAnsi="宋体" w:cs="宋体"/>
          <w:b/>
          <w:bCs/>
        </w:rPr>
      </w:pPr>
      <w:r>
        <w:rPr>
          <w:rFonts w:hint="eastAsia" w:ascii="宋体" w:hAnsi="宋体" w:cs="宋体"/>
          <w:b/>
          <w:bCs/>
        </w:rPr>
        <w:t>（二）进门、拜堂</w:t>
      </w:r>
    </w:p>
    <w:p w14:paraId="066018B0">
      <w:pPr>
        <w:ind w:firstLine="420"/>
        <w:rPr>
          <w:rFonts w:ascii="宋体" w:hAnsi="宋体" w:cs="宋体"/>
        </w:rPr>
      </w:pPr>
      <w:r>
        <w:rPr>
          <w:rFonts w:hint="eastAsia" w:ascii="宋体" w:hAnsi="宋体" w:cs="宋体"/>
        </w:rPr>
        <w:t>新娘子一般在黄昏时分到男家门口，有串鞭炮声以示迎亲归来。而新郎的父母、兄弟、姐妹不得与新娘碰面，要到菜园里藏起来，这一含意是寻找缘分，将来与新娘子更有人缘。因园与缘同音。新娘下轿后，要在大门前的大竹磨篮内站着，或置矮凳子坐着，等候进亲拜堂。新娘站在圆形的磨篮内，表示与全村人有缘分，也表示日后婚姻团圆美满。</w:t>
      </w:r>
    </w:p>
    <w:p w14:paraId="6BC5A79D">
      <w:pPr>
        <w:ind w:firstLine="420"/>
        <w:rPr>
          <w:rFonts w:ascii="宋体" w:hAnsi="宋体" w:cs="宋体"/>
        </w:rPr>
      </w:pPr>
      <w:r>
        <w:rPr>
          <w:rFonts w:hint="eastAsia" w:ascii="宋体" w:hAnsi="宋体" w:cs="宋体"/>
        </w:rPr>
        <w:t>进门时辰已到，拜堂各项准备就绪。吹鼓手吹吹打打将相关人物一一请出。一请扶亲的女子，到大门口新娘左边，扶着新娘站立好；二请进亲先生，进亲先生左手抓住雄鸡双脚，右手拿一把菜刀，举起雄鸡到祖堂叩头，向天檐叩头，走至大门右侧站立；三请新郎至祖堂前站好。</w:t>
      </w:r>
    </w:p>
    <w:p w14:paraId="3C3BE093">
      <w:pPr>
        <w:ind w:firstLine="420"/>
        <w:rPr>
          <w:rFonts w:ascii="宋体" w:hAnsi="宋体" w:cs="宋体"/>
        </w:rPr>
      </w:pPr>
      <w:r>
        <w:rPr>
          <w:rFonts w:hint="eastAsia" w:ascii="宋体" w:hAnsi="宋体" w:cs="宋体"/>
        </w:rPr>
        <w:t>进亲拜堂开始，进亲先生举起菜刀用力地向大门拍打三下，念进亲赞文：“伏羲天开黄道大吉昌，良辰吉日迎新娘。新娘进门添百福，子孝孙贤满华堂，天煞归天去，地煞归地藏。若有凶神并恶煞，雄鸡头上尽担当。”念完，将雄鸡一刀割死，把鸡血横洒在门脚下，扶亲的女子搀扶着新娘缓步跟在扛米筛两男童后面，进入祖堂。待新娘新郎站好，即行拜堂。进亲先生大声念：“大乐师鸣金三响，擂鼓三通，新娘就位（左），新郎就位（右），参祖鞠躬：一拜天地，二拜高堂，夫妇对拜，喜入洞房。”礼成后，厅堂内鸣放大鞭炮，厅外鸣放神炮。乐师吹打乐器。扶亲的女子扶着新娘向洞房走去，新郎跟着在新娘后面，待新娘步入洞房时，新郎快速将新娘的盖头帻帕取下，拍打新娘三下，拜堂礼成。</w:t>
      </w:r>
    </w:p>
    <w:p w14:paraId="1F2B25D6">
      <w:pPr>
        <w:ind w:firstLine="422"/>
        <w:rPr>
          <w:rFonts w:ascii="宋体" w:hAnsi="宋体" w:cs="宋体"/>
          <w:b/>
          <w:bCs/>
        </w:rPr>
      </w:pPr>
      <w:r>
        <w:rPr>
          <w:rFonts w:hint="eastAsia" w:ascii="宋体" w:hAnsi="宋体" w:cs="宋体"/>
          <w:b/>
          <w:bCs/>
        </w:rPr>
        <w:t>（三）拜见礼、扫灶、敬酒</w:t>
      </w:r>
    </w:p>
    <w:p w14:paraId="4E4C0D7A">
      <w:pPr>
        <w:ind w:firstLine="420"/>
        <w:rPr>
          <w:rFonts w:ascii="宋体" w:hAnsi="宋体" w:cs="宋体"/>
        </w:rPr>
      </w:pPr>
      <w:r>
        <w:rPr>
          <w:rFonts w:hint="eastAsia" w:ascii="宋体" w:hAnsi="宋体" w:cs="宋体"/>
        </w:rPr>
        <w:t>新婚第二天还有三个仪式要举行。第一个仪式早饭前先行拜见礼，新娘参见新郎的祖父母、父母、叔伯母、舅父母、姑父母等至亲老者上辈。拜见时，神堂点着蜡烛，堂前地下铺上新婚夫妇的被褥，被褥边放一茶盘。在乐师吹打声中，由扶亲的女子从新娘房中将新娘扶出，至祖堂左边站立好，新郎则站在祖堂前。随后乐师将各受拜见人依次请来，其次序为：祖父母、父母、伯叔伯叔母、兄嫂、外祖父外祖母、舅父舅母、姑父姑母、姐夫姐姐。受拜时，受拜人走近堂前将事先包好的红包投入茶盘内，新郎即行三跪三拜。扶亲女子或旁人则告知新娘此人称某某（公公或婆婆）。受拜人每投一红包，新郎必拜一遍。拜至母亲时，母亲走到堂前将一扎筷子、一串锁匙，投入茶盘内，口念：“筷子一抓，锁匙一叉，新妇新当家，夫妻和睦到白头，荣华富贵进我家。”受拜后的所有上辈均可得到一双新娘自做的布鞋。这种鞋通常称之为“贺鞋”。</w:t>
      </w:r>
    </w:p>
    <w:p w14:paraId="5BABDA5E">
      <w:pPr>
        <w:ind w:firstLine="420"/>
        <w:rPr>
          <w:rFonts w:ascii="宋体" w:hAnsi="宋体" w:cs="宋体"/>
        </w:rPr>
      </w:pPr>
      <w:r>
        <w:rPr>
          <w:rFonts w:hint="eastAsia" w:ascii="宋体" w:hAnsi="宋体" w:cs="宋体"/>
        </w:rPr>
        <w:t>第二个仪式“扫灶”，吃早饭后由乐师吹吹打打从洞房中将新娘请出，新娘拿手帕捂嘴，轻盈步入厨房，拿起菜刀往砧板上切一切，走近灶前举灶扫前后扫一遍，又在厨房门口摆弄一下糟桶、糟勺，以示做饭养猪样样能行，饭热菜香，六畜兴旺家世好。新娘离开厨房的刹那间，有喜欢开玩笑的厨师或村中好玩的年轻人，故意用手摸一些灶眉黑灰往新娘脸上抹去，以引大笑，这叫做打花脸。通过打花脸考察新娘的气量机警灵活及逗新娘取乐。多数新娘知道在这个仪式中会开这个玩笑，所以扫灶后都快步离开厨房，以免被好开玩笑者抹黑自己的嘴脸，而引起宾客大笑。因此说：“调皮新娘去扫灶，慢上灶而快下灶。厨房门前弄几下，似风一样就溜掉。”</w:t>
      </w:r>
    </w:p>
    <w:p w14:paraId="63327D9A">
      <w:pPr>
        <w:ind w:firstLine="420"/>
        <w:rPr>
          <w:rFonts w:ascii="宋体" w:hAnsi="宋体" w:cs="宋体"/>
        </w:rPr>
      </w:pPr>
      <w:r>
        <w:rPr>
          <w:rFonts w:hint="eastAsia" w:ascii="宋体" w:hAnsi="宋体" w:cs="宋体"/>
        </w:rPr>
        <w:t>第三个仪式新娘敬酒，在大厅中摆上几桌，所有亲戚入席，桌上放一壶酒，几个腊味盘。乐师把新娘从洞房请出，由家婆陪伴到每桌向各位亲戚敬酒。此时新娘以手帕捂嘴，斯斯文文，小心翼翼地跟随在家婆身边向亲戚走去。走到亲戚旁轻举酒壶筛酒，并细听家婆所教呼唤外公请饮酒或舅舅请饮酒。被呼唤亲戚应声后，举杯喝酒，拿出事先准备好的红包放入家婆端着的茶盘内。较有钱的亲戚一般不用红包，直接将钱放入盘内，好让新娘看见，以示大方。敬酒毕，乐师奏乐将新娘送回洞房。</w:t>
      </w:r>
    </w:p>
    <w:p w14:paraId="1006E917">
      <w:pPr>
        <w:ind w:firstLine="420"/>
        <w:rPr>
          <w:rFonts w:ascii="宋体" w:hAnsi="宋体" w:cs="宋体"/>
        </w:rPr>
      </w:pPr>
      <w:r>
        <w:rPr>
          <w:rFonts w:hint="eastAsia" w:ascii="宋体" w:hAnsi="宋体" w:cs="宋体"/>
        </w:rPr>
        <w:t>以上旧礼俗今多已去繁就简，为新风尚所替代。</w:t>
      </w:r>
    </w:p>
    <w:p w14:paraId="05D15C9B">
      <w:pPr>
        <w:pStyle w:val="5"/>
        <w:rPr>
          <w:rFonts w:ascii="宋体" w:hAnsi="宋体" w:cs="宋体"/>
        </w:rPr>
      </w:pPr>
      <w:r>
        <w:rPr>
          <w:rFonts w:hint="eastAsia" w:ascii="宋体" w:hAnsi="宋体" w:cs="宋体"/>
        </w:rPr>
        <w:t>三、烟区带烟味的习俗</w:t>
      </w:r>
    </w:p>
    <w:p w14:paraId="6116F8C9">
      <w:pPr>
        <w:ind w:firstLine="420"/>
        <w:rPr>
          <w:rFonts w:ascii="宋体" w:hAnsi="宋体" w:cs="宋体"/>
        </w:rPr>
      </w:pPr>
      <w:r>
        <w:rPr>
          <w:rFonts w:hint="eastAsia" w:ascii="宋体" w:hAnsi="宋体" w:cs="宋体"/>
        </w:rPr>
        <w:t>南雄烟区都是客家人，客家文化处处可见，但又有一种与黄烟相联系的习俗，即带着烟味的习俗。</w:t>
      </w:r>
    </w:p>
    <w:p w14:paraId="2857D272">
      <w:pPr>
        <w:ind w:firstLine="420"/>
        <w:rPr>
          <w:rFonts w:ascii="宋体" w:hAnsi="宋体" w:cs="宋体"/>
        </w:rPr>
      </w:pPr>
      <w:r>
        <w:rPr>
          <w:rFonts w:hint="eastAsia" w:ascii="宋体" w:hAnsi="宋体" w:cs="宋体"/>
        </w:rPr>
        <w:t>“长在烟头下，哪有不吸烟。”烟区成年男子以吸烟为时尚，有九成以上的人吸烟，妇女也有不少抽烟的。他们吸的都是自产烟叶，生切成丝，用土纸卷而吸之。俗称“喇叭筒”。人人都有刨烟丝专用的刀和夹板，随身必带三件宝：烟丝、烟纸和洋火（火柴）。烟农吸烟不只是一种嗜好，而且是对自己产品的欣赏和检验，从吸烟的体验中琢磨种烟的经验教训。所以说，烟农吸烟不只为解烦，也不只为提神，而是重在品味。日积月累，烟农几乎个个都成了品烟能手。有的老烟农只要吸上几口烟，就能道出这烟叶是何品种，产于何地，是田烟还是土烟，施什么肥料，烟叶长于哪个部位，烤晒工夫是否到家等等。</w:t>
      </w:r>
    </w:p>
    <w:p w14:paraId="3B926D21">
      <w:pPr>
        <w:ind w:firstLine="420"/>
        <w:rPr>
          <w:rFonts w:ascii="宋体" w:hAnsi="宋体" w:cs="宋体"/>
        </w:rPr>
      </w:pPr>
      <w:r>
        <w:rPr>
          <w:rFonts w:hint="eastAsia" w:ascii="宋体" w:hAnsi="宋体" w:cs="宋体"/>
        </w:rPr>
        <w:t>烟农见面有个习惯，以敬烟为第一礼数。一般朋友将烟袋（盒）递过去，对尊者则卷好递上，点火，吸烟，而后说话，先以评烟为第一话题，然后在吞云吐雾中进行友好而诚恳的交流。</w:t>
      </w:r>
    </w:p>
    <w:p w14:paraId="4F0BBC4F">
      <w:pPr>
        <w:ind w:firstLine="420"/>
        <w:rPr>
          <w:rFonts w:ascii="宋体" w:hAnsi="宋体" w:cs="宋体"/>
        </w:rPr>
      </w:pPr>
      <w:r>
        <w:rPr>
          <w:rFonts w:hint="eastAsia" w:ascii="宋体" w:hAnsi="宋体" w:cs="宋体"/>
        </w:rPr>
        <w:t>有人说，南雄黄烟曾是贡品，但不见记载。民间则以优质烟叶为馈赠亲友之上品。烟农走亲访友时，带上自己生产的几斤优质烟叶，亲友就很高兴了。烟好情意重。</w:t>
      </w:r>
    </w:p>
    <w:p w14:paraId="3E92CDA9">
      <w:pPr>
        <w:ind w:firstLine="420"/>
        <w:rPr>
          <w:rFonts w:ascii="宋体" w:hAnsi="宋体" w:cs="宋体"/>
        </w:rPr>
      </w:pPr>
      <w:r>
        <w:rPr>
          <w:rFonts w:hint="eastAsia" w:ascii="宋体" w:hAnsi="宋体" w:cs="宋体"/>
        </w:rPr>
        <w:t>黄烟意识渗透于人们生活之中。人们观察事物往往带上黄烟的色彩。如以种烟多少论贫富。过去，一家能种上18000株烟，才称得上中等人家。又如以会不会种烟来评价一个人的才干，种烟能手都得人们的敬重。</w:t>
      </w:r>
    </w:p>
    <w:p w14:paraId="79A86E0D">
      <w:pPr>
        <w:pStyle w:val="5"/>
        <w:rPr>
          <w:rFonts w:ascii="宋体" w:hAnsi="宋体" w:cs="宋体"/>
        </w:rPr>
      </w:pPr>
      <w:r>
        <w:rPr>
          <w:rFonts w:hint="eastAsia" w:ascii="宋体" w:hAnsi="宋体" w:cs="宋体"/>
        </w:rPr>
        <w:t>四、六月二十三雷爷节</w:t>
      </w:r>
    </w:p>
    <w:p w14:paraId="3C8332E0">
      <w:pPr>
        <w:ind w:firstLine="420"/>
        <w:rPr>
          <w:rFonts w:ascii="宋体" w:hAnsi="宋体" w:cs="宋体"/>
        </w:rPr>
      </w:pPr>
      <w:r>
        <w:rPr>
          <w:rFonts w:hint="eastAsia" w:ascii="宋体" w:hAnsi="宋体" w:cs="宋体"/>
        </w:rPr>
        <w:t>此节流行于珠玑、湖口等地。雷爷即雷公，雷神。古代神话传说，雷公乃轩辕司雷雨之神，得道升天，位为“九天应元雷声普化天尊”。又说雷公为古代名医，曾与黄帝讨论医学理论。</w:t>
      </w:r>
    </w:p>
    <w:p w14:paraId="3678B653">
      <w:pPr>
        <w:ind w:firstLine="420"/>
        <w:rPr>
          <w:rFonts w:ascii="宋体" w:hAnsi="宋体" w:cs="宋体"/>
        </w:rPr>
      </w:pPr>
      <w:r>
        <w:rPr>
          <w:rFonts w:hint="eastAsia" w:ascii="宋体" w:hAnsi="宋体" w:cs="宋体"/>
        </w:rPr>
        <w:t>此节日很隆重，提前10天请道士设坛，将长大的毛竹竖起旗杆，直指云天，请雷爷下凡。六月二十三日，在道士指引下祭坛祈祷，请雷爷及时行雷布雨，风调雨顺保丰收。有些结婚多年未生育或未生育男孩的妇女，经一番梳洗，换上新衣，披头散发地跪在旗杆前，祈求雷爷保佑生子。</w:t>
      </w:r>
    </w:p>
    <w:p w14:paraId="3CAB5712">
      <w:pPr>
        <w:ind w:firstLine="420"/>
        <w:rPr>
          <w:rFonts w:ascii="宋体" w:hAnsi="宋体" w:cs="宋体"/>
        </w:rPr>
      </w:pPr>
      <w:r>
        <w:rPr>
          <w:rFonts w:hint="eastAsia" w:ascii="宋体" w:hAnsi="宋体" w:cs="宋体"/>
        </w:rPr>
        <w:t>此日还有两个显示雷爷神威的活动。一为上刀山，用几十把大刀或草镰刀绑在杉木上扎成楼梯形，约30个梯级左右，刀刃向上。道士光膀赤脚，腰扎一条红布，口中念念有词，手攀脚踩刀梯，一上一下，十分惊险。观者以为雷爷显灵，莫不叩头跪拜。</w:t>
      </w:r>
    </w:p>
    <w:p w14:paraId="75412A22">
      <w:pPr>
        <w:ind w:firstLine="420"/>
        <w:rPr>
          <w:rFonts w:ascii="宋体" w:hAnsi="宋体" w:cs="宋体"/>
        </w:rPr>
      </w:pPr>
      <w:r>
        <w:rPr>
          <w:rFonts w:hint="eastAsia" w:ascii="宋体" w:hAnsi="宋体" w:cs="宋体"/>
        </w:rPr>
        <w:t>另一个活动是打白水麻糍，将糯米用冷水浸泡后蒸熟，倒入大石碓中。由12个后生仔各持一根长约1.8米的糍棍，围着石碓边吆喝边以棍猛力春糍。捣烂之后，12根糍棍互成六对，交换糍棍以搅之，使糍团柔韧，而后，吆喝一声，12根糍棍协同用力把糍团抛起准确落于台面。这种打糍方法，有声有势，增加了雷爷节的威武气氛。人们把打好的糍团切成小块，下油锅略炸酥皮，起锅蘸糖及芝麻食用，香甜软滑，极其可口。</w:t>
      </w:r>
    </w:p>
    <w:p w14:paraId="36E1D053">
      <w:pPr>
        <w:ind w:firstLine="420"/>
        <w:rPr>
          <w:rFonts w:ascii="宋体" w:hAnsi="宋体" w:cs="宋体"/>
        </w:rPr>
      </w:pPr>
      <w:r>
        <w:rPr>
          <w:rFonts w:hint="eastAsia" w:ascii="宋体" w:hAnsi="宋体" w:cs="宋体"/>
        </w:rPr>
        <w:t>节日那天，家家户户亲朋都来做客，一村热热闹闹，喜气洋洋。时值农忙，当日散客。</w:t>
      </w:r>
    </w:p>
    <w:p w14:paraId="1CB63B67">
      <w:pPr>
        <w:pStyle w:val="5"/>
        <w:rPr>
          <w:rFonts w:ascii="宋体" w:hAnsi="宋体" w:cs="宋体"/>
        </w:rPr>
      </w:pPr>
      <w:r>
        <w:rPr>
          <w:rFonts w:hint="eastAsia" w:ascii="宋体" w:hAnsi="宋体" w:cs="宋体"/>
        </w:rPr>
        <w:t>五、惊蛰撒石灰炒黄豆</w:t>
      </w:r>
    </w:p>
    <w:p w14:paraId="3CD61860">
      <w:pPr>
        <w:ind w:firstLine="420"/>
        <w:rPr>
          <w:rFonts w:ascii="宋体" w:hAnsi="宋体" w:cs="宋体"/>
        </w:rPr>
      </w:pPr>
      <w:r>
        <w:rPr>
          <w:rFonts w:hint="eastAsia" w:ascii="宋体" w:hAnsi="宋体" w:cs="宋体"/>
        </w:rPr>
        <w:t>每年惊蛰，是为过冬蛰伏的害虫甦醒出动之时，农村有撒石灰和炒黄豆的习俗。</w:t>
      </w:r>
    </w:p>
    <w:p w14:paraId="025DFF5A">
      <w:pPr>
        <w:ind w:firstLine="420"/>
        <w:rPr>
          <w:rFonts w:ascii="宋体" w:hAnsi="宋体" w:cs="宋体"/>
        </w:rPr>
      </w:pPr>
      <w:r>
        <w:rPr>
          <w:rFonts w:hint="eastAsia" w:ascii="宋体" w:hAnsi="宋体" w:cs="宋体"/>
        </w:rPr>
        <w:t>撒石灰。家家户户于傍晚把石灰撒于住房四周墙脚，以防虫害入屋。</w:t>
      </w:r>
    </w:p>
    <w:p w14:paraId="05121837">
      <w:pPr>
        <w:ind w:firstLine="420"/>
        <w:rPr>
          <w:rFonts w:ascii="宋体" w:hAnsi="宋体" w:cs="宋体"/>
        </w:rPr>
      </w:pPr>
      <w:r>
        <w:rPr>
          <w:rFonts w:hint="eastAsia" w:ascii="宋体" w:hAnsi="宋体" w:cs="宋体"/>
        </w:rPr>
        <w:t>炒黄豆。家家户户炒一二斤黄豆，边炒边念“炒死黄大嫂（蟑螂），炒死黄蚁公（蚂蚁之类）”。黄豆炒熟后分给大人小孩吃，意为把虫吃掉。</w:t>
      </w:r>
    </w:p>
    <w:p w14:paraId="75F202C0">
      <w:pPr>
        <w:pStyle w:val="5"/>
        <w:rPr>
          <w:rFonts w:ascii="宋体" w:hAnsi="宋体" w:cs="宋体"/>
        </w:rPr>
      </w:pPr>
      <w:r>
        <w:rPr>
          <w:rFonts w:hint="eastAsia" w:ascii="宋体" w:hAnsi="宋体" w:cs="宋体"/>
        </w:rPr>
        <w:t>六、古城商铺雅联风</w:t>
      </w:r>
    </w:p>
    <w:p w14:paraId="495CFD44">
      <w:pPr>
        <w:ind w:firstLine="420"/>
        <w:rPr>
          <w:rFonts w:ascii="宋体" w:hAnsi="宋体" w:cs="宋体"/>
        </w:rPr>
      </w:pPr>
      <w:r>
        <w:rPr>
          <w:rFonts w:hint="eastAsia" w:ascii="宋体" w:hAnsi="宋体" w:cs="宋体"/>
        </w:rPr>
        <w:t>南雄城是古代南北商旅往来、文化交汇的商贸重镇。沿江两公里城区商铺栉比，且商铺有贴门联的风俗，以宣扬其经营宗旨，招揽生意。故漫步雄城，但见商品琳琅满目，门联雅韵生辉，别有一番风情。此风民国时期犹存，流传下来的好联不少。清末举人莫开瑶为全昌酒店撰联：</w:t>
      </w:r>
    </w:p>
    <w:p w14:paraId="4249937E">
      <w:pPr>
        <w:ind w:firstLine="422"/>
        <w:rPr>
          <w:rFonts w:ascii="宋体" w:hAnsi="宋体" w:cs="宋体"/>
          <w:b/>
          <w:bCs/>
        </w:rPr>
      </w:pPr>
      <w:r>
        <w:rPr>
          <w:rFonts w:hint="eastAsia" w:ascii="宋体" w:hAnsi="宋体" w:cs="宋体"/>
          <w:b/>
          <w:bCs/>
        </w:rPr>
        <w:t>全年整顿糟丘，骚客来游，十里晓风杨柳绿；</w:t>
      </w:r>
    </w:p>
    <w:p w14:paraId="636FB998">
      <w:pPr>
        <w:ind w:firstLine="422"/>
        <w:rPr>
          <w:rFonts w:ascii="宋体" w:hAnsi="宋体" w:cs="宋体"/>
          <w:b/>
          <w:bCs/>
        </w:rPr>
      </w:pPr>
      <w:r>
        <w:rPr>
          <w:rFonts w:hint="eastAsia" w:ascii="宋体" w:hAnsi="宋体" w:cs="宋体"/>
          <w:b/>
          <w:bCs/>
        </w:rPr>
        <w:t>昌水酿成醇液，牧童遥指，一帘春雨杏花红。</w:t>
      </w:r>
    </w:p>
    <w:p w14:paraId="0608A53E">
      <w:pPr>
        <w:ind w:firstLine="420"/>
        <w:rPr>
          <w:rFonts w:ascii="宋体" w:hAnsi="宋体" w:cs="宋体"/>
        </w:rPr>
      </w:pPr>
      <w:r>
        <w:rPr>
          <w:rFonts w:hint="eastAsia" w:ascii="宋体" w:hAnsi="宋体" w:cs="宋体"/>
        </w:rPr>
        <w:t>又为同生估衣店撰联：</w:t>
      </w:r>
    </w:p>
    <w:p w14:paraId="058234F4">
      <w:pPr>
        <w:ind w:firstLine="422"/>
        <w:rPr>
          <w:rFonts w:ascii="宋体" w:hAnsi="宋体" w:cs="宋体"/>
          <w:b/>
          <w:bCs/>
        </w:rPr>
      </w:pPr>
      <w:r>
        <w:rPr>
          <w:rFonts w:hint="eastAsia" w:ascii="宋体" w:hAnsi="宋体" w:cs="宋体"/>
          <w:b/>
          <w:bCs/>
        </w:rPr>
        <w:t>同胞果赋无衣，请入我门，夏葛冬裘凭选择；</w:t>
      </w:r>
    </w:p>
    <w:p w14:paraId="768A4226">
      <w:pPr>
        <w:ind w:firstLine="422"/>
        <w:rPr>
          <w:rFonts w:ascii="宋体" w:hAnsi="宋体" w:cs="宋体"/>
          <w:b/>
          <w:bCs/>
        </w:rPr>
      </w:pPr>
      <w:r>
        <w:rPr>
          <w:rFonts w:hint="eastAsia" w:ascii="宋体" w:hAnsi="宋体" w:cs="宋体"/>
          <w:b/>
          <w:bCs/>
        </w:rPr>
        <w:t>生意但求有利，各如人愿，春罗秋纺备搜寻。</w:t>
      </w:r>
    </w:p>
    <w:p w14:paraId="689DC76E">
      <w:pPr>
        <w:ind w:firstLine="420"/>
        <w:rPr>
          <w:rFonts w:ascii="宋体" w:hAnsi="宋体" w:cs="宋体"/>
        </w:rPr>
      </w:pPr>
      <w:r>
        <w:rPr>
          <w:rFonts w:hint="eastAsia" w:ascii="宋体" w:hAnsi="宋体" w:cs="宋体"/>
        </w:rPr>
        <w:t>又为元亨京果店撰联：</w:t>
      </w:r>
    </w:p>
    <w:p w14:paraId="0FDACB19">
      <w:pPr>
        <w:ind w:firstLine="422"/>
        <w:rPr>
          <w:rFonts w:ascii="宋体" w:hAnsi="宋体" w:cs="宋体"/>
          <w:b/>
          <w:bCs/>
        </w:rPr>
      </w:pPr>
      <w:r>
        <w:rPr>
          <w:rFonts w:hint="eastAsia" w:ascii="宋体" w:hAnsi="宋体" w:cs="宋体"/>
          <w:b/>
          <w:bCs/>
        </w:rPr>
        <w:t>元气转鸿钧，北果南瓜销市畅；</w:t>
      </w:r>
    </w:p>
    <w:p w14:paraId="616F25F8">
      <w:pPr>
        <w:ind w:firstLine="422"/>
        <w:rPr>
          <w:rFonts w:ascii="宋体" w:hAnsi="宋体" w:cs="宋体"/>
        </w:rPr>
      </w:pPr>
      <w:r>
        <w:rPr>
          <w:rFonts w:hint="eastAsia" w:ascii="宋体" w:hAnsi="宋体" w:cs="宋体"/>
          <w:b/>
          <w:bCs/>
        </w:rPr>
        <w:t>亨通交泰运，山肴海错利源长。</w:t>
      </w:r>
    </w:p>
    <w:p w14:paraId="53A8F49D">
      <w:pPr>
        <w:ind w:firstLine="420"/>
        <w:rPr>
          <w:rFonts w:ascii="宋体" w:hAnsi="宋体" w:cs="宋体"/>
        </w:rPr>
      </w:pPr>
      <w:r>
        <w:rPr>
          <w:rFonts w:hint="eastAsia" w:ascii="宋体" w:hAnsi="宋体" w:cs="宋体"/>
        </w:rPr>
        <w:t>庠生莫锦霞为翠华金银首饰店撰联：</w:t>
      </w:r>
    </w:p>
    <w:p w14:paraId="4599146D">
      <w:pPr>
        <w:ind w:firstLine="422"/>
        <w:rPr>
          <w:rFonts w:ascii="宋体" w:hAnsi="宋体" w:cs="宋体"/>
          <w:b/>
          <w:bCs/>
        </w:rPr>
      </w:pPr>
      <w:r>
        <w:rPr>
          <w:rFonts w:hint="eastAsia" w:ascii="宋体" w:hAnsi="宋体" w:cs="宋体"/>
          <w:b/>
          <w:bCs/>
        </w:rPr>
        <w:t>翠羽点金环，看良工巧出指中，妆就千般彩色；</w:t>
      </w:r>
    </w:p>
    <w:p w14:paraId="7EEC020E">
      <w:pPr>
        <w:ind w:firstLine="422"/>
        <w:rPr>
          <w:rFonts w:ascii="宋体" w:hAnsi="宋体" w:cs="宋体"/>
        </w:rPr>
      </w:pPr>
      <w:r>
        <w:rPr>
          <w:rFonts w:hint="eastAsia" w:ascii="宋体" w:hAnsi="宋体" w:cs="宋体"/>
          <w:b/>
          <w:bCs/>
        </w:rPr>
        <w:t>华钗镶宝石，倘玉女簪来头上，更增一段风情。</w:t>
      </w:r>
    </w:p>
    <w:p w14:paraId="2F735432">
      <w:pPr>
        <w:ind w:firstLine="420"/>
        <w:rPr>
          <w:rFonts w:ascii="宋体" w:hAnsi="宋体" w:cs="宋体"/>
        </w:rPr>
      </w:pPr>
      <w:r>
        <w:rPr>
          <w:rFonts w:hint="eastAsia" w:ascii="宋体" w:hAnsi="宋体" w:cs="宋体"/>
        </w:rPr>
        <w:t>大马路牛巷口刘氏草鞋店请庠生胡福田撰门联：</w:t>
      </w:r>
    </w:p>
    <w:p w14:paraId="0ECD8C7B">
      <w:pPr>
        <w:ind w:firstLine="422"/>
        <w:rPr>
          <w:rFonts w:ascii="宋体" w:hAnsi="宋体" w:cs="宋体"/>
          <w:b/>
          <w:bCs/>
        </w:rPr>
      </w:pPr>
      <w:r>
        <w:rPr>
          <w:rFonts w:hint="eastAsia" w:ascii="宋体" w:hAnsi="宋体" w:cs="宋体"/>
          <w:b/>
          <w:bCs/>
        </w:rPr>
        <w:t>祖即称帝，宗即称王，自蜀汉迄今时，代远年湮，卖履敢夸延世业；</w:t>
      </w:r>
    </w:p>
    <w:p w14:paraId="72285793">
      <w:pPr>
        <w:ind w:firstLine="422"/>
        <w:rPr>
          <w:rFonts w:ascii="宋体" w:hAnsi="宋体" w:cs="宋体"/>
        </w:rPr>
      </w:pPr>
      <w:r>
        <w:rPr>
          <w:rFonts w:hint="eastAsia" w:ascii="宋体" w:hAnsi="宋体" w:cs="宋体"/>
          <w:b/>
          <w:bCs/>
        </w:rPr>
        <w:t>巷可通牛，路可通马，得康衢于市所，拱南负北，临风合唱阜吾财。</w:t>
      </w:r>
    </w:p>
    <w:p w14:paraId="5F16D9B5">
      <w:pPr>
        <w:ind w:firstLine="420"/>
        <w:rPr>
          <w:rFonts w:ascii="宋体" w:hAnsi="宋体" w:cs="宋体"/>
        </w:rPr>
      </w:pPr>
      <w:r>
        <w:rPr>
          <w:rFonts w:hint="eastAsia" w:ascii="宋体" w:hAnsi="宋体" w:cs="宋体"/>
        </w:rPr>
        <w:t>又胡福田为庆隆药店撰联：</w:t>
      </w:r>
    </w:p>
    <w:p w14:paraId="75FF73EA">
      <w:pPr>
        <w:ind w:firstLine="422"/>
        <w:rPr>
          <w:rFonts w:ascii="宋体" w:hAnsi="宋体" w:cs="宋体"/>
          <w:b/>
          <w:bCs/>
        </w:rPr>
      </w:pPr>
      <w:r>
        <w:rPr>
          <w:rFonts w:hint="eastAsia" w:ascii="宋体" w:hAnsi="宋体" w:cs="宋体"/>
          <w:b/>
          <w:bCs/>
        </w:rPr>
        <w:t>庆祝意无私，相期举国咸宁，工贾士农齐寿考；</w:t>
      </w:r>
    </w:p>
    <w:p w14:paraId="18746DE7">
      <w:pPr>
        <w:ind w:firstLine="422"/>
        <w:rPr>
          <w:rFonts w:ascii="宋体" w:hAnsi="宋体" w:cs="宋体"/>
          <w:b/>
          <w:bCs/>
        </w:rPr>
      </w:pPr>
      <w:r>
        <w:rPr>
          <w:rFonts w:hint="eastAsia" w:ascii="宋体" w:hAnsi="宋体" w:cs="宋体"/>
          <w:b/>
          <w:bCs/>
        </w:rPr>
        <w:t>隆情何以报，所有诸君光顾，参茸燕桂总平沽。</w:t>
      </w:r>
    </w:p>
    <w:p w14:paraId="462D4DDD">
      <w:pPr>
        <w:pStyle w:val="4"/>
        <w:rPr>
          <w:rFonts w:ascii="宋体" w:hAnsi="宋体" w:cs="宋体"/>
        </w:rPr>
      </w:pPr>
      <w:r>
        <w:rPr>
          <w:rFonts w:hint="eastAsia" w:ascii="宋体" w:hAnsi="宋体" w:cs="宋体"/>
        </w:rPr>
        <w:t>第三节  时尚风俗</w:t>
      </w:r>
    </w:p>
    <w:p w14:paraId="52C38906">
      <w:pPr>
        <w:ind w:firstLine="420"/>
        <w:rPr>
          <w:rFonts w:ascii="宋体" w:hAnsi="宋体" w:cs="宋体"/>
        </w:rPr>
      </w:pPr>
      <w:r>
        <w:rPr>
          <w:rFonts w:hint="eastAsia" w:ascii="宋体" w:hAnsi="宋体" w:cs="宋体"/>
        </w:rPr>
        <w:t>20世纪90年代始，南雄城乡开始普及程控电话和寻呼机，进入2000年后移动电话快速发展，由于通讯条件的改善，南雄旧俗有所简化，尤其是拜年和约请亲友不像以前繁琐。每逢有红、白等事宜以前基本上派人亲自上门告知和约请。1990年开始，出现电话告诉和约请，也有电话约请后再寄出请柬，以示尊重。春节（除夕）对身居外地的长辈、亲属、朋友等用移动电话发送短信拜年祝福，短信内容多是祝福平安、健康、恭喜发财、恭贺新春之语，形式活泼。</w:t>
      </w:r>
    </w:p>
    <w:p w14:paraId="0F42704A">
      <w:pPr>
        <w:ind w:firstLine="420"/>
        <w:rPr>
          <w:rFonts w:ascii="宋体" w:hAnsi="宋体" w:cs="宋体"/>
        </w:rPr>
      </w:pPr>
      <w:r>
        <w:rPr>
          <w:rFonts w:hint="eastAsia" w:ascii="宋体" w:hAnsi="宋体" w:cs="宋体"/>
        </w:rPr>
        <w:t>迎新方式：20世纪80年代前迎亲基本上肩挑人抬，新娘搭载自行车；90年代开始有汽车接新娘。城区多用面包车、小轿车，少则二三辆，多的达10余辆，张扬过市，以显身价。农村多用大型汽车（农用汽车）。除了延续传统的迎亲摆酒的习俗外，家居城区的，婚宴一般在酒店举行，程仪是：新娘新郎及双方父母按照约定的时间在酒店正厅大门侍立迎候客人，亲朋好友赴宴时随备贺礼（红包）。婚宴由主婚人，或礼仪小姐主持，有主婚人讲话，新郎（新娘）讲话，男方父母讲话，内容大致是欢迎宾客赴宴，祝福新人幸福美满，白头偕老等内容，席间穿插一些小节目，生动诙谐，以添喜庆气氛，新郎新娘在主婚人或父母的引领下，逐席敬酒，散席后分发糖果礼饼以示酬谢。2000年后农村有条件的婚宴也在圩市酒店举行，礼仪与城区大同小异。在农村举行结婚仪式的简化了传统礼仪，不如旧俗繁琐。</w:t>
      </w:r>
    </w:p>
    <w:p w14:paraId="2BE065E9">
      <w:pPr>
        <w:ind w:firstLine="420"/>
        <w:rPr>
          <w:rFonts w:ascii="宋体" w:hAnsi="宋体" w:cs="宋体"/>
        </w:rPr>
      </w:pPr>
      <w:r>
        <w:rPr>
          <w:rFonts w:hint="eastAsia" w:ascii="宋体" w:hAnsi="宋体" w:cs="宋体"/>
        </w:rPr>
        <w:t>2000年前后，拍摄结婚影照（俗称婚纱照），成为结婚男女的一种时尚，婚庆礼仪公司应运而生，花上数千元在婚纱影楼拍摄婚纱照，多放大悬挂于洞房留做纪念。也有请婚庆祝的公司专业人员，用摄像机将迎亲、婚宴全程拍摄，配上乐曲（解说词），制成光盘珍藏，但不普遍。</w:t>
      </w:r>
    </w:p>
    <w:p w14:paraId="245D74B3">
      <w:pPr>
        <w:ind w:firstLine="420"/>
        <w:rPr>
          <w:rFonts w:ascii="宋体" w:hAnsi="宋体" w:cs="宋体"/>
        </w:rPr>
      </w:pPr>
      <w:r>
        <w:rPr>
          <w:rFonts w:hint="eastAsia" w:ascii="宋体" w:hAnsi="宋体" w:cs="宋体"/>
        </w:rPr>
        <w:t>1988年前，办丧事，基本沿用旧俗。“文化大革命”时有所淡化，后逐渐恢复。1988年后由于政府推行殡葬改革力度加大，殡葬设施的改善，火化率有所提高。城乡居民死后实行火葬的仍沿用洗身（净身）的习俗，然后请人帮死者穿（戴）衣帽抬至厅堂，然后在市殡仪馆派车将尸体运至殡仪馆。火化前死者遗属或者死者生前单位、有关亲属、亲朋好友到殡仪馆为死者举行追悼会或遗体告别仪式，仪式结束后，遗体由火化工负责火化，并由火化工将骨灰装入骨灰盒（或用红布包裹）交由死者家属带回，自行处理。农村部分村民将骨灰带回后仍参照原来旧俗用棺木进行土葬，丧事完毕，每人发红头绳一条约二三寸，以示“吉祥”。</w:t>
      </w:r>
    </w:p>
    <w:p w14:paraId="2D939FC4">
      <w:pPr>
        <w:ind w:firstLine="420"/>
        <w:rPr>
          <w:rFonts w:ascii="宋体" w:hAnsi="宋体" w:cs="宋体"/>
        </w:rPr>
      </w:pPr>
      <w:r>
        <w:rPr>
          <w:rFonts w:hint="eastAsia" w:ascii="宋体" w:hAnsi="宋体" w:cs="宋体"/>
        </w:rPr>
        <w:t>南雄境内城乡的红、白喜庆事宜繁多复杂结婚、乔迁、店铺开张、小孩出生、升学、参军、工作调动、升职、祝寿都宴请亲朋好友聚会，大摆宴席，赴宴者以红包（利是）相贺，俗称送礼，礼金额数不断提高，店铺开张也有在南雄电视台播放走码字幕庆贺，或赠送花篮贺喜。</w:t>
      </w:r>
    </w:p>
    <w:p w14:paraId="665B1546">
      <w:pPr>
        <w:pStyle w:val="3"/>
        <w:rPr>
          <w:rFonts w:ascii="宋体" w:hAnsi="宋体" w:cs="宋体"/>
        </w:rPr>
      </w:pPr>
      <w:r>
        <w:rPr>
          <w:rFonts w:hint="eastAsia" w:ascii="宋体" w:hAnsi="宋体" w:cs="宋体"/>
        </w:rPr>
        <w:t>第七章  方言</w:t>
      </w:r>
    </w:p>
    <w:p w14:paraId="3950C3D4">
      <w:pPr>
        <w:ind w:firstLine="420"/>
        <w:rPr>
          <w:rFonts w:ascii="宋体" w:hAnsi="宋体" w:cs="宋体"/>
        </w:rPr>
      </w:pPr>
      <w:r>
        <w:rPr>
          <w:rFonts w:hint="eastAsia" w:ascii="宋体" w:hAnsi="宋体" w:cs="宋体"/>
        </w:rPr>
        <w:t>南雄境内方言极为复杂，大体可以分为四大片：城关话、上方话、下方话和北山话。</w:t>
      </w:r>
    </w:p>
    <w:p w14:paraId="00376248">
      <w:pPr>
        <w:ind w:firstLine="420"/>
        <w:rPr>
          <w:rFonts w:ascii="宋体" w:hAnsi="宋体" w:cs="宋体"/>
        </w:rPr>
      </w:pPr>
      <w:r>
        <w:rPr>
          <w:rFonts w:hint="eastAsia" w:ascii="宋体" w:hAnsi="宋体" w:cs="宋体"/>
        </w:rPr>
        <w:t>城关话只在县城雄州镇及近郊范围内通行，使用人口约8万人，占全县总人口的19.5%。上方话在油山、乌迳、坪田、界址等镇通行，使用人口约10万人，占全县总人口的24.4%。下方话在湖口、珠玑、水口、江头、主田、古市、全安等镇通行，使用人口约20万人，占全县总人口的48.8%。北山话在百顺、帽子峰、澜河等镇通行，使用人口约3万人，占全县总人口的7.3%。</w:t>
      </w:r>
    </w:p>
    <w:p w14:paraId="15570D7B">
      <w:pPr>
        <w:ind w:firstLine="420"/>
        <w:rPr>
          <w:rFonts w:ascii="宋体" w:hAnsi="宋体" w:cs="宋体"/>
        </w:rPr>
      </w:pPr>
      <w:r>
        <w:rPr>
          <w:rFonts w:hint="eastAsia" w:ascii="宋体" w:hAnsi="宋体" w:cs="宋体"/>
        </w:rPr>
        <w:t>城关话自成一体，跟其他三片有较大的差别，究竟应该归入哪个大方言还有待进一步研究。上方话以乌迳为代表点，下方话以湖口为代表点，北山话以百顺为代表点。这三片地区的乡民大多自称祖上从江西或福建迁来，与客家关系密切。从语音特征看，这些地方的土语既有与客家话相一致的地方，也有与客家话不同的地方。如在湖口话和乌迳话中，古全浊声母字不论平仄都读送气清音，“婆”湖口读，［p‘O21］，乌迳读［p‘o31］“步”湖口读［p‘u53］，乌迳读［p’o35］，这是跟客家话相同的。但湖口和乌迳都有两到三个撮口呼韵母。韵母总数目较少，乌迳的鼻化韵发达；在人声问题上，湖口话的入声韵尾变成了喉塞韵尾一？，而乌迳话则没有人声调类，古入声字已分派到阴平和阳去调中，如“杀”同“纱”，“石”同“射”，这些都跟客家话不同。百顺话无撮口呼韵母，这跟客家话一致，但古全浊声母字仄声读送气清音，平声读不送气清音，如“步”读［p‘u45］，“婆”读［po52］；韵母总数只有28个；入声自成调类。是一个升降型的曲折调，不促化，这些跟客家话又有所不同。总的说来，湖口话离客家话还比较近，乌迳、百顺离客家话则比较远，他们的系属问题同样需要继续研究。南雄方言详见《南雄县志·方言》。</w:t>
      </w:r>
    </w:p>
    <w:p w14:paraId="7CF21AB2">
      <w:pPr>
        <w:pStyle w:val="3"/>
      </w:pPr>
      <w:r>
        <w:rPr>
          <w:rFonts w:hint="eastAsia"/>
        </w:rPr>
        <w:t>第八章  宗教</w:t>
      </w:r>
    </w:p>
    <w:p w14:paraId="5019BDF3">
      <w:pPr>
        <w:ind w:firstLine="420"/>
        <w:rPr>
          <w:rFonts w:ascii="宋体" w:hAnsi="宋体" w:cs="宋体"/>
        </w:rPr>
      </w:pPr>
      <w:r>
        <w:rPr>
          <w:rFonts w:hint="eastAsia" w:ascii="宋体" w:hAnsi="宋体" w:cs="宋体"/>
        </w:rPr>
        <w:t>南雄的宗教主要有佛教、道教、天主教、基督教。</w:t>
      </w:r>
    </w:p>
    <w:p w14:paraId="279040D7">
      <w:pPr>
        <w:pStyle w:val="4"/>
        <w:rPr>
          <w:rFonts w:ascii="宋体" w:hAnsi="宋体" w:cs="宋体"/>
        </w:rPr>
      </w:pPr>
      <w:r>
        <w:rPr>
          <w:rFonts w:hint="eastAsia" w:ascii="宋体" w:hAnsi="宋体" w:cs="宋体"/>
        </w:rPr>
        <w:t>第一节  佛教</w:t>
      </w:r>
    </w:p>
    <w:p w14:paraId="2A750383">
      <w:pPr>
        <w:ind w:firstLine="420"/>
        <w:rPr>
          <w:rFonts w:ascii="宋体" w:hAnsi="宋体" w:cs="宋体"/>
        </w:rPr>
      </w:pPr>
      <w:r>
        <w:rPr>
          <w:rFonts w:hint="eastAsia" w:ascii="宋体" w:hAnsi="宋体" w:cs="宋体"/>
        </w:rPr>
        <w:t>佛教于东汉时传入南雄，顺帝永和二年（137年）在县属里营村设立延寿院。唐代武德中建光孝寺，随后又相继建有报本寺、晓真寺、云封寺及宝成院、石室院、临林院、上朔花林院、五渡花林院8所。较出名的和尚有保昌怀化人叶惠寂，9岁出家，17岁披剃，后人尊称他为“小释迦”。较出名的寺院有云封寺，在梅关侧，唐时创建，宋大中祥符二年（1009年）赐此名，俗称挂角寺。相传梁时飞来寺自吴中飞来，触梅岭缺去一角，遂名。宋代添建延祥寺、沙水寺、龙泉寺、云峰庵、仁和院等31所。以珠玑巷之沙水寺著名。该寺建于北宋哲宗年间，有高僧住持，清咸丰年间被战火焚毁。较有名的和尚有邑人何善清，8岁出家，24岁策经剃度，后住江西黄龙草堂，号称宝觉禅师。元代添建西山寺、石桥寺、观音院等4所。至明代嘉靖年间，全县有寺院庵堂47所。至清道光四年（1824年），发展到99所。民国时期，佛教僧尼大都因兵燹而迁散。至1949年，全县有佛教徒50人。</w:t>
      </w:r>
    </w:p>
    <w:p w14:paraId="76C03A67">
      <w:pPr>
        <w:ind w:firstLine="420"/>
        <w:rPr>
          <w:rFonts w:ascii="宋体" w:hAnsi="宋体" w:cs="宋体"/>
        </w:rPr>
      </w:pPr>
      <w:r>
        <w:rPr>
          <w:rFonts w:hint="eastAsia" w:ascii="宋体" w:hAnsi="宋体" w:cs="宋体"/>
        </w:rPr>
        <w:t>古代官府多崇重佛教。自明洪武十五年（1382年）起，县衙门设僧会司，置僧会一员，管理佛教事宜。寺庵经费多由官府或施主捐赠，买田地为产业，每年租金收入均有定额。清道光时期，杨历岩衹林寺有自耕田租160石，佃耕民租80石。云封寺每年收田租196石，供寺僧食用以及用于修路、施茶、施药。各寺庵如兴土木，则由僧尼外出化缘筹款。</w:t>
      </w:r>
    </w:p>
    <w:p w14:paraId="7B648102">
      <w:pPr>
        <w:ind w:firstLine="420"/>
        <w:rPr>
          <w:rFonts w:ascii="宋体" w:hAnsi="宋体" w:cs="宋体"/>
        </w:rPr>
      </w:pPr>
      <w:r>
        <w:rPr>
          <w:rFonts w:hint="eastAsia" w:ascii="宋体" w:hAnsi="宋体" w:cs="宋体"/>
        </w:rPr>
        <w:t>新中国成立后，全县寺院庵等场所逐渐荒废。土地改革时，政府依法收寺庵田产。1979年后，县政府落实宗教政策，拨出款项和施主集资重修了六祖庙、万善庵、伏龙寺、甘露禅院。1984年，归回原属庙庵田产1.33多公顷，供僧尼生产自给。</w:t>
      </w:r>
    </w:p>
    <w:p w14:paraId="69C590EC">
      <w:pPr>
        <w:ind w:firstLine="420"/>
        <w:rPr>
          <w:rFonts w:ascii="宋体" w:hAnsi="宋体" w:cs="宋体"/>
        </w:rPr>
      </w:pPr>
      <w:r>
        <w:rPr>
          <w:rFonts w:hint="eastAsia" w:ascii="宋体" w:hAnsi="宋体" w:cs="宋体"/>
        </w:rPr>
        <w:t>20世纪90年代以来，重建寺庵有：</w:t>
      </w:r>
    </w:p>
    <w:p w14:paraId="2B2FC28B">
      <w:pPr>
        <w:ind w:firstLine="420"/>
        <w:rPr>
          <w:rFonts w:ascii="宋体" w:hAnsi="宋体" w:cs="宋体"/>
        </w:rPr>
      </w:pPr>
      <w:r>
        <w:rPr>
          <w:rFonts w:hint="eastAsia" w:ascii="宋体" w:hAnsi="宋体" w:cs="宋体"/>
        </w:rPr>
        <w:t>珠玑镇沙水寺：1997年兴工重建，1999年2月，南雄市政府聘请释本焕法师为方丈，释印严为监院，并将沙水寺改名为大雄禅寺。至2004年秋，已建成山门、天王殿、大雄宝殿、钟楼、鼓楼、观音殿、祖师殿、地藏殿、斋堂、客堂、书画室等。该寺占地面积约10万平方米，建筑面积约2.5万平方米。2004年9月举行佛像开光、方丈升座、本焕和尚98大寿及启建水陆法会等大型佛事活动，参加者有海内外人士上万人。</w:t>
      </w:r>
    </w:p>
    <w:p w14:paraId="50C16992">
      <w:pPr>
        <w:ind w:firstLine="420"/>
        <w:rPr>
          <w:rFonts w:ascii="宋体" w:hAnsi="宋体" w:cs="宋体"/>
        </w:rPr>
      </w:pPr>
      <w:r>
        <w:rPr>
          <w:rFonts w:hint="eastAsia" w:ascii="宋体" w:hAnsi="宋体" w:cs="宋体"/>
        </w:rPr>
        <w:t>莲开净寺：原名莲社庵。在市区东5里。始建于明代，“文化大革命”时毁。1998年动工重建。占地面积约6万多平方米，建筑面积约1.2万平方米。在方丈释本焕、监院释顿勇主持下，重建工程于2001年10月开光。常住尼众约百人，开设佛学院。该寺环境幽美，建筑精雅，为“南雄十景”之一。</w:t>
      </w:r>
    </w:p>
    <w:p w14:paraId="5353CC9E">
      <w:pPr>
        <w:ind w:firstLine="420"/>
        <w:rPr>
          <w:rFonts w:ascii="宋体" w:hAnsi="宋体" w:cs="宋体"/>
        </w:rPr>
      </w:pPr>
      <w:r>
        <w:rPr>
          <w:rFonts w:hint="eastAsia" w:ascii="宋体" w:hAnsi="宋体" w:cs="宋体"/>
        </w:rPr>
        <w:t>万善庵：在市郊区洋汾水村。始建于明代，“文化大革命”时毁。1990年重建1995年开光。占地面积约3000平方米，建筑面积约1500平方米。常住尼众11人。</w:t>
      </w:r>
    </w:p>
    <w:p w14:paraId="213D6EFD">
      <w:pPr>
        <w:pStyle w:val="4"/>
        <w:rPr>
          <w:rFonts w:ascii="宋体" w:hAnsi="宋体" w:cs="宋体"/>
        </w:rPr>
      </w:pPr>
      <w:r>
        <w:rPr>
          <w:rFonts w:hint="eastAsia" w:ascii="宋体" w:hAnsi="宋体" w:cs="宋体"/>
        </w:rPr>
        <w:t>第二节  道教</w:t>
      </w:r>
    </w:p>
    <w:p w14:paraId="19D09965">
      <w:pPr>
        <w:ind w:firstLine="420"/>
        <w:rPr>
          <w:rFonts w:ascii="宋体" w:hAnsi="宋体" w:cs="宋体"/>
        </w:rPr>
      </w:pPr>
      <w:r>
        <w:rPr>
          <w:rFonts w:hint="eastAsia" w:ascii="宋体" w:hAnsi="宋体" w:cs="宋体"/>
        </w:rPr>
        <w:t>据《直隶南雄州志》载：相传东晋道家葛洪曾在县城东境姮娥嶂炼丹。唐贞观年间在钟鼓岩建洞真古观，在县城建元妙观。乾符二年（876年）在邓坊村建明净观。宋景祐四年（1037年）在上朔村建鹤鸣观。大中祥符时，县城各街都有天符宫。元至正元年（1341年）在古城村建真仙观。明洪武十五年（1382年）县衙门设道会司，置道会一员，管理保昌县道教事宜。嘉靖年间，全县有道教观坛6所，清乾隆十八年（1753年）增至8所，道光四年（1824年）为10所，以梅岭钟鼓岩洞真古观为著，清同治二年（1863年），南雄知州沈亨惠请南山道人程明善到钟鼓岩住持，重修钟鼓、梳妆二岩，修建洞真观、万福洞、灵台阁及崆峒、倚翠诸亭，至光绪九年（1883年）仲春竣工。为南雄一胜景。1949年全县观坛只剩4所，有道徒100人。新中国成立后，传道观坛多废，只存洞真观1所。</w:t>
      </w:r>
    </w:p>
    <w:p w14:paraId="395014E4">
      <w:pPr>
        <w:ind w:firstLine="420"/>
        <w:rPr>
          <w:rFonts w:ascii="宋体" w:hAnsi="宋体" w:cs="宋体"/>
        </w:rPr>
      </w:pPr>
      <w:r>
        <w:rPr>
          <w:rFonts w:hint="eastAsia" w:ascii="宋体" w:hAnsi="宋体" w:cs="宋体"/>
        </w:rPr>
        <w:t>洞真古观在钟鼓岩有土地房产约400平方米，道人7名。1992年洞真古观在梅关古道上新建了玉皇殿、观音殿，夫人庙等。</w:t>
      </w:r>
    </w:p>
    <w:p w14:paraId="00287E83">
      <w:pPr>
        <w:pStyle w:val="4"/>
        <w:rPr>
          <w:rFonts w:ascii="宋体" w:hAnsi="宋体" w:cs="宋体"/>
        </w:rPr>
      </w:pPr>
      <w:r>
        <w:rPr>
          <w:rFonts w:hint="eastAsia" w:ascii="宋体" w:hAnsi="宋体" w:cs="宋体"/>
        </w:rPr>
        <w:t>第三节  天主教</w:t>
      </w:r>
    </w:p>
    <w:p w14:paraId="011E3AB5">
      <w:pPr>
        <w:ind w:firstLine="420"/>
        <w:rPr>
          <w:rFonts w:ascii="宋体" w:hAnsi="宋体" w:cs="宋体"/>
        </w:rPr>
      </w:pPr>
      <w:r>
        <w:rPr>
          <w:rFonts w:hint="eastAsia" w:ascii="宋体" w:hAnsi="宋体" w:cs="宋体"/>
        </w:rPr>
        <w:t>天主教传入南雄始于明万历十七年（1589年），意大利人利玛窦在韶关传教，到南雄县城发展教徒5人。清康熙二十七年（1688年），法国天主教马神父到南雄传教。此后，意大利、匈牙利和南斯拉夫等国传教士受慈幼会派遣，相继到南雄传教。雍正九年柯加禄等人，先后在荆岗、黎口桥、杨梅坑、龙陂塘、长浦桥等村和县城龙勾巷建立6间天主教堂；在黎口的里坑、城郊的莲塘、水口的大岭背、油山的平林等地设立4间传教公所；在龙勾巷设立1间医务所；在荆岗、黎口桥和龙勾巷各设立一所晓明小学。1949年，天主教共有教徒148户630人，以荆岗黎口桥为多。</w:t>
      </w:r>
    </w:p>
    <w:p w14:paraId="19860612">
      <w:pPr>
        <w:ind w:firstLine="420"/>
        <w:rPr>
          <w:rFonts w:ascii="宋体" w:hAnsi="宋体" w:cs="宋体"/>
        </w:rPr>
      </w:pPr>
      <w:r>
        <w:rPr>
          <w:rFonts w:hint="eastAsia" w:ascii="宋体" w:hAnsi="宋体" w:cs="宋体"/>
        </w:rPr>
        <w:t>1950年12月，南韶连教区主教指使外籍神父，在荆岗、黎口桥组织“圣母军”，有1个男支团，2个女支团，共31人，其中骨干14人。1952年冬被南雄县人民政府取缔。</w:t>
      </w:r>
    </w:p>
    <w:p w14:paraId="3B5E77F4">
      <w:pPr>
        <w:ind w:firstLine="420"/>
        <w:rPr>
          <w:rFonts w:ascii="宋体" w:hAnsi="宋体" w:cs="宋体"/>
        </w:rPr>
      </w:pPr>
      <w:r>
        <w:rPr>
          <w:rFonts w:hint="eastAsia" w:ascii="宋体" w:hAnsi="宋体" w:cs="宋体"/>
        </w:rPr>
        <w:t>1987年10月，南雄天主教爱国会和南雄天主教教务委员会成立，全县有天主教徒166名，保留2所教堂，一所在县城龙勾巷，一所在荆岗。1995年春，香港鲍思高慈善基会教友助资42万元，在雄东路兴建南雄天主堂，同年8月落成。全市教徒约100多人。</w:t>
      </w:r>
    </w:p>
    <w:p w14:paraId="6DAFA1AF">
      <w:pPr>
        <w:ind w:firstLine="420"/>
        <w:rPr>
          <w:rFonts w:ascii="宋体" w:hAnsi="宋体" w:cs="宋体"/>
        </w:rPr>
      </w:pPr>
      <w:r>
        <w:rPr>
          <w:rFonts w:hint="eastAsia" w:ascii="宋体" w:hAnsi="宋体" w:cs="宋体"/>
        </w:rPr>
        <w:t>1988年以来，天主教爱国会加强了与港、澳、台天主教会的联系，引进助学资金达800万元，兴建了黎口启明小学、湖口梁广榕中学、岭下小学等17所中小学校教学大楼，资助贫困学生191人。</w:t>
      </w:r>
    </w:p>
    <w:p w14:paraId="1E9D8BBC">
      <w:pPr>
        <w:pStyle w:val="4"/>
        <w:rPr>
          <w:rFonts w:ascii="宋体" w:hAnsi="宋体" w:cs="宋体"/>
        </w:rPr>
      </w:pPr>
      <w:r>
        <w:rPr>
          <w:rFonts w:hint="eastAsia" w:ascii="宋体" w:hAnsi="宋体" w:cs="宋体"/>
        </w:rPr>
        <w:t>第四节  基督教</w:t>
      </w:r>
    </w:p>
    <w:p w14:paraId="27F13D0F">
      <w:pPr>
        <w:ind w:firstLine="420"/>
        <w:rPr>
          <w:rFonts w:ascii="宋体" w:hAnsi="宋体" w:cs="宋体"/>
        </w:rPr>
      </w:pPr>
      <w:r>
        <w:rPr>
          <w:rFonts w:hint="eastAsia" w:ascii="宋体" w:hAnsi="宋体" w:cs="宋体"/>
        </w:rPr>
        <w:t>基督教在南雄有中华信义会和浸信会2个教派。</w:t>
      </w:r>
    </w:p>
    <w:p w14:paraId="5CF8F7E9">
      <w:pPr>
        <w:ind w:firstLine="420"/>
        <w:rPr>
          <w:rFonts w:ascii="宋体" w:hAnsi="宋体" w:cs="宋体"/>
        </w:rPr>
      </w:pPr>
      <w:r>
        <w:rPr>
          <w:rFonts w:hint="eastAsia" w:ascii="宋体" w:hAnsi="宋体" w:cs="宋体"/>
        </w:rPr>
        <w:t>1880年2月，德国牧师雷起力、何迈贤在修仁建巴陵会德华福音堂。1915年杨牧师在教堂设立南雄第一间西医诊所。相继有德国牧师陶威治、韩范士等人到南雄传教，兴办德华小学。1937年，福音堂迁至县城，改名中华信义会。1945年9月，美国传教士接管中华信义会，至1949年，先后发展教徒124名。</w:t>
      </w:r>
    </w:p>
    <w:p w14:paraId="6FC6B905">
      <w:pPr>
        <w:ind w:firstLine="420"/>
        <w:rPr>
          <w:rFonts w:ascii="宋体" w:hAnsi="宋体" w:cs="宋体"/>
        </w:rPr>
      </w:pPr>
      <w:r>
        <w:rPr>
          <w:rFonts w:hint="eastAsia" w:ascii="宋体" w:hAnsi="宋体" w:cs="宋体"/>
        </w:rPr>
        <w:t>南雄浸信会于1923年由美国山德士牧师传入，至1949年，先后发展教徒19名。1951年3月，该会因经济困难，与信义会合并。</w:t>
      </w:r>
    </w:p>
    <w:p w14:paraId="52D35A8F">
      <w:pPr>
        <w:ind w:firstLine="420"/>
        <w:rPr>
          <w:rFonts w:ascii="宋体" w:hAnsi="宋体" w:cs="宋体"/>
        </w:rPr>
      </w:pPr>
      <w:r>
        <w:rPr>
          <w:rFonts w:hint="eastAsia" w:ascii="宋体" w:hAnsi="宋体" w:cs="宋体"/>
        </w:rPr>
        <w:t>新中国成立前，基督教徒入教由牧师洗礼，逢星期天教徒分别在县城、湖口、大坪、修仁4个点过礼拜。每年圣诞节，全体教徒集中祈祷，凑钱聚餐。1955年后，教徒集中活动逐渐停止。1985年12月7日成立南雄县基督教三自爱国会筹备小组。1993年5月恢复活动。1994年春，在洋汾路26号兴建福音堂。共有教友300多人。</w:t>
      </w:r>
    </w:p>
    <w:p w14:paraId="338BC008">
      <w:pPr>
        <w:pStyle w:val="2"/>
        <w:rPr>
          <w:rFonts w:ascii="宋体" w:hAnsi="宋体"/>
        </w:rPr>
      </w:pPr>
      <w:r>
        <w:rPr>
          <w:rFonts w:hint="eastAsia" w:ascii="宋体" w:hAnsi="宋体"/>
        </w:rPr>
        <w:t>第七编  人物</w:t>
      </w:r>
    </w:p>
    <w:p w14:paraId="13E2BFF5">
      <w:pPr>
        <w:pStyle w:val="3"/>
        <w:rPr>
          <w:rFonts w:ascii="宋体" w:hAnsi="宋体" w:cs="宋体"/>
        </w:rPr>
      </w:pPr>
      <w:r>
        <w:rPr>
          <w:rFonts w:hint="eastAsia" w:ascii="宋体" w:hAnsi="宋体" w:cs="宋体"/>
        </w:rPr>
        <w:t>第一章  人物传</w:t>
      </w:r>
    </w:p>
    <w:p w14:paraId="6CAEE672">
      <w:pPr>
        <w:pStyle w:val="4"/>
        <w:rPr>
          <w:rFonts w:ascii="宋体" w:hAnsi="宋体" w:cs="宋体"/>
        </w:rPr>
      </w:pPr>
      <w:r>
        <w:rPr>
          <w:rFonts w:hint="eastAsia" w:ascii="宋体" w:hAnsi="宋体" w:cs="宋体"/>
        </w:rPr>
        <w:t>第一节  人物列传</w:t>
      </w:r>
    </w:p>
    <w:p w14:paraId="3A8E7D86">
      <w:pPr>
        <w:pStyle w:val="5"/>
        <w:rPr>
          <w:rFonts w:ascii="宋体" w:hAnsi="宋体" w:cs="宋体"/>
        </w:rPr>
      </w:pPr>
      <w:r>
        <w:rPr>
          <w:rFonts w:hint="eastAsia" w:ascii="宋体" w:hAnsi="宋体" w:cs="宋体"/>
        </w:rPr>
        <w:t>秦代</w:t>
      </w:r>
    </w:p>
    <w:p w14:paraId="6CB9AA82">
      <w:pPr>
        <w:ind w:firstLine="422"/>
        <w:rPr>
          <w:rFonts w:ascii="宋体" w:hAnsi="宋体" w:cs="宋体"/>
          <w:b/>
          <w:bCs/>
        </w:rPr>
      </w:pPr>
      <w:r>
        <w:rPr>
          <w:rFonts w:hint="eastAsia" w:ascii="宋体" w:hAnsi="宋体" w:cs="宋体"/>
          <w:b/>
          <w:bCs/>
        </w:rPr>
        <w:t>梅鋗</w:t>
      </w:r>
    </w:p>
    <w:p w14:paraId="7E92F9ED">
      <w:pPr>
        <w:ind w:firstLine="420"/>
        <w:rPr>
          <w:rFonts w:ascii="宋体" w:hAnsi="宋体" w:cs="宋体"/>
        </w:rPr>
      </w:pPr>
      <w:r>
        <w:rPr>
          <w:rFonts w:hint="eastAsia" w:ascii="宋体" w:hAnsi="宋体" w:cs="宋体"/>
        </w:rPr>
        <w:t>鋗之先为越王勾践子孙。楚灭越，越人避楚走丹阳皋乡，更姓梅。秦灭楚，越人又自立为王，自皋乡逾零陵往南海。梅鋗随越王至台岭（即今梅岭），筑城浈水之上（即今之中站，古称梅鋗城），奉王居之，聚众垦殖，积粮练兵。</w:t>
      </w:r>
    </w:p>
    <w:p w14:paraId="1407EE5D">
      <w:pPr>
        <w:ind w:firstLine="420"/>
        <w:rPr>
          <w:rFonts w:ascii="宋体" w:hAnsi="宋体" w:cs="宋体"/>
        </w:rPr>
      </w:pPr>
      <w:r>
        <w:rPr>
          <w:rFonts w:hint="eastAsia" w:ascii="宋体" w:hAnsi="宋体" w:cs="宋体"/>
        </w:rPr>
        <w:t>秦末，百越叛秦，推举梅鋗为首领。梅鋗下令每户出一壮丁，编成一支军队，往投番阳（即今波阳）令吴芮。吴芮即遣梅鋗为将，率师伐秦。秦二世三年（前207年），梅鋗率部到了南阳，遇刘邦，并肩攻下析、郦两城，乃乘胜大举西进，终于破武关，入咸阳，秦子婴降。于是，项羽入咸阳，分封天下，自封为西楚霸王，封刘邦为汉王，吴芮为衡山王。梅鋗破秦功多，封10万户，为列侯。不久，刘项争霸，吴芮、梅鋗都没有从刘邦击项羽。公元前206年，刘邦击败项羽登基为汉皇帝，大封功臣。吴芮、梅鋗因没有从刘邦击项羽，都无功封。吴芮由衡山王徙为长沙王，封地大大缩小。梅鋗原封地岭南已为赵佗所据，乃随吴芮到长沙，以益阳梅林为家（即今湖南安化梅山），子孙繁衍于湖南、河南、安徽、江西、广东等地。在广东则多聚居于曲江、翁源、英德。其后有宋庆历殿中丞梅鼎臣和藤州知府梅佐，以“父子进士”名。</w:t>
      </w:r>
    </w:p>
    <w:p w14:paraId="4A1020CE">
      <w:pPr>
        <w:pStyle w:val="5"/>
        <w:rPr>
          <w:rFonts w:ascii="宋体" w:hAnsi="宋体" w:cs="宋体"/>
        </w:rPr>
      </w:pPr>
      <w:r>
        <w:rPr>
          <w:rFonts w:hint="eastAsia" w:ascii="宋体" w:hAnsi="宋体" w:cs="宋体"/>
        </w:rPr>
        <w:t>西晋</w:t>
      </w:r>
    </w:p>
    <w:p w14:paraId="33ED21EA">
      <w:pPr>
        <w:ind w:firstLine="422"/>
        <w:rPr>
          <w:rFonts w:ascii="宋体" w:hAnsi="宋体" w:cs="宋体"/>
          <w:b/>
          <w:bCs/>
        </w:rPr>
      </w:pPr>
      <w:r>
        <w:rPr>
          <w:rFonts w:hint="eastAsia" w:ascii="宋体" w:hAnsi="宋体" w:cs="宋体"/>
          <w:b/>
          <w:bCs/>
        </w:rPr>
        <w:t>李耿</w:t>
      </w:r>
    </w:p>
    <w:p w14:paraId="51ACC71D">
      <w:pPr>
        <w:ind w:firstLine="420"/>
        <w:rPr>
          <w:rFonts w:ascii="宋体" w:hAnsi="宋体" w:cs="宋体"/>
        </w:rPr>
      </w:pPr>
      <w:r>
        <w:rPr>
          <w:rFonts w:hint="eastAsia" w:ascii="宋体" w:hAnsi="宋体" w:cs="宋体"/>
        </w:rPr>
        <w:t>李耿，字介卿，本秣陵后街人。赋性忠纯耿直，为晋愍帝朝太常卿。因见朝政危乱，国事日非，乃叩陛出血，极言直谏。愍帝弗纳，而耿仍廷争不已，帝遂怒，左迁李耿为始兴郡曲江令。建兴三年（315年）秋，李耿挈家之任，由虔入粤，道经南雄新溪，环睹川原幽异，宜卜筑安居，不禁浩然而叹：“晋室之乱始于朝士大夫崇尚虚浮，废弛职业，继由宗室弄权，自相鱼肉，以致渊、聪乘隙，毒流中土。吾既屏居远方，官居末职，何复能戮力王室耶！”于是，弃官隐居新溪之岸，肆志图书，寄情诗酒。其后裔子孙繁衍，人文蔚起，族望一方。</w:t>
      </w:r>
    </w:p>
    <w:p w14:paraId="2198531F">
      <w:pPr>
        <w:pStyle w:val="5"/>
        <w:rPr>
          <w:rFonts w:ascii="宋体" w:hAnsi="宋体" w:cs="宋体"/>
        </w:rPr>
      </w:pPr>
      <w:r>
        <w:rPr>
          <w:rFonts w:hint="eastAsia" w:ascii="宋体" w:hAnsi="宋体" w:cs="宋体"/>
        </w:rPr>
        <w:t>隋代</w:t>
      </w:r>
    </w:p>
    <w:p w14:paraId="7839C863">
      <w:pPr>
        <w:ind w:firstLine="422"/>
        <w:rPr>
          <w:rFonts w:ascii="宋体" w:hAnsi="宋体" w:cs="宋体"/>
          <w:b/>
          <w:bCs/>
        </w:rPr>
      </w:pPr>
      <w:r>
        <w:rPr>
          <w:rFonts w:hint="eastAsia" w:ascii="宋体" w:hAnsi="宋体" w:cs="宋体"/>
          <w:b/>
          <w:bCs/>
        </w:rPr>
        <w:t>麦铁杖</w:t>
      </w:r>
    </w:p>
    <w:p w14:paraId="3052C890">
      <w:pPr>
        <w:ind w:firstLine="420"/>
        <w:rPr>
          <w:rFonts w:ascii="宋体" w:hAnsi="宋体" w:cs="宋体"/>
        </w:rPr>
      </w:pPr>
      <w:r>
        <w:rPr>
          <w:rFonts w:hint="eastAsia" w:ascii="宋体" w:hAnsi="宋体" w:cs="宋体"/>
        </w:rPr>
        <w:t>麦铁杖，百顺人，生于南朝梁大同四年（538年），卒于隋大业八年（612年）。铁杖少雄猛，走及奔马，日行500里。性疏狂，常酗酒，好交游，重信义，事渔猎，不治产业。壮年，时值南北朝，社会动乱，铁杖聚众为盗。陈文帝天嘉年间，铁杖被广州刺史欧阳頠所俘，没为官奴，配执御伞。但铁杖盗性未改，每日早朝后，奔至南徐州，乘夜劫掠财物，次日早赶回都城（建康），仍为陈主执伞。南徐州人发觉铁杖为盗，上告朝廷。朝官认为都城离南徐州约200里，又见麦铁杖天天在朝执伞，都不相信铁杖为盗。可是，南徐州又多次上朝廷告发。尚书蔡徴乃设一计，一日早朝后，以百金悬赏送急诏到南徐州，要求于次日早朝回来复命。铁杖不知是计，欣然应往，按时复命。于是，铁杖为盗之真相大白。陈主因惜铁杖勇捷，不予治罪，训诫后遣送回乡。陈亡，麦铁杖徙居清流县。</w:t>
      </w:r>
    </w:p>
    <w:p w14:paraId="38A876A9">
      <w:pPr>
        <w:ind w:firstLine="420"/>
        <w:rPr>
          <w:rFonts w:ascii="宋体" w:hAnsi="宋体" w:cs="宋体"/>
        </w:rPr>
      </w:pPr>
      <w:r>
        <w:rPr>
          <w:rFonts w:hint="eastAsia" w:ascii="宋体" w:hAnsi="宋体" w:cs="宋体"/>
        </w:rPr>
        <w:t>隋初，江东反，麦铁杖应募在隋行军总管杨素军中。杨素遣铁杖头戴草束，夜浮渡江，侦察敌情。第一次成功，第二次被俘。敌将派三十兵卫押送铁杖，行至废亭，兵卫怜铁杖饿极，松缚给食。铁杖乃乘机夺刀，尽杀兵卫，割下鼻子，逃回隋营，向杨素邀功。杨素大奇，但平叛后叙战功时却无铁杖名。不久，杨素因事乘骑回京都，铁杖步行相随，每晚，必宿于杨素馆舍。杨素终被铁杖忠义所感动，特奏请隋主授予“仪同三司”。因铁杖不识字，只好送其荣归故里。开皇十六年（596年），咸阳公李彻知铁杖骁勇可用，乃征入京，授车骑将军。不久，铁杖随杨素北征突厥，因功进封上开府。公元605年，炀帝即位，汉王杨谅反。铁杖又随杨素出征，每战必身先士卒，因功封柱国，迁莱州刺史。因政绩平平，转任汝南太守。铁杖乃注意学习法令，地方大治，群盗屏迹。朝士刮目相看。</w:t>
      </w:r>
    </w:p>
    <w:p w14:paraId="0C1BFB4A">
      <w:pPr>
        <w:ind w:firstLine="420"/>
        <w:rPr>
          <w:rFonts w:ascii="宋体" w:hAnsi="宋体" w:cs="宋体"/>
        </w:rPr>
      </w:pPr>
      <w:r>
        <w:rPr>
          <w:rFonts w:hint="eastAsia" w:ascii="宋体" w:hAnsi="宋体" w:cs="宋体"/>
        </w:rPr>
        <w:t>一日朝集，考功郎窦威嘲笑麦铁杖：“麦兄何姓？”铁杖应声对曰：“麦豆（窦）不殊，那忽相怪！”窦威满面通红，无言以对。朝士都赞铁杖聪明敏慧。不久，铁杖荣升右屯卫大将军。</w:t>
      </w:r>
    </w:p>
    <w:p w14:paraId="14367A76">
      <w:pPr>
        <w:ind w:firstLine="420"/>
        <w:rPr>
          <w:rFonts w:ascii="宋体" w:hAnsi="宋体" w:cs="宋体"/>
        </w:rPr>
      </w:pPr>
      <w:r>
        <w:rPr>
          <w:rFonts w:hint="eastAsia" w:ascii="宋体" w:hAnsi="宋体" w:cs="宋体"/>
        </w:rPr>
        <w:t>大业八年（612年），辽东事发，炀帝亲征。麦铁杖请为前锋。出发前，铁杖与医生吴景贤说：“大丈夫命定于天，安能艾炷灸额，瓜蒂散鼻，治黄不差，而卧死儿女手中乎！”又对其三子说：“阿奴当备浅色黄衫，吾荷国恩，今是死日，我既被杀，尔当富贵。唯诚与孝，尔其勉之。”在一次渡河战斗中，桥未架成而敌已大至，情势危急。铁杖临危不惧，一跃登岸，与敌力战而死，时年74岁。炀帝闻讯，为之流涕，使人寻得尸体，并下诏褒扬：“铁杖志气骁果，夙著勋庸，陪麾问罪，先登陷阵，节高义烈，身殒功存，兴言至诚，追怀伤悼，宜赉殊荣，用彰饰德，可赠光禄大夫、宿国公，谥曰武烈。”炀帝还厚赠银钱，赐辊掠车，给前后部羽葆鼓吹，敕平壤道败将宇文述等百余人为之执绋，王公以下送至郊外。其长子孟才嗣授光禄大夫，仲才、季才并拜正议大夫。</w:t>
      </w:r>
    </w:p>
    <w:p w14:paraId="4094E68C">
      <w:pPr>
        <w:ind w:firstLine="420"/>
        <w:rPr>
          <w:rFonts w:ascii="宋体" w:hAnsi="宋体" w:cs="宋体"/>
        </w:rPr>
      </w:pPr>
      <w:r>
        <w:rPr>
          <w:rFonts w:hint="eastAsia" w:ascii="宋体" w:hAnsi="宋体" w:cs="宋体"/>
        </w:rPr>
        <w:t>百顺有麦铁杖墓及祠。其墓今存，祠早毁。百顺、雄城均建有铁杖楼，民国时毁。</w:t>
      </w:r>
    </w:p>
    <w:p w14:paraId="26E3586D">
      <w:pPr>
        <w:ind w:firstLine="422"/>
        <w:rPr>
          <w:rFonts w:ascii="宋体" w:hAnsi="宋体" w:cs="宋体"/>
          <w:b/>
          <w:bCs/>
        </w:rPr>
      </w:pPr>
      <w:r>
        <w:rPr>
          <w:rFonts w:hint="eastAsia" w:ascii="宋体" w:hAnsi="宋体" w:cs="宋体"/>
          <w:b/>
          <w:bCs/>
        </w:rPr>
        <w:t>麦孟才</w:t>
      </w:r>
    </w:p>
    <w:p w14:paraId="50D6EF9D">
      <w:pPr>
        <w:ind w:firstLine="420"/>
        <w:rPr>
          <w:rFonts w:ascii="宋体" w:hAnsi="宋体" w:cs="宋体"/>
        </w:rPr>
      </w:pPr>
      <w:r>
        <w:rPr>
          <w:rFonts w:hint="eastAsia" w:ascii="宋体" w:hAnsi="宋体" w:cs="宋体"/>
        </w:rPr>
        <w:t>麦孟才，麦铁杖长子，字智棱，果烈有父风。隋炀帝以其父麦铁杖死节，恩赐殊厚，授光禄大夫，拜虎贲郎将。隋末，宇文化及在江都叛乱，杀炀帝。孟才慨然有复仇之志，与武牙郎钱杰说：“吾等世荷国恩，门著诚节，今贼臣弑逆，社稷沦亡，无节可纪，何面目视世间哉！”两人扼腕流涕，密谋联络恩旧，欲于显福宫邀击宇文化及。不幸被人告密，孟才等均遇害。后人哀其忠义。《隋书》麦铁杖传、沈光传、宇文化及传均记其事。</w:t>
      </w:r>
    </w:p>
    <w:p w14:paraId="5EDD477C">
      <w:pPr>
        <w:pStyle w:val="5"/>
        <w:rPr>
          <w:rFonts w:ascii="宋体" w:hAnsi="宋体" w:cs="宋体"/>
        </w:rPr>
      </w:pPr>
      <w:r>
        <w:rPr>
          <w:rFonts w:hint="eastAsia" w:ascii="宋体" w:hAnsi="宋体" w:cs="宋体"/>
        </w:rPr>
        <w:t>唐代</w:t>
      </w:r>
    </w:p>
    <w:p w14:paraId="44640CAB">
      <w:pPr>
        <w:ind w:firstLine="422"/>
        <w:rPr>
          <w:rFonts w:ascii="宋体" w:hAnsi="宋体" w:cs="宋体"/>
          <w:b/>
          <w:bCs/>
        </w:rPr>
      </w:pPr>
      <w:r>
        <w:rPr>
          <w:rFonts w:hint="eastAsia" w:ascii="宋体" w:hAnsi="宋体" w:cs="宋体"/>
          <w:b/>
          <w:bCs/>
        </w:rPr>
        <w:t>李金马</w:t>
      </w:r>
    </w:p>
    <w:p w14:paraId="537CDEE1">
      <w:pPr>
        <w:ind w:firstLine="420"/>
        <w:rPr>
          <w:rFonts w:ascii="宋体" w:hAnsi="宋体" w:cs="宋体"/>
        </w:rPr>
      </w:pPr>
      <w:r>
        <w:rPr>
          <w:rFonts w:hint="eastAsia" w:ascii="宋体" w:hAnsi="宋体" w:cs="宋体"/>
        </w:rPr>
        <w:t>李金马，字庆霄，号南峰，保昌新田里人。晋正议大夫。生而醇笃孝友，性成言行，为乡党师法。且家贫力学，材识兼优，开南雄人文之首。年二十四举宪宗元和三年贤良方正、直言极谏科，授荆湖之江陵令，厘弊振衰，洁己爱民，人多怀之。寻拔右補阙。上晚好神仙，以方士柳泌权知台州。公直言极谏，不为少屈。泊判度支，累迁户部侍郎。时以淮西久用兵，经费弗给，输将有加无巳。公与李绛等前后持正，俾国计无亏，而民不扰累。先时，金仓部吏勒索挽输者，停滞难交。公悉剔除，远近争先供纳。穆敬以下诸庙，性猜忌，不能容直谏。公于东都之幸，犯颜以诤，其大节数如此。大中七年卒于官，上嘉其材节，晋阶尚书，金紫光禄大夫，崇祀乡贤，春秋致祭。</w:t>
      </w:r>
    </w:p>
    <w:p w14:paraId="21EBAF16">
      <w:pPr>
        <w:ind w:firstLine="422"/>
        <w:rPr>
          <w:rFonts w:ascii="宋体" w:hAnsi="宋体" w:cs="宋体"/>
          <w:b/>
          <w:bCs/>
        </w:rPr>
      </w:pPr>
      <w:r>
        <w:rPr>
          <w:rFonts w:hint="eastAsia" w:ascii="宋体" w:hAnsi="宋体" w:cs="宋体"/>
          <w:b/>
          <w:bCs/>
        </w:rPr>
        <w:t>孔闰</w:t>
      </w:r>
    </w:p>
    <w:p w14:paraId="72BA6378">
      <w:pPr>
        <w:ind w:firstLine="420"/>
        <w:rPr>
          <w:rFonts w:ascii="宋体" w:hAnsi="宋体" w:cs="宋体"/>
        </w:rPr>
      </w:pPr>
      <w:r>
        <w:rPr>
          <w:rFonts w:hint="eastAsia" w:ascii="宋体" w:hAnsi="宋体" w:cs="宋体"/>
        </w:rPr>
        <w:t>孔闰，字怀清，孔子第41代裔孙、唐岭南节度使孔戣之曾孙，浈昌县（今南雄）平林村人。生于唐僖宗乾符元年（874年）五月初一日。少时聪明好学，涉猎经史。唐昭宗景福元年（892年），孔闰时年19岁，乡试中举。景福二年，连捷进士及第，为南雄科举第一个进士。孔闰历登显宦，后周时，官朝散大夫，迁袁州刺史。因时值五代更迭，时局动荡，且年近八十，乃弃职寓居于吉州泰和县石禾场，督率子孙耕读达10年之久。</w:t>
      </w:r>
    </w:p>
    <w:p w14:paraId="4835C5C4">
      <w:pPr>
        <w:ind w:firstLine="420"/>
        <w:rPr>
          <w:rFonts w:ascii="宋体" w:hAnsi="宋体" w:cs="宋体"/>
        </w:rPr>
      </w:pPr>
      <w:r>
        <w:rPr>
          <w:rFonts w:hint="eastAsia" w:ascii="宋体" w:hAnsi="宋体" w:cs="宋体"/>
        </w:rPr>
        <w:t>宋建隆元年（960年），孔闰见宋室已立，时局安定，乃携家归隐于平林村祖居，不辞劳苦，致力教化，弘扬先祖德业。建隆三年，倾资在平林村创办孔林书院，亲自登坛讲学。又在陇头买田3.67公顷，田租收入作书院膏火祭祀之用。孔林书院不仅是南雄州而且是岭南创办最早的一所书院，对南雄乃至岭南的文化教育影响深远。每年南雄州、县官员都要来此祭孔。</w:t>
      </w:r>
    </w:p>
    <w:p w14:paraId="5B863A04">
      <w:pPr>
        <w:ind w:firstLine="420"/>
        <w:rPr>
          <w:rFonts w:ascii="宋体" w:hAnsi="宋体" w:cs="宋体"/>
        </w:rPr>
      </w:pPr>
      <w:r>
        <w:rPr>
          <w:rFonts w:hint="eastAsia" w:ascii="宋体" w:hAnsi="宋体" w:cs="宋体"/>
        </w:rPr>
        <w:t>乾德二年（964年）十一月二十日，孔闰寿终平林，享年91岁。葬双坑大兰羊角冲天凤形，其墓今存，书院毁于宋末。</w:t>
      </w:r>
    </w:p>
    <w:p w14:paraId="55293627">
      <w:pPr>
        <w:ind w:firstLine="422"/>
        <w:rPr>
          <w:rFonts w:ascii="宋体" w:hAnsi="宋体" w:cs="宋体"/>
          <w:b/>
          <w:bCs/>
        </w:rPr>
      </w:pPr>
      <w:r>
        <w:rPr>
          <w:rFonts w:hint="eastAsia" w:ascii="宋体" w:hAnsi="宋体" w:cs="宋体"/>
          <w:b/>
          <w:bCs/>
        </w:rPr>
        <w:t>张兴</w:t>
      </w:r>
    </w:p>
    <w:p w14:paraId="0F02A423">
      <w:pPr>
        <w:ind w:firstLine="420"/>
        <w:rPr>
          <w:rFonts w:ascii="宋体" w:hAnsi="宋体" w:cs="宋体"/>
        </w:rPr>
      </w:pPr>
      <w:r>
        <w:rPr>
          <w:rFonts w:hint="eastAsia" w:ascii="宋体" w:hAnsi="宋体" w:cs="宋体"/>
        </w:rPr>
        <w:t>张兴，张九龄之第九世孙，世居沙水敬宗巷。父张彻，唐进士，官范阳府监察御史，以忠义赠给事中。张兴治家有方，孝义传家，财兴丁旺，七世同居。宝历元年（825年），唐敬宗闻其孝义，赐兴珠玑绦环，旌其门曰：“孝义门”。后为避敬宗讳，改敬宗巷为珠玑巷。于是，珠玑巷孝义之风闻于遐迩，中原南迁仕宦氏族来此驻足聚居者日众，成为南迁氏族发祥之地。唐末，张兴曾孙张廷范为岭南道常平司掌平籴事，携侄张喾官于冈州（今新会）。时值冈州民困，欠贡赋4万余石，官催民恐，地方动荡。张喾与家族商议，出家产代纳，民赖以安。张喾之第三子张昌，籍封朝议大夫，为冈州巨富，常立义仓，赈灾济贫，死后人怀其德，塑像祀之。南宋时，珠玑巷张氏后裔迁徙新会、开平等地，为一方望族。南雄珠玑巷有张昌故居，岭南张氏前来寻根问祖者众。</w:t>
      </w:r>
    </w:p>
    <w:p w14:paraId="03351160">
      <w:pPr>
        <w:ind w:firstLine="422"/>
        <w:rPr>
          <w:rFonts w:ascii="宋体" w:hAnsi="宋体" w:cs="宋体"/>
          <w:b/>
          <w:bCs/>
        </w:rPr>
      </w:pPr>
      <w:r>
        <w:rPr>
          <w:rFonts w:hint="eastAsia" w:ascii="宋体" w:hAnsi="宋体" w:cs="宋体"/>
          <w:b/>
          <w:bCs/>
        </w:rPr>
        <w:t>叶浚</w:t>
      </w:r>
    </w:p>
    <w:p w14:paraId="4C9C3080">
      <w:pPr>
        <w:ind w:firstLine="420"/>
        <w:rPr>
          <w:rFonts w:ascii="宋体" w:hAnsi="宋体" w:cs="宋体"/>
        </w:rPr>
      </w:pPr>
      <w:r>
        <w:rPr>
          <w:rFonts w:hint="eastAsia" w:ascii="宋体" w:hAnsi="宋体" w:cs="宋体"/>
        </w:rPr>
        <w:t>叶浚，原居浙冮处州丽水县。唐僖宗乾符初授崖州都督。广明二年（881年），黄巢起兵攻下长安，中原大乱。时值叶浚任满北归，闻讯，不敢度岭，乃循浈水至乌迳，择地卜居于七星树下，率三子：雨物、雨济、雨时，开创叶氏基业。雨物务农开发山下垌。雨济经商，在乌迳建圩开市，后裔有的成巨富。雨时仕南汉为千夫长，保境安民，战死白石冈，敕封都统，一族兴旺，为雄州巨族。</w:t>
      </w:r>
    </w:p>
    <w:p w14:paraId="523C0EB3">
      <w:pPr>
        <w:pStyle w:val="5"/>
        <w:rPr>
          <w:rFonts w:ascii="宋体" w:hAnsi="宋体" w:cs="宋体"/>
        </w:rPr>
      </w:pPr>
      <w:r>
        <w:rPr>
          <w:rFonts w:hint="eastAsia" w:ascii="宋体" w:hAnsi="宋体" w:cs="宋体"/>
        </w:rPr>
        <w:t>后周</w:t>
      </w:r>
    </w:p>
    <w:p w14:paraId="6465710F">
      <w:pPr>
        <w:ind w:firstLine="422"/>
        <w:rPr>
          <w:rFonts w:ascii="宋体" w:hAnsi="宋体" w:cs="宋体"/>
          <w:b/>
          <w:bCs/>
        </w:rPr>
      </w:pPr>
      <w:r>
        <w:rPr>
          <w:rFonts w:hint="eastAsia" w:ascii="宋体" w:hAnsi="宋体" w:cs="宋体"/>
          <w:b/>
          <w:bCs/>
        </w:rPr>
        <w:t>彭旴</w:t>
      </w:r>
    </w:p>
    <w:p w14:paraId="76960615">
      <w:pPr>
        <w:ind w:firstLine="420"/>
        <w:rPr>
          <w:rFonts w:ascii="宋体" w:hAnsi="宋体" w:cs="宋体"/>
        </w:rPr>
      </w:pPr>
      <w:r>
        <w:rPr>
          <w:rFonts w:hint="eastAsia" w:ascii="宋体" w:hAnsi="宋体" w:cs="宋体"/>
        </w:rPr>
        <w:t>彭将军名旴，上朔人。后周时征南海贼，身先之，遇伏，罹锋刃死。尸体暴露旬日不坏。夫人谭氏负而归葬。里老立庙于乡之小里源。有祷即应。宋熙和间，敕封将军。后裔繁衍，为一方巨族。共和国开国将军彭显伦亦其后也。</w:t>
      </w:r>
    </w:p>
    <w:p w14:paraId="4446BD23">
      <w:pPr>
        <w:ind w:firstLine="422"/>
        <w:rPr>
          <w:rFonts w:ascii="宋体" w:hAnsi="宋体" w:cs="宋体"/>
          <w:b/>
          <w:bCs/>
        </w:rPr>
      </w:pPr>
      <w:r>
        <w:rPr>
          <w:rFonts w:hint="eastAsia" w:ascii="宋体" w:hAnsi="宋体" w:cs="宋体"/>
          <w:b/>
          <w:bCs/>
        </w:rPr>
        <w:t>何昶</w:t>
      </w:r>
    </w:p>
    <w:p w14:paraId="009D57EB">
      <w:pPr>
        <w:ind w:firstLine="420"/>
        <w:rPr>
          <w:rFonts w:ascii="宋体" w:hAnsi="宋体" w:cs="宋体"/>
        </w:rPr>
      </w:pPr>
      <w:r>
        <w:rPr>
          <w:rFonts w:hint="eastAsia" w:ascii="宋体" w:hAnsi="宋体" w:cs="宋体"/>
        </w:rPr>
        <w:t>何昶，名楚，又称高祖，生唐光化庚申（900年），是后唐同光元年（923年）进士、洛阳令何泽之子，原居阳山通儒坊。后晋时，昶仕晋拜侍御史。后周显德时拜南海参军，持节谕南汉，使通中国。南汉主刘晟不纳，何昶乃携家寓居浈昌（今南雄）之沙水前村，持节待命。后因雄、韶、浈、连一带盗贼蜂起，民不聊生，刘晟乃举何昶总戎征讨。显德二年（955年），何昶为解民困，出师大捷，屡战屡胜。一日，何昶舟次韶阳滩，水流湍急，夜遇贼劫掠，舟覆，昶落水死。相传其尸竟逆浮20余里。雄人嘉其忠义神异，迎柩还葬巾子岭大座人形。宋熙宁间，南雄州刺史李宗仪以其事上报朝廷，诏赠何昶为清海军节度使，赐匾“忠义何公庙”。何昶后裔广播岭南，世居南雄者主要分布于白木、河村、祗芫、大坑、百顺等地。何昶墓仍存，2002年重修。珠玑巷何氏宗祠亦于2000年重建。</w:t>
      </w:r>
    </w:p>
    <w:p w14:paraId="5F1608D2">
      <w:pPr>
        <w:pStyle w:val="5"/>
        <w:rPr>
          <w:rFonts w:ascii="宋体" w:hAnsi="宋体" w:cs="宋体"/>
        </w:rPr>
      </w:pPr>
      <w:r>
        <w:rPr>
          <w:rFonts w:hint="eastAsia" w:ascii="宋体" w:hAnsi="宋体" w:cs="宋体"/>
        </w:rPr>
        <w:t>南汉</w:t>
      </w:r>
    </w:p>
    <w:p w14:paraId="220D5DF7">
      <w:pPr>
        <w:ind w:firstLine="422"/>
        <w:rPr>
          <w:rFonts w:ascii="宋体" w:hAnsi="宋体" w:cs="宋体"/>
          <w:b/>
          <w:bCs/>
        </w:rPr>
      </w:pPr>
      <w:r>
        <w:rPr>
          <w:rFonts w:hint="eastAsia" w:ascii="宋体" w:hAnsi="宋体" w:cs="宋体"/>
          <w:b/>
          <w:bCs/>
        </w:rPr>
        <w:t>叶云兴</w:t>
      </w:r>
    </w:p>
    <w:p w14:paraId="1187758D">
      <w:pPr>
        <w:ind w:firstLine="420"/>
        <w:rPr>
          <w:rFonts w:ascii="宋体" w:hAnsi="宋体" w:cs="宋体"/>
        </w:rPr>
      </w:pPr>
      <w:r>
        <w:rPr>
          <w:rFonts w:hint="eastAsia" w:ascii="宋体" w:hAnsi="宋体" w:cs="宋体"/>
        </w:rPr>
        <w:t>叶云兴，讳雨时，乌迳七星树下人，唐季崖州都督叶浚之第三子。南汉立，招兵募士，叶云兴正值年轻英武，应募入伍，以军功授千夫长，戍守乌迳，保境安民，盗贼敛迹，民感其德。后晋时，叶云兴在一次御敌保境战斗中，身先士卒，战死在白石岗（乌迳东约20里）。里人念其功德，于栏口村立庙塑像，以时祭祀，朝廷敕封为护国都统。其后裔播迁于鸟迳、坪田、新龙、孔江、界址等地，为一方望族。近千年来，族人念念不忘都统祖德宗功，每年正月隆重举行祭祀。白沙陈献章（明代岭南名学者）撰《满江红·云兴公像赞》：“人欲偷生，岂复望，完全名节。苟克识，君臣之义，为忠必竭。不但流芳青史上，还教庙貌崇英烈。显威灵，护国更安民，舆情悦。稽南汉，系维叶，公云兴，真豪杰。矢丹心赤悃，刚肠如铁。苦战无忘丧厥元，宁辞性命疆场灭。睹遗容，凛凛如生前，犹一辙。”</w:t>
      </w:r>
    </w:p>
    <w:p w14:paraId="1FD32E20">
      <w:pPr>
        <w:pStyle w:val="5"/>
        <w:rPr>
          <w:rFonts w:ascii="宋体" w:hAnsi="宋体" w:cs="宋体"/>
        </w:rPr>
      </w:pPr>
      <w:r>
        <w:rPr>
          <w:rFonts w:hint="eastAsia" w:ascii="宋体" w:hAnsi="宋体" w:cs="宋体"/>
        </w:rPr>
        <w:t>宋代</w:t>
      </w:r>
    </w:p>
    <w:p w14:paraId="4F202B40">
      <w:pPr>
        <w:ind w:firstLine="422"/>
        <w:rPr>
          <w:rFonts w:ascii="宋体" w:hAnsi="宋体" w:cs="宋体"/>
          <w:b/>
          <w:bCs/>
        </w:rPr>
      </w:pPr>
      <w:r>
        <w:rPr>
          <w:rFonts w:hint="eastAsia" w:ascii="宋体" w:hAnsi="宋体" w:cs="宋体"/>
          <w:b/>
          <w:bCs/>
        </w:rPr>
        <w:t>徐信</w:t>
      </w:r>
    </w:p>
    <w:p w14:paraId="2800311D">
      <w:pPr>
        <w:ind w:firstLine="420"/>
        <w:rPr>
          <w:rFonts w:ascii="宋体" w:hAnsi="宋体" w:cs="宋体"/>
        </w:rPr>
      </w:pPr>
      <w:r>
        <w:rPr>
          <w:rFonts w:hint="eastAsia" w:ascii="宋体" w:hAnsi="宋体" w:cs="宋体"/>
        </w:rPr>
        <w:t>徐信，字泽江，珠玑巷人，皇祐四年（1052年）进士，历官中书台谏，刚直有正声，与苏东坡友善雅好。致仕后归隐于家，设坛讲学。绍圣元年（1094年），苏东坡谪岭南，过南雄，曾造访徐信，见信作《甘露寺》诗有“平地风烟飞白鸟，半空云水卷苍龙”之句，立以“横”字易“飞”字。徐信叹服，雄州传为佳话。</w:t>
      </w:r>
    </w:p>
    <w:p w14:paraId="189F8ECD">
      <w:pPr>
        <w:ind w:firstLine="420"/>
        <w:rPr>
          <w:rFonts w:ascii="宋体" w:hAnsi="宋体" w:cs="宋体"/>
        </w:rPr>
      </w:pPr>
      <w:r>
        <w:rPr>
          <w:rFonts w:hint="eastAsia" w:ascii="宋体" w:hAnsi="宋体" w:cs="宋体"/>
        </w:rPr>
        <w:t>绍兴年间，年过八十的徐信，随儿孙南迁广州，继续设坛讲学。其后裔在广州龙津中路建有泽江公祠，20世纪30年代曾在该祠办泽江小学，1958年因扩马路被拆。</w:t>
      </w:r>
    </w:p>
    <w:p w14:paraId="17629498">
      <w:pPr>
        <w:ind w:firstLine="422"/>
        <w:rPr>
          <w:rFonts w:ascii="宋体" w:hAnsi="宋体" w:cs="宋体"/>
          <w:b/>
          <w:bCs/>
        </w:rPr>
      </w:pPr>
      <w:r>
        <w:rPr>
          <w:rFonts w:hint="eastAsia" w:ascii="宋体" w:hAnsi="宋体" w:cs="宋体"/>
          <w:b/>
          <w:bCs/>
        </w:rPr>
        <w:t>赵子崧</w:t>
      </w:r>
    </w:p>
    <w:p w14:paraId="5F76D877">
      <w:pPr>
        <w:ind w:firstLine="420"/>
        <w:rPr>
          <w:rFonts w:ascii="宋体" w:hAnsi="宋体" w:cs="宋体"/>
        </w:rPr>
      </w:pPr>
      <w:r>
        <w:rPr>
          <w:rFonts w:hint="eastAsia" w:ascii="宋体" w:hAnsi="宋体" w:cs="宋体"/>
        </w:rPr>
        <w:t>赵子崧，宋太祖赵匡胤次子德昭之后。宋太祖崩，依杜太后“金匮之盟”，传位于弟赵光义。而光义对德昭很是猜疑，于太平兴国四年迫德昭自杀。德昭第四子帷忠传四代为子崧，字伯山，登崇宁五年进士，才干出众。宣和间，官至宗正少卿，除徽猷阁直学士，知淮宁府。靖康之乱，汴京失守，子崧起兵勤王，辅高宗赵构登上帝位，建立南宋政权。高宗授子崧为延康殿学士，知镇江府，两浙兵马钤辖。建炎二年（1128年），子崧被政敌辛道宗诬陷，贬为单州团练副使，谪居南雄州。子崧一家在雄城东门住了4年。绍兴二年（1132年），子崧死于贬所。著有《朝野佥载》10卷。其后，随寓之后裔由雄城迁洋汾，再迁界址龙头坊，开基立祠，世代农耕，子孙繁衍，族望一方。</w:t>
      </w:r>
    </w:p>
    <w:p w14:paraId="45227A1F">
      <w:pPr>
        <w:ind w:firstLine="422"/>
        <w:rPr>
          <w:rFonts w:ascii="宋体" w:hAnsi="宋体" w:cs="宋体"/>
          <w:b/>
          <w:bCs/>
        </w:rPr>
      </w:pPr>
      <w:r>
        <w:rPr>
          <w:rFonts w:hint="eastAsia" w:ascii="宋体" w:hAnsi="宋体" w:cs="宋体"/>
          <w:b/>
          <w:bCs/>
        </w:rPr>
        <w:t>罗贵</w:t>
      </w:r>
    </w:p>
    <w:p w14:paraId="76BBCA63">
      <w:pPr>
        <w:ind w:firstLine="420"/>
        <w:rPr>
          <w:rFonts w:ascii="宋体" w:hAnsi="宋体" w:cs="宋体"/>
        </w:rPr>
      </w:pPr>
      <w:r>
        <w:rPr>
          <w:rFonts w:hint="eastAsia" w:ascii="宋体" w:hAnsi="宋体" w:cs="宋体"/>
        </w:rPr>
        <w:t>罗贵，字以达，别字天爵，号琴轩。其先祖罗彦瓌为宋开国功臣、节度使。宋初为避猜忌之祸徙居南雄珠玑巷。罗贵为其第七代裔孙，生宋哲宗元祐元年（1086年），南雄州学廪贡，赠吏部尚书。绍兴间，珠玑巷因皇妃之难，朝廷问罪，面临血洗之灾。时罗贵为珠玑里里长，临危仗义，挺身而起，率珠玑巷38姓98户上千人南迁珠江三角洲一带，水陆日夜兼程，跋涉两月，终于避过灾难，各得安居乐业。南迁氏族咸颂罗贵功德，如戴天日。罗贵一家卜居新会蓢底，辟土以种食，辟草以结庐，艰苦创业，传9子46孙，后裔播迁南海、顺德、番禺、东莞等地及海外诸国。人文蔚起，富甲一方。罗贵墓在新会蓢底。1999年，罗贵后裔集资在珠玑巷兴建罗贵纪念馆。</w:t>
      </w:r>
    </w:p>
    <w:p w14:paraId="2E19797C">
      <w:pPr>
        <w:ind w:firstLine="422"/>
        <w:rPr>
          <w:rFonts w:ascii="宋体" w:hAnsi="宋体" w:cs="宋体"/>
          <w:b/>
          <w:bCs/>
        </w:rPr>
      </w:pPr>
      <w:r>
        <w:rPr>
          <w:rFonts w:hint="eastAsia" w:ascii="宋体" w:hAnsi="宋体" w:cs="宋体"/>
          <w:b/>
          <w:bCs/>
        </w:rPr>
        <w:t>董玮</w:t>
      </w:r>
    </w:p>
    <w:p w14:paraId="7C71554E">
      <w:pPr>
        <w:ind w:firstLine="420"/>
        <w:rPr>
          <w:rFonts w:ascii="宋体" w:hAnsi="宋体" w:cs="宋体"/>
        </w:rPr>
      </w:pPr>
      <w:r>
        <w:rPr>
          <w:rFonts w:hint="eastAsia" w:ascii="宋体" w:hAnsi="宋体" w:cs="宋体"/>
        </w:rPr>
        <w:t>董玮，耒阳知县董俦之第六子，世居江西乐安。宋元符三年（1100年）。由荐举南雄州刑曹参军，随任携家居雄城东门。一家四代，任职军伍，保境安民。曾孙董政聪任都司千兵，生二子：董双保、董双生，勇略过人。南海寇乱，二子随父出师征讨，战功卓著，敕封宣政武略将军。其后裔由东门迁水松开基立祠，为一方望族。</w:t>
      </w:r>
    </w:p>
    <w:p w14:paraId="78B665C5">
      <w:pPr>
        <w:ind w:firstLine="422"/>
        <w:rPr>
          <w:rFonts w:ascii="宋体" w:hAnsi="宋体" w:cs="宋体"/>
          <w:b/>
          <w:bCs/>
        </w:rPr>
      </w:pPr>
      <w:r>
        <w:rPr>
          <w:rFonts w:hint="eastAsia" w:ascii="宋体" w:hAnsi="宋体" w:cs="宋体"/>
          <w:b/>
          <w:bCs/>
        </w:rPr>
        <w:t>邓向</w:t>
      </w:r>
    </w:p>
    <w:p w14:paraId="4C73CA8A">
      <w:pPr>
        <w:ind w:firstLine="420"/>
        <w:rPr>
          <w:rFonts w:ascii="宋体" w:hAnsi="宋体" w:cs="宋体"/>
        </w:rPr>
      </w:pPr>
      <w:r>
        <w:rPr>
          <w:rFonts w:hint="eastAsia" w:ascii="宋体" w:hAnsi="宋体" w:cs="宋体"/>
        </w:rPr>
        <w:t>邓向，户部尚书邓戒之第三子，原世居曲江，名门世家。宋嘉祐三年（1058年），因贼乱扰乡，邓向迁居南雄城北门（今秋千街），力学不辍，登治平丁未（1067年）进士。其子邓显道又登元符庚辰（1100年）进士，曾孙邓希颜再登嘉定甲戌（1214年）进士。是谓诗礼传家，一门四代三进士。</w:t>
      </w:r>
    </w:p>
    <w:p w14:paraId="05E1AABA">
      <w:pPr>
        <w:ind w:firstLine="422"/>
        <w:rPr>
          <w:rFonts w:ascii="宋体" w:hAnsi="宋体" w:cs="宋体"/>
          <w:b/>
          <w:bCs/>
        </w:rPr>
      </w:pPr>
      <w:r>
        <w:rPr>
          <w:rFonts w:hint="eastAsia" w:ascii="宋体" w:hAnsi="宋体" w:cs="宋体"/>
          <w:b/>
          <w:bCs/>
        </w:rPr>
        <w:t>冯迁</w:t>
      </w:r>
    </w:p>
    <w:p w14:paraId="4C1E8C4A">
      <w:pPr>
        <w:ind w:firstLine="420"/>
        <w:rPr>
          <w:rFonts w:ascii="宋体" w:hAnsi="宋体" w:cs="宋体"/>
        </w:rPr>
      </w:pPr>
      <w:r>
        <w:rPr>
          <w:rFonts w:hint="eastAsia" w:ascii="宋体" w:hAnsi="宋体" w:cs="宋体"/>
        </w:rPr>
        <w:t>冯迁，讳迁夫，字桥仰，延溪人。姿性聪敏，气质端凝，凡经史子集金匮石室之书，无所不读，且立心制行一以先圣贤哲。甫弱冠，备弟子员，屡试皆夺前茅。端平元年（1234年）登贤书，二年赐进士。淳祐间，应诏除太子洗马。上嘉其能，屡迁至大司马。时北方多故，羽檄交驰，冯迁发谋策，保境安民，立朝勋绩卓著。咸淳进士、邑人邱必明撰有《迁夫公传》。</w:t>
      </w:r>
    </w:p>
    <w:p w14:paraId="4AC37DA7">
      <w:pPr>
        <w:ind w:firstLine="422"/>
        <w:rPr>
          <w:rFonts w:ascii="宋体" w:hAnsi="宋体" w:cs="宋体"/>
          <w:b/>
          <w:bCs/>
        </w:rPr>
      </w:pPr>
      <w:r>
        <w:rPr>
          <w:rFonts w:hint="eastAsia" w:ascii="宋体" w:hAnsi="宋体" w:cs="宋体"/>
          <w:b/>
          <w:bCs/>
        </w:rPr>
        <w:t>邱必明</w:t>
      </w:r>
    </w:p>
    <w:p w14:paraId="38571AB3">
      <w:pPr>
        <w:ind w:firstLine="420"/>
        <w:rPr>
          <w:rFonts w:ascii="宋体" w:hAnsi="宋体" w:cs="宋体"/>
        </w:rPr>
      </w:pPr>
      <w:r>
        <w:rPr>
          <w:rFonts w:hint="eastAsia" w:ascii="宋体" w:hAnsi="宋体" w:cs="宋体"/>
        </w:rPr>
        <w:t>邱必明，宋季南雄州学正邱君与之孙，随任家于南雄城。咸淳辛未（1271年登进士第，累官韶州佥判。德祐丙子（1276年），元兵逼梅关，新会县令曾逢龙、东莞勇士熊飞领兵与战，逢龙战死，熊飞败退韶关。元兵乘胜大举越岭，陷南雄州，围攻韶州。熊飞巷战死，城陷。佥判邱必明被执，元将劝其降，必明誓死不屈，被杀。传闻邱必明遇害时，正气凛然，白血飞流。韶雄两州官民哀其忠节，立祠祀之。南雄东关外建忠节祠，并立“忠节”牌坊。其墓在莲溪二都（今江头镇）园圃村。明嘉靖甲午，知府何岩改建忠节祠，并立例岁免其子姓二丁、祭田1.47公顷之徭差。</w:t>
      </w:r>
    </w:p>
    <w:p w14:paraId="6AC691E2">
      <w:pPr>
        <w:ind w:firstLine="420"/>
        <w:rPr>
          <w:rFonts w:ascii="宋体" w:hAnsi="宋体" w:cs="宋体"/>
        </w:rPr>
      </w:pPr>
      <w:r>
        <w:rPr>
          <w:rFonts w:hint="eastAsia" w:ascii="宋体" w:hAnsi="宋体" w:cs="宋体"/>
        </w:rPr>
        <w:t>明嘉靖进士南京户部尚书邑人谭大初作《吊丘忠臣》诗：“宋家末造国不竞，景炎祥符皆寄生。群盗躏轹闽广间，五岭以南无坚城。当日守臣多爱死，往往全躯保妻子。楚囚赵虏走且僵，谁似平原颜御史。狼烟蓦蓦薄韶阳，北门锁钥已郎当。封疆之臣诚捍御，江淮谁复真源张。义士见危当授命，存亡誓与孤城并。黄尘蔽日云漫漫，公服拜天唯自靖。委身谁不为良臣，匪躬之故非殉名。问甚鸿毛与泰山，纲常为重身为轻。谁道韶城为虏圮，更有金城长万里。仪容俨雅非公神，地为河岳天星辰。烹鲂鳏猗溉釜</w:t>
      </w:r>
      <w:r>
        <w:rPr>
          <w:rFonts w:ascii="宋体" w:hAnsi="宋体"/>
        </w:rPr>
        <w:drawing>
          <wp:inline distT="0" distB="0" distL="0" distR="0">
            <wp:extent cx="190500" cy="176530"/>
            <wp:effectExtent l="0" t="0" r="0" b="1397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a:xfrm>
                      <a:off x="0" y="0"/>
                      <a:ext cx="190500" cy="176530"/>
                    </a:xfrm>
                    <a:prstGeom prst="rect">
                      <a:avLst/>
                    </a:prstGeom>
                    <a:noFill/>
                    <a:ln>
                      <a:noFill/>
                    </a:ln>
                  </pic:spPr>
                </pic:pic>
              </a:graphicData>
            </a:graphic>
          </wp:inline>
        </w:drawing>
      </w:r>
      <w:r>
        <w:rPr>
          <w:rFonts w:hint="eastAsia" w:ascii="宋体" w:hAnsi="宋体" w:cs="宋体"/>
        </w:rPr>
        <w:t>，吊公忠兮怀好音。”</w:t>
      </w:r>
    </w:p>
    <w:p w14:paraId="5F6DA3DE">
      <w:pPr>
        <w:ind w:firstLine="422"/>
        <w:rPr>
          <w:rFonts w:ascii="宋体" w:hAnsi="宋体" w:cs="宋体"/>
          <w:b/>
          <w:bCs/>
        </w:rPr>
      </w:pPr>
      <w:r>
        <w:rPr>
          <w:rFonts w:hint="eastAsia" w:ascii="宋体" w:hAnsi="宋体" w:cs="宋体"/>
          <w:b/>
          <w:bCs/>
        </w:rPr>
        <w:t>陈福基</w:t>
      </w:r>
    </w:p>
    <w:p w14:paraId="64C8312D">
      <w:pPr>
        <w:ind w:firstLine="420"/>
        <w:rPr>
          <w:rFonts w:ascii="宋体" w:hAnsi="宋体" w:cs="宋体"/>
        </w:rPr>
      </w:pPr>
      <w:r>
        <w:rPr>
          <w:rFonts w:hint="eastAsia" w:ascii="宋体" w:hAnsi="宋体" w:cs="宋体"/>
        </w:rPr>
        <w:t>陈福基，讳宗，字卜世，号福基，祖居福建莆田。宋理宗时为佥书枢密院使，因直言极谏，贬谪远州。度宗时复为广南东路安抚使，因不满贾似道专擅朝政，解组致仕，隐居南雄珠玑巷。德祐二年（1276年），宋恭宗降元。陈福基父子兴师勤王，率兵数千赴崖州。至韶关，为元师所阻。福基见大势已去，不可挽回，乃携家避居溪塘，开基创业，子孙繁衍，人文蔚起。</w:t>
      </w:r>
    </w:p>
    <w:p w14:paraId="1DBAD53C">
      <w:pPr>
        <w:ind w:firstLine="422"/>
        <w:rPr>
          <w:rFonts w:ascii="宋体" w:hAnsi="宋体" w:cs="宋体"/>
          <w:b/>
          <w:bCs/>
        </w:rPr>
      </w:pPr>
      <w:r>
        <w:rPr>
          <w:rFonts w:hint="eastAsia" w:ascii="宋体" w:hAnsi="宋体" w:cs="宋体"/>
          <w:b/>
          <w:bCs/>
        </w:rPr>
        <w:t>陈公佑</w:t>
      </w:r>
    </w:p>
    <w:p w14:paraId="349515AE">
      <w:pPr>
        <w:ind w:firstLine="420"/>
        <w:rPr>
          <w:rFonts w:ascii="宋体" w:hAnsi="宋体" w:cs="宋体"/>
        </w:rPr>
      </w:pPr>
      <w:r>
        <w:rPr>
          <w:rFonts w:hint="eastAsia" w:ascii="宋体" w:hAnsi="宋体" w:cs="宋体"/>
        </w:rPr>
        <w:t>陈公佑之先为宋治平年间南雄知州陈侁，卒于官，子孙乃世居南雄城。嘉祐初，陈公佑率家由雄城徙居横水，与弟汝宾同灶，立下家规，代代相传，直至明成化中，凡历十二世三百余年，食指八百余，内外雍睦，绝无间言，家法淳整，世人以义族称之。成化甲辰（1480年），南雄知府江璞躬至其家，题匾“至和堂”以赠。并题诗云：“五马迢迢访义门，一堂和气蔼春温。立家创业前朝事，共食同居几代孙。风俗坐看回太古，褒旌行见沐殊恩。笑他割户分门者，敢与同年共日论。”</w:t>
      </w:r>
    </w:p>
    <w:p w14:paraId="23976C05">
      <w:pPr>
        <w:pStyle w:val="5"/>
        <w:rPr>
          <w:rFonts w:ascii="宋体" w:hAnsi="宋体" w:cs="宋体"/>
        </w:rPr>
      </w:pPr>
      <w:r>
        <w:rPr>
          <w:rFonts w:hint="eastAsia" w:ascii="宋体" w:hAnsi="宋体" w:cs="宋体"/>
        </w:rPr>
        <w:t>元代</w:t>
      </w:r>
    </w:p>
    <w:p w14:paraId="0DC8A9DD">
      <w:pPr>
        <w:ind w:firstLine="422"/>
        <w:rPr>
          <w:rFonts w:ascii="宋体" w:hAnsi="宋体" w:cs="宋体"/>
          <w:b/>
          <w:bCs/>
        </w:rPr>
      </w:pPr>
      <w:r>
        <w:rPr>
          <w:rFonts w:hint="eastAsia" w:ascii="宋体" w:hAnsi="宋体" w:cs="宋体"/>
          <w:b/>
          <w:bCs/>
        </w:rPr>
        <w:t>麦文贵</w:t>
      </w:r>
    </w:p>
    <w:p w14:paraId="10037E17">
      <w:pPr>
        <w:ind w:firstLine="420"/>
        <w:rPr>
          <w:rFonts w:ascii="宋体" w:hAnsi="宋体" w:cs="宋体"/>
        </w:rPr>
      </w:pPr>
      <w:r>
        <w:rPr>
          <w:rFonts w:hint="eastAsia" w:ascii="宋体" w:hAnsi="宋体" w:cs="宋体"/>
        </w:rPr>
        <w:t>麦文贵，保昌人，字少武，号雪轩，麦铁杖之后。笃志力学，博极书史。元至元间，以博学荐起为湖广行省检校。后拜中奉大夫，集贤学士，与修辽金宋三史。</w:t>
      </w:r>
    </w:p>
    <w:p w14:paraId="2D55CE02">
      <w:pPr>
        <w:ind w:firstLine="422"/>
        <w:rPr>
          <w:rFonts w:ascii="宋体" w:hAnsi="宋体" w:cs="宋体"/>
          <w:b/>
          <w:bCs/>
        </w:rPr>
      </w:pPr>
      <w:r>
        <w:rPr>
          <w:rFonts w:hint="eastAsia" w:ascii="宋体" w:hAnsi="宋体" w:cs="宋体"/>
          <w:b/>
          <w:bCs/>
        </w:rPr>
        <w:t>陈进之</w:t>
      </w:r>
    </w:p>
    <w:p w14:paraId="7B1ECE94">
      <w:pPr>
        <w:ind w:firstLine="420"/>
        <w:rPr>
          <w:rFonts w:ascii="宋体" w:hAnsi="宋体" w:cs="宋体"/>
        </w:rPr>
      </w:pPr>
      <w:r>
        <w:rPr>
          <w:rFonts w:hint="eastAsia" w:ascii="宋体" w:hAnsi="宋体" w:cs="宋体"/>
        </w:rPr>
        <w:t>陈进之，保昌人，字思退，元至正甲辰（1364年）进士，任南雄路教授，迁岭南学校提举。为历宋元明三代之名门世家。进之之先陈淑秀为宋绍兴乙卯进士，潭州监庙；陈谦甫、陈履道为元至元举人。谦甫任梅州学正，履道任惠州路教授；陈硅为元泰定甲子举人，任吉安路推官，除豪恶萧恕斋，擢郡守。进之之孙陈逊，明永乐戊子举人，历任交趾、惠安知县，升御史，雄城学前街为其立“风纪流芳”牌坊。有谓诗礼传家，簪缨满门。</w:t>
      </w:r>
    </w:p>
    <w:p w14:paraId="0536BD44">
      <w:pPr>
        <w:pStyle w:val="5"/>
        <w:rPr>
          <w:rFonts w:ascii="宋体" w:hAnsi="宋体" w:cs="宋体"/>
        </w:rPr>
      </w:pPr>
      <w:r>
        <w:rPr>
          <w:rFonts w:hint="eastAsia" w:ascii="宋体" w:hAnsi="宋体" w:cs="宋体"/>
        </w:rPr>
        <w:t>明代</w:t>
      </w:r>
    </w:p>
    <w:p w14:paraId="33A45FA0">
      <w:pPr>
        <w:ind w:firstLine="422"/>
        <w:rPr>
          <w:rFonts w:ascii="宋体" w:hAnsi="宋体" w:cs="宋体"/>
          <w:b/>
          <w:bCs/>
        </w:rPr>
      </w:pPr>
      <w:r>
        <w:rPr>
          <w:rFonts w:hint="eastAsia" w:ascii="宋体" w:hAnsi="宋体" w:cs="宋体"/>
          <w:b/>
          <w:bCs/>
        </w:rPr>
        <w:t>陈德文</w:t>
      </w:r>
    </w:p>
    <w:p w14:paraId="2569F388">
      <w:pPr>
        <w:ind w:firstLine="420"/>
        <w:rPr>
          <w:rFonts w:ascii="宋体" w:hAnsi="宋体" w:cs="宋体"/>
        </w:rPr>
      </w:pPr>
      <w:r>
        <w:rPr>
          <w:rFonts w:hint="eastAsia" w:ascii="宋体" w:hAnsi="宋体" w:cs="宋体"/>
        </w:rPr>
        <w:t>陈德文，一名莹中，字文石，号肃庵，雄城北厢人。明洪武十九年（1382年）举文学，授台州通判。居二年，左迁枝江令，又迁缙云监税，所至有声。以兵部尚书唐铎荐，拜北平道监察御史。明年，擢按察使。洪武三十年（1397年），出使西番撒马儿罕诸国，开通西域。</w:t>
      </w:r>
    </w:p>
    <w:p w14:paraId="78114526">
      <w:pPr>
        <w:ind w:firstLine="420"/>
        <w:rPr>
          <w:rFonts w:ascii="宋体" w:hAnsi="宋体" w:cs="宋体"/>
        </w:rPr>
      </w:pPr>
      <w:r>
        <w:rPr>
          <w:rFonts w:hint="eastAsia" w:ascii="宋体" w:hAnsi="宋体" w:cs="宋体"/>
        </w:rPr>
        <w:t>西域撒马儿罕诸国为元太祖荡平西域时所立。明太祖于洪武中数遣使诏谕，各国陆续归附，惟哈烈等八国以道远不来朝贡。洪武三十年又遣陈德文以玺书采币赐给哈烈国王哈鲁把都儿，仍不答应归附。陈德文为完成使命遂留在哈烈国，反复宣明朝廷谕旨，又不避艰险，持节跋涉到各国游说。年复一年，不觉过了十二年，各国国王终被陈德文精神所感动，答应归附朝贡。永乐五年（1408年），陈德文回国。六年，哈烈国等八国前来朝贡。陈德文因功擢佥都御史。</w:t>
      </w:r>
    </w:p>
    <w:p w14:paraId="2733AC21">
      <w:pPr>
        <w:ind w:firstLine="420"/>
        <w:rPr>
          <w:rFonts w:ascii="宋体" w:hAnsi="宋体" w:cs="宋体"/>
        </w:rPr>
      </w:pPr>
      <w:r>
        <w:rPr>
          <w:rFonts w:hint="eastAsia" w:ascii="宋体" w:hAnsi="宋体" w:cs="宋体"/>
        </w:rPr>
        <w:t>陈德文出使西域十二年，不但不辱使命，还注意采集各国风土人情，写成诗歌，献给明成祖，得到明成祖的嘉奖。陈德文西域采风诗歌是一部很有价值的西域民族史料，内阁纂修西域志时多有采用。</w:t>
      </w:r>
    </w:p>
    <w:p w14:paraId="38DEE5A4">
      <w:pPr>
        <w:ind w:firstLine="420"/>
        <w:rPr>
          <w:rFonts w:ascii="宋体" w:hAnsi="宋体" w:cs="宋体"/>
        </w:rPr>
      </w:pPr>
      <w:r>
        <w:rPr>
          <w:rFonts w:hint="eastAsia" w:ascii="宋体" w:hAnsi="宋体" w:cs="宋体"/>
        </w:rPr>
        <w:t>永乐七年六月，明成祖御驾北征鞑靼。陈德文随驾至北平。成祖念德文久劳王事，擢右都御史（正二品），赐锦绮十袭，名马二匹，校尉四人护行，还乡扫墓。九年六月，复召任职。永乐十二年（1414年）三月，卒于位，进左都御史，赐祭葬，入祀乡贤祠。</w:t>
      </w:r>
    </w:p>
    <w:p w14:paraId="5A914BC6">
      <w:pPr>
        <w:ind w:firstLine="420"/>
        <w:rPr>
          <w:rFonts w:ascii="宋体" w:hAnsi="宋体" w:cs="宋体"/>
        </w:rPr>
      </w:pPr>
      <w:r>
        <w:rPr>
          <w:rFonts w:hint="eastAsia" w:ascii="宋体" w:hAnsi="宋体" w:cs="宋体"/>
        </w:rPr>
        <w:t>陈德文墓在满湖塘，翰林学士括苍王景撰墓志铭。雄州城为陈德文立有“都宪”“风纪流芳”两牌坊。</w:t>
      </w:r>
    </w:p>
    <w:p w14:paraId="2CAA03D2">
      <w:pPr>
        <w:ind w:firstLine="420"/>
        <w:rPr>
          <w:rFonts w:ascii="宋体" w:hAnsi="宋体" w:cs="宋体"/>
        </w:rPr>
      </w:pPr>
      <w:r>
        <w:rPr>
          <w:rFonts w:hint="eastAsia" w:ascii="宋体" w:hAnsi="宋体" w:cs="宋体"/>
        </w:rPr>
        <w:t>陈德文一门书香，代有仕宦。其孙陈万善，嘉靖十七年贡生，任宁州训导，升教授。陈万化，嘉靖二十六年贡生，历任来宾知县、柳州教授。后裔陈国瑞，乾隆辛酉举人，历任新安、合浦教谕，崖州学正，湖南善化县、河南获嘉县知县。</w:t>
      </w:r>
    </w:p>
    <w:p w14:paraId="19290979">
      <w:pPr>
        <w:ind w:firstLine="422"/>
        <w:rPr>
          <w:rFonts w:ascii="宋体" w:hAnsi="宋体" w:cs="宋体"/>
          <w:b/>
          <w:bCs/>
        </w:rPr>
      </w:pPr>
      <w:r>
        <w:rPr>
          <w:rFonts w:hint="eastAsia" w:ascii="宋体" w:hAnsi="宋体" w:cs="宋体"/>
          <w:b/>
          <w:bCs/>
        </w:rPr>
        <w:t>禤明德</w:t>
      </w:r>
    </w:p>
    <w:p w14:paraId="356CE3BD">
      <w:pPr>
        <w:ind w:firstLine="420"/>
        <w:rPr>
          <w:rFonts w:ascii="宋体" w:hAnsi="宋体" w:cs="宋体"/>
        </w:rPr>
      </w:pPr>
      <w:r>
        <w:rPr>
          <w:rFonts w:hint="eastAsia" w:ascii="宋体" w:hAnsi="宋体" w:cs="宋体"/>
        </w:rPr>
        <w:t>禤明德，字志学，性至孝，游邑庠，力学有声，洪武乙丑（1358年），贡入胄监，历丞分宜、龙阳、海宁三邑，所至皆有政绩。累迁宁国知府，化民以德，不尚刑罚。郡有累年逋赋，不督自完。后坐累，隶至京，左迁刑部主事。未几，出判绍兴，抑强扶弱，兴利除害。两郡士民德之，宁国祠于名宦。绍兴满去，民留靴系思。景泰中，广东布政使韩阳行部至雄，啧啧称贤，拜遗像而入祭之，遗爱感人如此。</w:t>
      </w:r>
    </w:p>
    <w:p w14:paraId="4C8CE102">
      <w:pPr>
        <w:ind w:firstLine="422"/>
        <w:rPr>
          <w:rFonts w:ascii="宋体" w:hAnsi="宋体" w:cs="宋体"/>
          <w:b/>
          <w:bCs/>
        </w:rPr>
      </w:pPr>
      <w:r>
        <w:rPr>
          <w:rFonts w:hint="eastAsia" w:ascii="宋体" w:hAnsi="宋体" w:cs="宋体"/>
          <w:b/>
          <w:bCs/>
        </w:rPr>
        <w:t>李俊芳</w:t>
      </w:r>
    </w:p>
    <w:p w14:paraId="3E53E179">
      <w:pPr>
        <w:ind w:firstLine="420"/>
        <w:rPr>
          <w:rFonts w:ascii="宋体" w:hAnsi="宋体" w:cs="宋体"/>
        </w:rPr>
      </w:pPr>
      <w:r>
        <w:rPr>
          <w:rFonts w:hint="eastAsia" w:ascii="宋体" w:hAnsi="宋体" w:cs="宋体"/>
        </w:rPr>
        <w:t>李俊芳，字用规，别号乐素翁，新田人，唐户部侍郎李金马之后。洪武已巳（1389年），郡守文公以俊芳补弟子员，治葩经，温雅好学。永乐庚寅（1410年），应明经选，卒业大学，德业益进。已亥，授广西全州知州，密迩零陵，号称繁剧。俊芳下车，即劝农桑，兴学校，廉介平恕，以惠养民。有积逋未输，俊芳出珥饰倡助之，民争先办完。未几，坐事归。俊芳不更求白，构一椽泉石间，名曰“乐素”，左图右史，宴如也。性至孝，每见一新蔬果，不敢先尝，必归奉其亲。与人交，必辅以义，所持耿介。退休40余年，惟杜门训子读书，未尝至公庭。盖有道君子也。年八十有六。</w:t>
      </w:r>
    </w:p>
    <w:p w14:paraId="7A6C64A8">
      <w:pPr>
        <w:ind w:firstLine="422"/>
        <w:rPr>
          <w:rFonts w:ascii="宋体" w:hAnsi="宋体" w:cs="宋体"/>
          <w:b/>
          <w:bCs/>
        </w:rPr>
      </w:pPr>
      <w:r>
        <w:rPr>
          <w:rFonts w:hint="eastAsia" w:ascii="宋体" w:hAnsi="宋体" w:cs="宋体"/>
          <w:b/>
          <w:bCs/>
        </w:rPr>
        <w:t>萧守中</w:t>
      </w:r>
    </w:p>
    <w:p w14:paraId="57754384">
      <w:pPr>
        <w:ind w:firstLine="420"/>
        <w:rPr>
          <w:rFonts w:ascii="宋体" w:hAnsi="宋体" w:cs="宋体"/>
        </w:rPr>
      </w:pPr>
      <w:r>
        <w:rPr>
          <w:rFonts w:hint="eastAsia" w:ascii="宋体" w:hAnsi="宋体" w:cs="宋体"/>
        </w:rPr>
        <w:t>萧守中，字必常，永乐丁酉（1417年）举于乡，授户部主事，命核风阳诸卫军饷。留守司馈百金，守中峻拒之。复偕御史郑嘉、锦衣林茂巡视京储，茂以赃败，而守中之廉益彰。历南京吏刑二部郎中，拨胥吏，决重囚，请托不行，人服其公。景泰中，出守黎平，时大军征讨龙里，千户姜洪诬寨民通苗，守中力雪其辜，全活者众。居五年，峒夷悦服。天顺庚辰，致仕。家居10余年，晚节尤坚。成化改元，进阶亚中大夫。卒年八十六，国学陈濂为之传。</w:t>
      </w:r>
    </w:p>
    <w:p w14:paraId="22B62102">
      <w:pPr>
        <w:ind w:firstLine="422"/>
        <w:rPr>
          <w:rFonts w:ascii="宋体" w:hAnsi="宋体" w:cs="宋体"/>
          <w:b/>
          <w:bCs/>
        </w:rPr>
      </w:pPr>
      <w:r>
        <w:rPr>
          <w:rFonts w:hint="eastAsia" w:ascii="宋体" w:hAnsi="宋体" w:cs="宋体"/>
          <w:b/>
          <w:bCs/>
        </w:rPr>
        <w:t>罗裔</w:t>
      </w:r>
    </w:p>
    <w:p w14:paraId="0F5009E1">
      <w:pPr>
        <w:ind w:firstLine="420"/>
        <w:rPr>
          <w:rFonts w:ascii="宋体" w:hAnsi="宋体" w:cs="宋体"/>
        </w:rPr>
      </w:pPr>
      <w:r>
        <w:rPr>
          <w:rFonts w:hint="eastAsia" w:ascii="宋体" w:hAnsi="宋体" w:cs="宋体"/>
        </w:rPr>
        <w:t>罗裔，字继夫，号养拙。世显街人。生于成化戊戌（1478年）。幼颖异，过目成诵，至性孝友，年十五补弟子员，饩廪，一时名士多出其门。谭大初亲授业焉。正德已卯（1519年）应岁荐，庚辰（1520年）授陆川司训，教学有方，如坐春风中。旋署博白训兼摄县篆，冤抑得理，豪强响化。无何，狼目倡乱压境，裔开门晓谕，众皆悦服，孤城获安堵焉。丙戌（1526年），致仕归。殁于嘉靖癸丑（1553年），寿七十六。子秉正，漳平教谕；秉直，遼府教授。</w:t>
      </w:r>
    </w:p>
    <w:p w14:paraId="50CE3F15">
      <w:pPr>
        <w:ind w:firstLine="422"/>
        <w:rPr>
          <w:rFonts w:ascii="宋体" w:hAnsi="宋体" w:cs="宋体"/>
          <w:b/>
          <w:bCs/>
        </w:rPr>
      </w:pPr>
      <w:r>
        <w:rPr>
          <w:rFonts w:hint="eastAsia" w:ascii="宋体" w:hAnsi="宋体" w:cs="宋体"/>
          <w:b/>
          <w:bCs/>
        </w:rPr>
        <w:t>裴唐</w:t>
      </w:r>
    </w:p>
    <w:p w14:paraId="364CF2D3">
      <w:pPr>
        <w:ind w:firstLine="420"/>
        <w:rPr>
          <w:rFonts w:ascii="宋体" w:hAnsi="宋体" w:cs="宋体"/>
        </w:rPr>
      </w:pPr>
      <w:r>
        <w:rPr>
          <w:rFonts w:hint="eastAsia" w:ascii="宋体" w:hAnsi="宋体" w:cs="宋体"/>
        </w:rPr>
        <w:t>裴唐，字肇虞，别号际宇。生而颖悟，十岁为制举文，多奇语。随父宦闽清江淮间，所至与贤豪长者游，弱冠补弟子员。试辄冠多士，食饩。然数奇不第。万历癸未（1583年），以贡谒选试，铨曹第一。曹郎奇其才，以决科留之。闻季子季直讣，请选以归。得安庆司训，两摄县事，以文学饰吏治，尝慕子游弦歌。已而补常熟教谕，则子游里居焉。言笑无苟，以身范诸生。邑富人有子之丧，奉百金乞往吊，不可。俄转儋州学正，又以长子季忠之变，遂乞休。唐孝友天植，事父微有慢色，即终日长跪，必得其欢乃已。居丧，哀毁骨立。方司训安庆时，非有民社之寄，属岁饥疫，移书归令其子转粟以济无告，偏觅甘草黑豆以疗病者。或谓唐得诸梦授云。家居，日画郡中便宜，若虚粮加派，条请苏之。纂郡志，以存实录。郡邑长吏干旌时时过其家，年八十三卒。</w:t>
      </w:r>
    </w:p>
    <w:p w14:paraId="2D1DEB1A">
      <w:pPr>
        <w:ind w:firstLine="422"/>
        <w:rPr>
          <w:rFonts w:ascii="宋体" w:hAnsi="宋体" w:cs="宋体"/>
          <w:b/>
          <w:bCs/>
        </w:rPr>
      </w:pPr>
      <w:r>
        <w:rPr>
          <w:rFonts w:hint="eastAsia" w:ascii="宋体" w:hAnsi="宋体" w:cs="宋体"/>
          <w:b/>
          <w:bCs/>
        </w:rPr>
        <w:t>罗学伊</w:t>
      </w:r>
    </w:p>
    <w:p w14:paraId="6C58BDCB">
      <w:pPr>
        <w:ind w:firstLine="420"/>
        <w:rPr>
          <w:rFonts w:ascii="宋体" w:hAnsi="宋体" w:cs="宋体"/>
        </w:rPr>
      </w:pPr>
      <w:r>
        <w:rPr>
          <w:rFonts w:hint="eastAsia" w:ascii="宋体" w:hAnsi="宋体" w:cs="宋体"/>
        </w:rPr>
        <w:t>罗学伊，字觉卿，号嵩渚，保昌人。家贫力学，屡试冠多士，弟子从游颇众，贫者不取束脯，更解推以资之。父母疾，侍汤药，不解衣带。兄弟怡怡，凡婚配教育咸身任之，数十年后始拆爨，有薛包分财之风。万历时，以岁荐授湖广武昌通判，数转饷京师兼督捕，皆称职。署江夏县篆，簿书鞅掌，卓有风雅。督铸钱局，深裨国计。居林下三十年，齿高德劭，年八十九卒。长子起凤，仕至浔州同知。</w:t>
      </w:r>
    </w:p>
    <w:p w14:paraId="5F5DEE64">
      <w:pPr>
        <w:ind w:firstLine="422"/>
        <w:rPr>
          <w:rFonts w:ascii="宋体" w:hAnsi="宋体" w:cs="宋体"/>
          <w:b/>
          <w:bCs/>
        </w:rPr>
      </w:pPr>
      <w:r>
        <w:rPr>
          <w:rFonts w:hint="eastAsia" w:ascii="宋体" w:hAnsi="宋体" w:cs="宋体"/>
          <w:b/>
          <w:bCs/>
        </w:rPr>
        <w:t>邱文瀚</w:t>
      </w:r>
    </w:p>
    <w:p w14:paraId="077C4E13">
      <w:pPr>
        <w:ind w:firstLine="420"/>
        <w:rPr>
          <w:rFonts w:ascii="宋体" w:hAnsi="宋体" w:cs="宋体"/>
        </w:rPr>
      </w:pPr>
      <w:r>
        <w:rPr>
          <w:rFonts w:hint="eastAsia" w:ascii="宋体" w:hAnsi="宋体" w:cs="宋体"/>
        </w:rPr>
        <w:t>邱文瀚，字浩章，号云崖，保昌人。本成二公之后，原江西吉水县人也。兄弟四人俱以科甲历宦。成二于元时为南雄总管同知，见雄俗醇美，遂家焉。孙复初登永乐辛丑贤书。五传至文瀚，15岁时，随父任广西横州学训。母病笃，剖股以进，至床母死。文瀚泣血，不欲生，又时伏柩下。父见其哀戚，惧狼狈成疾，遂解绶同奔丧归，颇以经史娱之。服阕，年十七补弟子员，又二年甲午（1474年）以《尚书》中成化乡试。比至金陵，负笈商公素庵之门，十载不归，手不释卷。时同族琼山邱公欲以显位荐。文瀚固却，誓以射策取甲科，慰太夫人泉壤。甲辰（1484年），登进士第，授翰林院检讨，父母俱获封赠。凡所为诗赋制诰，颇有台阁气象。亡何，以父丧归，麻衣草履，毁瘠不能起。其后母相继逝世，文瀚谨奉汤药，以待父母之礼待之。每事，绝繁文，敦实行，大复古礼。其居宅横广6丈，直80丈有奇，形家谓可建学，文瀚即让之。今多士蔚起，科第蝉联，世称文瀚之功与范文正媲美矣。再服除，楚吉王奏于朝，加文瀚进阶正四品，中宪大夫，迎教王子。王见其至性忠孝，留邸凡十四载。时年五十五卒于任，整囊中唯古书二三卷，贻家有祭田八九亩耳。王遣官奉柩至雄，仍获谕祭葬焉。</w:t>
      </w:r>
    </w:p>
    <w:p w14:paraId="2D8B807C">
      <w:pPr>
        <w:ind w:firstLine="422"/>
        <w:rPr>
          <w:rFonts w:ascii="宋体" w:hAnsi="宋体" w:cs="宋体"/>
          <w:b/>
          <w:bCs/>
        </w:rPr>
      </w:pPr>
      <w:r>
        <w:rPr>
          <w:rFonts w:hint="eastAsia" w:ascii="宋体" w:hAnsi="宋体" w:cs="宋体"/>
          <w:b/>
          <w:bCs/>
        </w:rPr>
        <w:t>邱云起</w:t>
      </w:r>
    </w:p>
    <w:p w14:paraId="69DE8F21">
      <w:pPr>
        <w:ind w:firstLine="420"/>
        <w:rPr>
          <w:rFonts w:ascii="宋体" w:hAnsi="宋体" w:cs="宋体"/>
        </w:rPr>
      </w:pPr>
      <w:r>
        <w:rPr>
          <w:rFonts w:hint="eastAsia" w:ascii="宋体" w:hAnsi="宋体" w:cs="宋体"/>
        </w:rPr>
        <w:t>邱云起，崇祯庚午（1630年）举人，任兵部主事，与姻亲王明志俱倜傥，尚气节。明末，唐王之弟聿粤由福建入广东，常驻保昌，邱、王两人为之护卫，并奉永明王命，在南雄募兵勤王。清顺治庚寅（1650年），大军平定南雄，邱、王暗中纠合数百人，欲起事投南明。谋泄，清守将诱邱、王至城东关帝庙，劝其归顺，不屈，被杀。</w:t>
      </w:r>
    </w:p>
    <w:p w14:paraId="5552D444">
      <w:pPr>
        <w:ind w:firstLine="422"/>
        <w:rPr>
          <w:rFonts w:ascii="宋体" w:hAnsi="宋体" w:cs="宋体"/>
          <w:b/>
          <w:bCs/>
        </w:rPr>
      </w:pPr>
      <w:r>
        <w:rPr>
          <w:rFonts w:hint="eastAsia" w:ascii="宋体" w:hAnsi="宋体" w:cs="宋体"/>
          <w:b/>
          <w:bCs/>
        </w:rPr>
        <w:t>廖攀龙</w:t>
      </w:r>
    </w:p>
    <w:p w14:paraId="40A70174">
      <w:pPr>
        <w:ind w:firstLine="420"/>
        <w:rPr>
          <w:rFonts w:ascii="宋体" w:hAnsi="宋体" w:cs="宋体"/>
        </w:rPr>
      </w:pPr>
      <w:r>
        <w:rPr>
          <w:rFonts w:hint="eastAsia" w:ascii="宋体" w:hAnsi="宋体" w:cs="宋体"/>
        </w:rPr>
        <w:t>廖攀龙，字矫若，更字于霖，号㤰</w:t>
      </w:r>
      <w:r>
        <w:rPr>
          <w:rFonts w:hint="eastAsia" w:ascii="宋体" w:hAnsi="宋体" w:cs="宋体"/>
        </w:rPr>
        <w:drawing>
          <wp:inline distT="0" distB="0" distL="0" distR="0">
            <wp:extent cx="152400" cy="176530"/>
            <wp:effectExtent l="0" t="0" r="0" b="1397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a:xfrm>
                      <a:off x="0" y="0"/>
                      <a:ext cx="152400" cy="176530"/>
                    </a:xfrm>
                    <a:prstGeom prst="rect">
                      <a:avLst/>
                    </a:prstGeom>
                    <a:noFill/>
                    <a:ln>
                      <a:noFill/>
                    </a:ln>
                  </pic:spPr>
                </pic:pic>
              </a:graphicData>
            </a:graphic>
          </wp:inline>
        </w:drawing>
      </w:r>
      <w:r>
        <w:rPr>
          <w:rFonts w:hint="eastAsia" w:ascii="宋体" w:hAnsi="宋体" w:cs="宋体"/>
        </w:rPr>
        <w:t>。雄城西门街人，征南将军廖永忠之后。生明万历丁酉（1597年），天启丁卯（1627年）举人，丁丑（1637年）进士。出授福建延平府将乐知县，调遵化。清顺治元年（1644年），行取御史，巡视西城。历陕西茶马及巡按直隶、顺、永、保、河等处。顺治五年，卒于浙江乌程县，归葬城东观斗坪。攀龙一生清廉，两袖清风。为官10余年，家中田产极少，居屋数椽。</w:t>
      </w:r>
    </w:p>
    <w:p w14:paraId="6DF1939E">
      <w:pPr>
        <w:ind w:firstLine="422"/>
        <w:rPr>
          <w:rFonts w:ascii="宋体" w:hAnsi="宋体" w:cs="宋体"/>
          <w:b/>
          <w:bCs/>
        </w:rPr>
      </w:pPr>
      <w:r>
        <w:rPr>
          <w:rFonts w:hint="eastAsia" w:ascii="宋体" w:hAnsi="宋体" w:cs="宋体"/>
          <w:b/>
          <w:bCs/>
        </w:rPr>
        <w:t>欧阳思仁</w:t>
      </w:r>
    </w:p>
    <w:p w14:paraId="59929877">
      <w:pPr>
        <w:ind w:firstLine="420"/>
        <w:rPr>
          <w:rFonts w:ascii="宋体" w:hAnsi="宋体" w:cs="宋体"/>
        </w:rPr>
      </w:pPr>
      <w:r>
        <w:rPr>
          <w:rFonts w:hint="eastAsia" w:ascii="宋体" w:hAnsi="宋体" w:cs="宋体"/>
        </w:rPr>
        <w:t>欧阳思仁，篛过人。生于元至元戊寅（1278年）。少壮勤劳王事，每岁躬至南雄守御千户所应差，因置有军田租300百石，军塘1口，军园1片。归里后，广事经营，轻财仗义，乐善好施。明初，创建社学于祠侧，开篛过村办学之先肇。此后，篛过村耕读成风，人文蔚起。“篛过书房”名闻遐迩。清康熙举人、知州欧阳明万为撰庙赞曰：猗欤我祖，名垂遐迩。效力公家，忠勤永矢。创置租业，供应军使。君子有谷，以燕翼子。子孙绳绳，实自公始。庙邈尊严，仰瞻尺咫。公之精英，至今不死。谁为作赞，文孙刺史。登斯堂兮，式恭敬止。</w:t>
      </w:r>
    </w:p>
    <w:p w14:paraId="7B1A0A4B">
      <w:pPr>
        <w:pStyle w:val="5"/>
        <w:rPr>
          <w:rFonts w:ascii="宋体" w:hAnsi="宋体" w:cs="宋体"/>
        </w:rPr>
      </w:pPr>
      <w:r>
        <w:rPr>
          <w:rFonts w:hint="eastAsia" w:ascii="宋体" w:hAnsi="宋体" w:cs="宋体"/>
        </w:rPr>
        <w:t>清代</w:t>
      </w:r>
    </w:p>
    <w:p w14:paraId="2454F6CF">
      <w:pPr>
        <w:ind w:firstLine="422"/>
        <w:rPr>
          <w:rFonts w:ascii="宋体" w:hAnsi="宋体" w:cs="宋体"/>
          <w:b/>
          <w:bCs/>
        </w:rPr>
      </w:pPr>
      <w:r>
        <w:rPr>
          <w:rFonts w:hint="eastAsia" w:ascii="宋体" w:hAnsi="宋体" w:cs="宋体"/>
          <w:b/>
          <w:bCs/>
        </w:rPr>
        <w:t>汪注</w:t>
      </w:r>
    </w:p>
    <w:p w14:paraId="75F51E25">
      <w:pPr>
        <w:ind w:firstLine="420"/>
        <w:rPr>
          <w:rFonts w:ascii="宋体" w:hAnsi="宋体" w:cs="宋体"/>
        </w:rPr>
      </w:pPr>
      <w:r>
        <w:rPr>
          <w:rFonts w:hint="eastAsia" w:ascii="宋体" w:hAnsi="宋体" w:cs="宋体"/>
        </w:rPr>
        <w:t>汪注，州城人，字于东，号建绩，乡饮宾、拔贡维岩长子。性颖慧，善属文。年十四应童子试，郡守世楷陆公期以大成。康熙甲子（1684年）登贤书。丙戌（1700年）任河南汜水令。戊子（1708年）充同考官，得士五人，联捷者二。为政尚简要，催科不扰，听讼随事化导。民多轻生，作歌晓之。尝捐俸赈饥民，活窑压，施棺木，制药饵。公余与汜士讲学课文，</w:t>
      </w:r>
      <w:r>
        <w:rPr>
          <w:rFonts w:hint="eastAsia" w:ascii="宋体" w:hAnsi="宋体" w:cs="宋体"/>
        </w:rPr>
        <w:drawing>
          <wp:inline distT="0" distB="0" distL="0" distR="0">
            <wp:extent cx="357505" cy="195580"/>
            <wp:effectExtent l="0" t="0" r="4445" b="1397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a:xfrm>
                      <a:off x="0" y="0"/>
                      <a:ext cx="357505" cy="195580"/>
                    </a:xfrm>
                    <a:prstGeom prst="rect">
                      <a:avLst/>
                    </a:prstGeom>
                    <a:noFill/>
                    <a:ln>
                      <a:noFill/>
                    </a:ln>
                  </pic:spPr>
                </pic:pic>
              </a:graphicData>
            </a:graphic>
          </wp:inline>
        </w:drawing>
      </w:r>
      <w:r>
        <w:rPr>
          <w:rFonts w:hint="eastAsia" w:ascii="宋体" w:hAnsi="宋体" w:cs="宋体"/>
        </w:rPr>
        <w:t>不倦。汜邑绝科名者六十年，戊子乃有乡荐，人才由是蔚起。辛卯（1711年），以终养致政，邑人揭帜曰：“官清民安”。日进食以抒悃款，洒泣不忍别。及归，惟侍二亲为事，暇则课读，寿七十五卒。</w:t>
      </w:r>
    </w:p>
    <w:p w14:paraId="0BD6F71F">
      <w:pPr>
        <w:ind w:firstLine="422"/>
        <w:rPr>
          <w:rFonts w:ascii="宋体" w:hAnsi="宋体" w:cs="宋体"/>
          <w:b/>
          <w:bCs/>
        </w:rPr>
      </w:pPr>
      <w:r>
        <w:rPr>
          <w:rFonts w:hint="eastAsia" w:ascii="宋体" w:hAnsi="宋体" w:cs="宋体"/>
          <w:b/>
          <w:bCs/>
        </w:rPr>
        <w:t>汪枚</w:t>
      </w:r>
    </w:p>
    <w:p w14:paraId="695C62EE">
      <w:pPr>
        <w:ind w:firstLine="420"/>
        <w:rPr>
          <w:rFonts w:ascii="宋体" w:hAnsi="宋体" w:cs="宋体"/>
        </w:rPr>
      </w:pPr>
      <w:r>
        <w:rPr>
          <w:rFonts w:hint="eastAsia" w:ascii="宋体" w:hAnsi="宋体" w:cs="宋体"/>
        </w:rPr>
        <w:t>汪枚，州城人，字上臣，号瓯亭，注长子。上承庭训，中康熙己卯（1699年）乡试。丙申（1716年）任江南贵池令。下车书“良心难昧”额署。惠爱百姓，不名一钱。寻以病归，士民树去思碑。雍正丙午（1726年）春，补山东寿张令。持已廉介，居心宽厚，制事敏练，折狱平允。充同考官，所授皆知名士。境遇旱涝，捐俸赈济，又为筑堤以防水患。大中丞陈公世琯考语：“操守谨饬，遇事卓有定见，洵属明敏之员，分理一邑，才可优为邑。”士民制衣伞以抒爱戴。以劳卒于官，扶榇归，民遮道泣送。</w:t>
      </w:r>
    </w:p>
    <w:p w14:paraId="6C61C900">
      <w:pPr>
        <w:ind w:firstLine="422"/>
        <w:rPr>
          <w:rFonts w:ascii="宋体" w:hAnsi="宋体" w:cs="宋体"/>
          <w:b/>
          <w:bCs/>
        </w:rPr>
      </w:pPr>
      <w:r>
        <w:rPr>
          <w:rFonts w:hint="eastAsia" w:ascii="宋体" w:hAnsi="宋体" w:cs="宋体"/>
          <w:b/>
          <w:bCs/>
        </w:rPr>
        <w:t>杨家祚</w:t>
      </w:r>
    </w:p>
    <w:p w14:paraId="2CA84794">
      <w:pPr>
        <w:ind w:firstLine="420"/>
        <w:rPr>
          <w:rFonts w:ascii="宋体" w:hAnsi="宋体" w:cs="宋体"/>
        </w:rPr>
      </w:pPr>
      <w:r>
        <w:rPr>
          <w:rFonts w:hint="eastAsia" w:ascii="宋体" w:hAnsi="宋体" w:cs="宋体"/>
        </w:rPr>
        <w:t>杨家祚，字锡庆，号梅庵，聪敏有局干。中康熙庚子（1720年）乡试。雍正庚戌（1730年）简发山西。辛亥（1731年）署乡宁令，督垦荒土，民赖之。邑之碣山多虎患，为祷于城隍，虎遂遁。寻署洪洞，革陋规，修义学，戒讼斗。去任时，万民制衣伞送行。甲寅（1734年），预修晋省通志。旋署灵石县事。县界汾河，春夏间，田庐每遭冲汜。家祚劝筑堤防，水患以息。署平乐，设法催科，贫者代为赔垫。受代去，民制衣伞，画像，留靴，夹道送行。继委赈恤凤台难民，清查被水田地，膺纪录一次。题授临汾二尹，禁私宰、私盐、赌博、窝娼。邑中豪强侵占地亩，勘丈清理。卒于官。囊橐萧然。在晋10年，著循良声。</w:t>
      </w:r>
    </w:p>
    <w:p w14:paraId="7B7CF362">
      <w:pPr>
        <w:ind w:firstLine="422"/>
        <w:rPr>
          <w:rFonts w:ascii="宋体" w:hAnsi="宋体" w:cs="宋体"/>
          <w:b/>
          <w:bCs/>
        </w:rPr>
      </w:pPr>
      <w:r>
        <w:rPr>
          <w:rFonts w:hint="eastAsia" w:ascii="宋体" w:hAnsi="宋体" w:cs="宋体"/>
          <w:b/>
          <w:bCs/>
        </w:rPr>
        <w:t>董步闻</w:t>
      </w:r>
    </w:p>
    <w:p w14:paraId="56532B37">
      <w:pPr>
        <w:ind w:firstLine="420"/>
        <w:rPr>
          <w:rFonts w:ascii="宋体" w:hAnsi="宋体" w:cs="宋体"/>
        </w:rPr>
      </w:pPr>
      <w:r>
        <w:rPr>
          <w:rFonts w:hint="eastAsia" w:ascii="宋体" w:hAnsi="宋体" w:cs="宋体"/>
        </w:rPr>
        <w:t>董步闻，州城仁和街人。字友灏，父子晋。家学渊源，登康熙甲子（1684年贤书，部铨已及，因父衰老，依依膝下。丁亥，服阕，选授直隶庆都令。庆都地瘠民贫，先时征役繁扰，哀鸿遍野，茹草树根皮，民不聊生。步闻下车，痛除积弊，贷廪劝耕，免征比三年，刑清政简，票不入乡，与民休息。又捐俸建义学，训习英俊，复置田3.33公顷为修火资。上官深嘉之。乙未，行取户部山东主事。卒于官。</w:t>
      </w:r>
    </w:p>
    <w:p w14:paraId="007BCEE3">
      <w:pPr>
        <w:ind w:firstLine="422"/>
        <w:rPr>
          <w:rFonts w:ascii="宋体" w:hAnsi="宋体" w:cs="宋体"/>
          <w:b/>
          <w:bCs/>
        </w:rPr>
      </w:pPr>
      <w:r>
        <w:rPr>
          <w:rFonts w:hint="eastAsia" w:ascii="宋体" w:hAnsi="宋体" w:cs="宋体"/>
          <w:b/>
          <w:bCs/>
        </w:rPr>
        <w:t>李朝楠</w:t>
      </w:r>
    </w:p>
    <w:p w14:paraId="078082F3">
      <w:pPr>
        <w:ind w:firstLine="420"/>
        <w:rPr>
          <w:rFonts w:ascii="宋体" w:hAnsi="宋体" w:cs="宋体"/>
        </w:rPr>
      </w:pPr>
      <w:r>
        <w:rPr>
          <w:rFonts w:hint="eastAsia" w:ascii="宋体" w:hAnsi="宋体" w:cs="宋体"/>
        </w:rPr>
        <w:t>李朝楠，字豫材，新田人。文学优瞻，游府庠，食饩。雍正癸卯（1723年），学院惠士奇考选明经。乾隆己未（1739年），授三水教谕。训课精勤，规条严密，与诸生相接以道义，不计修脯。捐俸修凤岗书院，讲学其间，一时士习文风翕然丕变。生平仗义轻财，尝倡建唐大司徒金马祖祠，施药饵，造桥梁，捐社谷。家居仕宦，俱于人有裨云。</w:t>
      </w:r>
    </w:p>
    <w:p w14:paraId="5B29A187">
      <w:pPr>
        <w:ind w:firstLine="422"/>
        <w:rPr>
          <w:rFonts w:ascii="宋体" w:hAnsi="宋体" w:cs="宋体"/>
          <w:b/>
          <w:bCs/>
        </w:rPr>
      </w:pPr>
      <w:r>
        <w:rPr>
          <w:rFonts w:hint="eastAsia" w:ascii="宋体" w:hAnsi="宋体" w:cs="宋体"/>
          <w:b/>
          <w:bCs/>
        </w:rPr>
        <w:t>罗士楙</w:t>
      </w:r>
    </w:p>
    <w:p w14:paraId="263CB9F1">
      <w:pPr>
        <w:ind w:firstLine="420"/>
        <w:rPr>
          <w:rFonts w:ascii="宋体" w:hAnsi="宋体" w:cs="宋体"/>
        </w:rPr>
      </w:pPr>
      <w:r>
        <w:rPr>
          <w:rFonts w:hint="eastAsia" w:ascii="宋体" w:hAnsi="宋体" w:cs="宋体"/>
        </w:rPr>
        <w:t>罗士楙（1794-1876），字益予，号朴山，南雄城人，诰封朝议大夫。生乾隆甲寅（1794年）。父罗点弦，庠生。士楙早年从父学，及长弃儒从贾，经营纸行。坚持以诚信无欺为宗旨，在商界颇有声誉，生意兴隆，渐成纸业巨子。乃率子孙在佛山开设福安正纸行，在南雄、南安、百顺开设分行，为南雄土纸大开购销门路。长子复元在南安，信誉可嘉。次子仲棠（庠生，候补盐场）在佛山，经营有方，是个有名的儒商，其子锡煌（廪贡），光绪末出任罗定县商会坐办10余年。士楙四子德聪宦游福建，历署江阴、福清、诏安等盐场，归化、福安、长泰等县知县，居官清廉，所至有声。闽江下游水灾，捐米200余石赈济。</w:t>
      </w:r>
    </w:p>
    <w:p w14:paraId="11BD77F4">
      <w:pPr>
        <w:ind w:firstLine="420"/>
        <w:rPr>
          <w:rFonts w:ascii="宋体" w:hAnsi="宋体" w:cs="宋体"/>
        </w:rPr>
      </w:pPr>
      <w:r>
        <w:rPr>
          <w:rFonts w:hint="eastAsia" w:ascii="宋体" w:hAnsi="宋体" w:cs="宋体"/>
        </w:rPr>
        <w:t>士楙一家，不仅经商诚信，为仕清廉，且急公好义，乐善好施。“有称贷无不许，力不偿者则焚其券，周济贫困戚党中待以举火者数十家”；“修道路建桥梁，以恤嫠平粜诸善举，无不捐赀为闾里倡”。堪称一方善士。同治、光绪年间，广东、湖北、云南等省巡抚都曾撰文为士楙祝寿。光绪丙子（1876年）卒，寿八十三。</w:t>
      </w:r>
    </w:p>
    <w:p w14:paraId="1753277F">
      <w:pPr>
        <w:ind w:firstLine="422"/>
        <w:rPr>
          <w:rFonts w:ascii="宋体" w:hAnsi="宋体" w:cs="宋体"/>
          <w:b/>
          <w:bCs/>
        </w:rPr>
      </w:pPr>
      <w:r>
        <w:rPr>
          <w:rFonts w:hint="eastAsia" w:ascii="宋体" w:hAnsi="宋体" w:cs="宋体"/>
          <w:b/>
          <w:bCs/>
        </w:rPr>
        <w:t>莫百康</w:t>
      </w:r>
    </w:p>
    <w:p w14:paraId="311AC536">
      <w:pPr>
        <w:ind w:firstLine="420"/>
        <w:rPr>
          <w:rFonts w:ascii="宋体" w:hAnsi="宋体" w:cs="宋体"/>
        </w:rPr>
      </w:pPr>
      <w:r>
        <w:rPr>
          <w:rFonts w:hint="eastAsia" w:ascii="宋体" w:hAnsi="宋体" w:cs="宋体"/>
        </w:rPr>
        <w:t>莫百康，字达衢，南雄城人。咸丰间国学生，诰授奉政大夫，候补军民府。因淡于仕途，弃读经商，出入数年，资逾巨万。富而不吝，急公好义。咸丰八年（1858年），因腐败而内讧的太平军流窜南雄，直逼城下。城内守兵残弱不堪战守，人心浮动，情势危急。莫百康挺身而起，慨捐巨饷，为绅民倡募乡勇，组成雄武军，分兵防守。又率子侄街邻靴刀短服，登陴守望。四乡避寇入城者，莫百康尽力接纳，空宅以居之，分薪米以赈之。历数月，韶州兵到，城围解去。莫百康因功得六品顶戴奖赏。至于地方义举，莫百康无不解囊捐献，鼎力相助。</w:t>
      </w:r>
    </w:p>
    <w:p w14:paraId="1859772B">
      <w:pPr>
        <w:ind w:firstLine="420"/>
        <w:rPr>
          <w:rFonts w:ascii="宋体" w:hAnsi="宋体" w:cs="宋体"/>
        </w:rPr>
      </w:pPr>
      <w:r>
        <w:rPr>
          <w:rFonts w:hint="eastAsia" w:ascii="宋体" w:hAnsi="宋体" w:cs="宋体"/>
        </w:rPr>
        <w:t>其子莫龄樟，增贡，候选同知，诰授奉政大夫，慨然有父风。光绪戊寅（1878年），南雄大旱，米价昂贵，城中殷富乘机囤积居奇，有人聚众抢掠。莫龄樟率众绅商与州牧计议，挪借巨款，亲赴赣南乞籴，赈济</w:t>
      </w:r>
      <w:r>
        <w:rPr>
          <w:rFonts w:hint="eastAsia" w:ascii="宋体" w:hAnsi="宋体" w:cs="宋体"/>
          <w:lang w:val="en-US" w:eastAsia="zh-CN"/>
        </w:rPr>
        <w:t>受</w:t>
      </w:r>
      <w:r>
        <w:rPr>
          <w:rFonts w:hint="eastAsia" w:ascii="宋体" w:hAnsi="宋体" w:cs="宋体"/>
        </w:rPr>
        <w:t>灾</w:t>
      </w:r>
      <w:r>
        <w:rPr>
          <w:rFonts w:hint="eastAsia" w:ascii="宋体" w:hAnsi="宋体" w:cs="宋体"/>
          <w:lang w:val="en-US" w:eastAsia="zh-CN"/>
        </w:rPr>
        <w:t>群众</w:t>
      </w:r>
      <w:r>
        <w:rPr>
          <w:rFonts w:hint="eastAsia" w:ascii="宋体" w:hAnsi="宋体" w:cs="宋体"/>
        </w:rPr>
        <w:t>，地方赖以安定。对慈善公益事业，数十年力行不倦。</w:t>
      </w:r>
    </w:p>
    <w:p w14:paraId="339E3FA3">
      <w:pPr>
        <w:ind w:firstLine="422"/>
        <w:rPr>
          <w:rFonts w:ascii="宋体" w:hAnsi="宋体" w:cs="宋体"/>
          <w:b/>
          <w:bCs/>
        </w:rPr>
      </w:pPr>
      <w:r>
        <w:rPr>
          <w:rFonts w:hint="eastAsia" w:ascii="宋体" w:hAnsi="宋体" w:cs="宋体"/>
          <w:b/>
          <w:bCs/>
        </w:rPr>
        <w:t>罗世馨</w:t>
      </w:r>
    </w:p>
    <w:p w14:paraId="75F6DB01">
      <w:pPr>
        <w:ind w:firstLine="420"/>
        <w:rPr>
          <w:rFonts w:ascii="宋体" w:hAnsi="宋体" w:cs="宋体"/>
        </w:rPr>
      </w:pPr>
      <w:r>
        <w:rPr>
          <w:rFonts w:hint="eastAsia" w:ascii="宋体" w:hAnsi="宋体" w:cs="宋体"/>
        </w:rPr>
        <w:t>罗世馨（1857-1921），字兰芬，号芗溆，雄城世显街人。生于咸丰丁巳（1857年）。州庠生，报捐盐场，指分福建，历充盐务要差。在任清廉刚正，日理盐钱，不假贪占。光绪十五年（1889年），闽浙总督卞宝第大计福建官吏，张榜公布考察结果，榜中获优等评语“刚正不阿”的，全省仅3人，世馨名列其中。次年，擢署永春州同知，政绩斐然。1921年卒葬福州，享年65岁。</w:t>
      </w:r>
    </w:p>
    <w:p w14:paraId="4357BC7F">
      <w:pPr>
        <w:ind w:firstLine="422"/>
        <w:rPr>
          <w:rFonts w:ascii="宋体" w:hAnsi="宋体" w:cs="宋体"/>
          <w:b/>
          <w:bCs/>
        </w:rPr>
      </w:pPr>
      <w:r>
        <w:rPr>
          <w:rFonts w:hint="eastAsia" w:ascii="宋体" w:hAnsi="宋体" w:cs="宋体"/>
          <w:b/>
          <w:bCs/>
        </w:rPr>
        <w:t>廖芾</w:t>
      </w:r>
    </w:p>
    <w:p w14:paraId="6D1B2F41">
      <w:pPr>
        <w:ind w:firstLine="420"/>
        <w:rPr>
          <w:rFonts w:ascii="宋体" w:hAnsi="宋体" w:cs="宋体"/>
        </w:rPr>
      </w:pPr>
      <w:r>
        <w:rPr>
          <w:rFonts w:hint="eastAsia" w:ascii="宋体" w:hAnsi="宋体" w:cs="宋体"/>
        </w:rPr>
        <w:t>廖芾（1843-1919），字伯棠，号树南，南雄城西门街人，明德庆候、征南将军廖永忠之后。生于清道光二十三年（1843年），附贡生，州同衔，加捐巡检。历充福建厦门保甲局、通商局事务，曾任文闱场受卷对读官，署理福宁府经历，署理霞浦同安县右堂兼署督粮厅。因不满时政，弃官归里。为官数十年，田不满百，屋只数椽。</w:t>
      </w:r>
    </w:p>
    <w:p w14:paraId="4DA8F89A">
      <w:pPr>
        <w:ind w:firstLine="420"/>
        <w:rPr>
          <w:rFonts w:ascii="宋体" w:hAnsi="宋体" w:cs="宋体"/>
        </w:rPr>
      </w:pPr>
      <w:r>
        <w:rPr>
          <w:rFonts w:hint="eastAsia" w:ascii="宋体" w:hAnsi="宋体" w:cs="宋体"/>
        </w:rPr>
        <w:t>廖芾回乡后，热心公益事业。倡建义仓，维持民食。又倡建新街（今大成街），以助资科。光绪二十九年（1903年），在大南门右侧城垣创建腾蛟阁（六角亭）、曲成台、倚翠亭、起凤楼，并在起凤楼陈设图书以供众览。</w:t>
      </w:r>
    </w:p>
    <w:p w14:paraId="1846B018">
      <w:pPr>
        <w:ind w:firstLine="420"/>
        <w:rPr>
          <w:rFonts w:ascii="宋体" w:hAnsi="宋体" w:cs="宋体"/>
        </w:rPr>
      </w:pPr>
      <w:r>
        <w:rPr>
          <w:rFonts w:hint="eastAsia" w:ascii="宋体" w:hAnsi="宋体" w:cs="宋体"/>
        </w:rPr>
        <w:t>廖芾为人秉直，屡抗赃官，两次监危，后蒙伸雪。官府惮之，县民敬之。民国8年（1919年）病逝，寿七十六。葬礼甚隆，送葬者队伍长达里许。有乡绅挽联云：建义仓筑书楼，民食文风咸利赖；弃尘凡登仙岛，浈山凌水动哀思。</w:t>
      </w:r>
    </w:p>
    <w:p w14:paraId="39B8DABC">
      <w:pPr>
        <w:ind w:firstLine="422"/>
        <w:rPr>
          <w:rFonts w:ascii="宋体" w:hAnsi="宋体" w:cs="宋体"/>
          <w:b/>
          <w:bCs/>
        </w:rPr>
      </w:pPr>
      <w:r>
        <w:rPr>
          <w:rFonts w:hint="eastAsia" w:ascii="宋体" w:hAnsi="宋体" w:cs="宋体"/>
          <w:b/>
          <w:bCs/>
        </w:rPr>
        <w:t>陈一刀</w:t>
      </w:r>
    </w:p>
    <w:p w14:paraId="18499B3C">
      <w:pPr>
        <w:ind w:firstLine="420"/>
        <w:rPr>
          <w:rFonts w:ascii="宋体" w:hAnsi="宋体" w:cs="宋体"/>
        </w:rPr>
      </w:pPr>
      <w:r>
        <w:rPr>
          <w:rFonts w:hint="eastAsia" w:ascii="宋体" w:hAnsi="宋体" w:cs="宋体"/>
        </w:rPr>
        <w:t>陈一刀，本名嘉万，雄州水南人，先祖于明末从福建上杭迁来，世业中医。嘉万自幼颖悟，及长医术精斟，尤擅外科，且以治病救人为己任，医德高尚。</w:t>
      </w:r>
    </w:p>
    <w:p w14:paraId="19960B09">
      <w:pPr>
        <w:ind w:firstLine="420"/>
        <w:rPr>
          <w:rFonts w:ascii="宋体" w:hAnsi="宋体" w:cs="宋体"/>
        </w:rPr>
      </w:pPr>
      <w:r>
        <w:rPr>
          <w:rFonts w:hint="eastAsia" w:ascii="宋体" w:hAnsi="宋体" w:cs="宋体"/>
        </w:rPr>
        <w:t>清康熙间，有一高官自省城来雄，腿疾发作，痛苦万状，雄城医生多不敢医治，后慕嘉万名而求医。嘉万先给药口服，继以刀割其腐肉，洗以药水，再敷药粉，当日止痛，次日起坐，不数日而愈。于是嘉万名闻遐迩，凡属疮毒，刀入病除，人们遂以“陈一刀”称颂之。嘉万家贫，无药房商号，乡邻父老受其益者大书“万安堂”名其居室。</w:t>
      </w:r>
    </w:p>
    <w:p w14:paraId="4A2EC522">
      <w:pPr>
        <w:ind w:firstLine="420"/>
        <w:rPr>
          <w:rFonts w:ascii="宋体" w:hAnsi="宋体" w:cs="宋体"/>
        </w:rPr>
      </w:pPr>
      <w:r>
        <w:rPr>
          <w:rFonts w:hint="eastAsia" w:ascii="宋体" w:hAnsi="宋体" w:cs="宋体"/>
        </w:rPr>
        <w:t>嘉万天性恬淡，医病不计报酬，对贫者常赠药以救济。行医一生，积蓄甚微，除药箱外别无长物。其子景煃，孙舜均、舜附，曾孙有化，玄孙昌利，都继承家传医学，世人通称“陈一刀”而不知其名。</w:t>
      </w:r>
    </w:p>
    <w:p w14:paraId="1C45C1EB">
      <w:pPr>
        <w:ind w:firstLine="420"/>
        <w:rPr>
          <w:rFonts w:ascii="宋体" w:hAnsi="宋体" w:cs="宋体"/>
        </w:rPr>
      </w:pPr>
      <w:r>
        <w:rPr>
          <w:rFonts w:hint="eastAsia" w:ascii="宋体" w:hAnsi="宋体" w:cs="宋体"/>
        </w:rPr>
        <w:t>道光十年（1830年），南雄州都司杨映奎之妻疽发于身，久治不愈，束手待毙，后求陈昌利医治，昌利奏刀而愈。都司不胜感激，赠匾云：“术妙如佗”。</w:t>
      </w:r>
    </w:p>
    <w:p w14:paraId="2D1C0A5C">
      <w:pPr>
        <w:ind w:firstLine="420"/>
        <w:rPr>
          <w:rFonts w:ascii="宋体" w:hAnsi="宋体" w:cs="宋体"/>
        </w:rPr>
      </w:pPr>
      <w:r>
        <w:rPr>
          <w:rFonts w:hint="eastAsia" w:ascii="宋体" w:hAnsi="宋体" w:cs="宋体"/>
        </w:rPr>
        <w:t>传至陈文洵，字仰苏，号波仙，庠生，精通医理，德高望重，名闻南韶连。韶州府道台夫人背疽，久治不效，群医東手。道台得知文洵医术高明，乃派专人来雄恭请，郊迎十里，术至病除。民国初年，驻雄北伐军团长刘鼎，突患重病，生命垂危，文洵用药数剂即愈。刘鼎极赞其神，赠匾“功参造化”。晚年传术于侄陈明炜及婿肖世济，均成名医，闻于城乡。</w:t>
      </w:r>
    </w:p>
    <w:p w14:paraId="00315849">
      <w:pPr>
        <w:ind w:firstLine="422"/>
        <w:rPr>
          <w:rFonts w:ascii="宋体" w:hAnsi="宋体" w:cs="宋体"/>
          <w:b/>
          <w:bCs/>
        </w:rPr>
      </w:pPr>
      <w:r>
        <w:rPr>
          <w:rFonts w:hint="eastAsia" w:ascii="宋体" w:hAnsi="宋体" w:cs="宋体"/>
          <w:b/>
          <w:bCs/>
        </w:rPr>
        <w:t>叶廷荣</w:t>
      </w:r>
    </w:p>
    <w:p w14:paraId="67812509">
      <w:pPr>
        <w:ind w:firstLine="420"/>
        <w:rPr>
          <w:rFonts w:ascii="宋体" w:hAnsi="宋体" w:cs="宋体"/>
        </w:rPr>
      </w:pPr>
      <w:r>
        <w:rPr>
          <w:rFonts w:hint="eastAsia" w:ascii="宋体" w:hAnsi="宋体" w:cs="宋体"/>
        </w:rPr>
        <w:t>叶廷荣，州人，原居乌迳新田，清嘉庆间迁州城。例捐州同。性醇谨，乐善好施。闻有美举辄身先为倡。嘉庆戊辰（1808年）重修圣庙，首输银千两。庚午（1810年）易太平桥为石梁，捐银五百两。复以银四百两增道南书院膏火租谷一百石，为岁试首一等者磨励资。又捐资砌河南岭路至修仁二十余里。百制军、韩抚军、州牧戴锡纶、罗含章皆奖以匾额。</w:t>
      </w:r>
    </w:p>
    <w:p w14:paraId="777B6147">
      <w:pPr>
        <w:ind w:firstLine="420"/>
        <w:rPr>
          <w:rFonts w:ascii="宋体" w:hAnsi="宋体" w:cs="宋体"/>
        </w:rPr>
      </w:pPr>
      <w:r>
        <w:rPr>
          <w:rFonts w:hint="eastAsia" w:ascii="宋体" w:hAnsi="宋体" w:cs="宋体"/>
        </w:rPr>
        <w:t>初，甚贫，以居积起家，自奉恒俭约。顾见义必为推解不吝。有负债者，察其窘，即焚所质券。生平以退让为准绳，故未尝兴讼，乡里贤之。岁戊寅（1818年），闻修州志，愿捐刊费百千。阅道光癸未（1823年），志成，已先卒。子德全，州学弟子员，方逾冠，乃承厥志，请独任梓人值凡五百金。群谓渐于义方而然，又以为善人有后云。</w:t>
      </w:r>
    </w:p>
    <w:p w14:paraId="273D89FC">
      <w:pPr>
        <w:ind w:firstLine="420"/>
        <w:rPr>
          <w:rFonts w:ascii="宋体" w:hAnsi="宋体" w:cs="宋体"/>
        </w:rPr>
      </w:pPr>
      <w:r>
        <w:rPr>
          <w:rFonts w:hint="eastAsia" w:ascii="宋体" w:hAnsi="宋体" w:cs="宋体"/>
        </w:rPr>
        <w:t>晚年尤重家教，在巨宅九井十八厅内设双峰书室，收藏《四库全书》等各类图书，延师办塾。子孙力学，科第连绵。长孙叶善堂，道光二十四年进士，累官福州知府、贵州按察使。</w:t>
      </w:r>
    </w:p>
    <w:p w14:paraId="567EA189">
      <w:pPr>
        <w:pStyle w:val="5"/>
        <w:rPr>
          <w:rFonts w:ascii="宋体" w:hAnsi="宋体" w:cs="宋体"/>
        </w:rPr>
      </w:pPr>
      <w:r>
        <w:rPr>
          <w:rFonts w:hint="eastAsia" w:ascii="宋体" w:hAnsi="宋体" w:cs="宋体"/>
        </w:rPr>
        <w:t>近、现代</w:t>
      </w:r>
    </w:p>
    <w:p w14:paraId="7371A40B">
      <w:pPr>
        <w:ind w:firstLine="422"/>
        <w:rPr>
          <w:rFonts w:ascii="宋体" w:hAnsi="宋体" w:cs="宋体"/>
          <w:b/>
          <w:bCs/>
        </w:rPr>
      </w:pPr>
      <w:r>
        <w:rPr>
          <w:rFonts w:hint="eastAsia" w:ascii="宋体" w:hAnsi="宋体" w:cs="宋体"/>
          <w:b/>
          <w:bCs/>
        </w:rPr>
        <w:t>麦彝宪</w:t>
      </w:r>
    </w:p>
    <w:p w14:paraId="57B2D0A8">
      <w:pPr>
        <w:ind w:firstLine="420"/>
        <w:rPr>
          <w:rFonts w:ascii="宋体" w:hAnsi="宋体" w:cs="宋体"/>
        </w:rPr>
      </w:pPr>
      <w:r>
        <w:rPr>
          <w:rFonts w:hint="eastAsia" w:ascii="宋体" w:hAnsi="宋体" w:cs="宋体"/>
        </w:rPr>
        <w:t>麦彝宪（1876-1912），字培生，教名麦笃臣，南雄城牛筋街人。隋宿国公、右屯位大将军麦铁杖之后，清道光举人麦烈芳之孙，辛亥革命烈士。彝宪少年学业精进，十八岁入庠（秀才）。不幸因其父经商破产，削发出家，自感仕途无望，乃加入基督教，考入广州芳村神道学校。在学期间接受民主革命思想，聆听孙中山演说。1896年毕业后，到香港教堂参观实习，结识郑士良等革命志士。而后被派往仁化县教堂传教，经常来往于仁化与广州、香港之间，积极参与孙中山领导的民主革命，加入兴中会。1900年10月，参加孙中山、郑士良领导的惠州三洲田（今深圳市盐田区）起义。1905年加入同盟会。1908年举家迁往澳门，在孙中山之兄孙眉领导下，积极准备武装起义。因麦彝宪革命热情甚高，有其始祖铁杖忠烈之遗风，谙武艺，善用双刀，深为孙眉赏识，被指派负责训练起义志士，制造弹药，管理枪械，并联络粤北连江口一带绿林人士。</w:t>
      </w:r>
    </w:p>
    <w:p w14:paraId="42CB9DB8">
      <w:pPr>
        <w:ind w:firstLine="420"/>
        <w:rPr>
          <w:rFonts w:ascii="宋体" w:hAnsi="宋体" w:cs="宋体"/>
        </w:rPr>
      </w:pPr>
      <w:r>
        <w:rPr>
          <w:rFonts w:hint="eastAsia" w:ascii="宋体" w:hAnsi="宋体" w:cs="宋体"/>
        </w:rPr>
        <w:t>1910年11月，孙中山在槟榔屿召集会议，决定在广州发动起义。1911年1月，在香港设立起义总机关一统筹部，以黄兴为部长，组织八百人的敢死队，运送武器弹药到广州，设立秘密据点38处。麦彝宪参加了敢死队，以教徒身份派往广州小北路设置秘密据点，从澳门向广州运送大批军械。</w:t>
      </w:r>
    </w:p>
    <w:p w14:paraId="261406F7">
      <w:pPr>
        <w:ind w:firstLine="420"/>
        <w:rPr>
          <w:rFonts w:ascii="宋体" w:hAnsi="宋体" w:cs="宋体"/>
        </w:rPr>
      </w:pPr>
      <w:r>
        <w:rPr>
          <w:rFonts w:hint="eastAsia" w:ascii="宋体" w:hAnsi="宋体" w:cs="宋体"/>
        </w:rPr>
        <w:t>1911年4月8日，飞机设计师、飞行家冯如在广州燕塘作飞行表演，广州将军孚琦等官员前往参观。同盟会员温生才乘机突袭，孚琦应枪毙命，而生才目标暴露，处境危急。麦彝宪见状，临危而起，毅然鸣枪掩护温生才撤退，终因寡不敌众，温生才不幸被俘遇难。</w:t>
      </w:r>
    </w:p>
    <w:p w14:paraId="5F9E821E">
      <w:pPr>
        <w:ind w:firstLine="420"/>
        <w:rPr>
          <w:rFonts w:ascii="宋体" w:hAnsi="宋体" w:cs="宋体"/>
        </w:rPr>
      </w:pPr>
      <w:r>
        <w:rPr>
          <w:rFonts w:hint="eastAsia" w:ascii="宋体" w:hAnsi="宋体" w:cs="宋体"/>
        </w:rPr>
        <w:t>1911年4月27日，麦彝宪参加黄兴领导的广州起义，攻打总督府。由于准备不足，孤军作战，起义失败，革命志士损失惨重，事后得烈士遗体72具葬于黄花岗，是为黄花岗七十二烈士。</w:t>
      </w:r>
    </w:p>
    <w:p w14:paraId="477AB70C">
      <w:pPr>
        <w:ind w:firstLine="420"/>
        <w:rPr>
          <w:rFonts w:ascii="宋体" w:hAnsi="宋体" w:cs="宋体"/>
        </w:rPr>
      </w:pPr>
      <w:r>
        <w:rPr>
          <w:rFonts w:hint="eastAsia" w:ascii="宋体" w:hAnsi="宋体" w:cs="宋体"/>
        </w:rPr>
        <w:t>起义失败后，清军四处搜捕革命党人。麦彝宪乃撤至澳门隐蔽，在民军石字营中任参军长，积极准备再次起义。</w:t>
      </w:r>
    </w:p>
    <w:p w14:paraId="7E3F6442">
      <w:pPr>
        <w:ind w:firstLine="420"/>
        <w:rPr>
          <w:rFonts w:ascii="宋体" w:hAnsi="宋体" w:cs="宋体"/>
        </w:rPr>
      </w:pPr>
      <w:r>
        <w:rPr>
          <w:rFonts w:hint="eastAsia" w:ascii="宋体" w:hAnsi="宋体" w:cs="宋体"/>
        </w:rPr>
        <w:t>1911年10月，武昌起义成功。11月，广东宣布共和独立，胡汉民任广东都督。12月，胡跟随孙中山北上，陈炯明代理广东都督。陈上任后，为扩展私人势力，排除异己，打压各地民军。1912年2月，陈以“屡抗命令，扰害治安”等罪民，枪杀石字营民军首领石锦泉，指使亲信诱捕麦彝宪于澳门。10月，陈炯明下令枪决麦彝宪于广州东校场，麦时年仅36岁。遗体原葬于革命烈士温生才墓侧，后由遗孀何秀云将遗骨迁回南雄城西麦公行安葬。</w:t>
      </w:r>
    </w:p>
    <w:p w14:paraId="28321A01">
      <w:pPr>
        <w:ind w:firstLine="420"/>
        <w:rPr>
          <w:rFonts w:ascii="宋体" w:hAnsi="宋体" w:cs="宋体"/>
        </w:rPr>
      </w:pPr>
      <w:r>
        <w:rPr>
          <w:rFonts w:hint="eastAsia" w:ascii="宋体" w:hAnsi="宋体" w:cs="宋体"/>
        </w:rPr>
        <w:t>1927年，中国国民党中央政治局会议广州政治分会主席李济深主持正义，对麦彝宪案组织专案调查，确认为冤案，决定予以平反昭雪，追认麦彝宪为辛亥革命烈士，国民政府发给家属抚恤金，任命其子麦鼎勋为广州政治分会宣传室主任（另传）。</w:t>
      </w:r>
    </w:p>
    <w:p w14:paraId="1A5B3C75">
      <w:pPr>
        <w:ind w:firstLine="422"/>
        <w:rPr>
          <w:rFonts w:ascii="宋体" w:hAnsi="宋体" w:cs="宋体"/>
          <w:b/>
          <w:bCs/>
        </w:rPr>
      </w:pPr>
      <w:r>
        <w:rPr>
          <w:rFonts w:hint="eastAsia" w:ascii="宋体" w:hAnsi="宋体" w:cs="宋体"/>
          <w:b/>
          <w:bCs/>
        </w:rPr>
        <w:t>卢焜</w:t>
      </w:r>
    </w:p>
    <w:p w14:paraId="0AAD2212">
      <w:pPr>
        <w:ind w:firstLine="420"/>
        <w:rPr>
          <w:rFonts w:ascii="宋体" w:hAnsi="宋体" w:cs="宋体"/>
        </w:rPr>
      </w:pPr>
      <w:r>
        <w:rPr>
          <w:rFonts w:hint="eastAsia" w:ascii="宋体" w:hAnsi="宋体" w:cs="宋体"/>
        </w:rPr>
        <w:t>卢焜（？-1927），字藜青。古市镇小水村人，为南雄一方富豪。民国13年（1924年），奔走于滇军师长赵成梁门下，多方钻营，被省署委任为南雄县城乡团防局长。卢焜上任后以筹措团防经费名义，增派捐税，虚报团防兵员，大吃空额。是年，土匪抢劫三角岭村，卢不派团兵出击，事后却派团兵进村勒索军饷。匪去兵来，民不堪其苦。区、乡捕得土匪，亦往往因卢焜得贿而被放纵，人民群众对卢恨之入骨。民国14年9月，曾有进步青年以“南雄公民”的名义发表《驱卢宣言》。</w:t>
      </w:r>
    </w:p>
    <w:p w14:paraId="61538797">
      <w:pPr>
        <w:ind w:firstLine="420"/>
        <w:rPr>
          <w:rFonts w:ascii="宋体" w:hAnsi="宋体" w:cs="宋体"/>
        </w:rPr>
      </w:pPr>
      <w:r>
        <w:rPr>
          <w:rFonts w:hint="eastAsia" w:ascii="宋体" w:hAnsi="宋体" w:cs="宋体"/>
        </w:rPr>
        <w:t>民国16年，“四一二”反革命政变后，白色恐怖笼罩全国，卢焜派武装人员封闭总工会、农民协会、革命青年联合会、妇女解放协会。中共南雄县委决定为人民除此大害，作出诱杀卢馄计划。是年12月15日晚，由省立南雄中学学生会主席欧阳璋出面，在县城美香馆酒楼宴请卢焜，共产党员卢世英率30多名农民自卫军，埋伏于酒楼附近。卢焜不知是计，前去赴宴，酒酣之际，被农民自卫军当场刺死。</w:t>
      </w:r>
    </w:p>
    <w:p w14:paraId="55925250">
      <w:pPr>
        <w:ind w:firstLine="422"/>
        <w:rPr>
          <w:rFonts w:ascii="宋体" w:hAnsi="宋体" w:cs="宋体"/>
          <w:b/>
          <w:bCs/>
        </w:rPr>
      </w:pPr>
      <w:r>
        <w:rPr>
          <w:rFonts w:hint="eastAsia" w:ascii="宋体" w:hAnsi="宋体" w:cs="宋体"/>
          <w:b/>
          <w:bCs/>
        </w:rPr>
        <w:t>邱金成</w:t>
      </w:r>
    </w:p>
    <w:p w14:paraId="79086132">
      <w:pPr>
        <w:ind w:firstLine="420"/>
        <w:rPr>
          <w:rFonts w:ascii="宋体" w:hAnsi="宋体" w:cs="宋体"/>
        </w:rPr>
      </w:pPr>
      <w:r>
        <w:rPr>
          <w:rFonts w:hint="eastAsia" w:ascii="宋体" w:hAnsi="宋体" w:cs="宋体"/>
        </w:rPr>
        <w:t>邱金成（1871-1942），学名耀銮，字鸣廷，号年福，全安镇廓公岭村人，清优附贡生。1932年出任南雄县首届参议会参议员，“名重胶庠，望孚乡党”。民国17年（1928年）1月，继承其父邱英明（光绪贡生）遗训，以教育为职志，自筹资金，并得丘氏公尝捐助，在廓公岭创办私立英明工读学校。民国19年，改为英明职业中学。校内设应用化学系，置化妆品、卷烟、制枧、皮革、造纸等专业；织染系置织布、织袜、织毛巾等专业，后又增设园艺科。全校7个班，学生多时达280余人。邱金成一家三代为英明学校竭力尽心。邱金成曾任校长10年，直至逝世。长子邱拔龙，国立广东高等师范毕业，继任校长。次子邱拔麟，广州国民大学毕业，历任南雄教育会长、县参议会后补参议员，在英明学校任教导主任。三子邱拔熊，广东省立工业专门学校毕业，南雄县参议会参议员，继其兄在英明学校任教导主任。四子邱拔骥，广东省立工业专门学校毕业，任英明学校教员。金成之孙萃华、萃芸都在英明学校任教。民国26年，英明学校停办。民国32年复办，至民国37年冬又停办。该校前后实办13年，为地方造就数百实业人才。</w:t>
      </w:r>
    </w:p>
    <w:p w14:paraId="49CDBD38">
      <w:pPr>
        <w:ind w:firstLine="422"/>
        <w:rPr>
          <w:rFonts w:ascii="宋体" w:hAnsi="宋体" w:cs="宋体"/>
          <w:b/>
          <w:bCs/>
        </w:rPr>
      </w:pPr>
      <w:r>
        <w:rPr>
          <w:rFonts w:hint="eastAsia" w:ascii="宋体" w:hAnsi="宋体" w:cs="宋体"/>
          <w:b/>
          <w:bCs/>
        </w:rPr>
        <w:t>黄月初</w:t>
      </w:r>
    </w:p>
    <w:p w14:paraId="2F2C290C">
      <w:pPr>
        <w:ind w:firstLine="420"/>
        <w:rPr>
          <w:rFonts w:ascii="宋体" w:hAnsi="宋体" w:cs="宋体"/>
        </w:rPr>
      </w:pPr>
      <w:r>
        <w:rPr>
          <w:rFonts w:hint="eastAsia" w:ascii="宋体" w:hAnsi="宋体" w:cs="宋体"/>
        </w:rPr>
        <w:t>黄月初（1866—1942），讳位元，号绍基。祖居城郊借村。清同治丙寅（1866年）生。光绪间附贡生，五品衔，例授奉政大夫，补用分县。清末，因见南雄黄烟发展前景很好，乃迁家于州城梅魁路，开办黄亨昌烟行。这是南雄人开的第一家烟行。由于黄月初经营有方，生意兴隆，遂大展宏图，与人合伙再在广州开办埠康、岭南两家烟行，并充英美烟草公司在南雄的代理商。民国初年，黄亨昌资本已达三四十万银元，年购销烟叶一二万担，占全县烟叶总产量的20%左右，为南雄名烟行之一，太平镇第一富商。从梅魁路到槐花巷、槐花门码头，成为黄亨昌收购、加工、储运烟叶场地，生意兴盛一时。</w:t>
      </w:r>
    </w:p>
    <w:p w14:paraId="6BFE1B80">
      <w:pPr>
        <w:ind w:firstLine="420"/>
        <w:rPr>
          <w:rFonts w:ascii="宋体" w:hAnsi="宋体" w:cs="宋体"/>
        </w:rPr>
      </w:pPr>
      <w:r>
        <w:rPr>
          <w:rFonts w:hint="eastAsia" w:ascii="宋体" w:hAnsi="宋体" w:cs="宋体"/>
        </w:rPr>
        <w:t>黄月初是个儒商，奉行“仁义”为本的经营宗旨。他雇用几十个员工、几百扎烟工人，30多年间，为南雄黄烟发展创出了一番事业。作为南雄烟行巨子的黄月初，与烟农共休戚，关心员工生活，对公益事业鼎力支持，给贫困者予帮助，因而得到人们的敬重。</w:t>
      </w:r>
    </w:p>
    <w:p w14:paraId="6C0BD323">
      <w:pPr>
        <w:ind w:firstLine="420"/>
        <w:rPr>
          <w:rFonts w:ascii="宋体" w:hAnsi="宋体" w:cs="宋体"/>
        </w:rPr>
      </w:pPr>
      <w:r>
        <w:rPr>
          <w:rFonts w:hint="eastAsia" w:ascii="宋体" w:hAnsi="宋体" w:cs="宋体"/>
        </w:rPr>
        <w:t>民国27年（1938年），广州沦陷。黄月初在广州的埠康、岭南两家烟行遭惨重损失而倒闭。从此，家道中落。1942年病卒于家，享年76岁。前来吊唁送葬者不下千人。</w:t>
      </w:r>
    </w:p>
    <w:p w14:paraId="3CE748B4">
      <w:pPr>
        <w:ind w:firstLine="422"/>
        <w:rPr>
          <w:rFonts w:ascii="宋体" w:hAnsi="宋体" w:cs="宋体"/>
          <w:b/>
          <w:bCs/>
        </w:rPr>
      </w:pPr>
      <w:r>
        <w:rPr>
          <w:rFonts w:hint="eastAsia" w:ascii="宋体" w:hAnsi="宋体" w:cs="宋体"/>
          <w:b/>
          <w:bCs/>
        </w:rPr>
        <w:t>麦鼎勋</w:t>
      </w:r>
    </w:p>
    <w:p w14:paraId="32427CCE">
      <w:pPr>
        <w:ind w:firstLine="420"/>
        <w:rPr>
          <w:rFonts w:ascii="宋体" w:hAnsi="宋体" w:cs="宋体"/>
        </w:rPr>
      </w:pPr>
      <w:r>
        <w:rPr>
          <w:rFonts w:hint="eastAsia" w:ascii="宋体" w:hAnsi="宋体" w:cs="宋体"/>
        </w:rPr>
        <w:t>麦鼎勋（1900-1945），南雄城牛筋街人。字富年，又名麦友德、麦秋，曾用名赵超，是辛亥革命烈士麦彝宪之子。1921年麦彝宪被害后，鼎勋随母回南雄读书。1914年，又随母往马来西亚投亲，数年后回国，考入上海复旦大学。毕业后再赴南洋，在马来西亚、泰国等地从事新闻工作。1927年回国，被中国国民党中央政治局会议广州政治分会主席李济深所赏识，任命为宣传室主任，后调任仁化县县长，又调抗日劲旅十九路军任中校政治教官。1933年，十九路军在福建反蒋抗日，被当局解体，麦鼎勋遭迫害入狱，至抗战爆发前夕获释。在广州曾任私立崇实中学校长，《公评报》主笔。抗战爆发后，赴香港，曾任某报总编，还主办《铁军》刊物，以锋利的文笔揭露日本军国主义对我国的侵略暴行，痛斥汉奸卖国行径，在新闻界颇有影响，成为日伪最为忌恨的一个人物。</w:t>
      </w:r>
    </w:p>
    <w:p w14:paraId="4C85459D">
      <w:pPr>
        <w:ind w:firstLine="420"/>
        <w:rPr>
          <w:rFonts w:ascii="宋体" w:hAnsi="宋体" w:cs="宋体"/>
        </w:rPr>
      </w:pPr>
      <w:r>
        <w:rPr>
          <w:rFonts w:hint="eastAsia" w:ascii="宋体" w:hAnsi="宋体" w:cs="宋体"/>
        </w:rPr>
        <w:t>1941年12月，香港沦陷，麦鼎勋离港避难，在中山被汉奸发现追捕入狱，遭严刑迫害。后经朋友营救出狱，到澳门治病疗伤。不久，伺机潜回韶关，以伤病之身出任广东省直接税局专员，驻曲江靖村。1944年夏，粤北各县相继沦陷，麦鼎勋带病回南雄邓坊避难。期间曾接受中共地下党人的要求，向省府有关方面疏通关系，注册创办珠玑中学。1945年1月，病卒邓坊，时年45岁。其墓原葬邓坊，1997年迁葬南雄城南水南石缺里，与夫人合葬。</w:t>
      </w:r>
    </w:p>
    <w:p w14:paraId="74B2FE24">
      <w:pPr>
        <w:ind w:firstLine="420"/>
        <w:rPr>
          <w:rFonts w:ascii="宋体" w:hAnsi="宋体" w:cs="宋体"/>
        </w:rPr>
      </w:pPr>
      <w:r>
        <w:rPr>
          <w:rFonts w:hint="eastAsia" w:ascii="宋体" w:hAnsi="宋体" w:cs="宋体"/>
        </w:rPr>
        <w:t>麦鼎勋在青少年时期即受父辈为国献身的影响，立志报国，且才华出众，著述颇丰，遗诗近百首。七律《癸未在靖村与友同春游归后煮酒论诗》云：寻幽探胜挹春光，煮酒谈诗兴信长。下士庸才原跌宕，群公伟绩名馨香。国忧未已思韩范，物外何曾效老庄。肝胆相投吾辈事，任他世态自炎凉。</w:t>
      </w:r>
    </w:p>
    <w:p w14:paraId="78B53506">
      <w:pPr>
        <w:ind w:firstLine="422"/>
        <w:rPr>
          <w:rFonts w:ascii="宋体" w:hAnsi="宋体" w:cs="宋体"/>
          <w:b/>
          <w:bCs/>
        </w:rPr>
      </w:pPr>
      <w:r>
        <w:rPr>
          <w:rFonts w:hint="eastAsia" w:ascii="宋体" w:hAnsi="宋体" w:cs="宋体"/>
          <w:b/>
          <w:bCs/>
        </w:rPr>
        <w:t>欧阳汝玺</w:t>
      </w:r>
    </w:p>
    <w:p w14:paraId="14E3C8B4">
      <w:pPr>
        <w:ind w:firstLine="420"/>
        <w:rPr>
          <w:rFonts w:ascii="宋体" w:hAnsi="宋体" w:cs="宋体"/>
        </w:rPr>
      </w:pPr>
      <w:r>
        <w:rPr>
          <w:rFonts w:hint="eastAsia" w:ascii="宋体" w:hAnsi="宋体" w:cs="宋体"/>
        </w:rPr>
        <w:t>欧阳汝玺（1889-1946），名炜，号炳勋，字肃臣，水口镇篛溪人。自幼学业精进，少有大志。宣统二年（1910年）在官立南雄地方自治研究所最优等毕业。曾任南韶连绥靖处饷械官。民国3年（1914年）赴京考取第一届县知事。历任江西省赣北委员、中华佛教总会文书长、福建省高等顾问、湖北夏口地方审判厅推事等职。1927年，任国民革命军第五十九军第一师参谋长。1930年调任财政部江西省印花总局特务办事员兼江西省牲畜税总局秘书。1940年因不满时政，辞职回乡。</w:t>
      </w:r>
    </w:p>
    <w:p w14:paraId="759AF840">
      <w:pPr>
        <w:ind w:firstLine="420"/>
        <w:rPr>
          <w:rFonts w:ascii="宋体" w:hAnsi="宋体" w:cs="宋体"/>
        </w:rPr>
      </w:pPr>
      <w:r>
        <w:rPr>
          <w:rFonts w:hint="eastAsia" w:ascii="宋体" w:hAnsi="宋体" w:cs="宋体"/>
        </w:rPr>
        <w:t>欧阳汝玺在民国军政界中任职20多年，才华出众，任侠仗义。1928年春，篛过村遭国民党反动军队烧杀抢掠。其时欧阳汝玺在南昌军中，奋笔上书广东省政府，为民伸张正义，使受害村民得到粮食及冬寒衣物救济。</w:t>
      </w:r>
    </w:p>
    <w:p w14:paraId="209EF55E">
      <w:pPr>
        <w:ind w:firstLine="420"/>
        <w:rPr>
          <w:rFonts w:ascii="宋体" w:hAnsi="宋体" w:cs="宋体"/>
        </w:rPr>
      </w:pPr>
      <w:r>
        <w:rPr>
          <w:rFonts w:hint="eastAsia" w:ascii="宋体" w:hAnsi="宋体" w:cs="宋体"/>
        </w:rPr>
        <w:t>欧阳汝玺回乡赋闲期间，自操律师之业，为地方主持公道，为百姓鸣不平，颇得世人之称道。1946年12月病卒，享年57岁。</w:t>
      </w:r>
    </w:p>
    <w:p w14:paraId="10D33DB8">
      <w:pPr>
        <w:ind w:firstLine="422"/>
        <w:rPr>
          <w:rFonts w:ascii="宋体" w:hAnsi="宋体" w:cs="宋体"/>
          <w:b/>
          <w:bCs/>
        </w:rPr>
      </w:pPr>
      <w:r>
        <w:rPr>
          <w:rFonts w:hint="eastAsia" w:ascii="宋体" w:hAnsi="宋体" w:cs="宋体"/>
          <w:b/>
          <w:bCs/>
        </w:rPr>
        <w:t>莫开琼  莫开瑶</w:t>
      </w:r>
    </w:p>
    <w:p w14:paraId="42C44B0D">
      <w:pPr>
        <w:ind w:firstLine="420"/>
        <w:rPr>
          <w:rFonts w:ascii="宋体" w:hAnsi="宋体" w:cs="宋体"/>
        </w:rPr>
      </w:pPr>
      <w:r>
        <w:rPr>
          <w:rFonts w:hint="eastAsia" w:ascii="宋体" w:hAnsi="宋体" w:cs="宋体"/>
        </w:rPr>
        <w:t>莫氏兄弟，南雄城人。</w:t>
      </w:r>
    </w:p>
    <w:p w14:paraId="2EF12F9E">
      <w:pPr>
        <w:ind w:firstLine="420"/>
        <w:rPr>
          <w:rFonts w:ascii="宋体" w:hAnsi="宋体" w:cs="宋体"/>
        </w:rPr>
      </w:pPr>
      <w:r>
        <w:rPr>
          <w:rFonts w:hint="eastAsia" w:ascii="宋体" w:hAnsi="宋体" w:cs="宋体"/>
        </w:rPr>
        <w:t>莫开琼（1869-1944），字美昆，号紫琴。清光绪十三年（1887年）廪生，同年考入广东法政学堂，潜心研究法律。毕业后，历任清江县、阳江县推事。民国16年1927年）受聘中山大学法律系讲师。民国18年，出任南宁市审判厅厅长。民国21年在广州开办律师事务所，名重一时，被推选为广东省律师公会主席。1937年抗战爆发，回南雄出任南雄、始兴两县的省参议员，协助南雄县长莫雄招抚土匪钟寿山下山，稳定南雄局势，积极推动抗战。1944年病卒于家，享年75岁。</w:t>
      </w:r>
    </w:p>
    <w:p w14:paraId="35516901">
      <w:pPr>
        <w:ind w:firstLine="420"/>
        <w:rPr>
          <w:rFonts w:ascii="宋体" w:hAnsi="宋体" w:cs="宋体"/>
        </w:rPr>
      </w:pPr>
      <w:r>
        <w:rPr>
          <w:rFonts w:hint="eastAsia" w:ascii="宋体" w:hAnsi="宋体" w:cs="宋体"/>
        </w:rPr>
        <w:t>莫开瑶（1870-1952），字次昆，号鹤亭。清光绪十年庠生，光绪二十九年（1903年）举人。光绪三十年出任两淮盐运使协理，历任审计院协审官。民国12年（1923年），军阀混战，南雄惨遭劫难，社会动乱不堪。民国13年，一年六换县长，官员以任职南雄为畏途。民国14年，有好几个月县长虚位空缺。莫开瑶为维护地方安定，临危受命，于是年冬署理南雄县长，虽然只有18天，而此种精神令人钦佩。民国23年，当选为南雄县第一届参议会议长。民国29年，出任省参议员，在任期间为地方出力颇多。</w:t>
      </w:r>
    </w:p>
    <w:p w14:paraId="69D6675F">
      <w:pPr>
        <w:ind w:firstLine="420"/>
        <w:rPr>
          <w:rFonts w:ascii="宋体" w:hAnsi="宋体" w:cs="宋体"/>
        </w:rPr>
      </w:pPr>
      <w:r>
        <w:rPr>
          <w:rFonts w:hint="eastAsia" w:ascii="宋体" w:hAnsi="宋体" w:cs="宋体"/>
        </w:rPr>
        <w:t>莫开瑶从小随父学医，医术医德在城乡享有一定声誉。著作有《浈江备志》一卷（早佚），《蟁睫庐集》四卷（今存）。1952年，暴病卒于大茶棚茶亭。</w:t>
      </w:r>
    </w:p>
    <w:p w14:paraId="2D977E6D">
      <w:pPr>
        <w:ind w:firstLine="422"/>
        <w:rPr>
          <w:rFonts w:ascii="宋体" w:hAnsi="宋体" w:cs="宋体"/>
          <w:b/>
          <w:bCs/>
        </w:rPr>
      </w:pPr>
      <w:r>
        <w:rPr>
          <w:rFonts w:hint="eastAsia" w:ascii="宋体" w:hAnsi="宋体" w:cs="宋体"/>
          <w:b/>
          <w:bCs/>
        </w:rPr>
        <w:t>罗际康</w:t>
      </w:r>
    </w:p>
    <w:p w14:paraId="10FC01B0">
      <w:pPr>
        <w:ind w:firstLine="420"/>
        <w:rPr>
          <w:rFonts w:ascii="宋体" w:hAnsi="宋体" w:cs="宋体"/>
        </w:rPr>
      </w:pPr>
      <w:r>
        <w:rPr>
          <w:rFonts w:hint="eastAsia" w:ascii="宋体" w:hAnsi="宋体" w:cs="宋体"/>
        </w:rPr>
        <w:t>罗际康（1902-1948），字丽庄，号阜群，南雄城人。父罗昌言，清末廪生，长期从事教育，民初曾任南雄县第一高等小学校长。际康自小勤奋，学业超群。弱冠，毕业于北京交通大学，随即投身国民革命，曾在黄埔军官学校任少校教官，旋升任上校秘书。北伐后，在“教育救国”思想影响下，回乡办教育。民国30年（1941年）任南雄县教育科长。民国32年任南雄县立中学校长，直至民国34年南雄沦陷。民国33年至34年，曾当选为南雄县临时参议会参议员。</w:t>
      </w:r>
    </w:p>
    <w:p w14:paraId="0BBD17DC">
      <w:pPr>
        <w:ind w:firstLine="420"/>
        <w:rPr>
          <w:rFonts w:ascii="宋体" w:hAnsi="宋体" w:cs="宋体"/>
        </w:rPr>
      </w:pPr>
      <w:r>
        <w:rPr>
          <w:rFonts w:hint="eastAsia" w:ascii="宋体" w:hAnsi="宋体" w:cs="宋体"/>
        </w:rPr>
        <w:t>民国35年7月，罗际康复任县立中学校长。那时正值日寇劫后，困难重重，为解决校舍问题，主动担任筹建校舍委员会常务委员兼总干事，奔走于富绅巨贾之间，多方筹款。从设计到施工，亲临工地，尽心竭力，经时1年多，于1947年5月建成了1万多平方米的新校舍。</w:t>
      </w:r>
    </w:p>
    <w:p w14:paraId="5AF1A886">
      <w:pPr>
        <w:ind w:firstLine="420"/>
        <w:rPr>
          <w:rFonts w:ascii="宋体" w:hAnsi="宋体" w:cs="宋体"/>
        </w:rPr>
      </w:pPr>
      <w:r>
        <w:rPr>
          <w:rFonts w:hint="eastAsia" w:ascii="宋体" w:hAnsi="宋体" w:cs="宋体"/>
        </w:rPr>
        <w:t>罗际康教学严谨，以学业学风为重，建立校长与学生谈话日，实行班主任每月1次家访制度，大兴勤教勤学之风，教学成绩卓著，深得师生及家长的敬重。</w:t>
      </w:r>
    </w:p>
    <w:p w14:paraId="7943CEFA">
      <w:pPr>
        <w:ind w:firstLine="420"/>
        <w:rPr>
          <w:rFonts w:ascii="宋体" w:hAnsi="宋体" w:cs="宋体"/>
        </w:rPr>
      </w:pPr>
      <w:r>
        <w:rPr>
          <w:rFonts w:hint="eastAsia" w:ascii="宋体" w:hAnsi="宋体" w:cs="宋体"/>
        </w:rPr>
        <w:t>1948年4月27日，罗际康赴县立中学校友会成立宴席，回家后于半夜突发脑溢血，不治逝世。时教育界前辈、罗之老师李友瑞挽联云：“髫龄附小从游，头角峥嵘，曾称畏友，果然名立行修，校舍建成君不朽；日间县中开会，联合校友，胸怀远大，何期遽尔仙去，床前临吊我兴悲。”出殡之日，南雄县立中学全校师生为之送葬。</w:t>
      </w:r>
    </w:p>
    <w:p w14:paraId="6AD79386">
      <w:pPr>
        <w:ind w:firstLine="422"/>
        <w:rPr>
          <w:rFonts w:ascii="宋体" w:hAnsi="宋体" w:cs="宋体"/>
          <w:b/>
          <w:bCs/>
        </w:rPr>
      </w:pPr>
      <w:r>
        <w:rPr>
          <w:rFonts w:hint="eastAsia" w:ascii="宋体" w:hAnsi="宋体" w:cs="宋体"/>
          <w:b/>
          <w:bCs/>
        </w:rPr>
        <w:t>邓述炽</w:t>
      </w:r>
    </w:p>
    <w:p w14:paraId="6E31D1EA">
      <w:pPr>
        <w:ind w:firstLine="420"/>
        <w:rPr>
          <w:rFonts w:ascii="宋体" w:hAnsi="宋体" w:cs="宋体"/>
        </w:rPr>
      </w:pPr>
      <w:r>
        <w:rPr>
          <w:rFonts w:hint="eastAsia" w:ascii="宋体" w:hAnsi="宋体" w:cs="宋体"/>
        </w:rPr>
        <w:t>邓述炽（1893-1951），珠玑镇聪背村人。从小随父就读私塾。及长继承父业在私塾执教，颇有名望。第二次国内革命战争时期，与共产党人曾昭秀、陈召南、周群标等交往甚密，接受革命思想熏陶，积极支持革命斗争。</w:t>
      </w:r>
    </w:p>
    <w:p w14:paraId="48692137">
      <w:pPr>
        <w:ind w:firstLine="420"/>
        <w:rPr>
          <w:rFonts w:ascii="宋体" w:hAnsi="宋体" w:cs="宋体"/>
        </w:rPr>
      </w:pPr>
      <w:r>
        <w:rPr>
          <w:rFonts w:hint="eastAsia" w:ascii="宋体" w:hAnsi="宋体" w:cs="宋体"/>
        </w:rPr>
        <w:t>1928年春，中共南雄县委组织农民武装暴动，遭国民党反动派的疯狂镇压，邓述炽弟弟邓述燃被杀害了，邻近的塘东村被抓去100多人，有的遭杀害，有的关押在县城。塘东村民请求邓述炽出面援救。邓述炽乃义不容辞，冒着生命危险前往县府交涉，并以自己的身家性命作担保，救出了几十名受害群众。</w:t>
      </w:r>
    </w:p>
    <w:p w14:paraId="21158D62">
      <w:pPr>
        <w:ind w:firstLine="420"/>
        <w:rPr>
          <w:rFonts w:ascii="宋体" w:hAnsi="宋体" w:cs="宋体"/>
        </w:rPr>
      </w:pPr>
      <w:r>
        <w:rPr>
          <w:rFonts w:hint="eastAsia" w:ascii="宋体" w:hAnsi="宋体" w:cs="宋体"/>
        </w:rPr>
        <w:t>1944年夏，在南雄活动的中共地下党员为建立革命活动据点，决定兴办珠玑中学，请邓述炽担任珠玑中学董事长，出面牵头筹办。邓述炽满腔热情，以其在四乡的民望，不辞劳苦，各方奔走，筹集资金，借用校舍，购置设备，经3个多月的努力，珠玑中学终于在是年秋季招生开学。这间中学一直是共产党人开展革命活动据点，为革命事业培养输送了大批人才。</w:t>
      </w:r>
    </w:p>
    <w:p w14:paraId="53CA3437">
      <w:pPr>
        <w:ind w:firstLine="420"/>
        <w:rPr>
          <w:rFonts w:ascii="宋体" w:hAnsi="宋体" w:cs="宋体"/>
        </w:rPr>
      </w:pPr>
      <w:r>
        <w:rPr>
          <w:rFonts w:hint="eastAsia" w:ascii="宋体" w:hAnsi="宋体" w:cs="宋体"/>
        </w:rPr>
        <w:t>邓述炽一家是革命的一家。他有子女7人，先后参加革命5人。长子邓事勋，革命烈士，1946年参加游击队，1948年8月不幸被捕牺牲，时年29岁。次子邓事型，中共党员，任珠玑中学校长，从事党的地下活动多年，中华人民共和国成立后历任县政府文教科长，中共南雄县委会秘书。三子邓事坛和女儿邓桂秀、邓德秀于1949年参加粤赣边游击队。</w:t>
      </w:r>
    </w:p>
    <w:p w14:paraId="2676BA0F">
      <w:pPr>
        <w:ind w:firstLine="420"/>
        <w:rPr>
          <w:rFonts w:ascii="宋体" w:hAnsi="宋体" w:cs="宋体"/>
        </w:rPr>
      </w:pPr>
      <w:r>
        <w:rPr>
          <w:rFonts w:hint="eastAsia" w:ascii="宋体" w:hAnsi="宋体" w:cs="宋体"/>
        </w:rPr>
        <w:t>1950年，邓述炽被推举为县各界人民代表会议代表，选为主席团成员。1951年病逝，享年58岁。</w:t>
      </w:r>
    </w:p>
    <w:p w14:paraId="03E41550">
      <w:pPr>
        <w:ind w:firstLine="422"/>
        <w:rPr>
          <w:rFonts w:ascii="宋体" w:hAnsi="宋体" w:cs="宋体"/>
          <w:b/>
          <w:bCs/>
        </w:rPr>
      </w:pPr>
      <w:r>
        <w:rPr>
          <w:rFonts w:hint="eastAsia" w:ascii="宋体" w:hAnsi="宋体" w:cs="宋体"/>
          <w:b/>
          <w:bCs/>
        </w:rPr>
        <w:t>吴不忧</w:t>
      </w:r>
    </w:p>
    <w:p w14:paraId="7FC7D3C3">
      <w:pPr>
        <w:ind w:firstLine="420"/>
        <w:rPr>
          <w:rFonts w:ascii="宋体" w:hAnsi="宋体" w:cs="宋体"/>
        </w:rPr>
      </w:pPr>
      <w:r>
        <w:rPr>
          <w:rFonts w:hint="eastAsia" w:ascii="宋体" w:hAnsi="宋体" w:cs="宋体"/>
        </w:rPr>
        <w:t>吴不忧（1900-1971），祖籍福建龙岩。20世纪初，曾是中共领导人邓子恢的同窗好友，在邓的影响下，参加福建农民起义活动，因被当局通缉，逃亡流落到南雄定居。1933年，吴不忧联络福建同乡集资创办农工米机厂，班产大米十吨，为新中国成立前南雄最大的粮食加工厂，对国计民生颇有裨益。</w:t>
      </w:r>
    </w:p>
    <w:p w14:paraId="3155B544">
      <w:pPr>
        <w:ind w:firstLine="420"/>
        <w:rPr>
          <w:rFonts w:ascii="宋体" w:hAnsi="宋体" w:cs="宋体"/>
        </w:rPr>
      </w:pPr>
      <w:r>
        <w:rPr>
          <w:rFonts w:hint="eastAsia" w:ascii="宋体" w:hAnsi="宋体" w:cs="宋体"/>
        </w:rPr>
        <w:t>1947年，吴不忧在南雄县城开办“明天好”药店，以诚信为本，在药店墙上大书两条广告标语：“誓愿不以发财为目的，希望各界援助，彼得多服务机会；素食朋友办的药店，宁可无卖也要卖正货。”还有三句脍炙人口的顺口溜：“医生好，药品好，有病痛，明天好；免诊金，药费少，贫穷人，命可保；明天好，明天好，你我他，大家好。”全店员工均素食，并聘请名中医朱礼儒、萧世济等坐堂。萧世济坐堂时间为上半日。邑庠生胡福田因作联云：“世济可云勤济世；天明即起坐明天。”情趣盎然。由于药店实践了诚信这个宗旨，誉满城乡，吴不忧也深得人们的敬重。</w:t>
      </w:r>
    </w:p>
    <w:p w14:paraId="2AACF7DE">
      <w:pPr>
        <w:ind w:firstLine="420"/>
        <w:rPr>
          <w:rFonts w:ascii="宋体" w:hAnsi="宋体" w:cs="宋体"/>
        </w:rPr>
      </w:pPr>
      <w:r>
        <w:rPr>
          <w:rFonts w:hint="eastAsia" w:ascii="宋体" w:hAnsi="宋体" w:cs="宋体"/>
        </w:rPr>
        <w:t>1950年，吴不忧被南雄县人民政府任命为工商科副科长兼贸易公司经理，积极发动工商界支援南下大军，开展抗美援朝捐献活动。1954年当选首届省人民代表大会代表。1955年，国家对私营工商业进行社会主义改造时，吴不忧率先行动，带动28户私营药店实行公私合营。1956年，吴不忧出任县药材公司代经理。1958年被错划为“右派分子”（1979年平反昭雪），下放药材种植场劳动。他虽在花甲之年，仍积极参加力所能及的劳动，把余生贡献给了南雄的医药事业。1971年因病逝世，终年71岁。</w:t>
      </w:r>
    </w:p>
    <w:p w14:paraId="43E7532B">
      <w:pPr>
        <w:ind w:firstLine="422"/>
        <w:rPr>
          <w:rFonts w:ascii="宋体" w:hAnsi="宋体" w:cs="宋体"/>
          <w:b/>
          <w:bCs/>
        </w:rPr>
      </w:pPr>
      <w:r>
        <w:rPr>
          <w:rFonts w:hint="eastAsia" w:ascii="宋体" w:hAnsi="宋体" w:cs="宋体"/>
          <w:b/>
          <w:bCs/>
        </w:rPr>
        <w:t>张元金</w:t>
      </w:r>
    </w:p>
    <w:p w14:paraId="797B06F6">
      <w:pPr>
        <w:ind w:firstLine="420"/>
        <w:rPr>
          <w:rFonts w:ascii="宋体" w:hAnsi="宋体" w:cs="宋体"/>
        </w:rPr>
      </w:pPr>
      <w:r>
        <w:rPr>
          <w:rFonts w:hint="eastAsia" w:ascii="宋体" w:hAnsi="宋体" w:cs="宋体"/>
        </w:rPr>
        <w:t>张元金（1895-1972），湖口镇张屋村人，南雄革命先驱曾昭秀夫人。她是自小在曾家养大的童养媳，与曾昭秀结婚后感情甚笃，识大体，明大义，全心支持曾昭秀投身人民革命事业。</w:t>
      </w:r>
    </w:p>
    <w:p w14:paraId="5DFD5727">
      <w:pPr>
        <w:ind w:firstLine="420"/>
        <w:rPr>
          <w:rFonts w:ascii="宋体" w:hAnsi="宋体" w:cs="宋体"/>
        </w:rPr>
      </w:pPr>
      <w:r>
        <w:rPr>
          <w:rFonts w:hint="eastAsia" w:ascii="宋体" w:hAnsi="宋体" w:cs="宋体"/>
        </w:rPr>
        <w:t>1929年2月，曾昭秀在南雄组织武装暴动失败后，转移到江西虔南等地活动，家庭惨遭国民党反动派的迫害。张元金以大嫂身份挑起家庭重担，侍奉身患顽疾的继祖母，抚养年幼的弟弟。其中五弟曾文玉出生仅1个多月，生母张氏病故，便由张元金一手抚养，不是母亲胜似母亲。1930年春，曾昭秀被诬为“AB团”，杀害于安远县。此时，张元金年仅30多岁，她化悲痛为力量，更加孝敬老父，倾心抚育诸弟，茹苦含辛，坚贞不渝，20年如一日，直至解放。5个弟弟长大后都先后参加了革命，2个为革命光荣牺牲。</w:t>
      </w:r>
    </w:p>
    <w:p w14:paraId="1D0CD54F">
      <w:pPr>
        <w:ind w:firstLine="420"/>
        <w:rPr>
          <w:rFonts w:ascii="宋体" w:hAnsi="宋体" w:cs="宋体"/>
        </w:rPr>
      </w:pPr>
      <w:r>
        <w:rPr>
          <w:rFonts w:hint="eastAsia" w:ascii="宋体" w:hAnsi="宋体" w:cs="宋体"/>
        </w:rPr>
        <w:t>张元金的娘家也是为革命作出贡献的一家。其弟张功提是湖口有名的乡村医生，抗日战争时期，参加抗敌同志会和抗日先锋队，积极从事抗日救亡运动。解放战争时期，以药店为掩护，冒死支援游击队。小弟张功佩烈士在延安战场光荣牺牲。</w:t>
      </w:r>
    </w:p>
    <w:p w14:paraId="2C9CE4DD">
      <w:pPr>
        <w:ind w:firstLine="420"/>
        <w:rPr>
          <w:rFonts w:ascii="宋体" w:hAnsi="宋体" w:cs="宋体"/>
        </w:rPr>
      </w:pPr>
      <w:r>
        <w:rPr>
          <w:rFonts w:hint="eastAsia" w:ascii="宋体" w:hAnsi="宋体" w:cs="宋体"/>
        </w:rPr>
        <w:t>张元金一生为革命事业作出了贡献，得到了人民的敬佩。1954年至1963年，当选为南雄县人民代表大会第二、三、四、五届代表，并当选为第二、三、四、五届县人民委员会委员。1958年出席省人民代表大会，得到省委书记陶铸的亲切接见。</w:t>
      </w:r>
    </w:p>
    <w:p w14:paraId="55637E7E">
      <w:pPr>
        <w:ind w:firstLine="422"/>
        <w:rPr>
          <w:rFonts w:ascii="宋体" w:hAnsi="宋体" w:cs="宋体"/>
          <w:b/>
          <w:bCs/>
        </w:rPr>
      </w:pPr>
      <w:r>
        <w:rPr>
          <w:rFonts w:hint="eastAsia" w:ascii="宋体" w:hAnsi="宋体" w:cs="宋体"/>
          <w:b/>
          <w:bCs/>
        </w:rPr>
        <w:t>李子亮</w:t>
      </w:r>
    </w:p>
    <w:p w14:paraId="7FB02D44">
      <w:pPr>
        <w:ind w:firstLine="420"/>
        <w:rPr>
          <w:rFonts w:ascii="宋体" w:hAnsi="宋体" w:cs="宋体"/>
        </w:rPr>
      </w:pPr>
      <w:r>
        <w:rPr>
          <w:rFonts w:hint="eastAsia" w:ascii="宋体" w:hAnsi="宋体" w:cs="宋体"/>
        </w:rPr>
        <w:t>李子亮（1906-1975）字翰明，号明生，全安镇章禾洞村人。其祖父信仰基督教，父李舒碧是基督教牧师，在曲江（今韶关）传教。子亮幼随父，6岁入韶关教会学校，16岁中学毕业。1925年，在上海“五卅”惨案和广州省港大罢工的影响，痛感中国人遭受帝国主义的欺凌和杀害，激发民族自尊心，投笔从戎，考入广州黄埔军校第四期政治大队第二队，毕业后编入第四军十二师政治部。历任战士、班、排、连、营、团、旅、师长、少将副军长等职。</w:t>
      </w:r>
    </w:p>
    <w:p w14:paraId="482E3593">
      <w:pPr>
        <w:ind w:firstLine="420"/>
        <w:rPr>
          <w:rFonts w:ascii="宋体" w:hAnsi="宋体" w:cs="宋体"/>
        </w:rPr>
      </w:pPr>
      <w:r>
        <w:rPr>
          <w:rFonts w:hint="eastAsia" w:ascii="宋体" w:hAnsi="宋体" w:cs="宋体"/>
        </w:rPr>
        <w:t>1941年升任第九战区（薛岳为战区司令长官）第四军第七挺进纵队司令（师级），两年多活跃于敌后，转战于湘、鄂的岳阳、临湘、嘉鱼、崇阳、通山等地，打击日本侵略者。参加长沙第二次大会战后，调任陆军新二十师任副师长。1943年春，任第九战区湘鄂赣边区挺进军游击第七纵队司令，旋任二十师师长。</w:t>
      </w:r>
    </w:p>
    <w:p w14:paraId="37357EC9">
      <w:pPr>
        <w:ind w:firstLine="420"/>
        <w:rPr>
          <w:rFonts w:ascii="宋体" w:hAnsi="宋体" w:cs="宋体"/>
        </w:rPr>
      </w:pPr>
      <w:r>
        <w:rPr>
          <w:rFonts w:hint="eastAsia" w:ascii="宋体" w:hAnsi="宋体" w:cs="宋体"/>
        </w:rPr>
        <w:t>1943年春季，日军发动长衡侵略战时，李子亮率师抗拒优势之敌于新墙河，苦战4昼夜，歼敌不少。在醴陵、萍乡、茶陵等地，李率军浴血奋战，反复争夺，完成战斗任务。7月，参加湖南茶陵守城之役，率领只有4000兵力之师，与日寇苦战3昼夜。李子亮以“忠勇”二字鼓励、激发官兵顽强抗敌，最后把日寇劲旅三十四联队击退，追杀残敌80华里。李部获国防部嘉奖奖金40万元（国币）。8月间，阻击强敌于安仁九如山。李军虽然伤亡很大，但仍然保全了守备阵地，多次打退敌人猛烈进攻，李部又获嘉奖，奖金30万元（国币）。</w:t>
      </w:r>
    </w:p>
    <w:p w14:paraId="1D48D5D2">
      <w:pPr>
        <w:ind w:firstLine="420"/>
        <w:rPr>
          <w:rFonts w:ascii="宋体" w:hAnsi="宋体" w:cs="宋体"/>
        </w:rPr>
      </w:pPr>
      <w:r>
        <w:rPr>
          <w:rFonts w:hint="eastAsia" w:ascii="宋体" w:hAnsi="宋体" w:cs="宋体"/>
        </w:rPr>
        <w:t>1945年春，李师扼守广东乐昌和湖南宜章一带，直至日本投降。10月，李部开往江西新淦，改编为五十九师，在南昌整训后，调苏北“绥靖”。1948年9月，李升任第四军少将副军长，投入蒋军的京沪江防守备。在中国人民解放军“摧枯拉朽”的攻势下，国民党苦心经营的“长江防线”被摧毁。第四军于1949年4月29日在泗安至广德地区被全部被歼，李子亮被俘，并被定为战犯，送至东北战犯管理所学习、改造。1975年3月获人民政府特赦后，在北京广州等地参观学习，多次发表观感，后被安排任广东省参事室参事。同年冬随妻子温懿良往香港，因车祸在港逝世。</w:t>
      </w:r>
    </w:p>
    <w:p w14:paraId="026EEBCF">
      <w:pPr>
        <w:ind w:firstLine="422"/>
        <w:rPr>
          <w:rFonts w:ascii="宋体" w:hAnsi="宋体" w:cs="宋体"/>
          <w:b/>
          <w:bCs/>
        </w:rPr>
      </w:pPr>
      <w:r>
        <w:rPr>
          <w:rFonts w:hint="eastAsia" w:ascii="宋体" w:hAnsi="宋体" w:cs="宋体"/>
          <w:b/>
          <w:bCs/>
        </w:rPr>
        <w:t>叶汉章</w:t>
      </w:r>
    </w:p>
    <w:p w14:paraId="2A7C82B3">
      <w:pPr>
        <w:ind w:firstLine="420"/>
        <w:rPr>
          <w:rFonts w:ascii="宋体" w:hAnsi="宋体" w:cs="宋体"/>
        </w:rPr>
      </w:pPr>
      <w:r>
        <w:rPr>
          <w:rFonts w:hint="eastAsia" w:ascii="宋体" w:hAnsi="宋体" w:cs="宋体"/>
        </w:rPr>
        <w:t>叶汉章（1920-1977），又名叶英桓，珠玑镇塘东村人。1947年10月参加中共雄、仁、余工委地下组织的游击队。同年12月，加入中国共产党，历任游击队班长，南雄县公安队副排长，县公安局股长、副局长。1956年12月至1958年4月，任南雄县检察院副检察长，为开创南雄检察事业做了大量的工作。</w:t>
      </w:r>
    </w:p>
    <w:p w14:paraId="72136D7F">
      <w:pPr>
        <w:ind w:firstLine="420"/>
        <w:rPr>
          <w:rFonts w:ascii="宋体" w:hAnsi="宋体" w:cs="宋体"/>
        </w:rPr>
      </w:pPr>
      <w:r>
        <w:rPr>
          <w:rFonts w:hint="eastAsia" w:ascii="宋体" w:hAnsi="宋体" w:cs="宋体"/>
        </w:rPr>
        <w:t>1958年4月至1959年10月，调任帽子峰林牧场场长。时值林牧场初建，生活艰苦。他与下放干部、工人同吃一锅饭，同住一间茅草房，一起艰苦创业，在深山密林里盖起了第一间瓦房，开出了第一条公路，安装了第一条木轨车道，深得干部工人的爱戴。1959年10月至1960年12月，调任赤马农场场长，又在那里白手起家，开创新的事业。</w:t>
      </w:r>
    </w:p>
    <w:p w14:paraId="228AC6FC">
      <w:pPr>
        <w:ind w:firstLine="420"/>
        <w:rPr>
          <w:rFonts w:ascii="宋体" w:hAnsi="宋体" w:cs="宋体"/>
        </w:rPr>
      </w:pPr>
      <w:r>
        <w:rPr>
          <w:rFonts w:hint="eastAsia" w:ascii="宋体" w:hAnsi="宋体" w:cs="宋体"/>
        </w:rPr>
        <w:t>1960年12月，叶汉章调回县检察院任检察长，直至1967年8月，在任清廉正直，兢兢业业，尽职尽责。1967年冬，在“文化大革命”极“左”路线影响下，帽子峰林场出现乱抓乱打乱杀严重事件，已抓26人，被打死11人。正当事态急剧发展的危急关头，叶汉章与一位武装部领导及时赶进林场，贯彻党的政策，批判极左错误。由于叶汉章在干部工人中很有威望，有效地制止了事件的扩大发展。1</w:t>
      </w:r>
    </w:p>
    <w:p w14:paraId="6E5EE4F6">
      <w:pPr>
        <w:ind w:firstLine="420"/>
        <w:rPr>
          <w:rFonts w:ascii="宋体" w:hAnsi="宋体" w:cs="宋体"/>
        </w:rPr>
      </w:pPr>
      <w:r>
        <w:rPr>
          <w:rFonts w:hint="eastAsia" w:ascii="宋体" w:hAnsi="宋体" w:cs="宋体"/>
        </w:rPr>
        <w:t>955年6月至1966年5月，叶汉章连续当选为中共南雄县委会第一、二届委员。</w:t>
      </w:r>
    </w:p>
    <w:p w14:paraId="0B7C45CE">
      <w:pPr>
        <w:ind w:firstLine="422"/>
        <w:rPr>
          <w:rFonts w:ascii="宋体" w:hAnsi="宋体" w:cs="宋体"/>
          <w:b/>
          <w:bCs/>
        </w:rPr>
      </w:pPr>
      <w:r>
        <w:rPr>
          <w:rFonts w:hint="eastAsia" w:ascii="宋体" w:hAnsi="宋体" w:cs="宋体"/>
          <w:b/>
          <w:bCs/>
        </w:rPr>
        <w:t>张尚琼</w:t>
      </w:r>
    </w:p>
    <w:p w14:paraId="11DDF734">
      <w:pPr>
        <w:ind w:firstLine="420"/>
        <w:rPr>
          <w:rFonts w:ascii="宋体" w:hAnsi="宋体" w:cs="宋体"/>
        </w:rPr>
      </w:pPr>
      <w:r>
        <w:rPr>
          <w:rFonts w:hint="eastAsia" w:ascii="宋体" w:hAnsi="宋体" w:cs="宋体"/>
        </w:rPr>
        <w:t>张尚琼（1914-1978），原名张英莹，1914年1月24日出生于湖口乡张屋村。1929年1月24日，参加中国共产党。是年冬，因入党介绍人李英源去世，监誓人陈召南被国民党当局杀害，与党组织失掉联系。1930年上半年至1931年6月，张尚琼就读于赣州幼幼中学，下半年考入广州中山大学附中高中，以优异成绩，升入中山大学社会系。1937年10月6日，经邱萃藻介绍，重新加入中国共产党，任中共中山大学总支部书记、中山大学青年抗日先锋队政治部部长。1938年5月毕业离校，被党组织任命为巡视员，活动于曲江、南雄、连县、翁源等县，历任中共连阳特别支部组织委员，中共曲江县委宣传部长、组织部长，中共翁源县县委书记、特派员。</w:t>
      </w:r>
    </w:p>
    <w:p w14:paraId="020A3AC4">
      <w:pPr>
        <w:ind w:firstLine="420"/>
        <w:rPr>
          <w:rFonts w:ascii="宋体" w:hAnsi="宋体" w:cs="宋体"/>
        </w:rPr>
      </w:pPr>
      <w:r>
        <w:rPr>
          <w:rFonts w:hint="eastAsia" w:ascii="宋体" w:hAnsi="宋体" w:cs="宋体"/>
        </w:rPr>
        <w:t>1942年5月“粤北事件”后，张尚琼隐蔽于</w:t>
      </w:r>
      <w:r>
        <w:rPr>
          <w:rFonts w:hint="eastAsia" w:ascii="宋体" w:hAnsi="宋体" w:cs="宋体"/>
          <w:lang w:eastAsia="zh-CN"/>
        </w:rPr>
        <w:t>广西壮族自治区</w:t>
      </w:r>
      <w:r>
        <w:rPr>
          <w:rFonts w:hint="eastAsia" w:ascii="宋体" w:hAnsi="宋体" w:cs="宋体"/>
        </w:rPr>
        <w:t>灵川县中学任教员。1945年日本投降前夕，到重庆与中共地下党取得联系，任《民主星期刊》、《唯民周刊》编辑。</w:t>
      </w:r>
    </w:p>
    <w:p w14:paraId="750817D6">
      <w:pPr>
        <w:ind w:firstLine="420"/>
        <w:rPr>
          <w:rFonts w:ascii="宋体" w:hAnsi="宋体" w:cs="宋体"/>
        </w:rPr>
      </w:pPr>
      <w:r>
        <w:rPr>
          <w:rFonts w:hint="eastAsia" w:ascii="宋体" w:hAnsi="宋体" w:cs="宋体"/>
        </w:rPr>
        <w:t>1947年，张尚琼进入粤赣边游击区，任中共五岭地委委员、北江第二支队政治部主任等职。当年，中共五岭地委在南雄开展土地改革，发生忽视部分群众利益的“左”的倾向。张尚琼独排众议，为纠正工作失误写了《实事求是》的长篇论文，在地方党组织内刊行，维护了党的政策和群众利益。</w:t>
      </w:r>
    </w:p>
    <w:p w14:paraId="7B426DB3">
      <w:pPr>
        <w:ind w:firstLine="420"/>
        <w:rPr>
          <w:rFonts w:ascii="宋体" w:hAnsi="宋体" w:cs="宋体"/>
        </w:rPr>
      </w:pPr>
      <w:r>
        <w:rPr>
          <w:rFonts w:hint="eastAsia" w:ascii="宋体" w:hAnsi="宋体" w:cs="宋体"/>
        </w:rPr>
        <w:t>1949年9月，张尚琼出任北江临时人民行政委员会副主任，中共南雄县委书记，南雄县长。参加“赣州会议”后，于9月21日回到南雄，23日组织南下大军与北二支队主力团在梅关胜利会师，24日解放南雄。张尚琼进城后，运用各界人民代表会议，实行民主施政；善于团结任用社会进步人士，为建立地方政权，维持社会治安，恢复发展生产，支援南下大军而废寝忘食地工作。身为人民的县长，在百忙中时刻不忘密切联系群众，建立县长会客日，每星期安排一天在会客室接待人民来访。又在县府门口、东门、北门、南门等道口设立群众意见箱，每天开箱1次。张尚琼在任1年6个月，政绩斐然，深得人民的信任和爱戴。</w:t>
      </w:r>
    </w:p>
    <w:p w14:paraId="58F070BA">
      <w:pPr>
        <w:ind w:firstLine="420"/>
        <w:rPr>
          <w:rFonts w:ascii="宋体" w:hAnsi="宋体" w:cs="宋体"/>
        </w:rPr>
      </w:pPr>
      <w:r>
        <w:rPr>
          <w:rFonts w:hint="eastAsia" w:ascii="宋体" w:hAnsi="宋体" w:cs="宋体"/>
        </w:rPr>
        <w:t>1951年4月，张尚琼受错误路线打击，调华南党校学习，后调华南军人转业建设委员会、省大学生毕业统一分配委员会、省人民政府干部培训班、华南劳动就业委员会、省劳动局等单位工作。1978年冬，上级党组织撤销了过去强加于他的一切不实之词，恢复了党籍和政治名誉。同年12月4日因病医治无效于广州逝世。1999年9月，中共南雄市委党史研究室编印《张尚琼纪念文集》出版。</w:t>
      </w:r>
    </w:p>
    <w:p w14:paraId="24EBE9A2">
      <w:pPr>
        <w:ind w:firstLine="422"/>
        <w:rPr>
          <w:rFonts w:ascii="宋体" w:hAnsi="宋体" w:cs="宋体"/>
          <w:b/>
          <w:bCs/>
        </w:rPr>
      </w:pPr>
      <w:r>
        <w:rPr>
          <w:rFonts w:hint="eastAsia" w:ascii="宋体" w:hAnsi="宋体" w:cs="宋体"/>
          <w:b/>
          <w:bCs/>
        </w:rPr>
        <w:t>何醒民</w:t>
      </w:r>
    </w:p>
    <w:p w14:paraId="2B8110F6">
      <w:pPr>
        <w:ind w:firstLine="420"/>
        <w:rPr>
          <w:rFonts w:ascii="宋体" w:hAnsi="宋体" w:cs="宋体"/>
        </w:rPr>
      </w:pPr>
      <w:r>
        <w:rPr>
          <w:rFonts w:hint="eastAsia" w:ascii="宋体" w:hAnsi="宋体" w:cs="宋体"/>
        </w:rPr>
        <w:t>何醒民（1918-1979）湖口镇白木村人。1935年参加油山游击队，1938年编入新四军北上抗日。历任班长、排长、连长、教导员、团长。1939年在苏北曹撤战役中受伤。1949年随军南下，曾任广东警备区科长，荣管局局长。1952年12月，广东省人民政府任命他为省人民医院第一副院长。1979年7月25日在广州军区总医院病逝。</w:t>
      </w:r>
    </w:p>
    <w:p w14:paraId="39FBF37D">
      <w:pPr>
        <w:ind w:firstLine="422"/>
        <w:rPr>
          <w:rFonts w:ascii="宋体" w:hAnsi="宋体" w:cs="宋体"/>
          <w:b/>
          <w:bCs/>
        </w:rPr>
      </w:pPr>
      <w:r>
        <w:rPr>
          <w:rFonts w:hint="eastAsia" w:ascii="宋体" w:hAnsi="宋体" w:cs="宋体"/>
          <w:b/>
          <w:bCs/>
        </w:rPr>
        <w:t>徐道金</w:t>
      </w:r>
    </w:p>
    <w:p w14:paraId="50D468E1">
      <w:pPr>
        <w:ind w:firstLine="420"/>
        <w:rPr>
          <w:rFonts w:ascii="宋体" w:hAnsi="宋体" w:cs="宋体"/>
        </w:rPr>
      </w:pPr>
      <w:r>
        <w:rPr>
          <w:rFonts w:hint="eastAsia" w:ascii="宋体" w:hAnsi="宋体" w:cs="宋体"/>
        </w:rPr>
        <w:t>徐道金（1914-1983），湖口镇矿岭村人。1938年7月加入中国共产党，历任粤赣湘边区纵队第一大队第一中队长，南雄平原北江第二支队武工队长。新中国成立后，历任南雄第五区区委书记、区长，南雄县政府秘书、副县长。1954年12月任中共南雄县委第一副书记、县长。</w:t>
      </w:r>
    </w:p>
    <w:p w14:paraId="6EBD6343">
      <w:pPr>
        <w:ind w:firstLine="420"/>
        <w:rPr>
          <w:rFonts w:ascii="宋体" w:hAnsi="宋体" w:cs="宋体"/>
        </w:rPr>
      </w:pPr>
      <w:r>
        <w:rPr>
          <w:rFonts w:hint="eastAsia" w:ascii="宋体" w:hAnsi="宋体" w:cs="宋体"/>
        </w:rPr>
        <w:t>1957年，在极“左”路线影响下，徐道金受到了不应有的处理后，历任韶关专署森工局乐昌五指山伐木场场长，广东省乳阳林业局五指山林场场长，乳阳林业局基建科长、供销科长、第一学校校长等职。20多年来，以革命事业为重，不计较个人得失，谦虚谨慎，艰苦朴素，团结同志，努力工作，深得人们的尊敬。</w:t>
      </w:r>
    </w:p>
    <w:p w14:paraId="74A1B510">
      <w:pPr>
        <w:ind w:firstLine="420"/>
        <w:rPr>
          <w:rFonts w:ascii="宋体" w:hAnsi="宋体" w:cs="宋体"/>
        </w:rPr>
      </w:pPr>
      <w:r>
        <w:rPr>
          <w:rFonts w:hint="eastAsia" w:ascii="宋体" w:hAnsi="宋体" w:cs="宋体"/>
        </w:rPr>
        <w:t>1979年中共十一届三中全会后，党组织为徐道金彻底平反，恢复县团级政治待遇。1983年，徐道金重病在身，胸怀坦荡，临终前再三嘱咐丧事从简，把骨灰撒在祖国大地。乳阳林业局为徐道金举行了追悼会，悼词称：“徐道金同志的一生是革命的一生，为人民服务的一生，他努力奋斗45年，为党的事业贡献了毕生精力。”</w:t>
      </w:r>
    </w:p>
    <w:p w14:paraId="2979BD4A">
      <w:pPr>
        <w:ind w:firstLine="422"/>
        <w:rPr>
          <w:rFonts w:ascii="宋体" w:hAnsi="宋体" w:cs="宋体"/>
          <w:b/>
          <w:bCs/>
        </w:rPr>
      </w:pPr>
      <w:r>
        <w:rPr>
          <w:rFonts w:hint="eastAsia" w:ascii="宋体" w:hAnsi="宋体" w:cs="宋体"/>
          <w:b/>
          <w:bCs/>
        </w:rPr>
        <w:t>陈少垣</w:t>
      </w:r>
    </w:p>
    <w:p w14:paraId="7E29B778">
      <w:pPr>
        <w:ind w:firstLine="420"/>
        <w:rPr>
          <w:rFonts w:ascii="宋体" w:hAnsi="宋体" w:cs="宋体"/>
        </w:rPr>
      </w:pPr>
      <w:r>
        <w:rPr>
          <w:rFonts w:hint="eastAsia" w:ascii="宋体" w:hAnsi="宋体" w:cs="宋体"/>
        </w:rPr>
        <w:t>陈少垣（1905-1985），原籍广东新会。1922年在广州“鸿发”店当学徒，后任会计、司账多年。1947年到南雄县城与人合股开办“同安”京果杂货店，任经理。同年，被选为南雄县商会委员，是在工商界颇孚众望的无党派民主人士。</w:t>
      </w:r>
    </w:p>
    <w:p w14:paraId="683350D9">
      <w:pPr>
        <w:ind w:firstLine="420"/>
        <w:rPr>
          <w:rFonts w:ascii="宋体" w:hAnsi="宋体" w:cs="宋体"/>
        </w:rPr>
      </w:pPr>
      <w:r>
        <w:rPr>
          <w:rFonts w:hint="eastAsia" w:ascii="宋体" w:hAnsi="宋体" w:cs="宋体"/>
        </w:rPr>
        <w:t>1951年，陈少垣出任南雄县工商联筹委会主任委员。同年9月被选为广东省第二届各界人民代表会议代表。1956年，积极拥护党对私营工商业改造政策，以自己的实际行动带动县城工商界踊跃参加公私合营。同年，当选为县人民委员、县工商联主任委员、省工商联常委、省政协委员。1957年1月至1963年8月，在南雄县第二、三、四、五届人民代表大会上连续当选为副县长，任职至1967年1月。1980年11月，又当选为县政协第一届委员会副主席，1984年6月届满退休。他在县政府、政协担任领导职务10多年，谦虚谨慎，尽职尽责。1985年病逝。</w:t>
      </w:r>
    </w:p>
    <w:p w14:paraId="23EB9321">
      <w:pPr>
        <w:ind w:firstLine="422"/>
        <w:rPr>
          <w:rFonts w:ascii="宋体" w:hAnsi="宋体" w:cs="宋体"/>
          <w:b/>
          <w:bCs/>
        </w:rPr>
      </w:pPr>
      <w:r>
        <w:rPr>
          <w:rFonts w:hint="eastAsia" w:ascii="宋体" w:hAnsi="宋体" w:cs="宋体"/>
          <w:b/>
          <w:bCs/>
        </w:rPr>
        <w:t>李文华</w:t>
      </w:r>
    </w:p>
    <w:p w14:paraId="742E4CC8">
      <w:pPr>
        <w:ind w:firstLine="420"/>
        <w:rPr>
          <w:rFonts w:ascii="宋体" w:hAnsi="宋体" w:cs="宋体"/>
        </w:rPr>
      </w:pPr>
      <w:r>
        <w:rPr>
          <w:rFonts w:hint="eastAsia" w:ascii="宋体" w:hAnsi="宋体" w:cs="宋体"/>
        </w:rPr>
        <w:t>李文华（1914-1987）原名李相锦，乳名金茂生，乌迳镇新田忠心乾村人。7岁丧父，13岁丧母，过着孤苦伶仃的生活。14岁做长工，晚上常跟随地下党负责人到黄坑、乌迳宣传革命，发动群众。1929年5月加入共产主义青年团。11月，经驻江西信丰的红三十五军地方干部训练团学习后，在南雄游击大队任司号员。李文华少年英勇。1931年春攻打南雄东六区“清剿委员”冯宠华盘踞的延村水楼时，是12名敢死队员之一。1932年2月转为中共正式党员。1932年3月至1935年10月，先后在红军三军团任模范连指导员、营教导员、六师十七团党总支书记。参加了第四次、第五次反“围剿”战斗和二万五千里长征。在贵州土城战役中，头部和腿部负伤，伤口化脓，视力模糊，仍顽强地爬过雪山、草地。1935年11月，因伤口复发，由军团政治部后卫收容队安置在甘肃武山县鸳鸯镇一个百姓家里治伤。伤愈后归队，在红四方面军三十军八十九师二六八团，职至师组织科长。</w:t>
      </w:r>
    </w:p>
    <w:p w14:paraId="781ECEDF">
      <w:pPr>
        <w:ind w:firstLine="420"/>
        <w:rPr>
          <w:rFonts w:ascii="宋体" w:hAnsi="宋体" w:cs="宋体"/>
        </w:rPr>
      </w:pPr>
      <w:r>
        <w:rPr>
          <w:rFonts w:hint="eastAsia" w:ascii="宋体" w:hAnsi="宋体" w:cs="宋体"/>
        </w:rPr>
        <w:t>1936年10月，李文华随红西路军转战河西走廊。1937年3月，随李先念等从青海祁连县康龙寺石窝山突围，越过祁连雪山，穿过戈壁沙漠，沿途突破了国民党军在安西、红柳园多方堵截包围，于4月底到达甘肃、新疆交界的星星峡。5月，中共中央派代表陈云等把西路军接到迪化（今乌鲁木齐）安置。李文华被编入汽车装甲中队学习，先为学员，后为教员。</w:t>
      </w:r>
    </w:p>
    <w:p w14:paraId="75DF4F4E">
      <w:pPr>
        <w:ind w:firstLine="420"/>
        <w:rPr>
          <w:rFonts w:ascii="宋体" w:hAnsi="宋体" w:cs="宋体"/>
        </w:rPr>
      </w:pPr>
      <w:r>
        <w:rPr>
          <w:rFonts w:hint="eastAsia" w:ascii="宋体" w:hAnsi="宋体" w:cs="宋体"/>
        </w:rPr>
        <w:t>1939年底，李文华在延安八路军总政治部，职至政治协理员，兼总务处长，主管总政机关的党政工作和组织总政机关人员参加南泥湾大生产运动。1942年2月起，在延安中央高级党校学习4年，参加延安整风。</w:t>
      </w:r>
    </w:p>
    <w:p w14:paraId="077C2E36">
      <w:pPr>
        <w:ind w:firstLine="420"/>
        <w:rPr>
          <w:rFonts w:ascii="宋体" w:hAnsi="宋体" w:cs="宋体"/>
        </w:rPr>
      </w:pPr>
      <w:r>
        <w:rPr>
          <w:rFonts w:hint="eastAsia" w:ascii="宋体" w:hAnsi="宋体" w:cs="宋体"/>
        </w:rPr>
        <w:t>1945年8月，李文华调东北工作，任松江军区哈北军分区副政委兼哈北地委常委、兰西县委书记（后任密山县委书记），接管日伪财产，组建哈北军分区第六骑兵团（后编入三五九旅），任团政委，参加清剿谢文东等土匪的战斗。</w:t>
      </w:r>
    </w:p>
    <w:p w14:paraId="0736823A">
      <w:pPr>
        <w:ind w:firstLine="420"/>
        <w:rPr>
          <w:rFonts w:ascii="宋体" w:hAnsi="宋体" w:cs="宋体"/>
        </w:rPr>
      </w:pPr>
      <w:r>
        <w:rPr>
          <w:rFonts w:hint="eastAsia" w:ascii="宋体" w:hAnsi="宋体" w:cs="宋体"/>
        </w:rPr>
        <w:t>1947年11月，任第四野战军四十七军挺进支队政委，参加著名的辽沈战役和平津战役。</w:t>
      </w:r>
    </w:p>
    <w:p w14:paraId="4BCE0A55">
      <w:pPr>
        <w:ind w:firstLine="420"/>
        <w:rPr>
          <w:rFonts w:ascii="宋体" w:hAnsi="宋体" w:cs="宋体"/>
        </w:rPr>
      </w:pPr>
      <w:r>
        <w:rPr>
          <w:rFonts w:hint="eastAsia" w:ascii="宋体" w:hAnsi="宋体" w:cs="宋体"/>
        </w:rPr>
        <w:t>新中国成立初，李文华调回广东工作，曾任粤北行署副主任、韶关专署专员，领导粤北土地改革运动。1953年至1958年任省农业厅副厅长、代厅长、党组书记，深入海南、雷州半岛调查研究，制定开发建设规划。1958年至1963年先后任阳春矿务局、坪石矿务局副局长、局长。1963年至1968年曾任全国农产量调查总队广东分队队长、党组书记，省计委副主任。“文化大革命”期间受迫害。1973年4月任省储备物资管理局副局长、党组副书记（副部级待遇）。1982年8月离职休养后，仍担任该局老干部党支部书记，继续为党工作。1987年11月5日病逝。</w:t>
      </w:r>
    </w:p>
    <w:p w14:paraId="3A8E93AC">
      <w:pPr>
        <w:ind w:firstLine="422"/>
        <w:rPr>
          <w:rFonts w:ascii="宋体" w:hAnsi="宋体" w:cs="宋体"/>
          <w:b/>
          <w:bCs/>
        </w:rPr>
      </w:pPr>
      <w:r>
        <w:rPr>
          <w:rFonts w:hint="eastAsia" w:ascii="宋体" w:hAnsi="宋体" w:cs="宋体"/>
          <w:b/>
          <w:bCs/>
        </w:rPr>
        <w:t>徐道昌</w:t>
      </w:r>
    </w:p>
    <w:p w14:paraId="3A3CF6E1">
      <w:pPr>
        <w:ind w:firstLine="420"/>
        <w:rPr>
          <w:rFonts w:ascii="宋体" w:hAnsi="宋体" w:cs="宋体"/>
        </w:rPr>
      </w:pPr>
      <w:r>
        <w:rPr>
          <w:rFonts w:hint="eastAsia" w:ascii="宋体" w:hAnsi="宋体" w:cs="宋体"/>
        </w:rPr>
        <w:t>徐道昌（1913-1989），湖口镇矿岭村人。中山大学肄业。1937年12月加入中国共产党，从事党的地下工作。曾任广东青年抗日先锋队南雄县队组织部长，中共南雄中心县委员会宣传委员。1942年“粤北事件”后，遵照党组织的指示撤退香港。1944年回南雄，在地下党组织的安排下，打入国民党政府内，出任南雄县后备队预编第十二中队指导员、珠玑乡乡长，以合法身份掩护五岭地区游击队开展革命斗争。1947年，任粤赣湘边区人民解放总队第二支队独立第一大队大队长，在南雄乡村开展打土豪分田地斗争。1948年秋，中共五岭地委组建南雄路西工委，徐道昌任工委特派员。</w:t>
      </w:r>
    </w:p>
    <w:p w14:paraId="6536CF94">
      <w:pPr>
        <w:ind w:firstLine="420"/>
        <w:rPr>
          <w:rFonts w:ascii="宋体" w:hAnsi="宋体" w:cs="宋体"/>
        </w:rPr>
      </w:pPr>
      <w:r>
        <w:rPr>
          <w:rFonts w:hint="eastAsia" w:ascii="宋体" w:hAnsi="宋体" w:cs="宋体"/>
        </w:rPr>
        <w:t>新中国成立后，徐道昌曾在乐昌县任区长、科长、贸易公司经理。1954年7月起，先后任中共韶关地委党校理论教员、教研室副主任、中共韶关地委宣传部科长。1960年起任广东矿冶学院政治课讲师，广东工学院电工系办公室主任、总务处副处长。在学院20多年，与教职员工一起，艰苦创业，努力工作，为学院建设作出了贡献。1983年3月离职休养，享受厅局级干部待遇。</w:t>
      </w:r>
    </w:p>
    <w:p w14:paraId="7BB08F4A">
      <w:pPr>
        <w:ind w:firstLine="420"/>
        <w:rPr>
          <w:rFonts w:ascii="宋体" w:hAnsi="宋体" w:cs="宋体"/>
        </w:rPr>
      </w:pPr>
      <w:r>
        <w:rPr>
          <w:rFonts w:hint="eastAsia" w:ascii="宋体" w:hAnsi="宋体" w:cs="宋体"/>
        </w:rPr>
        <w:t>1989年4月病逝于广州。广东工学院徐道昌治丧委员会讣告称：“徐道昌参加革命工作半个多世纪。他的一生是革命的一生，战斗的一生”。2003年南雄市史志办公室为缅怀徐道昌同志编印《他在暴风雨中成长》文选。</w:t>
      </w:r>
    </w:p>
    <w:p w14:paraId="5504B2E5">
      <w:pPr>
        <w:ind w:firstLine="422"/>
        <w:rPr>
          <w:rFonts w:ascii="宋体" w:hAnsi="宋体" w:cs="宋体"/>
          <w:b/>
          <w:bCs/>
        </w:rPr>
      </w:pPr>
      <w:r>
        <w:rPr>
          <w:rFonts w:hint="eastAsia" w:ascii="宋体" w:hAnsi="宋体" w:cs="宋体"/>
          <w:b/>
          <w:bCs/>
        </w:rPr>
        <w:t>卢道和</w:t>
      </w:r>
    </w:p>
    <w:p w14:paraId="03B1302B">
      <w:pPr>
        <w:ind w:firstLine="420"/>
        <w:rPr>
          <w:rFonts w:ascii="宋体" w:hAnsi="宋体" w:cs="宋体"/>
        </w:rPr>
      </w:pPr>
      <w:r>
        <w:rPr>
          <w:rFonts w:hint="eastAsia" w:ascii="宋体" w:hAnsi="宋体" w:cs="宋体"/>
        </w:rPr>
        <w:t>卢道和（1934-1990），南雄城人。祖辈在雄城经营“锦源”金银首饰店。1947年移居广州，而后移居香港，定居澳门，得何贤先生器重，创办大荣洋行和诚兴银行有限公司，历任澳门中华总商会常务会董。</w:t>
      </w:r>
    </w:p>
    <w:p w14:paraId="4C6CDD8B">
      <w:pPr>
        <w:ind w:firstLine="420"/>
        <w:rPr>
          <w:rFonts w:ascii="宋体" w:hAnsi="宋体" w:cs="宋体"/>
        </w:rPr>
      </w:pPr>
      <w:r>
        <w:rPr>
          <w:rFonts w:hint="eastAsia" w:ascii="宋体" w:hAnsi="宋体" w:cs="宋体"/>
        </w:rPr>
        <w:t>20世纪80年代初，广东经济特区刚起步，卢道和满怀爱国爱乡深情，率先投资港币1000多万元在珠海兴建拱北宾馆，并参与投资兴建珠海宾馆，参与发起投资兴建广珠公路四座大桥。1978年，卢道和回乡观光，向南雄捐赠卷烟设备1套。1980年第二次回乡观光，又捐港币50万元重修三影塔。他还向广州中山医学院附属肿瘤医院慨捐美金20万元购进国外先进设备，向韶关大学捐资200多万元，兴建卢道和美术楼。</w:t>
      </w:r>
    </w:p>
    <w:p w14:paraId="3618FDC7">
      <w:pPr>
        <w:ind w:firstLine="420"/>
        <w:rPr>
          <w:rFonts w:ascii="宋体" w:hAnsi="宋体" w:cs="宋体"/>
        </w:rPr>
      </w:pPr>
      <w:r>
        <w:rPr>
          <w:rFonts w:hint="eastAsia" w:ascii="宋体" w:hAnsi="宋体" w:cs="宋体"/>
        </w:rPr>
        <w:t>卢道和曾被选为韶关市政协第五、六届常务委员。1990年2月病逝。</w:t>
      </w:r>
    </w:p>
    <w:p w14:paraId="38E9FB25">
      <w:pPr>
        <w:ind w:firstLine="422"/>
        <w:rPr>
          <w:rFonts w:ascii="宋体" w:hAnsi="宋体" w:cs="宋体"/>
          <w:b/>
          <w:bCs/>
        </w:rPr>
      </w:pPr>
      <w:r>
        <w:rPr>
          <w:rFonts w:hint="eastAsia" w:ascii="宋体" w:hAnsi="宋体" w:cs="宋体"/>
          <w:b/>
          <w:bCs/>
        </w:rPr>
        <w:t>张英裘</w:t>
      </w:r>
    </w:p>
    <w:p w14:paraId="2F332AD5">
      <w:pPr>
        <w:ind w:firstLine="420"/>
        <w:rPr>
          <w:rFonts w:ascii="宋体" w:hAnsi="宋体" w:cs="宋体"/>
        </w:rPr>
      </w:pPr>
      <w:r>
        <w:rPr>
          <w:rFonts w:hint="eastAsia" w:ascii="宋体" w:hAnsi="宋体" w:cs="宋体"/>
        </w:rPr>
        <w:t>张英裘（1922-1991），又名张达明，湖口镇人。省立南雄中学高中毕业。1938年10月加入中国共产党，历任游击队副官、指导员、武工队负责人。1949年解放后，历任中国人民银行南雄支行行长，中共南雄县第一区委员会书记。1954年12月至1955年6月，任南雄县副县长。1955年6月至1958年5月，任中共南雄县委书记、南雄县县长。在任县委书记、县长期间，正值贯彻社会主义总路线、“大跃进”，张英裘脚踏实地，先后驻扎在横江水库、中坪水库工地指挥施工，苦干实干。1956年9月，南雄县水土保持委员会成立，张英裘兼任主任，启动了南雄水土保持工作。</w:t>
      </w:r>
    </w:p>
    <w:p w14:paraId="6D4DD766">
      <w:pPr>
        <w:ind w:firstLine="420"/>
        <w:rPr>
          <w:rFonts w:ascii="宋体" w:hAnsi="宋体" w:cs="宋体"/>
        </w:rPr>
      </w:pPr>
      <w:r>
        <w:rPr>
          <w:rFonts w:hint="eastAsia" w:ascii="宋体" w:hAnsi="宋体" w:cs="宋体"/>
        </w:rPr>
        <w:t>1958年5月，开展“反地方主义”，张英裘被错定为“地方主义分子”而受处分（后已平反）。但他不计较个人得失，以党的事业为重，积极工作。1959年4月，张英裘调任帽子峰林牧场场长。时值三年经济困难时期，张英裘与职工同甘苦，积极组织生产自救。1960年2月，帽子峰林业公社成立，张英裘任党委书记。正值春荒，群众缺粮，有的断炊，水肿病流行。张英裘从关心群众生活入手，把帽子峰林牧场储存的1万公斤番薯调来应急，到县城请医生进山办医院为群众治病，又请求县里拨来谷种300担，使春耕生产得以顺利进行。次年，在上龙组织群众兴建两口山塘，带动各村兴修水利，为山区农田水利建设开了一个好头。</w:t>
      </w:r>
    </w:p>
    <w:p w14:paraId="5F83F77C">
      <w:pPr>
        <w:ind w:firstLine="420"/>
        <w:rPr>
          <w:rFonts w:ascii="宋体" w:hAnsi="宋体" w:cs="宋体"/>
        </w:rPr>
      </w:pPr>
      <w:r>
        <w:rPr>
          <w:rFonts w:hint="eastAsia" w:ascii="宋体" w:hAnsi="宋体" w:cs="宋体"/>
        </w:rPr>
        <w:t>1963年1月至1965年4月，张英裘调任县粮食局长。1970年离休。1991年11月病逝，享年69岁。</w:t>
      </w:r>
    </w:p>
    <w:p w14:paraId="57698AF2">
      <w:pPr>
        <w:ind w:firstLine="422"/>
        <w:rPr>
          <w:rFonts w:ascii="宋体" w:hAnsi="宋体" w:cs="宋体"/>
          <w:b/>
          <w:bCs/>
        </w:rPr>
      </w:pPr>
      <w:r>
        <w:rPr>
          <w:rFonts w:hint="eastAsia" w:ascii="宋体" w:hAnsi="宋体" w:cs="宋体"/>
          <w:b/>
          <w:bCs/>
        </w:rPr>
        <w:t>叶树林</w:t>
      </w:r>
    </w:p>
    <w:p w14:paraId="6ABCFAD8">
      <w:pPr>
        <w:ind w:firstLine="420"/>
        <w:rPr>
          <w:rFonts w:ascii="宋体" w:hAnsi="宋体" w:cs="宋体"/>
        </w:rPr>
      </w:pPr>
      <w:r>
        <w:rPr>
          <w:rFonts w:hint="eastAsia" w:ascii="宋体" w:hAnsi="宋体" w:cs="宋体"/>
        </w:rPr>
        <w:t>叶树林（1916-1995），孔江大竹村人。少时家贫，为人牧牛。1934年3月，参加油山游击队，随军转战粤赣边，意志坚定，纪律严明，机智勇敢。1938年1月，随新四军北上抗日。1938年12月，加入中国共产党，曾任新四军军部报务员。其后在江北支队十四团、五支队八团、淮海军区、三师卫生部、两淮盐务局等处任报务员、报务主任、党支部书记、股长等职。在任期间，严守党的机密，完成各项任务。</w:t>
      </w:r>
    </w:p>
    <w:p w14:paraId="4B7EA56B">
      <w:pPr>
        <w:ind w:firstLine="420"/>
        <w:rPr>
          <w:rFonts w:ascii="宋体" w:hAnsi="宋体" w:cs="宋体"/>
        </w:rPr>
      </w:pPr>
      <w:r>
        <w:rPr>
          <w:rFonts w:hint="eastAsia" w:ascii="宋体" w:hAnsi="宋体" w:cs="宋体"/>
        </w:rPr>
        <w:t>1954年，叶树林转业地方工作，曾任广东潮阳县百货公司经理。1957年调回南雄县任民政局</w:t>
      </w:r>
      <w:r>
        <w:rPr>
          <w:rFonts w:hint="eastAsia" w:ascii="宋体" w:hAnsi="宋体" w:cs="宋体"/>
          <w:lang w:val="en-US" w:eastAsia="zh-CN"/>
        </w:rPr>
        <w:t>局</w:t>
      </w:r>
      <w:r>
        <w:rPr>
          <w:rFonts w:hint="eastAsia" w:ascii="宋体" w:hAnsi="宋体" w:cs="宋体"/>
        </w:rPr>
        <w:t>长。1962年1月，当选为副县长。1963年6月后，历任中共南雄县委宣传部副部长、统战部副部长。1980年当选为南雄县政协第一届委员会副主席。</w:t>
      </w:r>
    </w:p>
    <w:p w14:paraId="4DC43238">
      <w:pPr>
        <w:ind w:firstLine="420"/>
        <w:rPr>
          <w:rFonts w:ascii="宋体" w:hAnsi="宋体" w:cs="宋体"/>
        </w:rPr>
      </w:pPr>
      <w:r>
        <w:rPr>
          <w:rFonts w:hint="eastAsia" w:ascii="宋体" w:hAnsi="宋体" w:cs="宋体"/>
        </w:rPr>
        <w:t>叶树林一生坚持老红军光荣传统，为政清廉，生活朴素，任劳任怨，勤勤恳恳，埋头苦干。人们都尊称他为老革命。1984年离休，享受地专级干部待遇。1995年5月病逝。</w:t>
      </w:r>
    </w:p>
    <w:p w14:paraId="55E38914">
      <w:pPr>
        <w:ind w:firstLine="422"/>
        <w:rPr>
          <w:rFonts w:ascii="宋体" w:hAnsi="宋体" w:cs="宋体"/>
          <w:b/>
          <w:bCs/>
        </w:rPr>
      </w:pPr>
      <w:r>
        <w:rPr>
          <w:rFonts w:hint="eastAsia" w:ascii="宋体" w:hAnsi="宋体" w:cs="宋体"/>
          <w:b/>
          <w:bCs/>
        </w:rPr>
        <w:t>郭隆钰</w:t>
      </w:r>
    </w:p>
    <w:p w14:paraId="3305F17D">
      <w:pPr>
        <w:ind w:firstLine="420"/>
        <w:rPr>
          <w:rFonts w:ascii="宋体" w:hAnsi="宋体" w:cs="宋体"/>
        </w:rPr>
      </w:pPr>
      <w:r>
        <w:rPr>
          <w:rFonts w:hint="eastAsia" w:ascii="宋体" w:hAnsi="宋体" w:cs="宋体"/>
        </w:rPr>
        <w:t>郭隆钰（1924-1995），原籍江西泰和县。1945年在泰和县高中毕业。1946年初，被聘任为南雄豫德小学教员。同年夏，考入国立中山大学法学院。在校学习期间参加中共领导的“爱国民主协会”。1948年8月，参加革命工作。</w:t>
      </w:r>
    </w:p>
    <w:p w14:paraId="09DED052">
      <w:pPr>
        <w:ind w:firstLine="420"/>
        <w:rPr>
          <w:rFonts w:ascii="宋体" w:hAnsi="宋体" w:cs="宋体"/>
        </w:rPr>
      </w:pPr>
      <w:r>
        <w:rPr>
          <w:rFonts w:hint="eastAsia" w:ascii="宋体" w:hAnsi="宋体" w:cs="宋体"/>
        </w:rPr>
        <w:t>1954年，郭隆钰加入中国共产党，历任县公安局副股长，县民政局副局长，县人民医院革命领导小组副组长，县革委会财贸办副主任，县供销社副主任，县外经委副主任，县委统战部副部长。1980年11月当选为县政协第一届委员会副主席，连任两届，至1987年离休。在任期间，关注海外联谊工作，为修建三影古塔、烈士陵园而尽心竭力。</w:t>
      </w:r>
    </w:p>
    <w:p w14:paraId="42FA031D">
      <w:pPr>
        <w:ind w:firstLine="420"/>
        <w:rPr>
          <w:rFonts w:ascii="宋体" w:hAnsi="宋体" w:cs="宋体"/>
        </w:rPr>
      </w:pPr>
      <w:r>
        <w:rPr>
          <w:rFonts w:hint="eastAsia" w:ascii="宋体" w:hAnsi="宋体" w:cs="宋体"/>
        </w:rPr>
        <w:t>郭隆钰一生从政，忠于职守，且勤奋学习，博览群书，对陶瓷、书法颇有研究，是中国古陶瓷研究会会员、中国书法家协会广东分会会员、韶关诗社理事、江西庐陵诗词学会顾问。著有：《古瓷考略》、《笔情墨趣》、《稚园诗话》。他撰写的南雄古瓷研究论文《宋代南雄窑白瓷远销海外的探讨》发表于1987年中国古陶瓷研究会福建晋江学术年会，并载入《南雄县志》。</w:t>
      </w:r>
    </w:p>
    <w:p w14:paraId="19D8FD8A">
      <w:pPr>
        <w:ind w:firstLine="422"/>
        <w:rPr>
          <w:rFonts w:ascii="宋体" w:hAnsi="宋体" w:cs="宋体"/>
          <w:b/>
          <w:bCs/>
        </w:rPr>
      </w:pPr>
      <w:r>
        <w:rPr>
          <w:rFonts w:hint="eastAsia" w:ascii="宋体" w:hAnsi="宋体" w:cs="宋体"/>
          <w:b/>
          <w:bCs/>
        </w:rPr>
        <w:t>曾昭慈</w:t>
      </w:r>
    </w:p>
    <w:p w14:paraId="1755231A">
      <w:pPr>
        <w:ind w:firstLine="420"/>
        <w:rPr>
          <w:rFonts w:ascii="宋体" w:hAnsi="宋体" w:cs="宋体"/>
        </w:rPr>
      </w:pPr>
      <w:r>
        <w:rPr>
          <w:rFonts w:hint="eastAsia" w:ascii="宋体" w:hAnsi="宋体" w:cs="宋体"/>
        </w:rPr>
        <w:t>曾昭慈（1907-1997），又名碧漪，湖口镇人。1923年冬毕业于韶关德华女子师范学校。1924年考入广东工业专门学校。1925年参加共产主义青年团，同年转入中国共产党，被任命为广东省妇女解放协会南雄分会特派员，回南雄开展革命活动，又被选为中共南雄县委委员。时值国共合作，出任国民党南雄县党部执行委员，妇女部长，广东妇女解放协会南雄分会主席。在此期间，大力发动妇女参加人民革命斗争。</w:t>
      </w:r>
    </w:p>
    <w:p w14:paraId="10BD7191">
      <w:pPr>
        <w:ind w:firstLine="420"/>
        <w:rPr>
          <w:rFonts w:ascii="宋体" w:hAnsi="宋体" w:cs="宋体"/>
        </w:rPr>
      </w:pPr>
      <w:r>
        <w:rPr>
          <w:rFonts w:hint="eastAsia" w:ascii="宋体" w:hAnsi="宋体" w:cs="宋体"/>
        </w:rPr>
        <w:t>1928年农历正月21日晚，中共南雄县委组织农民武装暴动，成立县苏维埃政府。3月，国民党政府派重兵镇压，暴动失败。曾昭慈与堂兄曾昭秀（中共南雄县委书记）转移到江西虔南县社迳大曾屋下隐蔽。不久，转移寻乌，任寻乌苏维埃政府妇女工作部部长。1929年，曾昭慈与古柏（时任中共寻乌县委书记）结婚。1930年，古柏调红四军，先后担任红四军前委秘书长，红一方面军总前委秘书长。曾昭慈也随调红四军前委，任前委书记毛泽东的秘书。先后历任红军总前委秘书、保管科文书科科长、江西省政府内务部秘书、中央苏区粮食部调查统计局局长。</w:t>
      </w:r>
    </w:p>
    <w:p w14:paraId="76E8BF75">
      <w:pPr>
        <w:ind w:firstLine="420"/>
        <w:rPr>
          <w:rFonts w:ascii="宋体" w:hAnsi="宋体" w:cs="宋体"/>
        </w:rPr>
      </w:pPr>
      <w:r>
        <w:rPr>
          <w:rFonts w:hint="eastAsia" w:ascii="宋体" w:hAnsi="宋体" w:cs="宋体"/>
        </w:rPr>
        <w:t>1934年，红军长征后，曾昭慈随古柏留在中央苏区后方办事处。1935年6月，古柏在龙川县鸳鸯坑战斗中牺牲。曾昭慈在战斗转移中被捕入狱，坚贞不屈，严守机密。1936年春被释放出狱，携子古一民历尽艰险回到湖口家中隐蔽，动员堂弟曾文玉、妹曾华、表兄张功佩北上延安抗日军政大学。后来，文玉、功佩均遇难牺牲。1938年，曾昭慈恢复了与党组织的联系，安排在韶关某产院工作，以此作掩护，为地下党购运药品，传送了许多重要情报。1949年解放后，曾昭慈调北京、先后在中国红十字会总会、中央纪律监察委员会、中国革命博物馆等部门工作，曾任全国政协第四、五届委员。1997年病逝北京。</w:t>
      </w:r>
    </w:p>
    <w:p w14:paraId="5606CDD9">
      <w:pPr>
        <w:ind w:firstLine="422"/>
        <w:rPr>
          <w:rFonts w:ascii="宋体" w:hAnsi="宋体" w:cs="宋体"/>
          <w:b/>
          <w:bCs/>
        </w:rPr>
      </w:pPr>
      <w:r>
        <w:rPr>
          <w:rFonts w:hint="eastAsia" w:ascii="宋体" w:hAnsi="宋体" w:cs="宋体"/>
          <w:b/>
          <w:bCs/>
        </w:rPr>
        <w:t>吴述超</w:t>
      </w:r>
    </w:p>
    <w:p w14:paraId="3D664B05">
      <w:pPr>
        <w:ind w:firstLine="420"/>
        <w:rPr>
          <w:rFonts w:ascii="宋体" w:hAnsi="宋体" w:cs="宋体"/>
        </w:rPr>
      </w:pPr>
      <w:r>
        <w:rPr>
          <w:rFonts w:hint="eastAsia" w:ascii="宋体" w:hAnsi="宋体" w:cs="宋体"/>
        </w:rPr>
        <w:t>吴述超（1936-1997），湖口镇人。少年投身革命，解放后在县公安局历任通讯员、副股长、股长。聪敏好学，热情积极，曾先后被广东省政法委员会、韶关市公安局评为先进工作者。</w:t>
      </w:r>
    </w:p>
    <w:p w14:paraId="68922DAF">
      <w:pPr>
        <w:ind w:firstLine="420"/>
        <w:rPr>
          <w:rFonts w:ascii="宋体" w:hAnsi="宋体" w:cs="宋体"/>
        </w:rPr>
      </w:pPr>
      <w:r>
        <w:rPr>
          <w:rFonts w:hint="eastAsia" w:ascii="宋体" w:hAnsi="宋体" w:cs="宋体"/>
        </w:rPr>
        <w:t>1973年3月至1976年8月，吴述超出任坪田公社党委副书记、书记。1976年8月至1978年6月，任黎口公社党委书记。1978年4月至1980年11月，任县革命委员会副主任。1980年3月至1984年6月，任县公安局长、公安局党委书记、党组书记。1980年6月起当选为中共南雄县委员会第四、五、六届常委，任政法委书记。1988年8月至1990年3月，任南雄县副县长。吴述超在政法部门担任领导职务多年，尽职尽责，在外来人口管理及乡镇法庭、公安派出所基层建设方面，创造性地做了许多有益的工作。</w:t>
      </w:r>
    </w:p>
    <w:p w14:paraId="5B05F10F">
      <w:pPr>
        <w:ind w:firstLine="420"/>
        <w:rPr>
          <w:rFonts w:ascii="宋体" w:hAnsi="宋体" w:cs="宋体"/>
        </w:rPr>
      </w:pPr>
      <w:r>
        <w:rPr>
          <w:rFonts w:hint="eastAsia" w:ascii="宋体" w:hAnsi="宋体" w:cs="宋体"/>
        </w:rPr>
        <w:t>1990年3月至1996年3月，吴述超当选为南雄县政协第四、五两届主席。在任期间，兼任南雄珠玑巷后裔联谊筹委会主任，为筹建南雄珠玑巷联谊会四方奔走多年，成效显著。又担任《珠玑巷丛书》主编，已编辑出版10种，系统地宣传珠玑文化。1996年4月离休，1997年4月病逝于广州陆军总医院。</w:t>
      </w:r>
    </w:p>
    <w:p w14:paraId="3DD0FB6C">
      <w:pPr>
        <w:ind w:firstLine="422"/>
        <w:rPr>
          <w:rFonts w:ascii="宋体" w:hAnsi="宋体" w:cs="宋体"/>
          <w:b/>
          <w:bCs/>
        </w:rPr>
      </w:pPr>
      <w:r>
        <w:rPr>
          <w:rFonts w:hint="eastAsia" w:ascii="宋体" w:hAnsi="宋体" w:cs="宋体"/>
          <w:b/>
          <w:bCs/>
        </w:rPr>
        <w:t>尹积昌</w:t>
      </w:r>
    </w:p>
    <w:p w14:paraId="191559C4">
      <w:pPr>
        <w:ind w:firstLine="420"/>
        <w:rPr>
          <w:rFonts w:ascii="宋体" w:hAnsi="宋体" w:cs="宋体"/>
        </w:rPr>
      </w:pPr>
      <w:r>
        <w:rPr>
          <w:rFonts w:hint="eastAsia" w:ascii="宋体" w:hAnsi="宋体" w:cs="宋体"/>
        </w:rPr>
        <w:t>尹积昌（1923-1998），南雄城人。一生酷爱艺术，独钟雕塑，刻苦追求，始终不渝，终成我国著名雕塑家，国家一级美术师。</w:t>
      </w:r>
    </w:p>
    <w:p w14:paraId="1013B581">
      <w:pPr>
        <w:ind w:firstLine="420"/>
        <w:rPr>
          <w:rFonts w:ascii="宋体" w:hAnsi="宋体" w:cs="宋体"/>
        </w:rPr>
      </w:pPr>
      <w:r>
        <w:rPr>
          <w:rFonts w:hint="eastAsia" w:ascii="宋体" w:hAnsi="宋体" w:cs="宋体"/>
        </w:rPr>
        <w:t>1941年，尹积昌考入广东省立艺术专科学校，师从美术大师胡根天、吴子复等。毕业后，投身于柳州郑可工作室，从学徒做起，勤奋实践。抗战胜利后，尹积昌随郑可到广州，在美图文化企业公司工作。不久，又到香港主持郑可工作室。</w:t>
      </w:r>
    </w:p>
    <w:p w14:paraId="405BC6DC">
      <w:pPr>
        <w:ind w:firstLine="420"/>
        <w:rPr>
          <w:rFonts w:ascii="宋体" w:hAnsi="宋体" w:cs="宋体"/>
        </w:rPr>
      </w:pPr>
      <w:r>
        <w:rPr>
          <w:rFonts w:hint="eastAsia" w:ascii="宋体" w:hAnsi="宋体" w:cs="宋体"/>
        </w:rPr>
        <w:t>新中国成立后，尹积昌满怀爱国热情回到广州，参加中共中央华南分局隶属的华南文工团。不久，受命组建南方艺术服务社。他出色的工作和杰出的作品为广州市长朱光所赏识。1956年6月，广州雕塑室宣告成立，尹积昌为主任。从此，揭开了广州雕塑事业新的一页。1958年，尹积昌和詹行宪、廖加复一起塑造5.5米高的《孙中山像》矗立在中山纪念堂前。1959年12月，尹积昌成功地完成了花岗石大型雕塑《广州解放纪念像》，为海珠广场增添异彩。1960年，尹积昌与陈本宗、孔繁伟合作，又在越秀山完成了具有广州标志的《五羊石像》。1987年，《孙中山像》、《五羊石像》荣获全国城市雕塑优秀奖。《广州起义纪念碑》是尹积昌萦怀了20多年的梦想。经过20多年的反复构思、设计、筹划，两年多的日夜施工，这座高41米、面积达3000多平方米的花岗石巨型雕塑，终于在1987年11月雄伟地屹立在红花岗广州烈士陵园。尹积昌退休后，仍以饱满的热情埋头于雕塑事业。他曾应邀到新加坡、马来西亚讲学，并相继完成了五羊仙庭、十九路军抗日烈士陵园雕像重建、蔡廷锴将军、东莞科书博广场主雕《智慧凌空》、广州东郊公园民族英雄邓世昌等10多座纪念性大型雕像，参加了广州雕塑公园的建设，还做了周恩来、叶挺、蔡楚生、朱光等一批纪念像和一系列人物像浮雕、园雕。</w:t>
      </w:r>
    </w:p>
    <w:p w14:paraId="448D74D1">
      <w:pPr>
        <w:ind w:firstLine="420"/>
        <w:rPr>
          <w:rFonts w:ascii="宋体" w:hAnsi="宋体" w:cs="宋体"/>
        </w:rPr>
      </w:pPr>
      <w:r>
        <w:rPr>
          <w:rFonts w:hint="eastAsia" w:ascii="宋体" w:hAnsi="宋体" w:cs="宋体"/>
        </w:rPr>
        <w:t>中国著名雕塑家唐大禧称：“老尹艺术工底深厚，不仅具有高超的写实技巧，而且修养全面”；“老尹的艺术风格严谨朴实，洒脱中见条理，条理中见出处，出处中见源流，体现了‘主客相关，各成章节’的大局观念和深邃的传统哲理思想”。</w:t>
      </w:r>
    </w:p>
    <w:p w14:paraId="66DD9B32">
      <w:pPr>
        <w:ind w:firstLine="420"/>
        <w:rPr>
          <w:rFonts w:ascii="宋体" w:hAnsi="宋体" w:cs="宋体"/>
        </w:rPr>
      </w:pPr>
      <w:r>
        <w:rPr>
          <w:rFonts w:hint="eastAsia" w:ascii="宋体" w:hAnsi="宋体" w:cs="宋体"/>
        </w:rPr>
        <w:t>尹积昌自1956年负责筹组广州雕塑工作室以来，一直任工作室主任。该室改为广州雕塑院后，任艺术指导。曾先后担任全国城市雕塑艺术委员会委员，广东美术家协会常务理事，广东省、广州市文联委员，广州市美术家协会副主席，广州市美术家协会顾问，广州城市环境艺术委员会委员，广州市城市雕塑规划小组成员和艺委会副主任，中国雕塑家学会特邀理事。</w:t>
      </w:r>
    </w:p>
    <w:p w14:paraId="2EAD8302">
      <w:pPr>
        <w:ind w:firstLine="422"/>
        <w:rPr>
          <w:rFonts w:ascii="宋体" w:hAnsi="宋体" w:cs="宋体"/>
          <w:b/>
          <w:bCs/>
        </w:rPr>
      </w:pPr>
      <w:r>
        <w:rPr>
          <w:rFonts w:hint="eastAsia" w:ascii="宋体" w:hAnsi="宋体" w:cs="宋体"/>
          <w:b/>
          <w:bCs/>
        </w:rPr>
        <w:t>陈继芬</w:t>
      </w:r>
    </w:p>
    <w:p w14:paraId="709A6D35">
      <w:pPr>
        <w:ind w:firstLine="420"/>
        <w:rPr>
          <w:rFonts w:ascii="宋体" w:hAnsi="宋体" w:cs="宋体"/>
        </w:rPr>
      </w:pPr>
      <w:r>
        <w:rPr>
          <w:rFonts w:hint="eastAsia" w:ascii="宋体" w:hAnsi="宋体" w:cs="宋体"/>
        </w:rPr>
        <w:t>陈继芬（1931-1998），字赞春，号半痴，南雄城人，出身于书香门第，幼承庭训，酷爱诗书画印。1950年，陈继芬在省立南雄中学毕业后，参加土地改革工作队，而后执教珠玑小学，供职县供销社，公余即潜心研究书法篆刻，常致废寝忘食。几十年寄情于七宝（纸、笔、墨、砚、刀、石、印泥）之间，沉醉于书法篆刻之中，艺术成就颇多，形成了自己的独特风格，人称山城奇才。他系韶关书法家协会会员，曾受聘为中国书画函授大学北京二分校副教授，南雄市书法研究会顾问。</w:t>
      </w:r>
    </w:p>
    <w:p w14:paraId="31A0DEA4">
      <w:pPr>
        <w:ind w:firstLine="420"/>
        <w:rPr>
          <w:rFonts w:ascii="宋体" w:hAnsi="宋体" w:cs="宋体"/>
        </w:rPr>
      </w:pPr>
      <w:r>
        <w:rPr>
          <w:rFonts w:hint="eastAsia" w:ascii="宋体" w:hAnsi="宋体" w:cs="宋体"/>
        </w:rPr>
        <w:t>陈继芬一生在风雨中磨炼，书作几千幅，治印逾千方，佳作散藏于城乡。1998年逝世后，南雄市政协文史资料委员会特为编辑出版《陈继芬书法篆刻选》。</w:t>
      </w:r>
    </w:p>
    <w:p w14:paraId="66B26733">
      <w:pPr>
        <w:ind w:firstLine="422"/>
        <w:rPr>
          <w:rFonts w:ascii="宋体" w:hAnsi="宋体" w:cs="宋体"/>
          <w:b/>
          <w:bCs/>
        </w:rPr>
      </w:pPr>
      <w:r>
        <w:rPr>
          <w:rFonts w:hint="eastAsia" w:ascii="宋体" w:hAnsi="宋体" w:cs="宋体"/>
          <w:b/>
          <w:bCs/>
        </w:rPr>
        <w:t>向重贤</w:t>
      </w:r>
    </w:p>
    <w:p w14:paraId="2065F289">
      <w:pPr>
        <w:ind w:firstLine="420"/>
        <w:rPr>
          <w:rFonts w:ascii="宋体" w:hAnsi="宋体" w:cs="宋体"/>
        </w:rPr>
      </w:pPr>
      <w:r>
        <w:rPr>
          <w:rFonts w:hint="eastAsia" w:ascii="宋体" w:hAnsi="宋体" w:cs="宋体"/>
        </w:rPr>
        <w:t>向重贤（1921-1999），湖南石门人。中山大学外文系毕业，中学高级教师。1950年，向重贤大学毕业后，分配到南雄中学任教。1951年参加土地改革运动，为一区珠平乡土改队员，住贫吃苦，与贫下中农打成一片。县办《土改快报》曾以“艰苦深入联系群众的向重贤同志”为题报导过他的先进事迹。土地改革结束后返回南雄中学任教，历任教导主任、副校长。</w:t>
      </w:r>
    </w:p>
    <w:p w14:paraId="6DF13E7D">
      <w:pPr>
        <w:ind w:firstLine="420"/>
        <w:rPr>
          <w:rFonts w:ascii="宋体" w:hAnsi="宋体" w:cs="宋体"/>
        </w:rPr>
      </w:pPr>
      <w:r>
        <w:rPr>
          <w:rFonts w:hint="eastAsia" w:ascii="宋体" w:hAnsi="宋体" w:cs="宋体"/>
        </w:rPr>
        <w:t>从1957年1月起至1984年6月止，向重贤连续当选为南雄县第二、三、四、五、六届县人民代表大会代表。1955年7月起至1980年11月，连续当选为南雄县第一、二、三、四、五、六届人民委员会委员。1958年至1983年，连续当选为广东省第二、三、四、五、六届人民代表大会代表。1980年11月，当选为南雄县第六届人大常委会副主任。向重贤在连续当选为县、省人大代表近30年间，认真履行了代表职责。</w:t>
      </w:r>
    </w:p>
    <w:p w14:paraId="32B563A8">
      <w:pPr>
        <w:ind w:firstLine="420"/>
        <w:rPr>
          <w:rFonts w:ascii="宋体" w:hAnsi="宋体" w:cs="宋体"/>
        </w:rPr>
      </w:pPr>
      <w:r>
        <w:rPr>
          <w:rFonts w:hint="eastAsia" w:ascii="宋体" w:hAnsi="宋体" w:cs="宋体"/>
        </w:rPr>
        <w:t>向重贤一生献身教育事业，谦虚谨慎，尽职尽责，桃李芬芳。1984年加入中国共产党。1999年因病逝世，享年78岁。</w:t>
      </w:r>
    </w:p>
    <w:p w14:paraId="1C24B7C9">
      <w:pPr>
        <w:ind w:firstLine="422"/>
        <w:rPr>
          <w:rFonts w:ascii="宋体" w:hAnsi="宋体" w:cs="宋体"/>
          <w:b/>
          <w:bCs/>
        </w:rPr>
      </w:pPr>
      <w:r>
        <w:rPr>
          <w:rFonts w:hint="eastAsia" w:ascii="宋体" w:hAnsi="宋体" w:cs="宋体"/>
          <w:b/>
          <w:bCs/>
        </w:rPr>
        <w:t>吴华东</w:t>
      </w:r>
    </w:p>
    <w:p w14:paraId="350172F2">
      <w:pPr>
        <w:ind w:firstLine="420"/>
        <w:rPr>
          <w:rFonts w:ascii="宋体" w:hAnsi="宋体" w:cs="宋体"/>
        </w:rPr>
      </w:pPr>
      <w:r>
        <w:rPr>
          <w:rFonts w:hint="eastAsia" w:ascii="宋体" w:hAnsi="宋体" w:cs="宋体"/>
        </w:rPr>
        <w:t>吴华东（1974-200），湖口镇人。1991年12月参加中国人民解放军。1999年6月，调海南省琼山市人民武装部后勤科任副连职助理员。2000年10月，琼山市遭特大洪灾。吴华东主动请缨，带病抢险，先后三次赴灾区转移受困群众。10月15日晚7时，吴华东抢救遇险群众时，不幸被高压电击伤落水牺牲。海南军区批准其为革命烈士，追记一等功。共青团海南省委授予“海南省抢险救灾模范青年”光荣称号，共青团琼山市委授予“琼山市杰出青年”称号。共青团南雄市委发出《关于在全市团员青年中开展向吴华东同志学习的决定》。</w:t>
      </w:r>
    </w:p>
    <w:p w14:paraId="198045F5">
      <w:pPr>
        <w:pStyle w:val="4"/>
        <w:rPr>
          <w:rFonts w:ascii="宋体" w:hAnsi="宋体" w:cs="宋体"/>
        </w:rPr>
      </w:pPr>
      <w:r>
        <w:rPr>
          <w:rFonts w:hint="eastAsia" w:ascii="宋体" w:hAnsi="宋体" w:cs="宋体"/>
        </w:rPr>
        <w:t>第二节  人物事略</w:t>
      </w:r>
    </w:p>
    <w:p w14:paraId="41B700C6">
      <w:pPr>
        <w:pStyle w:val="5"/>
        <w:rPr>
          <w:rFonts w:ascii="宋体" w:hAnsi="宋体" w:cs="宋体"/>
        </w:rPr>
      </w:pPr>
      <w:r>
        <w:rPr>
          <w:rFonts w:hint="eastAsia" w:ascii="宋体" w:hAnsi="宋体" w:cs="宋体"/>
        </w:rPr>
        <w:t>宋代</w:t>
      </w:r>
    </w:p>
    <w:p w14:paraId="7ACE79E1">
      <w:pPr>
        <w:ind w:firstLine="422"/>
        <w:rPr>
          <w:rFonts w:ascii="宋体" w:hAnsi="宋体" w:cs="宋体"/>
        </w:rPr>
      </w:pPr>
      <w:r>
        <w:rPr>
          <w:rFonts w:hint="eastAsia" w:ascii="宋体" w:hAnsi="宋体" w:cs="宋体"/>
          <w:b/>
          <w:bCs/>
        </w:rPr>
        <w:t>凌皓</w:t>
      </w:r>
    </w:p>
    <w:p w14:paraId="64ABF8E1">
      <w:pPr>
        <w:ind w:firstLine="420"/>
        <w:rPr>
          <w:rFonts w:ascii="宋体" w:hAnsi="宋体" w:cs="宋体"/>
        </w:rPr>
      </w:pPr>
      <w:r>
        <w:rPr>
          <w:rFonts w:hint="eastAsia" w:ascii="宋体" w:hAnsi="宋体" w:cs="宋体"/>
        </w:rPr>
        <w:t>凌皓，天禧间知县事，伐石为渠，堰水溉田133.33余公顷，民感其惠，因名其江曰凌江。历祀名宦。</w:t>
      </w:r>
    </w:p>
    <w:p w14:paraId="129403BF">
      <w:pPr>
        <w:ind w:firstLine="422"/>
        <w:rPr>
          <w:rFonts w:ascii="宋体" w:hAnsi="宋体" w:cs="宋体"/>
          <w:b/>
          <w:bCs/>
        </w:rPr>
      </w:pPr>
      <w:r>
        <w:rPr>
          <w:rFonts w:hint="eastAsia" w:ascii="宋体" w:hAnsi="宋体" w:cs="宋体"/>
          <w:b/>
          <w:bCs/>
        </w:rPr>
        <w:t>萧渤</w:t>
      </w:r>
    </w:p>
    <w:p w14:paraId="55E93268">
      <w:pPr>
        <w:ind w:firstLine="420"/>
        <w:rPr>
          <w:rFonts w:ascii="宋体" w:hAnsi="宋体" w:cs="宋体"/>
        </w:rPr>
      </w:pPr>
      <w:r>
        <w:rPr>
          <w:rFonts w:hint="eastAsia" w:ascii="宋体" w:hAnsi="宋体" w:cs="宋体"/>
        </w:rPr>
        <w:t>萧渤，吉州人，皇祐壬辰以殿中丞知本州。精敏过人，不挠于权。侬寇报至，亟筑斗城备之。在事三年，民安其政，及代，攀留不可，相与建祠祀焉。</w:t>
      </w:r>
    </w:p>
    <w:p w14:paraId="21D66265">
      <w:pPr>
        <w:ind w:firstLine="422"/>
        <w:rPr>
          <w:rFonts w:ascii="宋体" w:hAnsi="宋体" w:cs="宋体"/>
          <w:b/>
          <w:bCs/>
        </w:rPr>
      </w:pPr>
      <w:r>
        <w:rPr>
          <w:rFonts w:hint="eastAsia" w:ascii="宋体" w:hAnsi="宋体" w:cs="宋体"/>
          <w:b/>
          <w:bCs/>
        </w:rPr>
        <w:t>萧世范</w:t>
      </w:r>
    </w:p>
    <w:p w14:paraId="0D76431F">
      <w:pPr>
        <w:ind w:firstLine="420"/>
        <w:rPr>
          <w:rFonts w:ascii="宋体" w:hAnsi="宋体" w:cs="宋体"/>
        </w:rPr>
      </w:pPr>
      <w:r>
        <w:rPr>
          <w:rFonts w:hint="eastAsia" w:ascii="宋体" w:hAnsi="宋体" w:cs="宋体"/>
        </w:rPr>
        <w:t>萧世范，龙泉人，嘉祐中，以进士为本州推官，汲汲为民。郡苦官运，世范制小车代之，一车可胜数人之载，公私便焉。改广西转运判。</w:t>
      </w:r>
    </w:p>
    <w:p w14:paraId="2D89C65F">
      <w:pPr>
        <w:ind w:firstLine="422"/>
        <w:rPr>
          <w:rFonts w:ascii="宋体" w:hAnsi="宋体" w:cs="宋体"/>
          <w:b/>
          <w:bCs/>
        </w:rPr>
      </w:pPr>
      <w:r>
        <w:rPr>
          <w:rFonts w:hint="eastAsia" w:ascii="宋体" w:hAnsi="宋体" w:cs="宋体"/>
          <w:b/>
          <w:bCs/>
        </w:rPr>
        <w:t>连希觉</w:t>
      </w:r>
    </w:p>
    <w:p w14:paraId="1F09042A">
      <w:pPr>
        <w:ind w:firstLine="420"/>
        <w:rPr>
          <w:rFonts w:ascii="宋体" w:hAnsi="宋体" w:cs="宋体"/>
        </w:rPr>
      </w:pPr>
      <w:r>
        <w:rPr>
          <w:rFonts w:hint="eastAsia" w:ascii="宋体" w:hAnsi="宋体" w:cs="宋体"/>
        </w:rPr>
        <w:t>连希觉，字民先。崇宁初，任知韶州，宽和得民。改之本州，伐石筑陂，引水灌田。民感其惠，呼其陂曰连陂。</w:t>
      </w:r>
    </w:p>
    <w:p w14:paraId="309FA91E">
      <w:pPr>
        <w:ind w:firstLine="422"/>
        <w:rPr>
          <w:rFonts w:ascii="宋体" w:hAnsi="宋体" w:cs="宋体"/>
          <w:b/>
          <w:bCs/>
        </w:rPr>
      </w:pPr>
      <w:r>
        <w:rPr>
          <w:rFonts w:hint="eastAsia" w:ascii="宋体" w:hAnsi="宋体" w:cs="宋体"/>
          <w:b/>
          <w:bCs/>
        </w:rPr>
        <w:t>孙崈</w:t>
      </w:r>
    </w:p>
    <w:p w14:paraId="6D76AA2B">
      <w:pPr>
        <w:ind w:firstLine="420"/>
        <w:rPr>
          <w:rFonts w:ascii="宋体" w:hAnsi="宋体" w:cs="宋体"/>
        </w:rPr>
      </w:pPr>
      <w:r>
        <w:rPr>
          <w:rFonts w:hint="eastAsia" w:ascii="宋体" w:hAnsi="宋体" w:cs="宋体"/>
        </w:rPr>
        <w:t>孙崈，大梁人。嘉定八年知州事，先大体，百废俱兴。搜郡典故为嘉定志，凡十卷。雄之文献自是足徵云。</w:t>
      </w:r>
    </w:p>
    <w:p w14:paraId="385CC236">
      <w:pPr>
        <w:ind w:firstLine="422"/>
        <w:rPr>
          <w:rFonts w:ascii="宋体" w:hAnsi="宋体" w:cs="宋体"/>
          <w:b/>
          <w:bCs/>
        </w:rPr>
      </w:pPr>
      <w:r>
        <w:rPr>
          <w:rFonts w:hint="eastAsia" w:ascii="宋体" w:hAnsi="宋体" w:cs="宋体"/>
          <w:b/>
          <w:bCs/>
        </w:rPr>
        <w:t>李韶</w:t>
      </w:r>
    </w:p>
    <w:p w14:paraId="12D72554">
      <w:pPr>
        <w:ind w:firstLine="420"/>
        <w:rPr>
          <w:rFonts w:ascii="宋体" w:hAnsi="宋体" w:cs="宋体"/>
        </w:rPr>
      </w:pPr>
      <w:r>
        <w:rPr>
          <w:rFonts w:hint="eastAsia" w:ascii="宋体" w:hAnsi="宋体" w:cs="宋体"/>
        </w:rPr>
        <w:t>李韶，字元善。父文饶为台州司理参军，每谓人曰：吾司臬，多阴德，后有兴者。韶五岁能赋梅花。嘉定四年，与其兄宁同举进士，调本州教授，分较广州。时有权贵亲故祈报所厚，韶却之。调庆元，丞相史弥远荐士充学职，韶不与。袁燮求学宫射圃益其居，俱不与。燮以此更敬韶，以廉勤荐迁，历太学博士。上封事谏济王竑狱，且以书晓弥远，言甚恳到，逐乞补外。累官吏部侍郎兼中书舍人。</w:t>
      </w:r>
    </w:p>
    <w:p w14:paraId="606C70E5">
      <w:pPr>
        <w:pStyle w:val="5"/>
        <w:rPr>
          <w:rFonts w:ascii="宋体" w:hAnsi="宋体" w:cs="宋体"/>
        </w:rPr>
      </w:pPr>
      <w:r>
        <w:rPr>
          <w:rFonts w:hint="eastAsia" w:ascii="宋体" w:hAnsi="宋体" w:cs="宋体"/>
        </w:rPr>
        <w:t>元代</w:t>
      </w:r>
    </w:p>
    <w:p w14:paraId="3AC99C31">
      <w:pPr>
        <w:ind w:firstLine="422"/>
        <w:rPr>
          <w:rFonts w:ascii="宋体" w:hAnsi="宋体" w:cs="宋体"/>
          <w:b/>
          <w:bCs/>
        </w:rPr>
      </w:pPr>
      <w:r>
        <w:rPr>
          <w:rFonts w:hint="eastAsia" w:ascii="宋体" w:hAnsi="宋体" w:cs="宋体"/>
          <w:b/>
          <w:bCs/>
        </w:rPr>
        <w:t>张搏霄</w:t>
      </w:r>
    </w:p>
    <w:p w14:paraId="276B7AA4">
      <w:pPr>
        <w:ind w:firstLine="420"/>
        <w:rPr>
          <w:rFonts w:ascii="宋体" w:hAnsi="宋体" w:cs="宋体"/>
        </w:rPr>
      </w:pPr>
      <w:r>
        <w:rPr>
          <w:rFonts w:hint="eastAsia" w:ascii="宋体" w:hAnsi="宋体" w:cs="宋体"/>
        </w:rPr>
        <w:t>张搏霄，襄阳人。至顺中，为本路总管。廉介宽平，有修学功。采豳风图，劝民务农。时榷盐多浮取，卒不奉檄。议赋茶，亦不听。胥将夤缘，致之法。官军掠取民木，辄抑之。民载德，建碑颂焉。</w:t>
      </w:r>
    </w:p>
    <w:p w14:paraId="61F4E34A">
      <w:pPr>
        <w:ind w:firstLine="422"/>
        <w:rPr>
          <w:rFonts w:ascii="宋体" w:hAnsi="宋体" w:cs="宋体"/>
          <w:b/>
          <w:bCs/>
        </w:rPr>
      </w:pPr>
      <w:r>
        <w:rPr>
          <w:rFonts w:hint="eastAsia" w:ascii="宋体" w:hAnsi="宋体" w:cs="宋体"/>
          <w:b/>
          <w:bCs/>
        </w:rPr>
        <w:t>刘中孚</w:t>
      </w:r>
    </w:p>
    <w:p w14:paraId="6B850FAB">
      <w:pPr>
        <w:ind w:firstLine="420"/>
        <w:rPr>
          <w:rFonts w:ascii="宋体" w:hAnsi="宋体" w:cs="宋体"/>
        </w:rPr>
      </w:pPr>
      <w:r>
        <w:rPr>
          <w:rFonts w:hint="eastAsia" w:ascii="宋体" w:hAnsi="宋体" w:cs="宋体"/>
        </w:rPr>
        <w:t>刘中孚，字考行，吉水人，举茂异。至正甲午（1354年），任本路推官。用刑平恕，囹圄常空。时北山盗起，通湖寇为乱。部校与富民徐氏有隙，诬以反逆，系狱三十人，拟籍其家。中孚录囚得其情，平反之。戊戌冬，湖寇围城十余日。中孚散帑金，率子弟及部民严守北门，寇军不得逞，比再至，势益张，长官欲降，中孚不可。强之，中孚曰：吾头可断，不可降也。卒莫能强。后知英德州，以完城功擢肇庆路总管，辞不就。诗文循雅，世称梅南先生。</w:t>
      </w:r>
    </w:p>
    <w:p w14:paraId="5C1B406C">
      <w:pPr>
        <w:pStyle w:val="5"/>
        <w:rPr>
          <w:rFonts w:ascii="宋体" w:hAnsi="宋体" w:cs="宋体"/>
        </w:rPr>
      </w:pPr>
      <w:r>
        <w:rPr>
          <w:rFonts w:hint="eastAsia" w:ascii="宋体" w:hAnsi="宋体" w:cs="宋体"/>
        </w:rPr>
        <w:t>明代</w:t>
      </w:r>
    </w:p>
    <w:p w14:paraId="0E9F3B9E">
      <w:pPr>
        <w:ind w:firstLine="422"/>
        <w:rPr>
          <w:rFonts w:ascii="宋体" w:hAnsi="宋体" w:cs="宋体"/>
          <w:b/>
          <w:bCs/>
        </w:rPr>
      </w:pPr>
      <w:r>
        <w:rPr>
          <w:rFonts w:hint="eastAsia" w:ascii="宋体" w:hAnsi="宋体" w:cs="宋体"/>
          <w:b/>
          <w:bCs/>
        </w:rPr>
        <w:t>叶景龙</w:t>
      </w:r>
    </w:p>
    <w:p w14:paraId="7A08AF08">
      <w:pPr>
        <w:ind w:firstLine="420"/>
        <w:rPr>
          <w:rFonts w:ascii="宋体" w:hAnsi="宋体" w:cs="宋体"/>
        </w:rPr>
      </w:pPr>
      <w:r>
        <w:rPr>
          <w:rFonts w:hint="eastAsia" w:ascii="宋体" w:hAnsi="宋体" w:cs="宋体"/>
        </w:rPr>
        <w:t>叶景龙，丽水人。洪武初知府事，于城西河塘村地筑陂，引凌水灌田333.33余公顷，民号叶公陂。</w:t>
      </w:r>
    </w:p>
    <w:p w14:paraId="4BCB7F20">
      <w:pPr>
        <w:ind w:firstLine="422"/>
        <w:rPr>
          <w:rFonts w:ascii="宋体" w:hAnsi="宋体" w:cs="宋体"/>
          <w:b/>
          <w:bCs/>
        </w:rPr>
      </w:pPr>
      <w:r>
        <w:rPr>
          <w:rFonts w:hint="eastAsia" w:ascii="宋体" w:hAnsi="宋体" w:cs="宋体"/>
          <w:b/>
          <w:bCs/>
        </w:rPr>
        <w:t>左孟诚</w:t>
      </w:r>
    </w:p>
    <w:p w14:paraId="43991AA3">
      <w:pPr>
        <w:ind w:firstLine="420"/>
        <w:rPr>
          <w:rFonts w:ascii="宋体" w:hAnsi="宋体" w:cs="宋体"/>
        </w:rPr>
      </w:pPr>
      <w:r>
        <w:rPr>
          <w:rFonts w:hint="eastAsia" w:ascii="宋体" w:hAnsi="宋体" w:cs="宋体"/>
        </w:rPr>
        <w:t>左孟诚，山东秀才。洪武中，守本郡。于城东旷地筑桑园，教民树桑，且巡行劝民耕作。自是民知以农桑为业。</w:t>
      </w:r>
    </w:p>
    <w:p w14:paraId="5EA4343B">
      <w:pPr>
        <w:ind w:firstLine="422"/>
        <w:rPr>
          <w:rFonts w:ascii="宋体" w:hAnsi="宋体" w:cs="宋体"/>
          <w:b/>
          <w:bCs/>
        </w:rPr>
      </w:pPr>
      <w:r>
        <w:rPr>
          <w:rFonts w:hint="eastAsia" w:ascii="宋体" w:hAnsi="宋体" w:cs="宋体"/>
          <w:b/>
          <w:bCs/>
        </w:rPr>
        <w:t>欧文通</w:t>
      </w:r>
    </w:p>
    <w:p w14:paraId="0600962D">
      <w:pPr>
        <w:ind w:firstLine="420"/>
        <w:rPr>
          <w:rFonts w:ascii="宋体" w:hAnsi="宋体" w:cs="宋体"/>
        </w:rPr>
      </w:pPr>
      <w:r>
        <w:rPr>
          <w:rFonts w:hint="eastAsia" w:ascii="宋体" w:hAnsi="宋体" w:cs="宋体"/>
        </w:rPr>
        <w:t>欧文通，苏州人。洪武中，以荐辟任本府知事。勤于参赞，尝奉檄招龙南诸县流民迁集六百余户，安措有法。</w:t>
      </w:r>
    </w:p>
    <w:p w14:paraId="0885844F">
      <w:pPr>
        <w:ind w:firstLine="422"/>
        <w:rPr>
          <w:rFonts w:ascii="宋体" w:hAnsi="宋体" w:cs="宋体"/>
          <w:b/>
          <w:bCs/>
        </w:rPr>
      </w:pPr>
      <w:r>
        <w:rPr>
          <w:rFonts w:hint="eastAsia" w:ascii="宋体" w:hAnsi="宋体" w:cs="宋体"/>
          <w:b/>
          <w:bCs/>
        </w:rPr>
        <w:t>岑仁忠</w:t>
      </w:r>
    </w:p>
    <w:p w14:paraId="77F9B0AD">
      <w:pPr>
        <w:ind w:firstLine="420"/>
        <w:rPr>
          <w:rFonts w:ascii="宋体" w:hAnsi="宋体" w:cs="宋体"/>
        </w:rPr>
      </w:pPr>
      <w:r>
        <w:rPr>
          <w:rFonts w:hint="eastAsia" w:ascii="宋体" w:hAnsi="宋体" w:cs="宋体"/>
        </w:rPr>
        <w:t>岑仁忠，洪武二十八年（1395年）任保昌知县。为政廉平，修筑塘十一处，以资灌溉，民永赖之。</w:t>
      </w:r>
    </w:p>
    <w:p w14:paraId="4FA7059B">
      <w:pPr>
        <w:ind w:firstLine="422"/>
        <w:rPr>
          <w:rFonts w:ascii="宋体" w:hAnsi="宋体" w:cs="宋体"/>
          <w:b/>
          <w:bCs/>
        </w:rPr>
      </w:pPr>
      <w:r>
        <w:rPr>
          <w:rFonts w:hint="eastAsia" w:ascii="宋体" w:hAnsi="宋体" w:cs="宋体"/>
          <w:b/>
          <w:bCs/>
        </w:rPr>
        <w:t>李汝舟</w:t>
      </w:r>
    </w:p>
    <w:p w14:paraId="0FBCF55E">
      <w:pPr>
        <w:ind w:firstLine="420"/>
        <w:rPr>
          <w:rFonts w:ascii="宋体" w:hAnsi="宋体" w:cs="宋体"/>
        </w:rPr>
      </w:pPr>
      <w:r>
        <w:rPr>
          <w:rFonts w:hint="eastAsia" w:ascii="宋体" w:hAnsi="宋体" w:cs="宋体"/>
        </w:rPr>
        <w:t>李汝舟，金豁人。永乐十二年（1414年），以太学生同知府事。岁旱，巡行乡都，修筑陂池，民受其利。贫民鬻子女者，悉捐资赎之。悯荒田赋为民累，疏豁六千余石。</w:t>
      </w:r>
    </w:p>
    <w:p w14:paraId="30D43A50">
      <w:pPr>
        <w:ind w:firstLine="422"/>
        <w:rPr>
          <w:rFonts w:ascii="宋体" w:hAnsi="宋体" w:cs="宋体"/>
          <w:b/>
          <w:bCs/>
        </w:rPr>
      </w:pPr>
      <w:r>
        <w:rPr>
          <w:rFonts w:hint="eastAsia" w:ascii="宋体" w:hAnsi="宋体" w:cs="宋体"/>
          <w:b/>
          <w:bCs/>
        </w:rPr>
        <w:t>陈锡</w:t>
      </w:r>
    </w:p>
    <w:p w14:paraId="493277DE">
      <w:pPr>
        <w:ind w:firstLine="420"/>
        <w:rPr>
          <w:rFonts w:ascii="宋体" w:hAnsi="宋体" w:cs="宋体"/>
        </w:rPr>
      </w:pPr>
      <w:r>
        <w:rPr>
          <w:rFonts w:hint="eastAsia" w:ascii="宋体" w:hAnsi="宋体" w:cs="宋体"/>
        </w:rPr>
        <w:t>陈锡，字孟嘉，旧姓饶，福建瓯宁进士。永乐七年（1409年），授御史。19年，以三考书最，升本府知府。慈以抚下，威以服奸，莅事之际，详明精审。凡吏胥文案，躬亲起稿。振木铎，行乡饮。龙亭仪仗，坛场祭器，依式命工撤而新之。儒学殿堂楼庑斋舍、府厅鼓楼廨宇，倒塌靡不修饰。关梅路松约禁砍伐，更为补植。岭路原砌砖石，日久巳坏，重加甃砌，以便往来。洪熙元年（1425年），勘保始二县荒田，豁秋粮2000余石。优礼师儒，与诸生讲解，终日不倦，人才由是兴焉。在任16年，吏畏而民安之。</w:t>
      </w:r>
    </w:p>
    <w:p w14:paraId="61A08C34">
      <w:pPr>
        <w:ind w:firstLine="422"/>
        <w:rPr>
          <w:rFonts w:ascii="宋体" w:hAnsi="宋体" w:cs="宋体"/>
          <w:b/>
          <w:bCs/>
        </w:rPr>
      </w:pPr>
      <w:r>
        <w:rPr>
          <w:rFonts w:hint="eastAsia" w:ascii="宋体" w:hAnsi="宋体" w:cs="宋体"/>
          <w:b/>
          <w:bCs/>
        </w:rPr>
        <w:t>郑述</w:t>
      </w:r>
    </w:p>
    <w:p w14:paraId="043C63CF">
      <w:pPr>
        <w:ind w:firstLine="420"/>
        <w:rPr>
          <w:rFonts w:ascii="宋体" w:hAnsi="宋体" w:cs="宋体"/>
        </w:rPr>
      </w:pPr>
      <w:r>
        <w:rPr>
          <w:rFonts w:hint="eastAsia" w:ascii="宋体" w:hAnsi="宋体" w:cs="宋体"/>
        </w:rPr>
        <w:t>郑述，字季述，莆田人。永乐中进士。正统初，判惠州，教民瓦居，火患遂绝。后以荐改知本郡。政急先务，兴利除害，修凌陂，重砌岭路九十里。知庾关夫役久累，为之节省均调，阖邑赖之。所招集流亡不下200余户，以循良著声。</w:t>
      </w:r>
    </w:p>
    <w:p w14:paraId="7B23CDAB">
      <w:pPr>
        <w:ind w:firstLine="422"/>
        <w:rPr>
          <w:rFonts w:ascii="宋体" w:hAnsi="宋体" w:cs="宋体"/>
          <w:b/>
          <w:bCs/>
        </w:rPr>
      </w:pPr>
      <w:r>
        <w:rPr>
          <w:rFonts w:hint="eastAsia" w:ascii="宋体" w:hAnsi="宋体" w:cs="宋体"/>
          <w:b/>
          <w:bCs/>
        </w:rPr>
        <w:t>李春</w:t>
      </w:r>
    </w:p>
    <w:p w14:paraId="595025E6">
      <w:pPr>
        <w:ind w:firstLine="420"/>
        <w:rPr>
          <w:rFonts w:ascii="宋体" w:hAnsi="宋体" w:cs="宋体"/>
        </w:rPr>
      </w:pPr>
      <w:r>
        <w:rPr>
          <w:rFonts w:hint="eastAsia" w:ascii="宋体" w:hAnsi="宋体" w:cs="宋体"/>
        </w:rPr>
        <w:t>李春，广西庆远人。天顺间，以太学生知府事。凌江官运，旧以车，其车驴责民牧之，驴死役存，累及子孙。春疏：驴岂长生者，乃累民。至是，诏尽罢之。又疏郡无蚕桑，赋丝徒苦百姓，请减米三之二，民解倒悬云。</w:t>
      </w:r>
    </w:p>
    <w:p w14:paraId="48E81B38">
      <w:pPr>
        <w:ind w:firstLine="422"/>
        <w:rPr>
          <w:rFonts w:ascii="宋体" w:hAnsi="宋体" w:cs="宋体"/>
          <w:b/>
          <w:bCs/>
        </w:rPr>
      </w:pPr>
      <w:r>
        <w:rPr>
          <w:rFonts w:hint="eastAsia" w:ascii="宋体" w:hAnsi="宋体" w:cs="宋体"/>
          <w:b/>
          <w:bCs/>
        </w:rPr>
        <w:t>刘实</w:t>
      </w:r>
    </w:p>
    <w:p w14:paraId="08468FDE">
      <w:pPr>
        <w:ind w:firstLine="420"/>
        <w:rPr>
          <w:rFonts w:ascii="宋体" w:hAnsi="宋体" w:cs="宋体"/>
        </w:rPr>
      </w:pPr>
      <w:r>
        <w:rPr>
          <w:rFonts w:hint="eastAsia" w:ascii="宋体" w:hAnsi="宋体" w:cs="宋体"/>
        </w:rPr>
        <w:t>刘实，字嘉秀，号坚白，安福人，进士。天顺初，由治中擢本郡知府。性廉洁，刚直不阿。事持大体，政暇，恒闭户注《春秋》。商税稍有羡溢，唯以缮郡学、树岭松而已。中官使岭外，至南安，先遣骑视供帐，不如惜所闻。实又与骑抗礼，不假借色词。明日，中官至，入驿，诸从骑弓剑罗立左右。郡僚廷参毕，遂出，独留实，诘以慢已，共苛辱之，廷中轰然。南雄民闻讯，争入驿，为实谢过，翼实而出。中官廉得其生平，欲召释前憾，实不复往。中官至韶，有人言实已驿书上闻。中官乃亦以驿马兼程，疾驰先闻，逮实至京。实具言：臣从官30年，不以妻子随，餐粗衣敝，欲为国家爱养所部，不思劳费之，以是触忤天使，无所逃罪。上霁威，听其言，得释，以病卒。郡人哀而祀之，称之为“铁板刘”。</w:t>
      </w:r>
    </w:p>
    <w:p w14:paraId="0C3FE7F5">
      <w:pPr>
        <w:ind w:firstLine="422"/>
        <w:rPr>
          <w:rFonts w:ascii="宋体" w:hAnsi="宋体" w:cs="宋体"/>
          <w:b/>
          <w:bCs/>
        </w:rPr>
      </w:pPr>
      <w:r>
        <w:rPr>
          <w:rFonts w:hint="eastAsia" w:ascii="宋体" w:hAnsi="宋体" w:cs="宋体"/>
          <w:b/>
          <w:bCs/>
        </w:rPr>
        <w:t>陈翰英</w:t>
      </w:r>
    </w:p>
    <w:p w14:paraId="754081C3">
      <w:pPr>
        <w:ind w:firstLine="420"/>
        <w:rPr>
          <w:rFonts w:ascii="宋体" w:hAnsi="宋体" w:cs="宋体"/>
        </w:rPr>
      </w:pPr>
      <w:r>
        <w:rPr>
          <w:rFonts w:hint="eastAsia" w:ascii="宋体" w:hAnsi="宋体" w:cs="宋体"/>
        </w:rPr>
        <w:t>陈翰英，字廷献，诸暨人。少力学经史百家，靡不阅览，以三礼魁淅江。成化八年，同知府事。勤政恤民，罕事刑罚，惟德化是务。癸巳秋，广右流贼江太师攻始兴，延及保昌，郡中骚动。翰英策划破之，俘获数百人，民赖安堵。都御史韩雍高其能，劳以金帛，录功第一。甲午，摄郡。驿传夫役一切省节之，百姓称快，形之歌颂。每以学校为风化首政，暇诣学宫课诸生，劝勉备至，多所成就。始兴盘坑有纱帽石为祟，触之即死。贼匿旁谷，恣其剽掠。翰英烈火焚之，患寻息。乙未夏，旱，百姓嗷嗷。躬斋沐往祷，雨如注，岁大稔。尤善抚绥，始兴流民闻风复业者300余户。在事3年，善政不可胜纪。</w:t>
      </w:r>
    </w:p>
    <w:p w14:paraId="5B83C14C">
      <w:pPr>
        <w:ind w:firstLine="422"/>
        <w:rPr>
          <w:rFonts w:ascii="宋体" w:hAnsi="宋体" w:cs="宋体"/>
          <w:b/>
          <w:bCs/>
        </w:rPr>
      </w:pPr>
      <w:r>
        <w:rPr>
          <w:rFonts w:hint="eastAsia" w:ascii="宋体" w:hAnsi="宋体" w:cs="宋体"/>
          <w:b/>
          <w:bCs/>
        </w:rPr>
        <w:t>江璞</w:t>
      </w:r>
    </w:p>
    <w:p w14:paraId="7986B8B9">
      <w:pPr>
        <w:ind w:firstLine="420"/>
        <w:rPr>
          <w:rFonts w:ascii="宋体" w:hAnsi="宋体" w:cs="宋体"/>
        </w:rPr>
      </w:pPr>
      <w:r>
        <w:rPr>
          <w:rFonts w:hint="eastAsia" w:ascii="宋体" w:hAnsi="宋体" w:cs="宋体"/>
        </w:rPr>
        <w:t>江璞，字伯温，贵溪人，进士。成化十一年（1475年），为本郡知府，器识英迈，废坠毕举，尝合两学为一，创大中书院，加辑郡志，重修太平桥。上疏创通济镇，居停客货，取赀以代虚赋，上从之。民蒙其惠，祀于景德祠。</w:t>
      </w:r>
    </w:p>
    <w:p w14:paraId="4F5C34A2">
      <w:pPr>
        <w:ind w:firstLine="422"/>
        <w:rPr>
          <w:rFonts w:ascii="宋体" w:hAnsi="宋体" w:cs="宋体"/>
          <w:b/>
          <w:bCs/>
        </w:rPr>
      </w:pPr>
      <w:r>
        <w:rPr>
          <w:rFonts w:hint="eastAsia" w:ascii="宋体" w:hAnsi="宋体" w:cs="宋体"/>
          <w:b/>
          <w:bCs/>
        </w:rPr>
        <w:t>张嵿</w:t>
      </w:r>
    </w:p>
    <w:p w14:paraId="0405BDCC">
      <w:pPr>
        <w:ind w:firstLine="420"/>
        <w:rPr>
          <w:rFonts w:ascii="宋体" w:hAnsi="宋体" w:cs="宋体"/>
        </w:rPr>
      </w:pPr>
      <w:r>
        <w:rPr>
          <w:rFonts w:hint="eastAsia" w:ascii="宋体" w:hAnsi="宋体" w:cs="宋体"/>
        </w:rPr>
        <w:t>张嵿，字时俊（一作峻），浙江萧山人，进士。正德七年（1512年）知府事。改迁郡邑两学，取诸盐利，不以扰民。俗信鬼神，嵿大毁淫祠，以祛民惑。雄郡额外虚粮每岁赔6400余石，嵿疏于都宪陈汝励，许以盐利椒木，代民输虚粮。以简静平易，休养一方。未几，擢江西参政。</w:t>
      </w:r>
    </w:p>
    <w:p w14:paraId="5BA22414">
      <w:pPr>
        <w:ind w:firstLine="422"/>
        <w:rPr>
          <w:rFonts w:ascii="宋体" w:hAnsi="宋体" w:cs="宋体"/>
          <w:b/>
          <w:bCs/>
        </w:rPr>
      </w:pPr>
      <w:r>
        <w:rPr>
          <w:rFonts w:hint="eastAsia" w:ascii="宋体" w:hAnsi="宋体" w:cs="宋体"/>
          <w:b/>
          <w:bCs/>
        </w:rPr>
        <w:t>胡永成</w:t>
      </w:r>
    </w:p>
    <w:p w14:paraId="491C79AA">
      <w:pPr>
        <w:ind w:firstLine="420"/>
        <w:rPr>
          <w:rFonts w:ascii="宋体" w:hAnsi="宋体" w:cs="宋体"/>
        </w:rPr>
      </w:pPr>
      <w:r>
        <w:rPr>
          <w:rFonts w:hint="eastAsia" w:ascii="宋体" w:hAnsi="宋体" w:cs="宋体"/>
        </w:rPr>
        <w:t>胡永成，字思贞，号嵿泉，安福人。嘉靖乙丑进士。初知泾县，赈荒得法，擢刑部主事，以议张延龄狱，谪同知和州，历知本郡事。性清介，念虚赋病民，宜折轻赍，乃条减力役十之六。始兴令翟务实旷职，辄斥去之，僚属肃然。桥关榷税出纳严明，豪猾不敢正目。或倚贵人挠之，永成正色曰：国有正法，某何敢低昂。贵人愧沮。雄固冲守，多饰厨传求媚，永成或供圃蔬池鱼而已。时诏有司召民鬻受僧田，所司督促，永成不可，曰：民故贫乃强责其受僧田，非情也。郡豪网利，欲析岭路，令商陈告雄民不便。永成条六议难之，事得寝。尝修郡志，删润不遗余力。晋广东副使，备兵海南。卒于任。</w:t>
      </w:r>
    </w:p>
    <w:p w14:paraId="34927393">
      <w:pPr>
        <w:ind w:firstLine="422"/>
        <w:rPr>
          <w:rFonts w:ascii="宋体" w:hAnsi="宋体" w:cs="宋体"/>
          <w:b/>
          <w:bCs/>
        </w:rPr>
      </w:pPr>
      <w:r>
        <w:rPr>
          <w:rFonts w:hint="eastAsia" w:ascii="宋体" w:hAnsi="宋体" w:cs="宋体"/>
          <w:b/>
          <w:bCs/>
        </w:rPr>
        <w:t>周思文</w:t>
      </w:r>
    </w:p>
    <w:p w14:paraId="27E7FD59">
      <w:pPr>
        <w:ind w:firstLine="420"/>
        <w:rPr>
          <w:rFonts w:ascii="宋体" w:hAnsi="宋体" w:cs="宋体"/>
        </w:rPr>
      </w:pPr>
      <w:r>
        <w:rPr>
          <w:rFonts w:hint="eastAsia" w:ascii="宋体" w:hAnsi="宋体" w:cs="宋体"/>
        </w:rPr>
        <w:t>周思文，字子征，号柳塘，麻城人。嘉靖癸丑，以进士知南雄府事。建宏道书院，拔俊才修业其中，重德行，薄浮华，奖劝风励，孜孜不倦，诸社学悉为择师。里甲均徭，一禀永平录。始兴诸乡杂役悉蠲免之。龙南流贼越境拢郡，作楚歌，贼闻悲，思还峒。民苦兵役，出帑金代募。寻调琼州。尚书谭大初、都御史海瑞并重之。</w:t>
      </w:r>
    </w:p>
    <w:p w14:paraId="5B58ECA4">
      <w:pPr>
        <w:ind w:firstLine="422"/>
        <w:rPr>
          <w:rFonts w:ascii="宋体" w:hAnsi="宋体" w:cs="宋体"/>
          <w:b/>
          <w:bCs/>
        </w:rPr>
      </w:pPr>
      <w:r>
        <w:rPr>
          <w:rFonts w:hint="eastAsia" w:ascii="宋体" w:hAnsi="宋体" w:cs="宋体"/>
          <w:b/>
          <w:bCs/>
        </w:rPr>
        <w:t>周保</w:t>
      </w:r>
    </w:p>
    <w:p w14:paraId="722D8A7B">
      <w:pPr>
        <w:ind w:firstLine="420"/>
        <w:rPr>
          <w:rFonts w:ascii="宋体" w:hAnsi="宋体" w:cs="宋体"/>
        </w:rPr>
      </w:pPr>
      <w:r>
        <w:rPr>
          <w:rFonts w:hint="eastAsia" w:ascii="宋体" w:hAnsi="宋体" w:cs="宋体"/>
        </w:rPr>
        <w:t>周保，浙江鄞县进士。万历十三年（1585年）任南雄知府。性严毅，律己廉洁。莅任未几，捐俸赎宏道书院于民间。申请抚院奏蠲免保昌虚粮8000余石。丙戌夏，洪水暴涨，城池、桥梁、馆廨冲圯几尽。保委官检踏水伤民田80余顷，申请题奏，以资修复斗城及馆驿、太平桥，复重建启圣公名宦乡贤祠、尊经诸阁。增修郡志。建德星祠，祀前守之贤者5人。美迹不胜枚举。惜以忧去，未竟厥用。郡人立碑于祠，颂其德政。祠因兵毁，碑亦无存。</w:t>
      </w:r>
    </w:p>
    <w:p w14:paraId="5E609937">
      <w:pPr>
        <w:pStyle w:val="5"/>
        <w:rPr>
          <w:rFonts w:ascii="宋体" w:hAnsi="宋体" w:cs="宋体"/>
        </w:rPr>
      </w:pPr>
      <w:r>
        <w:rPr>
          <w:rFonts w:hint="eastAsia" w:ascii="宋体" w:hAnsi="宋体" w:cs="宋体"/>
        </w:rPr>
        <w:t>清代</w:t>
      </w:r>
    </w:p>
    <w:p w14:paraId="6616FAE3">
      <w:pPr>
        <w:ind w:firstLine="422"/>
        <w:rPr>
          <w:rFonts w:ascii="宋体" w:hAnsi="宋体" w:cs="宋体"/>
          <w:b/>
          <w:bCs/>
        </w:rPr>
      </w:pPr>
      <w:r>
        <w:rPr>
          <w:rFonts w:hint="eastAsia" w:ascii="宋体" w:hAnsi="宋体" w:cs="宋体"/>
          <w:b/>
          <w:bCs/>
        </w:rPr>
        <w:t>郑龙光</w:t>
      </w:r>
    </w:p>
    <w:p w14:paraId="648DA3A7">
      <w:pPr>
        <w:ind w:firstLine="420"/>
        <w:rPr>
          <w:rFonts w:ascii="宋体" w:hAnsi="宋体" w:cs="宋体"/>
        </w:rPr>
      </w:pPr>
      <w:r>
        <w:rPr>
          <w:rFonts w:hint="eastAsia" w:ascii="宋体" w:hAnsi="宋体" w:cs="宋体"/>
        </w:rPr>
        <w:t>郑龙光，字韬生，别字两为，号蘧知，浙江平湖人。己丑进士。顺治七年（1650年）任本郡知府。藩师克城，士民杀掠殆尽，屋舍俱被焚毁，即所存庐室亦为藩师所踞，而各乡山寇剽掠，民不聊生。公以廉介见惮豪贵，故遇事能疆直自遂，不为威利所夺，剔奸除蠹，扶弱存孤，真中流之砥柱也。户内萧然，笼橐无缄鐍，绳麻布被多补缀痕，相随一童两仆，衣不能敝体。尝履亩省荒，至五斗岭，村民报有虎负隅，众不敢进。公促舆从使前，曰：昔刘昆为治虎北渡河，今太守以劝农入山，而曷为来哉！于是，虎应声遁去。凡过客投谒，一无所拒，而见公贞素，即无敢以私请者。历六载不改其操。平藩旌其洁己爱民。御史杨特疏荐之。乙未，擢西宁副使。丙申，举卓异。两庠请祀名宦。</w:t>
      </w:r>
    </w:p>
    <w:p w14:paraId="6D60425D">
      <w:pPr>
        <w:ind w:firstLine="422"/>
        <w:rPr>
          <w:rFonts w:ascii="宋体" w:hAnsi="宋体" w:cs="宋体"/>
          <w:b/>
          <w:bCs/>
        </w:rPr>
      </w:pPr>
      <w:r>
        <w:rPr>
          <w:rFonts w:hint="eastAsia" w:ascii="宋体" w:hAnsi="宋体" w:cs="宋体"/>
          <w:b/>
          <w:bCs/>
        </w:rPr>
        <w:t>陆世楷</w:t>
      </w:r>
    </w:p>
    <w:p w14:paraId="741F9ED7">
      <w:pPr>
        <w:ind w:firstLine="420"/>
        <w:rPr>
          <w:rFonts w:ascii="宋体" w:hAnsi="宋体" w:cs="宋体"/>
        </w:rPr>
      </w:pPr>
      <w:r>
        <w:rPr>
          <w:rFonts w:hint="eastAsia" w:ascii="宋体" w:hAnsi="宋体" w:cs="宋体"/>
        </w:rPr>
        <w:t>陆世楷，字孝山，浙江平湖人，丙戌拨贡。顺治十三年（1656年），自登州府同知擢本郡太守。秉性宽厚。修辑郡志，凡所设施，酌古准今。捐俸建天峰书院，奉祀张文献、王文成二先贤，置田以供俎豆，诸生肄业其间，季试月课，亲临不倦。时登贤书者，悉出其门。雄人士沐泽者久，于府治东龙护园左立祠祀焉，置祭田2.67余公顷。历任十九载，按院赵特疏荐云：苦心调剂冲剧，洁已轸恤疮痍。后以忧去，士民念之。</w:t>
      </w:r>
    </w:p>
    <w:p w14:paraId="2026F483">
      <w:pPr>
        <w:ind w:firstLine="422"/>
        <w:rPr>
          <w:rFonts w:ascii="宋体" w:hAnsi="宋体" w:cs="宋体"/>
          <w:b/>
          <w:bCs/>
        </w:rPr>
      </w:pPr>
      <w:r>
        <w:rPr>
          <w:rFonts w:hint="eastAsia" w:ascii="宋体" w:hAnsi="宋体" w:cs="宋体"/>
          <w:b/>
          <w:bCs/>
        </w:rPr>
        <w:t>党居易</w:t>
      </w:r>
    </w:p>
    <w:p w14:paraId="04E4CEC6">
      <w:pPr>
        <w:ind w:firstLine="420"/>
        <w:rPr>
          <w:rFonts w:ascii="宋体" w:hAnsi="宋体" w:cs="宋体"/>
        </w:rPr>
      </w:pPr>
      <w:r>
        <w:rPr>
          <w:rFonts w:hint="eastAsia" w:ascii="宋体" w:hAnsi="宋体" w:cs="宋体"/>
        </w:rPr>
        <w:t>党居易，字子庸，号仍姜，陕西宝鸡人。祖大学士崇恩荫，历户部江南司郎中。康熙癸亥任本郡守。兴利除弊。昌邑凌陂圮坏，值岁旱，倡捐金三百，以工代赈，亲督乡民修筑，田获灌溉。府学当兵燹之余，殿宇倾颓，虽经修葺而卑陋浅隘。居易捐俸为倡，鼎新文庙，建名宦祠，葺书院。时进郡士讲道考业，课其文艺，次其高下，拔其尤者镂其文成集，以示激劝。甲子乡试，郡遂发解，其列贤书者数人，皆所造就也。又重修郡志，以备掌故。升任去。民勒碑以纪其绩。</w:t>
      </w:r>
    </w:p>
    <w:p w14:paraId="315A4FC3">
      <w:pPr>
        <w:ind w:firstLine="422"/>
        <w:rPr>
          <w:rFonts w:ascii="宋体" w:hAnsi="宋体" w:cs="宋体"/>
          <w:b/>
          <w:bCs/>
        </w:rPr>
      </w:pPr>
      <w:r>
        <w:rPr>
          <w:rFonts w:hint="eastAsia" w:ascii="宋体" w:hAnsi="宋体" w:cs="宋体"/>
          <w:b/>
          <w:bCs/>
        </w:rPr>
        <w:t>张楙</w:t>
      </w:r>
    </w:p>
    <w:p w14:paraId="13641AAA">
      <w:pPr>
        <w:ind w:firstLine="420"/>
        <w:rPr>
          <w:rFonts w:ascii="宋体" w:hAnsi="宋体" w:cs="宋体"/>
        </w:rPr>
      </w:pPr>
      <w:r>
        <w:rPr>
          <w:rFonts w:hint="eastAsia" w:ascii="宋体" w:hAnsi="宋体" w:cs="宋体"/>
        </w:rPr>
        <w:t>张楙，字苍崖，直隶武疆廪贡。康熙癸己任本郡守。声流水蘖，惠洽茅檐。岁运家赀，以资费用。巡行阡陌，赏赍优厚。尝修文昌宫、南熏楼、饮仁亭。创凌江书院，书籍器具悉备。重建署中西园，造画舫，皆出己赀。匠人加给工价，货物先给其值，陆续支收，贾蒙其德。捐置田亩，出贡廪生资之，书院修脯膏火资之。时临考课，殷勤启迪。于士之贫者，时节给以钱米。一时文风丕振。莅政精明，合属风清弊绝。寻以忧去。民于城东立祠，又于书院前立祠祀之。</w:t>
      </w:r>
    </w:p>
    <w:p w14:paraId="55188EB0">
      <w:pPr>
        <w:ind w:firstLine="422"/>
        <w:rPr>
          <w:rFonts w:ascii="宋体" w:hAnsi="宋体" w:cs="宋体"/>
          <w:b/>
          <w:bCs/>
        </w:rPr>
      </w:pPr>
      <w:r>
        <w:rPr>
          <w:rFonts w:hint="eastAsia" w:ascii="宋体" w:hAnsi="宋体" w:cs="宋体"/>
          <w:b/>
          <w:bCs/>
        </w:rPr>
        <w:t>陈旭</w:t>
      </w:r>
    </w:p>
    <w:p w14:paraId="1C4A0DAE">
      <w:pPr>
        <w:ind w:firstLine="420"/>
        <w:rPr>
          <w:rFonts w:ascii="宋体" w:hAnsi="宋体" w:cs="宋体"/>
        </w:rPr>
      </w:pPr>
      <w:r>
        <w:rPr>
          <w:rFonts w:hint="eastAsia" w:ascii="宋体" w:hAnsi="宋体" w:cs="宋体"/>
        </w:rPr>
        <w:t>陈旭，字晓园，浙江钱塘人，由监生任保昌令。洁己爱民，缓刑尚德。时昌邑粮多虚赔，役多烦扰，人民逃窜，田地荒芜。旭恻然。甫下车，即履亩清丈，历六寒暑。康熙甲戌始置鱼鳞册，虚粮为之一清。又悯徭役之苦，令每钱粮一两加纳二钱五分，所有差徭，官为经理，民免科派，共庆更生。逃亡渐以归籍，榛莽渐以芟治。学宫鞠为茂草，捐俸修葺，乐育人才。遇旱则劝赈，谳狱必得情真，贤明父母也。戊寅，以忧去。百姓扶老携幼饯送，百里不绝。</w:t>
      </w:r>
    </w:p>
    <w:p w14:paraId="7D11813D">
      <w:pPr>
        <w:ind w:firstLine="422"/>
        <w:rPr>
          <w:rFonts w:ascii="宋体" w:hAnsi="宋体" w:cs="宋体"/>
          <w:b/>
          <w:bCs/>
        </w:rPr>
      </w:pPr>
      <w:r>
        <w:rPr>
          <w:rFonts w:hint="eastAsia" w:ascii="宋体" w:hAnsi="宋体" w:cs="宋体"/>
          <w:b/>
          <w:bCs/>
        </w:rPr>
        <w:t>施其智</w:t>
      </w:r>
    </w:p>
    <w:p w14:paraId="10D913DF">
      <w:pPr>
        <w:ind w:firstLine="420"/>
        <w:rPr>
          <w:rFonts w:ascii="宋体" w:hAnsi="宋体" w:cs="宋体"/>
        </w:rPr>
      </w:pPr>
      <w:r>
        <w:rPr>
          <w:rFonts w:hint="eastAsia" w:ascii="宋体" w:hAnsi="宋体" w:cs="宋体"/>
        </w:rPr>
        <w:t>施其智，字愚庵，山东泰安人。康熙己卯，由贡生授保昌令。性刚介，一尘不染，御下严明，胥吏奉法，豪强敛迹。向来广州驻防八旗寡妇度岭入京，占据民房，不胜骚扰。其智力遏，其横乃止。壬午，大兵进剿徭匪，弁兵大肆需索。其智单骑迎送，不应苛求。有持刀恐胁者，其智揭衣露腹曰：肚可戳，财不可派。弁末如何，民得安堵。大中丞彭鹏举卓异，升陕西南州知州。</w:t>
      </w:r>
    </w:p>
    <w:p w14:paraId="3178F9A2">
      <w:pPr>
        <w:ind w:firstLine="422"/>
        <w:rPr>
          <w:rFonts w:ascii="宋体" w:hAnsi="宋体" w:cs="宋体"/>
          <w:b/>
          <w:bCs/>
        </w:rPr>
      </w:pPr>
      <w:r>
        <w:rPr>
          <w:rFonts w:hint="eastAsia" w:ascii="宋体" w:hAnsi="宋体" w:cs="宋体"/>
          <w:b/>
          <w:bCs/>
        </w:rPr>
        <w:t>戴锡纶</w:t>
      </w:r>
    </w:p>
    <w:p w14:paraId="5F6EA99C">
      <w:pPr>
        <w:ind w:firstLine="420"/>
        <w:rPr>
          <w:rFonts w:ascii="宋体" w:hAnsi="宋体" w:cs="宋体"/>
        </w:rPr>
      </w:pPr>
      <w:r>
        <w:rPr>
          <w:rFonts w:hint="eastAsia" w:ascii="宋体" w:hAnsi="宋体" w:cs="宋体"/>
        </w:rPr>
        <w:t>戴锡纶，河南光州光山举人。由南海知县升直隶嘉应州知州。嘉庆十二年（1807年），南雄府改直隶州，锡纶调任知州。十三年，重辟皇华门，改建武庙，创学宫前资科店房。十四年任满，调署韶州。道光三年（1823年），复任南雄知州。在任二年，倡开学前大成街，续修《直隶南雄州志》三十四卷。</w:t>
      </w:r>
    </w:p>
    <w:p w14:paraId="0E06D88C">
      <w:pPr>
        <w:pStyle w:val="5"/>
        <w:rPr>
          <w:rFonts w:ascii="宋体" w:hAnsi="宋体" w:cs="宋体"/>
        </w:rPr>
      </w:pPr>
      <w:r>
        <w:rPr>
          <w:rFonts w:hint="eastAsia" w:ascii="宋体" w:hAnsi="宋体" w:cs="宋体"/>
        </w:rPr>
        <w:t>现代</w:t>
      </w:r>
    </w:p>
    <w:p w14:paraId="644B57FA">
      <w:pPr>
        <w:ind w:firstLine="422"/>
        <w:rPr>
          <w:rFonts w:ascii="宋体" w:hAnsi="宋体" w:cs="宋体"/>
          <w:b/>
          <w:bCs/>
        </w:rPr>
      </w:pPr>
      <w:r>
        <w:rPr>
          <w:rFonts w:hint="eastAsia" w:ascii="宋体" w:hAnsi="宋体" w:cs="宋体"/>
          <w:b/>
          <w:bCs/>
        </w:rPr>
        <w:t>陈赞贤</w:t>
      </w:r>
    </w:p>
    <w:p w14:paraId="111C01E0">
      <w:pPr>
        <w:ind w:firstLine="420"/>
        <w:rPr>
          <w:rFonts w:ascii="宋体" w:hAnsi="宋体" w:cs="宋体"/>
        </w:rPr>
      </w:pPr>
      <w:r>
        <w:rPr>
          <w:rFonts w:hint="eastAsia" w:ascii="宋体" w:hAnsi="宋体" w:cs="宋体"/>
        </w:rPr>
        <w:t>陈赞贤（1894-1927），江西南康人，曾肄业于江西陆军讲武堂、南昌第一师范。1922年，在孙中山领导的北伐军中任少校书记。1924年任南康县教育会长。1925年12月到南雄开展工人运动，创办第一间工人补习学校，组织工人学文化，传播革命思想。创建捆烟、木匠、缝业、理发等工会组织，工会会员达900多人。1926年，陈赞贤加入中国共产党，被选为南雄县总工会第一任委员长，领导工人开展反剥削、反封建，支援省港大罢工，支援北伐军，功绩卓著，深受工人爱戴。1926年8月，以全国总工会特派员身份回赣州，任赣州特支书记，当选为赣州总工会委员长。1927年3月6日，被国民党反动派秘密杀害。对此，刘少奇发表了悼念文章。南雄千余农工群众集会悼念，抗议国民党反动派罪行。</w:t>
      </w:r>
    </w:p>
    <w:p w14:paraId="3F2DEE78">
      <w:pPr>
        <w:ind w:firstLine="422"/>
        <w:rPr>
          <w:rFonts w:ascii="宋体" w:hAnsi="宋体" w:cs="宋体"/>
          <w:b/>
          <w:bCs/>
        </w:rPr>
      </w:pPr>
      <w:r>
        <w:rPr>
          <w:rFonts w:hint="eastAsia" w:ascii="宋体" w:hAnsi="宋体" w:cs="宋体"/>
          <w:b/>
          <w:bCs/>
        </w:rPr>
        <w:t>吴汝鎏</w:t>
      </w:r>
    </w:p>
    <w:p w14:paraId="5B0C58CA">
      <w:pPr>
        <w:ind w:firstLine="420"/>
        <w:rPr>
          <w:rFonts w:ascii="宋体" w:hAnsi="宋体" w:cs="宋体"/>
        </w:rPr>
      </w:pPr>
      <w:r>
        <w:rPr>
          <w:rFonts w:hint="eastAsia" w:ascii="宋体" w:hAnsi="宋体" w:cs="宋体"/>
        </w:rPr>
        <w:t>吴汝鎏（1908-1938），广东新会人，广东航空学校毕业。抗日初期任中国空军第三大队长，率领29航空队9架飞机驻中国空军四十二航空站（即南雄飞机场），抗击日本侵略者。</w:t>
      </w:r>
    </w:p>
    <w:p w14:paraId="07FCBAF2">
      <w:pPr>
        <w:ind w:firstLine="420"/>
        <w:rPr>
          <w:rFonts w:ascii="宋体" w:hAnsi="宋体" w:cs="宋体"/>
        </w:rPr>
      </w:pPr>
      <w:r>
        <w:rPr>
          <w:rFonts w:hint="eastAsia" w:ascii="宋体" w:hAnsi="宋体" w:cs="宋体"/>
        </w:rPr>
        <w:t>1938年8月30日上午10时50分，日机17架从始兴方向侵来。此前，吴汝鎏已获广州防空情报，判断98式日机续航能力只有4小时，在南雄停留时间不能超过30分钟；只要空战超过30分钟，敌机就不能飞回海上航空母舰。所以决定待敌机飞来投弹之后堵截，只准其北飞不准其南逃。当日机进入南雄空域，吴汝鎏以逸待劳，依计划率9架战机截击。正当激战之中，意外发现云层上还有20多架日机，我方处于以少战多，以低空战高空的不利形势。吴汝鎏率领的航空队是一支英勇善战的机群，不畏强敌，愈战愈勇，击落敌机6架，并千方百计拖住敌机，不许南飞。一架日机发现吴汝鎏正在云层中指挥战斗，突然加速拦腰撞去，吴机被撞成两截起火，吴汝鎏壮烈牺牲。而日机也因战斗超时，返航途中油尽坠海。南雄人民目睹这场空战，十分感动，各界人士为吴汝鎏隆重举行追悼大会。政府当局把南雄机场命名为汝鎏机场。其遗体由南雄县长莫雄护送回广州沙河安葬。</w:t>
      </w:r>
    </w:p>
    <w:p w14:paraId="4BF348D2">
      <w:pPr>
        <w:ind w:firstLine="422"/>
        <w:rPr>
          <w:rFonts w:ascii="宋体" w:hAnsi="宋体" w:cs="宋体"/>
          <w:b/>
          <w:bCs/>
        </w:rPr>
      </w:pPr>
      <w:r>
        <w:rPr>
          <w:rFonts w:hint="eastAsia" w:ascii="宋体" w:hAnsi="宋体" w:cs="宋体"/>
          <w:b/>
          <w:bCs/>
        </w:rPr>
        <w:t>罗溥鍒</w:t>
      </w:r>
    </w:p>
    <w:p w14:paraId="08184538">
      <w:pPr>
        <w:ind w:firstLine="420"/>
        <w:rPr>
          <w:rFonts w:ascii="宋体" w:hAnsi="宋体" w:cs="宋体"/>
        </w:rPr>
      </w:pPr>
      <w:r>
        <w:rPr>
          <w:rFonts w:hint="eastAsia" w:ascii="宋体" w:hAnsi="宋体" w:cs="宋体"/>
        </w:rPr>
        <w:t>罗溥鍒（1912-1974），南海县人，中山大学农学院教授。1948年9月，南雄烟业改进会兴办烟草改良试验场，聘请罗溥鍒任试验场主任，农学士易锡铎为副主任。当年搜罗各国烟种40余种进行试验，并向农民推广美国“佛光”和“特字400号”烤烟品种。全县推广面积达2000余公顷，并培训各乡送来的实习生30名。1949年10月，因经费困难，时局动荡，试验场停办。</w:t>
      </w:r>
    </w:p>
    <w:p w14:paraId="7353C205">
      <w:pPr>
        <w:ind w:firstLine="420"/>
        <w:rPr>
          <w:rFonts w:ascii="宋体" w:hAnsi="宋体" w:cs="宋体"/>
        </w:rPr>
      </w:pPr>
      <w:r>
        <w:rPr>
          <w:rFonts w:hint="eastAsia" w:ascii="宋体" w:hAnsi="宋体" w:cs="宋体"/>
        </w:rPr>
        <w:t>新中国成立后，罗溥鍒任广东省农业厅副总农艺师，为推动南雄烟叶技术改良做了许多工作。1951年6月，亲赴南雄湖口乡主持6个区49个乡228人参加的烟农讲习班，传授半日晒半火力烤烟法，改明炉炭火为管道燃木柴，降低成本，提高质量，解决烟叶糖分易焦化的问题。当年还在湖口田心村指导兴建第一座全火力示范烤烟房，现场传授烤烟技术，深受烟农欢迎。1953年，全县烤烟房增加到36间，1956年发展到528间，使南雄烟叶调制技术提高到一个新的水平。</w:t>
      </w:r>
    </w:p>
    <w:p w14:paraId="5325DF9B">
      <w:pPr>
        <w:ind w:firstLine="422"/>
        <w:rPr>
          <w:rFonts w:ascii="宋体" w:hAnsi="宋体" w:cs="宋体"/>
          <w:b/>
          <w:bCs/>
        </w:rPr>
      </w:pPr>
      <w:r>
        <w:rPr>
          <w:rFonts w:hint="eastAsia" w:ascii="宋体" w:hAnsi="宋体" w:cs="宋体"/>
          <w:b/>
          <w:bCs/>
        </w:rPr>
        <w:t>魏世俊</w:t>
      </w:r>
    </w:p>
    <w:p w14:paraId="7E9824DD">
      <w:pPr>
        <w:ind w:firstLine="420"/>
        <w:rPr>
          <w:rFonts w:ascii="宋体" w:hAnsi="宋体" w:cs="宋体"/>
        </w:rPr>
      </w:pPr>
      <w:r>
        <w:rPr>
          <w:rFonts w:hint="eastAsia" w:ascii="宋体" w:hAnsi="宋体" w:cs="宋体"/>
        </w:rPr>
        <w:t>魏世俊，山西武乡县人。1964年5月由韶关军分区调任南雄人民武装部政委，列席中共南雄县委常委。1967年7月至1968年4月，任南雄“抓革命促生产”核心小组长。1968年4月至1974年7月，任南雄县革命委员会主任。1970年1月至1974年7月，任中共南雄县委书记。1974年秋，调任新兴县人民武装部政委。1987年病逝。</w:t>
      </w:r>
    </w:p>
    <w:p w14:paraId="677A83D4">
      <w:pPr>
        <w:ind w:firstLine="420"/>
        <w:rPr>
          <w:rFonts w:ascii="宋体" w:hAnsi="宋体" w:cs="宋体"/>
        </w:rPr>
      </w:pPr>
      <w:r>
        <w:rPr>
          <w:rFonts w:hint="eastAsia" w:ascii="宋体" w:hAnsi="宋体" w:cs="宋体"/>
        </w:rPr>
        <w:t>魏世俊担任南雄县党政主要领导职务7年，时值“文化大革命”，极“左”路线横行。1967年11月至12月，城乡曾出现“三乱”（乱抓，乱打，乱杀）。</w:t>
      </w:r>
    </w:p>
    <w:p w14:paraId="7A6BF43B">
      <w:pPr>
        <w:ind w:firstLine="420"/>
        <w:rPr>
          <w:rFonts w:ascii="宋体" w:hAnsi="宋体" w:cs="宋体"/>
        </w:rPr>
      </w:pPr>
      <w:r>
        <w:rPr>
          <w:rFonts w:hint="eastAsia" w:ascii="宋体" w:hAnsi="宋体" w:cs="宋体"/>
        </w:rPr>
        <w:t>魏世俊在任期间注重农田水利建设。1969年11月，组织领导兴建罗田水库，历时5个冬春建成，库容212.2万立方米。1970年冬又组织领导兴建瀑布水库，1万多民工以民兵师的组织形式施工，历时4个冬春，到1974年8月基本建成，库容3400万立方米，既保证1333.33余公顷农田灌溉，又为南雄城居民食用水提供充足的优质水源。还可于坝后兴建两级水电站，1973年建成一级，1976年建成二级，装机容量共为6700千瓦，为南雄最大的水电站。</w:t>
      </w:r>
    </w:p>
    <w:p w14:paraId="570D1BC2">
      <w:pPr>
        <w:ind w:firstLine="422"/>
        <w:rPr>
          <w:rFonts w:ascii="宋体" w:hAnsi="宋体" w:cs="宋体"/>
        </w:rPr>
      </w:pPr>
      <w:r>
        <w:rPr>
          <w:rFonts w:hint="eastAsia" w:ascii="宋体" w:hAnsi="宋体" w:cs="宋体"/>
          <w:b/>
          <w:bCs/>
        </w:rPr>
        <w:t>沈会峰</w:t>
      </w:r>
    </w:p>
    <w:p w14:paraId="3C98EFAD">
      <w:pPr>
        <w:ind w:firstLine="420"/>
        <w:rPr>
          <w:rFonts w:ascii="宋体" w:hAnsi="宋体" w:cs="宋体"/>
        </w:rPr>
      </w:pPr>
      <w:r>
        <w:rPr>
          <w:rFonts w:hint="eastAsia" w:ascii="宋体" w:hAnsi="宋体" w:cs="宋体"/>
        </w:rPr>
        <w:t>沈会峰（1928-2002），河北滦南县人。1947年7月参加中国人民解放军，历任班长、副政治指导员。1951年5月调南雄县任中共第一区委员会副书记，土改工作队第六分队长。1953年1月至1956年6月，任中共南雄县委宣传部副部长、部长，县委第三副书记。1956年6月至1965年1月，任中共南雄县委书记、县长（县长始任于1963年5月）。1965年1月至1967年1月，任中共南雄县委第一书记、县长。</w:t>
      </w:r>
    </w:p>
    <w:p w14:paraId="08CFCB1B">
      <w:pPr>
        <w:ind w:firstLine="420"/>
        <w:rPr>
          <w:rFonts w:ascii="宋体" w:hAnsi="宋体" w:cs="宋体"/>
        </w:rPr>
      </w:pPr>
      <w:r>
        <w:rPr>
          <w:rFonts w:hint="eastAsia" w:ascii="宋体" w:hAnsi="宋体" w:cs="宋体"/>
        </w:rPr>
        <w:t>沈会峰在南雄党政领导班子任职期间，致力农田水利建设。1957年冬水利建设高潮中，沈会峰驻县重点工程中坪水库，与1万多民工一起奋战半年多。水库坝高40.81米为当时全省之冠。</w:t>
      </w:r>
    </w:p>
    <w:p w14:paraId="62694532">
      <w:pPr>
        <w:ind w:firstLine="420"/>
        <w:rPr>
          <w:rFonts w:ascii="宋体" w:hAnsi="宋体" w:cs="宋体"/>
        </w:rPr>
      </w:pPr>
      <w:r>
        <w:rPr>
          <w:rFonts w:hint="eastAsia" w:ascii="宋体" w:hAnsi="宋体" w:cs="宋体"/>
        </w:rPr>
        <w:t>1965年，沈会峰总结历年抗旱经验教训，深感南雄地势高亢，水源不足，以至旱灾频仍。为从根本上解决干旱威胁，组织水利技术人员跋山涉水，调查测量，作出决策，兴建总库容6700多万立方米的孔江水库，并亲任水库工程指挥部总指挥。1966年9月，正当“文化大革命”前夕，沈会峰排除干扰，领导工程指挥部在水库工地连续举办3期训练班，边学“毛泽东著作”边劳动，23000多人次奋战3个月，一举拿下土石方30万立方米，完成主副坝工程，随即组织3万多民工开挖54公里灌溉干渠。此时，“文化大革命”风暴冲击着县党政领导机关，沈会峰难于正常工作了，但他以孔江水库工程建设为重，于1967年1月16日毅然签发了《中共南雄县委关于坚决地、毫不动摇地胜利完成孔江水库灌区工程的决定》。但是，时隔8天，24日晚沈会峰被所谓“造反派”夺权，从此“靠边站”，被迫接受无休止的批斗。1970年调韶关，历任大宝山革委会生产组副组长，建筑安装公司革委会主任，韶关地区粮食局党委书记、局长，韶关地区财贸办公室副主任。</w:t>
      </w:r>
    </w:p>
    <w:p w14:paraId="7319BBC7">
      <w:pPr>
        <w:ind w:firstLine="420"/>
        <w:rPr>
          <w:rFonts w:ascii="宋体" w:hAnsi="宋体" w:cs="宋体"/>
        </w:rPr>
      </w:pPr>
      <w:r>
        <w:rPr>
          <w:rFonts w:hint="eastAsia" w:ascii="宋体" w:hAnsi="宋体" w:cs="宋体"/>
        </w:rPr>
        <w:t>1974年7月，沈会峰调回南雄复任中共南雄县委书记、南雄县革委会主任。他一如既往，为南雄水利建设尽心竭力，下车伊始，即把孔江水库配套工程列入重要议事日程，组织3万多民工开通干、支渠道，组建2000多人的农田基本建设专业队攻坚克险。1976年，建设历时10年的孔江水库终告全线竣工，与浈江北岸6宗中型、小（一）型水库串联成网，灌溉农田8000公顷。</w:t>
      </w:r>
    </w:p>
    <w:p w14:paraId="2BC491C1">
      <w:pPr>
        <w:ind w:firstLine="420"/>
        <w:rPr>
          <w:rFonts w:ascii="宋体" w:hAnsi="宋体" w:cs="宋体"/>
        </w:rPr>
      </w:pPr>
      <w:r>
        <w:rPr>
          <w:rFonts w:hint="eastAsia" w:ascii="宋体" w:hAnsi="宋体" w:cs="宋体"/>
        </w:rPr>
        <w:t>1977年至1980年，沈会峰又连续四个冬季分别组织数万劳力投入雄东、雄中、雄南、雄西农田基本建设大会战，兴建宝江水库，完善五大灌溉网，全县75%耕地解除干旱威胁。这些年，沈会峰的春节都是在工地上过的，南雄的水利工程无不留下他的足迹。</w:t>
      </w:r>
    </w:p>
    <w:p w14:paraId="3B21B2D4">
      <w:pPr>
        <w:ind w:firstLine="420"/>
        <w:rPr>
          <w:rFonts w:ascii="宋体" w:hAnsi="宋体" w:cs="宋体"/>
        </w:rPr>
      </w:pPr>
      <w:r>
        <w:rPr>
          <w:rFonts w:hint="eastAsia" w:ascii="宋体" w:hAnsi="宋体" w:cs="宋体"/>
        </w:rPr>
        <w:t>1984年，全国计划生育委员会授予沈会峰为全国计划生育工作先进个人。</w:t>
      </w:r>
    </w:p>
    <w:p w14:paraId="13CB910B">
      <w:pPr>
        <w:ind w:firstLine="420"/>
        <w:rPr>
          <w:rFonts w:ascii="宋体" w:hAnsi="宋体" w:cs="宋体"/>
        </w:rPr>
      </w:pPr>
      <w:r>
        <w:rPr>
          <w:rFonts w:hint="eastAsia" w:ascii="宋体" w:hAnsi="宋体" w:cs="宋体"/>
        </w:rPr>
        <w:t>1984年4月，沈会峰调任中共韶关市委统战部长，当选韶关市政协副主席。2002年12月病逝。</w:t>
      </w:r>
    </w:p>
    <w:p w14:paraId="140A8F19">
      <w:pPr>
        <w:pStyle w:val="3"/>
        <w:rPr>
          <w:rFonts w:ascii="宋体" w:hAnsi="宋体" w:cs="宋体"/>
        </w:rPr>
      </w:pPr>
      <w:r>
        <w:rPr>
          <w:rFonts w:hint="eastAsia" w:ascii="宋体" w:hAnsi="宋体" w:cs="宋体"/>
        </w:rPr>
        <w:t>第二章  人物表</w:t>
      </w:r>
    </w:p>
    <w:p w14:paraId="26C7DF36">
      <w:pPr>
        <w:pStyle w:val="4"/>
        <w:rPr>
          <w:rFonts w:ascii="宋体" w:hAnsi="宋体" w:cs="宋体"/>
        </w:rPr>
      </w:pPr>
      <w:r>
        <w:rPr>
          <w:rFonts w:hint="eastAsia" w:ascii="宋体" w:hAnsi="宋体" w:cs="宋体"/>
        </w:rPr>
        <w:t>第一节  历代科举</w:t>
      </w:r>
    </w:p>
    <w:p w14:paraId="556EE5AB">
      <w:pPr>
        <w:pStyle w:val="5"/>
        <w:rPr>
          <w:rFonts w:ascii="宋体" w:hAnsi="宋体" w:cs="宋体"/>
        </w:rPr>
      </w:pPr>
      <w:r>
        <w:rPr>
          <w:rFonts w:hint="eastAsia" w:ascii="宋体" w:hAnsi="宋体" w:cs="宋体"/>
        </w:rPr>
        <w:t>唐代</w:t>
      </w:r>
    </w:p>
    <w:p w14:paraId="25C55160">
      <w:pPr>
        <w:ind w:firstLine="0" w:firstLineChars="0"/>
        <w:rPr>
          <w:rFonts w:ascii="宋体" w:hAnsi="宋体" w:cs="宋体"/>
          <w:b/>
          <w:bCs/>
        </w:rPr>
      </w:pPr>
      <w:r>
        <w:rPr>
          <w:rFonts w:hint="eastAsia" w:ascii="宋体" w:hAnsi="宋体" w:cs="宋体"/>
          <w:b/>
          <w:bCs/>
        </w:rPr>
        <w:t>表7-1</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52"/>
        <w:gridCol w:w="2409"/>
        <w:gridCol w:w="2411"/>
        <w:gridCol w:w="3190"/>
      </w:tblGrid>
      <w:tr w14:paraId="445DBD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80" w:type="pct"/>
            <w:vAlign w:val="center"/>
          </w:tcPr>
          <w:p w14:paraId="25C1F667">
            <w:pPr>
              <w:pStyle w:val="12"/>
              <w:jc w:val="center"/>
              <w:rPr>
                <w:b/>
              </w:rPr>
            </w:pPr>
            <w:r>
              <w:rPr>
                <w:rFonts w:hint="eastAsia"/>
                <w:b/>
              </w:rPr>
              <w:t>科目</w:t>
            </w:r>
          </w:p>
        </w:tc>
        <w:tc>
          <w:tcPr>
            <w:tcW w:w="1209" w:type="pct"/>
            <w:vAlign w:val="center"/>
          </w:tcPr>
          <w:p w14:paraId="5212CEF2">
            <w:pPr>
              <w:pStyle w:val="12"/>
              <w:jc w:val="center"/>
              <w:rPr>
                <w:b/>
              </w:rPr>
            </w:pPr>
            <w:r>
              <w:rPr>
                <w:rFonts w:hint="eastAsia"/>
                <w:b/>
              </w:rPr>
              <w:t>姓名</w:t>
            </w:r>
          </w:p>
        </w:tc>
        <w:tc>
          <w:tcPr>
            <w:tcW w:w="1210" w:type="pct"/>
            <w:vAlign w:val="center"/>
          </w:tcPr>
          <w:p w14:paraId="06D2005B">
            <w:pPr>
              <w:pStyle w:val="12"/>
              <w:jc w:val="center"/>
              <w:rPr>
                <w:b/>
              </w:rPr>
            </w:pPr>
            <w:r>
              <w:rPr>
                <w:rFonts w:hint="eastAsia"/>
                <w:b/>
              </w:rPr>
              <w:t>年代</w:t>
            </w:r>
          </w:p>
        </w:tc>
        <w:tc>
          <w:tcPr>
            <w:tcW w:w="1602" w:type="pct"/>
            <w:vAlign w:val="center"/>
          </w:tcPr>
          <w:p w14:paraId="60E9780B">
            <w:pPr>
              <w:pStyle w:val="12"/>
              <w:jc w:val="center"/>
              <w:rPr>
                <w:b/>
              </w:rPr>
            </w:pPr>
            <w:r>
              <w:rPr>
                <w:rFonts w:hint="eastAsia"/>
                <w:b/>
              </w:rPr>
              <w:t>备注</w:t>
            </w:r>
          </w:p>
        </w:tc>
      </w:tr>
      <w:tr w14:paraId="77ADCA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80" w:type="pct"/>
            <w:vAlign w:val="center"/>
          </w:tcPr>
          <w:p w14:paraId="5B036581">
            <w:pPr>
              <w:pStyle w:val="12"/>
              <w:jc w:val="center"/>
            </w:pPr>
            <w:r>
              <w:rPr>
                <w:rFonts w:hint="eastAsia"/>
              </w:rPr>
              <w:t>进    士</w:t>
            </w:r>
          </w:p>
        </w:tc>
        <w:tc>
          <w:tcPr>
            <w:tcW w:w="1209" w:type="pct"/>
            <w:vAlign w:val="center"/>
          </w:tcPr>
          <w:p w14:paraId="44E3E951">
            <w:pPr>
              <w:pStyle w:val="12"/>
              <w:jc w:val="center"/>
            </w:pPr>
            <w:r>
              <w:rPr>
                <w:rFonts w:hint="eastAsia"/>
              </w:rPr>
              <w:t>孔  闰</w:t>
            </w:r>
          </w:p>
        </w:tc>
        <w:tc>
          <w:tcPr>
            <w:tcW w:w="1210" w:type="pct"/>
            <w:vAlign w:val="center"/>
          </w:tcPr>
          <w:p w14:paraId="342BAF7B">
            <w:pPr>
              <w:pStyle w:val="12"/>
              <w:jc w:val="center"/>
            </w:pPr>
            <w:r>
              <w:rPr>
                <w:rFonts w:hint="eastAsia"/>
              </w:rPr>
              <w:t>昭宗景福癸丑</w:t>
            </w:r>
          </w:p>
        </w:tc>
        <w:tc>
          <w:tcPr>
            <w:tcW w:w="1602" w:type="pct"/>
            <w:vAlign w:val="center"/>
          </w:tcPr>
          <w:p w14:paraId="33A6110B">
            <w:pPr>
              <w:pStyle w:val="12"/>
              <w:jc w:val="left"/>
            </w:pPr>
            <w:r>
              <w:rPr>
                <w:rFonts w:hint="eastAsia"/>
              </w:rPr>
              <w:t>有传</w:t>
            </w:r>
          </w:p>
        </w:tc>
      </w:tr>
      <w:tr w14:paraId="670BAD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80" w:type="pct"/>
            <w:vAlign w:val="center"/>
          </w:tcPr>
          <w:p w14:paraId="08EA10DC">
            <w:pPr>
              <w:pStyle w:val="12"/>
              <w:jc w:val="center"/>
            </w:pPr>
            <w:r>
              <w:rPr>
                <w:rFonts w:hint="eastAsia"/>
              </w:rPr>
              <w:t>材识兼茂</w:t>
            </w:r>
          </w:p>
        </w:tc>
        <w:tc>
          <w:tcPr>
            <w:tcW w:w="1209" w:type="pct"/>
            <w:vAlign w:val="center"/>
          </w:tcPr>
          <w:p w14:paraId="76922FB1">
            <w:pPr>
              <w:pStyle w:val="12"/>
              <w:jc w:val="center"/>
            </w:pPr>
            <w:r>
              <w:rPr>
                <w:rFonts w:hint="eastAsia"/>
              </w:rPr>
              <w:t>李金马</w:t>
            </w:r>
          </w:p>
        </w:tc>
        <w:tc>
          <w:tcPr>
            <w:tcW w:w="1210" w:type="pct"/>
            <w:vAlign w:val="center"/>
          </w:tcPr>
          <w:p w14:paraId="005FD3F6">
            <w:pPr>
              <w:pStyle w:val="12"/>
              <w:jc w:val="center"/>
            </w:pPr>
            <w:r>
              <w:rPr>
                <w:rFonts w:hint="eastAsia"/>
              </w:rPr>
              <w:t>宪宗元和</w:t>
            </w:r>
          </w:p>
        </w:tc>
        <w:tc>
          <w:tcPr>
            <w:tcW w:w="1602" w:type="pct"/>
            <w:vAlign w:val="center"/>
          </w:tcPr>
          <w:p w14:paraId="19D07499">
            <w:pPr>
              <w:pStyle w:val="12"/>
              <w:jc w:val="left"/>
            </w:pPr>
            <w:r>
              <w:rPr>
                <w:rFonts w:hint="eastAsia"/>
              </w:rPr>
              <w:t>有传</w:t>
            </w:r>
          </w:p>
        </w:tc>
      </w:tr>
    </w:tbl>
    <w:p w14:paraId="4E67BBAA">
      <w:pPr>
        <w:pStyle w:val="5"/>
        <w:rPr>
          <w:rFonts w:ascii="宋体" w:hAnsi="宋体" w:cs="宋体"/>
        </w:rPr>
      </w:pPr>
      <w:r>
        <w:rPr>
          <w:rFonts w:hint="eastAsia" w:ascii="宋体" w:hAnsi="宋体" w:cs="宋体"/>
        </w:rPr>
        <w:t>宋代</w:t>
      </w:r>
    </w:p>
    <w:p w14:paraId="6877EAFA">
      <w:pPr>
        <w:ind w:firstLine="0" w:firstLineChars="0"/>
        <w:rPr>
          <w:rFonts w:ascii="宋体" w:hAnsi="宋体" w:cs="宋体"/>
          <w:b/>
          <w:bCs/>
        </w:rPr>
      </w:pPr>
      <w:r>
        <w:rPr>
          <w:rFonts w:hint="eastAsia" w:ascii="宋体" w:hAnsi="宋体" w:cs="宋体"/>
          <w:b/>
          <w:bCs/>
        </w:rPr>
        <w:t>表7-2</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5"/>
        <w:gridCol w:w="1351"/>
        <w:gridCol w:w="1737"/>
        <w:gridCol w:w="5599"/>
      </w:tblGrid>
      <w:tr w14:paraId="7854965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91B899A">
            <w:pPr>
              <w:pStyle w:val="12"/>
              <w:jc w:val="center"/>
              <w:rPr>
                <w:b/>
              </w:rPr>
            </w:pPr>
            <w:r>
              <w:rPr>
                <w:rFonts w:hint="eastAsia"/>
                <w:b/>
              </w:rPr>
              <w:t>科  目</w:t>
            </w:r>
          </w:p>
        </w:tc>
        <w:tc>
          <w:tcPr>
            <w:tcW w:w="678" w:type="pct"/>
            <w:vAlign w:val="center"/>
          </w:tcPr>
          <w:p w14:paraId="37B265E1">
            <w:pPr>
              <w:pStyle w:val="12"/>
              <w:jc w:val="center"/>
              <w:rPr>
                <w:b/>
              </w:rPr>
            </w:pPr>
            <w:r>
              <w:rPr>
                <w:rFonts w:hint="eastAsia"/>
                <w:b/>
              </w:rPr>
              <w:t>姓  名</w:t>
            </w:r>
          </w:p>
        </w:tc>
        <w:tc>
          <w:tcPr>
            <w:tcW w:w="872" w:type="pct"/>
            <w:vAlign w:val="center"/>
          </w:tcPr>
          <w:p w14:paraId="38EC6743">
            <w:pPr>
              <w:pStyle w:val="12"/>
              <w:jc w:val="center"/>
              <w:rPr>
                <w:b/>
              </w:rPr>
            </w:pPr>
            <w:r>
              <w:rPr>
                <w:rFonts w:hint="eastAsia"/>
                <w:b/>
              </w:rPr>
              <w:t>年  代</w:t>
            </w:r>
          </w:p>
        </w:tc>
        <w:tc>
          <w:tcPr>
            <w:tcW w:w="2810" w:type="pct"/>
            <w:vAlign w:val="center"/>
          </w:tcPr>
          <w:p w14:paraId="1F69A3FE">
            <w:pPr>
              <w:pStyle w:val="12"/>
              <w:jc w:val="center"/>
              <w:rPr>
                <w:b/>
              </w:rPr>
            </w:pPr>
            <w:r>
              <w:rPr>
                <w:rFonts w:hint="eastAsia"/>
                <w:b/>
              </w:rPr>
              <w:t>备  注</w:t>
            </w:r>
          </w:p>
        </w:tc>
      </w:tr>
      <w:tr w14:paraId="1E2136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restart"/>
            <w:vAlign w:val="center"/>
          </w:tcPr>
          <w:p w14:paraId="6971C2D3">
            <w:pPr>
              <w:pStyle w:val="12"/>
              <w:jc w:val="center"/>
            </w:pPr>
            <w:r>
              <w:rPr>
                <w:rFonts w:hint="eastAsia"/>
              </w:rPr>
              <w:t>进  士</w:t>
            </w:r>
          </w:p>
        </w:tc>
        <w:tc>
          <w:tcPr>
            <w:tcW w:w="678" w:type="pct"/>
            <w:vAlign w:val="center"/>
          </w:tcPr>
          <w:p w14:paraId="4CCB9F0A">
            <w:pPr>
              <w:pStyle w:val="12"/>
              <w:jc w:val="center"/>
            </w:pPr>
            <w:r>
              <w:rPr>
                <w:rFonts w:hint="eastAsia"/>
              </w:rPr>
              <w:t>邓  骧</w:t>
            </w:r>
          </w:p>
        </w:tc>
        <w:tc>
          <w:tcPr>
            <w:tcW w:w="872" w:type="pct"/>
            <w:vAlign w:val="center"/>
          </w:tcPr>
          <w:p w14:paraId="1B471517">
            <w:pPr>
              <w:pStyle w:val="12"/>
              <w:jc w:val="center"/>
            </w:pPr>
            <w:r>
              <w:rPr>
                <w:rFonts w:hint="eastAsia"/>
              </w:rPr>
              <w:t>天圣二年</w:t>
            </w:r>
          </w:p>
        </w:tc>
        <w:tc>
          <w:tcPr>
            <w:tcW w:w="2810" w:type="pct"/>
            <w:vAlign w:val="center"/>
          </w:tcPr>
          <w:p w14:paraId="7FE4168C">
            <w:pPr>
              <w:pStyle w:val="12"/>
              <w:jc w:val="left"/>
            </w:pPr>
            <w:r>
              <w:rPr>
                <w:rFonts w:hint="eastAsia"/>
              </w:rPr>
              <w:t>宋效榜第二甲（元·南雄路志）</w:t>
            </w:r>
          </w:p>
        </w:tc>
      </w:tr>
      <w:tr w14:paraId="6F4E67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0821BF9">
            <w:pPr>
              <w:pStyle w:val="12"/>
              <w:jc w:val="center"/>
            </w:pPr>
          </w:p>
        </w:tc>
        <w:tc>
          <w:tcPr>
            <w:tcW w:w="678" w:type="pct"/>
            <w:vAlign w:val="center"/>
          </w:tcPr>
          <w:p w14:paraId="427E401D">
            <w:pPr>
              <w:pStyle w:val="12"/>
              <w:jc w:val="center"/>
            </w:pPr>
            <w:r>
              <w:rPr>
                <w:rFonts w:hint="eastAsia"/>
              </w:rPr>
              <w:t>赵  奎</w:t>
            </w:r>
          </w:p>
        </w:tc>
        <w:tc>
          <w:tcPr>
            <w:tcW w:w="872" w:type="pct"/>
            <w:vAlign w:val="center"/>
          </w:tcPr>
          <w:p w14:paraId="20BAEAE3">
            <w:pPr>
              <w:pStyle w:val="12"/>
              <w:jc w:val="center"/>
            </w:pPr>
            <w:r>
              <w:rPr>
                <w:rFonts w:hint="eastAsia"/>
              </w:rPr>
              <w:t>景祐元年</w:t>
            </w:r>
          </w:p>
        </w:tc>
        <w:tc>
          <w:tcPr>
            <w:tcW w:w="2810" w:type="pct"/>
            <w:vAlign w:val="center"/>
          </w:tcPr>
          <w:p w14:paraId="7D04EF1C">
            <w:pPr>
              <w:pStyle w:val="12"/>
              <w:jc w:val="left"/>
            </w:pPr>
            <w:r>
              <w:rPr>
                <w:rFonts w:hint="eastAsia"/>
              </w:rPr>
              <w:t>张唐卿榜第三甲（元·南雄路志）</w:t>
            </w:r>
          </w:p>
        </w:tc>
      </w:tr>
      <w:tr w14:paraId="5F6AD7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E08B072">
            <w:pPr>
              <w:pStyle w:val="12"/>
              <w:jc w:val="center"/>
            </w:pPr>
          </w:p>
        </w:tc>
        <w:tc>
          <w:tcPr>
            <w:tcW w:w="678" w:type="pct"/>
            <w:vAlign w:val="center"/>
          </w:tcPr>
          <w:p w14:paraId="27ADF4EC">
            <w:pPr>
              <w:pStyle w:val="12"/>
              <w:jc w:val="center"/>
            </w:pPr>
            <w:r>
              <w:rPr>
                <w:rFonts w:hint="eastAsia"/>
              </w:rPr>
              <w:t>谭惟几</w:t>
            </w:r>
          </w:p>
        </w:tc>
        <w:tc>
          <w:tcPr>
            <w:tcW w:w="872" w:type="pct"/>
            <w:vAlign w:val="center"/>
          </w:tcPr>
          <w:p w14:paraId="503A5680">
            <w:pPr>
              <w:pStyle w:val="12"/>
              <w:jc w:val="center"/>
            </w:pPr>
            <w:r>
              <w:rPr>
                <w:rFonts w:hint="eastAsia"/>
              </w:rPr>
              <w:t>景祐五年</w:t>
            </w:r>
          </w:p>
        </w:tc>
        <w:tc>
          <w:tcPr>
            <w:tcW w:w="2810" w:type="pct"/>
            <w:vAlign w:val="center"/>
          </w:tcPr>
          <w:p w14:paraId="33C45C90">
            <w:pPr>
              <w:pStyle w:val="12"/>
              <w:jc w:val="left"/>
            </w:pPr>
            <w:r>
              <w:rPr>
                <w:rFonts w:hint="eastAsia"/>
              </w:rPr>
              <w:t>吕溱榜第四甲（元·南雄路志）</w:t>
            </w:r>
          </w:p>
        </w:tc>
      </w:tr>
      <w:tr w14:paraId="65E51F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AFD3C07">
            <w:pPr>
              <w:pStyle w:val="12"/>
              <w:jc w:val="center"/>
            </w:pPr>
          </w:p>
        </w:tc>
        <w:tc>
          <w:tcPr>
            <w:tcW w:w="678" w:type="pct"/>
            <w:vAlign w:val="center"/>
          </w:tcPr>
          <w:p w14:paraId="07C0CE79">
            <w:pPr>
              <w:pStyle w:val="12"/>
              <w:jc w:val="center"/>
            </w:pPr>
            <w:r>
              <w:rPr>
                <w:rFonts w:hint="eastAsia"/>
              </w:rPr>
              <w:t>邓中立</w:t>
            </w:r>
          </w:p>
        </w:tc>
        <w:tc>
          <w:tcPr>
            <w:tcW w:w="872" w:type="pct"/>
            <w:vAlign w:val="center"/>
          </w:tcPr>
          <w:p w14:paraId="019D5EE6">
            <w:pPr>
              <w:pStyle w:val="12"/>
              <w:jc w:val="center"/>
            </w:pPr>
            <w:r>
              <w:rPr>
                <w:rFonts w:hint="eastAsia"/>
              </w:rPr>
              <w:t>皇祐元年</w:t>
            </w:r>
          </w:p>
        </w:tc>
        <w:tc>
          <w:tcPr>
            <w:tcW w:w="2810" w:type="pct"/>
            <w:vAlign w:val="center"/>
          </w:tcPr>
          <w:p w14:paraId="68E63404">
            <w:pPr>
              <w:pStyle w:val="12"/>
              <w:jc w:val="left"/>
            </w:pPr>
            <w:r>
              <w:rPr>
                <w:rFonts w:hint="eastAsia"/>
              </w:rPr>
              <w:t>冯牟榜第四甲（元·南雄路志）</w:t>
            </w:r>
          </w:p>
        </w:tc>
      </w:tr>
      <w:tr w14:paraId="03BCAB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D5C2648">
            <w:pPr>
              <w:pStyle w:val="12"/>
              <w:jc w:val="center"/>
            </w:pPr>
          </w:p>
        </w:tc>
        <w:tc>
          <w:tcPr>
            <w:tcW w:w="678" w:type="pct"/>
            <w:vAlign w:val="center"/>
          </w:tcPr>
          <w:p w14:paraId="024A739C">
            <w:pPr>
              <w:pStyle w:val="12"/>
              <w:jc w:val="center"/>
            </w:pPr>
            <w:r>
              <w:rPr>
                <w:rFonts w:hint="eastAsia"/>
              </w:rPr>
              <w:t>徐  信</w:t>
            </w:r>
          </w:p>
        </w:tc>
        <w:tc>
          <w:tcPr>
            <w:tcW w:w="872" w:type="pct"/>
            <w:vAlign w:val="center"/>
          </w:tcPr>
          <w:p w14:paraId="5B53EE82">
            <w:pPr>
              <w:pStyle w:val="12"/>
              <w:jc w:val="center"/>
            </w:pPr>
            <w:r>
              <w:rPr>
                <w:rFonts w:hint="eastAsia"/>
              </w:rPr>
              <w:t>皇祐五年</w:t>
            </w:r>
          </w:p>
        </w:tc>
        <w:tc>
          <w:tcPr>
            <w:tcW w:w="2810" w:type="pct"/>
            <w:vAlign w:val="center"/>
          </w:tcPr>
          <w:p w14:paraId="718CB672">
            <w:pPr>
              <w:pStyle w:val="12"/>
              <w:jc w:val="left"/>
            </w:pPr>
            <w:r>
              <w:rPr>
                <w:rFonts w:hint="eastAsia"/>
              </w:rPr>
              <w:t>有传</w:t>
            </w:r>
          </w:p>
        </w:tc>
      </w:tr>
      <w:tr w14:paraId="182D94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ED243B4">
            <w:pPr>
              <w:pStyle w:val="12"/>
              <w:jc w:val="center"/>
            </w:pPr>
          </w:p>
        </w:tc>
        <w:tc>
          <w:tcPr>
            <w:tcW w:w="678" w:type="pct"/>
            <w:vAlign w:val="center"/>
          </w:tcPr>
          <w:p w14:paraId="42F84FCE">
            <w:pPr>
              <w:pStyle w:val="12"/>
              <w:jc w:val="center"/>
            </w:pPr>
            <w:r>
              <w:rPr>
                <w:rFonts w:hint="eastAsia"/>
              </w:rPr>
              <w:t>李  邵</w:t>
            </w:r>
          </w:p>
        </w:tc>
        <w:tc>
          <w:tcPr>
            <w:tcW w:w="872" w:type="pct"/>
            <w:vAlign w:val="center"/>
          </w:tcPr>
          <w:p w14:paraId="3CE50CA2">
            <w:pPr>
              <w:pStyle w:val="12"/>
              <w:jc w:val="center"/>
            </w:pPr>
            <w:r>
              <w:rPr>
                <w:rFonts w:hint="eastAsia"/>
              </w:rPr>
              <w:t>嘉祐三年</w:t>
            </w:r>
          </w:p>
        </w:tc>
        <w:tc>
          <w:tcPr>
            <w:tcW w:w="2810" w:type="pct"/>
            <w:vAlign w:val="center"/>
          </w:tcPr>
          <w:p w14:paraId="31417AE4">
            <w:pPr>
              <w:pStyle w:val="12"/>
              <w:jc w:val="left"/>
            </w:pPr>
            <w:r>
              <w:rPr>
                <w:rFonts w:hint="eastAsia"/>
              </w:rPr>
              <w:t>章衡榜第三甲，官至殿中侍御史</w:t>
            </w:r>
          </w:p>
        </w:tc>
      </w:tr>
      <w:tr w14:paraId="339A18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6028E8D">
            <w:pPr>
              <w:pStyle w:val="12"/>
              <w:jc w:val="center"/>
            </w:pPr>
          </w:p>
        </w:tc>
        <w:tc>
          <w:tcPr>
            <w:tcW w:w="678" w:type="pct"/>
            <w:vAlign w:val="center"/>
          </w:tcPr>
          <w:p w14:paraId="2813E44C">
            <w:pPr>
              <w:pStyle w:val="12"/>
              <w:jc w:val="center"/>
            </w:pPr>
            <w:r>
              <w:rPr>
                <w:rFonts w:hint="eastAsia"/>
              </w:rPr>
              <w:t>顾希甫</w:t>
            </w:r>
          </w:p>
        </w:tc>
        <w:tc>
          <w:tcPr>
            <w:tcW w:w="872" w:type="pct"/>
            <w:vAlign w:val="center"/>
          </w:tcPr>
          <w:p w14:paraId="21A8A685">
            <w:pPr>
              <w:pStyle w:val="12"/>
              <w:jc w:val="center"/>
            </w:pPr>
            <w:r>
              <w:rPr>
                <w:rFonts w:hint="eastAsia"/>
              </w:rPr>
              <w:t>嘉祐三年</w:t>
            </w:r>
          </w:p>
        </w:tc>
        <w:tc>
          <w:tcPr>
            <w:tcW w:w="2810" w:type="pct"/>
            <w:vAlign w:val="center"/>
          </w:tcPr>
          <w:p w14:paraId="11BD2B77">
            <w:pPr>
              <w:pStyle w:val="12"/>
              <w:jc w:val="left"/>
            </w:pPr>
            <w:r>
              <w:rPr>
                <w:rFonts w:hint="eastAsia"/>
              </w:rPr>
              <w:t>郑獬榜第五甲，官至翰林学士</w:t>
            </w:r>
          </w:p>
        </w:tc>
      </w:tr>
      <w:tr w14:paraId="633996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75F0AFB">
            <w:pPr>
              <w:pStyle w:val="12"/>
              <w:jc w:val="center"/>
            </w:pPr>
          </w:p>
        </w:tc>
        <w:tc>
          <w:tcPr>
            <w:tcW w:w="678" w:type="pct"/>
            <w:vAlign w:val="center"/>
          </w:tcPr>
          <w:p w14:paraId="2D79B711">
            <w:pPr>
              <w:pStyle w:val="12"/>
              <w:jc w:val="center"/>
            </w:pPr>
            <w:r>
              <w:rPr>
                <w:rFonts w:hint="eastAsia"/>
              </w:rPr>
              <w:t>邓  向</w:t>
            </w:r>
          </w:p>
        </w:tc>
        <w:tc>
          <w:tcPr>
            <w:tcW w:w="872" w:type="pct"/>
            <w:vAlign w:val="center"/>
          </w:tcPr>
          <w:p w14:paraId="66FBB98C">
            <w:pPr>
              <w:pStyle w:val="12"/>
              <w:jc w:val="center"/>
            </w:pPr>
            <w:r>
              <w:rPr>
                <w:rFonts w:hint="eastAsia"/>
              </w:rPr>
              <w:t>治平四年</w:t>
            </w:r>
          </w:p>
        </w:tc>
        <w:tc>
          <w:tcPr>
            <w:tcW w:w="2810" w:type="pct"/>
            <w:vAlign w:val="center"/>
          </w:tcPr>
          <w:p w14:paraId="72960421">
            <w:pPr>
              <w:pStyle w:val="12"/>
              <w:jc w:val="left"/>
            </w:pPr>
            <w:r>
              <w:rPr>
                <w:rFonts w:hint="eastAsia"/>
              </w:rPr>
              <w:t>有传</w:t>
            </w:r>
          </w:p>
        </w:tc>
      </w:tr>
      <w:tr w14:paraId="71D45B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B35D364">
            <w:pPr>
              <w:pStyle w:val="12"/>
              <w:jc w:val="center"/>
            </w:pPr>
          </w:p>
        </w:tc>
        <w:tc>
          <w:tcPr>
            <w:tcW w:w="678" w:type="pct"/>
            <w:vAlign w:val="center"/>
          </w:tcPr>
          <w:p w14:paraId="121FF54B">
            <w:pPr>
              <w:pStyle w:val="12"/>
              <w:jc w:val="center"/>
            </w:pPr>
            <w:r>
              <w:rPr>
                <w:rFonts w:hint="eastAsia"/>
              </w:rPr>
              <w:t>张舜咨</w:t>
            </w:r>
          </w:p>
        </w:tc>
        <w:tc>
          <w:tcPr>
            <w:tcW w:w="872" w:type="pct"/>
            <w:vAlign w:val="center"/>
          </w:tcPr>
          <w:p w14:paraId="4D417A30">
            <w:pPr>
              <w:pStyle w:val="12"/>
              <w:jc w:val="center"/>
            </w:pPr>
            <w:r>
              <w:rPr>
                <w:rFonts w:hint="eastAsia"/>
              </w:rPr>
              <w:t>熙宁六年</w:t>
            </w:r>
          </w:p>
        </w:tc>
        <w:tc>
          <w:tcPr>
            <w:tcW w:w="2810" w:type="pct"/>
            <w:vAlign w:val="center"/>
          </w:tcPr>
          <w:p w14:paraId="70D32B06">
            <w:pPr>
              <w:pStyle w:val="12"/>
              <w:jc w:val="left"/>
            </w:pPr>
            <w:r>
              <w:rPr>
                <w:rFonts w:hint="eastAsia"/>
              </w:rPr>
              <w:t>余中榜第三甲</w:t>
            </w:r>
          </w:p>
        </w:tc>
      </w:tr>
      <w:tr w14:paraId="1243E9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85C9621">
            <w:pPr>
              <w:pStyle w:val="12"/>
              <w:jc w:val="center"/>
            </w:pPr>
          </w:p>
        </w:tc>
        <w:tc>
          <w:tcPr>
            <w:tcW w:w="678" w:type="pct"/>
            <w:vAlign w:val="center"/>
          </w:tcPr>
          <w:p w14:paraId="54A663EB">
            <w:pPr>
              <w:pStyle w:val="12"/>
              <w:jc w:val="center"/>
            </w:pPr>
            <w:r>
              <w:rPr>
                <w:rFonts w:hint="eastAsia"/>
              </w:rPr>
              <w:t>张  渐</w:t>
            </w:r>
          </w:p>
        </w:tc>
        <w:tc>
          <w:tcPr>
            <w:tcW w:w="872" w:type="pct"/>
            <w:vAlign w:val="center"/>
          </w:tcPr>
          <w:p w14:paraId="29F813C9">
            <w:pPr>
              <w:pStyle w:val="12"/>
              <w:jc w:val="center"/>
            </w:pPr>
            <w:r>
              <w:rPr>
                <w:rFonts w:hint="eastAsia"/>
              </w:rPr>
              <w:t>熙宁九年</w:t>
            </w:r>
          </w:p>
        </w:tc>
        <w:tc>
          <w:tcPr>
            <w:tcW w:w="2810" w:type="pct"/>
            <w:vAlign w:val="center"/>
          </w:tcPr>
          <w:p w14:paraId="1CEFCC81">
            <w:pPr>
              <w:pStyle w:val="12"/>
              <w:jc w:val="left"/>
            </w:pPr>
            <w:r>
              <w:rPr>
                <w:rFonts w:hint="eastAsia"/>
              </w:rPr>
              <w:t>徐铎榜第四甲，历官朝请大夫，著有《沙田集》</w:t>
            </w:r>
          </w:p>
        </w:tc>
      </w:tr>
      <w:tr w14:paraId="4E93A3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03F3C99">
            <w:pPr>
              <w:pStyle w:val="12"/>
              <w:jc w:val="center"/>
            </w:pPr>
          </w:p>
        </w:tc>
        <w:tc>
          <w:tcPr>
            <w:tcW w:w="678" w:type="pct"/>
            <w:vAlign w:val="center"/>
          </w:tcPr>
          <w:p w14:paraId="7193DB69">
            <w:pPr>
              <w:pStyle w:val="12"/>
              <w:jc w:val="center"/>
            </w:pPr>
            <w:r>
              <w:rPr>
                <w:rFonts w:hint="eastAsia"/>
              </w:rPr>
              <w:t>李  炎</w:t>
            </w:r>
          </w:p>
        </w:tc>
        <w:tc>
          <w:tcPr>
            <w:tcW w:w="872" w:type="pct"/>
            <w:vAlign w:val="center"/>
          </w:tcPr>
          <w:p w14:paraId="63DD941B">
            <w:pPr>
              <w:pStyle w:val="12"/>
              <w:jc w:val="center"/>
            </w:pPr>
            <w:r>
              <w:rPr>
                <w:rFonts w:hint="eastAsia"/>
              </w:rPr>
              <w:t>元丰二年</w:t>
            </w:r>
          </w:p>
        </w:tc>
        <w:tc>
          <w:tcPr>
            <w:tcW w:w="2810" w:type="pct"/>
            <w:vAlign w:val="center"/>
          </w:tcPr>
          <w:p w14:paraId="2B47DB18">
            <w:pPr>
              <w:pStyle w:val="12"/>
              <w:jc w:val="left"/>
            </w:pPr>
            <w:r>
              <w:rPr>
                <w:rFonts w:hint="eastAsia"/>
              </w:rPr>
              <w:t>邵之子</w:t>
            </w:r>
          </w:p>
        </w:tc>
      </w:tr>
      <w:tr w14:paraId="020CA9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B1EDFF6">
            <w:pPr>
              <w:pStyle w:val="12"/>
              <w:jc w:val="center"/>
            </w:pPr>
          </w:p>
        </w:tc>
        <w:tc>
          <w:tcPr>
            <w:tcW w:w="678" w:type="pct"/>
            <w:vAlign w:val="center"/>
          </w:tcPr>
          <w:p w14:paraId="76B59105">
            <w:pPr>
              <w:pStyle w:val="12"/>
              <w:jc w:val="center"/>
            </w:pPr>
            <w:r>
              <w:rPr>
                <w:rFonts w:hint="eastAsia"/>
              </w:rPr>
              <w:t>顾  兖</w:t>
            </w:r>
          </w:p>
        </w:tc>
        <w:tc>
          <w:tcPr>
            <w:tcW w:w="872" w:type="pct"/>
            <w:vAlign w:val="center"/>
          </w:tcPr>
          <w:p w14:paraId="7AD8224C">
            <w:pPr>
              <w:pStyle w:val="12"/>
              <w:jc w:val="center"/>
            </w:pPr>
            <w:r>
              <w:rPr>
                <w:rFonts w:hint="eastAsia"/>
              </w:rPr>
              <w:t>元丰五年</w:t>
            </w:r>
          </w:p>
        </w:tc>
        <w:tc>
          <w:tcPr>
            <w:tcW w:w="2810" w:type="pct"/>
            <w:vAlign w:val="center"/>
          </w:tcPr>
          <w:p w14:paraId="6BA57F80">
            <w:pPr>
              <w:pStyle w:val="12"/>
              <w:jc w:val="left"/>
            </w:pPr>
            <w:r>
              <w:rPr>
                <w:rFonts w:hint="eastAsia"/>
              </w:rPr>
              <w:t>希甫子，黄裳榜第五甲，官起居注</w:t>
            </w:r>
          </w:p>
        </w:tc>
      </w:tr>
      <w:tr w14:paraId="6017B1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2F1FE33">
            <w:pPr>
              <w:pStyle w:val="12"/>
              <w:jc w:val="center"/>
            </w:pPr>
          </w:p>
        </w:tc>
        <w:tc>
          <w:tcPr>
            <w:tcW w:w="678" w:type="pct"/>
            <w:vAlign w:val="center"/>
          </w:tcPr>
          <w:p w14:paraId="5B8A8AF4">
            <w:pPr>
              <w:pStyle w:val="12"/>
              <w:jc w:val="center"/>
            </w:pPr>
            <w:r>
              <w:rPr>
                <w:rFonts w:hint="eastAsia"/>
              </w:rPr>
              <w:t>赵  旸</w:t>
            </w:r>
          </w:p>
        </w:tc>
        <w:tc>
          <w:tcPr>
            <w:tcW w:w="872" w:type="pct"/>
            <w:vAlign w:val="center"/>
          </w:tcPr>
          <w:p w14:paraId="0D509CAF">
            <w:pPr>
              <w:pStyle w:val="12"/>
              <w:jc w:val="center"/>
            </w:pPr>
            <w:r>
              <w:rPr>
                <w:rFonts w:hint="eastAsia"/>
              </w:rPr>
              <w:t>元丰八年</w:t>
            </w:r>
          </w:p>
        </w:tc>
        <w:tc>
          <w:tcPr>
            <w:tcW w:w="2810" w:type="pct"/>
            <w:vAlign w:val="center"/>
          </w:tcPr>
          <w:p w14:paraId="75044079">
            <w:pPr>
              <w:pStyle w:val="12"/>
              <w:jc w:val="left"/>
            </w:pPr>
            <w:r>
              <w:rPr>
                <w:rFonts w:hint="eastAsia"/>
              </w:rPr>
              <w:t>焦蹈榜第三甲（元·南雄路志）</w:t>
            </w:r>
          </w:p>
        </w:tc>
      </w:tr>
      <w:tr w14:paraId="0152E6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FF672C8">
            <w:pPr>
              <w:pStyle w:val="12"/>
              <w:jc w:val="center"/>
            </w:pPr>
          </w:p>
        </w:tc>
        <w:tc>
          <w:tcPr>
            <w:tcW w:w="678" w:type="pct"/>
            <w:vAlign w:val="center"/>
          </w:tcPr>
          <w:p w14:paraId="3598B719">
            <w:pPr>
              <w:pStyle w:val="12"/>
              <w:jc w:val="center"/>
            </w:pPr>
            <w:r>
              <w:rPr>
                <w:rFonts w:hint="eastAsia"/>
              </w:rPr>
              <w:t>丘  贲</w:t>
            </w:r>
          </w:p>
        </w:tc>
        <w:tc>
          <w:tcPr>
            <w:tcW w:w="872" w:type="pct"/>
            <w:vAlign w:val="center"/>
          </w:tcPr>
          <w:p w14:paraId="7BCDEF17">
            <w:pPr>
              <w:pStyle w:val="12"/>
              <w:jc w:val="center"/>
            </w:pPr>
            <w:r>
              <w:rPr>
                <w:rFonts w:hint="eastAsia"/>
              </w:rPr>
              <w:t>元祐六年</w:t>
            </w:r>
          </w:p>
        </w:tc>
        <w:tc>
          <w:tcPr>
            <w:tcW w:w="2810" w:type="pct"/>
            <w:vAlign w:val="center"/>
          </w:tcPr>
          <w:p w14:paraId="1C862138">
            <w:pPr>
              <w:pStyle w:val="12"/>
              <w:jc w:val="left"/>
            </w:pPr>
            <w:r>
              <w:rPr>
                <w:rFonts w:hint="eastAsia"/>
              </w:rPr>
              <w:t>马涓榜第三甲（元·南雄路志）</w:t>
            </w:r>
          </w:p>
        </w:tc>
      </w:tr>
      <w:tr w14:paraId="1A8EBD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869C565">
            <w:pPr>
              <w:pStyle w:val="12"/>
              <w:jc w:val="center"/>
            </w:pPr>
          </w:p>
        </w:tc>
        <w:tc>
          <w:tcPr>
            <w:tcW w:w="678" w:type="pct"/>
            <w:vAlign w:val="center"/>
          </w:tcPr>
          <w:p w14:paraId="770FC806">
            <w:pPr>
              <w:pStyle w:val="12"/>
              <w:jc w:val="center"/>
            </w:pPr>
            <w:r>
              <w:rPr>
                <w:rFonts w:hint="eastAsia"/>
              </w:rPr>
              <w:t>黄  干</w:t>
            </w:r>
          </w:p>
        </w:tc>
        <w:tc>
          <w:tcPr>
            <w:tcW w:w="872" w:type="pct"/>
            <w:vAlign w:val="center"/>
          </w:tcPr>
          <w:p w14:paraId="2501C1F9">
            <w:pPr>
              <w:pStyle w:val="12"/>
              <w:jc w:val="center"/>
            </w:pPr>
            <w:r>
              <w:rPr>
                <w:rFonts w:hint="eastAsia"/>
              </w:rPr>
              <w:t>元祐六年</w:t>
            </w:r>
          </w:p>
        </w:tc>
        <w:tc>
          <w:tcPr>
            <w:tcW w:w="2810" w:type="pct"/>
            <w:vAlign w:val="center"/>
          </w:tcPr>
          <w:p w14:paraId="10AA357D">
            <w:pPr>
              <w:pStyle w:val="12"/>
              <w:jc w:val="left"/>
            </w:pPr>
            <w:r>
              <w:rPr>
                <w:rFonts w:hint="eastAsia"/>
              </w:rPr>
              <w:t>何昌元榜第三甲（元·南雄路志）</w:t>
            </w:r>
          </w:p>
        </w:tc>
      </w:tr>
      <w:tr w14:paraId="017511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D55BB68">
            <w:pPr>
              <w:pStyle w:val="12"/>
              <w:jc w:val="center"/>
            </w:pPr>
          </w:p>
        </w:tc>
        <w:tc>
          <w:tcPr>
            <w:tcW w:w="678" w:type="pct"/>
            <w:vAlign w:val="center"/>
          </w:tcPr>
          <w:p w14:paraId="47460999">
            <w:pPr>
              <w:pStyle w:val="12"/>
              <w:jc w:val="center"/>
            </w:pPr>
            <w:r>
              <w:rPr>
                <w:rFonts w:hint="eastAsia"/>
              </w:rPr>
              <w:t>陈  策</w:t>
            </w:r>
          </w:p>
        </w:tc>
        <w:tc>
          <w:tcPr>
            <w:tcW w:w="872" w:type="pct"/>
            <w:vAlign w:val="center"/>
          </w:tcPr>
          <w:p w14:paraId="1E46E177">
            <w:pPr>
              <w:pStyle w:val="12"/>
              <w:jc w:val="center"/>
            </w:pPr>
            <w:r>
              <w:rPr>
                <w:rFonts w:hint="eastAsia"/>
              </w:rPr>
              <w:t>绍圣四年</w:t>
            </w:r>
          </w:p>
        </w:tc>
        <w:tc>
          <w:tcPr>
            <w:tcW w:w="2810" w:type="pct"/>
            <w:vAlign w:val="center"/>
          </w:tcPr>
          <w:p w14:paraId="0517DCC0">
            <w:pPr>
              <w:pStyle w:val="12"/>
              <w:jc w:val="left"/>
            </w:pPr>
          </w:p>
        </w:tc>
      </w:tr>
      <w:tr w14:paraId="5CB6F2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E17F986">
            <w:pPr>
              <w:pStyle w:val="12"/>
              <w:jc w:val="center"/>
            </w:pPr>
          </w:p>
        </w:tc>
        <w:tc>
          <w:tcPr>
            <w:tcW w:w="678" w:type="pct"/>
            <w:vAlign w:val="center"/>
          </w:tcPr>
          <w:p w14:paraId="096CA002">
            <w:pPr>
              <w:pStyle w:val="12"/>
              <w:jc w:val="center"/>
            </w:pPr>
            <w:r>
              <w:rPr>
                <w:rFonts w:hint="eastAsia"/>
              </w:rPr>
              <w:t>邓显道</w:t>
            </w:r>
          </w:p>
        </w:tc>
        <w:tc>
          <w:tcPr>
            <w:tcW w:w="872" w:type="pct"/>
            <w:vAlign w:val="center"/>
          </w:tcPr>
          <w:p w14:paraId="3F47E95D">
            <w:pPr>
              <w:pStyle w:val="12"/>
              <w:jc w:val="center"/>
            </w:pPr>
            <w:r>
              <w:rPr>
                <w:rFonts w:hint="eastAsia"/>
              </w:rPr>
              <w:t>元符三年</w:t>
            </w:r>
          </w:p>
        </w:tc>
        <w:tc>
          <w:tcPr>
            <w:tcW w:w="2810" w:type="pct"/>
            <w:vAlign w:val="center"/>
          </w:tcPr>
          <w:p w14:paraId="6B92145D">
            <w:pPr>
              <w:pStyle w:val="12"/>
              <w:jc w:val="left"/>
            </w:pPr>
            <w:r>
              <w:rPr>
                <w:rFonts w:hint="eastAsia"/>
              </w:rPr>
              <w:t>李釜榜第四甲</w:t>
            </w:r>
          </w:p>
        </w:tc>
      </w:tr>
      <w:tr w14:paraId="1B663B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A2FF498">
            <w:pPr>
              <w:pStyle w:val="12"/>
              <w:jc w:val="center"/>
            </w:pPr>
          </w:p>
        </w:tc>
        <w:tc>
          <w:tcPr>
            <w:tcW w:w="678" w:type="pct"/>
            <w:vAlign w:val="center"/>
          </w:tcPr>
          <w:p w14:paraId="0CA36504">
            <w:pPr>
              <w:pStyle w:val="12"/>
              <w:jc w:val="center"/>
            </w:pPr>
            <w:r>
              <w:rPr>
                <w:rFonts w:hint="eastAsia"/>
              </w:rPr>
              <w:t>欧阳钰</w:t>
            </w:r>
          </w:p>
        </w:tc>
        <w:tc>
          <w:tcPr>
            <w:tcW w:w="872" w:type="pct"/>
            <w:vAlign w:val="center"/>
          </w:tcPr>
          <w:p w14:paraId="1A454436">
            <w:pPr>
              <w:pStyle w:val="12"/>
              <w:jc w:val="center"/>
            </w:pPr>
            <w:r>
              <w:rPr>
                <w:rFonts w:hint="eastAsia"/>
              </w:rPr>
              <w:t>大观三年</w:t>
            </w:r>
          </w:p>
        </w:tc>
        <w:tc>
          <w:tcPr>
            <w:tcW w:w="2810" w:type="pct"/>
            <w:vAlign w:val="center"/>
          </w:tcPr>
          <w:p w14:paraId="40800252">
            <w:pPr>
              <w:pStyle w:val="12"/>
              <w:jc w:val="left"/>
            </w:pPr>
            <w:r>
              <w:rPr>
                <w:rFonts w:hint="eastAsia"/>
              </w:rPr>
              <w:t>贾安宅榜第二甲（元·南雄路志）</w:t>
            </w:r>
          </w:p>
        </w:tc>
      </w:tr>
      <w:tr w14:paraId="7CC5B9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7E0666C">
            <w:pPr>
              <w:pStyle w:val="12"/>
              <w:jc w:val="center"/>
            </w:pPr>
          </w:p>
        </w:tc>
        <w:tc>
          <w:tcPr>
            <w:tcW w:w="678" w:type="pct"/>
            <w:vAlign w:val="center"/>
          </w:tcPr>
          <w:p w14:paraId="3A35A4E5">
            <w:pPr>
              <w:pStyle w:val="12"/>
              <w:jc w:val="center"/>
            </w:pPr>
            <w:r>
              <w:rPr>
                <w:rFonts w:hint="eastAsia"/>
              </w:rPr>
              <w:t>暨商后</w:t>
            </w:r>
          </w:p>
        </w:tc>
        <w:tc>
          <w:tcPr>
            <w:tcW w:w="872" w:type="pct"/>
            <w:vAlign w:val="center"/>
          </w:tcPr>
          <w:p w14:paraId="08893C47">
            <w:pPr>
              <w:pStyle w:val="12"/>
              <w:jc w:val="center"/>
            </w:pPr>
            <w:r>
              <w:rPr>
                <w:rFonts w:hint="eastAsia"/>
              </w:rPr>
              <w:t>政和三年</w:t>
            </w:r>
          </w:p>
        </w:tc>
        <w:tc>
          <w:tcPr>
            <w:tcW w:w="2810" w:type="pct"/>
            <w:vAlign w:val="center"/>
          </w:tcPr>
          <w:p w14:paraId="0D83524C">
            <w:pPr>
              <w:pStyle w:val="12"/>
              <w:jc w:val="left"/>
            </w:pPr>
            <w:r>
              <w:rPr>
                <w:rFonts w:hint="eastAsia"/>
              </w:rPr>
              <w:t>何卤榜第五甲（元·南雄路志）</w:t>
            </w:r>
          </w:p>
        </w:tc>
      </w:tr>
      <w:tr w14:paraId="0C233B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1A224499">
            <w:pPr>
              <w:pStyle w:val="12"/>
              <w:jc w:val="center"/>
            </w:pPr>
          </w:p>
        </w:tc>
        <w:tc>
          <w:tcPr>
            <w:tcW w:w="678" w:type="pct"/>
            <w:vAlign w:val="center"/>
          </w:tcPr>
          <w:p w14:paraId="0313779D">
            <w:pPr>
              <w:pStyle w:val="12"/>
              <w:jc w:val="center"/>
            </w:pPr>
            <w:r>
              <w:rPr>
                <w:rFonts w:hint="eastAsia"/>
              </w:rPr>
              <w:t>李舜臣</w:t>
            </w:r>
          </w:p>
        </w:tc>
        <w:tc>
          <w:tcPr>
            <w:tcW w:w="872" w:type="pct"/>
            <w:vAlign w:val="center"/>
          </w:tcPr>
          <w:p w14:paraId="49B83204">
            <w:pPr>
              <w:pStyle w:val="12"/>
              <w:jc w:val="center"/>
            </w:pPr>
            <w:r>
              <w:rPr>
                <w:rFonts w:hint="eastAsia"/>
              </w:rPr>
              <w:t>建炎二年</w:t>
            </w:r>
          </w:p>
        </w:tc>
        <w:tc>
          <w:tcPr>
            <w:tcW w:w="2810" w:type="pct"/>
            <w:vAlign w:val="center"/>
          </w:tcPr>
          <w:p w14:paraId="00FC7913">
            <w:pPr>
              <w:pStyle w:val="12"/>
              <w:jc w:val="left"/>
            </w:pPr>
            <w:r>
              <w:rPr>
                <w:rFonts w:hint="eastAsia"/>
              </w:rPr>
              <w:t>李禺榜第四甲（元·南雄路志）</w:t>
            </w:r>
          </w:p>
        </w:tc>
      </w:tr>
      <w:tr w14:paraId="465B54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34A6B6C">
            <w:pPr>
              <w:pStyle w:val="12"/>
              <w:jc w:val="center"/>
            </w:pPr>
          </w:p>
        </w:tc>
        <w:tc>
          <w:tcPr>
            <w:tcW w:w="678" w:type="pct"/>
            <w:vAlign w:val="center"/>
          </w:tcPr>
          <w:p w14:paraId="12D7D095">
            <w:pPr>
              <w:pStyle w:val="12"/>
              <w:jc w:val="center"/>
            </w:pPr>
            <w:r>
              <w:rPr>
                <w:rFonts w:hint="eastAsia"/>
              </w:rPr>
              <w:t>欧阳敷言</w:t>
            </w:r>
          </w:p>
        </w:tc>
        <w:tc>
          <w:tcPr>
            <w:tcW w:w="872" w:type="pct"/>
            <w:vAlign w:val="center"/>
          </w:tcPr>
          <w:p w14:paraId="11DBF884">
            <w:pPr>
              <w:pStyle w:val="12"/>
              <w:jc w:val="center"/>
            </w:pPr>
            <w:r>
              <w:rPr>
                <w:rFonts w:hint="eastAsia"/>
              </w:rPr>
              <w:t>建炎二年</w:t>
            </w:r>
          </w:p>
        </w:tc>
        <w:tc>
          <w:tcPr>
            <w:tcW w:w="2810" w:type="pct"/>
            <w:vAlign w:val="center"/>
          </w:tcPr>
          <w:p w14:paraId="784C5267">
            <w:pPr>
              <w:pStyle w:val="12"/>
              <w:jc w:val="left"/>
            </w:pPr>
            <w:r>
              <w:rPr>
                <w:rFonts w:hint="eastAsia"/>
              </w:rPr>
              <w:t>序易榜第五甲（元·南雄路志）</w:t>
            </w:r>
          </w:p>
        </w:tc>
      </w:tr>
      <w:tr w14:paraId="7C3486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44F1283">
            <w:pPr>
              <w:pStyle w:val="12"/>
              <w:jc w:val="center"/>
            </w:pPr>
          </w:p>
        </w:tc>
        <w:tc>
          <w:tcPr>
            <w:tcW w:w="678" w:type="pct"/>
            <w:vAlign w:val="center"/>
          </w:tcPr>
          <w:p w14:paraId="3E7F8D21">
            <w:pPr>
              <w:pStyle w:val="12"/>
              <w:jc w:val="center"/>
            </w:pPr>
            <w:r>
              <w:rPr>
                <w:rFonts w:hint="eastAsia"/>
              </w:rPr>
              <w:t>周愚叟</w:t>
            </w:r>
          </w:p>
        </w:tc>
        <w:tc>
          <w:tcPr>
            <w:tcW w:w="872" w:type="pct"/>
            <w:vAlign w:val="center"/>
          </w:tcPr>
          <w:p w14:paraId="7597F51C">
            <w:pPr>
              <w:pStyle w:val="12"/>
              <w:jc w:val="center"/>
            </w:pPr>
            <w:r>
              <w:rPr>
                <w:rFonts w:hint="eastAsia"/>
              </w:rPr>
              <w:t>淳熙八年</w:t>
            </w:r>
          </w:p>
        </w:tc>
        <w:tc>
          <w:tcPr>
            <w:tcW w:w="2810" w:type="pct"/>
            <w:vAlign w:val="center"/>
          </w:tcPr>
          <w:p w14:paraId="087F27F1">
            <w:pPr>
              <w:pStyle w:val="12"/>
              <w:jc w:val="left"/>
            </w:pPr>
            <w:r>
              <w:rPr>
                <w:rFonts w:hint="eastAsia"/>
              </w:rPr>
              <w:t>黄由榜第四甲</w:t>
            </w:r>
          </w:p>
        </w:tc>
      </w:tr>
      <w:tr w14:paraId="343A77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D3EBAB9">
            <w:pPr>
              <w:pStyle w:val="12"/>
              <w:jc w:val="center"/>
            </w:pPr>
          </w:p>
        </w:tc>
        <w:tc>
          <w:tcPr>
            <w:tcW w:w="678" w:type="pct"/>
            <w:vAlign w:val="center"/>
          </w:tcPr>
          <w:p w14:paraId="46076053">
            <w:pPr>
              <w:pStyle w:val="12"/>
              <w:jc w:val="center"/>
            </w:pPr>
            <w:r>
              <w:rPr>
                <w:rFonts w:hint="eastAsia"/>
              </w:rPr>
              <w:t>陈思愈</w:t>
            </w:r>
          </w:p>
        </w:tc>
        <w:tc>
          <w:tcPr>
            <w:tcW w:w="872" w:type="pct"/>
            <w:vAlign w:val="center"/>
          </w:tcPr>
          <w:p w14:paraId="7675A357">
            <w:pPr>
              <w:pStyle w:val="12"/>
              <w:jc w:val="center"/>
            </w:pPr>
            <w:r>
              <w:rPr>
                <w:rFonts w:hint="eastAsia"/>
              </w:rPr>
              <w:t>淳熙十四年</w:t>
            </w:r>
          </w:p>
        </w:tc>
        <w:tc>
          <w:tcPr>
            <w:tcW w:w="2810" w:type="pct"/>
            <w:vAlign w:val="center"/>
          </w:tcPr>
          <w:p w14:paraId="74777FCD">
            <w:pPr>
              <w:pStyle w:val="12"/>
              <w:jc w:val="left"/>
            </w:pPr>
            <w:r>
              <w:rPr>
                <w:rFonts w:hint="eastAsia"/>
              </w:rPr>
              <w:t>王容榜第五甲</w:t>
            </w:r>
          </w:p>
        </w:tc>
      </w:tr>
      <w:tr w14:paraId="0215DA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AE61FA6">
            <w:pPr>
              <w:pStyle w:val="12"/>
              <w:jc w:val="center"/>
            </w:pPr>
          </w:p>
        </w:tc>
        <w:tc>
          <w:tcPr>
            <w:tcW w:w="678" w:type="pct"/>
            <w:vAlign w:val="center"/>
          </w:tcPr>
          <w:p w14:paraId="2BCD8FF1">
            <w:pPr>
              <w:pStyle w:val="12"/>
              <w:jc w:val="center"/>
            </w:pPr>
            <w:r>
              <w:rPr>
                <w:rFonts w:hint="eastAsia"/>
              </w:rPr>
              <w:t>冯应之</w:t>
            </w:r>
          </w:p>
        </w:tc>
        <w:tc>
          <w:tcPr>
            <w:tcW w:w="872" w:type="pct"/>
            <w:vAlign w:val="center"/>
          </w:tcPr>
          <w:p w14:paraId="02C5780F">
            <w:pPr>
              <w:pStyle w:val="12"/>
              <w:jc w:val="center"/>
            </w:pPr>
            <w:r>
              <w:rPr>
                <w:rFonts w:hint="eastAsia"/>
              </w:rPr>
              <w:t>淳熙间</w:t>
            </w:r>
          </w:p>
        </w:tc>
        <w:tc>
          <w:tcPr>
            <w:tcW w:w="2810" w:type="pct"/>
            <w:vAlign w:val="center"/>
          </w:tcPr>
          <w:p w14:paraId="15A09EE4">
            <w:pPr>
              <w:pStyle w:val="12"/>
              <w:jc w:val="left"/>
            </w:pPr>
            <w:r>
              <w:rPr>
                <w:rFonts w:hint="eastAsia"/>
              </w:rPr>
              <w:t>预庆元党禁，见《舆地胜纪》，科年无考</w:t>
            </w:r>
          </w:p>
        </w:tc>
      </w:tr>
      <w:tr w14:paraId="36ADF3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2589B79">
            <w:pPr>
              <w:pStyle w:val="12"/>
              <w:jc w:val="center"/>
            </w:pPr>
          </w:p>
        </w:tc>
        <w:tc>
          <w:tcPr>
            <w:tcW w:w="678" w:type="pct"/>
            <w:vAlign w:val="center"/>
          </w:tcPr>
          <w:p w14:paraId="56546862">
            <w:pPr>
              <w:pStyle w:val="12"/>
              <w:jc w:val="center"/>
            </w:pPr>
            <w:r>
              <w:rPr>
                <w:rFonts w:hint="eastAsia"/>
              </w:rPr>
              <w:t>周之才</w:t>
            </w:r>
          </w:p>
        </w:tc>
        <w:tc>
          <w:tcPr>
            <w:tcW w:w="872" w:type="pct"/>
            <w:vAlign w:val="center"/>
          </w:tcPr>
          <w:p w14:paraId="7C1357A0">
            <w:pPr>
              <w:pStyle w:val="12"/>
              <w:jc w:val="center"/>
            </w:pPr>
            <w:r>
              <w:rPr>
                <w:rFonts w:hint="eastAsia"/>
              </w:rPr>
              <w:t>庆元二年</w:t>
            </w:r>
          </w:p>
        </w:tc>
        <w:tc>
          <w:tcPr>
            <w:tcW w:w="2810" w:type="pct"/>
            <w:vAlign w:val="center"/>
          </w:tcPr>
          <w:p w14:paraId="546B73E4">
            <w:pPr>
              <w:pStyle w:val="12"/>
              <w:jc w:val="left"/>
            </w:pPr>
            <w:r>
              <w:rPr>
                <w:rFonts w:hint="eastAsia"/>
              </w:rPr>
              <w:t>邹应龙榜第五甲</w:t>
            </w:r>
          </w:p>
        </w:tc>
      </w:tr>
      <w:tr w14:paraId="5B4DC2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5C5EBA6">
            <w:pPr>
              <w:pStyle w:val="12"/>
              <w:jc w:val="center"/>
            </w:pPr>
          </w:p>
        </w:tc>
        <w:tc>
          <w:tcPr>
            <w:tcW w:w="678" w:type="pct"/>
            <w:vAlign w:val="center"/>
          </w:tcPr>
          <w:p w14:paraId="64C4130A">
            <w:pPr>
              <w:pStyle w:val="12"/>
              <w:jc w:val="center"/>
            </w:pPr>
            <w:r>
              <w:rPr>
                <w:rFonts w:hint="eastAsia"/>
              </w:rPr>
              <w:t>吴晋卿</w:t>
            </w:r>
          </w:p>
        </w:tc>
        <w:tc>
          <w:tcPr>
            <w:tcW w:w="872" w:type="pct"/>
            <w:vAlign w:val="center"/>
          </w:tcPr>
          <w:p w14:paraId="5BF247CD">
            <w:pPr>
              <w:pStyle w:val="12"/>
              <w:jc w:val="center"/>
            </w:pPr>
            <w:r>
              <w:rPr>
                <w:rFonts w:hint="eastAsia"/>
              </w:rPr>
              <w:t>庆元二年</w:t>
            </w:r>
          </w:p>
        </w:tc>
        <w:tc>
          <w:tcPr>
            <w:tcW w:w="2810" w:type="pct"/>
            <w:vAlign w:val="center"/>
          </w:tcPr>
          <w:p w14:paraId="3C3E77ED">
            <w:pPr>
              <w:pStyle w:val="12"/>
              <w:jc w:val="left"/>
            </w:pPr>
          </w:p>
        </w:tc>
      </w:tr>
      <w:tr w14:paraId="067A7F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E29E36D">
            <w:pPr>
              <w:pStyle w:val="12"/>
              <w:jc w:val="center"/>
            </w:pPr>
          </w:p>
        </w:tc>
        <w:tc>
          <w:tcPr>
            <w:tcW w:w="678" w:type="pct"/>
            <w:vAlign w:val="center"/>
          </w:tcPr>
          <w:p w14:paraId="006B662D">
            <w:pPr>
              <w:pStyle w:val="12"/>
              <w:jc w:val="center"/>
            </w:pPr>
            <w:r>
              <w:rPr>
                <w:rFonts w:hint="eastAsia"/>
              </w:rPr>
              <w:t>何  珃</w:t>
            </w:r>
          </w:p>
        </w:tc>
        <w:tc>
          <w:tcPr>
            <w:tcW w:w="872" w:type="pct"/>
            <w:vAlign w:val="center"/>
          </w:tcPr>
          <w:p w14:paraId="3AA69AC1">
            <w:pPr>
              <w:pStyle w:val="12"/>
              <w:jc w:val="center"/>
            </w:pPr>
            <w:r>
              <w:rPr>
                <w:rFonts w:hint="eastAsia"/>
              </w:rPr>
              <w:t>庆元五年</w:t>
            </w:r>
          </w:p>
        </w:tc>
        <w:tc>
          <w:tcPr>
            <w:tcW w:w="2810" w:type="pct"/>
            <w:vAlign w:val="center"/>
          </w:tcPr>
          <w:p w14:paraId="6E19C750">
            <w:pPr>
              <w:pStyle w:val="12"/>
              <w:jc w:val="left"/>
            </w:pPr>
            <w:r>
              <w:rPr>
                <w:rFonts w:hint="eastAsia"/>
              </w:rPr>
              <w:t>肇庆别驾，见郝氏通志</w:t>
            </w:r>
          </w:p>
        </w:tc>
      </w:tr>
      <w:tr w14:paraId="5665E4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5F0969D">
            <w:pPr>
              <w:pStyle w:val="12"/>
              <w:jc w:val="center"/>
            </w:pPr>
          </w:p>
        </w:tc>
        <w:tc>
          <w:tcPr>
            <w:tcW w:w="678" w:type="pct"/>
            <w:vAlign w:val="center"/>
          </w:tcPr>
          <w:p w14:paraId="162E5568">
            <w:pPr>
              <w:pStyle w:val="12"/>
              <w:jc w:val="center"/>
            </w:pPr>
            <w:r>
              <w:rPr>
                <w:rFonts w:hint="eastAsia"/>
              </w:rPr>
              <w:t>曾  熹</w:t>
            </w:r>
          </w:p>
        </w:tc>
        <w:tc>
          <w:tcPr>
            <w:tcW w:w="872" w:type="pct"/>
            <w:vAlign w:val="center"/>
          </w:tcPr>
          <w:p w14:paraId="504F43E6">
            <w:pPr>
              <w:pStyle w:val="12"/>
              <w:jc w:val="center"/>
            </w:pPr>
            <w:r>
              <w:rPr>
                <w:rFonts w:hint="eastAsia"/>
              </w:rPr>
              <w:t>嘉泰二年</w:t>
            </w:r>
          </w:p>
        </w:tc>
        <w:tc>
          <w:tcPr>
            <w:tcW w:w="2810" w:type="pct"/>
            <w:vAlign w:val="center"/>
          </w:tcPr>
          <w:p w14:paraId="09B3F988">
            <w:pPr>
              <w:pStyle w:val="12"/>
              <w:jc w:val="left"/>
            </w:pPr>
          </w:p>
        </w:tc>
      </w:tr>
      <w:tr w14:paraId="507337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4D0667D">
            <w:pPr>
              <w:pStyle w:val="12"/>
              <w:jc w:val="center"/>
            </w:pPr>
          </w:p>
        </w:tc>
        <w:tc>
          <w:tcPr>
            <w:tcW w:w="678" w:type="pct"/>
            <w:vAlign w:val="center"/>
          </w:tcPr>
          <w:p w14:paraId="79213551">
            <w:pPr>
              <w:pStyle w:val="12"/>
              <w:jc w:val="center"/>
            </w:pPr>
            <w:r>
              <w:rPr>
                <w:rFonts w:hint="eastAsia"/>
              </w:rPr>
              <w:t>陈彰</w:t>
            </w:r>
          </w:p>
        </w:tc>
        <w:tc>
          <w:tcPr>
            <w:tcW w:w="872" w:type="pct"/>
            <w:vAlign w:val="center"/>
          </w:tcPr>
          <w:p w14:paraId="41CB4705">
            <w:pPr>
              <w:pStyle w:val="12"/>
              <w:jc w:val="center"/>
            </w:pPr>
            <w:r>
              <w:rPr>
                <w:rFonts w:hint="eastAsia"/>
              </w:rPr>
              <w:t>嘉泰二年</w:t>
            </w:r>
          </w:p>
        </w:tc>
        <w:tc>
          <w:tcPr>
            <w:tcW w:w="2810" w:type="pct"/>
            <w:vAlign w:val="center"/>
          </w:tcPr>
          <w:p w14:paraId="317EE48F">
            <w:pPr>
              <w:pStyle w:val="12"/>
              <w:jc w:val="left"/>
            </w:pPr>
          </w:p>
        </w:tc>
      </w:tr>
      <w:tr w14:paraId="10DA0D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A56F996">
            <w:pPr>
              <w:pStyle w:val="12"/>
              <w:jc w:val="center"/>
            </w:pPr>
          </w:p>
        </w:tc>
        <w:tc>
          <w:tcPr>
            <w:tcW w:w="678" w:type="pct"/>
            <w:vAlign w:val="center"/>
          </w:tcPr>
          <w:p w14:paraId="0B9DB23B">
            <w:pPr>
              <w:pStyle w:val="12"/>
              <w:jc w:val="center"/>
            </w:pPr>
            <w:r>
              <w:rPr>
                <w:rFonts w:hint="eastAsia"/>
              </w:rPr>
              <w:t>黎朝宗</w:t>
            </w:r>
          </w:p>
        </w:tc>
        <w:tc>
          <w:tcPr>
            <w:tcW w:w="872" w:type="pct"/>
            <w:vAlign w:val="center"/>
          </w:tcPr>
          <w:p w14:paraId="4D6869B1">
            <w:pPr>
              <w:pStyle w:val="12"/>
              <w:jc w:val="center"/>
            </w:pPr>
            <w:r>
              <w:rPr>
                <w:rFonts w:hint="eastAsia"/>
              </w:rPr>
              <w:t>嘉泰二年</w:t>
            </w:r>
          </w:p>
        </w:tc>
        <w:tc>
          <w:tcPr>
            <w:tcW w:w="2810" w:type="pct"/>
            <w:vAlign w:val="center"/>
          </w:tcPr>
          <w:p w14:paraId="2980FD33">
            <w:pPr>
              <w:pStyle w:val="12"/>
              <w:jc w:val="left"/>
            </w:pPr>
          </w:p>
        </w:tc>
      </w:tr>
      <w:tr w14:paraId="510D2D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951C04B">
            <w:pPr>
              <w:pStyle w:val="12"/>
              <w:jc w:val="center"/>
            </w:pPr>
          </w:p>
        </w:tc>
        <w:tc>
          <w:tcPr>
            <w:tcW w:w="678" w:type="pct"/>
            <w:vAlign w:val="center"/>
          </w:tcPr>
          <w:p w14:paraId="6CC95301">
            <w:pPr>
              <w:pStyle w:val="12"/>
              <w:jc w:val="center"/>
            </w:pPr>
            <w:r>
              <w:rPr>
                <w:rFonts w:hint="eastAsia"/>
              </w:rPr>
              <w:t>李  仪</w:t>
            </w:r>
          </w:p>
        </w:tc>
        <w:tc>
          <w:tcPr>
            <w:tcW w:w="872" w:type="pct"/>
            <w:vAlign w:val="center"/>
          </w:tcPr>
          <w:p w14:paraId="04A12694">
            <w:pPr>
              <w:pStyle w:val="12"/>
              <w:jc w:val="center"/>
            </w:pPr>
            <w:r>
              <w:rPr>
                <w:rFonts w:hint="eastAsia"/>
              </w:rPr>
              <w:t>开禧元年</w:t>
            </w:r>
          </w:p>
        </w:tc>
        <w:tc>
          <w:tcPr>
            <w:tcW w:w="2810" w:type="pct"/>
            <w:vAlign w:val="center"/>
          </w:tcPr>
          <w:p w14:paraId="5BC2E8B5">
            <w:pPr>
              <w:pStyle w:val="12"/>
              <w:jc w:val="left"/>
            </w:pPr>
          </w:p>
        </w:tc>
      </w:tr>
      <w:tr w14:paraId="1CFAD1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26BB65F">
            <w:pPr>
              <w:pStyle w:val="12"/>
              <w:jc w:val="center"/>
            </w:pPr>
          </w:p>
        </w:tc>
        <w:tc>
          <w:tcPr>
            <w:tcW w:w="678" w:type="pct"/>
            <w:vAlign w:val="center"/>
          </w:tcPr>
          <w:p w14:paraId="132D86C2">
            <w:pPr>
              <w:pStyle w:val="12"/>
              <w:jc w:val="center"/>
            </w:pPr>
            <w:r>
              <w:rPr>
                <w:rFonts w:hint="eastAsia"/>
              </w:rPr>
              <w:t>李  朴</w:t>
            </w:r>
          </w:p>
        </w:tc>
        <w:tc>
          <w:tcPr>
            <w:tcW w:w="872" w:type="pct"/>
            <w:vAlign w:val="center"/>
          </w:tcPr>
          <w:p w14:paraId="1E84E0F6">
            <w:pPr>
              <w:pStyle w:val="12"/>
              <w:jc w:val="center"/>
            </w:pPr>
            <w:r>
              <w:rPr>
                <w:rFonts w:hint="eastAsia"/>
              </w:rPr>
              <w:t>开禧元年</w:t>
            </w:r>
          </w:p>
        </w:tc>
        <w:tc>
          <w:tcPr>
            <w:tcW w:w="2810" w:type="pct"/>
            <w:vAlign w:val="center"/>
          </w:tcPr>
          <w:p w14:paraId="7B807C6E">
            <w:pPr>
              <w:pStyle w:val="12"/>
              <w:jc w:val="left"/>
            </w:pPr>
          </w:p>
        </w:tc>
      </w:tr>
      <w:tr w14:paraId="681FDE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E1F7BD7">
            <w:pPr>
              <w:pStyle w:val="12"/>
              <w:jc w:val="center"/>
            </w:pPr>
          </w:p>
        </w:tc>
        <w:tc>
          <w:tcPr>
            <w:tcW w:w="678" w:type="pct"/>
            <w:vAlign w:val="center"/>
          </w:tcPr>
          <w:p w14:paraId="15B21640">
            <w:pPr>
              <w:pStyle w:val="12"/>
              <w:jc w:val="center"/>
            </w:pPr>
            <w:r>
              <w:rPr>
                <w:rFonts w:hint="eastAsia"/>
              </w:rPr>
              <w:t>彭自明</w:t>
            </w:r>
          </w:p>
        </w:tc>
        <w:tc>
          <w:tcPr>
            <w:tcW w:w="872" w:type="pct"/>
            <w:vAlign w:val="center"/>
          </w:tcPr>
          <w:p w14:paraId="0D711224">
            <w:pPr>
              <w:pStyle w:val="12"/>
              <w:jc w:val="center"/>
            </w:pPr>
            <w:r>
              <w:rPr>
                <w:rFonts w:hint="eastAsia"/>
              </w:rPr>
              <w:t>嘉定四年</w:t>
            </w:r>
          </w:p>
        </w:tc>
        <w:tc>
          <w:tcPr>
            <w:tcW w:w="2810" w:type="pct"/>
            <w:vAlign w:val="center"/>
          </w:tcPr>
          <w:p w14:paraId="2F6F5890">
            <w:pPr>
              <w:pStyle w:val="12"/>
              <w:jc w:val="left"/>
            </w:pPr>
          </w:p>
        </w:tc>
      </w:tr>
      <w:tr w14:paraId="65748D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89B5E52">
            <w:pPr>
              <w:pStyle w:val="12"/>
              <w:jc w:val="center"/>
            </w:pPr>
          </w:p>
        </w:tc>
        <w:tc>
          <w:tcPr>
            <w:tcW w:w="678" w:type="pct"/>
            <w:vAlign w:val="center"/>
          </w:tcPr>
          <w:p w14:paraId="7C595DEF">
            <w:pPr>
              <w:pStyle w:val="12"/>
              <w:jc w:val="center"/>
            </w:pPr>
            <w:r>
              <w:rPr>
                <w:rFonts w:hint="eastAsia"/>
              </w:rPr>
              <w:t>孔绍旦</w:t>
            </w:r>
          </w:p>
        </w:tc>
        <w:tc>
          <w:tcPr>
            <w:tcW w:w="872" w:type="pct"/>
            <w:vAlign w:val="center"/>
          </w:tcPr>
          <w:p w14:paraId="7D0AE0E8">
            <w:pPr>
              <w:pStyle w:val="12"/>
              <w:jc w:val="center"/>
            </w:pPr>
            <w:r>
              <w:rPr>
                <w:rFonts w:hint="eastAsia"/>
              </w:rPr>
              <w:t>嘉定四年</w:t>
            </w:r>
          </w:p>
        </w:tc>
        <w:tc>
          <w:tcPr>
            <w:tcW w:w="2810" w:type="pct"/>
            <w:vAlign w:val="center"/>
          </w:tcPr>
          <w:p w14:paraId="0E55519E">
            <w:pPr>
              <w:pStyle w:val="12"/>
              <w:jc w:val="left"/>
            </w:pPr>
            <w:r>
              <w:rPr>
                <w:rFonts w:hint="eastAsia"/>
              </w:rPr>
              <w:t>吏部主事</w:t>
            </w:r>
          </w:p>
        </w:tc>
      </w:tr>
      <w:tr w14:paraId="79F7E6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941B3C9">
            <w:pPr>
              <w:pStyle w:val="12"/>
              <w:jc w:val="center"/>
            </w:pPr>
          </w:p>
        </w:tc>
        <w:tc>
          <w:tcPr>
            <w:tcW w:w="678" w:type="pct"/>
            <w:vAlign w:val="center"/>
          </w:tcPr>
          <w:p w14:paraId="7D82E76D">
            <w:pPr>
              <w:pStyle w:val="12"/>
              <w:jc w:val="center"/>
            </w:pPr>
            <w:r>
              <w:rPr>
                <w:rFonts w:hint="eastAsia"/>
              </w:rPr>
              <w:t>邓晞颜</w:t>
            </w:r>
          </w:p>
        </w:tc>
        <w:tc>
          <w:tcPr>
            <w:tcW w:w="872" w:type="pct"/>
            <w:vAlign w:val="center"/>
          </w:tcPr>
          <w:p w14:paraId="48A41C8D">
            <w:pPr>
              <w:pStyle w:val="12"/>
              <w:jc w:val="center"/>
            </w:pPr>
            <w:r>
              <w:rPr>
                <w:rFonts w:hint="eastAsia"/>
              </w:rPr>
              <w:t>嘉定七年</w:t>
            </w:r>
          </w:p>
        </w:tc>
        <w:tc>
          <w:tcPr>
            <w:tcW w:w="2810" w:type="pct"/>
            <w:vAlign w:val="center"/>
          </w:tcPr>
          <w:p w14:paraId="01951B50">
            <w:pPr>
              <w:pStyle w:val="12"/>
              <w:jc w:val="left"/>
            </w:pPr>
            <w:r>
              <w:rPr>
                <w:rFonts w:hint="eastAsia"/>
              </w:rPr>
              <w:t>袁甫榜第五甲</w:t>
            </w:r>
          </w:p>
        </w:tc>
      </w:tr>
      <w:tr w14:paraId="38345B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4F5CC39">
            <w:pPr>
              <w:pStyle w:val="12"/>
              <w:jc w:val="center"/>
            </w:pPr>
          </w:p>
        </w:tc>
        <w:tc>
          <w:tcPr>
            <w:tcW w:w="678" w:type="pct"/>
            <w:vAlign w:val="center"/>
          </w:tcPr>
          <w:p w14:paraId="664978CB">
            <w:pPr>
              <w:pStyle w:val="12"/>
              <w:jc w:val="center"/>
            </w:pPr>
            <w:r>
              <w:rPr>
                <w:rFonts w:hint="eastAsia"/>
              </w:rPr>
              <w:t>刘亦周</w:t>
            </w:r>
          </w:p>
        </w:tc>
        <w:tc>
          <w:tcPr>
            <w:tcW w:w="872" w:type="pct"/>
            <w:vAlign w:val="center"/>
          </w:tcPr>
          <w:p w14:paraId="73E9F8CD">
            <w:pPr>
              <w:pStyle w:val="12"/>
              <w:jc w:val="center"/>
            </w:pPr>
            <w:r>
              <w:rPr>
                <w:rFonts w:hint="eastAsia"/>
              </w:rPr>
              <w:t>嘉定十六年</w:t>
            </w:r>
          </w:p>
        </w:tc>
        <w:tc>
          <w:tcPr>
            <w:tcW w:w="2810" w:type="pct"/>
            <w:vAlign w:val="center"/>
          </w:tcPr>
          <w:p w14:paraId="661F9226">
            <w:pPr>
              <w:pStyle w:val="12"/>
              <w:jc w:val="left"/>
            </w:pPr>
            <w:r>
              <w:rPr>
                <w:rFonts w:hint="eastAsia"/>
              </w:rPr>
              <w:t>蒋重珍榜第五甲</w:t>
            </w:r>
          </w:p>
        </w:tc>
      </w:tr>
      <w:tr w14:paraId="49574A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14841FBB">
            <w:pPr>
              <w:pStyle w:val="12"/>
              <w:jc w:val="center"/>
            </w:pPr>
          </w:p>
        </w:tc>
        <w:tc>
          <w:tcPr>
            <w:tcW w:w="678" w:type="pct"/>
            <w:vAlign w:val="center"/>
          </w:tcPr>
          <w:p w14:paraId="435A9FB0">
            <w:pPr>
              <w:pStyle w:val="12"/>
              <w:jc w:val="center"/>
            </w:pPr>
            <w:r>
              <w:rPr>
                <w:rFonts w:hint="eastAsia"/>
              </w:rPr>
              <w:t>李应彪</w:t>
            </w:r>
          </w:p>
        </w:tc>
        <w:tc>
          <w:tcPr>
            <w:tcW w:w="872" w:type="pct"/>
            <w:vAlign w:val="center"/>
          </w:tcPr>
          <w:p w14:paraId="234A5124">
            <w:pPr>
              <w:pStyle w:val="12"/>
              <w:jc w:val="center"/>
            </w:pPr>
            <w:r>
              <w:rPr>
                <w:rFonts w:hint="eastAsia"/>
              </w:rPr>
              <w:t>宝庆二年</w:t>
            </w:r>
          </w:p>
        </w:tc>
        <w:tc>
          <w:tcPr>
            <w:tcW w:w="2810" w:type="pct"/>
            <w:vAlign w:val="center"/>
          </w:tcPr>
          <w:p w14:paraId="05C39BE6">
            <w:pPr>
              <w:pStyle w:val="12"/>
              <w:jc w:val="left"/>
            </w:pPr>
            <w:r>
              <w:rPr>
                <w:rFonts w:hint="eastAsia"/>
              </w:rPr>
              <w:t>分见始兴志</w:t>
            </w:r>
          </w:p>
        </w:tc>
      </w:tr>
      <w:tr w14:paraId="66B984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04614AF">
            <w:pPr>
              <w:pStyle w:val="12"/>
              <w:jc w:val="center"/>
            </w:pPr>
          </w:p>
        </w:tc>
        <w:tc>
          <w:tcPr>
            <w:tcW w:w="678" w:type="pct"/>
            <w:vAlign w:val="center"/>
          </w:tcPr>
          <w:p w14:paraId="04963561">
            <w:pPr>
              <w:pStyle w:val="12"/>
              <w:jc w:val="center"/>
            </w:pPr>
            <w:r>
              <w:rPr>
                <w:rFonts w:hint="eastAsia"/>
              </w:rPr>
              <w:t>叶振文</w:t>
            </w:r>
          </w:p>
        </w:tc>
        <w:tc>
          <w:tcPr>
            <w:tcW w:w="872" w:type="pct"/>
            <w:vAlign w:val="center"/>
          </w:tcPr>
          <w:p w14:paraId="7453CD44">
            <w:pPr>
              <w:pStyle w:val="12"/>
              <w:jc w:val="center"/>
            </w:pPr>
            <w:r>
              <w:rPr>
                <w:rFonts w:hint="eastAsia"/>
              </w:rPr>
              <w:t>宝庆二年</w:t>
            </w:r>
          </w:p>
        </w:tc>
        <w:tc>
          <w:tcPr>
            <w:tcW w:w="2810" w:type="pct"/>
            <w:vAlign w:val="center"/>
          </w:tcPr>
          <w:p w14:paraId="54B69F16">
            <w:pPr>
              <w:pStyle w:val="12"/>
              <w:jc w:val="left"/>
            </w:pPr>
            <w:r>
              <w:rPr>
                <w:rFonts w:hint="eastAsia"/>
              </w:rPr>
              <w:t>王会龙榜第四甲</w:t>
            </w:r>
          </w:p>
        </w:tc>
      </w:tr>
      <w:tr w14:paraId="411BCF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A6B922A">
            <w:pPr>
              <w:pStyle w:val="12"/>
              <w:jc w:val="center"/>
            </w:pPr>
          </w:p>
        </w:tc>
        <w:tc>
          <w:tcPr>
            <w:tcW w:w="678" w:type="pct"/>
            <w:vAlign w:val="center"/>
          </w:tcPr>
          <w:p w14:paraId="572AF774">
            <w:pPr>
              <w:pStyle w:val="12"/>
              <w:jc w:val="center"/>
            </w:pPr>
            <w:r>
              <w:rPr>
                <w:rFonts w:hint="eastAsia"/>
              </w:rPr>
              <w:t>谭文郁</w:t>
            </w:r>
          </w:p>
        </w:tc>
        <w:tc>
          <w:tcPr>
            <w:tcW w:w="872" w:type="pct"/>
            <w:vAlign w:val="center"/>
          </w:tcPr>
          <w:p w14:paraId="17511F6A">
            <w:pPr>
              <w:pStyle w:val="12"/>
              <w:jc w:val="center"/>
            </w:pPr>
            <w:r>
              <w:rPr>
                <w:rFonts w:hint="eastAsia"/>
              </w:rPr>
              <w:t>宝庆二年</w:t>
            </w:r>
          </w:p>
        </w:tc>
        <w:tc>
          <w:tcPr>
            <w:tcW w:w="2810" w:type="pct"/>
            <w:vAlign w:val="center"/>
          </w:tcPr>
          <w:p w14:paraId="03987D90">
            <w:pPr>
              <w:pStyle w:val="12"/>
              <w:jc w:val="left"/>
            </w:pPr>
          </w:p>
        </w:tc>
      </w:tr>
      <w:tr w14:paraId="4D0110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531107F">
            <w:pPr>
              <w:pStyle w:val="12"/>
              <w:jc w:val="center"/>
            </w:pPr>
          </w:p>
        </w:tc>
        <w:tc>
          <w:tcPr>
            <w:tcW w:w="678" w:type="pct"/>
            <w:vAlign w:val="center"/>
          </w:tcPr>
          <w:p w14:paraId="7B8404C4">
            <w:pPr>
              <w:pStyle w:val="12"/>
              <w:jc w:val="center"/>
            </w:pPr>
            <w:r>
              <w:rPr>
                <w:rFonts w:hint="eastAsia"/>
              </w:rPr>
              <w:t>彭  演</w:t>
            </w:r>
          </w:p>
        </w:tc>
        <w:tc>
          <w:tcPr>
            <w:tcW w:w="872" w:type="pct"/>
            <w:vAlign w:val="center"/>
          </w:tcPr>
          <w:p w14:paraId="3213D97F">
            <w:pPr>
              <w:pStyle w:val="12"/>
              <w:jc w:val="center"/>
            </w:pPr>
            <w:r>
              <w:rPr>
                <w:rFonts w:hint="eastAsia"/>
              </w:rPr>
              <w:t>宝庆二年</w:t>
            </w:r>
          </w:p>
        </w:tc>
        <w:tc>
          <w:tcPr>
            <w:tcW w:w="2810" w:type="pct"/>
            <w:vAlign w:val="center"/>
          </w:tcPr>
          <w:p w14:paraId="136846B8">
            <w:pPr>
              <w:pStyle w:val="12"/>
              <w:jc w:val="left"/>
            </w:pPr>
          </w:p>
        </w:tc>
      </w:tr>
      <w:tr w14:paraId="52B93F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F1969CB">
            <w:pPr>
              <w:pStyle w:val="12"/>
              <w:jc w:val="center"/>
            </w:pPr>
          </w:p>
        </w:tc>
        <w:tc>
          <w:tcPr>
            <w:tcW w:w="678" w:type="pct"/>
            <w:vAlign w:val="center"/>
          </w:tcPr>
          <w:p w14:paraId="1B65BC78">
            <w:pPr>
              <w:pStyle w:val="12"/>
              <w:jc w:val="center"/>
            </w:pPr>
            <w:r>
              <w:rPr>
                <w:rFonts w:hint="eastAsia"/>
              </w:rPr>
              <w:t>陈  桂</w:t>
            </w:r>
          </w:p>
        </w:tc>
        <w:tc>
          <w:tcPr>
            <w:tcW w:w="872" w:type="pct"/>
            <w:vAlign w:val="center"/>
          </w:tcPr>
          <w:p w14:paraId="2FE1CD61">
            <w:pPr>
              <w:pStyle w:val="12"/>
              <w:jc w:val="center"/>
            </w:pPr>
            <w:r>
              <w:rPr>
                <w:rFonts w:hint="eastAsia"/>
              </w:rPr>
              <w:t>绍定二年</w:t>
            </w:r>
          </w:p>
        </w:tc>
        <w:tc>
          <w:tcPr>
            <w:tcW w:w="2810" w:type="pct"/>
            <w:vAlign w:val="center"/>
          </w:tcPr>
          <w:p w14:paraId="33F516FC">
            <w:pPr>
              <w:pStyle w:val="12"/>
              <w:jc w:val="left"/>
            </w:pPr>
            <w:r>
              <w:rPr>
                <w:rFonts w:hint="eastAsia"/>
              </w:rPr>
              <w:t>黄朴榜第四甲，师愈之侄</w:t>
            </w:r>
          </w:p>
        </w:tc>
      </w:tr>
      <w:tr w14:paraId="06DABD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64A9E99">
            <w:pPr>
              <w:pStyle w:val="12"/>
              <w:jc w:val="center"/>
            </w:pPr>
          </w:p>
        </w:tc>
        <w:tc>
          <w:tcPr>
            <w:tcW w:w="678" w:type="pct"/>
            <w:vAlign w:val="center"/>
          </w:tcPr>
          <w:p w14:paraId="03E7198A">
            <w:pPr>
              <w:pStyle w:val="12"/>
              <w:jc w:val="center"/>
            </w:pPr>
            <w:r>
              <w:rPr>
                <w:rFonts w:hint="eastAsia"/>
              </w:rPr>
              <w:t>屈  竦</w:t>
            </w:r>
          </w:p>
        </w:tc>
        <w:tc>
          <w:tcPr>
            <w:tcW w:w="872" w:type="pct"/>
            <w:vAlign w:val="center"/>
          </w:tcPr>
          <w:p w14:paraId="03C0E767">
            <w:pPr>
              <w:pStyle w:val="12"/>
              <w:jc w:val="center"/>
            </w:pPr>
            <w:r>
              <w:rPr>
                <w:rFonts w:hint="eastAsia"/>
              </w:rPr>
              <w:t>端平二年</w:t>
            </w:r>
          </w:p>
        </w:tc>
        <w:tc>
          <w:tcPr>
            <w:tcW w:w="2810" w:type="pct"/>
            <w:vAlign w:val="center"/>
          </w:tcPr>
          <w:p w14:paraId="6FD3CEFF">
            <w:pPr>
              <w:pStyle w:val="12"/>
              <w:jc w:val="left"/>
            </w:pPr>
            <w:r>
              <w:rPr>
                <w:rFonts w:hint="eastAsia"/>
              </w:rPr>
              <w:t>吴叔告榜第四甲</w:t>
            </w:r>
          </w:p>
        </w:tc>
      </w:tr>
      <w:tr w14:paraId="4396FF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7C0FF75">
            <w:pPr>
              <w:pStyle w:val="12"/>
              <w:jc w:val="center"/>
            </w:pPr>
          </w:p>
        </w:tc>
        <w:tc>
          <w:tcPr>
            <w:tcW w:w="678" w:type="pct"/>
            <w:vAlign w:val="center"/>
          </w:tcPr>
          <w:p w14:paraId="690B13AA">
            <w:pPr>
              <w:pStyle w:val="12"/>
              <w:jc w:val="center"/>
            </w:pPr>
            <w:r>
              <w:rPr>
                <w:rFonts w:hint="eastAsia"/>
              </w:rPr>
              <w:t>冯  迁</w:t>
            </w:r>
          </w:p>
        </w:tc>
        <w:tc>
          <w:tcPr>
            <w:tcW w:w="872" w:type="pct"/>
            <w:vAlign w:val="center"/>
          </w:tcPr>
          <w:p w14:paraId="046928A4">
            <w:pPr>
              <w:pStyle w:val="12"/>
              <w:jc w:val="center"/>
            </w:pPr>
            <w:r>
              <w:rPr>
                <w:rFonts w:hint="eastAsia"/>
              </w:rPr>
              <w:t>端平二年</w:t>
            </w:r>
          </w:p>
        </w:tc>
        <w:tc>
          <w:tcPr>
            <w:tcW w:w="2810" w:type="pct"/>
            <w:vAlign w:val="center"/>
          </w:tcPr>
          <w:p w14:paraId="31571C29">
            <w:pPr>
              <w:pStyle w:val="12"/>
              <w:jc w:val="left"/>
            </w:pPr>
            <w:r>
              <w:rPr>
                <w:rFonts w:hint="eastAsia"/>
              </w:rPr>
              <w:t>官洗马</w:t>
            </w:r>
          </w:p>
        </w:tc>
      </w:tr>
      <w:tr w14:paraId="43750D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3BC59BE">
            <w:pPr>
              <w:pStyle w:val="12"/>
              <w:jc w:val="center"/>
            </w:pPr>
          </w:p>
        </w:tc>
        <w:tc>
          <w:tcPr>
            <w:tcW w:w="678" w:type="pct"/>
            <w:vAlign w:val="center"/>
          </w:tcPr>
          <w:p w14:paraId="2265B41E">
            <w:pPr>
              <w:pStyle w:val="12"/>
              <w:jc w:val="center"/>
            </w:pPr>
            <w:r>
              <w:rPr>
                <w:rFonts w:hint="eastAsia"/>
              </w:rPr>
              <w:t>叶绍宗</w:t>
            </w:r>
          </w:p>
        </w:tc>
        <w:tc>
          <w:tcPr>
            <w:tcW w:w="872" w:type="pct"/>
            <w:vAlign w:val="center"/>
          </w:tcPr>
          <w:p w14:paraId="56772F3B">
            <w:pPr>
              <w:pStyle w:val="12"/>
              <w:jc w:val="center"/>
            </w:pPr>
            <w:r>
              <w:rPr>
                <w:rFonts w:hint="eastAsia"/>
              </w:rPr>
              <w:t>端平二年</w:t>
            </w:r>
          </w:p>
        </w:tc>
        <w:tc>
          <w:tcPr>
            <w:tcW w:w="2810" w:type="pct"/>
            <w:vAlign w:val="center"/>
          </w:tcPr>
          <w:p w14:paraId="5132C08C">
            <w:pPr>
              <w:pStyle w:val="12"/>
              <w:jc w:val="left"/>
            </w:pPr>
          </w:p>
        </w:tc>
      </w:tr>
      <w:tr w14:paraId="3C9682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104D6EC1">
            <w:pPr>
              <w:pStyle w:val="12"/>
              <w:jc w:val="center"/>
            </w:pPr>
          </w:p>
        </w:tc>
        <w:tc>
          <w:tcPr>
            <w:tcW w:w="678" w:type="pct"/>
            <w:vAlign w:val="center"/>
          </w:tcPr>
          <w:p w14:paraId="6C2294DE">
            <w:pPr>
              <w:pStyle w:val="12"/>
              <w:jc w:val="center"/>
            </w:pPr>
            <w:r>
              <w:rPr>
                <w:rFonts w:hint="eastAsia"/>
              </w:rPr>
              <w:t>暨商俊</w:t>
            </w:r>
          </w:p>
        </w:tc>
        <w:tc>
          <w:tcPr>
            <w:tcW w:w="872" w:type="pct"/>
            <w:vAlign w:val="center"/>
          </w:tcPr>
          <w:p w14:paraId="4C13BBC0">
            <w:pPr>
              <w:pStyle w:val="12"/>
              <w:jc w:val="center"/>
            </w:pPr>
            <w:r>
              <w:rPr>
                <w:rFonts w:hint="eastAsia"/>
              </w:rPr>
              <w:t>嘉熙二年</w:t>
            </w:r>
          </w:p>
        </w:tc>
        <w:tc>
          <w:tcPr>
            <w:tcW w:w="2810" w:type="pct"/>
            <w:vAlign w:val="center"/>
          </w:tcPr>
          <w:p w14:paraId="7AE668F5">
            <w:pPr>
              <w:pStyle w:val="12"/>
              <w:jc w:val="left"/>
            </w:pPr>
            <w:r>
              <w:rPr>
                <w:rFonts w:hint="eastAsia"/>
              </w:rPr>
              <w:t>见省志</w:t>
            </w:r>
          </w:p>
        </w:tc>
      </w:tr>
      <w:tr w14:paraId="6F2F1A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FE1C91C">
            <w:pPr>
              <w:pStyle w:val="12"/>
              <w:jc w:val="center"/>
            </w:pPr>
          </w:p>
        </w:tc>
        <w:tc>
          <w:tcPr>
            <w:tcW w:w="678" w:type="pct"/>
            <w:vAlign w:val="center"/>
          </w:tcPr>
          <w:p w14:paraId="4A54C1DE">
            <w:pPr>
              <w:pStyle w:val="12"/>
              <w:jc w:val="center"/>
            </w:pPr>
            <w:r>
              <w:rPr>
                <w:rFonts w:hint="eastAsia"/>
              </w:rPr>
              <w:t>李允中</w:t>
            </w:r>
          </w:p>
        </w:tc>
        <w:tc>
          <w:tcPr>
            <w:tcW w:w="872" w:type="pct"/>
            <w:vAlign w:val="center"/>
          </w:tcPr>
          <w:p w14:paraId="04EC2ECB">
            <w:pPr>
              <w:pStyle w:val="12"/>
              <w:jc w:val="center"/>
            </w:pPr>
            <w:r>
              <w:rPr>
                <w:rFonts w:hint="eastAsia"/>
              </w:rPr>
              <w:t>淳祐元年</w:t>
            </w:r>
          </w:p>
        </w:tc>
        <w:tc>
          <w:tcPr>
            <w:tcW w:w="2810" w:type="pct"/>
            <w:vAlign w:val="center"/>
          </w:tcPr>
          <w:p w14:paraId="64193470">
            <w:pPr>
              <w:pStyle w:val="12"/>
              <w:jc w:val="left"/>
            </w:pPr>
            <w:r>
              <w:rPr>
                <w:rFonts w:hint="eastAsia"/>
              </w:rPr>
              <w:t>徐俨夫榜，御射中升第四甲</w:t>
            </w:r>
          </w:p>
        </w:tc>
      </w:tr>
      <w:tr w14:paraId="5726A6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D559E8B">
            <w:pPr>
              <w:pStyle w:val="12"/>
              <w:jc w:val="center"/>
            </w:pPr>
          </w:p>
        </w:tc>
        <w:tc>
          <w:tcPr>
            <w:tcW w:w="678" w:type="pct"/>
            <w:vAlign w:val="center"/>
          </w:tcPr>
          <w:p w14:paraId="301A2E7D">
            <w:pPr>
              <w:pStyle w:val="12"/>
              <w:jc w:val="center"/>
            </w:pPr>
            <w:r>
              <w:rPr>
                <w:rFonts w:hint="eastAsia"/>
              </w:rPr>
              <w:t>丘景明</w:t>
            </w:r>
          </w:p>
        </w:tc>
        <w:tc>
          <w:tcPr>
            <w:tcW w:w="872" w:type="pct"/>
            <w:vAlign w:val="center"/>
          </w:tcPr>
          <w:p w14:paraId="6CC62AA1">
            <w:pPr>
              <w:pStyle w:val="12"/>
              <w:jc w:val="center"/>
            </w:pPr>
            <w:r>
              <w:rPr>
                <w:rFonts w:hint="eastAsia"/>
              </w:rPr>
              <w:t>淳祐七年</w:t>
            </w:r>
          </w:p>
        </w:tc>
        <w:tc>
          <w:tcPr>
            <w:tcW w:w="2810" w:type="pct"/>
            <w:vAlign w:val="center"/>
          </w:tcPr>
          <w:p w14:paraId="20B0D566">
            <w:pPr>
              <w:pStyle w:val="12"/>
              <w:jc w:val="left"/>
            </w:pPr>
            <w:r>
              <w:rPr>
                <w:rFonts w:hint="eastAsia"/>
              </w:rPr>
              <w:t>张渊微榜第四甲。必明之兄</w:t>
            </w:r>
          </w:p>
        </w:tc>
      </w:tr>
      <w:tr w14:paraId="4B244C4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7F0154C">
            <w:pPr>
              <w:pStyle w:val="12"/>
              <w:jc w:val="center"/>
            </w:pPr>
          </w:p>
        </w:tc>
        <w:tc>
          <w:tcPr>
            <w:tcW w:w="678" w:type="pct"/>
            <w:vAlign w:val="center"/>
          </w:tcPr>
          <w:p w14:paraId="1F76AC88">
            <w:pPr>
              <w:pStyle w:val="12"/>
              <w:jc w:val="center"/>
            </w:pPr>
            <w:r>
              <w:rPr>
                <w:rFonts w:hint="eastAsia"/>
              </w:rPr>
              <w:t>叶  符</w:t>
            </w:r>
          </w:p>
        </w:tc>
        <w:tc>
          <w:tcPr>
            <w:tcW w:w="872" w:type="pct"/>
            <w:vAlign w:val="center"/>
          </w:tcPr>
          <w:p w14:paraId="6696E9C5">
            <w:pPr>
              <w:pStyle w:val="12"/>
              <w:jc w:val="center"/>
            </w:pPr>
            <w:r>
              <w:rPr>
                <w:rFonts w:hint="eastAsia"/>
              </w:rPr>
              <w:t>淳祐十年</w:t>
            </w:r>
          </w:p>
        </w:tc>
        <w:tc>
          <w:tcPr>
            <w:tcW w:w="2810" w:type="pct"/>
            <w:vAlign w:val="center"/>
          </w:tcPr>
          <w:p w14:paraId="1F72131A">
            <w:pPr>
              <w:pStyle w:val="12"/>
              <w:jc w:val="left"/>
            </w:pPr>
            <w:r>
              <w:rPr>
                <w:rFonts w:hint="eastAsia"/>
              </w:rPr>
              <w:t>方逄辰榜第四甲。振文之侄</w:t>
            </w:r>
          </w:p>
        </w:tc>
      </w:tr>
      <w:tr w14:paraId="04B518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AE06853">
            <w:pPr>
              <w:pStyle w:val="12"/>
              <w:jc w:val="center"/>
            </w:pPr>
          </w:p>
        </w:tc>
        <w:tc>
          <w:tcPr>
            <w:tcW w:w="678" w:type="pct"/>
            <w:vAlign w:val="center"/>
          </w:tcPr>
          <w:p w14:paraId="43539C89">
            <w:pPr>
              <w:pStyle w:val="12"/>
              <w:jc w:val="center"/>
            </w:pPr>
            <w:r>
              <w:rPr>
                <w:rFonts w:hint="eastAsia"/>
              </w:rPr>
              <w:t>龚席珍</w:t>
            </w:r>
          </w:p>
        </w:tc>
        <w:tc>
          <w:tcPr>
            <w:tcW w:w="872" w:type="pct"/>
            <w:vAlign w:val="center"/>
          </w:tcPr>
          <w:p w14:paraId="64F5DE44">
            <w:pPr>
              <w:pStyle w:val="12"/>
              <w:jc w:val="center"/>
            </w:pPr>
            <w:r>
              <w:rPr>
                <w:rFonts w:hint="eastAsia"/>
              </w:rPr>
              <w:t>宝祐四年</w:t>
            </w:r>
          </w:p>
        </w:tc>
        <w:tc>
          <w:tcPr>
            <w:tcW w:w="2810" w:type="pct"/>
            <w:vAlign w:val="center"/>
          </w:tcPr>
          <w:p w14:paraId="5D62C95C">
            <w:pPr>
              <w:pStyle w:val="12"/>
              <w:jc w:val="left"/>
            </w:pPr>
            <w:r>
              <w:rPr>
                <w:rFonts w:hint="eastAsia"/>
              </w:rPr>
              <w:t>文天祥榜第四甲</w:t>
            </w:r>
          </w:p>
        </w:tc>
      </w:tr>
      <w:tr w14:paraId="25980B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AD41960">
            <w:pPr>
              <w:pStyle w:val="12"/>
              <w:jc w:val="center"/>
            </w:pPr>
          </w:p>
        </w:tc>
        <w:tc>
          <w:tcPr>
            <w:tcW w:w="678" w:type="pct"/>
            <w:vAlign w:val="center"/>
          </w:tcPr>
          <w:p w14:paraId="59D9945D">
            <w:pPr>
              <w:pStyle w:val="12"/>
              <w:jc w:val="center"/>
            </w:pPr>
            <w:r>
              <w:rPr>
                <w:rFonts w:hint="eastAsia"/>
              </w:rPr>
              <w:t>赖济川</w:t>
            </w:r>
          </w:p>
        </w:tc>
        <w:tc>
          <w:tcPr>
            <w:tcW w:w="872" w:type="pct"/>
            <w:vAlign w:val="center"/>
          </w:tcPr>
          <w:p w14:paraId="60DF50B7">
            <w:pPr>
              <w:pStyle w:val="12"/>
              <w:jc w:val="center"/>
            </w:pPr>
            <w:r>
              <w:rPr>
                <w:rFonts w:hint="eastAsia"/>
              </w:rPr>
              <w:t>开庆元年</w:t>
            </w:r>
          </w:p>
        </w:tc>
        <w:tc>
          <w:tcPr>
            <w:tcW w:w="2810" w:type="pct"/>
            <w:vAlign w:val="center"/>
          </w:tcPr>
          <w:p w14:paraId="3FE7DAD5">
            <w:pPr>
              <w:pStyle w:val="12"/>
              <w:jc w:val="left"/>
            </w:pPr>
            <w:r>
              <w:rPr>
                <w:rFonts w:hint="eastAsia"/>
              </w:rPr>
              <w:t>周震炎榜第三甲，御射循修职郎</w:t>
            </w:r>
          </w:p>
        </w:tc>
      </w:tr>
      <w:tr w14:paraId="31B612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5765D16">
            <w:pPr>
              <w:pStyle w:val="12"/>
              <w:jc w:val="center"/>
            </w:pPr>
          </w:p>
        </w:tc>
        <w:tc>
          <w:tcPr>
            <w:tcW w:w="678" w:type="pct"/>
            <w:vAlign w:val="center"/>
          </w:tcPr>
          <w:p w14:paraId="30B9D9D1">
            <w:pPr>
              <w:pStyle w:val="12"/>
              <w:jc w:val="center"/>
            </w:pPr>
            <w:r>
              <w:rPr>
                <w:rFonts w:hint="eastAsia"/>
              </w:rPr>
              <w:t>李文虎</w:t>
            </w:r>
          </w:p>
        </w:tc>
        <w:tc>
          <w:tcPr>
            <w:tcW w:w="872" w:type="pct"/>
            <w:vAlign w:val="center"/>
          </w:tcPr>
          <w:p w14:paraId="3631806D">
            <w:pPr>
              <w:pStyle w:val="12"/>
              <w:jc w:val="center"/>
            </w:pPr>
            <w:r>
              <w:rPr>
                <w:rFonts w:hint="eastAsia"/>
              </w:rPr>
              <w:t>开庆元年</w:t>
            </w:r>
          </w:p>
        </w:tc>
        <w:tc>
          <w:tcPr>
            <w:tcW w:w="2810" w:type="pct"/>
            <w:vAlign w:val="center"/>
          </w:tcPr>
          <w:p w14:paraId="702A8C9D">
            <w:pPr>
              <w:pStyle w:val="12"/>
              <w:jc w:val="left"/>
            </w:pPr>
            <w:r>
              <w:rPr>
                <w:rFonts w:hint="eastAsia"/>
              </w:rPr>
              <w:t>周震炎榜第四甲（元·南雄路志）</w:t>
            </w:r>
          </w:p>
        </w:tc>
      </w:tr>
      <w:tr w14:paraId="559EB03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243CDB4">
            <w:pPr>
              <w:pStyle w:val="12"/>
              <w:jc w:val="center"/>
            </w:pPr>
          </w:p>
        </w:tc>
        <w:tc>
          <w:tcPr>
            <w:tcW w:w="678" w:type="pct"/>
            <w:vAlign w:val="center"/>
          </w:tcPr>
          <w:p w14:paraId="2BCAF962">
            <w:pPr>
              <w:pStyle w:val="12"/>
              <w:jc w:val="center"/>
            </w:pPr>
            <w:r>
              <w:rPr>
                <w:rFonts w:hint="eastAsia"/>
              </w:rPr>
              <w:t>邱必明</w:t>
            </w:r>
          </w:p>
        </w:tc>
        <w:tc>
          <w:tcPr>
            <w:tcW w:w="872" w:type="pct"/>
            <w:vAlign w:val="center"/>
          </w:tcPr>
          <w:p w14:paraId="30B96F34">
            <w:pPr>
              <w:pStyle w:val="12"/>
              <w:jc w:val="center"/>
            </w:pPr>
            <w:r>
              <w:rPr>
                <w:rFonts w:hint="eastAsia"/>
              </w:rPr>
              <w:t>咸淳七年</w:t>
            </w:r>
          </w:p>
        </w:tc>
        <w:tc>
          <w:tcPr>
            <w:tcW w:w="2810" w:type="pct"/>
            <w:vAlign w:val="center"/>
          </w:tcPr>
          <w:p w14:paraId="58177BD8">
            <w:pPr>
              <w:pStyle w:val="12"/>
              <w:jc w:val="left"/>
            </w:pPr>
            <w:r>
              <w:rPr>
                <w:rFonts w:hint="eastAsia"/>
              </w:rPr>
              <w:t>张镇孙榜第二甲。景明之弟，累官韶州佥判，有传</w:t>
            </w:r>
          </w:p>
        </w:tc>
      </w:tr>
      <w:tr w14:paraId="0D2D0F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B2E2F57">
            <w:pPr>
              <w:pStyle w:val="12"/>
              <w:jc w:val="center"/>
            </w:pPr>
          </w:p>
        </w:tc>
        <w:tc>
          <w:tcPr>
            <w:tcW w:w="4360" w:type="pct"/>
            <w:gridSpan w:val="3"/>
            <w:vAlign w:val="center"/>
          </w:tcPr>
          <w:p w14:paraId="4FF44E34">
            <w:pPr>
              <w:pStyle w:val="12"/>
              <w:jc w:val="left"/>
            </w:pPr>
            <w:r>
              <w:rPr>
                <w:rFonts w:hint="eastAsia"/>
              </w:rPr>
              <w:t>以上53名凡注（元·南雄路志）是依照元代至元丙子（1276年）修的《南雄路志》收录，其余为《直隶南雄州志》所录</w:t>
            </w:r>
          </w:p>
        </w:tc>
      </w:tr>
      <w:tr w14:paraId="05D27A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restart"/>
            <w:vAlign w:val="center"/>
          </w:tcPr>
          <w:p w14:paraId="7954E7AF">
            <w:pPr>
              <w:pStyle w:val="12"/>
              <w:jc w:val="center"/>
            </w:pPr>
            <w:r>
              <w:rPr>
                <w:rFonts w:hint="eastAsia"/>
              </w:rPr>
              <w:t>特科（按宋制乡试中式三十年不与进士者，推恩授官，谓之特科）</w:t>
            </w:r>
          </w:p>
        </w:tc>
        <w:tc>
          <w:tcPr>
            <w:tcW w:w="678" w:type="pct"/>
            <w:vAlign w:val="center"/>
          </w:tcPr>
          <w:p w14:paraId="751798A8">
            <w:pPr>
              <w:pStyle w:val="12"/>
              <w:jc w:val="center"/>
            </w:pPr>
            <w:r>
              <w:rPr>
                <w:rFonts w:hint="eastAsia"/>
              </w:rPr>
              <w:t>戚  晖</w:t>
            </w:r>
          </w:p>
        </w:tc>
        <w:tc>
          <w:tcPr>
            <w:tcW w:w="872" w:type="pct"/>
            <w:vAlign w:val="center"/>
          </w:tcPr>
          <w:p w14:paraId="6F9B2429">
            <w:pPr>
              <w:pStyle w:val="12"/>
              <w:jc w:val="center"/>
            </w:pPr>
            <w:r>
              <w:rPr>
                <w:rFonts w:hint="eastAsia"/>
              </w:rPr>
              <w:t>嘉祐戊戌</w:t>
            </w:r>
          </w:p>
        </w:tc>
        <w:tc>
          <w:tcPr>
            <w:tcW w:w="2810" w:type="pct"/>
            <w:vAlign w:val="center"/>
          </w:tcPr>
          <w:p w14:paraId="4264DD8F">
            <w:pPr>
              <w:pStyle w:val="12"/>
              <w:jc w:val="left"/>
            </w:pPr>
            <w:r>
              <w:rPr>
                <w:rFonts w:hint="eastAsia"/>
              </w:rPr>
              <w:t>特奏名横州司理参军</w:t>
            </w:r>
          </w:p>
        </w:tc>
      </w:tr>
      <w:tr w14:paraId="1A5ECF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640" w:type="pct"/>
            <w:vMerge w:val="continue"/>
            <w:vAlign w:val="center"/>
          </w:tcPr>
          <w:p w14:paraId="3C05E3D2">
            <w:pPr>
              <w:pStyle w:val="12"/>
              <w:jc w:val="center"/>
            </w:pPr>
          </w:p>
        </w:tc>
        <w:tc>
          <w:tcPr>
            <w:tcW w:w="678" w:type="pct"/>
            <w:vAlign w:val="center"/>
          </w:tcPr>
          <w:p w14:paraId="1627B430">
            <w:pPr>
              <w:pStyle w:val="12"/>
              <w:jc w:val="center"/>
            </w:pPr>
            <w:r>
              <w:rPr>
                <w:rFonts w:hint="eastAsia"/>
              </w:rPr>
              <w:t>陈嘉猷</w:t>
            </w:r>
          </w:p>
        </w:tc>
        <w:tc>
          <w:tcPr>
            <w:tcW w:w="872" w:type="pct"/>
            <w:vAlign w:val="center"/>
          </w:tcPr>
          <w:p w14:paraId="08D8F335">
            <w:pPr>
              <w:pStyle w:val="12"/>
              <w:jc w:val="center"/>
            </w:pPr>
            <w:r>
              <w:rPr>
                <w:rFonts w:hint="eastAsia"/>
              </w:rPr>
              <w:t>治平丁未</w:t>
            </w:r>
          </w:p>
        </w:tc>
        <w:tc>
          <w:tcPr>
            <w:tcW w:w="2810" w:type="pct"/>
            <w:vAlign w:val="center"/>
          </w:tcPr>
          <w:p w14:paraId="5A1D1767">
            <w:pPr>
              <w:pStyle w:val="12"/>
              <w:jc w:val="left"/>
            </w:pPr>
            <w:r>
              <w:rPr>
                <w:rFonts w:hint="eastAsia"/>
              </w:rPr>
              <w:t>钦州通判</w:t>
            </w:r>
          </w:p>
        </w:tc>
      </w:tr>
      <w:tr w14:paraId="1CE74E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5E06AD3">
            <w:pPr>
              <w:pStyle w:val="12"/>
              <w:jc w:val="center"/>
            </w:pPr>
          </w:p>
        </w:tc>
        <w:tc>
          <w:tcPr>
            <w:tcW w:w="678" w:type="pct"/>
            <w:vAlign w:val="center"/>
          </w:tcPr>
          <w:p w14:paraId="7277333A">
            <w:pPr>
              <w:pStyle w:val="12"/>
              <w:jc w:val="center"/>
            </w:pPr>
            <w:r>
              <w:rPr>
                <w:rFonts w:hint="eastAsia"/>
              </w:rPr>
              <w:t>姚知常</w:t>
            </w:r>
          </w:p>
        </w:tc>
        <w:tc>
          <w:tcPr>
            <w:tcW w:w="872" w:type="pct"/>
            <w:vAlign w:val="center"/>
          </w:tcPr>
          <w:p w14:paraId="76191EBF">
            <w:pPr>
              <w:pStyle w:val="12"/>
              <w:jc w:val="center"/>
            </w:pPr>
            <w:r>
              <w:rPr>
                <w:rFonts w:hint="eastAsia"/>
              </w:rPr>
              <w:t>熙宁丙辰</w:t>
            </w:r>
          </w:p>
        </w:tc>
        <w:tc>
          <w:tcPr>
            <w:tcW w:w="2810" w:type="pct"/>
            <w:vAlign w:val="center"/>
          </w:tcPr>
          <w:p w14:paraId="1153EA86">
            <w:pPr>
              <w:pStyle w:val="12"/>
              <w:jc w:val="left"/>
            </w:pPr>
            <w:r>
              <w:rPr>
                <w:rFonts w:hint="eastAsia"/>
              </w:rPr>
              <w:t>阳春县令</w:t>
            </w:r>
          </w:p>
        </w:tc>
      </w:tr>
      <w:tr w14:paraId="7AFC7B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36A7A32">
            <w:pPr>
              <w:pStyle w:val="12"/>
              <w:jc w:val="center"/>
            </w:pPr>
          </w:p>
        </w:tc>
        <w:tc>
          <w:tcPr>
            <w:tcW w:w="678" w:type="pct"/>
            <w:vAlign w:val="center"/>
          </w:tcPr>
          <w:p w14:paraId="1FFC771D">
            <w:pPr>
              <w:pStyle w:val="12"/>
              <w:jc w:val="center"/>
            </w:pPr>
            <w:r>
              <w:rPr>
                <w:rFonts w:hint="eastAsia"/>
              </w:rPr>
              <w:t>戴  日见</w:t>
            </w:r>
          </w:p>
        </w:tc>
        <w:tc>
          <w:tcPr>
            <w:tcW w:w="872" w:type="pct"/>
            <w:vAlign w:val="center"/>
          </w:tcPr>
          <w:p w14:paraId="78A154E8">
            <w:pPr>
              <w:pStyle w:val="12"/>
              <w:jc w:val="center"/>
            </w:pPr>
            <w:r>
              <w:rPr>
                <w:rFonts w:hint="eastAsia"/>
              </w:rPr>
              <w:t>元丰壬戌</w:t>
            </w:r>
          </w:p>
        </w:tc>
        <w:tc>
          <w:tcPr>
            <w:tcW w:w="2810" w:type="pct"/>
            <w:vAlign w:val="center"/>
          </w:tcPr>
          <w:p w14:paraId="76278294">
            <w:pPr>
              <w:pStyle w:val="12"/>
              <w:jc w:val="left"/>
            </w:pPr>
            <w:r>
              <w:rPr>
                <w:rFonts w:hint="eastAsia"/>
              </w:rPr>
              <w:t>封川军事推官</w:t>
            </w:r>
          </w:p>
        </w:tc>
      </w:tr>
      <w:tr w14:paraId="746D03E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84DDB19">
            <w:pPr>
              <w:pStyle w:val="12"/>
              <w:jc w:val="center"/>
            </w:pPr>
          </w:p>
        </w:tc>
        <w:tc>
          <w:tcPr>
            <w:tcW w:w="678" w:type="pct"/>
            <w:vAlign w:val="center"/>
          </w:tcPr>
          <w:p w14:paraId="1271A7E5">
            <w:pPr>
              <w:pStyle w:val="12"/>
              <w:jc w:val="center"/>
            </w:pPr>
            <w:r>
              <w:rPr>
                <w:rFonts w:hint="eastAsia"/>
              </w:rPr>
              <w:t>李唐卿</w:t>
            </w:r>
          </w:p>
        </w:tc>
        <w:tc>
          <w:tcPr>
            <w:tcW w:w="872" w:type="pct"/>
            <w:vAlign w:val="center"/>
          </w:tcPr>
          <w:p w14:paraId="53E46079">
            <w:pPr>
              <w:pStyle w:val="12"/>
              <w:jc w:val="center"/>
            </w:pPr>
            <w:r>
              <w:rPr>
                <w:rFonts w:hint="eastAsia"/>
              </w:rPr>
              <w:t>元丰乙丑</w:t>
            </w:r>
          </w:p>
        </w:tc>
        <w:tc>
          <w:tcPr>
            <w:tcW w:w="2810" w:type="pct"/>
            <w:vAlign w:val="center"/>
          </w:tcPr>
          <w:p w14:paraId="00AAC919">
            <w:pPr>
              <w:pStyle w:val="12"/>
              <w:jc w:val="left"/>
            </w:pPr>
            <w:r>
              <w:rPr>
                <w:rFonts w:hint="eastAsia"/>
              </w:rPr>
              <w:t>英德军事推官</w:t>
            </w:r>
          </w:p>
        </w:tc>
      </w:tr>
      <w:tr w14:paraId="53A9F5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993C2C1">
            <w:pPr>
              <w:pStyle w:val="12"/>
              <w:jc w:val="center"/>
            </w:pPr>
          </w:p>
        </w:tc>
        <w:tc>
          <w:tcPr>
            <w:tcW w:w="678" w:type="pct"/>
            <w:vAlign w:val="center"/>
          </w:tcPr>
          <w:p w14:paraId="2BAEB7B6">
            <w:pPr>
              <w:pStyle w:val="12"/>
              <w:jc w:val="center"/>
            </w:pPr>
            <w:r>
              <w:rPr>
                <w:rFonts w:hint="eastAsia"/>
              </w:rPr>
              <w:t>陈良弼</w:t>
            </w:r>
          </w:p>
        </w:tc>
        <w:tc>
          <w:tcPr>
            <w:tcW w:w="872" w:type="pct"/>
            <w:vAlign w:val="center"/>
          </w:tcPr>
          <w:p w14:paraId="0BB14F06">
            <w:pPr>
              <w:pStyle w:val="12"/>
              <w:jc w:val="center"/>
            </w:pPr>
            <w:r>
              <w:rPr>
                <w:rFonts w:hint="eastAsia"/>
              </w:rPr>
              <w:t>元丰乙丑</w:t>
            </w:r>
          </w:p>
        </w:tc>
        <w:tc>
          <w:tcPr>
            <w:tcW w:w="2810" w:type="pct"/>
            <w:vAlign w:val="center"/>
          </w:tcPr>
          <w:p w14:paraId="6A6B5F7F">
            <w:pPr>
              <w:pStyle w:val="12"/>
              <w:jc w:val="left"/>
            </w:pPr>
            <w:r>
              <w:rPr>
                <w:rFonts w:hint="eastAsia"/>
              </w:rPr>
              <w:t>监潭州南岳庙</w:t>
            </w:r>
          </w:p>
        </w:tc>
      </w:tr>
      <w:tr w14:paraId="1A593C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291671E">
            <w:pPr>
              <w:pStyle w:val="12"/>
              <w:jc w:val="center"/>
            </w:pPr>
          </w:p>
        </w:tc>
        <w:tc>
          <w:tcPr>
            <w:tcW w:w="678" w:type="pct"/>
            <w:vAlign w:val="center"/>
          </w:tcPr>
          <w:p w14:paraId="13C13E18">
            <w:pPr>
              <w:pStyle w:val="12"/>
              <w:jc w:val="center"/>
            </w:pPr>
            <w:r>
              <w:rPr>
                <w:rFonts w:hint="eastAsia"/>
              </w:rPr>
              <w:t>何伯达</w:t>
            </w:r>
          </w:p>
        </w:tc>
        <w:tc>
          <w:tcPr>
            <w:tcW w:w="872" w:type="pct"/>
            <w:vAlign w:val="center"/>
          </w:tcPr>
          <w:p w14:paraId="29F910B3">
            <w:pPr>
              <w:pStyle w:val="12"/>
              <w:jc w:val="center"/>
            </w:pPr>
            <w:r>
              <w:rPr>
                <w:rFonts w:hint="eastAsia"/>
              </w:rPr>
              <w:t>元祐戊辰</w:t>
            </w:r>
          </w:p>
        </w:tc>
        <w:tc>
          <w:tcPr>
            <w:tcW w:w="2810" w:type="pct"/>
            <w:vAlign w:val="center"/>
          </w:tcPr>
          <w:p w14:paraId="661F503E">
            <w:pPr>
              <w:pStyle w:val="12"/>
              <w:jc w:val="left"/>
            </w:pPr>
            <w:r>
              <w:rPr>
                <w:rFonts w:hint="eastAsia"/>
              </w:rPr>
              <w:t>瑞溪县令</w:t>
            </w:r>
          </w:p>
        </w:tc>
      </w:tr>
      <w:tr w14:paraId="2E10D9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1E856EB">
            <w:pPr>
              <w:pStyle w:val="12"/>
              <w:jc w:val="center"/>
            </w:pPr>
          </w:p>
        </w:tc>
        <w:tc>
          <w:tcPr>
            <w:tcW w:w="678" w:type="pct"/>
            <w:vAlign w:val="center"/>
          </w:tcPr>
          <w:p w14:paraId="4FD4AF2E">
            <w:pPr>
              <w:pStyle w:val="12"/>
              <w:jc w:val="center"/>
            </w:pPr>
            <w:r>
              <w:rPr>
                <w:rFonts w:hint="eastAsia"/>
              </w:rPr>
              <w:t>邓中复</w:t>
            </w:r>
          </w:p>
        </w:tc>
        <w:tc>
          <w:tcPr>
            <w:tcW w:w="872" w:type="pct"/>
            <w:vAlign w:val="center"/>
          </w:tcPr>
          <w:p w14:paraId="4D5309DC">
            <w:pPr>
              <w:pStyle w:val="12"/>
              <w:jc w:val="center"/>
            </w:pPr>
            <w:r>
              <w:rPr>
                <w:rFonts w:hint="eastAsia"/>
              </w:rPr>
              <w:t>元祐戊辰</w:t>
            </w:r>
          </w:p>
        </w:tc>
        <w:tc>
          <w:tcPr>
            <w:tcW w:w="2810" w:type="pct"/>
            <w:vAlign w:val="center"/>
          </w:tcPr>
          <w:p w14:paraId="2B58AB0B">
            <w:pPr>
              <w:pStyle w:val="12"/>
              <w:jc w:val="left"/>
            </w:pPr>
            <w:r>
              <w:rPr>
                <w:rFonts w:hint="eastAsia"/>
              </w:rPr>
              <w:t>梅州司户</w:t>
            </w:r>
          </w:p>
        </w:tc>
      </w:tr>
      <w:tr w14:paraId="7C8C0E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47A470A">
            <w:pPr>
              <w:pStyle w:val="12"/>
              <w:jc w:val="center"/>
            </w:pPr>
          </w:p>
        </w:tc>
        <w:tc>
          <w:tcPr>
            <w:tcW w:w="678" w:type="pct"/>
            <w:vAlign w:val="center"/>
          </w:tcPr>
          <w:p w14:paraId="7EAFDF6B">
            <w:pPr>
              <w:pStyle w:val="12"/>
              <w:jc w:val="center"/>
            </w:pPr>
            <w:r>
              <w:rPr>
                <w:rFonts w:hint="eastAsia"/>
              </w:rPr>
              <w:t>朱  缨</w:t>
            </w:r>
          </w:p>
        </w:tc>
        <w:tc>
          <w:tcPr>
            <w:tcW w:w="872" w:type="pct"/>
            <w:vAlign w:val="center"/>
          </w:tcPr>
          <w:p w14:paraId="1BC49386">
            <w:pPr>
              <w:pStyle w:val="12"/>
              <w:jc w:val="center"/>
            </w:pPr>
            <w:r>
              <w:rPr>
                <w:rFonts w:hint="eastAsia"/>
              </w:rPr>
              <w:t>元祐戊辰</w:t>
            </w:r>
          </w:p>
        </w:tc>
        <w:tc>
          <w:tcPr>
            <w:tcW w:w="2810" w:type="pct"/>
            <w:vAlign w:val="center"/>
          </w:tcPr>
          <w:p w14:paraId="09D82F78">
            <w:pPr>
              <w:pStyle w:val="12"/>
              <w:jc w:val="left"/>
            </w:pPr>
            <w:r>
              <w:rPr>
                <w:rFonts w:hint="eastAsia"/>
              </w:rPr>
              <w:t>新洲司马参军</w:t>
            </w:r>
          </w:p>
        </w:tc>
      </w:tr>
      <w:tr w14:paraId="3B1124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8E277A1">
            <w:pPr>
              <w:pStyle w:val="12"/>
              <w:jc w:val="center"/>
            </w:pPr>
          </w:p>
        </w:tc>
        <w:tc>
          <w:tcPr>
            <w:tcW w:w="678" w:type="pct"/>
            <w:vAlign w:val="center"/>
          </w:tcPr>
          <w:p w14:paraId="07E013E5">
            <w:pPr>
              <w:pStyle w:val="12"/>
              <w:jc w:val="center"/>
            </w:pPr>
            <w:r>
              <w:rPr>
                <w:rFonts w:hint="eastAsia"/>
              </w:rPr>
              <w:t>欧阳光</w:t>
            </w:r>
          </w:p>
        </w:tc>
        <w:tc>
          <w:tcPr>
            <w:tcW w:w="872" w:type="pct"/>
            <w:vAlign w:val="center"/>
          </w:tcPr>
          <w:p w14:paraId="00A3CB37">
            <w:pPr>
              <w:pStyle w:val="12"/>
              <w:jc w:val="center"/>
            </w:pPr>
            <w:r>
              <w:rPr>
                <w:rFonts w:hint="eastAsia"/>
              </w:rPr>
              <w:t>绍圣丁丑</w:t>
            </w:r>
          </w:p>
        </w:tc>
        <w:tc>
          <w:tcPr>
            <w:tcW w:w="2810" w:type="pct"/>
            <w:vAlign w:val="center"/>
          </w:tcPr>
          <w:p w14:paraId="2F1D5EAA">
            <w:pPr>
              <w:pStyle w:val="12"/>
              <w:jc w:val="left"/>
            </w:pPr>
            <w:r>
              <w:rPr>
                <w:rFonts w:hint="eastAsia"/>
              </w:rPr>
              <w:t>象州防御推官</w:t>
            </w:r>
          </w:p>
        </w:tc>
      </w:tr>
      <w:tr w14:paraId="1B4F19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125AA6AE">
            <w:pPr>
              <w:pStyle w:val="12"/>
              <w:jc w:val="center"/>
            </w:pPr>
          </w:p>
        </w:tc>
        <w:tc>
          <w:tcPr>
            <w:tcW w:w="678" w:type="pct"/>
            <w:vAlign w:val="center"/>
          </w:tcPr>
          <w:p w14:paraId="081B0BB0">
            <w:pPr>
              <w:pStyle w:val="12"/>
              <w:jc w:val="center"/>
            </w:pPr>
            <w:r>
              <w:rPr>
                <w:rFonts w:hint="eastAsia"/>
              </w:rPr>
              <w:t>周鹏先</w:t>
            </w:r>
          </w:p>
        </w:tc>
        <w:tc>
          <w:tcPr>
            <w:tcW w:w="872" w:type="pct"/>
            <w:vAlign w:val="center"/>
          </w:tcPr>
          <w:p w14:paraId="5A192BDE">
            <w:pPr>
              <w:pStyle w:val="12"/>
              <w:jc w:val="center"/>
            </w:pPr>
            <w:r>
              <w:rPr>
                <w:rFonts w:hint="eastAsia"/>
              </w:rPr>
              <w:t>绍圣丁丑</w:t>
            </w:r>
          </w:p>
        </w:tc>
        <w:tc>
          <w:tcPr>
            <w:tcW w:w="2810" w:type="pct"/>
            <w:vAlign w:val="center"/>
          </w:tcPr>
          <w:p w14:paraId="6B4F995D">
            <w:pPr>
              <w:pStyle w:val="12"/>
              <w:jc w:val="left"/>
            </w:pPr>
            <w:r>
              <w:rPr>
                <w:rFonts w:hint="eastAsia"/>
              </w:rPr>
              <w:t>监潭州南岳庙</w:t>
            </w:r>
          </w:p>
        </w:tc>
      </w:tr>
      <w:tr w14:paraId="690E46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87191FB">
            <w:pPr>
              <w:pStyle w:val="12"/>
              <w:jc w:val="center"/>
            </w:pPr>
          </w:p>
        </w:tc>
        <w:tc>
          <w:tcPr>
            <w:tcW w:w="678" w:type="pct"/>
            <w:vAlign w:val="center"/>
          </w:tcPr>
          <w:p w14:paraId="66648E2A">
            <w:pPr>
              <w:pStyle w:val="12"/>
              <w:jc w:val="center"/>
            </w:pPr>
            <w:r>
              <w:rPr>
                <w:rFonts w:hint="eastAsia"/>
              </w:rPr>
              <w:t>叶  珪</w:t>
            </w:r>
          </w:p>
        </w:tc>
        <w:tc>
          <w:tcPr>
            <w:tcW w:w="872" w:type="pct"/>
            <w:vAlign w:val="center"/>
          </w:tcPr>
          <w:p w14:paraId="4D1E20B9">
            <w:pPr>
              <w:pStyle w:val="12"/>
              <w:jc w:val="center"/>
            </w:pPr>
            <w:r>
              <w:rPr>
                <w:rFonts w:hint="eastAsia"/>
              </w:rPr>
              <w:t>绍圣丁丑</w:t>
            </w:r>
          </w:p>
        </w:tc>
        <w:tc>
          <w:tcPr>
            <w:tcW w:w="2810" w:type="pct"/>
            <w:vAlign w:val="center"/>
          </w:tcPr>
          <w:p w14:paraId="1096701B">
            <w:pPr>
              <w:pStyle w:val="12"/>
              <w:jc w:val="left"/>
            </w:pPr>
            <w:r>
              <w:rPr>
                <w:rFonts w:hint="eastAsia"/>
              </w:rPr>
              <w:t>监潭州南岳庙</w:t>
            </w:r>
          </w:p>
        </w:tc>
      </w:tr>
      <w:tr w14:paraId="1AB37C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C4E0A38">
            <w:pPr>
              <w:pStyle w:val="12"/>
              <w:jc w:val="center"/>
            </w:pPr>
          </w:p>
        </w:tc>
        <w:tc>
          <w:tcPr>
            <w:tcW w:w="678" w:type="pct"/>
            <w:vAlign w:val="center"/>
          </w:tcPr>
          <w:p w14:paraId="06587653">
            <w:pPr>
              <w:pStyle w:val="12"/>
              <w:jc w:val="center"/>
            </w:pPr>
            <w:r>
              <w:rPr>
                <w:rFonts w:hint="eastAsia"/>
              </w:rPr>
              <w:t>冯邦怀</w:t>
            </w:r>
          </w:p>
        </w:tc>
        <w:tc>
          <w:tcPr>
            <w:tcW w:w="872" w:type="pct"/>
            <w:vAlign w:val="center"/>
          </w:tcPr>
          <w:p w14:paraId="06184D4E">
            <w:pPr>
              <w:pStyle w:val="12"/>
              <w:jc w:val="center"/>
            </w:pPr>
            <w:r>
              <w:rPr>
                <w:rFonts w:hint="eastAsia"/>
              </w:rPr>
              <w:t>绍圣丁丑</w:t>
            </w:r>
          </w:p>
        </w:tc>
        <w:tc>
          <w:tcPr>
            <w:tcW w:w="2810" w:type="pct"/>
            <w:vAlign w:val="center"/>
          </w:tcPr>
          <w:p w14:paraId="6112C062">
            <w:pPr>
              <w:pStyle w:val="12"/>
              <w:jc w:val="left"/>
            </w:pPr>
            <w:r>
              <w:rPr>
                <w:rFonts w:hint="eastAsia"/>
              </w:rPr>
              <w:t>广西节度推官</w:t>
            </w:r>
          </w:p>
        </w:tc>
      </w:tr>
      <w:tr w14:paraId="7FE7A0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245198F">
            <w:pPr>
              <w:pStyle w:val="12"/>
              <w:jc w:val="center"/>
            </w:pPr>
          </w:p>
        </w:tc>
        <w:tc>
          <w:tcPr>
            <w:tcW w:w="678" w:type="pct"/>
            <w:vAlign w:val="center"/>
          </w:tcPr>
          <w:p w14:paraId="318D9424">
            <w:pPr>
              <w:pStyle w:val="12"/>
              <w:jc w:val="center"/>
            </w:pPr>
            <w:r>
              <w:rPr>
                <w:rFonts w:hint="eastAsia"/>
              </w:rPr>
              <w:t>李无双</w:t>
            </w:r>
          </w:p>
        </w:tc>
        <w:tc>
          <w:tcPr>
            <w:tcW w:w="872" w:type="pct"/>
            <w:vAlign w:val="center"/>
          </w:tcPr>
          <w:p w14:paraId="36AF5476">
            <w:pPr>
              <w:pStyle w:val="12"/>
              <w:jc w:val="center"/>
            </w:pPr>
            <w:r>
              <w:rPr>
                <w:rFonts w:hint="eastAsia"/>
              </w:rPr>
              <w:t>元符庚辰</w:t>
            </w:r>
          </w:p>
        </w:tc>
        <w:tc>
          <w:tcPr>
            <w:tcW w:w="2810" w:type="pct"/>
            <w:vAlign w:val="center"/>
          </w:tcPr>
          <w:p w14:paraId="1777489A">
            <w:pPr>
              <w:pStyle w:val="12"/>
              <w:jc w:val="left"/>
            </w:pPr>
            <w:r>
              <w:rPr>
                <w:rFonts w:hint="eastAsia"/>
              </w:rPr>
              <w:t>昌化军佥事</w:t>
            </w:r>
          </w:p>
        </w:tc>
      </w:tr>
      <w:tr w14:paraId="06EDA3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EB59AEA">
            <w:pPr>
              <w:pStyle w:val="12"/>
              <w:jc w:val="center"/>
            </w:pPr>
          </w:p>
        </w:tc>
        <w:tc>
          <w:tcPr>
            <w:tcW w:w="678" w:type="pct"/>
            <w:vAlign w:val="center"/>
          </w:tcPr>
          <w:p w14:paraId="21522D2F">
            <w:pPr>
              <w:pStyle w:val="12"/>
              <w:jc w:val="center"/>
            </w:pPr>
            <w:r>
              <w:rPr>
                <w:rFonts w:hint="eastAsia"/>
              </w:rPr>
              <w:t>朱宗愈</w:t>
            </w:r>
          </w:p>
        </w:tc>
        <w:tc>
          <w:tcPr>
            <w:tcW w:w="872" w:type="pct"/>
            <w:vAlign w:val="center"/>
          </w:tcPr>
          <w:p w14:paraId="1E87ED8B">
            <w:pPr>
              <w:pStyle w:val="12"/>
              <w:jc w:val="center"/>
            </w:pPr>
            <w:r>
              <w:rPr>
                <w:rFonts w:hint="eastAsia"/>
              </w:rPr>
              <w:t>崇宁癸未</w:t>
            </w:r>
          </w:p>
        </w:tc>
        <w:tc>
          <w:tcPr>
            <w:tcW w:w="2810" w:type="pct"/>
            <w:vAlign w:val="center"/>
          </w:tcPr>
          <w:p w14:paraId="48D62F20">
            <w:pPr>
              <w:pStyle w:val="12"/>
              <w:jc w:val="left"/>
            </w:pPr>
            <w:r>
              <w:rPr>
                <w:rFonts w:hint="eastAsia"/>
              </w:rPr>
              <w:t>广州司李参军</w:t>
            </w:r>
          </w:p>
        </w:tc>
      </w:tr>
      <w:tr w14:paraId="6C7F34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2C1E39E">
            <w:pPr>
              <w:pStyle w:val="12"/>
              <w:jc w:val="center"/>
            </w:pPr>
          </w:p>
        </w:tc>
        <w:tc>
          <w:tcPr>
            <w:tcW w:w="678" w:type="pct"/>
            <w:vAlign w:val="center"/>
          </w:tcPr>
          <w:p w14:paraId="4DE7F7EE">
            <w:pPr>
              <w:pStyle w:val="12"/>
              <w:jc w:val="center"/>
            </w:pPr>
            <w:r>
              <w:rPr>
                <w:rFonts w:hint="eastAsia"/>
              </w:rPr>
              <w:t>黄  鉴</w:t>
            </w:r>
          </w:p>
        </w:tc>
        <w:tc>
          <w:tcPr>
            <w:tcW w:w="872" w:type="pct"/>
            <w:vAlign w:val="center"/>
          </w:tcPr>
          <w:p w14:paraId="43B9471C">
            <w:pPr>
              <w:pStyle w:val="12"/>
              <w:jc w:val="center"/>
            </w:pPr>
            <w:r>
              <w:rPr>
                <w:rFonts w:hint="eastAsia"/>
              </w:rPr>
              <w:t>崇宁癸未</w:t>
            </w:r>
          </w:p>
        </w:tc>
        <w:tc>
          <w:tcPr>
            <w:tcW w:w="2810" w:type="pct"/>
            <w:vAlign w:val="center"/>
          </w:tcPr>
          <w:p w14:paraId="160FD377">
            <w:pPr>
              <w:pStyle w:val="12"/>
              <w:jc w:val="left"/>
            </w:pPr>
            <w:r>
              <w:rPr>
                <w:rFonts w:hint="eastAsia"/>
              </w:rPr>
              <w:t>新州主簿</w:t>
            </w:r>
          </w:p>
        </w:tc>
      </w:tr>
      <w:tr w14:paraId="72C03F7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B4B8D4C">
            <w:pPr>
              <w:pStyle w:val="12"/>
              <w:jc w:val="center"/>
            </w:pPr>
          </w:p>
        </w:tc>
        <w:tc>
          <w:tcPr>
            <w:tcW w:w="678" w:type="pct"/>
            <w:vAlign w:val="center"/>
          </w:tcPr>
          <w:p w14:paraId="5F68CEDA">
            <w:pPr>
              <w:pStyle w:val="12"/>
              <w:jc w:val="center"/>
            </w:pPr>
            <w:r>
              <w:rPr>
                <w:rFonts w:hint="eastAsia"/>
              </w:rPr>
              <w:t>邱如嵩</w:t>
            </w:r>
          </w:p>
        </w:tc>
        <w:tc>
          <w:tcPr>
            <w:tcW w:w="872" w:type="pct"/>
            <w:vAlign w:val="center"/>
          </w:tcPr>
          <w:p w14:paraId="53E4A957">
            <w:pPr>
              <w:pStyle w:val="12"/>
              <w:jc w:val="center"/>
            </w:pPr>
            <w:r>
              <w:rPr>
                <w:rFonts w:hint="eastAsia"/>
              </w:rPr>
              <w:t>崇宁丙戌</w:t>
            </w:r>
          </w:p>
        </w:tc>
        <w:tc>
          <w:tcPr>
            <w:tcW w:w="2810" w:type="pct"/>
            <w:vAlign w:val="center"/>
          </w:tcPr>
          <w:p w14:paraId="0AD7E322">
            <w:pPr>
              <w:pStyle w:val="12"/>
              <w:jc w:val="left"/>
            </w:pPr>
            <w:r>
              <w:rPr>
                <w:rFonts w:hint="eastAsia"/>
              </w:rPr>
              <w:t>寻州录事参军</w:t>
            </w:r>
          </w:p>
        </w:tc>
      </w:tr>
      <w:tr w14:paraId="157D81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F6DC855">
            <w:pPr>
              <w:pStyle w:val="12"/>
              <w:jc w:val="center"/>
            </w:pPr>
          </w:p>
        </w:tc>
        <w:tc>
          <w:tcPr>
            <w:tcW w:w="678" w:type="pct"/>
            <w:vAlign w:val="center"/>
          </w:tcPr>
          <w:p w14:paraId="375F6231">
            <w:pPr>
              <w:pStyle w:val="12"/>
              <w:jc w:val="center"/>
            </w:pPr>
            <w:r>
              <w:rPr>
                <w:rFonts w:hint="eastAsia"/>
              </w:rPr>
              <w:t>何西杰</w:t>
            </w:r>
          </w:p>
        </w:tc>
        <w:tc>
          <w:tcPr>
            <w:tcW w:w="872" w:type="pct"/>
            <w:vAlign w:val="center"/>
          </w:tcPr>
          <w:p w14:paraId="29F8FF09">
            <w:pPr>
              <w:pStyle w:val="12"/>
              <w:jc w:val="center"/>
            </w:pPr>
            <w:r>
              <w:rPr>
                <w:rFonts w:hint="eastAsia"/>
              </w:rPr>
              <w:t>政和壬辰</w:t>
            </w:r>
          </w:p>
        </w:tc>
        <w:tc>
          <w:tcPr>
            <w:tcW w:w="2810" w:type="pct"/>
            <w:vAlign w:val="center"/>
          </w:tcPr>
          <w:p w14:paraId="12027017">
            <w:pPr>
              <w:pStyle w:val="12"/>
              <w:jc w:val="left"/>
            </w:pPr>
            <w:r>
              <w:rPr>
                <w:rFonts w:hint="eastAsia"/>
              </w:rPr>
              <w:t>钦州军事参军</w:t>
            </w:r>
          </w:p>
        </w:tc>
      </w:tr>
      <w:tr w14:paraId="310CB0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18B0E3C">
            <w:pPr>
              <w:pStyle w:val="12"/>
              <w:jc w:val="center"/>
            </w:pPr>
          </w:p>
        </w:tc>
        <w:tc>
          <w:tcPr>
            <w:tcW w:w="678" w:type="pct"/>
            <w:vAlign w:val="center"/>
          </w:tcPr>
          <w:p w14:paraId="15E53E0D">
            <w:pPr>
              <w:pStyle w:val="12"/>
              <w:jc w:val="center"/>
            </w:pPr>
            <w:r>
              <w:rPr>
                <w:rFonts w:hint="eastAsia"/>
              </w:rPr>
              <w:t>邓鹏飞</w:t>
            </w:r>
          </w:p>
        </w:tc>
        <w:tc>
          <w:tcPr>
            <w:tcW w:w="872" w:type="pct"/>
            <w:vAlign w:val="center"/>
          </w:tcPr>
          <w:p w14:paraId="46BEA294">
            <w:pPr>
              <w:pStyle w:val="12"/>
              <w:jc w:val="center"/>
            </w:pPr>
            <w:r>
              <w:rPr>
                <w:rFonts w:hint="eastAsia"/>
              </w:rPr>
              <w:t>政和壬辰</w:t>
            </w:r>
          </w:p>
        </w:tc>
        <w:tc>
          <w:tcPr>
            <w:tcW w:w="2810" w:type="pct"/>
            <w:vAlign w:val="center"/>
          </w:tcPr>
          <w:p w14:paraId="1CF554A4">
            <w:pPr>
              <w:pStyle w:val="12"/>
              <w:jc w:val="left"/>
            </w:pPr>
            <w:r>
              <w:rPr>
                <w:rFonts w:hint="eastAsia"/>
              </w:rPr>
              <w:t>象州防御参军</w:t>
            </w:r>
          </w:p>
        </w:tc>
      </w:tr>
      <w:tr w14:paraId="0CE9D4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16F7EC4">
            <w:pPr>
              <w:pStyle w:val="12"/>
              <w:jc w:val="center"/>
            </w:pPr>
          </w:p>
        </w:tc>
        <w:tc>
          <w:tcPr>
            <w:tcW w:w="678" w:type="pct"/>
            <w:vAlign w:val="center"/>
          </w:tcPr>
          <w:p w14:paraId="153F7BB6">
            <w:pPr>
              <w:pStyle w:val="12"/>
              <w:jc w:val="center"/>
            </w:pPr>
            <w:r>
              <w:rPr>
                <w:rFonts w:hint="eastAsia"/>
              </w:rPr>
              <w:t>李  璇</w:t>
            </w:r>
          </w:p>
        </w:tc>
        <w:tc>
          <w:tcPr>
            <w:tcW w:w="872" w:type="pct"/>
            <w:vAlign w:val="center"/>
          </w:tcPr>
          <w:p w14:paraId="7514FB2C">
            <w:pPr>
              <w:pStyle w:val="12"/>
              <w:jc w:val="center"/>
            </w:pPr>
            <w:r>
              <w:rPr>
                <w:rFonts w:hint="eastAsia"/>
              </w:rPr>
              <w:t>政和乙未</w:t>
            </w:r>
          </w:p>
        </w:tc>
        <w:tc>
          <w:tcPr>
            <w:tcW w:w="2810" w:type="pct"/>
            <w:vAlign w:val="center"/>
          </w:tcPr>
          <w:p w14:paraId="4E5F293D">
            <w:pPr>
              <w:pStyle w:val="12"/>
              <w:jc w:val="left"/>
            </w:pPr>
            <w:r>
              <w:rPr>
                <w:rFonts w:hint="eastAsia"/>
              </w:rPr>
              <w:t>横州军事推官</w:t>
            </w:r>
          </w:p>
        </w:tc>
      </w:tr>
      <w:tr w14:paraId="060A27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F839FA9">
            <w:pPr>
              <w:pStyle w:val="12"/>
              <w:jc w:val="center"/>
            </w:pPr>
          </w:p>
        </w:tc>
        <w:tc>
          <w:tcPr>
            <w:tcW w:w="678" w:type="pct"/>
            <w:vAlign w:val="center"/>
          </w:tcPr>
          <w:p w14:paraId="564885E4">
            <w:pPr>
              <w:pStyle w:val="12"/>
              <w:jc w:val="center"/>
            </w:pPr>
            <w:r>
              <w:rPr>
                <w:rFonts w:hint="eastAsia"/>
              </w:rPr>
              <w:t>李九龄</w:t>
            </w:r>
          </w:p>
        </w:tc>
        <w:tc>
          <w:tcPr>
            <w:tcW w:w="872" w:type="pct"/>
            <w:vAlign w:val="center"/>
          </w:tcPr>
          <w:p w14:paraId="669AAC71">
            <w:pPr>
              <w:pStyle w:val="12"/>
              <w:jc w:val="center"/>
            </w:pPr>
            <w:r>
              <w:rPr>
                <w:rFonts w:hint="eastAsia"/>
              </w:rPr>
              <w:t>宣和辛丑</w:t>
            </w:r>
          </w:p>
        </w:tc>
        <w:tc>
          <w:tcPr>
            <w:tcW w:w="2810" w:type="pct"/>
            <w:vAlign w:val="center"/>
          </w:tcPr>
          <w:p w14:paraId="34D13A20">
            <w:pPr>
              <w:pStyle w:val="12"/>
              <w:jc w:val="left"/>
            </w:pPr>
            <w:r>
              <w:rPr>
                <w:rFonts w:hint="eastAsia"/>
              </w:rPr>
              <w:t>宜州文学</w:t>
            </w:r>
          </w:p>
        </w:tc>
      </w:tr>
      <w:tr w14:paraId="2CE3DE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58F2F78">
            <w:pPr>
              <w:pStyle w:val="12"/>
              <w:jc w:val="center"/>
            </w:pPr>
          </w:p>
        </w:tc>
        <w:tc>
          <w:tcPr>
            <w:tcW w:w="678" w:type="pct"/>
            <w:vAlign w:val="center"/>
          </w:tcPr>
          <w:p w14:paraId="1A8480F2">
            <w:pPr>
              <w:pStyle w:val="12"/>
              <w:jc w:val="center"/>
            </w:pPr>
            <w:r>
              <w:rPr>
                <w:rFonts w:hint="eastAsia"/>
              </w:rPr>
              <w:t>李用之</w:t>
            </w:r>
          </w:p>
        </w:tc>
        <w:tc>
          <w:tcPr>
            <w:tcW w:w="872" w:type="pct"/>
            <w:vAlign w:val="center"/>
          </w:tcPr>
          <w:p w14:paraId="705217D5">
            <w:pPr>
              <w:pStyle w:val="12"/>
              <w:jc w:val="center"/>
            </w:pPr>
            <w:r>
              <w:rPr>
                <w:rFonts w:hint="eastAsia"/>
              </w:rPr>
              <w:t>建炎戊申</w:t>
            </w:r>
          </w:p>
        </w:tc>
        <w:tc>
          <w:tcPr>
            <w:tcW w:w="2810" w:type="pct"/>
            <w:vAlign w:val="center"/>
          </w:tcPr>
          <w:p w14:paraId="29F35BB9">
            <w:pPr>
              <w:pStyle w:val="12"/>
              <w:jc w:val="left"/>
            </w:pPr>
            <w:r>
              <w:rPr>
                <w:rFonts w:hint="eastAsia"/>
              </w:rPr>
              <w:t>宜州节度推官</w:t>
            </w:r>
          </w:p>
        </w:tc>
      </w:tr>
      <w:tr w14:paraId="66AA74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537C6BE">
            <w:pPr>
              <w:pStyle w:val="12"/>
              <w:jc w:val="center"/>
            </w:pPr>
          </w:p>
        </w:tc>
        <w:tc>
          <w:tcPr>
            <w:tcW w:w="678" w:type="pct"/>
            <w:vAlign w:val="center"/>
          </w:tcPr>
          <w:p w14:paraId="4E8C4977">
            <w:pPr>
              <w:pStyle w:val="12"/>
              <w:jc w:val="center"/>
            </w:pPr>
            <w:r>
              <w:rPr>
                <w:rFonts w:hint="eastAsia"/>
              </w:rPr>
              <w:t>陈  言</w:t>
            </w:r>
          </w:p>
        </w:tc>
        <w:tc>
          <w:tcPr>
            <w:tcW w:w="872" w:type="pct"/>
            <w:vAlign w:val="center"/>
          </w:tcPr>
          <w:p w14:paraId="4BC462E6">
            <w:pPr>
              <w:pStyle w:val="12"/>
              <w:jc w:val="center"/>
            </w:pPr>
            <w:r>
              <w:rPr>
                <w:rFonts w:hint="eastAsia"/>
              </w:rPr>
              <w:t>绍兴癸丑</w:t>
            </w:r>
          </w:p>
        </w:tc>
        <w:tc>
          <w:tcPr>
            <w:tcW w:w="2810" w:type="pct"/>
            <w:vAlign w:val="center"/>
          </w:tcPr>
          <w:p w14:paraId="3B49B524">
            <w:pPr>
              <w:pStyle w:val="12"/>
              <w:jc w:val="left"/>
            </w:pPr>
          </w:p>
        </w:tc>
      </w:tr>
      <w:tr w14:paraId="47F662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EE0B5C7">
            <w:pPr>
              <w:pStyle w:val="12"/>
              <w:jc w:val="center"/>
            </w:pPr>
          </w:p>
        </w:tc>
        <w:tc>
          <w:tcPr>
            <w:tcW w:w="678" w:type="pct"/>
            <w:vAlign w:val="center"/>
          </w:tcPr>
          <w:p w14:paraId="77071035">
            <w:pPr>
              <w:pStyle w:val="12"/>
              <w:jc w:val="center"/>
            </w:pPr>
            <w:r>
              <w:rPr>
                <w:rFonts w:hint="eastAsia"/>
              </w:rPr>
              <w:t>黄永年</w:t>
            </w:r>
          </w:p>
        </w:tc>
        <w:tc>
          <w:tcPr>
            <w:tcW w:w="872" w:type="pct"/>
            <w:vAlign w:val="center"/>
          </w:tcPr>
          <w:p w14:paraId="074E55CC">
            <w:pPr>
              <w:pStyle w:val="12"/>
              <w:jc w:val="center"/>
            </w:pPr>
            <w:r>
              <w:rPr>
                <w:rFonts w:hint="eastAsia"/>
              </w:rPr>
              <w:t>绍兴癸丑</w:t>
            </w:r>
          </w:p>
        </w:tc>
        <w:tc>
          <w:tcPr>
            <w:tcW w:w="2810" w:type="pct"/>
            <w:vAlign w:val="center"/>
          </w:tcPr>
          <w:p w14:paraId="4048BBC4">
            <w:pPr>
              <w:pStyle w:val="12"/>
              <w:jc w:val="left"/>
            </w:pPr>
          </w:p>
        </w:tc>
      </w:tr>
      <w:tr w14:paraId="014EECA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5E4E700">
            <w:pPr>
              <w:pStyle w:val="12"/>
              <w:jc w:val="center"/>
            </w:pPr>
          </w:p>
        </w:tc>
        <w:tc>
          <w:tcPr>
            <w:tcW w:w="678" w:type="pct"/>
            <w:vAlign w:val="center"/>
          </w:tcPr>
          <w:p w14:paraId="1A1B59B0">
            <w:pPr>
              <w:pStyle w:val="12"/>
              <w:jc w:val="center"/>
            </w:pPr>
            <w:r>
              <w:rPr>
                <w:rFonts w:hint="eastAsia"/>
              </w:rPr>
              <w:t>周子质</w:t>
            </w:r>
          </w:p>
        </w:tc>
        <w:tc>
          <w:tcPr>
            <w:tcW w:w="872" w:type="pct"/>
            <w:vAlign w:val="center"/>
          </w:tcPr>
          <w:p w14:paraId="583849EB">
            <w:pPr>
              <w:pStyle w:val="12"/>
              <w:jc w:val="center"/>
            </w:pPr>
            <w:r>
              <w:rPr>
                <w:rFonts w:hint="eastAsia"/>
              </w:rPr>
              <w:t>绍兴癸丑</w:t>
            </w:r>
          </w:p>
        </w:tc>
        <w:tc>
          <w:tcPr>
            <w:tcW w:w="2810" w:type="pct"/>
            <w:vAlign w:val="center"/>
          </w:tcPr>
          <w:p w14:paraId="03CAD6B0">
            <w:pPr>
              <w:pStyle w:val="12"/>
              <w:jc w:val="left"/>
            </w:pPr>
          </w:p>
        </w:tc>
      </w:tr>
      <w:tr w14:paraId="53E0FE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035C25F">
            <w:pPr>
              <w:pStyle w:val="12"/>
              <w:jc w:val="center"/>
            </w:pPr>
          </w:p>
        </w:tc>
        <w:tc>
          <w:tcPr>
            <w:tcW w:w="678" w:type="pct"/>
            <w:vAlign w:val="center"/>
          </w:tcPr>
          <w:p w14:paraId="37063C87">
            <w:pPr>
              <w:pStyle w:val="12"/>
              <w:jc w:val="center"/>
            </w:pPr>
            <w:r>
              <w:rPr>
                <w:rFonts w:hint="eastAsia"/>
              </w:rPr>
              <w:t>欧阳三英</w:t>
            </w:r>
          </w:p>
        </w:tc>
        <w:tc>
          <w:tcPr>
            <w:tcW w:w="872" w:type="pct"/>
            <w:vAlign w:val="center"/>
          </w:tcPr>
          <w:p w14:paraId="35F51B4B">
            <w:pPr>
              <w:pStyle w:val="12"/>
              <w:jc w:val="center"/>
            </w:pPr>
            <w:r>
              <w:rPr>
                <w:rFonts w:hint="eastAsia"/>
              </w:rPr>
              <w:t>绍兴乙卯</w:t>
            </w:r>
          </w:p>
        </w:tc>
        <w:tc>
          <w:tcPr>
            <w:tcW w:w="2810" w:type="pct"/>
            <w:vAlign w:val="center"/>
          </w:tcPr>
          <w:p w14:paraId="049A6666">
            <w:pPr>
              <w:pStyle w:val="12"/>
              <w:jc w:val="left"/>
            </w:pPr>
          </w:p>
        </w:tc>
      </w:tr>
      <w:tr w14:paraId="6A4AB3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1675D8B5">
            <w:pPr>
              <w:pStyle w:val="12"/>
              <w:jc w:val="center"/>
            </w:pPr>
          </w:p>
        </w:tc>
        <w:tc>
          <w:tcPr>
            <w:tcW w:w="678" w:type="pct"/>
            <w:vAlign w:val="center"/>
          </w:tcPr>
          <w:p w14:paraId="00F2C5A4">
            <w:pPr>
              <w:pStyle w:val="12"/>
              <w:jc w:val="center"/>
            </w:pPr>
            <w:r>
              <w:rPr>
                <w:rFonts w:hint="eastAsia"/>
              </w:rPr>
              <w:t>陈淑秀</w:t>
            </w:r>
          </w:p>
        </w:tc>
        <w:tc>
          <w:tcPr>
            <w:tcW w:w="872" w:type="pct"/>
            <w:vAlign w:val="center"/>
          </w:tcPr>
          <w:p w14:paraId="3AE3FC23">
            <w:pPr>
              <w:pStyle w:val="12"/>
              <w:jc w:val="center"/>
            </w:pPr>
            <w:r>
              <w:rPr>
                <w:rFonts w:hint="eastAsia"/>
              </w:rPr>
              <w:t>绍兴乙卯</w:t>
            </w:r>
          </w:p>
        </w:tc>
        <w:tc>
          <w:tcPr>
            <w:tcW w:w="2810" w:type="pct"/>
            <w:vAlign w:val="center"/>
          </w:tcPr>
          <w:p w14:paraId="3B6CF0AA">
            <w:pPr>
              <w:pStyle w:val="12"/>
              <w:jc w:val="left"/>
            </w:pPr>
            <w:r>
              <w:rPr>
                <w:rFonts w:hint="eastAsia"/>
              </w:rPr>
              <w:t>潭州监庙</w:t>
            </w:r>
          </w:p>
        </w:tc>
      </w:tr>
      <w:tr w14:paraId="198BF2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5F6522A">
            <w:pPr>
              <w:pStyle w:val="12"/>
              <w:jc w:val="center"/>
            </w:pPr>
          </w:p>
        </w:tc>
        <w:tc>
          <w:tcPr>
            <w:tcW w:w="678" w:type="pct"/>
            <w:vAlign w:val="center"/>
          </w:tcPr>
          <w:p w14:paraId="2ECCF103">
            <w:pPr>
              <w:pStyle w:val="12"/>
              <w:jc w:val="center"/>
            </w:pPr>
            <w:r>
              <w:rPr>
                <w:rFonts w:hint="eastAsia"/>
              </w:rPr>
              <w:t>孔绍祖</w:t>
            </w:r>
          </w:p>
        </w:tc>
        <w:tc>
          <w:tcPr>
            <w:tcW w:w="872" w:type="pct"/>
            <w:vAlign w:val="center"/>
          </w:tcPr>
          <w:p w14:paraId="3B9F6B1E">
            <w:pPr>
              <w:pStyle w:val="12"/>
              <w:jc w:val="center"/>
            </w:pPr>
            <w:r>
              <w:rPr>
                <w:rFonts w:hint="eastAsia"/>
              </w:rPr>
              <w:t>绍兴乙卯</w:t>
            </w:r>
          </w:p>
        </w:tc>
        <w:tc>
          <w:tcPr>
            <w:tcW w:w="2810" w:type="pct"/>
            <w:vAlign w:val="center"/>
          </w:tcPr>
          <w:p w14:paraId="41F7934C">
            <w:pPr>
              <w:pStyle w:val="12"/>
              <w:jc w:val="left"/>
            </w:pPr>
            <w:r>
              <w:rPr>
                <w:rFonts w:hint="eastAsia"/>
              </w:rPr>
              <w:t>闰之后，南安军判</w:t>
            </w:r>
          </w:p>
        </w:tc>
      </w:tr>
      <w:tr w14:paraId="79A3AC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164D7887">
            <w:pPr>
              <w:pStyle w:val="12"/>
              <w:jc w:val="center"/>
            </w:pPr>
          </w:p>
        </w:tc>
        <w:tc>
          <w:tcPr>
            <w:tcW w:w="678" w:type="pct"/>
            <w:vAlign w:val="center"/>
          </w:tcPr>
          <w:p w14:paraId="7FE4E1C1">
            <w:pPr>
              <w:pStyle w:val="12"/>
              <w:jc w:val="center"/>
            </w:pPr>
            <w:r>
              <w:rPr>
                <w:rFonts w:hint="eastAsia"/>
              </w:rPr>
              <w:t>叶牧卿</w:t>
            </w:r>
          </w:p>
        </w:tc>
        <w:tc>
          <w:tcPr>
            <w:tcW w:w="872" w:type="pct"/>
            <w:vAlign w:val="center"/>
          </w:tcPr>
          <w:p w14:paraId="0B231A16">
            <w:pPr>
              <w:pStyle w:val="12"/>
              <w:jc w:val="center"/>
            </w:pPr>
            <w:r>
              <w:rPr>
                <w:rFonts w:hint="eastAsia"/>
              </w:rPr>
              <w:t>淳熙乙未</w:t>
            </w:r>
          </w:p>
        </w:tc>
        <w:tc>
          <w:tcPr>
            <w:tcW w:w="2810" w:type="pct"/>
            <w:vAlign w:val="center"/>
          </w:tcPr>
          <w:p w14:paraId="38FCC245">
            <w:pPr>
              <w:pStyle w:val="12"/>
              <w:jc w:val="left"/>
            </w:pPr>
            <w:r>
              <w:rPr>
                <w:rFonts w:hint="eastAsia"/>
              </w:rPr>
              <w:t>昌州文学</w:t>
            </w:r>
          </w:p>
        </w:tc>
      </w:tr>
      <w:tr w14:paraId="4695FB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80588B2">
            <w:pPr>
              <w:pStyle w:val="12"/>
              <w:jc w:val="center"/>
            </w:pPr>
          </w:p>
        </w:tc>
        <w:tc>
          <w:tcPr>
            <w:tcW w:w="678" w:type="pct"/>
            <w:vAlign w:val="center"/>
          </w:tcPr>
          <w:p w14:paraId="7DE4C86A">
            <w:pPr>
              <w:pStyle w:val="12"/>
              <w:jc w:val="center"/>
            </w:pPr>
            <w:r>
              <w:rPr>
                <w:rFonts w:hint="eastAsia"/>
              </w:rPr>
              <w:t>吴依尧</w:t>
            </w:r>
          </w:p>
        </w:tc>
        <w:tc>
          <w:tcPr>
            <w:tcW w:w="872" w:type="pct"/>
            <w:vAlign w:val="center"/>
          </w:tcPr>
          <w:p w14:paraId="3E22B130">
            <w:pPr>
              <w:pStyle w:val="12"/>
              <w:jc w:val="center"/>
            </w:pPr>
            <w:r>
              <w:rPr>
                <w:rFonts w:hint="eastAsia"/>
              </w:rPr>
              <w:t>淳熙丁未</w:t>
            </w:r>
          </w:p>
        </w:tc>
        <w:tc>
          <w:tcPr>
            <w:tcW w:w="2810" w:type="pct"/>
            <w:vAlign w:val="center"/>
          </w:tcPr>
          <w:p w14:paraId="7E24FEA6">
            <w:pPr>
              <w:pStyle w:val="12"/>
              <w:jc w:val="left"/>
            </w:pPr>
            <w:r>
              <w:rPr>
                <w:rFonts w:hint="eastAsia"/>
              </w:rPr>
              <w:t>惠州文学</w:t>
            </w:r>
          </w:p>
        </w:tc>
      </w:tr>
      <w:tr w14:paraId="6315D2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E8BA621">
            <w:pPr>
              <w:pStyle w:val="12"/>
              <w:jc w:val="center"/>
            </w:pPr>
          </w:p>
        </w:tc>
        <w:tc>
          <w:tcPr>
            <w:tcW w:w="678" w:type="pct"/>
            <w:vAlign w:val="center"/>
          </w:tcPr>
          <w:p w14:paraId="4960AF9E">
            <w:pPr>
              <w:pStyle w:val="12"/>
              <w:jc w:val="center"/>
            </w:pPr>
            <w:r>
              <w:rPr>
                <w:rFonts w:hint="eastAsia"/>
              </w:rPr>
              <w:t>周子固</w:t>
            </w:r>
          </w:p>
        </w:tc>
        <w:tc>
          <w:tcPr>
            <w:tcW w:w="872" w:type="pct"/>
            <w:vAlign w:val="center"/>
          </w:tcPr>
          <w:p w14:paraId="099025B8">
            <w:pPr>
              <w:pStyle w:val="12"/>
              <w:jc w:val="center"/>
            </w:pPr>
            <w:r>
              <w:rPr>
                <w:rFonts w:hint="eastAsia"/>
              </w:rPr>
              <w:t>庆元丙辰</w:t>
            </w:r>
          </w:p>
        </w:tc>
        <w:tc>
          <w:tcPr>
            <w:tcW w:w="2810" w:type="pct"/>
            <w:vAlign w:val="center"/>
          </w:tcPr>
          <w:p w14:paraId="5AB5827A">
            <w:pPr>
              <w:pStyle w:val="12"/>
              <w:jc w:val="left"/>
            </w:pPr>
            <w:r>
              <w:rPr>
                <w:rFonts w:hint="eastAsia"/>
              </w:rPr>
              <w:t>忠州文学</w:t>
            </w:r>
          </w:p>
        </w:tc>
      </w:tr>
      <w:tr w14:paraId="040C60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C6C0490">
            <w:pPr>
              <w:pStyle w:val="12"/>
              <w:jc w:val="center"/>
            </w:pPr>
          </w:p>
        </w:tc>
        <w:tc>
          <w:tcPr>
            <w:tcW w:w="678" w:type="pct"/>
            <w:vAlign w:val="center"/>
          </w:tcPr>
          <w:p w14:paraId="764A9659">
            <w:pPr>
              <w:pStyle w:val="12"/>
              <w:jc w:val="center"/>
            </w:pPr>
            <w:r>
              <w:rPr>
                <w:rFonts w:hint="eastAsia"/>
              </w:rPr>
              <w:t>黄  桂</w:t>
            </w:r>
          </w:p>
        </w:tc>
        <w:tc>
          <w:tcPr>
            <w:tcW w:w="872" w:type="pct"/>
            <w:vAlign w:val="center"/>
          </w:tcPr>
          <w:p w14:paraId="3985B593">
            <w:pPr>
              <w:pStyle w:val="12"/>
              <w:jc w:val="center"/>
            </w:pPr>
            <w:r>
              <w:rPr>
                <w:rFonts w:hint="eastAsia"/>
              </w:rPr>
              <w:t>嘉泰壬戌</w:t>
            </w:r>
          </w:p>
        </w:tc>
        <w:tc>
          <w:tcPr>
            <w:tcW w:w="2810" w:type="pct"/>
            <w:vAlign w:val="center"/>
          </w:tcPr>
          <w:p w14:paraId="1B311907">
            <w:pPr>
              <w:pStyle w:val="12"/>
              <w:jc w:val="left"/>
            </w:pPr>
          </w:p>
        </w:tc>
      </w:tr>
      <w:tr w14:paraId="25A5F9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97C46DC">
            <w:pPr>
              <w:pStyle w:val="12"/>
              <w:jc w:val="center"/>
            </w:pPr>
          </w:p>
        </w:tc>
        <w:tc>
          <w:tcPr>
            <w:tcW w:w="678" w:type="pct"/>
            <w:vAlign w:val="center"/>
          </w:tcPr>
          <w:p w14:paraId="55D4EC66">
            <w:pPr>
              <w:pStyle w:val="12"/>
              <w:jc w:val="center"/>
            </w:pPr>
            <w:r>
              <w:rPr>
                <w:rFonts w:hint="eastAsia"/>
              </w:rPr>
              <w:t>刘  密</w:t>
            </w:r>
          </w:p>
        </w:tc>
        <w:tc>
          <w:tcPr>
            <w:tcW w:w="872" w:type="pct"/>
            <w:vAlign w:val="center"/>
          </w:tcPr>
          <w:p w14:paraId="66C36151">
            <w:pPr>
              <w:pStyle w:val="12"/>
              <w:jc w:val="center"/>
            </w:pPr>
            <w:r>
              <w:rPr>
                <w:rFonts w:hint="eastAsia"/>
              </w:rPr>
              <w:t>嘉定戊辰</w:t>
            </w:r>
          </w:p>
        </w:tc>
        <w:tc>
          <w:tcPr>
            <w:tcW w:w="2810" w:type="pct"/>
            <w:vAlign w:val="center"/>
          </w:tcPr>
          <w:p w14:paraId="5DE0F1BF">
            <w:pPr>
              <w:pStyle w:val="12"/>
              <w:jc w:val="left"/>
            </w:pPr>
            <w:r>
              <w:rPr>
                <w:rFonts w:hint="eastAsia"/>
              </w:rPr>
              <w:t>潭州监庙</w:t>
            </w:r>
          </w:p>
        </w:tc>
      </w:tr>
      <w:tr w14:paraId="253A20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1DB9B01">
            <w:pPr>
              <w:pStyle w:val="12"/>
              <w:jc w:val="center"/>
            </w:pPr>
          </w:p>
        </w:tc>
        <w:tc>
          <w:tcPr>
            <w:tcW w:w="678" w:type="pct"/>
            <w:vAlign w:val="center"/>
          </w:tcPr>
          <w:p w14:paraId="198C21F6">
            <w:pPr>
              <w:pStyle w:val="12"/>
              <w:jc w:val="center"/>
            </w:pPr>
            <w:r>
              <w:rPr>
                <w:rFonts w:hint="eastAsia"/>
              </w:rPr>
              <w:t>陈安策</w:t>
            </w:r>
          </w:p>
        </w:tc>
        <w:tc>
          <w:tcPr>
            <w:tcW w:w="872" w:type="pct"/>
            <w:vAlign w:val="center"/>
          </w:tcPr>
          <w:p w14:paraId="0B8DF225">
            <w:pPr>
              <w:pStyle w:val="12"/>
              <w:jc w:val="center"/>
            </w:pPr>
            <w:r>
              <w:rPr>
                <w:rFonts w:hint="eastAsia"/>
              </w:rPr>
              <w:t>嘉定戊辰</w:t>
            </w:r>
          </w:p>
        </w:tc>
        <w:tc>
          <w:tcPr>
            <w:tcW w:w="2810" w:type="pct"/>
            <w:vAlign w:val="center"/>
          </w:tcPr>
          <w:p w14:paraId="2222567E">
            <w:pPr>
              <w:pStyle w:val="12"/>
              <w:jc w:val="left"/>
            </w:pPr>
            <w:r>
              <w:rPr>
                <w:rFonts w:hint="eastAsia"/>
              </w:rPr>
              <w:t>忠州文学</w:t>
            </w:r>
          </w:p>
        </w:tc>
      </w:tr>
      <w:tr w14:paraId="3C357E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B4CEFDF">
            <w:pPr>
              <w:pStyle w:val="12"/>
              <w:jc w:val="center"/>
            </w:pPr>
          </w:p>
        </w:tc>
        <w:tc>
          <w:tcPr>
            <w:tcW w:w="678" w:type="pct"/>
            <w:vAlign w:val="center"/>
          </w:tcPr>
          <w:p w14:paraId="68FFBC56">
            <w:pPr>
              <w:pStyle w:val="12"/>
              <w:jc w:val="center"/>
            </w:pPr>
            <w:r>
              <w:rPr>
                <w:rFonts w:hint="eastAsia"/>
              </w:rPr>
              <w:t>朱晞文</w:t>
            </w:r>
          </w:p>
        </w:tc>
        <w:tc>
          <w:tcPr>
            <w:tcW w:w="872" w:type="pct"/>
            <w:vAlign w:val="center"/>
          </w:tcPr>
          <w:p w14:paraId="2AC07DF4">
            <w:pPr>
              <w:pStyle w:val="12"/>
              <w:jc w:val="center"/>
            </w:pPr>
            <w:r>
              <w:rPr>
                <w:rFonts w:hint="eastAsia"/>
              </w:rPr>
              <w:t>嘉定辛未</w:t>
            </w:r>
          </w:p>
        </w:tc>
        <w:tc>
          <w:tcPr>
            <w:tcW w:w="2810" w:type="pct"/>
            <w:vAlign w:val="center"/>
          </w:tcPr>
          <w:p w14:paraId="1EB889BC">
            <w:pPr>
              <w:pStyle w:val="12"/>
              <w:jc w:val="left"/>
            </w:pPr>
            <w:r>
              <w:rPr>
                <w:rFonts w:hint="eastAsia"/>
              </w:rPr>
              <w:t>新喻县尉</w:t>
            </w:r>
          </w:p>
        </w:tc>
      </w:tr>
      <w:tr w14:paraId="3E795F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1E6779B">
            <w:pPr>
              <w:pStyle w:val="12"/>
              <w:jc w:val="center"/>
            </w:pPr>
          </w:p>
        </w:tc>
        <w:tc>
          <w:tcPr>
            <w:tcW w:w="678" w:type="pct"/>
            <w:vAlign w:val="center"/>
          </w:tcPr>
          <w:p w14:paraId="7C7AFADE">
            <w:pPr>
              <w:pStyle w:val="12"/>
              <w:jc w:val="center"/>
            </w:pPr>
            <w:r>
              <w:rPr>
                <w:rFonts w:hint="eastAsia"/>
              </w:rPr>
              <w:t>刘人杰</w:t>
            </w:r>
          </w:p>
        </w:tc>
        <w:tc>
          <w:tcPr>
            <w:tcW w:w="872" w:type="pct"/>
            <w:vAlign w:val="center"/>
          </w:tcPr>
          <w:p w14:paraId="1A5313DD">
            <w:pPr>
              <w:pStyle w:val="12"/>
              <w:jc w:val="center"/>
            </w:pPr>
            <w:r>
              <w:rPr>
                <w:rFonts w:hint="eastAsia"/>
              </w:rPr>
              <w:t>嘉定辛未</w:t>
            </w:r>
          </w:p>
        </w:tc>
        <w:tc>
          <w:tcPr>
            <w:tcW w:w="2810" w:type="pct"/>
            <w:vAlign w:val="center"/>
          </w:tcPr>
          <w:p w14:paraId="60F24322">
            <w:pPr>
              <w:pStyle w:val="12"/>
              <w:jc w:val="left"/>
            </w:pPr>
            <w:r>
              <w:rPr>
                <w:rFonts w:hint="eastAsia"/>
              </w:rPr>
              <w:t>弋阳县尉</w:t>
            </w:r>
          </w:p>
        </w:tc>
      </w:tr>
      <w:tr w14:paraId="1276D3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B375127">
            <w:pPr>
              <w:pStyle w:val="12"/>
              <w:jc w:val="center"/>
            </w:pPr>
          </w:p>
        </w:tc>
        <w:tc>
          <w:tcPr>
            <w:tcW w:w="678" w:type="pct"/>
            <w:vAlign w:val="center"/>
          </w:tcPr>
          <w:p w14:paraId="703BDD5B">
            <w:pPr>
              <w:pStyle w:val="12"/>
              <w:jc w:val="center"/>
            </w:pPr>
            <w:r>
              <w:rPr>
                <w:rFonts w:hint="eastAsia"/>
              </w:rPr>
              <w:t>邓汝为</w:t>
            </w:r>
          </w:p>
        </w:tc>
        <w:tc>
          <w:tcPr>
            <w:tcW w:w="872" w:type="pct"/>
            <w:vAlign w:val="center"/>
          </w:tcPr>
          <w:p w14:paraId="5F0359F1">
            <w:pPr>
              <w:pStyle w:val="12"/>
              <w:jc w:val="center"/>
            </w:pPr>
            <w:r>
              <w:rPr>
                <w:rFonts w:hint="eastAsia"/>
              </w:rPr>
              <w:t>嘉定癸未</w:t>
            </w:r>
          </w:p>
        </w:tc>
        <w:tc>
          <w:tcPr>
            <w:tcW w:w="2810" w:type="pct"/>
            <w:vAlign w:val="center"/>
          </w:tcPr>
          <w:p w14:paraId="0845FFBE">
            <w:pPr>
              <w:pStyle w:val="12"/>
              <w:jc w:val="left"/>
            </w:pPr>
            <w:r>
              <w:rPr>
                <w:rFonts w:hint="eastAsia"/>
              </w:rPr>
              <w:t>阳朔主簿</w:t>
            </w:r>
          </w:p>
        </w:tc>
      </w:tr>
      <w:tr w14:paraId="65CCF5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8A9171F">
            <w:pPr>
              <w:pStyle w:val="12"/>
              <w:jc w:val="center"/>
            </w:pPr>
          </w:p>
        </w:tc>
        <w:tc>
          <w:tcPr>
            <w:tcW w:w="678" w:type="pct"/>
            <w:vAlign w:val="center"/>
          </w:tcPr>
          <w:p w14:paraId="1BE4690A">
            <w:pPr>
              <w:pStyle w:val="12"/>
              <w:jc w:val="center"/>
            </w:pPr>
            <w:r>
              <w:rPr>
                <w:rFonts w:hint="eastAsia"/>
              </w:rPr>
              <w:t>戚三凤</w:t>
            </w:r>
          </w:p>
        </w:tc>
        <w:tc>
          <w:tcPr>
            <w:tcW w:w="872" w:type="pct"/>
            <w:vAlign w:val="center"/>
          </w:tcPr>
          <w:p w14:paraId="2BFE54A4">
            <w:pPr>
              <w:pStyle w:val="12"/>
              <w:jc w:val="center"/>
            </w:pPr>
            <w:r>
              <w:rPr>
                <w:rFonts w:hint="eastAsia"/>
              </w:rPr>
              <w:t>宝庆丙戌</w:t>
            </w:r>
          </w:p>
        </w:tc>
        <w:tc>
          <w:tcPr>
            <w:tcW w:w="2810" w:type="pct"/>
            <w:vAlign w:val="center"/>
          </w:tcPr>
          <w:p w14:paraId="4B4D1D88">
            <w:pPr>
              <w:pStyle w:val="12"/>
              <w:jc w:val="left"/>
            </w:pPr>
            <w:r>
              <w:rPr>
                <w:rFonts w:hint="eastAsia"/>
              </w:rPr>
              <w:t>新州司法</w:t>
            </w:r>
          </w:p>
        </w:tc>
      </w:tr>
      <w:tr w14:paraId="1FA1591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FA95CC5">
            <w:pPr>
              <w:pStyle w:val="12"/>
              <w:jc w:val="center"/>
            </w:pPr>
          </w:p>
        </w:tc>
        <w:tc>
          <w:tcPr>
            <w:tcW w:w="678" w:type="pct"/>
            <w:vAlign w:val="center"/>
          </w:tcPr>
          <w:p w14:paraId="79CA0AA3">
            <w:pPr>
              <w:pStyle w:val="12"/>
              <w:jc w:val="center"/>
            </w:pPr>
            <w:r>
              <w:rPr>
                <w:rFonts w:hint="eastAsia"/>
              </w:rPr>
              <w:t>戴  履</w:t>
            </w:r>
          </w:p>
        </w:tc>
        <w:tc>
          <w:tcPr>
            <w:tcW w:w="872" w:type="pct"/>
            <w:vAlign w:val="center"/>
          </w:tcPr>
          <w:p w14:paraId="7EB7B964">
            <w:pPr>
              <w:pStyle w:val="12"/>
              <w:jc w:val="center"/>
            </w:pPr>
            <w:r>
              <w:rPr>
                <w:rFonts w:hint="eastAsia"/>
              </w:rPr>
              <w:t>绍定乙丑</w:t>
            </w:r>
          </w:p>
        </w:tc>
        <w:tc>
          <w:tcPr>
            <w:tcW w:w="2810" w:type="pct"/>
            <w:vAlign w:val="center"/>
          </w:tcPr>
          <w:p w14:paraId="73C783DE">
            <w:pPr>
              <w:pStyle w:val="12"/>
              <w:jc w:val="left"/>
            </w:pPr>
            <w:r>
              <w:rPr>
                <w:rFonts w:hint="eastAsia"/>
              </w:rPr>
              <w:t>永州文学</w:t>
            </w:r>
          </w:p>
        </w:tc>
      </w:tr>
      <w:tr w14:paraId="2EAFCA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BDB58FA">
            <w:pPr>
              <w:pStyle w:val="12"/>
              <w:jc w:val="center"/>
            </w:pPr>
          </w:p>
        </w:tc>
        <w:tc>
          <w:tcPr>
            <w:tcW w:w="678" w:type="pct"/>
            <w:vAlign w:val="center"/>
          </w:tcPr>
          <w:p w14:paraId="02B95AB6">
            <w:pPr>
              <w:pStyle w:val="12"/>
              <w:jc w:val="center"/>
            </w:pPr>
            <w:r>
              <w:rPr>
                <w:rFonts w:hint="eastAsia"/>
              </w:rPr>
              <w:t>刘应龙</w:t>
            </w:r>
          </w:p>
        </w:tc>
        <w:tc>
          <w:tcPr>
            <w:tcW w:w="872" w:type="pct"/>
            <w:vAlign w:val="center"/>
          </w:tcPr>
          <w:p w14:paraId="7DE9BE77">
            <w:pPr>
              <w:pStyle w:val="12"/>
              <w:jc w:val="center"/>
            </w:pPr>
            <w:r>
              <w:rPr>
                <w:rFonts w:hint="eastAsia"/>
              </w:rPr>
              <w:t>绍定乙丑</w:t>
            </w:r>
          </w:p>
        </w:tc>
        <w:tc>
          <w:tcPr>
            <w:tcW w:w="2810" w:type="pct"/>
            <w:vAlign w:val="center"/>
          </w:tcPr>
          <w:p w14:paraId="764C4A0E">
            <w:pPr>
              <w:pStyle w:val="12"/>
              <w:jc w:val="left"/>
            </w:pPr>
          </w:p>
        </w:tc>
      </w:tr>
      <w:tr w14:paraId="1607F7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14771B37">
            <w:pPr>
              <w:pStyle w:val="12"/>
              <w:jc w:val="center"/>
            </w:pPr>
          </w:p>
        </w:tc>
        <w:tc>
          <w:tcPr>
            <w:tcW w:w="678" w:type="pct"/>
            <w:vAlign w:val="center"/>
          </w:tcPr>
          <w:p w14:paraId="02CF9D87">
            <w:pPr>
              <w:pStyle w:val="12"/>
              <w:jc w:val="center"/>
            </w:pPr>
            <w:r>
              <w:rPr>
                <w:rFonts w:hint="eastAsia"/>
              </w:rPr>
              <w:t>潭文蔚</w:t>
            </w:r>
          </w:p>
        </w:tc>
        <w:tc>
          <w:tcPr>
            <w:tcW w:w="872" w:type="pct"/>
            <w:vAlign w:val="center"/>
          </w:tcPr>
          <w:p w14:paraId="561FCD4C">
            <w:pPr>
              <w:pStyle w:val="12"/>
              <w:jc w:val="center"/>
            </w:pPr>
            <w:r>
              <w:rPr>
                <w:rFonts w:hint="eastAsia"/>
              </w:rPr>
              <w:t>绍定壬辰</w:t>
            </w:r>
          </w:p>
        </w:tc>
        <w:tc>
          <w:tcPr>
            <w:tcW w:w="2810" w:type="pct"/>
            <w:vAlign w:val="center"/>
          </w:tcPr>
          <w:p w14:paraId="5465BAE8">
            <w:pPr>
              <w:pStyle w:val="12"/>
              <w:jc w:val="left"/>
            </w:pPr>
            <w:r>
              <w:rPr>
                <w:rFonts w:hint="eastAsia"/>
              </w:rPr>
              <w:t>高州文学</w:t>
            </w:r>
          </w:p>
        </w:tc>
      </w:tr>
      <w:tr w14:paraId="4E5600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A7A7675">
            <w:pPr>
              <w:pStyle w:val="12"/>
              <w:jc w:val="center"/>
            </w:pPr>
          </w:p>
        </w:tc>
        <w:tc>
          <w:tcPr>
            <w:tcW w:w="678" w:type="pct"/>
            <w:vAlign w:val="center"/>
          </w:tcPr>
          <w:p w14:paraId="3C9A96C5">
            <w:pPr>
              <w:pStyle w:val="12"/>
              <w:jc w:val="center"/>
            </w:pPr>
            <w:r>
              <w:rPr>
                <w:rFonts w:hint="eastAsia"/>
              </w:rPr>
              <w:t>黄梦清</w:t>
            </w:r>
          </w:p>
        </w:tc>
        <w:tc>
          <w:tcPr>
            <w:tcW w:w="872" w:type="pct"/>
            <w:vAlign w:val="center"/>
          </w:tcPr>
          <w:p w14:paraId="00AB0A3E">
            <w:pPr>
              <w:pStyle w:val="12"/>
              <w:jc w:val="center"/>
            </w:pPr>
            <w:r>
              <w:rPr>
                <w:rFonts w:hint="eastAsia"/>
              </w:rPr>
              <w:t>端平乙未</w:t>
            </w:r>
          </w:p>
        </w:tc>
        <w:tc>
          <w:tcPr>
            <w:tcW w:w="2810" w:type="pct"/>
            <w:vAlign w:val="center"/>
          </w:tcPr>
          <w:p w14:paraId="25F1F4E6">
            <w:pPr>
              <w:pStyle w:val="12"/>
              <w:jc w:val="left"/>
            </w:pPr>
          </w:p>
        </w:tc>
      </w:tr>
      <w:tr w14:paraId="50BF51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EC98C36">
            <w:pPr>
              <w:pStyle w:val="12"/>
              <w:jc w:val="center"/>
            </w:pPr>
          </w:p>
        </w:tc>
        <w:tc>
          <w:tcPr>
            <w:tcW w:w="678" w:type="pct"/>
            <w:vAlign w:val="center"/>
          </w:tcPr>
          <w:p w14:paraId="4725DE35">
            <w:pPr>
              <w:pStyle w:val="12"/>
              <w:jc w:val="center"/>
            </w:pPr>
            <w:r>
              <w:rPr>
                <w:rFonts w:hint="eastAsia"/>
              </w:rPr>
              <w:t>陈国计</w:t>
            </w:r>
          </w:p>
        </w:tc>
        <w:tc>
          <w:tcPr>
            <w:tcW w:w="872" w:type="pct"/>
            <w:vAlign w:val="center"/>
          </w:tcPr>
          <w:p w14:paraId="70775FC4">
            <w:pPr>
              <w:pStyle w:val="12"/>
              <w:jc w:val="center"/>
            </w:pPr>
            <w:r>
              <w:rPr>
                <w:rFonts w:hint="eastAsia"/>
              </w:rPr>
              <w:t>端平乙未</w:t>
            </w:r>
          </w:p>
        </w:tc>
        <w:tc>
          <w:tcPr>
            <w:tcW w:w="2810" w:type="pct"/>
            <w:vAlign w:val="center"/>
          </w:tcPr>
          <w:p w14:paraId="5812691A">
            <w:pPr>
              <w:pStyle w:val="12"/>
              <w:jc w:val="left"/>
            </w:pPr>
          </w:p>
        </w:tc>
      </w:tr>
      <w:tr w14:paraId="2C7F02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EE17C92">
            <w:pPr>
              <w:pStyle w:val="12"/>
              <w:jc w:val="center"/>
            </w:pPr>
          </w:p>
        </w:tc>
        <w:tc>
          <w:tcPr>
            <w:tcW w:w="678" w:type="pct"/>
            <w:vAlign w:val="center"/>
          </w:tcPr>
          <w:p w14:paraId="1FFD348E">
            <w:pPr>
              <w:pStyle w:val="12"/>
              <w:jc w:val="center"/>
            </w:pPr>
            <w:r>
              <w:rPr>
                <w:rFonts w:hint="eastAsia"/>
              </w:rPr>
              <w:t>钟振名</w:t>
            </w:r>
          </w:p>
        </w:tc>
        <w:tc>
          <w:tcPr>
            <w:tcW w:w="872" w:type="pct"/>
            <w:vAlign w:val="center"/>
          </w:tcPr>
          <w:p w14:paraId="7F920B13">
            <w:pPr>
              <w:pStyle w:val="12"/>
              <w:jc w:val="center"/>
            </w:pPr>
            <w:r>
              <w:rPr>
                <w:rFonts w:hint="eastAsia"/>
              </w:rPr>
              <w:t>端平乙未</w:t>
            </w:r>
          </w:p>
        </w:tc>
        <w:tc>
          <w:tcPr>
            <w:tcW w:w="2810" w:type="pct"/>
            <w:vAlign w:val="center"/>
          </w:tcPr>
          <w:p w14:paraId="0A7151D7">
            <w:pPr>
              <w:pStyle w:val="12"/>
              <w:jc w:val="left"/>
            </w:pPr>
            <w:r>
              <w:rPr>
                <w:rFonts w:hint="eastAsia"/>
              </w:rPr>
              <w:t>吉州文学</w:t>
            </w:r>
          </w:p>
        </w:tc>
      </w:tr>
      <w:tr w14:paraId="1F89FC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52F1DA5">
            <w:pPr>
              <w:pStyle w:val="12"/>
              <w:jc w:val="center"/>
            </w:pPr>
          </w:p>
        </w:tc>
        <w:tc>
          <w:tcPr>
            <w:tcW w:w="678" w:type="pct"/>
            <w:vAlign w:val="center"/>
          </w:tcPr>
          <w:p w14:paraId="45BE18F4">
            <w:pPr>
              <w:pStyle w:val="12"/>
              <w:jc w:val="center"/>
            </w:pPr>
            <w:r>
              <w:rPr>
                <w:rFonts w:hint="eastAsia"/>
              </w:rPr>
              <w:t>叶正卿</w:t>
            </w:r>
          </w:p>
        </w:tc>
        <w:tc>
          <w:tcPr>
            <w:tcW w:w="872" w:type="pct"/>
            <w:vAlign w:val="center"/>
          </w:tcPr>
          <w:p w14:paraId="6B8698EE">
            <w:pPr>
              <w:pStyle w:val="12"/>
              <w:jc w:val="center"/>
            </w:pPr>
            <w:r>
              <w:rPr>
                <w:rFonts w:hint="eastAsia"/>
              </w:rPr>
              <w:t>嘉熙戊戌</w:t>
            </w:r>
          </w:p>
        </w:tc>
        <w:tc>
          <w:tcPr>
            <w:tcW w:w="2810" w:type="pct"/>
            <w:vAlign w:val="center"/>
          </w:tcPr>
          <w:p w14:paraId="16AE3869">
            <w:pPr>
              <w:pStyle w:val="12"/>
              <w:jc w:val="left"/>
            </w:pPr>
            <w:r>
              <w:rPr>
                <w:rFonts w:hint="eastAsia"/>
              </w:rPr>
              <w:t>靖州文学</w:t>
            </w:r>
          </w:p>
        </w:tc>
      </w:tr>
      <w:tr w14:paraId="2726B1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0BEBBEF">
            <w:pPr>
              <w:pStyle w:val="12"/>
              <w:jc w:val="center"/>
            </w:pPr>
          </w:p>
        </w:tc>
        <w:tc>
          <w:tcPr>
            <w:tcW w:w="678" w:type="pct"/>
            <w:vAlign w:val="center"/>
          </w:tcPr>
          <w:p w14:paraId="11755BB3">
            <w:pPr>
              <w:pStyle w:val="12"/>
              <w:jc w:val="center"/>
            </w:pPr>
            <w:r>
              <w:rPr>
                <w:rFonts w:hint="eastAsia"/>
              </w:rPr>
              <w:t>陈德英</w:t>
            </w:r>
          </w:p>
        </w:tc>
        <w:tc>
          <w:tcPr>
            <w:tcW w:w="872" w:type="pct"/>
            <w:vAlign w:val="center"/>
          </w:tcPr>
          <w:p w14:paraId="35489872">
            <w:pPr>
              <w:pStyle w:val="12"/>
              <w:jc w:val="center"/>
            </w:pPr>
            <w:r>
              <w:rPr>
                <w:rFonts w:hint="eastAsia"/>
              </w:rPr>
              <w:t>淳祐辛丑</w:t>
            </w:r>
          </w:p>
        </w:tc>
        <w:tc>
          <w:tcPr>
            <w:tcW w:w="2810" w:type="pct"/>
            <w:vAlign w:val="center"/>
          </w:tcPr>
          <w:p w14:paraId="405FA3C2">
            <w:pPr>
              <w:pStyle w:val="12"/>
              <w:jc w:val="left"/>
            </w:pPr>
          </w:p>
        </w:tc>
      </w:tr>
      <w:tr w14:paraId="343A91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41EAFC3">
            <w:pPr>
              <w:pStyle w:val="12"/>
              <w:jc w:val="center"/>
            </w:pPr>
          </w:p>
        </w:tc>
        <w:tc>
          <w:tcPr>
            <w:tcW w:w="678" w:type="pct"/>
            <w:vAlign w:val="center"/>
          </w:tcPr>
          <w:p w14:paraId="3350B11D">
            <w:pPr>
              <w:pStyle w:val="12"/>
              <w:jc w:val="center"/>
            </w:pPr>
            <w:r>
              <w:rPr>
                <w:rFonts w:hint="eastAsia"/>
              </w:rPr>
              <w:t>刘登父</w:t>
            </w:r>
          </w:p>
        </w:tc>
        <w:tc>
          <w:tcPr>
            <w:tcW w:w="872" w:type="pct"/>
            <w:vAlign w:val="center"/>
          </w:tcPr>
          <w:p w14:paraId="79263054">
            <w:pPr>
              <w:pStyle w:val="12"/>
              <w:jc w:val="center"/>
            </w:pPr>
            <w:r>
              <w:rPr>
                <w:rFonts w:hint="eastAsia"/>
              </w:rPr>
              <w:t>淳祐甲辰</w:t>
            </w:r>
          </w:p>
        </w:tc>
        <w:tc>
          <w:tcPr>
            <w:tcW w:w="2810" w:type="pct"/>
            <w:vAlign w:val="center"/>
          </w:tcPr>
          <w:p w14:paraId="307DC9CE">
            <w:pPr>
              <w:pStyle w:val="12"/>
              <w:jc w:val="left"/>
            </w:pPr>
          </w:p>
        </w:tc>
      </w:tr>
      <w:tr w14:paraId="083577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41E92AF">
            <w:pPr>
              <w:pStyle w:val="12"/>
              <w:jc w:val="center"/>
            </w:pPr>
          </w:p>
        </w:tc>
        <w:tc>
          <w:tcPr>
            <w:tcW w:w="678" w:type="pct"/>
            <w:vAlign w:val="center"/>
          </w:tcPr>
          <w:p w14:paraId="70F9AAD2">
            <w:pPr>
              <w:pStyle w:val="12"/>
              <w:jc w:val="center"/>
            </w:pPr>
            <w:r>
              <w:rPr>
                <w:rFonts w:hint="eastAsia"/>
              </w:rPr>
              <w:t>李应明</w:t>
            </w:r>
          </w:p>
        </w:tc>
        <w:tc>
          <w:tcPr>
            <w:tcW w:w="872" w:type="pct"/>
            <w:vAlign w:val="center"/>
          </w:tcPr>
          <w:p w14:paraId="725D7E96">
            <w:pPr>
              <w:pStyle w:val="12"/>
              <w:jc w:val="center"/>
            </w:pPr>
            <w:r>
              <w:rPr>
                <w:rFonts w:hint="eastAsia"/>
              </w:rPr>
              <w:t>淳祐甲辰</w:t>
            </w:r>
          </w:p>
        </w:tc>
        <w:tc>
          <w:tcPr>
            <w:tcW w:w="2810" w:type="pct"/>
            <w:vAlign w:val="center"/>
          </w:tcPr>
          <w:p w14:paraId="417D69DB">
            <w:pPr>
              <w:pStyle w:val="12"/>
              <w:jc w:val="left"/>
            </w:pPr>
            <w:r>
              <w:rPr>
                <w:rFonts w:hint="eastAsia"/>
              </w:rPr>
              <w:t>韶州文学</w:t>
            </w:r>
          </w:p>
        </w:tc>
      </w:tr>
      <w:tr w14:paraId="4BF564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395D413">
            <w:pPr>
              <w:pStyle w:val="12"/>
              <w:jc w:val="center"/>
            </w:pPr>
          </w:p>
        </w:tc>
        <w:tc>
          <w:tcPr>
            <w:tcW w:w="678" w:type="pct"/>
            <w:vAlign w:val="center"/>
          </w:tcPr>
          <w:p w14:paraId="0D036405">
            <w:pPr>
              <w:pStyle w:val="12"/>
              <w:jc w:val="center"/>
            </w:pPr>
            <w:r>
              <w:rPr>
                <w:rFonts w:hint="eastAsia"/>
              </w:rPr>
              <w:t>戴尧龙</w:t>
            </w:r>
          </w:p>
        </w:tc>
        <w:tc>
          <w:tcPr>
            <w:tcW w:w="872" w:type="pct"/>
            <w:vAlign w:val="center"/>
          </w:tcPr>
          <w:p w14:paraId="2E71342F">
            <w:pPr>
              <w:pStyle w:val="12"/>
              <w:jc w:val="center"/>
            </w:pPr>
            <w:r>
              <w:rPr>
                <w:rFonts w:hint="eastAsia"/>
              </w:rPr>
              <w:t>淳祐甲辰</w:t>
            </w:r>
          </w:p>
        </w:tc>
        <w:tc>
          <w:tcPr>
            <w:tcW w:w="2810" w:type="pct"/>
            <w:vAlign w:val="center"/>
          </w:tcPr>
          <w:p w14:paraId="07143A31">
            <w:pPr>
              <w:pStyle w:val="12"/>
              <w:jc w:val="left"/>
            </w:pPr>
            <w:r>
              <w:rPr>
                <w:rFonts w:hint="eastAsia"/>
              </w:rPr>
              <w:t>衡州文学</w:t>
            </w:r>
          </w:p>
        </w:tc>
      </w:tr>
      <w:tr w14:paraId="70A15B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BD5FF62">
            <w:pPr>
              <w:pStyle w:val="12"/>
              <w:jc w:val="center"/>
            </w:pPr>
          </w:p>
        </w:tc>
        <w:tc>
          <w:tcPr>
            <w:tcW w:w="678" w:type="pct"/>
            <w:vAlign w:val="center"/>
          </w:tcPr>
          <w:p w14:paraId="3EF5F786">
            <w:pPr>
              <w:pStyle w:val="12"/>
              <w:jc w:val="center"/>
            </w:pPr>
            <w:r>
              <w:rPr>
                <w:rFonts w:hint="eastAsia"/>
              </w:rPr>
              <w:t>萧靖夫</w:t>
            </w:r>
          </w:p>
        </w:tc>
        <w:tc>
          <w:tcPr>
            <w:tcW w:w="872" w:type="pct"/>
            <w:vAlign w:val="center"/>
          </w:tcPr>
          <w:p w14:paraId="5377959A">
            <w:pPr>
              <w:pStyle w:val="12"/>
              <w:jc w:val="center"/>
            </w:pPr>
            <w:r>
              <w:rPr>
                <w:rFonts w:hint="eastAsia"/>
              </w:rPr>
              <w:t>淳祐甲辰</w:t>
            </w:r>
          </w:p>
        </w:tc>
        <w:tc>
          <w:tcPr>
            <w:tcW w:w="2810" w:type="pct"/>
            <w:vAlign w:val="center"/>
          </w:tcPr>
          <w:p w14:paraId="101AE98A">
            <w:pPr>
              <w:pStyle w:val="12"/>
              <w:jc w:val="left"/>
            </w:pPr>
            <w:r>
              <w:rPr>
                <w:rFonts w:hint="eastAsia"/>
              </w:rPr>
              <w:t>衢州文学</w:t>
            </w:r>
          </w:p>
        </w:tc>
      </w:tr>
      <w:tr w14:paraId="62DF86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12185FB">
            <w:pPr>
              <w:pStyle w:val="12"/>
              <w:jc w:val="center"/>
            </w:pPr>
          </w:p>
        </w:tc>
        <w:tc>
          <w:tcPr>
            <w:tcW w:w="678" w:type="pct"/>
            <w:vAlign w:val="center"/>
          </w:tcPr>
          <w:p w14:paraId="3D1BD9F8">
            <w:pPr>
              <w:pStyle w:val="12"/>
              <w:jc w:val="center"/>
            </w:pPr>
            <w:r>
              <w:rPr>
                <w:rFonts w:hint="eastAsia"/>
              </w:rPr>
              <w:t>蒋日卿</w:t>
            </w:r>
          </w:p>
        </w:tc>
        <w:tc>
          <w:tcPr>
            <w:tcW w:w="872" w:type="pct"/>
            <w:vAlign w:val="center"/>
          </w:tcPr>
          <w:p w14:paraId="19823F6F">
            <w:pPr>
              <w:pStyle w:val="12"/>
              <w:jc w:val="center"/>
            </w:pPr>
            <w:r>
              <w:rPr>
                <w:rFonts w:hint="eastAsia"/>
              </w:rPr>
              <w:t>淳祐丁未</w:t>
            </w:r>
          </w:p>
        </w:tc>
        <w:tc>
          <w:tcPr>
            <w:tcW w:w="2810" w:type="pct"/>
            <w:vAlign w:val="center"/>
          </w:tcPr>
          <w:p w14:paraId="1AF952AB">
            <w:pPr>
              <w:pStyle w:val="12"/>
              <w:jc w:val="left"/>
            </w:pPr>
            <w:r>
              <w:rPr>
                <w:rFonts w:hint="eastAsia"/>
              </w:rPr>
              <w:t>贵州文学</w:t>
            </w:r>
          </w:p>
        </w:tc>
      </w:tr>
      <w:tr w14:paraId="004AFD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9B20263">
            <w:pPr>
              <w:pStyle w:val="12"/>
              <w:jc w:val="center"/>
            </w:pPr>
          </w:p>
        </w:tc>
        <w:tc>
          <w:tcPr>
            <w:tcW w:w="678" w:type="pct"/>
            <w:vAlign w:val="center"/>
          </w:tcPr>
          <w:p w14:paraId="46801283">
            <w:pPr>
              <w:pStyle w:val="12"/>
              <w:jc w:val="center"/>
            </w:pPr>
            <w:r>
              <w:rPr>
                <w:rFonts w:hint="eastAsia"/>
              </w:rPr>
              <w:t>李子渊</w:t>
            </w:r>
          </w:p>
        </w:tc>
        <w:tc>
          <w:tcPr>
            <w:tcW w:w="872" w:type="pct"/>
            <w:vAlign w:val="center"/>
          </w:tcPr>
          <w:p w14:paraId="76FA14E2">
            <w:pPr>
              <w:pStyle w:val="12"/>
              <w:jc w:val="center"/>
            </w:pPr>
            <w:r>
              <w:rPr>
                <w:rFonts w:hint="eastAsia"/>
              </w:rPr>
              <w:t>淳祐丁未</w:t>
            </w:r>
          </w:p>
        </w:tc>
        <w:tc>
          <w:tcPr>
            <w:tcW w:w="2810" w:type="pct"/>
            <w:vAlign w:val="center"/>
          </w:tcPr>
          <w:p w14:paraId="5791225F">
            <w:pPr>
              <w:pStyle w:val="12"/>
              <w:jc w:val="left"/>
            </w:pPr>
          </w:p>
        </w:tc>
      </w:tr>
      <w:tr w14:paraId="781272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60DA049">
            <w:pPr>
              <w:pStyle w:val="12"/>
              <w:jc w:val="center"/>
            </w:pPr>
          </w:p>
        </w:tc>
        <w:tc>
          <w:tcPr>
            <w:tcW w:w="678" w:type="pct"/>
            <w:vAlign w:val="center"/>
          </w:tcPr>
          <w:p w14:paraId="42377EEA">
            <w:pPr>
              <w:pStyle w:val="12"/>
              <w:jc w:val="center"/>
            </w:pPr>
            <w:r>
              <w:rPr>
                <w:rFonts w:hint="eastAsia"/>
              </w:rPr>
              <w:t>吴虎臣</w:t>
            </w:r>
          </w:p>
        </w:tc>
        <w:tc>
          <w:tcPr>
            <w:tcW w:w="872" w:type="pct"/>
            <w:vAlign w:val="center"/>
          </w:tcPr>
          <w:p w14:paraId="43C6AF55">
            <w:pPr>
              <w:pStyle w:val="12"/>
              <w:jc w:val="center"/>
            </w:pPr>
            <w:r>
              <w:rPr>
                <w:rFonts w:hint="eastAsia"/>
              </w:rPr>
              <w:t>淳祐庚戌</w:t>
            </w:r>
          </w:p>
        </w:tc>
        <w:tc>
          <w:tcPr>
            <w:tcW w:w="2810" w:type="pct"/>
            <w:vAlign w:val="center"/>
          </w:tcPr>
          <w:p w14:paraId="1658BB7D">
            <w:pPr>
              <w:pStyle w:val="12"/>
              <w:jc w:val="left"/>
            </w:pPr>
            <w:r>
              <w:rPr>
                <w:rFonts w:hint="eastAsia"/>
              </w:rPr>
              <w:t>容州文学</w:t>
            </w:r>
          </w:p>
        </w:tc>
      </w:tr>
      <w:tr w14:paraId="316D85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D93B0B9">
            <w:pPr>
              <w:pStyle w:val="12"/>
              <w:jc w:val="center"/>
            </w:pPr>
          </w:p>
        </w:tc>
        <w:tc>
          <w:tcPr>
            <w:tcW w:w="678" w:type="pct"/>
            <w:vAlign w:val="center"/>
          </w:tcPr>
          <w:p w14:paraId="2C1026D7">
            <w:pPr>
              <w:pStyle w:val="12"/>
              <w:jc w:val="center"/>
            </w:pPr>
            <w:r>
              <w:rPr>
                <w:rFonts w:hint="eastAsia"/>
              </w:rPr>
              <w:t>邓拱辰</w:t>
            </w:r>
          </w:p>
        </w:tc>
        <w:tc>
          <w:tcPr>
            <w:tcW w:w="872" w:type="pct"/>
            <w:vAlign w:val="center"/>
          </w:tcPr>
          <w:p w14:paraId="15F7A912">
            <w:pPr>
              <w:pStyle w:val="12"/>
              <w:jc w:val="center"/>
            </w:pPr>
            <w:r>
              <w:rPr>
                <w:rFonts w:hint="eastAsia"/>
              </w:rPr>
              <w:t>宝祐癸丑</w:t>
            </w:r>
          </w:p>
        </w:tc>
        <w:tc>
          <w:tcPr>
            <w:tcW w:w="2810" w:type="pct"/>
            <w:vAlign w:val="center"/>
          </w:tcPr>
          <w:p w14:paraId="3733AE8B">
            <w:pPr>
              <w:pStyle w:val="12"/>
              <w:jc w:val="left"/>
            </w:pPr>
          </w:p>
        </w:tc>
      </w:tr>
      <w:tr w14:paraId="236752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8F934A0">
            <w:pPr>
              <w:pStyle w:val="12"/>
              <w:jc w:val="center"/>
            </w:pPr>
          </w:p>
        </w:tc>
        <w:tc>
          <w:tcPr>
            <w:tcW w:w="678" w:type="pct"/>
            <w:vAlign w:val="center"/>
          </w:tcPr>
          <w:p w14:paraId="25F4E7FE">
            <w:pPr>
              <w:pStyle w:val="12"/>
              <w:jc w:val="center"/>
            </w:pPr>
            <w:r>
              <w:rPr>
                <w:rFonts w:hint="eastAsia"/>
              </w:rPr>
              <w:t>郭大信</w:t>
            </w:r>
          </w:p>
        </w:tc>
        <w:tc>
          <w:tcPr>
            <w:tcW w:w="872" w:type="pct"/>
            <w:vAlign w:val="center"/>
          </w:tcPr>
          <w:p w14:paraId="73457C8B">
            <w:pPr>
              <w:pStyle w:val="12"/>
              <w:jc w:val="center"/>
            </w:pPr>
            <w:r>
              <w:rPr>
                <w:rFonts w:hint="eastAsia"/>
              </w:rPr>
              <w:t>宝祐癸丑</w:t>
            </w:r>
          </w:p>
        </w:tc>
        <w:tc>
          <w:tcPr>
            <w:tcW w:w="2810" w:type="pct"/>
            <w:vAlign w:val="center"/>
          </w:tcPr>
          <w:p w14:paraId="2740B38A">
            <w:pPr>
              <w:pStyle w:val="12"/>
              <w:jc w:val="left"/>
            </w:pPr>
          </w:p>
        </w:tc>
      </w:tr>
      <w:tr w14:paraId="518873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FFB6616">
            <w:pPr>
              <w:pStyle w:val="12"/>
              <w:jc w:val="center"/>
            </w:pPr>
          </w:p>
        </w:tc>
        <w:tc>
          <w:tcPr>
            <w:tcW w:w="678" w:type="pct"/>
            <w:vAlign w:val="center"/>
          </w:tcPr>
          <w:p w14:paraId="09B6B5A9">
            <w:pPr>
              <w:pStyle w:val="12"/>
              <w:jc w:val="center"/>
            </w:pPr>
            <w:r>
              <w:rPr>
                <w:rFonts w:hint="eastAsia"/>
              </w:rPr>
              <w:t>张  赓</w:t>
            </w:r>
          </w:p>
        </w:tc>
        <w:tc>
          <w:tcPr>
            <w:tcW w:w="872" w:type="pct"/>
            <w:vAlign w:val="center"/>
          </w:tcPr>
          <w:p w14:paraId="0D7A5A2D">
            <w:pPr>
              <w:pStyle w:val="12"/>
              <w:jc w:val="center"/>
            </w:pPr>
            <w:r>
              <w:rPr>
                <w:rFonts w:hint="eastAsia"/>
              </w:rPr>
              <w:t>宝祐癸丑</w:t>
            </w:r>
          </w:p>
        </w:tc>
        <w:tc>
          <w:tcPr>
            <w:tcW w:w="2810" w:type="pct"/>
            <w:vAlign w:val="center"/>
          </w:tcPr>
          <w:p w14:paraId="5A5688AF">
            <w:pPr>
              <w:pStyle w:val="12"/>
              <w:jc w:val="left"/>
            </w:pPr>
          </w:p>
        </w:tc>
      </w:tr>
      <w:tr w14:paraId="2B9ECA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411DA29">
            <w:pPr>
              <w:pStyle w:val="12"/>
              <w:jc w:val="center"/>
            </w:pPr>
          </w:p>
        </w:tc>
        <w:tc>
          <w:tcPr>
            <w:tcW w:w="678" w:type="pct"/>
            <w:vAlign w:val="center"/>
          </w:tcPr>
          <w:p w14:paraId="1D87A3DF">
            <w:pPr>
              <w:pStyle w:val="12"/>
              <w:jc w:val="center"/>
            </w:pPr>
            <w:r>
              <w:rPr>
                <w:rFonts w:hint="eastAsia"/>
              </w:rPr>
              <w:t>谭应雷</w:t>
            </w:r>
          </w:p>
        </w:tc>
        <w:tc>
          <w:tcPr>
            <w:tcW w:w="872" w:type="pct"/>
            <w:vAlign w:val="center"/>
          </w:tcPr>
          <w:p w14:paraId="1441C1E0">
            <w:pPr>
              <w:pStyle w:val="12"/>
              <w:jc w:val="center"/>
            </w:pPr>
            <w:r>
              <w:rPr>
                <w:rFonts w:hint="eastAsia"/>
              </w:rPr>
              <w:t>宝祐丙辰</w:t>
            </w:r>
          </w:p>
        </w:tc>
        <w:tc>
          <w:tcPr>
            <w:tcW w:w="2810" w:type="pct"/>
            <w:vAlign w:val="center"/>
          </w:tcPr>
          <w:p w14:paraId="0EEEE7B5">
            <w:pPr>
              <w:pStyle w:val="12"/>
              <w:jc w:val="left"/>
            </w:pPr>
          </w:p>
        </w:tc>
      </w:tr>
      <w:tr w14:paraId="1749A0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6B8CC13">
            <w:pPr>
              <w:pStyle w:val="12"/>
              <w:jc w:val="center"/>
            </w:pPr>
          </w:p>
        </w:tc>
        <w:tc>
          <w:tcPr>
            <w:tcW w:w="678" w:type="pct"/>
            <w:vAlign w:val="center"/>
          </w:tcPr>
          <w:p w14:paraId="4A6C4181">
            <w:pPr>
              <w:pStyle w:val="12"/>
              <w:jc w:val="center"/>
            </w:pPr>
            <w:r>
              <w:rPr>
                <w:rFonts w:hint="eastAsia"/>
              </w:rPr>
              <w:t>陈良策</w:t>
            </w:r>
          </w:p>
        </w:tc>
        <w:tc>
          <w:tcPr>
            <w:tcW w:w="872" w:type="pct"/>
            <w:vAlign w:val="center"/>
          </w:tcPr>
          <w:p w14:paraId="478F64BC">
            <w:pPr>
              <w:pStyle w:val="12"/>
              <w:jc w:val="center"/>
            </w:pPr>
            <w:r>
              <w:rPr>
                <w:rFonts w:hint="eastAsia"/>
              </w:rPr>
              <w:t>宝祐丙辰</w:t>
            </w:r>
          </w:p>
        </w:tc>
        <w:tc>
          <w:tcPr>
            <w:tcW w:w="2810" w:type="pct"/>
            <w:vAlign w:val="center"/>
          </w:tcPr>
          <w:p w14:paraId="751FA189">
            <w:pPr>
              <w:pStyle w:val="12"/>
              <w:jc w:val="left"/>
            </w:pPr>
            <w:r>
              <w:rPr>
                <w:rFonts w:hint="eastAsia"/>
              </w:rPr>
              <w:t>泷水县尉</w:t>
            </w:r>
          </w:p>
        </w:tc>
      </w:tr>
      <w:tr w14:paraId="58758A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389826A">
            <w:pPr>
              <w:pStyle w:val="12"/>
              <w:jc w:val="center"/>
            </w:pPr>
          </w:p>
        </w:tc>
        <w:tc>
          <w:tcPr>
            <w:tcW w:w="678" w:type="pct"/>
            <w:vAlign w:val="center"/>
          </w:tcPr>
          <w:p w14:paraId="34A2963D">
            <w:pPr>
              <w:pStyle w:val="12"/>
              <w:jc w:val="center"/>
            </w:pPr>
            <w:r>
              <w:rPr>
                <w:rFonts w:hint="eastAsia"/>
              </w:rPr>
              <w:t>萧光大</w:t>
            </w:r>
          </w:p>
        </w:tc>
        <w:tc>
          <w:tcPr>
            <w:tcW w:w="872" w:type="pct"/>
            <w:vAlign w:val="center"/>
          </w:tcPr>
          <w:p w14:paraId="19D65947">
            <w:pPr>
              <w:pStyle w:val="12"/>
              <w:jc w:val="center"/>
            </w:pPr>
            <w:r>
              <w:rPr>
                <w:rFonts w:hint="eastAsia"/>
              </w:rPr>
              <w:t>宝祐丙辰</w:t>
            </w:r>
          </w:p>
        </w:tc>
        <w:tc>
          <w:tcPr>
            <w:tcW w:w="2810" w:type="pct"/>
            <w:vAlign w:val="center"/>
          </w:tcPr>
          <w:p w14:paraId="41034D12">
            <w:pPr>
              <w:pStyle w:val="12"/>
              <w:jc w:val="left"/>
            </w:pPr>
            <w:r>
              <w:rPr>
                <w:rFonts w:hint="eastAsia"/>
              </w:rPr>
              <w:t>翁源文学</w:t>
            </w:r>
          </w:p>
        </w:tc>
      </w:tr>
      <w:tr w14:paraId="6C5043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167233A">
            <w:pPr>
              <w:pStyle w:val="12"/>
              <w:jc w:val="center"/>
            </w:pPr>
          </w:p>
        </w:tc>
        <w:tc>
          <w:tcPr>
            <w:tcW w:w="678" w:type="pct"/>
            <w:vAlign w:val="center"/>
          </w:tcPr>
          <w:p w14:paraId="68D5D227">
            <w:pPr>
              <w:pStyle w:val="12"/>
              <w:jc w:val="center"/>
            </w:pPr>
            <w:r>
              <w:rPr>
                <w:rFonts w:hint="eastAsia"/>
              </w:rPr>
              <w:t>朱挺直</w:t>
            </w:r>
          </w:p>
        </w:tc>
        <w:tc>
          <w:tcPr>
            <w:tcW w:w="872" w:type="pct"/>
            <w:vAlign w:val="center"/>
          </w:tcPr>
          <w:p w14:paraId="56B1E2AE">
            <w:pPr>
              <w:pStyle w:val="12"/>
              <w:jc w:val="center"/>
            </w:pPr>
            <w:r>
              <w:rPr>
                <w:rFonts w:hint="eastAsia"/>
              </w:rPr>
              <w:t>宝祐丙辰</w:t>
            </w:r>
          </w:p>
        </w:tc>
        <w:tc>
          <w:tcPr>
            <w:tcW w:w="2810" w:type="pct"/>
            <w:vAlign w:val="center"/>
          </w:tcPr>
          <w:p w14:paraId="13BC96F0">
            <w:pPr>
              <w:pStyle w:val="12"/>
              <w:jc w:val="left"/>
            </w:pPr>
            <w:r>
              <w:rPr>
                <w:rFonts w:hint="eastAsia"/>
              </w:rPr>
              <w:t>思州文学</w:t>
            </w:r>
          </w:p>
        </w:tc>
      </w:tr>
      <w:tr w14:paraId="3DE39E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D08162C">
            <w:pPr>
              <w:pStyle w:val="12"/>
              <w:jc w:val="center"/>
            </w:pPr>
          </w:p>
        </w:tc>
        <w:tc>
          <w:tcPr>
            <w:tcW w:w="678" w:type="pct"/>
            <w:vAlign w:val="center"/>
          </w:tcPr>
          <w:p w14:paraId="335947BC">
            <w:pPr>
              <w:pStyle w:val="12"/>
              <w:jc w:val="center"/>
            </w:pPr>
            <w:r>
              <w:rPr>
                <w:rFonts w:hint="eastAsia"/>
              </w:rPr>
              <w:t>李朝用</w:t>
            </w:r>
          </w:p>
        </w:tc>
        <w:tc>
          <w:tcPr>
            <w:tcW w:w="872" w:type="pct"/>
            <w:vAlign w:val="center"/>
          </w:tcPr>
          <w:p w14:paraId="456AB483">
            <w:pPr>
              <w:pStyle w:val="12"/>
              <w:jc w:val="center"/>
            </w:pPr>
            <w:r>
              <w:rPr>
                <w:rFonts w:hint="eastAsia"/>
              </w:rPr>
              <w:t>咸淳乙丑</w:t>
            </w:r>
          </w:p>
        </w:tc>
        <w:tc>
          <w:tcPr>
            <w:tcW w:w="2810" w:type="pct"/>
            <w:vAlign w:val="center"/>
          </w:tcPr>
          <w:p w14:paraId="6BC0420E">
            <w:pPr>
              <w:pStyle w:val="12"/>
              <w:jc w:val="left"/>
            </w:pPr>
          </w:p>
        </w:tc>
      </w:tr>
      <w:tr w14:paraId="6BEB18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1393E32">
            <w:pPr>
              <w:pStyle w:val="12"/>
              <w:jc w:val="center"/>
            </w:pPr>
          </w:p>
        </w:tc>
        <w:tc>
          <w:tcPr>
            <w:tcW w:w="678" w:type="pct"/>
            <w:vAlign w:val="center"/>
          </w:tcPr>
          <w:p w14:paraId="28E28E61">
            <w:pPr>
              <w:pStyle w:val="12"/>
              <w:jc w:val="center"/>
            </w:pPr>
            <w:r>
              <w:rPr>
                <w:rFonts w:hint="eastAsia"/>
              </w:rPr>
              <w:t>邱自明</w:t>
            </w:r>
          </w:p>
        </w:tc>
        <w:tc>
          <w:tcPr>
            <w:tcW w:w="872" w:type="pct"/>
            <w:vAlign w:val="center"/>
          </w:tcPr>
          <w:p w14:paraId="00F8FE51">
            <w:pPr>
              <w:pStyle w:val="12"/>
              <w:jc w:val="center"/>
            </w:pPr>
            <w:r>
              <w:rPr>
                <w:rFonts w:hint="eastAsia"/>
              </w:rPr>
              <w:t>咸淳乙丑</w:t>
            </w:r>
          </w:p>
        </w:tc>
        <w:tc>
          <w:tcPr>
            <w:tcW w:w="2810" w:type="pct"/>
            <w:vAlign w:val="center"/>
          </w:tcPr>
          <w:p w14:paraId="7F198B61">
            <w:pPr>
              <w:pStyle w:val="12"/>
              <w:jc w:val="left"/>
            </w:pPr>
            <w:r>
              <w:rPr>
                <w:rFonts w:hint="eastAsia"/>
              </w:rPr>
              <w:t>容州文学</w:t>
            </w:r>
          </w:p>
        </w:tc>
      </w:tr>
      <w:tr w14:paraId="598CE5D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941F0B2">
            <w:pPr>
              <w:pStyle w:val="12"/>
              <w:jc w:val="center"/>
            </w:pPr>
          </w:p>
        </w:tc>
        <w:tc>
          <w:tcPr>
            <w:tcW w:w="678" w:type="pct"/>
            <w:vAlign w:val="center"/>
          </w:tcPr>
          <w:p w14:paraId="39838C22">
            <w:pPr>
              <w:pStyle w:val="12"/>
              <w:jc w:val="center"/>
            </w:pPr>
            <w:r>
              <w:rPr>
                <w:rFonts w:hint="eastAsia"/>
              </w:rPr>
              <w:t>萧应龙</w:t>
            </w:r>
          </w:p>
        </w:tc>
        <w:tc>
          <w:tcPr>
            <w:tcW w:w="872" w:type="pct"/>
            <w:vAlign w:val="center"/>
          </w:tcPr>
          <w:p w14:paraId="09B0F189">
            <w:pPr>
              <w:pStyle w:val="12"/>
              <w:jc w:val="center"/>
            </w:pPr>
            <w:r>
              <w:rPr>
                <w:rFonts w:hint="eastAsia"/>
              </w:rPr>
              <w:t>咸淳乙丑</w:t>
            </w:r>
          </w:p>
        </w:tc>
        <w:tc>
          <w:tcPr>
            <w:tcW w:w="2810" w:type="pct"/>
            <w:vAlign w:val="center"/>
          </w:tcPr>
          <w:p w14:paraId="070E64B9">
            <w:pPr>
              <w:pStyle w:val="12"/>
              <w:jc w:val="left"/>
            </w:pPr>
            <w:r>
              <w:rPr>
                <w:rFonts w:hint="eastAsia"/>
              </w:rPr>
              <w:t>香山主簿</w:t>
            </w:r>
          </w:p>
        </w:tc>
      </w:tr>
      <w:tr w14:paraId="04CC03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restart"/>
            <w:vAlign w:val="center"/>
          </w:tcPr>
          <w:p w14:paraId="2C2B2C78">
            <w:pPr>
              <w:pStyle w:val="12"/>
              <w:jc w:val="center"/>
            </w:pPr>
            <w:r>
              <w:rPr>
                <w:rFonts w:hint="eastAsia"/>
              </w:rPr>
              <w:t>辟  举</w:t>
            </w:r>
          </w:p>
        </w:tc>
        <w:tc>
          <w:tcPr>
            <w:tcW w:w="678" w:type="pct"/>
            <w:vAlign w:val="center"/>
          </w:tcPr>
          <w:p w14:paraId="4C672DC5">
            <w:pPr>
              <w:pStyle w:val="12"/>
              <w:jc w:val="center"/>
            </w:pPr>
            <w:r>
              <w:rPr>
                <w:rFonts w:hint="eastAsia"/>
              </w:rPr>
              <w:t>欧阳珏</w:t>
            </w:r>
          </w:p>
        </w:tc>
        <w:tc>
          <w:tcPr>
            <w:tcW w:w="872" w:type="pct"/>
            <w:vAlign w:val="center"/>
          </w:tcPr>
          <w:p w14:paraId="279A1376">
            <w:pPr>
              <w:pStyle w:val="12"/>
              <w:jc w:val="center"/>
            </w:pPr>
            <w:r>
              <w:rPr>
                <w:rFonts w:hint="eastAsia"/>
              </w:rPr>
              <w:t>大观元年</w:t>
            </w:r>
          </w:p>
        </w:tc>
        <w:tc>
          <w:tcPr>
            <w:tcW w:w="2810" w:type="pct"/>
            <w:vAlign w:val="center"/>
          </w:tcPr>
          <w:p w14:paraId="4FF9B600">
            <w:pPr>
              <w:pStyle w:val="12"/>
              <w:jc w:val="left"/>
            </w:pPr>
            <w:r>
              <w:rPr>
                <w:rFonts w:hint="eastAsia"/>
              </w:rPr>
              <w:t>举八行制科</w:t>
            </w:r>
          </w:p>
        </w:tc>
      </w:tr>
      <w:tr w14:paraId="31F0D2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A6D533C">
            <w:pPr>
              <w:pStyle w:val="12"/>
              <w:jc w:val="center"/>
            </w:pPr>
          </w:p>
        </w:tc>
        <w:tc>
          <w:tcPr>
            <w:tcW w:w="678" w:type="pct"/>
            <w:vAlign w:val="center"/>
          </w:tcPr>
          <w:p w14:paraId="1814DCD7">
            <w:pPr>
              <w:pStyle w:val="12"/>
              <w:jc w:val="center"/>
            </w:pPr>
            <w:r>
              <w:rPr>
                <w:rFonts w:hint="eastAsia"/>
              </w:rPr>
              <w:t>李  昂</w:t>
            </w:r>
          </w:p>
        </w:tc>
        <w:tc>
          <w:tcPr>
            <w:tcW w:w="872" w:type="pct"/>
            <w:vAlign w:val="center"/>
          </w:tcPr>
          <w:p w14:paraId="5B88E91F">
            <w:pPr>
              <w:pStyle w:val="12"/>
              <w:jc w:val="center"/>
            </w:pPr>
            <w:r>
              <w:rPr>
                <w:rFonts w:hint="eastAsia"/>
              </w:rPr>
              <w:t>大观中</w:t>
            </w:r>
          </w:p>
        </w:tc>
        <w:tc>
          <w:tcPr>
            <w:tcW w:w="2810" w:type="pct"/>
            <w:vAlign w:val="center"/>
          </w:tcPr>
          <w:p w14:paraId="32211BF1">
            <w:pPr>
              <w:pStyle w:val="12"/>
              <w:jc w:val="left"/>
            </w:pPr>
            <w:r>
              <w:rPr>
                <w:rFonts w:hint="eastAsia"/>
              </w:rPr>
              <w:t>郝氏通志作举入八行，未确</w:t>
            </w:r>
          </w:p>
        </w:tc>
      </w:tr>
      <w:tr w14:paraId="4667FA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FDD3CC3">
            <w:pPr>
              <w:pStyle w:val="12"/>
              <w:jc w:val="center"/>
            </w:pPr>
          </w:p>
        </w:tc>
        <w:tc>
          <w:tcPr>
            <w:tcW w:w="678" w:type="pct"/>
            <w:vAlign w:val="center"/>
          </w:tcPr>
          <w:p w14:paraId="135BE4AB">
            <w:pPr>
              <w:pStyle w:val="12"/>
              <w:jc w:val="center"/>
            </w:pPr>
            <w:r>
              <w:rPr>
                <w:rFonts w:hint="eastAsia"/>
              </w:rPr>
              <w:t>英  保</w:t>
            </w:r>
          </w:p>
        </w:tc>
        <w:tc>
          <w:tcPr>
            <w:tcW w:w="872" w:type="pct"/>
            <w:vAlign w:val="center"/>
          </w:tcPr>
          <w:p w14:paraId="53630387">
            <w:pPr>
              <w:pStyle w:val="12"/>
              <w:jc w:val="center"/>
            </w:pPr>
            <w:r>
              <w:rPr>
                <w:rFonts w:hint="eastAsia"/>
              </w:rPr>
              <w:t>大观中</w:t>
            </w:r>
          </w:p>
        </w:tc>
        <w:tc>
          <w:tcPr>
            <w:tcW w:w="2810" w:type="pct"/>
            <w:vAlign w:val="center"/>
          </w:tcPr>
          <w:p w14:paraId="15972BCA">
            <w:pPr>
              <w:pStyle w:val="12"/>
              <w:jc w:val="left"/>
            </w:pPr>
            <w:r>
              <w:rPr>
                <w:rFonts w:hint="eastAsia"/>
              </w:rPr>
              <w:t>郝氏通志作举入八行，未确</w:t>
            </w:r>
          </w:p>
        </w:tc>
      </w:tr>
      <w:tr w14:paraId="33D730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0B82556">
            <w:pPr>
              <w:pStyle w:val="12"/>
              <w:jc w:val="center"/>
            </w:pPr>
          </w:p>
        </w:tc>
        <w:tc>
          <w:tcPr>
            <w:tcW w:w="678" w:type="pct"/>
            <w:vAlign w:val="center"/>
          </w:tcPr>
          <w:p w14:paraId="40D19BAF">
            <w:pPr>
              <w:pStyle w:val="12"/>
              <w:jc w:val="center"/>
            </w:pPr>
            <w:r>
              <w:rPr>
                <w:rFonts w:hint="eastAsia"/>
              </w:rPr>
              <w:t>王  方</w:t>
            </w:r>
          </w:p>
        </w:tc>
        <w:tc>
          <w:tcPr>
            <w:tcW w:w="872" w:type="pct"/>
            <w:vAlign w:val="center"/>
          </w:tcPr>
          <w:p w14:paraId="38B7FA9E">
            <w:pPr>
              <w:pStyle w:val="12"/>
              <w:jc w:val="center"/>
            </w:pPr>
            <w:r>
              <w:rPr>
                <w:rFonts w:hint="eastAsia"/>
              </w:rPr>
              <w:t>宣和辛丑</w:t>
            </w:r>
          </w:p>
        </w:tc>
        <w:tc>
          <w:tcPr>
            <w:tcW w:w="2810" w:type="pct"/>
            <w:vAlign w:val="center"/>
          </w:tcPr>
          <w:p w14:paraId="75C08962">
            <w:pPr>
              <w:pStyle w:val="12"/>
              <w:jc w:val="left"/>
            </w:pPr>
            <w:r>
              <w:rPr>
                <w:rFonts w:hint="eastAsia"/>
              </w:rPr>
              <w:t>三年乡贡，官江西提刑计议</w:t>
            </w:r>
          </w:p>
        </w:tc>
      </w:tr>
      <w:tr w14:paraId="7B7D2F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0724A05">
            <w:pPr>
              <w:pStyle w:val="12"/>
              <w:jc w:val="center"/>
            </w:pPr>
          </w:p>
        </w:tc>
        <w:tc>
          <w:tcPr>
            <w:tcW w:w="678" w:type="pct"/>
            <w:vAlign w:val="center"/>
          </w:tcPr>
          <w:p w14:paraId="391DA2CF">
            <w:pPr>
              <w:pStyle w:val="12"/>
              <w:jc w:val="center"/>
            </w:pPr>
            <w:r>
              <w:rPr>
                <w:rFonts w:hint="eastAsia"/>
              </w:rPr>
              <w:t>冯常明</w:t>
            </w:r>
          </w:p>
        </w:tc>
        <w:tc>
          <w:tcPr>
            <w:tcW w:w="872" w:type="pct"/>
            <w:vAlign w:val="center"/>
          </w:tcPr>
          <w:p w14:paraId="3A984243">
            <w:pPr>
              <w:pStyle w:val="12"/>
              <w:jc w:val="center"/>
            </w:pPr>
            <w:r>
              <w:rPr>
                <w:rFonts w:hint="eastAsia"/>
              </w:rPr>
              <w:t>宝  祐</w:t>
            </w:r>
          </w:p>
        </w:tc>
        <w:tc>
          <w:tcPr>
            <w:tcW w:w="2810" w:type="pct"/>
            <w:vAlign w:val="center"/>
          </w:tcPr>
          <w:p w14:paraId="29CDA29B">
            <w:pPr>
              <w:pStyle w:val="12"/>
              <w:jc w:val="left"/>
            </w:pPr>
            <w:r>
              <w:rPr>
                <w:rFonts w:hint="eastAsia"/>
              </w:rPr>
              <w:t>辟荐知永兴县</w:t>
            </w:r>
          </w:p>
        </w:tc>
      </w:tr>
      <w:tr w14:paraId="38E589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1AD8E46B">
            <w:pPr>
              <w:pStyle w:val="12"/>
              <w:jc w:val="center"/>
            </w:pPr>
          </w:p>
        </w:tc>
        <w:tc>
          <w:tcPr>
            <w:tcW w:w="678" w:type="pct"/>
            <w:vAlign w:val="center"/>
          </w:tcPr>
          <w:p w14:paraId="198137DC">
            <w:pPr>
              <w:pStyle w:val="12"/>
              <w:jc w:val="center"/>
            </w:pPr>
            <w:r>
              <w:rPr>
                <w:rFonts w:hint="eastAsia"/>
              </w:rPr>
              <w:t>孔文振</w:t>
            </w:r>
          </w:p>
        </w:tc>
        <w:tc>
          <w:tcPr>
            <w:tcW w:w="872" w:type="pct"/>
            <w:vAlign w:val="center"/>
          </w:tcPr>
          <w:p w14:paraId="41C2962D">
            <w:pPr>
              <w:pStyle w:val="12"/>
              <w:jc w:val="center"/>
            </w:pPr>
            <w:r>
              <w:rPr>
                <w:rFonts w:hint="eastAsia"/>
              </w:rPr>
              <w:t>庆元丙辰</w:t>
            </w:r>
          </w:p>
        </w:tc>
        <w:tc>
          <w:tcPr>
            <w:tcW w:w="2810" w:type="pct"/>
            <w:vAlign w:val="center"/>
          </w:tcPr>
          <w:p w14:paraId="22B840CA">
            <w:pPr>
              <w:pStyle w:val="12"/>
              <w:jc w:val="left"/>
            </w:pPr>
            <w:r>
              <w:rPr>
                <w:rFonts w:hint="eastAsia"/>
              </w:rPr>
              <w:t>庆元二年乡贡，本州教授</w:t>
            </w:r>
          </w:p>
        </w:tc>
      </w:tr>
    </w:tbl>
    <w:p w14:paraId="36F103A9">
      <w:pPr>
        <w:ind w:firstLine="420"/>
        <w:rPr>
          <w:rFonts w:ascii="宋体" w:hAnsi="宋体" w:cs="宋体"/>
        </w:rPr>
      </w:pPr>
      <w:r>
        <w:rPr>
          <w:rFonts w:hint="eastAsia" w:ascii="宋体" w:hAnsi="宋体" w:cs="宋体"/>
        </w:rPr>
        <w:t>尚有贡生14名，见《直隶南雄州志·选举》</w:t>
      </w:r>
    </w:p>
    <w:p w14:paraId="04B9253E">
      <w:pPr>
        <w:pStyle w:val="5"/>
        <w:rPr>
          <w:rFonts w:ascii="宋体" w:hAnsi="宋体" w:cs="宋体"/>
        </w:rPr>
      </w:pPr>
      <w:r>
        <w:rPr>
          <w:rFonts w:hint="eastAsia" w:ascii="宋体" w:hAnsi="宋体" w:cs="宋体"/>
        </w:rPr>
        <w:t>元代</w:t>
      </w:r>
    </w:p>
    <w:p w14:paraId="2A840435">
      <w:pPr>
        <w:ind w:firstLine="0" w:firstLineChars="0"/>
        <w:rPr>
          <w:rFonts w:ascii="宋体" w:hAnsi="宋体" w:cs="宋体"/>
          <w:b/>
          <w:bCs/>
        </w:rPr>
      </w:pPr>
      <w:r>
        <w:rPr>
          <w:rFonts w:hint="eastAsia" w:ascii="宋体" w:hAnsi="宋体" w:cs="宋体"/>
          <w:b/>
          <w:bCs/>
        </w:rPr>
        <w:t>表7-3</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5"/>
        <w:gridCol w:w="1351"/>
        <w:gridCol w:w="1737"/>
        <w:gridCol w:w="5599"/>
      </w:tblGrid>
      <w:tr w14:paraId="2F07A0E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0401DD1">
            <w:pPr>
              <w:pStyle w:val="12"/>
              <w:jc w:val="center"/>
              <w:rPr>
                <w:b/>
              </w:rPr>
            </w:pPr>
            <w:r>
              <w:rPr>
                <w:rFonts w:hint="eastAsia"/>
                <w:b/>
              </w:rPr>
              <w:t>科  目</w:t>
            </w:r>
          </w:p>
        </w:tc>
        <w:tc>
          <w:tcPr>
            <w:tcW w:w="678" w:type="pct"/>
            <w:vAlign w:val="center"/>
          </w:tcPr>
          <w:p w14:paraId="1618D280">
            <w:pPr>
              <w:pStyle w:val="12"/>
              <w:jc w:val="center"/>
              <w:rPr>
                <w:b/>
              </w:rPr>
            </w:pPr>
            <w:r>
              <w:rPr>
                <w:rFonts w:hint="eastAsia"/>
                <w:b/>
              </w:rPr>
              <w:t>姓  名</w:t>
            </w:r>
          </w:p>
        </w:tc>
        <w:tc>
          <w:tcPr>
            <w:tcW w:w="872" w:type="pct"/>
            <w:vAlign w:val="center"/>
          </w:tcPr>
          <w:p w14:paraId="164CA6C2">
            <w:pPr>
              <w:pStyle w:val="12"/>
              <w:jc w:val="center"/>
              <w:rPr>
                <w:b/>
              </w:rPr>
            </w:pPr>
            <w:r>
              <w:rPr>
                <w:rFonts w:hint="eastAsia"/>
                <w:b/>
              </w:rPr>
              <w:t>年  代</w:t>
            </w:r>
          </w:p>
        </w:tc>
        <w:tc>
          <w:tcPr>
            <w:tcW w:w="2810" w:type="pct"/>
            <w:vAlign w:val="center"/>
          </w:tcPr>
          <w:p w14:paraId="76D4A561">
            <w:pPr>
              <w:pStyle w:val="12"/>
              <w:jc w:val="center"/>
              <w:rPr>
                <w:b/>
              </w:rPr>
            </w:pPr>
            <w:r>
              <w:rPr>
                <w:rFonts w:hint="eastAsia"/>
                <w:b/>
              </w:rPr>
              <w:t>备  注</w:t>
            </w:r>
          </w:p>
        </w:tc>
      </w:tr>
      <w:tr w14:paraId="3EC913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restart"/>
            <w:vAlign w:val="center"/>
          </w:tcPr>
          <w:p w14:paraId="1D10B1DD">
            <w:pPr>
              <w:pStyle w:val="12"/>
              <w:jc w:val="center"/>
            </w:pPr>
            <w:r>
              <w:rPr>
                <w:rFonts w:hint="eastAsia"/>
              </w:rPr>
              <w:t>进  士</w:t>
            </w:r>
          </w:p>
        </w:tc>
        <w:tc>
          <w:tcPr>
            <w:tcW w:w="678" w:type="pct"/>
            <w:vAlign w:val="center"/>
          </w:tcPr>
          <w:p w14:paraId="537CA013">
            <w:pPr>
              <w:pStyle w:val="12"/>
              <w:jc w:val="center"/>
            </w:pPr>
            <w:r>
              <w:rPr>
                <w:rFonts w:hint="eastAsia"/>
              </w:rPr>
              <w:t>程文表</w:t>
            </w:r>
          </w:p>
        </w:tc>
        <w:tc>
          <w:tcPr>
            <w:tcW w:w="872" w:type="pct"/>
            <w:vAlign w:val="center"/>
          </w:tcPr>
          <w:p w14:paraId="2DB33C88">
            <w:pPr>
              <w:pStyle w:val="12"/>
              <w:jc w:val="center"/>
            </w:pPr>
            <w:r>
              <w:rPr>
                <w:rFonts w:hint="eastAsia"/>
              </w:rPr>
              <w:t>至正甲辰</w:t>
            </w:r>
          </w:p>
        </w:tc>
        <w:tc>
          <w:tcPr>
            <w:tcW w:w="2810" w:type="pct"/>
            <w:vAlign w:val="center"/>
          </w:tcPr>
          <w:p w14:paraId="2389C9F6">
            <w:pPr>
              <w:pStyle w:val="12"/>
              <w:jc w:val="left"/>
            </w:pPr>
          </w:p>
        </w:tc>
      </w:tr>
      <w:tr w14:paraId="4316FA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640" w:type="pct"/>
            <w:vMerge w:val="continue"/>
            <w:vAlign w:val="center"/>
          </w:tcPr>
          <w:p w14:paraId="608DF44A">
            <w:pPr>
              <w:pStyle w:val="12"/>
              <w:jc w:val="center"/>
            </w:pPr>
          </w:p>
        </w:tc>
        <w:tc>
          <w:tcPr>
            <w:tcW w:w="678" w:type="pct"/>
            <w:vAlign w:val="center"/>
          </w:tcPr>
          <w:p w14:paraId="56CFD85E">
            <w:pPr>
              <w:pStyle w:val="12"/>
              <w:jc w:val="center"/>
            </w:pPr>
            <w:r>
              <w:rPr>
                <w:rFonts w:hint="eastAsia"/>
              </w:rPr>
              <w:t>陈进之</w:t>
            </w:r>
          </w:p>
        </w:tc>
        <w:tc>
          <w:tcPr>
            <w:tcW w:w="872" w:type="pct"/>
            <w:vAlign w:val="center"/>
          </w:tcPr>
          <w:p w14:paraId="68B86878">
            <w:pPr>
              <w:pStyle w:val="12"/>
              <w:jc w:val="center"/>
            </w:pPr>
            <w:r>
              <w:rPr>
                <w:rFonts w:hint="eastAsia"/>
              </w:rPr>
              <w:t>至正甲辰</w:t>
            </w:r>
          </w:p>
        </w:tc>
        <w:tc>
          <w:tcPr>
            <w:tcW w:w="2810" w:type="pct"/>
            <w:vAlign w:val="center"/>
          </w:tcPr>
          <w:p w14:paraId="6F55AFC2">
            <w:pPr>
              <w:pStyle w:val="12"/>
              <w:jc w:val="left"/>
            </w:pPr>
            <w:r>
              <w:rPr>
                <w:rFonts w:hint="eastAsia"/>
              </w:rPr>
              <w:t>淑秀之后，任本路教谕，累官岭南学校提举</w:t>
            </w:r>
          </w:p>
        </w:tc>
      </w:tr>
      <w:tr w14:paraId="51110C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restart"/>
            <w:vAlign w:val="center"/>
          </w:tcPr>
          <w:p w14:paraId="6741F0D5">
            <w:pPr>
              <w:pStyle w:val="12"/>
              <w:jc w:val="center"/>
            </w:pPr>
            <w:r>
              <w:rPr>
                <w:rFonts w:hint="eastAsia"/>
              </w:rPr>
              <w:t>举  人</w:t>
            </w:r>
          </w:p>
        </w:tc>
        <w:tc>
          <w:tcPr>
            <w:tcW w:w="678" w:type="pct"/>
            <w:vAlign w:val="center"/>
          </w:tcPr>
          <w:p w14:paraId="525F8610">
            <w:pPr>
              <w:pStyle w:val="12"/>
              <w:jc w:val="center"/>
            </w:pPr>
            <w:r>
              <w:rPr>
                <w:rFonts w:hint="eastAsia"/>
              </w:rPr>
              <w:t>陈谦甫</w:t>
            </w:r>
          </w:p>
        </w:tc>
        <w:tc>
          <w:tcPr>
            <w:tcW w:w="872" w:type="pct"/>
            <w:vAlign w:val="center"/>
          </w:tcPr>
          <w:p w14:paraId="390D9A08">
            <w:pPr>
              <w:pStyle w:val="12"/>
              <w:jc w:val="center"/>
            </w:pPr>
            <w:r>
              <w:rPr>
                <w:rFonts w:hint="eastAsia"/>
              </w:rPr>
              <w:t>至元</w:t>
            </w:r>
          </w:p>
        </w:tc>
        <w:tc>
          <w:tcPr>
            <w:tcW w:w="2810" w:type="pct"/>
            <w:vAlign w:val="center"/>
          </w:tcPr>
          <w:p w14:paraId="11069F9C">
            <w:pPr>
              <w:pStyle w:val="12"/>
              <w:jc w:val="left"/>
            </w:pPr>
            <w:r>
              <w:rPr>
                <w:rFonts w:hint="eastAsia"/>
              </w:rPr>
              <w:t>淑秀孙，梅州学正</w:t>
            </w:r>
          </w:p>
        </w:tc>
      </w:tr>
      <w:tr w14:paraId="21F28EF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BDEBF94">
            <w:pPr>
              <w:pStyle w:val="12"/>
              <w:jc w:val="center"/>
            </w:pPr>
          </w:p>
        </w:tc>
        <w:tc>
          <w:tcPr>
            <w:tcW w:w="678" w:type="pct"/>
            <w:vAlign w:val="center"/>
          </w:tcPr>
          <w:p w14:paraId="79566FA5">
            <w:pPr>
              <w:pStyle w:val="12"/>
              <w:jc w:val="center"/>
            </w:pPr>
            <w:r>
              <w:rPr>
                <w:rFonts w:hint="eastAsia"/>
              </w:rPr>
              <w:t>陈履道</w:t>
            </w:r>
          </w:p>
        </w:tc>
        <w:tc>
          <w:tcPr>
            <w:tcW w:w="872" w:type="pct"/>
            <w:vAlign w:val="center"/>
          </w:tcPr>
          <w:p w14:paraId="17BA0CD4">
            <w:pPr>
              <w:pStyle w:val="12"/>
              <w:jc w:val="center"/>
            </w:pPr>
            <w:r>
              <w:rPr>
                <w:rFonts w:hint="eastAsia"/>
              </w:rPr>
              <w:t>至元</w:t>
            </w:r>
          </w:p>
        </w:tc>
        <w:tc>
          <w:tcPr>
            <w:tcW w:w="2810" w:type="pct"/>
            <w:vAlign w:val="center"/>
          </w:tcPr>
          <w:p w14:paraId="0348E3F6">
            <w:pPr>
              <w:pStyle w:val="12"/>
              <w:jc w:val="left"/>
            </w:pPr>
            <w:r>
              <w:rPr>
                <w:rFonts w:hint="eastAsia"/>
              </w:rPr>
              <w:t>淑秀裔，惠州路教授</w:t>
            </w:r>
          </w:p>
        </w:tc>
      </w:tr>
      <w:tr w14:paraId="437A70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1458DCB8">
            <w:pPr>
              <w:pStyle w:val="12"/>
              <w:jc w:val="center"/>
            </w:pPr>
          </w:p>
        </w:tc>
        <w:tc>
          <w:tcPr>
            <w:tcW w:w="678" w:type="pct"/>
            <w:vAlign w:val="center"/>
          </w:tcPr>
          <w:p w14:paraId="265E4598">
            <w:pPr>
              <w:pStyle w:val="12"/>
              <w:jc w:val="center"/>
            </w:pPr>
            <w:r>
              <w:rPr>
                <w:rFonts w:hint="eastAsia"/>
              </w:rPr>
              <w:t>陈  珪</w:t>
            </w:r>
          </w:p>
        </w:tc>
        <w:tc>
          <w:tcPr>
            <w:tcW w:w="872" w:type="pct"/>
            <w:vAlign w:val="center"/>
          </w:tcPr>
          <w:p w14:paraId="692BF64F">
            <w:pPr>
              <w:pStyle w:val="12"/>
              <w:jc w:val="center"/>
            </w:pPr>
            <w:r>
              <w:rPr>
                <w:rFonts w:hint="eastAsia"/>
              </w:rPr>
              <w:t>泰定甲子</w:t>
            </w:r>
          </w:p>
        </w:tc>
        <w:tc>
          <w:tcPr>
            <w:tcW w:w="2810" w:type="pct"/>
            <w:vAlign w:val="center"/>
          </w:tcPr>
          <w:p w14:paraId="50821487">
            <w:pPr>
              <w:pStyle w:val="12"/>
              <w:jc w:val="left"/>
            </w:pPr>
            <w:r>
              <w:rPr>
                <w:rFonts w:hint="eastAsia"/>
              </w:rPr>
              <w:t>履道孙，吉安中推官，除豪恶萧恕斋，擢郡守</w:t>
            </w:r>
          </w:p>
        </w:tc>
      </w:tr>
      <w:tr w14:paraId="5BF4BD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restart"/>
            <w:vAlign w:val="center"/>
          </w:tcPr>
          <w:p w14:paraId="4EEA2215">
            <w:pPr>
              <w:pStyle w:val="12"/>
              <w:jc w:val="center"/>
            </w:pPr>
            <w:r>
              <w:rPr>
                <w:rFonts w:hint="eastAsia"/>
              </w:rPr>
              <w:t>辟  举</w:t>
            </w:r>
          </w:p>
        </w:tc>
        <w:tc>
          <w:tcPr>
            <w:tcW w:w="678" w:type="pct"/>
            <w:vAlign w:val="center"/>
          </w:tcPr>
          <w:p w14:paraId="01C13D76">
            <w:pPr>
              <w:pStyle w:val="12"/>
              <w:jc w:val="center"/>
            </w:pPr>
            <w:r>
              <w:rPr>
                <w:rFonts w:hint="eastAsia"/>
              </w:rPr>
              <w:t>麦文贵</w:t>
            </w:r>
          </w:p>
        </w:tc>
        <w:tc>
          <w:tcPr>
            <w:tcW w:w="872" w:type="pct"/>
            <w:vAlign w:val="center"/>
          </w:tcPr>
          <w:p w14:paraId="48B60448">
            <w:pPr>
              <w:pStyle w:val="12"/>
              <w:jc w:val="center"/>
            </w:pPr>
            <w:r>
              <w:rPr>
                <w:rFonts w:hint="eastAsia"/>
              </w:rPr>
              <w:t>—</w:t>
            </w:r>
          </w:p>
        </w:tc>
        <w:tc>
          <w:tcPr>
            <w:tcW w:w="2810" w:type="pct"/>
            <w:vAlign w:val="center"/>
          </w:tcPr>
          <w:p w14:paraId="06DEDC87">
            <w:pPr>
              <w:pStyle w:val="12"/>
              <w:jc w:val="left"/>
            </w:pPr>
            <w:r>
              <w:rPr>
                <w:rFonts w:hint="eastAsia"/>
              </w:rPr>
              <w:t>铁杖之后，用荐起为湖广行省检校，后拜中奉大夫，集贤学士，预修辽金宋三史，有传</w:t>
            </w:r>
          </w:p>
        </w:tc>
      </w:tr>
      <w:tr w14:paraId="334BC6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C933F6F">
            <w:pPr>
              <w:pStyle w:val="12"/>
              <w:jc w:val="center"/>
            </w:pPr>
          </w:p>
        </w:tc>
        <w:tc>
          <w:tcPr>
            <w:tcW w:w="678" w:type="pct"/>
            <w:vAlign w:val="center"/>
          </w:tcPr>
          <w:p w14:paraId="562D8216">
            <w:pPr>
              <w:pStyle w:val="12"/>
              <w:jc w:val="center"/>
            </w:pPr>
            <w:r>
              <w:rPr>
                <w:rFonts w:hint="eastAsia"/>
              </w:rPr>
              <w:t>朱原荐</w:t>
            </w:r>
          </w:p>
        </w:tc>
        <w:tc>
          <w:tcPr>
            <w:tcW w:w="872" w:type="pct"/>
            <w:vAlign w:val="center"/>
          </w:tcPr>
          <w:p w14:paraId="6279CF81">
            <w:pPr>
              <w:pStyle w:val="12"/>
              <w:jc w:val="center"/>
            </w:pPr>
            <w:r>
              <w:rPr>
                <w:rFonts w:hint="eastAsia"/>
              </w:rPr>
              <w:t>—</w:t>
            </w:r>
          </w:p>
        </w:tc>
        <w:tc>
          <w:tcPr>
            <w:tcW w:w="2810" w:type="pct"/>
            <w:vAlign w:val="center"/>
          </w:tcPr>
          <w:p w14:paraId="3768CA21">
            <w:pPr>
              <w:pStyle w:val="12"/>
              <w:jc w:val="left"/>
            </w:pPr>
            <w:r>
              <w:rPr>
                <w:rFonts w:hint="eastAsia"/>
              </w:rPr>
              <w:t>名昌元，以字行，举文学，任清远县尹</w:t>
            </w:r>
          </w:p>
        </w:tc>
      </w:tr>
      <w:tr w14:paraId="191109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1E057C7C">
            <w:pPr>
              <w:pStyle w:val="12"/>
              <w:jc w:val="center"/>
            </w:pPr>
          </w:p>
        </w:tc>
        <w:tc>
          <w:tcPr>
            <w:tcW w:w="678" w:type="pct"/>
            <w:vAlign w:val="center"/>
          </w:tcPr>
          <w:p w14:paraId="534AC242">
            <w:pPr>
              <w:pStyle w:val="12"/>
              <w:jc w:val="center"/>
            </w:pPr>
            <w:r>
              <w:rPr>
                <w:rFonts w:hint="eastAsia"/>
              </w:rPr>
              <w:t>朱应发</w:t>
            </w:r>
          </w:p>
        </w:tc>
        <w:tc>
          <w:tcPr>
            <w:tcW w:w="872" w:type="pct"/>
            <w:vAlign w:val="center"/>
          </w:tcPr>
          <w:p w14:paraId="462407F7">
            <w:pPr>
              <w:pStyle w:val="12"/>
              <w:jc w:val="center"/>
            </w:pPr>
            <w:r>
              <w:rPr>
                <w:rFonts w:hint="eastAsia"/>
              </w:rPr>
              <w:t>—</w:t>
            </w:r>
          </w:p>
        </w:tc>
        <w:tc>
          <w:tcPr>
            <w:tcW w:w="2810" w:type="pct"/>
            <w:vAlign w:val="center"/>
          </w:tcPr>
          <w:p w14:paraId="029BD8F7">
            <w:pPr>
              <w:pStyle w:val="12"/>
              <w:jc w:val="left"/>
            </w:pPr>
            <w:r>
              <w:rPr>
                <w:rFonts w:hint="eastAsia"/>
              </w:rPr>
              <w:t>广州教授</w:t>
            </w:r>
          </w:p>
        </w:tc>
      </w:tr>
      <w:tr w14:paraId="6BD791D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3971DDC">
            <w:pPr>
              <w:pStyle w:val="12"/>
              <w:jc w:val="center"/>
            </w:pPr>
          </w:p>
        </w:tc>
        <w:tc>
          <w:tcPr>
            <w:tcW w:w="678" w:type="pct"/>
            <w:vAlign w:val="center"/>
          </w:tcPr>
          <w:p w14:paraId="46E74210">
            <w:pPr>
              <w:pStyle w:val="12"/>
              <w:jc w:val="center"/>
            </w:pPr>
            <w:r>
              <w:rPr>
                <w:rFonts w:hint="eastAsia"/>
              </w:rPr>
              <w:t>朱应渊</w:t>
            </w:r>
          </w:p>
        </w:tc>
        <w:tc>
          <w:tcPr>
            <w:tcW w:w="872" w:type="pct"/>
            <w:vAlign w:val="center"/>
          </w:tcPr>
          <w:p w14:paraId="00D9B55E">
            <w:pPr>
              <w:pStyle w:val="12"/>
              <w:jc w:val="center"/>
            </w:pPr>
            <w:r>
              <w:rPr>
                <w:rFonts w:hint="eastAsia"/>
              </w:rPr>
              <w:t>—</w:t>
            </w:r>
          </w:p>
        </w:tc>
        <w:tc>
          <w:tcPr>
            <w:tcW w:w="2810" w:type="pct"/>
            <w:vAlign w:val="center"/>
          </w:tcPr>
          <w:p w14:paraId="6B5F9340">
            <w:pPr>
              <w:pStyle w:val="12"/>
              <w:jc w:val="left"/>
            </w:pPr>
            <w:r>
              <w:rPr>
                <w:rFonts w:hint="eastAsia"/>
              </w:rPr>
              <w:t>南恩教授</w:t>
            </w:r>
          </w:p>
        </w:tc>
      </w:tr>
      <w:tr w14:paraId="4FE5D89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9BF5053">
            <w:pPr>
              <w:pStyle w:val="12"/>
              <w:jc w:val="center"/>
            </w:pPr>
          </w:p>
        </w:tc>
        <w:tc>
          <w:tcPr>
            <w:tcW w:w="678" w:type="pct"/>
            <w:vAlign w:val="center"/>
          </w:tcPr>
          <w:p w14:paraId="4857B340">
            <w:pPr>
              <w:pStyle w:val="12"/>
              <w:jc w:val="center"/>
            </w:pPr>
            <w:r>
              <w:rPr>
                <w:rFonts w:hint="eastAsia"/>
              </w:rPr>
              <w:t>吴惠孙</w:t>
            </w:r>
          </w:p>
        </w:tc>
        <w:tc>
          <w:tcPr>
            <w:tcW w:w="872" w:type="pct"/>
            <w:vAlign w:val="center"/>
          </w:tcPr>
          <w:p w14:paraId="314A1E1B">
            <w:pPr>
              <w:pStyle w:val="12"/>
              <w:jc w:val="center"/>
            </w:pPr>
            <w:r>
              <w:rPr>
                <w:rFonts w:hint="eastAsia"/>
              </w:rPr>
              <w:t>—</w:t>
            </w:r>
          </w:p>
        </w:tc>
        <w:tc>
          <w:tcPr>
            <w:tcW w:w="2810" w:type="pct"/>
            <w:vAlign w:val="center"/>
          </w:tcPr>
          <w:p w14:paraId="28644095">
            <w:pPr>
              <w:pStyle w:val="12"/>
              <w:jc w:val="left"/>
            </w:pPr>
          </w:p>
        </w:tc>
      </w:tr>
      <w:tr w14:paraId="48C6BE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EB9EE61">
            <w:pPr>
              <w:pStyle w:val="12"/>
              <w:jc w:val="center"/>
            </w:pPr>
          </w:p>
        </w:tc>
        <w:tc>
          <w:tcPr>
            <w:tcW w:w="678" w:type="pct"/>
            <w:vAlign w:val="center"/>
          </w:tcPr>
          <w:p w14:paraId="2DC6B67E">
            <w:pPr>
              <w:pStyle w:val="12"/>
              <w:jc w:val="center"/>
            </w:pPr>
            <w:r>
              <w:rPr>
                <w:rFonts w:hint="eastAsia"/>
              </w:rPr>
              <w:t>吴  震</w:t>
            </w:r>
          </w:p>
        </w:tc>
        <w:tc>
          <w:tcPr>
            <w:tcW w:w="872" w:type="pct"/>
            <w:vAlign w:val="center"/>
          </w:tcPr>
          <w:p w14:paraId="07C5EE8D">
            <w:pPr>
              <w:pStyle w:val="12"/>
              <w:jc w:val="center"/>
            </w:pPr>
            <w:r>
              <w:rPr>
                <w:rFonts w:hint="eastAsia"/>
              </w:rPr>
              <w:t>—</w:t>
            </w:r>
          </w:p>
        </w:tc>
        <w:tc>
          <w:tcPr>
            <w:tcW w:w="2810" w:type="pct"/>
            <w:vAlign w:val="center"/>
          </w:tcPr>
          <w:p w14:paraId="1C8E0540">
            <w:pPr>
              <w:pStyle w:val="12"/>
              <w:jc w:val="left"/>
            </w:pPr>
            <w:r>
              <w:rPr>
                <w:rFonts w:hint="eastAsia"/>
              </w:rPr>
              <w:t>循州判官</w:t>
            </w:r>
          </w:p>
        </w:tc>
      </w:tr>
      <w:tr w14:paraId="5C3E43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1B171D7F">
            <w:pPr>
              <w:pStyle w:val="12"/>
              <w:jc w:val="center"/>
            </w:pPr>
          </w:p>
        </w:tc>
        <w:tc>
          <w:tcPr>
            <w:tcW w:w="678" w:type="pct"/>
            <w:vAlign w:val="center"/>
          </w:tcPr>
          <w:p w14:paraId="20C805DB">
            <w:pPr>
              <w:pStyle w:val="12"/>
              <w:jc w:val="center"/>
            </w:pPr>
            <w:r>
              <w:rPr>
                <w:rFonts w:hint="eastAsia"/>
              </w:rPr>
              <w:t>吴  琼</w:t>
            </w:r>
          </w:p>
        </w:tc>
        <w:tc>
          <w:tcPr>
            <w:tcW w:w="872" w:type="pct"/>
            <w:vAlign w:val="center"/>
          </w:tcPr>
          <w:p w14:paraId="37FF4189">
            <w:pPr>
              <w:pStyle w:val="12"/>
              <w:jc w:val="center"/>
            </w:pPr>
            <w:r>
              <w:rPr>
                <w:rFonts w:hint="eastAsia"/>
              </w:rPr>
              <w:t>—</w:t>
            </w:r>
          </w:p>
        </w:tc>
        <w:tc>
          <w:tcPr>
            <w:tcW w:w="2810" w:type="pct"/>
            <w:vAlign w:val="center"/>
          </w:tcPr>
          <w:p w14:paraId="4FA4BDF7">
            <w:pPr>
              <w:pStyle w:val="12"/>
              <w:jc w:val="left"/>
            </w:pPr>
            <w:r>
              <w:rPr>
                <w:rFonts w:hint="eastAsia"/>
              </w:rPr>
              <w:t>知石康县</w:t>
            </w:r>
          </w:p>
        </w:tc>
      </w:tr>
      <w:tr w14:paraId="05495D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755AC63">
            <w:pPr>
              <w:pStyle w:val="12"/>
              <w:jc w:val="center"/>
            </w:pPr>
          </w:p>
        </w:tc>
        <w:tc>
          <w:tcPr>
            <w:tcW w:w="678" w:type="pct"/>
            <w:vAlign w:val="center"/>
          </w:tcPr>
          <w:p w14:paraId="50ACDC9F">
            <w:pPr>
              <w:pStyle w:val="12"/>
              <w:jc w:val="center"/>
            </w:pPr>
            <w:r>
              <w:rPr>
                <w:rFonts w:hint="eastAsia"/>
              </w:rPr>
              <w:t>冯祥光</w:t>
            </w:r>
          </w:p>
        </w:tc>
        <w:tc>
          <w:tcPr>
            <w:tcW w:w="872" w:type="pct"/>
            <w:vAlign w:val="center"/>
          </w:tcPr>
          <w:p w14:paraId="160AD212">
            <w:pPr>
              <w:pStyle w:val="12"/>
              <w:jc w:val="center"/>
            </w:pPr>
            <w:r>
              <w:rPr>
                <w:rFonts w:hint="eastAsia"/>
              </w:rPr>
              <w:t>—</w:t>
            </w:r>
          </w:p>
        </w:tc>
        <w:tc>
          <w:tcPr>
            <w:tcW w:w="2810" w:type="pct"/>
            <w:vAlign w:val="center"/>
          </w:tcPr>
          <w:p w14:paraId="066EF33A">
            <w:pPr>
              <w:pStyle w:val="12"/>
              <w:jc w:val="left"/>
            </w:pPr>
            <w:r>
              <w:rPr>
                <w:rFonts w:hint="eastAsia"/>
              </w:rPr>
              <w:t>知宣化县</w:t>
            </w:r>
          </w:p>
        </w:tc>
      </w:tr>
      <w:tr w14:paraId="2CD3E1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134DDE4E">
            <w:pPr>
              <w:pStyle w:val="12"/>
              <w:jc w:val="center"/>
            </w:pPr>
          </w:p>
        </w:tc>
        <w:tc>
          <w:tcPr>
            <w:tcW w:w="678" w:type="pct"/>
            <w:vAlign w:val="center"/>
          </w:tcPr>
          <w:p w14:paraId="7A64F406">
            <w:pPr>
              <w:pStyle w:val="12"/>
              <w:jc w:val="center"/>
            </w:pPr>
            <w:r>
              <w:rPr>
                <w:rFonts w:hint="eastAsia"/>
              </w:rPr>
              <w:t>陈  贤</w:t>
            </w:r>
          </w:p>
        </w:tc>
        <w:tc>
          <w:tcPr>
            <w:tcW w:w="872" w:type="pct"/>
            <w:vAlign w:val="center"/>
          </w:tcPr>
          <w:p w14:paraId="4FBB82EA">
            <w:pPr>
              <w:pStyle w:val="12"/>
              <w:jc w:val="center"/>
            </w:pPr>
            <w:r>
              <w:rPr>
                <w:rFonts w:hint="eastAsia"/>
              </w:rPr>
              <w:t>—</w:t>
            </w:r>
          </w:p>
        </w:tc>
        <w:tc>
          <w:tcPr>
            <w:tcW w:w="2810" w:type="pct"/>
            <w:vAlign w:val="center"/>
          </w:tcPr>
          <w:p w14:paraId="6DEF8926">
            <w:pPr>
              <w:pStyle w:val="12"/>
              <w:jc w:val="left"/>
            </w:pPr>
          </w:p>
        </w:tc>
      </w:tr>
      <w:tr w14:paraId="43ECAC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E89E661">
            <w:pPr>
              <w:pStyle w:val="12"/>
              <w:jc w:val="center"/>
            </w:pPr>
          </w:p>
        </w:tc>
        <w:tc>
          <w:tcPr>
            <w:tcW w:w="678" w:type="pct"/>
            <w:vAlign w:val="center"/>
          </w:tcPr>
          <w:p w14:paraId="0DF3D8E5">
            <w:pPr>
              <w:pStyle w:val="12"/>
              <w:jc w:val="center"/>
            </w:pPr>
            <w:r>
              <w:rPr>
                <w:rFonts w:hint="eastAsia"/>
              </w:rPr>
              <w:t>彭实甫</w:t>
            </w:r>
          </w:p>
        </w:tc>
        <w:tc>
          <w:tcPr>
            <w:tcW w:w="872" w:type="pct"/>
            <w:vAlign w:val="center"/>
          </w:tcPr>
          <w:p w14:paraId="314DC74F">
            <w:pPr>
              <w:pStyle w:val="12"/>
              <w:jc w:val="center"/>
            </w:pPr>
            <w:r>
              <w:rPr>
                <w:rFonts w:hint="eastAsia"/>
              </w:rPr>
              <w:t>—</w:t>
            </w:r>
          </w:p>
        </w:tc>
        <w:tc>
          <w:tcPr>
            <w:tcW w:w="2810" w:type="pct"/>
            <w:vAlign w:val="center"/>
          </w:tcPr>
          <w:p w14:paraId="35CB82FD">
            <w:pPr>
              <w:pStyle w:val="12"/>
              <w:jc w:val="left"/>
            </w:pPr>
          </w:p>
        </w:tc>
      </w:tr>
      <w:tr w14:paraId="43603B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5E4B0DE">
            <w:pPr>
              <w:pStyle w:val="12"/>
              <w:jc w:val="center"/>
            </w:pPr>
          </w:p>
        </w:tc>
        <w:tc>
          <w:tcPr>
            <w:tcW w:w="678" w:type="pct"/>
            <w:vAlign w:val="center"/>
          </w:tcPr>
          <w:p w14:paraId="564BBB43">
            <w:pPr>
              <w:pStyle w:val="12"/>
              <w:jc w:val="center"/>
            </w:pPr>
            <w:r>
              <w:rPr>
                <w:rFonts w:hint="eastAsia"/>
              </w:rPr>
              <w:t>刘道源</w:t>
            </w:r>
          </w:p>
        </w:tc>
        <w:tc>
          <w:tcPr>
            <w:tcW w:w="872" w:type="pct"/>
            <w:vAlign w:val="center"/>
          </w:tcPr>
          <w:p w14:paraId="28520DED">
            <w:pPr>
              <w:pStyle w:val="12"/>
              <w:jc w:val="center"/>
            </w:pPr>
            <w:r>
              <w:rPr>
                <w:rFonts w:hint="eastAsia"/>
              </w:rPr>
              <w:t>—</w:t>
            </w:r>
          </w:p>
        </w:tc>
        <w:tc>
          <w:tcPr>
            <w:tcW w:w="2810" w:type="pct"/>
            <w:vAlign w:val="center"/>
          </w:tcPr>
          <w:p w14:paraId="5D4828D8">
            <w:pPr>
              <w:pStyle w:val="12"/>
              <w:jc w:val="left"/>
            </w:pPr>
            <w:r>
              <w:rPr>
                <w:rFonts w:hint="eastAsia"/>
              </w:rPr>
              <w:t>南海训导</w:t>
            </w:r>
          </w:p>
        </w:tc>
      </w:tr>
      <w:tr w14:paraId="7D4450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5BBC4DF">
            <w:pPr>
              <w:pStyle w:val="12"/>
              <w:jc w:val="center"/>
            </w:pPr>
          </w:p>
        </w:tc>
        <w:tc>
          <w:tcPr>
            <w:tcW w:w="678" w:type="pct"/>
            <w:vAlign w:val="center"/>
          </w:tcPr>
          <w:p w14:paraId="12841A32">
            <w:pPr>
              <w:pStyle w:val="12"/>
              <w:jc w:val="center"/>
            </w:pPr>
            <w:r>
              <w:rPr>
                <w:rFonts w:hint="eastAsia"/>
              </w:rPr>
              <w:t>谢  成</w:t>
            </w:r>
          </w:p>
        </w:tc>
        <w:tc>
          <w:tcPr>
            <w:tcW w:w="872" w:type="pct"/>
            <w:vAlign w:val="center"/>
          </w:tcPr>
          <w:p w14:paraId="204A5374">
            <w:pPr>
              <w:pStyle w:val="12"/>
              <w:jc w:val="center"/>
            </w:pPr>
            <w:r>
              <w:rPr>
                <w:rFonts w:hint="eastAsia"/>
              </w:rPr>
              <w:t>—</w:t>
            </w:r>
          </w:p>
        </w:tc>
        <w:tc>
          <w:tcPr>
            <w:tcW w:w="2810" w:type="pct"/>
            <w:vAlign w:val="center"/>
          </w:tcPr>
          <w:p w14:paraId="14C021D2">
            <w:pPr>
              <w:pStyle w:val="12"/>
              <w:jc w:val="left"/>
            </w:pPr>
            <w:r>
              <w:rPr>
                <w:rFonts w:hint="eastAsia"/>
              </w:rPr>
              <w:t>端溪主簿</w:t>
            </w:r>
          </w:p>
        </w:tc>
      </w:tr>
      <w:tr w14:paraId="6EEC2A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8722D94">
            <w:pPr>
              <w:pStyle w:val="12"/>
              <w:jc w:val="center"/>
            </w:pPr>
          </w:p>
        </w:tc>
        <w:tc>
          <w:tcPr>
            <w:tcW w:w="678" w:type="pct"/>
            <w:vAlign w:val="center"/>
          </w:tcPr>
          <w:p w14:paraId="5137E339">
            <w:pPr>
              <w:pStyle w:val="12"/>
              <w:jc w:val="center"/>
            </w:pPr>
            <w:r>
              <w:rPr>
                <w:rFonts w:hint="eastAsia"/>
              </w:rPr>
              <w:t>麦  徴</w:t>
            </w:r>
          </w:p>
        </w:tc>
        <w:tc>
          <w:tcPr>
            <w:tcW w:w="872" w:type="pct"/>
            <w:vAlign w:val="center"/>
          </w:tcPr>
          <w:p w14:paraId="0D2FA506">
            <w:pPr>
              <w:pStyle w:val="12"/>
              <w:jc w:val="center"/>
            </w:pPr>
            <w:r>
              <w:rPr>
                <w:rFonts w:hint="eastAsia"/>
              </w:rPr>
              <w:t>—</w:t>
            </w:r>
          </w:p>
        </w:tc>
        <w:tc>
          <w:tcPr>
            <w:tcW w:w="2810" w:type="pct"/>
            <w:vAlign w:val="center"/>
          </w:tcPr>
          <w:p w14:paraId="6BCC01CF">
            <w:pPr>
              <w:pStyle w:val="12"/>
              <w:jc w:val="left"/>
            </w:pPr>
            <w:r>
              <w:rPr>
                <w:rFonts w:hint="eastAsia"/>
              </w:rPr>
              <w:t>知藤州</w:t>
            </w:r>
          </w:p>
        </w:tc>
      </w:tr>
      <w:tr w14:paraId="60B56E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5F95839">
            <w:pPr>
              <w:pStyle w:val="12"/>
              <w:jc w:val="center"/>
            </w:pPr>
          </w:p>
        </w:tc>
        <w:tc>
          <w:tcPr>
            <w:tcW w:w="678" w:type="pct"/>
            <w:vAlign w:val="center"/>
          </w:tcPr>
          <w:p w14:paraId="00F89C27">
            <w:pPr>
              <w:pStyle w:val="12"/>
              <w:jc w:val="center"/>
            </w:pPr>
            <w:r>
              <w:rPr>
                <w:rFonts w:hint="eastAsia"/>
              </w:rPr>
              <w:t>冯文瑞</w:t>
            </w:r>
          </w:p>
        </w:tc>
        <w:tc>
          <w:tcPr>
            <w:tcW w:w="872" w:type="pct"/>
            <w:vAlign w:val="center"/>
          </w:tcPr>
          <w:p w14:paraId="1469EE66">
            <w:pPr>
              <w:pStyle w:val="12"/>
              <w:jc w:val="center"/>
            </w:pPr>
            <w:r>
              <w:rPr>
                <w:rFonts w:hint="eastAsia"/>
              </w:rPr>
              <w:t>—</w:t>
            </w:r>
          </w:p>
        </w:tc>
        <w:tc>
          <w:tcPr>
            <w:tcW w:w="2810" w:type="pct"/>
            <w:vAlign w:val="center"/>
          </w:tcPr>
          <w:p w14:paraId="17878805">
            <w:pPr>
              <w:pStyle w:val="12"/>
              <w:jc w:val="left"/>
            </w:pPr>
            <w:r>
              <w:rPr>
                <w:rFonts w:hint="eastAsia"/>
              </w:rPr>
              <w:t>知鄜州</w:t>
            </w:r>
          </w:p>
        </w:tc>
      </w:tr>
    </w:tbl>
    <w:p w14:paraId="6136EC76">
      <w:pPr>
        <w:pStyle w:val="5"/>
        <w:rPr>
          <w:rFonts w:ascii="宋体" w:hAnsi="宋体" w:cs="宋体"/>
        </w:rPr>
      </w:pPr>
      <w:r>
        <w:rPr>
          <w:rFonts w:hint="eastAsia" w:ascii="宋体" w:hAnsi="宋体" w:cs="宋体"/>
        </w:rPr>
        <w:t>明代</w:t>
      </w:r>
    </w:p>
    <w:p w14:paraId="2660867A">
      <w:pPr>
        <w:ind w:firstLine="0" w:firstLineChars="0"/>
        <w:rPr>
          <w:rFonts w:ascii="宋体" w:hAnsi="宋体" w:cs="宋体"/>
          <w:b/>
          <w:bCs/>
        </w:rPr>
      </w:pPr>
      <w:r>
        <w:rPr>
          <w:rFonts w:hint="eastAsia" w:ascii="宋体" w:hAnsi="宋体" w:cs="宋体"/>
          <w:b/>
          <w:bCs/>
        </w:rPr>
        <w:t>表7-4</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5"/>
        <w:gridCol w:w="1351"/>
        <w:gridCol w:w="1450"/>
        <w:gridCol w:w="5886"/>
      </w:tblGrid>
      <w:tr w14:paraId="7F6F3F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F6A3834">
            <w:pPr>
              <w:pStyle w:val="12"/>
              <w:jc w:val="center"/>
              <w:rPr>
                <w:b/>
              </w:rPr>
            </w:pPr>
            <w:r>
              <w:rPr>
                <w:rFonts w:hint="eastAsia"/>
                <w:b/>
              </w:rPr>
              <w:t>科  目</w:t>
            </w:r>
          </w:p>
        </w:tc>
        <w:tc>
          <w:tcPr>
            <w:tcW w:w="678" w:type="pct"/>
            <w:vAlign w:val="center"/>
          </w:tcPr>
          <w:p w14:paraId="4F4F621D">
            <w:pPr>
              <w:pStyle w:val="12"/>
              <w:jc w:val="center"/>
              <w:rPr>
                <w:b/>
              </w:rPr>
            </w:pPr>
            <w:r>
              <w:rPr>
                <w:rFonts w:hint="eastAsia"/>
                <w:b/>
              </w:rPr>
              <w:t>姓  名</w:t>
            </w:r>
          </w:p>
        </w:tc>
        <w:tc>
          <w:tcPr>
            <w:tcW w:w="728" w:type="pct"/>
            <w:vAlign w:val="center"/>
          </w:tcPr>
          <w:p w14:paraId="19074E46">
            <w:pPr>
              <w:pStyle w:val="12"/>
              <w:jc w:val="center"/>
              <w:rPr>
                <w:b/>
              </w:rPr>
            </w:pPr>
            <w:r>
              <w:rPr>
                <w:rFonts w:hint="eastAsia"/>
                <w:b/>
              </w:rPr>
              <w:t>年  代</w:t>
            </w:r>
          </w:p>
        </w:tc>
        <w:tc>
          <w:tcPr>
            <w:tcW w:w="2954" w:type="pct"/>
            <w:vAlign w:val="center"/>
          </w:tcPr>
          <w:p w14:paraId="6B9636FB">
            <w:pPr>
              <w:pStyle w:val="12"/>
              <w:jc w:val="center"/>
              <w:rPr>
                <w:b/>
              </w:rPr>
            </w:pPr>
            <w:r>
              <w:rPr>
                <w:rFonts w:hint="eastAsia"/>
                <w:b/>
              </w:rPr>
              <w:t>备  注</w:t>
            </w:r>
          </w:p>
        </w:tc>
      </w:tr>
      <w:tr w14:paraId="0FF06F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restart"/>
            <w:vAlign w:val="center"/>
          </w:tcPr>
          <w:p w14:paraId="48F118D1">
            <w:pPr>
              <w:pStyle w:val="12"/>
              <w:jc w:val="center"/>
            </w:pPr>
            <w:r>
              <w:rPr>
                <w:rFonts w:hint="eastAsia"/>
              </w:rPr>
              <w:t>进  士</w:t>
            </w:r>
          </w:p>
        </w:tc>
        <w:tc>
          <w:tcPr>
            <w:tcW w:w="678" w:type="pct"/>
            <w:vAlign w:val="center"/>
          </w:tcPr>
          <w:p w14:paraId="430ACE2F">
            <w:pPr>
              <w:pStyle w:val="12"/>
              <w:jc w:val="center"/>
            </w:pPr>
            <w:r>
              <w:rPr>
                <w:rFonts w:hint="eastAsia"/>
              </w:rPr>
              <w:t>张寿龄</w:t>
            </w:r>
          </w:p>
        </w:tc>
        <w:tc>
          <w:tcPr>
            <w:tcW w:w="728" w:type="pct"/>
            <w:vAlign w:val="center"/>
          </w:tcPr>
          <w:p w14:paraId="1E19F038">
            <w:pPr>
              <w:pStyle w:val="12"/>
              <w:jc w:val="center"/>
            </w:pPr>
            <w:r>
              <w:rPr>
                <w:rFonts w:hint="eastAsia"/>
              </w:rPr>
              <w:t>洪武辛亥</w:t>
            </w:r>
          </w:p>
        </w:tc>
        <w:tc>
          <w:tcPr>
            <w:tcW w:w="2954" w:type="pct"/>
            <w:vAlign w:val="center"/>
          </w:tcPr>
          <w:p w14:paraId="396E10F0">
            <w:pPr>
              <w:pStyle w:val="12"/>
              <w:jc w:val="left"/>
            </w:pPr>
            <w:r>
              <w:rPr>
                <w:rFonts w:hint="eastAsia"/>
              </w:rPr>
              <w:t>任河南洧川县丞</w:t>
            </w:r>
          </w:p>
        </w:tc>
      </w:tr>
      <w:tr w14:paraId="539DDB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BCA6AD2">
            <w:pPr>
              <w:pStyle w:val="12"/>
              <w:jc w:val="center"/>
            </w:pPr>
          </w:p>
        </w:tc>
        <w:tc>
          <w:tcPr>
            <w:tcW w:w="678" w:type="pct"/>
            <w:vAlign w:val="center"/>
          </w:tcPr>
          <w:p w14:paraId="4EC3EEC5">
            <w:pPr>
              <w:pStyle w:val="12"/>
              <w:jc w:val="center"/>
            </w:pPr>
            <w:r>
              <w:rPr>
                <w:rFonts w:hint="eastAsia"/>
              </w:rPr>
              <w:t>甘友信</w:t>
            </w:r>
          </w:p>
        </w:tc>
        <w:tc>
          <w:tcPr>
            <w:tcW w:w="728" w:type="pct"/>
            <w:vAlign w:val="center"/>
          </w:tcPr>
          <w:p w14:paraId="45607535">
            <w:pPr>
              <w:pStyle w:val="12"/>
              <w:jc w:val="center"/>
            </w:pPr>
            <w:r>
              <w:rPr>
                <w:rFonts w:hint="eastAsia"/>
              </w:rPr>
              <w:t>洪武辛亥</w:t>
            </w:r>
          </w:p>
        </w:tc>
        <w:tc>
          <w:tcPr>
            <w:tcW w:w="2954" w:type="pct"/>
            <w:vAlign w:val="center"/>
          </w:tcPr>
          <w:p w14:paraId="40E8348D">
            <w:pPr>
              <w:pStyle w:val="12"/>
              <w:jc w:val="left"/>
            </w:pPr>
            <w:r>
              <w:rPr>
                <w:rFonts w:hint="eastAsia"/>
              </w:rPr>
              <w:t>端州训导，有传</w:t>
            </w:r>
          </w:p>
        </w:tc>
      </w:tr>
      <w:tr w14:paraId="015D7D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BDCACD5">
            <w:pPr>
              <w:pStyle w:val="12"/>
              <w:jc w:val="center"/>
            </w:pPr>
          </w:p>
        </w:tc>
        <w:tc>
          <w:tcPr>
            <w:tcW w:w="678" w:type="pct"/>
            <w:vAlign w:val="center"/>
          </w:tcPr>
          <w:p w14:paraId="220B74FA">
            <w:pPr>
              <w:pStyle w:val="12"/>
              <w:jc w:val="center"/>
            </w:pPr>
            <w:r>
              <w:rPr>
                <w:rFonts w:hint="eastAsia"/>
              </w:rPr>
              <w:t>朱子福</w:t>
            </w:r>
          </w:p>
        </w:tc>
        <w:tc>
          <w:tcPr>
            <w:tcW w:w="728" w:type="pct"/>
            <w:vAlign w:val="center"/>
          </w:tcPr>
          <w:p w14:paraId="148CDE1B">
            <w:pPr>
              <w:pStyle w:val="12"/>
              <w:jc w:val="center"/>
            </w:pPr>
            <w:r>
              <w:rPr>
                <w:rFonts w:hint="eastAsia"/>
              </w:rPr>
              <w:t>永乐辛丑</w:t>
            </w:r>
          </w:p>
        </w:tc>
        <w:tc>
          <w:tcPr>
            <w:tcW w:w="2954" w:type="pct"/>
            <w:vAlign w:val="center"/>
          </w:tcPr>
          <w:p w14:paraId="1ACB65F7">
            <w:pPr>
              <w:pStyle w:val="12"/>
              <w:jc w:val="left"/>
            </w:pPr>
            <w:r>
              <w:rPr>
                <w:rFonts w:hint="eastAsia"/>
              </w:rPr>
              <w:t>累官行人，有传</w:t>
            </w:r>
          </w:p>
        </w:tc>
      </w:tr>
      <w:tr w14:paraId="354446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FED3427">
            <w:pPr>
              <w:pStyle w:val="12"/>
              <w:jc w:val="center"/>
            </w:pPr>
          </w:p>
        </w:tc>
        <w:tc>
          <w:tcPr>
            <w:tcW w:w="678" w:type="pct"/>
            <w:vAlign w:val="center"/>
          </w:tcPr>
          <w:p w14:paraId="7E5726B9">
            <w:pPr>
              <w:pStyle w:val="12"/>
              <w:jc w:val="center"/>
            </w:pPr>
            <w:r>
              <w:rPr>
                <w:rFonts w:hint="eastAsia"/>
              </w:rPr>
              <w:t>陈  纲</w:t>
            </w:r>
          </w:p>
        </w:tc>
        <w:tc>
          <w:tcPr>
            <w:tcW w:w="728" w:type="pct"/>
            <w:vAlign w:val="center"/>
          </w:tcPr>
          <w:p w14:paraId="42F4BE65">
            <w:pPr>
              <w:pStyle w:val="12"/>
              <w:jc w:val="center"/>
            </w:pPr>
            <w:r>
              <w:rPr>
                <w:rFonts w:hint="eastAsia"/>
              </w:rPr>
              <w:t>永乐辛丑</w:t>
            </w:r>
          </w:p>
        </w:tc>
        <w:tc>
          <w:tcPr>
            <w:tcW w:w="2954" w:type="pct"/>
            <w:vAlign w:val="center"/>
          </w:tcPr>
          <w:p w14:paraId="7192B8B9">
            <w:pPr>
              <w:pStyle w:val="12"/>
              <w:jc w:val="left"/>
            </w:pPr>
            <w:r>
              <w:rPr>
                <w:rFonts w:hint="eastAsia"/>
              </w:rPr>
              <w:t>解元连捷</w:t>
            </w:r>
          </w:p>
        </w:tc>
      </w:tr>
      <w:tr w14:paraId="4C7185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F8524CD">
            <w:pPr>
              <w:pStyle w:val="12"/>
              <w:jc w:val="center"/>
            </w:pPr>
          </w:p>
        </w:tc>
        <w:tc>
          <w:tcPr>
            <w:tcW w:w="678" w:type="pct"/>
            <w:vAlign w:val="center"/>
          </w:tcPr>
          <w:p w14:paraId="32311ABA">
            <w:pPr>
              <w:pStyle w:val="12"/>
              <w:jc w:val="center"/>
            </w:pPr>
            <w:r>
              <w:rPr>
                <w:rFonts w:hint="eastAsia"/>
              </w:rPr>
              <w:t>邱文瀚</w:t>
            </w:r>
          </w:p>
        </w:tc>
        <w:tc>
          <w:tcPr>
            <w:tcW w:w="728" w:type="pct"/>
            <w:vAlign w:val="center"/>
          </w:tcPr>
          <w:p w14:paraId="4EE6D8EF">
            <w:pPr>
              <w:pStyle w:val="12"/>
              <w:jc w:val="center"/>
            </w:pPr>
            <w:r>
              <w:rPr>
                <w:rFonts w:hint="eastAsia"/>
              </w:rPr>
              <w:t>成化甲辰</w:t>
            </w:r>
          </w:p>
        </w:tc>
        <w:tc>
          <w:tcPr>
            <w:tcW w:w="2954" w:type="pct"/>
            <w:vAlign w:val="center"/>
          </w:tcPr>
          <w:p w14:paraId="468ED274">
            <w:pPr>
              <w:pStyle w:val="12"/>
              <w:jc w:val="left"/>
            </w:pPr>
            <w:r>
              <w:rPr>
                <w:rFonts w:hint="eastAsia"/>
              </w:rPr>
              <w:t>翰林院检讨，有传</w:t>
            </w:r>
          </w:p>
        </w:tc>
      </w:tr>
      <w:tr w14:paraId="0C6BD3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D574235">
            <w:pPr>
              <w:pStyle w:val="12"/>
              <w:jc w:val="center"/>
            </w:pPr>
          </w:p>
        </w:tc>
        <w:tc>
          <w:tcPr>
            <w:tcW w:w="678" w:type="pct"/>
            <w:vAlign w:val="center"/>
          </w:tcPr>
          <w:p w14:paraId="1E668D5F">
            <w:pPr>
              <w:pStyle w:val="12"/>
              <w:jc w:val="center"/>
            </w:pPr>
            <w:r>
              <w:rPr>
                <w:rFonts w:hint="eastAsia"/>
              </w:rPr>
              <w:t>谭大初</w:t>
            </w:r>
          </w:p>
        </w:tc>
        <w:tc>
          <w:tcPr>
            <w:tcW w:w="728" w:type="pct"/>
            <w:vAlign w:val="center"/>
          </w:tcPr>
          <w:p w14:paraId="036F771E">
            <w:pPr>
              <w:pStyle w:val="12"/>
              <w:jc w:val="center"/>
            </w:pPr>
            <w:r>
              <w:rPr>
                <w:rFonts w:hint="eastAsia"/>
              </w:rPr>
              <w:t>嘉靖戊戌</w:t>
            </w:r>
          </w:p>
        </w:tc>
        <w:tc>
          <w:tcPr>
            <w:tcW w:w="2954" w:type="pct"/>
            <w:vAlign w:val="center"/>
          </w:tcPr>
          <w:p w14:paraId="630AFE18">
            <w:pPr>
              <w:pStyle w:val="12"/>
              <w:jc w:val="left"/>
            </w:pPr>
            <w:r>
              <w:rPr>
                <w:rFonts w:hint="eastAsia"/>
              </w:rPr>
              <w:t>累官南京户部尚书，谥庄懿，有传</w:t>
            </w:r>
          </w:p>
        </w:tc>
      </w:tr>
      <w:tr w14:paraId="4D4F19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65AF405">
            <w:pPr>
              <w:pStyle w:val="12"/>
              <w:jc w:val="center"/>
            </w:pPr>
          </w:p>
        </w:tc>
        <w:tc>
          <w:tcPr>
            <w:tcW w:w="678" w:type="pct"/>
            <w:vAlign w:val="center"/>
          </w:tcPr>
          <w:p w14:paraId="2C1A9FA1">
            <w:pPr>
              <w:pStyle w:val="12"/>
              <w:jc w:val="center"/>
            </w:pPr>
            <w:r>
              <w:rPr>
                <w:rFonts w:hint="eastAsia"/>
              </w:rPr>
              <w:t>汪  桴</w:t>
            </w:r>
          </w:p>
        </w:tc>
        <w:tc>
          <w:tcPr>
            <w:tcW w:w="728" w:type="pct"/>
            <w:vAlign w:val="center"/>
          </w:tcPr>
          <w:p w14:paraId="4000EB42">
            <w:pPr>
              <w:pStyle w:val="12"/>
              <w:jc w:val="center"/>
            </w:pPr>
            <w:r>
              <w:rPr>
                <w:rFonts w:hint="eastAsia"/>
              </w:rPr>
              <w:t>万历甲辰</w:t>
            </w:r>
          </w:p>
        </w:tc>
        <w:tc>
          <w:tcPr>
            <w:tcW w:w="2954" w:type="pct"/>
            <w:vAlign w:val="center"/>
          </w:tcPr>
          <w:p w14:paraId="172392FC">
            <w:pPr>
              <w:pStyle w:val="12"/>
              <w:jc w:val="left"/>
            </w:pPr>
            <w:r>
              <w:rPr>
                <w:rFonts w:hint="eastAsia"/>
              </w:rPr>
              <w:t>御史贞之后，历兵部主事，有传</w:t>
            </w:r>
          </w:p>
        </w:tc>
      </w:tr>
      <w:tr w14:paraId="618EF4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3A20FCF">
            <w:pPr>
              <w:pStyle w:val="12"/>
              <w:jc w:val="center"/>
            </w:pPr>
          </w:p>
        </w:tc>
        <w:tc>
          <w:tcPr>
            <w:tcW w:w="678" w:type="pct"/>
            <w:vAlign w:val="center"/>
          </w:tcPr>
          <w:p w14:paraId="12EDDBA5">
            <w:pPr>
              <w:pStyle w:val="12"/>
              <w:jc w:val="center"/>
            </w:pPr>
            <w:r>
              <w:rPr>
                <w:rFonts w:hint="eastAsia"/>
              </w:rPr>
              <w:t>杨  纮</w:t>
            </w:r>
          </w:p>
        </w:tc>
        <w:tc>
          <w:tcPr>
            <w:tcW w:w="728" w:type="pct"/>
            <w:vAlign w:val="center"/>
          </w:tcPr>
          <w:p w14:paraId="0269E122">
            <w:pPr>
              <w:pStyle w:val="12"/>
              <w:jc w:val="center"/>
            </w:pPr>
            <w:r>
              <w:rPr>
                <w:rFonts w:hint="eastAsia"/>
              </w:rPr>
              <w:t>万历甲辰</w:t>
            </w:r>
          </w:p>
        </w:tc>
        <w:tc>
          <w:tcPr>
            <w:tcW w:w="2954" w:type="pct"/>
            <w:vAlign w:val="center"/>
          </w:tcPr>
          <w:p w14:paraId="1385F578">
            <w:pPr>
              <w:pStyle w:val="12"/>
              <w:jc w:val="left"/>
            </w:pPr>
            <w:r>
              <w:rPr>
                <w:rFonts w:hint="eastAsia"/>
              </w:rPr>
              <w:t>北直邢台知县，剔蠧爱民，卒于任，祀乡贤</w:t>
            </w:r>
          </w:p>
        </w:tc>
      </w:tr>
      <w:tr w14:paraId="34C9AB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1BF9A16">
            <w:pPr>
              <w:pStyle w:val="12"/>
              <w:jc w:val="center"/>
            </w:pPr>
          </w:p>
        </w:tc>
        <w:tc>
          <w:tcPr>
            <w:tcW w:w="678" w:type="pct"/>
            <w:vAlign w:val="center"/>
          </w:tcPr>
          <w:p w14:paraId="301EA806">
            <w:pPr>
              <w:pStyle w:val="12"/>
              <w:jc w:val="center"/>
            </w:pPr>
            <w:r>
              <w:rPr>
                <w:rFonts w:hint="eastAsia"/>
              </w:rPr>
              <w:t>廖攀龙</w:t>
            </w:r>
          </w:p>
        </w:tc>
        <w:tc>
          <w:tcPr>
            <w:tcW w:w="728" w:type="pct"/>
            <w:vAlign w:val="center"/>
          </w:tcPr>
          <w:p w14:paraId="28A06169">
            <w:pPr>
              <w:pStyle w:val="12"/>
              <w:jc w:val="center"/>
            </w:pPr>
            <w:r>
              <w:rPr>
                <w:rFonts w:hint="eastAsia"/>
              </w:rPr>
              <w:t>崇正丁丑</w:t>
            </w:r>
          </w:p>
        </w:tc>
        <w:tc>
          <w:tcPr>
            <w:tcW w:w="2954" w:type="pct"/>
            <w:vAlign w:val="center"/>
          </w:tcPr>
          <w:p w14:paraId="22923291">
            <w:pPr>
              <w:pStyle w:val="12"/>
              <w:jc w:val="left"/>
            </w:pPr>
            <w:r>
              <w:rPr>
                <w:rFonts w:hint="eastAsia"/>
              </w:rPr>
              <w:t>授福建将乐知县，调遵化，顺治甲申行取授御史，巡视西城，历陕西茶马及巡按直隶顺永保河等处，有传</w:t>
            </w:r>
          </w:p>
        </w:tc>
      </w:tr>
      <w:tr w14:paraId="3062FB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restart"/>
            <w:vAlign w:val="center"/>
          </w:tcPr>
          <w:p w14:paraId="165F87A2">
            <w:pPr>
              <w:pStyle w:val="12"/>
              <w:jc w:val="center"/>
            </w:pPr>
            <w:r>
              <w:rPr>
                <w:rFonts w:hint="eastAsia"/>
              </w:rPr>
              <w:t>举  人</w:t>
            </w:r>
          </w:p>
        </w:tc>
        <w:tc>
          <w:tcPr>
            <w:tcW w:w="678" w:type="pct"/>
            <w:vAlign w:val="center"/>
          </w:tcPr>
          <w:p w14:paraId="3C11DB37">
            <w:pPr>
              <w:pStyle w:val="12"/>
              <w:jc w:val="center"/>
            </w:pPr>
            <w:r>
              <w:rPr>
                <w:rFonts w:hint="eastAsia"/>
              </w:rPr>
              <w:t>张寿龄</w:t>
            </w:r>
          </w:p>
        </w:tc>
        <w:tc>
          <w:tcPr>
            <w:tcW w:w="728" w:type="pct"/>
            <w:vAlign w:val="center"/>
          </w:tcPr>
          <w:p w14:paraId="6C5B752B">
            <w:pPr>
              <w:pStyle w:val="12"/>
              <w:jc w:val="center"/>
            </w:pPr>
            <w:r>
              <w:rPr>
                <w:rFonts w:hint="eastAsia"/>
              </w:rPr>
              <w:t>洪武庚申</w:t>
            </w:r>
          </w:p>
        </w:tc>
        <w:tc>
          <w:tcPr>
            <w:tcW w:w="2954" w:type="pct"/>
            <w:vAlign w:val="center"/>
          </w:tcPr>
          <w:p w14:paraId="3BD4ACDB">
            <w:pPr>
              <w:pStyle w:val="12"/>
              <w:jc w:val="left"/>
            </w:pPr>
            <w:r>
              <w:rPr>
                <w:rFonts w:hint="eastAsia"/>
              </w:rPr>
              <w:t>见进士</w:t>
            </w:r>
          </w:p>
        </w:tc>
      </w:tr>
      <w:tr w14:paraId="18895E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77F46B8">
            <w:pPr>
              <w:pStyle w:val="12"/>
              <w:jc w:val="center"/>
            </w:pPr>
          </w:p>
        </w:tc>
        <w:tc>
          <w:tcPr>
            <w:tcW w:w="678" w:type="pct"/>
            <w:vAlign w:val="center"/>
          </w:tcPr>
          <w:p w14:paraId="607C7566">
            <w:pPr>
              <w:pStyle w:val="12"/>
              <w:jc w:val="center"/>
            </w:pPr>
            <w:r>
              <w:rPr>
                <w:rFonts w:hint="eastAsia"/>
              </w:rPr>
              <w:t>邹中正</w:t>
            </w:r>
          </w:p>
        </w:tc>
        <w:tc>
          <w:tcPr>
            <w:tcW w:w="728" w:type="pct"/>
            <w:vAlign w:val="center"/>
          </w:tcPr>
          <w:p w14:paraId="418153AB">
            <w:pPr>
              <w:pStyle w:val="12"/>
              <w:jc w:val="center"/>
            </w:pPr>
            <w:r>
              <w:rPr>
                <w:rFonts w:hint="eastAsia"/>
              </w:rPr>
              <w:t>洪武甲子</w:t>
            </w:r>
          </w:p>
        </w:tc>
        <w:tc>
          <w:tcPr>
            <w:tcW w:w="2954" w:type="pct"/>
            <w:vAlign w:val="center"/>
          </w:tcPr>
          <w:p w14:paraId="44CD60B4">
            <w:pPr>
              <w:pStyle w:val="12"/>
              <w:jc w:val="left"/>
            </w:pPr>
            <w:r>
              <w:rPr>
                <w:rFonts w:hint="eastAsia"/>
              </w:rPr>
              <w:t>一作邓忠正，富川教谕</w:t>
            </w:r>
          </w:p>
        </w:tc>
      </w:tr>
      <w:tr w14:paraId="3084F3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A902590">
            <w:pPr>
              <w:pStyle w:val="12"/>
              <w:jc w:val="center"/>
            </w:pPr>
          </w:p>
        </w:tc>
        <w:tc>
          <w:tcPr>
            <w:tcW w:w="678" w:type="pct"/>
            <w:vAlign w:val="center"/>
          </w:tcPr>
          <w:p w14:paraId="0DB72143">
            <w:pPr>
              <w:pStyle w:val="12"/>
              <w:jc w:val="center"/>
            </w:pPr>
            <w:r>
              <w:rPr>
                <w:rFonts w:hint="eastAsia"/>
              </w:rPr>
              <w:t>甘友信</w:t>
            </w:r>
          </w:p>
        </w:tc>
        <w:tc>
          <w:tcPr>
            <w:tcW w:w="728" w:type="pct"/>
            <w:vAlign w:val="center"/>
          </w:tcPr>
          <w:p w14:paraId="60B0270C">
            <w:pPr>
              <w:pStyle w:val="12"/>
              <w:jc w:val="center"/>
            </w:pPr>
            <w:r>
              <w:rPr>
                <w:rFonts w:hint="eastAsia"/>
              </w:rPr>
              <w:t>洪武甲子</w:t>
            </w:r>
          </w:p>
        </w:tc>
        <w:tc>
          <w:tcPr>
            <w:tcW w:w="2954" w:type="pct"/>
            <w:vAlign w:val="center"/>
          </w:tcPr>
          <w:p w14:paraId="7D08628B">
            <w:pPr>
              <w:pStyle w:val="12"/>
              <w:jc w:val="left"/>
            </w:pPr>
            <w:r>
              <w:rPr>
                <w:rFonts w:hint="eastAsia"/>
              </w:rPr>
              <w:t>见进士</w:t>
            </w:r>
          </w:p>
        </w:tc>
      </w:tr>
      <w:tr w14:paraId="0DD9F5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53FE8A6">
            <w:pPr>
              <w:pStyle w:val="12"/>
              <w:jc w:val="center"/>
            </w:pPr>
          </w:p>
        </w:tc>
        <w:tc>
          <w:tcPr>
            <w:tcW w:w="678" w:type="pct"/>
            <w:vAlign w:val="center"/>
          </w:tcPr>
          <w:p w14:paraId="697AF084">
            <w:pPr>
              <w:pStyle w:val="12"/>
              <w:jc w:val="center"/>
            </w:pPr>
            <w:r>
              <w:rPr>
                <w:rFonts w:hint="eastAsia"/>
              </w:rPr>
              <w:t>谭孟皋</w:t>
            </w:r>
          </w:p>
        </w:tc>
        <w:tc>
          <w:tcPr>
            <w:tcW w:w="728" w:type="pct"/>
            <w:vAlign w:val="center"/>
          </w:tcPr>
          <w:p w14:paraId="7F0DDADA">
            <w:pPr>
              <w:pStyle w:val="12"/>
              <w:jc w:val="center"/>
            </w:pPr>
            <w:r>
              <w:rPr>
                <w:rFonts w:hint="eastAsia"/>
              </w:rPr>
              <w:t>洪武丁卯</w:t>
            </w:r>
          </w:p>
        </w:tc>
        <w:tc>
          <w:tcPr>
            <w:tcW w:w="2954" w:type="pct"/>
            <w:vAlign w:val="center"/>
          </w:tcPr>
          <w:p w14:paraId="3F4F37AB">
            <w:pPr>
              <w:pStyle w:val="12"/>
              <w:jc w:val="left"/>
            </w:pPr>
            <w:r>
              <w:rPr>
                <w:rFonts w:hint="eastAsia"/>
              </w:rPr>
              <w:t>南宁同知</w:t>
            </w:r>
          </w:p>
        </w:tc>
      </w:tr>
      <w:tr w14:paraId="72F189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C4EA110">
            <w:pPr>
              <w:pStyle w:val="12"/>
              <w:jc w:val="center"/>
            </w:pPr>
          </w:p>
        </w:tc>
        <w:tc>
          <w:tcPr>
            <w:tcW w:w="678" w:type="pct"/>
            <w:vAlign w:val="center"/>
          </w:tcPr>
          <w:p w14:paraId="3EB3F093">
            <w:pPr>
              <w:pStyle w:val="12"/>
              <w:jc w:val="center"/>
            </w:pPr>
            <w:r>
              <w:rPr>
                <w:rFonts w:hint="eastAsia"/>
              </w:rPr>
              <w:t>邹子正</w:t>
            </w:r>
          </w:p>
        </w:tc>
        <w:tc>
          <w:tcPr>
            <w:tcW w:w="728" w:type="pct"/>
            <w:vAlign w:val="center"/>
          </w:tcPr>
          <w:p w14:paraId="0A2CB03C">
            <w:pPr>
              <w:pStyle w:val="12"/>
              <w:jc w:val="center"/>
            </w:pPr>
            <w:r>
              <w:rPr>
                <w:rFonts w:hint="eastAsia"/>
              </w:rPr>
              <w:t>洪武丁卯</w:t>
            </w:r>
          </w:p>
        </w:tc>
        <w:tc>
          <w:tcPr>
            <w:tcW w:w="2954" w:type="pct"/>
            <w:vAlign w:val="center"/>
          </w:tcPr>
          <w:p w14:paraId="0844B4FD">
            <w:pPr>
              <w:pStyle w:val="12"/>
              <w:jc w:val="left"/>
            </w:pPr>
            <w:r>
              <w:rPr>
                <w:rFonts w:hint="eastAsia"/>
              </w:rPr>
              <w:t>万安教谕</w:t>
            </w:r>
          </w:p>
        </w:tc>
      </w:tr>
      <w:tr w14:paraId="5DB7897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1E0412A0">
            <w:pPr>
              <w:pStyle w:val="12"/>
              <w:jc w:val="center"/>
            </w:pPr>
          </w:p>
        </w:tc>
        <w:tc>
          <w:tcPr>
            <w:tcW w:w="678" w:type="pct"/>
            <w:vAlign w:val="center"/>
          </w:tcPr>
          <w:p w14:paraId="27F877C7">
            <w:pPr>
              <w:pStyle w:val="12"/>
              <w:jc w:val="center"/>
            </w:pPr>
            <w:r>
              <w:rPr>
                <w:rFonts w:hint="eastAsia"/>
              </w:rPr>
              <w:t>曾子实</w:t>
            </w:r>
          </w:p>
        </w:tc>
        <w:tc>
          <w:tcPr>
            <w:tcW w:w="728" w:type="pct"/>
            <w:vAlign w:val="center"/>
          </w:tcPr>
          <w:p w14:paraId="45EBCFD9">
            <w:pPr>
              <w:pStyle w:val="12"/>
              <w:jc w:val="center"/>
            </w:pPr>
            <w:r>
              <w:rPr>
                <w:rFonts w:hint="eastAsia"/>
              </w:rPr>
              <w:t>洪武丁卯</w:t>
            </w:r>
          </w:p>
        </w:tc>
        <w:tc>
          <w:tcPr>
            <w:tcW w:w="2954" w:type="pct"/>
            <w:vAlign w:val="center"/>
          </w:tcPr>
          <w:p w14:paraId="69BA928F">
            <w:pPr>
              <w:pStyle w:val="12"/>
              <w:jc w:val="left"/>
            </w:pPr>
            <w:r>
              <w:rPr>
                <w:rFonts w:hint="eastAsia"/>
              </w:rPr>
              <w:t>萧县教谕</w:t>
            </w:r>
          </w:p>
        </w:tc>
      </w:tr>
      <w:tr w14:paraId="0C79D8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5ABBC1D">
            <w:pPr>
              <w:pStyle w:val="12"/>
              <w:jc w:val="center"/>
            </w:pPr>
          </w:p>
        </w:tc>
        <w:tc>
          <w:tcPr>
            <w:tcW w:w="678" w:type="pct"/>
            <w:vAlign w:val="center"/>
          </w:tcPr>
          <w:p w14:paraId="4C2334EB">
            <w:pPr>
              <w:pStyle w:val="12"/>
              <w:jc w:val="center"/>
            </w:pPr>
            <w:r>
              <w:rPr>
                <w:rFonts w:hint="eastAsia"/>
              </w:rPr>
              <w:t>刘思恭</w:t>
            </w:r>
          </w:p>
        </w:tc>
        <w:tc>
          <w:tcPr>
            <w:tcW w:w="728" w:type="pct"/>
            <w:vAlign w:val="center"/>
          </w:tcPr>
          <w:p w14:paraId="39B9E4F1">
            <w:pPr>
              <w:pStyle w:val="12"/>
              <w:jc w:val="center"/>
            </w:pPr>
            <w:r>
              <w:rPr>
                <w:rFonts w:hint="eastAsia"/>
              </w:rPr>
              <w:t>洪武庚午</w:t>
            </w:r>
          </w:p>
        </w:tc>
        <w:tc>
          <w:tcPr>
            <w:tcW w:w="2954" w:type="pct"/>
            <w:vAlign w:val="center"/>
          </w:tcPr>
          <w:p w14:paraId="65421210">
            <w:pPr>
              <w:pStyle w:val="12"/>
              <w:jc w:val="left"/>
            </w:pPr>
          </w:p>
        </w:tc>
      </w:tr>
      <w:tr w14:paraId="691757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CDAFA9E">
            <w:pPr>
              <w:pStyle w:val="12"/>
              <w:jc w:val="center"/>
            </w:pPr>
          </w:p>
        </w:tc>
        <w:tc>
          <w:tcPr>
            <w:tcW w:w="678" w:type="pct"/>
            <w:vAlign w:val="center"/>
          </w:tcPr>
          <w:p w14:paraId="418BEB31">
            <w:pPr>
              <w:pStyle w:val="12"/>
              <w:jc w:val="center"/>
            </w:pPr>
            <w:r>
              <w:rPr>
                <w:rFonts w:hint="eastAsia"/>
              </w:rPr>
              <w:t>麦懋德</w:t>
            </w:r>
          </w:p>
        </w:tc>
        <w:tc>
          <w:tcPr>
            <w:tcW w:w="728" w:type="pct"/>
            <w:vAlign w:val="center"/>
          </w:tcPr>
          <w:p w14:paraId="4F9AE83E">
            <w:pPr>
              <w:pStyle w:val="12"/>
              <w:jc w:val="center"/>
            </w:pPr>
            <w:r>
              <w:rPr>
                <w:rFonts w:hint="eastAsia"/>
              </w:rPr>
              <w:t>洪武庚午</w:t>
            </w:r>
          </w:p>
        </w:tc>
        <w:tc>
          <w:tcPr>
            <w:tcW w:w="2954" w:type="pct"/>
            <w:vAlign w:val="center"/>
          </w:tcPr>
          <w:p w14:paraId="3E1E779D">
            <w:pPr>
              <w:pStyle w:val="12"/>
              <w:jc w:val="left"/>
            </w:pPr>
            <w:r>
              <w:rPr>
                <w:rFonts w:hint="eastAsia"/>
              </w:rPr>
              <w:t>铁权之后，象州学正</w:t>
            </w:r>
          </w:p>
        </w:tc>
      </w:tr>
      <w:tr w14:paraId="176229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678315B">
            <w:pPr>
              <w:pStyle w:val="12"/>
              <w:jc w:val="center"/>
            </w:pPr>
          </w:p>
        </w:tc>
        <w:tc>
          <w:tcPr>
            <w:tcW w:w="678" w:type="pct"/>
            <w:vAlign w:val="center"/>
          </w:tcPr>
          <w:p w14:paraId="023EB11F">
            <w:pPr>
              <w:pStyle w:val="12"/>
              <w:jc w:val="center"/>
            </w:pPr>
            <w:r>
              <w:rPr>
                <w:rFonts w:hint="eastAsia"/>
              </w:rPr>
              <w:t>何礼节</w:t>
            </w:r>
          </w:p>
        </w:tc>
        <w:tc>
          <w:tcPr>
            <w:tcW w:w="728" w:type="pct"/>
            <w:vAlign w:val="center"/>
          </w:tcPr>
          <w:p w14:paraId="7E4F30E6">
            <w:pPr>
              <w:pStyle w:val="12"/>
              <w:jc w:val="center"/>
            </w:pPr>
            <w:r>
              <w:rPr>
                <w:rFonts w:hint="eastAsia"/>
              </w:rPr>
              <w:t>洪武庚午</w:t>
            </w:r>
          </w:p>
        </w:tc>
        <w:tc>
          <w:tcPr>
            <w:tcW w:w="2954" w:type="pct"/>
            <w:vAlign w:val="center"/>
          </w:tcPr>
          <w:p w14:paraId="662859CF">
            <w:pPr>
              <w:pStyle w:val="12"/>
              <w:jc w:val="left"/>
            </w:pPr>
            <w:r>
              <w:rPr>
                <w:rFonts w:hint="eastAsia"/>
              </w:rPr>
              <w:t>安庆教授</w:t>
            </w:r>
          </w:p>
        </w:tc>
      </w:tr>
      <w:tr w14:paraId="6BC340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08713D1">
            <w:pPr>
              <w:pStyle w:val="12"/>
              <w:jc w:val="center"/>
            </w:pPr>
          </w:p>
        </w:tc>
        <w:tc>
          <w:tcPr>
            <w:tcW w:w="678" w:type="pct"/>
            <w:vAlign w:val="center"/>
          </w:tcPr>
          <w:p w14:paraId="43ECBDA3">
            <w:pPr>
              <w:pStyle w:val="12"/>
              <w:jc w:val="center"/>
            </w:pPr>
            <w:r>
              <w:rPr>
                <w:rFonts w:hint="eastAsia"/>
              </w:rPr>
              <w:t>邓贤益</w:t>
            </w:r>
          </w:p>
        </w:tc>
        <w:tc>
          <w:tcPr>
            <w:tcW w:w="728" w:type="pct"/>
            <w:vAlign w:val="center"/>
          </w:tcPr>
          <w:p w14:paraId="2079022B">
            <w:pPr>
              <w:pStyle w:val="12"/>
              <w:jc w:val="center"/>
            </w:pPr>
            <w:r>
              <w:rPr>
                <w:rFonts w:hint="eastAsia"/>
              </w:rPr>
              <w:t>洪武庚午</w:t>
            </w:r>
          </w:p>
        </w:tc>
        <w:tc>
          <w:tcPr>
            <w:tcW w:w="2954" w:type="pct"/>
            <w:vAlign w:val="center"/>
          </w:tcPr>
          <w:p w14:paraId="68E3ED31">
            <w:pPr>
              <w:pStyle w:val="12"/>
              <w:jc w:val="left"/>
            </w:pPr>
            <w:r>
              <w:rPr>
                <w:rFonts w:hint="eastAsia"/>
              </w:rPr>
              <w:t>安仁典史</w:t>
            </w:r>
          </w:p>
        </w:tc>
      </w:tr>
      <w:tr w14:paraId="759414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95AF0E7">
            <w:pPr>
              <w:pStyle w:val="12"/>
              <w:jc w:val="center"/>
            </w:pPr>
          </w:p>
        </w:tc>
        <w:tc>
          <w:tcPr>
            <w:tcW w:w="678" w:type="pct"/>
            <w:vAlign w:val="center"/>
          </w:tcPr>
          <w:p w14:paraId="4002BC96">
            <w:pPr>
              <w:pStyle w:val="12"/>
              <w:jc w:val="center"/>
            </w:pPr>
            <w:r>
              <w:rPr>
                <w:rFonts w:hint="eastAsia"/>
              </w:rPr>
              <w:t>冯克敏</w:t>
            </w:r>
          </w:p>
        </w:tc>
        <w:tc>
          <w:tcPr>
            <w:tcW w:w="728" w:type="pct"/>
            <w:vAlign w:val="center"/>
          </w:tcPr>
          <w:p w14:paraId="340556A3">
            <w:pPr>
              <w:pStyle w:val="12"/>
              <w:jc w:val="center"/>
            </w:pPr>
            <w:r>
              <w:rPr>
                <w:rFonts w:hint="eastAsia"/>
              </w:rPr>
              <w:t>洪武丙子</w:t>
            </w:r>
          </w:p>
        </w:tc>
        <w:tc>
          <w:tcPr>
            <w:tcW w:w="2954" w:type="pct"/>
            <w:vAlign w:val="center"/>
          </w:tcPr>
          <w:p w14:paraId="681E0F6E">
            <w:pPr>
              <w:pStyle w:val="12"/>
              <w:jc w:val="left"/>
            </w:pPr>
            <w:r>
              <w:rPr>
                <w:rFonts w:hint="eastAsia"/>
              </w:rPr>
              <w:t>石阡教授</w:t>
            </w:r>
          </w:p>
        </w:tc>
      </w:tr>
      <w:tr w14:paraId="7970C6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2E82C47">
            <w:pPr>
              <w:pStyle w:val="12"/>
              <w:jc w:val="center"/>
            </w:pPr>
          </w:p>
        </w:tc>
        <w:tc>
          <w:tcPr>
            <w:tcW w:w="678" w:type="pct"/>
            <w:vAlign w:val="center"/>
          </w:tcPr>
          <w:p w14:paraId="25DD4FB5">
            <w:pPr>
              <w:pStyle w:val="12"/>
              <w:jc w:val="center"/>
            </w:pPr>
            <w:r>
              <w:rPr>
                <w:rFonts w:hint="eastAsia"/>
              </w:rPr>
              <w:t>陈直方</w:t>
            </w:r>
          </w:p>
        </w:tc>
        <w:tc>
          <w:tcPr>
            <w:tcW w:w="728" w:type="pct"/>
            <w:vAlign w:val="center"/>
          </w:tcPr>
          <w:p w14:paraId="48735273">
            <w:pPr>
              <w:pStyle w:val="12"/>
              <w:jc w:val="center"/>
            </w:pPr>
            <w:r>
              <w:rPr>
                <w:rFonts w:hint="eastAsia"/>
              </w:rPr>
              <w:t>建文己卯</w:t>
            </w:r>
          </w:p>
        </w:tc>
        <w:tc>
          <w:tcPr>
            <w:tcW w:w="2954" w:type="pct"/>
            <w:vAlign w:val="center"/>
          </w:tcPr>
          <w:p w14:paraId="1CB3DD05">
            <w:pPr>
              <w:pStyle w:val="12"/>
              <w:jc w:val="left"/>
            </w:pPr>
            <w:r>
              <w:rPr>
                <w:rFonts w:hint="eastAsia"/>
              </w:rPr>
              <w:t>累官刑部员外郎</w:t>
            </w:r>
          </w:p>
        </w:tc>
      </w:tr>
      <w:tr w14:paraId="498E3A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0129400">
            <w:pPr>
              <w:pStyle w:val="12"/>
              <w:jc w:val="center"/>
            </w:pPr>
          </w:p>
        </w:tc>
        <w:tc>
          <w:tcPr>
            <w:tcW w:w="678" w:type="pct"/>
            <w:vAlign w:val="center"/>
          </w:tcPr>
          <w:p w14:paraId="6B121996">
            <w:pPr>
              <w:pStyle w:val="12"/>
              <w:jc w:val="center"/>
            </w:pPr>
            <w:r>
              <w:rPr>
                <w:rFonts w:hint="eastAsia"/>
              </w:rPr>
              <w:t>叶孟芳</w:t>
            </w:r>
          </w:p>
        </w:tc>
        <w:tc>
          <w:tcPr>
            <w:tcW w:w="728" w:type="pct"/>
            <w:vAlign w:val="center"/>
          </w:tcPr>
          <w:p w14:paraId="61415E33">
            <w:pPr>
              <w:pStyle w:val="12"/>
              <w:jc w:val="center"/>
            </w:pPr>
            <w:r>
              <w:rPr>
                <w:rFonts w:hint="eastAsia"/>
              </w:rPr>
              <w:t>建文壬午</w:t>
            </w:r>
          </w:p>
        </w:tc>
        <w:tc>
          <w:tcPr>
            <w:tcW w:w="2954" w:type="pct"/>
            <w:vAlign w:val="center"/>
          </w:tcPr>
          <w:p w14:paraId="139F6DD3">
            <w:pPr>
              <w:pStyle w:val="12"/>
              <w:jc w:val="left"/>
            </w:pPr>
            <w:r>
              <w:rPr>
                <w:rFonts w:hint="eastAsia"/>
              </w:rPr>
              <w:t>平乐训导</w:t>
            </w:r>
          </w:p>
        </w:tc>
      </w:tr>
      <w:tr w14:paraId="5D9D3B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DC02564">
            <w:pPr>
              <w:pStyle w:val="12"/>
              <w:jc w:val="center"/>
            </w:pPr>
          </w:p>
        </w:tc>
        <w:tc>
          <w:tcPr>
            <w:tcW w:w="678" w:type="pct"/>
            <w:vAlign w:val="center"/>
          </w:tcPr>
          <w:p w14:paraId="2B77CBF7">
            <w:pPr>
              <w:pStyle w:val="12"/>
              <w:jc w:val="center"/>
            </w:pPr>
            <w:r>
              <w:rPr>
                <w:rFonts w:hint="eastAsia"/>
              </w:rPr>
              <w:t>刘  清</w:t>
            </w:r>
          </w:p>
        </w:tc>
        <w:tc>
          <w:tcPr>
            <w:tcW w:w="728" w:type="pct"/>
            <w:vAlign w:val="center"/>
          </w:tcPr>
          <w:p w14:paraId="3EB16DB8">
            <w:pPr>
              <w:pStyle w:val="12"/>
              <w:jc w:val="center"/>
            </w:pPr>
            <w:r>
              <w:rPr>
                <w:rFonts w:hint="eastAsia"/>
              </w:rPr>
              <w:t>永乐乙酉</w:t>
            </w:r>
          </w:p>
        </w:tc>
        <w:tc>
          <w:tcPr>
            <w:tcW w:w="2954" w:type="pct"/>
            <w:vAlign w:val="center"/>
          </w:tcPr>
          <w:p w14:paraId="3199AD03">
            <w:pPr>
              <w:pStyle w:val="12"/>
              <w:jc w:val="left"/>
            </w:pPr>
            <w:r>
              <w:rPr>
                <w:rFonts w:hint="eastAsia"/>
              </w:rPr>
              <w:t>交趾知县</w:t>
            </w:r>
          </w:p>
        </w:tc>
      </w:tr>
      <w:tr w14:paraId="7EFCA2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7FBF43F">
            <w:pPr>
              <w:pStyle w:val="12"/>
              <w:jc w:val="center"/>
            </w:pPr>
          </w:p>
        </w:tc>
        <w:tc>
          <w:tcPr>
            <w:tcW w:w="678" w:type="pct"/>
            <w:vAlign w:val="center"/>
          </w:tcPr>
          <w:p w14:paraId="36A4F5D1">
            <w:pPr>
              <w:pStyle w:val="12"/>
              <w:jc w:val="center"/>
            </w:pPr>
            <w:r>
              <w:rPr>
                <w:rFonts w:hint="eastAsia"/>
              </w:rPr>
              <w:t>叶景春</w:t>
            </w:r>
          </w:p>
        </w:tc>
        <w:tc>
          <w:tcPr>
            <w:tcW w:w="728" w:type="pct"/>
            <w:vAlign w:val="center"/>
          </w:tcPr>
          <w:p w14:paraId="778ECAEC">
            <w:pPr>
              <w:pStyle w:val="12"/>
              <w:jc w:val="center"/>
            </w:pPr>
            <w:r>
              <w:rPr>
                <w:rFonts w:hint="eastAsia"/>
              </w:rPr>
              <w:t>永乐戊子</w:t>
            </w:r>
          </w:p>
        </w:tc>
        <w:tc>
          <w:tcPr>
            <w:tcW w:w="2954" w:type="pct"/>
            <w:vAlign w:val="center"/>
          </w:tcPr>
          <w:p w14:paraId="3D5058D2">
            <w:pPr>
              <w:pStyle w:val="12"/>
              <w:jc w:val="left"/>
            </w:pPr>
            <w:r>
              <w:rPr>
                <w:rFonts w:hint="eastAsia"/>
              </w:rPr>
              <w:t>任主事</w:t>
            </w:r>
          </w:p>
        </w:tc>
      </w:tr>
      <w:tr w14:paraId="7D2A48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46BF512">
            <w:pPr>
              <w:pStyle w:val="12"/>
              <w:jc w:val="center"/>
            </w:pPr>
          </w:p>
        </w:tc>
        <w:tc>
          <w:tcPr>
            <w:tcW w:w="678" w:type="pct"/>
            <w:vAlign w:val="center"/>
          </w:tcPr>
          <w:p w14:paraId="6686DC3D">
            <w:pPr>
              <w:pStyle w:val="12"/>
              <w:jc w:val="center"/>
            </w:pPr>
            <w:r>
              <w:rPr>
                <w:rFonts w:hint="eastAsia"/>
              </w:rPr>
              <w:t>潘  渊</w:t>
            </w:r>
          </w:p>
        </w:tc>
        <w:tc>
          <w:tcPr>
            <w:tcW w:w="728" w:type="pct"/>
            <w:vAlign w:val="center"/>
          </w:tcPr>
          <w:p w14:paraId="221E4180">
            <w:pPr>
              <w:pStyle w:val="12"/>
              <w:jc w:val="center"/>
            </w:pPr>
            <w:r>
              <w:rPr>
                <w:rFonts w:hint="eastAsia"/>
              </w:rPr>
              <w:t>永乐戊子</w:t>
            </w:r>
          </w:p>
        </w:tc>
        <w:tc>
          <w:tcPr>
            <w:tcW w:w="2954" w:type="pct"/>
            <w:vAlign w:val="center"/>
          </w:tcPr>
          <w:p w14:paraId="12357FE9">
            <w:pPr>
              <w:pStyle w:val="12"/>
              <w:jc w:val="left"/>
            </w:pPr>
            <w:r>
              <w:rPr>
                <w:rFonts w:hint="eastAsia"/>
              </w:rPr>
              <w:t>市舶提举</w:t>
            </w:r>
          </w:p>
        </w:tc>
      </w:tr>
      <w:tr w14:paraId="2AA001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DF6B8C6">
            <w:pPr>
              <w:pStyle w:val="12"/>
              <w:jc w:val="center"/>
            </w:pPr>
          </w:p>
        </w:tc>
        <w:tc>
          <w:tcPr>
            <w:tcW w:w="678" w:type="pct"/>
            <w:vAlign w:val="center"/>
          </w:tcPr>
          <w:p w14:paraId="573BC7CD">
            <w:pPr>
              <w:pStyle w:val="12"/>
              <w:jc w:val="center"/>
            </w:pPr>
            <w:r>
              <w:rPr>
                <w:rFonts w:hint="eastAsia"/>
              </w:rPr>
              <w:t>陈  逊</w:t>
            </w:r>
          </w:p>
        </w:tc>
        <w:tc>
          <w:tcPr>
            <w:tcW w:w="728" w:type="pct"/>
            <w:vAlign w:val="center"/>
          </w:tcPr>
          <w:p w14:paraId="036E206F">
            <w:pPr>
              <w:pStyle w:val="12"/>
              <w:jc w:val="center"/>
            </w:pPr>
            <w:r>
              <w:rPr>
                <w:rFonts w:hint="eastAsia"/>
              </w:rPr>
              <w:t>永乐戊子</w:t>
            </w:r>
          </w:p>
        </w:tc>
        <w:tc>
          <w:tcPr>
            <w:tcW w:w="2954" w:type="pct"/>
            <w:vAlign w:val="center"/>
          </w:tcPr>
          <w:p w14:paraId="1416887D">
            <w:pPr>
              <w:pStyle w:val="12"/>
              <w:jc w:val="left"/>
            </w:pPr>
            <w:r>
              <w:rPr>
                <w:rFonts w:hint="eastAsia"/>
              </w:rPr>
              <w:t>进之之孙，历任交趾、惠安知县，擢御史</w:t>
            </w:r>
          </w:p>
        </w:tc>
      </w:tr>
      <w:tr w14:paraId="347389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242F0CE">
            <w:pPr>
              <w:pStyle w:val="12"/>
              <w:jc w:val="center"/>
            </w:pPr>
          </w:p>
        </w:tc>
        <w:tc>
          <w:tcPr>
            <w:tcW w:w="678" w:type="pct"/>
            <w:vAlign w:val="center"/>
          </w:tcPr>
          <w:p w14:paraId="0E520701">
            <w:pPr>
              <w:pStyle w:val="12"/>
              <w:jc w:val="center"/>
            </w:pPr>
            <w:r>
              <w:rPr>
                <w:rFonts w:hint="eastAsia"/>
              </w:rPr>
              <w:t>曹  俊</w:t>
            </w:r>
          </w:p>
        </w:tc>
        <w:tc>
          <w:tcPr>
            <w:tcW w:w="728" w:type="pct"/>
            <w:vAlign w:val="center"/>
          </w:tcPr>
          <w:p w14:paraId="0E6A215B">
            <w:pPr>
              <w:pStyle w:val="12"/>
              <w:jc w:val="center"/>
            </w:pPr>
            <w:r>
              <w:rPr>
                <w:rFonts w:hint="eastAsia"/>
              </w:rPr>
              <w:t>永乐戊子</w:t>
            </w:r>
          </w:p>
        </w:tc>
        <w:tc>
          <w:tcPr>
            <w:tcW w:w="2954" w:type="pct"/>
            <w:vAlign w:val="center"/>
          </w:tcPr>
          <w:p w14:paraId="6EC75FD6">
            <w:pPr>
              <w:pStyle w:val="12"/>
              <w:jc w:val="left"/>
            </w:pPr>
            <w:r>
              <w:rPr>
                <w:rFonts w:hint="eastAsia"/>
              </w:rPr>
              <w:t>交趾主簿</w:t>
            </w:r>
          </w:p>
        </w:tc>
      </w:tr>
      <w:tr w14:paraId="4E9D94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44ECE89">
            <w:pPr>
              <w:pStyle w:val="12"/>
              <w:jc w:val="center"/>
            </w:pPr>
          </w:p>
        </w:tc>
        <w:tc>
          <w:tcPr>
            <w:tcW w:w="678" w:type="pct"/>
            <w:vAlign w:val="center"/>
          </w:tcPr>
          <w:p w14:paraId="5D538CA9">
            <w:pPr>
              <w:pStyle w:val="12"/>
              <w:jc w:val="center"/>
            </w:pPr>
            <w:r>
              <w:rPr>
                <w:rFonts w:hint="eastAsia"/>
              </w:rPr>
              <w:t>谢子宏</w:t>
            </w:r>
          </w:p>
        </w:tc>
        <w:tc>
          <w:tcPr>
            <w:tcW w:w="728" w:type="pct"/>
            <w:vAlign w:val="center"/>
          </w:tcPr>
          <w:p w14:paraId="72B64C35">
            <w:pPr>
              <w:pStyle w:val="12"/>
              <w:jc w:val="center"/>
            </w:pPr>
            <w:r>
              <w:rPr>
                <w:rFonts w:hint="eastAsia"/>
              </w:rPr>
              <w:t>永乐戊子</w:t>
            </w:r>
          </w:p>
        </w:tc>
        <w:tc>
          <w:tcPr>
            <w:tcW w:w="2954" w:type="pct"/>
            <w:vAlign w:val="center"/>
          </w:tcPr>
          <w:p w14:paraId="2F0A66F4">
            <w:pPr>
              <w:pStyle w:val="12"/>
              <w:jc w:val="left"/>
            </w:pPr>
            <w:r>
              <w:rPr>
                <w:rFonts w:hint="eastAsia"/>
              </w:rPr>
              <w:t>濮州判官</w:t>
            </w:r>
          </w:p>
        </w:tc>
      </w:tr>
      <w:tr w14:paraId="5B7707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17F4302E">
            <w:pPr>
              <w:pStyle w:val="12"/>
              <w:jc w:val="center"/>
            </w:pPr>
          </w:p>
        </w:tc>
        <w:tc>
          <w:tcPr>
            <w:tcW w:w="678" w:type="pct"/>
            <w:vAlign w:val="center"/>
          </w:tcPr>
          <w:p w14:paraId="5B23AAF0">
            <w:pPr>
              <w:pStyle w:val="12"/>
              <w:jc w:val="center"/>
            </w:pPr>
            <w:r>
              <w:rPr>
                <w:rFonts w:hint="eastAsia"/>
              </w:rPr>
              <w:t>钟复初</w:t>
            </w:r>
          </w:p>
        </w:tc>
        <w:tc>
          <w:tcPr>
            <w:tcW w:w="728" w:type="pct"/>
            <w:vAlign w:val="center"/>
          </w:tcPr>
          <w:p w14:paraId="15F6DA7F">
            <w:pPr>
              <w:pStyle w:val="12"/>
              <w:jc w:val="center"/>
            </w:pPr>
            <w:r>
              <w:rPr>
                <w:rFonts w:hint="eastAsia"/>
              </w:rPr>
              <w:t>永乐戊子</w:t>
            </w:r>
          </w:p>
        </w:tc>
        <w:tc>
          <w:tcPr>
            <w:tcW w:w="2954" w:type="pct"/>
            <w:vAlign w:val="center"/>
          </w:tcPr>
          <w:p w14:paraId="0E565013">
            <w:pPr>
              <w:pStyle w:val="12"/>
              <w:jc w:val="left"/>
            </w:pPr>
            <w:r>
              <w:rPr>
                <w:rFonts w:hint="eastAsia"/>
              </w:rPr>
              <w:t>复姓邱，博白知县</w:t>
            </w:r>
          </w:p>
        </w:tc>
      </w:tr>
      <w:tr w14:paraId="430A173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21437C4">
            <w:pPr>
              <w:pStyle w:val="12"/>
              <w:jc w:val="center"/>
            </w:pPr>
          </w:p>
        </w:tc>
        <w:tc>
          <w:tcPr>
            <w:tcW w:w="678" w:type="pct"/>
            <w:vAlign w:val="center"/>
          </w:tcPr>
          <w:p w14:paraId="5F6ADFEE">
            <w:pPr>
              <w:pStyle w:val="12"/>
              <w:jc w:val="center"/>
            </w:pPr>
            <w:r>
              <w:rPr>
                <w:rFonts w:hint="eastAsia"/>
              </w:rPr>
              <w:t>蓝佑纯</w:t>
            </w:r>
          </w:p>
        </w:tc>
        <w:tc>
          <w:tcPr>
            <w:tcW w:w="728" w:type="pct"/>
            <w:vAlign w:val="center"/>
          </w:tcPr>
          <w:p w14:paraId="0352EED1">
            <w:pPr>
              <w:pStyle w:val="12"/>
              <w:jc w:val="center"/>
            </w:pPr>
            <w:r>
              <w:rPr>
                <w:rFonts w:hint="eastAsia"/>
              </w:rPr>
              <w:t>永乐戊子</w:t>
            </w:r>
          </w:p>
        </w:tc>
        <w:tc>
          <w:tcPr>
            <w:tcW w:w="2954" w:type="pct"/>
            <w:vAlign w:val="center"/>
          </w:tcPr>
          <w:p w14:paraId="183E56DE">
            <w:pPr>
              <w:pStyle w:val="12"/>
              <w:jc w:val="left"/>
            </w:pPr>
          </w:p>
        </w:tc>
      </w:tr>
      <w:tr w14:paraId="531DDE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DD0BB61">
            <w:pPr>
              <w:pStyle w:val="12"/>
              <w:jc w:val="center"/>
            </w:pPr>
          </w:p>
        </w:tc>
        <w:tc>
          <w:tcPr>
            <w:tcW w:w="678" w:type="pct"/>
            <w:vAlign w:val="center"/>
          </w:tcPr>
          <w:p w14:paraId="1E2774FE">
            <w:pPr>
              <w:pStyle w:val="12"/>
              <w:jc w:val="center"/>
            </w:pPr>
            <w:r>
              <w:rPr>
                <w:rFonts w:hint="eastAsia"/>
              </w:rPr>
              <w:t>朱本立</w:t>
            </w:r>
          </w:p>
        </w:tc>
        <w:tc>
          <w:tcPr>
            <w:tcW w:w="728" w:type="pct"/>
            <w:vAlign w:val="center"/>
          </w:tcPr>
          <w:p w14:paraId="732FE5CE">
            <w:pPr>
              <w:pStyle w:val="12"/>
              <w:jc w:val="center"/>
            </w:pPr>
            <w:r>
              <w:rPr>
                <w:rFonts w:hint="eastAsia"/>
              </w:rPr>
              <w:t>永乐戊子</w:t>
            </w:r>
          </w:p>
        </w:tc>
        <w:tc>
          <w:tcPr>
            <w:tcW w:w="2954" w:type="pct"/>
            <w:vAlign w:val="center"/>
          </w:tcPr>
          <w:p w14:paraId="0C67CBEF">
            <w:pPr>
              <w:pStyle w:val="12"/>
              <w:jc w:val="left"/>
            </w:pPr>
            <w:r>
              <w:rPr>
                <w:rFonts w:hint="eastAsia"/>
              </w:rPr>
              <w:t>中应天乡试，任景陵教谕</w:t>
            </w:r>
          </w:p>
        </w:tc>
      </w:tr>
      <w:tr w14:paraId="2AA0C5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B9FC3AE">
            <w:pPr>
              <w:pStyle w:val="12"/>
              <w:jc w:val="center"/>
            </w:pPr>
          </w:p>
        </w:tc>
        <w:tc>
          <w:tcPr>
            <w:tcW w:w="678" w:type="pct"/>
            <w:vAlign w:val="center"/>
          </w:tcPr>
          <w:p w14:paraId="50D70E19">
            <w:pPr>
              <w:pStyle w:val="12"/>
              <w:jc w:val="center"/>
            </w:pPr>
            <w:r>
              <w:rPr>
                <w:rFonts w:hint="eastAsia"/>
              </w:rPr>
              <w:t>朱子福</w:t>
            </w:r>
          </w:p>
        </w:tc>
        <w:tc>
          <w:tcPr>
            <w:tcW w:w="728" w:type="pct"/>
            <w:vAlign w:val="center"/>
          </w:tcPr>
          <w:p w14:paraId="3913409F">
            <w:pPr>
              <w:pStyle w:val="12"/>
              <w:jc w:val="center"/>
            </w:pPr>
            <w:r>
              <w:rPr>
                <w:rFonts w:hint="eastAsia"/>
              </w:rPr>
              <w:t>永乐辛卯</w:t>
            </w:r>
          </w:p>
        </w:tc>
        <w:tc>
          <w:tcPr>
            <w:tcW w:w="2954" w:type="pct"/>
            <w:vAlign w:val="center"/>
          </w:tcPr>
          <w:p w14:paraId="4A9C6B57">
            <w:pPr>
              <w:pStyle w:val="12"/>
              <w:jc w:val="left"/>
            </w:pPr>
            <w:r>
              <w:rPr>
                <w:rFonts w:hint="eastAsia"/>
              </w:rPr>
              <w:t>见进士</w:t>
            </w:r>
          </w:p>
        </w:tc>
      </w:tr>
      <w:tr w14:paraId="308899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1F59CA3">
            <w:pPr>
              <w:pStyle w:val="12"/>
              <w:jc w:val="center"/>
            </w:pPr>
          </w:p>
        </w:tc>
        <w:tc>
          <w:tcPr>
            <w:tcW w:w="678" w:type="pct"/>
            <w:vAlign w:val="center"/>
          </w:tcPr>
          <w:p w14:paraId="51A9A2D3">
            <w:pPr>
              <w:pStyle w:val="12"/>
              <w:jc w:val="center"/>
            </w:pPr>
            <w:r>
              <w:rPr>
                <w:rFonts w:hint="eastAsia"/>
              </w:rPr>
              <w:t>钟孟皋</w:t>
            </w:r>
          </w:p>
        </w:tc>
        <w:tc>
          <w:tcPr>
            <w:tcW w:w="728" w:type="pct"/>
            <w:vAlign w:val="center"/>
          </w:tcPr>
          <w:p w14:paraId="324A1184">
            <w:pPr>
              <w:pStyle w:val="12"/>
              <w:jc w:val="center"/>
            </w:pPr>
            <w:r>
              <w:rPr>
                <w:rFonts w:hint="eastAsia"/>
              </w:rPr>
              <w:t>永乐辛卯</w:t>
            </w:r>
          </w:p>
        </w:tc>
        <w:tc>
          <w:tcPr>
            <w:tcW w:w="2954" w:type="pct"/>
            <w:vAlign w:val="center"/>
          </w:tcPr>
          <w:p w14:paraId="708F6035">
            <w:pPr>
              <w:pStyle w:val="12"/>
              <w:jc w:val="left"/>
            </w:pPr>
            <w:r>
              <w:rPr>
                <w:rFonts w:hint="eastAsia"/>
              </w:rPr>
              <w:t>宣城所吏目</w:t>
            </w:r>
          </w:p>
        </w:tc>
      </w:tr>
      <w:tr w14:paraId="325E7C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D7CC0FE">
            <w:pPr>
              <w:pStyle w:val="12"/>
              <w:jc w:val="center"/>
            </w:pPr>
          </w:p>
        </w:tc>
        <w:tc>
          <w:tcPr>
            <w:tcW w:w="678" w:type="pct"/>
            <w:vAlign w:val="center"/>
          </w:tcPr>
          <w:p w14:paraId="26471354">
            <w:pPr>
              <w:pStyle w:val="12"/>
              <w:jc w:val="center"/>
            </w:pPr>
            <w:r>
              <w:rPr>
                <w:rFonts w:hint="eastAsia"/>
              </w:rPr>
              <w:t>李子谦</w:t>
            </w:r>
          </w:p>
        </w:tc>
        <w:tc>
          <w:tcPr>
            <w:tcW w:w="728" w:type="pct"/>
            <w:vAlign w:val="center"/>
          </w:tcPr>
          <w:p w14:paraId="72EDAB50">
            <w:pPr>
              <w:pStyle w:val="12"/>
              <w:jc w:val="center"/>
            </w:pPr>
            <w:r>
              <w:rPr>
                <w:rFonts w:hint="eastAsia"/>
              </w:rPr>
              <w:t>永乐辛卯</w:t>
            </w:r>
          </w:p>
        </w:tc>
        <w:tc>
          <w:tcPr>
            <w:tcW w:w="2954" w:type="pct"/>
            <w:vAlign w:val="center"/>
          </w:tcPr>
          <w:p w14:paraId="0B1AAF9C">
            <w:pPr>
              <w:pStyle w:val="12"/>
              <w:jc w:val="left"/>
            </w:pPr>
          </w:p>
        </w:tc>
      </w:tr>
      <w:tr w14:paraId="6F171D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F261878">
            <w:pPr>
              <w:pStyle w:val="12"/>
              <w:jc w:val="center"/>
            </w:pPr>
          </w:p>
        </w:tc>
        <w:tc>
          <w:tcPr>
            <w:tcW w:w="678" w:type="pct"/>
            <w:vAlign w:val="center"/>
          </w:tcPr>
          <w:p w14:paraId="508CC37F">
            <w:pPr>
              <w:pStyle w:val="12"/>
              <w:jc w:val="center"/>
            </w:pPr>
            <w:r>
              <w:rPr>
                <w:rFonts w:hint="eastAsia"/>
              </w:rPr>
              <w:t>陈  绍</w:t>
            </w:r>
          </w:p>
        </w:tc>
        <w:tc>
          <w:tcPr>
            <w:tcW w:w="728" w:type="pct"/>
            <w:vAlign w:val="center"/>
          </w:tcPr>
          <w:p w14:paraId="7A453B91">
            <w:pPr>
              <w:pStyle w:val="12"/>
              <w:jc w:val="center"/>
            </w:pPr>
            <w:r>
              <w:rPr>
                <w:rFonts w:hint="eastAsia"/>
              </w:rPr>
              <w:t>永乐辛卯</w:t>
            </w:r>
          </w:p>
        </w:tc>
        <w:tc>
          <w:tcPr>
            <w:tcW w:w="2954" w:type="pct"/>
            <w:vAlign w:val="center"/>
          </w:tcPr>
          <w:p w14:paraId="5D17CAFE">
            <w:pPr>
              <w:pStyle w:val="12"/>
              <w:jc w:val="left"/>
            </w:pPr>
            <w:r>
              <w:rPr>
                <w:rFonts w:hint="eastAsia"/>
              </w:rPr>
              <w:t>交趾知县</w:t>
            </w:r>
          </w:p>
        </w:tc>
      </w:tr>
      <w:tr w14:paraId="399749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987809E">
            <w:pPr>
              <w:pStyle w:val="12"/>
              <w:jc w:val="center"/>
            </w:pPr>
          </w:p>
        </w:tc>
        <w:tc>
          <w:tcPr>
            <w:tcW w:w="678" w:type="pct"/>
            <w:vAlign w:val="center"/>
          </w:tcPr>
          <w:p w14:paraId="1C2EB6A6">
            <w:pPr>
              <w:pStyle w:val="12"/>
              <w:jc w:val="center"/>
            </w:pPr>
            <w:r>
              <w:rPr>
                <w:rFonts w:hint="eastAsia"/>
              </w:rPr>
              <w:t>尹志中</w:t>
            </w:r>
          </w:p>
        </w:tc>
        <w:tc>
          <w:tcPr>
            <w:tcW w:w="728" w:type="pct"/>
            <w:vAlign w:val="center"/>
          </w:tcPr>
          <w:p w14:paraId="7730EC3D">
            <w:pPr>
              <w:pStyle w:val="12"/>
              <w:jc w:val="center"/>
            </w:pPr>
            <w:r>
              <w:rPr>
                <w:rFonts w:hint="eastAsia"/>
              </w:rPr>
              <w:t>永乐辛卯</w:t>
            </w:r>
          </w:p>
        </w:tc>
        <w:tc>
          <w:tcPr>
            <w:tcW w:w="2954" w:type="pct"/>
            <w:vAlign w:val="center"/>
          </w:tcPr>
          <w:p w14:paraId="4B4D1F0B">
            <w:pPr>
              <w:pStyle w:val="12"/>
              <w:jc w:val="left"/>
            </w:pPr>
            <w:r>
              <w:rPr>
                <w:rFonts w:hint="eastAsia"/>
              </w:rPr>
              <w:t>交趾知县</w:t>
            </w:r>
          </w:p>
        </w:tc>
      </w:tr>
      <w:tr w14:paraId="2FEBD9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90F91E4">
            <w:pPr>
              <w:pStyle w:val="12"/>
              <w:jc w:val="center"/>
            </w:pPr>
          </w:p>
        </w:tc>
        <w:tc>
          <w:tcPr>
            <w:tcW w:w="678" w:type="pct"/>
            <w:vAlign w:val="center"/>
          </w:tcPr>
          <w:p w14:paraId="1FEB2C3E">
            <w:pPr>
              <w:pStyle w:val="12"/>
              <w:jc w:val="center"/>
            </w:pPr>
            <w:r>
              <w:rPr>
                <w:rFonts w:hint="eastAsia"/>
              </w:rPr>
              <w:t>李  全</w:t>
            </w:r>
          </w:p>
        </w:tc>
        <w:tc>
          <w:tcPr>
            <w:tcW w:w="728" w:type="pct"/>
            <w:vAlign w:val="center"/>
          </w:tcPr>
          <w:p w14:paraId="6E5CC335">
            <w:pPr>
              <w:pStyle w:val="12"/>
              <w:jc w:val="center"/>
            </w:pPr>
            <w:r>
              <w:rPr>
                <w:rFonts w:hint="eastAsia"/>
              </w:rPr>
              <w:t>永乐辛卯</w:t>
            </w:r>
          </w:p>
        </w:tc>
        <w:tc>
          <w:tcPr>
            <w:tcW w:w="2954" w:type="pct"/>
            <w:vAlign w:val="center"/>
          </w:tcPr>
          <w:p w14:paraId="0C8065F7">
            <w:pPr>
              <w:pStyle w:val="12"/>
              <w:jc w:val="left"/>
            </w:pPr>
            <w:r>
              <w:rPr>
                <w:rFonts w:hint="eastAsia"/>
              </w:rPr>
              <w:t>任吏目</w:t>
            </w:r>
          </w:p>
        </w:tc>
      </w:tr>
      <w:tr w14:paraId="182F9E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90F1B04">
            <w:pPr>
              <w:pStyle w:val="12"/>
              <w:jc w:val="center"/>
            </w:pPr>
          </w:p>
        </w:tc>
        <w:tc>
          <w:tcPr>
            <w:tcW w:w="678" w:type="pct"/>
            <w:vAlign w:val="center"/>
          </w:tcPr>
          <w:p w14:paraId="7484DD68">
            <w:pPr>
              <w:pStyle w:val="12"/>
              <w:jc w:val="center"/>
            </w:pPr>
            <w:r>
              <w:rPr>
                <w:rFonts w:hint="eastAsia"/>
              </w:rPr>
              <w:t>谭  政</w:t>
            </w:r>
          </w:p>
        </w:tc>
        <w:tc>
          <w:tcPr>
            <w:tcW w:w="728" w:type="pct"/>
            <w:vAlign w:val="center"/>
          </w:tcPr>
          <w:p w14:paraId="6591A46B">
            <w:pPr>
              <w:pStyle w:val="12"/>
              <w:jc w:val="center"/>
            </w:pPr>
            <w:r>
              <w:rPr>
                <w:rFonts w:hint="eastAsia"/>
              </w:rPr>
              <w:t>永乐辛卯</w:t>
            </w:r>
          </w:p>
        </w:tc>
        <w:tc>
          <w:tcPr>
            <w:tcW w:w="2954" w:type="pct"/>
            <w:vAlign w:val="center"/>
          </w:tcPr>
          <w:p w14:paraId="18AB83EF">
            <w:pPr>
              <w:pStyle w:val="12"/>
              <w:jc w:val="left"/>
            </w:pPr>
            <w:r>
              <w:rPr>
                <w:rFonts w:hint="eastAsia"/>
              </w:rPr>
              <w:t>德清知县，升武昌通判</w:t>
            </w:r>
          </w:p>
        </w:tc>
      </w:tr>
      <w:tr w14:paraId="17FEEC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E0C06B2">
            <w:pPr>
              <w:pStyle w:val="12"/>
              <w:jc w:val="center"/>
            </w:pPr>
          </w:p>
        </w:tc>
        <w:tc>
          <w:tcPr>
            <w:tcW w:w="678" w:type="pct"/>
            <w:vAlign w:val="center"/>
          </w:tcPr>
          <w:p w14:paraId="1834AED0">
            <w:pPr>
              <w:pStyle w:val="12"/>
              <w:jc w:val="center"/>
            </w:pPr>
            <w:r>
              <w:rPr>
                <w:rFonts w:hint="eastAsia"/>
              </w:rPr>
              <w:t>吴愈廉</w:t>
            </w:r>
          </w:p>
        </w:tc>
        <w:tc>
          <w:tcPr>
            <w:tcW w:w="728" w:type="pct"/>
            <w:vAlign w:val="center"/>
          </w:tcPr>
          <w:p w14:paraId="1A7DE259">
            <w:pPr>
              <w:pStyle w:val="12"/>
              <w:jc w:val="center"/>
            </w:pPr>
            <w:r>
              <w:rPr>
                <w:rFonts w:hint="eastAsia"/>
              </w:rPr>
              <w:t>永乐辛卯</w:t>
            </w:r>
          </w:p>
        </w:tc>
        <w:tc>
          <w:tcPr>
            <w:tcW w:w="2954" w:type="pct"/>
            <w:vAlign w:val="center"/>
          </w:tcPr>
          <w:p w14:paraId="225D0F7A">
            <w:pPr>
              <w:pStyle w:val="12"/>
              <w:jc w:val="left"/>
            </w:pPr>
            <w:r>
              <w:rPr>
                <w:rFonts w:hint="eastAsia"/>
              </w:rPr>
              <w:t>交趾知县</w:t>
            </w:r>
          </w:p>
        </w:tc>
      </w:tr>
      <w:tr w14:paraId="3EF395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D9DEADE">
            <w:pPr>
              <w:pStyle w:val="12"/>
              <w:jc w:val="center"/>
            </w:pPr>
          </w:p>
        </w:tc>
        <w:tc>
          <w:tcPr>
            <w:tcW w:w="678" w:type="pct"/>
            <w:vAlign w:val="center"/>
          </w:tcPr>
          <w:p w14:paraId="118E437A">
            <w:pPr>
              <w:pStyle w:val="12"/>
              <w:jc w:val="center"/>
            </w:pPr>
            <w:r>
              <w:rPr>
                <w:rFonts w:hint="eastAsia"/>
              </w:rPr>
              <w:t>陈思敬</w:t>
            </w:r>
          </w:p>
        </w:tc>
        <w:tc>
          <w:tcPr>
            <w:tcW w:w="728" w:type="pct"/>
            <w:vAlign w:val="center"/>
          </w:tcPr>
          <w:p w14:paraId="679CA63F">
            <w:pPr>
              <w:pStyle w:val="12"/>
              <w:jc w:val="center"/>
            </w:pPr>
            <w:r>
              <w:rPr>
                <w:rFonts w:hint="eastAsia"/>
              </w:rPr>
              <w:t>永乐辛卯</w:t>
            </w:r>
          </w:p>
        </w:tc>
        <w:tc>
          <w:tcPr>
            <w:tcW w:w="2954" w:type="pct"/>
            <w:vAlign w:val="center"/>
          </w:tcPr>
          <w:p w14:paraId="4F69D7B9">
            <w:pPr>
              <w:pStyle w:val="12"/>
              <w:jc w:val="left"/>
            </w:pPr>
            <w:r>
              <w:rPr>
                <w:rFonts w:hint="eastAsia"/>
              </w:rPr>
              <w:t>象山知县</w:t>
            </w:r>
          </w:p>
        </w:tc>
      </w:tr>
      <w:tr w14:paraId="23A3DE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CF7D46E">
            <w:pPr>
              <w:pStyle w:val="12"/>
              <w:jc w:val="center"/>
            </w:pPr>
          </w:p>
        </w:tc>
        <w:tc>
          <w:tcPr>
            <w:tcW w:w="678" w:type="pct"/>
            <w:vAlign w:val="center"/>
          </w:tcPr>
          <w:p w14:paraId="14B3CA7D">
            <w:pPr>
              <w:pStyle w:val="12"/>
              <w:jc w:val="center"/>
            </w:pPr>
            <w:r>
              <w:rPr>
                <w:rFonts w:hint="eastAsia"/>
              </w:rPr>
              <w:t>李信忠</w:t>
            </w:r>
          </w:p>
        </w:tc>
        <w:tc>
          <w:tcPr>
            <w:tcW w:w="728" w:type="pct"/>
            <w:vAlign w:val="center"/>
          </w:tcPr>
          <w:p w14:paraId="0AF0C682">
            <w:pPr>
              <w:pStyle w:val="12"/>
              <w:jc w:val="center"/>
            </w:pPr>
            <w:r>
              <w:rPr>
                <w:rFonts w:hint="eastAsia"/>
              </w:rPr>
              <w:t>永乐辛卯</w:t>
            </w:r>
          </w:p>
        </w:tc>
        <w:tc>
          <w:tcPr>
            <w:tcW w:w="2954" w:type="pct"/>
            <w:vAlign w:val="center"/>
          </w:tcPr>
          <w:p w14:paraId="1EF4DDB7">
            <w:pPr>
              <w:pStyle w:val="12"/>
              <w:jc w:val="left"/>
            </w:pPr>
            <w:r>
              <w:rPr>
                <w:rFonts w:hint="eastAsia"/>
              </w:rPr>
              <w:t>安期县丞</w:t>
            </w:r>
          </w:p>
        </w:tc>
      </w:tr>
      <w:tr w14:paraId="1393A1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D9D5ACF">
            <w:pPr>
              <w:pStyle w:val="12"/>
              <w:jc w:val="center"/>
            </w:pPr>
          </w:p>
        </w:tc>
        <w:tc>
          <w:tcPr>
            <w:tcW w:w="678" w:type="pct"/>
            <w:vAlign w:val="center"/>
          </w:tcPr>
          <w:p w14:paraId="17F79C27">
            <w:pPr>
              <w:pStyle w:val="12"/>
              <w:jc w:val="center"/>
            </w:pPr>
            <w:r>
              <w:rPr>
                <w:rFonts w:hint="eastAsia"/>
              </w:rPr>
              <w:t>谭用明</w:t>
            </w:r>
          </w:p>
        </w:tc>
        <w:tc>
          <w:tcPr>
            <w:tcW w:w="728" w:type="pct"/>
            <w:vAlign w:val="center"/>
          </w:tcPr>
          <w:p w14:paraId="448E2A47">
            <w:pPr>
              <w:pStyle w:val="12"/>
              <w:jc w:val="center"/>
            </w:pPr>
            <w:r>
              <w:rPr>
                <w:rFonts w:hint="eastAsia"/>
              </w:rPr>
              <w:t>永乐辛卯</w:t>
            </w:r>
          </w:p>
        </w:tc>
        <w:tc>
          <w:tcPr>
            <w:tcW w:w="2954" w:type="pct"/>
            <w:vAlign w:val="center"/>
          </w:tcPr>
          <w:p w14:paraId="09B6676C">
            <w:pPr>
              <w:pStyle w:val="12"/>
              <w:jc w:val="left"/>
            </w:pPr>
            <w:r>
              <w:rPr>
                <w:rFonts w:hint="eastAsia"/>
              </w:rPr>
              <w:t>宁都知县</w:t>
            </w:r>
          </w:p>
        </w:tc>
      </w:tr>
      <w:tr w14:paraId="070DA9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719993E">
            <w:pPr>
              <w:pStyle w:val="12"/>
              <w:jc w:val="center"/>
            </w:pPr>
          </w:p>
        </w:tc>
        <w:tc>
          <w:tcPr>
            <w:tcW w:w="678" w:type="pct"/>
            <w:vAlign w:val="center"/>
          </w:tcPr>
          <w:p w14:paraId="2FAD618C">
            <w:pPr>
              <w:pStyle w:val="12"/>
              <w:jc w:val="center"/>
            </w:pPr>
            <w:r>
              <w:rPr>
                <w:rFonts w:hint="eastAsia"/>
              </w:rPr>
              <w:t>邓  贞</w:t>
            </w:r>
          </w:p>
        </w:tc>
        <w:tc>
          <w:tcPr>
            <w:tcW w:w="728" w:type="pct"/>
            <w:vAlign w:val="center"/>
          </w:tcPr>
          <w:p w14:paraId="29D86918">
            <w:pPr>
              <w:pStyle w:val="12"/>
              <w:jc w:val="center"/>
            </w:pPr>
            <w:r>
              <w:rPr>
                <w:rFonts w:hint="eastAsia"/>
              </w:rPr>
              <w:t>永乐辛卯</w:t>
            </w:r>
          </w:p>
        </w:tc>
        <w:tc>
          <w:tcPr>
            <w:tcW w:w="2954" w:type="pct"/>
            <w:vAlign w:val="center"/>
          </w:tcPr>
          <w:p w14:paraId="2CD977EC">
            <w:pPr>
              <w:pStyle w:val="12"/>
              <w:jc w:val="left"/>
            </w:pPr>
            <w:r>
              <w:rPr>
                <w:rFonts w:hint="eastAsia"/>
              </w:rPr>
              <w:t>溆浦主簿</w:t>
            </w:r>
          </w:p>
        </w:tc>
      </w:tr>
      <w:tr w14:paraId="102A54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4A67830">
            <w:pPr>
              <w:pStyle w:val="12"/>
              <w:jc w:val="center"/>
            </w:pPr>
          </w:p>
        </w:tc>
        <w:tc>
          <w:tcPr>
            <w:tcW w:w="678" w:type="pct"/>
            <w:vAlign w:val="center"/>
          </w:tcPr>
          <w:p w14:paraId="6F61258A">
            <w:pPr>
              <w:pStyle w:val="12"/>
              <w:jc w:val="center"/>
            </w:pPr>
            <w:r>
              <w:rPr>
                <w:rFonts w:hint="eastAsia"/>
              </w:rPr>
              <w:t>邹  宁</w:t>
            </w:r>
          </w:p>
        </w:tc>
        <w:tc>
          <w:tcPr>
            <w:tcW w:w="728" w:type="pct"/>
            <w:vAlign w:val="center"/>
          </w:tcPr>
          <w:p w14:paraId="36CAFD2A">
            <w:pPr>
              <w:pStyle w:val="12"/>
              <w:jc w:val="center"/>
            </w:pPr>
            <w:r>
              <w:rPr>
                <w:rFonts w:hint="eastAsia"/>
              </w:rPr>
              <w:t>永乐辛卯</w:t>
            </w:r>
          </w:p>
        </w:tc>
        <w:tc>
          <w:tcPr>
            <w:tcW w:w="2954" w:type="pct"/>
            <w:vAlign w:val="center"/>
          </w:tcPr>
          <w:p w14:paraId="13F4858A">
            <w:pPr>
              <w:pStyle w:val="12"/>
              <w:jc w:val="left"/>
            </w:pPr>
            <w:r>
              <w:rPr>
                <w:rFonts w:hint="eastAsia"/>
              </w:rPr>
              <w:t>平乐推官</w:t>
            </w:r>
          </w:p>
        </w:tc>
      </w:tr>
      <w:tr w14:paraId="554A0E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93614BD">
            <w:pPr>
              <w:pStyle w:val="12"/>
              <w:jc w:val="center"/>
            </w:pPr>
          </w:p>
        </w:tc>
        <w:tc>
          <w:tcPr>
            <w:tcW w:w="678" w:type="pct"/>
            <w:vAlign w:val="center"/>
          </w:tcPr>
          <w:p w14:paraId="7E423CA0">
            <w:pPr>
              <w:pStyle w:val="12"/>
              <w:jc w:val="center"/>
            </w:pPr>
            <w:r>
              <w:rPr>
                <w:rFonts w:hint="eastAsia"/>
              </w:rPr>
              <w:t>陈义方</w:t>
            </w:r>
          </w:p>
        </w:tc>
        <w:tc>
          <w:tcPr>
            <w:tcW w:w="728" w:type="pct"/>
            <w:vAlign w:val="center"/>
          </w:tcPr>
          <w:p w14:paraId="3B6682CE">
            <w:pPr>
              <w:pStyle w:val="12"/>
              <w:jc w:val="center"/>
            </w:pPr>
            <w:r>
              <w:rPr>
                <w:rFonts w:hint="eastAsia"/>
              </w:rPr>
              <w:t>永乐辛卯</w:t>
            </w:r>
          </w:p>
        </w:tc>
        <w:tc>
          <w:tcPr>
            <w:tcW w:w="2954" w:type="pct"/>
            <w:vAlign w:val="center"/>
          </w:tcPr>
          <w:p w14:paraId="78D6EB42">
            <w:pPr>
              <w:pStyle w:val="12"/>
              <w:jc w:val="left"/>
            </w:pPr>
            <w:r>
              <w:rPr>
                <w:rFonts w:hint="eastAsia"/>
              </w:rPr>
              <w:t>邝县丞</w:t>
            </w:r>
          </w:p>
        </w:tc>
      </w:tr>
      <w:tr w14:paraId="5883926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5A8049F">
            <w:pPr>
              <w:pStyle w:val="12"/>
              <w:jc w:val="center"/>
            </w:pPr>
          </w:p>
        </w:tc>
        <w:tc>
          <w:tcPr>
            <w:tcW w:w="678" w:type="pct"/>
            <w:vAlign w:val="center"/>
          </w:tcPr>
          <w:p w14:paraId="6F60E5C6">
            <w:pPr>
              <w:pStyle w:val="12"/>
              <w:jc w:val="center"/>
            </w:pPr>
            <w:r>
              <w:rPr>
                <w:rFonts w:hint="eastAsia"/>
              </w:rPr>
              <w:t>李  政</w:t>
            </w:r>
          </w:p>
        </w:tc>
        <w:tc>
          <w:tcPr>
            <w:tcW w:w="728" w:type="pct"/>
            <w:vAlign w:val="center"/>
          </w:tcPr>
          <w:p w14:paraId="75D64929">
            <w:pPr>
              <w:pStyle w:val="12"/>
              <w:jc w:val="center"/>
            </w:pPr>
            <w:r>
              <w:rPr>
                <w:rFonts w:hint="eastAsia"/>
              </w:rPr>
              <w:t>永乐甲午</w:t>
            </w:r>
          </w:p>
        </w:tc>
        <w:tc>
          <w:tcPr>
            <w:tcW w:w="2954" w:type="pct"/>
            <w:vAlign w:val="center"/>
          </w:tcPr>
          <w:p w14:paraId="5E643BFA">
            <w:pPr>
              <w:pStyle w:val="12"/>
              <w:jc w:val="left"/>
            </w:pPr>
          </w:p>
        </w:tc>
      </w:tr>
      <w:tr w14:paraId="4A7A85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57EF226">
            <w:pPr>
              <w:pStyle w:val="12"/>
              <w:jc w:val="center"/>
            </w:pPr>
          </w:p>
        </w:tc>
        <w:tc>
          <w:tcPr>
            <w:tcW w:w="678" w:type="pct"/>
            <w:vAlign w:val="center"/>
          </w:tcPr>
          <w:p w14:paraId="14909398">
            <w:pPr>
              <w:pStyle w:val="12"/>
              <w:jc w:val="center"/>
            </w:pPr>
            <w:r>
              <w:rPr>
                <w:rFonts w:hint="eastAsia"/>
              </w:rPr>
              <w:t>杨有文</w:t>
            </w:r>
          </w:p>
        </w:tc>
        <w:tc>
          <w:tcPr>
            <w:tcW w:w="728" w:type="pct"/>
            <w:vAlign w:val="center"/>
          </w:tcPr>
          <w:p w14:paraId="521019A1">
            <w:pPr>
              <w:pStyle w:val="12"/>
              <w:jc w:val="center"/>
            </w:pPr>
            <w:r>
              <w:rPr>
                <w:rFonts w:hint="eastAsia"/>
              </w:rPr>
              <w:t>永乐甲午</w:t>
            </w:r>
          </w:p>
        </w:tc>
        <w:tc>
          <w:tcPr>
            <w:tcW w:w="2954" w:type="pct"/>
            <w:vAlign w:val="center"/>
          </w:tcPr>
          <w:p w14:paraId="4CBD01F2">
            <w:pPr>
              <w:pStyle w:val="12"/>
              <w:jc w:val="left"/>
            </w:pPr>
            <w:r>
              <w:rPr>
                <w:rFonts w:hint="eastAsia"/>
              </w:rPr>
              <w:t>两准运使</w:t>
            </w:r>
          </w:p>
        </w:tc>
      </w:tr>
      <w:tr w14:paraId="3E2CA1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6E36981">
            <w:pPr>
              <w:pStyle w:val="12"/>
              <w:jc w:val="center"/>
            </w:pPr>
          </w:p>
        </w:tc>
        <w:tc>
          <w:tcPr>
            <w:tcW w:w="678" w:type="pct"/>
            <w:vAlign w:val="center"/>
          </w:tcPr>
          <w:p w14:paraId="5D123929">
            <w:pPr>
              <w:pStyle w:val="12"/>
              <w:jc w:val="center"/>
            </w:pPr>
            <w:r>
              <w:rPr>
                <w:rFonts w:hint="eastAsia"/>
              </w:rPr>
              <w:t>周  冕</w:t>
            </w:r>
          </w:p>
        </w:tc>
        <w:tc>
          <w:tcPr>
            <w:tcW w:w="728" w:type="pct"/>
            <w:vAlign w:val="center"/>
          </w:tcPr>
          <w:p w14:paraId="47B947B4">
            <w:pPr>
              <w:pStyle w:val="12"/>
              <w:jc w:val="center"/>
            </w:pPr>
            <w:r>
              <w:rPr>
                <w:rFonts w:hint="eastAsia"/>
              </w:rPr>
              <w:t>永乐丁酉</w:t>
            </w:r>
          </w:p>
        </w:tc>
        <w:tc>
          <w:tcPr>
            <w:tcW w:w="2954" w:type="pct"/>
            <w:vAlign w:val="center"/>
          </w:tcPr>
          <w:p w14:paraId="0A69D1AF">
            <w:pPr>
              <w:pStyle w:val="12"/>
              <w:jc w:val="left"/>
            </w:pPr>
            <w:r>
              <w:rPr>
                <w:rFonts w:hint="eastAsia"/>
              </w:rPr>
              <w:t>任教谕</w:t>
            </w:r>
          </w:p>
        </w:tc>
      </w:tr>
      <w:tr w14:paraId="12F5BE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856DD8E">
            <w:pPr>
              <w:pStyle w:val="12"/>
              <w:jc w:val="center"/>
            </w:pPr>
          </w:p>
        </w:tc>
        <w:tc>
          <w:tcPr>
            <w:tcW w:w="678" w:type="pct"/>
            <w:vAlign w:val="center"/>
          </w:tcPr>
          <w:p w14:paraId="29D74F64">
            <w:pPr>
              <w:pStyle w:val="12"/>
              <w:jc w:val="center"/>
            </w:pPr>
            <w:r>
              <w:rPr>
                <w:rFonts w:hint="eastAsia"/>
              </w:rPr>
              <w:t>萧守中</w:t>
            </w:r>
          </w:p>
        </w:tc>
        <w:tc>
          <w:tcPr>
            <w:tcW w:w="728" w:type="pct"/>
            <w:vAlign w:val="center"/>
          </w:tcPr>
          <w:p w14:paraId="75A8B710">
            <w:pPr>
              <w:pStyle w:val="12"/>
              <w:jc w:val="center"/>
            </w:pPr>
            <w:r>
              <w:rPr>
                <w:rFonts w:hint="eastAsia"/>
              </w:rPr>
              <w:t>永乐丁酉</w:t>
            </w:r>
          </w:p>
        </w:tc>
        <w:tc>
          <w:tcPr>
            <w:tcW w:w="2954" w:type="pct"/>
            <w:vAlign w:val="center"/>
          </w:tcPr>
          <w:p w14:paraId="57E568C4">
            <w:pPr>
              <w:pStyle w:val="12"/>
              <w:jc w:val="left"/>
            </w:pPr>
            <w:r>
              <w:rPr>
                <w:rFonts w:hint="eastAsia"/>
              </w:rPr>
              <w:t>累官黎平知府，有传</w:t>
            </w:r>
          </w:p>
        </w:tc>
      </w:tr>
      <w:tr w14:paraId="099B95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1F22F931">
            <w:pPr>
              <w:pStyle w:val="12"/>
              <w:jc w:val="center"/>
            </w:pPr>
          </w:p>
        </w:tc>
        <w:tc>
          <w:tcPr>
            <w:tcW w:w="678" w:type="pct"/>
            <w:vAlign w:val="center"/>
          </w:tcPr>
          <w:p w14:paraId="36C6EDC9">
            <w:pPr>
              <w:pStyle w:val="12"/>
              <w:jc w:val="center"/>
            </w:pPr>
            <w:r>
              <w:rPr>
                <w:rFonts w:hint="eastAsia"/>
              </w:rPr>
              <w:t>李  忠</w:t>
            </w:r>
          </w:p>
        </w:tc>
        <w:tc>
          <w:tcPr>
            <w:tcW w:w="728" w:type="pct"/>
            <w:vAlign w:val="center"/>
          </w:tcPr>
          <w:p w14:paraId="33524BEC">
            <w:pPr>
              <w:pStyle w:val="12"/>
              <w:jc w:val="center"/>
            </w:pPr>
            <w:r>
              <w:rPr>
                <w:rFonts w:hint="eastAsia"/>
              </w:rPr>
              <w:t>永乐丁酉</w:t>
            </w:r>
          </w:p>
        </w:tc>
        <w:tc>
          <w:tcPr>
            <w:tcW w:w="2954" w:type="pct"/>
            <w:vAlign w:val="center"/>
          </w:tcPr>
          <w:p w14:paraId="49CF632D">
            <w:pPr>
              <w:pStyle w:val="12"/>
              <w:jc w:val="left"/>
            </w:pPr>
          </w:p>
        </w:tc>
      </w:tr>
      <w:tr w14:paraId="307F1A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5CE214B">
            <w:pPr>
              <w:pStyle w:val="12"/>
              <w:jc w:val="center"/>
            </w:pPr>
          </w:p>
        </w:tc>
        <w:tc>
          <w:tcPr>
            <w:tcW w:w="678" w:type="pct"/>
            <w:vAlign w:val="center"/>
          </w:tcPr>
          <w:p w14:paraId="56F458EC">
            <w:pPr>
              <w:pStyle w:val="12"/>
              <w:jc w:val="center"/>
            </w:pPr>
            <w:r>
              <w:rPr>
                <w:rFonts w:hint="eastAsia"/>
              </w:rPr>
              <w:t>徐  诚</w:t>
            </w:r>
          </w:p>
        </w:tc>
        <w:tc>
          <w:tcPr>
            <w:tcW w:w="728" w:type="pct"/>
            <w:vAlign w:val="center"/>
          </w:tcPr>
          <w:p w14:paraId="79870DDD">
            <w:pPr>
              <w:pStyle w:val="12"/>
              <w:jc w:val="center"/>
            </w:pPr>
            <w:r>
              <w:rPr>
                <w:rFonts w:hint="eastAsia"/>
              </w:rPr>
              <w:t>永乐丁酉</w:t>
            </w:r>
          </w:p>
        </w:tc>
        <w:tc>
          <w:tcPr>
            <w:tcW w:w="2954" w:type="pct"/>
            <w:vAlign w:val="center"/>
          </w:tcPr>
          <w:p w14:paraId="31D75365">
            <w:pPr>
              <w:pStyle w:val="12"/>
              <w:jc w:val="left"/>
            </w:pPr>
            <w:r>
              <w:rPr>
                <w:rFonts w:hint="eastAsia"/>
              </w:rPr>
              <w:t>柳城知县</w:t>
            </w:r>
          </w:p>
        </w:tc>
      </w:tr>
      <w:tr w14:paraId="5E3768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FE38F88">
            <w:pPr>
              <w:pStyle w:val="12"/>
              <w:jc w:val="center"/>
            </w:pPr>
          </w:p>
        </w:tc>
        <w:tc>
          <w:tcPr>
            <w:tcW w:w="678" w:type="pct"/>
            <w:vAlign w:val="center"/>
          </w:tcPr>
          <w:p w14:paraId="2841C4E7">
            <w:pPr>
              <w:pStyle w:val="12"/>
              <w:jc w:val="center"/>
            </w:pPr>
            <w:r>
              <w:rPr>
                <w:rFonts w:hint="eastAsia"/>
              </w:rPr>
              <w:t>冯  睿</w:t>
            </w:r>
          </w:p>
        </w:tc>
        <w:tc>
          <w:tcPr>
            <w:tcW w:w="728" w:type="pct"/>
            <w:vAlign w:val="center"/>
          </w:tcPr>
          <w:p w14:paraId="32F2CCA5">
            <w:pPr>
              <w:pStyle w:val="12"/>
              <w:jc w:val="center"/>
            </w:pPr>
            <w:r>
              <w:rPr>
                <w:rFonts w:hint="eastAsia"/>
              </w:rPr>
              <w:t>永乐丁酉</w:t>
            </w:r>
          </w:p>
        </w:tc>
        <w:tc>
          <w:tcPr>
            <w:tcW w:w="2954" w:type="pct"/>
            <w:vAlign w:val="center"/>
          </w:tcPr>
          <w:p w14:paraId="4FC853B3">
            <w:pPr>
              <w:pStyle w:val="12"/>
              <w:jc w:val="left"/>
            </w:pPr>
            <w:r>
              <w:rPr>
                <w:rFonts w:hint="eastAsia"/>
              </w:rPr>
              <w:t>北流县丞</w:t>
            </w:r>
          </w:p>
        </w:tc>
      </w:tr>
      <w:tr w14:paraId="3C4211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1D432EA">
            <w:pPr>
              <w:pStyle w:val="12"/>
              <w:jc w:val="center"/>
            </w:pPr>
          </w:p>
        </w:tc>
        <w:tc>
          <w:tcPr>
            <w:tcW w:w="678" w:type="pct"/>
            <w:vAlign w:val="center"/>
          </w:tcPr>
          <w:p w14:paraId="67BE14D2">
            <w:pPr>
              <w:pStyle w:val="12"/>
              <w:jc w:val="center"/>
            </w:pPr>
            <w:r>
              <w:rPr>
                <w:rFonts w:hint="eastAsia"/>
              </w:rPr>
              <w:t>蔡愈济</w:t>
            </w:r>
          </w:p>
        </w:tc>
        <w:tc>
          <w:tcPr>
            <w:tcW w:w="728" w:type="pct"/>
            <w:vAlign w:val="center"/>
          </w:tcPr>
          <w:p w14:paraId="03A01759">
            <w:pPr>
              <w:pStyle w:val="12"/>
              <w:jc w:val="center"/>
            </w:pPr>
            <w:r>
              <w:rPr>
                <w:rFonts w:hint="eastAsia"/>
              </w:rPr>
              <w:t>永乐庚子</w:t>
            </w:r>
          </w:p>
        </w:tc>
        <w:tc>
          <w:tcPr>
            <w:tcW w:w="2954" w:type="pct"/>
            <w:vAlign w:val="center"/>
          </w:tcPr>
          <w:p w14:paraId="29738CB0">
            <w:pPr>
              <w:pStyle w:val="12"/>
              <w:jc w:val="left"/>
            </w:pPr>
            <w:r>
              <w:rPr>
                <w:rFonts w:hint="eastAsia"/>
              </w:rPr>
              <w:t>改名忠，官田都人，历山西屯田佥事，有传</w:t>
            </w:r>
          </w:p>
        </w:tc>
      </w:tr>
      <w:tr w14:paraId="508CB0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9D44FE2">
            <w:pPr>
              <w:pStyle w:val="12"/>
              <w:jc w:val="center"/>
            </w:pPr>
          </w:p>
        </w:tc>
        <w:tc>
          <w:tcPr>
            <w:tcW w:w="678" w:type="pct"/>
            <w:vAlign w:val="center"/>
          </w:tcPr>
          <w:p w14:paraId="5176F888">
            <w:pPr>
              <w:pStyle w:val="12"/>
              <w:jc w:val="center"/>
            </w:pPr>
            <w:r>
              <w:rPr>
                <w:rFonts w:hint="eastAsia"/>
              </w:rPr>
              <w:t>陈  福</w:t>
            </w:r>
          </w:p>
        </w:tc>
        <w:tc>
          <w:tcPr>
            <w:tcW w:w="728" w:type="pct"/>
            <w:vAlign w:val="center"/>
          </w:tcPr>
          <w:p w14:paraId="2A576329">
            <w:pPr>
              <w:pStyle w:val="12"/>
              <w:jc w:val="center"/>
            </w:pPr>
            <w:r>
              <w:rPr>
                <w:rFonts w:hint="eastAsia"/>
              </w:rPr>
              <w:t>永乐庚子</w:t>
            </w:r>
          </w:p>
        </w:tc>
        <w:tc>
          <w:tcPr>
            <w:tcW w:w="2954" w:type="pct"/>
            <w:vAlign w:val="center"/>
          </w:tcPr>
          <w:p w14:paraId="181724A1">
            <w:pPr>
              <w:pStyle w:val="12"/>
              <w:jc w:val="left"/>
            </w:pPr>
            <w:r>
              <w:rPr>
                <w:rFonts w:hint="eastAsia"/>
              </w:rPr>
              <w:t>武城教谕</w:t>
            </w:r>
          </w:p>
        </w:tc>
      </w:tr>
      <w:tr w14:paraId="726018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3F8A436">
            <w:pPr>
              <w:pStyle w:val="12"/>
              <w:jc w:val="center"/>
            </w:pPr>
          </w:p>
        </w:tc>
        <w:tc>
          <w:tcPr>
            <w:tcW w:w="678" w:type="pct"/>
            <w:vAlign w:val="center"/>
          </w:tcPr>
          <w:p w14:paraId="75AF0756">
            <w:pPr>
              <w:pStyle w:val="12"/>
              <w:jc w:val="center"/>
            </w:pPr>
            <w:r>
              <w:rPr>
                <w:rFonts w:hint="eastAsia"/>
              </w:rPr>
              <w:t>谈  斌</w:t>
            </w:r>
          </w:p>
        </w:tc>
        <w:tc>
          <w:tcPr>
            <w:tcW w:w="728" w:type="pct"/>
            <w:vAlign w:val="center"/>
          </w:tcPr>
          <w:p w14:paraId="2EC5DC8E">
            <w:pPr>
              <w:pStyle w:val="12"/>
              <w:jc w:val="center"/>
            </w:pPr>
            <w:r>
              <w:rPr>
                <w:rFonts w:hint="eastAsia"/>
              </w:rPr>
              <w:t>永乐庚子</w:t>
            </w:r>
          </w:p>
        </w:tc>
        <w:tc>
          <w:tcPr>
            <w:tcW w:w="2954" w:type="pct"/>
            <w:vAlign w:val="center"/>
          </w:tcPr>
          <w:p w14:paraId="421BED86">
            <w:pPr>
              <w:pStyle w:val="12"/>
              <w:jc w:val="left"/>
            </w:pPr>
            <w:r>
              <w:rPr>
                <w:rFonts w:hint="eastAsia"/>
              </w:rPr>
              <w:t>辰溪训导，谈一作谭</w:t>
            </w:r>
          </w:p>
        </w:tc>
      </w:tr>
      <w:tr w14:paraId="117DC8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01852D7">
            <w:pPr>
              <w:pStyle w:val="12"/>
              <w:jc w:val="center"/>
            </w:pPr>
          </w:p>
        </w:tc>
        <w:tc>
          <w:tcPr>
            <w:tcW w:w="678" w:type="pct"/>
            <w:vAlign w:val="center"/>
          </w:tcPr>
          <w:p w14:paraId="73EFA147">
            <w:pPr>
              <w:pStyle w:val="12"/>
              <w:jc w:val="center"/>
            </w:pPr>
            <w:r>
              <w:rPr>
                <w:rFonts w:hint="eastAsia"/>
              </w:rPr>
              <w:t>彭  俊</w:t>
            </w:r>
          </w:p>
        </w:tc>
        <w:tc>
          <w:tcPr>
            <w:tcW w:w="728" w:type="pct"/>
            <w:vAlign w:val="center"/>
          </w:tcPr>
          <w:p w14:paraId="16A48B0A">
            <w:pPr>
              <w:pStyle w:val="12"/>
              <w:jc w:val="center"/>
            </w:pPr>
            <w:r>
              <w:rPr>
                <w:rFonts w:hint="eastAsia"/>
              </w:rPr>
              <w:t>永乐癸卯</w:t>
            </w:r>
          </w:p>
        </w:tc>
        <w:tc>
          <w:tcPr>
            <w:tcW w:w="2954" w:type="pct"/>
            <w:vAlign w:val="center"/>
          </w:tcPr>
          <w:p w14:paraId="511B56BC">
            <w:pPr>
              <w:pStyle w:val="12"/>
              <w:jc w:val="left"/>
            </w:pPr>
            <w:r>
              <w:rPr>
                <w:rFonts w:hint="eastAsia"/>
              </w:rPr>
              <w:t>任同知</w:t>
            </w:r>
          </w:p>
        </w:tc>
      </w:tr>
      <w:tr w14:paraId="1E1B6C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03B92AF">
            <w:pPr>
              <w:pStyle w:val="12"/>
              <w:jc w:val="center"/>
            </w:pPr>
          </w:p>
        </w:tc>
        <w:tc>
          <w:tcPr>
            <w:tcW w:w="678" w:type="pct"/>
            <w:vAlign w:val="center"/>
          </w:tcPr>
          <w:p w14:paraId="1C9682C9">
            <w:pPr>
              <w:pStyle w:val="12"/>
              <w:jc w:val="center"/>
            </w:pPr>
            <w:r>
              <w:rPr>
                <w:rFonts w:hint="eastAsia"/>
              </w:rPr>
              <w:t>彭  昂</w:t>
            </w:r>
          </w:p>
        </w:tc>
        <w:tc>
          <w:tcPr>
            <w:tcW w:w="728" w:type="pct"/>
            <w:vAlign w:val="center"/>
          </w:tcPr>
          <w:p w14:paraId="4458A9A1">
            <w:pPr>
              <w:pStyle w:val="12"/>
              <w:jc w:val="center"/>
            </w:pPr>
            <w:r>
              <w:rPr>
                <w:rFonts w:hint="eastAsia"/>
              </w:rPr>
              <w:t>永乐癸卯</w:t>
            </w:r>
          </w:p>
        </w:tc>
        <w:tc>
          <w:tcPr>
            <w:tcW w:w="2954" w:type="pct"/>
            <w:vAlign w:val="center"/>
          </w:tcPr>
          <w:p w14:paraId="1333D1FC">
            <w:pPr>
              <w:pStyle w:val="12"/>
              <w:jc w:val="left"/>
            </w:pPr>
            <w:r>
              <w:rPr>
                <w:rFonts w:hint="eastAsia"/>
              </w:rPr>
              <w:t>俊之兄，唐府伴读</w:t>
            </w:r>
          </w:p>
        </w:tc>
      </w:tr>
      <w:tr w14:paraId="0D573F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33A49F4">
            <w:pPr>
              <w:pStyle w:val="12"/>
              <w:jc w:val="center"/>
            </w:pPr>
          </w:p>
        </w:tc>
        <w:tc>
          <w:tcPr>
            <w:tcW w:w="678" w:type="pct"/>
            <w:vAlign w:val="center"/>
          </w:tcPr>
          <w:p w14:paraId="6A9C5B23">
            <w:pPr>
              <w:pStyle w:val="12"/>
              <w:jc w:val="center"/>
            </w:pPr>
            <w:r>
              <w:rPr>
                <w:rFonts w:hint="eastAsia"/>
              </w:rPr>
              <w:t>李  奎</w:t>
            </w:r>
          </w:p>
        </w:tc>
        <w:tc>
          <w:tcPr>
            <w:tcW w:w="728" w:type="pct"/>
            <w:vAlign w:val="center"/>
          </w:tcPr>
          <w:p w14:paraId="16098221">
            <w:pPr>
              <w:pStyle w:val="12"/>
              <w:jc w:val="center"/>
            </w:pPr>
            <w:r>
              <w:rPr>
                <w:rFonts w:hint="eastAsia"/>
              </w:rPr>
              <w:t>永乐癸卯</w:t>
            </w:r>
          </w:p>
        </w:tc>
        <w:tc>
          <w:tcPr>
            <w:tcW w:w="2954" w:type="pct"/>
            <w:vAlign w:val="center"/>
          </w:tcPr>
          <w:p w14:paraId="0986C07C">
            <w:pPr>
              <w:pStyle w:val="12"/>
              <w:jc w:val="left"/>
            </w:pPr>
            <w:r>
              <w:rPr>
                <w:rFonts w:hint="eastAsia"/>
              </w:rPr>
              <w:t>永宁卫经历</w:t>
            </w:r>
          </w:p>
        </w:tc>
      </w:tr>
      <w:tr w14:paraId="0E48F0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ADB3612">
            <w:pPr>
              <w:pStyle w:val="12"/>
              <w:jc w:val="center"/>
            </w:pPr>
          </w:p>
        </w:tc>
        <w:tc>
          <w:tcPr>
            <w:tcW w:w="678" w:type="pct"/>
            <w:vAlign w:val="center"/>
          </w:tcPr>
          <w:p w14:paraId="46C0852D">
            <w:pPr>
              <w:pStyle w:val="12"/>
              <w:jc w:val="center"/>
            </w:pPr>
            <w:r>
              <w:rPr>
                <w:rFonts w:hint="eastAsia"/>
              </w:rPr>
              <w:t>罗学逊</w:t>
            </w:r>
          </w:p>
        </w:tc>
        <w:tc>
          <w:tcPr>
            <w:tcW w:w="728" w:type="pct"/>
            <w:vAlign w:val="center"/>
          </w:tcPr>
          <w:p w14:paraId="613442F7">
            <w:pPr>
              <w:pStyle w:val="12"/>
              <w:jc w:val="center"/>
            </w:pPr>
            <w:r>
              <w:rPr>
                <w:rFonts w:hint="eastAsia"/>
              </w:rPr>
              <w:t>永乐癸卯</w:t>
            </w:r>
          </w:p>
        </w:tc>
        <w:tc>
          <w:tcPr>
            <w:tcW w:w="2954" w:type="pct"/>
            <w:vAlign w:val="center"/>
          </w:tcPr>
          <w:p w14:paraId="362559B7">
            <w:pPr>
              <w:pStyle w:val="12"/>
              <w:jc w:val="left"/>
            </w:pPr>
          </w:p>
        </w:tc>
      </w:tr>
      <w:tr w14:paraId="0952A1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4845AC7">
            <w:pPr>
              <w:pStyle w:val="12"/>
              <w:jc w:val="center"/>
            </w:pPr>
          </w:p>
        </w:tc>
        <w:tc>
          <w:tcPr>
            <w:tcW w:w="678" w:type="pct"/>
            <w:vAlign w:val="center"/>
          </w:tcPr>
          <w:p w14:paraId="38EC1C0D">
            <w:pPr>
              <w:pStyle w:val="12"/>
              <w:jc w:val="center"/>
            </w:pPr>
            <w:r>
              <w:rPr>
                <w:rFonts w:hint="eastAsia"/>
              </w:rPr>
              <w:t>叶孟昭</w:t>
            </w:r>
          </w:p>
        </w:tc>
        <w:tc>
          <w:tcPr>
            <w:tcW w:w="728" w:type="pct"/>
            <w:vAlign w:val="center"/>
          </w:tcPr>
          <w:p w14:paraId="4C6A261B">
            <w:pPr>
              <w:pStyle w:val="12"/>
              <w:jc w:val="center"/>
            </w:pPr>
            <w:r>
              <w:rPr>
                <w:rFonts w:hint="eastAsia"/>
              </w:rPr>
              <w:t>永乐癸卯</w:t>
            </w:r>
          </w:p>
        </w:tc>
        <w:tc>
          <w:tcPr>
            <w:tcW w:w="2954" w:type="pct"/>
            <w:vAlign w:val="center"/>
          </w:tcPr>
          <w:p w14:paraId="65515DAB">
            <w:pPr>
              <w:pStyle w:val="12"/>
              <w:jc w:val="left"/>
            </w:pPr>
            <w:r>
              <w:rPr>
                <w:rFonts w:hint="eastAsia"/>
              </w:rPr>
              <w:t>累官鲁府左长史。有传</w:t>
            </w:r>
          </w:p>
        </w:tc>
      </w:tr>
      <w:tr w14:paraId="2DB1D5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C85F0C7">
            <w:pPr>
              <w:pStyle w:val="12"/>
              <w:jc w:val="center"/>
            </w:pPr>
          </w:p>
        </w:tc>
        <w:tc>
          <w:tcPr>
            <w:tcW w:w="678" w:type="pct"/>
            <w:vAlign w:val="center"/>
          </w:tcPr>
          <w:p w14:paraId="7362C632">
            <w:pPr>
              <w:pStyle w:val="12"/>
              <w:jc w:val="center"/>
            </w:pPr>
            <w:r>
              <w:rPr>
                <w:rFonts w:hint="eastAsia"/>
              </w:rPr>
              <w:t>邓  容</w:t>
            </w:r>
          </w:p>
        </w:tc>
        <w:tc>
          <w:tcPr>
            <w:tcW w:w="728" w:type="pct"/>
            <w:vAlign w:val="center"/>
          </w:tcPr>
          <w:p w14:paraId="17425D30">
            <w:pPr>
              <w:pStyle w:val="12"/>
              <w:jc w:val="center"/>
            </w:pPr>
            <w:r>
              <w:rPr>
                <w:rFonts w:hint="eastAsia"/>
              </w:rPr>
              <w:t>永乐癸卯</w:t>
            </w:r>
          </w:p>
        </w:tc>
        <w:tc>
          <w:tcPr>
            <w:tcW w:w="2954" w:type="pct"/>
            <w:vAlign w:val="center"/>
          </w:tcPr>
          <w:p w14:paraId="43805957">
            <w:pPr>
              <w:pStyle w:val="12"/>
              <w:jc w:val="left"/>
            </w:pPr>
            <w:r>
              <w:rPr>
                <w:rFonts w:hint="eastAsia"/>
              </w:rPr>
              <w:t>浔州训导</w:t>
            </w:r>
          </w:p>
        </w:tc>
      </w:tr>
      <w:tr w14:paraId="3540637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EE1CA80">
            <w:pPr>
              <w:pStyle w:val="12"/>
              <w:jc w:val="center"/>
            </w:pPr>
          </w:p>
        </w:tc>
        <w:tc>
          <w:tcPr>
            <w:tcW w:w="678" w:type="pct"/>
            <w:vAlign w:val="center"/>
          </w:tcPr>
          <w:p w14:paraId="4F2DAF06">
            <w:pPr>
              <w:pStyle w:val="12"/>
              <w:jc w:val="center"/>
            </w:pPr>
            <w:r>
              <w:rPr>
                <w:rFonts w:hint="eastAsia"/>
              </w:rPr>
              <w:t>吴  渊</w:t>
            </w:r>
          </w:p>
        </w:tc>
        <w:tc>
          <w:tcPr>
            <w:tcW w:w="728" w:type="pct"/>
            <w:vAlign w:val="center"/>
          </w:tcPr>
          <w:p w14:paraId="10B8C725">
            <w:pPr>
              <w:pStyle w:val="12"/>
              <w:jc w:val="center"/>
            </w:pPr>
            <w:r>
              <w:rPr>
                <w:rFonts w:hint="eastAsia"/>
              </w:rPr>
              <w:t>永乐癸卯</w:t>
            </w:r>
          </w:p>
        </w:tc>
        <w:tc>
          <w:tcPr>
            <w:tcW w:w="2954" w:type="pct"/>
            <w:vAlign w:val="center"/>
          </w:tcPr>
          <w:p w14:paraId="758D62FC">
            <w:pPr>
              <w:pStyle w:val="12"/>
              <w:jc w:val="left"/>
            </w:pPr>
            <w:r>
              <w:rPr>
                <w:rFonts w:hint="eastAsia"/>
              </w:rPr>
              <w:t>知县</w:t>
            </w:r>
          </w:p>
        </w:tc>
      </w:tr>
      <w:tr w14:paraId="5B86F4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5E30E37">
            <w:pPr>
              <w:pStyle w:val="12"/>
              <w:jc w:val="center"/>
            </w:pPr>
          </w:p>
        </w:tc>
        <w:tc>
          <w:tcPr>
            <w:tcW w:w="678" w:type="pct"/>
            <w:vAlign w:val="center"/>
          </w:tcPr>
          <w:p w14:paraId="37EF31A2">
            <w:pPr>
              <w:pStyle w:val="12"/>
              <w:jc w:val="center"/>
            </w:pPr>
            <w:r>
              <w:rPr>
                <w:rFonts w:hint="eastAsia"/>
              </w:rPr>
              <w:t>陈  纲</w:t>
            </w:r>
          </w:p>
        </w:tc>
        <w:tc>
          <w:tcPr>
            <w:tcW w:w="728" w:type="pct"/>
            <w:vAlign w:val="center"/>
          </w:tcPr>
          <w:p w14:paraId="7C77A73F">
            <w:pPr>
              <w:pStyle w:val="12"/>
              <w:jc w:val="center"/>
            </w:pPr>
            <w:r>
              <w:rPr>
                <w:rFonts w:hint="eastAsia"/>
              </w:rPr>
              <w:t>宣德丙午</w:t>
            </w:r>
          </w:p>
        </w:tc>
        <w:tc>
          <w:tcPr>
            <w:tcW w:w="2954" w:type="pct"/>
            <w:vAlign w:val="center"/>
          </w:tcPr>
          <w:p w14:paraId="5C011CA2">
            <w:pPr>
              <w:pStyle w:val="12"/>
              <w:jc w:val="left"/>
            </w:pPr>
            <w:r>
              <w:rPr>
                <w:rFonts w:hint="eastAsia"/>
              </w:rPr>
              <w:t>见进士</w:t>
            </w:r>
          </w:p>
        </w:tc>
      </w:tr>
      <w:tr w14:paraId="24B10E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197D830">
            <w:pPr>
              <w:pStyle w:val="12"/>
              <w:jc w:val="center"/>
            </w:pPr>
          </w:p>
        </w:tc>
        <w:tc>
          <w:tcPr>
            <w:tcW w:w="678" w:type="pct"/>
            <w:vAlign w:val="center"/>
          </w:tcPr>
          <w:p w14:paraId="2BC8DA1B">
            <w:pPr>
              <w:pStyle w:val="12"/>
              <w:jc w:val="center"/>
            </w:pPr>
            <w:r>
              <w:rPr>
                <w:rFonts w:hint="eastAsia"/>
              </w:rPr>
              <w:t>周  琳</w:t>
            </w:r>
          </w:p>
        </w:tc>
        <w:tc>
          <w:tcPr>
            <w:tcW w:w="728" w:type="pct"/>
            <w:vAlign w:val="center"/>
          </w:tcPr>
          <w:p w14:paraId="5418232E">
            <w:pPr>
              <w:pStyle w:val="12"/>
              <w:jc w:val="center"/>
            </w:pPr>
            <w:r>
              <w:rPr>
                <w:rFonts w:hint="eastAsia"/>
              </w:rPr>
              <w:t>宣德丙午</w:t>
            </w:r>
          </w:p>
        </w:tc>
        <w:tc>
          <w:tcPr>
            <w:tcW w:w="2954" w:type="pct"/>
            <w:vAlign w:val="center"/>
          </w:tcPr>
          <w:p w14:paraId="6109D043">
            <w:pPr>
              <w:pStyle w:val="12"/>
              <w:jc w:val="left"/>
            </w:pPr>
            <w:r>
              <w:rPr>
                <w:rFonts w:hint="eastAsia"/>
              </w:rPr>
              <w:t>石城训导</w:t>
            </w:r>
          </w:p>
        </w:tc>
      </w:tr>
      <w:tr w14:paraId="5D19B4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17F04E48">
            <w:pPr>
              <w:pStyle w:val="12"/>
              <w:jc w:val="center"/>
            </w:pPr>
          </w:p>
        </w:tc>
        <w:tc>
          <w:tcPr>
            <w:tcW w:w="678" w:type="pct"/>
            <w:vAlign w:val="center"/>
          </w:tcPr>
          <w:p w14:paraId="744BE4A9">
            <w:pPr>
              <w:pStyle w:val="12"/>
              <w:jc w:val="center"/>
            </w:pPr>
            <w:r>
              <w:rPr>
                <w:rFonts w:hint="eastAsia"/>
              </w:rPr>
              <w:t>邓  兴</w:t>
            </w:r>
          </w:p>
        </w:tc>
        <w:tc>
          <w:tcPr>
            <w:tcW w:w="728" w:type="pct"/>
            <w:vAlign w:val="center"/>
          </w:tcPr>
          <w:p w14:paraId="6A8E37FD">
            <w:pPr>
              <w:pStyle w:val="12"/>
              <w:jc w:val="center"/>
            </w:pPr>
            <w:r>
              <w:rPr>
                <w:rFonts w:hint="eastAsia"/>
              </w:rPr>
              <w:t>宣德己酉</w:t>
            </w:r>
          </w:p>
        </w:tc>
        <w:tc>
          <w:tcPr>
            <w:tcW w:w="2954" w:type="pct"/>
            <w:vAlign w:val="center"/>
          </w:tcPr>
          <w:p w14:paraId="64997A8F">
            <w:pPr>
              <w:pStyle w:val="12"/>
              <w:jc w:val="left"/>
            </w:pPr>
            <w:r>
              <w:rPr>
                <w:rFonts w:hint="eastAsia"/>
              </w:rPr>
              <w:t>应天府教授</w:t>
            </w:r>
          </w:p>
        </w:tc>
      </w:tr>
      <w:tr w14:paraId="0E2EE6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7F2EB6B">
            <w:pPr>
              <w:pStyle w:val="12"/>
              <w:jc w:val="center"/>
            </w:pPr>
          </w:p>
        </w:tc>
        <w:tc>
          <w:tcPr>
            <w:tcW w:w="678" w:type="pct"/>
            <w:vAlign w:val="center"/>
          </w:tcPr>
          <w:p w14:paraId="7A693D06">
            <w:pPr>
              <w:pStyle w:val="12"/>
              <w:jc w:val="center"/>
            </w:pPr>
            <w:r>
              <w:rPr>
                <w:rFonts w:hint="eastAsia"/>
              </w:rPr>
              <w:t>利  用</w:t>
            </w:r>
          </w:p>
        </w:tc>
        <w:tc>
          <w:tcPr>
            <w:tcW w:w="728" w:type="pct"/>
            <w:vAlign w:val="center"/>
          </w:tcPr>
          <w:p w14:paraId="230F4F3E">
            <w:pPr>
              <w:pStyle w:val="12"/>
              <w:jc w:val="center"/>
            </w:pPr>
            <w:r>
              <w:rPr>
                <w:rFonts w:hint="eastAsia"/>
              </w:rPr>
              <w:t>宣德壬子</w:t>
            </w:r>
          </w:p>
        </w:tc>
        <w:tc>
          <w:tcPr>
            <w:tcW w:w="2954" w:type="pct"/>
            <w:vAlign w:val="center"/>
          </w:tcPr>
          <w:p w14:paraId="28AD6425">
            <w:pPr>
              <w:pStyle w:val="12"/>
              <w:jc w:val="left"/>
            </w:pPr>
            <w:r>
              <w:rPr>
                <w:rFonts w:hint="eastAsia"/>
              </w:rPr>
              <w:t>经魁，累官太平知府</w:t>
            </w:r>
          </w:p>
        </w:tc>
      </w:tr>
      <w:tr w14:paraId="2D30F4E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1B16B42F">
            <w:pPr>
              <w:pStyle w:val="12"/>
              <w:jc w:val="center"/>
            </w:pPr>
          </w:p>
        </w:tc>
        <w:tc>
          <w:tcPr>
            <w:tcW w:w="678" w:type="pct"/>
            <w:vAlign w:val="center"/>
          </w:tcPr>
          <w:p w14:paraId="622F04F5">
            <w:pPr>
              <w:pStyle w:val="12"/>
              <w:jc w:val="center"/>
            </w:pPr>
            <w:r>
              <w:rPr>
                <w:rFonts w:hint="eastAsia"/>
              </w:rPr>
              <w:t>朱  洪</w:t>
            </w:r>
          </w:p>
        </w:tc>
        <w:tc>
          <w:tcPr>
            <w:tcW w:w="728" w:type="pct"/>
            <w:vAlign w:val="center"/>
          </w:tcPr>
          <w:p w14:paraId="02509C03">
            <w:pPr>
              <w:pStyle w:val="12"/>
              <w:jc w:val="center"/>
            </w:pPr>
            <w:r>
              <w:rPr>
                <w:rFonts w:hint="eastAsia"/>
              </w:rPr>
              <w:t>宣德乙卯</w:t>
            </w:r>
          </w:p>
        </w:tc>
        <w:tc>
          <w:tcPr>
            <w:tcW w:w="2954" w:type="pct"/>
            <w:vAlign w:val="center"/>
          </w:tcPr>
          <w:p w14:paraId="5A894C87">
            <w:pPr>
              <w:pStyle w:val="12"/>
              <w:jc w:val="left"/>
            </w:pPr>
            <w:r>
              <w:rPr>
                <w:rFonts w:hint="eastAsia"/>
              </w:rPr>
              <w:t>济宁知府</w:t>
            </w:r>
          </w:p>
        </w:tc>
      </w:tr>
      <w:tr w14:paraId="083810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9906028">
            <w:pPr>
              <w:pStyle w:val="12"/>
              <w:jc w:val="center"/>
            </w:pPr>
          </w:p>
        </w:tc>
        <w:tc>
          <w:tcPr>
            <w:tcW w:w="678" w:type="pct"/>
            <w:vAlign w:val="center"/>
          </w:tcPr>
          <w:p w14:paraId="4D2E072A">
            <w:pPr>
              <w:pStyle w:val="12"/>
              <w:jc w:val="center"/>
            </w:pPr>
            <w:r>
              <w:rPr>
                <w:rFonts w:hint="eastAsia"/>
              </w:rPr>
              <w:t>李  孜</w:t>
            </w:r>
          </w:p>
        </w:tc>
        <w:tc>
          <w:tcPr>
            <w:tcW w:w="728" w:type="pct"/>
            <w:vAlign w:val="center"/>
          </w:tcPr>
          <w:p w14:paraId="26B35E76">
            <w:pPr>
              <w:pStyle w:val="12"/>
              <w:jc w:val="center"/>
            </w:pPr>
            <w:r>
              <w:rPr>
                <w:rFonts w:hint="eastAsia"/>
              </w:rPr>
              <w:t>正统辛酉</w:t>
            </w:r>
          </w:p>
        </w:tc>
        <w:tc>
          <w:tcPr>
            <w:tcW w:w="2954" w:type="pct"/>
            <w:vAlign w:val="center"/>
          </w:tcPr>
          <w:p w14:paraId="4D7C2916">
            <w:pPr>
              <w:pStyle w:val="12"/>
              <w:jc w:val="left"/>
            </w:pPr>
            <w:r>
              <w:rPr>
                <w:rFonts w:hint="eastAsia"/>
              </w:rPr>
              <w:t>淮安教授，有传</w:t>
            </w:r>
          </w:p>
        </w:tc>
      </w:tr>
      <w:tr w14:paraId="69AAC6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E92BD23">
            <w:pPr>
              <w:pStyle w:val="12"/>
              <w:jc w:val="center"/>
            </w:pPr>
          </w:p>
        </w:tc>
        <w:tc>
          <w:tcPr>
            <w:tcW w:w="678" w:type="pct"/>
            <w:vAlign w:val="center"/>
          </w:tcPr>
          <w:p w14:paraId="4E44E5B0">
            <w:pPr>
              <w:pStyle w:val="12"/>
              <w:jc w:val="center"/>
            </w:pPr>
            <w:r>
              <w:rPr>
                <w:rFonts w:hint="eastAsia"/>
              </w:rPr>
              <w:t>曾子唯</w:t>
            </w:r>
          </w:p>
        </w:tc>
        <w:tc>
          <w:tcPr>
            <w:tcW w:w="728" w:type="pct"/>
            <w:vAlign w:val="center"/>
          </w:tcPr>
          <w:p w14:paraId="02D240BD">
            <w:pPr>
              <w:pStyle w:val="12"/>
              <w:jc w:val="center"/>
            </w:pPr>
            <w:r>
              <w:rPr>
                <w:rFonts w:hint="eastAsia"/>
              </w:rPr>
              <w:t>正统辛酉</w:t>
            </w:r>
          </w:p>
        </w:tc>
        <w:tc>
          <w:tcPr>
            <w:tcW w:w="2954" w:type="pct"/>
            <w:vAlign w:val="center"/>
          </w:tcPr>
          <w:p w14:paraId="491E7A76">
            <w:pPr>
              <w:pStyle w:val="12"/>
              <w:jc w:val="left"/>
            </w:pPr>
            <w:r>
              <w:rPr>
                <w:rFonts w:hint="eastAsia"/>
              </w:rPr>
              <w:t>唐府长史</w:t>
            </w:r>
          </w:p>
        </w:tc>
      </w:tr>
      <w:tr w14:paraId="67823D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0D894A4">
            <w:pPr>
              <w:pStyle w:val="12"/>
              <w:jc w:val="center"/>
            </w:pPr>
          </w:p>
        </w:tc>
        <w:tc>
          <w:tcPr>
            <w:tcW w:w="678" w:type="pct"/>
            <w:vAlign w:val="center"/>
          </w:tcPr>
          <w:p w14:paraId="107A5A94">
            <w:pPr>
              <w:pStyle w:val="12"/>
              <w:jc w:val="center"/>
            </w:pPr>
            <w:r>
              <w:rPr>
                <w:rFonts w:hint="eastAsia"/>
              </w:rPr>
              <w:t>易  广</w:t>
            </w:r>
          </w:p>
        </w:tc>
        <w:tc>
          <w:tcPr>
            <w:tcW w:w="728" w:type="pct"/>
            <w:vAlign w:val="center"/>
          </w:tcPr>
          <w:p w14:paraId="413023F4">
            <w:pPr>
              <w:pStyle w:val="12"/>
              <w:jc w:val="center"/>
            </w:pPr>
            <w:r>
              <w:rPr>
                <w:rFonts w:hint="eastAsia"/>
              </w:rPr>
              <w:t>正统甲子</w:t>
            </w:r>
          </w:p>
        </w:tc>
        <w:tc>
          <w:tcPr>
            <w:tcW w:w="2954" w:type="pct"/>
            <w:vAlign w:val="center"/>
          </w:tcPr>
          <w:p w14:paraId="6BAAA4BE">
            <w:pPr>
              <w:pStyle w:val="12"/>
              <w:jc w:val="left"/>
            </w:pPr>
            <w:r>
              <w:rPr>
                <w:rFonts w:hint="eastAsia"/>
              </w:rPr>
              <w:t>授云南道监察御史，刚正有为，擢辰州知府，廉厚得民，致仕</w:t>
            </w:r>
          </w:p>
        </w:tc>
      </w:tr>
      <w:tr w14:paraId="41BC86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47A668C">
            <w:pPr>
              <w:pStyle w:val="12"/>
              <w:jc w:val="center"/>
            </w:pPr>
          </w:p>
        </w:tc>
        <w:tc>
          <w:tcPr>
            <w:tcW w:w="678" w:type="pct"/>
            <w:vAlign w:val="center"/>
          </w:tcPr>
          <w:p w14:paraId="32452D99">
            <w:pPr>
              <w:pStyle w:val="12"/>
              <w:jc w:val="center"/>
            </w:pPr>
            <w:r>
              <w:rPr>
                <w:rFonts w:hint="eastAsia"/>
              </w:rPr>
              <w:t>彭  翔</w:t>
            </w:r>
          </w:p>
        </w:tc>
        <w:tc>
          <w:tcPr>
            <w:tcW w:w="728" w:type="pct"/>
            <w:vAlign w:val="center"/>
          </w:tcPr>
          <w:p w14:paraId="04E5644D">
            <w:pPr>
              <w:pStyle w:val="12"/>
              <w:jc w:val="center"/>
            </w:pPr>
            <w:r>
              <w:rPr>
                <w:rFonts w:hint="eastAsia"/>
              </w:rPr>
              <w:t>正统丁卯</w:t>
            </w:r>
          </w:p>
        </w:tc>
        <w:tc>
          <w:tcPr>
            <w:tcW w:w="2954" w:type="pct"/>
            <w:vAlign w:val="center"/>
          </w:tcPr>
          <w:p w14:paraId="4DFBC3D4">
            <w:pPr>
              <w:pStyle w:val="12"/>
              <w:jc w:val="left"/>
            </w:pPr>
            <w:r>
              <w:rPr>
                <w:rFonts w:hint="eastAsia"/>
              </w:rPr>
              <w:t>始兴训导</w:t>
            </w:r>
          </w:p>
        </w:tc>
      </w:tr>
      <w:tr w14:paraId="4B207C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9D43F01">
            <w:pPr>
              <w:pStyle w:val="12"/>
              <w:jc w:val="center"/>
            </w:pPr>
          </w:p>
        </w:tc>
        <w:tc>
          <w:tcPr>
            <w:tcW w:w="678" w:type="pct"/>
            <w:vAlign w:val="center"/>
          </w:tcPr>
          <w:p w14:paraId="39D8F001">
            <w:pPr>
              <w:pStyle w:val="12"/>
              <w:jc w:val="center"/>
            </w:pPr>
            <w:r>
              <w:rPr>
                <w:rFonts w:hint="eastAsia"/>
              </w:rPr>
              <w:t>谈  志</w:t>
            </w:r>
          </w:p>
        </w:tc>
        <w:tc>
          <w:tcPr>
            <w:tcW w:w="728" w:type="pct"/>
            <w:vAlign w:val="center"/>
          </w:tcPr>
          <w:p w14:paraId="167100D0">
            <w:pPr>
              <w:pStyle w:val="12"/>
              <w:jc w:val="center"/>
            </w:pPr>
            <w:r>
              <w:rPr>
                <w:rFonts w:hint="eastAsia"/>
              </w:rPr>
              <w:t>正统丁卯</w:t>
            </w:r>
          </w:p>
        </w:tc>
        <w:tc>
          <w:tcPr>
            <w:tcW w:w="2954" w:type="pct"/>
            <w:vAlign w:val="center"/>
          </w:tcPr>
          <w:p w14:paraId="0101B123">
            <w:pPr>
              <w:pStyle w:val="12"/>
              <w:jc w:val="left"/>
            </w:pPr>
          </w:p>
        </w:tc>
      </w:tr>
      <w:tr w14:paraId="34D03A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B5C33D0">
            <w:pPr>
              <w:pStyle w:val="12"/>
              <w:jc w:val="center"/>
            </w:pPr>
          </w:p>
        </w:tc>
        <w:tc>
          <w:tcPr>
            <w:tcW w:w="678" w:type="pct"/>
            <w:vAlign w:val="center"/>
          </w:tcPr>
          <w:p w14:paraId="0A9D75DD">
            <w:pPr>
              <w:pStyle w:val="12"/>
              <w:jc w:val="center"/>
            </w:pPr>
            <w:r>
              <w:rPr>
                <w:rFonts w:hint="eastAsia"/>
              </w:rPr>
              <w:t>李  纟玄</w:t>
            </w:r>
          </w:p>
        </w:tc>
        <w:tc>
          <w:tcPr>
            <w:tcW w:w="728" w:type="pct"/>
            <w:vAlign w:val="center"/>
          </w:tcPr>
          <w:p w14:paraId="70446502">
            <w:pPr>
              <w:pStyle w:val="12"/>
              <w:jc w:val="center"/>
            </w:pPr>
            <w:r>
              <w:rPr>
                <w:rFonts w:hint="eastAsia"/>
              </w:rPr>
              <w:t>景泰庚午</w:t>
            </w:r>
          </w:p>
        </w:tc>
        <w:tc>
          <w:tcPr>
            <w:tcW w:w="2954" w:type="pct"/>
            <w:vAlign w:val="center"/>
          </w:tcPr>
          <w:p w14:paraId="75D97F3C">
            <w:pPr>
              <w:pStyle w:val="12"/>
              <w:jc w:val="left"/>
            </w:pPr>
            <w:r>
              <w:rPr>
                <w:rFonts w:hint="eastAsia"/>
              </w:rPr>
              <w:t>经魁，任障州通判</w:t>
            </w:r>
          </w:p>
        </w:tc>
      </w:tr>
      <w:tr w14:paraId="7E02FD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11B4863">
            <w:pPr>
              <w:pStyle w:val="12"/>
              <w:jc w:val="center"/>
            </w:pPr>
          </w:p>
        </w:tc>
        <w:tc>
          <w:tcPr>
            <w:tcW w:w="678" w:type="pct"/>
            <w:vAlign w:val="center"/>
          </w:tcPr>
          <w:p w14:paraId="75177445">
            <w:pPr>
              <w:pStyle w:val="12"/>
              <w:jc w:val="center"/>
            </w:pPr>
            <w:r>
              <w:rPr>
                <w:rFonts w:hint="eastAsia"/>
              </w:rPr>
              <w:t>周  琦</w:t>
            </w:r>
          </w:p>
        </w:tc>
        <w:tc>
          <w:tcPr>
            <w:tcW w:w="728" w:type="pct"/>
            <w:vAlign w:val="center"/>
          </w:tcPr>
          <w:p w14:paraId="3212135B">
            <w:pPr>
              <w:pStyle w:val="12"/>
              <w:jc w:val="center"/>
            </w:pPr>
            <w:r>
              <w:rPr>
                <w:rFonts w:hint="eastAsia"/>
              </w:rPr>
              <w:t>景泰庚午</w:t>
            </w:r>
          </w:p>
        </w:tc>
        <w:tc>
          <w:tcPr>
            <w:tcW w:w="2954" w:type="pct"/>
            <w:vAlign w:val="center"/>
          </w:tcPr>
          <w:p w14:paraId="3A14CDE7">
            <w:pPr>
              <w:pStyle w:val="12"/>
              <w:jc w:val="left"/>
            </w:pPr>
            <w:r>
              <w:rPr>
                <w:rFonts w:hint="eastAsia"/>
              </w:rPr>
              <w:t>冕之子，任训导</w:t>
            </w:r>
          </w:p>
        </w:tc>
      </w:tr>
      <w:tr w14:paraId="30895A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1FDCC53">
            <w:pPr>
              <w:pStyle w:val="12"/>
              <w:jc w:val="center"/>
            </w:pPr>
          </w:p>
        </w:tc>
        <w:tc>
          <w:tcPr>
            <w:tcW w:w="678" w:type="pct"/>
            <w:vAlign w:val="center"/>
          </w:tcPr>
          <w:p w14:paraId="2D876D1B">
            <w:pPr>
              <w:pStyle w:val="12"/>
              <w:jc w:val="center"/>
            </w:pPr>
            <w:r>
              <w:rPr>
                <w:rFonts w:hint="eastAsia"/>
              </w:rPr>
              <w:t>钟  瑄</w:t>
            </w:r>
          </w:p>
        </w:tc>
        <w:tc>
          <w:tcPr>
            <w:tcW w:w="728" w:type="pct"/>
            <w:vAlign w:val="center"/>
          </w:tcPr>
          <w:p w14:paraId="65F64321">
            <w:pPr>
              <w:pStyle w:val="12"/>
              <w:jc w:val="center"/>
            </w:pPr>
            <w:r>
              <w:rPr>
                <w:rFonts w:hint="eastAsia"/>
              </w:rPr>
              <w:t>景泰庚午</w:t>
            </w:r>
          </w:p>
        </w:tc>
        <w:tc>
          <w:tcPr>
            <w:tcW w:w="2954" w:type="pct"/>
            <w:vAlign w:val="center"/>
          </w:tcPr>
          <w:p w14:paraId="62785A2E">
            <w:pPr>
              <w:pStyle w:val="12"/>
              <w:jc w:val="left"/>
            </w:pPr>
            <w:r>
              <w:rPr>
                <w:rFonts w:hint="eastAsia"/>
              </w:rPr>
              <w:t>太仓卫教授</w:t>
            </w:r>
          </w:p>
        </w:tc>
      </w:tr>
      <w:tr w14:paraId="60147B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CE64A91">
            <w:pPr>
              <w:pStyle w:val="12"/>
              <w:jc w:val="center"/>
            </w:pPr>
          </w:p>
        </w:tc>
        <w:tc>
          <w:tcPr>
            <w:tcW w:w="678" w:type="pct"/>
            <w:vAlign w:val="center"/>
          </w:tcPr>
          <w:p w14:paraId="7E6EB304">
            <w:pPr>
              <w:pStyle w:val="12"/>
              <w:jc w:val="center"/>
            </w:pPr>
            <w:r>
              <w:rPr>
                <w:rFonts w:hint="eastAsia"/>
              </w:rPr>
              <w:t>黄  泰</w:t>
            </w:r>
          </w:p>
        </w:tc>
        <w:tc>
          <w:tcPr>
            <w:tcW w:w="728" w:type="pct"/>
            <w:vAlign w:val="center"/>
          </w:tcPr>
          <w:p w14:paraId="0B21CCFC">
            <w:pPr>
              <w:pStyle w:val="12"/>
              <w:jc w:val="center"/>
            </w:pPr>
            <w:r>
              <w:rPr>
                <w:rFonts w:hint="eastAsia"/>
              </w:rPr>
              <w:t>景泰庚午</w:t>
            </w:r>
          </w:p>
        </w:tc>
        <w:tc>
          <w:tcPr>
            <w:tcW w:w="2954" w:type="pct"/>
            <w:vAlign w:val="center"/>
          </w:tcPr>
          <w:p w14:paraId="50A96BA9">
            <w:pPr>
              <w:pStyle w:val="12"/>
              <w:jc w:val="left"/>
            </w:pPr>
            <w:r>
              <w:rPr>
                <w:rFonts w:hint="eastAsia"/>
              </w:rPr>
              <w:t>松江通判，政尚平易，致仕</w:t>
            </w:r>
          </w:p>
        </w:tc>
      </w:tr>
      <w:tr w14:paraId="58CC70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371AB0E">
            <w:pPr>
              <w:pStyle w:val="12"/>
              <w:jc w:val="center"/>
            </w:pPr>
          </w:p>
        </w:tc>
        <w:tc>
          <w:tcPr>
            <w:tcW w:w="678" w:type="pct"/>
            <w:vAlign w:val="center"/>
          </w:tcPr>
          <w:p w14:paraId="5E9EA0A8">
            <w:pPr>
              <w:pStyle w:val="12"/>
              <w:jc w:val="center"/>
            </w:pPr>
            <w:r>
              <w:rPr>
                <w:rFonts w:hint="eastAsia"/>
              </w:rPr>
              <w:t>朱  晃</w:t>
            </w:r>
          </w:p>
        </w:tc>
        <w:tc>
          <w:tcPr>
            <w:tcW w:w="728" w:type="pct"/>
            <w:vAlign w:val="center"/>
          </w:tcPr>
          <w:p w14:paraId="5B358748">
            <w:pPr>
              <w:pStyle w:val="12"/>
              <w:jc w:val="center"/>
            </w:pPr>
            <w:r>
              <w:rPr>
                <w:rFonts w:hint="eastAsia"/>
              </w:rPr>
              <w:t>景泰癸酉</w:t>
            </w:r>
          </w:p>
        </w:tc>
        <w:tc>
          <w:tcPr>
            <w:tcW w:w="2954" w:type="pct"/>
            <w:vAlign w:val="center"/>
          </w:tcPr>
          <w:p w14:paraId="6EE4E1BF">
            <w:pPr>
              <w:pStyle w:val="12"/>
              <w:jc w:val="left"/>
            </w:pPr>
          </w:p>
        </w:tc>
      </w:tr>
      <w:tr w14:paraId="6669D4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1E8056D8">
            <w:pPr>
              <w:pStyle w:val="12"/>
              <w:jc w:val="center"/>
            </w:pPr>
          </w:p>
        </w:tc>
        <w:tc>
          <w:tcPr>
            <w:tcW w:w="678" w:type="pct"/>
            <w:vAlign w:val="center"/>
          </w:tcPr>
          <w:p w14:paraId="1FB121B9">
            <w:pPr>
              <w:pStyle w:val="12"/>
              <w:jc w:val="center"/>
            </w:pPr>
            <w:r>
              <w:rPr>
                <w:rFonts w:hint="eastAsia"/>
              </w:rPr>
              <w:t>阳  灏</w:t>
            </w:r>
          </w:p>
        </w:tc>
        <w:tc>
          <w:tcPr>
            <w:tcW w:w="728" w:type="pct"/>
            <w:vAlign w:val="center"/>
          </w:tcPr>
          <w:p w14:paraId="57F60FB0">
            <w:pPr>
              <w:pStyle w:val="12"/>
              <w:jc w:val="center"/>
            </w:pPr>
            <w:r>
              <w:rPr>
                <w:rFonts w:hint="eastAsia"/>
              </w:rPr>
              <w:t>景泰丙子</w:t>
            </w:r>
          </w:p>
        </w:tc>
        <w:tc>
          <w:tcPr>
            <w:tcW w:w="2954" w:type="pct"/>
            <w:vAlign w:val="center"/>
          </w:tcPr>
          <w:p w14:paraId="26D366A5">
            <w:pPr>
              <w:pStyle w:val="12"/>
              <w:jc w:val="left"/>
            </w:pPr>
            <w:r>
              <w:rPr>
                <w:rFonts w:hint="eastAsia"/>
              </w:rPr>
              <w:t>国子监学正</w:t>
            </w:r>
          </w:p>
        </w:tc>
      </w:tr>
      <w:tr w14:paraId="7ED9DA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1B1C993B">
            <w:pPr>
              <w:pStyle w:val="12"/>
              <w:jc w:val="center"/>
            </w:pPr>
          </w:p>
        </w:tc>
        <w:tc>
          <w:tcPr>
            <w:tcW w:w="678" w:type="pct"/>
            <w:vAlign w:val="center"/>
          </w:tcPr>
          <w:p w14:paraId="4DEE001F">
            <w:pPr>
              <w:pStyle w:val="12"/>
              <w:jc w:val="center"/>
            </w:pPr>
            <w:r>
              <w:rPr>
                <w:rFonts w:hint="eastAsia"/>
              </w:rPr>
              <w:t>欧阳通</w:t>
            </w:r>
          </w:p>
        </w:tc>
        <w:tc>
          <w:tcPr>
            <w:tcW w:w="728" w:type="pct"/>
            <w:vAlign w:val="center"/>
          </w:tcPr>
          <w:p w14:paraId="68956718">
            <w:pPr>
              <w:pStyle w:val="12"/>
              <w:jc w:val="center"/>
            </w:pPr>
            <w:r>
              <w:rPr>
                <w:rFonts w:hint="eastAsia"/>
              </w:rPr>
              <w:t>天顺己卯</w:t>
            </w:r>
          </w:p>
        </w:tc>
        <w:tc>
          <w:tcPr>
            <w:tcW w:w="2954" w:type="pct"/>
            <w:vAlign w:val="center"/>
          </w:tcPr>
          <w:p w14:paraId="01AB5C32">
            <w:pPr>
              <w:pStyle w:val="12"/>
              <w:jc w:val="left"/>
            </w:pPr>
            <w:r>
              <w:rPr>
                <w:rFonts w:hint="eastAsia"/>
              </w:rPr>
              <w:t>经魁</w:t>
            </w:r>
          </w:p>
        </w:tc>
      </w:tr>
      <w:tr w14:paraId="516063E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175AC5B9">
            <w:pPr>
              <w:pStyle w:val="12"/>
              <w:jc w:val="center"/>
            </w:pPr>
          </w:p>
        </w:tc>
        <w:tc>
          <w:tcPr>
            <w:tcW w:w="678" w:type="pct"/>
            <w:vAlign w:val="center"/>
          </w:tcPr>
          <w:p w14:paraId="0660C750">
            <w:pPr>
              <w:pStyle w:val="12"/>
              <w:jc w:val="center"/>
            </w:pPr>
            <w:r>
              <w:rPr>
                <w:rFonts w:hint="eastAsia"/>
              </w:rPr>
              <w:t>李  文</w:t>
            </w:r>
          </w:p>
        </w:tc>
        <w:tc>
          <w:tcPr>
            <w:tcW w:w="728" w:type="pct"/>
            <w:vAlign w:val="center"/>
          </w:tcPr>
          <w:p w14:paraId="42ED9763">
            <w:pPr>
              <w:pStyle w:val="12"/>
              <w:jc w:val="center"/>
            </w:pPr>
            <w:r>
              <w:rPr>
                <w:rFonts w:hint="eastAsia"/>
              </w:rPr>
              <w:t>成化乙酉</w:t>
            </w:r>
          </w:p>
        </w:tc>
        <w:tc>
          <w:tcPr>
            <w:tcW w:w="2954" w:type="pct"/>
            <w:vAlign w:val="center"/>
          </w:tcPr>
          <w:p w14:paraId="522AD9CF">
            <w:pPr>
              <w:pStyle w:val="12"/>
              <w:jc w:val="left"/>
            </w:pPr>
          </w:p>
        </w:tc>
      </w:tr>
      <w:tr w14:paraId="5BA20E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C7CCFFC">
            <w:pPr>
              <w:pStyle w:val="12"/>
              <w:jc w:val="center"/>
            </w:pPr>
          </w:p>
        </w:tc>
        <w:tc>
          <w:tcPr>
            <w:tcW w:w="678" w:type="pct"/>
            <w:vAlign w:val="center"/>
          </w:tcPr>
          <w:p w14:paraId="3A0E9016">
            <w:pPr>
              <w:pStyle w:val="12"/>
              <w:jc w:val="center"/>
            </w:pPr>
            <w:r>
              <w:rPr>
                <w:rFonts w:hint="eastAsia"/>
              </w:rPr>
              <w:t>李  昕</w:t>
            </w:r>
          </w:p>
        </w:tc>
        <w:tc>
          <w:tcPr>
            <w:tcW w:w="728" w:type="pct"/>
            <w:vAlign w:val="center"/>
          </w:tcPr>
          <w:p w14:paraId="0C182027">
            <w:pPr>
              <w:pStyle w:val="12"/>
              <w:jc w:val="center"/>
            </w:pPr>
            <w:r>
              <w:rPr>
                <w:rFonts w:hint="eastAsia"/>
              </w:rPr>
              <w:t>成化甲午</w:t>
            </w:r>
          </w:p>
        </w:tc>
        <w:tc>
          <w:tcPr>
            <w:tcW w:w="2954" w:type="pct"/>
            <w:vAlign w:val="center"/>
          </w:tcPr>
          <w:p w14:paraId="5614578A">
            <w:pPr>
              <w:pStyle w:val="12"/>
              <w:jc w:val="left"/>
            </w:pPr>
            <w:r>
              <w:rPr>
                <w:rFonts w:hint="eastAsia"/>
              </w:rPr>
              <w:t>同知鼎子，解元，长泰知县</w:t>
            </w:r>
          </w:p>
        </w:tc>
      </w:tr>
      <w:tr w14:paraId="0911D7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1FB471A7">
            <w:pPr>
              <w:pStyle w:val="12"/>
              <w:jc w:val="center"/>
            </w:pPr>
          </w:p>
        </w:tc>
        <w:tc>
          <w:tcPr>
            <w:tcW w:w="678" w:type="pct"/>
            <w:vAlign w:val="center"/>
          </w:tcPr>
          <w:p w14:paraId="7ABA5743">
            <w:pPr>
              <w:pStyle w:val="12"/>
              <w:jc w:val="center"/>
            </w:pPr>
            <w:r>
              <w:rPr>
                <w:rFonts w:hint="eastAsia"/>
              </w:rPr>
              <w:t>邱文瀚</w:t>
            </w:r>
          </w:p>
        </w:tc>
        <w:tc>
          <w:tcPr>
            <w:tcW w:w="728" w:type="pct"/>
            <w:vAlign w:val="center"/>
          </w:tcPr>
          <w:p w14:paraId="5AEDE255">
            <w:pPr>
              <w:pStyle w:val="12"/>
              <w:jc w:val="center"/>
            </w:pPr>
            <w:r>
              <w:rPr>
                <w:rFonts w:hint="eastAsia"/>
              </w:rPr>
              <w:t>成化甲午</w:t>
            </w:r>
          </w:p>
        </w:tc>
        <w:tc>
          <w:tcPr>
            <w:tcW w:w="2954" w:type="pct"/>
            <w:vAlign w:val="center"/>
          </w:tcPr>
          <w:p w14:paraId="744E6379">
            <w:pPr>
              <w:pStyle w:val="12"/>
              <w:jc w:val="left"/>
            </w:pPr>
            <w:r>
              <w:rPr>
                <w:rFonts w:hint="eastAsia"/>
              </w:rPr>
              <w:t>见进士</w:t>
            </w:r>
          </w:p>
        </w:tc>
      </w:tr>
      <w:tr w14:paraId="7402B1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939CB75">
            <w:pPr>
              <w:pStyle w:val="12"/>
              <w:jc w:val="center"/>
            </w:pPr>
          </w:p>
        </w:tc>
        <w:tc>
          <w:tcPr>
            <w:tcW w:w="678" w:type="pct"/>
            <w:vAlign w:val="center"/>
          </w:tcPr>
          <w:p w14:paraId="228EF869">
            <w:pPr>
              <w:pStyle w:val="12"/>
              <w:jc w:val="center"/>
            </w:pPr>
            <w:r>
              <w:rPr>
                <w:rFonts w:hint="eastAsia"/>
              </w:rPr>
              <w:t>冯德让</w:t>
            </w:r>
          </w:p>
        </w:tc>
        <w:tc>
          <w:tcPr>
            <w:tcW w:w="728" w:type="pct"/>
            <w:vAlign w:val="center"/>
          </w:tcPr>
          <w:p w14:paraId="316C6DE1">
            <w:pPr>
              <w:pStyle w:val="12"/>
              <w:jc w:val="center"/>
            </w:pPr>
            <w:r>
              <w:rPr>
                <w:rFonts w:hint="eastAsia"/>
              </w:rPr>
              <w:t>成化甲午</w:t>
            </w:r>
          </w:p>
        </w:tc>
        <w:tc>
          <w:tcPr>
            <w:tcW w:w="2954" w:type="pct"/>
            <w:vAlign w:val="center"/>
          </w:tcPr>
          <w:p w14:paraId="1B70B016">
            <w:pPr>
              <w:pStyle w:val="12"/>
              <w:jc w:val="left"/>
            </w:pPr>
            <w:r>
              <w:rPr>
                <w:rFonts w:hint="eastAsia"/>
              </w:rPr>
              <w:t>上林知县</w:t>
            </w:r>
          </w:p>
        </w:tc>
      </w:tr>
      <w:tr w14:paraId="27453E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8816F6C">
            <w:pPr>
              <w:pStyle w:val="12"/>
              <w:jc w:val="center"/>
            </w:pPr>
          </w:p>
        </w:tc>
        <w:tc>
          <w:tcPr>
            <w:tcW w:w="678" w:type="pct"/>
            <w:vAlign w:val="center"/>
          </w:tcPr>
          <w:p w14:paraId="5274CC9C">
            <w:pPr>
              <w:pStyle w:val="12"/>
              <w:jc w:val="center"/>
            </w:pPr>
            <w:r>
              <w:rPr>
                <w:rFonts w:hint="eastAsia"/>
              </w:rPr>
              <w:t>蔡  玹</w:t>
            </w:r>
          </w:p>
        </w:tc>
        <w:tc>
          <w:tcPr>
            <w:tcW w:w="728" w:type="pct"/>
            <w:vAlign w:val="center"/>
          </w:tcPr>
          <w:p w14:paraId="57AF2B64">
            <w:pPr>
              <w:pStyle w:val="12"/>
              <w:jc w:val="center"/>
            </w:pPr>
            <w:r>
              <w:rPr>
                <w:rFonts w:hint="eastAsia"/>
              </w:rPr>
              <w:t>成化庚子</w:t>
            </w:r>
          </w:p>
        </w:tc>
        <w:tc>
          <w:tcPr>
            <w:tcW w:w="2954" w:type="pct"/>
            <w:vAlign w:val="center"/>
          </w:tcPr>
          <w:p w14:paraId="5BA30B10">
            <w:pPr>
              <w:pStyle w:val="12"/>
              <w:jc w:val="left"/>
            </w:pPr>
            <w:r>
              <w:rPr>
                <w:rFonts w:hint="eastAsia"/>
              </w:rPr>
              <w:t>教授</w:t>
            </w:r>
          </w:p>
        </w:tc>
      </w:tr>
      <w:tr w14:paraId="4723C2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D77E119">
            <w:pPr>
              <w:pStyle w:val="12"/>
              <w:jc w:val="center"/>
            </w:pPr>
          </w:p>
        </w:tc>
        <w:tc>
          <w:tcPr>
            <w:tcW w:w="678" w:type="pct"/>
            <w:vAlign w:val="center"/>
          </w:tcPr>
          <w:p w14:paraId="15814D44">
            <w:pPr>
              <w:pStyle w:val="12"/>
              <w:jc w:val="center"/>
            </w:pPr>
            <w:r>
              <w:rPr>
                <w:rFonts w:hint="eastAsia"/>
              </w:rPr>
              <w:t>王文钦</w:t>
            </w:r>
          </w:p>
        </w:tc>
        <w:tc>
          <w:tcPr>
            <w:tcW w:w="728" w:type="pct"/>
            <w:vAlign w:val="center"/>
          </w:tcPr>
          <w:p w14:paraId="2A1DF613">
            <w:pPr>
              <w:pStyle w:val="12"/>
              <w:jc w:val="center"/>
            </w:pPr>
            <w:r>
              <w:rPr>
                <w:rFonts w:hint="eastAsia"/>
              </w:rPr>
              <w:t>弘治己酉</w:t>
            </w:r>
          </w:p>
        </w:tc>
        <w:tc>
          <w:tcPr>
            <w:tcW w:w="2954" w:type="pct"/>
            <w:vAlign w:val="center"/>
          </w:tcPr>
          <w:p w14:paraId="28916499">
            <w:pPr>
              <w:pStyle w:val="12"/>
              <w:jc w:val="left"/>
            </w:pPr>
            <w:r>
              <w:rPr>
                <w:rFonts w:hint="eastAsia"/>
              </w:rPr>
              <w:t>松阳知县，有传，省志作亚魁</w:t>
            </w:r>
          </w:p>
        </w:tc>
      </w:tr>
      <w:tr w14:paraId="7637F1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B3DC76E">
            <w:pPr>
              <w:pStyle w:val="12"/>
              <w:jc w:val="center"/>
            </w:pPr>
          </w:p>
        </w:tc>
        <w:tc>
          <w:tcPr>
            <w:tcW w:w="678" w:type="pct"/>
            <w:vAlign w:val="center"/>
          </w:tcPr>
          <w:p w14:paraId="7CBCE5A4">
            <w:pPr>
              <w:pStyle w:val="12"/>
              <w:jc w:val="center"/>
            </w:pPr>
            <w:r>
              <w:rPr>
                <w:rFonts w:hint="eastAsia"/>
              </w:rPr>
              <w:t>郭  繁</w:t>
            </w:r>
          </w:p>
        </w:tc>
        <w:tc>
          <w:tcPr>
            <w:tcW w:w="728" w:type="pct"/>
            <w:vAlign w:val="center"/>
          </w:tcPr>
          <w:p w14:paraId="5555364B">
            <w:pPr>
              <w:pStyle w:val="12"/>
              <w:jc w:val="center"/>
            </w:pPr>
            <w:r>
              <w:rPr>
                <w:rFonts w:hint="eastAsia"/>
              </w:rPr>
              <w:t>正德丙子</w:t>
            </w:r>
          </w:p>
        </w:tc>
        <w:tc>
          <w:tcPr>
            <w:tcW w:w="2954" w:type="pct"/>
            <w:vAlign w:val="center"/>
          </w:tcPr>
          <w:p w14:paraId="5E0855D1">
            <w:pPr>
              <w:pStyle w:val="12"/>
              <w:jc w:val="left"/>
            </w:pPr>
            <w:r>
              <w:rPr>
                <w:rFonts w:hint="eastAsia"/>
              </w:rPr>
              <w:t>兴化推官</w:t>
            </w:r>
          </w:p>
        </w:tc>
      </w:tr>
      <w:tr w14:paraId="2DC8D3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BFBB945">
            <w:pPr>
              <w:pStyle w:val="12"/>
              <w:jc w:val="center"/>
            </w:pPr>
          </w:p>
        </w:tc>
        <w:tc>
          <w:tcPr>
            <w:tcW w:w="678" w:type="pct"/>
            <w:vAlign w:val="center"/>
          </w:tcPr>
          <w:p w14:paraId="020F82CE">
            <w:pPr>
              <w:pStyle w:val="12"/>
              <w:jc w:val="center"/>
            </w:pPr>
            <w:r>
              <w:rPr>
                <w:rFonts w:hint="eastAsia"/>
              </w:rPr>
              <w:t>胡大庆</w:t>
            </w:r>
          </w:p>
        </w:tc>
        <w:tc>
          <w:tcPr>
            <w:tcW w:w="728" w:type="pct"/>
            <w:vAlign w:val="center"/>
          </w:tcPr>
          <w:p w14:paraId="0F6C10C8">
            <w:pPr>
              <w:pStyle w:val="12"/>
              <w:jc w:val="center"/>
            </w:pPr>
            <w:r>
              <w:rPr>
                <w:rFonts w:hint="eastAsia"/>
              </w:rPr>
              <w:t>嘉靖辛卯</w:t>
            </w:r>
          </w:p>
        </w:tc>
        <w:tc>
          <w:tcPr>
            <w:tcW w:w="2954" w:type="pct"/>
            <w:vAlign w:val="center"/>
          </w:tcPr>
          <w:p w14:paraId="0EF50D0C">
            <w:pPr>
              <w:pStyle w:val="12"/>
              <w:jc w:val="left"/>
            </w:pPr>
            <w:r>
              <w:rPr>
                <w:rFonts w:hint="eastAsia"/>
              </w:rPr>
              <w:t>福州通判</w:t>
            </w:r>
          </w:p>
        </w:tc>
      </w:tr>
      <w:tr w14:paraId="4AB1EC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EAAB1C9">
            <w:pPr>
              <w:pStyle w:val="12"/>
              <w:jc w:val="center"/>
            </w:pPr>
          </w:p>
        </w:tc>
        <w:tc>
          <w:tcPr>
            <w:tcW w:w="678" w:type="pct"/>
            <w:vAlign w:val="center"/>
          </w:tcPr>
          <w:p w14:paraId="28A55144">
            <w:pPr>
              <w:pStyle w:val="12"/>
              <w:jc w:val="center"/>
            </w:pPr>
            <w:r>
              <w:rPr>
                <w:rFonts w:hint="eastAsia"/>
              </w:rPr>
              <w:t>谭大初</w:t>
            </w:r>
          </w:p>
        </w:tc>
        <w:tc>
          <w:tcPr>
            <w:tcW w:w="728" w:type="pct"/>
            <w:vAlign w:val="center"/>
          </w:tcPr>
          <w:p w14:paraId="26B33D4B">
            <w:pPr>
              <w:pStyle w:val="12"/>
              <w:jc w:val="center"/>
            </w:pPr>
            <w:r>
              <w:rPr>
                <w:rFonts w:hint="eastAsia"/>
              </w:rPr>
              <w:t>嘉靖丁丑</w:t>
            </w:r>
          </w:p>
        </w:tc>
        <w:tc>
          <w:tcPr>
            <w:tcW w:w="2954" w:type="pct"/>
            <w:vAlign w:val="center"/>
          </w:tcPr>
          <w:p w14:paraId="1EBADFDC">
            <w:pPr>
              <w:pStyle w:val="12"/>
              <w:jc w:val="left"/>
            </w:pPr>
            <w:r>
              <w:rPr>
                <w:rFonts w:hint="eastAsia"/>
              </w:rPr>
              <w:t>见进士</w:t>
            </w:r>
          </w:p>
        </w:tc>
      </w:tr>
      <w:tr w14:paraId="373C53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E3E9D3C">
            <w:pPr>
              <w:pStyle w:val="12"/>
              <w:jc w:val="center"/>
            </w:pPr>
          </w:p>
        </w:tc>
        <w:tc>
          <w:tcPr>
            <w:tcW w:w="678" w:type="pct"/>
            <w:vAlign w:val="center"/>
          </w:tcPr>
          <w:p w14:paraId="5D01D957">
            <w:pPr>
              <w:pStyle w:val="12"/>
              <w:jc w:val="center"/>
            </w:pPr>
            <w:r>
              <w:rPr>
                <w:rFonts w:hint="eastAsia"/>
              </w:rPr>
              <w:t>汪一勺</w:t>
            </w:r>
          </w:p>
        </w:tc>
        <w:tc>
          <w:tcPr>
            <w:tcW w:w="728" w:type="pct"/>
            <w:vAlign w:val="center"/>
          </w:tcPr>
          <w:p w14:paraId="174D4C4F">
            <w:pPr>
              <w:pStyle w:val="12"/>
              <w:jc w:val="center"/>
            </w:pPr>
            <w:r>
              <w:rPr>
                <w:rFonts w:hint="eastAsia"/>
              </w:rPr>
              <w:t>嘉靖庚子</w:t>
            </w:r>
          </w:p>
        </w:tc>
        <w:tc>
          <w:tcPr>
            <w:tcW w:w="2954" w:type="pct"/>
            <w:vAlign w:val="center"/>
          </w:tcPr>
          <w:p w14:paraId="03055FA9">
            <w:pPr>
              <w:pStyle w:val="12"/>
              <w:jc w:val="left"/>
            </w:pPr>
            <w:r>
              <w:rPr>
                <w:rFonts w:hint="eastAsia"/>
              </w:rPr>
              <w:t>累官南康同知</w:t>
            </w:r>
          </w:p>
        </w:tc>
      </w:tr>
      <w:tr w14:paraId="49D604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D1A67CD">
            <w:pPr>
              <w:pStyle w:val="12"/>
              <w:jc w:val="center"/>
            </w:pPr>
          </w:p>
        </w:tc>
        <w:tc>
          <w:tcPr>
            <w:tcW w:w="678" w:type="pct"/>
            <w:vAlign w:val="center"/>
          </w:tcPr>
          <w:p w14:paraId="100B5F7D">
            <w:pPr>
              <w:pStyle w:val="12"/>
              <w:jc w:val="center"/>
            </w:pPr>
            <w:r>
              <w:rPr>
                <w:rFonts w:hint="eastAsia"/>
              </w:rPr>
              <w:t>刘  正</w:t>
            </w:r>
          </w:p>
        </w:tc>
        <w:tc>
          <w:tcPr>
            <w:tcW w:w="728" w:type="pct"/>
            <w:vAlign w:val="center"/>
          </w:tcPr>
          <w:p w14:paraId="5289274D">
            <w:pPr>
              <w:pStyle w:val="12"/>
              <w:jc w:val="center"/>
            </w:pPr>
            <w:r>
              <w:rPr>
                <w:rFonts w:hint="eastAsia"/>
              </w:rPr>
              <w:t>嘉靖甲子</w:t>
            </w:r>
          </w:p>
        </w:tc>
        <w:tc>
          <w:tcPr>
            <w:tcW w:w="2954" w:type="pct"/>
            <w:vAlign w:val="center"/>
          </w:tcPr>
          <w:p w14:paraId="0E1CB7BD">
            <w:pPr>
              <w:pStyle w:val="12"/>
              <w:jc w:val="left"/>
            </w:pPr>
            <w:r>
              <w:rPr>
                <w:rFonts w:hint="eastAsia"/>
              </w:rPr>
              <w:t>柳州推官</w:t>
            </w:r>
          </w:p>
        </w:tc>
      </w:tr>
      <w:tr w14:paraId="167171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D7FA05F">
            <w:pPr>
              <w:pStyle w:val="12"/>
              <w:jc w:val="center"/>
            </w:pPr>
          </w:p>
        </w:tc>
        <w:tc>
          <w:tcPr>
            <w:tcW w:w="678" w:type="pct"/>
            <w:vAlign w:val="center"/>
          </w:tcPr>
          <w:p w14:paraId="1149849A">
            <w:pPr>
              <w:pStyle w:val="12"/>
              <w:jc w:val="center"/>
            </w:pPr>
            <w:r>
              <w:rPr>
                <w:rFonts w:hint="eastAsia"/>
              </w:rPr>
              <w:t>彭翔汉</w:t>
            </w:r>
          </w:p>
        </w:tc>
        <w:tc>
          <w:tcPr>
            <w:tcW w:w="728" w:type="pct"/>
            <w:vAlign w:val="center"/>
          </w:tcPr>
          <w:p w14:paraId="6BC8EDDE">
            <w:pPr>
              <w:pStyle w:val="12"/>
              <w:jc w:val="center"/>
            </w:pPr>
            <w:r>
              <w:rPr>
                <w:rFonts w:hint="eastAsia"/>
              </w:rPr>
              <w:t>嘉靖甲子</w:t>
            </w:r>
          </w:p>
        </w:tc>
        <w:tc>
          <w:tcPr>
            <w:tcW w:w="2954" w:type="pct"/>
            <w:vAlign w:val="center"/>
          </w:tcPr>
          <w:p w14:paraId="3329655B">
            <w:pPr>
              <w:pStyle w:val="12"/>
              <w:jc w:val="left"/>
            </w:pPr>
            <w:r>
              <w:rPr>
                <w:rFonts w:hint="eastAsia"/>
              </w:rPr>
              <w:t>建昌知县</w:t>
            </w:r>
          </w:p>
        </w:tc>
      </w:tr>
      <w:tr w14:paraId="1A70AB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828F924">
            <w:pPr>
              <w:pStyle w:val="12"/>
              <w:jc w:val="center"/>
            </w:pPr>
          </w:p>
        </w:tc>
        <w:tc>
          <w:tcPr>
            <w:tcW w:w="678" w:type="pct"/>
            <w:vAlign w:val="center"/>
          </w:tcPr>
          <w:p w14:paraId="749E39A5">
            <w:pPr>
              <w:pStyle w:val="12"/>
              <w:jc w:val="center"/>
            </w:pPr>
            <w:r>
              <w:rPr>
                <w:rFonts w:hint="eastAsia"/>
              </w:rPr>
              <w:t>陈嘉音</w:t>
            </w:r>
          </w:p>
        </w:tc>
        <w:tc>
          <w:tcPr>
            <w:tcW w:w="728" w:type="pct"/>
            <w:vAlign w:val="center"/>
          </w:tcPr>
          <w:p w14:paraId="1F098EF7">
            <w:pPr>
              <w:pStyle w:val="12"/>
              <w:jc w:val="center"/>
            </w:pPr>
            <w:r>
              <w:rPr>
                <w:rFonts w:hint="eastAsia"/>
              </w:rPr>
              <w:t>隆庆丁卯</w:t>
            </w:r>
          </w:p>
        </w:tc>
        <w:tc>
          <w:tcPr>
            <w:tcW w:w="2954" w:type="pct"/>
            <w:vAlign w:val="center"/>
          </w:tcPr>
          <w:p w14:paraId="7F83C513">
            <w:pPr>
              <w:pStyle w:val="12"/>
              <w:jc w:val="left"/>
            </w:pPr>
          </w:p>
        </w:tc>
      </w:tr>
      <w:tr w14:paraId="43D687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A1057C8">
            <w:pPr>
              <w:pStyle w:val="12"/>
              <w:jc w:val="center"/>
            </w:pPr>
          </w:p>
        </w:tc>
        <w:tc>
          <w:tcPr>
            <w:tcW w:w="678" w:type="pct"/>
            <w:vAlign w:val="center"/>
          </w:tcPr>
          <w:p w14:paraId="0781CBA6">
            <w:pPr>
              <w:pStyle w:val="12"/>
              <w:jc w:val="center"/>
            </w:pPr>
            <w:r>
              <w:rPr>
                <w:rFonts w:hint="eastAsia"/>
              </w:rPr>
              <w:t>邱化南</w:t>
            </w:r>
          </w:p>
        </w:tc>
        <w:tc>
          <w:tcPr>
            <w:tcW w:w="728" w:type="pct"/>
            <w:vAlign w:val="center"/>
          </w:tcPr>
          <w:p w14:paraId="7E5C6064">
            <w:pPr>
              <w:pStyle w:val="12"/>
              <w:jc w:val="center"/>
            </w:pPr>
            <w:r>
              <w:rPr>
                <w:rFonts w:hint="eastAsia"/>
              </w:rPr>
              <w:t>万历壬午</w:t>
            </w:r>
          </w:p>
        </w:tc>
        <w:tc>
          <w:tcPr>
            <w:tcW w:w="2954" w:type="pct"/>
            <w:vAlign w:val="center"/>
          </w:tcPr>
          <w:p w14:paraId="38427460">
            <w:pPr>
              <w:pStyle w:val="12"/>
              <w:jc w:val="left"/>
            </w:pPr>
            <w:r>
              <w:rPr>
                <w:rFonts w:hint="eastAsia"/>
              </w:rPr>
              <w:t>必明之后</w:t>
            </w:r>
          </w:p>
        </w:tc>
      </w:tr>
      <w:tr w14:paraId="161B50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DFF2A13">
            <w:pPr>
              <w:pStyle w:val="12"/>
              <w:jc w:val="center"/>
            </w:pPr>
          </w:p>
        </w:tc>
        <w:tc>
          <w:tcPr>
            <w:tcW w:w="678" w:type="pct"/>
            <w:vAlign w:val="center"/>
          </w:tcPr>
          <w:p w14:paraId="0C51F34A">
            <w:pPr>
              <w:pStyle w:val="12"/>
              <w:jc w:val="center"/>
            </w:pPr>
            <w:r>
              <w:rPr>
                <w:rFonts w:hint="eastAsia"/>
              </w:rPr>
              <w:t>杨  纮</w:t>
            </w:r>
          </w:p>
        </w:tc>
        <w:tc>
          <w:tcPr>
            <w:tcW w:w="728" w:type="pct"/>
            <w:vAlign w:val="center"/>
          </w:tcPr>
          <w:p w14:paraId="1E244131">
            <w:pPr>
              <w:pStyle w:val="12"/>
              <w:jc w:val="center"/>
            </w:pPr>
            <w:r>
              <w:rPr>
                <w:rFonts w:hint="eastAsia"/>
              </w:rPr>
              <w:t>万历戊子</w:t>
            </w:r>
          </w:p>
        </w:tc>
        <w:tc>
          <w:tcPr>
            <w:tcW w:w="2954" w:type="pct"/>
            <w:vAlign w:val="center"/>
          </w:tcPr>
          <w:p w14:paraId="30D99FE4">
            <w:pPr>
              <w:pStyle w:val="12"/>
              <w:jc w:val="left"/>
            </w:pPr>
            <w:r>
              <w:rPr>
                <w:rFonts w:hint="eastAsia"/>
              </w:rPr>
              <w:t>见进士</w:t>
            </w:r>
          </w:p>
        </w:tc>
      </w:tr>
      <w:tr w14:paraId="6D50B03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4211745">
            <w:pPr>
              <w:pStyle w:val="12"/>
              <w:jc w:val="center"/>
            </w:pPr>
          </w:p>
        </w:tc>
        <w:tc>
          <w:tcPr>
            <w:tcW w:w="678" w:type="pct"/>
            <w:vAlign w:val="center"/>
          </w:tcPr>
          <w:p w14:paraId="1100BDBA">
            <w:pPr>
              <w:pStyle w:val="12"/>
              <w:jc w:val="center"/>
            </w:pPr>
            <w:r>
              <w:rPr>
                <w:rFonts w:hint="eastAsia"/>
              </w:rPr>
              <w:t>江一濂</w:t>
            </w:r>
          </w:p>
        </w:tc>
        <w:tc>
          <w:tcPr>
            <w:tcW w:w="728" w:type="pct"/>
            <w:vAlign w:val="center"/>
          </w:tcPr>
          <w:p w14:paraId="42EE88B7">
            <w:pPr>
              <w:pStyle w:val="12"/>
              <w:jc w:val="center"/>
            </w:pPr>
            <w:r>
              <w:rPr>
                <w:rFonts w:hint="eastAsia"/>
              </w:rPr>
              <w:t>万历辛卯</w:t>
            </w:r>
          </w:p>
        </w:tc>
        <w:tc>
          <w:tcPr>
            <w:tcW w:w="2954" w:type="pct"/>
            <w:vAlign w:val="center"/>
          </w:tcPr>
          <w:p w14:paraId="36B64540">
            <w:pPr>
              <w:pStyle w:val="12"/>
              <w:jc w:val="left"/>
            </w:pPr>
          </w:p>
        </w:tc>
      </w:tr>
      <w:tr w14:paraId="02BDEE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16BB16B1">
            <w:pPr>
              <w:pStyle w:val="12"/>
              <w:jc w:val="center"/>
            </w:pPr>
          </w:p>
        </w:tc>
        <w:tc>
          <w:tcPr>
            <w:tcW w:w="678" w:type="pct"/>
            <w:vAlign w:val="center"/>
          </w:tcPr>
          <w:p w14:paraId="07EC72E2">
            <w:pPr>
              <w:pStyle w:val="12"/>
              <w:jc w:val="center"/>
            </w:pPr>
            <w:r>
              <w:rPr>
                <w:rFonts w:hint="eastAsia"/>
              </w:rPr>
              <w:t>陈光虞</w:t>
            </w:r>
          </w:p>
        </w:tc>
        <w:tc>
          <w:tcPr>
            <w:tcW w:w="728" w:type="pct"/>
            <w:vAlign w:val="center"/>
          </w:tcPr>
          <w:p w14:paraId="668D54E8">
            <w:pPr>
              <w:pStyle w:val="12"/>
              <w:jc w:val="center"/>
            </w:pPr>
            <w:r>
              <w:rPr>
                <w:rFonts w:hint="eastAsia"/>
              </w:rPr>
              <w:t>万历丁酉</w:t>
            </w:r>
          </w:p>
        </w:tc>
        <w:tc>
          <w:tcPr>
            <w:tcW w:w="2954" w:type="pct"/>
            <w:vAlign w:val="center"/>
          </w:tcPr>
          <w:p w14:paraId="25FDA035">
            <w:pPr>
              <w:pStyle w:val="12"/>
              <w:jc w:val="left"/>
            </w:pPr>
            <w:r>
              <w:rPr>
                <w:rFonts w:hint="eastAsia"/>
              </w:rPr>
              <w:t>直隶太和知县，致仕</w:t>
            </w:r>
          </w:p>
        </w:tc>
      </w:tr>
      <w:tr w14:paraId="7BFA86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9DA8F0E">
            <w:pPr>
              <w:pStyle w:val="12"/>
              <w:jc w:val="center"/>
            </w:pPr>
          </w:p>
        </w:tc>
        <w:tc>
          <w:tcPr>
            <w:tcW w:w="678" w:type="pct"/>
            <w:vAlign w:val="center"/>
          </w:tcPr>
          <w:p w14:paraId="1B212C5D">
            <w:pPr>
              <w:pStyle w:val="12"/>
              <w:jc w:val="center"/>
            </w:pPr>
            <w:r>
              <w:rPr>
                <w:rFonts w:hint="eastAsia"/>
              </w:rPr>
              <w:t>汪  桴</w:t>
            </w:r>
          </w:p>
        </w:tc>
        <w:tc>
          <w:tcPr>
            <w:tcW w:w="728" w:type="pct"/>
            <w:vAlign w:val="center"/>
          </w:tcPr>
          <w:p w14:paraId="0078D911">
            <w:pPr>
              <w:pStyle w:val="12"/>
              <w:jc w:val="center"/>
            </w:pPr>
            <w:r>
              <w:rPr>
                <w:rFonts w:hint="eastAsia"/>
              </w:rPr>
              <w:t>万历癸卯</w:t>
            </w:r>
          </w:p>
        </w:tc>
        <w:tc>
          <w:tcPr>
            <w:tcW w:w="2954" w:type="pct"/>
            <w:vAlign w:val="center"/>
          </w:tcPr>
          <w:p w14:paraId="3A1BCCA5">
            <w:pPr>
              <w:pStyle w:val="12"/>
              <w:jc w:val="left"/>
            </w:pPr>
            <w:r>
              <w:rPr>
                <w:rFonts w:hint="eastAsia"/>
              </w:rPr>
              <w:t>字海山，见进士</w:t>
            </w:r>
          </w:p>
        </w:tc>
      </w:tr>
      <w:tr w14:paraId="6D47B8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917540A">
            <w:pPr>
              <w:pStyle w:val="12"/>
              <w:jc w:val="center"/>
            </w:pPr>
          </w:p>
        </w:tc>
        <w:tc>
          <w:tcPr>
            <w:tcW w:w="678" w:type="pct"/>
            <w:vAlign w:val="center"/>
          </w:tcPr>
          <w:p w14:paraId="15C2CCFF">
            <w:pPr>
              <w:pStyle w:val="12"/>
              <w:jc w:val="center"/>
            </w:pPr>
            <w:r>
              <w:rPr>
                <w:rFonts w:hint="eastAsia"/>
              </w:rPr>
              <w:t>刘梦龙</w:t>
            </w:r>
          </w:p>
        </w:tc>
        <w:tc>
          <w:tcPr>
            <w:tcW w:w="728" w:type="pct"/>
            <w:vAlign w:val="center"/>
          </w:tcPr>
          <w:p w14:paraId="04C03E0E">
            <w:pPr>
              <w:pStyle w:val="12"/>
              <w:jc w:val="center"/>
            </w:pPr>
            <w:r>
              <w:rPr>
                <w:rFonts w:hint="eastAsia"/>
              </w:rPr>
              <w:t>万历己酉</w:t>
            </w:r>
          </w:p>
        </w:tc>
        <w:tc>
          <w:tcPr>
            <w:tcW w:w="2954" w:type="pct"/>
            <w:vAlign w:val="center"/>
          </w:tcPr>
          <w:p w14:paraId="37C7750A">
            <w:pPr>
              <w:pStyle w:val="12"/>
              <w:jc w:val="left"/>
            </w:pPr>
            <w:r>
              <w:rPr>
                <w:rFonts w:hint="eastAsia"/>
              </w:rPr>
              <w:t>桂东知县</w:t>
            </w:r>
          </w:p>
        </w:tc>
      </w:tr>
      <w:tr w14:paraId="7DEFB0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1B79D1D3">
            <w:pPr>
              <w:pStyle w:val="12"/>
              <w:jc w:val="center"/>
            </w:pPr>
          </w:p>
        </w:tc>
        <w:tc>
          <w:tcPr>
            <w:tcW w:w="678" w:type="pct"/>
            <w:vAlign w:val="center"/>
          </w:tcPr>
          <w:p w14:paraId="7ABA06B0">
            <w:pPr>
              <w:pStyle w:val="12"/>
              <w:jc w:val="center"/>
            </w:pPr>
            <w:r>
              <w:rPr>
                <w:rFonts w:hint="eastAsia"/>
              </w:rPr>
              <w:t>罗士毅</w:t>
            </w:r>
          </w:p>
        </w:tc>
        <w:tc>
          <w:tcPr>
            <w:tcW w:w="728" w:type="pct"/>
            <w:vAlign w:val="center"/>
          </w:tcPr>
          <w:p w14:paraId="25D41D86">
            <w:pPr>
              <w:pStyle w:val="12"/>
              <w:jc w:val="center"/>
            </w:pPr>
            <w:r>
              <w:rPr>
                <w:rFonts w:hint="eastAsia"/>
              </w:rPr>
              <w:t>万历己酉</w:t>
            </w:r>
          </w:p>
        </w:tc>
        <w:tc>
          <w:tcPr>
            <w:tcW w:w="2954" w:type="pct"/>
            <w:vAlign w:val="center"/>
          </w:tcPr>
          <w:p w14:paraId="44EAF99F">
            <w:pPr>
              <w:pStyle w:val="12"/>
              <w:jc w:val="left"/>
            </w:pPr>
          </w:p>
        </w:tc>
      </w:tr>
      <w:tr w14:paraId="2639B7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510DC9B">
            <w:pPr>
              <w:pStyle w:val="12"/>
              <w:jc w:val="center"/>
            </w:pPr>
          </w:p>
        </w:tc>
        <w:tc>
          <w:tcPr>
            <w:tcW w:w="678" w:type="pct"/>
            <w:vAlign w:val="center"/>
          </w:tcPr>
          <w:p w14:paraId="5BFD8AF3">
            <w:pPr>
              <w:pStyle w:val="12"/>
              <w:jc w:val="center"/>
            </w:pPr>
            <w:r>
              <w:rPr>
                <w:rFonts w:hint="eastAsia"/>
              </w:rPr>
              <w:t>甘茂学</w:t>
            </w:r>
          </w:p>
        </w:tc>
        <w:tc>
          <w:tcPr>
            <w:tcW w:w="728" w:type="pct"/>
            <w:vAlign w:val="center"/>
          </w:tcPr>
          <w:p w14:paraId="5FC22454">
            <w:pPr>
              <w:pStyle w:val="12"/>
              <w:jc w:val="center"/>
            </w:pPr>
            <w:r>
              <w:rPr>
                <w:rFonts w:hint="eastAsia"/>
              </w:rPr>
              <w:t>万历己酉</w:t>
            </w:r>
          </w:p>
        </w:tc>
        <w:tc>
          <w:tcPr>
            <w:tcW w:w="2954" w:type="pct"/>
            <w:vAlign w:val="center"/>
          </w:tcPr>
          <w:p w14:paraId="41534E37">
            <w:pPr>
              <w:pStyle w:val="12"/>
              <w:jc w:val="left"/>
            </w:pPr>
            <w:r>
              <w:rPr>
                <w:rFonts w:hint="eastAsia"/>
              </w:rPr>
              <w:t>福建连城知县</w:t>
            </w:r>
          </w:p>
        </w:tc>
      </w:tr>
      <w:tr w14:paraId="1DA0A7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5014020">
            <w:pPr>
              <w:pStyle w:val="12"/>
              <w:jc w:val="center"/>
            </w:pPr>
          </w:p>
        </w:tc>
        <w:tc>
          <w:tcPr>
            <w:tcW w:w="678" w:type="pct"/>
            <w:vAlign w:val="center"/>
          </w:tcPr>
          <w:p w14:paraId="0375C9AA">
            <w:pPr>
              <w:pStyle w:val="12"/>
              <w:jc w:val="center"/>
            </w:pPr>
            <w:r>
              <w:rPr>
                <w:rFonts w:hint="eastAsia"/>
              </w:rPr>
              <w:t>叶逢焜</w:t>
            </w:r>
          </w:p>
        </w:tc>
        <w:tc>
          <w:tcPr>
            <w:tcW w:w="728" w:type="pct"/>
            <w:vAlign w:val="center"/>
          </w:tcPr>
          <w:p w14:paraId="109F8D88">
            <w:pPr>
              <w:pStyle w:val="12"/>
              <w:jc w:val="center"/>
            </w:pPr>
            <w:r>
              <w:rPr>
                <w:rFonts w:hint="eastAsia"/>
              </w:rPr>
              <w:t>万历乙卯</w:t>
            </w:r>
          </w:p>
        </w:tc>
        <w:tc>
          <w:tcPr>
            <w:tcW w:w="2954" w:type="pct"/>
            <w:vAlign w:val="center"/>
          </w:tcPr>
          <w:p w14:paraId="1E3019C9">
            <w:pPr>
              <w:pStyle w:val="12"/>
              <w:jc w:val="left"/>
            </w:pPr>
            <w:r>
              <w:rPr>
                <w:rFonts w:hint="eastAsia"/>
              </w:rPr>
              <w:t>乔梁子，云和知县</w:t>
            </w:r>
          </w:p>
        </w:tc>
      </w:tr>
      <w:tr w14:paraId="69B950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1748C034">
            <w:pPr>
              <w:pStyle w:val="12"/>
              <w:jc w:val="center"/>
            </w:pPr>
          </w:p>
        </w:tc>
        <w:tc>
          <w:tcPr>
            <w:tcW w:w="678" w:type="pct"/>
            <w:vAlign w:val="center"/>
          </w:tcPr>
          <w:p w14:paraId="2C114F5B">
            <w:pPr>
              <w:pStyle w:val="12"/>
              <w:jc w:val="center"/>
            </w:pPr>
            <w:r>
              <w:rPr>
                <w:rFonts w:hint="eastAsia"/>
              </w:rPr>
              <w:t>朱  玑</w:t>
            </w:r>
          </w:p>
        </w:tc>
        <w:tc>
          <w:tcPr>
            <w:tcW w:w="728" w:type="pct"/>
            <w:vAlign w:val="center"/>
          </w:tcPr>
          <w:p w14:paraId="589EF4F9">
            <w:pPr>
              <w:pStyle w:val="12"/>
              <w:jc w:val="center"/>
            </w:pPr>
            <w:r>
              <w:rPr>
                <w:rFonts w:hint="eastAsia"/>
              </w:rPr>
              <w:t>万历戊午</w:t>
            </w:r>
          </w:p>
        </w:tc>
        <w:tc>
          <w:tcPr>
            <w:tcW w:w="2954" w:type="pct"/>
            <w:vAlign w:val="center"/>
          </w:tcPr>
          <w:p w14:paraId="676BF53B">
            <w:pPr>
              <w:pStyle w:val="12"/>
              <w:jc w:val="left"/>
            </w:pPr>
            <w:r>
              <w:rPr>
                <w:rFonts w:hint="eastAsia"/>
              </w:rPr>
              <w:t>丽水知县，以德政卓异，辟举平度刺史</w:t>
            </w:r>
          </w:p>
        </w:tc>
      </w:tr>
      <w:tr w14:paraId="7F2DB0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4180DE0">
            <w:pPr>
              <w:pStyle w:val="12"/>
              <w:jc w:val="center"/>
            </w:pPr>
          </w:p>
        </w:tc>
        <w:tc>
          <w:tcPr>
            <w:tcW w:w="678" w:type="pct"/>
            <w:vAlign w:val="center"/>
          </w:tcPr>
          <w:p w14:paraId="4BA693C0">
            <w:pPr>
              <w:pStyle w:val="12"/>
              <w:jc w:val="center"/>
            </w:pPr>
            <w:r>
              <w:rPr>
                <w:rFonts w:hint="eastAsia"/>
              </w:rPr>
              <w:t>廖攀龙</w:t>
            </w:r>
          </w:p>
        </w:tc>
        <w:tc>
          <w:tcPr>
            <w:tcW w:w="728" w:type="pct"/>
            <w:vAlign w:val="center"/>
          </w:tcPr>
          <w:p w14:paraId="24E6BC18">
            <w:pPr>
              <w:pStyle w:val="12"/>
              <w:jc w:val="center"/>
            </w:pPr>
            <w:r>
              <w:rPr>
                <w:rFonts w:hint="eastAsia"/>
              </w:rPr>
              <w:t>天启丁卯</w:t>
            </w:r>
          </w:p>
        </w:tc>
        <w:tc>
          <w:tcPr>
            <w:tcW w:w="2954" w:type="pct"/>
            <w:vAlign w:val="center"/>
          </w:tcPr>
          <w:p w14:paraId="707CDE65">
            <w:pPr>
              <w:pStyle w:val="12"/>
              <w:jc w:val="left"/>
            </w:pPr>
            <w:r>
              <w:rPr>
                <w:rFonts w:hint="eastAsia"/>
              </w:rPr>
              <w:t>见进士，有传</w:t>
            </w:r>
          </w:p>
        </w:tc>
      </w:tr>
      <w:tr w14:paraId="4F8AEC8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C56FCD0">
            <w:pPr>
              <w:pStyle w:val="12"/>
              <w:jc w:val="center"/>
            </w:pPr>
          </w:p>
        </w:tc>
        <w:tc>
          <w:tcPr>
            <w:tcW w:w="678" w:type="pct"/>
            <w:vAlign w:val="center"/>
          </w:tcPr>
          <w:p w14:paraId="6A07D1FA">
            <w:pPr>
              <w:pStyle w:val="12"/>
              <w:jc w:val="center"/>
            </w:pPr>
            <w:r>
              <w:rPr>
                <w:rFonts w:hint="eastAsia"/>
              </w:rPr>
              <w:t>邱云起</w:t>
            </w:r>
          </w:p>
        </w:tc>
        <w:tc>
          <w:tcPr>
            <w:tcW w:w="728" w:type="pct"/>
            <w:vAlign w:val="center"/>
          </w:tcPr>
          <w:p w14:paraId="07685423">
            <w:pPr>
              <w:pStyle w:val="12"/>
              <w:jc w:val="center"/>
            </w:pPr>
            <w:r>
              <w:rPr>
                <w:rFonts w:hint="eastAsia"/>
              </w:rPr>
              <w:t>崇正庚午</w:t>
            </w:r>
          </w:p>
        </w:tc>
        <w:tc>
          <w:tcPr>
            <w:tcW w:w="2954" w:type="pct"/>
            <w:vAlign w:val="center"/>
          </w:tcPr>
          <w:p w14:paraId="2E5DD7A8">
            <w:pPr>
              <w:pStyle w:val="12"/>
              <w:jc w:val="left"/>
            </w:pPr>
            <w:r>
              <w:rPr>
                <w:rFonts w:hint="eastAsia"/>
              </w:rPr>
              <w:t>兵部主事，有传</w:t>
            </w:r>
          </w:p>
        </w:tc>
      </w:tr>
      <w:tr w14:paraId="69E2C2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2A5CDFC">
            <w:pPr>
              <w:pStyle w:val="12"/>
              <w:jc w:val="center"/>
            </w:pPr>
          </w:p>
        </w:tc>
        <w:tc>
          <w:tcPr>
            <w:tcW w:w="678" w:type="pct"/>
            <w:vAlign w:val="center"/>
          </w:tcPr>
          <w:p w14:paraId="53D4524D">
            <w:pPr>
              <w:pStyle w:val="12"/>
              <w:jc w:val="center"/>
            </w:pPr>
            <w:r>
              <w:rPr>
                <w:rFonts w:hint="eastAsia"/>
              </w:rPr>
              <w:t>蔡德杨</w:t>
            </w:r>
          </w:p>
        </w:tc>
        <w:tc>
          <w:tcPr>
            <w:tcW w:w="728" w:type="pct"/>
            <w:vAlign w:val="center"/>
          </w:tcPr>
          <w:p w14:paraId="4BAEB9FF">
            <w:pPr>
              <w:pStyle w:val="12"/>
              <w:jc w:val="center"/>
            </w:pPr>
            <w:r>
              <w:rPr>
                <w:rFonts w:hint="eastAsia"/>
              </w:rPr>
              <w:t>崇正丙子</w:t>
            </w:r>
          </w:p>
        </w:tc>
        <w:tc>
          <w:tcPr>
            <w:tcW w:w="2954" w:type="pct"/>
            <w:vAlign w:val="center"/>
          </w:tcPr>
          <w:p w14:paraId="3CDD41FA">
            <w:pPr>
              <w:pStyle w:val="12"/>
              <w:jc w:val="left"/>
            </w:pPr>
            <w:r>
              <w:rPr>
                <w:rFonts w:hint="eastAsia"/>
              </w:rPr>
              <w:t>愈济孙</w:t>
            </w:r>
          </w:p>
        </w:tc>
      </w:tr>
      <w:tr w14:paraId="000EEF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19D651F6">
            <w:pPr>
              <w:pStyle w:val="12"/>
              <w:jc w:val="center"/>
            </w:pPr>
          </w:p>
        </w:tc>
        <w:tc>
          <w:tcPr>
            <w:tcW w:w="678" w:type="pct"/>
            <w:vAlign w:val="center"/>
          </w:tcPr>
          <w:p w14:paraId="109C278D">
            <w:pPr>
              <w:pStyle w:val="12"/>
              <w:jc w:val="center"/>
            </w:pPr>
            <w:r>
              <w:rPr>
                <w:rFonts w:hint="eastAsia"/>
              </w:rPr>
              <w:t>刘之熊</w:t>
            </w:r>
          </w:p>
        </w:tc>
        <w:tc>
          <w:tcPr>
            <w:tcW w:w="728" w:type="pct"/>
            <w:vAlign w:val="center"/>
          </w:tcPr>
          <w:p w14:paraId="3294B759">
            <w:pPr>
              <w:pStyle w:val="12"/>
              <w:jc w:val="center"/>
            </w:pPr>
            <w:r>
              <w:rPr>
                <w:rFonts w:hint="eastAsia"/>
              </w:rPr>
              <w:t>崇正己卯</w:t>
            </w:r>
          </w:p>
        </w:tc>
        <w:tc>
          <w:tcPr>
            <w:tcW w:w="2954" w:type="pct"/>
            <w:vAlign w:val="center"/>
          </w:tcPr>
          <w:p w14:paraId="6B8EA638">
            <w:pPr>
              <w:pStyle w:val="12"/>
              <w:jc w:val="left"/>
            </w:pPr>
            <w:r>
              <w:rPr>
                <w:rFonts w:hint="eastAsia"/>
              </w:rPr>
              <w:t>亚魁，省志作字公望</w:t>
            </w:r>
          </w:p>
        </w:tc>
      </w:tr>
    </w:tbl>
    <w:p w14:paraId="7989DC1F">
      <w:pPr>
        <w:ind w:firstLine="420"/>
        <w:rPr>
          <w:rFonts w:ascii="宋体" w:hAnsi="宋体" w:cs="宋体"/>
        </w:rPr>
      </w:pPr>
      <w:r>
        <w:rPr>
          <w:rFonts w:hint="eastAsia" w:ascii="宋体" w:hAnsi="宋体" w:cs="宋体"/>
        </w:rPr>
        <w:t>尚有辟举38名，贡生471名，杂科80名，例监41名，封赠21名，荫叙5名，均见《直隶南雄州志·选举》。</w:t>
      </w:r>
    </w:p>
    <w:p w14:paraId="1A0924C8">
      <w:pPr>
        <w:pStyle w:val="5"/>
        <w:rPr>
          <w:rFonts w:ascii="宋体" w:hAnsi="宋体" w:cs="宋体"/>
        </w:rPr>
      </w:pPr>
      <w:r>
        <w:rPr>
          <w:rFonts w:hint="eastAsia" w:ascii="宋体" w:hAnsi="宋体" w:cs="宋体"/>
        </w:rPr>
        <w:t>清代</w:t>
      </w:r>
    </w:p>
    <w:p w14:paraId="282CA1F1">
      <w:pPr>
        <w:ind w:firstLine="0" w:firstLineChars="0"/>
        <w:rPr>
          <w:rFonts w:ascii="宋体" w:hAnsi="宋体" w:cs="宋体"/>
          <w:b/>
          <w:bCs/>
        </w:rPr>
      </w:pPr>
      <w:r>
        <w:rPr>
          <w:rFonts w:hint="eastAsia" w:ascii="宋体" w:hAnsi="宋体" w:cs="宋体"/>
          <w:b/>
          <w:bCs/>
        </w:rPr>
        <w:t>表7-5</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5"/>
        <w:gridCol w:w="1351"/>
        <w:gridCol w:w="1737"/>
        <w:gridCol w:w="5599"/>
      </w:tblGrid>
      <w:tr w14:paraId="2CC4D8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DD7F33E">
            <w:pPr>
              <w:pStyle w:val="12"/>
              <w:jc w:val="center"/>
              <w:rPr>
                <w:b/>
              </w:rPr>
            </w:pPr>
            <w:r>
              <w:rPr>
                <w:rFonts w:hint="eastAsia"/>
                <w:b/>
              </w:rPr>
              <w:t>科  目</w:t>
            </w:r>
          </w:p>
        </w:tc>
        <w:tc>
          <w:tcPr>
            <w:tcW w:w="678" w:type="pct"/>
            <w:vAlign w:val="center"/>
          </w:tcPr>
          <w:p w14:paraId="0FBAB240">
            <w:pPr>
              <w:pStyle w:val="12"/>
              <w:jc w:val="center"/>
              <w:rPr>
                <w:b/>
              </w:rPr>
            </w:pPr>
            <w:r>
              <w:rPr>
                <w:rFonts w:hint="eastAsia"/>
                <w:b/>
              </w:rPr>
              <w:t>姓  名</w:t>
            </w:r>
          </w:p>
        </w:tc>
        <w:tc>
          <w:tcPr>
            <w:tcW w:w="872" w:type="pct"/>
            <w:vAlign w:val="center"/>
          </w:tcPr>
          <w:p w14:paraId="1443D2A7">
            <w:pPr>
              <w:pStyle w:val="12"/>
              <w:jc w:val="center"/>
              <w:rPr>
                <w:b/>
              </w:rPr>
            </w:pPr>
            <w:r>
              <w:rPr>
                <w:rFonts w:hint="eastAsia"/>
                <w:b/>
              </w:rPr>
              <w:t>年  代</w:t>
            </w:r>
          </w:p>
        </w:tc>
        <w:tc>
          <w:tcPr>
            <w:tcW w:w="2810" w:type="pct"/>
            <w:vAlign w:val="center"/>
          </w:tcPr>
          <w:p w14:paraId="6DD17256">
            <w:pPr>
              <w:pStyle w:val="12"/>
              <w:jc w:val="center"/>
              <w:rPr>
                <w:b/>
              </w:rPr>
            </w:pPr>
            <w:r>
              <w:rPr>
                <w:rFonts w:hint="eastAsia"/>
                <w:b/>
              </w:rPr>
              <w:t>备  注</w:t>
            </w:r>
          </w:p>
        </w:tc>
      </w:tr>
      <w:tr w14:paraId="7BA34D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restart"/>
            <w:vAlign w:val="center"/>
          </w:tcPr>
          <w:p w14:paraId="16ACF9E8">
            <w:pPr>
              <w:pStyle w:val="12"/>
              <w:jc w:val="center"/>
            </w:pPr>
            <w:r>
              <w:rPr>
                <w:rFonts w:hint="eastAsia"/>
              </w:rPr>
              <w:t>进  士</w:t>
            </w:r>
          </w:p>
        </w:tc>
        <w:tc>
          <w:tcPr>
            <w:tcW w:w="678" w:type="pct"/>
            <w:vAlign w:val="center"/>
          </w:tcPr>
          <w:p w14:paraId="55B337BD">
            <w:pPr>
              <w:pStyle w:val="12"/>
              <w:jc w:val="center"/>
            </w:pPr>
            <w:r>
              <w:rPr>
                <w:rFonts w:hint="eastAsia"/>
              </w:rPr>
              <w:t>黄士鉴</w:t>
            </w:r>
          </w:p>
        </w:tc>
        <w:tc>
          <w:tcPr>
            <w:tcW w:w="872" w:type="pct"/>
            <w:vAlign w:val="center"/>
          </w:tcPr>
          <w:p w14:paraId="421E1C8C">
            <w:pPr>
              <w:pStyle w:val="12"/>
              <w:jc w:val="center"/>
            </w:pPr>
            <w:r>
              <w:rPr>
                <w:rFonts w:hint="eastAsia"/>
              </w:rPr>
              <w:t>雍正庚戌</w:t>
            </w:r>
          </w:p>
        </w:tc>
        <w:tc>
          <w:tcPr>
            <w:tcW w:w="2810" w:type="pct"/>
            <w:vAlign w:val="center"/>
          </w:tcPr>
          <w:p w14:paraId="6FDEF07F">
            <w:pPr>
              <w:pStyle w:val="12"/>
              <w:jc w:val="left"/>
            </w:pPr>
            <w:r>
              <w:rPr>
                <w:rFonts w:hint="eastAsia"/>
              </w:rPr>
              <w:t>任云南楚雄知县，丁忧起补湖南邵阳，调酃县，屡充同考官，所取多知名士</w:t>
            </w:r>
          </w:p>
        </w:tc>
      </w:tr>
      <w:tr w14:paraId="67B4689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C423B1A">
            <w:pPr>
              <w:pStyle w:val="12"/>
              <w:jc w:val="center"/>
            </w:pPr>
          </w:p>
        </w:tc>
        <w:tc>
          <w:tcPr>
            <w:tcW w:w="678" w:type="pct"/>
            <w:vAlign w:val="center"/>
          </w:tcPr>
          <w:p w14:paraId="4CE72FE0">
            <w:pPr>
              <w:pStyle w:val="12"/>
              <w:jc w:val="center"/>
            </w:pPr>
            <w:r>
              <w:rPr>
                <w:rFonts w:hint="eastAsia"/>
              </w:rPr>
              <w:t>胡  定</w:t>
            </w:r>
          </w:p>
        </w:tc>
        <w:tc>
          <w:tcPr>
            <w:tcW w:w="872" w:type="pct"/>
            <w:vAlign w:val="center"/>
          </w:tcPr>
          <w:p w14:paraId="3753F59B">
            <w:pPr>
              <w:pStyle w:val="12"/>
              <w:jc w:val="center"/>
            </w:pPr>
            <w:r>
              <w:rPr>
                <w:rFonts w:hint="eastAsia"/>
              </w:rPr>
              <w:t>雍正庚戌</w:t>
            </w:r>
          </w:p>
        </w:tc>
        <w:tc>
          <w:tcPr>
            <w:tcW w:w="2810" w:type="pct"/>
            <w:vAlign w:val="center"/>
          </w:tcPr>
          <w:p w14:paraId="479657E3">
            <w:pPr>
              <w:pStyle w:val="12"/>
              <w:jc w:val="left"/>
            </w:pPr>
            <w:r>
              <w:rPr>
                <w:rFonts w:hint="eastAsia"/>
              </w:rPr>
              <w:t>庚戌科进士，癸丑科补殿试，由翰林院庶吉士授检讨，转陕西监察御史，历兵科给事中，巡视西城，有传</w:t>
            </w:r>
          </w:p>
        </w:tc>
      </w:tr>
      <w:tr w14:paraId="17539F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02E86AE">
            <w:pPr>
              <w:pStyle w:val="12"/>
              <w:jc w:val="center"/>
            </w:pPr>
          </w:p>
        </w:tc>
        <w:tc>
          <w:tcPr>
            <w:tcW w:w="678" w:type="pct"/>
            <w:vAlign w:val="center"/>
          </w:tcPr>
          <w:p w14:paraId="505E81EF">
            <w:pPr>
              <w:pStyle w:val="12"/>
              <w:jc w:val="center"/>
            </w:pPr>
            <w:r>
              <w:rPr>
                <w:rFonts w:hint="eastAsia"/>
              </w:rPr>
              <w:t>李方榕</w:t>
            </w:r>
          </w:p>
        </w:tc>
        <w:tc>
          <w:tcPr>
            <w:tcW w:w="872" w:type="pct"/>
            <w:vAlign w:val="center"/>
          </w:tcPr>
          <w:p w14:paraId="5A951AD3">
            <w:pPr>
              <w:pStyle w:val="12"/>
              <w:jc w:val="center"/>
            </w:pPr>
            <w:r>
              <w:rPr>
                <w:rFonts w:hint="eastAsia"/>
              </w:rPr>
              <w:t>乾隆丙辰</w:t>
            </w:r>
          </w:p>
        </w:tc>
        <w:tc>
          <w:tcPr>
            <w:tcW w:w="2810" w:type="pct"/>
            <w:vAlign w:val="center"/>
          </w:tcPr>
          <w:p w14:paraId="4833A07C">
            <w:pPr>
              <w:pStyle w:val="12"/>
              <w:jc w:val="left"/>
            </w:pPr>
            <w:r>
              <w:rPr>
                <w:rFonts w:hint="eastAsia"/>
              </w:rPr>
              <w:t>任江西进贤知县，调南城，丁忧起补浙江德清知县</w:t>
            </w:r>
          </w:p>
        </w:tc>
      </w:tr>
      <w:tr w14:paraId="677F2D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5A42684">
            <w:pPr>
              <w:pStyle w:val="12"/>
              <w:jc w:val="center"/>
            </w:pPr>
          </w:p>
        </w:tc>
        <w:tc>
          <w:tcPr>
            <w:tcW w:w="678" w:type="pct"/>
            <w:vAlign w:val="center"/>
          </w:tcPr>
          <w:p w14:paraId="1945F444">
            <w:pPr>
              <w:pStyle w:val="12"/>
              <w:jc w:val="center"/>
            </w:pPr>
            <w:r>
              <w:rPr>
                <w:rFonts w:hint="eastAsia"/>
              </w:rPr>
              <w:t>孔传正</w:t>
            </w:r>
          </w:p>
        </w:tc>
        <w:tc>
          <w:tcPr>
            <w:tcW w:w="872" w:type="pct"/>
            <w:vAlign w:val="center"/>
          </w:tcPr>
          <w:p w14:paraId="70DCC7F4">
            <w:pPr>
              <w:pStyle w:val="12"/>
              <w:jc w:val="center"/>
            </w:pPr>
            <w:r>
              <w:rPr>
                <w:rFonts w:hint="eastAsia"/>
              </w:rPr>
              <w:t>乾隆己未</w:t>
            </w:r>
          </w:p>
        </w:tc>
        <w:tc>
          <w:tcPr>
            <w:tcW w:w="2810" w:type="pct"/>
            <w:vAlign w:val="center"/>
          </w:tcPr>
          <w:p w14:paraId="2A1C8EDF">
            <w:pPr>
              <w:pStyle w:val="12"/>
              <w:jc w:val="left"/>
            </w:pPr>
            <w:r>
              <w:rPr>
                <w:rFonts w:hint="eastAsia"/>
              </w:rPr>
              <w:t>任四川岳池知县</w:t>
            </w:r>
          </w:p>
        </w:tc>
      </w:tr>
      <w:tr w14:paraId="4A641B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1A3077F">
            <w:pPr>
              <w:pStyle w:val="12"/>
              <w:jc w:val="center"/>
            </w:pPr>
          </w:p>
        </w:tc>
        <w:tc>
          <w:tcPr>
            <w:tcW w:w="678" w:type="pct"/>
            <w:vAlign w:val="center"/>
          </w:tcPr>
          <w:p w14:paraId="2BB7375F">
            <w:pPr>
              <w:pStyle w:val="12"/>
              <w:jc w:val="center"/>
            </w:pPr>
            <w:r>
              <w:rPr>
                <w:rFonts w:hint="eastAsia"/>
              </w:rPr>
              <w:t>赖  堂</w:t>
            </w:r>
          </w:p>
        </w:tc>
        <w:tc>
          <w:tcPr>
            <w:tcW w:w="872" w:type="pct"/>
            <w:vAlign w:val="center"/>
          </w:tcPr>
          <w:p w14:paraId="03A2056F">
            <w:pPr>
              <w:pStyle w:val="12"/>
              <w:jc w:val="center"/>
            </w:pPr>
            <w:r>
              <w:rPr>
                <w:rFonts w:hint="eastAsia"/>
              </w:rPr>
              <w:t>乾隆甲戌</w:t>
            </w:r>
          </w:p>
        </w:tc>
        <w:tc>
          <w:tcPr>
            <w:tcW w:w="2810" w:type="pct"/>
            <w:vAlign w:val="center"/>
          </w:tcPr>
          <w:p w14:paraId="4FB8D78C">
            <w:pPr>
              <w:pStyle w:val="12"/>
              <w:jc w:val="left"/>
            </w:pPr>
            <w:r>
              <w:rPr>
                <w:rFonts w:hint="eastAsia"/>
              </w:rPr>
              <w:t>任廉州府教授</w:t>
            </w:r>
          </w:p>
        </w:tc>
      </w:tr>
      <w:tr w14:paraId="070C88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6904D89">
            <w:pPr>
              <w:pStyle w:val="12"/>
              <w:jc w:val="center"/>
            </w:pPr>
          </w:p>
        </w:tc>
        <w:tc>
          <w:tcPr>
            <w:tcW w:w="678" w:type="pct"/>
            <w:vAlign w:val="center"/>
          </w:tcPr>
          <w:p w14:paraId="652DD638">
            <w:pPr>
              <w:pStyle w:val="12"/>
              <w:jc w:val="center"/>
            </w:pPr>
            <w:r>
              <w:rPr>
                <w:rFonts w:hint="eastAsia"/>
              </w:rPr>
              <w:t>叶善堂</w:t>
            </w:r>
          </w:p>
        </w:tc>
        <w:tc>
          <w:tcPr>
            <w:tcW w:w="872" w:type="pct"/>
            <w:vAlign w:val="center"/>
          </w:tcPr>
          <w:p w14:paraId="6B7AEC6A">
            <w:pPr>
              <w:pStyle w:val="12"/>
              <w:jc w:val="center"/>
            </w:pPr>
            <w:r>
              <w:rPr>
                <w:rFonts w:hint="eastAsia"/>
              </w:rPr>
              <w:t>道光二十四年</w:t>
            </w:r>
          </w:p>
        </w:tc>
        <w:tc>
          <w:tcPr>
            <w:tcW w:w="2810" w:type="pct"/>
            <w:vAlign w:val="center"/>
          </w:tcPr>
          <w:p w14:paraId="56A77D73">
            <w:pPr>
              <w:pStyle w:val="12"/>
              <w:jc w:val="left"/>
            </w:pPr>
            <w:r>
              <w:rPr>
                <w:rFonts w:hint="eastAsia"/>
              </w:rPr>
              <w:t>累官福州知府，贵州按察使</w:t>
            </w:r>
          </w:p>
        </w:tc>
      </w:tr>
      <w:tr w14:paraId="04FC2F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restart"/>
            <w:vAlign w:val="center"/>
          </w:tcPr>
          <w:p w14:paraId="3230BFAC">
            <w:pPr>
              <w:pStyle w:val="12"/>
              <w:jc w:val="center"/>
            </w:pPr>
            <w:r>
              <w:rPr>
                <w:rFonts w:hint="eastAsia"/>
              </w:rPr>
              <w:t>举  人</w:t>
            </w:r>
          </w:p>
        </w:tc>
        <w:tc>
          <w:tcPr>
            <w:tcW w:w="678" w:type="pct"/>
            <w:vAlign w:val="center"/>
          </w:tcPr>
          <w:p w14:paraId="3CA13709">
            <w:pPr>
              <w:pStyle w:val="12"/>
              <w:jc w:val="center"/>
            </w:pPr>
            <w:r>
              <w:rPr>
                <w:rFonts w:hint="eastAsia"/>
              </w:rPr>
              <w:t>梁高擢</w:t>
            </w:r>
          </w:p>
        </w:tc>
        <w:tc>
          <w:tcPr>
            <w:tcW w:w="872" w:type="pct"/>
            <w:vAlign w:val="center"/>
          </w:tcPr>
          <w:p w14:paraId="3173B35F">
            <w:pPr>
              <w:pStyle w:val="12"/>
              <w:jc w:val="center"/>
            </w:pPr>
            <w:r>
              <w:rPr>
                <w:rFonts w:hint="eastAsia"/>
              </w:rPr>
              <w:t>顺治甲午</w:t>
            </w:r>
          </w:p>
        </w:tc>
        <w:tc>
          <w:tcPr>
            <w:tcW w:w="2810" w:type="pct"/>
            <w:vAlign w:val="center"/>
          </w:tcPr>
          <w:p w14:paraId="6DC68F6B">
            <w:pPr>
              <w:pStyle w:val="12"/>
              <w:jc w:val="left"/>
            </w:pPr>
            <w:r>
              <w:rPr>
                <w:rFonts w:hint="eastAsia"/>
              </w:rPr>
              <w:t>新安教谕</w:t>
            </w:r>
          </w:p>
        </w:tc>
      </w:tr>
      <w:tr w14:paraId="4581D0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1364893">
            <w:pPr>
              <w:pStyle w:val="12"/>
              <w:jc w:val="center"/>
            </w:pPr>
          </w:p>
        </w:tc>
        <w:tc>
          <w:tcPr>
            <w:tcW w:w="678" w:type="pct"/>
            <w:vAlign w:val="center"/>
          </w:tcPr>
          <w:p w14:paraId="6D603CF2">
            <w:pPr>
              <w:pStyle w:val="12"/>
              <w:jc w:val="center"/>
            </w:pPr>
            <w:r>
              <w:rPr>
                <w:rFonts w:hint="eastAsia"/>
              </w:rPr>
              <w:t>谭熙韫</w:t>
            </w:r>
          </w:p>
        </w:tc>
        <w:tc>
          <w:tcPr>
            <w:tcW w:w="872" w:type="pct"/>
            <w:vAlign w:val="center"/>
          </w:tcPr>
          <w:p w14:paraId="464D3182">
            <w:pPr>
              <w:pStyle w:val="12"/>
              <w:jc w:val="center"/>
            </w:pPr>
            <w:r>
              <w:rPr>
                <w:rFonts w:hint="eastAsia"/>
              </w:rPr>
              <w:t>顺治丁酉</w:t>
            </w:r>
          </w:p>
        </w:tc>
        <w:tc>
          <w:tcPr>
            <w:tcW w:w="2810" w:type="pct"/>
            <w:vAlign w:val="center"/>
          </w:tcPr>
          <w:p w14:paraId="28195464">
            <w:pPr>
              <w:pStyle w:val="12"/>
              <w:jc w:val="left"/>
            </w:pPr>
          </w:p>
        </w:tc>
      </w:tr>
      <w:tr w14:paraId="2468D6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AC2189A">
            <w:pPr>
              <w:pStyle w:val="12"/>
              <w:jc w:val="center"/>
            </w:pPr>
          </w:p>
        </w:tc>
        <w:tc>
          <w:tcPr>
            <w:tcW w:w="678" w:type="pct"/>
            <w:vAlign w:val="center"/>
          </w:tcPr>
          <w:p w14:paraId="72BA30CB">
            <w:pPr>
              <w:pStyle w:val="12"/>
              <w:jc w:val="center"/>
            </w:pPr>
            <w:r>
              <w:rPr>
                <w:rFonts w:hint="eastAsia"/>
              </w:rPr>
              <w:t>董子晋</w:t>
            </w:r>
          </w:p>
        </w:tc>
        <w:tc>
          <w:tcPr>
            <w:tcW w:w="872" w:type="pct"/>
            <w:vAlign w:val="center"/>
          </w:tcPr>
          <w:p w14:paraId="66D2F31A">
            <w:pPr>
              <w:pStyle w:val="12"/>
              <w:jc w:val="center"/>
            </w:pPr>
            <w:r>
              <w:rPr>
                <w:rFonts w:hint="eastAsia"/>
              </w:rPr>
              <w:t>康熙癸卯</w:t>
            </w:r>
          </w:p>
        </w:tc>
        <w:tc>
          <w:tcPr>
            <w:tcW w:w="2810" w:type="pct"/>
            <w:vAlign w:val="center"/>
          </w:tcPr>
          <w:p w14:paraId="4608890C">
            <w:pPr>
              <w:pStyle w:val="12"/>
              <w:jc w:val="left"/>
            </w:pPr>
            <w:r>
              <w:rPr>
                <w:rFonts w:hint="eastAsia"/>
              </w:rPr>
              <w:t>仁和街人，有传</w:t>
            </w:r>
          </w:p>
        </w:tc>
      </w:tr>
      <w:tr w14:paraId="44AF07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60468E3">
            <w:pPr>
              <w:pStyle w:val="12"/>
              <w:jc w:val="center"/>
            </w:pPr>
          </w:p>
        </w:tc>
        <w:tc>
          <w:tcPr>
            <w:tcW w:w="678" w:type="pct"/>
            <w:vAlign w:val="center"/>
          </w:tcPr>
          <w:p w14:paraId="3C34F67D">
            <w:pPr>
              <w:pStyle w:val="12"/>
              <w:jc w:val="center"/>
            </w:pPr>
            <w:r>
              <w:rPr>
                <w:rFonts w:hint="eastAsia"/>
              </w:rPr>
              <w:t>李亦炽</w:t>
            </w:r>
          </w:p>
        </w:tc>
        <w:tc>
          <w:tcPr>
            <w:tcW w:w="872" w:type="pct"/>
            <w:vAlign w:val="center"/>
          </w:tcPr>
          <w:p w14:paraId="63225E83">
            <w:pPr>
              <w:pStyle w:val="12"/>
              <w:jc w:val="center"/>
            </w:pPr>
            <w:r>
              <w:rPr>
                <w:rFonts w:hint="eastAsia"/>
              </w:rPr>
              <w:t>康熙丙午</w:t>
            </w:r>
          </w:p>
        </w:tc>
        <w:tc>
          <w:tcPr>
            <w:tcW w:w="2810" w:type="pct"/>
            <w:vAlign w:val="center"/>
          </w:tcPr>
          <w:p w14:paraId="1E03629D">
            <w:pPr>
              <w:pStyle w:val="12"/>
              <w:jc w:val="left"/>
            </w:pPr>
            <w:r>
              <w:rPr>
                <w:rFonts w:hint="eastAsia"/>
              </w:rPr>
              <w:t>庶城知县</w:t>
            </w:r>
          </w:p>
        </w:tc>
      </w:tr>
      <w:tr w14:paraId="25CD8B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AB7C226">
            <w:pPr>
              <w:pStyle w:val="12"/>
              <w:jc w:val="center"/>
            </w:pPr>
          </w:p>
        </w:tc>
        <w:tc>
          <w:tcPr>
            <w:tcW w:w="678" w:type="pct"/>
            <w:vAlign w:val="center"/>
          </w:tcPr>
          <w:p w14:paraId="3E8681B8">
            <w:pPr>
              <w:pStyle w:val="12"/>
              <w:jc w:val="center"/>
            </w:pPr>
            <w:r>
              <w:rPr>
                <w:rFonts w:hint="eastAsia"/>
              </w:rPr>
              <w:t>欧阳明万</w:t>
            </w:r>
          </w:p>
        </w:tc>
        <w:tc>
          <w:tcPr>
            <w:tcW w:w="872" w:type="pct"/>
            <w:vAlign w:val="center"/>
          </w:tcPr>
          <w:p w14:paraId="79D16CFB">
            <w:pPr>
              <w:pStyle w:val="12"/>
              <w:jc w:val="center"/>
            </w:pPr>
            <w:r>
              <w:rPr>
                <w:rFonts w:hint="eastAsia"/>
              </w:rPr>
              <w:t>康熙己酉</w:t>
            </w:r>
          </w:p>
        </w:tc>
        <w:tc>
          <w:tcPr>
            <w:tcW w:w="2810" w:type="pct"/>
            <w:vAlign w:val="center"/>
          </w:tcPr>
          <w:p w14:paraId="1D38E024">
            <w:pPr>
              <w:pStyle w:val="12"/>
              <w:jc w:val="left"/>
            </w:pPr>
            <w:r>
              <w:rPr>
                <w:rFonts w:hint="eastAsia"/>
              </w:rPr>
              <w:t>永州知县，升邠州知州，调新宁</w:t>
            </w:r>
          </w:p>
        </w:tc>
      </w:tr>
      <w:tr w14:paraId="5FA68A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11F5347">
            <w:pPr>
              <w:pStyle w:val="12"/>
              <w:jc w:val="center"/>
            </w:pPr>
          </w:p>
        </w:tc>
        <w:tc>
          <w:tcPr>
            <w:tcW w:w="678" w:type="pct"/>
            <w:vAlign w:val="center"/>
          </w:tcPr>
          <w:p w14:paraId="23400B36">
            <w:pPr>
              <w:pStyle w:val="12"/>
              <w:jc w:val="center"/>
            </w:pPr>
            <w:r>
              <w:rPr>
                <w:rFonts w:hint="eastAsia"/>
              </w:rPr>
              <w:t>许上觐</w:t>
            </w:r>
          </w:p>
        </w:tc>
        <w:tc>
          <w:tcPr>
            <w:tcW w:w="872" w:type="pct"/>
            <w:vAlign w:val="center"/>
          </w:tcPr>
          <w:p w14:paraId="74974210">
            <w:pPr>
              <w:pStyle w:val="12"/>
              <w:jc w:val="center"/>
            </w:pPr>
            <w:r>
              <w:rPr>
                <w:rFonts w:hint="eastAsia"/>
              </w:rPr>
              <w:t>康熙戊午</w:t>
            </w:r>
          </w:p>
        </w:tc>
        <w:tc>
          <w:tcPr>
            <w:tcW w:w="2810" w:type="pct"/>
            <w:vAlign w:val="center"/>
          </w:tcPr>
          <w:p w14:paraId="4903150A">
            <w:pPr>
              <w:pStyle w:val="12"/>
              <w:jc w:val="left"/>
            </w:pPr>
          </w:p>
        </w:tc>
      </w:tr>
      <w:tr w14:paraId="06586B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D8E7239">
            <w:pPr>
              <w:pStyle w:val="12"/>
              <w:jc w:val="center"/>
            </w:pPr>
          </w:p>
        </w:tc>
        <w:tc>
          <w:tcPr>
            <w:tcW w:w="678" w:type="pct"/>
            <w:vAlign w:val="center"/>
          </w:tcPr>
          <w:p w14:paraId="2A2273A0">
            <w:pPr>
              <w:pStyle w:val="12"/>
              <w:jc w:val="center"/>
            </w:pPr>
            <w:r>
              <w:rPr>
                <w:rFonts w:hint="eastAsia"/>
              </w:rPr>
              <w:t>王  沄</w:t>
            </w:r>
          </w:p>
        </w:tc>
        <w:tc>
          <w:tcPr>
            <w:tcW w:w="872" w:type="pct"/>
            <w:vAlign w:val="center"/>
          </w:tcPr>
          <w:p w14:paraId="40F0DE56">
            <w:pPr>
              <w:pStyle w:val="12"/>
              <w:jc w:val="center"/>
            </w:pPr>
            <w:r>
              <w:rPr>
                <w:rFonts w:hint="eastAsia"/>
              </w:rPr>
              <w:t>康熙甲子</w:t>
            </w:r>
          </w:p>
        </w:tc>
        <w:tc>
          <w:tcPr>
            <w:tcW w:w="2810" w:type="pct"/>
            <w:vAlign w:val="center"/>
          </w:tcPr>
          <w:p w14:paraId="29ACADDF">
            <w:pPr>
              <w:pStyle w:val="12"/>
              <w:jc w:val="left"/>
            </w:pPr>
            <w:r>
              <w:rPr>
                <w:rFonts w:hint="eastAsia"/>
              </w:rPr>
              <w:t>解元</w:t>
            </w:r>
          </w:p>
        </w:tc>
      </w:tr>
      <w:tr w14:paraId="167699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DF1D7F0">
            <w:pPr>
              <w:pStyle w:val="12"/>
              <w:jc w:val="center"/>
            </w:pPr>
          </w:p>
        </w:tc>
        <w:tc>
          <w:tcPr>
            <w:tcW w:w="678" w:type="pct"/>
            <w:vAlign w:val="center"/>
          </w:tcPr>
          <w:p w14:paraId="7BCC720E">
            <w:pPr>
              <w:pStyle w:val="12"/>
              <w:jc w:val="center"/>
            </w:pPr>
            <w:r>
              <w:rPr>
                <w:rFonts w:hint="eastAsia"/>
              </w:rPr>
              <w:t>汪  注</w:t>
            </w:r>
          </w:p>
        </w:tc>
        <w:tc>
          <w:tcPr>
            <w:tcW w:w="872" w:type="pct"/>
            <w:vAlign w:val="center"/>
          </w:tcPr>
          <w:p w14:paraId="27FBAAA3">
            <w:pPr>
              <w:pStyle w:val="12"/>
              <w:jc w:val="center"/>
            </w:pPr>
            <w:r>
              <w:rPr>
                <w:rFonts w:hint="eastAsia"/>
              </w:rPr>
              <w:t>康熙甲子</w:t>
            </w:r>
          </w:p>
        </w:tc>
        <w:tc>
          <w:tcPr>
            <w:tcW w:w="2810" w:type="pct"/>
            <w:vAlign w:val="center"/>
          </w:tcPr>
          <w:p w14:paraId="7A8BB73D">
            <w:pPr>
              <w:pStyle w:val="12"/>
              <w:jc w:val="left"/>
            </w:pPr>
            <w:r>
              <w:rPr>
                <w:rFonts w:hint="eastAsia"/>
              </w:rPr>
              <w:t>任汜水知县，有传</w:t>
            </w:r>
          </w:p>
        </w:tc>
      </w:tr>
      <w:tr w14:paraId="164DF2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94C8B46">
            <w:pPr>
              <w:pStyle w:val="12"/>
              <w:jc w:val="center"/>
            </w:pPr>
          </w:p>
        </w:tc>
        <w:tc>
          <w:tcPr>
            <w:tcW w:w="678" w:type="pct"/>
            <w:vAlign w:val="center"/>
          </w:tcPr>
          <w:p w14:paraId="303577DB">
            <w:pPr>
              <w:pStyle w:val="12"/>
              <w:jc w:val="center"/>
            </w:pPr>
            <w:r>
              <w:rPr>
                <w:rFonts w:hint="eastAsia"/>
              </w:rPr>
              <w:t>董步闻</w:t>
            </w:r>
          </w:p>
        </w:tc>
        <w:tc>
          <w:tcPr>
            <w:tcW w:w="872" w:type="pct"/>
            <w:vAlign w:val="center"/>
          </w:tcPr>
          <w:p w14:paraId="358D8AD0">
            <w:pPr>
              <w:pStyle w:val="12"/>
              <w:jc w:val="center"/>
            </w:pPr>
            <w:r>
              <w:rPr>
                <w:rFonts w:hint="eastAsia"/>
              </w:rPr>
              <w:t>康熙甲子</w:t>
            </w:r>
          </w:p>
        </w:tc>
        <w:tc>
          <w:tcPr>
            <w:tcW w:w="2810" w:type="pct"/>
            <w:vAlign w:val="center"/>
          </w:tcPr>
          <w:p w14:paraId="51D959C9">
            <w:pPr>
              <w:pStyle w:val="12"/>
              <w:jc w:val="left"/>
            </w:pPr>
            <w:r>
              <w:rPr>
                <w:rFonts w:hint="eastAsia"/>
              </w:rPr>
              <w:t>子晋之子，庆都知县，升户部主事，有传</w:t>
            </w:r>
          </w:p>
        </w:tc>
      </w:tr>
      <w:tr w14:paraId="355F12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4E93359">
            <w:pPr>
              <w:pStyle w:val="12"/>
              <w:jc w:val="center"/>
            </w:pPr>
          </w:p>
        </w:tc>
        <w:tc>
          <w:tcPr>
            <w:tcW w:w="678" w:type="pct"/>
            <w:vAlign w:val="center"/>
          </w:tcPr>
          <w:p w14:paraId="4FF3AA4C">
            <w:pPr>
              <w:pStyle w:val="12"/>
              <w:jc w:val="center"/>
            </w:pPr>
            <w:r>
              <w:rPr>
                <w:rFonts w:hint="eastAsia"/>
              </w:rPr>
              <w:t>谢馥荣</w:t>
            </w:r>
          </w:p>
        </w:tc>
        <w:tc>
          <w:tcPr>
            <w:tcW w:w="872" w:type="pct"/>
            <w:vAlign w:val="center"/>
          </w:tcPr>
          <w:p w14:paraId="14C24E0B">
            <w:pPr>
              <w:pStyle w:val="12"/>
              <w:jc w:val="center"/>
            </w:pPr>
            <w:r>
              <w:rPr>
                <w:rFonts w:hint="eastAsia"/>
              </w:rPr>
              <w:t>康熙丙子</w:t>
            </w:r>
          </w:p>
        </w:tc>
        <w:tc>
          <w:tcPr>
            <w:tcW w:w="2810" w:type="pct"/>
            <w:vAlign w:val="center"/>
          </w:tcPr>
          <w:p w14:paraId="00FD85ED">
            <w:pPr>
              <w:pStyle w:val="12"/>
              <w:jc w:val="left"/>
            </w:pPr>
          </w:p>
        </w:tc>
      </w:tr>
      <w:tr w14:paraId="26EE92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8F6D3B9">
            <w:pPr>
              <w:pStyle w:val="12"/>
              <w:jc w:val="center"/>
            </w:pPr>
          </w:p>
        </w:tc>
        <w:tc>
          <w:tcPr>
            <w:tcW w:w="678" w:type="pct"/>
            <w:vAlign w:val="center"/>
          </w:tcPr>
          <w:p w14:paraId="2508C532">
            <w:pPr>
              <w:pStyle w:val="12"/>
              <w:jc w:val="center"/>
            </w:pPr>
            <w:r>
              <w:rPr>
                <w:rFonts w:hint="eastAsia"/>
              </w:rPr>
              <w:t>曾建标</w:t>
            </w:r>
          </w:p>
        </w:tc>
        <w:tc>
          <w:tcPr>
            <w:tcW w:w="872" w:type="pct"/>
            <w:vAlign w:val="center"/>
          </w:tcPr>
          <w:p w14:paraId="3669AE0D">
            <w:pPr>
              <w:pStyle w:val="12"/>
              <w:jc w:val="center"/>
            </w:pPr>
            <w:r>
              <w:rPr>
                <w:rFonts w:hint="eastAsia"/>
              </w:rPr>
              <w:t>康熙丙子</w:t>
            </w:r>
          </w:p>
        </w:tc>
        <w:tc>
          <w:tcPr>
            <w:tcW w:w="2810" w:type="pct"/>
            <w:vAlign w:val="center"/>
          </w:tcPr>
          <w:p w14:paraId="0C502900">
            <w:pPr>
              <w:pStyle w:val="12"/>
              <w:jc w:val="left"/>
            </w:pPr>
            <w:r>
              <w:rPr>
                <w:rFonts w:hint="eastAsia"/>
              </w:rPr>
              <w:t>大田知县</w:t>
            </w:r>
          </w:p>
        </w:tc>
      </w:tr>
      <w:tr w14:paraId="73131C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8A7BE44">
            <w:pPr>
              <w:pStyle w:val="12"/>
              <w:jc w:val="center"/>
            </w:pPr>
          </w:p>
        </w:tc>
        <w:tc>
          <w:tcPr>
            <w:tcW w:w="678" w:type="pct"/>
            <w:vAlign w:val="center"/>
          </w:tcPr>
          <w:p w14:paraId="118AC2D8">
            <w:pPr>
              <w:pStyle w:val="12"/>
              <w:jc w:val="center"/>
            </w:pPr>
            <w:r>
              <w:rPr>
                <w:rFonts w:hint="eastAsia"/>
              </w:rPr>
              <w:t>汪  枚</w:t>
            </w:r>
          </w:p>
        </w:tc>
        <w:tc>
          <w:tcPr>
            <w:tcW w:w="872" w:type="pct"/>
            <w:vAlign w:val="center"/>
          </w:tcPr>
          <w:p w14:paraId="58AF9000">
            <w:pPr>
              <w:pStyle w:val="12"/>
              <w:jc w:val="center"/>
            </w:pPr>
            <w:r>
              <w:rPr>
                <w:rFonts w:hint="eastAsia"/>
              </w:rPr>
              <w:t>康熙己卯</w:t>
            </w:r>
          </w:p>
        </w:tc>
        <w:tc>
          <w:tcPr>
            <w:tcW w:w="2810" w:type="pct"/>
            <w:vAlign w:val="center"/>
          </w:tcPr>
          <w:p w14:paraId="704BE7DB">
            <w:pPr>
              <w:pStyle w:val="12"/>
              <w:jc w:val="left"/>
            </w:pPr>
            <w:r>
              <w:rPr>
                <w:rFonts w:hint="eastAsia"/>
              </w:rPr>
              <w:t>注之子，贵池知县，补寿张</w:t>
            </w:r>
          </w:p>
        </w:tc>
      </w:tr>
      <w:tr w14:paraId="486C10E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E5A6B69">
            <w:pPr>
              <w:pStyle w:val="12"/>
              <w:jc w:val="center"/>
            </w:pPr>
          </w:p>
        </w:tc>
        <w:tc>
          <w:tcPr>
            <w:tcW w:w="678" w:type="pct"/>
            <w:vAlign w:val="center"/>
          </w:tcPr>
          <w:p w14:paraId="538EC727">
            <w:pPr>
              <w:pStyle w:val="12"/>
              <w:jc w:val="center"/>
            </w:pPr>
            <w:r>
              <w:rPr>
                <w:rFonts w:hint="eastAsia"/>
              </w:rPr>
              <w:t>汪  鉁</w:t>
            </w:r>
          </w:p>
        </w:tc>
        <w:tc>
          <w:tcPr>
            <w:tcW w:w="872" w:type="pct"/>
            <w:vAlign w:val="center"/>
          </w:tcPr>
          <w:p w14:paraId="78305D62">
            <w:pPr>
              <w:pStyle w:val="12"/>
              <w:jc w:val="center"/>
            </w:pPr>
            <w:r>
              <w:rPr>
                <w:rFonts w:hint="eastAsia"/>
              </w:rPr>
              <w:t>康熙壬午</w:t>
            </w:r>
          </w:p>
        </w:tc>
        <w:tc>
          <w:tcPr>
            <w:tcW w:w="2810" w:type="pct"/>
            <w:vAlign w:val="center"/>
          </w:tcPr>
          <w:p w14:paraId="3E22C5DC">
            <w:pPr>
              <w:pStyle w:val="12"/>
              <w:jc w:val="left"/>
            </w:pPr>
          </w:p>
        </w:tc>
      </w:tr>
      <w:tr w14:paraId="6224DA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17D8F34">
            <w:pPr>
              <w:pStyle w:val="12"/>
              <w:jc w:val="center"/>
            </w:pPr>
          </w:p>
        </w:tc>
        <w:tc>
          <w:tcPr>
            <w:tcW w:w="678" w:type="pct"/>
            <w:vAlign w:val="center"/>
          </w:tcPr>
          <w:p w14:paraId="55CA9BC1">
            <w:pPr>
              <w:pStyle w:val="12"/>
              <w:jc w:val="center"/>
            </w:pPr>
            <w:r>
              <w:rPr>
                <w:rFonts w:hint="eastAsia"/>
              </w:rPr>
              <w:t>叶殿鏊</w:t>
            </w:r>
          </w:p>
        </w:tc>
        <w:tc>
          <w:tcPr>
            <w:tcW w:w="872" w:type="pct"/>
            <w:vAlign w:val="center"/>
          </w:tcPr>
          <w:p w14:paraId="2D74880B">
            <w:pPr>
              <w:pStyle w:val="12"/>
              <w:jc w:val="center"/>
            </w:pPr>
            <w:r>
              <w:rPr>
                <w:rFonts w:hint="eastAsia"/>
              </w:rPr>
              <w:t>康熙壬午</w:t>
            </w:r>
          </w:p>
        </w:tc>
        <w:tc>
          <w:tcPr>
            <w:tcW w:w="2810" w:type="pct"/>
            <w:vAlign w:val="center"/>
          </w:tcPr>
          <w:p w14:paraId="648E1B60">
            <w:pPr>
              <w:pStyle w:val="12"/>
              <w:jc w:val="left"/>
            </w:pPr>
            <w:r>
              <w:rPr>
                <w:rFonts w:hint="eastAsia"/>
              </w:rPr>
              <w:t>威县知县</w:t>
            </w:r>
          </w:p>
        </w:tc>
      </w:tr>
      <w:tr w14:paraId="24AABC9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12D4B44C">
            <w:pPr>
              <w:pStyle w:val="12"/>
              <w:jc w:val="center"/>
            </w:pPr>
          </w:p>
        </w:tc>
        <w:tc>
          <w:tcPr>
            <w:tcW w:w="678" w:type="pct"/>
            <w:vAlign w:val="center"/>
          </w:tcPr>
          <w:p w14:paraId="13A86299">
            <w:pPr>
              <w:pStyle w:val="12"/>
              <w:jc w:val="center"/>
            </w:pPr>
            <w:r>
              <w:rPr>
                <w:rFonts w:hint="eastAsia"/>
              </w:rPr>
              <w:t>曾元标</w:t>
            </w:r>
          </w:p>
        </w:tc>
        <w:tc>
          <w:tcPr>
            <w:tcW w:w="872" w:type="pct"/>
            <w:vAlign w:val="center"/>
          </w:tcPr>
          <w:p w14:paraId="7AE3B54F">
            <w:pPr>
              <w:pStyle w:val="12"/>
              <w:jc w:val="center"/>
            </w:pPr>
            <w:r>
              <w:rPr>
                <w:rFonts w:hint="eastAsia"/>
              </w:rPr>
              <w:t>康熙乙酉</w:t>
            </w:r>
          </w:p>
        </w:tc>
        <w:tc>
          <w:tcPr>
            <w:tcW w:w="2810" w:type="pct"/>
            <w:vAlign w:val="center"/>
          </w:tcPr>
          <w:p w14:paraId="45F5E0DF">
            <w:pPr>
              <w:pStyle w:val="12"/>
              <w:jc w:val="left"/>
            </w:pPr>
            <w:r>
              <w:rPr>
                <w:rFonts w:hint="eastAsia"/>
              </w:rPr>
              <w:t>龙门教谕</w:t>
            </w:r>
          </w:p>
        </w:tc>
      </w:tr>
      <w:tr w14:paraId="7547F9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76D8BF1">
            <w:pPr>
              <w:pStyle w:val="12"/>
              <w:jc w:val="center"/>
            </w:pPr>
          </w:p>
        </w:tc>
        <w:tc>
          <w:tcPr>
            <w:tcW w:w="678" w:type="pct"/>
            <w:vAlign w:val="center"/>
          </w:tcPr>
          <w:p w14:paraId="5CD56F97">
            <w:pPr>
              <w:pStyle w:val="12"/>
              <w:jc w:val="center"/>
            </w:pPr>
            <w:r>
              <w:rPr>
                <w:rFonts w:hint="eastAsia"/>
              </w:rPr>
              <w:t>戴  纶</w:t>
            </w:r>
          </w:p>
        </w:tc>
        <w:tc>
          <w:tcPr>
            <w:tcW w:w="872" w:type="pct"/>
            <w:vAlign w:val="center"/>
          </w:tcPr>
          <w:p w14:paraId="47775D3D">
            <w:pPr>
              <w:pStyle w:val="12"/>
              <w:jc w:val="center"/>
            </w:pPr>
            <w:r>
              <w:rPr>
                <w:rFonts w:hint="eastAsia"/>
              </w:rPr>
              <w:t>康熙己酉</w:t>
            </w:r>
          </w:p>
        </w:tc>
        <w:tc>
          <w:tcPr>
            <w:tcW w:w="2810" w:type="pct"/>
            <w:vAlign w:val="center"/>
          </w:tcPr>
          <w:p w14:paraId="4F48E71E">
            <w:pPr>
              <w:pStyle w:val="12"/>
              <w:jc w:val="left"/>
            </w:pPr>
            <w:r>
              <w:rPr>
                <w:rFonts w:hint="eastAsia"/>
              </w:rPr>
              <w:t>榆社知县升蓬州知州，泸宁同知，宁波知府，调真定，致仕归，有《红药轩诗集》</w:t>
            </w:r>
          </w:p>
        </w:tc>
      </w:tr>
      <w:tr w14:paraId="0B57CE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155EA0D0">
            <w:pPr>
              <w:pStyle w:val="12"/>
              <w:jc w:val="center"/>
            </w:pPr>
          </w:p>
        </w:tc>
        <w:tc>
          <w:tcPr>
            <w:tcW w:w="678" w:type="pct"/>
            <w:vAlign w:val="center"/>
          </w:tcPr>
          <w:p w14:paraId="6CB83E41">
            <w:pPr>
              <w:pStyle w:val="12"/>
              <w:jc w:val="center"/>
            </w:pPr>
            <w:r>
              <w:rPr>
                <w:rFonts w:hint="eastAsia"/>
              </w:rPr>
              <w:t>汪作淇</w:t>
            </w:r>
          </w:p>
        </w:tc>
        <w:tc>
          <w:tcPr>
            <w:tcW w:w="872" w:type="pct"/>
            <w:vAlign w:val="center"/>
          </w:tcPr>
          <w:p w14:paraId="42F87E19">
            <w:pPr>
              <w:pStyle w:val="12"/>
              <w:jc w:val="center"/>
            </w:pPr>
            <w:r>
              <w:rPr>
                <w:rFonts w:hint="eastAsia"/>
              </w:rPr>
              <w:t>康熙戊子</w:t>
            </w:r>
          </w:p>
        </w:tc>
        <w:tc>
          <w:tcPr>
            <w:tcW w:w="2810" w:type="pct"/>
            <w:vAlign w:val="center"/>
          </w:tcPr>
          <w:p w14:paraId="24B76088">
            <w:pPr>
              <w:pStyle w:val="12"/>
              <w:jc w:val="left"/>
            </w:pPr>
            <w:r>
              <w:rPr>
                <w:rFonts w:hint="eastAsia"/>
              </w:rPr>
              <w:t>顺德教谕</w:t>
            </w:r>
          </w:p>
        </w:tc>
      </w:tr>
      <w:tr w14:paraId="3E0B23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A7A83ED">
            <w:pPr>
              <w:pStyle w:val="12"/>
              <w:jc w:val="center"/>
            </w:pPr>
          </w:p>
        </w:tc>
        <w:tc>
          <w:tcPr>
            <w:tcW w:w="678" w:type="pct"/>
            <w:vAlign w:val="center"/>
          </w:tcPr>
          <w:p w14:paraId="0D544914">
            <w:pPr>
              <w:pStyle w:val="12"/>
              <w:jc w:val="center"/>
            </w:pPr>
            <w:r>
              <w:rPr>
                <w:rFonts w:hint="eastAsia"/>
              </w:rPr>
              <w:t>汪作植</w:t>
            </w:r>
          </w:p>
        </w:tc>
        <w:tc>
          <w:tcPr>
            <w:tcW w:w="872" w:type="pct"/>
            <w:vAlign w:val="center"/>
          </w:tcPr>
          <w:p w14:paraId="03E6E69F">
            <w:pPr>
              <w:pStyle w:val="12"/>
              <w:jc w:val="center"/>
            </w:pPr>
            <w:r>
              <w:rPr>
                <w:rFonts w:hint="eastAsia"/>
              </w:rPr>
              <w:t>康熙辛卯</w:t>
            </w:r>
          </w:p>
        </w:tc>
        <w:tc>
          <w:tcPr>
            <w:tcW w:w="2810" w:type="pct"/>
            <w:vAlign w:val="center"/>
          </w:tcPr>
          <w:p w14:paraId="1C118C3E">
            <w:pPr>
              <w:pStyle w:val="12"/>
              <w:jc w:val="left"/>
            </w:pPr>
            <w:r>
              <w:rPr>
                <w:rFonts w:hint="eastAsia"/>
              </w:rPr>
              <w:t>曲江教谕</w:t>
            </w:r>
          </w:p>
        </w:tc>
      </w:tr>
      <w:tr w14:paraId="7A9667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8814261">
            <w:pPr>
              <w:pStyle w:val="12"/>
              <w:jc w:val="center"/>
            </w:pPr>
          </w:p>
        </w:tc>
        <w:tc>
          <w:tcPr>
            <w:tcW w:w="678" w:type="pct"/>
            <w:vAlign w:val="center"/>
          </w:tcPr>
          <w:p w14:paraId="4FA920BC">
            <w:pPr>
              <w:pStyle w:val="12"/>
              <w:jc w:val="center"/>
            </w:pPr>
            <w:r>
              <w:rPr>
                <w:rFonts w:hint="eastAsia"/>
              </w:rPr>
              <w:t>朱  英</w:t>
            </w:r>
          </w:p>
        </w:tc>
        <w:tc>
          <w:tcPr>
            <w:tcW w:w="872" w:type="pct"/>
            <w:vAlign w:val="center"/>
          </w:tcPr>
          <w:p w14:paraId="4BDD6CB2">
            <w:pPr>
              <w:pStyle w:val="12"/>
              <w:jc w:val="center"/>
            </w:pPr>
            <w:r>
              <w:rPr>
                <w:rFonts w:hint="eastAsia"/>
              </w:rPr>
              <w:t>康熙辛卯</w:t>
            </w:r>
          </w:p>
        </w:tc>
        <w:tc>
          <w:tcPr>
            <w:tcW w:w="2810" w:type="pct"/>
            <w:vAlign w:val="center"/>
          </w:tcPr>
          <w:p w14:paraId="3F5698A1">
            <w:pPr>
              <w:pStyle w:val="12"/>
              <w:jc w:val="left"/>
            </w:pPr>
            <w:r>
              <w:rPr>
                <w:rFonts w:hint="eastAsia"/>
              </w:rPr>
              <w:t>河源教谕</w:t>
            </w:r>
          </w:p>
        </w:tc>
      </w:tr>
      <w:tr w14:paraId="4C31E2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7BB9DD3">
            <w:pPr>
              <w:pStyle w:val="12"/>
              <w:jc w:val="center"/>
            </w:pPr>
          </w:p>
        </w:tc>
        <w:tc>
          <w:tcPr>
            <w:tcW w:w="678" w:type="pct"/>
            <w:vAlign w:val="center"/>
          </w:tcPr>
          <w:p w14:paraId="22D9310C">
            <w:pPr>
              <w:pStyle w:val="12"/>
              <w:jc w:val="center"/>
            </w:pPr>
            <w:r>
              <w:rPr>
                <w:rFonts w:hint="eastAsia"/>
              </w:rPr>
              <w:t>卢士楷</w:t>
            </w:r>
          </w:p>
        </w:tc>
        <w:tc>
          <w:tcPr>
            <w:tcW w:w="872" w:type="pct"/>
            <w:vAlign w:val="center"/>
          </w:tcPr>
          <w:p w14:paraId="582BF1C7">
            <w:pPr>
              <w:pStyle w:val="12"/>
              <w:jc w:val="center"/>
            </w:pPr>
            <w:r>
              <w:rPr>
                <w:rFonts w:hint="eastAsia"/>
              </w:rPr>
              <w:t>康熙癸己</w:t>
            </w:r>
          </w:p>
        </w:tc>
        <w:tc>
          <w:tcPr>
            <w:tcW w:w="2810" w:type="pct"/>
            <w:vAlign w:val="center"/>
          </w:tcPr>
          <w:p w14:paraId="3449E041">
            <w:pPr>
              <w:pStyle w:val="12"/>
              <w:jc w:val="left"/>
            </w:pPr>
          </w:p>
        </w:tc>
      </w:tr>
      <w:tr w14:paraId="1F312A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F32003E">
            <w:pPr>
              <w:pStyle w:val="12"/>
              <w:jc w:val="center"/>
            </w:pPr>
          </w:p>
        </w:tc>
        <w:tc>
          <w:tcPr>
            <w:tcW w:w="678" w:type="pct"/>
            <w:vAlign w:val="center"/>
          </w:tcPr>
          <w:p w14:paraId="0D7321D8">
            <w:pPr>
              <w:pStyle w:val="12"/>
              <w:jc w:val="center"/>
            </w:pPr>
            <w:r>
              <w:rPr>
                <w:rFonts w:hint="eastAsia"/>
              </w:rPr>
              <w:t>邱  愈</w:t>
            </w:r>
          </w:p>
        </w:tc>
        <w:tc>
          <w:tcPr>
            <w:tcW w:w="872" w:type="pct"/>
            <w:vAlign w:val="center"/>
          </w:tcPr>
          <w:p w14:paraId="2E73A957">
            <w:pPr>
              <w:pStyle w:val="12"/>
              <w:jc w:val="center"/>
            </w:pPr>
            <w:r>
              <w:rPr>
                <w:rFonts w:hint="eastAsia"/>
              </w:rPr>
              <w:t>康熙丁酉</w:t>
            </w:r>
          </w:p>
        </w:tc>
        <w:tc>
          <w:tcPr>
            <w:tcW w:w="2810" w:type="pct"/>
            <w:vAlign w:val="center"/>
          </w:tcPr>
          <w:p w14:paraId="7413B595">
            <w:pPr>
              <w:pStyle w:val="12"/>
              <w:jc w:val="left"/>
            </w:pPr>
          </w:p>
        </w:tc>
      </w:tr>
      <w:tr w14:paraId="1A4EB1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640" w:type="pct"/>
            <w:vMerge w:val="continue"/>
            <w:vAlign w:val="center"/>
          </w:tcPr>
          <w:p w14:paraId="13FF1181">
            <w:pPr>
              <w:pStyle w:val="12"/>
              <w:jc w:val="center"/>
            </w:pPr>
          </w:p>
        </w:tc>
        <w:tc>
          <w:tcPr>
            <w:tcW w:w="678" w:type="pct"/>
            <w:vAlign w:val="center"/>
          </w:tcPr>
          <w:p w14:paraId="558A8421">
            <w:pPr>
              <w:pStyle w:val="12"/>
              <w:jc w:val="center"/>
            </w:pPr>
            <w:r>
              <w:rPr>
                <w:rFonts w:hint="eastAsia"/>
              </w:rPr>
              <w:t>杨家祚</w:t>
            </w:r>
          </w:p>
        </w:tc>
        <w:tc>
          <w:tcPr>
            <w:tcW w:w="872" w:type="pct"/>
            <w:vAlign w:val="center"/>
          </w:tcPr>
          <w:p w14:paraId="58C529BE">
            <w:pPr>
              <w:pStyle w:val="12"/>
              <w:jc w:val="center"/>
            </w:pPr>
            <w:r>
              <w:rPr>
                <w:rFonts w:hint="eastAsia"/>
              </w:rPr>
              <w:t>康熙庚子</w:t>
            </w:r>
          </w:p>
        </w:tc>
        <w:tc>
          <w:tcPr>
            <w:tcW w:w="2810" w:type="pct"/>
            <w:vAlign w:val="center"/>
          </w:tcPr>
          <w:p w14:paraId="0AFC52E4">
            <w:pPr>
              <w:pStyle w:val="12"/>
              <w:jc w:val="left"/>
            </w:pPr>
            <w:r>
              <w:rPr>
                <w:rFonts w:hint="eastAsia"/>
              </w:rPr>
              <w:t>署山西洪洞、乡宁县事，任临汾丞，有传</w:t>
            </w:r>
          </w:p>
        </w:tc>
      </w:tr>
      <w:tr w14:paraId="1C4A10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BBDC2A1">
            <w:pPr>
              <w:pStyle w:val="12"/>
              <w:jc w:val="center"/>
            </w:pPr>
          </w:p>
        </w:tc>
        <w:tc>
          <w:tcPr>
            <w:tcW w:w="678" w:type="pct"/>
            <w:vAlign w:val="center"/>
          </w:tcPr>
          <w:p w14:paraId="4B997C1A">
            <w:pPr>
              <w:pStyle w:val="12"/>
              <w:jc w:val="center"/>
            </w:pPr>
            <w:r>
              <w:rPr>
                <w:rFonts w:hint="eastAsia"/>
              </w:rPr>
              <w:t>赖永言</w:t>
            </w:r>
          </w:p>
        </w:tc>
        <w:tc>
          <w:tcPr>
            <w:tcW w:w="872" w:type="pct"/>
            <w:vAlign w:val="center"/>
          </w:tcPr>
          <w:p w14:paraId="69F4D976">
            <w:pPr>
              <w:pStyle w:val="12"/>
              <w:jc w:val="center"/>
            </w:pPr>
            <w:r>
              <w:rPr>
                <w:rFonts w:hint="eastAsia"/>
              </w:rPr>
              <w:t>雍正甲辰</w:t>
            </w:r>
          </w:p>
        </w:tc>
        <w:tc>
          <w:tcPr>
            <w:tcW w:w="2810" w:type="pct"/>
            <w:vAlign w:val="center"/>
          </w:tcPr>
          <w:p w14:paraId="1E206AC9">
            <w:pPr>
              <w:pStyle w:val="12"/>
              <w:jc w:val="left"/>
            </w:pPr>
          </w:p>
        </w:tc>
      </w:tr>
      <w:tr w14:paraId="08AF22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01B2AC1">
            <w:pPr>
              <w:pStyle w:val="12"/>
              <w:jc w:val="center"/>
            </w:pPr>
          </w:p>
        </w:tc>
        <w:tc>
          <w:tcPr>
            <w:tcW w:w="678" w:type="pct"/>
            <w:vAlign w:val="center"/>
          </w:tcPr>
          <w:p w14:paraId="2BF6B4B3">
            <w:pPr>
              <w:pStyle w:val="12"/>
              <w:jc w:val="center"/>
            </w:pPr>
            <w:r>
              <w:rPr>
                <w:rFonts w:hint="eastAsia"/>
              </w:rPr>
              <w:t>胡  定</w:t>
            </w:r>
          </w:p>
        </w:tc>
        <w:tc>
          <w:tcPr>
            <w:tcW w:w="872" w:type="pct"/>
            <w:vAlign w:val="center"/>
          </w:tcPr>
          <w:p w14:paraId="08155F84">
            <w:pPr>
              <w:pStyle w:val="12"/>
              <w:jc w:val="center"/>
            </w:pPr>
            <w:r>
              <w:rPr>
                <w:rFonts w:hint="eastAsia"/>
              </w:rPr>
              <w:t>雍正丙午</w:t>
            </w:r>
          </w:p>
        </w:tc>
        <w:tc>
          <w:tcPr>
            <w:tcW w:w="2810" w:type="pct"/>
            <w:vAlign w:val="center"/>
          </w:tcPr>
          <w:p w14:paraId="39A7E210">
            <w:pPr>
              <w:pStyle w:val="12"/>
              <w:jc w:val="left"/>
            </w:pPr>
            <w:r>
              <w:rPr>
                <w:rFonts w:hint="eastAsia"/>
              </w:rPr>
              <w:t>见进士</w:t>
            </w:r>
          </w:p>
        </w:tc>
      </w:tr>
      <w:tr w14:paraId="58B4BF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B9AD81D">
            <w:pPr>
              <w:pStyle w:val="12"/>
              <w:jc w:val="center"/>
            </w:pPr>
          </w:p>
        </w:tc>
        <w:tc>
          <w:tcPr>
            <w:tcW w:w="678" w:type="pct"/>
            <w:vAlign w:val="center"/>
          </w:tcPr>
          <w:p w14:paraId="7BC1A84C">
            <w:pPr>
              <w:pStyle w:val="12"/>
              <w:jc w:val="center"/>
            </w:pPr>
            <w:r>
              <w:rPr>
                <w:rFonts w:hint="eastAsia"/>
              </w:rPr>
              <w:t>赖  堂</w:t>
            </w:r>
          </w:p>
        </w:tc>
        <w:tc>
          <w:tcPr>
            <w:tcW w:w="872" w:type="pct"/>
            <w:vAlign w:val="center"/>
          </w:tcPr>
          <w:p w14:paraId="2A468B03">
            <w:pPr>
              <w:pStyle w:val="12"/>
              <w:jc w:val="center"/>
            </w:pPr>
            <w:r>
              <w:rPr>
                <w:rFonts w:hint="eastAsia"/>
              </w:rPr>
              <w:t>雍正丙午</w:t>
            </w:r>
          </w:p>
        </w:tc>
        <w:tc>
          <w:tcPr>
            <w:tcW w:w="2810" w:type="pct"/>
            <w:vAlign w:val="center"/>
          </w:tcPr>
          <w:p w14:paraId="3C047042">
            <w:pPr>
              <w:pStyle w:val="12"/>
              <w:jc w:val="left"/>
            </w:pPr>
            <w:r>
              <w:rPr>
                <w:rFonts w:hint="eastAsia"/>
              </w:rPr>
              <w:t>花县训导，见进士</w:t>
            </w:r>
          </w:p>
        </w:tc>
      </w:tr>
      <w:tr w14:paraId="675680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D7649D4">
            <w:pPr>
              <w:pStyle w:val="12"/>
              <w:jc w:val="center"/>
            </w:pPr>
          </w:p>
        </w:tc>
        <w:tc>
          <w:tcPr>
            <w:tcW w:w="678" w:type="pct"/>
            <w:vAlign w:val="center"/>
          </w:tcPr>
          <w:p w14:paraId="4AC8256A">
            <w:pPr>
              <w:pStyle w:val="12"/>
              <w:jc w:val="center"/>
            </w:pPr>
            <w:r>
              <w:rPr>
                <w:rFonts w:hint="eastAsia"/>
              </w:rPr>
              <w:t>黄士鉴</w:t>
            </w:r>
          </w:p>
        </w:tc>
        <w:tc>
          <w:tcPr>
            <w:tcW w:w="872" w:type="pct"/>
            <w:vAlign w:val="center"/>
          </w:tcPr>
          <w:p w14:paraId="17BBD8A8">
            <w:pPr>
              <w:pStyle w:val="12"/>
              <w:jc w:val="center"/>
            </w:pPr>
            <w:r>
              <w:rPr>
                <w:rFonts w:hint="eastAsia"/>
              </w:rPr>
              <w:t>雍正己酉</w:t>
            </w:r>
          </w:p>
        </w:tc>
        <w:tc>
          <w:tcPr>
            <w:tcW w:w="2810" w:type="pct"/>
            <w:vAlign w:val="center"/>
          </w:tcPr>
          <w:p w14:paraId="781DCD9A">
            <w:pPr>
              <w:pStyle w:val="12"/>
              <w:jc w:val="left"/>
            </w:pPr>
            <w:r>
              <w:rPr>
                <w:rFonts w:hint="eastAsia"/>
              </w:rPr>
              <w:t>见进士</w:t>
            </w:r>
          </w:p>
        </w:tc>
      </w:tr>
      <w:tr w14:paraId="16AB5B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8A3D7BE">
            <w:pPr>
              <w:pStyle w:val="12"/>
              <w:jc w:val="center"/>
            </w:pPr>
          </w:p>
        </w:tc>
        <w:tc>
          <w:tcPr>
            <w:tcW w:w="678" w:type="pct"/>
            <w:vAlign w:val="center"/>
          </w:tcPr>
          <w:p w14:paraId="78973EE4">
            <w:pPr>
              <w:pStyle w:val="12"/>
              <w:jc w:val="center"/>
            </w:pPr>
            <w:r>
              <w:rPr>
                <w:rFonts w:hint="eastAsia"/>
              </w:rPr>
              <w:t>戴家驹</w:t>
            </w:r>
          </w:p>
        </w:tc>
        <w:tc>
          <w:tcPr>
            <w:tcW w:w="872" w:type="pct"/>
            <w:vAlign w:val="center"/>
          </w:tcPr>
          <w:p w14:paraId="472E68A2">
            <w:pPr>
              <w:pStyle w:val="12"/>
              <w:jc w:val="center"/>
            </w:pPr>
            <w:r>
              <w:rPr>
                <w:rFonts w:hint="eastAsia"/>
              </w:rPr>
              <w:t>雍正乙卯</w:t>
            </w:r>
          </w:p>
        </w:tc>
        <w:tc>
          <w:tcPr>
            <w:tcW w:w="2810" w:type="pct"/>
            <w:vAlign w:val="center"/>
          </w:tcPr>
          <w:p w14:paraId="563D6935">
            <w:pPr>
              <w:pStyle w:val="12"/>
              <w:jc w:val="left"/>
            </w:pPr>
            <w:r>
              <w:rPr>
                <w:rFonts w:hint="eastAsia"/>
              </w:rPr>
              <w:t>云南马龙州知州，有传</w:t>
            </w:r>
          </w:p>
        </w:tc>
      </w:tr>
      <w:tr w14:paraId="24E5E1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050A5E0">
            <w:pPr>
              <w:pStyle w:val="12"/>
              <w:jc w:val="center"/>
            </w:pPr>
          </w:p>
        </w:tc>
        <w:tc>
          <w:tcPr>
            <w:tcW w:w="678" w:type="pct"/>
            <w:vAlign w:val="center"/>
          </w:tcPr>
          <w:p w14:paraId="38CD2D49">
            <w:pPr>
              <w:pStyle w:val="12"/>
              <w:jc w:val="center"/>
            </w:pPr>
            <w:r>
              <w:rPr>
                <w:rFonts w:hint="eastAsia"/>
              </w:rPr>
              <w:t>朱  铎</w:t>
            </w:r>
          </w:p>
        </w:tc>
        <w:tc>
          <w:tcPr>
            <w:tcW w:w="872" w:type="pct"/>
            <w:vAlign w:val="center"/>
          </w:tcPr>
          <w:p w14:paraId="1FDCD284">
            <w:pPr>
              <w:pStyle w:val="12"/>
              <w:jc w:val="center"/>
            </w:pPr>
            <w:r>
              <w:rPr>
                <w:rFonts w:hint="eastAsia"/>
              </w:rPr>
              <w:t>雍正乙卯</w:t>
            </w:r>
          </w:p>
        </w:tc>
        <w:tc>
          <w:tcPr>
            <w:tcW w:w="2810" w:type="pct"/>
            <w:vAlign w:val="center"/>
          </w:tcPr>
          <w:p w14:paraId="0645CEF2">
            <w:pPr>
              <w:pStyle w:val="12"/>
              <w:jc w:val="left"/>
            </w:pPr>
          </w:p>
        </w:tc>
      </w:tr>
      <w:tr w14:paraId="1E12FC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C0F777E">
            <w:pPr>
              <w:pStyle w:val="12"/>
              <w:jc w:val="center"/>
            </w:pPr>
          </w:p>
        </w:tc>
        <w:tc>
          <w:tcPr>
            <w:tcW w:w="678" w:type="pct"/>
            <w:vAlign w:val="center"/>
          </w:tcPr>
          <w:p w14:paraId="53D05940">
            <w:pPr>
              <w:pStyle w:val="12"/>
              <w:jc w:val="center"/>
            </w:pPr>
            <w:r>
              <w:rPr>
                <w:rFonts w:hint="eastAsia"/>
              </w:rPr>
              <w:t>李方榕</w:t>
            </w:r>
          </w:p>
        </w:tc>
        <w:tc>
          <w:tcPr>
            <w:tcW w:w="872" w:type="pct"/>
            <w:vAlign w:val="center"/>
          </w:tcPr>
          <w:p w14:paraId="6B21DB5B">
            <w:pPr>
              <w:pStyle w:val="12"/>
              <w:jc w:val="center"/>
            </w:pPr>
            <w:r>
              <w:rPr>
                <w:rFonts w:hint="eastAsia"/>
              </w:rPr>
              <w:t>雍正乙卯</w:t>
            </w:r>
          </w:p>
        </w:tc>
        <w:tc>
          <w:tcPr>
            <w:tcW w:w="2810" w:type="pct"/>
            <w:vAlign w:val="center"/>
          </w:tcPr>
          <w:p w14:paraId="2F90158C">
            <w:pPr>
              <w:pStyle w:val="12"/>
              <w:jc w:val="left"/>
            </w:pPr>
            <w:r>
              <w:rPr>
                <w:rFonts w:hint="eastAsia"/>
              </w:rPr>
              <w:t>见进士</w:t>
            </w:r>
          </w:p>
        </w:tc>
      </w:tr>
      <w:tr w14:paraId="15CCD2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19866384">
            <w:pPr>
              <w:pStyle w:val="12"/>
              <w:jc w:val="center"/>
            </w:pPr>
          </w:p>
        </w:tc>
        <w:tc>
          <w:tcPr>
            <w:tcW w:w="678" w:type="pct"/>
            <w:vAlign w:val="center"/>
          </w:tcPr>
          <w:p w14:paraId="409CE07A">
            <w:pPr>
              <w:pStyle w:val="12"/>
              <w:jc w:val="center"/>
            </w:pPr>
            <w:r>
              <w:rPr>
                <w:rFonts w:hint="eastAsia"/>
              </w:rPr>
              <w:t>黄士锠</w:t>
            </w:r>
          </w:p>
        </w:tc>
        <w:tc>
          <w:tcPr>
            <w:tcW w:w="872" w:type="pct"/>
            <w:vAlign w:val="center"/>
          </w:tcPr>
          <w:p w14:paraId="7DB88456">
            <w:pPr>
              <w:pStyle w:val="12"/>
              <w:jc w:val="center"/>
            </w:pPr>
            <w:r>
              <w:rPr>
                <w:rFonts w:hint="eastAsia"/>
              </w:rPr>
              <w:t>乾隆丙辰</w:t>
            </w:r>
          </w:p>
        </w:tc>
        <w:tc>
          <w:tcPr>
            <w:tcW w:w="2810" w:type="pct"/>
            <w:vAlign w:val="center"/>
          </w:tcPr>
          <w:p w14:paraId="3178CB29">
            <w:pPr>
              <w:pStyle w:val="12"/>
              <w:jc w:val="left"/>
            </w:pPr>
            <w:r>
              <w:rPr>
                <w:rFonts w:hint="eastAsia"/>
              </w:rPr>
              <w:t>士鉴之兄，有传</w:t>
            </w:r>
          </w:p>
        </w:tc>
      </w:tr>
      <w:tr w14:paraId="7D2011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171054E5">
            <w:pPr>
              <w:pStyle w:val="12"/>
              <w:jc w:val="center"/>
            </w:pPr>
          </w:p>
        </w:tc>
        <w:tc>
          <w:tcPr>
            <w:tcW w:w="678" w:type="pct"/>
            <w:vAlign w:val="center"/>
          </w:tcPr>
          <w:p w14:paraId="72211AAD">
            <w:pPr>
              <w:pStyle w:val="12"/>
              <w:jc w:val="center"/>
            </w:pPr>
            <w:r>
              <w:rPr>
                <w:rFonts w:hint="eastAsia"/>
              </w:rPr>
              <w:t>孔传正</w:t>
            </w:r>
          </w:p>
        </w:tc>
        <w:tc>
          <w:tcPr>
            <w:tcW w:w="872" w:type="pct"/>
            <w:vAlign w:val="center"/>
          </w:tcPr>
          <w:p w14:paraId="5F312207">
            <w:pPr>
              <w:pStyle w:val="12"/>
              <w:jc w:val="center"/>
            </w:pPr>
            <w:r>
              <w:rPr>
                <w:rFonts w:hint="eastAsia"/>
              </w:rPr>
              <w:t>乾隆戊午</w:t>
            </w:r>
          </w:p>
        </w:tc>
        <w:tc>
          <w:tcPr>
            <w:tcW w:w="2810" w:type="pct"/>
            <w:vAlign w:val="center"/>
          </w:tcPr>
          <w:p w14:paraId="02BB00B8">
            <w:pPr>
              <w:pStyle w:val="12"/>
              <w:jc w:val="left"/>
            </w:pPr>
            <w:r>
              <w:rPr>
                <w:rFonts w:hint="eastAsia"/>
              </w:rPr>
              <w:t>见进士</w:t>
            </w:r>
          </w:p>
        </w:tc>
      </w:tr>
      <w:tr w14:paraId="14B5864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171526A">
            <w:pPr>
              <w:pStyle w:val="12"/>
              <w:jc w:val="center"/>
            </w:pPr>
          </w:p>
        </w:tc>
        <w:tc>
          <w:tcPr>
            <w:tcW w:w="678" w:type="pct"/>
            <w:vAlign w:val="center"/>
          </w:tcPr>
          <w:p w14:paraId="74C28135">
            <w:pPr>
              <w:pStyle w:val="12"/>
              <w:jc w:val="center"/>
            </w:pPr>
            <w:r>
              <w:rPr>
                <w:rFonts w:hint="eastAsia"/>
              </w:rPr>
              <w:t>陈国瑞</w:t>
            </w:r>
          </w:p>
        </w:tc>
        <w:tc>
          <w:tcPr>
            <w:tcW w:w="872" w:type="pct"/>
            <w:vAlign w:val="center"/>
          </w:tcPr>
          <w:p w14:paraId="0625C851">
            <w:pPr>
              <w:pStyle w:val="12"/>
              <w:jc w:val="center"/>
            </w:pPr>
            <w:r>
              <w:rPr>
                <w:rFonts w:hint="eastAsia"/>
              </w:rPr>
              <w:t>乾隆辛酉</w:t>
            </w:r>
          </w:p>
        </w:tc>
        <w:tc>
          <w:tcPr>
            <w:tcW w:w="2810" w:type="pct"/>
            <w:vAlign w:val="center"/>
          </w:tcPr>
          <w:p w14:paraId="0508664C">
            <w:pPr>
              <w:pStyle w:val="12"/>
              <w:jc w:val="left"/>
            </w:pPr>
            <w:r>
              <w:rPr>
                <w:rFonts w:hint="eastAsia"/>
              </w:rPr>
              <w:t>德文裔，明通榜，历新安、合浦教谕，崖州学正，湖南善化、河南获嘉知县，庚子科同考官，旋告归，多厚德</w:t>
            </w:r>
          </w:p>
        </w:tc>
      </w:tr>
      <w:tr w14:paraId="1AAE560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3A8B3E1">
            <w:pPr>
              <w:pStyle w:val="12"/>
              <w:jc w:val="center"/>
            </w:pPr>
          </w:p>
        </w:tc>
        <w:tc>
          <w:tcPr>
            <w:tcW w:w="678" w:type="pct"/>
            <w:vAlign w:val="center"/>
          </w:tcPr>
          <w:p w14:paraId="5BFB97B0">
            <w:pPr>
              <w:pStyle w:val="12"/>
              <w:jc w:val="center"/>
            </w:pPr>
            <w:r>
              <w:rPr>
                <w:rFonts w:hint="eastAsia"/>
              </w:rPr>
              <w:t>黄飞腾</w:t>
            </w:r>
          </w:p>
        </w:tc>
        <w:tc>
          <w:tcPr>
            <w:tcW w:w="872" w:type="pct"/>
            <w:vAlign w:val="center"/>
          </w:tcPr>
          <w:p w14:paraId="4C19F265">
            <w:pPr>
              <w:pStyle w:val="12"/>
              <w:jc w:val="center"/>
            </w:pPr>
            <w:r>
              <w:rPr>
                <w:rFonts w:hint="eastAsia"/>
              </w:rPr>
              <w:t>乾隆庚午</w:t>
            </w:r>
          </w:p>
        </w:tc>
        <w:tc>
          <w:tcPr>
            <w:tcW w:w="2810" w:type="pct"/>
            <w:vAlign w:val="center"/>
          </w:tcPr>
          <w:p w14:paraId="252D079A">
            <w:pPr>
              <w:pStyle w:val="12"/>
              <w:jc w:val="left"/>
            </w:pPr>
          </w:p>
        </w:tc>
      </w:tr>
      <w:tr w14:paraId="136FEF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6C339F4">
            <w:pPr>
              <w:pStyle w:val="12"/>
              <w:jc w:val="center"/>
            </w:pPr>
          </w:p>
        </w:tc>
        <w:tc>
          <w:tcPr>
            <w:tcW w:w="678" w:type="pct"/>
            <w:vAlign w:val="center"/>
          </w:tcPr>
          <w:p w14:paraId="1CDED6F4">
            <w:pPr>
              <w:pStyle w:val="12"/>
              <w:jc w:val="center"/>
            </w:pPr>
            <w:r>
              <w:rPr>
                <w:rFonts w:hint="eastAsia"/>
              </w:rPr>
              <w:t>谭宏通</w:t>
            </w:r>
          </w:p>
        </w:tc>
        <w:tc>
          <w:tcPr>
            <w:tcW w:w="872" w:type="pct"/>
            <w:vAlign w:val="center"/>
          </w:tcPr>
          <w:p w14:paraId="089565C3">
            <w:pPr>
              <w:pStyle w:val="12"/>
              <w:jc w:val="center"/>
            </w:pPr>
          </w:p>
        </w:tc>
        <w:tc>
          <w:tcPr>
            <w:tcW w:w="2810" w:type="pct"/>
            <w:vAlign w:val="center"/>
          </w:tcPr>
          <w:p w14:paraId="4FB8F121">
            <w:pPr>
              <w:pStyle w:val="12"/>
              <w:jc w:val="left"/>
            </w:pPr>
          </w:p>
        </w:tc>
      </w:tr>
      <w:tr w14:paraId="69EFE0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BD2E18B">
            <w:pPr>
              <w:pStyle w:val="12"/>
              <w:jc w:val="center"/>
            </w:pPr>
          </w:p>
        </w:tc>
        <w:tc>
          <w:tcPr>
            <w:tcW w:w="678" w:type="pct"/>
            <w:vAlign w:val="center"/>
          </w:tcPr>
          <w:p w14:paraId="66EFD2A9">
            <w:pPr>
              <w:pStyle w:val="12"/>
              <w:jc w:val="center"/>
            </w:pPr>
            <w:r>
              <w:rPr>
                <w:rFonts w:hint="eastAsia"/>
              </w:rPr>
              <w:t>黄继文</w:t>
            </w:r>
          </w:p>
        </w:tc>
        <w:tc>
          <w:tcPr>
            <w:tcW w:w="872" w:type="pct"/>
            <w:vAlign w:val="center"/>
          </w:tcPr>
          <w:p w14:paraId="0C25A27C">
            <w:pPr>
              <w:pStyle w:val="12"/>
              <w:jc w:val="center"/>
            </w:pPr>
            <w:r>
              <w:rPr>
                <w:rFonts w:hint="eastAsia"/>
              </w:rPr>
              <w:t>乾隆癸酉</w:t>
            </w:r>
          </w:p>
        </w:tc>
        <w:tc>
          <w:tcPr>
            <w:tcW w:w="2810" w:type="pct"/>
            <w:vAlign w:val="center"/>
          </w:tcPr>
          <w:p w14:paraId="3784AF3E">
            <w:pPr>
              <w:pStyle w:val="12"/>
              <w:jc w:val="left"/>
            </w:pPr>
          </w:p>
        </w:tc>
      </w:tr>
      <w:tr w14:paraId="1D0609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579C28B">
            <w:pPr>
              <w:pStyle w:val="12"/>
              <w:jc w:val="center"/>
            </w:pPr>
          </w:p>
        </w:tc>
        <w:tc>
          <w:tcPr>
            <w:tcW w:w="678" w:type="pct"/>
            <w:vAlign w:val="center"/>
          </w:tcPr>
          <w:p w14:paraId="6A8CF010">
            <w:pPr>
              <w:pStyle w:val="12"/>
              <w:jc w:val="center"/>
            </w:pPr>
            <w:r>
              <w:rPr>
                <w:rFonts w:hint="eastAsia"/>
              </w:rPr>
              <w:t>欧阳树</w:t>
            </w:r>
          </w:p>
        </w:tc>
        <w:tc>
          <w:tcPr>
            <w:tcW w:w="872" w:type="pct"/>
            <w:vAlign w:val="center"/>
          </w:tcPr>
          <w:p w14:paraId="2EBD60A6">
            <w:pPr>
              <w:pStyle w:val="12"/>
              <w:jc w:val="center"/>
            </w:pPr>
            <w:r>
              <w:rPr>
                <w:rFonts w:hint="eastAsia"/>
              </w:rPr>
              <w:t>乾隆己卯</w:t>
            </w:r>
          </w:p>
        </w:tc>
        <w:tc>
          <w:tcPr>
            <w:tcW w:w="2810" w:type="pct"/>
            <w:vAlign w:val="center"/>
          </w:tcPr>
          <w:p w14:paraId="129A1698">
            <w:pPr>
              <w:pStyle w:val="12"/>
              <w:jc w:val="left"/>
            </w:pPr>
            <w:r>
              <w:rPr>
                <w:rFonts w:hint="eastAsia"/>
              </w:rPr>
              <w:t>历直隶萧宁、安徽太和、蒙城知县，署江防分府</w:t>
            </w:r>
          </w:p>
        </w:tc>
      </w:tr>
      <w:tr w14:paraId="498301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72A80AC">
            <w:pPr>
              <w:pStyle w:val="12"/>
              <w:jc w:val="center"/>
            </w:pPr>
          </w:p>
        </w:tc>
        <w:tc>
          <w:tcPr>
            <w:tcW w:w="678" w:type="pct"/>
            <w:vAlign w:val="center"/>
          </w:tcPr>
          <w:p w14:paraId="6353167A">
            <w:pPr>
              <w:pStyle w:val="12"/>
              <w:jc w:val="center"/>
            </w:pPr>
            <w:r>
              <w:rPr>
                <w:rFonts w:hint="eastAsia"/>
              </w:rPr>
              <w:t>蔡邦柱</w:t>
            </w:r>
          </w:p>
        </w:tc>
        <w:tc>
          <w:tcPr>
            <w:tcW w:w="872" w:type="pct"/>
            <w:vAlign w:val="center"/>
          </w:tcPr>
          <w:p w14:paraId="128FAD26">
            <w:pPr>
              <w:pStyle w:val="12"/>
              <w:jc w:val="center"/>
            </w:pPr>
            <w:r>
              <w:rPr>
                <w:rFonts w:hint="eastAsia"/>
              </w:rPr>
              <w:t>乾隆庚辰</w:t>
            </w:r>
          </w:p>
        </w:tc>
        <w:tc>
          <w:tcPr>
            <w:tcW w:w="2810" w:type="pct"/>
            <w:vAlign w:val="center"/>
          </w:tcPr>
          <w:p w14:paraId="68704D93">
            <w:pPr>
              <w:pStyle w:val="12"/>
              <w:jc w:val="left"/>
            </w:pPr>
          </w:p>
        </w:tc>
      </w:tr>
      <w:tr w14:paraId="3AEDBA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6AFD892">
            <w:pPr>
              <w:pStyle w:val="12"/>
              <w:jc w:val="center"/>
            </w:pPr>
          </w:p>
        </w:tc>
        <w:tc>
          <w:tcPr>
            <w:tcW w:w="678" w:type="pct"/>
            <w:vAlign w:val="center"/>
          </w:tcPr>
          <w:p w14:paraId="4C6B4F2A">
            <w:pPr>
              <w:pStyle w:val="12"/>
              <w:jc w:val="center"/>
            </w:pPr>
            <w:r>
              <w:rPr>
                <w:rFonts w:hint="eastAsia"/>
              </w:rPr>
              <w:t>邵开照</w:t>
            </w:r>
          </w:p>
        </w:tc>
        <w:tc>
          <w:tcPr>
            <w:tcW w:w="872" w:type="pct"/>
            <w:vAlign w:val="center"/>
          </w:tcPr>
          <w:p w14:paraId="3467ABCD">
            <w:pPr>
              <w:pStyle w:val="12"/>
              <w:jc w:val="center"/>
            </w:pPr>
            <w:r>
              <w:rPr>
                <w:rFonts w:hint="eastAsia"/>
              </w:rPr>
              <w:t>乾隆庚辰</w:t>
            </w:r>
          </w:p>
        </w:tc>
        <w:tc>
          <w:tcPr>
            <w:tcW w:w="2810" w:type="pct"/>
            <w:vAlign w:val="center"/>
          </w:tcPr>
          <w:p w14:paraId="18FF0CE9">
            <w:pPr>
              <w:pStyle w:val="12"/>
              <w:jc w:val="left"/>
            </w:pPr>
          </w:p>
        </w:tc>
      </w:tr>
      <w:tr w14:paraId="08599E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640" w:type="pct"/>
            <w:vMerge w:val="continue"/>
            <w:vAlign w:val="center"/>
          </w:tcPr>
          <w:p w14:paraId="5A63DE27">
            <w:pPr>
              <w:pStyle w:val="12"/>
              <w:jc w:val="center"/>
            </w:pPr>
          </w:p>
        </w:tc>
        <w:tc>
          <w:tcPr>
            <w:tcW w:w="678" w:type="pct"/>
            <w:vAlign w:val="center"/>
          </w:tcPr>
          <w:p w14:paraId="66A84C2F">
            <w:pPr>
              <w:pStyle w:val="12"/>
              <w:jc w:val="center"/>
            </w:pPr>
            <w:r>
              <w:rPr>
                <w:rFonts w:hint="eastAsia"/>
              </w:rPr>
              <w:t>邹本赞</w:t>
            </w:r>
          </w:p>
        </w:tc>
        <w:tc>
          <w:tcPr>
            <w:tcW w:w="872" w:type="pct"/>
            <w:vAlign w:val="center"/>
          </w:tcPr>
          <w:p w14:paraId="7AD01365">
            <w:pPr>
              <w:pStyle w:val="12"/>
              <w:jc w:val="center"/>
            </w:pPr>
            <w:r>
              <w:rPr>
                <w:rFonts w:hint="eastAsia"/>
              </w:rPr>
              <w:t>乾隆戊子</w:t>
            </w:r>
          </w:p>
        </w:tc>
        <w:tc>
          <w:tcPr>
            <w:tcW w:w="2810" w:type="pct"/>
            <w:vAlign w:val="center"/>
          </w:tcPr>
          <w:p w14:paraId="0E0CBE6C">
            <w:pPr>
              <w:pStyle w:val="12"/>
              <w:jc w:val="left"/>
            </w:pPr>
            <w:r>
              <w:rPr>
                <w:rFonts w:hint="eastAsia"/>
              </w:rPr>
              <w:t>有传</w:t>
            </w:r>
          </w:p>
        </w:tc>
      </w:tr>
      <w:tr w14:paraId="55E03B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2101D8CD">
            <w:pPr>
              <w:pStyle w:val="12"/>
              <w:jc w:val="center"/>
            </w:pPr>
          </w:p>
        </w:tc>
        <w:tc>
          <w:tcPr>
            <w:tcW w:w="678" w:type="pct"/>
            <w:vAlign w:val="center"/>
          </w:tcPr>
          <w:p w14:paraId="127C0261">
            <w:pPr>
              <w:pStyle w:val="12"/>
              <w:jc w:val="center"/>
            </w:pPr>
            <w:r>
              <w:rPr>
                <w:rFonts w:hint="eastAsia"/>
              </w:rPr>
              <w:t>王为羲</w:t>
            </w:r>
          </w:p>
        </w:tc>
        <w:tc>
          <w:tcPr>
            <w:tcW w:w="872" w:type="pct"/>
            <w:vAlign w:val="center"/>
          </w:tcPr>
          <w:p w14:paraId="2D8F3492">
            <w:pPr>
              <w:pStyle w:val="12"/>
              <w:jc w:val="center"/>
            </w:pPr>
            <w:r>
              <w:rPr>
                <w:rFonts w:hint="eastAsia"/>
              </w:rPr>
              <w:t>乾隆辛卯</w:t>
            </w:r>
          </w:p>
        </w:tc>
        <w:tc>
          <w:tcPr>
            <w:tcW w:w="2810" w:type="pct"/>
            <w:vAlign w:val="center"/>
          </w:tcPr>
          <w:p w14:paraId="2BA63478">
            <w:pPr>
              <w:pStyle w:val="12"/>
              <w:jc w:val="left"/>
            </w:pPr>
            <w:r>
              <w:rPr>
                <w:rFonts w:hint="eastAsia"/>
              </w:rPr>
              <w:t>任龙川、普宁教谕，惠来训导，直隶灵寿知县</w:t>
            </w:r>
          </w:p>
        </w:tc>
      </w:tr>
      <w:tr w14:paraId="71CA0C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AA03887">
            <w:pPr>
              <w:pStyle w:val="12"/>
              <w:jc w:val="center"/>
            </w:pPr>
          </w:p>
        </w:tc>
        <w:tc>
          <w:tcPr>
            <w:tcW w:w="678" w:type="pct"/>
            <w:vAlign w:val="center"/>
          </w:tcPr>
          <w:p w14:paraId="2FA40CB8">
            <w:pPr>
              <w:pStyle w:val="12"/>
              <w:jc w:val="center"/>
            </w:pPr>
            <w:r>
              <w:rPr>
                <w:rFonts w:hint="eastAsia"/>
              </w:rPr>
              <w:t>刘  权</w:t>
            </w:r>
          </w:p>
        </w:tc>
        <w:tc>
          <w:tcPr>
            <w:tcW w:w="872" w:type="pct"/>
            <w:vAlign w:val="center"/>
          </w:tcPr>
          <w:p w14:paraId="7C777597">
            <w:pPr>
              <w:pStyle w:val="12"/>
              <w:jc w:val="center"/>
            </w:pPr>
            <w:r>
              <w:rPr>
                <w:rFonts w:hint="eastAsia"/>
              </w:rPr>
              <w:t>乾隆甲午</w:t>
            </w:r>
          </w:p>
        </w:tc>
        <w:tc>
          <w:tcPr>
            <w:tcW w:w="2810" w:type="pct"/>
            <w:vAlign w:val="center"/>
          </w:tcPr>
          <w:p w14:paraId="64553632">
            <w:pPr>
              <w:pStyle w:val="12"/>
              <w:jc w:val="left"/>
            </w:pPr>
            <w:r>
              <w:rPr>
                <w:rFonts w:hint="eastAsia"/>
              </w:rPr>
              <w:t>借补直隶长芦兴国盐场大使，有传</w:t>
            </w:r>
          </w:p>
        </w:tc>
      </w:tr>
      <w:tr w14:paraId="3DDFE5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8DAD9C5">
            <w:pPr>
              <w:pStyle w:val="12"/>
              <w:jc w:val="center"/>
            </w:pPr>
          </w:p>
        </w:tc>
        <w:tc>
          <w:tcPr>
            <w:tcW w:w="678" w:type="pct"/>
            <w:vAlign w:val="center"/>
          </w:tcPr>
          <w:p w14:paraId="652EAE94">
            <w:pPr>
              <w:pStyle w:val="12"/>
              <w:jc w:val="center"/>
            </w:pPr>
            <w:r>
              <w:rPr>
                <w:rFonts w:hint="eastAsia"/>
              </w:rPr>
              <w:t>欧阳梧</w:t>
            </w:r>
          </w:p>
        </w:tc>
        <w:tc>
          <w:tcPr>
            <w:tcW w:w="872" w:type="pct"/>
            <w:vAlign w:val="center"/>
          </w:tcPr>
          <w:p w14:paraId="00D149D4">
            <w:pPr>
              <w:pStyle w:val="12"/>
              <w:jc w:val="center"/>
            </w:pPr>
            <w:r>
              <w:rPr>
                <w:rFonts w:hint="eastAsia"/>
              </w:rPr>
              <w:t>乾隆丁酉</w:t>
            </w:r>
          </w:p>
        </w:tc>
        <w:tc>
          <w:tcPr>
            <w:tcW w:w="2810" w:type="pct"/>
            <w:vAlign w:val="center"/>
          </w:tcPr>
          <w:p w14:paraId="239D03F4">
            <w:pPr>
              <w:pStyle w:val="12"/>
              <w:jc w:val="left"/>
            </w:pPr>
            <w:r>
              <w:rPr>
                <w:rFonts w:hint="eastAsia"/>
              </w:rPr>
              <w:t>任吴川教谕</w:t>
            </w:r>
          </w:p>
        </w:tc>
      </w:tr>
      <w:tr w14:paraId="13518D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15FD129">
            <w:pPr>
              <w:pStyle w:val="12"/>
              <w:jc w:val="center"/>
            </w:pPr>
          </w:p>
        </w:tc>
        <w:tc>
          <w:tcPr>
            <w:tcW w:w="678" w:type="pct"/>
            <w:vAlign w:val="center"/>
          </w:tcPr>
          <w:p w14:paraId="4B51E9CD">
            <w:pPr>
              <w:pStyle w:val="12"/>
              <w:jc w:val="center"/>
            </w:pPr>
            <w:r>
              <w:rPr>
                <w:rFonts w:hint="eastAsia"/>
              </w:rPr>
              <w:t>欧阳荫</w:t>
            </w:r>
          </w:p>
        </w:tc>
        <w:tc>
          <w:tcPr>
            <w:tcW w:w="872" w:type="pct"/>
            <w:vAlign w:val="center"/>
          </w:tcPr>
          <w:p w14:paraId="6E82EC3B">
            <w:pPr>
              <w:pStyle w:val="12"/>
              <w:jc w:val="center"/>
            </w:pPr>
            <w:r>
              <w:rPr>
                <w:rFonts w:hint="eastAsia"/>
              </w:rPr>
              <w:t>乾隆癸卯</w:t>
            </w:r>
          </w:p>
        </w:tc>
        <w:tc>
          <w:tcPr>
            <w:tcW w:w="2810" w:type="pct"/>
            <w:vAlign w:val="center"/>
          </w:tcPr>
          <w:p w14:paraId="2D504817">
            <w:pPr>
              <w:pStyle w:val="12"/>
              <w:jc w:val="left"/>
            </w:pPr>
            <w:r>
              <w:rPr>
                <w:rFonts w:hint="eastAsia"/>
              </w:rPr>
              <w:t>历任中城兵马司指挥，有传</w:t>
            </w:r>
          </w:p>
        </w:tc>
      </w:tr>
      <w:tr w14:paraId="771FD2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B3CB94D">
            <w:pPr>
              <w:pStyle w:val="12"/>
              <w:jc w:val="center"/>
            </w:pPr>
          </w:p>
        </w:tc>
        <w:tc>
          <w:tcPr>
            <w:tcW w:w="678" w:type="pct"/>
            <w:vAlign w:val="center"/>
          </w:tcPr>
          <w:p w14:paraId="336E940C">
            <w:pPr>
              <w:pStyle w:val="12"/>
              <w:jc w:val="center"/>
            </w:pPr>
            <w:r>
              <w:rPr>
                <w:rFonts w:hint="eastAsia"/>
              </w:rPr>
              <w:t>欧阳彬</w:t>
            </w:r>
          </w:p>
        </w:tc>
        <w:tc>
          <w:tcPr>
            <w:tcW w:w="872" w:type="pct"/>
            <w:vAlign w:val="center"/>
          </w:tcPr>
          <w:p w14:paraId="650F306E">
            <w:pPr>
              <w:pStyle w:val="12"/>
              <w:jc w:val="center"/>
            </w:pPr>
            <w:r>
              <w:rPr>
                <w:rFonts w:hint="eastAsia"/>
              </w:rPr>
              <w:t>乾隆己酉</w:t>
            </w:r>
          </w:p>
        </w:tc>
        <w:tc>
          <w:tcPr>
            <w:tcW w:w="2810" w:type="pct"/>
            <w:vAlign w:val="center"/>
          </w:tcPr>
          <w:p w14:paraId="0F0B0100">
            <w:pPr>
              <w:pStyle w:val="12"/>
              <w:jc w:val="left"/>
            </w:pPr>
            <w:r>
              <w:rPr>
                <w:rFonts w:hint="eastAsia"/>
              </w:rPr>
              <w:t>广西贺县知县</w:t>
            </w:r>
          </w:p>
        </w:tc>
      </w:tr>
      <w:tr w14:paraId="6DDF4D9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FA14FC5">
            <w:pPr>
              <w:pStyle w:val="12"/>
              <w:jc w:val="center"/>
            </w:pPr>
          </w:p>
        </w:tc>
        <w:tc>
          <w:tcPr>
            <w:tcW w:w="678" w:type="pct"/>
            <w:vAlign w:val="center"/>
          </w:tcPr>
          <w:p w14:paraId="11970F2A">
            <w:pPr>
              <w:pStyle w:val="12"/>
              <w:jc w:val="center"/>
            </w:pPr>
            <w:r>
              <w:rPr>
                <w:rFonts w:hint="eastAsia"/>
              </w:rPr>
              <w:t>黄履青</w:t>
            </w:r>
          </w:p>
        </w:tc>
        <w:tc>
          <w:tcPr>
            <w:tcW w:w="872" w:type="pct"/>
            <w:vAlign w:val="center"/>
          </w:tcPr>
          <w:p w14:paraId="1F588D6E">
            <w:pPr>
              <w:pStyle w:val="12"/>
              <w:jc w:val="center"/>
            </w:pPr>
          </w:p>
        </w:tc>
        <w:tc>
          <w:tcPr>
            <w:tcW w:w="2810" w:type="pct"/>
            <w:vAlign w:val="center"/>
          </w:tcPr>
          <w:p w14:paraId="5B2F70FA">
            <w:pPr>
              <w:pStyle w:val="12"/>
              <w:jc w:val="left"/>
            </w:pPr>
          </w:p>
        </w:tc>
      </w:tr>
      <w:tr w14:paraId="5883A8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25CFF2C">
            <w:pPr>
              <w:pStyle w:val="12"/>
              <w:jc w:val="center"/>
            </w:pPr>
          </w:p>
        </w:tc>
        <w:tc>
          <w:tcPr>
            <w:tcW w:w="678" w:type="pct"/>
            <w:vAlign w:val="center"/>
          </w:tcPr>
          <w:p w14:paraId="28DFAC3D">
            <w:pPr>
              <w:pStyle w:val="12"/>
              <w:jc w:val="center"/>
            </w:pPr>
            <w:r>
              <w:rPr>
                <w:rFonts w:hint="eastAsia"/>
              </w:rPr>
              <w:t>欧焕云</w:t>
            </w:r>
          </w:p>
        </w:tc>
        <w:tc>
          <w:tcPr>
            <w:tcW w:w="872" w:type="pct"/>
            <w:vAlign w:val="center"/>
          </w:tcPr>
          <w:p w14:paraId="1EA79CA2">
            <w:pPr>
              <w:pStyle w:val="12"/>
              <w:jc w:val="center"/>
            </w:pPr>
            <w:r>
              <w:rPr>
                <w:rFonts w:hint="eastAsia"/>
              </w:rPr>
              <w:t>乾隆乙卯</w:t>
            </w:r>
          </w:p>
        </w:tc>
        <w:tc>
          <w:tcPr>
            <w:tcW w:w="2810" w:type="pct"/>
            <w:vAlign w:val="center"/>
          </w:tcPr>
          <w:p w14:paraId="74BF28BF">
            <w:pPr>
              <w:pStyle w:val="12"/>
              <w:jc w:val="left"/>
            </w:pPr>
            <w:r>
              <w:rPr>
                <w:rFonts w:hint="eastAsia"/>
              </w:rPr>
              <w:t>有传</w:t>
            </w:r>
          </w:p>
        </w:tc>
      </w:tr>
      <w:tr w14:paraId="538448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640" w:type="pct"/>
            <w:vMerge w:val="continue"/>
            <w:vAlign w:val="center"/>
          </w:tcPr>
          <w:p w14:paraId="3C27462B">
            <w:pPr>
              <w:pStyle w:val="12"/>
              <w:jc w:val="center"/>
            </w:pPr>
          </w:p>
        </w:tc>
        <w:tc>
          <w:tcPr>
            <w:tcW w:w="678" w:type="pct"/>
            <w:vAlign w:val="center"/>
          </w:tcPr>
          <w:p w14:paraId="6650C028">
            <w:pPr>
              <w:pStyle w:val="12"/>
              <w:jc w:val="center"/>
            </w:pPr>
            <w:r>
              <w:rPr>
                <w:rFonts w:hint="eastAsia"/>
              </w:rPr>
              <w:t>邱学琼</w:t>
            </w:r>
          </w:p>
        </w:tc>
        <w:tc>
          <w:tcPr>
            <w:tcW w:w="872" w:type="pct"/>
            <w:vAlign w:val="center"/>
          </w:tcPr>
          <w:p w14:paraId="182E549B">
            <w:pPr>
              <w:pStyle w:val="12"/>
              <w:jc w:val="center"/>
            </w:pPr>
            <w:r>
              <w:rPr>
                <w:rFonts w:hint="eastAsia"/>
              </w:rPr>
              <w:t>嘉庆丙子</w:t>
            </w:r>
          </w:p>
        </w:tc>
        <w:tc>
          <w:tcPr>
            <w:tcW w:w="2810" w:type="pct"/>
            <w:vAlign w:val="center"/>
          </w:tcPr>
          <w:p w14:paraId="5A059739">
            <w:pPr>
              <w:pStyle w:val="12"/>
              <w:jc w:val="left"/>
            </w:pPr>
          </w:p>
        </w:tc>
      </w:tr>
      <w:tr w14:paraId="0F265D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406B8DA">
            <w:pPr>
              <w:pStyle w:val="12"/>
              <w:jc w:val="center"/>
            </w:pPr>
          </w:p>
        </w:tc>
        <w:tc>
          <w:tcPr>
            <w:tcW w:w="678" w:type="pct"/>
            <w:vAlign w:val="center"/>
          </w:tcPr>
          <w:p w14:paraId="7D7C52F4">
            <w:pPr>
              <w:pStyle w:val="12"/>
              <w:jc w:val="center"/>
            </w:pPr>
            <w:r>
              <w:rPr>
                <w:rFonts w:hint="eastAsia"/>
              </w:rPr>
              <w:t>何  金</w:t>
            </w:r>
          </w:p>
        </w:tc>
        <w:tc>
          <w:tcPr>
            <w:tcW w:w="872" w:type="pct"/>
            <w:vAlign w:val="center"/>
          </w:tcPr>
          <w:p w14:paraId="53386E6A">
            <w:pPr>
              <w:pStyle w:val="12"/>
              <w:jc w:val="center"/>
            </w:pPr>
            <w:r>
              <w:rPr>
                <w:rFonts w:hint="eastAsia"/>
              </w:rPr>
              <w:t>嘉庆己卯</w:t>
            </w:r>
          </w:p>
        </w:tc>
        <w:tc>
          <w:tcPr>
            <w:tcW w:w="2810" w:type="pct"/>
            <w:vAlign w:val="center"/>
          </w:tcPr>
          <w:p w14:paraId="0FD5C759">
            <w:pPr>
              <w:pStyle w:val="12"/>
              <w:jc w:val="left"/>
            </w:pPr>
          </w:p>
        </w:tc>
      </w:tr>
      <w:tr w14:paraId="24018E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9CC0B22">
            <w:pPr>
              <w:pStyle w:val="12"/>
              <w:jc w:val="center"/>
            </w:pPr>
          </w:p>
        </w:tc>
        <w:tc>
          <w:tcPr>
            <w:tcW w:w="678" w:type="pct"/>
            <w:vAlign w:val="center"/>
          </w:tcPr>
          <w:p w14:paraId="38B4456F">
            <w:pPr>
              <w:pStyle w:val="12"/>
              <w:jc w:val="center"/>
            </w:pPr>
            <w:r>
              <w:rPr>
                <w:rFonts w:hint="eastAsia"/>
              </w:rPr>
              <w:t>孔宪淳</w:t>
            </w:r>
          </w:p>
        </w:tc>
        <w:tc>
          <w:tcPr>
            <w:tcW w:w="872" w:type="pct"/>
            <w:vAlign w:val="center"/>
          </w:tcPr>
          <w:p w14:paraId="6F26257B">
            <w:pPr>
              <w:pStyle w:val="12"/>
              <w:jc w:val="center"/>
            </w:pPr>
            <w:r>
              <w:rPr>
                <w:rFonts w:hint="eastAsia"/>
              </w:rPr>
              <w:t>嘉庆己卯</w:t>
            </w:r>
          </w:p>
        </w:tc>
        <w:tc>
          <w:tcPr>
            <w:tcW w:w="2810" w:type="pct"/>
            <w:vAlign w:val="center"/>
          </w:tcPr>
          <w:p w14:paraId="3EA99AF2">
            <w:pPr>
              <w:pStyle w:val="12"/>
              <w:jc w:val="left"/>
            </w:pPr>
          </w:p>
        </w:tc>
      </w:tr>
      <w:tr w14:paraId="2D5022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73B0C73">
            <w:pPr>
              <w:pStyle w:val="12"/>
              <w:jc w:val="center"/>
            </w:pPr>
          </w:p>
        </w:tc>
        <w:tc>
          <w:tcPr>
            <w:tcW w:w="678" w:type="pct"/>
            <w:vAlign w:val="center"/>
          </w:tcPr>
          <w:p w14:paraId="5149C30D">
            <w:pPr>
              <w:pStyle w:val="12"/>
              <w:jc w:val="center"/>
            </w:pPr>
            <w:r>
              <w:rPr>
                <w:rFonts w:hint="eastAsia"/>
              </w:rPr>
              <w:t>麦烈芳</w:t>
            </w:r>
          </w:p>
        </w:tc>
        <w:tc>
          <w:tcPr>
            <w:tcW w:w="872" w:type="pct"/>
            <w:vAlign w:val="center"/>
          </w:tcPr>
          <w:p w14:paraId="6FD7522C">
            <w:pPr>
              <w:pStyle w:val="12"/>
              <w:jc w:val="center"/>
            </w:pPr>
            <w:r>
              <w:rPr>
                <w:rFonts w:hint="eastAsia"/>
              </w:rPr>
              <w:t>道光末年</w:t>
            </w:r>
          </w:p>
        </w:tc>
        <w:tc>
          <w:tcPr>
            <w:tcW w:w="2810" w:type="pct"/>
            <w:vAlign w:val="center"/>
          </w:tcPr>
          <w:p w14:paraId="14975CF2">
            <w:pPr>
              <w:pStyle w:val="12"/>
              <w:jc w:val="left"/>
            </w:pPr>
          </w:p>
        </w:tc>
      </w:tr>
      <w:tr w14:paraId="153DB5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8E6B11D">
            <w:pPr>
              <w:pStyle w:val="12"/>
              <w:jc w:val="center"/>
            </w:pPr>
          </w:p>
        </w:tc>
        <w:tc>
          <w:tcPr>
            <w:tcW w:w="678" w:type="pct"/>
            <w:vAlign w:val="center"/>
          </w:tcPr>
          <w:p w14:paraId="070A7BCE">
            <w:pPr>
              <w:pStyle w:val="12"/>
              <w:jc w:val="center"/>
            </w:pPr>
            <w:r>
              <w:rPr>
                <w:rFonts w:hint="eastAsia"/>
              </w:rPr>
              <w:t>胡日初</w:t>
            </w:r>
          </w:p>
        </w:tc>
        <w:tc>
          <w:tcPr>
            <w:tcW w:w="872" w:type="pct"/>
            <w:vAlign w:val="center"/>
          </w:tcPr>
          <w:p w14:paraId="4CFEDD67">
            <w:pPr>
              <w:pStyle w:val="12"/>
              <w:jc w:val="center"/>
            </w:pPr>
            <w:r>
              <w:rPr>
                <w:rFonts w:hint="eastAsia"/>
              </w:rPr>
              <w:t>咸丰六年</w:t>
            </w:r>
          </w:p>
        </w:tc>
        <w:tc>
          <w:tcPr>
            <w:tcW w:w="2810" w:type="pct"/>
            <w:vAlign w:val="center"/>
          </w:tcPr>
          <w:p w14:paraId="454EA78F">
            <w:pPr>
              <w:pStyle w:val="12"/>
              <w:jc w:val="left"/>
            </w:pPr>
            <w:r>
              <w:rPr>
                <w:rFonts w:hint="eastAsia"/>
              </w:rPr>
              <w:t>历署福建省分巡兵备道，候选盐运司，有传</w:t>
            </w:r>
          </w:p>
        </w:tc>
      </w:tr>
      <w:tr w14:paraId="333589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585539E">
            <w:pPr>
              <w:pStyle w:val="12"/>
              <w:jc w:val="center"/>
            </w:pPr>
          </w:p>
        </w:tc>
        <w:tc>
          <w:tcPr>
            <w:tcW w:w="678" w:type="pct"/>
            <w:vAlign w:val="center"/>
          </w:tcPr>
          <w:p w14:paraId="571902C4">
            <w:pPr>
              <w:pStyle w:val="12"/>
              <w:jc w:val="center"/>
            </w:pPr>
            <w:r>
              <w:rPr>
                <w:rFonts w:hint="eastAsia"/>
              </w:rPr>
              <w:t>莫开瑶</w:t>
            </w:r>
          </w:p>
        </w:tc>
        <w:tc>
          <w:tcPr>
            <w:tcW w:w="872" w:type="pct"/>
            <w:vAlign w:val="center"/>
          </w:tcPr>
          <w:p w14:paraId="730D3355">
            <w:pPr>
              <w:pStyle w:val="12"/>
              <w:jc w:val="center"/>
            </w:pPr>
            <w:r>
              <w:rPr>
                <w:rFonts w:hint="eastAsia"/>
              </w:rPr>
              <w:t>光绪癸卯</w:t>
            </w:r>
          </w:p>
        </w:tc>
        <w:tc>
          <w:tcPr>
            <w:tcW w:w="2810" w:type="pct"/>
            <w:vAlign w:val="center"/>
          </w:tcPr>
          <w:p w14:paraId="6CC33199">
            <w:pPr>
              <w:pStyle w:val="12"/>
              <w:jc w:val="left"/>
            </w:pPr>
            <w:r>
              <w:rPr>
                <w:rFonts w:hint="eastAsia"/>
              </w:rPr>
              <w:t>选两淮盐大使，历任审计院协审官，署南雄县长</w:t>
            </w:r>
          </w:p>
        </w:tc>
      </w:tr>
      <w:tr w14:paraId="74A060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F5C9A82">
            <w:pPr>
              <w:pStyle w:val="12"/>
              <w:jc w:val="center"/>
            </w:pPr>
          </w:p>
        </w:tc>
        <w:tc>
          <w:tcPr>
            <w:tcW w:w="678" w:type="pct"/>
            <w:vAlign w:val="center"/>
          </w:tcPr>
          <w:p w14:paraId="32048F1E">
            <w:pPr>
              <w:pStyle w:val="12"/>
              <w:jc w:val="center"/>
            </w:pPr>
            <w:r>
              <w:rPr>
                <w:rFonts w:hint="eastAsia"/>
              </w:rPr>
              <w:t>武  举</w:t>
            </w:r>
          </w:p>
        </w:tc>
        <w:tc>
          <w:tcPr>
            <w:tcW w:w="872" w:type="pct"/>
            <w:vAlign w:val="center"/>
          </w:tcPr>
          <w:p w14:paraId="790C52CC">
            <w:pPr>
              <w:pStyle w:val="12"/>
              <w:jc w:val="center"/>
            </w:pPr>
            <w:r>
              <w:rPr>
                <w:rFonts w:hint="eastAsia"/>
              </w:rPr>
              <w:t>沈  枋</w:t>
            </w:r>
          </w:p>
        </w:tc>
        <w:tc>
          <w:tcPr>
            <w:tcW w:w="2810" w:type="pct"/>
            <w:vAlign w:val="center"/>
          </w:tcPr>
          <w:p w14:paraId="58E74A2A">
            <w:pPr>
              <w:pStyle w:val="12"/>
              <w:jc w:val="left"/>
            </w:pPr>
            <w:r>
              <w:rPr>
                <w:rFonts w:hint="eastAsia"/>
              </w:rPr>
              <w:t>康熙己卯</w:t>
            </w:r>
          </w:p>
        </w:tc>
      </w:tr>
      <w:tr w14:paraId="7D9C09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EF48DCA">
            <w:pPr>
              <w:pStyle w:val="12"/>
              <w:jc w:val="center"/>
            </w:pPr>
          </w:p>
        </w:tc>
        <w:tc>
          <w:tcPr>
            <w:tcW w:w="678" w:type="pct"/>
            <w:vAlign w:val="center"/>
          </w:tcPr>
          <w:p w14:paraId="20E9248C">
            <w:pPr>
              <w:pStyle w:val="12"/>
              <w:jc w:val="center"/>
            </w:pPr>
            <w:r>
              <w:rPr>
                <w:rFonts w:hint="eastAsia"/>
              </w:rPr>
              <w:t>黄日泰</w:t>
            </w:r>
          </w:p>
        </w:tc>
        <w:tc>
          <w:tcPr>
            <w:tcW w:w="872" w:type="pct"/>
            <w:vAlign w:val="center"/>
          </w:tcPr>
          <w:p w14:paraId="5D444B5D">
            <w:pPr>
              <w:pStyle w:val="12"/>
              <w:jc w:val="center"/>
            </w:pPr>
            <w:r>
              <w:rPr>
                <w:rFonts w:hint="eastAsia"/>
              </w:rPr>
              <w:t>康熙丁卯</w:t>
            </w:r>
          </w:p>
        </w:tc>
        <w:tc>
          <w:tcPr>
            <w:tcW w:w="2810" w:type="pct"/>
            <w:vAlign w:val="center"/>
          </w:tcPr>
          <w:p w14:paraId="6E8709D5">
            <w:pPr>
              <w:pStyle w:val="12"/>
              <w:jc w:val="left"/>
            </w:pPr>
            <w:r>
              <w:rPr>
                <w:rFonts w:hint="eastAsia"/>
              </w:rPr>
              <w:t>泷头人，候选守备</w:t>
            </w:r>
          </w:p>
        </w:tc>
      </w:tr>
      <w:tr w14:paraId="3C7801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C10725E">
            <w:pPr>
              <w:pStyle w:val="12"/>
              <w:jc w:val="center"/>
            </w:pPr>
          </w:p>
        </w:tc>
        <w:tc>
          <w:tcPr>
            <w:tcW w:w="678" w:type="pct"/>
            <w:vAlign w:val="center"/>
          </w:tcPr>
          <w:p w14:paraId="57A780EA">
            <w:pPr>
              <w:pStyle w:val="12"/>
              <w:jc w:val="center"/>
            </w:pPr>
            <w:r>
              <w:rPr>
                <w:rFonts w:hint="eastAsia"/>
              </w:rPr>
              <w:t>曾绍点</w:t>
            </w:r>
          </w:p>
        </w:tc>
        <w:tc>
          <w:tcPr>
            <w:tcW w:w="872" w:type="pct"/>
            <w:vAlign w:val="center"/>
          </w:tcPr>
          <w:p w14:paraId="6131F3A2">
            <w:pPr>
              <w:pStyle w:val="12"/>
              <w:jc w:val="center"/>
            </w:pPr>
            <w:r>
              <w:rPr>
                <w:rFonts w:hint="eastAsia"/>
              </w:rPr>
              <w:t>康熙丁卯</w:t>
            </w:r>
          </w:p>
        </w:tc>
        <w:tc>
          <w:tcPr>
            <w:tcW w:w="2810" w:type="pct"/>
            <w:vAlign w:val="center"/>
          </w:tcPr>
          <w:p w14:paraId="388BE486">
            <w:pPr>
              <w:pStyle w:val="12"/>
              <w:jc w:val="left"/>
            </w:pPr>
          </w:p>
        </w:tc>
      </w:tr>
      <w:tr w14:paraId="1DBBAC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6CA92B4">
            <w:pPr>
              <w:pStyle w:val="12"/>
              <w:jc w:val="center"/>
            </w:pPr>
          </w:p>
        </w:tc>
        <w:tc>
          <w:tcPr>
            <w:tcW w:w="678" w:type="pct"/>
            <w:vAlign w:val="center"/>
          </w:tcPr>
          <w:p w14:paraId="6B83D138">
            <w:pPr>
              <w:pStyle w:val="12"/>
              <w:jc w:val="center"/>
            </w:pPr>
            <w:r>
              <w:rPr>
                <w:rFonts w:hint="eastAsia"/>
              </w:rPr>
              <w:t>李  瑛</w:t>
            </w:r>
          </w:p>
        </w:tc>
        <w:tc>
          <w:tcPr>
            <w:tcW w:w="872" w:type="pct"/>
            <w:vAlign w:val="center"/>
          </w:tcPr>
          <w:p w14:paraId="66EAB13B">
            <w:pPr>
              <w:pStyle w:val="12"/>
              <w:jc w:val="center"/>
            </w:pPr>
            <w:r>
              <w:rPr>
                <w:rFonts w:hint="eastAsia"/>
              </w:rPr>
              <w:t>康熙癸酉</w:t>
            </w:r>
          </w:p>
        </w:tc>
        <w:tc>
          <w:tcPr>
            <w:tcW w:w="2810" w:type="pct"/>
            <w:vAlign w:val="center"/>
          </w:tcPr>
          <w:p w14:paraId="27131D1C">
            <w:pPr>
              <w:pStyle w:val="12"/>
              <w:jc w:val="left"/>
            </w:pPr>
          </w:p>
        </w:tc>
      </w:tr>
      <w:tr w14:paraId="44D4C4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3743DFE">
            <w:pPr>
              <w:pStyle w:val="12"/>
              <w:jc w:val="center"/>
            </w:pPr>
          </w:p>
        </w:tc>
        <w:tc>
          <w:tcPr>
            <w:tcW w:w="678" w:type="pct"/>
            <w:vAlign w:val="center"/>
          </w:tcPr>
          <w:p w14:paraId="272FD4EB">
            <w:pPr>
              <w:pStyle w:val="12"/>
              <w:jc w:val="center"/>
            </w:pPr>
            <w:r>
              <w:rPr>
                <w:rFonts w:hint="eastAsia"/>
              </w:rPr>
              <w:t>唐士盛</w:t>
            </w:r>
          </w:p>
        </w:tc>
        <w:tc>
          <w:tcPr>
            <w:tcW w:w="872" w:type="pct"/>
            <w:vAlign w:val="center"/>
          </w:tcPr>
          <w:p w14:paraId="7F70779F">
            <w:pPr>
              <w:pStyle w:val="12"/>
              <w:jc w:val="center"/>
            </w:pPr>
            <w:r>
              <w:rPr>
                <w:rFonts w:hint="eastAsia"/>
              </w:rPr>
              <w:t>康熙丙子</w:t>
            </w:r>
          </w:p>
        </w:tc>
        <w:tc>
          <w:tcPr>
            <w:tcW w:w="2810" w:type="pct"/>
            <w:vAlign w:val="center"/>
          </w:tcPr>
          <w:p w14:paraId="4F3B8D89">
            <w:pPr>
              <w:pStyle w:val="12"/>
              <w:jc w:val="left"/>
            </w:pPr>
          </w:p>
        </w:tc>
      </w:tr>
      <w:tr w14:paraId="6F56B0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81B0C96">
            <w:pPr>
              <w:pStyle w:val="12"/>
              <w:jc w:val="center"/>
            </w:pPr>
          </w:p>
        </w:tc>
        <w:tc>
          <w:tcPr>
            <w:tcW w:w="678" w:type="pct"/>
            <w:vAlign w:val="center"/>
          </w:tcPr>
          <w:p w14:paraId="62943067">
            <w:pPr>
              <w:pStyle w:val="12"/>
              <w:jc w:val="center"/>
            </w:pPr>
            <w:r>
              <w:rPr>
                <w:rFonts w:hint="eastAsia"/>
              </w:rPr>
              <w:t>邓  鹏</w:t>
            </w:r>
          </w:p>
        </w:tc>
        <w:tc>
          <w:tcPr>
            <w:tcW w:w="872" w:type="pct"/>
            <w:vAlign w:val="center"/>
          </w:tcPr>
          <w:p w14:paraId="33F8993D">
            <w:pPr>
              <w:pStyle w:val="12"/>
              <w:jc w:val="center"/>
            </w:pPr>
            <w:r>
              <w:rPr>
                <w:rFonts w:hint="eastAsia"/>
              </w:rPr>
              <w:t>康熙己卯</w:t>
            </w:r>
          </w:p>
        </w:tc>
        <w:tc>
          <w:tcPr>
            <w:tcW w:w="2810" w:type="pct"/>
            <w:vAlign w:val="center"/>
          </w:tcPr>
          <w:p w14:paraId="7002EE3F">
            <w:pPr>
              <w:pStyle w:val="12"/>
              <w:jc w:val="left"/>
            </w:pPr>
          </w:p>
        </w:tc>
      </w:tr>
      <w:tr w14:paraId="7C95B8F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1002C926">
            <w:pPr>
              <w:pStyle w:val="12"/>
              <w:jc w:val="center"/>
            </w:pPr>
          </w:p>
        </w:tc>
        <w:tc>
          <w:tcPr>
            <w:tcW w:w="678" w:type="pct"/>
            <w:vAlign w:val="center"/>
          </w:tcPr>
          <w:p w14:paraId="669AA59E">
            <w:pPr>
              <w:pStyle w:val="12"/>
              <w:jc w:val="center"/>
            </w:pPr>
            <w:r>
              <w:rPr>
                <w:rFonts w:hint="eastAsia"/>
              </w:rPr>
              <w:t>王者榆</w:t>
            </w:r>
          </w:p>
        </w:tc>
        <w:tc>
          <w:tcPr>
            <w:tcW w:w="872" w:type="pct"/>
            <w:vAlign w:val="center"/>
          </w:tcPr>
          <w:p w14:paraId="4BDDA48C">
            <w:pPr>
              <w:pStyle w:val="12"/>
              <w:jc w:val="center"/>
            </w:pPr>
            <w:r>
              <w:rPr>
                <w:rFonts w:hint="eastAsia"/>
              </w:rPr>
              <w:t>康熙壬午</w:t>
            </w:r>
          </w:p>
        </w:tc>
        <w:tc>
          <w:tcPr>
            <w:tcW w:w="2810" w:type="pct"/>
            <w:vAlign w:val="center"/>
          </w:tcPr>
          <w:p w14:paraId="68D9D415">
            <w:pPr>
              <w:pStyle w:val="12"/>
              <w:jc w:val="left"/>
            </w:pPr>
          </w:p>
        </w:tc>
      </w:tr>
      <w:tr w14:paraId="0A399FE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735EF939">
            <w:pPr>
              <w:pStyle w:val="12"/>
              <w:jc w:val="center"/>
            </w:pPr>
          </w:p>
        </w:tc>
        <w:tc>
          <w:tcPr>
            <w:tcW w:w="678" w:type="pct"/>
            <w:vAlign w:val="center"/>
          </w:tcPr>
          <w:p w14:paraId="74AAF741">
            <w:pPr>
              <w:pStyle w:val="12"/>
              <w:jc w:val="center"/>
            </w:pPr>
            <w:r>
              <w:rPr>
                <w:rFonts w:hint="eastAsia"/>
              </w:rPr>
              <w:t>刘  涵</w:t>
            </w:r>
          </w:p>
        </w:tc>
        <w:tc>
          <w:tcPr>
            <w:tcW w:w="872" w:type="pct"/>
            <w:vAlign w:val="center"/>
          </w:tcPr>
          <w:p w14:paraId="603B18E5">
            <w:pPr>
              <w:pStyle w:val="12"/>
              <w:jc w:val="center"/>
            </w:pPr>
            <w:r>
              <w:rPr>
                <w:rFonts w:hint="eastAsia"/>
              </w:rPr>
              <w:t>康熙戊子</w:t>
            </w:r>
          </w:p>
        </w:tc>
        <w:tc>
          <w:tcPr>
            <w:tcW w:w="2810" w:type="pct"/>
            <w:vAlign w:val="center"/>
          </w:tcPr>
          <w:p w14:paraId="19B4600E">
            <w:pPr>
              <w:pStyle w:val="12"/>
              <w:jc w:val="left"/>
            </w:pPr>
            <w:r>
              <w:rPr>
                <w:rFonts w:hint="eastAsia"/>
              </w:rPr>
              <w:t>历广东提标游击署参将</w:t>
            </w:r>
          </w:p>
        </w:tc>
      </w:tr>
      <w:tr w14:paraId="5A2995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A41BEDD">
            <w:pPr>
              <w:pStyle w:val="12"/>
              <w:jc w:val="center"/>
            </w:pPr>
          </w:p>
        </w:tc>
        <w:tc>
          <w:tcPr>
            <w:tcW w:w="678" w:type="pct"/>
            <w:vAlign w:val="center"/>
          </w:tcPr>
          <w:p w14:paraId="5E4343DE">
            <w:pPr>
              <w:pStyle w:val="12"/>
              <w:jc w:val="center"/>
            </w:pPr>
            <w:r>
              <w:rPr>
                <w:rFonts w:hint="eastAsia"/>
              </w:rPr>
              <w:t>陈上达</w:t>
            </w:r>
          </w:p>
        </w:tc>
        <w:tc>
          <w:tcPr>
            <w:tcW w:w="872" w:type="pct"/>
            <w:vAlign w:val="center"/>
          </w:tcPr>
          <w:p w14:paraId="280CFD77">
            <w:pPr>
              <w:pStyle w:val="12"/>
              <w:jc w:val="center"/>
            </w:pPr>
            <w:r>
              <w:rPr>
                <w:rFonts w:hint="eastAsia"/>
              </w:rPr>
              <w:t>雍正甲辰</w:t>
            </w:r>
          </w:p>
        </w:tc>
        <w:tc>
          <w:tcPr>
            <w:tcW w:w="2810" w:type="pct"/>
            <w:vAlign w:val="center"/>
          </w:tcPr>
          <w:p w14:paraId="682F804B">
            <w:pPr>
              <w:pStyle w:val="12"/>
              <w:jc w:val="left"/>
            </w:pPr>
          </w:p>
        </w:tc>
      </w:tr>
      <w:tr w14:paraId="4554E1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578F8336">
            <w:pPr>
              <w:pStyle w:val="12"/>
              <w:jc w:val="center"/>
            </w:pPr>
          </w:p>
        </w:tc>
        <w:tc>
          <w:tcPr>
            <w:tcW w:w="678" w:type="pct"/>
            <w:vAlign w:val="center"/>
          </w:tcPr>
          <w:p w14:paraId="29511B0D">
            <w:pPr>
              <w:pStyle w:val="12"/>
              <w:jc w:val="center"/>
            </w:pPr>
            <w:r>
              <w:rPr>
                <w:rFonts w:hint="eastAsia"/>
              </w:rPr>
              <w:t>许瑞章</w:t>
            </w:r>
          </w:p>
        </w:tc>
        <w:tc>
          <w:tcPr>
            <w:tcW w:w="872" w:type="pct"/>
            <w:vAlign w:val="center"/>
          </w:tcPr>
          <w:p w14:paraId="0BECDE2E">
            <w:pPr>
              <w:pStyle w:val="12"/>
              <w:jc w:val="center"/>
            </w:pPr>
            <w:r>
              <w:rPr>
                <w:rFonts w:hint="eastAsia"/>
              </w:rPr>
              <w:t>乾隆戊午</w:t>
            </w:r>
          </w:p>
        </w:tc>
        <w:tc>
          <w:tcPr>
            <w:tcW w:w="2810" w:type="pct"/>
            <w:vAlign w:val="center"/>
          </w:tcPr>
          <w:p w14:paraId="55EAC3C5">
            <w:pPr>
              <w:pStyle w:val="12"/>
              <w:jc w:val="left"/>
            </w:pPr>
            <w:r>
              <w:rPr>
                <w:rFonts w:hint="eastAsia"/>
              </w:rPr>
              <w:t>抚标马兵</w:t>
            </w:r>
          </w:p>
        </w:tc>
      </w:tr>
      <w:tr w14:paraId="3C6B81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6F2A0E16">
            <w:pPr>
              <w:pStyle w:val="12"/>
              <w:jc w:val="center"/>
            </w:pPr>
          </w:p>
        </w:tc>
        <w:tc>
          <w:tcPr>
            <w:tcW w:w="678" w:type="pct"/>
            <w:vAlign w:val="center"/>
          </w:tcPr>
          <w:p w14:paraId="5CAAE257">
            <w:pPr>
              <w:pStyle w:val="12"/>
              <w:jc w:val="center"/>
            </w:pPr>
            <w:r>
              <w:rPr>
                <w:rFonts w:hint="eastAsia"/>
              </w:rPr>
              <w:t>邓志堂</w:t>
            </w:r>
          </w:p>
        </w:tc>
        <w:tc>
          <w:tcPr>
            <w:tcW w:w="872" w:type="pct"/>
            <w:vAlign w:val="center"/>
          </w:tcPr>
          <w:p w14:paraId="01E37246">
            <w:pPr>
              <w:pStyle w:val="12"/>
              <w:jc w:val="center"/>
            </w:pPr>
            <w:r>
              <w:rPr>
                <w:rFonts w:hint="eastAsia"/>
              </w:rPr>
              <w:t>乾隆戊午</w:t>
            </w:r>
          </w:p>
        </w:tc>
        <w:tc>
          <w:tcPr>
            <w:tcW w:w="2810" w:type="pct"/>
            <w:vAlign w:val="center"/>
          </w:tcPr>
          <w:p w14:paraId="63DAC4C2">
            <w:pPr>
              <w:pStyle w:val="12"/>
              <w:jc w:val="left"/>
            </w:pPr>
          </w:p>
        </w:tc>
      </w:tr>
      <w:tr w14:paraId="61860D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938F6A0">
            <w:pPr>
              <w:pStyle w:val="12"/>
              <w:jc w:val="center"/>
            </w:pPr>
          </w:p>
        </w:tc>
        <w:tc>
          <w:tcPr>
            <w:tcW w:w="678" w:type="pct"/>
            <w:vAlign w:val="center"/>
          </w:tcPr>
          <w:p w14:paraId="5F4B651B">
            <w:pPr>
              <w:pStyle w:val="12"/>
              <w:jc w:val="center"/>
            </w:pPr>
            <w:r>
              <w:rPr>
                <w:rFonts w:hint="eastAsia"/>
              </w:rPr>
              <w:t>陈治邦</w:t>
            </w:r>
          </w:p>
        </w:tc>
        <w:tc>
          <w:tcPr>
            <w:tcW w:w="872" w:type="pct"/>
            <w:vAlign w:val="center"/>
          </w:tcPr>
          <w:p w14:paraId="36F4DBB1">
            <w:pPr>
              <w:pStyle w:val="12"/>
              <w:jc w:val="center"/>
            </w:pPr>
            <w:r>
              <w:rPr>
                <w:rFonts w:hint="eastAsia"/>
              </w:rPr>
              <w:t>乾隆壬子</w:t>
            </w:r>
          </w:p>
        </w:tc>
        <w:tc>
          <w:tcPr>
            <w:tcW w:w="2810" w:type="pct"/>
            <w:vAlign w:val="center"/>
          </w:tcPr>
          <w:p w14:paraId="3AF758BE">
            <w:pPr>
              <w:pStyle w:val="12"/>
              <w:jc w:val="left"/>
            </w:pPr>
          </w:p>
        </w:tc>
      </w:tr>
      <w:tr w14:paraId="666349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3CF75190">
            <w:pPr>
              <w:pStyle w:val="12"/>
              <w:jc w:val="center"/>
            </w:pPr>
          </w:p>
        </w:tc>
        <w:tc>
          <w:tcPr>
            <w:tcW w:w="678" w:type="pct"/>
            <w:vAlign w:val="center"/>
          </w:tcPr>
          <w:p w14:paraId="17CFE849">
            <w:pPr>
              <w:pStyle w:val="12"/>
              <w:jc w:val="center"/>
            </w:pPr>
            <w:r>
              <w:rPr>
                <w:rFonts w:hint="eastAsia"/>
              </w:rPr>
              <w:t>马道辉</w:t>
            </w:r>
          </w:p>
        </w:tc>
        <w:tc>
          <w:tcPr>
            <w:tcW w:w="872" w:type="pct"/>
            <w:vAlign w:val="center"/>
          </w:tcPr>
          <w:p w14:paraId="30075EA7">
            <w:pPr>
              <w:pStyle w:val="12"/>
              <w:jc w:val="center"/>
            </w:pPr>
            <w:r>
              <w:rPr>
                <w:rFonts w:hint="eastAsia"/>
              </w:rPr>
              <w:t>乾隆壬子</w:t>
            </w:r>
          </w:p>
        </w:tc>
        <w:tc>
          <w:tcPr>
            <w:tcW w:w="2810" w:type="pct"/>
            <w:vAlign w:val="center"/>
          </w:tcPr>
          <w:p w14:paraId="55A80FBE">
            <w:pPr>
              <w:pStyle w:val="12"/>
              <w:jc w:val="left"/>
            </w:pPr>
          </w:p>
        </w:tc>
      </w:tr>
      <w:tr w14:paraId="6182183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0BE88F6C">
            <w:pPr>
              <w:pStyle w:val="12"/>
              <w:jc w:val="center"/>
            </w:pPr>
          </w:p>
        </w:tc>
        <w:tc>
          <w:tcPr>
            <w:tcW w:w="678" w:type="pct"/>
            <w:vAlign w:val="center"/>
          </w:tcPr>
          <w:p w14:paraId="18C68674">
            <w:pPr>
              <w:pStyle w:val="12"/>
              <w:jc w:val="center"/>
            </w:pPr>
            <w:r>
              <w:rPr>
                <w:rFonts w:hint="eastAsia"/>
              </w:rPr>
              <w:t>刘永元</w:t>
            </w:r>
          </w:p>
        </w:tc>
        <w:tc>
          <w:tcPr>
            <w:tcW w:w="872" w:type="pct"/>
            <w:vAlign w:val="center"/>
          </w:tcPr>
          <w:p w14:paraId="2519316F">
            <w:pPr>
              <w:pStyle w:val="12"/>
              <w:jc w:val="center"/>
            </w:pPr>
            <w:r>
              <w:rPr>
                <w:rFonts w:hint="eastAsia"/>
              </w:rPr>
              <w:t>嘉庆己卯</w:t>
            </w:r>
          </w:p>
        </w:tc>
        <w:tc>
          <w:tcPr>
            <w:tcW w:w="2810" w:type="pct"/>
            <w:vAlign w:val="center"/>
          </w:tcPr>
          <w:p w14:paraId="37CC9901">
            <w:pPr>
              <w:pStyle w:val="12"/>
              <w:jc w:val="left"/>
            </w:pPr>
          </w:p>
        </w:tc>
      </w:tr>
      <w:tr w14:paraId="59769E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Merge w:val="continue"/>
            <w:vAlign w:val="center"/>
          </w:tcPr>
          <w:p w14:paraId="41193219">
            <w:pPr>
              <w:pStyle w:val="12"/>
              <w:jc w:val="center"/>
            </w:pPr>
          </w:p>
        </w:tc>
        <w:tc>
          <w:tcPr>
            <w:tcW w:w="678" w:type="pct"/>
            <w:vAlign w:val="center"/>
          </w:tcPr>
          <w:p w14:paraId="49DF18B1">
            <w:pPr>
              <w:pStyle w:val="12"/>
              <w:jc w:val="center"/>
            </w:pPr>
            <w:r>
              <w:rPr>
                <w:rFonts w:hint="eastAsia"/>
              </w:rPr>
              <w:t>罗明魁</w:t>
            </w:r>
          </w:p>
        </w:tc>
        <w:tc>
          <w:tcPr>
            <w:tcW w:w="872" w:type="pct"/>
            <w:vAlign w:val="center"/>
          </w:tcPr>
          <w:p w14:paraId="49AE9A78">
            <w:pPr>
              <w:pStyle w:val="12"/>
              <w:jc w:val="center"/>
            </w:pPr>
            <w:r>
              <w:rPr>
                <w:rFonts w:hint="eastAsia"/>
              </w:rPr>
              <w:t>光绪甲午</w:t>
            </w:r>
          </w:p>
        </w:tc>
        <w:tc>
          <w:tcPr>
            <w:tcW w:w="2810" w:type="pct"/>
            <w:vAlign w:val="center"/>
          </w:tcPr>
          <w:p w14:paraId="4E71C0D5">
            <w:pPr>
              <w:pStyle w:val="12"/>
              <w:jc w:val="left"/>
            </w:pPr>
          </w:p>
        </w:tc>
      </w:tr>
    </w:tbl>
    <w:p w14:paraId="1BB45525">
      <w:pPr>
        <w:ind w:firstLine="420"/>
        <w:rPr>
          <w:rFonts w:ascii="宋体" w:hAnsi="宋体" w:cs="宋体"/>
        </w:rPr>
      </w:pPr>
      <w:r>
        <w:rPr>
          <w:rFonts w:hint="eastAsia" w:ascii="宋体" w:hAnsi="宋体" w:cs="宋体"/>
        </w:rPr>
        <w:t>另有贡生282名，例贡64名，例监5名，例选10名，行伍41名，封赠34名，荫叙1名，辟举1名，以上均见《直隶南雄州志·选举》。</w:t>
      </w:r>
    </w:p>
    <w:p w14:paraId="4687CC2E">
      <w:pPr>
        <w:pStyle w:val="4"/>
        <w:rPr>
          <w:rFonts w:ascii="宋体" w:hAnsi="宋体" w:cs="宋体"/>
        </w:rPr>
      </w:pPr>
      <w:r>
        <w:rPr>
          <w:rFonts w:hint="eastAsia" w:ascii="宋体" w:hAnsi="宋体" w:cs="宋体"/>
        </w:rPr>
        <w:t>第二节  烈士</w:t>
      </w:r>
    </w:p>
    <w:p w14:paraId="5FA1BDBB">
      <w:pPr>
        <w:ind w:firstLine="602"/>
        <w:jc w:val="center"/>
        <w:rPr>
          <w:rFonts w:ascii="宋体" w:hAnsi="宋体" w:cs="宋体"/>
          <w:b/>
          <w:bCs/>
          <w:sz w:val="30"/>
          <w:szCs w:val="30"/>
        </w:rPr>
      </w:pPr>
      <w:r>
        <w:rPr>
          <w:rFonts w:hint="eastAsia" w:ascii="宋体" w:hAnsi="宋体" w:cs="宋体"/>
          <w:b/>
          <w:bCs/>
          <w:sz w:val="30"/>
          <w:szCs w:val="30"/>
        </w:rPr>
        <w:t>南雄市第二次国内革命战争时期烈士</w:t>
      </w:r>
    </w:p>
    <w:p w14:paraId="3C544FEC">
      <w:pPr>
        <w:ind w:firstLine="0" w:firstLineChars="0"/>
        <w:rPr>
          <w:rFonts w:ascii="宋体" w:hAnsi="宋体" w:cs="宋体"/>
          <w:b/>
          <w:bCs/>
        </w:rPr>
      </w:pPr>
      <w:r>
        <w:rPr>
          <w:rFonts w:hint="eastAsia" w:ascii="宋体" w:hAnsi="宋体" w:cs="宋体"/>
          <w:b/>
          <w:bCs/>
        </w:rPr>
        <w:t>表7-6</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4"/>
        <w:gridCol w:w="773"/>
        <w:gridCol w:w="1160"/>
        <w:gridCol w:w="1160"/>
        <w:gridCol w:w="1160"/>
        <w:gridCol w:w="2124"/>
        <w:gridCol w:w="2311"/>
      </w:tblGrid>
      <w:tr w14:paraId="58F506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54D4625">
            <w:pPr>
              <w:pStyle w:val="12"/>
              <w:jc w:val="center"/>
              <w:rPr>
                <w:b/>
              </w:rPr>
            </w:pPr>
            <w:r>
              <w:rPr>
                <w:rFonts w:hint="eastAsia"/>
                <w:b/>
              </w:rPr>
              <w:t>姓名</w:t>
            </w:r>
          </w:p>
        </w:tc>
        <w:tc>
          <w:tcPr>
            <w:tcW w:w="388" w:type="pct"/>
            <w:vAlign w:val="center"/>
          </w:tcPr>
          <w:p w14:paraId="5BBFEA37">
            <w:pPr>
              <w:pStyle w:val="12"/>
              <w:jc w:val="center"/>
              <w:rPr>
                <w:b/>
              </w:rPr>
            </w:pPr>
            <w:r>
              <w:rPr>
                <w:rFonts w:hint="eastAsia"/>
                <w:b/>
              </w:rPr>
              <w:t>性别</w:t>
            </w:r>
          </w:p>
        </w:tc>
        <w:tc>
          <w:tcPr>
            <w:tcW w:w="582" w:type="pct"/>
            <w:vAlign w:val="center"/>
          </w:tcPr>
          <w:p w14:paraId="15A00C29">
            <w:pPr>
              <w:pStyle w:val="12"/>
              <w:jc w:val="center"/>
              <w:rPr>
                <w:b/>
              </w:rPr>
            </w:pPr>
            <w:r>
              <w:rPr>
                <w:rFonts w:hint="eastAsia"/>
                <w:b/>
              </w:rPr>
              <w:t>出生年月</w:t>
            </w:r>
          </w:p>
        </w:tc>
        <w:tc>
          <w:tcPr>
            <w:tcW w:w="582" w:type="pct"/>
            <w:vAlign w:val="center"/>
          </w:tcPr>
          <w:p w14:paraId="32169136">
            <w:pPr>
              <w:pStyle w:val="12"/>
              <w:jc w:val="center"/>
              <w:rPr>
                <w:b/>
              </w:rPr>
            </w:pPr>
            <w:r>
              <w:rPr>
                <w:rFonts w:hint="eastAsia"/>
                <w:b/>
              </w:rPr>
              <w:t>籍贯</w:t>
            </w:r>
          </w:p>
        </w:tc>
        <w:tc>
          <w:tcPr>
            <w:tcW w:w="582" w:type="pct"/>
            <w:vAlign w:val="center"/>
          </w:tcPr>
          <w:p w14:paraId="7C09DFB4">
            <w:pPr>
              <w:pStyle w:val="12"/>
              <w:jc w:val="center"/>
              <w:rPr>
                <w:b/>
              </w:rPr>
            </w:pPr>
            <w:r>
              <w:rPr>
                <w:rFonts w:hint="eastAsia"/>
                <w:b/>
              </w:rPr>
              <w:t>入伍年月</w:t>
            </w:r>
          </w:p>
        </w:tc>
        <w:tc>
          <w:tcPr>
            <w:tcW w:w="1066" w:type="pct"/>
            <w:vAlign w:val="center"/>
          </w:tcPr>
          <w:p w14:paraId="51141A68">
            <w:pPr>
              <w:pStyle w:val="12"/>
              <w:jc w:val="center"/>
              <w:rPr>
                <w:b/>
              </w:rPr>
            </w:pPr>
            <w:r>
              <w:rPr>
                <w:rFonts w:hint="eastAsia"/>
                <w:b/>
              </w:rPr>
              <w:t>所在单位职务</w:t>
            </w:r>
          </w:p>
        </w:tc>
        <w:tc>
          <w:tcPr>
            <w:tcW w:w="1160" w:type="pct"/>
            <w:vAlign w:val="center"/>
          </w:tcPr>
          <w:p w14:paraId="166771EE">
            <w:pPr>
              <w:pStyle w:val="12"/>
              <w:jc w:val="center"/>
              <w:rPr>
                <w:b/>
              </w:rPr>
            </w:pPr>
            <w:r>
              <w:rPr>
                <w:rFonts w:hint="eastAsia"/>
                <w:b/>
              </w:rPr>
              <w:t>牺牲时间地点</w:t>
            </w:r>
          </w:p>
        </w:tc>
      </w:tr>
      <w:tr w14:paraId="56D1630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C6FF320">
            <w:pPr>
              <w:pStyle w:val="12"/>
              <w:jc w:val="center"/>
            </w:pPr>
            <w:r>
              <w:rPr>
                <w:rFonts w:hint="eastAsia"/>
              </w:rPr>
              <w:t>彭二皮拐</w:t>
            </w:r>
          </w:p>
        </w:tc>
        <w:tc>
          <w:tcPr>
            <w:tcW w:w="388" w:type="pct"/>
            <w:vAlign w:val="center"/>
          </w:tcPr>
          <w:p w14:paraId="59D167C2">
            <w:pPr>
              <w:pStyle w:val="12"/>
              <w:jc w:val="center"/>
            </w:pPr>
            <w:r>
              <w:rPr>
                <w:rFonts w:hint="eastAsia"/>
              </w:rPr>
              <w:t>男</w:t>
            </w:r>
          </w:p>
        </w:tc>
        <w:tc>
          <w:tcPr>
            <w:tcW w:w="582" w:type="pct"/>
            <w:vAlign w:val="center"/>
          </w:tcPr>
          <w:p w14:paraId="6F92650C">
            <w:pPr>
              <w:pStyle w:val="12"/>
              <w:jc w:val="center"/>
            </w:pPr>
            <w:r>
              <w:rPr>
                <w:rFonts w:hint="eastAsia"/>
              </w:rPr>
              <w:t>1892年</w:t>
            </w:r>
          </w:p>
        </w:tc>
        <w:tc>
          <w:tcPr>
            <w:tcW w:w="582" w:type="pct"/>
            <w:vAlign w:val="center"/>
          </w:tcPr>
          <w:p w14:paraId="60E98B41">
            <w:pPr>
              <w:pStyle w:val="12"/>
              <w:jc w:val="center"/>
            </w:pPr>
            <w:r>
              <w:rPr>
                <w:rFonts w:hint="eastAsia"/>
              </w:rPr>
              <w:t>油山镇</w:t>
            </w:r>
          </w:p>
        </w:tc>
        <w:tc>
          <w:tcPr>
            <w:tcW w:w="582" w:type="pct"/>
            <w:vAlign w:val="center"/>
          </w:tcPr>
          <w:p w14:paraId="22E87E71">
            <w:pPr>
              <w:pStyle w:val="12"/>
              <w:jc w:val="center"/>
            </w:pPr>
            <w:r>
              <w:rPr>
                <w:rFonts w:hint="eastAsia"/>
              </w:rPr>
              <w:t>—</w:t>
            </w:r>
          </w:p>
        </w:tc>
        <w:tc>
          <w:tcPr>
            <w:tcW w:w="1066" w:type="pct"/>
            <w:vAlign w:val="center"/>
          </w:tcPr>
          <w:p w14:paraId="64CAE2A7">
            <w:pPr>
              <w:pStyle w:val="12"/>
              <w:jc w:val="left"/>
            </w:pPr>
            <w:r>
              <w:rPr>
                <w:rFonts w:hint="eastAsia"/>
              </w:rPr>
              <w:t>农民自卫军战士</w:t>
            </w:r>
          </w:p>
        </w:tc>
        <w:tc>
          <w:tcPr>
            <w:tcW w:w="1162" w:type="pct"/>
            <w:vAlign w:val="center"/>
          </w:tcPr>
          <w:p w14:paraId="07E88E63">
            <w:pPr>
              <w:pStyle w:val="12"/>
              <w:jc w:val="left"/>
            </w:pPr>
            <w:r>
              <w:rPr>
                <w:rFonts w:hint="eastAsia"/>
              </w:rPr>
              <w:t>1927年冬，在江西黄竹岭被捕，在南雄城郊就义</w:t>
            </w:r>
          </w:p>
        </w:tc>
      </w:tr>
      <w:tr w14:paraId="541E02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5461CF7">
            <w:pPr>
              <w:pStyle w:val="12"/>
              <w:jc w:val="center"/>
            </w:pPr>
            <w:r>
              <w:rPr>
                <w:rFonts w:hint="eastAsia"/>
              </w:rPr>
              <w:t>彭桂生</w:t>
            </w:r>
          </w:p>
        </w:tc>
        <w:tc>
          <w:tcPr>
            <w:tcW w:w="388" w:type="pct"/>
            <w:vAlign w:val="center"/>
          </w:tcPr>
          <w:p w14:paraId="6DA585EA">
            <w:pPr>
              <w:pStyle w:val="12"/>
              <w:jc w:val="center"/>
            </w:pPr>
            <w:r>
              <w:rPr>
                <w:rFonts w:hint="eastAsia"/>
              </w:rPr>
              <w:t>男</w:t>
            </w:r>
          </w:p>
        </w:tc>
        <w:tc>
          <w:tcPr>
            <w:tcW w:w="582" w:type="pct"/>
            <w:vAlign w:val="center"/>
          </w:tcPr>
          <w:p w14:paraId="0BDD97A8">
            <w:pPr>
              <w:pStyle w:val="12"/>
              <w:jc w:val="center"/>
            </w:pPr>
            <w:r>
              <w:rPr>
                <w:rFonts w:hint="eastAsia"/>
              </w:rPr>
              <w:t>1901年</w:t>
            </w:r>
          </w:p>
        </w:tc>
        <w:tc>
          <w:tcPr>
            <w:tcW w:w="582" w:type="pct"/>
            <w:vAlign w:val="center"/>
          </w:tcPr>
          <w:p w14:paraId="5E98DEB7">
            <w:pPr>
              <w:pStyle w:val="12"/>
              <w:jc w:val="center"/>
            </w:pPr>
            <w:r>
              <w:rPr>
                <w:rFonts w:hint="eastAsia"/>
              </w:rPr>
              <w:t>油山镇</w:t>
            </w:r>
          </w:p>
        </w:tc>
        <w:tc>
          <w:tcPr>
            <w:tcW w:w="582" w:type="pct"/>
            <w:vAlign w:val="center"/>
          </w:tcPr>
          <w:p w14:paraId="31FAE887">
            <w:pPr>
              <w:pStyle w:val="12"/>
              <w:jc w:val="center"/>
            </w:pPr>
            <w:r>
              <w:rPr>
                <w:rFonts w:hint="eastAsia"/>
              </w:rPr>
              <w:t>1927年</w:t>
            </w:r>
          </w:p>
        </w:tc>
        <w:tc>
          <w:tcPr>
            <w:tcW w:w="1066" w:type="pct"/>
            <w:vAlign w:val="center"/>
          </w:tcPr>
          <w:p w14:paraId="30B59DAF">
            <w:pPr>
              <w:pStyle w:val="12"/>
              <w:jc w:val="left"/>
            </w:pPr>
            <w:r>
              <w:rPr>
                <w:rFonts w:hint="eastAsia"/>
              </w:rPr>
              <w:t>农民自卫军战士</w:t>
            </w:r>
          </w:p>
        </w:tc>
        <w:tc>
          <w:tcPr>
            <w:tcW w:w="1162" w:type="pct"/>
            <w:vAlign w:val="center"/>
          </w:tcPr>
          <w:p w14:paraId="0813975D">
            <w:pPr>
              <w:pStyle w:val="12"/>
              <w:jc w:val="left"/>
            </w:pPr>
            <w:r>
              <w:rPr>
                <w:rFonts w:hint="eastAsia"/>
              </w:rPr>
              <w:t>1927年在大塘被捕就义</w:t>
            </w:r>
          </w:p>
        </w:tc>
      </w:tr>
      <w:tr w14:paraId="7C07C9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A3A1E53">
            <w:pPr>
              <w:pStyle w:val="12"/>
              <w:jc w:val="center"/>
            </w:pPr>
            <w:r>
              <w:rPr>
                <w:rFonts w:hint="eastAsia"/>
              </w:rPr>
              <w:t>陈士源</w:t>
            </w:r>
          </w:p>
        </w:tc>
        <w:tc>
          <w:tcPr>
            <w:tcW w:w="388" w:type="pct"/>
            <w:vAlign w:val="center"/>
          </w:tcPr>
          <w:p w14:paraId="4977801C">
            <w:pPr>
              <w:pStyle w:val="12"/>
              <w:jc w:val="center"/>
            </w:pPr>
            <w:r>
              <w:rPr>
                <w:rFonts w:hint="eastAsia"/>
              </w:rPr>
              <w:t>男</w:t>
            </w:r>
          </w:p>
        </w:tc>
        <w:tc>
          <w:tcPr>
            <w:tcW w:w="582" w:type="pct"/>
            <w:vAlign w:val="center"/>
          </w:tcPr>
          <w:p w14:paraId="00B2EA2E">
            <w:pPr>
              <w:pStyle w:val="12"/>
              <w:jc w:val="center"/>
            </w:pPr>
            <w:r>
              <w:rPr>
                <w:rFonts w:hint="eastAsia"/>
              </w:rPr>
              <w:t>1903年</w:t>
            </w:r>
          </w:p>
        </w:tc>
        <w:tc>
          <w:tcPr>
            <w:tcW w:w="582" w:type="pct"/>
            <w:vAlign w:val="center"/>
          </w:tcPr>
          <w:p w14:paraId="6B07251C">
            <w:pPr>
              <w:pStyle w:val="12"/>
              <w:jc w:val="center"/>
            </w:pPr>
            <w:r>
              <w:rPr>
                <w:rFonts w:hint="eastAsia"/>
              </w:rPr>
              <w:t>珠玑镇</w:t>
            </w:r>
          </w:p>
        </w:tc>
        <w:tc>
          <w:tcPr>
            <w:tcW w:w="582" w:type="pct"/>
            <w:vAlign w:val="center"/>
          </w:tcPr>
          <w:p w14:paraId="77E1A4AD">
            <w:pPr>
              <w:pStyle w:val="12"/>
              <w:jc w:val="center"/>
            </w:pPr>
            <w:r>
              <w:rPr>
                <w:rFonts w:hint="eastAsia"/>
              </w:rPr>
              <w:t>1926年</w:t>
            </w:r>
          </w:p>
        </w:tc>
        <w:tc>
          <w:tcPr>
            <w:tcW w:w="1066" w:type="pct"/>
            <w:vAlign w:val="center"/>
          </w:tcPr>
          <w:p w14:paraId="2BFD43E6">
            <w:pPr>
              <w:pStyle w:val="12"/>
              <w:jc w:val="left"/>
            </w:pPr>
            <w:r>
              <w:rPr>
                <w:rFonts w:hint="eastAsia"/>
              </w:rPr>
              <w:t>农民自卫军战士</w:t>
            </w:r>
          </w:p>
        </w:tc>
        <w:tc>
          <w:tcPr>
            <w:tcW w:w="1162" w:type="pct"/>
            <w:vAlign w:val="center"/>
          </w:tcPr>
          <w:p w14:paraId="797024F8">
            <w:pPr>
              <w:pStyle w:val="12"/>
              <w:jc w:val="left"/>
            </w:pPr>
            <w:r>
              <w:rPr>
                <w:rFonts w:hint="eastAsia"/>
              </w:rPr>
              <w:t>1927年在赣州战斗牺牲</w:t>
            </w:r>
          </w:p>
        </w:tc>
      </w:tr>
      <w:tr w14:paraId="1B59717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320698C">
            <w:pPr>
              <w:pStyle w:val="12"/>
              <w:jc w:val="center"/>
            </w:pPr>
            <w:r>
              <w:rPr>
                <w:rFonts w:hint="eastAsia"/>
              </w:rPr>
              <w:t>曾昭飞</w:t>
            </w:r>
          </w:p>
        </w:tc>
        <w:tc>
          <w:tcPr>
            <w:tcW w:w="388" w:type="pct"/>
            <w:vAlign w:val="center"/>
          </w:tcPr>
          <w:p w14:paraId="275B6EC3">
            <w:pPr>
              <w:pStyle w:val="12"/>
              <w:jc w:val="center"/>
            </w:pPr>
            <w:r>
              <w:rPr>
                <w:rFonts w:hint="eastAsia"/>
              </w:rPr>
              <w:t>男</w:t>
            </w:r>
          </w:p>
        </w:tc>
        <w:tc>
          <w:tcPr>
            <w:tcW w:w="582" w:type="pct"/>
            <w:vAlign w:val="center"/>
          </w:tcPr>
          <w:p w14:paraId="0BE7C022">
            <w:pPr>
              <w:pStyle w:val="12"/>
              <w:jc w:val="center"/>
            </w:pPr>
            <w:r>
              <w:rPr>
                <w:rFonts w:hint="eastAsia"/>
              </w:rPr>
              <w:t>1901年</w:t>
            </w:r>
          </w:p>
        </w:tc>
        <w:tc>
          <w:tcPr>
            <w:tcW w:w="582" w:type="pct"/>
            <w:vAlign w:val="center"/>
          </w:tcPr>
          <w:p w14:paraId="4729DC60">
            <w:pPr>
              <w:pStyle w:val="12"/>
              <w:jc w:val="center"/>
            </w:pPr>
            <w:r>
              <w:rPr>
                <w:rFonts w:hint="eastAsia"/>
              </w:rPr>
              <w:t>湖口镇</w:t>
            </w:r>
          </w:p>
        </w:tc>
        <w:tc>
          <w:tcPr>
            <w:tcW w:w="582" w:type="pct"/>
            <w:vAlign w:val="center"/>
          </w:tcPr>
          <w:p w14:paraId="58CE9605">
            <w:pPr>
              <w:pStyle w:val="12"/>
              <w:jc w:val="center"/>
            </w:pPr>
            <w:r>
              <w:rPr>
                <w:rFonts w:hint="eastAsia"/>
              </w:rPr>
              <w:t>—</w:t>
            </w:r>
          </w:p>
        </w:tc>
        <w:tc>
          <w:tcPr>
            <w:tcW w:w="1066" w:type="pct"/>
            <w:vAlign w:val="center"/>
          </w:tcPr>
          <w:p w14:paraId="6D4C28B5">
            <w:pPr>
              <w:pStyle w:val="12"/>
              <w:jc w:val="left"/>
            </w:pPr>
            <w:r>
              <w:rPr>
                <w:rFonts w:hint="eastAsia"/>
              </w:rPr>
              <w:t>农民自卫军战士</w:t>
            </w:r>
          </w:p>
        </w:tc>
        <w:tc>
          <w:tcPr>
            <w:tcW w:w="1162" w:type="pct"/>
            <w:vAlign w:val="center"/>
          </w:tcPr>
          <w:p w14:paraId="24B80748">
            <w:pPr>
              <w:pStyle w:val="12"/>
              <w:jc w:val="left"/>
            </w:pPr>
            <w:r>
              <w:rPr>
                <w:rFonts w:hint="eastAsia"/>
              </w:rPr>
              <w:t>1927年在湖口老圩被捕就义</w:t>
            </w:r>
          </w:p>
        </w:tc>
      </w:tr>
      <w:tr w14:paraId="5D460F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7890C00">
            <w:pPr>
              <w:pStyle w:val="12"/>
              <w:jc w:val="center"/>
            </w:pPr>
            <w:r>
              <w:rPr>
                <w:rFonts w:hint="eastAsia"/>
              </w:rPr>
              <w:t>彭成辛</w:t>
            </w:r>
          </w:p>
        </w:tc>
        <w:tc>
          <w:tcPr>
            <w:tcW w:w="388" w:type="pct"/>
            <w:vAlign w:val="center"/>
          </w:tcPr>
          <w:p w14:paraId="01F8D826">
            <w:pPr>
              <w:pStyle w:val="12"/>
              <w:jc w:val="center"/>
            </w:pPr>
            <w:r>
              <w:rPr>
                <w:rFonts w:hint="eastAsia"/>
              </w:rPr>
              <w:t>男</w:t>
            </w:r>
          </w:p>
        </w:tc>
        <w:tc>
          <w:tcPr>
            <w:tcW w:w="582" w:type="pct"/>
            <w:vAlign w:val="center"/>
          </w:tcPr>
          <w:p w14:paraId="0A8EF684">
            <w:pPr>
              <w:pStyle w:val="12"/>
              <w:jc w:val="center"/>
            </w:pPr>
            <w:r>
              <w:rPr>
                <w:rFonts w:hint="eastAsia"/>
              </w:rPr>
              <w:t>1905年</w:t>
            </w:r>
          </w:p>
        </w:tc>
        <w:tc>
          <w:tcPr>
            <w:tcW w:w="582" w:type="pct"/>
            <w:vAlign w:val="center"/>
          </w:tcPr>
          <w:p w14:paraId="6C9282F1">
            <w:pPr>
              <w:pStyle w:val="12"/>
              <w:jc w:val="center"/>
            </w:pPr>
            <w:r>
              <w:rPr>
                <w:rFonts w:hint="eastAsia"/>
              </w:rPr>
              <w:t>油山镇</w:t>
            </w:r>
          </w:p>
        </w:tc>
        <w:tc>
          <w:tcPr>
            <w:tcW w:w="582" w:type="pct"/>
            <w:vAlign w:val="center"/>
          </w:tcPr>
          <w:p w14:paraId="009AA292">
            <w:pPr>
              <w:pStyle w:val="12"/>
              <w:jc w:val="center"/>
            </w:pPr>
            <w:r>
              <w:rPr>
                <w:rFonts w:hint="eastAsia"/>
              </w:rPr>
              <w:t>1927年</w:t>
            </w:r>
          </w:p>
        </w:tc>
        <w:tc>
          <w:tcPr>
            <w:tcW w:w="1066" w:type="pct"/>
            <w:vAlign w:val="center"/>
          </w:tcPr>
          <w:p w14:paraId="744BE400">
            <w:pPr>
              <w:pStyle w:val="12"/>
              <w:jc w:val="left"/>
            </w:pPr>
            <w:r>
              <w:rPr>
                <w:rFonts w:hint="eastAsia"/>
              </w:rPr>
              <w:t>农民自卫军战士</w:t>
            </w:r>
          </w:p>
        </w:tc>
        <w:tc>
          <w:tcPr>
            <w:tcW w:w="1162" w:type="pct"/>
            <w:vAlign w:val="center"/>
          </w:tcPr>
          <w:p w14:paraId="4CF2C227">
            <w:pPr>
              <w:pStyle w:val="12"/>
              <w:jc w:val="left"/>
            </w:pPr>
            <w:r>
              <w:rPr>
                <w:rFonts w:hint="eastAsia"/>
              </w:rPr>
              <w:t>1927年在上朔被捕就义</w:t>
            </w:r>
          </w:p>
        </w:tc>
      </w:tr>
      <w:tr w14:paraId="4B091E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BBD5001">
            <w:pPr>
              <w:pStyle w:val="12"/>
              <w:jc w:val="center"/>
            </w:pPr>
            <w:r>
              <w:rPr>
                <w:rFonts w:hint="eastAsia"/>
              </w:rPr>
              <w:t>李金军</w:t>
            </w:r>
          </w:p>
        </w:tc>
        <w:tc>
          <w:tcPr>
            <w:tcW w:w="388" w:type="pct"/>
            <w:vAlign w:val="center"/>
          </w:tcPr>
          <w:p w14:paraId="6690075D">
            <w:pPr>
              <w:pStyle w:val="12"/>
              <w:jc w:val="center"/>
            </w:pPr>
            <w:r>
              <w:rPr>
                <w:rFonts w:hint="eastAsia"/>
              </w:rPr>
              <w:t>男</w:t>
            </w:r>
          </w:p>
        </w:tc>
        <w:tc>
          <w:tcPr>
            <w:tcW w:w="582" w:type="pct"/>
            <w:vAlign w:val="center"/>
          </w:tcPr>
          <w:p w14:paraId="56DFE5CD">
            <w:pPr>
              <w:pStyle w:val="12"/>
              <w:jc w:val="center"/>
            </w:pPr>
            <w:r>
              <w:rPr>
                <w:rFonts w:hint="eastAsia"/>
              </w:rPr>
              <w:t>1898年</w:t>
            </w:r>
          </w:p>
        </w:tc>
        <w:tc>
          <w:tcPr>
            <w:tcW w:w="582" w:type="pct"/>
            <w:vAlign w:val="center"/>
          </w:tcPr>
          <w:p w14:paraId="190534ED">
            <w:pPr>
              <w:pStyle w:val="12"/>
              <w:jc w:val="center"/>
            </w:pPr>
            <w:r>
              <w:rPr>
                <w:rFonts w:hint="eastAsia"/>
              </w:rPr>
              <w:t>油山镇</w:t>
            </w:r>
          </w:p>
        </w:tc>
        <w:tc>
          <w:tcPr>
            <w:tcW w:w="582" w:type="pct"/>
            <w:vAlign w:val="center"/>
          </w:tcPr>
          <w:p w14:paraId="4BB3BD7D">
            <w:pPr>
              <w:pStyle w:val="12"/>
              <w:jc w:val="center"/>
            </w:pPr>
            <w:r>
              <w:rPr>
                <w:rFonts w:hint="eastAsia"/>
              </w:rPr>
              <w:t>—</w:t>
            </w:r>
          </w:p>
        </w:tc>
        <w:tc>
          <w:tcPr>
            <w:tcW w:w="1066" w:type="pct"/>
            <w:vAlign w:val="center"/>
          </w:tcPr>
          <w:p w14:paraId="47A6CAB2">
            <w:pPr>
              <w:pStyle w:val="12"/>
              <w:jc w:val="left"/>
              <w:rPr>
                <w:rFonts w:ascii="宋体" w:hAnsi="宋体" w:cs="宋体"/>
              </w:rPr>
            </w:pPr>
            <w:r>
              <w:rPr>
                <w:rFonts w:hint="eastAsia"/>
              </w:rPr>
              <w:t>农民自卫军</w:t>
            </w:r>
          </w:p>
          <w:p w14:paraId="1B27B745">
            <w:pPr>
              <w:pStyle w:val="12"/>
              <w:jc w:val="left"/>
            </w:pPr>
            <w:r>
              <w:rPr>
                <w:rFonts w:hint="eastAsia" w:ascii="宋体" w:hAnsi="宋体" w:cs="宋体"/>
              </w:rPr>
              <w:t>侦  察  员</w:t>
            </w:r>
          </w:p>
        </w:tc>
        <w:tc>
          <w:tcPr>
            <w:tcW w:w="1162" w:type="pct"/>
            <w:vAlign w:val="center"/>
          </w:tcPr>
          <w:p w14:paraId="0332C2B1">
            <w:pPr>
              <w:pStyle w:val="12"/>
              <w:jc w:val="left"/>
            </w:pPr>
            <w:r>
              <w:rPr>
                <w:rFonts w:hint="eastAsia"/>
              </w:rPr>
              <w:t>1927年在大塘被捕，在县城郊就义</w:t>
            </w:r>
          </w:p>
        </w:tc>
      </w:tr>
      <w:tr w14:paraId="776C00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151CF03">
            <w:pPr>
              <w:pStyle w:val="12"/>
              <w:jc w:val="center"/>
            </w:pPr>
            <w:r>
              <w:rPr>
                <w:rFonts w:hint="eastAsia"/>
              </w:rPr>
              <w:t>彭元古</w:t>
            </w:r>
          </w:p>
        </w:tc>
        <w:tc>
          <w:tcPr>
            <w:tcW w:w="388" w:type="pct"/>
            <w:vAlign w:val="center"/>
          </w:tcPr>
          <w:p w14:paraId="4E28CBE2">
            <w:pPr>
              <w:pStyle w:val="12"/>
              <w:jc w:val="center"/>
            </w:pPr>
            <w:r>
              <w:rPr>
                <w:rFonts w:hint="eastAsia"/>
              </w:rPr>
              <w:t>男</w:t>
            </w:r>
          </w:p>
        </w:tc>
        <w:tc>
          <w:tcPr>
            <w:tcW w:w="582" w:type="pct"/>
            <w:vAlign w:val="center"/>
          </w:tcPr>
          <w:p w14:paraId="5225CDEC">
            <w:pPr>
              <w:pStyle w:val="12"/>
              <w:jc w:val="center"/>
            </w:pPr>
            <w:r>
              <w:rPr>
                <w:rFonts w:hint="eastAsia"/>
              </w:rPr>
              <w:t>1910年</w:t>
            </w:r>
          </w:p>
        </w:tc>
        <w:tc>
          <w:tcPr>
            <w:tcW w:w="582" w:type="pct"/>
            <w:vAlign w:val="center"/>
          </w:tcPr>
          <w:p w14:paraId="0D3723E2">
            <w:pPr>
              <w:pStyle w:val="12"/>
              <w:jc w:val="center"/>
            </w:pPr>
            <w:r>
              <w:rPr>
                <w:rFonts w:hint="eastAsia"/>
              </w:rPr>
              <w:t>油山镇</w:t>
            </w:r>
          </w:p>
        </w:tc>
        <w:tc>
          <w:tcPr>
            <w:tcW w:w="582" w:type="pct"/>
            <w:vAlign w:val="center"/>
          </w:tcPr>
          <w:p w14:paraId="3AD3DE39">
            <w:pPr>
              <w:pStyle w:val="12"/>
              <w:jc w:val="center"/>
            </w:pPr>
            <w:r>
              <w:rPr>
                <w:rFonts w:hint="eastAsia"/>
              </w:rPr>
              <w:t>1928年</w:t>
            </w:r>
          </w:p>
        </w:tc>
        <w:tc>
          <w:tcPr>
            <w:tcW w:w="1066" w:type="pct"/>
            <w:vAlign w:val="center"/>
          </w:tcPr>
          <w:p w14:paraId="32304D9C">
            <w:pPr>
              <w:pStyle w:val="12"/>
              <w:jc w:val="left"/>
            </w:pPr>
            <w:r>
              <w:rPr>
                <w:rFonts w:hint="eastAsia"/>
              </w:rPr>
              <w:t>赤卫队队员</w:t>
            </w:r>
          </w:p>
        </w:tc>
        <w:tc>
          <w:tcPr>
            <w:tcW w:w="1162" w:type="pct"/>
            <w:vAlign w:val="center"/>
          </w:tcPr>
          <w:p w14:paraId="5FE2CD86">
            <w:pPr>
              <w:pStyle w:val="12"/>
              <w:jc w:val="left"/>
            </w:pPr>
            <w:r>
              <w:rPr>
                <w:rFonts w:hint="eastAsia"/>
              </w:rPr>
              <w:t>1928年在灵潭作战牺牲</w:t>
            </w:r>
          </w:p>
        </w:tc>
      </w:tr>
      <w:tr w14:paraId="10186E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0450B3E">
            <w:pPr>
              <w:pStyle w:val="12"/>
              <w:jc w:val="center"/>
            </w:pPr>
            <w:r>
              <w:rPr>
                <w:rFonts w:hint="eastAsia"/>
              </w:rPr>
              <w:t>欧  阳</w:t>
            </w:r>
          </w:p>
          <w:p w14:paraId="05FC8794">
            <w:pPr>
              <w:pStyle w:val="12"/>
              <w:jc w:val="center"/>
            </w:pPr>
            <w:r>
              <w:rPr>
                <w:rFonts w:hint="eastAsia"/>
              </w:rPr>
              <w:t>新屋苟</w:t>
            </w:r>
          </w:p>
        </w:tc>
        <w:tc>
          <w:tcPr>
            <w:tcW w:w="388" w:type="pct"/>
            <w:vAlign w:val="center"/>
          </w:tcPr>
          <w:p w14:paraId="2F426E0B">
            <w:pPr>
              <w:pStyle w:val="12"/>
              <w:jc w:val="center"/>
            </w:pPr>
            <w:r>
              <w:rPr>
                <w:rFonts w:hint="eastAsia"/>
              </w:rPr>
              <w:t>男</w:t>
            </w:r>
          </w:p>
        </w:tc>
        <w:tc>
          <w:tcPr>
            <w:tcW w:w="582" w:type="pct"/>
            <w:vAlign w:val="center"/>
          </w:tcPr>
          <w:p w14:paraId="315D3599">
            <w:pPr>
              <w:pStyle w:val="12"/>
              <w:jc w:val="center"/>
            </w:pPr>
            <w:r>
              <w:rPr>
                <w:rFonts w:hint="eastAsia"/>
              </w:rPr>
              <w:t>1888年</w:t>
            </w:r>
          </w:p>
        </w:tc>
        <w:tc>
          <w:tcPr>
            <w:tcW w:w="582" w:type="pct"/>
            <w:vAlign w:val="center"/>
          </w:tcPr>
          <w:p w14:paraId="677BBDAF">
            <w:pPr>
              <w:pStyle w:val="12"/>
              <w:jc w:val="center"/>
            </w:pPr>
            <w:r>
              <w:rPr>
                <w:rFonts w:hint="eastAsia"/>
              </w:rPr>
              <w:t>水口镇</w:t>
            </w:r>
          </w:p>
        </w:tc>
        <w:tc>
          <w:tcPr>
            <w:tcW w:w="582" w:type="pct"/>
            <w:vAlign w:val="center"/>
          </w:tcPr>
          <w:p w14:paraId="0958AE10">
            <w:pPr>
              <w:pStyle w:val="12"/>
              <w:jc w:val="center"/>
            </w:pPr>
            <w:r>
              <w:rPr>
                <w:rFonts w:hint="eastAsia"/>
              </w:rPr>
              <w:t>1928年</w:t>
            </w:r>
          </w:p>
        </w:tc>
        <w:tc>
          <w:tcPr>
            <w:tcW w:w="1066" w:type="pct"/>
            <w:vAlign w:val="center"/>
          </w:tcPr>
          <w:p w14:paraId="52F6DF2E">
            <w:pPr>
              <w:pStyle w:val="12"/>
              <w:jc w:val="left"/>
            </w:pPr>
            <w:r>
              <w:rPr>
                <w:rFonts w:hint="eastAsia"/>
              </w:rPr>
              <w:t>苏维埃政府炊  事  员</w:t>
            </w:r>
          </w:p>
        </w:tc>
        <w:tc>
          <w:tcPr>
            <w:tcW w:w="1162" w:type="pct"/>
            <w:vAlign w:val="center"/>
          </w:tcPr>
          <w:p w14:paraId="5648E28E">
            <w:pPr>
              <w:pStyle w:val="12"/>
              <w:jc w:val="left"/>
            </w:pPr>
            <w:r>
              <w:rPr>
                <w:rFonts w:hint="eastAsia"/>
              </w:rPr>
              <w:t>1928年在篛过被捕，在水口就义</w:t>
            </w:r>
          </w:p>
        </w:tc>
      </w:tr>
      <w:tr w14:paraId="56F25B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3BD4689">
            <w:pPr>
              <w:pStyle w:val="12"/>
              <w:jc w:val="center"/>
            </w:pPr>
            <w:r>
              <w:rPr>
                <w:rFonts w:hint="eastAsia"/>
              </w:rPr>
              <w:t>欧阳石崇</w:t>
            </w:r>
          </w:p>
        </w:tc>
        <w:tc>
          <w:tcPr>
            <w:tcW w:w="388" w:type="pct"/>
            <w:vAlign w:val="center"/>
          </w:tcPr>
          <w:p w14:paraId="1960479D">
            <w:pPr>
              <w:pStyle w:val="12"/>
              <w:jc w:val="center"/>
            </w:pPr>
            <w:r>
              <w:rPr>
                <w:rFonts w:hint="eastAsia"/>
              </w:rPr>
              <w:t>男</w:t>
            </w:r>
          </w:p>
        </w:tc>
        <w:tc>
          <w:tcPr>
            <w:tcW w:w="582" w:type="pct"/>
            <w:vAlign w:val="center"/>
          </w:tcPr>
          <w:p w14:paraId="4190B823">
            <w:pPr>
              <w:pStyle w:val="12"/>
              <w:jc w:val="center"/>
            </w:pPr>
            <w:r>
              <w:rPr>
                <w:rFonts w:hint="eastAsia"/>
              </w:rPr>
              <w:t>1892年</w:t>
            </w:r>
          </w:p>
        </w:tc>
        <w:tc>
          <w:tcPr>
            <w:tcW w:w="582" w:type="pct"/>
            <w:vAlign w:val="center"/>
          </w:tcPr>
          <w:p w14:paraId="398C28E7">
            <w:pPr>
              <w:pStyle w:val="12"/>
              <w:jc w:val="center"/>
            </w:pPr>
            <w:r>
              <w:rPr>
                <w:rFonts w:hint="eastAsia"/>
              </w:rPr>
              <w:t>水口镇</w:t>
            </w:r>
          </w:p>
        </w:tc>
        <w:tc>
          <w:tcPr>
            <w:tcW w:w="582" w:type="pct"/>
            <w:vAlign w:val="center"/>
          </w:tcPr>
          <w:p w14:paraId="60906BE6">
            <w:pPr>
              <w:pStyle w:val="12"/>
              <w:jc w:val="center"/>
            </w:pPr>
            <w:r>
              <w:rPr>
                <w:rFonts w:hint="eastAsia"/>
              </w:rPr>
              <w:t>1927年</w:t>
            </w:r>
          </w:p>
        </w:tc>
        <w:tc>
          <w:tcPr>
            <w:tcW w:w="1066" w:type="pct"/>
            <w:vAlign w:val="center"/>
          </w:tcPr>
          <w:p w14:paraId="1E714E3E">
            <w:pPr>
              <w:pStyle w:val="12"/>
              <w:jc w:val="left"/>
            </w:pPr>
            <w:r>
              <w:rPr>
                <w:rFonts w:hint="eastAsia"/>
              </w:rPr>
              <w:t>在农会制造弹药</w:t>
            </w:r>
          </w:p>
        </w:tc>
        <w:tc>
          <w:tcPr>
            <w:tcW w:w="1162" w:type="pct"/>
            <w:vAlign w:val="center"/>
          </w:tcPr>
          <w:p w14:paraId="24754133">
            <w:pPr>
              <w:pStyle w:val="12"/>
              <w:jc w:val="left"/>
            </w:pPr>
            <w:r>
              <w:rPr>
                <w:rFonts w:hint="eastAsia"/>
              </w:rPr>
              <w:t>1928年在篛过被捕，4月在水口就义</w:t>
            </w:r>
          </w:p>
        </w:tc>
      </w:tr>
      <w:tr w14:paraId="2B2C2A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B3C3DF6">
            <w:pPr>
              <w:pStyle w:val="12"/>
              <w:jc w:val="center"/>
            </w:pPr>
            <w:r>
              <w:rPr>
                <w:rFonts w:hint="eastAsia"/>
              </w:rPr>
              <w:t>徐光生</w:t>
            </w:r>
          </w:p>
        </w:tc>
        <w:tc>
          <w:tcPr>
            <w:tcW w:w="388" w:type="pct"/>
            <w:vAlign w:val="center"/>
          </w:tcPr>
          <w:p w14:paraId="1D06C57C">
            <w:pPr>
              <w:pStyle w:val="12"/>
              <w:jc w:val="center"/>
            </w:pPr>
            <w:r>
              <w:rPr>
                <w:rFonts w:hint="eastAsia"/>
              </w:rPr>
              <w:t>男</w:t>
            </w:r>
          </w:p>
        </w:tc>
        <w:tc>
          <w:tcPr>
            <w:tcW w:w="582" w:type="pct"/>
            <w:vAlign w:val="center"/>
          </w:tcPr>
          <w:p w14:paraId="6F837D2C">
            <w:pPr>
              <w:pStyle w:val="12"/>
              <w:jc w:val="center"/>
            </w:pPr>
            <w:r>
              <w:rPr>
                <w:rFonts w:hint="eastAsia"/>
              </w:rPr>
              <w:t>1898年</w:t>
            </w:r>
          </w:p>
        </w:tc>
        <w:tc>
          <w:tcPr>
            <w:tcW w:w="582" w:type="pct"/>
            <w:vAlign w:val="center"/>
          </w:tcPr>
          <w:p w14:paraId="1BF72AF3">
            <w:pPr>
              <w:pStyle w:val="12"/>
              <w:jc w:val="center"/>
            </w:pPr>
            <w:r>
              <w:rPr>
                <w:rFonts w:hint="eastAsia"/>
              </w:rPr>
              <w:t>油山镇</w:t>
            </w:r>
          </w:p>
        </w:tc>
        <w:tc>
          <w:tcPr>
            <w:tcW w:w="582" w:type="pct"/>
            <w:vAlign w:val="center"/>
          </w:tcPr>
          <w:p w14:paraId="09960D80">
            <w:pPr>
              <w:pStyle w:val="12"/>
              <w:jc w:val="center"/>
            </w:pPr>
            <w:r>
              <w:rPr>
                <w:rFonts w:hint="eastAsia"/>
              </w:rPr>
              <w:t>1927年</w:t>
            </w:r>
          </w:p>
        </w:tc>
        <w:tc>
          <w:tcPr>
            <w:tcW w:w="1066" w:type="pct"/>
            <w:vAlign w:val="center"/>
          </w:tcPr>
          <w:p w14:paraId="7B236D4B">
            <w:pPr>
              <w:pStyle w:val="12"/>
              <w:jc w:val="left"/>
            </w:pPr>
            <w:r>
              <w:rPr>
                <w:rFonts w:hint="eastAsia"/>
              </w:rPr>
              <w:t>赤卫队员</w:t>
            </w:r>
          </w:p>
        </w:tc>
        <w:tc>
          <w:tcPr>
            <w:tcW w:w="1162" w:type="pct"/>
            <w:vAlign w:val="center"/>
          </w:tcPr>
          <w:p w14:paraId="448FD708">
            <w:pPr>
              <w:pStyle w:val="12"/>
              <w:jc w:val="left"/>
            </w:pPr>
            <w:r>
              <w:rPr>
                <w:rFonts w:hint="eastAsia"/>
              </w:rPr>
              <w:t>1928年在老寨背被捕，在县城郊就义</w:t>
            </w:r>
          </w:p>
        </w:tc>
      </w:tr>
      <w:tr w14:paraId="4965D4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D4B45D8">
            <w:pPr>
              <w:pStyle w:val="12"/>
              <w:jc w:val="center"/>
            </w:pPr>
            <w:r>
              <w:rPr>
                <w:rFonts w:hint="eastAsia"/>
              </w:rPr>
              <w:t>彭奀俚</w:t>
            </w:r>
          </w:p>
        </w:tc>
        <w:tc>
          <w:tcPr>
            <w:tcW w:w="388" w:type="pct"/>
            <w:vAlign w:val="center"/>
          </w:tcPr>
          <w:p w14:paraId="41AFBD46">
            <w:pPr>
              <w:pStyle w:val="12"/>
              <w:jc w:val="center"/>
            </w:pPr>
            <w:r>
              <w:rPr>
                <w:rFonts w:hint="eastAsia"/>
              </w:rPr>
              <w:t>男</w:t>
            </w:r>
          </w:p>
        </w:tc>
        <w:tc>
          <w:tcPr>
            <w:tcW w:w="582" w:type="pct"/>
            <w:vAlign w:val="center"/>
          </w:tcPr>
          <w:p w14:paraId="00FA14FE">
            <w:pPr>
              <w:pStyle w:val="12"/>
              <w:jc w:val="center"/>
            </w:pPr>
            <w:r>
              <w:rPr>
                <w:rFonts w:hint="eastAsia"/>
              </w:rPr>
              <w:t>1901年</w:t>
            </w:r>
          </w:p>
        </w:tc>
        <w:tc>
          <w:tcPr>
            <w:tcW w:w="582" w:type="pct"/>
            <w:vAlign w:val="center"/>
          </w:tcPr>
          <w:p w14:paraId="2A20F532">
            <w:pPr>
              <w:pStyle w:val="12"/>
              <w:jc w:val="center"/>
            </w:pPr>
            <w:r>
              <w:rPr>
                <w:rFonts w:hint="eastAsia"/>
              </w:rPr>
              <w:t>油山镇</w:t>
            </w:r>
          </w:p>
        </w:tc>
        <w:tc>
          <w:tcPr>
            <w:tcW w:w="582" w:type="pct"/>
            <w:vAlign w:val="center"/>
          </w:tcPr>
          <w:p w14:paraId="6DF9E6E8">
            <w:pPr>
              <w:pStyle w:val="12"/>
              <w:jc w:val="center"/>
            </w:pPr>
            <w:r>
              <w:rPr>
                <w:rFonts w:hint="eastAsia"/>
              </w:rPr>
              <w:t>1928年</w:t>
            </w:r>
          </w:p>
        </w:tc>
        <w:tc>
          <w:tcPr>
            <w:tcW w:w="1066" w:type="pct"/>
            <w:vAlign w:val="center"/>
          </w:tcPr>
          <w:p w14:paraId="2D93D670">
            <w:pPr>
              <w:pStyle w:val="12"/>
              <w:jc w:val="left"/>
            </w:pPr>
            <w:r>
              <w:rPr>
                <w:rFonts w:hint="eastAsia"/>
              </w:rPr>
              <w:t>赤卫队员</w:t>
            </w:r>
          </w:p>
        </w:tc>
        <w:tc>
          <w:tcPr>
            <w:tcW w:w="1162" w:type="pct"/>
            <w:vAlign w:val="center"/>
          </w:tcPr>
          <w:p w14:paraId="3A8D6335">
            <w:pPr>
              <w:pStyle w:val="12"/>
              <w:jc w:val="left"/>
            </w:pPr>
            <w:r>
              <w:rPr>
                <w:rFonts w:hint="eastAsia"/>
              </w:rPr>
              <w:t>1928年在上朔被捕，在县城郊就义</w:t>
            </w:r>
          </w:p>
        </w:tc>
      </w:tr>
      <w:tr w14:paraId="41AD45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3617844">
            <w:pPr>
              <w:pStyle w:val="12"/>
              <w:jc w:val="center"/>
            </w:pPr>
            <w:r>
              <w:rPr>
                <w:rFonts w:hint="eastAsia"/>
              </w:rPr>
              <w:t>徐光连</w:t>
            </w:r>
          </w:p>
        </w:tc>
        <w:tc>
          <w:tcPr>
            <w:tcW w:w="388" w:type="pct"/>
            <w:vAlign w:val="center"/>
          </w:tcPr>
          <w:p w14:paraId="5BEAE40E">
            <w:pPr>
              <w:pStyle w:val="12"/>
              <w:jc w:val="center"/>
            </w:pPr>
            <w:r>
              <w:rPr>
                <w:rFonts w:hint="eastAsia"/>
              </w:rPr>
              <w:t>男</w:t>
            </w:r>
          </w:p>
        </w:tc>
        <w:tc>
          <w:tcPr>
            <w:tcW w:w="582" w:type="pct"/>
            <w:vAlign w:val="center"/>
          </w:tcPr>
          <w:p w14:paraId="375C7417">
            <w:pPr>
              <w:pStyle w:val="12"/>
              <w:jc w:val="center"/>
            </w:pPr>
            <w:r>
              <w:rPr>
                <w:rFonts w:hint="eastAsia"/>
              </w:rPr>
              <w:t>1895年</w:t>
            </w:r>
          </w:p>
        </w:tc>
        <w:tc>
          <w:tcPr>
            <w:tcW w:w="582" w:type="pct"/>
            <w:vAlign w:val="center"/>
          </w:tcPr>
          <w:p w14:paraId="1F726342">
            <w:pPr>
              <w:pStyle w:val="12"/>
              <w:jc w:val="center"/>
            </w:pPr>
            <w:r>
              <w:rPr>
                <w:rFonts w:hint="eastAsia"/>
              </w:rPr>
              <w:t>油山镇</w:t>
            </w:r>
          </w:p>
        </w:tc>
        <w:tc>
          <w:tcPr>
            <w:tcW w:w="582" w:type="pct"/>
            <w:vAlign w:val="center"/>
          </w:tcPr>
          <w:p w14:paraId="5BD51D2D">
            <w:pPr>
              <w:pStyle w:val="12"/>
              <w:jc w:val="center"/>
            </w:pPr>
            <w:r>
              <w:rPr>
                <w:rFonts w:hint="eastAsia"/>
              </w:rPr>
              <w:t>1927年</w:t>
            </w:r>
          </w:p>
        </w:tc>
        <w:tc>
          <w:tcPr>
            <w:tcW w:w="1066" w:type="pct"/>
            <w:vAlign w:val="center"/>
          </w:tcPr>
          <w:p w14:paraId="55453DCC">
            <w:pPr>
              <w:pStyle w:val="12"/>
              <w:jc w:val="left"/>
            </w:pPr>
            <w:r>
              <w:rPr>
                <w:rFonts w:hint="eastAsia"/>
              </w:rPr>
              <w:t>赤卫队员</w:t>
            </w:r>
          </w:p>
        </w:tc>
        <w:tc>
          <w:tcPr>
            <w:tcW w:w="1162" w:type="pct"/>
            <w:vAlign w:val="center"/>
          </w:tcPr>
          <w:p w14:paraId="29930C06">
            <w:pPr>
              <w:pStyle w:val="12"/>
              <w:jc w:val="left"/>
            </w:pPr>
            <w:r>
              <w:rPr>
                <w:rFonts w:hint="eastAsia"/>
              </w:rPr>
              <w:t>1928年被捕，在县城郊就义</w:t>
            </w:r>
          </w:p>
        </w:tc>
      </w:tr>
      <w:tr w14:paraId="12496A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F6AB713">
            <w:pPr>
              <w:pStyle w:val="12"/>
              <w:jc w:val="center"/>
            </w:pPr>
            <w:r>
              <w:rPr>
                <w:rFonts w:hint="eastAsia"/>
              </w:rPr>
              <w:t>徐奀生</w:t>
            </w:r>
          </w:p>
        </w:tc>
        <w:tc>
          <w:tcPr>
            <w:tcW w:w="388" w:type="pct"/>
            <w:vAlign w:val="center"/>
          </w:tcPr>
          <w:p w14:paraId="1C163182">
            <w:pPr>
              <w:pStyle w:val="12"/>
              <w:jc w:val="center"/>
            </w:pPr>
            <w:r>
              <w:rPr>
                <w:rFonts w:hint="eastAsia"/>
              </w:rPr>
              <w:t>男</w:t>
            </w:r>
          </w:p>
        </w:tc>
        <w:tc>
          <w:tcPr>
            <w:tcW w:w="582" w:type="pct"/>
            <w:vAlign w:val="center"/>
          </w:tcPr>
          <w:p w14:paraId="1CB0D810">
            <w:pPr>
              <w:pStyle w:val="12"/>
              <w:jc w:val="center"/>
            </w:pPr>
            <w:r>
              <w:rPr>
                <w:rFonts w:hint="eastAsia"/>
              </w:rPr>
              <w:t>1900年</w:t>
            </w:r>
          </w:p>
        </w:tc>
        <w:tc>
          <w:tcPr>
            <w:tcW w:w="582" w:type="pct"/>
            <w:vAlign w:val="center"/>
          </w:tcPr>
          <w:p w14:paraId="14B634E7">
            <w:pPr>
              <w:pStyle w:val="12"/>
              <w:jc w:val="center"/>
            </w:pPr>
            <w:r>
              <w:rPr>
                <w:rFonts w:hint="eastAsia"/>
              </w:rPr>
              <w:t>油山镇</w:t>
            </w:r>
          </w:p>
        </w:tc>
        <w:tc>
          <w:tcPr>
            <w:tcW w:w="582" w:type="pct"/>
            <w:vAlign w:val="center"/>
          </w:tcPr>
          <w:p w14:paraId="1FAE1717">
            <w:pPr>
              <w:pStyle w:val="12"/>
              <w:jc w:val="center"/>
            </w:pPr>
            <w:r>
              <w:rPr>
                <w:rFonts w:hint="eastAsia"/>
              </w:rPr>
              <w:t>1927年</w:t>
            </w:r>
          </w:p>
        </w:tc>
        <w:tc>
          <w:tcPr>
            <w:tcW w:w="1066" w:type="pct"/>
            <w:vAlign w:val="center"/>
          </w:tcPr>
          <w:p w14:paraId="1BF8A4A2">
            <w:pPr>
              <w:pStyle w:val="12"/>
              <w:jc w:val="left"/>
            </w:pPr>
            <w:r>
              <w:rPr>
                <w:rFonts w:hint="eastAsia"/>
              </w:rPr>
              <w:t>赤卫队员</w:t>
            </w:r>
          </w:p>
        </w:tc>
        <w:tc>
          <w:tcPr>
            <w:tcW w:w="1162" w:type="pct"/>
            <w:vAlign w:val="center"/>
          </w:tcPr>
          <w:p w14:paraId="4D113002">
            <w:pPr>
              <w:pStyle w:val="12"/>
              <w:jc w:val="left"/>
            </w:pPr>
            <w:r>
              <w:rPr>
                <w:rFonts w:hint="eastAsia"/>
              </w:rPr>
              <w:t>1928年被捕，在县城郊就义</w:t>
            </w:r>
          </w:p>
        </w:tc>
      </w:tr>
      <w:tr w14:paraId="1ECB3F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45B0CC4">
            <w:pPr>
              <w:pStyle w:val="12"/>
              <w:jc w:val="center"/>
            </w:pPr>
            <w:r>
              <w:rPr>
                <w:rFonts w:hint="eastAsia"/>
              </w:rPr>
              <w:t>何世煌</w:t>
            </w:r>
          </w:p>
        </w:tc>
        <w:tc>
          <w:tcPr>
            <w:tcW w:w="388" w:type="pct"/>
            <w:vAlign w:val="center"/>
          </w:tcPr>
          <w:p w14:paraId="4048F6D7">
            <w:pPr>
              <w:pStyle w:val="12"/>
              <w:jc w:val="center"/>
            </w:pPr>
            <w:r>
              <w:rPr>
                <w:rFonts w:hint="eastAsia"/>
              </w:rPr>
              <w:t>男</w:t>
            </w:r>
          </w:p>
        </w:tc>
        <w:tc>
          <w:tcPr>
            <w:tcW w:w="582" w:type="pct"/>
            <w:vAlign w:val="center"/>
          </w:tcPr>
          <w:p w14:paraId="5DC40C8E">
            <w:pPr>
              <w:pStyle w:val="12"/>
              <w:jc w:val="center"/>
            </w:pPr>
            <w:r>
              <w:rPr>
                <w:rFonts w:hint="eastAsia"/>
              </w:rPr>
              <w:t>1912年</w:t>
            </w:r>
          </w:p>
        </w:tc>
        <w:tc>
          <w:tcPr>
            <w:tcW w:w="582" w:type="pct"/>
            <w:vAlign w:val="center"/>
          </w:tcPr>
          <w:p w14:paraId="46DCDCFE">
            <w:pPr>
              <w:pStyle w:val="12"/>
              <w:jc w:val="center"/>
            </w:pPr>
            <w:r>
              <w:rPr>
                <w:rFonts w:hint="eastAsia"/>
              </w:rPr>
              <w:t>珠玑镇</w:t>
            </w:r>
          </w:p>
        </w:tc>
        <w:tc>
          <w:tcPr>
            <w:tcW w:w="582" w:type="pct"/>
            <w:vAlign w:val="center"/>
          </w:tcPr>
          <w:p w14:paraId="0B8264F1">
            <w:pPr>
              <w:pStyle w:val="12"/>
              <w:jc w:val="center"/>
            </w:pPr>
            <w:r>
              <w:rPr>
                <w:rFonts w:hint="eastAsia"/>
              </w:rPr>
              <w:t>1928年</w:t>
            </w:r>
          </w:p>
        </w:tc>
        <w:tc>
          <w:tcPr>
            <w:tcW w:w="1066" w:type="pct"/>
            <w:vAlign w:val="center"/>
          </w:tcPr>
          <w:p w14:paraId="62D7D4A2">
            <w:pPr>
              <w:pStyle w:val="12"/>
              <w:jc w:val="left"/>
            </w:pPr>
            <w:r>
              <w:rPr>
                <w:rFonts w:hint="eastAsia"/>
              </w:rPr>
              <w:t>赤卫队员</w:t>
            </w:r>
          </w:p>
        </w:tc>
        <w:tc>
          <w:tcPr>
            <w:tcW w:w="1162" w:type="pct"/>
            <w:vAlign w:val="center"/>
          </w:tcPr>
          <w:p w14:paraId="5212732C">
            <w:pPr>
              <w:pStyle w:val="12"/>
              <w:jc w:val="left"/>
            </w:pPr>
            <w:r>
              <w:rPr>
                <w:rFonts w:hint="eastAsia"/>
              </w:rPr>
              <w:t>1928年冬在邓坊就义</w:t>
            </w:r>
          </w:p>
        </w:tc>
      </w:tr>
      <w:tr w14:paraId="7E6CE0E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A9F31C2">
            <w:pPr>
              <w:pStyle w:val="12"/>
              <w:jc w:val="center"/>
            </w:pPr>
            <w:r>
              <w:rPr>
                <w:rFonts w:hint="eastAsia"/>
              </w:rPr>
              <w:t>张虾毛</w:t>
            </w:r>
          </w:p>
        </w:tc>
        <w:tc>
          <w:tcPr>
            <w:tcW w:w="388" w:type="pct"/>
            <w:vAlign w:val="center"/>
          </w:tcPr>
          <w:p w14:paraId="10A459D2">
            <w:pPr>
              <w:pStyle w:val="12"/>
              <w:jc w:val="center"/>
            </w:pPr>
            <w:r>
              <w:rPr>
                <w:rFonts w:hint="eastAsia"/>
              </w:rPr>
              <w:t>男</w:t>
            </w:r>
          </w:p>
        </w:tc>
        <w:tc>
          <w:tcPr>
            <w:tcW w:w="582" w:type="pct"/>
            <w:vAlign w:val="center"/>
          </w:tcPr>
          <w:p w14:paraId="61C8F9BD">
            <w:pPr>
              <w:pStyle w:val="12"/>
              <w:jc w:val="center"/>
            </w:pPr>
            <w:r>
              <w:rPr>
                <w:rFonts w:hint="eastAsia"/>
              </w:rPr>
              <w:t>—</w:t>
            </w:r>
          </w:p>
        </w:tc>
        <w:tc>
          <w:tcPr>
            <w:tcW w:w="582" w:type="pct"/>
            <w:vAlign w:val="center"/>
          </w:tcPr>
          <w:p w14:paraId="533278AB">
            <w:pPr>
              <w:pStyle w:val="12"/>
              <w:jc w:val="center"/>
            </w:pPr>
            <w:r>
              <w:rPr>
                <w:rFonts w:hint="eastAsia"/>
              </w:rPr>
              <w:t>珠玑镇</w:t>
            </w:r>
          </w:p>
        </w:tc>
        <w:tc>
          <w:tcPr>
            <w:tcW w:w="582" w:type="pct"/>
            <w:vAlign w:val="center"/>
          </w:tcPr>
          <w:p w14:paraId="17A8E2D5">
            <w:pPr>
              <w:pStyle w:val="12"/>
              <w:jc w:val="center"/>
            </w:pPr>
            <w:r>
              <w:rPr>
                <w:rFonts w:hint="eastAsia"/>
              </w:rPr>
              <w:t>1927年</w:t>
            </w:r>
          </w:p>
        </w:tc>
        <w:tc>
          <w:tcPr>
            <w:tcW w:w="1066" w:type="pct"/>
            <w:vAlign w:val="center"/>
          </w:tcPr>
          <w:p w14:paraId="095C4CB7">
            <w:pPr>
              <w:pStyle w:val="12"/>
              <w:jc w:val="left"/>
            </w:pPr>
            <w:r>
              <w:rPr>
                <w:rFonts w:hint="eastAsia"/>
              </w:rPr>
              <w:t>赤卫队交通员</w:t>
            </w:r>
          </w:p>
        </w:tc>
        <w:tc>
          <w:tcPr>
            <w:tcW w:w="1162" w:type="pct"/>
            <w:vAlign w:val="center"/>
          </w:tcPr>
          <w:p w14:paraId="21094538">
            <w:pPr>
              <w:pStyle w:val="12"/>
              <w:jc w:val="left"/>
            </w:pPr>
            <w:r>
              <w:rPr>
                <w:rFonts w:hint="eastAsia"/>
              </w:rPr>
              <w:t>1928年在里东就义</w:t>
            </w:r>
          </w:p>
        </w:tc>
      </w:tr>
      <w:tr w14:paraId="73E324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66F49C9">
            <w:pPr>
              <w:pStyle w:val="12"/>
              <w:jc w:val="center"/>
            </w:pPr>
            <w:r>
              <w:rPr>
                <w:rFonts w:hint="eastAsia"/>
              </w:rPr>
              <w:t>朱德裕</w:t>
            </w:r>
          </w:p>
        </w:tc>
        <w:tc>
          <w:tcPr>
            <w:tcW w:w="388" w:type="pct"/>
            <w:vAlign w:val="center"/>
          </w:tcPr>
          <w:p w14:paraId="7B5A3409">
            <w:pPr>
              <w:pStyle w:val="12"/>
              <w:jc w:val="center"/>
            </w:pPr>
            <w:r>
              <w:rPr>
                <w:rFonts w:hint="eastAsia"/>
              </w:rPr>
              <w:t>男</w:t>
            </w:r>
          </w:p>
        </w:tc>
        <w:tc>
          <w:tcPr>
            <w:tcW w:w="582" w:type="pct"/>
            <w:vAlign w:val="center"/>
          </w:tcPr>
          <w:p w14:paraId="0DB21528">
            <w:pPr>
              <w:pStyle w:val="12"/>
              <w:jc w:val="center"/>
            </w:pPr>
            <w:r>
              <w:rPr>
                <w:rFonts w:hint="eastAsia"/>
              </w:rPr>
              <w:t>1904年</w:t>
            </w:r>
          </w:p>
        </w:tc>
        <w:tc>
          <w:tcPr>
            <w:tcW w:w="582" w:type="pct"/>
            <w:vAlign w:val="center"/>
          </w:tcPr>
          <w:p w14:paraId="755C22C8">
            <w:pPr>
              <w:pStyle w:val="12"/>
              <w:jc w:val="center"/>
            </w:pPr>
            <w:r>
              <w:rPr>
                <w:rFonts w:hint="eastAsia"/>
              </w:rPr>
              <w:t>湖口镇</w:t>
            </w:r>
          </w:p>
        </w:tc>
        <w:tc>
          <w:tcPr>
            <w:tcW w:w="582" w:type="pct"/>
            <w:vAlign w:val="center"/>
          </w:tcPr>
          <w:p w14:paraId="5B8FD84B">
            <w:pPr>
              <w:pStyle w:val="12"/>
              <w:jc w:val="center"/>
            </w:pPr>
            <w:r>
              <w:rPr>
                <w:rFonts w:hint="eastAsia"/>
              </w:rPr>
              <w:t>1927年</w:t>
            </w:r>
          </w:p>
        </w:tc>
        <w:tc>
          <w:tcPr>
            <w:tcW w:w="1066" w:type="pct"/>
            <w:vAlign w:val="center"/>
          </w:tcPr>
          <w:p w14:paraId="687AC80C">
            <w:pPr>
              <w:pStyle w:val="12"/>
              <w:jc w:val="left"/>
            </w:pPr>
            <w:r>
              <w:rPr>
                <w:rFonts w:hint="eastAsia"/>
              </w:rPr>
              <w:t>南雄游击队员</w:t>
            </w:r>
          </w:p>
        </w:tc>
        <w:tc>
          <w:tcPr>
            <w:tcW w:w="1162" w:type="pct"/>
            <w:vAlign w:val="center"/>
          </w:tcPr>
          <w:p w14:paraId="7C9C1C55">
            <w:pPr>
              <w:pStyle w:val="12"/>
              <w:jc w:val="left"/>
            </w:pPr>
            <w:r>
              <w:rPr>
                <w:rFonts w:hint="eastAsia"/>
              </w:rPr>
              <w:t>1928年10月在县城被捕就义</w:t>
            </w:r>
          </w:p>
        </w:tc>
      </w:tr>
      <w:tr w14:paraId="7F943F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4395D84">
            <w:pPr>
              <w:pStyle w:val="12"/>
              <w:jc w:val="center"/>
            </w:pPr>
            <w:r>
              <w:rPr>
                <w:rFonts w:hint="eastAsia"/>
              </w:rPr>
              <w:t>刘大炮</w:t>
            </w:r>
          </w:p>
        </w:tc>
        <w:tc>
          <w:tcPr>
            <w:tcW w:w="388" w:type="pct"/>
            <w:vAlign w:val="center"/>
          </w:tcPr>
          <w:p w14:paraId="2A38117E">
            <w:pPr>
              <w:pStyle w:val="12"/>
              <w:jc w:val="center"/>
            </w:pPr>
            <w:r>
              <w:rPr>
                <w:rFonts w:hint="eastAsia"/>
              </w:rPr>
              <w:t>男</w:t>
            </w:r>
          </w:p>
        </w:tc>
        <w:tc>
          <w:tcPr>
            <w:tcW w:w="582" w:type="pct"/>
            <w:vAlign w:val="center"/>
          </w:tcPr>
          <w:p w14:paraId="6F5DF822">
            <w:pPr>
              <w:pStyle w:val="12"/>
              <w:jc w:val="center"/>
            </w:pPr>
            <w:r>
              <w:rPr>
                <w:rFonts w:hint="eastAsia"/>
              </w:rPr>
              <w:t>1898年</w:t>
            </w:r>
          </w:p>
        </w:tc>
        <w:tc>
          <w:tcPr>
            <w:tcW w:w="582" w:type="pct"/>
            <w:vAlign w:val="center"/>
          </w:tcPr>
          <w:p w14:paraId="5E34F5BF">
            <w:pPr>
              <w:pStyle w:val="12"/>
              <w:jc w:val="center"/>
            </w:pPr>
            <w:r>
              <w:rPr>
                <w:rFonts w:hint="eastAsia"/>
              </w:rPr>
              <w:t>湖口镇</w:t>
            </w:r>
          </w:p>
        </w:tc>
        <w:tc>
          <w:tcPr>
            <w:tcW w:w="582" w:type="pct"/>
            <w:vAlign w:val="center"/>
          </w:tcPr>
          <w:p w14:paraId="66AF577B">
            <w:pPr>
              <w:pStyle w:val="12"/>
              <w:jc w:val="center"/>
            </w:pPr>
            <w:r>
              <w:rPr>
                <w:rFonts w:hint="eastAsia"/>
              </w:rPr>
              <w:t>1927年</w:t>
            </w:r>
          </w:p>
        </w:tc>
        <w:tc>
          <w:tcPr>
            <w:tcW w:w="1066" w:type="pct"/>
            <w:vAlign w:val="center"/>
          </w:tcPr>
          <w:p w14:paraId="2671C74A">
            <w:pPr>
              <w:pStyle w:val="12"/>
              <w:jc w:val="left"/>
            </w:pPr>
            <w:r>
              <w:rPr>
                <w:rFonts w:hint="eastAsia"/>
              </w:rPr>
              <w:t>南雄游击队员</w:t>
            </w:r>
          </w:p>
        </w:tc>
        <w:tc>
          <w:tcPr>
            <w:tcW w:w="1162" w:type="pct"/>
            <w:vAlign w:val="center"/>
          </w:tcPr>
          <w:p w14:paraId="735D5437">
            <w:pPr>
              <w:pStyle w:val="12"/>
              <w:jc w:val="left"/>
            </w:pPr>
            <w:r>
              <w:rPr>
                <w:rFonts w:hint="eastAsia"/>
              </w:rPr>
              <w:t>1928年在里东战斗牺牲</w:t>
            </w:r>
          </w:p>
        </w:tc>
      </w:tr>
      <w:tr w14:paraId="2DBD40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5755839">
            <w:pPr>
              <w:pStyle w:val="12"/>
              <w:jc w:val="center"/>
            </w:pPr>
            <w:r>
              <w:rPr>
                <w:rFonts w:hint="eastAsia"/>
              </w:rPr>
              <w:t>李春生</w:t>
            </w:r>
          </w:p>
        </w:tc>
        <w:tc>
          <w:tcPr>
            <w:tcW w:w="388" w:type="pct"/>
            <w:vAlign w:val="center"/>
          </w:tcPr>
          <w:p w14:paraId="02AB1458">
            <w:pPr>
              <w:pStyle w:val="12"/>
              <w:jc w:val="center"/>
            </w:pPr>
            <w:r>
              <w:rPr>
                <w:rFonts w:hint="eastAsia"/>
              </w:rPr>
              <w:t>男</w:t>
            </w:r>
          </w:p>
        </w:tc>
        <w:tc>
          <w:tcPr>
            <w:tcW w:w="582" w:type="pct"/>
            <w:vAlign w:val="center"/>
          </w:tcPr>
          <w:p w14:paraId="3CA3B2C5">
            <w:pPr>
              <w:pStyle w:val="12"/>
              <w:jc w:val="center"/>
            </w:pPr>
            <w:r>
              <w:rPr>
                <w:rFonts w:hint="eastAsia"/>
              </w:rPr>
              <w:t>1905年</w:t>
            </w:r>
          </w:p>
        </w:tc>
        <w:tc>
          <w:tcPr>
            <w:tcW w:w="582" w:type="pct"/>
            <w:vAlign w:val="center"/>
          </w:tcPr>
          <w:p w14:paraId="3E0F6873">
            <w:pPr>
              <w:pStyle w:val="12"/>
              <w:jc w:val="center"/>
            </w:pPr>
            <w:r>
              <w:rPr>
                <w:rFonts w:hint="eastAsia"/>
              </w:rPr>
              <w:t>湖口镇</w:t>
            </w:r>
          </w:p>
        </w:tc>
        <w:tc>
          <w:tcPr>
            <w:tcW w:w="582" w:type="pct"/>
            <w:vAlign w:val="center"/>
          </w:tcPr>
          <w:p w14:paraId="38A0C499">
            <w:pPr>
              <w:pStyle w:val="12"/>
              <w:jc w:val="center"/>
            </w:pPr>
            <w:r>
              <w:rPr>
                <w:rFonts w:hint="eastAsia"/>
              </w:rPr>
              <w:t>1928年</w:t>
            </w:r>
          </w:p>
        </w:tc>
        <w:tc>
          <w:tcPr>
            <w:tcW w:w="1066" w:type="pct"/>
            <w:vAlign w:val="center"/>
          </w:tcPr>
          <w:p w14:paraId="247A86B6">
            <w:pPr>
              <w:pStyle w:val="12"/>
              <w:jc w:val="left"/>
            </w:pPr>
            <w:r>
              <w:rPr>
                <w:rFonts w:hint="eastAsia"/>
              </w:rPr>
              <w:t>赤卫队队员</w:t>
            </w:r>
          </w:p>
        </w:tc>
        <w:tc>
          <w:tcPr>
            <w:tcW w:w="1162" w:type="pct"/>
            <w:vAlign w:val="center"/>
          </w:tcPr>
          <w:p w14:paraId="1A417FC8">
            <w:pPr>
              <w:pStyle w:val="12"/>
              <w:jc w:val="left"/>
            </w:pPr>
            <w:r>
              <w:rPr>
                <w:rFonts w:hint="eastAsia"/>
              </w:rPr>
              <w:t>1928年在湖口围俚被捕，在南雄城郊就义</w:t>
            </w:r>
          </w:p>
        </w:tc>
      </w:tr>
      <w:tr w14:paraId="12DC82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A3F5911">
            <w:pPr>
              <w:pStyle w:val="12"/>
              <w:jc w:val="center"/>
            </w:pPr>
            <w:r>
              <w:rPr>
                <w:rFonts w:hint="eastAsia"/>
              </w:rPr>
              <w:t>刘清明团</w:t>
            </w:r>
          </w:p>
        </w:tc>
        <w:tc>
          <w:tcPr>
            <w:tcW w:w="388" w:type="pct"/>
            <w:vAlign w:val="center"/>
          </w:tcPr>
          <w:p w14:paraId="40A754B0">
            <w:pPr>
              <w:pStyle w:val="12"/>
              <w:jc w:val="center"/>
            </w:pPr>
            <w:r>
              <w:rPr>
                <w:rFonts w:hint="eastAsia"/>
              </w:rPr>
              <w:t>男</w:t>
            </w:r>
          </w:p>
        </w:tc>
        <w:tc>
          <w:tcPr>
            <w:tcW w:w="582" w:type="pct"/>
            <w:vAlign w:val="center"/>
          </w:tcPr>
          <w:p w14:paraId="6261409B">
            <w:pPr>
              <w:pStyle w:val="12"/>
              <w:jc w:val="center"/>
            </w:pPr>
            <w:r>
              <w:rPr>
                <w:rFonts w:hint="eastAsia"/>
              </w:rPr>
              <w:t>1894年</w:t>
            </w:r>
          </w:p>
        </w:tc>
        <w:tc>
          <w:tcPr>
            <w:tcW w:w="582" w:type="pct"/>
            <w:vAlign w:val="center"/>
          </w:tcPr>
          <w:p w14:paraId="44187DB0">
            <w:pPr>
              <w:pStyle w:val="12"/>
              <w:jc w:val="center"/>
            </w:pPr>
            <w:r>
              <w:rPr>
                <w:rFonts w:hint="eastAsia"/>
              </w:rPr>
              <w:t>湖口镇</w:t>
            </w:r>
          </w:p>
        </w:tc>
        <w:tc>
          <w:tcPr>
            <w:tcW w:w="582" w:type="pct"/>
            <w:vAlign w:val="center"/>
          </w:tcPr>
          <w:p w14:paraId="1694C435">
            <w:pPr>
              <w:pStyle w:val="12"/>
              <w:jc w:val="center"/>
            </w:pPr>
            <w:r>
              <w:rPr>
                <w:rFonts w:hint="eastAsia"/>
              </w:rPr>
              <w:t>1927年</w:t>
            </w:r>
          </w:p>
        </w:tc>
        <w:tc>
          <w:tcPr>
            <w:tcW w:w="1066" w:type="pct"/>
            <w:vAlign w:val="center"/>
          </w:tcPr>
          <w:p w14:paraId="3799C138">
            <w:pPr>
              <w:pStyle w:val="12"/>
              <w:jc w:val="left"/>
            </w:pPr>
            <w:r>
              <w:rPr>
                <w:rFonts w:hint="eastAsia"/>
              </w:rPr>
              <w:t>赤卫队队员</w:t>
            </w:r>
          </w:p>
        </w:tc>
        <w:tc>
          <w:tcPr>
            <w:tcW w:w="1162" w:type="pct"/>
            <w:vAlign w:val="center"/>
          </w:tcPr>
          <w:p w14:paraId="7FD6CA9B">
            <w:pPr>
              <w:pStyle w:val="12"/>
              <w:jc w:val="left"/>
            </w:pPr>
            <w:r>
              <w:rPr>
                <w:rFonts w:hint="eastAsia"/>
              </w:rPr>
              <w:t>1928年在里东作战被捕，在水口镇河坪就义</w:t>
            </w:r>
          </w:p>
        </w:tc>
      </w:tr>
      <w:tr w14:paraId="679C7B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26133A2">
            <w:pPr>
              <w:pStyle w:val="12"/>
              <w:jc w:val="center"/>
            </w:pPr>
            <w:r>
              <w:rPr>
                <w:rFonts w:hint="eastAsia"/>
              </w:rPr>
              <w:t>曾昭阳娣</w:t>
            </w:r>
          </w:p>
        </w:tc>
        <w:tc>
          <w:tcPr>
            <w:tcW w:w="388" w:type="pct"/>
            <w:vAlign w:val="center"/>
          </w:tcPr>
          <w:p w14:paraId="2D44EC43">
            <w:pPr>
              <w:pStyle w:val="12"/>
              <w:jc w:val="center"/>
            </w:pPr>
            <w:r>
              <w:rPr>
                <w:rFonts w:hint="eastAsia"/>
              </w:rPr>
              <w:t>男</w:t>
            </w:r>
          </w:p>
        </w:tc>
        <w:tc>
          <w:tcPr>
            <w:tcW w:w="582" w:type="pct"/>
            <w:vAlign w:val="center"/>
          </w:tcPr>
          <w:p w14:paraId="341AB8C1">
            <w:pPr>
              <w:pStyle w:val="12"/>
              <w:jc w:val="center"/>
            </w:pPr>
            <w:r>
              <w:rPr>
                <w:rFonts w:hint="eastAsia"/>
              </w:rPr>
              <w:t>1901年</w:t>
            </w:r>
          </w:p>
        </w:tc>
        <w:tc>
          <w:tcPr>
            <w:tcW w:w="582" w:type="pct"/>
            <w:vAlign w:val="center"/>
          </w:tcPr>
          <w:p w14:paraId="2651376D">
            <w:pPr>
              <w:pStyle w:val="12"/>
              <w:jc w:val="center"/>
            </w:pPr>
            <w:r>
              <w:rPr>
                <w:rFonts w:hint="eastAsia"/>
              </w:rPr>
              <w:t>湖口镇</w:t>
            </w:r>
          </w:p>
        </w:tc>
        <w:tc>
          <w:tcPr>
            <w:tcW w:w="582" w:type="pct"/>
            <w:vAlign w:val="center"/>
          </w:tcPr>
          <w:p w14:paraId="01FB8F49">
            <w:pPr>
              <w:pStyle w:val="12"/>
              <w:jc w:val="center"/>
            </w:pPr>
            <w:r>
              <w:rPr>
                <w:rFonts w:hint="eastAsia"/>
              </w:rPr>
              <w:t>1928年</w:t>
            </w:r>
          </w:p>
        </w:tc>
        <w:tc>
          <w:tcPr>
            <w:tcW w:w="1066" w:type="pct"/>
            <w:vAlign w:val="center"/>
          </w:tcPr>
          <w:p w14:paraId="6D4C43B7">
            <w:pPr>
              <w:pStyle w:val="12"/>
              <w:jc w:val="left"/>
            </w:pPr>
            <w:r>
              <w:rPr>
                <w:rFonts w:hint="eastAsia"/>
              </w:rPr>
              <w:t>赤卫队队员</w:t>
            </w:r>
          </w:p>
        </w:tc>
        <w:tc>
          <w:tcPr>
            <w:tcW w:w="1162" w:type="pct"/>
            <w:vAlign w:val="center"/>
          </w:tcPr>
          <w:p w14:paraId="1B5B9360">
            <w:pPr>
              <w:pStyle w:val="12"/>
              <w:jc w:val="left"/>
            </w:pPr>
            <w:r>
              <w:rPr>
                <w:rFonts w:hint="eastAsia"/>
              </w:rPr>
              <w:t>1928年在湖口围俚被捕就义</w:t>
            </w:r>
          </w:p>
        </w:tc>
      </w:tr>
      <w:tr w14:paraId="59A41A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251C762">
            <w:pPr>
              <w:pStyle w:val="12"/>
              <w:jc w:val="center"/>
            </w:pPr>
            <w:r>
              <w:rPr>
                <w:rFonts w:hint="eastAsia"/>
              </w:rPr>
              <w:t>曾桂生</w:t>
            </w:r>
          </w:p>
        </w:tc>
        <w:tc>
          <w:tcPr>
            <w:tcW w:w="388" w:type="pct"/>
            <w:vAlign w:val="center"/>
          </w:tcPr>
          <w:p w14:paraId="7982A107">
            <w:pPr>
              <w:pStyle w:val="12"/>
              <w:jc w:val="center"/>
            </w:pPr>
            <w:r>
              <w:rPr>
                <w:rFonts w:hint="eastAsia"/>
              </w:rPr>
              <w:t>男</w:t>
            </w:r>
          </w:p>
        </w:tc>
        <w:tc>
          <w:tcPr>
            <w:tcW w:w="582" w:type="pct"/>
            <w:vAlign w:val="center"/>
          </w:tcPr>
          <w:p w14:paraId="5BD4453F">
            <w:pPr>
              <w:pStyle w:val="12"/>
              <w:jc w:val="center"/>
            </w:pPr>
            <w:r>
              <w:rPr>
                <w:rFonts w:hint="eastAsia"/>
              </w:rPr>
              <w:t>1903年</w:t>
            </w:r>
          </w:p>
        </w:tc>
        <w:tc>
          <w:tcPr>
            <w:tcW w:w="582" w:type="pct"/>
            <w:vAlign w:val="center"/>
          </w:tcPr>
          <w:p w14:paraId="1E9CDABD">
            <w:pPr>
              <w:pStyle w:val="12"/>
              <w:jc w:val="center"/>
            </w:pPr>
            <w:r>
              <w:rPr>
                <w:rFonts w:hint="eastAsia"/>
              </w:rPr>
              <w:t>湖口镇</w:t>
            </w:r>
          </w:p>
        </w:tc>
        <w:tc>
          <w:tcPr>
            <w:tcW w:w="582" w:type="pct"/>
            <w:vAlign w:val="center"/>
          </w:tcPr>
          <w:p w14:paraId="3AB927C6">
            <w:pPr>
              <w:pStyle w:val="12"/>
              <w:jc w:val="center"/>
            </w:pPr>
            <w:r>
              <w:rPr>
                <w:rFonts w:hint="eastAsia"/>
              </w:rPr>
              <w:t>1928年</w:t>
            </w:r>
          </w:p>
        </w:tc>
        <w:tc>
          <w:tcPr>
            <w:tcW w:w="1066" w:type="pct"/>
            <w:vAlign w:val="center"/>
          </w:tcPr>
          <w:p w14:paraId="291297B4">
            <w:pPr>
              <w:pStyle w:val="12"/>
              <w:jc w:val="left"/>
            </w:pPr>
            <w:r>
              <w:rPr>
                <w:rFonts w:hint="eastAsia"/>
              </w:rPr>
              <w:t>赤卫队队员</w:t>
            </w:r>
          </w:p>
        </w:tc>
        <w:tc>
          <w:tcPr>
            <w:tcW w:w="1162" w:type="pct"/>
            <w:vAlign w:val="center"/>
          </w:tcPr>
          <w:p w14:paraId="44583334">
            <w:pPr>
              <w:pStyle w:val="12"/>
              <w:jc w:val="left"/>
            </w:pPr>
            <w:r>
              <w:rPr>
                <w:rFonts w:hint="eastAsia"/>
              </w:rPr>
              <w:t>1928年在湖口围俚被捕就义</w:t>
            </w:r>
          </w:p>
        </w:tc>
      </w:tr>
      <w:tr w14:paraId="642521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5EBDE0C">
            <w:pPr>
              <w:pStyle w:val="12"/>
              <w:jc w:val="center"/>
            </w:pPr>
            <w:r>
              <w:rPr>
                <w:rFonts w:hint="eastAsia"/>
              </w:rPr>
              <w:t>叶丰信</w:t>
            </w:r>
          </w:p>
        </w:tc>
        <w:tc>
          <w:tcPr>
            <w:tcW w:w="388" w:type="pct"/>
            <w:vAlign w:val="center"/>
          </w:tcPr>
          <w:p w14:paraId="357F8543">
            <w:pPr>
              <w:pStyle w:val="12"/>
              <w:jc w:val="center"/>
            </w:pPr>
            <w:r>
              <w:rPr>
                <w:rFonts w:hint="eastAsia"/>
              </w:rPr>
              <w:t>男</w:t>
            </w:r>
          </w:p>
        </w:tc>
        <w:tc>
          <w:tcPr>
            <w:tcW w:w="582" w:type="pct"/>
            <w:vAlign w:val="center"/>
          </w:tcPr>
          <w:p w14:paraId="6359E078">
            <w:pPr>
              <w:pStyle w:val="12"/>
              <w:jc w:val="center"/>
            </w:pPr>
            <w:r>
              <w:rPr>
                <w:rFonts w:hint="eastAsia"/>
              </w:rPr>
              <w:t>1889年</w:t>
            </w:r>
          </w:p>
        </w:tc>
        <w:tc>
          <w:tcPr>
            <w:tcW w:w="582" w:type="pct"/>
            <w:vAlign w:val="center"/>
          </w:tcPr>
          <w:p w14:paraId="37CD533D">
            <w:pPr>
              <w:pStyle w:val="12"/>
              <w:jc w:val="center"/>
            </w:pPr>
            <w:r>
              <w:rPr>
                <w:rFonts w:hint="eastAsia"/>
              </w:rPr>
              <w:t>油山镇</w:t>
            </w:r>
          </w:p>
        </w:tc>
        <w:tc>
          <w:tcPr>
            <w:tcW w:w="582" w:type="pct"/>
            <w:vAlign w:val="center"/>
          </w:tcPr>
          <w:p w14:paraId="4E1BDDBE">
            <w:pPr>
              <w:pStyle w:val="12"/>
              <w:jc w:val="center"/>
            </w:pPr>
            <w:r>
              <w:rPr>
                <w:rFonts w:hint="eastAsia"/>
              </w:rPr>
              <w:t>1928年</w:t>
            </w:r>
          </w:p>
        </w:tc>
        <w:tc>
          <w:tcPr>
            <w:tcW w:w="1066" w:type="pct"/>
            <w:vAlign w:val="center"/>
          </w:tcPr>
          <w:p w14:paraId="3058E63A">
            <w:pPr>
              <w:pStyle w:val="12"/>
              <w:jc w:val="left"/>
            </w:pPr>
            <w:r>
              <w:rPr>
                <w:rFonts w:hint="eastAsia"/>
              </w:rPr>
              <w:t>赤卫队队员</w:t>
            </w:r>
          </w:p>
        </w:tc>
        <w:tc>
          <w:tcPr>
            <w:tcW w:w="1162" w:type="pct"/>
            <w:vAlign w:val="center"/>
          </w:tcPr>
          <w:p w14:paraId="1306FBFB">
            <w:pPr>
              <w:pStyle w:val="12"/>
              <w:jc w:val="left"/>
            </w:pPr>
            <w:r>
              <w:rPr>
                <w:rFonts w:hint="eastAsia"/>
              </w:rPr>
              <w:t>1928年在上朔被捕，在邓坊就义</w:t>
            </w:r>
          </w:p>
        </w:tc>
      </w:tr>
      <w:tr w14:paraId="072BE7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2ED99E5">
            <w:pPr>
              <w:pStyle w:val="12"/>
              <w:jc w:val="center"/>
            </w:pPr>
            <w:r>
              <w:rPr>
                <w:rFonts w:hint="eastAsia"/>
              </w:rPr>
              <w:t>叶昌祯</w:t>
            </w:r>
          </w:p>
        </w:tc>
        <w:tc>
          <w:tcPr>
            <w:tcW w:w="388" w:type="pct"/>
            <w:vAlign w:val="center"/>
          </w:tcPr>
          <w:p w14:paraId="4DEF32F0">
            <w:pPr>
              <w:pStyle w:val="12"/>
              <w:jc w:val="center"/>
            </w:pPr>
            <w:r>
              <w:rPr>
                <w:rFonts w:hint="eastAsia"/>
              </w:rPr>
              <w:t>男</w:t>
            </w:r>
          </w:p>
        </w:tc>
        <w:tc>
          <w:tcPr>
            <w:tcW w:w="582" w:type="pct"/>
            <w:vAlign w:val="center"/>
          </w:tcPr>
          <w:p w14:paraId="1A6F48F6">
            <w:pPr>
              <w:pStyle w:val="12"/>
              <w:jc w:val="center"/>
            </w:pPr>
            <w:r>
              <w:rPr>
                <w:rFonts w:hint="eastAsia"/>
              </w:rPr>
              <w:t>1895年</w:t>
            </w:r>
          </w:p>
        </w:tc>
        <w:tc>
          <w:tcPr>
            <w:tcW w:w="582" w:type="pct"/>
            <w:vAlign w:val="center"/>
          </w:tcPr>
          <w:p w14:paraId="22C9B979">
            <w:pPr>
              <w:pStyle w:val="12"/>
              <w:jc w:val="center"/>
            </w:pPr>
            <w:r>
              <w:rPr>
                <w:rFonts w:hint="eastAsia"/>
              </w:rPr>
              <w:t>油山镇</w:t>
            </w:r>
          </w:p>
        </w:tc>
        <w:tc>
          <w:tcPr>
            <w:tcW w:w="582" w:type="pct"/>
            <w:vAlign w:val="center"/>
          </w:tcPr>
          <w:p w14:paraId="4E32F95B">
            <w:pPr>
              <w:pStyle w:val="12"/>
              <w:jc w:val="center"/>
            </w:pPr>
            <w:r>
              <w:rPr>
                <w:rFonts w:hint="eastAsia"/>
              </w:rPr>
              <w:t>1928年</w:t>
            </w:r>
          </w:p>
        </w:tc>
        <w:tc>
          <w:tcPr>
            <w:tcW w:w="1066" w:type="pct"/>
            <w:vAlign w:val="center"/>
          </w:tcPr>
          <w:p w14:paraId="51E436E6">
            <w:pPr>
              <w:pStyle w:val="12"/>
              <w:jc w:val="left"/>
            </w:pPr>
            <w:r>
              <w:rPr>
                <w:rFonts w:hint="eastAsia"/>
              </w:rPr>
              <w:t>中共地下交通站  站  长</w:t>
            </w:r>
          </w:p>
        </w:tc>
        <w:tc>
          <w:tcPr>
            <w:tcW w:w="1162" w:type="pct"/>
            <w:vAlign w:val="center"/>
          </w:tcPr>
          <w:p w14:paraId="1A81BC57">
            <w:pPr>
              <w:pStyle w:val="12"/>
              <w:jc w:val="left"/>
            </w:pPr>
            <w:r>
              <w:rPr>
                <w:rFonts w:hint="eastAsia"/>
              </w:rPr>
              <w:t>1928年在乌迳鱼塘背高陂因叛徒告密被捕就义</w:t>
            </w:r>
          </w:p>
        </w:tc>
      </w:tr>
      <w:tr w14:paraId="3E3435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9664385">
            <w:pPr>
              <w:pStyle w:val="12"/>
              <w:jc w:val="center"/>
            </w:pPr>
            <w:r>
              <w:rPr>
                <w:rFonts w:hint="eastAsia"/>
              </w:rPr>
              <w:t>彭彰荣</w:t>
            </w:r>
          </w:p>
        </w:tc>
        <w:tc>
          <w:tcPr>
            <w:tcW w:w="388" w:type="pct"/>
            <w:vAlign w:val="center"/>
          </w:tcPr>
          <w:p w14:paraId="03D4159F">
            <w:pPr>
              <w:pStyle w:val="12"/>
              <w:jc w:val="center"/>
            </w:pPr>
            <w:r>
              <w:rPr>
                <w:rFonts w:hint="eastAsia"/>
              </w:rPr>
              <w:t>男</w:t>
            </w:r>
          </w:p>
        </w:tc>
        <w:tc>
          <w:tcPr>
            <w:tcW w:w="582" w:type="pct"/>
            <w:vAlign w:val="center"/>
          </w:tcPr>
          <w:p w14:paraId="79D6FC13">
            <w:pPr>
              <w:pStyle w:val="12"/>
              <w:jc w:val="center"/>
            </w:pPr>
            <w:r>
              <w:rPr>
                <w:rFonts w:hint="eastAsia"/>
              </w:rPr>
              <w:t>1885年</w:t>
            </w:r>
          </w:p>
        </w:tc>
        <w:tc>
          <w:tcPr>
            <w:tcW w:w="582" w:type="pct"/>
            <w:vAlign w:val="center"/>
          </w:tcPr>
          <w:p w14:paraId="6064C440">
            <w:pPr>
              <w:pStyle w:val="12"/>
              <w:jc w:val="center"/>
            </w:pPr>
            <w:r>
              <w:rPr>
                <w:rFonts w:hint="eastAsia"/>
              </w:rPr>
              <w:t>油山镇</w:t>
            </w:r>
          </w:p>
        </w:tc>
        <w:tc>
          <w:tcPr>
            <w:tcW w:w="582" w:type="pct"/>
            <w:vAlign w:val="center"/>
          </w:tcPr>
          <w:p w14:paraId="0DAFCF2C">
            <w:pPr>
              <w:pStyle w:val="12"/>
              <w:jc w:val="center"/>
            </w:pPr>
            <w:r>
              <w:rPr>
                <w:rFonts w:hint="eastAsia"/>
              </w:rPr>
              <w:t>1928年</w:t>
            </w:r>
          </w:p>
        </w:tc>
        <w:tc>
          <w:tcPr>
            <w:tcW w:w="1066" w:type="pct"/>
            <w:vAlign w:val="center"/>
          </w:tcPr>
          <w:p w14:paraId="58650401">
            <w:pPr>
              <w:pStyle w:val="12"/>
              <w:jc w:val="left"/>
            </w:pPr>
            <w:r>
              <w:rPr>
                <w:rFonts w:hint="eastAsia"/>
              </w:rPr>
              <w:t>赤卫队队员</w:t>
            </w:r>
          </w:p>
        </w:tc>
        <w:tc>
          <w:tcPr>
            <w:tcW w:w="1162" w:type="pct"/>
            <w:vAlign w:val="center"/>
          </w:tcPr>
          <w:p w14:paraId="2F85E5EA">
            <w:pPr>
              <w:pStyle w:val="12"/>
              <w:jc w:val="left"/>
            </w:pPr>
            <w:r>
              <w:rPr>
                <w:rFonts w:hint="eastAsia"/>
              </w:rPr>
              <w:t>1928年2月22日在乌迳窑口作战牺牲</w:t>
            </w:r>
          </w:p>
        </w:tc>
      </w:tr>
      <w:tr w14:paraId="1BA0F4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5EDC5D3">
            <w:pPr>
              <w:pStyle w:val="12"/>
              <w:jc w:val="center"/>
            </w:pPr>
            <w:r>
              <w:rPr>
                <w:rFonts w:hint="eastAsia"/>
              </w:rPr>
              <w:t>彭万生</w:t>
            </w:r>
          </w:p>
        </w:tc>
        <w:tc>
          <w:tcPr>
            <w:tcW w:w="388" w:type="pct"/>
            <w:vAlign w:val="center"/>
          </w:tcPr>
          <w:p w14:paraId="51AFCF15">
            <w:pPr>
              <w:pStyle w:val="12"/>
              <w:jc w:val="center"/>
            </w:pPr>
            <w:r>
              <w:rPr>
                <w:rFonts w:hint="eastAsia"/>
              </w:rPr>
              <w:t>男</w:t>
            </w:r>
          </w:p>
        </w:tc>
        <w:tc>
          <w:tcPr>
            <w:tcW w:w="582" w:type="pct"/>
            <w:vAlign w:val="center"/>
          </w:tcPr>
          <w:p w14:paraId="2C333FC9">
            <w:pPr>
              <w:pStyle w:val="12"/>
              <w:jc w:val="center"/>
            </w:pPr>
            <w:r>
              <w:rPr>
                <w:rFonts w:hint="eastAsia"/>
              </w:rPr>
              <w:t>1901年</w:t>
            </w:r>
          </w:p>
        </w:tc>
        <w:tc>
          <w:tcPr>
            <w:tcW w:w="582" w:type="pct"/>
            <w:vAlign w:val="center"/>
          </w:tcPr>
          <w:p w14:paraId="3F39A490">
            <w:pPr>
              <w:pStyle w:val="12"/>
              <w:jc w:val="center"/>
            </w:pPr>
            <w:r>
              <w:rPr>
                <w:rFonts w:hint="eastAsia"/>
              </w:rPr>
              <w:t>油山镇</w:t>
            </w:r>
          </w:p>
        </w:tc>
        <w:tc>
          <w:tcPr>
            <w:tcW w:w="582" w:type="pct"/>
            <w:vAlign w:val="center"/>
          </w:tcPr>
          <w:p w14:paraId="71988EC8">
            <w:pPr>
              <w:pStyle w:val="12"/>
              <w:jc w:val="center"/>
            </w:pPr>
            <w:r>
              <w:rPr>
                <w:rFonts w:hint="eastAsia"/>
              </w:rPr>
              <w:t>1928年</w:t>
            </w:r>
          </w:p>
        </w:tc>
        <w:tc>
          <w:tcPr>
            <w:tcW w:w="1066" w:type="pct"/>
            <w:vAlign w:val="center"/>
          </w:tcPr>
          <w:p w14:paraId="1618F470">
            <w:pPr>
              <w:pStyle w:val="12"/>
              <w:jc w:val="left"/>
            </w:pPr>
            <w:r>
              <w:rPr>
                <w:rFonts w:hint="eastAsia"/>
              </w:rPr>
              <w:t>赤卫队队员</w:t>
            </w:r>
          </w:p>
        </w:tc>
        <w:tc>
          <w:tcPr>
            <w:tcW w:w="1162" w:type="pct"/>
            <w:vAlign w:val="center"/>
          </w:tcPr>
          <w:p w14:paraId="4BF85302">
            <w:pPr>
              <w:pStyle w:val="12"/>
              <w:jc w:val="left"/>
            </w:pPr>
            <w:r>
              <w:rPr>
                <w:rFonts w:hint="eastAsia"/>
              </w:rPr>
              <w:t>1928年在本县中站战斗牺牲</w:t>
            </w:r>
          </w:p>
        </w:tc>
      </w:tr>
      <w:tr w14:paraId="798104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4480B88">
            <w:pPr>
              <w:pStyle w:val="12"/>
              <w:jc w:val="center"/>
            </w:pPr>
            <w:r>
              <w:rPr>
                <w:rFonts w:hint="eastAsia"/>
              </w:rPr>
              <w:t>彭土地生</w:t>
            </w:r>
          </w:p>
        </w:tc>
        <w:tc>
          <w:tcPr>
            <w:tcW w:w="388" w:type="pct"/>
            <w:vAlign w:val="center"/>
          </w:tcPr>
          <w:p w14:paraId="27DD3354">
            <w:pPr>
              <w:pStyle w:val="12"/>
              <w:jc w:val="center"/>
            </w:pPr>
            <w:r>
              <w:rPr>
                <w:rFonts w:hint="eastAsia"/>
              </w:rPr>
              <w:t>男</w:t>
            </w:r>
          </w:p>
        </w:tc>
        <w:tc>
          <w:tcPr>
            <w:tcW w:w="582" w:type="pct"/>
            <w:vAlign w:val="center"/>
          </w:tcPr>
          <w:p w14:paraId="33392FD2">
            <w:pPr>
              <w:pStyle w:val="12"/>
              <w:jc w:val="center"/>
            </w:pPr>
            <w:r>
              <w:rPr>
                <w:rFonts w:hint="eastAsia"/>
              </w:rPr>
              <w:t>1905年</w:t>
            </w:r>
          </w:p>
        </w:tc>
        <w:tc>
          <w:tcPr>
            <w:tcW w:w="582" w:type="pct"/>
            <w:vAlign w:val="center"/>
          </w:tcPr>
          <w:p w14:paraId="48CBA88C">
            <w:pPr>
              <w:pStyle w:val="12"/>
              <w:jc w:val="center"/>
            </w:pPr>
            <w:r>
              <w:rPr>
                <w:rFonts w:hint="eastAsia"/>
              </w:rPr>
              <w:t>油山镇</w:t>
            </w:r>
          </w:p>
        </w:tc>
        <w:tc>
          <w:tcPr>
            <w:tcW w:w="582" w:type="pct"/>
            <w:vAlign w:val="center"/>
          </w:tcPr>
          <w:p w14:paraId="0620F3D9">
            <w:pPr>
              <w:pStyle w:val="12"/>
              <w:jc w:val="center"/>
            </w:pPr>
            <w:r>
              <w:rPr>
                <w:rFonts w:hint="eastAsia"/>
              </w:rPr>
              <w:t>1928年</w:t>
            </w:r>
          </w:p>
        </w:tc>
        <w:tc>
          <w:tcPr>
            <w:tcW w:w="1066" w:type="pct"/>
            <w:vAlign w:val="center"/>
          </w:tcPr>
          <w:p w14:paraId="1068CBC7">
            <w:pPr>
              <w:pStyle w:val="12"/>
              <w:jc w:val="left"/>
            </w:pPr>
            <w:r>
              <w:rPr>
                <w:rFonts w:hint="eastAsia"/>
              </w:rPr>
              <w:t>工农红军战士</w:t>
            </w:r>
          </w:p>
        </w:tc>
        <w:tc>
          <w:tcPr>
            <w:tcW w:w="1162" w:type="pct"/>
            <w:vAlign w:val="center"/>
          </w:tcPr>
          <w:p w14:paraId="67FDD5D3">
            <w:pPr>
              <w:pStyle w:val="12"/>
              <w:jc w:val="left"/>
            </w:pPr>
            <w:r>
              <w:rPr>
                <w:rFonts w:hint="eastAsia"/>
              </w:rPr>
              <w:t>1928年在上犹营前圩战斗牺牲</w:t>
            </w:r>
          </w:p>
        </w:tc>
      </w:tr>
      <w:tr w14:paraId="014AB8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D5A7B2F">
            <w:pPr>
              <w:pStyle w:val="12"/>
              <w:jc w:val="center"/>
            </w:pPr>
            <w:r>
              <w:rPr>
                <w:rFonts w:hint="eastAsia"/>
              </w:rPr>
              <w:t>彭华生俚</w:t>
            </w:r>
          </w:p>
        </w:tc>
        <w:tc>
          <w:tcPr>
            <w:tcW w:w="388" w:type="pct"/>
            <w:vAlign w:val="center"/>
          </w:tcPr>
          <w:p w14:paraId="20BC1858">
            <w:pPr>
              <w:pStyle w:val="12"/>
              <w:jc w:val="center"/>
            </w:pPr>
            <w:r>
              <w:rPr>
                <w:rFonts w:hint="eastAsia"/>
              </w:rPr>
              <w:t>男</w:t>
            </w:r>
          </w:p>
        </w:tc>
        <w:tc>
          <w:tcPr>
            <w:tcW w:w="582" w:type="pct"/>
            <w:vAlign w:val="center"/>
          </w:tcPr>
          <w:p w14:paraId="2D245F5F">
            <w:pPr>
              <w:pStyle w:val="12"/>
              <w:jc w:val="center"/>
            </w:pPr>
            <w:r>
              <w:rPr>
                <w:rFonts w:hint="eastAsia"/>
              </w:rPr>
              <w:t>1905年</w:t>
            </w:r>
          </w:p>
        </w:tc>
        <w:tc>
          <w:tcPr>
            <w:tcW w:w="582" w:type="pct"/>
            <w:vAlign w:val="center"/>
          </w:tcPr>
          <w:p w14:paraId="600728C8">
            <w:pPr>
              <w:pStyle w:val="12"/>
              <w:jc w:val="center"/>
            </w:pPr>
            <w:r>
              <w:rPr>
                <w:rFonts w:hint="eastAsia"/>
              </w:rPr>
              <w:t>油山镇</w:t>
            </w:r>
          </w:p>
        </w:tc>
        <w:tc>
          <w:tcPr>
            <w:tcW w:w="582" w:type="pct"/>
            <w:vAlign w:val="center"/>
          </w:tcPr>
          <w:p w14:paraId="2CF4A829">
            <w:pPr>
              <w:pStyle w:val="12"/>
              <w:jc w:val="center"/>
            </w:pPr>
            <w:r>
              <w:rPr>
                <w:rFonts w:hint="eastAsia"/>
              </w:rPr>
              <w:t>1928年</w:t>
            </w:r>
          </w:p>
        </w:tc>
        <w:tc>
          <w:tcPr>
            <w:tcW w:w="1066" w:type="pct"/>
            <w:vAlign w:val="center"/>
          </w:tcPr>
          <w:p w14:paraId="748208DC">
            <w:pPr>
              <w:pStyle w:val="12"/>
              <w:jc w:val="left"/>
            </w:pPr>
            <w:r>
              <w:rPr>
                <w:rFonts w:hint="eastAsia"/>
              </w:rPr>
              <w:t>赤卫队队员</w:t>
            </w:r>
          </w:p>
        </w:tc>
        <w:tc>
          <w:tcPr>
            <w:tcW w:w="1162" w:type="pct"/>
            <w:vAlign w:val="center"/>
          </w:tcPr>
          <w:p w14:paraId="67B6F842">
            <w:pPr>
              <w:pStyle w:val="12"/>
              <w:jc w:val="left"/>
            </w:pPr>
            <w:r>
              <w:rPr>
                <w:rFonts w:hint="eastAsia"/>
              </w:rPr>
              <w:t>1928年2月22日在上朔战斗牺牲</w:t>
            </w:r>
          </w:p>
        </w:tc>
      </w:tr>
      <w:tr w14:paraId="1C2855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1045714">
            <w:pPr>
              <w:pStyle w:val="12"/>
              <w:jc w:val="center"/>
            </w:pPr>
            <w:r>
              <w:rPr>
                <w:rFonts w:hint="eastAsia"/>
              </w:rPr>
              <w:t>彭石头</w:t>
            </w:r>
          </w:p>
        </w:tc>
        <w:tc>
          <w:tcPr>
            <w:tcW w:w="388" w:type="pct"/>
            <w:vAlign w:val="center"/>
          </w:tcPr>
          <w:p w14:paraId="30422063">
            <w:pPr>
              <w:pStyle w:val="12"/>
              <w:jc w:val="center"/>
            </w:pPr>
            <w:r>
              <w:rPr>
                <w:rFonts w:hint="eastAsia"/>
              </w:rPr>
              <w:t>男</w:t>
            </w:r>
          </w:p>
        </w:tc>
        <w:tc>
          <w:tcPr>
            <w:tcW w:w="582" w:type="pct"/>
            <w:vAlign w:val="center"/>
          </w:tcPr>
          <w:p w14:paraId="27C9C2F7">
            <w:pPr>
              <w:pStyle w:val="12"/>
              <w:jc w:val="center"/>
            </w:pPr>
            <w:r>
              <w:rPr>
                <w:rFonts w:hint="eastAsia"/>
              </w:rPr>
              <w:t>1889年</w:t>
            </w:r>
          </w:p>
        </w:tc>
        <w:tc>
          <w:tcPr>
            <w:tcW w:w="582" w:type="pct"/>
            <w:vAlign w:val="center"/>
          </w:tcPr>
          <w:p w14:paraId="5906D5A4">
            <w:pPr>
              <w:pStyle w:val="12"/>
              <w:jc w:val="center"/>
            </w:pPr>
            <w:r>
              <w:rPr>
                <w:rFonts w:hint="eastAsia"/>
              </w:rPr>
              <w:t>油山镇</w:t>
            </w:r>
          </w:p>
        </w:tc>
        <w:tc>
          <w:tcPr>
            <w:tcW w:w="582" w:type="pct"/>
            <w:vAlign w:val="center"/>
          </w:tcPr>
          <w:p w14:paraId="5A120EFC">
            <w:pPr>
              <w:pStyle w:val="12"/>
              <w:jc w:val="center"/>
            </w:pPr>
            <w:r>
              <w:rPr>
                <w:rFonts w:hint="eastAsia"/>
              </w:rPr>
              <w:t>1925年</w:t>
            </w:r>
          </w:p>
        </w:tc>
        <w:tc>
          <w:tcPr>
            <w:tcW w:w="1066" w:type="pct"/>
            <w:vAlign w:val="center"/>
          </w:tcPr>
          <w:p w14:paraId="28FDDA12">
            <w:pPr>
              <w:pStyle w:val="12"/>
              <w:jc w:val="left"/>
            </w:pPr>
            <w:r>
              <w:rPr>
                <w:rFonts w:hint="eastAsia"/>
              </w:rPr>
              <w:t>赤卫队队员</w:t>
            </w:r>
          </w:p>
        </w:tc>
        <w:tc>
          <w:tcPr>
            <w:tcW w:w="1162" w:type="pct"/>
            <w:vAlign w:val="center"/>
          </w:tcPr>
          <w:p w14:paraId="22686DDC">
            <w:pPr>
              <w:pStyle w:val="12"/>
              <w:jc w:val="left"/>
            </w:pPr>
            <w:r>
              <w:rPr>
                <w:rFonts w:hint="eastAsia"/>
              </w:rPr>
              <w:t>1928年在上朔梅龙战斗牺牲</w:t>
            </w:r>
          </w:p>
        </w:tc>
      </w:tr>
      <w:tr w14:paraId="5B2ECB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5D6888E">
            <w:pPr>
              <w:pStyle w:val="12"/>
              <w:jc w:val="center"/>
            </w:pPr>
            <w:r>
              <w:rPr>
                <w:rFonts w:hint="eastAsia"/>
              </w:rPr>
              <w:t>彭秋狗</w:t>
            </w:r>
          </w:p>
        </w:tc>
        <w:tc>
          <w:tcPr>
            <w:tcW w:w="388" w:type="pct"/>
            <w:vAlign w:val="center"/>
          </w:tcPr>
          <w:p w14:paraId="50D00016">
            <w:pPr>
              <w:pStyle w:val="12"/>
              <w:jc w:val="center"/>
            </w:pPr>
            <w:r>
              <w:rPr>
                <w:rFonts w:hint="eastAsia"/>
              </w:rPr>
              <w:t>男</w:t>
            </w:r>
          </w:p>
        </w:tc>
        <w:tc>
          <w:tcPr>
            <w:tcW w:w="582" w:type="pct"/>
            <w:vAlign w:val="center"/>
          </w:tcPr>
          <w:p w14:paraId="5D8344A2">
            <w:pPr>
              <w:pStyle w:val="12"/>
              <w:jc w:val="center"/>
            </w:pPr>
            <w:r>
              <w:rPr>
                <w:rFonts w:hint="eastAsia"/>
              </w:rPr>
              <w:t>1907年</w:t>
            </w:r>
          </w:p>
        </w:tc>
        <w:tc>
          <w:tcPr>
            <w:tcW w:w="582" w:type="pct"/>
            <w:vAlign w:val="center"/>
          </w:tcPr>
          <w:p w14:paraId="3A57823C">
            <w:pPr>
              <w:pStyle w:val="12"/>
              <w:jc w:val="center"/>
            </w:pPr>
            <w:r>
              <w:rPr>
                <w:rFonts w:hint="eastAsia"/>
              </w:rPr>
              <w:t>油山镇</w:t>
            </w:r>
          </w:p>
        </w:tc>
        <w:tc>
          <w:tcPr>
            <w:tcW w:w="582" w:type="pct"/>
            <w:vAlign w:val="center"/>
          </w:tcPr>
          <w:p w14:paraId="7CDB2732">
            <w:pPr>
              <w:pStyle w:val="12"/>
              <w:jc w:val="center"/>
            </w:pPr>
            <w:r>
              <w:rPr>
                <w:rFonts w:hint="eastAsia"/>
              </w:rPr>
              <w:t>1928年</w:t>
            </w:r>
          </w:p>
        </w:tc>
        <w:tc>
          <w:tcPr>
            <w:tcW w:w="1066" w:type="pct"/>
            <w:vAlign w:val="center"/>
          </w:tcPr>
          <w:p w14:paraId="10414FC5">
            <w:pPr>
              <w:pStyle w:val="12"/>
              <w:jc w:val="left"/>
            </w:pPr>
            <w:r>
              <w:rPr>
                <w:rFonts w:hint="eastAsia"/>
              </w:rPr>
              <w:t>赤卫队队员</w:t>
            </w:r>
          </w:p>
        </w:tc>
        <w:tc>
          <w:tcPr>
            <w:tcW w:w="1162" w:type="pct"/>
            <w:vAlign w:val="center"/>
          </w:tcPr>
          <w:p w14:paraId="50C9C8A5">
            <w:pPr>
              <w:pStyle w:val="12"/>
              <w:jc w:val="left"/>
            </w:pPr>
            <w:r>
              <w:rPr>
                <w:rFonts w:hint="eastAsia"/>
              </w:rPr>
              <w:t>1928年10月在本县大塘被捕就义</w:t>
            </w:r>
          </w:p>
        </w:tc>
      </w:tr>
      <w:tr w14:paraId="207732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17EEAF0">
            <w:pPr>
              <w:pStyle w:val="12"/>
              <w:jc w:val="center"/>
            </w:pPr>
            <w:r>
              <w:rPr>
                <w:rFonts w:hint="eastAsia"/>
              </w:rPr>
              <w:t>彭显忠</w:t>
            </w:r>
            <w:r>
              <w:rPr>
                <w:rFonts w:hint="eastAsia" w:ascii="宋体" w:hAnsi="宋体" w:cs="宋体"/>
              </w:rPr>
              <w:t>（彭茂生）</w:t>
            </w:r>
          </w:p>
        </w:tc>
        <w:tc>
          <w:tcPr>
            <w:tcW w:w="388" w:type="pct"/>
            <w:vAlign w:val="center"/>
          </w:tcPr>
          <w:p w14:paraId="64CFFDCB">
            <w:pPr>
              <w:pStyle w:val="12"/>
              <w:jc w:val="center"/>
            </w:pPr>
            <w:r>
              <w:rPr>
                <w:rFonts w:hint="eastAsia"/>
              </w:rPr>
              <w:t>男</w:t>
            </w:r>
          </w:p>
        </w:tc>
        <w:tc>
          <w:tcPr>
            <w:tcW w:w="582" w:type="pct"/>
            <w:vAlign w:val="center"/>
          </w:tcPr>
          <w:p w14:paraId="7184F412">
            <w:pPr>
              <w:pStyle w:val="12"/>
              <w:jc w:val="center"/>
            </w:pPr>
            <w:r>
              <w:rPr>
                <w:rFonts w:hint="eastAsia"/>
              </w:rPr>
              <w:t>1896年</w:t>
            </w:r>
          </w:p>
        </w:tc>
        <w:tc>
          <w:tcPr>
            <w:tcW w:w="582" w:type="pct"/>
            <w:vAlign w:val="center"/>
          </w:tcPr>
          <w:p w14:paraId="05BF528F">
            <w:pPr>
              <w:pStyle w:val="12"/>
              <w:jc w:val="center"/>
            </w:pPr>
            <w:r>
              <w:rPr>
                <w:rFonts w:hint="eastAsia"/>
              </w:rPr>
              <w:t>油山镇</w:t>
            </w:r>
          </w:p>
        </w:tc>
        <w:tc>
          <w:tcPr>
            <w:tcW w:w="582" w:type="pct"/>
            <w:vAlign w:val="center"/>
          </w:tcPr>
          <w:p w14:paraId="1C30B74C">
            <w:pPr>
              <w:pStyle w:val="12"/>
              <w:jc w:val="center"/>
            </w:pPr>
            <w:r>
              <w:rPr>
                <w:rFonts w:hint="eastAsia"/>
              </w:rPr>
              <w:t>1925年</w:t>
            </w:r>
          </w:p>
        </w:tc>
        <w:tc>
          <w:tcPr>
            <w:tcW w:w="1066" w:type="pct"/>
            <w:vAlign w:val="center"/>
          </w:tcPr>
          <w:p w14:paraId="086B0D7C">
            <w:pPr>
              <w:pStyle w:val="12"/>
              <w:jc w:val="left"/>
            </w:pPr>
            <w:r>
              <w:rPr>
                <w:rFonts w:hint="eastAsia"/>
              </w:rPr>
              <w:t>赤卫队队员</w:t>
            </w:r>
          </w:p>
        </w:tc>
        <w:tc>
          <w:tcPr>
            <w:tcW w:w="1162" w:type="pct"/>
            <w:vAlign w:val="center"/>
          </w:tcPr>
          <w:p w14:paraId="76F1AABF">
            <w:pPr>
              <w:pStyle w:val="12"/>
              <w:jc w:val="left"/>
            </w:pPr>
            <w:r>
              <w:rPr>
                <w:rFonts w:hint="eastAsia"/>
              </w:rPr>
              <w:t>1928年8月3日在上朔被捕，7日在城郊就义</w:t>
            </w:r>
          </w:p>
        </w:tc>
      </w:tr>
      <w:tr w14:paraId="238570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C3F3534">
            <w:pPr>
              <w:pStyle w:val="12"/>
              <w:jc w:val="center"/>
            </w:pPr>
            <w:r>
              <w:rPr>
                <w:rFonts w:hint="eastAsia"/>
              </w:rPr>
              <w:t>李石头古</w:t>
            </w:r>
          </w:p>
        </w:tc>
        <w:tc>
          <w:tcPr>
            <w:tcW w:w="388" w:type="pct"/>
            <w:vAlign w:val="center"/>
          </w:tcPr>
          <w:p w14:paraId="6F4B7766">
            <w:pPr>
              <w:pStyle w:val="12"/>
              <w:jc w:val="center"/>
            </w:pPr>
            <w:r>
              <w:rPr>
                <w:rFonts w:hint="eastAsia"/>
              </w:rPr>
              <w:t>男</w:t>
            </w:r>
          </w:p>
        </w:tc>
        <w:tc>
          <w:tcPr>
            <w:tcW w:w="582" w:type="pct"/>
            <w:vAlign w:val="center"/>
          </w:tcPr>
          <w:p w14:paraId="570501FF">
            <w:pPr>
              <w:pStyle w:val="12"/>
              <w:jc w:val="center"/>
            </w:pPr>
            <w:r>
              <w:rPr>
                <w:rFonts w:hint="eastAsia"/>
              </w:rPr>
              <w:t>1907年</w:t>
            </w:r>
          </w:p>
        </w:tc>
        <w:tc>
          <w:tcPr>
            <w:tcW w:w="582" w:type="pct"/>
            <w:vAlign w:val="center"/>
          </w:tcPr>
          <w:p w14:paraId="49F9A95C">
            <w:pPr>
              <w:pStyle w:val="12"/>
              <w:jc w:val="center"/>
            </w:pPr>
            <w:r>
              <w:rPr>
                <w:rFonts w:hint="eastAsia"/>
              </w:rPr>
              <w:t>油山镇</w:t>
            </w:r>
          </w:p>
        </w:tc>
        <w:tc>
          <w:tcPr>
            <w:tcW w:w="582" w:type="pct"/>
            <w:vAlign w:val="center"/>
          </w:tcPr>
          <w:p w14:paraId="7C46810B">
            <w:pPr>
              <w:pStyle w:val="12"/>
              <w:jc w:val="center"/>
            </w:pPr>
            <w:r>
              <w:rPr>
                <w:rFonts w:hint="eastAsia"/>
              </w:rPr>
              <w:t>1928年</w:t>
            </w:r>
          </w:p>
        </w:tc>
        <w:tc>
          <w:tcPr>
            <w:tcW w:w="1066" w:type="pct"/>
            <w:vAlign w:val="center"/>
          </w:tcPr>
          <w:p w14:paraId="39ADBDD7">
            <w:pPr>
              <w:pStyle w:val="12"/>
              <w:jc w:val="left"/>
            </w:pPr>
            <w:r>
              <w:rPr>
                <w:rFonts w:hint="eastAsia"/>
              </w:rPr>
              <w:t>赤卫队队员</w:t>
            </w:r>
          </w:p>
        </w:tc>
        <w:tc>
          <w:tcPr>
            <w:tcW w:w="1162" w:type="pct"/>
            <w:vAlign w:val="center"/>
          </w:tcPr>
          <w:p w14:paraId="4C185C3C">
            <w:pPr>
              <w:pStyle w:val="12"/>
              <w:jc w:val="left"/>
            </w:pPr>
            <w:r>
              <w:rPr>
                <w:rFonts w:hint="eastAsia"/>
              </w:rPr>
              <w:t>1928年底在江西信丰城战斗牺牲</w:t>
            </w:r>
          </w:p>
        </w:tc>
      </w:tr>
      <w:tr w14:paraId="38EB9A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E4FE664">
            <w:pPr>
              <w:pStyle w:val="12"/>
              <w:jc w:val="center"/>
            </w:pPr>
            <w:r>
              <w:rPr>
                <w:rFonts w:hint="eastAsia"/>
              </w:rPr>
              <w:t>徐孟怀</w:t>
            </w:r>
          </w:p>
        </w:tc>
        <w:tc>
          <w:tcPr>
            <w:tcW w:w="388" w:type="pct"/>
            <w:vAlign w:val="center"/>
          </w:tcPr>
          <w:p w14:paraId="3134016F">
            <w:pPr>
              <w:pStyle w:val="12"/>
              <w:jc w:val="center"/>
            </w:pPr>
            <w:r>
              <w:rPr>
                <w:rFonts w:hint="eastAsia"/>
              </w:rPr>
              <w:t>男</w:t>
            </w:r>
          </w:p>
        </w:tc>
        <w:tc>
          <w:tcPr>
            <w:tcW w:w="582" w:type="pct"/>
            <w:vAlign w:val="center"/>
          </w:tcPr>
          <w:p w14:paraId="6E077565">
            <w:pPr>
              <w:pStyle w:val="12"/>
              <w:jc w:val="center"/>
            </w:pPr>
            <w:r>
              <w:rPr>
                <w:rFonts w:hint="eastAsia"/>
              </w:rPr>
              <w:t>1900年</w:t>
            </w:r>
          </w:p>
        </w:tc>
        <w:tc>
          <w:tcPr>
            <w:tcW w:w="582" w:type="pct"/>
            <w:vAlign w:val="center"/>
          </w:tcPr>
          <w:p w14:paraId="02A9E593">
            <w:pPr>
              <w:pStyle w:val="12"/>
              <w:jc w:val="center"/>
            </w:pPr>
            <w:r>
              <w:rPr>
                <w:rFonts w:hint="eastAsia"/>
              </w:rPr>
              <w:t>珠玑镇</w:t>
            </w:r>
          </w:p>
        </w:tc>
        <w:tc>
          <w:tcPr>
            <w:tcW w:w="582" w:type="pct"/>
            <w:vAlign w:val="center"/>
          </w:tcPr>
          <w:p w14:paraId="186A9321">
            <w:pPr>
              <w:pStyle w:val="12"/>
              <w:jc w:val="center"/>
            </w:pPr>
            <w:r>
              <w:rPr>
                <w:rFonts w:hint="eastAsia"/>
              </w:rPr>
              <w:t>1928年</w:t>
            </w:r>
          </w:p>
        </w:tc>
        <w:tc>
          <w:tcPr>
            <w:tcW w:w="1066" w:type="pct"/>
            <w:vAlign w:val="center"/>
          </w:tcPr>
          <w:p w14:paraId="2338C41F">
            <w:pPr>
              <w:pStyle w:val="12"/>
              <w:jc w:val="left"/>
            </w:pPr>
            <w:r>
              <w:rPr>
                <w:rFonts w:hint="eastAsia"/>
              </w:rPr>
              <w:t>乡农民协会主席</w:t>
            </w:r>
          </w:p>
        </w:tc>
        <w:tc>
          <w:tcPr>
            <w:tcW w:w="1162" w:type="pct"/>
            <w:vAlign w:val="center"/>
          </w:tcPr>
          <w:p w14:paraId="615B84C2">
            <w:pPr>
              <w:pStyle w:val="12"/>
              <w:jc w:val="left"/>
            </w:pPr>
            <w:r>
              <w:rPr>
                <w:rFonts w:hint="eastAsia"/>
              </w:rPr>
              <w:t>1928年11月在本村学校被捕就义</w:t>
            </w:r>
          </w:p>
        </w:tc>
      </w:tr>
      <w:tr w14:paraId="106A11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5B4BF94">
            <w:pPr>
              <w:pStyle w:val="12"/>
              <w:jc w:val="center"/>
            </w:pPr>
            <w:r>
              <w:rPr>
                <w:rFonts w:hint="eastAsia"/>
              </w:rPr>
              <w:t>彭厚眼俚</w:t>
            </w:r>
          </w:p>
        </w:tc>
        <w:tc>
          <w:tcPr>
            <w:tcW w:w="388" w:type="pct"/>
            <w:vAlign w:val="center"/>
          </w:tcPr>
          <w:p w14:paraId="19266A02">
            <w:pPr>
              <w:pStyle w:val="12"/>
              <w:jc w:val="center"/>
            </w:pPr>
            <w:r>
              <w:rPr>
                <w:rFonts w:hint="eastAsia"/>
              </w:rPr>
              <w:t>男</w:t>
            </w:r>
          </w:p>
        </w:tc>
        <w:tc>
          <w:tcPr>
            <w:tcW w:w="582" w:type="pct"/>
            <w:vAlign w:val="center"/>
          </w:tcPr>
          <w:p w14:paraId="615A721F">
            <w:pPr>
              <w:pStyle w:val="12"/>
              <w:jc w:val="center"/>
            </w:pPr>
            <w:r>
              <w:rPr>
                <w:rFonts w:hint="eastAsia"/>
              </w:rPr>
              <w:t>1906年</w:t>
            </w:r>
          </w:p>
        </w:tc>
        <w:tc>
          <w:tcPr>
            <w:tcW w:w="582" w:type="pct"/>
            <w:vAlign w:val="center"/>
          </w:tcPr>
          <w:p w14:paraId="64C23021">
            <w:pPr>
              <w:pStyle w:val="12"/>
              <w:jc w:val="center"/>
            </w:pPr>
            <w:r>
              <w:rPr>
                <w:rFonts w:hint="eastAsia"/>
              </w:rPr>
              <w:t>油山镇</w:t>
            </w:r>
          </w:p>
        </w:tc>
        <w:tc>
          <w:tcPr>
            <w:tcW w:w="582" w:type="pct"/>
            <w:vAlign w:val="center"/>
          </w:tcPr>
          <w:p w14:paraId="2A813963">
            <w:pPr>
              <w:pStyle w:val="12"/>
              <w:jc w:val="center"/>
            </w:pPr>
            <w:r>
              <w:rPr>
                <w:rFonts w:hint="eastAsia"/>
              </w:rPr>
              <w:t>1928年</w:t>
            </w:r>
          </w:p>
        </w:tc>
        <w:tc>
          <w:tcPr>
            <w:tcW w:w="1066" w:type="pct"/>
            <w:vAlign w:val="center"/>
          </w:tcPr>
          <w:p w14:paraId="03F6A793">
            <w:pPr>
              <w:pStyle w:val="12"/>
              <w:jc w:val="left"/>
            </w:pPr>
            <w:r>
              <w:rPr>
                <w:rFonts w:hint="eastAsia"/>
              </w:rPr>
              <w:t>赤卫队队员</w:t>
            </w:r>
          </w:p>
        </w:tc>
        <w:tc>
          <w:tcPr>
            <w:tcW w:w="1162" w:type="pct"/>
            <w:vAlign w:val="center"/>
          </w:tcPr>
          <w:p w14:paraId="16D0E96A">
            <w:pPr>
              <w:pStyle w:val="12"/>
              <w:jc w:val="left"/>
            </w:pPr>
            <w:r>
              <w:rPr>
                <w:rFonts w:hint="eastAsia"/>
              </w:rPr>
              <w:t>1928年8月在小水洞战斗牺牲</w:t>
            </w:r>
          </w:p>
        </w:tc>
      </w:tr>
      <w:tr w14:paraId="5C27D0E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03588C1">
            <w:pPr>
              <w:pStyle w:val="12"/>
              <w:jc w:val="center"/>
            </w:pPr>
            <w:r>
              <w:rPr>
                <w:rFonts w:hint="eastAsia"/>
              </w:rPr>
              <w:t>彭奀古俚</w:t>
            </w:r>
          </w:p>
        </w:tc>
        <w:tc>
          <w:tcPr>
            <w:tcW w:w="388" w:type="pct"/>
            <w:vAlign w:val="center"/>
          </w:tcPr>
          <w:p w14:paraId="26DD5442">
            <w:pPr>
              <w:pStyle w:val="12"/>
              <w:jc w:val="center"/>
            </w:pPr>
            <w:r>
              <w:rPr>
                <w:rFonts w:hint="eastAsia"/>
              </w:rPr>
              <w:t>男</w:t>
            </w:r>
          </w:p>
        </w:tc>
        <w:tc>
          <w:tcPr>
            <w:tcW w:w="582" w:type="pct"/>
            <w:vAlign w:val="center"/>
          </w:tcPr>
          <w:p w14:paraId="50A1F559">
            <w:pPr>
              <w:pStyle w:val="12"/>
              <w:jc w:val="center"/>
            </w:pPr>
            <w:r>
              <w:rPr>
                <w:rFonts w:hint="eastAsia"/>
              </w:rPr>
              <w:t>1809年</w:t>
            </w:r>
          </w:p>
        </w:tc>
        <w:tc>
          <w:tcPr>
            <w:tcW w:w="582" w:type="pct"/>
            <w:vAlign w:val="center"/>
          </w:tcPr>
          <w:p w14:paraId="3A14FEFE">
            <w:pPr>
              <w:pStyle w:val="12"/>
              <w:jc w:val="center"/>
            </w:pPr>
            <w:r>
              <w:rPr>
                <w:rFonts w:hint="eastAsia"/>
              </w:rPr>
              <w:t>油山镇</w:t>
            </w:r>
          </w:p>
        </w:tc>
        <w:tc>
          <w:tcPr>
            <w:tcW w:w="582" w:type="pct"/>
            <w:vAlign w:val="center"/>
          </w:tcPr>
          <w:p w14:paraId="2D3561E8">
            <w:pPr>
              <w:pStyle w:val="12"/>
              <w:jc w:val="center"/>
            </w:pPr>
            <w:r>
              <w:rPr>
                <w:rFonts w:hint="eastAsia"/>
              </w:rPr>
              <w:t>1925年</w:t>
            </w:r>
          </w:p>
        </w:tc>
        <w:tc>
          <w:tcPr>
            <w:tcW w:w="1066" w:type="pct"/>
            <w:vAlign w:val="center"/>
          </w:tcPr>
          <w:p w14:paraId="027E77F9">
            <w:pPr>
              <w:pStyle w:val="12"/>
              <w:jc w:val="left"/>
            </w:pPr>
            <w:r>
              <w:rPr>
                <w:rFonts w:hint="eastAsia"/>
              </w:rPr>
              <w:t>赤卫队队员</w:t>
            </w:r>
          </w:p>
        </w:tc>
        <w:tc>
          <w:tcPr>
            <w:tcW w:w="1162" w:type="pct"/>
            <w:vAlign w:val="center"/>
          </w:tcPr>
          <w:p w14:paraId="42D8433B">
            <w:pPr>
              <w:pStyle w:val="12"/>
              <w:jc w:val="left"/>
            </w:pPr>
            <w:r>
              <w:rPr>
                <w:rFonts w:hint="eastAsia"/>
              </w:rPr>
              <w:t>1928年在上朔被捕，在高桥就义</w:t>
            </w:r>
          </w:p>
        </w:tc>
      </w:tr>
      <w:tr w14:paraId="5C362E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43CAA58">
            <w:pPr>
              <w:pStyle w:val="12"/>
              <w:jc w:val="center"/>
            </w:pPr>
            <w:r>
              <w:rPr>
                <w:rFonts w:hint="eastAsia"/>
              </w:rPr>
              <w:t>彭观音狗</w:t>
            </w:r>
          </w:p>
        </w:tc>
        <w:tc>
          <w:tcPr>
            <w:tcW w:w="388" w:type="pct"/>
            <w:vAlign w:val="center"/>
          </w:tcPr>
          <w:p w14:paraId="1D496ACD">
            <w:pPr>
              <w:pStyle w:val="12"/>
              <w:jc w:val="center"/>
            </w:pPr>
            <w:r>
              <w:rPr>
                <w:rFonts w:hint="eastAsia"/>
              </w:rPr>
              <w:t>男</w:t>
            </w:r>
          </w:p>
        </w:tc>
        <w:tc>
          <w:tcPr>
            <w:tcW w:w="582" w:type="pct"/>
            <w:vAlign w:val="center"/>
          </w:tcPr>
          <w:p w14:paraId="234B5A37">
            <w:pPr>
              <w:pStyle w:val="12"/>
              <w:jc w:val="center"/>
            </w:pPr>
            <w:r>
              <w:rPr>
                <w:rFonts w:hint="eastAsia"/>
              </w:rPr>
              <w:t>1898年</w:t>
            </w:r>
          </w:p>
        </w:tc>
        <w:tc>
          <w:tcPr>
            <w:tcW w:w="582" w:type="pct"/>
            <w:vAlign w:val="center"/>
          </w:tcPr>
          <w:p w14:paraId="058E2805">
            <w:pPr>
              <w:pStyle w:val="12"/>
              <w:jc w:val="center"/>
            </w:pPr>
            <w:r>
              <w:rPr>
                <w:rFonts w:hint="eastAsia"/>
              </w:rPr>
              <w:t>油山镇</w:t>
            </w:r>
          </w:p>
        </w:tc>
        <w:tc>
          <w:tcPr>
            <w:tcW w:w="582" w:type="pct"/>
            <w:vAlign w:val="center"/>
          </w:tcPr>
          <w:p w14:paraId="010C026D">
            <w:pPr>
              <w:pStyle w:val="12"/>
              <w:jc w:val="center"/>
            </w:pPr>
            <w:r>
              <w:rPr>
                <w:rFonts w:hint="eastAsia"/>
              </w:rPr>
              <w:t>1928年</w:t>
            </w:r>
          </w:p>
        </w:tc>
        <w:tc>
          <w:tcPr>
            <w:tcW w:w="1066" w:type="pct"/>
            <w:vAlign w:val="center"/>
          </w:tcPr>
          <w:p w14:paraId="31D140E1">
            <w:pPr>
              <w:pStyle w:val="12"/>
              <w:jc w:val="left"/>
            </w:pPr>
            <w:r>
              <w:rPr>
                <w:rFonts w:hint="eastAsia"/>
              </w:rPr>
              <w:t>赤卫队副班长</w:t>
            </w:r>
          </w:p>
        </w:tc>
        <w:tc>
          <w:tcPr>
            <w:tcW w:w="1162" w:type="pct"/>
            <w:vAlign w:val="center"/>
          </w:tcPr>
          <w:p w14:paraId="58376518">
            <w:pPr>
              <w:pStyle w:val="12"/>
              <w:jc w:val="left"/>
            </w:pPr>
            <w:r>
              <w:rPr>
                <w:rFonts w:hint="eastAsia"/>
              </w:rPr>
              <w:t>1928年5月在上朔战斗中牺牲</w:t>
            </w:r>
          </w:p>
        </w:tc>
      </w:tr>
      <w:tr w14:paraId="6D387E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C582E3A">
            <w:pPr>
              <w:pStyle w:val="12"/>
              <w:jc w:val="center"/>
            </w:pPr>
            <w:r>
              <w:rPr>
                <w:rFonts w:hint="eastAsia"/>
              </w:rPr>
              <w:t>郭奀塘俚</w:t>
            </w:r>
          </w:p>
        </w:tc>
        <w:tc>
          <w:tcPr>
            <w:tcW w:w="388" w:type="pct"/>
            <w:vAlign w:val="center"/>
          </w:tcPr>
          <w:p w14:paraId="225E7847">
            <w:pPr>
              <w:pStyle w:val="12"/>
              <w:jc w:val="center"/>
            </w:pPr>
            <w:r>
              <w:rPr>
                <w:rFonts w:hint="eastAsia"/>
              </w:rPr>
              <w:t>男</w:t>
            </w:r>
          </w:p>
        </w:tc>
        <w:tc>
          <w:tcPr>
            <w:tcW w:w="582" w:type="pct"/>
            <w:vAlign w:val="center"/>
          </w:tcPr>
          <w:p w14:paraId="6A1F3E12">
            <w:pPr>
              <w:pStyle w:val="12"/>
              <w:jc w:val="center"/>
            </w:pPr>
            <w:r>
              <w:rPr>
                <w:rFonts w:hint="eastAsia"/>
              </w:rPr>
              <w:t>1898年</w:t>
            </w:r>
          </w:p>
        </w:tc>
        <w:tc>
          <w:tcPr>
            <w:tcW w:w="582" w:type="pct"/>
            <w:vAlign w:val="center"/>
          </w:tcPr>
          <w:p w14:paraId="4F8AB88B">
            <w:pPr>
              <w:pStyle w:val="12"/>
              <w:jc w:val="center"/>
            </w:pPr>
            <w:r>
              <w:rPr>
                <w:rFonts w:hint="eastAsia"/>
              </w:rPr>
              <w:t>珠玑镇</w:t>
            </w:r>
          </w:p>
        </w:tc>
        <w:tc>
          <w:tcPr>
            <w:tcW w:w="582" w:type="pct"/>
            <w:vAlign w:val="center"/>
          </w:tcPr>
          <w:p w14:paraId="0E3B3E50">
            <w:pPr>
              <w:pStyle w:val="12"/>
              <w:jc w:val="center"/>
            </w:pPr>
            <w:r>
              <w:rPr>
                <w:rFonts w:hint="eastAsia"/>
              </w:rPr>
              <w:t>1928年</w:t>
            </w:r>
          </w:p>
        </w:tc>
        <w:tc>
          <w:tcPr>
            <w:tcW w:w="1066" w:type="pct"/>
            <w:vAlign w:val="center"/>
          </w:tcPr>
          <w:p w14:paraId="6151C60C">
            <w:pPr>
              <w:pStyle w:val="12"/>
              <w:jc w:val="left"/>
            </w:pPr>
            <w:r>
              <w:rPr>
                <w:rFonts w:hint="eastAsia"/>
              </w:rPr>
              <w:t>赤卫队队员</w:t>
            </w:r>
          </w:p>
        </w:tc>
        <w:tc>
          <w:tcPr>
            <w:tcW w:w="1162" w:type="pct"/>
            <w:vAlign w:val="center"/>
          </w:tcPr>
          <w:p w14:paraId="0FCD12F1">
            <w:pPr>
              <w:pStyle w:val="12"/>
              <w:jc w:val="left"/>
            </w:pPr>
            <w:r>
              <w:rPr>
                <w:rFonts w:hint="eastAsia"/>
              </w:rPr>
              <w:t>1928年在梅岭红梅村被捕就义</w:t>
            </w:r>
          </w:p>
        </w:tc>
      </w:tr>
      <w:tr w14:paraId="706E30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640" w:type="pct"/>
            <w:vAlign w:val="center"/>
          </w:tcPr>
          <w:p w14:paraId="11A48F94">
            <w:pPr>
              <w:pStyle w:val="12"/>
              <w:jc w:val="center"/>
            </w:pPr>
            <w:r>
              <w:rPr>
                <w:rFonts w:hint="eastAsia"/>
              </w:rPr>
              <w:t>孔蹠古</w:t>
            </w:r>
          </w:p>
        </w:tc>
        <w:tc>
          <w:tcPr>
            <w:tcW w:w="388" w:type="pct"/>
            <w:vAlign w:val="center"/>
          </w:tcPr>
          <w:p w14:paraId="237A5F06">
            <w:pPr>
              <w:pStyle w:val="12"/>
              <w:jc w:val="center"/>
            </w:pPr>
            <w:r>
              <w:rPr>
                <w:rFonts w:hint="eastAsia"/>
              </w:rPr>
              <w:t>男</w:t>
            </w:r>
          </w:p>
        </w:tc>
        <w:tc>
          <w:tcPr>
            <w:tcW w:w="582" w:type="pct"/>
            <w:vAlign w:val="center"/>
          </w:tcPr>
          <w:p w14:paraId="77E4B886">
            <w:pPr>
              <w:pStyle w:val="12"/>
              <w:jc w:val="center"/>
            </w:pPr>
            <w:r>
              <w:rPr>
                <w:rFonts w:hint="eastAsia"/>
              </w:rPr>
              <w:t>1907年</w:t>
            </w:r>
          </w:p>
        </w:tc>
        <w:tc>
          <w:tcPr>
            <w:tcW w:w="582" w:type="pct"/>
            <w:vAlign w:val="center"/>
          </w:tcPr>
          <w:p w14:paraId="6585FF0C">
            <w:pPr>
              <w:pStyle w:val="12"/>
              <w:jc w:val="center"/>
            </w:pPr>
            <w:r>
              <w:rPr>
                <w:rFonts w:hint="eastAsia"/>
              </w:rPr>
              <w:t>油山镇</w:t>
            </w:r>
          </w:p>
        </w:tc>
        <w:tc>
          <w:tcPr>
            <w:tcW w:w="582" w:type="pct"/>
            <w:vAlign w:val="center"/>
          </w:tcPr>
          <w:p w14:paraId="20D341FC">
            <w:pPr>
              <w:pStyle w:val="12"/>
              <w:jc w:val="center"/>
            </w:pPr>
            <w:r>
              <w:rPr>
                <w:rFonts w:hint="eastAsia"/>
              </w:rPr>
              <w:t>1928年</w:t>
            </w:r>
          </w:p>
        </w:tc>
        <w:tc>
          <w:tcPr>
            <w:tcW w:w="1066" w:type="pct"/>
            <w:vAlign w:val="center"/>
          </w:tcPr>
          <w:p w14:paraId="6119FEDE">
            <w:pPr>
              <w:pStyle w:val="12"/>
              <w:jc w:val="left"/>
            </w:pPr>
            <w:r>
              <w:rPr>
                <w:rFonts w:hint="eastAsia"/>
              </w:rPr>
              <w:t>赤卫队队员</w:t>
            </w:r>
          </w:p>
        </w:tc>
        <w:tc>
          <w:tcPr>
            <w:tcW w:w="1162" w:type="pct"/>
            <w:vAlign w:val="center"/>
          </w:tcPr>
          <w:p w14:paraId="789932F7">
            <w:pPr>
              <w:pStyle w:val="12"/>
              <w:jc w:val="left"/>
            </w:pPr>
            <w:r>
              <w:rPr>
                <w:rFonts w:hint="eastAsia"/>
              </w:rPr>
              <w:t>1928年在灵潭战斗中牺牲</w:t>
            </w:r>
          </w:p>
        </w:tc>
      </w:tr>
      <w:tr w14:paraId="189EAA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2237394">
            <w:pPr>
              <w:pStyle w:val="12"/>
              <w:jc w:val="center"/>
            </w:pPr>
            <w:r>
              <w:rPr>
                <w:rFonts w:hint="eastAsia"/>
              </w:rPr>
              <w:t>王黑古俚</w:t>
            </w:r>
          </w:p>
        </w:tc>
        <w:tc>
          <w:tcPr>
            <w:tcW w:w="388" w:type="pct"/>
            <w:vAlign w:val="center"/>
          </w:tcPr>
          <w:p w14:paraId="6BA65E1B">
            <w:pPr>
              <w:pStyle w:val="12"/>
              <w:jc w:val="center"/>
            </w:pPr>
            <w:r>
              <w:rPr>
                <w:rFonts w:hint="eastAsia"/>
              </w:rPr>
              <w:t>男</w:t>
            </w:r>
          </w:p>
        </w:tc>
        <w:tc>
          <w:tcPr>
            <w:tcW w:w="582" w:type="pct"/>
            <w:vAlign w:val="center"/>
          </w:tcPr>
          <w:p w14:paraId="5F51BAF3">
            <w:pPr>
              <w:pStyle w:val="12"/>
              <w:jc w:val="center"/>
            </w:pPr>
            <w:r>
              <w:rPr>
                <w:rFonts w:hint="eastAsia"/>
              </w:rPr>
              <w:t>1903年</w:t>
            </w:r>
          </w:p>
        </w:tc>
        <w:tc>
          <w:tcPr>
            <w:tcW w:w="582" w:type="pct"/>
            <w:vAlign w:val="center"/>
          </w:tcPr>
          <w:p w14:paraId="2CE33A51">
            <w:pPr>
              <w:pStyle w:val="12"/>
              <w:jc w:val="center"/>
            </w:pPr>
            <w:r>
              <w:rPr>
                <w:rFonts w:hint="eastAsia"/>
              </w:rPr>
              <w:t>乌迳镇</w:t>
            </w:r>
          </w:p>
        </w:tc>
        <w:tc>
          <w:tcPr>
            <w:tcW w:w="582" w:type="pct"/>
            <w:vAlign w:val="center"/>
          </w:tcPr>
          <w:p w14:paraId="7F02CEC7">
            <w:pPr>
              <w:pStyle w:val="12"/>
              <w:jc w:val="center"/>
            </w:pPr>
            <w:r>
              <w:rPr>
                <w:rFonts w:hint="eastAsia"/>
              </w:rPr>
              <w:t>1928年</w:t>
            </w:r>
          </w:p>
        </w:tc>
        <w:tc>
          <w:tcPr>
            <w:tcW w:w="1066" w:type="pct"/>
            <w:vAlign w:val="center"/>
          </w:tcPr>
          <w:p w14:paraId="1D310FA6">
            <w:pPr>
              <w:pStyle w:val="12"/>
              <w:jc w:val="left"/>
            </w:pPr>
            <w:r>
              <w:rPr>
                <w:rFonts w:hint="eastAsia"/>
              </w:rPr>
              <w:t>赤卫队队员</w:t>
            </w:r>
          </w:p>
        </w:tc>
        <w:tc>
          <w:tcPr>
            <w:tcW w:w="1162" w:type="pct"/>
            <w:vAlign w:val="center"/>
          </w:tcPr>
          <w:p w14:paraId="24AC77A9">
            <w:pPr>
              <w:pStyle w:val="12"/>
              <w:jc w:val="left"/>
            </w:pPr>
            <w:r>
              <w:rPr>
                <w:rFonts w:hint="eastAsia"/>
              </w:rPr>
              <w:t>1928年在坪田作战牺牲</w:t>
            </w:r>
          </w:p>
        </w:tc>
      </w:tr>
      <w:tr w14:paraId="6523D9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BB31DE9">
            <w:pPr>
              <w:pStyle w:val="12"/>
              <w:jc w:val="center"/>
            </w:pPr>
            <w:r>
              <w:rPr>
                <w:rFonts w:hint="eastAsia"/>
              </w:rPr>
              <w:t>叶乙俚</w:t>
            </w:r>
          </w:p>
        </w:tc>
        <w:tc>
          <w:tcPr>
            <w:tcW w:w="388" w:type="pct"/>
            <w:vAlign w:val="center"/>
          </w:tcPr>
          <w:p w14:paraId="6C50EAE7">
            <w:pPr>
              <w:pStyle w:val="12"/>
              <w:jc w:val="center"/>
            </w:pPr>
            <w:r>
              <w:rPr>
                <w:rFonts w:hint="eastAsia"/>
              </w:rPr>
              <w:t>男</w:t>
            </w:r>
          </w:p>
        </w:tc>
        <w:tc>
          <w:tcPr>
            <w:tcW w:w="582" w:type="pct"/>
            <w:vAlign w:val="center"/>
          </w:tcPr>
          <w:p w14:paraId="594E0348">
            <w:pPr>
              <w:pStyle w:val="12"/>
              <w:jc w:val="center"/>
            </w:pPr>
            <w:r>
              <w:rPr>
                <w:rFonts w:hint="eastAsia"/>
              </w:rPr>
              <w:t>1904年</w:t>
            </w:r>
          </w:p>
        </w:tc>
        <w:tc>
          <w:tcPr>
            <w:tcW w:w="582" w:type="pct"/>
            <w:vAlign w:val="center"/>
          </w:tcPr>
          <w:p w14:paraId="44E95EE7">
            <w:pPr>
              <w:pStyle w:val="12"/>
              <w:jc w:val="center"/>
            </w:pPr>
            <w:r>
              <w:rPr>
                <w:rFonts w:hint="eastAsia"/>
              </w:rPr>
              <w:t>乌迳镇</w:t>
            </w:r>
          </w:p>
        </w:tc>
        <w:tc>
          <w:tcPr>
            <w:tcW w:w="582" w:type="pct"/>
            <w:vAlign w:val="center"/>
          </w:tcPr>
          <w:p w14:paraId="1E203AC9">
            <w:pPr>
              <w:pStyle w:val="12"/>
              <w:jc w:val="center"/>
            </w:pPr>
            <w:r>
              <w:rPr>
                <w:rFonts w:hint="eastAsia"/>
              </w:rPr>
              <w:t>1927年</w:t>
            </w:r>
          </w:p>
        </w:tc>
        <w:tc>
          <w:tcPr>
            <w:tcW w:w="1066" w:type="pct"/>
            <w:vAlign w:val="center"/>
          </w:tcPr>
          <w:p w14:paraId="42F8CE44">
            <w:pPr>
              <w:pStyle w:val="12"/>
              <w:jc w:val="left"/>
            </w:pPr>
            <w:r>
              <w:rPr>
                <w:rFonts w:hint="eastAsia"/>
              </w:rPr>
              <w:t>赤卫队队员</w:t>
            </w:r>
          </w:p>
        </w:tc>
        <w:tc>
          <w:tcPr>
            <w:tcW w:w="1162" w:type="pct"/>
            <w:vAlign w:val="center"/>
          </w:tcPr>
          <w:p w14:paraId="034CBC61">
            <w:pPr>
              <w:pStyle w:val="12"/>
              <w:jc w:val="left"/>
            </w:pPr>
            <w:r>
              <w:rPr>
                <w:rFonts w:hint="eastAsia"/>
              </w:rPr>
              <w:t>1928年在孔江被捕，在乌迳圩就义</w:t>
            </w:r>
          </w:p>
        </w:tc>
      </w:tr>
      <w:tr w14:paraId="190A47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6EF7BF9">
            <w:pPr>
              <w:pStyle w:val="12"/>
              <w:jc w:val="center"/>
            </w:pPr>
            <w:r>
              <w:rPr>
                <w:rFonts w:hint="eastAsia"/>
              </w:rPr>
              <w:t>彭泼赖俚</w:t>
            </w:r>
          </w:p>
        </w:tc>
        <w:tc>
          <w:tcPr>
            <w:tcW w:w="388" w:type="pct"/>
            <w:vAlign w:val="center"/>
          </w:tcPr>
          <w:p w14:paraId="3B679DE1">
            <w:pPr>
              <w:pStyle w:val="12"/>
              <w:jc w:val="center"/>
            </w:pPr>
            <w:r>
              <w:rPr>
                <w:rFonts w:hint="eastAsia"/>
              </w:rPr>
              <w:t>男</w:t>
            </w:r>
          </w:p>
        </w:tc>
        <w:tc>
          <w:tcPr>
            <w:tcW w:w="582" w:type="pct"/>
            <w:vAlign w:val="center"/>
          </w:tcPr>
          <w:p w14:paraId="4FBC8A08">
            <w:pPr>
              <w:pStyle w:val="12"/>
              <w:jc w:val="center"/>
            </w:pPr>
            <w:r>
              <w:rPr>
                <w:rFonts w:hint="eastAsia"/>
              </w:rPr>
              <w:t>1906年</w:t>
            </w:r>
          </w:p>
        </w:tc>
        <w:tc>
          <w:tcPr>
            <w:tcW w:w="582" w:type="pct"/>
            <w:vAlign w:val="center"/>
          </w:tcPr>
          <w:p w14:paraId="725C1634">
            <w:pPr>
              <w:pStyle w:val="12"/>
              <w:jc w:val="center"/>
            </w:pPr>
            <w:r>
              <w:rPr>
                <w:rFonts w:hint="eastAsia"/>
              </w:rPr>
              <w:t>油山镇</w:t>
            </w:r>
          </w:p>
        </w:tc>
        <w:tc>
          <w:tcPr>
            <w:tcW w:w="582" w:type="pct"/>
            <w:vAlign w:val="center"/>
          </w:tcPr>
          <w:p w14:paraId="79A13A3E">
            <w:pPr>
              <w:pStyle w:val="12"/>
              <w:jc w:val="center"/>
            </w:pPr>
            <w:r>
              <w:rPr>
                <w:rFonts w:hint="eastAsia"/>
              </w:rPr>
              <w:t>1928年</w:t>
            </w:r>
          </w:p>
        </w:tc>
        <w:tc>
          <w:tcPr>
            <w:tcW w:w="1066" w:type="pct"/>
            <w:vAlign w:val="center"/>
          </w:tcPr>
          <w:p w14:paraId="4C725CDE">
            <w:pPr>
              <w:pStyle w:val="12"/>
              <w:jc w:val="left"/>
            </w:pPr>
            <w:r>
              <w:rPr>
                <w:rFonts w:hint="eastAsia"/>
              </w:rPr>
              <w:t>赤卫队队员</w:t>
            </w:r>
          </w:p>
        </w:tc>
        <w:tc>
          <w:tcPr>
            <w:tcW w:w="1162" w:type="pct"/>
            <w:vAlign w:val="center"/>
          </w:tcPr>
          <w:p w14:paraId="2C8FAD55">
            <w:pPr>
              <w:pStyle w:val="12"/>
              <w:jc w:val="left"/>
            </w:pPr>
            <w:r>
              <w:rPr>
                <w:rFonts w:hint="eastAsia"/>
              </w:rPr>
              <w:t>1928年在油山黄地被捕，在大塘就义</w:t>
            </w:r>
          </w:p>
        </w:tc>
      </w:tr>
      <w:tr w14:paraId="297DFD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D6D1DF4">
            <w:pPr>
              <w:pStyle w:val="12"/>
              <w:jc w:val="center"/>
            </w:pPr>
            <w:r>
              <w:rPr>
                <w:rFonts w:hint="eastAsia"/>
              </w:rPr>
              <w:t>杨祖辉</w:t>
            </w:r>
          </w:p>
        </w:tc>
        <w:tc>
          <w:tcPr>
            <w:tcW w:w="388" w:type="pct"/>
            <w:vAlign w:val="center"/>
          </w:tcPr>
          <w:p w14:paraId="30C9F90B">
            <w:pPr>
              <w:pStyle w:val="12"/>
              <w:jc w:val="center"/>
            </w:pPr>
            <w:r>
              <w:rPr>
                <w:rFonts w:hint="eastAsia"/>
              </w:rPr>
              <w:t>男</w:t>
            </w:r>
          </w:p>
        </w:tc>
        <w:tc>
          <w:tcPr>
            <w:tcW w:w="582" w:type="pct"/>
            <w:vAlign w:val="center"/>
          </w:tcPr>
          <w:p w14:paraId="3707D332">
            <w:pPr>
              <w:pStyle w:val="12"/>
              <w:jc w:val="center"/>
            </w:pPr>
            <w:r>
              <w:rPr>
                <w:rFonts w:hint="eastAsia"/>
              </w:rPr>
              <w:t>1889年</w:t>
            </w:r>
          </w:p>
        </w:tc>
        <w:tc>
          <w:tcPr>
            <w:tcW w:w="582" w:type="pct"/>
            <w:vAlign w:val="center"/>
          </w:tcPr>
          <w:p w14:paraId="3998E2D0">
            <w:pPr>
              <w:pStyle w:val="12"/>
              <w:jc w:val="center"/>
            </w:pPr>
            <w:r>
              <w:rPr>
                <w:rFonts w:hint="eastAsia"/>
              </w:rPr>
              <w:t>珠玑镇</w:t>
            </w:r>
          </w:p>
        </w:tc>
        <w:tc>
          <w:tcPr>
            <w:tcW w:w="582" w:type="pct"/>
            <w:vAlign w:val="center"/>
          </w:tcPr>
          <w:p w14:paraId="16FE4F77">
            <w:pPr>
              <w:pStyle w:val="12"/>
              <w:jc w:val="center"/>
            </w:pPr>
            <w:r>
              <w:rPr>
                <w:rFonts w:hint="eastAsia"/>
              </w:rPr>
              <w:t>1928年</w:t>
            </w:r>
          </w:p>
        </w:tc>
        <w:tc>
          <w:tcPr>
            <w:tcW w:w="1066" w:type="pct"/>
            <w:vAlign w:val="center"/>
          </w:tcPr>
          <w:p w14:paraId="550B26EE">
            <w:pPr>
              <w:pStyle w:val="12"/>
              <w:jc w:val="left"/>
            </w:pPr>
            <w:r>
              <w:rPr>
                <w:rFonts w:hint="eastAsia"/>
              </w:rPr>
              <w:t>赤卫队队员</w:t>
            </w:r>
          </w:p>
        </w:tc>
        <w:tc>
          <w:tcPr>
            <w:tcW w:w="1162" w:type="pct"/>
            <w:vAlign w:val="center"/>
          </w:tcPr>
          <w:p w14:paraId="791F87A3">
            <w:pPr>
              <w:pStyle w:val="12"/>
              <w:jc w:val="left"/>
            </w:pPr>
            <w:r>
              <w:rPr>
                <w:rFonts w:hint="eastAsia"/>
              </w:rPr>
              <w:t>1928年5月执行任务时被捕，在南雄城郊就义</w:t>
            </w:r>
          </w:p>
        </w:tc>
      </w:tr>
      <w:tr w14:paraId="0BCC98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CE19F8B">
            <w:pPr>
              <w:pStyle w:val="12"/>
              <w:jc w:val="center"/>
            </w:pPr>
            <w:r>
              <w:rPr>
                <w:rFonts w:hint="eastAsia"/>
              </w:rPr>
              <w:t>叶象崇</w:t>
            </w:r>
          </w:p>
        </w:tc>
        <w:tc>
          <w:tcPr>
            <w:tcW w:w="388" w:type="pct"/>
            <w:vAlign w:val="center"/>
          </w:tcPr>
          <w:p w14:paraId="2B4E3321">
            <w:pPr>
              <w:pStyle w:val="12"/>
              <w:jc w:val="center"/>
            </w:pPr>
            <w:r>
              <w:rPr>
                <w:rFonts w:hint="eastAsia"/>
              </w:rPr>
              <w:t>男</w:t>
            </w:r>
          </w:p>
        </w:tc>
        <w:tc>
          <w:tcPr>
            <w:tcW w:w="582" w:type="pct"/>
            <w:vAlign w:val="center"/>
          </w:tcPr>
          <w:p w14:paraId="2E9ACED1">
            <w:pPr>
              <w:pStyle w:val="12"/>
              <w:jc w:val="center"/>
            </w:pPr>
            <w:r>
              <w:rPr>
                <w:rFonts w:hint="eastAsia"/>
              </w:rPr>
              <w:t>1898年</w:t>
            </w:r>
          </w:p>
        </w:tc>
        <w:tc>
          <w:tcPr>
            <w:tcW w:w="582" w:type="pct"/>
            <w:vAlign w:val="center"/>
          </w:tcPr>
          <w:p w14:paraId="2730D7F7">
            <w:pPr>
              <w:pStyle w:val="12"/>
              <w:jc w:val="center"/>
            </w:pPr>
            <w:r>
              <w:rPr>
                <w:rFonts w:hint="eastAsia"/>
              </w:rPr>
              <w:t>乌迳镇</w:t>
            </w:r>
          </w:p>
        </w:tc>
        <w:tc>
          <w:tcPr>
            <w:tcW w:w="582" w:type="pct"/>
            <w:vAlign w:val="center"/>
          </w:tcPr>
          <w:p w14:paraId="4EC27E7A">
            <w:pPr>
              <w:pStyle w:val="12"/>
              <w:jc w:val="center"/>
            </w:pPr>
            <w:r>
              <w:rPr>
                <w:rFonts w:hint="eastAsia"/>
              </w:rPr>
              <w:t>1928年</w:t>
            </w:r>
          </w:p>
        </w:tc>
        <w:tc>
          <w:tcPr>
            <w:tcW w:w="1066" w:type="pct"/>
            <w:vAlign w:val="center"/>
          </w:tcPr>
          <w:p w14:paraId="6C94028C">
            <w:pPr>
              <w:pStyle w:val="12"/>
              <w:jc w:val="left"/>
            </w:pPr>
            <w:r>
              <w:rPr>
                <w:rFonts w:hint="eastAsia"/>
              </w:rPr>
              <w:t>南雄游击队队员</w:t>
            </w:r>
          </w:p>
        </w:tc>
        <w:tc>
          <w:tcPr>
            <w:tcW w:w="1162" w:type="pct"/>
            <w:vAlign w:val="center"/>
          </w:tcPr>
          <w:p w14:paraId="1B9B6F10">
            <w:pPr>
              <w:pStyle w:val="12"/>
              <w:jc w:val="left"/>
            </w:pPr>
            <w:r>
              <w:rPr>
                <w:rFonts w:hint="eastAsia"/>
              </w:rPr>
              <w:t>1928年底在乌迳被捕，在南雄城郊就义</w:t>
            </w:r>
          </w:p>
        </w:tc>
      </w:tr>
      <w:tr w14:paraId="705DA7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99654A5">
            <w:pPr>
              <w:pStyle w:val="12"/>
              <w:jc w:val="center"/>
            </w:pPr>
            <w:r>
              <w:rPr>
                <w:rFonts w:hint="eastAsia"/>
              </w:rPr>
              <w:t>罗张妹</w:t>
            </w:r>
          </w:p>
        </w:tc>
        <w:tc>
          <w:tcPr>
            <w:tcW w:w="388" w:type="pct"/>
            <w:vAlign w:val="center"/>
          </w:tcPr>
          <w:p w14:paraId="52F67AAE">
            <w:pPr>
              <w:pStyle w:val="12"/>
              <w:jc w:val="center"/>
            </w:pPr>
            <w:r>
              <w:rPr>
                <w:rFonts w:hint="eastAsia"/>
              </w:rPr>
              <w:t>男</w:t>
            </w:r>
          </w:p>
        </w:tc>
        <w:tc>
          <w:tcPr>
            <w:tcW w:w="582" w:type="pct"/>
            <w:vAlign w:val="center"/>
          </w:tcPr>
          <w:p w14:paraId="4EFD0099">
            <w:pPr>
              <w:pStyle w:val="12"/>
              <w:jc w:val="center"/>
            </w:pPr>
            <w:r>
              <w:rPr>
                <w:rFonts w:hint="eastAsia"/>
              </w:rPr>
              <w:t>1909年</w:t>
            </w:r>
          </w:p>
        </w:tc>
        <w:tc>
          <w:tcPr>
            <w:tcW w:w="582" w:type="pct"/>
            <w:vAlign w:val="center"/>
          </w:tcPr>
          <w:p w14:paraId="770983D8">
            <w:pPr>
              <w:pStyle w:val="12"/>
              <w:jc w:val="center"/>
            </w:pPr>
            <w:r>
              <w:rPr>
                <w:rFonts w:hint="eastAsia"/>
              </w:rPr>
              <w:t>湖口镇</w:t>
            </w:r>
          </w:p>
        </w:tc>
        <w:tc>
          <w:tcPr>
            <w:tcW w:w="582" w:type="pct"/>
            <w:vAlign w:val="center"/>
          </w:tcPr>
          <w:p w14:paraId="3E6F174F">
            <w:pPr>
              <w:pStyle w:val="12"/>
              <w:jc w:val="center"/>
            </w:pPr>
            <w:r>
              <w:rPr>
                <w:rFonts w:hint="eastAsia"/>
              </w:rPr>
              <w:t>1928年</w:t>
            </w:r>
          </w:p>
        </w:tc>
        <w:tc>
          <w:tcPr>
            <w:tcW w:w="1066" w:type="pct"/>
            <w:vAlign w:val="center"/>
          </w:tcPr>
          <w:p w14:paraId="5C3432D7">
            <w:pPr>
              <w:pStyle w:val="12"/>
              <w:jc w:val="left"/>
            </w:pPr>
            <w:r>
              <w:rPr>
                <w:rFonts w:hint="eastAsia"/>
              </w:rPr>
              <w:t>南雄游击队队员</w:t>
            </w:r>
          </w:p>
        </w:tc>
        <w:tc>
          <w:tcPr>
            <w:tcW w:w="1162" w:type="pct"/>
            <w:vAlign w:val="center"/>
          </w:tcPr>
          <w:p w14:paraId="43078D66">
            <w:pPr>
              <w:pStyle w:val="12"/>
              <w:jc w:val="left"/>
            </w:pPr>
            <w:r>
              <w:rPr>
                <w:rFonts w:hint="eastAsia"/>
              </w:rPr>
              <w:t>1928年在南雄县城被捕就义</w:t>
            </w:r>
          </w:p>
        </w:tc>
      </w:tr>
      <w:tr w14:paraId="0430D5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3BA28DF">
            <w:pPr>
              <w:pStyle w:val="12"/>
              <w:jc w:val="center"/>
            </w:pPr>
            <w:r>
              <w:rPr>
                <w:rFonts w:hint="eastAsia"/>
              </w:rPr>
              <w:t>罗打立狗</w:t>
            </w:r>
          </w:p>
        </w:tc>
        <w:tc>
          <w:tcPr>
            <w:tcW w:w="388" w:type="pct"/>
            <w:vAlign w:val="center"/>
          </w:tcPr>
          <w:p w14:paraId="59D1B409">
            <w:pPr>
              <w:pStyle w:val="12"/>
              <w:jc w:val="center"/>
            </w:pPr>
            <w:r>
              <w:rPr>
                <w:rFonts w:hint="eastAsia"/>
              </w:rPr>
              <w:t>男</w:t>
            </w:r>
          </w:p>
        </w:tc>
        <w:tc>
          <w:tcPr>
            <w:tcW w:w="582" w:type="pct"/>
            <w:vAlign w:val="center"/>
          </w:tcPr>
          <w:p w14:paraId="4F998CC0">
            <w:pPr>
              <w:pStyle w:val="12"/>
              <w:jc w:val="center"/>
            </w:pPr>
            <w:r>
              <w:rPr>
                <w:rFonts w:hint="eastAsia"/>
              </w:rPr>
              <w:t>1882年</w:t>
            </w:r>
          </w:p>
        </w:tc>
        <w:tc>
          <w:tcPr>
            <w:tcW w:w="582" w:type="pct"/>
            <w:vAlign w:val="center"/>
          </w:tcPr>
          <w:p w14:paraId="745975C7">
            <w:pPr>
              <w:pStyle w:val="12"/>
              <w:jc w:val="center"/>
            </w:pPr>
            <w:r>
              <w:rPr>
                <w:rFonts w:hint="eastAsia"/>
              </w:rPr>
              <w:t>湖口镇</w:t>
            </w:r>
          </w:p>
        </w:tc>
        <w:tc>
          <w:tcPr>
            <w:tcW w:w="582" w:type="pct"/>
            <w:vAlign w:val="center"/>
          </w:tcPr>
          <w:p w14:paraId="3BE84F7A">
            <w:pPr>
              <w:pStyle w:val="12"/>
              <w:jc w:val="center"/>
            </w:pPr>
            <w:r>
              <w:rPr>
                <w:rFonts w:hint="eastAsia"/>
              </w:rPr>
              <w:t>1928年</w:t>
            </w:r>
          </w:p>
        </w:tc>
        <w:tc>
          <w:tcPr>
            <w:tcW w:w="1066" w:type="pct"/>
            <w:vAlign w:val="center"/>
          </w:tcPr>
          <w:p w14:paraId="29060BFF">
            <w:pPr>
              <w:pStyle w:val="12"/>
              <w:jc w:val="left"/>
            </w:pPr>
            <w:r>
              <w:rPr>
                <w:rFonts w:hint="eastAsia"/>
              </w:rPr>
              <w:t>赤卫队队员</w:t>
            </w:r>
          </w:p>
        </w:tc>
        <w:tc>
          <w:tcPr>
            <w:tcW w:w="1162" w:type="pct"/>
            <w:vAlign w:val="center"/>
          </w:tcPr>
          <w:p w14:paraId="1E4CF092">
            <w:pPr>
              <w:pStyle w:val="12"/>
              <w:jc w:val="left"/>
            </w:pPr>
            <w:r>
              <w:rPr>
                <w:rFonts w:hint="eastAsia"/>
              </w:rPr>
              <w:t>1928年3月在南雄县城被捕就义</w:t>
            </w:r>
          </w:p>
        </w:tc>
      </w:tr>
      <w:tr w14:paraId="4E9CF1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48A7C82">
            <w:pPr>
              <w:pStyle w:val="12"/>
              <w:jc w:val="center"/>
            </w:pPr>
            <w:r>
              <w:rPr>
                <w:rFonts w:hint="eastAsia"/>
              </w:rPr>
              <w:t>曾桂香</w:t>
            </w:r>
          </w:p>
        </w:tc>
        <w:tc>
          <w:tcPr>
            <w:tcW w:w="388" w:type="pct"/>
            <w:vAlign w:val="center"/>
          </w:tcPr>
          <w:p w14:paraId="48A5E0DC">
            <w:pPr>
              <w:pStyle w:val="12"/>
              <w:jc w:val="center"/>
            </w:pPr>
            <w:r>
              <w:rPr>
                <w:rFonts w:hint="eastAsia"/>
              </w:rPr>
              <w:t>男</w:t>
            </w:r>
          </w:p>
        </w:tc>
        <w:tc>
          <w:tcPr>
            <w:tcW w:w="582" w:type="pct"/>
            <w:vAlign w:val="center"/>
          </w:tcPr>
          <w:p w14:paraId="7B42C5D4">
            <w:pPr>
              <w:pStyle w:val="12"/>
              <w:jc w:val="center"/>
            </w:pPr>
            <w:r>
              <w:rPr>
                <w:rFonts w:hint="eastAsia"/>
              </w:rPr>
              <w:t>1896年</w:t>
            </w:r>
          </w:p>
        </w:tc>
        <w:tc>
          <w:tcPr>
            <w:tcW w:w="582" w:type="pct"/>
            <w:vAlign w:val="center"/>
          </w:tcPr>
          <w:p w14:paraId="3CE5AEA0">
            <w:pPr>
              <w:pStyle w:val="12"/>
              <w:jc w:val="center"/>
            </w:pPr>
            <w:r>
              <w:rPr>
                <w:rFonts w:hint="eastAsia"/>
              </w:rPr>
              <w:t>湖口镇</w:t>
            </w:r>
          </w:p>
        </w:tc>
        <w:tc>
          <w:tcPr>
            <w:tcW w:w="582" w:type="pct"/>
            <w:vAlign w:val="center"/>
          </w:tcPr>
          <w:p w14:paraId="257683C9">
            <w:pPr>
              <w:pStyle w:val="12"/>
              <w:jc w:val="center"/>
            </w:pPr>
            <w:r>
              <w:rPr>
                <w:rFonts w:hint="eastAsia"/>
              </w:rPr>
              <w:t>1928年</w:t>
            </w:r>
          </w:p>
        </w:tc>
        <w:tc>
          <w:tcPr>
            <w:tcW w:w="1066" w:type="pct"/>
            <w:vAlign w:val="center"/>
          </w:tcPr>
          <w:p w14:paraId="763D0924">
            <w:pPr>
              <w:pStyle w:val="12"/>
              <w:jc w:val="left"/>
            </w:pPr>
            <w:r>
              <w:rPr>
                <w:rFonts w:hint="eastAsia"/>
              </w:rPr>
              <w:t>赤卫队队员</w:t>
            </w:r>
          </w:p>
        </w:tc>
        <w:tc>
          <w:tcPr>
            <w:tcW w:w="1162" w:type="pct"/>
            <w:vAlign w:val="center"/>
          </w:tcPr>
          <w:p w14:paraId="5CCA8190">
            <w:pPr>
              <w:pStyle w:val="12"/>
              <w:jc w:val="left"/>
            </w:pPr>
            <w:r>
              <w:rPr>
                <w:rFonts w:hint="eastAsia"/>
              </w:rPr>
              <w:t>1928年3月在湖口围俚被捕就义</w:t>
            </w:r>
          </w:p>
        </w:tc>
      </w:tr>
      <w:tr w14:paraId="245E2B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38774F9">
            <w:pPr>
              <w:pStyle w:val="12"/>
              <w:jc w:val="center"/>
            </w:pPr>
            <w:r>
              <w:rPr>
                <w:rFonts w:hint="eastAsia"/>
              </w:rPr>
              <w:t>曾雨生</w:t>
            </w:r>
          </w:p>
        </w:tc>
        <w:tc>
          <w:tcPr>
            <w:tcW w:w="388" w:type="pct"/>
            <w:vAlign w:val="center"/>
          </w:tcPr>
          <w:p w14:paraId="2EF6294C">
            <w:pPr>
              <w:pStyle w:val="12"/>
              <w:jc w:val="center"/>
            </w:pPr>
            <w:r>
              <w:rPr>
                <w:rFonts w:hint="eastAsia"/>
              </w:rPr>
              <w:t>男</w:t>
            </w:r>
          </w:p>
        </w:tc>
        <w:tc>
          <w:tcPr>
            <w:tcW w:w="582" w:type="pct"/>
            <w:vAlign w:val="center"/>
          </w:tcPr>
          <w:p w14:paraId="21990512">
            <w:pPr>
              <w:pStyle w:val="12"/>
              <w:jc w:val="center"/>
            </w:pPr>
            <w:r>
              <w:rPr>
                <w:rFonts w:hint="eastAsia"/>
              </w:rPr>
              <w:t>1883年</w:t>
            </w:r>
          </w:p>
        </w:tc>
        <w:tc>
          <w:tcPr>
            <w:tcW w:w="582" w:type="pct"/>
            <w:vAlign w:val="center"/>
          </w:tcPr>
          <w:p w14:paraId="2D969DED">
            <w:pPr>
              <w:pStyle w:val="12"/>
              <w:jc w:val="center"/>
            </w:pPr>
            <w:r>
              <w:rPr>
                <w:rFonts w:hint="eastAsia"/>
              </w:rPr>
              <w:t>湖口镇</w:t>
            </w:r>
          </w:p>
        </w:tc>
        <w:tc>
          <w:tcPr>
            <w:tcW w:w="582" w:type="pct"/>
            <w:vAlign w:val="center"/>
          </w:tcPr>
          <w:p w14:paraId="3DC04F35">
            <w:pPr>
              <w:pStyle w:val="12"/>
              <w:jc w:val="center"/>
            </w:pPr>
            <w:r>
              <w:rPr>
                <w:rFonts w:hint="eastAsia"/>
              </w:rPr>
              <w:t>1928年</w:t>
            </w:r>
          </w:p>
        </w:tc>
        <w:tc>
          <w:tcPr>
            <w:tcW w:w="1066" w:type="pct"/>
            <w:vAlign w:val="center"/>
          </w:tcPr>
          <w:p w14:paraId="7EA47772">
            <w:pPr>
              <w:pStyle w:val="12"/>
              <w:jc w:val="left"/>
            </w:pPr>
            <w:r>
              <w:rPr>
                <w:rFonts w:hint="eastAsia"/>
              </w:rPr>
              <w:t>赤卫队队员</w:t>
            </w:r>
          </w:p>
        </w:tc>
        <w:tc>
          <w:tcPr>
            <w:tcW w:w="1162" w:type="pct"/>
            <w:vAlign w:val="center"/>
          </w:tcPr>
          <w:p w14:paraId="53771C3A">
            <w:pPr>
              <w:pStyle w:val="12"/>
              <w:jc w:val="left"/>
            </w:pPr>
            <w:r>
              <w:rPr>
                <w:rFonts w:hint="eastAsia"/>
              </w:rPr>
              <w:t>1928年在湖口围俚被捕，在县城就义</w:t>
            </w:r>
          </w:p>
        </w:tc>
      </w:tr>
      <w:tr w14:paraId="553A0F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DB902E3">
            <w:pPr>
              <w:pStyle w:val="12"/>
              <w:jc w:val="center"/>
            </w:pPr>
            <w:r>
              <w:rPr>
                <w:rFonts w:hint="eastAsia"/>
              </w:rPr>
              <w:t>曾昭亿</w:t>
            </w:r>
          </w:p>
        </w:tc>
        <w:tc>
          <w:tcPr>
            <w:tcW w:w="388" w:type="pct"/>
            <w:vAlign w:val="center"/>
          </w:tcPr>
          <w:p w14:paraId="0E4AC049">
            <w:pPr>
              <w:pStyle w:val="12"/>
              <w:jc w:val="center"/>
            </w:pPr>
            <w:r>
              <w:rPr>
                <w:rFonts w:hint="eastAsia"/>
              </w:rPr>
              <w:t>男</w:t>
            </w:r>
          </w:p>
        </w:tc>
        <w:tc>
          <w:tcPr>
            <w:tcW w:w="582" w:type="pct"/>
            <w:vAlign w:val="center"/>
          </w:tcPr>
          <w:p w14:paraId="00C83F08">
            <w:pPr>
              <w:pStyle w:val="12"/>
              <w:jc w:val="center"/>
            </w:pPr>
            <w:r>
              <w:rPr>
                <w:rFonts w:hint="eastAsia"/>
              </w:rPr>
              <w:t>1891年</w:t>
            </w:r>
          </w:p>
        </w:tc>
        <w:tc>
          <w:tcPr>
            <w:tcW w:w="582" w:type="pct"/>
            <w:vAlign w:val="center"/>
          </w:tcPr>
          <w:p w14:paraId="20F42670">
            <w:pPr>
              <w:pStyle w:val="12"/>
              <w:jc w:val="center"/>
            </w:pPr>
            <w:r>
              <w:rPr>
                <w:rFonts w:hint="eastAsia"/>
              </w:rPr>
              <w:t>湖口镇</w:t>
            </w:r>
          </w:p>
        </w:tc>
        <w:tc>
          <w:tcPr>
            <w:tcW w:w="582" w:type="pct"/>
            <w:vAlign w:val="center"/>
          </w:tcPr>
          <w:p w14:paraId="729B38F2">
            <w:pPr>
              <w:pStyle w:val="12"/>
              <w:jc w:val="center"/>
            </w:pPr>
            <w:r>
              <w:rPr>
                <w:rFonts w:hint="eastAsia"/>
              </w:rPr>
              <w:t>1928年</w:t>
            </w:r>
          </w:p>
        </w:tc>
        <w:tc>
          <w:tcPr>
            <w:tcW w:w="1066" w:type="pct"/>
            <w:vAlign w:val="center"/>
          </w:tcPr>
          <w:p w14:paraId="05B06812">
            <w:pPr>
              <w:pStyle w:val="12"/>
              <w:jc w:val="left"/>
            </w:pPr>
            <w:r>
              <w:rPr>
                <w:rFonts w:hint="eastAsia"/>
              </w:rPr>
              <w:t>赤卫队队员</w:t>
            </w:r>
          </w:p>
        </w:tc>
        <w:tc>
          <w:tcPr>
            <w:tcW w:w="1162" w:type="pct"/>
            <w:vAlign w:val="center"/>
          </w:tcPr>
          <w:p w14:paraId="037F259F">
            <w:pPr>
              <w:pStyle w:val="12"/>
              <w:jc w:val="left"/>
            </w:pPr>
            <w:r>
              <w:rPr>
                <w:rFonts w:hint="eastAsia"/>
              </w:rPr>
              <w:t>1928年在湖口被捕就义</w:t>
            </w:r>
          </w:p>
        </w:tc>
      </w:tr>
      <w:tr w14:paraId="1B35D3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5A367AF">
            <w:pPr>
              <w:pStyle w:val="12"/>
              <w:jc w:val="center"/>
            </w:pPr>
            <w:r>
              <w:rPr>
                <w:rFonts w:hint="eastAsia"/>
              </w:rPr>
              <w:t>曾兰香</w:t>
            </w:r>
          </w:p>
        </w:tc>
        <w:tc>
          <w:tcPr>
            <w:tcW w:w="388" w:type="pct"/>
            <w:vAlign w:val="center"/>
          </w:tcPr>
          <w:p w14:paraId="27E6B71D">
            <w:pPr>
              <w:pStyle w:val="12"/>
              <w:jc w:val="center"/>
            </w:pPr>
            <w:r>
              <w:rPr>
                <w:rFonts w:hint="eastAsia"/>
              </w:rPr>
              <w:t>男</w:t>
            </w:r>
          </w:p>
        </w:tc>
        <w:tc>
          <w:tcPr>
            <w:tcW w:w="582" w:type="pct"/>
            <w:vAlign w:val="center"/>
          </w:tcPr>
          <w:p w14:paraId="038F7670">
            <w:pPr>
              <w:pStyle w:val="12"/>
              <w:jc w:val="center"/>
            </w:pPr>
            <w:r>
              <w:rPr>
                <w:rFonts w:hint="eastAsia"/>
              </w:rPr>
              <w:t>1873年</w:t>
            </w:r>
          </w:p>
        </w:tc>
        <w:tc>
          <w:tcPr>
            <w:tcW w:w="582" w:type="pct"/>
            <w:vAlign w:val="center"/>
          </w:tcPr>
          <w:p w14:paraId="62ABD0A0">
            <w:pPr>
              <w:pStyle w:val="12"/>
              <w:jc w:val="center"/>
            </w:pPr>
            <w:r>
              <w:rPr>
                <w:rFonts w:hint="eastAsia"/>
              </w:rPr>
              <w:t>湖口镇</w:t>
            </w:r>
          </w:p>
        </w:tc>
        <w:tc>
          <w:tcPr>
            <w:tcW w:w="582" w:type="pct"/>
            <w:vAlign w:val="center"/>
          </w:tcPr>
          <w:p w14:paraId="22CC3D5E">
            <w:pPr>
              <w:pStyle w:val="12"/>
              <w:jc w:val="center"/>
            </w:pPr>
            <w:r>
              <w:rPr>
                <w:rFonts w:hint="eastAsia"/>
              </w:rPr>
              <w:t>1928年</w:t>
            </w:r>
          </w:p>
        </w:tc>
        <w:tc>
          <w:tcPr>
            <w:tcW w:w="1066" w:type="pct"/>
            <w:vAlign w:val="center"/>
          </w:tcPr>
          <w:p w14:paraId="46D36061">
            <w:pPr>
              <w:pStyle w:val="12"/>
              <w:jc w:val="left"/>
            </w:pPr>
            <w:r>
              <w:rPr>
                <w:rFonts w:hint="eastAsia"/>
              </w:rPr>
              <w:t>赤卫队队员</w:t>
            </w:r>
          </w:p>
        </w:tc>
        <w:tc>
          <w:tcPr>
            <w:tcW w:w="1162" w:type="pct"/>
            <w:vAlign w:val="center"/>
          </w:tcPr>
          <w:p w14:paraId="4ABC1560">
            <w:pPr>
              <w:pStyle w:val="12"/>
              <w:jc w:val="left"/>
            </w:pPr>
            <w:r>
              <w:rPr>
                <w:rFonts w:hint="eastAsia"/>
              </w:rPr>
              <w:t>1928年在湖口围俚被捕，在县城就义</w:t>
            </w:r>
          </w:p>
        </w:tc>
      </w:tr>
      <w:tr w14:paraId="0EE320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10CAE4E">
            <w:pPr>
              <w:pStyle w:val="12"/>
              <w:jc w:val="center"/>
            </w:pPr>
            <w:r>
              <w:rPr>
                <w:rFonts w:hint="eastAsia"/>
              </w:rPr>
              <w:t>曾晚娇</w:t>
            </w:r>
          </w:p>
        </w:tc>
        <w:tc>
          <w:tcPr>
            <w:tcW w:w="388" w:type="pct"/>
            <w:vAlign w:val="center"/>
          </w:tcPr>
          <w:p w14:paraId="5C128C03">
            <w:pPr>
              <w:pStyle w:val="12"/>
              <w:jc w:val="center"/>
            </w:pPr>
            <w:r>
              <w:rPr>
                <w:rFonts w:hint="eastAsia"/>
              </w:rPr>
              <w:t>男</w:t>
            </w:r>
          </w:p>
        </w:tc>
        <w:tc>
          <w:tcPr>
            <w:tcW w:w="582" w:type="pct"/>
            <w:vAlign w:val="center"/>
          </w:tcPr>
          <w:p w14:paraId="5899DBB7">
            <w:pPr>
              <w:pStyle w:val="12"/>
              <w:jc w:val="center"/>
            </w:pPr>
            <w:r>
              <w:rPr>
                <w:rFonts w:hint="eastAsia"/>
              </w:rPr>
              <w:t>1873年</w:t>
            </w:r>
          </w:p>
        </w:tc>
        <w:tc>
          <w:tcPr>
            <w:tcW w:w="582" w:type="pct"/>
            <w:vAlign w:val="center"/>
          </w:tcPr>
          <w:p w14:paraId="7B6B12F8">
            <w:pPr>
              <w:pStyle w:val="12"/>
              <w:jc w:val="center"/>
            </w:pPr>
            <w:r>
              <w:rPr>
                <w:rFonts w:hint="eastAsia"/>
              </w:rPr>
              <w:t>湖口镇</w:t>
            </w:r>
          </w:p>
        </w:tc>
        <w:tc>
          <w:tcPr>
            <w:tcW w:w="582" w:type="pct"/>
            <w:vAlign w:val="center"/>
          </w:tcPr>
          <w:p w14:paraId="33CEB884">
            <w:pPr>
              <w:pStyle w:val="12"/>
              <w:jc w:val="center"/>
            </w:pPr>
            <w:r>
              <w:rPr>
                <w:rFonts w:hint="eastAsia"/>
              </w:rPr>
              <w:t>1926年</w:t>
            </w:r>
          </w:p>
        </w:tc>
        <w:tc>
          <w:tcPr>
            <w:tcW w:w="1066" w:type="pct"/>
            <w:vAlign w:val="center"/>
          </w:tcPr>
          <w:p w14:paraId="34954E2C">
            <w:pPr>
              <w:pStyle w:val="12"/>
              <w:jc w:val="left"/>
            </w:pPr>
            <w:r>
              <w:rPr>
                <w:rFonts w:hint="eastAsia"/>
              </w:rPr>
              <w:t>赤卫队队员</w:t>
            </w:r>
          </w:p>
        </w:tc>
        <w:tc>
          <w:tcPr>
            <w:tcW w:w="1162" w:type="pct"/>
            <w:vAlign w:val="center"/>
          </w:tcPr>
          <w:p w14:paraId="576B38CA">
            <w:pPr>
              <w:pStyle w:val="12"/>
              <w:jc w:val="left"/>
            </w:pPr>
            <w:r>
              <w:rPr>
                <w:rFonts w:hint="eastAsia"/>
              </w:rPr>
              <w:t>1928年在湖口窝塘被捕，在县城郊就义</w:t>
            </w:r>
          </w:p>
        </w:tc>
      </w:tr>
      <w:tr w14:paraId="291626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9B476EA">
            <w:pPr>
              <w:pStyle w:val="12"/>
              <w:jc w:val="center"/>
            </w:pPr>
            <w:r>
              <w:rPr>
                <w:rFonts w:hint="eastAsia"/>
              </w:rPr>
              <w:t>曾串耳妹</w:t>
            </w:r>
          </w:p>
        </w:tc>
        <w:tc>
          <w:tcPr>
            <w:tcW w:w="388" w:type="pct"/>
            <w:vAlign w:val="center"/>
          </w:tcPr>
          <w:p w14:paraId="0E777B5A">
            <w:pPr>
              <w:pStyle w:val="12"/>
              <w:jc w:val="center"/>
            </w:pPr>
            <w:r>
              <w:rPr>
                <w:rFonts w:hint="eastAsia"/>
              </w:rPr>
              <w:t>男</w:t>
            </w:r>
          </w:p>
        </w:tc>
        <w:tc>
          <w:tcPr>
            <w:tcW w:w="582" w:type="pct"/>
            <w:vAlign w:val="center"/>
          </w:tcPr>
          <w:p w14:paraId="05249F9A">
            <w:pPr>
              <w:pStyle w:val="12"/>
              <w:jc w:val="center"/>
            </w:pPr>
            <w:r>
              <w:rPr>
                <w:rFonts w:hint="eastAsia"/>
              </w:rPr>
              <w:t>1867年</w:t>
            </w:r>
          </w:p>
        </w:tc>
        <w:tc>
          <w:tcPr>
            <w:tcW w:w="582" w:type="pct"/>
            <w:vAlign w:val="center"/>
          </w:tcPr>
          <w:p w14:paraId="7BF66B36">
            <w:pPr>
              <w:pStyle w:val="12"/>
              <w:jc w:val="center"/>
            </w:pPr>
            <w:r>
              <w:rPr>
                <w:rFonts w:hint="eastAsia"/>
              </w:rPr>
              <w:t>湖口镇</w:t>
            </w:r>
          </w:p>
        </w:tc>
        <w:tc>
          <w:tcPr>
            <w:tcW w:w="582" w:type="pct"/>
            <w:vAlign w:val="center"/>
          </w:tcPr>
          <w:p w14:paraId="004AC609">
            <w:pPr>
              <w:pStyle w:val="12"/>
              <w:jc w:val="center"/>
            </w:pPr>
            <w:r>
              <w:rPr>
                <w:rFonts w:hint="eastAsia"/>
              </w:rPr>
              <w:t>1926年</w:t>
            </w:r>
          </w:p>
        </w:tc>
        <w:tc>
          <w:tcPr>
            <w:tcW w:w="1066" w:type="pct"/>
            <w:vAlign w:val="center"/>
          </w:tcPr>
          <w:p w14:paraId="73AC8E2C">
            <w:pPr>
              <w:pStyle w:val="12"/>
              <w:jc w:val="left"/>
            </w:pPr>
            <w:r>
              <w:rPr>
                <w:rFonts w:hint="eastAsia"/>
              </w:rPr>
              <w:t>赤卫队队员</w:t>
            </w:r>
          </w:p>
        </w:tc>
        <w:tc>
          <w:tcPr>
            <w:tcW w:w="1162" w:type="pct"/>
            <w:vAlign w:val="center"/>
          </w:tcPr>
          <w:p w14:paraId="71CE9C79">
            <w:pPr>
              <w:pStyle w:val="12"/>
              <w:jc w:val="left"/>
            </w:pPr>
            <w:r>
              <w:rPr>
                <w:rFonts w:hint="eastAsia"/>
              </w:rPr>
              <w:t>1928年在河坪被捕就义</w:t>
            </w:r>
          </w:p>
        </w:tc>
      </w:tr>
      <w:tr w14:paraId="4B24D3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4CA6B14">
            <w:pPr>
              <w:pStyle w:val="12"/>
              <w:jc w:val="center"/>
            </w:pPr>
            <w:r>
              <w:rPr>
                <w:rFonts w:hint="eastAsia"/>
              </w:rPr>
              <w:t>刘南石</w:t>
            </w:r>
          </w:p>
        </w:tc>
        <w:tc>
          <w:tcPr>
            <w:tcW w:w="388" w:type="pct"/>
            <w:vAlign w:val="center"/>
          </w:tcPr>
          <w:p w14:paraId="64D55403">
            <w:pPr>
              <w:pStyle w:val="12"/>
              <w:jc w:val="center"/>
            </w:pPr>
            <w:r>
              <w:rPr>
                <w:rFonts w:hint="eastAsia"/>
              </w:rPr>
              <w:t>男</w:t>
            </w:r>
          </w:p>
        </w:tc>
        <w:tc>
          <w:tcPr>
            <w:tcW w:w="582" w:type="pct"/>
            <w:vAlign w:val="center"/>
          </w:tcPr>
          <w:p w14:paraId="0868F8AE">
            <w:pPr>
              <w:pStyle w:val="12"/>
              <w:jc w:val="center"/>
            </w:pPr>
            <w:r>
              <w:rPr>
                <w:rFonts w:hint="eastAsia"/>
              </w:rPr>
              <w:t>1892年</w:t>
            </w:r>
          </w:p>
        </w:tc>
        <w:tc>
          <w:tcPr>
            <w:tcW w:w="582" w:type="pct"/>
            <w:vAlign w:val="center"/>
          </w:tcPr>
          <w:p w14:paraId="3A5D2414">
            <w:pPr>
              <w:pStyle w:val="12"/>
              <w:jc w:val="center"/>
            </w:pPr>
            <w:r>
              <w:rPr>
                <w:rFonts w:hint="eastAsia"/>
              </w:rPr>
              <w:t>湖口镇</w:t>
            </w:r>
          </w:p>
        </w:tc>
        <w:tc>
          <w:tcPr>
            <w:tcW w:w="582" w:type="pct"/>
            <w:vAlign w:val="center"/>
          </w:tcPr>
          <w:p w14:paraId="5242FE01">
            <w:pPr>
              <w:pStyle w:val="12"/>
              <w:jc w:val="center"/>
            </w:pPr>
            <w:r>
              <w:rPr>
                <w:rFonts w:hint="eastAsia"/>
              </w:rPr>
              <w:t>1927年</w:t>
            </w:r>
          </w:p>
        </w:tc>
        <w:tc>
          <w:tcPr>
            <w:tcW w:w="1066" w:type="pct"/>
            <w:vAlign w:val="center"/>
          </w:tcPr>
          <w:p w14:paraId="584CCEFB">
            <w:pPr>
              <w:pStyle w:val="12"/>
              <w:jc w:val="left"/>
            </w:pPr>
            <w:r>
              <w:rPr>
                <w:rFonts w:hint="eastAsia"/>
              </w:rPr>
              <w:t>南雄游击队队员</w:t>
            </w:r>
          </w:p>
        </w:tc>
        <w:tc>
          <w:tcPr>
            <w:tcW w:w="1162" w:type="pct"/>
            <w:vAlign w:val="center"/>
          </w:tcPr>
          <w:p w14:paraId="363A9E5A">
            <w:pPr>
              <w:pStyle w:val="12"/>
              <w:jc w:val="left"/>
            </w:pPr>
            <w:r>
              <w:rPr>
                <w:rFonts w:hint="eastAsia"/>
              </w:rPr>
              <w:t>1928年在河坪被捕就义</w:t>
            </w:r>
          </w:p>
        </w:tc>
      </w:tr>
      <w:tr w14:paraId="4B95A0E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0EBD9C8">
            <w:pPr>
              <w:pStyle w:val="12"/>
              <w:jc w:val="center"/>
            </w:pPr>
            <w:r>
              <w:rPr>
                <w:rFonts w:hint="eastAsia"/>
              </w:rPr>
              <w:t>曾北斗石</w:t>
            </w:r>
          </w:p>
        </w:tc>
        <w:tc>
          <w:tcPr>
            <w:tcW w:w="388" w:type="pct"/>
            <w:vAlign w:val="center"/>
          </w:tcPr>
          <w:p w14:paraId="44E19598">
            <w:pPr>
              <w:pStyle w:val="12"/>
              <w:jc w:val="center"/>
            </w:pPr>
            <w:r>
              <w:rPr>
                <w:rFonts w:hint="eastAsia"/>
              </w:rPr>
              <w:t>男</w:t>
            </w:r>
          </w:p>
        </w:tc>
        <w:tc>
          <w:tcPr>
            <w:tcW w:w="582" w:type="pct"/>
            <w:vAlign w:val="center"/>
          </w:tcPr>
          <w:p w14:paraId="41C2E9D4">
            <w:pPr>
              <w:pStyle w:val="12"/>
              <w:jc w:val="center"/>
            </w:pPr>
            <w:r>
              <w:rPr>
                <w:rFonts w:hint="eastAsia"/>
              </w:rPr>
              <w:t>1907年</w:t>
            </w:r>
          </w:p>
        </w:tc>
        <w:tc>
          <w:tcPr>
            <w:tcW w:w="582" w:type="pct"/>
            <w:vAlign w:val="center"/>
          </w:tcPr>
          <w:p w14:paraId="435BF769">
            <w:pPr>
              <w:pStyle w:val="12"/>
              <w:jc w:val="center"/>
            </w:pPr>
            <w:r>
              <w:rPr>
                <w:rFonts w:hint="eastAsia"/>
              </w:rPr>
              <w:t>湖口镇</w:t>
            </w:r>
          </w:p>
        </w:tc>
        <w:tc>
          <w:tcPr>
            <w:tcW w:w="582" w:type="pct"/>
            <w:vAlign w:val="center"/>
          </w:tcPr>
          <w:p w14:paraId="6CB06A6D">
            <w:pPr>
              <w:pStyle w:val="12"/>
              <w:jc w:val="center"/>
            </w:pPr>
            <w:r>
              <w:rPr>
                <w:rFonts w:hint="eastAsia"/>
              </w:rPr>
              <w:t>1927年</w:t>
            </w:r>
          </w:p>
        </w:tc>
        <w:tc>
          <w:tcPr>
            <w:tcW w:w="1066" w:type="pct"/>
            <w:vAlign w:val="center"/>
          </w:tcPr>
          <w:p w14:paraId="7B0AA078">
            <w:pPr>
              <w:pStyle w:val="12"/>
              <w:jc w:val="left"/>
            </w:pPr>
            <w:r>
              <w:rPr>
                <w:rFonts w:hint="eastAsia"/>
              </w:rPr>
              <w:t>南雄游击队队员</w:t>
            </w:r>
          </w:p>
        </w:tc>
        <w:tc>
          <w:tcPr>
            <w:tcW w:w="1162" w:type="pct"/>
            <w:vAlign w:val="center"/>
          </w:tcPr>
          <w:p w14:paraId="6FDAB5EC">
            <w:pPr>
              <w:pStyle w:val="12"/>
              <w:jc w:val="left"/>
            </w:pPr>
            <w:r>
              <w:rPr>
                <w:rFonts w:hint="eastAsia"/>
              </w:rPr>
              <w:t>1928年在中站战斗牺牲</w:t>
            </w:r>
          </w:p>
        </w:tc>
      </w:tr>
      <w:tr w14:paraId="50F97C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5BEF218">
            <w:pPr>
              <w:pStyle w:val="12"/>
              <w:jc w:val="center"/>
            </w:pPr>
            <w:r>
              <w:rPr>
                <w:rFonts w:hint="eastAsia"/>
              </w:rPr>
              <w:t>杨铭永</w:t>
            </w:r>
          </w:p>
        </w:tc>
        <w:tc>
          <w:tcPr>
            <w:tcW w:w="388" w:type="pct"/>
            <w:vAlign w:val="center"/>
          </w:tcPr>
          <w:p w14:paraId="3E1F6E43">
            <w:pPr>
              <w:pStyle w:val="12"/>
              <w:jc w:val="center"/>
            </w:pPr>
            <w:r>
              <w:rPr>
                <w:rFonts w:hint="eastAsia"/>
              </w:rPr>
              <w:t>男</w:t>
            </w:r>
          </w:p>
        </w:tc>
        <w:tc>
          <w:tcPr>
            <w:tcW w:w="582" w:type="pct"/>
            <w:vAlign w:val="center"/>
          </w:tcPr>
          <w:p w14:paraId="18CA4E02">
            <w:pPr>
              <w:pStyle w:val="12"/>
              <w:jc w:val="center"/>
            </w:pPr>
            <w:r>
              <w:rPr>
                <w:rFonts w:hint="eastAsia"/>
              </w:rPr>
              <w:t>1897年</w:t>
            </w:r>
          </w:p>
        </w:tc>
        <w:tc>
          <w:tcPr>
            <w:tcW w:w="582" w:type="pct"/>
            <w:vAlign w:val="center"/>
          </w:tcPr>
          <w:p w14:paraId="67723F63">
            <w:pPr>
              <w:pStyle w:val="12"/>
              <w:jc w:val="center"/>
            </w:pPr>
            <w:r>
              <w:rPr>
                <w:rFonts w:hint="eastAsia"/>
              </w:rPr>
              <w:t>珠玑镇</w:t>
            </w:r>
          </w:p>
        </w:tc>
        <w:tc>
          <w:tcPr>
            <w:tcW w:w="582" w:type="pct"/>
            <w:vAlign w:val="center"/>
          </w:tcPr>
          <w:p w14:paraId="00B631DC">
            <w:pPr>
              <w:pStyle w:val="12"/>
              <w:jc w:val="center"/>
            </w:pPr>
            <w:r>
              <w:rPr>
                <w:rFonts w:hint="eastAsia"/>
              </w:rPr>
              <w:t>1928年</w:t>
            </w:r>
          </w:p>
        </w:tc>
        <w:tc>
          <w:tcPr>
            <w:tcW w:w="1066" w:type="pct"/>
            <w:vAlign w:val="center"/>
          </w:tcPr>
          <w:p w14:paraId="72DF66D5">
            <w:pPr>
              <w:pStyle w:val="12"/>
              <w:jc w:val="left"/>
            </w:pPr>
            <w:r>
              <w:rPr>
                <w:rFonts w:hint="eastAsia"/>
              </w:rPr>
              <w:t>工农红军战士</w:t>
            </w:r>
          </w:p>
        </w:tc>
        <w:tc>
          <w:tcPr>
            <w:tcW w:w="1162" w:type="pct"/>
            <w:vAlign w:val="center"/>
          </w:tcPr>
          <w:p w14:paraId="126952D7">
            <w:pPr>
              <w:pStyle w:val="12"/>
              <w:jc w:val="left"/>
            </w:pPr>
            <w:r>
              <w:rPr>
                <w:rFonts w:hint="eastAsia"/>
              </w:rPr>
              <w:t>1928年江西作战牺牲</w:t>
            </w:r>
          </w:p>
        </w:tc>
      </w:tr>
      <w:tr w14:paraId="413F11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3081247">
            <w:pPr>
              <w:pStyle w:val="12"/>
              <w:jc w:val="center"/>
            </w:pPr>
            <w:r>
              <w:rPr>
                <w:rFonts w:hint="eastAsia"/>
              </w:rPr>
              <w:t>曾北斗</w:t>
            </w:r>
          </w:p>
        </w:tc>
        <w:tc>
          <w:tcPr>
            <w:tcW w:w="388" w:type="pct"/>
            <w:vAlign w:val="center"/>
          </w:tcPr>
          <w:p w14:paraId="21DE7C0D">
            <w:pPr>
              <w:pStyle w:val="12"/>
              <w:jc w:val="center"/>
            </w:pPr>
            <w:r>
              <w:rPr>
                <w:rFonts w:hint="eastAsia"/>
              </w:rPr>
              <w:t>男</w:t>
            </w:r>
          </w:p>
        </w:tc>
        <w:tc>
          <w:tcPr>
            <w:tcW w:w="582" w:type="pct"/>
            <w:vAlign w:val="center"/>
          </w:tcPr>
          <w:p w14:paraId="35D1316A">
            <w:pPr>
              <w:pStyle w:val="12"/>
              <w:jc w:val="center"/>
            </w:pPr>
            <w:r>
              <w:rPr>
                <w:rFonts w:hint="eastAsia"/>
              </w:rPr>
              <w:t>1908年</w:t>
            </w:r>
          </w:p>
        </w:tc>
        <w:tc>
          <w:tcPr>
            <w:tcW w:w="582" w:type="pct"/>
            <w:vAlign w:val="center"/>
          </w:tcPr>
          <w:p w14:paraId="282E4EDC">
            <w:pPr>
              <w:pStyle w:val="12"/>
              <w:jc w:val="center"/>
            </w:pPr>
            <w:r>
              <w:rPr>
                <w:rFonts w:hint="eastAsia"/>
              </w:rPr>
              <w:t>珠玑镇</w:t>
            </w:r>
          </w:p>
        </w:tc>
        <w:tc>
          <w:tcPr>
            <w:tcW w:w="582" w:type="pct"/>
            <w:vAlign w:val="center"/>
          </w:tcPr>
          <w:p w14:paraId="6721B3ED">
            <w:pPr>
              <w:pStyle w:val="12"/>
              <w:jc w:val="center"/>
            </w:pPr>
            <w:r>
              <w:rPr>
                <w:rFonts w:hint="eastAsia"/>
              </w:rPr>
              <w:t>1928年</w:t>
            </w:r>
          </w:p>
        </w:tc>
        <w:tc>
          <w:tcPr>
            <w:tcW w:w="1066" w:type="pct"/>
            <w:vAlign w:val="center"/>
          </w:tcPr>
          <w:p w14:paraId="562CFFEE">
            <w:pPr>
              <w:pStyle w:val="12"/>
              <w:jc w:val="left"/>
            </w:pPr>
            <w:r>
              <w:rPr>
                <w:rFonts w:hint="eastAsia"/>
              </w:rPr>
              <w:t>南雄游击队队员</w:t>
            </w:r>
          </w:p>
        </w:tc>
        <w:tc>
          <w:tcPr>
            <w:tcW w:w="1162" w:type="pct"/>
            <w:vAlign w:val="center"/>
          </w:tcPr>
          <w:p w14:paraId="5F276AD1">
            <w:pPr>
              <w:pStyle w:val="12"/>
              <w:jc w:val="left"/>
            </w:pPr>
            <w:r>
              <w:rPr>
                <w:rFonts w:hint="eastAsia"/>
              </w:rPr>
              <w:t>1928年在油山作战牺牲</w:t>
            </w:r>
          </w:p>
        </w:tc>
      </w:tr>
      <w:tr w14:paraId="090F5D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FBFDF46">
            <w:pPr>
              <w:pStyle w:val="12"/>
              <w:jc w:val="center"/>
            </w:pPr>
            <w:r>
              <w:rPr>
                <w:rFonts w:hint="eastAsia"/>
              </w:rPr>
              <w:t>邓述连</w:t>
            </w:r>
          </w:p>
        </w:tc>
        <w:tc>
          <w:tcPr>
            <w:tcW w:w="388" w:type="pct"/>
            <w:vAlign w:val="center"/>
          </w:tcPr>
          <w:p w14:paraId="1E596F31">
            <w:pPr>
              <w:pStyle w:val="12"/>
              <w:jc w:val="center"/>
            </w:pPr>
            <w:r>
              <w:rPr>
                <w:rFonts w:hint="eastAsia"/>
              </w:rPr>
              <w:t>男</w:t>
            </w:r>
          </w:p>
        </w:tc>
        <w:tc>
          <w:tcPr>
            <w:tcW w:w="582" w:type="pct"/>
            <w:vAlign w:val="center"/>
          </w:tcPr>
          <w:p w14:paraId="708AE4D9">
            <w:pPr>
              <w:pStyle w:val="12"/>
              <w:jc w:val="center"/>
            </w:pPr>
            <w:r>
              <w:rPr>
                <w:rFonts w:hint="eastAsia"/>
              </w:rPr>
              <w:t>1904年</w:t>
            </w:r>
          </w:p>
        </w:tc>
        <w:tc>
          <w:tcPr>
            <w:tcW w:w="582" w:type="pct"/>
            <w:vAlign w:val="center"/>
          </w:tcPr>
          <w:p w14:paraId="1AA162BA">
            <w:pPr>
              <w:pStyle w:val="12"/>
              <w:jc w:val="center"/>
            </w:pPr>
            <w:r>
              <w:rPr>
                <w:rFonts w:hint="eastAsia"/>
              </w:rPr>
              <w:t>珠玑镇</w:t>
            </w:r>
          </w:p>
        </w:tc>
        <w:tc>
          <w:tcPr>
            <w:tcW w:w="582" w:type="pct"/>
            <w:vAlign w:val="center"/>
          </w:tcPr>
          <w:p w14:paraId="74862AC9">
            <w:pPr>
              <w:pStyle w:val="12"/>
              <w:jc w:val="center"/>
            </w:pPr>
            <w:r>
              <w:rPr>
                <w:rFonts w:hint="eastAsia"/>
              </w:rPr>
              <w:t>1928年</w:t>
            </w:r>
          </w:p>
        </w:tc>
        <w:tc>
          <w:tcPr>
            <w:tcW w:w="1066" w:type="pct"/>
            <w:vAlign w:val="center"/>
          </w:tcPr>
          <w:p w14:paraId="17654CBC">
            <w:pPr>
              <w:pStyle w:val="12"/>
              <w:jc w:val="left"/>
            </w:pPr>
            <w:r>
              <w:rPr>
                <w:rFonts w:hint="eastAsia"/>
              </w:rPr>
              <w:t>南雄游击队队员</w:t>
            </w:r>
          </w:p>
        </w:tc>
        <w:tc>
          <w:tcPr>
            <w:tcW w:w="1162" w:type="pct"/>
            <w:vAlign w:val="center"/>
          </w:tcPr>
          <w:p w14:paraId="5873B7FF">
            <w:pPr>
              <w:pStyle w:val="12"/>
              <w:jc w:val="left"/>
            </w:pPr>
            <w:r>
              <w:rPr>
                <w:rFonts w:hint="eastAsia"/>
              </w:rPr>
              <w:t>1928年冬，在聪背禁岭作战牺牲</w:t>
            </w:r>
          </w:p>
        </w:tc>
      </w:tr>
      <w:tr w14:paraId="7B4482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8BCDEFB">
            <w:pPr>
              <w:pStyle w:val="12"/>
              <w:jc w:val="center"/>
            </w:pPr>
            <w:r>
              <w:rPr>
                <w:rFonts w:hint="eastAsia"/>
              </w:rPr>
              <w:t>邓光辉</w:t>
            </w:r>
          </w:p>
        </w:tc>
        <w:tc>
          <w:tcPr>
            <w:tcW w:w="388" w:type="pct"/>
            <w:vAlign w:val="center"/>
          </w:tcPr>
          <w:p w14:paraId="5234C11F">
            <w:pPr>
              <w:pStyle w:val="12"/>
              <w:jc w:val="center"/>
            </w:pPr>
            <w:r>
              <w:rPr>
                <w:rFonts w:hint="eastAsia"/>
              </w:rPr>
              <w:t>男</w:t>
            </w:r>
          </w:p>
        </w:tc>
        <w:tc>
          <w:tcPr>
            <w:tcW w:w="582" w:type="pct"/>
            <w:vAlign w:val="center"/>
          </w:tcPr>
          <w:p w14:paraId="65941E0C">
            <w:pPr>
              <w:pStyle w:val="12"/>
              <w:jc w:val="center"/>
            </w:pPr>
            <w:r>
              <w:rPr>
                <w:rFonts w:hint="eastAsia"/>
              </w:rPr>
              <w:t>1900年</w:t>
            </w:r>
          </w:p>
        </w:tc>
        <w:tc>
          <w:tcPr>
            <w:tcW w:w="582" w:type="pct"/>
            <w:vAlign w:val="center"/>
          </w:tcPr>
          <w:p w14:paraId="05B8E048">
            <w:pPr>
              <w:pStyle w:val="12"/>
              <w:jc w:val="center"/>
            </w:pPr>
            <w:r>
              <w:rPr>
                <w:rFonts w:hint="eastAsia"/>
              </w:rPr>
              <w:t>珠玑镇</w:t>
            </w:r>
          </w:p>
        </w:tc>
        <w:tc>
          <w:tcPr>
            <w:tcW w:w="582" w:type="pct"/>
            <w:vAlign w:val="center"/>
          </w:tcPr>
          <w:p w14:paraId="06230FF1">
            <w:pPr>
              <w:pStyle w:val="12"/>
              <w:jc w:val="center"/>
            </w:pPr>
            <w:r>
              <w:rPr>
                <w:rFonts w:hint="eastAsia"/>
              </w:rPr>
              <w:t>1928年</w:t>
            </w:r>
          </w:p>
        </w:tc>
        <w:tc>
          <w:tcPr>
            <w:tcW w:w="1066" w:type="pct"/>
            <w:vAlign w:val="center"/>
          </w:tcPr>
          <w:p w14:paraId="3109CD46">
            <w:pPr>
              <w:pStyle w:val="12"/>
              <w:jc w:val="left"/>
            </w:pPr>
            <w:r>
              <w:rPr>
                <w:rFonts w:hint="eastAsia"/>
              </w:rPr>
              <w:t>南雄游击队队员</w:t>
            </w:r>
          </w:p>
        </w:tc>
        <w:tc>
          <w:tcPr>
            <w:tcW w:w="1162" w:type="pct"/>
            <w:vAlign w:val="center"/>
          </w:tcPr>
          <w:p w14:paraId="4C357DAC">
            <w:pPr>
              <w:pStyle w:val="12"/>
              <w:jc w:val="left"/>
            </w:pPr>
            <w:r>
              <w:rPr>
                <w:rFonts w:hint="eastAsia"/>
              </w:rPr>
              <w:t>1928年冬，在聪背禁岭作战牺牲</w:t>
            </w:r>
          </w:p>
        </w:tc>
      </w:tr>
      <w:tr w14:paraId="2AF751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99FC1D6">
            <w:pPr>
              <w:pStyle w:val="12"/>
              <w:jc w:val="center"/>
            </w:pPr>
            <w:r>
              <w:rPr>
                <w:rFonts w:hint="eastAsia"/>
              </w:rPr>
              <w:t>戴地昌</w:t>
            </w:r>
          </w:p>
        </w:tc>
        <w:tc>
          <w:tcPr>
            <w:tcW w:w="388" w:type="pct"/>
            <w:vAlign w:val="center"/>
          </w:tcPr>
          <w:p w14:paraId="7F2FEE80">
            <w:pPr>
              <w:pStyle w:val="12"/>
              <w:jc w:val="center"/>
            </w:pPr>
            <w:r>
              <w:rPr>
                <w:rFonts w:hint="eastAsia"/>
              </w:rPr>
              <w:t>男</w:t>
            </w:r>
          </w:p>
        </w:tc>
        <w:tc>
          <w:tcPr>
            <w:tcW w:w="582" w:type="pct"/>
            <w:vAlign w:val="center"/>
          </w:tcPr>
          <w:p w14:paraId="7112F2E5">
            <w:pPr>
              <w:pStyle w:val="12"/>
              <w:jc w:val="center"/>
            </w:pPr>
            <w:r>
              <w:rPr>
                <w:rFonts w:hint="eastAsia"/>
              </w:rPr>
              <w:t>1904年</w:t>
            </w:r>
          </w:p>
        </w:tc>
        <w:tc>
          <w:tcPr>
            <w:tcW w:w="582" w:type="pct"/>
            <w:vAlign w:val="center"/>
          </w:tcPr>
          <w:p w14:paraId="0F10D9E0">
            <w:pPr>
              <w:pStyle w:val="12"/>
              <w:jc w:val="center"/>
            </w:pPr>
            <w:r>
              <w:rPr>
                <w:rFonts w:hint="eastAsia"/>
              </w:rPr>
              <w:t>珠玑镇</w:t>
            </w:r>
          </w:p>
        </w:tc>
        <w:tc>
          <w:tcPr>
            <w:tcW w:w="582" w:type="pct"/>
            <w:vAlign w:val="center"/>
          </w:tcPr>
          <w:p w14:paraId="15E35EB0">
            <w:pPr>
              <w:pStyle w:val="12"/>
              <w:jc w:val="center"/>
            </w:pPr>
            <w:r>
              <w:rPr>
                <w:rFonts w:hint="eastAsia"/>
              </w:rPr>
              <w:t>1928年</w:t>
            </w:r>
          </w:p>
        </w:tc>
        <w:tc>
          <w:tcPr>
            <w:tcW w:w="1066" w:type="pct"/>
            <w:vAlign w:val="center"/>
          </w:tcPr>
          <w:p w14:paraId="6F6F88F6">
            <w:pPr>
              <w:pStyle w:val="12"/>
              <w:jc w:val="left"/>
            </w:pPr>
            <w:r>
              <w:rPr>
                <w:rFonts w:hint="eastAsia"/>
              </w:rPr>
              <w:t>南雄游击队队员</w:t>
            </w:r>
          </w:p>
        </w:tc>
        <w:tc>
          <w:tcPr>
            <w:tcW w:w="1162" w:type="pct"/>
            <w:vAlign w:val="center"/>
          </w:tcPr>
          <w:p w14:paraId="65A1ACA1">
            <w:pPr>
              <w:pStyle w:val="12"/>
              <w:jc w:val="left"/>
            </w:pPr>
            <w:r>
              <w:rPr>
                <w:rFonts w:hint="eastAsia"/>
              </w:rPr>
              <w:t>1928年8月在本县作战牺牲</w:t>
            </w:r>
          </w:p>
        </w:tc>
      </w:tr>
      <w:tr w14:paraId="2E2A1B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C101A3C">
            <w:pPr>
              <w:pStyle w:val="12"/>
              <w:jc w:val="center"/>
            </w:pPr>
            <w:r>
              <w:rPr>
                <w:rFonts w:hint="eastAsia"/>
              </w:rPr>
              <w:t>张水麻</w:t>
            </w:r>
          </w:p>
        </w:tc>
        <w:tc>
          <w:tcPr>
            <w:tcW w:w="388" w:type="pct"/>
            <w:vAlign w:val="center"/>
          </w:tcPr>
          <w:p w14:paraId="066B2E5E">
            <w:pPr>
              <w:pStyle w:val="12"/>
              <w:jc w:val="center"/>
            </w:pPr>
            <w:r>
              <w:rPr>
                <w:rFonts w:hint="eastAsia"/>
              </w:rPr>
              <w:t>男</w:t>
            </w:r>
          </w:p>
        </w:tc>
        <w:tc>
          <w:tcPr>
            <w:tcW w:w="582" w:type="pct"/>
            <w:vAlign w:val="center"/>
          </w:tcPr>
          <w:p w14:paraId="2AD42A92">
            <w:pPr>
              <w:pStyle w:val="12"/>
              <w:jc w:val="center"/>
            </w:pPr>
            <w:r>
              <w:rPr>
                <w:rFonts w:hint="eastAsia"/>
              </w:rPr>
              <w:t>1902年</w:t>
            </w:r>
          </w:p>
        </w:tc>
        <w:tc>
          <w:tcPr>
            <w:tcW w:w="582" w:type="pct"/>
            <w:vAlign w:val="center"/>
          </w:tcPr>
          <w:p w14:paraId="3F08573B">
            <w:pPr>
              <w:pStyle w:val="12"/>
              <w:jc w:val="center"/>
            </w:pPr>
            <w:r>
              <w:rPr>
                <w:rFonts w:hint="eastAsia"/>
              </w:rPr>
              <w:t>珠玑镇</w:t>
            </w:r>
          </w:p>
        </w:tc>
        <w:tc>
          <w:tcPr>
            <w:tcW w:w="582" w:type="pct"/>
            <w:vAlign w:val="center"/>
          </w:tcPr>
          <w:p w14:paraId="2C95591B">
            <w:pPr>
              <w:pStyle w:val="12"/>
              <w:jc w:val="center"/>
            </w:pPr>
            <w:r>
              <w:rPr>
                <w:rFonts w:hint="eastAsia"/>
              </w:rPr>
              <w:t>1928年</w:t>
            </w:r>
          </w:p>
        </w:tc>
        <w:tc>
          <w:tcPr>
            <w:tcW w:w="1066" w:type="pct"/>
            <w:vAlign w:val="center"/>
          </w:tcPr>
          <w:p w14:paraId="42A268B7">
            <w:pPr>
              <w:pStyle w:val="12"/>
              <w:jc w:val="left"/>
            </w:pPr>
            <w:r>
              <w:rPr>
                <w:rFonts w:hint="eastAsia"/>
              </w:rPr>
              <w:t>南雄游击队队员</w:t>
            </w:r>
          </w:p>
        </w:tc>
        <w:tc>
          <w:tcPr>
            <w:tcW w:w="1162" w:type="pct"/>
            <w:vAlign w:val="center"/>
          </w:tcPr>
          <w:p w14:paraId="006735B8">
            <w:pPr>
              <w:pStyle w:val="12"/>
              <w:jc w:val="left"/>
            </w:pPr>
            <w:r>
              <w:rPr>
                <w:rFonts w:hint="eastAsia"/>
              </w:rPr>
              <w:t>1928年11月在珠玑战斗牺牲</w:t>
            </w:r>
          </w:p>
        </w:tc>
      </w:tr>
      <w:tr w14:paraId="085A0F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3101F52">
            <w:pPr>
              <w:pStyle w:val="12"/>
              <w:jc w:val="center"/>
            </w:pPr>
            <w:r>
              <w:rPr>
                <w:rFonts w:hint="eastAsia"/>
              </w:rPr>
              <w:t>彭遵忠</w:t>
            </w:r>
          </w:p>
        </w:tc>
        <w:tc>
          <w:tcPr>
            <w:tcW w:w="388" w:type="pct"/>
            <w:vAlign w:val="center"/>
          </w:tcPr>
          <w:p w14:paraId="3F8AA3A1">
            <w:pPr>
              <w:pStyle w:val="12"/>
              <w:jc w:val="center"/>
            </w:pPr>
            <w:r>
              <w:rPr>
                <w:rFonts w:hint="eastAsia"/>
              </w:rPr>
              <w:t>男</w:t>
            </w:r>
          </w:p>
        </w:tc>
        <w:tc>
          <w:tcPr>
            <w:tcW w:w="582" w:type="pct"/>
            <w:vAlign w:val="center"/>
          </w:tcPr>
          <w:p w14:paraId="58B0B828">
            <w:pPr>
              <w:pStyle w:val="12"/>
              <w:jc w:val="center"/>
            </w:pPr>
            <w:r>
              <w:rPr>
                <w:rFonts w:hint="eastAsia"/>
              </w:rPr>
              <w:t>1902年</w:t>
            </w:r>
          </w:p>
        </w:tc>
        <w:tc>
          <w:tcPr>
            <w:tcW w:w="582" w:type="pct"/>
            <w:vAlign w:val="center"/>
          </w:tcPr>
          <w:p w14:paraId="0D55472F">
            <w:pPr>
              <w:pStyle w:val="12"/>
              <w:jc w:val="center"/>
            </w:pPr>
            <w:r>
              <w:rPr>
                <w:rFonts w:hint="eastAsia"/>
              </w:rPr>
              <w:t>油山镇</w:t>
            </w:r>
          </w:p>
        </w:tc>
        <w:tc>
          <w:tcPr>
            <w:tcW w:w="582" w:type="pct"/>
            <w:vAlign w:val="center"/>
          </w:tcPr>
          <w:p w14:paraId="09CC473B">
            <w:pPr>
              <w:pStyle w:val="12"/>
              <w:jc w:val="center"/>
            </w:pPr>
            <w:r>
              <w:rPr>
                <w:rFonts w:hint="eastAsia"/>
              </w:rPr>
              <w:t>1928年</w:t>
            </w:r>
          </w:p>
        </w:tc>
        <w:tc>
          <w:tcPr>
            <w:tcW w:w="1066" w:type="pct"/>
            <w:vAlign w:val="center"/>
          </w:tcPr>
          <w:p w14:paraId="23DA0385">
            <w:pPr>
              <w:pStyle w:val="12"/>
              <w:jc w:val="left"/>
            </w:pPr>
            <w:r>
              <w:rPr>
                <w:rFonts w:hint="eastAsia"/>
              </w:rPr>
              <w:t>南雄游击队队员</w:t>
            </w:r>
          </w:p>
        </w:tc>
        <w:tc>
          <w:tcPr>
            <w:tcW w:w="1162" w:type="pct"/>
            <w:vAlign w:val="center"/>
          </w:tcPr>
          <w:p w14:paraId="23DDF8BB">
            <w:pPr>
              <w:pStyle w:val="12"/>
              <w:jc w:val="left"/>
            </w:pPr>
            <w:r>
              <w:rPr>
                <w:rFonts w:hint="eastAsia"/>
              </w:rPr>
              <w:t>1928年底在上朔就义</w:t>
            </w:r>
          </w:p>
        </w:tc>
      </w:tr>
      <w:tr w14:paraId="79B904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FEE75E7">
            <w:pPr>
              <w:pStyle w:val="12"/>
              <w:jc w:val="center"/>
            </w:pPr>
            <w:r>
              <w:rPr>
                <w:rFonts w:hint="eastAsia"/>
              </w:rPr>
              <w:t>杨生俚</w:t>
            </w:r>
          </w:p>
        </w:tc>
        <w:tc>
          <w:tcPr>
            <w:tcW w:w="388" w:type="pct"/>
            <w:vAlign w:val="center"/>
          </w:tcPr>
          <w:p w14:paraId="2A73CE67">
            <w:pPr>
              <w:pStyle w:val="12"/>
              <w:jc w:val="center"/>
            </w:pPr>
            <w:r>
              <w:rPr>
                <w:rFonts w:hint="eastAsia"/>
              </w:rPr>
              <w:t>男</w:t>
            </w:r>
          </w:p>
        </w:tc>
        <w:tc>
          <w:tcPr>
            <w:tcW w:w="582" w:type="pct"/>
            <w:vAlign w:val="center"/>
          </w:tcPr>
          <w:p w14:paraId="0B0F6213">
            <w:pPr>
              <w:pStyle w:val="12"/>
              <w:jc w:val="center"/>
            </w:pPr>
            <w:r>
              <w:rPr>
                <w:rFonts w:hint="eastAsia"/>
              </w:rPr>
              <w:t>1896年</w:t>
            </w:r>
          </w:p>
        </w:tc>
        <w:tc>
          <w:tcPr>
            <w:tcW w:w="582" w:type="pct"/>
            <w:vAlign w:val="center"/>
          </w:tcPr>
          <w:p w14:paraId="2B2FEE09">
            <w:pPr>
              <w:pStyle w:val="12"/>
              <w:jc w:val="center"/>
            </w:pPr>
            <w:r>
              <w:rPr>
                <w:rFonts w:hint="eastAsia"/>
              </w:rPr>
              <w:t>珠玑镇</w:t>
            </w:r>
          </w:p>
        </w:tc>
        <w:tc>
          <w:tcPr>
            <w:tcW w:w="582" w:type="pct"/>
            <w:vAlign w:val="center"/>
          </w:tcPr>
          <w:p w14:paraId="5BE39737">
            <w:pPr>
              <w:pStyle w:val="12"/>
              <w:jc w:val="center"/>
            </w:pPr>
            <w:r>
              <w:rPr>
                <w:rFonts w:hint="eastAsia"/>
              </w:rPr>
              <w:t>1928年</w:t>
            </w:r>
          </w:p>
        </w:tc>
        <w:tc>
          <w:tcPr>
            <w:tcW w:w="1066" w:type="pct"/>
            <w:vAlign w:val="center"/>
          </w:tcPr>
          <w:p w14:paraId="1EB6FA30">
            <w:pPr>
              <w:pStyle w:val="12"/>
              <w:jc w:val="left"/>
            </w:pPr>
            <w:r>
              <w:rPr>
                <w:rFonts w:hint="eastAsia"/>
              </w:rPr>
              <w:t>南雄游击队队员</w:t>
            </w:r>
          </w:p>
        </w:tc>
        <w:tc>
          <w:tcPr>
            <w:tcW w:w="1162" w:type="pct"/>
            <w:vAlign w:val="center"/>
          </w:tcPr>
          <w:p w14:paraId="2B6511C0">
            <w:pPr>
              <w:pStyle w:val="12"/>
              <w:jc w:val="left"/>
            </w:pPr>
            <w:r>
              <w:rPr>
                <w:rFonts w:hint="eastAsia"/>
              </w:rPr>
              <w:t>1928年底在油山黄地战斗牺牲</w:t>
            </w:r>
          </w:p>
        </w:tc>
      </w:tr>
      <w:tr w14:paraId="18D0A2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0C8DBB6">
            <w:pPr>
              <w:pStyle w:val="12"/>
              <w:jc w:val="center"/>
            </w:pPr>
            <w:r>
              <w:rPr>
                <w:rFonts w:hint="eastAsia"/>
              </w:rPr>
              <w:t>何世英</w:t>
            </w:r>
          </w:p>
        </w:tc>
        <w:tc>
          <w:tcPr>
            <w:tcW w:w="388" w:type="pct"/>
            <w:vAlign w:val="center"/>
          </w:tcPr>
          <w:p w14:paraId="098D80F8">
            <w:pPr>
              <w:pStyle w:val="12"/>
              <w:jc w:val="center"/>
            </w:pPr>
            <w:r>
              <w:rPr>
                <w:rFonts w:hint="eastAsia"/>
              </w:rPr>
              <w:t>男</w:t>
            </w:r>
          </w:p>
        </w:tc>
        <w:tc>
          <w:tcPr>
            <w:tcW w:w="582" w:type="pct"/>
            <w:vAlign w:val="center"/>
          </w:tcPr>
          <w:p w14:paraId="6657D432">
            <w:pPr>
              <w:pStyle w:val="12"/>
              <w:jc w:val="center"/>
            </w:pPr>
            <w:r>
              <w:rPr>
                <w:rFonts w:hint="eastAsia"/>
              </w:rPr>
              <w:t>1986年</w:t>
            </w:r>
          </w:p>
        </w:tc>
        <w:tc>
          <w:tcPr>
            <w:tcW w:w="582" w:type="pct"/>
            <w:vAlign w:val="center"/>
          </w:tcPr>
          <w:p w14:paraId="15D9BC02">
            <w:pPr>
              <w:pStyle w:val="12"/>
              <w:jc w:val="center"/>
            </w:pPr>
            <w:r>
              <w:rPr>
                <w:rFonts w:hint="eastAsia"/>
              </w:rPr>
              <w:t>珠玑镇</w:t>
            </w:r>
          </w:p>
        </w:tc>
        <w:tc>
          <w:tcPr>
            <w:tcW w:w="582" w:type="pct"/>
            <w:vAlign w:val="center"/>
          </w:tcPr>
          <w:p w14:paraId="039293F5">
            <w:pPr>
              <w:pStyle w:val="12"/>
              <w:jc w:val="center"/>
            </w:pPr>
            <w:r>
              <w:rPr>
                <w:rFonts w:hint="eastAsia"/>
              </w:rPr>
              <w:t>1928年</w:t>
            </w:r>
          </w:p>
        </w:tc>
        <w:tc>
          <w:tcPr>
            <w:tcW w:w="1066" w:type="pct"/>
            <w:vAlign w:val="center"/>
          </w:tcPr>
          <w:p w14:paraId="40366BEF">
            <w:pPr>
              <w:pStyle w:val="12"/>
              <w:jc w:val="left"/>
            </w:pPr>
            <w:r>
              <w:rPr>
                <w:rFonts w:hint="eastAsia"/>
              </w:rPr>
              <w:t>赤卫队队员</w:t>
            </w:r>
          </w:p>
        </w:tc>
        <w:tc>
          <w:tcPr>
            <w:tcW w:w="1162" w:type="pct"/>
            <w:vAlign w:val="center"/>
          </w:tcPr>
          <w:p w14:paraId="17D894B7">
            <w:pPr>
              <w:pStyle w:val="12"/>
              <w:jc w:val="left"/>
            </w:pPr>
            <w:r>
              <w:rPr>
                <w:rFonts w:hint="eastAsia"/>
              </w:rPr>
              <w:t>1928年3月在里东被捕就义</w:t>
            </w:r>
          </w:p>
        </w:tc>
      </w:tr>
      <w:tr w14:paraId="3B59A5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8A8811B">
            <w:pPr>
              <w:pStyle w:val="12"/>
              <w:jc w:val="center"/>
            </w:pPr>
            <w:r>
              <w:rPr>
                <w:rFonts w:hint="eastAsia"/>
              </w:rPr>
              <w:t>邓事填</w:t>
            </w:r>
          </w:p>
        </w:tc>
        <w:tc>
          <w:tcPr>
            <w:tcW w:w="388" w:type="pct"/>
            <w:vAlign w:val="center"/>
          </w:tcPr>
          <w:p w14:paraId="4D41E9C1">
            <w:pPr>
              <w:pStyle w:val="12"/>
              <w:jc w:val="center"/>
            </w:pPr>
            <w:r>
              <w:rPr>
                <w:rFonts w:hint="eastAsia"/>
              </w:rPr>
              <w:t>男</w:t>
            </w:r>
          </w:p>
        </w:tc>
        <w:tc>
          <w:tcPr>
            <w:tcW w:w="582" w:type="pct"/>
            <w:vAlign w:val="center"/>
          </w:tcPr>
          <w:p w14:paraId="2D070267">
            <w:pPr>
              <w:pStyle w:val="12"/>
              <w:jc w:val="center"/>
            </w:pPr>
            <w:r>
              <w:rPr>
                <w:rFonts w:hint="eastAsia"/>
              </w:rPr>
              <w:t>1905年</w:t>
            </w:r>
          </w:p>
        </w:tc>
        <w:tc>
          <w:tcPr>
            <w:tcW w:w="582" w:type="pct"/>
            <w:vAlign w:val="center"/>
          </w:tcPr>
          <w:p w14:paraId="4824B20C">
            <w:pPr>
              <w:pStyle w:val="12"/>
              <w:jc w:val="center"/>
            </w:pPr>
            <w:r>
              <w:rPr>
                <w:rFonts w:hint="eastAsia"/>
              </w:rPr>
              <w:t>珠玑镇</w:t>
            </w:r>
          </w:p>
        </w:tc>
        <w:tc>
          <w:tcPr>
            <w:tcW w:w="582" w:type="pct"/>
            <w:vAlign w:val="center"/>
          </w:tcPr>
          <w:p w14:paraId="5DFF4B33">
            <w:pPr>
              <w:pStyle w:val="12"/>
              <w:jc w:val="center"/>
            </w:pPr>
            <w:r>
              <w:rPr>
                <w:rFonts w:hint="eastAsia"/>
              </w:rPr>
              <w:t>1928年</w:t>
            </w:r>
          </w:p>
        </w:tc>
        <w:tc>
          <w:tcPr>
            <w:tcW w:w="1066" w:type="pct"/>
            <w:vAlign w:val="center"/>
          </w:tcPr>
          <w:p w14:paraId="7A6E69F2">
            <w:pPr>
              <w:pStyle w:val="12"/>
              <w:jc w:val="left"/>
            </w:pPr>
            <w:r>
              <w:rPr>
                <w:rFonts w:hint="eastAsia"/>
              </w:rPr>
              <w:t>南雄游击队队员</w:t>
            </w:r>
          </w:p>
        </w:tc>
        <w:tc>
          <w:tcPr>
            <w:tcW w:w="1162" w:type="pct"/>
            <w:vAlign w:val="center"/>
          </w:tcPr>
          <w:p w14:paraId="7BA812D5">
            <w:pPr>
              <w:pStyle w:val="12"/>
              <w:jc w:val="left"/>
            </w:pPr>
            <w:r>
              <w:rPr>
                <w:rFonts w:hint="eastAsia"/>
              </w:rPr>
              <w:t>1928年在在聪背禁岭作战牺牲</w:t>
            </w:r>
          </w:p>
        </w:tc>
      </w:tr>
      <w:tr w14:paraId="1DA4DB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FB1A201">
            <w:pPr>
              <w:pStyle w:val="12"/>
              <w:jc w:val="center"/>
            </w:pPr>
            <w:r>
              <w:rPr>
                <w:rFonts w:hint="eastAsia"/>
              </w:rPr>
              <w:t>曾土狗</w:t>
            </w:r>
          </w:p>
        </w:tc>
        <w:tc>
          <w:tcPr>
            <w:tcW w:w="388" w:type="pct"/>
            <w:vAlign w:val="center"/>
          </w:tcPr>
          <w:p w14:paraId="2EB69C4B">
            <w:pPr>
              <w:pStyle w:val="12"/>
              <w:jc w:val="center"/>
            </w:pPr>
            <w:r>
              <w:rPr>
                <w:rFonts w:hint="eastAsia"/>
              </w:rPr>
              <w:t>男</w:t>
            </w:r>
          </w:p>
        </w:tc>
        <w:tc>
          <w:tcPr>
            <w:tcW w:w="582" w:type="pct"/>
            <w:vAlign w:val="center"/>
          </w:tcPr>
          <w:p w14:paraId="73079C9D">
            <w:pPr>
              <w:pStyle w:val="12"/>
              <w:jc w:val="center"/>
            </w:pPr>
            <w:r>
              <w:rPr>
                <w:rFonts w:hint="eastAsia"/>
              </w:rPr>
              <w:t>1896年</w:t>
            </w:r>
          </w:p>
        </w:tc>
        <w:tc>
          <w:tcPr>
            <w:tcW w:w="582" w:type="pct"/>
            <w:vAlign w:val="center"/>
          </w:tcPr>
          <w:p w14:paraId="0C447E0C">
            <w:pPr>
              <w:pStyle w:val="12"/>
              <w:jc w:val="center"/>
            </w:pPr>
            <w:r>
              <w:rPr>
                <w:rFonts w:hint="eastAsia"/>
              </w:rPr>
              <w:t>珠玑镇</w:t>
            </w:r>
          </w:p>
        </w:tc>
        <w:tc>
          <w:tcPr>
            <w:tcW w:w="582" w:type="pct"/>
            <w:vAlign w:val="center"/>
          </w:tcPr>
          <w:p w14:paraId="53C1A202">
            <w:pPr>
              <w:pStyle w:val="12"/>
              <w:jc w:val="center"/>
            </w:pPr>
            <w:r>
              <w:rPr>
                <w:rFonts w:hint="eastAsia"/>
              </w:rPr>
              <w:t>1928年</w:t>
            </w:r>
          </w:p>
        </w:tc>
        <w:tc>
          <w:tcPr>
            <w:tcW w:w="1066" w:type="pct"/>
            <w:vAlign w:val="center"/>
          </w:tcPr>
          <w:p w14:paraId="63250469">
            <w:pPr>
              <w:pStyle w:val="12"/>
              <w:jc w:val="left"/>
            </w:pPr>
            <w:r>
              <w:rPr>
                <w:rFonts w:hint="eastAsia"/>
              </w:rPr>
              <w:t>南雄游击队队员</w:t>
            </w:r>
          </w:p>
        </w:tc>
        <w:tc>
          <w:tcPr>
            <w:tcW w:w="1162" w:type="pct"/>
            <w:vAlign w:val="center"/>
          </w:tcPr>
          <w:p w14:paraId="1DDDFA45">
            <w:pPr>
              <w:pStyle w:val="12"/>
              <w:jc w:val="left"/>
            </w:pPr>
            <w:r>
              <w:rPr>
                <w:rFonts w:hint="eastAsia"/>
              </w:rPr>
              <w:t>1928年底在油山作战牺牲</w:t>
            </w:r>
          </w:p>
        </w:tc>
      </w:tr>
      <w:tr w14:paraId="1CDDFBB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AF66524">
            <w:pPr>
              <w:pStyle w:val="12"/>
              <w:jc w:val="center"/>
            </w:pPr>
            <w:r>
              <w:rPr>
                <w:rFonts w:hint="eastAsia"/>
              </w:rPr>
              <w:t>黄衍萱</w:t>
            </w:r>
          </w:p>
        </w:tc>
        <w:tc>
          <w:tcPr>
            <w:tcW w:w="388" w:type="pct"/>
            <w:vAlign w:val="center"/>
          </w:tcPr>
          <w:p w14:paraId="1475ABBE">
            <w:pPr>
              <w:pStyle w:val="12"/>
              <w:jc w:val="center"/>
            </w:pPr>
            <w:r>
              <w:rPr>
                <w:rFonts w:hint="eastAsia"/>
              </w:rPr>
              <w:t>男</w:t>
            </w:r>
          </w:p>
        </w:tc>
        <w:tc>
          <w:tcPr>
            <w:tcW w:w="582" w:type="pct"/>
            <w:vAlign w:val="center"/>
          </w:tcPr>
          <w:p w14:paraId="7FED781C">
            <w:pPr>
              <w:pStyle w:val="12"/>
              <w:jc w:val="center"/>
            </w:pPr>
            <w:r>
              <w:rPr>
                <w:rFonts w:hint="eastAsia"/>
              </w:rPr>
              <w:t>1904年</w:t>
            </w:r>
          </w:p>
        </w:tc>
        <w:tc>
          <w:tcPr>
            <w:tcW w:w="582" w:type="pct"/>
            <w:vAlign w:val="center"/>
          </w:tcPr>
          <w:p w14:paraId="49E2136E">
            <w:pPr>
              <w:pStyle w:val="12"/>
              <w:jc w:val="center"/>
            </w:pPr>
            <w:r>
              <w:rPr>
                <w:rFonts w:hint="eastAsia"/>
              </w:rPr>
              <w:t>珠玑镇</w:t>
            </w:r>
          </w:p>
        </w:tc>
        <w:tc>
          <w:tcPr>
            <w:tcW w:w="582" w:type="pct"/>
            <w:vAlign w:val="center"/>
          </w:tcPr>
          <w:p w14:paraId="159DDAE9">
            <w:pPr>
              <w:pStyle w:val="12"/>
              <w:jc w:val="center"/>
            </w:pPr>
            <w:r>
              <w:rPr>
                <w:rFonts w:hint="eastAsia"/>
              </w:rPr>
              <w:t>1928年</w:t>
            </w:r>
          </w:p>
        </w:tc>
        <w:tc>
          <w:tcPr>
            <w:tcW w:w="1066" w:type="pct"/>
            <w:vAlign w:val="center"/>
          </w:tcPr>
          <w:p w14:paraId="60065429">
            <w:pPr>
              <w:pStyle w:val="12"/>
              <w:jc w:val="left"/>
            </w:pPr>
            <w:r>
              <w:rPr>
                <w:rFonts w:hint="eastAsia"/>
              </w:rPr>
              <w:t>南雄游击队队员</w:t>
            </w:r>
          </w:p>
        </w:tc>
        <w:tc>
          <w:tcPr>
            <w:tcW w:w="1162" w:type="pct"/>
            <w:vAlign w:val="center"/>
          </w:tcPr>
          <w:p w14:paraId="621E5BE5">
            <w:pPr>
              <w:pStyle w:val="12"/>
              <w:jc w:val="left"/>
            </w:pPr>
            <w:r>
              <w:rPr>
                <w:rFonts w:hint="eastAsia"/>
              </w:rPr>
              <w:t>1928年底在南山被捕，在县城就义</w:t>
            </w:r>
          </w:p>
        </w:tc>
      </w:tr>
      <w:tr w14:paraId="3075EF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E4764DF">
            <w:pPr>
              <w:pStyle w:val="12"/>
              <w:jc w:val="center"/>
            </w:pPr>
            <w:r>
              <w:rPr>
                <w:rFonts w:hint="eastAsia"/>
              </w:rPr>
              <w:t>叶苏堂</w:t>
            </w:r>
          </w:p>
        </w:tc>
        <w:tc>
          <w:tcPr>
            <w:tcW w:w="388" w:type="pct"/>
            <w:vAlign w:val="center"/>
          </w:tcPr>
          <w:p w14:paraId="50000B54">
            <w:pPr>
              <w:pStyle w:val="12"/>
              <w:jc w:val="center"/>
            </w:pPr>
            <w:r>
              <w:rPr>
                <w:rFonts w:hint="eastAsia"/>
              </w:rPr>
              <w:t>男</w:t>
            </w:r>
          </w:p>
        </w:tc>
        <w:tc>
          <w:tcPr>
            <w:tcW w:w="582" w:type="pct"/>
            <w:vAlign w:val="center"/>
          </w:tcPr>
          <w:p w14:paraId="0D594063">
            <w:pPr>
              <w:pStyle w:val="12"/>
              <w:jc w:val="center"/>
            </w:pPr>
            <w:r>
              <w:rPr>
                <w:rFonts w:hint="eastAsia"/>
              </w:rPr>
              <w:t>1901年</w:t>
            </w:r>
          </w:p>
        </w:tc>
        <w:tc>
          <w:tcPr>
            <w:tcW w:w="582" w:type="pct"/>
            <w:vAlign w:val="center"/>
          </w:tcPr>
          <w:p w14:paraId="55F55A54">
            <w:pPr>
              <w:pStyle w:val="12"/>
              <w:jc w:val="center"/>
            </w:pPr>
            <w:r>
              <w:rPr>
                <w:rFonts w:hint="eastAsia"/>
              </w:rPr>
              <w:t>珠玑镇</w:t>
            </w:r>
          </w:p>
        </w:tc>
        <w:tc>
          <w:tcPr>
            <w:tcW w:w="582" w:type="pct"/>
            <w:vAlign w:val="center"/>
          </w:tcPr>
          <w:p w14:paraId="265978F2">
            <w:pPr>
              <w:pStyle w:val="12"/>
              <w:jc w:val="center"/>
            </w:pPr>
            <w:r>
              <w:rPr>
                <w:rFonts w:hint="eastAsia"/>
              </w:rPr>
              <w:t>1927年</w:t>
            </w:r>
          </w:p>
        </w:tc>
        <w:tc>
          <w:tcPr>
            <w:tcW w:w="1066" w:type="pct"/>
            <w:vAlign w:val="center"/>
          </w:tcPr>
          <w:p w14:paraId="7E9413C7">
            <w:pPr>
              <w:pStyle w:val="12"/>
              <w:jc w:val="left"/>
            </w:pPr>
            <w:r>
              <w:rPr>
                <w:rFonts w:hint="eastAsia"/>
              </w:rPr>
              <w:t>南雄游击队队员</w:t>
            </w:r>
          </w:p>
        </w:tc>
        <w:tc>
          <w:tcPr>
            <w:tcW w:w="1162" w:type="pct"/>
            <w:vAlign w:val="center"/>
          </w:tcPr>
          <w:p w14:paraId="3A0C7246">
            <w:pPr>
              <w:pStyle w:val="12"/>
              <w:jc w:val="left"/>
            </w:pPr>
            <w:r>
              <w:rPr>
                <w:rFonts w:hint="eastAsia"/>
              </w:rPr>
              <w:t>1928年3月在邓坊作战牺牲</w:t>
            </w:r>
          </w:p>
        </w:tc>
      </w:tr>
      <w:tr w14:paraId="763301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DA365B8">
            <w:pPr>
              <w:pStyle w:val="12"/>
              <w:jc w:val="center"/>
            </w:pPr>
            <w:r>
              <w:rPr>
                <w:rFonts w:hint="eastAsia"/>
              </w:rPr>
              <w:t>曾广生</w:t>
            </w:r>
          </w:p>
        </w:tc>
        <w:tc>
          <w:tcPr>
            <w:tcW w:w="388" w:type="pct"/>
            <w:vAlign w:val="center"/>
          </w:tcPr>
          <w:p w14:paraId="37E35DA5">
            <w:pPr>
              <w:pStyle w:val="12"/>
              <w:jc w:val="center"/>
            </w:pPr>
            <w:r>
              <w:rPr>
                <w:rFonts w:hint="eastAsia"/>
              </w:rPr>
              <w:t>男</w:t>
            </w:r>
          </w:p>
        </w:tc>
        <w:tc>
          <w:tcPr>
            <w:tcW w:w="582" w:type="pct"/>
            <w:vAlign w:val="center"/>
          </w:tcPr>
          <w:p w14:paraId="5B1A8A65">
            <w:pPr>
              <w:pStyle w:val="12"/>
              <w:jc w:val="center"/>
            </w:pPr>
            <w:r>
              <w:rPr>
                <w:rFonts w:hint="eastAsia"/>
              </w:rPr>
              <w:t>1893年</w:t>
            </w:r>
          </w:p>
        </w:tc>
        <w:tc>
          <w:tcPr>
            <w:tcW w:w="582" w:type="pct"/>
            <w:vAlign w:val="center"/>
          </w:tcPr>
          <w:p w14:paraId="2BBD5B52">
            <w:pPr>
              <w:pStyle w:val="12"/>
              <w:jc w:val="center"/>
            </w:pPr>
            <w:r>
              <w:rPr>
                <w:rFonts w:hint="eastAsia"/>
              </w:rPr>
              <w:t>珠玑镇</w:t>
            </w:r>
          </w:p>
        </w:tc>
        <w:tc>
          <w:tcPr>
            <w:tcW w:w="582" w:type="pct"/>
            <w:vAlign w:val="center"/>
          </w:tcPr>
          <w:p w14:paraId="2450A15B">
            <w:pPr>
              <w:pStyle w:val="12"/>
              <w:jc w:val="center"/>
            </w:pPr>
            <w:r>
              <w:rPr>
                <w:rFonts w:hint="eastAsia"/>
              </w:rPr>
              <w:t>1928年</w:t>
            </w:r>
          </w:p>
        </w:tc>
        <w:tc>
          <w:tcPr>
            <w:tcW w:w="1066" w:type="pct"/>
            <w:vAlign w:val="center"/>
          </w:tcPr>
          <w:p w14:paraId="01ED78B4">
            <w:pPr>
              <w:pStyle w:val="12"/>
              <w:jc w:val="left"/>
              <w:rPr>
                <w:rFonts w:ascii="宋体" w:hAnsi="宋体" w:cs="宋体"/>
              </w:rPr>
            </w:pPr>
            <w:r>
              <w:rPr>
                <w:rFonts w:hint="eastAsia"/>
              </w:rPr>
              <w:t>南雄游击队</w:t>
            </w:r>
          </w:p>
          <w:p w14:paraId="56F01E76">
            <w:pPr>
              <w:pStyle w:val="12"/>
              <w:jc w:val="left"/>
            </w:pPr>
            <w:r>
              <w:rPr>
                <w:rFonts w:hint="eastAsia" w:ascii="宋体" w:hAnsi="宋体" w:cs="宋体"/>
              </w:rPr>
              <w:t>交  通  员</w:t>
            </w:r>
          </w:p>
        </w:tc>
        <w:tc>
          <w:tcPr>
            <w:tcW w:w="1162" w:type="pct"/>
            <w:vAlign w:val="center"/>
          </w:tcPr>
          <w:p w14:paraId="3D50F08E">
            <w:pPr>
              <w:pStyle w:val="12"/>
              <w:jc w:val="left"/>
            </w:pPr>
            <w:r>
              <w:rPr>
                <w:rFonts w:hint="eastAsia"/>
              </w:rPr>
              <w:t>1928年11月在邓坊被捕，在大园就义</w:t>
            </w:r>
          </w:p>
        </w:tc>
      </w:tr>
      <w:tr w14:paraId="31986B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B764BDC">
            <w:pPr>
              <w:pStyle w:val="12"/>
              <w:jc w:val="center"/>
            </w:pPr>
            <w:r>
              <w:rPr>
                <w:rFonts w:hint="eastAsia"/>
              </w:rPr>
              <w:t>张永星</w:t>
            </w:r>
          </w:p>
        </w:tc>
        <w:tc>
          <w:tcPr>
            <w:tcW w:w="388" w:type="pct"/>
            <w:vAlign w:val="center"/>
          </w:tcPr>
          <w:p w14:paraId="2D27B3ED">
            <w:pPr>
              <w:pStyle w:val="12"/>
              <w:jc w:val="center"/>
            </w:pPr>
            <w:r>
              <w:rPr>
                <w:rFonts w:hint="eastAsia"/>
              </w:rPr>
              <w:t>男</w:t>
            </w:r>
          </w:p>
        </w:tc>
        <w:tc>
          <w:tcPr>
            <w:tcW w:w="582" w:type="pct"/>
            <w:vAlign w:val="center"/>
          </w:tcPr>
          <w:p w14:paraId="345EBA8A">
            <w:pPr>
              <w:pStyle w:val="12"/>
              <w:jc w:val="center"/>
            </w:pPr>
            <w:r>
              <w:rPr>
                <w:rFonts w:hint="eastAsia"/>
              </w:rPr>
              <w:t>1907年</w:t>
            </w:r>
          </w:p>
        </w:tc>
        <w:tc>
          <w:tcPr>
            <w:tcW w:w="582" w:type="pct"/>
            <w:vAlign w:val="center"/>
          </w:tcPr>
          <w:p w14:paraId="0A75DD4B">
            <w:pPr>
              <w:pStyle w:val="12"/>
              <w:jc w:val="center"/>
            </w:pPr>
            <w:r>
              <w:rPr>
                <w:rFonts w:hint="eastAsia"/>
              </w:rPr>
              <w:t>珠玑镇</w:t>
            </w:r>
          </w:p>
        </w:tc>
        <w:tc>
          <w:tcPr>
            <w:tcW w:w="582" w:type="pct"/>
            <w:vAlign w:val="center"/>
          </w:tcPr>
          <w:p w14:paraId="33BBC2E9">
            <w:pPr>
              <w:pStyle w:val="12"/>
              <w:jc w:val="center"/>
            </w:pPr>
            <w:r>
              <w:rPr>
                <w:rFonts w:hint="eastAsia"/>
              </w:rPr>
              <w:t>1928年</w:t>
            </w:r>
          </w:p>
        </w:tc>
        <w:tc>
          <w:tcPr>
            <w:tcW w:w="1066" w:type="pct"/>
            <w:vAlign w:val="center"/>
          </w:tcPr>
          <w:p w14:paraId="1FB3A63D">
            <w:pPr>
              <w:pStyle w:val="12"/>
              <w:jc w:val="left"/>
            </w:pPr>
            <w:r>
              <w:rPr>
                <w:rFonts w:hint="eastAsia"/>
              </w:rPr>
              <w:t>南雄游击队队员</w:t>
            </w:r>
          </w:p>
        </w:tc>
        <w:tc>
          <w:tcPr>
            <w:tcW w:w="1162" w:type="pct"/>
            <w:vAlign w:val="center"/>
          </w:tcPr>
          <w:p w14:paraId="068A6ADB">
            <w:pPr>
              <w:pStyle w:val="12"/>
              <w:jc w:val="left"/>
            </w:pPr>
            <w:r>
              <w:rPr>
                <w:rFonts w:hint="eastAsia"/>
              </w:rPr>
              <w:t>1928年在里东就义</w:t>
            </w:r>
          </w:p>
        </w:tc>
      </w:tr>
      <w:tr w14:paraId="17C848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1C39697">
            <w:pPr>
              <w:pStyle w:val="12"/>
              <w:jc w:val="center"/>
            </w:pPr>
            <w:r>
              <w:rPr>
                <w:rFonts w:hint="eastAsia"/>
              </w:rPr>
              <w:t>康水石生</w:t>
            </w:r>
          </w:p>
        </w:tc>
        <w:tc>
          <w:tcPr>
            <w:tcW w:w="388" w:type="pct"/>
            <w:vAlign w:val="center"/>
          </w:tcPr>
          <w:p w14:paraId="7D07A6E4">
            <w:pPr>
              <w:pStyle w:val="12"/>
              <w:jc w:val="center"/>
            </w:pPr>
            <w:r>
              <w:rPr>
                <w:rFonts w:hint="eastAsia"/>
              </w:rPr>
              <w:t>男</w:t>
            </w:r>
          </w:p>
        </w:tc>
        <w:tc>
          <w:tcPr>
            <w:tcW w:w="582" w:type="pct"/>
            <w:vAlign w:val="center"/>
          </w:tcPr>
          <w:p w14:paraId="6C988966">
            <w:pPr>
              <w:pStyle w:val="12"/>
              <w:jc w:val="center"/>
            </w:pPr>
            <w:r>
              <w:rPr>
                <w:rFonts w:hint="eastAsia"/>
              </w:rPr>
              <w:t>1883年</w:t>
            </w:r>
          </w:p>
        </w:tc>
        <w:tc>
          <w:tcPr>
            <w:tcW w:w="582" w:type="pct"/>
            <w:vAlign w:val="center"/>
          </w:tcPr>
          <w:p w14:paraId="57788AEB">
            <w:pPr>
              <w:pStyle w:val="12"/>
              <w:jc w:val="center"/>
            </w:pPr>
            <w:r>
              <w:rPr>
                <w:rFonts w:hint="eastAsia"/>
              </w:rPr>
              <w:t>珠玑镇</w:t>
            </w:r>
          </w:p>
        </w:tc>
        <w:tc>
          <w:tcPr>
            <w:tcW w:w="582" w:type="pct"/>
            <w:vAlign w:val="center"/>
          </w:tcPr>
          <w:p w14:paraId="67177715">
            <w:pPr>
              <w:pStyle w:val="12"/>
              <w:jc w:val="center"/>
            </w:pPr>
            <w:r>
              <w:rPr>
                <w:rFonts w:hint="eastAsia"/>
              </w:rPr>
              <w:t>1928年</w:t>
            </w:r>
          </w:p>
        </w:tc>
        <w:tc>
          <w:tcPr>
            <w:tcW w:w="1066" w:type="pct"/>
            <w:vAlign w:val="center"/>
          </w:tcPr>
          <w:p w14:paraId="2D4589EB">
            <w:pPr>
              <w:pStyle w:val="12"/>
              <w:jc w:val="left"/>
            </w:pPr>
            <w:r>
              <w:rPr>
                <w:rFonts w:hint="eastAsia"/>
              </w:rPr>
              <w:t>南雄游击队队员</w:t>
            </w:r>
          </w:p>
        </w:tc>
        <w:tc>
          <w:tcPr>
            <w:tcW w:w="1162" w:type="pct"/>
            <w:vAlign w:val="center"/>
          </w:tcPr>
          <w:p w14:paraId="09C70E2A">
            <w:pPr>
              <w:pStyle w:val="12"/>
              <w:jc w:val="left"/>
            </w:pPr>
            <w:r>
              <w:rPr>
                <w:rFonts w:hint="eastAsia"/>
              </w:rPr>
              <w:t>1929年8月在里东被捕，在南雄城郊就义</w:t>
            </w:r>
          </w:p>
        </w:tc>
      </w:tr>
      <w:tr w14:paraId="3B6953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0F5AEC2">
            <w:pPr>
              <w:pStyle w:val="12"/>
              <w:jc w:val="center"/>
            </w:pPr>
            <w:r>
              <w:rPr>
                <w:rFonts w:hint="eastAsia"/>
              </w:rPr>
              <w:t>欧阳茂龙</w:t>
            </w:r>
          </w:p>
        </w:tc>
        <w:tc>
          <w:tcPr>
            <w:tcW w:w="388" w:type="pct"/>
            <w:vAlign w:val="center"/>
          </w:tcPr>
          <w:p w14:paraId="4326E84F">
            <w:pPr>
              <w:pStyle w:val="12"/>
              <w:jc w:val="center"/>
            </w:pPr>
            <w:r>
              <w:rPr>
                <w:rFonts w:hint="eastAsia"/>
              </w:rPr>
              <w:t>男</w:t>
            </w:r>
          </w:p>
        </w:tc>
        <w:tc>
          <w:tcPr>
            <w:tcW w:w="582" w:type="pct"/>
            <w:vAlign w:val="center"/>
          </w:tcPr>
          <w:p w14:paraId="01AFA090">
            <w:pPr>
              <w:pStyle w:val="12"/>
              <w:jc w:val="center"/>
            </w:pPr>
            <w:r>
              <w:rPr>
                <w:rFonts w:hint="eastAsia"/>
              </w:rPr>
              <w:t>1904年</w:t>
            </w:r>
          </w:p>
        </w:tc>
        <w:tc>
          <w:tcPr>
            <w:tcW w:w="582" w:type="pct"/>
            <w:vAlign w:val="center"/>
          </w:tcPr>
          <w:p w14:paraId="1309A29E">
            <w:pPr>
              <w:pStyle w:val="12"/>
              <w:jc w:val="center"/>
            </w:pPr>
            <w:r>
              <w:rPr>
                <w:rFonts w:hint="eastAsia"/>
              </w:rPr>
              <w:t>水口镇</w:t>
            </w:r>
          </w:p>
        </w:tc>
        <w:tc>
          <w:tcPr>
            <w:tcW w:w="582" w:type="pct"/>
            <w:vAlign w:val="center"/>
          </w:tcPr>
          <w:p w14:paraId="211F6857">
            <w:pPr>
              <w:pStyle w:val="12"/>
              <w:jc w:val="center"/>
            </w:pPr>
            <w:r>
              <w:rPr>
                <w:rFonts w:hint="eastAsia"/>
              </w:rPr>
              <w:t>1927年</w:t>
            </w:r>
          </w:p>
        </w:tc>
        <w:tc>
          <w:tcPr>
            <w:tcW w:w="1066" w:type="pct"/>
            <w:vAlign w:val="center"/>
          </w:tcPr>
          <w:p w14:paraId="199A9C22">
            <w:pPr>
              <w:pStyle w:val="12"/>
              <w:jc w:val="left"/>
            </w:pPr>
            <w:r>
              <w:rPr>
                <w:rFonts w:hint="eastAsia"/>
              </w:rPr>
              <w:t>赤卫队队员</w:t>
            </w:r>
          </w:p>
        </w:tc>
        <w:tc>
          <w:tcPr>
            <w:tcW w:w="1162" w:type="pct"/>
            <w:vAlign w:val="center"/>
          </w:tcPr>
          <w:p w14:paraId="0352F1FD">
            <w:pPr>
              <w:pStyle w:val="12"/>
              <w:jc w:val="left"/>
            </w:pPr>
            <w:r>
              <w:rPr>
                <w:rFonts w:hint="eastAsia"/>
              </w:rPr>
              <w:t>1928年2月在篛过村被捕就义</w:t>
            </w:r>
          </w:p>
        </w:tc>
      </w:tr>
      <w:tr w14:paraId="63CEC6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4613C9C">
            <w:pPr>
              <w:pStyle w:val="12"/>
              <w:jc w:val="center"/>
              <w:rPr>
                <w:rFonts w:ascii="宋体" w:hAnsi="宋体" w:cs="宋体"/>
              </w:rPr>
            </w:pPr>
            <w:r>
              <w:rPr>
                <w:rFonts w:hint="eastAsia"/>
              </w:rPr>
              <w:t>欧  阳</w:t>
            </w:r>
          </w:p>
          <w:p w14:paraId="3E278586">
            <w:pPr>
              <w:pStyle w:val="12"/>
              <w:jc w:val="center"/>
            </w:pPr>
            <w:r>
              <w:rPr>
                <w:rFonts w:hint="eastAsia" w:ascii="宋体" w:hAnsi="宋体" w:cs="宋体"/>
              </w:rPr>
              <w:t>石头古</w:t>
            </w:r>
          </w:p>
        </w:tc>
        <w:tc>
          <w:tcPr>
            <w:tcW w:w="388" w:type="pct"/>
            <w:vAlign w:val="center"/>
          </w:tcPr>
          <w:p w14:paraId="51297DF2">
            <w:pPr>
              <w:pStyle w:val="12"/>
              <w:jc w:val="center"/>
            </w:pPr>
            <w:r>
              <w:rPr>
                <w:rFonts w:hint="eastAsia"/>
              </w:rPr>
              <w:t>男</w:t>
            </w:r>
          </w:p>
        </w:tc>
        <w:tc>
          <w:tcPr>
            <w:tcW w:w="582" w:type="pct"/>
            <w:vAlign w:val="center"/>
          </w:tcPr>
          <w:p w14:paraId="06345E54">
            <w:pPr>
              <w:pStyle w:val="12"/>
              <w:jc w:val="center"/>
            </w:pPr>
            <w:r>
              <w:rPr>
                <w:rFonts w:hint="eastAsia"/>
              </w:rPr>
              <w:t>1909年</w:t>
            </w:r>
          </w:p>
        </w:tc>
        <w:tc>
          <w:tcPr>
            <w:tcW w:w="582" w:type="pct"/>
            <w:vAlign w:val="center"/>
          </w:tcPr>
          <w:p w14:paraId="70CE659C">
            <w:pPr>
              <w:pStyle w:val="12"/>
              <w:jc w:val="center"/>
            </w:pPr>
            <w:r>
              <w:rPr>
                <w:rFonts w:hint="eastAsia"/>
              </w:rPr>
              <w:t>水口镇</w:t>
            </w:r>
          </w:p>
        </w:tc>
        <w:tc>
          <w:tcPr>
            <w:tcW w:w="582" w:type="pct"/>
            <w:vAlign w:val="center"/>
          </w:tcPr>
          <w:p w14:paraId="63A2B7B0">
            <w:pPr>
              <w:pStyle w:val="12"/>
              <w:jc w:val="center"/>
            </w:pPr>
            <w:r>
              <w:rPr>
                <w:rFonts w:hint="eastAsia"/>
              </w:rPr>
              <w:t>1928年</w:t>
            </w:r>
          </w:p>
        </w:tc>
        <w:tc>
          <w:tcPr>
            <w:tcW w:w="1066" w:type="pct"/>
            <w:vAlign w:val="center"/>
          </w:tcPr>
          <w:p w14:paraId="0359AB32">
            <w:pPr>
              <w:pStyle w:val="12"/>
              <w:jc w:val="left"/>
            </w:pPr>
            <w:r>
              <w:rPr>
                <w:rFonts w:hint="eastAsia"/>
              </w:rPr>
              <w:t>赤卫队队员</w:t>
            </w:r>
          </w:p>
        </w:tc>
        <w:tc>
          <w:tcPr>
            <w:tcW w:w="1162" w:type="pct"/>
            <w:vAlign w:val="center"/>
          </w:tcPr>
          <w:p w14:paraId="628C0997">
            <w:pPr>
              <w:pStyle w:val="12"/>
              <w:jc w:val="left"/>
            </w:pPr>
            <w:r>
              <w:rPr>
                <w:rFonts w:hint="eastAsia"/>
              </w:rPr>
              <w:t>1928年2月在篛过战斗牺牲</w:t>
            </w:r>
          </w:p>
        </w:tc>
      </w:tr>
      <w:tr w14:paraId="211F05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116D223">
            <w:pPr>
              <w:pStyle w:val="12"/>
              <w:jc w:val="center"/>
            </w:pPr>
            <w:r>
              <w:rPr>
                <w:rFonts w:hint="eastAsia"/>
              </w:rPr>
              <w:t>邓事盛</w:t>
            </w:r>
          </w:p>
        </w:tc>
        <w:tc>
          <w:tcPr>
            <w:tcW w:w="388" w:type="pct"/>
            <w:vAlign w:val="center"/>
          </w:tcPr>
          <w:p w14:paraId="41B28E38">
            <w:pPr>
              <w:pStyle w:val="12"/>
              <w:jc w:val="center"/>
            </w:pPr>
            <w:r>
              <w:rPr>
                <w:rFonts w:hint="eastAsia"/>
              </w:rPr>
              <w:t>男</w:t>
            </w:r>
          </w:p>
        </w:tc>
        <w:tc>
          <w:tcPr>
            <w:tcW w:w="582" w:type="pct"/>
            <w:vAlign w:val="center"/>
          </w:tcPr>
          <w:p w14:paraId="749AC421">
            <w:pPr>
              <w:pStyle w:val="12"/>
              <w:jc w:val="center"/>
            </w:pPr>
            <w:r>
              <w:rPr>
                <w:rFonts w:hint="eastAsia"/>
              </w:rPr>
              <w:t>1906年</w:t>
            </w:r>
          </w:p>
        </w:tc>
        <w:tc>
          <w:tcPr>
            <w:tcW w:w="582" w:type="pct"/>
            <w:vAlign w:val="center"/>
          </w:tcPr>
          <w:p w14:paraId="45A4ABB2">
            <w:pPr>
              <w:pStyle w:val="12"/>
              <w:jc w:val="center"/>
            </w:pPr>
            <w:r>
              <w:rPr>
                <w:rFonts w:hint="eastAsia"/>
              </w:rPr>
              <w:t>水口镇</w:t>
            </w:r>
          </w:p>
        </w:tc>
        <w:tc>
          <w:tcPr>
            <w:tcW w:w="582" w:type="pct"/>
            <w:vAlign w:val="center"/>
          </w:tcPr>
          <w:p w14:paraId="53759FC3">
            <w:pPr>
              <w:pStyle w:val="12"/>
              <w:jc w:val="center"/>
            </w:pPr>
            <w:r>
              <w:rPr>
                <w:rFonts w:hint="eastAsia"/>
              </w:rPr>
              <w:t>1928年</w:t>
            </w:r>
          </w:p>
        </w:tc>
        <w:tc>
          <w:tcPr>
            <w:tcW w:w="1066" w:type="pct"/>
            <w:vAlign w:val="center"/>
          </w:tcPr>
          <w:p w14:paraId="6BF11CA8">
            <w:pPr>
              <w:pStyle w:val="12"/>
              <w:jc w:val="left"/>
            </w:pPr>
            <w:r>
              <w:rPr>
                <w:rFonts w:hint="eastAsia"/>
              </w:rPr>
              <w:t>赤卫队队员</w:t>
            </w:r>
          </w:p>
        </w:tc>
        <w:tc>
          <w:tcPr>
            <w:tcW w:w="1162" w:type="pct"/>
            <w:vAlign w:val="center"/>
          </w:tcPr>
          <w:p w14:paraId="0C3337AC">
            <w:pPr>
              <w:pStyle w:val="12"/>
              <w:jc w:val="left"/>
            </w:pPr>
            <w:r>
              <w:rPr>
                <w:rFonts w:hint="eastAsia"/>
              </w:rPr>
              <w:t>1928年4月在水口战斗被捕，在县城郊就义</w:t>
            </w:r>
          </w:p>
        </w:tc>
      </w:tr>
      <w:tr w14:paraId="3CDF4F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875E314">
            <w:pPr>
              <w:pStyle w:val="12"/>
              <w:jc w:val="center"/>
            </w:pPr>
            <w:r>
              <w:rPr>
                <w:rFonts w:hint="eastAsia"/>
              </w:rPr>
              <w:t>邓述亨</w:t>
            </w:r>
          </w:p>
        </w:tc>
        <w:tc>
          <w:tcPr>
            <w:tcW w:w="388" w:type="pct"/>
            <w:vAlign w:val="center"/>
          </w:tcPr>
          <w:p w14:paraId="79FCE199">
            <w:pPr>
              <w:pStyle w:val="12"/>
              <w:jc w:val="center"/>
            </w:pPr>
            <w:r>
              <w:rPr>
                <w:rFonts w:hint="eastAsia"/>
              </w:rPr>
              <w:t>男</w:t>
            </w:r>
          </w:p>
        </w:tc>
        <w:tc>
          <w:tcPr>
            <w:tcW w:w="582" w:type="pct"/>
            <w:vAlign w:val="center"/>
          </w:tcPr>
          <w:p w14:paraId="56874155">
            <w:pPr>
              <w:pStyle w:val="12"/>
              <w:jc w:val="center"/>
            </w:pPr>
            <w:r>
              <w:rPr>
                <w:rFonts w:hint="eastAsia"/>
              </w:rPr>
              <w:t>1908年</w:t>
            </w:r>
          </w:p>
        </w:tc>
        <w:tc>
          <w:tcPr>
            <w:tcW w:w="582" w:type="pct"/>
            <w:vAlign w:val="center"/>
          </w:tcPr>
          <w:p w14:paraId="534FE0B0">
            <w:pPr>
              <w:pStyle w:val="12"/>
              <w:jc w:val="center"/>
            </w:pPr>
            <w:r>
              <w:rPr>
                <w:rFonts w:hint="eastAsia"/>
              </w:rPr>
              <w:t>水口镇</w:t>
            </w:r>
          </w:p>
        </w:tc>
        <w:tc>
          <w:tcPr>
            <w:tcW w:w="582" w:type="pct"/>
            <w:vAlign w:val="center"/>
          </w:tcPr>
          <w:p w14:paraId="538B0DD4">
            <w:pPr>
              <w:pStyle w:val="12"/>
              <w:jc w:val="center"/>
            </w:pPr>
            <w:r>
              <w:rPr>
                <w:rFonts w:hint="eastAsia"/>
              </w:rPr>
              <w:t>1928年</w:t>
            </w:r>
          </w:p>
        </w:tc>
        <w:tc>
          <w:tcPr>
            <w:tcW w:w="1066" w:type="pct"/>
            <w:vAlign w:val="center"/>
          </w:tcPr>
          <w:p w14:paraId="096028B9">
            <w:pPr>
              <w:pStyle w:val="12"/>
              <w:jc w:val="left"/>
            </w:pPr>
            <w:r>
              <w:rPr>
                <w:rFonts w:hint="eastAsia"/>
              </w:rPr>
              <w:t>赤卫队队员</w:t>
            </w:r>
          </w:p>
        </w:tc>
        <w:tc>
          <w:tcPr>
            <w:tcW w:w="1162" w:type="pct"/>
            <w:vAlign w:val="center"/>
          </w:tcPr>
          <w:p w14:paraId="0C93B12D">
            <w:pPr>
              <w:pStyle w:val="12"/>
              <w:jc w:val="left"/>
            </w:pPr>
            <w:r>
              <w:rPr>
                <w:rFonts w:hint="eastAsia"/>
              </w:rPr>
              <w:t>1928年2月在水口战斗被捕，在县城郊就义</w:t>
            </w:r>
          </w:p>
        </w:tc>
      </w:tr>
      <w:tr w14:paraId="742B4D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73F69E2">
            <w:pPr>
              <w:pStyle w:val="12"/>
              <w:jc w:val="center"/>
            </w:pPr>
            <w:r>
              <w:rPr>
                <w:rFonts w:hint="eastAsia"/>
              </w:rPr>
              <w:t>欧阳善俚</w:t>
            </w:r>
          </w:p>
        </w:tc>
        <w:tc>
          <w:tcPr>
            <w:tcW w:w="388" w:type="pct"/>
            <w:vAlign w:val="center"/>
          </w:tcPr>
          <w:p w14:paraId="531B7E4F">
            <w:pPr>
              <w:pStyle w:val="12"/>
              <w:jc w:val="center"/>
            </w:pPr>
            <w:r>
              <w:rPr>
                <w:rFonts w:hint="eastAsia"/>
              </w:rPr>
              <w:t>男</w:t>
            </w:r>
          </w:p>
        </w:tc>
        <w:tc>
          <w:tcPr>
            <w:tcW w:w="582" w:type="pct"/>
            <w:vAlign w:val="center"/>
          </w:tcPr>
          <w:p w14:paraId="723CF06D">
            <w:pPr>
              <w:pStyle w:val="12"/>
              <w:jc w:val="center"/>
            </w:pPr>
            <w:r>
              <w:rPr>
                <w:rFonts w:hint="eastAsia"/>
              </w:rPr>
              <w:t>1888年</w:t>
            </w:r>
          </w:p>
        </w:tc>
        <w:tc>
          <w:tcPr>
            <w:tcW w:w="582" w:type="pct"/>
            <w:vAlign w:val="center"/>
          </w:tcPr>
          <w:p w14:paraId="7678571C">
            <w:pPr>
              <w:pStyle w:val="12"/>
              <w:jc w:val="center"/>
            </w:pPr>
            <w:r>
              <w:rPr>
                <w:rFonts w:hint="eastAsia"/>
              </w:rPr>
              <w:t>水口镇</w:t>
            </w:r>
          </w:p>
        </w:tc>
        <w:tc>
          <w:tcPr>
            <w:tcW w:w="582" w:type="pct"/>
            <w:vAlign w:val="center"/>
          </w:tcPr>
          <w:p w14:paraId="3315C7E7">
            <w:pPr>
              <w:pStyle w:val="12"/>
              <w:jc w:val="center"/>
            </w:pPr>
            <w:r>
              <w:rPr>
                <w:rFonts w:hint="eastAsia"/>
              </w:rPr>
              <w:t>1928年</w:t>
            </w:r>
          </w:p>
        </w:tc>
        <w:tc>
          <w:tcPr>
            <w:tcW w:w="1066" w:type="pct"/>
            <w:vAlign w:val="center"/>
          </w:tcPr>
          <w:p w14:paraId="313EAEE1">
            <w:pPr>
              <w:pStyle w:val="12"/>
              <w:jc w:val="left"/>
            </w:pPr>
            <w:r>
              <w:rPr>
                <w:rFonts w:hint="eastAsia"/>
              </w:rPr>
              <w:t>赤卫队炊事员</w:t>
            </w:r>
          </w:p>
        </w:tc>
        <w:tc>
          <w:tcPr>
            <w:tcW w:w="1162" w:type="pct"/>
            <w:vAlign w:val="center"/>
          </w:tcPr>
          <w:p w14:paraId="1F27E5A1">
            <w:pPr>
              <w:pStyle w:val="12"/>
              <w:jc w:val="left"/>
            </w:pPr>
            <w:r>
              <w:rPr>
                <w:rFonts w:hint="eastAsia"/>
              </w:rPr>
              <w:t>1928年2月在篛过战斗牺牲</w:t>
            </w:r>
          </w:p>
        </w:tc>
      </w:tr>
      <w:tr w14:paraId="066987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49BF7B3">
            <w:pPr>
              <w:pStyle w:val="12"/>
              <w:jc w:val="center"/>
            </w:pPr>
            <w:r>
              <w:rPr>
                <w:rFonts w:hint="eastAsia"/>
              </w:rPr>
              <w:t>邓生俚</w:t>
            </w:r>
          </w:p>
        </w:tc>
        <w:tc>
          <w:tcPr>
            <w:tcW w:w="388" w:type="pct"/>
            <w:vAlign w:val="center"/>
          </w:tcPr>
          <w:p w14:paraId="54DF0986">
            <w:pPr>
              <w:pStyle w:val="12"/>
              <w:jc w:val="center"/>
            </w:pPr>
            <w:r>
              <w:rPr>
                <w:rFonts w:hint="eastAsia"/>
              </w:rPr>
              <w:t>男</w:t>
            </w:r>
          </w:p>
        </w:tc>
        <w:tc>
          <w:tcPr>
            <w:tcW w:w="582" w:type="pct"/>
            <w:vAlign w:val="center"/>
          </w:tcPr>
          <w:p w14:paraId="2ACE2E09">
            <w:pPr>
              <w:pStyle w:val="12"/>
              <w:jc w:val="center"/>
            </w:pPr>
            <w:r>
              <w:rPr>
                <w:rFonts w:hint="eastAsia"/>
              </w:rPr>
              <w:t>1903年</w:t>
            </w:r>
          </w:p>
        </w:tc>
        <w:tc>
          <w:tcPr>
            <w:tcW w:w="582" w:type="pct"/>
            <w:vAlign w:val="center"/>
          </w:tcPr>
          <w:p w14:paraId="42DC31F5">
            <w:pPr>
              <w:pStyle w:val="12"/>
              <w:jc w:val="center"/>
            </w:pPr>
            <w:r>
              <w:rPr>
                <w:rFonts w:hint="eastAsia"/>
              </w:rPr>
              <w:t>水口镇</w:t>
            </w:r>
          </w:p>
        </w:tc>
        <w:tc>
          <w:tcPr>
            <w:tcW w:w="582" w:type="pct"/>
            <w:vAlign w:val="center"/>
          </w:tcPr>
          <w:p w14:paraId="53F7AC82">
            <w:pPr>
              <w:pStyle w:val="12"/>
              <w:jc w:val="center"/>
            </w:pPr>
            <w:r>
              <w:rPr>
                <w:rFonts w:hint="eastAsia"/>
              </w:rPr>
              <w:t>1928年</w:t>
            </w:r>
          </w:p>
        </w:tc>
        <w:tc>
          <w:tcPr>
            <w:tcW w:w="1066" w:type="pct"/>
            <w:vAlign w:val="center"/>
          </w:tcPr>
          <w:p w14:paraId="3171AC41">
            <w:pPr>
              <w:pStyle w:val="12"/>
              <w:jc w:val="left"/>
            </w:pPr>
            <w:r>
              <w:rPr>
                <w:rFonts w:hint="eastAsia"/>
              </w:rPr>
              <w:t>赤卫队队员</w:t>
            </w:r>
          </w:p>
        </w:tc>
        <w:tc>
          <w:tcPr>
            <w:tcW w:w="1162" w:type="pct"/>
            <w:vAlign w:val="center"/>
          </w:tcPr>
          <w:p w14:paraId="30E0AEC1">
            <w:pPr>
              <w:pStyle w:val="12"/>
              <w:jc w:val="left"/>
            </w:pPr>
            <w:r>
              <w:rPr>
                <w:rFonts w:hint="eastAsia"/>
              </w:rPr>
              <w:t>1928年2月在水口被捕，在县城郊就义</w:t>
            </w:r>
          </w:p>
        </w:tc>
      </w:tr>
      <w:tr w14:paraId="256405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DFD2981">
            <w:pPr>
              <w:pStyle w:val="12"/>
              <w:jc w:val="center"/>
            </w:pPr>
            <w:r>
              <w:rPr>
                <w:rFonts w:hint="eastAsia"/>
              </w:rPr>
              <w:t>何增风</w:t>
            </w:r>
          </w:p>
        </w:tc>
        <w:tc>
          <w:tcPr>
            <w:tcW w:w="388" w:type="pct"/>
            <w:vAlign w:val="center"/>
          </w:tcPr>
          <w:p w14:paraId="780F38A1">
            <w:pPr>
              <w:pStyle w:val="12"/>
              <w:jc w:val="center"/>
            </w:pPr>
            <w:r>
              <w:rPr>
                <w:rFonts w:hint="eastAsia"/>
              </w:rPr>
              <w:t>男</w:t>
            </w:r>
          </w:p>
        </w:tc>
        <w:tc>
          <w:tcPr>
            <w:tcW w:w="582" w:type="pct"/>
            <w:vAlign w:val="center"/>
          </w:tcPr>
          <w:p w14:paraId="52DE87E6">
            <w:pPr>
              <w:pStyle w:val="12"/>
              <w:jc w:val="center"/>
            </w:pPr>
            <w:r>
              <w:rPr>
                <w:rFonts w:hint="eastAsia"/>
              </w:rPr>
              <w:t>1908年</w:t>
            </w:r>
          </w:p>
        </w:tc>
        <w:tc>
          <w:tcPr>
            <w:tcW w:w="582" w:type="pct"/>
            <w:vAlign w:val="center"/>
          </w:tcPr>
          <w:p w14:paraId="5D3F47D6">
            <w:pPr>
              <w:pStyle w:val="12"/>
              <w:jc w:val="center"/>
            </w:pPr>
            <w:r>
              <w:rPr>
                <w:rFonts w:hint="eastAsia"/>
              </w:rPr>
              <w:t>黄坑镇</w:t>
            </w:r>
          </w:p>
        </w:tc>
        <w:tc>
          <w:tcPr>
            <w:tcW w:w="582" w:type="pct"/>
            <w:vAlign w:val="center"/>
          </w:tcPr>
          <w:p w14:paraId="5E6DA9D3">
            <w:pPr>
              <w:pStyle w:val="12"/>
              <w:jc w:val="center"/>
            </w:pPr>
            <w:r>
              <w:rPr>
                <w:rFonts w:hint="eastAsia"/>
              </w:rPr>
              <w:t>1928年</w:t>
            </w:r>
          </w:p>
        </w:tc>
        <w:tc>
          <w:tcPr>
            <w:tcW w:w="1066" w:type="pct"/>
            <w:vAlign w:val="center"/>
          </w:tcPr>
          <w:p w14:paraId="0B9DE961">
            <w:pPr>
              <w:pStyle w:val="12"/>
              <w:jc w:val="left"/>
            </w:pPr>
            <w:r>
              <w:rPr>
                <w:rFonts w:hint="eastAsia"/>
              </w:rPr>
              <w:t>赤卫队队员</w:t>
            </w:r>
          </w:p>
        </w:tc>
        <w:tc>
          <w:tcPr>
            <w:tcW w:w="1162" w:type="pct"/>
            <w:vAlign w:val="center"/>
          </w:tcPr>
          <w:p w14:paraId="4CAFC6AB">
            <w:pPr>
              <w:pStyle w:val="12"/>
              <w:jc w:val="left"/>
            </w:pPr>
            <w:r>
              <w:rPr>
                <w:rFonts w:hint="eastAsia"/>
              </w:rPr>
              <w:t>1928年3月在篛过战斗牺牲</w:t>
            </w:r>
          </w:p>
        </w:tc>
      </w:tr>
      <w:tr w14:paraId="2421C2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BEB3C51">
            <w:pPr>
              <w:pStyle w:val="12"/>
              <w:jc w:val="center"/>
            </w:pPr>
            <w:r>
              <w:rPr>
                <w:rFonts w:hint="eastAsia"/>
              </w:rPr>
              <w:t>张卿恭</w:t>
            </w:r>
          </w:p>
        </w:tc>
        <w:tc>
          <w:tcPr>
            <w:tcW w:w="388" w:type="pct"/>
            <w:vAlign w:val="center"/>
          </w:tcPr>
          <w:p w14:paraId="71264584">
            <w:pPr>
              <w:pStyle w:val="12"/>
              <w:jc w:val="center"/>
            </w:pPr>
            <w:r>
              <w:rPr>
                <w:rFonts w:hint="eastAsia"/>
              </w:rPr>
              <w:t>男</w:t>
            </w:r>
          </w:p>
        </w:tc>
        <w:tc>
          <w:tcPr>
            <w:tcW w:w="582" w:type="pct"/>
            <w:vAlign w:val="center"/>
          </w:tcPr>
          <w:p w14:paraId="087C37D5">
            <w:pPr>
              <w:pStyle w:val="12"/>
              <w:jc w:val="center"/>
            </w:pPr>
            <w:r>
              <w:rPr>
                <w:rFonts w:hint="eastAsia"/>
              </w:rPr>
              <w:t>1899年</w:t>
            </w:r>
          </w:p>
        </w:tc>
        <w:tc>
          <w:tcPr>
            <w:tcW w:w="582" w:type="pct"/>
            <w:vAlign w:val="center"/>
          </w:tcPr>
          <w:p w14:paraId="52E9BD68">
            <w:pPr>
              <w:pStyle w:val="12"/>
              <w:jc w:val="center"/>
            </w:pPr>
            <w:r>
              <w:rPr>
                <w:rFonts w:hint="eastAsia"/>
              </w:rPr>
              <w:t>邓坊镇</w:t>
            </w:r>
          </w:p>
        </w:tc>
        <w:tc>
          <w:tcPr>
            <w:tcW w:w="582" w:type="pct"/>
            <w:vAlign w:val="center"/>
          </w:tcPr>
          <w:p w14:paraId="2075249B">
            <w:pPr>
              <w:pStyle w:val="12"/>
              <w:jc w:val="center"/>
            </w:pPr>
            <w:r>
              <w:rPr>
                <w:rFonts w:hint="eastAsia"/>
              </w:rPr>
              <w:t>1928年</w:t>
            </w:r>
          </w:p>
        </w:tc>
        <w:tc>
          <w:tcPr>
            <w:tcW w:w="1066" w:type="pct"/>
            <w:vAlign w:val="center"/>
          </w:tcPr>
          <w:p w14:paraId="7760B0E3">
            <w:pPr>
              <w:pStyle w:val="12"/>
              <w:jc w:val="left"/>
            </w:pPr>
            <w:r>
              <w:rPr>
                <w:rFonts w:hint="eastAsia"/>
              </w:rPr>
              <w:t>南雄游击队队员</w:t>
            </w:r>
          </w:p>
        </w:tc>
        <w:tc>
          <w:tcPr>
            <w:tcW w:w="1162" w:type="pct"/>
            <w:vAlign w:val="center"/>
          </w:tcPr>
          <w:p w14:paraId="6B17BEC9">
            <w:pPr>
              <w:pStyle w:val="12"/>
              <w:jc w:val="left"/>
            </w:pPr>
            <w:r>
              <w:rPr>
                <w:rFonts w:hint="eastAsia"/>
              </w:rPr>
              <w:t>1928年底在茶头背被捕，在邓坊就义</w:t>
            </w:r>
          </w:p>
        </w:tc>
      </w:tr>
      <w:tr w14:paraId="3AF058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5D147BB">
            <w:pPr>
              <w:pStyle w:val="12"/>
              <w:jc w:val="center"/>
            </w:pPr>
            <w:r>
              <w:rPr>
                <w:rFonts w:hint="eastAsia"/>
              </w:rPr>
              <w:t>彭年生</w:t>
            </w:r>
          </w:p>
        </w:tc>
        <w:tc>
          <w:tcPr>
            <w:tcW w:w="388" w:type="pct"/>
            <w:vAlign w:val="center"/>
          </w:tcPr>
          <w:p w14:paraId="2116E5A7">
            <w:pPr>
              <w:pStyle w:val="12"/>
              <w:jc w:val="center"/>
            </w:pPr>
            <w:r>
              <w:rPr>
                <w:rFonts w:hint="eastAsia"/>
              </w:rPr>
              <w:t>男</w:t>
            </w:r>
          </w:p>
        </w:tc>
        <w:tc>
          <w:tcPr>
            <w:tcW w:w="582" w:type="pct"/>
            <w:vAlign w:val="center"/>
          </w:tcPr>
          <w:p w14:paraId="0A1A4B84">
            <w:pPr>
              <w:pStyle w:val="12"/>
              <w:jc w:val="center"/>
            </w:pPr>
            <w:r>
              <w:rPr>
                <w:rFonts w:hint="eastAsia"/>
              </w:rPr>
              <w:t>1907年</w:t>
            </w:r>
          </w:p>
        </w:tc>
        <w:tc>
          <w:tcPr>
            <w:tcW w:w="582" w:type="pct"/>
            <w:vAlign w:val="center"/>
          </w:tcPr>
          <w:p w14:paraId="080D6F0A">
            <w:pPr>
              <w:pStyle w:val="12"/>
              <w:jc w:val="center"/>
            </w:pPr>
            <w:r>
              <w:rPr>
                <w:rFonts w:hint="eastAsia"/>
              </w:rPr>
              <w:t>油山镇</w:t>
            </w:r>
          </w:p>
        </w:tc>
        <w:tc>
          <w:tcPr>
            <w:tcW w:w="582" w:type="pct"/>
            <w:vAlign w:val="center"/>
          </w:tcPr>
          <w:p w14:paraId="1A4C4283">
            <w:pPr>
              <w:pStyle w:val="12"/>
              <w:jc w:val="center"/>
            </w:pPr>
            <w:r>
              <w:rPr>
                <w:rFonts w:hint="eastAsia"/>
              </w:rPr>
              <w:t>1928年</w:t>
            </w:r>
          </w:p>
        </w:tc>
        <w:tc>
          <w:tcPr>
            <w:tcW w:w="1066" w:type="pct"/>
            <w:vAlign w:val="center"/>
          </w:tcPr>
          <w:p w14:paraId="6BDD0CD1">
            <w:pPr>
              <w:pStyle w:val="12"/>
              <w:jc w:val="left"/>
            </w:pPr>
            <w:r>
              <w:rPr>
                <w:rFonts w:hint="eastAsia"/>
              </w:rPr>
              <w:t>南雄游击队队员</w:t>
            </w:r>
          </w:p>
        </w:tc>
        <w:tc>
          <w:tcPr>
            <w:tcW w:w="1162" w:type="pct"/>
            <w:vAlign w:val="center"/>
          </w:tcPr>
          <w:p w14:paraId="0BFFF286">
            <w:pPr>
              <w:pStyle w:val="12"/>
              <w:jc w:val="left"/>
            </w:pPr>
            <w:r>
              <w:rPr>
                <w:rFonts w:hint="eastAsia"/>
              </w:rPr>
              <w:t>1928年在大塘作战牺牲</w:t>
            </w:r>
          </w:p>
        </w:tc>
      </w:tr>
      <w:tr w14:paraId="72D5C2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D74C936">
            <w:pPr>
              <w:pStyle w:val="12"/>
              <w:jc w:val="center"/>
            </w:pPr>
            <w:r>
              <w:rPr>
                <w:rFonts w:hint="eastAsia"/>
              </w:rPr>
              <w:t>陈北斗</w:t>
            </w:r>
          </w:p>
        </w:tc>
        <w:tc>
          <w:tcPr>
            <w:tcW w:w="388" w:type="pct"/>
            <w:vAlign w:val="center"/>
          </w:tcPr>
          <w:p w14:paraId="4D26E738">
            <w:pPr>
              <w:pStyle w:val="12"/>
              <w:jc w:val="center"/>
            </w:pPr>
            <w:r>
              <w:rPr>
                <w:rFonts w:hint="eastAsia"/>
              </w:rPr>
              <w:t>男</w:t>
            </w:r>
          </w:p>
        </w:tc>
        <w:tc>
          <w:tcPr>
            <w:tcW w:w="582" w:type="pct"/>
            <w:vAlign w:val="center"/>
          </w:tcPr>
          <w:p w14:paraId="0543B867">
            <w:pPr>
              <w:pStyle w:val="12"/>
              <w:jc w:val="center"/>
            </w:pPr>
            <w:r>
              <w:rPr>
                <w:rFonts w:hint="eastAsia"/>
              </w:rPr>
              <w:t>1909年</w:t>
            </w:r>
          </w:p>
        </w:tc>
        <w:tc>
          <w:tcPr>
            <w:tcW w:w="582" w:type="pct"/>
            <w:vAlign w:val="center"/>
          </w:tcPr>
          <w:p w14:paraId="700D2E73">
            <w:pPr>
              <w:pStyle w:val="12"/>
              <w:jc w:val="center"/>
            </w:pPr>
            <w:r>
              <w:rPr>
                <w:rFonts w:hint="eastAsia"/>
              </w:rPr>
              <w:t>珠玑镇</w:t>
            </w:r>
          </w:p>
        </w:tc>
        <w:tc>
          <w:tcPr>
            <w:tcW w:w="582" w:type="pct"/>
            <w:vAlign w:val="center"/>
          </w:tcPr>
          <w:p w14:paraId="08C81005">
            <w:pPr>
              <w:pStyle w:val="12"/>
              <w:jc w:val="center"/>
            </w:pPr>
            <w:r>
              <w:rPr>
                <w:rFonts w:hint="eastAsia"/>
              </w:rPr>
              <w:t>1928年</w:t>
            </w:r>
          </w:p>
        </w:tc>
        <w:tc>
          <w:tcPr>
            <w:tcW w:w="1066" w:type="pct"/>
            <w:vAlign w:val="center"/>
          </w:tcPr>
          <w:p w14:paraId="70353648">
            <w:pPr>
              <w:pStyle w:val="12"/>
              <w:jc w:val="left"/>
            </w:pPr>
            <w:r>
              <w:rPr>
                <w:rFonts w:hint="eastAsia"/>
              </w:rPr>
              <w:t>南雄游击队队员</w:t>
            </w:r>
          </w:p>
        </w:tc>
        <w:tc>
          <w:tcPr>
            <w:tcW w:w="1162" w:type="pct"/>
            <w:vAlign w:val="center"/>
          </w:tcPr>
          <w:p w14:paraId="6F695698">
            <w:pPr>
              <w:pStyle w:val="12"/>
              <w:jc w:val="left"/>
            </w:pPr>
            <w:r>
              <w:rPr>
                <w:rFonts w:hint="eastAsia"/>
              </w:rPr>
              <w:t>1928年在上龙运粮被捕就义</w:t>
            </w:r>
          </w:p>
        </w:tc>
      </w:tr>
      <w:tr w14:paraId="16EDEC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5D38F88">
            <w:pPr>
              <w:pStyle w:val="12"/>
              <w:jc w:val="center"/>
            </w:pPr>
            <w:r>
              <w:rPr>
                <w:rFonts w:hint="eastAsia"/>
              </w:rPr>
              <w:t>叶地仓</w:t>
            </w:r>
          </w:p>
        </w:tc>
        <w:tc>
          <w:tcPr>
            <w:tcW w:w="388" w:type="pct"/>
            <w:vAlign w:val="center"/>
          </w:tcPr>
          <w:p w14:paraId="6A14605A">
            <w:pPr>
              <w:pStyle w:val="12"/>
              <w:jc w:val="center"/>
            </w:pPr>
            <w:r>
              <w:rPr>
                <w:rFonts w:hint="eastAsia"/>
              </w:rPr>
              <w:t>男</w:t>
            </w:r>
          </w:p>
        </w:tc>
        <w:tc>
          <w:tcPr>
            <w:tcW w:w="582" w:type="pct"/>
            <w:vAlign w:val="center"/>
          </w:tcPr>
          <w:p w14:paraId="54E35E4F">
            <w:pPr>
              <w:pStyle w:val="12"/>
              <w:jc w:val="center"/>
            </w:pPr>
            <w:r>
              <w:rPr>
                <w:rFonts w:hint="eastAsia"/>
              </w:rPr>
              <w:t>1902年</w:t>
            </w:r>
          </w:p>
        </w:tc>
        <w:tc>
          <w:tcPr>
            <w:tcW w:w="582" w:type="pct"/>
            <w:vAlign w:val="center"/>
          </w:tcPr>
          <w:p w14:paraId="7C3B8037">
            <w:pPr>
              <w:pStyle w:val="12"/>
              <w:jc w:val="center"/>
            </w:pPr>
            <w:r>
              <w:rPr>
                <w:rFonts w:hint="eastAsia"/>
              </w:rPr>
              <w:t>坪田镇</w:t>
            </w:r>
          </w:p>
        </w:tc>
        <w:tc>
          <w:tcPr>
            <w:tcW w:w="582" w:type="pct"/>
            <w:vAlign w:val="center"/>
          </w:tcPr>
          <w:p w14:paraId="23A0F88C">
            <w:pPr>
              <w:pStyle w:val="12"/>
              <w:jc w:val="center"/>
            </w:pPr>
            <w:r>
              <w:rPr>
                <w:rFonts w:hint="eastAsia"/>
              </w:rPr>
              <w:t>1927年</w:t>
            </w:r>
          </w:p>
        </w:tc>
        <w:tc>
          <w:tcPr>
            <w:tcW w:w="1066" w:type="pct"/>
            <w:vAlign w:val="center"/>
          </w:tcPr>
          <w:p w14:paraId="370A4DEB">
            <w:pPr>
              <w:pStyle w:val="12"/>
              <w:jc w:val="left"/>
            </w:pPr>
            <w:r>
              <w:rPr>
                <w:rFonts w:hint="eastAsia"/>
              </w:rPr>
              <w:t>村农会副主席</w:t>
            </w:r>
          </w:p>
        </w:tc>
        <w:tc>
          <w:tcPr>
            <w:tcW w:w="1162" w:type="pct"/>
            <w:vAlign w:val="center"/>
          </w:tcPr>
          <w:p w14:paraId="651AD590">
            <w:pPr>
              <w:pStyle w:val="12"/>
              <w:jc w:val="left"/>
            </w:pPr>
            <w:r>
              <w:rPr>
                <w:rFonts w:hint="eastAsia"/>
              </w:rPr>
              <w:t>1928年在坪田被捕就义</w:t>
            </w:r>
          </w:p>
        </w:tc>
      </w:tr>
      <w:tr w14:paraId="2A23CC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99FDB82">
            <w:pPr>
              <w:pStyle w:val="12"/>
              <w:jc w:val="center"/>
            </w:pPr>
            <w:r>
              <w:rPr>
                <w:rFonts w:hint="eastAsia"/>
              </w:rPr>
              <w:t>邓水石林</w:t>
            </w:r>
          </w:p>
        </w:tc>
        <w:tc>
          <w:tcPr>
            <w:tcW w:w="388" w:type="pct"/>
            <w:vAlign w:val="center"/>
          </w:tcPr>
          <w:p w14:paraId="50A1E2A6">
            <w:pPr>
              <w:pStyle w:val="12"/>
              <w:jc w:val="center"/>
            </w:pPr>
            <w:r>
              <w:rPr>
                <w:rFonts w:hint="eastAsia"/>
              </w:rPr>
              <w:t>男</w:t>
            </w:r>
          </w:p>
        </w:tc>
        <w:tc>
          <w:tcPr>
            <w:tcW w:w="582" w:type="pct"/>
            <w:vAlign w:val="center"/>
          </w:tcPr>
          <w:p w14:paraId="3536407C">
            <w:pPr>
              <w:pStyle w:val="12"/>
              <w:jc w:val="center"/>
            </w:pPr>
            <w:r>
              <w:rPr>
                <w:rFonts w:hint="eastAsia"/>
              </w:rPr>
              <w:t>1897年</w:t>
            </w:r>
          </w:p>
        </w:tc>
        <w:tc>
          <w:tcPr>
            <w:tcW w:w="582" w:type="pct"/>
            <w:vAlign w:val="center"/>
          </w:tcPr>
          <w:p w14:paraId="2112984E">
            <w:pPr>
              <w:pStyle w:val="12"/>
              <w:jc w:val="center"/>
            </w:pPr>
            <w:r>
              <w:rPr>
                <w:rFonts w:hint="eastAsia"/>
              </w:rPr>
              <w:t>坪田镇</w:t>
            </w:r>
          </w:p>
        </w:tc>
        <w:tc>
          <w:tcPr>
            <w:tcW w:w="582" w:type="pct"/>
            <w:vAlign w:val="center"/>
          </w:tcPr>
          <w:p w14:paraId="1E45A771">
            <w:pPr>
              <w:pStyle w:val="12"/>
              <w:jc w:val="center"/>
            </w:pPr>
            <w:r>
              <w:rPr>
                <w:rFonts w:hint="eastAsia"/>
              </w:rPr>
              <w:t>1927年</w:t>
            </w:r>
          </w:p>
        </w:tc>
        <w:tc>
          <w:tcPr>
            <w:tcW w:w="1066" w:type="pct"/>
            <w:vAlign w:val="center"/>
          </w:tcPr>
          <w:p w14:paraId="2E4472D4">
            <w:pPr>
              <w:pStyle w:val="12"/>
              <w:jc w:val="left"/>
            </w:pPr>
            <w:r>
              <w:rPr>
                <w:rFonts w:hint="eastAsia"/>
              </w:rPr>
              <w:t>赤卫队文书</w:t>
            </w:r>
          </w:p>
        </w:tc>
        <w:tc>
          <w:tcPr>
            <w:tcW w:w="1162" w:type="pct"/>
            <w:vAlign w:val="center"/>
          </w:tcPr>
          <w:p w14:paraId="6234676C">
            <w:pPr>
              <w:pStyle w:val="12"/>
              <w:jc w:val="left"/>
            </w:pPr>
            <w:r>
              <w:rPr>
                <w:rFonts w:hint="eastAsia"/>
              </w:rPr>
              <w:t>1928年2月19日在坪田战斗被捕，在新龙塔子岭就义</w:t>
            </w:r>
          </w:p>
        </w:tc>
      </w:tr>
      <w:tr w14:paraId="2698A1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CCE0AB4">
            <w:pPr>
              <w:pStyle w:val="12"/>
              <w:jc w:val="center"/>
            </w:pPr>
            <w:r>
              <w:rPr>
                <w:rFonts w:hint="eastAsia"/>
              </w:rPr>
              <w:t>曾继松</w:t>
            </w:r>
          </w:p>
        </w:tc>
        <w:tc>
          <w:tcPr>
            <w:tcW w:w="388" w:type="pct"/>
            <w:vAlign w:val="center"/>
          </w:tcPr>
          <w:p w14:paraId="2235B09E">
            <w:pPr>
              <w:pStyle w:val="12"/>
              <w:jc w:val="center"/>
            </w:pPr>
            <w:r>
              <w:rPr>
                <w:rFonts w:hint="eastAsia"/>
              </w:rPr>
              <w:t>男</w:t>
            </w:r>
          </w:p>
        </w:tc>
        <w:tc>
          <w:tcPr>
            <w:tcW w:w="582" w:type="pct"/>
            <w:vAlign w:val="center"/>
          </w:tcPr>
          <w:p w14:paraId="3F59AFA7">
            <w:pPr>
              <w:pStyle w:val="12"/>
              <w:jc w:val="center"/>
            </w:pPr>
            <w:r>
              <w:rPr>
                <w:rFonts w:hint="eastAsia"/>
              </w:rPr>
              <w:t>1864年</w:t>
            </w:r>
          </w:p>
        </w:tc>
        <w:tc>
          <w:tcPr>
            <w:tcW w:w="582" w:type="pct"/>
            <w:vAlign w:val="center"/>
          </w:tcPr>
          <w:p w14:paraId="7A81BF01">
            <w:pPr>
              <w:pStyle w:val="12"/>
              <w:jc w:val="center"/>
            </w:pPr>
            <w:r>
              <w:rPr>
                <w:rFonts w:hint="eastAsia"/>
              </w:rPr>
              <w:t>坪田镇</w:t>
            </w:r>
          </w:p>
        </w:tc>
        <w:tc>
          <w:tcPr>
            <w:tcW w:w="582" w:type="pct"/>
            <w:vAlign w:val="center"/>
          </w:tcPr>
          <w:p w14:paraId="556D5648">
            <w:pPr>
              <w:pStyle w:val="12"/>
              <w:jc w:val="center"/>
            </w:pPr>
            <w:r>
              <w:rPr>
                <w:rFonts w:hint="eastAsia"/>
              </w:rPr>
              <w:t>1927年</w:t>
            </w:r>
          </w:p>
        </w:tc>
        <w:tc>
          <w:tcPr>
            <w:tcW w:w="1066" w:type="pct"/>
            <w:vAlign w:val="center"/>
          </w:tcPr>
          <w:p w14:paraId="2CFE0850">
            <w:pPr>
              <w:pStyle w:val="12"/>
              <w:jc w:val="left"/>
            </w:pPr>
            <w:r>
              <w:rPr>
                <w:rFonts w:hint="eastAsia"/>
              </w:rPr>
              <w:t>横岭农会主席</w:t>
            </w:r>
          </w:p>
        </w:tc>
        <w:tc>
          <w:tcPr>
            <w:tcW w:w="1162" w:type="pct"/>
            <w:vAlign w:val="center"/>
          </w:tcPr>
          <w:p w14:paraId="6AC8FA9E">
            <w:pPr>
              <w:pStyle w:val="12"/>
              <w:jc w:val="left"/>
            </w:pPr>
            <w:r>
              <w:rPr>
                <w:rFonts w:hint="eastAsia"/>
              </w:rPr>
              <w:t>1928年在坪田被捕就义</w:t>
            </w:r>
          </w:p>
        </w:tc>
      </w:tr>
      <w:tr w14:paraId="068DB7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0579EB8">
            <w:pPr>
              <w:pStyle w:val="12"/>
              <w:jc w:val="center"/>
            </w:pPr>
            <w:r>
              <w:rPr>
                <w:rFonts w:hint="eastAsia"/>
              </w:rPr>
              <w:t>刘必兰</w:t>
            </w:r>
          </w:p>
        </w:tc>
        <w:tc>
          <w:tcPr>
            <w:tcW w:w="388" w:type="pct"/>
            <w:vAlign w:val="center"/>
          </w:tcPr>
          <w:p w14:paraId="3267B2D1">
            <w:pPr>
              <w:pStyle w:val="12"/>
              <w:jc w:val="center"/>
            </w:pPr>
            <w:r>
              <w:rPr>
                <w:rFonts w:hint="eastAsia"/>
              </w:rPr>
              <w:t>男</w:t>
            </w:r>
          </w:p>
        </w:tc>
        <w:tc>
          <w:tcPr>
            <w:tcW w:w="582" w:type="pct"/>
            <w:vAlign w:val="center"/>
          </w:tcPr>
          <w:p w14:paraId="50086DE8">
            <w:pPr>
              <w:pStyle w:val="12"/>
              <w:jc w:val="center"/>
            </w:pPr>
            <w:r>
              <w:rPr>
                <w:rFonts w:hint="eastAsia"/>
              </w:rPr>
              <w:t>1884年</w:t>
            </w:r>
          </w:p>
        </w:tc>
        <w:tc>
          <w:tcPr>
            <w:tcW w:w="582" w:type="pct"/>
            <w:vAlign w:val="center"/>
          </w:tcPr>
          <w:p w14:paraId="5A2FA07B">
            <w:pPr>
              <w:pStyle w:val="12"/>
              <w:jc w:val="center"/>
            </w:pPr>
            <w:r>
              <w:rPr>
                <w:rFonts w:hint="eastAsia"/>
              </w:rPr>
              <w:t>湖口镇</w:t>
            </w:r>
          </w:p>
        </w:tc>
        <w:tc>
          <w:tcPr>
            <w:tcW w:w="582" w:type="pct"/>
            <w:vAlign w:val="center"/>
          </w:tcPr>
          <w:p w14:paraId="4B9447D7">
            <w:pPr>
              <w:pStyle w:val="12"/>
              <w:jc w:val="center"/>
            </w:pPr>
            <w:r>
              <w:rPr>
                <w:rFonts w:hint="eastAsia"/>
              </w:rPr>
              <w:t>1925年</w:t>
            </w:r>
          </w:p>
        </w:tc>
        <w:tc>
          <w:tcPr>
            <w:tcW w:w="1066" w:type="pct"/>
            <w:vAlign w:val="center"/>
          </w:tcPr>
          <w:p w14:paraId="100679BF">
            <w:pPr>
              <w:pStyle w:val="12"/>
              <w:jc w:val="left"/>
            </w:pPr>
            <w:r>
              <w:rPr>
                <w:rFonts w:hint="eastAsia"/>
              </w:rPr>
              <w:t>湖口乡农会主席</w:t>
            </w:r>
          </w:p>
        </w:tc>
        <w:tc>
          <w:tcPr>
            <w:tcW w:w="1162" w:type="pct"/>
            <w:vAlign w:val="center"/>
          </w:tcPr>
          <w:p w14:paraId="1657F86C">
            <w:pPr>
              <w:pStyle w:val="12"/>
              <w:jc w:val="left"/>
            </w:pPr>
            <w:r>
              <w:rPr>
                <w:rFonts w:hint="eastAsia"/>
              </w:rPr>
              <w:t>1928年3月在水口大坪圩被捕就义</w:t>
            </w:r>
          </w:p>
        </w:tc>
      </w:tr>
      <w:tr w14:paraId="5308AF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200F451">
            <w:pPr>
              <w:pStyle w:val="12"/>
              <w:jc w:val="center"/>
            </w:pPr>
            <w:r>
              <w:rPr>
                <w:rFonts w:hint="eastAsia"/>
              </w:rPr>
              <w:t>雷会达</w:t>
            </w:r>
          </w:p>
        </w:tc>
        <w:tc>
          <w:tcPr>
            <w:tcW w:w="388" w:type="pct"/>
            <w:vAlign w:val="center"/>
          </w:tcPr>
          <w:p w14:paraId="4D26A9C8">
            <w:pPr>
              <w:pStyle w:val="12"/>
              <w:jc w:val="center"/>
            </w:pPr>
            <w:r>
              <w:rPr>
                <w:rFonts w:hint="eastAsia"/>
              </w:rPr>
              <w:t>男</w:t>
            </w:r>
          </w:p>
        </w:tc>
        <w:tc>
          <w:tcPr>
            <w:tcW w:w="582" w:type="pct"/>
            <w:vAlign w:val="center"/>
          </w:tcPr>
          <w:p w14:paraId="72F7DC54">
            <w:pPr>
              <w:pStyle w:val="12"/>
              <w:jc w:val="center"/>
            </w:pPr>
            <w:r>
              <w:rPr>
                <w:rFonts w:hint="eastAsia"/>
              </w:rPr>
              <w:t>1888年</w:t>
            </w:r>
          </w:p>
        </w:tc>
        <w:tc>
          <w:tcPr>
            <w:tcW w:w="582" w:type="pct"/>
            <w:vAlign w:val="center"/>
          </w:tcPr>
          <w:p w14:paraId="725750EA">
            <w:pPr>
              <w:pStyle w:val="12"/>
              <w:jc w:val="center"/>
            </w:pPr>
            <w:r>
              <w:rPr>
                <w:rFonts w:hint="eastAsia"/>
              </w:rPr>
              <w:t>油山镇</w:t>
            </w:r>
          </w:p>
        </w:tc>
        <w:tc>
          <w:tcPr>
            <w:tcW w:w="582" w:type="pct"/>
            <w:vAlign w:val="center"/>
          </w:tcPr>
          <w:p w14:paraId="335F0634">
            <w:pPr>
              <w:pStyle w:val="12"/>
              <w:jc w:val="center"/>
            </w:pPr>
            <w:r>
              <w:rPr>
                <w:rFonts w:hint="eastAsia"/>
              </w:rPr>
              <w:t>1928年</w:t>
            </w:r>
          </w:p>
        </w:tc>
        <w:tc>
          <w:tcPr>
            <w:tcW w:w="1066" w:type="pct"/>
            <w:vAlign w:val="center"/>
          </w:tcPr>
          <w:p w14:paraId="03A479C8">
            <w:pPr>
              <w:pStyle w:val="12"/>
              <w:jc w:val="left"/>
            </w:pPr>
            <w:r>
              <w:rPr>
                <w:rFonts w:hint="eastAsia"/>
              </w:rPr>
              <w:t>油山游击队员</w:t>
            </w:r>
          </w:p>
        </w:tc>
        <w:tc>
          <w:tcPr>
            <w:tcW w:w="1162" w:type="pct"/>
            <w:vAlign w:val="center"/>
          </w:tcPr>
          <w:p w14:paraId="272B017F">
            <w:pPr>
              <w:pStyle w:val="12"/>
              <w:jc w:val="left"/>
            </w:pPr>
            <w:r>
              <w:rPr>
                <w:rFonts w:hint="eastAsia"/>
              </w:rPr>
              <w:t>1929年运粮被捕，在大塘就义</w:t>
            </w:r>
          </w:p>
        </w:tc>
      </w:tr>
      <w:tr w14:paraId="20FB67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A3E5E56">
            <w:pPr>
              <w:pStyle w:val="12"/>
              <w:jc w:val="center"/>
            </w:pPr>
            <w:r>
              <w:rPr>
                <w:rFonts w:hint="eastAsia"/>
              </w:rPr>
              <w:t>叶丰家</w:t>
            </w:r>
          </w:p>
        </w:tc>
        <w:tc>
          <w:tcPr>
            <w:tcW w:w="388" w:type="pct"/>
            <w:vAlign w:val="center"/>
          </w:tcPr>
          <w:p w14:paraId="784FBD1B">
            <w:pPr>
              <w:pStyle w:val="12"/>
              <w:jc w:val="center"/>
            </w:pPr>
            <w:r>
              <w:rPr>
                <w:rFonts w:hint="eastAsia"/>
              </w:rPr>
              <w:t>男</w:t>
            </w:r>
          </w:p>
        </w:tc>
        <w:tc>
          <w:tcPr>
            <w:tcW w:w="582" w:type="pct"/>
            <w:vAlign w:val="center"/>
          </w:tcPr>
          <w:p w14:paraId="5AEBFA51">
            <w:pPr>
              <w:pStyle w:val="12"/>
              <w:jc w:val="center"/>
            </w:pPr>
            <w:r>
              <w:rPr>
                <w:rFonts w:hint="eastAsia"/>
              </w:rPr>
              <w:t>1893年</w:t>
            </w:r>
          </w:p>
        </w:tc>
        <w:tc>
          <w:tcPr>
            <w:tcW w:w="582" w:type="pct"/>
            <w:vAlign w:val="center"/>
          </w:tcPr>
          <w:p w14:paraId="23858703">
            <w:pPr>
              <w:pStyle w:val="12"/>
              <w:jc w:val="center"/>
            </w:pPr>
            <w:r>
              <w:rPr>
                <w:rFonts w:hint="eastAsia"/>
              </w:rPr>
              <w:t>油山镇</w:t>
            </w:r>
          </w:p>
        </w:tc>
        <w:tc>
          <w:tcPr>
            <w:tcW w:w="582" w:type="pct"/>
            <w:vAlign w:val="center"/>
          </w:tcPr>
          <w:p w14:paraId="7D761E01">
            <w:pPr>
              <w:pStyle w:val="12"/>
              <w:jc w:val="center"/>
            </w:pPr>
            <w:r>
              <w:rPr>
                <w:rFonts w:hint="eastAsia"/>
              </w:rPr>
              <w:t>1925年</w:t>
            </w:r>
          </w:p>
        </w:tc>
        <w:tc>
          <w:tcPr>
            <w:tcW w:w="1066" w:type="pct"/>
            <w:vAlign w:val="center"/>
          </w:tcPr>
          <w:p w14:paraId="20A6D70C">
            <w:pPr>
              <w:pStyle w:val="12"/>
              <w:jc w:val="left"/>
            </w:pPr>
            <w:r>
              <w:rPr>
                <w:rFonts w:hint="eastAsia"/>
              </w:rPr>
              <w:t>油山游击队交  通  员</w:t>
            </w:r>
          </w:p>
        </w:tc>
        <w:tc>
          <w:tcPr>
            <w:tcW w:w="1162" w:type="pct"/>
            <w:vAlign w:val="center"/>
          </w:tcPr>
          <w:p w14:paraId="7AD15C88">
            <w:pPr>
              <w:pStyle w:val="12"/>
              <w:jc w:val="left"/>
            </w:pPr>
            <w:r>
              <w:rPr>
                <w:rFonts w:hint="eastAsia"/>
              </w:rPr>
              <w:t>1929年在乌迳鱼塘背被捕，在邓坊就义</w:t>
            </w:r>
          </w:p>
        </w:tc>
      </w:tr>
      <w:tr w14:paraId="3DB0A4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3624CF7">
            <w:pPr>
              <w:pStyle w:val="12"/>
              <w:jc w:val="center"/>
            </w:pPr>
            <w:r>
              <w:rPr>
                <w:rFonts w:hint="eastAsia"/>
              </w:rPr>
              <w:t>欧阳川耳</w:t>
            </w:r>
          </w:p>
        </w:tc>
        <w:tc>
          <w:tcPr>
            <w:tcW w:w="388" w:type="pct"/>
            <w:vAlign w:val="center"/>
          </w:tcPr>
          <w:p w14:paraId="56EA0D1C">
            <w:pPr>
              <w:pStyle w:val="12"/>
              <w:jc w:val="center"/>
            </w:pPr>
            <w:r>
              <w:rPr>
                <w:rFonts w:hint="eastAsia"/>
              </w:rPr>
              <w:t>男</w:t>
            </w:r>
          </w:p>
        </w:tc>
        <w:tc>
          <w:tcPr>
            <w:tcW w:w="582" w:type="pct"/>
            <w:vAlign w:val="center"/>
          </w:tcPr>
          <w:p w14:paraId="09319B35">
            <w:pPr>
              <w:pStyle w:val="12"/>
              <w:jc w:val="center"/>
            </w:pPr>
            <w:r>
              <w:rPr>
                <w:rFonts w:hint="eastAsia"/>
              </w:rPr>
              <w:t>1911年</w:t>
            </w:r>
          </w:p>
        </w:tc>
        <w:tc>
          <w:tcPr>
            <w:tcW w:w="582" w:type="pct"/>
            <w:vAlign w:val="center"/>
          </w:tcPr>
          <w:p w14:paraId="78270E5E">
            <w:pPr>
              <w:pStyle w:val="12"/>
              <w:jc w:val="center"/>
            </w:pPr>
            <w:r>
              <w:rPr>
                <w:rFonts w:hint="eastAsia"/>
              </w:rPr>
              <w:t>水口镇</w:t>
            </w:r>
          </w:p>
        </w:tc>
        <w:tc>
          <w:tcPr>
            <w:tcW w:w="582" w:type="pct"/>
            <w:vAlign w:val="center"/>
          </w:tcPr>
          <w:p w14:paraId="06D5834F">
            <w:pPr>
              <w:pStyle w:val="12"/>
              <w:jc w:val="center"/>
            </w:pPr>
            <w:r>
              <w:rPr>
                <w:rFonts w:hint="eastAsia"/>
              </w:rPr>
              <w:t>1929年</w:t>
            </w:r>
          </w:p>
        </w:tc>
        <w:tc>
          <w:tcPr>
            <w:tcW w:w="1066" w:type="pct"/>
            <w:vAlign w:val="center"/>
          </w:tcPr>
          <w:p w14:paraId="10A4ADC3">
            <w:pPr>
              <w:pStyle w:val="12"/>
              <w:jc w:val="left"/>
            </w:pPr>
            <w:r>
              <w:rPr>
                <w:rFonts w:hint="eastAsia"/>
              </w:rPr>
              <w:t>红五军交通队  队  员</w:t>
            </w:r>
          </w:p>
        </w:tc>
        <w:tc>
          <w:tcPr>
            <w:tcW w:w="1162" w:type="pct"/>
            <w:vAlign w:val="center"/>
          </w:tcPr>
          <w:p w14:paraId="484013E6">
            <w:pPr>
              <w:pStyle w:val="12"/>
              <w:jc w:val="left"/>
            </w:pPr>
            <w:r>
              <w:rPr>
                <w:rFonts w:hint="eastAsia"/>
              </w:rPr>
              <w:t>1929年在江西战斗中牺牲</w:t>
            </w:r>
          </w:p>
        </w:tc>
      </w:tr>
      <w:tr w14:paraId="054B8D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889F906">
            <w:pPr>
              <w:pStyle w:val="12"/>
              <w:jc w:val="center"/>
            </w:pPr>
            <w:r>
              <w:rPr>
                <w:rFonts w:hint="eastAsia"/>
              </w:rPr>
              <w:t>徐寅狗</w:t>
            </w:r>
          </w:p>
        </w:tc>
        <w:tc>
          <w:tcPr>
            <w:tcW w:w="388" w:type="pct"/>
            <w:vAlign w:val="center"/>
          </w:tcPr>
          <w:p w14:paraId="1FAD6914">
            <w:pPr>
              <w:pStyle w:val="12"/>
              <w:jc w:val="center"/>
            </w:pPr>
            <w:r>
              <w:rPr>
                <w:rFonts w:hint="eastAsia"/>
              </w:rPr>
              <w:t>男</w:t>
            </w:r>
          </w:p>
        </w:tc>
        <w:tc>
          <w:tcPr>
            <w:tcW w:w="582" w:type="pct"/>
            <w:vAlign w:val="center"/>
          </w:tcPr>
          <w:p w14:paraId="0DB2DFB5">
            <w:pPr>
              <w:pStyle w:val="12"/>
              <w:jc w:val="center"/>
            </w:pPr>
            <w:r>
              <w:rPr>
                <w:rFonts w:hint="eastAsia"/>
              </w:rPr>
              <w:t>1901年</w:t>
            </w:r>
          </w:p>
        </w:tc>
        <w:tc>
          <w:tcPr>
            <w:tcW w:w="582" w:type="pct"/>
            <w:vAlign w:val="center"/>
          </w:tcPr>
          <w:p w14:paraId="52660F21">
            <w:pPr>
              <w:pStyle w:val="12"/>
              <w:jc w:val="center"/>
            </w:pPr>
            <w:r>
              <w:rPr>
                <w:rFonts w:hint="eastAsia"/>
              </w:rPr>
              <w:t>油山镇</w:t>
            </w:r>
          </w:p>
        </w:tc>
        <w:tc>
          <w:tcPr>
            <w:tcW w:w="582" w:type="pct"/>
            <w:vAlign w:val="center"/>
          </w:tcPr>
          <w:p w14:paraId="2A2A5E09">
            <w:pPr>
              <w:pStyle w:val="12"/>
              <w:jc w:val="center"/>
            </w:pPr>
            <w:r>
              <w:rPr>
                <w:rFonts w:hint="eastAsia"/>
              </w:rPr>
              <w:t>1928年</w:t>
            </w:r>
          </w:p>
        </w:tc>
        <w:tc>
          <w:tcPr>
            <w:tcW w:w="1066" w:type="pct"/>
            <w:vAlign w:val="center"/>
          </w:tcPr>
          <w:p w14:paraId="30C0671C">
            <w:pPr>
              <w:pStyle w:val="12"/>
              <w:jc w:val="left"/>
            </w:pPr>
            <w:r>
              <w:rPr>
                <w:rFonts w:hint="eastAsia"/>
              </w:rPr>
              <w:t>油山游击队队长</w:t>
            </w:r>
          </w:p>
        </w:tc>
        <w:tc>
          <w:tcPr>
            <w:tcW w:w="1162" w:type="pct"/>
            <w:vAlign w:val="center"/>
          </w:tcPr>
          <w:p w14:paraId="6840AB7B">
            <w:pPr>
              <w:pStyle w:val="12"/>
              <w:jc w:val="left"/>
            </w:pPr>
            <w:r>
              <w:rPr>
                <w:rFonts w:hint="eastAsia"/>
              </w:rPr>
              <w:t>1929年初在上朔王子石被捕就义</w:t>
            </w:r>
          </w:p>
        </w:tc>
      </w:tr>
      <w:tr w14:paraId="312F6A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18641D4">
            <w:pPr>
              <w:pStyle w:val="12"/>
              <w:jc w:val="center"/>
            </w:pPr>
            <w:r>
              <w:rPr>
                <w:rFonts w:hint="eastAsia"/>
              </w:rPr>
              <w:t>郭纪鱼</w:t>
            </w:r>
          </w:p>
        </w:tc>
        <w:tc>
          <w:tcPr>
            <w:tcW w:w="388" w:type="pct"/>
            <w:vAlign w:val="center"/>
          </w:tcPr>
          <w:p w14:paraId="4C657406">
            <w:pPr>
              <w:pStyle w:val="12"/>
              <w:jc w:val="center"/>
            </w:pPr>
            <w:r>
              <w:rPr>
                <w:rFonts w:hint="eastAsia"/>
              </w:rPr>
              <w:t>男</w:t>
            </w:r>
          </w:p>
        </w:tc>
        <w:tc>
          <w:tcPr>
            <w:tcW w:w="582" w:type="pct"/>
            <w:vAlign w:val="center"/>
          </w:tcPr>
          <w:p w14:paraId="678CCFA3">
            <w:pPr>
              <w:pStyle w:val="12"/>
              <w:jc w:val="center"/>
            </w:pPr>
            <w:r>
              <w:rPr>
                <w:rFonts w:hint="eastAsia"/>
              </w:rPr>
              <w:t>1889年</w:t>
            </w:r>
          </w:p>
        </w:tc>
        <w:tc>
          <w:tcPr>
            <w:tcW w:w="582" w:type="pct"/>
            <w:vAlign w:val="center"/>
          </w:tcPr>
          <w:p w14:paraId="487201AF">
            <w:pPr>
              <w:pStyle w:val="12"/>
              <w:jc w:val="center"/>
            </w:pPr>
            <w:r>
              <w:rPr>
                <w:rFonts w:hint="eastAsia"/>
              </w:rPr>
              <w:t>油山镇</w:t>
            </w:r>
          </w:p>
        </w:tc>
        <w:tc>
          <w:tcPr>
            <w:tcW w:w="582" w:type="pct"/>
            <w:vAlign w:val="center"/>
          </w:tcPr>
          <w:p w14:paraId="30062586">
            <w:pPr>
              <w:pStyle w:val="12"/>
              <w:jc w:val="center"/>
            </w:pPr>
            <w:r>
              <w:rPr>
                <w:rFonts w:hint="eastAsia"/>
              </w:rPr>
              <w:t>1928年</w:t>
            </w:r>
          </w:p>
        </w:tc>
        <w:tc>
          <w:tcPr>
            <w:tcW w:w="1066" w:type="pct"/>
            <w:vAlign w:val="center"/>
          </w:tcPr>
          <w:p w14:paraId="1FD82B83">
            <w:pPr>
              <w:pStyle w:val="12"/>
              <w:jc w:val="left"/>
              <w:rPr>
                <w:rFonts w:ascii="宋体" w:hAnsi="宋体" w:cs="宋体"/>
              </w:rPr>
            </w:pPr>
            <w:r>
              <w:rPr>
                <w:rFonts w:hint="eastAsia"/>
              </w:rPr>
              <w:t>游击队暴动</w:t>
            </w:r>
          </w:p>
          <w:p w14:paraId="72BB1807">
            <w:pPr>
              <w:pStyle w:val="12"/>
              <w:jc w:val="left"/>
            </w:pPr>
            <w:r>
              <w:rPr>
                <w:rFonts w:hint="eastAsia" w:ascii="宋体" w:hAnsi="宋体" w:cs="宋体"/>
              </w:rPr>
              <w:t>队  队  长</w:t>
            </w:r>
          </w:p>
        </w:tc>
        <w:tc>
          <w:tcPr>
            <w:tcW w:w="1162" w:type="pct"/>
            <w:vAlign w:val="center"/>
          </w:tcPr>
          <w:p w14:paraId="5242FFF9">
            <w:pPr>
              <w:pStyle w:val="12"/>
              <w:jc w:val="left"/>
            </w:pPr>
            <w:r>
              <w:rPr>
                <w:rFonts w:hint="eastAsia"/>
              </w:rPr>
              <w:t>1929年在南雄县城因叛徒出卖被捕就义</w:t>
            </w:r>
          </w:p>
        </w:tc>
      </w:tr>
      <w:tr w14:paraId="2956AC0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0AE41C4">
            <w:pPr>
              <w:pStyle w:val="12"/>
              <w:jc w:val="center"/>
            </w:pPr>
            <w:r>
              <w:rPr>
                <w:rFonts w:hint="eastAsia"/>
              </w:rPr>
              <w:t>徐秋生（光腾）</w:t>
            </w:r>
          </w:p>
        </w:tc>
        <w:tc>
          <w:tcPr>
            <w:tcW w:w="388" w:type="pct"/>
            <w:vAlign w:val="center"/>
          </w:tcPr>
          <w:p w14:paraId="3E028C81">
            <w:pPr>
              <w:pStyle w:val="12"/>
              <w:jc w:val="center"/>
            </w:pPr>
            <w:r>
              <w:rPr>
                <w:rFonts w:hint="eastAsia"/>
              </w:rPr>
              <w:t>男</w:t>
            </w:r>
          </w:p>
        </w:tc>
        <w:tc>
          <w:tcPr>
            <w:tcW w:w="582" w:type="pct"/>
            <w:vAlign w:val="center"/>
          </w:tcPr>
          <w:p w14:paraId="45D276C6">
            <w:pPr>
              <w:pStyle w:val="12"/>
              <w:jc w:val="center"/>
            </w:pPr>
            <w:r>
              <w:rPr>
                <w:rFonts w:hint="eastAsia"/>
              </w:rPr>
              <w:t>1897年</w:t>
            </w:r>
          </w:p>
        </w:tc>
        <w:tc>
          <w:tcPr>
            <w:tcW w:w="582" w:type="pct"/>
            <w:vAlign w:val="center"/>
          </w:tcPr>
          <w:p w14:paraId="214A3215">
            <w:pPr>
              <w:pStyle w:val="12"/>
              <w:jc w:val="center"/>
            </w:pPr>
            <w:r>
              <w:rPr>
                <w:rFonts w:hint="eastAsia"/>
              </w:rPr>
              <w:t>油山镇</w:t>
            </w:r>
          </w:p>
        </w:tc>
        <w:tc>
          <w:tcPr>
            <w:tcW w:w="582" w:type="pct"/>
            <w:vAlign w:val="center"/>
          </w:tcPr>
          <w:p w14:paraId="7F79A070">
            <w:pPr>
              <w:pStyle w:val="12"/>
              <w:jc w:val="center"/>
            </w:pPr>
            <w:r>
              <w:rPr>
                <w:rFonts w:hint="eastAsia"/>
              </w:rPr>
              <w:t>1928年</w:t>
            </w:r>
          </w:p>
        </w:tc>
        <w:tc>
          <w:tcPr>
            <w:tcW w:w="1066" w:type="pct"/>
            <w:vAlign w:val="center"/>
          </w:tcPr>
          <w:p w14:paraId="6C9B59CF">
            <w:pPr>
              <w:pStyle w:val="12"/>
              <w:jc w:val="left"/>
            </w:pPr>
            <w:r>
              <w:rPr>
                <w:rFonts w:hint="eastAsia"/>
              </w:rPr>
              <w:t>南雄游击队排长</w:t>
            </w:r>
          </w:p>
        </w:tc>
        <w:tc>
          <w:tcPr>
            <w:tcW w:w="1162" w:type="pct"/>
            <w:vAlign w:val="center"/>
          </w:tcPr>
          <w:p w14:paraId="79968108">
            <w:pPr>
              <w:pStyle w:val="12"/>
              <w:jc w:val="left"/>
            </w:pPr>
            <w:r>
              <w:rPr>
                <w:rFonts w:hint="eastAsia"/>
              </w:rPr>
              <w:t>1928年在坪林被捕，1929年在南雄城郊就义</w:t>
            </w:r>
          </w:p>
        </w:tc>
      </w:tr>
      <w:tr w14:paraId="13B524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3C3B663">
            <w:pPr>
              <w:pStyle w:val="12"/>
              <w:jc w:val="center"/>
            </w:pPr>
            <w:r>
              <w:rPr>
                <w:rFonts w:hint="eastAsia"/>
              </w:rPr>
              <w:t>彭湖南</w:t>
            </w:r>
          </w:p>
        </w:tc>
        <w:tc>
          <w:tcPr>
            <w:tcW w:w="388" w:type="pct"/>
            <w:vAlign w:val="center"/>
          </w:tcPr>
          <w:p w14:paraId="07894967">
            <w:pPr>
              <w:pStyle w:val="12"/>
              <w:jc w:val="center"/>
            </w:pPr>
            <w:r>
              <w:rPr>
                <w:rFonts w:hint="eastAsia"/>
              </w:rPr>
              <w:t>男</w:t>
            </w:r>
          </w:p>
        </w:tc>
        <w:tc>
          <w:tcPr>
            <w:tcW w:w="582" w:type="pct"/>
            <w:vAlign w:val="center"/>
          </w:tcPr>
          <w:p w14:paraId="22E1DE7F">
            <w:pPr>
              <w:pStyle w:val="12"/>
              <w:jc w:val="center"/>
            </w:pPr>
            <w:r>
              <w:rPr>
                <w:rFonts w:hint="eastAsia"/>
              </w:rPr>
              <w:t>1889年</w:t>
            </w:r>
          </w:p>
        </w:tc>
        <w:tc>
          <w:tcPr>
            <w:tcW w:w="582" w:type="pct"/>
            <w:vAlign w:val="center"/>
          </w:tcPr>
          <w:p w14:paraId="0F47048B">
            <w:pPr>
              <w:pStyle w:val="12"/>
              <w:jc w:val="center"/>
            </w:pPr>
            <w:r>
              <w:rPr>
                <w:rFonts w:hint="eastAsia"/>
              </w:rPr>
              <w:t>油山镇</w:t>
            </w:r>
          </w:p>
        </w:tc>
        <w:tc>
          <w:tcPr>
            <w:tcW w:w="582" w:type="pct"/>
            <w:vAlign w:val="center"/>
          </w:tcPr>
          <w:p w14:paraId="40FBFCE9">
            <w:pPr>
              <w:pStyle w:val="12"/>
              <w:jc w:val="center"/>
            </w:pPr>
            <w:r>
              <w:rPr>
                <w:rFonts w:hint="eastAsia"/>
              </w:rPr>
              <w:t>1928年</w:t>
            </w:r>
          </w:p>
        </w:tc>
        <w:tc>
          <w:tcPr>
            <w:tcW w:w="1066" w:type="pct"/>
            <w:vAlign w:val="center"/>
          </w:tcPr>
          <w:p w14:paraId="7EB5C02B">
            <w:pPr>
              <w:pStyle w:val="12"/>
              <w:jc w:val="left"/>
            </w:pPr>
            <w:r>
              <w:rPr>
                <w:rFonts w:hint="eastAsia"/>
              </w:rPr>
              <w:t>南雄游击队排长</w:t>
            </w:r>
          </w:p>
        </w:tc>
        <w:tc>
          <w:tcPr>
            <w:tcW w:w="1162" w:type="pct"/>
            <w:vAlign w:val="center"/>
          </w:tcPr>
          <w:p w14:paraId="58C8A5F9">
            <w:pPr>
              <w:pStyle w:val="12"/>
              <w:jc w:val="left"/>
            </w:pPr>
            <w:r>
              <w:rPr>
                <w:rFonts w:hint="eastAsia"/>
              </w:rPr>
              <w:t>1928年在江西长江圩被捕，1929年在县城郊就义</w:t>
            </w:r>
          </w:p>
        </w:tc>
      </w:tr>
      <w:tr w14:paraId="12F0BC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8A6EC44">
            <w:pPr>
              <w:pStyle w:val="12"/>
              <w:jc w:val="center"/>
            </w:pPr>
            <w:r>
              <w:rPr>
                <w:rFonts w:hint="eastAsia"/>
              </w:rPr>
              <w:t>彭九妹俚</w:t>
            </w:r>
          </w:p>
        </w:tc>
        <w:tc>
          <w:tcPr>
            <w:tcW w:w="388" w:type="pct"/>
            <w:vAlign w:val="center"/>
          </w:tcPr>
          <w:p w14:paraId="08AE8CCB">
            <w:pPr>
              <w:pStyle w:val="12"/>
              <w:jc w:val="center"/>
            </w:pPr>
            <w:r>
              <w:rPr>
                <w:rFonts w:hint="eastAsia"/>
              </w:rPr>
              <w:t>男</w:t>
            </w:r>
          </w:p>
        </w:tc>
        <w:tc>
          <w:tcPr>
            <w:tcW w:w="582" w:type="pct"/>
            <w:vAlign w:val="center"/>
          </w:tcPr>
          <w:p w14:paraId="50A1DF26">
            <w:pPr>
              <w:pStyle w:val="12"/>
              <w:jc w:val="center"/>
            </w:pPr>
            <w:r>
              <w:rPr>
                <w:rFonts w:hint="eastAsia"/>
              </w:rPr>
              <w:t>1899年</w:t>
            </w:r>
          </w:p>
        </w:tc>
        <w:tc>
          <w:tcPr>
            <w:tcW w:w="582" w:type="pct"/>
            <w:vAlign w:val="center"/>
          </w:tcPr>
          <w:p w14:paraId="6DC713C9">
            <w:pPr>
              <w:pStyle w:val="12"/>
              <w:jc w:val="center"/>
            </w:pPr>
            <w:r>
              <w:rPr>
                <w:rFonts w:hint="eastAsia"/>
              </w:rPr>
              <w:t>油山镇</w:t>
            </w:r>
          </w:p>
        </w:tc>
        <w:tc>
          <w:tcPr>
            <w:tcW w:w="582" w:type="pct"/>
            <w:vAlign w:val="center"/>
          </w:tcPr>
          <w:p w14:paraId="5834EC74">
            <w:pPr>
              <w:pStyle w:val="12"/>
              <w:jc w:val="center"/>
            </w:pPr>
            <w:r>
              <w:rPr>
                <w:rFonts w:hint="eastAsia"/>
              </w:rPr>
              <w:t>1928年</w:t>
            </w:r>
          </w:p>
        </w:tc>
        <w:tc>
          <w:tcPr>
            <w:tcW w:w="1066" w:type="pct"/>
            <w:vAlign w:val="center"/>
          </w:tcPr>
          <w:p w14:paraId="3F0A5CC4">
            <w:pPr>
              <w:pStyle w:val="12"/>
              <w:jc w:val="left"/>
            </w:pPr>
            <w:r>
              <w:rPr>
                <w:rFonts w:hint="eastAsia"/>
              </w:rPr>
              <w:t>油山游击队队员</w:t>
            </w:r>
          </w:p>
        </w:tc>
        <w:tc>
          <w:tcPr>
            <w:tcW w:w="1162" w:type="pct"/>
            <w:vAlign w:val="center"/>
          </w:tcPr>
          <w:p w14:paraId="312CD584">
            <w:pPr>
              <w:pStyle w:val="12"/>
              <w:jc w:val="left"/>
            </w:pPr>
            <w:r>
              <w:rPr>
                <w:rFonts w:hint="eastAsia"/>
              </w:rPr>
              <w:t>1929年秋在乌迳被捕，在延村就义</w:t>
            </w:r>
          </w:p>
        </w:tc>
      </w:tr>
      <w:tr w14:paraId="26F1BB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4E2B3FC">
            <w:pPr>
              <w:pStyle w:val="12"/>
              <w:jc w:val="center"/>
            </w:pPr>
            <w:r>
              <w:rPr>
                <w:rFonts w:hint="eastAsia"/>
              </w:rPr>
              <w:t>徐木生</w:t>
            </w:r>
          </w:p>
        </w:tc>
        <w:tc>
          <w:tcPr>
            <w:tcW w:w="388" w:type="pct"/>
            <w:vAlign w:val="center"/>
          </w:tcPr>
          <w:p w14:paraId="337E74B0">
            <w:pPr>
              <w:pStyle w:val="12"/>
              <w:jc w:val="center"/>
            </w:pPr>
            <w:r>
              <w:rPr>
                <w:rFonts w:hint="eastAsia"/>
              </w:rPr>
              <w:t>男</w:t>
            </w:r>
          </w:p>
        </w:tc>
        <w:tc>
          <w:tcPr>
            <w:tcW w:w="582" w:type="pct"/>
            <w:vAlign w:val="center"/>
          </w:tcPr>
          <w:p w14:paraId="0F985B34">
            <w:pPr>
              <w:pStyle w:val="12"/>
              <w:jc w:val="center"/>
            </w:pPr>
            <w:r>
              <w:rPr>
                <w:rFonts w:hint="eastAsia"/>
              </w:rPr>
              <w:t>1895年</w:t>
            </w:r>
          </w:p>
        </w:tc>
        <w:tc>
          <w:tcPr>
            <w:tcW w:w="582" w:type="pct"/>
            <w:vAlign w:val="center"/>
          </w:tcPr>
          <w:p w14:paraId="7B089AFF">
            <w:pPr>
              <w:pStyle w:val="12"/>
              <w:jc w:val="center"/>
            </w:pPr>
            <w:r>
              <w:rPr>
                <w:rFonts w:hint="eastAsia"/>
              </w:rPr>
              <w:t>油山镇</w:t>
            </w:r>
          </w:p>
        </w:tc>
        <w:tc>
          <w:tcPr>
            <w:tcW w:w="582" w:type="pct"/>
            <w:vAlign w:val="center"/>
          </w:tcPr>
          <w:p w14:paraId="523D71F2">
            <w:pPr>
              <w:pStyle w:val="12"/>
              <w:jc w:val="center"/>
            </w:pPr>
            <w:r>
              <w:rPr>
                <w:rFonts w:hint="eastAsia"/>
              </w:rPr>
              <w:t>1928年</w:t>
            </w:r>
          </w:p>
        </w:tc>
        <w:tc>
          <w:tcPr>
            <w:tcW w:w="1066" w:type="pct"/>
            <w:vAlign w:val="center"/>
          </w:tcPr>
          <w:p w14:paraId="4CD38850">
            <w:pPr>
              <w:pStyle w:val="12"/>
              <w:jc w:val="left"/>
            </w:pPr>
            <w:r>
              <w:rPr>
                <w:rFonts w:hint="eastAsia"/>
              </w:rPr>
              <w:t>油山游击队队员</w:t>
            </w:r>
          </w:p>
        </w:tc>
        <w:tc>
          <w:tcPr>
            <w:tcW w:w="1162" w:type="pct"/>
            <w:vAlign w:val="center"/>
          </w:tcPr>
          <w:p w14:paraId="2FB331EA">
            <w:pPr>
              <w:pStyle w:val="12"/>
              <w:jc w:val="left"/>
            </w:pPr>
            <w:r>
              <w:rPr>
                <w:rFonts w:hint="eastAsia"/>
              </w:rPr>
              <w:t>1929年在黄地战斗牺牲</w:t>
            </w:r>
          </w:p>
        </w:tc>
      </w:tr>
      <w:tr w14:paraId="24718D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B628F0A">
            <w:pPr>
              <w:pStyle w:val="12"/>
              <w:jc w:val="center"/>
            </w:pPr>
            <w:r>
              <w:rPr>
                <w:rFonts w:hint="eastAsia"/>
              </w:rPr>
              <w:t>彭桥桥（显炎）</w:t>
            </w:r>
          </w:p>
        </w:tc>
        <w:tc>
          <w:tcPr>
            <w:tcW w:w="388" w:type="pct"/>
            <w:vAlign w:val="center"/>
          </w:tcPr>
          <w:p w14:paraId="436B8965">
            <w:pPr>
              <w:pStyle w:val="12"/>
              <w:jc w:val="center"/>
            </w:pPr>
            <w:r>
              <w:rPr>
                <w:rFonts w:hint="eastAsia"/>
              </w:rPr>
              <w:t>男</w:t>
            </w:r>
          </w:p>
        </w:tc>
        <w:tc>
          <w:tcPr>
            <w:tcW w:w="582" w:type="pct"/>
            <w:vAlign w:val="center"/>
          </w:tcPr>
          <w:p w14:paraId="4ABBC2B2">
            <w:pPr>
              <w:pStyle w:val="12"/>
              <w:jc w:val="center"/>
            </w:pPr>
            <w:r>
              <w:rPr>
                <w:rFonts w:hint="eastAsia"/>
              </w:rPr>
              <w:t>1911年</w:t>
            </w:r>
          </w:p>
        </w:tc>
        <w:tc>
          <w:tcPr>
            <w:tcW w:w="582" w:type="pct"/>
            <w:vAlign w:val="center"/>
          </w:tcPr>
          <w:p w14:paraId="09B504CE">
            <w:pPr>
              <w:pStyle w:val="12"/>
              <w:jc w:val="center"/>
            </w:pPr>
            <w:r>
              <w:rPr>
                <w:rFonts w:hint="eastAsia"/>
              </w:rPr>
              <w:t>油山镇</w:t>
            </w:r>
          </w:p>
        </w:tc>
        <w:tc>
          <w:tcPr>
            <w:tcW w:w="582" w:type="pct"/>
            <w:vAlign w:val="center"/>
          </w:tcPr>
          <w:p w14:paraId="6D70E826">
            <w:pPr>
              <w:pStyle w:val="12"/>
              <w:jc w:val="center"/>
            </w:pPr>
            <w:r>
              <w:rPr>
                <w:rFonts w:hint="eastAsia"/>
              </w:rPr>
              <w:t>1929年</w:t>
            </w:r>
          </w:p>
        </w:tc>
        <w:tc>
          <w:tcPr>
            <w:tcW w:w="1066" w:type="pct"/>
            <w:vAlign w:val="center"/>
          </w:tcPr>
          <w:p w14:paraId="19A02138">
            <w:pPr>
              <w:pStyle w:val="12"/>
              <w:jc w:val="left"/>
              <w:rPr>
                <w:rFonts w:ascii="宋体" w:hAnsi="宋体" w:cs="宋体"/>
              </w:rPr>
            </w:pPr>
            <w:r>
              <w:rPr>
                <w:rFonts w:hint="eastAsia"/>
              </w:rPr>
              <w:t>油山游击队</w:t>
            </w:r>
          </w:p>
          <w:p w14:paraId="54C918B6">
            <w:pPr>
              <w:pStyle w:val="12"/>
              <w:jc w:val="left"/>
            </w:pPr>
            <w:r>
              <w:rPr>
                <w:rFonts w:hint="eastAsia" w:ascii="宋体" w:hAnsi="宋体" w:cs="宋体"/>
              </w:rPr>
              <w:t>司  号  员</w:t>
            </w:r>
          </w:p>
        </w:tc>
        <w:tc>
          <w:tcPr>
            <w:tcW w:w="1162" w:type="pct"/>
            <w:vAlign w:val="center"/>
          </w:tcPr>
          <w:p w14:paraId="40374FC8">
            <w:pPr>
              <w:pStyle w:val="12"/>
              <w:jc w:val="left"/>
            </w:pPr>
            <w:r>
              <w:rPr>
                <w:rFonts w:hint="eastAsia"/>
              </w:rPr>
              <w:t>1929年底在大塘战斗中被捕就义</w:t>
            </w:r>
          </w:p>
        </w:tc>
      </w:tr>
      <w:tr w14:paraId="639924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13A8431">
            <w:pPr>
              <w:pStyle w:val="12"/>
              <w:jc w:val="center"/>
            </w:pPr>
            <w:r>
              <w:rPr>
                <w:rFonts w:hint="eastAsia"/>
              </w:rPr>
              <w:t>谢泰麒</w:t>
            </w:r>
          </w:p>
        </w:tc>
        <w:tc>
          <w:tcPr>
            <w:tcW w:w="388" w:type="pct"/>
            <w:vAlign w:val="center"/>
          </w:tcPr>
          <w:p w14:paraId="31528D07">
            <w:pPr>
              <w:pStyle w:val="12"/>
              <w:jc w:val="center"/>
            </w:pPr>
            <w:r>
              <w:rPr>
                <w:rFonts w:hint="eastAsia"/>
              </w:rPr>
              <w:t>男</w:t>
            </w:r>
          </w:p>
        </w:tc>
        <w:tc>
          <w:tcPr>
            <w:tcW w:w="582" w:type="pct"/>
            <w:vAlign w:val="center"/>
          </w:tcPr>
          <w:p w14:paraId="3F221090">
            <w:pPr>
              <w:pStyle w:val="12"/>
              <w:jc w:val="center"/>
            </w:pPr>
            <w:r>
              <w:rPr>
                <w:rFonts w:hint="eastAsia"/>
              </w:rPr>
              <w:t>1908年</w:t>
            </w:r>
          </w:p>
        </w:tc>
        <w:tc>
          <w:tcPr>
            <w:tcW w:w="582" w:type="pct"/>
            <w:vAlign w:val="center"/>
          </w:tcPr>
          <w:p w14:paraId="0DF2F025">
            <w:pPr>
              <w:pStyle w:val="12"/>
              <w:jc w:val="center"/>
            </w:pPr>
            <w:r>
              <w:rPr>
                <w:rFonts w:hint="eastAsia"/>
              </w:rPr>
              <w:t>油山镇</w:t>
            </w:r>
          </w:p>
        </w:tc>
        <w:tc>
          <w:tcPr>
            <w:tcW w:w="582" w:type="pct"/>
            <w:vAlign w:val="center"/>
          </w:tcPr>
          <w:p w14:paraId="242B18E4">
            <w:pPr>
              <w:pStyle w:val="12"/>
              <w:jc w:val="center"/>
            </w:pPr>
            <w:r>
              <w:rPr>
                <w:rFonts w:hint="eastAsia"/>
              </w:rPr>
              <w:t>1928年</w:t>
            </w:r>
          </w:p>
        </w:tc>
        <w:tc>
          <w:tcPr>
            <w:tcW w:w="1066" w:type="pct"/>
            <w:vAlign w:val="center"/>
          </w:tcPr>
          <w:p w14:paraId="0B15F2FD">
            <w:pPr>
              <w:pStyle w:val="12"/>
              <w:jc w:val="left"/>
            </w:pPr>
            <w:r>
              <w:rPr>
                <w:rFonts w:hint="eastAsia"/>
              </w:rPr>
              <w:t>油山游击队队员</w:t>
            </w:r>
          </w:p>
        </w:tc>
        <w:tc>
          <w:tcPr>
            <w:tcW w:w="1162" w:type="pct"/>
            <w:vAlign w:val="center"/>
          </w:tcPr>
          <w:p w14:paraId="6E764A0E">
            <w:pPr>
              <w:pStyle w:val="12"/>
              <w:jc w:val="left"/>
            </w:pPr>
            <w:r>
              <w:rPr>
                <w:rFonts w:hint="eastAsia"/>
              </w:rPr>
              <w:t>1929年7月在塘角被捕，8月在县城郊就义</w:t>
            </w:r>
          </w:p>
        </w:tc>
      </w:tr>
      <w:tr w14:paraId="53AF5C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02EAA72">
            <w:pPr>
              <w:pStyle w:val="12"/>
              <w:jc w:val="center"/>
            </w:pPr>
            <w:r>
              <w:rPr>
                <w:rFonts w:hint="eastAsia"/>
              </w:rPr>
              <w:t>叶昌杰</w:t>
            </w:r>
          </w:p>
        </w:tc>
        <w:tc>
          <w:tcPr>
            <w:tcW w:w="388" w:type="pct"/>
            <w:vAlign w:val="center"/>
          </w:tcPr>
          <w:p w14:paraId="69A8FBA0">
            <w:pPr>
              <w:pStyle w:val="12"/>
              <w:jc w:val="center"/>
            </w:pPr>
            <w:r>
              <w:rPr>
                <w:rFonts w:hint="eastAsia"/>
              </w:rPr>
              <w:t>男</w:t>
            </w:r>
          </w:p>
        </w:tc>
        <w:tc>
          <w:tcPr>
            <w:tcW w:w="582" w:type="pct"/>
            <w:vAlign w:val="center"/>
          </w:tcPr>
          <w:p w14:paraId="52CDA5E4">
            <w:pPr>
              <w:pStyle w:val="12"/>
              <w:jc w:val="center"/>
            </w:pPr>
            <w:r>
              <w:rPr>
                <w:rFonts w:hint="eastAsia"/>
              </w:rPr>
              <w:t>1905年</w:t>
            </w:r>
          </w:p>
        </w:tc>
        <w:tc>
          <w:tcPr>
            <w:tcW w:w="582" w:type="pct"/>
            <w:vAlign w:val="center"/>
          </w:tcPr>
          <w:p w14:paraId="01FBABB8">
            <w:pPr>
              <w:pStyle w:val="12"/>
              <w:jc w:val="center"/>
            </w:pPr>
            <w:r>
              <w:rPr>
                <w:rFonts w:hint="eastAsia"/>
              </w:rPr>
              <w:t>油山镇</w:t>
            </w:r>
          </w:p>
        </w:tc>
        <w:tc>
          <w:tcPr>
            <w:tcW w:w="582" w:type="pct"/>
            <w:vAlign w:val="center"/>
          </w:tcPr>
          <w:p w14:paraId="71CA4F57">
            <w:pPr>
              <w:pStyle w:val="12"/>
              <w:jc w:val="center"/>
            </w:pPr>
            <w:r>
              <w:rPr>
                <w:rFonts w:hint="eastAsia"/>
              </w:rPr>
              <w:t>1929年</w:t>
            </w:r>
          </w:p>
        </w:tc>
        <w:tc>
          <w:tcPr>
            <w:tcW w:w="1066" w:type="pct"/>
            <w:vAlign w:val="center"/>
          </w:tcPr>
          <w:p w14:paraId="070C481F">
            <w:pPr>
              <w:pStyle w:val="12"/>
              <w:jc w:val="left"/>
            </w:pPr>
            <w:r>
              <w:rPr>
                <w:rFonts w:hint="eastAsia"/>
              </w:rPr>
              <w:t>油山游击队队员</w:t>
            </w:r>
          </w:p>
        </w:tc>
        <w:tc>
          <w:tcPr>
            <w:tcW w:w="1162" w:type="pct"/>
            <w:vAlign w:val="center"/>
          </w:tcPr>
          <w:p w14:paraId="7455C6D3">
            <w:pPr>
              <w:pStyle w:val="12"/>
              <w:jc w:val="left"/>
            </w:pPr>
            <w:r>
              <w:rPr>
                <w:rFonts w:hint="eastAsia"/>
              </w:rPr>
              <w:t>1929年在下锦陂被捕，在延村就义</w:t>
            </w:r>
          </w:p>
        </w:tc>
      </w:tr>
      <w:tr w14:paraId="30F08C1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DF7A521">
            <w:pPr>
              <w:pStyle w:val="12"/>
              <w:jc w:val="center"/>
            </w:pPr>
            <w:r>
              <w:rPr>
                <w:rFonts w:hint="eastAsia"/>
              </w:rPr>
              <w:t>彭丁福保</w:t>
            </w:r>
          </w:p>
        </w:tc>
        <w:tc>
          <w:tcPr>
            <w:tcW w:w="388" w:type="pct"/>
            <w:vAlign w:val="center"/>
          </w:tcPr>
          <w:p w14:paraId="16C78EDF">
            <w:pPr>
              <w:pStyle w:val="12"/>
              <w:jc w:val="center"/>
            </w:pPr>
            <w:r>
              <w:rPr>
                <w:rFonts w:hint="eastAsia"/>
              </w:rPr>
              <w:t>男</w:t>
            </w:r>
          </w:p>
        </w:tc>
        <w:tc>
          <w:tcPr>
            <w:tcW w:w="582" w:type="pct"/>
            <w:vAlign w:val="center"/>
          </w:tcPr>
          <w:p w14:paraId="73989CC5">
            <w:pPr>
              <w:pStyle w:val="12"/>
              <w:jc w:val="center"/>
            </w:pPr>
            <w:r>
              <w:rPr>
                <w:rFonts w:hint="eastAsia"/>
              </w:rPr>
              <w:t>1891年</w:t>
            </w:r>
          </w:p>
        </w:tc>
        <w:tc>
          <w:tcPr>
            <w:tcW w:w="582" w:type="pct"/>
            <w:vAlign w:val="center"/>
          </w:tcPr>
          <w:p w14:paraId="53F9A975">
            <w:pPr>
              <w:pStyle w:val="12"/>
              <w:jc w:val="center"/>
            </w:pPr>
            <w:r>
              <w:rPr>
                <w:rFonts w:hint="eastAsia"/>
              </w:rPr>
              <w:t>油山镇</w:t>
            </w:r>
          </w:p>
        </w:tc>
        <w:tc>
          <w:tcPr>
            <w:tcW w:w="582" w:type="pct"/>
            <w:vAlign w:val="center"/>
          </w:tcPr>
          <w:p w14:paraId="0A30AB7F">
            <w:pPr>
              <w:pStyle w:val="12"/>
              <w:jc w:val="center"/>
            </w:pPr>
            <w:r>
              <w:rPr>
                <w:rFonts w:hint="eastAsia"/>
              </w:rPr>
              <w:t>1925年</w:t>
            </w:r>
          </w:p>
        </w:tc>
        <w:tc>
          <w:tcPr>
            <w:tcW w:w="1066" w:type="pct"/>
            <w:vAlign w:val="center"/>
          </w:tcPr>
          <w:p w14:paraId="14DF374B">
            <w:pPr>
              <w:pStyle w:val="12"/>
              <w:jc w:val="left"/>
              <w:rPr>
                <w:rFonts w:ascii="宋体" w:hAnsi="宋体" w:cs="宋体"/>
              </w:rPr>
            </w:pPr>
            <w:r>
              <w:rPr>
                <w:rFonts w:hint="eastAsia"/>
              </w:rPr>
              <w:t>油山游击队</w:t>
            </w:r>
          </w:p>
          <w:p w14:paraId="4E683DCB">
            <w:pPr>
              <w:pStyle w:val="12"/>
              <w:jc w:val="left"/>
            </w:pPr>
            <w:r>
              <w:rPr>
                <w:rFonts w:hint="eastAsia" w:ascii="宋体" w:hAnsi="宋体" w:cs="宋体"/>
              </w:rPr>
              <w:t>保  管  员</w:t>
            </w:r>
          </w:p>
        </w:tc>
        <w:tc>
          <w:tcPr>
            <w:tcW w:w="1162" w:type="pct"/>
            <w:vAlign w:val="center"/>
          </w:tcPr>
          <w:p w14:paraId="3E8B8FE5">
            <w:pPr>
              <w:pStyle w:val="12"/>
              <w:jc w:val="left"/>
            </w:pPr>
            <w:r>
              <w:rPr>
                <w:rFonts w:hint="eastAsia"/>
              </w:rPr>
              <w:t>1929年7月在江西黄竹岭被捕，在县城郊就义</w:t>
            </w:r>
          </w:p>
        </w:tc>
      </w:tr>
      <w:tr w14:paraId="54C5C1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50B0322">
            <w:pPr>
              <w:pStyle w:val="12"/>
              <w:jc w:val="center"/>
            </w:pPr>
            <w:r>
              <w:rPr>
                <w:rFonts w:hint="eastAsia"/>
              </w:rPr>
              <w:t>何新财</w:t>
            </w:r>
          </w:p>
        </w:tc>
        <w:tc>
          <w:tcPr>
            <w:tcW w:w="388" w:type="pct"/>
            <w:vAlign w:val="center"/>
          </w:tcPr>
          <w:p w14:paraId="59E97CEA">
            <w:pPr>
              <w:pStyle w:val="12"/>
              <w:jc w:val="center"/>
            </w:pPr>
            <w:r>
              <w:rPr>
                <w:rFonts w:hint="eastAsia"/>
              </w:rPr>
              <w:t>男</w:t>
            </w:r>
          </w:p>
        </w:tc>
        <w:tc>
          <w:tcPr>
            <w:tcW w:w="582" w:type="pct"/>
            <w:vAlign w:val="center"/>
          </w:tcPr>
          <w:p w14:paraId="469A325F">
            <w:pPr>
              <w:pStyle w:val="12"/>
              <w:jc w:val="center"/>
            </w:pPr>
            <w:r>
              <w:rPr>
                <w:rFonts w:hint="eastAsia"/>
              </w:rPr>
              <w:t>1904年</w:t>
            </w:r>
          </w:p>
        </w:tc>
        <w:tc>
          <w:tcPr>
            <w:tcW w:w="582" w:type="pct"/>
            <w:vAlign w:val="center"/>
          </w:tcPr>
          <w:p w14:paraId="2F70D354">
            <w:pPr>
              <w:pStyle w:val="12"/>
              <w:jc w:val="center"/>
            </w:pPr>
            <w:r>
              <w:rPr>
                <w:rFonts w:hint="eastAsia"/>
              </w:rPr>
              <w:t>珠玑镇</w:t>
            </w:r>
          </w:p>
        </w:tc>
        <w:tc>
          <w:tcPr>
            <w:tcW w:w="582" w:type="pct"/>
            <w:vAlign w:val="center"/>
          </w:tcPr>
          <w:p w14:paraId="110AF846">
            <w:pPr>
              <w:pStyle w:val="12"/>
              <w:jc w:val="center"/>
            </w:pPr>
            <w:r>
              <w:rPr>
                <w:rFonts w:hint="eastAsia"/>
              </w:rPr>
              <w:t>1926年</w:t>
            </w:r>
          </w:p>
        </w:tc>
        <w:tc>
          <w:tcPr>
            <w:tcW w:w="1066" w:type="pct"/>
            <w:vAlign w:val="center"/>
          </w:tcPr>
          <w:p w14:paraId="485253ED">
            <w:pPr>
              <w:pStyle w:val="12"/>
              <w:jc w:val="left"/>
              <w:rPr>
                <w:rFonts w:ascii="宋体" w:hAnsi="宋体" w:cs="宋体"/>
              </w:rPr>
            </w:pPr>
            <w:r>
              <w:rPr>
                <w:rFonts w:hint="eastAsia"/>
              </w:rPr>
              <w:t>中共南雄县地</w:t>
            </w:r>
          </w:p>
          <w:p w14:paraId="14F7B14B">
            <w:pPr>
              <w:pStyle w:val="12"/>
              <w:jc w:val="left"/>
            </w:pPr>
            <w:r>
              <w:rPr>
                <w:rFonts w:hint="eastAsia" w:ascii="宋体" w:hAnsi="宋体" w:cs="宋体"/>
              </w:rPr>
              <w:t>下组织秘书</w:t>
            </w:r>
          </w:p>
        </w:tc>
        <w:tc>
          <w:tcPr>
            <w:tcW w:w="1162" w:type="pct"/>
            <w:vAlign w:val="center"/>
          </w:tcPr>
          <w:p w14:paraId="7A063963">
            <w:pPr>
              <w:pStyle w:val="12"/>
              <w:jc w:val="left"/>
            </w:pPr>
            <w:r>
              <w:rPr>
                <w:rFonts w:hint="eastAsia"/>
              </w:rPr>
              <w:t>1929年在祗芫被捕就义</w:t>
            </w:r>
          </w:p>
        </w:tc>
      </w:tr>
      <w:tr w14:paraId="4D34DD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C13ECC0">
            <w:pPr>
              <w:pStyle w:val="12"/>
              <w:jc w:val="center"/>
            </w:pPr>
            <w:r>
              <w:rPr>
                <w:rFonts w:hint="eastAsia"/>
              </w:rPr>
              <w:t>曾昭明</w:t>
            </w:r>
          </w:p>
        </w:tc>
        <w:tc>
          <w:tcPr>
            <w:tcW w:w="388" w:type="pct"/>
            <w:vAlign w:val="center"/>
          </w:tcPr>
          <w:p w14:paraId="445FE79E">
            <w:pPr>
              <w:pStyle w:val="12"/>
              <w:jc w:val="center"/>
            </w:pPr>
            <w:r>
              <w:rPr>
                <w:rFonts w:hint="eastAsia"/>
              </w:rPr>
              <w:t>男</w:t>
            </w:r>
          </w:p>
        </w:tc>
        <w:tc>
          <w:tcPr>
            <w:tcW w:w="582" w:type="pct"/>
            <w:vAlign w:val="center"/>
          </w:tcPr>
          <w:p w14:paraId="656313FD">
            <w:pPr>
              <w:pStyle w:val="12"/>
              <w:jc w:val="center"/>
            </w:pPr>
            <w:r>
              <w:rPr>
                <w:rFonts w:hint="eastAsia"/>
              </w:rPr>
              <w:t>1903年</w:t>
            </w:r>
          </w:p>
        </w:tc>
        <w:tc>
          <w:tcPr>
            <w:tcW w:w="582" w:type="pct"/>
            <w:vAlign w:val="center"/>
          </w:tcPr>
          <w:p w14:paraId="00984092">
            <w:pPr>
              <w:pStyle w:val="12"/>
              <w:jc w:val="center"/>
            </w:pPr>
            <w:r>
              <w:rPr>
                <w:rFonts w:hint="eastAsia"/>
              </w:rPr>
              <w:t>湖口镇</w:t>
            </w:r>
          </w:p>
        </w:tc>
        <w:tc>
          <w:tcPr>
            <w:tcW w:w="582" w:type="pct"/>
            <w:vAlign w:val="center"/>
          </w:tcPr>
          <w:p w14:paraId="3F25EBC2">
            <w:pPr>
              <w:pStyle w:val="12"/>
              <w:jc w:val="center"/>
            </w:pPr>
            <w:r>
              <w:rPr>
                <w:rFonts w:hint="eastAsia"/>
              </w:rPr>
              <w:t>1928年</w:t>
            </w:r>
          </w:p>
        </w:tc>
        <w:tc>
          <w:tcPr>
            <w:tcW w:w="1066" w:type="pct"/>
            <w:vAlign w:val="center"/>
          </w:tcPr>
          <w:p w14:paraId="4E776741">
            <w:pPr>
              <w:pStyle w:val="12"/>
              <w:jc w:val="left"/>
            </w:pPr>
            <w:r>
              <w:rPr>
                <w:rFonts w:hint="eastAsia"/>
              </w:rPr>
              <w:t>赤卫队员</w:t>
            </w:r>
          </w:p>
        </w:tc>
        <w:tc>
          <w:tcPr>
            <w:tcW w:w="1162" w:type="pct"/>
            <w:vAlign w:val="center"/>
          </w:tcPr>
          <w:p w14:paraId="3D2CFF6B">
            <w:pPr>
              <w:pStyle w:val="12"/>
              <w:jc w:val="left"/>
            </w:pPr>
            <w:r>
              <w:rPr>
                <w:rFonts w:hint="eastAsia"/>
              </w:rPr>
              <w:t>1929年在邓坊作战牺牲</w:t>
            </w:r>
          </w:p>
        </w:tc>
      </w:tr>
      <w:tr w14:paraId="6B2FB1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04EB0E6">
            <w:pPr>
              <w:pStyle w:val="12"/>
              <w:jc w:val="center"/>
            </w:pPr>
            <w:r>
              <w:rPr>
                <w:rFonts w:hint="eastAsia"/>
              </w:rPr>
              <w:t>曾井生</w:t>
            </w:r>
          </w:p>
        </w:tc>
        <w:tc>
          <w:tcPr>
            <w:tcW w:w="388" w:type="pct"/>
            <w:vAlign w:val="center"/>
          </w:tcPr>
          <w:p w14:paraId="04DFFCAA">
            <w:pPr>
              <w:pStyle w:val="12"/>
              <w:jc w:val="center"/>
            </w:pPr>
            <w:r>
              <w:rPr>
                <w:rFonts w:hint="eastAsia"/>
              </w:rPr>
              <w:t>男</w:t>
            </w:r>
          </w:p>
        </w:tc>
        <w:tc>
          <w:tcPr>
            <w:tcW w:w="582" w:type="pct"/>
            <w:vAlign w:val="center"/>
          </w:tcPr>
          <w:p w14:paraId="266E6A59">
            <w:pPr>
              <w:pStyle w:val="12"/>
              <w:jc w:val="center"/>
            </w:pPr>
            <w:r>
              <w:rPr>
                <w:rFonts w:hint="eastAsia"/>
              </w:rPr>
              <w:t>1905年</w:t>
            </w:r>
          </w:p>
        </w:tc>
        <w:tc>
          <w:tcPr>
            <w:tcW w:w="582" w:type="pct"/>
            <w:vAlign w:val="center"/>
          </w:tcPr>
          <w:p w14:paraId="16121026">
            <w:pPr>
              <w:pStyle w:val="12"/>
              <w:jc w:val="center"/>
            </w:pPr>
            <w:r>
              <w:rPr>
                <w:rFonts w:hint="eastAsia"/>
              </w:rPr>
              <w:t>湖口镇</w:t>
            </w:r>
          </w:p>
        </w:tc>
        <w:tc>
          <w:tcPr>
            <w:tcW w:w="582" w:type="pct"/>
            <w:vAlign w:val="center"/>
          </w:tcPr>
          <w:p w14:paraId="715E9D8C">
            <w:pPr>
              <w:pStyle w:val="12"/>
              <w:jc w:val="center"/>
            </w:pPr>
            <w:r>
              <w:rPr>
                <w:rFonts w:hint="eastAsia"/>
              </w:rPr>
              <w:t>1927年</w:t>
            </w:r>
          </w:p>
        </w:tc>
        <w:tc>
          <w:tcPr>
            <w:tcW w:w="1066" w:type="pct"/>
            <w:vAlign w:val="center"/>
          </w:tcPr>
          <w:p w14:paraId="0A794F9B">
            <w:pPr>
              <w:pStyle w:val="12"/>
              <w:jc w:val="left"/>
            </w:pPr>
            <w:r>
              <w:rPr>
                <w:rFonts w:hint="eastAsia"/>
              </w:rPr>
              <w:t>赤卫队员</w:t>
            </w:r>
          </w:p>
        </w:tc>
        <w:tc>
          <w:tcPr>
            <w:tcW w:w="1162" w:type="pct"/>
            <w:vAlign w:val="center"/>
          </w:tcPr>
          <w:p w14:paraId="01935B36">
            <w:pPr>
              <w:pStyle w:val="12"/>
              <w:jc w:val="left"/>
            </w:pPr>
            <w:r>
              <w:rPr>
                <w:rFonts w:hint="eastAsia"/>
              </w:rPr>
              <w:t>1929年在本县灵潭作战牺牲</w:t>
            </w:r>
          </w:p>
        </w:tc>
      </w:tr>
      <w:tr w14:paraId="40117C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637C5A7">
            <w:pPr>
              <w:pStyle w:val="12"/>
              <w:jc w:val="center"/>
            </w:pPr>
            <w:r>
              <w:rPr>
                <w:rFonts w:hint="eastAsia"/>
              </w:rPr>
              <w:t>曾远路石</w:t>
            </w:r>
          </w:p>
        </w:tc>
        <w:tc>
          <w:tcPr>
            <w:tcW w:w="388" w:type="pct"/>
            <w:vAlign w:val="center"/>
          </w:tcPr>
          <w:p w14:paraId="08CD1EA5">
            <w:pPr>
              <w:pStyle w:val="12"/>
              <w:jc w:val="center"/>
            </w:pPr>
            <w:r>
              <w:rPr>
                <w:rFonts w:hint="eastAsia"/>
              </w:rPr>
              <w:t>男</w:t>
            </w:r>
          </w:p>
        </w:tc>
        <w:tc>
          <w:tcPr>
            <w:tcW w:w="582" w:type="pct"/>
            <w:vAlign w:val="center"/>
          </w:tcPr>
          <w:p w14:paraId="77E79CDE">
            <w:pPr>
              <w:pStyle w:val="12"/>
              <w:jc w:val="center"/>
            </w:pPr>
            <w:r>
              <w:rPr>
                <w:rFonts w:hint="eastAsia"/>
              </w:rPr>
              <w:t>1882年</w:t>
            </w:r>
          </w:p>
        </w:tc>
        <w:tc>
          <w:tcPr>
            <w:tcW w:w="582" w:type="pct"/>
            <w:vAlign w:val="center"/>
          </w:tcPr>
          <w:p w14:paraId="5E1A9498">
            <w:pPr>
              <w:pStyle w:val="12"/>
              <w:jc w:val="center"/>
            </w:pPr>
            <w:r>
              <w:rPr>
                <w:rFonts w:hint="eastAsia"/>
              </w:rPr>
              <w:t>湖口镇</w:t>
            </w:r>
          </w:p>
        </w:tc>
        <w:tc>
          <w:tcPr>
            <w:tcW w:w="582" w:type="pct"/>
            <w:vAlign w:val="center"/>
          </w:tcPr>
          <w:p w14:paraId="4B3F03AC">
            <w:pPr>
              <w:pStyle w:val="12"/>
              <w:jc w:val="center"/>
            </w:pPr>
            <w:r>
              <w:rPr>
                <w:rFonts w:hint="eastAsia"/>
              </w:rPr>
              <w:t>1929年</w:t>
            </w:r>
          </w:p>
        </w:tc>
        <w:tc>
          <w:tcPr>
            <w:tcW w:w="1066" w:type="pct"/>
            <w:vAlign w:val="center"/>
          </w:tcPr>
          <w:p w14:paraId="32384B21">
            <w:pPr>
              <w:pStyle w:val="12"/>
              <w:jc w:val="left"/>
            </w:pPr>
            <w:r>
              <w:rPr>
                <w:rFonts w:hint="eastAsia"/>
              </w:rPr>
              <w:t>赤卫队员</w:t>
            </w:r>
          </w:p>
        </w:tc>
        <w:tc>
          <w:tcPr>
            <w:tcW w:w="1162" w:type="pct"/>
            <w:vAlign w:val="center"/>
          </w:tcPr>
          <w:p w14:paraId="54020BB4">
            <w:pPr>
              <w:pStyle w:val="12"/>
              <w:jc w:val="left"/>
            </w:pPr>
            <w:r>
              <w:rPr>
                <w:rFonts w:hint="eastAsia"/>
              </w:rPr>
              <w:t>1929年在本村围俚作战牺牲</w:t>
            </w:r>
          </w:p>
        </w:tc>
      </w:tr>
      <w:tr w14:paraId="48C29B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32628F3">
            <w:pPr>
              <w:pStyle w:val="12"/>
              <w:jc w:val="center"/>
            </w:pPr>
            <w:r>
              <w:rPr>
                <w:rFonts w:hint="eastAsia"/>
              </w:rPr>
              <w:t>张书培</w:t>
            </w:r>
          </w:p>
        </w:tc>
        <w:tc>
          <w:tcPr>
            <w:tcW w:w="388" w:type="pct"/>
            <w:vAlign w:val="center"/>
          </w:tcPr>
          <w:p w14:paraId="5716CDCD">
            <w:pPr>
              <w:pStyle w:val="12"/>
              <w:jc w:val="center"/>
            </w:pPr>
            <w:r>
              <w:rPr>
                <w:rFonts w:hint="eastAsia"/>
              </w:rPr>
              <w:t>男</w:t>
            </w:r>
          </w:p>
        </w:tc>
        <w:tc>
          <w:tcPr>
            <w:tcW w:w="582" w:type="pct"/>
            <w:vAlign w:val="center"/>
          </w:tcPr>
          <w:p w14:paraId="513A26F7">
            <w:pPr>
              <w:pStyle w:val="12"/>
              <w:jc w:val="center"/>
            </w:pPr>
            <w:r>
              <w:rPr>
                <w:rFonts w:hint="eastAsia"/>
              </w:rPr>
              <w:t>1901年</w:t>
            </w:r>
          </w:p>
        </w:tc>
        <w:tc>
          <w:tcPr>
            <w:tcW w:w="582" w:type="pct"/>
            <w:vAlign w:val="center"/>
          </w:tcPr>
          <w:p w14:paraId="661DCB84">
            <w:pPr>
              <w:pStyle w:val="12"/>
              <w:jc w:val="center"/>
            </w:pPr>
            <w:r>
              <w:rPr>
                <w:rFonts w:hint="eastAsia"/>
              </w:rPr>
              <w:t>湖口镇</w:t>
            </w:r>
          </w:p>
        </w:tc>
        <w:tc>
          <w:tcPr>
            <w:tcW w:w="582" w:type="pct"/>
            <w:vAlign w:val="center"/>
          </w:tcPr>
          <w:p w14:paraId="27643EC2">
            <w:pPr>
              <w:pStyle w:val="12"/>
              <w:jc w:val="center"/>
            </w:pPr>
            <w:r>
              <w:rPr>
                <w:rFonts w:hint="eastAsia"/>
              </w:rPr>
              <w:t>1929年</w:t>
            </w:r>
          </w:p>
        </w:tc>
        <w:tc>
          <w:tcPr>
            <w:tcW w:w="1066" w:type="pct"/>
            <w:vAlign w:val="center"/>
          </w:tcPr>
          <w:p w14:paraId="420D5E53">
            <w:pPr>
              <w:pStyle w:val="12"/>
              <w:jc w:val="left"/>
            </w:pPr>
            <w:r>
              <w:rPr>
                <w:rFonts w:hint="eastAsia"/>
              </w:rPr>
              <w:t>赤卫队小队长</w:t>
            </w:r>
          </w:p>
        </w:tc>
        <w:tc>
          <w:tcPr>
            <w:tcW w:w="1162" w:type="pct"/>
            <w:vAlign w:val="center"/>
          </w:tcPr>
          <w:p w14:paraId="4F15C461">
            <w:pPr>
              <w:pStyle w:val="12"/>
              <w:jc w:val="left"/>
            </w:pPr>
            <w:r>
              <w:rPr>
                <w:rFonts w:hint="eastAsia"/>
              </w:rPr>
              <w:t>1929年在黄坑作战牺牲</w:t>
            </w:r>
          </w:p>
        </w:tc>
      </w:tr>
      <w:tr w14:paraId="7A7CE5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6A892FF">
            <w:pPr>
              <w:pStyle w:val="12"/>
              <w:jc w:val="center"/>
            </w:pPr>
            <w:r>
              <w:rPr>
                <w:rFonts w:hint="eastAsia"/>
              </w:rPr>
              <w:t>李罗生</w:t>
            </w:r>
          </w:p>
        </w:tc>
        <w:tc>
          <w:tcPr>
            <w:tcW w:w="388" w:type="pct"/>
            <w:vAlign w:val="center"/>
          </w:tcPr>
          <w:p w14:paraId="7C74E4C0">
            <w:pPr>
              <w:pStyle w:val="12"/>
              <w:jc w:val="center"/>
            </w:pPr>
            <w:r>
              <w:rPr>
                <w:rFonts w:hint="eastAsia"/>
              </w:rPr>
              <w:t>男</w:t>
            </w:r>
          </w:p>
        </w:tc>
        <w:tc>
          <w:tcPr>
            <w:tcW w:w="582" w:type="pct"/>
            <w:vAlign w:val="center"/>
          </w:tcPr>
          <w:p w14:paraId="573CA4F7">
            <w:pPr>
              <w:pStyle w:val="12"/>
              <w:jc w:val="center"/>
            </w:pPr>
            <w:r>
              <w:rPr>
                <w:rFonts w:hint="eastAsia"/>
              </w:rPr>
              <w:t>1901年</w:t>
            </w:r>
          </w:p>
        </w:tc>
        <w:tc>
          <w:tcPr>
            <w:tcW w:w="582" w:type="pct"/>
            <w:vAlign w:val="center"/>
          </w:tcPr>
          <w:p w14:paraId="02838621">
            <w:pPr>
              <w:pStyle w:val="12"/>
              <w:jc w:val="center"/>
            </w:pPr>
            <w:r>
              <w:rPr>
                <w:rFonts w:hint="eastAsia"/>
              </w:rPr>
              <w:t>湖口镇</w:t>
            </w:r>
          </w:p>
        </w:tc>
        <w:tc>
          <w:tcPr>
            <w:tcW w:w="582" w:type="pct"/>
            <w:vAlign w:val="center"/>
          </w:tcPr>
          <w:p w14:paraId="73738846">
            <w:pPr>
              <w:pStyle w:val="12"/>
              <w:jc w:val="center"/>
            </w:pPr>
            <w:r>
              <w:rPr>
                <w:rFonts w:hint="eastAsia"/>
              </w:rPr>
              <w:t>1929年</w:t>
            </w:r>
          </w:p>
        </w:tc>
        <w:tc>
          <w:tcPr>
            <w:tcW w:w="1066" w:type="pct"/>
            <w:vAlign w:val="center"/>
          </w:tcPr>
          <w:p w14:paraId="5E0741B3">
            <w:pPr>
              <w:pStyle w:val="12"/>
              <w:jc w:val="left"/>
            </w:pPr>
            <w:r>
              <w:rPr>
                <w:rFonts w:hint="eastAsia"/>
              </w:rPr>
              <w:t>赤卫队员</w:t>
            </w:r>
          </w:p>
        </w:tc>
        <w:tc>
          <w:tcPr>
            <w:tcW w:w="1162" w:type="pct"/>
            <w:vAlign w:val="center"/>
          </w:tcPr>
          <w:p w14:paraId="01955EFD">
            <w:pPr>
              <w:pStyle w:val="12"/>
              <w:jc w:val="left"/>
            </w:pPr>
            <w:r>
              <w:rPr>
                <w:rFonts w:hint="eastAsia"/>
              </w:rPr>
              <w:t>1929年在黄坑牺牲</w:t>
            </w:r>
          </w:p>
        </w:tc>
      </w:tr>
      <w:tr w14:paraId="1AB9B0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DD51BDF">
            <w:pPr>
              <w:pStyle w:val="12"/>
              <w:jc w:val="center"/>
            </w:pPr>
            <w:r>
              <w:rPr>
                <w:rFonts w:hint="eastAsia"/>
              </w:rPr>
              <w:t>李仁记</w:t>
            </w:r>
          </w:p>
        </w:tc>
        <w:tc>
          <w:tcPr>
            <w:tcW w:w="388" w:type="pct"/>
            <w:vAlign w:val="center"/>
          </w:tcPr>
          <w:p w14:paraId="1D97EEF0">
            <w:pPr>
              <w:pStyle w:val="12"/>
              <w:jc w:val="center"/>
            </w:pPr>
            <w:r>
              <w:rPr>
                <w:rFonts w:hint="eastAsia"/>
              </w:rPr>
              <w:t>男</w:t>
            </w:r>
          </w:p>
        </w:tc>
        <w:tc>
          <w:tcPr>
            <w:tcW w:w="582" w:type="pct"/>
            <w:vAlign w:val="center"/>
          </w:tcPr>
          <w:p w14:paraId="74D59AEB">
            <w:pPr>
              <w:pStyle w:val="12"/>
              <w:jc w:val="center"/>
            </w:pPr>
            <w:r>
              <w:rPr>
                <w:rFonts w:hint="eastAsia"/>
              </w:rPr>
              <w:t>1902年</w:t>
            </w:r>
          </w:p>
        </w:tc>
        <w:tc>
          <w:tcPr>
            <w:tcW w:w="582" w:type="pct"/>
            <w:vAlign w:val="center"/>
          </w:tcPr>
          <w:p w14:paraId="73EA433F">
            <w:pPr>
              <w:pStyle w:val="12"/>
              <w:jc w:val="center"/>
            </w:pPr>
            <w:r>
              <w:rPr>
                <w:rFonts w:hint="eastAsia"/>
              </w:rPr>
              <w:t>湖口镇</w:t>
            </w:r>
          </w:p>
        </w:tc>
        <w:tc>
          <w:tcPr>
            <w:tcW w:w="582" w:type="pct"/>
            <w:vAlign w:val="center"/>
          </w:tcPr>
          <w:p w14:paraId="35C3F65D">
            <w:pPr>
              <w:pStyle w:val="12"/>
              <w:jc w:val="center"/>
            </w:pPr>
            <w:r>
              <w:rPr>
                <w:rFonts w:hint="eastAsia"/>
              </w:rPr>
              <w:t>1929年</w:t>
            </w:r>
          </w:p>
        </w:tc>
        <w:tc>
          <w:tcPr>
            <w:tcW w:w="1066" w:type="pct"/>
            <w:vAlign w:val="center"/>
          </w:tcPr>
          <w:p w14:paraId="543CEC99">
            <w:pPr>
              <w:pStyle w:val="12"/>
              <w:jc w:val="left"/>
            </w:pPr>
            <w:r>
              <w:rPr>
                <w:rFonts w:hint="eastAsia"/>
              </w:rPr>
              <w:t>赤卫队员</w:t>
            </w:r>
          </w:p>
        </w:tc>
        <w:tc>
          <w:tcPr>
            <w:tcW w:w="1162" w:type="pct"/>
            <w:vAlign w:val="center"/>
          </w:tcPr>
          <w:p w14:paraId="10895913">
            <w:pPr>
              <w:pStyle w:val="12"/>
              <w:jc w:val="left"/>
            </w:pPr>
            <w:r>
              <w:rPr>
                <w:rFonts w:hint="eastAsia"/>
              </w:rPr>
              <w:t>1929年在黄坑牺牲</w:t>
            </w:r>
          </w:p>
        </w:tc>
      </w:tr>
      <w:tr w14:paraId="7A2C20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54F73E1">
            <w:pPr>
              <w:pStyle w:val="12"/>
              <w:jc w:val="center"/>
            </w:pPr>
            <w:r>
              <w:rPr>
                <w:rFonts w:hint="eastAsia"/>
              </w:rPr>
              <w:t>朱毛时亨</w:t>
            </w:r>
          </w:p>
        </w:tc>
        <w:tc>
          <w:tcPr>
            <w:tcW w:w="388" w:type="pct"/>
            <w:vAlign w:val="center"/>
          </w:tcPr>
          <w:p w14:paraId="038A77EF">
            <w:pPr>
              <w:pStyle w:val="12"/>
              <w:jc w:val="center"/>
            </w:pPr>
            <w:r>
              <w:rPr>
                <w:rFonts w:hint="eastAsia"/>
              </w:rPr>
              <w:t>男</w:t>
            </w:r>
          </w:p>
        </w:tc>
        <w:tc>
          <w:tcPr>
            <w:tcW w:w="582" w:type="pct"/>
            <w:vAlign w:val="center"/>
          </w:tcPr>
          <w:p w14:paraId="4B3C67D2">
            <w:pPr>
              <w:pStyle w:val="12"/>
              <w:jc w:val="center"/>
            </w:pPr>
            <w:r>
              <w:rPr>
                <w:rFonts w:hint="eastAsia"/>
              </w:rPr>
              <w:t>1899年</w:t>
            </w:r>
          </w:p>
        </w:tc>
        <w:tc>
          <w:tcPr>
            <w:tcW w:w="582" w:type="pct"/>
            <w:vAlign w:val="center"/>
          </w:tcPr>
          <w:p w14:paraId="1292B5BD">
            <w:pPr>
              <w:pStyle w:val="12"/>
              <w:jc w:val="center"/>
            </w:pPr>
            <w:r>
              <w:rPr>
                <w:rFonts w:hint="eastAsia"/>
              </w:rPr>
              <w:t>湖口镇</w:t>
            </w:r>
          </w:p>
        </w:tc>
        <w:tc>
          <w:tcPr>
            <w:tcW w:w="582" w:type="pct"/>
            <w:vAlign w:val="center"/>
          </w:tcPr>
          <w:p w14:paraId="2FBB802F">
            <w:pPr>
              <w:pStyle w:val="12"/>
              <w:jc w:val="center"/>
            </w:pPr>
            <w:r>
              <w:rPr>
                <w:rFonts w:hint="eastAsia"/>
              </w:rPr>
              <w:t>1929年</w:t>
            </w:r>
          </w:p>
        </w:tc>
        <w:tc>
          <w:tcPr>
            <w:tcW w:w="1066" w:type="pct"/>
            <w:vAlign w:val="center"/>
          </w:tcPr>
          <w:p w14:paraId="4E4EFCA9">
            <w:pPr>
              <w:pStyle w:val="12"/>
              <w:jc w:val="left"/>
            </w:pPr>
            <w:r>
              <w:rPr>
                <w:rFonts w:hint="eastAsia"/>
              </w:rPr>
              <w:t>赤卫队员</w:t>
            </w:r>
          </w:p>
        </w:tc>
        <w:tc>
          <w:tcPr>
            <w:tcW w:w="1162" w:type="pct"/>
            <w:vAlign w:val="center"/>
          </w:tcPr>
          <w:p w14:paraId="362D3CB0">
            <w:pPr>
              <w:pStyle w:val="12"/>
              <w:jc w:val="left"/>
            </w:pPr>
            <w:r>
              <w:rPr>
                <w:rFonts w:hint="eastAsia"/>
              </w:rPr>
              <w:t>1929年在黄坑牺牲</w:t>
            </w:r>
          </w:p>
        </w:tc>
      </w:tr>
      <w:tr w14:paraId="4C47429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7FFAB33">
            <w:pPr>
              <w:pStyle w:val="12"/>
              <w:jc w:val="center"/>
            </w:pPr>
            <w:r>
              <w:rPr>
                <w:rFonts w:hint="eastAsia"/>
              </w:rPr>
              <w:t>王焕凤</w:t>
            </w:r>
          </w:p>
        </w:tc>
        <w:tc>
          <w:tcPr>
            <w:tcW w:w="388" w:type="pct"/>
            <w:vAlign w:val="center"/>
          </w:tcPr>
          <w:p w14:paraId="2C94AD60">
            <w:pPr>
              <w:pStyle w:val="12"/>
              <w:jc w:val="center"/>
            </w:pPr>
            <w:r>
              <w:rPr>
                <w:rFonts w:hint="eastAsia"/>
              </w:rPr>
              <w:t>男</w:t>
            </w:r>
          </w:p>
        </w:tc>
        <w:tc>
          <w:tcPr>
            <w:tcW w:w="582" w:type="pct"/>
            <w:vAlign w:val="center"/>
          </w:tcPr>
          <w:p w14:paraId="74D6313C">
            <w:pPr>
              <w:pStyle w:val="12"/>
              <w:jc w:val="center"/>
            </w:pPr>
            <w:r>
              <w:rPr>
                <w:rFonts w:hint="eastAsia"/>
              </w:rPr>
              <w:t>—</w:t>
            </w:r>
          </w:p>
        </w:tc>
        <w:tc>
          <w:tcPr>
            <w:tcW w:w="582" w:type="pct"/>
            <w:vAlign w:val="center"/>
          </w:tcPr>
          <w:p w14:paraId="37D6BEB9">
            <w:pPr>
              <w:pStyle w:val="12"/>
              <w:jc w:val="center"/>
            </w:pPr>
            <w:r>
              <w:rPr>
                <w:rFonts w:hint="eastAsia"/>
              </w:rPr>
              <w:t>湖口镇</w:t>
            </w:r>
          </w:p>
        </w:tc>
        <w:tc>
          <w:tcPr>
            <w:tcW w:w="582" w:type="pct"/>
            <w:vAlign w:val="center"/>
          </w:tcPr>
          <w:p w14:paraId="790F1C20">
            <w:pPr>
              <w:pStyle w:val="12"/>
              <w:jc w:val="center"/>
            </w:pPr>
            <w:r>
              <w:rPr>
                <w:rFonts w:hint="eastAsia"/>
              </w:rPr>
              <w:t>1928年</w:t>
            </w:r>
          </w:p>
        </w:tc>
        <w:tc>
          <w:tcPr>
            <w:tcW w:w="1066" w:type="pct"/>
            <w:vAlign w:val="center"/>
          </w:tcPr>
          <w:p w14:paraId="48F7CA21">
            <w:pPr>
              <w:pStyle w:val="12"/>
              <w:jc w:val="left"/>
            </w:pPr>
            <w:r>
              <w:rPr>
                <w:rFonts w:hint="eastAsia"/>
              </w:rPr>
              <w:t>赤卫队员</w:t>
            </w:r>
          </w:p>
        </w:tc>
        <w:tc>
          <w:tcPr>
            <w:tcW w:w="1162" w:type="pct"/>
            <w:vAlign w:val="center"/>
          </w:tcPr>
          <w:p w14:paraId="57078A26">
            <w:pPr>
              <w:pStyle w:val="12"/>
              <w:jc w:val="left"/>
            </w:pPr>
            <w:r>
              <w:rPr>
                <w:rFonts w:hint="eastAsia"/>
              </w:rPr>
              <w:t>1929年8月在县城郊就义</w:t>
            </w:r>
          </w:p>
        </w:tc>
      </w:tr>
      <w:tr w14:paraId="28E89D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E864CC9">
            <w:pPr>
              <w:pStyle w:val="12"/>
              <w:jc w:val="center"/>
            </w:pPr>
            <w:r>
              <w:rPr>
                <w:rFonts w:hint="eastAsia"/>
              </w:rPr>
              <w:t>卢文发</w:t>
            </w:r>
          </w:p>
        </w:tc>
        <w:tc>
          <w:tcPr>
            <w:tcW w:w="388" w:type="pct"/>
            <w:vAlign w:val="center"/>
          </w:tcPr>
          <w:p w14:paraId="2A16170C">
            <w:pPr>
              <w:pStyle w:val="12"/>
              <w:jc w:val="center"/>
            </w:pPr>
            <w:r>
              <w:rPr>
                <w:rFonts w:hint="eastAsia"/>
              </w:rPr>
              <w:t>男</w:t>
            </w:r>
          </w:p>
        </w:tc>
        <w:tc>
          <w:tcPr>
            <w:tcW w:w="582" w:type="pct"/>
            <w:vAlign w:val="center"/>
          </w:tcPr>
          <w:p w14:paraId="1C8F0143">
            <w:pPr>
              <w:pStyle w:val="12"/>
              <w:jc w:val="center"/>
            </w:pPr>
            <w:r>
              <w:rPr>
                <w:rFonts w:hint="eastAsia"/>
              </w:rPr>
              <w:t>—</w:t>
            </w:r>
          </w:p>
        </w:tc>
        <w:tc>
          <w:tcPr>
            <w:tcW w:w="582" w:type="pct"/>
            <w:vAlign w:val="center"/>
          </w:tcPr>
          <w:p w14:paraId="6BDA06E6">
            <w:pPr>
              <w:pStyle w:val="12"/>
              <w:jc w:val="center"/>
            </w:pPr>
            <w:r>
              <w:rPr>
                <w:rFonts w:hint="eastAsia"/>
              </w:rPr>
              <w:t>湖口镇</w:t>
            </w:r>
          </w:p>
        </w:tc>
        <w:tc>
          <w:tcPr>
            <w:tcW w:w="582" w:type="pct"/>
            <w:vAlign w:val="center"/>
          </w:tcPr>
          <w:p w14:paraId="67FF1579">
            <w:pPr>
              <w:pStyle w:val="12"/>
              <w:jc w:val="center"/>
            </w:pPr>
            <w:r>
              <w:rPr>
                <w:rFonts w:hint="eastAsia"/>
              </w:rPr>
              <w:t>1928年</w:t>
            </w:r>
          </w:p>
        </w:tc>
        <w:tc>
          <w:tcPr>
            <w:tcW w:w="1066" w:type="pct"/>
            <w:vAlign w:val="center"/>
          </w:tcPr>
          <w:p w14:paraId="02EDA747">
            <w:pPr>
              <w:pStyle w:val="12"/>
              <w:jc w:val="left"/>
            </w:pPr>
            <w:r>
              <w:rPr>
                <w:rFonts w:hint="eastAsia"/>
              </w:rPr>
              <w:t>赤卫队员</w:t>
            </w:r>
          </w:p>
        </w:tc>
        <w:tc>
          <w:tcPr>
            <w:tcW w:w="1162" w:type="pct"/>
            <w:vAlign w:val="center"/>
          </w:tcPr>
          <w:p w14:paraId="0691D82E">
            <w:pPr>
              <w:pStyle w:val="12"/>
              <w:jc w:val="left"/>
            </w:pPr>
            <w:r>
              <w:rPr>
                <w:rFonts w:hint="eastAsia"/>
              </w:rPr>
              <w:t>1929年8月在县城郊就义</w:t>
            </w:r>
          </w:p>
        </w:tc>
      </w:tr>
      <w:tr w14:paraId="37C708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2F73DD8">
            <w:pPr>
              <w:pStyle w:val="12"/>
              <w:jc w:val="center"/>
            </w:pPr>
            <w:r>
              <w:rPr>
                <w:rFonts w:hint="eastAsia"/>
              </w:rPr>
              <w:t>郭水石养</w:t>
            </w:r>
          </w:p>
        </w:tc>
        <w:tc>
          <w:tcPr>
            <w:tcW w:w="388" w:type="pct"/>
            <w:vAlign w:val="center"/>
          </w:tcPr>
          <w:p w14:paraId="02AF80E4">
            <w:pPr>
              <w:pStyle w:val="12"/>
              <w:jc w:val="center"/>
            </w:pPr>
            <w:r>
              <w:rPr>
                <w:rFonts w:hint="eastAsia"/>
              </w:rPr>
              <w:t>男</w:t>
            </w:r>
          </w:p>
        </w:tc>
        <w:tc>
          <w:tcPr>
            <w:tcW w:w="582" w:type="pct"/>
            <w:vAlign w:val="center"/>
          </w:tcPr>
          <w:p w14:paraId="510A8D65">
            <w:pPr>
              <w:pStyle w:val="12"/>
              <w:jc w:val="center"/>
            </w:pPr>
            <w:r>
              <w:rPr>
                <w:rFonts w:hint="eastAsia"/>
              </w:rPr>
              <w:t>1899年</w:t>
            </w:r>
          </w:p>
        </w:tc>
        <w:tc>
          <w:tcPr>
            <w:tcW w:w="582" w:type="pct"/>
            <w:vAlign w:val="center"/>
          </w:tcPr>
          <w:p w14:paraId="7B3F2946">
            <w:pPr>
              <w:pStyle w:val="12"/>
              <w:jc w:val="center"/>
            </w:pPr>
            <w:r>
              <w:rPr>
                <w:rFonts w:hint="eastAsia"/>
              </w:rPr>
              <w:t>珠玑镇</w:t>
            </w:r>
          </w:p>
        </w:tc>
        <w:tc>
          <w:tcPr>
            <w:tcW w:w="582" w:type="pct"/>
            <w:vAlign w:val="center"/>
          </w:tcPr>
          <w:p w14:paraId="7B2FB147">
            <w:pPr>
              <w:pStyle w:val="12"/>
              <w:jc w:val="center"/>
            </w:pPr>
            <w:r>
              <w:rPr>
                <w:rFonts w:hint="eastAsia"/>
              </w:rPr>
              <w:t>1928年</w:t>
            </w:r>
          </w:p>
        </w:tc>
        <w:tc>
          <w:tcPr>
            <w:tcW w:w="1066" w:type="pct"/>
            <w:vAlign w:val="center"/>
          </w:tcPr>
          <w:p w14:paraId="632CB1DE">
            <w:pPr>
              <w:pStyle w:val="12"/>
              <w:jc w:val="left"/>
            </w:pPr>
            <w:r>
              <w:rPr>
                <w:rFonts w:hint="eastAsia"/>
              </w:rPr>
              <w:t>油山游击队队长</w:t>
            </w:r>
          </w:p>
        </w:tc>
        <w:tc>
          <w:tcPr>
            <w:tcW w:w="1162" w:type="pct"/>
            <w:vAlign w:val="center"/>
          </w:tcPr>
          <w:p w14:paraId="67C9271F">
            <w:pPr>
              <w:pStyle w:val="12"/>
              <w:jc w:val="left"/>
            </w:pPr>
            <w:r>
              <w:rPr>
                <w:rFonts w:hint="eastAsia"/>
              </w:rPr>
              <w:t>1929年在梅岭小岭被捕就义</w:t>
            </w:r>
          </w:p>
        </w:tc>
      </w:tr>
      <w:tr w14:paraId="392148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A99A06E">
            <w:pPr>
              <w:pStyle w:val="12"/>
              <w:jc w:val="center"/>
            </w:pPr>
            <w:r>
              <w:rPr>
                <w:rFonts w:hint="eastAsia"/>
              </w:rPr>
              <w:t>李金祥</w:t>
            </w:r>
          </w:p>
        </w:tc>
        <w:tc>
          <w:tcPr>
            <w:tcW w:w="388" w:type="pct"/>
            <w:vAlign w:val="center"/>
          </w:tcPr>
          <w:p w14:paraId="3A3DADF0">
            <w:pPr>
              <w:pStyle w:val="12"/>
              <w:jc w:val="center"/>
            </w:pPr>
            <w:r>
              <w:rPr>
                <w:rFonts w:hint="eastAsia"/>
              </w:rPr>
              <w:t>男</w:t>
            </w:r>
          </w:p>
        </w:tc>
        <w:tc>
          <w:tcPr>
            <w:tcW w:w="582" w:type="pct"/>
            <w:vAlign w:val="center"/>
          </w:tcPr>
          <w:p w14:paraId="0757CE7B">
            <w:pPr>
              <w:pStyle w:val="12"/>
              <w:jc w:val="center"/>
            </w:pPr>
            <w:r>
              <w:rPr>
                <w:rFonts w:hint="eastAsia"/>
              </w:rPr>
              <w:t>1906年</w:t>
            </w:r>
          </w:p>
        </w:tc>
        <w:tc>
          <w:tcPr>
            <w:tcW w:w="582" w:type="pct"/>
            <w:vAlign w:val="center"/>
          </w:tcPr>
          <w:p w14:paraId="1A03C0FB">
            <w:pPr>
              <w:pStyle w:val="12"/>
              <w:jc w:val="center"/>
            </w:pPr>
            <w:r>
              <w:rPr>
                <w:rFonts w:hint="eastAsia"/>
              </w:rPr>
              <w:t>油山镇</w:t>
            </w:r>
          </w:p>
        </w:tc>
        <w:tc>
          <w:tcPr>
            <w:tcW w:w="582" w:type="pct"/>
            <w:vAlign w:val="center"/>
          </w:tcPr>
          <w:p w14:paraId="0DB22A3E">
            <w:pPr>
              <w:pStyle w:val="12"/>
              <w:jc w:val="center"/>
            </w:pPr>
            <w:r>
              <w:rPr>
                <w:rFonts w:hint="eastAsia"/>
              </w:rPr>
              <w:t>1927年</w:t>
            </w:r>
          </w:p>
        </w:tc>
        <w:tc>
          <w:tcPr>
            <w:tcW w:w="1066" w:type="pct"/>
            <w:vAlign w:val="center"/>
          </w:tcPr>
          <w:p w14:paraId="62B7D8C0">
            <w:pPr>
              <w:pStyle w:val="12"/>
              <w:jc w:val="left"/>
              <w:rPr>
                <w:rFonts w:ascii="宋体" w:hAnsi="宋体" w:cs="宋体"/>
              </w:rPr>
            </w:pPr>
            <w:r>
              <w:rPr>
                <w:rFonts w:hint="eastAsia"/>
              </w:rPr>
              <w:t>油山游击队</w:t>
            </w:r>
          </w:p>
          <w:p w14:paraId="07AFCAC3">
            <w:pPr>
              <w:pStyle w:val="12"/>
              <w:jc w:val="left"/>
            </w:pPr>
            <w:r>
              <w:rPr>
                <w:rFonts w:hint="eastAsia" w:ascii="宋体" w:hAnsi="宋体" w:cs="宋体"/>
              </w:rPr>
              <w:t>侦  察  员</w:t>
            </w:r>
          </w:p>
        </w:tc>
        <w:tc>
          <w:tcPr>
            <w:tcW w:w="1162" w:type="pct"/>
            <w:vAlign w:val="center"/>
          </w:tcPr>
          <w:p w14:paraId="65E48CEC">
            <w:pPr>
              <w:pStyle w:val="12"/>
              <w:jc w:val="left"/>
            </w:pPr>
            <w:r>
              <w:rPr>
                <w:rFonts w:hint="eastAsia"/>
              </w:rPr>
              <w:t>1929年1月在大塘被捕，在县城郊就义</w:t>
            </w:r>
          </w:p>
        </w:tc>
      </w:tr>
      <w:tr w14:paraId="0CA171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A5EAEE0">
            <w:pPr>
              <w:pStyle w:val="12"/>
              <w:jc w:val="center"/>
            </w:pPr>
            <w:r>
              <w:rPr>
                <w:rFonts w:hint="eastAsia"/>
              </w:rPr>
              <w:t>孔庆泰</w:t>
            </w:r>
          </w:p>
        </w:tc>
        <w:tc>
          <w:tcPr>
            <w:tcW w:w="388" w:type="pct"/>
            <w:vAlign w:val="center"/>
          </w:tcPr>
          <w:p w14:paraId="46F81C10">
            <w:pPr>
              <w:pStyle w:val="12"/>
              <w:jc w:val="center"/>
            </w:pPr>
            <w:r>
              <w:rPr>
                <w:rFonts w:hint="eastAsia"/>
              </w:rPr>
              <w:t>男</w:t>
            </w:r>
          </w:p>
        </w:tc>
        <w:tc>
          <w:tcPr>
            <w:tcW w:w="582" w:type="pct"/>
            <w:vAlign w:val="center"/>
          </w:tcPr>
          <w:p w14:paraId="3FEAE286">
            <w:pPr>
              <w:pStyle w:val="12"/>
              <w:jc w:val="center"/>
            </w:pPr>
            <w:r>
              <w:rPr>
                <w:rFonts w:hint="eastAsia"/>
              </w:rPr>
              <w:t>1911年</w:t>
            </w:r>
          </w:p>
        </w:tc>
        <w:tc>
          <w:tcPr>
            <w:tcW w:w="582" w:type="pct"/>
            <w:vAlign w:val="center"/>
          </w:tcPr>
          <w:p w14:paraId="653EFA8F">
            <w:pPr>
              <w:pStyle w:val="12"/>
              <w:jc w:val="center"/>
            </w:pPr>
            <w:r>
              <w:rPr>
                <w:rFonts w:hint="eastAsia"/>
              </w:rPr>
              <w:t>油山镇</w:t>
            </w:r>
          </w:p>
        </w:tc>
        <w:tc>
          <w:tcPr>
            <w:tcW w:w="582" w:type="pct"/>
            <w:vAlign w:val="center"/>
          </w:tcPr>
          <w:p w14:paraId="31F2BB84">
            <w:pPr>
              <w:pStyle w:val="12"/>
              <w:jc w:val="center"/>
            </w:pPr>
            <w:r>
              <w:rPr>
                <w:rFonts w:hint="eastAsia"/>
              </w:rPr>
              <w:t>1928年</w:t>
            </w:r>
          </w:p>
        </w:tc>
        <w:tc>
          <w:tcPr>
            <w:tcW w:w="1066" w:type="pct"/>
            <w:vAlign w:val="center"/>
          </w:tcPr>
          <w:p w14:paraId="265BE914">
            <w:pPr>
              <w:pStyle w:val="12"/>
              <w:jc w:val="left"/>
              <w:rPr>
                <w:rFonts w:ascii="宋体" w:hAnsi="宋体" w:cs="宋体"/>
              </w:rPr>
            </w:pPr>
            <w:r>
              <w:rPr>
                <w:rFonts w:hint="eastAsia"/>
              </w:rPr>
              <w:t>油山游击队</w:t>
            </w:r>
          </w:p>
          <w:p w14:paraId="709D3FBA">
            <w:pPr>
              <w:pStyle w:val="12"/>
              <w:jc w:val="left"/>
            </w:pPr>
            <w:r>
              <w:rPr>
                <w:rFonts w:hint="eastAsia" w:ascii="宋体" w:hAnsi="宋体" w:cs="宋体"/>
              </w:rPr>
              <w:t>分  队  长</w:t>
            </w:r>
          </w:p>
        </w:tc>
        <w:tc>
          <w:tcPr>
            <w:tcW w:w="1162" w:type="pct"/>
            <w:vAlign w:val="center"/>
          </w:tcPr>
          <w:p w14:paraId="351B4E73">
            <w:pPr>
              <w:pStyle w:val="12"/>
              <w:jc w:val="left"/>
            </w:pPr>
            <w:r>
              <w:rPr>
                <w:rFonts w:hint="eastAsia"/>
              </w:rPr>
              <w:t>1929年在龙头莲山作战牺牲</w:t>
            </w:r>
          </w:p>
        </w:tc>
      </w:tr>
      <w:tr w14:paraId="74D35E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BCE74DE">
            <w:pPr>
              <w:pStyle w:val="12"/>
              <w:jc w:val="center"/>
            </w:pPr>
            <w:r>
              <w:rPr>
                <w:rFonts w:hint="eastAsia"/>
              </w:rPr>
              <w:t>彭奀古</w:t>
            </w:r>
          </w:p>
        </w:tc>
        <w:tc>
          <w:tcPr>
            <w:tcW w:w="388" w:type="pct"/>
            <w:vAlign w:val="center"/>
          </w:tcPr>
          <w:p w14:paraId="07D24375">
            <w:pPr>
              <w:pStyle w:val="12"/>
              <w:jc w:val="center"/>
            </w:pPr>
            <w:r>
              <w:rPr>
                <w:rFonts w:hint="eastAsia"/>
              </w:rPr>
              <w:t>男</w:t>
            </w:r>
          </w:p>
        </w:tc>
        <w:tc>
          <w:tcPr>
            <w:tcW w:w="582" w:type="pct"/>
            <w:vAlign w:val="center"/>
          </w:tcPr>
          <w:p w14:paraId="36B59E40">
            <w:pPr>
              <w:pStyle w:val="12"/>
              <w:jc w:val="center"/>
            </w:pPr>
            <w:r>
              <w:rPr>
                <w:rFonts w:hint="eastAsia"/>
              </w:rPr>
              <w:t>1899年</w:t>
            </w:r>
          </w:p>
        </w:tc>
        <w:tc>
          <w:tcPr>
            <w:tcW w:w="582" w:type="pct"/>
            <w:vAlign w:val="center"/>
          </w:tcPr>
          <w:p w14:paraId="2FA3B492">
            <w:pPr>
              <w:pStyle w:val="12"/>
              <w:jc w:val="center"/>
            </w:pPr>
            <w:r>
              <w:rPr>
                <w:rFonts w:hint="eastAsia"/>
              </w:rPr>
              <w:t>油山镇</w:t>
            </w:r>
          </w:p>
        </w:tc>
        <w:tc>
          <w:tcPr>
            <w:tcW w:w="582" w:type="pct"/>
            <w:vAlign w:val="center"/>
          </w:tcPr>
          <w:p w14:paraId="1A892EB3">
            <w:pPr>
              <w:pStyle w:val="12"/>
              <w:jc w:val="center"/>
            </w:pPr>
            <w:r>
              <w:rPr>
                <w:rFonts w:hint="eastAsia"/>
              </w:rPr>
              <w:t>1929年</w:t>
            </w:r>
          </w:p>
        </w:tc>
        <w:tc>
          <w:tcPr>
            <w:tcW w:w="1066" w:type="pct"/>
            <w:vAlign w:val="center"/>
          </w:tcPr>
          <w:p w14:paraId="1020E2DA">
            <w:pPr>
              <w:pStyle w:val="12"/>
              <w:jc w:val="left"/>
            </w:pPr>
            <w:r>
              <w:rPr>
                <w:rFonts w:hint="eastAsia"/>
              </w:rPr>
              <w:t>工农红军战士</w:t>
            </w:r>
          </w:p>
        </w:tc>
        <w:tc>
          <w:tcPr>
            <w:tcW w:w="1162" w:type="pct"/>
            <w:vAlign w:val="center"/>
          </w:tcPr>
          <w:p w14:paraId="19C0929B">
            <w:pPr>
              <w:pStyle w:val="12"/>
              <w:jc w:val="left"/>
            </w:pPr>
            <w:r>
              <w:rPr>
                <w:rFonts w:hint="eastAsia"/>
              </w:rPr>
              <w:t>1929年在江西信丰县作战牺牲</w:t>
            </w:r>
          </w:p>
        </w:tc>
      </w:tr>
      <w:tr w14:paraId="2B3F46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5E5D6D6">
            <w:pPr>
              <w:pStyle w:val="12"/>
              <w:jc w:val="center"/>
            </w:pPr>
            <w:r>
              <w:rPr>
                <w:rFonts w:hint="eastAsia"/>
              </w:rPr>
              <w:t>李相照</w:t>
            </w:r>
          </w:p>
        </w:tc>
        <w:tc>
          <w:tcPr>
            <w:tcW w:w="388" w:type="pct"/>
            <w:vAlign w:val="center"/>
          </w:tcPr>
          <w:p w14:paraId="1B43491F">
            <w:pPr>
              <w:pStyle w:val="12"/>
              <w:jc w:val="center"/>
            </w:pPr>
            <w:r>
              <w:rPr>
                <w:rFonts w:hint="eastAsia"/>
              </w:rPr>
              <w:t>男</w:t>
            </w:r>
          </w:p>
        </w:tc>
        <w:tc>
          <w:tcPr>
            <w:tcW w:w="582" w:type="pct"/>
            <w:vAlign w:val="center"/>
          </w:tcPr>
          <w:p w14:paraId="320C00F3">
            <w:pPr>
              <w:pStyle w:val="12"/>
              <w:jc w:val="center"/>
            </w:pPr>
            <w:r>
              <w:rPr>
                <w:rFonts w:hint="eastAsia"/>
              </w:rPr>
              <w:t>1897年</w:t>
            </w:r>
          </w:p>
        </w:tc>
        <w:tc>
          <w:tcPr>
            <w:tcW w:w="582" w:type="pct"/>
            <w:vAlign w:val="center"/>
          </w:tcPr>
          <w:p w14:paraId="7743268D">
            <w:pPr>
              <w:pStyle w:val="12"/>
              <w:jc w:val="center"/>
            </w:pPr>
            <w:r>
              <w:rPr>
                <w:rFonts w:hint="eastAsia"/>
              </w:rPr>
              <w:t>油山镇</w:t>
            </w:r>
          </w:p>
        </w:tc>
        <w:tc>
          <w:tcPr>
            <w:tcW w:w="582" w:type="pct"/>
            <w:vAlign w:val="center"/>
          </w:tcPr>
          <w:p w14:paraId="07E23228">
            <w:pPr>
              <w:pStyle w:val="12"/>
              <w:jc w:val="center"/>
            </w:pPr>
            <w:r>
              <w:rPr>
                <w:rFonts w:hint="eastAsia"/>
              </w:rPr>
              <w:t>1927年</w:t>
            </w:r>
          </w:p>
        </w:tc>
        <w:tc>
          <w:tcPr>
            <w:tcW w:w="1066" w:type="pct"/>
            <w:vAlign w:val="center"/>
          </w:tcPr>
          <w:p w14:paraId="2E0B84EC">
            <w:pPr>
              <w:pStyle w:val="12"/>
              <w:jc w:val="left"/>
            </w:pPr>
            <w:r>
              <w:rPr>
                <w:rFonts w:hint="eastAsia"/>
              </w:rPr>
              <w:t>油山游击队队员</w:t>
            </w:r>
          </w:p>
        </w:tc>
        <w:tc>
          <w:tcPr>
            <w:tcW w:w="1162" w:type="pct"/>
            <w:vAlign w:val="center"/>
          </w:tcPr>
          <w:p w14:paraId="4D1C2452">
            <w:pPr>
              <w:pStyle w:val="12"/>
              <w:jc w:val="left"/>
            </w:pPr>
            <w:r>
              <w:rPr>
                <w:rFonts w:hint="eastAsia"/>
              </w:rPr>
              <w:t>1929年3月在下坪地被捕，在乌迳就义</w:t>
            </w:r>
          </w:p>
        </w:tc>
      </w:tr>
      <w:tr w14:paraId="2BD31C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2834E69">
            <w:pPr>
              <w:pStyle w:val="12"/>
              <w:jc w:val="center"/>
            </w:pPr>
            <w:r>
              <w:rPr>
                <w:rFonts w:hint="eastAsia"/>
              </w:rPr>
              <w:t>彭运生古</w:t>
            </w:r>
          </w:p>
        </w:tc>
        <w:tc>
          <w:tcPr>
            <w:tcW w:w="388" w:type="pct"/>
            <w:vAlign w:val="center"/>
          </w:tcPr>
          <w:p w14:paraId="7E021BCD">
            <w:pPr>
              <w:pStyle w:val="12"/>
              <w:jc w:val="center"/>
            </w:pPr>
            <w:r>
              <w:rPr>
                <w:rFonts w:hint="eastAsia"/>
              </w:rPr>
              <w:t>男</w:t>
            </w:r>
          </w:p>
        </w:tc>
        <w:tc>
          <w:tcPr>
            <w:tcW w:w="582" w:type="pct"/>
            <w:vAlign w:val="center"/>
          </w:tcPr>
          <w:p w14:paraId="0761730E">
            <w:pPr>
              <w:pStyle w:val="12"/>
              <w:jc w:val="center"/>
            </w:pPr>
            <w:r>
              <w:rPr>
                <w:rFonts w:hint="eastAsia"/>
              </w:rPr>
              <w:t>1892年</w:t>
            </w:r>
          </w:p>
        </w:tc>
        <w:tc>
          <w:tcPr>
            <w:tcW w:w="582" w:type="pct"/>
            <w:vAlign w:val="center"/>
          </w:tcPr>
          <w:p w14:paraId="2230F1E0">
            <w:pPr>
              <w:pStyle w:val="12"/>
              <w:jc w:val="center"/>
            </w:pPr>
            <w:r>
              <w:rPr>
                <w:rFonts w:hint="eastAsia"/>
              </w:rPr>
              <w:t>油山镇</w:t>
            </w:r>
          </w:p>
        </w:tc>
        <w:tc>
          <w:tcPr>
            <w:tcW w:w="582" w:type="pct"/>
            <w:vAlign w:val="center"/>
          </w:tcPr>
          <w:p w14:paraId="78DD2A5D">
            <w:pPr>
              <w:pStyle w:val="12"/>
              <w:jc w:val="center"/>
            </w:pPr>
            <w:r>
              <w:rPr>
                <w:rFonts w:hint="eastAsia"/>
              </w:rPr>
              <w:t>1926年</w:t>
            </w:r>
          </w:p>
        </w:tc>
        <w:tc>
          <w:tcPr>
            <w:tcW w:w="1066" w:type="pct"/>
            <w:vAlign w:val="center"/>
          </w:tcPr>
          <w:p w14:paraId="45C14024">
            <w:pPr>
              <w:pStyle w:val="12"/>
              <w:jc w:val="left"/>
            </w:pPr>
            <w:r>
              <w:rPr>
                <w:rFonts w:hint="eastAsia"/>
              </w:rPr>
              <w:t>油山游击队队员</w:t>
            </w:r>
          </w:p>
        </w:tc>
        <w:tc>
          <w:tcPr>
            <w:tcW w:w="1162" w:type="pct"/>
            <w:vAlign w:val="center"/>
          </w:tcPr>
          <w:p w14:paraId="4D929DB1">
            <w:pPr>
              <w:pStyle w:val="12"/>
              <w:jc w:val="left"/>
            </w:pPr>
            <w:r>
              <w:rPr>
                <w:rFonts w:hint="eastAsia"/>
              </w:rPr>
              <w:t>1929年在江西大余县玉坑被捕，在乌迳就义</w:t>
            </w:r>
          </w:p>
        </w:tc>
      </w:tr>
      <w:tr w14:paraId="4DFA3E1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8F3131A">
            <w:pPr>
              <w:pStyle w:val="12"/>
              <w:jc w:val="center"/>
            </w:pPr>
            <w:r>
              <w:rPr>
                <w:rFonts w:hint="eastAsia"/>
              </w:rPr>
              <w:t>欧阳炳寿</w:t>
            </w:r>
          </w:p>
        </w:tc>
        <w:tc>
          <w:tcPr>
            <w:tcW w:w="388" w:type="pct"/>
            <w:vAlign w:val="center"/>
          </w:tcPr>
          <w:p w14:paraId="4BF713E0">
            <w:pPr>
              <w:pStyle w:val="12"/>
              <w:jc w:val="center"/>
            </w:pPr>
            <w:r>
              <w:rPr>
                <w:rFonts w:hint="eastAsia"/>
              </w:rPr>
              <w:t>男</w:t>
            </w:r>
          </w:p>
        </w:tc>
        <w:tc>
          <w:tcPr>
            <w:tcW w:w="582" w:type="pct"/>
            <w:vAlign w:val="center"/>
          </w:tcPr>
          <w:p w14:paraId="7D530BD6">
            <w:pPr>
              <w:pStyle w:val="12"/>
              <w:jc w:val="center"/>
            </w:pPr>
            <w:r>
              <w:rPr>
                <w:rFonts w:hint="eastAsia"/>
              </w:rPr>
              <w:t>1907年</w:t>
            </w:r>
          </w:p>
        </w:tc>
        <w:tc>
          <w:tcPr>
            <w:tcW w:w="582" w:type="pct"/>
            <w:vAlign w:val="center"/>
          </w:tcPr>
          <w:p w14:paraId="02E4272F">
            <w:pPr>
              <w:pStyle w:val="12"/>
              <w:jc w:val="center"/>
            </w:pPr>
            <w:r>
              <w:rPr>
                <w:rFonts w:hint="eastAsia"/>
              </w:rPr>
              <w:t>水口镇</w:t>
            </w:r>
          </w:p>
        </w:tc>
        <w:tc>
          <w:tcPr>
            <w:tcW w:w="582" w:type="pct"/>
            <w:vAlign w:val="center"/>
          </w:tcPr>
          <w:p w14:paraId="59E6C5DE">
            <w:pPr>
              <w:pStyle w:val="12"/>
              <w:jc w:val="center"/>
            </w:pPr>
            <w:r>
              <w:rPr>
                <w:rFonts w:hint="eastAsia"/>
              </w:rPr>
              <w:t>1929年</w:t>
            </w:r>
          </w:p>
        </w:tc>
        <w:tc>
          <w:tcPr>
            <w:tcW w:w="1066" w:type="pct"/>
            <w:vAlign w:val="center"/>
          </w:tcPr>
          <w:p w14:paraId="22ED7467">
            <w:pPr>
              <w:pStyle w:val="12"/>
              <w:jc w:val="left"/>
            </w:pPr>
            <w:r>
              <w:rPr>
                <w:rFonts w:hint="eastAsia"/>
              </w:rPr>
              <w:t>红五军交通队员</w:t>
            </w:r>
          </w:p>
        </w:tc>
        <w:tc>
          <w:tcPr>
            <w:tcW w:w="1162" w:type="pct"/>
            <w:vAlign w:val="center"/>
          </w:tcPr>
          <w:p w14:paraId="72D74CA3">
            <w:pPr>
              <w:pStyle w:val="12"/>
              <w:jc w:val="left"/>
            </w:pPr>
            <w:r>
              <w:rPr>
                <w:rFonts w:hint="eastAsia"/>
              </w:rPr>
              <w:t>1929年在江西就义</w:t>
            </w:r>
          </w:p>
        </w:tc>
      </w:tr>
      <w:tr w14:paraId="334BB3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9D55033">
            <w:pPr>
              <w:pStyle w:val="12"/>
              <w:jc w:val="center"/>
            </w:pPr>
            <w:r>
              <w:rPr>
                <w:rFonts w:hint="eastAsia"/>
              </w:rPr>
              <w:t>谢观音生</w:t>
            </w:r>
          </w:p>
        </w:tc>
        <w:tc>
          <w:tcPr>
            <w:tcW w:w="388" w:type="pct"/>
            <w:vAlign w:val="center"/>
          </w:tcPr>
          <w:p w14:paraId="63605548">
            <w:pPr>
              <w:pStyle w:val="12"/>
              <w:jc w:val="center"/>
            </w:pPr>
            <w:r>
              <w:rPr>
                <w:rFonts w:hint="eastAsia"/>
              </w:rPr>
              <w:t>男</w:t>
            </w:r>
          </w:p>
        </w:tc>
        <w:tc>
          <w:tcPr>
            <w:tcW w:w="582" w:type="pct"/>
            <w:vAlign w:val="center"/>
          </w:tcPr>
          <w:p w14:paraId="199026B7">
            <w:pPr>
              <w:pStyle w:val="12"/>
              <w:jc w:val="center"/>
            </w:pPr>
            <w:r>
              <w:rPr>
                <w:rFonts w:hint="eastAsia"/>
              </w:rPr>
              <w:t>—</w:t>
            </w:r>
          </w:p>
        </w:tc>
        <w:tc>
          <w:tcPr>
            <w:tcW w:w="582" w:type="pct"/>
            <w:vAlign w:val="center"/>
          </w:tcPr>
          <w:p w14:paraId="3A2D4A4D">
            <w:pPr>
              <w:pStyle w:val="12"/>
              <w:jc w:val="center"/>
            </w:pPr>
            <w:r>
              <w:rPr>
                <w:rFonts w:hint="eastAsia"/>
              </w:rPr>
              <w:t>油山镇</w:t>
            </w:r>
          </w:p>
        </w:tc>
        <w:tc>
          <w:tcPr>
            <w:tcW w:w="582" w:type="pct"/>
            <w:vAlign w:val="center"/>
          </w:tcPr>
          <w:p w14:paraId="1BC7AD96">
            <w:pPr>
              <w:pStyle w:val="12"/>
              <w:jc w:val="center"/>
            </w:pPr>
            <w:r>
              <w:rPr>
                <w:rFonts w:hint="eastAsia"/>
              </w:rPr>
              <w:t>1929年</w:t>
            </w:r>
          </w:p>
        </w:tc>
        <w:tc>
          <w:tcPr>
            <w:tcW w:w="1066" w:type="pct"/>
            <w:vAlign w:val="center"/>
          </w:tcPr>
          <w:p w14:paraId="5009D4BC">
            <w:pPr>
              <w:pStyle w:val="12"/>
              <w:jc w:val="left"/>
            </w:pPr>
            <w:r>
              <w:rPr>
                <w:rFonts w:hint="eastAsia"/>
              </w:rPr>
              <w:t>农会会员</w:t>
            </w:r>
          </w:p>
        </w:tc>
        <w:tc>
          <w:tcPr>
            <w:tcW w:w="1162" w:type="pct"/>
            <w:vAlign w:val="center"/>
          </w:tcPr>
          <w:p w14:paraId="65A0E61C">
            <w:pPr>
              <w:pStyle w:val="12"/>
              <w:jc w:val="left"/>
            </w:pPr>
            <w:r>
              <w:rPr>
                <w:rFonts w:hint="eastAsia"/>
              </w:rPr>
              <w:t>1929年在灵潭牺牲</w:t>
            </w:r>
          </w:p>
        </w:tc>
      </w:tr>
      <w:tr w14:paraId="4A51DF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19C838A">
            <w:pPr>
              <w:pStyle w:val="12"/>
              <w:jc w:val="center"/>
            </w:pPr>
            <w:r>
              <w:rPr>
                <w:rFonts w:hint="eastAsia"/>
              </w:rPr>
              <w:t>徐步庭</w:t>
            </w:r>
          </w:p>
        </w:tc>
        <w:tc>
          <w:tcPr>
            <w:tcW w:w="388" w:type="pct"/>
            <w:vAlign w:val="center"/>
          </w:tcPr>
          <w:p w14:paraId="79E3AA46">
            <w:pPr>
              <w:pStyle w:val="12"/>
              <w:jc w:val="center"/>
            </w:pPr>
            <w:r>
              <w:rPr>
                <w:rFonts w:hint="eastAsia"/>
              </w:rPr>
              <w:t>男</w:t>
            </w:r>
          </w:p>
        </w:tc>
        <w:tc>
          <w:tcPr>
            <w:tcW w:w="582" w:type="pct"/>
            <w:vAlign w:val="center"/>
          </w:tcPr>
          <w:p w14:paraId="03475A1C">
            <w:pPr>
              <w:pStyle w:val="12"/>
              <w:jc w:val="center"/>
            </w:pPr>
            <w:r>
              <w:rPr>
                <w:rFonts w:hint="eastAsia"/>
              </w:rPr>
              <w:t>1881年</w:t>
            </w:r>
          </w:p>
        </w:tc>
        <w:tc>
          <w:tcPr>
            <w:tcW w:w="582" w:type="pct"/>
            <w:vAlign w:val="center"/>
          </w:tcPr>
          <w:p w14:paraId="74D95D77">
            <w:pPr>
              <w:pStyle w:val="12"/>
              <w:jc w:val="center"/>
            </w:pPr>
            <w:r>
              <w:rPr>
                <w:rFonts w:hint="eastAsia"/>
              </w:rPr>
              <w:t>油山镇</w:t>
            </w:r>
          </w:p>
        </w:tc>
        <w:tc>
          <w:tcPr>
            <w:tcW w:w="582" w:type="pct"/>
            <w:vAlign w:val="center"/>
          </w:tcPr>
          <w:p w14:paraId="7735E01B">
            <w:pPr>
              <w:pStyle w:val="12"/>
              <w:jc w:val="center"/>
            </w:pPr>
            <w:r>
              <w:rPr>
                <w:rFonts w:hint="eastAsia"/>
              </w:rPr>
              <w:t>1925年</w:t>
            </w:r>
          </w:p>
        </w:tc>
        <w:tc>
          <w:tcPr>
            <w:tcW w:w="1066" w:type="pct"/>
            <w:vAlign w:val="center"/>
          </w:tcPr>
          <w:p w14:paraId="3C280E9C">
            <w:pPr>
              <w:pStyle w:val="12"/>
              <w:jc w:val="left"/>
              <w:rPr>
                <w:rFonts w:ascii="宋体" w:hAnsi="宋体" w:cs="宋体"/>
              </w:rPr>
            </w:pPr>
            <w:r>
              <w:rPr>
                <w:rFonts w:hint="eastAsia"/>
              </w:rPr>
              <w:t>朔溪乡苏维埃</w:t>
            </w:r>
          </w:p>
          <w:p w14:paraId="2FA37390">
            <w:pPr>
              <w:pStyle w:val="12"/>
              <w:jc w:val="left"/>
            </w:pPr>
            <w:r>
              <w:rPr>
                <w:rFonts w:hint="eastAsia" w:ascii="宋体" w:hAnsi="宋体" w:cs="宋体"/>
              </w:rPr>
              <w:t>政府秘书</w:t>
            </w:r>
          </w:p>
        </w:tc>
        <w:tc>
          <w:tcPr>
            <w:tcW w:w="1162" w:type="pct"/>
            <w:vAlign w:val="center"/>
          </w:tcPr>
          <w:p w14:paraId="16BE210F">
            <w:pPr>
              <w:pStyle w:val="12"/>
              <w:jc w:val="left"/>
            </w:pPr>
            <w:r>
              <w:rPr>
                <w:rFonts w:hint="eastAsia"/>
              </w:rPr>
              <w:t>1929年在江西大余县滚水井就义</w:t>
            </w:r>
          </w:p>
        </w:tc>
      </w:tr>
      <w:tr w14:paraId="4E9886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E1AB771">
            <w:pPr>
              <w:pStyle w:val="12"/>
              <w:jc w:val="center"/>
            </w:pPr>
            <w:r>
              <w:rPr>
                <w:rFonts w:hint="eastAsia"/>
              </w:rPr>
              <w:t>彭贵生</w:t>
            </w:r>
          </w:p>
        </w:tc>
        <w:tc>
          <w:tcPr>
            <w:tcW w:w="388" w:type="pct"/>
            <w:vAlign w:val="center"/>
          </w:tcPr>
          <w:p w14:paraId="760C5A77">
            <w:pPr>
              <w:pStyle w:val="12"/>
              <w:jc w:val="center"/>
            </w:pPr>
            <w:r>
              <w:rPr>
                <w:rFonts w:hint="eastAsia"/>
              </w:rPr>
              <w:t>男</w:t>
            </w:r>
          </w:p>
        </w:tc>
        <w:tc>
          <w:tcPr>
            <w:tcW w:w="582" w:type="pct"/>
            <w:vAlign w:val="center"/>
          </w:tcPr>
          <w:p w14:paraId="273DDD0D">
            <w:pPr>
              <w:pStyle w:val="12"/>
              <w:jc w:val="center"/>
            </w:pPr>
            <w:r>
              <w:rPr>
                <w:rFonts w:hint="eastAsia"/>
              </w:rPr>
              <w:t>1903年</w:t>
            </w:r>
          </w:p>
        </w:tc>
        <w:tc>
          <w:tcPr>
            <w:tcW w:w="582" w:type="pct"/>
            <w:vAlign w:val="center"/>
          </w:tcPr>
          <w:p w14:paraId="4232477C">
            <w:pPr>
              <w:pStyle w:val="12"/>
              <w:jc w:val="center"/>
            </w:pPr>
            <w:r>
              <w:rPr>
                <w:rFonts w:hint="eastAsia"/>
              </w:rPr>
              <w:t>油山镇</w:t>
            </w:r>
          </w:p>
        </w:tc>
        <w:tc>
          <w:tcPr>
            <w:tcW w:w="582" w:type="pct"/>
            <w:vAlign w:val="center"/>
          </w:tcPr>
          <w:p w14:paraId="504B296D">
            <w:pPr>
              <w:pStyle w:val="12"/>
              <w:jc w:val="center"/>
            </w:pPr>
            <w:r>
              <w:rPr>
                <w:rFonts w:hint="eastAsia"/>
              </w:rPr>
              <w:t>1928年</w:t>
            </w:r>
          </w:p>
        </w:tc>
        <w:tc>
          <w:tcPr>
            <w:tcW w:w="1066" w:type="pct"/>
            <w:vAlign w:val="center"/>
          </w:tcPr>
          <w:p w14:paraId="448C4FCF">
            <w:pPr>
              <w:pStyle w:val="12"/>
              <w:jc w:val="left"/>
            </w:pPr>
            <w:r>
              <w:rPr>
                <w:rFonts w:hint="eastAsia"/>
              </w:rPr>
              <w:t>赤卫队员</w:t>
            </w:r>
          </w:p>
        </w:tc>
        <w:tc>
          <w:tcPr>
            <w:tcW w:w="1162" w:type="pct"/>
            <w:vAlign w:val="center"/>
          </w:tcPr>
          <w:p w14:paraId="314836DD">
            <w:pPr>
              <w:pStyle w:val="12"/>
              <w:jc w:val="left"/>
            </w:pPr>
            <w:r>
              <w:rPr>
                <w:rFonts w:hint="eastAsia"/>
              </w:rPr>
              <w:t>1929年牺牲</w:t>
            </w:r>
          </w:p>
        </w:tc>
      </w:tr>
      <w:tr w14:paraId="29C3C9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0B3FD3F">
            <w:pPr>
              <w:pStyle w:val="12"/>
              <w:jc w:val="center"/>
            </w:pPr>
            <w:r>
              <w:rPr>
                <w:rFonts w:hint="eastAsia"/>
              </w:rPr>
              <w:t>彭云生</w:t>
            </w:r>
          </w:p>
        </w:tc>
        <w:tc>
          <w:tcPr>
            <w:tcW w:w="388" w:type="pct"/>
            <w:vAlign w:val="center"/>
          </w:tcPr>
          <w:p w14:paraId="3CED7224">
            <w:pPr>
              <w:pStyle w:val="12"/>
              <w:jc w:val="center"/>
            </w:pPr>
            <w:r>
              <w:rPr>
                <w:rFonts w:hint="eastAsia"/>
              </w:rPr>
              <w:t>男</w:t>
            </w:r>
          </w:p>
        </w:tc>
        <w:tc>
          <w:tcPr>
            <w:tcW w:w="582" w:type="pct"/>
            <w:vAlign w:val="center"/>
          </w:tcPr>
          <w:p w14:paraId="35FE89DB">
            <w:pPr>
              <w:pStyle w:val="12"/>
              <w:jc w:val="center"/>
            </w:pPr>
            <w:r>
              <w:rPr>
                <w:rFonts w:hint="eastAsia"/>
              </w:rPr>
              <w:t>1897年</w:t>
            </w:r>
          </w:p>
        </w:tc>
        <w:tc>
          <w:tcPr>
            <w:tcW w:w="582" w:type="pct"/>
            <w:vAlign w:val="center"/>
          </w:tcPr>
          <w:p w14:paraId="3EAF0239">
            <w:pPr>
              <w:pStyle w:val="12"/>
              <w:jc w:val="center"/>
            </w:pPr>
            <w:r>
              <w:rPr>
                <w:rFonts w:hint="eastAsia"/>
              </w:rPr>
              <w:t>油山镇</w:t>
            </w:r>
          </w:p>
        </w:tc>
        <w:tc>
          <w:tcPr>
            <w:tcW w:w="582" w:type="pct"/>
            <w:vAlign w:val="center"/>
          </w:tcPr>
          <w:p w14:paraId="69051EF5">
            <w:pPr>
              <w:pStyle w:val="12"/>
              <w:jc w:val="center"/>
            </w:pPr>
            <w:r>
              <w:rPr>
                <w:rFonts w:hint="eastAsia"/>
              </w:rPr>
              <w:t>1925年</w:t>
            </w:r>
          </w:p>
        </w:tc>
        <w:tc>
          <w:tcPr>
            <w:tcW w:w="1066" w:type="pct"/>
            <w:vAlign w:val="center"/>
          </w:tcPr>
          <w:p w14:paraId="1EC5FBEF">
            <w:pPr>
              <w:pStyle w:val="12"/>
              <w:jc w:val="left"/>
            </w:pPr>
            <w:r>
              <w:rPr>
                <w:rFonts w:hint="eastAsia"/>
              </w:rPr>
              <w:t>赤卫队员</w:t>
            </w:r>
          </w:p>
        </w:tc>
        <w:tc>
          <w:tcPr>
            <w:tcW w:w="1162" w:type="pct"/>
            <w:vAlign w:val="center"/>
          </w:tcPr>
          <w:p w14:paraId="54063E25">
            <w:pPr>
              <w:pStyle w:val="12"/>
              <w:jc w:val="left"/>
            </w:pPr>
            <w:r>
              <w:rPr>
                <w:rFonts w:hint="eastAsia"/>
              </w:rPr>
              <w:t>1929年在上朔被捕，在大塘就义</w:t>
            </w:r>
          </w:p>
        </w:tc>
      </w:tr>
      <w:tr w14:paraId="3D43271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EB03F24">
            <w:pPr>
              <w:pStyle w:val="12"/>
              <w:jc w:val="center"/>
            </w:pPr>
            <w:r>
              <w:rPr>
                <w:rFonts w:hint="eastAsia"/>
              </w:rPr>
              <w:t>卢文标</w:t>
            </w:r>
          </w:p>
        </w:tc>
        <w:tc>
          <w:tcPr>
            <w:tcW w:w="388" w:type="pct"/>
            <w:vAlign w:val="center"/>
          </w:tcPr>
          <w:p w14:paraId="62425F41">
            <w:pPr>
              <w:pStyle w:val="12"/>
              <w:jc w:val="center"/>
            </w:pPr>
            <w:r>
              <w:rPr>
                <w:rFonts w:hint="eastAsia"/>
              </w:rPr>
              <w:t>男</w:t>
            </w:r>
          </w:p>
        </w:tc>
        <w:tc>
          <w:tcPr>
            <w:tcW w:w="582" w:type="pct"/>
            <w:vAlign w:val="center"/>
          </w:tcPr>
          <w:p w14:paraId="69F5E0C3">
            <w:pPr>
              <w:pStyle w:val="12"/>
              <w:jc w:val="center"/>
            </w:pPr>
            <w:r>
              <w:rPr>
                <w:rFonts w:hint="eastAsia"/>
              </w:rPr>
              <w:t>—</w:t>
            </w:r>
          </w:p>
        </w:tc>
        <w:tc>
          <w:tcPr>
            <w:tcW w:w="582" w:type="pct"/>
            <w:vAlign w:val="center"/>
          </w:tcPr>
          <w:p w14:paraId="767507A8">
            <w:pPr>
              <w:pStyle w:val="12"/>
              <w:jc w:val="center"/>
            </w:pPr>
            <w:r>
              <w:rPr>
                <w:rFonts w:hint="eastAsia"/>
              </w:rPr>
              <w:t>湖口镇</w:t>
            </w:r>
          </w:p>
        </w:tc>
        <w:tc>
          <w:tcPr>
            <w:tcW w:w="582" w:type="pct"/>
            <w:vAlign w:val="center"/>
          </w:tcPr>
          <w:p w14:paraId="16B22C7E">
            <w:pPr>
              <w:pStyle w:val="12"/>
              <w:jc w:val="center"/>
            </w:pPr>
            <w:r>
              <w:rPr>
                <w:rFonts w:hint="eastAsia"/>
              </w:rPr>
              <w:t>1928年</w:t>
            </w:r>
          </w:p>
        </w:tc>
        <w:tc>
          <w:tcPr>
            <w:tcW w:w="1066" w:type="pct"/>
            <w:vAlign w:val="center"/>
          </w:tcPr>
          <w:p w14:paraId="55A4FEE7">
            <w:pPr>
              <w:pStyle w:val="12"/>
              <w:jc w:val="left"/>
            </w:pPr>
            <w:r>
              <w:rPr>
                <w:rFonts w:hint="eastAsia"/>
              </w:rPr>
              <w:t>赤卫队员</w:t>
            </w:r>
          </w:p>
        </w:tc>
        <w:tc>
          <w:tcPr>
            <w:tcW w:w="1162" w:type="pct"/>
            <w:vAlign w:val="center"/>
          </w:tcPr>
          <w:p w14:paraId="5A2A4503">
            <w:pPr>
              <w:pStyle w:val="12"/>
              <w:jc w:val="left"/>
            </w:pPr>
            <w:r>
              <w:rPr>
                <w:rFonts w:hint="eastAsia"/>
              </w:rPr>
              <w:t>1929年8月被捕，在湖口就义</w:t>
            </w:r>
          </w:p>
        </w:tc>
      </w:tr>
      <w:tr w14:paraId="11335F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8265DDF">
            <w:pPr>
              <w:pStyle w:val="12"/>
              <w:jc w:val="center"/>
            </w:pPr>
            <w:r>
              <w:rPr>
                <w:rFonts w:hint="eastAsia"/>
              </w:rPr>
              <w:t>张发盛</w:t>
            </w:r>
          </w:p>
        </w:tc>
        <w:tc>
          <w:tcPr>
            <w:tcW w:w="388" w:type="pct"/>
            <w:vAlign w:val="center"/>
          </w:tcPr>
          <w:p w14:paraId="4DF00268">
            <w:pPr>
              <w:pStyle w:val="12"/>
              <w:jc w:val="center"/>
            </w:pPr>
            <w:r>
              <w:rPr>
                <w:rFonts w:hint="eastAsia"/>
              </w:rPr>
              <w:t>男</w:t>
            </w:r>
          </w:p>
        </w:tc>
        <w:tc>
          <w:tcPr>
            <w:tcW w:w="582" w:type="pct"/>
            <w:vAlign w:val="center"/>
          </w:tcPr>
          <w:p w14:paraId="5B1A2272">
            <w:pPr>
              <w:pStyle w:val="12"/>
              <w:jc w:val="center"/>
            </w:pPr>
            <w:r>
              <w:rPr>
                <w:rFonts w:hint="eastAsia"/>
              </w:rPr>
              <w:t>—</w:t>
            </w:r>
          </w:p>
        </w:tc>
        <w:tc>
          <w:tcPr>
            <w:tcW w:w="582" w:type="pct"/>
            <w:vAlign w:val="center"/>
          </w:tcPr>
          <w:p w14:paraId="2B4CBF70">
            <w:pPr>
              <w:pStyle w:val="12"/>
              <w:jc w:val="center"/>
            </w:pPr>
            <w:r>
              <w:rPr>
                <w:rFonts w:hint="eastAsia"/>
              </w:rPr>
              <w:t>湖口镇</w:t>
            </w:r>
          </w:p>
        </w:tc>
        <w:tc>
          <w:tcPr>
            <w:tcW w:w="582" w:type="pct"/>
            <w:vAlign w:val="center"/>
          </w:tcPr>
          <w:p w14:paraId="454EA92D">
            <w:pPr>
              <w:pStyle w:val="12"/>
              <w:jc w:val="center"/>
            </w:pPr>
            <w:r>
              <w:rPr>
                <w:rFonts w:hint="eastAsia"/>
              </w:rPr>
              <w:t>1928年</w:t>
            </w:r>
          </w:p>
        </w:tc>
        <w:tc>
          <w:tcPr>
            <w:tcW w:w="1066" w:type="pct"/>
            <w:vAlign w:val="center"/>
          </w:tcPr>
          <w:p w14:paraId="6C54FAFC">
            <w:pPr>
              <w:pStyle w:val="12"/>
              <w:jc w:val="left"/>
            </w:pPr>
            <w:r>
              <w:rPr>
                <w:rFonts w:hint="eastAsia"/>
              </w:rPr>
              <w:t>赤卫队员</w:t>
            </w:r>
          </w:p>
        </w:tc>
        <w:tc>
          <w:tcPr>
            <w:tcW w:w="1162" w:type="pct"/>
            <w:vAlign w:val="center"/>
          </w:tcPr>
          <w:p w14:paraId="1C338C3A">
            <w:pPr>
              <w:pStyle w:val="12"/>
              <w:jc w:val="left"/>
            </w:pPr>
            <w:r>
              <w:rPr>
                <w:rFonts w:hint="eastAsia"/>
              </w:rPr>
              <w:t>1929年7月19日在县城郊就义</w:t>
            </w:r>
          </w:p>
        </w:tc>
      </w:tr>
      <w:tr w14:paraId="3EDB92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C51A96C">
            <w:pPr>
              <w:pStyle w:val="12"/>
              <w:jc w:val="center"/>
            </w:pPr>
            <w:r>
              <w:rPr>
                <w:rFonts w:hint="eastAsia"/>
              </w:rPr>
              <w:t>张得盛</w:t>
            </w:r>
          </w:p>
        </w:tc>
        <w:tc>
          <w:tcPr>
            <w:tcW w:w="388" w:type="pct"/>
            <w:vAlign w:val="center"/>
          </w:tcPr>
          <w:p w14:paraId="0D5C227E">
            <w:pPr>
              <w:pStyle w:val="12"/>
              <w:jc w:val="center"/>
            </w:pPr>
            <w:r>
              <w:rPr>
                <w:rFonts w:hint="eastAsia"/>
              </w:rPr>
              <w:t>男</w:t>
            </w:r>
          </w:p>
        </w:tc>
        <w:tc>
          <w:tcPr>
            <w:tcW w:w="582" w:type="pct"/>
            <w:vAlign w:val="center"/>
          </w:tcPr>
          <w:p w14:paraId="6A00B9E3">
            <w:pPr>
              <w:pStyle w:val="12"/>
              <w:jc w:val="center"/>
            </w:pPr>
            <w:r>
              <w:rPr>
                <w:rFonts w:hint="eastAsia"/>
              </w:rPr>
              <w:t>—</w:t>
            </w:r>
          </w:p>
        </w:tc>
        <w:tc>
          <w:tcPr>
            <w:tcW w:w="582" w:type="pct"/>
            <w:vAlign w:val="center"/>
          </w:tcPr>
          <w:p w14:paraId="78AFFEC5">
            <w:pPr>
              <w:pStyle w:val="12"/>
              <w:jc w:val="center"/>
            </w:pPr>
            <w:r>
              <w:rPr>
                <w:rFonts w:hint="eastAsia"/>
              </w:rPr>
              <w:t>湖口镇</w:t>
            </w:r>
          </w:p>
        </w:tc>
        <w:tc>
          <w:tcPr>
            <w:tcW w:w="582" w:type="pct"/>
            <w:vAlign w:val="center"/>
          </w:tcPr>
          <w:p w14:paraId="0F2357A5">
            <w:pPr>
              <w:pStyle w:val="12"/>
              <w:jc w:val="center"/>
            </w:pPr>
            <w:r>
              <w:rPr>
                <w:rFonts w:hint="eastAsia"/>
              </w:rPr>
              <w:t>1928年</w:t>
            </w:r>
          </w:p>
        </w:tc>
        <w:tc>
          <w:tcPr>
            <w:tcW w:w="1066" w:type="pct"/>
            <w:vAlign w:val="center"/>
          </w:tcPr>
          <w:p w14:paraId="396D8339">
            <w:pPr>
              <w:pStyle w:val="12"/>
              <w:jc w:val="left"/>
            </w:pPr>
            <w:r>
              <w:rPr>
                <w:rFonts w:hint="eastAsia"/>
              </w:rPr>
              <w:t>赤卫队员</w:t>
            </w:r>
          </w:p>
        </w:tc>
        <w:tc>
          <w:tcPr>
            <w:tcW w:w="1162" w:type="pct"/>
            <w:vAlign w:val="center"/>
          </w:tcPr>
          <w:p w14:paraId="2D5224A4">
            <w:pPr>
              <w:pStyle w:val="12"/>
              <w:jc w:val="left"/>
            </w:pPr>
            <w:r>
              <w:rPr>
                <w:rFonts w:hint="eastAsia"/>
              </w:rPr>
              <w:t>1929年7月19日在县城郊就义</w:t>
            </w:r>
          </w:p>
        </w:tc>
      </w:tr>
      <w:tr w14:paraId="4D5D53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675DEA0">
            <w:pPr>
              <w:pStyle w:val="12"/>
              <w:jc w:val="center"/>
            </w:pPr>
            <w:r>
              <w:rPr>
                <w:rFonts w:hint="eastAsia"/>
              </w:rPr>
              <w:t>张衣德</w:t>
            </w:r>
          </w:p>
        </w:tc>
        <w:tc>
          <w:tcPr>
            <w:tcW w:w="388" w:type="pct"/>
            <w:vAlign w:val="center"/>
          </w:tcPr>
          <w:p w14:paraId="270B706E">
            <w:pPr>
              <w:pStyle w:val="12"/>
              <w:jc w:val="center"/>
            </w:pPr>
            <w:r>
              <w:rPr>
                <w:rFonts w:hint="eastAsia"/>
              </w:rPr>
              <w:t>男</w:t>
            </w:r>
          </w:p>
        </w:tc>
        <w:tc>
          <w:tcPr>
            <w:tcW w:w="582" w:type="pct"/>
            <w:vAlign w:val="center"/>
          </w:tcPr>
          <w:p w14:paraId="0D90A3D8">
            <w:pPr>
              <w:pStyle w:val="12"/>
              <w:jc w:val="center"/>
            </w:pPr>
            <w:r>
              <w:rPr>
                <w:rFonts w:hint="eastAsia"/>
              </w:rPr>
              <w:t>—</w:t>
            </w:r>
          </w:p>
        </w:tc>
        <w:tc>
          <w:tcPr>
            <w:tcW w:w="582" w:type="pct"/>
            <w:vAlign w:val="center"/>
          </w:tcPr>
          <w:p w14:paraId="59C6F7F4">
            <w:pPr>
              <w:pStyle w:val="12"/>
              <w:jc w:val="center"/>
            </w:pPr>
            <w:r>
              <w:rPr>
                <w:rFonts w:hint="eastAsia"/>
              </w:rPr>
              <w:t>湖口镇</w:t>
            </w:r>
          </w:p>
        </w:tc>
        <w:tc>
          <w:tcPr>
            <w:tcW w:w="582" w:type="pct"/>
            <w:vAlign w:val="center"/>
          </w:tcPr>
          <w:p w14:paraId="586ADAFA">
            <w:pPr>
              <w:pStyle w:val="12"/>
              <w:jc w:val="center"/>
            </w:pPr>
            <w:r>
              <w:rPr>
                <w:rFonts w:hint="eastAsia"/>
              </w:rPr>
              <w:t>1928年</w:t>
            </w:r>
          </w:p>
        </w:tc>
        <w:tc>
          <w:tcPr>
            <w:tcW w:w="1066" w:type="pct"/>
            <w:vAlign w:val="center"/>
          </w:tcPr>
          <w:p w14:paraId="1C18E97D">
            <w:pPr>
              <w:pStyle w:val="12"/>
              <w:jc w:val="left"/>
            </w:pPr>
            <w:r>
              <w:rPr>
                <w:rFonts w:hint="eastAsia"/>
              </w:rPr>
              <w:t>赤卫队员</w:t>
            </w:r>
          </w:p>
        </w:tc>
        <w:tc>
          <w:tcPr>
            <w:tcW w:w="1162" w:type="pct"/>
            <w:vAlign w:val="center"/>
          </w:tcPr>
          <w:p w14:paraId="3540DF8F">
            <w:pPr>
              <w:pStyle w:val="12"/>
              <w:jc w:val="left"/>
            </w:pPr>
            <w:r>
              <w:rPr>
                <w:rFonts w:hint="eastAsia"/>
              </w:rPr>
              <w:t>1929年7月19日在县城郊就义</w:t>
            </w:r>
          </w:p>
        </w:tc>
      </w:tr>
      <w:tr w14:paraId="75699C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730EDDC">
            <w:pPr>
              <w:pStyle w:val="12"/>
              <w:jc w:val="center"/>
            </w:pPr>
            <w:r>
              <w:rPr>
                <w:rFonts w:hint="eastAsia"/>
              </w:rPr>
              <w:t>彭成功</w:t>
            </w:r>
          </w:p>
        </w:tc>
        <w:tc>
          <w:tcPr>
            <w:tcW w:w="388" w:type="pct"/>
            <w:vAlign w:val="center"/>
          </w:tcPr>
          <w:p w14:paraId="2C3EFC34">
            <w:pPr>
              <w:pStyle w:val="12"/>
              <w:jc w:val="center"/>
            </w:pPr>
            <w:r>
              <w:rPr>
                <w:rFonts w:hint="eastAsia"/>
              </w:rPr>
              <w:t>男</w:t>
            </w:r>
          </w:p>
        </w:tc>
        <w:tc>
          <w:tcPr>
            <w:tcW w:w="582" w:type="pct"/>
            <w:vAlign w:val="center"/>
          </w:tcPr>
          <w:p w14:paraId="45108922">
            <w:pPr>
              <w:pStyle w:val="12"/>
              <w:jc w:val="center"/>
            </w:pPr>
            <w:r>
              <w:rPr>
                <w:rFonts w:hint="eastAsia"/>
              </w:rPr>
              <w:t>1902年</w:t>
            </w:r>
          </w:p>
        </w:tc>
        <w:tc>
          <w:tcPr>
            <w:tcW w:w="582" w:type="pct"/>
            <w:vAlign w:val="center"/>
          </w:tcPr>
          <w:p w14:paraId="674022E9">
            <w:pPr>
              <w:pStyle w:val="12"/>
              <w:jc w:val="center"/>
            </w:pPr>
            <w:r>
              <w:rPr>
                <w:rFonts w:hint="eastAsia"/>
              </w:rPr>
              <w:t>油山镇</w:t>
            </w:r>
          </w:p>
        </w:tc>
        <w:tc>
          <w:tcPr>
            <w:tcW w:w="582" w:type="pct"/>
            <w:vAlign w:val="center"/>
          </w:tcPr>
          <w:p w14:paraId="5A3E8E46">
            <w:pPr>
              <w:pStyle w:val="12"/>
              <w:jc w:val="center"/>
            </w:pPr>
            <w:r>
              <w:rPr>
                <w:rFonts w:hint="eastAsia"/>
              </w:rPr>
              <w:t>1929年</w:t>
            </w:r>
          </w:p>
        </w:tc>
        <w:tc>
          <w:tcPr>
            <w:tcW w:w="1066" w:type="pct"/>
            <w:vAlign w:val="center"/>
          </w:tcPr>
          <w:p w14:paraId="3595A3BF">
            <w:pPr>
              <w:pStyle w:val="12"/>
              <w:jc w:val="left"/>
            </w:pPr>
            <w:r>
              <w:rPr>
                <w:rFonts w:hint="eastAsia"/>
              </w:rPr>
              <w:t>油山游击队队员</w:t>
            </w:r>
          </w:p>
        </w:tc>
        <w:tc>
          <w:tcPr>
            <w:tcW w:w="1162" w:type="pct"/>
            <w:vAlign w:val="center"/>
          </w:tcPr>
          <w:p w14:paraId="54F58E24">
            <w:pPr>
              <w:pStyle w:val="12"/>
              <w:jc w:val="left"/>
            </w:pPr>
            <w:r>
              <w:rPr>
                <w:rFonts w:hint="eastAsia"/>
              </w:rPr>
              <w:t>1929年失踪</w:t>
            </w:r>
          </w:p>
        </w:tc>
      </w:tr>
      <w:tr w14:paraId="1AD602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D7D49D2">
            <w:pPr>
              <w:pStyle w:val="12"/>
              <w:jc w:val="center"/>
            </w:pPr>
            <w:r>
              <w:rPr>
                <w:rFonts w:hint="eastAsia"/>
              </w:rPr>
              <w:t>林全娣</w:t>
            </w:r>
          </w:p>
        </w:tc>
        <w:tc>
          <w:tcPr>
            <w:tcW w:w="388" w:type="pct"/>
            <w:vAlign w:val="center"/>
          </w:tcPr>
          <w:p w14:paraId="4E5E9004">
            <w:pPr>
              <w:pStyle w:val="12"/>
              <w:jc w:val="center"/>
            </w:pPr>
            <w:r>
              <w:rPr>
                <w:rFonts w:hint="eastAsia"/>
              </w:rPr>
              <w:t>男</w:t>
            </w:r>
          </w:p>
        </w:tc>
        <w:tc>
          <w:tcPr>
            <w:tcW w:w="582" w:type="pct"/>
            <w:vAlign w:val="center"/>
          </w:tcPr>
          <w:p w14:paraId="075FEAAD">
            <w:pPr>
              <w:pStyle w:val="12"/>
              <w:jc w:val="center"/>
            </w:pPr>
            <w:r>
              <w:rPr>
                <w:rFonts w:hint="eastAsia"/>
              </w:rPr>
              <w:t>1903年</w:t>
            </w:r>
          </w:p>
        </w:tc>
        <w:tc>
          <w:tcPr>
            <w:tcW w:w="582" w:type="pct"/>
            <w:vAlign w:val="center"/>
          </w:tcPr>
          <w:p w14:paraId="43353DE9">
            <w:pPr>
              <w:pStyle w:val="12"/>
              <w:jc w:val="center"/>
            </w:pPr>
            <w:r>
              <w:rPr>
                <w:rFonts w:hint="eastAsia"/>
              </w:rPr>
              <w:t>珠玑镇</w:t>
            </w:r>
          </w:p>
        </w:tc>
        <w:tc>
          <w:tcPr>
            <w:tcW w:w="582" w:type="pct"/>
            <w:vAlign w:val="center"/>
          </w:tcPr>
          <w:p w14:paraId="3EF05090">
            <w:pPr>
              <w:pStyle w:val="12"/>
              <w:jc w:val="center"/>
            </w:pPr>
            <w:r>
              <w:rPr>
                <w:rFonts w:hint="eastAsia"/>
              </w:rPr>
              <w:t>1929年</w:t>
            </w:r>
          </w:p>
        </w:tc>
        <w:tc>
          <w:tcPr>
            <w:tcW w:w="1066" w:type="pct"/>
            <w:vAlign w:val="center"/>
          </w:tcPr>
          <w:p w14:paraId="133029EC">
            <w:pPr>
              <w:pStyle w:val="12"/>
              <w:jc w:val="left"/>
            </w:pPr>
            <w:r>
              <w:rPr>
                <w:rFonts w:hint="eastAsia"/>
              </w:rPr>
              <w:t>油山游击队队员</w:t>
            </w:r>
          </w:p>
        </w:tc>
        <w:tc>
          <w:tcPr>
            <w:tcW w:w="1162" w:type="pct"/>
            <w:vAlign w:val="center"/>
          </w:tcPr>
          <w:p w14:paraId="6FA2D8F2">
            <w:pPr>
              <w:pStyle w:val="12"/>
              <w:jc w:val="left"/>
            </w:pPr>
            <w:r>
              <w:rPr>
                <w:rFonts w:hint="eastAsia"/>
              </w:rPr>
              <w:t>1929年8月在密下水谢地被捕，在县城就义</w:t>
            </w:r>
          </w:p>
        </w:tc>
      </w:tr>
      <w:tr w14:paraId="5B118D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2219CC4">
            <w:pPr>
              <w:pStyle w:val="12"/>
              <w:jc w:val="center"/>
            </w:pPr>
            <w:r>
              <w:rPr>
                <w:rFonts w:hint="eastAsia"/>
              </w:rPr>
              <w:t>李相睦</w:t>
            </w:r>
          </w:p>
        </w:tc>
        <w:tc>
          <w:tcPr>
            <w:tcW w:w="388" w:type="pct"/>
            <w:vAlign w:val="center"/>
          </w:tcPr>
          <w:p w14:paraId="3462A6B5">
            <w:pPr>
              <w:pStyle w:val="12"/>
              <w:jc w:val="center"/>
            </w:pPr>
            <w:r>
              <w:rPr>
                <w:rFonts w:hint="eastAsia"/>
              </w:rPr>
              <w:t>男</w:t>
            </w:r>
          </w:p>
        </w:tc>
        <w:tc>
          <w:tcPr>
            <w:tcW w:w="582" w:type="pct"/>
            <w:vAlign w:val="center"/>
          </w:tcPr>
          <w:p w14:paraId="31C26A87">
            <w:pPr>
              <w:pStyle w:val="12"/>
              <w:jc w:val="center"/>
            </w:pPr>
            <w:r>
              <w:rPr>
                <w:rFonts w:hint="eastAsia"/>
              </w:rPr>
              <w:t>1897年</w:t>
            </w:r>
          </w:p>
        </w:tc>
        <w:tc>
          <w:tcPr>
            <w:tcW w:w="582" w:type="pct"/>
            <w:vAlign w:val="center"/>
          </w:tcPr>
          <w:p w14:paraId="447DEF38">
            <w:pPr>
              <w:pStyle w:val="12"/>
              <w:jc w:val="center"/>
            </w:pPr>
            <w:r>
              <w:rPr>
                <w:rFonts w:hint="eastAsia"/>
              </w:rPr>
              <w:t>乌迳镇</w:t>
            </w:r>
          </w:p>
        </w:tc>
        <w:tc>
          <w:tcPr>
            <w:tcW w:w="582" w:type="pct"/>
            <w:vAlign w:val="center"/>
          </w:tcPr>
          <w:p w14:paraId="0D3CD6A4">
            <w:pPr>
              <w:pStyle w:val="12"/>
              <w:jc w:val="center"/>
            </w:pPr>
            <w:r>
              <w:rPr>
                <w:rFonts w:hint="eastAsia"/>
              </w:rPr>
              <w:t>1927年</w:t>
            </w:r>
          </w:p>
        </w:tc>
        <w:tc>
          <w:tcPr>
            <w:tcW w:w="1066" w:type="pct"/>
            <w:vAlign w:val="center"/>
          </w:tcPr>
          <w:p w14:paraId="5721D064">
            <w:pPr>
              <w:pStyle w:val="12"/>
              <w:jc w:val="left"/>
            </w:pPr>
            <w:r>
              <w:rPr>
                <w:rFonts w:hint="eastAsia"/>
              </w:rPr>
              <w:t>油山游击队队员</w:t>
            </w:r>
          </w:p>
        </w:tc>
        <w:tc>
          <w:tcPr>
            <w:tcW w:w="1162" w:type="pct"/>
            <w:vAlign w:val="center"/>
          </w:tcPr>
          <w:p w14:paraId="7F926F44">
            <w:pPr>
              <w:pStyle w:val="12"/>
              <w:jc w:val="left"/>
            </w:pPr>
            <w:r>
              <w:rPr>
                <w:rFonts w:hint="eastAsia"/>
              </w:rPr>
              <w:t>1929年在邓坊作战牺牲</w:t>
            </w:r>
          </w:p>
        </w:tc>
      </w:tr>
      <w:tr w14:paraId="7A0DBF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90DC7F3">
            <w:pPr>
              <w:pStyle w:val="12"/>
              <w:jc w:val="center"/>
            </w:pPr>
            <w:r>
              <w:rPr>
                <w:rFonts w:hint="eastAsia"/>
              </w:rPr>
              <w:t>李名贞</w:t>
            </w:r>
          </w:p>
        </w:tc>
        <w:tc>
          <w:tcPr>
            <w:tcW w:w="388" w:type="pct"/>
            <w:vAlign w:val="center"/>
          </w:tcPr>
          <w:p w14:paraId="652271AB">
            <w:pPr>
              <w:pStyle w:val="12"/>
              <w:jc w:val="center"/>
            </w:pPr>
            <w:r>
              <w:rPr>
                <w:rFonts w:hint="eastAsia"/>
              </w:rPr>
              <w:t>男</w:t>
            </w:r>
          </w:p>
        </w:tc>
        <w:tc>
          <w:tcPr>
            <w:tcW w:w="582" w:type="pct"/>
            <w:vAlign w:val="center"/>
          </w:tcPr>
          <w:p w14:paraId="283DF1FE">
            <w:pPr>
              <w:pStyle w:val="12"/>
              <w:jc w:val="center"/>
            </w:pPr>
            <w:r>
              <w:rPr>
                <w:rFonts w:hint="eastAsia"/>
              </w:rPr>
              <w:t>1884年</w:t>
            </w:r>
          </w:p>
        </w:tc>
        <w:tc>
          <w:tcPr>
            <w:tcW w:w="582" w:type="pct"/>
            <w:vAlign w:val="center"/>
          </w:tcPr>
          <w:p w14:paraId="28FCC02F">
            <w:pPr>
              <w:pStyle w:val="12"/>
              <w:jc w:val="center"/>
            </w:pPr>
            <w:r>
              <w:rPr>
                <w:rFonts w:hint="eastAsia"/>
              </w:rPr>
              <w:t>湖口镇</w:t>
            </w:r>
          </w:p>
        </w:tc>
        <w:tc>
          <w:tcPr>
            <w:tcW w:w="582" w:type="pct"/>
            <w:vAlign w:val="center"/>
          </w:tcPr>
          <w:p w14:paraId="1AEFFFE2">
            <w:pPr>
              <w:pStyle w:val="12"/>
              <w:jc w:val="center"/>
            </w:pPr>
            <w:r>
              <w:rPr>
                <w:rFonts w:hint="eastAsia"/>
              </w:rPr>
              <w:t>1928年</w:t>
            </w:r>
          </w:p>
        </w:tc>
        <w:tc>
          <w:tcPr>
            <w:tcW w:w="1066" w:type="pct"/>
            <w:vAlign w:val="center"/>
          </w:tcPr>
          <w:p w14:paraId="7CDC8FA1">
            <w:pPr>
              <w:pStyle w:val="12"/>
              <w:jc w:val="left"/>
            </w:pPr>
            <w:r>
              <w:rPr>
                <w:rFonts w:hint="eastAsia"/>
              </w:rPr>
              <w:t>赤卫队员</w:t>
            </w:r>
          </w:p>
        </w:tc>
        <w:tc>
          <w:tcPr>
            <w:tcW w:w="1162" w:type="pct"/>
            <w:vAlign w:val="center"/>
          </w:tcPr>
          <w:p w14:paraId="71918961">
            <w:pPr>
              <w:pStyle w:val="12"/>
              <w:jc w:val="left"/>
            </w:pPr>
            <w:r>
              <w:rPr>
                <w:rFonts w:hint="eastAsia"/>
              </w:rPr>
              <w:t>1929年3月9日在邓坊就义</w:t>
            </w:r>
          </w:p>
        </w:tc>
      </w:tr>
      <w:tr w14:paraId="78A555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E162C60">
            <w:pPr>
              <w:pStyle w:val="12"/>
              <w:jc w:val="center"/>
            </w:pPr>
            <w:r>
              <w:rPr>
                <w:rFonts w:hint="eastAsia"/>
              </w:rPr>
              <w:t>刘昌连</w:t>
            </w:r>
          </w:p>
        </w:tc>
        <w:tc>
          <w:tcPr>
            <w:tcW w:w="388" w:type="pct"/>
            <w:vAlign w:val="center"/>
          </w:tcPr>
          <w:p w14:paraId="76B9EDA9">
            <w:pPr>
              <w:pStyle w:val="12"/>
              <w:jc w:val="center"/>
            </w:pPr>
            <w:r>
              <w:rPr>
                <w:rFonts w:hint="eastAsia"/>
              </w:rPr>
              <w:t>男</w:t>
            </w:r>
          </w:p>
        </w:tc>
        <w:tc>
          <w:tcPr>
            <w:tcW w:w="582" w:type="pct"/>
            <w:vAlign w:val="center"/>
          </w:tcPr>
          <w:p w14:paraId="405392E2">
            <w:pPr>
              <w:pStyle w:val="12"/>
              <w:jc w:val="center"/>
            </w:pPr>
            <w:r>
              <w:rPr>
                <w:rFonts w:hint="eastAsia"/>
              </w:rPr>
              <w:t>1906年</w:t>
            </w:r>
          </w:p>
        </w:tc>
        <w:tc>
          <w:tcPr>
            <w:tcW w:w="582" w:type="pct"/>
            <w:vAlign w:val="center"/>
          </w:tcPr>
          <w:p w14:paraId="5AD2BE45">
            <w:pPr>
              <w:pStyle w:val="12"/>
              <w:jc w:val="center"/>
            </w:pPr>
            <w:r>
              <w:rPr>
                <w:rFonts w:hint="eastAsia"/>
              </w:rPr>
              <w:t>湖口镇</w:t>
            </w:r>
          </w:p>
        </w:tc>
        <w:tc>
          <w:tcPr>
            <w:tcW w:w="582" w:type="pct"/>
            <w:vAlign w:val="center"/>
          </w:tcPr>
          <w:p w14:paraId="77C0C5B3">
            <w:pPr>
              <w:pStyle w:val="12"/>
              <w:jc w:val="center"/>
            </w:pPr>
            <w:r>
              <w:rPr>
                <w:rFonts w:hint="eastAsia"/>
              </w:rPr>
              <w:t>1928年</w:t>
            </w:r>
          </w:p>
        </w:tc>
        <w:tc>
          <w:tcPr>
            <w:tcW w:w="1066" w:type="pct"/>
            <w:vAlign w:val="center"/>
          </w:tcPr>
          <w:p w14:paraId="370C0347">
            <w:pPr>
              <w:pStyle w:val="12"/>
              <w:jc w:val="left"/>
            </w:pPr>
            <w:r>
              <w:rPr>
                <w:rFonts w:hint="eastAsia"/>
              </w:rPr>
              <w:t>赤卫队员</w:t>
            </w:r>
          </w:p>
        </w:tc>
        <w:tc>
          <w:tcPr>
            <w:tcW w:w="1162" w:type="pct"/>
            <w:vAlign w:val="center"/>
          </w:tcPr>
          <w:p w14:paraId="26A1B79C">
            <w:pPr>
              <w:pStyle w:val="12"/>
              <w:jc w:val="left"/>
            </w:pPr>
            <w:r>
              <w:rPr>
                <w:rFonts w:hint="eastAsia"/>
              </w:rPr>
              <w:t>1929年在南雄牺牲</w:t>
            </w:r>
          </w:p>
        </w:tc>
      </w:tr>
      <w:tr w14:paraId="138BC00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1744E46">
            <w:pPr>
              <w:pStyle w:val="12"/>
              <w:jc w:val="center"/>
            </w:pPr>
            <w:r>
              <w:rPr>
                <w:rFonts w:hint="eastAsia"/>
              </w:rPr>
              <w:t>曾大肚拐</w:t>
            </w:r>
          </w:p>
        </w:tc>
        <w:tc>
          <w:tcPr>
            <w:tcW w:w="388" w:type="pct"/>
            <w:vAlign w:val="center"/>
          </w:tcPr>
          <w:p w14:paraId="46652FCA">
            <w:pPr>
              <w:pStyle w:val="12"/>
              <w:jc w:val="center"/>
            </w:pPr>
            <w:r>
              <w:rPr>
                <w:rFonts w:hint="eastAsia"/>
              </w:rPr>
              <w:t>男</w:t>
            </w:r>
          </w:p>
        </w:tc>
        <w:tc>
          <w:tcPr>
            <w:tcW w:w="582" w:type="pct"/>
            <w:vAlign w:val="center"/>
          </w:tcPr>
          <w:p w14:paraId="7480337E">
            <w:pPr>
              <w:pStyle w:val="12"/>
              <w:jc w:val="center"/>
            </w:pPr>
            <w:r>
              <w:rPr>
                <w:rFonts w:hint="eastAsia"/>
              </w:rPr>
              <w:t>1904年</w:t>
            </w:r>
          </w:p>
        </w:tc>
        <w:tc>
          <w:tcPr>
            <w:tcW w:w="582" w:type="pct"/>
            <w:vAlign w:val="center"/>
          </w:tcPr>
          <w:p w14:paraId="1DC6841D">
            <w:pPr>
              <w:pStyle w:val="12"/>
              <w:jc w:val="center"/>
            </w:pPr>
            <w:r>
              <w:rPr>
                <w:rFonts w:hint="eastAsia"/>
              </w:rPr>
              <w:t>湖口镇</w:t>
            </w:r>
          </w:p>
        </w:tc>
        <w:tc>
          <w:tcPr>
            <w:tcW w:w="582" w:type="pct"/>
            <w:vAlign w:val="center"/>
          </w:tcPr>
          <w:p w14:paraId="54B98E34">
            <w:pPr>
              <w:pStyle w:val="12"/>
              <w:jc w:val="center"/>
            </w:pPr>
            <w:r>
              <w:rPr>
                <w:rFonts w:hint="eastAsia"/>
              </w:rPr>
              <w:t>1928年</w:t>
            </w:r>
          </w:p>
        </w:tc>
        <w:tc>
          <w:tcPr>
            <w:tcW w:w="1066" w:type="pct"/>
            <w:vAlign w:val="center"/>
          </w:tcPr>
          <w:p w14:paraId="3FBA65D7">
            <w:pPr>
              <w:pStyle w:val="12"/>
              <w:jc w:val="left"/>
            </w:pPr>
            <w:r>
              <w:rPr>
                <w:rFonts w:hint="eastAsia"/>
              </w:rPr>
              <w:t>赤卫队员</w:t>
            </w:r>
          </w:p>
        </w:tc>
        <w:tc>
          <w:tcPr>
            <w:tcW w:w="1162" w:type="pct"/>
            <w:vAlign w:val="center"/>
          </w:tcPr>
          <w:p w14:paraId="246539F3">
            <w:pPr>
              <w:pStyle w:val="12"/>
              <w:jc w:val="left"/>
            </w:pPr>
            <w:r>
              <w:rPr>
                <w:rFonts w:hint="eastAsia"/>
              </w:rPr>
              <w:t>1929年在窝塘被捕，在县城就义</w:t>
            </w:r>
          </w:p>
        </w:tc>
      </w:tr>
      <w:tr w14:paraId="030440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CAF6D8F">
            <w:pPr>
              <w:pStyle w:val="12"/>
              <w:jc w:val="center"/>
            </w:pPr>
            <w:r>
              <w:rPr>
                <w:rFonts w:hint="eastAsia"/>
              </w:rPr>
              <w:t>曾石生俚</w:t>
            </w:r>
          </w:p>
        </w:tc>
        <w:tc>
          <w:tcPr>
            <w:tcW w:w="388" w:type="pct"/>
            <w:vAlign w:val="center"/>
          </w:tcPr>
          <w:p w14:paraId="231B23B7">
            <w:pPr>
              <w:pStyle w:val="12"/>
              <w:jc w:val="center"/>
            </w:pPr>
            <w:r>
              <w:rPr>
                <w:rFonts w:hint="eastAsia"/>
              </w:rPr>
              <w:t>男</w:t>
            </w:r>
          </w:p>
        </w:tc>
        <w:tc>
          <w:tcPr>
            <w:tcW w:w="582" w:type="pct"/>
            <w:vAlign w:val="center"/>
          </w:tcPr>
          <w:p w14:paraId="112AEF97">
            <w:pPr>
              <w:pStyle w:val="12"/>
              <w:jc w:val="center"/>
            </w:pPr>
            <w:r>
              <w:rPr>
                <w:rFonts w:hint="eastAsia"/>
              </w:rPr>
              <w:t>1905年</w:t>
            </w:r>
          </w:p>
        </w:tc>
        <w:tc>
          <w:tcPr>
            <w:tcW w:w="582" w:type="pct"/>
            <w:vAlign w:val="center"/>
          </w:tcPr>
          <w:p w14:paraId="3136EF97">
            <w:pPr>
              <w:pStyle w:val="12"/>
              <w:jc w:val="center"/>
            </w:pPr>
            <w:r>
              <w:rPr>
                <w:rFonts w:hint="eastAsia"/>
              </w:rPr>
              <w:t>湖口镇</w:t>
            </w:r>
          </w:p>
        </w:tc>
        <w:tc>
          <w:tcPr>
            <w:tcW w:w="582" w:type="pct"/>
            <w:vAlign w:val="center"/>
          </w:tcPr>
          <w:p w14:paraId="2AE8F031">
            <w:pPr>
              <w:pStyle w:val="12"/>
              <w:jc w:val="center"/>
            </w:pPr>
            <w:r>
              <w:rPr>
                <w:rFonts w:hint="eastAsia"/>
              </w:rPr>
              <w:t>1928年</w:t>
            </w:r>
          </w:p>
        </w:tc>
        <w:tc>
          <w:tcPr>
            <w:tcW w:w="1066" w:type="pct"/>
            <w:vAlign w:val="center"/>
          </w:tcPr>
          <w:p w14:paraId="661F1466">
            <w:pPr>
              <w:pStyle w:val="12"/>
              <w:jc w:val="left"/>
            </w:pPr>
            <w:r>
              <w:rPr>
                <w:rFonts w:hint="eastAsia"/>
              </w:rPr>
              <w:t>赤卫队员</w:t>
            </w:r>
          </w:p>
        </w:tc>
        <w:tc>
          <w:tcPr>
            <w:tcW w:w="1162" w:type="pct"/>
            <w:vAlign w:val="center"/>
          </w:tcPr>
          <w:p w14:paraId="131FE988">
            <w:pPr>
              <w:pStyle w:val="12"/>
              <w:jc w:val="left"/>
            </w:pPr>
            <w:r>
              <w:rPr>
                <w:rFonts w:hint="eastAsia"/>
              </w:rPr>
              <w:t>1929年在本村围俚对敌作战牺牲</w:t>
            </w:r>
          </w:p>
        </w:tc>
      </w:tr>
      <w:tr w14:paraId="1A6C0B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8E108D1">
            <w:pPr>
              <w:pStyle w:val="12"/>
              <w:jc w:val="center"/>
            </w:pPr>
            <w:r>
              <w:rPr>
                <w:rFonts w:hint="eastAsia"/>
              </w:rPr>
              <w:t>黄梁生</w:t>
            </w:r>
          </w:p>
        </w:tc>
        <w:tc>
          <w:tcPr>
            <w:tcW w:w="388" w:type="pct"/>
            <w:vAlign w:val="center"/>
          </w:tcPr>
          <w:p w14:paraId="70C9B07A">
            <w:pPr>
              <w:pStyle w:val="12"/>
              <w:jc w:val="center"/>
            </w:pPr>
            <w:r>
              <w:rPr>
                <w:rFonts w:hint="eastAsia"/>
              </w:rPr>
              <w:t>男</w:t>
            </w:r>
          </w:p>
        </w:tc>
        <w:tc>
          <w:tcPr>
            <w:tcW w:w="582" w:type="pct"/>
            <w:vAlign w:val="center"/>
          </w:tcPr>
          <w:p w14:paraId="1AC2A3A2">
            <w:pPr>
              <w:pStyle w:val="12"/>
              <w:jc w:val="center"/>
            </w:pPr>
            <w:r>
              <w:rPr>
                <w:rFonts w:hint="eastAsia"/>
              </w:rPr>
              <w:t>1893年</w:t>
            </w:r>
          </w:p>
        </w:tc>
        <w:tc>
          <w:tcPr>
            <w:tcW w:w="582" w:type="pct"/>
            <w:vAlign w:val="center"/>
          </w:tcPr>
          <w:p w14:paraId="6D405FF8">
            <w:pPr>
              <w:pStyle w:val="12"/>
              <w:jc w:val="center"/>
            </w:pPr>
            <w:r>
              <w:rPr>
                <w:rFonts w:hint="eastAsia"/>
              </w:rPr>
              <w:t>油山镇</w:t>
            </w:r>
          </w:p>
        </w:tc>
        <w:tc>
          <w:tcPr>
            <w:tcW w:w="582" w:type="pct"/>
            <w:vAlign w:val="center"/>
          </w:tcPr>
          <w:p w14:paraId="6751C8EC">
            <w:pPr>
              <w:pStyle w:val="12"/>
              <w:jc w:val="center"/>
            </w:pPr>
            <w:r>
              <w:rPr>
                <w:rFonts w:hint="eastAsia"/>
              </w:rPr>
              <w:t>1926年</w:t>
            </w:r>
          </w:p>
        </w:tc>
        <w:tc>
          <w:tcPr>
            <w:tcW w:w="1066" w:type="pct"/>
            <w:vAlign w:val="center"/>
          </w:tcPr>
          <w:p w14:paraId="43CE020A">
            <w:pPr>
              <w:pStyle w:val="12"/>
              <w:jc w:val="left"/>
            </w:pPr>
            <w:r>
              <w:rPr>
                <w:rFonts w:hint="eastAsia"/>
              </w:rPr>
              <w:t>油山游击队班长</w:t>
            </w:r>
          </w:p>
        </w:tc>
        <w:tc>
          <w:tcPr>
            <w:tcW w:w="1162" w:type="pct"/>
            <w:vAlign w:val="center"/>
          </w:tcPr>
          <w:p w14:paraId="08D8C608">
            <w:pPr>
              <w:pStyle w:val="12"/>
              <w:jc w:val="left"/>
            </w:pPr>
            <w:r>
              <w:rPr>
                <w:rFonts w:hint="eastAsia"/>
              </w:rPr>
              <w:t>1929年在江西大余县玉坑被捕，在本县乌迳就义</w:t>
            </w:r>
          </w:p>
        </w:tc>
      </w:tr>
      <w:tr w14:paraId="433E89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E71020B">
            <w:pPr>
              <w:pStyle w:val="12"/>
              <w:jc w:val="center"/>
            </w:pPr>
            <w:r>
              <w:rPr>
                <w:rFonts w:hint="eastAsia"/>
              </w:rPr>
              <w:t>高土地生</w:t>
            </w:r>
          </w:p>
        </w:tc>
        <w:tc>
          <w:tcPr>
            <w:tcW w:w="388" w:type="pct"/>
            <w:vAlign w:val="center"/>
          </w:tcPr>
          <w:p w14:paraId="67FD2F70">
            <w:pPr>
              <w:pStyle w:val="12"/>
              <w:jc w:val="center"/>
            </w:pPr>
            <w:r>
              <w:rPr>
                <w:rFonts w:hint="eastAsia"/>
              </w:rPr>
              <w:t>男</w:t>
            </w:r>
          </w:p>
        </w:tc>
        <w:tc>
          <w:tcPr>
            <w:tcW w:w="582" w:type="pct"/>
            <w:vAlign w:val="center"/>
          </w:tcPr>
          <w:p w14:paraId="28E709E8">
            <w:pPr>
              <w:pStyle w:val="12"/>
              <w:jc w:val="center"/>
            </w:pPr>
            <w:r>
              <w:rPr>
                <w:rFonts w:hint="eastAsia"/>
              </w:rPr>
              <w:t>1896年</w:t>
            </w:r>
          </w:p>
        </w:tc>
        <w:tc>
          <w:tcPr>
            <w:tcW w:w="582" w:type="pct"/>
            <w:vAlign w:val="center"/>
          </w:tcPr>
          <w:p w14:paraId="0322A0F0">
            <w:pPr>
              <w:pStyle w:val="12"/>
              <w:jc w:val="center"/>
            </w:pPr>
            <w:r>
              <w:rPr>
                <w:rFonts w:hint="eastAsia"/>
              </w:rPr>
              <w:t>油山镇</w:t>
            </w:r>
          </w:p>
        </w:tc>
        <w:tc>
          <w:tcPr>
            <w:tcW w:w="582" w:type="pct"/>
            <w:vAlign w:val="center"/>
          </w:tcPr>
          <w:p w14:paraId="51AD1AEB">
            <w:pPr>
              <w:pStyle w:val="12"/>
              <w:jc w:val="center"/>
            </w:pPr>
            <w:r>
              <w:rPr>
                <w:rFonts w:hint="eastAsia"/>
              </w:rPr>
              <w:t>1926年</w:t>
            </w:r>
          </w:p>
        </w:tc>
        <w:tc>
          <w:tcPr>
            <w:tcW w:w="1066" w:type="pct"/>
            <w:vAlign w:val="center"/>
          </w:tcPr>
          <w:p w14:paraId="44AF6F21">
            <w:pPr>
              <w:pStyle w:val="12"/>
              <w:jc w:val="left"/>
            </w:pPr>
            <w:r>
              <w:rPr>
                <w:rFonts w:hint="eastAsia"/>
              </w:rPr>
              <w:t>油山游击队队员</w:t>
            </w:r>
          </w:p>
        </w:tc>
        <w:tc>
          <w:tcPr>
            <w:tcW w:w="1162" w:type="pct"/>
            <w:vAlign w:val="center"/>
          </w:tcPr>
          <w:p w14:paraId="0D0A869D">
            <w:pPr>
              <w:pStyle w:val="12"/>
              <w:jc w:val="left"/>
            </w:pPr>
            <w:r>
              <w:rPr>
                <w:rFonts w:hint="eastAsia"/>
              </w:rPr>
              <w:t>1929年在油山作战牺牲</w:t>
            </w:r>
          </w:p>
        </w:tc>
      </w:tr>
      <w:tr w14:paraId="0ADD82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DD1C680">
            <w:pPr>
              <w:pStyle w:val="12"/>
              <w:jc w:val="center"/>
            </w:pPr>
            <w:r>
              <w:rPr>
                <w:rFonts w:hint="eastAsia"/>
              </w:rPr>
              <w:t>李家辉</w:t>
            </w:r>
          </w:p>
        </w:tc>
        <w:tc>
          <w:tcPr>
            <w:tcW w:w="388" w:type="pct"/>
            <w:vAlign w:val="center"/>
          </w:tcPr>
          <w:p w14:paraId="54EE481C">
            <w:pPr>
              <w:pStyle w:val="12"/>
              <w:jc w:val="center"/>
            </w:pPr>
            <w:r>
              <w:rPr>
                <w:rFonts w:hint="eastAsia"/>
              </w:rPr>
              <w:t>男</w:t>
            </w:r>
          </w:p>
        </w:tc>
        <w:tc>
          <w:tcPr>
            <w:tcW w:w="582" w:type="pct"/>
            <w:vAlign w:val="center"/>
          </w:tcPr>
          <w:p w14:paraId="57959DB8">
            <w:pPr>
              <w:pStyle w:val="12"/>
              <w:jc w:val="center"/>
            </w:pPr>
            <w:r>
              <w:rPr>
                <w:rFonts w:hint="eastAsia"/>
              </w:rPr>
              <w:t>1891年</w:t>
            </w:r>
          </w:p>
        </w:tc>
        <w:tc>
          <w:tcPr>
            <w:tcW w:w="582" w:type="pct"/>
            <w:vAlign w:val="center"/>
          </w:tcPr>
          <w:p w14:paraId="3D29E65F">
            <w:pPr>
              <w:pStyle w:val="12"/>
              <w:jc w:val="center"/>
            </w:pPr>
            <w:r>
              <w:rPr>
                <w:rFonts w:hint="eastAsia"/>
              </w:rPr>
              <w:t>油山镇</w:t>
            </w:r>
          </w:p>
        </w:tc>
        <w:tc>
          <w:tcPr>
            <w:tcW w:w="582" w:type="pct"/>
            <w:vAlign w:val="center"/>
          </w:tcPr>
          <w:p w14:paraId="515120C2">
            <w:pPr>
              <w:pStyle w:val="12"/>
              <w:jc w:val="center"/>
            </w:pPr>
            <w:r>
              <w:rPr>
                <w:rFonts w:hint="eastAsia"/>
              </w:rPr>
              <w:t>1926年</w:t>
            </w:r>
          </w:p>
        </w:tc>
        <w:tc>
          <w:tcPr>
            <w:tcW w:w="1066" w:type="pct"/>
            <w:vAlign w:val="center"/>
          </w:tcPr>
          <w:p w14:paraId="6A74816E">
            <w:pPr>
              <w:pStyle w:val="12"/>
              <w:jc w:val="left"/>
            </w:pPr>
            <w:r>
              <w:rPr>
                <w:rFonts w:hint="eastAsia"/>
              </w:rPr>
              <w:t>油山游击队队员</w:t>
            </w:r>
          </w:p>
        </w:tc>
        <w:tc>
          <w:tcPr>
            <w:tcW w:w="1162" w:type="pct"/>
            <w:vAlign w:val="center"/>
          </w:tcPr>
          <w:p w14:paraId="256529FF">
            <w:pPr>
              <w:pStyle w:val="12"/>
              <w:jc w:val="left"/>
            </w:pPr>
            <w:r>
              <w:rPr>
                <w:rFonts w:hint="eastAsia"/>
              </w:rPr>
              <w:t>1929年在江西大余县玉坑被捕，在南雄城郊就义</w:t>
            </w:r>
          </w:p>
        </w:tc>
      </w:tr>
      <w:tr w14:paraId="56B7BB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54A674A">
            <w:pPr>
              <w:pStyle w:val="12"/>
              <w:jc w:val="center"/>
            </w:pPr>
            <w:r>
              <w:rPr>
                <w:rFonts w:hint="eastAsia"/>
              </w:rPr>
              <w:t>黄成礼</w:t>
            </w:r>
          </w:p>
        </w:tc>
        <w:tc>
          <w:tcPr>
            <w:tcW w:w="388" w:type="pct"/>
            <w:vAlign w:val="center"/>
          </w:tcPr>
          <w:p w14:paraId="7AABF474">
            <w:pPr>
              <w:pStyle w:val="12"/>
              <w:jc w:val="center"/>
            </w:pPr>
            <w:r>
              <w:rPr>
                <w:rFonts w:hint="eastAsia"/>
              </w:rPr>
              <w:t>男</w:t>
            </w:r>
          </w:p>
        </w:tc>
        <w:tc>
          <w:tcPr>
            <w:tcW w:w="582" w:type="pct"/>
            <w:vAlign w:val="center"/>
          </w:tcPr>
          <w:p w14:paraId="44438A9A">
            <w:pPr>
              <w:pStyle w:val="12"/>
              <w:jc w:val="center"/>
            </w:pPr>
            <w:r>
              <w:rPr>
                <w:rFonts w:hint="eastAsia"/>
              </w:rPr>
              <w:t>1896年</w:t>
            </w:r>
          </w:p>
        </w:tc>
        <w:tc>
          <w:tcPr>
            <w:tcW w:w="582" w:type="pct"/>
            <w:vAlign w:val="center"/>
          </w:tcPr>
          <w:p w14:paraId="0E62339F">
            <w:pPr>
              <w:pStyle w:val="12"/>
              <w:jc w:val="center"/>
            </w:pPr>
            <w:r>
              <w:rPr>
                <w:rFonts w:hint="eastAsia"/>
              </w:rPr>
              <w:t>油山镇</w:t>
            </w:r>
          </w:p>
        </w:tc>
        <w:tc>
          <w:tcPr>
            <w:tcW w:w="582" w:type="pct"/>
            <w:vAlign w:val="center"/>
          </w:tcPr>
          <w:p w14:paraId="437E3527">
            <w:pPr>
              <w:pStyle w:val="12"/>
              <w:jc w:val="center"/>
            </w:pPr>
            <w:r>
              <w:rPr>
                <w:rFonts w:hint="eastAsia"/>
              </w:rPr>
              <w:t>1926年</w:t>
            </w:r>
          </w:p>
        </w:tc>
        <w:tc>
          <w:tcPr>
            <w:tcW w:w="1066" w:type="pct"/>
            <w:vAlign w:val="center"/>
          </w:tcPr>
          <w:p w14:paraId="4A14EBD2">
            <w:pPr>
              <w:pStyle w:val="12"/>
              <w:jc w:val="left"/>
            </w:pPr>
            <w:r>
              <w:rPr>
                <w:rFonts w:hint="eastAsia"/>
              </w:rPr>
              <w:t>油山游击队队员</w:t>
            </w:r>
          </w:p>
        </w:tc>
        <w:tc>
          <w:tcPr>
            <w:tcW w:w="1162" w:type="pct"/>
            <w:vAlign w:val="center"/>
          </w:tcPr>
          <w:p w14:paraId="3FCD22BF">
            <w:pPr>
              <w:pStyle w:val="12"/>
              <w:jc w:val="left"/>
            </w:pPr>
            <w:r>
              <w:rPr>
                <w:rFonts w:hint="eastAsia"/>
              </w:rPr>
              <w:t>1929年在江西大余县玉坑被捕，在南雄城郊就义</w:t>
            </w:r>
          </w:p>
        </w:tc>
      </w:tr>
      <w:tr w14:paraId="6D068C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5E53439">
            <w:pPr>
              <w:pStyle w:val="12"/>
              <w:jc w:val="center"/>
            </w:pPr>
            <w:r>
              <w:rPr>
                <w:rFonts w:hint="eastAsia"/>
              </w:rPr>
              <w:t>谢观音狗</w:t>
            </w:r>
          </w:p>
        </w:tc>
        <w:tc>
          <w:tcPr>
            <w:tcW w:w="388" w:type="pct"/>
            <w:vAlign w:val="center"/>
          </w:tcPr>
          <w:p w14:paraId="38F9E6E1">
            <w:pPr>
              <w:pStyle w:val="12"/>
              <w:jc w:val="center"/>
            </w:pPr>
            <w:r>
              <w:rPr>
                <w:rFonts w:hint="eastAsia"/>
              </w:rPr>
              <w:t>男</w:t>
            </w:r>
          </w:p>
        </w:tc>
        <w:tc>
          <w:tcPr>
            <w:tcW w:w="582" w:type="pct"/>
            <w:vAlign w:val="center"/>
          </w:tcPr>
          <w:p w14:paraId="5EE82FE7">
            <w:pPr>
              <w:pStyle w:val="12"/>
              <w:jc w:val="center"/>
            </w:pPr>
            <w:r>
              <w:rPr>
                <w:rFonts w:hint="eastAsia"/>
              </w:rPr>
              <w:t>1895年</w:t>
            </w:r>
          </w:p>
        </w:tc>
        <w:tc>
          <w:tcPr>
            <w:tcW w:w="582" w:type="pct"/>
            <w:vAlign w:val="center"/>
          </w:tcPr>
          <w:p w14:paraId="2E655538">
            <w:pPr>
              <w:pStyle w:val="12"/>
              <w:jc w:val="center"/>
            </w:pPr>
            <w:r>
              <w:rPr>
                <w:rFonts w:hint="eastAsia"/>
              </w:rPr>
              <w:t>油山镇</w:t>
            </w:r>
          </w:p>
        </w:tc>
        <w:tc>
          <w:tcPr>
            <w:tcW w:w="582" w:type="pct"/>
            <w:vAlign w:val="center"/>
          </w:tcPr>
          <w:p w14:paraId="030F30C7">
            <w:pPr>
              <w:pStyle w:val="12"/>
              <w:jc w:val="center"/>
            </w:pPr>
            <w:r>
              <w:rPr>
                <w:rFonts w:hint="eastAsia"/>
              </w:rPr>
              <w:t>1926年</w:t>
            </w:r>
          </w:p>
        </w:tc>
        <w:tc>
          <w:tcPr>
            <w:tcW w:w="1066" w:type="pct"/>
            <w:vAlign w:val="center"/>
          </w:tcPr>
          <w:p w14:paraId="0E9F4266">
            <w:pPr>
              <w:pStyle w:val="12"/>
              <w:jc w:val="left"/>
            </w:pPr>
            <w:r>
              <w:rPr>
                <w:rFonts w:hint="eastAsia"/>
              </w:rPr>
              <w:t>油山游击队队员</w:t>
            </w:r>
          </w:p>
        </w:tc>
        <w:tc>
          <w:tcPr>
            <w:tcW w:w="1162" w:type="pct"/>
            <w:vAlign w:val="center"/>
          </w:tcPr>
          <w:p w14:paraId="337B141B">
            <w:pPr>
              <w:pStyle w:val="12"/>
              <w:jc w:val="left"/>
            </w:pPr>
            <w:r>
              <w:rPr>
                <w:rFonts w:hint="eastAsia"/>
              </w:rPr>
              <w:t>1929年在江西大余县玉坑被捕，在本县乌迳就义</w:t>
            </w:r>
          </w:p>
        </w:tc>
      </w:tr>
      <w:tr w14:paraId="50A3B70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0930410">
            <w:pPr>
              <w:pStyle w:val="12"/>
              <w:jc w:val="center"/>
            </w:pPr>
            <w:r>
              <w:rPr>
                <w:rFonts w:hint="eastAsia"/>
              </w:rPr>
              <w:t>田士荣</w:t>
            </w:r>
          </w:p>
        </w:tc>
        <w:tc>
          <w:tcPr>
            <w:tcW w:w="388" w:type="pct"/>
            <w:vAlign w:val="center"/>
          </w:tcPr>
          <w:p w14:paraId="26F2691F">
            <w:pPr>
              <w:pStyle w:val="12"/>
              <w:jc w:val="center"/>
            </w:pPr>
            <w:r>
              <w:rPr>
                <w:rFonts w:hint="eastAsia"/>
              </w:rPr>
              <w:t>男</w:t>
            </w:r>
          </w:p>
        </w:tc>
        <w:tc>
          <w:tcPr>
            <w:tcW w:w="582" w:type="pct"/>
            <w:vAlign w:val="center"/>
          </w:tcPr>
          <w:p w14:paraId="5319460B">
            <w:pPr>
              <w:pStyle w:val="12"/>
              <w:jc w:val="center"/>
            </w:pPr>
            <w:r>
              <w:rPr>
                <w:rFonts w:hint="eastAsia"/>
              </w:rPr>
              <w:t>1902年</w:t>
            </w:r>
          </w:p>
        </w:tc>
        <w:tc>
          <w:tcPr>
            <w:tcW w:w="582" w:type="pct"/>
            <w:vAlign w:val="center"/>
          </w:tcPr>
          <w:p w14:paraId="0AA78F56">
            <w:pPr>
              <w:pStyle w:val="12"/>
              <w:jc w:val="center"/>
            </w:pPr>
            <w:r>
              <w:rPr>
                <w:rFonts w:hint="eastAsia"/>
              </w:rPr>
              <w:t>雄州镇</w:t>
            </w:r>
          </w:p>
        </w:tc>
        <w:tc>
          <w:tcPr>
            <w:tcW w:w="582" w:type="pct"/>
            <w:vAlign w:val="center"/>
          </w:tcPr>
          <w:p w14:paraId="0AD50C62">
            <w:pPr>
              <w:pStyle w:val="12"/>
              <w:jc w:val="center"/>
            </w:pPr>
            <w:r>
              <w:rPr>
                <w:rFonts w:hint="eastAsia"/>
              </w:rPr>
              <w:t>1928年</w:t>
            </w:r>
          </w:p>
        </w:tc>
        <w:tc>
          <w:tcPr>
            <w:tcW w:w="1066" w:type="pct"/>
            <w:vAlign w:val="center"/>
          </w:tcPr>
          <w:p w14:paraId="226AD71B">
            <w:pPr>
              <w:pStyle w:val="12"/>
              <w:jc w:val="left"/>
            </w:pPr>
            <w:r>
              <w:rPr>
                <w:rFonts w:hint="eastAsia"/>
              </w:rPr>
              <w:t>油山游击队队员</w:t>
            </w:r>
          </w:p>
        </w:tc>
        <w:tc>
          <w:tcPr>
            <w:tcW w:w="1162" w:type="pct"/>
            <w:vAlign w:val="center"/>
          </w:tcPr>
          <w:p w14:paraId="71067213">
            <w:pPr>
              <w:pStyle w:val="12"/>
              <w:jc w:val="left"/>
            </w:pPr>
            <w:r>
              <w:rPr>
                <w:rFonts w:hint="eastAsia"/>
              </w:rPr>
              <w:t>1929年在水口圩被捕就义</w:t>
            </w:r>
          </w:p>
        </w:tc>
      </w:tr>
      <w:tr w14:paraId="71B17B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8108D81">
            <w:pPr>
              <w:pStyle w:val="12"/>
              <w:jc w:val="center"/>
            </w:pPr>
            <w:r>
              <w:rPr>
                <w:rFonts w:hint="eastAsia"/>
              </w:rPr>
              <w:t>李鳌鱼</w:t>
            </w:r>
          </w:p>
        </w:tc>
        <w:tc>
          <w:tcPr>
            <w:tcW w:w="388" w:type="pct"/>
            <w:vAlign w:val="center"/>
          </w:tcPr>
          <w:p w14:paraId="3568612A">
            <w:pPr>
              <w:pStyle w:val="12"/>
              <w:jc w:val="center"/>
            </w:pPr>
            <w:r>
              <w:rPr>
                <w:rFonts w:hint="eastAsia"/>
              </w:rPr>
              <w:t>男</w:t>
            </w:r>
          </w:p>
        </w:tc>
        <w:tc>
          <w:tcPr>
            <w:tcW w:w="582" w:type="pct"/>
            <w:vAlign w:val="center"/>
          </w:tcPr>
          <w:p w14:paraId="75C27193">
            <w:pPr>
              <w:pStyle w:val="12"/>
              <w:jc w:val="center"/>
            </w:pPr>
            <w:r>
              <w:rPr>
                <w:rFonts w:hint="eastAsia"/>
              </w:rPr>
              <w:t>1894年</w:t>
            </w:r>
          </w:p>
        </w:tc>
        <w:tc>
          <w:tcPr>
            <w:tcW w:w="582" w:type="pct"/>
            <w:vAlign w:val="center"/>
          </w:tcPr>
          <w:p w14:paraId="71DBDD85">
            <w:pPr>
              <w:pStyle w:val="12"/>
              <w:jc w:val="center"/>
            </w:pPr>
            <w:r>
              <w:rPr>
                <w:rFonts w:hint="eastAsia"/>
              </w:rPr>
              <w:t>乌迳镇</w:t>
            </w:r>
          </w:p>
        </w:tc>
        <w:tc>
          <w:tcPr>
            <w:tcW w:w="582" w:type="pct"/>
            <w:vAlign w:val="center"/>
          </w:tcPr>
          <w:p w14:paraId="1DD813C6">
            <w:pPr>
              <w:pStyle w:val="12"/>
              <w:jc w:val="center"/>
            </w:pPr>
            <w:r>
              <w:rPr>
                <w:rFonts w:hint="eastAsia"/>
              </w:rPr>
              <w:t>1929年</w:t>
            </w:r>
          </w:p>
        </w:tc>
        <w:tc>
          <w:tcPr>
            <w:tcW w:w="1066" w:type="pct"/>
            <w:vAlign w:val="center"/>
          </w:tcPr>
          <w:p w14:paraId="54FD6016">
            <w:pPr>
              <w:pStyle w:val="12"/>
              <w:jc w:val="left"/>
            </w:pPr>
            <w:r>
              <w:rPr>
                <w:rFonts w:hint="eastAsia"/>
              </w:rPr>
              <w:t>油山游击队队员</w:t>
            </w:r>
          </w:p>
        </w:tc>
        <w:tc>
          <w:tcPr>
            <w:tcW w:w="1162" w:type="pct"/>
            <w:vAlign w:val="center"/>
          </w:tcPr>
          <w:p w14:paraId="4913CF93">
            <w:pPr>
              <w:pStyle w:val="12"/>
              <w:jc w:val="left"/>
            </w:pPr>
            <w:r>
              <w:rPr>
                <w:rFonts w:hint="eastAsia"/>
              </w:rPr>
              <w:t>1929年在新田被捕，在县城郊就义</w:t>
            </w:r>
          </w:p>
        </w:tc>
      </w:tr>
      <w:tr w14:paraId="773602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7406289">
            <w:pPr>
              <w:pStyle w:val="12"/>
              <w:jc w:val="center"/>
            </w:pPr>
            <w:r>
              <w:rPr>
                <w:rFonts w:hint="eastAsia"/>
              </w:rPr>
              <w:t>李炳元</w:t>
            </w:r>
          </w:p>
        </w:tc>
        <w:tc>
          <w:tcPr>
            <w:tcW w:w="388" w:type="pct"/>
            <w:vAlign w:val="center"/>
          </w:tcPr>
          <w:p w14:paraId="75D815DF">
            <w:pPr>
              <w:pStyle w:val="12"/>
              <w:jc w:val="center"/>
            </w:pPr>
            <w:r>
              <w:rPr>
                <w:rFonts w:hint="eastAsia"/>
              </w:rPr>
              <w:t>男</w:t>
            </w:r>
          </w:p>
        </w:tc>
        <w:tc>
          <w:tcPr>
            <w:tcW w:w="582" w:type="pct"/>
            <w:vAlign w:val="center"/>
          </w:tcPr>
          <w:p w14:paraId="0E99B721">
            <w:pPr>
              <w:pStyle w:val="12"/>
              <w:jc w:val="center"/>
            </w:pPr>
            <w:r>
              <w:rPr>
                <w:rFonts w:hint="eastAsia"/>
              </w:rPr>
              <w:t>1895年</w:t>
            </w:r>
          </w:p>
        </w:tc>
        <w:tc>
          <w:tcPr>
            <w:tcW w:w="582" w:type="pct"/>
            <w:vAlign w:val="center"/>
          </w:tcPr>
          <w:p w14:paraId="1A5FC0B3">
            <w:pPr>
              <w:pStyle w:val="12"/>
              <w:jc w:val="center"/>
            </w:pPr>
            <w:r>
              <w:rPr>
                <w:rFonts w:hint="eastAsia"/>
              </w:rPr>
              <w:t>乌迳镇</w:t>
            </w:r>
          </w:p>
        </w:tc>
        <w:tc>
          <w:tcPr>
            <w:tcW w:w="582" w:type="pct"/>
            <w:vAlign w:val="center"/>
          </w:tcPr>
          <w:p w14:paraId="0A040883">
            <w:pPr>
              <w:pStyle w:val="12"/>
              <w:jc w:val="center"/>
            </w:pPr>
            <w:r>
              <w:rPr>
                <w:rFonts w:hint="eastAsia"/>
              </w:rPr>
              <w:t>1928年</w:t>
            </w:r>
          </w:p>
        </w:tc>
        <w:tc>
          <w:tcPr>
            <w:tcW w:w="1066" w:type="pct"/>
            <w:vAlign w:val="center"/>
          </w:tcPr>
          <w:p w14:paraId="295C49BA">
            <w:pPr>
              <w:pStyle w:val="12"/>
              <w:jc w:val="left"/>
            </w:pPr>
            <w:r>
              <w:rPr>
                <w:rFonts w:hint="eastAsia"/>
              </w:rPr>
              <w:t>油山游击队队员</w:t>
            </w:r>
          </w:p>
        </w:tc>
        <w:tc>
          <w:tcPr>
            <w:tcW w:w="1162" w:type="pct"/>
            <w:vAlign w:val="center"/>
          </w:tcPr>
          <w:p w14:paraId="0D5A0AB7">
            <w:pPr>
              <w:pStyle w:val="12"/>
              <w:jc w:val="left"/>
            </w:pPr>
            <w:r>
              <w:rPr>
                <w:rFonts w:hint="eastAsia"/>
              </w:rPr>
              <w:t>1929年在南雄城郊就义</w:t>
            </w:r>
          </w:p>
        </w:tc>
      </w:tr>
      <w:tr w14:paraId="61BA729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9A726AC">
            <w:pPr>
              <w:pStyle w:val="12"/>
              <w:jc w:val="center"/>
            </w:pPr>
            <w:r>
              <w:rPr>
                <w:rFonts w:hint="eastAsia"/>
              </w:rPr>
              <w:t>李坚志</w:t>
            </w:r>
            <w:r>
              <w:rPr>
                <w:rFonts w:hint="eastAsia" w:ascii="宋体" w:hAnsi="宋体" w:cs="宋体"/>
              </w:rPr>
              <w:t>（才林）</w:t>
            </w:r>
          </w:p>
        </w:tc>
        <w:tc>
          <w:tcPr>
            <w:tcW w:w="388" w:type="pct"/>
            <w:vAlign w:val="center"/>
          </w:tcPr>
          <w:p w14:paraId="0FF59C5D">
            <w:pPr>
              <w:pStyle w:val="12"/>
              <w:jc w:val="center"/>
            </w:pPr>
            <w:r>
              <w:rPr>
                <w:rFonts w:hint="eastAsia"/>
              </w:rPr>
              <w:t>男</w:t>
            </w:r>
          </w:p>
        </w:tc>
        <w:tc>
          <w:tcPr>
            <w:tcW w:w="582" w:type="pct"/>
            <w:vAlign w:val="center"/>
          </w:tcPr>
          <w:p w14:paraId="57700350">
            <w:pPr>
              <w:pStyle w:val="12"/>
              <w:jc w:val="center"/>
            </w:pPr>
            <w:r>
              <w:rPr>
                <w:rFonts w:hint="eastAsia"/>
              </w:rPr>
              <w:t>1905年</w:t>
            </w:r>
          </w:p>
        </w:tc>
        <w:tc>
          <w:tcPr>
            <w:tcW w:w="582" w:type="pct"/>
            <w:vAlign w:val="center"/>
          </w:tcPr>
          <w:p w14:paraId="700B08E2">
            <w:pPr>
              <w:pStyle w:val="12"/>
              <w:jc w:val="center"/>
            </w:pPr>
            <w:r>
              <w:rPr>
                <w:rFonts w:hint="eastAsia"/>
              </w:rPr>
              <w:t>乌迳镇</w:t>
            </w:r>
          </w:p>
        </w:tc>
        <w:tc>
          <w:tcPr>
            <w:tcW w:w="582" w:type="pct"/>
            <w:vAlign w:val="center"/>
          </w:tcPr>
          <w:p w14:paraId="09A2121E">
            <w:pPr>
              <w:pStyle w:val="12"/>
              <w:jc w:val="center"/>
            </w:pPr>
            <w:r>
              <w:rPr>
                <w:rFonts w:hint="eastAsia"/>
              </w:rPr>
              <w:t>1926年</w:t>
            </w:r>
          </w:p>
        </w:tc>
        <w:tc>
          <w:tcPr>
            <w:tcW w:w="1066" w:type="pct"/>
            <w:vAlign w:val="center"/>
          </w:tcPr>
          <w:p w14:paraId="3F633165">
            <w:pPr>
              <w:pStyle w:val="12"/>
              <w:jc w:val="left"/>
            </w:pPr>
            <w:r>
              <w:rPr>
                <w:rFonts w:hint="eastAsia"/>
              </w:rPr>
              <w:t>油山游击队队员</w:t>
            </w:r>
          </w:p>
        </w:tc>
        <w:tc>
          <w:tcPr>
            <w:tcW w:w="1162" w:type="pct"/>
            <w:vAlign w:val="center"/>
          </w:tcPr>
          <w:p w14:paraId="77EF8C4A">
            <w:pPr>
              <w:pStyle w:val="12"/>
              <w:jc w:val="left"/>
            </w:pPr>
            <w:r>
              <w:rPr>
                <w:rFonts w:hint="eastAsia"/>
              </w:rPr>
              <w:t>1929年在江西李庄禾岗与敌战斗牺牲</w:t>
            </w:r>
          </w:p>
        </w:tc>
      </w:tr>
      <w:tr w14:paraId="6BB01B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AEF1AF0">
            <w:pPr>
              <w:pStyle w:val="12"/>
              <w:jc w:val="center"/>
            </w:pPr>
            <w:r>
              <w:rPr>
                <w:rFonts w:hint="eastAsia"/>
              </w:rPr>
              <w:t>叶复贤</w:t>
            </w:r>
          </w:p>
        </w:tc>
        <w:tc>
          <w:tcPr>
            <w:tcW w:w="388" w:type="pct"/>
            <w:vAlign w:val="center"/>
          </w:tcPr>
          <w:p w14:paraId="36AB6EAE">
            <w:pPr>
              <w:pStyle w:val="12"/>
              <w:jc w:val="center"/>
            </w:pPr>
            <w:r>
              <w:rPr>
                <w:rFonts w:hint="eastAsia"/>
              </w:rPr>
              <w:t>男</w:t>
            </w:r>
          </w:p>
        </w:tc>
        <w:tc>
          <w:tcPr>
            <w:tcW w:w="582" w:type="pct"/>
            <w:vAlign w:val="center"/>
          </w:tcPr>
          <w:p w14:paraId="2712BDAC">
            <w:pPr>
              <w:pStyle w:val="12"/>
              <w:jc w:val="center"/>
            </w:pPr>
            <w:r>
              <w:rPr>
                <w:rFonts w:hint="eastAsia"/>
              </w:rPr>
              <w:t>1908年</w:t>
            </w:r>
          </w:p>
        </w:tc>
        <w:tc>
          <w:tcPr>
            <w:tcW w:w="582" w:type="pct"/>
            <w:vAlign w:val="center"/>
          </w:tcPr>
          <w:p w14:paraId="3AAC056F">
            <w:pPr>
              <w:pStyle w:val="12"/>
              <w:jc w:val="center"/>
            </w:pPr>
            <w:r>
              <w:rPr>
                <w:rFonts w:hint="eastAsia"/>
              </w:rPr>
              <w:t>乌迳镇</w:t>
            </w:r>
          </w:p>
        </w:tc>
        <w:tc>
          <w:tcPr>
            <w:tcW w:w="582" w:type="pct"/>
            <w:vAlign w:val="center"/>
          </w:tcPr>
          <w:p w14:paraId="3CAFD034">
            <w:pPr>
              <w:pStyle w:val="12"/>
              <w:jc w:val="center"/>
            </w:pPr>
            <w:r>
              <w:rPr>
                <w:rFonts w:hint="eastAsia"/>
              </w:rPr>
              <w:t>1927年</w:t>
            </w:r>
          </w:p>
        </w:tc>
        <w:tc>
          <w:tcPr>
            <w:tcW w:w="1066" w:type="pct"/>
            <w:vAlign w:val="center"/>
          </w:tcPr>
          <w:p w14:paraId="01EFA73D">
            <w:pPr>
              <w:pStyle w:val="12"/>
              <w:jc w:val="left"/>
            </w:pPr>
            <w:r>
              <w:rPr>
                <w:rFonts w:hint="eastAsia"/>
              </w:rPr>
              <w:t>工农红军战士</w:t>
            </w:r>
          </w:p>
        </w:tc>
        <w:tc>
          <w:tcPr>
            <w:tcW w:w="1162" w:type="pct"/>
            <w:vAlign w:val="center"/>
          </w:tcPr>
          <w:p w14:paraId="18177C29">
            <w:pPr>
              <w:pStyle w:val="12"/>
              <w:jc w:val="left"/>
            </w:pPr>
            <w:r>
              <w:rPr>
                <w:rFonts w:hint="eastAsia"/>
              </w:rPr>
              <w:t>1929年在江西省大小窝黄掘排战斗牺牲</w:t>
            </w:r>
          </w:p>
        </w:tc>
      </w:tr>
      <w:tr w14:paraId="051E98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E4C9CF0">
            <w:pPr>
              <w:pStyle w:val="12"/>
              <w:jc w:val="center"/>
            </w:pPr>
            <w:r>
              <w:rPr>
                <w:rFonts w:hint="eastAsia"/>
              </w:rPr>
              <w:t>邱欧妹俚</w:t>
            </w:r>
          </w:p>
        </w:tc>
        <w:tc>
          <w:tcPr>
            <w:tcW w:w="388" w:type="pct"/>
            <w:vAlign w:val="center"/>
          </w:tcPr>
          <w:p w14:paraId="44EF1F28">
            <w:pPr>
              <w:pStyle w:val="12"/>
              <w:jc w:val="center"/>
            </w:pPr>
            <w:r>
              <w:rPr>
                <w:rFonts w:hint="eastAsia"/>
              </w:rPr>
              <w:t>女</w:t>
            </w:r>
          </w:p>
        </w:tc>
        <w:tc>
          <w:tcPr>
            <w:tcW w:w="582" w:type="pct"/>
            <w:vAlign w:val="center"/>
          </w:tcPr>
          <w:p w14:paraId="2DF16690">
            <w:pPr>
              <w:pStyle w:val="12"/>
              <w:jc w:val="center"/>
            </w:pPr>
            <w:r>
              <w:rPr>
                <w:rFonts w:hint="eastAsia"/>
              </w:rPr>
              <w:t>1905年</w:t>
            </w:r>
          </w:p>
        </w:tc>
        <w:tc>
          <w:tcPr>
            <w:tcW w:w="582" w:type="pct"/>
            <w:vAlign w:val="center"/>
          </w:tcPr>
          <w:p w14:paraId="68B2D902">
            <w:pPr>
              <w:pStyle w:val="12"/>
              <w:jc w:val="center"/>
            </w:pPr>
            <w:r>
              <w:rPr>
                <w:rFonts w:hint="eastAsia"/>
              </w:rPr>
              <w:t>乌迳镇</w:t>
            </w:r>
          </w:p>
        </w:tc>
        <w:tc>
          <w:tcPr>
            <w:tcW w:w="582" w:type="pct"/>
            <w:vAlign w:val="center"/>
          </w:tcPr>
          <w:p w14:paraId="350CC570">
            <w:pPr>
              <w:pStyle w:val="12"/>
              <w:jc w:val="center"/>
            </w:pPr>
            <w:r>
              <w:rPr>
                <w:rFonts w:hint="eastAsia"/>
              </w:rPr>
              <w:t>1928年</w:t>
            </w:r>
          </w:p>
        </w:tc>
        <w:tc>
          <w:tcPr>
            <w:tcW w:w="1066" w:type="pct"/>
            <w:vAlign w:val="center"/>
          </w:tcPr>
          <w:p w14:paraId="542F9D44">
            <w:pPr>
              <w:pStyle w:val="12"/>
              <w:jc w:val="left"/>
            </w:pPr>
            <w:r>
              <w:rPr>
                <w:rFonts w:hint="eastAsia"/>
              </w:rPr>
              <w:t>油山游击队队员</w:t>
            </w:r>
          </w:p>
        </w:tc>
        <w:tc>
          <w:tcPr>
            <w:tcW w:w="1162" w:type="pct"/>
            <w:vAlign w:val="center"/>
          </w:tcPr>
          <w:p w14:paraId="29C302A7">
            <w:pPr>
              <w:pStyle w:val="12"/>
              <w:jc w:val="left"/>
            </w:pPr>
            <w:r>
              <w:rPr>
                <w:rFonts w:hint="eastAsia"/>
              </w:rPr>
              <w:t>1929年在本县与龙南县交界处被捕，在乌迳就义</w:t>
            </w:r>
          </w:p>
        </w:tc>
      </w:tr>
      <w:tr w14:paraId="240F3EE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09DD55A">
            <w:pPr>
              <w:pStyle w:val="12"/>
              <w:jc w:val="center"/>
            </w:pPr>
            <w:r>
              <w:rPr>
                <w:rFonts w:hint="eastAsia"/>
              </w:rPr>
              <w:t>李会跃</w:t>
            </w:r>
          </w:p>
        </w:tc>
        <w:tc>
          <w:tcPr>
            <w:tcW w:w="388" w:type="pct"/>
            <w:vAlign w:val="center"/>
          </w:tcPr>
          <w:p w14:paraId="50B729A9">
            <w:pPr>
              <w:pStyle w:val="12"/>
              <w:jc w:val="center"/>
            </w:pPr>
            <w:r>
              <w:rPr>
                <w:rFonts w:hint="eastAsia"/>
              </w:rPr>
              <w:t>男</w:t>
            </w:r>
          </w:p>
        </w:tc>
        <w:tc>
          <w:tcPr>
            <w:tcW w:w="582" w:type="pct"/>
            <w:vAlign w:val="center"/>
          </w:tcPr>
          <w:p w14:paraId="70361099">
            <w:pPr>
              <w:pStyle w:val="12"/>
              <w:jc w:val="center"/>
            </w:pPr>
            <w:r>
              <w:rPr>
                <w:rFonts w:hint="eastAsia"/>
              </w:rPr>
              <w:t>1901年</w:t>
            </w:r>
          </w:p>
        </w:tc>
        <w:tc>
          <w:tcPr>
            <w:tcW w:w="582" w:type="pct"/>
            <w:vAlign w:val="center"/>
          </w:tcPr>
          <w:p w14:paraId="26D847DB">
            <w:pPr>
              <w:pStyle w:val="12"/>
              <w:jc w:val="center"/>
            </w:pPr>
            <w:r>
              <w:rPr>
                <w:rFonts w:hint="eastAsia"/>
              </w:rPr>
              <w:t>乌迳镇</w:t>
            </w:r>
          </w:p>
        </w:tc>
        <w:tc>
          <w:tcPr>
            <w:tcW w:w="582" w:type="pct"/>
            <w:vAlign w:val="center"/>
          </w:tcPr>
          <w:p w14:paraId="09E83065">
            <w:pPr>
              <w:pStyle w:val="12"/>
              <w:jc w:val="center"/>
            </w:pPr>
            <w:r>
              <w:rPr>
                <w:rFonts w:hint="eastAsia"/>
              </w:rPr>
              <w:t>1928年</w:t>
            </w:r>
          </w:p>
        </w:tc>
        <w:tc>
          <w:tcPr>
            <w:tcW w:w="1066" w:type="pct"/>
            <w:vAlign w:val="center"/>
          </w:tcPr>
          <w:p w14:paraId="718E8445">
            <w:pPr>
              <w:pStyle w:val="12"/>
              <w:jc w:val="left"/>
            </w:pPr>
            <w:r>
              <w:rPr>
                <w:rFonts w:hint="eastAsia"/>
              </w:rPr>
              <w:t>油山游击队队员</w:t>
            </w:r>
          </w:p>
        </w:tc>
        <w:tc>
          <w:tcPr>
            <w:tcW w:w="1162" w:type="pct"/>
            <w:vAlign w:val="center"/>
          </w:tcPr>
          <w:p w14:paraId="4C0C95E9">
            <w:pPr>
              <w:pStyle w:val="12"/>
              <w:jc w:val="left"/>
            </w:pPr>
            <w:r>
              <w:rPr>
                <w:rFonts w:hint="eastAsia"/>
              </w:rPr>
              <w:t>1929年冬在新田被捕，在县城郊就义</w:t>
            </w:r>
          </w:p>
        </w:tc>
      </w:tr>
      <w:tr w14:paraId="1714281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4030D8F">
            <w:pPr>
              <w:pStyle w:val="12"/>
              <w:jc w:val="center"/>
            </w:pPr>
            <w:r>
              <w:rPr>
                <w:rFonts w:hint="eastAsia"/>
              </w:rPr>
              <w:t>雷会财</w:t>
            </w:r>
          </w:p>
        </w:tc>
        <w:tc>
          <w:tcPr>
            <w:tcW w:w="388" w:type="pct"/>
            <w:vAlign w:val="center"/>
          </w:tcPr>
          <w:p w14:paraId="39663616">
            <w:pPr>
              <w:pStyle w:val="12"/>
              <w:jc w:val="center"/>
            </w:pPr>
            <w:r>
              <w:rPr>
                <w:rFonts w:hint="eastAsia"/>
              </w:rPr>
              <w:t>男</w:t>
            </w:r>
          </w:p>
        </w:tc>
        <w:tc>
          <w:tcPr>
            <w:tcW w:w="582" w:type="pct"/>
            <w:vAlign w:val="center"/>
          </w:tcPr>
          <w:p w14:paraId="78DB932E">
            <w:pPr>
              <w:pStyle w:val="12"/>
              <w:jc w:val="center"/>
            </w:pPr>
            <w:r>
              <w:rPr>
                <w:rFonts w:hint="eastAsia"/>
              </w:rPr>
              <w:t>1872年</w:t>
            </w:r>
          </w:p>
        </w:tc>
        <w:tc>
          <w:tcPr>
            <w:tcW w:w="582" w:type="pct"/>
            <w:vAlign w:val="center"/>
          </w:tcPr>
          <w:p w14:paraId="76794527">
            <w:pPr>
              <w:pStyle w:val="12"/>
              <w:jc w:val="center"/>
            </w:pPr>
            <w:r>
              <w:rPr>
                <w:rFonts w:hint="eastAsia"/>
              </w:rPr>
              <w:t>油山镇</w:t>
            </w:r>
          </w:p>
        </w:tc>
        <w:tc>
          <w:tcPr>
            <w:tcW w:w="582" w:type="pct"/>
            <w:vAlign w:val="center"/>
          </w:tcPr>
          <w:p w14:paraId="679560A0">
            <w:pPr>
              <w:pStyle w:val="12"/>
              <w:jc w:val="center"/>
            </w:pPr>
            <w:r>
              <w:rPr>
                <w:rFonts w:hint="eastAsia"/>
              </w:rPr>
              <w:t>1929年9月</w:t>
            </w:r>
          </w:p>
        </w:tc>
        <w:tc>
          <w:tcPr>
            <w:tcW w:w="1066" w:type="pct"/>
            <w:vAlign w:val="center"/>
          </w:tcPr>
          <w:p w14:paraId="76DAD1BB">
            <w:pPr>
              <w:pStyle w:val="12"/>
              <w:jc w:val="left"/>
            </w:pPr>
            <w:r>
              <w:rPr>
                <w:rFonts w:hint="eastAsia"/>
              </w:rPr>
              <w:t>油山游击队队员</w:t>
            </w:r>
          </w:p>
        </w:tc>
        <w:tc>
          <w:tcPr>
            <w:tcW w:w="1162" w:type="pct"/>
            <w:vAlign w:val="center"/>
          </w:tcPr>
          <w:p w14:paraId="5DC64248">
            <w:pPr>
              <w:pStyle w:val="12"/>
              <w:jc w:val="left"/>
            </w:pPr>
            <w:r>
              <w:rPr>
                <w:rFonts w:hint="eastAsia"/>
              </w:rPr>
              <w:t>1929年9月在乌迳窑上作战牺牲</w:t>
            </w:r>
          </w:p>
        </w:tc>
      </w:tr>
      <w:tr w14:paraId="5F8934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4A9C51F">
            <w:pPr>
              <w:pStyle w:val="12"/>
              <w:jc w:val="center"/>
            </w:pPr>
            <w:r>
              <w:rPr>
                <w:rFonts w:hint="eastAsia"/>
              </w:rPr>
              <w:t>丁仁熙</w:t>
            </w:r>
          </w:p>
        </w:tc>
        <w:tc>
          <w:tcPr>
            <w:tcW w:w="388" w:type="pct"/>
            <w:vAlign w:val="center"/>
          </w:tcPr>
          <w:p w14:paraId="2B64ADEE">
            <w:pPr>
              <w:pStyle w:val="12"/>
              <w:jc w:val="center"/>
            </w:pPr>
            <w:r>
              <w:rPr>
                <w:rFonts w:hint="eastAsia"/>
              </w:rPr>
              <w:t>男</w:t>
            </w:r>
          </w:p>
        </w:tc>
        <w:tc>
          <w:tcPr>
            <w:tcW w:w="582" w:type="pct"/>
            <w:vAlign w:val="center"/>
          </w:tcPr>
          <w:p w14:paraId="1F33ED88">
            <w:pPr>
              <w:pStyle w:val="12"/>
              <w:jc w:val="center"/>
            </w:pPr>
            <w:r>
              <w:rPr>
                <w:rFonts w:hint="eastAsia"/>
              </w:rPr>
              <w:t>1902年</w:t>
            </w:r>
          </w:p>
        </w:tc>
        <w:tc>
          <w:tcPr>
            <w:tcW w:w="582" w:type="pct"/>
            <w:vAlign w:val="center"/>
          </w:tcPr>
          <w:p w14:paraId="5534D250">
            <w:pPr>
              <w:pStyle w:val="12"/>
              <w:jc w:val="center"/>
            </w:pPr>
            <w:r>
              <w:rPr>
                <w:rFonts w:hint="eastAsia"/>
              </w:rPr>
              <w:t>湖口镇</w:t>
            </w:r>
          </w:p>
        </w:tc>
        <w:tc>
          <w:tcPr>
            <w:tcW w:w="582" w:type="pct"/>
            <w:vAlign w:val="center"/>
          </w:tcPr>
          <w:p w14:paraId="50FCDBAC">
            <w:pPr>
              <w:pStyle w:val="12"/>
              <w:jc w:val="center"/>
            </w:pPr>
            <w:r>
              <w:rPr>
                <w:rFonts w:hint="eastAsia"/>
              </w:rPr>
              <w:t>1929年</w:t>
            </w:r>
          </w:p>
        </w:tc>
        <w:tc>
          <w:tcPr>
            <w:tcW w:w="1066" w:type="pct"/>
            <w:vAlign w:val="center"/>
          </w:tcPr>
          <w:p w14:paraId="2C40F47C">
            <w:pPr>
              <w:pStyle w:val="12"/>
              <w:jc w:val="left"/>
            </w:pPr>
            <w:r>
              <w:rPr>
                <w:rFonts w:hint="eastAsia"/>
              </w:rPr>
              <w:t>油山游击队队员</w:t>
            </w:r>
          </w:p>
        </w:tc>
        <w:tc>
          <w:tcPr>
            <w:tcW w:w="1162" w:type="pct"/>
            <w:vAlign w:val="center"/>
          </w:tcPr>
          <w:p w14:paraId="7E51968C">
            <w:pPr>
              <w:pStyle w:val="12"/>
              <w:jc w:val="left"/>
            </w:pPr>
            <w:r>
              <w:rPr>
                <w:rFonts w:hint="eastAsia"/>
              </w:rPr>
              <w:t>1929年冬在江西大余县白石巷被捕，在南雄城郊就义</w:t>
            </w:r>
          </w:p>
        </w:tc>
      </w:tr>
      <w:tr w14:paraId="485137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A43FA5E">
            <w:pPr>
              <w:pStyle w:val="12"/>
              <w:jc w:val="center"/>
            </w:pPr>
            <w:r>
              <w:rPr>
                <w:rFonts w:hint="eastAsia"/>
              </w:rPr>
              <w:t>戴贤相</w:t>
            </w:r>
          </w:p>
        </w:tc>
        <w:tc>
          <w:tcPr>
            <w:tcW w:w="388" w:type="pct"/>
            <w:vAlign w:val="center"/>
          </w:tcPr>
          <w:p w14:paraId="5A88AC12">
            <w:pPr>
              <w:pStyle w:val="12"/>
              <w:jc w:val="center"/>
            </w:pPr>
            <w:r>
              <w:rPr>
                <w:rFonts w:hint="eastAsia"/>
              </w:rPr>
              <w:t>男</w:t>
            </w:r>
          </w:p>
        </w:tc>
        <w:tc>
          <w:tcPr>
            <w:tcW w:w="582" w:type="pct"/>
            <w:vAlign w:val="center"/>
          </w:tcPr>
          <w:p w14:paraId="586F9892">
            <w:pPr>
              <w:pStyle w:val="12"/>
              <w:jc w:val="center"/>
            </w:pPr>
            <w:r>
              <w:rPr>
                <w:rFonts w:hint="eastAsia"/>
              </w:rPr>
              <w:t>1897年</w:t>
            </w:r>
          </w:p>
        </w:tc>
        <w:tc>
          <w:tcPr>
            <w:tcW w:w="582" w:type="pct"/>
            <w:vAlign w:val="center"/>
          </w:tcPr>
          <w:p w14:paraId="43A1F2AE">
            <w:pPr>
              <w:pStyle w:val="12"/>
              <w:jc w:val="center"/>
            </w:pPr>
            <w:r>
              <w:rPr>
                <w:rFonts w:hint="eastAsia"/>
              </w:rPr>
              <w:t>湖口镇</w:t>
            </w:r>
          </w:p>
        </w:tc>
        <w:tc>
          <w:tcPr>
            <w:tcW w:w="582" w:type="pct"/>
            <w:vAlign w:val="center"/>
          </w:tcPr>
          <w:p w14:paraId="5DC40178">
            <w:pPr>
              <w:pStyle w:val="12"/>
              <w:jc w:val="center"/>
            </w:pPr>
            <w:r>
              <w:rPr>
                <w:rFonts w:hint="eastAsia"/>
              </w:rPr>
              <w:t>1927年</w:t>
            </w:r>
          </w:p>
        </w:tc>
        <w:tc>
          <w:tcPr>
            <w:tcW w:w="1066" w:type="pct"/>
            <w:vAlign w:val="center"/>
          </w:tcPr>
          <w:p w14:paraId="5F9E4E58">
            <w:pPr>
              <w:pStyle w:val="12"/>
              <w:jc w:val="left"/>
            </w:pPr>
            <w:r>
              <w:rPr>
                <w:rFonts w:hint="eastAsia"/>
              </w:rPr>
              <w:t>油山游击队队员</w:t>
            </w:r>
          </w:p>
        </w:tc>
        <w:tc>
          <w:tcPr>
            <w:tcW w:w="1162" w:type="pct"/>
            <w:vAlign w:val="center"/>
          </w:tcPr>
          <w:p w14:paraId="2C1C763E">
            <w:pPr>
              <w:pStyle w:val="12"/>
              <w:jc w:val="left"/>
            </w:pPr>
            <w:r>
              <w:rPr>
                <w:rFonts w:hint="eastAsia"/>
              </w:rPr>
              <w:t>1929年在湖口赤塔村被捕，在县城郊就义</w:t>
            </w:r>
          </w:p>
        </w:tc>
      </w:tr>
      <w:tr w14:paraId="67B079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7460658">
            <w:pPr>
              <w:pStyle w:val="12"/>
              <w:jc w:val="center"/>
            </w:pPr>
            <w:r>
              <w:rPr>
                <w:rFonts w:hint="eastAsia"/>
              </w:rPr>
              <w:t>张大顺</w:t>
            </w:r>
          </w:p>
        </w:tc>
        <w:tc>
          <w:tcPr>
            <w:tcW w:w="388" w:type="pct"/>
            <w:vAlign w:val="center"/>
          </w:tcPr>
          <w:p w14:paraId="5EAADD8A">
            <w:pPr>
              <w:pStyle w:val="12"/>
              <w:jc w:val="center"/>
            </w:pPr>
            <w:r>
              <w:rPr>
                <w:rFonts w:hint="eastAsia"/>
              </w:rPr>
              <w:t>男</w:t>
            </w:r>
          </w:p>
        </w:tc>
        <w:tc>
          <w:tcPr>
            <w:tcW w:w="582" w:type="pct"/>
            <w:vAlign w:val="center"/>
          </w:tcPr>
          <w:p w14:paraId="710AA3DA">
            <w:pPr>
              <w:pStyle w:val="12"/>
              <w:jc w:val="center"/>
            </w:pPr>
            <w:r>
              <w:rPr>
                <w:rFonts w:hint="eastAsia"/>
              </w:rPr>
              <w:t>1901年</w:t>
            </w:r>
          </w:p>
        </w:tc>
        <w:tc>
          <w:tcPr>
            <w:tcW w:w="582" w:type="pct"/>
            <w:vAlign w:val="center"/>
          </w:tcPr>
          <w:p w14:paraId="18E385C4">
            <w:pPr>
              <w:pStyle w:val="12"/>
              <w:jc w:val="center"/>
            </w:pPr>
            <w:r>
              <w:rPr>
                <w:rFonts w:hint="eastAsia"/>
              </w:rPr>
              <w:t>湖口镇</w:t>
            </w:r>
          </w:p>
        </w:tc>
        <w:tc>
          <w:tcPr>
            <w:tcW w:w="582" w:type="pct"/>
            <w:vAlign w:val="center"/>
          </w:tcPr>
          <w:p w14:paraId="73ED2C83">
            <w:pPr>
              <w:pStyle w:val="12"/>
              <w:jc w:val="center"/>
            </w:pPr>
            <w:r>
              <w:rPr>
                <w:rFonts w:hint="eastAsia"/>
              </w:rPr>
              <w:t>1927年</w:t>
            </w:r>
          </w:p>
        </w:tc>
        <w:tc>
          <w:tcPr>
            <w:tcW w:w="1066" w:type="pct"/>
            <w:vAlign w:val="center"/>
          </w:tcPr>
          <w:p w14:paraId="4BF332E7">
            <w:pPr>
              <w:pStyle w:val="12"/>
              <w:jc w:val="left"/>
            </w:pPr>
            <w:r>
              <w:rPr>
                <w:rFonts w:hint="eastAsia"/>
              </w:rPr>
              <w:t>油山游击队队员</w:t>
            </w:r>
          </w:p>
        </w:tc>
        <w:tc>
          <w:tcPr>
            <w:tcW w:w="1162" w:type="pct"/>
            <w:vAlign w:val="center"/>
          </w:tcPr>
          <w:p w14:paraId="757DD887">
            <w:pPr>
              <w:pStyle w:val="12"/>
              <w:jc w:val="left"/>
            </w:pPr>
            <w:r>
              <w:rPr>
                <w:rFonts w:hint="eastAsia"/>
              </w:rPr>
              <w:t>1929年在湖口赤塔村被捕，在县城郊就义</w:t>
            </w:r>
          </w:p>
        </w:tc>
      </w:tr>
      <w:tr w14:paraId="658D5CC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65D6DA8">
            <w:pPr>
              <w:pStyle w:val="12"/>
              <w:jc w:val="center"/>
            </w:pPr>
            <w:r>
              <w:rPr>
                <w:rFonts w:hint="eastAsia"/>
              </w:rPr>
              <w:t>饶宗胜</w:t>
            </w:r>
          </w:p>
        </w:tc>
        <w:tc>
          <w:tcPr>
            <w:tcW w:w="388" w:type="pct"/>
            <w:vAlign w:val="center"/>
          </w:tcPr>
          <w:p w14:paraId="54CAE5C6">
            <w:pPr>
              <w:pStyle w:val="12"/>
              <w:jc w:val="center"/>
            </w:pPr>
            <w:r>
              <w:rPr>
                <w:rFonts w:hint="eastAsia"/>
              </w:rPr>
              <w:t>男</w:t>
            </w:r>
          </w:p>
        </w:tc>
        <w:tc>
          <w:tcPr>
            <w:tcW w:w="582" w:type="pct"/>
            <w:vAlign w:val="center"/>
          </w:tcPr>
          <w:p w14:paraId="45C96016">
            <w:pPr>
              <w:pStyle w:val="12"/>
              <w:jc w:val="center"/>
            </w:pPr>
            <w:r>
              <w:rPr>
                <w:rFonts w:hint="eastAsia"/>
              </w:rPr>
              <w:t>1875年</w:t>
            </w:r>
          </w:p>
        </w:tc>
        <w:tc>
          <w:tcPr>
            <w:tcW w:w="582" w:type="pct"/>
            <w:vAlign w:val="center"/>
          </w:tcPr>
          <w:p w14:paraId="519E4251">
            <w:pPr>
              <w:pStyle w:val="12"/>
              <w:jc w:val="center"/>
            </w:pPr>
            <w:r>
              <w:rPr>
                <w:rFonts w:hint="eastAsia"/>
              </w:rPr>
              <w:t>湖口镇</w:t>
            </w:r>
          </w:p>
        </w:tc>
        <w:tc>
          <w:tcPr>
            <w:tcW w:w="582" w:type="pct"/>
            <w:vAlign w:val="center"/>
          </w:tcPr>
          <w:p w14:paraId="19176865">
            <w:pPr>
              <w:pStyle w:val="12"/>
              <w:jc w:val="center"/>
            </w:pPr>
            <w:r>
              <w:rPr>
                <w:rFonts w:hint="eastAsia"/>
              </w:rPr>
              <w:t>1928年</w:t>
            </w:r>
          </w:p>
        </w:tc>
        <w:tc>
          <w:tcPr>
            <w:tcW w:w="1066" w:type="pct"/>
            <w:vAlign w:val="center"/>
          </w:tcPr>
          <w:p w14:paraId="507F5049">
            <w:pPr>
              <w:pStyle w:val="12"/>
              <w:jc w:val="left"/>
            </w:pPr>
            <w:r>
              <w:rPr>
                <w:rFonts w:hint="eastAsia"/>
              </w:rPr>
              <w:t>油山游击队队员</w:t>
            </w:r>
          </w:p>
        </w:tc>
        <w:tc>
          <w:tcPr>
            <w:tcW w:w="1162" w:type="pct"/>
            <w:vAlign w:val="center"/>
          </w:tcPr>
          <w:p w14:paraId="2CD658A1">
            <w:pPr>
              <w:pStyle w:val="12"/>
              <w:jc w:val="left"/>
            </w:pPr>
            <w:r>
              <w:rPr>
                <w:rFonts w:hint="eastAsia"/>
              </w:rPr>
              <w:t>1929年在湖口赤溪湖被捕，在县城郊就义</w:t>
            </w:r>
          </w:p>
        </w:tc>
      </w:tr>
      <w:tr w14:paraId="5AADE8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A88C053">
            <w:pPr>
              <w:pStyle w:val="12"/>
              <w:jc w:val="center"/>
            </w:pPr>
            <w:r>
              <w:rPr>
                <w:rFonts w:hint="eastAsia"/>
              </w:rPr>
              <w:t>黄履通</w:t>
            </w:r>
          </w:p>
        </w:tc>
        <w:tc>
          <w:tcPr>
            <w:tcW w:w="388" w:type="pct"/>
            <w:vAlign w:val="center"/>
          </w:tcPr>
          <w:p w14:paraId="5C106CC8">
            <w:pPr>
              <w:pStyle w:val="12"/>
              <w:jc w:val="center"/>
            </w:pPr>
            <w:r>
              <w:rPr>
                <w:rFonts w:hint="eastAsia"/>
              </w:rPr>
              <w:t>男</w:t>
            </w:r>
          </w:p>
        </w:tc>
        <w:tc>
          <w:tcPr>
            <w:tcW w:w="582" w:type="pct"/>
            <w:vAlign w:val="center"/>
          </w:tcPr>
          <w:p w14:paraId="3655CB06">
            <w:pPr>
              <w:pStyle w:val="12"/>
              <w:jc w:val="center"/>
            </w:pPr>
            <w:r>
              <w:rPr>
                <w:rFonts w:hint="eastAsia"/>
              </w:rPr>
              <w:t>1906年</w:t>
            </w:r>
          </w:p>
        </w:tc>
        <w:tc>
          <w:tcPr>
            <w:tcW w:w="582" w:type="pct"/>
            <w:vAlign w:val="center"/>
          </w:tcPr>
          <w:p w14:paraId="4BF6D9F8">
            <w:pPr>
              <w:pStyle w:val="12"/>
              <w:jc w:val="center"/>
            </w:pPr>
            <w:r>
              <w:rPr>
                <w:rFonts w:hint="eastAsia"/>
              </w:rPr>
              <w:t>湖口镇</w:t>
            </w:r>
          </w:p>
        </w:tc>
        <w:tc>
          <w:tcPr>
            <w:tcW w:w="582" w:type="pct"/>
            <w:vAlign w:val="center"/>
          </w:tcPr>
          <w:p w14:paraId="19122DE2">
            <w:pPr>
              <w:pStyle w:val="12"/>
              <w:jc w:val="center"/>
            </w:pPr>
            <w:r>
              <w:rPr>
                <w:rFonts w:hint="eastAsia"/>
              </w:rPr>
              <w:t>1927年</w:t>
            </w:r>
          </w:p>
        </w:tc>
        <w:tc>
          <w:tcPr>
            <w:tcW w:w="1066" w:type="pct"/>
            <w:vAlign w:val="center"/>
          </w:tcPr>
          <w:p w14:paraId="3D72EBA4">
            <w:pPr>
              <w:pStyle w:val="12"/>
              <w:jc w:val="left"/>
            </w:pPr>
            <w:r>
              <w:rPr>
                <w:rFonts w:hint="eastAsia"/>
              </w:rPr>
              <w:t>油山游击队队员</w:t>
            </w:r>
          </w:p>
        </w:tc>
        <w:tc>
          <w:tcPr>
            <w:tcW w:w="1162" w:type="pct"/>
            <w:vAlign w:val="center"/>
          </w:tcPr>
          <w:p w14:paraId="42BF91FE">
            <w:pPr>
              <w:pStyle w:val="12"/>
              <w:jc w:val="left"/>
            </w:pPr>
            <w:r>
              <w:rPr>
                <w:rFonts w:hint="eastAsia"/>
              </w:rPr>
              <w:t>1929年在江西省盐长圩被捕，在南雄黄泥塘就义</w:t>
            </w:r>
          </w:p>
        </w:tc>
      </w:tr>
      <w:tr w14:paraId="6B4F64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3EABDAF">
            <w:pPr>
              <w:pStyle w:val="12"/>
              <w:jc w:val="center"/>
            </w:pPr>
            <w:r>
              <w:rPr>
                <w:rFonts w:hint="eastAsia"/>
              </w:rPr>
              <w:t>陈如贵</w:t>
            </w:r>
          </w:p>
        </w:tc>
        <w:tc>
          <w:tcPr>
            <w:tcW w:w="388" w:type="pct"/>
            <w:vAlign w:val="center"/>
          </w:tcPr>
          <w:p w14:paraId="41AA7BC7">
            <w:pPr>
              <w:pStyle w:val="12"/>
              <w:jc w:val="center"/>
            </w:pPr>
            <w:r>
              <w:rPr>
                <w:rFonts w:hint="eastAsia"/>
              </w:rPr>
              <w:t>男</w:t>
            </w:r>
          </w:p>
        </w:tc>
        <w:tc>
          <w:tcPr>
            <w:tcW w:w="582" w:type="pct"/>
            <w:vAlign w:val="center"/>
          </w:tcPr>
          <w:p w14:paraId="3E21D97F">
            <w:pPr>
              <w:pStyle w:val="12"/>
              <w:jc w:val="center"/>
            </w:pPr>
            <w:r>
              <w:rPr>
                <w:rFonts w:hint="eastAsia"/>
              </w:rPr>
              <w:t>1899年</w:t>
            </w:r>
          </w:p>
        </w:tc>
        <w:tc>
          <w:tcPr>
            <w:tcW w:w="582" w:type="pct"/>
            <w:vAlign w:val="center"/>
          </w:tcPr>
          <w:p w14:paraId="1C69F804">
            <w:pPr>
              <w:pStyle w:val="12"/>
              <w:jc w:val="center"/>
            </w:pPr>
            <w:r>
              <w:rPr>
                <w:rFonts w:hint="eastAsia"/>
              </w:rPr>
              <w:t>湖口镇</w:t>
            </w:r>
          </w:p>
        </w:tc>
        <w:tc>
          <w:tcPr>
            <w:tcW w:w="582" w:type="pct"/>
            <w:vAlign w:val="center"/>
          </w:tcPr>
          <w:p w14:paraId="77032D89">
            <w:pPr>
              <w:pStyle w:val="12"/>
              <w:jc w:val="center"/>
            </w:pPr>
            <w:r>
              <w:rPr>
                <w:rFonts w:hint="eastAsia"/>
              </w:rPr>
              <w:t>1929年</w:t>
            </w:r>
          </w:p>
        </w:tc>
        <w:tc>
          <w:tcPr>
            <w:tcW w:w="1066" w:type="pct"/>
            <w:vAlign w:val="center"/>
          </w:tcPr>
          <w:p w14:paraId="21E77A69">
            <w:pPr>
              <w:pStyle w:val="12"/>
              <w:jc w:val="left"/>
            </w:pPr>
            <w:r>
              <w:rPr>
                <w:rFonts w:hint="eastAsia"/>
              </w:rPr>
              <w:t>赤卫队员</w:t>
            </w:r>
          </w:p>
        </w:tc>
        <w:tc>
          <w:tcPr>
            <w:tcW w:w="1162" w:type="pct"/>
            <w:vAlign w:val="center"/>
          </w:tcPr>
          <w:p w14:paraId="53A4EF7C">
            <w:pPr>
              <w:pStyle w:val="12"/>
              <w:jc w:val="left"/>
            </w:pPr>
            <w:r>
              <w:rPr>
                <w:rFonts w:hint="eastAsia"/>
              </w:rPr>
              <w:t>1929年冬，在当地被捕，在县城郊就义</w:t>
            </w:r>
          </w:p>
        </w:tc>
      </w:tr>
      <w:tr w14:paraId="0DA363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9636529">
            <w:pPr>
              <w:pStyle w:val="12"/>
              <w:jc w:val="center"/>
            </w:pPr>
            <w:r>
              <w:rPr>
                <w:rFonts w:hint="eastAsia"/>
              </w:rPr>
              <w:t>张祥戬</w:t>
            </w:r>
          </w:p>
        </w:tc>
        <w:tc>
          <w:tcPr>
            <w:tcW w:w="388" w:type="pct"/>
            <w:vAlign w:val="center"/>
          </w:tcPr>
          <w:p w14:paraId="74915750">
            <w:pPr>
              <w:pStyle w:val="12"/>
              <w:jc w:val="center"/>
            </w:pPr>
            <w:r>
              <w:rPr>
                <w:rFonts w:hint="eastAsia"/>
              </w:rPr>
              <w:t>男</w:t>
            </w:r>
          </w:p>
        </w:tc>
        <w:tc>
          <w:tcPr>
            <w:tcW w:w="582" w:type="pct"/>
            <w:vAlign w:val="center"/>
          </w:tcPr>
          <w:p w14:paraId="43DAF83F">
            <w:pPr>
              <w:pStyle w:val="12"/>
              <w:jc w:val="center"/>
            </w:pPr>
            <w:r>
              <w:rPr>
                <w:rFonts w:hint="eastAsia"/>
              </w:rPr>
              <w:t>1875年</w:t>
            </w:r>
          </w:p>
        </w:tc>
        <w:tc>
          <w:tcPr>
            <w:tcW w:w="582" w:type="pct"/>
            <w:vAlign w:val="center"/>
          </w:tcPr>
          <w:p w14:paraId="22B33064">
            <w:pPr>
              <w:pStyle w:val="12"/>
              <w:jc w:val="center"/>
            </w:pPr>
            <w:r>
              <w:rPr>
                <w:rFonts w:hint="eastAsia"/>
              </w:rPr>
              <w:t>湖口镇</w:t>
            </w:r>
          </w:p>
        </w:tc>
        <w:tc>
          <w:tcPr>
            <w:tcW w:w="582" w:type="pct"/>
            <w:vAlign w:val="center"/>
          </w:tcPr>
          <w:p w14:paraId="284C0E7F">
            <w:pPr>
              <w:pStyle w:val="12"/>
              <w:jc w:val="center"/>
            </w:pPr>
            <w:r>
              <w:rPr>
                <w:rFonts w:hint="eastAsia"/>
              </w:rPr>
              <w:t>1927年</w:t>
            </w:r>
          </w:p>
        </w:tc>
        <w:tc>
          <w:tcPr>
            <w:tcW w:w="1066" w:type="pct"/>
            <w:vAlign w:val="center"/>
          </w:tcPr>
          <w:p w14:paraId="166F613F">
            <w:pPr>
              <w:pStyle w:val="12"/>
              <w:jc w:val="left"/>
            </w:pPr>
            <w:r>
              <w:rPr>
                <w:rFonts w:hint="eastAsia"/>
              </w:rPr>
              <w:t>油山游击队队员</w:t>
            </w:r>
          </w:p>
        </w:tc>
        <w:tc>
          <w:tcPr>
            <w:tcW w:w="1162" w:type="pct"/>
            <w:vAlign w:val="center"/>
          </w:tcPr>
          <w:p w14:paraId="19113A8A">
            <w:pPr>
              <w:pStyle w:val="12"/>
              <w:jc w:val="left"/>
            </w:pPr>
            <w:r>
              <w:rPr>
                <w:rFonts w:hint="eastAsia"/>
              </w:rPr>
              <w:t>1929年在湖口马头石被捕，在南雄城郊就义</w:t>
            </w:r>
          </w:p>
        </w:tc>
      </w:tr>
      <w:tr w14:paraId="4ADB7C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7D128E3">
            <w:pPr>
              <w:pStyle w:val="12"/>
              <w:jc w:val="center"/>
            </w:pPr>
            <w:r>
              <w:rPr>
                <w:rFonts w:hint="eastAsia"/>
              </w:rPr>
              <w:t>张祥龙</w:t>
            </w:r>
          </w:p>
        </w:tc>
        <w:tc>
          <w:tcPr>
            <w:tcW w:w="388" w:type="pct"/>
            <w:vAlign w:val="center"/>
          </w:tcPr>
          <w:p w14:paraId="64DB8161">
            <w:pPr>
              <w:pStyle w:val="12"/>
              <w:jc w:val="center"/>
            </w:pPr>
            <w:r>
              <w:rPr>
                <w:rFonts w:hint="eastAsia"/>
              </w:rPr>
              <w:t>男</w:t>
            </w:r>
          </w:p>
        </w:tc>
        <w:tc>
          <w:tcPr>
            <w:tcW w:w="582" w:type="pct"/>
            <w:vAlign w:val="center"/>
          </w:tcPr>
          <w:p w14:paraId="62FE590E">
            <w:pPr>
              <w:pStyle w:val="12"/>
              <w:jc w:val="center"/>
            </w:pPr>
            <w:r>
              <w:rPr>
                <w:rFonts w:hint="eastAsia"/>
              </w:rPr>
              <w:t>1891年</w:t>
            </w:r>
          </w:p>
        </w:tc>
        <w:tc>
          <w:tcPr>
            <w:tcW w:w="582" w:type="pct"/>
            <w:vAlign w:val="center"/>
          </w:tcPr>
          <w:p w14:paraId="1D12D15B">
            <w:pPr>
              <w:pStyle w:val="12"/>
              <w:jc w:val="center"/>
            </w:pPr>
            <w:r>
              <w:rPr>
                <w:rFonts w:hint="eastAsia"/>
              </w:rPr>
              <w:t>湖口镇</w:t>
            </w:r>
          </w:p>
        </w:tc>
        <w:tc>
          <w:tcPr>
            <w:tcW w:w="582" w:type="pct"/>
            <w:vAlign w:val="center"/>
          </w:tcPr>
          <w:p w14:paraId="6EE14CDE">
            <w:pPr>
              <w:pStyle w:val="12"/>
              <w:jc w:val="center"/>
            </w:pPr>
            <w:r>
              <w:rPr>
                <w:rFonts w:hint="eastAsia"/>
              </w:rPr>
              <w:t>1929年</w:t>
            </w:r>
          </w:p>
        </w:tc>
        <w:tc>
          <w:tcPr>
            <w:tcW w:w="1066" w:type="pct"/>
            <w:vAlign w:val="center"/>
          </w:tcPr>
          <w:p w14:paraId="5D188715">
            <w:pPr>
              <w:pStyle w:val="12"/>
              <w:jc w:val="left"/>
            </w:pPr>
            <w:r>
              <w:rPr>
                <w:rFonts w:hint="eastAsia"/>
              </w:rPr>
              <w:t>油山游击队队员</w:t>
            </w:r>
          </w:p>
        </w:tc>
        <w:tc>
          <w:tcPr>
            <w:tcW w:w="1162" w:type="pct"/>
            <w:vAlign w:val="center"/>
          </w:tcPr>
          <w:p w14:paraId="385E308B">
            <w:pPr>
              <w:pStyle w:val="12"/>
              <w:jc w:val="left"/>
            </w:pPr>
            <w:r>
              <w:rPr>
                <w:rFonts w:hint="eastAsia"/>
              </w:rPr>
              <w:t>1929年在江西大余县内良被捕就义</w:t>
            </w:r>
          </w:p>
        </w:tc>
      </w:tr>
      <w:tr w14:paraId="53BE628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E09D24A">
            <w:pPr>
              <w:pStyle w:val="12"/>
              <w:jc w:val="center"/>
            </w:pPr>
            <w:r>
              <w:rPr>
                <w:rFonts w:hint="eastAsia"/>
              </w:rPr>
              <w:t>张细毛</w:t>
            </w:r>
          </w:p>
        </w:tc>
        <w:tc>
          <w:tcPr>
            <w:tcW w:w="388" w:type="pct"/>
            <w:vAlign w:val="center"/>
          </w:tcPr>
          <w:p w14:paraId="32D2772E">
            <w:pPr>
              <w:pStyle w:val="12"/>
              <w:jc w:val="center"/>
            </w:pPr>
            <w:r>
              <w:rPr>
                <w:rFonts w:hint="eastAsia"/>
              </w:rPr>
              <w:t>男</w:t>
            </w:r>
          </w:p>
        </w:tc>
        <w:tc>
          <w:tcPr>
            <w:tcW w:w="582" w:type="pct"/>
            <w:vAlign w:val="center"/>
          </w:tcPr>
          <w:p w14:paraId="776734D0">
            <w:pPr>
              <w:pStyle w:val="12"/>
              <w:jc w:val="center"/>
            </w:pPr>
            <w:r>
              <w:rPr>
                <w:rFonts w:hint="eastAsia"/>
              </w:rPr>
              <w:t>1887年</w:t>
            </w:r>
          </w:p>
        </w:tc>
        <w:tc>
          <w:tcPr>
            <w:tcW w:w="582" w:type="pct"/>
            <w:vAlign w:val="center"/>
          </w:tcPr>
          <w:p w14:paraId="2E60302F">
            <w:pPr>
              <w:pStyle w:val="12"/>
              <w:jc w:val="center"/>
            </w:pPr>
            <w:r>
              <w:rPr>
                <w:rFonts w:hint="eastAsia"/>
              </w:rPr>
              <w:t>湖口镇</w:t>
            </w:r>
          </w:p>
        </w:tc>
        <w:tc>
          <w:tcPr>
            <w:tcW w:w="582" w:type="pct"/>
            <w:vAlign w:val="center"/>
          </w:tcPr>
          <w:p w14:paraId="51074CA7">
            <w:pPr>
              <w:pStyle w:val="12"/>
              <w:jc w:val="center"/>
            </w:pPr>
            <w:r>
              <w:rPr>
                <w:rFonts w:hint="eastAsia"/>
              </w:rPr>
              <w:t>1929年</w:t>
            </w:r>
          </w:p>
        </w:tc>
        <w:tc>
          <w:tcPr>
            <w:tcW w:w="1066" w:type="pct"/>
            <w:vAlign w:val="center"/>
          </w:tcPr>
          <w:p w14:paraId="716B85E5">
            <w:pPr>
              <w:pStyle w:val="12"/>
              <w:jc w:val="left"/>
            </w:pPr>
            <w:r>
              <w:rPr>
                <w:rFonts w:hint="eastAsia"/>
              </w:rPr>
              <w:t>油山游击队队员</w:t>
            </w:r>
          </w:p>
        </w:tc>
        <w:tc>
          <w:tcPr>
            <w:tcW w:w="1162" w:type="pct"/>
            <w:vAlign w:val="center"/>
          </w:tcPr>
          <w:p w14:paraId="66FDCF38">
            <w:pPr>
              <w:pStyle w:val="12"/>
              <w:jc w:val="left"/>
            </w:pPr>
            <w:r>
              <w:rPr>
                <w:rFonts w:hint="eastAsia"/>
              </w:rPr>
              <w:t>1929年在南雄县城被捕就义</w:t>
            </w:r>
          </w:p>
        </w:tc>
      </w:tr>
      <w:tr w14:paraId="4FFB35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1291F1B">
            <w:pPr>
              <w:pStyle w:val="12"/>
              <w:jc w:val="center"/>
            </w:pPr>
            <w:r>
              <w:rPr>
                <w:rFonts w:hint="eastAsia"/>
              </w:rPr>
              <w:t>罗老瞒古</w:t>
            </w:r>
          </w:p>
        </w:tc>
        <w:tc>
          <w:tcPr>
            <w:tcW w:w="388" w:type="pct"/>
            <w:vAlign w:val="center"/>
          </w:tcPr>
          <w:p w14:paraId="1AD357E6">
            <w:pPr>
              <w:pStyle w:val="12"/>
              <w:jc w:val="center"/>
            </w:pPr>
            <w:r>
              <w:rPr>
                <w:rFonts w:hint="eastAsia"/>
              </w:rPr>
              <w:t>男</w:t>
            </w:r>
          </w:p>
        </w:tc>
        <w:tc>
          <w:tcPr>
            <w:tcW w:w="582" w:type="pct"/>
            <w:vAlign w:val="center"/>
          </w:tcPr>
          <w:p w14:paraId="6C147197">
            <w:pPr>
              <w:pStyle w:val="12"/>
              <w:jc w:val="center"/>
            </w:pPr>
            <w:r>
              <w:rPr>
                <w:rFonts w:hint="eastAsia"/>
              </w:rPr>
              <w:t>1889年</w:t>
            </w:r>
          </w:p>
        </w:tc>
        <w:tc>
          <w:tcPr>
            <w:tcW w:w="582" w:type="pct"/>
            <w:vAlign w:val="center"/>
          </w:tcPr>
          <w:p w14:paraId="23F94295">
            <w:pPr>
              <w:pStyle w:val="12"/>
              <w:jc w:val="center"/>
            </w:pPr>
            <w:r>
              <w:rPr>
                <w:rFonts w:hint="eastAsia"/>
              </w:rPr>
              <w:t>湖口镇</w:t>
            </w:r>
          </w:p>
        </w:tc>
        <w:tc>
          <w:tcPr>
            <w:tcW w:w="582" w:type="pct"/>
            <w:vAlign w:val="center"/>
          </w:tcPr>
          <w:p w14:paraId="74249542">
            <w:pPr>
              <w:pStyle w:val="12"/>
              <w:jc w:val="center"/>
            </w:pPr>
            <w:r>
              <w:rPr>
                <w:rFonts w:hint="eastAsia"/>
              </w:rPr>
              <w:t>1928年</w:t>
            </w:r>
          </w:p>
        </w:tc>
        <w:tc>
          <w:tcPr>
            <w:tcW w:w="1066" w:type="pct"/>
            <w:vAlign w:val="center"/>
          </w:tcPr>
          <w:p w14:paraId="2BCAFAF9">
            <w:pPr>
              <w:pStyle w:val="12"/>
              <w:jc w:val="left"/>
              <w:rPr>
                <w:rFonts w:ascii="宋体" w:hAnsi="宋体" w:cs="宋体"/>
              </w:rPr>
            </w:pPr>
            <w:r>
              <w:rPr>
                <w:rFonts w:hint="eastAsia"/>
              </w:rPr>
              <w:t>油山游击队</w:t>
            </w:r>
          </w:p>
          <w:p w14:paraId="2B5837E6">
            <w:pPr>
              <w:pStyle w:val="12"/>
              <w:jc w:val="left"/>
            </w:pPr>
            <w:r>
              <w:rPr>
                <w:rFonts w:hint="eastAsia" w:ascii="宋体" w:hAnsi="宋体" w:cs="宋体"/>
              </w:rPr>
              <w:t>交  通  员</w:t>
            </w:r>
          </w:p>
        </w:tc>
        <w:tc>
          <w:tcPr>
            <w:tcW w:w="1162" w:type="pct"/>
            <w:vAlign w:val="center"/>
          </w:tcPr>
          <w:p w14:paraId="2FE781EF">
            <w:pPr>
              <w:pStyle w:val="12"/>
              <w:jc w:val="left"/>
            </w:pPr>
            <w:r>
              <w:rPr>
                <w:rFonts w:hint="eastAsia"/>
              </w:rPr>
              <w:t>1929年8月在南雄县城被捕就义</w:t>
            </w:r>
          </w:p>
        </w:tc>
      </w:tr>
      <w:tr w14:paraId="4B73FC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97D80F7">
            <w:pPr>
              <w:pStyle w:val="12"/>
              <w:jc w:val="center"/>
            </w:pPr>
            <w:r>
              <w:rPr>
                <w:rFonts w:hint="eastAsia"/>
              </w:rPr>
              <w:t>徐箎云</w:t>
            </w:r>
          </w:p>
        </w:tc>
        <w:tc>
          <w:tcPr>
            <w:tcW w:w="388" w:type="pct"/>
            <w:vAlign w:val="center"/>
          </w:tcPr>
          <w:p w14:paraId="5B83465E">
            <w:pPr>
              <w:pStyle w:val="12"/>
              <w:jc w:val="center"/>
            </w:pPr>
            <w:r>
              <w:rPr>
                <w:rFonts w:hint="eastAsia"/>
              </w:rPr>
              <w:t>男</w:t>
            </w:r>
          </w:p>
        </w:tc>
        <w:tc>
          <w:tcPr>
            <w:tcW w:w="582" w:type="pct"/>
            <w:vAlign w:val="center"/>
          </w:tcPr>
          <w:p w14:paraId="72F38206">
            <w:pPr>
              <w:pStyle w:val="12"/>
              <w:jc w:val="center"/>
            </w:pPr>
            <w:r>
              <w:rPr>
                <w:rFonts w:hint="eastAsia"/>
              </w:rPr>
              <w:t>1894年</w:t>
            </w:r>
          </w:p>
        </w:tc>
        <w:tc>
          <w:tcPr>
            <w:tcW w:w="582" w:type="pct"/>
            <w:vAlign w:val="center"/>
          </w:tcPr>
          <w:p w14:paraId="040408E7">
            <w:pPr>
              <w:pStyle w:val="12"/>
              <w:jc w:val="center"/>
            </w:pPr>
            <w:r>
              <w:rPr>
                <w:rFonts w:hint="eastAsia"/>
              </w:rPr>
              <w:t>湖口镇</w:t>
            </w:r>
          </w:p>
        </w:tc>
        <w:tc>
          <w:tcPr>
            <w:tcW w:w="582" w:type="pct"/>
            <w:vAlign w:val="center"/>
          </w:tcPr>
          <w:p w14:paraId="5FCF9F69">
            <w:pPr>
              <w:pStyle w:val="12"/>
              <w:jc w:val="center"/>
            </w:pPr>
            <w:r>
              <w:rPr>
                <w:rFonts w:hint="eastAsia"/>
              </w:rPr>
              <w:t>1928年</w:t>
            </w:r>
          </w:p>
        </w:tc>
        <w:tc>
          <w:tcPr>
            <w:tcW w:w="1066" w:type="pct"/>
            <w:vAlign w:val="center"/>
          </w:tcPr>
          <w:p w14:paraId="3F9A745A">
            <w:pPr>
              <w:pStyle w:val="12"/>
              <w:jc w:val="left"/>
            </w:pPr>
            <w:r>
              <w:rPr>
                <w:rFonts w:hint="eastAsia"/>
              </w:rPr>
              <w:t>油山游击队队员</w:t>
            </w:r>
          </w:p>
        </w:tc>
        <w:tc>
          <w:tcPr>
            <w:tcW w:w="1162" w:type="pct"/>
            <w:vAlign w:val="center"/>
          </w:tcPr>
          <w:p w14:paraId="277BF336">
            <w:pPr>
              <w:pStyle w:val="12"/>
              <w:jc w:val="left"/>
            </w:pPr>
            <w:r>
              <w:rPr>
                <w:rFonts w:hint="eastAsia"/>
              </w:rPr>
              <w:t>1929年9月在南雄县城被捕就义</w:t>
            </w:r>
          </w:p>
        </w:tc>
      </w:tr>
      <w:tr w14:paraId="62E159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2110A29">
            <w:pPr>
              <w:pStyle w:val="12"/>
              <w:jc w:val="center"/>
            </w:pPr>
            <w:r>
              <w:rPr>
                <w:rFonts w:hint="eastAsia"/>
              </w:rPr>
              <w:t>李英源</w:t>
            </w:r>
          </w:p>
        </w:tc>
        <w:tc>
          <w:tcPr>
            <w:tcW w:w="388" w:type="pct"/>
            <w:vAlign w:val="center"/>
          </w:tcPr>
          <w:p w14:paraId="4508782A">
            <w:pPr>
              <w:pStyle w:val="12"/>
              <w:jc w:val="center"/>
            </w:pPr>
            <w:r>
              <w:rPr>
                <w:rFonts w:hint="eastAsia"/>
              </w:rPr>
              <w:t>男</w:t>
            </w:r>
          </w:p>
        </w:tc>
        <w:tc>
          <w:tcPr>
            <w:tcW w:w="582" w:type="pct"/>
            <w:vAlign w:val="center"/>
          </w:tcPr>
          <w:p w14:paraId="3F12BF6D">
            <w:pPr>
              <w:pStyle w:val="12"/>
              <w:jc w:val="center"/>
            </w:pPr>
            <w:r>
              <w:rPr>
                <w:rFonts w:hint="eastAsia"/>
              </w:rPr>
              <w:t>1880年</w:t>
            </w:r>
          </w:p>
        </w:tc>
        <w:tc>
          <w:tcPr>
            <w:tcW w:w="582" w:type="pct"/>
            <w:vAlign w:val="center"/>
          </w:tcPr>
          <w:p w14:paraId="19B24767">
            <w:pPr>
              <w:pStyle w:val="12"/>
              <w:jc w:val="center"/>
            </w:pPr>
            <w:r>
              <w:rPr>
                <w:rFonts w:hint="eastAsia"/>
              </w:rPr>
              <w:t>湖口镇</w:t>
            </w:r>
          </w:p>
        </w:tc>
        <w:tc>
          <w:tcPr>
            <w:tcW w:w="582" w:type="pct"/>
            <w:vAlign w:val="center"/>
          </w:tcPr>
          <w:p w14:paraId="679E7962">
            <w:pPr>
              <w:pStyle w:val="12"/>
              <w:jc w:val="center"/>
            </w:pPr>
            <w:r>
              <w:rPr>
                <w:rFonts w:hint="eastAsia"/>
              </w:rPr>
              <w:t>1928年</w:t>
            </w:r>
          </w:p>
        </w:tc>
        <w:tc>
          <w:tcPr>
            <w:tcW w:w="1066" w:type="pct"/>
            <w:vAlign w:val="center"/>
          </w:tcPr>
          <w:p w14:paraId="5DF8ECE9">
            <w:pPr>
              <w:pStyle w:val="12"/>
              <w:jc w:val="left"/>
            </w:pPr>
            <w:r>
              <w:rPr>
                <w:rFonts w:hint="eastAsia"/>
              </w:rPr>
              <w:t>油山游击队队员</w:t>
            </w:r>
          </w:p>
        </w:tc>
        <w:tc>
          <w:tcPr>
            <w:tcW w:w="1162" w:type="pct"/>
            <w:vAlign w:val="center"/>
          </w:tcPr>
          <w:p w14:paraId="6BF9C029">
            <w:pPr>
              <w:pStyle w:val="12"/>
              <w:jc w:val="left"/>
            </w:pPr>
            <w:r>
              <w:rPr>
                <w:rFonts w:hint="eastAsia"/>
              </w:rPr>
              <w:t>1929年7月19日在矿岭被捕就义</w:t>
            </w:r>
          </w:p>
        </w:tc>
      </w:tr>
      <w:tr w14:paraId="15D9AF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B6A436D">
            <w:pPr>
              <w:pStyle w:val="12"/>
              <w:jc w:val="center"/>
            </w:pPr>
            <w:r>
              <w:rPr>
                <w:rFonts w:hint="eastAsia"/>
              </w:rPr>
              <w:t>李贤才</w:t>
            </w:r>
          </w:p>
        </w:tc>
        <w:tc>
          <w:tcPr>
            <w:tcW w:w="388" w:type="pct"/>
            <w:vAlign w:val="center"/>
          </w:tcPr>
          <w:p w14:paraId="0E7F76E4">
            <w:pPr>
              <w:pStyle w:val="12"/>
              <w:jc w:val="center"/>
            </w:pPr>
            <w:r>
              <w:rPr>
                <w:rFonts w:hint="eastAsia"/>
              </w:rPr>
              <w:t>男</w:t>
            </w:r>
          </w:p>
        </w:tc>
        <w:tc>
          <w:tcPr>
            <w:tcW w:w="582" w:type="pct"/>
            <w:vAlign w:val="center"/>
          </w:tcPr>
          <w:p w14:paraId="4E7DF3FF">
            <w:pPr>
              <w:pStyle w:val="12"/>
              <w:jc w:val="center"/>
            </w:pPr>
            <w:r>
              <w:rPr>
                <w:rFonts w:hint="eastAsia"/>
              </w:rPr>
              <w:t>1887年</w:t>
            </w:r>
          </w:p>
        </w:tc>
        <w:tc>
          <w:tcPr>
            <w:tcW w:w="582" w:type="pct"/>
            <w:vAlign w:val="center"/>
          </w:tcPr>
          <w:p w14:paraId="64C3489F">
            <w:pPr>
              <w:pStyle w:val="12"/>
              <w:jc w:val="center"/>
            </w:pPr>
            <w:r>
              <w:rPr>
                <w:rFonts w:hint="eastAsia"/>
              </w:rPr>
              <w:t>湖口镇</w:t>
            </w:r>
          </w:p>
        </w:tc>
        <w:tc>
          <w:tcPr>
            <w:tcW w:w="582" w:type="pct"/>
            <w:vAlign w:val="center"/>
          </w:tcPr>
          <w:p w14:paraId="5A54B1F2">
            <w:pPr>
              <w:pStyle w:val="12"/>
              <w:jc w:val="center"/>
            </w:pPr>
            <w:r>
              <w:rPr>
                <w:rFonts w:hint="eastAsia"/>
              </w:rPr>
              <w:t>1928年</w:t>
            </w:r>
          </w:p>
        </w:tc>
        <w:tc>
          <w:tcPr>
            <w:tcW w:w="1066" w:type="pct"/>
            <w:vAlign w:val="center"/>
          </w:tcPr>
          <w:p w14:paraId="4101BB54">
            <w:pPr>
              <w:pStyle w:val="12"/>
              <w:jc w:val="left"/>
            </w:pPr>
            <w:r>
              <w:rPr>
                <w:rFonts w:hint="eastAsia"/>
              </w:rPr>
              <w:t>油山游击队队长</w:t>
            </w:r>
          </w:p>
        </w:tc>
        <w:tc>
          <w:tcPr>
            <w:tcW w:w="1162" w:type="pct"/>
            <w:vAlign w:val="center"/>
          </w:tcPr>
          <w:p w14:paraId="08C1842F">
            <w:pPr>
              <w:pStyle w:val="12"/>
              <w:jc w:val="left"/>
            </w:pPr>
            <w:r>
              <w:rPr>
                <w:rFonts w:hint="eastAsia"/>
              </w:rPr>
              <w:t>1929年6月在矿岭被捕，在县城郊就义</w:t>
            </w:r>
          </w:p>
        </w:tc>
      </w:tr>
      <w:tr w14:paraId="7CF207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C875E88">
            <w:pPr>
              <w:pStyle w:val="12"/>
              <w:jc w:val="center"/>
            </w:pPr>
            <w:r>
              <w:rPr>
                <w:rFonts w:hint="eastAsia"/>
              </w:rPr>
              <w:t>李福娣</w:t>
            </w:r>
          </w:p>
        </w:tc>
        <w:tc>
          <w:tcPr>
            <w:tcW w:w="388" w:type="pct"/>
            <w:vAlign w:val="center"/>
          </w:tcPr>
          <w:p w14:paraId="625A5AD7">
            <w:pPr>
              <w:pStyle w:val="12"/>
              <w:jc w:val="center"/>
            </w:pPr>
            <w:r>
              <w:rPr>
                <w:rFonts w:hint="eastAsia"/>
              </w:rPr>
              <w:t>男</w:t>
            </w:r>
          </w:p>
        </w:tc>
        <w:tc>
          <w:tcPr>
            <w:tcW w:w="582" w:type="pct"/>
            <w:vAlign w:val="center"/>
          </w:tcPr>
          <w:p w14:paraId="145D8759">
            <w:pPr>
              <w:pStyle w:val="12"/>
              <w:jc w:val="center"/>
            </w:pPr>
            <w:r>
              <w:rPr>
                <w:rFonts w:hint="eastAsia"/>
              </w:rPr>
              <w:t>1884年</w:t>
            </w:r>
          </w:p>
        </w:tc>
        <w:tc>
          <w:tcPr>
            <w:tcW w:w="582" w:type="pct"/>
            <w:vAlign w:val="center"/>
          </w:tcPr>
          <w:p w14:paraId="36A65EDC">
            <w:pPr>
              <w:pStyle w:val="12"/>
              <w:jc w:val="center"/>
            </w:pPr>
            <w:r>
              <w:rPr>
                <w:rFonts w:hint="eastAsia"/>
              </w:rPr>
              <w:t>湖口镇</w:t>
            </w:r>
          </w:p>
        </w:tc>
        <w:tc>
          <w:tcPr>
            <w:tcW w:w="582" w:type="pct"/>
            <w:vAlign w:val="center"/>
          </w:tcPr>
          <w:p w14:paraId="60AF930E">
            <w:pPr>
              <w:pStyle w:val="12"/>
              <w:jc w:val="center"/>
            </w:pPr>
            <w:r>
              <w:rPr>
                <w:rFonts w:hint="eastAsia"/>
              </w:rPr>
              <w:t>1928年</w:t>
            </w:r>
          </w:p>
        </w:tc>
        <w:tc>
          <w:tcPr>
            <w:tcW w:w="1066" w:type="pct"/>
            <w:vAlign w:val="center"/>
          </w:tcPr>
          <w:p w14:paraId="5306ADF3">
            <w:pPr>
              <w:pStyle w:val="12"/>
              <w:jc w:val="left"/>
            </w:pPr>
            <w:r>
              <w:rPr>
                <w:rFonts w:hint="eastAsia"/>
              </w:rPr>
              <w:t>油山游击队队员</w:t>
            </w:r>
          </w:p>
        </w:tc>
        <w:tc>
          <w:tcPr>
            <w:tcW w:w="1162" w:type="pct"/>
            <w:vAlign w:val="center"/>
          </w:tcPr>
          <w:p w14:paraId="5C69E021">
            <w:pPr>
              <w:pStyle w:val="12"/>
              <w:jc w:val="left"/>
            </w:pPr>
            <w:r>
              <w:rPr>
                <w:rFonts w:hint="eastAsia"/>
              </w:rPr>
              <w:t>1929年4月被捕，在县城郊就义</w:t>
            </w:r>
          </w:p>
        </w:tc>
      </w:tr>
      <w:tr w14:paraId="50E85D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C13C659">
            <w:pPr>
              <w:pStyle w:val="12"/>
              <w:jc w:val="center"/>
            </w:pPr>
            <w:r>
              <w:rPr>
                <w:rFonts w:hint="eastAsia"/>
              </w:rPr>
              <w:t>徐道腾</w:t>
            </w:r>
          </w:p>
        </w:tc>
        <w:tc>
          <w:tcPr>
            <w:tcW w:w="388" w:type="pct"/>
            <w:vAlign w:val="center"/>
          </w:tcPr>
          <w:p w14:paraId="38B39689">
            <w:pPr>
              <w:pStyle w:val="12"/>
              <w:jc w:val="center"/>
            </w:pPr>
            <w:r>
              <w:rPr>
                <w:rFonts w:hint="eastAsia"/>
              </w:rPr>
              <w:t>男</w:t>
            </w:r>
          </w:p>
        </w:tc>
        <w:tc>
          <w:tcPr>
            <w:tcW w:w="582" w:type="pct"/>
            <w:vAlign w:val="center"/>
          </w:tcPr>
          <w:p w14:paraId="231A1909">
            <w:pPr>
              <w:pStyle w:val="12"/>
              <w:jc w:val="center"/>
            </w:pPr>
            <w:r>
              <w:rPr>
                <w:rFonts w:hint="eastAsia"/>
              </w:rPr>
              <w:t>1892年</w:t>
            </w:r>
          </w:p>
        </w:tc>
        <w:tc>
          <w:tcPr>
            <w:tcW w:w="582" w:type="pct"/>
            <w:vAlign w:val="center"/>
          </w:tcPr>
          <w:p w14:paraId="3151063B">
            <w:pPr>
              <w:pStyle w:val="12"/>
              <w:jc w:val="center"/>
            </w:pPr>
            <w:r>
              <w:rPr>
                <w:rFonts w:hint="eastAsia"/>
              </w:rPr>
              <w:t>湖口镇</w:t>
            </w:r>
          </w:p>
        </w:tc>
        <w:tc>
          <w:tcPr>
            <w:tcW w:w="582" w:type="pct"/>
            <w:vAlign w:val="center"/>
          </w:tcPr>
          <w:p w14:paraId="07366A74">
            <w:pPr>
              <w:pStyle w:val="12"/>
              <w:jc w:val="center"/>
            </w:pPr>
            <w:r>
              <w:rPr>
                <w:rFonts w:hint="eastAsia"/>
              </w:rPr>
              <w:t>1928年</w:t>
            </w:r>
          </w:p>
        </w:tc>
        <w:tc>
          <w:tcPr>
            <w:tcW w:w="1066" w:type="pct"/>
            <w:vAlign w:val="center"/>
          </w:tcPr>
          <w:p w14:paraId="0EEBACD6">
            <w:pPr>
              <w:pStyle w:val="12"/>
              <w:jc w:val="left"/>
            </w:pPr>
            <w:r>
              <w:rPr>
                <w:rFonts w:hint="eastAsia"/>
              </w:rPr>
              <w:t>油山游击队队员</w:t>
            </w:r>
          </w:p>
        </w:tc>
        <w:tc>
          <w:tcPr>
            <w:tcW w:w="1162" w:type="pct"/>
            <w:vAlign w:val="center"/>
          </w:tcPr>
          <w:p w14:paraId="1ED6CE57">
            <w:pPr>
              <w:pStyle w:val="12"/>
              <w:jc w:val="left"/>
            </w:pPr>
            <w:r>
              <w:rPr>
                <w:rFonts w:hint="eastAsia"/>
              </w:rPr>
              <w:t>1929年8月10日在矿岭被捕，在县城郊就义</w:t>
            </w:r>
          </w:p>
        </w:tc>
      </w:tr>
      <w:tr w14:paraId="591549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F261030">
            <w:pPr>
              <w:pStyle w:val="12"/>
              <w:jc w:val="center"/>
            </w:pPr>
            <w:r>
              <w:rPr>
                <w:rFonts w:hint="eastAsia"/>
              </w:rPr>
              <w:t>丁仁恕</w:t>
            </w:r>
          </w:p>
        </w:tc>
        <w:tc>
          <w:tcPr>
            <w:tcW w:w="388" w:type="pct"/>
            <w:vAlign w:val="center"/>
          </w:tcPr>
          <w:p w14:paraId="1EADCCB6">
            <w:pPr>
              <w:pStyle w:val="12"/>
              <w:jc w:val="center"/>
            </w:pPr>
            <w:r>
              <w:rPr>
                <w:rFonts w:hint="eastAsia"/>
              </w:rPr>
              <w:t>男</w:t>
            </w:r>
          </w:p>
        </w:tc>
        <w:tc>
          <w:tcPr>
            <w:tcW w:w="582" w:type="pct"/>
            <w:vAlign w:val="center"/>
          </w:tcPr>
          <w:p w14:paraId="5BFCAE98">
            <w:pPr>
              <w:pStyle w:val="12"/>
              <w:jc w:val="center"/>
            </w:pPr>
            <w:r>
              <w:rPr>
                <w:rFonts w:hint="eastAsia"/>
              </w:rPr>
              <w:t>1899年</w:t>
            </w:r>
          </w:p>
        </w:tc>
        <w:tc>
          <w:tcPr>
            <w:tcW w:w="582" w:type="pct"/>
            <w:vAlign w:val="center"/>
          </w:tcPr>
          <w:p w14:paraId="44A387E9">
            <w:pPr>
              <w:pStyle w:val="12"/>
              <w:jc w:val="center"/>
            </w:pPr>
            <w:r>
              <w:rPr>
                <w:rFonts w:hint="eastAsia"/>
              </w:rPr>
              <w:t>湖口镇</w:t>
            </w:r>
          </w:p>
        </w:tc>
        <w:tc>
          <w:tcPr>
            <w:tcW w:w="582" w:type="pct"/>
            <w:vAlign w:val="center"/>
          </w:tcPr>
          <w:p w14:paraId="6F84655A">
            <w:pPr>
              <w:pStyle w:val="12"/>
              <w:jc w:val="center"/>
            </w:pPr>
            <w:r>
              <w:rPr>
                <w:rFonts w:hint="eastAsia"/>
              </w:rPr>
              <w:t>1929年</w:t>
            </w:r>
          </w:p>
        </w:tc>
        <w:tc>
          <w:tcPr>
            <w:tcW w:w="1066" w:type="pct"/>
            <w:vAlign w:val="center"/>
          </w:tcPr>
          <w:p w14:paraId="0C8CDBCB">
            <w:pPr>
              <w:pStyle w:val="12"/>
              <w:jc w:val="left"/>
            </w:pPr>
            <w:r>
              <w:rPr>
                <w:rFonts w:hint="eastAsia"/>
              </w:rPr>
              <w:t>油山游击队队员</w:t>
            </w:r>
          </w:p>
        </w:tc>
        <w:tc>
          <w:tcPr>
            <w:tcW w:w="1162" w:type="pct"/>
            <w:vAlign w:val="center"/>
          </w:tcPr>
          <w:p w14:paraId="1F0FD00F">
            <w:pPr>
              <w:pStyle w:val="12"/>
              <w:jc w:val="left"/>
            </w:pPr>
            <w:r>
              <w:rPr>
                <w:rFonts w:hint="eastAsia"/>
              </w:rPr>
              <w:t>1929年在江西大余白石庵被捕，在南雄城郊就义</w:t>
            </w:r>
          </w:p>
        </w:tc>
      </w:tr>
      <w:tr w14:paraId="4687477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9EF4EC8">
            <w:pPr>
              <w:pStyle w:val="12"/>
              <w:jc w:val="center"/>
            </w:pPr>
            <w:r>
              <w:rPr>
                <w:rFonts w:hint="eastAsia"/>
              </w:rPr>
              <w:t>李毛狗</w:t>
            </w:r>
          </w:p>
        </w:tc>
        <w:tc>
          <w:tcPr>
            <w:tcW w:w="388" w:type="pct"/>
            <w:vAlign w:val="center"/>
          </w:tcPr>
          <w:p w14:paraId="6BB0FDDA">
            <w:pPr>
              <w:pStyle w:val="12"/>
              <w:jc w:val="center"/>
            </w:pPr>
            <w:r>
              <w:rPr>
                <w:rFonts w:hint="eastAsia"/>
              </w:rPr>
              <w:t>男</w:t>
            </w:r>
          </w:p>
        </w:tc>
        <w:tc>
          <w:tcPr>
            <w:tcW w:w="582" w:type="pct"/>
            <w:vAlign w:val="center"/>
          </w:tcPr>
          <w:p w14:paraId="2004615E">
            <w:pPr>
              <w:pStyle w:val="12"/>
              <w:jc w:val="center"/>
            </w:pPr>
            <w:r>
              <w:rPr>
                <w:rFonts w:hint="eastAsia"/>
              </w:rPr>
              <w:t>1903年</w:t>
            </w:r>
          </w:p>
        </w:tc>
        <w:tc>
          <w:tcPr>
            <w:tcW w:w="582" w:type="pct"/>
            <w:vAlign w:val="center"/>
          </w:tcPr>
          <w:p w14:paraId="5C1843BB">
            <w:pPr>
              <w:pStyle w:val="12"/>
              <w:jc w:val="center"/>
            </w:pPr>
            <w:r>
              <w:rPr>
                <w:rFonts w:hint="eastAsia"/>
              </w:rPr>
              <w:t>湖口镇</w:t>
            </w:r>
          </w:p>
        </w:tc>
        <w:tc>
          <w:tcPr>
            <w:tcW w:w="582" w:type="pct"/>
            <w:vAlign w:val="center"/>
          </w:tcPr>
          <w:p w14:paraId="7BB3F195">
            <w:pPr>
              <w:pStyle w:val="12"/>
              <w:jc w:val="center"/>
            </w:pPr>
            <w:r>
              <w:rPr>
                <w:rFonts w:hint="eastAsia"/>
              </w:rPr>
              <w:t>1929年</w:t>
            </w:r>
          </w:p>
        </w:tc>
        <w:tc>
          <w:tcPr>
            <w:tcW w:w="1066" w:type="pct"/>
            <w:vAlign w:val="center"/>
          </w:tcPr>
          <w:p w14:paraId="02BDA297">
            <w:pPr>
              <w:pStyle w:val="12"/>
              <w:jc w:val="left"/>
            </w:pPr>
            <w:r>
              <w:rPr>
                <w:rFonts w:hint="eastAsia"/>
              </w:rPr>
              <w:t>油山游击队队员</w:t>
            </w:r>
          </w:p>
        </w:tc>
        <w:tc>
          <w:tcPr>
            <w:tcW w:w="1162" w:type="pct"/>
            <w:vAlign w:val="center"/>
          </w:tcPr>
          <w:p w14:paraId="5E131D79">
            <w:pPr>
              <w:pStyle w:val="12"/>
              <w:jc w:val="left"/>
            </w:pPr>
            <w:r>
              <w:rPr>
                <w:rFonts w:hint="eastAsia"/>
              </w:rPr>
              <w:t>1929年11月被捕，在县城郊就义</w:t>
            </w:r>
          </w:p>
        </w:tc>
      </w:tr>
      <w:tr w14:paraId="261D1A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B9A1FF6">
            <w:pPr>
              <w:pStyle w:val="12"/>
              <w:jc w:val="center"/>
            </w:pPr>
            <w:r>
              <w:rPr>
                <w:rFonts w:hint="eastAsia"/>
              </w:rPr>
              <w:t>曾广运</w:t>
            </w:r>
          </w:p>
        </w:tc>
        <w:tc>
          <w:tcPr>
            <w:tcW w:w="388" w:type="pct"/>
            <w:vAlign w:val="center"/>
          </w:tcPr>
          <w:p w14:paraId="537160A8">
            <w:pPr>
              <w:pStyle w:val="12"/>
              <w:jc w:val="center"/>
            </w:pPr>
            <w:r>
              <w:rPr>
                <w:rFonts w:hint="eastAsia"/>
              </w:rPr>
              <w:t>男</w:t>
            </w:r>
          </w:p>
        </w:tc>
        <w:tc>
          <w:tcPr>
            <w:tcW w:w="582" w:type="pct"/>
            <w:vAlign w:val="center"/>
          </w:tcPr>
          <w:p w14:paraId="12ACDFCF">
            <w:pPr>
              <w:pStyle w:val="12"/>
              <w:jc w:val="center"/>
            </w:pPr>
            <w:r>
              <w:rPr>
                <w:rFonts w:hint="eastAsia"/>
              </w:rPr>
              <w:t>1881年</w:t>
            </w:r>
          </w:p>
        </w:tc>
        <w:tc>
          <w:tcPr>
            <w:tcW w:w="582" w:type="pct"/>
            <w:vAlign w:val="center"/>
          </w:tcPr>
          <w:p w14:paraId="7739B2F2">
            <w:pPr>
              <w:pStyle w:val="12"/>
              <w:jc w:val="center"/>
            </w:pPr>
            <w:r>
              <w:rPr>
                <w:rFonts w:hint="eastAsia"/>
              </w:rPr>
              <w:t>湖口镇</w:t>
            </w:r>
          </w:p>
        </w:tc>
        <w:tc>
          <w:tcPr>
            <w:tcW w:w="582" w:type="pct"/>
            <w:vAlign w:val="center"/>
          </w:tcPr>
          <w:p w14:paraId="04EA0550">
            <w:pPr>
              <w:pStyle w:val="12"/>
              <w:jc w:val="center"/>
            </w:pPr>
            <w:r>
              <w:rPr>
                <w:rFonts w:hint="eastAsia"/>
              </w:rPr>
              <w:t>1928年</w:t>
            </w:r>
          </w:p>
        </w:tc>
        <w:tc>
          <w:tcPr>
            <w:tcW w:w="1066" w:type="pct"/>
            <w:vAlign w:val="center"/>
          </w:tcPr>
          <w:p w14:paraId="01A4EDAA">
            <w:pPr>
              <w:pStyle w:val="12"/>
              <w:jc w:val="left"/>
              <w:rPr>
                <w:rFonts w:ascii="宋体" w:hAnsi="宋体" w:cs="宋体"/>
              </w:rPr>
            </w:pPr>
            <w:r>
              <w:rPr>
                <w:rFonts w:hint="eastAsia"/>
              </w:rPr>
              <w:t>油山游击大队</w:t>
            </w:r>
          </w:p>
          <w:p w14:paraId="22D7888F">
            <w:pPr>
              <w:pStyle w:val="12"/>
              <w:jc w:val="left"/>
            </w:pPr>
            <w:r>
              <w:rPr>
                <w:rFonts w:hint="eastAsia" w:ascii="宋体" w:hAnsi="宋体" w:cs="宋体"/>
              </w:rPr>
              <w:t>秘      书</w:t>
            </w:r>
          </w:p>
        </w:tc>
        <w:tc>
          <w:tcPr>
            <w:tcW w:w="1162" w:type="pct"/>
            <w:vAlign w:val="center"/>
          </w:tcPr>
          <w:p w14:paraId="22435D06">
            <w:pPr>
              <w:pStyle w:val="12"/>
              <w:jc w:val="left"/>
            </w:pPr>
            <w:r>
              <w:rPr>
                <w:rFonts w:hint="eastAsia"/>
              </w:rPr>
              <w:t>1929年12月在湖口老圩被捕就义</w:t>
            </w:r>
          </w:p>
        </w:tc>
      </w:tr>
      <w:tr w14:paraId="1B978D3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79DFE64">
            <w:pPr>
              <w:pStyle w:val="12"/>
              <w:jc w:val="center"/>
            </w:pPr>
            <w:r>
              <w:rPr>
                <w:rFonts w:hint="eastAsia"/>
              </w:rPr>
              <w:t>叶才兰</w:t>
            </w:r>
          </w:p>
        </w:tc>
        <w:tc>
          <w:tcPr>
            <w:tcW w:w="388" w:type="pct"/>
            <w:vAlign w:val="center"/>
          </w:tcPr>
          <w:p w14:paraId="4F2C73D4">
            <w:pPr>
              <w:pStyle w:val="12"/>
              <w:jc w:val="center"/>
            </w:pPr>
            <w:r>
              <w:rPr>
                <w:rFonts w:hint="eastAsia"/>
              </w:rPr>
              <w:t>男</w:t>
            </w:r>
          </w:p>
        </w:tc>
        <w:tc>
          <w:tcPr>
            <w:tcW w:w="582" w:type="pct"/>
            <w:vAlign w:val="center"/>
          </w:tcPr>
          <w:p w14:paraId="59138142">
            <w:pPr>
              <w:pStyle w:val="12"/>
              <w:jc w:val="center"/>
            </w:pPr>
            <w:r>
              <w:rPr>
                <w:rFonts w:hint="eastAsia"/>
              </w:rPr>
              <w:t>1908年</w:t>
            </w:r>
          </w:p>
        </w:tc>
        <w:tc>
          <w:tcPr>
            <w:tcW w:w="582" w:type="pct"/>
            <w:vAlign w:val="center"/>
          </w:tcPr>
          <w:p w14:paraId="4D4F1336">
            <w:pPr>
              <w:pStyle w:val="12"/>
              <w:jc w:val="center"/>
            </w:pPr>
            <w:r>
              <w:rPr>
                <w:rFonts w:hint="eastAsia"/>
              </w:rPr>
              <w:t>乌迳镇</w:t>
            </w:r>
          </w:p>
        </w:tc>
        <w:tc>
          <w:tcPr>
            <w:tcW w:w="582" w:type="pct"/>
            <w:vAlign w:val="center"/>
          </w:tcPr>
          <w:p w14:paraId="7B284FD7">
            <w:pPr>
              <w:pStyle w:val="12"/>
              <w:jc w:val="center"/>
            </w:pPr>
            <w:r>
              <w:rPr>
                <w:rFonts w:hint="eastAsia"/>
              </w:rPr>
              <w:t>1927年</w:t>
            </w:r>
          </w:p>
        </w:tc>
        <w:tc>
          <w:tcPr>
            <w:tcW w:w="1066" w:type="pct"/>
            <w:vAlign w:val="center"/>
          </w:tcPr>
          <w:p w14:paraId="7A45F8D9">
            <w:pPr>
              <w:pStyle w:val="12"/>
              <w:jc w:val="left"/>
              <w:rPr>
                <w:rFonts w:ascii="宋体" w:hAnsi="宋体" w:cs="宋体"/>
              </w:rPr>
            </w:pPr>
            <w:r>
              <w:rPr>
                <w:rFonts w:hint="eastAsia"/>
              </w:rPr>
              <w:t>油山游击大队</w:t>
            </w:r>
          </w:p>
          <w:p w14:paraId="5F696811">
            <w:pPr>
              <w:pStyle w:val="12"/>
              <w:jc w:val="left"/>
            </w:pPr>
            <w:r>
              <w:rPr>
                <w:rFonts w:hint="eastAsia" w:ascii="宋体" w:hAnsi="宋体" w:cs="宋体"/>
              </w:rPr>
              <w:t>下属队长</w:t>
            </w:r>
          </w:p>
        </w:tc>
        <w:tc>
          <w:tcPr>
            <w:tcW w:w="1162" w:type="pct"/>
            <w:vAlign w:val="center"/>
          </w:tcPr>
          <w:p w14:paraId="3D8A6AB3">
            <w:pPr>
              <w:pStyle w:val="12"/>
              <w:jc w:val="left"/>
            </w:pPr>
            <w:r>
              <w:rPr>
                <w:rFonts w:hint="eastAsia"/>
              </w:rPr>
              <w:t>1929年在江西大余县河头村被捕，在县城郊就义</w:t>
            </w:r>
          </w:p>
        </w:tc>
      </w:tr>
      <w:tr w14:paraId="4E6A1C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A284C14">
            <w:pPr>
              <w:pStyle w:val="12"/>
              <w:jc w:val="center"/>
            </w:pPr>
            <w:r>
              <w:rPr>
                <w:rFonts w:hint="eastAsia"/>
              </w:rPr>
              <w:t>曾亚老古</w:t>
            </w:r>
          </w:p>
        </w:tc>
        <w:tc>
          <w:tcPr>
            <w:tcW w:w="388" w:type="pct"/>
            <w:vAlign w:val="center"/>
          </w:tcPr>
          <w:p w14:paraId="46F09FB4">
            <w:pPr>
              <w:pStyle w:val="12"/>
              <w:jc w:val="center"/>
            </w:pPr>
            <w:r>
              <w:rPr>
                <w:rFonts w:hint="eastAsia"/>
              </w:rPr>
              <w:t>男</w:t>
            </w:r>
          </w:p>
        </w:tc>
        <w:tc>
          <w:tcPr>
            <w:tcW w:w="582" w:type="pct"/>
            <w:vAlign w:val="center"/>
          </w:tcPr>
          <w:p w14:paraId="47898B80">
            <w:pPr>
              <w:pStyle w:val="12"/>
              <w:jc w:val="center"/>
            </w:pPr>
            <w:r>
              <w:rPr>
                <w:rFonts w:hint="eastAsia"/>
              </w:rPr>
              <w:t>1871年</w:t>
            </w:r>
          </w:p>
        </w:tc>
        <w:tc>
          <w:tcPr>
            <w:tcW w:w="582" w:type="pct"/>
            <w:vAlign w:val="center"/>
          </w:tcPr>
          <w:p w14:paraId="77E4B36F">
            <w:pPr>
              <w:pStyle w:val="12"/>
              <w:jc w:val="center"/>
            </w:pPr>
            <w:r>
              <w:rPr>
                <w:rFonts w:hint="eastAsia"/>
              </w:rPr>
              <w:t>湖口镇</w:t>
            </w:r>
          </w:p>
        </w:tc>
        <w:tc>
          <w:tcPr>
            <w:tcW w:w="582" w:type="pct"/>
            <w:vAlign w:val="center"/>
          </w:tcPr>
          <w:p w14:paraId="7985A3CA">
            <w:pPr>
              <w:pStyle w:val="12"/>
              <w:jc w:val="center"/>
            </w:pPr>
            <w:r>
              <w:rPr>
                <w:rFonts w:hint="eastAsia"/>
              </w:rPr>
              <w:t>1928年</w:t>
            </w:r>
          </w:p>
        </w:tc>
        <w:tc>
          <w:tcPr>
            <w:tcW w:w="1066" w:type="pct"/>
            <w:vAlign w:val="center"/>
          </w:tcPr>
          <w:p w14:paraId="68A235D0">
            <w:pPr>
              <w:pStyle w:val="12"/>
              <w:jc w:val="left"/>
            </w:pPr>
            <w:r>
              <w:rPr>
                <w:rFonts w:hint="eastAsia"/>
              </w:rPr>
              <w:t>油山游击队队员</w:t>
            </w:r>
          </w:p>
        </w:tc>
        <w:tc>
          <w:tcPr>
            <w:tcW w:w="1162" w:type="pct"/>
            <w:vAlign w:val="center"/>
          </w:tcPr>
          <w:p w14:paraId="235510D0">
            <w:pPr>
              <w:pStyle w:val="12"/>
              <w:jc w:val="left"/>
            </w:pPr>
            <w:r>
              <w:rPr>
                <w:rFonts w:hint="eastAsia"/>
              </w:rPr>
              <w:t>1929年在湖口小学被捕，在县城就义</w:t>
            </w:r>
          </w:p>
        </w:tc>
      </w:tr>
      <w:tr w14:paraId="6839A4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B299FAD">
            <w:pPr>
              <w:pStyle w:val="12"/>
              <w:jc w:val="center"/>
            </w:pPr>
            <w:r>
              <w:rPr>
                <w:rFonts w:hint="eastAsia"/>
              </w:rPr>
              <w:t>曾三毛古</w:t>
            </w:r>
          </w:p>
        </w:tc>
        <w:tc>
          <w:tcPr>
            <w:tcW w:w="388" w:type="pct"/>
            <w:vAlign w:val="center"/>
          </w:tcPr>
          <w:p w14:paraId="34358AF0">
            <w:pPr>
              <w:pStyle w:val="12"/>
              <w:jc w:val="center"/>
            </w:pPr>
            <w:r>
              <w:rPr>
                <w:rFonts w:hint="eastAsia"/>
              </w:rPr>
              <w:t>男</w:t>
            </w:r>
          </w:p>
        </w:tc>
        <w:tc>
          <w:tcPr>
            <w:tcW w:w="582" w:type="pct"/>
            <w:vAlign w:val="center"/>
          </w:tcPr>
          <w:p w14:paraId="52BB1E81">
            <w:pPr>
              <w:pStyle w:val="12"/>
              <w:jc w:val="center"/>
            </w:pPr>
            <w:r>
              <w:rPr>
                <w:rFonts w:hint="eastAsia"/>
              </w:rPr>
              <w:t>1873年</w:t>
            </w:r>
          </w:p>
        </w:tc>
        <w:tc>
          <w:tcPr>
            <w:tcW w:w="582" w:type="pct"/>
            <w:vAlign w:val="center"/>
          </w:tcPr>
          <w:p w14:paraId="6D9A19E5">
            <w:pPr>
              <w:pStyle w:val="12"/>
              <w:jc w:val="center"/>
            </w:pPr>
            <w:r>
              <w:rPr>
                <w:rFonts w:hint="eastAsia"/>
              </w:rPr>
              <w:t>湖口镇</w:t>
            </w:r>
          </w:p>
        </w:tc>
        <w:tc>
          <w:tcPr>
            <w:tcW w:w="582" w:type="pct"/>
            <w:vAlign w:val="center"/>
          </w:tcPr>
          <w:p w14:paraId="3F5472E3">
            <w:pPr>
              <w:pStyle w:val="12"/>
              <w:jc w:val="center"/>
            </w:pPr>
            <w:r>
              <w:rPr>
                <w:rFonts w:hint="eastAsia"/>
              </w:rPr>
              <w:t>1927年</w:t>
            </w:r>
          </w:p>
        </w:tc>
        <w:tc>
          <w:tcPr>
            <w:tcW w:w="1066" w:type="pct"/>
            <w:vAlign w:val="center"/>
          </w:tcPr>
          <w:p w14:paraId="3B82BA71">
            <w:pPr>
              <w:pStyle w:val="12"/>
              <w:jc w:val="left"/>
              <w:rPr>
                <w:rFonts w:ascii="宋体" w:hAnsi="宋体" w:cs="宋体"/>
              </w:rPr>
            </w:pPr>
            <w:r>
              <w:rPr>
                <w:rFonts w:hint="eastAsia"/>
              </w:rPr>
              <w:t>油山游击队</w:t>
            </w:r>
          </w:p>
          <w:p w14:paraId="0AC29C0C">
            <w:pPr>
              <w:pStyle w:val="12"/>
              <w:jc w:val="left"/>
            </w:pPr>
            <w:r>
              <w:rPr>
                <w:rFonts w:hint="eastAsia" w:ascii="宋体" w:hAnsi="宋体" w:cs="宋体"/>
              </w:rPr>
              <w:t>分  队  长</w:t>
            </w:r>
          </w:p>
        </w:tc>
        <w:tc>
          <w:tcPr>
            <w:tcW w:w="1162" w:type="pct"/>
            <w:vAlign w:val="center"/>
          </w:tcPr>
          <w:p w14:paraId="7F8BEC27">
            <w:pPr>
              <w:pStyle w:val="12"/>
              <w:jc w:val="left"/>
            </w:pPr>
            <w:r>
              <w:rPr>
                <w:rFonts w:hint="eastAsia"/>
              </w:rPr>
              <w:t>1929年在湖口小学被捕，在县城就义</w:t>
            </w:r>
          </w:p>
        </w:tc>
      </w:tr>
      <w:tr w14:paraId="1D9C07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CD58489">
            <w:pPr>
              <w:pStyle w:val="12"/>
              <w:jc w:val="center"/>
            </w:pPr>
            <w:r>
              <w:rPr>
                <w:rFonts w:hint="eastAsia"/>
              </w:rPr>
              <w:t>陈德贵</w:t>
            </w:r>
          </w:p>
        </w:tc>
        <w:tc>
          <w:tcPr>
            <w:tcW w:w="388" w:type="pct"/>
            <w:vAlign w:val="center"/>
          </w:tcPr>
          <w:p w14:paraId="6454D188">
            <w:pPr>
              <w:pStyle w:val="12"/>
              <w:jc w:val="center"/>
            </w:pPr>
            <w:r>
              <w:rPr>
                <w:rFonts w:hint="eastAsia"/>
              </w:rPr>
              <w:t>男</w:t>
            </w:r>
          </w:p>
        </w:tc>
        <w:tc>
          <w:tcPr>
            <w:tcW w:w="582" w:type="pct"/>
            <w:vAlign w:val="center"/>
          </w:tcPr>
          <w:p w14:paraId="42FABCDD">
            <w:pPr>
              <w:pStyle w:val="12"/>
              <w:jc w:val="center"/>
            </w:pPr>
            <w:r>
              <w:rPr>
                <w:rFonts w:hint="eastAsia"/>
              </w:rPr>
              <w:t>1900年</w:t>
            </w:r>
          </w:p>
        </w:tc>
        <w:tc>
          <w:tcPr>
            <w:tcW w:w="582" w:type="pct"/>
            <w:vAlign w:val="center"/>
          </w:tcPr>
          <w:p w14:paraId="0AED4E86">
            <w:pPr>
              <w:pStyle w:val="12"/>
              <w:jc w:val="center"/>
            </w:pPr>
            <w:r>
              <w:rPr>
                <w:rFonts w:hint="eastAsia"/>
              </w:rPr>
              <w:t>雄州镇</w:t>
            </w:r>
          </w:p>
        </w:tc>
        <w:tc>
          <w:tcPr>
            <w:tcW w:w="582" w:type="pct"/>
            <w:vAlign w:val="center"/>
          </w:tcPr>
          <w:p w14:paraId="6FAB563B">
            <w:pPr>
              <w:pStyle w:val="12"/>
              <w:jc w:val="center"/>
            </w:pPr>
            <w:r>
              <w:rPr>
                <w:rFonts w:hint="eastAsia"/>
              </w:rPr>
              <w:t>1926年</w:t>
            </w:r>
          </w:p>
        </w:tc>
        <w:tc>
          <w:tcPr>
            <w:tcW w:w="1066" w:type="pct"/>
            <w:vAlign w:val="center"/>
          </w:tcPr>
          <w:p w14:paraId="27727C10">
            <w:pPr>
              <w:pStyle w:val="12"/>
              <w:jc w:val="left"/>
              <w:rPr>
                <w:rFonts w:ascii="宋体" w:hAnsi="宋体" w:cs="宋体"/>
              </w:rPr>
            </w:pPr>
            <w:r>
              <w:rPr>
                <w:rFonts w:hint="eastAsia"/>
              </w:rPr>
              <w:t>县总工会委员长</w:t>
            </w:r>
          </w:p>
          <w:p w14:paraId="2B69C506">
            <w:pPr>
              <w:pStyle w:val="12"/>
              <w:jc w:val="left"/>
            </w:pPr>
            <w:r>
              <w:rPr>
                <w:rFonts w:hint="eastAsia" w:ascii="宋体" w:hAnsi="宋体" w:cs="宋体"/>
              </w:rPr>
              <w:t>县苏维埃政府委员</w:t>
            </w:r>
          </w:p>
        </w:tc>
        <w:tc>
          <w:tcPr>
            <w:tcW w:w="1162" w:type="pct"/>
            <w:vAlign w:val="center"/>
          </w:tcPr>
          <w:p w14:paraId="37189B03">
            <w:pPr>
              <w:pStyle w:val="12"/>
              <w:jc w:val="left"/>
            </w:pPr>
            <w:r>
              <w:rPr>
                <w:rFonts w:hint="eastAsia"/>
              </w:rPr>
              <w:t>1929年3月于江门就义，有传</w:t>
            </w:r>
          </w:p>
        </w:tc>
      </w:tr>
      <w:tr w14:paraId="149D43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22D183F">
            <w:pPr>
              <w:pStyle w:val="12"/>
              <w:jc w:val="center"/>
            </w:pPr>
            <w:r>
              <w:rPr>
                <w:rFonts w:hint="eastAsia"/>
              </w:rPr>
              <w:t>陈召南</w:t>
            </w:r>
          </w:p>
        </w:tc>
        <w:tc>
          <w:tcPr>
            <w:tcW w:w="388" w:type="pct"/>
            <w:vAlign w:val="center"/>
          </w:tcPr>
          <w:p w14:paraId="52F3E3C7">
            <w:pPr>
              <w:pStyle w:val="12"/>
              <w:jc w:val="center"/>
            </w:pPr>
            <w:r>
              <w:rPr>
                <w:rFonts w:hint="eastAsia"/>
              </w:rPr>
              <w:t>男</w:t>
            </w:r>
          </w:p>
        </w:tc>
        <w:tc>
          <w:tcPr>
            <w:tcW w:w="582" w:type="pct"/>
            <w:vAlign w:val="center"/>
          </w:tcPr>
          <w:p w14:paraId="50B7A779">
            <w:pPr>
              <w:pStyle w:val="12"/>
              <w:jc w:val="center"/>
            </w:pPr>
            <w:r>
              <w:rPr>
                <w:rFonts w:hint="eastAsia"/>
              </w:rPr>
              <w:t>1907年</w:t>
            </w:r>
          </w:p>
        </w:tc>
        <w:tc>
          <w:tcPr>
            <w:tcW w:w="582" w:type="pct"/>
            <w:vAlign w:val="center"/>
          </w:tcPr>
          <w:p w14:paraId="2DA76BFA">
            <w:pPr>
              <w:pStyle w:val="12"/>
              <w:jc w:val="center"/>
            </w:pPr>
            <w:r>
              <w:rPr>
                <w:rFonts w:hint="eastAsia"/>
              </w:rPr>
              <w:t>湖口镇</w:t>
            </w:r>
          </w:p>
        </w:tc>
        <w:tc>
          <w:tcPr>
            <w:tcW w:w="582" w:type="pct"/>
            <w:vAlign w:val="center"/>
          </w:tcPr>
          <w:p w14:paraId="43B3D364">
            <w:pPr>
              <w:pStyle w:val="12"/>
              <w:jc w:val="center"/>
            </w:pPr>
            <w:r>
              <w:rPr>
                <w:rFonts w:hint="eastAsia"/>
              </w:rPr>
              <w:t>1926年</w:t>
            </w:r>
          </w:p>
        </w:tc>
        <w:tc>
          <w:tcPr>
            <w:tcW w:w="1066" w:type="pct"/>
            <w:vAlign w:val="center"/>
          </w:tcPr>
          <w:p w14:paraId="156415A4">
            <w:pPr>
              <w:pStyle w:val="12"/>
              <w:jc w:val="left"/>
              <w:rPr>
                <w:rFonts w:ascii="宋体" w:hAnsi="宋体" w:cs="宋体"/>
              </w:rPr>
            </w:pPr>
            <w:r>
              <w:rPr>
                <w:rFonts w:hint="eastAsia"/>
              </w:rPr>
              <w:t>中共南雄县</w:t>
            </w:r>
          </w:p>
          <w:p w14:paraId="0EB3A871">
            <w:pPr>
              <w:pStyle w:val="12"/>
              <w:jc w:val="left"/>
            </w:pPr>
            <w:r>
              <w:rPr>
                <w:rFonts w:hint="eastAsia" w:ascii="宋体" w:hAnsi="宋体" w:cs="宋体"/>
              </w:rPr>
              <w:t>委  书  记</w:t>
            </w:r>
          </w:p>
        </w:tc>
        <w:tc>
          <w:tcPr>
            <w:tcW w:w="1162" w:type="pct"/>
            <w:vMerge w:val="restart"/>
            <w:vAlign w:val="center"/>
          </w:tcPr>
          <w:p w14:paraId="6E6664BB">
            <w:pPr>
              <w:pStyle w:val="12"/>
              <w:jc w:val="left"/>
            </w:pPr>
            <w:r>
              <w:rPr>
                <w:rFonts w:hint="eastAsia"/>
              </w:rPr>
              <w:t>1929年11月2日在江西大余县杉村山上被捕，翌日在南雄县城五里山就义，均有传</w:t>
            </w:r>
          </w:p>
        </w:tc>
      </w:tr>
      <w:tr w14:paraId="6C93B2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C8B0847">
            <w:pPr>
              <w:pStyle w:val="12"/>
              <w:jc w:val="center"/>
            </w:pPr>
            <w:r>
              <w:rPr>
                <w:rFonts w:hint="eastAsia"/>
              </w:rPr>
              <w:t>周群标</w:t>
            </w:r>
          </w:p>
        </w:tc>
        <w:tc>
          <w:tcPr>
            <w:tcW w:w="388" w:type="pct"/>
            <w:vAlign w:val="center"/>
          </w:tcPr>
          <w:p w14:paraId="2EFB84E5">
            <w:pPr>
              <w:pStyle w:val="12"/>
              <w:jc w:val="center"/>
            </w:pPr>
            <w:r>
              <w:rPr>
                <w:rFonts w:hint="eastAsia"/>
              </w:rPr>
              <w:t>男</w:t>
            </w:r>
          </w:p>
        </w:tc>
        <w:tc>
          <w:tcPr>
            <w:tcW w:w="582" w:type="pct"/>
            <w:vAlign w:val="center"/>
          </w:tcPr>
          <w:p w14:paraId="24A8C8C7">
            <w:pPr>
              <w:pStyle w:val="12"/>
              <w:jc w:val="center"/>
            </w:pPr>
            <w:r>
              <w:rPr>
                <w:rFonts w:hint="eastAsia"/>
              </w:rPr>
              <w:t>1902年</w:t>
            </w:r>
          </w:p>
        </w:tc>
        <w:tc>
          <w:tcPr>
            <w:tcW w:w="582" w:type="pct"/>
            <w:vAlign w:val="center"/>
          </w:tcPr>
          <w:p w14:paraId="084EEBA8">
            <w:pPr>
              <w:pStyle w:val="12"/>
              <w:jc w:val="center"/>
            </w:pPr>
            <w:r>
              <w:rPr>
                <w:rFonts w:hint="eastAsia"/>
              </w:rPr>
              <w:t>珠玑镇</w:t>
            </w:r>
          </w:p>
        </w:tc>
        <w:tc>
          <w:tcPr>
            <w:tcW w:w="582" w:type="pct"/>
            <w:vAlign w:val="center"/>
          </w:tcPr>
          <w:p w14:paraId="27579355">
            <w:pPr>
              <w:pStyle w:val="12"/>
              <w:jc w:val="center"/>
            </w:pPr>
            <w:r>
              <w:rPr>
                <w:rFonts w:hint="eastAsia"/>
              </w:rPr>
              <w:t>1925年</w:t>
            </w:r>
          </w:p>
        </w:tc>
        <w:tc>
          <w:tcPr>
            <w:tcW w:w="1066" w:type="pct"/>
            <w:vAlign w:val="center"/>
          </w:tcPr>
          <w:p w14:paraId="66CB43C3">
            <w:pPr>
              <w:pStyle w:val="12"/>
              <w:jc w:val="left"/>
              <w:rPr>
                <w:rFonts w:ascii="宋体" w:hAnsi="宋体" w:cs="宋体"/>
              </w:rPr>
            </w:pPr>
            <w:r>
              <w:rPr>
                <w:rFonts w:hint="eastAsia"/>
              </w:rPr>
              <w:t>中共南雄县</w:t>
            </w:r>
          </w:p>
          <w:p w14:paraId="7E3B6A65">
            <w:pPr>
              <w:pStyle w:val="12"/>
              <w:jc w:val="left"/>
            </w:pPr>
            <w:r>
              <w:rPr>
                <w:rFonts w:hint="eastAsia" w:ascii="宋体" w:hAnsi="宋体" w:cs="宋体"/>
              </w:rPr>
              <w:t>委  委  员</w:t>
            </w:r>
          </w:p>
        </w:tc>
        <w:tc>
          <w:tcPr>
            <w:tcW w:w="1160" w:type="pct"/>
            <w:vMerge w:val="continue"/>
            <w:vAlign w:val="center"/>
          </w:tcPr>
          <w:p w14:paraId="01C3CED0">
            <w:pPr>
              <w:pStyle w:val="12"/>
              <w:jc w:val="left"/>
            </w:pPr>
          </w:p>
        </w:tc>
      </w:tr>
      <w:tr w14:paraId="31DAA19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5466CB5">
            <w:pPr>
              <w:pStyle w:val="12"/>
              <w:jc w:val="center"/>
            </w:pPr>
            <w:r>
              <w:rPr>
                <w:rFonts w:hint="eastAsia"/>
              </w:rPr>
              <w:t>周序龙</w:t>
            </w:r>
          </w:p>
        </w:tc>
        <w:tc>
          <w:tcPr>
            <w:tcW w:w="388" w:type="pct"/>
            <w:vAlign w:val="center"/>
          </w:tcPr>
          <w:p w14:paraId="5EFC15AC">
            <w:pPr>
              <w:pStyle w:val="12"/>
              <w:jc w:val="center"/>
            </w:pPr>
            <w:r>
              <w:rPr>
                <w:rFonts w:hint="eastAsia"/>
              </w:rPr>
              <w:t>男</w:t>
            </w:r>
          </w:p>
        </w:tc>
        <w:tc>
          <w:tcPr>
            <w:tcW w:w="582" w:type="pct"/>
            <w:vAlign w:val="center"/>
          </w:tcPr>
          <w:p w14:paraId="14C444CD">
            <w:pPr>
              <w:pStyle w:val="12"/>
              <w:jc w:val="center"/>
            </w:pPr>
            <w:r>
              <w:rPr>
                <w:rFonts w:hint="eastAsia"/>
              </w:rPr>
              <w:t>1881年</w:t>
            </w:r>
          </w:p>
        </w:tc>
        <w:tc>
          <w:tcPr>
            <w:tcW w:w="582" w:type="pct"/>
            <w:vAlign w:val="center"/>
          </w:tcPr>
          <w:p w14:paraId="5D96F56D">
            <w:pPr>
              <w:pStyle w:val="12"/>
              <w:jc w:val="center"/>
            </w:pPr>
            <w:r>
              <w:rPr>
                <w:rFonts w:hint="eastAsia"/>
              </w:rPr>
              <w:t>珠玑镇</w:t>
            </w:r>
          </w:p>
        </w:tc>
        <w:tc>
          <w:tcPr>
            <w:tcW w:w="582" w:type="pct"/>
            <w:vAlign w:val="center"/>
          </w:tcPr>
          <w:p w14:paraId="29829F4E">
            <w:pPr>
              <w:pStyle w:val="12"/>
              <w:jc w:val="center"/>
            </w:pPr>
            <w:r>
              <w:rPr>
                <w:rFonts w:hint="eastAsia"/>
              </w:rPr>
              <w:t>1925年</w:t>
            </w:r>
          </w:p>
        </w:tc>
        <w:tc>
          <w:tcPr>
            <w:tcW w:w="1066" w:type="pct"/>
            <w:vAlign w:val="center"/>
          </w:tcPr>
          <w:p w14:paraId="552F977C">
            <w:pPr>
              <w:pStyle w:val="12"/>
              <w:jc w:val="left"/>
              <w:rPr>
                <w:rFonts w:ascii="宋体" w:hAnsi="宋体" w:cs="宋体"/>
              </w:rPr>
            </w:pPr>
            <w:r>
              <w:rPr>
                <w:rFonts w:hint="eastAsia"/>
              </w:rPr>
              <w:t>中共南雄县</w:t>
            </w:r>
          </w:p>
          <w:p w14:paraId="3CEA008F">
            <w:pPr>
              <w:pStyle w:val="12"/>
              <w:jc w:val="left"/>
            </w:pPr>
            <w:r>
              <w:rPr>
                <w:rFonts w:hint="eastAsia" w:ascii="宋体" w:hAnsi="宋体" w:cs="宋体"/>
              </w:rPr>
              <w:t>委  委  员</w:t>
            </w:r>
          </w:p>
        </w:tc>
        <w:tc>
          <w:tcPr>
            <w:tcW w:w="1160" w:type="pct"/>
            <w:vMerge w:val="continue"/>
            <w:vAlign w:val="center"/>
          </w:tcPr>
          <w:p w14:paraId="1ABDCCE6">
            <w:pPr>
              <w:pStyle w:val="12"/>
              <w:jc w:val="left"/>
            </w:pPr>
          </w:p>
        </w:tc>
      </w:tr>
      <w:tr w14:paraId="07E117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79A7F2C">
            <w:pPr>
              <w:pStyle w:val="12"/>
              <w:jc w:val="center"/>
            </w:pPr>
            <w:r>
              <w:rPr>
                <w:rFonts w:hint="eastAsia"/>
              </w:rPr>
              <w:t>何新福</w:t>
            </w:r>
          </w:p>
        </w:tc>
        <w:tc>
          <w:tcPr>
            <w:tcW w:w="388" w:type="pct"/>
            <w:vAlign w:val="center"/>
          </w:tcPr>
          <w:p w14:paraId="66AB5A97">
            <w:pPr>
              <w:pStyle w:val="12"/>
              <w:jc w:val="center"/>
            </w:pPr>
            <w:r>
              <w:rPr>
                <w:rFonts w:hint="eastAsia"/>
              </w:rPr>
              <w:t>男</w:t>
            </w:r>
          </w:p>
        </w:tc>
        <w:tc>
          <w:tcPr>
            <w:tcW w:w="582" w:type="pct"/>
            <w:vAlign w:val="center"/>
          </w:tcPr>
          <w:p w14:paraId="2FA846E4">
            <w:pPr>
              <w:pStyle w:val="12"/>
              <w:jc w:val="center"/>
            </w:pPr>
            <w:r>
              <w:rPr>
                <w:rFonts w:hint="eastAsia"/>
              </w:rPr>
              <w:t>1896年</w:t>
            </w:r>
          </w:p>
        </w:tc>
        <w:tc>
          <w:tcPr>
            <w:tcW w:w="582" w:type="pct"/>
            <w:vAlign w:val="center"/>
          </w:tcPr>
          <w:p w14:paraId="4A46F790">
            <w:pPr>
              <w:pStyle w:val="12"/>
              <w:jc w:val="center"/>
            </w:pPr>
            <w:r>
              <w:rPr>
                <w:rFonts w:hint="eastAsia"/>
              </w:rPr>
              <w:t>珠玑镇</w:t>
            </w:r>
          </w:p>
        </w:tc>
        <w:tc>
          <w:tcPr>
            <w:tcW w:w="582" w:type="pct"/>
            <w:vAlign w:val="center"/>
          </w:tcPr>
          <w:p w14:paraId="6F3DD6F9">
            <w:pPr>
              <w:pStyle w:val="12"/>
              <w:jc w:val="center"/>
            </w:pPr>
            <w:r>
              <w:rPr>
                <w:rFonts w:hint="eastAsia"/>
              </w:rPr>
              <w:t>1925年</w:t>
            </w:r>
          </w:p>
        </w:tc>
        <w:tc>
          <w:tcPr>
            <w:tcW w:w="1066" w:type="pct"/>
            <w:vAlign w:val="center"/>
          </w:tcPr>
          <w:p w14:paraId="548B30F0">
            <w:pPr>
              <w:pStyle w:val="12"/>
              <w:jc w:val="left"/>
              <w:rPr>
                <w:rFonts w:ascii="宋体" w:hAnsi="宋体" w:cs="宋体"/>
              </w:rPr>
            </w:pPr>
            <w:r>
              <w:rPr>
                <w:rFonts w:hint="eastAsia"/>
              </w:rPr>
              <w:t>中共南雄县</w:t>
            </w:r>
          </w:p>
          <w:p w14:paraId="7D1A7D0F">
            <w:pPr>
              <w:pStyle w:val="12"/>
              <w:jc w:val="left"/>
            </w:pPr>
            <w:r>
              <w:rPr>
                <w:rFonts w:hint="eastAsia" w:ascii="宋体" w:hAnsi="宋体" w:cs="宋体"/>
              </w:rPr>
              <w:t>委  委  员</w:t>
            </w:r>
          </w:p>
        </w:tc>
        <w:tc>
          <w:tcPr>
            <w:tcW w:w="1160" w:type="pct"/>
            <w:vAlign w:val="center"/>
          </w:tcPr>
          <w:p w14:paraId="21F27153">
            <w:pPr>
              <w:pStyle w:val="12"/>
              <w:jc w:val="left"/>
            </w:pPr>
            <w:r>
              <w:rPr>
                <w:rFonts w:hint="eastAsia"/>
              </w:rPr>
              <w:t>1929年11月2日在江西大余县杉村山上被</w:t>
            </w:r>
            <w:bookmarkStart w:id="1" w:name="_GoBack"/>
            <w:bookmarkEnd w:id="1"/>
            <w:r>
              <w:rPr>
                <w:rFonts w:hint="eastAsia"/>
              </w:rPr>
              <w:t>捕，翌日在南雄县城五里山就义，有传</w:t>
            </w:r>
          </w:p>
        </w:tc>
      </w:tr>
      <w:tr w14:paraId="5706C1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A2D1458">
            <w:pPr>
              <w:pStyle w:val="12"/>
              <w:jc w:val="center"/>
            </w:pPr>
            <w:r>
              <w:rPr>
                <w:rFonts w:hint="eastAsia"/>
              </w:rPr>
              <w:t>廖光宗</w:t>
            </w:r>
          </w:p>
        </w:tc>
        <w:tc>
          <w:tcPr>
            <w:tcW w:w="388" w:type="pct"/>
            <w:vAlign w:val="center"/>
          </w:tcPr>
          <w:p w14:paraId="2CCE3314">
            <w:pPr>
              <w:pStyle w:val="12"/>
              <w:jc w:val="center"/>
            </w:pPr>
            <w:r>
              <w:rPr>
                <w:rFonts w:hint="eastAsia"/>
              </w:rPr>
              <w:t>男</w:t>
            </w:r>
          </w:p>
        </w:tc>
        <w:tc>
          <w:tcPr>
            <w:tcW w:w="582" w:type="pct"/>
            <w:vAlign w:val="center"/>
          </w:tcPr>
          <w:p w14:paraId="3E1A9E4C">
            <w:pPr>
              <w:pStyle w:val="12"/>
              <w:jc w:val="center"/>
            </w:pPr>
            <w:r>
              <w:rPr>
                <w:rFonts w:hint="eastAsia"/>
              </w:rPr>
              <w:t>1901年</w:t>
            </w:r>
          </w:p>
        </w:tc>
        <w:tc>
          <w:tcPr>
            <w:tcW w:w="582" w:type="pct"/>
            <w:vAlign w:val="center"/>
          </w:tcPr>
          <w:p w14:paraId="25D468CC">
            <w:pPr>
              <w:pStyle w:val="12"/>
              <w:jc w:val="center"/>
            </w:pPr>
            <w:r>
              <w:rPr>
                <w:rFonts w:hint="eastAsia"/>
              </w:rPr>
              <w:t>珠玑镇</w:t>
            </w:r>
          </w:p>
        </w:tc>
        <w:tc>
          <w:tcPr>
            <w:tcW w:w="582" w:type="pct"/>
            <w:vAlign w:val="center"/>
          </w:tcPr>
          <w:p w14:paraId="65403878">
            <w:pPr>
              <w:pStyle w:val="12"/>
              <w:jc w:val="center"/>
            </w:pPr>
            <w:r>
              <w:rPr>
                <w:rFonts w:hint="eastAsia"/>
              </w:rPr>
              <w:t>1925年</w:t>
            </w:r>
          </w:p>
        </w:tc>
        <w:tc>
          <w:tcPr>
            <w:tcW w:w="1066" w:type="pct"/>
            <w:vAlign w:val="center"/>
          </w:tcPr>
          <w:p w14:paraId="1B37FA46">
            <w:pPr>
              <w:pStyle w:val="12"/>
              <w:jc w:val="left"/>
              <w:rPr>
                <w:rFonts w:ascii="宋体" w:hAnsi="宋体" w:cs="宋体"/>
              </w:rPr>
            </w:pPr>
            <w:r>
              <w:rPr>
                <w:rFonts w:hint="eastAsia"/>
              </w:rPr>
              <w:t>中共南雄县第二</w:t>
            </w:r>
          </w:p>
          <w:p w14:paraId="1EA2A8E0">
            <w:pPr>
              <w:pStyle w:val="12"/>
              <w:jc w:val="left"/>
            </w:pPr>
            <w:r>
              <w:rPr>
                <w:rFonts w:hint="eastAsia" w:ascii="宋体" w:hAnsi="宋体" w:cs="宋体"/>
              </w:rPr>
              <w:t>区委员会</w:t>
            </w:r>
            <w:r>
              <w:rPr>
                <w:rFonts w:hint="eastAsia"/>
              </w:rPr>
              <w:t>书记</w:t>
            </w:r>
          </w:p>
        </w:tc>
        <w:tc>
          <w:tcPr>
            <w:tcW w:w="1160" w:type="pct"/>
            <w:vAlign w:val="center"/>
          </w:tcPr>
          <w:p w14:paraId="6D7DA2BD">
            <w:pPr>
              <w:pStyle w:val="12"/>
              <w:jc w:val="left"/>
            </w:pPr>
            <w:r>
              <w:rPr>
                <w:rFonts w:hint="eastAsia"/>
              </w:rPr>
              <w:t>1929年2月24日在茶头背因叛徒出卖被捕，在邓坊就义</w:t>
            </w:r>
          </w:p>
        </w:tc>
      </w:tr>
      <w:tr w14:paraId="43B70A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FB4A396">
            <w:pPr>
              <w:pStyle w:val="12"/>
              <w:jc w:val="center"/>
            </w:pPr>
            <w:r>
              <w:rPr>
                <w:rFonts w:hint="eastAsia"/>
              </w:rPr>
              <w:t>陈德枢</w:t>
            </w:r>
          </w:p>
        </w:tc>
        <w:tc>
          <w:tcPr>
            <w:tcW w:w="388" w:type="pct"/>
            <w:vAlign w:val="center"/>
          </w:tcPr>
          <w:p w14:paraId="450C0C59">
            <w:pPr>
              <w:pStyle w:val="12"/>
              <w:jc w:val="center"/>
            </w:pPr>
            <w:r>
              <w:rPr>
                <w:rFonts w:hint="eastAsia"/>
              </w:rPr>
              <w:t>男</w:t>
            </w:r>
          </w:p>
        </w:tc>
        <w:tc>
          <w:tcPr>
            <w:tcW w:w="582" w:type="pct"/>
            <w:vAlign w:val="center"/>
          </w:tcPr>
          <w:p w14:paraId="7C9F3711">
            <w:pPr>
              <w:pStyle w:val="12"/>
              <w:jc w:val="center"/>
            </w:pPr>
            <w:r>
              <w:rPr>
                <w:rFonts w:hint="eastAsia"/>
              </w:rPr>
              <w:t>1905年</w:t>
            </w:r>
          </w:p>
        </w:tc>
        <w:tc>
          <w:tcPr>
            <w:tcW w:w="582" w:type="pct"/>
            <w:vAlign w:val="center"/>
          </w:tcPr>
          <w:p w14:paraId="6F8D8724">
            <w:pPr>
              <w:pStyle w:val="12"/>
              <w:jc w:val="center"/>
            </w:pPr>
            <w:r>
              <w:rPr>
                <w:rFonts w:hint="eastAsia"/>
              </w:rPr>
              <w:t>雄州镇</w:t>
            </w:r>
          </w:p>
        </w:tc>
        <w:tc>
          <w:tcPr>
            <w:tcW w:w="582" w:type="pct"/>
            <w:vAlign w:val="center"/>
          </w:tcPr>
          <w:p w14:paraId="4466B3C6">
            <w:pPr>
              <w:pStyle w:val="12"/>
              <w:jc w:val="center"/>
            </w:pPr>
            <w:r>
              <w:rPr>
                <w:rFonts w:hint="eastAsia"/>
              </w:rPr>
              <w:t>—</w:t>
            </w:r>
          </w:p>
        </w:tc>
        <w:tc>
          <w:tcPr>
            <w:tcW w:w="1066" w:type="pct"/>
            <w:vAlign w:val="center"/>
          </w:tcPr>
          <w:p w14:paraId="45BF7852">
            <w:pPr>
              <w:pStyle w:val="12"/>
              <w:jc w:val="left"/>
            </w:pPr>
            <w:r>
              <w:rPr>
                <w:rFonts w:hint="eastAsia"/>
              </w:rPr>
              <w:t>中共地下工作者</w:t>
            </w:r>
          </w:p>
        </w:tc>
        <w:tc>
          <w:tcPr>
            <w:tcW w:w="1160" w:type="pct"/>
            <w:vAlign w:val="center"/>
          </w:tcPr>
          <w:p w14:paraId="18E76C75">
            <w:pPr>
              <w:pStyle w:val="12"/>
              <w:jc w:val="left"/>
            </w:pPr>
            <w:r>
              <w:rPr>
                <w:rFonts w:hint="eastAsia"/>
              </w:rPr>
              <w:t>1929年在广州被捕，南海县就义</w:t>
            </w:r>
          </w:p>
        </w:tc>
      </w:tr>
      <w:tr w14:paraId="71A8FC1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36D17BF">
            <w:pPr>
              <w:pStyle w:val="12"/>
              <w:jc w:val="center"/>
            </w:pPr>
            <w:r>
              <w:rPr>
                <w:rFonts w:hint="eastAsia"/>
              </w:rPr>
              <w:t>陈亿楼</w:t>
            </w:r>
          </w:p>
        </w:tc>
        <w:tc>
          <w:tcPr>
            <w:tcW w:w="388" w:type="pct"/>
            <w:vAlign w:val="center"/>
          </w:tcPr>
          <w:p w14:paraId="7130874B">
            <w:pPr>
              <w:pStyle w:val="12"/>
              <w:jc w:val="center"/>
            </w:pPr>
            <w:r>
              <w:rPr>
                <w:rFonts w:hint="eastAsia"/>
              </w:rPr>
              <w:t>男</w:t>
            </w:r>
          </w:p>
        </w:tc>
        <w:tc>
          <w:tcPr>
            <w:tcW w:w="582" w:type="pct"/>
            <w:vAlign w:val="center"/>
          </w:tcPr>
          <w:p w14:paraId="5724986C">
            <w:pPr>
              <w:pStyle w:val="12"/>
              <w:jc w:val="center"/>
            </w:pPr>
            <w:r>
              <w:rPr>
                <w:rFonts w:hint="eastAsia"/>
              </w:rPr>
              <w:t>1884年</w:t>
            </w:r>
          </w:p>
        </w:tc>
        <w:tc>
          <w:tcPr>
            <w:tcW w:w="582" w:type="pct"/>
            <w:vAlign w:val="center"/>
          </w:tcPr>
          <w:p w14:paraId="12FA576D">
            <w:pPr>
              <w:pStyle w:val="12"/>
              <w:jc w:val="center"/>
            </w:pPr>
            <w:r>
              <w:rPr>
                <w:rFonts w:hint="eastAsia"/>
              </w:rPr>
              <w:t>雄州镇</w:t>
            </w:r>
          </w:p>
        </w:tc>
        <w:tc>
          <w:tcPr>
            <w:tcW w:w="582" w:type="pct"/>
            <w:vAlign w:val="center"/>
          </w:tcPr>
          <w:p w14:paraId="5696A9BD">
            <w:pPr>
              <w:pStyle w:val="12"/>
              <w:jc w:val="center"/>
            </w:pPr>
            <w:r>
              <w:rPr>
                <w:rFonts w:hint="eastAsia"/>
              </w:rPr>
              <w:t>1927年</w:t>
            </w:r>
          </w:p>
        </w:tc>
        <w:tc>
          <w:tcPr>
            <w:tcW w:w="1066" w:type="pct"/>
            <w:vAlign w:val="center"/>
          </w:tcPr>
          <w:p w14:paraId="1D3571B1">
            <w:pPr>
              <w:pStyle w:val="12"/>
              <w:jc w:val="left"/>
              <w:rPr>
                <w:rFonts w:ascii="宋体" w:hAnsi="宋体" w:cs="宋体"/>
              </w:rPr>
            </w:pPr>
            <w:r>
              <w:rPr>
                <w:rFonts w:hint="eastAsia"/>
              </w:rPr>
              <w:t>地下中共党</w:t>
            </w:r>
          </w:p>
          <w:p w14:paraId="200E554D">
            <w:pPr>
              <w:pStyle w:val="12"/>
              <w:jc w:val="left"/>
            </w:pPr>
            <w:r>
              <w:rPr>
                <w:rFonts w:hint="eastAsia" w:ascii="宋体" w:hAnsi="宋体" w:cs="宋体"/>
              </w:rPr>
              <w:t>支部书记</w:t>
            </w:r>
          </w:p>
        </w:tc>
        <w:tc>
          <w:tcPr>
            <w:tcW w:w="1160" w:type="pct"/>
            <w:vAlign w:val="center"/>
          </w:tcPr>
          <w:p w14:paraId="50189A7C">
            <w:pPr>
              <w:pStyle w:val="12"/>
              <w:jc w:val="left"/>
            </w:pPr>
            <w:r>
              <w:rPr>
                <w:rFonts w:hint="eastAsia"/>
              </w:rPr>
              <w:t>1929年在南雄县城被捕就义</w:t>
            </w:r>
          </w:p>
        </w:tc>
      </w:tr>
      <w:tr w14:paraId="1D6C5B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1F034CE">
            <w:pPr>
              <w:pStyle w:val="12"/>
              <w:jc w:val="center"/>
            </w:pPr>
            <w:r>
              <w:rPr>
                <w:rFonts w:hint="eastAsia"/>
              </w:rPr>
              <w:t>刘子明</w:t>
            </w:r>
          </w:p>
        </w:tc>
        <w:tc>
          <w:tcPr>
            <w:tcW w:w="388" w:type="pct"/>
            <w:vAlign w:val="center"/>
          </w:tcPr>
          <w:p w14:paraId="7DAFAD19">
            <w:pPr>
              <w:pStyle w:val="12"/>
              <w:jc w:val="center"/>
            </w:pPr>
            <w:r>
              <w:rPr>
                <w:rFonts w:hint="eastAsia"/>
              </w:rPr>
              <w:t>男</w:t>
            </w:r>
          </w:p>
        </w:tc>
        <w:tc>
          <w:tcPr>
            <w:tcW w:w="582" w:type="pct"/>
            <w:vAlign w:val="center"/>
          </w:tcPr>
          <w:p w14:paraId="391D3CAD">
            <w:pPr>
              <w:pStyle w:val="12"/>
              <w:jc w:val="center"/>
            </w:pPr>
            <w:r>
              <w:rPr>
                <w:rFonts w:hint="eastAsia"/>
              </w:rPr>
              <w:t>1896年</w:t>
            </w:r>
          </w:p>
        </w:tc>
        <w:tc>
          <w:tcPr>
            <w:tcW w:w="582" w:type="pct"/>
            <w:vAlign w:val="center"/>
          </w:tcPr>
          <w:p w14:paraId="4EF6BFD2">
            <w:pPr>
              <w:pStyle w:val="12"/>
              <w:jc w:val="center"/>
            </w:pPr>
            <w:r>
              <w:rPr>
                <w:rFonts w:hint="eastAsia"/>
              </w:rPr>
              <w:t>雄州镇</w:t>
            </w:r>
          </w:p>
        </w:tc>
        <w:tc>
          <w:tcPr>
            <w:tcW w:w="582" w:type="pct"/>
            <w:vAlign w:val="center"/>
          </w:tcPr>
          <w:p w14:paraId="2F8E0AA2">
            <w:pPr>
              <w:pStyle w:val="12"/>
              <w:jc w:val="center"/>
            </w:pPr>
            <w:r>
              <w:rPr>
                <w:rFonts w:hint="eastAsia"/>
              </w:rPr>
              <w:t>1927年</w:t>
            </w:r>
          </w:p>
        </w:tc>
        <w:tc>
          <w:tcPr>
            <w:tcW w:w="1066" w:type="pct"/>
            <w:vAlign w:val="center"/>
          </w:tcPr>
          <w:p w14:paraId="53447D0C">
            <w:pPr>
              <w:pStyle w:val="12"/>
              <w:jc w:val="left"/>
              <w:rPr>
                <w:rFonts w:ascii="宋体" w:hAnsi="宋体" w:cs="宋体"/>
              </w:rPr>
            </w:pPr>
            <w:r>
              <w:rPr>
                <w:rFonts w:hint="eastAsia"/>
              </w:rPr>
              <w:t>油山游击队</w:t>
            </w:r>
          </w:p>
          <w:p w14:paraId="7319CD85">
            <w:pPr>
              <w:pStyle w:val="12"/>
              <w:jc w:val="left"/>
            </w:pPr>
            <w:r>
              <w:rPr>
                <w:rFonts w:hint="eastAsia" w:ascii="宋体" w:hAnsi="宋体" w:cs="宋体"/>
              </w:rPr>
              <w:t>大  队  长</w:t>
            </w:r>
          </w:p>
        </w:tc>
        <w:tc>
          <w:tcPr>
            <w:tcW w:w="1160" w:type="pct"/>
            <w:vAlign w:val="center"/>
          </w:tcPr>
          <w:p w14:paraId="2AC33F4B">
            <w:pPr>
              <w:pStyle w:val="12"/>
              <w:jc w:val="left"/>
            </w:pPr>
            <w:r>
              <w:rPr>
                <w:rFonts w:hint="eastAsia"/>
              </w:rPr>
              <w:t>1929年在油山樟地背牺牲</w:t>
            </w:r>
          </w:p>
        </w:tc>
      </w:tr>
      <w:tr w14:paraId="35A974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EEE99FE">
            <w:pPr>
              <w:pStyle w:val="12"/>
              <w:jc w:val="center"/>
            </w:pPr>
            <w:r>
              <w:rPr>
                <w:rFonts w:hint="eastAsia"/>
              </w:rPr>
              <w:t>卢世英</w:t>
            </w:r>
          </w:p>
        </w:tc>
        <w:tc>
          <w:tcPr>
            <w:tcW w:w="388" w:type="pct"/>
            <w:vAlign w:val="center"/>
          </w:tcPr>
          <w:p w14:paraId="7ECB591D">
            <w:pPr>
              <w:pStyle w:val="12"/>
              <w:jc w:val="center"/>
            </w:pPr>
            <w:r>
              <w:rPr>
                <w:rFonts w:hint="eastAsia"/>
              </w:rPr>
              <w:t>男</w:t>
            </w:r>
          </w:p>
        </w:tc>
        <w:tc>
          <w:tcPr>
            <w:tcW w:w="582" w:type="pct"/>
            <w:vAlign w:val="center"/>
          </w:tcPr>
          <w:p w14:paraId="33F777F9">
            <w:pPr>
              <w:pStyle w:val="12"/>
              <w:jc w:val="center"/>
            </w:pPr>
            <w:r>
              <w:rPr>
                <w:rFonts w:hint="eastAsia"/>
              </w:rPr>
              <w:t>1902年</w:t>
            </w:r>
          </w:p>
        </w:tc>
        <w:tc>
          <w:tcPr>
            <w:tcW w:w="582" w:type="pct"/>
            <w:vAlign w:val="center"/>
          </w:tcPr>
          <w:p w14:paraId="46A8199A">
            <w:pPr>
              <w:pStyle w:val="12"/>
              <w:jc w:val="center"/>
            </w:pPr>
            <w:r>
              <w:rPr>
                <w:rFonts w:hint="eastAsia"/>
              </w:rPr>
              <w:t>邓坊镇</w:t>
            </w:r>
          </w:p>
        </w:tc>
        <w:tc>
          <w:tcPr>
            <w:tcW w:w="582" w:type="pct"/>
            <w:vAlign w:val="center"/>
          </w:tcPr>
          <w:p w14:paraId="0C5ACF53">
            <w:pPr>
              <w:pStyle w:val="12"/>
              <w:jc w:val="center"/>
            </w:pPr>
            <w:r>
              <w:rPr>
                <w:rFonts w:hint="eastAsia"/>
              </w:rPr>
              <w:t>1926年</w:t>
            </w:r>
          </w:p>
        </w:tc>
        <w:tc>
          <w:tcPr>
            <w:tcW w:w="1066" w:type="pct"/>
            <w:vAlign w:val="center"/>
          </w:tcPr>
          <w:p w14:paraId="40A411EA">
            <w:pPr>
              <w:pStyle w:val="12"/>
              <w:jc w:val="left"/>
              <w:rPr>
                <w:rFonts w:ascii="宋体" w:hAnsi="宋体" w:cs="宋体"/>
              </w:rPr>
            </w:pPr>
            <w:r>
              <w:rPr>
                <w:rFonts w:hint="eastAsia"/>
              </w:rPr>
              <w:t>中共南雄县</w:t>
            </w:r>
          </w:p>
          <w:p w14:paraId="04DA6456">
            <w:pPr>
              <w:pStyle w:val="12"/>
              <w:jc w:val="left"/>
            </w:pPr>
            <w:r>
              <w:rPr>
                <w:rFonts w:hint="eastAsia" w:ascii="宋体" w:hAnsi="宋体" w:cs="宋体"/>
              </w:rPr>
              <w:t>委  委  员</w:t>
            </w:r>
          </w:p>
        </w:tc>
        <w:tc>
          <w:tcPr>
            <w:tcW w:w="1160" w:type="pct"/>
            <w:vAlign w:val="center"/>
          </w:tcPr>
          <w:p w14:paraId="70E1FD66">
            <w:pPr>
              <w:pStyle w:val="12"/>
              <w:jc w:val="left"/>
            </w:pPr>
            <w:r>
              <w:rPr>
                <w:rFonts w:hint="eastAsia"/>
              </w:rPr>
              <w:t>1929年12月17日在许村被捕，黄坑就义</w:t>
            </w:r>
          </w:p>
        </w:tc>
      </w:tr>
      <w:tr w14:paraId="1DFCFB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678C1AF">
            <w:pPr>
              <w:pStyle w:val="12"/>
              <w:jc w:val="center"/>
            </w:pPr>
            <w:r>
              <w:rPr>
                <w:rFonts w:hint="eastAsia"/>
              </w:rPr>
              <w:t>刘亚山</w:t>
            </w:r>
          </w:p>
        </w:tc>
        <w:tc>
          <w:tcPr>
            <w:tcW w:w="388" w:type="pct"/>
            <w:vAlign w:val="center"/>
          </w:tcPr>
          <w:p w14:paraId="4DF1A4C6">
            <w:pPr>
              <w:pStyle w:val="12"/>
              <w:jc w:val="center"/>
            </w:pPr>
            <w:r>
              <w:rPr>
                <w:rFonts w:hint="eastAsia"/>
              </w:rPr>
              <w:t>男</w:t>
            </w:r>
          </w:p>
        </w:tc>
        <w:tc>
          <w:tcPr>
            <w:tcW w:w="582" w:type="pct"/>
            <w:vAlign w:val="center"/>
          </w:tcPr>
          <w:p w14:paraId="554ED6B9">
            <w:pPr>
              <w:pStyle w:val="12"/>
              <w:jc w:val="center"/>
            </w:pPr>
            <w:r>
              <w:rPr>
                <w:rFonts w:hint="eastAsia"/>
              </w:rPr>
              <w:t>1891年</w:t>
            </w:r>
          </w:p>
        </w:tc>
        <w:tc>
          <w:tcPr>
            <w:tcW w:w="582" w:type="pct"/>
            <w:vAlign w:val="center"/>
          </w:tcPr>
          <w:p w14:paraId="668E6A81">
            <w:pPr>
              <w:pStyle w:val="12"/>
              <w:jc w:val="center"/>
            </w:pPr>
            <w:r>
              <w:rPr>
                <w:rFonts w:hint="eastAsia"/>
              </w:rPr>
              <w:t>湖口镇</w:t>
            </w:r>
          </w:p>
        </w:tc>
        <w:tc>
          <w:tcPr>
            <w:tcW w:w="582" w:type="pct"/>
            <w:vAlign w:val="center"/>
          </w:tcPr>
          <w:p w14:paraId="69C90688">
            <w:pPr>
              <w:pStyle w:val="12"/>
              <w:jc w:val="center"/>
            </w:pPr>
            <w:r>
              <w:rPr>
                <w:rFonts w:hint="eastAsia"/>
              </w:rPr>
              <w:t>1928年</w:t>
            </w:r>
          </w:p>
        </w:tc>
        <w:tc>
          <w:tcPr>
            <w:tcW w:w="1066" w:type="pct"/>
            <w:vAlign w:val="center"/>
          </w:tcPr>
          <w:p w14:paraId="6F90A135">
            <w:pPr>
              <w:pStyle w:val="12"/>
              <w:jc w:val="left"/>
            </w:pPr>
            <w:r>
              <w:rPr>
                <w:rFonts w:hint="eastAsia"/>
              </w:rPr>
              <w:t>工农红军战士</w:t>
            </w:r>
          </w:p>
        </w:tc>
        <w:tc>
          <w:tcPr>
            <w:tcW w:w="1160" w:type="pct"/>
            <w:vAlign w:val="center"/>
          </w:tcPr>
          <w:p w14:paraId="557B3A3C">
            <w:pPr>
              <w:pStyle w:val="12"/>
              <w:jc w:val="left"/>
            </w:pPr>
            <w:r>
              <w:rPr>
                <w:rFonts w:hint="eastAsia"/>
              </w:rPr>
              <w:t>1929年在赣州战斗牺牲</w:t>
            </w:r>
          </w:p>
        </w:tc>
      </w:tr>
      <w:tr w14:paraId="135DAF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D475C7D">
            <w:pPr>
              <w:pStyle w:val="12"/>
              <w:jc w:val="center"/>
            </w:pPr>
            <w:r>
              <w:rPr>
                <w:rFonts w:hint="eastAsia"/>
              </w:rPr>
              <w:t>钟蛟仁</w:t>
            </w:r>
          </w:p>
        </w:tc>
        <w:tc>
          <w:tcPr>
            <w:tcW w:w="388" w:type="pct"/>
            <w:vAlign w:val="center"/>
          </w:tcPr>
          <w:p w14:paraId="017E6C9A">
            <w:pPr>
              <w:pStyle w:val="12"/>
              <w:jc w:val="center"/>
            </w:pPr>
            <w:r>
              <w:rPr>
                <w:rFonts w:hint="eastAsia"/>
              </w:rPr>
              <w:t>男</w:t>
            </w:r>
          </w:p>
        </w:tc>
        <w:tc>
          <w:tcPr>
            <w:tcW w:w="582" w:type="pct"/>
            <w:vAlign w:val="center"/>
          </w:tcPr>
          <w:p w14:paraId="466D986D">
            <w:pPr>
              <w:pStyle w:val="12"/>
              <w:jc w:val="center"/>
            </w:pPr>
            <w:r>
              <w:rPr>
                <w:rFonts w:hint="eastAsia"/>
              </w:rPr>
              <w:t>1906年</w:t>
            </w:r>
          </w:p>
        </w:tc>
        <w:tc>
          <w:tcPr>
            <w:tcW w:w="582" w:type="pct"/>
            <w:vAlign w:val="center"/>
          </w:tcPr>
          <w:p w14:paraId="3E2FAEC5">
            <w:pPr>
              <w:pStyle w:val="12"/>
              <w:jc w:val="center"/>
            </w:pPr>
            <w:r>
              <w:rPr>
                <w:rFonts w:hint="eastAsia"/>
              </w:rPr>
              <w:t>珠玑镇</w:t>
            </w:r>
          </w:p>
        </w:tc>
        <w:tc>
          <w:tcPr>
            <w:tcW w:w="582" w:type="pct"/>
            <w:vAlign w:val="center"/>
          </w:tcPr>
          <w:p w14:paraId="3C58C133">
            <w:pPr>
              <w:pStyle w:val="12"/>
              <w:jc w:val="center"/>
            </w:pPr>
            <w:r>
              <w:rPr>
                <w:rFonts w:hint="eastAsia"/>
              </w:rPr>
              <w:t>1928年</w:t>
            </w:r>
          </w:p>
        </w:tc>
        <w:tc>
          <w:tcPr>
            <w:tcW w:w="1066" w:type="pct"/>
            <w:vAlign w:val="center"/>
          </w:tcPr>
          <w:p w14:paraId="7F25EB58">
            <w:pPr>
              <w:pStyle w:val="12"/>
              <w:jc w:val="left"/>
            </w:pPr>
            <w:r>
              <w:rPr>
                <w:rFonts w:hint="eastAsia"/>
              </w:rPr>
              <w:t>油山游击队队员</w:t>
            </w:r>
          </w:p>
        </w:tc>
        <w:tc>
          <w:tcPr>
            <w:tcW w:w="1160" w:type="pct"/>
            <w:vAlign w:val="center"/>
          </w:tcPr>
          <w:p w14:paraId="3DA1B9B5">
            <w:pPr>
              <w:pStyle w:val="12"/>
              <w:jc w:val="left"/>
            </w:pPr>
            <w:r>
              <w:rPr>
                <w:rFonts w:hint="eastAsia"/>
              </w:rPr>
              <w:t>1929年在里东被捕就义</w:t>
            </w:r>
          </w:p>
        </w:tc>
      </w:tr>
      <w:tr w14:paraId="0E4A87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E4E2EB9">
            <w:pPr>
              <w:pStyle w:val="12"/>
              <w:jc w:val="center"/>
            </w:pPr>
            <w:r>
              <w:rPr>
                <w:rFonts w:hint="eastAsia"/>
              </w:rPr>
              <w:t>黄位雄</w:t>
            </w:r>
          </w:p>
        </w:tc>
        <w:tc>
          <w:tcPr>
            <w:tcW w:w="388" w:type="pct"/>
            <w:vAlign w:val="center"/>
          </w:tcPr>
          <w:p w14:paraId="75E45248">
            <w:pPr>
              <w:pStyle w:val="12"/>
              <w:jc w:val="center"/>
            </w:pPr>
            <w:r>
              <w:rPr>
                <w:rFonts w:hint="eastAsia"/>
              </w:rPr>
              <w:t>男</w:t>
            </w:r>
          </w:p>
        </w:tc>
        <w:tc>
          <w:tcPr>
            <w:tcW w:w="582" w:type="pct"/>
            <w:vAlign w:val="center"/>
          </w:tcPr>
          <w:p w14:paraId="4A971E6A">
            <w:pPr>
              <w:pStyle w:val="12"/>
              <w:jc w:val="center"/>
            </w:pPr>
            <w:r>
              <w:rPr>
                <w:rFonts w:hint="eastAsia"/>
              </w:rPr>
              <w:t>1903年</w:t>
            </w:r>
          </w:p>
        </w:tc>
        <w:tc>
          <w:tcPr>
            <w:tcW w:w="582" w:type="pct"/>
            <w:vAlign w:val="center"/>
          </w:tcPr>
          <w:p w14:paraId="29B796DD">
            <w:pPr>
              <w:pStyle w:val="12"/>
              <w:jc w:val="center"/>
            </w:pPr>
            <w:r>
              <w:rPr>
                <w:rFonts w:hint="eastAsia"/>
              </w:rPr>
              <w:t>珠玑镇</w:t>
            </w:r>
          </w:p>
        </w:tc>
        <w:tc>
          <w:tcPr>
            <w:tcW w:w="582" w:type="pct"/>
            <w:vAlign w:val="center"/>
          </w:tcPr>
          <w:p w14:paraId="2BF84369">
            <w:pPr>
              <w:pStyle w:val="12"/>
              <w:jc w:val="center"/>
            </w:pPr>
            <w:r>
              <w:rPr>
                <w:rFonts w:hint="eastAsia"/>
              </w:rPr>
              <w:t>1928年</w:t>
            </w:r>
          </w:p>
        </w:tc>
        <w:tc>
          <w:tcPr>
            <w:tcW w:w="1066" w:type="pct"/>
            <w:vAlign w:val="center"/>
          </w:tcPr>
          <w:p w14:paraId="243DF30F">
            <w:pPr>
              <w:pStyle w:val="12"/>
              <w:jc w:val="left"/>
            </w:pPr>
            <w:r>
              <w:rPr>
                <w:rFonts w:hint="eastAsia"/>
              </w:rPr>
              <w:t>油山游击队队员</w:t>
            </w:r>
          </w:p>
        </w:tc>
        <w:tc>
          <w:tcPr>
            <w:tcW w:w="1160" w:type="pct"/>
            <w:vAlign w:val="center"/>
          </w:tcPr>
          <w:p w14:paraId="4A376EDE">
            <w:pPr>
              <w:pStyle w:val="12"/>
              <w:jc w:val="left"/>
            </w:pPr>
            <w:r>
              <w:rPr>
                <w:rFonts w:hint="eastAsia"/>
              </w:rPr>
              <w:t>1929年在中站抢救伤员被捕，在里东圩就义</w:t>
            </w:r>
          </w:p>
        </w:tc>
      </w:tr>
      <w:tr w14:paraId="7D4ECE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18F348C">
            <w:pPr>
              <w:pStyle w:val="12"/>
              <w:jc w:val="center"/>
            </w:pPr>
            <w:r>
              <w:rPr>
                <w:rFonts w:hint="eastAsia"/>
              </w:rPr>
              <w:t>杨年古头</w:t>
            </w:r>
          </w:p>
        </w:tc>
        <w:tc>
          <w:tcPr>
            <w:tcW w:w="388" w:type="pct"/>
            <w:vAlign w:val="center"/>
          </w:tcPr>
          <w:p w14:paraId="0DD2E14F">
            <w:pPr>
              <w:pStyle w:val="12"/>
              <w:jc w:val="center"/>
            </w:pPr>
            <w:r>
              <w:rPr>
                <w:rFonts w:hint="eastAsia"/>
              </w:rPr>
              <w:t>男</w:t>
            </w:r>
          </w:p>
        </w:tc>
        <w:tc>
          <w:tcPr>
            <w:tcW w:w="582" w:type="pct"/>
            <w:vAlign w:val="center"/>
          </w:tcPr>
          <w:p w14:paraId="124076E7">
            <w:pPr>
              <w:pStyle w:val="12"/>
              <w:jc w:val="center"/>
            </w:pPr>
            <w:r>
              <w:rPr>
                <w:rFonts w:hint="eastAsia"/>
              </w:rPr>
              <w:t>1894年</w:t>
            </w:r>
          </w:p>
        </w:tc>
        <w:tc>
          <w:tcPr>
            <w:tcW w:w="582" w:type="pct"/>
            <w:vAlign w:val="center"/>
          </w:tcPr>
          <w:p w14:paraId="25B3F90A">
            <w:pPr>
              <w:pStyle w:val="12"/>
              <w:jc w:val="center"/>
            </w:pPr>
            <w:r>
              <w:rPr>
                <w:rFonts w:hint="eastAsia"/>
              </w:rPr>
              <w:t>珠玑镇</w:t>
            </w:r>
          </w:p>
        </w:tc>
        <w:tc>
          <w:tcPr>
            <w:tcW w:w="582" w:type="pct"/>
            <w:vAlign w:val="center"/>
          </w:tcPr>
          <w:p w14:paraId="5F6A4131">
            <w:pPr>
              <w:pStyle w:val="12"/>
              <w:jc w:val="center"/>
            </w:pPr>
            <w:r>
              <w:rPr>
                <w:rFonts w:hint="eastAsia"/>
              </w:rPr>
              <w:t>1928年</w:t>
            </w:r>
          </w:p>
        </w:tc>
        <w:tc>
          <w:tcPr>
            <w:tcW w:w="1066" w:type="pct"/>
            <w:vAlign w:val="center"/>
          </w:tcPr>
          <w:p w14:paraId="00866A07">
            <w:pPr>
              <w:pStyle w:val="12"/>
              <w:jc w:val="left"/>
            </w:pPr>
            <w:r>
              <w:rPr>
                <w:rFonts w:hint="eastAsia"/>
              </w:rPr>
              <w:t>油山游击队队员</w:t>
            </w:r>
          </w:p>
        </w:tc>
        <w:tc>
          <w:tcPr>
            <w:tcW w:w="1160" w:type="pct"/>
            <w:vAlign w:val="center"/>
          </w:tcPr>
          <w:p w14:paraId="7C7F892E">
            <w:pPr>
              <w:pStyle w:val="12"/>
              <w:jc w:val="left"/>
            </w:pPr>
            <w:r>
              <w:rPr>
                <w:rFonts w:hint="eastAsia"/>
              </w:rPr>
              <w:t>1929年运粮被捕，在南雄城郊就义</w:t>
            </w:r>
          </w:p>
        </w:tc>
      </w:tr>
      <w:tr w14:paraId="12151A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08E6EB2">
            <w:pPr>
              <w:pStyle w:val="12"/>
              <w:jc w:val="center"/>
            </w:pPr>
            <w:r>
              <w:rPr>
                <w:rFonts w:hint="eastAsia"/>
              </w:rPr>
              <w:t>陈亿曾</w:t>
            </w:r>
          </w:p>
        </w:tc>
        <w:tc>
          <w:tcPr>
            <w:tcW w:w="388" w:type="pct"/>
            <w:vAlign w:val="center"/>
          </w:tcPr>
          <w:p w14:paraId="4123E549">
            <w:pPr>
              <w:pStyle w:val="12"/>
              <w:jc w:val="center"/>
            </w:pPr>
            <w:r>
              <w:rPr>
                <w:rFonts w:hint="eastAsia"/>
              </w:rPr>
              <w:t>男</w:t>
            </w:r>
          </w:p>
        </w:tc>
        <w:tc>
          <w:tcPr>
            <w:tcW w:w="582" w:type="pct"/>
            <w:vAlign w:val="center"/>
          </w:tcPr>
          <w:p w14:paraId="0EF2FF78">
            <w:pPr>
              <w:pStyle w:val="12"/>
              <w:jc w:val="center"/>
            </w:pPr>
            <w:r>
              <w:rPr>
                <w:rFonts w:hint="eastAsia"/>
              </w:rPr>
              <w:t>1899年</w:t>
            </w:r>
          </w:p>
        </w:tc>
        <w:tc>
          <w:tcPr>
            <w:tcW w:w="582" w:type="pct"/>
            <w:vAlign w:val="center"/>
          </w:tcPr>
          <w:p w14:paraId="1CB493D5">
            <w:pPr>
              <w:pStyle w:val="12"/>
              <w:jc w:val="center"/>
            </w:pPr>
            <w:r>
              <w:rPr>
                <w:rFonts w:hint="eastAsia"/>
              </w:rPr>
              <w:t>珠玑镇</w:t>
            </w:r>
          </w:p>
        </w:tc>
        <w:tc>
          <w:tcPr>
            <w:tcW w:w="582" w:type="pct"/>
            <w:vAlign w:val="center"/>
          </w:tcPr>
          <w:p w14:paraId="230A5598">
            <w:pPr>
              <w:pStyle w:val="12"/>
              <w:jc w:val="center"/>
            </w:pPr>
            <w:r>
              <w:rPr>
                <w:rFonts w:hint="eastAsia"/>
              </w:rPr>
              <w:t>1928年</w:t>
            </w:r>
          </w:p>
        </w:tc>
        <w:tc>
          <w:tcPr>
            <w:tcW w:w="1066" w:type="pct"/>
            <w:vAlign w:val="center"/>
          </w:tcPr>
          <w:p w14:paraId="30E08689">
            <w:pPr>
              <w:pStyle w:val="12"/>
              <w:jc w:val="left"/>
            </w:pPr>
            <w:r>
              <w:rPr>
                <w:rFonts w:hint="eastAsia"/>
              </w:rPr>
              <w:t>油山游击队队员</w:t>
            </w:r>
          </w:p>
        </w:tc>
        <w:tc>
          <w:tcPr>
            <w:tcW w:w="1160" w:type="pct"/>
            <w:vAlign w:val="center"/>
          </w:tcPr>
          <w:p w14:paraId="724506F5">
            <w:pPr>
              <w:pStyle w:val="12"/>
              <w:jc w:val="left"/>
            </w:pPr>
            <w:r>
              <w:rPr>
                <w:rFonts w:hint="eastAsia"/>
              </w:rPr>
              <w:t>1929年在祇芫执行任务被捕就义</w:t>
            </w:r>
          </w:p>
        </w:tc>
      </w:tr>
      <w:tr w14:paraId="7D77C3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75962D4">
            <w:pPr>
              <w:pStyle w:val="12"/>
              <w:jc w:val="center"/>
            </w:pPr>
            <w:r>
              <w:rPr>
                <w:rFonts w:hint="eastAsia"/>
              </w:rPr>
              <w:t>李为甫</w:t>
            </w:r>
          </w:p>
        </w:tc>
        <w:tc>
          <w:tcPr>
            <w:tcW w:w="388" w:type="pct"/>
            <w:vAlign w:val="center"/>
          </w:tcPr>
          <w:p w14:paraId="32A73819">
            <w:pPr>
              <w:pStyle w:val="12"/>
              <w:jc w:val="center"/>
            </w:pPr>
            <w:r>
              <w:rPr>
                <w:rFonts w:hint="eastAsia"/>
              </w:rPr>
              <w:t>男</w:t>
            </w:r>
          </w:p>
        </w:tc>
        <w:tc>
          <w:tcPr>
            <w:tcW w:w="582" w:type="pct"/>
            <w:vAlign w:val="center"/>
          </w:tcPr>
          <w:p w14:paraId="5028B920">
            <w:pPr>
              <w:pStyle w:val="12"/>
              <w:jc w:val="center"/>
            </w:pPr>
            <w:r>
              <w:rPr>
                <w:rFonts w:hint="eastAsia"/>
              </w:rPr>
              <w:t>1894年</w:t>
            </w:r>
          </w:p>
        </w:tc>
        <w:tc>
          <w:tcPr>
            <w:tcW w:w="582" w:type="pct"/>
            <w:vAlign w:val="center"/>
          </w:tcPr>
          <w:p w14:paraId="2BCB5FEC">
            <w:pPr>
              <w:pStyle w:val="12"/>
              <w:jc w:val="center"/>
            </w:pPr>
            <w:r>
              <w:rPr>
                <w:rFonts w:hint="eastAsia"/>
              </w:rPr>
              <w:t>珠玑镇</w:t>
            </w:r>
          </w:p>
        </w:tc>
        <w:tc>
          <w:tcPr>
            <w:tcW w:w="582" w:type="pct"/>
            <w:vAlign w:val="center"/>
          </w:tcPr>
          <w:p w14:paraId="0D65AD9B">
            <w:pPr>
              <w:pStyle w:val="12"/>
              <w:jc w:val="center"/>
            </w:pPr>
            <w:r>
              <w:rPr>
                <w:rFonts w:hint="eastAsia"/>
              </w:rPr>
              <w:t>1928年</w:t>
            </w:r>
          </w:p>
        </w:tc>
        <w:tc>
          <w:tcPr>
            <w:tcW w:w="1066" w:type="pct"/>
            <w:vAlign w:val="center"/>
          </w:tcPr>
          <w:p w14:paraId="2EE2BF96">
            <w:pPr>
              <w:pStyle w:val="12"/>
              <w:jc w:val="left"/>
              <w:rPr>
                <w:rFonts w:ascii="宋体" w:hAnsi="宋体" w:cs="宋体"/>
              </w:rPr>
            </w:pPr>
            <w:r>
              <w:rPr>
                <w:rFonts w:hint="eastAsia"/>
              </w:rPr>
              <w:t>油山游击队</w:t>
            </w:r>
          </w:p>
          <w:p w14:paraId="70488F37">
            <w:pPr>
              <w:pStyle w:val="12"/>
              <w:jc w:val="left"/>
            </w:pPr>
            <w:r>
              <w:rPr>
                <w:rFonts w:hint="eastAsia" w:ascii="宋体" w:hAnsi="宋体" w:cs="宋体"/>
              </w:rPr>
              <w:t>通  讯  员</w:t>
            </w:r>
          </w:p>
        </w:tc>
        <w:tc>
          <w:tcPr>
            <w:tcW w:w="1160" w:type="pct"/>
            <w:vAlign w:val="center"/>
          </w:tcPr>
          <w:p w14:paraId="3B43A2A0">
            <w:pPr>
              <w:pStyle w:val="12"/>
              <w:jc w:val="left"/>
            </w:pPr>
            <w:r>
              <w:rPr>
                <w:rFonts w:hint="eastAsia"/>
              </w:rPr>
              <w:t>1929年被捕，在南雄城郊就义</w:t>
            </w:r>
          </w:p>
        </w:tc>
      </w:tr>
      <w:tr w14:paraId="528EF3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315EC07">
            <w:pPr>
              <w:pStyle w:val="12"/>
              <w:jc w:val="center"/>
            </w:pPr>
            <w:r>
              <w:rPr>
                <w:rFonts w:hint="eastAsia"/>
              </w:rPr>
              <w:t>李兰妹</w:t>
            </w:r>
          </w:p>
        </w:tc>
        <w:tc>
          <w:tcPr>
            <w:tcW w:w="388" w:type="pct"/>
            <w:vAlign w:val="center"/>
          </w:tcPr>
          <w:p w14:paraId="4A4BE576">
            <w:pPr>
              <w:pStyle w:val="12"/>
              <w:jc w:val="center"/>
            </w:pPr>
            <w:r>
              <w:rPr>
                <w:rFonts w:hint="eastAsia"/>
              </w:rPr>
              <w:t>男</w:t>
            </w:r>
          </w:p>
        </w:tc>
        <w:tc>
          <w:tcPr>
            <w:tcW w:w="582" w:type="pct"/>
            <w:vAlign w:val="center"/>
          </w:tcPr>
          <w:p w14:paraId="5FE4C299">
            <w:pPr>
              <w:pStyle w:val="12"/>
              <w:jc w:val="center"/>
            </w:pPr>
            <w:r>
              <w:rPr>
                <w:rFonts w:hint="eastAsia"/>
              </w:rPr>
              <w:t>1876年</w:t>
            </w:r>
          </w:p>
        </w:tc>
        <w:tc>
          <w:tcPr>
            <w:tcW w:w="582" w:type="pct"/>
            <w:vAlign w:val="center"/>
          </w:tcPr>
          <w:p w14:paraId="7A4E1338">
            <w:pPr>
              <w:pStyle w:val="12"/>
              <w:jc w:val="center"/>
            </w:pPr>
            <w:r>
              <w:rPr>
                <w:rFonts w:hint="eastAsia"/>
              </w:rPr>
              <w:t>珠玑镇</w:t>
            </w:r>
          </w:p>
        </w:tc>
        <w:tc>
          <w:tcPr>
            <w:tcW w:w="582" w:type="pct"/>
            <w:vAlign w:val="center"/>
          </w:tcPr>
          <w:p w14:paraId="3206C448">
            <w:pPr>
              <w:pStyle w:val="12"/>
              <w:jc w:val="center"/>
            </w:pPr>
            <w:r>
              <w:rPr>
                <w:rFonts w:hint="eastAsia"/>
              </w:rPr>
              <w:t>1928年</w:t>
            </w:r>
          </w:p>
        </w:tc>
        <w:tc>
          <w:tcPr>
            <w:tcW w:w="1066" w:type="pct"/>
            <w:vAlign w:val="center"/>
          </w:tcPr>
          <w:p w14:paraId="4A5397A5">
            <w:pPr>
              <w:pStyle w:val="12"/>
              <w:jc w:val="left"/>
            </w:pPr>
            <w:r>
              <w:rPr>
                <w:rFonts w:hint="eastAsia"/>
              </w:rPr>
              <w:t>油山游击队队员</w:t>
            </w:r>
          </w:p>
        </w:tc>
        <w:tc>
          <w:tcPr>
            <w:tcW w:w="1160" w:type="pct"/>
            <w:vAlign w:val="center"/>
          </w:tcPr>
          <w:p w14:paraId="7BCF0EF8">
            <w:pPr>
              <w:pStyle w:val="12"/>
              <w:jc w:val="left"/>
            </w:pPr>
            <w:r>
              <w:rPr>
                <w:rFonts w:hint="eastAsia"/>
              </w:rPr>
              <w:t>1929年在珠玑镇被捕，南雄城郊就义</w:t>
            </w:r>
          </w:p>
        </w:tc>
      </w:tr>
      <w:tr w14:paraId="43FBC3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79B789C">
            <w:pPr>
              <w:pStyle w:val="12"/>
              <w:jc w:val="center"/>
            </w:pPr>
            <w:r>
              <w:rPr>
                <w:rFonts w:hint="eastAsia"/>
              </w:rPr>
              <w:t>熊梅闭</w:t>
            </w:r>
          </w:p>
        </w:tc>
        <w:tc>
          <w:tcPr>
            <w:tcW w:w="388" w:type="pct"/>
            <w:vAlign w:val="center"/>
          </w:tcPr>
          <w:p w14:paraId="167033B8">
            <w:pPr>
              <w:pStyle w:val="12"/>
              <w:jc w:val="center"/>
            </w:pPr>
            <w:r>
              <w:rPr>
                <w:rFonts w:hint="eastAsia"/>
              </w:rPr>
              <w:t>男</w:t>
            </w:r>
          </w:p>
        </w:tc>
        <w:tc>
          <w:tcPr>
            <w:tcW w:w="582" w:type="pct"/>
            <w:vAlign w:val="center"/>
          </w:tcPr>
          <w:p w14:paraId="576CF78C">
            <w:pPr>
              <w:pStyle w:val="12"/>
              <w:jc w:val="center"/>
            </w:pPr>
            <w:r>
              <w:rPr>
                <w:rFonts w:hint="eastAsia"/>
              </w:rPr>
              <w:t>1907年</w:t>
            </w:r>
          </w:p>
        </w:tc>
        <w:tc>
          <w:tcPr>
            <w:tcW w:w="582" w:type="pct"/>
            <w:vAlign w:val="center"/>
          </w:tcPr>
          <w:p w14:paraId="0E843336">
            <w:pPr>
              <w:pStyle w:val="12"/>
              <w:jc w:val="center"/>
            </w:pPr>
            <w:r>
              <w:rPr>
                <w:rFonts w:hint="eastAsia"/>
              </w:rPr>
              <w:t>珠玑镇</w:t>
            </w:r>
          </w:p>
        </w:tc>
        <w:tc>
          <w:tcPr>
            <w:tcW w:w="582" w:type="pct"/>
            <w:vAlign w:val="center"/>
          </w:tcPr>
          <w:p w14:paraId="0F85AAD9">
            <w:pPr>
              <w:pStyle w:val="12"/>
              <w:jc w:val="center"/>
            </w:pPr>
            <w:r>
              <w:rPr>
                <w:rFonts w:hint="eastAsia"/>
              </w:rPr>
              <w:t>1927年</w:t>
            </w:r>
          </w:p>
        </w:tc>
        <w:tc>
          <w:tcPr>
            <w:tcW w:w="1066" w:type="pct"/>
            <w:vAlign w:val="center"/>
          </w:tcPr>
          <w:p w14:paraId="5EB50F1C">
            <w:pPr>
              <w:pStyle w:val="12"/>
              <w:jc w:val="left"/>
            </w:pPr>
            <w:r>
              <w:rPr>
                <w:rFonts w:hint="eastAsia"/>
              </w:rPr>
              <w:t>工农红军战士</w:t>
            </w:r>
          </w:p>
        </w:tc>
        <w:tc>
          <w:tcPr>
            <w:tcW w:w="1160" w:type="pct"/>
            <w:vAlign w:val="center"/>
          </w:tcPr>
          <w:p w14:paraId="09BC566D">
            <w:pPr>
              <w:pStyle w:val="12"/>
              <w:jc w:val="left"/>
            </w:pPr>
            <w:r>
              <w:rPr>
                <w:rFonts w:hint="eastAsia"/>
              </w:rPr>
              <w:t>1929年在浙江省战斗牺牲</w:t>
            </w:r>
          </w:p>
        </w:tc>
      </w:tr>
      <w:tr w14:paraId="0ABD93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0DBC8D3">
            <w:pPr>
              <w:pStyle w:val="12"/>
              <w:jc w:val="center"/>
            </w:pPr>
            <w:r>
              <w:rPr>
                <w:rFonts w:hint="eastAsia"/>
              </w:rPr>
              <w:t>黄永庆</w:t>
            </w:r>
          </w:p>
        </w:tc>
        <w:tc>
          <w:tcPr>
            <w:tcW w:w="388" w:type="pct"/>
            <w:vAlign w:val="center"/>
          </w:tcPr>
          <w:p w14:paraId="5FCE1054">
            <w:pPr>
              <w:pStyle w:val="12"/>
              <w:jc w:val="center"/>
            </w:pPr>
            <w:r>
              <w:rPr>
                <w:rFonts w:hint="eastAsia"/>
              </w:rPr>
              <w:t>男</w:t>
            </w:r>
          </w:p>
        </w:tc>
        <w:tc>
          <w:tcPr>
            <w:tcW w:w="582" w:type="pct"/>
            <w:vAlign w:val="center"/>
          </w:tcPr>
          <w:p w14:paraId="20D006D6">
            <w:pPr>
              <w:pStyle w:val="12"/>
              <w:jc w:val="center"/>
            </w:pPr>
            <w:r>
              <w:rPr>
                <w:rFonts w:hint="eastAsia"/>
              </w:rPr>
              <w:t>1906年</w:t>
            </w:r>
          </w:p>
        </w:tc>
        <w:tc>
          <w:tcPr>
            <w:tcW w:w="582" w:type="pct"/>
            <w:vAlign w:val="center"/>
          </w:tcPr>
          <w:p w14:paraId="6D4B753E">
            <w:pPr>
              <w:pStyle w:val="12"/>
              <w:jc w:val="center"/>
            </w:pPr>
            <w:r>
              <w:rPr>
                <w:rFonts w:hint="eastAsia"/>
              </w:rPr>
              <w:t>珠玑镇</w:t>
            </w:r>
          </w:p>
        </w:tc>
        <w:tc>
          <w:tcPr>
            <w:tcW w:w="582" w:type="pct"/>
            <w:vAlign w:val="center"/>
          </w:tcPr>
          <w:p w14:paraId="53EB5320">
            <w:pPr>
              <w:pStyle w:val="12"/>
              <w:jc w:val="center"/>
            </w:pPr>
            <w:r>
              <w:rPr>
                <w:rFonts w:hint="eastAsia"/>
              </w:rPr>
              <w:t>1928年</w:t>
            </w:r>
          </w:p>
        </w:tc>
        <w:tc>
          <w:tcPr>
            <w:tcW w:w="1066" w:type="pct"/>
            <w:vAlign w:val="center"/>
          </w:tcPr>
          <w:p w14:paraId="1C37066A">
            <w:pPr>
              <w:pStyle w:val="12"/>
              <w:jc w:val="left"/>
            </w:pPr>
            <w:r>
              <w:rPr>
                <w:rFonts w:hint="eastAsia"/>
              </w:rPr>
              <w:t>油山游击队队员</w:t>
            </w:r>
          </w:p>
        </w:tc>
        <w:tc>
          <w:tcPr>
            <w:tcW w:w="1160" w:type="pct"/>
            <w:vAlign w:val="center"/>
          </w:tcPr>
          <w:p w14:paraId="25715069">
            <w:pPr>
              <w:pStyle w:val="12"/>
              <w:jc w:val="left"/>
            </w:pPr>
            <w:r>
              <w:rPr>
                <w:rFonts w:hint="eastAsia"/>
              </w:rPr>
              <w:t>1929年被捕，在县城郊就义</w:t>
            </w:r>
          </w:p>
        </w:tc>
      </w:tr>
      <w:tr w14:paraId="3CCDDB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1A810E3">
            <w:pPr>
              <w:pStyle w:val="12"/>
              <w:jc w:val="center"/>
            </w:pPr>
            <w:r>
              <w:rPr>
                <w:rFonts w:hint="eastAsia"/>
              </w:rPr>
              <w:t>钟太阳狗</w:t>
            </w:r>
          </w:p>
        </w:tc>
        <w:tc>
          <w:tcPr>
            <w:tcW w:w="388" w:type="pct"/>
            <w:vAlign w:val="center"/>
          </w:tcPr>
          <w:p w14:paraId="24133A24">
            <w:pPr>
              <w:pStyle w:val="12"/>
              <w:jc w:val="center"/>
            </w:pPr>
            <w:r>
              <w:rPr>
                <w:rFonts w:hint="eastAsia"/>
              </w:rPr>
              <w:t>男</w:t>
            </w:r>
          </w:p>
        </w:tc>
        <w:tc>
          <w:tcPr>
            <w:tcW w:w="582" w:type="pct"/>
            <w:vAlign w:val="center"/>
          </w:tcPr>
          <w:p w14:paraId="478BE652">
            <w:pPr>
              <w:pStyle w:val="12"/>
              <w:jc w:val="center"/>
            </w:pPr>
            <w:r>
              <w:rPr>
                <w:rFonts w:hint="eastAsia"/>
              </w:rPr>
              <w:t>1903年</w:t>
            </w:r>
          </w:p>
        </w:tc>
        <w:tc>
          <w:tcPr>
            <w:tcW w:w="582" w:type="pct"/>
            <w:vAlign w:val="center"/>
          </w:tcPr>
          <w:p w14:paraId="61C2DC0D">
            <w:pPr>
              <w:pStyle w:val="12"/>
              <w:jc w:val="center"/>
            </w:pPr>
            <w:r>
              <w:rPr>
                <w:rFonts w:hint="eastAsia"/>
              </w:rPr>
              <w:t>珠玑镇</w:t>
            </w:r>
          </w:p>
        </w:tc>
        <w:tc>
          <w:tcPr>
            <w:tcW w:w="582" w:type="pct"/>
            <w:vAlign w:val="center"/>
          </w:tcPr>
          <w:p w14:paraId="79D7F1AC">
            <w:pPr>
              <w:pStyle w:val="12"/>
              <w:jc w:val="center"/>
            </w:pPr>
            <w:r>
              <w:rPr>
                <w:rFonts w:hint="eastAsia"/>
              </w:rPr>
              <w:t>1928年</w:t>
            </w:r>
          </w:p>
        </w:tc>
        <w:tc>
          <w:tcPr>
            <w:tcW w:w="1066" w:type="pct"/>
            <w:vAlign w:val="center"/>
          </w:tcPr>
          <w:p w14:paraId="4DA4040D">
            <w:pPr>
              <w:pStyle w:val="12"/>
              <w:jc w:val="left"/>
            </w:pPr>
            <w:r>
              <w:rPr>
                <w:rFonts w:hint="eastAsia"/>
              </w:rPr>
              <w:t>油山游击队队员</w:t>
            </w:r>
          </w:p>
        </w:tc>
        <w:tc>
          <w:tcPr>
            <w:tcW w:w="1160" w:type="pct"/>
            <w:vAlign w:val="center"/>
          </w:tcPr>
          <w:p w14:paraId="6E8A822D">
            <w:pPr>
              <w:pStyle w:val="12"/>
              <w:jc w:val="left"/>
            </w:pPr>
            <w:r>
              <w:rPr>
                <w:rFonts w:hint="eastAsia"/>
              </w:rPr>
              <w:t>1929年在灵潭前围被捕，在里东圩就义</w:t>
            </w:r>
          </w:p>
        </w:tc>
      </w:tr>
      <w:tr w14:paraId="3FD05D3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8426F1A">
            <w:pPr>
              <w:pStyle w:val="12"/>
              <w:jc w:val="center"/>
            </w:pPr>
            <w:r>
              <w:rPr>
                <w:rFonts w:hint="eastAsia"/>
              </w:rPr>
              <w:t>张祥贵</w:t>
            </w:r>
          </w:p>
        </w:tc>
        <w:tc>
          <w:tcPr>
            <w:tcW w:w="388" w:type="pct"/>
            <w:vAlign w:val="center"/>
          </w:tcPr>
          <w:p w14:paraId="6BA7D8D7">
            <w:pPr>
              <w:pStyle w:val="12"/>
              <w:jc w:val="center"/>
            </w:pPr>
            <w:r>
              <w:rPr>
                <w:rFonts w:hint="eastAsia"/>
              </w:rPr>
              <w:t>男</w:t>
            </w:r>
          </w:p>
        </w:tc>
        <w:tc>
          <w:tcPr>
            <w:tcW w:w="582" w:type="pct"/>
            <w:vAlign w:val="center"/>
          </w:tcPr>
          <w:p w14:paraId="25A91C89">
            <w:pPr>
              <w:pStyle w:val="12"/>
              <w:jc w:val="center"/>
            </w:pPr>
            <w:r>
              <w:rPr>
                <w:rFonts w:hint="eastAsia"/>
              </w:rPr>
              <w:t>1905年</w:t>
            </w:r>
          </w:p>
        </w:tc>
        <w:tc>
          <w:tcPr>
            <w:tcW w:w="582" w:type="pct"/>
            <w:vAlign w:val="center"/>
          </w:tcPr>
          <w:p w14:paraId="5D8FA98C">
            <w:pPr>
              <w:pStyle w:val="12"/>
              <w:jc w:val="center"/>
            </w:pPr>
            <w:r>
              <w:rPr>
                <w:rFonts w:hint="eastAsia"/>
              </w:rPr>
              <w:t>珠玑镇</w:t>
            </w:r>
          </w:p>
        </w:tc>
        <w:tc>
          <w:tcPr>
            <w:tcW w:w="582" w:type="pct"/>
            <w:vAlign w:val="center"/>
          </w:tcPr>
          <w:p w14:paraId="47A67F1A">
            <w:pPr>
              <w:pStyle w:val="12"/>
              <w:jc w:val="center"/>
            </w:pPr>
            <w:r>
              <w:rPr>
                <w:rFonts w:hint="eastAsia"/>
              </w:rPr>
              <w:t>1928年</w:t>
            </w:r>
          </w:p>
        </w:tc>
        <w:tc>
          <w:tcPr>
            <w:tcW w:w="1066" w:type="pct"/>
            <w:vAlign w:val="center"/>
          </w:tcPr>
          <w:p w14:paraId="2AF7BB26">
            <w:pPr>
              <w:pStyle w:val="12"/>
              <w:jc w:val="left"/>
              <w:rPr>
                <w:rFonts w:ascii="宋体" w:hAnsi="宋体" w:cs="宋体"/>
              </w:rPr>
            </w:pPr>
            <w:r>
              <w:rPr>
                <w:rFonts w:hint="eastAsia"/>
              </w:rPr>
              <w:t>油山游击队</w:t>
            </w:r>
          </w:p>
          <w:p w14:paraId="6E8C993A">
            <w:pPr>
              <w:pStyle w:val="12"/>
              <w:jc w:val="left"/>
            </w:pPr>
            <w:r>
              <w:rPr>
                <w:rFonts w:hint="eastAsia" w:ascii="宋体" w:hAnsi="宋体" w:cs="宋体"/>
              </w:rPr>
              <w:t>通  讯  员</w:t>
            </w:r>
          </w:p>
        </w:tc>
        <w:tc>
          <w:tcPr>
            <w:tcW w:w="1160" w:type="pct"/>
            <w:vAlign w:val="center"/>
          </w:tcPr>
          <w:p w14:paraId="602750E8">
            <w:pPr>
              <w:pStyle w:val="12"/>
              <w:jc w:val="left"/>
            </w:pPr>
            <w:r>
              <w:rPr>
                <w:rFonts w:hint="eastAsia"/>
              </w:rPr>
              <w:t>1929年在大塘战斗牺牲</w:t>
            </w:r>
          </w:p>
        </w:tc>
      </w:tr>
      <w:tr w14:paraId="32479F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1E1491A">
            <w:pPr>
              <w:pStyle w:val="12"/>
              <w:jc w:val="center"/>
            </w:pPr>
            <w:r>
              <w:rPr>
                <w:rFonts w:hint="eastAsia"/>
              </w:rPr>
              <w:t>钟石生</w:t>
            </w:r>
          </w:p>
        </w:tc>
        <w:tc>
          <w:tcPr>
            <w:tcW w:w="388" w:type="pct"/>
            <w:vAlign w:val="center"/>
          </w:tcPr>
          <w:p w14:paraId="6EBD0C5D">
            <w:pPr>
              <w:pStyle w:val="12"/>
              <w:jc w:val="center"/>
            </w:pPr>
            <w:r>
              <w:rPr>
                <w:rFonts w:hint="eastAsia"/>
              </w:rPr>
              <w:t>男</w:t>
            </w:r>
          </w:p>
        </w:tc>
        <w:tc>
          <w:tcPr>
            <w:tcW w:w="582" w:type="pct"/>
            <w:vAlign w:val="center"/>
          </w:tcPr>
          <w:p w14:paraId="26E03158">
            <w:pPr>
              <w:pStyle w:val="12"/>
              <w:jc w:val="center"/>
            </w:pPr>
            <w:r>
              <w:rPr>
                <w:rFonts w:hint="eastAsia"/>
              </w:rPr>
              <w:t>1906年</w:t>
            </w:r>
          </w:p>
        </w:tc>
        <w:tc>
          <w:tcPr>
            <w:tcW w:w="582" w:type="pct"/>
            <w:vAlign w:val="center"/>
          </w:tcPr>
          <w:p w14:paraId="091EEB6F">
            <w:pPr>
              <w:pStyle w:val="12"/>
              <w:jc w:val="center"/>
            </w:pPr>
            <w:r>
              <w:rPr>
                <w:rFonts w:hint="eastAsia"/>
              </w:rPr>
              <w:t>珠玑镇</w:t>
            </w:r>
          </w:p>
        </w:tc>
        <w:tc>
          <w:tcPr>
            <w:tcW w:w="582" w:type="pct"/>
            <w:vAlign w:val="center"/>
          </w:tcPr>
          <w:p w14:paraId="024E44CB">
            <w:pPr>
              <w:pStyle w:val="12"/>
              <w:jc w:val="center"/>
            </w:pPr>
            <w:r>
              <w:rPr>
                <w:rFonts w:hint="eastAsia"/>
              </w:rPr>
              <w:t>1928年</w:t>
            </w:r>
          </w:p>
        </w:tc>
        <w:tc>
          <w:tcPr>
            <w:tcW w:w="1066" w:type="pct"/>
            <w:vAlign w:val="center"/>
          </w:tcPr>
          <w:p w14:paraId="53C09EF4">
            <w:pPr>
              <w:pStyle w:val="12"/>
              <w:jc w:val="left"/>
            </w:pPr>
            <w:r>
              <w:rPr>
                <w:rFonts w:hint="eastAsia"/>
              </w:rPr>
              <w:t>油山游击队队员</w:t>
            </w:r>
          </w:p>
        </w:tc>
        <w:tc>
          <w:tcPr>
            <w:tcW w:w="1160" w:type="pct"/>
            <w:vAlign w:val="center"/>
          </w:tcPr>
          <w:p w14:paraId="4CD955BC">
            <w:pPr>
              <w:pStyle w:val="12"/>
              <w:jc w:val="left"/>
            </w:pPr>
            <w:r>
              <w:rPr>
                <w:rFonts w:hint="eastAsia"/>
              </w:rPr>
              <w:t>1929年里东圩就义</w:t>
            </w:r>
          </w:p>
        </w:tc>
      </w:tr>
      <w:tr w14:paraId="025A09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C952757">
            <w:pPr>
              <w:pStyle w:val="12"/>
              <w:jc w:val="center"/>
            </w:pPr>
            <w:r>
              <w:rPr>
                <w:rFonts w:hint="eastAsia"/>
              </w:rPr>
              <w:t>钟黄狗</w:t>
            </w:r>
          </w:p>
        </w:tc>
        <w:tc>
          <w:tcPr>
            <w:tcW w:w="388" w:type="pct"/>
            <w:vAlign w:val="center"/>
          </w:tcPr>
          <w:p w14:paraId="43C00334">
            <w:pPr>
              <w:pStyle w:val="12"/>
              <w:jc w:val="center"/>
            </w:pPr>
            <w:r>
              <w:rPr>
                <w:rFonts w:hint="eastAsia"/>
              </w:rPr>
              <w:t>男</w:t>
            </w:r>
          </w:p>
        </w:tc>
        <w:tc>
          <w:tcPr>
            <w:tcW w:w="582" w:type="pct"/>
            <w:vAlign w:val="center"/>
          </w:tcPr>
          <w:p w14:paraId="53A0733F">
            <w:pPr>
              <w:pStyle w:val="12"/>
              <w:jc w:val="center"/>
            </w:pPr>
            <w:r>
              <w:rPr>
                <w:rFonts w:hint="eastAsia"/>
              </w:rPr>
              <w:t>1904年</w:t>
            </w:r>
          </w:p>
        </w:tc>
        <w:tc>
          <w:tcPr>
            <w:tcW w:w="582" w:type="pct"/>
            <w:vAlign w:val="center"/>
          </w:tcPr>
          <w:p w14:paraId="3BEF551F">
            <w:pPr>
              <w:pStyle w:val="12"/>
              <w:jc w:val="center"/>
            </w:pPr>
            <w:r>
              <w:rPr>
                <w:rFonts w:hint="eastAsia"/>
              </w:rPr>
              <w:t>珠玑镇</w:t>
            </w:r>
          </w:p>
        </w:tc>
        <w:tc>
          <w:tcPr>
            <w:tcW w:w="582" w:type="pct"/>
            <w:vAlign w:val="center"/>
          </w:tcPr>
          <w:p w14:paraId="251BA8F0">
            <w:pPr>
              <w:pStyle w:val="12"/>
              <w:jc w:val="center"/>
            </w:pPr>
            <w:r>
              <w:rPr>
                <w:rFonts w:hint="eastAsia"/>
              </w:rPr>
              <w:t>1928年</w:t>
            </w:r>
          </w:p>
        </w:tc>
        <w:tc>
          <w:tcPr>
            <w:tcW w:w="1066" w:type="pct"/>
            <w:vAlign w:val="center"/>
          </w:tcPr>
          <w:p w14:paraId="568AF531">
            <w:pPr>
              <w:pStyle w:val="12"/>
              <w:jc w:val="left"/>
            </w:pPr>
            <w:r>
              <w:rPr>
                <w:rFonts w:hint="eastAsia"/>
              </w:rPr>
              <w:t>油山游击队队员</w:t>
            </w:r>
          </w:p>
        </w:tc>
        <w:tc>
          <w:tcPr>
            <w:tcW w:w="1160" w:type="pct"/>
            <w:vAlign w:val="center"/>
          </w:tcPr>
          <w:p w14:paraId="45A7AD64">
            <w:pPr>
              <w:pStyle w:val="12"/>
              <w:jc w:val="left"/>
            </w:pPr>
            <w:r>
              <w:rPr>
                <w:rFonts w:hint="eastAsia"/>
              </w:rPr>
              <w:t>1929年在里东圩就义</w:t>
            </w:r>
          </w:p>
        </w:tc>
      </w:tr>
      <w:tr w14:paraId="6A0F3D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AA3839B">
            <w:pPr>
              <w:pStyle w:val="12"/>
              <w:jc w:val="center"/>
            </w:pPr>
            <w:r>
              <w:rPr>
                <w:rFonts w:hint="eastAsia"/>
              </w:rPr>
              <w:t>杨炳林</w:t>
            </w:r>
          </w:p>
        </w:tc>
        <w:tc>
          <w:tcPr>
            <w:tcW w:w="388" w:type="pct"/>
            <w:vAlign w:val="center"/>
          </w:tcPr>
          <w:p w14:paraId="1C4EFC29">
            <w:pPr>
              <w:pStyle w:val="12"/>
              <w:jc w:val="center"/>
            </w:pPr>
            <w:r>
              <w:rPr>
                <w:rFonts w:hint="eastAsia"/>
              </w:rPr>
              <w:t>男</w:t>
            </w:r>
          </w:p>
        </w:tc>
        <w:tc>
          <w:tcPr>
            <w:tcW w:w="582" w:type="pct"/>
            <w:vAlign w:val="center"/>
          </w:tcPr>
          <w:p w14:paraId="4DD0E455">
            <w:pPr>
              <w:pStyle w:val="12"/>
              <w:jc w:val="center"/>
            </w:pPr>
            <w:r>
              <w:rPr>
                <w:rFonts w:hint="eastAsia"/>
              </w:rPr>
              <w:t>1906年</w:t>
            </w:r>
          </w:p>
        </w:tc>
        <w:tc>
          <w:tcPr>
            <w:tcW w:w="582" w:type="pct"/>
            <w:vAlign w:val="center"/>
          </w:tcPr>
          <w:p w14:paraId="475BE114">
            <w:pPr>
              <w:pStyle w:val="12"/>
              <w:jc w:val="center"/>
            </w:pPr>
            <w:r>
              <w:rPr>
                <w:rFonts w:hint="eastAsia"/>
              </w:rPr>
              <w:t>珠玑镇</w:t>
            </w:r>
          </w:p>
        </w:tc>
        <w:tc>
          <w:tcPr>
            <w:tcW w:w="582" w:type="pct"/>
            <w:vAlign w:val="center"/>
          </w:tcPr>
          <w:p w14:paraId="7B23EAE2">
            <w:pPr>
              <w:pStyle w:val="12"/>
              <w:jc w:val="center"/>
            </w:pPr>
            <w:r>
              <w:rPr>
                <w:rFonts w:hint="eastAsia"/>
              </w:rPr>
              <w:t>1928年</w:t>
            </w:r>
          </w:p>
        </w:tc>
        <w:tc>
          <w:tcPr>
            <w:tcW w:w="1066" w:type="pct"/>
            <w:vAlign w:val="center"/>
          </w:tcPr>
          <w:p w14:paraId="54A34D23">
            <w:pPr>
              <w:pStyle w:val="12"/>
              <w:jc w:val="left"/>
            </w:pPr>
            <w:r>
              <w:rPr>
                <w:rFonts w:hint="eastAsia"/>
              </w:rPr>
              <w:t>油山游击队队员</w:t>
            </w:r>
          </w:p>
        </w:tc>
        <w:tc>
          <w:tcPr>
            <w:tcW w:w="1160" w:type="pct"/>
            <w:vAlign w:val="center"/>
          </w:tcPr>
          <w:p w14:paraId="09D88D6D">
            <w:pPr>
              <w:pStyle w:val="12"/>
              <w:jc w:val="left"/>
            </w:pPr>
            <w:r>
              <w:rPr>
                <w:rFonts w:hint="eastAsia"/>
              </w:rPr>
              <w:t>1929年7月运粮遇敌作战牺牲</w:t>
            </w:r>
          </w:p>
        </w:tc>
      </w:tr>
      <w:tr w14:paraId="0DF8FF0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C7B039E">
            <w:pPr>
              <w:pStyle w:val="12"/>
              <w:jc w:val="center"/>
            </w:pPr>
            <w:r>
              <w:rPr>
                <w:rFonts w:hint="eastAsia"/>
              </w:rPr>
              <w:t>李乙龙古</w:t>
            </w:r>
          </w:p>
        </w:tc>
        <w:tc>
          <w:tcPr>
            <w:tcW w:w="388" w:type="pct"/>
            <w:vAlign w:val="center"/>
          </w:tcPr>
          <w:p w14:paraId="2FBEA312">
            <w:pPr>
              <w:pStyle w:val="12"/>
              <w:jc w:val="center"/>
            </w:pPr>
            <w:r>
              <w:rPr>
                <w:rFonts w:hint="eastAsia"/>
              </w:rPr>
              <w:t>男</w:t>
            </w:r>
          </w:p>
        </w:tc>
        <w:tc>
          <w:tcPr>
            <w:tcW w:w="582" w:type="pct"/>
            <w:vAlign w:val="center"/>
          </w:tcPr>
          <w:p w14:paraId="14EC4F32">
            <w:pPr>
              <w:pStyle w:val="12"/>
              <w:jc w:val="center"/>
            </w:pPr>
            <w:r>
              <w:rPr>
                <w:rFonts w:hint="eastAsia"/>
              </w:rPr>
              <w:t>1897年</w:t>
            </w:r>
          </w:p>
        </w:tc>
        <w:tc>
          <w:tcPr>
            <w:tcW w:w="582" w:type="pct"/>
            <w:vAlign w:val="center"/>
          </w:tcPr>
          <w:p w14:paraId="1691CE32">
            <w:pPr>
              <w:pStyle w:val="12"/>
              <w:jc w:val="center"/>
            </w:pPr>
            <w:r>
              <w:rPr>
                <w:rFonts w:hint="eastAsia"/>
              </w:rPr>
              <w:t>珠玑镇</w:t>
            </w:r>
          </w:p>
        </w:tc>
        <w:tc>
          <w:tcPr>
            <w:tcW w:w="582" w:type="pct"/>
            <w:vAlign w:val="center"/>
          </w:tcPr>
          <w:p w14:paraId="24059E92">
            <w:pPr>
              <w:pStyle w:val="12"/>
              <w:jc w:val="center"/>
            </w:pPr>
            <w:r>
              <w:rPr>
                <w:rFonts w:hint="eastAsia"/>
              </w:rPr>
              <w:t>1928年</w:t>
            </w:r>
          </w:p>
        </w:tc>
        <w:tc>
          <w:tcPr>
            <w:tcW w:w="1066" w:type="pct"/>
            <w:vAlign w:val="center"/>
          </w:tcPr>
          <w:p w14:paraId="246548EB">
            <w:pPr>
              <w:pStyle w:val="12"/>
              <w:jc w:val="left"/>
            </w:pPr>
            <w:r>
              <w:rPr>
                <w:rFonts w:hint="eastAsia"/>
              </w:rPr>
              <w:t>油山游击队队员</w:t>
            </w:r>
          </w:p>
        </w:tc>
        <w:tc>
          <w:tcPr>
            <w:tcW w:w="1160" w:type="pct"/>
            <w:vAlign w:val="center"/>
          </w:tcPr>
          <w:p w14:paraId="686F054A">
            <w:pPr>
              <w:pStyle w:val="12"/>
              <w:jc w:val="left"/>
            </w:pPr>
            <w:r>
              <w:rPr>
                <w:rFonts w:hint="eastAsia"/>
              </w:rPr>
              <w:t>1929年在珠玑被捕，在县城郊就义</w:t>
            </w:r>
          </w:p>
        </w:tc>
      </w:tr>
      <w:tr w14:paraId="24AF56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D7FE44A">
            <w:pPr>
              <w:pStyle w:val="12"/>
              <w:jc w:val="center"/>
            </w:pPr>
            <w:r>
              <w:rPr>
                <w:rFonts w:hint="eastAsia"/>
              </w:rPr>
              <w:t>郑芳尧</w:t>
            </w:r>
          </w:p>
        </w:tc>
        <w:tc>
          <w:tcPr>
            <w:tcW w:w="388" w:type="pct"/>
            <w:vAlign w:val="center"/>
          </w:tcPr>
          <w:p w14:paraId="2E01A2A3">
            <w:pPr>
              <w:pStyle w:val="12"/>
              <w:jc w:val="center"/>
            </w:pPr>
            <w:r>
              <w:rPr>
                <w:rFonts w:hint="eastAsia"/>
              </w:rPr>
              <w:t>男</w:t>
            </w:r>
          </w:p>
        </w:tc>
        <w:tc>
          <w:tcPr>
            <w:tcW w:w="582" w:type="pct"/>
            <w:vAlign w:val="center"/>
          </w:tcPr>
          <w:p w14:paraId="20735BCD">
            <w:pPr>
              <w:pStyle w:val="12"/>
              <w:jc w:val="center"/>
            </w:pPr>
            <w:r>
              <w:rPr>
                <w:rFonts w:hint="eastAsia"/>
              </w:rPr>
              <w:t>1900年</w:t>
            </w:r>
          </w:p>
        </w:tc>
        <w:tc>
          <w:tcPr>
            <w:tcW w:w="582" w:type="pct"/>
            <w:vAlign w:val="center"/>
          </w:tcPr>
          <w:p w14:paraId="1BFDEC32">
            <w:pPr>
              <w:pStyle w:val="12"/>
              <w:jc w:val="center"/>
            </w:pPr>
            <w:r>
              <w:rPr>
                <w:rFonts w:hint="eastAsia"/>
              </w:rPr>
              <w:t>乌迳镇</w:t>
            </w:r>
          </w:p>
        </w:tc>
        <w:tc>
          <w:tcPr>
            <w:tcW w:w="582" w:type="pct"/>
            <w:vAlign w:val="center"/>
          </w:tcPr>
          <w:p w14:paraId="7FFA25F3">
            <w:pPr>
              <w:pStyle w:val="12"/>
              <w:jc w:val="center"/>
            </w:pPr>
            <w:r>
              <w:rPr>
                <w:rFonts w:hint="eastAsia"/>
              </w:rPr>
              <w:t>1927年</w:t>
            </w:r>
          </w:p>
        </w:tc>
        <w:tc>
          <w:tcPr>
            <w:tcW w:w="1066" w:type="pct"/>
            <w:vAlign w:val="center"/>
          </w:tcPr>
          <w:p w14:paraId="580F667D">
            <w:pPr>
              <w:pStyle w:val="12"/>
              <w:jc w:val="left"/>
            </w:pPr>
            <w:r>
              <w:rPr>
                <w:rFonts w:hint="eastAsia"/>
              </w:rPr>
              <w:t>区委书记</w:t>
            </w:r>
          </w:p>
        </w:tc>
        <w:tc>
          <w:tcPr>
            <w:tcW w:w="1160" w:type="pct"/>
            <w:vAlign w:val="center"/>
          </w:tcPr>
          <w:p w14:paraId="3CB04FAB">
            <w:pPr>
              <w:pStyle w:val="12"/>
              <w:jc w:val="left"/>
            </w:pPr>
            <w:r>
              <w:rPr>
                <w:rFonts w:hint="eastAsia"/>
              </w:rPr>
              <w:t>1929年在江西信丰县九渡水被捕，在南雄城郊就义</w:t>
            </w:r>
          </w:p>
        </w:tc>
      </w:tr>
      <w:tr w14:paraId="104004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74F8CAA">
            <w:pPr>
              <w:pStyle w:val="12"/>
              <w:jc w:val="center"/>
            </w:pPr>
            <w:r>
              <w:rPr>
                <w:rFonts w:hint="eastAsia"/>
              </w:rPr>
              <w:t>李丁福</w:t>
            </w:r>
          </w:p>
        </w:tc>
        <w:tc>
          <w:tcPr>
            <w:tcW w:w="388" w:type="pct"/>
            <w:vAlign w:val="center"/>
          </w:tcPr>
          <w:p w14:paraId="33D97043">
            <w:pPr>
              <w:pStyle w:val="12"/>
              <w:jc w:val="center"/>
            </w:pPr>
            <w:r>
              <w:rPr>
                <w:rFonts w:hint="eastAsia"/>
              </w:rPr>
              <w:t>男</w:t>
            </w:r>
          </w:p>
        </w:tc>
        <w:tc>
          <w:tcPr>
            <w:tcW w:w="582" w:type="pct"/>
            <w:vAlign w:val="center"/>
          </w:tcPr>
          <w:p w14:paraId="168ECE5E">
            <w:pPr>
              <w:pStyle w:val="12"/>
              <w:jc w:val="center"/>
            </w:pPr>
            <w:r>
              <w:rPr>
                <w:rFonts w:hint="eastAsia"/>
              </w:rPr>
              <w:t>1898年</w:t>
            </w:r>
          </w:p>
        </w:tc>
        <w:tc>
          <w:tcPr>
            <w:tcW w:w="582" w:type="pct"/>
            <w:vAlign w:val="center"/>
          </w:tcPr>
          <w:p w14:paraId="4166096B">
            <w:pPr>
              <w:pStyle w:val="12"/>
              <w:jc w:val="center"/>
            </w:pPr>
            <w:r>
              <w:rPr>
                <w:rFonts w:hint="eastAsia"/>
              </w:rPr>
              <w:t>珠玑镇</w:t>
            </w:r>
          </w:p>
        </w:tc>
        <w:tc>
          <w:tcPr>
            <w:tcW w:w="582" w:type="pct"/>
            <w:vAlign w:val="center"/>
          </w:tcPr>
          <w:p w14:paraId="19BC5FE5">
            <w:pPr>
              <w:pStyle w:val="12"/>
              <w:jc w:val="center"/>
            </w:pPr>
            <w:r>
              <w:rPr>
                <w:rFonts w:hint="eastAsia"/>
              </w:rPr>
              <w:t>1928年</w:t>
            </w:r>
          </w:p>
        </w:tc>
        <w:tc>
          <w:tcPr>
            <w:tcW w:w="1066" w:type="pct"/>
            <w:vAlign w:val="center"/>
          </w:tcPr>
          <w:p w14:paraId="19EED9AB">
            <w:pPr>
              <w:pStyle w:val="12"/>
              <w:jc w:val="left"/>
            </w:pPr>
            <w:r>
              <w:rPr>
                <w:rFonts w:hint="eastAsia"/>
              </w:rPr>
              <w:t>油山游击队队员</w:t>
            </w:r>
          </w:p>
        </w:tc>
        <w:tc>
          <w:tcPr>
            <w:tcW w:w="1160" w:type="pct"/>
            <w:vAlign w:val="center"/>
          </w:tcPr>
          <w:p w14:paraId="2D61F60A">
            <w:pPr>
              <w:pStyle w:val="12"/>
              <w:jc w:val="left"/>
            </w:pPr>
            <w:r>
              <w:rPr>
                <w:rFonts w:hint="eastAsia"/>
              </w:rPr>
              <w:t>1929年在油山被捕，在县城郊就义</w:t>
            </w:r>
          </w:p>
        </w:tc>
      </w:tr>
      <w:tr w14:paraId="04C8F1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43C118A">
            <w:pPr>
              <w:pStyle w:val="12"/>
              <w:jc w:val="center"/>
            </w:pPr>
            <w:r>
              <w:rPr>
                <w:rFonts w:hint="eastAsia"/>
              </w:rPr>
              <w:t>李名金</w:t>
            </w:r>
          </w:p>
        </w:tc>
        <w:tc>
          <w:tcPr>
            <w:tcW w:w="388" w:type="pct"/>
            <w:vAlign w:val="center"/>
          </w:tcPr>
          <w:p w14:paraId="48744B56">
            <w:pPr>
              <w:pStyle w:val="12"/>
              <w:jc w:val="center"/>
            </w:pPr>
            <w:r>
              <w:rPr>
                <w:rFonts w:hint="eastAsia"/>
              </w:rPr>
              <w:t>男</w:t>
            </w:r>
          </w:p>
        </w:tc>
        <w:tc>
          <w:tcPr>
            <w:tcW w:w="582" w:type="pct"/>
            <w:vAlign w:val="center"/>
          </w:tcPr>
          <w:p w14:paraId="3262392A">
            <w:pPr>
              <w:pStyle w:val="12"/>
              <w:jc w:val="center"/>
            </w:pPr>
            <w:r>
              <w:rPr>
                <w:rFonts w:hint="eastAsia"/>
              </w:rPr>
              <w:t>1894年</w:t>
            </w:r>
          </w:p>
        </w:tc>
        <w:tc>
          <w:tcPr>
            <w:tcW w:w="582" w:type="pct"/>
            <w:vAlign w:val="center"/>
          </w:tcPr>
          <w:p w14:paraId="510825E8">
            <w:pPr>
              <w:pStyle w:val="12"/>
              <w:jc w:val="center"/>
            </w:pPr>
            <w:r>
              <w:rPr>
                <w:rFonts w:hint="eastAsia"/>
              </w:rPr>
              <w:t>珠玑镇</w:t>
            </w:r>
          </w:p>
        </w:tc>
        <w:tc>
          <w:tcPr>
            <w:tcW w:w="582" w:type="pct"/>
            <w:vAlign w:val="center"/>
          </w:tcPr>
          <w:p w14:paraId="64093307">
            <w:pPr>
              <w:pStyle w:val="12"/>
              <w:jc w:val="center"/>
            </w:pPr>
            <w:r>
              <w:rPr>
                <w:rFonts w:hint="eastAsia"/>
              </w:rPr>
              <w:t>1928年</w:t>
            </w:r>
          </w:p>
        </w:tc>
        <w:tc>
          <w:tcPr>
            <w:tcW w:w="1066" w:type="pct"/>
            <w:vAlign w:val="center"/>
          </w:tcPr>
          <w:p w14:paraId="2E9CAA2F">
            <w:pPr>
              <w:pStyle w:val="12"/>
              <w:jc w:val="left"/>
            </w:pPr>
            <w:r>
              <w:rPr>
                <w:rFonts w:hint="eastAsia"/>
              </w:rPr>
              <w:t>油山游击队队员</w:t>
            </w:r>
          </w:p>
        </w:tc>
        <w:tc>
          <w:tcPr>
            <w:tcW w:w="1160" w:type="pct"/>
            <w:vAlign w:val="center"/>
          </w:tcPr>
          <w:p w14:paraId="5F993492">
            <w:pPr>
              <w:pStyle w:val="12"/>
              <w:jc w:val="left"/>
            </w:pPr>
            <w:r>
              <w:rPr>
                <w:rFonts w:hint="eastAsia"/>
              </w:rPr>
              <w:t>1929年在珠玑被捕就义</w:t>
            </w:r>
          </w:p>
        </w:tc>
      </w:tr>
      <w:tr w14:paraId="0F9BA1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5EA6366">
            <w:pPr>
              <w:pStyle w:val="12"/>
              <w:jc w:val="center"/>
            </w:pPr>
            <w:r>
              <w:rPr>
                <w:rFonts w:hint="eastAsia"/>
              </w:rPr>
              <w:t>李任皮狗</w:t>
            </w:r>
          </w:p>
        </w:tc>
        <w:tc>
          <w:tcPr>
            <w:tcW w:w="388" w:type="pct"/>
            <w:vAlign w:val="center"/>
          </w:tcPr>
          <w:p w14:paraId="0247F994">
            <w:pPr>
              <w:pStyle w:val="12"/>
              <w:jc w:val="center"/>
            </w:pPr>
            <w:r>
              <w:rPr>
                <w:rFonts w:hint="eastAsia"/>
              </w:rPr>
              <w:t>男</w:t>
            </w:r>
          </w:p>
        </w:tc>
        <w:tc>
          <w:tcPr>
            <w:tcW w:w="582" w:type="pct"/>
            <w:vAlign w:val="center"/>
          </w:tcPr>
          <w:p w14:paraId="0D850D81">
            <w:pPr>
              <w:pStyle w:val="12"/>
              <w:jc w:val="center"/>
            </w:pPr>
            <w:r>
              <w:rPr>
                <w:rFonts w:hint="eastAsia"/>
              </w:rPr>
              <w:t>1899年</w:t>
            </w:r>
          </w:p>
        </w:tc>
        <w:tc>
          <w:tcPr>
            <w:tcW w:w="582" w:type="pct"/>
            <w:vAlign w:val="center"/>
          </w:tcPr>
          <w:p w14:paraId="6523371F">
            <w:pPr>
              <w:pStyle w:val="12"/>
              <w:jc w:val="center"/>
            </w:pPr>
            <w:r>
              <w:rPr>
                <w:rFonts w:hint="eastAsia"/>
              </w:rPr>
              <w:t>珠玑镇</w:t>
            </w:r>
          </w:p>
        </w:tc>
        <w:tc>
          <w:tcPr>
            <w:tcW w:w="582" w:type="pct"/>
            <w:vAlign w:val="center"/>
          </w:tcPr>
          <w:p w14:paraId="677F252F">
            <w:pPr>
              <w:pStyle w:val="12"/>
              <w:jc w:val="center"/>
            </w:pPr>
            <w:r>
              <w:rPr>
                <w:rFonts w:hint="eastAsia"/>
              </w:rPr>
              <w:t>1928年</w:t>
            </w:r>
          </w:p>
        </w:tc>
        <w:tc>
          <w:tcPr>
            <w:tcW w:w="1066" w:type="pct"/>
            <w:vAlign w:val="center"/>
          </w:tcPr>
          <w:p w14:paraId="0568331B">
            <w:pPr>
              <w:pStyle w:val="12"/>
              <w:jc w:val="left"/>
            </w:pPr>
            <w:r>
              <w:rPr>
                <w:rFonts w:hint="eastAsia"/>
              </w:rPr>
              <w:t>油山游击队队员</w:t>
            </w:r>
          </w:p>
        </w:tc>
        <w:tc>
          <w:tcPr>
            <w:tcW w:w="1160" w:type="pct"/>
            <w:vAlign w:val="center"/>
          </w:tcPr>
          <w:p w14:paraId="3DA5E38A">
            <w:pPr>
              <w:pStyle w:val="12"/>
              <w:jc w:val="left"/>
            </w:pPr>
            <w:r>
              <w:rPr>
                <w:rFonts w:hint="eastAsia"/>
              </w:rPr>
              <w:t>1929年在珠玑被捕就义</w:t>
            </w:r>
          </w:p>
        </w:tc>
      </w:tr>
      <w:tr w14:paraId="451048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3C5A101">
            <w:pPr>
              <w:pStyle w:val="12"/>
              <w:jc w:val="center"/>
            </w:pPr>
            <w:r>
              <w:rPr>
                <w:rFonts w:hint="eastAsia"/>
              </w:rPr>
              <w:t>李观凤</w:t>
            </w:r>
          </w:p>
        </w:tc>
        <w:tc>
          <w:tcPr>
            <w:tcW w:w="388" w:type="pct"/>
            <w:vAlign w:val="center"/>
          </w:tcPr>
          <w:p w14:paraId="7D2B3D68">
            <w:pPr>
              <w:pStyle w:val="12"/>
              <w:jc w:val="center"/>
            </w:pPr>
            <w:r>
              <w:rPr>
                <w:rFonts w:hint="eastAsia"/>
              </w:rPr>
              <w:t>男</w:t>
            </w:r>
          </w:p>
        </w:tc>
        <w:tc>
          <w:tcPr>
            <w:tcW w:w="582" w:type="pct"/>
            <w:vAlign w:val="center"/>
          </w:tcPr>
          <w:p w14:paraId="511AEF5C">
            <w:pPr>
              <w:pStyle w:val="12"/>
              <w:jc w:val="center"/>
            </w:pPr>
            <w:r>
              <w:rPr>
                <w:rFonts w:hint="eastAsia"/>
              </w:rPr>
              <w:t>1889年</w:t>
            </w:r>
          </w:p>
        </w:tc>
        <w:tc>
          <w:tcPr>
            <w:tcW w:w="582" w:type="pct"/>
            <w:vAlign w:val="center"/>
          </w:tcPr>
          <w:p w14:paraId="2AE5B936">
            <w:pPr>
              <w:pStyle w:val="12"/>
              <w:jc w:val="center"/>
            </w:pPr>
            <w:r>
              <w:rPr>
                <w:rFonts w:hint="eastAsia"/>
              </w:rPr>
              <w:t>珠玑镇</w:t>
            </w:r>
          </w:p>
        </w:tc>
        <w:tc>
          <w:tcPr>
            <w:tcW w:w="582" w:type="pct"/>
            <w:vAlign w:val="center"/>
          </w:tcPr>
          <w:p w14:paraId="08A4A193">
            <w:pPr>
              <w:pStyle w:val="12"/>
              <w:jc w:val="center"/>
            </w:pPr>
            <w:r>
              <w:rPr>
                <w:rFonts w:hint="eastAsia"/>
              </w:rPr>
              <w:t>1928年</w:t>
            </w:r>
          </w:p>
        </w:tc>
        <w:tc>
          <w:tcPr>
            <w:tcW w:w="1066" w:type="pct"/>
            <w:vAlign w:val="center"/>
          </w:tcPr>
          <w:p w14:paraId="488877E1">
            <w:pPr>
              <w:pStyle w:val="12"/>
              <w:jc w:val="left"/>
            </w:pPr>
            <w:r>
              <w:rPr>
                <w:rFonts w:hint="eastAsia"/>
              </w:rPr>
              <w:t>油山游击队队员</w:t>
            </w:r>
          </w:p>
        </w:tc>
        <w:tc>
          <w:tcPr>
            <w:tcW w:w="1160" w:type="pct"/>
            <w:vAlign w:val="center"/>
          </w:tcPr>
          <w:p w14:paraId="53565AF8">
            <w:pPr>
              <w:pStyle w:val="12"/>
              <w:jc w:val="left"/>
            </w:pPr>
            <w:r>
              <w:rPr>
                <w:rFonts w:hint="eastAsia"/>
              </w:rPr>
              <w:t>1929年在被捕在县城郊就义</w:t>
            </w:r>
          </w:p>
        </w:tc>
      </w:tr>
      <w:tr w14:paraId="20859B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E9CF91B">
            <w:pPr>
              <w:pStyle w:val="12"/>
              <w:jc w:val="center"/>
            </w:pPr>
            <w:r>
              <w:rPr>
                <w:rFonts w:hint="eastAsia"/>
              </w:rPr>
              <w:t>周序炎</w:t>
            </w:r>
          </w:p>
        </w:tc>
        <w:tc>
          <w:tcPr>
            <w:tcW w:w="388" w:type="pct"/>
            <w:vAlign w:val="center"/>
          </w:tcPr>
          <w:p w14:paraId="337ECA1A">
            <w:pPr>
              <w:pStyle w:val="12"/>
              <w:jc w:val="center"/>
            </w:pPr>
            <w:r>
              <w:rPr>
                <w:rFonts w:hint="eastAsia"/>
              </w:rPr>
              <w:t>男</w:t>
            </w:r>
          </w:p>
        </w:tc>
        <w:tc>
          <w:tcPr>
            <w:tcW w:w="582" w:type="pct"/>
            <w:vAlign w:val="center"/>
          </w:tcPr>
          <w:p w14:paraId="365568B5">
            <w:pPr>
              <w:pStyle w:val="12"/>
              <w:jc w:val="center"/>
            </w:pPr>
            <w:r>
              <w:rPr>
                <w:rFonts w:hint="eastAsia"/>
              </w:rPr>
              <w:t>1899年</w:t>
            </w:r>
          </w:p>
        </w:tc>
        <w:tc>
          <w:tcPr>
            <w:tcW w:w="582" w:type="pct"/>
            <w:vAlign w:val="center"/>
          </w:tcPr>
          <w:p w14:paraId="62010316">
            <w:pPr>
              <w:pStyle w:val="12"/>
              <w:jc w:val="center"/>
            </w:pPr>
            <w:r>
              <w:rPr>
                <w:rFonts w:hint="eastAsia"/>
              </w:rPr>
              <w:t>珠玑镇</w:t>
            </w:r>
          </w:p>
        </w:tc>
        <w:tc>
          <w:tcPr>
            <w:tcW w:w="582" w:type="pct"/>
            <w:vAlign w:val="center"/>
          </w:tcPr>
          <w:p w14:paraId="467D5D9D">
            <w:pPr>
              <w:pStyle w:val="12"/>
              <w:jc w:val="center"/>
            </w:pPr>
            <w:r>
              <w:rPr>
                <w:rFonts w:hint="eastAsia"/>
              </w:rPr>
              <w:t>1927年</w:t>
            </w:r>
          </w:p>
        </w:tc>
        <w:tc>
          <w:tcPr>
            <w:tcW w:w="1066" w:type="pct"/>
            <w:vAlign w:val="center"/>
          </w:tcPr>
          <w:p w14:paraId="5FFAD317">
            <w:pPr>
              <w:pStyle w:val="12"/>
              <w:jc w:val="left"/>
            </w:pPr>
            <w:r>
              <w:rPr>
                <w:rFonts w:hint="eastAsia"/>
              </w:rPr>
              <w:t>油山游击队队员</w:t>
            </w:r>
          </w:p>
        </w:tc>
        <w:tc>
          <w:tcPr>
            <w:tcW w:w="1160" w:type="pct"/>
            <w:vAlign w:val="center"/>
          </w:tcPr>
          <w:p w14:paraId="5B40837E">
            <w:pPr>
              <w:pStyle w:val="12"/>
              <w:jc w:val="left"/>
            </w:pPr>
            <w:r>
              <w:rPr>
                <w:rFonts w:hint="eastAsia"/>
              </w:rPr>
              <w:t>1929年在邓坊被捕就义</w:t>
            </w:r>
          </w:p>
        </w:tc>
      </w:tr>
      <w:tr w14:paraId="799A69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E39DCE6">
            <w:pPr>
              <w:pStyle w:val="12"/>
              <w:jc w:val="center"/>
            </w:pPr>
            <w:r>
              <w:rPr>
                <w:rFonts w:hint="eastAsia"/>
              </w:rPr>
              <w:t>杨泽生</w:t>
            </w:r>
          </w:p>
        </w:tc>
        <w:tc>
          <w:tcPr>
            <w:tcW w:w="388" w:type="pct"/>
            <w:vAlign w:val="center"/>
          </w:tcPr>
          <w:p w14:paraId="4B7E424B">
            <w:pPr>
              <w:pStyle w:val="12"/>
              <w:jc w:val="center"/>
            </w:pPr>
            <w:r>
              <w:rPr>
                <w:rFonts w:hint="eastAsia"/>
              </w:rPr>
              <w:t>男</w:t>
            </w:r>
          </w:p>
        </w:tc>
        <w:tc>
          <w:tcPr>
            <w:tcW w:w="582" w:type="pct"/>
            <w:vAlign w:val="center"/>
          </w:tcPr>
          <w:p w14:paraId="434C0A8C">
            <w:pPr>
              <w:pStyle w:val="12"/>
              <w:jc w:val="center"/>
            </w:pPr>
            <w:r>
              <w:rPr>
                <w:rFonts w:hint="eastAsia"/>
              </w:rPr>
              <w:t>1899年</w:t>
            </w:r>
          </w:p>
        </w:tc>
        <w:tc>
          <w:tcPr>
            <w:tcW w:w="582" w:type="pct"/>
            <w:vAlign w:val="center"/>
          </w:tcPr>
          <w:p w14:paraId="33652223">
            <w:pPr>
              <w:pStyle w:val="12"/>
              <w:jc w:val="center"/>
            </w:pPr>
            <w:r>
              <w:rPr>
                <w:rFonts w:hint="eastAsia"/>
              </w:rPr>
              <w:t>珠玑镇</w:t>
            </w:r>
          </w:p>
        </w:tc>
        <w:tc>
          <w:tcPr>
            <w:tcW w:w="582" w:type="pct"/>
            <w:vAlign w:val="center"/>
          </w:tcPr>
          <w:p w14:paraId="2D581BC9">
            <w:pPr>
              <w:pStyle w:val="12"/>
              <w:jc w:val="center"/>
            </w:pPr>
            <w:r>
              <w:rPr>
                <w:rFonts w:hint="eastAsia"/>
              </w:rPr>
              <w:t>1928年</w:t>
            </w:r>
          </w:p>
        </w:tc>
        <w:tc>
          <w:tcPr>
            <w:tcW w:w="1066" w:type="pct"/>
            <w:vAlign w:val="center"/>
          </w:tcPr>
          <w:p w14:paraId="755745FB">
            <w:pPr>
              <w:pStyle w:val="12"/>
              <w:jc w:val="left"/>
            </w:pPr>
            <w:r>
              <w:rPr>
                <w:rFonts w:hint="eastAsia"/>
              </w:rPr>
              <w:t>油山游击队队员</w:t>
            </w:r>
          </w:p>
        </w:tc>
        <w:tc>
          <w:tcPr>
            <w:tcW w:w="1160" w:type="pct"/>
            <w:vAlign w:val="center"/>
          </w:tcPr>
          <w:p w14:paraId="02ADD46A">
            <w:pPr>
              <w:pStyle w:val="12"/>
              <w:jc w:val="left"/>
            </w:pPr>
            <w:r>
              <w:rPr>
                <w:rFonts w:hint="eastAsia"/>
              </w:rPr>
              <w:t>1929年在运粮途中被捕，在县城就义</w:t>
            </w:r>
          </w:p>
        </w:tc>
      </w:tr>
      <w:tr w14:paraId="644032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95D3247">
            <w:pPr>
              <w:pStyle w:val="12"/>
              <w:jc w:val="center"/>
            </w:pPr>
            <w:r>
              <w:rPr>
                <w:rFonts w:hint="eastAsia"/>
              </w:rPr>
              <w:t>杨甲圣</w:t>
            </w:r>
          </w:p>
        </w:tc>
        <w:tc>
          <w:tcPr>
            <w:tcW w:w="388" w:type="pct"/>
            <w:vAlign w:val="center"/>
          </w:tcPr>
          <w:p w14:paraId="261D1FF5">
            <w:pPr>
              <w:pStyle w:val="12"/>
              <w:jc w:val="center"/>
            </w:pPr>
            <w:r>
              <w:rPr>
                <w:rFonts w:hint="eastAsia"/>
              </w:rPr>
              <w:t>男</w:t>
            </w:r>
          </w:p>
        </w:tc>
        <w:tc>
          <w:tcPr>
            <w:tcW w:w="582" w:type="pct"/>
            <w:vAlign w:val="center"/>
          </w:tcPr>
          <w:p w14:paraId="4740E727">
            <w:pPr>
              <w:pStyle w:val="12"/>
              <w:jc w:val="center"/>
            </w:pPr>
            <w:r>
              <w:rPr>
                <w:rFonts w:hint="eastAsia"/>
              </w:rPr>
              <w:t>1895年</w:t>
            </w:r>
          </w:p>
        </w:tc>
        <w:tc>
          <w:tcPr>
            <w:tcW w:w="582" w:type="pct"/>
            <w:vAlign w:val="center"/>
          </w:tcPr>
          <w:p w14:paraId="31553D9F">
            <w:pPr>
              <w:pStyle w:val="12"/>
              <w:jc w:val="center"/>
            </w:pPr>
            <w:r>
              <w:rPr>
                <w:rFonts w:hint="eastAsia"/>
              </w:rPr>
              <w:t>珠玑镇</w:t>
            </w:r>
          </w:p>
        </w:tc>
        <w:tc>
          <w:tcPr>
            <w:tcW w:w="582" w:type="pct"/>
            <w:vAlign w:val="center"/>
          </w:tcPr>
          <w:p w14:paraId="54910BEC">
            <w:pPr>
              <w:pStyle w:val="12"/>
              <w:jc w:val="center"/>
            </w:pPr>
            <w:r>
              <w:rPr>
                <w:rFonts w:hint="eastAsia"/>
              </w:rPr>
              <w:t>1928年</w:t>
            </w:r>
          </w:p>
        </w:tc>
        <w:tc>
          <w:tcPr>
            <w:tcW w:w="1066" w:type="pct"/>
            <w:vAlign w:val="center"/>
          </w:tcPr>
          <w:p w14:paraId="021D2E20">
            <w:pPr>
              <w:pStyle w:val="12"/>
              <w:jc w:val="left"/>
            </w:pPr>
            <w:r>
              <w:rPr>
                <w:rFonts w:hint="eastAsia"/>
              </w:rPr>
              <w:t>油山游击队队员</w:t>
            </w:r>
          </w:p>
        </w:tc>
        <w:tc>
          <w:tcPr>
            <w:tcW w:w="1160" w:type="pct"/>
            <w:vAlign w:val="center"/>
          </w:tcPr>
          <w:p w14:paraId="575569F5">
            <w:pPr>
              <w:pStyle w:val="12"/>
              <w:jc w:val="left"/>
            </w:pPr>
            <w:r>
              <w:rPr>
                <w:rFonts w:hint="eastAsia"/>
              </w:rPr>
              <w:t>1929年在邓坊潭地被捕，在大塘就义</w:t>
            </w:r>
          </w:p>
        </w:tc>
      </w:tr>
      <w:tr w14:paraId="361F36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41623CE">
            <w:pPr>
              <w:pStyle w:val="12"/>
              <w:jc w:val="center"/>
            </w:pPr>
            <w:r>
              <w:rPr>
                <w:rFonts w:hint="eastAsia"/>
              </w:rPr>
              <w:t>杨洋俚</w:t>
            </w:r>
          </w:p>
        </w:tc>
        <w:tc>
          <w:tcPr>
            <w:tcW w:w="388" w:type="pct"/>
            <w:vAlign w:val="center"/>
          </w:tcPr>
          <w:p w14:paraId="2FFABBBE">
            <w:pPr>
              <w:pStyle w:val="12"/>
              <w:jc w:val="center"/>
            </w:pPr>
            <w:r>
              <w:rPr>
                <w:rFonts w:hint="eastAsia"/>
              </w:rPr>
              <w:t>男</w:t>
            </w:r>
          </w:p>
        </w:tc>
        <w:tc>
          <w:tcPr>
            <w:tcW w:w="582" w:type="pct"/>
            <w:vAlign w:val="center"/>
          </w:tcPr>
          <w:p w14:paraId="419DD1A7">
            <w:pPr>
              <w:pStyle w:val="12"/>
              <w:jc w:val="center"/>
            </w:pPr>
            <w:r>
              <w:rPr>
                <w:rFonts w:hint="eastAsia"/>
              </w:rPr>
              <w:t>1894年</w:t>
            </w:r>
          </w:p>
        </w:tc>
        <w:tc>
          <w:tcPr>
            <w:tcW w:w="582" w:type="pct"/>
            <w:vAlign w:val="center"/>
          </w:tcPr>
          <w:p w14:paraId="01421020">
            <w:pPr>
              <w:pStyle w:val="12"/>
              <w:jc w:val="center"/>
            </w:pPr>
            <w:r>
              <w:rPr>
                <w:rFonts w:hint="eastAsia"/>
              </w:rPr>
              <w:t>珠玑镇</w:t>
            </w:r>
          </w:p>
        </w:tc>
        <w:tc>
          <w:tcPr>
            <w:tcW w:w="582" w:type="pct"/>
            <w:vAlign w:val="center"/>
          </w:tcPr>
          <w:p w14:paraId="40C1F350">
            <w:pPr>
              <w:pStyle w:val="12"/>
              <w:jc w:val="center"/>
            </w:pPr>
            <w:r>
              <w:rPr>
                <w:rFonts w:hint="eastAsia"/>
              </w:rPr>
              <w:t>1928年</w:t>
            </w:r>
          </w:p>
        </w:tc>
        <w:tc>
          <w:tcPr>
            <w:tcW w:w="1066" w:type="pct"/>
            <w:vAlign w:val="center"/>
          </w:tcPr>
          <w:p w14:paraId="3DF7090E">
            <w:pPr>
              <w:pStyle w:val="12"/>
              <w:jc w:val="left"/>
            </w:pPr>
            <w:r>
              <w:rPr>
                <w:rFonts w:hint="eastAsia"/>
              </w:rPr>
              <w:t>地下交通员</w:t>
            </w:r>
          </w:p>
        </w:tc>
        <w:tc>
          <w:tcPr>
            <w:tcW w:w="1160" w:type="pct"/>
            <w:vAlign w:val="center"/>
          </w:tcPr>
          <w:p w14:paraId="75D5CD5C">
            <w:pPr>
              <w:pStyle w:val="12"/>
              <w:jc w:val="left"/>
            </w:pPr>
            <w:r>
              <w:rPr>
                <w:rFonts w:hint="eastAsia"/>
              </w:rPr>
              <w:t>1929年被捕就义</w:t>
            </w:r>
          </w:p>
        </w:tc>
      </w:tr>
      <w:tr w14:paraId="7182F6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F303B1C">
            <w:pPr>
              <w:pStyle w:val="12"/>
              <w:jc w:val="center"/>
            </w:pPr>
            <w:r>
              <w:rPr>
                <w:rFonts w:hint="eastAsia"/>
              </w:rPr>
              <w:t>谭耀煌</w:t>
            </w:r>
          </w:p>
        </w:tc>
        <w:tc>
          <w:tcPr>
            <w:tcW w:w="388" w:type="pct"/>
            <w:vAlign w:val="center"/>
          </w:tcPr>
          <w:p w14:paraId="128EF696">
            <w:pPr>
              <w:pStyle w:val="12"/>
              <w:jc w:val="center"/>
            </w:pPr>
            <w:r>
              <w:rPr>
                <w:rFonts w:hint="eastAsia"/>
              </w:rPr>
              <w:t>男</w:t>
            </w:r>
          </w:p>
        </w:tc>
        <w:tc>
          <w:tcPr>
            <w:tcW w:w="582" w:type="pct"/>
            <w:vAlign w:val="center"/>
          </w:tcPr>
          <w:p w14:paraId="268444AD">
            <w:pPr>
              <w:pStyle w:val="12"/>
              <w:jc w:val="center"/>
            </w:pPr>
            <w:r>
              <w:rPr>
                <w:rFonts w:hint="eastAsia"/>
              </w:rPr>
              <w:t>1905年</w:t>
            </w:r>
          </w:p>
        </w:tc>
        <w:tc>
          <w:tcPr>
            <w:tcW w:w="582" w:type="pct"/>
            <w:vAlign w:val="center"/>
          </w:tcPr>
          <w:p w14:paraId="144B6B10">
            <w:pPr>
              <w:pStyle w:val="12"/>
              <w:jc w:val="center"/>
            </w:pPr>
            <w:r>
              <w:rPr>
                <w:rFonts w:hint="eastAsia"/>
              </w:rPr>
              <w:t>珠玑镇</w:t>
            </w:r>
          </w:p>
        </w:tc>
        <w:tc>
          <w:tcPr>
            <w:tcW w:w="582" w:type="pct"/>
            <w:vAlign w:val="center"/>
          </w:tcPr>
          <w:p w14:paraId="3F087694">
            <w:pPr>
              <w:pStyle w:val="12"/>
              <w:jc w:val="center"/>
            </w:pPr>
            <w:r>
              <w:rPr>
                <w:rFonts w:hint="eastAsia"/>
              </w:rPr>
              <w:t>1929年</w:t>
            </w:r>
          </w:p>
        </w:tc>
        <w:tc>
          <w:tcPr>
            <w:tcW w:w="1066" w:type="pct"/>
            <w:vAlign w:val="center"/>
          </w:tcPr>
          <w:p w14:paraId="7772D2E8">
            <w:pPr>
              <w:pStyle w:val="12"/>
              <w:jc w:val="left"/>
            </w:pPr>
            <w:r>
              <w:rPr>
                <w:rFonts w:hint="eastAsia"/>
              </w:rPr>
              <w:t>油山游击队队员</w:t>
            </w:r>
          </w:p>
        </w:tc>
        <w:tc>
          <w:tcPr>
            <w:tcW w:w="1160" w:type="pct"/>
            <w:vAlign w:val="center"/>
          </w:tcPr>
          <w:p w14:paraId="711DB20F">
            <w:pPr>
              <w:pStyle w:val="12"/>
              <w:jc w:val="left"/>
            </w:pPr>
            <w:r>
              <w:rPr>
                <w:rFonts w:hint="eastAsia"/>
              </w:rPr>
              <w:t>1929年被捕，在南雄北门就义</w:t>
            </w:r>
          </w:p>
        </w:tc>
      </w:tr>
      <w:tr w14:paraId="188C48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3C9B6C1">
            <w:pPr>
              <w:pStyle w:val="12"/>
              <w:jc w:val="center"/>
            </w:pPr>
            <w:r>
              <w:rPr>
                <w:rFonts w:hint="eastAsia"/>
              </w:rPr>
              <w:t>李天源</w:t>
            </w:r>
          </w:p>
        </w:tc>
        <w:tc>
          <w:tcPr>
            <w:tcW w:w="388" w:type="pct"/>
            <w:vAlign w:val="center"/>
          </w:tcPr>
          <w:p w14:paraId="47B1975B">
            <w:pPr>
              <w:pStyle w:val="12"/>
              <w:jc w:val="center"/>
            </w:pPr>
            <w:r>
              <w:rPr>
                <w:rFonts w:hint="eastAsia"/>
              </w:rPr>
              <w:t>男</w:t>
            </w:r>
          </w:p>
        </w:tc>
        <w:tc>
          <w:tcPr>
            <w:tcW w:w="582" w:type="pct"/>
            <w:vAlign w:val="center"/>
          </w:tcPr>
          <w:p w14:paraId="3D6BE83A">
            <w:pPr>
              <w:pStyle w:val="12"/>
              <w:jc w:val="center"/>
            </w:pPr>
            <w:r>
              <w:rPr>
                <w:rFonts w:hint="eastAsia"/>
              </w:rPr>
              <w:t>1894年</w:t>
            </w:r>
          </w:p>
        </w:tc>
        <w:tc>
          <w:tcPr>
            <w:tcW w:w="582" w:type="pct"/>
            <w:vAlign w:val="center"/>
          </w:tcPr>
          <w:p w14:paraId="742E5B3A">
            <w:pPr>
              <w:pStyle w:val="12"/>
              <w:jc w:val="center"/>
            </w:pPr>
            <w:r>
              <w:rPr>
                <w:rFonts w:hint="eastAsia"/>
              </w:rPr>
              <w:t>珠玑镇</w:t>
            </w:r>
          </w:p>
        </w:tc>
        <w:tc>
          <w:tcPr>
            <w:tcW w:w="582" w:type="pct"/>
            <w:vAlign w:val="center"/>
          </w:tcPr>
          <w:p w14:paraId="33685DAF">
            <w:pPr>
              <w:pStyle w:val="12"/>
              <w:jc w:val="center"/>
            </w:pPr>
            <w:r>
              <w:rPr>
                <w:rFonts w:hint="eastAsia"/>
              </w:rPr>
              <w:t>1928年</w:t>
            </w:r>
          </w:p>
        </w:tc>
        <w:tc>
          <w:tcPr>
            <w:tcW w:w="1066" w:type="pct"/>
            <w:vAlign w:val="center"/>
          </w:tcPr>
          <w:p w14:paraId="1963E54A">
            <w:pPr>
              <w:pStyle w:val="12"/>
              <w:jc w:val="left"/>
            </w:pPr>
            <w:r>
              <w:rPr>
                <w:rFonts w:hint="eastAsia"/>
              </w:rPr>
              <w:t>油山游击队队员</w:t>
            </w:r>
          </w:p>
        </w:tc>
        <w:tc>
          <w:tcPr>
            <w:tcW w:w="1160" w:type="pct"/>
            <w:vAlign w:val="center"/>
          </w:tcPr>
          <w:p w14:paraId="208329B4">
            <w:pPr>
              <w:pStyle w:val="12"/>
              <w:jc w:val="left"/>
            </w:pPr>
            <w:r>
              <w:rPr>
                <w:rFonts w:hint="eastAsia"/>
              </w:rPr>
              <w:t>1929年在珠玑被捕就义</w:t>
            </w:r>
          </w:p>
        </w:tc>
      </w:tr>
      <w:tr w14:paraId="44796B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0DFA85C">
            <w:pPr>
              <w:pStyle w:val="12"/>
              <w:jc w:val="center"/>
            </w:pPr>
            <w:r>
              <w:rPr>
                <w:rFonts w:hint="eastAsia"/>
              </w:rPr>
              <w:t>黄位光</w:t>
            </w:r>
          </w:p>
        </w:tc>
        <w:tc>
          <w:tcPr>
            <w:tcW w:w="388" w:type="pct"/>
            <w:vAlign w:val="center"/>
          </w:tcPr>
          <w:p w14:paraId="4FDEA186">
            <w:pPr>
              <w:pStyle w:val="12"/>
              <w:jc w:val="center"/>
            </w:pPr>
            <w:r>
              <w:rPr>
                <w:rFonts w:hint="eastAsia"/>
              </w:rPr>
              <w:t>男</w:t>
            </w:r>
          </w:p>
        </w:tc>
        <w:tc>
          <w:tcPr>
            <w:tcW w:w="582" w:type="pct"/>
            <w:vAlign w:val="center"/>
          </w:tcPr>
          <w:p w14:paraId="3E5FA789">
            <w:pPr>
              <w:pStyle w:val="12"/>
              <w:jc w:val="center"/>
            </w:pPr>
            <w:r>
              <w:rPr>
                <w:rFonts w:hint="eastAsia"/>
              </w:rPr>
              <w:t>1908年</w:t>
            </w:r>
          </w:p>
        </w:tc>
        <w:tc>
          <w:tcPr>
            <w:tcW w:w="582" w:type="pct"/>
            <w:vAlign w:val="center"/>
          </w:tcPr>
          <w:p w14:paraId="7C2C00F2">
            <w:pPr>
              <w:pStyle w:val="12"/>
              <w:jc w:val="center"/>
            </w:pPr>
            <w:r>
              <w:rPr>
                <w:rFonts w:hint="eastAsia"/>
              </w:rPr>
              <w:t>珠玑镇</w:t>
            </w:r>
          </w:p>
        </w:tc>
        <w:tc>
          <w:tcPr>
            <w:tcW w:w="582" w:type="pct"/>
            <w:vAlign w:val="center"/>
          </w:tcPr>
          <w:p w14:paraId="0375AAD2">
            <w:pPr>
              <w:pStyle w:val="12"/>
              <w:jc w:val="center"/>
            </w:pPr>
            <w:r>
              <w:rPr>
                <w:rFonts w:hint="eastAsia"/>
              </w:rPr>
              <w:t>1927年</w:t>
            </w:r>
          </w:p>
        </w:tc>
        <w:tc>
          <w:tcPr>
            <w:tcW w:w="1066" w:type="pct"/>
            <w:vAlign w:val="center"/>
          </w:tcPr>
          <w:p w14:paraId="4E13B956">
            <w:pPr>
              <w:pStyle w:val="12"/>
              <w:jc w:val="left"/>
            </w:pPr>
            <w:r>
              <w:rPr>
                <w:rFonts w:hint="eastAsia"/>
              </w:rPr>
              <w:t>油山游击队队员</w:t>
            </w:r>
          </w:p>
        </w:tc>
        <w:tc>
          <w:tcPr>
            <w:tcW w:w="1160" w:type="pct"/>
            <w:vAlign w:val="center"/>
          </w:tcPr>
          <w:p w14:paraId="05AB08BA">
            <w:pPr>
              <w:pStyle w:val="12"/>
              <w:jc w:val="left"/>
            </w:pPr>
            <w:r>
              <w:rPr>
                <w:rFonts w:hint="eastAsia"/>
              </w:rPr>
              <w:t>1929年在中站作战受伤被捕就义</w:t>
            </w:r>
          </w:p>
        </w:tc>
      </w:tr>
      <w:tr w14:paraId="18E010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E1598F1">
            <w:pPr>
              <w:pStyle w:val="12"/>
              <w:jc w:val="center"/>
            </w:pPr>
            <w:r>
              <w:rPr>
                <w:rFonts w:hint="eastAsia"/>
              </w:rPr>
              <w:t>曾庆昌</w:t>
            </w:r>
          </w:p>
        </w:tc>
        <w:tc>
          <w:tcPr>
            <w:tcW w:w="388" w:type="pct"/>
            <w:vAlign w:val="center"/>
          </w:tcPr>
          <w:p w14:paraId="5ACC7856">
            <w:pPr>
              <w:pStyle w:val="12"/>
              <w:jc w:val="center"/>
            </w:pPr>
            <w:r>
              <w:rPr>
                <w:rFonts w:hint="eastAsia"/>
              </w:rPr>
              <w:t>男</w:t>
            </w:r>
          </w:p>
        </w:tc>
        <w:tc>
          <w:tcPr>
            <w:tcW w:w="582" w:type="pct"/>
            <w:vAlign w:val="center"/>
          </w:tcPr>
          <w:p w14:paraId="2A9ECECE">
            <w:pPr>
              <w:pStyle w:val="12"/>
              <w:jc w:val="center"/>
            </w:pPr>
            <w:r>
              <w:rPr>
                <w:rFonts w:hint="eastAsia"/>
              </w:rPr>
              <w:t>1905年</w:t>
            </w:r>
          </w:p>
        </w:tc>
        <w:tc>
          <w:tcPr>
            <w:tcW w:w="582" w:type="pct"/>
            <w:vAlign w:val="center"/>
          </w:tcPr>
          <w:p w14:paraId="152ABBB1">
            <w:pPr>
              <w:pStyle w:val="12"/>
              <w:jc w:val="center"/>
            </w:pPr>
            <w:r>
              <w:rPr>
                <w:rFonts w:hint="eastAsia"/>
              </w:rPr>
              <w:t>珠玑镇</w:t>
            </w:r>
          </w:p>
        </w:tc>
        <w:tc>
          <w:tcPr>
            <w:tcW w:w="582" w:type="pct"/>
            <w:vAlign w:val="center"/>
          </w:tcPr>
          <w:p w14:paraId="44ECF3B5">
            <w:pPr>
              <w:pStyle w:val="12"/>
              <w:jc w:val="center"/>
            </w:pPr>
            <w:r>
              <w:rPr>
                <w:rFonts w:hint="eastAsia"/>
              </w:rPr>
              <w:t>1927年</w:t>
            </w:r>
          </w:p>
        </w:tc>
        <w:tc>
          <w:tcPr>
            <w:tcW w:w="1066" w:type="pct"/>
            <w:vAlign w:val="center"/>
          </w:tcPr>
          <w:p w14:paraId="6C86615E">
            <w:pPr>
              <w:pStyle w:val="12"/>
              <w:jc w:val="left"/>
            </w:pPr>
            <w:r>
              <w:rPr>
                <w:rFonts w:hint="eastAsia"/>
              </w:rPr>
              <w:t>油山游击队队员</w:t>
            </w:r>
          </w:p>
        </w:tc>
        <w:tc>
          <w:tcPr>
            <w:tcW w:w="1160" w:type="pct"/>
            <w:vAlign w:val="center"/>
          </w:tcPr>
          <w:p w14:paraId="4703DA11">
            <w:pPr>
              <w:pStyle w:val="12"/>
              <w:jc w:val="left"/>
            </w:pPr>
            <w:r>
              <w:rPr>
                <w:rFonts w:hint="eastAsia"/>
              </w:rPr>
              <w:t>1929年被捕，在南雄城郊就义</w:t>
            </w:r>
          </w:p>
        </w:tc>
      </w:tr>
      <w:tr w14:paraId="5280E5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18078F4">
            <w:pPr>
              <w:pStyle w:val="12"/>
              <w:jc w:val="center"/>
            </w:pPr>
            <w:r>
              <w:rPr>
                <w:rFonts w:hint="eastAsia"/>
              </w:rPr>
              <w:t>黄端文</w:t>
            </w:r>
          </w:p>
        </w:tc>
        <w:tc>
          <w:tcPr>
            <w:tcW w:w="388" w:type="pct"/>
            <w:vAlign w:val="center"/>
          </w:tcPr>
          <w:p w14:paraId="558C5B19">
            <w:pPr>
              <w:pStyle w:val="12"/>
              <w:jc w:val="center"/>
            </w:pPr>
            <w:r>
              <w:rPr>
                <w:rFonts w:hint="eastAsia"/>
              </w:rPr>
              <w:t>男</w:t>
            </w:r>
          </w:p>
        </w:tc>
        <w:tc>
          <w:tcPr>
            <w:tcW w:w="582" w:type="pct"/>
            <w:vAlign w:val="center"/>
          </w:tcPr>
          <w:p w14:paraId="149184A9">
            <w:pPr>
              <w:pStyle w:val="12"/>
              <w:jc w:val="center"/>
            </w:pPr>
            <w:r>
              <w:rPr>
                <w:rFonts w:hint="eastAsia"/>
              </w:rPr>
              <w:t>1904年</w:t>
            </w:r>
          </w:p>
        </w:tc>
        <w:tc>
          <w:tcPr>
            <w:tcW w:w="582" w:type="pct"/>
            <w:vAlign w:val="center"/>
          </w:tcPr>
          <w:p w14:paraId="7094A67D">
            <w:pPr>
              <w:pStyle w:val="12"/>
              <w:jc w:val="center"/>
            </w:pPr>
            <w:r>
              <w:rPr>
                <w:rFonts w:hint="eastAsia"/>
              </w:rPr>
              <w:t>珠玑镇</w:t>
            </w:r>
          </w:p>
        </w:tc>
        <w:tc>
          <w:tcPr>
            <w:tcW w:w="582" w:type="pct"/>
            <w:vAlign w:val="center"/>
          </w:tcPr>
          <w:p w14:paraId="225B583E">
            <w:pPr>
              <w:pStyle w:val="12"/>
              <w:jc w:val="center"/>
            </w:pPr>
            <w:r>
              <w:rPr>
                <w:rFonts w:hint="eastAsia"/>
              </w:rPr>
              <w:t>1928年</w:t>
            </w:r>
          </w:p>
        </w:tc>
        <w:tc>
          <w:tcPr>
            <w:tcW w:w="1066" w:type="pct"/>
            <w:vAlign w:val="center"/>
          </w:tcPr>
          <w:p w14:paraId="32C8C0EA">
            <w:pPr>
              <w:pStyle w:val="12"/>
              <w:jc w:val="left"/>
            </w:pPr>
            <w:r>
              <w:rPr>
                <w:rFonts w:hint="eastAsia"/>
              </w:rPr>
              <w:t>油山游击队队员</w:t>
            </w:r>
          </w:p>
        </w:tc>
        <w:tc>
          <w:tcPr>
            <w:tcW w:w="1160" w:type="pct"/>
            <w:vAlign w:val="center"/>
          </w:tcPr>
          <w:p w14:paraId="6D04130C">
            <w:pPr>
              <w:pStyle w:val="12"/>
              <w:jc w:val="left"/>
            </w:pPr>
            <w:r>
              <w:rPr>
                <w:rFonts w:hint="eastAsia"/>
              </w:rPr>
              <w:t>1929年被捕，在南雄城郊就义</w:t>
            </w:r>
          </w:p>
        </w:tc>
      </w:tr>
      <w:tr w14:paraId="12435A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79BCD30">
            <w:pPr>
              <w:pStyle w:val="12"/>
              <w:jc w:val="center"/>
            </w:pPr>
            <w:r>
              <w:rPr>
                <w:rFonts w:hint="eastAsia"/>
              </w:rPr>
              <w:t>张地状宝</w:t>
            </w:r>
          </w:p>
        </w:tc>
        <w:tc>
          <w:tcPr>
            <w:tcW w:w="388" w:type="pct"/>
            <w:vAlign w:val="center"/>
          </w:tcPr>
          <w:p w14:paraId="51DE4F16">
            <w:pPr>
              <w:pStyle w:val="12"/>
              <w:jc w:val="center"/>
            </w:pPr>
            <w:r>
              <w:rPr>
                <w:rFonts w:hint="eastAsia"/>
              </w:rPr>
              <w:t>男</w:t>
            </w:r>
          </w:p>
        </w:tc>
        <w:tc>
          <w:tcPr>
            <w:tcW w:w="582" w:type="pct"/>
            <w:vAlign w:val="center"/>
          </w:tcPr>
          <w:p w14:paraId="344ECB4F">
            <w:pPr>
              <w:pStyle w:val="12"/>
              <w:jc w:val="center"/>
            </w:pPr>
            <w:r>
              <w:rPr>
                <w:rFonts w:hint="eastAsia"/>
              </w:rPr>
              <w:t>1903年</w:t>
            </w:r>
          </w:p>
        </w:tc>
        <w:tc>
          <w:tcPr>
            <w:tcW w:w="582" w:type="pct"/>
            <w:vAlign w:val="center"/>
          </w:tcPr>
          <w:p w14:paraId="7F50A6A6">
            <w:pPr>
              <w:pStyle w:val="12"/>
              <w:jc w:val="center"/>
            </w:pPr>
            <w:r>
              <w:rPr>
                <w:rFonts w:hint="eastAsia"/>
              </w:rPr>
              <w:t>珠玑镇</w:t>
            </w:r>
          </w:p>
        </w:tc>
        <w:tc>
          <w:tcPr>
            <w:tcW w:w="582" w:type="pct"/>
            <w:vAlign w:val="center"/>
          </w:tcPr>
          <w:p w14:paraId="75CD5350">
            <w:pPr>
              <w:pStyle w:val="12"/>
              <w:jc w:val="center"/>
            </w:pPr>
            <w:r>
              <w:rPr>
                <w:rFonts w:hint="eastAsia"/>
              </w:rPr>
              <w:t>1928年</w:t>
            </w:r>
          </w:p>
        </w:tc>
        <w:tc>
          <w:tcPr>
            <w:tcW w:w="1066" w:type="pct"/>
            <w:vAlign w:val="center"/>
          </w:tcPr>
          <w:p w14:paraId="33FE9B7F">
            <w:pPr>
              <w:pStyle w:val="12"/>
              <w:jc w:val="left"/>
            </w:pPr>
            <w:r>
              <w:rPr>
                <w:rFonts w:hint="eastAsia"/>
              </w:rPr>
              <w:t>油山游击队队员</w:t>
            </w:r>
          </w:p>
        </w:tc>
        <w:tc>
          <w:tcPr>
            <w:tcW w:w="1160" w:type="pct"/>
            <w:vAlign w:val="center"/>
          </w:tcPr>
          <w:p w14:paraId="08D82311">
            <w:pPr>
              <w:pStyle w:val="12"/>
              <w:jc w:val="left"/>
            </w:pPr>
            <w:r>
              <w:rPr>
                <w:rFonts w:hint="eastAsia"/>
              </w:rPr>
              <w:t>1929年在江西大余县游仙战斗被捕，在里东就义</w:t>
            </w:r>
          </w:p>
        </w:tc>
      </w:tr>
      <w:tr w14:paraId="04530D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37CBB1A">
            <w:pPr>
              <w:pStyle w:val="12"/>
              <w:jc w:val="center"/>
            </w:pPr>
            <w:r>
              <w:rPr>
                <w:rFonts w:hint="eastAsia"/>
              </w:rPr>
              <w:t>黄云林</w:t>
            </w:r>
          </w:p>
        </w:tc>
        <w:tc>
          <w:tcPr>
            <w:tcW w:w="388" w:type="pct"/>
            <w:vAlign w:val="center"/>
          </w:tcPr>
          <w:p w14:paraId="41697A42">
            <w:pPr>
              <w:pStyle w:val="12"/>
              <w:jc w:val="center"/>
            </w:pPr>
            <w:r>
              <w:rPr>
                <w:rFonts w:hint="eastAsia"/>
              </w:rPr>
              <w:t>男</w:t>
            </w:r>
          </w:p>
        </w:tc>
        <w:tc>
          <w:tcPr>
            <w:tcW w:w="582" w:type="pct"/>
            <w:vAlign w:val="center"/>
          </w:tcPr>
          <w:p w14:paraId="3DB1E062">
            <w:pPr>
              <w:pStyle w:val="12"/>
              <w:jc w:val="center"/>
            </w:pPr>
            <w:r>
              <w:rPr>
                <w:rFonts w:hint="eastAsia"/>
              </w:rPr>
              <w:t>1903年</w:t>
            </w:r>
          </w:p>
        </w:tc>
        <w:tc>
          <w:tcPr>
            <w:tcW w:w="582" w:type="pct"/>
            <w:vAlign w:val="center"/>
          </w:tcPr>
          <w:p w14:paraId="5F506BBD">
            <w:pPr>
              <w:pStyle w:val="12"/>
              <w:jc w:val="center"/>
            </w:pPr>
            <w:r>
              <w:rPr>
                <w:rFonts w:hint="eastAsia"/>
              </w:rPr>
              <w:t>珠玑镇</w:t>
            </w:r>
          </w:p>
        </w:tc>
        <w:tc>
          <w:tcPr>
            <w:tcW w:w="582" w:type="pct"/>
            <w:vAlign w:val="center"/>
          </w:tcPr>
          <w:p w14:paraId="6B5A3F02">
            <w:pPr>
              <w:pStyle w:val="12"/>
              <w:jc w:val="center"/>
            </w:pPr>
            <w:r>
              <w:rPr>
                <w:rFonts w:hint="eastAsia"/>
              </w:rPr>
              <w:t>1928年</w:t>
            </w:r>
          </w:p>
        </w:tc>
        <w:tc>
          <w:tcPr>
            <w:tcW w:w="1066" w:type="pct"/>
            <w:vAlign w:val="center"/>
          </w:tcPr>
          <w:p w14:paraId="289E5890">
            <w:pPr>
              <w:pStyle w:val="12"/>
              <w:jc w:val="left"/>
            </w:pPr>
            <w:r>
              <w:rPr>
                <w:rFonts w:hint="eastAsia"/>
              </w:rPr>
              <w:t>油山游击队队员</w:t>
            </w:r>
          </w:p>
        </w:tc>
        <w:tc>
          <w:tcPr>
            <w:tcW w:w="1160" w:type="pct"/>
            <w:vAlign w:val="center"/>
          </w:tcPr>
          <w:p w14:paraId="2A13DBDB">
            <w:pPr>
              <w:pStyle w:val="12"/>
              <w:jc w:val="left"/>
            </w:pPr>
            <w:r>
              <w:rPr>
                <w:rFonts w:hint="eastAsia"/>
              </w:rPr>
              <w:t>1929年在黄坑被捕，在里东就义</w:t>
            </w:r>
          </w:p>
        </w:tc>
      </w:tr>
      <w:tr w14:paraId="715CF2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3D00293">
            <w:pPr>
              <w:pStyle w:val="12"/>
              <w:jc w:val="center"/>
            </w:pPr>
            <w:r>
              <w:rPr>
                <w:rFonts w:hint="eastAsia"/>
              </w:rPr>
              <w:t>黄端刚</w:t>
            </w:r>
          </w:p>
        </w:tc>
        <w:tc>
          <w:tcPr>
            <w:tcW w:w="388" w:type="pct"/>
            <w:vAlign w:val="center"/>
          </w:tcPr>
          <w:p w14:paraId="4F9A9779">
            <w:pPr>
              <w:pStyle w:val="12"/>
              <w:jc w:val="center"/>
            </w:pPr>
            <w:r>
              <w:rPr>
                <w:rFonts w:hint="eastAsia"/>
              </w:rPr>
              <w:t>男</w:t>
            </w:r>
          </w:p>
        </w:tc>
        <w:tc>
          <w:tcPr>
            <w:tcW w:w="582" w:type="pct"/>
            <w:vAlign w:val="center"/>
          </w:tcPr>
          <w:p w14:paraId="1BDEFA9A">
            <w:pPr>
              <w:pStyle w:val="12"/>
              <w:jc w:val="center"/>
            </w:pPr>
            <w:r>
              <w:rPr>
                <w:rFonts w:hint="eastAsia"/>
              </w:rPr>
              <w:t>1905年</w:t>
            </w:r>
          </w:p>
        </w:tc>
        <w:tc>
          <w:tcPr>
            <w:tcW w:w="582" w:type="pct"/>
            <w:vAlign w:val="center"/>
          </w:tcPr>
          <w:p w14:paraId="446B72EC">
            <w:pPr>
              <w:pStyle w:val="12"/>
              <w:jc w:val="center"/>
            </w:pPr>
            <w:r>
              <w:rPr>
                <w:rFonts w:hint="eastAsia"/>
              </w:rPr>
              <w:t>珠玑镇</w:t>
            </w:r>
          </w:p>
        </w:tc>
        <w:tc>
          <w:tcPr>
            <w:tcW w:w="582" w:type="pct"/>
            <w:vAlign w:val="center"/>
          </w:tcPr>
          <w:p w14:paraId="6F92C593">
            <w:pPr>
              <w:pStyle w:val="12"/>
              <w:jc w:val="center"/>
            </w:pPr>
            <w:r>
              <w:rPr>
                <w:rFonts w:hint="eastAsia"/>
              </w:rPr>
              <w:t>1928年</w:t>
            </w:r>
          </w:p>
        </w:tc>
        <w:tc>
          <w:tcPr>
            <w:tcW w:w="1066" w:type="pct"/>
            <w:vAlign w:val="center"/>
          </w:tcPr>
          <w:p w14:paraId="74DB1768">
            <w:pPr>
              <w:pStyle w:val="12"/>
              <w:jc w:val="left"/>
            </w:pPr>
            <w:r>
              <w:rPr>
                <w:rFonts w:hint="eastAsia"/>
              </w:rPr>
              <w:t>油山游击队队员</w:t>
            </w:r>
          </w:p>
        </w:tc>
        <w:tc>
          <w:tcPr>
            <w:tcW w:w="1160" w:type="pct"/>
            <w:vAlign w:val="center"/>
          </w:tcPr>
          <w:p w14:paraId="6E7850E3">
            <w:pPr>
              <w:pStyle w:val="12"/>
              <w:jc w:val="left"/>
            </w:pPr>
            <w:r>
              <w:rPr>
                <w:rFonts w:hint="eastAsia"/>
              </w:rPr>
              <w:t>1929年在战斗中被捕，在南雄城郊就义</w:t>
            </w:r>
          </w:p>
        </w:tc>
      </w:tr>
      <w:tr w14:paraId="17C077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547F471">
            <w:pPr>
              <w:pStyle w:val="12"/>
              <w:jc w:val="center"/>
            </w:pPr>
            <w:r>
              <w:rPr>
                <w:rFonts w:hint="eastAsia"/>
              </w:rPr>
              <w:t>曾庆儒</w:t>
            </w:r>
          </w:p>
        </w:tc>
        <w:tc>
          <w:tcPr>
            <w:tcW w:w="388" w:type="pct"/>
            <w:vAlign w:val="center"/>
          </w:tcPr>
          <w:p w14:paraId="2A413F4F">
            <w:pPr>
              <w:pStyle w:val="12"/>
              <w:jc w:val="center"/>
            </w:pPr>
            <w:r>
              <w:rPr>
                <w:rFonts w:hint="eastAsia"/>
              </w:rPr>
              <w:t>男</w:t>
            </w:r>
          </w:p>
        </w:tc>
        <w:tc>
          <w:tcPr>
            <w:tcW w:w="582" w:type="pct"/>
            <w:vAlign w:val="center"/>
          </w:tcPr>
          <w:p w14:paraId="7C52BF1F">
            <w:pPr>
              <w:pStyle w:val="12"/>
              <w:jc w:val="center"/>
            </w:pPr>
            <w:r>
              <w:rPr>
                <w:rFonts w:hint="eastAsia"/>
              </w:rPr>
              <w:t>1905年</w:t>
            </w:r>
          </w:p>
        </w:tc>
        <w:tc>
          <w:tcPr>
            <w:tcW w:w="582" w:type="pct"/>
            <w:vAlign w:val="center"/>
          </w:tcPr>
          <w:p w14:paraId="19131BB8">
            <w:pPr>
              <w:pStyle w:val="12"/>
              <w:jc w:val="center"/>
            </w:pPr>
            <w:r>
              <w:rPr>
                <w:rFonts w:hint="eastAsia"/>
              </w:rPr>
              <w:t>珠玑镇</w:t>
            </w:r>
          </w:p>
        </w:tc>
        <w:tc>
          <w:tcPr>
            <w:tcW w:w="582" w:type="pct"/>
            <w:vAlign w:val="center"/>
          </w:tcPr>
          <w:p w14:paraId="6A5E6A68">
            <w:pPr>
              <w:pStyle w:val="12"/>
              <w:jc w:val="center"/>
            </w:pPr>
            <w:r>
              <w:rPr>
                <w:rFonts w:hint="eastAsia"/>
              </w:rPr>
              <w:t>1928年</w:t>
            </w:r>
          </w:p>
        </w:tc>
        <w:tc>
          <w:tcPr>
            <w:tcW w:w="1066" w:type="pct"/>
            <w:vAlign w:val="center"/>
          </w:tcPr>
          <w:p w14:paraId="33DE4B89">
            <w:pPr>
              <w:pStyle w:val="12"/>
              <w:jc w:val="left"/>
            </w:pPr>
            <w:r>
              <w:rPr>
                <w:rFonts w:hint="eastAsia"/>
              </w:rPr>
              <w:t>油山游击队队员</w:t>
            </w:r>
          </w:p>
        </w:tc>
        <w:tc>
          <w:tcPr>
            <w:tcW w:w="1160" w:type="pct"/>
            <w:vAlign w:val="center"/>
          </w:tcPr>
          <w:p w14:paraId="6CE79369">
            <w:pPr>
              <w:pStyle w:val="12"/>
              <w:jc w:val="left"/>
            </w:pPr>
            <w:r>
              <w:rPr>
                <w:rFonts w:hint="eastAsia"/>
              </w:rPr>
              <w:t>1929年在灵潭后围战斗被捕，在南雄城郊就义</w:t>
            </w:r>
          </w:p>
        </w:tc>
      </w:tr>
      <w:tr w14:paraId="649417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5C64B28">
            <w:pPr>
              <w:pStyle w:val="12"/>
              <w:jc w:val="center"/>
            </w:pPr>
            <w:r>
              <w:rPr>
                <w:rFonts w:hint="eastAsia"/>
              </w:rPr>
              <w:t>黄大妹</w:t>
            </w:r>
          </w:p>
        </w:tc>
        <w:tc>
          <w:tcPr>
            <w:tcW w:w="388" w:type="pct"/>
            <w:vAlign w:val="center"/>
          </w:tcPr>
          <w:p w14:paraId="54282D99">
            <w:pPr>
              <w:pStyle w:val="12"/>
              <w:jc w:val="center"/>
            </w:pPr>
            <w:r>
              <w:rPr>
                <w:rFonts w:hint="eastAsia"/>
              </w:rPr>
              <w:t>男</w:t>
            </w:r>
          </w:p>
        </w:tc>
        <w:tc>
          <w:tcPr>
            <w:tcW w:w="582" w:type="pct"/>
            <w:vAlign w:val="center"/>
          </w:tcPr>
          <w:p w14:paraId="2312F55C">
            <w:pPr>
              <w:pStyle w:val="12"/>
              <w:jc w:val="center"/>
            </w:pPr>
            <w:r>
              <w:rPr>
                <w:rFonts w:hint="eastAsia"/>
              </w:rPr>
              <w:t>1911年</w:t>
            </w:r>
          </w:p>
        </w:tc>
        <w:tc>
          <w:tcPr>
            <w:tcW w:w="582" w:type="pct"/>
            <w:vAlign w:val="center"/>
          </w:tcPr>
          <w:p w14:paraId="37E35E93">
            <w:pPr>
              <w:pStyle w:val="12"/>
              <w:jc w:val="center"/>
            </w:pPr>
            <w:r>
              <w:rPr>
                <w:rFonts w:hint="eastAsia"/>
              </w:rPr>
              <w:t>珠玑镇</w:t>
            </w:r>
          </w:p>
        </w:tc>
        <w:tc>
          <w:tcPr>
            <w:tcW w:w="582" w:type="pct"/>
            <w:vAlign w:val="center"/>
          </w:tcPr>
          <w:p w14:paraId="386534BD">
            <w:pPr>
              <w:pStyle w:val="12"/>
              <w:jc w:val="center"/>
            </w:pPr>
            <w:r>
              <w:rPr>
                <w:rFonts w:hint="eastAsia"/>
              </w:rPr>
              <w:t>1928年</w:t>
            </w:r>
          </w:p>
        </w:tc>
        <w:tc>
          <w:tcPr>
            <w:tcW w:w="1066" w:type="pct"/>
            <w:vAlign w:val="center"/>
          </w:tcPr>
          <w:p w14:paraId="6B8D3F53">
            <w:pPr>
              <w:pStyle w:val="12"/>
              <w:jc w:val="left"/>
            </w:pPr>
            <w:r>
              <w:rPr>
                <w:rFonts w:hint="eastAsia"/>
              </w:rPr>
              <w:t>油山游击队队员</w:t>
            </w:r>
          </w:p>
        </w:tc>
        <w:tc>
          <w:tcPr>
            <w:tcW w:w="1160" w:type="pct"/>
            <w:vAlign w:val="center"/>
          </w:tcPr>
          <w:p w14:paraId="679D62DD">
            <w:pPr>
              <w:pStyle w:val="12"/>
              <w:jc w:val="left"/>
            </w:pPr>
            <w:r>
              <w:rPr>
                <w:rFonts w:hint="eastAsia"/>
              </w:rPr>
              <w:t>1929年在灵潭上黄屋被捕，在里东就义</w:t>
            </w:r>
          </w:p>
        </w:tc>
      </w:tr>
      <w:tr w14:paraId="0CB68E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5C7A6B2">
            <w:pPr>
              <w:pStyle w:val="12"/>
              <w:jc w:val="center"/>
            </w:pPr>
            <w:r>
              <w:rPr>
                <w:rFonts w:hint="eastAsia"/>
              </w:rPr>
              <w:t>何新球</w:t>
            </w:r>
          </w:p>
        </w:tc>
        <w:tc>
          <w:tcPr>
            <w:tcW w:w="388" w:type="pct"/>
            <w:vAlign w:val="center"/>
          </w:tcPr>
          <w:p w14:paraId="37FD8CB8">
            <w:pPr>
              <w:pStyle w:val="12"/>
              <w:jc w:val="center"/>
            </w:pPr>
            <w:r>
              <w:rPr>
                <w:rFonts w:hint="eastAsia"/>
              </w:rPr>
              <w:t>男</w:t>
            </w:r>
          </w:p>
        </w:tc>
        <w:tc>
          <w:tcPr>
            <w:tcW w:w="582" w:type="pct"/>
            <w:vAlign w:val="center"/>
          </w:tcPr>
          <w:p w14:paraId="568A226A">
            <w:pPr>
              <w:pStyle w:val="12"/>
              <w:jc w:val="center"/>
            </w:pPr>
            <w:r>
              <w:rPr>
                <w:rFonts w:hint="eastAsia"/>
              </w:rPr>
              <w:t>1902年</w:t>
            </w:r>
          </w:p>
        </w:tc>
        <w:tc>
          <w:tcPr>
            <w:tcW w:w="582" w:type="pct"/>
            <w:vAlign w:val="center"/>
          </w:tcPr>
          <w:p w14:paraId="674AA809">
            <w:pPr>
              <w:pStyle w:val="12"/>
              <w:jc w:val="center"/>
            </w:pPr>
            <w:r>
              <w:rPr>
                <w:rFonts w:hint="eastAsia"/>
              </w:rPr>
              <w:t>珠玑镇</w:t>
            </w:r>
          </w:p>
        </w:tc>
        <w:tc>
          <w:tcPr>
            <w:tcW w:w="582" w:type="pct"/>
            <w:vAlign w:val="center"/>
          </w:tcPr>
          <w:p w14:paraId="1D4044FB">
            <w:pPr>
              <w:pStyle w:val="12"/>
              <w:jc w:val="center"/>
            </w:pPr>
            <w:r>
              <w:rPr>
                <w:rFonts w:hint="eastAsia"/>
              </w:rPr>
              <w:t>1928年</w:t>
            </w:r>
          </w:p>
        </w:tc>
        <w:tc>
          <w:tcPr>
            <w:tcW w:w="1066" w:type="pct"/>
            <w:vAlign w:val="center"/>
          </w:tcPr>
          <w:p w14:paraId="22F41C0A">
            <w:pPr>
              <w:pStyle w:val="12"/>
              <w:jc w:val="left"/>
            </w:pPr>
            <w:r>
              <w:rPr>
                <w:rFonts w:hint="eastAsia"/>
              </w:rPr>
              <w:t>油山游击队队员</w:t>
            </w:r>
          </w:p>
        </w:tc>
        <w:tc>
          <w:tcPr>
            <w:tcW w:w="1160" w:type="pct"/>
            <w:vAlign w:val="center"/>
          </w:tcPr>
          <w:p w14:paraId="1135AA5C">
            <w:pPr>
              <w:pStyle w:val="12"/>
              <w:jc w:val="left"/>
            </w:pPr>
            <w:r>
              <w:rPr>
                <w:rFonts w:hint="eastAsia"/>
              </w:rPr>
              <w:t>1929年在邓坊甘尾洞战斗牺牲</w:t>
            </w:r>
          </w:p>
        </w:tc>
      </w:tr>
      <w:tr w14:paraId="150BA5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37E75DF">
            <w:pPr>
              <w:pStyle w:val="12"/>
              <w:jc w:val="center"/>
            </w:pPr>
            <w:r>
              <w:rPr>
                <w:rFonts w:hint="eastAsia"/>
              </w:rPr>
              <w:t>陈石拐</w:t>
            </w:r>
          </w:p>
        </w:tc>
        <w:tc>
          <w:tcPr>
            <w:tcW w:w="388" w:type="pct"/>
            <w:vAlign w:val="center"/>
          </w:tcPr>
          <w:p w14:paraId="2401F78F">
            <w:pPr>
              <w:pStyle w:val="12"/>
              <w:jc w:val="center"/>
            </w:pPr>
            <w:r>
              <w:rPr>
                <w:rFonts w:hint="eastAsia"/>
              </w:rPr>
              <w:t>男</w:t>
            </w:r>
          </w:p>
        </w:tc>
        <w:tc>
          <w:tcPr>
            <w:tcW w:w="582" w:type="pct"/>
            <w:vAlign w:val="center"/>
          </w:tcPr>
          <w:p w14:paraId="4224A63C">
            <w:pPr>
              <w:pStyle w:val="12"/>
              <w:jc w:val="center"/>
            </w:pPr>
            <w:r>
              <w:rPr>
                <w:rFonts w:hint="eastAsia"/>
              </w:rPr>
              <w:t>1886年</w:t>
            </w:r>
          </w:p>
        </w:tc>
        <w:tc>
          <w:tcPr>
            <w:tcW w:w="582" w:type="pct"/>
            <w:vAlign w:val="center"/>
          </w:tcPr>
          <w:p w14:paraId="5363B704">
            <w:pPr>
              <w:pStyle w:val="12"/>
              <w:jc w:val="center"/>
            </w:pPr>
            <w:r>
              <w:rPr>
                <w:rFonts w:hint="eastAsia"/>
              </w:rPr>
              <w:t>珠玑镇</w:t>
            </w:r>
          </w:p>
        </w:tc>
        <w:tc>
          <w:tcPr>
            <w:tcW w:w="582" w:type="pct"/>
            <w:vAlign w:val="center"/>
          </w:tcPr>
          <w:p w14:paraId="3E625539">
            <w:pPr>
              <w:pStyle w:val="12"/>
              <w:jc w:val="center"/>
            </w:pPr>
            <w:r>
              <w:rPr>
                <w:rFonts w:hint="eastAsia"/>
              </w:rPr>
              <w:t>1928年</w:t>
            </w:r>
          </w:p>
        </w:tc>
        <w:tc>
          <w:tcPr>
            <w:tcW w:w="1066" w:type="pct"/>
            <w:vAlign w:val="center"/>
          </w:tcPr>
          <w:p w14:paraId="48EA53D3">
            <w:pPr>
              <w:pStyle w:val="12"/>
              <w:jc w:val="left"/>
            </w:pPr>
            <w:r>
              <w:rPr>
                <w:rFonts w:hint="eastAsia"/>
              </w:rPr>
              <w:t>油山游击队队员</w:t>
            </w:r>
          </w:p>
        </w:tc>
        <w:tc>
          <w:tcPr>
            <w:tcW w:w="1160" w:type="pct"/>
            <w:vAlign w:val="center"/>
          </w:tcPr>
          <w:p w14:paraId="421254AE">
            <w:pPr>
              <w:pStyle w:val="12"/>
              <w:jc w:val="left"/>
            </w:pPr>
            <w:r>
              <w:rPr>
                <w:rFonts w:hint="eastAsia"/>
              </w:rPr>
              <w:t>1929年在邓坊战斗牺牲</w:t>
            </w:r>
          </w:p>
        </w:tc>
      </w:tr>
      <w:tr w14:paraId="3B17F5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1933A84">
            <w:pPr>
              <w:pStyle w:val="12"/>
              <w:jc w:val="center"/>
            </w:pPr>
            <w:r>
              <w:rPr>
                <w:rFonts w:hint="eastAsia"/>
              </w:rPr>
              <w:t>陈显昭</w:t>
            </w:r>
          </w:p>
        </w:tc>
        <w:tc>
          <w:tcPr>
            <w:tcW w:w="388" w:type="pct"/>
            <w:vAlign w:val="center"/>
          </w:tcPr>
          <w:p w14:paraId="084DD2F5">
            <w:pPr>
              <w:pStyle w:val="12"/>
              <w:jc w:val="center"/>
            </w:pPr>
            <w:r>
              <w:rPr>
                <w:rFonts w:hint="eastAsia"/>
              </w:rPr>
              <w:t>女</w:t>
            </w:r>
          </w:p>
        </w:tc>
        <w:tc>
          <w:tcPr>
            <w:tcW w:w="582" w:type="pct"/>
            <w:vAlign w:val="center"/>
          </w:tcPr>
          <w:p w14:paraId="71ED0A9D">
            <w:pPr>
              <w:pStyle w:val="12"/>
              <w:jc w:val="center"/>
            </w:pPr>
            <w:r>
              <w:rPr>
                <w:rFonts w:hint="eastAsia"/>
              </w:rPr>
              <w:t>1878年</w:t>
            </w:r>
          </w:p>
        </w:tc>
        <w:tc>
          <w:tcPr>
            <w:tcW w:w="582" w:type="pct"/>
            <w:vAlign w:val="center"/>
          </w:tcPr>
          <w:p w14:paraId="5E15E66E">
            <w:pPr>
              <w:pStyle w:val="12"/>
              <w:jc w:val="center"/>
            </w:pPr>
            <w:r>
              <w:rPr>
                <w:rFonts w:hint="eastAsia"/>
              </w:rPr>
              <w:t>珠玑镇</w:t>
            </w:r>
          </w:p>
        </w:tc>
        <w:tc>
          <w:tcPr>
            <w:tcW w:w="582" w:type="pct"/>
            <w:vAlign w:val="center"/>
          </w:tcPr>
          <w:p w14:paraId="215D96AD">
            <w:pPr>
              <w:pStyle w:val="12"/>
              <w:jc w:val="center"/>
            </w:pPr>
            <w:r>
              <w:rPr>
                <w:rFonts w:hint="eastAsia"/>
              </w:rPr>
              <w:t>1928年</w:t>
            </w:r>
          </w:p>
        </w:tc>
        <w:tc>
          <w:tcPr>
            <w:tcW w:w="1066" w:type="pct"/>
            <w:vAlign w:val="center"/>
          </w:tcPr>
          <w:p w14:paraId="06F031DD">
            <w:pPr>
              <w:pStyle w:val="12"/>
              <w:jc w:val="left"/>
            </w:pPr>
            <w:r>
              <w:rPr>
                <w:rFonts w:hint="eastAsia"/>
              </w:rPr>
              <w:t>油山游击队队员</w:t>
            </w:r>
          </w:p>
        </w:tc>
        <w:tc>
          <w:tcPr>
            <w:tcW w:w="1160" w:type="pct"/>
            <w:vAlign w:val="center"/>
          </w:tcPr>
          <w:p w14:paraId="160A5B45">
            <w:pPr>
              <w:pStyle w:val="12"/>
              <w:jc w:val="left"/>
            </w:pPr>
            <w:r>
              <w:rPr>
                <w:rFonts w:hint="eastAsia"/>
              </w:rPr>
              <w:t>1929年在篛过东门被捕就义</w:t>
            </w:r>
          </w:p>
        </w:tc>
      </w:tr>
      <w:tr w14:paraId="3FD4FB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252A9F2">
            <w:pPr>
              <w:pStyle w:val="12"/>
              <w:jc w:val="center"/>
            </w:pPr>
            <w:r>
              <w:rPr>
                <w:rFonts w:hint="eastAsia"/>
              </w:rPr>
              <w:t>蓝柴狗</w:t>
            </w:r>
          </w:p>
        </w:tc>
        <w:tc>
          <w:tcPr>
            <w:tcW w:w="388" w:type="pct"/>
            <w:vAlign w:val="center"/>
          </w:tcPr>
          <w:p w14:paraId="59B25256">
            <w:pPr>
              <w:pStyle w:val="12"/>
              <w:jc w:val="center"/>
            </w:pPr>
            <w:r>
              <w:rPr>
                <w:rFonts w:hint="eastAsia"/>
              </w:rPr>
              <w:t>男</w:t>
            </w:r>
          </w:p>
        </w:tc>
        <w:tc>
          <w:tcPr>
            <w:tcW w:w="582" w:type="pct"/>
            <w:vAlign w:val="center"/>
          </w:tcPr>
          <w:p w14:paraId="2283B4B4">
            <w:pPr>
              <w:pStyle w:val="12"/>
              <w:jc w:val="center"/>
            </w:pPr>
            <w:r>
              <w:rPr>
                <w:rFonts w:hint="eastAsia"/>
              </w:rPr>
              <w:t>1900年</w:t>
            </w:r>
          </w:p>
        </w:tc>
        <w:tc>
          <w:tcPr>
            <w:tcW w:w="582" w:type="pct"/>
            <w:vAlign w:val="center"/>
          </w:tcPr>
          <w:p w14:paraId="4F4521BC">
            <w:pPr>
              <w:pStyle w:val="12"/>
              <w:jc w:val="center"/>
            </w:pPr>
            <w:r>
              <w:rPr>
                <w:rFonts w:hint="eastAsia"/>
              </w:rPr>
              <w:t>水口镇</w:t>
            </w:r>
          </w:p>
        </w:tc>
        <w:tc>
          <w:tcPr>
            <w:tcW w:w="582" w:type="pct"/>
            <w:vAlign w:val="center"/>
          </w:tcPr>
          <w:p w14:paraId="02D10B22">
            <w:pPr>
              <w:pStyle w:val="12"/>
              <w:jc w:val="center"/>
            </w:pPr>
            <w:r>
              <w:rPr>
                <w:rFonts w:hint="eastAsia"/>
              </w:rPr>
              <w:t>1929年2月</w:t>
            </w:r>
          </w:p>
        </w:tc>
        <w:tc>
          <w:tcPr>
            <w:tcW w:w="1066" w:type="pct"/>
            <w:vAlign w:val="center"/>
          </w:tcPr>
          <w:p w14:paraId="4F5B1593">
            <w:pPr>
              <w:pStyle w:val="12"/>
              <w:jc w:val="left"/>
            </w:pPr>
            <w:r>
              <w:rPr>
                <w:rFonts w:hint="eastAsia"/>
              </w:rPr>
              <w:t>油山游击队队员</w:t>
            </w:r>
          </w:p>
        </w:tc>
        <w:tc>
          <w:tcPr>
            <w:tcW w:w="1160" w:type="pct"/>
            <w:vAlign w:val="center"/>
          </w:tcPr>
          <w:p w14:paraId="5371FA83">
            <w:pPr>
              <w:pStyle w:val="12"/>
              <w:jc w:val="left"/>
            </w:pPr>
            <w:r>
              <w:rPr>
                <w:rFonts w:hint="eastAsia"/>
              </w:rPr>
              <w:t>1929年7月被捕，在水口就义</w:t>
            </w:r>
          </w:p>
        </w:tc>
      </w:tr>
      <w:tr w14:paraId="329422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4482934">
            <w:pPr>
              <w:pStyle w:val="12"/>
              <w:jc w:val="center"/>
            </w:pPr>
            <w:r>
              <w:rPr>
                <w:rFonts w:hint="eastAsia"/>
              </w:rPr>
              <w:t>邓老鼠</w:t>
            </w:r>
          </w:p>
        </w:tc>
        <w:tc>
          <w:tcPr>
            <w:tcW w:w="388" w:type="pct"/>
            <w:vAlign w:val="center"/>
          </w:tcPr>
          <w:p w14:paraId="2CFCC52B">
            <w:pPr>
              <w:pStyle w:val="12"/>
              <w:jc w:val="center"/>
            </w:pPr>
            <w:r>
              <w:rPr>
                <w:rFonts w:hint="eastAsia"/>
              </w:rPr>
              <w:t>男</w:t>
            </w:r>
          </w:p>
        </w:tc>
        <w:tc>
          <w:tcPr>
            <w:tcW w:w="582" w:type="pct"/>
            <w:vAlign w:val="center"/>
          </w:tcPr>
          <w:p w14:paraId="561CD2D6">
            <w:pPr>
              <w:pStyle w:val="12"/>
              <w:jc w:val="center"/>
            </w:pPr>
            <w:r>
              <w:rPr>
                <w:rFonts w:hint="eastAsia"/>
              </w:rPr>
              <w:t>1907年</w:t>
            </w:r>
          </w:p>
        </w:tc>
        <w:tc>
          <w:tcPr>
            <w:tcW w:w="582" w:type="pct"/>
            <w:vAlign w:val="center"/>
          </w:tcPr>
          <w:p w14:paraId="3E3738A2">
            <w:pPr>
              <w:pStyle w:val="12"/>
              <w:jc w:val="center"/>
            </w:pPr>
            <w:r>
              <w:rPr>
                <w:rFonts w:hint="eastAsia"/>
              </w:rPr>
              <w:t>水口镇</w:t>
            </w:r>
          </w:p>
        </w:tc>
        <w:tc>
          <w:tcPr>
            <w:tcW w:w="582" w:type="pct"/>
            <w:vAlign w:val="center"/>
          </w:tcPr>
          <w:p w14:paraId="5ACA50C0">
            <w:pPr>
              <w:pStyle w:val="12"/>
              <w:jc w:val="center"/>
            </w:pPr>
            <w:r>
              <w:rPr>
                <w:rFonts w:hint="eastAsia"/>
              </w:rPr>
              <w:t>1929年</w:t>
            </w:r>
          </w:p>
        </w:tc>
        <w:tc>
          <w:tcPr>
            <w:tcW w:w="1066" w:type="pct"/>
            <w:vAlign w:val="center"/>
          </w:tcPr>
          <w:p w14:paraId="15FAEA9C">
            <w:pPr>
              <w:pStyle w:val="12"/>
              <w:jc w:val="left"/>
              <w:rPr>
                <w:rFonts w:ascii="宋体" w:hAnsi="宋体" w:cs="宋体"/>
              </w:rPr>
            </w:pPr>
            <w:r>
              <w:rPr>
                <w:rFonts w:hint="eastAsia"/>
              </w:rPr>
              <w:t>油山游击队</w:t>
            </w:r>
          </w:p>
          <w:p w14:paraId="692AAA19">
            <w:pPr>
              <w:pStyle w:val="12"/>
              <w:jc w:val="left"/>
            </w:pPr>
            <w:r>
              <w:rPr>
                <w:rFonts w:hint="eastAsia" w:ascii="宋体" w:hAnsi="宋体" w:cs="宋体"/>
              </w:rPr>
              <w:t>交  通  员</w:t>
            </w:r>
          </w:p>
        </w:tc>
        <w:tc>
          <w:tcPr>
            <w:tcW w:w="1160" w:type="pct"/>
            <w:vAlign w:val="center"/>
          </w:tcPr>
          <w:p w14:paraId="6D3869E4">
            <w:pPr>
              <w:pStyle w:val="12"/>
              <w:jc w:val="left"/>
            </w:pPr>
            <w:r>
              <w:rPr>
                <w:rFonts w:hint="eastAsia"/>
              </w:rPr>
              <w:t>1929年12月被捕，在南雄城郊就义</w:t>
            </w:r>
          </w:p>
        </w:tc>
      </w:tr>
      <w:tr w14:paraId="50A007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6FA6CD0">
            <w:pPr>
              <w:pStyle w:val="12"/>
              <w:jc w:val="center"/>
            </w:pPr>
            <w:r>
              <w:rPr>
                <w:rFonts w:hint="eastAsia"/>
              </w:rPr>
              <w:t>欧  阳</w:t>
            </w:r>
            <w:r>
              <w:rPr>
                <w:rFonts w:hint="eastAsia" w:ascii="宋体" w:hAnsi="宋体" w:cs="宋体"/>
              </w:rPr>
              <w:t>池生养</w:t>
            </w:r>
          </w:p>
        </w:tc>
        <w:tc>
          <w:tcPr>
            <w:tcW w:w="388" w:type="pct"/>
            <w:vAlign w:val="center"/>
          </w:tcPr>
          <w:p w14:paraId="0A09C548">
            <w:pPr>
              <w:pStyle w:val="12"/>
              <w:jc w:val="center"/>
            </w:pPr>
            <w:r>
              <w:rPr>
                <w:rFonts w:hint="eastAsia"/>
              </w:rPr>
              <w:t>男</w:t>
            </w:r>
          </w:p>
        </w:tc>
        <w:tc>
          <w:tcPr>
            <w:tcW w:w="582" w:type="pct"/>
            <w:vAlign w:val="center"/>
          </w:tcPr>
          <w:p w14:paraId="75F0B667">
            <w:pPr>
              <w:pStyle w:val="12"/>
              <w:jc w:val="center"/>
            </w:pPr>
            <w:r>
              <w:rPr>
                <w:rFonts w:hint="eastAsia"/>
              </w:rPr>
              <w:t>1904年</w:t>
            </w:r>
          </w:p>
        </w:tc>
        <w:tc>
          <w:tcPr>
            <w:tcW w:w="582" w:type="pct"/>
            <w:vAlign w:val="center"/>
          </w:tcPr>
          <w:p w14:paraId="232D0537">
            <w:pPr>
              <w:pStyle w:val="12"/>
              <w:jc w:val="center"/>
            </w:pPr>
            <w:r>
              <w:rPr>
                <w:rFonts w:hint="eastAsia"/>
              </w:rPr>
              <w:t>水口镇</w:t>
            </w:r>
          </w:p>
        </w:tc>
        <w:tc>
          <w:tcPr>
            <w:tcW w:w="582" w:type="pct"/>
            <w:vAlign w:val="center"/>
          </w:tcPr>
          <w:p w14:paraId="5BB74A0D">
            <w:pPr>
              <w:pStyle w:val="12"/>
              <w:jc w:val="center"/>
            </w:pPr>
            <w:r>
              <w:rPr>
                <w:rFonts w:hint="eastAsia"/>
              </w:rPr>
              <w:t>1927年</w:t>
            </w:r>
          </w:p>
        </w:tc>
        <w:tc>
          <w:tcPr>
            <w:tcW w:w="1066" w:type="pct"/>
            <w:vAlign w:val="center"/>
          </w:tcPr>
          <w:p w14:paraId="67781303">
            <w:pPr>
              <w:pStyle w:val="12"/>
              <w:jc w:val="left"/>
            </w:pPr>
            <w:r>
              <w:rPr>
                <w:rFonts w:hint="eastAsia"/>
              </w:rPr>
              <w:t>油山游击队队员</w:t>
            </w:r>
          </w:p>
        </w:tc>
        <w:tc>
          <w:tcPr>
            <w:tcW w:w="1160" w:type="pct"/>
            <w:vAlign w:val="center"/>
          </w:tcPr>
          <w:p w14:paraId="135819AE">
            <w:pPr>
              <w:pStyle w:val="12"/>
              <w:jc w:val="left"/>
            </w:pPr>
            <w:r>
              <w:rPr>
                <w:rFonts w:hint="eastAsia"/>
              </w:rPr>
              <w:t>1929年在篛过东门被捕就义</w:t>
            </w:r>
          </w:p>
        </w:tc>
      </w:tr>
      <w:tr w14:paraId="5FD6A4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8B98C89">
            <w:pPr>
              <w:pStyle w:val="12"/>
              <w:jc w:val="center"/>
            </w:pPr>
            <w:r>
              <w:rPr>
                <w:rFonts w:hint="eastAsia"/>
              </w:rPr>
              <w:t>欧  阳</w:t>
            </w:r>
            <w:r>
              <w:rPr>
                <w:rFonts w:hint="eastAsia" w:ascii="宋体" w:hAnsi="宋体" w:cs="宋体"/>
              </w:rPr>
              <w:t>顽皮古</w:t>
            </w:r>
          </w:p>
        </w:tc>
        <w:tc>
          <w:tcPr>
            <w:tcW w:w="388" w:type="pct"/>
            <w:vAlign w:val="center"/>
          </w:tcPr>
          <w:p w14:paraId="795C8DFD">
            <w:pPr>
              <w:pStyle w:val="12"/>
              <w:jc w:val="center"/>
            </w:pPr>
            <w:r>
              <w:rPr>
                <w:rFonts w:hint="eastAsia"/>
              </w:rPr>
              <w:t>男</w:t>
            </w:r>
          </w:p>
        </w:tc>
        <w:tc>
          <w:tcPr>
            <w:tcW w:w="582" w:type="pct"/>
            <w:vAlign w:val="center"/>
          </w:tcPr>
          <w:p w14:paraId="2EA92FE7">
            <w:pPr>
              <w:pStyle w:val="12"/>
              <w:jc w:val="center"/>
            </w:pPr>
            <w:r>
              <w:rPr>
                <w:rFonts w:hint="eastAsia"/>
              </w:rPr>
              <w:t>1905年</w:t>
            </w:r>
          </w:p>
        </w:tc>
        <w:tc>
          <w:tcPr>
            <w:tcW w:w="582" w:type="pct"/>
            <w:vAlign w:val="center"/>
          </w:tcPr>
          <w:p w14:paraId="3EBB64A7">
            <w:pPr>
              <w:pStyle w:val="12"/>
              <w:jc w:val="center"/>
            </w:pPr>
            <w:r>
              <w:rPr>
                <w:rFonts w:hint="eastAsia"/>
              </w:rPr>
              <w:t>水口镇</w:t>
            </w:r>
          </w:p>
        </w:tc>
        <w:tc>
          <w:tcPr>
            <w:tcW w:w="582" w:type="pct"/>
            <w:vAlign w:val="center"/>
          </w:tcPr>
          <w:p w14:paraId="1F215842">
            <w:pPr>
              <w:pStyle w:val="12"/>
              <w:jc w:val="center"/>
            </w:pPr>
            <w:r>
              <w:rPr>
                <w:rFonts w:hint="eastAsia"/>
              </w:rPr>
              <w:t>1927年</w:t>
            </w:r>
          </w:p>
        </w:tc>
        <w:tc>
          <w:tcPr>
            <w:tcW w:w="1066" w:type="pct"/>
            <w:vAlign w:val="center"/>
          </w:tcPr>
          <w:p w14:paraId="7C2B63C9">
            <w:pPr>
              <w:pStyle w:val="12"/>
              <w:jc w:val="left"/>
            </w:pPr>
            <w:r>
              <w:rPr>
                <w:rFonts w:hint="eastAsia"/>
              </w:rPr>
              <w:t>油山游击队队员</w:t>
            </w:r>
          </w:p>
        </w:tc>
        <w:tc>
          <w:tcPr>
            <w:tcW w:w="1160" w:type="pct"/>
            <w:vAlign w:val="center"/>
          </w:tcPr>
          <w:p w14:paraId="1097F630">
            <w:pPr>
              <w:pStyle w:val="12"/>
              <w:jc w:val="left"/>
            </w:pPr>
            <w:r>
              <w:rPr>
                <w:rFonts w:hint="eastAsia"/>
              </w:rPr>
              <w:t>1929年在篛过东门被捕，在南雄城郊就义</w:t>
            </w:r>
          </w:p>
        </w:tc>
      </w:tr>
      <w:tr w14:paraId="77DB0F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98835EF">
            <w:pPr>
              <w:pStyle w:val="12"/>
              <w:jc w:val="center"/>
            </w:pPr>
            <w:r>
              <w:rPr>
                <w:rFonts w:hint="eastAsia"/>
              </w:rPr>
              <w:t>塘江婆</w:t>
            </w:r>
          </w:p>
        </w:tc>
        <w:tc>
          <w:tcPr>
            <w:tcW w:w="388" w:type="pct"/>
            <w:vAlign w:val="center"/>
          </w:tcPr>
          <w:p w14:paraId="11134790">
            <w:pPr>
              <w:pStyle w:val="12"/>
              <w:jc w:val="center"/>
            </w:pPr>
            <w:r>
              <w:rPr>
                <w:rFonts w:hint="eastAsia"/>
              </w:rPr>
              <w:t>女</w:t>
            </w:r>
          </w:p>
        </w:tc>
        <w:tc>
          <w:tcPr>
            <w:tcW w:w="582" w:type="pct"/>
            <w:vAlign w:val="center"/>
          </w:tcPr>
          <w:p w14:paraId="08EB1A17">
            <w:pPr>
              <w:pStyle w:val="12"/>
              <w:jc w:val="center"/>
            </w:pPr>
            <w:r>
              <w:rPr>
                <w:rFonts w:hint="eastAsia"/>
              </w:rPr>
              <w:t>1895年</w:t>
            </w:r>
          </w:p>
        </w:tc>
        <w:tc>
          <w:tcPr>
            <w:tcW w:w="582" w:type="pct"/>
            <w:vAlign w:val="center"/>
          </w:tcPr>
          <w:p w14:paraId="560AFAFD">
            <w:pPr>
              <w:pStyle w:val="12"/>
              <w:jc w:val="center"/>
            </w:pPr>
            <w:r>
              <w:rPr>
                <w:rFonts w:hint="eastAsia"/>
              </w:rPr>
              <w:t>水口镇</w:t>
            </w:r>
          </w:p>
        </w:tc>
        <w:tc>
          <w:tcPr>
            <w:tcW w:w="582" w:type="pct"/>
            <w:vAlign w:val="center"/>
          </w:tcPr>
          <w:p w14:paraId="38167B52">
            <w:pPr>
              <w:pStyle w:val="12"/>
              <w:jc w:val="center"/>
            </w:pPr>
            <w:r>
              <w:rPr>
                <w:rFonts w:hint="eastAsia"/>
              </w:rPr>
              <w:t>1927年</w:t>
            </w:r>
          </w:p>
        </w:tc>
        <w:tc>
          <w:tcPr>
            <w:tcW w:w="1066" w:type="pct"/>
            <w:vAlign w:val="center"/>
          </w:tcPr>
          <w:p w14:paraId="0C6D566F">
            <w:pPr>
              <w:pStyle w:val="12"/>
              <w:jc w:val="left"/>
            </w:pPr>
            <w:r>
              <w:rPr>
                <w:rFonts w:hint="eastAsia"/>
              </w:rPr>
              <w:t>油山游击队队员</w:t>
            </w:r>
          </w:p>
        </w:tc>
        <w:tc>
          <w:tcPr>
            <w:tcW w:w="1160" w:type="pct"/>
            <w:vAlign w:val="center"/>
          </w:tcPr>
          <w:p w14:paraId="56414EFD">
            <w:pPr>
              <w:pStyle w:val="12"/>
              <w:jc w:val="left"/>
            </w:pPr>
            <w:r>
              <w:rPr>
                <w:rFonts w:hint="eastAsia"/>
              </w:rPr>
              <w:t>1929年在篛过被捕，水口就义</w:t>
            </w:r>
          </w:p>
        </w:tc>
      </w:tr>
      <w:tr w14:paraId="3D1DF66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41C1F55">
            <w:pPr>
              <w:pStyle w:val="12"/>
              <w:jc w:val="center"/>
            </w:pPr>
            <w:r>
              <w:rPr>
                <w:rFonts w:hint="eastAsia"/>
              </w:rPr>
              <w:t>欧阳汝棠</w:t>
            </w:r>
          </w:p>
        </w:tc>
        <w:tc>
          <w:tcPr>
            <w:tcW w:w="388" w:type="pct"/>
            <w:vAlign w:val="center"/>
          </w:tcPr>
          <w:p w14:paraId="4042014A">
            <w:pPr>
              <w:pStyle w:val="12"/>
              <w:jc w:val="center"/>
            </w:pPr>
            <w:r>
              <w:rPr>
                <w:rFonts w:hint="eastAsia"/>
              </w:rPr>
              <w:t>男</w:t>
            </w:r>
          </w:p>
        </w:tc>
        <w:tc>
          <w:tcPr>
            <w:tcW w:w="582" w:type="pct"/>
            <w:vAlign w:val="center"/>
          </w:tcPr>
          <w:p w14:paraId="57917C5C">
            <w:pPr>
              <w:pStyle w:val="12"/>
              <w:jc w:val="center"/>
            </w:pPr>
            <w:r>
              <w:rPr>
                <w:rFonts w:hint="eastAsia"/>
              </w:rPr>
              <w:t>1904年</w:t>
            </w:r>
          </w:p>
        </w:tc>
        <w:tc>
          <w:tcPr>
            <w:tcW w:w="582" w:type="pct"/>
            <w:vAlign w:val="center"/>
          </w:tcPr>
          <w:p w14:paraId="698B583B">
            <w:pPr>
              <w:pStyle w:val="12"/>
              <w:jc w:val="center"/>
            </w:pPr>
            <w:r>
              <w:rPr>
                <w:rFonts w:hint="eastAsia"/>
              </w:rPr>
              <w:t>水口镇</w:t>
            </w:r>
          </w:p>
        </w:tc>
        <w:tc>
          <w:tcPr>
            <w:tcW w:w="582" w:type="pct"/>
            <w:vAlign w:val="center"/>
          </w:tcPr>
          <w:p w14:paraId="07A4C26C">
            <w:pPr>
              <w:pStyle w:val="12"/>
              <w:jc w:val="center"/>
            </w:pPr>
            <w:r>
              <w:rPr>
                <w:rFonts w:hint="eastAsia"/>
              </w:rPr>
              <w:t>1928年</w:t>
            </w:r>
          </w:p>
        </w:tc>
        <w:tc>
          <w:tcPr>
            <w:tcW w:w="1066" w:type="pct"/>
            <w:vAlign w:val="center"/>
          </w:tcPr>
          <w:p w14:paraId="22BC69F6">
            <w:pPr>
              <w:pStyle w:val="12"/>
              <w:jc w:val="left"/>
              <w:rPr>
                <w:rFonts w:ascii="宋体" w:hAnsi="宋体" w:cs="宋体"/>
              </w:rPr>
            </w:pPr>
            <w:r>
              <w:rPr>
                <w:rFonts w:hint="eastAsia"/>
              </w:rPr>
              <w:t>油山游击队</w:t>
            </w:r>
          </w:p>
          <w:p w14:paraId="0FD334BF">
            <w:pPr>
              <w:pStyle w:val="12"/>
              <w:jc w:val="left"/>
            </w:pPr>
            <w:r>
              <w:rPr>
                <w:rFonts w:hint="eastAsia" w:ascii="宋体" w:hAnsi="宋体" w:cs="宋体"/>
              </w:rPr>
              <w:t>通  讯  员</w:t>
            </w:r>
          </w:p>
        </w:tc>
        <w:tc>
          <w:tcPr>
            <w:tcW w:w="1160" w:type="pct"/>
            <w:vAlign w:val="center"/>
          </w:tcPr>
          <w:p w14:paraId="6B0A7303">
            <w:pPr>
              <w:pStyle w:val="12"/>
              <w:jc w:val="left"/>
            </w:pPr>
            <w:r>
              <w:rPr>
                <w:rFonts w:hint="eastAsia"/>
              </w:rPr>
              <w:t>1929年在水口战斗牺牲</w:t>
            </w:r>
          </w:p>
        </w:tc>
      </w:tr>
      <w:tr w14:paraId="5585BE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04F84E3">
            <w:pPr>
              <w:pStyle w:val="12"/>
              <w:jc w:val="center"/>
            </w:pPr>
            <w:r>
              <w:rPr>
                <w:rFonts w:hint="eastAsia"/>
              </w:rPr>
              <w:t>曾广冯</w:t>
            </w:r>
          </w:p>
        </w:tc>
        <w:tc>
          <w:tcPr>
            <w:tcW w:w="388" w:type="pct"/>
            <w:vAlign w:val="center"/>
          </w:tcPr>
          <w:p w14:paraId="180CA922">
            <w:pPr>
              <w:pStyle w:val="12"/>
              <w:jc w:val="center"/>
            </w:pPr>
            <w:r>
              <w:rPr>
                <w:rFonts w:hint="eastAsia"/>
              </w:rPr>
              <w:t>男</w:t>
            </w:r>
          </w:p>
        </w:tc>
        <w:tc>
          <w:tcPr>
            <w:tcW w:w="582" w:type="pct"/>
            <w:vAlign w:val="center"/>
          </w:tcPr>
          <w:p w14:paraId="648F9004">
            <w:pPr>
              <w:pStyle w:val="12"/>
              <w:jc w:val="center"/>
            </w:pPr>
            <w:r>
              <w:rPr>
                <w:rFonts w:hint="eastAsia"/>
              </w:rPr>
              <w:t>1893年</w:t>
            </w:r>
          </w:p>
        </w:tc>
        <w:tc>
          <w:tcPr>
            <w:tcW w:w="582" w:type="pct"/>
            <w:vAlign w:val="center"/>
          </w:tcPr>
          <w:p w14:paraId="761D0379">
            <w:pPr>
              <w:pStyle w:val="12"/>
              <w:jc w:val="center"/>
            </w:pPr>
            <w:r>
              <w:rPr>
                <w:rFonts w:hint="eastAsia"/>
              </w:rPr>
              <w:t>水口镇</w:t>
            </w:r>
          </w:p>
        </w:tc>
        <w:tc>
          <w:tcPr>
            <w:tcW w:w="582" w:type="pct"/>
            <w:vAlign w:val="center"/>
          </w:tcPr>
          <w:p w14:paraId="1E6878F0">
            <w:pPr>
              <w:pStyle w:val="12"/>
              <w:jc w:val="center"/>
            </w:pPr>
            <w:r>
              <w:rPr>
                <w:rFonts w:hint="eastAsia"/>
              </w:rPr>
              <w:t>1928年</w:t>
            </w:r>
          </w:p>
        </w:tc>
        <w:tc>
          <w:tcPr>
            <w:tcW w:w="1066" w:type="pct"/>
            <w:vAlign w:val="center"/>
          </w:tcPr>
          <w:p w14:paraId="7ACC34C6">
            <w:pPr>
              <w:pStyle w:val="12"/>
              <w:jc w:val="left"/>
              <w:rPr>
                <w:rFonts w:ascii="宋体" w:hAnsi="宋体" w:cs="宋体"/>
              </w:rPr>
            </w:pPr>
            <w:r>
              <w:rPr>
                <w:rFonts w:hint="eastAsia"/>
              </w:rPr>
              <w:t>油山游击队</w:t>
            </w:r>
          </w:p>
          <w:p w14:paraId="3BC5BCF4">
            <w:pPr>
              <w:pStyle w:val="12"/>
              <w:jc w:val="left"/>
            </w:pPr>
            <w:r>
              <w:rPr>
                <w:rFonts w:hint="eastAsia" w:ascii="宋体" w:hAnsi="宋体" w:cs="宋体"/>
              </w:rPr>
              <w:t>通  讯  员</w:t>
            </w:r>
          </w:p>
        </w:tc>
        <w:tc>
          <w:tcPr>
            <w:tcW w:w="1160" w:type="pct"/>
            <w:vAlign w:val="center"/>
          </w:tcPr>
          <w:p w14:paraId="527F5EA9">
            <w:pPr>
              <w:pStyle w:val="12"/>
              <w:jc w:val="left"/>
            </w:pPr>
            <w:r>
              <w:rPr>
                <w:rFonts w:hint="eastAsia"/>
              </w:rPr>
              <w:t>1929年被捕，在南雄城郊就义</w:t>
            </w:r>
          </w:p>
        </w:tc>
      </w:tr>
      <w:tr w14:paraId="138BBA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F3AEDE9">
            <w:pPr>
              <w:pStyle w:val="12"/>
              <w:jc w:val="center"/>
            </w:pPr>
            <w:r>
              <w:rPr>
                <w:rFonts w:hint="eastAsia"/>
              </w:rPr>
              <w:t>张大叫</w:t>
            </w:r>
          </w:p>
        </w:tc>
        <w:tc>
          <w:tcPr>
            <w:tcW w:w="388" w:type="pct"/>
            <w:vAlign w:val="center"/>
          </w:tcPr>
          <w:p w14:paraId="4DE4F0C8">
            <w:pPr>
              <w:pStyle w:val="12"/>
              <w:jc w:val="center"/>
            </w:pPr>
            <w:r>
              <w:rPr>
                <w:rFonts w:hint="eastAsia"/>
              </w:rPr>
              <w:t>男</w:t>
            </w:r>
          </w:p>
        </w:tc>
        <w:tc>
          <w:tcPr>
            <w:tcW w:w="582" w:type="pct"/>
            <w:vAlign w:val="center"/>
          </w:tcPr>
          <w:p w14:paraId="3822E6BB">
            <w:pPr>
              <w:pStyle w:val="12"/>
              <w:jc w:val="center"/>
            </w:pPr>
            <w:r>
              <w:rPr>
                <w:rFonts w:hint="eastAsia"/>
              </w:rPr>
              <w:t>1905年</w:t>
            </w:r>
          </w:p>
        </w:tc>
        <w:tc>
          <w:tcPr>
            <w:tcW w:w="582" w:type="pct"/>
            <w:vAlign w:val="center"/>
          </w:tcPr>
          <w:p w14:paraId="48EE5F43">
            <w:pPr>
              <w:pStyle w:val="12"/>
              <w:jc w:val="center"/>
            </w:pPr>
            <w:r>
              <w:rPr>
                <w:rFonts w:hint="eastAsia"/>
              </w:rPr>
              <w:t>水口镇</w:t>
            </w:r>
          </w:p>
        </w:tc>
        <w:tc>
          <w:tcPr>
            <w:tcW w:w="582" w:type="pct"/>
            <w:vAlign w:val="center"/>
          </w:tcPr>
          <w:p w14:paraId="63AF3CB8">
            <w:pPr>
              <w:pStyle w:val="12"/>
              <w:jc w:val="center"/>
            </w:pPr>
            <w:r>
              <w:rPr>
                <w:rFonts w:hint="eastAsia"/>
              </w:rPr>
              <w:t>1929年3月</w:t>
            </w:r>
          </w:p>
        </w:tc>
        <w:tc>
          <w:tcPr>
            <w:tcW w:w="1066" w:type="pct"/>
            <w:vAlign w:val="center"/>
          </w:tcPr>
          <w:p w14:paraId="35ECEA7B">
            <w:pPr>
              <w:pStyle w:val="12"/>
              <w:jc w:val="left"/>
              <w:rPr>
                <w:rFonts w:ascii="宋体" w:hAnsi="宋体" w:cs="宋体"/>
              </w:rPr>
            </w:pPr>
            <w:r>
              <w:rPr>
                <w:rFonts w:hint="eastAsia"/>
              </w:rPr>
              <w:t>油山游击队</w:t>
            </w:r>
          </w:p>
          <w:p w14:paraId="01805D56">
            <w:pPr>
              <w:pStyle w:val="12"/>
              <w:jc w:val="left"/>
            </w:pPr>
            <w:r>
              <w:rPr>
                <w:rFonts w:hint="eastAsia" w:ascii="宋体" w:hAnsi="宋体" w:cs="宋体"/>
              </w:rPr>
              <w:t>通  讯  员</w:t>
            </w:r>
          </w:p>
        </w:tc>
        <w:tc>
          <w:tcPr>
            <w:tcW w:w="1160" w:type="pct"/>
            <w:vAlign w:val="center"/>
          </w:tcPr>
          <w:p w14:paraId="22E53A25">
            <w:pPr>
              <w:pStyle w:val="12"/>
              <w:jc w:val="left"/>
            </w:pPr>
            <w:r>
              <w:rPr>
                <w:rFonts w:hint="eastAsia"/>
              </w:rPr>
              <w:t>1929年在邓坊战斗牺牲</w:t>
            </w:r>
          </w:p>
        </w:tc>
      </w:tr>
      <w:tr w14:paraId="19F600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018E339">
            <w:pPr>
              <w:pStyle w:val="12"/>
              <w:jc w:val="center"/>
              <w:rPr>
                <w:rFonts w:ascii="宋体" w:hAnsi="宋体" w:cs="宋体"/>
              </w:rPr>
            </w:pPr>
            <w:r>
              <w:rPr>
                <w:rFonts w:hint="eastAsia"/>
              </w:rPr>
              <w:t>欧  阳</w:t>
            </w:r>
          </w:p>
          <w:p w14:paraId="5E70BD08">
            <w:pPr>
              <w:pStyle w:val="12"/>
              <w:jc w:val="center"/>
            </w:pPr>
            <w:r>
              <w:rPr>
                <w:rFonts w:hint="eastAsia" w:ascii="宋体" w:hAnsi="宋体" w:cs="宋体"/>
              </w:rPr>
              <w:t>祖细妹</w:t>
            </w:r>
          </w:p>
        </w:tc>
        <w:tc>
          <w:tcPr>
            <w:tcW w:w="388" w:type="pct"/>
            <w:vAlign w:val="center"/>
          </w:tcPr>
          <w:p w14:paraId="50803B77">
            <w:pPr>
              <w:pStyle w:val="12"/>
              <w:jc w:val="center"/>
            </w:pPr>
            <w:r>
              <w:rPr>
                <w:rFonts w:hint="eastAsia"/>
              </w:rPr>
              <w:t>男</w:t>
            </w:r>
          </w:p>
        </w:tc>
        <w:tc>
          <w:tcPr>
            <w:tcW w:w="582" w:type="pct"/>
            <w:vAlign w:val="center"/>
          </w:tcPr>
          <w:p w14:paraId="00FA93AC">
            <w:pPr>
              <w:pStyle w:val="12"/>
              <w:jc w:val="center"/>
            </w:pPr>
            <w:r>
              <w:rPr>
                <w:rFonts w:hint="eastAsia"/>
              </w:rPr>
              <w:t>1899年</w:t>
            </w:r>
          </w:p>
        </w:tc>
        <w:tc>
          <w:tcPr>
            <w:tcW w:w="582" w:type="pct"/>
            <w:vAlign w:val="center"/>
          </w:tcPr>
          <w:p w14:paraId="464CBBED">
            <w:pPr>
              <w:pStyle w:val="12"/>
              <w:jc w:val="center"/>
            </w:pPr>
            <w:r>
              <w:rPr>
                <w:rFonts w:hint="eastAsia"/>
              </w:rPr>
              <w:t>水口镇</w:t>
            </w:r>
          </w:p>
        </w:tc>
        <w:tc>
          <w:tcPr>
            <w:tcW w:w="582" w:type="pct"/>
            <w:vAlign w:val="center"/>
          </w:tcPr>
          <w:p w14:paraId="745C17F3">
            <w:pPr>
              <w:pStyle w:val="12"/>
              <w:jc w:val="center"/>
            </w:pPr>
            <w:r>
              <w:rPr>
                <w:rFonts w:hint="eastAsia"/>
              </w:rPr>
              <w:t>1928年</w:t>
            </w:r>
          </w:p>
        </w:tc>
        <w:tc>
          <w:tcPr>
            <w:tcW w:w="1066" w:type="pct"/>
            <w:vAlign w:val="center"/>
          </w:tcPr>
          <w:p w14:paraId="0CF917CE">
            <w:pPr>
              <w:pStyle w:val="12"/>
              <w:jc w:val="left"/>
            </w:pPr>
            <w:r>
              <w:rPr>
                <w:rFonts w:hint="eastAsia"/>
              </w:rPr>
              <w:t>油山游击队队员</w:t>
            </w:r>
          </w:p>
        </w:tc>
        <w:tc>
          <w:tcPr>
            <w:tcW w:w="1160" w:type="pct"/>
            <w:vAlign w:val="center"/>
          </w:tcPr>
          <w:p w14:paraId="6F81F6D7">
            <w:pPr>
              <w:pStyle w:val="12"/>
              <w:jc w:val="left"/>
            </w:pPr>
            <w:r>
              <w:rPr>
                <w:rFonts w:hint="eastAsia"/>
              </w:rPr>
              <w:t>1929年在水口圩战斗牺牲</w:t>
            </w:r>
          </w:p>
        </w:tc>
      </w:tr>
      <w:tr w14:paraId="03DB8D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369400E">
            <w:pPr>
              <w:pStyle w:val="12"/>
              <w:jc w:val="center"/>
              <w:rPr>
                <w:rFonts w:ascii="宋体" w:hAnsi="宋体" w:cs="宋体"/>
              </w:rPr>
            </w:pPr>
            <w:r>
              <w:rPr>
                <w:rFonts w:hint="eastAsia"/>
              </w:rPr>
              <w:t>欧  阳</w:t>
            </w:r>
          </w:p>
          <w:p w14:paraId="16B7588E">
            <w:pPr>
              <w:pStyle w:val="12"/>
              <w:jc w:val="center"/>
            </w:pPr>
            <w:r>
              <w:rPr>
                <w:rFonts w:hint="eastAsia" w:ascii="宋体" w:hAnsi="宋体" w:cs="宋体"/>
              </w:rPr>
              <w:t>金桥生</w:t>
            </w:r>
          </w:p>
        </w:tc>
        <w:tc>
          <w:tcPr>
            <w:tcW w:w="388" w:type="pct"/>
            <w:vAlign w:val="center"/>
          </w:tcPr>
          <w:p w14:paraId="75F60814">
            <w:pPr>
              <w:pStyle w:val="12"/>
              <w:jc w:val="center"/>
            </w:pPr>
            <w:r>
              <w:rPr>
                <w:rFonts w:hint="eastAsia"/>
              </w:rPr>
              <w:t>男</w:t>
            </w:r>
          </w:p>
        </w:tc>
        <w:tc>
          <w:tcPr>
            <w:tcW w:w="582" w:type="pct"/>
            <w:vAlign w:val="center"/>
          </w:tcPr>
          <w:p w14:paraId="4269A8AB">
            <w:pPr>
              <w:pStyle w:val="12"/>
              <w:jc w:val="center"/>
            </w:pPr>
            <w:r>
              <w:rPr>
                <w:rFonts w:hint="eastAsia"/>
              </w:rPr>
              <w:t>1907年</w:t>
            </w:r>
          </w:p>
        </w:tc>
        <w:tc>
          <w:tcPr>
            <w:tcW w:w="582" w:type="pct"/>
            <w:vAlign w:val="center"/>
          </w:tcPr>
          <w:p w14:paraId="28C08098">
            <w:pPr>
              <w:pStyle w:val="12"/>
              <w:jc w:val="center"/>
            </w:pPr>
            <w:r>
              <w:rPr>
                <w:rFonts w:hint="eastAsia"/>
              </w:rPr>
              <w:t>水口镇</w:t>
            </w:r>
          </w:p>
        </w:tc>
        <w:tc>
          <w:tcPr>
            <w:tcW w:w="582" w:type="pct"/>
            <w:vAlign w:val="center"/>
          </w:tcPr>
          <w:p w14:paraId="65271D29">
            <w:pPr>
              <w:pStyle w:val="12"/>
              <w:jc w:val="center"/>
            </w:pPr>
            <w:r>
              <w:rPr>
                <w:rFonts w:hint="eastAsia"/>
              </w:rPr>
              <w:t>1928年</w:t>
            </w:r>
          </w:p>
        </w:tc>
        <w:tc>
          <w:tcPr>
            <w:tcW w:w="1066" w:type="pct"/>
            <w:vAlign w:val="center"/>
          </w:tcPr>
          <w:p w14:paraId="5A52140E">
            <w:pPr>
              <w:pStyle w:val="12"/>
              <w:jc w:val="left"/>
            </w:pPr>
            <w:r>
              <w:rPr>
                <w:rFonts w:hint="eastAsia"/>
              </w:rPr>
              <w:t>油山游击队队员</w:t>
            </w:r>
          </w:p>
        </w:tc>
        <w:tc>
          <w:tcPr>
            <w:tcW w:w="1160" w:type="pct"/>
            <w:vAlign w:val="center"/>
          </w:tcPr>
          <w:p w14:paraId="64F9BCA8">
            <w:pPr>
              <w:pStyle w:val="12"/>
              <w:jc w:val="left"/>
            </w:pPr>
            <w:r>
              <w:rPr>
                <w:rFonts w:hint="eastAsia"/>
              </w:rPr>
              <w:t>1929年在黄地被捕，在水口圩就义</w:t>
            </w:r>
          </w:p>
        </w:tc>
      </w:tr>
      <w:tr w14:paraId="30D703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8A63E35">
            <w:pPr>
              <w:pStyle w:val="12"/>
              <w:jc w:val="center"/>
              <w:rPr>
                <w:rFonts w:ascii="宋体" w:hAnsi="宋体" w:cs="宋体"/>
              </w:rPr>
            </w:pPr>
            <w:r>
              <w:rPr>
                <w:rFonts w:hint="eastAsia"/>
              </w:rPr>
              <w:t>欧  阳</w:t>
            </w:r>
          </w:p>
          <w:p w14:paraId="73685F29">
            <w:pPr>
              <w:pStyle w:val="12"/>
              <w:jc w:val="center"/>
            </w:pPr>
            <w:r>
              <w:rPr>
                <w:rFonts w:hint="eastAsia" w:ascii="宋体" w:hAnsi="宋体" w:cs="宋体"/>
              </w:rPr>
              <w:t>牛栏古</w:t>
            </w:r>
          </w:p>
        </w:tc>
        <w:tc>
          <w:tcPr>
            <w:tcW w:w="388" w:type="pct"/>
            <w:vAlign w:val="center"/>
          </w:tcPr>
          <w:p w14:paraId="514A15CD">
            <w:pPr>
              <w:pStyle w:val="12"/>
              <w:jc w:val="center"/>
            </w:pPr>
            <w:r>
              <w:rPr>
                <w:rFonts w:hint="eastAsia"/>
              </w:rPr>
              <w:t>男</w:t>
            </w:r>
          </w:p>
        </w:tc>
        <w:tc>
          <w:tcPr>
            <w:tcW w:w="582" w:type="pct"/>
            <w:vAlign w:val="center"/>
          </w:tcPr>
          <w:p w14:paraId="0E1062BE">
            <w:pPr>
              <w:pStyle w:val="12"/>
              <w:jc w:val="center"/>
            </w:pPr>
            <w:r>
              <w:rPr>
                <w:rFonts w:hint="eastAsia"/>
              </w:rPr>
              <w:t>1904年</w:t>
            </w:r>
          </w:p>
        </w:tc>
        <w:tc>
          <w:tcPr>
            <w:tcW w:w="582" w:type="pct"/>
            <w:vAlign w:val="center"/>
          </w:tcPr>
          <w:p w14:paraId="5FECAC5E">
            <w:pPr>
              <w:pStyle w:val="12"/>
              <w:jc w:val="center"/>
            </w:pPr>
            <w:r>
              <w:rPr>
                <w:rFonts w:hint="eastAsia"/>
              </w:rPr>
              <w:t>水口镇</w:t>
            </w:r>
          </w:p>
        </w:tc>
        <w:tc>
          <w:tcPr>
            <w:tcW w:w="582" w:type="pct"/>
            <w:vAlign w:val="center"/>
          </w:tcPr>
          <w:p w14:paraId="2812D791">
            <w:pPr>
              <w:pStyle w:val="12"/>
              <w:jc w:val="center"/>
            </w:pPr>
            <w:r>
              <w:rPr>
                <w:rFonts w:hint="eastAsia"/>
              </w:rPr>
              <w:t>1928年</w:t>
            </w:r>
          </w:p>
        </w:tc>
        <w:tc>
          <w:tcPr>
            <w:tcW w:w="1066" w:type="pct"/>
            <w:vAlign w:val="center"/>
          </w:tcPr>
          <w:p w14:paraId="2110824D">
            <w:pPr>
              <w:pStyle w:val="12"/>
              <w:jc w:val="left"/>
            </w:pPr>
            <w:r>
              <w:rPr>
                <w:rFonts w:hint="eastAsia"/>
              </w:rPr>
              <w:t>油山游击队队员</w:t>
            </w:r>
          </w:p>
        </w:tc>
        <w:tc>
          <w:tcPr>
            <w:tcW w:w="1160" w:type="pct"/>
            <w:vAlign w:val="center"/>
          </w:tcPr>
          <w:p w14:paraId="1635529D">
            <w:pPr>
              <w:pStyle w:val="12"/>
              <w:jc w:val="left"/>
            </w:pPr>
            <w:r>
              <w:rPr>
                <w:rFonts w:hint="eastAsia"/>
              </w:rPr>
              <w:t>1929年7月被捕，在水口圩就义</w:t>
            </w:r>
          </w:p>
        </w:tc>
      </w:tr>
      <w:tr w14:paraId="07768D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8237C08">
            <w:pPr>
              <w:pStyle w:val="12"/>
              <w:jc w:val="center"/>
              <w:rPr>
                <w:rFonts w:ascii="宋体" w:hAnsi="宋体" w:cs="宋体"/>
              </w:rPr>
            </w:pPr>
            <w:r>
              <w:rPr>
                <w:rFonts w:hint="eastAsia"/>
              </w:rPr>
              <w:t>欧  阳</w:t>
            </w:r>
          </w:p>
          <w:p w14:paraId="37F7791F">
            <w:pPr>
              <w:pStyle w:val="12"/>
              <w:jc w:val="center"/>
            </w:pPr>
            <w:r>
              <w:rPr>
                <w:rFonts w:hint="eastAsia" w:ascii="宋体" w:hAnsi="宋体" w:cs="宋体"/>
              </w:rPr>
              <w:t>双毡古</w:t>
            </w:r>
          </w:p>
        </w:tc>
        <w:tc>
          <w:tcPr>
            <w:tcW w:w="388" w:type="pct"/>
            <w:vAlign w:val="center"/>
          </w:tcPr>
          <w:p w14:paraId="6B14F388">
            <w:pPr>
              <w:pStyle w:val="12"/>
              <w:jc w:val="center"/>
            </w:pPr>
            <w:r>
              <w:rPr>
                <w:rFonts w:hint="eastAsia"/>
              </w:rPr>
              <w:t>男</w:t>
            </w:r>
          </w:p>
        </w:tc>
        <w:tc>
          <w:tcPr>
            <w:tcW w:w="582" w:type="pct"/>
            <w:vAlign w:val="center"/>
          </w:tcPr>
          <w:p w14:paraId="13A497EB">
            <w:pPr>
              <w:pStyle w:val="12"/>
              <w:jc w:val="center"/>
            </w:pPr>
            <w:r>
              <w:rPr>
                <w:rFonts w:hint="eastAsia"/>
              </w:rPr>
              <w:t>1894年</w:t>
            </w:r>
          </w:p>
        </w:tc>
        <w:tc>
          <w:tcPr>
            <w:tcW w:w="582" w:type="pct"/>
            <w:vAlign w:val="center"/>
          </w:tcPr>
          <w:p w14:paraId="49E337F7">
            <w:pPr>
              <w:pStyle w:val="12"/>
              <w:jc w:val="center"/>
            </w:pPr>
            <w:r>
              <w:rPr>
                <w:rFonts w:hint="eastAsia"/>
              </w:rPr>
              <w:t>水口镇</w:t>
            </w:r>
          </w:p>
        </w:tc>
        <w:tc>
          <w:tcPr>
            <w:tcW w:w="582" w:type="pct"/>
            <w:vAlign w:val="center"/>
          </w:tcPr>
          <w:p w14:paraId="72FA86C3">
            <w:pPr>
              <w:pStyle w:val="12"/>
              <w:jc w:val="center"/>
            </w:pPr>
            <w:r>
              <w:rPr>
                <w:rFonts w:hint="eastAsia"/>
              </w:rPr>
              <w:t>1929年</w:t>
            </w:r>
          </w:p>
        </w:tc>
        <w:tc>
          <w:tcPr>
            <w:tcW w:w="1066" w:type="pct"/>
            <w:vAlign w:val="center"/>
          </w:tcPr>
          <w:p w14:paraId="2347217B">
            <w:pPr>
              <w:pStyle w:val="12"/>
              <w:jc w:val="left"/>
            </w:pPr>
            <w:r>
              <w:rPr>
                <w:rFonts w:hint="eastAsia"/>
              </w:rPr>
              <w:t>油山游击队队员</w:t>
            </w:r>
          </w:p>
        </w:tc>
        <w:tc>
          <w:tcPr>
            <w:tcW w:w="1160" w:type="pct"/>
            <w:vAlign w:val="center"/>
          </w:tcPr>
          <w:p w14:paraId="699EB1BE">
            <w:pPr>
              <w:pStyle w:val="12"/>
              <w:jc w:val="left"/>
            </w:pPr>
            <w:r>
              <w:rPr>
                <w:rFonts w:hint="eastAsia"/>
              </w:rPr>
              <w:t>1929年10月在水口圩被捕就义</w:t>
            </w:r>
          </w:p>
        </w:tc>
      </w:tr>
      <w:tr w14:paraId="336737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6879787">
            <w:pPr>
              <w:pStyle w:val="12"/>
              <w:jc w:val="center"/>
            </w:pPr>
            <w:r>
              <w:rPr>
                <w:rFonts w:hint="eastAsia"/>
              </w:rPr>
              <w:t>欧阳井俚</w:t>
            </w:r>
          </w:p>
        </w:tc>
        <w:tc>
          <w:tcPr>
            <w:tcW w:w="388" w:type="pct"/>
            <w:vAlign w:val="center"/>
          </w:tcPr>
          <w:p w14:paraId="1ED721BB">
            <w:pPr>
              <w:pStyle w:val="12"/>
              <w:jc w:val="center"/>
            </w:pPr>
            <w:r>
              <w:rPr>
                <w:rFonts w:hint="eastAsia"/>
              </w:rPr>
              <w:t>男</w:t>
            </w:r>
          </w:p>
        </w:tc>
        <w:tc>
          <w:tcPr>
            <w:tcW w:w="582" w:type="pct"/>
            <w:vAlign w:val="center"/>
          </w:tcPr>
          <w:p w14:paraId="7846769F">
            <w:pPr>
              <w:pStyle w:val="12"/>
              <w:jc w:val="center"/>
            </w:pPr>
            <w:r>
              <w:rPr>
                <w:rFonts w:hint="eastAsia"/>
              </w:rPr>
              <w:t>1908年</w:t>
            </w:r>
          </w:p>
        </w:tc>
        <w:tc>
          <w:tcPr>
            <w:tcW w:w="582" w:type="pct"/>
            <w:vAlign w:val="center"/>
          </w:tcPr>
          <w:p w14:paraId="518E17D8">
            <w:pPr>
              <w:pStyle w:val="12"/>
              <w:jc w:val="center"/>
            </w:pPr>
            <w:r>
              <w:rPr>
                <w:rFonts w:hint="eastAsia"/>
              </w:rPr>
              <w:t>水口镇</w:t>
            </w:r>
          </w:p>
        </w:tc>
        <w:tc>
          <w:tcPr>
            <w:tcW w:w="582" w:type="pct"/>
            <w:vAlign w:val="center"/>
          </w:tcPr>
          <w:p w14:paraId="75D81A73">
            <w:pPr>
              <w:pStyle w:val="12"/>
              <w:jc w:val="center"/>
            </w:pPr>
            <w:r>
              <w:rPr>
                <w:rFonts w:hint="eastAsia"/>
              </w:rPr>
              <w:t>1929年4月</w:t>
            </w:r>
          </w:p>
        </w:tc>
        <w:tc>
          <w:tcPr>
            <w:tcW w:w="1066" w:type="pct"/>
            <w:vAlign w:val="center"/>
          </w:tcPr>
          <w:p w14:paraId="7A1EAE77">
            <w:pPr>
              <w:pStyle w:val="12"/>
              <w:jc w:val="left"/>
            </w:pPr>
            <w:r>
              <w:rPr>
                <w:rFonts w:hint="eastAsia"/>
              </w:rPr>
              <w:t>工农红军战士</w:t>
            </w:r>
          </w:p>
        </w:tc>
        <w:tc>
          <w:tcPr>
            <w:tcW w:w="1160" w:type="pct"/>
            <w:vAlign w:val="center"/>
          </w:tcPr>
          <w:p w14:paraId="5AEC6F1B">
            <w:pPr>
              <w:pStyle w:val="12"/>
              <w:jc w:val="left"/>
            </w:pPr>
            <w:r>
              <w:rPr>
                <w:rFonts w:hint="eastAsia"/>
              </w:rPr>
              <w:t>1929年10月在江西战斗牺牲</w:t>
            </w:r>
          </w:p>
        </w:tc>
      </w:tr>
      <w:tr w14:paraId="6E00C0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4AE7E30">
            <w:pPr>
              <w:pStyle w:val="12"/>
              <w:jc w:val="center"/>
              <w:rPr>
                <w:rFonts w:ascii="宋体" w:hAnsi="宋体" w:cs="宋体"/>
              </w:rPr>
            </w:pPr>
            <w:r>
              <w:rPr>
                <w:rFonts w:hint="eastAsia"/>
              </w:rPr>
              <w:t>欧  阳</w:t>
            </w:r>
          </w:p>
          <w:p w14:paraId="70FB021B">
            <w:pPr>
              <w:pStyle w:val="12"/>
              <w:jc w:val="center"/>
            </w:pPr>
            <w:r>
              <w:rPr>
                <w:rFonts w:hint="eastAsia" w:ascii="宋体" w:hAnsi="宋体" w:cs="宋体"/>
              </w:rPr>
              <w:t>五石八</w:t>
            </w:r>
          </w:p>
        </w:tc>
        <w:tc>
          <w:tcPr>
            <w:tcW w:w="388" w:type="pct"/>
            <w:vAlign w:val="center"/>
          </w:tcPr>
          <w:p w14:paraId="6E26ACC9">
            <w:pPr>
              <w:pStyle w:val="12"/>
              <w:jc w:val="center"/>
            </w:pPr>
            <w:r>
              <w:rPr>
                <w:rFonts w:hint="eastAsia"/>
              </w:rPr>
              <w:t>男</w:t>
            </w:r>
          </w:p>
        </w:tc>
        <w:tc>
          <w:tcPr>
            <w:tcW w:w="582" w:type="pct"/>
            <w:vAlign w:val="center"/>
          </w:tcPr>
          <w:p w14:paraId="3D5E7D44">
            <w:pPr>
              <w:pStyle w:val="12"/>
              <w:jc w:val="center"/>
            </w:pPr>
            <w:r>
              <w:rPr>
                <w:rFonts w:hint="eastAsia"/>
              </w:rPr>
              <w:t>1905年</w:t>
            </w:r>
          </w:p>
        </w:tc>
        <w:tc>
          <w:tcPr>
            <w:tcW w:w="582" w:type="pct"/>
            <w:vAlign w:val="center"/>
          </w:tcPr>
          <w:p w14:paraId="51DD02F9">
            <w:pPr>
              <w:pStyle w:val="12"/>
              <w:jc w:val="center"/>
            </w:pPr>
            <w:r>
              <w:rPr>
                <w:rFonts w:hint="eastAsia"/>
              </w:rPr>
              <w:t>水口镇</w:t>
            </w:r>
          </w:p>
        </w:tc>
        <w:tc>
          <w:tcPr>
            <w:tcW w:w="582" w:type="pct"/>
            <w:vAlign w:val="center"/>
          </w:tcPr>
          <w:p w14:paraId="269FD402">
            <w:pPr>
              <w:pStyle w:val="12"/>
              <w:jc w:val="center"/>
            </w:pPr>
            <w:r>
              <w:rPr>
                <w:rFonts w:hint="eastAsia"/>
              </w:rPr>
              <w:t>1928年</w:t>
            </w:r>
          </w:p>
        </w:tc>
        <w:tc>
          <w:tcPr>
            <w:tcW w:w="1066" w:type="pct"/>
            <w:vAlign w:val="center"/>
          </w:tcPr>
          <w:p w14:paraId="6D00051C">
            <w:pPr>
              <w:pStyle w:val="12"/>
              <w:jc w:val="left"/>
              <w:rPr>
                <w:rFonts w:ascii="宋体" w:hAnsi="宋体" w:cs="宋体"/>
              </w:rPr>
            </w:pPr>
            <w:r>
              <w:rPr>
                <w:rFonts w:hint="eastAsia"/>
              </w:rPr>
              <w:t>油山游击队</w:t>
            </w:r>
          </w:p>
          <w:p w14:paraId="5392CDD4">
            <w:pPr>
              <w:pStyle w:val="12"/>
              <w:jc w:val="left"/>
            </w:pPr>
            <w:r>
              <w:rPr>
                <w:rFonts w:hint="eastAsia" w:ascii="宋体" w:hAnsi="宋体" w:cs="宋体"/>
              </w:rPr>
              <w:t>司  务  长</w:t>
            </w:r>
          </w:p>
        </w:tc>
        <w:tc>
          <w:tcPr>
            <w:tcW w:w="1160" w:type="pct"/>
            <w:vAlign w:val="center"/>
          </w:tcPr>
          <w:p w14:paraId="76496822">
            <w:pPr>
              <w:pStyle w:val="12"/>
              <w:jc w:val="left"/>
            </w:pPr>
            <w:r>
              <w:rPr>
                <w:rFonts w:hint="eastAsia"/>
              </w:rPr>
              <w:t>1929年在黄地战斗牺牲</w:t>
            </w:r>
          </w:p>
        </w:tc>
      </w:tr>
      <w:tr w14:paraId="3500A6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1FA89AA">
            <w:pPr>
              <w:pStyle w:val="12"/>
              <w:jc w:val="center"/>
            </w:pPr>
            <w:r>
              <w:rPr>
                <w:rFonts w:hint="eastAsia"/>
              </w:rPr>
              <w:t>欧阳丙生</w:t>
            </w:r>
          </w:p>
        </w:tc>
        <w:tc>
          <w:tcPr>
            <w:tcW w:w="388" w:type="pct"/>
            <w:vAlign w:val="center"/>
          </w:tcPr>
          <w:p w14:paraId="441CE9ED">
            <w:pPr>
              <w:pStyle w:val="12"/>
              <w:jc w:val="center"/>
            </w:pPr>
            <w:r>
              <w:rPr>
                <w:rFonts w:hint="eastAsia"/>
              </w:rPr>
              <w:t>男</w:t>
            </w:r>
          </w:p>
        </w:tc>
        <w:tc>
          <w:tcPr>
            <w:tcW w:w="582" w:type="pct"/>
            <w:vAlign w:val="center"/>
          </w:tcPr>
          <w:p w14:paraId="05D1FCA2">
            <w:pPr>
              <w:pStyle w:val="12"/>
              <w:jc w:val="center"/>
            </w:pPr>
            <w:r>
              <w:rPr>
                <w:rFonts w:hint="eastAsia"/>
              </w:rPr>
              <w:t>1907年</w:t>
            </w:r>
          </w:p>
        </w:tc>
        <w:tc>
          <w:tcPr>
            <w:tcW w:w="582" w:type="pct"/>
            <w:vAlign w:val="center"/>
          </w:tcPr>
          <w:p w14:paraId="2AB9CAF3">
            <w:pPr>
              <w:pStyle w:val="12"/>
              <w:jc w:val="center"/>
            </w:pPr>
            <w:r>
              <w:rPr>
                <w:rFonts w:hint="eastAsia"/>
              </w:rPr>
              <w:t>水口镇</w:t>
            </w:r>
          </w:p>
        </w:tc>
        <w:tc>
          <w:tcPr>
            <w:tcW w:w="582" w:type="pct"/>
            <w:vAlign w:val="center"/>
          </w:tcPr>
          <w:p w14:paraId="1E9FB3CC">
            <w:pPr>
              <w:pStyle w:val="12"/>
              <w:jc w:val="center"/>
            </w:pPr>
            <w:r>
              <w:rPr>
                <w:rFonts w:hint="eastAsia"/>
              </w:rPr>
              <w:t>1927年</w:t>
            </w:r>
          </w:p>
        </w:tc>
        <w:tc>
          <w:tcPr>
            <w:tcW w:w="1066" w:type="pct"/>
            <w:vAlign w:val="center"/>
          </w:tcPr>
          <w:p w14:paraId="19C57D65">
            <w:pPr>
              <w:pStyle w:val="12"/>
              <w:jc w:val="left"/>
            </w:pPr>
            <w:r>
              <w:rPr>
                <w:rFonts w:hint="eastAsia"/>
              </w:rPr>
              <w:t>油山游击队队员</w:t>
            </w:r>
          </w:p>
        </w:tc>
        <w:tc>
          <w:tcPr>
            <w:tcW w:w="1160" w:type="pct"/>
            <w:vAlign w:val="center"/>
          </w:tcPr>
          <w:p w14:paraId="1294502D">
            <w:pPr>
              <w:pStyle w:val="12"/>
              <w:jc w:val="left"/>
            </w:pPr>
            <w:r>
              <w:rPr>
                <w:rFonts w:hint="eastAsia"/>
              </w:rPr>
              <w:t>1929年在水口战斗牺牲</w:t>
            </w:r>
          </w:p>
        </w:tc>
      </w:tr>
      <w:tr w14:paraId="205DB9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EBA406E">
            <w:pPr>
              <w:pStyle w:val="12"/>
              <w:jc w:val="center"/>
              <w:rPr>
                <w:rFonts w:ascii="宋体" w:hAnsi="宋体" w:cs="宋体"/>
              </w:rPr>
            </w:pPr>
            <w:r>
              <w:rPr>
                <w:rFonts w:hint="eastAsia"/>
              </w:rPr>
              <w:t>欧  阳</w:t>
            </w:r>
          </w:p>
          <w:p w14:paraId="1C80BD37">
            <w:pPr>
              <w:pStyle w:val="12"/>
              <w:jc w:val="center"/>
            </w:pPr>
            <w:r>
              <w:rPr>
                <w:rFonts w:hint="eastAsia" w:ascii="宋体" w:hAnsi="宋体" w:cs="宋体"/>
              </w:rPr>
              <w:t>带生养</w:t>
            </w:r>
          </w:p>
        </w:tc>
        <w:tc>
          <w:tcPr>
            <w:tcW w:w="388" w:type="pct"/>
            <w:vAlign w:val="center"/>
          </w:tcPr>
          <w:p w14:paraId="100B6BB5">
            <w:pPr>
              <w:pStyle w:val="12"/>
              <w:jc w:val="center"/>
            </w:pPr>
            <w:r>
              <w:rPr>
                <w:rFonts w:hint="eastAsia"/>
              </w:rPr>
              <w:t>男</w:t>
            </w:r>
          </w:p>
        </w:tc>
        <w:tc>
          <w:tcPr>
            <w:tcW w:w="582" w:type="pct"/>
            <w:vAlign w:val="center"/>
          </w:tcPr>
          <w:p w14:paraId="4EA29196">
            <w:pPr>
              <w:pStyle w:val="12"/>
              <w:jc w:val="center"/>
            </w:pPr>
            <w:r>
              <w:rPr>
                <w:rFonts w:hint="eastAsia"/>
              </w:rPr>
              <w:t>1911年</w:t>
            </w:r>
          </w:p>
        </w:tc>
        <w:tc>
          <w:tcPr>
            <w:tcW w:w="582" w:type="pct"/>
            <w:vAlign w:val="center"/>
          </w:tcPr>
          <w:p w14:paraId="1F6CE16B">
            <w:pPr>
              <w:pStyle w:val="12"/>
              <w:jc w:val="center"/>
            </w:pPr>
            <w:r>
              <w:rPr>
                <w:rFonts w:hint="eastAsia"/>
              </w:rPr>
              <w:t>水口镇</w:t>
            </w:r>
          </w:p>
        </w:tc>
        <w:tc>
          <w:tcPr>
            <w:tcW w:w="582" w:type="pct"/>
            <w:vAlign w:val="center"/>
          </w:tcPr>
          <w:p w14:paraId="286B9C43">
            <w:pPr>
              <w:pStyle w:val="12"/>
              <w:jc w:val="center"/>
            </w:pPr>
            <w:r>
              <w:rPr>
                <w:rFonts w:hint="eastAsia"/>
              </w:rPr>
              <w:t>1928年</w:t>
            </w:r>
          </w:p>
        </w:tc>
        <w:tc>
          <w:tcPr>
            <w:tcW w:w="1066" w:type="pct"/>
            <w:vAlign w:val="center"/>
          </w:tcPr>
          <w:p w14:paraId="0E9D9062">
            <w:pPr>
              <w:pStyle w:val="12"/>
              <w:jc w:val="left"/>
            </w:pPr>
            <w:r>
              <w:rPr>
                <w:rFonts w:hint="eastAsia"/>
              </w:rPr>
              <w:t>油山游击队队员</w:t>
            </w:r>
          </w:p>
        </w:tc>
        <w:tc>
          <w:tcPr>
            <w:tcW w:w="1160" w:type="pct"/>
            <w:vAlign w:val="center"/>
          </w:tcPr>
          <w:p w14:paraId="6F444E3B">
            <w:pPr>
              <w:pStyle w:val="12"/>
              <w:jc w:val="left"/>
            </w:pPr>
            <w:r>
              <w:rPr>
                <w:rFonts w:hint="eastAsia"/>
              </w:rPr>
              <w:t>1929年在水口战斗牺牲</w:t>
            </w:r>
          </w:p>
        </w:tc>
      </w:tr>
      <w:tr w14:paraId="4E4B30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2D5B21C">
            <w:pPr>
              <w:pStyle w:val="12"/>
              <w:jc w:val="center"/>
            </w:pPr>
            <w:r>
              <w:rPr>
                <w:rFonts w:hint="eastAsia"/>
              </w:rPr>
              <w:t>欧阳兰桂</w:t>
            </w:r>
          </w:p>
        </w:tc>
        <w:tc>
          <w:tcPr>
            <w:tcW w:w="388" w:type="pct"/>
            <w:vAlign w:val="center"/>
          </w:tcPr>
          <w:p w14:paraId="1F8D550B">
            <w:pPr>
              <w:pStyle w:val="12"/>
              <w:jc w:val="center"/>
            </w:pPr>
            <w:r>
              <w:rPr>
                <w:rFonts w:hint="eastAsia"/>
              </w:rPr>
              <w:t>男</w:t>
            </w:r>
          </w:p>
        </w:tc>
        <w:tc>
          <w:tcPr>
            <w:tcW w:w="582" w:type="pct"/>
            <w:vAlign w:val="center"/>
          </w:tcPr>
          <w:p w14:paraId="14806B36">
            <w:pPr>
              <w:pStyle w:val="12"/>
              <w:jc w:val="center"/>
            </w:pPr>
            <w:r>
              <w:rPr>
                <w:rFonts w:hint="eastAsia"/>
              </w:rPr>
              <w:t>1903年</w:t>
            </w:r>
          </w:p>
        </w:tc>
        <w:tc>
          <w:tcPr>
            <w:tcW w:w="582" w:type="pct"/>
            <w:vAlign w:val="center"/>
          </w:tcPr>
          <w:p w14:paraId="143E650F">
            <w:pPr>
              <w:pStyle w:val="12"/>
              <w:jc w:val="center"/>
            </w:pPr>
            <w:r>
              <w:rPr>
                <w:rFonts w:hint="eastAsia"/>
              </w:rPr>
              <w:t>水口镇</w:t>
            </w:r>
          </w:p>
        </w:tc>
        <w:tc>
          <w:tcPr>
            <w:tcW w:w="582" w:type="pct"/>
            <w:vAlign w:val="center"/>
          </w:tcPr>
          <w:p w14:paraId="219CD52F">
            <w:pPr>
              <w:pStyle w:val="12"/>
              <w:jc w:val="center"/>
            </w:pPr>
            <w:r>
              <w:rPr>
                <w:rFonts w:hint="eastAsia"/>
              </w:rPr>
              <w:t>1926年</w:t>
            </w:r>
          </w:p>
        </w:tc>
        <w:tc>
          <w:tcPr>
            <w:tcW w:w="1066" w:type="pct"/>
            <w:vAlign w:val="center"/>
          </w:tcPr>
          <w:p w14:paraId="7BFBBC13">
            <w:pPr>
              <w:pStyle w:val="12"/>
              <w:jc w:val="left"/>
            </w:pPr>
            <w:r>
              <w:rPr>
                <w:rFonts w:hint="eastAsia"/>
              </w:rPr>
              <w:t>油山游击队队员</w:t>
            </w:r>
          </w:p>
        </w:tc>
        <w:tc>
          <w:tcPr>
            <w:tcW w:w="1160" w:type="pct"/>
            <w:vAlign w:val="center"/>
          </w:tcPr>
          <w:p w14:paraId="7698E8AD">
            <w:pPr>
              <w:pStyle w:val="12"/>
              <w:jc w:val="left"/>
            </w:pPr>
            <w:r>
              <w:rPr>
                <w:rFonts w:hint="eastAsia"/>
              </w:rPr>
              <w:t>1929年在油山战斗牺牲</w:t>
            </w:r>
          </w:p>
        </w:tc>
      </w:tr>
      <w:tr w14:paraId="09C6AF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04C4440">
            <w:pPr>
              <w:pStyle w:val="12"/>
              <w:jc w:val="center"/>
              <w:rPr>
                <w:rFonts w:ascii="宋体" w:hAnsi="宋体" w:cs="宋体"/>
              </w:rPr>
            </w:pPr>
            <w:r>
              <w:rPr>
                <w:rFonts w:hint="eastAsia"/>
              </w:rPr>
              <w:t>欧  阳</w:t>
            </w:r>
          </w:p>
          <w:p w14:paraId="51E5A5C7">
            <w:pPr>
              <w:pStyle w:val="12"/>
              <w:jc w:val="center"/>
            </w:pPr>
            <w:r>
              <w:rPr>
                <w:rFonts w:hint="eastAsia" w:ascii="宋体" w:hAnsi="宋体" w:cs="宋体"/>
              </w:rPr>
              <w:t>地状秋</w:t>
            </w:r>
          </w:p>
        </w:tc>
        <w:tc>
          <w:tcPr>
            <w:tcW w:w="388" w:type="pct"/>
            <w:vAlign w:val="center"/>
          </w:tcPr>
          <w:p w14:paraId="2AD2B62B">
            <w:pPr>
              <w:pStyle w:val="12"/>
              <w:jc w:val="center"/>
            </w:pPr>
            <w:r>
              <w:rPr>
                <w:rFonts w:hint="eastAsia"/>
              </w:rPr>
              <w:t>男</w:t>
            </w:r>
          </w:p>
        </w:tc>
        <w:tc>
          <w:tcPr>
            <w:tcW w:w="582" w:type="pct"/>
            <w:vAlign w:val="center"/>
          </w:tcPr>
          <w:p w14:paraId="296269A8">
            <w:pPr>
              <w:pStyle w:val="12"/>
              <w:jc w:val="center"/>
            </w:pPr>
            <w:r>
              <w:rPr>
                <w:rFonts w:hint="eastAsia"/>
              </w:rPr>
              <w:t>1904年</w:t>
            </w:r>
          </w:p>
        </w:tc>
        <w:tc>
          <w:tcPr>
            <w:tcW w:w="582" w:type="pct"/>
            <w:vAlign w:val="center"/>
          </w:tcPr>
          <w:p w14:paraId="27DCA1A5">
            <w:pPr>
              <w:pStyle w:val="12"/>
              <w:jc w:val="center"/>
            </w:pPr>
            <w:r>
              <w:rPr>
                <w:rFonts w:hint="eastAsia"/>
              </w:rPr>
              <w:t>水口镇</w:t>
            </w:r>
          </w:p>
        </w:tc>
        <w:tc>
          <w:tcPr>
            <w:tcW w:w="582" w:type="pct"/>
            <w:vAlign w:val="center"/>
          </w:tcPr>
          <w:p w14:paraId="4A6FF4B6">
            <w:pPr>
              <w:pStyle w:val="12"/>
              <w:jc w:val="center"/>
            </w:pPr>
            <w:r>
              <w:rPr>
                <w:rFonts w:hint="eastAsia"/>
              </w:rPr>
              <w:t>1928年</w:t>
            </w:r>
          </w:p>
        </w:tc>
        <w:tc>
          <w:tcPr>
            <w:tcW w:w="1066" w:type="pct"/>
            <w:vAlign w:val="center"/>
          </w:tcPr>
          <w:p w14:paraId="0EF4A7B7">
            <w:pPr>
              <w:pStyle w:val="12"/>
              <w:jc w:val="left"/>
            </w:pPr>
            <w:r>
              <w:rPr>
                <w:rFonts w:hint="eastAsia"/>
              </w:rPr>
              <w:t>油山游击队班长</w:t>
            </w:r>
          </w:p>
        </w:tc>
        <w:tc>
          <w:tcPr>
            <w:tcW w:w="1160" w:type="pct"/>
            <w:vAlign w:val="center"/>
          </w:tcPr>
          <w:p w14:paraId="78BC776A">
            <w:pPr>
              <w:pStyle w:val="12"/>
              <w:jc w:val="left"/>
            </w:pPr>
            <w:r>
              <w:rPr>
                <w:rFonts w:hint="eastAsia"/>
              </w:rPr>
              <w:t>1929年4月在南亩战斗牺牲</w:t>
            </w:r>
          </w:p>
        </w:tc>
      </w:tr>
      <w:tr w14:paraId="6E9E68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F50D07E">
            <w:pPr>
              <w:pStyle w:val="12"/>
              <w:jc w:val="center"/>
            </w:pPr>
            <w:r>
              <w:rPr>
                <w:rFonts w:hint="eastAsia"/>
              </w:rPr>
              <w:t>邓懒古</w:t>
            </w:r>
          </w:p>
        </w:tc>
        <w:tc>
          <w:tcPr>
            <w:tcW w:w="388" w:type="pct"/>
            <w:vAlign w:val="center"/>
          </w:tcPr>
          <w:p w14:paraId="28E3641C">
            <w:pPr>
              <w:pStyle w:val="12"/>
              <w:jc w:val="center"/>
            </w:pPr>
            <w:r>
              <w:rPr>
                <w:rFonts w:hint="eastAsia"/>
              </w:rPr>
              <w:t>男</w:t>
            </w:r>
          </w:p>
        </w:tc>
        <w:tc>
          <w:tcPr>
            <w:tcW w:w="582" w:type="pct"/>
            <w:vAlign w:val="center"/>
          </w:tcPr>
          <w:p w14:paraId="39DFC56A">
            <w:pPr>
              <w:pStyle w:val="12"/>
              <w:jc w:val="center"/>
            </w:pPr>
            <w:r>
              <w:rPr>
                <w:rFonts w:hint="eastAsia"/>
              </w:rPr>
              <w:t>1904年</w:t>
            </w:r>
          </w:p>
        </w:tc>
        <w:tc>
          <w:tcPr>
            <w:tcW w:w="582" w:type="pct"/>
            <w:vAlign w:val="center"/>
          </w:tcPr>
          <w:p w14:paraId="727385E0">
            <w:pPr>
              <w:pStyle w:val="12"/>
              <w:jc w:val="center"/>
            </w:pPr>
            <w:r>
              <w:rPr>
                <w:rFonts w:hint="eastAsia"/>
              </w:rPr>
              <w:t>水口镇</w:t>
            </w:r>
          </w:p>
        </w:tc>
        <w:tc>
          <w:tcPr>
            <w:tcW w:w="582" w:type="pct"/>
            <w:vAlign w:val="center"/>
          </w:tcPr>
          <w:p w14:paraId="7E8D4A7C">
            <w:pPr>
              <w:pStyle w:val="12"/>
              <w:jc w:val="center"/>
            </w:pPr>
            <w:r>
              <w:rPr>
                <w:rFonts w:hint="eastAsia"/>
              </w:rPr>
              <w:t>1928年</w:t>
            </w:r>
          </w:p>
        </w:tc>
        <w:tc>
          <w:tcPr>
            <w:tcW w:w="1066" w:type="pct"/>
            <w:vAlign w:val="center"/>
          </w:tcPr>
          <w:p w14:paraId="64611E68">
            <w:pPr>
              <w:pStyle w:val="12"/>
              <w:jc w:val="left"/>
            </w:pPr>
            <w:r>
              <w:rPr>
                <w:rFonts w:hint="eastAsia"/>
              </w:rPr>
              <w:t>油山游击队队员</w:t>
            </w:r>
          </w:p>
        </w:tc>
        <w:tc>
          <w:tcPr>
            <w:tcW w:w="1160" w:type="pct"/>
            <w:vAlign w:val="center"/>
          </w:tcPr>
          <w:p w14:paraId="7B7A6F4D">
            <w:pPr>
              <w:pStyle w:val="12"/>
              <w:jc w:val="left"/>
            </w:pPr>
            <w:r>
              <w:rPr>
                <w:rFonts w:hint="eastAsia"/>
              </w:rPr>
              <w:t>1929年在龙口被捕，在南雄城郊就义</w:t>
            </w:r>
          </w:p>
        </w:tc>
      </w:tr>
      <w:tr w14:paraId="0B6409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81DAFE7">
            <w:pPr>
              <w:pStyle w:val="12"/>
              <w:jc w:val="center"/>
            </w:pPr>
            <w:r>
              <w:rPr>
                <w:rFonts w:hint="eastAsia"/>
              </w:rPr>
              <w:t>沈世恩</w:t>
            </w:r>
          </w:p>
        </w:tc>
        <w:tc>
          <w:tcPr>
            <w:tcW w:w="388" w:type="pct"/>
            <w:vAlign w:val="center"/>
          </w:tcPr>
          <w:p w14:paraId="096239B5">
            <w:pPr>
              <w:pStyle w:val="12"/>
              <w:jc w:val="center"/>
            </w:pPr>
            <w:r>
              <w:rPr>
                <w:rFonts w:hint="eastAsia"/>
              </w:rPr>
              <w:t>男</w:t>
            </w:r>
          </w:p>
        </w:tc>
        <w:tc>
          <w:tcPr>
            <w:tcW w:w="582" w:type="pct"/>
            <w:vAlign w:val="center"/>
          </w:tcPr>
          <w:p w14:paraId="6077F1E3">
            <w:pPr>
              <w:pStyle w:val="12"/>
              <w:jc w:val="center"/>
            </w:pPr>
            <w:r>
              <w:rPr>
                <w:rFonts w:hint="eastAsia"/>
              </w:rPr>
              <w:t>1900年</w:t>
            </w:r>
          </w:p>
        </w:tc>
        <w:tc>
          <w:tcPr>
            <w:tcW w:w="582" w:type="pct"/>
            <w:vAlign w:val="center"/>
          </w:tcPr>
          <w:p w14:paraId="3B3B5CD4">
            <w:pPr>
              <w:pStyle w:val="12"/>
              <w:jc w:val="center"/>
            </w:pPr>
            <w:r>
              <w:rPr>
                <w:rFonts w:hint="eastAsia"/>
              </w:rPr>
              <w:t>黄坑镇</w:t>
            </w:r>
          </w:p>
        </w:tc>
        <w:tc>
          <w:tcPr>
            <w:tcW w:w="582" w:type="pct"/>
            <w:vAlign w:val="center"/>
          </w:tcPr>
          <w:p w14:paraId="0EA525C9">
            <w:pPr>
              <w:pStyle w:val="12"/>
              <w:jc w:val="center"/>
            </w:pPr>
            <w:r>
              <w:rPr>
                <w:rFonts w:hint="eastAsia"/>
              </w:rPr>
              <w:t>1927年</w:t>
            </w:r>
          </w:p>
        </w:tc>
        <w:tc>
          <w:tcPr>
            <w:tcW w:w="1066" w:type="pct"/>
            <w:vAlign w:val="center"/>
          </w:tcPr>
          <w:p w14:paraId="78275387">
            <w:pPr>
              <w:pStyle w:val="12"/>
              <w:jc w:val="left"/>
            </w:pPr>
            <w:r>
              <w:rPr>
                <w:rFonts w:hint="eastAsia"/>
              </w:rPr>
              <w:t>油山游击队队员</w:t>
            </w:r>
          </w:p>
        </w:tc>
        <w:tc>
          <w:tcPr>
            <w:tcW w:w="1160" w:type="pct"/>
            <w:vAlign w:val="center"/>
          </w:tcPr>
          <w:p w14:paraId="70710CAA">
            <w:pPr>
              <w:pStyle w:val="12"/>
              <w:jc w:val="left"/>
            </w:pPr>
            <w:r>
              <w:rPr>
                <w:rFonts w:hint="eastAsia"/>
              </w:rPr>
              <w:t>1929年7月在黄坑下槎村被捕就义</w:t>
            </w:r>
          </w:p>
        </w:tc>
      </w:tr>
      <w:tr w14:paraId="5BF5EE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606FFC7">
            <w:pPr>
              <w:pStyle w:val="12"/>
              <w:jc w:val="center"/>
            </w:pPr>
            <w:r>
              <w:rPr>
                <w:rFonts w:hint="eastAsia"/>
              </w:rPr>
              <w:t>周群纲</w:t>
            </w:r>
          </w:p>
        </w:tc>
        <w:tc>
          <w:tcPr>
            <w:tcW w:w="388" w:type="pct"/>
            <w:vAlign w:val="center"/>
          </w:tcPr>
          <w:p w14:paraId="5AD7EF02">
            <w:pPr>
              <w:pStyle w:val="12"/>
              <w:jc w:val="center"/>
            </w:pPr>
            <w:r>
              <w:rPr>
                <w:rFonts w:hint="eastAsia"/>
              </w:rPr>
              <w:t>男</w:t>
            </w:r>
          </w:p>
        </w:tc>
        <w:tc>
          <w:tcPr>
            <w:tcW w:w="582" w:type="pct"/>
            <w:vAlign w:val="center"/>
          </w:tcPr>
          <w:p w14:paraId="01C31DAE">
            <w:pPr>
              <w:pStyle w:val="12"/>
              <w:jc w:val="center"/>
            </w:pPr>
            <w:r>
              <w:rPr>
                <w:rFonts w:hint="eastAsia"/>
              </w:rPr>
              <w:t>1901年</w:t>
            </w:r>
          </w:p>
        </w:tc>
        <w:tc>
          <w:tcPr>
            <w:tcW w:w="582" w:type="pct"/>
            <w:vAlign w:val="center"/>
          </w:tcPr>
          <w:p w14:paraId="0FA52F63">
            <w:pPr>
              <w:pStyle w:val="12"/>
              <w:jc w:val="center"/>
            </w:pPr>
            <w:r>
              <w:rPr>
                <w:rFonts w:hint="eastAsia"/>
              </w:rPr>
              <w:t>黄坑镇</w:t>
            </w:r>
          </w:p>
        </w:tc>
        <w:tc>
          <w:tcPr>
            <w:tcW w:w="582" w:type="pct"/>
            <w:vAlign w:val="center"/>
          </w:tcPr>
          <w:p w14:paraId="1F13CD4E">
            <w:pPr>
              <w:pStyle w:val="12"/>
              <w:jc w:val="center"/>
            </w:pPr>
            <w:r>
              <w:rPr>
                <w:rFonts w:hint="eastAsia"/>
              </w:rPr>
              <w:t>1928年</w:t>
            </w:r>
          </w:p>
        </w:tc>
        <w:tc>
          <w:tcPr>
            <w:tcW w:w="1066" w:type="pct"/>
            <w:vAlign w:val="center"/>
          </w:tcPr>
          <w:p w14:paraId="733CCAC6">
            <w:pPr>
              <w:pStyle w:val="12"/>
              <w:jc w:val="left"/>
            </w:pPr>
            <w:r>
              <w:rPr>
                <w:rFonts w:hint="eastAsia"/>
              </w:rPr>
              <w:t>红四军连长</w:t>
            </w:r>
          </w:p>
        </w:tc>
        <w:tc>
          <w:tcPr>
            <w:tcW w:w="1160" w:type="pct"/>
            <w:vAlign w:val="center"/>
          </w:tcPr>
          <w:p w14:paraId="1AEED957">
            <w:pPr>
              <w:pStyle w:val="12"/>
              <w:jc w:val="left"/>
            </w:pPr>
            <w:r>
              <w:rPr>
                <w:rFonts w:hint="eastAsia"/>
              </w:rPr>
              <w:t>1929年在江西信丰县大小阿战斗中牺牲</w:t>
            </w:r>
          </w:p>
        </w:tc>
      </w:tr>
      <w:tr w14:paraId="0E6F25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313CBDB">
            <w:pPr>
              <w:pStyle w:val="12"/>
              <w:jc w:val="center"/>
            </w:pPr>
            <w:r>
              <w:rPr>
                <w:rFonts w:hint="eastAsia"/>
              </w:rPr>
              <w:t>何赖条</w:t>
            </w:r>
          </w:p>
        </w:tc>
        <w:tc>
          <w:tcPr>
            <w:tcW w:w="388" w:type="pct"/>
            <w:vAlign w:val="center"/>
          </w:tcPr>
          <w:p w14:paraId="16DC565B">
            <w:pPr>
              <w:pStyle w:val="12"/>
              <w:jc w:val="center"/>
            </w:pPr>
            <w:r>
              <w:rPr>
                <w:rFonts w:hint="eastAsia"/>
              </w:rPr>
              <w:t>男</w:t>
            </w:r>
          </w:p>
        </w:tc>
        <w:tc>
          <w:tcPr>
            <w:tcW w:w="582" w:type="pct"/>
            <w:vAlign w:val="center"/>
          </w:tcPr>
          <w:p w14:paraId="2485C935">
            <w:pPr>
              <w:pStyle w:val="12"/>
              <w:jc w:val="center"/>
            </w:pPr>
            <w:r>
              <w:rPr>
                <w:rFonts w:hint="eastAsia"/>
              </w:rPr>
              <w:t>1908年</w:t>
            </w:r>
          </w:p>
        </w:tc>
        <w:tc>
          <w:tcPr>
            <w:tcW w:w="582" w:type="pct"/>
            <w:vAlign w:val="center"/>
          </w:tcPr>
          <w:p w14:paraId="13A0F0A1">
            <w:pPr>
              <w:pStyle w:val="12"/>
              <w:jc w:val="center"/>
            </w:pPr>
            <w:r>
              <w:rPr>
                <w:rFonts w:hint="eastAsia"/>
              </w:rPr>
              <w:t>黄坑镇</w:t>
            </w:r>
          </w:p>
        </w:tc>
        <w:tc>
          <w:tcPr>
            <w:tcW w:w="582" w:type="pct"/>
            <w:vAlign w:val="center"/>
          </w:tcPr>
          <w:p w14:paraId="02F99F7F">
            <w:pPr>
              <w:pStyle w:val="12"/>
              <w:jc w:val="center"/>
            </w:pPr>
            <w:r>
              <w:rPr>
                <w:rFonts w:hint="eastAsia"/>
              </w:rPr>
              <w:t>1928年</w:t>
            </w:r>
          </w:p>
        </w:tc>
        <w:tc>
          <w:tcPr>
            <w:tcW w:w="1066" w:type="pct"/>
            <w:vAlign w:val="center"/>
          </w:tcPr>
          <w:p w14:paraId="00B27A5B">
            <w:pPr>
              <w:pStyle w:val="12"/>
              <w:jc w:val="left"/>
            </w:pPr>
            <w:r>
              <w:rPr>
                <w:rFonts w:hint="eastAsia"/>
              </w:rPr>
              <w:t>油山游击队队员</w:t>
            </w:r>
          </w:p>
        </w:tc>
        <w:tc>
          <w:tcPr>
            <w:tcW w:w="1160" w:type="pct"/>
            <w:vAlign w:val="center"/>
          </w:tcPr>
          <w:p w14:paraId="06B3E2C9">
            <w:pPr>
              <w:pStyle w:val="12"/>
              <w:jc w:val="left"/>
            </w:pPr>
            <w:r>
              <w:rPr>
                <w:rFonts w:hint="eastAsia"/>
              </w:rPr>
              <w:t>1929年8月在油山里禾田战斗中牺牲</w:t>
            </w:r>
          </w:p>
        </w:tc>
      </w:tr>
      <w:tr w14:paraId="1DD4E2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697D0B4">
            <w:pPr>
              <w:pStyle w:val="12"/>
              <w:jc w:val="center"/>
            </w:pPr>
            <w:r>
              <w:rPr>
                <w:rFonts w:hint="eastAsia"/>
              </w:rPr>
              <w:t>卢道清</w:t>
            </w:r>
          </w:p>
        </w:tc>
        <w:tc>
          <w:tcPr>
            <w:tcW w:w="388" w:type="pct"/>
            <w:vAlign w:val="center"/>
          </w:tcPr>
          <w:p w14:paraId="1013AEA7">
            <w:pPr>
              <w:pStyle w:val="12"/>
              <w:jc w:val="center"/>
            </w:pPr>
            <w:r>
              <w:rPr>
                <w:rFonts w:hint="eastAsia"/>
              </w:rPr>
              <w:t>男</w:t>
            </w:r>
          </w:p>
        </w:tc>
        <w:tc>
          <w:tcPr>
            <w:tcW w:w="582" w:type="pct"/>
            <w:vAlign w:val="center"/>
          </w:tcPr>
          <w:p w14:paraId="75225898">
            <w:pPr>
              <w:pStyle w:val="12"/>
              <w:jc w:val="center"/>
            </w:pPr>
            <w:r>
              <w:rPr>
                <w:rFonts w:hint="eastAsia"/>
              </w:rPr>
              <w:t>1903年</w:t>
            </w:r>
          </w:p>
        </w:tc>
        <w:tc>
          <w:tcPr>
            <w:tcW w:w="582" w:type="pct"/>
            <w:vAlign w:val="center"/>
          </w:tcPr>
          <w:p w14:paraId="71FB5FC9">
            <w:pPr>
              <w:pStyle w:val="12"/>
              <w:jc w:val="center"/>
            </w:pPr>
            <w:r>
              <w:rPr>
                <w:rFonts w:hint="eastAsia"/>
              </w:rPr>
              <w:t>黄坑镇</w:t>
            </w:r>
          </w:p>
        </w:tc>
        <w:tc>
          <w:tcPr>
            <w:tcW w:w="582" w:type="pct"/>
            <w:vAlign w:val="center"/>
          </w:tcPr>
          <w:p w14:paraId="449E3F33">
            <w:pPr>
              <w:pStyle w:val="12"/>
              <w:jc w:val="center"/>
            </w:pPr>
            <w:r>
              <w:rPr>
                <w:rFonts w:hint="eastAsia"/>
              </w:rPr>
              <w:t>1929年</w:t>
            </w:r>
          </w:p>
        </w:tc>
        <w:tc>
          <w:tcPr>
            <w:tcW w:w="1066" w:type="pct"/>
            <w:vAlign w:val="center"/>
          </w:tcPr>
          <w:p w14:paraId="7F4D5991">
            <w:pPr>
              <w:pStyle w:val="12"/>
              <w:jc w:val="left"/>
            </w:pPr>
            <w:r>
              <w:rPr>
                <w:rFonts w:hint="eastAsia"/>
              </w:rPr>
              <w:t>红四军战士</w:t>
            </w:r>
          </w:p>
        </w:tc>
        <w:tc>
          <w:tcPr>
            <w:tcW w:w="1160" w:type="pct"/>
            <w:vAlign w:val="center"/>
          </w:tcPr>
          <w:p w14:paraId="26C11DF7">
            <w:pPr>
              <w:pStyle w:val="12"/>
              <w:jc w:val="left"/>
            </w:pPr>
            <w:r>
              <w:rPr>
                <w:rFonts w:hint="eastAsia"/>
              </w:rPr>
              <w:t>1929年底在江西信丰县大小阿战斗中牺牲</w:t>
            </w:r>
          </w:p>
        </w:tc>
      </w:tr>
      <w:tr w14:paraId="3D24A54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69DD507">
            <w:pPr>
              <w:pStyle w:val="12"/>
              <w:jc w:val="center"/>
            </w:pPr>
            <w:r>
              <w:rPr>
                <w:rFonts w:hint="eastAsia"/>
              </w:rPr>
              <w:t>卢章辉</w:t>
            </w:r>
          </w:p>
        </w:tc>
        <w:tc>
          <w:tcPr>
            <w:tcW w:w="388" w:type="pct"/>
            <w:vAlign w:val="center"/>
          </w:tcPr>
          <w:p w14:paraId="047F646C">
            <w:pPr>
              <w:pStyle w:val="12"/>
              <w:jc w:val="center"/>
            </w:pPr>
            <w:r>
              <w:rPr>
                <w:rFonts w:hint="eastAsia"/>
              </w:rPr>
              <w:t>男</w:t>
            </w:r>
          </w:p>
        </w:tc>
        <w:tc>
          <w:tcPr>
            <w:tcW w:w="582" w:type="pct"/>
            <w:vAlign w:val="center"/>
          </w:tcPr>
          <w:p w14:paraId="785C7B65">
            <w:pPr>
              <w:pStyle w:val="12"/>
              <w:jc w:val="center"/>
            </w:pPr>
            <w:r>
              <w:rPr>
                <w:rFonts w:hint="eastAsia"/>
              </w:rPr>
              <w:t>1894年</w:t>
            </w:r>
          </w:p>
        </w:tc>
        <w:tc>
          <w:tcPr>
            <w:tcW w:w="582" w:type="pct"/>
            <w:vAlign w:val="center"/>
          </w:tcPr>
          <w:p w14:paraId="73EDF36A">
            <w:pPr>
              <w:pStyle w:val="12"/>
              <w:jc w:val="center"/>
            </w:pPr>
            <w:r>
              <w:rPr>
                <w:rFonts w:hint="eastAsia"/>
              </w:rPr>
              <w:t>黄坑镇</w:t>
            </w:r>
          </w:p>
        </w:tc>
        <w:tc>
          <w:tcPr>
            <w:tcW w:w="582" w:type="pct"/>
            <w:vAlign w:val="center"/>
          </w:tcPr>
          <w:p w14:paraId="12DC5E6D">
            <w:pPr>
              <w:pStyle w:val="12"/>
              <w:jc w:val="center"/>
            </w:pPr>
            <w:r>
              <w:rPr>
                <w:rFonts w:hint="eastAsia"/>
              </w:rPr>
              <w:t>1928年</w:t>
            </w:r>
          </w:p>
        </w:tc>
        <w:tc>
          <w:tcPr>
            <w:tcW w:w="1066" w:type="pct"/>
            <w:vAlign w:val="center"/>
          </w:tcPr>
          <w:p w14:paraId="6A4FCEC2">
            <w:pPr>
              <w:pStyle w:val="12"/>
              <w:jc w:val="left"/>
            </w:pPr>
            <w:r>
              <w:rPr>
                <w:rFonts w:hint="eastAsia"/>
              </w:rPr>
              <w:t>油山游击队队员</w:t>
            </w:r>
          </w:p>
        </w:tc>
        <w:tc>
          <w:tcPr>
            <w:tcW w:w="1160" w:type="pct"/>
            <w:vAlign w:val="center"/>
          </w:tcPr>
          <w:p w14:paraId="439E3567">
            <w:pPr>
              <w:pStyle w:val="12"/>
              <w:jc w:val="left"/>
            </w:pPr>
            <w:r>
              <w:rPr>
                <w:rFonts w:hint="eastAsia"/>
              </w:rPr>
              <w:t>1929年4月在邓坊战斗中牺牲</w:t>
            </w:r>
          </w:p>
        </w:tc>
      </w:tr>
      <w:tr w14:paraId="0FDF01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F7E38B4">
            <w:pPr>
              <w:pStyle w:val="12"/>
              <w:jc w:val="center"/>
            </w:pPr>
            <w:r>
              <w:rPr>
                <w:rFonts w:hint="eastAsia"/>
              </w:rPr>
              <w:t>陈盛秀</w:t>
            </w:r>
          </w:p>
        </w:tc>
        <w:tc>
          <w:tcPr>
            <w:tcW w:w="388" w:type="pct"/>
            <w:vAlign w:val="center"/>
          </w:tcPr>
          <w:p w14:paraId="7FE103ED">
            <w:pPr>
              <w:pStyle w:val="12"/>
              <w:jc w:val="center"/>
            </w:pPr>
            <w:r>
              <w:rPr>
                <w:rFonts w:hint="eastAsia"/>
              </w:rPr>
              <w:t>男</w:t>
            </w:r>
          </w:p>
        </w:tc>
        <w:tc>
          <w:tcPr>
            <w:tcW w:w="582" w:type="pct"/>
            <w:vAlign w:val="center"/>
          </w:tcPr>
          <w:p w14:paraId="7E7848B1">
            <w:pPr>
              <w:pStyle w:val="12"/>
              <w:jc w:val="center"/>
            </w:pPr>
            <w:r>
              <w:rPr>
                <w:rFonts w:hint="eastAsia"/>
              </w:rPr>
              <w:t>1903年</w:t>
            </w:r>
          </w:p>
        </w:tc>
        <w:tc>
          <w:tcPr>
            <w:tcW w:w="582" w:type="pct"/>
            <w:vAlign w:val="center"/>
          </w:tcPr>
          <w:p w14:paraId="3D6E1484">
            <w:pPr>
              <w:pStyle w:val="12"/>
              <w:jc w:val="center"/>
            </w:pPr>
            <w:r>
              <w:rPr>
                <w:rFonts w:hint="eastAsia"/>
              </w:rPr>
              <w:t>黄坑镇</w:t>
            </w:r>
          </w:p>
        </w:tc>
        <w:tc>
          <w:tcPr>
            <w:tcW w:w="582" w:type="pct"/>
            <w:vAlign w:val="center"/>
          </w:tcPr>
          <w:p w14:paraId="2890BE4F">
            <w:pPr>
              <w:pStyle w:val="12"/>
              <w:jc w:val="center"/>
            </w:pPr>
            <w:r>
              <w:rPr>
                <w:rFonts w:hint="eastAsia"/>
              </w:rPr>
              <w:t>1927年</w:t>
            </w:r>
          </w:p>
        </w:tc>
        <w:tc>
          <w:tcPr>
            <w:tcW w:w="1066" w:type="pct"/>
            <w:vAlign w:val="center"/>
          </w:tcPr>
          <w:p w14:paraId="339CC4B9">
            <w:pPr>
              <w:pStyle w:val="12"/>
              <w:jc w:val="left"/>
            </w:pPr>
            <w:r>
              <w:rPr>
                <w:rFonts w:hint="eastAsia"/>
              </w:rPr>
              <w:t>油山游击队队员</w:t>
            </w:r>
          </w:p>
        </w:tc>
        <w:tc>
          <w:tcPr>
            <w:tcW w:w="1160" w:type="pct"/>
            <w:vAlign w:val="center"/>
          </w:tcPr>
          <w:p w14:paraId="07B4D11A">
            <w:pPr>
              <w:pStyle w:val="12"/>
              <w:jc w:val="left"/>
            </w:pPr>
            <w:r>
              <w:rPr>
                <w:rFonts w:hint="eastAsia"/>
              </w:rPr>
              <w:t>1929年在里东作战牺牲</w:t>
            </w:r>
          </w:p>
        </w:tc>
      </w:tr>
      <w:tr w14:paraId="04E602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A6D4E4C">
            <w:pPr>
              <w:pStyle w:val="12"/>
              <w:jc w:val="center"/>
            </w:pPr>
            <w:r>
              <w:rPr>
                <w:rFonts w:hint="eastAsia"/>
              </w:rPr>
              <w:t>王河石</w:t>
            </w:r>
          </w:p>
        </w:tc>
        <w:tc>
          <w:tcPr>
            <w:tcW w:w="388" w:type="pct"/>
            <w:vAlign w:val="center"/>
          </w:tcPr>
          <w:p w14:paraId="5DFF4B09">
            <w:pPr>
              <w:pStyle w:val="12"/>
              <w:jc w:val="center"/>
            </w:pPr>
            <w:r>
              <w:rPr>
                <w:rFonts w:hint="eastAsia"/>
              </w:rPr>
              <w:t>男</w:t>
            </w:r>
          </w:p>
        </w:tc>
        <w:tc>
          <w:tcPr>
            <w:tcW w:w="582" w:type="pct"/>
            <w:vAlign w:val="center"/>
          </w:tcPr>
          <w:p w14:paraId="2660F908">
            <w:pPr>
              <w:pStyle w:val="12"/>
              <w:jc w:val="center"/>
            </w:pPr>
            <w:r>
              <w:rPr>
                <w:rFonts w:hint="eastAsia"/>
              </w:rPr>
              <w:t>1895年</w:t>
            </w:r>
          </w:p>
        </w:tc>
        <w:tc>
          <w:tcPr>
            <w:tcW w:w="582" w:type="pct"/>
            <w:vAlign w:val="center"/>
          </w:tcPr>
          <w:p w14:paraId="7380C67D">
            <w:pPr>
              <w:pStyle w:val="12"/>
              <w:jc w:val="center"/>
            </w:pPr>
            <w:r>
              <w:rPr>
                <w:rFonts w:hint="eastAsia"/>
              </w:rPr>
              <w:t>邓坊镇</w:t>
            </w:r>
          </w:p>
        </w:tc>
        <w:tc>
          <w:tcPr>
            <w:tcW w:w="582" w:type="pct"/>
            <w:vAlign w:val="center"/>
          </w:tcPr>
          <w:p w14:paraId="2CE9EC49">
            <w:pPr>
              <w:pStyle w:val="12"/>
              <w:jc w:val="center"/>
            </w:pPr>
            <w:r>
              <w:rPr>
                <w:rFonts w:hint="eastAsia"/>
              </w:rPr>
              <w:t>1929年</w:t>
            </w:r>
          </w:p>
        </w:tc>
        <w:tc>
          <w:tcPr>
            <w:tcW w:w="1066" w:type="pct"/>
            <w:vAlign w:val="center"/>
          </w:tcPr>
          <w:p w14:paraId="00E4A3A2">
            <w:pPr>
              <w:pStyle w:val="12"/>
              <w:jc w:val="left"/>
            </w:pPr>
            <w:r>
              <w:rPr>
                <w:rFonts w:hint="eastAsia"/>
              </w:rPr>
              <w:t>油山游击队队员</w:t>
            </w:r>
          </w:p>
        </w:tc>
        <w:tc>
          <w:tcPr>
            <w:tcW w:w="1160" w:type="pct"/>
            <w:vAlign w:val="center"/>
          </w:tcPr>
          <w:p w14:paraId="5BC538A3">
            <w:pPr>
              <w:pStyle w:val="12"/>
              <w:jc w:val="left"/>
            </w:pPr>
            <w:r>
              <w:rPr>
                <w:rFonts w:hint="eastAsia"/>
              </w:rPr>
              <w:t>1929年在江西信丰县棋岭战斗牺牲</w:t>
            </w:r>
          </w:p>
        </w:tc>
      </w:tr>
      <w:tr w14:paraId="36D542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231CE2A">
            <w:pPr>
              <w:pStyle w:val="12"/>
              <w:jc w:val="center"/>
            </w:pPr>
            <w:r>
              <w:rPr>
                <w:rFonts w:hint="eastAsia"/>
              </w:rPr>
              <w:t>王礼福生</w:t>
            </w:r>
          </w:p>
        </w:tc>
        <w:tc>
          <w:tcPr>
            <w:tcW w:w="388" w:type="pct"/>
            <w:vAlign w:val="center"/>
          </w:tcPr>
          <w:p w14:paraId="6F8CBECE">
            <w:pPr>
              <w:pStyle w:val="12"/>
              <w:jc w:val="center"/>
            </w:pPr>
            <w:r>
              <w:rPr>
                <w:rFonts w:hint="eastAsia"/>
              </w:rPr>
              <w:t>男</w:t>
            </w:r>
          </w:p>
        </w:tc>
        <w:tc>
          <w:tcPr>
            <w:tcW w:w="582" w:type="pct"/>
            <w:vAlign w:val="center"/>
          </w:tcPr>
          <w:p w14:paraId="66D816F7">
            <w:pPr>
              <w:pStyle w:val="12"/>
              <w:jc w:val="center"/>
            </w:pPr>
            <w:r>
              <w:rPr>
                <w:rFonts w:hint="eastAsia"/>
              </w:rPr>
              <w:t>1903年</w:t>
            </w:r>
          </w:p>
        </w:tc>
        <w:tc>
          <w:tcPr>
            <w:tcW w:w="582" w:type="pct"/>
            <w:vAlign w:val="center"/>
          </w:tcPr>
          <w:p w14:paraId="02A460A3">
            <w:pPr>
              <w:pStyle w:val="12"/>
              <w:jc w:val="center"/>
            </w:pPr>
            <w:r>
              <w:rPr>
                <w:rFonts w:hint="eastAsia"/>
              </w:rPr>
              <w:t>邓坊镇</w:t>
            </w:r>
          </w:p>
        </w:tc>
        <w:tc>
          <w:tcPr>
            <w:tcW w:w="582" w:type="pct"/>
            <w:vAlign w:val="center"/>
          </w:tcPr>
          <w:p w14:paraId="59E75401">
            <w:pPr>
              <w:pStyle w:val="12"/>
              <w:jc w:val="center"/>
            </w:pPr>
            <w:r>
              <w:rPr>
                <w:rFonts w:hint="eastAsia"/>
              </w:rPr>
              <w:t>1928年</w:t>
            </w:r>
          </w:p>
        </w:tc>
        <w:tc>
          <w:tcPr>
            <w:tcW w:w="1066" w:type="pct"/>
            <w:vAlign w:val="center"/>
          </w:tcPr>
          <w:p w14:paraId="316D775A">
            <w:pPr>
              <w:pStyle w:val="12"/>
              <w:jc w:val="left"/>
            </w:pPr>
            <w:r>
              <w:rPr>
                <w:rFonts w:hint="eastAsia"/>
              </w:rPr>
              <w:t>油山游击队队员</w:t>
            </w:r>
          </w:p>
        </w:tc>
        <w:tc>
          <w:tcPr>
            <w:tcW w:w="1160" w:type="pct"/>
            <w:vAlign w:val="center"/>
          </w:tcPr>
          <w:p w14:paraId="09502D20">
            <w:pPr>
              <w:pStyle w:val="12"/>
              <w:jc w:val="left"/>
            </w:pPr>
            <w:r>
              <w:rPr>
                <w:rFonts w:hint="eastAsia"/>
              </w:rPr>
              <w:t>1929年在里东战斗牺牲</w:t>
            </w:r>
          </w:p>
        </w:tc>
      </w:tr>
      <w:tr w14:paraId="5869BE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62A2FEC">
            <w:pPr>
              <w:pStyle w:val="12"/>
              <w:jc w:val="center"/>
            </w:pPr>
            <w:r>
              <w:rPr>
                <w:rFonts w:hint="eastAsia"/>
              </w:rPr>
              <w:t>雷时眼</w:t>
            </w:r>
          </w:p>
        </w:tc>
        <w:tc>
          <w:tcPr>
            <w:tcW w:w="388" w:type="pct"/>
            <w:vAlign w:val="center"/>
          </w:tcPr>
          <w:p w14:paraId="478A0AB0">
            <w:pPr>
              <w:pStyle w:val="12"/>
              <w:jc w:val="center"/>
            </w:pPr>
            <w:r>
              <w:rPr>
                <w:rFonts w:hint="eastAsia"/>
              </w:rPr>
              <w:t>男</w:t>
            </w:r>
          </w:p>
        </w:tc>
        <w:tc>
          <w:tcPr>
            <w:tcW w:w="582" w:type="pct"/>
            <w:vAlign w:val="center"/>
          </w:tcPr>
          <w:p w14:paraId="67E7C564">
            <w:pPr>
              <w:pStyle w:val="12"/>
              <w:jc w:val="center"/>
            </w:pPr>
            <w:r>
              <w:rPr>
                <w:rFonts w:hint="eastAsia"/>
              </w:rPr>
              <w:t>1911年</w:t>
            </w:r>
          </w:p>
        </w:tc>
        <w:tc>
          <w:tcPr>
            <w:tcW w:w="582" w:type="pct"/>
            <w:vAlign w:val="center"/>
          </w:tcPr>
          <w:p w14:paraId="252DE22D">
            <w:pPr>
              <w:pStyle w:val="12"/>
              <w:jc w:val="center"/>
            </w:pPr>
            <w:r>
              <w:rPr>
                <w:rFonts w:hint="eastAsia"/>
              </w:rPr>
              <w:t>邓坊镇</w:t>
            </w:r>
          </w:p>
        </w:tc>
        <w:tc>
          <w:tcPr>
            <w:tcW w:w="582" w:type="pct"/>
            <w:vAlign w:val="center"/>
          </w:tcPr>
          <w:p w14:paraId="153602C6">
            <w:pPr>
              <w:pStyle w:val="12"/>
              <w:jc w:val="center"/>
            </w:pPr>
            <w:r>
              <w:rPr>
                <w:rFonts w:hint="eastAsia"/>
              </w:rPr>
              <w:t>1928年</w:t>
            </w:r>
          </w:p>
        </w:tc>
        <w:tc>
          <w:tcPr>
            <w:tcW w:w="1066" w:type="pct"/>
            <w:vAlign w:val="center"/>
          </w:tcPr>
          <w:p w14:paraId="3FFF40F1">
            <w:pPr>
              <w:pStyle w:val="12"/>
              <w:jc w:val="left"/>
            </w:pPr>
            <w:r>
              <w:rPr>
                <w:rFonts w:hint="eastAsia"/>
              </w:rPr>
              <w:t>油山游击队队员</w:t>
            </w:r>
          </w:p>
        </w:tc>
        <w:tc>
          <w:tcPr>
            <w:tcW w:w="1160" w:type="pct"/>
            <w:vAlign w:val="center"/>
          </w:tcPr>
          <w:p w14:paraId="7E8E8D24">
            <w:pPr>
              <w:pStyle w:val="12"/>
              <w:jc w:val="left"/>
            </w:pPr>
            <w:r>
              <w:rPr>
                <w:rFonts w:hint="eastAsia"/>
              </w:rPr>
              <w:t>1929年在江西信丰县棋岭战斗牺牲</w:t>
            </w:r>
          </w:p>
        </w:tc>
      </w:tr>
      <w:tr w14:paraId="0B1646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B4E0F4A">
            <w:pPr>
              <w:pStyle w:val="12"/>
              <w:jc w:val="center"/>
            </w:pPr>
            <w:r>
              <w:rPr>
                <w:rFonts w:hint="eastAsia"/>
              </w:rPr>
              <w:t>卢章榆</w:t>
            </w:r>
          </w:p>
        </w:tc>
        <w:tc>
          <w:tcPr>
            <w:tcW w:w="388" w:type="pct"/>
            <w:vAlign w:val="center"/>
          </w:tcPr>
          <w:p w14:paraId="4D896E0E">
            <w:pPr>
              <w:pStyle w:val="12"/>
              <w:jc w:val="center"/>
            </w:pPr>
            <w:r>
              <w:rPr>
                <w:rFonts w:hint="eastAsia"/>
              </w:rPr>
              <w:t>男</w:t>
            </w:r>
          </w:p>
        </w:tc>
        <w:tc>
          <w:tcPr>
            <w:tcW w:w="582" w:type="pct"/>
            <w:vAlign w:val="center"/>
          </w:tcPr>
          <w:p w14:paraId="0E4BE0F1">
            <w:pPr>
              <w:pStyle w:val="12"/>
              <w:jc w:val="center"/>
            </w:pPr>
            <w:r>
              <w:rPr>
                <w:rFonts w:hint="eastAsia"/>
              </w:rPr>
              <w:t>1895年</w:t>
            </w:r>
          </w:p>
        </w:tc>
        <w:tc>
          <w:tcPr>
            <w:tcW w:w="582" w:type="pct"/>
            <w:vAlign w:val="center"/>
          </w:tcPr>
          <w:p w14:paraId="18AEF3F8">
            <w:pPr>
              <w:pStyle w:val="12"/>
              <w:jc w:val="center"/>
            </w:pPr>
            <w:r>
              <w:rPr>
                <w:rFonts w:hint="eastAsia"/>
              </w:rPr>
              <w:t>邓坊镇</w:t>
            </w:r>
          </w:p>
        </w:tc>
        <w:tc>
          <w:tcPr>
            <w:tcW w:w="582" w:type="pct"/>
            <w:vAlign w:val="center"/>
          </w:tcPr>
          <w:p w14:paraId="0BA9E095">
            <w:pPr>
              <w:pStyle w:val="12"/>
              <w:jc w:val="center"/>
            </w:pPr>
            <w:r>
              <w:rPr>
                <w:rFonts w:hint="eastAsia"/>
              </w:rPr>
              <w:t>1927年</w:t>
            </w:r>
          </w:p>
        </w:tc>
        <w:tc>
          <w:tcPr>
            <w:tcW w:w="1066" w:type="pct"/>
            <w:vAlign w:val="center"/>
          </w:tcPr>
          <w:p w14:paraId="6CF7255F">
            <w:pPr>
              <w:pStyle w:val="12"/>
              <w:jc w:val="left"/>
            </w:pPr>
            <w:r>
              <w:rPr>
                <w:rFonts w:hint="eastAsia"/>
              </w:rPr>
              <w:t>油山游击队队员</w:t>
            </w:r>
          </w:p>
        </w:tc>
        <w:tc>
          <w:tcPr>
            <w:tcW w:w="1160" w:type="pct"/>
            <w:vAlign w:val="center"/>
          </w:tcPr>
          <w:p w14:paraId="055A3425">
            <w:pPr>
              <w:pStyle w:val="12"/>
              <w:jc w:val="left"/>
            </w:pPr>
            <w:r>
              <w:rPr>
                <w:rFonts w:hint="eastAsia"/>
              </w:rPr>
              <w:t>1929年在江西省下水岭战斗牺牲</w:t>
            </w:r>
          </w:p>
        </w:tc>
      </w:tr>
      <w:tr w14:paraId="05DFFD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7DC52F5">
            <w:pPr>
              <w:pStyle w:val="12"/>
              <w:jc w:val="center"/>
            </w:pPr>
            <w:r>
              <w:rPr>
                <w:rFonts w:hint="eastAsia"/>
              </w:rPr>
              <w:t>卢章龙</w:t>
            </w:r>
          </w:p>
        </w:tc>
        <w:tc>
          <w:tcPr>
            <w:tcW w:w="388" w:type="pct"/>
            <w:vAlign w:val="center"/>
          </w:tcPr>
          <w:p w14:paraId="1C7E3A5E">
            <w:pPr>
              <w:pStyle w:val="12"/>
              <w:jc w:val="center"/>
            </w:pPr>
            <w:r>
              <w:rPr>
                <w:rFonts w:hint="eastAsia"/>
              </w:rPr>
              <w:t>男</w:t>
            </w:r>
          </w:p>
        </w:tc>
        <w:tc>
          <w:tcPr>
            <w:tcW w:w="582" w:type="pct"/>
            <w:vAlign w:val="center"/>
          </w:tcPr>
          <w:p w14:paraId="14BC7CCF">
            <w:pPr>
              <w:pStyle w:val="12"/>
              <w:jc w:val="center"/>
            </w:pPr>
            <w:r>
              <w:rPr>
                <w:rFonts w:hint="eastAsia"/>
              </w:rPr>
              <w:t>1903年</w:t>
            </w:r>
          </w:p>
        </w:tc>
        <w:tc>
          <w:tcPr>
            <w:tcW w:w="582" w:type="pct"/>
            <w:vAlign w:val="center"/>
          </w:tcPr>
          <w:p w14:paraId="6BC33A10">
            <w:pPr>
              <w:pStyle w:val="12"/>
              <w:jc w:val="center"/>
            </w:pPr>
            <w:r>
              <w:rPr>
                <w:rFonts w:hint="eastAsia"/>
              </w:rPr>
              <w:t>邓坊镇</w:t>
            </w:r>
          </w:p>
        </w:tc>
        <w:tc>
          <w:tcPr>
            <w:tcW w:w="582" w:type="pct"/>
            <w:vAlign w:val="center"/>
          </w:tcPr>
          <w:p w14:paraId="44351FEC">
            <w:pPr>
              <w:pStyle w:val="12"/>
              <w:jc w:val="center"/>
            </w:pPr>
            <w:r>
              <w:rPr>
                <w:rFonts w:hint="eastAsia"/>
              </w:rPr>
              <w:t>1927年</w:t>
            </w:r>
          </w:p>
        </w:tc>
        <w:tc>
          <w:tcPr>
            <w:tcW w:w="1066" w:type="pct"/>
            <w:vAlign w:val="center"/>
          </w:tcPr>
          <w:p w14:paraId="09E34320">
            <w:pPr>
              <w:pStyle w:val="12"/>
              <w:jc w:val="left"/>
            </w:pPr>
            <w:r>
              <w:rPr>
                <w:rFonts w:hint="eastAsia"/>
              </w:rPr>
              <w:t>油山游击队队员</w:t>
            </w:r>
          </w:p>
        </w:tc>
        <w:tc>
          <w:tcPr>
            <w:tcW w:w="1160" w:type="pct"/>
            <w:vAlign w:val="center"/>
          </w:tcPr>
          <w:p w14:paraId="46E5789D">
            <w:pPr>
              <w:pStyle w:val="12"/>
              <w:jc w:val="left"/>
            </w:pPr>
            <w:r>
              <w:rPr>
                <w:rFonts w:hint="eastAsia"/>
              </w:rPr>
              <w:t>1929年在江西省下水岭战斗牺牲</w:t>
            </w:r>
          </w:p>
        </w:tc>
      </w:tr>
      <w:tr w14:paraId="7A833E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4E219D1">
            <w:pPr>
              <w:pStyle w:val="12"/>
              <w:jc w:val="center"/>
            </w:pPr>
            <w:r>
              <w:rPr>
                <w:rFonts w:hint="eastAsia"/>
              </w:rPr>
              <w:t>丁仁海</w:t>
            </w:r>
          </w:p>
        </w:tc>
        <w:tc>
          <w:tcPr>
            <w:tcW w:w="388" w:type="pct"/>
            <w:vAlign w:val="center"/>
          </w:tcPr>
          <w:p w14:paraId="081CAD4D">
            <w:pPr>
              <w:pStyle w:val="12"/>
              <w:jc w:val="center"/>
            </w:pPr>
            <w:r>
              <w:rPr>
                <w:rFonts w:hint="eastAsia"/>
              </w:rPr>
              <w:t>男</w:t>
            </w:r>
          </w:p>
        </w:tc>
        <w:tc>
          <w:tcPr>
            <w:tcW w:w="582" w:type="pct"/>
            <w:vAlign w:val="center"/>
          </w:tcPr>
          <w:p w14:paraId="0477AB2C">
            <w:pPr>
              <w:pStyle w:val="12"/>
              <w:jc w:val="center"/>
            </w:pPr>
            <w:r>
              <w:rPr>
                <w:rFonts w:hint="eastAsia"/>
              </w:rPr>
              <w:t>1884年</w:t>
            </w:r>
          </w:p>
        </w:tc>
        <w:tc>
          <w:tcPr>
            <w:tcW w:w="582" w:type="pct"/>
            <w:vAlign w:val="center"/>
          </w:tcPr>
          <w:p w14:paraId="65C22730">
            <w:pPr>
              <w:pStyle w:val="12"/>
              <w:jc w:val="center"/>
            </w:pPr>
            <w:r>
              <w:rPr>
                <w:rFonts w:hint="eastAsia"/>
              </w:rPr>
              <w:t>湖口镇</w:t>
            </w:r>
          </w:p>
        </w:tc>
        <w:tc>
          <w:tcPr>
            <w:tcW w:w="582" w:type="pct"/>
            <w:vAlign w:val="center"/>
          </w:tcPr>
          <w:p w14:paraId="4D0302FA">
            <w:pPr>
              <w:pStyle w:val="12"/>
              <w:jc w:val="center"/>
            </w:pPr>
            <w:r>
              <w:rPr>
                <w:rFonts w:hint="eastAsia"/>
              </w:rPr>
              <w:t>1929年</w:t>
            </w:r>
          </w:p>
        </w:tc>
        <w:tc>
          <w:tcPr>
            <w:tcW w:w="1066" w:type="pct"/>
            <w:vAlign w:val="center"/>
          </w:tcPr>
          <w:p w14:paraId="2DDEAA01">
            <w:pPr>
              <w:pStyle w:val="12"/>
              <w:jc w:val="left"/>
            </w:pPr>
            <w:r>
              <w:rPr>
                <w:rFonts w:hint="eastAsia"/>
              </w:rPr>
              <w:t>油山游击队队员</w:t>
            </w:r>
          </w:p>
        </w:tc>
        <w:tc>
          <w:tcPr>
            <w:tcW w:w="1160" w:type="pct"/>
            <w:vAlign w:val="center"/>
          </w:tcPr>
          <w:p w14:paraId="63F52723">
            <w:pPr>
              <w:pStyle w:val="12"/>
              <w:jc w:val="left"/>
            </w:pPr>
            <w:r>
              <w:rPr>
                <w:rFonts w:hint="eastAsia"/>
              </w:rPr>
              <w:t>1929年在江西省大余县被捕，在南雄城郊就义</w:t>
            </w:r>
          </w:p>
        </w:tc>
      </w:tr>
      <w:tr w14:paraId="5DFDE4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85B62C4">
            <w:pPr>
              <w:pStyle w:val="12"/>
              <w:jc w:val="center"/>
            </w:pPr>
            <w:r>
              <w:rPr>
                <w:rFonts w:hint="eastAsia"/>
              </w:rPr>
              <w:t>陈昌华</w:t>
            </w:r>
          </w:p>
        </w:tc>
        <w:tc>
          <w:tcPr>
            <w:tcW w:w="388" w:type="pct"/>
            <w:vAlign w:val="center"/>
          </w:tcPr>
          <w:p w14:paraId="40685079">
            <w:pPr>
              <w:pStyle w:val="12"/>
              <w:jc w:val="center"/>
            </w:pPr>
            <w:r>
              <w:rPr>
                <w:rFonts w:hint="eastAsia"/>
              </w:rPr>
              <w:t>男</w:t>
            </w:r>
          </w:p>
        </w:tc>
        <w:tc>
          <w:tcPr>
            <w:tcW w:w="582" w:type="pct"/>
            <w:vAlign w:val="center"/>
          </w:tcPr>
          <w:p w14:paraId="73491872">
            <w:pPr>
              <w:pStyle w:val="12"/>
              <w:jc w:val="center"/>
            </w:pPr>
            <w:r>
              <w:rPr>
                <w:rFonts w:hint="eastAsia"/>
              </w:rPr>
              <w:t>1890年</w:t>
            </w:r>
          </w:p>
        </w:tc>
        <w:tc>
          <w:tcPr>
            <w:tcW w:w="582" w:type="pct"/>
            <w:vAlign w:val="center"/>
          </w:tcPr>
          <w:p w14:paraId="441DECC2">
            <w:pPr>
              <w:pStyle w:val="12"/>
              <w:jc w:val="center"/>
            </w:pPr>
            <w:r>
              <w:rPr>
                <w:rFonts w:hint="eastAsia"/>
              </w:rPr>
              <w:t>邓坊镇</w:t>
            </w:r>
          </w:p>
        </w:tc>
        <w:tc>
          <w:tcPr>
            <w:tcW w:w="582" w:type="pct"/>
            <w:vAlign w:val="center"/>
          </w:tcPr>
          <w:p w14:paraId="481818F1">
            <w:pPr>
              <w:pStyle w:val="12"/>
              <w:jc w:val="center"/>
            </w:pPr>
            <w:r>
              <w:rPr>
                <w:rFonts w:hint="eastAsia"/>
              </w:rPr>
              <w:t>1927年</w:t>
            </w:r>
          </w:p>
        </w:tc>
        <w:tc>
          <w:tcPr>
            <w:tcW w:w="1066" w:type="pct"/>
            <w:vAlign w:val="center"/>
          </w:tcPr>
          <w:p w14:paraId="18DF9E93">
            <w:pPr>
              <w:pStyle w:val="12"/>
              <w:jc w:val="left"/>
              <w:rPr>
                <w:rFonts w:ascii="宋体" w:hAnsi="宋体" w:cs="宋体"/>
              </w:rPr>
            </w:pPr>
            <w:r>
              <w:rPr>
                <w:rFonts w:hint="eastAsia"/>
              </w:rPr>
              <w:t>油山游击队</w:t>
            </w:r>
          </w:p>
          <w:p w14:paraId="6A25260C">
            <w:pPr>
              <w:pStyle w:val="12"/>
              <w:jc w:val="left"/>
            </w:pPr>
            <w:r>
              <w:rPr>
                <w:rFonts w:hint="eastAsia" w:ascii="宋体" w:hAnsi="宋体" w:cs="宋体"/>
              </w:rPr>
              <w:t>通  讯  员</w:t>
            </w:r>
          </w:p>
        </w:tc>
        <w:tc>
          <w:tcPr>
            <w:tcW w:w="1160" w:type="pct"/>
            <w:vAlign w:val="center"/>
          </w:tcPr>
          <w:p w14:paraId="3C11E860">
            <w:pPr>
              <w:pStyle w:val="12"/>
              <w:jc w:val="left"/>
            </w:pPr>
            <w:r>
              <w:rPr>
                <w:rFonts w:hint="eastAsia"/>
              </w:rPr>
              <w:t>1929年在江西大余县被捕，在南雄城郊就义</w:t>
            </w:r>
          </w:p>
        </w:tc>
      </w:tr>
      <w:tr w14:paraId="015838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95FB199">
            <w:pPr>
              <w:pStyle w:val="12"/>
              <w:jc w:val="center"/>
            </w:pPr>
            <w:r>
              <w:rPr>
                <w:rFonts w:hint="eastAsia"/>
              </w:rPr>
              <w:t>杨盛林</w:t>
            </w:r>
          </w:p>
        </w:tc>
        <w:tc>
          <w:tcPr>
            <w:tcW w:w="388" w:type="pct"/>
            <w:vAlign w:val="center"/>
          </w:tcPr>
          <w:p w14:paraId="108EF43F">
            <w:pPr>
              <w:pStyle w:val="12"/>
              <w:jc w:val="center"/>
            </w:pPr>
            <w:r>
              <w:rPr>
                <w:rFonts w:hint="eastAsia"/>
              </w:rPr>
              <w:t>男</w:t>
            </w:r>
          </w:p>
        </w:tc>
        <w:tc>
          <w:tcPr>
            <w:tcW w:w="582" w:type="pct"/>
            <w:vAlign w:val="center"/>
          </w:tcPr>
          <w:p w14:paraId="4A941D90">
            <w:pPr>
              <w:pStyle w:val="12"/>
              <w:jc w:val="center"/>
            </w:pPr>
            <w:r>
              <w:rPr>
                <w:rFonts w:hint="eastAsia"/>
              </w:rPr>
              <w:t>1906年</w:t>
            </w:r>
          </w:p>
        </w:tc>
        <w:tc>
          <w:tcPr>
            <w:tcW w:w="582" w:type="pct"/>
            <w:vAlign w:val="center"/>
          </w:tcPr>
          <w:p w14:paraId="79338D36">
            <w:pPr>
              <w:pStyle w:val="12"/>
              <w:jc w:val="center"/>
            </w:pPr>
            <w:r>
              <w:rPr>
                <w:rFonts w:hint="eastAsia"/>
              </w:rPr>
              <w:t>雄州镇</w:t>
            </w:r>
          </w:p>
        </w:tc>
        <w:tc>
          <w:tcPr>
            <w:tcW w:w="582" w:type="pct"/>
            <w:vAlign w:val="center"/>
          </w:tcPr>
          <w:p w14:paraId="239C3C2E">
            <w:pPr>
              <w:pStyle w:val="12"/>
              <w:jc w:val="center"/>
            </w:pPr>
            <w:r>
              <w:rPr>
                <w:rFonts w:hint="eastAsia"/>
              </w:rPr>
              <w:t>1927年</w:t>
            </w:r>
          </w:p>
        </w:tc>
        <w:tc>
          <w:tcPr>
            <w:tcW w:w="1066" w:type="pct"/>
            <w:vAlign w:val="center"/>
          </w:tcPr>
          <w:p w14:paraId="56F668D5">
            <w:pPr>
              <w:pStyle w:val="12"/>
              <w:jc w:val="left"/>
            </w:pPr>
            <w:r>
              <w:rPr>
                <w:rFonts w:hint="eastAsia"/>
              </w:rPr>
              <w:t>油山游击队队员</w:t>
            </w:r>
          </w:p>
        </w:tc>
        <w:tc>
          <w:tcPr>
            <w:tcW w:w="1160" w:type="pct"/>
            <w:vAlign w:val="center"/>
          </w:tcPr>
          <w:p w14:paraId="603371D4">
            <w:pPr>
              <w:pStyle w:val="12"/>
              <w:jc w:val="left"/>
            </w:pPr>
            <w:r>
              <w:rPr>
                <w:rFonts w:hint="eastAsia"/>
              </w:rPr>
              <w:t>1929年2月在邓坊战斗牺牲</w:t>
            </w:r>
          </w:p>
        </w:tc>
      </w:tr>
      <w:tr w14:paraId="35614F7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AFE9CA4">
            <w:pPr>
              <w:pStyle w:val="12"/>
              <w:jc w:val="center"/>
            </w:pPr>
            <w:r>
              <w:rPr>
                <w:rFonts w:hint="eastAsia"/>
              </w:rPr>
              <w:t>杨宏标</w:t>
            </w:r>
          </w:p>
        </w:tc>
        <w:tc>
          <w:tcPr>
            <w:tcW w:w="388" w:type="pct"/>
            <w:vAlign w:val="center"/>
          </w:tcPr>
          <w:p w14:paraId="6E8AE5E6">
            <w:pPr>
              <w:pStyle w:val="12"/>
              <w:jc w:val="center"/>
            </w:pPr>
            <w:r>
              <w:rPr>
                <w:rFonts w:hint="eastAsia"/>
              </w:rPr>
              <w:t>男</w:t>
            </w:r>
          </w:p>
        </w:tc>
        <w:tc>
          <w:tcPr>
            <w:tcW w:w="582" w:type="pct"/>
            <w:vAlign w:val="center"/>
          </w:tcPr>
          <w:p w14:paraId="4CAF2AED">
            <w:pPr>
              <w:pStyle w:val="12"/>
              <w:jc w:val="center"/>
            </w:pPr>
            <w:r>
              <w:rPr>
                <w:rFonts w:hint="eastAsia"/>
              </w:rPr>
              <w:t>1908年</w:t>
            </w:r>
          </w:p>
        </w:tc>
        <w:tc>
          <w:tcPr>
            <w:tcW w:w="582" w:type="pct"/>
            <w:vAlign w:val="center"/>
          </w:tcPr>
          <w:p w14:paraId="665B9271">
            <w:pPr>
              <w:pStyle w:val="12"/>
              <w:jc w:val="center"/>
            </w:pPr>
            <w:r>
              <w:rPr>
                <w:rFonts w:hint="eastAsia"/>
              </w:rPr>
              <w:t>雄州镇</w:t>
            </w:r>
          </w:p>
        </w:tc>
        <w:tc>
          <w:tcPr>
            <w:tcW w:w="582" w:type="pct"/>
            <w:vAlign w:val="center"/>
          </w:tcPr>
          <w:p w14:paraId="497F8D0B">
            <w:pPr>
              <w:pStyle w:val="12"/>
              <w:jc w:val="center"/>
            </w:pPr>
            <w:r>
              <w:rPr>
                <w:rFonts w:hint="eastAsia"/>
              </w:rPr>
              <w:t>1927年</w:t>
            </w:r>
          </w:p>
        </w:tc>
        <w:tc>
          <w:tcPr>
            <w:tcW w:w="1066" w:type="pct"/>
            <w:vAlign w:val="center"/>
          </w:tcPr>
          <w:p w14:paraId="42D9189D">
            <w:pPr>
              <w:pStyle w:val="12"/>
              <w:jc w:val="left"/>
            </w:pPr>
            <w:r>
              <w:rPr>
                <w:rFonts w:hint="eastAsia"/>
              </w:rPr>
              <w:t>油山游击队队员</w:t>
            </w:r>
          </w:p>
        </w:tc>
        <w:tc>
          <w:tcPr>
            <w:tcW w:w="1160" w:type="pct"/>
            <w:vAlign w:val="center"/>
          </w:tcPr>
          <w:p w14:paraId="14F4C3AC">
            <w:pPr>
              <w:pStyle w:val="12"/>
              <w:jc w:val="left"/>
            </w:pPr>
            <w:r>
              <w:rPr>
                <w:rFonts w:hint="eastAsia"/>
              </w:rPr>
              <w:t>1929年1月在江西信丰县战斗牺牲</w:t>
            </w:r>
          </w:p>
        </w:tc>
      </w:tr>
      <w:tr w14:paraId="757304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C807C48">
            <w:pPr>
              <w:pStyle w:val="12"/>
              <w:jc w:val="center"/>
            </w:pPr>
            <w:r>
              <w:rPr>
                <w:rFonts w:hint="eastAsia"/>
              </w:rPr>
              <w:t>叶水生</w:t>
            </w:r>
          </w:p>
        </w:tc>
        <w:tc>
          <w:tcPr>
            <w:tcW w:w="388" w:type="pct"/>
            <w:vAlign w:val="center"/>
          </w:tcPr>
          <w:p w14:paraId="77418614">
            <w:pPr>
              <w:pStyle w:val="12"/>
              <w:jc w:val="center"/>
            </w:pPr>
            <w:r>
              <w:rPr>
                <w:rFonts w:hint="eastAsia"/>
              </w:rPr>
              <w:t>男</w:t>
            </w:r>
          </w:p>
        </w:tc>
        <w:tc>
          <w:tcPr>
            <w:tcW w:w="582" w:type="pct"/>
            <w:vAlign w:val="center"/>
          </w:tcPr>
          <w:p w14:paraId="3FF2D65C">
            <w:pPr>
              <w:pStyle w:val="12"/>
              <w:jc w:val="center"/>
            </w:pPr>
            <w:r>
              <w:rPr>
                <w:rFonts w:hint="eastAsia"/>
              </w:rPr>
              <w:t>1905年</w:t>
            </w:r>
          </w:p>
        </w:tc>
        <w:tc>
          <w:tcPr>
            <w:tcW w:w="582" w:type="pct"/>
            <w:vAlign w:val="center"/>
          </w:tcPr>
          <w:p w14:paraId="189B40FD">
            <w:pPr>
              <w:pStyle w:val="12"/>
              <w:jc w:val="center"/>
            </w:pPr>
            <w:r>
              <w:rPr>
                <w:rFonts w:hint="eastAsia"/>
              </w:rPr>
              <w:t>乌迳镇</w:t>
            </w:r>
          </w:p>
        </w:tc>
        <w:tc>
          <w:tcPr>
            <w:tcW w:w="582" w:type="pct"/>
            <w:vAlign w:val="center"/>
          </w:tcPr>
          <w:p w14:paraId="13C6C5E3">
            <w:pPr>
              <w:pStyle w:val="12"/>
              <w:jc w:val="center"/>
            </w:pPr>
            <w:r>
              <w:rPr>
                <w:rFonts w:hint="eastAsia"/>
              </w:rPr>
              <w:t>1928年</w:t>
            </w:r>
          </w:p>
        </w:tc>
        <w:tc>
          <w:tcPr>
            <w:tcW w:w="1066" w:type="pct"/>
            <w:vAlign w:val="center"/>
          </w:tcPr>
          <w:p w14:paraId="64CACB1A">
            <w:pPr>
              <w:pStyle w:val="12"/>
              <w:jc w:val="left"/>
              <w:rPr>
                <w:rFonts w:ascii="宋体" w:hAnsi="宋体" w:cs="宋体"/>
              </w:rPr>
            </w:pPr>
            <w:r>
              <w:rPr>
                <w:rFonts w:hint="eastAsia"/>
              </w:rPr>
              <w:t>油山游击队</w:t>
            </w:r>
          </w:p>
          <w:p w14:paraId="4C86E056">
            <w:pPr>
              <w:pStyle w:val="12"/>
              <w:jc w:val="left"/>
            </w:pPr>
            <w:r>
              <w:rPr>
                <w:rFonts w:hint="eastAsia" w:ascii="宋体" w:hAnsi="宋体" w:cs="宋体"/>
              </w:rPr>
              <w:t>财务委员</w:t>
            </w:r>
          </w:p>
        </w:tc>
        <w:tc>
          <w:tcPr>
            <w:tcW w:w="1160" w:type="pct"/>
            <w:vAlign w:val="center"/>
          </w:tcPr>
          <w:p w14:paraId="4374A541">
            <w:pPr>
              <w:pStyle w:val="12"/>
              <w:jc w:val="left"/>
            </w:pPr>
            <w:r>
              <w:rPr>
                <w:rFonts w:hint="eastAsia"/>
              </w:rPr>
              <w:t>1929年5月18日在孔江铜锣湾水口背被捕，在乌迳就义</w:t>
            </w:r>
          </w:p>
        </w:tc>
      </w:tr>
      <w:tr w14:paraId="32FE3B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5E480F1">
            <w:pPr>
              <w:pStyle w:val="12"/>
              <w:jc w:val="center"/>
            </w:pPr>
            <w:r>
              <w:rPr>
                <w:rFonts w:hint="eastAsia"/>
              </w:rPr>
              <w:t>蔡荣庭</w:t>
            </w:r>
          </w:p>
        </w:tc>
        <w:tc>
          <w:tcPr>
            <w:tcW w:w="388" w:type="pct"/>
            <w:vAlign w:val="center"/>
          </w:tcPr>
          <w:p w14:paraId="74E6CB39">
            <w:pPr>
              <w:pStyle w:val="12"/>
              <w:jc w:val="center"/>
            </w:pPr>
            <w:r>
              <w:rPr>
                <w:rFonts w:hint="eastAsia"/>
              </w:rPr>
              <w:t>男</w:t>
            </w:r>
          </w:p>
        </w:tc>
        <w:tc>
          <w:tcPr>
            <w:tcW w:w="582" w:type="pct"/>
            <w:vAlign w:val="center"/>
          </w:tcPr>
          <w:p w14:paraId="7F8CA7A7">
            <w:pPr>
              <w:pStyle w:val="12"/>
              <w:jc w:val="center"/>
            </w:pPr>
            <w:r>
              <w:rPr>
                <w:rFonts w:hint="eastAsia"/>
              </w:rPr>
              <w:t>1891年</w:t>
            </w:r>
          </w:p>
        </w:tc>
        <w:tc>
          <w:tcPr>
            <w:tcW w:w="582" w:type="pct"/>
            <w:vAlign w:val="center"/>
          </w:tcPr>
          <w:p w14:paraId="53B0589D">
            <w:pPr>
              <w:pStyle w:val="12"/>
              <w:jc w:val="center"/>
            </w:pPr>
            <w:r>
              <w:rPr>
                <w:rFonts w:hint="eastAsia"/>
              </w:rPr>
              <w:t>南亩镇</w:t>
            </w:r>
          </w:p>
        </w:tc>
        <w:tc>
          <w:tcPr>
            <w:tcW w:w="582" w:type="pct"/>
            <w:vAlign w:val="center"/>
          </w:tcPr>
          <w:p w14:paraId="255B58BE">
            <w:pPr>
              <w:pStyle w:val="12"/>
              <w:jc w:val="center"/>
            </w:pPr>
            <w:r>
              <w:rPr>
                <w:rFonts w:hint="eastAsia"/>
              </w:rPr>
              <w:t>1928年</w:t>
            </w:r>
          </w:p>
        </w:tc>
        <w:tc>
          <w:tcPr>
            <w:tcW w:w="1066" w:type="pct"/>
            <w:vAlign w:val="center"/>
          </w:tcPr>
          <w:p w14:paraId="0194BF64">
            <w:pPr>
              <w:pStyle w:val="12"/>
              <w:jc w:val="left"/>
            </w:pPr>
            <w:r>
              <w:rPr>
                <w:rFonts w:hint="eastAsia"/>
              </w:rPr>
              <w:t>油山游击队队员</w:t>
            </w:r>
          </w:p>
        </w:tc>
        <w:tc>
          <w:tcPr>
            <w:tcW w:w="1160" w:type="pct"/>
            <w:vAlign w:val="center"/>
          </w:tcPr>
          <w:p w14:paraId="630349F2">
            <w:pPr>
              <w:pStyle w:val="12"/>
              <w:jc w:val="left"/>
            </w:pPr>
            <w:r>
              <w:rPr>
                <w:rFonts w:hint="eastAsia"/>
              </w:rPr>
              <w:t>1929年在邓坊战斗牺牲</w:t>
            </w:r>
          </w:p>
        </w:tc>
      </w:tr>
      <w:tr w14:paraId="43A830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EF94774">
            <w:pPr>
              <w:pStyle w:val="12"/>
              <w:jc w:val="center"/>
            </w:pPr>
            <w:r>
              <w:rPr>
                <w:rFonts w:hint="eastAsia"/>
              </w:rPr>
              <w:t>叶舒云</w:t>
            </w:r>
          </w:p>
        </w:tc>
        <w:tc>
          <w:tcPr>
            <w:tcW w:w="388" w:type="pct"/>
            <w:vAlign w:val="center"/>
          </w:tcPr>
          <w:p w14:paraId="2FC9826A">
            <w:pPr>
              <w:pStyle w:val="12"/>
              <w:jc w:val="center"/>
            </w:pPr>
            <w:r>
              <w:rPr>
                <w:rFonts w:hint="eastAsia"/>
              </w:rPr>
              <w:t>男</w:t>
            </w:r>
          </w:p>
        </w:tc>
        <w:tc>
          <w:tcPr>
            <w:tcW w:w="582" w:type="pct"/>
            <w:vAlign w:val="center"/>
          </w:tcPr>
          <w:p w14:paraId="6A53C1D6">
            <w:pPr>
              <w:pStyle w:val="12"/>
              <w:jc w:val="center"/>
            </w:pPr>
            <w:r>
              <w:rPr>
                <w:rFonts w:hint="eastAsia"/>
              </w:rPr>
              <w:t>1909年</w:t>
            </w:r>
          </w:p>
        </w:tc>
        <w:tc>
          <w:tcPr>
            <w:tcW w:w="582" w:type="pct"/>
            <w:vAlign w:val="center"/>
          </w:tcPr>
          <w:p w14:paraId="56D33D8E">
            <w:pPr>
              <w:pStyle w:val="12"/>
              <w:jc w:val="center"/>
            </w:pPr>
            <w:r>
              <w:rPr>
                <w:rFonts w:hint="eastAsia"/>
              </w:rPr>
              <w:t>乌迳镇</w:t>
            </w:r>
          </w:p>
        </w:tc>
        <w:tc>
          <w:tcPr>
            <w:tcW w:w="582" w:type="pct"/>
            <w:vAlign w:val="center"/>
          </w:tcPr>
          <w:p w14:paraId="10C4CC7F">
            <w:pPr>
              <w:pStyle w:val="12"/>
              <w:jc w:val="center"/>
            </w:pPr>
            <w:r>
              <w:rPr>
                <w:rFonts w:hint="eastAsia"/>
              </w:rPr>
              <w:t>1927年</w:t>
            </w:r>
          </w:p>
        </w:tc>
        <w:tc>
          <w:tcPr>
            <w:tcW w:w="1066" w:type="pct"/>
            <w:vAlign w:val="center"/>
          </w:tcPr>
          <w:p w14:paraId="7CA6EFE5">
            <w:pPr>
              <w:pStyle w:val="12"/>
              <w:jc w:val="left"/>
            </w:pPr>
            <w:r>
              <w:rPr>
                <w:rFonts w:hint="eastAsia"/>
              </w:rPr>
              <w:t>油山游击队队员</w:t>
            </w:r>
          </w:p>
        </w:tc>
        <w:tc>
          <w:tcPr>
            <w:tcW w:w="1160" w:type="pct"/>
            <w:vAlign w:val="center"/>
          </w:tcPr>
          <w:p w14:paraId="4CB7002D">
            <w:pPr>
              <w:pStyle w:val="12"/>
              <w:jc w:val="left"/>
            </w:pPr>
            <w:r>
              <w:rPr>
                <w:rFonts w:hint="eastAsia"/>
              </w:rPr>
              <w:t>1929年在坪林战斗中牺牲</w:t>
            </w:r>
          </w:p>
        </w:tc>
      </w:tr>
      <w:tr w14:paraId="54A7C6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0266A72">
            <w:pPr>
              <w:pStyle w:val="12"/>
              <w:jc w:val="center"/>
            </w:pPr>
            <w:r>
              <w:rPr>
                <w:rFonts w:hint="eastAsia"/>
              </w:rPr>
              <w:t>叶元生</w:t>
            </w:r>
          </w:p>
        </w:tc>
        <w:tc>
          <w:tcPr>
            <w:tcW w:w="388" w:type="pct"/>
            <w:vAlign w:val="center"/>
          </w:tcPr>
          <w:p w14:paraId="78F604DC">
            <w:pPr>
              <w:pStyle w:val="12"/>
              <w:jc w:val="center"/>
            </w:pPr>
            <w:r>
              <w:rPr>
                <w:rFonts w:hint="eastAsia"/>
              </w:rPr>
              <w:t>男</w:t>
            </w:r>
          </w:p>
        </w:tc>
        <w:tc>
          <w:tcPr>
            <w:tcW w:w="582" w:type="pct"/>
            <w:vAlign w:val="center"/>
          </w:tcPr>
          <w:p w14:paraId="53DDB48C">
            <w:pPr>
              <w:pStyle w:val="12"/>
              <w:jc w:val="center"/>
            </w:pPr>
            <w:r>
              <w:rPr>
                <w:rFonts w:hint="eastAsia"/>
              </w:rPr>
              <w:t>1899年</w:t>
            </w:r>
          </w:p>
        </w:tc>
        <w:tc>
          <w:tcPr>
            <w:tcW w:w="582" w:type="pct"/>
            <w:vAlign w:val="center"/>
          </w:tcPr>
          <w:p w14:paraId="718076D6">
            <w:pPr>
              <w:pStyle w:val="12"/>
              <w:jc w:val="center"/>
            </w:pPr>
            <w:r>
              <w:rPr>
                <w:rFonts w:hint="eastAsia"/>
              </w:rPr>
              <w:t>坪田镇</w:t>
            </w:r>
          </w:p>
        </w:tc>
        <w:tc>
          <w:tcPr>
            <w:tcW w:w="582" w:type="pct"/>
            <w:vAlign w:val="center"/>
          </w:tcPr>
          <w:p w14:paraId="0F1718F6">
            <w:pPr>
              <w:pStyle w:val="12"/>
              <w:jc w:val="center"/>
            </w:pPr>
            <w:r>
              <w:rPr>
                <w:rFonts w:hint="eastAsia"/>
              </w:rPr>
              <w:t>1928年</w:t>
            </w:r>
          </w:p>
        </w:tc>
        <w:tc>
          <w:tcPr>
            <w:tcW w:w="1066" w:type="pct"/>
            <w:vAlign w:val="center"/>
          </w:tcPr>
          <w:p w14:paraId="728F1BF1">
            <w:pPr>
              <w:pStyle w:val="12"/>
              <w:jc w:val="left"/>
              <w:rPr>
                <w:rFonts w:ascii="宋体" w:hAnsi="宋体" w:cs="宋体"/>
              </w:rPr>
            </w:pPr>
            <w:r>
              <w:rPr>
                <w:rFonts w:hint="eastAsia"/>
              </w:rPr>
              <w:t>油山游击队</w:t>
            </w:r>
          </w:p>
          <w:p w14:paraId="1CA30370">
            <w:pPr>
              <w:pStyle w:val="12"/>
              <w:jc w:val="left"/>
            </w:pPr>
            <w:r>
              <w:rPr>
                <w:rFonts w:hint="eastAsia" w:ascii="宋体" w:hAnsi="宋体" w:cs="宋体"/>
              </w:rPr>
              <w:t>通  讯  员</w:t>
            </w:r>
          </w:p>
        </w:tc>
        <w:tc>
          <w:tcPr>
            <w:tcW w:w="1160" w:type="pct"/>
            <w:vAlign w:val="center"/>
          </w:tcPr>
          <w:p w14:paraId="6332C1E0">
            <w:pPr>
              <w:pStyle w:val="12"/>
              <w:jc w:val="left"/>
            </w:pPr>
            <w:r>
              <w:rPr>
                <w:rFonts w:hint="eastAsia"/>
              </w:rPr>
              <w:t>1929年在新龙野猪村被捕，在县城郊就义</w:t>
            </w:r>
          </w:p>
        </w:tc>
      </w:tr>
      <w:tr w14:paraId="656F40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01BE3DC">
            <w:pPr>
              <w:pStyle w:val="12"/>
              <w:jc w:val="center"/>
            </w:pPr>
            <w:r>
              <w:rPr>
                <w:rFonts w:hint="eastAsia"/>
              </w:rPr>
              <w:t>邓矮子</w:t>
            </w:r>
          </w:p>
        </w:tc>
        <w:tc>
          <w:tcPr>
            <w:tcW w:w="388" w:type="pct"/>
            <w:vAlign w:val="center"/>
          </w:tcPr>
          <w:p w14:paraId="23421CF2">
            <w:pPr>
              <w:pStyle w:val="12"/>
              <w:jc w:val="center"/>
            </w:pPr>
            <w:r>
              <w:rPr>
                <w:rFonts w:hint="eastAsia"/>
              </w:rPr>
              <w:t>男</w:t>
            </w:r>
          </w:p>
        </w:tc>
        <w:tc>
          <w:tcPr>
            <w:tcW w:w="582" w:type="pct"/>
            <w:vAlign w:val="center"/>
          </w:tcPr>
          <w:p w14:paraId="24207CEB">
            <w:pPr>
              <w:pStyle w:val="12"/>
              <w:jc w:val="center"/>
            </w:pPr>
            <w:r>
              <w:rPr>
                <w:rFonts w:hint="eastAsia"/>
              </w:rPr>
              <w:t>1914年</w:t>
            </w:r>
          </w:p>
        </w:tc>
        <w:tc>
          <w:tcPr>
            <w:tcW w:w="582" w:type="pct"/>
            <w:vAlign w:val="center"/>
          </w:tcPr>
          <w:p w14:paraId="1203B780">
            <w:pPr>
              <w:pStyle w:val="12"/>
              <w:jc w:val="center"/>
            </w:pPr>
            <w:r>
              <w:rPr>
                <w:rFonts w:hint="eastAsia"/>
              </w:rPr>
              <w:t>坪田镇</w:t>
            </w:r>
          </w:p>
        </w:tc>
        <w:tc>
          <w:tcPr>
            <w:tcW w:w="582" w:type="pct"/>
            <w:vAlign w:val="center"/>
          </w:tcPr>
          <w:p w14:paraId="05FE4C02">
            <w:pPr>
              <w:pStyle w:val="12"/>
              <w:jc w:val="center"/>
            </w:pPr>
            <w:r>
              <w:rPr>
                <w:rFonts w:hint="eastAsia"/>
              </w:rPr>
              <w:t>1928年</w:t>
            </w:r>
          </w:p>
        </w:tc>
        <w:tc>
          <w:tcPr>
            <w:tcW w:w="1066" w:type="pct"/>
            <w:vAlign w:val="center"/>
          </w:tcPr>
          <w:p w14:paraId="7DFD0616">
            <w:pPr>
              <w:pStyle w:val="12"/>
              <w:jc w:val="left"/>
            </w:pPr>
            <w:r>
              <w:rPr>
                <w:rFonts w:hint="eastAsia"/>
              </w:rPr>
              <w:t>油山游击队队员</w:t>
            </w:r>
          </w:p>
        </w:tc>
        <w:tc>
          <w:tcPr>
            <w:tcW w:w="1160" w:type="pct"/>
            <w:vAlign w:val="center"/>
          </w:tcPr>
          <w:p w14:paraId="7C28BA6E">
            <w:pPr>
              <w:pStyle w:val="12"/>
              <w:jc w:val="left"/>
            </w:pPr>
            <w:r>
              <w:rPr>
                <w:rFonts w:hint="eastAsia"/>
              </w:rPr>
              <w:t>1929年在背迳湖坑战斗中牺牲</w:t>
            </w:r>
          </w:p>
        </w:tc>
      </w:tr>
      <w:tr w14:paraId="1E92AC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37E32EE">
            <w:pPr>
              <w:pStyle w:val="12"/>
              <w:jc w:val="center"/>
            </w:pPr>
            <w:r>
              <w:rPr>
                <w:rFonts w:hint="eastAsia"/>
              </w:rPr>
              <w:t>邓西洋古</w:t>
            </w:r>
          </w:p>
        </w:tc>
        <w:tc>
          <w:tcPr>
            <w:tcW w:w="388" w:type="pct"/>
            <w:vAlign w:val="center"/>
          </w:tcPr>
          <w:p w14:paraId="46398496">
            <w:pPr>
              <w:pStyle w:val="12"/>
              <w:jc w:val="center"/>
            </w:pPr>
            <w:r>
              <w:rPr>
                <w:rFonts w:hint="eastAsia"/>
              </w:rPr>
              <w:t>男</w:t>
            </w:r>
          </w:p>
        </w:tc>
        <w:tc>
          <w:tcPr>
            <w:tcW w:w="582" w:type="pct"/>
            <w:vAlign w:val="center"/>
          </w:tcPr>
          <w:p w14:paraId="0D9A7CAB">
            <w:pPr>
              <w:pStyle w:val="12"/>
              <w:jc w:val="center"/>
            </w:pPr>
            <w:r>
              <w:rPr>
                <w:rFonts w:hint="eastAsia"/>
              </w:rPr>
              <w:t>1914年</w:t>
            </w:r>
          </w:p>
        </w:tc>
        <w:tc>
          <w:tcPr>
            <w:tcW w:w="582" w:type="pct"/>
            <w:vAlign w:val="center"/>
          </w:tcPr>
          <w:p w14:paraId="7670F0AD">
            <w:pPr>
              <w:pStyle w:val="12"/>
              <w:jc w:val="center"/>
            </w:pPr>
            <w:r>
              <w:rPr>
                <w:rFonts w:hint="eastAsia"/>
              </w:rPr>
              <w:t>坪田镇</w:t>
            </w:r>
          </w:p>
        </w:tc>
        <w:tc>
          <w:tcPr>
            <w:tcW w:w="582" w:type="pct"/>
            <w:vAlign w:val="center"/>
          </w:tcPr>
          <w:p w14:paraId="59320693">
            <w:pPr>
              <w:pStyle w:val="12"/>
              <w:jc w:val="center"/>
            </w:pPr>
            <w:r>
              <w:rPr>
                <w:rFonts w:hint="eastAsia"/>
              </w:rPr>
              <w:t>1928年</w:t>
            </w:r>
          </w:p>
        </w:tc>
        <w:tc>
          <w:tcPr>
            <w:tcW w:w="1066" w:type="pct"/>
            <w:vAlign w:val="center"/>
          </w:tcPr>
          <w:p w14:paraId="225B1199">
            <w:pPr>
              <w:pStyle w:val="12"/>
              <w:jc w:val="left"/>
            </w:pPr>
            <w:r>
              <w:rPr>
                <w:rFonts w:hint="eastAsia"/>
              </w:rPr>
              <w:t>油山游击队班长</w:t>
            </w:r>
          </w:p>
        </w:tc>
        <w:tc>
          <w:tcPr>
            <w:tcW w:w="1160" w:type="pct"/>
            <w:vAlign w:val="center"/>
          </w:tcPr>
          <w:p w14:paraId="1AAB1692">
            <w:pPr>
              <w:pStyle w:val="12"/>
              <w:jc w:val="left"/>
            </w:pPr>
            <w:r>
              <w:rPr>
                <w:rFonts w:hint="eastAsia"/>
              </w:rPr>
              <w:t>1929年在背迳湖坑战斗被捕，在县城郊就义</w:t>
            </w:r>
          </w:p>
        </w:tc>
      </w:tr>
      <w:tr w14:paraId="28F5F7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A7716E8">
            <w:pPr>
              <w:pStyle w:val="12"/>
              <w:jc w:val="center"/>
            </w:pPr>
            <w:r>
              <w:rPr>
                <w:rFonts w:hint="eastAsia"/>
              </w:rPr>
              <w:t>赖红米古</w:t>
            </w:r>
          </w:p>
        </w:tc>
        <w:tc>
          <w:tcPr>
            <w:tcW w:w="388" w:type="pct"/>
            <w:vAlign w:val="center"/>
          </w:tcPr>
          <w:p w14:paraId="1312C64A">
            <w:pPr>
              <w:pStyle w:val="12"/>
              <w:jc w:val="center"/>
            </w:pPr>
            <w:r>
              <w:rPr>
                <w:rFonts w:hint="eastAsia"/>
              </w:rPr>
              <w:t>男</w:t>
            </w:r>
          </w:p>
        </w:tc>
        <w:tc>
          <w:tcPr>
            <w:tcW w:w="582" w:type="pct"/>
            <w:vAlign w:val="center"/>
          </w:tcPr>
          <w:p w14:paraId="75331C7E">
            <w:pPr>
              <w:pStyle w:val="12"/>
              <w:jc w:val="center"/>
            </w:pPr>
            <w:r>
              <w:rPr>
                <w:rFonts w:hint="eastAsia"/>
              </w:rPr>
              <w:t>1915年</w:t>
            </w:r>
          </w:p>
        </w:tc>
        <w:tc>
          <w:tcPr>
            <w:tcW w:w="582" w:type="pct"/>
            <w:vAlign w:val="center"/>
          </w:tcPr>
          <w:p w14:paraId="6AF00DB7">
            <w:pPr>
              <w:pStyle w:val="12"/>
              <w:jc w:val="center"/>
            </w:pPr>
            <w:r>
              <w:rPr>
                <w:rFonts w:hint="eastAsia"/>
              </w:rPr>
              <w:t>坪田镇</w:t>
            </w:r>
          </w:p>
        </w:tc>
        <w:tc>
          <w:tcPr>
            <w:tcW w:w="582" w:type="pct"/>
            <w:vAlign w:val="center"/>
          </w:tcPr>
          <w:p w14:paraId="496E4E56">
            <w:pPr>
              <w:pStyle w:val="12"/>
              <w:jc w:val="center"/>
            </w:pPr>
            <w:r>
              <w:rPr>
                <w:rFonts w:hint="eastAsia"/>
              </w:rPr>
              <w:t>1928年</w:t>
            </w:r>
          </w:p>
        </w:tc>
        <w:tc>
          <w:tcPr>
            <w:tcW w:w="1066" w:type="pct"/>
            <w:vAlign w:val="center"/>
          </w:tcPr>
          <w:p w14:paraId="0C8ED58B">
            <w:pPr>
              <w:pStyle w:val="12"/>
              <w:jc w:val="left"/>
            </w:pPr>
            <w:r>
              <w:rPr>
                <w:rFonts w:hint="eastAsia"/>
              </w:rPr>
              <w:t>油山游击队队员</w:t>
            </w:r>
          </w:p>
        </w:tc>
        <w:tc>
          <w:tcPr>
            <w:tcW w:w="1160" w:type="pct"/>
            <w:vAlign w:val="center"/>
          </w:tcPr>
          <w:p w14:paraId="2A73CF38">
            <w:pPr>
              <w:pStyle w:val="12"/>
              <w:jc w:val="left"/>
            </w:pPr>
            <w:r>
              <w:rPr>
                <w:rFonts w:hint="eastAsia"/>
              </w:rPr>
              <w:t>1929年在新龙樟岭战斗被捕，在县城郊就义</w:t>
            </w:r>
          </w:p>
        </w:tc>
      </w:tr>
      <w:tr w14:paraId="71FDFB7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6D2A094">
            <w:pPr>
              <w:pStyle w:val="12"/>
              <w:jc w:val="center"/>
            </w:pPr>
            <w:r>
              <w:rPr>
                <w:rFonts w:hint="eastAsia"/>
              </w:rPr>
              <w:t>赖参燃</w:t>
            </w:r>
          </w:p>
        </w:tc>
        <w:tc>
          <w:tcPr>
            <w:tcW w:w="388" w:type="pct"/>
            <w:vAlign w:val="center"/>
          </w:tcPr>
          <w:p w14:paraId="303542B2">
            <w:pPr>
              <w:pStyle w:val="12"/>
              <w:jc w:val="center"/>
            </w:pPr>
            <w:r>
              <w:rPr>
                <w:rFonts w:hint="eastAsia"/>
              </w:rPr>
              <w:t>男</w:t>
            </w:r>
          </w:p>
        </w:tc>
        <w:tc>
          <w:tcPr>
            <w:tcW w:w="582" w:type="pct"/>
            <w:vAlign w:val="center"/>
          </w:tcPr>
          <w:p w14:paraId="74D6E1BA">
            <w:pPr>
              <w:pStyle w:val="12"/>
              <w:jc w:val="center"/>
            </w:pPr>
            <w:r>
              <w:rPr>
                <w:rFonts w:hint="eastAsia"/>
              </w:rPr>
              <w:t>1886年</w:t>
            </w:r>
          </w:p>
        </w:tc>
        <w:tc>
          <w:tcPr>
            <w:tcW w:w="582" w:type="pct"/>
            <w:vAlign w:val="center"/>
          </w:tcPr>
          <w:p w14:paraId="3B74A9A3">
            <w:pPr>
              <w:pStyle w:val="12"/>
              <w:jc w:val="center"/>
            </w:pPr>
            <w:r>
              <w:rPr>
                <w:rFonts w:hint="eastAsia"/>
              </w:rPr>
              <w:t>坪田镇</w:t>
            </w:r>
          </w:p>
        </w:tc>
        <w:tc>
          <w:tcPr>
            <w:tcW w:w="582" w:type="pct"/>
            <w:vAlign w:val="center"/>
          </w:tcPr>
          <w:p w14:paraId="2B73803A">
            <w:pPr>
              <w:pStyle w:val="12"/>
              <w:jc w:val="center"/>
            </w:pPr>
            <w:r>
              <w:rPr>
                <w:rFonts w:hint="eastAsia"/>
              </w:rPr>
              <w:t>1929年</w:t>
            </w:r>
          </w:p>
        </w:tc>
        <w:tc>
          <w:tcPr>
            <w:tcW w:w="1066" w:type="pct"/>
            <w:vAlign w:val="center"/>
          </w:tcPr>
          <w:p w14:paraId="0BFEFC05">
            <w:pPr>
              <w:pStyle w:val="12"/>
              <w:jc w:val="left"/>
            </w:pPr>
            <w:r>
              <w:rPr>
                <w:rFonts w:hint="eastAsia"/>
              </w:rPr>
              <w:t>油山游击队队员</w:t>
            </w:r>
          </w:p>
        </w:tc>
        <w:tc>
          <w:tcPr>
            <w:tcW w:w="1160" w:type="pct"/>
            <w:vAlign w:val="center"/>
          </w:tcPr>
          <w:p w14:paraId="780AF5A2">
            <w:pPr>
              <w:pStyle w:val="12"/>
              <w:jc w:val="left"/>
            </w:pPr>
            <w:r>
              <w:rPr>
                <w:rFonts w:hint="eastAsia"/>
              </w:rPr>
              <w:t>1929年在江头被捕就义</w:t>
            </w:r>
          </w:p>
        </w:tc>
      </w:tr>
      <w:tr w14:paraId="02CF1C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4EC501C">
            <w:pPr>
              <w:pStyle w:val="12"/>
              <w:jc w:val="center"/>
            </w:pPr>
            <w:r>
              <w:rPr>
                <w:rFonts w:hint="eastAsia"/>
              </w:rPr>
              <w:t>欧阳汝信</w:t>
            </w:r>
          </w:p>
        </w:tc>
        <w:tc>
          <w:tcPr>
            <w:tcW w:w="388" w:type="pct"/>
            <w:vAlign w:val="center"/>
          </w:tcPr>
          <w:p w14:paraId="090004E6">
            <w:pPr>
              <w:pStyle w:val="12"/>
              <w:jc w:val="center"/>
            </w:pPr>
            <w:r>
              <w:rPr>
                <w:rFonts w:hint="eastAsia"/>
              </w:rPr>
              <w:t>男</w:t>
            </w:r>
          </w:p>
        </w:tc>
        <w:tc>
          <w:tcPr>
            <w:tcW w:w="582" w:type="pct"/>
            <w:vAlign w:val="center"/>
          </w:tcPr>
          <w:p w14:paraId="71B458D0">
            <w:pPr>
              <w:pStyle w:val="12"/>
              <w:jc w:val="center"/>
            </w:pPr>
            <w:r>
              <w:rPr>
                <w:rFonts w:hint="eastAsia"/>
              </w:rPr>
              <w:t>1899年</w:t>
            </w:r>
          </w:p>
        </w:tc>
        <w:tc>
          <w:tcPr>
            <w:tcW w:w="582" w:type="pct"/>
            <w:vAlign w:val="center"/>
          </w:tcPr>
          <w:p w14:paraId="58653AA5">
            <w:pPr>
              <w:pStyle w:val="12"/>
              <w:jc w:val="center"/>
            </w:pPr>
            <w:r>
              <w:rPr>
                <w:rFonts w:hint="eastAsia"/>
              </w:rPr>
              <w:t>水口镇</w:t>
            </w:r>
          </w:p>
        </w:tc>
        <w:tc>
          <w:tcPr>
            <w:tcW w:w="582" w:type="pct"/>
            <w:vAlign w:val="center"/>
          </w:tcPr>
          <w:p w14:paraId="2844CA53">
            <w:pPr>
              <w:pStyle w:val="12"/>
              <w:jc w:val="center"/>
            </w:pPr>
            <w:r>
              <w:rPr>
                <w:rFonts w:hint="eastAsia"/>
              </w:rPr>
              <w:t>1927年</w:t>
            </w:r>
          </w:p>
        </w:tc>
        <w:tc>
          <w:tcPr>
            <w:tcW w:w="1066" w:type="pct"/>
            <w:vAlign w:val="center"/>
          </w:tcPr>
          <w:p w14:paraId="091FC16B">
            <w:pPr>
              <w:pStyle w:val="12"/>
              <w:jc w:val="left"/>
            </w:pPr>
            <w:r>
              <w:rPr>
                <w:rFonts w:hint="eastAsia"/>
              </w:rPr>
              <w:t>油山游击队队员</w:t>
            </w:r>
          </w:p>
        </w:tc>
        <w:tc>
          <w:tcPr>
            <w:tcW w:w="1160" w:type="pct"/>
            <w:vAlign w:val="center"/>
          </w:tcPr>
          <w:p w14:paraId="0D40C487">
            <w:pPr>
              <w:pStyle w:val="12"/>
              <w:jc w:val="left"/>
            </w:pPr>
            <w:r>
              <w:rPr>
                <w:rFonts w:hint="eastAsia"/>
              </w:rPr>
              <w:t>1929年冬在篛过老屋村被捕就义</w:t>
            </w:r>
          </w:p>
        </w:tc>
      </w:tr>
      <w:tr w14:paraId="591D82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B8D2AFB">
            <w:pPr>
              <w:pStyle w:val="12"/>
              <w:jc w:val="center"/>
            </w:pPr>
            <w:r>
              <w:rPr>
                <w:rFonts w:hint="eastAsia"/>
              </w:rPr>
              <w:t>叶丰清</w:t>
            </w:r>
          </w:p>
        </w:tc>
        <w:tc>
          <w:tcPr>
            <w:tcW w:w="388" w:type="pct"/>
            <w:vAlign w:val="center"/>
          </w:tcPr>
          <w:p w14:paraId="5493F174">
            <w:pPr>
              <w:pStyle w:val="12"/>
              <w:jc w:val="center"/>
            </w:pPr>
            <w:r>
              <w:rPr>
                <w:rFonts w:hint="eastAsia"/>
              </w:rPr>
              <w:t>男</w:t>
            </w:r>
          </w:p>
        </w:tc>
        <w:tc>
          <w:tcPr>
            <w:tcW w:w="582" w:type="pct"/>
            <w:vAlign w:val="center"/>
          </w:tcPr>
          <w:p w14:paraId="72DE8ABA">
            <w:pPr>
              <w:pStyle w:val="12"/>
              <w:jc w:val="center"/>
            </w:pPr>
            <w:r>
              <w:rPr>
                <w:rFonts w:hint="eastAsia"/>
              </w:rPr>
              <w:t>1909年</w:t>
            </w:r>
          </w:p>
        </w:tc>
        <w:tc>
          <w:tcPr>
            <w:tcW w:w="582" w:type="pct"/>
            <w:vAlign w:val="center"/>
          </w:tcPr>
          <w:p w14:paraId="6E3F6FA4">
            <w:pPr>
              <w:pStyle w:val="12"/>
              <w:jc w:val="center"/>
            </w:pPr>
            <w:r>
              <w:rPr>
                <w:rFonts w:hint="eastAsia"/>
              </w:rPr>
              <w:t>油山镇</w:t>
            </w:r>
          </w:p>
        </w:tc>
        <w:tc>
          <w:tcPr>
            <w:tcW w:w="582" w:type="pct"/>
            <w:vAlign w:val="center"/>
          </w:tcPr>
          <w:p w14:paraId="1575A483">
            <w:pPr>
              <w:pStyle w:val="12"/>
              <w:jc w:val="center"/>
            </w:pPr>
            <w:r>
              <w:rPr>
                <w:rFonts w:hint="eastAsia"/>
              </w:rPr>
              <w:t>1929年</w:t>
            </w:r>
          </w:p>
        </w:tc>
        <w:tc>
          <w:tcPr>
            <w:tcW w:w="1066" w:type="pct"/>
            <w:vAlign w:val="center"/>
          </w:tcPr>
          <w:p w14:paraId="0B0C9540">
            <w:pPr>
              <w:pStyle w:val="12"/>
              <w:jc w:val="left"/>
            </w:pPr>
            <w:r>
              <w:rPr>
                <w:rFonts w:hint="eastAsia"/>
              </w:rPr>
              <w:t>油山游击队队员</w:t>
            </w:r>
          </w:p>
        </w:tc>
        <w:tc>
          <w:tcPr>
            <w:tcW w:w="1160" w:type="pct"/>
            <w:vAlign w:val="center"/>
          </w:tcPr>
          <w:p w14:paraId="0B01A0F1">
            <w:pPr>
              <w:pStyle w:val="12"/>
              <w:jc w:val="left"/>
            </w:pPr>
            <w:r>
              <w:rPr>
                <w:rFonts w:hint="eastAsia"/>
              </w:rPr>
              <w:t>在江西信丰坝田被捕，在本县乌迳就义</w:t>
            </w:r>
          </w:p>
        </w:tc>
      </w:tr>
      <w:tr w14:paraId="0946FA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8DAEB29">
            <w:pPr>
              <w:pStyle w:val="12"/>
              <w:jc w:val="center"/>
            </w:pPr>
            <w:r>
              <w:rPr>
                <w:rFonts w:hint="eastAsia"/>
              </w:rPr>
              <w:t>徐光山</w:t>
            </w:r>
          </w:p>
        </w:tc>
        <w:tc>
          <w:tcPr>
            <w:tcW w:w="388" w:type="pct"/>
            <w:vAlign w:val="center"/>
          </w:tcPr>
          <w:p w14:paraId="7AFD515A">
            <w:pPr>
              <w:pStyle w:val="12"/>
              <w:jc w:val="center"/>
            </w:pPr>
            <w:r>
              <w:rPr>
                <w:rFonts w:hint="eastAsia"/>
              </w:rPr>
              <w:t>男</w:t>
            </w:r>
          </w:p>
        </w:tc>
        <w:tc>
          <w:tcPr>
            <w:tcW w:w="582" w:type="pct"/>
            <w:vAlign w:val="center"/>
          </w:tcPr>
          <w:p w14:paraId="4BE6F1C1">
            <w:pPr>
              <w:pStyle w:val="12"/>
              <w:jc w:val="center"/>
            </w:pPr>
            <w:r>
              <w:rPr>
                <w:rFonts w:hint="eastAsia"/>
              </w:rPr>
              <w:t>1904年</w:t>
            </w:r>
          </w:p>
        </w:tc>
        <w:tc>
          <w:tcPr>
            <w:tcW w:w="582" w:type="pct"/>
            <w:vAlign w:val="center"/>
          </w:tcPr>
          <w:p w14:paraId="1833AF1D">
            <w:pPr>
              <w:pStyle w:val="12"/>
              <w:jc w:val="center"/>
            </w:pPr>
            <w:r>
              <w:rPr>
                <w:rFonts w:hint="eastAsia"/>
              </w:rPr>
              <w:t>油山镇</w:t>
            </w:r>
          </w:p>
        </w:tc>
        <w:tc>
          <w:tcPr>
            <w:tcW w:w="582" w:type="pct"/>
            <w:vAlign w:val="center"/>
          </w:tcPr>
          <w:p w14:paraId="09C41F2A">
            <w:pPr>
              <w:pStyle w:val="12"/>
              <w:jc w:val="center"/>
            </w:pPr>
            <w:r>
              <w:rPr>
                <w:rFonts w:hint="eastAsia"/>
              </w:rPr>
              <w:t>1928年</w:t>
            </w:r>
          </w:p>
        </w:tc>
        <w:tc>
          <w:tcPr>
            <w:tcW w:w="1066" w:type="pct"/>
            <w:vAlign w:val="center"/>
          </w:tcPr>
          <w:p w14:paraId="1A2A1D32">
            <w:pPr>
              <w:pStyle w:val="12"/>
              <w:jc w:val="left"/>
              <w:rPr>
                <w:rFonts w:ascii="宋体" w:hAnsi="宋体" w:cs="宋体"/>
              </w:rPr>
            </w:pPr>
            <w:r>
              <w:rPr>
                <w:rFonts w:hint="eastAsia"/>
              </w:rPr>
              <w:t>油山游击队</w:t>
            </w:r>
          </w:p>
          <w:p w14:paraId="1B61309B">
            <w:pPr>
              <w:pStyle w:val="12"/>
              <w:jc w:val="left"/>
            </w:pPr>
            <w:r>
              <w:rPr>
                <w:rFonts w:hint="eastAsia" w:ascii="宋体" w:hAnsi="宋体" w:cs="宋体"/>
              </w:rPr>
              <w:t>小  队  长</w:t>
            </w:r>
          </w:p>
        </w:tc>
        <w:tc>
          <w:tcPr>
            <w:tcW w:w="1160" w:type="pct"/>
            <w:vAlign w:val="center"/>
          </w:tcPr>
          <w:p w14:paraId="37904BE6">
            <w:pPr>
              <w:pStyle w:val="12"/>
              <w:jc w:val="left"/>
            </w:pPr>
            <w:r>
              <w:rPr>
                <w:rFonts w:hint="eastAsia"/>
              </w:rPr>
              <w:t>1930年在大塘战斗牺牲</w:t>
            </w:r>
          </w:p>
        </w:tc>
      </w:tr>
      <w:tr w14:paraId="46320D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6BDD1C4">
            <w:pPr>
              <w:pStyle w:val="12"/>
              <w:jc w:val="center"/>
            </w:pPr>
            <w:r>
              <w:rPr>
                <w:rFonts w:hint="eastAsia"/>
              </w:rPr>
              <w:t>李大头古</w:t>
            </w:r>
          </w:p>
        </w:tc>
        <w:tc>
          <w:tcPr>
            <w:tcW w:w="388" w:type="pct"/>
            <w:vAlign w:val="center"/>
          </w:tcPr>
          <w:p w14:paraId="707D0799">
            <w:pPr>
              <w:pStyle w:val="12"/>
              <w:jc w:val="center"/>
            </w:pPr>
            <w:r>
              <w:rPr>
                <w:rFonts w:hint="eastAsia"/>
              </w:rPr>
              <w:t>男</w:t>
            </w:r>
          </w:p>
        </w:tc>
        <w:tc>
          <w:tcPr>
            <w:tcW w:w="582" w:type="pct"/>
            <w:vAlign w:val="center"/>
          </w:tcPr>
          <w:p w14:paraId="28BC1DFA">
            <w:pPr>
              <w:pStyle w:val="12"/>
              <w:jc w:val="center"/>
            </w:pPr>
            <w:r>
              <w:rPr>
                <w:rFonts w:hint="eastAsia"/>
              </w:rPr>
              <w:t>1877年</w:t>
            </w:r>
          </w:p>
        </w:tc>
        <w:tc>
          <w:tcPr>
            <w:tcW w:w="582" w:type="pct"/>
            <w:vAlign w:val="center"/>
          </w:tcPr>
          <w:p w14:paraId="304C63FD">
            <w:pPr>
              <w:pStyle w:val="12"/>
              <w:jc w:val="center"/>
            </w:pPr>
            <w:r>
              <w:rPr>
                <w:rFonts w:hint="eastAsia"/>
              </w:rPr>
              <w:t>乌迳镇</w:t>
            </w:r>
          </w:p>
        </w:tc>
        <w:tc>
          <w:tcPr>
            <w:tcW w:w="582" w:type="pct"/>
            <w:vAlign w:val="center"/>
          </w:tcPr>
          <w:p w14:paraId="6E27CE97">
            <w:pPr>
              <w:pStyle w:val="12"/>
              <w:jc w:val="center"/>
            </w:pPr>
            <w:r>
              <w:rPr>
                <w:rFonts w:hint="eastAsia"/>
              </w:rPr>
              <w:t>1928年</w:t>
            </w:r>
          </w:p>
        </w:tc>
        <w:tc>
          <w:tcPr>
            <w:tcW w:w="1066" w:type="pct"/>
            <w:vAlign w:val="center"/>
          </w:tcPr>
          <w:p w14:paraId="4E75F8B7">
            <w:pPr>
              <w:pStyle w:val="12"/>
              <w:jc w:val="left"/>
            </w:pPr>
            <w:r>
              <w:rPr>
                <w:rFonts w:hint="eastAsia"/>
              </w:rPr>
              <w:t>工农红军战士</w:t>
            </w:r>
          </w:p>
        </w:tc>
        <w:tc>
          <w:tcPr>
            <w:tcW w:w="1160" w:type="pct"/>
            <w:vAlign w:val="center"/>
          </w:tcPr>
          <w:p w14:paraId="52F0BF13">
            <w:pPr>
              <w:pStyle w:val="12"/>
              <w:jc w:val="left"/>
            </w:pPr>
            <w:r>
              <w:rPr>
                <w:rFonts w:hint="eastAsia"/>
              </w:rPr>
              <w:t>1930年在江西信丰县下坪战斗牺牲</w:t>
            </w:r>
          </w:p>
        </w:tc>
      </w:tr>
      <w:tr w14:paraId="61CE38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81ACBD2">
            <w:pPr>
              <w:pStyle w:val="12"/>
              <w:jc w:val="center"/>
            </w:pPr>
            <w:r>
              <w:rPr>
                <w:rFonts w:hint="eastAsia"/>
              </w:rPr>
              <w:t>曾昭秀</w:t>
            </w:r>
          </w:p>
        </w:tc>
        <w:tc>
          <w:tcPr>
            <w:tcW w:w="388" w:type="pct"/>
            <w:vAlign w:val="center"/>
          </w:tcPr>
          <w:p w14:paraId="1E3F67F8">
            <w:pPr>
              <w:pStyle w:val="12"/>
              <w:jc w:val="center"/>
            </w:pPr>
            <w:r>
              <w:rPr>
                <w:rFonts w:hint="eastAsia"/>
              </w:rPr>
              <w:t>男</w:t>
            </w:r>
          </w:p>
        </w:tc>
        <w:tc>
          <w:tcPr>
            <w:tcW w:w="582" w:type="pct"/>
            <w:vAlign w:val="center"/>
          </w:tcPr>
          <w:p w14:paraId="73DDC035">
            <w:pPr>
              <w:pStyle w:val="12"/>
              <w:jc w:val="center"/>
            </w:pPr>
            <w:r>
              <w:rPr>
                <w:rFonts w:hint="eastAsia"/>
              </w:rPr>
              <w:t>1900年</w:t>
            </w:r>
          </w:p>
        </w:tc>
        <w:tc>
          <w:tcPr>
            <w:tcW w:w="582" w:type="pct"/>
            <w:vAlign w:val="center"/>
          </w:tcPr>
          <w:p w14:paraId="6E343673">
            <w:pPr>
              <w:pStyle w:val="12"/>
              <w:jc w:val="center"/>
            </w:pPr>
            <w:r>
              <w:rPr>
                <w:rFonts w:hint="eastAsia"/>
              </w:rPr>
              <w:t>湖口镇</w:t>
            </w:r>
          </w:p>
        </w:tc>
        <w:tc>
          <w:tcPr>
            <w:tcW w:w="582" w:type="pct"/>
            <w:vAlign w:val="center"/>
          </w:tcPr>
          <w:p w14:paraId="00911479">
            <w:pPr>
              <w:pStyle w:val="12"/>
              <w:jc w:val="center"/>
            </w:pPr>
            <w:r>
              <w:rPr>
                <w:rFonts w:hint="eastAsia"/>
              </w:rPr>
              <w:t>1926年</w:t>
            </w:r>
          </w:p>
        </w:tc>
        <w:tc>
          <w:tcPr>
            <w:tcW w:w="1066" w:type="pct"/>
            <w:vAlign w:val="center"/>
          </w:tcPr>
          <w:p w14:paraId="4832EC3E">
            <w:pPr>
              <w:pStyle w:val="12"/>
              <w:jc w:val="left"/>
            </w:pPr>
            <w:r>
              <w:rPr>
                <w:rFonts w:hint="eastAsia"/>
              </w:rPr>
              <w:t>中共南雄县委书记</w:t>
            </w:r>
            <w:r>
              <w:rPr>
                <w:rFonts w:hint="eastAsia" w:ascii="宋体" w:hAnsi="宋体" w:cs="宋体"/>
              </w:rPr>
              <w:t>中共寻乌县委书记</w:t>
            </w:r>
          </w:p>
        </w:tc>
        <w:tc>
          <w:tcPr>
            <w:tcW w:w="1160" w:type="pct"/>
            <w:vAlign w:val="center"/>
          </w:tcPr>
          <w:p w14:paraId="5CCFA51C">
            <w:pPr>
              <w:pStyle w:val="12"/>
              <w:jc w:val="left"/>
            </w:pPr>
            <w:r>
              <w:rPr>
                <w:rFonts w:hint="eastAsia"/>
              </w:rPr>
              <w:t>1930年春在江西安远遇害，有传</w:t>
            </w:r>
          </w:p>
        </w:tc>
      </w:tr>
      <w:tr w14:paraId="5CA304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4478FE2">
            <w:pPr>
              <w:pStyle w:val="12"/>
              <w:jc w:val="center"/>
            </w:pPr>
            <w:r>
              <w:rPr>
                <w:rFonts w:hint="eastAsia"/>
              </w:rPr>
              <w:t>彭彰伟</w:t>
            </w:r>
          </w:p>
        </w:tc>
        <w:tc>
          <w:tcPr>
            <w:tcW w:w="388" w:type="pct"/>
            <w:vAlign w:val="center"/>
          </w:tcPr>
          <w:p w14:paraId="7F2733DE">
            <w:pPr>
              <w:pStyle w:val="12"/>
              <w:jc w:val="center"/>
            </w:pPr>
            <w:r>
              <w:rPr>
                <w:rFonts w:hint="eastAsia"/>
              </w:rPr>
              <w:t>男</w:t>
            </w:r>
          </w:p>
        </w:tc>
        <w:tc>
          <w:tcPr>
            <w:tcW w:w="582" w:type="pct"/>
            <w:vAlign w:val="center"/>
          </w:tcPr>
          <w:p w14:paraId="3ADE06CB">
            <w:pPr>
              <w:pStyle w:val="12"/>
              <w:jc w:val="center"/>
            </w:pPr>
            <w:r>
              <w:rPr>
                <w:rFonts w:hint="eastAsia"/>
              </w:rPr>
              <w:t>1895年</w:t>
            </w:r>
          </w:p>
        </w:tc>
        <w:tc>
          <w:tcPr>
            <w:tcW w:w="582" w:type="pct"/>
            <w:vAlign w:val="center"/>
          </w:tcPr>
          <w:p w14:paraId="65D85DF2">
            <w:pPr>
              <w:pStyle w:val="12"/>
              <w:jc w:val="center"/>
            </w:pPr>
            <w:r>
              <w:rPr>
                <w:rFonts w:hint="eastAsia"/>
              </w:rPr>
              <w:t>油山镇</w:t>
            </w:r>
          </w:p>
        </w:tc>
        <w:tc>
          <w:tcPr>
            <w:tcW w:w="582" w:type="pct"/>
            <w:vAlign w:val="center"/>
          </w:tcPr>
          <w:p w14:paraId="10B412D3">
            <w:pPr>
              <w:pStyle w:val="12"/>
              <w:jc w:val="center"/>
            </w:pPr>
            <w:r>
              <w:rPr>
                <w:rFonts w:hint="eastAsia"/>
              </w:rPr>
              <w:t>1925年</w:t>
            </w:r>
          </w:p>
        </w:tc>
        <w:tc>
          <w:tcPr>
            <w:tcW w:w="1066" w:type="pct"/>
            <w:vAlign w:val="center"/>
          </w:tcPr>
          <w:p w14:paraId="6D349B84">
            <w:pPr>
              <w:pStyle w:val="12"/>
              <w:jc w:val="left"/>
              <w:rPr>
                <w:rFonts w:ascii="宋体" w:hAnsi="宋体" w:cs="宋体"/>
              </w:rPr>
            </w:pPr>
            <w:r>
              <w:rPr>
                <w:rFonts w:hint="eastAsia"/>
              </w:rPr>
              <w:t>油山游击队</w:t>
            </w:r>
          </w:p>
          <w:p w14:paraId="46A7FF66">
            <w:pPr>
              <w:pStyle w:val="12"/>
              <w:jc w:val="left"/>
            </w:pPr>
            <w:r>
              <w:rPr>
                <w:rFonts w:hint="eastAsia" w:ascii="宋体" w:hAnsi="宋体" w:cs="宋体"/>
              </w:rPr>
              <w:t>大  队  长</w:t>
            </w:r>
          </w:p>
        </w:tc>
        <w:tc>
          <w:tcPr>
            <w:tcW w:w="1160" w:type="pct"/>
            <w:vAlign w:val="center"/>
          </w:tcPr>
          <w:p w14:paraId="00EFE2A4">
            <w:pPr>
              <w:pStyle w:val="12"/>
              <w:jc w:val="left"/>
            </w:pPr>
            <w:r>
              <w:rPr>
                <w:rFonts w:hint="eastAsia"/>
              </w:rPr>
              <w:t>1930年在江西执行任务被敌暗杀</w:t>
            </w:r>
          </w:p>
        </w:tc>
      </w:tr>
      <w:tr w14:paraId="4DEF29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F411884">
            <w:pPr>
              <w:pStyle w:val="12"/>
              <w:jc w:val="center"/>
            </w:pPr>
            <w:r>
              <w:rPr>
                <w:rFonts w:hint="eastAsia"/>
              </w:rPr>
              <w:t>彭吉妹</w:t>
            </w:r>
          </w:p>
        </w:tc>
        <w:tc>
          <w:tcPr>
            <w:tcW w:w="388" w:type="pct"/>
            <w:vAlign w:val="center"/>
          </w:tcPr>
          <w:p w14:paraId="67069050">
            <w:pPr>
              <w:pStyle w:val="12"/>
              <w:jc w:val="center"/>
            </w:pPr>
            <w:r>
              <w:rPr>
                <w:rFonts w:hint="eastAsia"/>
              </w:rPr>
              <w:t>男</w:t>
            </w:r>
          </w:p>
        </w:tc>
        <w:tc>
          <w:tcPr>
            <w:tcW w:w="582" w:type="pct"/>
            <w:vAlign w:val="center"/>
          </w:tcPr>
          <w:p w14:paraId="1AEB019F">
            <w:pPr>
              <w:pStyle w:val="12"/>
              <w:jc w:val="center"/>
            </w:pPr>
            <w:r>
              <w:rPr>
                <w:rFonts w:hint="eastAsia"/>
              </w:rPr>
              <w:t>1905年</w:t>
            </w:r>
          </w:p>
        </w:tc>
        <w:tc>
          <w:tcPr>
            <w:tcW w:w="582" w:type="pct"/>
            <w:vAlign w:val="center"/>
          </w:tcPr>
          <w:p w14:paraId="7A8E3F04">
            <w:pPr>
              <w:pStyle w:val="12"/>
              <w:jc w:val="center"/>
            </w:pPr>
            <w:r>
              <w:rPr>
                <w:rFonts w:hint="eastAsia"/>
              </w:rPr>
              <w:t>油山镇</w:t>
            </w:r>
          </w:p>
        </w:tc>
        <w:tc>
          <w:tcPr>
            <w:tcW w:w="582" w:type="pct"/>
            <w:vAlign w:val="center"/>
          </w:tcPr>
          <w:p w14:paraId="0BE45F7B">
            <w:pPr>
              <w:pStyle w:val="12"/>
              <w:jc w:val="center"/>
            </w:pPr>
            <w:r>
              <w:rPr>
                <w:rFonts w:hint="eastAsia"/>
              </w:rPr>
              <w:t>1925年</w:t>
            </w:r>
          </w:p>
        </w:tc>
        <w:tc>
          <w:tcPr>
            <w:tcW w:w="1066" w:type="pct"/>
            <w:vAlign w:val="center"/>
          </w:tcPr>
          <w:p w14:paraId="2D54D380">
            <w:pPr>
              <w:pStyle w:val="12"/>
              <w:jc w:val="left"/>
              <w:rPr>
                <w:rFonts w:ascii="宋体" w:hAnsi="宋体" w:cs="宋体"/>
              </w:rPr>
            </w:pPr>
            <w:r>
              <w:rPr>
                <w:rFonts w:hint="eastAsia"/>
              </w:rPr>
              <w:t>油山游击队</w:t>
            </w:r>
          </w:p>
          <w:p w14:paraId="5FA17272">
            <w:pPr>
              <w:pStyle w:val="12"/>
              <w:jc w:val="left"/>
            </w:pPr>
            <w:r>
              <w:rPr>
                <w:rFonts w:hint="eastAsia" w:ascii="宋体" w:hAnsi="宋体" w:cs="宋体"/>
              </w:rPr>
              <w:t>中  队  长</w:t>
            </w:r>
          </w:p>
        </w:tc>
        <w:tc>
          <w:tcPr>
            <w:tcW w:w="1160" w:type="pct"/>
            <w:vAlign w:val="center"/>
          </w:tcPr>
          <w:p w14:paraId="6BCF4D0F">
            <w:pPr>
              <w:pStyle w:val="12"/>
              <w:jc w:val="left"/>
            </w:pPr>
            <w:r>
              <w:rPr>
                <w:rFonts w:hint="eastAsia"/>
              </w:rPr>
              <w:t>1930年4月1日在中站作战牺牲</w:t>
            </w:r>
          </w:p>
        </w:tc>
      </w:tr>
      <w:tr w14:paraId="14068B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0DC3CF3">
            <w:pPr>
              <w:pStyle w:val="12"/>
              <w:jc w:val="center"/>
            </w:pPr>
            <w:r>
              <w:rPr>
                <w:rFonts w:hint="eastAsia"/>
              </w:rPr>
              <w:t>杨瞻颜</w:t>
            </w:r>
          </w:p>
        </w:tc>
        <w:tc>
          <w:tcPr>
            <w:tcW w:w="388" w:type="pct"/>
            <w:vAlign w:val="center"/>
          </w:tcPr>
          <w:p w14:paraId="74692348">
            <w:pPr>
              <w:pStyle w:val="12"/>
              <w:jc w:val="center"/>
            </w:pPr>
            <w:r>
              <w:rPr>
                <w:rFonts w:hint="eastAsia"/>
              </w:rPr>
              <w:t>男</w:t>
            </w:r>
          </w:p>
        </w:tc>
        <w:tc>
          <w:tcPr>
            <w:tcW w:w="582" w:type="pct"/>
            <w:vAlign w:val="center"/>
          </w:tcPr>
          <w:p w14:paraId="5BB3FA32">
            <w:pPr>
              <w:pStyle w:val="12"/>
              <w:jc w:val="center"/>
            </w:pPr>
            <w:r>
              <w:rPr>
                <w:rFonts w:hint="eastAsia"/>
              </w:rPr>
              <w:t>1894年</w:t>
            </w:r>
          </w:p>
        </w:tc>
        <w:tc>
          <w:tcPr>
            <w:tcW w:w="582" w:type="pct"/>
            <w:vAlign w:val="center"/>
          </w:tcPr>
          <w:p w14:paraId="414795A6">
            <w:pPr>
              <w:pStyle w:val="12"/>
              <w:jc w:val="center"/>
            </w:pPr>
            <w:r>
              <w:rPr>
                <w:rFonts w:hint="eastAsia"/>
              </w:rPr>
              <w:t>珠玑镇</w:t>
            </w:r>
          </w:p>
        </w:tc>
        <w:tc>
          <w:tcPr>
            <w:tcW w:w="582" w:type="pct"/>
            <w:vAlign w:val="center"/>
          </w:tcPr>
          <w:p w14:paraId="444F8989">
            <w:pPr>
              <w:pStyle w:val="12"/>
              <w:jc w:val="center"/>
            </w:pPr>
            <w:r>
              <w:rPr>
                <w:rFonts w:hint="eastAsia"/>
              </w:rPr>
              <w:t>1928年</w:t>
            </w:r>
          </w:p>
        </w:tc>
        <w:tc>
          <w:tcPr>
            <w:tcW w:w="1066" w:type="pct"/>
            <w:vAlign w:val="center"/>
          </w:tcPr>
          <w:p w14:paraId="548B230A">
            <w:pPr>
              <w:pStyle w:val="12"/>
              <w:jc w:val="left"/>
            </w:pPr>
            <w:r>
              <w:rPr>
                <w:rFonts w:hint="eastAsia"/>
              </w:rPr>
              <w:t>游击队干部</w:t>
            </w:r>
          </w:p>
        </w:tc>
        <w:tc>
          <w:tcPr>
            <w:tcW w:w="1160" w:type="pct"/>
            <w:vAlign w:val="center"/>
          </w:tcPr>
          <w:p w14:paraId="4DCFBCB6">
            <w:pPr>
              <w:pStyle w:val="12"/>
              <w:jc w:val="left"/>
            </w:pPr>
            <w:r>
              <w:rPr>
                <w:rFonts w:hint="eastAsia"/>
              </w:rPr>
              <w:t>1930年在珠玑战斗牺牲</w:t>
            </w:r>
          </w:p>
        </w:tc>
      </w:tr>
      <w:tr w14:paraId="27816A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86B0804">
            <w:pPr>
              <w:pStyle w:val="12"/>
              <w:jc w:val="center"/>
            </w:pPr>
            <w:r>
              <w:rPr>
                <w:rFonts w:hint="eastAsia"/>
              </w:rPr>
              <w:t>彭禄山</w:t>
            </w:r>
          </w:p>
        </w:tc>
        <w:tc>
          <w:tcPr>
            <w:tcW w:w="388" w:type="pct"/>
            <w:vAlign w:val="center"/>
          </w:tcPr>
          <w:p w14:paraId="246F3DB7">
            <w:pPr>
              <w:pStyle w:val="12"/>
              <w:jc w:val="center"/>
            </w:pPr>
            <w:r>
              <w:rPr>
                <w:rFonts w:hint="eastAsia"/>
              </w:rPr>
              <w:t>男</w:t>
            </w:r>
          </w:p>
        </w:tc>
        <w:tc>
          <w:tcPr>
            <w:tcW w:w="582" w:type="pct"/>
            <w:vAlign w:val="center"/>
          </w:tcPr>
          <w:p w14:paraId="35E80AD3">
            <w:pPr>
              <w:pStyle w:val="12"/>
              <w:jc w:val="center"/>
            </w:pPr>
            <w:r>
              <w:rPr>
                <w:rFonts w:hint="eastAsia"/>
              </w:rPr>
              <w:t>1903年</w:t>
            </w:r>
          </w:p>
        </w:tc>
        <w:tc>
          <w:tcPr>
            <w:tcW w:w="582" w:type="pct"/>
            <w:vAlign w:val="center"/>
          </w:tcPr>
          <w:p w14:paraId="21A147EE">
            <w:pPr>
              <w:pStyle w:val="12"/>
              <w:jc w:val="center"/>
            </w:pPr>
            <w:r>
              <w:rPr>
                <w:rFonts w:hint="eastAsia"/>
              </w:rPr>
              <w:t>油山镇</w:t>
            </w:r>
          </w:p>
        </w:tc>
        <w:tc>
          <w:tcPr>
            <w:tcW w:w="582" w:type="pct"/>
            <w:vAlign w:val="center"/>
          </w:tcPr>
          <w:p w14:paraId="3D10B52E">
            <w:pPr>
              <w:pStyle w:val="12"/>
              <w:jc w:val="center"/>
            </w:pPr>
            <w:r>
              <w:rPr>
                <w:rFonts w:hint="eastAsia"/>
              </w:rPr>
              <w:t>1929年</w:t>
            </w:r>
          </w:p>
        </w:tc>
        <w:tc>
          <w:tcPr>
            <w:tcW w:w="1066" w:type="pct"/>
            <w:vAlign w:val="center"/>
          </w:tcPr>
          <w:p w14:paraId="4026B8B4">
            <w:pPr>
              <w:pStyle w:val="12"/>
              <w:jc w:val="left"/>
              <w:rPr>
                <w:rFonts w:ascii="宋体" w:hAnsi="宋体" w:cs="宋体"/>
              </w:rPr>
            </w:pPr>
            <w:r>
              <w:rPr>
                <w:rFonts w:hint="eastAsia"/>
              </w:rPr>
              <w:t>油山游击大</w:t>
            </w:r>
          </w:p>
          <w:p w14:paraId="38368BCF">
            <w:pPr>
              <w:pStyle w:val="12"/>
              <w:jc w:val="left"/>
            </w:pPr>
            <w:r>
              <w:rPr>
                <w:rFonts w:hint="eastAsia" w:ascii="宋体" w:hAnsi="宋体" w:cs="宋体"/>
              </w:rPr>
              <w:t>队  营  长</w:t>
            </w:r>
          </w:p>
        </w:tc>
        <w:tc>
          <w:tcPr>
            <w:tcW w:w="1160" w:type="pct"/>
            <w:vAlign w:val="center"/>
          </w:tcPr>
          <w:p w14:paraId="47EEE998">
            <w:pPr>
              <w:pStyle w:val="12"/>
              <w:jc w:val="left"/>
            </w:pPr>
            <w:r>
              <w:rPr>
                <w:rFonts w:hint="eastAsia"/>
              </w:rPr>
              <w:t>1930年在油山山公地战斗牺牲</w:t>
            </w:r>
          </w:p>
        </w:tc>
      </w:tr>
      <w:tr w14:paraId="7124B2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6E94F15">
            <w:pPr>
              <w:pStyle w:val="12"/>
              <w:jc w:val="center"/>
            </w:pPr>
            <w:r>
              <w:rPr>
                <w:rFonts w:hint="eastAsia"/>
              </w:rPr>
              <w:t>郭流发</w:t>
            </w:r>
          </w:p>
        </w:tc>
        <w:tc>
          <w:tcPr>
            <w:tcW w:w="388" w:type="pct"/>
            <w:vAlign w:val="center"/>
          </w:tcPr>
          <w:p w14:paraId="3F7A6AD5">
            <w:pPr>
              <w:pStyle w:val="12"/>
              <w:jc w:val="center"/>
            </w:pPr>
            <w:r>
              <w:rPr>
                <w:rFonts w:hint="eastAsia"/>
              </w:rPr>
              <w:t>男</w:t>
            </w:r>
          </w:p>
        </w:tc>
        <w:tc>
          <w:tcPr>
            <w:tcW w:w="582" w:type="pct"/>
            <w:vAlign w:val="center"/>
          </w:tcPr>
          <w:p w14:paraId="451CF8B4">
            <w:pPr>
              <w:pStyle w:val="12"/>
              <w:jc w:val="center"/>
            </w:pPr>
            <w:r>
              <w:rPr>
                <w:rFonts w:hint="eastAsia"/>
              </w:rPr>
              <w:t>1902年</w:t>
            </w:r>
          </w:p>
        </w:tc>
        <w:tc>
          <w:tcPr>
            <w:tcW w:w="582" w:type="pct"/>
            <w:vAlign w:val="center"/>
          </w:tcPr>
          <w:p w14:paraId="7DBB0EA2">
            <w:pPr>
              <w:pStyle w:val="12"/>
              <w:jc w:val="center"/>
            </w:pPr>
            <w:r>
              <w:rPr>
                <w:rFonts w:hint="eastAsia"/>
              </w:rPr>
              <w:t>雄州镇</w:t>
            </w:r>
          </w:p>
        </w:tc>
        <w:tc>
          <w:tcPr>
            <w:tcW w:w="582" w:type="pct"/>
            <w:vAlign w:val="center"/>
          </w:tcPr>
          <w:p w14:paraId="58F1854E">
            <w:pPr>
              <w:pStyle w:val="12"/>
              <w:jc w:val="center"/>
            </w:pPr>
            <w:r>
              <w:rPr>
                <w:rFonts w:hint="eastAsia"/>
              </w:rPr>
              <w:t>1930年</w:t>
            </w:r>
          </w:p>
        </w:tc>
        <w:tc>
          <w:tcPr>
            <w:tcW w:w="1066" w:type="pct"/>
            <w:vAlign w:val="center"/>
          </w:tcPr>
          <w:p w14:paraId="4CE21A2B">
            <w:pPr>
              <w:pStyle w:val="12"/>
              <w:jc w:val="left"/>
            </w:pPr>
            <w:r>
              <w:rPr>
                <w:rFonts w:hint="eastAsia"/>
              </w:rPr>
              <w:t>乡赤卫队队长</w:t>
            </w:r>
          </w:p>
        </w:tc>
        <w:tc>
          <w:tcPr>
            <w:tcW w:w="1160" w:type="pct"/>
            <w:vAlign w:val="center"/>
          </w:tcPr>
          <w:p w14:paraId="777DF6FE">
            <w:pPr>
              <w:pStyle w:val="12"/>
              <w:jc w:val="left"/>
            </w:pPr>
            <w:r>
              <w:rPr>
                <w:rFonts w:hint="eastAsia"/>
              </w:rPr>
              <w:t>1930年在皂口作战牺牲</w:t>
            </w:r>
          </w:p>
        </w:tc>
      </w:tr>
      <w:tr w14:paraId="18C916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75F9D71">
            <w:pPr>
              <w:pStyle w:val="12"/>
              <w:jc w:val="center"/>
            </w:pPr>
            <w:r>
              <w:rPr>
                <w:rFonts w:hint="eastAsia"/>
              </w:rPr>
              <w:t>黄传智</w:t>
            </w:r>
          </w:p>
        </w:tc>
        <w:tc>
          <w:tcPr>
            <w:tcW w:w="388" w:type="pct"/>
            <w:vAlign w:val="center"/>
          </w:tcPr>
          <w:p w14:paraId="5C77C0A5">
            <w:pPr>
              <w:pStyle w:val="12"/>
              <w:jc w:val="center"/>
            </w:pPr>
            <w:r>
              <w:rPr>
                <w:rFonts w:hint="eastAsia"/>
              </w:rPr>
              <w:t>男</w:t>
            </w:r>
          </w:p>
        </w:tc>
        <w:tc>
          <w:tcPr>
            <w:tcW w:w="582" w:type="pct"/>
            <w:vAlign w:val="center"/>
          </w:tcPr>
          <w:p w14:paraId="0E56DA66">
            <w:pPr>
              <w:pStyle w:val="12"/>
              <w:jc w:val="center"/>
            </w:pPr>
            <w:r>
              <w:rPr>
                <w:rFonts w:hint="eastAsia"/>
              </w:rPr>
              <w:t>1911年</w:t>
            </w:r>
          </w:p>
        </w:tc>
        <w:tc>
          <w:tcPr>
            <w:tcW w:w="582" w:type="pct"/>
            <w:vAlign w:val="center"/>
          </w:tcPr>
          <w:p w14:paraId="0C6DA910">
            <w:pPr>
              <w:pStyle w:val="12"/>
              <w:jc w:val="center"/>
            </w:pPr>
            <w:r>
              <w:rPr>
                <w:rFonts w:hint="eastAsia"/>
              </w:rPr>
              <w:t>油山镇</w:t>
            </w:r>
          </w:p>
        </w:tc>
        <w:tc>
          <w:tcPr>
            <w:tcW w:w="582" w:type="pct"/>
            <w:vAlign w:val="center"/>
          </w:tcPr>
          <w:p w14:paraId="4C62C197">
            <w:pPr>
              <w:pStyle w:val="12"/>
              <w:jc w:val="center"/>
            </w:pPr>
            <w:r>
              <w:rPr>
                <w:rFonts w:hint="eastAsia"/>
              </w:rPr>
              <w:t>1930年</w:t>
            </w:r>
          </w:p>
        </w:tc>
        <w:tc>
          <w:tcPr>
            <w:tcW w:w="1066" w:type="pct"/>
            <w:vAlign w:val="center"/>
          </w:tcPr>
          <w:p w14:paraId="5FB90F13">
            <w:pPr>
              <w:pStyle w:val="12"/>
              <w:jc w:val="left"/>
              <w:rPr>
                <w:rFonts w:ascii="宋体" w:hAnsi="宋体" w:cs="宋体"/>
              </w:rPr>
            </w:pPr>
            <w:r>
              <w:rPr>
                <w:rFonts w:hint="eastAsia"/>
              </w:rPr>
              <w:t>油山游击大</w:t>
            </w:r>
          </w:p>
          <w:p w14:paraId="7EAC1CCE">
            <w:pPr>
              <w:pStyle w:val="12"/>
              <w:jc w:val="left"/>
            </w:pPr>
            <w:r>
              <w:rPr>
                <w:rFonts w:hint="eastAsia" w:ascii="宋体" w:hAnsi="宋体" w:cs="宋体"/>
              </w:rPr>
              <w:t>队  班  长</w:t>
            </w:r>
          </w:p>
        </w:tc>
        <w:tc>
          <w:tcPr>
            <w:tcW w:w="1160" w:type="pct"/>
            <w:vAlign w:val="center"/>
          </w:tcPr>
          <w:p w14:paraId="70249DF2">
            <w:pPr>
              <w:pStyle w:val="12"/>
              <w:jc w:val="left"/>
            </w:pPr>
            <w:r>
              <w:rPr>
                <w:rFonts w:hint="eastAsia"/>
              </w:rPr>
              <w:t>1930年在油山乡粪箕窝战斗中牺牲</w:t>
            </w:r>
          </w:p>
        </w:tc>
      </w:tr>
      <w:tr w14:paraId="1E6114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42242B1">
            <w:pPr>
              <w:pStyle w:val="12"/>
              <w:jc w:val="center"/>
            </w:pPr>
            <w:r>
              <w:rPr>
                <w:rFonts w:hint="eastAsia"/>
              </w:rPr>
              <w:t>李恭贺</w:t>
            </w:r>
          </w:p>
        </w:tc>
        <w:tc>
          <w:tcPr>
            <w:tcW w:w="388" w:type="pct"/>
            <w:vAlign w:val="center"/>
          </w:tcPr>
          <w:p w14:paraId="2303FA12">
            <w:pPr>
              <w:pStyle w:val="12"/>
              <w:jc w:val="center"/>
            </w:pPr>
            <w:r>
              <w:rPr>
                <w:rFonts w:hint="eastAsia"/>
              </w:rPr>
              <w:t>男</w:t>
            </w:r>
          </w:p>
        </w:tc>
        <w:tc>
          <w:tcPr>
            <w:tcW w:w="582" w:type="pct"/>
            <w:vAlign w:val="center"/>
          </w:tcPr>
          <w:p w14:paraId="49314EB9">
            <w:pPr>
              <w:pStyle w:val="12"/>
              <w:jc w:val="center"/>
            </w:pPr>
            <w:r>
              <w:rPr>
                <w:rFonts w:hint="eastAsia"/>
              </w:rPr>
              <w:t>1892年</w:t>
            </w:r>
          </w:p>
        </w:tc>
        <w:tc>
          <w:tcPr>
            <w:tcW w:w="582" w:type="pct"/>
            <w:vAlign w:val="center"/>
          </w:tcPr>
          <w:p w14:paraId="01CBF3EC">
            <w:pPr>
              <w:pStyle w:val="12"/>
              <w:jc w:val="center"/>
            </w:pPr>
            <w:r>
              <w:rPr>
                <w:rFonts w:hint="eastAsia"/>
              </w:rPr>
              <w:t>油山镇</w:t>
            </w:r>
          </w:p>
        </w:tc>
        <w:tc>
          <w:tcPr>
            <w:tcW w:w="582" w:type="pct"/>
            <w:vAlign w:val="center"/>
          </w:tcPr>
          <w:p w14:paraId="6942B0A9">
            <w:pPr>
              <w:pStyle w:val="12"/>
              <w:jc w:val="center"/>
            </w:pPr>
            <w:r>
              <w:rPr>
                <w:rFonts w:hint="eastAsia"/>
              </w:rPr>
              <w:t>1929年</w:t>
            </w:r>
          </w:p>
        </w:tc>
        <w:tc>
          <w:tcPr>
            <w:tcW w:w="1066" w:type="pct"/>
            <w:vAlign w:val="center"/>
          </w:tcPr>
          <w:p w14:paraId="71B87158">
            <w:pPr>
              <w:pStyle w:val="12"/>
              <w:jc w:val="left"/>
            </w:pPr>
            <w:r>
              <w:rPr>
                <w:rFonts w:hint="eastAsia"/>
              </w:rPr>
              <w:t>油山游击队队员</w:t>
            </w:r>
          </w:p>
        </w:tc>
        <w:tc>
          <w:tcPr>
            <w:tcW w:w="1160" w:type="pct"/>
            <w:vAlign w:val="center"/>
          </w:tcPr>
          <w:p w14:paraId="7820B131">
            <w:pPr>
              <w:pStyle w:val="12"/>
              <w:jc w:val="left"/>
            </w:pPr>
            <w:r>
              <w:rPr>
                <w:rFonts w:hint="eastAsia"/>
              </w:rPr>
              <w:t>1930年在江西大余县青龙被捕，在乌迳就义</w:t>
            </w:r>
          </w:p>
        </w:tc>
      </w:tr>
      <w:tr w14:paraId="6C6E29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E0EE04D">
            <w:pPr>
              <w:pStyle w:val="12"/>
              <w:jc w:val="center"/>
            </w:pPr>
            <w:r>
              <w:rPr>
                <w:rFonts w:hint="eastAsia"/>
              </w:rPr>
              <w:t>彭士君</w:t>
            </w:r>
          </w:p>
        </w:tc>
        <w:tc>
          <w:tcPr>
            <w:tcW w:w="388" w:type="pct"/>
            <w:vAlign w:val="center"/>
          </w:tcPr>
          <w:p w14:paraId="329EDCE5">
            <w:pPr>
              <w:pStyle w:val="12"/>
              <w:jc w:val="center"/>
            </w:pPr>
            <w:r>
              <w:rPr>
                <w:rFonts w:hint="eastAsia"/>
              </w:rPr>
              <w:t>男</w:t>
            </w:r>
          </w:p>
        </w:tc>
        <w:tc>
          <w:tcPr>
            <w:tcW w:w="582" w:type="pct"/>
            <w:vAlign w:val="center"/>
          </w:tcPr>
          <w:p w14:paraId="5925C6BC">
            <w:pPr>
              <w:pStyle w:val="12"/>
              <w:jc w:val="center"/>
            </w:pPr>
            <w:r>
              <w:rPr>
                <w:rFonts w:hint="eastAsia"/>
              </w:rPr>
              <w:t>1892年</w:t>
            </w:r>
          </w:p>
        </w:tc>
        <w:tc>
          <w:tcPr>
            <w:tcW w:w="582" w:type="pct"/>
            <w:vAlign w:val="center"/>
          </w:tcPr>
          <w:p w14:paraId="44654929">
            <w:pPr>
              <w:pStyle w:val="12"/>
              <w:jc w:val="center"/>
            </w:pPr>
            <w:r>
              <w:rPr>
                <w:rFonts w:hint="eastAsia"/>
              </w:rPr>
              <w:t>油山镇</w:t>
            </w:r>
          </w:p>
        </w:tc>
        <w:tc>
          <w:tcPr>
            <w:tcW w:w="582" w:type="pct"/>
            <w:vAlign w:val="center"/>
          </w:tcPr>
          <w:p w14:paraId="4D2519EA">
            <w:pPr>
              <w:pStyle w:val="12"/>
              <w:jc w:val="center"/>
            </w:pPr>
            <w:r>
              <w:rPr>
                <w:rFonts w:hint="eastAsia"/>
              </w:rPr>
              <w:t>1925年</w:t>
            </w:r>
          </w:p>
        </w:tc>
        <w:tc>
          <w:tcPr>
            <w:tcW w:w="1066" w:type="pct"/>
            <w:vAlign w:val="center"/>
          </w:tcPr>
          <w:p w14:paraId="3E3A2929">
            <w:pPr>
              <w:pStyle w:val="12"/>
              <w:jc w:val="left"/>
              <w:rPr>
                <w:rFonts w:ascii="宋体" w:hAnsi="宋体" w:cs="宋体"/>
              </w:rPr>
            </w:pPr>
            <w:r>
              <w:rPr>
                <w:rFonts w:hint="eastAsia"/>
              </w:rPr>
              <w:t>乡苏维埃政</w:t>
            </w:r>
          </w:p>
          <w:p w14:paraId="50E09258">
            <w:pPr>
              <w:pStyle w:val="12"/>
              <w:jc w:val="left"/>
            </w:pPr>
            <w:r>
              <w:rPr>
                <w:rFonts w:hint="eastAsia" w:ascii="宋体" w:hAnsi="宋体" w:cs="宋体"/>
              </w:rPr>
              <w:t>府  文  书</w:t>
            </w:r>
          </w:p>
        </w:tc>
        <w:tc>
          <w:tcPr>
            <w:tcW w:w="1160" w:type="pct"/>
            <w:vAlign w:val="center"/>
          </w:tcPr>
          <w:p w14:paraId="0D5512AB">
            <w:pPr>
              <w:pStyle w:val="12"/>
              <w:jc w:val="left"/>
            </w:pPr>
            <w:r>
              <w:rPr>
                <w:rFonts w:hint="eastAsia"/>
              </w:rPr>
              <w:t>1930年在江西大龙山牺牲</w:t>
            </w:r>
          </w:p>
        </w:tc>
      </w:tr>
      <w:tr w14:paraId="3554C3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7C72F57">
            <w:pPr>
              <w:pStyle w:val="12"/>
              <w:jc w:val="center"/>
            </w:pPr>
            <w:r>
              <w:rPr>
                <w:rFonts w:hint="eastAsia"/>
              </w:rPr>
              <w:t>钟蛟选</w:t>
            </w:r>
          </w:p>
        </w:tc>
        <w:tc>
          <w:tcPr>
            <w:tcW w:w="388" w:type="pct"/>
            <w:vAlign w:val="center"/>
          </w:tcPr>
          <w:p w14:paraId="0659EC48">
            <w:pPr>
              <w:pStyle w:val="12"/>
              <w:jc w:val="center"/>
            </w:pPr>
            <w:r>
              <w:rPr>
                <w:rFonts w:hint="eastAsia"/>
              </w:rPr>
              <w:t>男</w:t>
            </w:r>
          </w:p>
        </w:tc>
        <w:tc>
          <w:tcPr>
            <w:tcW w:w="582" w:type="pct"/>
            <w:vAlign w:val="center"/>
          </w:tcPr>
          <w:p w14:paraId="521B0210">
            <w:pPr>
              <w:pStyle w:val="12"/>
              <w:jc w:val="center"/>
            </w:pPr>
            <w:r>
              <w:rPr>
                <w:rFonts w:hint="eastAsia"/>
              </w:rPr>
              <w:t>1900年</w:t>
            </w:r>
          </w:p>
        </w:tc>
        <w:tc>
          <w:tcPr>
            <w:tcW w:w="582" w:type="pct"/>
            <w:vAlign w:val="center"/>
          </w:tcPr>
          <w:p w14:paraId="2F93A4AC">
            <w:pPr>
              <w:pStyle w:val="12"/>
              <w:jc w:val="center"/>
            </w:pPr>
            <w:r>
              <w:rPr>
                <w:rFonts w:hint="eastAsia"/>
              </w:rPr>
              <w:t>珠玑镇</w:t>
            </w:r>
          </w:p>
        </w:tc>
        <w:tc>
          <w:tcPr>
            <w:tcW w:w="582" w:type="pct"/>
            <w:vAlign w:val="center"/>
          </w:tcPr>
          <w:p w14:paraId="6DCB9B50">
            <w:pPr>
              <w:pStyle w:val="12"/>
              <w:jc w:val="center"/>
            </w:pPr>
            <w:r>
              <w:rPr>
                <w:rFonts w:hint="eastAsia"/>
              </w:rPr>
              <w:t>1927年</w:t>
            </w:r>
          </w:p>
        </w:tc>
        <w:tc>
          <w:tcPr>
            <w:tcW w:w="1066" w:type="pct"/>
            <w:vAlign w:val="center"/>
          </w:tcPr>
          <w:p w14:paraId="42FC267A">
            <w:pPr>
              <w:pStyle w:val="12"/>
              <w:jc w:val="left"/>
            </w:pPr>
            <w:r>
              <w:rPr>
                <w:rFonts w:hint="eastAsia"/>
              </w:rPr>
              <w:t>红军团长</w:t>
            </w:r>
          </w:p>
        </w:tc>
        <w:tc>
          <w:tcPr>
            <w:tcW w:w="1160" w:type="pct"/>
            <w:vAlign w:val="center"/>
          </w:tcPr>
          <w:p w14:paraId="5DE23043">
            <w:pPr>
              <w:pStyle w:val="12"/>
              <w:jc w:val="left"/>
            </w:pPr>
            <w:r>
              <w:rPr>
                <w:rFonts w:hint="eastAsia"/>
              </w:rPr>
              <w:t>1930年在江西大余县新城被捕就义</w:t>
            </w:r>
          </w:p>
        </w:tc>
      </w:tr>
      <w:tr w14:paraId="5F3094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BA3A759">
            <w:pPr>
              <w:pStyle w:val="12"/>
              <w:jc w:val="center"/>
            </w:pPr>
            <w:r>
              <w:rPr>
                <w:rFonts w:hint="eastAsia"/>
              </w:rPr>
              <w:t>钟蛟球</w:t>
            </w:r>
          </w:p>
        </w:tc>
        <w:tc>
          <w:tcPr>
            <w:tcW w:w="388" w:type="pct"/>
            <w:vAlign w:val="center"/>
          </w:tcPr>
          <w:p w14:paraId="0309AD3C">
            <w:pPr>
              <w:pStyle w:val="12"/>
              <w:jc w:val="center"/>
            </w:pPr>
            <w:r>
              <w:rPr>
                <w:rFonts w:hint="eastAsia"/>
              </w:rPr>
              <w:t>男</w:t>
            </w:r>
          </w:p>
        </w:tc>
        <w:tc>
          <w:tcPr>
            <w:tcW w:w="582" w:type="pct"/>
            <w:vAlign w:val="center"/>
          </w:tcPr>
          <w:p w14:paraId="2711C970">
            <w:pPr>
              <w:pStyle w:val="12"/>
              <w:jc w:val="center"/>
            </w:pPr>
            <w:r>
              <w:rPr>
                <w:rFonts w:hint="eastAsia"/>
              </w:rPr>
              <w:t>1897年</w:t>
            </w:r>
          </w:p>
        </w:tc>
        <w:tc>
          <w:tcPr>
            <w:tcW w:w="582" w:type="pct"/>
            <w:vAlign w:val="center"/>
          </w:tcPr>
          <w:p w14:paraId="694E0E1F">
            <w:pPr>
              <w:pStyle w:val="12"/>
              <w:jc w:val="center"/>
            </w:pPr>
            <w:r>
              <w:rPr>
                <w:rFonts w:hint="eastAsia"/>
              </w:rPr>
              <w:t>珠玑镇</w:t>
            </w:r>
          </w:p>
        </w:tc>
        <w:tc>
          <w:tcPr>
            <w:tcW w:w="582" w:type="pct"/>
            <w:vAlign w:val="center"/>
          </w:tcPr>
          <w:p w14:paraId="24905FCD">
            <w:pPr>
              <w:pStyle w:val="12"/>
              <w:jc w:val="center"/>
            </w:pPr>
            <w:r>
              <w:rPr>
                <w:rFonts w:hint="eastAsia"/>
              </w:rPr>
              <w:t>1928年</w:t>
            </w:r>
          </w:p>
        </w:tc>
        <w:tc>
          <w:tcPr>
            <w:tcW w:w="1066" w:type="pct"/>
            <w:vAlign w:val="center"/>
          </w:tcPr>
          <w:p w14:paraId="64AEBED1">
            <w:pPr>
              <w:pStyle w:val="12"/>
              <w:jc w:val="left"/>
            </w:pPr>
            <w:r>
              <w:rPr>
                <w:rFonts w:hint="eastAsia"/>
              </w:rPr>
              <w:t>红军干部</w:t>
            </w:r>
          </w:p>
        </w:tc>
        <w:tc>
          <w:tcPr>
            <w:tcW w:w="1160" w:type="pct"/>
            <w:vAlign w:val="center"/>
          </w:tcPr>
          <w:p w14:paraId="7A0F592E">
            <w:pPr>
              <w:pStyle w:val="12"/>
              <w:jc w:val="left"/>
            </w:pPr>
            <w:r>
              <w:rPr>
                <w:rFonts w:hint="eastAsia"/>
              </w:rPr>
              <w:t>1930年在江西大余县新城被捕就义</w:t>
            </w:r>
          </w:p>
        </w:tc>
      </w:tr>
      <w:tr w14:paraId="344873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0B973B8">
            <w:pPr>
              <w:pStyle w:val="12"/>
              <w:jc w:val="center"/>
            </w:pPr>
            <w:r>
              <w:rPr>
                <w:rFonts w:hint="eastAsia"/>
              </w:rPr>
              <w:t>曾昭恩</w:t>
            </w:r>
          </w:p>
        </w:tc>
        <w:tc>
          <w:tcPr>
            <w:tcW w:w="388" w:type="pct"/>
            <w:vAlign w:val="center"/>
          </w:tcPr>
          <w:p w14:paraId="79A07266">
            <w:pPr>
              <w:pStyle w:val="12"/>
              <w:jc w:val="center"/>
            </w:pPr>
            <w:r>
              <w:rPr>
                <w:rFonts w:hint="eastAsia"/>
              </w:rPr>
              <w:t>女</w:t>
            </w:r>
          </w:p>
        </w:tc>
        <w:tc>
          <w:tcPr>
            <w:tcW w:w="582" w:type="pct"/>
            <w:vAlign w:val="center"/>
          </w:tcPr>
          <w:p w14:paraId="68FCFE73">
            <w:pPr>
              <w:pStyle w:val="12"/>
              <w:jc w:val="center"/>
            </w:pPr>
            <w:r>
              <w:rPr>
                <w:rFonts w:hint="eastAsia"/>
              </w:rPr>
              <w:t>1908年</w:t>
            </w:r>
          </w:p>
        </w:tc>
        <w:tc>
          <w:tcPr>
            <w:tcW w:w="582" w:type="pct"/>
            <w:vAlign w:val="center"/>
          </w:tcPr>
          <w:p w14:paraId="39FFCD12">
            <w:pPr>
              <w:pStyle w:val="12"/>
              <w:jc w:val="center"/>
            </w:pPr>
            <w:r>
              <w:rPr>
                <w:rFonts w:hint="eastAsia"/>
              </w:rPr>
              <w:t>湖口镇</w:t>
            </w:r>
          </w:p>
        </w:tc>
        <w:tc>
          <w:tcPr>
            <w:tcW w:w="582" w:type="pct"/>
            <w:vAlign w:val="center"/>
          </w:tcPr>
          <w:p w14:paraId="302509DA">
            <w:pPr>
              <w:pStyle w:val="12"/>
              <w:jc w:val="center"/>
            </w:pPr>
            <w:r>
              <w:rPr>
                <w:rFonts w:hint="eastAsia"/>
              </w:rPr>
              <w:t>1927年</w:t>
            </w:r>
          </w:p>
        </w:tc>
        <w:tc>
          <w:tcPr>
            <w:tcW w:w="1066" w:type="pct"/>
            <w:vAlign w:val="center"/>
          </w:tcPr>
          <w:p w14:paraId="3615A1D7">
            <w:pPr>
              <w:pStyle w:val="12"/>
              <w:jc w:val="left"/>
            </w:pPr>
            <w:r>
              <w:rPr>
                <w:rFonts w:hint="eastAsia"/>
              </w:rPr>
              <w:t>中共地下工作者</w:t>
            </w:r>
          </w:p>
        </w:tc>
        <w:tc>
          <w:tcPr>
            <w:tcW w:w="1160" w:type="pct"/>
            <w:vAlign w:val="center"/>
          </w:tcPr>
          <w:p w14:paraId="43C738E7">
            <w:pPr>
              <w:pStyle w:val="12"/>
              <w:jc w:val="left"/>
            </w:pPr>
            <w:r>
              <w:rPr>
                <w:rFonts w:hint="eastAsia"/>
              </w:rPr>
              <w:t>1930年在江西安远县牺牲</w:t>
            </w:r>
          </w:p>
        </w:tc>
      </w:tr>
      <w:tr w14:paraId="0DB26C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56947A0">
            <w:pPr>
              <w:pStyle w:val="12"/>
              <w:jc w:val="center"/>
            </w:pPr>
            <w:r>
              <w:rPr>
                <w:rFonts w:hint="eastAsia"/>
              </w:rPr>
              <w:t>丁仁煌</w:t>
            </w:r>
          </w:p>
        </w:tc>
        <w:tc>
          <w:tcPr>
            <w:tcW w:w="388" w:type="pct"/>
            <w:vAlign w:val="center"/>
          </w:tcPr>
          <w:p w14:paraId="078454D3">
            <w:pPr>
              <w:pStyle w:val="12"/>
              <w:jc w:val="center"/>
            </w:pPr>
            <w:r>
              <w:rPr>
                <w:rFonts w:hint="eastAsia"/>
              </w:rPr>
              <w:t>男</w:t>
            </w:r>
          </w:p>
        </w:tc>
        <w:tc>
          <w:tcPr>
            <w:tcW w:w="582" w:type="pct"/>
            <w:vAlign w:val="center"/>
          </w:tcPr>
          <w:p w14:paraId="42B4F15C">
            <w:pPr>
              <w:pStyle w:val="12"/>
              <w:jc w:val="center"/>
            </w:pPr>
            <w:r>
              <w:rPr>
                <w:rFonts w:hint="eastAsia"/>
              </w:rPr>
              <w:t>1903年</w:t>
            </w:r>
          </w:p>
        </w:tc>
        <w:tc>
          <w:tcPr>
            <w:tcW w:w="582" w:type="pct"/>
            <w:vAlign w:val="center"/>
          </w:tcPr>
          <w:p w14:paraId="3746AC23">
            <w:pPr>
              <w:pStyle w:val="12"/>
              <w:jc w:val="center"/>
            </w:pPr>
            <w:r>
              <w:rPr>
                <w:rFonts w:hint="eastAsia"/>
              </w:rPr>
              <w:t>湖口镇</w:t>
            </w:r>
          </w:p>
        </w:tc>
        <w:tc>
          <w:tcPr>
            <w:tcW w:w="582" w:type="pct"/>
            <w:vAlign w:val="center"/>
          </w:tcPr>
          <w:p w14:paraId="7EF3CDEB">
            <w:pPr>
              <w:pStyle w:val="12"/>
              <w:jc w:val="center"/>
            </w:pPr>
            <w:r>
              <w:rPr>
                <w:rFonts w:hint="eastAsia"/>
              </w:rPr>
              <w:t>1929年</w:t>
            </w:r>
          </w:p>
        </w:tc>
        <w:tc>
          <w:tcPr>
            <w:tcW w:w="1066" w:type="pct"/>
            <w:vAlign w:val="center"/>
          </w:tcPr>
          <w:p w14:paraId="416991D3">
            <w:pPr>
              <w:pStyle w:val="12"/>
              <w:jc w:val="left"/>
            </w:pPr>
            <w:r>
              <w:rPr>
                <w:rFonts w:hint="eastAsia"/>
              </w:rPr>
              <w:t>红四军战士</w:t>
            </w:r>
          </w:p>
        </w:tc>
        <w:tc>
          <w:tcPr>
            <w:tcW w:w="1160" w:type="pct"/>
            <w:vAlign w:val="center"/>
          </w:tcPr>
          <w:p w14:paraId="04F2A4DD">
            <w:pPr>
              <w:pStyle w:val="12"/>
              <w:jc w:val="left"/>
            </w:pPr>
            <w:r>
              <w:rPr>
                <w:rFonts w:hint="eastAsia"/>
              </w:rPr>
              <w:t>1930年5月在福建战斗牺牲</w:t>
            </w:r>
          </w:p>
        </w:tc>
      </w:tr>
      <w:tr w14:paraId="7A35CC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4700FA0">
            <w:pPr>
              <w:pStyle w:val="12"/>
              <w:jc w:val="center"/>
            </w:pPr>
            <w:r>
              <w:rPr>
                <w:rFonts w:hint="eastAsia"/>
              </w:rPr>
              <w:t>彭井生</w:t>
            </w:r>
          </w:p>
        </w:tc>
        <w:tc>
          <w:tcPr>
            <w:tcW w:w="388" w:type="pct"/>
            <w:vAlign w:val="center"/>
          </w:tcPr>
          <w:p w14:paraId="1AD94E7F">
            <w:pPr>
              <w:pStyle w:val="12"/>
              <w:jc w:val="center"/>
            </w:pPr>
            <w:r>
              <w:rPr>
                <w:rFonts w:hint="eastAsia"/>
              </w:rPr>
              <w:t>男</w:t>
            </w:r>
          </w:p>
        </w:tc>
        <w:tc>
          <w:tcPr>
            <w:tcW w:w="582" w:type="pct"/>
            <w:vAlign w:val="center"/>
          </w:tcPr>
          <w:p w14:paraId="6CC8F812">
            <w:pPr>
              <w:pStyle w:val="12"/>
              <w:jc w:val="center"/>
            </w:pPr>
            <w:r>
              <w:rPr>
                <w:rFonts w:hint="eastAsia"/>
              </w:rPr>
              <w:t>1909年</w:t>
            </w:r>
          </w:p>
        </w:tc>
        <w:tc>
          <w:tcPr>
            <w:tcW w:w="582" w:type="pct"/>
            <w:vAlign w:val="center"/>
          </w:tcPr>
          <w:p w14:paraId="12F68DFA">
            <w:pPr>
              <w:pStyle w:val="12"/>
              <w:jc w:val="center"/>
            </w:pPr>
            <w:r>
              <w:rPr>
                <w:rFonts w:hint="eastAsia"/>
              </w:rPr>
              <w:t>油山镇</w:t>
            </w:r>
          </w:p>
        </w:tc>
        <w:tc>
          <w:tcPr>
            <w:tcW w:w="582" w:type="pct"/>
            <w:vAlign w:val="center"/>
          </w:tcPr>
          <w:p w14:paraId="7465FE0A">
            <w:pPr>
              <w:pStyle w:val="12"/>
              <w:jc w:val="center"/>
            </w:pPr>
            <w:r>
              <w:rPr>
                <w:rFonts w:hint="eastAsia"/>
              </w:rPr>
              <w:t>1929年</w:t>
            </w:r>
          </w:p>
        </w:tc>
        <w:tc>
          <w:tcPr>
            <w:tcW w:w="1066" w:type="pct"/>
            <w:vAlign w:val="center"/>
          </w:tcPr>
          <w:p w14:paraId="2771E9D9">
            <w:pPr>
              <w:pStyle w:val="12"/>
              <w:jc w:val="left"/>
            </w:pPr>
            <w:r>
              <w:rPr>
                <w:rFonts w:hint="eastAsia"/>
              </w:rPr>
              <w:t>油山游击队队员</w:t>
            </w:r>
          </w:p>
        </w:tc>
        <w:tc>
          <w:tcPr>
            <w:tcW w:w="1160" w:type="pct"/>
            <w:vAlign w:val="center"/>
          </w:tcPr>
          <w:p w14:paraId="008A0A39">
            <w:pPr>
              <w:pStyle w:val="12"/>
              <w:jc w:val="left"/>
            </w:pPr>
            <w:r>
              <w:rPr>
                <w:rFonts w:hint="eastAsia"/>
              </w:rPr>
              <w:t>1930年在油山鹅脚湾战斗牺牲</w:t>
            </w:r>
          </w:p>
        </w:tc>
      </w:tr>
      <w:tr w14:paraId="0AF39F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23E0453">
            <w:pPr>
              <w:pStyle w:val="12"/>
              <w:jc w:val="center"/>
            </w:pPr>
            <w:r>
              <w:rPr>
                <w:rFonts w:hint="eastAsia"/>
              </w:rPr>
              <w:t>彭  英</w:t>
            </w:r>
          </w:p>
        </w:tc>
        <w:tc>
          <w:tcPr>
            <w:tcW w:w="388" w:type="pct"/>
            <w:vAlign w:val="center"/>
          </w:tcPr>
          <w:p w14:paraId="34A4C785">
            <w:pPr>
              <w:pStyle w:val="12"/>
              <w:jc w:val="center"/>
            </w:pPr>
            <w:r>
              <w:rPr>
                <w:rFonts w:hint="eastAsia"/>
              </w:rPr>
              <w:t>男</w:t>
            </w:r>
          </w:p>
        </w:tc>
        <w:tc>
          <w:tcPr>
            <w:tcW w:w="582" w:type="pct"/>
            <w:vAlign w:val="center"/>
          </w:tcPr>
          <w:p w14:paraId="6B7EEC47">
            <w:pPr>
              <w:pStyle w:val="12"/>
              <w:jc w:val="center"/>
            </w:pPr>
            <w:r>
              <w:rPr>
                <w:rFonts w:hint="eastAsia"/>
              </w:rPr>
              <w:t>1904年</w:t>
            </w:r>
          </w:p>
        </w:tc>
        <w:tc>
          <w:tcPr>
            <w:tcW w:w="582" w:type="pct"/>
            <w:vAlign w:val="center"/>
          </w:tcPr>
          <w:p w14:paraId="5D643A6A">
            <w:pPr>
              <w:pStyle w:val="12"/>
              <w:jc w:val="center"/>
            </w:pPr>
            <w:r>
              <w:rPr>
                <w:rFonts w:hint="eastAsia"/>
              </w:rPr>
              <w:t>油山镇</w:t>
            </w:r>
          </w:p>
        </w:tc>
        <w:tc>
          <w:tcPr>
            <w:tcW w:w="582" w:type="pct"/>
            <w:vAlign w:val="center"/>
          </w:tcPr>
          <w:p w14:paraId="79C06E10">
            <w:pPr>
              <w:pStyle w:val="12"/>
              <w:jc w:val="center"/>
            </w:pPr>
            <w:r>
              <w:rPr>
                <w:rFonts w:hint="eastAsia"/>
              </w:rPr>
              <w:t>1928年</w:t>
            </w:r>
          </w:p>
        </w:tc>
        <w:tc>
          <w:tcPr>
            <w:tcW w:w="1066" w:type="pct"/>
            <w:vAlign w:val="center"/>
          </w:tcPr>
          <w:p w14:paraId="39267338">
            <w:pPr>
              <w:pStyle w:val="12"/>
              <w:jc w:val="left"/>
            </w:pPr>
            <w:r>
              <w:rPr>
                <w:rFonts w:hint="eastAsia"/>
              </w:rPr>
              <w:t>油山游击队班长</w:t>
            </w:r>
          </w:p>
        </w:tc>
        <w:tc>
          <w:tcPr>
            <w:tcW w:w="1160" w:type="pct"/>
            <w:vAlign w:val="center"/>
          </w:tcPr>
          <w:p w14:paraId="3D3A5860">
            <w:pPr>
              <w:pStyle w:val="12"/>
              <w:jc w:val="left"/>
            </w:pPr>
            <w:r>
              <w:rPr>
                <w:rFonts w:hint="eastAsia"/>
              </w:rPr>
              <w:t>1930年在江西上犹县营前被敌暗杀</w:t>
            </w:r>
          </w:p>
        </w:tc>
      </w:tr>
      <w:tr w14:paraId="16C960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D104B7C">
            <w:pPr>
              <w:pStyle w:val="12"/>
              <w:jc w:val="center"/>
              <w:rPr>
                <w:rFonts w:ascii="宋体" w:hAnsi="宋体" w:cs="宋体"/>
              </w:rPr>
            </w:pPr>
            <w:r>
              <w:rPr>
                <w:rFonts w:hint="eastAsia"/>
              </w:rPr>
              <w:t>欧  阳</w:t>
            </w:r>
          </w:p>
          <w:p w14:paraId="79277B0E">
            <w:pPr>
              <w:pStyle w:val="12"/>
              <w:jc w:val="center"/>
            </w:pPr>
            <w:r>
              <w:rPr>
                <w:rFonts w:hint="eastAsia" w:ascii="宋体" w:hAnsi="宋体" w:cs="宋体"/>
              </w:rPr>
              <w:t>鸡栖养</w:t>
            </w:r>
          </w:p>
        </w:tc>
        <w:tc>
          <w:tcPr>
            <w:tcW w:w="388" w:type="pct"/>
            <w:vAlign w:val="center"/>
          </w:tcPr>
          <w:p w14:paraId="69363CF8">
            <w:pPr>
              <w:pStyle w:val="12"/>
              <w:jc w:val="center"/>
            </w:pPr>
            <w:r>
              <w:rPr>
                <w:rFonts w:hint="eastAsia"/>
              </w:rPr>
              <w:t>男</w:t>
            </w:r>
          </w:p>
        </w:tc>
        <w:tc>
          <w:tcPr>
            <w:tcW w:w="582" w:type="pct"/>
            <w:vAlign w:val="center"/>
          </w:tcPr>
          <w:p w14:paraId="52E2C78A">
            <w:pPr>
              <w:pStyle w:val="12"/>
              <w:jc w:val="center"/>
            </w:pPr>
            <w:r>
              <w:rPr>
                <w:rFonts w:hint="eastAsia"/>
              </w:rPr>
              <w:t>1904年</w:t>
            </w:r>
          </w:p>
        </w:tc>
        <w:tc>
          <w:tcPr>
            <w:tcW w:w="582" w:type="pct"/>
            <w:vAlign w:val="center"/>
          </w:tcPr>
          <w:p w14:paraId="4057075F">
            <w:pPr>
              <w:pStyle w:val="12"/>
              <w:jc w:val="center"/>
            </w:pPr>
            <w:r>
              <w:rPr>
                <w:rFonts w:hint="eastAsia"/>
              </w:rPr>
              <w:t>水口镇</w:t>
            </w:r>
          </w:p>
        </w:tc>
        <w:tc>
          <w:tcPr>
            <w:tcW w:w="582" w:type="pct"/>
            <w:vAlign w:val="center"/>
          </w:tcPr>
          <w:p w14:paraId="03966205">
            <w:pPr>
              <w:pStyle w:val="12"/>
              <w:jc w:val="center"/>
            </w:pPr>
            <w:r>
              <w:rPr>
                <w:rFonts w:hint="eastAsia"/>
              </w:rPr>
              <w:t>1930年</w:t>
            </w:r>
          </w:p>
        </w:tc>
        <w:tc>
          <w:tcPr>
            <w:tcW w:w="1066" w:type="pct"/>
            <w:vAlign w:val="center"/>
          </w:tcPr>
          <w:p w14:paraId="058660E5">
            <w:pPr>
              <w:pStyle w:val="12"/>
              <w:jc w:val="left"/>
            </w:pPr>
            <w:r>
              <w:rPr>
                <w:rFonts w:hint="eastAsia"/>
              </w:rPr>
              <w:t>工农红军特务长</w:t>
            </w:r>
          </w:p>
        </w:tc>
        <w:tc>
          <w:tcPr>
            <w:tcW w:w="1160" w:type="pct"/>
            <w:vAlign w:val="center"/>
          </w:tcPr>
          <w:p w14:paraId="367646F9">
            <w:pPr>
              <w:pStyle w:val="12"/>
              <w:jc w:val="left"/>
            </w:pPr>
            <w:r>
              <w:rPr>
                <w:rFonts w:hint="eastAsia"/>
              </w:rPr>
              <w:t>1930年底在江西崇义县战斗牺牲</w:t>
            </w:r>
          </w:p>
        </w:tc>
      </w:tr>
      <w:tr w14:paraId="21070C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A3626C0">
            <w:pPr>
              <w:pStyle w:val="12"/>
              <w:jc w:val="center"/>
            </w:pPr>
            <w:r>
              <w:rPr>
                <w:rFonts w:hint="eastAsia"/>
              </w:rPr>
              <w:t>彭遵禹</w:t>
            </w:r>
          </w:p>
        </w:tc>
        <w:tc>
          <w:tcPr>
            <w:tcW w:w="388" w:type="pct"/>
            <w:vAlign w:val="center"/>
          </w:tcPr>
          <w:p w14:paraId="404A0D5F">
            <w:pPr>
              <w:pStyle w:val="12"/>
              <w:jc w:val="center"/>
            </w:pPr>
            <w:r>
              <w:rPr>
                <w:rFonts w:hint="eastAsia"/>
              </w:rPr>
              <w:t>男</w:t>
            </w:r>
          </w:p>
        </w:tc>
        <w:tc>
          <w:tcPr>
            <w:tcW w:w="582" w:type="pct"/>
            <w:vAlign w:val="center"/>
          </w:tcPr>
          <w:p w14:paraId="7D2163A6">
            <w:pPr>
              <w:pStyle w:val="12"/>
              <w:jc w:val="center"/>
            </w:pPr>
            <w:r>
              <w:rPr>
                <w:rFonts w:hint="eastAsia"/>
              </w:rPr>
              <w:t>1903年</w:t>
            </w:r>
          </w:p>
        </w:tc>
        <w:tc>
          <w:tcPr>
            <w:tcW w:w="582" w:type="pct"/>
            <w:vAlign w:val="center"/>
          </w:tcPr>
          <w:p w14:paraId="49BB90B7">
            <w:pPr>
              <w:pStyle w:val="12"/>
              <w:jc w:val="center"/>
            </w:pPr>
            <w:r>
              <w:rPr>
                <w:rFonts w:hint="eastAsia"/>
              </w:rPr>
              <w:t>油山镇</w:t>
            </w:r>
          </w:p>
        </w:tc>
        <w:tc>
          <w:tcPr>
            <w:tcW w:w="582" w:type="pct"/>
            <w:vAlign w:val="center"/>
          </w:tcPr>
          <w:p w14:paraId="4515993B">
            <w:pPr>
              <w:pStyle w:val="12"/>
              <w:jc w:val="center"/>
            </w:pPr>
            <w:r>
              <w:rPr>
                <w:rFonts w:hint="eastAsia"/>
              </w:rPr>
              <w:t>1928年</w:t>
            </w:r>
          </w:p>
        </w:tc>
        <w:tc>
          <w:tcPr>
            <w:tcW w:w="1066" w:type="pct"/>
            <w:vAlign w:val="center"/>
          </w:tcPr>
          <w:p w14:paraId="59C8B13C">
            <w:pPr>
              <w:pStyle w:val="12"/>
              <w:jc w:val="left"/>
            </w:pPr>
            <w:r>
              <w:rPr>
                <w:rFonts w:hint="eastAsia"/>
              </w:rPr>
              <w:t>油山游击队队员</w:t>
            </w:r>
          </w:p>
        </w:tc>
        <w:tc>
          <w:tcPr>
            <w:tcW w:w="1160" w:type="pct"/>
            <w:vAlign w:val="center"/>
          </w:tcPr>
          <w:p w14:paraId="484ECB87">
            <w:pPr>
              <w:pStyle w:val="12"/>
              <w:jc w:val="left"/>
            </w:pPr>
            <w:r>
              <w:rPr>
                <w:rFonts w:hint="eastAsia"/>
              </w:rPr>
              <w:t>1930年在上朔玉岭山被捕，在县城郊就义</w:t>
            </w:r>
          </w:p>
        </w:tc>
      </w:tr>
      <w:tr w14:paraId="022BCB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F0BBFEA">
            <w:pPr>
              <w:pStyle w:val="12"/>
              <w:jc w:val="center"/>
            </w:pPr>
            <w:r>
              <w:rPr>
                <w:rFonts w:hint="eastAsia"/>
              </w:rPr>
              <w:t>孔宪临</w:t>
            </w:r>
          </w:p>
        </w:tc>
        <w:tc>
          <w:tcPr>
            <w:tcW w:w="388" w:type="pct"/>
            <w:vAlign w:val="center"/>
          </w:tcPr>
          <w:p w14:paraId="585B4024">
            <w:pPr>
              <w:pStyle w:val="12"/>
              <w:jc w:val="center"/>
            </w:pPr>
            <w:r>
              <w:rPr>
                <w:rFonts w:hint="eastAsia"/>
              </w:rPr>
              <w:t>男</w:t>
            </w:r>
          </w:p>
        </w:tc>
        <w:tc>
          <w:tcPr>
            <w:tcW w:w="582" w:type="pct"/>
            <w:vAlign w:val="center"/>
          </w:tcPr>
          <w:p w14:paraId="1BEBBB34">
            <w:pPr>
              <w:pStyle w:val="12"/>
              <w:jc w:val="center"/>
            </w:pPr>
            <w:r>
              <w:rPr>
                <w:rFonts w:hint="eastAsia"/>
              </w:rPr>
              <w:t>1910年</w:t>
            </w:r>
          </w:p>
        </w:tc>
        <w:tc>
          <w:tcPr>
            <w:tcW w:w="582" w:type="pct"/>
            <w:vAlign w:val="center"/>
          </w:tcPr>
          <w:p w14:paraId="6385B078">
            <w:pPr>
              <w:pStyle w:val="12"/>
              <w:jc w:val="center"/>
            </w:pPr>
            <w:r>
              <w:rPr>
                <w:rFonts w:hint="eastAsia"/>
              </w:rPr>
              <w:t>油山镇</w:t>
            </w:r>
          </w:p>
        </w:tc>
        <w:tc>
          <w:tcPr>
            <w:tcW w:w="582" w:type="pct"/>
            <w:vAlign w:val="center"/>
          </w:tcPr>
          <w:p w14:paraId="65E8F4E1">
            <w:pPr>
              <w:pStyle w:val="12"/>
              <w:jc w:val="center"/>
            </w:pPr>
            <w:r>
              <w:rPr>
                <w:rFonts w:hint="eastAsia"/>
              </w:rPr>
              <w:t>1929年</w:t>
            </w:r>
          </w:p>
        </w:tc>
        <w:tc>
          <w:tcPr>
            <w:tcW w:w="1066" w:type="pct"/>
            <w:vAlign w:val="center"/>
          </w:tcPr>
          <w:p w14:paraId="48E60C49">
            <w:pPr>
              <w:pStyle w:val="12"/>
              <w:jc w:val="left"/>
            </w:pPr>
            <w:r>
              <w:rPr>
                <w:rFonts w:hint="eastAsia"/>
              </w:rPr>
              <w:t>工农红军宣传员</w:t>
            </w:r>
          </w:p>
        </w:tc>
        <w:tc>
          <w:tcPr>
            <w:tcW w:w="1160" w:type="pct"/>
            <w:vAlign w:val="center"/>
          </w:tcPr>
          <w:p w14:paraId="2B215456">
            <w:pPr>
              <w:pStyle w:val="12"/>
              <w:jc w:val="left"/>
            </w:pPr>
            <w:r>
              <w:rPr>
                <w:rFonts w:hint="eastAsia"/>
              </w:rPr>
              <w:t>1930年在赣南东河战斗牺牲</w:t>
            </w:r>
          </w:p>
        </w:tc>
      </w:tr>
      <w:tr w14:paraId="65127E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B6A11EC">
            <w:pPr>
              <w:pStyle w:val="12"/>
              <w:jc w:val="center"/>
            </w:pPr>
            <w:r>
              <w:rPr>
                <w:rFonts w:hint="eastAsia"/>
              </w:rPr>
              <w:t>刘细妹</w:t>
            </w:r>
          </w:p>
        </w:tc>
        <w:tc>
          <w:tcPr>
            <w:tcW w:w="388" w:type="pct"/>
            <w:vAlign w:val="center"/>
          </w:tcPr>
          <w:p w14:paraId="54469ECC">
            <w:pPr>
              <w:pStyle w:val="12"/>
              <w:jc w:val="center"/>
            </w:pPr>
            <w:r>
              <w:rPr>
                <w:rFonts w:hint="eastAsia"/>
              </w:rPr>
              <w:t>女</w:t>
            </w:r>
          </w:p>
        </w:tc>
        <w:tc>
          <w:tcPr>
            <w:tcW w:w="582" w:type="pct"/>
            <w:vAlign w:val="center"/>
          </w:tcPr>
          <w:p w14:paraId="424E199A">
            <w:pPr>
              <w:pStyle w:val="12"/>
              <w:jc w:val="center"/>
            </w:pPr>
            <w:r>
              <w:rPr>
                <w:rFonts w:hint="eastAsia"/>
              </w:rPr>
              <w:t>1894年</w:t>
            </w:r>
          </w:p>
        </w:tc>
        <w:tc>
          <w:tcPr>
            <w:tcW w:w="582" w:type="pct"/>
            <w:vAlign w:val="center"/>
          </w:tcPr>
          <w:p w14:paraId="1F8A5DFD">
            <w:pPr>
              <w:pStyle w:val="12"/>
              <w:jc w:val="center"/>
            </w:pPr>
            <w:r>
              <w:rPr>
                <w:rFonts w:hint="eastAsia"/>
              </w:rPr>
              <w:t>油山镇</w:t>
            </w:r>
          </w:p>
        </w:tc>
        <w:tc>
          <w:tcPr>
            <w:tcW w:w="582" w:type="pct"/>
            <w:vAlign w:val="center"/>
          </w:tcPr>
          <w:p w14:paraId="7991A9A4">
            <w:pPr>
              <w:pStyle w:val="12"/>
              <w:jc w:val="center"/>
            </w:pPr>
            <w:r>
              <w:rPr>
                <w:rFonts w:hint="eastAsia"/>
              </w:rPr>
              <w:t>1929年</w:t>
            </w:r>
          </w:p>
        </w:tc>
        <w:tc>
          <w:tcPr>
            <w:tcW w:w="1066" w:type="pct"/>
            <w:vAlign w:val="center"/>
          </w:tcPr>
          <w:p w14:paraId="62A0FD3B">
            <w:pPr>
              <w:pStyle w:val="12"/>
              <w:jc w:val="left"/>
              <w:rPr>
                <w:rFonts w:ascii="宋体" w:hAnsi="宋体" w:cs="宋体"/>
              </w:rPr>
            </w:pPr>
            <w:r>
              <w:rPr>
                <w:rFonts w:hint="eastAsia"/>
              </w:rPr>
              <w:t>油山游击队</w:t>
            </w:r>
          </w:p>
          <w:p w14:paraId="5E7B04FC">
            <w:pPr>
              <w:pStyle w:val="12"/>
              <w:jc w:val="left"/>
            </w:pPr>
            <w:r>
              <w:rPr>
                <w:rFonts w:hint="eastAsia" w:ascii="宋体" w:hAnsi="宋体" w:cs="宋体"/>
              </w:rPr>
              <w:t>炊  事  员</w:t>
            </w:r>
          </w:p>
        </w:tc>
        <w:tc>
          <w:tcPr>
            <w:tcW w:w="1160" w:type="pct"/>
            <w:vAlign w:val="center"/>
          </w:tcPr>
          <w:p w14:paraId="60EA0AE8">
            <w:pPr>
              <w:pStyle w:val="12"/>
              <w:jc w:val="left"/>
            </w:pPr>
            <w:r>
              <w:rPr>
                <w:rFonts w:hint="eastAsia"/>
              </w:rPr>
              <w:t>1930年在孔坑作战被捕，在县城郊就义</w:t>
            </w:r>
          </w:p>
        </w:tc>
      </w:tr>
      <w:tr w14:paraId="5F7BF1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3DEEAEC">
            <w:pPr>
              <w:pStyle w:val="12"/>
              <w:jc w:val="center"/>
            </w:pPr>
            <w:r>
              <w:rPr>
                <w:rFonts w:hint="eastAsia"/>
              </w:rPr>
              <w:t>孔庆春</w:t>
            </w:r>
          </w:p>
        </w:tc>
        <w:tc>
          <w:tcPr>
            <w:tcW w:w="388" w:type="pct"/>
            <w:vAlign w:val="center"/>
          </w:tcPr>
          <w:p w14:paraId="58186DB4">
            <w:pPr>
              <w:pStyle w:val="12"/>
              <w:jc w:val="center"/>
            </w:pPr>
            <w:r>
              <w:rPr>
                <w:rFonts w:hint="eastAsia"/>
              </w:rPr>
              <w:t>男</w:t>
            </w:r>
          </w:p>
        </w:tc>
        <w:tc>
          <w:tcPr>
            <w:tcW w:w="582" w:type="pct"/>
            <w:vAlign w:val="center"/>
          </w:tcPr>
          <w:p w14:paraId="7F61F9AB">
            <w:pPr>
              <w:pStyle w:val="12"/>
              <w:jc w:val="center"/>
            </w:pPr>
            <w:r>
              <w:rPr>
                <w:rFonts w:hint="eastAsia"/>
              </w:rPr>
              <w:t>1909年</w:t>
            </w:r>
          </w:p>
        </w:tc>
        <w:tc>
          <w:tcPr>
            <w:tcW w:w="582" w:type="pct"/>
            <w:vAlign w:val="center"/>
          </w:tcPr>
          <w:p w14:paraId="55FC915B">
            <w:pPr>
              <w:pStyle w:val="12"/>
              <w:jc w:val="center"/>
            </w:pPr>
            <w:r>
              <w:rPr>
                <w:rFonts w:hint="eastAsia"/>
              </w:rPr>
              <w:t>油山镇</w:t>
            </w:r>
          </w:p>
        </w:tc>
        <w:tc>
          <w:tcPr>
            <w:tcW w:w="582" w:type="pct"/>
            <w:vAlign w:val="center"/>
          </w:tcPr>
          <w:p w14:paraId="2F3E67D4">
            <w:pPr>
              <w:pStyle w:val="12"/>
              <w:jc w:val="center"/>
            </w:pPr>
            <w:r>
              <w:rPr>
                <w:rFonts w:hint="eastAsia"/>
              </w:rPr>
              <w:t>1928年</w:t>
            </w:r>
          </w:p>
        </w:tc>
        <w:tc>
          <w:tcPr>
            <w:tcW w:w="1066" w:type="pct"/>
            <w:vAlign w:val="center"/>
          </w:tcPr>
          <w:p w14:paraId="5E4B35A8">
            <w:pPr>
              <w:pStyle w:val="12"/>
              <w:jc w:val="left"/>
              <w:rPr>
                <w:rFonts w:ascii="宋体" w:hAnsi="宋体" w:cs="宋体"/>
              </w:rPr>
            </w:pPr>
            <w:r>
              <w:rPr>
                <w:rFonts w:hint="eastAsia"/>
              </w:rPr>
              <w:t>油山游击队</w:t>
            </w:r>
          </w:p>
          <w:p w14:paraId="36B5FCE8">
            <w:pPr>
              <w:pStyle w:val="12"/>
              <w:jc w:val="left"/>
            </w:pPr>
            <w:r>
              <w:rPr>
                <w:rFonts w:hint="eastAsia" w:ascii="宋体" w:hAnsi="宋体" w:cs="宋体"/>
              </w:rPr>
              <w:t>副大队长</w:t>
            </w:r>
          </w:p>
        </w:tc>
        <w:tc>
          <w:tcPr>
            <w:tcW w:w="1160" w:type="pct"/>
            <w:vAlign w:val="center"/>
          </w:tcPr>
          <w:p w14:paraId="3992542C">
            <w:pPr>
              <w:pStyle w:val="12"/>
              <w:jc w:val="left"/>
            </w:pPr>
            <w:r>
              <w:rPr>
                <w:rFonts w:hint="eastAsia"/>
              </w:rPr>
              <w:t>1930年在水口被捕，乌迳就义</w:t>
            </w:r>
          </w:p>
        </w:tc>
      </w:tr>
      <w:tr w14:paraId="52E367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C4C39B4">
            <w:pPr>
              <w:pStyle w:val="12"/>
              <w:jc w:val="center"/>
            </w:pPr>
            <w:r>
              <w:rPr>
                <w:rFonts w:hint="eastAsia"/>
              </w:rPr>
              <w:t>李贤均</w:t>
            </w:r>
          </w:p>
        </w:tc>
        <w:tc>
          <w:tcPr>
            <w:tcW w:w="388" w:type="pct"/>
            <w:vAlign w:val="center"/>
          </w:tcPr>
          <w:p w14:paraId="11940A32">
            <w:pPr>
              <w:pStyle w:val="12"/>
              <w:jc w:val="center"/>
            </w:pPr>
            <w:r>
              <w:rPr>
                <w:rFonts w:hint="eastAsia"/>
              </w:rPr>
              <w:t>男</w:t>
            </w:r>
          </w:p>
        </w:tc>
        <w:tc>
          <w:tcPr>
            <w:tcW w:w="582" w:type="pct"/>
            <w:vAlign w:val="center"/>
          </w:tcPr>
          <w:p w14:paraId="544EC434">
            <w:pPr>
              <w:pStyle w:val="12"/>
              <w:jc w:val="center"/>
            </w:pPr>
            <w:r>
              <w:rPr>
                <w:rFonts w:hint="eastAsia"/>
              </w:rPr>
              <w:t>1907年</w:t>
            </w:r>
          </w:p>
        </w:tc>
        <w:tc>
          <w:tcPr>
            <w:tcW w:w="582" w:type="pct"/>
            <w:vAlign w:val="center"/>
          </w:tcPr>
          <w:p w14:paraId="402636C7">
            <w:pPr>
              <w:pStyle w:val="12"/>
              <w:jc w:val="center"/>
            </w:pPr>
            <w:r>
              <w:rPr>
                <w:rFonts w:hint="eastAsia"/>
              </w:rPr>
              <w:t>油山镇</w:t>
            </w:r>
          </w:p>
        </w:tc>
        <w:tc>
          <w:tcPr>
            <w:tcW w:w="582" w:type="pct"/>
            <w:vAlign w:val="center"/>
          </w:tcPr>
          <w:p w14:paraId="2EDF771C">
            <w:pPr>
              <w:pStyle w:val="12"/>
              <w:jc w:val="center"/>
            </w:pPr>
            <w:r>
              <w:rPr>
                <w:rFonts w:hint="eastAsia"/>
              </w:rPr>
              <w:t>1929年</w:t>
            </w:r>
          </w:p>
        </w:tc>
        <w:tc>
          <w:tcPr>
            <w:tcW w:w="1066" w:type="pct"/>
            <w:vAlign w:val="center"/>
          </w:tcPr>
          <w:p w14:paraId="530191D7">
            <w:pPr>
              <w:pStyle w:val="12"/>
              <w:jc w:val="left"/>
              <w:rPr>
                <w:rFonts w:ascii="宋体" w:hAnsi="宋体" w:cs="宋体"/>
              </w:rPr>
            </w:pPr>
            <w:r>
              <w:rPr>
                <w:rFonts w:hint="eastAsia"/>
              </w:rPr>
              <w:t>油山游击队</w:t>
            </w:r>
          </w:p>
          <w:p w14:paraId="33C61EF8">
            <w:pPr>
              <w:pStyle w:val="12"/>
              <w:jc w:val="left"/>
            </w:pPr>
            <w:r>
              <w:rPr>
                <w:rFonts w:hint="eastAsia" w:ascii="宋体" w:hAnsi="宋体" w:cs="宋体"/>
              </w:rPr>
              <w:t>交  通  员</w:t>
            </w:r>
          </w:p>
        </w:tc>
        <w:tc>
          <w:tcPr>
            <w:tcW w:w="1160" w:type="pct"/>
            <w:vAlign w:val="center"/>
          </w:tcPr>
          <w:p w14:paraId="3D92D56D">
            <w:pPr>
              <w:pStyle w:val="12"/>
              <w:jc w:val="left"/>
            </w:pPr>
            <w:r>
              <w:rPr>
                <w:rFonts w:hint="eastAsia"/>
              </w:rPr>
              <w:t>1930年在益田被捕，在乌迳就义</w:t>
            </w:r>
          </w:p>
        </w:tc>
      </w:tr>
      <w:tr w14:paraId="480AB4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E4B0F4D">
            <w:pPr>
              <w:pStyle w:val="12"/>
              <w:jc w:val="center"/>
            </w:pPr>
            <w:r>
              <w:rPr>
                <w:rFonts w:hint="eastAsia"/>
              </w:rPr>
              <w:t>彭立保</w:t>
            </w:r>
          </w:p>
        </w:tc>
        <w:tc>
          <w:tcPr>
            <w:tcW w:w="388" w:type="pct"/>
            <w:vAlign w:val="center"/>
          </w:tcPr>
          <w:p w14:paraId="2E242720">
            <w:pPr>
              <w:pStyle w:val="12"/>
              <w:jc w:val="center"/>
            </w:pPr>
            <w:r>
              <w:rPr>
                <w:rFonts w:hint="eastAsia"/>
              </w:rPr>
              <w:t>男</w:t>
            </w:r>
          </w:p>
        </w:tc>
        <w:tc>
          <w:tcPr>
            <w:tcW w:w="582" w:type="pct"/>
            <w:vAlign w:val="center"/>
          </w:tcPr>
          <w:p w14:paraId="10216CBD">
            <w:pPr>
              <w:pStyle w:val="12"/>
              <w:jc w:val="center"/>
            </w:pPr>
            <w:r>
              <w:rPr>
                <w:rFonts w:hint="eastAsia"/>
              </w:rPr>
              <w:t>1903年</w:t>
            </w:r>
          </w:p>
        </w:tc>
        <w:tc>
          <w:tcPr>
            <w:tcW w:w="582" w:type="pct"/>
            <w:vAlign w:val="center"/>
          </w:tcPr>
          <w:p w14:paraId="72BEE8F9">
            <w:pPr>
              <w:pStyle w:val="12"/>
              <w:jc w:val="center"/>
            </w:pPr>
            <w:r>
              <w:rPr>
                <w:rFonts w:hint="eastAsia"/>
              </w:rPr>
              <w:t>油山镇</w:t>
            </w:r>
          </w:p>
        </w:tc>
        <w:tc>
          <w:tcPr>
            <w:tcW w:w="582" w:type="pct"/>
            <w:vAlign w:val="center"/>
          </w:tcPr>
          <w:p w14:paraId="195D4F37">
            <w:pPr>
              <w:pStyle w:val="12"/>
              <w:jc w:val="center"/>
            </w:pPr>
            <w:r>
              <w:rPr>
                <w:rFonts w:hint="eastAsia"/>
              </w:rPr>
              <w:t>1930年</w:t>
            </w:r>
          </w:p>
        </w:tc>
        <w:tc>
          <w:tcPr>
            <w:tcW w:w="1066" w:type="pct"/>
            <w:vAlign w:val="center"/>
          </w:tcPr>
          <w:p w14:paraId="7B8B67B1">
            <w:pPr>
              <w:pStyle w:val="12"/>
              <w:jc w:val="left"/>
            </w:pPr>
            <w:r>
              <w:rPr>
                <w:rFonts w:hint="eastAsia"/>
              </w:rPr>
              <w:t>工农红军战士</w:t>
            </w:r>
          </w:p>
        </w:tc>
        <w:tc>
          <w:tcPr>
            <w:tcW w:w="1160" w:type="pct"/>
            <w:vAlign w:val="center"/>
          </w:tcPr>
          <w:p w14:paraId="0A5661AD">
            <w:pPr>
              <w:pStyle w:val="12"/>
              <w:jc w:val="left"/>
            </w:pPr>
            <w:r>
              <w:rPr>
                <w:rFonts w:hint="eastAsia"/>
              </w:rPr>
              <w:t>1930年在江西东河战斗牺牲</w:t>
            </w:r>
          </w:p>
        </w:tc>
      </w:tr>
      <w:tr w14:paraId="6F2636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9DE91F9">
            <w:pPr>
              <w:pStyle w:val="12"/>
              <w:jc w:val="center"/>
            </w:pPr>
            <w:r>
              <w:rPr>
                <w:rFonts w:hint="eastAsia"/>
              </w:rPr>
              <w:t>朱石生</w:t>
            </w:r>
          </w:p>
        </w:tc>
        <w:tc>
          <w:tcPr>
            <w:tcW w:w="388" w:type="pct"/>
            <w:vAlign w:val="center"/>
          </w:tcPr>
          <w:p w14:paraId="4BFD15E0">
            <w:pPr>
              <w:pStyle w:val="12"/>
              <w:jc w:val="center"/>
            </w:pPr>
            <w:r>
              <w:rPr>
                <w:rFonts w:hint="eastAsia"/>
              </w:rPr>
              <w:t>男</w:t>
            </w:r>
          </w:p>
        </w:tc>
        <w:tc>
          <w:tcPr>
            <w:tcW w:w="582" w:type="pct"/>
            <w:vAlign w:val="center"/>
          </w:tcPr>
          <w:p w14:paraId="37875C0D">
            <w:pPr>
              <w:pStyle w:val="12"/>
              <w:jc w:val="center"/>
            </w:pPr>
            <w:r>
              <w:rPr>
                <w:rFonts w:hint="eastAsia"/>
              </w:rPr>
              <w:t>1907年</w:t>
            </w:r>
          </w:p>
        </w:tc>
        <w:tc>
          <w:tcPr>
            <w:tcW w:w="582" w:type="pct"/>
            <w:vAlign w:val="center"/>
          </w:tcPr>
          <w:p w14:paraId="3FA564DD">
            <w:pPr>
              <w:pStyle w:val="12"/>
              <w:jc w:val="center"/>
            </w:pPr>
            <w:r>
              <w:rPr>
                <w:rFonts w:hint="eastAsia"/>
              </w:rPr>
              <w:t>油山镇</w:t>
            </w:r>
          </w:p>
        </w:tc>
        <w:tc>
          <w:tcPr>
            <w:tcW w:w="582" w:type="pct"/>
            <w:vAlign w:val="center"/>
          </w:tcPr>
          <w:p w14:paraId="620517E8">
            <w:pPr>
              <w:pStyle w:val="12"/>
              <w:jc w:val="center"/>
            </w:pPr>
            <w:r>
              <w:rPr>
                <w:rFonts w:hint="eastAsia"/>
              </w:rPr>
              <w:t>1928年</w:t>
            </w:r>
          </w:p>
        </w:tc>
        <w:tc>
          <w:tcPr>
            <w:tcW w:w="1066" w:type="pct"/>
            <w:vAlign w:val="center"/>
          </w:tcPr>
          <w:p w14:paraId="2368A0D6">
            <w:pPr>
              <w:pStyle w:val="12"/>
              <w:jc w:val="left"/>
              <w:rPr>
                <w:rFonts w:ascii="宋体" w:hAnsi="宋体" w:cs="宋体"/>
              </w:rPr>
            </w:pPr>
            <w:r>
              <w:rPr>
                <w:rFonts w:hint="eastAsia"/>
              </w:rPr>
              <w:t>油山游击队</w:t>
            </w:r>
          </w:p>
          <w:p w14:paraId="491CE920">
            <w:pPr>
              <w:pStyle w:val="12"/>
              <w:jc w:val="left"/>
            </w:pPr>
            <w:r>
              <w:rPr>
                <w:rFonts w:hint="eastAsia" w:ascii="宋体" w:hAnsi="宋体" w:cs="宋体"/>
              </w:rPr>
              <w:t>交  通  员</w:t>
            </w:r>
          </w:p>
        </w:tc>
        <w:tc>
          <w:tcPr>
            <w:tcW w:w="1160" w:type="pct"/>
            <w:vAlign w:val="center"/>
          </w:tcPr>
          <w:p w14:paraId="6DDA08B2">
            <w:pPr>
              <w:pStyle w:val="12"/>
              <w:jc w:val="left"/>
            </w:pPr>
            <w:r>
              <w:rPr>
                <w:rFonts w:hint="eastAsia"/>
              </w:rPr>
              <w:t>1930年在乌迳被捕就义</w:t>
            </w:r>
          </w:p>
        </w:tc>
      </w:tr>
      <w:tr w14:paraId="2DC7D7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E865154">
            <w:pPr>
              <w:pStyle w:val="12"/>
              <w:jc w:val="center"/>
            </w:pPr>
            <w:r>
              <w:rPr>
                <w:rFonts w:hint="eastAsia"/>
              </w:rPr>
              <w:t>曹火生</w:t>
            </w:r>
          </w:p>
        </w:tc>
        <w:tc>
          <w:tcPr>
            <w:tcW w:w="388" w:type="pct"/>
            <w:vAlign w:val="center"/>
          </w:tcPr>
          <w:p w14:paraId="651075FC">
            <w:pPr>
              <w:pStyle w:val="12"/>
              <w:jc w:val="center"/>
            </w:pPr>
            <w:r>
              <w:rPr>
                <w:rFonts w:hint="eastAsia"/>
              </w:rPr>
              <w:t>男</w:t>
            </w:r>
          </w:p>
        </w:tc>
        <w:tc>
          <w:tcPr>
            <w:tcW w:w="582" w:type="pct"/>
            <w:vAlign w:val="center"/>
          </w:tcPr>
          <w:p w14:paraId="2D9CD21E">
            <w:pPr>
              <w:pStyle w:val="12"/>
              <w:jc w:val="center"/>
            </w:pPr>
            <w:r>
              <w:rPr>
                <w:rFonts w:hint="eastAsia"/>
              </w:rPr>
              <w:t>1907年</w:t>
            </w:r>
          </w:p>
        </w:tc>
        <w:tc>
          <w:tcPr>
            <w:tcW w:w="582" w:type="pct"/>
            <w:vAlign w:val="center"/>
          </w:tcPr>
          <w:p w14:paraId="15D25150">
            <w:pPr>
              <w:pStyle w:val="12"/>
              <w:jc w:val="center"/>
            </w:pPr>
            <w:r>
              <w:rPr>
                <w:rFonts w:hint="eastAsia"/>
              </w:rPr>
              <w:t>油山镇</w:t>
            </w:r>
          </w:p>
        </w:tc>
        <w:tc>
          <w:tcPr>
            <w:tcW w:w="582" w:type="pct"/>
            <w:vAlign w:val="center"/>
          </w:tcPr>
          <w:p w14:paraId="5EC08577">
            <w:pPr>
              <w:pStyle w:val="12"/>
              <w:jc w:val="center"/>
            </w:pPr>
            <w:r>
              <w:rPr>
                <w:rFonts w:hint="eastAsia"/>
              </w:rPr>
              <w:t>1930年</w:t>
            </w:r>
          </w:p>
        </w:tc>
        <w:tc>
          <w:tcPr>
            <w:tcW w:w="1066" w:type="pct"/>
            <w:vAlign w:val="center"/>
          </w:tcPr>
          <w:p w14:paraId="26DA3493">
            <w:pPr>
              <w:pStyle w:val="12"/>
              <w:jc w:val="left"/>
            </w:pPr>
            <w:r>
              <w:rPr>
                <w:rFonts w:hint="eastAsia"/>
              </w:rPr>
              <w:t>工农红军战士</w:t>
            </w:r>
          </w:p>
        </w:tc>
        <w:tc>
          <w:tcPr>
            <w:tcW w:w="1160" w:type="pct"/>
            <w:vAlign w:val="center"/>
          </w:tcPr>
          <w:p w14:paraId="1E991393">
            <w:pPr>
              <w:pStyle w:val="12"/>
              <w:jc w:val="left"/>
            </w:pPr>
            <w:r>
              <w:rPr>
                <w:rFonts w:hint="eastAsia"/>
              </w:rPr>
              <w:t>1930年在江西作战牺牲</w:t>
            </w:r>
          </w:p>
        </w:tc>
      </w:tr>
      <w:tr w14:paraId="325B6C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08F5197">
            <w:pPr>
              <w:pStyle w:val="12"/>
              <w:jc w:val="center"/>
            </w:pPr>
            <w:r>
              <w:rPr>
                <w:rFonts w:hint="eastAsia"/>
              </w:rPr>
              <w:t>邓勋畅</w:t>
            </w:r>
          </w:p>
        </w:tc>
        <w:tc>
          <w:tcPr>
            <w:tcW w:w="388" w:type="pct"/>
            <w:vAlign w:val="center"/>
          </w:tcPr>
          <w:p w14:paraId="16956621">
            <w:pPr>
              <w:pStyle w:val="12"/>
              <w:jc w:val="center"/>
            </w:pPr>
            <w:r>
              <w:rPr>
                <w:rFonts w:hint="eastAsia"/>
              </w:rPr>
              <w:t>男</w:t>
            </w:r>
          </w:p>
        </w:tc>
        <w:tc>
          <w:tcPr>
            <w:tcW w:w="582" w:type="pct"/>
            <w:vAlign w:val="center"/>
          </w:tcPr>
          <w:p w14:paraId="58B0AA4A">
            <w:pPr>
              <w:pStyle w:val="12"/>
              <w:jc w:val="center"/>
            </w:pPr>
            <w:r>
              <w:rPr>
                <w:rFonts w:hint="eastAsia"/>
              </w:rPr>
              <w:t>1905年</w:t>
            </w:r>
          </w:p>
        </w:tc>
        <w:tc>
          <w:tcPr>
            <w:tcW w:w="582" w:type="pct"/>
            <w:vAlign w:val="center"/>
          </w:tcPr>
          <w:p w14:paraId="27764828">
            <w:pPr>
              <w:pStyle w:val="12"/>
              <w:jc w:val="center"/>
            </w:pPr>
            <w:r>
              <w:rPr>
                <w:rFonts w:hint="eastAsia"/>
              </w:rPr>
              <w:t>乌迳镇</w:t>
            </w:r>
          </w:p>
        </w:tc>
        <w:tc>
          <w:tcPr>
            <w:tcW w:w="582" w:type="pct"/>
            <w:vAlign w:val="center"/>
          </w:tcPr>
          <w:p w14:paraId="3CCD2A3A">
            <w:pPr>
              <w:pStyle w:val="12"/>
              <w:jc w:val="center"/>
            </w:pPr>
            <w:r>
              <w:rPr>
                <w:rFonts w:hint="eastAsia"/>
              </w:rPr>
              <w:t>1928年</w:t>
            </w:r>
          </w:p>
        </w:tc>
        <w:tc>
          <w:tcPr>
            <w:tcW w:w="1066" w:type="pct"/>
            <w:vAlign w:val="center"/>
          </w:tcPr>
          <w:p w14:paraId="27B71F1D">
            <w:pPr>
              <w:pStyle w:val="12"/>
              <w:jc w:val="left"/>
            </w:pPr>
            <w:r>
              <w:rPr>
                <w:rFonts w:hint="eastAsia"/>
              </w:rPr>
              <w:t>油山游击队队员</w:t>
            </w:r>
          </w:p>
        </w:tc>
        <w:tc>
          <w:tcPr>
            <w:tcW w:w="1160" w:type="pct"/>
            <w:vAlign w:val="center"/>
          </w:tcPr>
          <w:p w14:paraId="2120D30A">
            <w:pPr>
              <w:pStyle w:val="12"/>
              <w:jc w:val="left"/>
            </w:pPr>
            <w:r>
              <w:rPr>
                <w:rFonts w:hint="eastAsia"/>
              </w:rPr>
              <w:t>1930年在大塘被捕就义</w:t>
            </w:r>
          </w:p>
        </w:tc>
      </w:tr>
      <w:tr w14:paraId="3DE099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4630EEB">
            <w:pPr>
              <w:pStyle w:val="12"/>
              <w:jc w:val="center"/>
            </w:pPr>
            <w:r>
              <w:rPr>
                <w:rFonts w:hint="eastAsia"/>
              </w:rPr>
              <w:t>李田心卜</w:t>
            </w:r>
          </w:p>
        </w:tc>
        <w:tc>
          <w:tcPr>
            <w:tcW w:w="388" w:type="pct"/>
            <w:vAlign w:val="center"/>
          </w:tcPr>
          <w:p w14:paraId="24748BEC">
            <w:pPr>
              <w:pStyle w:val="12"/>
              <w:jc w:val="center"/>
            </w:pPr>
            <w:r>
              <w:rPr>
                <w:rFonts w:hint="eastAsia"/>
              </w:rPr>
              <w:t>女</w:t>
            </w:r>
          </w:p>
        </w:tc>
        <w:tc>
          <w:tcPr>
            <w:tcW w:w="582" w:type="pct"/>
            <w:vAlign w:val="center"/>
          </w:tcPr>
          <w:p w14:paraId="077FFF6A">
            <w:pPr>
              <w:pStyle w:val="12"/>
              <w:jc w:val="center"/>
            </w:pPr>
            <w:r>
              <w:rPr>
                <w:rFonts w:hint="eastAsia"/>
              </w:rPr>
              <w:t>1905年</w:t>
            </w:r>
          </w:p>
        </w:tc>
        <w:tc>
          <w:tcPr>
            <w:tcW w:w="582" w:type="pct"/>
            <w:vAlign w:val="center"/>
          </w:tcPr>
          <w:p w14:paraId="421CA2DE">
            <w:pPr>
              <w:pStyle w:val="12"/>
              <w:jc w:val="center"/>
            </w:pPr>
            <w:r>
              <w:rPr>
                <w:rFonts w:hint="eastAsia"/>
              </w:rPr>
              <w:t>乌迳镇</w:t>
            </w:r>
          </w:p>
        </w:tc>
        <w:tc>
          <w:tcPr>
            <w:tcW w:w="582" w:type="pct"/>
            <w:vAlign w:val="center"/>
          </w:tcPr>
          <w:p w14:paraId="5B77B9E4">
            <w:pPr>
              <w:pStyle w:val="12"/>
              <w:jc w:val="center"/>
            </w:pPr>
            <w:r>
              <w:rPr>
                <w:rFonts w:hint="eastAsia"/>
              </w:rPr>
              <w:t>1928年</w:t>
            </w:r>
          </w:p>
        </w:tc>
        <w:tc>
          <w:tcPr>
            <w:tcW w:w="1066" w:type="pct"/>
            <w:vAlign w:val="center"/>
          </w:tcPr>
          <w:p w14:paraId="1D15CD26">
            <w:pPr>
              <w:pStyle w:val="12"/>
              <w:jc w:val="left"/>
            </w:pPr>
            <w:r>
              <w:rPr>
                <w:rFonts w:hint="eastAsia"/>
              </w:rPr>
              <w:t>油山游击队队员</w:t>
            </w:r>
          </w:p>
        </w:tc>
        <w:tc>
          <w:tcPr>
            <w:tcW w:w="1160" w:type="pct"/>
            <w:vAlign w:val="center"/>
          </w:tcPr>
          <w:p w14:paraId="7CCE3B73">
            <w:pPr>
              <w:pStyle w:val="12"/>
              <w:jc w:val="left"/>
            </w:pPr>
            <w:r>
              <w:rPr>
                <w:rFonts w:hint="eastAsia"/>
              </w:rPr>
              <w:t>1930年在孔江兰丘战斗牺牲</w:t>
            </w:r>
          </w:p>
        </w:tc>
      </w:tr>
      <w:tr w14:paraId="02987A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2E850C4">
            <w:pPr>
              <w:pStyle w:val="12"/>
              <w:jc w:val="center"/>
            </w:pPr>
            <w:r>
              <w:rPr>
                <w:rFonts w:hint="eastAsia"/>
              </w:rPr>
              <w:t>郑芳茂</w:t>
            </w:r>
          </w:p>
        </w:tc>
        <w:tc>
          <w:tcPr>
            <w:tcW w:w="388" w:type="pct"/>
            <w:vAlign w:val="center"/>
          </w:tcPr>
          <w:p w14:paraId="0CEC89A5">
            <w:pPr>
              <w:pStyle w:val="12"/>
              <w:jc w:val="center"/>
            </w:pPr>
            <w:r>
              <w:rPr>
                <w:rFonts w:hint="eastAsia"/>
              </w:rPr>
              <w:t>男</w:t>
            </w:r>
          </w:p>
        </w:tc>
        <w:tc>
          <w:tcPr>
            <w:tcW w:w="582" w:type="pct"/>
            <w:vAlign w:val="center"/>
          </w:tcPr>
          <w:p w14:paraId="52C05DC1">
            <w:pPr>
              <w:pStyle w:val="12"/>
              <w:jc w:val="center"/>
            </w:pPr>
            <w:r>
              <w:rPr>
                <w:rFonts w:hint="eastAsia"/>
              </w:rPr>
              <w:t>1906年</w:t>
            </w:r>
          </w:p>
        </w:tc>
        <w:tc>
          <w:tcPr>
            <w:tcW w:w="582" w:type="pct"/>
            <w:vAlign w:val="center"/>
          </w:tcPr>
          <w:p w14:paraId="7310E6F7">
            <w:pPr>
              <w:pStyle w:val="12"/>
              <w:jc w:val="center"/>
            </w:pPr>
            <w:r>
              <w:rPr>
                <w:rFonts w:hint="eastAsia"/>
              </w:rPr>
              <w:t>乌迳镇</w:t>
            </w:r>
          </w:p>
        </w:tc>
        <w:tc>
          <w:tcPr>
            <w:tcW w:w="582" w:type="pct"/>
            <w:vAlign w:val="center"/>
          </w:tcPr>
          <w:p w14:paraId="104E4D9F">
            <w:pPr>
              <w:pStyle w:val="12"/>
              <w:jc w:val="center"/>
            </w:pPr>
            <w:r>
              <w:rPr>
                <w:rFonts w:hint="eastAsia"/>
              </w:rPr>
              <w:t>1927年</w:t>
            </w:r>
          </w:p>
        </w:tc>
        <w:tc>
          <w:tcPr>
            <w:tcW w:w="1066" w:type="pct"/>
            <w:vAlign w:val="center"/>
          </w:tcPr>
          <w:p w14:paraId="18ECA514">
            <w:pPr>
              <w:pStyle w:val="12"/>
              <w:jc w:val="left"/>
            </w:pPr>
            <w:r>
              <w:rPr>
                <w:rFonts w:hint="eastAsia"/>
              </w:rPr>
              <w:t>油山游击队队员</w:t>
            </w:r>
          </w:p>
        </w:tc>
        <w:tc>
          <w:tcPr>
            <w:tcW w:w="1160" w:type="pct"/>
            <w:vAlign w:val="center"/>
          </w:tcPr>
          <w:p w14:paraId="19D0FD5D">
            <w:pPr>
              <w:pStyle w:val="12"/>
              <w:jc w:val="left"/>
            </w:pPr>
            <w:r>
              <w:rPr>
                <w:rFonts w:hint="eastAsia"/>
              </w:rPr>
              <w:t>1930年在江西信丰县被捕就义</w:t>
            </w:r>
          </w:p>
        </w:tc>
      </w:tr>
      <w:tr w14:paraId="143DBF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1AB2B5F">
            <w:pPr>
              <w:pStyle w:val="12"/>
              <w:jc w:val="center"/>
            </w:pPr>
            <w:r>
              <w:rPr>
                <w:rFonts w:hint="eastAsia"/>
              </w:rPr>
              <w:t>刘必旺</w:t>
            </w:r>
          </w:p>
        </w:tc>
        <w:tc>
          <w:tcPr>
            <w:tcW w:w="388" w:type="pct"/>
            <w:vAlign w:val="center"/>
          </w:tcPr>
          <w:p w14:paraId="5D00A478">
            <w:pPr>
              <w:pStyle w:val="12"/>
              <w:jc w:val="center"/>
            </w:pPr>
            <w:r>
              <w:rPr>
                <w:rFonts w:hint="eastAsia"/>
              </w:rPr>
              <w:t>男</w:t>
            </w:r>
          </w:p>
        </w:tc>
        <w:tc>
          <w:tcPr>
            <w:tcW w:w="582" w:type="pct"/>
            <w:vAlign w:val="center"/>
          </w:tcPr>
          <w:p w14:paraId="0152BCE1">
            <w:pPr>
              <w:pStyle w:val="12"/>
              <w:jc w:val="center"/>
            </w:pPr>
            <w:r>
              <w:rPr>
                <w:rFonts w:hint="eastAsia"/>
              </w:rPr>
              <w:t>1909年</w:t>
            </w:r>
          </w:p>
        </w:tc>
        <w:tc>
          <w:tcPr>
            <w:tcW w:w="582" w:type="pct"/>
            <w:vAlign w:val="center"/>
          </w:tcPr>
          <w:p w14:paraId="293FE370">
            <w:pPr>
              <w:pStyle w:val="12"/>
              <w:jc w:val="center"/>
            </w:pPr>
            <w:r>
              <w:rPr>
                <w:rFonts w:hint="eastAsia"/>
              </w:rPr>
              <w:t>湖口镇</w:t>
            </w:r>
          </w:p>
        </w:tc>
        <w:tc>
          <w:tcPr>
            <w:tcW w:w="582" w:type="pct"/>
            <w:vAlign w:val="center"/>
          </w:tcPr>
          <w:p w14:paraId="2599180D">
            <w:pPr>
              <w:pStyle w:val="12"/>
              <w:jc w:val="center"/>
            </w:pPr>
            <w:r>
              <w:rPr>
                <w:rFonts w:hint="eastAsia"/>
              </w:rPr>
              <w:t>1929年</w:t>
            </w:r>
          </w:p>
        </w:tc>
        <w:tc>
          <w:tcPr>
            <w:tcW w:w="1066" w:type="pct"/>
            <w:vAlign w:val="center"/>
          </w:tcPr>
          <w:p w14:paraId="70B99904">
            <w:pPr>
              <w:pStyle w:val="12"/>
              <w:jc w:val="left"/>
            </w:pPr>
            <w:r>
              <w:rPr>
                <w:rFonts w:hint="eastAsia"/>
              </w:rPr>
              <w:t>油山游击队队长</w:t>
            </w:r>
          </w:p>
        </w:tc>
        <w:tc>
          <w:tcPr>
            <w:tcW w:w="1160" w:type="pct"/>
            <w:vAlign w:val="center"/>
          </w:tcPr>
          <w:p w14:paraId="3EA5EC30">
            <w:pPr>
              <w:pStyle w:val="12"/>
              <w:jc w:val="left"/>
            </w:pPr>
            <w:r>
              <w:rPr>
                <w:rFonts w:hint="eastAsia"/>
              </w:rPr>
              <w:t>1930年在江西省盐长圩被捕，在南雄黄泥塘就义</w:t>
            </w:r>
          </w:p>
        </w:tc>
      </w:tr>
      <w:tr w14:paraId="4A9F8D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6C016AD">
            <w:pPr>
              <w:pStyle w:val="12"/>
              <w:jc w:val="center"/>
            </w:pPr>
            <w:r>
              <w:rPr>
                <w:rFonts w:hint="eastAsia"/>
              </w:rPr>
              <w:t>钟朱狗</w:t>
            </w:r>
          </w:p>
        </w:tc>
        <w:tc>
          <w:tcPr>
            <w:tcW w:w="388" w:type="pct"/>
            <w:vAlign w:val="center"/>
          </w:tcPr>
          <w:p w14:paraId="6B729AA2">
            <w:pPr>
              <w:pStyle w:val="12"/>
              <w:jc w:val="center"/>
            </w:pPr>
            <w:r>
              <w:rPr>
                <w:rFonts w:hint="eastAsia"/>
              </w:rPr>
              <w:t>男</w:t>
            </w:r>
          </w:p>
        </w:tc>
        <w:tc>
          <w:tcPr>
            <w:tcW w:w="582" w:type="pct"/>
            <w:vAlign w:val="center"/>
          </w:tcPr>
          <w:p w14:paraId="60AA95BD">
            <w:pPr>
              <w:pStyle w:val="12"/>
              <w:jc w:val="center"/>
            </w:pPr>
            <w:r>
              <w:rPr>
                <w:rFonts w:hint="eastAsia"/>
              </w:rPr>
              <w:t>1910年</w:t>
            </w:r>
          </w:p>
        </w:tc>
        <w:tc>
          <w:tcPr>
            <w:tcW w:w="582" w:type="pct"/>
            <w:vAlign w:val="center"/>
          </w:tcPr>
          <w:p w14:paraId="42AAAF5F">
            <w:pPr>
              <w:pStyle w:val="12"/>
              <w:jc w:val="center"/>
            </w:pPr>
            <w:r>
              <w:rPr>
                <w:rFonts w:hint="eastAsia"/>
              </w:rPr>
              <w:t>珠玑镇</w:t>
            </w:r>
          </w:p>
        </w:tc>
        <w:tc>
          <w:tcPr>
            <w:tcW w:w="582" w:type="pct"/>
            <w:vAlign w:val="center"/>
          </w:tcPr>
          <w:p w14:paraId="13A661E1">
            <w:pPr>
              <w:pStyle w:val="12"/>
              <w:jc w:val="center"/>
            </w:pPr>
            <w:r>
              <w:rPr>
                <w:rFonts w:hint="eastAsia"/>
              </w:rPr>
              <w:t>1928年</w:t>
            </w:r>
          </w:p>
        </w:tc>
        <w:tc>
          <w:tcPr>
            <w:tcW w:w="1066" w:type="pct"/>
            <w:vAlign w:val="center"/>
          </w:tcPr>
          <w:p w14:paraId="3CDB2125">
            <w:pPr>
              <w:pStyle w:val="12"/>
              <w:jc w:val="left"/>
            </w:pPr>
            <w:r>
              <w:rPr>
                <w:rFonts w:hint="eastAsia"/>
              </w:rPr>
              <w:t>油山游击队队员</w:t>
            </w:r>
          </w:p>
        </w:tc>
        <w:tc>
          <w:tcPr>
            <w:tcW w:w="1160" w:type="pct"/>
            <w:vAlign w:val="center"/>
          </w:tcPr>
          <w:p w14:paraId="45A88466">
            <w:pPr>
              <w:pStyle w:val="12"/>
              <w:jc w:val="left"/>
            </w:pPr>
            <w:r>
              <w:rPr>
                <w:rFonts w:hint="eastAsia"/>
              </w:rPr>
              <w:t>1930年被捕，在邓坊就义</w:t>
            </w:r>
          </w:p>
        </w:tc>
      </w:tr>
      <w:tr w14:paraId="4F0464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8FA1CAB">
            <w:pPr>
              <w:pStyle w:val="12"/>
              <w:jc w:val="center"/>
            </w:pPr>
            <w:r>
              <w:rPr>
                <w:rFonts w:hint="eastAsia"/>
              </w:rPr>
              <w:t>曾昭龙</w:t>
            </w:r>
          </w:p>
        </w:tc>
        <w:tc>
          <w:tcPr>
            <w:tcW w:w="388" w:type="pct"/>
            <w:vAlign w:val="center"/>
          </w:tcPr>
          <w:p w14:paraId="6EA802E5">
            <w:pPr>
              <w:pStyle w:val="12"/>
              <w:jc w:val="center"/>
            </w:pPr>
            <w:r>
              <w:rPr>
                <w:rFonts w:hint="eastAsia"/>
              </w:rPr>
              <w:t>男</w:t>
            </w:r>
          </w:p>
        </w:tc>
        <w:tc>
          <w:tcPr>
            <w:tcW w:w="582" w:type="pct"/>
            <w:vAlign w:val="center"/>
          </w:tcPr>
          <w:p w14:paraId="1A92D58F">
            <w:pPr>
              <w:pStyle w:val="12"/>
              <w:jc w:val="center"/>
            </w:pPr>
            <w:r>
              <w:rPr>
                <w:rFonts w:hint="eastAsia"/>
              </w:rPr>
              <w:t>1903年</w:t>
            </w:r>
          </w:p>
        </w:tc>
        <w:tc>
          <w:tcPr>
            <w:tcW w:w="582" w:type="pct"/>
            <w:vAlign w:val="center"/>
          </w:tcPr>
          <w:p w14:paraId="44262B63">
            <w:pPr>
              <w:pStyle w:val="12"/>
              <w:jc w:val="center"/>
            </w:pPr>
            <w:r>
              <w:rPr>
                <w:rFonts w:hint="eastAsia"/>
              </w:rPr>
              <w:t>珠玑镇</w:t>
            </w:r>
          </w:p>
        </w:tc>
        <w:tc>
          <w:tcPr>
            <w:tcW w:w="582" w:type="pct"/>
            <w:vAlign w:val="center"/>
          </w:tcPr>
          <w:p w14:paraId="716CE858">
            <w:pPr>
              <w:pStyle w:val="12"/>
              <w:jc w:val="center"/>
            </w:pPr>
            <w:r>
              <w:rPr>
                <w:rFonts w:hint="eastAsia"/>
              </w:rPr>
              <w:t>1928年</w:t>
            </w:r>
          </w:p>
        </w:tc>
        <w:tc>
          <w:tcPr>
            <w:tcW w:w="1066" w:type="pct"/>
            <w:vAlign w:val="center"/>
          </w:tcPr>
          <w:p w14:paraId="0CA2731A">
            <w:pPr>
              <w:pStyle w:val="12"/>
              <w:jc w:val="left"/>
            </w:pPr>
            <w:r>
              <w:rPr>
                <w:rFonts w:hint="eastAsia"/>
              </w:rPr>
              <w:t>油山游击队队员</w:t>
            </w:r>
          </w:p>
        </w:tc>
        <w:tc>
          <w:tcPr>
            <w:tcW w:w="1160" w:type="pct"/>
            <w:vAlign w:val="center"/>
          </w:tcPr>
          <w:p w14:paraId="4D02B869">
            <w:pPr>
              <w:pStyle w:val="12"/>
              <w:jc w:val="left"/>
            </w:pPr>
            <w:r>
              <w:rPr>
                <w:rFonts w:hint="eastAsia"/>
              </w:rPr>
              <w:t>1930年被捕，在罗田就义</w:t>
            </w:r>
          </w:p>
        </w:tc>
      </w:tr>
      <w:tr w14:paraId="5AE818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C726F66">
            <w:pPr>
              <w:pStyle w:val="12"/>
              <w:jc w:val="center"/>
            </w:pPr>
            <w:r>
              <w:rPr>
                <w:rFonts w:hint="eastAsia"/>
              </w:rPr>
              <w:t>沈世春</w:t>
            </w:r>
          </w:p>
        </w:tc>
        <w:tc>
          <w:tcPr>
            <w:tcW w:w="388" w:type="pct"/>
            <w:vAlign w:val="center"/>
          </w:tcPr>
          <w:p w14:paraId="2848A714">
            <w:pPr>
              <w:pStyle w:val="12"/>
              <w:jc w:val="center"/>
            </w:pPr>
            <w:r>
              <w:rPr>
                <w:rFonts w:hint="eastAsia"/>
              </w:rPr>
              <w:t>男</w:t>
            </w:r>
          </w:p>
        </w:tc>
        <w:tc>
          <w:tcPr>
            <w:tcW w:w="582" w:type="pct"/>
            <w:vAlign w:val="center"/>
          </w:tcPr>
          <w:p w14:paraId="06152025">
            <w:pPr>
              <w:pStyle w:val="12"/>
              <w:jc w:val="center"/>
            </w:pPr>
            <w:r>
              <w:rPr>
                <w:rFonts w:hint="eastAsia"/>
              </w:rPr>
              <w:t>1905年</w:t>
            </w:r>
          </w:p>
        </w:tc>
        <w:tc>
          <w:tcPr>
            <w:tcW w:w="582" w:type="pct"/>
            <w:vAlign w:val="center"/>
          </w:tcPr>
          <w:p w14:paraId="0FFDEF82">
            <w:pPr>
              <w:pStyle w:val="12"/>
              <w:jc w:val="center"/>
            </w:pPr>
            <w:r>
              <w:rPr>
                <w:rFonts w:hint="eastAsia"/>
              </w:rPr>
              <w:t>黄坑镇</w:t>
            </w:r>
          </w:p>
        </w:tc>
        <w:tc>
          <w:tcPr>
            <w:tcW w:w="582" w:type="pct"/>
            <w:vAlign w:val="center"/>
          </w:tcPr>
          <w:p w14:paraId="02A625F4">
            <w:pPr>
              <w:pStyle w:val="12"/>
              <w:jc w:val="center"/>
            </w:pPr>
            <w:r>
              <w:rPr>
                <w:rFonts w:hint="eastAsia"/>
              </w:rPr>
              <w:t>1928年</w:t>
            </w:r>
          </w:p>
        </w:tc>
        <w:tc>
          <w:tcPr>
            <w:tcW w:w="1066" w:type="pct"/>
            <w:vAlign w:val="center"/>
          </w:tcPr>
          <w:p w14:paraId="748A8512">
            <w:pPr>
              <w:pStyle w:val="12"/>
              <w:jc w:val="left"/>
            </w:pPr>
            <w:r>
              <w:rPr>
                <w:rFonts w:hint="eastAsia"/>
              </w:rPr>
              <w:t>红四军战士</w:t>
            </w:r>
          </w:p>
        </w:tc>
        <w:tc>
          <w:tcPr>
            <w:tcW w:w="1160" w:type="pct"/>
            <w:vAlign w:val="center"/>
          </w:tcPr>
          <w:p w14:paraId="494637D4">
            <w:pPr>
              <w:pStyle w:val="12"/>
              <w:jc w:val="left"/>
            </w:pPr>
            <w:r>
              <w:rPr>
                <w:rFonts w:hint="eastAsia"/>
              </w:rPr>
              <w:t>1930年在江西信丰县战斗中牺牲</w:t>
            </w:r>
          </w:p>
        </w:tc>
      </w:tr>
      <w:tr w14:paraId="1D2603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0B43264">
            <w:pPr>
              <w:pStyle w:val="12"/>
              <w:jc w:val="center"/>
            </w:pPr>
            <w:r>
              <w:rPr>
                <w:rFonts w:hint="eastAsia"/>
              </w:rPr>
              <w:t>欧阳鸡石</w:t>
            </w:r>
          </w:p>
        </w:tc>
        <w:tc>
          <w:tcPr>
            <w:tcW w:w="388" w:type="pct"/>
            <w:vAlign w:val="center"/>
          </w:tcPr>
          <w:p w14:paraId="3D2700B9">
            <w:pPr>
              <w:pStyle w:val="12"/>
              <w:jc w:val="center"/>
            </w:pPr>
            <w:r>
              <w:rPr>
                <w:rFonts w:hint="eastAsia"/>
              </w:rPr>
              <w:t>男</w:t>
            </w:r>
          </w:p>
        </w:tc>
        <w:tc>
          <w:tcPr>
            <w:tcW w:w="582" w:type="pct"/>
            <w:vAlign w:val="center"/>
          </w:tcPr>
          <w:p w14:paraId="3BBC82DC">
            <w:pPr>
              <w:pStyle w:val="12"/>
              <w:jc w:val="center"/>
            </w:pPr>
            <w:r>
              <w:rPr>
                <w:rFonts w:hint="eastAsia"/>
              </w:rPr>
              <w:t>1912年</w:t>
            </w:r>
          </w:p>
        </w:tc>
        <w:tc>
          <w:tcPr>
            <w:tcW w:w="582" w:type="pct"/>
            <w:vAlign w:val="center"/>
          </w:tcPr>
          <w:p w14:paraId="21B706CA">
            <w:pPr>
              <w:pStyle w:val="12"/>
              <w:jc w:val="center"/>
            </w:pPr>
            <w:r>
              <w:rPr>
                <w:rFonts w:hint="eastAsia"/>
              </w:rPr>
              <w:t>水口镇</w:t>
            </w:r>
          </w:p>
        </w:tc>
        <w:tc>
          <w:tcPr>
            <w:tcW w:w="582" w:type="pct"/>
            <w:vAlign w:val="center"/>
          </w:tcPr>
          <w:p w14:paraId="3226179D">
            <w:pPr>
              <w:pStyle w:val="12"/>
              <w:jc w:val="center"/>
            </w:pPr>
            <w:r>
              <w:rPr>
                <w:rFonts w:hint="eastAsia"/>
              </w:rPr>
              <w:t>1930年</w:t>
            </w:r>
          </w:p>
        </w:tc>
        <w:tc>
          <w:tcPr>
            <w:tcW w:w="1066" w:type="pct"/>
            <w:vAlign w:val="center"/>
          </w:tcPr>
          <w:p w14:paraId="578AD94E">
            <w:pPr>
              <w:pStyle w:val="12"/>
              <w:jc w:val="left"/>
            </w:pPr>
            <w:r>
              <w:rPr>
                <w:rFonts w:hint="eastAsia"/>
              </w:rPr>
              <w:t>工农红军特务长</w:t>
            </w:r>
          </w:p>
        </w:tc>
        <w:tc>
          <w:tcPr>
            <w:tcW w:w="1160" w:type="pct"/>
            <w:vAlign w:val="center"/>
          </w:tcPr>
          <w:p w14:paraId="0E5261D1">
            <w:pPr>
              <w:pStyle w:val="12"/>
              <w:jc w:val="left"/>
            </w:pPr>
            <w:r>
              <w:rPr>
                <w:rFonts w:hint="eastAsia"/>
              </w:rPr>
              <w:t>1930年2月在福建汀州战斗牺牲</w:t>
            </w:r>
          </w:p>
        </w:tc>
      </w:tr>
      <w:tr w14:paraId="1A4134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089DD79">
            <w:pPr>
              <w:pStyle w:val="12"/>
              <w:jc w:val="center"/>
            </w:pPr>
            <w:r>
              <w:rPr>
                <w:rFonts w:hint="eastAsia"/>
              </w:rPr>
              <w:t>欧阳南京</w:t>
            </w:r>
          </w:p>
        </w:tc>
        <w:tc>
          <w:tcPr>
            <w:tcW w:w="388" w:type="pct"/>
            <w:vAlign w:val="center"/>
          </w:tcPr>
          <w:p w14:paraId="6F32E637">
            <w:pPr>
              <w:pStyle w:val="12"/>
              <w:jc w:val="center"/>
            </w:pPr>
            <w:r>
              <w:rPr>
                <w:rFonts w:hint="eastAsia"/>
              </w:rPr>
              <w:t>男</w:t>
            </w:r>
          </w:p>
        </w:tc>
        <w:tc>
          <w:tcPr>
            <w:tcW w:w="582" w:type="pct"/>
            <w:vAlign w:val="center"/>
          </w:tcPr>
          <w:p w14:paraId="74E7C484">
            <w:pPr>
              <w:pStyle w:val="12"/>
              <w:jc w:val="center"/>
            </w:pPr>
            <w:r>
              <w:rPr>
                <w:rFonts w:hint="eastAsia"/>
              </w:rPr>
              <w:t>1909年</w:t>
            </w:r>
          </w:p>
        </w:tc>
        <w:tc>
          <w:tcPr>
            <w:tcW w:w="582" w:type="pct"/>
            <w:vAlign w:val="center"/>
          </w:tcPr>
          <w:p w14:paraId="0A219A5F">
            <w:pPr>
              <w:pStyle w:val="12"/>
              <w:jc w:val="center"/>
            </w:pPr>
            <w:r>
              <w:rPr>
                <w:rFonts w:hint="eastAsia"/>
              </w:rPr>
              <w:t>水口镇</w:t>
            </w:r>
          </w:p>
        </w:tc>
        <w:tc>
          <w:tcPr>
            <w:tcW w:w="582" w:type="pct"/>
            <w:vAlign w:val="center"/>
          </w:tcPr>
          <w:p w14:paraId="67144B6B">
            <w:pPr>
              <w:pStyle w:val="12"/>
              <w:jc w:val="center"/>
            </w:pPr>
            <w:r>
              <w:rPr>
                <w:rFonts w:hint="eastAsia"/>
              </w:rPr>
              <w:t>1930年</w:t>
            </w:r>
          </w:p>
        </w:tc>
        <w:tc>
          <w:tcPr>
            <w:tcW w:w="1066" w:type="pct"/>
            <w:vAlign w:val="center"/>
          </w:tcPr>
          <w:p w14:paraId="5EB8B0FE">
            <w:pPr>
              <w:pStyle w:val="12"/>
              <w:jc w:val="left"/>
            </w:pPr>
            <w:r>
              <w:rPr>
                <w:rFonts w:hint="eastAsia"/>
              </w:rPr>
              <w:t>红军26纵队战士</w:t>
            </w:r>
          </w:p>
        </w:tc>
        <w:tc>
          <w:tcPr>
            <w:tcW w:w="1160" w:type="pct"/>
            <w:vAlign w:val="center"/>
          </w:tcPr>
          <w:p w14:paraId="40B44838">
            <w:pPr>
              <w:pStyle w:val="12"/>
              <w:jc w:val="left"/>
            </w:pPr>
            <w:r>
              <w:rPr>
                <w:rFonts w:hint="eastAsia"/>
              </w:rPr>
              <w:t>1930年4月在江西南康县战斗牺牲</w:t>
            </w:r>
          </w:p>
        </w:tc>
      </w:tr>
      <w:tr w14:paraId="1A0BFE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2FB7B91">
            <w:pPr>
              <w:pStyle w:val="12"/>
              <w:jc w:val="center"/>
            </w:pPr>
            <w:r>
              <w:rPr>
                <w:rFonts w:hint="eastAsia"/>
              </w:rPr>
              <w:t>欧阳长清</w:t>
            </w:r>
          </w:p>
        </w:tc>
        <w:tc>
          <w:tcPr>
            <w:tcW w:w="388" w:type="pct"/>
            <w:vAlign w:val="center"/>
          </w:tcPr>
          <w:p w14:paraId="479C1460">
            <w:pPr>
              <w:pStyle w:val="12"/>
              <w:jc w:val="center"/>
            </w:pPr>
            <w:r>
              <w:rPr>
                <w:rFonts w:hint="eastAsia"/>
              </w:rPr>
              <w:t>男</w:t>
            </w:r>
          </w:p>
        </w:tc>
        <w:tc>
          <w:tcPr>
            <w:tcW w:w="582" w:type="pct"/>
            <w:vAlign w:val="center"/>
          </w:tcPr>
          <w:p w14:paraId="74F3C5DF">
            <w:pPr>
              <w:pStyle w:val="12"/>
              <w:jc w:val="center"/>
            </w:pPr>
            <w:r>
              <w:rPr>
                <w:rFonts w:hint="eastAsia"/>
              </w:rPr>
              <w:t>1898年</w:t>
            </w:r>
          </w:p>
        </w:tc>
        <w:tc>
          <w:tcPr>
            <w:tcW w:w="582" w:type="pct"/>
            <w:vAlign w:val="center"/>
          </w:tcPr>
          <w:p w14:paraId="3AE0CD8C">
            <w:pPr>
              <w:pStyle w:val="12"/>
              <w:jc w:val="center"/>
            </w:pPr>
            <w:r>
              <w:rPr>
                <w:rFonts w:hint="eastAsia"/>
              </w:rPr>
              <w:t>水口镇</w:t>
            </w:r>
          </w:p>
        </w:tc>
        <w:tc>
          <w:tcPr>
            <w:tcW w:w="582" w:type="pct"/>
            <w:vAlign w:val="center"/>
          </w:tcPr>
          <w:p w14:paraId="02C2E25A">
            <w:pPr>
              <w:pStyle w:val="12"/>
              <w:jc w:val="center"/>
            </w:pPr>
            <w:r>
              <w:rPr>
                <w:rFonts w:hint="eastAsia"/>
              </w:rPr>
              <w:t>1930年</w:t>
            </w:r>
          </w:p>
        </w:tc>
        <w:tc>
          <w:tcPr>
            <w:tcW w:w="1066" w:type="pct"/>
            <w:vAlign w:val="center"/>
          </w:tcPr>
          <w:p w14:paraId="1E67B7E9">
            <w:pPr>
              <w:pStyle w:val="12"/>
              <w:jc w:val="left"/>
            </w:pPr>
            <w:r>
              <w:rPr>
                <w:rFonts w:hint="eastAsia"/>
              </w:rPr>
              <w:t>红四军11师战士</w:t>
            </w:r>
          </w:p>
        </w:tc>
        <w:tc>
          <w:tcPr>
            <w:tcW w:w="1160" w:type="pct"/>
            <w:vAlign w:val="center"/>
          </w:tcPr>
          <w:p w14:paraId="6DA925C4">
            <w:pPr>
              <w:pStyle w:val="12"/>
              <w:jc w:val="left"/>
            </w:pPr>
            <w:r>
              <w:rPr>
                <w:rFonts w:hint="eastAsia"/>
              </w:rPr>
              <w:t>1930年底在战斗中牺牲</w:t>
            </w:r>
          </w:p>
        </w:tc>
      </w:tr>
      <w:tr w14:paraId="4FEDAD7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5338987">
            <w:pPr>
              <w:pStyle w:val="12"/>
              <w:jc w:val="center"/>
            </w:pPr>
            <w:r>
              <w:rPr>
                <w:rFonts w:hint="eastAsia"/>
              </w:rPr>
              <w:t>欧阳柴狗</w:t>
            </w:r>
          </w:p>
        </w:tc>
        <w:tc>
          <w:tcPr>
            <w:tcW w:w="388" w:type="pct"/>
            <w:vAlign w:val="center"/>
          </w:tcPr>
          <w:p w14:paraId="2935E5C7">
            <w:pPr>
              <w:pStyle w:val="12"/>
              <w:jc w:val="center"/>
            </w:pPr>
            <w:r>
              <w:rPr>
                <w:rFonts w:hint="eastAsia"/>
              </w:rPr>
              <w:t>男</w:t>
            </w:r>
          </w:p>
        </w:tc>
        <w:tc>
          <w:tcPr>
            <w:tcW w:w="582" w:type="pct"/>
            <w:vAlign w:val="center"/>
          </w:tcPr>
          <w:p w14:paraId="5653E53C">
            <w:pPr>
              <w:pStyle w:val="12"/>
              <w:jc w:val="center"/>
            </w:pPr>
            <w:r>
              <w:rPr>
                <w:rFonts w:hint="eastAsia"/>
              </w:rPr>
              <w:t>1904年</w:t>
            </w:r>
          </w:p>
        </w:tc>
        <w:tc>
          <w:tcPr>
            <w:tcW w:w="582" w:type="pct"/>
            <w:vAlign w:val="center"/>
          </w:tcPr>
          <w:p w14:paraId="65CB43DE">
            <w:pPr>
              <w:pStyle w:val="12"/>
              <w:jc w:val="center"/>
            </w:pPr>
            <w:r>
              <w:rPr>
                <w:rFonts w:hint="eastAsia"/>
              </w:rPr>
              <w:t>水口镇</w:t>
            </w:r>
          </w:p>
        </w:tc>
        <w:tc>
          <w:tcPr>
            <w:tcW w:w="582" w:type="pct"/>
            <w:vAlign w:val="center"/>
          </w:tcPr>
          <w:p w14:paraId="58742636">
            <w:pPr>
              <w:pStyle w:val="12"/>
              <w:jc w:val="center"/>
            </w:pPr>
            <w:r>
              <w:rPr>
                <w:rFonts w:hint="eastAsia"/>
              </w:rPr>
              <w:t>1928年</w:t>
            </w:r>
          </w:p>
        </w:tc>
        <w:tc>
          <w:tcPr>
            <w:tcW w:w="1066" w:type="pct"/>
            <w:vAlign w:val="center"/>
          </w:tcPr>
          <w:p w14:paraId="7FD38FF4">
            <w:pPr>
              <w:pStyle w:val="12"/>
              <w:jc w:val="left"/>
            </w:pPr>
            <w:r>
              <w:rPr>
                <w:rFonts w:hint="eastAsia"/>
              </w:rPr>
              <w:t>工农红军战士</w:t>
            </w:r>
          </w:p>
        </w:tc>
        <w:tc>
          <w:tcPr>
            <w:tcW w:w="1160" w:type="pct"/>
            <w:vAlign w:val="center"/>
          </w:tcPr>
          <w:p w14:paraId="526E4EF9">
            <w:pPr>
              <w:pStyle w:val="12"/>
              <w:jc w:val="left"/>
            </w:pPr>
            <w:r>
              <w:rPr>
                <w:rFonts w:hint="eastAsia"/>
              </w:rPr>
              <w:t>1930年在江西吉安战斗牺牲</w:t>
            </w:r>
          </w:p>
        </w:tc>
      </w:tr>
      <w:tr w14:paraId="00FE72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02013C9">
            <w:pPr>
              <w:pStyle w:val="12"/>
              <w:jc w:val="center"/>
              <w:rPr>
                <w:rFonts w:ascii="宋体" w:hAnsi="宋体" w:cs="宋体"/>
              </w:rPr>
            </w:pPr>
            <w:r>
              <w:rPr>
                <w:rFonts w:hint="eastAsia"/>
              </w:rPr>
              <w:t>欧  阳</w:t>
            </w:r>
          </w:p>
          <w:p w14:paraId="1336A7A1">
            <w:pPr>
              <w:pStyle w:val="12"/>
              <w:jc w:val="center"/>
            </w:pPr>
            <w:r>
              <w:rPr>
                <w:rFonts w:hint="eastAsia" w:ascii="宋体" w:hAnsi="宋体" w:cs="宋体"/>
              </w:rPr>
              <w:t>厚眼皮</w:t>
            </w:r>
          </w:p>
        </w:tc>
        <w:tc>
          <w:tcPr>
            <w:tcW w:w="388" w:type="pct"/>
            <w:vAlign w:val="center"/>
          </w:tcPr>
          <w:p w14:paraId="12D7C726">
            <w:pPr>
              <w:pStyle w:val="12"/>
              <w:jc w:val="center"/>
            </w:pPr>
            <w:r>
              <w:rPr>
                <w:rFonts w:hint="eastAsia"/>
              </w:rPr>
              <w:t>男</w:t>
            </w:r>
          </w:p>
        </w:tc>
        <w:tc>
          <w:tcPr>
            <w:tcW w:w="582" w:type="pct"/>
            <w:vAlign w:val="center"/>
          </w:tcPr>
          <w:p w14:paraId="7E91925A">
            <w:pPr>
              <w:pStyle w:val="12"/>
              <w:jc w:val="center"/>
            </w:pPr>
            <w:r>
              <w:rPr>
                <w:rFonts w:hint="eastAsia"/>
              </w:rPr>
              <w:t>1908年</w:t>
            </w:r>
          </w:p>
        </w:tc>
        <w:tc>
          <w:tcPr>
            <w:tcW w:w="582" w:type="pct"/>
            <w:vAlign w:val="center"/>
          </w:tcPr>
          <w:p w14:paraId="1B48B7BC">
            <w:pPr>
              <w:pStyle w:val="12"/>
              <w:jc w:val="center"/>
            </w:pPr>
            <w:r>
              <w:rPr>
                <w:rFonts w:hint="eastAsia"/>
              </w:rPr>
              <w:t>水口镇</w:t>
            </w:r>
          </w:p>
        </w:tc>
        <w:tc>
          <w:tcPr>
            <w:tcW w:w="582" w:type="pct"/>
            <w:vAlign w:val="center"/>
          </w:tcPr>
          <w:p w14:paraId="4F7F0785">
            <w:pPr>
              <w:pStyle w:val="12"/>
              <w:jc w:val="center"/>
            </w:pPr>
            <w:r>
              <w:rPr>
                <w:rFonts w:hint="eastAsia"/>
              </w:rPr>
              <w:t>1930年</w:t>
            </w:r>
          </w:p>
        </w:tc>
        <w:tc>
          <w:tcPr>
            <w:tcW w:w="1066" w:type="pct"/>
            <w:vAlign w:val="center"/>
          </w:tcPr>
          <w:p w14:paraId="49F7BB20">
            <w:pPr>
              <w:pStyle w:val="12"/>
              <w:jc w:val="left"/>
            </w:pPr>
            <w:r>
              <w:rPr>
                <w:rFonts w:hint="eastAsia"/>
              </w:rPr>
              <w:t>红军四11师战士</w:t>
            </w:r>
          </w:p>
        </w:tc>
        <w:tc>
          <w:tcPr>
            <w:tcW w:w="1160" w:type="pct"/>
            <w:vAlign w:val="center"/>
          </w:tcPr>
          <w:p w14:paraId="52A76705">
            <w:pPr>
              <w:pStyle w:val="12"/>
              <w:jc w:val="left"/>
            </w:pPr>
            <w:r>
              <w:rPr>
                <w:rFonts w:hint="eastAsia"/>
              </w:rPr>
              <w:t>1930年底在战斗中牺牲</w:t>
            </w:r>
          </w:p>
        </w:tc>
      </w:tr>
      <w:tr w14:paraId="41AC5B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814D333">
            <w:pPr>
              <w:pStyle w:val="12"/>
              <w:jc w:val="center"/>
            </w:pPr>
            <w:r>
              <w:rPr>
                <w:rFonts w:hint="eastAsia"/>
              </w:rPr>
              <w:t>欧阳振兴</w:t>
            </w:r>
          </w:p>
        </w:tc>
        <w:tc>
          <w:tcPr>
            <w:tcW w:w="388" w:type="pct"/>
            <w:vAlign w:val="center"/>
          </w:tcPr>
          <w:p w14:paraId="2ABFC252">
            <w:pPr>
              <w:pStyle w:val="12"/>
              <w:jc w:val="center"/>
            </w:pPr>
            <w:r>
              <w:rPr>
                <w:rFonts w:hint="eastAsia"/>
              </w:rPr>
              <w:t>男</w:t>
            </w:r>
          </w:p>
        </w:tc>
        <w:tc>
          <w:tcPr>
            <w:tcW w:w="582" w:type="pct"/>
            <w:vAlign w:val="center"/>
          </w:tcPr>
          <w:p w14:paraId="4E5B16C6">
            <w:pPr>
              <w:pStyle w:val="12"/>
              <w:jc w:val="center"/>
            </w:pPr>
            <w:r>
              <w:rPr>
                <w:rFonts w:hint="eastAsia"/>
              </w:rPr>
              <w:t>1885年</w:t>
            </w:r>
          </w:p>
        </w:tc>
        <w:tc>
          <w:tcPr>
            <w:tcW w:w="582" w:type="pct"/>
            <w:vAlign w:val="center"/>
          </w:tcPr>
          <w:p w14:paraId="47B4748B">
            <w:pPr>
              <w:pStyle w:val="12"/>
              <w:jc w:val="center"/>
            </w:pPr>
            <w:r>
              <w:rPr>
                <w:rFonts w:hint="eastAsia"/>
              </w:rPr>
              <w:t>水口镇</w:t>
            </w:r>
          </w:p>
        </w:tc>
        <w:tc>
          <w:tcPr>
            <w:tcW w:w="582" w:type="pct"/>
            <w:vAlign w:val="center"/>
          </w:tcPr>
          <w:p w14:paraId="78DAEA7D">
            <w:pPr>
              <w:pStyle w:val="12"/>
              <w:jc w:val="center"/>
            </w:pPr>
            <w:r>
              <w:rPr>
                <w:rFonts w:hint="eastAsia"/>
              </w:rPr>
              <w:t>1926年</w:t>
            </w:r>
          </w:p>
        </w:tc>
        <w:tc>
          <w:tcPr>
            <w:tcW w:w="1066" w:type="pct"/>
            <w:vAlign w:val="center"/>
          </w:tcPr>
          <w:p w14:paraId="43E27623">
            <w:pPr>
              <w:pStyle w:val="12"/>
              <w:jc w:val="left"/>
            </w:pPr>
            <w:r>
              <w:rPr>
                <w:rFonts w:hint="eastAsia"/>
              </w:rPr>
              <w:t>工农红军秘书</w:t>
            </w:r>
          </w:p>
        </w:tc>
        <w:tc>
          <w:tcPr>
            <w:tcW w:w="1160" w:type="pct"/>
            <w:vAlign w:val="center"/>
          </w:tcPr>
          <w:p w14:paraId="76FAAFFF">
            <w:pPr>
              <w:pStyle w:val="12"/>
              <w:jc w:val="left"/>
            </w:pPr>
            <w:r>
              <w:rPr>
                <w:rFonts w:hint="eastAsia"/>
              </w:rPr>
              <w:t>1930年在江西兴国县战斗中牺牲</w:t>
            </w:r>
          </w:p>
        </w:tc>
      </w:tr>
      <w:tr w14:paraId="341C3B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C69421D">
            <w:pPr>
              <w:pStyle w:val="12"/>
              <w:jc w:val="center"/>
              <w:rPr>
                <w:rFonts w:ascii="宋体" w:hAnsi="宋体" w:cs="宋体"/>
              </w:rPr>
            </w:pPr>
            <w:r>
              <w:rPr>
                <w:rFonts w:hint="eastAsia"/>
              </w:rPr>
              <w:t>欧  阳</w:t>
            </w:r>
          </w:p>
          <w:p w14:paraId="248E04A3">
            <w:pPr>
              <w:pStyle w:val="12"/>
              <w:jc w:val="center"/>
            </w:pPr>
            <w:r>
              <w:rPr>
                <w:rFonts w:hint="eastAsia" w:ascii="宋体" w:hAnsi="宋体" w:cs="宋体"/>
              </w:rPr>
              <w:t>金生养</w:t>
            </w:r>
          </w:p>
        </w:tc>
        <w:tc>
          <w:tcPr>
            <w:tcW w:w="388" w:type="pct"/>
            <w:vAlign w:val="center"/>
          </w:tcPr>
          <w:p w14:paraId="53C78D7F">
            <w:pPr>
              <w:pStyle w:val="12"/>
              <w:jc w:val="center"/>
            </w:pPr>
            <w:r>
              <w:rPr>
                <w:rFonts w:hint="eastAsia"/>
              </w:rPr>
              <w:t>男</w:t>
            </w:r>
          </w:p>
        </w:tc>
        <w:tc>
          <w:tcPr>
            <w:tcW w:w="582" w:type="pct"/>
            <w:vAlign w:val="center"/>
          </w:tcPr>
          <w:p w14:paraId="1AAF8803">
            <w:pPr>
              <w:pStyle w:val="12"/>
              <w:jc w:val="center"/>
            </w:pPr>
            <w:r>
              <w:rPr>
                <w:rFonts w:hint="eastAsia"/>
              </w:rPr>
              <w:t>1906年</w:t>
            </w:r>
          </w:p>
        </w:tc>
        <w:tc>
          <w:tcPr>
            <w:tcW w:w="582" w:type="pct"/>
            <w:vAlign w:val="center"/>
          </w:tcPr>
          <w:p w14:paraId="69DE0121">
            <w:pPr>
              <w:pStyle w:val="12"/>
              <w:jc w:val="center"/>
            </w:pPr>
            <w:r>
              <w:rPr>
                <w:rFonts w:hint="eastAsia"/>
              </w:rPr>
              <w:t>水口镇</w:t>
            </w:r>
          </w:p>
        </w:tc>
        <w:tc>
          <w:tcPr>
            <w:tcW w:w="582" w:type="pct"/>
            <w:vAlign w:val="center"/>
          </w:tcPr>
          <w:p w14:paraId="453C9CD1">
            <w:pPr>
              <w:pStyle w:val="12"/>
              <w:jc w:val="center"/>
            </w:pPr>
            <w:r>
              <w:rPr>
                <w:rFonts w:hint="eastAsia"/>
              </w:rPr>
              <w:t>1928年</w:t>
            </w:r>
          </w:p>
        </w:tc>
        <w:tc>
          <w:tcPr>
            <w:tcW w:w="1066" w:type="pct"/>
            <w:vAlign w:val="center"/>
          </w:tcPr>
          <w:p w14:paraId="45D14A50">
            <w:pPr>
              <w:pStyle w:val="12"/>
              <w:jc w:val="left"/>
              <w:rPr>
                <w:rFonts w:ascii="宋体" w:hAnsi="宋体" w:cs="宋体"/>
              </w:rPr>
            </w:pPr>
            <w:r>
              <w:rPr>
                <w:rFonts w:hint="eastAsia"/>
              </w:rPr>
              <w:t>红四军一纵</w:t>
            </w:r>
          </w:p>
          <w:p w14:paraId="5B2BA61A">
            <w:pPr>
              <w:pStyle w:val="12"/>
              <w:jc w:val="left"/>
            </w:pPr>
            <w:r>
              <w:rPr>
                <w:rFonts w:hint="eastAsia" w:ascii="宋体" w:hAnsi="宋体" w:cs="宋体"/>
              </w:rPr>
              <w:t>队  战  士</w:t>
            </w:r>
          </w:p>
        </w:tc>
        <w:tc>
          <w:tcPr>
            <w:tcW w:w="1160" w:type="pct"/>
            <w:vAlign w:val="center"/>
          </w:tcPr>
          <w:p w14:paraId="4D46F8C6">
            <w:pPr>
              <w:pStyle w:val="12"/>
              <w:jc w:val="left"/>
            </w:pPr>
            <w:r>
              <w:rPr>
                <w:rFonts w:hint="eastAsia"/>
              </w:rPr>
              <w:t>1930年在福建汀州战斗牺牲</w:t>
            </w:r>
          </w:p>
        </w:tc>
      </w:tr>
      <w:tr w14:paraId="174A62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B983238">
            <w:pPr>
              <w:pStyle w:val="12"/>
              <w:jc w:val="center"/>
            </w:pPr>
            <w:r>
              <w:rPr>
                <w:rFonts w:hint="eastAsia"/>
              </w:rPr>
              <w:t>叶宣林</w:t>
            </w:r>
          </w:p>
        </w:tc>
        <w:tc>
          <w:tcPr>
            <w:tcW w:w="388" w:type="pct"/>
            <w:vAlign w:val="center"/>
          </w:tcPr>
          <w:p w14:paraId="1DF26DF5">
            <w:pPr>
              <w:pStyle w:val="12"/>
              <w:jc w:val="center"/>
            </w:pPr>
            <w:r>
              <w:rPr>
                <w:rFonts w:hint="eastAsia"/>
              </w:rPr>
              <w:t>男</w:t>
            </w:r>
          </w:p>
        </w:tc>
        <w:tc>
          <w:tcPr>
            <w:tcW w:w="582" w:type="pct"/>
            <w:vAlign w:val="center"/>
          </w:tcPr>
          <w:p w14:paraId="403D9969">
            <w:pPr>
              <w:pStyle w:val="12"/>
              <w:jc w:val="center"/>
            </w:pPr>
            <w:r>
              <w:rPr>
                <w:rFonts w:hint="eastAsia"/>
              </w:rPr>
              <w:t>1898年</w:t>
            </w:r>
          </w:p>
        </w:tc>
        <w:tc>
          <w:tcPr>
            <w:tcW w:w="582" w:type="pct"/>
            <w:vAlign w:val="center"/>
          </w:tcPr>
          <w:p w14:paraId="58DDCAFE">
            <w:pPr>
              <w:pStyle w:val="12"/>
              <w:jc w:val="center"/>
            </w:pPr>
            <w:r>
              <w:rPr>
                <w:rFonts w:hint="eastAsia"/>
              </w:rPr>
              <w:t>邓坊镇</w:t>
            </w:r>
          </w:p>
        </w:tc>
        <w:tc>
          <w:tcPr>
            <w:tcW w:w="582" w:type="pct"/>
            <w:vAlign w:val="center"/>
          </w:tcPr>
          <w:p w14:paraId="593BEBDE">
            <w:pPr>
              <w:pStyle w:val="12"/>
              <w:jc w:val="center"/>
            </w:pPr>
            <w:r>
              <w:rPr>
                <w:rFonts w:hint="eastAsia"/>
              </w:rPr>
              <w:t>1929年</w:t>
            </w:r>
          </w:p>
        </w:tc>
        <w:tc>
          <w:tcPr>
            <w:tcW w:w="1066" w:type="pct"/>
            <w:vAlign w:val="center"/>
          </w:tcPr>
          <w:p w14:paraId="52050DFC">
            <w:pPr>
              <w:pStyle w:val="12"/>
              <w:jc w:val="left"/>
            </w:pPr>
            <w:r>
              <w:rPr>
                <w:rFonts w:hint="eastAsia"/>
              </w:rPr>
              <w:t>油山游击队队员</w:t>
            </w:r>
          </w:p>
        </w:tc>
        <w:tc>
          <w:tcPr>
            <w:tcW w:w="1160" w:type="pct"/>
            <w:vAlign w:val="center"/>
          </w:tcPr>
          <w:p w14:paraId="77543513">
            <w:pPr>
              <w:pStyle w:val="12"/>
              <w:jc w:val="left"/>
            </w:pPr>
            <w:r>
              <w:rPr>
                <w:rFonts w:hint="eastAsia"/>
              </w:rPr>
              <w:t>1930年在邓坊被捕就义</w:t>
            </w:r>
          </w:p>
        </w:tc>
      </w:tr>
      <w:tr w14:paraId="61DFFF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404C3E9">
            <w:pPr>
              <w:pStyle w:val="12"/>
              <w:jc w:val="center"/>
            </w:pPr>
            <w:r>
              <w:rPr>
                <w:rFonts w:hint="eastAsia"/>
              </w:rPr>
              <w:t>叶舒福</w:t>
            </w:r>
          </w:p>
        </w:tc>
        <w:tc>
          <w:tcPr>
            <w:tcW w:w="388" w:type="pct"/>
            <w:vAlign w:val="center"/>
          </w:tcPr>
          <w:p w14:paraId="5C96F2F3">
            <w:pPr>
              <w:pStyle w:val="12"/>
              <w:jc w:val="center"/>
            </w:pPr>
            <w:r>
              <w:rPr>
                <w:rFonts w:hint="eastAsia"/>
              </w:rPr>
              <w:t>男</w:t>
            </w:r>
          </w:p>
        </w:tc>
        <w:tc>
          <w:tcPr>
            <w:tcW w:w="582" w:type="pct"/>
            <w:vAlign w:val="center"/>
          </w:tcPr>
          <w:p w14:paraId="29F4B6F3">
            <w:pPr>
              <w:pStyle w:val="12"/>
              <w:jc w:val="center"/>
            </w:pPr>
            <w:r>
              <w:rPr>
                <w:rFonts w:hint="eastAsia"/>
              </w:rPr>
              <w:t>1895年</w:t>
            </w:r>
          </w:p>
        </w:tc>
        <w:tc>
          <w:tcPr>
            <w:tcW w:w="582" w:type="pct"/>
            <w:vAlign w:val="center"/>
          </w:tcPr>
          <w:p w14:paraId="21972BFA">
            <w:pPr>
              <w:pStyle w:val="12"/>
              <w:jc w:val="center"/>
            </w:pPr>
            <w:r>
              <w:rPr>
                <w:rFonts w:hint="eastAsia"/>
              </w:rPr>
              <w:t>邓坊镇</w:t>
            </w:r>
          </w:p>
        </w:tc>
        <w:tc>
          <w:tcPr>
            <w:tcW w:w="582" w:type="pct"/>
            <w:vAlign w:val="center"/>
          </w:tcPr>
          <w:p w14:paraId="203FE8D4">
            <w:pPr>
              <w:pStyle w:val="12"/>
              <w:jc w:val="center"/>
            </w:pPr>
            <w:r>
              <w:rPr>
                <w:rFonts w:hint="eastAsia"/>
              </w:rPr>
              <w:t>1929年</w:t>
            </w:r>
          </w:p>
        </w:tc>
        <w:tc>
          <w:tcPr>
            <w:tcW w:w="1066" w:type="pct"/>
            <w:vAlign w:val="center"/>
          </w:tcPr>
          <w:p w14:paraId="17DB90C5">
            <w:pPr>
              <w:pStyle w:val="12"/>
              <w:jc w:val="left"/>
            </w:pPr>
            <w:r>
              <w:rPr>
                <w:rFonts w:hint="eastAsia"/>
              </w:rPr>
              <w:t>油山游击队队员</w:t>
            </w:r>
          </w:p>
        </w:tc>
        <w:tc>
          <w:tcPr>
            <w:tcW w:w="1160" w:type="pct"/>
            <w:vAlign w:val="center"/>
          </w:tcPr>
          <w:p w14:paraId="3DB270C9">
            <w:pPr>
              <w:pStyle w:val="12"/>
              <w:jc w:val="left"/>
            </w:pPr>
            <w:r>
              <w:rPr>
                <w:rFonts w:hint="eastAsia"/>
              </w:rPr>
              <w:t>1930年在邓坊里元被捕就义</w:t>
            </w:r>
          </w:p>
        </w:tc>
      </w:tr>
      <w:tr w14:paraId="5C0F8A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1963C78">
            <w:pPr>
              <w:pStyle w:val="12"/>
              <w:jc w:val="center"/>
            </w:pPr>
            <w:r>
              <w:rPr>
                <w:rFonts w:hint="eastAsia"/>
              </w:rPr>
              <w:t>卢章庭</w:t>
            </w:r>
          </w:p>
        </w:tc>
        <w:tc>
          <w:tcPr>
            <w:tcW w:w="388" w:type="pct"/>
            <w:vAlign w:val="center"/>
          </w:tcPr>
          <w:p w14:paraId="40B5CB7A">
            <w:pPr>
              <w:pStyle w:val="12"/>
              <w:jc w:val="center"/>
            </w:pPr>
            <w:r>
              <w:rPr>
                <w:rFonts w:hint="eastAsia"/>
              </w:rPr>
              <w:t>男</w:t>
            </w:r>
          </w:p>
        </w:tc>
        <w:tc>
          <w:tcPr>
            <w:tcW w:w="582" w:type="pct"/>
            <w:vAlign w:val="center"/>
          </w:tcPr>
          <w:p w14:paraId="354A35B4">
            <w:pPr>
              <w:pStyle w:val="12"/>
              <w:jc w:val="center"/>
            </w:pPr>
            <w:r>
              <w:rPr>
                <w:rFonts w:hint="eastAsia"/>
              </w:rPr>
              <w:t>1910年</w:t>
            </w:r>
          </w:p>
        </w:tc>
        <w:tc>
          <w:tcPr>
            <w:tcW w:w="582" w:type="pct"/>
            <w:vAlign w:val="center"/>
          </w:tcPr>
          <w:p w14:paraId="6D792E76">
            <w:pPr>
              <w:pStyle w:val="12"/>
              <w:jc w:val="center"/>
            </w:pPr>
            <w:r>
              <w:rPr>
                <w:rFonts w:hint="eastAsia"/>
              </w:rPr>
              <w:t>邓坊镇</w:t>
            </w:r>
          </w:p>
        </w:tc>
        <w:tc>
          <w:tcPr>
            <w:tcW w:w="582" w:type="pct"/>
            <w:vAlign w:val="center"/>
          </w:tcPr>
          <w:p w14:paraId="3275A257">
            <w:pPr>
              <w:pStyle w:val="12"/>
              <w:jc w:val="center"/>
            </w:pPr>
            <w:r>
              <w:rPr>
                <w:rFonts w:hint="eastAsia"/>
              </w:rPr>
              <w:t>1927年</w:t>
            </w:r>
          </w:p>
        </w:tc>
        <w:tc>
          <w:tcPr>
            <w:tcW w:w="1066" w:type="pct"/>
            <w:vAlign w:val="center"/>
          </w:tcPr>
          <w:p w14:paraId="1F8AFC1B">
            <w:pPr>
              <w:pStyle w:val="12"/>
              <w:jc w:val="left"/>
            </w:pPr>
            <w:r>
              <w:rPr>
                <w:rFonts w:hint="eastAsia"/>
              </w:rPr>
              <w:t>油山游击队队员</w:t>
            </w:r>
          </w:p>
        </w:tc>
        <w:tc>
          <w:tcPr>
            <w:tcW w:w="1160" w:type="pct"/>
            <w:vAlign w:val="center"/>
          </w:tcPr>
          <w:p w14:paraId="118990A7">
            <w:pPr>
              <w:pStyle w:val="12"/>
              <w:jc w:val="left"/>
            </w:pPr>
            <w:r>
              <w:rPr>
                <w:rFonts w:hint="eastAsia"/>
              </w:rPr>
              <w:t>1930年在大塘延村战斗牺牲</w:t>
            </w:r>
          </w:p>
        </w:tc>
      </w:tr>
      <w:tr w14:paraId="7BC209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0AFD2AE">
            <w:pPr>
              <w:pStyle w:val="12"/>
              <w:jc w:val="center"/>
            </w:pPr>
            <w:r>
              <w:rPr>
                <w:rFonts w:hint="eastAsia"/>
              </w:rPr>
              <w:t>叶复登</w:t>
            </w:r>
          </w:p>
        </w:tc>
        <w:tc>
          <w:tcPr>
            <w:tcW w:w="388" w:type="pct"/>
            <w:vAlign w:val="center"/>
          </w:tcPr>
          <w:p w14:paraId="2D70F1D5">
            <w:pPr>
              <w:pStyle w:val="12"/>
              <w:jc w:val="center"/>
            </w:pPr>
            <w:r>
              <w:rPr>
                <w:rFonts w:hint="eastAsia"/>
              </w:rPr>
              <w:t>男</w:t>
            </w:r>
          </w:p>
        </w:tc>
        <w:tc>
          <w:tcPr>
            <w:tcW w:w="582" w:type="pct"/>
            <w:vAlign w:val="center"/>
          </w:tcPr>
          <w:p w14:paraId="7B8EFD68">
            <w:pPr>
              <w:pStyle w:val="12"/>
              <w:jc w:val="center"/>
            </w:pPr>
            <w:r>
              <w:rPr>
                <w:rFonts w:hint="eastAsia"/>
              </w:rPr>
              <w:t>1906年</w:t>
            </w:r>
          </w:p>
        </w:tc>
        <w:tc>
          <w:tcPr>
            <w:tcW w:w="582" w:type="pct"/>
            <w:vAlign w:val="center"/>
          </w:tcPr>
          <w:p w14:paraId="5B02E488">
            <w:pPr>
              <w:pStyle w:val="12"/>
              <w:jc w:val="center"/>
            </w:pPr>
            <w:r>
              <w:rPr>
                <w:rFonts w:hint="eastAsia"/>
              </w:rPr>
              <w:t>乌迳镇</w:t>
            </w:r>
          </w:p>
        </w:tc>
        <w:tc>
          <w:tcPr>
            <w:tcW w:w="582" w:type="pct"/>
            <w:vAlign w:val="center"/>
          </w:tcPr>
          <w:p w14:paraId="602E1FB0">
            <w:pPr>
              <w:pStyle w:val="12"/>
              <w:jc w:val="center"/>
            </w:pPr>
            <w:r>
              <w:rPr>
                <w:rFonts w:hint="eastAsia"/>
              </w:rPr>
              <w:t>1930年</w:t>
            </w:r>
          </w:p>
        </w:tc>
        <w:tc>
          <w:tcPr>
            <w:tcW w:w="1066" w:type="pct"/>
            <w:vAlign w:val="center"/>
          </w:tcPr>
          <w:p w14:paraId="146F7D91">
            <w:pPr>
              <w:pStyle w:val="12"/>
              <w:jc w:val="left"/>
            </w:pPr>
            <w:r>
              <w:rPr>
                <w:rFonts w:hint="eastAsia"/>
              </w:rPr>
              <w:t>油山游击队队员</w:t>
            </w:r>
          </w:p>
        </w:tc>
        <w:tc>
          <w:tcPr>
            <w:tcW w:w="1160" w:type="pct"/>
            <w:vAlign w:val="center"/>
          </w:tcPr>
          <w:p w14:paraId="3D1D7193">
            <w:pPr>
              <w:pStyle w:val="12"/>
              <w:jc w:val="left"/>
            </w:pPr>
            <w:r>
              <w:rPr>
                <w:rFonts w:hint="eastAsia"/>
              </w:rPr>
              <w:t>1930年底在孔江塘背村被捕，在县城郊就义</w:t>
            </w:r>
          </w:p>
        </w:tc>
      </w:tr>
      <w:tr w14:paraId="10C73C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26463A0">
            <w:pPr>
              <w:pStyle w:val="12"/>
              <w:jc w:val="center"/>
            </w:pPr>
            <w:r>
              <w:rPr>
                <w:rFonts w:hint="eastAsia"/>
              </w:rPr>
              <w:t>袁照神保</w:t>
            </w:r>
          </w:p>
        </w:tc>
        <w:tc>
          <w:tcPr>
            <w:tcW w:w="388" w:type="pct"/>
            <w:vAlign w:val="center"/>
          </w:tcPr>
          <w:p w14:paraId="541BD1CD">
            <w:pPr>
              <w:pStyle w:val="12"/>
              <w:jc w:val="center"/>
            </w:pPr>
            <w:r>
              <w:rPr>
                <w:rFonts w:hint="eastAsia"/>
              </w:rPr>
              <w:t>男</w:t>
            </w:r>
          </w:p>
        </w:tc>
        <w:tc>
          <w:tcPr>
            <w:tcW w:w="582" w:type="pct"/>
            <w:vAlign w:val="center"/>
          </w:tcPr>
          <w:p w14:paraId="24A4B923">
            <w:pPr>
              <w:pStyle w:val="12"/>
              <w:jc w:val="center"/>
            </w:pPr>
            <w:r>
              <w:rPr>
                <w:rFonts w:hint="eastAsia"/>
              </w:rPr>
              <w:t>1907年</w:t>
            </w:r>
          </w:p>
        </w:tc>
        <w:tc>
          <w:tcPr>
            <w:tcW w:w="582" w:type="pct"/>
            <w:vAlign w:val="center"/>
          </w:tcPr>
          <w:p w14:paraId="53800598">
            <w:pPr>
              <w:pStyle w:val="12"/>
              <w:jc w:val="center"/>
            </w:pPr>
            <w:r>
              <w:rPr>
                <w:rFonts w:hint="eastAsia"/>
              </w:rPr>
              <w:t>乌迳镇</w:t>
            </w:r>
          </w:p>
        </w:tc>
        <w:tc>
          <w:tcPr>
            <w:tcW w:w="582" w:type="pct"/>
            <w:vAlign w:val="center"/>
          </w:tcPr>
          <w:p w14:paraId="7CA8EF78">
            <w:pPr>
              <w:pStyle w:val="12"/>
              <w:jc w:val="center"/>
            </w:pPr>
            <w:r>
              <w:rPr>
                <w:rFonts w:hint="eastAsia"/>
              </w:rPr>
              <w:t>1928年</w:t>
            </w:r>
          </w:p>
        </w:tc>
        <w:tc>
          <w:tcPr>
            <w:tcW w:w="1066" w:type="pct"/>
            <w:vAlign w:val="center"/>
          </w:tcPr>
          <w:p w14:paraId="1D75CF8A">
            <w:pPr>
              <w:pStyle w:val="12"/>
              <w:jc w:val="left"/>
            </w:pPr>
            <w:r>
              <w:rPr>
                <w:rFonts w:hint="eastAsia"/>
              </w:rPr>
              <w:t>油山游击队队员</w:t>
            </w:r>
          </w:p>
        </w:tc>
        <w:tc>
          <w:tcPr>
            <w:tcW w:w="1160" w:type="pct"/>
            <w:vAlign w:val="center"/>
          </w:tcPr>
          <w:p w14:paraId="7860C84F">
            <w:pPr>
              <w:pStyle w:val="12"/>
              <w:jc w:val="left"/>
            </w:pPr>
            <w:r>
              <w:rPr>
                <w:rFonts w:hint="eastAsia"/>
              </w:rPr>
              <w:t>1930年在大塘被捕就义</w:t>
            </w:r>
          </w:p>
        </w:tc>
      </w:tr>
      <w:tr w14:paraId="4AB30E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FF19237">
            <w:pPr>
              <w:pStyle w:val="12"/>
              <w:jc w:val="center"/>
            </w:pPr>
            <w:r>
              <w:rPr>
                <w:rFonts w:hint="eastAsia"/>
              </w:rPr>
              <w:t>雷会通</w:t>
            </w:r>
          </w:p>
        </w:tc>
        <w:tc>
          <w:tcPr>
            <w:tcW w:w="388" w:type="pct"/>
            <w:vAlign w:val="center"/>
          </w:tcPr>
          <w:p w14:paraId="0F52BA41">
            <w:pPr>
              <w:pStyle w:val="12"/>
              <w:jc w:val="center"/>
            </w:pPr>
            <w:r>
              <w:rPr>
                <w:rFonts w:hint="eastAsia"/>
              </w:rPr>
              <w:t>男</w:t>
            </w:r>
          </w:p>
        </w:tc>
        <w:tc>
          <w:tcPr>
            <w:tcW w:w="582" w:type="pct"/>
            <w:vAlign w:val="center"/>
          </w:tcPr>
          <w:p w14:paraId="3CCE44B0">
            <w:pPr>
              <w:pStyle w:val="12"/>
              <w:jc w:val="center"/>
            </w:pPr>
            <w:r>
              <w:rPr>
                <w:rFonts w:hint="eastAsia"/>
              </w:rPr>
              <w:t>1885年</w:t>
            </w:r>
          </w:p>
        </w:tc>
        <w:tc>
          <w:tcPr>
            <w:tcW w:w="582" w:type="pct"/>
            <w:vAlign w:val="center"/>
          </w:tcPr>
          <w:p w14:paraId="097A49DA">
            <w:pPr>
              <w:pStyle w:val="12"/>
              <w:jc w:val="center"/>
            </w:pPr>
            <w:r>
              <w:rPr>
                <w:rFonts w:hint="eastAsia"/>
              </w:rPr>
              <w:t>油山镇</w:t>
            </w:r>
          </w:p>
        </w:tc>
        <w:tc>
          <w:tcPr>
            <w:tcW w:w="582" w:type="pct"/>
            <w:vAlign w:val="center"/>
          </w:tcPr>
          <w:p w14:paraId="37A70656">
            <w:pPr>
              <w:pStyle w:val="12"/>
              <w:jc w:val="center"/>
            </w:pPr>
            <w:r>
              <w:rPr>
                <w:rFonts w:hint="eastAsia"/>
              </w:rPr>
              <w:t>1929年</w:t>
            </w:r>
          </w:p>
        </w:tc>
        <w:tc>
          <w:tcPr>
            <w:tcW w:w="1066" w:type="pct"/>
            <w:vAlign w:val="center"/>
          </w:tcPr>
          <w:p w14:paraId="72A0C53D">
            <w:pPr>
              <w:pStyle w:val="12"/>
              <w:jc w:val="left"/>
            </w:pPr>
            <w:r>
              <w:rPr>
                <w:rFonts w:hint="eastAsia"/>
              </w:rPr>
              <w:t>南雄游击队文书</w:t>
            </w:r>
          </w:p>
        </w:tc>
        <w:tc>
          <w:tcPr>
            <w:tcW w:w="1160" w:type="pct"/>
            <w:vAlign w:val="center"/>
          </w:tcPr>
          <w:p w14:paraId="4A66EED6">
            <w:pPr>
              <w:pStyle w:val="12"/>
              <w:jc w:val="left"/>
            </w:pPr>
            <w:r>
              <w:rPr>
                <w:rFonts w:hint="eastAsia"/>
              </w:rPr>
              <w:t>1931年被捕，在县城郊就义</w:t>
            </w:r>
          </w:p>
        </w:tc>
      </w:tr>
      <w:tr w14:paraId="46E5A4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A95DD6C">
            <w:pPr>
              <w:pStyle w:val="12"/>
              <w:jc w:val="center"/>
            </w:pPr>
            <w:r>
              <w:rPr>
                <w:rFonts w:hint="eastAsia"/>
              </w:rPr>
              <w:t>雷礼秀</w:t>
            </w:r>
          </w:p>
        </w:tc>
        <w:tc>
          <w:tcPr>
            <w:tcW w:w="388" w:type="pct"/>
            <w:vAlign w:val="center"/>
          </w:tcPr>
          <w:p w14:paraId="1DAEFE9D">
            <w:pPr>
              <w:pStyle w:val="12"/>
              <w:jc w:val="center"/>
            </w:pPr>
            <w:r>
              <w:rPr>
                <w:rFonts w:hint="eastAsia"/>
              </w:rPr>
              <w:t>男</w:t>
            </w:r>
          </w:p>
        </w:tc>
        <w:tc>
          <w:tcPr>
            <w:tcW w:w="582" w:type="pct"/>
            <w:vAlign w:val="center"/>
          </w:tcPr>
          <w:p w14:paraId="35195913">
            <w:pPr>
              <w:pStyle w:val="12"/>
              <w:jc w:val="center"/>
            </w:pPr>
            <w:r>
              <w:rPr>
                <w:rFonts w:hint="eastAsia"/>
              </w:rPr>
              <w:t>1898年</w:t>
            </w:r>
          </w:p>
        </w:tc>
        <w:tc>
          <w:tcPr>
            <w:tcW w:w="582" w:type="pct"/>
            <w:vAlign w:val="center"/>
          </w:tcPr>
          <w:p w14:paraId="0CA8EF1C">
            <w:pPr>
              <w:pStyle w:val="12"/>
              <w:jc w:val="center"/>
            </w:pPr>
            <w:r>
              <w:rPr>
                <w:rFonts w:hint="eastAsia"/>
              </w:rPr>
              <w:t>油山镇</w:t>
            </w:r>
          </w:p>
        </w:tc>
        <w:tc>
          <w:tcPr>
            <w:tcW w:w="582" w:type="pct"/>
            <w:vAlign w:val="center"/>
          </w:tcPr>
          <w:p w14:paraId="16CDF26F">
            <w:pPr>
              <w:pStyle w:val="12"/>
              <w:jc w:val="center"/>
            </w:pPr>
            <w:r>
              <w:rPr>
                <w:rFonts w:hint="eastAsia"/>
              </w:rPr>
              <w:t>1929年</w:t>
            </w:r>
          </w:p>
        </w:tc>
        <w:tc>
          <w:tcPr>
            <w:tcW w:w="1066" w:type="pct"/>
            <w:vAlign w:val="center"/>
          </w:tcPr>
          <w:p w14:paraId="31FB66A8">
            <w:pPr>
              <w:pStyle w:val="12"/>
              <w:jc w:val="left"/>
            </w:pPr>
            <w:r>
              <w:rPr>
                <w:rFonts w:hint="eastAsia"/>
              </w:rPr>
              <w:t>工农红军排长</w:t>
            </w:r>
          </w:p>
        </w:tc>
        <w:tc>
          <w:tcPr>
            <w:tcW w:w="1160" w:type="pct"/>
            <w:vAlign w:val="center"/>
          </w:tcPr>
          <w:p w14:paraId="58B0DDB3">
            <w:pPr>
              <w:pStyle w:val="12"/>
              <w:jc w:val="left"/>
            </w:pPr>
            <w:r>
              <w:rPr>
                <w:rFonts w:hint="eastAsia"/>
              </w:rPr>
              <w:t>1931年在江西兴国高田战斗牺牲</w:t>
            </w:r>
          </w:p>
        </w:tc>
      </w:tr>
      <w:tr w14:paraId="1BAFCB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B372B66">
            <w:pPr>
              <w:pStyle w:val="12"/>
              <w:jc w:val="center"/>
            </w:pPr>
            <w:r>
              <w:rPr>
                <w:rFonts w:hint="eastAsia"/>
              </w:rPr>
              <w:t>叶才胜</w:t>
            </w:r>
          </w:p>
        </w:tc>
        <w:tc>
          <w:tcPr>
            <w:tcW w:w="388" w:type="pct"/>
            <w:vAlign w:val="center"/>
          </w:tcPr>
          <w:p w14:paraId="4DF382C3">
            <w:pPr>
              <w:pStyle w:val="12"/>
              <w:jc w:val="center"/>
            </w:pPr>
            <w:r>
              <w:rPr>
                <w:rFonts w:hint="eastAsia"/>
              </w:rPr>
              <w:t>男</w:t>
            </w:r>
          </w:p>
        </w:tc>
        <w:tc>
          <w:tcPr>
            <w:tcW w:w="582" w:type="pct"/>
            <w:vAlign w:val="center"/>
          </w:tcPr>
          <w:p w14:paraId="3FDB1205">
            <w:pPr>
              <w:pStyle w:val="12"/>
              <w:jc w:val="center"/>
            </w:pPr>
            <w:r>
              <w:rPr>
                <w:rFonts w:hint="eastAsia"/>
              </w:rPr>
              <w:t>1911年</w:t>
            </w:r>
          </w:p>
        </w:tc>
        <w:tc>
          <w:tcPr>
            <w:tcW w:w="582" w:type="pct"/>
            <w:vAlign w:val="center"/>
          </w:tcPr>
          <w:p w14:paraId="5EEE8289">
            <w:pPr>
              <w:pStyle w:val="12"/>
              <w:jc w:val="center"/>
            </w:pPr>
            <w:r>
              <w:rPr>
                <w:rFonts w:hint="eastAsia"/>
              </w:rPr>
              <w:t>油山镇</w:t>
            </w:r>
          </w:p>
        </w:tc>
        <w:tc>
          <w:tcPr>
            <w:tcW w:w="582" w:type="pct"/>
            <w:vAlign w:val="center"/>
          </w:tcPr>
          <w:p w14:paraId="56369435">
            <w:pPr>
              <w:pStyle w:val="12"/>
              <w:jc w:val="center"/>
            </w:pPr>
            <w:r>
              <w:rPr>
                <w:rFonts w:hint="eastAsia"/>
              </w:rPr>
              <w:t>1930年</w:t>
            </w:r>
          </w:p>
        </w:tc>
        <w:tc>
          <w:tcPr>
            <w:tcW w:w="1066" w:type="pct"/>
            <w:vAlign w:val="center"/>
          </w:tcPr>
          <w:p w14:paraId="7EDC831C">
            <w:pPr>
              <w:pStyle w:val="12"/>
              <w:jc w:val="left"/>
            </w:pPr>
            <w:r>
              <w:rPr>
                <w:rFonts w:hint="eastAsia"/>
              </w:rPr>
              <w:t>红军独立团连长</w:t>
            </w:r>
          </w:p>
        </w:tc>
        <w:tc>
          <w:tcPr>
            <w:tcW w:w="1160" w:type="pct"/>
            <w:vAlign w:val="center"/>
          </w:tcPr>
          <w:p w14:paraId="36F43414">
            <w:pPr>
              <w:pStyle w:val="12"/>
              <w:jc w:val="left"/>
            </w:pPr>
            <w:r>
              <w:rPr>
                <w:rFonts w:hint="eastAsia"/>
              </w:rPr>
              <w:t>1931年在江西龙南作战牺牲</w:t>
            </w:r>
          </w:p>
        </w:tc>
      </w:tr>
      <w:tr w14:paraId="0FFBDE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DC35EA0">
            <w:pPr>
              <w:pStyle w:val="12"/>
              <w:jc w:val="center"/>
            </w:pPr>
            <w:r>
              <w:rPr>
                <w:rFonts w:hint="eastAsia"/>
              </w:rPr>
              <w:t>彭老眼俚</w:t>
            </w:r>
          </w:p>
        </w:tc>
        <w:tc>
          <w:tcPr>
            <w:tcW w:w="388" w:type="pct"/>
            <w:vAlign w:val="center"/>
          </w:tcPr>
          <w:p w14:paraId="4623D12F">
            <w:pPr>
              <w:pStyle w:val="12"/>
              <w:jc w:val="center"/>
            </w:pPr>
            <w:r>
              <w:rPr>
                <w:rFonts w:hint="eastAsia"/>
              </w:rPr>
              <w:t>男</w:t>
            </w:r>
          </w:p>
        </w:tc>
        <w:tc>
          <w:tcPr>
            <w:tcW w:w="582" w:type="pct"/>
            <w:vAlign w:val="center"/>
          </w:tcPr>
          <w:p w14:paraId="7873EF56">
            <w:pPr>
              <w:pStyle w:val="12"/>
              <w:jc w:val="center"/>
            </w:pPr>
            <w:r>
              <w:rPr>
                <w:rFonts w:hint="eastAsia"/>
              </w:rPr>
              <w:t>1908年</w:t>
            </w:r>
          </w:p>
        </w:tc>
        <w:tc>
          <w:tcPr>
            <w:tcW w:w="582" w:type="pct"/>
            <w:vAlign w:val="center"/>
          </w:tcPr>
          <w:p w14:paraId="19AC7C36">
            <w:pPr>
              <w:pStyle w:val="12"/>
              <w:jc w:val="center"/>
            </w:pPr>
            <w:r>
              <w:rPr>
                <w:rFonts w:hint="eastAsia"/>
              </w:rPr>
              <w:t>油山镇</w:t>
            </w:r>
          </w:p>
        </w:tc>
        <w:tc>
          <w:tcPr>
            <w:tcW w:w="582" w:type="pct"/>
            <w:vAlign w:val="center"/>
          </w:tcPr>
          <w:p w14:paraId="7E6734DB">
            <w:pPr>
              <w:pStyle w:val="12"/>
              <w:jc w:val="center"/>
            </w:pPr>
            <w:r>
              <w:rPr>
                <w:rFonts w:hint="eastAsia"/>
              </w:rPr>
              <w:t>1928年</w:t>
            </w:r>
          </w:p>
        </w:tc>
        <w:tc>
          <w:tcPr>
            <w:tcW w:w="1066" w:type="pct"/>
            <w:vAlign w:val="center"/>
          </w:tcPr>
          <w:p w14:paraId="546FF447">
            <w:pPr>
              <w:pStyle w:val="12"/>
              <w:jc w:val="left"/>
            </w:pPr>
            <w:r>
              <w:rPr>
                <w:rFonts w:hint="eastAsia"/>
              </w:rPr>
              <w:t>工农红军班长</w:t>
            </w:r>
          </w:p>
        </w:tc>
        <w:tc>
          <w:tcPr>
            <w:tcW w:w="1160" w:type="pct"/>
            <w:vAlign w:val="center"/>
          </w:tcPr>
          <w:p w14:paraId="5E095F72">
            <w:pPr>
              <w:pStyle w:val="12"/>
              <w:jc w:val="left"/>
            </w:pPr>
            <w:r>
              <w:rPr>
                <w:rFonts w:hint="eastAsia"/>
              </w:rPr>
              <w:t>1931年9月在湖南省战斗中牺牲</w:t>
            </w:r>
          </w:p>
        </w:tc>
      </w:tr>
      <w:tr w14:paraId="26C304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3D3F69B">
            <w:pPr>
              <w:pStyle w:val="12"/>
              <w:jc w:val="center"/>
            </w:pPr>
            <w:r>
              <w:rPr>
                <w:rFonts w:hint="eastAsia"/>
              </w:rPr>
              <w:t>彭元生</w:t>
            </w:r>
          </w:p>
        </w:tc>
        <w:tc>
          <w:tcPr>
            <w:tcW w:w="388" w:type="pct"/>
            <w:vAlign w:val="center"/>
          </w:tcPr>
          <w:p w14:paraId="1E252250">
            <w:pPr>
              <w:pStyle w:val="12"/>
              <w:jc w:val="center"/>
            </w:pPr>
            <w:r>
              <w:rPr>
                <w:rFonts w:hint="eastAsia"/>
              </w:rPr>
              <w:t>男</w:t>
            </w:r>
          </w:p>
        </w:tc>
        <w:tc>
          <w:tcPr>
            <w:tcW w:w="582" w:type="pct"/>
            <w:vAlign w:val="center"/>
          </w:tcPr>
          <w:p w14:paraId="27D9DD74">
            <w:pPr>
              <w:pStyle w:val="12"/>
              <w:jc w:val="center"/>
            </w:pPr>
            <w:r>
              <w:rPr>
                <w:rFonts w:hint="eastAsia"/>
              </w:rPr>
              <w:t>1903年</w:t>
            </w:r>
          </w:p>
        </w:tc>
        <w:tc>
          <w:tcPr>
            <w:tcW w:w="582" w:type="pct"/>
            <w:vAlign w:val="center"/>
          </w:tcPr>
          <w:p w14:paraId="4D6EB8C1">
            <w:pPr>
              <w:pStyle w:val="12"/>
              <w:jc w:val="center"/>
            </w:pPr>
            <w:r>
              <w:rPr>
                <w:rFonts w:hint="eastAsia"/>
              </w:rPr>
              <w:t>油山镇</w:t>
            </w:r>
          </w:p>
        </w:tc>
        <w:tc>
          <w:tcPr>
            <w:tcW w:w="582" w:type="pct"/>
            <w:vAlign w:val="center"/>
          </w:tcPr>
          <w:p w14:paraId="22CCC9E7">
            <w:pPr>
              <w:pStyle w:val="12"/>
              <w:jc w:val="center"/>
            </w:pPr>
            <w:r>
              <w:rPr>
                <w:rFonts w:hint="eastAsia"/>
              </w:rPr>
              <w:t>1928年</w:t>
            </w:r>
          </w:p>
        </w:tc>
        <w:tc>
          <w:tcPr>
            <w:tcW w:w="1066" w:type="pct"/>
            <w:vAlign w:val="center"/>
          </w:tcPr>
          <w:p w14:paraId="3B99E867">
            <w:pPr>
              <w:pStyle w:val="12"/>
              <w:jc w:val="left"/>
              <w:rPr>
                <w:rFonts w:ascii="宋体" w:hAnsi="宋体" w:cs="宋体"/>
              </w:rPr>
            </w:pPr>
            <w:r>
              <w:rPr>
                <w:rFonts w:hint="eastAsia"/>
              </w:rPr>
              <w:t>工农红军独</w:t>
            </w:r>
          </w:p>
          <w:p w14:paraId="3A3262E0">
            <w:pPr>
              <w:pStyle w:val="12"/>
              <w:jc w:val="left"/>
            </w:pPr>
            <w:r>
              <w:rPr>
                <w:rFonts w:hint="eastAsia" w:ascii="宋体" w:hAnsi="宋体" w:cs="宋体"/>
              </w:rPr>
              <w:t>立团连长</w:t>
            </w:r>
          </w:p>
        </w:tc>
        <w:tc>
          <w:tcPr>
            <w:tcW w:w="1160" w:type="pct"/>
            <w:vAlign w:val="center"/>
          </w:tcPr>
          <w:p w14:paraId="0A89314A">
            <w:pPr>
              <w:pStyle w:val="12"/>
              <w:jc w:val="left"/>
            </w:pPr>
            <w:r>
              <w:rPr>
                <w:rFonts w:hint="eastAsia"/>
              </w:rPr>
              <w:t>1931年在湖南省桂东战斗牺牲</w:t>
            </w:r>
          </w:p>
        </w:tc>
      </w:tr>
      <w:tr w14:paraId="39342F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EA78DF4">
            <w:pPr>
              <w:pStyle w:val="12"/>
              <w:jc w:val="center"/>
              <w:rPr>
                <w:rFonts w:ascii="宋体" w:hAnsi="宋体" w:cs="宋体"/>
              </w:rPr>
            </w:pPr>
            <w:r>
              <w:rPr>
                <w:rFonts w:hint="eastAsia"/>
              </w:rPr>
              <w:t>欧  阳</w:t>
            </w:r>
          </w:p>
          <w:p w14:paraId="2F223508">
            <w:pPr>
              <w:pStyle w:val="12"/>
              <w:jc w:val="center"/>
            </w:pPr>
            <w:r>
              <w:rPr>
                <w:rFonts w:hint="eastAsia" w:ascii="宋体" w:hAnsi="宋体" w:cs="宋体"/>
              </w:rPr>
              <w:t>南斗养</w:t>
            </w:r>
          </w:p>
        </w:tc>
        <w:tc>
          <w:tcPr>
            <w:tcW w:w="388" w:type="pct"/>
            <w:vAlign w:val="center"/>
          </w:tcPr>
          <w:p w14:paraId="03E66368">
            <w:pPr>
              <w:pStyle w:val="12"/>
              <w:jc w:val="center"/>
            </w:pPr>
            <w:r>
              <w:rPr>
                <w:rFonts w:hint="eastAsia"/>
              </w:rPr>
              <w:t>男</w:t>
            </w:r>
          </w:p>
        </w:tc>
        <w:tc>
          <w:tcPr>
            <w:tcW w:w="582" w:type="pct"/>
            <w:vAlign w:val="center"/>
          </w:tcPr>
          <w:p w14:paraId="0C066189">
            <w:pPr>
              <w:pStyle w:val="12"/>
              <w:jc w:val="center"/>
            </w:pPr>
            <w:r>
              <w:rPr>
                <w:rFonts w:hint="eastAsia"/>
              </w:rPr>
              <w:t>1907年</w:t>
            </w:r>
          </w:p>
        </w:tc>
        <w:tc>
          <w:tcPr>
            <w:tcW w:w="582" w:type="pct"/>
            <w:vAlign w:val="center"/>
          </w:tcPr>
          <w:p w14:paraId="1EAF4681">
            <w:pPr>
              <w:pStyle w:val="12"/>
              <w:jc w:val="center"/>
            </w:pPr>
            <w:r>
              <w:rPr>
                <w:rFonts w:hint="eastAsia"/>
              </w:rPr>
              <w:t>水口镇</w:t>
            </w:r>
          </w:p>
        </w:tc>
        <w:tc>
          <w:tcPr>
            <w:tcW w:w="582" w:type="pct"/>
            <w:vAlign w:val="center"/>
          </w:tcPr>
          <w:p w14:paraId="5B31AA99">
            <w:pPr>
              <w:pStyle w:val="12"/>
              <w:jc w:val="center"/>
            </w:pPr>
            <w:r>
              <w:rPr>
                <w:rFonts w:hint="eastAsia"/>
              </w:rPr>
              <w:t>1927年</w:t>
            </w:r>
          </w:p>
        </w:tc>
        <w:tc>
          <w:tcPr>
            <w:tcW w:w="1066" w:type="pct"/>
            <w:vAlign w:val="center"/>
          </w:tcPr>
          <w:p w14:paraId="7EB77959">
            <w:pPr>
              <w:pStyle w:val="12"/>
              <w:jc w:val="left"/>
            </w:pPr>
            <w:r>
              <w:rPr>
                <w:rFonts w:hint="eastAsia"/>
              </w:rPr>
              <w:t>游击队征收员</w:t>
            </w:r>
          </w:p>
        </w:tc>
        <w:tc>
          <w:tcPr>
            <w:tcW w:w="1160" w:type="pct"/>
            <w:vAlign w:val="center"/>
          </w:tcPr>
          <w:p w14:paraId="4A391789">
            <w:pPr>
              <w:pStyle w:val="12"/>
              <w:jc w:val="left"/>
            </w:pPr>
            <w:r>
              <w:rPr>
                <w:rFonts w:hint="eastAsia"/>
              </w:rPr>
              <w:t>1931年在湖口太和被捕就义</w:t>
            </w:r>
          </w:p>
        </w:tc>
      </w:tr>
      <w:tr w14:paraId="72B90D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E9951C1">
            <w:pPr>
              <w:pStyle w:val="12"/>
              <w:jc w:val="center"/>
            </w:pPr>
            <w:r>
              <w:rPr>
                <w:rFonts w:hint="eastAsia"/>
              </w:rPr>
              <w:t>叶舒林</w:t>
            </w:r>
          </w:p>
        </w:tc>
        <w:tc>
          <w:tcPr>
            <w:tcW w:w="388" w:type="pct"/>
            <w:vAlign w:val="center"/>
          </w:tcPr>
          <w:p w14:paraId="54D11629">
            <w:pPr>
              <w:pStyle w:val="12"/>
              <w:jc w:val="center"/>
            </w:pPr>
            <w:r>
              <w:rPr>
                <w:rFonts w:hint="eastAsia"/>
              </w:rPr>
              <w:t>男</w:t>
            </w:r>
          </w:p>
        </w:tc>
        <w:tc>
          <w:tcPr>
            <w:tcW w:w="582" w:type="pct"/>
            <w:vAlign w:val="center"/>
          </w:tcPr>
          <w:p w14:paraId="285929AC">
            <w:pPr>
              <w:pStyle w:val="12"/>
              <w:jc w:val="center"/>
            </w:pPr>
            <w:r>
              <w:rPr>
                <w:rFonts w:hint="eastAsia"/>
              </w:rPr>
              <w:t>—</w:t>
            </w:r>
          </w:p>
        </w:tc>
        <w:tc>
          <w:tcPr>
            <w:tcW w:w="582" w:type="pct"/>
            <w:vAlign w:val="center"/>
          </w:tcPr>
          <w:p w14:paraId="242B4F01">
            <w:pPr>
              <w:pStyle w:val="12"/>
              <w:jc w:val="center"/>
            </w:pPr>
            <w:r>
              <w:rPr>
                <w:rFonts w:hint="eastAsia"/>
              </w:rPr>
              <w:t>乌迳镇</w:t>
            </w:r>
          </w:p>
        </w:tc>
        <w:tc>
          <w:tcPr>
            <w:tcW w:w="582" w:type="pct"/>
            <w:vAlign w:val="center"/>
          </w:tcPr>
          <w:p w14:paraId="31BA50F0">
            <w:pPr>
              <w:pStyle w:val="12"/>
              <w:jc w:val="center"/>
            </w:pPr>
            <w:r>
              <w:rPr>
                <w:rFonts w:hint="eastAsia"/>
              </w:rPr>
              <w:t>1929年</w:t>
            </w:r>
          </w:p>
        </w:tc>
        <w:tc>
          <w:tcPr>
            <w:tcW w:w="1066" w:type="pct"/>
            <w:vAlign w:val="center"/>
          </w:tcPr>
          <w:p w14:paraId="7F7CD05E">
            <w:pPr>
              <w:pStyle w:val="12"/>
              <w:jc w:val="left"/>
            </w:pPr>
            <w:r>
              <w:rPr>
                <w:rFonts w:hint="eastAsia"/>
              </w:rPr>
              <w:t>赤卫队员</w:t>
            </w:r>
          </w:p>
        </w:tc>
        <w:tc>
          <w:tcPr>
            <w:tcW w:w="1160" w:type="pct"/>
            <w:vAlign w:val="center"/>
          </w:tcPr>
          <w:p w14:paraId="5E3AAD1A">
            <w:pPr>
              <w:pStyle w:val="12"/>
              <w:jc w:val="left"/>
            </w:pPr>
            <w:r>
              <w:rPr>
                <w:rFonts w:hint="eastAsia"/>
              </w:rPr>
              <w:t>1931年2月在江西大余县失踪</w:t>
            </w:r>
          </w:p>
        </w:tc>
      </w:tr>
      <w:tr w14:paraId="5AB82D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8A5AFF9">
            <w:pPr>
              <w:pStyle w:val="12"/>
              <w:jc w:val="center"/>
            </w:pPr>
            <w:r>
              <w:rPr>
                <w:rFonts w:hint="eastAsia"/>
              </w:rPr>
              <w:t>李冠英</w:t>
            </w:r>
          </w:p>
        </w:tc>
        <w:tc>
          <w:tcPr>
            <w:tcW w:w="388" w:type="pct"/>
            <w:vAlign w:val="center"/>
          </w:tcPr>
          <w:p w14:paraId="0E6A753D">
            <w:pPr>
              <w:pStyle w:val="12"/>
              <w:jc w:val="center"/>
            </w:pPr>
            <w:r>
              <w:rPr>
                <w:rFonts w:hint="eastAsia"/>
              </w:rPr>
              <w:t>男</w:t>
            </w:r>
          </w:p>
        </w:tc>
        <w:tc>
          <w:tcPr>
            <w:tcW w:w="582" w:type="pct"/>
            <w:vAlign w:val="center"/>
          </w:tcPr>
          <w:p w14:paraId="7A07EB35">
            <w:pPr>
              <w:pStyle w:val="12"/>
              <w:jc w:val="center"/>
            </w:pPr>
            <w:r>
              <w:rPr>
                <w:rFonts w:hint="eastAsia"/>
              </w:rPr>
              <w:t>1899年</w:t>
            </w:r>
          </w:p>
        </w:tc>
        <w:tc>
          <w:tcPr>
            <w:tcW w:w="582" w:type="pct"/>
            <w:vAlign w:val="center"/>
          </w:tcPr>
          <w:p w14:paraId="598700CC">
            <w:pPr>
              <w:pStyle w:val="12"/>
              <w:jc w:val="center"/>
            </w:pPr>
            <w:r>
              <w:rPr>
                <w:rFonts w:hint="eastAsia"/>
              </w:rPr>
              <w:t>乌迳镇</w:t>
            </w:r>
          </w:p>
        </w:tc>
        <w:tc>
          <w:tcPr>
            <w:tcW w:w="582" w:type="pct"/>
            <w:vAlign w:val="center"/>
          </w:tcPr>
          <w:p w14:paraId="5A614DE3">
            <w:pPr>
              <w:pStyle w:val="12"/>
              <w:jc w:val="center"/>
            </w:pPr>
            <w:r>
              <w:rPr>
                <w:rFonts w:hint="eastAsia"/>
              </w:rPr>
              <w:t>1927年</w:t>
            </w:r>
          </w:p>
        </w:tc>
        <w:tc>
          <w:tcPr>
            <w:tcW w:w="1066" w:type="pct"/>
            <w:vAlign w:val="center"/>
          </w:tcPr>
          <w:p w14:paraId="580BC316">
            <w:pPr>
              <w:pStyle w:val="12"/>
              <w:jc w:val="left"/>
            </w:pPr>
            <w:r>
              <w:rPr>
                <w:rFonts w:hint="eastAsia"/>
              </w:rPr>
              <w:t>赤卫队员</w:t>
            </w:r>
          </w:p>
        </w:tc>
        <w:tc>
          <w:tcPr>
            <w:tcW w:w="1160" w:type="pct"/>
            <w:vAlign w:val="center"/>
          </w:tcPr>
          <w:p w14:paraId="7F113041">
            <w:pPr>
              <w:pStyle w:val="12"/>
              <w:jc w:val="left"/>
            </w:pPr>
            <w:r>
              <w:rPr>
                <w:rFonts w:hint="eastAsia"/>
              </w:rPr>
              <w:t>1931年8月在江西信丰禾岗被捕就义</w:t>
            </w:r>
          </w:p>
        </w:tc>
      </w:tr>
      <w:tr w14:paraId="3FCC4E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2822FD4">
            <w:pPr>
              <w:pStyle w:val="12"/>
              <w:jc w:val="center"/>
            </w:pPr>
            <w:r>
              <w:rPr>
                <w:rFonts w:hint="eastAsia"/>
              </w:rPr>
              <w:t>彭砖古</w:t>
            </w:r>
          </w:p>
        </w:tc>
        <w:tc>
          <w:tcPr>
            <w:tcW w:w="388" w:type="pct"/>
            <w:vAlign w:val="center"/>
          </w:tcPr>
          <w:p w14:paraId="49D96DD0">
            <w:pPr>
              <w:pStyle w:val="12"/>
              <w:jc w:val="center"/>
            </w:pPr>
            <w:r>
              <w:rPr>
                <w:rFonts w:hint="eastAsia"/>
              </w:rPr>
              <w:t>男</w:t>
            </w:r>
          </w:p>
        </w:tc>
        <w:tc>
          <w:tcPr>
            <w:tcW w:w="582" w:type="pct"/>
            <w:vAlign w:val="center"/>
          </w:tcPr>
          <w:p w14:paraId="1CAA827D">
            <w:pPr>
              <w:pStyle w:val="12"/>
              <w:jc w:val="center"/>
            </w:pPr>
            <w:r>
              <w:rPr>
                <w:rFonts w:hint="eastAsia"/>
              </w:rPr>
              <w:t>1903年</w:t>
            </w:r>
          </w:p>
        </w:tc>
        <w:tc>
          <w:tcPr>
            <w:tcW w:w="582" w:type="pct"/>
            <w:vAlign w:val="center"/>
          </w:tcPr>
          <w:p w14:paraId="304848A1">
            <w:pPr>
              <w:pStyle w:val="12"/>
              <w:jc w:val="center"/>
            </w:pPr>
            <w:r>
              <w:rPr>
                <w:rFonts w:hint="eastAsia"/>
              </w:rPr>
              <w:t>油山镇</w:t>
            </w:r>
          </w:p>
        </w:tc>
        <w:tc>
          <w:tcPr>
            <w:tcW w:w="582" w:type="pct"/>
            <w:vAlign w:val="center"/>
          </w:tcPr>
          <w:p w14:paraId="28AB3440">
            <w:pPr>
              <w:pStyle w:val="12"/>
              <w:jc w:val="center"/>
            </w:pPr>
            <w:r>
              <w:rPr>
                <w:rFonts w:hint="eastAsia"/>
              </w:rPr>
              <w:t>1928年</w:t>
            </w:r>
          </w:p>
        </w:tc>
        <w:tc>
          <w:tcPr>
            <w:tcW w:w="1066" w:type="pct"/>
            <w:vAlign w:val="center"/>
          </w:tcPr>
          <w:p w14:paraId="31FEF905">
            <w:pPr>
              <w:pStyle w:val="12"/>
              <w:jc w:val="left"/>
            </w:pPr>
            <w:r>
              <w:rPr>
                <w:rFonts w:hint="eastAsia"/>
              </w:rPr>
              <w:t>南雄游击队队员</w:t>
            </w:r>
          </w:p>
        </w:tc>
        <w:tc>
          <w:tcPr>
            <w:tcW w:w="1160" w:type="pct"/>
            <w:vAlign w:val="center"/>
          </w:tcPr>
          <w:p w14:paraId="4FEB95EF">
            <w:pPr>
              <w:pStyle w:val="12"/>
              <w:jc w:val="left"/>
            </w:pPr>
            <w:r>
              <w:rPr>
                <w:rFonts w:hint="eastAsia"/>
              </w:rPr>
              <w:t>1931年12月31日在油山战斗被捕，在县城郊就义</w:t>
            </w:r>
          </w:p>
        </w:tc>
      </w:tr>
      <w:tr w14:paraId="2992CB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DF79D33">
            <w:pPr>
              <w:pStyle w:val="12"/>
              <w:jc w:val="center"/>
            </w:pPr>
            <w:r>
              <w:rPr>
                <w:rFonts w:hint="eastAsia"/>
              </w:rPr>
              <w:t>彭遵万</w:t>
            </w:r>
          </w:p>
        </w:tc>
        <w:tc>
          <w:tcPr>
            <w:tcW w:w="388" w:type="pct"/>
            <w:vAlign w:val="center"/>
          </w:tcPr>
          <w:p w14:paraId="2ED9D48C">
            <w:pPr>
              <w:pStyle w:val="12"/>
              <w:jc w:val="center"/>
            </w:pPr>
            <w:r>
              <w:rPr>
                <w:rFonts w:hint="eastAsia"/>
              </w:rPr>
              <w:t>男</w:t>
            </w:r>
          </w:p>
        </w:tc>
        <w:tc>
          <w:tcPr>
            <w:tcW w:w="582" w:type="pct"/>
            <w:vAlign w:val="center"/>
          </w:tcPr>
          <w:p w14:paraId="7D854A05">
            <w:pPr>
              <w:pStyle w:val="12"/>
              <w:jc w:val="center"/>
            </w:pPr>
            <w:r>
              <w:rPr>
                <w:rFonts w:hint="eastAsia"/>
              </w:rPr>
              <w:t>1909年</w:t>
            </w:r>
          </w:p>
        </w:tc>
        <w:tc>
          <w:tcPr>
            <w:tcW w:w="582" w:type="pct"/>
            <w:vAlign w:val="center"/>
          </w:tcPr>
          <w:p w14:paraId="7A5F96DC">
            <w:pPr>
              <w:pStyle w:val="12"/>
              <w:jc w:val="center"/>
            </w:pPr>
            <w:r>
              <w:rPr>
                <w:rFonts w:hint="eastAsia"/>
              </w:rPr>
              <w:t>油山镇</w:t>
            </w:r>
          </w:p>
        </w:tc>
        <w:tc>
          <w:tcPr>
            <w:tcW w:w="582" w:type="pct"/>
            <w:vAlign w:val="center"/>
          </w:tcPr>
          <w:p w14:paraId="3E13F657">
            <w:pPr>
              <w:pStyle w:val="12"/>
              <w:jc w:val="center"/>
            </w:pPr>
            <w:r>
              <w:rPr>
                <w:rFonts w:hint="eastAsia"/>
              </w:rPr>
              <w:t>1931年</w:t>
            </w:r>
          </w:p>
        </w:tc>
        <w:tc>
          <w:tcPr>
            <w:tcW w:w="1066" w:type="pct"/>
            <w:vAlign w:val="center"/>
          </w:tcPr>
          <w:p w14:paraId="7D63EECB">
            <w:pPr>
              <w:pStyle w:val="12"/>
              <w:jc w:val="left"/>
            </w:pPr>
            <w:r>
              <w:rPr>
                <w:rFonts w:hint="eastAsia"/>
              </w:rPr>
              <w:t>南雄游击队队长</w:t>
            </w:r>
          </w:p>
        </w:tc>
        <w:tc>
          <w:tcPr>
            <w:tcW w:w="1160" w:type="pct"/>
            <w:vAlign w:val="center"/>
          </w:tcPr>
          <w:p w14:paraId="09A2D797">
            <w:pPr>
              <w:pStyle w:val="12"/>
              <w:jc w:val="left"/>
            </w:pPr>
            <w:r>
              <w:rPr>
                <w:rFonts w:hint="eastAsia"/>
              </w:rPr>
              <w:t>1931年冬在茶田战斗中牺牲</w:t>
            </w:r>
          </w:p>
        </w:tc>
      </w:tr>
      <w:tr w14:paraId="789B18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E0171A7">
            <w:pPr>
              <w:pStyle w:val="12"/>
              <w:jc w:val="center"/>
            </w:pPr>
            <w:r>
              <w:rPr>
                <w:rFonts w:hint="eastAsia"/>
              </w:rPr>
              <w:t>谢泰风</w:t>
            </w:r>
          </w:p>
        </w:tc>
        <w:tc>
          <w:tcPr>
            <w:tcW w:w="388" w:type="pct"/>
            <w:vAlign w:val="center"/>
          </w:tcPr>
          <w:p w14:paraId="70DA9014">
            <w:pPr>
              <w:pStyle w:val="12"/>
              <w:jc w:val="center"/>
            </w:pPr>
            <w:r>
              <w:rPr>
                <w:rFonts w:hint="eastAsia"/>
              </w:rPr>
              <w:t>男</w:t>
            </w:r>
          </w:p>
        </w:tc>
        <w:tc>
          <w:tcPr>
            <w:tcW w:w="582" w:type="pct"/>
            <w:vAlign w:val="center"/>
          </w:tcPr>
          <w:p w14:paraId="353703E8">
            <w:pPr>
              <w:pStyle w:val="12"/>
              <w:jc w:val="center"/>
            </w:pPr>
            <w:r>
              <w:rPr>
                <w:rFonts w:hint="eastAsia"/>
              </w:rPr>
              <w:t>1902年</w:t>
            </w:r>
          </w:p>
        </w:tc>
        <w:tc>
          <w:tcPr>
            <w:tcW w:w="582" w:type="pct"/>
            <w:vAlign w:val="center"/>
          </w:tcPr>
          <w:p w14:paraId="12B7EE23">
            <w:pPr>
              <w:pStyle w:val="12"/>
              <w:jc w:val="center"/>
            </w:pPr>
            <w:r>
              <w:rPr>
                <w:rFonts w:hint="eastAsia"/>
              </w:rPr>
              <w:t>油山镇</w:t>
            </w:r>
          </w:p>
        </w:tc>
        <w:tc>
          <w:tcPr>
            <w:tcW w:w="582" w:type="pct"/>
            <w:vAlign w:val="center"/>
          </w:tcPr>
          <w:p w14:paraId="50EFECB5">
            <w:pPr>
              <w:pStyle w:val="12"/>
              <w:jc w:val="center"/>
            </w:pPr>
            <w:r>
              <w:rPr>
                <w:rFonts w:hint="eastAsia"/>
              </w:rPr>
              <w:t>1927年</w:t>
            </w:r>
          </w:p>
        </w:tc>
        <w:tc>
          <w:tcPr>
            <w:tcW w:w="1066" w:type="pct"/>
            <w:vAlign w:val="center"/>
          </w:tcPr>
          <w:p w14:paraId="0A705E16">
            <w:pPr>
              <w:pStyle w:val="12"/>
              <w:jc w:val="left"/>
            </w:pPr>
            <w:r>
              <w:rPr>
                <w:rFonts w:hint="eastAsia"/>
              </w:rPr>
              <w:t>工农红军战士</w:t>
            </w:r>
          </w:p>
        </w:tc>
        <w:tc>
          <w:tcPr>
            <w:tcW w:w="1160" w:type="pct"/>
            <w:vAlign w:val="center"/>
          </w:tcPr>
          <w:p w14:paraId="23DE2FBA">
            <w:pPr>
              <w:pStyle w:val="12"/>
              <w:jc w:val="left"/>
            </w:pPr>
            <w:r>
              <w:rPr>
                <w:rFonts w:hint="eastAsia"/>
              </w:rPr>
              <w:t>1931年5月11日在江西信丰城作战牺牲</w:t>
            </w:r>
          </w:p>
        </w:tc>
      </w:tr>
      <w:tr w14:paraId="7C2545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13769D6">
            <w:pPr>
              <w:pStyle w:val="12"/>
              <w:jc w:val="center"/>
            </w:pPr>
            <w:r>
              <w:rPr>
                <w:rFonts w:hint="eastAsia"/>
              </w:rPr>
              <w:t>谢泰升</w:t>
            </w:r>
          </w:p>
        </w:tc>
        <w:tc>
          <w:tcPr>
            <w:tcW w:w="388" w:type="pct"/>
            <w:vAlign w:val="center"/>
          </w:tcPr>
          <w:p w14:paraId="02625D66">
            <w:pPr>
              <w:pStyle w:val="12"/>
              <w:jc w:val="center"/>
            </w:pPr>
            <w:r>
              <w:rPr>
                <w:rFonts w:hint="eastAsia"/>
              </w:rPr>
              <w:t>男</w:t>
            </w:r>
          </w:p>
        </w:tc>
        <w:tc>
          <w:tcPr>
            <w:tcW w:w="582" w:type="pct"/>
            <w:vAlign w:val="center"/>
          </w:tcPr>
          <w:p w14:paraId="6C560CAE">
            <w:pPr>
              <w:pStyle w:val="12"/>
              <w:jc w:val="center"/>
            </w:pPr>
            <w:r>
              <w:rPr>
                <w:rFonts w:hint="eastAsia"/>
              </w:rPr>
              <w:t>1907年</w:t>
            </w:r>
          </w:p>
        </w:tc>
        <w:tc>
          <w:tcPr>
            <w:tcW w:w="582" w:type="pct"/>
            <w:vAlign w:val="center"/>
          </w:tcPr>
          <w:p w14:paraId="6666B506">
            <w:pPr>
              <w:pStyle w:val="12"/>
              <w:jc w:val="center"/>
            </w:pPr>
            <w:r>
              <w:rPr>
                <w:rFonts w:hint="eastAsia"/>
              </w:rPr>
              <w:t>油山镇</w:t>
            </w:r>
          </w:p>
        </w:tc>
        <w:tc>
          <w:tcPr>
            <w:tcW w:w="582" w:type="pct"/>
            <w:vAlign w:val="center"/>
          </w:tcPr>
          <w:p w14:paraId="155D7C2B">
            <w:pPr>
              <w:pStyle w:val="12"/>
              <w:jc w:val="center"/>
            </w:pPr>
            <w:r>
              <w:rPr>
                <w:rFonts w:hint="eastAsia"/>
              </w:rPr>
              <w:t>1927年</w:t>
            </w:r>
          </w:p>
        </w:tc>
        <w:tc>
          <w:tcPr>
            <w:tcW w:w="1066" w:type="pct"/>
            <w:vAlign w:val="center"/>
          </w:tcPr>
          <w:p w14:paraId="55666379">
            <w:pPr>
              <w:pStyle w:val="12"/>
              <w:jc w:val="left"/>
            </w:pPr>
            <w:r>
              <w:rPr>
                <w:rFonts w:hint="eastAsia"/>
              </w:rPr>
              <w:t>工农红军战士</w:t>
            </w:r>
          </w:p>
        </w:tc>
        <w:tc>
          <w:tcPr>
            <w:tcW w:w="1160" w:type="pct"/>
            <w:vAlign w:val="center"/>
          </w:tcPr>
          <w:p w14:paraId="0CCEBA5B">
            <w:pPr>
              <w:pStyle w:val="12"/>
              <w:jc w:val="left"/>
            </w:pPr>
            <w:r>
              <w:rPr>
                <w:rFonts w:hint="eastAsia"/>
              </w:rPr>
              <w:t>1931年5月11日在江西信丰城作战牺牲</w:t>
            </w:r>
          </w:p>
        </w:tc>
      </w:tr>
      <w:tr w14:paraId="6795F9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1D47325">
            <w:pPr>
              <w:pStyle w:val="12"/>
              <w:jc w:val="center"/>
            </w:pPr>
            <w:r>
              <w:rPr>
                <w:rFonts w:hint="eastAsia"/>
              </w:rPr>
              <w:t>谢文高</w:t>
            </w:r>
          </w:p>
        </w:tc>
        <w:tc>
          <w:tcPr>
            <w:tcW w:w="388" w:type="pct"/>
            <w:vAlign w:val="center"/>
          </w:tcPr>
          <w:p w14:paraId="6E9064E8">
            <w:pPr>
              <w:pStyle w:val="12"/>
              <w:jc w:val="center"/>
            </w:pPr>
            <w:r>
              <w:rPr>
                <w:rFonts w:hint="eastAsia"/>
              </w:rPr>
              <w:t>男</w:t>
            </w:r>
          </w:p>
        </w:tc>
        <w:tc>
          <w:tcPr>
            <w:tcW w:w="582" w:type="pct"/>
            <w:vAlign w:val="center"/>
          </w:tcPr>
          <w:p w14:paraId="361D0EAC">
            <w:pPr>
              <w:pStyle w:val="12"/>
              <w:jc w:val="center"/>
            </w:pPr>
            <w:r>
              <w:rPr>
                <w:rFonts w:hint="eastAsia"/>
              </w:rPr>
              <w:t>1907年</w:t>
            </w:r>
          </w:p>
        </w:tc>
        <w:tc>
          <w:tcPr>
            <w:tcW w:w="582" w:type="pct"/>
            <w:vAlign w:val="center"/>
          </w:tcPr>
          <w:p w14:paraId="2989321F">
            <w:pPr>
              <w:pStyle w:val="12"/>
              <w:jc w:val="center"/>
            </w:pPr>
            <w:r>
              <w:rPr>
                <w:rFonts w:hint="eastAsia"/>
              </w:rPr>
              <w:t>油山镇</w:t>
            </w:r>
          </w:p>
        </w:tc>
        <w:tc>
          <w:tcPr>
            <w:tcW w:w="582" w:type="pct"/>
            <w:vAlign w:val="center"/>
          </w:tcPr>
          <w:p w14:paraId="621CF110">
            <w:pPr>
              <w:pStyle w:val="12"/>
              <w:jc w:val="center"/>
            </w:pPr>
            <w:r>
              <w:rPr>
                <w:rFonts w:hint="eastAsia"/>
              </w:rPr>
              <w:t>1927年</w:t>
            </w:r>
          </w:p>
        </w:tc>
        <w:tc>
          <w:tcPr>
            <w:tcW w:w="1066" w:type="pct"/>
            <w:vAlign w:val="center"/>
          </w:tcPr>
          <w:p w14:paraId="1BB29746">
            <w:pPr>
              <w:pStyle w:val="12"/>
              <w:jc w:val="left"/>
            </w:pPr>
            <w:r>
              <w:rPr>
                <w:rFonts w:hint="eastAsia"/>
              </w:rPr>
              <w:t>南雄游击队队员</w:t>
            </w:r>
          </w:p>
        </w:tc>
        <w:tc>
          <w:tcPr>
            <w:tcW w:w="1160" w:type="pct"/>
            <w:vAlign w:val="center"/>
          </w:tcPr>
          <w:p w14:paraId="641999A5">
            <w:pPr>
              <w:pStyle w:val="12"/>
              <w:jc w:val="left"/>
            </w:pPr>
            <w:r>
              <w:rPr>
                <w:rFonts w:hint="eastAsia"/>
              </w:rPr>
              <w:t>1931年11月5日在溯水遇敌，突围中牺牲</w:t>
            </w:r>
          </w:p>
        </w:tc>
      </w:tr>
      <w:tr w14:paraId="25BCE6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389E5FB">
            <w:pPr>
              <w:pStyle w:val="12"/>
              <w:jc w:val="center"/>
            </w:pPr>
            <w:r>
              <w:rPr>
                <w:rFonts w:hint="eastAsia"/>
              </w:rPr>
              <w:t>雷会龙</w:t>
            </w:r>
          </w:p>
        </w:tc>
        <w:tc>
          <w:tcPr>
            <w:tcW w:w="388" w:type="pct"/>
            <w:vAlign w:val="center"/>
          </w:tcPr>
          <w:p w14:paraId="236D917A">
            <w:pPr>
              <w:pStyle w:val="12"/>
              <w:jc w:val="center"/>
            </w:pPr>
            <w:r>
              <w:rPr>
                <w:rFonts w:hint="eastAsia"/>
              </w:rPr>
              <w:t>男</w:t>
            </w:r>
          </w:p>
        </w:tc>
        <w:tc>
          <w:tcPr>
            <w:tcW w:w="582" w:type="pct"/>
            <w:vAlign w:val="center"/>
          </w:tcPr>
          <w:p w14:paraId="7473F08B">
            <w:pPr>
              <w:pStyle w:val="12"/>
              <w:jc w:val="center"/>
            </w:pPr>
            <w:r>
              <w:rPr>
                <w:rFonts w:hint="eastAsia"/>
              </w:rPr>
              <w:t>1898年</w:t>
            </w:r>
          </w:p>
        </w:tc>
        <w:tc>
          <w:tcPr>
            <w:tcW w:w="582" w:type="pct"/>
            <w:vAlign w:val="center"/>
          </w:tcPr>
          <w:p w14:paraId="1B8C5F13">
            <w:pPr>
              <w:pStyle w:val="12"/>
              <w:jc w:val="center"/>
            </w:pPr>
            <w:r>
              <w:rPr>
                <w:rFonts w:hint="eastAsia"/>
              </w:rPr>
              <w:t>油山镇</w:t>
            </w:r>
          </w:p>
        </w:tc>
        <w:tc>
          <w:tcPr>
            <w:tcW w:w="582" w:type="pct"/>
            <w:vAlign w:val="center"/>
          </w:tcPr>
          <w:p w14:paraId="3B20F5B1">
            <w:pPr>
              <w:pStyle w:val="12"/>
              <w:jc w:val="center"/>
            </w:pPr>
            <w:r>
              <w:rPr>
                <w:rFonts w:hint="eastAsia"/>
              </w:rPr>
              <w:t>1928年</w:t>
            </w:r>
          </w:p>
        </w:tc>
        <w:tc>
          <w:tcPr>
            <w:tcW w:w="1066" w:type="pct"/>
            <w:vAlign w:val="center"/>
          </w:tcPr>
          <w:p w14:paraId="178CEFA3">
            <w:pPr>
              <w:pStyle w:val="12"/>
              <w:jc w:val="left"/>
            </w:pPr>
            <w:r>
              <w:rPr>
                <w:rFonts w:hint="eastAsia"/>
              </w:rPr>
              <w:t>工农红军战士</w:t>
            </w:r>
          </w:p>
        </w:tc>
        <w:tc>
          <w:tcPr>
            <w:tcW w:w="1160" w:type="pct"/>
            <w:vAlign w:val="center"/>
          </w:tcPr>
          <w:p w14:paraId="77030D3E">
            <w:pPr>
              <w:pStyle w:val="12"/>
              <w:jc w:val="left"/>
            </w:pPr>
            <w:r>
              <w:rPr>
                <w:rFonts w:hint="eastAsia"/>
              </w:rPr>
              <w:t>1931年在江西兴国县高田作战牺牲</w:t>
            </w:r>
          </w:p>
        </w:tc>
      </w:tr>
      <w:tr w14:paraId="0F6D819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2B03929">
            <w:pPr>
              <w:pStyle w:val="12"/>
              <w:jc w:val="center"/>
            </w:pPr>
            <w:r>
              <w:rPr>
                <w:rFonts w:hint="eastAsia"/>
              </w:rPr>
              <w:t>叶成荣</w:t>
            </w:r>
          </w:p>
        </w:tc>
        <w:tc>
          <w:tcPr>
            <w:tcW w:w="388" w:type="pct"/>
            <w:vAlign w:val="center"/>
          </w:tcPr>
          <w:p w14:paraId="1FFA0933">
            <w:pPr>
              <w:pStyle w:val="12"/>
              <w:jc w:val="center"/>
            </w:pPr>
            <w:r>
              <w:rPr>
                <w:rFonts w:hint="eastAsia"/>
              </w:rPr>
              <w:t>男</w:t>
            </w:r>
          </w:p>
        </w:tc>
        <w:tc>
          <w:tcPr>
            <w:tcW w:w="582" w:type="pct"/>
            <w:vAlign w:val="center"/>
          </w:tcPr>
          <w:p w14:paraId="3B5483A4">
            <w:pPr>
              <w:pStyle w:val="12"/>
              <w:jc w:val="center"/>
            </w:pPr>
            <w:r>
              <w:rPr>
                <w:rFonts w:hint="eastAsia"/>
              </w:rPr>
              <w:t>1897年</w:t>
            </w:r>
          </w:p>
        </w:tc>
        <w:tc>
          <w:tcPr>
            <w:tcW w:w="582" w:type="pct"/>
            <w:vAlign w:val="center"/>
          </w:tcPr>
          <w:p w14:paraId="4552A389">
            <w:pPr>
              <w:pStyle w:val="12"/>
              <w:jc w:val="center"/>
            </w:pPr>
            <w:r>
              <w:rPr>
                <w:rFonts w:hint="eastAsia"/>
              </w:rPr>
              <w:t>油山镇</w:t>
            </w:r>
          </w:p>
        </w:tc>
        <w:tc>
          <w:tcPr>
            <w:tcW w:w="582" w:type="pct"/>
            <w:vAlign w:val="center"/>
          </w:tcPr>
          <w:p w14:paraId="76F72497">
            <w:pPr>
              <w:pStyle w:val="12"/>
              <w:jc w:val="center"/>
            </w:pPr>
            <w:r>
              <w:rPr>
                <w:rFonts w:hint="eastAsia"/>
              </w:rPr>
              <w:t>1929年</w:t>
            </w:r>
          </w:p>
        </w:tc>
        <w:tc>
          <w:tcPr>
            <w:tcW w:w="1066" w:type="pct"/>
            <w:vAlign w:val="center"/>
          </w:tcPr>
          <w:p w14:paraId="0B22A21A">
            <w:pPr>
              <w:pStyle w:val="12"/>
              <w:jc w:val="left"/>
            </w:pPr>
            <w:r>
              <w:rPr>
                <w:rFonts w:hint="eastAsia"/>
              </w:rPr>
              <w:t>南雄游击队连长</w:t>
            </w:r>
          </w:p>
        </w:tc>
        <w:tc>
          <w:tcPr>
            <w:tcW w:w="1160" w:type="pct"/>
            <w:vAlign w:val="center"/>
          </w:tcPr>
          <w:p w14:paraId="395175C0">
            <w:pPr>
              <w:pStyle w:val="12"/>
              <w:jc w:val="left"/>
            </w:pPr>
            <w:r>
              <w:rPr>
                <w:rFonts w:hint="eastAsia"/>
              </w:rPr>
              <w:t>1931年在牛猪庵作战牺牲</w:t>
            </w:r>
          </w:p>
        </w:tc>
      </w:tr>
      <w:tr w14:paraId="11C297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BDE2D37">
            <w:pPr>
              <w:pStyle w:val="12"/>
              <w:jc w:val="center"/>
            </w:pPr>
            <w:r>
              <w:rPr>
                <w:rFonts w:hint="eastAsia"/>
              </w:rPr>
              <w:t>孔重阳狗</w:t>
            </w:r>
          </w:p>
        </w:tc>
        <w:tc>
          <w:tcPr>
            <w:tcW w:w="388" w:type="pct"/>
            <w:vAlign w:val="center"/>
          </w:tcPr>
          <w:p w14:paraId="336312EC">
            <w:pPr>
              <w:pStyle w:val="12"/>
              <w:jc w:val="center"/>
            </w:pPr>
            <w:r>
              <w:rPr>
                <w:rFonts w:hint="eastAsia"/>
              </w:rPr>
              <w:t>男</w:t>
            </w:r>
          </w:p>
        </w:tc>
        <w:tc>
          <w:tcPr>
            <w:tcW w:w="582" w:type="pct"/>
            <w:vAlign w:val="center"/>
          </w:tcPr>
          <w:p w14:paraId="4A80EDD0">
            <w:pPr>
              <w:pStyle w:val="12"/>
              <w:jc w:val="center"/>
            </w:pPr>
            <w:r>
              <w:rPr>
                <w:rFonts w:hint="eastAsia"/>
              </w:rPr>
              <w:t>1909年</w:t>
            </w:r>
          </w:p>
        </w:tc>
        <w:tc>
          <w:tcPr>
            <w:tcW w:w="582" w:type="pct"/>
            <w:vAlign w:val="center"/>
          </w:tcPr>
          <w:p w14:paraId="19986365">
            <w:pPr>
              <w:pStyle w:val="12"/>
              <w:jc w:val="center"/>
            </w:pPr>
            <w:r>
              <w:rPr>
                <w:rFonts w:hint="eastAsia"/>
              </w:rPr>
              <w:t>油山镇</w:t>
            </w:r>
          </w:p>
        </w:tc>
        <w:tc>
          <w:tcPr>
            <w:tcW w:w="582" w:type="pct"/>
            <w:vAlign w:val="center"/>
          </w:tcPr>
          <w:p w14:paraId="6C947EDE">
            <w:pPr>
              <w:pStyle w:val="12"/>
              <w:jc w:val="center"/>
            </w:pPr>
            <w:r>
              <w:rPr>
                <w:rFonts w:hint="eastAsia"/>
              </w:rPr>
              <w:t>1930年</w:t>
            </w:r>
          </w:p>
        </w:tc>
        <w:tc>
          <w:tcPr>
            <w:tcW w:w="1066" w:type="pct"/>
            <w:vAlign w:val="center"/>
          </w:tcPr>
          <w:p w14:paraId="0D76C6C5">
            <w:pPr>
              <w:pStyle w:val="12"/>
              <w:jc w:val="left"/>
            </w:pPr>
            <w:r>
              <w:rPr>
                <w:rFonts w:hint="eastAsia"/>
              </w:rPr>
              <w:t>南雄游击队班长</w:t>
            </w:r>
          </w:p>
        </w:tc>
        <w:tc>
          <w:tcPr>
            <w:tcW w:w="1160" w:type="pct"/>
            <w:vAlign w:val="center"/>
          </w:tcPr>
          <w:p w14:paraId="71E41DD4">
            <w:pPr>
              <w:pStyle w:val="12"/>
              <w:jc w:val="left"/>
            </w:pPr>
            <w:r>
              <w:rPr>
                <w:rFonts w:hint="eastAsia"/>
              </w:rPr>
              <w:t>1931年在坪林战斗牺牲</w:t>
            </w:r>
          </w:p>
        </w:tc>
      </w:tr>
      <w:tr w14:paraId="205E6B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3444CA5">
            <w:pPr>
              <w:pStyle w:val="12"/>
              <w:jc w:val="center"/>
            </w:pPr>
            <w:r>
              <w:rPr>
                <w:rFonts w:hint="eastAsia"/>
              </w:rPr>
              <w:t>孔奀俚</w:t>
            </w:r>
          </w:p>
        </w:tc>
        <w:tc>
          <w:tcPr>
            <w:tcW w:w="388" w:type="pct"/>
            <w:vAlign w:val="center"/>
          </w:tcPr>
          <w:p w14:paraId="360A2608">
            <w:pPr>
              <w:pStyle w:val="12"/>
              <w:jc w:val="center"/>
            </w:pPr>
            <w:r>
              <w:rPr>
                <w:rFonts w:hint="eastAsia"/>
              </w:rPr>
              <w:t>男</w:t>
            </w:r>
          </w:p>
        </w:tc>
        <w:tc>
          <w:tcPr>
            <w:tcW w:w="582" w:type="pct"/>
            <w:vAlign w:val="center"/>
          </w:tcPr>
          <w:p w14:paraId="5B974D55">
            <w:pPr>
              <w:pStyle w:val="12"/>
              <w:jc w:val="center"/>
            </w:pPr>
            <w:r>
              <w:rPr>
                <w:rFonts w:hint="eastAsia"/>
              </w:rPr>
              <w:t>1910年</w:t>
            </w:r>
          </w:p>
        </w:tc>
        <w:tc>
          <w:tcPr>
            <w:tcW w:w="582" w:type="pct"/>
            <w:vAlign w:val="center"/>
          </w:tcPr>
          <w:p w14:paraId="2F3222BD">
            <w:pPr>
              <w:pStyle w:val="12"/>
              <w:jc w:val="center"/>
            </w:pPr>
            <w:r>
              <w:rPr>
                <w:rFonts w:hint="eastAsia"/>
              </w:rPr>
              <w:t>油山镇</w:t>
            </w:r>
          </w:p>
        </w:tc>
        <w:tc>
          <w:tcPr>
            <w:tcW w:w="582" w:type="pct"/>
            <w:vAlign w:val="center"/>
          </w:tcPr>
          <w:p w14:paraId="220D0351">
            <w:pPr>
              <w:pStyle w:val="12"/>
              <w:jc w:val="center"/>
            </w:pPr>
            <w:r>
              <w:rPr>
                <w:rFonts w:hint="eastAsia"/>
              </w:rPr>
              <w:t>1930年</w:t>
            </w:r>
          </w:p>
        </w:tc>
        <w:tc>
          <w:tcPr>
            <w:tcW w:w="1066" w:type="pct"/>
            <w:vAlign w:val="center"/>
          </w:tcPr>
          <w:p w14:paraId="632F395A">
            <w:pPr>
              <w:pStyle w:val="12"/>
              <w:jc w:val="left"/>
            </w:pPr>
            <w:r>
              <w:rPr>
                <w:rFonts w:hint="eastAsia"/>
              </w:rPr>
              <w:t>南雄游击队队员</w:t>
            </w:r>
          </w:p>
        </w:tc>
        <w:tc>
          <w:tcPr>
            <w:tcW w:w="1160" w:type="pct"/>
            <w:vAlign w:val="center"/>
          </w:tcPr>
          <w:p w14:paraId="10AECCCF">
            <w:pPr>
              <w:pStyle w:val="12"/>
              <w:jc w:val="left"/>
            </w:pPr>
            <w:r>
              <w:rPr>
                <w:rFonts w:hint="eastAsia"/>
              </w:rPr>
              <w:t>1931年在坪林上门军训时牺牲</w:t>
            </w:r>
          </w:p>
        </w:tc>
      </w:tr>
      <w:tr w14:paraId="6F3257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1A80892">
            <w:pPr>
              <w:pStyle w:val="12"/>
              <w:jc w:val="center"/>
            </w:pPr>
            <w:r>
              <w:rPr>
                <w:rFonts w:hint="eastAsia"/>
              </w:rPr>
              <w:t>李子雄</w:t>
            </w:r>
          </w:p>
        </w:tc>
        <w:tc>
          <w:tcPr>
            <w:tcW w:w="388" w:type="pct"/>
            <w:vAlign w:val="center"/>
          </w:tcPr>
          <w:p w14:paraId="0C4237EF">
            <w:pPr>
              <w:pStyle w:val="12"/>
              <w:jc w:val="center"/>
            </w:pPr>
            <w:r>
              <w:rPr>
                <w:rFonts w:hint="eastAsia"/>
              </w:rPr>
              <w:t>男</w:t>
            </w:r>
          </w:p>
        </w:tc>
        <w:tc>
          <w:tcPr>
            <w:tcW w:w="582" w:type="pct"/>
            <w:vAlign w:val="center"/>
          </w:tcPr>
          <w:p w14:paraId="72558BA3">
            <w:pPr>
              <w:pStyle w:val="12"/>
              <w:jc w:val="center"/>
            </w:pPr>
            <w:r>
              <w:rPr>
                <w:rFonts w:hint="eastAsia"/>
              </w:rPr>
              <w:t>1909年</w:t>
            </w:r>
          </w:p>
        </w:tc>
        <w:tc>
          <w:tcPr>
            <w:tcW w:w="582" w:type="pct"/>
            <w:vAlign w:val="center"/>
          </w:tcPr>
          <w:p w14:paraId="5BE3E99F">
            <w:pPr>
              <w:pStyle w:val="12"/>
              <w:jc w:val="center"/>
            </w:pPr>
            <w:r>
              <w:rPr>
                <w:rFonts w:hint="eastAsia"/>
              </w:rPr>
              <w:t>油山镇</w:t>
            </w:r>
          </w:p>
        </w:tc>
        <w:tc>
          <w:tcPr>
            <w:tcW w:w="582" w:type="pct"/>
            <w:vAlign w:val="center"/>
          </w:tcPr>
          <w:p w14:paraId="6C1B43E0">
            <w:pPr>
              <w:pStyle w:val="12"/>
              <w:jc w:val="center"/>
            </w:pPr>
            <w:r>
              <w:rPr>
                <w:rFonts w:hint="eastAsia"/>
              </w:rPr>
              <w:t>1929年</w:t>
            </w:r>
          </w:p>
        </w:tc>
        <w:tc>
          <w:tcPr>
            <w:tcW w:w="1066" w:type="pct"/>
            <w:vAlign w:val="center"/>
          </w:tcPr>
          <w:p w14:paraId="037D3A13">
            <w:pPr>
              <w:pStyle w:val="12"/>
              <w:jc w:val="left"/>
            </w:pPr>
            <w:r>
              <w:rPr>
                <w:rFonts w:hint="eastAsia"/>
              </w:rPr>
              <w:t>南雄游击队队员</w:t>
            </w:r>
          </w:p>
        </w:tc>
        <w:tc>
          <w:tcPr>
            <w:tcW w:w="1160" w:type="pct"/>
            <w:vAlign w:val="center"/>
          </w:tcPr>
          <w:p w14:paraId="6E8DF213">
            <w:pPr>
              <w:pStyle w:val="12"/>
              <w:jc w:val="left"/>
            </w:pPr>
            <w:r>
              <w:rPr>
                <w:rFonts w:hint="eastAsia"/>
              </w:rPr>
              <w:t>1931年在益田被捕，在县城郊就义</w:t>
            </w:r>
          </w:p>
        </w:tc>
      </w:tr>
      <w:tr w14:paraId="1F93F9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2EB1D40">
            <w:pPr>
              <w:pStyle w:val="12"/>
              <w:jc w:val="center"/>
            </w:pPr>
            <w:r>
              <w:rPr>
                <w:rFonts w:hint="eastAsia"/>
              </w:rPr>
              <w:t>刘光荣</w:t>
            </w:r>
          </w:p>
        </w:tc>
        <w:tc>
          <w:tcPr>
            <w:tcW w:w="388" w:type="pct"/>
            <w:vAlign w:val="center"/>
          </w:tcPr>
          <w:p w14:paraId="3830BF4F">
            <w:pPr>
              <w:pStyle w:val="12"/>
              <w:jc w:val="center"/>
            </w:pPr>
            <w:r>
              <w:rPr>
                <w:rFonts w:hint="eastAsia"/>
              </w:rPr>
              <w:t>男</w:t>
            </w:r>
          </w:p>
        </w:tc>
        <w:tc>
          <w:tcPr>
            <w:tcW w:w="582" w:type="pct"/>
            <w:vAlign w:val="center"/>
          </w:tcPr>
          <w:p w14:paraId="3C91BA0E">
            <w:pPr>
              <w:pStyle w:val="12"/>
              <w:jc w:val="center"/>
            </w:pPr>
            <w:r>
              <w:rPr>
                <w:rFonts w:hint="eastAsia"/>
              </w:rPr>
              <w:t>1898年</w:t>
            </w:r>
          </w:p>
        </w:tc>
        <w:tc>
          <w:tcPr>
            <w:tcW w:w="582" w:type="pct"/>
            <w:vAlign w:val="center"/>
          </w:tcPr>
          <w:p w14:paraId="075C632B">
            <w:pPr>
              <w:pStyle w:val="12"/>
              <w:jc w:val="center"/>
            </w:pPr>
            <w:r>
              <w:rPr>
                <w:rFonts w:hint="eastAsia"/>
              </w:rPr>
              <w:t>油山镇</w:t>
            </w:r>
          </w:p>
        </w:tc>
        <w:tc>
          <w:tcPr>
            <w:tcW w:w="582" w:type="pct"/>
            <w:vAlign w:val="center"/>
          </w:tcPr>
          <w:p w14:paraId="7D8DDA1C">
            <w:pPr>
              <w:pStyle w:val="12"/>
              <w:jc w:val="center"/>
            </w:pPr>
            <w:r>
              <w:rPr>
                <w:rFonts w:hint="eastAsia"/>
              </w:rPr>
              <w:t>1929年</w:t>
            </w:r>
          </w:p>
        </w:tc>
        <w:tc>
          <w:tcPr>
            <w:tcW w:w="1066" w:type="pct"/>
            <w:vAlign w:val="center"/>
          </w:tcPr>
          <w:p w14:paraId="54B4E540">
            <w:pPr>
              <w:pStyle w:val="12"/>
              <w:jc w:val="left"/>
            </w:pPr>
            <w:r>
              <w:rPr>
                <w:rFonts w:hint="eastAsia"/>
              </w:rPr>
              <w:t>南雄游击队队员</w:t>
            </w:r>
          </w:p>
        </w:tc>
        <w:tc>
          <w:tcPr>
            <w:tcW w:w="1160" w:type="pct"/>
            <w:vAlign w:val="center"/>
          </w:tcPr>
          <w:p w14:paraId="35F65D2E">
            <w:pPr>
              <w:pStyle w:val="12"/>
              <w:jc w:val="left"/>
            </w:pPr>
            <w:r>
              <w:rPr>
                <w:rFonts w:hint="eastAsia"/>
              </w:rPr>
              <w:t>1931年在益田下连村战斗被捕，在乌迳就义</w:t>
            </w:r>
          </w:p>
        </w:tc>
      </w:tr>
      <w:tr w14:paraId="2C67EE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B322F24">
            <w:pPr>
              <w:pStyle w:val="12"/>
              <w:jc w:val="center"/>
            </w:pPr>
            <w:r>
              <w:rPr>
                <w:rFonts w:hint="eastAsia"/>
              </w:rPr>
              <w:t>彭维德</w:t>
            </w:r>
          </w:p>
        </w:tc>
        <w:tc>
          <w:tcPr>
            <w:tcW w:w="388" w:type="pct"/>
            <w:vAlign w:val="center"/>
          </w:tcPr>
          <w:p w14:paraId="794E3375">
            <w:pPr>
              <w:pStyle w:val="12"/>
              <w:jc w:val="center"/>
            </w:pPr>
            <w:r>
              <w:rPr>
                <w:rFonts w:hint="eastAsia"/>
              </w:rPr>
              <w:t>男</w:t>
            </w:r>
          </w:p>
        </w:tc>
        <w:tc>
          <w:tcPr>
            <w:tcW w:w="582" w:type="pct"/>
            <w:vAlign w:val="center"/>
          </w:tcPr>
          <w:p w14:paraId="12CE077E">
            <w:pPr>
              <w:pStyle w:val="12"/>
              <w:jc w:val="center"/>
            </w:pPr>
            <w:r>
              <w:rPr>
                <w:rFonts w:hint="eastAsia"/>
              </w:rPr>
              <w:t>1906年</w:t>
            </w:r>
          </w:p>
        </w:tc>
        <w:tc>
          <w:tcPr>
            <w:tcW w:w="582" w:type="pct"/>
            <w:vAlign w:val="center"/>
          </w:tcPr>
          <w:p w14:paraId="1F3AE90C">
            <w:pPr>
              <w:pStyle w:val="12"/>
              <w:jc w:val="center"/>
            </w:pPr>
            <w:r>
              <w:rPr>
                <w:rFonts w:hint="eastAsia"/>
              </w:rPr>
              <w:t>油山镇</w:t>
            </w:r>
          </w:p>
        </w:tc>
        <w:tc>
          <w:tcPr>
            <w:tcW w:w="582" w:type="pct"/>
            <w:vAlign w:val="center"/>
          </w:tcPr>
          <w:p w14:paraId="0E18E9FA">
            <w:pPr>
              <w:pStyle w:val="12"/>
              <w:jc w:val="center"/>
            </w:pPr>
            <w:r>
              <w:rPr>
                <w:rFonts w:hint="eastAsia"/>
              </w:rPr>
              <w:t>1929年</w:t>
            </w:r>
          </w:p>
        </w:tc>
        <w:tc>
          <w:tcPr>
            <w:tcW w:w="1066" w:type="pct"/>
            <w:vAlign w:val="center"/>
          </w:tcPr>
          <w:p w14:paraId="0CD00A24">
            <w:pPr>
              <w:pStyle w:val="12"/>
              <w:jc w:val="left"/>
            </w:pPr>
            <w:r>
              <w:rPr>
                <w:rFonts w:hint="eastAsia"/>
              </w:rPr>
              <w:t>南雄游击队队员</w:t>
            </w:r>
          </w:p>
        </w:tc>
        <w:tc>
          <w:tcPr>
            <w:tcW w:w="1160" w:type="pct"/>
            <w:vAlign w:val="center"/>
          </w:tcPr>
          <w:p w14:paraId="465EB124">
            <w:pPr>
              <w:pStyle w:val="12"/>
              <w:jc w:val="left"/>
            </w:pPr>
            <w:r>
              <w:rPr>
                <w:rFonts w:hint="eastAsia"/>
              </w:rPr>
              <w:t>1931年在益田被捕，在乌迳就义</w:t>
            </w:r>
          </w:p>
        </w:tc>
      </w:tr>
      <w:tr w14:paraId="6434AF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0EFCEF2">
            <w:pPr>
              <w:pStyle w:val="12"/>
              <w:jc w:val="center"/>
            </w:pPr>
            <w:r>
              <w:rPr>
                <w:rFonts w:hint="eastAsia"/>
              </w:rPr>
              <w:t>叶庆俚</w:t>
            </w:r>
          </w:p>
        </w:tc>
        <w:tc>
          <w:tcPr>
            <w:tcW w:w="388" w:type="pct"/>
            <w:vAlign w:val="center"/>
          </w:tcPr>
          <w:p w14:paraId="355DCFFC">
            <w:pPr>
              <w:pStyle w:val="12"/>
              <w:jc w:val="center"/>
            </w:pPr>
            <w:r>
              <w:rPr>
                <w:rFonts w:hint="eastAsia"/>
              </w:rPr>
              <w:t>男</w:t>
            </w:r>
          </w:p>
        </w:tc>
        <w:tc>
          <w:tcPr>
            <w:tcW w:w="582" w:type="pct"/>
            <w:vAlign w:val="center"/>
          </w:tcPr>
          <w:p w14:paraId="6EDB50D6">
            <w:pPr>
              <w:pStyle w:val="12"/>
              <w:jc w:val="center"/>
            </w:pPr>
            <w:r>
              <w:rPr>
                <w:rFonts w:hint="eastAsia"/>
              </w:rPr>
              <w:t>1903年</w:t>
            </w:r>
          </w:p>
        </w:tc>
        <w:tc>
          <w:tcPr>
            <w:tcW w:w="582" w:type="pct"/>
            <w:vAlign w:val="center"/>
          </w:tcPr>
          <w:p w14:paraId="3BF2A195">
            <w:pPr>
              <w:pStyle w:val="12"/>
              <w:jc w:val="center"/>
            </w:pPr>
            <w:r>
              <w:rPr>
                <w:rFonts w:hint="eastAsia"/>
              </w:rPr>
              <w:t>乌迳镇</w:t>
            </w:r>
          </w:p>
        </w:tc>
        <w:tc>
          <w:tcPr>
            <w:tcW w:w="582" w:type="pct"/>
            <w:vAlign w:val="center"/>
          </w:tcPr>
          <w:p w14:paraId="53D22A10">
            <w:pPr>
              <w:pStyle w:val="12"/>
              <w:jc w:val="center"/>
            </w:pPr>
            <w:r>
              <w:rPr>
                <w:rFonts w:hint="eastAsia"/>
              </w:rPr>
              <w:t>1928年</w:t>
            </w:r>
          </w:p>
        </w:tc>
        <w:tc>
          <w:tcPr>
            <w:tcW w:w="1066" w:type="pct"/>
            <w:vAlign w:val="center"/>
          </w:tcPr>
          <w:p w14:paraId="3D5C936B">
            <w:pPr>
              <w:pStyle w:val="12"/>
              <w:jc w:val="left"/>
            </w:pPr>
            <w:r>
              <w:rPr>
                <w:rFonts w:hint="eastAsia"/>
              </w:rPr>
              <w:t>工农红军战士</w:t>
            </w:r>
          </w:p>
        </w:tc>
        <w:tc>
          <w:tcPr>
            <w:tcW w:w="1160" w:type="pct"/>
            <w:vAlign w:val="center"/>
          </w:tcPr>
          <w:p w14:paraId="55A12427">
            <w:pPr>
              <w:pStyle w:val="12"/>
              <w:jc w:val="left"/>
            </w:pPr>
            <w:r>
              <w:rPr>
                <w:rFonts w:hint="eastAsia"/>
              </w:rPr>
              <w:t>1931年在江西省大小窝战斗牺牲</w:t>
            </w:r>
          </w:p>
        </w:tc>
      </w:tr>
      <w:tr w14:paraId="1ADB54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B1CED2D">
            <w:pPr>
              <w:pStyle w:val="12"/>
              <w:jc w:val="center"/>
            </w:pPr>
            <w:r>
              <w:rPr>
                <w:rFonts w:hint="eastAsia"/>
              </w:rPr>
              <w:t>刘老五</w:t>
            </w:r>
          </w:p>
        </w:tc>
        <w:tc>
          <w:tcPr>
            <w:tcW w:w="388" w:type="pct"/>
            <w:vAlign w:val="center"/>
          </w:tcPr>
          <w:p w14:paraId="276C7B63">
            <w:pPr>
              <w:pStyle w:val="12"/>
              <w:jc w:val="center"/>
            </w:pPr>
            <w:r>
              <w:rPr>
                <w:rFonts w:hint="eastAsia"/>
              </w:rPr>
              <w:t>男</w:t>
            </w:r>
          </w:p>
        </w:tc>
        <w:tc>
          <w:tcPr>
            <w:tcW w:w="582" w:type="pct"/>
            <w:vAlign w:val="center"/>
          </w:tcPr>
          <w:p w14:paraId="08D9A05E">
            <w:pPr>
              <w:pStyle w:val="12"/>
              <w:jc w:val="center"/>
            </w:pPr>
            <w:r>
              <w:rPr>
                <w:rFonts w:hint="eastAsia"/>
              </w:rPr>
              <w:t>1903年</w:t>
            </w:r>
          </w:p>
        </w:tc>
        <w:tc>
          <w:tcPr>
            <w:tcW w:w="582" w:type="pct"/>
            <w:vAlign w:val="center"/>
          </w:tcPr>
          <w:p w14:paraId="53678EFE">
            <w:pPr>
              <w:pStyle w:val="12"/>
              <w:jc w:val="center"/>
            </w:pPr>
            <w:r>
              <w:rPr>
                <w:rFonts w:hint="eastAsia"/>
              </w:rPr>
              <w:t>珠玑镇</w:t>
            </w:r>
          </w:p>
        </w:tc>
        <w:tc>
          <w:tcPr>
            <w:tcW w:w="582" w:type="pct"/>
            <w:vAlign w:val="center"/>
          </w:tcPr>
          <w:p w14:paraId="16857B0B">
            <w:pPr>
              <w:pStyle w:val="12"/>
              <w:jc w:val="center"/>
            </w:pPr>
            <w:r>
              <w:rPr>
                <w:rFonts w:hint="eastAsia"/>
              </w:rPr>
              <w:t>1929年</w:t>
            </w:r>
          </w:p>
        </w:tc>
        <w:tc>
          <w:tcPr>
            <w:tcW w:w="1066" w:type="pct"/>
            <w:vAlign w:val="center"/>
          </w:tcPr>
          <w:p w14:paraId="685E4773">
            <w:pPr>
              <w:pStyle w:val="12"/>
              <w:jc w:val="left"/>
            </w:pPr>
            <w:r>
              <w:rPr>
                <w:rFonts w:hint="eastAsia"/>
              </w:rPr>
              <w:t>南雄游击队队员</w:t>
            </w:r>
          </w:p>
        </w:tc>
        <w:tc>
          <w:tcPr>
            <w:tcW w:w="1160" w:type="pct"/>
            <w:vAlign w:val="center"/>
          </w:tcPr>
          <w:p w14:paraId="5ABB5678">
            <w:pPr>
              <w:pStyle w:val="12"/>
              <w:jc w:val="left"/>
            </w:pPr>
            <w:r>
              <w:rPr>
                <w:rFonts w:hint="eastAsia"/>
              </w:rPr>
              <w:t>1931年回乡开展工作，在石头坝牺牲</w:t>
            </w:r>
          </w:p>
        </w:tc>
      </w:tr>
      <w:tr w14:paraId="7308C7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E38A678">
            <w:pPr>
              <w:pStyle w:val="12"/>
              <w:jc w:val="center"/>
              <w:rPr>
                <w:rFonts w:ascii="宋体" w:hAnsi="宋体" w:cs="宋体"/>
              </w:rPr>
            </w:pPr>
            <w:r>
              <w:rPr>
                <w:rFonts w:hint="eastAsia"/>
              </w:rPr>
              <w:t>欧阳</w:t>
            </w:r>
          </w:p>
          <w:p w14:paraId="474C3BEC">
            <w:pPr>
              <w:pStyle w:val="12"/>
              <w:jc w:val="center"/>
            </w:pPr>
            <w:r>
              <w:rPr>
                <w:rFonts w:hint="eastAsia" w:ascii="宋体" w:hAnsi="宋体" w:cs="宋体"/>
              </w:rPr>
              <w:t>长庚生</w:t>
            </w:r>
          </w:p>
        </w:tc>
        <w:tc>
          <w:tcPr>
            <w:tcW w:w="388" w:type="pct"/>
            <w:vAlign w:val="center"/>
          </w:tcPr>
          <w:p w14:paraId="386F7FCC">
            <w:pPr>
              <w:pStyle w:val="12"/>
              <w:jc w:val="center"/>
            </w:pPr>
            <w:r>
              <w:rPr>
                <w:rFonts w:hint="eastAsia"/>
              </w:rPr>
              <w:t>男</w:t>
            </w:r>
          </w:p>
        </w:tc>
        <w:tc>
          <w:tcPr>
            <w:tcW w:w="582" w:type="pct"/>
            <w:vAlign w:val="center"/>
          </w:tcPr>
          <w:p w14:paraId="1A3FF309">
            <w:pPr>
              <w:pStyle w:val="12"/>
              <w:jc w:val="center"/>
            </w:pPr>
            <w:r>
              <w:rPr>
                <w:rFonts w:hint="eastAsia"/>
              </w:rPr>
              <w:t>1910年</w:t>
            </w:r>
          </w:p>
        </w:tc>
        <w:tc>
          <w:tcPr>
            <w:tcW w:w="582" w:type="pct"/>
            <w:vAlign w:val="center"/>
          </w:tcPr>
          <w:p w14:paraId="5171B7E2">
            <w:pPr>
              <w:pStyle w:val="12"/>
              <w:jc w:val="center"/>
            </w:pPr>
            <w:r>
              <w:rPr>
                <w:rFonts w:hint="eastAsia"/>
              </w:rPr>
              <w:t>水口镇</w:t>
            </w:r>
          </w:p>
        </w:tc>
        <w:tc>
          <w:tcPr>
            <w:tcW w:w="582" w:type="pct"/>
            <w:vAlign w:val="center"/>
          </w:tcPr>
          <w:p w14:paraId="7E57B0E3">
            <w:pPr>
              <w:pStyle w:val="12"/>
              <w:jc w:val="center"/>
            </w:pPr>
            <w:r>
              <w:rPr>
                <w:rFonts w:hint="eastAsia"/>
              </w:rPr>
              <w:t>1926年</w:t>
            </w:r>
          </w:p>
        </w:tc>
        <w:tc>
          <w:tcPr>
            <w:tcW w:w="1066" w:type="pct"/>
            <w:vAlign w:val="center"/>
          </w:tcPr>
          <w:p w14:paraId="0520B5EA">
            <w:pPr>
              <w:pStyle w:val="12"/>
              <w:jc w:val="left"/>
              <w:rPr>
                <w:rFonts w:ascii="宋体" w:hAnsi="宋体" w:cs="宋体"/>
              </w:rPr>
            </w:pPr>
            <w:r>
              <w:rPr>
                <w:rFonts w:hint="eastAsia"/>
              </w:rPr>
              <w:t>南雄游击队</w:t>
            </w:r>
          </w:p>
          <w:p w14:paraId="0C34D721">
            <w:pPr>
              <w:pStyle w:val="12"/>
              <w:jc w:val="left"/>
            </w:pPr>
            <w:r>
              <w:rPr>
                <w:rFonts w:hint="eastAsia" w:ascii="宋体" w:hAnsi="宋体" w:cs="宋体"/>
              </w:rPr>
              <w:t>副  队  长</w:t>
            </w:r>
          </w:p>
        </w:tc>
        <w:tc>
          <w:tcPr>
            <w:tcW w:w="1160" w:type="pct"/>
            <w:vAlign w:val="center"/>
          </w:tcPr>
          <w:p w14:paraId="2D994971">
            <w:pPr>
              <w:pStyle w:val="12"/>
              <w:jc w:val="left"/>
            </w:pPr>
            <w:r>
              <w:rPr>
                <w:rFonts w:hint="eastAsia"/>
              </w:rPr>
              <w:t>1931年在江西被叛徒出卖被捕，在南雄城郊就义</w:t>
            </w:r>
          </w:p>
        </w:tc>
      </w:tr>
      <w:tr w14:paraId="422379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5489694">
            <w:pPr>
              <w:pStyle w:val="12"/>
              <w:jc w:val="center"/>
            </w:pPr>
            <w:r>
              <w:rPr>
                <w:rFonts w:hint="eastAsia"/>
              </w:rPr>
              <w:t>曾广茂</w:t>
            </w:r>
          </w:p>
        </w:tc>
        <w:tc>
          <w:tcPr>
            <w:tcW w:w="388" w:type="pct"/>
            <w:vAlign w:val="center"/>
          </w:tcPr>
          <w:p w14:paraId="567EBCB4">
            <w:pPr>
              <w:pStyle w:val="12"/>
              <w:jc w:val="center"/>
            </w:pPr>
            <w:r>
              <w:rPr>
                <w:rFonts w:hint="eastAsia"/>
              </w:rPr>
              <w:t>男</w:t>
            </w:r>
          </w:p>
        </w:tc>
        <w:tc>
          <w:tcPr>
            <w:tcW w:w="582" w:type="pct"/>
            <w:vAlign w:val="center"/>
          </w:tcPr>
          <w:p w14:paraId="142EDF07">
            <w:pPr>
              <w:pStyle w:val="12"/>
              <w:jc w:val="center"/>
            </w:pPr>
            <w:r>
              <w:rPr>
                <w:rFonts w:hint="eastAsia"/>
              </w:rPr>
              <w:t>1900年</w:t>
            </w:r>
          </w:p>
        </w:tc>
        <w:tc>
          <w:tcPr>
            <w:tcW w:w="582" w:type="pct"/>
            <w:vAlign w:val="center"/>
          </w:tcPr>
          <w:p w14:paraId="5EAA7789">
            <w:pPr>
              <w:pStyle w:val="12"/>
              <w:jc w:val="center"/>
            </w:pPr>
            <w:r>
              <w:rPr>
                <w:rFonts w:hint="eastAsia"/>
              </w:rPr>
              <w:t>邓坊镇</w:t>
            </w:r>
          </w:p>
        </w:tc>
        <w:tc>
          <w:tcPr>
            <w:tcW w:w="582" w:type="pct"/>
            <w:vAlign w:val="center"/>
          </w:tcPr>
          <w:p w14:paraId="4C132503">
            <w:pPr>
              <w:pStyle w:val="12"/>
              <w:jc w:val="center"/>
            </w:pPr>
            <w:r>
              <w:rPr>
                <w:rFonts w:hint="eastAsia"/>
              </w:rPr>
              <w:t>1928年</w:t>
            </w:r>
          </w:p>
        </w:tc>
        <w:tc>
          <w:tcPr>
            <w:tcW w:w="1066" w:type="pct"/>
            <w:vAlign w:val="center"/>
          </w:tcPr>
          <w:p w14:paraId="57FBFB39">
            <w:pPr>
              <w:pStyle w:val="12"/>
              <w:jc w:val="left"/>
            </w:pPr>
            <w:r>
              <w:rPr>
                <w:rFonts w:hint="eastAsia"/>
              </w:rPr>
              <w:t>南雄游击队排长</w:t>
            </w:r>
          </w:p>
        </w:tc>
        <w:tc>
          <w:tcPr>
            <w:tcW w:w="1160" w:type="pct"/>
            <w:vAlign w:val="center"/>
          </w:tcPr>
          <w:p w14:paraId="0B629A13">
            <w:pPr>
              <w:pStyle w:val="12"/>
              <w:jc w:val="left"/>
            </w:pPr>
            <w:r>
              <w:rPr>
                <w:rFonts w:hint="eastAsia"/>
              </w:rPr>
              <w:t>1931年在江西大余县黄龙战斗牺牲</w:t>
            </w:r>
          </w:p>
        </w:tc>
      </w:tr>
      <w:tr w14:paraId="6BD292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BAF966D">
            <w:pPr>
              <w:pStyle w:val="12"/>
              <w:jc w:val="center"/>
            </w:pPr>
            <w:r>
              <w:rPr>
                <w:rFonts w:hint="eastAsia"/>
              </w:rPr>
              <w:t>叶逢兰</w:t>
            </w:r>
          </w:p>
        </w:tc>
        <w:tc>
          <w:tcPr>
            <w:tcW w:w="388" w:type="pct"/>
            <w:vAlign w:val="center"/>
          </w:tcPr>
          <w:p w14:paraId="03D69AAB">
            <w:pPr>
              <w:pStyle w:val="12"/>
              <w:jc w:val="center"/>
            </w:pPr>
            <w:r>
              <w:rPr>
                <w:rFonts w:hint="eastAsia"/>
              </w:rPr>
              <w:t>男</w:t>
            </w:r>
          </w:p>
        </w:tc>
        <w:tc>
          <w:tcPr>
            <w:tcW w:w="582" w:type="pct"/>
            <w:vAlign w:val="center"/>
          </w:tcPr>
          <w:p w14:paraId="3F197436">
            <w:pPr>
              <w:pStyle w:val="12"/>
              <w:jc w:val="center"/>
            </w:pPr>
            <w:r>
              <w:rPr>
                <w:rFonts w:hint="eastAsia"/>
              </w:rPr>
              <w:t>1896年</w:t>
            </w:r>
          </w:p>
        </w:tc>
        <w:tc>
          <w:tcPr>
            <w:tcW w:w="582" w:type="pct"/>
            <w:vAlign w:val="center"/>
          </w:tcPr>
          <w:p w14:paraId="370691D2">
            <w:pPr>
              <w:pStyle w:val="12"/>
              <w:jc w:val="center"/>
            </w:pPr>
            <w:r>
              <w:rPr>
                <w:rFonts w:hint="eastAsia"/>
              </w:rPr>
              <w:t>乌迳镇</w:t>
            </w:r>
          </w:p>
        </w:tc>
        <w:tc>
          <w:tcPr>
            <w:tcW w:w="582" w:type="pct"/>
            <w:vAlign w:val="center"/>
          </w:tcPr>
          <w:p w14:paraId="258355BA">
            <w:pPr>
              <w:pStyle w:val="12"/>
              <w:jc w:val="center"/>
            </w:pPr>
            <w:r>
              <w:rPr>
                <w:rFonts w:hint="eastAsia"/>
              </w:rPr>
              <w:t>1928年</w:t>
            </w:r>
          </w:p>
        </w:tc>
        <w:tc>
          <w:tcPr>
            <w:tcW w:w="1066" w:type="pct"/>
            <w:vAlign w:val="center"/>
          </w:tcPr>
          <w:p w14:paraId="324205C4">
            <w:pPr>
              <w:pStyle w:val="12"/>
              <w:jc w:val="left"/>
            </w:pPr>
            <w:r>
              <w:rPr>
                <w:rFonts w:hint="eastAsia"/>
              </w:rPr>
              <w:t>红军秘书</w:t>
            </w:r>
          </w:p>
        </w:tc>
        <w:tc>
          <w:tcPr>
            <w:tcW w:w="1160" w:type="pct"/>
            <w:vAlign w:val="center"/>
          </w:tcPr>
          <w:p w14:paraId="1B5F5258">
            <w:pPr>
              <w:pStyle w:val="12"/>
              <w:jc w:val="left"/>
            </w:pPr>
            <w:r>
              <w:rPr>
                <w:rFonts w:hint="eastAsia"/>
              </w:rPr>
              <w:t>1931年在湖南湘潭县战斗牺牲</w:t>
            </w:r>
          </w:p>
        </w:tc>
      </w:tr>
      <w:tr w14:paraId="37BFB2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E3C2004">
            <w:pPr>
              <w:pStyle w:val="12"/>
              <w:jc w:val="center"/>
            </w:pPr>
            <w:r>
              <w:rPr>
                <w:rFonts w:hint="eastAsia"/>
              </w:rPr>
              <w:t>叶舒贵</w:t>
            </w:r>
          </w:p>
        </w:tc>
        <w:tc>
          <w:tcPr>
            <w:tcW w:w="388" w:type="pct"/>
            <w:vAlign w:val="center"/>
          </w:tcPr>
          <w:p w14:paraId="5A1DC1AF">
            <w:pPr>
              <w:pStyle w:val="12"/>
              <w:jc w:val="center"/>
            </w:pPr>
            <w:r>
              <w:rPr>
                <w:rFonts w:hint="eastAsia"/>
              </w:rPr>
              <w:t>男</w:t>
            </w:r>
          </w:p>
        </w:tc>
        <w:tc>
          <w:tcPr>
            <w:tcW w:w="582" w:type="pct"/>
            <w:vAlign w:val="center"/>
          </w:tcPr>
          <w:p w14:paraId="4988DA52">
            <w:pPr>
              <w:pStyle w:val="12"/>
              <w:jc w:val="center"/>
            </w:pPr>
            <w:r>
              <w:rPr>
                <w:rFonts w:hint="eastAsia"/>
              </w:rPr>
              <w:t>1910年</w:t>
            </w:r>
          </w:p>
        </w:tc>
        <w:tc>
          <w:tcPr>
            <w:tcW w:w="582" w:type="pct"/>
            <w:vAlign w:val="center"/>
          </w:tcPr>
          <w:p w14:paraId="66FBA61F">
            <w:pPr>
              <w:pStyle w:val="12"/>
              <w:jc w:val="center"/>
            </w:pPr>
            <w:r>
              <w:rPr>
                <w:rFonts w:hint="eastAsia"/>
              </w:rPr>
              <w:t>乌迳镇</w:t>
            </w:r>
          </w:p>
        </w:tc>
        <w:tc>
          <w:tcPr>
            <w:tcW w:w="582" w:type="pct"/>
            <w:vAlign w:val="center"/>
          </w:tcPr>
          <w:p w14:paraId="0EA31ECB">
            <w:pPr>
              <w:pStyle w:val="12"/>
              <w:jc w:val="center"/>
            </w:pPr>
            <w:r>
              <w:rPr>
                <w:rFonts w:hint="eastAsia"/>
              </w:rPr>
              <w:t>1927年</w:t>
            </w:r>
          </w:p>
        </w:tc>
        <w:tc>
          <w:tcPr>
            <w:tcW w:w="1066" w:type="pct"/>
            <w:vAlign w:val="center"/>
          </w:tcPr>
          <w:p w14:paraId="6C826737">
            <w:pPr>
              <w:pStyle w:val="12"/>
              <w:jc w:val="left"/>
            </w:pPr>
            <w:r>
              <w:rPr>
                <w:rFonts w:hint="eastAsia"/>
              </w:rPr>
              <w:t>南雄游击队队员</w:t>
            </w:r>
          </w:p>
        </w:tc>
        <w:tc>
          <w:tcPr>
            <w:tcW w:w="1160" w:type="pct"/>
            <w:vAlign w:val="center"/>
          </w:tcPr>
          <w:p w14:paraId="1E0F393A">
            <w:pPr>
              <w:pStyle w:val="12"/>
              <w:jc w:val="left"/>
            </w:pPr>
            <w:r>
              <w:rPr>
                <w:rFonts w:hint="eastAsia"/>
              </w:rPr>
              <w:t>1931年在江西信丰县九渡水中坝被捕，在乌迳就义</w:t>
            </w:r>
          </w:p>
        </w:tc>
      </w:tr>
      <w:tr w14:paraId="056253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8EFA1C1">
            <w:pPr>
              <w:pStyle w:val="12"/>
              <w:jc w:val="center"/>
            </w:pPr>
            <w:r>
              <w:rPr>
                <w:rFonts w:hint="eastAsia"/>
              </w:rPr>
              <w:t>董照生</w:t>
            </w:r>
          </w:p>
        </w:tc>
        <w:tc>
          <w:tcPr>
            <w:tcW w:w="388" w:type="pct"/>
            <w:vAlign w:val="center"/>
          </w:tcPr>
          <w:p w14:paraId="0A0A97DE">
            <w:pPr>
              <w:pStyle w:val="12"/>
              <w:jc w:val="center"/>
            </w:pPr>
            <w:r>
              <w:rPr>
                <w:rFonts w:hint="eastAsia"/>
              </w:rPr>
              <w:t>男</w:t>
            </w:r>
          </w:p>
        </w:tc>
        <w:tc>
          <w:tcPr>
            <w:tcW w:w="582" w:type="pct"/>
            <w:vAlign w:val="center"/>
          </w:tcPr>
          <w:p w14:paraId="53C92458">
            <w:pPr>
              <w:pStyle w:val="12"/>
              <w:jc w:val="center"/>
            </w:pPr>
            <w:r>
              <w:rPr>
                <w:rFonts w:hint="eastAsia"/>
              </w:rPr>
              <w:t>1892年</w:t>
            </w:r>
          </w:p>
        </w:tc>
        <w:tc>
          <w:tcPr>
            <w:tcW w:w="582" w:type="pct"/>
            <w:vAlign w:val="center"/>
          </w:tcPr>
          <w:p w14:paraId="7EC40282">
            <w:pPr>
              <w:pStyle w:val="12"/>
              <w:jc w:val="center"/>
            </w:pPr>
            <w:r>
              <w:rPr>
                <w:rFonts w:hint="eastAsia"/>
              </w:rPr>
              <w:t>乌迳镇</w:t>
            </w:r>
          </w:p>
        </w:tc>
        <w:tc>
          <w:tcPr>
            <w:tcW w:w="582" w:type="pct"/>
            <w:vAlign w:val="center"/>
          </w:tcPr>
          <w:p w14:paraId="3AEA02BB">
            <w:pPr>
              <w:pStyle w:val="12"/>
              <w:jc w:val="center"/>
            </w:pPr>
            <w:r>
              <w:rPr>
                <w:rFonts w:hint="eastAsia"/>
              </w:rPr>
              <w:t>1928年</w:t>
            </w:r>
          </w:p>
        </w:tc>
        <w:tc>
          <w:tcPr>
            <w:tcW w:w="1066" w:type="pct"/>
            <w:vAlign w:val="center"/>
          </w:tcPr>
          <w:p w14:paraId="256F726D">
            <w:pPr>
              <w:pStyle w:val="12"/>
              <w:jc w:val="left"/>
            </w:pPr>
            <w:r>
              <w:rPr>
                <w:rFonts w:hint="eastAsia"/>
              </w:rPr>
              <w:t>红军战士</w:t>
            </w:r>
          </w:p>
        </w:tc>
        <w:tc>
          <w:tcPr>
            <w:tcW w:w="1160" w:type="pct"/>
            <w:vAlign w:val="center"/>
          </w:tcPr>
          <w:p w14:paraId="1ED5B3AA">
            <w:pPr>
              <w:pStyle w:val="12"/>
              <w:jc w:val="left"/>
            </w:pPr>
            <w:r>
              <w:rPr>
                <w:rFonts w:hint="eastAsia"/>
              </w:rPr>
              <w:t>1931年在湖南湘潭县战斗中牺牲</w:t>
            </w:r>
          </w:p>
        </w:tc>
      </w:tr>
      <w:tr w14:paraId="583556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0811B96">
            <w:pPr>
              <w:pStyle w:val="12"/>
              <w:jc w:val="center"/>
            </w:pPr>
            <w:r>
              <w:rPr>
                <w:rFonts w:hint="eastAsia"/>
              </w:rPr>
              <w:t>刘矮古</w:t>
            </w:r>
          </w:p>
        </w:tc>
        <w:tc>
          <w:tcPr>
            <w:tcW w:w="388" w:type="pct"/>
            <w:vAlign w:val="center"/>
          </w:tcPr>
          <w:p w14:paraId="32D3277D">
            <w:pPr>
              <w:pStyle w:val="12"/>
              <w:jc w:val="center"/>
            </w:pPr>
            <w:r>
              <w:rPr>
                <w:rFonts w:hint="eastAsia"/>
              </w:rPr>
              <w:t>男</w:t>
            </w:r>
          </w:p>
        </w:tc>
        <w:tc>
          <w:tcPr>
            <w:tcW w:w="582" w:type="pct"/>
            <w:vAlign w:val="center"/>
          </w:tcPr>
          <w:p w14:paraId="0089B9DD">
            <w:pPr>
              <w:pStyle w:val="12"/>
              <w:jc w:val="center"/>
            </w:pPr>
            <w:r>
              <w:rPr>
                <w:rFonts w:hint="eastAsia"/>
              </w:rPr>
              <w:t>1909年</w:t>
            </w:r>
          </w:p>
        </w:tc>
        <w:tc>
          <w:tcPr>
            <w:tcW w:w="582" w:type="pct"/>
            <w:vAlign w:val="center"/>
          </w:tcPr>
          <w:p w14:paraId="3BCB10DA">
            <w:pPr>
              <w:pStyle w:val="12"/>
              <w:jc w:val="center"/>
            </w:pPr>
            <w:r>
              <w:rPr>
                <w:rFonts w:hint="eastAsia"/>
              </w:rPr>
              <w:t>乌迳镇</w:t>
            </w:r>
          </w:p>
        </w:tc>
        <w:tc>
          <w:tcPr>
            <w:tcW w:w="582" w:type="pct"/>
            <w:vAlign w:val="center"/>
          </w:tcPr>
          <w:p w14:paraId="53A2C37C">
            <w:pPr>
              <w:pStyle w:val="12"/>
              <w:jc w:val="center"/>
            </w:pPr>
            <w:r>
              <w:rPr>
                <w:rFonts w:hint="eastAsia"/>
              </w:rPr>
              <w:t>1928年</w:t>
            </w:r>
          </w:p>
        </w:tc>
        <w:tc>
          <w:tcPr>
            <w:tcW w:w="1066" w:type="pct"/>
            <w:vAlign w:val="center"/>
          </w:tcPr>
          <w:p w14:paraId="180DEFE1">
            <w:pPr>
              <w:pStyle w:val="12"/>
              <w:jc w:val="left"/>
            </w:pPr>
            <w:r>
              <w:rPr>
                <w:rFonts w:hint="eastAsia"/>
              </w:rPr>
              <w:t>红军战士</w:t>
            </w:r>
          </w:p>
        </w:tc>
        <w:tc>
          <w:tcPr>
            <w:tcW w:w="1160" w:type="pct"/>
            <w:vAlign w:val="center"/>
          </w:tcPr>
          <w:p w14:paraId="3C1F3E56">
            <w:pPr>
              <w:pStyle w:val="12"/>
              <w:jc w:val="left"/>
            </w:pPr>
            <w:r>
              <w:rPr>
                <w:rFonts w:hint="eastAsia"/>
              </w:rPr>
              <w:t>1931年冬在湖南湘潭县战斗中牺牲</w:t>
            </w:r>
          </w:p>
        </w:tc>
      </w:tr>
      <w:tr w14:paraId="384F14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C35F6AA">
            <w:pPr>
              <w:pStyle w:val="12"/>
              <w:jc w:val="center"/>
            </w:pPr>
            <w:r>
              <w:rPr>
                <w:rFonts w:hint="eastAsia"/>
              </w:rPr>
              <w:t>彭显模</w:t>
            </w:r>
          </w:p>
        </w:tc>
        <w:tc>
          <w:tcPr>
            <w:tcW w:w="388" w:type="pct"/>
            <w:vAlign w:val="center"/>
          </w:tcPr>
          <w:p w14:paraId="75CDD9DA">
            <w:pPr>
              <w:pStyle w:val="12"/>
              <w:jc w:val="center"/>
            </w:pPr>
            <w:r>
              <w:rPr>
                <w:rFonts w:hint="eastAsia"/>
              </w:rPr>
              <w:t>男</w:t>
            </w:r>
          </w:p>
        </w:tc>
        <w:tc>
          <w:tcPr>
            <w:tcW w:w="582" w:type="pct"/>
            <w:vAlign w:val="center"/>
          </w:tcPr>
          <w:p w14:paraId="33C6F441">
            <w:pPr>
              <w:pStyle w:val="12"/>
              <w:jc w:val="center"/>
            </w:pPr>
            <w:r>
              <w:rPr>
                <w:rFonts w:hint="eastAsia"/>
              </w:rPr>
              <w:t>1903年</w:t>
            </w:r>
          </w:p>
        </w:tc>
        <w:tc>
          <w:tcPr>
            <w:tcW w:w="582" w:type="pct"/>
            <w:vAlign w:val="center"/>
          </w:tcPr>
          <w:p w14:paraId="7CF46FD3">
            <w:pPr>
              <w:pStyle w:val="12"/>
              <w:jc w:val="center"/>
            </w:pPr>
            <w:r>
              <w:rPr>
                <w:rFonts w:hint="eastAsia"/>
              </w:rPr>
              <w:t>油山镇</w:t>
            </w:r>
          </w:p>
        </w:tc>
        <w:tc>
          <w:tcPr>
            <w:tcW w:w="582" w:type="pct"/>
            <w:vAlign w:val="center"/>
          </w:tcPr>
          <w:p w14:paraId="591F8FC3">
            <w:pPr>
              <w:pStyle w:val="12"/>
              <w:jc w:val="center"/>
            </w:pPr>
            <w:r>
              <w:rPr>
                <w:rFonts w:hint="eastAsia"/>
              </w:rPr>
              <w:t>1925年</w:t>
            </w:r>
          </w:p>
        </w:tc>
        <w:tc>
          <w:tcPr>
            <w:tcW w:w="1066" w:type="pct"/>
            <w:vAlign w:val="center"/>
          </w:tcPr>
          <w:p w14:paraId="20D5BD1A">
            <w:pPr>
              <w:pStyle w:val="12"/>
              <w:jc w:val="left"/>
              <w:rPr>
                <w:rFonts w:ascii="宋体" w:hAnsi="宋体" w:cs="宋体"/>
              </w:rPr>
            </w:pPr>
            <w:r>
              <w:rPr>
                <w:rFonts w:hint="eastAsia"/>
              </w:rPr>
              <w:t>中共南雄</w:t>
            </w:r>
          </w:p>
          <w:p w14:paraId="0939F01D">
            <w:pPr>
              <w:pStyle w:val="12"/>
              <w:jc w:val="left"/>
            </w:pPr>
            <w:r>
              <w:rPr>
                <w:rFonts w:hint="eastAsia" w:ascii="宋体" w:hAnsi="宋体" w:cs="宋体"/>
              </w:rPr>
              <w:t>县委书记</w:t>
            </w:r>
          </w:p>
        </w:tc>
        <w:tc>
          <w:tcPr>
            <w:tcW w:w="1160" w:type="pct"/>
            <w:vAlign w:val="center"/>
          </w:tcPr>
          <w:p w14:paraId="7F38BC49">
            <w:pPr>
              <w:pStyle w:val="12"/>
              <w:jc w:val="left"/>
            </w:pPr>
            <w:r>
              <w:rPr>
                <w:rFonts w:hint="eastAsia"/>
              </w:rPr>
              <w:t>1932年2月13日遇害于江西上犹县，有传</w:t>
            </w:r>
          </w:p>
        </w:tc>
      </w:tr>
      <w:tr w14:paraId="29A446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223D9EC">
            <w:pPr>
              <w:pStyle w:val="12"/>
              <w:jc w:val="center"/>
            </w:pPr>
            <w:r>
              <w:rPr>
                <w:rFonts w:hint="eastAsia"/>
              </w:rPr>
              <w:t>谢泰谦</w:t>
            </w:r>
          </w:p>
        </w:tc>
        <w:tc>
          <w:tcPr>
            <w:tcW w:w="388" w:type="pct"/>
            <w:vAlign w:val="center"/>
          </w:tcPr>
          <w:p w14:paraId="6127B8C3">
            <w:pPr>
              <w:pStyle w:val="12"/>
              <w:jc w:val="center"/>
            </w:pPr>
            <w:r>
              <w:rPr>
                <w:rFonts w:hint="eastAsia"/>
              </w:rPr>
              <w:t>男</w:t>
            </w:r>
          </w:p>
        </w:tc>
        <w:tc>
          <w:tcPr>
            <w:tcW w:w="582" w:type="pct"/>
            <w:vAlign w:val="center"/>
          </w:tcPr>
          <w:p w14:paraId="07184E5D">
            <w:pPr>
              <w:pStyle w:val="12"/>
              <w:jc w:val="center"/>
            </w:pPr>
            <w:r>
              <w:rPr>
                <w:rFonts w:hint="eastAsia"/>
              </w:rPr>
              <w:t>1908年</w:t>
            </w:r>
          </w:p>
        </w:tc>
        <w:tc>
          <w:tcPr>
            <w:tcW w:w="582" w:type="pct"/>
            <w:vAlign w:val="center"/>
          </w:tcPr>
          <w:p w14:paraId="334A5608">
            <w:pPr>
              <w:pStyle w:val="12"/>
              <w:jc w:val="center"/>
            </w:pPr>
            <w:r>
              <w:rPr>
                <w:rFonts w:hint="eastAsia"/>
              </w:rPr>
              <w:t>油山镇</w:t>
            </w:r>
          </w:p>
        </w:tc>
        <w:tc>
          <w:tcPr>
            <w:tcW w:w="582" w:type="pct"/>
            <w:vAlign w:val="center"/>
          </w:tcPr>
          <w:p w14:paraId="6C9BEB2F">
            <w:pPr>
              <w:pStyle w:val="12"/>
              <w:jc w:val="center"/>
            </w:pPr>
            <w:r>
              <w:rPr>
                <w:rFonts w:hint="eastAsia"/>
              </w:rPr>
              <w:t>1925年</w:t>
            </w:r>
          </w:p>
        </w:tc>
        <w:tc>
          <w:tcPr>
            <w:tcW w:w="1066" w:type="pct"/>
            <w:vAlign w:val="center"/>
          </w:tcPr>
          <w:p w14:paraId="4C509C6F">
            <w:pPr>
              <w:pStyle w:val="12"/>
              <w:jc w:val="left"/>
              <w:rPr>
                <w:rFonts w:ascii="宋体" w:hAnsi="宋体" w:cs="宋体"/>
              </w:rPr>
            </w:pPr>
            <w:r>
              <w:rPr>
                <w:rFonts w:hint="eastAsia"/>
              </w:rPr>
              <w:t>北江红军独立</w:t>
            </w:r>
          </w:p>
          <w:p w14:paraId="43BF6A0B">
            <w:pPr>
              <w:pStyle w:val="12"/>
              <w:jc w:val="left"/>
            </w:pPr>
            <w:r>
              <w:rPr>
                <w:rFonts w:hint="eastAsia" w:ascii="宋体" w:hAnsi="宋体" w:cs="宋体"/>
              </w:rPr>
              <w:t>第三团团长</w:t>
            </w:r>
          </w:p>
        </w:tc>
        <w:tc>
          <w:tcPr>
            <w:tcW w:w="1160" w:type="pct"/>
            <w:vAlign w:val="center"/>
          </w:tcPr>
          <w:p w14:paraId="5E6527FF">
            <w:pPr>
              <w:pStyle w:val="12"/>
              <w:jc w:val="left"/>
            </w:pPr>
            <w:r>
              <w:rPr>
                <w:rFonts w:hint="eastAsia"/>
              </w:rPr>
              <w:t>1932年11月9日牺牲于南雄乌迳鱼塘，有传</w:t>
            </w:r>
          </w:p>
        </w:tc>
      </w:tr>
      <w:tr w14:paraId="64E4E5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CB1395A">
            <w:pPr>
              <w:pStyle w:val="12"/>
              <w:jc w:val="center"/>
            </w:pPr>
            <w:r>
              <w:rPr>
                <w:rFonts w:hint="eastAsia"/>
              </w:rPr>
              <w:t>赖  赓</w:t>
            </w:r>
          </w:p>
        </w:tc>
        <w:tc>
          <w:tcPr>
            <w:tcW w:w="388" w:type="pct"/>
            <w:vAlign w:val="center"/>
          </w:tcPr>
          <w:p w14:paraId="3BF7728C">
            <w:pPr>
              <w:pStyle w:val="12"/>
              <w:jc w:val="center"/>
            </w:pPr>
            <w:r>
              <w:rPr>
                <w:rFonts w:hint="eastAsia"/>
              </w:rPr>
              <w:t>男</w:t>
            </w:r>
          </w:p>
        </w:tc>
        <w:tc>
          <w:tcPr>
            <w:tcW w:w="582" w:type="pct"/>
            <w:vAlign w:val="center"/>
          </w:tcPr>
          <w:p w14:paraId="644C0241">
            <w:pPr>
              <w:pStyle w:val="12"/>
              <w:jc w:val="center"/>
            </w:pPr>
            <w:r>
              <w:rPr>
                <w:rFonts w:hint="eastAsia"/>
              </w:rPr>
              <w:t>1907年</w:t>
            </w:r>
          </w:p>
        </w:tc>
        <w:tc>
          <w:tcPr>
            <w:tcW w:w="582" w:type="pct"/>
            <w:vAlign w:val="center"/>
          </w:tcPr>
          <w:p w14:paraId="16E05F2E">
            <w:pPr>
              <w:pStyle w:val="12"/>
              <w:jc w:val="center"/>
            </w:pPr>
            <w:r>
              <w:rPr>
                <w:rFonts w:hint="eastAsia"/>
              </w:rPr>
              <w:t>珠玑镇</w:t>
            </w:r>
          </w:p>
        </w:tc>
        <w:tc>
          <w:tcPr>
            <w:tcW w:w="582" w:type="pct"/>
            <w:vAlign w:val="center"/>
          </w:tcPr>
          <w:p w14:paraId="39B8DFAD">
            <w:pPr>
              <w:pStyle w:val="12"/>
              <w:jc w:val="center"/>
            </w:pPr>
            <w:r>
              <w:rPr>
                <w:rFonts w:hint="eastAsia"/>
              </w:rPr>
              <w:t>1927年</w:t>
            </w:r>
          </w:p>
        </w:tc>
        <w:tc>
          <w:tcPr>
            <w:tcW w:w="1066" w:type="pct"/>
            <w:vAlign w:val="center"/>
          </w:tcPr>
          <w:p w14:paraId="45D1EF40">
            <w:pPr>
              <w:pStyle w:val="12"/>
              <w:jc w:val="left"/>
              <w:rPr>
                <w:rFonts w:ascii="宋体" w:hAnsi="宋体" w:cs="宋体"/>
              </w:rPr>
            </w:pPr>
            <w:r>
              <w:rPr>
                <w:rFonts w:hint="eastAsia"/>
              </w:rPr>
              <w:t>南雄县第三区</w:t>
            </w:r>
          </w:p>
          <w:p w14:paraId="10D5C0AF">
            <w:pPr>
              <w:pStyle w:val="12"/>
              <w:jc w:val="left"/>
            </w:pPr>
            <w:r>
              <w:rPr>
                <w:rFonts w:hint="eastAsia" w:ascii="宋体" w:hAnsi="宋体" w:cs="宋体"/>
              </w:rPr>
              <w:t>苏维埃政府主席</w:t>
            </w:r>
          </w:p>
        </w:tc>
        <w:tc>
          <w:tcPr>
            <w:tcW w:w="1160" w:type="pct"/>
            <w:vAlign w:val="center"/>
          </w:tcPr>
          <w:p w14:paraId="3A19653B">
            <w:pPr>
              <w:pStyle w:val="12"/>
              <w:jc w:val="left"/>
            </w:pPr>
            <w:r>
              <w:rPr>
                <w:rFonts w:hint="eastAsia"/>
              </w:rPr>
              <w:t>1932年在江西兴国县因叛徒出卖被捕就义</w:t>
            </w:r>
          </w:p>
        </w:tc>
      </w:tr>
      <w:tr w14:paraId="180A9B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D4E68CD">
            <w:pPr>
              <w:pStyle w:val="12"/>
              <w:jc w:val="center"/>
            </w:pPr>
            <w:r>
              <w:rPr>
                <w:rFonts w:hint="eastAsia"/>
              </w:rPr>
              <w:t>徐道筹</w:t>
            </w:r>
          </w:p>
        </w:tc>
        <w:tc>
          <w:tcPr>
            <w:tcW w:w="388" w:type="pct"/>
            <w:vAlign w:val="center"/>
          </w:tcPr>
          <w:p w14:paraId="7DAB0160">
            <w:pPr>
              <w:pStyle w:val="12"/>
              <w:jc w:val="center"/>
            </w:pPr>
            <w:r>
              <w:rPr>
                <w:rFonts w:hint="eastAsia"/>
              </w:rPr>
              <w:t>男</w:t>
            </w:r>
          </w:p>
        </w:tc>
        <w:tc>
          <w:tcPr>
            <w:tcW w:w="582" w:type="pct"/>
            <w:vAlign w:val="center"/>
          </w:tcPr>
          <w:p w14:paraId="6550A3A2">
            <w:pPr>
              <w:pStyle w:val="12"/>
              <w:jc w:val="center"/>
            </w:pPr>
            <w:r>
              <w:rPr>
                <w:rFonts w:hint="eastAsia"/>
              </w:rPr>
              <w:t>1908年</w:t>
            </w:r>
          </w:p>
        </w:tc>
        <w:tc>
          <w:tcPr>
            <w:tcW w:w="582" w:type="pct"/>
            <w:vAlign w:val="center"/>
          </w:tcPr>
          <w:p w14:paraId="438B1443">
            <w:pPr>
              <w:pStyle w:val="12"/>
              <w:jc w:val="center"/>
            </w:pPr>
            <w:r>
              <w:rPr>
                <w:rFonts w:hint="eastAsia"/>
              </w:rPr>
              <w:t>油山镇</w:t>
            </w:r>
          </w:p>
        </w:tc>
        <w:tc>
          <w:tcPr>
            <w:tcW w:w="582" w:type="pct"/>
            <w:vAlign w:val="center"/>
          </w:tcPr>
          <w:p w14:paraId="35CB36E7">
            <w:pPr>
              <w:pStyle w:val="12"/>
              <w:jc w:val="center"/>
            </w:pPr>
            <w:r>
              <w:rPr>
                <w:rFonts w:hint="eastAsia"/>
              </w:rPr>
              <w:t>1925年</w:t>
            </w:r>
          </w:p>
        </w:tc>
        <w:tc>
          <w:tcPr>
            <w:tcW w:w="1066" w:type="pct"/>
            <w:vAlign w:val="center"/>
          </w:tcPr>
          <w:p w14:paraId="4F2C89E0">
            <w:pPr>
              <w:pStyle w:val="12"/>
              <w:jc w:val="left"/>
            </w:pPr>
            <w:r>
              <w:rPr>
                <w:rFonts w:hint="eastAsia"/>
              </w:rPr>
              <w:t>工农红军连长</w:t>
            </w:r>
          </w:p>
        </w:tc>
        <w:tc>
          <w:tcPr>
            <w:tcW w:w="1160" w:type="pct"/>
            <w:vAlign w:val="center"/>
          </w:tcPr>
          <w:p w14:paraId="1BB4C68B">
            <w:pPr>
              <w:pStyle w:val="12"/>
              <w:jc w:val="left"/>
            </w:pPr>
            <w:r>
              <w:rPr>
                <w:rFonts w:hint="eastAsia"/>
              </w:rPr>
              <w:t>1932年在江西上犹县营前就义</w:t>
            </w:r>
          </w:p>
        </w:tc>
      </w:tr>
      <w:tr w14:paraId="239080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2EB61ED">
            <w:pPr>
              <w:pStyle w:val="12"/>
              <w:jc w:val="center"/>
            </w:pPr>
            <w:r>
              <w:rPr>
                <w:rFonts w:hint="eastAsia"/>
              </w:rPr>
              <w:t>彭罗生</w:t>
            </w:r>
          </w:p>
        </w:tc>
        <w:tc>
          <w:tcPr>
            <w:tcW w:w="388" w:type="pct"/>
            <w:vAlign w:val="center"/>
          </w:tcPr>
          <w:p w14:paraId="64031498">
            <w:pPr>
              <w:pStyle w:val="12"/>
              <w:jc w:val="center"/>
            </w:pPr>
            <w:r>
              <w:rPr>
                <w:rFonts w:hint="eastAsia"/>
              </w:rPr>
              <w:t>男</w:t>
            </w:r>
          </w:p>
        </w:tc>
        <w:tc>
          <w:tcPr>
            <w:tcW w:w="582" w:type="pct"/>
            <w:vAlign w:val="center"/>
          </w:tcPr>
          <w:p w14:paraId="350A3093">
            <w:pPr>
              <w:pStyle w:val="12"/>
              <w:jc w:val="center"/>
            </w:pPr>
            <w:r>
              <w:rPr>
                <w:rFonts w:hint="eastAsia"/>
              </w:rPr>
              <w:t>1909年</w:t>
            </w:r>
          </w:p>
        </w:tc>
        <w:tc>
          <w:tcPr>
            <w:tcW w:w="582" w:type="pct"/>
            <w:vAlign w:val="center"/>
          </w:tcPr>
          <w:p w14:paraId="41651967">
            <w:pPr>
              <w:pStyle w:val="12"/>
              <w:jc w:val="center"/>
            </w:pPr>
            <w:r>
              <w:rPr>
                <w:rFonts w:hint="eastAsia"/>
              </w:rPr>
              <w:t>油山镇</w:t>
            </w:r>
          </w:p>
        </w:tc>
        <w:tc>
          <w:tcPr>
            <w:tcW w:w="582" w:type="pct"/>
            <w:vAlign w:val="center"/>
          </w:tcPr>
          <w:p w14:paraId="43650B07">
            <w:pPr>
              <w:pStyle w:val="12"/>
              <w:jc w:val="center"/>
            </w:pPr>
            <w:r>
              <w:rPr>
                <w:rFonts w:hint="eastAsia"/>
              </w:rPr>
              <w:t>1931年</w:t>
            </w:r>
          </w:p>
        </w:tc>
        <w:tc>
          <w:tcPr>
            <w:tcW w:w="1066" w:type="pct"/>
            <w:vAlign w:val="center"/>
          </w:tcPr>
          <w:p w14:paraId="18366229">
            <w:pPr>
              <w:pStyle w:val="12"/>
              <w:jc w:val="left"/>
            </w:pPr>
            <w:r>
              <w:rPr>
                <w:rFonts w:hint="eastAsia"/>
              </w:rPr>
              <w:t>工农红军排长</w:t>
            </w:r>
          </w:p>
        </w:tc>
        <w:tc>
          <w:tcPr>
            <w:tcW w:w="1160" w:type="pct"/>
            <w:vAlign w:val="center"/>
          </w:tcPr>
          <w:p w14:paraId="5780EA5D">
            <w:pPr>
              <w:pStyle w:val="12"/>
              <w:jc w:val="left"/>
            </w:pPr>
            <w:r>
              <w:rPr>
                <w:rFonts w:hint="eastAsia"/>
              </w:rPr>
              <w:t>1932年在湖南桂阳县战斗牺牲</w:t>
            </w:r>
          </w:p>
        </w:tc>
      </w:tr>
      <w:tr w14:paraId="702CC3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E6383DF">
            <w:pPr>
              <w:pStyle w:val="12"/>
              <w:jc w:val="center"/>
            </w:pPr>
            <w:r>
              <w:rPr>
                <w:rFonts w:hint="eastAsia"/>
              </w:rPr>
              <w:t>彭富古</w:t>
            </w:r>
          </w:p>
        </w:tc>
        <w:tc>
          <w:tcPr>
            <w:tcW w:w="388" w:type="pct"/>
            <w:vAlign w:val="center"/>
          </w:tcPr>
          <w:p w14:paraId="07508D5F">
            <w:pPr>
              <w:pStyle w:val="12"/>
              <w:jc w:val="center"/>
            </w:pPr>
            <w:r>
              <w:rPr>
                <w:rFonts w:hint="eastAsia"/>
              </w:rPr>
              <w:t>男</w:t>
            </w:r>
          </w:p>
        </w:tc>
        <w:tc>
          <w:tcPr>
            <w:tcW w:w="582" w:type="pct"/>
            <w:vAlign w:val="center"/>
          </w:tcPr>
          <w:p w14:paraId="32CE12C2">
            <w:pPr>
              <w:pStyle w:val="12"/>
              <w:jc w:val="center"/>
            </w:pPr>
            <w:r>
              <w:rPr>
                <w:rFonts w:hint="eastAsia"/>
              </w:rPr>
              <w:t>1907年</w:t>
            </w:r>
          </w:p>
        </w:tc>
        <w:tc>
          <w:tcPr>
            <w:tcW w:w="582" w:type="pct"/>
            <w:vAlign w:val="center"/>
          </w:tcPr>
          <w:p w14:paraId="237A2FDF">
            <w:pPr>
              <w:pStyle w:val="12"/>
              <w:jc w:val="center"/>
            </w:pPr>
            <w:r>
              <w:rPr>
                <w:rFonts w:hint="eastAsia"/>
              </w:rPr>
              <w:t>油山镇</w:t>
            </w:r>
          </w:p>
        </w:tc>
        <w:tc>
          <w:tcPr>
            <w:tcW w:w="582" w:type="pct"/>
            <w:vAlign w:val="center"/>
          </w:tcPr>
          <w:p w14:paraId="71A18C90">
            <w:pPr>
              <w:pStyle w:val="12"/>
              <w:jc w:val="center"/>
            </w:pPr>
            <w:r>
              <w:rPr>
                <w:rFonts w:hint="eastAsia"/>
              </w:rPr>
              <w:t>1928年</w:t>
            </w:r>
          </w:p>
        </w:tc>
        <w:tc>
          <w:tcPr>
            <w:tcW w:w="1066" w:type="pct"/>
            <w:vAlign w:val="center"/>
          </w:tcPr>
          <w:p w14:paraId="796D2684">
            <w:pPr>
              <w:pStyle w:val="12"/>
              <w:jc w:val="left"/>
            </w:pPr>
            <w:r>
              <w:rPr>
                <w:rFonts w:hint="eastAsia"/>
              </w:rPr>
              <w:t>工农红军战士</w:t>
            </w:r>
          </w:p>
        </w:tc>
        <w:tc>
          <w:tcPr>
            <w:tcW w:w="1160" w:type="pct"/>
            <w:vAlign w:val="center"/>
          </w:tcPr>
          <w:p w14:paraId="75BCFC75">
            <w:pPr>
              <w:pStyle w:val="12"/>
              <w:jc w:val="left"/>
            </w:pPr>
            <w:r>
              <w:rPr>
                <w:rFonts w:hint="eastAsia"/>
              </w:rPr>
              <w:t>1932年在江西上犹县营前战斗牺牲</w:t>
            </w:r>
          </w:p>
        </w:tc>
      </w:tr>
      <w:tr w14:paraId="21CA0C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2B4EDE9">
            <w:pPr>
              <w:pStyle w:val="12"/>
              <w:jc w:val="center"/>
            </w:pPr>
            <w:r>
              <w:rPr>
                <w:rFonts w:hint="eastAsia"/>
              </w:rPr>
              <w:t>彭德胜</w:t>
            </w:r>
          </w:p>
        </w:tc>
        <w:tc>
          <w:tcPr>
            <w:tcW w:w="388" w:type="pct"/>
            <w:vAlign w:val="center"/>
          </w:tcPr>
          <w:p w14:paraId="19D969EC">
            <w:pPr>
              <w:pStyle w:val="12"/>
              <w:jc w:val="center"/>
            </w:pPr>
            <w:r>
              <w:rPr>
                <w:rFonts w:hint="eastAsia"/>
              </w:rPr>
              <w:t>男</w:t>
            </w:r>
          </w:p>
        </w:tc>
        <w:tc>
          <w:tcPr>
            <w:tcW w:w="582" w:type="pct"/>
            <w:vAlign w:val="center"/>
          </w:tcPr>
          <w:p w14:paraId="6958DC4F">
            <w:pPr>
              <w:pStyle w:val="12"/>
              <w:jc w:val="center"/>
            </w:pPr>
            <w:r>
              <w:rPr>
                <w:rFonts w:hint="eastAsia"/>
              </w:rPr>
              <w:t>1909年</w:t>
            </w:r>
          </w:p>
        </w:tc>
        <w:tc>
          <w:tcPr>
            <w:tcW w:w="582" w:type="pct"/>
            <w:vAlign w:val="center"/>
          </w:tcPr>
          <w:p w14:paraId="29B00D81">
            <w:pPr>
              <w:pStyle w:val="12"/>
              <w:jc w:val="center"/>
            </w:pPr>
            <w:r>
              <w:rPr>
                <w:rFonts w:hint="eastAsia"/>
              </w:rPr>
              <w:t>油山镇</w:t>
            </w:r>
          </w:p>
        </w:tc>
        <w:tc>
          <w:tcPr>
            <w:tcW w:w="582" w:type="pct"/>
            <w:vAlign w:val="center"/>
          </w:tcPr>
          <w:p w14:paraId="4390C178">
            <w:pPr>
              <w:pStyle w:val="12"/>
              <w:jc w:val="center"/>
            </w:pPr>
            <w:r>
              <w:rPr>
                <w:rFonts w:hint="eastAsia"/>
              </w:rPr>
              <w:t>1929年</w:t>
            </w:r>
          </w:p>
        </w:tc>
        <w:tc>
          <w:tcPr>
            <w:tcW w:w="1066" w:type="pct"/>
            <w:vAlign w:val="center"/>
          </w:tcPr>
          <w:p w14:paraId="7745108A">
            <w:pPr>
              <w:pStyle w:val="12"/>
              <w:jc w:val="left"/>
            </w:pPr>
            <w:r>
              <w:rPr>
                <w:rFonts w:hint="eastAsia"/>
              </w:rPr>
              <w:t>油山游击队队员</w:t>
            </w:r>
          </w:p>
        </w:tc>
        <w:tc>
          <w:tcPr>
            <w:tcW w:w="1160" w:type="pct"/>
            <w:vAlign w:val="center"/>
          </w:tcPr>
          <w:p w14:paraId="18637A8A">
            <w:pPr>
              <w:pStyle w:val="12"/>
              <w:jc w:val="left"/>
            </w:pPr>
            <w:r>
              <w:rPr>
                <w:rFonts w:hint="eastAsia"/>
              </w:rPr>
              <w:t>1932年在南雄、信丰县交界地区作战被捕就义</w:t>
            </w:r>
          </w:p>
        </w:tc>
      </w:tr>
      <w:tr w14:paraId="7F7A33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C2817BA">
            <w:pPr>
              <w:pStyle w:val="12"/>
              <w:jc w:val="center"/>
            </w:pPr>
            <w:r>
              <w:rPr>
                <w:rFonts w:hint="eastAsia"/>
              </w:rPr>
              <w:t>黄奀必</w:t>
            </w:r>
          </w:p>
        </w:tc>
        <w:tc>
          <w:tcPr>
            <w:tcW w:w="388" w:type="pct"/>
            <w:vAlign w:val="center"/>
          </w:tcPr>
          <w:p w14:paraId="3046EE8C">
            <w:pPr>
              <w:pStyle w:val="12"/>
              <w:jc w:val="center"/>
            </w:pPr>
            <w:r>
              <w:rPr>
                <w:rFonts w:hint="eastAsia"/>
              </w:rPr>
              <w:t>男</w:t>
            </w:r>
          </w:p>
        </w:tc>
        <w:tc>
          <w:tcPr>
            <w:tcW w:w="582" w:type="pct"/>
            <w:vAlign w:val="center"/>
          </w:tcPr>
          <w:p w14:paraId="7EAD0510">
            <w:pPr>
              <w:pStyle w:val="12"/>
              <w:jc w:val="center"/>
            </w:pPr>
            <w:r>
              <w:rPr>
                <w:rFonts w:hint="eastAsia"/>
              </w:rPr>
              <w:t>1910年</w:t>
            </w:r>
          </w:p>
        </w:tc>
        <w:tc>
          <w:tcPr>
            <w:tcW w:w="582" w:type="pct"/>
            <w:vAlign w:val="center"/>
          </w:tcPr>
          <w:p w14:paraId="15DE296D">
            <w:pPr>
              <w:pStyle w:val="12"/>
              <w:jc w:val="center"/>
            </w:pPr>
            <w:r>
              <w:rPr>
                <w:rFonts w:hint="eastAsia"/>
              </w:rPr>
              <w:t>油山镇</w:t>
            </w:r>
          </w:p>
        </w:tc>
        <w:tc>
          <w:tcPr>
            <w:tcW w:w="582" w:type="pct"/>
            <w:vAlign w:val="center"/>
          </w:tcPr>
          <w:p w14:paraId="0071C414">
            <w:pPr>
              <w:pStyle w:val="12"/>
              <w:jc w:val="center"/>
            </w:pPr>
            <w:r>
              <w:rPr>
                <w:rFonts w:hint="eastAsia"/>
              </w:rPr>
              <w:t>1930年</w:t>
            </w:r>
          </w:p>
        </w:tc>
        <w:tc>
          <w:tcPr>
            <w:tcW w:w="1066" w:type="pct"/>
            <w:vAlign w:val="center"/>
          </w:tcPr>
          <w:p w14:paraId="16027746">
            <w:pPr>
              <w:pStyle w:val="12"/>
              <w:jc w:val="left"/>
              <w:rPr>
                <w:rFonts w:ascii="宋体" w:hAnsi="宋体" w:cs="宋体"/>
              </w:rPr>
            </w:pPr>
            <w:r>
              <w:rPr>
                <w:rFonts w:hint="eastAsia"/>
              </w:rPr>
              <w:t>油山游击队</w:t>
            </w:r>
          </w:p>
          <w:p w14:paraId="04CA02BB">
            <w:pPr>
              <w:pStyle w:val="12"/>
              <w:jc w:val="left"/>
            </w:pPr>
            <w:r>
              <w:rPr>
                <w:rFonts w:hint="eastAsia" w:ascii="宋体" w:hAnsi="宋体" w:cs="宋体"/>
              </w:rPr>
              <w:t>交  通  员</w:t>
            </w:r>
          </w:p>
        </w:tc>
        <w:tc>
          <w:tcPr>
            <w:tcW w:w="1160" w:type="pct"/>
            <w:vAlign w:val="center"/>
          </w:tcPr>
          <w:p w14:paraId="7E72EA5C">
            <w:pPr>
              <w:pStyle w:val="12"/>
              <w:jc w:val="left"/>
            </w:pPr>
            <w:r>
              <w:rPr>
                <w:rFonts w:hint="eastAsia"/>
              </w:rPr>
              <w:t>1932年在大塘寨江村被捕，在乌迳就义</w:t>
            </w:r>
          </w:p>
        </w:tc>
      </w:tr>
      <w:tr w14:paraId="3D0863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69DF1A0">
            <w:pPr>
              <w:pStyle w:val="12"/>
              <w:jc w:val="center"/>
            </w:pPr>
            <w:r>
              <w:rPr>
                <w:rFonts w:hint="eastAsia"/>
              </w:rPr>
              <w:t>彭遵愈</w:t>
            </w:r>
          </w:p>
        </w:tc>
        <w:tc>
          <w:tcPr>
            <w:tcW w:w="388" w:type="pct"/>
            <w:vAlign w:val="center"/>
          </w:tcPr>
          <w:p w14:paraId="01041F61">
            <w:pPr>
              <w:pStyle w:val="12"/>
              <w:jc w:val="center"/>
            </w:pPr>
            <w:r>
              <w:rPr>
                <w:rFonts w:hint="eastAsia"/>
              </w:rPr>
              <w:t>男</w:t>
            </w:r>
          </w:p>
        </w:tc>
        <w:tc>
          <w:tcPr>
            <w:tcW w:w="582" w:type="pct"/>
            <w:vAlign w:val="center"/>
          </w:tcPr>
          <w:p w14:paraId="4B50C2F7">
            <w:pPr>
              <w:pStyle w:val="12"/>
              <w:jc w:val="center"/>
            </w:pPr>
            <w:r>
              <w:rPr>
                <w:rFonts w:hint="eastAsia"/>
              </w:rPr>
              <w:t>1889年</w:t>
            </w:r>
          </w:p>
        </w:tc>
        <w:tc>
          <w:tcPr>
            <w:tcW w:w="582" w:type="pct"/>
            <w:vAlign w:val="center"/>
          </w:tcPr>
          <w:p w14:paraId="2BAD5B33">
            <w:pPr>
              <w:pStyle w:val="12"/>
              <w:jc w:val="center"/>
            </w:pPr>
            <w:r>
              <w:rPr>
                <w:rFonts w:hint="eastAsia"/>
              </w:rPr>
              <w:t>油山镇</w:t>
            </w:r>
          </w:p>
        </w:tc>
        <w:tc>
          <w:tcPr>
            <w:tcW w:w="582" w:type="pct"/>
            <w:vAlign w:val="center"/>
          </w:tcPr>
          <w:p w14:paraId="23FF0883">
            <w:pPr>
              <w:pStyle w:val="12"/>
              <w:jc w:val="center"/>
            </w:pPr>
            <w:r>
              <w:rPr>
                <w:rFonts w:hint="eastAsia"/>
              </w:rPr>
              <w:t>1928年</w:t>
            </w:r>
          </w:p>
        </w:tc>
        <w:tc>
          <w:tcPr>
            <w:tcW w:w="1066" w:type="pct"/>
            <w:vAlign w:val="center"/>
          </w:tcPr>
          <w:p w14:paraId="4B3DAA15">
            <w:pPr>
              <w:pStyle w:val="12"/>
              <w:jc w:val="left"/>
              <w:rPr>
                <w:rFonts w:ascii="宋体" w:hAnsi="宋体" w:cs="宋体"/>
              </w:rPr>
            </w:pPr>
            <w:r>
              <w:rPr>
                <w:rFonts w:hint="eastAsia"/>
              </w:rPr>
              <w:t>油山游击队</w:t>
            </w:r>
          </w:p>
          <w:p w14:paraId="587BE964">
            <w:pPr>
              <w:pStyle w:val="12"/>
              <w:jc w:val="left"/>
            </w:pPr>
            <w:r>
              <w:rPr>
                <w:rFonts w:hint="eastAsia" w:ascii="宋体" w:hAnsi="宋体" w:cs="宋体"/>
              </w:rPr>
              <w:t>通  讯  员</w:t>
            </w:r>
          </w:p>
        </w:tc>
        <w:tc>
          <w:tcPr>
            <w:tcW w:w="1160" w:type="pct"/>
            <w:vAlign w:val="center"/>
          </w:tcPr>
          <w:p w14:paraId="4CCB5354">
            <w:pPr>
              <w:pStyle w:val="12"/>
              <w:jc w:val="left"/>
            </w:pPr>
            <w:r>
              <w:rPr>
                <w:rFonts w:hint="eastAsia"/>
              </w:rPr>
              <w:t>1932年被捕，在乌迳就义</w:t>
            </w:r>
          </w:p>
        </w:tc>
      </w:tr>
      <w:tr w14:paraId="42853E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23E889F">
            <w:pPr>
              <w:pStyle w:val="12"/>
              <w:jc w:val="center"/>
            </w:pPr>
            <w:r>
              <w:rPr>
                <w:rFonts w:hint="eastAsia"/>
              </w:rPr>
              <w:t>黄承永</w:t>
            </w:r>
          </w:p>
        </w:tc>
        <w:tc>
          <w:tcPr>
            <w:tcW w:w="388" w:type="pct"/>
            <w:vAlign w:val="center"/>
          </w:tcPr>
          <w:p w14:paraId="4D994373">
            <w:pPr>
              <w:pStyle w:val="12"/>
              <w:jc w:val="center"/>
            </w:pPr>
            <w:r>
              <w:rPr>
                <w:rFonts w:hint="eastAsia"/>
              </w:rPr>
              <w:t>男</w:t>
            </w:r>
          </w:p>
        </w:tc>
        <w:tc>
          <w:tcPr>
            <w:tcW w:w="582" w:type="pct"/>
            <w:vAlign w:val="center"/>
          </w:tcPr>
          <w:p w14:paraId="725CEEB8">
            <w:pPr>
              <w:pStyle w:val="12"/>
              <w:jc w:val="center"/>
            </w:pPr>
            <w:r>
              <w:rPr>
                <w:rFonts w:hint="eastAsia"/>
              </w:rPr>
              <w:t>1907年</w:t>
            </w:r>
          </w:p>
        </w:tc>
        <w:tc>
          <w:tcPr>
            <w:tcW w:w="582" w:type="pct"/>
            <w:vAlign w:val="center"/>
          </w:tcPr>
          <w:p w14:paraId="390E0A53">
            <w:pPr>
              <w:pStyle w:val="12"/>
              <w:jc w:val="center"/>
            </w:pPr>
            <w:r>
              <w:rPr>
                <w:rFonts w:hint="eastAsia"/>
              </w:rPr>
              <w:t>油山镇</w:t>
            </w:r>
          </w:p>
        </w:tc>
        <w:tc>
          <w:tcPr>
            <w:tcW w:w="582" w:type="pct"/>
            <w:vAlign w:val="center"/>
          </w:tcPr>
          <w:p w14:paraId="64B12025">
            <w:pPr>
              <w:pStyle w:val="12"/>
              <w:jc w:val="center"/>
            </w:pPr>
            <w:r>
              <w:rPr>
                <w:rFonts w:hint="eastAsia"/>
              </w:rPr>
              <w:t>1930年</w:t>
            </w:r>
          </w:p>
        </w:tc>
        <w:tc>
          <w:tcPr>
            <w:tcW w:w="1066" w:type="pct"/>
            <w:vAlign w:val="center"/>
          </w:tcPr>
          <w:p w14:paraId="68347777">
            <w:pPr>
              <w:pStyle w:val="12"/>
              <w:jc w:val="left"/>
              <w:rPr>
                <w:rFonts w:ascii="宋体" w:hAnsi="宋体" w:cs="宋体"/>
              </w:rPr>
            </w:pPr>
            <w:r>
              <w:rPr>
                <w:rFonts w:hint="eastAsia"/>
              </w:rPr>
              <w:t>油山游击队</w:t>
            </w:r>
          </w:p>
          <w:p w14:paraId="2434B348">
            <w:pPr>
              <w:pStyle w:val="12"/>
              <w:jc w:val="left"/>
            </w:pPr>
            <w:r>
              <w:rPr>
                <w:rFonts w:hint="eastAsia" w:ascii="宋体" w:hAnsi="宋体" w:cs="宋体"/>
              </w:rPr>
              <w:t>交  通  员</w:t>
            </w:r>
          </w:p>
        </w:tc>
        <w:tc>
          <w:tcPr>
            <w:tcW w:w="1160" w:type="pct"/>
            <w:vAlign w:val="center"/>
          </w:tcPr>
          <w:p w14:paraId="70A4E8ED">
            <w:pPr>
              <w:pStyle w:val="12"/>
              <w:jc w:val="left"/>
            </w:pPr>
            <w:r>
              <w:rPr>
                <w:rFonts w:hint="eastAsia"/>
              </w:rPr>
              <w:t>1932年在大塘寨江村被捕，在乌迳就义</w:t>
            </w:r>
          </w:p>
        </w:tc>
      </w:tr>
      <w:tr w14:paraId="02F494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9C07AD7">
            <w:pPr>
              <w:pStyle w:val="12"/>
              <w:jc w:val="center"/>
            </w:pPr>
            <w:r>
              <w:rPr>
                <w:rFonts w:hint="eastAsia"/>
              </w:rPr>
              <w:t>叶胜标</w:t>
            </w:r>
          </w:p>
        </w:tc>
        <w:tc>
          <w:tcPr>
            <w:tcW w:w="388" w:type="pct"/>
            <w:vAlign w:val="center"/>
          </w:tcPr>
          <w:p w14:paraId="6E3A9832">
            <w:pPr>
              <w:pStyle w:val="12"/>
              <w:jc w:val="center"/>
            </w:pPr>
            <w:r>
              <w:rPr>
                <w:rFonts w:hint="eastAsia"/>
              </w:rPr>
              <w:t>男</w:t>
            </w:r>
          </w:p>
        </w:tc>
        <w:tc>
          <w:tcPr>
            <w:tcW w:w="582" w:type="pct"/>
            <w:vAlign w:val="center"/>
          </w:tcPr>
          <w:p w14:paraId="20131410">
            <w:pPr>
              <w:pStyle w:val="12"/>
              <w:jc w:val="center"/>
            </w:pPr>
            <w:r>
              <w:rPr>
                <w:rFonts w:hint="eastAsia"/>
              </w:rPr>
              <w:t>1898年</w:t>
            </w:r>
          </w:p>
        </w:tc>
        <w:tc>
          <w:tcPr>
            <w:tcW w:w="582" w:type="pct"/>
            <w:vAlign w:val="center"/>
          </w:tcPr>
          <w:p w14:paraId="31DE9DAB">
            <w:pPr>
              <w:pStyle w:val="12"/>
              <w:jc w:val="center"/>
            </w:pPr>
            <w:r>
              <w:rPr>
                <w:rFonts w:hint="eastAsia"/>
              </w:rPr>
              <w:t>油山镇</w:t>
            </w:r>
          </w:p>
        </w:tc>
        <w:tc>
          <w:tcPr>
            <w:tcW w:w="582" w:type="pct"/>
            <w:vAlign w:val="center"/>
          </w:tcPr>
          <w:p w14:paraId="3F17687A">
            <w:pPr>
              <w:pStyle w:val="12"/>
              <w:jc w:val="center"/>
            </w:pPr>
            <w:r>
              <w:rPr>
                <w:rFonts w:hint="eastAsia"/>
              </w:rPr>
              <w:t>1928年</w:t>
            </w:r>
          </w:p>
        </w:tc>
        <w:tc>
          <w:tcPr>
            <w:tcW w:w="1066" w:type="pct"/>
            <w:vAlign w:val="center"/>
          </w:tcPr>
          <w:p w14:paraId="601AB3ED">
            <w:pPr>
              <w:pStyle w:val="12"/>
              <w:jc w:val="left"/>
            </w:pPr>
            <w:r>
              <w:rPr>
                <w:rFonts w:hint="eastAsia"/>
              </w:rPr>
              <w:t>油山游击队班长</w:t>
            </w:r>
          </w:p>
        </w:tc>
        <w:tc>
          <w:tcPr>
            <w:tcW w:w="1160" w:type="pct"/>
            <w:vAlign w:val="center"/>
          </w:tcPr>
          <w:p w14:paraId="11D68642">
            <w:pPr>
              <w:pStyle w:val="12"/>
              <w:jc w:val="left"/>
            </w:pPr>
            <w:r>
              <w:rPr>
                <w:rFonts w:hint="eastAsia"/>
              </w:rPr>
              <w:t>1932年在坪林被捕，在大塘就义</w:t>
            </w:r>
          </w:p>
        </w:tc>
      </w:tr>
      <w:tr w14:paraId="284ED2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AEB477D">
            <w:pPr>
              <w:pStyle w:val="12"/>
              <w:jc w:val="center"/>
            </w:pPr>
            <w:r>
              <w:rPr>
                <w:rFonts w:hint="eastAsia"/>
              </w:rPr>
              <w:t>叶昌珠</w:t>
            </w:r>
          </w:p>
        </w:tc>
        <w:tc>
          <w:tcPr>
            <w:tcW w:w="388" w:type="pct"/>
            <w:vAlign w:val="center"/>
          </w:tcPr>
          <w:p w14:paraId="7A976EA0">
            <w:pPr>
              <w:pStyle w:val="12"/>
              <w:jc w:val="center"/>
            </w:pPr>
            <w:r>
              <w:rPr>
                <w:rFonts w:hint="eastAsia"/>
              </w:rPr>
              <w:t>男</w:t>
            </w:r>
          </w:p>
        </w:tc>
        <w:tc>
          <w:tcPr>
            <w:tcW w:w="582" w:type="pct"/>
            <w:vAlign w:val="center"/>
          </w:tcPr>
          <w:p w14:paraId="671ACC92">
            <w:pPr>
              <w:pStyle w:val="12"/>
              <w:jc w:val="center"/>
            </w:pPr>
            <w:r>
              <w:rPr>
                <w:rFonts w:hint="eastAsia"/>
              </w:rPr>
              <w:t>1908年</w:t>
            </w:r>
          </w:p>
        </w:tc>
        <w:tc>
          <w:tcPr>
            <w:tcW w:w="582" w:type="pct"/>
            <w:vAlign w:val="center"/>
          </w:tcPr>
          <w:p w14:paraId="79C965AD">
            <w:pPr>
              <w:pStyle w:val="12"/>
              <w:jc w:val="center"/>
            </w:pPr>
            <w:r>
              <w:rPr>
                <w:rFonts w:hint="eastAsia"/>
              </w:rPr>
              <w:t>油山镇</w:t>
            </w:r>
          </w:p>
        </w:tc>
        <w:tc>
          <w:tcPr>
            <w:tcW w:w="582" w:type="pct"/>
            <w:vAlign w:val="center"/>
          </w:tcPr>
          <w:p w14:paraId="21DDBB87">
            <w:pPr>
              <w:pStyle w:val="12"/>
              <w:jc w:val="center"/>
            </w:pPr>
            <w:r>
              <w:rPr>
                <w:rFonts w:hint="eastAsia"/>
              </w:rPr>
              <w:t>1928年</w:t>
            </w:r>
          </w:p>
        </w:tc>
        <w:tc>
          <w:tcPr>
            <w:tcW w:w="1066" w:type="pct"/>
            <w:vAlign w:val="center"/>
          </w:tcPr>
          <w:p w14:paraId="0F26E73F">
            <w:pPr>
              <w:pStyle w:val="12"/>
              <w:jc w:val="left"/>
            </w:pPr>
            <w:r>
              <w:rPr>
                <w:rFonts w:hint="eastAsia"/>
              </w:rPr>
              <w:t>油山游击队队员</w:t>
            </w:r>
          </w:p>
        </w:tc>
        <w:tc>
          <w:tcPr>
            <w:tcW w:w="1160" w:type="pct"/>
            <w:vAlign w:val="center"/>
          </w:tcPr>
          <w:p w14:paraId="388C5216">
            <w:pPr>
              <w:pStyle w:val="12"/>
              <w:jc w:val="left"/>
            </w:pPr>
            <w:r>
              <w:rPr>
                <w:rFonts w:hint="eastAsia"/>
              </w:rPr>
              <w:t>1932年因叛徒出卖被捕，在乌迳就义</w:t>
            </w:r>
          </w:p>
        </w:tc>
      </w:tr>
      <w:tr w14:paraId="35470B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53F0E54">
            <w:pPr>
              <w:pStyle w:val="12"/>
              <w:jc w:val="center"/>
            </w:pPr>
            <w:r>
              <w:rPr>
                <w:rFonts w:hint="eastAsia"/>
              </w:rPr>
              <w:t>雷礼廷</w:t>
            </w:r>
          </w:p>
        </w:tc>
        <w:tc>
          <w:tcPr>
            <w:tcW w:w="388" w:type="pct"/>
            <w:vAlign w:val="center"/>
          </w:tcPr>
          <w:p w14:paraId="436F4BED">
            <w:pPr>
              <w:pStyle w:val="12"/>
              <w:jc w:val="center"/>
            </w:pPr>
            <w:r>
              <w:rPr>
                <w:rFonts w:hint="eastAsia"/>
              </w:rPr>
              <w:t>男</w:t>
            </w:r>
          </w:p>
        </w:tc>
        <w:tc>
          <w:tcPr>
            <w:tcW w:w="582" w:type="pct"/>
            <w:vAlign w:val="center"/>
          </w:tcPr>
          <w:p w14:paraId="27D6D98F">
            <w:pPr>
              <w:pStyle w:val="12"/>
              <w:jc w:val="center"/>
            </w:pPr>
            <w:r>
              <w:rPr>
                <w:rFonts w:hint="eastAsia"/>
              </w:rPr>
              <w:t>1910年</w:t>
            </w:r>
          </w:p>
        </w:tc>
        <w:tc>
          <w:tcPr>
            <w:tcW w:w="582" w:type="pct"/>
            <w:vAlign w:val="center"/>
          </w:tcPr>
          <w:p w14:paraId="1A546A7E">
            <w:pPr>
              <w:pStyle w:val="12"/>
              <w:jc w:val="center"/>
            </w:pPr>
            <w:r>
              <w:rPr>
                <w:rFonts w:hint="eastAsia"/>
              </w:rPr>
              <w:t>油山镇</w:t>
            </w:r>
          </w:p>
        </w:tc>
        <w:tc>
          <w:tcPr>
            <w:tcW w:w="582" w:type="pct"/>
            <w:vAlign w:val="center"/>
          </w:tcPr>
          <w:p w14:paraId="0CD06499">
            <w:pPr>
              <w:pStyle w:val="12"/>
              <w:jc w:val="center"/>
            </w:pPr>
            <w:r>
              <w:rPr>
                <w:rFonts w:hint="eastAsia"/>
              </w:rPr>
              <w:t>1928年</w:t>
            </w:r>
          </w:p>
        </w:tc>
        <w:tc>
          <w:tcPr>
            <w:tcW w:w="1066" w:type="pct"/>
            <w:vAlign w:val="center"/>
          </w:tcPr>
          <w:p w14:paraId="02013982">
            <w:pPr>
              <w:pStyle w:val="12"/>
              <w:jc w:val="left"/>
            </w:pPr>
            <w:r>
              <w:rPr>
                <w:rFonts w:hint="eastAsia"/>
              </w:rPr>
              <w:t>油山游击队排长</w:t>
            </w:r>
          </w:p>
        </w:tc>
        <w:tc>
          <w:tcPr>
            <w:tcW w:w="1160" w:type="pct"/>
            <w:vAlign w:val="center"/>
          </w:tcPr>
          <w:p w14:paraId="5A07F27F">
            <w:pPr>
              <w:pStyle w:val="12"/>
              <w:jc w:val="left"/>
            </w:pPr>
            <w:r>
              <w:rPr>
                <w:rFonts w:hint="eastAsia"/>
              </w:rPr>
              <w:t>1932年2月在江西大余县新城作战牺牲</w:t>
            </w:r>
          </w:p>
        </w:tc>
      </w:tr>
      <w:tr w14:paraId="46FD4B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F29B17D">
            <w:pPr>
              <w:pStyle w:val="12"/>
              <w:jc w:val="center"/>
            </w:pPr>
            <w:r>
              <w:rPr>
                <w:rFonts w:hint="eastAsia"/>
              </w:rPr>
              <w:t>彭  金</w:t>
            </w:r>
          </w:p>
        </w:tc>
        <w:tc>
          <w:tcPr>
            <w:tcW w:w="388" w:type="pct"/>
            <w:vAlign w:val="center"/>
          </w:tcPr>
          <w:p w14:paraId="7046437C">
            <w:pPr>
              <w:pStyle w:val="12"/>
              <w:jc w:val="center"/>
            </w:pPr>
            <w:r>
              <w:rPr>
                <w:rFonts w:hint="eastAsia"/>
              </w:rPr>
              <w:t>男</w:t>
            </w:r>
          </w:p>
        </w:tc>
        <w:tc>
          <w:tcPr>
            <w:tcW w:w="582" w:type="pct"/>
            <w:vAlign w:val="center"/>
          </w:tcPr>
          <w:p w14:paraId="1777A739">
            <w:pPr>
              <w:pStyle w:val="12"/>
              <w:jc w:val="center"/>
            </w:pPr>
            <w:r>
              <w:rPr>
                <w:rFonts w:hint="eastAsia"/>
              </w:rPr>
              <w:t>1900年</w:t>
            </w:r>
          </w:p>
        </w:tc>
        <w:tc>
          <w:tcPr>
            <w:tcW w:w="582" w:type="pct"/>
            <w:vAlign w:val="center"/>
          </w:tcPr>
          <w:p w14:paraId="5157C90F">
            <w:pPr>
              <w:pStyle w:val="12"/>
              <w:jc w:val="center"/>
            </w:pPr>
            <w:r>
              <w:rPr>
                <w:rFonts w:hint="eastAsia"/>
              </w:rPr>
              <w:t>油山镇</w:t>
            </w:r>
          </w:p>
        </w:tc>
        <w:tc>
          <w:tcPr>
            <w:tcW w:w="582" w:type="pct"/>
            <w:vAlign w:val="center"/>
          </w:tcPr>
          <w:p w14:paraId="3C07FA9C">
            <w:pPr>
              <w:pStyle w:val="12"/>
              <w:jc w:val="center"/>
            </w:pPr>
            <w:r>
              <w:rPr>
                <w:rFonts w:hint="eastAsia"/>
              </w:rPr>
              <w:t>1925年</w:t>
            </w:r>
          </w:p>
        </w:tc>
        <w:tc>
          <w:tcPr>
            <w:tcW w:w="1066" w:type="pct"/>
            <w:vAlign w:val="center"/>
          </w:tcPr>
          <w:p w14:paraId="181DC697">
            <w:pPr>
              <w:pStyle w:val="12"/>
              <w:jc w:val="left"/>
            </w:pPr>
            <w:r>
              <w:rPr>
                <w:rFonts w:hint="eastAsia"/>
              </w:rPr>
              <w:t>油山游击队队员</w:t>
            </w:r>
          </w:p>
        </w:tc>
        <w:tc>
          <w:tcPr>
            <w:tcW w:w="1160" w:type="pct"/>
            <w:vAlign w:val="center"/>
          </w:tcPr>
          <w:p w14:paraId="1DE83CB0">
            <w:pPr>
              <w:pStyle w:val="12"/>
              <w:jc w:val="left"/>
            </w:pPr>
            <w:r>
              <w:rPr>
                <w:rFonts w:hint="eastAsia"/>
              </w:rPr>
              <w:t>1932年在邓坊茶头背作战牺牲</w:t>
            </w:r>
          </w:p>
        </w:tc>
      </w:tr>
      <w:tr w14:paraId="75D910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5B72CE6">
            <w:pPr>
              <w:pStyle w:val="12"/>
              <w:jc w:val="center"/>
            </w:pPr>
            <w:r>
              <w:rPr>
                <w:rFonts w:hint="eastAsia"/>
              </w:rPr>
              <w:t>孔子周</w:t>
            </w:r>
          </w:p>
        </w:tc>
        <w:tc>
          <w:tcPr>
            <w:tcW w:w="388" w:type="pct"/>
            <w:vAlign w:val="center"/>
          </w:tcPr>
          <w:p w14:paraId="6BDD4327">
            <w:pPr>
              <w:pStyle w:val="12"/>
              <w:jc w:val="center"/>
            </w:pPr>
            <w:r>
              <w:rPr>
                <w:rFonts w:hint="eastAsia"/>
              </w:rPr>
              <w:t>男</w:t>
            </w:r>
          </w:p>
        </w:tc>
        <w:tc>
          <w:tcPr>
            <w:tcW w:w="582" w:type="pct"/>
            <w:vAlign w:val="center"/>
          </w:tcPr>
          <w:p w14:paraId="030961CA">
            <w:pPr>
              <w:pStyle w:val="12"/>
              <w:jc w:val="center"/>
            </w:pPr>
            <w:r>
              <w:rPr>
                <w:rFonts w:hint="eastAsia"/>
              </w:rPr>
              <w:t>1910年</w:t>
            </w:r>
          </w:p>
        </w:tc>
        <w:tc>
          <w:tcPr>
            <w:tcW w:w="582" w:type="pct"/>
            <w:vAlign w:val="center"/>
          </w:tcPr>
          <w:p w14:paraId="014D3EE2">
            <w:pPr>
              <w:pStyle w:val="12"/>
              <w:jc w:val="center"/>
            </w:pPr>
            <w:r>
              <w:rPr>
                <w:rFonts w:hint="eastAsia"/>
              </w:rPr>
              <w:t>油山镇</w:t>
            </w:r>
          </w:p>
        </w:tc>
        <w:tc>
          <w:tcPr>
            <w:tcW w:w="582" w:type="pct"/>
            <w:vAlign w:val="center"/>
          </w:tcPr>
          <w:p w14:paraId="2475FC3B">
            <w:pPr>
              <w:pStyle w:val="12"/>
              <w:jc w:val="center"/>
            </w:pPr>
            <w:r>
              <w:rPr>
                <w:rFonts w:hint="eastAsia"/>
              </w:rPr>
              <w:t>1930年</w:t>
            </w:r>
          </w:p>
        </w:tc>
        <w:tc>
          <w:tcPr>
            <w:tcW w:w="1066" w:type="pct"/>
            <w:vAlign w:val="center"/>
          </w:tcPr>
          <w:p w14:paraId="3C7D7DEA">
            <w:pPr>
              <w:pStyle w:val="12"/>
              <w:jc w:val="left"/>
            </w:pPr>
            <w:r>
              <w:rPr>
                <w:rFonts w:hint="eastAsia"/>
              </w:rPr>
              <w:t>油山游击队队员</w:t>
            </w:r>
          </w:p>
        </w:tc>
        <w:tc>
          <w:tcPr>
            <w:tcW w:w="1160" w:type="pct"/>
            <w:vAlign w:val="center"/>
          </w:tcPr>
          <w:p w14:paraId="614E49F4">
            <w:pPr>
              <w:pStyle w:val="12"/>
              <w:jc w:val="left"/>
            </w:pPr>
            <w:r>
              <w:rPr>
                <w:rFonts w:hint="eastAsia"/>
              </w:rPr>
              <w:t>1932年在邓坊旱田作战牺牲</w:t>
            </w:r>
          </w:p>
        </w:tc>
      </w:tr>
      <w:tr w14:paraId="31EBB0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561A82D">
            <w:pPr>
              <w:pStyle w:val="12"/>
              <w:jc w:val="center"/>
            </w:pPr>
            <w:r>
              <w:rPr>
                <w:rFonts w:hint="eastAsia"/>
              </w:rPr>
              <w:t>朱林福保</w:t>
            </w:r>
          </w:p>
        </w:tc>
        <w:tc>
          <w:tcPr>
            <w:tcW w:w="388" w:type="pct"/>
            <w:vAlign w:val="center"/>
          </w:tcPr>
          <w:p w14:paraId="1EC7AA82">
            <w:pPr>
              <w:pStyle w:val="12"/>
              <w:jc w:val="center"/>
            </w:pPr>
            <w:r>
              <w:rPr>
                <w:rFonts w:hint="eastAsia"/>
              </w:rPr>
              <w:t>男</w:t>
            </w:r>
          </w:p>
        </w:tc>
        <w:tc>
          <w:tcPr>
            <w:tcW w:w="582" w:type="pct"/>
            <w:vAlign w:val="center"/>
          </w:tcPr>
          <w:p w14:paraId="247541CD">
            <w:pPr>
              <w:pStyle w:val="12"/>
              <w:jc w:val="center"/>
            </w:pPr>
            <w:r>
              <w:rPr>
                <w:rFonts w:hint="eastAsia"/>
              </w:rPr>
              <w:t>1903年</w:t>
            </w:r>
          </w:p>
        </w:tc>
        <w:tc>
          <w:tcPr>
            <w:tcW w:w="582" w:type="pct"/>
            <w:vAlign w:val="center"/>
          </w:tcPr>
          <w:p w14:paraId="40112AB5">
            <w:pPr>
              <w:pStyle w:val="12"/>
              <w:jc w:val="center"/>
            </w:pPr>
            <w:r>
              <w:rPr>
                <w:rFonts w:hint="eastAsia"/>
              </w:rPr>
              <w:t>油山镇</w:t>
            </w:r>
          </w:p>
        </w:tc>
        <w:tc>
          <w:tcPr>
            <w:tcW w:w="582" w:type="pct"/>
            <w:vAlign w:val="center"/>
          </w:tcPr>
          <w:p w14:paraId="622A1344">
            <w:pPr>
              <w:pStyle w:val="12"/>
              <w:jc w:val="center"/>
            </w:pPr>
            <w:r>
              <w:rPr>
                <w:rFonts w:hint="eastAsia"/>
              </w:rPr>
              <w:t>1930年</w:t>
            </w:r>
          </w:p>
        </w:tc>
        <w:tc>
          <w:tcPr>
            <w:tcW w:w="1066" w:type="pct"/>
            <w:vAlign w:val="center"/>
          </w:tcPr>
          <w:p w14:paraId="7D46BCE2">
            <w:pPr>
              <w:pStyle w:val="12"/>
              <w:jc w:val="left"/>
              <w:rPr>
                <w:rFonts w:ascii="宋体" w:hAnsi="宋体" w:cs="宋体"/>
              </w:rPr>
            </w:pPr>
            <w:r>
              <w:rPr>
                <w:rFonts w:hint="eastAsia"/>
              </w:rPr>
              <w:t>中共地下</w:t>
            </w:r>
          </w:p>
          <w:p w14:paraId="7B1810E0">
            <w:pPr>
              <w:pStyle w:val="12"/>
              <w:jc w:val="left"/>
            </w:pPr>
            <w:r>
              <w:rPr>
                <w:rFonts w:hint="eastAsia" w:ascii="宋体" w:hAnsi="宋体" w:cs="宋体"/>
              </w:rPr>
              <w:t>工作人员</w:t>
            </w:r>
          </w:p>
        </w:tc>
        <w:tc>
          <w:tcPr>
            <w:tcW w:w="1160" w:type="pct"/>
            <w:vAlign w:val="center"/>
          </w:tcPr>
          <w:p w14:paraId="51C234E3">
            <w:pPr>
              <w:pStyle w:val="12"/>
              <w:jc w:val="left"/>
            </w:pPr>
            <w:r>
              <w:rPr>
                <w:rFonts w:hint="eastAsia"/>
              </w:rPr>
              <w:t>1932年在大塘糠头岭就义</w:t>
            </w:r>
          </w:p>
        </w:tc>
      </w:tr>
      <w:tr w14:paraId="254E4F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FC04C48">
            <w:pPr>
              <w:pStyle w:val="12"/>
              <w:jc w:val="center"/>
            </w:pPr>
            <w:r>
              <w:rPr>
                <w:rFonts w:hint="eastAsia"/>
              </w:rPr>
              <w:t>李芹菜头</w:t>
            </w:r>
          </w:p>
        </w:tc>
        <w:tc>
          <w:tcPr>
            <w:tcW w:w="388" w:type="pct"/>
            <w:vAlign w:val="center"/>
          </w:tcPr>
          <w:p w14:paraId="6682CF96">
            <w:pPr>
              <w:pStyle w:val="12"/>
              <w:jc w:val="center"/>
            </w:pPr>
            <w:r>
              <w:rPr>
                <w:rFonts w:hint="eastAsia"/>
              </w:rPr>
              <w:t>男</w:t>
            </w:r>
          </w:p>
        </w:tc>
        <w:tc>
          <w:tcPr>
            <w:tcW w:w="582" w:type="pct"/>
            <w:vAlign w:val="center"/>
          </w:tcPr>
          <w:p w14:paraId="2083BADB">
            <w:pPr>
              <w:pStyle w:val="12"/>
              <w:jc w:val="center"/>
            </w:pPr>
            <w:r>
              <w:rPr>
                <w:rFonts w:hint="eastAsia"/>
              </w:rPr>
              <w:t>1912年</w:t>
            </w:r>
          </w:p>
        </w:tc>
        <w:tc>
          <w:tcPr>
            <w:tcW w:w="582" w:type="pct"/>
            <w:vAlign w:val="center"/>
          </w:tcPr>
          <w:p w14:paraId="75730803">
            <w:pPr>
              <w:pStyle w:val="12"/>
              <w:jc w:val="center"/>
            </w:pPr>
            <w:r>
              <w:rPr>
                <w:rFonts w:hint="eastAsia"/>
              </w:rPr>
              <w:t>水口镇</w:t>
            </w:r>
          </w:p>
        </w:tc>
        <w:tc>
          <w:tcPr>
            <w:tcW w:w="582" w:type="pct"/>
            <w:vAlign w:val="center"/>
          </w:tcPr>
          <w:p w14:paraId="73D7FB38">
            <w:pPr>
              <w:pStyle w:val="12"/>
              <w:jc w:val="center"/>
            </w:pPr>
            <w:r>
              <w:rPr>
                <w:rFonts w:hint="eastAsia"/>
              </w:rPr>
              <w:t>1929年</w:t>
            </w:r>
          </w:p>
        </w:tc>
        <w:tc>
          <w:tcPr>
            <w:tcW w:w="1066" w:type="pct"/>
            <w:vAlign w:val="center"/>
          </w:tcPr>
          <w:p w14:paraId="7A0B8399">
            <w:pPr>
              <w:pStyle w:val="12"/>
              <w:jc w:val="left"/>
            </w:pPr>
            <w:r>
              <w:rPr>
                <w:rFonts w:hint="eastAsia"/>
              </w:rPr>
              <w:t>赤卫队员</w:t>
            </w:r>
          </w:p>
        </w:tc>
        <w:tc>
          <w:tcPr>
            <w:tcW w:w="1160" w:type="pct"/>
            <w:vAlign w:val="center"/>
          </w:tcPr>
          <w:p w14:paraId="21D9A532">
            <w:pPr>
              <w:pStyle w:val="12"/>
              <w:jc w:val="left"/>
            </w:pPr>
            <w:r>
              <w:rPr>
                <w:rFonts w:hint="eastAsia"/>
              </w:rPr>
              <w:t>1932年执行任务被捕，在南亩就义</w:t>
            </w:r>
          </w:p>
        </w:tc>
      </w:tr>
      <w:tr w14:paraId="47E15F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CC2DE4C">
            <w:pPr>
              <w:pStyle w:val="12"/>
              <w:jc w:val="center"/>
            </w:pPr>
            <w:r>
              <w:rPr>
                <w:rFonts w:hint="eastAsia"/>
              </w:rPr>
              <w:t>彭禾乐</w:t>
            </w:r>
          </w:p>
        </w:tc>
        <w:tc>
          <w:tcPr>
            <w:tcW w:w="388" w:type="pct"/>
            <w:vAlign w:val="center"/>
          </w:tcPr>
          <w:p w14:paraId="3523149D">
            <w:pPr>
              <w:pStyle w:val="12"/>
              <w:jc w:val="center"/>
            </w:pPr>
            <w:r>
              <w:rPr>
                <w:rFonts w:hint="eastAsia"/>
              </w:rPr>
              <w:t>男</w:t>
            </w:r>
          </w:p>
        </w:tc>
        <w:tc>
          <w:tcPr>
            <w:tcW w:w="582" w:type="pct"/>
            <w:vAlign w:val="center"/>
          </w:tcPr>
          <w:p w14:paraId="49A8DD77">
            <w:pPr>
              <w:pStyle w:val="12"/>
              <w:jc w:val="center"/>
            </w:pPr>
            <w:r>
              <w:rPr>
                <w:rFonts w:hint="eastAsia"/>
              </w:rPr>
              <w:t>1875年</w:t>
            </w:r>
          </w:p>
        </w:tc>
        <w:tc>
          <w:tcPr>
            <w:tcW w:w="582" w:type="pct"/>
            <w:vAlign w:val="center"/>
          </w:tcPr>
          <w:p w14:paraId="1E9B50E7">
            <w:pPr>
              <w:pStyle w:val="12"/>
              <w:jc w:val="center"/>
            </w:pPr>
            <w:r>
              <w:rPr>
                <w:rFonts w:hint="eastAsia"/>
              </w:rPr>
              <w:t>油山镇</w:t>
            </w:r>
          </w:p>
        </w:tc>
        <w:tc>
          <w:tcPr>
            <w:tcW w:w="582" w:type="pct"/>
            <w:vAlign w:val="center"/>
          </w:tcPr>
          <w:p w14:paraId="7A7954AB">
            <w:pPr>
              <w:pStyle w:val="12"/>
              <w:jc w:val="center"/>
            </w:pPr>
            <w:r>
              <w:rPr>
                <w:rFonts w:hint="eastAsia"/>
              </w:rPr>
              <w:t>1931年</w:t>
            </w:r>
          </w:p>
        </w:tc>
        <w:tc>
          <w:tcPr>
            <w:tcW w:w="1066" w:type="pct"/>
            <w:vAlign w:val="center"/>
          </w:tcPr>
          <w:p w14:paraId="4067FDC4">
            <w:pPr>
              <w:pStyle w:val="12"/>
              <w:jc w:val="left"/>
            </w:pPr>
            <w:r>
              <w:rPr>
                <w:rFonts w:hint="eastAsia"/>
              </w:rPr>
              <w:t>油山游击队员</w:t>
            </w:r>
          </w:p>
        </w:tc>
        <w:tc>
          <w:tcPr>
            <w:tcW w:w="1160" w:type="pct"/>
            <w:vAlign w:val="center"/>
          </w:tcPr>
          <w:p w14:paraId="75F82FAD">
            <w:pPr>
              <w:pStyle w:val="12"/>
              <w:jc w:val="left"/>
            </w:pPr>
            <w:r>
              <w:rPr>
                <w:rFonts w:hint="eastAsia"/>
              </w:rPr>
              <w:t>1932年在江西上犹县失踪</w:t>
            </w:r>
          </w:p>
        </w:tc>
      </w:tr>
      <w:tr w14:paraId="5A9DFF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CC9C714">
            <w:pPr>
              <w:pStyle w:val="12"/>
              <w:jc w:val="center"/>
            </w:pPr>
            <w:r>
              <w:rPr>
                <w:rFonts w:hint="eastAsia"/>
              </w:rPr>
              <w:t>黎丁俚</w:t>
            </w:r>
          </w:p>
        </w:tc>
        <w:tc>
          <w:tcPr>
            <w:tcW w:w="388" w:type="pct"/>
            <w:vAlign w:val="center"/>
          </w:tcPr>
          <w:p w14:paraId="76CCE111">
            <w:pPr>
              <w:pStyle w:val="12"/>
              <w:jc w:val="center"/>
            </w:pPr>
            <w:r>
              <w:rPr>
                <w:rFonts w:hint="eastAsia"/>
              </w:rPr>
              <w:t>男</w:t>
            </w:r>
          </w:p>
        </w:tc>
        <w:tc>
          <w:tcPr>
            <w:tcW w:w="582" w:type="pct"/>
            <w:vAlign w:val="center"/>
          </w:tcPr>
          <w:p w14:paraId="5B732391">
            <w:pPr>
              <w:pStyle w:val="12"/>
              <w:jc w:val="center"/>
            </w:pPr>
            <w:r>
              <w:rPr>
                <w:rFonts w:hint="eastAsia"/>
              </w:rPr>
              <w:t>1906年</w:t>
            </w:r>
          </w:p>
        </w:tc>
        <w:tc>
          <w:tcPr>
            <w:tcW w:w="582" w:type="pct"/>
            <w:vAlign w:val="center"/>
          </w:tcPr>
          <w:p w14:paraId="508C3246">
            <w:pPr>
              <w:pStyle w:val="12"/>
              <w:jc w:val="center"/>
            </w:pPr>
            <w:r>
              <w:rPr>
                <w:rFonts w:hint="eastAsia"/>
              </w:rPr>
              <w:t>油山镇</w:t>
            </w:r>
          </w:p>
        </w:tc>
        <w:tc>
          <w:tcPr>
            <w:tcW w:w="582" w:type="pct"/>
            <w:vAlign w:val="center"/>
          </w:tcPr>
          <w:p w14:paraId="597993BF">
            <w:pPr>
              <w:pStyle w:val="12"/>
              <w:jc w:val="center"/>
            </w:pPr>
            <w:r>
              <w:rPr>
                <w:rFonts w:hint="eastAsia"/>
              </w:rPr>
              <w:t>1930年</w:t>
            </w:r>
          </w:p>
        </w:tc>
        <w:tc>
          <w:tcPr>
            <w:tcW w:w="1066" w:type="pct"/>
            <w:vAlign w:val="center"/>
          </w:tcPr>
          <w:p w14:paraId="7B9A3F7C">
            <w:pPr>
              <w:pStyle w:val="12"/>
              <w:jc w:val="left"/>
            </w:pPr>
            <w:r>
              <w:rPr>
                <w:rFonts w:hint="eastAsia"/>
              </w:rPr>
              <w:t>工农红军战士</w:t>
            </w:r>
          </w:p>
        </w:tc>
        <w:tc>
          <w:tcPr>
            <w:tcW w:w="1160" w:type="pct"/>
            <w:vAlign w:val="center"/>
          </w:tcPr>
          <w:p w14:paraId="74A74AE5">
            <w:pPr>
              <w:pStyle w:val="12"/>
              <w:jc w:val="left"/>
            </w:pPr>
            <w:r>
              <w:rPr>
                <w:rFonts w:hint="eastAsia"/>
              </w:rPr>
              <w:t>1932年在江西牛岭马岭战斗牺牲</w:t>
            </w:r>
          </w:p>
        </w:tc>
      </w:tr>
      <w:tr w14:paraId="3FE132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AB10CF3">
            <w:pPr>
              <w:pStyle w:val="12"/>
              <w:jc w:val="center"/>
            </w:pPr>
            <w:r>
              <w:rPr>
                <w:rFonts w:hint="eastAsia"/>
              </w:rPr>
              <w:t>孔湖北佬</w:t>
            </w:r>
          </w:p>
        </w:tc>
        <w:tc>
          <w:tcPr>
            <w:tcW w:w="388" w:type="pct"/>
            <w:vAlign w:val="center"/>
          </w:tcPr>
          <w:p w14:paraId="7253C2BA">
            <w:pPr>
              <w:pStyle w:val="12"/>
              <w:jc w:val="center"/>
            </w:pPr>
            <w:r>
              <w:rPr>
                <w:rFonts w:hint="eastAsia"/>
              </w:rPr>
              <w:t>男</w:t>
            </w:r>
          </w:p>
        </w:tc>
        <w:tc>
          <w:tcPr>
            <w:tcW w:w="582" w:type="pct"/>
            <w:vAlign w:val="center"/>
          </w:tcPr>
          <w:p w14:paraId="0263C458">
            <w:pPr>
              <w:pStyle w:val="12"/>
              <w:jc w:val="center"/>
            </w:pPr>
            <w:r>
              <w:rPr>
                <w:rFonts w:hint="eastAsia"/>
              </w:rPr>
              <w:t>1900年</w:t>
            </w:r>
          </w:p>
        </w:tc>
        <w:tc>
          <w:tcPr>
            <w:tcW w:w="582" w:type="pct"/>
            <w:vAlign w:val="center"/>
          </w:tcPr>
          <w:p w14:paraId="06D7DAD0">
            <w:pPr>
              <w:pStyle w:val="12"/>
              <w:jc w:val="center"/>
            </w:pPr>
            <w:r>
              <w:rPr>
                <w:rFonts w:hint="eastAsia"/>
              </w:rPr>
              <w:t>油山镇</w:t>
            </w:r>
          </w:p>
        </w:tc>
        <w:tc>
          <w:tcPr>
            <w:tcW w:w="582" w:type="pct"/>
            <w:vAlign w:val="center"/>
          </w:tcPr>
          <w:p w14:paraId="6BC562B3">
            <w:pPr>
              <w:pStyle w:val="12"/>
              <w:jc w:val="center"/>
            </w:pPr>
            <w:r>
              <w:rPr>
                <w:rFonts w:hint="eastAsia"/>
              </w:rPr>
              <w:t>1930年</w:t>
            </w:r>
          </w:p>
        </w:tc>
        <w:tc>
          <w:tcPr>
            <w:tcW w:w="1066" w:type="pct"/>
            <w:vAlign w:val="center"/>
          </w:tcPr>
          <w:p w14:paraId="3615F69D">
            <w:pPr>
              <w:pStyle w:val="12"/>
              <w:jc w:val="left"/>
            </w:pPr>
            <w:r>
              <w:rPr>
                <w:rFonts w:hint="eastAsia"/>
              </w:rPr>
              <w:t>工农红军战士</w:t>
            </w:r>
          </w:p>
        </w:tc>
        <w:tc>
          <w:tcPr>
            <w:tcW w:w="1160" w:type="pct"/>
            <w:vAlign w:val="center"/>
          </w:tcPr>
          <w:p w14:paraId="14DF6082">
            <w:pPr>
              <w:pStyle w:val="12"/>
              <w:jc w:val="left"/>
            </w:pPr>
            <w:r>
              <w:rPr>
                <w:rFonts w:hint="eastAsia"/>
              </w:rPr>
              <w:t>1932年在江西信丰县东河作战牺牲</w:t>
            </w:r>
          </w:p>
        </w:tc>
      </w:tr>
      <w:tr w14:paraId="1408497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30639AD">
            <w:pPr>
              <w:pStyle w:val="12"/>
              <w:jc w:val="center"/>
            </w:pPr>
            <w:r>
              <w:rPr>
                <w:rFonts w:hint="eastAsia"/>
              </w:rPr>
              <w:t>彭后古</w:t>
            </w:r>
          </w:p>
        </w:tc>
        <w:tc>
          <w:tcPr>
            <w:tcW w:w="388" w:type="pct"/>
            <w:vAlign w:val="center"/>
          </w:tcPr>
          <w:p w14:paraId="44555A76">
            <w:pPr>
              <w:pStyle w:val="12"/>
              <w:jc w:val="center"/>
            </w:pPr>
            <w:r>
              <w:rPr>
                <w:rFonts w:hint="eastAsia"/>
              </w:rPr>
              <w:t>男</w:t>
            </w:r>
          </w:p>
        </w:tc>
        <w:tc>
          <w:tcPr>
            <w:tcW w:w="582" w:type="pct"/>
            <w:vAlign w:val="center"/>
          </w:tcPr>
          <w:p w14:paraId="402301D7">
            <w:pPr>
              <w:pStyle w:val="12"/>
              <w:jc w:val="center"/>
            </w:pPr>
            <w:r>
              <w:rPr>
                <w:rFonts w:hint="eastAsia"/>
              </w:rPr>
              <w:t>1905年</w:t>
            </w:r>
          </w:p>
        </w:tc>
        <w:tc>
          <w:tcPr>
            <w:tcW w:w="582" w:type="pct"/>
            <w:vAlign w:val="center"/>
          </w:tcPr>
          <w:p w14:paraId="175A22A2">
            <w:pPr>
              <w:pStyle w:val="12"/>
              <w:jc w:val="center"/>
            </w:pPr>
            <w:r>
              <w:rPr>
                <w:rFonts w:hint="eastAsia"/>
              </w:rPr>
              <w:t>油山镇</w:t>
            </w:r>
          </w:p>
        </w:tc>
        <w:tc>
          <w:tcPr>
            <w:tcW w:w="582" w:type="pct"/>
            <w:vAlign w:val="center"/>
          </w:tcPr>
          <w:p w14:paraId="74EC1C77">
            <w:pPr>
              <w:pStyle w:val="12"/>
              <w:jc w:val="center"/>
            </w:pPr>
            <w:r>
              <w:rPr>
                <w:rFonts w:hint="eastAsia"/>
              </w:rPr>
              <w:t>1928年</w:t>
            </w:r>
          </w:p>
        </w:tc>
        <w:tc>
          <w:tcPr>
            <w:tcW w:w="1066" w:type="pct"/>
            <w:vAlign w:val="center"/>
          </w:tcPr>
          <w:p w14:paraId="02127FAA">
            <w:pPr>
              <w:pStyle w:val="12"/>
              <w:jc w:val="left"/>
            </w:pPr>
            <w:r>
              <w:rPr>
                <w:rFonts w:hint="eastAsia"/>
              </w:rPr>
              <w:t>油山游击队队员</w:t>
            </w:r>
          </w:p>
        </w:tc>
        <w:tc>
          <w:tcPr>
            <w:tcW w:w="1160" w:type="pct"/>
            <w:vAlign w:val="center"/>
          </w:tcPr>
          <w:p w14:paraId="0A90C72A">
            <w:pPr>
              <w:pStyle w:val="12"/>
              <w:jc w:val="left"/>
            </w:pPr>
            <w:r>
              <w:rPr>
                <w:rFonts w:hint="eastAsia"/>
              </w:rPr>
              <w:t>1932年在上茶田村被捕，在新田就义</w:t>
            </w:r>
          </w:p>
        </w:tc>
      </w:tr>
      <w:tr w14:paraId="5F20D6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86E2901">
            <w:pPr>
              <w:pStyle w:val="12"/>
              <w:jc w:val="center"/>
            </w:pPr>
            <w:r>
              <w:rPr>
                <w:rFonts w:hint="eastAsia"/>
              </w:rPr>
              <w:t>彭和尚</w:t>
            </w:r>
          </w:p>
        </w:tc>
        <w:tc>
          <w:tcPr>
            <w:tcW w:w="388" w:type="pct"/>
            <w:vAlign w:val="center"/>
          </w:tcPr>
          <w:p w14:paraId="2561C861">
            <w:pPr>
              <w:pStyle w:val="12"/>
              <w:jc w:val="center"/>
            </w:pPr>
            <w:r>
              <w:rPr>
                <w:rFonts w:hint="eastAsia"/>
              </w:rPr>
              <w:t>男</w:t>
            </w:r>
          </w:p>
        </w:tc>
        <w:tc>
          <w:tcPr>
            <w:tcW w:w="582" w:type="pct"/>
            <w:vAlign w:val="center"/>
          </w:tcPr>
          <w:p w14:paraId="5C1983F3">
            <w:pPr>
              <w:pStyle w:val="12"/>
              <w:jc w:val="center"/>
            </w:pPr>
            <w:r>
              <w:rPr>
                <w:rFonts w:hint="eastAsia"/>
              </w:rPr>
              <w:t>1908年</w:t>
            </w:r>
          </w:p>
        </w:tc>
        <w:tc>
          <w:tcPr>
            <w:tcW w:w="582" w:type="pct"/>
            <w:vAlign w:val="center"/>
          </w:tcPr>
          <w:p w14:paraId="099D101F">
            <w:pPr>
              <w:pStyle w:val="12"/>
              <w:jc w:val="center"/>
            </w:pPr>
            <w:r>
              <w:rPr>
                <w:rFonts w:hint="eastAsia"/>
              </w:rPr>
              <w:t>油山镇</w:t>
            </w:r>
          </w:p>
        </w:tc>
        <w:tc>
          <w:tcPr>
            <w:tcW w:w="582" w:type="pct"/>
            <w:vAlign w:val="center"/>
          </w:tcPr>
          <w:p w14:paraId="0E83685E">
            <w:pPr>
              <w:pStyle w:val="12"/>
              <w:jc w:val="center"/>
            </w:pPr>
            <w:r>
              <w:rPr>
                <w:rFonts w:hint="eastAsia"/>
              </w:rPr>
              <w:t>1928年</w:t>
            </w:r>
          </w:p>
        </w:tc>
        <w:tc>
          <w:tcPr>
            <w:tcW w:w="1066" w:type="pct"/>
            <w:vAlign w:val="center"/>
          </w:tcPr>
          <w:p w14:paraId="10FC2651">
            <w:pPr>
              <w:pStyle w:val="12"/>
              <w:jc w:val="left"/>
            </w:pPr>
            <w:r>
              <w:rPr>
                <w:rFonts w:hint="eastAsia"/>
              </w:rPr>
              <w:t>油山游击队排长</w:t>
            </w:r>
          </w:p>
        </w:tc>
        <w:tc>
          <w:tcPr>
            <w:tcW w:w="1160" w:type="pct"/>
            <w:vAlign w:val="center"/>
          </w:tcPr>
          <w:p w14:paraId="4C62E10A">
            <w:pPr>
              <w:pStyle w:val="12"/>
              <w:jc w:val="left"/>
            </w:pPr>
            <w:r>
              <w:rPr>
                <w:rFonts w:hint="eastAsia"/>
              </w:rPr>
              <w:t>1932年在黄地作战牺牲</w:t>
            </w:r>
          </w:p>
        </w:tc>
      </w:tr>
      <w:tr w14:paraId="220027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D766B30">
            <w:pPr>
              <w:pStyle w:val="12"/>
              <w:jc w:val="center"/>
            </w:pPr>
            <w:r>
              <w:rPr>
                <w:rFonts w:hint="eastAsia"/>
              </w:rPr>
              <w:t>陈家龙</w:t>
            </w:r>
          </w:p>
        </w:tc>
        <w:tc>
          <w:tcPr>
            <w:tcW w:w="388" w:type="pct"/>
            <w:vAlign w:val="center"/>
          </w:tcPr>
          <w:p w14:paraId="5133815A">
            <w:pPr>
              <w:pStyle w:val="12"/>
              <w:jc w:val="center"/>
            </w:pPr>
            <w:r>
              <w:rPr>
                <w:rFonts w:hint="eastAsia"/>
              </w:rPr>
              <w:t>男</w:t>
            </w:r>
          </w:p>
        </w:tc>
        <w:tc>
          <w:tcPr>
            <w:tcW w:w="582" w:type="pct"/>
            <w:vAlign w:val="center"/>
          </w:tcPr>
          <w:p w14:paraId="7A7C4A0A">
            <w:pPr>
              <w:pStyle w:val="12"/>
              <w:jc w:val="center"/>
            </w:pPr>
            <w:r>
              <w:rPr>
                <w:rFonts w:hint="eastAsia"/>
              </w:rPr>
              <w:t>1905年</w:t>
            </w:r>
          </w:p>
        </w:tc>
        <w:tc>
          <w:tcPr>
            <w:tcW w:w="582" w:type="pct"/>
            <w:vAlign w:val="center"/>
          </w:tcPr>
          <w:p w14:paraId="36ADC071">
            <w:pPr>
              <w:pStyle w:val="12"/>
              <w:jc w:val="center"/>
            </w:pPr>
            <w:r>
              <w:rPr>
                <w:rFonts w:hint="eastAsia"/>
              </w:rPr>
              <w:t>油山镇</w:t>
            </w:r>
          </w:p>
        </w:tc>
        <w:tc>
          <w:tcPr>
            <w:tcW w:w="582" w:type="pct"/>
            <w:vAlign w:val="center"/>
          </w:tcPr>
          <w:p w14:paraId="06041FED">
            <w:pPr>
              <w:pStyle w:val="12"/>
              <w:jc w:val="center"/>
            </w:pPr>
            <w:r>
              <w:rPr>
                <w:rFonts w:hint="eastAsia"/>
              </w:rPr>
              <w:t>1927年</w:t>
            </w:r>
          </w:p>
        </w:tc>
        <w:tc>
          <w:tcPr>
            <w:tcW w:w="1066" w:type="pct"/>
            <w:vAlign w:val="center"/>
          </w:tcPr>
          <w:p w14:paraId="5CED5494">
            <w:pPr>
              <w:pStyle w:val="12"/>
              <w:jc w:val="left"/>
            </w:pPr>
            <w:r>
              <w:rPr>
                <w:rFonts w:hint="eastAsia"/>
              </w:rPr>
              <w:t>油山游击队队员</w:t>
            </w:r>
          </w:p>
        </w:tc>
        <w:tc>
          <w:tcPr>
            <w:tcW w:w="1160" w:type="pct"/>
            <w:vAlign w:val="center"/>
          </w:tcPr>
          <w:p w14:paraId="48B8DBC1">
            <w:pPr>
              <w:pStyle w:val="12"/>
              <w:jc w:val="left"/>
            </w:pPr>
            <w:r>
              <w:rPr>
                <w:rFonts w:hint="eastAsia"/>
              </w:rPr>
              <w:t>1932年10月在油山战斗牺牲</w:t>
            </w:r>
          </w:p>
        </w:tc>
      </w:tr>
      <w:tr w14:paraId="73B76C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7755342">
            <w:pPr>
              <w:pStyle w:val="12"/>
              <w:jc w:val="center"/>
            </w:pPr>
            <w:r>
              <w:rPr>
                <w:rFonts w:hint="eastAsia"/>
              </w:rPr>
              <w:t>朱照荣</w:t>
            </w:r>
          </w:p>
        </w:tc>
        <w:tc>
          <w:tcPr>
            <w:tcW w:w="388" w:type="pct"/>
            <w:vAlign w:val="center"/>
          </w:tcPr>
          <w:p w14:paraId="552228CB">
            <w:pPr>
              <w:pStyle w:val="12"/>
              <w:jc w:val="center"/>
            </w:pPr>
            <w:r>
              <w:rPr>
                <w:rFonts w:hint="eastAsia"/>
              </w:rPr>
              <w:t>男</w:t>
            </w:r>
          </w:p>
        </w:tc>
        <w:tc>
          <w:tcPr>
            <w:tcW w:w="582" w:type="pct"/>
            <w:vAlign w:val="center"/>
          </w:tcPr>
          <w:p w14:paraId="1EF7C5D7">
            <w:pPr>
              <w:pStyle w:val="12"/>
              <w:jc w:val="center"/>
            </w:pPr>
            <w:r>
              <w:rPr>
                <w:rFonts w:hint="eastAsia"/>
              </w:rPr>
              <w:t>1890年</w:t>
            </w:r>
          </w:p>
        </w:tc>
        <w:tc>
          <w:tcPr>
            <w:tcW w:w="582" w:type="pct"/>
            <w:vAlign w:val="center"/>
          </w:tcPr>
          <w:p w14:paraId="17504A14">
            <w:pPr>
              <w:pStyle w:val="12"/>
              <w:jc w:val="center"/>
            </w:pPr>
            <w:r>
              <w:rPr>
                <w:rFonts w:hint="eastAsia"/>
              </w:rPr>
              <w:t>油山镇</w:t>
            </w:r>
          </w:p>
        </w:tc>
        <w:tc>
          <w:tcPr>
            <w:tcW w:w="582" w:type="pct"/>
            <w:vAlign w:val="center"/>
          </w:tcPr>
          <w:p w14:paraId="70CE2700">
            <w:pPr>
              <w:pStyle w:val="12"/>
              <w:jc w:val="center"/>
            </w:pPr>
            <w:r>
              <w:rPr>
                <w:rFonts w:hint="eastAsia"/>
              </w:rPr>
              <w:t>1930年</w:t>
            </w:r>
          </w:p>
        </w:tc>
        <w:tc>
          <w:tcPr>
            <w:tcW w:w="1066" w:type="pct"/>
            <w:vAlign w:val="center"/>
          </w:tcPr>
          <w:p w14:paraId="6863A6DA">
            <w:pPr>
              <w:pStyle w:val="12"/>
              <w:jc w:val="left"/>
            </w:pPr>
            <w:r>
              <w:rPr>
                <w:rFonts w:hint="eastAsia"/>
              </w:rPr>
              <w:t>油山游击队总务</w:t>
            </w:r>
          </w:p>
        </w:tc>
        <w:tc>
          <w:tcPr>
            <w:tcW w:w="1160" w:type="pct"/>
            <w:vAlign w:val="center"/>
          </w:tcPr>
          <w:p w14:paraId="20D2DAAC">
            <w:pPr>
              <w:pStyle w:val="12"/>
              <w:jc w:val="left"/>
            </w:pPr>
            <w:r>
              <w:rPr>
                <w:rFonts w:hint="eastAsia"/>
              </w:rPr>
              <w:t>1932年在连山作战牺牲</w:t>
            </w:r>
          </w:p>
        </w:tc>
      </w:tr>
      <w:tr w14:paraId="026D0C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AD21679">
            <w:pPr>
              <w:pStyle w:val="12"/>
              <w:jc w:val="center"/>
            </w:pPr>
            <w:r>
              <w:rPr>
                <w:rFonts w:hint="eastAsia"/>
              </w:rPr>
              <w:t>陈大路生</w:t>
            </w:r>
          </w:p>
        </w:tc>
        <w:tc>
          <w:tcPr>
            <w:tcW w:w="388" w:type="pct"/>
            <w:vAlign w:val="center"/>
          </w:tcPr>
          <w:p w14:paraId="304C2A7D">
            <w:pPr>
              <w:pStyle w:val="12"/>
              <w:jc w:val="center"/>
            </w:pPr>
            <w:r>
              <w:rPr>
                <w:rFonts w:hint="eastAsia"/>
              </w:rPr>
              <w:t>男</w:t>
            </w:r>
          </w:p>
        </w:tc>
        <w:tc>
          <w:tcPr>
            <w:tcW w:w="582" w:type="pct"/>
            <w:vAlign w:val="center"/>
          </w:tcPr>
          <w:p w14:paraId="492529AD">
            <w:pPr>
              <w:pStyle w:val="12"/>
              <w:jc w:val="center"/>
            </w:pPr>
            <w:r>
              <w:rPr>
                <w:rFonts w:hint="eastAsia"/>
              </w:rPr>
              <w:t>1907年</w:t>
            </w:r>
          </w:p>
        </w:tc>
        <w:tc>
          <w:tcPr>
            <w:tcW w:w="582" w:type="pct"/>
            <w:vAlign w:val="center"/>
          </w:tcPr>
          <w:p w14:paraId="0E7E7A91">
            <w:pPr>
              <w:pStyle w:val="12"/>
              <w:jc w:val="center"/>
            </w:pPr>
            <w:r>
              <w:rPr>
                <w:rFonts w:hint="eastAsia"/>
              </w:rPr>
              <w:t>油山镇</w:t>
            </w:r>
          </w:p>
        </w:tc>
        <w:tc>
          <w:tcPr>
            <w:tcW w:w="582" w:type="pct"/>
            <w:vAlign w:val="center"/>
          </w:tcPr>
          <w:p w14:paraId="088A6EC1">
            <w:pPr>
              <w:pStyle w:val="12"/>
              <w:jc w:val="center"/>
            </w:pPr>
            <w:r>
              <w:rPr>
                <w:rFonts w:hint="eastAsia"/>
              </w:rPr>
              <w:t>1930年</w:t>
            </w:r>
          </w:p>
        </w:tc>
        <w:tc>
          <w:tcPr>
            <w:tcW w:w="1066" w:type="pct"/>
            <w:vAlign w:val="center"/>
          </w:tcPr>
          <w:p w14:paraId="5E93CD88">
            <w:pPr>
              <w:pStyle w:val="12"/>
              <w:jc w:val="left"/>
            </w:pPr>
            <w:r>
              <w:rPr>
                <w:rFonts w:hint="eastAsia"/>
              </w:rPr>
              <w:t>油山游击队员</w:t>
            </w:r>
          </w:p>
        </w:tc>
        <w:tc>
          <w:tcPr>
            <w:tcW w:w="1160" w:type="pct"/>
            <w:vAlign w:val="center"/>
          </w:tcPr>
          <w:p w14:paraId="13D5ED9C">
            <w:pPr>
              <w:pStyle w:val="12"/>
              <w:jc w:val="left"/>
            </w:pPr>
            <w:r>
              <w:rPr>
                <w:rFonts w:hint="eastAsia"/>
              </w:rPr>
              <w:t>1932年在里元作战牺牲</w:t>
            </w:r>
          </w:p>
        </w:tc>
      </w:tr>
      <w:tr w14:paraId="09ED7C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B5E7B3E">
            <w:pPr>
              <w:pStyle w:val="12"/>
              <w:jc w:val="center"/>
            </w:pPr>
            <w:r>
              <w:rPr>
                <w:rFonts w:hint="eastAsia"/>
              </w:rPr>
              <w:t>陈  光</w:t>
            </w:r>
          </w:p>
        </w:tc>
        <w:tc>
          <w:tcPr>
            <w:tcW w:w="388" w:type="pct"/>
            <w:vAlign w:val="center"/>
          </w:tcPr>
          <w:p w14:paraId="188D9C86">
            <w:pPr>
              <w:pStyle w:val="12"/>
              <w:jc w:val="center"/>
            </w:pPr>
            <w:r>
              <w:rPr>
                <w:rFonts w:hint="eastAsia"/>
              </w:rPr>
              <w:t>男</w:t>
            </w:r>
          </w:p>
        </w:tc>
        <w:tc>
          <w:tcPr>
            <w:tcW w:w="582" w:type="pct"/>
            <w:vAlign w:val="center"/>
          </w:tcPr>
          <w:p w14:paraId="5C2FBD44">
            <w:pPr>
              <w:pStyle w:val="12"/>
              <w:jc w:val="center"/>
            </w:pPr>
            <w:r>
              <w:rPr>
                <w:rFonts w:hint="eastAsia"/>
              </w:rPr>
              <w:t>1904年</w:t>
            </w:r>
          </w:p>
        </w:tc>
        <w:tc>
          <w:tcPr>
            <w:tcW w:w="582" w:type="pct"/>
            <w:vAlign w:val="center"/>
          </w:tcPr>
          <w:p w14:paraId="5689CA34">
            <w:pPr>
              <w:pStyle w:val="12"/>
              <w:jc w:val="center"/>
            </w:pPr>
            <w:r>
              <w:rPr>
                <w:rFonts w:hint="eastAsia"/>
              </w:rPr>
              <w:t>油山镇</w:t>
            </w:r>
          </w:p>
        </w:tc>
        <w:tc>
          <w:tcPr>
            <w:tcW w:w="582" w:type="pct"/>
            <w:vAlign w:val="center"/>
          </w:tcPr>
          <w:p w14:paraId="6A08A8AA">
            <w:pPr>
              <w:pStyle w:val="12"/>
              <w:jc w:val="center"/>
            </w:pPr>
            <w:r>
              <w:rPr>
                <w:rFonts w:hint="eastAsia"/>
              </w:rPr>
              <w:t>1927年</w:t>
            </w:r>
          </w:p>
        </w:tc>
        <w:tc>
          <w:tcPr>
            <w:tcW w:w="1066" w:type="pct"/>
            <w:vAlign w:val="center"/>
          </w:tcPr>
          <w:p w14:paraId="4F14ABE1">
            <w:pPr>
              <w:pStyle w:val="12"/>
              <w:jc w:val="left"/>
            </w:pPr>
            <w:r>
              <w:rPr>
                <w:rFonts w:hint="eastAsia"/>
              </w:rPr>
              <w:t>工农红军战士</w:t>
            </w:r>
          </w:p>
        </w:tc>
        <w:tc>
          <w:tcPr>
            <w:tcW w:w="1160" w:type="pct"/>
            <w:vAlign w:val="center"/>
          </w:tcPr>
          <w:p w14:paraId="62D5BC4B">
            <w:pPr>
              <w:pStyle w:val="12"/>
              <w:jc w:val="left"/>
            </w:pPr>
            <w:r>
              <w:rPr>
                <w:rFonts w:hint="eastAsia"/>
              </w:rPr>
              <w:t>1932年在江西大余县横江战斗牺牲</w:t>
            </w:r>
          </w:p>
        </w:tc>
      </w:tr>
      <w:tr w14:paraId="17B876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0900DE5">
            <w:pPr>
              <w:pStyle w:val="12"/>
              <w:jc w:val="center"/>
            </w:pPr>
            <w:r>
              <w:rPr>
                <w:rFonts w:hint="eastAsia"/>
              </w:rPr>
              <w:t>赵世贵</w:t>
            </w:r>
          </w:p>
        </w:tc>
        <w:tc>
          <w:tcPr>
            <w:tcW w:w="388" w:type="pct"/>
            <w:vAlign w:val="center"/>
          </w:tcPr>
          <w:p w14:paraId="5B8B15AD">
            <w:pPr>
              <w:pStyle w:val="12"/>
              <w:jc w:val="center"/>
            </w:pPr>
            <w:r>
              <w:rPr>
                <w:rFonts w:hint="eastAsia"/>
              </w:rPr>
              <w:t>男</w:t>
            </w:r>
          </w:p>
        </w:tc>
        <w:tc>
          <w:tcPr>
            <w:tcW w:w="582" w:type="pct"/>
            <w:vAlign w:val="center"/>
          </w:tcPr>
          <w:p w14:paraId="50CED3B6">
            <w:pPr>
              <w:pStyle w:val="12"/>
              <w:jc w:val="center"/>
            </w:pPr>
            <w:r>
              <w:rPr>
                <w:rFonts w:hint="eastAsia"/>
              </w:rPr>
              <w:t>1908年</w:t>
            </w:r>
          </w:p>
        </w:tc>
        <w:tc>
          <w:tcPr>
            <w:tcW w:w="582" w:type="pct"/>
            <w:vAlign w:val="center"/>
          </w:tcPr>
          <w:p w14:paraId="53E0907F">
            <w:pPr>
              <w:pStyle w:val="12"/>
              <w:jc w:val="center"/>
            </w:pPr>
            <w:r>
              <w:rPr>
                <w:rFonts w:hint="eastAsia"/>
              </w:rPr>
              <w:t>油山镇</w:t>
            </w:r>
          </w:p>
        </w:tc>
        <w:tc>
          <w:tcPr>
            <w:tcW w:w="582" w:type="pct"/>
            <w:vAlign w:val="center"/>
          </w:tcPr>
          <w:p w14:paraId="4E71C0B5">
            <w:pPr>
              <w:pStyle w:val="12"/>
              <w:jc w:val="center"/>
            </w:pPr>
            <w:r>
              <w:rPr>
                <w:rFonts w:hint="eastAsia"/>
              </w:rPr>
              <w:t>1929年</w:t>
            </w:r>
          </w:p>
        </w:tc>
        <w:tc>
          <w:tcPr>
            <w:tcW w:w="1066" w:type="pct"/>
            <w:vAlign w:val="center"/>
          </w:tcPr>
          <w:p w14:paraId="28C63AC5">
            <w:pPr>
              <w:pStyle w:val="12"/>
              <w:jc w:val="left"/>
            </w:pPr>
            <w:r>
              <w:rPr>
                <w:rFonts w:hint="eastAsia"/>
              </w:rPr>
              <w:t>油山游击队员</w:t>
            </w:r>
          </w:p>
        </w:tc>
        <w:tc>
          <w:tcPr>
            <w:tcW w:w="1160" w:type="pct"/>
            <w:vAlign w:val="center"/>
          </w:tcPr>
          <w:p w14:paraId="66A73414">
            <w:pPr>
              <w:pStyle w:val="12"/>
              <w:jc w:val="left"/>
            </w:pPr>
            <w:r>
              <w:rPr>
                <w:rFonts w:hint="eastAsia"/>
              </w:rPr>
              <w:t>1932年在许村战斗中牺牲</w:t>
            </w:r>
          </w:p>
        </w:tc>
      </w:tr>
      <w:tr w14:paraId="367BF9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C6662AE">
            <w:pPr>
              <w:pStyle w:val="12"/>
              <w:jc w:val="center"/>
            </w:pPr>
            <w:r>
              <w:rPr>
                <w:rFonts w:hint="eastAsia"/>
              </w:rPr>
              <w:t>孔正月狗</w:t>
            </w:r>
          </w:p>
        </w:tc>
        <w:tc>
          <w:tcPr>
            <w:tcW w:w="388" w:type="pct"/>
            <w:vAlign w:val="center"/>
          </w:tcPr>
          <w:p w14:paraId="6C1BBA38">
            <w:pPr>
              <w:pStyle w:val="12"/>
              <w:jc w:val="center"/>
            </w:pPr>
            <w:r>
              <w:rPr>
                <w:rFonts w:hint="eastAsia"/>
              </w:rPr>
              <w:t>男</w:t>
            </w:r>
          </w:p>
        </w:tc>
        <w:tc>
          <w:tcPr>
            <w:tcW w:w="582" w:type="pct"/>
            <w:vAlign w:val="center"/>
          </w:tcPr>
          <w:p w14:paraId="5FF9932D">
            <w:pPr>
              <w:pStyle w:val="12"/>
              <w:jc w:val="center"/>
            </w:pPr>
            <w:r>
              <w:rPr>
                <w:rFonts w:hint="eastAsia"/>
              </w:rPr>
              <w:t>1913年</w:t>
            </w:r>
          </w:p>
        </w:tc>
        <w:tc>
          <w:tcPr>
            <w:tcW w:w="582" w:type="pct"/>
            <w:vAlign w:val="center"/>
          </w:tcPr>
          <w:p w14:paraId="209073CD">
            <w:pPr>
              <w:pStyle w:val="12"/>
              <w:jc w:val="center"/>
            </w:pPr>
            <w:r>
              <w:rPr>
                <w:rFonts w:hint="eastAsia"/>
              </w:rPr>
              <w:t>油山镇</w:t>
            </w:r>
          </w:p>
        </w:tc>
        <w:tc>
          <w:tcPr>
            <w:tcW w:w="582" w:type="pct"/>
            <w:vAlign w:val="center"/>
          </w:tcPr>
          <w:p w14:paraId="16419644">
            <w:pPr>
              <w:pStyle w:val="12"/>
              <w:jc w:val="center"/>
            </w:pPr>
            <w:r>
              <w:rPr>
                <w:rFonts w:hint="eastAsia"/>
              </w:rPr>
              <w:t>1930年</w:t>
            </w:r>
          </w:p>
        </w:tc>
        <w:tc>
          <w:tcPr>
            <w:tcW w:w="1066" w:type="pct"/>
            <w:vAlign w:val="center"/>
          </w:tcPr>
          <w:p w14:paraId="008CAD9F">
            <w:pPr>
              <w:pStyle w:val="12"/>
              <w:jc w:val="left"/>
            </w:pPr>
            <w:r>
              <w:rPr>
                <w:rFonts w:hint="eastAsia"/>
              </w:rPr>
              <w:t>工农红军战士</w:t>
            </w:r>
          </w:p>
        </w:tc>
        <w:tc>
          <w:tcPr>
            <w:tcW w:w="1160" w:type="pct"/>
            <w:vAlign w:val="center"/>
          </w:tcPr>
          <w:p w14:paraId="590C8A05">
            <w:pPr>
              <w:pStyle w:val="12"/>
              <w:jc w:val="left"/>
            </w:pPr>
            <w:r>
              <w:rPr>
                <w:rFonts w:hint="eastAsia"/>
              </w:rPr>
              <w:t>1932年在江西东河战斗牺牲</w:t>
            </w:r>
          </w:p>
        </w:tc>
      </w:tr>
      <w:tr w14:paraId="31D577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161B0D2">
            <w:pPr>
              <w:pStyle w:val="12"/>
              <w:jc w:val="center"/>
            </w:pPr>
            <w:r>
              <w:rPr>
                <w:rFonts w:hint="eastAsia"/>
              </w:rPr>
              <w:t>李光廷</w:t>
            </w:r>
          </w:p>
        </w:tc>
        <w:tc>
          <w:tcPr>
            <w:tcW w:w="388" w:type="pct"/>
            <w:vAlign w:val="center"/>
          </w:tcPr>
          <w:p w14:paraId="3CC58001">
            <w:pPr>
              <w:pStyle w:val="12"/>
              <w:jc w:val="center"/>
            </w:pPr>
            <w:r>
              <w:rPr>
                <w:rFonts w:hint="eastAsia"/>
              </w:rPr>
              <w:t>男</w:t>
            </w:r>
          </w:p>
        </w:tc>
        <w:tc>
          <w:tcPr>
            <w:tcW w:w="582" w:type="pct"/>
            <w:vAlign w:val="center"/>
          </w:tcPr>
          <w:p w14:paraId="431E4574">
            <w:pPr>
              <w:pStyle w:val="12"/>
              <w:jc w:val="center"/>
            </w:pPr>
            <w:r>
              <w:rPr>
                <w:rFonts w:hint="eastAsia"/>
              </w:rPr>
              <w:t>1904年</w:t>
            </w:r>
          </w:p>
        </w:tc>
        <w:tc>
          <w:tcPr>
            <w:tcW w:w="582" w:type="pct"/>
            <w:vAlign w:val="center"/>
          </w:tcPr>
          <w:p w14:paraId="6AC29E89">
            <w:pPr>
              <w:pStyle w:val="12"/>
              <w:jc w:val="center"/>
            </w:pPr>
            <w:r>
              <w:rPr>
                <w:rFonts w:hint="eastAsia"/>
              </w:rPr>
              <w:t>油山镇</w:t>
            </w:r>
          </w:p>
        </w:tc>
        <w:tc>
          <w:tcPr>
            <w:tcW w:w="582" w:type="pct"/>
            <w:vAlign w:val="center"/>
          </w:tcPr>
          <w:p w14:paraId="44D3E816">
            <w:pPr>
              <w:pStyle w:val="12"/>
              <w:jc w:val="center"/>
            </w:pPr>
            <w:r>
              <w:rPr>
                <w:rFonts w:hint="eastAsia"/>
              </w:rPr>
              <w:t>1932年</w:t>
            </w:r>
          </w:p>
        </w:tc>
        <w:tc>
          <w:tcPr>
            <w:tcW w:w="1066" w:type="pct"/>
            <w:vAlign w:val="center"/>
          </w:tcPr>
          <w:p w14:paraId="7A44E13D">
            <w:pPr>
              <w:pStyle w:val="12"/>
              <w:jc w:val="left"/>
            </w:pPr>
            <w:r>
              <w:rPr>
                <w:rFonts w:hint="eastAsia"/>
              </w:rPr>
              <w:t>油山游击队队员</w:t>
            </w:r>
          </w:p>
        </w:tc>
        <w:tc>
          <w:tcPr>
            <w:tcW w:w="1160" w:type="pct"/>
            <w:vAlign w:val="center"/>
          </w:tcPr>
          <w:p w14:paraId="47EA9B90">
            <w:pPr>
              <w:pStyle w:val="12"/>
              <w:jc w:val="left"/>
            </w:pPr>
            <w:r>
              <w:rPr>
                <w:rFonts w:hint="eastAsia"/>
              </w:rPr>
              <w:t>1932年在大塘战斗中牺牲</w:t>
            </w:r>
          </w:p>
        </w:tc>
      </w:tr>
      <w:tr w14:paraId="5D1D77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623CD72">
            <w:pPr>
              <w:pStyle w:val="12"/>
              <w:jc w:val="center"/>
            </w:pPr>
            <w:r>
              <w:rPr>
                <w:rFonts w:hint="eastAsia"/>
              </w:rPr>
              <w:t>钟杨必</w:t>
            </w:r>
          </w:p>
        </w:tc>
        <w:tc>
          <w:tcPr>
            <w:tcW w:w="388" w:type="pct"/>
            <w:vAlign w:val="center"/>
          </w:tcPr>
          <w:p w14:paraId="6979DCAF">
            <w:pPr>
              <w:pStyle w:val="12"/>
              <w:jc w:val="center"/>
            </w:pPr>
            <w:r>
              <w:rPr>
                <w:rFonts w:hint="eastAsia"/>
              </w:rPr>
              <w:t>男</w:t>
            </w:r>
          </w:p>
        </w:tc>
        <w:tc>
          <w:tcPr>
            <w:tcW w:w="582" w:type="pct"/>
            <w:vAlign w:val="center"/>
          </w:tcPr>
          <w:p w14:paraId="6F70347B">
            <w:pPr>
              <w:pStyle w:val="12"/>
              <w:jc w:val="center"/>
            </w:pPr>
            <w:r>
              <w:rPr>
                <w:rFonts w:hint="eastAsia"/>
              </w:rPr>
              <w:t>1910年</w:t>
            </w:r>
          </w:p>
        </w:tc>
        <w:tc>
          <w:tcPr>
            <w:tcW w:w="582" w:type="pct"/>
            <w:vAlign w:val="center"/>
          </w:tcPr>
          <w:p w14:paraId="146A9D3A">
            <w:pPr>
              <w:pStyle w:val="12"/>
              <w:jc w:val="center"/>
            </w:pPr>
            <w:r>
              <w:rPr>
                <w:rFonts w:hint="eastAsia"/>
              </w:rPr>
              <w:t>油山镇</w:t>
            </w:r>
          </w:p>
        </w:tc>
        <w:tc>
          <w:tcPr>
            <w:tcW w:w="582" w:type="pct"/>
            <w:vAlign w:val="center"/>
          </w:tcPr>
          <w:p w14:paraId="7A11A85A">
            <w:pPr>
              <w:pStyle w:val="12"/>
              <w:jc w:val="center"/>
            </w:pPr>
            <w:r>
              <w:rPr>
                <w:rFonts w:hint="eastAsia"/>
              </w:rPr>
              <w:t>1932年</w:t>
            </w:r>
          </w:p>
        </w:tc>
        <w:tc>
          <w:tcPr>
            <w:tcW w:w="1066" w:type="pct"/>
            <w:vAlign w:val="center"/>
          </w:tcPr>
          <w:p w14:paraId="7CBC460C">
            <w:pPr>
              <w:pStyle w:val="12"/>
              <w:jc w:val="left"/>
            </w:pPr>
            <w:r>
              <w:rPr>
                <w:rFonts w:hint="eastAsia"/>
              </w:rPr>
              <w:t>油山游击队队员</w:t>
            </w:r>
          </w:p>
        </w:tc>
        <w:tc>
          <w:tcPr>
            <w:tcW w:w="1160" w:type="pct"/>
            <w:vAlign w:val="center"/>
          </w:tcPr>
          <w:p w14:paraId="7F1E37B6">
            <w:pPr>
              <w:pStyle w:val="12"/>
              <w:jc w:val="left"/>
            </w:pPr>
            <w:r>
              <w:rPr>
                <w:rFonts w:hint="eastAsia"/>
              </w:rPr>
              <w:t>1932年在江西东河战斗牺牲</w:t>
            </w:r>
          </w:p>
        </w:tc>
      </w:tr>
      <w:tr w14:paraId="08908E9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D37B567">
            <w:pPr>
              <w:pStyle w:val="12"/>
              <w:jc w:val="center"/>
            </w:pPr>
            <w:r>
              <w:rPr>
                <w:rFonts w:hint="eastAsia"/>
              </w:rPr>
              <w:t>陈厚眼皮</w:t>
            </w:r>
          </w:p>
        </w:tc>
        <w:tc>
          <w:tcPr>
            <w:tcW w:w="388" w:type="pct"/>
            <w:vAlign w:val="center"/>
          </w:tcPr>
          <w:p w14:paraId="7BA85F60">
            <w:pPr>
              <w:pStyle w:val="12"/>
              <w:jc w:val="center"/>
            </w:pPr>
            <w:r>
              <w:rPr>
                <w:rFonts w:hint="eastAsia"/>
              </w:rPr>
              <w:t>男</w:t>
            </w:r>
          </w:p>
        </w:tc>
        <w:tc>
          <w:tcPr>
            <w:tcW w:w="582" w:type="pct"/>
            <w:vAlign w:val="center"/>
          </w:tcPr>
          <w:p w14:paraId="6180439C">
            <w:pPr>
              <w:pStyle w:val="12"/>
              <w:jc w:val="center"/>
            </w:pPr>
            <w:r>
              <w:rPr>
                <w:rFonts w:hint="eastAsia"/>
              </w:rPr>
              <w:t>1912年</w:t>
            </w:r>
          </w:p>
        </w:tc>
        <w:tc>
          <w:tcPr>
            <w:tcW w:w="582" w:type="pct"/>
            <w:vAlign w:val="center"/>
          </w:tcPr>
          <w:p w14:paraId="12BCB188">
            <w:pPr>
              <w:pStyle w:val="12"/>
              <w:jc w:val="center"/>
            </w:pPr>
            <w:r>
              <w:rPr>
                <w:rFonts w:hint="eastAsia"/>
              </w:rPr>
              <w:t>油山镇</w:t>
            </w:r>
          </w:p>
        </w:tc>
        <w:tc>
          <w:tcPr>
            <w:tcW w:w="582" w:type="pct"/>
            <w:vAlign w:val="center"/>
          </w:tcPr>
          <w:p w14:paraId="6C03809F">
            <w:pPr>
              <w:pStyle w:val="12"/>
              <w:jc w:val="center"/>
            </w:pPr>
            <w:r>
              <w:rPr>
                <w:rFonts w:hint="eastAsia"/>
              </w:rPr>
              <w:t>1932年</w:t>
            </w:r>
          </w:p>
        </w:tc>
        <w:tc>
          <w:tcPr>
            <w:tcW w:w="1066" w:type="pct"/>
            <w:vAlign w:val="center"/>
          </w:tcPr>
          <w:p w14:paraId="456D2C23">
            <w:pPr>
              <w:pStyle w:val="12"/>
              <w:jc w:val="left"/>
            </w:pPr>
            <w:r>
              <w:rPr>
                <w:rFonts w:hint="eastAsia"/>
              </w:rPr>
              <w:t>工农红军战士</w:t>
            </w:r>
          </w:p>
        </w:tc>
        <w:tc>
          <w:tcPr>
            <w:tcW w:w="1160" w:type="pct"/>
            <w:vAlign w:val="center"/>
          </w:tcPr>
          <w:p w14:paraId="70181D3B">
            <w:pPr>
              <w:pStyle w:val="12"/>
              <w:jc w:val="left"/>
            </w:pPr>
            <w:r>
              <w:rPr>
                <w:rFonts w:hint="eastAsia"/>
              </w:rPr>
              <w:t>1932年在江西东河战斗牺牲</w:t>
            </w:r>
          </w:p>
        </w:tc>
      </w:tr>
      <w:tr w14:paraId="1258647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4861FE0">
            <w:pPr>
              <w:pStyle w:val="12"/>
              <w:jc w:val="center"/>
            </w:pPr>
            <w:r>
              <w:rPr>
                <w:rFonts w:hint="eastAsia"/>
              </w:rPr>
              <w:t>童教化妹</w:t>
            </w:r>
          </w:p>
        </w:tc>
        <w:tc>
          <w:tcPr>
            <w:tcW w:w="388" w:type="pct"/>
            <w:vAlign w:val="center"/>
          </w:tcPr>
          <w:p w14:paraId="2D74D340">
            <w:pPr>
              <w:pStyle w:val="12"/>
              <w:jc w:val="center"/>
            </w:pPr>
            <w:r>
              <w:rPr>
                <w:rFonts w:hint="eastAsia"/>
              </w:rPr>
              <w:t>男</w:t>
            </w:r>
          </w:p>
        </w:tc>
        <w:tc>
          <w:tcPr>
            <w:tcW w:w="582" w:type="pct"/>
            <w:vAlign w:val="center"/>
          </w:tcPr>
          <w:p w14:paraId="735C0643">
            <w:pPr>
              <w:pStyle w:val="12"/>
              <w:jc w:val="center"/>
            </w:pPr>
            <w:r>
              <w:rPr>
                <w:rFonts w:hint="eastAsia"/>
              </w:rPr>
              <w:t>1906年</w:t>
            </w:r>
          </w:p>
        </w:tc>
        <w:tc>
          <w:tcPr>
            <w:tcW w:w="582" w:type="pct"/>
            <w:vAlign w:val="center"/>
          </w:tcPr>
          <w:p w14:paraId="1492DA58">
            <w:pPr>
              <w:pStyle w:val="12"/>
              <w:jc w:val="center"/>
            </w:pPr>
            <w:r>
              <w:rPr>
                <w:rFonts w:hint="eastAsia"/>
              </w:rPr>
              <w:t>乌迳镇</w:t>
            </w:r>
          </w:p>
        </w:tc>
        <w:tc>
          <w:tcPr>
            <w:tcW w:w="582" w:type="pct"/>
            <w:vAlign w:val="center"/>
          </w:tcPr>
          <w:p w14:paraId="528DD86D">
            <w:pPr>
              <w:pStyle w:val="12"/>
              <w:jc w:val="center"/>
            </w:pPr>
            <w:r>
              <w:rPr>
                <w:rFonts w:hint="eastAsia"/>
              </w:rPr>
              <w:t>1928年</w:t>
            </w:r>
          </w:p>
        </w:tc>
        <w:tc>
          <w:tcPr>
            <w:tcW w:w="1066" w:type="pct"/>
            <w:vAlign w:val="center"/>
          </w:tcPr>
          <w:p w14:paraId="36660064">
            <w:pPr>
              <w:pStyle w:val="12"/>
              <w:jc w:val="left"/>
            </w:pPr>
            <w:r>
              <w:rPr>
                <w:rFonts w:hint="eastAsia"/>
              </w:rPr>
              <w:t>南山游击队队员</w:t>
            </w:r>
          </w:p>
        </w:tc>
        <w:tc>
          <w:tcPr>
            <w:tcW w:w="1160" w:type="pct"/>
            <w:vAlign w:val="center"/>
          </w:tcPr>
          <w:p w14:paraId="459E8D1D">
            <w:pPr>
              <w:pStyle w:val="12"/>
              <w:jc w:val="left"/>
            </w:pPr>
            <w:r>
              <w:rPr>
                <w:rFonts w:hint="eastAsia"/>
              </w:rPr>
              <w:t>1932年在乌迳缠塘被捕，在乌迳就义</w:t>
            </w:r>
          </w:p>
        </w:tc>
      </w:tr>
      <w:tr w14:paraId="280E20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FFDD5A5">
            <w:pPr>
              <w:pStyle w:val="12"/>
              <w:jc w:val="center"/>
            </w:pPr>
            <w:r>
              <w:rPr>
                <w:rFonts w:hint="eastAsia"/>
              </w:rPr>
              <w:t>王贵德</w:t>
            </w:r>
          </w:p>
        </w:tc>
        <w:tc>
          <w:tcPr>
            <w:tcW w:w="388" w:type="pct"/>
            <w:vAlign w:val="center"/>
          </w:tcPr>
          <w:p w14:paraId="05213E8F">
            <w:pPr>
              <w:pStyle w:val="12"/>
              <w:jc w:val="center"/>
            </w:pPr>
            <w:r>
              <w:rPr>
                <w:rFonts w:hint="eastAsia"/>
              </w:rPr>
              <w:t>男</w:t>
            </w:r>
          </w:p>
        </w:tc>
        <w:tc>
          <w:tcPr>
            <w:tcW w:w="582" w:type="pct"/>
            <w:vAlign w:val="center"/>
          </w:tcPr>
          <w:p w14:paraId="78C89630">
            <w:pPr>
              <w:pStyle w:val="12"/>
              <w:jc w:val="center"/>
            </w:pPr>
            <w:r>
              <w:rPr>
                <w:rFonts w:hint="eastAsia"/>
              </w:rPr>
              <w:t>1902年</w:t>
            </w:r>
          </w:p>
        </w:tc>
        <w:tc>
          <w:tcPr>
            <w:tcW w:w="582" w:type="pct"/>
            <w:vAlign w:val="center"/>
          </w:tcPr>
          <w:p w14:paraId="6452E5A5">
            <w:pPr>
              <w:pStyle w:val="12"/>
              <w:jc w:val="center"/>
            </w:pPr>
            <w:r>
              <w:rPr>
                <w:rFonts w:hint="eastAsia"/>
              </w:rPr>
              <w:t>乌迳镇</w:t>
            </w:r>
          </w:p>
        </w:tc>
        <w:tc>
          <w:tcPr>
            <w:tcW w:w="582" w:type="pct"/>
            <w:vAlign w:val="center"/>
          </w:tcPr>
          <w:p w14:paraId="42CD3173">
            <w:pPr>
              <w:pStyle w:val="12"/>
              <w:jc w:val="center"/>
            </w:pPr>
            <w:r>
              <w:rPr>
                <w:rFonts w:hint="eastAsia"/>
              </w:rPr>
              <w:t>1928年</w:t>
            </w:r>
          </w:p>
        </w:tc>
        <w:tc>
          <w:tcPr>
            <w:tcW w:w="1066" w:type="pct"/>
            <w:vAlign w:val="center"/>
          </w:tcPr>
          <w:p w14:paraId="599D1A09">
            <w:pPr>
              <w:pStyle w:val="12"/>
              <w:jc w:val="left"/>
            </w:pPr>
            <w:r>
              <w:rPr>
                <w:rFonts w:hint="eastAsia"/>
              </w:rPr>
              <w:t>南山游击队队员</w:t>
            </w:r>
          </w:p>
        </w:tc>
        <w:tc>
          <w:tcPr>
            <w:tcW w:w="1160" w:type="pct"/>
            <w:vAlign w:val="center"/>
          </w:tcPr>
          <w:p w14:paraId="201FCC3C">
            <w:pPr>
              <w:pStyle w:val="12"/>
              <w:jc w:val="left"/>
            </w:pPr>
            <w:r>
              <w:rPr>
                <w:rFonts w:hint="eastAsia"/>
              </w:rPr>
              <w:t>1932年在溯水旁江被捕，在乌迳就义</w:t>
            </w:r>
          </w:p>
        </w:tc>
      </w:tr>
      <w:tr w14:paraId="2BD82F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B196A94">
            <w:pPr>
              <w:pStyle w:val="12"/>
              <w:jc w:val="center"/>
            </w:pPr>
            <w:r>
              <w:rPr>
                <w:rFonts w:hint="eastAsia"/>
              </w:rPr>
              <w:t>郑芳谨</w:t>
            </w:r>
          </w:p>
        </w:tc>
        <w:tc>
          <w:tcPr>
            <w:tcW w:w="388" w:type="pct"/>
            <w:vAlign w:val="center"/>
          </w:tcPr>
          <w:p w14:paraId="349A6FE9">
            <w:pPr>
              <w:pStyle w:val="12"/>
              <w:jc w:val="center"/>
            </w:pPr>
            <w:r>
              <w:rPr>
                <w:rFonts w:hint="eastAsia"/>
              </w:rPr>
              <w:t>男</w:t>
            </w:r>
          </w:p>
        </w:tc>
        <w:tc>
          <w:tcPr>
            <w:tcW w:w="582" w:type="pct"/>
            <w:vAlign w:val="center"/>
          </w:tcPr>
          <w:p w14:paraId="2EF8CF46">
            <w:pPr>
              <w:pStyle w:val="12"/>
              <w:jc w:val="center"/>
            </w:pPr>
            <w:r>
              <w:rPr>
                <w:rFonts w:hint="eastAsia"/>
              </w:rPr>
              <w:t>1890年</w:t>
            </w:r>
          </w:p>
        </w:tc>
        <w:tc>
          <w:tcPr>
            <w:tcW w:w="582" w:type="pct"/>
            <w:vAlign w:val="center"/>
          </w:tcPr>
          <w:p w14:paraId="03D974D0">
            <w:pPr>
              <w:pStyle w:val="12"/>
              <w:jc w:val="center"/>
            </w:pPr>
            <w:r>
              <w:rPr>
                <w:rFonts w:hint="eastAsia"/>
              </w:rPr>
              <w:t>乌迳镇</w:t>
            </w:r>
          </w:p>
        </w:tc>
        <w:tc>
          <w:tcPr>
            <w:tcW w:w="582" w:type="pct"/>
            <w:vAlign w:val="center"/>
          </w:tcPr>
          <w:p w14:paraId="5A82E441">
            <w:pPr>
              <w:pStyle w:val="12"/>
              <w:jc w:val="center"/>
            </w:pPr>
            <w:r>
              <w:rPr>
                <w:rFonts w:hint="eastAsia"/>
              </w:rPr>
              <w:t>1928年</w:t>
            </w:r>
          </w:p>
        </w:tc>
        <w:tc>
          <w:tcPr>
            <w:tcW w:w="1066" w:type="pct"/>
            <w:vAlign w:val="center"/>
          </w:tcPr>
          <w:p w14:paraId="43E7DF2F">
            <w:pPr>
              <w:pStyle w:val="12"/>
              <w:jc w:val="left"/>
            </w:pPr>
            <w:r>
              <w:rPr>
                <w:rFonts w:hint="eastAsia"/>
              </w:rPr>
              <w:t>南山游击队队员</w:t>
            </w:r>
          </w:p>
        </w:tc>
        <w:tc>
          <w:tcPr>
            <w:tcW w:w="1160" w:type="pct"/>
            <w:vAlign w:val="center"/>
          </w:tcPr>
          <w:p w14:paraId="0B517824">
            <w:pPr>
              <w:pStyle w:val="12"/>
              <w:jc w:val="left"/>
            </w:pPr>
            <w:r>
              <w:rPr>
                <w:rFonts w:hint="eastAsia"/>
              </w:rPr>
              <w:t>1932年在黄洞被捕，在乌迳就义</w:t>
            </w:r>
          </w:p>
        </w:tc>
      </w:tr>
      <w:tr w14:paraId="193B06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91DEB29">
            <w:pPr>
              <w:pStyle w:val="12"/>
              <w:jc w:val="center"/>
            </w:pPr>
            <w:r>
              <w:rPr>
                <w:rFonts w:hint="eastAsia"/>
              </w:rPr>
              <w:t>袁祯义</w:t>
            </w:r>
          </w:p>
        </w:tc>
        <w:tc>
          <w:tcPr>
            <w:tcW w:w="388" w:type="pct"/>
            <w:vAlign w:val="center"/>
          </w:tcPr>
          <w:p w14:paraId="46687770">
            <w:pPr>
              <w:pStyle w:val="12"/>
              <w:jc w:val="center"/>
            </w:pPr>
            <w:r>
              <w:rPr>
                <w:rFonts w:hint="eastAsia"/>
              </w:rPr>
              <w:t>男</w:t>
            </w:r>
          </w:p>
        </w:tc>
        <w:tc>
          <w:tcPr>
            <w:tcW w:w="582" w:type="pct"/>
            <w:vAlign w:val="center"/>
          </w:tcPr>
          <w:p w14:paraId="6A67EABE">
            <w:pPr>
              <w:pStyle w:val="12"/>
              <w:jc w:val="center"/>
            </w:pPr>
            <w:r>
              <w:rPr>
                <w:rFonts w:hint="eastAsia"/>
              </w:rPr>
              <w:t>1882年</w:t>
            </w:r>
          </w:p>
        </w:tc>
        <w:tc>
          <w:tcPr>
            <w:tcW w:w="582" w:type="pct"/>
            <w:vAlign w:val="center"/>
          </w:tcPr>
          <w:p w14:paraId="063E18D4">
            <w:pPr>
              <w:pStyle w:val="12"/>
              <w:jc w:val="center"/>
            </w:pPr>
            <w:r>
              <w:rPr>
                <w:rFonts w:hint="eastAsia"/>
              </w:rPr>
              <w:t>湖口镇</w:t>
            </w:r>
          </w:p>
        </w:tc>
        <w:tc>
          <w:tcPr>
            <w:tcW w:w="582" w:type="pct"/>
            <w:vAlign w:val="center"/>
          </w:tcPr>
          <w:p w14:paraId="60AEDE4C">
            <w:pPr>
              <w:pStyle w:val="12"/>
              <w:jc w:val="center"/>
            </w:pPr>
            <w:r>
              <w:rPr>
                <w:rFonts w:hint="eastAsia"/>
              </w:rPr>
              <w:t>1929年</w:t>
            </w:r>
          </w:p>
        </w:tc>
        <w:tc>
          <w:tcPr>
            <w:tcW w:w="1066" w:type="pct"/>
            <w:vAlign w:val="center"/>
          </w:tcPr>
          <w:p w14:paraId="6DB1AEA2">
            <w:pPr>
              <w:pStyle w:val="12"/>
              <w:jc w:val="left"/>
            </w:pPr>
            <w:r>
              <w:rPr>
                <w:rFonts w:hint="eastAsia"/>
              </w:rPr>
              <w:t>工农红军战士</w:t>
            </w:r>
          </w:p>
        </w:tc>
        <w:tc>
          <w:tcPr>
            <w:tcW w:w="1160" w:type="pct"/>
            <w:vAlign w:val="center"/>
          </w:tcPr>
          <w:p w14:paraId="25CB40F6">
            <w:pPr>
              <w:pStyle w:val="12"/>
              <w:jc w:val="left"/>
            </w:pPr>
            <w:r>
              <w:rPr>
                <w:rFonts w:hint="eastAsia"/>
              </w:rPr>
              <w:t>1932年在江西崇义县突围战斗牺牲</w:t>
            </w:r>
          </w:p>
        </w:tc>
      </w:tr>
      <w:tr w14:paraId="60E3D9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9C1E0CB">
            <w:pPr>
              <w:pStyle w:val="12"/>
              <w:jc w:val="center"/>
            </w:pPr>
            <w:r>
              <w:rPr>
                <w:rFonts w:hint="eastAsia"/>
              </w:rPr>
              <w:t>彭茂顺</w:t>
            </w:r>
          </w:p>
        </w:tc>
        <w:tc>
          <w:tcPr>
            <w:tcW w:w="388" w:type="pct"/>
            <w:vAlign w:val="center"/>
          </w:tcPr>
          <w:p w14:paraId="3D30B365">
            <w:pPr>
              <w:pStyle w:val="12"/>
              <w:jc w:val="center"/>
            </w:pPr>
            <w:r>
              <w:rPr>
                <w:rFonts w:hint="eastAsia"/>
              </w:rPr>
              <w:t>男</w:t>
            </w:r>
          </w:p>
        </w:tc>
        <w:tc>
          <w:tcPr>
            <w:tcW w:w="582" w:type="pct"/>
            <w:vAlign w:val="center"/>
          </w:tcPr>
          <w:p w14:paraId="453057DC">
            <w:pPr>
              <w:pStyle w:val="12"/>
              <w:jc w:val="center"/>
            </w:pPr>
            <w:r>
              <w:rPr>
                <w:rFonts w:hint="eastAsia"/>
              </w:rPr>
              <w:t>1900年</w:t>
            </w:r>
          </w:p>
        </w:tc>
        <w:tc>
          <w:tcPr>
            <w:tcW w:w="582" w:type="pct"/>
            <w:vAlign w:val="center"/>
          </w:tcPr>
          <w:p w14:paraId="66D8D832">
            <w:pPr>
              <w:pStyle w:val="12"/>
              <w:jc w:val="center"/>
            </w:pPr>
            <w:r>
              <w:rPr>
                <w:rFonts w:hint="eastAsia"/>
              </w:rPr>
              <w:t>南  雄</w:t>
            </w:r>
          </w:p>
        </w:tc>
        <w:tc>
          <w:tcPr>
            <w:tcW w:w="582" w:type="pct"/>
            <w:vAlign w:val="center"/>
          </w:tcPr>
          <w:p w14:paraId="7B661692">
            <w:pPr>
              <w:pStyle w:val="12"/>
              <w:jc w:val="center"/>
            </w:pPr>
            <w:r>
              <w:rPr>
                <w:rFonts w:hint="eastAsia"/>
              </w:rPr>
              <w:t>1932年</w:t>
            </w:r>
          </w:p>
        </w:tc>
        <w:tc>
          <w:tcPr>
            <w:tcW w:w="1066" w:type="pct"/>
            <w:vAlign w:val="center"/>
          </w:tcPr>
          <w:p w14:paraId="76BCDF52">
            <w:pPr>
              <w:pStyle w:val="12"/>
              <w:jc w:val="left"/>
            </w:pPr>
            <w:r>
              <w:rPr>
                <w:rFonts w:hint="eastAsia"/>
              </w:rPr>
              <w:t>油山游击队队员</w:t>
            </w:r>
          </w:p>
        </w:tc>
        <w:tc>
          <w:tcPr>
            <w:tcW w:w="1160" w:type="pct"/>
            <w:vAlign w:val="center"/>
          </w:tcPr>
          <w:p w14:paraId="1B28874F">
            <w:pPr>
              <w:pStyle w:val="12"/>
              <w:jc w:val="left"/>
            </w:pPr>
            <w:r>
              <w:rPr>
                <w:rFonts w:hint="eastAsia"/>
              </w:rPr>
              <w:t>1932年在油山犁牛坪被捕，在上朔就义</w:t>
            </w:r>
          </w:p>
        </w:tc>
      </w:tr>
      <w:tr w14:paraId="45F49C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1944D20">
            <w:pPr>
              <w:pStyle w:val="12"/>
              <w:jc w:val="center"/>
            </w:pPr>
            <w:r>
              <w:rPr>
                <w:rFonts w:hint="eastAsia"/>
              </w:rPr>
              <w:t>张祥基</w:t>
            </w:r>
          </w:p>
        </w:tc>
        <w:tc>
          <w:tcPr>
            <w:tcW w:w="388" w:type="pct"/>
            <w:vAlign w:val="center"/>
          </w:tcPr>
          <w:p w14:paraId="37FDB8FB">
            <w:pPr>
              <w:pStyle w:val="12"/>
              <w:jc w:val="center"/>
            </w:pPr>
            <w:r>
              <w:rPr>
                <w:rFonts w:hint="eastAsia"/>
              </w:rPr>
              <w:t>男</w:t>
            </w:r>
          </w:p>
        </w:tc>
        <w:tc>
          <w:tcPr>
            <w:tcW w:w="582" w:type="pct"/>
            <w:vAlign w:val="center"/>
          </w:tcPr>
          <w:p w14:paraId="5534905E">
            <w:pPr>
              <w:pStyle w:val="12"/>
              <w:jc w:val="center"/>
            </w:pPr>
            <w:r>
              <w:rPr>
                <w:rFonts w:hint="eastAsia"/>
              </w:rPr>
              <w:t>1893年</w:t>
            </w:r>
          </w:p>
        </w:tc>
        <w:tc>
          <w:tcPr>
            <w:tcW w:w="582" w:type="pct"/>
            <w:vAlign w:val="center"/>
          </w:tcPr>
          <w:p w14:paraId="2B791F92">
            <w:pPr>
              <w:pStyle w:val="12"/>
              <w:jc w:val="center"/>
            </w:pPr>
            <w:r>
              <w:rPr>
                <w:rFonts w:hint="eastAsia"/>
              </w:rPr>
              <w:t>湖口镇</w:t>
            </w:r>
          </w:p>
        </w:tc>
        <w:tc>
          <w:tcPr>
            <w:tcW w:w="582" w:type="pct"/>
            <w:vAlign w:val="center"/>
          </w:tcPr>
          <w:p w14:paraId="2A24765D">
            <w:pPr>
              <w:pStyle w:val="12"/>
              <w:jc w:val="center"/>
            </w:pPr>
            <w:r>
              <w:rPr>
                <w:rFonts w:hint="eastAsia"/>
              </w:rPr>
              <w:t>1929年</w:t>
            </w:r>
          </w:p>
        </w:tc>
        <w:tc>
          <w:tcPr>
            <w:tcW w:w="1066" w:type="pct"/>
            <w:vAlign w:val="center"/>
          </w:tcPr>
          <w:p w14:paraId="450D954D">
            <w:pPr>
              <w:pStyle w:val="12"/>
              <w:jc w:val="left"/>
            </w:pPr>
            <w:r>
              <w:rPr>
                <w:rFonts w:hint="eastAsia"/>
              </w:rPr>
              <w:t>油山游击队队员</w:t>
            </w:r>
          </w:p>
        </w:tc>
        <w:tc>
          <w:tcPr>
            <w:tcW w:w="1160" w:type="pct"/>
            <w:vAlign w:val="center"/>
          </w:tcPr>
          <w:p w14:paraId="51E4EFA3">
            <w:pPr>
              <w:pStyle w:val="12"/>
              <w:jc w:val="left"/>
            </w:pPr>
            <w:r>
              <w:rPr>
                <w:rFonts w:hint="eastAsia"/>
              </w:rPr>
              <w:t>1932年在水口战斗牺牲</w:t>
            </w:r>
          </w:p>
        </w:tc>
      </w:tr>
      <w:tr w14:paraId="56FD47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76204E5">
            <w:pPr>
              <w:pStyle w:val="12"/>
              <w:jc w:val="center"/>
            </w:pPr>
            <w:r>
              <w:rPr>
                <w:rFonts w:hint="eastAsia"/>
              </w:rPr>
              <w:t>曾昭度</w:t>
            </w:r>
          </w:p>
        </w:tc>
        <w:tc>
          <w:tcPr>
            <w:tcW w:w="388" w:type="pct"/>
            <w:vAlign w:val="center"/>
          </w:tcPr>
          <w:p w14:paraId="4A665AEF">
            <w:pPr>
              <w:pStyle w:val="12"/>
              <w:jc w:val="center"/>
            </w:pPr>
            <w:r>
              <w:rPr>
                <w:rFonts w:hint="eastAsia"/>
              </w:rPr>
              <w:t>男</w:t>
            </w:r>
          </w:p>
        </w:tc>
        <w:tc>
          <w:tcPr>
            <w:tcW w:w="582" w:type="pct"/>
            <w:vAlign w:val="center"/>
          </w:tcPr>
          <w:p w14:paraId="38CEA331">
            <w:pPr>
              <w:pStyle w:val="12"/>
              <w:jc w:val="center"/>
            </w:pPr>
            <w:r>
              <w:rPr>
                <w:rFonts w:hint="eastAsia"/>
              </w:rPr>
              <w:t>1888年</w:t>
            </w:r>
          </w:p>
        </w:tc>
        <w:tc>
          <w:tcPr>
            <w:tcW w:w="582" w:type="pct"/>
            <w:vAlign w:val="center"/>
          </w:tcPr>
          <w:p w14:paraId="6FA3396D">
            <w:pPr>
              <w:pStyle w:val="12"/>
              <w:jc w:val="center"/>
            </w:pPr>
            <w:r>
              <w:rPr>
                <w:rFonts w:hint="eastAsia"/>
              </w:rPr>
              <w:t>湖口镇</w:t>
            </w:r>
          </w:p>
        </w:tc>
        <w:tc>
          <w:tcPr>
            <w:tcW w:w="582" w:type="pct"/>
            <w:vAlign w:val="center"/>
          </w:tcPr>
          <w:p w14:paraId="7BA263E1">
            <w:pPr>
              <w:pStyle w:val="12"/>
              <w:jc w:val="center"/>
            </w:pPr>
            <w:r>
              <w:rPr>
                <w:rFonts w:hint="eastAsia"/>
              </w:rPr>
              <w:t>1927年</w:t>
            </w:r>
          </w:p>
        </w:tc>
        <w:tc>
          <w:tcPr>
            <w:tcW w:w="1066" w:type="pct"/>
            <w:vAlign w:val="center"/>
          </w:tcPr>
          <w:p w14:paraId="09A4CFF7">
            <w:pPr>
              <w:pStyle w:val="12"/>
              <w:jc w:val="left"/>
            </w:pPr>
            <w:r>
              <w:rPr>
                <w:rFonts w:hint="eastAsia"/>
              </w:rPr>
              <w:t>工农红军战士</w:t>
            </w:r>
          </w:p>
        </w:tc>
        <w:tc>
          <w:tcPr>
            <w:tcW w:w="1160" w:type="pct"/>
            <w:vAlign w:val="center"/>
          </w:tcPr>
          <w:p w14:paraId="5FF9D473">
            <w:pPr>
              <w:pStyle w:val="12"/>
              <w:jc w:val="left"/>
            </w:pPr>
            <w:r>
              <w:rPr>
                <w:rFonts w:hint="eastAsia"/>
              </w:rPr>
              <w:t>1932年在江西寻乌县战斗牺牲</w:t>
            </w:r>
          </w:p>
        </w:tc>
      </w:tr>
      <w:tr w14:paraId="74ACAA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35FFE46">
            <w:pPr>
              <w:pStyle w:val="12"/>
              <w:jc w:val="center"/>
            </w:pPr>
            <w:r>
              <w:rPr>
                <w:rFonts w:hint="eastAsia"/>
              </w:rPr>
              <w:t>黄云春</w:t>
            </w:r>
          </w:p>
        </w:tc>
        <w:tc>
          <w:tcPr>
            <w:tcW w:w="388" w:type="pct"/>
            <w:vAlign w:val="center"/>
          </w:tcPr>
          <w:p w14:paraId="25C173DB">
            <w:pPr>
              <w:pStyle w:val="12"/>
              <w:jc w:val="center"/>
            </w:pPr>
            <w:r>
              <w:rPr>
                <w:rFonts w:hint="eastAsia"/>
              </w:rPr>
              <w:t>男</w:t>
            </w:r>
          </w:p>
        </w:tc>
        <w:tc>
          <w:tcPr>
            <w:tcW w:w="582" w:type="pct"/>
            <w:vAlign w:val="center"/>
          </w:tcPr>
          <w:p w14:paraId="55023FBE">
            <w:pPr>
              <w:pStyle w:val="12"/>
              <w:jc w:val="center"/>
            </w:pPr>
            <w:r>
              <w:rPr>
                <w:rFonts w:hint="eastAsia"/>
              </w:rPr>
              <w:t>1904年</w:t>
            </w:r>
          </w:p>
        </w:tc>
        <w:tc>
          <w:tcPr>
            <w:tcW w:w="582" w:type="pct"/>
            <w:vAlign w:val="center"/>
          </w:tcPr>
          <w:p w14:paraId="4E7A2C0E">
            <w:pPr>
              <w:pStyle w:val="12"/>
              <w:jc w:val="center"/>
            </w:pPr>
            <w:r>
              <w:rPr>
                <w:rFonts w:hint="eastAsia"/>
              </w:rPr>
              <w:t>珠玑镇</w:t>
            </w:r>
          </w:p>
        </w:tc>
        <w:tc>
          <w:tcPr>
            <w:tcW w:w="582" w:type="pct"/>
            <w:vAlign w:val="center"/>
          </w:tcPr>
          <w:p w14:paraId="4843D8A7">
            <w:pPr>
              <w:pStyle w:val="12"/>
              <w:jc w:val="center"/>
            </w:pPr>
            <w:r>
              <w:rPr>
                <w:rFonts w:hint="eastAsia"/>
              </w:rPr>
              <w:t>1928年</w:t>
            </w:r>
          </w:p>
        </w:tc>
        <w:tc>
          <w:tcPr>
            <w:tcW w:w="1066" w:type="pct"/>
            <w:vAlign w:val="center"/>
          </w:tcPr>
          <w:p w14:paraId="183DCFEB">
            <w:pPr>
              <w:pStyle w:val="12"/>
              <w:jc w:val="left"/>
            </w:pPr>
            <w:r>
              <w:rPr>
                <w:rFonts w:hint="eastAsia"/>
              </w:rPr>
              <w:t>油山游击队队员</w:t>
            </w:r>
          </w:p>
        </w:tc>
        <w:tc>
          <w:tcPr>
            <w:tcW w:w="1160" w:type="pct"/>
            <w:vAlign w:val="center"/>
          </w:tcPr>
          <w:p w14:paraId="48B204D8">
            <w:pPr>
              <w:pStyle w:val="12"/>
              <w:jc w:val="left"/>
            </w:pPr>
            <w:r>
              <w:rPr>
                <w:rFonts w:hint="eastAsia"/>
              </w:rPr>
              <w:t>1932年在江西大余县游仙作战牺牲</w:t>
            </w:r>
          </w:p>
        </w:tc>
      </w:tr>
      <w:tr w14:paraId="78ED03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03D2346">
            <w:pPr>
              <w:pStyle w:val="12"/>
              <w:jc w:val="center"/>
            </w:pPr>
            <w:r>
              <w:rPr>
                <w:rFonts w:hint="eastAsia"/>
              </w:rPr>
              <w:t>黄云光</w:t>
            </w:r>
          </w:p>
        </w:tc>
        <w:tc>
          <w:tcPr>
            <w:tcW w:w="388" w:type="pct"/>
            <w:vAlign w:val="center"/>
          </w:tcPr>
          <w:p w14:paraId="4E8B5578">
            <w:pPr>
              <w:pStyle w:val="12"/>
              <w:jc w:val="center"/>
            </w:pPr>
            <w:r>
              <w:rPr>
                <w:rFonts w:hint="eastAsia"/>
              </w:rPr>
              <w:t>男</w:t>
            </w:r>
          </w:p>
        </w:tc>
        <w:tc>
          <w:tcPr>
            <w:tcW w:w="582" w:type="pct"/>
            <w:vAlign w:val="center"/>
          </w:tcPr>
          <w:p w14:paraId="63CC6581">
            <w:pPr>
              <w:pStyle w:val="12"/>
              <w:jc w:val="center"/>
            </w:pPr>
            <w:r>
              <w:rPr>
                <w:rFonts w:hint="eastAsia"/>
              </w:rPr>
              <w:t>1909年</w:t>
            </w:r>
          </w:p>
        </w:tc>
        <w:tc>
          <w:tcPr>
            <w:tcW w:w="582" w:type="pct"/>
            <w:vAlign w:val="center"/>
          </w:tcPr>
          <w:p w14:paraId="6AC1C4EC">
            <w:pPr>
              <w:pStyle w:val="12"/>
              <w:jc w:val="center"/>
            </w:pPr>
            <w:r>
              <w:rPr>
                <w:rFonts w:hint="eastAsia"/>
              </w:rPr>
              <w:t>珠玑镇</w:t>
            </w:r>
          </w:p>
        </w:tc>
        <w:tc>
          <w:tcPr>
            <w:tcW w:w="582" w:type="pct"/>
            <w:vAlign w:val="center"/>
          </w:tcPr>
          <w:p w14:paraId="6BAE073A">
            <w:pPr>
              <w:pStyle w:val="12"/>
              <w:jc w:val="center"/>
            </w:pPr>
            <w:r>
              <w:rPr>
                <w:rFonts w:hint="eastAsia"/>
              </w:rPr>
              <w:t>1928年</w:t>
            </w:r>
          </w:p>
        </w:tc>
        <w:tc>
          <w:tcPr>
            <w:tcW w:w="1066" w:type="pct"/>
            <w:vAlign w:val="center"/>
          </w:tcPr>
          <w:p w14:paraId="4D551396">
            <w:pPr>
              <w:pStyle w:val="12"/>
              <w:jc w:val="left"/>
            </w:pPr>
            <w:r>
              <w:rPr>
                <w:rFonts w:hint="eastAsia"/>
              </w:rPr>
              <w:t>油山游击队队员</w:t>
            </w:r>
          </w:p>
        </w:tc>
        <w:tc>
          <w:tcPr>
            <w:tcW w:w="1160" w:type="pct"/>
            <w:vAlign w:val="center"/>
          </w:tcPr>
          <w:p w14:paraId="0C1FD559">
            <w:pPr>
              <w:pStyle w:val="12"/>
              <w:jc w:val="left"/>
            </w:pPr>
            <w:r>
              <w:rPr>
                <w:rFonts w:hint="eastAsia"/>
              </w:rPr>
              <w:t>1932年因叛徒出卖，在江西大余县游仙被捕，在里东就义</w:t>
            </w:r>
          </w:p>
        </w:tc>
      </w:tr>
      <w:tr w14:paraId="7FE049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0F00ECF">
            <w:pPr>
              <w:pStyle w:val="12"/>
              <w:jc w:val="center"/>
            </w:pPr>
            <w:r>
              <w:rPr>
                <w:rFonts w:hint="eastAsia"/>
              </w:rPr>
              <w:t>何哑古</w:t>
            </w:r>
          </w:p>
        </w:tc>
        <w:tc>
          <w:tcPr>
            <w:tcW w:w="388" w:type="pct"/>
            <w:vAlign w:val="center"/>
          </w:tcPr>
          <w:p w14:paraId="074ADD83">
            <w:pPr>
              <w:pStyle w:val="12"/>
              <w:jc w:val="center"/>
            </w:pPr>
            <w:r>
              <w:rPr>
                <w:rFonts w:hint="eastAsia"/>
              </w:rPr>
              <w:t>男</w:t>
            </w:r>
          </w:p>
        </w:tc>
        <w:tc>
          <w:tcPr>
            <w:tcW w:w="582" w:type="pct"/>
            <w:vAlign w:val="center"/>
          </w:tcPr>
          <w:p w14:paraId="68F32BF9">
            <w:pPr>
              <w:pStyle w:val="12"/>
              <w:jc w:val="center"/>
            </w:pPr>
            <w:r>
              <w:rPr>
                <w:rFonts w:hint="eastAsia"/>
              </w:rPr>
              <w:t>1917年</w:t>
            </w:r>
          </w:p>
        </w:tc>
        <w:tc>
          <w:tcPr>
            <w:tcW w:w="582" w:type="pct"/>
            <w:vAlign w:val="center"/>
          </w:tcPr>
          <w:p w14:paraId="38E9A6AC">
            <w:pPr>
              <w:pStyle w:val="12"/>
              <w:jc w:val="center"/>
            </w:pPr>
            <w:r>
              <w:rPr>
                <w:rFonts w:hint="eastAsia"/>
              </w:rPr>
              <w:t>珠玑镇</w:t>
            </w:r>
          </w:p>
        </w:tc>
        <w:tc>
          <w:tcPr>
            <w:tcW w:w="582" w:type="pct"/>
            <w:vAlign w:val="center"/>
          </w:tcPr>
          <w:p w14:paraId="56607E77">
            <w:pPr>
              <w:pStyle w:val="12"/>
              <w:jc w:val="center"/>
            </w:pPr>
            <w:r>
              <w:rPr>
                <w:rFonts w:hint="eastAsia"/>
              </w:rPr>
              <w:t>1930年</w:t>
            </w:r>
          </w:p>
        </w:tc>
        <w:tc>
          <w:tcPr>
            <w:tcW w:w="1066" w:type="pct"/>
            <w:vAlign w:val="center"/>
          </w:tcPr>
          <w:p w14:paraId="21935881">
            <w:pPr>
              <w:pStyle w:val="12"/>
              <w:jc w:val="left"/>
              <w:rPr>
                <w:rFonts w:ascii="宋体" w:hAnsi="宋体" w:cs="宋体"/>
              </w:rPr>
            </w:pPr>
            <w:r>
              <w:rPr>
                <w:rFonts w:hint="eastAsia"/>
              </w:rPr>
              <w:t>油山游击队</w:t>
            </w:r>
          </w:p>
          <w:p w14:paraId="0060111E">
            <w:pPr>
              <w:pStyle w:val="12"/>
              <w:jc w:val="left"/>
            </w:pPr>
            <w:r>
              <w:rPr>
                <w:rFonts w:hint="eastAsia" w:ascii="宋体" w:hAnsi="宋体" w:cs="宋体"/>
              </w:rPr>
              <w:t>司  号  员</w:t>
            </w:r>
          </w:p>
        </w:tc>
        <w:tc>
          <w:tcPr>
            <w:tcW w:w="1160" w:type="pct"/>
            <w:vAlign w:val="center"/>
          </w:tcPr>
          <w:p w14:paraId="6E72AF5A">
            <w:pPr>
              <w:pStyle w:val="12"/>
              <w:jc w:val="left"/>
            </w:pPr>
            <w:r>
              <w:rPr>
                <w:rFonts w:hint="eastAsia"/>
              </w:rPr>
              <w:t>1932年在水口战斗牺牲</w:t>
            </w:r>
          </w:p>
        </w:tc>
      </w:tr>
      <w:tr w14:paraId="410655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7277192">
            <w:pPr>
              <w:pStyle w:val="12"/>
              <w:jc w:val="center"/>
            </w:pPr>
            <w:r>
              <w:rPr>
                <w:rFonts w:hint="eastAsia"/>
              </w:rPr>
              <w:t>严石头古</w:t>
            </w:r>
          </w:p>
        </w:tc>
        <w:tc>
          <w:tcPr>
            <w:tcW w:w="388" w:type="pct"/>
            <w:vAlign w:val="center"/>
          </w:tcPr>
          <w:p w14:paraId="3CF45C5C">
            <w:pPr>
              <w:pStyle w:val="12"/>
              <w:jc w:val="center"/>
            </w:pPr>
            <w:r>
              <w:rPr>
                <w:rFonts w:hint="eastAsia"/>
              </w:rPr>
              <w:t>男</w:t>
            </w:r>
          </w:p>
        </w:tc>
        <w:tc>
          <w:tcPr>
            <w:tcW w:w="582" w:type="pct"/>
            <w:vAlign w:val="center"/>
          </w:tcPr>
          <w:p w14:paraId="28D06717">
            <w:pPr>
              <w:pStyle w:val="12"/>
              <w:jc w:val="center"/>
            </w:pPr>
            <w:r>
              <w:rPr>
                <w:rFonts w:hint="eastAsia"/>
              </w:rPr>
              <w:t>1915年</w:t>
            </w:r>
          </w:p>
        </w:tc>
        <w:tc>
          <w:tcPr>
            <w:tcW w:w="582" w:type="pct"/>
            <w:vAlign w:val="center"/>
          </w:tcPr>
          <w:p w14:paraId="6D2968D4">
            <w:pPr>
              <w:pStyle w:val="12"/>
              <w:jc w:val="center"/>
            </w:pPr>
            <w:r>
              <w:rPr>
                <w:rFonts w:hint="eastAsia"/>
              </w:rPr>
              <w:t>界址镇</w:t>
            </w:r>
          </w:p>
        </w:tc>
        <w:tc>
          <w:tcPr>
            <w:tcW w:w="582" w:type="pct"/>
            <w:vAlign w:val="center"/>
          </w:tcPr>
          <w:p w14:paraId="653BA193">
            <w:pPr>
              <w:pStyle w:val="12"/>
              <w:jc w:val="center"/>
            </w:pPr>
            <w:r>
              <w:rPr>
                <w:rFonts w:hint="eastAsia"/>
              </w:rPr>
              <w:t>1932年</w:t>
            </w:r>
          </w:p>
        </w:tc>
        <w:tc>
          <w:tcPr>
            <w:tcW w:w="1066" w:type="pct"/>
            <w:vAlign w:val="center"/>
          </w:tcPr>
          <w:p w14:paraId="2ACBF7A7">
            <w:pPr>
              <w:pStyle w:val="12"/>
              <w:jc w:val="left"/>
            </w:pPr>
            <w:r>
              <w:rPr>
                <w:rFonts w:hint="eastAsia"/>
              </w:rPr>
              <w:t>红军26纵队班长</w:t>
            </w:r>
          </w:p>
        </w:tc>
        <w:tc>
          <w:tcPr>
            <w:tcW w:w="1160" w:type="pct"/>
            <w:vAlign w:val="center"/>
          </w:tcPr>
          <w:p w14:paraId="396349D8">
            <w:pPr>
              <w:pStyle w:val="12"/>
              <w:jc w:val="left"/>
            </w:pPr>
            <w:r>
              <w:rPr>
                <w:rFonts w:hint="eastAsia"/>
              </w:rPr>
              <w:t>1932年在孔江战斗牺牲</w:t>
            </w:r>
          </w:p>
        </w:tc>
      </w:tr>
      <w:tr w14:paraId="3A7DAD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31760F8">
            <w:pPr>
              <w:pStyle w:val="12"/>
              <w:jc w:val="center"/>
            </w:pPr>
            <w:r>
              <w:rPr>
                <w:rFonts w:hint="eastAsia"/>
              </w:rPr>
              <w:t>叶见和</w:t>
            </w:r>
          </w:p>
        </w:tc>
        <w:tc>
          <w:tcPr>
            <w:tcW w:w="388" w:type="pct"/>
            <w:vAlign w:val="center"/>
          </w:tcPr>
          <w:p w14:paraId="6B88C6ED">
            <w:pPr>
              <w:pStyle w:val="12"/>
              <w:jc w:val="center"/>
            </w:pPr>
            <w:r>
              <w:rPr>
                <w:rFonts w:hint="eastAsia"/>
              </w:rPr>
              <w:t>男</w:t>
            </w:r>
          </w:p>
        </w:tc>
        <w:tc>
          <w:tcPr>
            <w:tcW w:w="582" w:type="pct"/>
            <w:vAlign w:val="center"/>
          </w:tcPr>
          <w:p w14:paraId="78661963">
            <w:pPr>
              <w:pStyle w:val="12"/>
              <w:jc w:val="center"/>
            </w:pPr>
            <w:r>
              <w:rPr>
                <w:rFonts w:hint="eastAsia"/>
              </w:rPr>
              <w:t>1914年</w:t>
            </w:r>
          </w:p>
        </w:tc>
        <w:tc>
          <w:tcPr>
            <w:tcW w:w="582" w:type="pct"/>
            <w:vAlign w:val="center"/>
          </w:tcPr>
          <w:p w14:paraId="795E81A5">
            <w:pPr>
              <w:pStyle w:val="12"/>
              <w:jc w:val="center"/>
            </w:pPr>
            <w:r>
              <w:rPr>
                <w:rFonts w:hint="eastAsia"/>
              </w:rPr>
              <w:t>界址镇</w:t>
            </w:r>
          </w:p>
        </w:tc>
        <w:tc>
          <w:tcPr>
            <w:tcW w:w="582" w:type="pct"/>
            <w:vAlign w:val="center"/>
          </w:tcPr>
          <w:p w14:paraId="128B5F01">
            <w:pPr>
              <w:pStyle w:val="12"/>
              <w:jc w:val="center"/>
            </w:pPr>
            <w:r>
              <w:rPr>
                <w:rFonts w:hint="eastAsia"/>
              </w:rPr>
              <w:t>1932年</w:t>
            </w:r>
          </w:p>
        </w:tc>
        <w:tc>
          <w:tcPr>
            <w:tcW w:w="1066" w:type="pct"/>
            <w:vAlign w:val="center"/>
          </w:tcPr>
          <w:p w14:paraId="462FADB3">
            <w:pPr>
              <w:pStyle w:val="12"/>
              <w:jc w:val="left"/>
              <w:rPr>
                <w:rFonts w:ascii="宋体" w:hAnsi="宋体" w:cs="宋体"/>
              </w:rPr>
            </w:pPr>
            <w:r>
              <w:rPr>
                <w:rFonts w:hint="eastAsia"/>
              </w:rPr>
              <w:t>南山游击队</w:t>
            </w:r>
          </w:p>
          <w:p w14:paraId="626DE336">
            <w:pPr>
              <w:pStyle w:val="12"/>
              <w:jc w:val="left"/>
            </w:pPr>
            <w:r>
              <w:rPr>
                <w:rFonts w:hint="eastAsia" w:ascii="宋体" w:hAnsi="宋体" w:cs="宋体"/>
              </w:rPr>
              <w:t>队      员</w:t>
            </w:r>
          </w:p>
        </w:tc>
        <w:tc>
          <w:tcPr>
            <w:tcW w:w="1160" w:type="pct"/>
            <w:vAlign w:val="center"/>
          </w:tcPr>
          <w:p w14:paraId="32F11079">
            <w:pPr>
              <w:pStyle w:val="12"/>
              <w:jc w:val="left"/>
            </w:pPr>
            <w:r>
              <w:rPr>
                <w:rFonts w:hint="eastAsia"/>
              </w:rPr>
              <w:t>1932年12月在里坑桥被捕，在乌迳就义</w:t>
            </w:r>
          </w:p>
        </w:tc>
      </w:tr>
      <w:tr w14:paraId="48C351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10A2F78">
            <w:pPr>
              <w:pStyle w:val="12"/>
              <w:jc w:val="center"/>
            </w:pPr>
            <w:r>
              <w:rPr>
                <w:rFonts w:hint="eastAsia"/>
              </w:rPr>
              <w:t>严香水生</w:t>
            </w:r>
          </w:p>
        </w:tc>
        <w:tc>
          <w:tcPr>
            <w:tcW w:w="388" w:type="pct"/>
            <w:vAlign w:val="center"/>
          </w:tcPr>
          <w:p w14:paraId="457F3D79">
            <w:pPr>
              <w:pStyle w:val="12"/>
              <w:jc w:val="center"/>
            </w:pPr>
            <w:r>
              <w:rPr>
                <w:rFonts w:hint="eastAsia"/>
              </w:rPr>
              <w:t>男</w:t>
            </w:r>
          </w:p>
        </w:tc>
        <w:tc>
          <w:tcPr>
            <w:tcW w:w="582" w:type="pct"/>
            <w:vAlign w:val="center"/>
          </w:tcPr>
          <w:p w14:paraId="59FF435E">
            <w:pPr>
              <w:pStyle w:val="12"/>
              <w:jc w:val="center"/>
            </w:pPr>
            <w:r>
              <w:rPr>
                <w:rFonts w:hint="eastAsia"/>
              </w:rPr>
              <w:t>1907年</w:t>
            </w:r>
          </w:p>
        </w:tc>
        <w:tc>
          <w:tcPr>
            <w:tcW w:w="582" w:type="pct"/>
            <w:vAlign w:val="center"/>
          </w:tcPr>
          <w:p w14:paraId="6ABD656C">
            <w:pPr>
              <w:pStyle w:val="12"/>
              <w:jc w:val="center"/>
            </w:pPr>
            <w:r>
              <w:rPr>
                <w:rFonts w:hint="eastAsia"/>
              </w:rPr>
              <w:t>界址镇</w:t>
            </w:r>
          </w:p>
        </w:tc>
        <w:tc>
          <w:tcPr>
            <w:tcW w:w="582" w:type="pct"/>
            <w:vAlign w:val="center"/>
          </w:tcPr>
          <w:p w14:paraId="66A32703">
            <w:pPr>
              <w:pStyle w:val="12"/>
              <w:jc w:val="center"/>
            </w:pPr>
            <w:r>
              <w:rPr>
                <w:rFonts w:hint="eastAsia"/>
              </w:rPr>
              <w:t>1932年</w:t>
            </w:r>
          </w:p>
        </w:tc>
        <w:tc>
          <w:tcPr>
            <w:tcW w:w="1066" w:type="pct"/>
            <w:vAlign w:val="center"/>
          </w:tcPr>
          <w:p w14:paraId="0052CA66">
            <w:pPr>
              <w:pStyle w:val="12"/>
              <w:jc w:val="left"/>
              <w:rPr>
                <w:rFonts w:ascii="宋体" w:hAnsi="宋体" w:cs="宋体"/>
              </w:rPr>
            </w:pPr>
            <w:r>
              <w:rPr>
                <w:rFonts w:hint="eastAsia"/>
              </w:rPr>
              <w:t>南山游击队</w:t>
            </w:r>
          </w:p>
          <w:p w14:paraId="2842464F">
            <w:pPr>
              <w:pStyle w:val="12"/>
              <w:jc w:val="left"/>
            </w:pPr>
            <w:r>
              <w:rPr>
                <w:rFonts w:hint="eastAsia" w:ascii="宋体" w:hAnsi="宋体" w:cs="宋体"/>
              </w:rPr>
              <w:t>队      员</w:t>
            </w:r>
          </w:p>
        </w:tc>
        <w:tc>
          <w:tcPr>
            <w:tcW w:w="1160" w:type="pct"/>
            <w:vAlign w:val="center"/>
          </w:tcPr>
          <w:p w14:paraId="1F3DC3DB">
            <w:pPr>
              <w:pStyle w:val="12"/>
              <w:jc w:val="left"/>
            </w:pPr>
            <w:r>
              <w:rPr>
                <w:rFonts w:hint="eastAsia"/>
              </w:rPr>
              <w:t>1932年在江西全南县被捕就义</w:t>
            </w:r>
          </w:p>
        </w:tc>
      </w:tr>
      <w:tr w14:paraId="6A46AB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4A64E99">
            <w:pPr>
              <w:pStyle w:val="12"/>
              <w:jc w:val="center"/>
            </w:pPr>
            <w:r>
              <w:rPr>
                <w:rFonts w:hint="eastAsia"/>
              </w:rPr>
              <w:t>陈凤娇</w:t>
            </w:r>
          </w:p>
        </w:tc>
        <w:tc>
          <w:tcPr>
            <w:tcW w:w="388" w:type="pct"/>
            <w:vAlign w:val="center"/>
          </w:tcPr>
          <w:p w14:paraId="75A1A48D">
            <w:pPr>
              <w:pStyle w:val="12"/>
              <w:jc w:val="center"/>
            </w:pPr>
            <w:r>
              <w:rPr>
                <w:rFonts w:hint="eastAsia"/>
              </w:rPr>
              <w:t>女</w:t>
            </w:r>
          </w:p>
        </w:tc>
        <w:tc>
          <w:tcPr>
            <w:tcW w:w="582" w:type="pct"/>
            <w:vAlign w:val="center"/>
          </w:tcPr>
          <w:p w14:paraId="0499F7FF">
            <w:pPr>
              <w:pStyle w:val="12"/>
              <w:jc w:val="center"/>
            </w:pPr>
            <w:r>
              <w:rPr>
                <w:rFonts w:hint="eastAsia"/>
              </w:rPr>
              <w:t>1910年</w:t>
            </w:r>
          </w:p>
        </w:tc>
        <w:tc>
          <w:tcPr>
            <w:tcW w:w="582" w:type="pct"/>
            <w:vAlign w:val="center"/>
          </w:tcPr>
          <w:p w14:paraId="3996B139">
            <w:pPr>
              <w:pStyle w:val="12"/>
              <w:jc w:val="center"/>
            </w:pPr>
            <w:r>
              <w:rPr>
                <w:rFonts w:hint="eastAsia"/>
              </w:rPr>
              <w:t>水口镇</w:t>
            </w:r>
          </w:p>
        </w:tc>
        <w:tc>
          <w:tcPr>
            <w:tcW w:w="582" w:type="pct"/>
            <w:vAlign w:val="center"/>
          </w:tcPr>
          <w:p w14:paraId="4848E407">
            <w:pPr>
              <w:pStyle w:val="12"/>
              <w:jc w:val="center"/>
            </w:pPr>
            <w:r>
              <w:rPr>
                <w:rFonts w:hint="eastAsia"/>
              </w:rPr>
              <w:t>1928年2月</w:t>
            </w:r>
          </w:p>
        </w:tc>
        <w:tc>
          <w:tcPr>
            <w:tcW w:w="1066" w:type="pct"/>
            <w:vAlign w:val="center"/>
          </w:tcPr>
          <w:p w14:paraId="0C7CB701">
            <w:pPr>
              <w:pStyle w:val="12"/>
              <w:jc w:val="left"/>
              <w:rPr>
                <w:rFonts w:ascii="宋体" w:hAnsi="宋体" w:cs="宋体"/>
              </w:rPr>
            </w:pPr>
            <w:r>
              <w:rPr>
                <w:rFonts w:hint="eastAsia"/>
              </w:rPr>
              <w:t>工农红军宣</w:t>
            </w:r>
          </w:p>
          <w:p w14:paraId="5EC4DC6C">
            <w:pPr>
              <w:pStyle w:val="12"/>
              <w:jc w:val="left"/>
            </w:pPr>
            <w:r>
              <w:rPr>
                <w:rFonts w:hint="eastAsia" w:ascii="宋体" w:hAnsi="宋体" w:cs="宋体"/>
              </w:rPr>
              <w:t>传队队长</w:t>
            </w:r>
          </w:p>
        </w:tc>
        <w:tc>
          <w:tcPr>
            <w:tcW w:w="1160" w:type="pct"/>
            <w:vAlign w:val="center"/>
          </w:tcPr>
          <w:p w14:paraId="58C73268">
            <w:pPr>
              <w:pStyle w:val="12"/>
              <w:jc w:val="left"/>
            </w:pPr>
            <w:r>
              <w:rPr>
                <w:rFonts w:hint="eastAsia"/>
              </w:rPr>
              <w:t>1932年10月在江西信丰县寨坊圩战斗牺牲</w:t>
            </w:r>
          </w:p>
        </w:tc>
      </w:tr>
      <w:tr w14:paraId="7F4556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71FDE0D">
            <w:pPr>
              <w:pStyle w:val="12"/>
              <w:jc w:val="center"/>
            </w:pPr>
            <w:r>
              <w:rPr>
                <w:rFonts w:hint="eastAsia"/>
              </w:rPr>
              <w:t>何文秀</w:t>
            </w:r>
          </w:p>
        </w:tc>
        <w:tc>
          <w:tcPr>
            <w:tcW w:w="388" w:type="pct"/>
            <w:vAlign w:val="center"/>
          </w:tcPr>
          <w:p w14:paraId="24E55BBF">
            <w:pPr>
              <w:pStyle w:val="12"/>
              <w:jc w:val="center"/>
            </w:pPr>
            <w:r>
              <w:rPr>
                <w:rFonts w:hint="eastAsia"/>
              </w:rPr>
              <w:t>女</w:t>
            </w:r>
          </w:p>
        </w:tc>
        <w:tc>
          <w:tcPr>
            <w:tcW w:w="582" w:type="pct"/>
            <w:vAlign w:val="center"/>
          </w:tcPr>
          <w:p w14:paraId="553E4A5C">
            <w:pPr>
              <w:pStyle w:val="12"/>
              <w:jc w:val="center"/>
            </w:pPr>
            <w:r>
              <w:rPr>
                <w:rFonts w:hint="eastAsia"/>
              </w:rPr>
              <w:t>1892年</w:t>
            </w:r>
          </w:p>
        </w:tc>
        <w:tc>
          <w:tcPr>
            <w:tcW w:w="582" w:type="pct"/>
            <w:vAlign w:val="center"/>
          </w:tcPr>
          <w:p w14:paraId="648926D3">
            <w:pPr>
              <w:pStyle w:val="12"/>
              <w:jc w:val="center"/>
            </w:pPr>
            <w:r>
              <w:rPr>
                <w:rFonts w:hint="eastAsia"/>
              </w:rPr>
              <w:t>水口镇</w:t>
            </w:r>
          </w:p>
        </w:tc>
        <w:tc>
          <w:tcPr>
            <w:tcW w:w="582" w:type="pct"/>
            <w:vAlign w:val="center"/>
          </w:tcPr>
          <w:p w14:paraId="565E8212">
            <w:pPr>
              <w:pStyle w:val="12"/>
              <w:jc w:val="center"/>
            </w:pPr>
            <w:r>
              <w:rPr>
                <w:rFonts w:hint="eastAsia"/>
              </w:rPr>
              <w:t>1932年</w:t>
            </w:r>
          </w:p>
        </w:tc>
        <w:tc>
          <w:tcPr>
            <w:tcW w:w="1066" w:type="pct"/>
            <w:vAlign w:val="center"/>
          </w:tcPr>
          <w:p w14:paraId="7857FE3E">
            <w:pPr>
              <w:pStyle w:val="12"/>
              <w:jc w:val="left"/>
            </w:pPr>
            <w:r>
              <w:rPr>
                <w:rFonts w:hint="eastAsia"/>
              </w:rPr>
              <w:t>工农红军战士</w:t>
            </w:r>
          </w:p>
        </w:tc>
        <w:tc>
          <w:tcPr>
            <w:tcW w:w="1160" w:type="pct"/>
            <w:vAlign w:val="center"/>
          </w:tcPr>
          <w:p w14:paraId="02407F9B">
            <w:pPr>
              <w:pStyle w:val="12"/>
              <w:jc w:val="left"/>
            </w:pPr>
            <w:r>
              <w:rPr>
                <w:rFonts w:hint="eastAsia"/>
              </w:rPr>
              <w:t>1932年底在江西信丰县战斗牺牲</w:t>
            </w:r>
          </w:p>
        </w:tc>
      </w:tr>
      <w:tr w14:paraId="6BE9C07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6057216">
            <w:pPr>
              <w:pStyle w:val="12"/>
              <w:jc w:val="center"/>
            </w:pPr>
            <w:r>
              <w:rPr>
                <w:rFonts w:hint="eastAsia"/>
              </w:rPr>
              <w:t>李华生</w:t>
            </w:r>
          </w:p>
        </w:tc>
        <w:tc>
          <w:tcPr>
            <w:tcW w:w="388" w:type="pct"/>
            <w:vAlign w:val="center"/>
          </w:tcPr>
          <w:p w14:paraId="54258096">
            <w:pPr>
              <w:pStyle w:val="12"/>
              <w:jc w:val="center"/>
            </w:pPr>
            <w:r>
              <w:rPr>
                <w:rFonts w:hint="eastAsia"/>
              </w:rPr>
              <w:t>男</w:t>
            </w:r>
          </w:p>
        </w:tc>
        <w:tc>
          <w:tcPr>
            <w:tcW w:w="582" w:type="pct"/>
            <w:vAlign w:val="center"/>
          </w:tcPr>
          <w:p w14:paraId="11A8D2AE">
            <w:pPr>
              <w:pStyle w:val="12"/>
              <w:jc w:val="center"/>
            </w:pPr>
            <w:r>
              <w:rPr>
                <w:rFonts w:hint="eastAsia"/>
              </w:rPr>
              <w:t>1890年</w:t>
            </w:r>
          </w:p>
        </w:tc>
        <w:tc>
          <w:tcPr>
            <w:tcW w:w="582" w:type="pct"/>
            <w:vAlign w:val="center"/>
          </w:tcPr>
          <w:p w14:paraId="1B5034AA">
            <w:pPr>
              <w:pStyle w:val="12"/>
              <w:jc w:val="center"/>
            </w:pPr>
            <w:r>
              <w:rPr>
                <w:rFonts w:hint="eastAsia"/>
              </w:rPr>
              <w:t>乌迳镇</w:t>
            </w:r>
          </w:p>
        </w:tc>
        <w:tc>
          <w:tcPr>
            <w:tcW w:w="582" w:type="pct"/>
            <w:vAlign w:val="center"/>
          </w:tcPr>
          <w:p w14:paraId="6BB7F5AF">
            <w:pPr>
              <w:pStyle w:val="12"/>
              <w:jc w:val="center"/>
            </w:pPr>
            <w:r>
              <w:rPr>
                <w:rFonts w:hint="eastAsia"/>
              </w:rPr>
              <w:t>1927年</w:t>
            </w:r>
          </w:p>
        </w:tc>
        <w:tc>
          <w:tcPr>
            <w:tcW w:w="1066" w:type="pct"/>
            <w:vAlign w:val="center"/>
          </w:tcPr>
          <w:p w14:paraId="6EDB3CFC">
            <w:pPr>
              <w:pStyle w:val="12"/>
              <w:jc w:val="left"/>
              <w:rPr>
                <w:rFonts w:ascii="宋体" w:hAnsi="宋体" w:cs="宋体"/>
              </w:rPr>
            </w:pPr>
            <w:r>
              <w:rPr>
                <w:rFonts w:hint="eastAsia"/>
              </w:rPr>
              <w:t>南山游击队</w:t>
            </w:r>
          </w:p>
          <w:p w14:paraId="0746A833">
            <w:pPr>
              <w:pStyle w:val="12"/>
              <w:jc w:val="left"/>
            </w:pPr>
            <w:r>
              <w:rPr>
                <w:rFonts w:hint="eastAsia" w:ascii="宋体" w:hAnsi="宋体" w:cs="宋体"/>
              </w:rPr>
              <w:t>干      部</w:t>
            </w:r>
          </w:p>
        </w:tc>
        <w:tc>
          <w:tcPr>
            <w:tcW w:w="1160" w:type="pct"/>
            <w:vAlign w:val="center"/>
          </w:tcPr>
          <w:p w14:paraId="393C0B13">
            <w:pPr>
              <w:pStyle w:val="12"/>
              <w:jc w:val="left"/>
            </w:pPr>
            <w:r>
              <w:rPr>
                <w:rFonts w:hint="eastAsia"/>
              </w:rPr>
              <w:t>1932年2月13日在江西上犹县营前牺牲</w:t>
            </w:r>
          </w:p>
        </w:tc>
      </w:tr>
      <w:tr w14:paraId="7E3A8C4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1718514">
            <w:pPr>
              <w:pStyle w:val="12"/>
              <w:jc w:val="center"/>
            </w:pPr>
            <w:r>
              <w:rPr>
                <w:rFonts w:hint="eastAsia"/>
              </w:rPr>
              <w:t>欧阳过路</w:t>
            </w:r>
          </w:p>
        </w:tc>
        <w:tc>
          <w:tcPr>
            <w:tcW w:w="388" w:type="pct"/>
            <w:vAlign w:val="center"/>
          </w:tcPr>
          <w:p w14:paraId="239AB9FB">
            <w:pPr>
              <w:pStyle w:val="12"/>
              <w:jc w:val="center"/>
            </w:pPr>
            <w:r>
              <w:rPr>
                <w:rFonts w:hint="eastAsia"/>
              </w:rPr>
              <w:t>男</w:t>
            </w:r>
          </w:p>
        </w:tc>
        <w:tc>
          <w:tcPr>
            <w:tcW w:w="582" w:type="pct"/>
            <w:vAlign w:val="center"/>
          </w:tcPr>
          <w:p w14:paraId="67BBA0BC">
            <w:pPr>
              <w:pStyle w:val="12"/>
              <w:jc w:val="center"/>
            </w:pPr>
            <w:r>
              <w:rPr>
                <w:rFonts w:hint="eastAsia"/>
              </w:rPr>
              <w:t>1910年</w:t>
            </w:r>
          </w:p>
        </w:tc>
        <w:tc>
          <w:tcPr>
            <w:tcW w:w="582" w:type="pct"/>
            <w:vAlign w:val="center"/>
          </w:tcPr>
          <w:p w14:paraId="617497F3">
            <w:pPr>
              <w:pStyle w:val="12"/>
              <w:jc w:val="center"/>
            </w:pPr>
            <w:r>
              <w:rPr>
                <w:rFonts w:hint="eastAsia"/>
              </w:rPr>
              <w:t>水口镇</w:t>
            </w:r>
          </w:p>
        </w:tc>
        <w:tc>
          <w:tcPr>
            <w:tcW w:w="582" w:type="pct"/>
            <w:vAlign w:val="center"/>
          </w:tcPr>
          <w:p w14:paraId="2B72E154">
            <w:pPr>
              <w:pStyle w:val="12"/>
              <w:jc w:val="center"/>
            </w:pPr>
            <w:r>
              <w:rPr>
                <w:rFonts w:hint="eastAsia"/>
              </w:rPr>
              <w:t>1932年</w:t>
            </w:r>
          </w:p>
        </w:tc>
        <w:tc>
          <w:tcPr>
            <w:tcW w:w="1066" w:type="pct"/>
            <w:vAlign w:val="center"/>
          </w:tcPr>
          <w:p w14:paraId="309A0913">
            <w:pPr>
              <w:pStyle w:val="12"/>
              <w:jc w:val="left"/>
              <w:rPr>
                <w:rFonts w:ascii="宋体" w:hAnsi="宋体" w:cs="宋体"/>
              </w:rPr>
            </w:pPr>
            <w:r>
              <w:rPr>
                <w:rFonts w:hint="eastAsia"/>
              </w:rPr>
              <w:t>红军东河大</w:t>
            </w:r>
          </w:p>
          <w:p w14:paraId="48DCB8FE">
            <w:pPr>
              <w:pStyle w:val="12"/>
              <w:jc w:val="left"/>
            </w:pPr>
            <w:r>
              <w:rPr>
                <w:rFonts w:hint="eastAsia" w:ascii="宋体" w:hAnsi="宋体" w:cs="宋体"/>
              </w:rPr>
              <w:t>队  战</w:t>
            </w:r>
            <w:r>
              <w:rPr>
                <w:rFonts w:hint="eastAsia"/>
              </w:rPr>
              <w:t xml:space="preserve">  士</w:t>
            </w:r>
          </w:p>
        </w:tc>
        <w:tc>
          <w:tcPr>
            <w:tcW w:w="1160" w:type="pct"/>
            <w:vAlign w:val="center"/>
          </w:tcPr>
          <w:p w14:paraId="7CE4440F">
            <w:pPr>
              <w:pStyle w:val="12"/>
              <w:jc w:val="left"/>
            </w:pPr>
            <w:r>
              <w:rPr>
                <w:rFonts w:hint="eastAsia"/>
              </w:rPr>
              <w:t>1932年11月在江西兴国县战斗牺牲</w:t>
            </w:r>
          </w:p>
        </w:tc>
      </w:tr>
      <w:tr w14:paraId="1CB3B1F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A1B9AB4">
            <w:pPr>
              <w:pStyle w:val="12"/>
              <w:jc w:val="center"/>
            </w:pPr>
            <w:r>
              <w:rPr>
                <w:rFonts w:hint="eastAsia"/>
              </w:rPr>
              <w:t>黄华雄</w:t>
            </w:r>
          </w:p>
        </w:tc>
        <w:tc>
          <w:tcPr>
            <w:tcW w:w="388" w:type="pct"/>
            <w:vAlign w:val="center"/>
          </w:tcPr>
          <w:p w14:paraId="741B6BF7">
            <w:pPr>
              <w:pStyle w:val="12"/>
              <w:jc w:val="center"/>
            </w:pPr>
            <w:r>
              <w:rPr>
                <w:rFonts w:hint="eastAsia"/>
              </w:rPr>
              <w:t>男</w:t>
            </w:r>
          </w:p>
        </w:tc>
        <w:tc>
          <w:tcPr>
            <w:tcW w:w="582" w:type="pct"/>
            <w:vAlign w:val="center"/>
          </w:tcPr>
          <w:p w14:paraId="28CF5FA4">
            <w:pPr>
              <w:pStyle w:val="12"/>
              <w:jc w:val="center"/>
            </w:pPr>
            <w:r>
              <w:rPr>
                <w:rFonts w:hint="eastAsia"/>
              </w:rPr>
              <w:t>1907年</w:t>
            </w:r>
          </w:p>
        </w:tc>
        <w:tc>
          <w:tcPr>
            <w:tcW w:w="582" w:type="pct"/>
            <w:vAlign w:val="center"/>
          </w:tcPr>
          <w:p w14:paraId="560E3EF7">
            <w:pPr>
              <w:pStyle w:val="12"/>
              <w:jc w:val="center"/>
            </w:pPr>
            <w:r>
              <w:rPr>
                <w:rFonts w:hint="eastAsia"/>
              </w:rPr>
              <w:t>黄坑镇</w:t>
            </w:r>
          </w:p>
        </w:tc>
        <w:tc>
          <w:tcPr>
            <w:tcW w:w="582" w:type="pct"/>
            <w:vAlign w:val="center"/>
          </w:tcPr>
          <w:p w14:paraId="64631046">
            <w:pPr>
              <w:pStyle w:val="12"/>
              <w:jc w:val="center"/>
            </w:pPr>
            <w:r>
              <w:rPr>
                <w:rFonts w:hint="eastAsia"/>
              </w:rPr>
              <w:t>1929年3月</w:t>
            </w:r>
          </w:p>
        </w:tc>
        <w:tc>
          <w:tcPr>
            <w:tcW w:w="1066" w:type="pct"/>
            <w:vAlign w:val="center"/>
          </w:tcPr>
          <w:p w14:paraId="35E40A7A">
            <w:pPr>
              <w:pStyle w:val="12"/>
              <w:jc w:val="left"/>
            </w:pPr>
            <w:r>
              <w:rPr>
                <w:rFonts w:hint="eastAsia"/>
              </w:rPr>
              <w:t>红四军战士</w:t>
            </w:r>
          </w:p>
        </w:tc>
        <w:tc>
          <w:tcPr>
            <w:tcW w:w="1160" w:type="pct"/>
            <w:vAlign w:val="center"/>
          </w:tcPr>
          <w:p w14:paraId="0C638849">
            <w:pPr>
              <w:pStyle w:val="12"/>
              <w:jc w:val="left"/>
            </w:pPr>
            <w:r>
              <w:rPr>
                <w:rFonts w:hint="eastAsia"/>
              </w:rPr>
              <w:t>1932年6月在江西信丰县城战斗中牺牲</w:t>
            </w:r>
          </w:p>
        </w:tc>
      </w:tr>
      <w:tr w14:paraId="16ECB6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7869789">
            <w:pPr>
              <w:pStyle w:val="12"/>
              <w:jc w:val="center"/>
            </w:pPr>
            <w:r>
              <w:rPr>
                <w:rFonts w:hint="eastAsia"/>
              </w:rPr>
              <w:t>卢章钦</w:t>
            </w:r>
          </w:p>
        </w:tc>
        <w:tc>
          <w:tcPr>
            <w:tcW w:w="388" w:type="pct"/>
            <w:vAlign w:val="center"/>
          </w:tcPr>
          <w:p w14:paraId="642F602A">
            <w:pPr>
              <w:pStyle w:val="12"/>
              <w:jc w:val="center"/>
            </w:pPr>
            <w:r>
              <w:rPr>
                <w:rFonts w:hint="eastAsia"/>
              </w:rPr>
              <w:t>男</w:t>
            </w:r>
          </w:p>
        </w:tc>
        <w:tc>
          <w:tcPr>
            <w:tcW w:w="582" w:type="pct"/>
            <w:vAlign w:val="center"/>
          </w:tcPr>
          <w:p w14:paraId="02129309">
            <w:pPr>
              <w:pStyle w:val="12"/>
              <w:jc w:val="center"/>
            </w:pPr>
            <w:r>
              <w:rPr>
                <w:rFonts w:hint="eastAsia"/>
              </w:rPr>
              <w:t>1898年</w:t>
            </w:r>
          </w:p>
        </w:tc>
        <w:tc>
          <w:tcPr>
            <w:tcW w:w="582" w:type="pct"/>
            <w:vAlign w:val="center"/>
          </w:tcPr>
          <w:p w14:paraId="3DD7A18B">
            <w:pPr>
              <w:pStyle w:val="12"/>
              <w:jc w:val="center"/>
            </w:pPr>
            <w:r>
              <w:rPr>
                <w:rFonts w:hint="eastAsia"/>
              </w:rPr>
              <w:t>黄坑镇</w:t>
            </w:r>
          </w:p>
        </w:tc>
        <w:tc>
          <w:tcPr>
            <w:tcW w:w="582" w:type="pct"/>
            <w:vAlign w:val="center"/>
          </w:tcPr>
          <w:p w14:paraId="40920D26">
            <w:pPr>
              <w:pStyle w:val="12"/>
              <w:jc w:val="center"/>
            </w:pPr>
            <w:r>
              <w:rPr>
                <w:rFonts w:hint="eastAsia"/>
              </w:rPr>
              <w:t>1928年</w:t>
            </w:r>
          </w:p>
        </w:tc>
        <w:tc>
          <w:tcPr>
            <w:tcW w:w="1066" w:type="pct"/>
            <w:vAlign w:val="center"/>
          </w:tcPr>
          <w:p w14:paraId="1C9B58A6">
            <w:pPr>
              <w:pStyle w:val="12"/>
              <w:jc w:val="left"/>
            </w:pPr>
            <w:r>
              <w:rPr>
                <w:rFonts w:hint="eastAsia"/>
              </w:rPr>
              <w:t>工农红军战士</w:t>
            </w:r>
          </w:p>
        </w:tc>
        <w:tc>
          <w:tcPr>
            <w:tcW w:w="1160" w:type="pct"/>
            <w:vAlign w:val="center"/>
          </w:tcPr>
          <w:p w14:paraId="564DF105">
            <w:pPr>
              <w:pStyle w:val="12"/>
              <w:jc w:val="left"/>
            </w:pPr>
            <w:r>
              <w:rPr>
                <w:rFonts w:hint="eastAsia"/>
              </w:rPr>
              <w:t>1932年在江西南昌市战斗牺牲</w:t>
            </w:r>
          </w:p>
        </w:tc>
      </w:tr>
      <w:tr w14:paraId="0B0138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DE30D1A">
            <w:pPr>
              <w:pStyle w:val="12"/>
              <w:jc w:val="center"/>
            </w:pPr>
            <w:r>
              <w:rPr>
                <w:rFonts w:hint="eastAsia"/>
              </w:rPr>
              <w:t>卢章银</w:t>
            </w:r>
          </w:p>
        </w:tc>
        <w:tc>
          <w:tcPr>
            <w:tcW w:w="388" w:type="pct"/>
            <w:vAlign w:val="center"/>
          </w:tcPr>
          <w:p w14:paraId="7E71C563">
            <w:pPr>
              <w:pStyle w:val="12"/>
              <w:jc w:val="center"/>
            </w:pPr>
            <w:r>
              <w:rPr>
                <w:rFonts w:hint="eastAsia"/>
              </w:rPr>
              <w:t>男</w:t>
            </w:r>
          </w:p>
        </w:tc>
        <w:tc>
          <w:tcPr>
            <w:tcW w:w="582" w:type="pct"/>
            <w:vAlign w:val="center"/>
          </w:tcPr>
          <w:p w14:paraId="04264103">
            <w:pPr>
              <w:pStyle w:val="12"/>
              <w:jc w:val="center"/>
            </w:pPr>
            <w:r>
              <w:rPr>
                <w:rFonts w:hint="eastAsia"/>
              </w:rPr>
              <w:t>1908年</w:t>
            </w:r>
          </w:p>
        </w:tc>
        <w:tc>
          <w:tcPr>
            <w:tcW w:w="582" w:type="pct"/>
            <w:vAlign w:val="center"/>
          </w:tcPr>
          <w:p w14:paraId="78DCA614">
            <w:pPr>
              <w:pStyle w:val="12"/>
              <w:jc w:val="center"/>
            </w:pPr>
            <w:r>
              <w:rPr>
                <w:rFonts w:hint="eastAsia"/>
              </w:rPr>
              <w:t>邓坊镇</w:t>
            </w:r>
          </w:p>
        </w:tc>
        <w:tc>
          <w:tcPr>
            <w:tcW w:w="582" w:type="pct"/>
            <w:vAlign w:val="center"/>
          </w:tcPr>
          <w:p w14:paraId="5A7FA99C">
            <w:pPr>
              <w:pStyle w:val="12"/>
              <w:jc w:val="center"/>
            </w:pPr>
            <w:r>
              <w:rPr>
                <w:rFonts w:hint="eastAsia"/>
              </w:rPr>
              <w:t>1927年</w:t>
            </w:r>
          </w:p>
        </w:tc>
        <w:tc>
          <w:tcPr>
            <w:tcW w:w="1066" w:type="pct"/>
            <w:vAlign w:val="center"/>
          </w:tcPr>
          <w:p w14:paraId="53F2B420">
            <w:pPr>
              <w:pStyle w:val="12"/>
              <w:jc w:val="left"/>
              <w:rPr>
                <w:rFonts w:ascii="宋体" w:hAnsi="宋体" w:cs="宋体"/>
              </w:rPr>
            </w:pPr>
            <w:r>
              <w:rPr>
                <w:rFonts w:hint="eastAsia"/>
              </w:rPr>
              <w:t>油山游击队</w:t>
            </w:r>
          </w:p>
          <w:p w14:paraId="543181B2">
            <w:pPr>
              <w:pStyle w:val="12"/>
              <w:jc w:val="left"/>
            </w:pPr>
            <w:r>
              <w:rPr>
                <w:rFonts w:hint="eastAsia" w:ascii="宋体" w:hAnsi="宋体" w:cs="宋体"/>
              </w:rPr>
              <w:t>队      员</w:t>
            </w:r>
          </w:p>
        </w:tc>
        <w:tc>
          <w:tcPr>
            <w:tcW w:w="1160" w:type="pct"/>
            <w:vAlign w:val="center"/>
          </w:tcPr>
          <w:p w14:paraId="5A1F6A19">
            <w:pPr>
              <w:pStyle w:val="12"/>
              <w:jc w:val="left"/>
            </w:pPr>
            <w:r>
              <w:rPr>
                <w:rFonts w:hint="eastAsia"/>
              </w:rPr>
              <w:t>1932年在邓坊被捕就义</w:t>
            </w:r>
          </w:p>
        </w:tc>
      </w:tr>
      <w:tr w14:paraId="3ABEA1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15FCAE6">
            <w:pPr>
              <w:pStyle w:val="12"/>
              <w:jc w:val="center"/>
            </w:pPr>
            <w:r>
              <w:rPr>
                <w:rFonts w:hint="eastAsia"/>
              </w:rPr>
              <w:t>赵世泰</w:t>
            </w:r>
          </w:p>
        </w:tc>
        <w:tc>
          <w:tcPr>
            <w:tcW w:w="388" w:type="pct"/>
            <w:vAlign w:val="center"/>
          </w:tcPr>
          <w:p w14:paraId="7E1CDEB3">
            <w:pPr>
              <w:pStyle w:val="12"/>
              <w:jc w:val="center"/>
            </w:pPr>
            <w:r>
              <w:rPr>
                <w:rFonts w:hint="eastAsia"/>
              </w:rPr>
              <w:t>男</w:t>
            </w:r>
          </w:p>
        </w:tc>
        <w:tc>
          <w:tcPr>
            <w:tcW w:w="582" w:type="pct"/>
            <w:vAlign w:val="center"/>
          </w:tcPr>
          <w:p w14:paraId="2B1AF9DC">
            <w:pPr>
              <w:pStyle w:val="12"/>
              <w:jc w:val="center"/>
            </w:pPr>
            <w:r>
              <w:rPr>
                <w:rFonts w:hint="eastAsia"/>
              </w:rPr>
              <w:t>1909年</w:t>
            </w:r>
          </w:p>
        </w:tc>
        <w:tc>
          <w:tcPr>
            <w:tcW w:w="582" w:type="pct"/>
            <w:vAlign w:val="center"/>
          </w:tcPr>
          <w:p w14:paraId="07E320D1">
            <w:pPr>
              <w:pStyle w:val="12"/>
              <w:jc w:val="center"/>
            </w:pPr>
            <w:r>
              <w:rPr>
                <w:rFonts w:hint="eastAsia"/>
              </w:rPr>
              <w:t>乌迳镇</w:t>
            </w:r>
          </w:p>
        </w:tc>
        <w:tc>
          <w:tcPr>
            <w:tcW w:w="582" w:type="pct"/>
            <w:vAlign w:val="center"/>
          </w:tcPr>
          <w:p w14:paraId="18CF097E">
            <w:pPr>
              <w:pStyle w:val="12"/>
              <w:jc w:val="center"/>
            </w:pPr>
            <w:r>
              <w:rPr>
                <w:rFonts w:hint="eastAsia"/>
              </w:rPr>
              <w:t>1928年</w:t>
            </w:r>
          </w:p>
        </w:tc>
        <w:tc>
          <w:tcPr>
            <w:tcW w:w="1066" w:type="pct"/>
            <w:vAlign w:val="center"/>
          </w:tcPr>
          <w:p w14:paraId="4BD38565">
            <w:pPr>
              <w:pStyle w:val="12"/>
              <w:jc w:val="left"/>
              <w:rPr>
                <w:rFonts w:ascii="宋体" w:hAnsi="宋体" w:cs="宋体"/>
              </w:rPr>
            </w:pPr>
            <w:r>
              <w:rPr>
                <w:rFonts w:hint="eastAsia"/>
              </w:rPr>
              <w:t>南山游击队</w:t>
            </w:r>
          </w:p>
          <w:p w14:paraId="558AFDFB">
            <w:pPr>
              <w:pStyle w:val="12"/>
              <w:jc w:val="left"/>
            </w:pPr>
            <w:r>
              <w:rPr>
                <w:rFonts w:hint="eastAsia" w:ascii="宋体" w:hAnsi="宋体" w:cs="宋体"/>
              </w:rPr>
              <w:t>队      员</w:t>
            </w:r>
          </w:p>
        </w:tc>
        <w:tc>
          <w:tcPr>
            <w:tcW w:w="1160" w:type="pct"/>
            <w:vAlign w:val="center"/>
          </w:tcPr>
          <w:p w14:paraId="7B08D0D8">
            <w:pPr>
              <w:pStyle w:val="12"/>
              <w:jc w:val="left"/>
            </w:pPr>
            <w:r>
              <w:rPr>
                <w:rFonts w:hint="eastAsia"/>
              </w:rPr>
              <w:t>1932年在江西井石大木坑战斗中牺牲</w:t>
            </w:r>
          </w:p>
        </w:tc>
      </w:tr>
      <w:tr w14:paraId="292A1F3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7F8AD99">
            <w:pPr>
              <w:pStyle w:val="12"/>
              <w:jc w:val="center"/>
            </w:pPr>
            <w:r>
              <w:rPr>
                <w:rFonts w:hint="eastAsia"/>
              </w:rPr>
              <w:t>梁应桂</w:t>
            </w:r>
          </w:p>
        </w:tc>
        <w:tc>
          <w:tcPr>
            <w:tcW w:w="388" w:type="pct"/>
            <w:vAlign w:val="center"/>
          </w:tcPr>
          <w:p w14:paraId="69ED15DD">
            <w:pPr>
              <w:pStyle w:val="12"/>
              <w:jc w:val="center"/>
            </w:pPr>
            <w:r>
              <w:rPr>
                <w:rFonts w:hint="eastAsia"/>
              </w:rPr>
              <w:t>男</w:t>
            </w:r>
          </w:p>
        </w:tc>
        <w:tc>
          <w:tcPr>
            <w:tcW w:w="582" w:type="pct"/>
            <w:vAlign w:val="center"/>
          </w:tcPr>
          <w:p w14:paraId="562648C9">
            <w:pPr>
              <w:pStyle w:val="12"/>
              <w:jc w:val="center"/>
            </w:pPr>
            <w:r>
              <w:rPr>
                <w:rFonts w:hint="eastAsia"/>
              </w:rPr>
              <w:t>1907年</w:t>
            </w:r>
          </w:p>
        </w:tc>
        <w:tc>
          <w:tcPr>
            <w:tcW w:w="582" w:type="pct"/>
            <w:vAlign w:val="center"/>
          </w:tcPr>
          <w:p w14:paraId="74CAD2BD">
            <w:pPr>
              <w:pStyle w:val="12"/>
              <w:jc w:val="center"/>
            </w:pPr>
            <w:r>
              <w:rPr>
                <w:rFonts w:hint="eastAsia"/>
              </w:rPr>
              <w:t>乌迳镇</w:t>
            </w:r>
          </w:p>
        </w:tc>
        <w:tc>
          <w:tcPr>
            <w:tcW w:w="582" w:type="pct"/>
            <w:vAlign w:val="center"/>
          </w:tcPr>
          <w:p w14:paraId="48511422">
            <w:pPr>
              <w:pStyle w:val="12"/>
              <w:jc w:val="center"/>
            </w:pPr>
            <w:r>
              <w:rPr>
                <w:rFonts w:hint="eastAsia"/>
              </w:rPr>
              <w:t>1930年</w:t>
            </w:r>
          </w:p>
        </w:tc>
        <w:tc>
          <w:tcPr>
            <w:tcW w:w="1066" w:type="pct"/>
            <w:vAlign w:val="center"/>
          </w:tcPr>
          <w:p w14:paraId="30568EEC">
            <w:pPr>
              <w:pStyle w:val="12"/>
              <w:jc w:val="left"/>
              <w:rPr>
                <w:rFonts w:ascii="宋体" w:hAnsi="宋体" w:cs="宋体"/>
              </w:rPr>
            </w:pPr>
            <w:r>
              <w:rPr>
                <w:rFonts w:hint="eastAsia"/>
              </w:rPr>
              <w:t>南山游击队</w:t>
            </w:r>
          </w:p>
          <w:p w14:paraId="51ED08E0">
            <w:pPr>
              <w:pStyle w:val="12"/>
              <w:jc w:val="left"/>
            </w:pPr>
            <w:r>
              <w:rPr>
                <w:rFonts w:hint="eastAsia" w:ascii="宋体" w:hAnsi="宋体" w:cs="宋体"/>
              </w:rPr>
              <w:t>财务委员</w:t>
            </w:r>
          </w:p>
        </w:tc>
        <w:tc>
          <w:tcPr>
            <w:tcW w:w="1160" w:type="pct"/>
            <w:vAlign w:val="center"/>
          </w:tcPr>
          <w:p w14:paraId="609F94D1">
            <w:pPr>
              <w:pStyle w:val="12"/>
              <w:jc w:val="left"/>
            </w:pPr>
            <w:r>
              <w:rPr>
                <w:rFonts w:hint="eastAsia"/>
              </w:rPr>
              <w:t>1932年10月11日在大兰松头村收税时被捕就义</w:t>
            </w:r>
          </w:p>
        </w:tc>
      </w:tr>
      <w:tr w14:paraId="4699ED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1D5E65B">
            <w:pPr>
              <w:pStyle w:val="12"/>
              <w:jc w:val="center"/>
            </w:pPr>
            <w:r>
              <w:rPr>
                <w:rFonts w:hint="eastAsia"/>
              </w:rPr>
              <w:t>赖毛吕南</w:t>
            </w:r>
          </w:p>
        </w:tc>
        <w:tc>
          <w:tcPr>
            <w:tcW w:w="388" w:type="pct"/>
            <w:vAlign w:val="center"/>
          </w:tcPr>
          <w:p w14:paraId="7FCDE254">
            <w:pPr>
              <w:pStyle w:val="12"/>
              <w:jc w:val="center"/>
            </w:pPr>
            <w:r>
              <w:rPr>
                <w:rFonts w:hint="eastAsia"/>
              </w:rPr>
              <w:t>男</w:t>
            </w:r>
          </w:p>
        </w:tc>
        <w:tc>
          <w:tcPr>
            <w:tcW w:w="582" w:type="pct"/>
            <w:vAlign w:val="center"/>
          </w:tcPr>
          <w:p w14:paraId="222DA466">
            <w:pPr>
              <w:pStyle w:val="12"/>
              <w:jc w:val="center"/>
            </w:pPr>
            <w:r>
              <w:rPr>
                <w:rFonts w:hint="eastAsia"/>
              </w:rPr>
              <w:t>1890年</w:t>
            </w:r>
          </w:p>
        </w:tc>
        <w:tc>
          <w:tcPr>
            <w:tcW w:w="582" w:type="pct"/>
            <w:vAlign w:val="center"/>
          </w:tcPr>
          <w:p w14:paraId="36AC4571">
            <w:pPr>
              <w:pStyle w:val="12"/>
              <w:jc w:val="center"/>
            </w:pPr>
            <w:r>
              <w:rPr>
                <w:rFonts w:hint="eastAsia"/>
              </w:rPr>
              <w:t>坪田镇</w:t>
            </w:r>
          </w:p>
        </w:tc>
        <w:tc>
          <w:tcPr>
            <w:tcW w:w="582" w:type="pct"/>
            <w:vAlign w:val="center"/>
          </w:tcPr>
          <w:p w14:paraId="7E9DA286">
            <w:pPr>
              <w:pStyle w:val="12"/>
              <w:jc w:val="center"/>
            </w:pPr>
            <w:r>
              <w:rPr>
                <w:rFonts w:hint="eastAsia"/>
              </w:rPr>
              <w:t>1931年</w:t>
            </w:r>
          </w:p>
        </w:tc>
        <w:tc>
          <w:tcPr>
            <w:tcW w:w="1066" w:type="pct"/>
            <w:vAlign w:val="center"/>
          </w:tcPr>
          <w:p w14:paraId="2C6BD12D">
            <w:pPr>
              <w:pStyle w:val="12"/>
              <w:jc w:val="left"/>
              <w:rPr>
                <w:rFonts w:ascii="宋体" w:hAnsi="宋体" w:cs="宋体"/>
              </w:rPr>
            </w:pPr>
            <w:r>
              <w:rPr>
                <w:rFonts w:hint="eastAsia"/>
              </w:rPr>
              <w:t>南山游击队</w:t>
            </w:r>
          </w:p>
          <w:p w14:paraId="1F58A435">
            <w:pPr>
              <w:pStyle w:val="12"/>
              <w:jc w:val="left"/>
            </w:pPr>
            <w:r>
              <w:rPr>
                <w:rFonts w:hint="eastAsia" w:ascii="宋体" w:hAnsi="宋体" w:cs="宋体"/>
              </w:rPr>
              <w:t>炊  事  员</w:t>
            </w:r>
          </w:p>
        </w:tc>
        <w:tc>
          <w:tcPr>
            <w:tcW w:w="1160" w:type="pct"/>
            <w:vAlign w:val="center"/>
          </w:tcPr>
          <w:p w14:paraId="4D47D85E">
            <w:pPr>
              <w:pStyle w:val="12"/>
              <w:jc w:val="left"/>
            </w:pPr>
            <w:r>
              <w:rPr>
                <w:rFonts w:hint="eastAsia"/>
              </w:rPr>
              <w:t>1932年在乌迳圩被捕就义</w:t>
            </w:r>
          </w:p>
        </w:tc>
      </w:tr>
      <w:tr w14:paraId="1213AC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2CD8A0B">
            <w:pPr>
              <w:pStyle w:val="12"/>
              <w:jc w:val="center"/>
            </w:pPr>
            <w:r>
              <w:rPr>
                <w:rFonts w:hint="eastAsia"/>
              </w:rPr>
              <w:t>叶振燊</w:t>
            </w:r>
          </w:p>
        </w:tc>
        <w:tc>
          <w:tcPr>
            <w:tcW w:w="388" w:type="pct"/>
            <w:vAlign w:val="center"/>
          </w:tcPr>
          <w:p w14:paraId="7DD963EB">
            <w:pPr>
              <w:pStyle w:val="12"/>
              <w:jc w:val="center"/>
            </w:pPr>
            <w:r>
              <w:rPr>
                <w:rFonts w:hint="eastAsia"/>
              </w:rPr>
              <w:t>男</w:t>
            </w:r>
          </w:p>
        </w:tc>
        <w:tc>
          <w:tcPr>
            <w:tcW w:w="582" w:type="pct"/>
            <w:vAlign w:val="center"/>
          </w:tcPr>
          <w:p w14:paraId="6A26EED2">
            <w:pPr>
              <w:pStyle w:val="12"/>
              <w:jc w:val="center"/>
            </w:pPr>
            <w:r>
              <w:rPr>
                <w:rFonts w:hint="eastAsia"/>
              </w:rPr>
              <w:t>1912年</w:t>
            </w:r>
          </w:p>
        </w:tc>
        <w:tc>
          <w:tcPr>
            <w:tcW w:w="582" w:type="pct"/>
            <w:vAlign w:val="center"/>
          </w:tcPr>
          <w:p w14:paraId="4FE6C8C1">
            <w:pPr>
              <w:pStyle w:val="12"/>
              <w:jc w:val="center"/>
            </w:pPr>
            <w:r>
              <w:rPr>
                <w:rFonts w:hint="eastAsia"/>
              </w:rPr>
              <w:t>坪田镇</w:t>
            </w:r>
          </w:p>
        </w:tc>
        <w:tc>
          <w:tcPr>
            <w:tcW w:w="582" w:type="pct"/>
            <w:vAlign w:val="center"/>
          </w:tcPr>
          <w:p w14:paraId="614A39E6">
            <w:pPr>
              <w:pStyle w:val="12"/>
              <w:jc w:val="center"/>
            </w:pPr>
            <w:r>
              <w:rPr>
                <w:rFonts w:hint="eastAsia"/>
              </w:rPr>
              <w:t>1932年</w:t>
            </w:r>
          </w:p>
        </w:tc>
        <w:tc>
          <w:tcPr>
            <w:tcW w:w="1066" w:type="pct"/>
            <w:vAlign w:val="center"/>
          </w:tcPr>
          <w:p w14:paraId="30087BC1">
            <w:pPr>
              <w:pStyle w:val="12"/>
              <w:jc w:val="left"/>
            </w:pPr>
            <w:r>
              <w:rPr>
                <w:rFonts w:hint="eastAsia"/>
              </w:rPr>
              <w:t>南山游击队队员</w:t>
            </w:r>
          </w:p>
        </w:tc>
        <w:tc>
          <w:tcPr>
            <w:tcW w:w="1160" w:type="pct"/>
            <w:vAlign w:val="center"/>
          </w:tcPr>
          <w:p w14:paraId="4D02EC36">
            <w:pPr>
              <w:pStyle w:val="12"/>
              <w:jc w:val="left"/>
            </w:pPr>
            <w:r>
              <w:rPr>
                <w:rFonts w:hint="eastAsia"/>
              </w:rPr>
              <w:t>1932年7月21日在富竹庵战斗牺牲</w:t>
            </w:r>
          </w:p>
        </w:tc>
      </w:tr>
      <w:tr w14:paraId="0CCE59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5367A36">
            <w:pPr>
              <w:pStyle w:val="12"/>
              <w:jc w:val="center"/>
            </w:pPr>
            <w:r>
              <w:rPr>
                <w:rFonts w:hint="eastAsia"/>
              </w:rPr>
              <w:t>叶木生</w:t>
            </w:r>
          </w:p>
        </w:tc>
        <w:tc>
          <w:tcPr>
            <w:tcW w:w="388" w:type="pct"/>
            <w:vAlign w:val="center"/>
          </w:tcPr>
          <w:p w14:paraId="57F7B965">
            <w:pPr>
              <w:pStyle w:val="12"/>
              <w:jc w:val="center"/>
            </w:pPr>
            <w:r>
              <w:rPr>
                <w:rFonts w:hint="eastAsia"/>
              </w:rPr>
              <w:t>男</w:t>
            </w:r>
          </w:p>
        </w:tc>
        <w:tc>
          <w:tcPr>
            <w:tcW w:w="582" w:type="pct"/>
            <w:vAlign w:val="center"/>
          </w:tcPr>
          <w:p w14:paraId="2771C7DD">
            <w:pPr>
              <w:pStyle w:val="12"/>
              <w:jc w:val="center"/>
            </w:pPr>
            <w:r>
              <w:rPr>
                <w:rFonts w:hint="eastAsia"/>
              </w:rPr>
              <w:t>1911年</w:t>
            </w:r>
          </w:p>
        </w:tc>
        <w:tc>
          <w:tcPr>
            <w:tcW w:w="582" w:type="pct"/>
            <w:vAlign w:val="center"/>
          </w:tcPr>
          <w:p w14:paraId="0788EBD8">
            <w:pPr>
              <w:pStyle w:val="12"/>
              <w:jc w:val="center"/>
            </w:pPr>
            <w:r>
              <w:rPr>
                <w:rFonts w:hint="eastAsia"/>
              </w:rPr>
              <w:t>坪田镇</w:t>
            </w:r>
          </w:p>
        </w:tc>
        <w:tc>
          <w:tcPr>
            <w:tcW w:w="582" w:type="pct"/>
            <w:vAlign w:val="center"/>
          </w:tcPr>
          <w:p w14:paraId="296EA46D">
            <w:pPr>
              <w:pStyle w:val="12"/>
              <w:jc w:val="center"/>
            </w:pPr>
            <w:r>
              <w:rPr>
                <w:rFonts w:hint="eastAsia"/>
              </w:rPr>
              <w:t>1932年</w:t>
            </w:r>
          </w:p>
        </w:tc>
        <w:tc>
          <w:tcPr>
            <w:tcW w:w="1066" w:type="pct"/>
            <w:vAlign w:val="center"/>
          </w:tcPr>
          <w:p w14:paraId="4ADC9441">
            <w:pPr>
              <w:pStyle w:val="12"/>
              <w:jc w:val="left"/>
            </w:pPr>
            <w:r>
              <w:rPr>
                <w:rFonts w:hint="eastAsia"/>
              </w:rPr>
              <w:t>南山游击队队员</w:t>
            </w:r>
          </w:p>
        </w:tc>
        <w:tc>
          <w:tcPr>
            <w:tcW w:w="1160" w:type="pct"/>
            <w:vAlign w:val="center"/>
          </w:tcPr>
          <w:p w14:paraId="10B9F4C9">
            <w:pPr>
              <w:pStyle w:val="12"/>
              <w:jc w:val="left"/>
            </w:pPr>
            <w:r>
              <w:rPr>
                <w:rFonts w:hint="eastAsia"/>
              </w:rPr>
              <w:t>1932年7月21日在富竹庵战斗牺牲</w:t>
            </w:r>
          </w:p>
        </w:tc>
      </w:tr>
      <w:tr w14:paraId="50F776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70951E5">
            <w:pPr>
              <w:pStyle w:val="12"/>
              <w:jc w:val="center"/>
            </w:pPr>
            <w:r>
              <w:rPr>
                <w:rFonts w:hint="eastAsia"/>
              </w:rPr>
              <w:t>龚腾云</w:t>
            </w:r>
          </w:p>
        </w:tc>
        <w:tc>
          <w:tcPr>
            <w:tcW w:w="388" w:type="pct"/>
            <w:vAlign w:val="center"/>
          </w:tcPr>
          <w:p w14:paraId="7C0F55E0">
            <w:pPr>
              <w:pStyle w:val="12"/>
              <w:jc w:val="center"/>
            </w:pPr>
            <w:r>
              <w:rPr>
                <w:rFonts w:hint="eastAsia"/>
              </w:rPr>
              <w:t>男</w:t>
            </w:r>
          </w:p>
        </w:tc>
        <w:tc>
          <w:tcPr>
            <w:tcW w:w="582" w:type="pct"/>
            <w:vAlign w:val="center"/>
          </w:tcPr>
          <w:p w14:paraId="7EAC6DB9">
            <w:pPr>
              <w:pStyle w:val="12"/>
              <w:jc w:val="center"/>
            </w:pPr>
            <w:r>
              <w:rPr>
                <w:rFonts w:hint="eastAsia"/>
              </w:rPr>
              <w:t>1895年</w:t>
            </w:r>
          </w:p>
        </w:tc>
        <w:tc>
          <w:tcPr>
            <w:tcW w:w="582" w:type="pct"/>
            <w:vAlign w:val="center"/>
          </w:tcPr>
          <w:p w14:paraId="7EBCE562">
            <w:pPr>
              <w:pStyle w:val="12"/>
              <w:jc w:val="center"/>
            </w:pPr>
            <w:r>
              <w:rPr>
                <w:rFonts w:hint="eastAsia"/>
              </w:rPr>
              <w:t>坪田镇</w:t>
            </w:r>
          </w:p>
        </w:tc>
        <w:tc>
          <w:tcPr>
            <w:tcW w:w="582" w:type="pct"/>
            <w:vAlign w:val="center"/>
          </w:tcPr>
          <w:p w14:paraId="77C51543">
            <w:pPr>
              <w:pStyle w:val="12"/>
              <w:jc w:val="center"/>
            </w:pPr>
            <w:r>
              <w:rPr>
                <w:rFonts w:hint="eastAsia"/>
              </w:rPr>
              <w:t>1927年</w:t>
            </w:r>
          </w:p>
        </w:tc>
        <w:tc>
          <w:tcPr>
            <w:tcW w:w="1066" w:type="pct"/>
            <w:vAlign w:val="center"/>
          </w:tcPr>
          <w:p w14:paraId="64C6AA0A">
            <w:pPr>
              <w:pStyle w:val="12"/>
              <w:jc w:val="left"/>
              <w:rPr>
                <w:rFonts w:ascii="宋体" w:hAnsi="宋体" w:cs="宋体"/>
              </w:rPr>
            </w:pPr>
            <w:r>
              <w:rPr>
                <w:rFonts w:hint="eastAsia"/>
              </w:rPr>
              <w:t>南山游击队</w:t>
            </w:r>
          </w:p>
          <w:p w14:paraId="447B643A">
            <w:pPr>
              <w:pStyle w:val="12"/>
              <w:jc w:val="left"/>
            </w:pPr>
            <w:r>
              <w:rPr>
                <w:rFonts w:hint="eastAsia" w:ascii="宋体" w:hAnsi="宋体" w:cs="宋体"/>
              </w:rPr>
              <w:t>财  政  员</w:t>
            </w:r>
          </w:p>
        </w:tc>
        <w:tc>
          <w:tcPr>
            <w:tcW w:w="1160" w:type="pct"/>
            <w:vAlign w:val="center"/>
          </w:tcPr>
          <w:p w14:paraId="359B9031">
            <w:pPr>
              <w:pStyle w:val="12"/>
              <w:jc w:val="left"/>
            </w:pPr>
            <w:r>
              <w:rPr>
                <w:rFonts w:hint="eastAsia"/>
              </w:rPr>
              <w:t>1932年在新龙乡杨梅坑被捕，在乌迳就义</w:t>
            </w:r>
          </w:p>
        </w:tc>
      </w:tr>
      <w:tr w14:paraId="17F644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EC5D2A3">
            <w:pPr>
              <w:pStyle w:val="12"/>
              <w:jc w:val="center"/>
            </w:pPr>
            <w:r>
              <w:rPr>
                <w:rFonts w:hint="eastAsia"/>
              </w:rPr>
              <w:t>张功弼</w:t>
            </w:r>
          </w:p>
        </w:tc>
        <w:tc>
          <w:tcPr>
            <w:tcW w:w="388" w:type="pct"/>
            <w:vAlign w:val="center"/>
          </w:tcPr>
          <w:p w14:paraId="64276DE1">
            <w:pPr>
              <w:pStyle w:val="12"/>
              <w:jc w:val="center"/>
            </w:pPr>
            <w:r>
              <w:rPr>
                <w:rFonts w:hint="eastAsia"/>
              </w:rPr>
              <w:t>男</w:t>
            </w:r>
          </w:p>
        </w:tc>
        <w:tc>
          <w:tcPr>
            <w:tcW w:w="582" w:type="pct"/>
            <w:vAlign w:val="center"/>
          </w:tcPr>
          <w:p w14:paraId="399790B2">
            <w:pPr>
              <w:pStyle w:val="12"/>
              <w:jc w:val="center"/>
            </w:pPr>
            <w:r>
              <w:rPr>
                <w:rFonts w:hint="eastAsia"/>
              </w:rPr>
              <w:t>1900年</w:t>
            </w:r>
          </w:p>
        </w:tc>
        <w:tc>
          <w:tcPr>
            <w:tcW w:w="582" w:type="pct"/>
            <w:vAlign w:val="center"/>
          </w:tcPr>
          <w:p w14:paraId="4019AE71">
            <w:pPr>
              <w:pStyle w:val="12"/>
              <w:jc w:val="center"/>
            </w:pPr>
            <w:r>
              <w:rPr>
                <w:rFonts w:hint="eastAsia"/>
              </w:rPr>
              <w:t>湖口镇</w:t>
            </w:r>
          </w:p>
        </w:tc>
        <w:tc>
          <w:tcPr>
            <w:tcW w:w="582" w:type="pct"/>
            <w:vAlign w:val="center"/>
          </w:tcPr>
          <w:p w14:paraId="33F0DD9E">
            <w:pPr>
              <w:pStyle w:val="12"/>
              <w:jc w:val="center"/>
            </w:pPr>
            <w:r>
              <w:rPr>
                <w:rFonts w:hint="eastAsia"/>
              </w:rPr>
              <w:t>1924年</w:t>
            </w:r>
          </w:p>
        </w:tc>
        <w:tc>
          <w:tcPr>
            <w:tcW w:w="1066" w:type="pct"/>
            <w:vAlign w:val="center"/>
          </w:tcPr>
          <w:p w14:paraId="7B667B78">
            <w:pPr>
              <w:pStyle w:val="12"/>
              <w:jc w:val="left"/>
            </w:pPr>
            <w:r>
              <w:rPr>
                <w:rFonts w:hint="eastAsia"/>
              </w:rPr>
              <w:t>工农红军干部</w:t>
            </w:r>
          </w:p>
        </w:tc>
        <w:tc>
          <w:tcPr>
            <w:tcW w:w="1160" w:type="pct"/>
            <w:vAlign w:val="center"/>
          </w:tcPr>
          <w:p w14:paraId="3369397B">
            <w:pPr>
              <w:pStyle w:val="12"/>
              <w:jc w:val="left"/>
            </w:pPr>
            <w:r>
              <w:rPr>
                <w:rFonts w:hint="eastAsia"/>
              </w:rPr>
              <w:t>1933年在福建省牺牲</w:t>
            </w:r>
          </w:p>
        </w:tc>
      </w:tr>
      <w:tr w14:paraId="3034FE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657C03A">
            <w:pPr>
              <w:pStyle w:val="12"/>
              <w:jc w:val="center"/>
            </w:pPr>
            <w:r>
              <w:rPr>
                <w:rFonts w:hint="eastAsia"/>
              </w:rPr>
              <w:t>彭水牯头</w:t>
            </w:r>
          </w:p>
        </w:tc>
        <w:tc>
          <w:tcPr>
            <w:tcW w:w="388" w:type="pct"/>
            <w:vAlign w:val="center"/>
          </w:tcPr>
          <w:p w14:paraId="4015F874">
            <w:pPr>
              <w:pStyle w:val="12"/>
              <w:jc w:val="center"/>
            </w:pPr>
            <w:r>
              <w:rPr>
                <w:rFonts w:hint="eastAsia"/>
              </w:rPr>
              <w:t>男</w:t>
            </w:r>
          </w:p>
        </w:tc>
        <w:tc>
          <w:tcPr>
            <w:tcW w:w="582" w:type="pct"/>
            <w:vAlign w:val="center"/>
          </w:tcPr>
          <w:p w14:paraId="3DAB6ABF">
            <w:pPr>
              <w:pStyle w:val="12"/>
              <w:jc w:val="center"/>
            </w:pPr>
            <w:r>
              <w:rPr>
                <w:rFonts w:hint="eastAsia"/>
              </w:rPr>
              <w:t>1890年</w:t>
            </w:r>
          </w:p>
        </w:tc>
        <w:tc>
          <w:tcPr>
            <w:tcW w:w="582" w:type="pct"/>
            <w:vAlign w:val="center"/>
          </w:tcPr>
          <w:p w14:paraId="39600375">
            <w:pPr>
              <w:pStyle w:val="12"/>
              <w:jc w:val="center"/>
            </w:pPr>
            <w:r>
              <w:rPr>
                <w:rFonts w:hint="eastAsia"/>
              </w:rPr>
              <w:t>油山镇</w:t>
            </w:r>
          </w:p>
        </w:tc>
        <w:tc>
          <w:tcPr>
            <w:tcW w:w="582" w:type="pct"/>
            <w:vAlign w:val="center"/>
          </w:tcPr>
          <w:p w14:paraId="0CEEF1D4">
            <w:pPr>
              <w:pStyle w:val="12"/>
              <w:jc w:val="center"/>
            </w:pPr>
            <w:r>
              <w:rPr>
                <w:rFonts w:hint="eastAsia"/>
              </w:rPr>
              <w:t>1925年</w:t>
            </w:r>
          </w:p>
        </w:tc>
        <w:tc>
          <w:tcPr>
            <w:tcW w:w="1066" w:type="pct"/>
            <w:vAlign w:val="center"/>
          </w:tcPr>
          <w:p w14:paraId="19BF9A87">
            <w:pPr>
              <w:pStyle w:val="12"/>
              <w:jc w:val="left"/>
            </w:pPr>
            <w:r>
              <w:rPr>
                <w:rFonts w:hint="eastAsia"/>
              </w:rPr>
              <w:t>油山游击队队员</w:t>
            </w:r>
          </w:p>
        </w:tc>
        <w:tc>
          <w:tcPr>
            <w:tcW w:w="1160" w:type="pct"/>
            <w:vAlign w:val="center"/>
          </w:tcPr>
          <w:p w14:paraId="384850D7">
            <w:pPr>
              <w:pStyle w:val="12"/>
              <w:jc w:val="left"/>
            </w:pPr>
            <w:r>
              <w:rPr>
                <w:rFonts w:hint="eastAsia"/>
              </w:rPr>
              <w:t>1933年在本县连山作战牺牲</w:t>
            </w:r>
          </w:p>
        </w:tc>
      </w:tr>
      <w:tr w14:paraId="0DB0D1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C535BDA">
            <w:pPr>
              <w:pStyle w:val="12"/>
              <w:jc w:val="center"/>
            </w:pPr>
            <w:r>
              <w:rPr>
                <w:rFonts w:hint="eastAsia"/>
              </w:rPr>
              <w:t>赖奀当</w:t>
            </w:r>
          </w:p>
        </w:tc>
        <w:tc>
          <w:tcPr>
            <w:tcW w:w="388" w:type="pct"/>
            <w:vAlign w:val="center"/>
          </w:tcPr>
          <w:p w14:paraId="3B495737">
            <w:pPr>
              <w:pStyle w:val="12"/>
              <w:jc w:val="center"/>
            </w:pPr>
            <w:r>
              <w:rPr>
                <w:rFonts w:hint="eastAsia"/>
              </w:rPr>
              <w:t>男</w:t>
            </w:r>
          </w:p>
        </w:tc>
        <w:tc>
          <w:tcPr>
            <w:tcW w:w="582" w:type="pct"/>
            <w:vAlign w:val="center"/>
          </w:tcPr>
          <w:p w14:paraId="1775CAC0">
            <w:pPr>
              <w:pStyle w:val="12"/>
              <w:jc w:val="center"/>
            </w:pPr>
            <w:r>
              <w:rPr>
                <w:rFonts w:hint="eastAsia"/>
              </w:rPr>
              <w:t>1889年</w:t>
            </w:r>
          </w:p>
        </w:tc>
        <w:tc>
          <w:tcPr>
            <w:tcW w:w="582" w:type="pct"/>
            <w:vAlign w:val="center"/>
          </w:tcPr>
          <w:p w14:paraId="34754338">
            <w:pPr>
              <w:pStyle w:val="12"/>
              <w:jc w:val="center"/>
            </w:pPr>
            <w:r>
              <w:rPr>
                <w:rFonts w:hint="eastAsia"/>
              </w:rPr>
              <w:t>坪田镇</w:t>
            </w:r>
          </w:p>
        </w:tc>
        <w:tc>
          <w:tcPr>
            <w:tcW w:w="582" w:type="pct"/>
            <w:vAlign w:val="center"/>
          </w:tcPr>
          <w:p w14:paraId="7E80828D">
            <w:pPr>
              <w:pStyle w:val="12"/>
              <w:jc w:val="center"/>
            </w:pPr>
            <w:r>
              <w:rPr>
                <w:rFonts w:hint="eastAsia"/>
              </w:rPr>
              <w:t>1929年</w:t>
            </w:r>
          </w:p>
        </w:tc>
        <w:tc>
          <w:tcPr>
            <w:tcW w:w="1066" w:type="pct"/>
            <w:vAlign w:val="center"/>
          </w:tcPr>
          <w:p w14:paraId="25AAE681">
            <w:pPr>
              <w:pStyle w:val="12"/>
              <w:jc w:val="left"/>
            </w:pPr>
            <w:r>
              <w:rPr>
                <w:rFonts w:hint="eastAsia"/>
              </w:rPr>
              <w:t>红军战士</w:t>
            </w:r>
          </w:p>
        </w:tc>
        <w:tc>
          <w:tcPr>
            <w:tcW w:w="1160" w:type="pct"/>
            <w:vAlign w:val="center"/>
          </w:tcPr>
          <w:p w14:paraId="1850FADB">
            <w:pPr>
              <w:pStyle w:val="12"/>
              <w:jc w:val="left"/>
            </w:pPr>
            <w:r>
              <w:rPr>
                <w:rFonts w:hint="eastAsia"/>
              </w:rPr>
              <w:t>1933年在江西兴国县白泥坑战斗牺牲</w:t>
            </w:r>
          </w:p>
        </w:tc>
      </w:tr>
      <w:tr w14:paraId="2F1788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88602FA">
            <w:pPr>
              <w:pStyle w:val="12"/>
              <w:jc w:val="center"/>
            </w:pPr>
            <w:r>
              <w:rPr>
                <w:rFonts w:hint="eastAsia"/>
              </w:rPr>
              <w:t>李毛狗</w:t>
            </w:r>
          </w:p>
        </w:tc>
        <w:tc>
          <w:tcPr>
            <w:tcW w:w="388" w:type="pct"/>
            <w:vAlign w:val="center"/>
          </w:tcPr>
          <w:p w14:paraId="697E19D7">
            <w:pPr>
              <w:pStyle w:val="12"/>
              <w:jc w:val="center"/>
            </w:pPr>
            <w:r>
              <w:rPr>
                <w:rFonts w:hint="eastAsia"/>
              </w:rPr>
              <w:t>男</w:t>
            </w:r>
          </w:p>
        </w:tc>
        <w:tc>
          <w:tcPr>
            <w:tcW w:w="582" w:type="pct"/>
            <w:vAlign w:val="center"/>
          </w:tcPr>
          <w:p w14:paraId="1483CA7F">
            <w:pPr>
              <w:pStyle w:val="12"/>
              <w:jc w:val="center"/>
            </w:pPr>
            <w:r>
              <w:rPr>
                <w:rFonts w:hint="eastAsia"/>
              </w:rPr>
              <w:t>1906年</w:t>
            </w:r>
          </w:p>
        </w:tc>
        <w:tc>
          <w:tcPr>
            <w:tcW w:w="582" w:type="pct"/>
            <w:vAlign w:val="center"/>
          </w:tcPr>
          <w:p w14:paraId="7CCD30E2">
            <w:pPr>
              <w:pStyle w:val="12"/>
              <w:jc w:val="center"/>
            </w:pPr>
            <w:r>
              <w:rPr>
                <w:rFonts w:hint="eastAsia"/>
              </w:rPr>
              <w:t>油山镇</w:t>
            </w:r>
          </w:p>
        </w:tc>
        <w:tc>
          <w:tcPr>
            <w:tcW w:w="582" w:type="pct"/>
            <w:vAlign w:val="center"/>
          </w:tcPr>
          <w:p w14:paraId="33D6DE7D">
            <w:pPr>
              <w:pStyle w:val="12"/>
              <w:jc w:val="center"/>
            </w:pPr>
            <w:r>
              <w:rPr>
                <w:rFonts w:hint="eastAsia"/>
              </w:rPr>
              <w:t>1932年</w:t>
            </w:r>
          </w:p>
        </w:tc>
        <w:tc>
          <w:tcPr>
            <w:tcW w:w="1066" w:type="pct"/>
            <w:vAlign w:val="center"/>
          </w:tcPr>
          <w:p w14:paraId="3FE92FC4">
            <w:pPr>
              <w:pStyle w:val="12"/>
              <w:jc w:val="left"/>
            </w:pPr>
            <w:r>
              <w:rPr>
                <w:rFonts w:hint="eastAsia"/>
              </w:rPr>
              <w:t>油山游击队队员</w:t>
            </w:r>
          </w:p>
        </w:tc>
        <w:tc>
          <w:tcPr>
            <w:tcW w:w="1160" w:type="pct"/>
            <w:vAlign w:val="center"/>
          </w:tcPr>
          <w:p w14:paraId="5D181766">
            <w:pPr>
              <w:pStyle w:val="12"/>
              <w:jc w:val="left"/>
            </w:pPr>
            <w:r>
              <w:rPr>
                <w:rFonts w:hint="eastAsia"/>
              </w:rPr>
              <w:t>1933年因叛徒出卖在大塘古胜前村被捕，在乌迳就义</w:t>
            </w:r>
          </w:p>
        </w:tc>
      </w:tr>
      <w:tr w14:paraId="59B33E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D8B5AAF">
            <w:pPr>
              <w:pStyle w:val="12"/>
              <w:jc w:val="center"/>
            </w:pPr>
            <w:r>
              <w:rPr>
                <w:rFonts w:hint="eastAsia"/>
              </w:rPr>
              <w:t>曾癸元</w:t>
            </w:r>
          </w:p>
        </w:tc>
        <w:tc>
          <w:tcPr>
            <w:tcW w:w="388" w:type="pct"/>
            <w:vAlign w:val="center"/>
          </w:tcPr>
          <w:p w14:paraId="42F7DE1E">
            <w:pPr>
              <w:pStyle w:val="12"/>
              <w:jc w:val="center"/>
            </w:pPr>
            <w:r>
              <w:rPr>
                <w:rFonts w:hint="eastAsia"/>
              </w:rPr>
              <w:t>男</w:t>
            </w:r>
          </w:p>
        </w:tc>
        <w:tc>
          <w:tcPr>
            <w:tcW w:w="582" w:type="pct"/>
            <w:vAlign w:val="center"/>
          </w:tcPr>
          <w:p w14:paraId="483AAEE9">
            <w:pPr>
              <w:pStyle w:val="12"/>
              <w:jc w:val="center"/>
            </w:pPr>
            <w:r>
              <w:rPr>
                <w:rFonts w:hint="eastAsia"/>
              </w:rPr>
              <w:t>1909年</w:t>
            </w:r>
          </w:p>
        </w:tc>
        <w:tc>
          <w:tcPr>
            <w:tcW w:w="582" w:type="pct"/>
            <w:vAlign w:val="center"/>
          </w:tcPr>
          <w:p w14:paraId="21CA6F7B">
            <w:pPr>
              <w:pStyle w:val="12"/>
              <w:jc w:val="center"/>
            </w:pPr>
            <w:r>
              <w:rPr>
                <w:rFonts w:hint="eastAsia"/>
              </w:rPr>
              <w:t>油山镇</w:t>
            </w:r>
          </w:p>
        </w:tc>
        <w:tc>
          <w:tcPr>
            <w:tcW w:w="582" w:type="pct"/>
            <w:vAlign w:val="center"/>
          </w:tcPr>
          <w:p w14:paraId="4D5EF0E2">
            <w:pPr>
              <w:pStyle w:val="12"/>
              <w:jc w:val="center"/>
            </w:pPr>
            <w:r>
              <w:rPr>
                <w:rFonts w:hint="eastAsia"/>
              </w:rPr>
              <w:t>1930年</w:t>
            </w:r>
          </w:p>
        </w:tc>
        <w:tc>
          <w:tcPr>
            <w:tcW w:w="1066" w:type="pct"/>
            <w:vAlign w:val="center"/>
          </w:tcPr>
          <w:p w14:paraId="0B9A6C8A">
            <w:pPr>
              <w:pStyle w:val="12"/>
              <w:jc w:val="left"/>
            </w:pPr>
            <w:r>
              <w:rPr>
                <w:rFonts w:hint="eastAsia"/>
              </w:rPr>
              <w:t>油山游击队队员</w:t>
            </w:r>
          </w:p>
        </w:tc>
        <w:tc>
          <w:tcPr>
            <w:tcW w:w="1160" w:type="pct"/>
            <w:vAlign w:val="center"/>
          </w:tcPr>
          <w:p w14:paraId="6C5B888C">
            <w:pPr>
              <w:pStyle w:val="12"/>
              <w:jc w:val="left"/>
            </w:pPr>
            <w:r>
              <w:rPr>
                <w:rFonts w:hint="eastAsia"/>
              </w:rPr>
              <w:t>1933年在大塘坳背村被捕，在乌迳就义</w:t>
            </w:r>
          </w:p>
        </w:tc>
      </w:tr>
      <w:tr w14:paraId="166980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1682DC5">
            <w:pPr>
              <w:pStyle w:val="12"/>
              <w:jc w:val="center"/>
            </w:pPr>
            <w:r>
              <w:rPr>
                <w:rFonts w:hint="eastAsia"/>
              </w:rPr>
              <w:t>彭金山</w:t>
            </w:r>
          </w:p>
        </w:tc>
        <w:tc>
          <w:tcPr>
            <w:tcW w:w="388" w:type="pct"/>
            <w:vAlign w:val="center"/>
          </w:tcPr>
          <w:p w14:paraId="0068506F">
            <w:pPr>
              <w:pStyle w:val="12"/>
              <w:jc w:val="center"/>
            </w:pPr>
            <w:r>
              <w:rPr>
                <w:rFonts w:hint="eastAsia"/>
              </w:rPr>
              <w:t>男</w:t>
            </w:r>
          </w:p>
        </w:tc>
        <w:tc>
          <w:tcPr>
            <w:tcW w:w="582" w:type="pct"/>
            <w:vAlign w:val="center"/>
          </w:tcPr>
          <w:p w14:paraId="7CE94042">
            <w:pPr>
              <w:pStyle w:val="12"/>
              <w:jc w:val="center"/>
            </w:pPr>
            <w:r>
              <w:rPr>
                <w:rFonts w:hint="eastAsia"/>
              </w:rPr>
              <w:t>1895年</w:t>
            </w:r>
          </w:p>
        </w:tc>
        <w:tc>
          <w:tcPr>
            <w:tcW w:w="582" w:type="pct"/>
            <w:vAlign w:val="center"/>
          </w:tcPr>
          <w:p w14:paraId="3B316C5C">
            <w:pPr>
              <w:pStyle w:val="12"/>
              <w:jc w:val="center"/>
            </w:pPr>
            <w:r>
              <w:rPr>
                <w:rFonts w:hint="eastAsia"/>
              </w:rPr>
              <w:t>油山镇</w:t>
            </w:r>
          </w:p>
        </w:tc>
        <w:tc>
          <w:tcPr>
            <w:tcW w:w="582" w:type="pct"/>
            <w:vAlign w:val="center"/>
          </w:tcPr>
          <w:p w14:paraId="5010D7C0">
            <w:pPr>
              <w:pStyle w:val="12"/>
              <w:jc w:val="center"/>
            </w:pPr>
            <w:r>
              <w:rPr>
                <w:rFonts w:hint="eastAsia"/>
              </w:rPr>
              <w:t>1925年</w:t>
            </w:r>
          </w:p>
        </w:tc>
        <w:tc>
          <w:tcPr>
            <w:tcW w:w="1066" w:type="pct"/>
            <w:vAlign w:val="center"/>
          </w:tcPr>
          <w:p w14:paraId="0243F3E8">
            <w:pPr>
              <w:pStyle w:val="12"/>
              <w:jc w:val="left"/>
            </w:pPr>
            <w:r>
              <w:rPr>
                <w:rFonts w:hint="eastAsia"/>
              </w:rPr>
              <w:t>油山游击队队员</w:t>
            </w:r>
          </w:p>
        </w:tc>
        <w:tc>
          <w:tcPr>
            <w:tcW w:w="1160" w:type="pct"/>
            <w:vAlign w:val="center"/>
          </w:tcPr>
          <w:p w14:paraId="6CF33984">
            <w:pPr>
              <w:pStyle w:val="12"/>
              <w:jc w:val="left"/>
            </w:pPr>
            <w:r>
              <w:rPr>
                <w:rFonts w:hint="eastAsia"/>
              </w:rPr>
              <w:t>1933年在江西上犹县营前被捕，在南雄城郊就义</w:t>
            </w:r>
          </w:p>
        </w:tc>
      </w:tr>
      <w:tr w14:paraId="2FF97D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ECDAEEB">
            <w:pPr>
              <w:pStyle w:val="12"/>
              <w:jc w:val="center"/>
            </w:pPr>
            <w:r>
              <w:rPr>
                <w:rFonts w:hint="eastAsia"/>
              </w:rPr>
              <w:t>彭龙寿</w:t>
            </w:r>
          </w:p>
        </w:tc>
        <w:tc>
          <w:tcPr>
            <w:tcW w:w="388" w:type="pct"/>
            <w:vAlign w:val="center"/>
          </w:tcPr>
          <w:p w14:paraId="0A67FED3">
            <w:pPr>
              <w:pStyle w:val="12"/>
              <w:jc w:val="center"/>
            </w:pPr>
            <w:r>
              <w:rPr>
                <w:rFonts w:hint="eastAsia"/>
              </w:rPr>
              <w:t>男</w:t>
            </w:r>
          </w:p>
        </w:tc>
        <w:tc>
          <w:tcPr>
            <w:tcW w:w="582" w:type="pct"/>
            <w:vAlign w:val="center"/>
          </w:tcPr>
          <w:p w14:paraId="1EB4B436">
            <w:pPr>
              <w:pStyle w:val="12"/>
              <w:jc w:val="center"/>
            </w:pPr>
            <w:r>
              <w:rPr>
                <w:rFonts w:hint="eastAsia"/>
              </w:rPr>
              <w:t>1902年</w:t>
            </w:r>
          </w:p>
        </w:tc>
        <w:tc>
          <w:tcPr>
            <w:tcW w:w="582" w:type="pct"/>
            <w:vAlign w:val="center"/>
          </w:tcPr>
          <w:p w14:paraId="414853A6">
            <w:pPr>
              <w:pStyle w:val="12"/>
              <w:jc w:val="center"/>
            </w:pPr>
            <w:r>
              <w:rPr>
                <w:rFonts w:hint="eastAsia"/>
              </w:rPr>
              <w:t>油山镇</w:t>
            </w:r>
          </w:p>
        </w:tc>
        <w:tc>
          <w:tcPr>
            <w:tcW w:w="582" w:type="pct"/>
            <w:vAlign w:val="center"/>
          </w:tcPr>
          <w:p w14:paraId="13377732">
            <w:pPr>
              <w:pStyle w:val="12"/>
              <w:jc w:val="center"/>
            </w:pPr>
            <w:r>
              <w:rPr>
                <w:rFonts w:hint="eastAsia"/>
              </w:rPr>
              <w:t>1929年</w:t>
            </w:r>
          </w:p>
        </w:tc>
        <w:tc>
          <w:tcPr>
            <w:tcW w:w="1066" w:type="pct"/>
            <w:vAlign w:val="center"/>
          </w:tcPr>
          <w:p w14:paraId="33F529F3">
            <w:pPr>
              <w:pStyle w:val="12"/>
              <w:jc w:val="left"/>
            </w:pPr>
            <w:r>
              <w:rPr>
                <w:rFonts w:hint="eastAsia"/>
              </w:rPr>
              <w:t>油山游击队队员</w:t>
            </w:r>
          </w:p>
        </w:tc>
        <w:tc>
          <w:tcPr>
            <w:tcW w:w="1160" w:type="pct"/>
            <w:vAlign w:val="center"/>
          </w:tcPr>
          <w:p w14:paraId="218E84E4">
            <w:pPr>
              <w:pStyle w:val="12"/>
              <w:jc w:val="left"/>
            </w:pPr>
            <w:r>
              <w:rPr>
                <w:rFonts w:hint="eastAsia"/>
              </w:rPr>
              <w:t>1933年在江西全南社迳战斗被捕，在大塘就义</w:t>
            </w:r>
          </w:p>
        </w:tc>
      </w:tr>
      <w:tr w14:paraId="4377F76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878D643">
            <w:pPr>
              <w:pStyle w:val="12"/>
              <w:jc w:val="center"/>
            </w:pPr>
            <w:r>
              <w:rPr>
                <w:rFonts w:hint="eastAsia"/>
              </w:rPr>
              <w:t>刘吊壳</w:t>
            </w:r>
          </w:p>
        </w:tc>
        <w:tc>
          <w:tcPr>
            <w:tcW w:w="388" w:type="pct"/>
            <w:vAlign w:val="center"/>
          </w:tcPr>
          <w:p w14:paraId="0AFE0DD2">
            <w:pPr>
              <w:pStyle w:val="12"/>
              <w:jc w:val="center"/>
            </w:pPr>
            <w:r>
              <w:rPr>
                <w:rFonts w:hint="eastAsia"/>
              </w:rPr>
              <w:t>男</w:t>
            </w:r>
          </w:p>
        </w:tc>
        <w:tc>
          <w:tcPr>
            <w:tcW w:w="582" w:type="pct"/>
            <w:vAlign w:val="center"/>
          </w:tcPr>
          <w:p w14:paraId="507B01D0">
            <w:pPr>
              <w:pStyle w:val="12"/>
              <w:jc w:val="center"/>
            </w:pPr>
            <w:r>
              <w:rPr>
                <w:rFonts w:hint="eastAsia"/>
              </w:rPr>
              <w:t>1903年</w:t>
            </w:r>
          </w:p>
        </w:tc>
        <w:tc>
          <w:tcPr>
            <w:tcW w:w="582" w:type="pct"/>
            <w:vAlign w:val="center"/>
          </w:tcPr>
          <w:p w14:paraId="34E3E437">
            <w:pPr>
              <w:pStyle w:val="12"/>
              <w:jc w:val="center"/>
            </w:pPr>
            <w:r>
              <w:rPr>
                <w:rFonts w:hint="eastAsia"/>
              </w:rPr>
              <w:t>油山镇</w:t>
            </w:r>
          </w:p>
        </w:tc>
        <w:tc>
          <w:tcPr>
            <w:tcW w:w="582" w:type="pct"/>
            <w:vAlign w:val="center"/>
          </w:tcPr>
          <w:p w14:paraId="51A49F44">
            <w:pPr>
              <w:pStyle w:val="12"/>
              <w:jc w:val="center"/>
            </w:pPr>
            <w:r>
              <w:rPr>
                <w:rFonts w:hint="eastAsia"/>
              </w:rPr>
              <w:t>1928年</w:t>
            </w:r>
          </w:p>
        </w:tc>
        <w:tc>
          <w:tcPr>
            <w:tcW w:w="1066" w:type="pct"/>
            <w:vAlign w:val="center"/>
          </w:tcPr>
          <w:p w14:paraId="01E108F3">
            <w:pPr>
              <w:pStyle w:val="12"/>
              <w:jc w:val="left"/>
            </w:pPr>
            <w:r>
              <w:rPr>
                <w:rFonts w:hint="eastAsia"/>
              </w:rPr>
              <w:t>油山游击队队员</w:t>
            </w:r>
          </w:p>
        </w:tc>
        <w:tc>
          <w:tcPr>
            <w:tcW w:w="1160" w:type="pct"/>
            <w:vAlign w:val="center"/>
          </w:tcPr>
          <w:p w14:paraId="78DF613E">
            <w:pPr>
              <w:pStyle w:val="12"/>
              <w:jc w:val="left"/>
            </w:pPr>
            <w:r>
              <w:rPr>
                <w:rFonts w:hint="eastAsia"/>
              </w:rPr>
              <w:t>1933年在大塘圩战斗中牺牲</w:t>
            </w:r>
          </w:p>
        </w:tc>
      </w:tr>
      <w:tr w14:paraId="33E33B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5B9E1CA">
            <w:pPr>
              <w:pStyle w:val="12"/>
              <w:jc w:val="center"/>
            </w:pPr>
            <w:r>
              <w:rPr>
                <w:rFonts w:hint="eastAsia"/>
              </w:rPr>
              <w:t>陈兴标</w:t>
            </w:r>
            <w:r>
              <w:rPr>
                <w:rFonts w:hint="eastAsia" w:ascii="宋体" w:hAnsi="宋体" w:cs="宋体"/>
              </w:rPr>
              <w:t>（陈元仁）</w:t>
            </w:r>
          </w:p>
        </w:tc>
        <w:tc>
          <w:tcPr>
            <w:tcW w:w="388" w:type="pct"/>
            <w:vAlign w:val="center"/>
          </w:tcPr>
          <w:p w14:paraId="3DEEC84E">
            <w:pPr>
              <w:pStyle w:val="12"/>
              <w:jc w:val="center"/>
            </w:pPr>
            <w:r>
              <w:rPr>
                <w:rFonts w:hint="eastAsia"/>
              </w:rPr>
              <w:t>男</w:t>
            </w:r>
          </w:p>
        </w:tc>
        <w:tc>
          <w:tcPr>
            <w:tcW w:w="582" w:type="pct"/>
            <w:vAlign w:val="center"/>
          </w:tcPr>
          <w:p w14:paraId="16EF28E3">
            <w:pPr>
              <w:pStyle w:val="12"/>
              <w:jc w:val="center"/>
            </w:pPr>
            <w:r>
              <w:rPr>
                <w:rFonts w:hint="eastAsia"/>
              </w:rPr>
              <w:t>1907年</w:t>
            </w:r>
          </w:p>
        </w:tc>
        <w:tc>
          <w:tcPr>
            <w:tcW w:w="582" w:type="pct"/>
            <w:vAlign w:val="center"/>
          </w:tcPr>
          <w:p w14:paraId="13AE5F30">
            <w:pPr>
              <w:pStyle w:val="12"/>
              <w:jc w:val="center"/>
            </w:pPr>
            <w:r>
              <w:rPr>
                <w:rFonts w:hint="eastAsia"/>
              </w:rPr>
              <w:t>油山镇</w:t>
            </w:r>
          </w:p>
        </w:tc>
        <w:tc>
          <w:tcPr>
            <w:tcW w:w="582" w:type="pct"/>
            <w:vAlign w:val="center"/>
          </w:tcPr>
          <w:p w14:paraId="6DAE9DD8">
            <w:pPr>
              <w:pStyle w:val="12"/>
              <w:jc w:val="center"/>
            </w:pPr>
            <w:r>
              <w:rPr>
                <w:rFonts w:hint="eastAsia"/>
              </w:rPr>
              <w:t>1928年</w:t>
            </w:r>
          </w:p>
        </w:tc>
        <w:tc>
          <w:tcPr>
            <w:tcW w:w="1066" w:type="pct"/>
            <w:vAlign w:val="center"/>
          </w:tcPr>
          <w:p w14:paraId="4D9EC60C">
            <w:pPr>
              <w:pStyle w:val="12"/>
              <w:jc w:val="left"/>
            </w:pPr>
            <w:r>
              <w:rPr>
                <w:rFonts w:hint="eastAsia"/>
              </w:rPr>
              <w:t>油山游击队政委</w:t>
            </w:r>
          </w:p>
        </w:tc>
        <w:tc>
          <w:tcPr>
            <w:tcW w:w="1160" w:type="pct"/>
            <w:vAlign w:val="center"/>
          </w:tcPr>
          <w:p w14:paraId="07A5C642">
            <w:pPr>
              <w:pStyle w:val="12"/>
              <w:jc w:val="left"/>
            </w:pPr>
            <w:r>
              <w:rPr>
                <w:rFonts w:hint="eastAsia"/>
              </w:rPr>
              <w:t>1933年在坪林战斗牺牲</w:t>
            </w:r>
          </w:p>
        </w:tc>
      </w:tr>
      <w:tr w14:paraId="5A2D89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74B96C5">
            <w:pPr>
              <w:pStyle w:val="12"/>
              <w:jc w:val="center"/>
            </w:pPr>
            <w:r>
              <w:rPr>
                <w:rFonts w:hint="eastAsia"/>
              </w:rPr>
              <w:t>钟奀人俚</w:t>
            </w:r>
          </w:p>
        </w:tc>
        <w:tc>
          <w:tcPr>
            <w:tcW w:w="388" w:type="pct"/>
            <w:vAlign w:val="center"/>
          </w:tcPr>
          <w:p w14:paraId="16172588">
            <w:pPr>
              <w:pStyle w:val="12"/>
              <w:jc w:val="center"/>
            </w:pPr>
            <w:r>
              <w:rPr>
                <w:rFonts w:hint="eastAsia"/>
              </w:rPr>
              <w:t>男</w:t>
            </w:r>
          </w:p>
        </w:tc>
        <w:tc>
          <w:tcPr>
            <w:tcW w:w="582" w:type="pct"/>
            <w:vAlign w:val="center"/>
          </w:tcPr>
          <w:p w14:paraId="31A39C76">
            <w:pPr>
              <w:pStyle w:val="12"/>
              <w:jc w:val="center"/>
            </w:pPr>
            <w:r>
              <w:rPr>
                <w:rFonts w:hint="eastAsia"/>
              </w:rPr>
              <w:t>1913年</w:t>
            </w:r>
          </w:p>
        </w:tc>
        <w:tc>
          <w:tcPr>
            <w:tcW w:w="582" w:type="pct"/>
            <w:vAlign w:val="center"/>
          </w:tcPr>
          <w:p w14:paraId="6B551DE9">
            <w:pPr>
              <w:pStyle w:val="12"/>
              <w:jc w:val="center"/>
            </w:pPr>
            <w:r>
              <w:rPr>
                <w:rFonts w:hint="eastAsia"/>
              </w:rPr>
              <w:t>油山镇</w:t>
            </w:r>
          </w:p>
        </w:tc>
        <w:tc>
          <w:tcPr>
            <w:tcW w:w="582" w:type="pct"/>
            <w:vAlign w:val="center"/>
          </w:tcPr>
          <w:p w14:paraId="62938CB4">
            <w:pPr>
              <w:pStyle w:val="12"/>
              <w:jc w:val="center"/>
            </w:pPr>
            <w:r>
              <w:rPr>
                <w:rFonts w:hint="eastAsia"/>
              </w:rPr>
              <w:t>1930年</w:t>
            </w:r>
          </w:p>
        </w:tc>
        <w:tc>
          <w:tcPr>
            <w:tcW w:w="1066" w:type="pct"/>
            <w:vAlign w:val="center"/>
          </w:tcPr>
          <w:p w14:paraId="19359035">
            <w:pPr>
              <w:pStyle w:val="12"/>
              <w:jc w:val="left"/>
            </w:pPr>
            <w:r>
              <w:rPr>
                <w:rFonts w:hint="eastAsia"/>
              </w:rPr>
              <w:t>工农红军战士</w:t>
            </w:r>
          </w:p>
        </w:tc>
        <w:tc>
          <w:tcPr>
            <w:tcW w:w="1160" w:type="pct"/>
            <w:vAlign w:val="center"/>
          </w:tcPr>
          <w:p w14:paraId="373E17E5">
            <w:pPr>
              <w:pStyle w:val="12"/>
              <w:jc w:val="left"/>
            </w:pPr>
            <w:r>
              <w:rPr>
                <w:rFonts w:hint="eastAsia"/>
              </w:rPr>
              <w:t>1933年在江西信丰县战斗中牺牲</w:t>
            </w:r>
          </w:p>
        </w:tc>
      </w:tr>
      <w:tr w14:paraId="09C15F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C6624D7">
            <w:pPr>
              <w:pStyle w:val="12"/>
              <w:jc w:val="center"/>
            </w:pPr>
            <w:r>
              <w:rPr>
                <w:rFonts w:hint="eastAsia"/>
              </w:rPr>
              <w:t>孔丙生</w:t>
            </w:r>
          </w:p>
        </w:tc>
        <w:tc>
          <w:tcPr>
            <w:tcW w:w="388" w:type="pct"/>
            <w:vAlign w:val="center"/>
          </w:tcPr>
          <w:p w14:paraId="50C32AD5">
            <w:pPr>
              <w:pStyle w:val="12"/>
              <w:jc w:val="center"/>
            </w:pPr>
            <w:r>
              <w:rPr>
                <w:rFonts w:hint="eastAsia"/>
              </w:rPr>
              <w:t>男</w:t>
            </w:r>
          </w:p>
        </w:tc>
        <w:tc>
          <w:tcPr>
            <w:tcW w:w="582" w:type="pct"/>
            <w:vAlign w:val="center"/>
          </w:tcPr>
          <w:p w14:paraId="10FC5372">
            <w:pPr>
              <w:pStyle w:val="12"/>
              <w:jc w:val="center"/>
            </w:pPr>
            <w:r>
              <w:rPr>
                <w:rFonts w:hint="eastAsia"/>
              </w:rPr>
              <w:t>1916年</w:t>
            </w:r>
          </w:p>
        </w:tc>
        <w:tc>
          <w:tcPr>
            <w:tcW w:w="582" w:type="pct"/>
            <w:vAlign w:val="center"/>
          </w:tcPr>
          <w:p w14:paraId="2DD4769F">
            <w:pPr>
              <w:pStyle w:val="12"/>
              <w:jc w:val="center"/>
            </w:pPr>
            <w:r>
              <w:rPr>
                <w:rFonts w:hint="eastAsia"/>
              </w:rPr>
              <w:t>油山镇</w:t>
            </w:r>
          </w:p>
        </w:tc>
        <w:tc>
          <w:tcPr>
            <w:tcW w:w="582" w:type="pct"/>
            <w:vAlign w:val="center"/>
          </w:tcPr>
          <w:p w14:paraId="299F3BF9">
            <w:pPr>
              <w:pStyle w:val="12"/>
              <w:jc w:val="center"/>
            </w:pPr>
            <w:r>
              <w:rPr>
                <w:rFonts w:hint="eastAsia"/>
              </w:rPr>
              <w:t>1932年</w:t>
            </w:r>
          </w:p>
        </w:tc>
        <w:tc>
          <w:tcPr>
            <w:tcW w:w="1066" w:type="pct"/>
            <w:vAlign w:val="center"/>
          </w:tcPr>
          <w:p w14:paraId="26A85B47">
            <w:pPr>
              <w:pStyle w:val="12"/>
              <w:jc w:val="left"/>
            </w:pPr>
            <w:r>
              <w:rPr>
                <w:rFonts w:hint="eastAsia"/>
              </w:rPr>
              <w:t>油山游击队队员</w:t>
            </w:r>
          </w:p>
        </w:tc>
        <w:tc>
          <w:tcPr>
            <w:tcW w:w="1160" w:type="pct"/>
            <w:vAlign w:val="center"/>
          </w:tcPr>
          <w:p w14:paraId="1764D9DD">
            <w:pPr>
              <w:pStyle w:val="12"/>
              <w:jc w:val="left"/>
            </w:pPr>
            <w:r>
              <w:rPr>
                <w:rFonts w:hint="eastAsia"/>
              </w:rPr>
              <w:t>1933年在大塘被捕就义</w:t>
            </w:r>
          </w:p>
        </w:tc>
      </w:tr>
      <w:tr w14:paraId="11AF33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6BF3BF8">
            <w:pPr>
              <w:pStyle w:val="12"/>
              <w:jc w:val="center"/>
            </w:pPr>
            <w:r>
              <w:rPr>
                <w:rFonts w:hint="eastAsia"/>
              </w:rPr>
              <w:t>黄凡润古</w:t>
            </w:r>
          </w:p>
        </w:tc>
        <w:tc>
          <w:tcPr>
            <w:tcW w:w="388" w:type="pct"/>
            <w:vAlign w:val="center"/>
          </w:tcPr>
          <w:p w14:paraId="1E52EB06">
            <w:pPr>
              <w:pStyle w:val="12"/>
              <w:jc w:val="center"/>
            </w:pPr>
            <w:r>
              <w:rPr>
                <w:rFonts w:hint="eastAsia"/>
              </w:rPr>
              <w:t>男</w:t>
            </w:r>
          </w:p>
        </w:tc>
        <w:tc>
          <w:tcPr>
            <w:tcW w:w="582" w:type="pct"/>
            <w:vAlign w:val="center"/>
          </w:tcPr>
          <w:p w14:paraId="7FE109F4">
            <w:pPr>
              <w:pStyle w:val="12"/>
              <w:jc w:val="center"/>
            </w:pPr>
            <w:r>
              <w:rPr>
                <w:rFonts w:hint="eastAsia"/>
              </w:rPr>
              <w:t>1917年</w:t>
            </w:r>
          </w:p>
        </w:tc>
        <w:tc>
          <w:tcPr>
            <w:tcW w:w="582" w:type="pct"/>
            <w:vAlign w:val="center"/>
          </w:tcPr>
          <w:p w14:paraId="09B1CA2B">
            <w:pPr>
              <w:pStyle w:val="12"/>
              <w:jc w:val="center"/>
            </w:pPr>
            <w:r>
              <w:rPr>
                <w:rFonts w:hint="eastAsia"/>
              </w:rPr>
              <w:t>油山镇</w:t>
            </w:r>
          </w:p>
        </w:tc>
        <w:tc>
          <w:tcPr>
            <w:tcW w:w="582" w:type="pct"/>
            <w:vAlign w:val="center"/>
          </w:tcPr>
          <w:p w14:paraId="21B636C2">
            <w:pPr>
              <w:pStyle w:val="12"/>
              <w:jc w:val="center"/>
            </w:pPr>
            <w:r>
              <w:rPr>
                <w:rFonts w:hint="eastAsia"/>
              </w:rPr>
              <w:t>1931年</w:t>
            </w:r>
          </w:p>
        </w:tc>
        <w:tc>
          <w:tcPr>
            <w:tcW w:w="1066" w:type="pct"/>
            <w:vAlign w:val="center"/>
          </w:tcPr>
          <w:p w14:paraId="17DB2DDD">
            <w:pPr>
              <w:pStyle w:val="12"/>
              <w:jc w:val="left"/>
            </w:pPr>
            <w:r>
              <w:rPr>
                <w:rFonts w:hint="eastAsia"/>
              </w:rPr>
              <w:t>油山游击队班长</w:t>
            </w:r>
          </w:p>
        </w:tc>
        <w:tc>
          <w:tcPr>
            <w:tcW w:w="1160" w:type="pct"/>
            <w:vAlign w:val="center"/>
          </w:tcPr>
          <w:p w14:paraId="26BDD737">
            <w:pPr>
              <w:pStyle w:val="12"/>
              <w:jc w:val="left"/>
            </w:pPr>
            <w:r>
              <w:rPr>
                <w:rFonts w:hint="eastAsia"/>
              </w:rPr>
              <w:t>1933年在乌迳战斗牺牲</w:t>
            </w:r>
          </w:p>
        </w:tc>
      </w:tr>
      <w:tr w14:paraId="5296CB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2EDC809">
            <w:pPr>
              <w:pStyle w:val="12"/>
              <w:jc w:val="center"/>
            </w:pPr>
            <w:r>
              <w:rPr>
                <w:rFonts w:hint="eastAsia"/>
              </w:rPr>
              <w:t>叶际贵</w:t>
            </w:r>
            <w:r>
              <w:rPr>
                <w:rFonts w:hint="eastAsia" w:ascii="宋体" w:hAnsi="宋体" w:cs="宋体"/>
              </w:rPr>
              <w:t>（叶日青）</w:t>
            </w:r>
          </w:p>
        </w:tc>
        <w:tc>
          <w:tcPr>
            <w:tcW w:w="388" w:type="pct"/>
            <w:vAlign w:val="center"/>
          </w:tcPr>
          <w:p w14:paraId="709B75D4">
            <w:pPr>
              <w:pStyle w:val="12"/>
              <w:jc w:val="center"/>
            </w:pPr>
            <w:r>
              <w:rPr>
                <w:rFonts w:hint="eastAsia"/>
              </w:rPr>
              <w:t>男</w:t>
            </w:r>
          </w:p>
        </w:tc>
        <w:tc>
          <w:tcPr>
            <w:tcW w:w="582" w:type="pct"/>
            <w:vAlign w:val="center"/>
          </w:tcPr>
          <w:p w14:paraId="717256DE">
            <w:pPr>
              <w:pStyle w:val="12"/>
              <w:jc w:val="center"/>
            </w:pPr>
            <w:r>
              <w:rPr>
                <w:rFonts w:hint="eastAsia"/>
              </w:rPr>
              <w:t>1903年</w:t>
            </w:r>
          </w:p>
        </w:tc>
        <w:tc>
          <w:tcPr>
            <w:tcW w:w="582" w:type="pct"/>
            <w:vAlign w:val="center"/>
          </w:tcPr>
          <w:p w14:paraId="1E933BA9">
            <w:pPr>
              <w:pStyle w:val="12"/>
              <w:jc w:val="center"/>
            </w:pPr>
            <w:r>
              <w:rPr>
                <w:rFonts w:hint="eastAsia"/>
              </w:rPr>
              <w:t>乌迳镇</w:t>
            </w:r>
          </w:p>
        </w:tc>
        <w:tc>
          <w:tcPr>
            <w:tcW w:w="582" w:type="pct"/>
            <w:vAlign w:val="center"/>
          </w:tcPr>
          <w:p w14:paraId="2E708B56">
            <w:pPr>
              <w:pStyle w:val="12"/>
              <w:jc w:val="center"/>
            </w:pPr>
            <w:r>
              <w:rPr>
                <w:rFonts w:hint="eastAsia"/>
              </w:rPr>
              <w:t>1925年</w:t>
            </w:r>
          </w:p>
        </w:tc>
        <w:tc>
          <w:tcPr>
            <w:tcW w:w="1066" w:type="pct"/>
            <w:vAlign w:val="center"/>
          </w:tcPr>
          <w:p w14:paraId="7711E34D">
            <w:pPr>
              <w:pStyle w:val="12"/>
              <w:jc w:val="left"/>
            </w:pPr>
            <w:r>
              <w:rPr>
                <w:rFonts w:hint="eastAsia"/>
              </w:rPr>
              <w:t>南山游击队队员</w:t>
            </w:r>
          </w:p>
        </w:tc>
        <w:tc>
          <w:tcPr>
            <w:tcW w:w="1160" w:type="pct"/>
            <w:vAlign w:val="center"/>
          </w:tcPr>
          <w:p w14:paraId="0647E26F">
            <w:pPr>
              <w:pStyle w:val="12"/>
              <w:jc w:val="left"/>
            </w:pPr>
            <w:r>
              <w:rPr>
                <w:rFonts w:hint="eastAsia"/>
              </w:rPr>
              <w:t>1933年3月在孔江铜锣湾被捕，在南雄城郊就义</w:t>
            </w:r>
          </w:p>
        </w:tc>
      </w:tr>
      <w:tr w14:paraId="493174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80FA074">
            <w:pPr>
              <w:pStyle w:val="12"/>
              <w:jc w:val="center"/>
            </w:pPr>
            <w:r>
              <w:rPr>
                <w:rFonts w:hint="eastAsia"/>
              </w:rPr>
              <w:t>叶善林</w:t>
            </w:r>
          </w:p>
        </w:tc>
        <w:tc>
          <w:tcPr>
            <w:tcW w:w="388" w:type="pct"/>
            <w:vAlign w:val="center"/>
          </w:tcPr>
          <w:p w14:paraId="522FD408">
            <w:pPr>
              <w:pStyle w:val="12"/>
              <w:jc w:val="center"/>
            </w:pPr>
            <w:r>
              <w:rPr>
                <w:rFonts w:hint="eastAsia"/>
              </w:rPr>
              <w:t>男</w:t>
            </w:r>
          </w:p>
        </w:tc>
        <w:tc>
          <w:tcPr>
            <w:tcW w:w="582" w:type="pct"/>
            <w:vAlign w:val="center"/>
          </w:tcPr>
          <w:p w14:paraId="44C76DAF">
            <w:pPr>
              <w:pStyle w:val="12"/>
              <w:jc w:val="center"/>
            </w:pPr>
            <w:r>
              <w:rPr>
                <w:rFonts w:hint="eastAsia"/>
              </w:rPr>
              <w:t>1897年</w:t>
            </w:r>
          </w:p>
        </w:tc>
        <w:tc>
          <w:tcPr>
            <w:tcW w:w="582" w:type="pct"/>
            <w:vAlign w:val="center"/>
          </w:tcPr>
          <w:p w14:paraId="5737C00A">
            <w:pPr>
              <w:pStyle w:val="12"/>
              <w:jc w:val="center"/>
            </w:pPr>
            <w:r>
              <w:rPr>
                <w:rFonts w:hint="eastAsia"/>
              </w:rPr>
              <w:t>乌迳镇</w:t>
            </w:r>
          </w:p>
        </w:tc>
        <w:tc>
          <w:tcPr>
            <w:tcW w:w="582" w:type="pct"/>
            <w:vAlign w:val="center"/>
          </w:tcPr>
          <w:p w14:paraId="37593015">
            <w:pPr>
              <w:pStyle w:val="12"/>
              <w:jc w:val="center"/>
            </w:pPr>
            <w:r>
              <w:rPr>
                <w:rFonts w:hint="eastAsia"/>
              </w:rPr>
              <w:t>1928年</w:t>
            </w:r>
          </w:p>
        </w:tc>
        <w:tc>
          <w:tcPr>
            <w:tcW w:w="1066" w:type="pct"/>
            <w:vAlign w:val="center"/>
          </w:tcPr>
          <w:p w14:paraId="634ED629">
            <w:pPr>
              <w:pStyle w:val="12"/>
              <w:jc w:val="left"/>
              <w:rPr>
                <w:rFonts w:ascii="宋体" w:hAnsi="宋体" w:cs="宋体"/>
              </w:rPr>
            </w:pPr>
            <w:r>
              <w:rPr>
                <w:rFonts w:hint="eastAsia"/>
              </w:rPr>
              <w:t>南山游击队</w:t>
            </w:r>
          </w:p>
          <w:p w14:paraId="074DC3C5">
            <w:pPr>
              <w:pStyle w:val="12"/>
              <w:jc w:val="left"/>
            </w:pPr>
            <w:r>
              <w:rPr>
                <w:rFonts w:hint="eastAsia" w:ascii="宋体" w:hAnsi="宋体" w:cs="宋体"/>
              </w:rPr>
              <w:t>事  务  长</w:t>
            </w:r>
          </w:p>
        </w:tc>
        <w:tc>
          <w:tcPr>
            <w:tcW w:w="1160" w:type="pct"/>
            <w:vAlign w:val="center"/>
          </w:tcPr>
          <w:p w14:paraId="08C23B3A">
            <w:pPr>
              <w:pStyle w:val="12"/>
              <w:jc w:val="left"/>
            </w:pPr>
            <w:r>
              <w:rPr>
                <w:rFonts w:hint="eastAsia"/>
              </w:rPr>
              <w:t>1933年在孔江窑上战斗牺牲</w:t>
            </w:r>
          </w:p>
        </w:tc>
      </w:tr>
      <w:tr w14:paraId="0DE0DF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2BD2FFE">
            <w:pPr>
              <w:pStyle w:val="12"/>
              <w:jc w:val="center"/>
            </w:pPr>
            <w:r>
              <w:rPr>
                <w:rFonts w:hint="eastAsia"/>
              </w:rPr>
              <w:t>叶福德</w:t>
            </w:r>
          </w:p>
        </w:tc>
        <w:tc>
          <w:tcPr>
            <w:tcW w:w="388" w:type="pct"/>
            <w:vAlign w:val="center"/>
          </w:tcPr>
          <w:p w14:paraId="5EDFC7D8">
            <w:pPr>
              <w:pStyle w:val="12"/>
              <w:jc w:val="center"/>
            </w:pPr>
            <w:r>
              <w:rPr>
                <w:rFonts w:hint="eastAsia"/>
              </w:rPr>
              <w:t>男</w:t>
            </w:r>
          </w:p>
        </w:tc>
        <w:tc>
          <w:tcPr>
            <w:tcW w:w="582" w:type="pct"/>
            <w:vAlign w:val="center"/>
          </w:tcPr>
          <w:p w14:paraId="6807060E">
            <w:pPr>
              <w:pStyle w:val="12"/>
              <w:jc w:val="center"/>
            </w:pPr>
            <w:r>
              <w:rPr>
                <w:rFonts w:hint="eastAsia"/>
              </w:rPr>
              <w:t>1900年</w:t>
            </w:r>
          </w:p>
        </w:tc>
        <w:tc>
          <w:tcPr>
            <w:tcW w:w="582" w:type="pct"/>
            <w:vAlign w:val="center"/>
          </w:tcPr>
          <w:p w14:paraId="181A971B">
            <w:pPr>
              <w:pStyle w:val="12"/>
              <w:jc w:val="center"/>
            </w:pPr>
            <w:r>
              <w:rPr>
                <w:rFonts w:hint="eastAsia"/>
              </w:rPr>
              <w:t>乌迳镇</w:t>
            </w:r>
          </w:p>
        </w:tc>
        <w:tc>
          <w:tcPr>
            <w:tcW w:w="582" w:type="pct"/>
            <w:vAlign w:val="center"/>
          </w:tcPr>
          <w:p w14:paraId="33004B21">
            <w:pPr>
              <w:pStyle w:val="12"/>
              <w:jc w:val="center"/>
            </w:pPr>
            <w:r>
              <w:rPr>
                <w:rFonts w:hint="eastAsia"/>
              </w:rPr>
              <w:t>1930年</w:t>
            </w:r>
          </w:p>
        </w:tc>
        <w:tc>
          <w:tcPr>
            <w:tcW w:w="1066" w:type="pct"/>
            <w:vAlign w:val="center"/>
          </w:tcPr>
          <w:p w14:paraId="110BA309">
            <w:pPr>
              <w:pStyle w:val="12"/>
              <w:jc w:val="left"/>
            </w:pPr>
            <w:r>
              <w:rPr>
                <w:rFonts w:hint="eastAsia"/>
              </w:rPr>
              <w:t>南山游击队队员</w:t>
            </w:r>
          </w:p>
        </w:tc>
        <w:tc>
          <w:tcPr>
            <w:tcW w:w="1160" w:type="pct"/>
            <w:vAlign w:val="center"/>
          </w:tcPr>
          <w:p w14:paraId="4176CDDE">
            <w:pPr>
              <w:pStyle w:val="12"/>
              <w:jc w:val="left"/>
            </w:pPr>
            <w:r>
              <w:rPr>
                <w:rFonts w:hint="eastAsia"/>
              </w:rPr>
              <w:t>1933年在坪田战斗牺牲</w:t>
            </w:r>
          </w:p>
        </w:tc>
      </w:tr>
      <w:tr w14:paraId="2A7D4A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73F3576">
            <w:pPr>
              <w:pStyle w:val="12"/>
              <w:jc w:val="center"/>
            </w:pPr>
            <w:r>
              <w:rPr>
                <w:rFonts w:hint="eastAsia"/>
              </w:rPr>
              <w:t>叶黑古</w:t>
            </w:r>
          </w:p>
        </w:tc>
        <w:tc>
          <w:tcPr>
            <w:tcW w:w="388" w:type="pct"/>
            <w:vAlign w:val="center"/>
          </w:tcPr>
          <w:p w14:paraId="0A0C2F28">
            <w:pPr>
              <w:pStyle w:val="12"/>
              <w:jc w:val="center"/>
            </w:pPr>
            <w:r>
              <w:rPr>
                <w:rFonts w:hint="eastAsia"/>
              </w:rPr>
              <w:t>男</w:t>
            </w:r>
          </w:p>
        </w:tc>
        <w:tc>
          <w:tcPr>
            <w:tcW w:w="582" w:type="pct"/>
            <w:vAlign w:val="center"/>
          </w:tcPr>
          <w:p w14:paraId="0EB3C07B">
            <w:pPr>
              <w:pStyle w:val="12"/>
              <w:jc w:val="center"/>
            </w:pPr>
            <w:r>
              <w:rPr>
                <w:rFonts w:hint="eastAsia"/>
              </w:rPr>
              <w:t>1903年</w:t>
            </w:r>
          </w:p>
        </w:tc>
        <w:tc>
          <w:tcPr>
            <w:tcW w:w="582" w:type="pct"/>
            <w:vAlign w:val="center"/>
          </w:tcPr>
          <w:p w14:paraId="567B58ED">
            <w:pPr>
              <w:pStyle w:val="12"/>
              <w:jc w:val="center"/>
            </w:pPr>
            <w:r>
              <w:rPr>
                <w:rFonts w:hint="eastAsia"/>
              </w:rPr>
              <w:t>乌迳镇</w:t>
            </w:r>
          </w:p>
        </w:tc>
        <w:tc>
          <w:tcPr>
            <w:tcW w:w="582" w:type="pct"/>
            <w:vAlign w:val="center"/>
          </w:tcPr>
          <w:p w14:paraId="69083AF7">
            <w:pPr>
              <w:pStyle w:val="12"/>
              <w:jc w:val="center"/>
            </w:pPr>
            <w:r>
              <w:rPr>
                <w:rFonts w:hint="eastAsia"/>
              </w:rPr>
              <w:t>1930年</w:t>
            </w:r>
          </w:p>
        </w:tc>
        <w:tc>
          <w:tcPr>
            <w:tcW w:w="1066" w:type="pct"/>
            <w:vAlign w:val="center"/>
          </w:tcPr>
          <w:p w14:paraId="28598ADF">
            <w:pPr>
              <w:pStyle w:val="12"/>
              <w:jc w:val="left"/>
            </w:pPr>
            <w:r>
              <w:rPr>
                <w:rFonts w:hint="eastAsia"/>
              </w:rPr>
              <w:t>工农红军战士</w:t>
            </w:r>
          </w:p>
        </w:tc>
        <w:tc>
          <w:tcPr>
            <w:tcW w:w="1160" w:type="pct"/>
            <w:vAlign w:val="center"/>
          </w:tcPr>
          <w:p w14:paraId="02F3BF27">
            <w:pPr>
              <w:pStyle w:val="12"/>
              <w:jc w:val="left"/>
            </w:pPr>
            <w:r>
              <w:rPr>
                <w:rFonts w:hint="eastAsia"/>
              </w:rPr>
              <w:t>1933年在江西庙下战斗牺牲</w:t>
            </w:r>
          </w:p>
        </w:tc>
      </w:tr>
      <w:tr w14:paraId="721A44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34EB838">
            <w:pPr>
              <w:pStyle w:val="12"/>
              <w:jc w:val="center"/>
            </w:pPr>
            <w:r>
              <w:rPr>
                <w:rFonts w:hint="eastAsia"/>
              </w:rPr>
              <w:t>彭指挥</w:t>
            </w:r>
          </w:p>
        </w:tc>
        <w:tc>
          <w:tcPr>
            <w:tcW w:w="388" w:type="pct"/>
            <w:vAlign w:val="center"/>
          </w:tcPr>
          <w:p w14:paraId="4ADFF523">
            <w:pPr>
              <w:pStyle w:val="12"/>
              <w:jc w:val="center"/>
            </w:pPr>
            <w:r>
              <w:rPr>
                <w:rFonts w:hint="eastAsia"/>
              </w:rPr>
              <w:t>男</w:t>
            </w:r>
          </w:p>
        </w:tc>
        <w:tc>
          <w:tcPr>
            <w:tcW w:w="582" w:type="pct"/>
            <w:vAlign w:val="center"/>
          </w:tcPr>
          <w:p w14:paraId="394D5D15">
            <w:pPr>
              <w:pStyle w:val="12"/>
              <w:jc w:val="center"/>
            </w:pPr>
            <w:r>
              <w:rPr>
                <w:rFonts w:hint="eastAsia"/>
              </w:rPr>
              <w:t>1905年</w:t>
            </w:r>
          </w:p>
        </w:tc>
        <w:tc>
          <w:tcPr>
            <w:tcW w:w="582" w:type="pct"/>
            <w:vAlign w:val="center"/>
          </w:tcPr>
          <w:p w14:paraId="11CAA393">
            <w:pPr>
              <w:pStyle w:val="12"/>
              <w:jc w:val="center"/>
            </w:pPr>
            <w:r>
              <w:rPr>
                <w:rFonts w:hint="eastAsia"/>
              </w:rPr>
              <w:t>油山镇</w:t>
            </w:r>
          </w:p>
        </w:tc>
        <w:tc>
          <w:tcPr>
            <w:tcW w:w="582" w:type="pct"/>
            <w:vAlign w:val="center"/>
          </w:tcPr>
          <w:p w14:paraId="18F05989">
            <w:pPr>
              <w:pStyle w:val="12"/>
              <w:jc w:val="center"/>
            </w:pPr>
            <w:r>
              <w:rPr>
                <w:rFonts w:hint="eastAsia"/>
              </w:rPr>
              <w:t>1928年</w:t>
            </w:r>
          </w:p>
        </w:tc>
        <w:tc>
          <w:tcPr>
            <w:tcW w:w="1066" w:type="pct"/>
            <w:vAlign w:val="center"/>
          </w:tcPr>
          <w:p w14:paraId="7F97E3A5">
            <w:pPr>
              <w:pStyle w:val="12"/>
              <w:jc w:val="left"/>
            </w:pPr>
            <w:r>
              <w:rPr>
                <w:rFonts w:hint="eastAsia"/>
              </w:rPr>
              <w:t>南山游击队队长</w:t>
            </w:r>
          </w:p>
        </w:tc>
        <w:tc>
          <w:tcPr>
            <w:tcW w:w="1160" w:type="pct"/>
            <w:vAlign w:val="center"/>
          </w:tcPr>
          <w:p w14:paraId="6DC66390">
            <w:pPr>
              <w:pStyle w:val="12"/>
              <w:jc w:val="left"/>
            </w:pPr>
            <w:r>
              <w:rPr>
                <w:rFonts w:hint="eastAsia"/>
              </w:rPr>
              <w:t>1933年在大坊窑灶口作战牺牲</w:t>
            </w:r>
          </w:p>
        </w:tc>
      </w:tr>
      <w:tr w14:paraId="71AAD6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E5D2D96">
            <w:pPr>
              <w:pStyle w:val="12"/>
              <w:jc w:val="center"/>
            </w:pPr>
            <w:r>
              <w:rPr>
                <w:rFonts w:hint="eastAsia"/>
              </w:rPr>
              <w:t>郑芳林</w:t>
            </w:r>
          </w:p>
        </w:tc>
        <w:tc>
          <w:tcPr>
            <w:tcW w:w="388" w:type="pct"/>
            <w:vAlign w:val="center"/>
          </w:tcPr>
          <w:p w14:paraId="071C10DD">
            <w:pPr>
              <w:pStyle w:val="12"/>
              <w:jc w:val="center"/>
            </w:pPr>
            <w:r>
              <w:rPr>
                <w:rFonts w:hint="eastAsia"/>
              </w:rPr>
              <w:t>男</w:t>
            </w:r>
          </w:p>
        </w:tc>
        <w:tc>
          <w:tcPr>
            <w:tcW w:w="582" w:type="pct"/>
            <w:vAlign w:val="center"/>
          </w:tcPr>
          <w:p w14:paraId="22808343">
            <w:pPr>
              <w:pStyle w:val="12"/>
              <w:jc w:val="center"/>
            </w:pPr>
            <w:r>
              <w:rPr>
                <w:rFonts w:hint="eastAsia"/>
              </w:rPr>
              <w:t>1908年</w:t>
            </w:r>
          </w:p>
        </w:tc>
        <w:tc>
          <w:tcPr>
            <w:tcW w:w="582" w:type="pct"/>
            <w:vAlign w:val="center"/>
          </w:tcPr>
          <w:p w14:paraId="3778F53B">
            <w:pPr>
              <w:pStyle w:val="12"/>
              <w:jc w:val="center"/>
            </w:pPr>
            <w:r>
              <w:rPr>
                <w:rFonts w:hint="eastAsia"/>
              </w:rPr>
              <w:t>乌迳镇</w:t>
            </w:r>
          </w:p>
        </w:tc>
        <w:tc>
          <w:tcPr>
            <w:tcW w:w="582" w:type="pct"/>
            <w:vAlign w:val="center"/>
          </w:tcPr>
          <w:p w14:paraId="0C2D3F9D">
            <w:pPr>
              <w:pStyle w:val="12"/>
              <w:jc w:val="center"/>
            </w:pPr>
            <w:r>
              <w:rPr>
                <w:rFonts w:hint="eastAsia"/>
              </w:rPr>
              <w:t>1927年</w:t>
            </w:r>
          </w:p>
        </w:tc>
        <w:tc>
          <w:tcPr>
            <w:tcW w:w="1066" w:type="pct"/>
            <w:vAlign w:val="center"/>
          </w:tcPr>
          <w:p w14:paraId="65FF5EDE">
            <w:pPr>
              <w:pStyle w:val="12"/>
              <w:jc w:val="left"/>
            </w:pPr>
            <w:r>
              <w:rPr>
                <w:rFonts w:hint="eastAsia"/>
              </w:rPr>
              <w:t>南山游击队队员</w:t>
            </w:r>
          </w:p>
        </w:tc>
        <w:tc>
          <w:tcPr>
            <w:tcW w:w="1160" w:type="pct"/>
            <w:vAlign w:val="center"/>
          </w:tcPr>
          <w:p w14:paraId="7DB781AF">
            <w:pPr>
              <w:pStyle w:val="12"/>
              <w:jc w:val="left"/>
            </w:pPr>
            <w:r>
              <w:rPr>
                <w:rFonts w:hint="eastAsia"/>
              </w:rPr>
              <w:t>1933年在黄洞老屋俚开会被捕，在乌迳就义</w:t>
            </w:r>
          </w:p>
        </w:tc>
      </w:tr>
      <w:tr w14:paraId="2BC1DA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639" w:type="pct"/>
            <w:vAlign w:val="center"/>
          </w:tcPr>
          <w:p w14:paraId="633DD247">
            <w:pPr>
              <w:pStyle w:val="12"/>
              <w:jc w:val="center"/>
            </w:pPr>
            <w:r>
              <w:rPr>
                <w:rFonts w:hint="eastAsia"/>
              </w:rPr>
              <w:t>黄  彪</w:t>
            </w:r>
          </w:p>
        </w:tc>
        <w:tc>
          <w:tcPr>
            <w:tcW w:w="388" w:type="pct"/>
            <w:vAlign w:val="center"/>
          </w:tcPr>
          <w:p w14:paraId="7FA33ED6">
            <w:pPr>
              <w:pStyle w:val="12"/>
              <w:jc w:val="center"/>
            </w:pPr>
            <w:r>
              <w:rPr>
                <w:rFonts w:hint="eastAsia"/>
              </w:rPr>
              <w:t>男</w:t>
            </w:r>
          </w:p>
        </w:tc>
        <w:tc>
          <w:tcPr>
            <w:tcW w:w="582" w:type="pct"/>
            <w:vAlign w:val="center"/>
          </w:tcPr>
          <w:p w14:paraId="377385CD">
            <w:pPr>
              <w:pStyle w:val="12"/>
              <w:jc w:val="center"/>
            </w:pPr>
            <w:r>
              <w:rPr>
                <w:rFonts w:hint="eastAsia"/>
              </w:rPr>
              <w:t>1906年</w:t>
            </w:r>
          </w:p>
        </w:tc>
        <w:tc>
          <w:tcPr>
            <w:tcW w:w="582" w:type="pct"/>
            <w:vAlign w:val="center"/>
          </w:tcPr>
          <w:p w14:paraId="6E346473">
            <w:pPr>
              <w:pStyle w:val="12"/>
              <w:jc w:val="center"/>
            </w:pPr>
            <w:r>
              <w:rPr>
                <w:rFonts w:hint="eastAsia"/>
              </w:rPr>
              <w:t>乌迳镇</w:t>
            </w:r>
          </w:p>
        </w:tc>
        <w:tc>
          <w:tcPr>
            <w:tcW w:w="582" w:type="pct"/>
            <w:vAlign w:val="center"/>
          </w:tcPr>
          <w:p w14:paraId="7FE028D4">
            <w:pPr>
              <w:pStyle w:val="12"/>
              <w:jc w:val="center"/>
            </w:pPr>
            <w:r>
              <w:rPr>
                <w:rFonts w:hint="eastAsia"/>
              </w:rPr>
              <w:t>1928年</w:t>
            </w:r>
          </w:p>
        </w:tc>
        <w:tc>
          <w:tcPr>
            <w:tcW w:w="1066" w:type="pct"/>
            <w:vAlign w:val="center"/>
          </w:tcPr>
          <w:p w14:paraId="4EF2A5CE">
            <w:pPr>
              <w:pStyle w:val="12"/>
              <w:jc w:val="left"/>
            </w:pPr>
            <w:r>
              <w:rPr>
                <w:rFonts w:hint="eastAsia"/>
              </w:rPr>
              <w:t>红军副排长</w:t>
            </w:r>
          </w:p>
        </w:tc>
        <w:tc>
          <w:tcPr>
            <w:tcW w:w="1160" w:type="pct"/>
            <w:vAlign w:val="center"/>
          </w:tcPr>
          <w:p w14:paraId="06ADCE51">
            <w:pPr>
              <w:pStyle w:val="12"/>
              <w:jc w:val="left"/>
            </w:pPr>
            <w:r>
              <w:rPr>
                <w:rFonts w:hint="eastAsia"/>
              </w:rPr>
              <w:t>1933年3月在江西宜黄县东坡黄城战斗牺牲</w:t>
            </w:r>
          </w:p>
        </w:tc>
      </w:tr>
      <w:tr w14:paraId="567B19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A4A60EB">
            <w:pPr>
              <w:pStyle w:val="12"/>
              <w:jc w:val="center"/>
            </w:pPr>
            <w:r>
              <w:rPr>
                <w:rFonts w:hint="eastAsia"/>
              </w:rPr>
              <w:t>黄云标</w:t>
            </w:r>
          </w:p>
        </w:tc>
        <w:tc>
          <w:tcPr>
            <w:tcW w:w="388" w:type="pct"/>
            <w:vAlign w:val="center"/>
          </w:tcPr>
          <w:p w14:paraId="0131FA73">
            <w:pPr>
              <w:pStyle w:val="12"/>
              <w:jc w:val="center"/>
            </w:pPr>
            <w:r>
              <w:rPr>
                <w:rFonts w:hint="eastAsia"/>
              </w:rPr>
              <w:t>男</w:t>
            </w:r>
          </w:p>
        </w:tc>
        <w:tc>
          <w:tcPr>
            <w:tcW w:w="582" w:type="pct"/>
            <w:vAlign w:val="center"/>
          </w:tcPr>
          <w:p w14:paraId="01E8AA28">
            <w:pPr>
              <w:pStyle w:val="12"/>
              <w:jc w:val="center"/>
            </w:pPr>
            <w:r>
              <w:rPr>
                <w:rFonts w:hint="eastAsia"/>
              </w:rPr>
              <w:t>1908年</w:t>
            </w:r>
          </w:p>
        </w:tc>
        <w:tc>
          <w:tcPr>
            <w:tcW w:w="582" w:type="pct"/>
            <w:vAlign w:val="center"/>
          </w:tcPr>
          <w:p w14:paraId="207FF121">
            <w:pPr>
              <w:pStyle w:val="12"/>
              <w:jc w:val="center"/>
            </w:pPr>
            <w:r>
              <w:rPr>
                <w:rFonts w:hint="eastAsia"/>
              </w:rPr>
              <w:t>乌迳镇</w:t>
            </w:r>
          </w:p>
        </w:tc>
        <w:tc>
          <w:tcPr>
            <w:tcW w:w="582" w:type="pct"/>
            <w:vAlign w:val="center"/>
          </w:tcPr>
          <w:p w14:paraId="3D8A2C95">
            <w:pPr>
              <w:pStyle w:val="12"/>
              <w:jc w:val="center"/>
            </w:pPr>
            <w:r>
              <w:rPr>
                <w:rFonts w:hint="eastAsia"/>
              </w:rPr>
              <w:t>1928年</w:t>
            </w:r>
          </w:p>
        </w:tc>
        <w:tc>
          <w:tcPr>
            <w:tcW w:w="1066" w:type="pct"/>
            <w:vAlign w:val="center"/>
          </w:tcPr>
          <w:p w14:paraId="6D9B76C3">
            <w:pPr>
              <w:pStyle w:val="12"/>
              <w:jc w:val="left"/>
            </w:pPr>
            <w:r>
              <w:rPr>
                <w:rFonts w:hint="eastAsia"/>
              </w:rPr>
              <w:t>南山游击队队员</w:t>
            </w:r>
          </w:p>
        </w:tc>
        <w:tc>
          <w:tcPr>
            <w:tcW w:w="1160" w:type="pct"/>
            <w:vAlign w:val="center"/>
          </w:tcPr>
          <w:p w14:paraId="28161196">
            <w:pPr>
              <w:pStyle w:val="12"/>
              <w:jc w:val="left"/>
            </w:pPr>
            <w:r>
              <w:rPr>
                <w:rFonts w:hint="eastAsia"/>
              </w:rPr>
              <w:t>1933年在赣南东河失踪</w:t>
            </w:r>
          </w:p>
        </w:tc>
      </w:tr>
      <w:tr w14:paraId="7BAD6F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835C0D1">
            <w:pPr>
              <w:pStyle w:val="12"/>
              <w:jc w:val="center"/>
            </w:pPr>
            <w:r>
              <w:rPr>
                <w:rFonts w:hint="eastAsia"/>
              </w:rPr>
              <w:t>王石生</w:t>
            </w:r>
          </w:p>
        </w:tc>
        <w:tc>
          <w:tcPr>
            <w:tcW w:w="388" w:type="pct"/>
            <w:vAlign w:val="center"/>
          </w:tcPr>
          <w:p w14:paraId="7AB6CB92">
            <w:pPr>
              <w:pStyle w:val="12"/>
              <w:jc w:val="center"/>
            </w:pPr>
            <w:r>
              <w:rPr>
                <w:rFonts w:hint="eastAsia"/>
              </w:rPr>
              <w:t>男</w:t>
            </w:r>
          </w:p>
        </w:tc>
        <w:tc>
          <w:tcPr>
            <w:tcW w:w="582" w:type="pct"/>
            <w:vAlign w:val="center"/>
          </w:tcPr>
          <w:p w14:paraId="4718171F">
            <w:pPr>
              <w:pStyle w:val="12"/>
              <w:jc w:val="center"/>
            </w:pPr>
            <w:r>
              <w:rPr>
                <w:rFonts w:hint="eastAsia"/>
              </w:rPr>
              <w:t>1912年</w:t>
            </w:r>
          </w:p>
        </w:tc>
        <w:tc>
          <w:tcPr>
            <w:tcW w:w="582" w:type="pct"/>
            <w:vAlign w:val="center"/>
          </w:tcPr>
          <w:p w14:paraId="427E5A99">
            <w:pPr>
              <w:pStyle w:val="12"/>
              <w:jc w:val="center"/>
            </w:pPr>
            <w:r>
              <w:rPr>
                <w:rFonts w:hint="eastAsia"/>
              </w:rPr>
              <w:t>乌迳镇</w:t>
            </w:r>
          </w:p>
        </w:tc>
        <w:tc>
          <w:tcPr>
            <w:tcW w:w="582" w:type="pct"/>
            <w:vAlign w:val="center"/>
          </w:tcPr>
          <w:p w14:paraId="29B5CF92">
            <w:pPr>
              <w:pStyle w:val="12"/>
              <w:jc w:val="center"/>
            </w:pPr>
            <w:r>
              <w:rPr>
                <w:rFonts w:hint="eastAsia"/>
              </w:rPr>
              <w:t>1928年</w:t>
            </w:r>
          </w:p>
        </w:tc>
        <w:tc>
          <w:tcPr>
            <w:tcW w:w="1066" w:type="pct"/>
            <w:vAlign w:val="center"/>
          </w:tcPr>
          <w:p w14:paraId="63AD8345">
            <w:pPr>
              <w:pStyle w:val="12"/>
              <w:jc w:val="left"/>
            </w:pPr>
            <w:r>
              <w:rPr>
                <w:rFonts w:hint="eastAsia"/>
              </w:rPr>
              <w:t>南山游击队排长</w:t>
            </w:r>
          </w:p>
        </w:tc>
        <w:tc>
          <w:tcPr>
            <w:tcW w:w="1160" w:type="pct"/>
            <w:vAlign w:val="center"/>
          </w:tcPr>
          <w:p w14:paraId="6DCD7A50">
            <w:pPr>
              <w:pStyle w:val="12"/>
              <w:jc w:val="left"/>
            </w:pPr>
            <w:r>
              <w:rPr>
                <w:rFonts w:hint="eastAsia"/>
              </w:rPr>
              <w:t>1933年在新龙战斗中负伤被捕就义</w:t>
            </w:r>
          </w:p>
        </w:tc>
      </w:tr>
      <w:tr w14:paraId="0EB0D8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649A7FB">
            <w:pPr>
              <w:pStyle w:val="12"/>
              <w:jc w:val="center"/>
            </w:pPr>
            <w:r>
              <w:rPr>
                <w:rFonts w:hint="eastAsia"/>
              </w:rPr>
              <w:t>周才应</w:t>
            </w:r>
          </w:p>
        </w:tc>
        <w:tc>
          <w:tcPr>
            <w:tcW w:w="388" w:type="pct"/>
            <w:vAlign w:val="center"/>
          </w:tcPr>
          <w:p w14:paraId="2CC965C6">
            <w:pPr>
              <w:pStyle w:val="12"/>
              <w:jc w:val="center"/>
            </w:pPr>
            <w:r>
              <w:rPr>
                <w:rFonts w:hint="eastAsia"/>
              </w:rPr>
              <w:t>男</w:t>
            </w:r>
          </w:p>
        </w:tc>
        <w:tc>
          <w:tcPr>
            <w:tcW w:w="582" w:type="pct"/>
            <w:vAlign w:val="center"/>
          </w:tcPr>
          <w:p w14:paraId="1FC2A5AB">
            <w:pPr>
              <w:pStyle w:val="12"/>
              <w:jc w:val="center"/>
            </w:pPr>
            <w:r>
              <w:rPr>
                <w:rFonts w:hint="eastAsia"/>
              </w:rPr>
              <w:t>1913年</w:t>
            </w:r>
          </w:p>
        </w:tc>
        <w:tc>
          <w:tcPr>
            <w:tcW w:w="582" w:type="pct"/>
            <w:vAlign w:val="center"/>
          </w:tcPr>
          <w:p w14:paraId="50275FEE">
            <w:pPr>
              <w:pStyle w:val="12"/>
              <w:jc w:val="center"/>
            </w:pPr>
            <w:r>
              <w:rPr>
                <w:rFonts w:hint="eastAsia"/>
              </w:rPr>
              <w:t>黄坑镇</w:t>
            </w:r>
          </w:p>
        </w:tc>
        <w:tc>
          <w:tcPr>
            <w:tcW w:w="582" w:type="pct"/>
            <w:vAlign w:val="center"/>
          </w:tcPr>
          <w:p w14:paraId="5C1B2A32">
            <w:pPr>
              <w:pStyle w:val="12"/>
              <w:jc w:val="center"/>
            </w:pPr>
            <w:r>
              <w:rPr>
                <w:rFonts w:hint="eastAsia"/>
              </w:rPr>
              <w:t>1932年</w:t>
            </w:r>
          </w:p>
        </w:tc>
        <w:tc>
          <w:tcPr>
            <w:tcW w:w="1066" w:type="pct"/>
            <w:vAlign w:val="center"/>
          </w:tcPr>
          <w:p w14:paraId="1EF81E71">
            <w:pPr>
              <w:pStyle w:val="12"/>
              <w:jc w:val="left"/>
            </w:pPr>
            <w:r>
              <w:rPr>
                <w:rFonts w:hint="eastAsia"/>
              </w:rPr>
              <w:t>红四军战士</w:t>
            </w:r>
          </w:p>
        </w:tc>
        <w:tc>
          <w:tcPr>
            <w:tcW w:w="1160" w:type="pct"/>
            <w:vAlign w:val="center"/>
          </w:tcPr>
          <w:p w14:paraId="26DC85E3">
            <w:pPr>
              <w:pStyle w:val="12"/>
              <w:jc w:val="left"/>
            </w:pPr>
            <w:r>
              <w:rPr>
                <w:rFonts w:hint="eastAsia"/>
              </w:rPr>
              <w:t>1933年在江西信丰县江口战斗牺牲</w:t>
            </w:r>
          </w:p>
        </w:tc>
      </w:tr>
      <w:tr w14:paraId="212B81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6D3E50B">
            <w:pPr>
              <w:pStyle w:val="12"/>
              <w:jc w:val="center"/>
            </w:pPr>
            <w:r>
              <w:rPr>
                <w:rFonts w:hint="eastAsia"/>
              </w:rPr>
              <w:t>黄衍光</w:t>
            </w:r>
          </w:p>
        </w:tc>
        <w:tc>
          <w:tcPr>
            <w:tcW w:w="388" w:type="pct"/>
            <w:vAlign w:val="center"/>
          </w:tcPr>
          <w:p w14:paraId="50BF9BF8">
            <w:pPr>
              <w:pStyle w:val="12"/>
              <w:jc w:val="center"/>
            </w:pPr>
            <w:r>
              <w:rPr>
                <w:rFonts w:hint="eastAsia"/>
              </w:rPr>
              <w:t>男</w:t>
            </w:r>
          </w:p>
        </w:tc>
        <w:tc>
          <w:tcPr>
            <w:tcW w:w="582" w:type="pct"/>
            <w:vAlign w:val="center"/>
          </w:tcPr>
          <w:p w14:paraId="55428D57">
            <w:pPr>
              <w:pStyle w:val="12"/>
              <w:jc w:val="center"/>
            </w:pPr>
            <w:r>
              <w:rPr>
                <w:rFonts w:hint="eastAsia"/>
              </w:rPr>
              <w:t>1911年</w:t>
            </w:r>
          </w:p>
        </w:tc>
        <w:tc>
          <w:tcPr>
            <w:tcW w:w="582" w:type="pct"/>
            <w:vAlign w:val="center"/>
          </w:tcPr>
          <w:p w14:paraId="6B0FF156">
            <w:pPr>
              <w:pStyle w:val="12"/>
              <w:jc w:val="center"/>
            </w:pPr>
            <w:r>
              <w:rPr>
                <w:rFonts w:hint="eastAsia"/>
              </w:rPr>
              <w:t>乌迳镇</w:t>
            </w:r>
          </w:p>
        </w:tc>
        <w:tc>
          <w:tcPr>
            <w:tcW w:w="582" w:type="pct"/>
            <w:vAlign w:val="center"/>
          </w:tcPr>
          <w:p w14:paraId="16CDBB03">
            <w:pPr>
              <w:pStyle w:val="12"/>
              <w:jc w:val="center"/>
            </w:pPr>
            <w:r>
              <w:rPr>
                <w:rFonts w:hint="eastAsia"/>
              </w:rPr>
              <w:t>1930年</w:t>
            </w:r>
          </w:p>
        </w:tc>
        <w:tc>
          <w:tcPr>
            <w:tcW w:w="1066" w:type="pct"/>
            <w:vAlign w:val="center"/>
          </w:tcPr>
          <w:p w14:paraId="19B3A701">
            <w:pPr>
              <w:pStyle w:val="12"/>
              <w:jc w:val="left"/>
            </w:pPr>
            <w:r>
              <w:rPr>
                <w:rFonts w:hint="eastAsia"/>
              </w:rPr>
              <w:t>南山游击队队员</w:t>
            </w:r>
          </w:p>
        </w:tc>
        <w:tc>
          <w:tcPr>
            <w:tcW w:w="1160" w:type="pct"/>
            <w:vAlign w:val="center"/>
          </w:tcPr>
          <w:p w14:paraId="33F209C8">
            <w:pPr>
              <w:pStyle w:val="12"/>
              <w:jc w:val="left"/>
            </w:pPr>
            <w:r>
              <w:rPr>
                <w:rFonts w:hint="eastAsia"/>
              </w:rPr>
              <w:t>1933年在孔江乡曾水负伤被捕就义</w:t>
            </w:r>
          </w:p>
        </w:tc>
      </w:tr>
      <w:tr w14:paraId="19914E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FB49DD4">
            <w:pPr>
              <w:pStyle w:val="12"/>
              <w:jc w:val="center"/>
            </w:pPr>
            <w:r>
              <w:rPr>
                <w:rFonts w:hint="eastAsia"/>
              </w:rPr>
              <w:t>叶明辉</w:t>
            </w:r>
          </w:p>
        </w:tc>
        <w:tc>
          <w:tcPr>
            <w:tcW w:w="388" w:type="pct"/>
            <w:vAlign w:val="center"/>
          </w:tcPr>
          <w:p w14:paraId="738E7B36">
            <w:pPr>
              <w:pStyle w:val="12"/>
              <w:jc w:val="center"/>
            </w:pPr>
            <w:r>
              <w:rPr>
                <w:rFonts w:hint="eastAsia"/>
              </w:rPr>
              <w:t>男</w:t>
            </w:r>
          </w:p>
        </w:tc>
        <w:tc>
          <w:tcPr>
            <w:tcW w:w="582" w:type="pct"/>
            <w:vAlign w:val="center"/>
          </w:tcPr>
          <w:p w14:paraId="2C1BD7AC">
            <w:pPr>
              <w:pStyle w:val="12"/>
              <w:jc w:val="center"/>
            </w:pPr>
            <w:r>
              <w:rPr>
                <w:rFonts w:hint="eastAsia"/>
              </w:rPr>
              <w:t>1904年</w:t>
            </w:r>
          </w:p>
        </w:tc>
        <w:tc>
          <w:tcPr>
            <w:tcW w:w="582" w:type="pct"/>
            <w:vAlign w:val="center"/>
          </w:tcPr>
          <w:p w14:paraId="7ECCB0D2">
            <w:pPr>
              <w:pStyle w:val="12"/>
              <w:jc w:val="center"/>
            </w:pPr>
            <w:r>
              <w:rPr>
                <w:rFonts w:hint="eastAsia"/>
              </w:rPr>
              <w:t>乌迳镇</w:t>
            </w:r>
          </w:p>
        </w:tc>
        <w:tc>
          <w:tcPr>
            <w:tcW w:w="582" w:type="pct"/>
            <w:vAlign w:val="center"/>
          </w:tcPr>
          <w:p w14:paraId="20D7A934">
            <w:pPr>
              <w:pStyle w:val="12"/>
              <w:jc w:val="center"/>
            </w:pPr>
            <w:r>
              <w:rPr>
                <w:rFonts w:hint="eastAsia"/>
              </w:rPr>
              <w:t>1928年</w:t>
            </w:r>
          </w:p>
        </w:tc>
        <w:tc>
          <w:tcPr>
            <w:tcW w:w="1066" w:type="pct"/>
            <w:vAlign w:val="center"/>
          </w:tcPr>
          <w:p w14:paraId="719F6FEA">
            <w:pPr>
              <w:pStyle w:val="12"/>
              <w:jc w:val="left"/>
            </w:pPr>
            <w:r>
              <w:rPr>
                <w:rFonts w:hint="eastAsia"/>
              </w:rPr>
              <w:t>南山游击队队员</w:t>
            </w:r>
          </w:p>
        </w:tc>
        <w:tc>
          <w:tcPr>
            <w:tcW w:w="1160" w:type="pct"/>
            <w:vAlign w:val="center"/>
          </w:tcPr>
          <w:p w14:paraId="29716B16">
            <w:pPr>
              <w:pStyle w:val="12"/>
              <w:jc w:val="left"/>
            </w:pPr>
            <w:r>
              <w:rPr>
                <w:rFonts w:hint="eastAsia"/>
              </w:rPr>
              <w:t>1933年在江西信丰县上下坪被捕，在南雄乌迳就义</w:t>
            </w:r>
          </w:p>
        </w:tc>
      </w:tr>
      <w:tr w14:paraId="034396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6C695EB">
            <w:pPr>
              <w:pStyle w:val="12"/>
              <w:jc w:val="center"/>
            </w:pPr>
            <w:r>
              <w:rPr>
                <w:rFonts w:hint="eastAsia"/>
              </w:rPr>
              <w:t>郭江妹</w:t>
            </w:r>
          </w:p>
        </w:tc>
        <w:tc>
          <w:tcPr>
            <w:tcW w:w="388" w:type="pct"/>
            <w:vAlign w:val="center"/>
          </w:tcPr>
          <w:p w14:paraId="0A678E3A">
            <w:pPr>
              <w:pStyle w:val="12"/>
              <w:jc w:val="center"/>
            </w:pPr>
            <w:r>
              <w:rPr>
                <w:rFonts w:hint="eastAsia"/>
              </w:rPr>
              <w:t>男</w:t>
            </w:r>
          </w:p>
        </w:tc>
        <w:tc>
          <w:tcPr>
            <w:tcW w:w="582" w:type="pct"/>
            <w:vAlign w:val="center"/>
          </w:tcPr>
          <w:p w14:paraId="068F14B8">
            <w:pPr>
              <w:pStyle w:val="12"/>
              <w:jc w:val="center"/>
            </w:pPr>
            <w:r>
              <w:rPr>
                <w:rFonts w:hint="eastAsia"/>
              </w:rPr>
              <w:t>1910年</w:t>
            </w:r>
          </w:p>
        </w:tc>
        <w:tc>
          <w:tcPr>
            <w:tcW w:w="582" w:type="pct"/>
            <w:vAlign w:val="center"/>
          </w:tcPr>
          <w:p w14:paraId="6C2D4D2B">
            <w:pPr>
              <w:pStyle w:val="12"/>
              <w:jc w:val="center"/>
            </w:pPr>
            <w:r>
              <w:rPr>
                <w:rFonts w:hint="eastAsia"/>
              </w:rPr>
              <w:t>乌迳镇</w:t>
            </w:r>
          </w:p>
        </w:tc>
        <w:tc>
          <w:tcPr>
            <w:tcW w:w="582" w:type="pct"/>
            <w:vAlign w:val="center"/>
          </w:tcPr>
          <w:p w14:paraId="2D89F299">
            <w:pPr>
              <w:pStyle w:val="12"/>
              <w:jc w:val="center"/>
            </w:pPr>
            <w:r>
              <w:rPr>
                <w:rFonts w:hint="eastAsia"/>
              </w:rPr>
              <w:t>1929年</w:t>
            </w:r>
          </w:p>
        </w:tc>
        <w:tc>
          <w:tcPr>
            <w:tcW w:w="1066" w:type="pct"/>
            <w:vAlign w:val="center"/>
          </w:tcPr>
          <w:p w14:paraId="77ED0193">
            <w:pPr>
              <w:pStyle w:val="12"/>
              <w:jc w:val="left"/>
            </w:pPr>
            <w:r>
              <w:rPr>
                <w:rFonts w:hint="eastAsia"/>
              </w:rPr>
              <w:t>南山游击队队员</w:t>
            </w:r>
          </w:p>
        </w:tc>
        <w:tc>
          <w:tcPr>
            <w:tcW w:w="1160" w:type="pct"/>
            <w:vAlign w:val="center"/>
          </w:tcPr>
          <w:p w14:paraId="49418AE3">
            <w:pPr>
              <w:pStyle w:val="12"/>
              <w:jc w:val="left"/>
            </w:pPr>
            <w:r>
              <w:rPr>
                <w:rFonts w:hint="eastAsia"/>
              </w:rPr>
              <w:t>1933年因叛徒出卖被捕，在南雄城郊就义</w:t>
            </w:r>
          </w:p>
        </w:tc>
      </w:tr>
      <w:tr w14:paraId="6DD713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CCE99F2">
            <w:pPr>
              <w:pStyle w:val="12"/>
              <w:jc w:val="center"/>
            </w:pPr>
            <w:r>
              <w:rPr>
                <w:rFonts w:hint="eastAsia"/>
              </w:rPr>
              <w:t>袁德明</w:t>
            </w:r>
          </w:p>
        </w:tc>
        <w:tc>
          <w:tcPr>
            <w:tcW w:w="388" w:type="pct"/>
            <w:vAlign w:val="center"/>
          </w:tcPr>
          <w:p w14:paraId="2F578D0D">
            <w:pPr>
              <w:pStyle w:val="12"/>
              <w:jc w:val="center"/>
            </w:pPr>
            <w:r>
              <w:rPr>
                <w:rFonts w:hint="eastAsia"/>
              </w:rPr>
              <w:t>男</w:t>
            </w:r>
          </w:p>
        </w:tc>
        <w:tc>
          <w:tcPr>
            <w:tcW w:w="582" w:type="pct"/>
            <w:vAlign w:val="center"/>
          </w:tcPr>
          <w:p w14:paraId="176486E7">
            <w:pPr>
              <w:pStyle w:val="12"/>
              <w:jc w:val="center"/>
            </w:pPr>
            <w:r>
              <w:rPr>
                <w:rFonts w:hint="eastAsia"/>
              </w:rPr>
              <w:t>1882年</w:t>
            </w:r>
          </w:p>
        </w:tc>
        <w:tc>
          <w:tcPr>
            <w:tcW w:w="582" w:type="pct"/>
            <w:vAlign w:val="center"/>
          </w:tcPr>
          <w:p w14:paraId="3119BD1B">
            <w:pPr>
              <w:pStyle w:val="12"/>
              <w:jc w:val="center"/>
            </w:pPr>
            <w:r>
              <w:rPr>
                <w:rFonts w:hint="eastAsia"/>
              </w:rPr>
              <w:t>湖口镇</w:t>
            </w:r>
          </w:p>
        </w:tc>
        <w:tc>
          <w:tcPr>
            <w:tcW w:w="582" w:type="pct"/>
            <w:vAlign w:val="center"/>
          </w:tcPr>
          <w:p w14:paraId="7FBF443A">
            <w:pPr>
              <w:pStyle w:val="12"/>
              <w:jc w:val="center"/>
            </w:pPr>
            <w:r>
              <w:rPr>
                <w:rFonts w:hint="eastAsia"/>
              </w:rPr>
              <w:t>1929年</w:t>
            </w:r>
          </w:p>
        </w:tc>
        <w:tc>
          <w:tcPr>
            <w:tcW w:w="1066" w:type="pct"/>
            <w:vAlign w:val="center"/>
          </w:tcPr>
          <w:p w14:paraId="19040721">
            <w:pPr>
              <w:pStyle w:val="12"/>
              <w:jc w:val="left"/>
            </w:pPr>
            <w:r>
              <w:rPr>
                <w:rFonts w:hint="eastAsia"/>
              </w:rPr>
              <w:t>工农红军战士</w:t>
            </w:r>
          </w:p>
        </w:tc>
        <w:tc>
          <w:tcPr>
            <w:tcW w:w="1160" w:type="pct"/>
            <w:vAlign w:val="center"/>
          </w:tcPr>
          <w:p w14:paraId="0BD2A1D4">
            <w:pPr>
              <w:pStyle w:val="12"/>
              <w:jc w:val="left"/>
            </w:pPr>
            <w:r>
              <w:rPr>
                <w:rFonts w:hint="eastAsia"/>
              </w:rPr>
              <w:t>1933年在江西黄陂圩作战牺牲</w:t>
            </w:r>
          </w:p>
        </w:tc>
      </w:tr>
      <w:tr w14:paraId="73E467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76C9F07">
            <w:pPr>
              <w:pStyle w:val="12"/>
              <w:jc w:val="center"/>
            </w:pPr>
            <w:r>
              <w:rPr>
                <w:rFonts w:hint="eastAsia"/>
              </w:rPr>
              <w:t>赵世煌</w:t>
            </w:r>
          </w:p>
        </w:tc>
        <w:tc>
          <w:tcPr>
            <w:tcW w:w="388" w:type="pct"/>
            <w:vAlign w:val="center"/>
          </w:tcPr>
          <w:p w14:paraId="5EA5997E">
            <w:pPr>
              <w:pStyle w:val="12"/>
              <w:jc w:val="center"/>
            </w:pPr>
            <w:r>
              <w:rPr>
                <w:rFonts w:hint="eastAsia"/>
              </w:rPr>
              <w:t>男</w:t>
            </w:r>
          </w:p>
        </w:tc>
        <w:tc>
          <w:tcPr>
            <w:tcW w:w="582" w:type="pct"/>
            <w:vAlign w:val="center"/>
          </w:tcPr>
          <w:p w14:paraId="4F491A1B">
            <w:pPr>
              <w:pStyle w:val="12"/>
              <w:jc w:val="center"/>
            </w:pPr>
            <w:r>
              <w:rPr>
                <w:rFonts w:hint="eastAsia"/>
              </w:rPr>
              <w:t>1907年</w:t>
            </w:r>
          </w:p>
        </w:tc>
        <w:tc>
          <w:tcPr>
            <w:tcW w:w="582" w:type="pct"/>
            <w:vAlign w:val="center"/>
          </w:tcPr>
          <w:p w14:paraId="4571E593">
            <w:pPr>
              <w:pStyle w:val="12"/>
              <w:jc w:val="center"/>
            </w:pPr>
            <w:r>
              <w:rPr>
                <w:rFonts w:hint="eastAsia"/>
              </w:rPr>
              <w:t>乌迳镇</w:t>
            </w:r>
          </w:p>
        </w:tc>
        <w:tc>
          <w:tcPr>
            <w:tcW w:w="582" w:type="pct"/>
            <w:vAlign w:val="center"/>
          </w:tcPr>
          <w:p w14:paraId="2802443C">
            <w:pPr>
              <w:pStyle w:val="12"/>
              <w:jc w:val="center"/>
            </w:pPr>
            <w:r>
              <w:rPr>
                <w:rFonts w:hint="eastAsia"/>
              </w:rPr>
              <w:t>1928年</w:t>
            </w:r>
          </w:p>
        </w:tc>
        <w:tc>
          <w:tcPr>
            <w:tcW w:w="1066" w:type="pct"/>
            <w:vAlign w:val="center"/>
          </w:tcPr>
          <w:p w14:paraId="0D2A7AE9">
            <w:pPr>
              <w:pStyle w:val="12"/>
              <w:jc w:val="left"/>
            </w:pPr>
            <w:r>
              <w:rPr>
                <w:rFonts w:hint="eastAsia"/>
              </w:rPr>
              <w:t>南山游击队队员</w:t>
            </w:r>
          </w:p>
        </w:tc>
        <w:tc>
          <w:tcPr>
            <w:tcW w:w="1160" w:type="pct"/>
            <w:vAlign w:val="center"/>
          </w:tcPr>
          <w:p w14:paraId="575E93C0">
            <w:pPr>
              <w:pStyle w:val="12"/>
              <w:jc w:val="left"/>
            </w:pPr>
            <w:r>
              <w:rPr>
                <w:rFonts w:hint="eastAsia"/>
              </w:rPr>
              <w:t>1933年在孔江下村战斗中牺牲</w:t>
            </w:r>
          </w:p>
        </w:tc>
      </w:tr>
      <w:tr w14:paraId="30CAE4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D4C64D4">
            <w:pPr>
              <w:pStyle w:val="12"/>
              <w:jc w:val="center"/>
            </w:pPr>
            <w:r>
              <w:rPr>
                <w:rFonts w:hint="eastAsia"/>
              </w:rPr>
              <w:t>梁华生</w:t>
            </w:r>
          </w:p>
        </w:tc>
        <w:tc>
          <w:tcPr>
            <w:tcW w:w="388" w:type="pct"/>
            <w:vAlign w:val="center"/>
          </w:tcPr>
          <w:p w14:paraId="4C936CD3">
            <w:pPr>
              <w:pStyle w:val="12"/>
              <w:jc w:val="center"/>
            </w:pPr>
            <w:r>
              <w:rPr>
                <w:rFonts w:hint="eastAsia"/>
              </w:rPr>
              <w:t>男</w:t>
            </w:r>
          </w:p>
        </w:tc>
        <w:tc>
          <w:tcPr>
            <w:tcW w:w="582" w:type="pct"/>
            <w:vAlign w:val="center"/>
          </w:tcPr>
          <w:p w14:paraId="18A7A2D6">
            <w:pPr>
              <w:pStyle w:val="12"/>
              <w:jc w:val="center"/>
            </w:pPr>
            <w:r>
              <w:rPr>
                <w:rFonts w:hint="eastAsia"/>
              </w:rPr>
              <w:t>1885年</w:t>
            </w:r>
          </w:p>
        </w:tc>
        <w:tc>
          <w:tcPr>
            <w:tcW w:w="582" w:type="pct"/>
            <w:vAlign w:val="center"/>
          </w:tcPr>
          <w:p w14:paraId="69446194">
            <w:pPr>
              <w:pStyle w:val="12"/>
              <w:jc w:val="center"/>
            </w:pPr>
            <w:r>
              <w:rPr>
                <w:rFonts w:hint="eastAsia"/>
              </w:rPr>
              <w:t>乌迳镇</w:t>
            </w:r>
          </w:p>
        </w:tc>
        <w:tc>
          <w:tcPr>
            <w:tcW w:w="582" w:type="pct"/>
            <w:vAlign w:val="center"/>
          </w:tcPr>
          <w:p w14:paraId="653D16B1">
            <w:pPr>
              <w:pStyle w:val="12"/>
              <w:jc w:val="center"/>
            </w:pPr>
            <w:r>
              <w:rPr>
                <w:rFonts w:hint="eastAsia"/>
              </w:rPr>
              <w:t>1928年</w:t>
            </w:r>
          </w:p>
        </w:tc>
        <w:tc>
          <w:tcPr>
            <w:tcW w:w="1066" w:type="pct"/>
            <w:vAlign w:val="center"/>
          </w:tcPr>
          <w:p w14:paraId="4F9CDF87">
            <w:pPr>
              <w:pStyle w:val="12"/>
              <w:jc w:val="left"/>
            </w:pPr>
            <w:r>
              <w:rPr>
                <w:rFonts w:hint="eastAsia"/>
              </w:rPr>
              <w:t>红军战士</w:t>
            </w:r>
          </w:p>
        </w:tc>
        <w:tc>
          <w:tcPr>
            <w:tcW w:w="1160" w:type="pct"/>
            <w:vAlign w:val="center"/>
          </w:tcPr>
          <w:p w14:paraId="0B7B1ABC">
            <w:pPr>
              <w:pStyle w:val="12"/>
              <w:jc w:val="left"/>
            </w:pPr>
            <w:r>
              <w:rPr>
                <w:rFonts w:hint="eastAsia"/>
              </w:rPr>
              <w:t>1933年12月27日在江西龙南县城战斗中牺牲</w:t>
            </w:r>
          </w:p>
        </w:tc>
      </w:tr>
      <w:tr w14:paraId="7EF428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7A7C273">
            <w:pPr>
              <w:pStyle w:val="12"/>
              <w:jc w:val="center"/>
            </w:pPr>
            <w:r>
              <w:rPr>
                <w:rFonts w:hint="eastAsia"/>
              </w:rPr>
              <w:t>叶庚银</w:t>
            </w:r>
          </w:p>
        </w:tc>
        <w:tc>
          <w:tcPr>
            <w:tcW w:w="388" w:type="pct"/>
            <w:vAlign w:val="center"/>
          </w:tcPr>
          <w:p w14:paraId="318EEA5F">
            <w:pPr>
              <w:pStyle w:val="12"/>
              <w:jc w:val="center"/>
            </w:pPr>
            <w:r>
              <w:rPr>
                <w:rFonts w:hint="eastAsia"/>
              </w:rPr>
              <w:t>男</w:t>
            </w:r>
          </w:p>
        </w:tc>
        <w:tc>
          <w:tcPr>
            <w:tcW w:w="582" w:type="pct"/>
            <w:vAlign w:val="center"/>
          </w:tcPr>
          <w:p w14:paraId="168A0AB9">
            <w:pPr>
              <w:pStyle w:val="12"/>
              <w:jc w:val="center"/>
            </w:pPr>
            <w:r>
              <w:rPr>
                <w:rFonts w:hint="eastAsia"/>
              </w:rPr>
              <w:t>1894年</w:t>
            </w:r>
          </w:p>
        </w:tc>
        <w:tc>
          <w:tcPr>
            <w:tcW w:w="582" w:type="pct"/>
            <w:vAlign w:val="center"/>
          </w:tcPr>
          <w:p w14:paraId="0AEAD5E4">
            <w:pPr>
              <w:pStyle w:val="12"/>
              <w:jc w:val="center"/>
            </w:pPr>
            <w:r>
              <w:rPr>
                <w:rFonts w:hint="eastAsia"/>
              </w:rPr>
              <w:t>坪田镇</w:t>
            </w:r>
          </w:p>
        </w:tc>
        <w:tc>
          <w:tcPr>
            <w:tcW w:w="582" w:type="pct"/>
            <w:vAlign w:val="center"/>
          </w:tcPr>
          <w:p w14:paraId="71CD828B">
            <w:pPr>
              <w:pStyle w:val="12"/>
              <w:jc w:val="center"/>
            </w:pPr>
            <w:r>
              <w:rPr>
                <w:rFonts w:hint="eastAsia"/>
              </w:rPr>
              <w:t>1932年</w:t>
            </w:r>
          </w:p>
        </w:tc>
        <w:tc>
          <w:tcPr>
            <w:tcW w:w="1066" w:type="pct"/>
            <w:vAlign w:val="center"/>
          </w:tcPr>
          <w:p w14:paraId="448317A0">
            <w:pPr>
              <w:pStyle w:val="12"/>
              <w:jc w:val="left"/>
            </w:pPr>
            <w:r>
              <w:rPr>
                <w:rFonts w:hint="eastAsia"/>
              </w:rPr>
              <w:t>南山游击队队员</w:t>
            </w:r>
          </w:p>
        </w:tc>
        <w:tc>
          <w:tcPr>
            <w:tcW w:w="1160" w:type="pct"/>
            <w:vAlign w:val="center"/>
          </w:tcPr>
          <w:p w14:paraId="00E06135">
            <w:pPr>
              <w:pStyle w:val="12"/>
              <w:jc w:val="left"/>
            </w:pPr>
            <w:r>
              <w:rPr>
                <w:rFonts w:hint="eastAsia"/>
              </w:rPr>
              <w:t>1933年在新龙执行任务遇敌，突围牺牲</w:t>
            </w:r>
          </w:p>
        </w:tc>
      </w:tr>
      <w:tr w14:paraId="2BBC11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3CE643A">
            <w:pPr>
              <w:pStyle w:val="12"/>
              <w:jc w:val="center"/>
            </w:pPr>
            <w:r>
              <w:rPr>
                <w:rFonts w:hint="eastAsia"/>
              </w:rPr>
              <w:t>叶石发俚</w:t>
            </w:r>
          </w:p>
        </w:tc>
        <w:tc>
          <w:tcPr>
            <w:tcW w:w="388" w:type="pct"/>
            <w:vAlign w:val="center"/>
          </w:tcPr>
          <w:p w14:paraId="4E9F3B17">
            <w:pPr>
              <w:pStyle w:val="12"/>
              <w:jc w:val="center"/>
            </w:pPr>
            <w:r>
              <w:rPr>
                <w:rFonts w:hint="eastAsia"/>
              </w:rPr>
              <w:t>男</w:t>
            </w:r>
          </w:p>
        </w:tc>
        <w:tc>
          <w:tcPr>
            <w:tcW w:w="582" w:type="pct"/>
            <w:vAlign w:val="center"/>
          </w:tcPr>
          <w:p w14:paraId="335BA2FA">
            <w:pPr>
              <w:pStyle w:val="12"/>
              <w:jc w:val="center"/>
            </w:pPr>
            <w:r>
              <w:rPr>
                <w:rFonts w:hint="eastAsia"/>
              </w:rPr>
              <w:t>1912年</w:t>
            </w:r>
          </w:p>
        </w:tc>
        <w:tc>
          <w:tcPr>
            <w:tcW w:w="582" w:type="pct"/>
            <w:vAlign w:val="center"/>
          </w:tcPr>
          <w:p w14:paraId="7C98F8D8">
            <w:pPr>
              <w:pStyle w:val="12"/>
              <w:jc w:val="center"/>
            </w:pPr>
            <w:r>
              <w:rPr>
                <w:rFonts w:hint="eastAsia"/>
              </w:rPr>
              <w:t>坪田镇</w:t>
            </w:r>
          </w:p>
        </w:tc>
        <w:tc>
          <w:tcPr>
            <w:tcW w:w="582" w:type="pct"/>
            <w:vAlign w:val="center"/>
          </w:tcPr>
          <w:p w14:paraId="05EF4E1A">
            <w:pPr>
              <w:pStyle w:val="12"/>
              <w:jc w:val="center"/>
            </w:pPr>
            <w:r>
              <w:rPr>
                <w:rFonts w:hint="eastAsia"/>
              </w:rPr>
              <w:t>1932年</w:t>
            </w:r>
          </w:p>
        </w:tc>
        <w:tc>
          <w:tcPr>
            <w:tcW w:w="1066" w:type="pct"/>
            <w:vAlign w:val="center"/>
          </w:tcPr>
          <w:p w14:paraId="46F6C102">
            <w:pPr>
              <w:pStyle w:val="12"/>
              <w:jc w:val="left"/>
            </w:pPr>
            <w:r>
              <w:rPr>
                <w:rFonts w:hint="eastAsia"/>
              </w:rPr>
              <w:t>南山游击队班长</w:t>
            </w:r>
          </w:p>
        </w:tc>
        <w:tc>
          <w:tcPr>
            <w:tcW w:w="1160" w:type="pct"/>
            <w:vAlign w:val="center"/>
          </w:tcPr>
          <w:p w14:paraId="3CCD435B">
            <w:pPr>
              <w:pStyle w:val="12"/>
              <w:jc w:val="left"/>
            </w:pPr>
            <w:r>
              <w:rPr>
                <w:rFonts w:hint="eastAsia"/>
              </w:rPr>
              <w:t>1933年9月7日在坪田战斗牺牲</w:t>
            </w:r>
          </w:p>
        </w:tc>
      </w:tr>
      <w:tr w14:paraId="533A57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AD672D3">
            <w:pPr>
              <w:pStyle w:val="12"/>
              <w:jc w:val="center"/>
            </w:pPr>
            <w:r>
              <w:rPr>
                <w:rFonts w:hint="eastAsia"/>
              </w:rPr>
              <w:t>叶火生</w:t>
            </w:r>
          </w:p>
        </w:tc>
        <w:tc>
          <w:tcPr>
            <w:tcW w:w="388" w:type="pct"/>
            <w:vAlign w:val="center"/>
          </w:tcPr>
          <w:p w14:paraId="2C7DD457">
            <w:pPr>
              <w:pStyle w:val="12"/>
              <w:jc w:val="center"/>
            </w:pPr>
            <w:r>
              <w:rPr>
                <w:rFonts w:hint="eastAsia"/>
              </w:rPr>
              <w:t>男</w:t>
            </w:r>
          </w:p>
        </w:tc>
        <w:tc>
          <w:tcPr>
            <w:tcW w:w="582" w:type="pct"/>
            <w:vAlign w:val="center"/>
          </w:tcPr>
          <w:p w14:paraId="439C27D5">
            <w:pPr>
              <w:pStyle w:val="12"/>
              <w:jc w:val="center"/>
            </w:pPr>
            <w:r>
              <w:rPr>
                <w:rFonts w:hint="eastAsia"/>
              </w:rPr>
              <w:t>1910年</w:t>
            </w:r>
          </w:p>
        </w:tc>
        <w:tc>
          <w:tcPr>
            <w:tcW w:w="582" w:type="pct"/>
            <w:vAlign w:val="center"/>
          </w:tcPr>
          <w:p w14:paraId="289F6230">
            <w:pPr>
              <w:pStyle w:val="12"/>
              <w:jc w:val="center"/>
            </w:pPr>
            <w:r>
              <w:rPr>
                <w:rFonts w:hint="eastAsia"/>
              </w:rPr>
              <w:t>坪田镇</w:t>
            </w:r>
          </w:p>
        </w:tc>
        <w:tc>
          <w:tcPr>
            <w:tcW w:w="582" w:type="pct"/>
            <w:vAlign w:val="center"/>
          </w:tcPr>
          <w:p w14:paraId="716C13B2">
            <w:pPr>
              <w:pStyle w:val="12"/>
              <w:jc w:val="center"/>
            </w:pPr>
            <w:r>
              <w:rPr>
                <w:rFonts w:hint="eastAsia"/>
              </w:rPr>
              <w:t>1933年</w:t>
            </w:r>
          </w:p>
        </w:tc>
        <w:tc>
          <w:tcPr>
            <w:tcW w:w="1066" w:type="pct"/>
            <w:vAlign w:val="center"/>
          </w:tcPr>
          <w:p w14:paraId="30556A84">
            <w:pPr>
              <w:pStyle w:val="12"/>
              <w:jc w:val="left"/>
            </w:pPr>
            <w:r>
              <w:rPr>
                <w:rFonts w:hint="eastAsia"/>
              </w:rPr>
              <w:t>油山游击队队员</w:t>
            </w:r>
          </w:p>
        </w:tc>
        <w:tc>
          <w:tcPr>
            <w:tcW w:w="1160" w:type="pct"/>
            <w:vAlign w:val="center"/>
          </w:tcPr>
          <w:p w14:paraId="55E34713">
            <w:pPr>
              <w:pStyle w:val="12"/>
              <w:jc w:val="left"/>
            </w:pPr>
            <w:r>
              <w:rPr>
                <w:rFonts w:hint="eastAsia"/>
              </w:rPr>
              <w:t>1933年12月在油山突围时牺牲</w:t>
            </w:r>
          </w:p>
        </w:tc>
      </w:tr>
      <w:tr w14:paraId="7ACF89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1F49596">
            <w:pPr>
              <w:pStyle w:val="12"/>
              <w:jc w:val="center"/>
            </w:pPr>
            <w:r>
              <w:rPr>
                <w:rFonts w:hint="eastAsia"/>
              </w:rPr>
              <w:t>叶修林</w:t>
            </w:r>
          </w:p>
        </w:tc>
        <w:tc>
          <w:tcPr>
            <w:tcW w:w="388" w:type="pct"/>
            <w:vAlign w:val="center"/>
          </w:tcPr>
          <w:p w14:paraId="3D6D71B1">
            <w:pPr>
              <w:pStyle w:val="12"/>
              <w:jc w:val="center"/>
            </w:pPr>
            <w:r>
              <w:rPr>
                <w:rFonts w:hint="eastAsia"/>
              </w:rPr>
              <w:t>男</w:t>
            </w:r>
          </w:p>
        </w:tc>
        <w:tc>
          <w:tcPr>
            <w:tcW w:w="582" w:type="pct"/>
            <w:vAlign w:val="center"/>
          </w:tcPr>
          <w:p w14:paraId="6EBD11E9">
            <w:pPr>
              <w:pStyle w:val="12"/>
              <w:jc w:val="center"/>
            </w:pPr>
            <w:r>
              <w:rPr>
                <w:rFonts w:hint="eastAsia"/>
              </w:rPr>
              <w:t>1904年</w:t>
            </w:r>
          </w:p>
        </w:tc>
        <w:tc>
          <w:tcPr>
            <w:tcW w:w="582" w:type="pct"/>
            <w:vAlign w:val="center"/>
          </w:tcPr>
          <w:p w14:paraId="7EC831D5">
            <w:pPr>
              <w:pStyle w:val="12"/>
              <w:jc w:val="center"/>
            </w:pPr>
            <w:r>
              <w:rPr>
                <w:rFonts w:hint="eastAsia"/>
              </w:rPr>
              <w:t>界址镇</w:t>
            </w:r>
          </w:p>
        </w:tc>
        <w:tc>
          <w:tcPr>
            <w:tcW w:w="582" w:type="pct"/>
            <w:vAlign w:val="center"/>
          </w:tcPr>
          <w:p w14:paraId="0A28FE1B">
            <w:pPr>
              <w:pStyle w:val="12"/>
              <w:jc w:val="center"/>
            </w:pPr>
            <w:r>
              <w:rPr>
                <w:rFonts w:hint="eastAsia"/>
              </w:rPr>
              <w:t>1927年</w:t>
            </w:r>
          </w:p>
        </w:tc>
        <w:tc>
          <w:tcPr>
            <w:tcW w:w="1066" w:type="pct"/>
            <w:vAlign w:val="center"/>
          </w:tcPr>
          <w:p w14:paraId="3EA41C37">
            <w:pPr>
              <w:pStyle w:val="12"/>
              <w:jc w:val="left"/>
              <w:rPr>
                <w:rFonts w:ascii="宋体" w:hAnsi="宋体" w:cs="宋体"/>
              </w:rPr>
            </w:pPr>
            <w:r>
              <w:rPr>
                <w:rFonts w:hint="eastAsia"/>
              </w:rPr>
              <w:t>中共南雄县委</w:t>
            </w:r>
          </w:p>
          <w:p w14:paraId="38907438">
            <w:pPr>
              <w:pStyle w:val="12"/>
              <w:jc w:val="left"/>
            </w:pPr>
            <w:r>
              <w:rPr>
                <w:rFonts w:hint="eastAsia" w:ascii="宋体" w:hAnsi="宋体" w:cs="宋体"/>
              </w:rPr>
              <w:t>书记</w:t>
            </w:r>
            <w:r>
              <w:rPr>
                <w:rFonts w:hint="eastAsia"/>
              </w:rPr>
              <w:t>、红军干部</w:t>
            </w:r>
          </w:p>
        </w:tc>
        <w:tc>
          <w:tcPr>
            <w:tcW w:w="1160" w:type="pct"/>
            <w:vAlign w:val="center"/>
          </w:tcPr>
          <w:p w14:paraId="228A46D2">
            <w:pPr>
              <w:pStyle w:val="12"/>
              <w:jc w:val="left"/>
            </w:pPr>
            <w:r>
              <w:rPr>
                <w:rFonts w:hint="eastAsia"/>
              </w:rPr>
              <w:t>1934年4月21日在江西筠门岭战斗中牺牲，有传</w:t>
            </w:r>
          </w:p>
        </w:tc>
      </w:tr>
      <w:tr w14:paraId="2B1FF4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EF4F2E8">
            <w:pPr>
              <w:pStyle w:val="12"/>
              <w:jc w:val="center"/>
            </w:pPr>
            <w:r>
              <w:rPr>
                <w:rFonts w:hint="eastAsia"/>
              </w:rPr>
              <w:t>彭邪智</w:t>
            </w:r>
          </w:p>
        </w:tc>
        <w:tc>
          <w:tcPr>
            <w:tcW w:w="388" w:type="pct"/>
            <w:vAlign w:val="center"/>
          </w:tcPr>
          <w:p w14:paraId="434ACB4F">
            <w:pPr>
              <w:pStyle w:val="12"/>
              <w:jc w:val="center"/>
            </w:pPr>
            <w:r>
              <w:rPr>
                <w:rFonts w:hint="eastAsia"/>
              </w:rPr>
              <w:t>男</w:t>
            </w:r>
          </w:p>
        </w:tc>
        <w:tc>
          <w:tcPr>
            <w:tcW w:w="582" w:type="pct"/>
            <w:vAlign w:val="center"/>
          </w:tcPr>
          <w:p w14:paraId="74D5C874">
            <w:pPr>
              <w:pStyle w:val="12"/>
              <w:jc w:val="center"/>
            </w:pPr>
            <w:r>
              <w:rPr>
                <w:rFonts w:hint="eastAsia"/>
              </w:rPr>
              <w:t>1904年</w:t>
            </w:r>
          </w:p>
        </w:tc>
        <w:tc>
          <w:tcPr>
            <w:tcW w:w="582" w:type="pct"/>
            <w:vAlign w:val="center"/>
          </w:tcPr>
          <w:p w14:paraId="529B6DE9">
            <w:pPr>
              <w:pStyle w:val="12"/>
              <w:jc w:val="center"/>
            </w:pPr>
            <w:r>
              <w:rPr>
                <w:rFonts w:hint="eastAsia"/>
              </w:rPr>
              <w:t>油山镇</w:t>
            </w:r>
          </w:p>
        </w:tc>
        <w:tc>
          <w:tcPr>
            <w:tcW w:w="582" w:type="pct"/>
            <w:vAlign w:val="center"/>
          </w:tcPr>
          <w:p w14:paraId="79534D76">
            <w:pPr>
              <w:pStyle w:val="12"/>
              <w:jc w:val="center"/>
            </w:pPr>
            <w:r>
              <w:rPr>
                <w:rFonts w:hint="eastAsia"/>
              </w:rPr>
              <w:t>1930年</w:t>
            </w:r>
          </w:p>
        </w:tc>
        <w:tc>
          <w:tcPr>
            <w:tcW w:w="1066" w:type="pct"/>
            <w:vAlign w:val="center"/>
          </w:tcPr>
          <w:p w14:paraId="157B72C5">
            <w:pPr>
              <w:pStyle w:val="12"/>
              <w:jc w:val="left"/>
            </w:pPr>
            <w:r>
              <w:rPr>
                <w:rFonts w:hint="eastAsia"/>
              </w:rPr>
              <w:t>油山游击队队员</w:t>
            </w:r>
          </w:p>
        </w:tc>
        <w:tc>
          <w:tcPr>
            <w:tcW w:w="1160" w:type="pct"/>
            <w:vAlign w:val="center"/>
          </w:tcPr>
          <w:p w14:paraId="39D5A535">
            <w:pPr>
              <w:pStyle w:val="12"/>
              <w:jc w:val="left"/>
            </w:pPr>
            <w:r>
              <w:rPr>
                <w:rFonts w:hint="eastAsia"/>
              </w:rPr>
              <w:t>1934年在大塘围俚被捕，在乌迳就义</w:t>
            </w:r>
          </w:p>
        </w:tc>
      </w:tr>
      <w:tr w14:paraId="6E1A5F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38A9BA8">
            <w:pPr>
              <w:pStyle w:val="12"/>
              <w:jc w:val="center"/>
            </w:pPr>
            <w:r>
              <w:rPr>
                <w:rFonts w:hint="eastAsia"/>
              </w:rPr>
              <w:t>彭遵庭</w:t>
            </w:r>
          </w:p>
        </w:tc>
        <w:tc>
          <w:tcPr>
            <w:tcW w:w="388" w:type="pct"/>
            <w:vAlign w:val="center"/>
          </w:tcPr>
          <w:p w14:paraId="0E0E379F">
            <w:pPr>
              <w:pStyle w:val="12"/>
              <w:jc w:val="center"/>
            </w:pPr>
            <w:r>
              <w:rPr>
                <w:rFonts w:hint="eastAsia"/>
              </w:rPr>
              <w:t>男</w:t>
            </w:r>
          </w:p>
        </w:tc>
        <w:tc>
          <w:tcPr>
            <w:tcW w:w="582" w:type="pct"/>
            <w:vAlign w:val="center"/>
          </w:tcPr>
          <w:p w14:paraId="393455F6">
            <w:pPr>
              <w:pStyle w:val="12"/>
              <w:jc w:val="center"/>
            </w:pPr>
            <w:r>
              <w:rPr>
                <w:rFonts w:hint="eastAsia"/>
              </w:rPr>
              <w:t>1910年</w:t>
            </w:r>
          </w:p>
        </w:tc>
        <w:tc>
          <w:tcPr>
            <w:tcW w:w="582" w:type="pct"/>
            <w:vAlign w:val="center"/>
          </w:tcPr>
          <w:p w14:paraId="123D5584">
            <w:pPr>
              <w:pStyle w:val="12"/>
              <w:jc w:val="center"/>
            </w:pPr>
            <w:r>
              <w:rPr>
                <w:rFonts w:hint="eastAsia"/>
              </w:rPr>
              <w:t>油山镇</w:t>
            </w:r>
          </w:p>
        </w:tc>
        <w:tc>
          <w:tcPr>
            <w:tcW w:w="582" w:type="pct"/>
            <w:vAlign w:val="center"/>
          </w:tcPr>
          <w:p w14:paraId="0D968EDE">
            <w:pPr>
              <w:pStyle w:val="12"/>
              <w:jc w:val="center"/>
            </w:pPr>
            <w:r>
              <w:rPr>
                <w:rFonts w:hint="eastAsia"/>
              </w:rPr>
              <w:t>1930年</w:t>
            </w:r>
          </w:p>
        </w:tc>
        <w:tc>
          <w:tcPr>
            <w:tcW w:w="1066" w:type="pct"/>
            <w:vAlign w:val="center"/>
          </w:tcPr>
          <w:p w14:paraId="6C5BDFD0">
            <w:pPr>
              <w:pStyle w:val="12"/>
              <w:jc w:val="left"/>
              <w:rPr>
                <w:rFonts w:ascii="宋体" w:hAnsi="宋体" w:cs="宋体"/>
              </w:rPr>
            </w:pPr>
            <w:r>
              <w:rPr>
                <w:rFonts w:hint="eastAsia"/>
              </w:rPr>
              <w:t>油山游击队</w:t>
            </w:r>
          </w:p>
          <w:p w14:paraId="0A19CD9D">
            <w:pPr>
              <w:pStyle w:val="12"/>
              <w:jc w:val="left"/>
            </w:pPr>
            <w:r>
              <w:rPr>
                <w:rFonts w:hint="eastAsia" w:ascii="宋体" w:hAnsi="宋体" w:cs="宋体"/>
              </w:rPr>
              <w:t>交通站站长</w:t>
            </w:r>
          </w:p>
        </w:tc>
        <w:tc>
          <w:tcPr>
            <w:tcW w:w="1160" w:type="pct"/>
            <w:vAlign w:val="center"/>
          </w:tcPr>
          <w:p w14:paraId="55FFF992">
            <w:pPr>
              <w:pStyle w:val="12"/>
              <w:jc w:val="left"/>
            </w:pPr>
            <w:r>
              <w:rPr>
                <w:rFonts w:hint="eastAsia"/>
              </w:rPr>
              <w:t>1934年在战斗中被捕，在南雄城郊就义</w:t>
            </w:r>
          </w:p>
        </w:tc>
      </w:tr>
      <w:tr w14:paraId="362D1E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990387C">
            <w:pPr>
              <w:pStyle w:val="12"/>
              <w:jc w:val="center"/>
            </w:pPr>
            <w:r>
              <w:rPr>
                <w:rFonts w:hint="eastAsia"/>
              </w:rPr>
              <w:t>彭中秋狗</w:t>
            </w:r>
          </w:p>
        </w:tc>
        <w:tc>
          <w:tcPr>
            <w:tcW w:w="388" w:type="pct"/>
            <w:vAlign w:val="center"/>
          </w:tcPr>
          <w:p w14:paraId="7B938C41">
            <w:pPr>
              <w:pStyle w:val="12"/>
              <w:jc w:val="center"/>
            </w:pPr>
            <w:r>
              <w:rPr>
                <w:rFonts w:hint="eastAsia"/>
              </w:rPr>
              <w:t>男</w:t>
            </w:r>
          </w:p>
        </w:tc>
        <w:tc>
          <w:tcPr>
            <w:tcW w:w="582" w:type="pct"/>
            <w:vAlign w:val="center"/>
          </w:tcPr>
          <w:p w14:paraId="407C357A">
            <w:pPr>
              <w:pStyle w:val="12"/>
              <w:jc w:val="center"/>
            </w:pPr>
            <w:r>
              <w:rPr>
                <w:rFonts w:hint="eastAsia"/>
              </w:rPr>
              <w:t>1909年</w:t>
            </w:r>
          </w:p>
        </w:tc>
        <w:tc>
          <w:tcPr>
            <w:tcW w:w="582" w:type="pct"/>
            <w:vAlign w:val="center"/>
          </w:tcPr>
          <w:p w14:paraId="688428E2">
            <w:pPr>
              <w:pStyle w:val="12"/>
              <w:jc w:val="center"/>
            </w:pPr>
            <w:r>
              <w:rPr>
                <w:rFonts w:hint="eastAsia"/>
              </w:rPr>
              <w:t>油山镇</w:t>
            </w:r>
          </w:p>
        </w:tc>
        <w:tc>
          <w:tcPr>
            <w:tcW w:w="582" w:type="pct"/>
            <w:vAlign w:val="center"/>
          </w:tcPr>
          <w:p w14:paraId="7B417702">
            <w:pPr>
              <w:pStyle w:val="12"/>
              <w:jc w:val="center"/>
            </w:pPr>
            <w:r>
              <w:rPr>
                <w:rFonts w:hint="eastAsia"/>
              </w:rPr>
              <w:t>1930年</w:t>
            </w:r>
          </w:p>
        </w:tc>
        <w:tc>
          <w:tcPr>
            <w:tcW w:w="1066" w:type="pct"/>
            <w:vAlign w:val="center"/>
          </w:tcPr>
          <w:p w14:paraId="192F842C">
            <w:pPr>
              <w:pStyle w:val="12"/>
              <w:jc w:val="left"/>
            </w:pPr>
            <w:r>
              <w:rPr>
                <w:rFonts w:hint="eastAsia"/>
              </w:rPr>
              <w:t>油山游击队队员</w:t>
            </w:r>
          </w:p>
        </w:tc>
        <w:tc>
          <w:tcPr>
            <w:tcW w:w="1160" w:type="pct"/>
            <w:vAlign w:val="center"/>
          </w:tcPr>
          <w:p w14:paraId="47411A92">
            <w:pPr>
              <w:pStyle w:val="12"/>
              <w:jc w:val="left"/>
            </w:pPr>
            <w:r>
              <w:rPr>
                <w:rFonts w:hint="eastAsia"/>
              </w:rPr>
              <w:t>1934年被捕，在县城郊就义</w:t>
            </w:r>
          </w:p>
        </w:tc>
      </w:tr>
      <w:tr w14:paraId="2C4C1F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8206B42">
            <w:pPr>
              <w:pStyle w:val="12"/>
              <w:jc w:val="center"/>
            </w:pPr>
            <w:r>
              <w:rPr>
                <w:rFonts w:hint="eastAsia"/>
              </w:rPr>
              <w:t>黄荣标</w:t>
            </w:r>
          </w:p>
        </w:tc>
        <w:tc>
          <w:tcPr>
            <w:tcW w:w="388" w:type="pct"/>
            <w:vAlign w:val="center"/>
          </w:tcPr>
          <w:p w14:paraId="20E4EE6A">
            <w:pPr>
              <w:pStyle w:val="12"/>
              <w:jc w:val="center"/>
            </w:pPr>
            <w:r>
              <w:rPr>
                <w:rFonts w:hint="eastAsia"/>
              </w:rPr>
              <w:t>男</w:t>
            </w:r>
          </w:p>
        </w:tc>
        <w:tc>
          <w:tcPr>
            <w:tcW w:w="582" w:type="pct"/>
            <w:vAlign w:val="center"/>
          </w:tcPr>
          <w:p w14:paraId="6CADDFD1">
            <w:pPr>
              <w:pStyle w:val="12"/>
              <w:jc w:val="center"/>
            </w:pPr>
            <w:r>
              <w:rPr>
                <w:rFonts w:hint="eastAsia"/>
              </w:rPr>
              <w:t>1914年</w:t>
            </w:r>
          </w:p>
        </w:tc>
        <w:tc>
          <w:tcPr>
            <w:tcW w:w="582" w:type="pct"/>
            <w:vAlign w:val="center"/>
          </w:tcPr>
          <w:p w14:paraId="12165BE2">
            <w:pPr>
              <w:pStyle w:val="12"/>
              <w:jc w:val="center"/>
            </w:pPr>
            <w:r>
              <w:rPr>
                <w:rFonts w:hint="eastAsia"/>
              </w:rPr>
              <w:t>油山镇</w:t>
            </w:r>
          </w:p>
        </w:tc>
        <w:tc>
          <w:tcPr>
            <w:tcW w:w="582" w:type="pct"/>
            <w:vAlign w:val="center"/>
          </w:tcPr>
          <w:p w14:paraId="585DDA4B">
            <w:pPr>
              <w:pStyle w:val="12"/>
              <w:jc w:val="center"/>
            </w:pPr>
            <w:r>
              <w:rPr>
                <w:rFonts w:hint="eastAsia"/>
              </w:rPr>
              <w:t>1930年</w:t>
            </w:r>
          </w:p>
        </w:tc>
        <w:tc>
          <w:tcPr>
            <w:tcW w:w="1066" w:type="pct"/>
            <w:vAlign w:val="center"/>
          </w:tcPr>
          <w:p w14:paraId="39B44EAC">
            <w:pPr>
              <w:pStyle w:val="12"/>
              <w:jc w:val="left"/>
            </w:pPr>
            <w:r>
              <w:rPr>
                <w:rFonts w:hint="eastAsia"/>
              </w:rPr>
              <w:t>油山游击队队员</w:t>
            </w:r>
          </w:p>
        </w:tc>
        <w:tc>
          <w:tcPr>
            <w:tcW w:w="1160" w:type="pct"/>
            <w:vAlign w:val="center"/>
          </w:tcPr>
          <w:p w14:paraId="7754D436">
            <w:pPr>
              <w:pStyle w:val="12"/>
              <w:jc w:val="left"/>
            </w:pPr>
            <w:r>
              <w:rPr>
                <w:rFonts w:hint="eastAsia"/>
              </w:rPr>
              <w:t>1934年在油山栗树坑牺牲</w:t>
            </w:r>
          </w:p>
        </w:tc>
      </w:tr>
      <w:tr w14:paraId="026D05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8BEDA5D">
            <w:pPr>
              <w:pStyle w:val="12"/>
              <w:jc w:val="center"/>
            </w:pPr>
            <w:r>
              <w:rPr>
                <w:rFonts w:hint="eastAsia"/>
              </w:rPr>
              <w:t>钟中秋狗</w:t>
            </w:r>
          </w:p>
        </w:tc>
        <w:tc>
          <w:tcPr>
            <w:tcW w:w="388" w:type="pct"/>
            <w:vAlign w:val="center"/>
          </w:tcPr>
          <w:p w14:paraId="71C0B30A">
            <w:pPr>
              <w:pStyle w:val="12"/>
              <w:jc w:val="center"/>
            </w:pPr>
            <w:r>
              <w:rPr>
                <w:rFonts w:hint="eastAsia"/>
              </w:rPr>
              <w:t>男</w:t>
            </w:r>
          </w:p>
        </w:tc>
        <w:tc>
          <w:tcPr>
            <w:tcW w:w="582" w:type="pct"/>
            <w:vAlign w:val="center"/>
          </w:tcPr>
          <w:p w14:paraId="30CCBA3E">
            <w:pPr>
              <w:pStyle w:val="12"/>
              <w:jc w:val="center"/>
            </w:pPr>
            <w:r>
              <w:rPr>
                <w:rFonts w:hint="eastAsia"/>
              </w:rPr>
              <w:t>1917年</w:t>
            </w:r>
          </w:p>
        </w:tc>
        <w:tc>
          <w:tcPr>
            <w:tcW w:w="582" w:type="pct"/>
            <w:vAlign w:val="center"/>
          </w:tcPr>
          <w:p w14:paraId="04D9F297">
            <w:pPr>
              <w:pStyle w:val="12"/>
              <w:jc w:val="center"/>
            </w:pPr>
            <w:r>
              <w:rPr>
                <w:rFonts w:hint="eastAsia"/>
              </w:rPr>
              <w:t>油山镇</w:t>
            </w:r>
          </w:p>
        </w:tc>
        <w:tc>
          <w:tcPr>
            <w:tcW w:w="582" w:type="pct"/>
            <w:vAlign w:val="center"/>
          </w:tcPr>
          <w:p w14:paraId="5130FBEE">
            <w:pPr>
              <w:pStyle w:val="12"/>
              <w:jc w:val="center"/>
            </w:pPr>
            <w:r>
              <w:rPr>
                <w:rFonts w:hint="eastAsia"/>
              </w:rPr>
              <w:t>1930年</w:t>
            </w:r>
          </w:p>
        </w:tc>
        <w:tc>
          <w:tcPr>
            <w:tcW w:w="1066" w:type="pct"/>
            <w:vAlign w:val="center"/>
          </w:tcPr>
          <w:p w14:paraId="0B78A207">
            <w:pPr>
              <w:pStyle w:val="12"/>
              <w:jc w:val="left"/>
            </w:pPr>
            <w:r>
              <w:rPr>
                <w:rFonts w:hint="eastAsia"/>
              </w:rPr>
              <w:t>油山游击队队员</w:t>
            </w:r>
          </w:p>
        </w:tc>
        <w:tc>
          <w:tcPr>
            <w:tcW w:w="1160" w:type="pct"/>
            <w:vAlign w:val="center"/>
          </w:tcPr>
          <w:p w14:paraId="2E32A5BA">
            <w:pPr>
              <w:pStyle w:val="12"/>
              <w:jc w:val="left"/>
            </w:pPr>
            <w:r>
              <w:rPr>
                <w:rFonts w:hint="eastAsia"/>
              </w:rPr>
              <w:t>1934年在坪田坳栗树坑战斗被俘，在大塘就义</w:t>
            </w:r>
          </w:p>
        </w:tc>
      </w:tr>
      <w:tr w14:paraId="704C84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EB0B433">
            <w:pPr>
              <w:pStyle w:val="12"/>
              <w:jc w:val="center"/>
            </w:pPr>
            <w:r>
              <w:rPr>
                <w:rFonts w:hint="eastAsia"/>
              </w:rPr>
              <w:t>黄传智</w:t>
            </w:r>
          </w:p>
        </w:tc>
        <w:tc>
          <w:tcPr>
            <w:tcW w:w="388" w:type="pct"/>
            <w:vAlign w:val="center"/>
          </w:tcPr>
          <w:p w14:paraId="42BCC3EF">
            <w:pPr>
              <w:pStyle w:val="12"/>
              <w:jc w:val="center"/>
            </w:pPr>
            <w:r>
              <w:rPr>
                <w:rFonts w:hint="eastAsia"/>
              </w:rPr>
              <w:t>男</w:t>
            </w:r>
          </w:p>
        </w:tc>
        <w:tc>
          <w:tcPr>
            <w:tcW w:w="582" w:type="pct"/>
            <w:vAlign w:val="center"/>
          </w:tcPr>
          <w:p w14:paraId="4E66172E">
            <w:pPr>
              <w:pStyle w:val="12"/>
              <w:jc w:val="center"/>
            </w:pPr>
            <w:r>
              <w:rPr>
                <w:rFonts w:hint="eastAsia"/>
              </w:rPr>
              <w:t>1911年</w:t>
            </w:r>
          </w:p>
        </w:tc>
        <w:tc>
          <w:tcPr>
            <w:tcW w:w="582" w:type="pct"/>
            <w:vAlign w:val="center"/>
          </w:tcPr>
          <w:p w14:paraId="57A44EDA">
            <w:pPr>
              <w:pStyle w:val="12"/>
              <w:jc w:val="center"/>
            </w:pPr>
            <w:r>
              <w:rPr>
                <w:rFonts w:hint="eastAsia"/>
              </w:rPr>
              <w:t>油山镇</w:t>
            </w:r>
          </w:p>
        </w:tc>
        <w:tc>
          <w:tcPr>
            <w:tcW w:w="582" w:type="pct"/>
            <w:vAlign w:val="center"/>
          </w:tcPr>
          <w:p w14:paraId="5D56558D">
            <w:pPr>
              <w:pStyle w:val="12"/>
              <w:jc w:val="center"/>
            </w:pPr>
            <w:r>
              <w:rPr>
                <w:rFonts w:hint="eastAsia"/>
              </w:rPr>
              <w:t>1930年</w:t>
            </w:r>
          </w:p>
        </w:tc>
        <w:tc>
          <w:tcPr>
            <w:tcW w:w="1066" w:type="pct"/>
            <w:vAlign w:val="center"/>
          </w:tcPr>
          <w:p w14:paraId="50F8A179">
            <w:pPr>
              <w:pStyle w:val="12"/>
              <w:jc w:val="left"/>
            </w:pPr>
            <w:r>
              <w:rPr>
                <w:rFonts w:hint="eastAsia"/>
              </w:rPr>
              <w:t>油山游击队队员</w:t>
            </w:r>
          </w:p>
        </w:tc>
        <w:tc>
          <w:tcPr>
            <w:tcW w:w="1160" w:type="pct"/>
            <w:vAlign w:val="center"/>
          </w:tcPr>
          <w:p w14:paraId="51A4E21A">
            <w:pPr>
              <w:pStyle w:val="12"/>
              <w:jc w:val="left"/>
            </w:pPr>
            <w:r>
              <w:rPr>
                <w:rFonts w:hint="eastAsia"/>
              </w:rPr>
              <w:t>1934年在油山粪箕窝战斗牺牲</w:t>
            </w:r>
          </w:p>
        </w:tc>
      </w:tr>
      <w:tr w14:paraId="18AD63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211E46F">
            <w:pPr>
              <w:pStyle w:val="12"/>
              <w:jc w:val="center"/>
            </w:pPr>
            <w:r>
              <w:rPr>
                <w:rFonts w:hint="eastAsia"/>
              </w:rPr>
              <w:t>李矮古</w:t>
            </w:r>
          </w:p>
        </w:tc>
        <w:tc>
          <w:tcPr>
            <w:tcW w:w="388" w:type="pct"/>
            <w:vAlign w:val="center"/>
          </w:tcPr>
          <w:p w14:paraId="13B8C31B">
            <w:pPr>
              <w:pStyle w:val="12"/>
              <w:jc w:val="center"/>
            </w:pPr>
            <w:r>
              <w:rPr>
                <w:rFonts w:hint="eastAsia"/>
              </w:rPr>
              <w:t>男</w:t>
            </w:r>
          </w:p>
        </w:tc>
        <w:tc>
          <w:tcPr>
            <w:tcW w:w="582" w:type="pct"/>
            <w:vAlign w:val="center"/>
          </w:tcPr>
          <w:p w14:paraId="11E857B3">
            <w:pPr>
              <w:pStyle w:val="12"/>
              <w:jc w:val="center"/>
            </w:pPr>
            <w:r>
              <w:rPr>
                <w:rFonts w:hint="eastAsia"/>
              </w:rPr>
              <w:t>1901年</w:t>
            </w:r>
          </w:p>
        </w:tc>
        <w:tc>
          <w:tcPr>
            <w:tcW w:w="582" w:type="pct"/>
            <w:vAlign w:val="center"/>
          </w:tcPr>
          <w:p w14:paraId="4C699782">
            <w:pPr>
              <w:pStyle w:val="12"/>
              <w:jc w:val="center"/>
            </w:pPr>
            <w:r>
              <w:rPr>
                <w:rFonts w:hint="eastAsia"/>
              </w:rPr>
              <w:t>乌迳镇</w:t>
            </w:r>
          </w:p>
        </w:tc>
        <w:tc>
          <w:tcPr>
            <w:tcW w:w="582" w:type="pct"/>
            <w:vAlign w:val="center"/>
          </w:tcPr>
          <w:p w14:paraId="07A4B7D5">
            <w:pPr>
              <w:pStyle w:val="12"/>
              <w:jc w:val="center"/>
            </w:pPr>
            <w:r>
              <w:rPr>
                <w:rFonts w:hint="eastAsia"/>
              </w:rPr>
              <w:t>1933年</w:t>
            </w:r>
          </w:p>
        </w:tc>
        <w:tc>
          <w:tcPr>
            <w:tcW w:w="1066" w:type="pct"/>
            <w:vAlign w:val="center"/>
          </w:tcPr>
          <w:p w14:paraId="54166BBA">
            <w:pPr>
              <w:pStyle w:val="12"/>
              <w:jc w:val="left"/>
            </w:pPr>
            <w:r>
              <w:rPr>
                <w:rFonts w:hint="eastAsia"/>
              </w:rPr>
              <w:t>油山游击队队员</w:t>
            </w:r>
          </w:p>
        </w:tc>
        <w:tc>
          <w:tcPr>
            <w:tcW w:w="1160" w:type="pct"/>
            <w:vAlign w:val="center"/>
          </w:tcPr>
          <w:p w14:paraId="4E3602D7">
            <w:pPr>
              <w:pStyle w:val="12"/>
              <w:jc w:val="left"/>
            </w:pPr>
            <w:r>
              <w:rPr>
                <w:rFonts w:hint="eastAsia"/>
              </w:rPr>
              <w:t>1934年3月19日在邓坊被捕就义</w:t>
            </w:r>
          </w:p>
        </w:tc>
      </w:tr>
      <w:tr w14:paraId="640DEB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705DCA5">
            <w:pPr>
              <w:pStyle w:val="12"/>
              <w:jc w:val="center"/>
            </w:pPr>
            <w:r>
              <w:rPr>
                <w:rFonts w:hint="eastAsia"/>
              </w:rPr>
              <w:t>周才端</w:t>
            </w:r>
          </w:p>
        </w:tc>
        <w:tc>
          <w:tcPr>
            <w:tcW w:w="388" w:type="pct"/>
            <w:vAlign w:val="center"/>
          </w:tcPr>
          <w:p w14:paraId="3BD3FA34">
            <w:pPr>
              <w:pStyle w:val="12"/>
              <w:jc w:val="center"/>
            </w:pPr>
            <w:r>
              <w:rPr>
                <w:rFonts w:hint="eastAsia"/>
              </w:rPr>
              <w:t>男</w:t>
            </w:r>
          </w:p>
        </w:tc>
        <w:tc>
          <w:tcPr>
            <w:tcW w:w="582" w:type="pct"/>
            <w:vAlign w:val="center"/>
          </w:tcPr>
          <w:p w14:paraId="3778220A">
            <w:pPr>
              <w:pStyle w:val="12"/>
              <w:jc w:val="center"/>
            </w:pPr>
            <w:r>
              <w:rPr>
                <w:rFonts w:hint="eastAsia"/>
              </w:rPr>
              <w:t>1909年</w:t>
            </w:r>
          </w:p>
        </w:tc>
        <w:tc>
          <w:tcPr>
            <w:tcW w:w="582" w:type="pct"/>
            <w:vAlign w:val="center"/>
          </w:tcPr>
          <w:p w14:paraId="0D02770F">
            <w:pPr>
              <w:pStyle w:val="12"/>
              <w:jc w:val="center"/>
            </w:pPr>
            <w:r>
              <w:rPr>
                <w:rFonts w:hint="eastAsia"/>
              </w:rPr>
              <w:t>黄坑镇</w:t>
            </w:r>
          </w:p>
        </w:tc>
        <w:tc>
          <w:tcPr>
            <w:tcW w:w="582" w:type="pct"/>
            <w:vAlign w:val="center"/>
          </w:tcPr>
          <w:p w14:paraId="748B19F5">
            <w:pPr>
              <w:pStyle w:val="12"/>
              <w:jc w:val="center"/>
            </w:pPr>
            <w:r>
              <w:rPr>
                <w:rFonts w:hint="eastAsia"/>
              </w:rPr>
              <w:t>1933年</w:t>
            </w:r>
          </w:p>
        </w:tc>
        <w:tc>
          <w:tcPr>
            <w:tcW w:w="1066" w:type="pct"/>
            <w:vAlign w:val="center"/>
          </w:tcPr>
          <w:p w14:paraId="3AE0367A">
            <w:pPr>
              <w:pStyle w:val="12"/>
              <w:jc w:val="left"/>
            </w:pPr>
            <w:r>
              <w:rPr>
                <w:rFonts w:hint="eastAsia"/>
              </w:rPr>
              <w:t>红军26纵队排长</w:t>
            </w:r>
          </w:p>
        </w:tc>
        <w:tc>
          <w:tcPr>
            <w:tcW w:w="1160" w:type="pct"/>
            <w:vAlign w:val="center"/>
          </w:tcPr>
          <w:p w14:paraId="0875C1A0">
            <w:pPr>
              <w:pStyle w:val="12"/>
              <w:jc w:val="left"/>
            </w:pPr>
            <w:r>
              <w:rPr>
                <w:rFonts w:hint="eastAsia"/>
              </w:rPr>
              <w:t>1934年在江西信丰大小禾战斗牺牲</w:t>
            </w:r>
          </w:p>
        </w:tc>
      </w:tr>
      <w:tr w14:paraId="425351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2610385">
            <w:pPr>
              <w:pStyle w:val="12"/>
              <w:jc w:val="center"/>
            </w:pPr>
            <w:r>
              <w:rPr>
                <w:rFonts w:hint="eastAsia"/>
              </w:rPr>
              <w:t>肖大能</w:t>
            </w:r>
          </w:p>
        </w:tc>
        <w:tc>
          <w:tcPr>
            <w:tcW w:w="388" w:type="pct"/>
            <w:vAlign w:val="center"/>
          </w:tcPr>
          <w:p w14:paraId="7EEAC9D4">
            <w:pPr>
              <w:pStyle w:val="12"/>
              <w:jc w:val="center"/>
            </w:pPr>
            <w:r>
              <w:rPr>
                <w:rFonts w:hint="eastAsia"/>
              </w:rPr>
              <w:t>男</w:t>
            </w:r>
          </w:p>
        </w:tc>
        <w:tc>
          <w:tcPr>
            <w:tcW w:w="582" w:type="pct"/>
            <w:vAlign w:val="center"/>
          </w:tcPr>
          <w:p w14:paraId="72D229A9">
            <w:pPr>
              <w:pStyle w:val="12"/>
              <w:jc w:val="center"/>
            </w:pPr>
            <w:r>
              <w:rPr>
                <w:rFonts w:hint="eastAsia"/>
              </w:rPr>
              <w:t>1911年</w:t>
            </w:r>
          </w:p>
        </w:tc>
        <w:tc>
          <w:tcPr>
            <w:tcW w:w="582" w:type="pct"/>
            <w:vAlign w:val="center"/>
          </w:tcPr>
          <w:p w14:paraId="589332F7">
            <w:pPr>
              <w:pStyle w:val="12"/>
              <w:jc w:val="center"/>
            </w:pPr>
            <w:r>
              <w:rPr>
                <w:rFonts w:hint="eastAsia"/>
              </w:rPr>
              <w:t>雄州镇</w:t>
            </w:r>
          </w:p>
        </w:tc>
        <w:tc>
          <w:tcPr>
            <w:tcW w:w="582" w:type="pct"/>
            <w:vAlign w:val="center"/>
          </w:tcPr>
          <w:p w14:paraId="24B68F0E">
            <w:pPr>
              <w:pStyle w:val="12"/>
              <w:jc w:val="center"/>
            </w:pPr>
            <w:r>
              <w:rPr>
                <w:rFonts w:hint="eastAsia"/>
              </w:rPr>
              <w:t>1925年</w:t>
            </w:r>
          </w:p>
        </w:tc>
        <w:tc>
          <w:tcPr>
            <w:tcW w:w="1066" w:type="pct"/>
            <w:vAlign w:val="center"/>
          </w:tcPr>
          <w:p w14:paraId="6AA7EC66">
            <w:pPr>
              <w:pStyle w:val="12"/>
              <w:jc w:val="left"/>
            </w:pPr>
            <w:r>
              <w:rPr>
                <w:rFonts w:hint="eastAsia"/>
              </w:rPr>
              <w:t>红军26纵队连长</w:t>
            </w:r>
          </w:p>
        </w:tc>
        <w:tc>
          <w:tcPr>
            <w:tcW w:w="1160" w:type="pct"/>
            <w:vAlign w:val="center"/>
          </w:tcPr>
          <w:p w14:paraId="580F17B8">
            <w:pPr>
              <w:pStyle w:val="12"/>
              <w:jc w:val="left"/>
            </w:pPr>
            <w:r>
              <w:rPr>
                <w:rFonts w:hint="eastAsia"/>
              </w:rPr>
              <w:t>1934年在江西兴国战斗中牺牲</w:t>
            </w:r>
          </w:p>
        </w:tc>
      </w:tr>
      <w:tr w14:paraId="2A40D1E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51A50FA">
            <w:pPr>
              <w:pStyle w:val="12"/>
              <w:jc w:val="center"/>
            </w:pPr>
            <w:r>
              <w:rPr>
                <w:rFonts w:hint="eastAsia"/>
              </w:rPr>
              <w:t>董书泉</w:t>
            </w:r>
          </w:p>
        </w:tc>
        <w:tc>
          <w:tcPr>
            <w:tcW w:w="388" w:type="pct"/>
            <w:vAlign w:val="center"/>
          </w:tcPr>
          <w:p w14:paraId="60742ADE">
            <w:pPr>
              <w:pStyle w:val="12"/>
              <w:jc w:val="center"/>
            </w:pPr>
            <w:r>
              <w:rPr>
                <w:rFonts w:hint="eastAsia"/>
              </w:rPr>
              <w:t>男</w:t>
            </w:r>
          </w:p>
        </w:tc>
        <w:tc>
          <w:tcPr>
            <w:tcW w:w="582" w:type="pct"/>
            <w:vAlign w:val="center"/>
          </w:tcPr>
          <w:p w14:paraId="7DED33CB">
            <w:pPr>
              <w:pStyle w:val="12"/>
              <w:jc w:val="center"/>
            </w:pPr>
            <w:r>
              <w:rPr>
                <w:rFonts w:hint="eastAsia"/>
              </w:rPr>
              <w:t>1911年</w:t>
            </w:r>
          </w:p>
        </w:tc>
        <w:tc>
          <w:tcPr>
            <w:tcW w:w="582" w:type="pct"/>
            <w:vAlign w:val="center"/>
          </w:tcPr>
          <w:p w14:paraId="25153864">
            <w:pPr>
              <w:pStyle w:val="12"/>
              <w:jc w:val="center"/>
            </w:pPr>
            <w:r>
              <w:rPr>
                <w:rFonts w:hint="eastAsia"/>
              </w:rPr>
              <w:t>坪田镇</w:t>
            </w:r>
          </w:p>
        </w:tc>
        <w:tc>
          <w:tcPr>
            <w:tcW w:w="582" w:type="pct"/>
            <w:vAlign w:val="center"/>
          </w:tcPr>
          <w:p w14:paraId="1D0E0178">
            <w:pPr>
              <w:pStyle w:val="12"/>
              <w:jc w:val="center"/>
            </w:pPr>
            <w:r>
              <w:rPr>
                <w:rFonts w:hint="eastAsia"/>
              </w:rPr>
              <w:t>—</w:t>
            </w:r>
          </w:p>
        </w:tc>
        <w:tc>
          <w:tcPr>
            <w:tcW w:w="1066" w:type="pct"/>
            <w:vAlign w:val="center"/>
          </w:tcPr>
          <w:p w14:paraId="7D260B9C">
            <w:pPr>
              <w:pStyle w:val="12"/>
              <w:jc w:val="left"/>
            </w:pPr>
            <w:r>
              <w:rPr>
                <w:rFonts w:hint="eastAsia"/>
              </w:rPr>
              <w:t>赤卫队员</w:t>
            </w:r>
          </w:p>
        </w:tc>
        <w:tc>
          <w:tcPr>
            <w:tcW w:w="1160" w:type="pct"/>
            <w:vAlign w:val="center"/>
          </w:tcPr>
          <w:p w14:paraId="5B5954AB">
            <w:pPr>
              <w:pStyle w:val="12"/>
              <w:jc w:val="left"/>
            </w:pPr>
            <w:r>
              <w:rPr>
                <w:rFonts w:hint="eastAsia"/>
              </w:rPr>
              <w:t>1934年在江西于都战斗牺牲</w:t>
            </w:r>
          </w:p>
        </w:tc>
      </w:tr>
      <w:tr w14:paraId="0CB524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BA7C856">
            <w:pPr>
              <w:pStyle w:val="12"/>
              <w:jc w:val="center"/>
            </w:pPr>
            <w:r>
              <w:rPr>
                <w:rFonts w:hint="eastAsia"/>
              </w:rPr>
              <w:t>蓝三古</w:t>
            </w:r>
          </w:p>
        </w:tc>
        <w:tc>
          <w:tcPr>
            <w:tcW w:w="388" w:type="pct"/>
            <w:vAlign w:val="center"/>
          </w:tcPr>
          <w:p w14:paraId="553D1451">
            <w:pPr>
              <w:pStyle w:val="12"/>
              <w:jc w:val="center"/>
            </w:pPr>
            <w:r>
              <w:rPr>
                <w:rFonts w:hint="eastAsia"/>
              </w:rPr>
              <w:t>男</w:t>
            </w:r>
          </w:p>
        </w:tc>
        <w:tc>
          <w:tcPr>
            <w:tcW w:w="582" w:type="pct"/>
            <w:vAlign w:val="center"/>
          </w:tcPr>
          <w:p w14:paraId="45258435">
            <w:pPr>
              <w:pStyle w:val="12"/>
              <w:jc w:val="center"/>
            </w:pPr>
            <w:r>
              <w:rPr>
                <w:rFonts w:hint="eastAsia"/>
              </w:rPr>
              <w:t>1903年</w:t>
            </w:r>
          </w:p>
        </w:tc>
        <w:tc>
          <w:tcPr>
            <w:tcW w:w="582" w:type="pct"/>
            <w:vAlign w:val="center"/>
          </w:tcPr>
          <w:p w14:paraId="14FC1805">
            <w:pPr>
              <w:pStyle w:val="12"/>
              <w:jc w:val="center"/>
            </w:pPr>
            <w:r>
              <w:rPr>
                <w:rFonts w:hint="eastAsia"/>
              </w:rPr>
              <w:t>水口镇</w:t>
            </w:r>
          </w:p>
        </w:tc>
        <w:tc>
          <w:tcPr>
            <w:tcW w:w="582" w:type="pct"/>
            <w:vAlign w:val="center"/>
          </w:tcPr>
          <w:p w14:paraId="1197BB30">
            <w:pPr>
              <w:pStyle w:val="12"/>
              <w:jc w:val="center"/>
            </w:pPr>
            <w:r>
              <w:rPr>
                <w:rFonts w:hint="eastAsia"/>
              </w:rPr>
              <w:t>1935年3月</w:t>
            </w:r>
          </w:p>
        </w:tc>
        <w:tc>
          <w:tcPr>
            <w:tcW w:w="1066" w:type="pct"/>
            <w:vAlign w:val="center"/>
          </w:tcPr>
          <w:p w14:paraId="613C563B">
            <w:pPr>
              <w:pStyle w:val="12"/>
              <w:jc w:val="left"/>
            </w:pPr>
            <w:r>
              <w:rPr>
                <w:rFonts w:hint="eastAsia"/>
              </w:rPr>
              <w:t>红军战士</w:t>
            </w:r>
          </w:p>
        </w:tc>
        <w:tc>
          <w:tcPr>
            <w:tcW w:w="1160" w:type="pct"/>
            <w:vAlign w:val="center"/>
          </w:tcPr>
          <w:p w14:paraId="5D6BD912">
            <w:pPr>
              <w:pStyle w:val="12"/>
              <w:jc w:val="left"/>
            </w:pPr>
            <w:r>
              <w:rPr>
                <w:rFonts w:hint="eastAsia"/>
              </w:rPr>
              <w:t>1935年8月在福建战场牺牲</w:t>
            </w:r>
          </w:p>
        </w:tc>
      </w:tr>
      <w:tr w14:paraId="5D2D5B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D99C253">
            <w:pPr>
              <w:pStyle w:val="12"/>
              <w:jc w:val="center"/>
            </w:pPr>
            <w:r>
              <w:rPr>
                <w:rFonts w:hint="eastAsia"/>
              </w:rPr>
              <w:t>董北水生</w:t>
            </w:r>
          </w:p>
        </w:tc>
        <w:tc>
          <w:tcPr>
            <w:tcW w:w="388" w:type="pct"/>
            <w:vAlign w:val="center"/>
          </w:tcPr>
          <w:p w14:paraId="66DD1C97">
            <w:pPr>
              <w:pStyle w:val="12"/>
              <w:jc w:val="center"/>
            </w:pPr>
            <w:r>
              <w:rPr>
                <w:rFonts w:hint="eastAsia"/>
              </w:rPr>
              <w:t>男</w:t>
            </w:r>
          </w:p>
        </w:tc>
        <w:tc>
          <w:tcPr>
            <w:tcW w:w="582" w:type="pct"/>
            <w:vAlign w:val="center"/>
          </w:tcPr>
          <w:p w14:paraId="4F8B7ECC">
            <w:pPr>
              <w:pStyle w:val="12"/>
              <w:jc w:val="center"/>
            </w:pPr>
            <w:r>
              <w:rPr>
                <w:rFonts w:hint="eastAsia"/>
              </w:rPr>
              <w:t>1900年</w:t>
            </w:r>
          </w:p>
        </w:tc>
        <w:tc>
          <w:tcPr>
            <w:tcW w:w="582" w:type="pct"/>
            <w:vAlign w:val="center"/>
          </w:tcPr>
          <w:p w14:paraId="77A843EF">
            <w:pPr>
              <w:pStyle w:val="12"/>
              <w:jc w:val="center"/>
            </w:pPr>
            <w:r>
              <w:rPr>
                <w:rFonts w:hint="eastAsia"/>
              </w:rPr>
              <w:t>乌迳镇</w:t>
            </w:r>
          </w:p>
        </w:tc>
        <w:tc>
          <w:tcPr>
            <w:tcW w:w="582" w:type="pct"/>
            <w:vAlign w:val="center"/>
          </w:tcPr>
          <w:p w14:paraId="76E22C90">
            <w:pPr>
              <w:pStyle w:val="12"/>
              <w:jc w:val="center"/>
            </w:pPr>
            <w:r>
              <w:rPr>
                <w:rFonts w:hint="eastAsia"/>
              </w:rPr>
              <w:t>1932年</w:t>
            </w:r>
          </w:p>
        </w:tc>
        <w:tc>
          <w:tcPr>
            <w:tcW w:w="1066" w:type="pct"/>
            <w:vAlign w:val="center"/>
          </w:tcPr>
          <w:p w14:paraId="167ACBA8">
            <w:pPr>
              <w:pStyle w:val="12"/>
              <w:jc w:val="left"/>
            </w:pPr>
            <w:r>
              <w:rPr>
                <w:rFonts w:hint="eastAsia"/>
              </w:rPr>
              <w:t>红军26纵队战士</w:t>
            </w:r>
          </w:p>
        </w:tc>
        <w:tc>
          <w:tcPr>
            <w:tcW w:w="1160" w:type="pct"/>
            <w:vAlign w:val="center"/>
          </w:tcPr>
          <w:p w14:paraId="59EEDC45">
            <w:pPr>
              <w:pStyle w:val="12"/>
              <w:jc w:val="left"/>
            </w:pPr>
            <w:r>
              <w:rPr>
                <w:rFonts w:hint="eastAsia"/>
              </w:rPr>
              <w:t>1934年在孔江鹧鸪水被捕，在县城郊就义</w:t>
            </w:r>
          </w:p>
        </w:tc>
      </w:tr>
      <w:tr w14:paraId="59DAB5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8F00738">
            <w:pPr>
              <w:pStyle w:val="12"/>
              <w:jc w:val="center"/>
            </w:pPr>
            <w:r>
              <w:rPr>
                <w:rFonts w:hint="eastAsia"/>
              </w:rPr>
              <w:t>彭衍祥</w:t>
            </w:r>
          </w:p>
        </w:tc>
        <w:tc>
          <w:tcPr>
            <w:tcW w:w="388" w:type="pct"/>
            <w:vAlign w:val="center"/>
          </w:tcPr>
          <w:p w14:paraId="1C236ACE">
            <w:pPr>
              <w:pStyle w:val="12"/>
              <w:jc w:val="center"/>
            </w:pPr>
            <w:r>
              <w:rPr>
                <w:rFonts w:hint="eastAsia"/>
              </w:rPr>
              <w:t>男</w:t>
            </w:r>
          </w:p>
        </w:tc>
        <w:tc>
          <w:tcPr>
            <w:tcW w:w="582" w:type="pct"/>
            <w:vAlign w:val="center"/>
          </w:tcPr>
          <w:p w14:paraId="5CA05683">
            <w:pPr>
              <w:pStyle w:val="12"/>
              <w:jc w:val="center"/>
            </w:pPr>
            <w:r>
              <w:rPr>
                <w:rFonts w:hint="eastAsia"/>
              </w:rPr>
              <w:t>1901年</w:t>
            </w:r>
          </w:p>
        </w:tc>
        <w:tc>
          <w:tcPr>
            <w:tcW w:w="582" w:type="pct"/>
            <w:vAlign w:val="center"/>
          </w:tcPr>
          <w:p w14:paraId="436F66D6">
            <w:pPr>
              <w:pStyle w:val="12"/>
              <w:jc w:val="center"/>
            </w:pPr>
            <w:r>
              <w:rPr>
                <w:rFonts w:hint="eastAsia"/>
              </w:rPr>
              <w:t>油山镇</w:t>
            </w:r>
          </w:p>
        </w:tc>
        <w:tc>
          <w:tcPr>
            <w:tcW w:w="582" w:type="pct"/>
            <w:vAlign w:val="center"/>
          </w:tcPr>
          <w:p w14:paraId="5C6D2A46">
            <w:pPr>
              <w:pStyle w:val="12"/>
              <w:jc w:val="center"/>
            </w:pPr>
            <w:r>
              <w:rPr>
                <w:rFonts w:hint="eastAsia"/>
              </w:rPr>
              <w:t>1928年</w:t>
            </w:r>
          </w:p>
        </w:tc>
        <w:tc>
          <w:tcPr>
            <w:tcW w:w="1066" w:type="pct"/>
            <w:vAlign w:val="center"/>
          </w:tcPr>
          <w:p w14:paraId="07A5DFBA">
            <w:pPr>
              <w:pStyle w:val="12"/>
              <w:jc w:val="left"/>
            </w:pPr>
            <w:r>
              <w:rPr>
                <w:rFonts w:hint="eastAsia"/>
              </w:rPr>
              <w:t>工农红军战士</w:t>
            </w:r>
          </w:p>
        </w:tc>
        <w:tc>
          <w:tcPr>
            <w:tcW w:w="1160" w:type="pct"/>
            <w:vAlign w:val="center"/>
          </w:tcPr>
          <w:p w14:paraId="576233ED">
            <w:pPr>
              <w:pStyle w:val="12"/>
              <w:jc w:val="left"/>
            </w:pPr>
            <w:r>
              <w:rPr>
                <w:rFonts w:hint="eastAsia"/>
              </w:rPr>
              <w:t>1935年牺牲于长征途中</w:t>
            </w:r>
          </w:p>
        </w:tc>
      </w:tr>
      <w:tr w14:paraId="6D07EA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84CDE5B">
            <w:pPr>
              <w:pStyle w:val="12"/>
              <w:jc w:val="center"/>
            </w:pPr>
            <w:r>
              <w:rPr>
                <w:rFonts w:hint="eastAsia"/>
              </w:rPr>
              <w:t>黄长镜</w:t>
            </w:r>
          </w:p>
        </w:tc>
        <w:tc>
          <w:tcPr>
            <w:tcW w:w="388" w:type="pct"/>
            <w:vAlign w:val="center"/>
          </w:tcPr>
          <w:p w14:paraId="18BF4172">
            <w:pPr>
              <w:pStyle w:val="12"/>
              <w:jc w:val="center"/>
            </w:pPr>
            <w:r>
              <w:rPr>
                <w:rFonts w:hint="eastAsia"/>
              </w:rPr>
              <w:t>男</w:t>
            </w:r>
          </w:p>
        </w:tc>
        <w:tc>
          <w:tcPr>
            <w:tcW w:w="582" w:type="pct"/>
            <w:vAlign w:val="center"/>
          </w:tcPr>
          <w:p w14:paraId="007B5291">
            <w:pPr>
              <w:pStyle w:val="12"/>
              <w:jc w:val="center"/>
            </w:pPr>
            <w:r>
              <w:rPr>
                <w:rFonts w:hint="eastAsia"/>
              </w:rPr>
              <w:t>1908年</w:t>
            </w:r>
          </w:p>
        </w:tc>
        <w:tc>
          <w:tcPr>
            <w:tcW w:w="582" w:type="pct"/>
            <w:vAlign w:val="center"/>
          </w:tcPr>
          <w:p w14:paraId="3A42CFC8">
            <w:pPr>
              <w:pStyle w:val="12"/>
              <w:jc w:val="center"/>
            </w:pPr>
            <w:r>
              <w:rPr>
                <w:rFonts w:hint="eastAsia"/>
              </w:rPr>
              <w:t>油山镇</w:t>
            </w:r>
          </w:p>
        </w:tc>
        <w:tc>
          <w:tcPr>
            <w:tcW w:w="582" w:type="pct"/>
            <w:vAlign w:val="center"/>
          </w:tcPr>
          <w:p w14:paraId="0032B782">
            <w:pPr>
              <w:pStyle w:val="12"/>
              <w:jc w:val="center"/>
            </w:pPr>
            <w:r>
              <w:rPr>
                <w:rFonts w:hint="eastAsia"/>
              </w:rPr>
              <w:t>1934年</w:t>
            </w:r>
          </w:p>
        </w:tc>
        <w:tc>
          <w:tcPr>
            <w:tcW w:w="1066" w:type="pct"/>
            <w:vAlign w:val="center"/>
          </w:tcPr>
          <w:p w14:paraId="53CF57C3">
            <w:pPr>
              <w:pStyle w:val="12"/>
              <w:jc w:val="left"/>
            </w:pPr>
            <w:r>
              <w:rPr>
                <w:rFonts w:hint="eastAsia"/>
              </w:rPr>
              <w:t>红军侦察员</w:t>
            </w:r>
          </w:p>
        </w:tc>
        <w:tc>
          <w:tcPr>
            <w:tcW w:w="1160" w:type="pct"/>
            <w:vAlign w:val="center"/>
          </w:tcPr>
          <w:p w14:paraId="11123CE1">
            <w:pPr>
              <w:pStyle w:val="12"/>
              <w:jc w:val="left"/>
            </w:pPr>
            <w:r>
              <w:rPr>
                <w:rFonts w:hint="eastAsia"/>
              </w:rPr>
              <w:t>1935年因叛徒出卖被捕，在邓坊就义</w:t>
            </w:r>
          </w:p>
        </w:tc>
      </w:tr>
      <w:tr w14:paraId="6761B2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A492349">
            <w:pPr>
              <w:pStyle w:val="12"/>
              <w:jc w:val="center"/>
            </w:pPr>
            <w:r>
              <w:rPr>
                <w:rFonts w:hint="eastAsia"/>
              </w:rPr>
              <w:t>彭士兴</w:t>
            </w:r>
          </w:p>
        </w:tc>
        <w:tc>
          <w:tcPr>
            <w:tcW w:w="388" w:type="pct"/>
            <w:vAlign w:val="center"/>
          </w:tcPr>
          <w:p w14:paraId="5C1D42EC">
            <w:pPr>
              <w:pStyle w:val="12"/>
              <w:jc w:val="center"/>
            </w:pPr>
            <w:r>
              <w:rPr>
                <w:rFonts w:hint="eastAsia"/>
              </w:rPr>
              <w:t>男</w:t>
            </w:r>
          </w:p>
        </w:tc>
        <w:tc>
          <w:tcPr>
            <w:tcW w:w="582" w:type="pct"/>
            <w:vAlign w:val="center"/>
          </w:tcPr>
          <w:p w14:paraId="58E73090">
            <w:pPr>
              <w:pStyle w:val="12"/>
              <w:jc w:val="center"/>
            </w:pPr>
            <w:r>
              <w:rPr>
                <w:rFonts w:hint="eastAsia"/>
              </w:rPr>
              <w:t>1908年</w:t>
            </w:r>
          </w:p>
        </w:tc>
        <w:tc>
          <w:tcPr>
            <w:tcW w:w="582" w:type="pct"/>
            <w:vAlign w:val="center"/>
          </w:tcPr>
          <w:p w14:paraId="255425B9">
            <w:pPr>
              <w:pStyle w:val="12"/>
              <w:jc w:val="center"/>
            </w:pPr>
            <w:r>
              <w:rPr>
                <w:rFonts w:hint="eastAsia"/>
              </w:rPr>
              <w:t>油山镇</w:t>
            </w:r>
          </w:p>
        </w:tc>
        <w:tc>
          <w:tcPr>
            <w:tcW w:w="582" w:type="pct"/>
            <w:vAlign w:val="center"/>
          </w:tcPr>
          <w:p w14:paraId="546E52BC">
            <w:pPr>
              <w:pStyle w:val="12"/>
              <w:jc w:val="center"/>
            </w:pPr>
            <w:r>
              <w:rPr>
                <w:rFonts w:hint="eastAsia"/>
              </w:rPr>
              <w:t>1932年</w:t>
            </w:r>
          </w:p>
        </w:tc>
        <w:tc>
          <w:tcPr>
            <w:tcW w:w="1066" w:type="pct"/>
            <w:vAlign w:val="center"/>
          </w:tcPr>
          <w:p w14:paraId="26FDEBB2">
            <w:pPr>
              <w:pStyle w:val="12"/>
              <w:jc w:val="left"/>
            </w:pPr>
            <w:r>
              <w:rPr>
                <w:rFonts w:hint="eastAsia"/>
              </w:rPr>
              <w:t>油山游击队秘书</w:t>
            </w:r>
          </w:p>
        </w:tc>
        <w:tc>
          <w:tcPr>
            <w:tcW w:w="1160" w:type="pct"/>
            <w:vAlign w:val="center"/>
          </w:tcPr>
          <w:p w14:paraId="01093ECD">
            <w:pPr>
              <w:pStyle w:val="12"/>
              <w:jc w:val="left"/>
            </w:pPr>
            <w:r>
              <w:rPr>
                <w:rFonts w:hint="eastAsia"/>
              </w:rPr>
              <w:t>1935年在下茶田被捕，在县城郊就义</w:t>
            </w:r>
          </w:p>
        </w:tc>
      </w:tr>
      <w:tr w14:paraId="7FC1BA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246B270">
            <w:pPr>
              <w:pStyle w:val="12"/>
              <w:jc w:val="center"/>
            </w:pPr>
            <w:r>
              <w:rPr>
                <w:rFonts w:hint="eastAsia"/>
              </w:rPr>
              <w:t>彭衣南</w:t>
            </w:r>
            <w:r>
              <w:rPr>
                <w:rFonts w:hint="eastAsia" w:ascii="宋体" w:hAnsi="宋体" w:cs="宋体"/>
              </w:rPr>
              <w:t>（彭显文）</w:t>
            </w:r>
          </w:p>
        </w:tc>
        <w:tc>
          <w:tcPr>
            <w:tcW w:w="388" w:type="pct"/>
            <w:vAlign w:val="center"/>
          </w:tcPr>
          <w:p w14:paraId="101FDCDF">
            <w:pPr>
              <w:pStyle w:val="12"/>
              <w:jc w:val="center"/>
            </w:pPr>
            <w:r>
              <w:rPr>
                <w:rFonts w:hint="eastAsia"/>
              </w:rPr>
              <w:t>男</w:t>
            </w:r>
          </w:p>
        </w:tc>
        <w:tc>
          <w:tcPr>
            <w:tcW w:w="582" w:type="pct"/>
            <w:vAlign w:val="center"/>
          </w:tcPr>
          <w:p w14:paraId="029FAAB1">
            <w:pPr>
              <w:pStyle w:val="12"/>
              <w:jc w:val="center"/>
            </w:pPr>
            <w:r>
              <w:rPr>
                <w:rFonts w:hint="eastAsia"/>
              </w:rPr>
              <w:t>1906年</w:t>
            </w:r>
          </w:p>
        </w:tc>
        <w:tc>
          <w:tcPr>
            <w:tcW w:w="582" w:type="pct"/>
            <w:vAlign w:val="center"/>
          </w:tcPr>
          <w:p w14:paraId="12D26E98">
            <w:pPr>
              <w:pStyle w:val="12"/>
              <w:jc w:val="center"/>
            </w:pPr>
            <w:r>
              <w:rPr>
                <w:rFonts w:hint="eastAsia"/>
              </w:rPr>
              <w:t>油山镇</w:t>
            </w:r>
          </w:p>
        </w:tc>
        <w:tc>
          <w:tcPr>
            <w:tcW w:w="582" w:type="pct"/>
            <w:vAlign w:val="center"/>
          </w:tcPr>
          <w:p w14:paraId="5F876B82">
            <w:pPr>
              <w:pStyle w:val="12"/>
              <w:jc w:val="center"/>
            </w:pPr>
            <w:r>
              <w:rPr>
                <w:rFonts w:hint="eastAsia"/>
              </w:rPr>
              <w:t>1932年</w:t>
            </w:r>
          </w:p>
        </w:tc>
        <w:tc>
          <w:tcPr>
            <w:tcW w:w="1066" w:type="pct"/>
            <w:vAlign w:val="center"/>
          </w:tcPr>
          <w:p w14:paraId="1C83D1F0">
            <w:pPr>
              <w:pStyle w:val="12"/>
              <w:jc w:val="left"/>
            </w:pPr>
            <w:r>
              <w:rPr>
                <w:rFonts w:hint="eastAsia"/>
              </w:rPr>
              <w:t>红军26纵队战士</w:t>
            </w:r>
          </w:p>
        </w:tc>
        <w:tc>
          <w:tcPr>
            <w:tcW w:w="1160" w:type="pct"/>
            <w:vAlign w:val="center"/>
          </w:tcPr>
          <w:p w14:paraId="17E2456D">
            <w:pPr>
              <w:pStyle w:val="12"/>
              <w:jc w:val="left"/>
            </w:pPr>
            <w:r>
              <w:rPr>
                <w:rFonts w:hint="eastAsia"/>
              </w:rPr>
              <w:t>1935年在江西麻布战斗牺牲</w:t>
            </w:r>
          </w:p>
        </w:tc>
      </w:tr>
      <w:tr w14:paraId="0BAABD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0F55083">
            <w:pPr>
              <w:pStyle w:val="12"/>
              <w:jc w:val="center"/>
            </w:pPr>
            <w:r>
              <w:rPr>
                <w:rFonts w:hint="eastAsia"/>
              </w:rPr>
              <w:t>彭士荣</w:t>
            </w:r>
          </w:p>
        </w:tc>
        <w:tc>
          <w:tcPr>
            <w:tcW w:w="388" w:type="pct"/>
            <w:vAlign w:val="center"/>
          </w:tcPr>
          <w:p w14:paraId="6FC04D87">
            <w:pPr>
              <w:pStyle w:val="12"/>
              <w:jc w:val="center"/>
            </w:pPr>
            <w:r>
              <w:rPr>
                <w:rFonts w:hint="eastAsia"/>
              </w:rPr>
              <w:t>男</w:t>
            </w:r>
          </w:p>
        </w:tc>
        <w:tc>
          <w:tcPr>
            <w:tcW w:w="582" w:type="pct"/>
            <w:vAlign w:val="center"/>
          </w:tcPr>
          <w:p w14:paraId="2839608F">
            <w:pPr>
              <w:pStyle w:val="12"/>
              <w:jc w:val="center"/>
            </w:pPr>
            <w:r>
              <w:rPr>
                <w:rFonts w:hint="eastAsia"/>
              </w:rPr>
              <w:t>1909年</w:t>
            </w:r>
          </w:p>
        </w:tc>
        <w:tc>
          <w:tcPr>
            <w:tcW w:w="582" w:type="pct"/>
            <w:vAlign w:val="center"/>
          </w:tcPr>
          <w:p w14:paraId="7382DD59">
            <w:pPr>
              <w:pStyle w:val="12"/>
              <w:jc w:val="center"/>
            </w:pPr>
            <w:r>
              <w:rPr>
                <w:rFonts w:hint="eastAsia"/>
              </w:rPr>
              <w:t>油山镇</w:t>
            </w:r>
          </w:p>
        </w:tc>
        <w:tc>
          <w:tcPr>
            <w:tcW w:w="582" w:type="pct"/>
            <w:vAlign w:val="center"/>
          </w:tcPr>
          <w:p w14:paraId="7C59EF2C">
            <w:pPr>
              <w:pStyle w:val="12"/>
              <w:jc w:val="center"/>
            </w:pPr>
            <w:r>
              <w:rPr>
                <w:rFonts w:hint="eastAsia"/>
              </w:rPr>
              <w:t>1929年</w:t>
            </w:r>
          </w:p>
        </w:tc>
        <w:tc>
          <w:tcPr>
            <w:tcW w:w="1066" w:type="pct"/>
            <w:vAlign w:val="center"/>
          </w:tcPr>
          <w:p w14:paraId="0E4290D0">
            <w:pPr>
              <w:pStyle w:val="12"/>
              <w:jc w:val="left"/>
            </w:pPr>
            <w:r>
              <w:rPr>
                <w:rFonts w:hint="eastAsia"/>
              </w:rPr>
              <w:t>红军26纵队战士</w:t>
            </w:r>
          </w:p>
        </w:tc>
        <w:tc>
          <w:tcPr>
            <w:tcW w:w="1160" w:type="pct"/>
            <w:vAlign w:val="center"/>
          </w:tcPr>
          <w:p w14:paraId="1E58F5B5">
            <w:pPr>
              <w:pStyle w:val="12"/>
              <w:jc w:val="left"/>
            </w:pPr>
            <w:r>
              <w:rPr>
                <w:rFonts w:hint="eastAsia"/>
              </w:rPr>
              <w:t>1935年在大兰土地前被捕，在江西大余县池江就义</w:t>
            </w:r>
          </w:p>
        </w:tc>
      </w:tr>
      <w:tr w14:paraId="2628B9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0B1D5F9">
            <w:pPr>
              <w:pStyle w:val="12"/>
              <w:jc w:val="center"/>
            </w:pPr>
            <w:r>
              <w:rPr>
                <w:rFonts w:hint="eastAsia"/>
              </w:rPr>
              <w:t>赵春源</w:t>
            </w:r>
          </w:p>
        </w:tc>
        <w:tc>
          <w:tcPr>
            <w:tcW w:w="388" w:type="pct"/>
            <w:vAlign w:val="center"/>
          </w:tcPr>
          <w:p w14:paraId="5C925A10">
            <w:pPr>
              <w:pStyle w:val="12"/>
              <w:jc w:val="center"/>
            </w:pPr>
            <w:r>
              <w:rPr>
                <w:rFonts w:hint="eastAsia"/>
              </w:rPr>
              <w:t>男</w:t>
            </w:r>
          </w:p>
        </w:tc>
        <w:tc>
          <w:tcPr>
            <w:tcW w:w="582" w:type="pct"/>
            <w:vAlign w:val="center"/>
          </w:tcPr>
          <w:p w14:paraId="657C143B">
            <w:pPr>
              <w:pStyle w:val="12"/>
              <w:jc w:val="center"/>
            </w:pPr>
            <w:r>
              <w:rPr>
                <w:rFonts w:hint="eastAsia"/>
              </w:rPr>
              <w:t>1897年</w:t>
            </w:r>
          </w:p>
        </w:tc>
        <w:tc>
          <w:tcPr>
            <w:tcW w:w="582" w:type="pct"/>
            <w:vAlign w:val="center"/>
          </w:tcPr>
          <w:p w14:paraId="3E68C51B">
            <w:pPr>
              <w:pStyle w:val="12"/>
              <w:jc w:val="center"/>
            </w:pPr>
            <w:r>
              <w:rPr>
                <w:rFonts w:hint="eastAsia"/>
              </w:rPr>
              <w:t>乌迳镇</w:t>
            </w:r>
          </w:p>
        </w:tc>
        <w:tc>
          <w:tcPr>
            <w:tcW w:w="582" w:type="pct"/>
            <w:vAlign w:val="center"/>
          </w:tcPr>
          <w:p w14:paraId="2686E3CF">
            <w:pPr>
              <w:pStyle w:val="12"/>
              <w:jc w:val="center"/>
            </w:pPr>
            <w:r>
              <w:rPr>
                <w:rFonts w:hint="eastAsia"/>
              </w:rPr>
              <w:t>1933年</w:t>
            </w:r>
          </w:p>
        </w:tc>
        <w:tc>
          <w:tcPr>
            <w:tcW w:w="1066" w:type="pct"/>
            <w:vAlign w:val="center"/>
          </w:tcPr>
          <w:p w14:paraId="1AB9D5EC">
            <w:pPr>
              <w:pStyle w:val="12"/>
              <w:jc w:val="left"/>
            </w:pPr>
            <w:r>
              <w:rPr>
                <w:rFonts w:hint="eastAsia"/>
              </w:rPr>
              <w:t>红军26纵队战士</w:t>
            </w:r>
          </w:p>
        </w:tc>
        <w:tc>
          <w:tcPr>
            <w:tcW w:w="1160" w:type="pct"/>
            <w:vAlign w:val="center"/>
          </w:tcPr>
          <w:p w14:paraId="3BCACE9E">
            <w:pPr>
              <w:pStyle w:val="12"/>
              <w:jc w:val="left"/>
            </w:pPr>
            <w:r>
              <w:rPr>
                <w:rFonts w:hint="eastAsia"/>
              </w:rPr>
              <w:t>1935年5月19日被捕，在邓坊就义</w:t>
            </w:r>
          </w:p>
        </w:tc>
      </w:tr>
      <w:tr w14:paraId="34D044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1FCBA9D">
            <w:pPr>
              <w:pStyle w:val="12"/>
              <w:jc w:val="center"/>
            </w:pPr>
            <w:r>
              <w:rPr>
                <w:rFonts w:hint="eastAsia"/>
              </w:rPr>
              <w:t>彭金明</w:t>
            </w:r>
          </w:p>
        </w:tc>
        <w:tc>
          <w:tcPr>
            <w:tcW w:w="388" w:type="pct"/>
            <w:vAlign w:val="center"/>
          </w:tcPr>
          <w:p w14:paraId="2FE19F80">
            <w:pPr>
              <w:pStyle w:val="12"/>
              <w:jc w:val="center"/>
            </w:pPr>
            <w:r>
              <w:rPr>
                <w:rFonts w:hint="eastAsia"/>
              </w:rPr>
              <w:t>男</w:t>
            </w:r>
          </w:p>
        </w:tc>
        <w:tc>
          <w:tcPr>
            <w:tcW w:w="582" w:type="pct"/>
            <w:vAlign w:val="center"/>
          </w:tcPr>
          <w:p w14:paraId="130ACFF2">
            <w:pPr>
              <w:pStyle w:val="12"/>
              <w:jc w:val="center"/>
            </w:pPr>
            <w:r>
              <w:rPr>
                <w:rFonts w:hint="eastAsia"/>
              </w:rPr>
              <w:t>1904年</w:t>
            </w:r>
          </w:p>
        </w:tc>
        <w:tc>
          <w:tcPr>
            <w:tcW w:w="582" w:type="pct"/>
            <w:vAlign w:val="center"/>
          </w:tcPr>
          <w:p w14:paraId="2E994E56">
            <w:pPr>
              <w:pStyle w:val="12"/>
              <w:jc w:val="center"/>
            </w:pPr>
            <w:r>
              <w:rPr>
                <w:rFonts w:hint="eastAsia"/>
              </w:rPr>
              <w:t>油山镇</w:t>
            </w:r>
          </w:p>
        </w:tc>
        <w:tc>
          <w:tcPr>
            <w:tcW w:w="582" w:type="pct"/>
            <w:vAlign w:val="center"/>
          </w:tcPr>
          <w:p w14:paraId="2D6DA8A9">
            <w:pPr>
              <w:pStyle w:val="12"/>
              <w:jc w:val="center"/>
            </w:pPr>
            <w:r>
              <w:rPr>
                <w:rFonts w:hint="eastAsia"/>
              </w:rPr>
              <w:t>1928年</w:t>
            </w:r>
          </w:p>
        </w:tc>
        <w:tc>
          <w:tcPr>
            <w:tcW w:w="1066" w:type="pct"/>
            <w:vAlign w:val="center"/>
          </w:tcPr>
          <w:p w14:paraId="2B39FFEF">
            <w:pPr>
              <w:pStyle w:val="12"/>
              <w:jc w:val="left"/>
            </w:pPr>
            <w:r>
              <w:rPr>
                <w:rFonts w:hint="eastAsia"/>
              </w:rPr>
              <w:t>红军26纵队战士</w:t>
            </w:r>
          </w:p>
        </w:tc>
        <w:tc>
          <w:tcPr>
            <w:tcW w:w="1160" w:type="pct"/>
            <w:vAlign w:val="center"/>
          </w:tcPr>
          <w:p w14:paraId="1596D72B">
            <w:pPr>
              <w:pStyle w:val="12"/>
              <w:jc w:val="left"/>
            </w:pPr>
            <w:r>
              <w:rPr>
                <w:rFonts w:hint="eastAsia"/>
              </w:rPr>
              <w:t>1935年在帽子峰天井洞战斗中牺牲</w:t>
            </w:r>
          </w:p>
        </w:tc>
      </w:tr>
      <w:tr w14:paraId="3092F5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A588411">
            <w:pPr>
              <w:pStyle w:val="12"/>
              <w:jc w:val="center"/>
            </w:pPr>
            <w:r>
              <w:rPr>
                <w:rFonts w:hint="eastAsia"/>
              </w:rPr>
              <w:t>张祥经</w:t>
            </w:r>
          </w:p>
        </w:tc>
        <w:tc>
          <w:tcPr>
            <w:tcW w:w="388" w:type="pct"/>
            <w:vAlign w:val="center"/>
          </w:tcPr>
          <w:p w14:paraId="1890F6B0">
            <w:pPr>
              <w:pStyle w:val="12"/>
              <w:jc w:val="center"/>
            </w:pPr>
            <w:r>
              <w:rPr>
                <w:rFonts w:hint="eastAsia"/>
              </w:rPr>
              <w:t>男</w:t>
            </w:r>
          </w:p>
        </w:tc>
        <w:tc>
          <w:tcPr>
            <w:tcW w:w="582" w:type="pct"/>
            <w:vAlign w:val="center"/>
          </w:tcPr>
          <w:p w14:paraId="769D2208">
            <w:pPr>
              <w:pStyle w:val="12"/>
              <w:jc w:val="center"/>
            </w:pPr>
            <w:r>
              <w:rPr>
                <w:rFonts w:hint="eastAsia"/>
              </w:rPr>
              <w:t>1897年</w:t>
            </w:r>
          </w:p>
        </w:tc>
        <w:tc>
          <w:tcPr>
            <w:tcW w:w="582" w:type="pct"/>
            <w:vAlign w:val="center"/>
          </w:tcPr>
          <w:p w14:paraId="71E18691">
            <w:pPr>
              <w:pStyle w:val="12"/>
              <w:jc w:val="center"/>
            </w:pPr>
            <w:r>
              <w:rPr>
                <w:rFonts w:hint="eastAsia"/>
              </w:rPr>
              <w:t>湖口镇</w:t>
            </w:r>
          </w:p>
        </w:tc>
        <w:tc>
          <w:tcPr>
            <w:tcW w:w="582" w:type="pct"/>
            <w:vAlign w:val="center"/>
          </w:tcPr>
          <w:p w14:paraId="6F0B1913">
            <w:pPr>
              <w:pStyle w:val="12"/>
              <w:jc w:val="center"/>
            </w:pPr>
            <w:r>
              <w:rPr>
                <w:rFonts w:hint="eastAsia"/>
              </w:rPr>
              <w:t>1932年</w:t>
            </w:r>
          </w:p>
        </w:tc>
        <w:tc>
          <w:tcPr>
            <w:tcW w:w="1066" w:type="pct"/>
            <w:vAlign w:val="center"/>
          </w:tcPr>
          <w:p w14:paraId="04369D1D">
            <w:pPr>
              <w:pStyle w:val="12"/>
              <w:jc w:val="left"/>
            </w:pPr>
            <w:r>
              <w:rPr>
                <w:rFonts w:hint="eastAsia"/>
              </w:rPr>
              <w:t>工农红军战士</w:t>
            </w:r>
          </w:p>
        </w:tc>
        <w:tc>
          <w:tcPr>
            <w:tcW w:w="1160" w:type="pct"/>
            <w:vAlign w:val="center"/>
          </w:tcPr>
          <w:p w14:paraId="3E421B32">
            <w:pPr>
              <w:pStyle w:val="12"/>
              <w:jc w:val="left"/>
            </w:pPr>
            <w:r>
              <w:rPr>
                <w:rFonts w:hint="eastAsia"/>
              </w:rPr>
              <w:t>1935年在江西省战斗牺牲</w:t>
            </w:r>
          </w:p>
        </w:tc>
      </w:tr>
      <w:tr w14:paraId="0D4995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09E3452">
            <w:pPr>
              <w:pStyle w:val="12"/>
              <w:jc w:val="center"/>
              <w:rPr>
                <w:rFonts w:ascii="宋体" w:hAnsi="宋体" w:cs="宋体"/>
              </w:rPr>
            </w:pPr>
            <w:r>
              <w:rPr>
                <w:rFonts w:hint="eastAsia"/>
              </w:rPr>
              <w:t>曾  竹</w:t>
            </w:r>
          </w:p>
          <w:p w14:paraId="72158F36">
            <w:pPr>
              <w:pStyle w:val="12"/>
              <w:jc w:val="center"/>
            </w:pPr>
            <w:r>
              <w:rPr>
                <w:rFonts w:hint="eastAsia" w:ascii="宋体" w:hAnsi="宋体" w:cs="宋体"/>
              </w:rPr>
              <w:t>石下妹</w:t>
            </w:r>
          </w:p>
        </w:tc>
        <w:tc>
          <w:tcPr>
            <w:tcW w:w="388" w:type="pct"/>
            <w:vAlign w:val="center"/>
          </w:tcPr>
          <w:p w14:paraId="446E819C">
            <w:pPr>
              <w:pStyle w:val="12"/>
              <w:jc w:val="center"/>
            </w:pPr>
            <w:r>
              <w:rPr>
                <w:rFonts w:hint="eastAsia"/>
              </w:rPr>
              <w:t>女</w:t>
            </w:r>
          </w:p>
        </w:tc>
        <w:tc>
          <w:tcPr>
            <w:tcW w:w="582" w:type="pct"/>
            <w:vAlign w:val="center"/>
          </w:tcPr>
          <w:p w14:paraId="4617DE55">
            <w:pPr>
              <w:pStyle w:val="12"/>
              <w:jc w:val="center"/>
            </w:pPr>
            <w:r>
              <w:rPr>
                <w:rFonts w:hint="eastAsia"/>
              </w:rPr>
              <w:t>1912年</w:t>
            </w:r>
          </w:p>
        </w:tc>
        <w:tc>
          <w:tcPr>
            <w:tcW w:w="582" w:type="pct"/>
            <w:vAlign w:val="center"/>
          </w:tcPr>
          <w:p w14:paraId="763BE26E">
            <w:pPr>
              <w:pStyle w:val="12"/>
              <w:jc w:val="center"/>
            </w:pPr>
            <w:r>
              <w:rPr>
                <w:rFonts w:hint="eastAsia"/>
              </w:rPr>
              <w:t>湖口镇</w:t>
            </w:r>
          </w:p>
        </w:tc>
        <w:tc>
          <w:tcPr>
            <w:tcW w:w="582" w:type="pct"/>
            <w:vAlign w:val="center"/>
          </w:tcPr>
          <w:p w14:paraId="2DF06E36">
            <w:pPr>
              <w:pStyle w:val="12"/>
              <w:jc w:val="center"/>
            </w:pPr>
            <w:r>
              <w:rPr>
                <w:rFonts w:hint="eastAsia"/>
              </w:rPr>
              <w:t>1933年</w:t>
            </w:r>
          </w:p>
        </w:tc>
        <w:tc>
          <w:tcPr>
            <w:tcW w:w="1066" w:type="pct"/>
            <w:vAlign w:val="center"/>
          </w:tcPr>
          <w:p w14:paraId="0ADA5063">
            <w:pPr>
              <w:pStyle w:val="12"/>
              <w:jc w:val="left"/>
            </w:pPr>
            <w:r>
              <w:rPr>
                <w:rFonts w:hint="eastAsia"/>
              </w:rPr>
              <w:t>红军26纵队战士</w:t>
            </w:r>
          </w:p>
        </w:tc>
        <w:tc>
          <w:tcPr>
            <w:tcW w:w="1160" w:type="pct"/>
            <w:vAlign w:val="center"/>
          </w:tcPr>
          <w:p w14:paraId="7975DE22">
            <w:pPr>
              <w:pStyle w:val="12"/>
              <w:jc w:val="left"/>
            </w:pPr>
            <w:r>
              <w:rPr>
                <w:rFonts w:hint="eastAsia"/>
              </w:rPr>
              <w:t>1935年在江西省战斗牺牲</w:t>
            </w:r>
          </w:p>
        </w:tc>
      </w:tr>
      <w:tr w14:paraId="6911D2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AF42FF0">
            <w:pPr>
              <w:pStyle w:val="12"/>
              <w:jc w:val="center"/>
            </w:pPr>
            <w:r>
              <w:rPr>
                <w:rFonts w:hint="eastAsia"/>
              </w:rPr>
              <w:t>郭荣寿</w:t>
            </w:r>
          </w:p>
        </w:tc>
        <w:tc>
          <w:tcPr>
            <w:tcW w:w="388" w:type="pct"/>
            <w:vAlign w:val="center"/>
          </w:tcPr>
          <w:p w14:paraId="66EAEF4B">
            <w:pPr>
              <w:pStyle w:val="12"/>
              <w:jc w:val="center"/>
            </w:pPr>
            <w:r>
              <w:rPr>
                <w:rFonts w:hint="eastAsia"/>
              </w:rPr>
              <w:t>男</w:t>
            </w:r>
          </w:p>
        </w:tc>
        <w:tc>
          <w:tcPr>
            <w:tcW w:w="582" w:type="pct"/>
            <w:vAlign w:val="center"/>
          </w:tcPr>
          <w:p w14:paraId="59E00B5C">
            <w:pPr>
              <w:pStyle w:val="12"/>
              <w:jc w:val="center"/>
            </w:pPr>
            <w:r>
              <w:rPr>
                <w:rFonts w:hint="eastAsia"/>
              </w:rPr>
              <w:t>1902年</w:t>
            </w:r>
          </w:p>
        </w:tc>
        <w:tc>
          <w:tcPr>
            <w:tcW w:w="582" w:type="pct"/>
            <w:vAlign w:val="center"/>
          </w:tcPr>
          <w:p w14:paraId="7D9E6D06">
            <w:pPr>
              <w:pStyle w:val="12"/>
              <w:jc w:val="center"/>
            </w:pPr>
            <w:r>
              <w:rPr>
                <w:rFonts w:hint="eastAsia"/>
              </w:rPr>
              <w:t>油山镇</w:t>
            </w:r>
          </w:p>
        </w:tc>
        <w:tc>
          <w:tcPr>
            <w:tcW w:w="582" w:type="pct"/>
            <w:vAlign w:val="center"/>
          </w:tcPr>
          <w:p w14:paraId="1FC564B0">
            <w:pPr>
              <w:pStyle w:val="12"/>
              <w:jc w:val="center"/>
            </w:pPr>
            <w:r>
              <w:rPr>
                <w:rFonts w:hint="eastAsia"/>
              </w:rPr>
              <w:t>1932年</w:t>
            </w:r>
          </w:p>
        </w:tc>
        <w:tc>
          <w:tcPr>
            <w:tcW w:w="1066" w:type="pct"/>
            <w:vAlign w:val="center"/>
          </w:tcPr>
          <w:p w14:paraId="191583CB">
            <w:pPr>
              <w:pStyle w:val="12"/>
              <w:jc w:val="left"/>
            </w:pPr>
            <w:r>
              <w:rPr>
                <w:rFonts w:hint="eastAsia"/>
              </w:rPr>
              <w:t>油山游击队队员</w:t>
            </w:r>
          </w:p>
        </w:tc>
        <w:tc>
          <w:tcPr>
            <w:tcW w:w="1160" w:type="pct"/>
            <w:vAlign w:val="center"/>
          </w:tcPr>
          <w:p w14:paraId="2814671D">
            <w:pPr>
              <w:pStyle w:val="12"/>
              <w:jc w:val="left"/>
            </w:pPr>
            <w:r>
              <w:rPr>
                <w:rFonts w:hint="eastAsia"/>
              </w:rPr>
              <w:t>1935年在锦陂被捕，在邓坊就义</w:t>
            </w:r>
          </w:p>
        </w:tc>
      </w:tr>
      <w:tr w14:paraId="174408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12CC8F6">
            <w:pPr>
              <w:pStyle w:val="12"/>
              <w:jc w:val="center"/>
            </w:pPr>
            <w:r>
              <w:rPr>
                <w:rFonts w:hint="eastAsia"/>
              </w:rPr>
              <w:t>赵石妹</w:t>
            </w:r>
          </w:p>
        </w:tc>
        <w:tc>
          <w:tcPr>
            <w:tcW w:w="388" w:type="pct"/>
            <w:vAlign w:val="center"/>
          </w:tcPr>
          <w:p w14:paraId="74022357">
            <w:pPr>
              <w:pStyle w:val="12"/>
              <w:jc w:val="center"/>
            </w:pPr>
            <w:r>
              <w:rPr>
                <w:rFonts w:hint="eastAsia"/>
              </w:rPr>
              <w:t>女</w:t>
            </w:r>
          </w:p>
        </w:tc>
        <w:tc>
          <w:tcPr>
            <w:tcW w:w="582" w:type="pct"/>
            <w:vAlign w:val="center"/>
          </w:tcPr>
          <w:p w14:paraId="41A8DA16">
            <w:pPr>
              <w:pStyle w:val="12"/>
              <w:jc w:val="center"/>
            </w:pPr>
            <w:r>
              <w:rPr>
                <w:rFonts w:hint="eastAsia"/>
              </w:rPr>
              <w:t>1902年</w:t>
            </w:r>
          </w:p>
        </w:tc>
        <w:tc>
          <w:tcPr>
            <w:tcW w:w="582" w:type="pct"/>
            <w:vAlign w:val="center"/>
          </w:tcPr>
          <w:p w14:paraId="63D7C6CF">
            <w:pPr>
              <w:pStyle w:val="12"/>
              <w:jc w:val="center"/>
            </w:pPr>
            <w:r>
              <w:rPr>
                <w:rFonts w:hint="eastAsia"/>
              </w:rPr>
              <w:t>乌迳镇</w:t>
            </w:r>
          </w:p>
        </w:tc>
        <w:tc>
          <w:tcPr>
            <w:tcW w:w="582" w:type="pct"/>
            <w:vAlign w:val="center"/>
          </w:tcPr>
          <w:p w14:paraId="0D500937">
            <w:pPr>
              <w:pStyle w:val="12"/>
              <w:jc w:val="center"/>
            </w:pPr>
            <w:r>
              <w:rPr>
                <w:rFonts w:hint="eastAsia"/>
              </w:rPr>
              <w:t>1929年</w:t>
            </w:r>
          </w:p>
        </w:tc>
        <w:tc>
          <w:tcPr>
            <w:tcW w:w="1066" w:type="pct"/>
            <w:vAlign w:val="center"/>
          </w:tcPr>
          <w:p w14:paraId="453B3475">
            <w:pPr>
              <w:pStyle w:val="12"/>
              <w:jc w:val="left"/>
            </w:pPr>
            <w:r>
              <w:rPr>
                <w:rFonts w:hint="eastAsia"/>
              </w:rPr>
              <w:t>红军26纵队</w:t>
            </w:r>
            <w:r>
              <w:rPr>
                <w:rFonts w:hint="eastAsia" w:ascii="宋体" w:hAnsi="宋体" w:cs="宋体"/>
              </w:rPr>
              <w:t>交通员</w:t>
            </w:r>
          </w:p>
        </w:tc>
        <w:tc>
          <w:tcPr>
            <w:tcW w:w="1160" w:type="pct"/>
            <w:vAlign w:val="center"/>
          </w:tcPr>
          <w:p w14:paraId="7B45493D">
            <w:pPr>
              <w:pStyle w:val="12"/>
              <w:jc w:val="left"/>
            </w:pPr>
            <w:r>
              <w:rPr>
                <w:rFonts w:hint="eastAsia"/>
              </w:rPr>
              <w:t>1935年9月16日在油山坪林被捕就义</w:t>
            </w:r>
          </w:p>
        </w:tc>
      </w:tr>
      <w:tr w14:paraId="741EE9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A1364E6">
            <w:pPr>
              <w:pStyle w:val="12"/>
              <w:jc w:val="center"/>
            </w:pPr>
            <w:r>
              <w:rPr>
                <w:rFonts w:hint="eastAsia"/>
              </w:rPr>
              <w:t>叶昌庠</w:t>
            </w:r>
          </w:p>
        </w:tc>
        <w:tc>
          <w:tcPr>
            <w:tcW w:w="388" w:type="pct"/>
            <w:vAlign w:val="center"/>
          </w:tcPr>
          <w:p w14:paraId="77164FF3">
            <w:pPr>
              <w:pStyle w:val="12"/>
              <w:jc w:val="center"/>
            </w:pPr>
            <w:r>
              <w:rPr>
                <w:rFonts w:hint="eastAsia"/>
              </w:rPr>
              <w:t>男</w:t>
            </w:r>
          </w:p>
        </w:tc>
        <w:tc>
          <w:tcPr>
            <w:tcW w:w="582" w:type="pct"/>
            <w:vAlign w:val="center"/>
          </w:tcPr>
          <w:p w14:paraId="24361C5F">
            <w:pPr>
              <w:pStyle w:val="12"/>
              <w:jc w:val="center"/>
            </w:pPr>
            <w:r>
              <w:rPr>
                <w:rFonts w:hint="eastAsia"/>
              </w:rPr>
              <w:t>1884年</w:t>
            </w:r>
          </w:p>
        </w:tc>
        <w:tc>
          <w:tcPr>
            <w:tcW w:w="582" w:type="pct"/>
            <w:vAlign w:val="center"/>
          </w:tcPr>
          <w:p w14:paraId="634181FC">
            <w:pPr>
              <w:pStyle w:val="12"/>
              <w:jc w:val="center"/>
            </w:pPr>
            <w:r>
              <w:rPr>
                <w:rFonts w:hint="eastAsia"/>
              </w:rPr>
              <w:t>油山镇</w:t>
            </w:r>
          </w:p>
        </w:tc>
        <w:tc>
          <w:tcPr>
            <w:tcW w:w="582" w:type="pct"/>
            <w:vAlign w:val="center"/>
          </w:tcPr>
          <w:p w14:paraId="075F3F88">
            <w:pPr>
              <w:pStyle w:val="12"/>
              <w:jc w:val="center"/>
            </w:pPr>
            <w:r>
              <w:rPr>
                <w:rFonts w:hint="eastAsia"/>
              </w:rPr>
              <w:t>1926年</w:t>
            </w:r>
          </w:p>
        </w:tc>
        <w:tc>
          <w:tcPr>
            <w:tcW w:w="1066" w:type="pct"/>
            <w:vAlign w:val="center"/>
          </w:tcPr>
          <w:p w14:paraId="6767CD26">
            <w:pPr>
              <w:pStyle w:val="12"/>
              <w:jc w:val="left"/>
            </w:pPr>
            <w:r>
              <w:rPr>
                <w:rFonts w:hint="eastAsia"/>
              </w:rPr>
              <w:t>油山游击队队长</w:t>
            </w:r>
          </w:p>
        </w:tc>
        <w:tc>
          <w:tcPr>
            <w:tcW w:w="1160" w:type="pct"/>
            <w:vAlign w:val="center"/>
          </w:tcPr>
          <w:p w14:paraId="21DE3FB2">
            <w:pPr>
              <w:pStyle w:val="12"/>
              <w:jc w:val="left"/>
            </w:pPr>
            <w:r>
              <w:rPr>
                <w:rFonts w:hint="eastAsia"/>
              </w:rPr>
              <w:t>1935年在锦陂牛坑被捕，在大塘就义</w:t>
            </w:r>
          </w:p>
        </w:tc>
      </w:tr>
      <w:tr w14:paraId="0C3B66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8299C88">
            <w:pPr>
              <w:pStyle w:val="12"/>
              <w:jc w:val="center"/>
            </w:pPr>
            <w:r>
              <w:rPr>
                <w:rFonts w:hint="eastAsia"/>
              </w:rPr>
              <w:t>李乐天</w:t>
            </w:r>
          </w:p>
        </w:tc>
        <w:tc>
          <w:tcPr>
            <w:tcW w:w="388" w:type="pct"/>
            <w:vAlign w:val="center"/>
          </w:tcPr>
          <w:p w14:paraId="6F7EB628">
            <w:pPr>
              <w:pStyle w:val="12"/>
              <w:jc w:val="center"/>
            </w:pPr>
            <w:r>
              <w:rPr>
                <w:rFonts w:hint="eastAsia"/>
              </w:rPr>
              <w:t>男</w:t>
            </w:r>
          </w:p>
        </w:tc>
        <w:tc>
          <w:tcPr>
            <w:tcW w:w="582" w:type="pct"/>
            <w:vAlign w:val="center"/>
          </w:tcPr>
          <w:p w14:paraId="7B79B070">
            <w:pPr>
              <w:pStyle w:val="12"/>
              <w:jc w:val="center"/>
            </w:pPr>
            <w:r>
              <w:rPr>
                <w:rFonts w:hint="eastAsia"/>
              </w:rPr>
              <w:t>1905年</w:t>
            </w:r>
          </w:p>
        </w:tc>
        <w:tc>
          <w:tcPr>
            <w:tcW w:w="582" w:type="pct"/>
            <w:vAlign w:val="center"/>
          </w:tcPr>
          <w:p w14:paraId="20E15A4F">
            <w:pPr>
              <w:pStyle w:val="12"/>
              <w:jc w:val="center"/>
            </w:pPr>
            <w:r>
              <w:rPr>
                <w:rFonts w:hint="eastAsia"/>
              </w:rPr>
              <w:t>湖口镇</w:t>
            </w:r>
          </w:p>
        </w:tc>
        <w:tc>
          <w:tcPr>
            <w:tcW w:w="582" w:type="pct"/>
            <w:vAlign w:val="center"/>
          </w:tcPr>
          <w:p w14:paraId="07371FF0">
            <w:pPr>
              <w:pStyle w:val="12"/>
              <w:jc w:val="center"/>
            </w:pPr>
            <w:r>
              <w:rPr>
                <w:rFonts w:hint="eastAsia"/>
              </w:rPr>
              <w:t>1927年</w:t>
            </w:r>
          </w:p>
        </w:tc>
        <w:tc>
          <w:tcPr>
            <w:tcW w:w="1066" w:type="pct"/>
            <w:vAlign w:val="center"/>
          </w:tcPr>
          <w:p w14:paraId="1E9B8757">
            <w:pPr>
              <w:pStyle w:val="12"/>
              <w:jc w:val="left"/>
            </w:pPr>
            <w:r>
              <w:rPr>
                <w:rFonts w:hint="eastAsia"/>
              </w:rPr>
              <w:t>中共赣粤边</w:t>
            </w:r>
            <w:r>
              <w:rPr>
                <w:rFonts w:hint="eastAsia" w:ascii="宋体" w:hAnsi="宋体" w:cs="宋体"/>
              </w:rPr>
              <w:t>特委书记</w:t>
            </w:r>
          </w:p>
        </w:tc>
        <w:tc>
          <w:tcPr>
            <w:tcW w:w="1160" w:type="pct"/>
            <w:vAlign w:val="center"/>
          </w:tcPr>
          <w:p w14:paraId="22EE08C2">
            <w:pPr>
              <w:pStyle w:val="12"/>
              <w:jc w:val="left"/>
            </w:pPr>
            <w:r>
              <w:rPr>
                <w:rFonts w:hint="eastAsia"/>
              </w:rPr>
              <w:t>1936年1月底在江西省信丰县牺牲，有传</w:t>
            </w:r>
          </w:p>
        </w:tc>
      </w:tr>
      <w:tr w14:paraId="71242B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6A02664">
            <w:pPr>
              <w:pStyle w:val="12"/>
              <w:jc w:val="center"/>
            </w:pPr>
            <w:r>
              <w:rPr>
                <w:rFonts w:hint="eastAsia"/>
              </w:rPr>
              <w:t>曾  彪</w:t>
            </w:r>
          </w:p>
        </w:tc>
        <w:tc>
          <w:tcPr>
            <w:tcW w:w="388" w:type="pct"/>
            <w:vAlign w:val="center"/>
          </w:tcPr>
          <w:p w14:paraId="6CA788FE">
            <w:pPr>
              <w:pStyle w:val="12"/>
              <w:jc w:val="center"/>
            </w:pPr>
            <w:r>
              <w:rPr>
                <w:rFonts w:hint="eastAsia"/>
              </w:rPr>
              <w:t>男</w:t>
            </w:r>
          </w:p>
        </w:tc>
        <w:tc>
          <w:tcPr>
            <w:tcW w:w="582" w:type="pct"/>
            <w:vAlign w:val="center"/>
          </w:tcPr>
          <w:p w14:paraId="089EA8C1">
            <w:pPr>
              <w:pStyle w:val="12"/>
              <w:jc w:val="center"/>
            </w:pPr>
            <w:r>
              <w:rPr>
                <w:rFonts w:hint="eastAsia"/>
              </w:rPr>
              <w:t>1901年</w:t>
            </w:r>
          </w:p>
        </w:tc>
        <w:tc>
          <w:tcPr>
            <w:tcW w:w="582" w:type="pct"/>
            <w:vAlign w:val="center"/>
          </w:tcPr>
          <w:p w14:paraId="7214280B">
            <w:pPr>
              <w:pStyle w:val="12"/>
              <w:jc w:val="center"/>
            </w:pPr>
            <w:r>
              <w:rPr>
                <w:rFonts w:hint="eastAsia"/>
              </w:rPr>
              <w:t>油山镇</w:t>
            </w:r>
          </w:p>
        </w:tc>
        <w:tc>
          <w:tcPr>
            <w:tcW w:w="582" w:type="pct"/>
            <w:vAlign w:val="center"/>
          </w:tcPr>
          <w:p w14:paraId="07E3D31A">
            <w:pPr>
              <w:pStyle w:val="12"/>
              <w:jc w:val="center"/>
            </w:pPr>
            <w:r>
              <w:rPr>
                <w:rFonts w:hint="eastAsia"/>
              </w:rPr>
              <w:t>1926年</w:t>
            </w:r>
          </w:p>
        </w:tc>
        <w:tc>
          <w:tcPr>
            <w:tcW w:w="1066" w:type="pct"/>
            <w:vAlign w:val="center"/>
          </w:tcPr>
          <w:p w14:paraId="78C8630A">
            <w:pPr>
              <w:pStyle w:val="12"/>
              <w:jc w:val="left"/>
            </w:pPr>
            <w:r>
              <w:rPr>
                <w:rFonts w:hint="eastAsia"/>
              </w:rPr>
              <w:t>油山游击队队长</w:t>
            </w:r>
          </w:p>
        </w:tc>
        <w:tc>
          <w:tcPr>
            <w:tcW w:w="1160" w:type="pct"/>
            <w:vAlign w:val="center"/>
          </w:tcPr>
          <w:p w14:paraId="7053BAA2">
            <w:pPr>
              <w:pStyle w:val="12"/>
              <w:jc w:val="left"/>
            </w:pPr>
            <w:r>
              <w:rPr>
                <w:rFonts w:hint="eastAsia"/>
              </w:rPr>
              <w:t>1936年在江西大余县牺牲，有传</w:t>
            </w:r>
          </w:p>
        </w:tc>
      </w:tr>
      <w:tr w14:paraId="79577D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05CDF9A">
            <w:pPr>
              <w:pStyle w:val="12"/>
              <w:jc w:val="center"/>
            </w:pPr>
            <w:r>
              <w:rPr>
                <w:rFonts w:hint="eastAsia"/>
              </w:rPr>
              <w:t>叶明魁</w:t>
            </w:r>
          </w:p>
        </w:tc>
        <w:tc>
          <w:tcPr>
            <w:tcW w:w="388" w:type="pct"/>
            <w:vAlign w:val="center"/>
          </w:tcPr>
          <w:p w14:paraId="69756120">
            <w:pPr>
              <w:pStyle w:val="12"/>
              <w:jc w:val="center"/>
            </w:pPr>
            <w:r>
              <w:rPr>
                <w:rFonts w:hint="eastAsia"/>
              </w:rPr>
              <w:t>男</w:t>
            </w:r>
          </w:p>
        </w:tc>
        <w:tc>
          <w:tcPr>
            <w:tcW w:w="582" w:type="pct"/>
            <w:vAlign w:val="center"/>
          </w:tcPr>
          <w:p w14:paraId="018B0A92">
            <w:pPr>
              <w:pStyle w:val="12"/>
              <w:jc w:val="center"/>
            </w:pPr>
            <w:r>
              <w:rPr>
                <w:rFonts w:hint="eastAsia"/>
              </w:rPr>
              <w:t>1902年</w:t>
            </w:r>
          </w:p>
        </w:tc>
        <w:tc>
          <w:tcPr>
            <w:tcW w:w="582" w:type="pct"/>
            <w:vAlign w:val="center"/>
          </w:tcPr>
          <w:p w14:paraId="4F7BB243">
            <w:pPr>
              <w:pStyle w:val="12"/>
              <w:jc w:val="center"/>
            </w:pPr>
            <w:r>
              <w:rPr>
                <w:rFonts w:hint="eastAsia"/>
              </w:rPr>
              <w:t>乌迳镇</w:t>
            </w:r>
          </w:p>
        </w:tc>
        <w:tc>
          <w:tcPr>
            <w:tcW w:w="582" w:type="pct"/>
            <w:vAlign w:val="center"/>
          </w:tcPr>
          <w:p w14:paraId="028B006D">
            <w:pPr>
              <w:pStyle w:val="12"/>
              <w:jc w:val="center"/>
            </w:pPr>
            <w:r>
              <w:rPr>
                <w:rFonts w:hint="eastAsia"/>
              </w:rPr>
              <w:t>1926年</w:t>
            </w:r>
          </w:p>
        </w:tc>
        <w:tc>
          <w:tcPr>
            <w:tcW w:w="1066" w:type="pct"/>
            <w:vAlign w:val="center"/>
          </w:tcPr>
          <w:p w14:paraId="31678034">
            <w:pPr>
              <w:pStyle w:val="12"/>
              <w:jc w:val="left"/>
              <w:rPr>
                <w:rFonts w:ascii="宋体" w:hAnsi="宋体" w:cs="宋体"/>
              </w:rPr>
            </w:pPr>
            <w:r>
              <w:rPr>
                <w:rFonts w:hint="eastAsia"/>
              </w:rPr>
              <w:t>中共南雄县委委员</w:t>
            </w:r>
            <w:r>
              <w:rPr>
                <w:rFonts w:hint="eastAsia" w:ascii="宋体" w:hAnsi="宋体" w:cs="宋体"/>
              </w:rPr>
              <w:t>油山工作组长</w:t>
            </w:r>
          </w:p>
          <w:p w14:paraId="0FF3C65E">
            <w:pPr>
              <w:pStyle w:val="12"/>
              <w:jc w:val="left"/>
            </w:pPr>
            <w:r>
              <w:rPr>
                <w:rFonts w:hint="eastAsia" w:ascii="宋体" w:hAnsi="宋体" w:cs="宋体"/>
              </w:rPr>
              <w:t>中共大余县委书记</w:t>
            </w:r>
          </w:p>
        </w:tc>
        <w:tc>
          <w:tcPr>
            <w:tcW w:w="1160" w:type="pct"/>
            <w:vAlign w:val="center"/>
          </w:tcPr>
          <w:p w14:paraId="607A6107">
            <w:pPr>
              <w:pStyle w:val="12"/>
              <w:jc w:val="left"/>
            </w:pPr>
            <w:r>
              <w:rPr>
                <w:rFonts w:hint="eastAsia"/>
              </w:rPr>
              <w:t>1936年12月在江西大余县牺牲，有传</w:t>
            </w:r>
          </w:p>
        </w:tc>
      </w:tr>
      <w:tr w14:paraId="019056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4A7EFC1">
            <w:pPr>
              <w:pStyle w:val="12"/>
              <w:jc w:val="center"/>
            </w:pPr>
            <w:r>
              <w:rPr>
                <w:rFonts w:hint="eastAsia"/>
              </w:rPr>
              <w:t>叶朗琪</w:t>
            </w:r>
          </w:p>
        </w:tc>
        <w:tc>
          <w:tcPr>
            <w:tcW w:w="388" w:type="pct"/>
            <w:vAlign w:val="center"/>
          </w:tcPr>
          <w:p w14:paraId="33307D5E">
            <w:pPr>
              <w:pStyle w:val="12"/>
              <w:jc w:val="center"/>
            </w:pPr>
            <w:r>
              <w:rPr>
                <w:rFonts w:hint="eastAsia"/>
              </w:rPr>
              <w:t>男</w:t>
            </w:r>
          </w:p>
        </w:tc>
        <w:tc>
          <w:tcPr>
            <w:tcW w:w="582" w:type="pct"/>
            <w:vAlign w:val="center"/>
          </w:tcPr>
          <w:p w14:paraId="6ABBA646">
            <w:pPr>
              <w:pStyle w:val="12"/>
              <w:jc w:val="center"/>
            </w:pPr>
            <w:r>
              <w:rPr>
                <w:rFonts w:hint="eastAsia"/>
              </w:rPr>
              <w:t>1908年</w:t>
            </w:r>
          </w:p>
        </w:tc>
        <w:tc>
          <w:tcPr>
            <w:tcW w:w="582" w:type="pct"/>
            <w:vAlign w:val="center"/>
          </w:tcPr>
          <w:p w14:paraId="0E4CD23B">
            <w:pPr>
              <w:pStyle w:val="12"/>
              <w:jc w:val="center"/>
            </w:pPr>
            <w:r>
              <w:rPr>
                <w:rFonts w:hint="eastAsia"/>
              </w:rPr>
              <w:t>乌迳镇</w:t>
            </w:r>
          </w:p>
        </w:tc>
        <w:tc>
          <w:tcPr>
            <w:tcW w:w="582" w:type="pct"/>
            <w:vAlign w:val="center"/>
          </w:tcPr>
          <w:p w14:paraId="3BF9CEF1">
            <w:pPr>
              <w:pStyle w:val="12"/>
              <w:jc w:val="center"/>
            </w:pPr>
            <w:r>
              <w:rPr>
                <w:rFonts w:hint="eastAsia"/>
              </w:rPr>
              <w:t>1928年</w:t>
            </w:r>
          </w:p>
        </w:tc>
        <w:tc>
          <w:tcPr>
            <w:tcW w:w="1066" w:type="pct"/>
            <w:vAlign w:val="center"/>
          </w:tcPr>
          <w:p w14:paraId="4E646109">
            <w:pPr>
              <w:pStyle w:val="12"/>
              <w:jc w:val="left"/>
              <w:rPr>
                <w:rFonts w:ascii="宋体" w:hAnsi="宋体" w:cs="宋体"/>
              </w:rPr>
            </w:pPr>
            <w:r>
              <w:rPr>
                <w:rFonts w:hint="eastAsia"/>
              </w:rPr>
              <w:t>油山游击队</w:t>
            </w:r>
          </w:p>
          <w:p w14:paraId="4304D4AF">
            <w:pPr>
              <w:pStyle w:val="12"/>
              <w:jc w:val="left"/>
            </w:pPr>
            <w:r>
              <w:rPr>
                <w:rFonts w:hint="eastAsia" w:ascii="宋体" w:hAnsi="宋体" w:cs="宋体"/>
              </w:rPr>
              <w:t>中  队  长</w:t>
            </w:r>
          </w:p>
        </w:tc>
        <w:tc>
          <w:tcPr>
            <w:tcW w:w="1160" w:type="pct"/>
            <w:vAlign w:val="center"/>
          </w:tcPr>
          <w:p w14:paraId="450ADF21">
            <w:pPr>
              <w:pStyle w:val="12"/>
              <w:jc w:val="left"/>
            </w:pPr>
            <w:r>
              <w:rPr>
                <w:rFonts w:hint="eastAsia"/>
              </w:rPr>
              <w:t>1936年在孔江兰丘作战牺牲</w:t>
            </w:r>
          </w:p>
        </w:tc>
      </w:tr>
      <w:tr w14:paraId="5AC9B3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19C9049">
            <w:pPr>
              <w:pStyle w:val="12"/>
              <w:jc w:val="center"/>
            </w:pPr>
            <w:r>
              <w:rPr>
                <w:rFonts w:hint="eastAsia"/>
              </w:rPr>
              <w:t>郭长和</w:t>
            </w:r>
          </w:p>
        </w:tc>
        <w:tc>
          <w:tcPr>
            <w:tcW w:w="388" w:type="pct"/>
            <w:vAlign w:val="center"/>
          </w:tcPr>
          <w:p w14:paraId="347D21F6">
            <w:pPr>
              <w:pStyle w:val="12"/>
              <w:jc w:val="center"/>
            </w:pPr>
            <w:r>
              <w:rPr>
                <w:rFonts w:hint="eastAsia"/>
              </w:rPr>
              <w:t>男</w:t>
            </w:r>
          </w:p>
        </w:tc>
        <w:tc>
          <w:tcPr>
            <w:tcW w:w="582" w:type="pct"/>
            <w:vAlign w:val="center"/>
          </w:tcPr>
          <w:p w14:paraId="48E4FD9D">
            <w:pPr>
              <w:pStyle w:val="12"/>
              <w:jc w:val="center"/>
            </w:pPr>
            <w:r>
              <w:rPr>
                <w:rFonts w:hint="eastAsia"/>
              </w:rPr>
              <w:t>1905年</w:t>
            </w:r>
          </w:p>
        </w:tc>
        <w:tc>
          <w:tcPr>
            <w:tcW w:w="582" w:type="pct"/>
            <w:vAlign w:val="center"/>
          </w:tcPr>
          <w:p w14:paraId="4E69E68A">
            <w:pPr>
              <w:pStyle w:val="12"/>
              <w:jc w:val="center"/>
            </w:pPr>
            <w:r>
              <w:rPr>
                <w:rFonts w:hint="eastAsia"/>
              </w:rPr>
              <w:t>油山镇</w:t>
            </w:r>
          </w:p>
        </w:tc>
        <w:tc>
          <w:tcPr>
            <w:tcW w:w="582" w:type="pct"/>
            <w:vAlign w:val="center"/>
          </w:tcPr>
          <w:p w14:paraId="324A7E95">
            <w:pPr>
              <w:pStyle w:val="12"/>
              <w:jc w:val="center"/>
            </w:pPr>
            <w:r>
              <w:rPr>
                <w:rFonts w:hint="eastAsia"/>
              </w:rPr>
              <w:t>1928年</w:t>
            </w:r>
          </w:p>
        </w:tc>
        <w:tc>
          <w:tcPr>
            <w:tcW w:w="1066" w:type="pct"/>
            <w:vAlign w:val="center"/>
          </w:tcPr>
          <w:p w14:paraId="2CA25CD1">
            <w:pPr>
              <w:pStyle w:val="12"/>
              <w:jc w:val="left"/>
            </w:pPr>
            <w:r>
              <w:rPr>
                <w:rFonts w:hint="eastAsia"/>
              </w:rPr>
              <w:t>工农红军连长</w:t>
            </w:r>
          </w:p>
        </w:tc>
        <w:tc>
          <w:tcPr>
            <w:tcW w:w="1160" w:type="pct"/>
            <w:vAlign w:val="center"/>
          </w:tcPr>
          <w:p w14:paraId="2E654219">
            <w:pPr>
              <w:pStyle w:val="12"/>
              <w:jc w:val="left"/>
            </w:pPr>
            <w:r>
              <w:rPr>
                <w:rFonts w:hint="eastAsia"/>
              </w:rPr>
              <w:t>1936年在江西南康龙回战斗牺牲</w:t>
            </w:r>
          </w:p>
        </w:tc>
      </w:tr>
      <w:tr w14:paraId="551ECE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580A443">
            <w:pPr>
              <w:pStyle w:val="12"/>
              <w:jc w:val="center"/>
            </w:pPr>
            <w:r>
              <w:rPr>
                <w:rFonts w:hint="eastAsia"/>
              </w:rPr>
              <w:t>王德崇</w:t>
            </w:r>
          </w:p>
        </w:tc>
        <w:tc>
          <w:tcPr>
            <w:tcW w:w="388" w:type="pct"/>
            <w:vAlign w:val="center"/>
          </w:tcPr>
          <w:p w14:paraId="4BB27063">
            <w:pPr>
              <w:pStyle w:val="12"/>
              <w:jc w:val="center"/>
            </w:pPr>
            <w:r>
              <w:rPr>
                <w:rFonts w:hint="eastAsia"/>
              </w:rPr>
              <w:t>男</w:t>
            </w:r>
          </w:p>
        </w:tc>
        <w:tc>
          <w:tcPr>
            <w:tcW w:w="582" w:type="pct"/>
            <w:vAlign w:val="center"/>
          </w:tcPr>
          <w:p w14:paraId="48D7383E">
            <w:pPr>
              <w:pStyle w:val="12"/>
              <w:jc w:val="center"/>
            </w:pPr>
            <w:r>
              <w:rPr>
                <w:rFonts w:hint="eastAsia"/>
              </w:rPr>
              <w:t>1918年</w:t>
            </w:r>
          </w:p>
        </w:tc>
        <w:tc>
          <w:tcPr>
            <w:tcW w:w="582" w:type="pct"/>
            <w:vAlign w:val="center"/>
          </w:tcPr>
          <w:p w14:paraId="5DC82227">
            <w:pPr>
              <w:pStyle w:val="12"/>
              <w:jc w:val="center"/>
            </w:pPr>
            <w:r>
              <w:rPr>
                <w:rFonts w:hint="eastAsia"/>
              </w:rPr>
              <w:t>油山镇</w:t>
            </w:r>
          </w:p>
        </w:tc>
        <w:tc>
          <w:tcPr>
            <w:tcW w:w="582" w:type="pct"/>
            <w:vAlign w:val="center"/>
          </w:tcPr>
          <w:p w14:paraId="5A934AB0">
            <w:pPr>
              <w:pStyle w:val="12"/>
              <w:jc w:val="center"/>
            </w:pPr>
            <w:r>
              <w:rPr>
                <w:rFonts w:hint="eastAsia"/>
              </w:rPr>
              <w:t>1935年</w:t>
            </w:r>
          </w:p>
        </w:tc>
        <w:tc>
          <w:tcPr>
            <w:tcW w:w="1066" w:type="pct"/>
            <w:vAlign w:val="center"/>
          </w:tcPr>
          <w:p w14:paraId="3D571BE7">
            <w:pPr>
              <w:pStyle w:val="12"/>
              <w:jc w:val="left"/>
              <w:rPr>
                <w:rFonts w:ascii="宋体" w:hAnsi="宋体" w:cs="宋体"/>
              </w:rPr>
            </w:pPr>
            <w:r>
              <w:rPr>
                <w:rFonts w:hint="eastAsia"/>
              </w:rPr>
              <w:t>油山游击队</w:t>
            </w:r>
          </w:p>
          <w:p w14:paraId="3701881B">
            <w:pPr>
              <w:pStyle w:val="12"/>
              <w:jc w:val="left"/>
            </w:pPr>
            <w:r>
              <w:rPr>
                <w:rFonts w:hint="eastAsia" w:ascii="宋体" w:hAnsi="宋体" w:cs="宋体"/>
              </w:rPr>
              <w:t>侦  察  员</w:t>
            </w:r>
          </w:p>
        </w:tc>
        <w:tc>
          <w:tcPr>
            <w:tcW w:w="1160" w:type="pct"/>
            <w:vAlign w:val="center"/>
          </w:tcPr>
          <w:p w14:paraId="147B43AB">
            <w:pPr>
              <w:pStyle w:val="12"/>
              <w:jc w:val="left"/>
            </w:pPr>
            <w:r>
              <w:rPr>
                <w:rFonts w:hint="eastAsia"/>
              </w:rPr>
              <w:t>1936年在上庄田被捕在邓坊就义</w:t>
            </w:r>
          </w:p>
        </w:tc>
      </w:tr>
      <w:tr w14:paraId="4283D73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FCFAFDC">
            <w:pPr>
              <w:pStyle w:val="12"/>
              <w:jc w:val="center"/>
            </w:pPr>
            <w:r>
              <w:rPr>
                <w:rFonts w:hint="eastAsia"/>
              </w:rPr>
              <w:t>李癸生</w:t>
            </w:r>
          </w:p>
        </w:tc>
        <w:tc>
          <w:tcPr>
            <w:tcW w:w="388" w:type="pct"/>
            <w:vAlign w:val="center"/>
          </w:tcPr>
          <w:p w14:paraId="2B627E04">
            <w:pPr>
              <w:pStyle w:val="12"/>
              <w:jc w:val="center"/>
            </w:pPr>
            <w:r>
              <w:rPr>
                <w:rFonts w:hint="eastAsia"/>
              </w:rPr>
              <w:t>男</w:t>
            </w:r>
          </w:p>
        </w:tc>
        <w:tc>
          <w:tcPr>
            <w:tcW w:w="582" w:type="pct"/>
            <w:vAlign w:val="center"/>
          </w:tcPr>
          <w:p w14:paraId="55792081">
            <w:pPr>
              <w:pStyle w:val="12"/>
              <w:jc w:val="center"/>
            </w:pPr>
            <w:r>
              <w:rPr>
                <w:rFonts w:hint="eastAsia"/>
              </w:rPr>
              <w:t>1912年</w:t>
            </w:r>
          </w:p>
        </w:tc>
        <w:tc>
          <w:tcPr>
            <w:tcW w:w="582" w:type="pct"/>
            <w:vAlign w:val="center"/>
          </w:tcPr>
          <w:p w14:paraId="66A03393">
            <w:pPr>
              <w:pStyle w:val="12"/>
              <w:jc w:val="center"/>
            </w:pPr>
            <w:r>
              <w:rPr>
                <w:rFonts w:hint="eastAsia"/>
              </w:rPr>
              <w:t>油山镇</w:t>
            </w:r>
          </w:p>
        </w:tc>
        <w:tc>
          <w:tcPr>
            <w:tcW w:w="582" w:type="pct"/>
            <w:vAlign w:val="center"/>
          </w:tcPr>
          <w:p w14:paraId="296B4ECB">
            <w:pPr>
              <w:pStyle w:val="12"/>
              <w:jc w:val="center"/>
            </w:pPr>
            <w:r>
              <w:rPr>
                <w:rFonts w:hint="eastAsia"/>
              </w:rPr>
              <w:t>1932年</w:t>
            </w:r>
          </w:p>
        </w:tc>
        <w:tc>
          <w:tcPr>
            <w:tcW w:w="1066" w:type="pct"/>
            <w:vAlign w:val="center"/>
          </w:tcPr>
          <w:p w14:paraId="3815DEB5">
            <w:pPr>
              <w:pStyle w:val="12"/>
              <w:jc w:val="left"/>
            </w:pPr>
            <w:r>
              <w:rPr>
                <w:rFonts w:hint="eastAsia"/>
              </w:rPr>
              <w:t>红军26纵队战士</w:t>
            </w:r>
          </w:p>
        </w:tc>
        <w:tc>
          <w:tcPr>
            <w:tcW w:w="1160" w:type="pct"/>
            <w:vAlign w:val="center"/>
          </w:tcPr>
          <w:p w14:paraId="75F288E0">
            <w:pPr>
              <w:pStyle w:val="12"/>
              <w:jc w:val="left"/>
            </w:pPr>
            <w:r>
              <w:rPr>
                <w:rFonts w:hint="eastAsia"/>
              </w:rPr>
              <w:t>1936年在曲江县战斗中牺牲</w:t>
            </w:r>
          </w:p>
        </w:tc>
      </w:tr>
      <w:tr w14:paraId="7E01E57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03C41F8">
            <w:pPr>
              <w:pStyle w:val="12"/>
              <w:jc w:val="center"/>
            </w:pPr>
            <w:r>
              <w:rPr>
                <w:rFonts w:hint="eastAsia"/>
              </w:rPr>
              <w:t>邓事瑶</w:t>
            </w:r>
          </w:p>
        </w:tc>
        <w:tc>
          <w:tcPr>
            <w:tcW w:w="388" w:type="pct"/>
            <w:vAlign w:val="center"/>
          </w:tcPr>
          <w:p w14:paraId="5B1CCBD3">
            <w:pPr>
              <w:pStyle w:val="12"/>
              <w:jc w:val="center"/>
            </w:pPr>
            <w:r>
              <w:rPr>
                <w:rFonts w:hint="eastAsia"/>
              </w:rPr>
              <w:t>男</w:t>
            </w:r>
          </w:p>
        </w:tc>
        <w:tc>
          <w:tcPr>
            <w:tcW w:w="582" w:type="pct"/>
            <w:vAlign w:val="center"/>
          </w:tcPr>
          <w:p w14:paraId="2E1D690F">
            <w:pPr>
              <w:pStyle w:val="12"/>
              <w:jc w:val="center"/>
            </w:pPr>
            <w:r>
              <w:rPr>
                <w:rFonts w:hint="eastAsia"/>
              </w:rPr>
              <w:t>1905年</w:t>
            </w:r>
          </w:p>
        </w:tc>
        <w:tc>
          <w:tcPr>
            <w:tcW w:w="582" w:type="pct"/>
            <w:vAlign w:val="center"/>
          </w:tcPr>
          <w:p w14:paraId="07BA622B">
            <w:pPr>
              <w:pStyle w:val="12"/>
              <w:jc w:val="center"/>
            </w:pPr>
            <w:r>
              <w:rPr>
                <w:rFonts w:hint="eastAsia"/>
              </w:rPr>
              <w:t>乌迳镇</w:t>
            </w:r>
          </w:p>
        </w:tc>
        <w:tc>
          <w:tcPr>
            <w:tcW w:w="582" w:type="pct"/>
            <w:vAlign w:val="center"/>
          </w:tcPr>
          <w:p w14:paraId="3D9A5D32">
            <w:pPr>
              <w:pStyle w:val="12"/>
              <w:jc w:val="center"/>
            </w:pPr>
            <w:r>
              <w:rPr>
                <w:rFonts w:hint="eastAsia"/>
              </w:rPr>
              <w:t>1933年</w:t>
            </w:r>
          </w:p>
        </w:tc>
        <w:tc>
          <w:tcPr>
            <w:tcW w:w="1066" w:type="pct"/>
            <w:vAlign w:val="center"/>
          </w:tcPr>
          <w:p w14:paraId="47AE12C1">
            <w:pPr>
              <w:pStyle w:val="12"/>
              <w:jc w:val="left"/>
            </w:pPr>
            <w:r>
              <w:rPr>
                <w:rFonts w:hint="eastAsia"/>
              </w:rPr>
              <w:t>南山游击队队员</w:t>
            </w:r>
          </w:p>
        </w:tc>
        <w:tc>
          <w:tcPr>
            <w:tcW w:w="1160" w:type="pct"/>
            <w:vAlign w:val="center"/>
          </w:tcPr>
          <w:p w14:paraId="451B2CCD">
            <w:pPr>
              <w:pStyle w:val="12"/>
              <w:jc w:val="left"/>
            </w:pPr>
            <w:r>
              <w:rPr>
                <w:rFonts w:hint="eastAsia"/>
              </w:rPr>
              <w:t>1936年在龙口新圩坝被捕就义</w:t>
            </w:r>
          </w:p>
        </w:tc>
      </w:tr>
      <w:tr w14:paraId="21BCC3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7244BA1">
            <w:pPr>
              <w:pStyle w:val="12"/>
              <w:jc w:val="center"/>
            </w:pPr>
            <w:r>
              <w:rPr>
                <w:rFonts w:hint="eastAsia"/>
              </w:rPr>
              <w:t>郑伯伦</w:t>
            </w:r>
          </w:p>
        </w:tc>
        <w:tc>
          <w:tcPr>
            <w:tcW w:w="388" w:type="pct"/>
            <w:vAlign w:val="center"/>
          </w:tcPr>
          <w:p w14:paraId="2524FF98">
            <w:pPr>
              <w:pStyle w:val="12"/>
              <w:jc w:val="center"/>
            </w:pPr>
            <w:r>
              <w:rPr>
                <w:rFonts w:hint="eastAsia"/>
              </w:rPr>
              <w:t>男</w:t>
            </w:r>
          </w:p>
        </w:tc>
        <w:tc>
          <w:tcPr>
            <w:tcW w:w="582" w:type="pct"/>
            <w:vAlign w:val="center"/>
          </w:tcPr>
          <w:p w14:paraId="0AAC8B23">
            <w:pPr>
              <w:pStyle w:val="12"/>
              <w:jc w:val="center"/>
            </w:pPr>
            <w:r>
              <w:rPr>
                <w:rFonts w:hint="eastAsia"/>
              </w:rPr>
              <w:t>1898年</w:t>
            </w:r>
          </w:p>
        </w:tc>
        <w:tc>
          <w:tcPr>
            <w:tcW w:w="582" w:type="pct"/>
            <w:vAlign w:val="center"/>
          </w:tcPr>
          <w:p w14:paraId="7E061AB5">
            <w:pPr>
              <w:pStyle w:val="12"/>
              <w:jc w:val="center"/>
            </w:pPr>
            <w:r>
              <w:rPr>
                <w:rFonts w:hint="eastAsia"/>
              </w:rPr>
              <w:t>乌迳镇</w:t>
            </w:r>
          </w:p>
        </w:tc>
        <w:tc>
          <w:tcPr>
            <w:tcW w:w="582" w:type="pct"/>
            <w:vAlign w:val="center"/>
          </w:tcPr>
          <w:p w14:paraId="4DB8CC46">
            <w:pPr>
              <w:pStyle w:val="12"/>
              <w:jc w:val="center"/>
            </w:pPr>
            <w:r>
              <w:rPr>
                <w:rFonts w:hint="eastAsia"/>
              </w:rPr>
              <w:t>1927年</w:t>
            </w:r>
          </w:p>
        </w:tc>
        <w:tc>
          <w:tcPr>
            <w:tcW w:w="1066" w:type="pct"/>
            <w:vAlign w:val="center"/>
          </w:tcPr>
          <w:p w14:paraId="673821D5">
            <w:pPr>
              <w:pStyle w:val="12"/>
              <w:jc w:val="left"/>
            </w:pPr>
            <w:r>
              <w:rPr>
                <w:rFonts w:hint="eastAsia"/>
              </w:rPr>
              <w:t>粤赣边军事委员</w:t>
            </w:r>
          </w:p>
        </w:tc>
        <w:tc>
          <w:tcPr>
            <w:tcW w:w="1160" w:type="pct"/>
            <w:vAlign w:val="center"/>
          </w:tcPr>
          <w:p w14:paraId="0FB1B7C8">
            <w:pPr>
              <w:pStyle w:val="12"/>
              <w:jc w:val="left"/>
            </w:pPr>
            <w:r>
              <w:rPr>
                <w:rFonts w:hint="eastAsia"/>
              </w:rPr>
              <w:t>1936年在一次突围战斗中牺牲</w:t>
            </w:r>
          </w:p>
        </w:tc>
      </w:tr>
      <w:tr w14:paraId="4A1B25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D47CA20">
            <w:pPr>
              <w:pStyle w:val="12"/>
              <w:jc w:val="center"/>
            </w:pPr>
            <w:r>
              <w:rPr>
                <w:rFonts w:hint="eastAsia"/>
              </w:rPr>
              <w:t>张祥麟</w:t>
            </w:r>
          </w:p>
        </w:tc>
        <w:tc>
          <w:tcPr>
            <w:tcW w:w="388" w:type="pct"/>
            <w:vAlign w:val="center"/>
          </w:tcPr>
          <w:p w14:paraId="0AF2A5E9">
            <w:pPr>
              <w:pStyle w:val="12"/>
              <w:jc w:val="center"/>
            </w:pPr>
            <w:r>
              <w:rPr>
                <w:rFonts w:hint="eastAsia"/>
              </w:rPr>
              <w:t>男</w:t>
            </w:r>
          </w:p>
        </w:tc>
        <w:tc>
          <w:tcPr>
            <w:tcW w:w="582" w:type="pct"/>
            <w:vAlign w:val="center"/>
          </w:tcPr>
          <w:p w14:paraId="409A983C">
            <w:pPr>
              <w:pStyle w:val="12"/>
              <w:jc w:val="center"/>
            </w:pPr>
            <w:r>
              <w:rPr>
                <w:rFonts w:hint="eastAsia"/>
              </w:rPr>
              <w:t>1914年</w:t>
            </w:r>
          </w:p>
        </w:tc>
        <w:tc>
          <w:tcPr>
            <w:tcW w:w="582" w:type="pct"/>
            <w:vAlign w:val="center"/>
          </w:tcPr>
          <w:p w14:paraId="33B2E858">
            <w:pPr>
              <w:pStyle w:val="12"/>
              <w:jc w:val="center"/>
            </w:pPr>
            <w:r>
              <w:rPr>
                <w:rFonts w:hint="eastAsia"/>
              </w:rPr>
              <w:t>湖口镇</w:t>
            </w:r>
          </w:p>
        </w:tc>
        <w:tc>
          <w:tcPr>
            <w:tcW w:w="582" w:type="pct"/>
            <w:vAlign w:val="center"/>
          </w:tcPr>
          <w:p w14:paraId="2B7B1C27">
            <w:pPr>
              <w:pStyle w:val="12"/>
              <w:jc w:val="center"/>
            </w:pPr>
            <w:r>
              <w:rPr>
                <w:rFonts w:hint="eastAsia"/>
              </w:rPr>
              <w:t>1934年</w:t>
            </w:r>
          </w:p>
        </w:tc>
        <w:tc>
          <w:tcPr>
            <w:tcW w:w="1066" w:type="pct"/>
            <w:vAlign w:val="center"/>
          </w:tcPr>
          <w:p w14:paraId="28D6F45F">
            <w:pPr>
              <w:pStyle w:val="12"/>
              <w:jc w:val="left"/>
            </w:pPr>
            <w:r>
              <w:rPr>
                <w:rFonts w:hint="eastAsia"/>
              </w:rPr>
              <w:t>红军26纵队战士</w:t>
            </w:r>
          </w:p>
        </w:tc>
        <w:tc>
          <w:tcPr>
            <w:tcW w:w="1160" w:type="pct"/>
            <w:vAlign w:val="center"/>
          </w:tcPr>
          <w:p w14:paraId="18B50B50">
            <w:pPr>
              <w:pStyle w:val="12"/>
              <w:jc w:val="left"/>
            </w:pPr>
            <w:r>
              <w:rPr>
                <w:rFonts w:hint="eastAsia"/>
              </w:rPr>
              <w:t>1936年在江西九江战斗牺牲</w:t>
            </w:r>
          </w:p>
        </w:tc>
      </w:tr>
      <w:tr w14:paraId="09921D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ADA80C6">
            <w:pPr>
              <w:pStyle w:val="12"/>
              <w:jc w:val="center"/>
            </w:pPr>
            <w:r>
              <w:rPr>
                <w:rFonts w:hint="eastAsia"/>
              </w:rPr>
              <w:t>赖水石生</w:t>
            </w:r>
          </w:p>
        </w:tc>
        <w:tc>
          <w:tcPr>
            <w:tcW w:w="388" w:type="pct"/>
            <w:vAlign w:val="center"/>
          </w:tcPr>
          <w:p w14:paraId="47981444">
            <w:pPr>
              <w:pStyle w:val="12"/>
              <w:jc w:val="center"/>
            </w:pPr>
            <w:r>
              <w:rPr>
                <w:rFonts w:hint="eastAsia"/>
              </w:rPr>
              <w:t>男</w:t>
            </w:r>
          </w:p>
        </w:tc>
        <w:tc>
          <w:tcPr>
            <w:tcW w:w="582" w:type="pct"/>
            <w:vAlign w:val="center"/>
          </w:tcPr>
          <w:p w14:paraId="46BC3DAF">
            <w:pPr>
              <w:pStyle w:val="12"/>
              <w:jc w:val="center"/>
            </w:pPr>
            <w:r>
              <w:rPr>
                <w:rFonts w:hint="eastAsia"/>
              </w:rPr>
              <w:t>1883年</w:t>
            </w:r>
          </w:p>
        </w:tc>
        <w:tc>
          <w:tcPr>
            <w:tcW w:w="582" w:type="pct"/>
            <w:vAlign w:val="center"/>
          </w:tcPr>
          <w:p w14:paraId="034FD7BD">
            <w:pPr>
              <w:pStyle w:val="12"/>
              <w:jc w:val="center"/>
            </w:pPr>
            <w:r>
              <w:rPr>
                <w:rFonts w:hint="eastAsia"/>
              </w:rPr>
              <w:t>珠玑镇</w:t>
            </w:r>
          </w:p>
        </w:tc>
        <w:tc>
          <w:tcPr>
            <w:tcW w:w="582" w:type="pct"/>
            <w:vAlign w:val="center"/>
          </w:tcPr>
          <w:p w14:paraId="421A9B65">
            <w:pPr>
              <w:pStyle w:val="12"/>
              <w:jc w:val="center"/>
            </w:pPr>
            <w:r>
              <w:rPr>
                <w:rFonts w:hint="eastAsia"/>
              </w:rPr>
              <w:t>1927年</w:t>
            </w:r>
          </w:p>
        </w:tc>
        <w:tc>
          <w:tcPr>
            <w:tcW w:w="1066" w:type="pct"/>
            <w:vAlign w:val="center"/>
          </w:tcPr>
          <w:p w14:paraId="75D31ED5">
            <w:pPr>
              <w:pStyle w:val="12"/>
              <w:jc w:val="left"/>
            </w:pPr>
            <w:r>
              <w:rPr>
                <w:rFonts w:hint="eastAsia"/>
              </w:rPr>
              <w:t>红军26纵队战士</w:t>
            </w:r>
          </w:p>
        </w:tc>
        <w:tc>
          <w:tcPr>
            <w:tcW w:w="1160" w:type="pct"/>
            <w:vAlign w:val="center"/>
          </w:tcPr>
          <w:p w14:paraId="3E232BD5">
            <w:pPr>
              <w:pStyle w:val="12"/>
              <w:jc w:val="left"/>
            </w:pPr>
            <w:r>
              <w:rPr>
                <w:rFonts w:hint="eastAsia"/>
              </w:rPr>
              <w:t>1936年5月29日在牛岭作战牺牲</w:t>
            </w:r>
          </w:p>
        </w:tc>
      </w:tr>
      <w:tr w14:paraId="2816A04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8B34E66">
            <w:pPr>
              <w:pStyle w:val="12"/>
              <w:jc w:val="center"/>
            </w:pPr>
            <w:r>
              <w:rPr>
                <w:rFonts w:hint="eastAsia"/>
              </w:rPr>
              <w:t>谢国伦</w:t>
            </w:r>
          </w:p>
        </w:tc>
        <w:tc>
          <w:tcPr>
            <w:tcW w:w="388" w:type="pct"/>
            <w:vAlign w:val="center"/>
          </w:tcPr>
          <w:p w14:paraId="0EB47033">
            <w:pPr>
              <w:pStyle w:val="12"/>
              <w:jc w:val="center"/>
            </w:pPr>
            <w:r>
              <w:rPr>
                <w:rFonts w:hint="eastAsia"/>
              </w:rPr>
              <w:t>男</w:t>
            </w:r>
          </w:p>
        </w:tc>
        <w:tc>
          <w:tcPr>
            <w:tcW w:w="582" w:type="pct"/>
            <w:vAlign w:val="center"/>
          </w:tcPr>
          <w:p w14:paraId="1169D73E">
            <w:pPr>
              <w:pStyle w:val="12"/>
              <w:jc w:val="center"/>
            </w:pPr>
            <w:r>
              <w:rPr>
                <w:rFonts w:hint="eastAsia"/>
              </w:rPr>
              <w:t>1894年</w:t>
            </w:r>
          </w:p>
        </w:tc>
        <w:tc>
          <w:tcPr>
            <w:tcW w:w="582" w:type="pct"/>
            <w:vAlign w:val="center"/>
          </w:tcPr>
          <w:p w14:paraId="6CFDE98E">
            <w:pPr>
              <w:pStyle w:val="12"/>
              <w:jc w:val="center"/>
            </w:pPr>
            <w:r>
              <w:rPr>
                <w:rFonts w:hint="eastAsia"/>
              </w:rPr>
              <w:t>水口镇</w:t>
            </w:r>
          </w:p>
        </w:tc>
        <w:tc>
          <w:tcPr>
            <w:tcW w:w="582" w:type="pct"/>
            <w:vAlign w:val="center"/>
          </w:tcPr>
          <w:p w14:paraId="6AF749F0">
            <w:pPr>
              <w:pStyle w:val="12"/>
              <w:jc w:val="center"/>
            </w:pPr>
            <w:r>
              <w:rPr>
                <w:rFonts w:hint="eastAsia"/>
              </w:rPr>
              <w:t>1936年</w:t>
            </w:r>
          </w:p>
        </w:tc>
        <w:tc>
          <w:tcPr>
            <w:tcW w:w="1066" w:type="pct"/>
            <w:vAlign w:val="center"/>
          </w:tcPr>
          <w:p w14:paraId="0B52CFB9">
            <w:pPr>
              <w:pStyle w:val="12"/>
              <w:jc w:val="left"/>
            </w:pPr>
            <w:r>
              <w:rPr>
                <w:rFonts w:hint="eastAsia"/>
              </w:rPr>
              <w:t>南山游击队队员</w:t>
            </w:r>
          </w:p>
        </w:tc>
        <w:tc>
          <w:tcPr>
            <w:tcW w:w="1160" w:type="pct"/>
            <w:vAlign w:val="center"/>
          </w:tcPr>
          <w:p w14:paraId="5E619340">
            <w:pPr>
              <w:pStyle w:val="12"/>
              <w:jc w:val="left"/>
            </w:pPr>
            <w:r>
              <w:rPr>
                <w:rFonts w:hint="eastAsia"/>
              </w:rPr>
              <w:t>1936年底在水口矮岭被捕就义</w:t>
            </w:r>
          </w:p>
        </w:tc>
      </w:tr>
      <w:tr w14:paraId="0B22C5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7638B88">
            <w:pPr>
              <w:pStyle w:val="12"/>
              <w:jc w:val="center"/>
            </w:pPr>
            <w:r>
              <w:rPr>
                <w:rFonts w:hint="eastAsia"/>
              </w:rPr>
              <w:t>郭纪文</w:t>
            </w:r>
          </w:p>
        </w:tc>
        <w:tc>
          <w:tcPr>
            <w:tcW w:w="388" w:type="pct"/>
            <w:vAlign w:val="center"/>
          </w:tcPr>
          <w:p w14:paraId="1DADA121">
            <w:pPr>
              <w:pStyle w:val="12"/>
              <w:jc w:val="center"/>
            </w:pPr>
            <w:r>
              <w:rPr>
                <w:rFonts w:hint="eastAsia"/>
              </w:rPr>
              <w:t>男</w:t>
            </w:r>
          </w:p>
        </w:tc>
        <w:tc>
          <w:tcPr>
            <w:tcW w:w="582" w:type="pct"/>
            <w:vAlign w:val="center"/>
          </w:tcPr>
          <w:p w14:paraId="0189D390">
            <w:pPr>
              <w:pStyle w:val="12"/>
              <w:jc w:val="center"/>
            </w:pPr>
            <w:r>
              <w:rPr>
                <w:rFonts w:hint="eastAsia"/>
              </w:rPr>
              <w:t>1906年</w:t>
            </w:r>
          </w:p>
        </w:tc>
        <w:tc>
          <w:tcPr>
            <w:tcW w:w="582" w:type="pct"/>
            <w:vAlign w:val="center"/>
          </w:tcPr>
          <w:p w14:paraId="12BD6034">
            <w:pPr>
              <w:pStyle w:val="12"/>
              <w:jc w:val="center"/>
            </w:pPr>
            <w:r>
              <w:rPr>
                <w:rFonts w:hint="eastAsia"/>
              </w:rPr>
              <w:t>油山镇</w:t>
            </w:r>
          </w:p>
        </w:tc>
        <w:tc>
          <w:tcPr>
            <w:tcW w:w="582" w:type="pct"/>
            <w:vAlign w:val="center"/>
          </w:tcPr>
          <w:p w14:paraId="5003161D">
            <w:pPr>
              <w:pStyle w:val="12"/>
              <w:jc w:val="center"/>
            </w:pPr>
            <w:r>
              <w:rPr>
                <w:rFonts w:hint="eastAsia"/>
              </w:rPr>
              <w:t>1928年</w:t>
            </w:r>
          </w:p>
        </w:tc>
        <w:tc>
          <w:tcPr>
            <w:tcW w:w="1066" w:type="pct"/>
            <w:vAlign w:val="center"/>
          </w:tcPr>
          <w:p w14:paraId="3E76B328">
            <w:pPr>
              <w:pStyle w:val="12"/>
              <w:jc w:val="left"/>
            </w:pPr>
            <w:r>
              <w:rPr>
                <w:rFonts w:hint="eastAsia"/>
              </w:rPr>
              <w:t>工农红军排长</w:t>
            </w:r>
          </w:p>
        </w:tc>
        <w:tc>
          <w:tcPr>
            <w:tcW w:w="1160" w:type="pct"/>
            <w:vAlign w:val="center"/>
          </w:tcPr>
          <w:p w14:paraId="028BB2AA">
            <w:pPr>
              <w:pStyle w:val="12"/>
              <w:jc w:val="left"/>
            </w:pPr>
            <w:r>
              <w:rPr>
                <w:rFonts w:hint="eastAsia"/>
              </w:rPr>
              <w:t>1937年在福建漳州作战牺牲</w:t>
            </w:r>
          </w:p>
        </w:tc>
      </w:tr>
      <w:tr w14:paraId="0D3C15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D939497">
            <w:pPr>
              <w:pStyle w:val="12"/>
              <w:jc w:val="center"/>
            </w:pPr>
            <w:r>
              <w:rPr>
                <w:rFonts w:hint="eastAsia"/>
              </w:rPr>
              <w:t>池应培</w:t>
            </w:r>
          </w:p>
        </w:tc>
        <w:tc>
          <w:tcPr>
            <w:tcW w:w="388" w:type="pct"/>
            <w:vAlign w:val="center"/>
          </w:tcPr>
          <w:p w14:paraId="5AAB1788">
            <w:pPr>
              <w:pStyle w:val="12"/>
              <w:jc w:val="center"/>
            </w:pPr>
            <w:r>
              <w:rPr>
                <w:rFonts w:hint="eastAsia"/>
              </w:rPr>
              <w:t>男</w:t>
            </w:r>
          </w:p>
        </w:tc>
        <w:tc>
          <w:tcPr>
            <w:tcW w:w="582" w:type="pct"/>
            <w:vAlign w:val="center"/>
          </w:tcPr>
          <w:p w14:paraId="0CC3A75E">
            <w:pPr>
              <w:pStyle w:val="12"/>
              <w:jc w:val="center"/>
            </w:pPr>
            <w:r>
              <w:rPr>
                <w:rFonts w:hint="eastAsia"/>
              </w:rPr>
              <w:t>1892年</w:t>
            </w:r>
          </w:p>
        </w:tc>
        <w:tc>
          <w:tcPr>
            <w:tcW w:w="582" w:type="pct"/>
            <w:vAlign w:val="center"/>
          </w:tcPr>
          <w:p w14:paraId="1C7624CA">
            <w:pPr>
              <w:pStyle w:val="12"/>
              <w:jc w:val="center"/>
            </w:pPr>
            <w:r>
              <w:rPr>
                <w:rFonts w:hint="eastAsia"/>
              </w:rPr>
              <w:t>珠玑镇</w:t>
            </w:r>
          </w:p>
        </w:tc>
        <w:tc>
          <w:tcPr>
            <w:tcW w:w="582" w:type="pct"/>
            <w:vAlign w:val="center"/>
          </w:tcPr>
          <w:p w14:paraId="0707ABDB">
            <w:pPr>
              <w:pStyle w:val="12"/>
              <w:jc w:val="center"/>
            </w:pPr>
            <w:r>
              <w:rPr>
                <w:rFonts w:hint="eastAsia"/>
              </w:rPr>
              <w:t>1928年</w:t>
            </w:r>
          </w:p>
        </w:tc>
        <w:tc>
          <w:tcPr>
            <w:tcW w:w="1066" w:type="pct"/>
            <w:vAlign w:val="center"/>
          </w:tcPr>
          <w:p w14:paraId="4769F1B6">
            <w:pPr>
              <w:pStyle w:val="12"/>
              <w:jc w:val="left"/>
            </w:pPr>
            <w:r>
              <w:rPr>
                <w:rFonts w:hint="eastAsia"/>
              </w:rPr>
              <w:t>油山游击队队员</w:t>
            </w:r>
          </w:p>
        </w:tc>
        <w:tc>
          <w:tcPr>
            <w:tcW w:w="1160" w:type="pct"/>
            <w:vAlign w:val="center"/>
          </w:tcPr>
          <w:p w14:paraId="3B102011">
            <w:pPr>
              <w:pStyle w:val="12"/>
              <w:jc w:val="left"/>
            </w:pPr>
            <w:r>
              <w:rPr>
                <w:rFonts w:hint="eastAsia"/>
              </w:rPr>
              <w:t>1937年因叛徒出卖被捕，于邓坊就义</w:t>
            </w:r>
          </w:p>
        </w:tc>
      </w:tr>
      <w:tr w14:paraId="44059A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0E6489C">
            <w:pPr>
              <w:pStyle w:val="12"/>
              <w:jc w:val="center"/>
            </w:pPr>
            <w:r>
              <w:rPr>
                <w:rFonts w:hint="eastAsia"/>
              </w:rPr>
              <w:t>曾照修</w:t>
            </w:r>
          </w:p>
        </w:tc>
        <w:tc>
          <w:tcPr>
            <w:tcW w:w="388" w:type="pct"/>
            <w:vAlign w:val="center"/>
          </w:tcPr>
          <w:p w14:paraId="433CDCCA">
            <w:pPr>
              <w:pStyle w:val="12"/>
              <w:jc w:val="center"/>
            </w:pPr>
            <w:r>
              <w:rPr>
                <w:rFonts w:hint="eastAsia"/>
              </w:rPr>
              <w:t>男</w:t>
            </w:r>
          </w:p>
        </w:tc>
        <w:tc>
          <w:tcPr>
            <w:tcW w:w="582" w:type="pct"/>
            <w:vAlign w:val="center"/>
          </w:tcPr>
          <w:p w14:paraId="33212AA6">
            <w:pPr>
              <w:pStyle w:val="12"/>
              <w:jc w:val="center"/>
            </w:pPr>
            <w:r>
              <w:rPr>
                <w:rFonts w:hint="eastAsia"/>
              </w:rPr>
              <w:t>1892年</w:t>
            </w:r>
          </w:p>
        </w:tc>
        <w:tc>
          <w:tcPr>
            <w:tcW w:w="582" w:type="pct"/>
            <w:vAlign w:val="center"/>
          </w:tcPr>
          <w:p w14:paraId="1BFF256F">
            <w:pPr>
              <w:pStyle w:val="12"/>
              <w:jc w:val="center"/>
            </w:pPr>
            <w:r>
              <w:rPr>
                <w:rFonts w:hint="eastAsia"/>
              </w:rPr>
              <w:t>珠玑镇</w:t>
            </w:r>
          </w:p>
        </w:tc>
        <w:tc>
          <w:tcPr>
            <w:tcW w:w="582" w:type="pct"/>
            <w:vAlign w:val="center"/>
          </w:tcPr>
          <w:p w14:paraId="727DB8D4">
            <w:pPr>
              <w:pStyle w:val="12"/>
              <w:jc w:val="center"/>
            </w:pPr>
            <w:r>
              <w:rPr>
                <w:rFonts w:hint="eastAsia"/>
              </w:rPr>
              <w:t>1929年</w:t>
            </w:r>
          </w:p>
        </w:tc>
        <w:tc>
          <w:tcPr>
            <w:tcW w:w="1066" w:type="pct"/>
            <w:vAlign w:val="center"/>
          </w:tcPr>
          <w:p w14:paraId="2C42BA37">
            <w:pPr>
              <w:pStyle w:val="12"/>
              <w:jc w:val="left"/>
            </w:pPr>
            <w:r>
              <w:rPr>
                <w:rFonts w:hint="eastAsia"/>
              </w:rPr>
              <w:t>油山游击队队员</w:t>
            </w:r>
          </w:p>
        </w:tc>
        <w:tc>
          <w:tcPr>
            <w:tcW w:w="1160" w:type="pct"/>
            <w:vAlign w:val="center"/>
          </w:tcPr>
          <w:p w14:paraId="482F463D">
            <w:pPr>
              <w:pStyle w:val="12"/>
              <w:jc w:val="left"/>
            </w:pPr>
            <w:r>
              <w:rPr>
                <w:rFonts w:hint="eastAsia"/>
              </w:rPr>
              <w:t>1937年因叛徒出卖被捕，于邓坊就义</w:t>
            </w:r>
          </w:p>
        </w:tc>
      </w:tr>
      <w:tr w14:paraId="6F91FFC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D076179">
            <w:pPr>
              <w:pStyle w:val="12"/>
              <w:jc w:val="center"/>
            </w:pPr>
            <w:r>
              <w:rPr>
                <w:rFonts w:hint="eastAsia"/>
              </w:rPr>
              <w:t>池达财</w:t>
            </w:r>
          </w:p>
        </w:tc>
        <w:tc>
          <w:tcPr>
            <w:tcW w:w="388" w:type="pct"/>
            <w:vAlign w:val="center"/>
          </w:tcPr>
          <w:p w14:paraId="620CA8A9">
            <w:pPr>
              <w:pStyle w:val="12"/>
              <w:jc w:val="center"/>
            </w:pPr>
            <w:r>
              <w:rPr>
                <w:rFonts w:hint="eastAsia"/>
              </w:rPr>
              <w:t>男</w:t>
            </w:r>
          </w:p>
        </w:tc>
        <w:tc>
          <w:tcPr>
            <w:tcW w:w="582" w:type="pct"/>
            <w:vAlign w:val="center"/>
          </w:tcPr>
          <w:p w14:paraId="1EE901A9">
            <w:pPr>
              <w:pStyle w:val="12"/>
              <w:jc w:val="center"/>
            </w:pPr>
            <w:r>
              <w:rPr>
                <w:rFonts w:hint="eastAsia"/>
              </w:rPr>
              <w:t>1908年</w:t>
            </w:r>
          </w:p>
        </w:tc>
        <w:tc>
          <w:tcPr>
            <w:tcW w:w="582" w:type="pct"/>
            <w:vAlign w:val="center"/>
          </w:tcPr>
          <w:p w14:paraId="77D7A74E">
            <w:pPr>
              <w:pStyle w:val="12"/>
              <w:jc w:val="center"/>
            </w:pPr>
            <w:r>
              <w:rPr>
                <w:rFonts w:hint="eastAsia"/>
              </w:rPr>
              <w:t>珠玑镇</w:t>
            </w:r>
          </w:p>
        </w:tc>
        <w:tc>
          <w:tcPr>
            <w:tcW w:w="582" w:type="pct"/>
            <w:vAlign w:val="center"/>
          </w:tcPr>
          <w:p w14:paraId="3ADD8D4B">
            <w:pPr>
              <w:pStyle w:val="12"/>
              <w:jc w:val="center"/>
            </w:pPr>
            <w:r>
              <w:rPr>
                <w:rFonts w:hint="eastAsia"/>
              </w:rPr>
              <w:t>1929年</w:t>
            </w:r>
          </w:p>
        </w:tc>
        <w:tc>
          <w:tcPr>
            <w:tcW w:w="1066" w:type="pct"/>
            <w:vAlign w:val="center"/>
          </w:tcPr>
          <w:p w14:paraId="7E7FA552">
            <w:pPr>
              <w:pStyle w:val="12"/>
              <w:jc w:val="left"/>
            </w:pPr>
            <w:r>
              <w:rPr>
                <w:rFonts w:hint="eastAsia"/>
              </w:rPr>
              <w:t>油山游击队队员</w:t>
            </w:r>
          </w:p>
        </w:tc>
        <w:tc>
          <w:tcPr>
            <w:tcW w:w="1160" w:type="pct"/>
            <w:vAlign w:val="center"/>
          </w:tcPr>
          <w:p w14:paraId="53A45139">
            <w:pPr>
              <w:pStyle w:val="12"/>
              <w:jc w:val="left"/>
            </w:pPr>
            <w:r>
              <w:rPr>
                <w:rFonts w:hint="eastAsia"/>
              </w:rPr>
              <w:t>1937年因叛徒出卖被捕，于邓坊就义</w:t>
            </w:r>
          </w:p>
        </w:tc>
      </w:tr>
      <w:tr w14:paraId="4B8F109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D1B87A1">
            <w:pPr>
              <w:pStyle w:val="12"/>
              <w:jc w:val="center"/>
            </w:pPr>
            <w:r>
              <w:rPr>
                <w:rFonts w:hint="eastAsia"/>
              </w:rPr>
              <w:t>吴丙秀</w:t>
            </w:r>
          </w:p>
        </w:tc>
        <w:tc>
          <w:tcPr>
            <w:tcW w:w="388" w:type="pct"/>
            <w:vAlign w:val="center"/>
          </w:tcPr>
          <w:p w14:paraId="1454D680">
            <w:pPr>
              <w:pStyle w:val="12"/>
              <w:jc w:val="center"/>
            </w:pPr>
            <w:r>
              <w:rPr>
                <w:rFonts w:hint="eastAsia"/>
              </w:rPr>
              <w:t>女</w:t>
            </w:r>
          </w:p>
        </w:tc>
        <w:tc>
          <w:tcPr>
            <w:tcW w:w="582" w:type="pct"/>
            <w:vAlign w:val="center"/>
          </w:tcPr>
          <w:p w14:paraId="276BEDB1">
            <w:pPr>
              <w:pStyle w:val="12"/>
              <w:jc w:val="center"/>
            </w:pPr>
            <w:r>
              <w:rPr>
                <w:rFonts w:hint="eastAsia"/>
              </w:rPr>
              <w:t>1912年</w:t>
            </w:r>
          </w:p>
        </w:tc>
        <w:tc>
          <w:tcPr>
            <w:tcW w:w="582" w:type="pct"/>
            <w:vAlign w:val="center"/>
          </w:tcPr>
          <w:p w14:paraId="2CEFE866">
            <w:pPr>
              <w:pStyle w:val="12"/>
              <w:jc w:val="center"/>
            </w:pPr>
            <w:r>
              <w:rPr>
                <w:rFonts w:hint="eastAsia"/>
              </w:rPr>
              <w:t>油山镇</w:t>
            </w:r>
          </w:p>
        </w:tc>
        <w:tc>
          <w:tcPr>
            <w:tcW w:w="582" w:type="pct"/>
            <w:vAlign w:val="center"/>
          </w:tcPr>
          <w:p w14:paraId="2D64D75A">
            <w:pPr>
              <w:pStyle w:val="12"/>
              <w:jc w:val="center"/>
            </w:pPr>
            <w:r>
              <w:rPr>
                <w:rFonts w:hint="eastAsia"/>
              </w:rPr>
              <w:t>1934年</w:t>
            </w:r>
          </w:p>
        </w:tc>
        <w:tc>
          <w:tcPr>
            <w:tcW w:w="1066" w:type="pct"/>
            <w:vAlign w:val="center"/>
          </w:tcPr>
          <w:p w14:paraId="1592D8D1">
            <w:pPr>
              <w:pStyle w:val="12"/>
              <w:jc w:val="left"/>
            </w:pPr>
            <w:r>
              <w:rPr>
                <w:rFonts w:hint="eastAsia"/>
              </w:rPr>
              <w:t>油山游击队队员</w:t>
            </w:r>
          </w:p>
        </w:tc>
        <w:tc>
          <w:tcPr>
            <w:tcW w:w="1160" w:type="pct"/>
            <w:vAlign w:val="center"/>
          </w:tcPr>
          <w:p w14:paraId="041F73C7">
            <w:pPr>
              <w:pStyle w:val="12"/>
              <w:jc w:val="left"/>
            </w:pPr>
            <w:r>
              <w:rPr>
                <w:rFonts w:hint="eastAsia"/>
              </w:rPr>
              <w:t>1937年在油山小汾突围牺牲</w:t>
            </w:r>
          </w:p>
        </w:tc>
      </w:tr>
      <w:tr w14:paraId="1980883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57605E7">
            <w:pPr>
              <w:pStyle w:val="12"/>
              <w:jc w:val="center"/>
            </w:pPr>
            <w:r>
              <w:rPr>
                <w:rFonts w:hint="eastAsia"/>
              </w:rPr>
              <w:t>张朝楷</w:t>
            </w:r>
          </w:p>
        </w:tc>
        <w:tc>
          <w:tcPr>
            <w:tcW w:w="388" w:type="pct"/>
            <w:vAlign w:val="center"/>
          </w:tcPr>
          <w:p w14:paraId="78B91E8A">
            <w:pPr>
              <w:pStyle w:val="12"/>
              <w:jc w:val="center"/>
            </w:pPr>
            <w:r>
              <w:rPr>
                <w:rFonts w:hint="eastAsia"/>
              </w:rPr>
              <w:t>男</w:t>
            </w:r>
          </w:p>
        </w:tc>
        <w:tc>
          <w:tcPr>
            <w:tcW w:w="582" w:type="pct"/>
            <w:vAlign w:val="center"/>
          </w:tcPr>
          <w:p w14:paraId="69A885FB">
            <w:pPr>
              <w:pStyle w:val="12"/>
              <w:jc w:val="center"/>
            </w:pPr>
            <w:r>
              <w:rPr>
                <w:rFonts w:hint="eastAsia"/>
              </w:rPr>
              <w:t>1918年</w:t>
            </w:r>
          </w:p>
        </w:tc>
        <w:tc>
          <w:tcPr>
            <w:tcW w:w="582" w:type="pct"/>
            <w:vAlign w:val="center"/>
          </w:tcPr>
          <w:p w14:paraId="144B128F">
            <w:pPr>
              <w:pStyle w:val="12"/>
              <w:jc w:val="center"/>
            </w:pPr>
            <w:r>
              <w:rPr>
                <w:rFonts w:hint="eastAsia"/>
              </w:rPr>
              <w:t>湖口镇</w:t>
            </w:r>
          </w:p>
        </w:tc>
        <w:tc>
          <w:tcPr>
            <w:tcW w:w="582" w:type="pct"/>
            <w:vAlign w:val="center"/>
          </w:tcPr>
          <w:p w14:paraId="0F93C196">
            <w:pPr>
              <w:pStyle w:val="12"/>
              <w:jc w:val="center"/>
            </w:pPr>
            <w:r>
              <w:rPr>
                <w:rFonts w:hint="eastAsia"/>
              </w:rPr>
              <w:t>1927年</w:t>
            </w:r>
          </w:p>
        </w:tc>
        <w:tc>
          <w:tcPr>
            <w:tcW w:w="1066" w:type="pct"/>
            <w:vAlign w:val="center"/>
          </w:tcPr>
          <w:p w14:paraId="1DFE8DEF">
            <w:pPr>
              <w:pStyle w:val="12"/>
              <w:jc w:val="left"/>
            </w:pPr>
            <w:r>
              <w:rPr>
                <w:rFonts w:hint="eastAsia"/>
              </w:rPr>
              <w:t>油山游击队队员</w:t>
            </w:r>
          </w:p>
        </w:tc>
        <w:tc>
          <w:tcPr>
            <w:tcW w:w="1160" w:type="pct"/>
            <w:vAlign w:val="center"/>
          </w:tcPr>
          <w:p w14:paraId="7580609B">
            <w:pPr>
              <w:pStyle w:val="12"/>
              <w:jc w:val="left"/>
            </w:pPr>
            <w:r>
              <w:rPr>
                <w:rFonts w:hint="eastAsia"/>
              </w:rPr>
              <w:t>1937年在南雄县城被捕就义</w:t>
            </w:r>
          </w:p>
        </w:tc>
      </w:tr>
      <w:tr w14:paraId="3D4014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77D49C5">
            <w:pPr>
              <w:pStyle w:val="12"/>
              <w:jc w:val="center"/>
            </w:pPr>
            <w:r>
              <w:rPr>
                <w:rFonts w:hint="eastAsia"/>
              </w:rPr>
              <w:t>蒲长茂</w:t>
            </w:r>
          </w:p>
        </w:tc>
        <w:tc>
          <w:tcPr>
            <w:tcW w:w="388" w:type="pct"/>
            <w:vAlign w:val="center"/>
          </w:tcPr>
          <w:p w14:paraId="1C5BB1CE">
            <w:pPr>
              <w:pStyle w:val="12"/>
              <w:jc w:val="center"/>
            </w:pPr>
            <w:r>
              <w:rPr>
                <w:rFonts w:hint="eastAsia"/>
              </w:rPr>
              <w:t>男</w:t>
            </w:r>
          </w:p>
        </w:tc>
        <w:tc>
          <w:tcPr>
            <w:tcW w:w="582" w:type="pct"/>
            <w:vAlign w:val="center"/>
          </w:tcPr>
          <w:p w14:paraId="2D650A0B">
            <w:pPr>
              <w:pStyle w:val="12"/>
              <w:jc w:val="center"/>
            </w:pPr>
            <w:r>
              <w:rPr>
                <w:rFonts w:hint="eastAsia"/>
              </w:rPr>
              <w:t>1903年</w:t>
            </w:r>
          </w:p>
        </w:tc>
        <w:tc>
          <w:tcPr>
            <w:tcW w:w="582" w:type="pct"/>
            <w:vAlign w:val="center"/>
          </w:tcPr>
          <w:p w14:paraId="3B0C0EEE">
            <w:pPr>
              <w:pStyle w:val="12"/>
              <w:jc w:val="center"/>
            </w:pPr>
            <w:r>
              <w:rPr>
                <w:rFonts w:hint="eastAsia"/>
              </w:rPr>
              <w:t>湖口镇</w:t>
            </w:r>
          </w:p>
        </w:tc>
        <w:tc>
          <w:tcPr>
            <w:tcW w:w="582" w:type="pct"/>
            <w:vAlign w:val="center"/>
          </w:tcPr>
          <w:p w14:paraId="50D513FC">
            <w:pPr>
              <w:pStyle w:val="12"/>
              <w:jc w:val="center"/>
            </w:pPr>
            <w:r>
              <w:rPr>
                <w:rFonts w:hint="eastAsia"/>
              </w:rPr>
              <w:t>1934年</w:t>
            </w:r>
          </w:p>
        </w:tc>
        <w:tc>
          <w:tcPr>
            <w:tcW w:w="1066" w:type="pct"/>
            <w:vAlign w:val="center"/>
          </w:tcPr>
          <w:p w14:paraId="070301D6">
            <w:pPr>
              <w:pStyle w:val="12"/>
              <w:jc w:val="left"/>
            </w:pPr>
            <w:r>
              <w:rPr>
                <w:rFonts w:hint="eastAsia"/>
              </w:rPr>
              <w:t>红军26纵队战士</w:t>
            </w:r>
          </w:p>
        </w:tc>
        <w:tc>
          <w:tcPr>
            <w:tcW w:w="1160" w:type="pct"/>
            <w:vAlign w:val="center"/>
          </w:tcPr>
          <w:p w14:paraId="00D3873F">
            <w:pPr>
              <w:pStyle w:val="12"/>
              <w:jc w:val="left"/>
            </w:pPr>
            <w:r>
              <w:rPr>
                <w:rFonts w:hint="eastAsia"/>
              </w:rPr>
              <w:t>1937年在江西大余县金鸡石战斗牺牲</w:t>
            </w:r>
          </w:p>
        </w:tc>
      </w:tr>
      <w:tr w14:paraId="39BC49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CA28B2C">
            <w:pPr>
              <w:pStyle w:val="12"/>
              <w:jc w:val="center"/>
            </w:pPr>
            <w:r>
              <w:rPr>
                <w:rFonts w:hint="eastAsia"/>
              </w:rPr>
              <w:t>赖尧薯</w:t>
            </w:r>
          </w:p>
        </w:tc>
        <w:tc>
          <w:tcPr>
            <w:tcW w:w="388" w:type="pct"/>
            <w:vAlign w:val="center"/>
          </w:tcPr>
          <w:p w14:paraId="2B89BC8F">
            <w:pPr>
              <w:pStyle w:val="12"/>
              <w:jc w:val="center"/>
            </w:pPr>
            <w:r>
              <w:rPr>
                <w:rFonts w:hint="eastAsia"/>
              </w:rPr>
              <w:t>男</w:t>
            </w:r>
          </w:p>
        </w:tc>
        <w:tc>
          <w:tcPr>
            <w:tcW w:w="582" w:type="pct"/>
            <w:vAlign w:val="center"/>
          </w:tcPr>
          <w:p w14:paraId="1FA054E3">
            <w:pPr>
              <w:pStyle w:val="12"/>
              <w:jc w:val="center"/>
            </w:pPr>
            <w:r>
              <w:rPr>
                <w:rFonts w:hint="eastAsia"/>
              </w:rPr>
              <w:t>1910年</w:t>
            </w:r>
          </w:p>
        </w:tc>
        <w:tc>
          <w:tcPr>
            <w:tcW w:w="582" w:type="pct"/>
            <w:vAlign w:val="center"/>
          </w:tcPr>
          <w:p w14:paraId="084479C1">
            <w:pPr>
              <w:pStyle w:val="12"/>
              <w:jc w:val="center"/>
            </w:pPr>
            <w:r>
              <w:rPr>
                <w:rFonts w:hint="eastAsia"/>
              </w:rPr>
              <w:t>坪田镇</w:t>
            </w:r>
          </w:p>
        </w:tc>
        <w:tc>
          <w:tcPr>
            <w:tcW w:w="582" w:type="pct"/>
            <w:vAlign w:val="center"/>
          </w:tcPr>
          <w:p w14:paraId="70D2153E">
            <w:pPr>
              <w:pStyle w:val="12"/>
              <w:jc w:val="center"/>
            </w:pPr>
            <w:r>
              <w:rPr>
                <w:rFonts w:hint="eastAsia"/>
              </w:rPr>
              <w:t>1935年</w:t>
            </w:r>
          </w:p>
        </w:tc>
        <w:tc>
          <w:tcPr>
            <w:tcW w:w="1066" w:type="pct"/>
            <w:vAlign w:val="center"/>
          </w:tcPr>
          <w:p w14:paraId="33E9A684">
            <w:pPr>
              <w:pStyle w:val="12"/>
              <w:jc w:val="left"/>
            </w:pPr>
            <w:r>
              <w:rPr>
                <w:rFonts w:hint="eastAsia"/>
              </w:rPr>
              <w:t>红军26纵队战士</w:t>
            </w:r>
          </w:p>
        </w:tc>
        <w:tc>
          <w:tcPr>
            <w:tcW w:w="1160" w:type="pct"/>
            <w:vAlign w:val="center"/>
          </w:tcPr>
          <w:p w14:paraId="77440856">
            <w:pPr>
              <w:pStyle w:val="12"/>
              <w:jc w:val="left"/>
            </w:pPr>
            <w:r>
              <w:rPr>
                <w:rFonts w:hint="eastAsia"/>
              </w:rPr>
              <w:t>1937年在油山送情报时被捕，在新龙塔子岭就义</w:t>
            </w:r>
          </w:p>
        </w:tc>
      </w:tr>
      <w:tr w14:paraId="6E0B28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7EFA15D">
            <w:pPr>
              <w:pStyle w:val="12"/>
              <w:jc w:val="center"/>
            </w:pPr>
            <w:r>
              <w:rPr>
                <w:rFonts w:hint="eastAsia"/>
              </w:rPr>
              <w:t>叶水石古</w:t>
            </w:r>
          </w:p>
        </w:tc>
        <w:tc>
          <w:tcPr>
            <w:tcW w:w="388" w:type="pct"/>
            <w:vAlign w:val="center"/>
          </w:tcPr>
          <w:p w14:paraId="353B2C36">
            <w:pPr>
              <w:pStyle w:val="12"/>
              <w:jc w:val="center"/>
            </w:pPr>
            <w:r>
              <w:rPr>
                <w:rFonts w:hint="eastAsia"/>
              </w:rPr>
              <w:t>男</w:t>
            </w:r>
          </w:p>
        </w:tc>
        <w:tc>
          <w:tcPr>
            <w:tcW w:w="582" w:type="pct"/>
            <w:vAlign w:val="center"/>
          </w:tcPr>
          <w:p w14:paraId="7B0AB968">
            <w:pPr>
              <w:pStyle w:val="12"/>
              <w:jc w:val="center"/>
            </w:pPr>
            <w:r>
              <w:rPr>
                <w:rFonts w:hint="eastAsia"/>
              </w:rPr>
              <w:t>1916年</w:t>
            </w:r>
          </w:p>
        </w:tc>
        <w:tc>
          <w:tcPr>
            <w:tcW w:w="582" w:type="pct"/>
            <w:vAlign w:val="center"/>
          </w:tcPr>
          <w:p w14:paraId="237506EE">
            <w:pPr>
              <w:pStyle w:val="12"/>
              <w:jc w:val="center"/>
            </w:pPr>
            <w:r>
              <w:rPr>
                <w:rFonts w:hint="eastAsia"/>
              </w:rPr>
              <w:t>坪田镇</w:t>
            </w:r>
          </w:p>
        </w:tc>
        <w:tc>
          <w:tcPr>
            <w:tcW w:w="582" w:type="pct"/>
            <w:vAlign w:val="center"/>
          </w:tcPr>
          <w:p w14:paraId="246B768F">
            <w:pPr>
              <w:pStyle w:val="12"/>
              <w:jc w:val="center"/>
            </w:pPr>
            <w:r>
              <w:rPr>
                <w:rFonts w:hint="eastAsia"/>
              </w:rPr>
              <w:t>1931年</w:t>
            </w:r>
          </w:p>
        </w:tc>
        <w:tc>
          <w:tcPr>
            <w:tcW w:w="1066" w:type="pct"/>
            <w:vAlign w:val="center"/>
          </w:tcPr>
          <w:p w14:paraId="1A53835C">
            <w:pPr>
              <w:pStyle w:val="12"/>
              <w:jc w:val="left"/>
            </w:pPr>
            <w:r>
              <w:rPr>
                <w:rFonts w:hint="eastAsia"/>
              </w:rPr>
              <w:t>红军26纵队战士</w:t>
            </w:r>
          </w:p>
        </w:tc>
        <w:tc>
          <w:tcPr>
            <w:tcW w:w="1160" w:type="pct"/>
            <w:vAlign w:val="center"/>
          </w:tcPr>
          <w:p w14:paraId="1E454CF8">
            <w:pPr>
              <w:pStyle w:val="12"/>
              <w:jc w:val="left"/>
            </w:pPr>
            <w:r>
              <w:rPr>
                <w:rFonts w:hint="eastAsia"/>
              </w:rPr>
              <w:t>1937年在江西游仙作战牺牲</w:t>
            </w:r>
          </w:p>
        </w:tc>
      </w:tr>
      <w:tr w14:paraId="3F3EF8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1B94242">
            <w:pPr>
              <w:pStyle w:val="12"/>
              <w:jc w:val="center"/>
            </w:pPr>
            <w:r>
              <w:rPr>
                <w:rFonts w:hint="eastAsia"/>
              </w:rPr>
              <w:t>钟家隆</w:t>
            </w:r>
          </w:p>
        </w:tc>
        <w:tc>
          <w:tcPr>
            <w:tcW w:w="388" w:type="pct"/>
            <w:vAlign w:val="center"/>
          </w:tcPr>
          <w:p w14:paraId="31155929">
            <w:pPr>
              <w:pStyle w:val="12"/>
              <w:jc w:val="center"/>
            </w:pPr>
            <w:r>
              <w:rPr>
                <w:rFonts w:hint="eastAsia"/>
              </w:rPr>
              <w:t>男</w:t>
            </w:r>
          </w:p>
        </w:tc>
        <w:tc>
          <w:tcPr>
            <w:tcW w:w="582" w:type="pct"/>
            <w:vAlign w:val="center"/>
          </w:tcPr>
          <w:p w14:paraId="66B84907">
            <w:pPr>
              <w:pStyle w:val="12"/>
              <w:jc w:val="center"/>
            </w:pPr>
            <w:r>
              <w:rPr>
                <w:rFonts w:hint="eastAsia"/>
              </w:rPr>
              <w:t>1915年</w:t>
            </w:r>
          </w:p>
        </w:tc>
        <w:tc>
          <w:tcPr>
            <w:tcW w:w="582" w:type="pct"/>
            <w:vAlign w:val="center"/>
          </w:tcPr>
          <w:p w14:paraId="74962F4B">
            <w:pPr>
              <w:pStyle w:val="12"/>
              <w:jc w:val="center"/>
            </w:pPr>
            <w:r>
              <w:rPr>
                <w:rFonts w:hint="eastAsia"/>
              </w:rPr>
              <w:t>珠玑镇</w:t>
            </w:r>
          </w:p>
        </w:tc>
        <w:tc>
          <w:tcPr>
            <w:tcW w:w="582" w:type="pct"/>
            <w:vAlign w:val="center"/>
          </w:tcPr>
          <w:p w14:paraId="3E6E8A46">
            <w:pPr>
              <w:pStyle w:val="12"/>
              <w:jc w:val="center"/>
            </w:pPr>
            <w:r>
              <w:rPr>
                <w:rFonts w:hint="eastAsia"/>
              </w:rPr>
              <w:t>1937年</w:t>
            </w:r>
          </w:p>
        </w:tc>
        <w:tc>
          <w:tcPr>
            <w:tcW w:w="1066" w:type="pct"/>
            <w:vAlign w:val="center"/>
          </w:tcPr>
          <w:p w14:paraId="6044CC6E">
            <w:pPr>
              <w:pStyle w:val="12"/>
              <w:jc w:val="left"/>
            </w:pPr>
            <w:r>
              <w:rPr>
                <w:rFonts w:hint="eastAsia"/>
              </w:rPr>
              <w:t>油山游击队队员</w:t>
            </w:r>
          </w:p>
        </w:tc>
        <w:tc>
          <w:tcPr>
            <w:tcW w:w="1160" w:type="pct"/>
            <w:vAlign w:val="center"/>
          </w:tcPr>
          <w:p w14:paraId="2CCC0B86">
            <w:pPr>
              <w:pStyle w:val="12"/>
              <w:jc w:val="left"/>
            </w:pPr>
            <w:r>
              <w:rPr>
                <w:rFonts w:hint="eastAsia"/>
              </w:rPr>
              <w:t>1937年2月在江西游仙作战牺牲</w:t>
            </w:r>
          </w:p>
        </w:tc>
      </w:tr>
    </w:tbl>
    <w:p w14:paraId="1CCB34CB">
      <w:pPr>
        <w:ind w:firstLine="420"/>
      </w:pPr>
    </w:p>
    <w:p w14:paraId="44D51E23">
      <w:pPr>
        <w:ind w:firstLine="602"/>
        <w:jc w:val="center"/>
        <w:rPr>
          <w:rFonts w:ascii="宋体" w:hAnsi="宋体" w:cs="宋体"/>
          <w:b/>
          <w:bCs/>
          <w:sz w:val="30"/>
          <w:szCs w:val="30"/>
        </w:rPr>
      </w:pPr>
      <w:r>
        <w:rPr>
          <w:rFonts w:hint="eastAsia" w:ascii="宋体" w:hAnsi="宋体" w:cs="宋体"/>
          <w:b/>
          <w:bCs/>
          <w:sz w:val="30"/>
          <w:szCs w:val="30"/>
        </w:rPr>
        <w:t>南雄市抗日战争时期烈士</w:t>
      </w:r>
    </w:p>
    <w:p w14:paraId="37277FCC">
      <w:pPr>
        <w:ind w:firstLine="0" w:firstLineChars="0"/>
        <w:rPr>
          <w:rFonts w:ascii="宋体" w:hAnsi="宋体" w:cs="宋体"/>
          <w:b/>
          <w:bCs/>
        </w:rPr>
      </w:pPr>
      <w:r>
        <w:rPr>
          <w:rFonts w:hint="eastAsia" w:ascii="宋体" w:hAnsi="宋体" w:cs="宋体"/>
          <w:b/>
          <w:bCs/>
        </w:rPr>
        <w:t>表7-7</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4"/>
        <w:gridCol w:w="773"/>
        <w:gridCol w:w="1160"/>
        <w:gridCol w:w="1160"/>
        <w:gridCol w:w="1160"/>
        <w:gridCol w:w="2124"/>
        <w:gridCol w:w="2311"/>
      </w:tblGrid>
      <w:tr w14:paraId="3A5C34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E986B6D">
            <w:pPr>
              <w:pStyle w:val="12"/>
              <w:jc w:val="center"/>
              <w:rPr>
                <w:b/>
              </w:rPr>
            </w:pPr>
            <w:r>
              <w:rPr>
                <w:rFonts w:hint="eastAsia"/>
                <w:b/>
              </w:rPr>
              <w:t>姓名</w:t>
            </w:r>
          </w:p>
        </w:tc>
        <w:tc>
          <w:tcPr>
            <w:tcW w:w="388" w:type="pct"/>
            <w:vAlign w:val="center"/>
          </w:tcPr>
          <w:p w14:paraId="4B255FCC">
            <w:pPr>
              <w:pStyle w:val="12"/>
              <w:jc w:val="center"/>
              <w:rPr>
                <w:b/>
              </w:rPr>
            </w:pPr>
            <w:r>
              <w:rPr>
                <w:rFonts w:hint="eastAsia"/>
                <w:b/>
              </w:rPr>
              <w:t>性别</w:t>
            </w:r>
          </w:p>
        </w:tc>
        <w:tc>
          <w:tcPr>
            <w:tcW w:w="582" w:type="pct"/>
            <w:vAlign w:val="center"/>
          </w:tcPr>
          <w:p w14:paraId="50A2F2BE">
            <w:pPr>
              <w:pStyle w:val="12"/>
              <w:jc w:val="center"/>
              <w:rPr>
                <w:b/>
              </w:rPr>
            </w:pPr>
            <w:r>
              <w:rPr>
                <w:rFonts w:hint="eastAsia"/>
                <w:b/>
              </w:rPr>
              <w:t>出生</w:t>
            </w:r>
            <w:r>
              <w:rPr>
                <w:rFonts w:hint="eastAsia" w:ascii="宋体" w:hAnsi="宋体" w:cs="宋体"/>
                <w:b/>
              </w:rPr>
              <w:t>年月</w:t>
            </w:r>
          </w:p>
        </w:tc>
        <w:tc>
          <w:tcPr>
            <w:tcW w:w="582" w:type="pct"/>
            <w:vAlign w:val="center"/>
          </w:tcPr>
          <w:p w14:paraId="4DA1AD00">
            <w:pPr>
              <w:pStyle w:val="12"/>
              <w:jc w:val="center"/>
              <w:rPr>
                <w:b/>
              </w:rPr>
            </w:pPr>
            <w:r>
              <w:rPr>
                <w:rFonts w:hint="eastAsia"/>
                <w:b/>
              </w:rPr>
              <w:t>籍贯</w:t>
            </w:r>
          </w:p>
        </w:tc>
        <w:tc>
          <w:tcPr>
            <w:tcW w:w="582" w:type="pct"/>
            <w:vAlign w:val="center"/>
          </w:tcPr>
          <w:p w14:paraId="31D21095">
            <w:pPr>
              <w:pStyle w:val="12"/>
              <w:jc w:val="center"/>
              <w:rPr>
                <w:b/>
              </w:rPr>
            </w:pPr>
            <w:r>
              <w:rPr>
                <w:rFonts w:hint="eastAsia"/>
                <w:b/>
              </w:rPr>
              <w:t>入伍年月</w:t>
            </w:r>
          </w:p>
        </w:tc>
        <w:tc>
          <w:tcPr>
            <w:tcW w:w="1066" w:type="pct"/>
            <w:vAlign w:val="center"/>
          </w:tcPr>
          <w:p w14:paraId="30B72909">
            <w:pPr>
              <w:pStyle w:val="12"/>
              <w:jc w:val="center"/>
              <w:rPr>
                <w:b/>
              </w:rPr>
            </w:pPr>
            <w:r>
              <w:rPr>
                <w:rFonts w:hint="eastAsia"/>
                <w:b/>
              </w:rPr>
              <w:t>所在单位职务</w:t>
            </w:r>
          </w:p>
        </w:tc>
        <w:tc>
          <w:tcPr>
            <w:tcW w:w="1162" w:type="pct"/>
            <w:vAlign w:val="center"/>
          </w:tcPr>
          <w:p w14:paraId="0362E157">
            <w:pPr>
              <w:pStyle w:val="12"/>
              <w:jc w:val="center"/>
              <w:rPr>
                <w:b/>
              </w:rPr>
            </w:pPr>
            <w:r>
              <w:rPr>
                <w:rFonts w:hint="eastAsia"/>
                <w:b/>
              </w:rPr>
              <w:t>牺牲时间地点</w:t>
            </w:r>
          </w:p>
        </w:tc>
      </w:tr>
      <w:tr w14:paraId="7BC6F1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214628A">
            <w:pPr>
              <w:pStyle w:val="12"/>
              <w:jc w:val="center"/>
            </w:pPr>
            <w:r>
              <w:rPr>
                <w:rFonts w:hint="eastAsia"/>
              </w:rPr>
              <w:t>王东古老</w:t>
            </w:r>
          </w:p>
        </w:tc>
        <w:tc>
          <w:tcPr>
            <w:tcW w:w="388" w:type="pct"/>
            <w:vAlign w:val="center"/>
          </w:tcPr>
          <w:p w14:paraId="2745D0EF">
            <w:pPr>
              <w:pStyle w:val="12"/>
              <w:jc w:val="center"/>
            </w:pPr>
            <w:r>
              <w:rPr>
                <w:rFonts w:hint="eastAsia"/>
              </w:rPr>
              <w:t>男</w:t>
            </w:r>
          </w:p>
        </w:tc>
        <w:tc>
          <w:tcPr>
            <w:tcW w:w="582" w:type="pct"/>
            <w:vAlign w:val="center"/>
          </w:tcPr>
          <w:p w14:paraId="40F66ABF">
            <w:pPr>
              <w:pStyle w:val="12"/>
              <w:jc w:val="center"/>
            </w:pPr>
            <w:r>
              <w:rPr>
                <w:rFonts w:hint="eastAsia"/>
              </w:rPr>
              <w:t>1917年</w:t>
            </w:r>
          </w:p>
        </w:tc>
        <w:tc>
          <w:tcPr>
            <w:tcW w:w="582" w:type="pct"/>
            <w:vAlign w:val="center"/>
          </w:tcPr>
          <w:p w14:paraId="28EC1C08">
            <w:pPr>
              <w:pStyle w:val="12"/>
              <w:jc w:val="center"/>
            </w:pPr>
            <w:r>
              <w:rPr>
                <w:rFonts w:hint="eastAsia"/>
              </w:rPr>
              <w:t>雄州镇</w:t>
            </w:r>
          </w:p>
        </w:tc>
        <w:tc>
          <w:tcPr>
            <w:tcW w:w="582" w:type="pct"/>
            <w:vAlign w:val="center"/>
          </w:tcPr>
          <w:p w14:paraId="582ED320">
            <w:pPr>
              <w:pStyle w:val="12"/>
              <w:jc w:val="center"/>
            </w:pPr>
            <w:r>
              <w:rPr>
                <w:rFonts w:hint="eastAsia"/>
              </w:rPr>
              <w:t>1930年</w:t>
            </w:r>
          </w:p>
        </w:tc>
        <w:tc>
          <w:tcPr>
            <w:tcW w:w="1066" w:type="pct"/>
            <w:vAlign w:val="center"/>
          </w:tcPr>
          <w:p w14:paraId="0B5B901F">
            <w:pPr>
              <w:pStyle w:val="12"/>
              <w:jc w:val="center"/>
            </w:pPr>
            <w:r>
              <w:rPr>
                <w:rFonts w:hint="eastAsia"/>
              </w:rPr>
              <w:t>油山游击队队员</w:t>
            </w:r>
          </w:p>
        </w:tc>
        <w:tc>
          <w:tcPr>
            <w:tcW w:w="1162" w:type="pct"/>
            <w:vAlign w:val="center"/>
          </w:tcPr>
          <w:p w14:paraId="3FDE72EA">
            <w:pPr>
              <w:pStyle w:val="12"/>
              <w:jc w:val="left"/>
            </w:pPr>
            <w:r>
              <w:rPr>
                <w:rFonts w:hint="eastAsia"/>
              </w:rPr>
              <w:t>1937年北上抗日失踪</w:t>
            </w:r>
          </w:p>
        </w:tc>
      </w:tr>
      <w:tr w14:paraId="4B346E1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BEA2BC4">
            <w:pPr>
              <w:pStyle w:val="12"/>
              <w:jc w:val="center"/>
            </w:pPr>
            <w:r>
              <w:rPr>
                <w:rFonts w:hint="eastAsia"/>
              </w:rPr>
              <w:t>彭保林</w:t>
            </w:r>
          </w:p>
        </w:tc>
        <w:tc>
          <w:tcPr>
            <w:tcW w:w="388" w:type="pct"/>
            <w:vAlign w:val="center"/>
          </w:tcPr>
          <w:p w14:paraId="0F3240D0">
            <w:pPr>
              <w:pStyle w:val="12"/>
              <w:jc w:val="center"/>
            </w:pPr>
            <w:r>
              <w:rPr>
                <w:rFonts w:hint="eastAsia"/>
              </w:rPr>
              <w:t>男</w:t>
            </w:r>
          </w:p>
        </w:tc>
        <w:tc>
          <w:tcPr>
            <w:tcW w:w="582" w:type="pct"/>
            <w:vAlign w:val="center"/>
          </w:tcPr>
          <w:p w14:paraId="1C253DC7">
            <w:pPr>
              <w:pStyle w:val="12"/>
              <w:jc w:val="center"/>
            </w:pPr>
            <w:r>
              <w:rPr>
                <w:rFonts w:hint="eastAsia"/>
              </w:rPr>
              <w:t>1902年</w:t>
            </w:r>
          </w:p>
        </w:tc>
        <w:tc>
          <w:tcPr>
            <w:tcW w:w="582" w:type="pct"/>
            <w:vAlign w:val="center"/>
          </w:tcPr>
          <w:p w14:paraId="440FA863">
            <w:pPr>
              <w:pStyle w:val="12"/>
              <w:jc w:val="center"/>
            </w:pPr>
            <w:r>
              <w:rPr>
                <w:rFonts w:hint="eastAsia"/>
              </w:rPr>
              <w:t>油山镇</w:t>
            </w:r>
          </w:p>
        </w:tc>
        <w:tc>
          <w:tcPr>
            <w:tcW w:w="582" w:type="pct"/>
            <w:vAlign w:val="center"/>
          </w:tcPr>
          <w:p w14:paraId="38E19B5F">
            <w:pPr>
              <w:pStyle w:val="12"/>
              <w:jc w:val="center"/>
            </w:pPr>
            <w:r>
              <w:rPr>
                <w:rFonts w:hint="eastAsia"/>
              </w:rPr>
              <w:t>1930年</w:t>
            </w:r>
          </w:p>
        </w:tc>
        <w:tc>
          <w:tcPr>
            <w:tcW w:w="1066" w:type="pct"/>
            <w:vAlign w:val="center"/>
          </w:tcPr>
          <w:p w14:paraId="348EDEAE">
            <w:pPr>
              <w:pStyle w:val="12"/>
              <w:jc w:val="center"/>
            </w:pPr>
            <w:r>
              <w:rPr>
                <w:rFonts w:hint="eastAsia"/>
              </w:rPr>
              <w:t>北上抗日战士</w:t>
            </w:r>
          </w:p>
        </w:tc>
        <w:tc>
          <w:tcPr>
            <w:tcW w:w="1162" w:type="pct"/>
            <w:vAlign w:val="center"/>
          </w:tcPr>
          <w:p w14:paraId="7FF5552C">
            <w:pPr>
              <w:pStyle w:val="12"/>
              <w:jc w:val="left"/>
            </w:pPr>
            <w:r>
              <w:rPr>
                <w:rFonts w:hint="eastAsia"/>
              </w:rPr>
              <w:t>1938年北上抗日失踪</w:t>
            </w:r>
          </w:p>
        </w:tc>
      </w:tr>
      <w:tr w14:paraId="305D67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51A9E7E">
            <w:pPr>
              <w:pStyle w:val="12"/>
              <w:jc w:val="center"/>
            </w:pPr>
            <w:r>
              <w:rPr>
                <w:rFonts w:hint="eastAsia"/>
              </w:rPr>
              <w:t>曾冬润生</w:t>
            </w:r>
          </w:p>
        </w:tc>
        <w:tc>
          <w:tcPr>
            <w:tcW w:w="388" w:type="pct"/>
            <w:vAlign w:val="center"/>
          </w:tcPr>
          <w:p w14:paraId="431E0DA7">
            <w:pPr>
              <w:pStyle w:val="12"/>
              <w:jc w:val="center"/>
            </w:pPr>
            <w:r>
              <w:rPr>
                <w:rFonts w:hint="eastAsia"/>
              </w:rPr>
              <w:t>男</w:t>
            </w:r>
          </w:p>
        </w:tc>
        <w:tc>
          <w:tcPr>
            <w:tcW w:w="582" w:type="pct"/>
            <w:vAlign w:val="center"/>
          </w:tcPr>
          <w:p w14:paraId="474F26C4">
            <w:pPr>
              <w:pStyle w:val="12"/>
              <w:jc w:val="center"/>
            </w:pPr>
            <w:r>
              <w:rPr>
                <w:rFonts w:hint="eastAsia"/>
              </w:rPr>
              <w:t>1909年</w:t>
            </w:r>
          </w:p>
        </w:tc>
        <w:tc>
          <w:tcPr>
            <w:tcW w:w="582" w:type="pct"/>
            <w:vAlign w:val="center"/>
          </w:tcPr>
          <w:p w14:paraId="4848F609">
            <w:pPr>
              <w:pStyle w:val="12"/>
              <w:jc w:val="center"/>
            </w:pPr>
            <w:r>
              <w:rPr>
                <w:rFonts w:hint="eastAsia"/>
              </w:rPr>
              <w:t>油山镇</w:t>
            </w:r>
          </w:p>
        </w:tc>
        <w:tc>
          <w:tcPr>
            <w:tcW w:w="582" w:type="pct"/>
            <w:vAlign w:val="center"/>
          </w:tcPr>
          <w:p w14:paraId="7987BF56">
            <w:pPr>
              <w:pStyle w:val="12"/>
              <w:jc w:val="center"/>
            </w:pPr>
            <w:r>
              <w:rPr>
                <w:rFonts w:hint="eastAsia"/>
              </w:rPr>
              <w:t>1931年</w:t>
            </w:r>
          </w:p>
        </w:tc>
        <w:tc>
          <w:tcPr>
            <w:tcW w:w="1066" w:type="pct"/>
            <w:vAlign w:val="center"/>
          </w:tcPr>
          <w:p w14:paraId="137BF8E7">
            <w:pPr>
              <w:pStyle w:val="12"/>
              <w:jc w:val="center"/>
            </w:pPr>
            <w:r>
              <w:rPr>
                <w:rFonts w:hint="eastAsia"/>
              </w:rPr>
              <w:t>北上抗日战士</w:t>
            </w:r>
          </w:p>
        </w:tc>
        <w:tc>
          <w:tcPr>
            <w:tcW w:w="1162" w:type="pct"/>
            <w:vAlign w:val="center"/>
          </w:tcPr>
          <w:p w14:paraId="15D9BF30">
            <w:pPr>
              <w:pStyle w:val="12"/>
              <w:jc w:val="left"/>
            </w:pPr>
            <w:r>
              <w:rPr>
                <w:rFonts w:hint="eastAsia"/>
              </w:rPr>
              <w:t>1938年北上抗日失踪</w:t>
            </w:r>
          </w:p>
        </w:tc>
      </w:tr>
      <w:tr w14:paraId="49D936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D5B7BE5">
            <w:pPr>
              <w:pStyle w:val="12"/>
              <w:jc w:val="center"/>
            </w:pPr>
            <w:r>
              <w:rPr>
                <w:rFonts w:hint="eastAsia"/>
              </w:rPr>
              <w:t>彭三龙</w:t>
            </w:r>
          </w:p>
        </w:tc>
        <w:tc>
          <w:tcPr>
            <w:tcW w:w="388" w:type="pct"/>
            <w:vAlign w:val="center"/>
          </w:tcPr>
          <w:p w14:paraId="490729BA">
            <w:pPr>
              <w:pStyle w:val="12"/>
              <w:jc w:val="center"/>
            </w:pPr>
            <w:r>
              <w:rPr>
                <w:rFonts w:hint="eastAsia"/>
              </w:rPr>
              <w:t>男</w:t>
            </w:r>
          </w:p>
        </w:tc>
        <w:tc>
          <w:tcPr>
            <w:tcW w:w="582" w:type="pct"/>
            <w:vAlign w:val="center"/>
          </w:tcPr>
          <w:p w14:paraId="219DADA9">
            <w:pPr>
              <w:pStyle w:val="12"/>
              <w:jc w:val="center"/>
            </w:pPr>
            <w:r>
              <w:rPr>
                <w:rFonts w:hint="eastAsia"/>
              </w:rPr>
              <w:t>1910年</w:t>
            </w:r>
          </w:p>
        </w:tc>
        <w:tc>
          <w:tcPr>
            <w:tcW w:w="582" w:type="pct"/>
            <w:vAlign w:val="center"/>
          </w:tcPr>
          <w:p w14:paraId="00BA8FDB">
            <w:pPr>
              <w:pStyle w:val="12"/>
              <w:jc w:val="center"/>
            </w:pPr>
            <w:r>
              <w:rPr>
                <w:rFonts w:hint="eastAsia"/>
              </w:rPr>
              <w:t>油山镇</w:t>
            </w:r>
          </w:p>
        </w:tc>
        <w:tc>
          <w:tcPr>
            <w:tcW w:w="582" w:type="pct"/>
            <w:vAlign w:val="center"/>
          </w:tcPr>
          <w:p w14:paraId="283CA39C">
            <w:pPr>
              <w:pStyle w:val="12"/>
              <w:jc w:val="center"/>
            </w:pPr>
            <w:r>
              <w:rPr>
                <w:rFonts w:hint="eastAsia"/>
              </w:rPr>
              <w:t>1930年</w:t>
            </w:r>
          </w:p>
        </w:tc>
        <w:tc>
          <w:tcPr>
            <w:tcW w:w="1066" w:type="pct"/>
            <w:vAlign w:val="center"/>
          </w:tcPr>
          <w:p w14:paraId="7F88E75A">
            <w:pPr>
              <w:pStyle w:val="12"/>
              <w:jc w:val="center"/>
            </w:pPr>
            <w:r>
              <w:rPr>
                <w:rFonts w:hint="eastAsia"/>
              </w:rPr>
              <w:t>北上抗日战士</w:t>
            </w:r>
          </w:p>
        </w:tc>
        <w:tc>
          <w:tcPr>
            <w:tcW w:w="1162" w:type="pct"/>
            <w:vAlign w:val="center"/>
          </w:tcPr>
          <w:p w14:paraId="05649FB8">
            <w:pPr>
              <w:pStyle w:val="12"/>
              <w:jc w:val="left"/>
            </w:pPr>
            <w:r>
              <w:rPr>
                <w:rFonts w:hint="eastAsia"/>
              </w:rPr>
              <w:t>1938年北上抗日失踪</w:t>
            </w:r>
          </w:p>
        </w:tc>
      </w:tr>
      <w:tr w14:paraId="775B75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1F958D7">
            <w:pPr>
              <w:pStyle w:val="12"/>
              <w:jc w:val="center"/>
            </w:pPr>
            <w:r>
              <w:rPr>
                <w:rFonts w:hint="eastAsia"/>
              </w:rPr>
              <w:t>彭癸润生</w:t>
            </w:r>
          </w:p>
        </w:tc>
        <w:tc>
          <w:tcPr>
            <w:tcW w:w="388" w:type="pct"/>
            <w:vAlign w:val="center"/>
          </w:tcPr>
          <w:p w14:paraId="0D121857">
            <w:pPr>
              <w:pStyle w:val="12"/>
              <w:jc w:val="center"/>
            </w:pPr>
            <w:r>
              <w:rPr>
                <w:rFonts w:hint="eastAsia"/>
              </w:rPr>
              <w:t>男</w:t>
            </w:r>
          </w:p>
        </w:tc>
        <w:tc>
          <w:tcPr>
            <w:tcW w:w="582" w:type="pct"/>
            <w:vAlign w:val="center"/>
          </w:tcPr>
          <w:p w14:paraId="7111218B">
            <w:pPr>
              <w:pStyle w:val="12"/>
              <w:jc w:val="center"/>
            </w:pPr>
            <w:r>
              <w:rPr>
                <w:rFonts w:hint="eastAsia"/>
              </w:rPr>
              <w:t>1913年</w:t>
            </w:r>
          </w:p>
        </w:tc>
        <w:tc>
          <w:tcPr>
            <w:tcW w:w="582" w:type="pct"/>
            <w:vAlign w:val="center"/>
          </w:tcPr>
          <w:p w14:paraId="1E7AEAF8">
            <w:pPr>
              <w:pStyle w:val="12"/>
              <w:jc w:val="center"/>
            </w:pPr>
            <w:r>
              <w:rPr>
                <w:rFonts w:hint="eastAsia"/>
              </w:rPr>
              <w:t>油山镇</w:t>
            </w:r>
          </w:p>
        </w:tc>
        <w:tc>
          <w:tcPr>
            <w:tcW w:w="582" w:type="pct"/>
            <w:vAlign w:val="center"/>
          </w:tcPr>
          <w:p w14:paraId="1A96D214">
            <w:pPr>
              <w:pStyle w:val="12"/>
              <w:jc w:val="center"/>
            </w:pPr>
            <w:r>
              <w:rPr>
                <w:rFonts w:hint="eastAsia"/>
              </w:rPr>
              <w:t>1938年</w:t>
            </w:r>
          </w:p>
        </w:tc>
        <w:tc>
          <w:tcPr>
            <w:tcW w:w="1066" w:type="pct"/>
            <w:vAlign w:val="center"/>
          </w:tcPr>
          <w:p w14:paraId="67D9048F">
            <w:pPr>
              <w:pStyle w:val="12"/>
              <w:jc w:val="center"/>
            </w:pPr>
            <w:r>
              <w:rPr>
                <w:rFonts w:hint="eastAsia"/>
              </w:rPr>
              <w:t>油山游击队战士</w:t>
            </w:r>
          </w:p>
        </w:tc>
        <w:tc>
          <w:tcPr>
            <w:tcW w:w="1162" w:type="pct"/>
            <w:vAlign w:val="center"/>
          </w:tcPr>
          <w:p w14:paraId="42CFD082">
            <w:pPr>
              <w:pStyle w:val="12"/>
              <w:jc w:val="left"/>
            </w:pPr>
            <w:r>
              <w:rPr>
                <w:rFonts w:hint="eastAsia"/>
              </w:rPr>
              <w:t>1938年北上抗日失踪</w:t>
            </w:r>
          </w:p>
        </w:tc>
      </w:tr>
      <w:tr w14:paraId="0699DC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6856015">
            <w:pPr>
              <w:pStyle w:val="12"/>
              <w:jc w:val="center"/>
            </w:pPr>
            <w:r>
              <w:rPr>
                <w:rFonts w:hint="eastAsia"/>
              </w:rPr>
              <w:t>彭遵林</w:t>
            </w:r>
          </w:p>
        </w:tc>
        <w:tc>
          <w:tcPr>
            <w:tcW w:w="388" w:type="pct"/>
            <w:vAlign w:val="center"/>
          </w:tcPr>
          <w:p w14:paraId="6B7CD8B6">
            <w:pPr>
              <w:pStyle w:val="12"/>
              <w:jc w:val="center"/>
            </w:pPr>
            <w:r>
              <w:rPr>
                <w:rFonts w:hint="eastAsia"/>
              </w:rPr>
              <w:t>男</w:t>
            </w:r>
          </w:p>
        </w:tc>
        <w:tc>
          <w:tcPr>
            <w:tcW w:w="582" w:type="pct"/>
            <w:vAlign w:val="center"/>
          </w:tcPr>
          <w:p w14:paraId="1D55A146">
            <w:pPr>
              <w:pStyle w:val="12"/>
              <w:jc w:val="center"/>
            </w:pPr>
            <w:r>
              <w:rPr>
                <w:rFonts w:hint="eastAsia"/>
              </w:rPr>
              <w:t>1906年</w:t>
            </w:r>
          </w:p>
        </w:tc>
        <w:tc>
          <w:tcPr>
            <w:tcW w:w="582" w:type="pct"/>
            <w:vAlign w:val="center"/>
          </w:tcPr>
          <w:p w14:paraId="1A19B287">
            <w:pPr>
              <w:pStyle w:val="12"/>
              <w:jc w:val="center"/>
            </w:pPr>
            <w:r>
              <w:rPr>
                <w:rFonts w:hint="eastAsia"/>
              </w:rPr>
              <w:t>油山镇</w:t>
            </w:r>
          </w:p>
        </w:tc>
        <w:tc>
          <w:tcPr>
            <w:tcW w:w="582" w:type="pct"/>
            <w:vAlign w:val="center"/>
          </w:tcPr>
          <w:p w14:paraId="217FA291">
            <w:pPr>
              <w:pStyle w:val="12"/>
              <w:jc w:val="center"/>
            </w:pPr>
            <w:r>
              <w:rPr>
                <w:rFonts w:hint="eastAsia"/>
              </w:rPr>
              <w:t>1930年</w:t>
            </w:r>
          </w:p>
        </w:tc>
        <w:tc>
          <w:tcPr>
            <w:tcW w:w="1066" w:type="pct"/>
            <w:vAlign w:val="center"/>
          </w:tcPr>
          <w:p w14:paraId="779DA120">
            <w:pPr>
              <w:pStyle w:val="12"/>
              <w:jc w:val="center"/>
            </w:pPr>
            <w:r>
              <w:rPr>
                <w:rFonts w:hint="eastAsia"/>
              </w:rPr>
              <w:t>红四军战士</w:t>
            </w:r>
          </w:p>
        </w:tc>
        <w:tc>
          <w:tcPr>
            <w:tcW w:w="1162" w:type="pct"/>
            <w:vAlign w:val="center"/>
          </w:tcPr>
          <w:p w14:paraId="2B72E2F0">
            <w:pPr>
              <w:pStyle w:val="12"/>
              <w:jc w:val="left"/>
            </w:pPr>
            <w:r>
              <w:rPr>
                <w:rFonts w:hint="eastAsia"/>
              </w:rPr>
              <w:t>1938年北上抗日失踪</w:t>
            </w:r>
          </w:p>
        </w:tc>
      </w:tr>
      <w:tr w14:paraId="11C8B6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13FE9FD">
            <w:pPr>
              <w:pStyle w:val="12"/>
              <w:jc w:val="center"/>
            </w:pPr>
            <w:r>
              <w:rPr>
                <w:rFonts w:hint="eastAsia"/>
              </w:rPr>
              <w:t>彭新生</w:t>
            </w:r>
          </w:p>
        </w:tc>
        <w:tc>
          <w:tcPr>
            <w:tcW w:w="388" w:type="pct"/>
            <w:vAlign w:val="center"/>
          </w:tcPr>
          <w:p w14:paraId="7CD9A067">
            <w:pPr>
              <w:pStyle w:val="12"/>
              <w:jc w:val="center"/>
            </w:pPr>
            <w:r>
              <w:rPr>
                <w:rFonts w:hint="eastAsia"/>
              </w:rPr>
              <w:t>男</w:t>
            </w:r>
          </w:p>
        </w:tc>
        <w:tc>
          <w:tcPr>
            <w:tcW w:w="582" w:type="pct"/>
            <w:vAlign w:val="center"/>
          </w:tcPr>
          <w:p w14:paraId="63EC61E3">
            <w:pPr>
              <w:pStyle w:val="12"/>
              <w:jc w:val="center"/>
            </w:pPr>
            <w:r>
              <w:rPr>
                <w:rFonts w:hint="eastAsia"/>
              </w:rPr>
              <w:t>1897年</w:t>
            </w:r>
          </w:p>
        </w:tc>
        <w:tc>
          <w:tcPr>
            <w:tcW w:w="582" w:type="pct"/>
            <w:vAlign w:val="center"/>
          </w:tcPr>
          <w:p w14:paraId="79C12845">
            <w:pPr>
              <w:pStyle w:val="12"/>
              <w:jc w:val="center"/>
            </w:pPr>
            <w:r>
              <w:rPr>
                <w:rFonts w:hint="eastAsia"/>
              </w:rPr>
              <w:t>油山镇</w:t>
            </w:r>
          </w:p>
        </w:tc>
        <w:tc>
          <w:tcPr>
            <w:tcW w:w="582" w:type="pct"/>
            <w:vAlign w:val="center"/>
          </w:tcPr>
          <w:p w14:paraId="45F81583">
            <w:pPr>
              <w:pStyle w:val="12"/>
              <w:jc w:val="center"/>
            </w:pPr>
            <w:r>
              <w:rPr>
                <w:rFonts w:hint="eastAsia"/>
              </w:rPr>
              <w:t>1929年</w:t>
            </w:r>
          </w:p>
        </w:tc>
        <w:tc>
          <w:tcPr>
            <w:tcW w:w="1066" w:type="pct"/>
            <w:vAlign w:val="center"/>
          </w:tcPr>
          <w:p w14:paraId="28594672">
            <w:pPr>
              <w:pStyle w:val="12"/>
              <w:jc w:val="center"/>
            </w:pPr>
            <w:r>
              <w:rPr>
                <w:rFonts w:hint="eastAsia"/>
              </w:rPr>
              <w:t>红四军战士</w:t>
            </w:r>
          </w:p>
        </w:tc>
        <w:tc>
          <w:tcPr>
            <w:tcW w:w="1162" w:type="pct"/>
            <w:vAlign w:val="center"/>
          </w:tcPr>
          <w:p w14:paraId="76FAD8EC">
            <w:pPr>
              <w:pStyle w:val="12"/>
              <w:jc w:val="left"/>
            </w:pPr>
            <w:r>
              <w:rPr>
                <w:rFonts w:hint="eastAsia"/>
              </w:rPr>
              <w:t>1938年北上抗日失踪</w:t>
            </w:r>
          </w:p>
        </w:tc>
      </w:tr>
      <w:tr w14:paraId="34D6C1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D27A319">
            <w:pPr>
              <w:pStyle w:val="12"/>
              <w:jc w:val="center"/>
            </w:pPr>
            <w:r>
              <w:rPr>
                <w:rFonts w:hint="eastAsia"/>
              </w:rPr>
              <w:t>刘道鲲</w:t>
            </w:r>
          </w:p>
        </w:tc>
        <w:tc>
          <w:tcPr>
            <w:tcW w:w="388" w:type="pct"/>
            <w:vAlign w:val="center"/>
          </w:tcPr>
          <w:p w14:paraId="023937C0">
            <w:pPr>
              <w:pStyle w:val="12"/>
              <w:jc w:val="center"/>
            </w:pPr>
            <w:r>
              <w:rPr>
                <w:rFonts w:hint="eastAsia"/>
              </w:rPr>
              <w:t>男</w:t>
            </w:r>
          </w:p>
        </w:tc>
        <w:tc>
          <w:tcPr>
            <w:tcW w:w="582" w:type="pct"/>
            <w:vAlign w:val="center"/>
          </w:tcPr>
          <w:p w14:paraId="2C3F6822">
            <w:pPr>
              <w:pStyle w:val="12"/>
              <w:jc w:val="center"/>
            </w:pPr>
            <w:r>
              <w:rPr>
                <w:rFonts w:hint="eastAsia"/>
              </w:rPr>
              <w:t>1895年</w:t>
            </w:r>
          </w:p>
        </w:tc>
        <w:tc>
          <w:tcPr>
            <w:tcW w:w="582" w:type="pct"/>
            <w:vAlign w:val="center"/>
          </w:tcPr>
          <w:p w14:paraId="520363C6">
            <w:pPr>
              <w:pStyle w:val="12"/>
              <w:jc w:val="center"/>
            </w:pPr>
            <w:r>
              <w:rPr>
                <w:rFonts w:hint="eastAsia"/>
              </w:rPr>
              <w:t>湖口镇</w:t>
            </w:r>
          </w:p>
        </w:tc>
        <w:tc>
          <w:tcPr>
            <w:tcW w:w="582" w:type="pct"/>
            <w:vAlign w:val="center"/>
          </w:tcPr>
          <w:p w14:paraId="2BBBE4B3">
            <w:pPr>
              <w:pStyle w:val="12"/>
              <w:jc w:val="center"/>
            </w:pPr>
            <w:r>
              <w:rPr>
                <w:rFonts w:hint="eastAsia"/>
              </w:rPr>
              <w:t>1937年</w:t>
            </w:r>
          </w:p>
        </w:tc>
        <w:tc>
          <w:tcPr>
            <w:tcW w:w="1066" w:type="pct"/>
            <w:vAlign w:val="center"/>
          </w:tcPr>
          <w:p w14:paraId="5AAD5B7A">
            <w:pPr>
              <w:pStyle w:val="12"/>
              <w:jc w:val="center"/>
            </w:pPr>
            <w:r>
              <w:rPr>
                <w:rFonts w:hint="eastAsia"/>
              </w:rPr>
              <w:t>新四军战士</w:t>
            </w:r>
          </w:p>
        </w:tc>
        <w:tc>
          <w:tcPr>
            <w:tcW w:w="1162" w:type="pct"/>
            <w:vAlign w:val="center"/>
          </w:tcPr>
          <w:p w14:paraId="19C5D1C9">
            <w:pPr>
              <w:pStyle w:val="12"/>
              <w:jc w:val="left"/>
            </w:pPr>
            <w:r>
              <w:rPr>
                <w:rFonts w:hint="eastAsia"/>
              </w:rPr>
              <w:t>1939年在江西南昌被日机炸死</w:t>
            </w:r>
          </w:p>
        </w:tc>
      </w:tr>
      <w:tr w14:paraId="13BBAD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0B84329">
            <w:pPr>
              <w:pStyle w:val="12"/>
              <w:jc w:val="center"/>
            </w:pPr>
            <w:r>
              <w:rPr>
                <w:rFonts w:hint="eastAsia"/>
              </w:rPr>
              <w:t>陈多指佬</w:t>
            </w:r>
          </w:p>
        </w:tc>
        <w:tc>
          <w:tcPr>
            <w:tcW w:w="388" w:type="pct"/>
            <w:vAlign w:val="center"/>
          </w:tcPr>
          <w:p w14:paraId="38F9D27B">
            <w:pPr>
              <w:pStyle w:val="12"/>
              <w:jc w:val="center"/>
            </w:pPr>
            <w:r>
              <w:rPr>
                <w:rFonts w:hint="eastAsia"/>
              </w:rPr>
              <w:t>男</w:t>
            </w:r>
          </w:p>
        </w:tc>
        <w:tc>
          <w:tcPr>
            <w:tcW w:w="582" w:type="pct"/>
            <w:vAlign w:val="center"/>
          </w:tcPr>
          <w:p w14:paraId="14C249D4">
            <w:pPr>
              <w:pStyle w:val="12"/>
              <w:jc w:val="center"/>
            </w:pPr>
            <w:r>
              <w:rPr>
                <w:rFonts w:hint="eastAsia"/>
              </w:rPr>
              <w:t>1884年</w:t>
            </w:r>
          </w:p>
        </w:tc>
        <w:tc>
          <w:tcPr>
            <w:tcW w:w="582" w:type="pct"/>
            <w:vAlign w:val="center"/>
          </w:tcPr>
          <w:p w14:paraId="01D43B03">
            <w:pPr>
              <w:pStyle w:val="12"/>
              <w:jc w:val="center"/>
            </w:pPr>
            <w:r>
              <w:rPr>
                <w:rFonts w:hint="eastAsia"/>
              </w:rPr>
              <w:t>湖口镇</w:t>
            </w:r>
          </w:p>
        </w:tc>
        <w:tc>
          <w:tcPr>
            <w:tcW w:w="582" w:type="pct"/>
            <w:vAlign w:val="center"/>
          </w:tcPr>
          <w:p w14:paraId="4BB6BFC5">
            <w:pPr>
              <w:pStyle w:val="12"/>
              <w:jc w:val="center"/>
            </w:pPr>
            <w:r>
              <w:rPr>
                <w:rFonts w:hint="eastAsia"/>
              </w:rPr>
              <w:t>1929年</w:t>
            </w:r>
          </w:p>
        </w:tc>
        <w:tc>
          <w:tcPr>
            <w:tcW w:w="1066" w:type="pct"/>
            <w:vAlign w:val="center"/>
          </w:tcPr>
          <w:p w14:paraId="4C5A8333">
            <w:pPr>
              <w:pStyle w:val="12"/>
              <w:jc w:val="center"/>
            </w:pPr>
            <w:r>
              <w:rPr>
                <w:rFonts w:hint="eastAsia"/>
              </w:rPr>
              <w:t>工农红军战士</w:t>
            </w:r>
          </w:p>
        </w:tc>
        <w:tc>
          <w:tcPr>
            <w:tcW w:w="1162" w:type="pct"/>
            <w:vAlign w:val="center"/>
          </w:tcPr>
          <w:p w14:paraId="49FD2C00">
            <w:pPr>
              <w:pStyle w:val="12"/>
              <w:jc w:val="left"/>
            </w:pPr>
            <w:r>
              <w:rPr>
                <w:rFonts w:hint="eastAsia"/>
              </w:rPr>
              <w:t>1939年8月在里东被国民党反动派杀害</w:t>
            </w:r>
          </w:p>
        </w:tc>
      </w:tr>
      <w:tr w14:paraId="29DF5F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566BFDA">
            <w:pPr>
              <w:pStyle w:val="12"/>
              <w:jc w:val="center"/>
            </w:pPr>
            <w:r>
              <w:rPr>
                <w:rFonts w:hint="eastAsia"/>
              </w:rPr>
              <w:t>陈尚文</w:t>
            </w:r>
          </w:p>
        </w:tc>
        <w:tc>
          <w:tcPr>
            <w:tcW w:w="388" w:type="pct"/>
            <w:vAlign w:val="center"/>
          </w:tcPr>
          <w:p w14:paraId="1C4252D5">
            <w:pPr>
              <w:pStyle w:val="12"/>
              <w:jc w:val="center"/>
            </w:pPr>
            <w:r>
              <w:rPr>
                <w:rFonts w:hint="eastAsia"/>
              </w:rPr>
              <w:t>男</w:t>
            </w:r>
          </w:p>
        </w:tc>
        <w:tc>
          <w:tcPr>
            <w:tcW w:w="582" w:type="pct"/>
            <w:vAlign w:val="center"/>
          </w:tcPr>
          <w:p w14:paraId="327B2A3D">
            <w:pPr>
              <w:pStyle w:val="12"/>
              <w:jc w:val="center"/>
            </w:pPr>
            <w:r>
              <w:rPr>
                <w:rFonts w:hint="eastAsia"/>
              </w:rPr>
              <w:t>1905年</w:t>
            </w:r>
          </w:p>
        </w:tc>
        <w:tc>
          <w:tcPr>
            <w:tcW w:w="582" w:type="pct"/>
            <w:vAlign w:val="center"/>
          </w:tcPr>
          <w:p w14:paraId="7D235D56">
            <w:pPr>
              <w:pStyle w:val="12"/>
              <w:jc w:val="center"/>
            </w:pPr>
            <w:r>
              <w:rPr>
                <w:rFonts w:hint="eastAsia"/>
              </w:rPr>
              <w:t>湖口镇</w:t>
            </w:r>
          </w:p>
        </w:tc>
        <w:tc>
          <w:tcPr>
            <w:tcW w:w="582" w:type="pct"/>
            <w:vAlign w:val="center"/>
          </w:tcPr>
          <w:p w14:paraId="4E2E5CF0">
            <w:pPr>
              <w:pStyle w:val="12"/>
              <w:jc w:val="center"/>
            </w:pPr>
            <w:r>
              <w:rPr>
                <w:rFonts w:hint="eastAsia"/>
              </w:rPr>
              <w:t>1929年</w:t>
            </w:r>
          </w:p>
        </w:tc>
        <w:tc>
          <w:tcPr>
            <w:tcW w:w="1066" w:type="pct"/>
            <w:vAlign w:val="center"/>
          </w:tcPr>
          <w:p w14:paraId="15E24951">
            <w:pPr>
              <w:pStyle w:val="12"/>
              <w:jc w:val="center"/>
            </w:pPr>
            <w:r>
              <w:rPr>
                <w:rFonts w:hint="eastAsia"/>
              </w:rPr>
              <w:t>中共地下工作者</w:t>
            </w:r>
          </w:p>
        </w:tc>
        <w:tc>
          <w:tcPr>
            <w:tcW w:w="1162" w:type="pct"/>
            <w:vAlign w:val="center"/>
          </w:tcPr>
          <w:p w14:paraId="1D6F381A">
            <w:pPr>
              <w:pStyle w:val="12"/>
              <w:jc w:val="left"/>
            </w:pPr>
            <w:r>
              <w:rPr>
                <w:rFonts w:hint="eastAsia"/>
              </w:rPr>
              <w:t>1939年1月7日在黄坑就义</w:t>
            </w:r>
          </w:p>
        </w:tc>
      </w:tr>
      <w:tr w14:paraId="74BE5B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EF1F019">
            <w:pPr>
              <w:pStyle w:val="12"/>
              <w:jc w:val="center"/>
            </w:pPr>
            <w:r>
              <w:rPr>
                <w:rFonts w:hint="eastAsia"/>
              </w:rPr>
              <w:t>陈三卒毛</w:t>
            </w:r>
          </w:p>
        </w:tc>
        <w:tc>
          <w:tcPr>
            <w:tcW w:w="388" w:type="pct"/>
            <w:vAlign w:val="center"/>
          </w:tcPr>
          <w:p w14:paraId="18A0AB90">
            <w:pPr>
              <w:pStyle w:val="12"/>
              <w:jc w:val="center"/>
            </w:pPr>
            <w:r>
              <w:rPr>
                <w:rFonts w:hint="eastAsia"/>
              </w:rPr>
              <w:t>男</w:t>
            </w:r>
          </w:p>
        </w:tc>
        <w:tc>
          <w:tcPr>
            <w:tcW w:w="582" w:type="pct"/>
            <w:vAlign w:val="center"/>
          </w:tcPr>
          <w:p w14:paraId="18EAF323">
            <w:pPr>
              <w:pStyle w:val="12"/>
              <w:jc w:val="center"/>
            </w:pPr>
            <w:r>
              <w:rPr>
                <w:rFonts w:hint="eastAsia"/>
              </w:rPr>
              <w:t>—</w:t>
            </w:r>
          </w:p>
        </w:tc>
        <w:tc>
          <w:tcPr>
            <w:tcW w:w="582" w:type="pct"/>
            <w:vAlign w:val="center"/>
          </w:tcPr>
          <w:p w14:paraId="598DFC5C">
            <w:pPr>
              <w:pStyle w:val="12"/>
              <w:jc w:val="center"/>
            </w:pPr>
            <w:r>
              <w:rPr>
                <w:rFonts w:hint="eastAsia"/>
              </w:rPr>
              <w:t>湖口镇</w:t>
            </w:r>
          </w:p>
        </w:tc>
        <w:tc>
          <w:tcPr>
            <w:tcW w:w="582" w:type="pct"/>
            <w:vAlign w:val="center"/>
          </w:tcPr>
          <w:p w14:paraId="0F55EBF5">
            <w:pPr>
              <w:pStyle w:val="12"/>
              <w:jc w:val="center"/>
            </w:pPr>
            <w:r>
              <w:rPr>
                <w:rFonts w:hint="eastAsia"/>
              </w:rPr>
              <w:t>1929年</w:t>
            </w:r>
          </w:p>
        </w:tc>
        <w:tc>
          <w:tcPr>
            <w:tcW w:w="1066" w:type="pct"/>
            <w:vAlign w:val="center"/>
          </w:tcPr>
          <w:p w14:paraId="08939EFC">
            <w:pPr>
              <w:pStyle w:val="12"/>
              <w:jc w:val="center"/>
              <w:rPr>
                <w:rFonts w:ascii="宋体" w:hAnsi="宋体" w:cs="宋体"/>
              </w:rPr>
            </w:pPr>
            <w:r>
              <w:rPr>
                <w:rFonts w:hint="eastAsia"/>
              </w:rPr>
              <w:t>中共地下工作</w:t>
            </w:r>
          </w:p>
          <w:p w14:paraId="708F3516">
            <w:pPr>
              <w:pStyle w:val="12"/>
              <w:jc w:val="center"/>
            </w:pPr>
            <w:r>
              <w:rPr>
                <w:rFonts w:hint="eastAsia" w:ascii="宋体" w:hAnsi="宋体" w:cs="宋体"/>
              </w:rPr>
              <w:t>侦  察  员</w:t>
            </w:r>
          </w:p>
        </w:tc>
        <w:tc>
          <w:tcPr>
            <w:tcW w:w="1162" w:type="pct"/>
            <w:vAlign w:val="center"/>
          </w:tcPr>
          <w:p w14:paraId="14399D79">
            <w:pPr>
              <w:pStyle w:val="12"/>
              <w:jc w:val="left"/>
            </w:pPr>
            <w:r>
              <w:rPr>
                <w:rFonts w:hint="eastAsia"/>
              </w:rPr>
              <w:t>1939年在里东对敌作战被俘遇害</w:t>
            </w:r>
          </w:p>
        </w:tc>
      </w:tr>
      <w:tr w14:paraId="3AD3FC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A376FD6">
            <w:pPr>
              <w:pStyle w:val="12"/>
              <w:jc w:val="center"/>
            </w:pPr>
            <w:r>
              <w:rPr>
                <w:rFonts w:hint="eastAsia"/>
              </w:rPr>
              <w:t>叶光明</w:t>
            </w:r>
          </w:p>
        </w:tc>
        <w:tc>
          <w:tcPr>
            <w:tcW w:w="388" w:type="pct"/>
            <w:vAlign w:val="center"/>
          </w:tcPr>
          <w:p w14:paraId="2D27B9E3">
            <w:pPr>
              <w:pStyle w:val="12"/>
              <w:jc w:val="center"/>
            </w:pPr>
            <w:r>
              <w:rPr>
                <w:rFonts w:hint="eastAsia"/>
              </w:rPr>
              <w:t>男</w:t>
            </w:r>
          </w:p>
        </w:tc>
        <w:tc>
          <w:tcPr>
            <w:tcW w:w="582" w:type="pct"/>
            <w:vAlign w:val="center"/>
          </w:tcPr>
          <w:p w14:paraId="1304D6D9">
            <w:pPr>
              <w:pStyle w:val="12"/>
              <w:jc w:val="center"/>
            </w:pPr>
            <w:r>
              <w:rPr>
                <w:rFonts w:hint="eastAsia"/>
              </w:rPr>
              <w:t>1915年</w:t>
            </w:r>
          </w:p>
        </w:tc>
        <w:tc>
          <w:tcPr>
            <w:tcW w:w="582" w:type="pct"/>
            <w:vAlign w:val="center"/>
          </w:tcPr>
          <w:p w14:paraId="1925C932">
            <w:pPr>
              <w:pStyle w:val="12"/>
              <w:jc w:val="center"/>
            </w:pPr>
            <w:r>
              <w:rPr>
                <w:rFonts w:hint="eastAsia"/>
              </w:rPr>
              <w:t>乌迳镇</w:t>
            </w:r>
          </w:p>
        </w:tc>
        <w:tc>
          <w:tcPr>
            <w:tcW w:w="582" w:type="pct"/>
            <w:vAlign w:val="center"/>
          </w:tcPr>
          <w:p w14:paraId="0FCA4AAD">
            <w:pPr>
              <w:pStyle w:val="12"/>
              <w:jc w:val="center"/>
            </w:pPr>
            <w:r>
              <w:rPr>
                <w:rFonts w:hint="eastAsia"/>
              </w:rPr>
              <w:t>1937年</w:t>
            </w:r>
          </w:p>
        </w:tc>
        <w:tc>
          <w:tcPr>
            <w:tcW w:w="1066" w:type="pct"/>
            <w:vAlign w:val="center"/>
          </w:tcPr>
          <w:p w14:paraId="0D8A137E">
            <w:pPr>
              <w:pStyle w:val="12"/>
              <w:jc w:val="center"/>
            </w:pPr>
            <w:r>
              <w:rPr>
                <w:rFonts w:hint="eastAsia"/>
              </w:rPr>
              <w:t>抗日游击队队员</w:t>
            </w:r>
          </w:p>
        </w:tc>
        <w:tc>
          <w:tcPr>
            <w:tcW w:w="1162" w:type="pct"/>
            <w:vAlign w:val="center"/>
          </w:tcPr>
          <w:p w14:paraId="62486DD0">
            <w:pPr>
              <w:pStyle w:val="12"/>
              <w:jc w:val="left"/>
            </w:pPr>
            <w:r>
              <w:rPr>
                <w:rFonts w:hint="eastAsia"/>
              </w:rPr>
              <w:t>1939年战斗中牺牲</w:t>
            </w:r>
          </w:p>
        </w:tc>
      </w:tr>
      <w:tr w14:paraId="7E3FEA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8F0B2E2">
            <w:pPr>
              <w:pStyle w:val="12"/>
              <w:jc w:val="center"/>
            </w:pPr>
            <w:r>
              <w:rPr>
                <w:rFonts w:hint="eastAsia"/>
              </w:rPr>
              <w:t>刘  彬</w:t>
            </w:r>
          </w:p>
        </w:tc>
        <w:tc>
          <w:tcPr>
            <w:tcW w:w="388" w:type="pct"/>
            <w:vAlign w:val="center"/>
          </w:tcPr>
          <w:p w14:paraId="01E0D9CF">
            <w:pPr>
              <w:pStyle w:val="12"/>
              <w:jc w:val="center"/>
            </w:pPr>
            <w:r>
              <w:rPr>
                <w:rFonts w:hint="eastAsia"/>
              </w:rPr>
              <w:t>男</w:t>
            </w:r>
          </w:p>
        </w:tc>
        <w:tc>
          <w:tcPr>
            <w:tcW w:w="582" w:type="pct"/>
            <w:vAlign w:val="center"/>
          </w:tcPr>
          <w:p w14:paraId="11BADDF3">
            <w:pPr>
              <w:pStyle w:val="12"/>
              <w:jc w:val="center"/>
            </w:pPr>
            <w:r>
              <w:rPr>
                <w:rFonts w:hint="eastAsia"/>
              </w:rPr>
              <w:t>1913年</w:t>
            </w:r>
          </w:p>
        </w:tc>
        <w:tc>
          <w:tcPr>
            <w:tcW w:w="582" w:type="pct"/>
            <w:vAlign w:val="center"/>
          </w:tcPr>
          <w:p w14:paraId="5890CCE6">
            <w:pPr>
              <w:pStyle w:val="12"/>
              <w:jc w:val="center"/>
            </w:pPr>
            <w:r>
              <w:rPr>
                <w:rFonts w:hint="eastAsia"/>
              </w:rPr>
              <w:t>珠玑镇</w:t>
            </w:r>
          </w:p>
        </w:tc>
        <w:tc>
          <w:tcPr>
            <w:tcW w:w="582" w:type="pct"/>
            <w:vAlign w:val="center"/>
          </w:tcPr>
          <w:p w14:paraId="1C6744C2">
            <w:pPr>
              <w:pStyle w:val="12"/>
              <w:jc w:val="center"/>
            </w:pPr>
            <w:r>
              <w:rPr>
                <w:rFonts w:hint="eastAsia"/>
              </w:rPr>
              <w:t>1937年</w:t>
            </w:r>
          </w:p>
        </w:tc>
        <w:tc>
          <w:tcPr>
            <w:tcW w:w="1066" w:type="pct"/>
            <w:vAlign w:val="center"/>
          </w:tcPr>
          <w:p w14:paraId="0425F18F">
            <w:pPr>
              <w:pStyle w:val="12"/>
              <w:jc w:val="center"/>
            </w:pPr>
            <w:r>
              <w:rPr>
                <w:rFonts w:hint="eastAsia"/>
              </w:rPr>
              <w:t>新四军副班长</w:t>
            </w:r>
          </w:p>
        </w:tc>
        <w:tc>
          <w:tcPr>
            <w:tcW w:w="1162" w:type="pct"/>
            <w:vAlign w:val="center"/>
          </w:tcPr>
          <w:p w14:paraId="4CC732ED">
            <w:pPr>
              <w:pStyle w:val="12"/>
              <w:jc w:val="left"/>
            </w:pPr>
            <w:r>
              <w:rPr>
                <w:rFonts w:hint="eastAsia"/>
              </w:rPr>
              <w:t>1938年在安徽芜湖县作战牺牲</w:t>
            </w:r>
          </w:p>
        </w:tc>
      </w:tr>
      <w:tr w14:paraId="18C0F9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95B0E86">
            <w:pPr>
              <w:pStyle w:val="12"/>
              <w:jc w:val="center"/>
            </w:pPr>
            <w:r>
              <w:rPr>
                <w:rFonts w:hint="eastAsia"/>
              </w:rPr>
              <w:t>李润俚</w:t>
            </w:r>
          </w:p>
        </w:tc>
        <w:tc>
          <w:tcPr>
            <w:tcW w:w="388" w:type="pct"/>
            <w:vAlign w:val="center"/>
          </w:tcPr>
          <w:p w14:paraId="09A671A2">
            <w:pPr>
              <w:pStyle w:val="12"/>
              <w:jc w:val="center"/>
            </w:pPr>
            <w:r>
              <w:rPr>
                <w:rFonts w:hint="eastAsia"/>
              </w:rPr>
              <w:t>男</w:t>
            </w:r>
          </w:p>
        </w:tc>
        <w:tc>
          <w:tcPr>
            <w:tcW w:w="582" w:type="pct"/>
            <w:vAlign w:val="center"/>
          </w:tcPr>
          <w:p w14:paraId="7F5B25F8">
            <w:pPr>
              <w:pStyle w:val="12"/>
              <w:jc w:val="center"/>
            </w:pPr>
            <w:r>
              <w:rPr>
                <w:rFonts w:hint="eastAsia"/>
              </w:rPr>
              <w:t>1921年</w:t>
            </w:r>
          </w:p>
        </w:tc>
        <w:tc>
          <w:tcPr>
            <w:tcW w:w="582" w:type="pct"/>
            <w:vAlign w:val="center"/>
          </w:tcPr>
          <w:p w14:paraId="74E2C42F">
            <w:pPr>
              <w:pStyle w:val="12"/>
              <w:jc w:val="center"/>
            </w:pPr>
            <w:r>
              <w:rPr>
                <w:rFonts w:hint="eastAsia"/>
              </w:rPr>
              <w:t>油山镇</w:t>
            </w:r>
          </w:p>
        </w:tc>
        <w:tc>
          <w:tcPr>
            <w:tcW w:w="582" w:type="pct"/>
            <w:vAlign w:val="center"/>
          </w:tcPr>
          <w:p w14:paraId="3B1BDEE4">
            <w:pPr>
              <w:pStyle w:val="12"/>
              <w:jc w:val="center"/>
            </w:pPr>
            <w:r>
              <w:rPr>
                <w:rFonts w:hint="eastAsia"/>
              </w:rPr>
              <w:t>1937年</w:t>
            </w:r>
          </w:p>
        </w:tc>
        <w:tc>
          <w:tcPr>
            <w:tcW w:w="1066" w:type="pct"/>
            <w:vAlign w:val="center"/>
          </w:tcPr>
          <w:p w14:paraId="7A1ECF4C">
            <w:pPr>
              <w:pStyle w:val="12"/>
              <w:jc w:val="center"/>
            </w:pPr>
            <w:r>
              <w:rPr>
                <w:rFonts w:hint="eastAsia"/>
              </w:rPr>
              <w:t>游击队班长</w:t>
            </w:r>
          </w:p>
        </w:tc>
        <w:tc>
          <w:tcPr>
            <w:tcW w:w="1162" w:type="pct"/>
            <w:vAlign w:val="center"/>
          </w:tcPr>
          <w:p w14:paraId="23D40FF2">
            <w:pPr>
              <w:pStyle w:val="12"/>
              <w:jc w:val="left"/>
            </w:pPr>
            <w:r>
              <w:rPr>
                <w:rFonts w:hint="eastAsia"/>
              </w:rPr>
              <w:t>1938年在江西赣南东河战斗牺牲</w:t>
            </w:r>
          </w:p>
        </w:tc>
      </w:tr>
      <w:tr w14:paraId="668DF7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B1BE31B">
            <w:pPr>
              <w:pStyle w:val="12"/>
              <w:jc w:val="center"/>
            </w:pPr>
            <w:r>
              <w:rPr>
                <w:rFonts w:hint="eastAsia"/>
              </w:rPr>
              <w:t>赖时中</w:t>
            </w:r>
          </w:p>
        </w:tc>
        <w:tc>
          <w:tcPr>
            <w:tcW w:w="388" w:type="pct"/>
            <w:vAlign w:val="center"/>
          </w:tcPr>
          <w:p w14:paraId="519FDC81">
            <w:pPr>
              <w:pStyle w:val="12"/>
              <w:jc w:val="center"/>
            </w:pPr>
            <w:r>
              <w:rPr>
                <w:rFonts w:hint="eastAsia"/>
              </w:rPr>
              <w:t>男</w:t>
            </w:r>
          </w:p>
        </w:tc>
        <w:tc>
          <w:tcPr>
            <w:tcW w:w="582" w:type="pct"/>
            <w:vAlign w:val="center"/>
          </w:tcPr>
          <w:p w14:paraId="11C7FEB2">
            <w:pPr>
              <w:pStyle w:val="12"/>
              <w:jc w:val="center"/>
            </w:pPr>
            <w:r>
              <w:rPr>
                <w:rFonts w:hint="eastAsia"/>
              </w:rPr>
              <w:t>1910年</w:t>
            </w:r>
          </w:p>
        </w:tc>
        <w:tc>
          <w:tcPr>
            <w:tcW w:w="582" w:type="pct"/>
            <w:vAlign w:val="center"/>
          </w:tcPr>
          <w:p w14:paraId="25A01AD2">
            <w:pPr>
              <w:pStyle w:val="12"/>
              <w:jc w:val="center"/>
            </w:pPr>
            <w:r>
              <w:rPr>
                <w:rFonts w:hint="eastAsia"/>
              </w:rPr>
              <w:t>坪田镇</w:t>
            </w:r>
          </w:p>
        </w:tc>
        <w:tc>
          <w:tcPr>
            <w:tcW w:w="582" w:type="pct"/>
            <w:vAlign w:val="center"/>
          </w:tcPr>
          <w:p w14:paraId="1FAC2C2C">
            <w:pPr>
              <w:pStyle w:val="12"/>
              <w:jc w:val="center"/>
            </w:pPr>
            <w:r>
              <w:rPr>
                <w:rFonts w:hint="eastAsia"/>
              </w:rPr>
              <w:t>1937年</w:t>
            </w:r>
          </w:p>
        </w:tc>
        <w:tc>
          <w:tcPr>
            <w:tcW w:w="1066" w:type="pct"/>
            <w:vAlign w:val="center"/>
          </w:tcPr>
          <w:p w14:paraId="5B6DACA1">
            <w:pPr>
              <w:pStyle w:val="12"/>
              <w:jc w:val="center"/>
            </w:pPr>
            <w:r>
              <w:rPr>
                <w:rFonts w:hint="eastAsia"/>
              </w:rPr>
              <w:t>抗日游击队队员</w:t>
            </w:r>
          </w:p>
        </w:tc>
        <w:tc>
          <w:tcPr>
            <w:tcW w:w="1162" w:type="pct"/>
            <w:vAlign w:val="center"/>
          </w:tcPr>
          <w:p w14:paraId="01987142">
            <w:pPr>
              <w:pStyle w:val="12"/>
              <w:jc w:val="left"/>
            </w:pPr>
            <w:r>
              <w:rPr>
                <w:rFonts w:hint="eastAsia"/>
              </w:rPr>
              <w:t>1938年在新龙乡窝坑被捕，在塔下岭就义</w:t>
            </w:r>
          </w:p>
        </w:tc>
      </w:tr>
      <w:tr w14:paraId="49127F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E7605AE">
            <w:pPr>
              <w:pStyle w:val="12"/>
              <w:jc w:val="center"/>
            </w:pPr>
            <w:r>
              <w:rPr>
                <w:rFonts w:hint="eastAsia"/>
              </w:rPr>
              <w:t>袁东石</w:t>
            </w:r>
          </w:p>
        </w:tc>
        <w:tc>
          <w:tcPr>
            <w:tcW w:w="388" w:type="pct"/>
            <w:vAlign w:val="center"/>
          </w:tcPr>
          <w:p w14:paraId="5D48C720">
            <w:pPr>
              <w:pStyle w:val="12"/>
              <w:jc w:val="center"/>
            </w:pPr>
            <w:r>
              <w:rPr>
                <w:rFonts w:hint="eastAsia"/>
              </w:rPr>
              <w:t>男</w:t>
            </w:r>
          </w:p>
        </w:tc>
        <w:tc>
          <w:tcPr>
            <w:tcW w:w="582" w:type="pct"/>
            <w:vAlign w:val="center"/>
          </w:tcPr>
          <w:p w14:paraId="0638A822">
            <w:pPr>
              <w:pStyle w:val="12"/>
              <w:jc w:val="center"/>
            </w:pPr>
            <w:r>
              <w:rPr>
                <w:rFonts w:hint="eastAsia"/>
              </w:rPr>
              <w:t>1904年</w:t>
            </w:r>
          </w:p>
        </w:tc>
        <w:tc>
          <w:tcPr>
            <w:tcW w:w="582" w:type="pct"/>
            <w:vAlign w:val="center"/>
          </w:tcPr>
          <w:p w14:paraId="34735A74">
            <w:pPr>
              <w:pStyle w:val="12"/>
              <w:jc w:val="center"/>
            </w:pPr>
            <w:r>
              <w:rPr>
                <w:rFonts w:hint="eastAsia"/>
              </w:rPr>
              <w:t>乌迳镇</w:t>
            </w:r>
          </w:p>
        </w:tc>
        <w:tc>
          <w:tcPr>
            <w:tcW w:w="582" w:type="pct"/>
            <w:vAlign w:val="center"/>
          </w:tcPr>
          <w:p w14:paraId="120974FE">
            <w:pPr>
              <w:pStyle w:val="12"/>
              <w:jc w:val="center"/>
            </w:pPr>
            <w:r>
              <w:rPr>
                <w:rFonts w:hint="eastAsia"/>
              </w:rPr>
              <w:t>1937年</w:t>
            </w:r>
          </w:p>
        </w:tc>
        <w:tc>
          <w:tcPr>
            <w:tcW w:w="1066" w:type="pct"/>
            <w:vAlign w:val="center"/>
          </w:tcPr>
          <w:p w14:paraId="3651A555">
            <w:pPr>
              <w:pStyle w:val="12"/>
              <w:jc w:val="center"/>
            </w:pPr>
            <w:r>
              <w:rPr>
                <w:rFonts w:hint="eastAsia"/>
              </w:rPr>
              <w:t>抗日游击队队员</w:t>
            </w:r>
          </w:p>
        </w:tc>
        <w:tc>
          <w:tcPr>
            <w:tcW w:w="1162" w:type="pct"/>
            <w:vAlign w:val="center"/>
          </w:tcPr>
          <w:p w14:paraId="3F67B0BB">
            <w:pPr>
              <w:pStyle w:val="12"/>
              <w:jc w:val="left"/>
            </w:pPr>
            <w:r>
              <w:rPr>
                <w:rFonts w:hint="eastAsia"/>
              </w:rPr>
              <w:t>1938年在孔江被捕就义</w:t>
            </w:r>
          </w:p>
        </w:tc>
      </w:tr>
      <w:tr w14:paraId="6DD8BE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B2C5BF7">
            <w:pPr>
              <w:pStyle w:val="12"/>
              <w:jc w:val="center"/>
            </w:pPr>
            <w:r>
              <w:rPr>
                <w:rFonts w:hint="eastAsia"/>
              </w:rPr>
              <w:t>钟蛟蟠</w:t>
            </w:r>
          </w:p>
        </w:tc>
        <w:tc>
          <w:tcPr>
            <w:tcW w:w="388" w:type="pct"/>
            <w:vAlign w:val="center"/>
          </w:tcPr>
          <w:p w14:paraId="37FB4772">
            <w:pPr>
              <w:pStyle w:val="12"/>
              <w:jc w:val="center"/>
            </w:pPr>
            <w:r>
              <w:rPr>
                <w:rFonts w:hint="eastAsia"/>
              </w:rPr>
              <w:t>男</w:t>
            </w:r>
          </w:p>
        </w:tc>
        <w:tc>
          <w:tcPr>
            <w:tcW w:w="582" w:type="pct"/>
            <w:vAlign w:val="center"/>
          </w:tcPr>
          <w:p w14:paraId="637435D6">
            <w:pPr>
              <w:pStyle w:val="12"/>
              <w:jc w:val="center"/>
            </w:pPr>
            <w:r>
              <w:rPr>
                <w:rFonts w:hint="eastAsia"/>
              </w:rPr>
              <w:t>1899年</w:t>
            </w:r>
          </w:p>
        </w:tc>
        <w:tc>
          <w:tcPr>
            <w:tcW w:w="582" w:type="pct"/>
            <w:vAlign w:val="center"/>
          </w:tcPr>
          <w:p w14:paraId="42D5D1CA">
            <w:pPr>
              <w:pStyle w:val="12"/>
              <w:jc w:val="center"/>
            </w:pPr>
            <w:r>
              <w:rPr>
                <w:rFonts w:hint="eastAsia"/>
              </w:rPr>
              <w:t>珠玑镇</w:t>
            </w:r>
          </w:p>
        </w:tc>
        <w:tc>
          <w:tcPr>
            <w:tcW w:w="582" w:type="pct"/>
            <w:vAlign w:val="center"/>
          </w:tcPr>
          <w:p w14:paraId="1DACE5B2">
            <w:pPr>
              <w:pStyle w:val="12"/>
              <w:jc w:val="center"/>
            </w:pPr>
            <w:r>
              <w:rPr>
                <w:rFonts w:hint="eastAsia"/>
              </w:rPr>
              <w:t>1926年</w:t>
            </w:r>
          </w:p>
        </w:tc>
        <w:tc>
          <w:tcPr>
            <w:tcW w:w="1066" w:type="pct"/>
            <w:vAlign w:val="center"/>
          </w:tcPr>
          <w:p w14:paraId="3894393C">
            <w:pPr>
              <w:pStyle w:val="12"/>
              <w:jc w:val="center"/>
              <w:rPr>
                <w:rFonts w:ascii="宋体" w:hAnsi="宋体" w:cs="宋体"/>
              </w:rPr>
            </w:pPr>
            <w:r>
              <w:rPr>
                <w:rFonts w:hint="eastAsia"/>
              </w:rPr>
              <w:t>晋察冀军区政治</w:t>
            </w:r>
          </w:p>
          <w:p w14:paraId="186C17B4">
            <w:pPr>
              <w:pStyle w:val="12"/>
              <w:jc w:val="center"/>
            </w:pPr>
            <w:r>
              <w:rPr>
                <w:rFonts w:hint="eastAsia" w:ascii="宋体" w:hAnsi="宋体" w:cs="宋体"/>
              </w:rPr>
              <w:t>部宣传部副部长</w:t>
            </w:r>
          </w:p>
        </w:tc>
        <w:tc>
          <w:tcPr>
            <w:tcW w:w="1162" w:type="pct"/>
            <w:vAlign w:val="center"/>
          </w:tcPr>
          <w:p w14:paraId="78D4CC86">
            <w:pPr>
              <w:pStyle w:val="12"/>
              <w:jc w:val="left"/>
            </w:pPr>
            <w:r>
              <w:rPr>
                <w:rFonts w:hint="eastAsia"/>
              </w:rPr>
              <w:t>1939年9月日机轰炸延安时牺牲，有传</w:t>
            </w:r>
          </w:p>
        </w:tc>
      </w:tr>
      <w:tr w14:paraId="4541EB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C16E0EE">
            <w:pPr>
              <w:pStyle w:val="12"/>
              <w:jc w:val="center"/>
            </w:pPr>
            <w:r>
              <w:rPr>
                <w:rFonts w:hint="eastAsia"/>
              </w:rPr>
              <w:t>刘昌兴</w:t>
            </w:r>
          </w:p>
        </w:tc>
        <w:tc>
          <w:tcPr>
            <w:tcW w:w="388" w:type="pct"/>
            <w:vAlign w:val="center"/>
          </w:tcPr>
          <w:p w14:paraId="6ACBD683">
            <w:pPr>
              <w:pStyle w:val="12"/>
              <w:jc w:val="center"/>
            </w:pPr>
            <w:r>
              <w:rPr>
                <w:rFonts w:hint="eastAsia"/>
              </w:rPr>
              <w:t>男</w:t>
            </w:r>
          </w:p>
        </w:tc>
        <w:tc>
          <w:tcPr>
            <w:tcW w:w="582" w:type="pct"/>
            <w:vAlign w:val="center"/>
          </w:tcPr>
          <w:p w14:paraId="70EF8A39">
            <w:pPr>
              <w:pStyle w:val="12"/>
              <w:jc w:val="center"/>
            </w:pPr>
            <w:r>
              <w:rPr>
                <w:rFonts w:hint="eastAsia"/>
              </w:rPr>
              <w:t>1921年</w:t>
            </w:r>
          </w:p>
        </w:tc>
        <w:tc>
          <w:tcPr>
            <w:tcW w:w="582" w:type="pct"/>
            <w:vAlign w:val="center"/>
          </w:tcPr>
          <w:p w14:paraId="6E9ACD0D">
            <w:pPr>
              <w:pStyle w:val="12"/>
              <w:jc w:val="center"/>
            </w:pPr>
            <w:r>
              <w:rPr>
                <w:rFonts w:hint="eastAsia"/>
              </w:rPr>
              <w:t>湖口镇</w:t>
            </w:r>
          </w:p>
        </w:tc>
        <w:tc>
          <w:tcPr>
            <w:tcW w:w="582" w:type="pct"/>
            <w:vAlign w:val="center"/>
          </w:tcPr>
          <w:p w14:paraId="5AEB3B47">
            <w:pPr>
              <w:pStyle w:val="12"/>
              <w:jc w:val="center"/>
            </w:pPr>
            <w:r>
              <w:rPr>
                <w:rFonts w:hint="eastAsia"/>
              </w:rPr>
              <w:t>1936年</w:t>
            </w:r>
          </w:p>
        </w:tc>
        <w:tc>
          <w:tcPr>
            <w:tcW w:w="1066" w:type="pct"/>
            <w:vAlign w:val="center"/>
          </w:tcPr>
          <w:p w14:paraId="5AB75088">
            <w:pPr>
              <w:pStyle w:val="12"/>
              <w:jc w:val="center"/>
            </w:pPr>
            <w:r>
              <w:rPr>
                <w:rFonts w:hint="eastAsia"/>
              </w:rPr>
              <w:t>新四军四连连长</w:t>
            </w:r>
          </w:p>
        </w:tc>
        <w:tc>
          <w:tcPr>
            <w:tcW w:w="1162" w:type="pct"/>
            <w:vAlign w:val="center"/>
          </w:tcPr>
          <w:p w14:paraId="3AFE610C">
            <w:pPr>
              <w:pStyle w:val="12"/>
              <w:jc w:val="left"/>
            </w:pPr>
            <w:r>
              <w:rPr>
                <w:rFonts w:hint="eastAsia"/>
              </w:rPr>
              <w:t>1939年2月在江苏作战牺牲</w:t>
            </w:r>
          </w:p>
        </w:tc>
      </w:tr>
      <w:tr w14:paraId="08B139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E4144D9">
            <w:pPr>
              <w:pStyle w:val="12"/>
              <w:jc w:val="center"/>
            </w:pPr>
            <w:r>
              <w:rPr>
                <w:rFonts w:hint="eastAsia"/>
              </w:rPr>
              <w:t>袁世明</w:t>
            </w:r>
          </w:p>
        </w:tc>
        <w:tc>
          <w:tcPr>
            <w:tcW w:w="388" w:type="pct"/>
            <w:vAlign w:val="center"/>
          </w:tcPr>
          <w:p w14:paraId="361F77F2">
            <w:pPr>
              <w:pStyle w:val="12"/>
              <w:jc w:val="center"/>
            </w:pPr>
            <w:r>
              <w:rPr>
                <w:rFonts w:hint="eastAsia"/>
              </w:rPr>
              <w:t>男</w:t>
            </w:r>
          </w:p>
        </w:tc>
        <w:tc>
          <w:tcPr>
            <w:tcW w:w="582" w:type="pct"/>
            <w:vAlign w:val="center"/>
          </w:tcPr>
          <w:p w14:paraId="5DFF012E">
            <w:pPr>
              <w:pStyle w:val="12"/>
              <w:jc w:val="center"/>
            </w:pPr>
            <w:r>
              <w:rPr>
                <w:rFonts w:hint="eastAsia"/>
              </w:rPr>
              <w:t>1915年</w:t>
            </w:r>
          </w:p>
        </w:tc>
        <w:tc>
          <w:tcPr>
            <w:tcW w:w="582" w:type="pct"/>
            <w:vAlign w:val="center"/>
          </w:tcPr>
          <w:p w14:paraId="03337839">
            <w:pPr>
              <w:pStyle w:val="12"/>
              <w:jc w:val="center"/>
            </w:pPr>
            <w:r>
              <w:rPr>
                <w:rFonts w:hint="eastAsia"/>
              </w:rPr>
              <w:t>湖口镇</w:t>
            </w:r>
          </w:p>
        </w:tc>
        <w:tc>
          <w:tcPr>
            <w:tcW w:w="582" w:type="pct"/>
            <w:vAlign w:val="center"/>
          </w:tcPr>
          <w:p w14:paraId="0577BB85">
            <w:pPr>
              <w:pStyle w:val="12"/>
              <w:jc w:val="center"/>
            </w:pPr>
            <w:r>
              <w:rPr>
                <w:rFonts w:hint="eastAsia"/>
              </w:rPr>
              <w:t>1936年</w:t>
            </w:r>
          </w:p>
        </w:tc>
        <w:tc>
          <w:tcPr>
            <w:tcW w:w="1066" w:type="pct"/>
            <w:vAlign w:val="center"/>
          </w:tcPr>
          <w:p w14:paraId="2189B917">
            <w:pPr>
              <w:pStyle w:val="12"/>
              <w:jc w:val="center"/>
            </w:pPr>
            <w:r>
              <w:rPr>
                <w:rFonts w:hint="eastAsia"/>
              </w:rPr>
              <w:t>新四军连长</w:t>
            </w:r>
          </w:p>
        </w:tc>
        <w:tc>
          <w:tcPr>
            <w:tcW w:w="1162" w:type="pct"/>
            <w:vAlign w:val="center"/>
          </w:tcPr>
          <w:p w14:paraId="56EF0F2D">
            <w:pPr>
              <w:pStyle w:val="12"/>
              <w:jc w:val="left"/>
            </w:pPr>
            <w:r>
              <w:rPr>
                <w:rFonts w:hint="eastAsia"/>
              </w:rPr>
              <w:t>1939年在江苏对日作战牺牲</w:t>
            </w:r>
          </w:p>
        </w:tc>
      </w:tr>
      <w:tr w14:paraId="6B3BA8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FA7707B">
            <w:pPr>
              <w:pStyle w:val="12"/>
              <w:jc w:val="center"/>
            </w:pPr>
            <w:r>
              <w:rPr>
                <w:rFonts w:hint="eastAsia"/>
              </w:rPr>
              <w:t>叶庭标</w:t>
            </w:r>
          </w:p>
        </w:tc>
        <w:tc>
          <w:tcPr>
            <w:tcW w:w="388" w:type="pct"/>
            <w:vAlign w:val="center"/>
          </w:tcPr>
          <w:p w14:paraId="77C611E3">
            <w:pPr>
              <w:pStyle w:val="12"/>
              <w:jc w:val="center"/>
            </w:pPr>
            <w:r>
              <w:rPr>
                <w:rFonts w:hint="eastAsia"/>
              </w:rPr>
              <w:t>男</w:t>
            </w:r>
          </w:p>
        </w:tc>
        <w:tc>
          <w:tcPr>
            <w:tcW w:w="582" w:type="pct"/>
            <w:vAlign w:val="center"/>
          </w:tcPr>
          <w:p w14:paraId="63D23B46">
            <w:pPr>
              <w:pStyle w:val="12"/>
              <w:jc w:val="center"/>
            </w:pPr>
            <w:r>
              <w:rPr>
                <w:rFonts w:hint="eastAsia"/>
              </w:rPr>
              <w:t>1916年</w:t>
            </w:r>
          </w:p>
        </w:tc>
        <w:tc>
          <w:tcPr>
            <w:tcW w:w="582" w:type="pct"/>
            <w:vAlign w:val="center"/>
          </w:tcPr>
          <w:p w14:paraId="5B040FB9">
            <w:pPr>
              <w:pStyle w:val="12"/>
              <w:jc w:val="center"/>
            </w:pPr>
            <w:r>
              <w:rPr>
                <w:rFonts w:hint="eastAsia"/>
              </w:rPr>
              <w:t>乌迳镇</w:t>
            </w:r>
          </w:p>
        </w:tc>
        <w:tc>
          <w:tcPr>
            <w:tcW w:w="582" w:type="pct"/>
            <w:vAlign w:val="center"/>
          </w:tcPr>
          <w:p w14:paraId="558429CA">
            <w:pPr>
              <w:pStyle w:val="12"/>
              <w:jc w:val="center"/>
            </w:pPr>
            <w:r>
              <w:rPr>
                <w:rFonts w:hint="eastAsia"/>
              </w:rPr>
              <w:t>1937年</w:t>
            </w:r>
          </w:p>
        </w:tc>
        <w:tc>
          <w:tcPr>
            <w:tcW w:w="1066" w:type="pct"/>
            <w:vAlign w:val="center"/>
          </w:tcPr>
          <w:p w14:paraId="13307598">
            <w:pPr>
              <w:pStyle w:val="12"/>
              <w:jc w:val="center"/>
            </w:pPr>
            <w:r>
              <w:rPr>
                <w:rFonts w:hint="eastAsia"/>
              </w:rPr>
              <w:t>新四军战士</w:t>
            </w:r>
          </w:p>
        </w:tc>
        <w:tc>
          <w:tcPr>
            <w:tcW w:w="1162" w:type="pct"/>
            <w:vAlign w:val="center"/>
          </w:tcPr>
          <w:p w14:paraId="22120E04">
            <w:pPr>
              <w:pStyle w:val="12"/>
              <w:jc w:val="left"/>
            </w:pPr>
            <w:r>
              <w:rPr>
                <w:rFonts w:hint="eastAsia"/>
              </w:rPr>
              <w:t>1939年在江苏对日作战牺牲</w:t>
            </w:r>
          </w:p>
        </w:tc>
      </w:tr>
      <w:tr w14:paraId="235860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0791941">
            <w:pPr>
              <w:pStyle w:val="12"/>
              <w:jc w:val="center"/>
            </w:pPr>
            <w:r>
              <w:rPr>
                <w:rFonts w:hint="eastAsia"/>
              </w:rPr>
              <w:t>彭荣辉</w:t>
            </w:r>
          </w:p>
        </w:tc>
        <w:tc>
          <w:tcPr>
            <w:tcW w:w="388" w:type="pct"/>
            <w:vAlign w:val="center"/>
          </w:tcPr>
          <w:p w14:paraId="44EEE8FE">
            <w:pPr>
              <w:pStyle w:val="12"/>
              <w:jc w:val="center"/>
            </w:pPr>
            <w:r>
              <w:rPr>
                <w:rFonts w:hint="eastAsia"/>
              </w:rPr>
              <w:t>男</w:t>
            </w:r>
          </w:p>
        </w:tc>
        <w:tc>
          <w:tcPr>
            <w:tcW w:w="582" w:type="pct"/>
            <w:vAlign w:val="center"/>
          </w:tcPr>
          <w:p w14:paraId="39B2E861">
            <w:pPr>
              <w:pStyle w:val="12"/>
              <w:jc w:val="center"/>
            </w:pPr>
            <w:r>
              <w:rPr>
                <w:rFonts w:hint="eastAsia"/>
              </w:rPr>
              <w:t>1912年</w:t>
            </w:r>
          </w:p>
        </w:tc>
        <w:tc>
          <w:tcPr>
            <w:tcW w:w="582" w:type="pct"/>
            <w:vAlign w:val="center"/>
          </w:tcPr>
          <w:p w14:paraId="63E7EF6E">
            <w:pPr>
              <w:pStyle w:val="12"/>
              <w:jc w:val="center"/>
            </w:pPr>
            <w:r>
              <w:rPr>
                <w:rFonts w:hint="eastAsia"/>
              </w:rPr>
              <w:t>油山镇</w:t>
            </w:r>
          </w:p>
        </w:tc>
        <w:tc>
          <w:tcPr>
            <w:tcW w:w="582" w:type="pct"/>
            <w:vAlign w:val="center"/>
          </w:tcPr>
          <w:p w14:paraId="028947C3">
            <w:pPr>
              <w:pStyle w:val="12"/>
              <w:jc w:val="center"/>
            </w:pPr>
            <w:r>
              <w:rPr>
                <w:rFonts w:hint="eastAsia"/>
              </w:rPr>
              <w:t>1930年</w:t>
            </w:r>
          </w:p>
        </w:tc>
        <w:tc>
          <w:tcPr>
            <w:tcW w:w="1066" w:type="pct"/>
            <w:vAlign w:val="center"/>
          </w:tcPr>
          <w:p w14:paraId="281FBFCD">
            <w:pPr>
              <w:pStyle w:val="12"/>
              <w:jc w:val="center"/>
              <w:rPr>
                <w:rFonts w:ascii="宋体" w:hAnsi="宋体" w:cs="宋体"/>
              </w:rPr>
            </w:pPr>
            <w:r>
              <w:rPr>
                <w:rFonts w:hint="eastAsia"/>
              </w:rPr>
              <w:t>抗日游击队</w:t>
            </w:r>
          </w:p>
          <w:p w14:paraId="58769AE9">
            <w:pPr>
              <w:pStyle w:val="12"/>
              <w:jc w:val="center"/>
            </w:pPr>
            <w:r>
              <w:rPr>
                <w:rFonts w:hint="eastAsia" w:ascii="宋体" w:hAnsi="宋体" w:cs="宋体"/>
              </w:rPr>
              <w:t>交通员</w:t>
            </w:r>
          </w:p>
        </w:tc>
        <w:tc>
          <w:tcPr>
            <w:tcW w:w="1162" w:type="pct"/>
            <w:vAlign w:val="center"/>
          </w:tcPr>
          <w:p w14:paraId="78A764D2">
            <w:pPr>
              <w:pStyle w:val="12"/>
              <w:jc w:val="left"/>
            </w:pPr>
            <w:r>
              <w:rPr>
                <w:rFonts w:hint="eastAsia"/>
              </w:rPr>
              <w:t>1940年在江苏被捕就义</w:t>
            </w:r>
          </w:p>
        </w:tc>
      </w:tr>
      <w:tr w14:paraId="318977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179180C">
            <w:pPr>
              <w:pStyle w:val="12"/>
              <w:jc w:val="center"/>
            </w:pPr>
            <w:r>
              <w:rPr>
                <w:rFonts w:hint="eastAsia"/>
              </w:rPr>
              <w:t>陈万联</w:t>
            </w:r>
          </w:p>
        </w:tc>
        <w:tc>
          <w:tcPr>
            <w:tcW w:w="388" w:type="pct"/>
            <w:vAlign w:val="center"/>
          </w:tcPr>
          <w:p w14:paraId="3898CB36">
            <w:pPr>
              <w:pStyle w:val="12"/>
              <w:jc w:val="center"/>
            </w:pPr>
            <w:r>
              <w:rPr>
                <w:rFonts w:hint="eastAsia"/>
              </w:rPr>
              <w:t>男</w:t>
            </w:r>
          </w:p>
        </w:tc>
        <w:tc>
          <w:tcPr>
            <w:tcW w:w="582" w:type="pct"/>
            <w:vAlign w:val="center"/>
          </w:tcPr>
          <w:p w14:paraId="7CCA02D5">
            <w:pPr>
              <w:pStyle w:val="12"/>
              <w:jc w:val="center"/>
            </w:pPr>
            <w:r>
              <w:rPr>
                <w:rFonts w:hint="eastAsia"/>
              </w:rPr>
              <w:t>1904年</w:t>
            </w:r>
          </w:p>
        </w:tc>
        <w:tc>
          <w:tcPr>
            <w:tcW w:w="582" w:type="pct"/>
            <w:vAlign w:val="center"/>
          </w:tcPr>
          <w:p w14:paraId="074B58E2">
            <w:pPr>
              <w:pStyle w:val="12"/>
              <w:jc w:val="center"/>
            </w:pPr>
            <w:r>
              <w:rPr>
                <w:rFonts w:hint="eastAsia"/>
              </w:rPr>
              <w:t>湖口镇</w:t>
            </w:r>
          </w:p>
        </w:tc>
        <w:tc>
          <w:tcPr>
            <w:tcW w:w="582" w:type="pct"/>
            <w:vAlign w:val="center"/>
          </w:tcPr>
          <w:p w14:paraId="5FCA17E3">
            <w:pPr>
              <w:pStyle w:val="12"/>
              <w:jc w:val="center"/>
            </w:pPr>
            <w:r>
              <w:rPr>
                <w:rFonts w:hint="eastAsia"/>
              </w:rPr>
              <w:t>1939年</w:t>
            </w:r>
          </w:p>
        </w:tc>
        <w:tc>
          <w:tcPr>
            <w:tcW w:w="1066" w:type="pct"/>
            <w:vAlign w:val="center"/>
          </w:tcPr>
          <w:p w14:paraId="62A01D95">
            <w:pPr>
              <w:pStyle w:val="12"/>
              <w:jc w:val="center"/>
              <w:rPr>
                <w:rFonts w:ascii="宋体" w:hAnsi="宋体" w:cs="宋体"/>
              </w:rPr>
            </w:pPr>
            <w:r>
              <w:rPr>
                <w:rFonts w:hint="eastAsia"/>
              </w:rPr>
              <w:t>抗日游击队</w:t>
            </w:r>
          </w:p>
          <w:p w14:paraId="075EB564">
            <w:pPr>
              <w:pStyle w:val="12"/>
              <w:jc w:val="center"/>
            </w:pPr>
            <w:r>
              <w:rPr>
                <w:rFonts w:hint="eastAsia" w:ascii="宋体" w:hAnsi="宋体" w:cs="宋体"/>
              </w:rPr>
              <w:t>联  络  员</w:t>
            </w:r>
          </w:p>
        </w:tc>
        <w:tc>
          <w:tcPr>
            <w:tcW w:w="1162" w:type="pct"/>
            <w:vAlign w:val="center"/>
          </w:tcPr>
          <w:p w14:paraId="408D5333">
            <w:pPr>
              <w:pStyle w:val="12"/>
              <w:jc w:val="left"/>
            </w:pPr>
            <w:r>
              <w:rPr>
                <w:rFonts w:hint="eastAsia"/>
              </w:rPr>
              <w:t>1940年在新迳被捕，在曲江县犁铺头就义</w:t>
            </w:r>
          </w:p>
        </w:tc>
      </w:tr>
      <w:tr w14:paraId="36EAF0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6E0CE40">
            <w:pPr>
              <w:pStyle w:val="12"/>
              <w:jc w:val="center"/>
            </w:pPr>
            <w:r>
              <w:rPr>
                <w:rFonts w:hint="eastAsia"/>
              </w:rPr>
              <w:t>陈亿其</w:t>
            </w:r>
          </w:p>
        </w:tc>
        <w:tc>
          <w:tcPr>
            <w:tcW w:w="388" w:type="pct"/>
            <w:vAlign w:val="center"/>
          </w:tcPr>
          <w:p w14:paraId="01697033">
            <w:pPr>
              <w:pStyle w:val="12"/>
              <w:jc w:val="center"/>
            </w:pPr>
            <w:r>
              <w:rPr>
                <w:rFonts w:hint="eastAsia"/>
              </w:rPr>
              <w:t>男</w:t>
            </w:r>
          </w:p>
        </w:tc>
        <w:tc>
          <w:tcPr>
            <w:tcW w:w="582" w:type="pct"/>
            <w:vAlign w:val="center"/>
          </w:tcPr>
          <w:p w14:paraId="7A78BC61">
            <w:pPr>
              <w:pStyle w:val="12"/>
              <w:jc w:val="center"/>
            </w:pPr>
            <w:r>
              <w:rPr>
                <w:rFonts w:hint="eastAsia"/>
              </w:rPr>
              <w:t>1904年</w:t>
            </w:r>
          </w:p>
        </w:tc>
        <w:tc>
          <w:tcPr>
            <w:tcW w:w="582" w:type="pct"/>
            <w:vAlign w:val="center"/>
          </w:tcPr>
          <w:p w14:paraId="49BEFD3D">
            <w:pPr>
              <w:pStyle w:val="12"/>
              <w:jc w:val="center"/>
            </w:pPr>
            <w:r>
              <w:rPr>
                <w:rFonts w:hint="eastAsia"/>
              </w:rPr>
              <w:t>湖口镇</w:t>
            </w:r>
          </w:p>
        </w:tc>
        <w:tc>
          <w:tcPr>
            <w:tcW w:w="582" w:type="pct"/>
            <w:vAlign w:val="center"/>
          </w:tcPr>
          <w:p w14:paraId="2F842154">
            <w:pPr>
              <w:pStyle w:val="12"/>
              <w:jc w:val="center"/>
            </w:pPr>
            <w:r>
              <w:rPr>
                <w:rFonts w:hint="eastAsia"/>
              </w:rPr>
              <w:t>1939年</w:t>
            </w:r>
          </w:p>
        </w:tc>
        <w:tc>
          <w:tcPr>
            <w:tcW w:w="1066" w:type="pct"/>
            <w:vAlign w:val="center"/>
          </w:tcPr>
          <w:p w14:paraId="15CF16E9">
            <w:pPr>
              <w:pStyle w:val="12"/>
              <w:jc w:val="center"/>
            </w:pPr>
            <w:r>
              <w:rPr>
                <w:rFonts w:hint="eastAsia"/>
              </w:rPr>
              <w:t>新四军班长</w:t>
            </w:r>
          </w:p>
        </w:tc>
        <w:tc>
          <w:tcPr>
            <w:tcW w:w="1162" w:type="pct"/>
            <w:vAlign w:val="center"/>
          </w:tcPr>
          <w:p w14:paraId="638E9477">
            <w:pPr>
              <w:pStyle w:val="12"/>
              <w:jc w:val="left"/>
            </w:pPr>
            <w:r>
              <w:rPr>
                <w:rFonts w:hint="eastAsia"/>
              </w:rPr>
              <w:t>1940年在江苏海州战斗中牺牲</w:t>
            </w:r>
          </w:p>
        </w:tc>
      </w:tr>
      <w:tr w14:paraId="49692F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61163F6">
            <w:pPr>
              <w:pStyle w:val="12"/>
              <w:jc w:val="center"/>
            </w:pPr>
            <w:r>
              <w:rPr>
                <w:rFonts w:hint="eastAsia"/>
              </w:rPr>
              <w:t>陈万炎</w:t>
            </w:r>
          </w:p>
        </w:tc>
        <w:tc>
          <w:tcPr>
            <w:tcW w:w="388" w:type="pct"/>
            <w:vAlign w:val="center"/>
          </w:tcPr>
          <w:p w14:paraId="22EB6D7E">
            <w:pPr>
              <w:pStyle w:val="12"/>
              <w:jc w:val="center"/>
            </w:pPr>
            <w:r>
              <w:rPr>
                <w:rFonts w:hint="eastAsia"/>
              </w:rPr>
              <w:t>男</w:t>
            </w:r>
          </w:p>
        </w:tc>
        <w:tc>
          <w:tcPr>
            <w:tcW w:w="582" w:type="pct"/>
            <w:vAlign w:val="center"/>
          </w:tcPr>
          <w:p w14:paraId="19C9E944">
            <w:pPr>
              <w:pStyle w:val="12"/>
              <w:jc w:val="center"/>
            </w:pPr>
            <w:r>
              <w:rPr>
                <w:rFonts w:hint="eastAsia"/>
              </w:rPr>
              <w:t>1902年</w:t>
            </w:r>
          </w:p>
        </w:tc>
        <w:tc>
          <w:tcPr>
            <w:tcW w:w="582" w:type="pct"/>
            <w:vAlign w:val="center"/>
          </w:tcPr>
          <w:p w14:paraId="63E34F4F">
            <w:pPr>
              <w:pStyle w:val="12"/>
              <w:jc w:val="center"/>
            </w:pPr>
            <w:r>
              <w:rPr>
                <w:rFonts w:hint="eastAsia"/>
              </w:rPr>
              <w:t>湖口镇</w:t>
            </w:r>
          </w:p>
        </w:tc>
        <w:tc>
          <w:tcPr>
            <w:tcW w:w="582" w:type="pct"/>
            <w:vAlign w:val="center"/>
          </w:tcPr>
          <w:p w14:paraId="473A1A0D">
            <w:pPr>
              <w:pStyle w:val="12"/>
              <w:jc w:val="center"/>
            </w:pPr>
            <w:r>
              <w:rPr>
                <w:rFonts w:hint="eastAsia"/>
              </w:rPr>
              <w:t>1939年</w:t>
            </w:r>
          </w:p>
        </w:tc>
        <w:tc>
          <w:tcPr>
            <w:tcW w:w="1066" w:type="pct"/>
            <w:vAlign w:val="center"/>
          </w:tcPr>
          <w:p w14:paraId="6A8EEF47">
            <w:pPr>
              <w:pStyle w:val="12"/>
              <w:jc w:val="center"/>
              <w:rPr>
                <w:rFonts w:ascii="宋体" w:hAnsi="宋体" w:cs="宋体"/>
              </w:rPr>
            </w:pPr>
            <w:r>
              <w:rPr>
                <w:rFonts w:hint="eastAsia"/>
              </w:rPr>
              <w:t>抗日游击队</w:t>
            </w:r>
          </w:p>
          <w:p w14:paraId="3C32071C">
            <w:pPr>
              <w:pStyle w:val="12"/>
              <w:jc w:val="center"/>
            </w:pPr>
            <w:r>
              <w:rPr>
                <w:rFonts w:hint="eastAsia" w:ascii="宋体" w:hAnsi="宋体" w:cs="宋体"/>
              </w:rPr>
              <w:t>联  络  员</w:t>
            </w:r>
          </w:p>
        </w:tc>
        <w:tc>
          <w:tcPr>
            <w:tcW w:w="1162" w:type="pct"/>
            <w:vAlign w:val="center"/>
          </w:tcPr>
          <w:p w14:paraId="1F96628C">
            <w:pPr>
              <w:pStyle w:val="12"/>
              <w:jc w:val="left"/>
            </w:pPr>
            <w:r>
              <w:rPr>
                <w:rFonts w:hint="eastAsia"/>
              </w:rPr>
              <w:t>1940年9月在新迳被捕，在曲江县犁铺头就义</w:t>
            </w:r>
          </w:p>
        </w:tc>
      </w:tr>
      <w:tr w14:paraId="23FEF4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DD40A57">
            <w:pPr>
              <w:pStyle w:val="12"/>
              <w:jc w:val="center"/>
            </w:pPr>
            <w:r>
              <w:rPr>
                <w:rFonts w:hint="eastAsia"/>
              </w:rPr>
              <w:t>肖光海</w:t>
            </w:r>
          </w:p>
        </w:tc>
        <w:tc>
          <w:tcPr>
            <w:tcW w:w="388" w:type="pct"/>
            <w:vAlign w:val="center"/>
          </w:tcPr>
          <w:p w14:paraId="5AEBD99E">
            <w:pPr>
              <w:pStyle w:val="12"/>
              <w:jc w:val="center"/>
            </w:pPr>
            <w:r>
              <w:rPr>
                <w:rFonts w:hint="eastAsia"/>
              </w:rPr>
              <w:t>男</w:t>
            </w:r>
          </w:p>
        </w:tc>
        <w:tc>
          <w:tcPr>
            <w:tcW w:w="582" w:type="pct"/>
            <w:vAlign w:val="center"/>
          </w:tcPr>
          <w:p w14:paraId="14F46DB6">
            <w:pPr>
              <w:pStyle w:val="12"/>
              <w:jc w:val="center"/>
            </w:pPr>
            <w:r>
              <w:rPr>
                <w:rFonts w:hint="eastAsia"/>
              </w:rPr>
              <w:t>1918年</w:t>
            </w:r>
          </w:p>
        </w:tc>
        <w:tc>
          <w:tcPr>
            <w:tcW w:w="582" w:type="pct"/>
            <w:vAlign w:val="center"/>
          </w:tcPr>
          <w:p w14:paraId="6E7A1FD1">
            <w:pPr>
              <w:pStyle w:val="12"/>
              <w:jc w:val="center"/>
            </w:pPr>
            <w:r>
              <w:rPr>
                <w:rFonts w:hint="eastAsia"/>
              </w:rPr>
              <w:t>湖口镇</w:t>
            </w:r>
          </w:p>
        </w:tc>
        <w:tc>
          <w:tcPr>
            <w:tcW w:w="582" w:type="pct"/>
            <w:vAlign w:val="center"/>
          </w:tcPr>
          <w:p w14:paraId="10F2D28A">
            <w:pPr>
              <w:pStyle w:val="12"/>
              <w:jc w:val="center"/>
            </w:pPr>
            <w:r>
              <w:rPr>
                <w:rFonts w:hint="eastAsia"/>
              </w:rPr>
              <w:t>1937年</w:t>
            </w:r>
          </w:p>
        </w:tc>
        <w:tc>
          <w:tcPr>
            <w:tcW w:w="1066" w:type="pct"/>
            <w:vAlign w:val="center"/>
          </w:tcPr>
          <w:p w14:paraId="4CC08AD8">
            <w:pPr>
              <w:pStyle w:val="12"/>
              <w:jc w:val="center"/>
            </w:pPr>
            <w:r>
              <w:rPr>
                <w:rFonts w:hint="eastAsia"/>
              </w:rPr>
              <w:t>抗日游击队队员</w:t>
            </w:r>
          </w:p>
        </w:tc>
        <w:tc>
          <w:tcPr>
            <w:tcW w:w="1162" w:type="pct"/>
            <w:vAlign w:val="center"/>
          </w:tcPr>
          <w:p w14:paraId="136DEB17">
            <w:pPr>
              <w:pStyle w:val="12"/>
              <w:jc w:val="left"/>
            </w:pPr>
            <w:r>
              <w:rPr>
                <w:rFonts w:hint="eastAsia"/>
              </w:rPr>
              <w:t>1940年在江西大余县池江作战牺牲</w:t>
            </w:r>
          </w:p>
        </w:tc>
      </w:tr>
      <w:tr w14:paraId="3E7898D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F517EE1">
            <w:pPr>
              <w:pStyle w:val="12"/>
              <w:jc w:val="center"/>
            </w:pPr>
            <w:r>
              <w:rPr>
                <w:rFonts w:hint="eastAsia"/>
              </w:rPr>
              <w:t>陈万胜</w:t>
            </w:r>
          </w:p>
        </w:tc>
        <w:tc>
          <w:tcPr>
            <w:tcW w:w="388" w:type="pct"/>
            <w:vAlign w:val="center"/>
          </w:tcPr>
          <w:p w14:paraId="60160D2B">
            <w:pPr>
              <w:pStyle w:val="12"/>
              <w:jc w:val="center"/>
            </w:pPr>
            <w:r>
              <w:rPr>
                <w:rFonts w:hint="eastAsia"/>
              </w:rPr>
              <w:t>男</w:t>
            </w:r>
          </w:p>
        </w:tc>
        <w:tc>
          <w:tcPr>
            <w:tcW w:w="582" w:type="pct"/>
            <w:vAlign w:val="center"/>
          </w:tcPr>
          <w:p w14:paraId="6523EB0C">
            <w:pPr>
              <w:pStyle w:val="12"/>
              <w:jc w:val="center"/>
            </w:pPr>
            <w:r>
              <w:rPr>
                <w:rFonts w:hint="eastAsia"/>
              </w:rPr>
              <w:t>1894年</w:t>
            </w:r>
          </w:p>
        </w:tc>
        <w:tc>
          <w:tcPr>
            <w:tcW w:w="582" w:type="pct"/>
            <w:vAlign w:val="center"/>
          </w:tcPr>
          <w:p w14:paraId="3543B218">
            <w:pPr>
              <w:pStyle w:val="12"/>
              <w:jc w:val="center"/>
            </w:pPr>
            <w:r>
              <w:rPr>
                <w:rFonts w:hint="eastAsia"/>
              </w:rPr>
              <w:t>湖口镇</w:t>
            </w:r>
          </w:p>
        </w:tc>
        <w:tc>
          <w:tcPr>
            <w:tcW w:w="582" w:type="pct"/>
            <w:vAlign w:val="center"/>
          </w:tcPr>
          <w:p w14:paraId="0047FE99">
            <w:pPr>
              <w:pStyle w:val="12"/>
              <w:jc w:val="center"/>
            </w:pPr>
            <w:r>
              <w:rPr>
                <w:rFonts w:hint="eastAsia"/>
              </w:rPr>
              <w:t>1939年</w:t>
            </w:r>
          </w:p>
        </w:tc>
        <w:tc>
          <w:tcPr>
            <w:tcW w:w="1066" w:type="pct"/>
            <w:vAlign w:val="center"/>
          </w:tcPr>
          <w:p w14:paraId="74D71168">
            <w:pPr>
              <w:pStyle w:val="12"/>
              <w:jc w:val="center"/>
            </w:pPr>
            <w:r>
              <w:rPr>
                <w:rFonts w:hint="eastAsia"/>
              </w:rPr>
              <w:t>抗日游击队班长</w:t>
            </w:r>
          </w:p>
        </w:tc>
        <w:tc>
          <w:tcPr>
            <w:tcW w:w="1162" w:type="pct"/>
            <w:vAlign w:val="center"/>
          </w:tcPr>
          <w:p w14:paraId="250D7484">
            <w:pPr>
              <w:pStyle w:val="12"/>
              <w:jc w:val="left"/>
            </w:pPr>
            <w:r>
              <w:rPr>
                <w:rFonts w:hint="eastAsia"/>
              </w:rPr>
              <w:t>1940年在新迳被捕，在曲江县犁铺头就义</w:t>
            </w:r>
          </w:p>
        </w:tc>
      </w:tr>
      <w:tr w14:paraId="52C7C9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F908C7F">
            <w:pPr>
              <w:pStyle w:val="12"/>
              <w:jc w:val="center"/>
            </w:pPr>
            <w:r>
              <w:rPr>
                <w:rFonts w:hint="eastAsia"/>
              </w:rPr>
              <w:t>李君铭</w:t>
            </w:r>
          </w:p>
        </w:tc>
        <w:tc>
          <w:tcPr>
            <w:tcW w:w="388" w:type="pct"/>
            <w:vAlign w:val="center"/>
          </w:tcPr>
          <w:p w14:paraId="6A754142">
            <w:pPr>
              <w:pStyle w:val="12"/>
              <w:jc w:val="center"/>
            </w:pPr>
            <w:r>
              <w:rPr>
                <w:rFonts w:hint="eastAsia"/>
              </w:rPr>
              <w:t>男</w:t>
            </w:r>
          </w:p>
        </w:tc>
        <w:tc>
          <w:tcPr>
            <w:tcW w:w="582" w:type="pct"/>
            <w:vAlign w:val="center"/>
          </w:tcPr>
          <w:p w14:paraId="07B17D93">
            <w:pPr>
              <w:pStyle w:val="12"/>
              <w:jc w:val="center"/>
            </w:pPr>
            <w:r>
              <w:rPr>
                <w:rFonts w:hint="eastAsia"/>
              </w:rPr>
              <w:t>1920年</w:t>
            </w:r>
          </w:p>
        </w:tc>
        <w:tc>
          <w:tcPr>
            <w:tcW w:w="582" w:type="pct"/>
            <w:vAlign w:val="center"/>
          </w:tcPr>
          <w:p w14:paraId="2CAF0090">
            <w:pPr>
              <w:pStyle w:val="12"/>
              <w:jc w:val="center"/>
            </w:pPr>
            <w:r>
              <w:rPr>
                <w:rFonts w:hint="eastAsia"/>
              </w:rPr>
              <w:t>珠玑镇</w:t>
            </w:r>
          </w:p>
        </w:tc>
        <w:tc>
          <w:tcPr>
            <w:tcW w:w="582" w:type="pct"/>
            <w:vAlign w:val="center"/>
          </w:tcPr>
          <w:p w14:paraId="237BBF26">
            <w:pPr>
              <w:pStyle w:val="12"/>
              <w:jc w:val="center"/>
            </w:pPr>
            <w:r>
              <w:rPr>
                <w:rFonts w:hint="eastAsia"/>
              </w:rPr>
              <w:t>1937年</w:t>
            </w:r>
          </w:p>
        </w:tc>
        <w:tc>
          <w:tcPr>
            <w:tcW w:w="1066" w:type="pct"/>
            <w:vAlign w:val="center"/>
          </w:tcPr>
          <w:p w14:paraId="3F4BE038">
            <w:pPr>
              <w:pStyle w:val="12"/>
              <w:jc w:val="center"/>
            </w:pPr>
            <w:r>
              <w:rPr>
                <w:rFonts w:hint="eastAsia"/>
              </w:rPr>
              <w:t>新四军排长</w:t>
            </w:r>
          </w:p>
        </w:tc>
        <w:tc>
          <w:tcPr>
            <w:tcW w:w="1162" w:type="pct"/>
            <w:vAlign w:val="center"/>
          </w:tcPr>
          <w:p w14:paraId="7EABD428">
            <w:pPr>
              <w:pStyle w:val="12"/>
              <w:jc w:val="left"/>
            </w:pPr>
            <w:r>
              <w:rPr>
                <w:rFonts w:hint="eastAsia"/>
              </w:rPr>
              <w:t>1940年在江苏省作战牺牲</w:t>
            </w:r>
          </w:p>
        </w:tc>
      </w:tr>
      <w:tr w14:paraId="33BB31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DE9F736">
            <w:pPr>
              <w:pStyle w:val="12"/>
              <w:jc w:val="center"/>
            </w:pPr>
            <w:r>
              <w:rPr>
                <w:rFonts w:hint="eastAsia"/>
              </w:rPr>
              <w:t>黄甲元</w:t>
            </w:r>
          </w:p>
        </w:tc>
        <w:tc>
          <w:tcPr>
            <w:tcW w:w="388" w:type="pct"/>
            <w:vAlign w:val="center"/>
          </w:tcPr>
          <w:p w14:paraId="071AA334">
            <w:pPr>
              <w:pStyle w:val="12"/>
              <w:jc w:val="center"/>
            </w:pPr>
            <w:r>
              <w:rPr>
                <w:rFonts w:hint="eastAsia"/>
              </w:rPr>
              <w:t>男</w:t>
            </w:r>
          </w:p>
        </w:tc>
        <w:tc>
          <w:tcPr>
            <w:tcW w:w="582" w:type="pct"/>
            <w:vAlign w:val="center"/>
          </w:tcPr>
          <w:p w14:paraId="49BFE11D">
            <w:pPr>
              <w:pStyle w:val="12"/>
              <w:jc w:val="center"/>
            </w:pPr>
            <w:r>
              <w:rPr>
                <w:rFonts w:hint="eastAsia"/>
              </w:rPr>
              <w:t>1908年</w:t>
            </w:r>
          </w:p>
        </w:tc>
        <w:tc>
          <w:tcPr>
            <w:tcW w:w="582" w:type="pct"/>
            <w:vAlign w:val="center"/>
          </w:tcPr>
          <w:p w14:paraId="25CC9D76">
            <w:pPr>
              <w:pStyle w:val="12"/>
              <w:jc w:val="center"/>
            </w:pPr>
            <w:r>
              <w:rPr>
                <w:rFonts w:hint="eastAsia"/>
              </w:rPr>
              <w:t>油山镇</w:t>
            </w:r>
          </w:p>
        </w:tc>
        <w:tc>
          <w:tcPr>
            <w:tcW w:w="582" w:type="pct"/>
            <w:vAlign w:val="center"/>
          </w:tcPr>
          <w:p w14:paraId="5778C762">
            <w:pPr>
              <w:pStyle w:val="12"/>
              <w:jc w:val="center"/>
            </w:pPr>
            <w:r>
              <w:rPr>
                <w:rFonts w:hint="eastAsia"/>
              </w:rPr>
              <w:t>1937年</w:t>
            </w:r>
          </w:p>
        </w:tc>
        <w:tc>
          <w:tcPr>
            <w:tcW w:w="1066" w:type="pct"/>
            <w:vAlign w:val="center"/>
          </w:tcPr>
          <w:p w14:paraId="59D3EFE7">
            <w:pPr>
              <w:pStyle w:val="12"/>
              <w:jc w:val="center"/>
              <w:rPr>
                <w:rFonts w:ascii="宋体" w:hAnsi="宋体" w:cs="宋体"/>
              </w:rPr>
            </w:pPr>
            <w:r>
              <w:rPr>
                <w:rFonts w:hint="eastAsia"/>
              </w:rPr>
              <w:t>抗日游击队</w:t>
            </w:r>
          </w:p>
          <w:p w14:paraId="1D4B81E3">
            <w:pPr>
              <w:pStyle w:val="12"/>
              <w:jc w:val="center"/>
            </w:pPr>
            <w:r>
              <w:rPr>
                <w:rFonts w:hint="eastAsia" w:ascii="宋体" w:hAnsi="宋体" w:cs="宋体"/>
              </w:rPr>
              <w:t>侦  察  员</w:t>
            </w:r>
          </w:p>
        </w:tc>
        <w:tc>
          <w:tcPr>
            <w:tcW w:w="1162" w:type="pct"/>
            <w:vAlign w:val="center"/>
          </w:tcPr>
          <w:p w14:paraId="5B6D66A1">
            <w:pPr>
              <w:pStyle w:val="12"/>
              <w:jc w:val="left"/>
            </w:pPr>
            <w:r>
              <w:rPr>
                <w:rFonts w:hint="eastAsia"/>
              </w:rPr>
              <w:t>1940年在油山黄地被捕，在邓坊就义</w:t>
            </w:r>
          </w:p>
        </w:tc>
      </w:tr>
      <w:tr w14:paraId="00156D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A309CA7">
            <w:pPr>
              <w:pStyle w:val="12"/>
              <w:jc w:val="center"/>
            </w:pPr>
            <w:r>
              <w:rPr>
                <w:rFonts w:hint="eastAsia"/>
              </w:rPr>
              <w:t>沈发金</w:t>
            </w:r>
          </w:p>
        </w:tc>
        <w:tc>
          <w:tcPr>
            <w:tcW w:w="388" w:type="pct"/>
            <w:vAlign w:val="center"/>
          </w:tcPr>
          <w:p w14:paraId="5408B2B4">
            <w:pPr>
              <w:pStyle w:val="12"/>
              <w:jc w:val="center"/>
            </w:pPr>
            <w:r>
              <w:rPr>
                <w:rFonts w:hint="eastAsia"/>
              </w:rPr>
              <w:t>男</w:t>
            </w:r>
          </w:p>
        </w:tc>
        <w:tc>
          <w:tcPr>
            <w:tcW w:w="582" w:type="pct"/>
            <w:vAlign w:val="center"/>
          </w:tcPr>
          <w:p w14:paraId="77D0FCC2">
            <w:pPr>
              <w:pStyle w:val="12"/>
              <w:jc w:val="center"/>
            </w:pPr>
            <w:r>
              <w:rPr>
                <w:rFonts w:hint="eastAsia"/>
              </w:rPr>
              <w:t>1915年</w:t>
            </w:r>
          </w:p>
        </w:tc>
        <w:tc>
          <w:tcPr>
            <w:tcW w:w="582" w:type="pct"/>
            <w:vAlign w:val="center"/>
          </w:tcPr>
          <w:p w14:paraId="26ECAEB8">
            <w:pPr>
              <w:pStyle w:val="12"/>
              <w:jc w:val="center"/>
            </w:pPr>
            <w:r>
              <w:rPr>
                <w:rFonts w:hint="eastAsia"/>
              </w:rPr>
              <w:t>黄坑镇</w:t>
            </w:r>
          </w:p>
        </w:tc>
        <w:tc>
          <w:tcPr>
            <w:tcW w:w="582" w:type="pct"/>
            <w:vAlign w:val="center"/>
          </w:tcPr>
          <w:p w14:paraId="4D9BBADA">
            <w:pPr>
              <w:pStyle w:val="12"/>
              <w:jc w:val="center"/>
            </w:pPr>
            <w:r>
              <w:rPr>
                <w:rFonts w:hint="eastAsia"/>
              </w:rPr>
              <w:t>1937年</w:t>
            </w:r>
          </w:p>
        </w:tc>
        <w:tc>
          <w:tcPr>
            <w:tcW w:w="1066" w:type="pct"/>
            <w:vAlign w:val="center"/>
          </w:tcPr>
          <w:p w14:paraId="204E8C5D">
            <w:pPr>
              <w:pStyle w:val="12"/>
              <w:jc w:val="center"/>
            </w:pPr>
            <w:r>
              <w:rPr>
                <w:rFonts w:hint="eastAsia"/>
              </w:rPr>
              <w:t>抗日游击队队员</w:t>
            </w:r>
          </w:p>
        </w:tc>
        <w:tc>
          <w:tcPr>
            <w:tcW w:w="1162" w:type="pct"/>
            <w:vAlign w:val="center"/>
          </w:tcPr>
          <w:p w14:paraId="794EBBB8">
            <w:pPr>
              <w:pStyle w:val="12"/>
              <w:jc w:val="left"/>
            </w:pPr>
            <w:r>
              <w:rPr>
                <w:rFonts w:hint="eastAsia"/>
              </w:rPr>
              <w:t>1940年在黄坑被捕就义</w:t>
            </w:r>
          </w:p>
        </w:tc>
      </w:tr>
      <w:tr w14:paraId="275B75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DEC9304">
            <w:pPr>
              <w:pStyle w:val="12"/>
              <w:jc w:val="center"/>
            </w:pPr>
            <w:r>
              <w:rPr>
                <w:rFonts w:hint="eastAsia"/>
              </w:rPr>
              <w:t>李剑华</w:t>
            </w:r>
          </w:p>
        </w:tc>
        <w:tc>
          <w:tcPr>
            <w:tcW w:w="388" w:type="pct"/>
            <w:vAlign w:val="center"/>
          </w:tcPr>
          <w:p w14:paraId="40371D8C">
            <w:pPr>
              <w:pStyle w:val="12"/>
              <w:jc w:val="center"/>
            </w:pPr>
            <w:r>
              <w:rPr>
                <w:rFonts w:hint="eastAsia"/>
              </w:rPr>
              <w:t>女</w:t>
            </w:r>
          </w:p>
        </w:tc>
        <w:tc>
          <w:tcPr>
            <w:tcW w:w="582" w:type="pct"/>
            <w:vAlign w:val="center"/>
          </w:tcPr>
          <w:p w14:paraId="2AFC7360">
            <w:pPr>
              <w:pStyle w:val="12"/>
              <w:jc w:val="center"/>
            </w:pPr>
            <w:r>
              <w:rPr>
                <w:rFonts w:hint="eastAsia"/>
              </w:rPr>
              <w:t>1922年</w:t>
            </w:r>
          </w:p>
        </w:tc>
        <w:tc>
          <w:tcPr>
            <w:tcW w:w="582" w:type="pct"/>
            <w:vAlign w:val="center"/>
          </w:tcPr>
          <w:p w14:paraId="2FAC8DBB">
            <w:pPr>
              <w:pStyle w:val="12"/>
              <w:jc w:val="center"/>
            </w:pPr>
            <w:r>
              <w:rPr>
                <w:rFonts w:hint="eastAsia"/>
              </w:rPr>
              <w:t>雄州镇</w:t>
            </w:r>
          </w:p>
        </w:tc>
        <w:tc>
          <w:tcPr>
            <w:tcW w:w="582" w:type="pct"/>
            <w:vAlign w:val="center"/>
          </w:tcPr>
          <w:p w14:paraId="2AEF296E">
            <w:pPr>
              <w:pStyle w:val="12"/>
              <w:jc w:val="center"/>
            </w:pPr>
            <w:r>
              <w:rPr>
                <w:rFonts w:hint="eastAsia"/>
              </w:rPr>
              <w:t>1940年</w:t>
            </w:r>
          </w:p>
        </w:tc>
        <w:tc>
          <w:tcPr>
            <w:tcW w:w="1066" w:type="pct"/>
            <w:vAlign w:val="center"/>
          </w:tcPr>
          <w:p w14:paraId="42958140">
            <w:pPr>
              <w:pStyle w:val="12"/>
              <w:jc w:val="center"/>
            </w:pPr>
            <w:r>
              <w:rPr>
                <w:rFonts w:hint="eastAsia"/>
              </w:rPr>
              <w:t>中共地下工作者</w:t>
            </w:r>
          </w:p>
        </w:tc>
        <w:tc>
          <w:tcPr>
            <w:tcW w:w="1162" w:type="pct"/>
            <w:vAlign w:val="center"/>
          </w:tcPr>
          <w:p w14:paraId="3B332A62">
            <w:pPr>
              <w:pStyle w:val="12"/>
              <w:jc w:val="left"/>
            </w:pPr>
            <w:r>
              <w:rPr>
                <w:rFonts w:hint="eastAsia"/>
              </w:rPr>
              <w:t>1940年9月在湖口小学被捕就义</w:t>
            </w:r>
          </w:p>
        </w:tc>
      </w:tr>
      <w:tr w14:paraId="48BD06F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668A884">
            <w:pPr>
              <w:pStyle w:val="12"/>
              <w:jc w:val="center"/>
            </w:pPr>
            <w:r>
              <w:rPr>
                <w:rFonts w:hint="eastAsia"/>
              </w:rPr>
              <w:t>刘奀俚</w:t>
            </w:r>
          </w:p>
        </w:tc>
        <w:tc>
          <w:tcPr>
            <w:tcW w:w="388" w:type="pct"/>
            <w:vAlign w:val="center"/>
          </w:tcPr>
          <w:p w14:paraId="2255EAAA">
            <w:pPr>
              <w:pStyle w:val="12"/>
              <w:jc w:val="center"/>
            </w:pPr>
            <w:r>
              <w:rPr>
                <w:rFonts w:hint="eastAsia"/>
              </w:rPr>
              <w:t>男</w:t>
            </w:r>
          </w:p>
        </w:tc>
        <w:tc>
          <w:tcPr>
            <w:tcW w:w="582" w:type="pct"/>
            <w:vAlign w:val="center"/>
          </w:tcPr>
          <w:p w14:paraId="7F998243">
            <w:pPr>
              <w:pStyle w:val="12"/>
              <w:jc w:val="center"/>
            </w:pPr>
            <w:r>
              <w:rPr>
                <w:rFonts w:hint="eastAsia"/>
              </w:rPr>
              <w:t>—</w:t>
            </w:r>
          </w:p>
        </w:tc>
        <w:tc>
          <w:tcPr>
            <w:tcW w:w="582" w:type="pct"/>
            <w:vAlign w:val="center"/>
          </w:tcPr>
          <w:p w14:paraId="4AA1DE67">
            <w:pPr>
              <w:pStyle w:val="12"/>
              <w:jc w:val="center"/>
            </w:pPr>
            <w:r>
              <w:rPr>
                <w:rFonts w:hint="eastAsia"/>
              </w:rPr>
              <w:t>乌迳镇</w:t>
            </w:r>
          </w:p>
        </w:tc>
        <w:tc>
          <w:tcPr>
            <w:tcW w:w="582" w:type="pct"/>
            <w:vAlign w:val="center"/>
          </w:tcPr>
          <w:p w14:paraId="12BCF4BB">
            <w:pPr>
              <w:pStyle w:val="12"/>
              <w:jc w:val="center"/>
            </w:pPr>
            <w:r>
              <w:rPr>
                <w:rFonts w:hint="eastAsia"/>
              </w:rPr>
              <w:t>1936年</w:t>
            </w:r>
          </w:p>
        </w:tc>
        <w:tc>
          <w:tcPr>
            <w:tcW w:w="1066" w:type="pct"/>
            <w:vAlign w:val="center"/>
          </w:tcPr>
          <w:p w14:paraId="0761C9B6">
            <w:pPr>
              <w:pStyle w:val="12"/>
              <w:jc w:val="center"/>
            </w:pPr>
            <w:r>
              <w:rPr>
                <w:rFonts w:hint="eastAsia"/>
              </w:rPr>
              <w:t>八路军35军战士</w:t>
            </w:r>
          </w:p>
        </w:tc>
        <w:tc>
          <w:tcPr>
            <w:tcW w:w="1162" w:type="pct"/>
            <w:vAlign w:val="center"/>
          </w:tcPr>
          <w:p w14:paraId="315FE70B">
            <w:pPr>
              <w:pStyle w:val="12"/>
              <w:jc w:val="left"/>
            </w:pPr>
            <w:r>
              <w:rPr>
                <w:rFonts w:hint="eastAsia"/>
              </w:rPr>
              <w:t>1940年2月随军行动牺牲</w:t>
            </w:r>
          </w:p>
        </w:tc>
      </w:tr>
      <w:tr w14:paraId="34822A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91627F3">
            <w:pPr>
              <w:pStyle w:val="12"/>
              <w:jc w:val="center"/>
            </w:pPr>
            <w:r>
              <w:rPr>
                <w:rFonts w:hint="eastAsia"/>
              </w:rPr>
              <w:t>肖大宏</w:t>
            </w:r>
          </w:p>
        </w:tc>
        <w:tc>
          <w:tcPr>
            <w:tcW w:w="388" w:type="pct"/>
            <w:vAlign w:val="center"/>
          </w:tcPr>
          <w:p w14:paraId="7655D8FF">
            <w:pPr>
              <w:pStyle w:val="12"/>
              <w:jc w:val="center"/>
            </w:pPr>
            <w:r>
              <w:rPr>
                <w:rFonts w:hint="eastAsia"/>
              </w:rPr>
              <w:t>男</w:t>
            </w:r>
          </w:p>
        </w:tc>
        <w:tc>
          <w:tcPr>
            <w:tcW w:w="582" w:type="pct"/>
            <w:vAlign w:val="center"/>
          </w:tcPr>
          <w:p w14:paraId="66BB6DD8">
            <w:pPr>
              <w:pStyle w:val="12"/>
              <w:jc w:val="center"/>
            </w:pPr>
            <w:r>
              <w:rPr>
                <w:rFonts w:hint="eastAsia"/>
              </w:rPr>
              <w:t>1916年</w:t>
            </w:r>
          </w:p>
        </w:tc>
        <w:tc>
          <w:tcPr>
            <w:tcW w:w="582" w:type="pct"/>
            <w:vAlign w:val="center"/>
          </w:tcPr>
          <w:p w14:paraId="00942BD4">
            <w:pPr>
              <w:pStyle w:val="12"/>
              <w:jc w:val="center"/>
            </w:pPr>
            <w:r>
              <w:rPr>
                <w:rFonts w:hint="eastAsia"/>
              </w:rPr>
              <w:t>湖口镇</w:t>
            </w:r>
          </w:p>
        </w:tc>
        <w:tc>
          <w:tcPr>
            <w:tcW w:w="582" w:type="pct"/>
            <w:vAlign w:val="center"/>
          </w:tcPr>
          <w:p w14:paraId="67260EE8">
            <w:pPr>
              <w:pStyle w:val="12"/>
              <w:jc w:val="center"/>
            </w:pPr>
            <w:r>
              <w:rPr>
                <w:rFonts w:hint="eastAsia"/>
              </w:rPr>
              <w:t>1937年</w:t>
            </w:r>
          </w:p>
        </w:tc>
        <w:tc>
          <w:tcPr>
            <w:tcW w:w="1066" w:type="pct"/>
            <w:vAlign w:val="center"/>
          </w:tcPr>
          <w:p w14:paraId="32318BA5">
            <w:pPr>
              <w:pStyle w:val="12"/>
              <w:jc w:val="center"/>
            </w:pPr>
            <w:r>
              <w:rPr>
                <w:rFonts w:hint="eastAsia"/>
              </w:rPr>
              <w:t>新四军侦察员</w:t>
            </w:r>
          </w:p>
        </w:tc>
        <w:tc>
          <w:tcPr>
            <w:tcW w:w="1162" w:type="pct"/>
            <w:vAlign w:val="center"/>
          </w:tcPr>
          <w:p w14:paraId="6A737672">
            <w:pPr>
              <w:pStyle w:val="12"/>
              <w:jc w:val="left"/>
            </w:pPr>
            <w:r>
              <w:rPr>
                <w:rFonts w:hint="eastAsia"/>
              </w:rPr>
              <w:t>1941年在江苏省某地站岗时被暗杀</w:t>
            </w:r>
          </w:p>
        </w:tc>
      </w:tr>
      <w:tr w14:paraId="6B3FF1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AC2A3CA">
            <w:pPr>
              <w:pStyle w:val="12"/>
              <w:jc w:val="center"/>
            </w:pPr>
            <w:r>
              <w:rPr>
                <w:rFonts w:hint="eastAsia"/>
              </w:rPr>
              <w:t>李德全</w:t>
            </w:r>
          </w:p>
        </w:tc>
        <w:tc>
          <w:tcPr>
            <w:tcW w:w="388" w:type="pct"/>
            <w:vAlign w:val="center"/>
          </w:tcPr>
          <w:p w14:paraId="794E7EB9">
            <w:pPr>
              <w:pStyle w:val="12"/>
              <w:jc w:val="center"/>
            </w:pPr>
            <w:r>
              <w:rPr>
                <w:rFonts w:hint="eastAsia"/>
              </w:rPr>
              <w:t>男</w:t>
            </w:r>
          </w:p>
        </w:tc>
        <w:tc>
          <w:tcPr>
            <w:tcW w:w="582" w:type="pct"/>
            <w:vAlign w:val="center"/>
          </w:tcPr>
          <w:p w14:paraId="29ECBF61">
            <w:pPr>
              <w:pStyle w:val="12"/>
              <w:jc w:val="center"/>
            </w:pPr>
            <w:r>
              <w:rPr>
                <w:rFonts w:hint="eastAsia"/>
              </w:rPr>
              <w:t>1904年</w:t>
            </w:r>
          </w:p>
        </w:tc>
        <w:tc>
          <w:tcPr>
            <w:tcW w:w="582" w:type="pct"/>
            <w:vAlign w:val="center"/>
          </w:tcPr>
          <w:p w14:paraId="73BA31F5">
            <w:pPr>
              <w:pStyle w:val="12"/>
              <w:jc w:val="center"/>
            </w:pPr>
            <w:r>
              <w:rPr>
                <w:rFonts w:hint="eastAsia"/>
              </w:rPr>
              <w:t>油山镇</w:t>
            </w:r>
          </w:p>
        </w:tc>
        <w:tc>
          <w:tcPr>
            <w:tcW w:w="582" w:type="pct"/>
            <w:vAlign w:val="center"/>
          </w:tcPr>
          <w:p w14:paraId="7699B10F">
            <w:pPr>
              <w:pStyle w:val="12"/>
              <w:jc w:val="center"/>
            </w:pPr>
            <w:r>
              <w:rPr>
                <w:rFonts w:hint="eastAsia"/>
              </w:rPr>
              <w:t>1928年</w:t>
            </w:r>
          </w:p>
        </w:tc>
        <w:tc>
          <w:tcPr>
            <w:tcW w:w="1066" w:type="pct"/>
            <w:vAlign w:val="center"/>
          </w:tcPr>
          <w:p w14:paraId="0AF55FEB">
            <w:pPr>
              <w:pStyle w:val="12"/>
              <w:jc w:val="center"/>
            </w:pPr>
            <w:r>
              <w:rPr>
                <w:rFonts w:hint="eastAsia"/>
              </w:rPr>
              <w:t>新四军连长</w:t>
            </w:r>
          </w:p>
        </w:tc>
        <w:tc>
          <w:tcPr>
            <w:tcW w:w="1162" w:type="pct"/>
            <w:vAlign w:val="center"/>
          </w:tcPr>
          <w:p w14:paraId="0FD238BE">
            <w:pPr>
              <w:pStyle w:val="12"/>
              <w:jc w:val="left"/>
            </w:pPr>
            <w:r>
              <w:rPr>
                <w:rFonts w:hint="eastAsia"/>
              </w:rPr>
              <w:t>1941年在皖南事变中牺牲</w:t>
            </w:r>
          </w:p>
        </w:tc>
      </w:tr>
      <w:tr w14:paraId="736896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B4ACBA8">
            <w:pPr>
              <w:pStyle w:val="12"/>
              <w:jc w:val="center"/>
            </w:pPr>
            <w:r>
              <w:rPr>
                <w:rFonts w:hint="eastAsia"/>
              </w:rPr>
              <w:t>廖正文</w:t>
            </w:r>
          </w:p>
        </w:tc>
        <w:tc>
          <w:tcPr>
            <w:tcW w:w="388" w:type="pct"/>
            <w:vAlign w:val="center"/>
          </w:tcPr>
          <w:p w14:paraId="6FF31B09">
            <w:pPr>
              <w:pStyle w:val="12"/>
              <w:jc w:val="center"/>
            </w:pPr>
            <w:r>
              <w:rPr>
                <w:rFonts w:hint="eastAsia"/>
              </w:rPr>
              <w:t>男</w:t>
            </w:r>
          </w:p>
        </w:tc>
        <w:tc>
          <w:tcPr>
            <w:tcW w:w="582" w:type="pct"/>
            <w:vAlign w:val="center"/>
          </w:tcPr>
          <w:p w14:paraId="2A797E1A">
            <w:pPr>
              <w:pStyle w:val="12"/>
              <w:jc w:val="center"/>
            </w:pPr>
            <w:r>
              <w:rPr>
                <w:rFonts w:hint="eastAsia"/>
              </w:rPr>
              <w:t>1912年</w:t>
            </w:r>
          </w:p>
        </w:tc>
        <w:tc>
          <w:tcPr>
            <w:tcW w:w="582" w:type="pct"/>
            <w:vAlign w:val="center"/>
          </w:tcPr>
          <w:p w14:paraId="7FAAAD8B">
            <w:pPr>
              <w:pStyle w:val="12"/>
              <w:jc w:val="center"/>
            </w:pPr>
            <w:r>
              <w:rPr>
                <w:rFonts w:hint="eastAsia"/>
              </w:rPr>
              <w:t>南雄</w:t>
            </w:r>
          </w:p>
        </w:tc>
        <w:tc>
          <w:tcPr>
            <w:tcW w:w="582" w:type="pct"/>
            <w:vAlign w:val="center"/>
          </w:tcPr>
          <w:p w14:paraId="1D67EA43">
            <w:pPr>
              <w:pStyle w:val="12"/>
              <w:jc w:val="center"/>
            </w:pPr>
            <w:r>
              <w:rPr>
                <w:rFonts w:hint="eastAsia"/>
              </w:rPr>
              <w:t>—</w:t>
            </w:r>
          </w:p>
        </w:tc>
        <w:tc>
          <w:tcPr>
            <w:tcW w:w="1066" w:type="pct"/>
            <w:vAlign w:val="center"/>
          </w:tcPr>
          <w:p w14:paraId="43543D91">
            <w:pPr>
              <w:pStyle w:val="12"/>
              <w:jc w:val="center"/>
              <w:rPr>
                <w:rFonts w:ascii="宋体" w:hAnsi="宋体" w:cs="宋体"/>
              </w:rPr>
            </w:pPr>
            <w:r>
              <w:rPr>
                <w:rFonts w:hint="eastAsia"/>
              </w:rPr>
              <w:t>新四军三支</w:t>
            </w:r>
          </w:p>
          <w:p w14:paraId="1C947D52">
            <w:pPr>
              <w:pStyle w:val="12"/>
              <w:jc w:val="center"/>
            </w:pPr>
            <w:r>
              <w:rPr>
                <w:rFonts w:hint="eastAsia" w:ascii="宋体" w:hAnsi="宋体" w:cs="宋体"/>
              </w:rPr>
              <w:t>队五团营长</w:t>
            </w:r>
          </w:p>
        </w:tc>
        <w:tc>
          <w:tcPr>
            <w:tcW w:w="1162" w:type="pct"/>
            <w:vAlign w:val="center"/>
          </w:tcPr>
          <w:p w14:paraId="77E399F9">
            <w:pPr>
              <w:pStyle w:val="12"/>
              <w:jc w:val="left"/>
            </w:pPr>
            <w:r>
              <w:rPr>
                <w:rFonts w:hint="eastAsia"/>
              </w:rPr>
              <w:t>1941年皖南事变被俘，1942年4月在上饶就义</w:t>
            </w:r>
          </w:p>
        </w:tc>
      </w:tr>
      <w:tr w14:paraId="40E6F2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A5E2820">
            <w:pPr>
              <w:pStyle w:val="12"/>
              <w:jc w:val="center"/>
            </w:pPr>
            <w:r>
              <w:rPr>
                <w:rFonts w:hint="eastAsia"/>
              </w:rPr>
              <w:t>袁忠清</w:t>
            </w:r>
          </w:p>
        </w:tc>
        <w:tc>
          <w:tcPr>
            <w:tcW w:w="388" w:type="pct"/>
            <w:vAlign w:val="center"/>
          </w:tcPr>
          <w:p w14:paraId="11287BBD">
            <w:pPr>
              <w:pStyle w:val="12"/>
              <w:jc w:val="center"/>
            </w:pPr>
            <w:r>
              <w:rPr>
                <w:rFonts w:hint="eastAsia"/>
              </w:rPr>
              <w:t>男</w:t>
            </w:r>
          </w:p>
        </w:tc>
        <w:tc>
          <w:tcPr>
            <w:tcW w:w="582" w:type="pct"/>
            <w:vAlign w:val="center"/>
          </w:tcPr>
          <w:p w14:paraId="63F1CCFF">
            <w:pPr>
              <w:pStyle w:val="12"/>
              <w:jc w:val="center"/>
            </w:pPr>
            <w:r>
              <w:rPr>
                <w:rFonts w:hint="eastAsia"/>
              </w:rPr>
              <w:t>1908年</w:t>
            </w:r>
          </w:p>
        </w:tc>
        <w:tc>
          <w:tcPr>
            <w:tcW w:w="582" w:type="pct"/>
            <w:vAlign w:val="center"/>
          </w:tcPr>
          <w:p w14:paraId="1E64EFC9">
            <w:pPr>
              <w:pStyle w:val="12"/>
              <w:jc w:val="center"/>
            </w:pPr>
            <w:r>
              <w:rPr>
                <w:rFonts w:hint="eastAsia"/>
              </w:rPr>
              <w:t>湖口镇</w:t>
            </w:r>
          </w:p>
        </w:tc>
        <w:tc>
          <w:tcPr>
            <w:tcW w:w="582" w:type="pct"/>
            <w:vAlign w:val="center"/>
          </w:tcPr>
          <w:p w14:paraId="14890E56">
            <w:pPr>
              <w:pStyle w:val="12"/>
              <w:jc w:val="center"/>
            </w:pPr>
            <w:r>
              <w:rPr>
                <w:rFonts w:hint="eastAsia"/>
              </w:rPr>
              <w:t>1936年</w:t>
            </w:r>
          </w:p>
        </w:tc>
        <w:tc>
          <w:tcPr>
            <w:tcW w:w="1066" w:type="pct"/>
            <w:vAlign w:val="center"/>
          </w:tcPr>
          <w:p w14:paraId="0D847619">
            <w:pPr>
              <w:pStyle w:val="12"/>
              <w:jc w:val="center"/>
            </w:pPr>
            <w:r>
              <w:rPr>
                <w:rFonts w:hint="eastAsia"/>
              </w:rPr>
              <w:t>新四军副营长</w:t>
            </w:r>
          </w:p>
        </w:tc>
        <w:tc>
          <w:tcPr>
            <w:tcW w:w="1162" w:type="pct"/>
            <w:vAlign w:val="center"/>
          </w:tcPr>
          <w:p w14:paraId="34DCD5CD">
            <w:pPr>
              <w:pStyle w:val="12"/>
              <w:jc w:val="left"/>
            </w:pPr>
            <w:r>
              <w:rPr>
                <w:rFonts w:hint="eastAsia"/>
              </w:rPr>
              <w:t>1942年在江苏省对日作战牺牲</w:t>
            </w:r>
          </w:p>
        </w:tc>
      </w:tr>
      <w:tr w14:paraId="020211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F97E28C">
            <w:pPr>
              <w:pStyle w:val="12"/>
              <w:jc w:val="center"/>
            </w:pPr>
            <w:r>
              <w:rPr>
                <w:rFonts w:hint="eastAsia"/>
              </w:rPr>
              <w:t>袁华秀</w:t>
            </w:r>
          </w:p>
        </w:tc>
        <w:tc>
          <w:tcPr>
            <w:tcW w:w="388" w:type="pct"/>
            <w:vAlign w:val="center"/>
          </w:tcPr>
          <w:p w14:paraId="0BEAED18">
            <w:pPr>
              <w:pStyle w:val="12"/>
              <w:jc w:val="center"/>
            </w:pPr>
            <w:r>
              <w:rPr>
                <w:rFonts w:hint="eastAsia"/>
              </w:rPr>
              <w:t>男</w:t>
            </w:r>
          </w:p>
        </w:tc>
        <w:tc>
          <w:tcPr>
            <w:tcW w:w="582" w:type="pct"/>
            <w:vAlign w:val="center"/>
          </w:tcPr>
          <w:p w14:paraId="1C8FD66A">
            <w:pPr>
              <w:pStyle w:val="12"/>
              <w:jc w:val="center"/>
            </w:pPr>
            <w:r>
              <w:rPr>
                <w:rFonts w:hint="eastAsia"/>
              </w:rPr>
              <w:t>1917年</w:t>
            </w:r>
          </w:p>
        </w:tc>
        <w:tc>
          <w:tcPr>
            <w:tcW w:w="582" w:type="pct"/>
            <w:vAlign w:val="center"/>
          </w:tcPr>
          <w:p w14:paraId="15B119C5">
            <w:pPr>
              <w:pStyle w:val="12"/>
              <w:jc w:val="center"/>
            </w:pPr>
            <w:r>
              <w:rPr>
                <w:rFonts w:hint="eastAsia"/>
              </w:rPr>
              <w:t>湖口镇</w:t>
            </w:r>
          </w:p>
        </w:tc>
        <w:tc>
          <w:tcPr>
            <w:tcW w:w="582" w:type="pct"/>
            <w:vAlign w:val="center"/>
          </w:tcPr>
          <w:p w14:paraId="3477CDBC">
            <w:pPr>
              <w:pStyle w:val="12"/>
              <w:jc w:val="center"/>
            </w:pPr>
            <w:r>
              <w:rPr>
                <w:rFonts w:hint="eastAsia"/>
              </w:rPr>
              <w:t>1937年</w:t>
            </w:r>
          </w:p>
        </w:tc>
        <w:tc>
          <w:tcPr>
            <w:tcW w:w="1066" w:type="pct"/>
            <w:vAlign w:val="center"/>
          </w:tcPr>
          <w:p w14:paraId="7793BCE7">
            <w:pPr>
              <w:pStyle w:val="12"/>
              <w:jc w:val="center"/>
            </w:pPr>
            <w:r>
              <w:rPr>
                <w:rFonts w:hint="eastAsia"/>
              </w:rPr>
              <w:t>新四军营长</w:t>
            </w:r>
          </w:p>
        </w:tc>
        <w:tc>
          <w:tcPr>
            <w:tcW w:w="1162" w:type="pct"/>
            <w:vAlign w:val="center"/>
          </w:tcPr>
          <w:p w14:paraId="5C359EDC">
            <w:pPr>
              <w:pStyle w:val="12"/>
              <w:jc w:val="left"/>
            </w:pPr>
            <w:r>
              <w:rPr>
                <w:rFonts w:hint="eastAsia"/>
              </w:rPr>
              <w:t>1942年在江苏省对日作战牺牲</w:t>
            </w:r>
          </w:p>
        </w:tc>
      </w:tr>
      <w:tr w14:paraId="6E49DB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9CD01C9">
            <w:pPr>
              <w:pStyle w:val="12"/>
              <w:jc w:val="center"/>
            </w:pPr>
            <w:r>
              <w:rPr>
                <w:rFonts w:hint="eastAsia"/>
              </w:rPr>
              <w:t>刘奀哆</w:t>
            </w:r>
          </w:p>
        </w:tc>
        <w:tc>
          <w:tcPr>
            <w:tcW w:w="388" w:type="pct"/>
            <w:vAlign w:val="center"/>
          </w:tcPr>
          <w:p w14:paraId="66630460">
            <w:pPr>
              <w:pStyle w:val="12"/>
              <w:jc w:val="center"/>
            </w:pPr>
            <w:r>
              <w:rPr>
                <w:rFonts w:hint="eastAsia"/>
              </w:rPr>
              <w:t>男</w:t>
            </w:r>
          </w:p>
        </w:tc>
        <w:tc>
          <w:tcPr>
            <w:tcW w:w="582" w:type="pct"/>
            <w:vAlign w:val="center"/>
          </w:tcPr>
          <w:p w14:paraId="3E7C3C63">
            <w:pPr>
              <w:pStyle w:val="12"/>
              <w:jc w:val="center"/>
            </w:pPr>
            <w:r>
              <w:rPr>
                <w:rFonts w:hint="eastAsia"/>
              </w:rPr>
              <w:t>1912年</w:t>
            </w:r>
          </w:p>
        </w:tc>
        <w:tc>
          <w:tcPr>
            <w:tcW w:w="582" w:type="pct"/>
            <w:vAlign w:val="center"/>
          </w:tcPr>
          <w:p w14:paraId="79BAEA79">
            <w:pPr>
              <w:pStyle w:val="12"/>
              <w:jc w:val="center"/>
            </w:pPr>
            <w:r>
              <w:rPr>
                <w:rFonts w:hint="eastAsia"/>
              </w:rPr>
              <w:t>乌迳镇</w:t>
            </w:r>
          </w:p>
        </w:tc>
        <w:tc>
          <w:tcPr>
            <w:tcW w:w="582" w:type="pct"/>
            <w:vAlign w:val="center"/>
          </w:tcPr>
          <w:p w14:paraId="495450F6">
            <w:pPr>
              <w:pStyle w:val="12"/>
              <w:jc w:val="center"/>
            </w:pPr>
            <w:r>
              <w:rPr>
                <w:rFonts w:hint="eastAsia"/>
              </w:rPr>
              <w:t>1931年</w:t>
            </w:r>
          </w:p>
        </w:tc>
        <w:tc>
          <w:tcPr>
            <w:tcW w:w="1066" w:type="pct"/>
            <w:vAlign w:val="center"/>
          </w:tcPr>
          <w:p w14:paraId="722A46AC">
            <w:pPr>
              <w:pStyle w:val="12"/>
              <w:jc w:val="center"/>
            </w:pPr>
            <w:r>
              <w:rPr>
                <w:rFonts w:hint="eastAsia"/>
              </w:rPr>
              <w:t>抗日游击队队员</w:t>
            </w:r>
          </w:p>
        </w:tc>
        <w:tc>
          <w:tcPr>
            <w:tcW w:w="1162" w:type="pct"/>
            <w:vAlign w:val="center"/>
          </w:tcPr>
          <w:p w14:paraId="3EC7F016">
            <w:pPr>
              <w:pStyle w:val="12"/>
              <w:jc w:val="left"/>
            </w:pPr>
            <w:r>
              <w:rPr>
                <w:rFonts w:hint="eastAsia"/>
              </w:rPr>
              <w:t>1942年在江西省洞塞坊作战牺牲</w:t>
            </w:r>
          </w:p>
        </w:tc>
      </w:tr>
      <w:tr w14:paraId="40F972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C39D387">
            <w:pPr>
              <w:pStyle w:val="12"/>
              <w:jc w:val="center"/>
            </w:pPr>
            <w:r>
              <w:rPr>
                <w:rFonts w:hint="eastAsia"/>
              </w:rPr>
              <w:t>李其标</w:t>
            </w:r>
          </w:p>
        </w:tc>
        <w:tc>
          <w:tcPr>
            <w:tcW w:w="388" w:type="pct"/>
            <w:vAlign w:val="center"/>
          </w:tcPr>
          <w:p w14:paraId="3E788686">
            <w:pPr>
              <w:pStyle w:val="12"/>
              <w:jc w:val="center"/>
            </w:pPr>
            <w:r>
              <w:rPr>
                <w:rFonts w:hint="eastAsia"/>
              </w:rPr>
              <w:t>男</w:t>
            </w:r>
          </w:p>
        </w:tc>
        <w:tc>
          <w:tcPr>
            <w:tcW w:w="582" w:type="pct"/>
            <w:vAlign w:val="center"/>
          </w:tcPr>
          <w:p w14:paraId="144CCAA3">
            <w:pPr>
              <w:pStyle w:val="12"/>
              <w:jc w:val="center"/>
            </w:pPr>
            <w:r>
              <w:rPr>
                <w:rFonts w:hint="eastAsia"/>
              </w:rPr>
              <w:t>1913年</w:t>
            </w:r>
          </w:p>
        </w:tc>
        <w:tc>
          <w:tcPr>
            <w:tcW w:w="582" w:type="pct"/>
            <w:vAlign w:val="center"/>
          </w:tcPr>
          <w:p w14:paraId="2A535E81">
            <w:pPr>
              <w:pStyle w:val="12"/>
              <w:jc w:val="center"/>
            </w:pPr>
            <w:r>
              <w:rPr>
                <w:rFonts w:hint="eastAsia"/>
              </w:rPr>
              <w:t>乌迳镇</w:t>
            </w:r>
          </w:p>
        </w:tc>
        <w:tc>
          <w:tcPr>
            <w:tcW w:w="582" w:type="pct"/>
            <w:vAlign w:val="center"/>
          </w:tcPr>
          <w:p w14:paraId="3EEC93B6">
            <w:pPr>
              <w:pStyle w:val="12"/>
              <w:jc w:val="center"/>
            </w:pPr>
            <w:r>
              <w:rPr>
                <w:rFonts w:hint="eastAsia"/>
              </w:rPr>
              <w:t>1931年</w:t>
            </w:r>
          </w:p>
        </w:tc>
        <w:tc>
          <w:tcPr>
            <w:tcW w:w="1066" w:type="pct"/>
            <w:vAlign w:val="center"/>
          </w:tcPr>
          <w:p w14:paraId="66F07FAF">
            <w:pPr>
              <w:pStyle w:val="12"/>
              <w:jc w:val="center"/>
            </w:pPr>
            <w:r>
              <w:rPr>
                <w:rFonts w:hint="eastAsia"/>
              </w:rPr>
              <w:t>抗日游击队队员</w:t>
            </w:r>
          </w:p>
        </w:tc>
        <w:tc>
          <w:tcPr>
            <w:tcW w:w="1162" w:type="pct"/>
            <w:vAlign w:val="center"/>
          </w:tcPr>
          <w:p w14:paraId="1A6FD380">
            <w:pPr>
              <w:pStyle w:val="12"/>
              <w:jc w:val="left"/>
            </w:pPr>
            <w:r>
              <w:rPr>
                <w:rFonts w:hint="eastAsia"/>
              </w:rPr>
              <w:t>1943年在龙国陂被捕，在南雄城郊就义</w:t>
            </w:r>
          </w:p>
        </w:tc>
      </w:tr>
      <w:tr w14:paraId="41E802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3CF288F">
            <w:pPr>
              <w:pStyle w:val="12"/>
              <w:jc w:val="center"/>
            </w:pPr>
            <w:r>
              <w:rPr>
                <w:rFonts w:hint="eastAsia"/>
              </w:rPr>
              <w:t>胡译金</w:t>
            </w:r>
          </w:p>
        </w:tc>
        <w:tc>
          <w:tcPr>
            <w:tcW w:w="388" w:type="pct"/>
            <w:vAlign w:val="center"/>
          </w:tcPr>
          <w:p w14:paraId="421AA7BE">
            <w:pPr>
              <w:pStyle w:val="12"/>
              <w:jc w:val="center"/>
            </w:pPr>
            <w:r>
              <w:rPr>
                <w:rFonts w:hint="eastAsia"/>
              </w:rPr>
              <w:t>男</w:t>
            </w:r>
          </w:p>
        </w:tc>
        <w:tc>
          <w:tcPr>
            <w:tcW w:w="582" w:type="pct"/>
            <w:vAlign w:val="center"/>
          </w:tcPr>
          <w:p w14:paraId="1B108418">
            <w:pPr>
              <w:pStyle w:val="12"/>
              <w:jc w:val="center"/>
            </w:pPr>
            <w:r>
              <w:rPr>
                <w:rFonts w:hint="eastAsia"/>
              </w:rPr>
              <w:t>1915年</w:t>
            </w:r>
          </w:p>
        </w:tc>
        <w:tc>
          <w:tcPr>
            <w:tcW w:w="582" w:type="pct"/>
            <w:vAlign w:val="center"/>
          </w:tcPr>
          <w:p w14:paraId="3A510235">
            <w:pPr>
              <w:pStyle w:val="12"/>
              <w:jc w:val="center"/>
            </w:pPr>
            <w:r>
              <w:rPr>
                <w:rFonts w:hint="eastAsia"/>
              </w:rPr>
              <w:t>珠玑镇</w:t>
            </w:r>
          </w:p>
        </w:tc>
        <w:tc>
          <w:tcPr>
            <w:tcW w:w="582" w:type="pct"/>
            <w:vAlign w:val="center"/>
          </w:tcPr>
          <w:p w14:paraId="09420A5D">
            <w:pPr>
              <w:pStyle w:val="12"/>
              <w:jc w:val="center"/>
            </w:pPr>
            <w:r>
              <w:rPr>
                <w:rFonts w:hint="eastAsia"/>
              </w:rPr>
              <w:t>1942年</w:t>
            </w:r>
          </w:p>
        </w:tc>
        <w:tc>
          <w:tcPr>
            <w:tcW w:w="1066" w:type="pct"/>
            <w:vAlign w:val="center"/>
          </w:tcPr>
          <w:p w14:paraId="2E5CF1AB">
            <w:pPr>
              <w:pStyle w:val="12"/>
              <w:jc w:val="center"/>
            </w:pPr>
            <w:r>
              <w:rPr>
                <w:rFonts w:hint="eastAsia"/>
              </w:rPr>
              <w:t>抗日游击队队员</w:t>
            </w:r>
          </w:p>
        </w:tc>
        <w:tc>
          <w:tcPr>
            <w:tcW w:w="1162" w:type="pct"/>
            <w:vAlign w:val="center"/>
          </w:tcPr>
          <w:p w14:paraId="1E6F45FF">
            <w:pPr>
              <w:pStyle w:val="12"/>
              <w:jc w:val="left"/>
            </w:pPr>
            <w:r>
              <w:rPr>
                <w:rFonts w:hint="eastAsia"/>
              </w:rPr>
              <w:t>1943年在石塘青山口被捕就义</w:t>
            </w:r>
          </w:p>
        </w:tc>
      </w:tr>
      <w:tr w14:paraId="02EDA6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3D139DA">
            <w:pPr>
              <w:pStyle w:val="12"/>
              <w:jc w:val="center"/>
            </w:pPr>
            <w:r>
              <w:rPr>
                <w:rFonts w:hint="eastAsia"/>
              </w:rPr>
              <w:t>吴春林</w:t>
            </w:r>
          </w:p>
        </w:tc>
        <w:tc>
          <w:tcPr>
            <w:tcW w:w="388" w:type="pct"/>
            <w:vAlign w:val="center"/>
          </w:tcPr>
          <w:p w14:paraId="22CD7976">
            <w:pPr>
              <w:pStyle w:val="12"/>
              <w:jc w:val="center"/>
            </w:pPr>
            <w:r>
              <w:rPr>
                <w:rFonts w:hint="eastAsia"/>
              </w:rPr>
              <w:t>男</w:t>
            </w:r>
          </w:p>
        </w:tc>
        <w:tc>
          <w:tcPr>
            <w:tcW w:w="582" w:type="pct"/>
            <w:vAlign w:val="center"/>
          </w:tcPr>
          <w:p w14:paraId="22EC6BAB">
            <w:pPr>
              <w:pStyle w:val="12"/>
              <w:jc w:val="center"/>
            </w:pPr>
            <w:r>
              <w:rPr>
                <w:rFonts w:hint="eastAsia"/>
              </w:rPr>
              <w:t>1919年</w:t>
            </w:r>
          </w:p>
        </w:tc>
        <w:tc>
          <w:tcPr>
            <w:tcW w:w="582" w:type="pct"/>
            <w:vAlign w:val="center"/>
          </w:tcPr>
          <w:p w14:paraId="7A5268D2">
            <w:pPr>
              <w:pStyle w:val="12"/>
              <w:jc w:val="center"/>
            </w:pPr>
            <w:r>
              <w:rPr>
                <w:rFonts w:hint="eastAsia"/>
              </w:rPr>
              <w:t>湖口镇</w:t>
            </w:r>
          </w:p>
        </w:tc>
        <w:tc>
          <w:tcPr>
            <w:tcW w:w="582" w:type="pct"/>
            <w:vAlign w:val="center"/>
          </w:tcPr>
          <w:p w14:paraId="354573EA">
            <w:pPr>
              <w:pStyle w:val="12"/>
              <w:jc w:val="center"/>
            </w:pPr>
            <w:r>
              <w:rPr>
                <w:rFonts w:hint="eastAsia"/>
              </w:rPr>
              <w:t>1941年</w:t>
            </w:r>
          </w:p>
        </w:tc>
        <w:tc>
          <w:tcPr>
            <w:tcW w:w="1066" w:type="pct"/>
            <w:vAlign w:val="center"/>
          </w:tcPr>
          <w:p w14:paraId="2CFD6F15">
            <w:pPr>
              <w:pStyle w:val="12"/>
              <w:jc w:val="center"/>
            </w:pPr>
            <w:r>
              <w:rPr>
                <w:rFonts w:hint="eastAsia"/>
              </w:rPr>
              <w:t>抗日游击队队员</w:t>
            </w:r>
          </w:p>
        </w:tc>
        <w:tc>
          <w:tcPr>
            <w:tcW w:w="1162" w:type="pct"/>
            <w:vAlign w:val="center"/>
          </w:tcPr>
          <w:p w14:paraId="46C0C22A">
            <w:pPr>
              <w:pStyle w:val="12"/>
              <w:jc w:val="left"/>
            </w:pPr>
            <w:r>
              <w:rPr>
                <w:rFonts w:hint="eastAsia"/>
              </w:rPr>
              <w:t>1944年在本县抗日战斗中牺牲</w:t>
            </w:r>
          </w:p>
        </w:tc>
      </w:tr>
      <w:tr w14:paraId="0C7D0C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5F1AF90">
            <w:pPr>
              <w:pStyle w:val="12"/>
              <w:jc w:val="center"/>
            </w:pPr>
            <w:r>
              <w:rPr>
                <w:rFonts w:hint="eastAsia"/>
              </w:rPr>
              <w:t>张功佩</w:t>
            </w:r>
          </w:p>
        </w:tc>
        <w:tc>
          <w:tcPr>
            <w:tcW w:w="388" w:type="pct"/>
            <w:vAlign w:val="center"/>
          </w:tcPr>
          <w:p w14:paraId="454165C8">
            <w:pPr>
              <w:pStyle w:val="12"/>
              <w:jc w:val="center"/>
            </w:pPr>
            <w:r>
              <w:rPr>
                <w:rFonts w:hint="eastAsia"/>
              </w:rPr>
              <w:t>男</w:t>
            </w:r>
          </w:p>
        </w:tc>
        <w:tc>
          <w:tcPr>
            <w:tcW w:w="582" w:type="pct"/>
            <w:vAlign w:val="center"/>
          </w:tcPr>
          <w:p w14:paraId="4123E7A3">
            <w:pPr>
              <w:pStyle w:val="12"/>
              <w:jc w:val="center"/>
            </w:pPr>
            <w:r>
              <w:rPr>
                <w:rFonts w:hint="eastAsia"/>
              </w:rPr>
              <w:t>1909年</w:t>
            </w:r>
          </w:p>
        </w:tc>
        <w:tc>
          <w:tcPr>
            <w:tcW w:w="582" w:type="pct"/>
            <w:vAlign w:val="center"/>
          </w:tcPr>
          <w:p w14:paraId="4416A01B">
            <w:pPr>
              <w:pStyle w:val="12"/>
              <w:jc w:val="center"/>
            </w:pPr>
            <w:r>
              <w:rPr>
                <w:rFonts w:hint="eastAsia"/>
              </w:rPr>
              <w:t>湖口镇</w:t>
            </w:r>
          </w:p>
        </w:tc>
        <w:tc>
          <w:tcPr>
            <w:tcW w:w="582" w:type="pct"/>
            <w:vAlign w:val="center"/>
          </w:tcPr>
          <w:p w14:paraId="06FA51F5">
            <w:pPr>
              <w:pStyle w:val="12"/>
              <w:jc w:val="center"/>
            </w:pPr>
            <w:r>
              <w:rPr>
                <w:rFonts w:hint="eastAsia"/>
              </w:rPr>
              <w:t>1937年</w:t>
            </w:r>
          </w:p>
        </w:tc>
        <w:tc>
          <w:tcPr>
            <w:tcW w:w="1066" w:type="pct"/>
            <w:vAlign w:val="center"/>
          </w:tcPr>
          <w:p w14:paraId="23109ADE">
            <w:pPr>
              <w:pStyle w:val="12"/>
              <w:jc w:val="center"/>
            </w:pPr>
            <w:r>
              <w:rPr>
                <w:rFonts w:hint="eastAsia"/>
              </w:rPr>
              <w:t>八路军干部</w:t>
            </w:r>
          </w:p>
        </w:tc>
        <w:tc>
          <w:tcPr>
            <w:tcW w:w="1162" w:type="pct"/>
            <w:vAlign w:val="center"/>
          </w:tcPr>
          <w:p w14:paraId="7F9E63C8">
            <w:pPr>
              <w:pStyle w:val="12"/>
              <w:jc w:val="left"/>
            </w:pPr>
            <w:r>
              <w:rPr>
                <w:rFonts w:hint="eastAsia"/>
              </w:rPr>
              <w:t>1944年在河北唐县作战牺牲</w:t>
            </w:r>
          </w:p>
        </w:tc>
      </w:tr>
      <w:tr w14:paraId="2A70FC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1640B39">
            <w:pPr>
              <w:pStyle w:val="12"/>
              <w:jc w:val="center"/>
            </w:pPr>
            <w:r>
              <w:rPr>
                <w:rFonts w:hint="eastAsia"/>
              </w:rPr>
              <w:t>何  魁</w:t>
            </w:r>
          </w:p>
        </w:tc>
        <w:tc>
          <w:tcPr>
            <w:tcW w:w="388" w:type="pct"/>
            <w:vAlign w:val="center"/>
          </w:tcPr>
          <w:p w14:paraId="130932C8">
            <w:pPr>
              <w:pStyle w:val="12"/>
              <w:jc w:val="center"/>
            </w:pPr>
            <w:r>
              <w:rPr>
                <w:rFonts w:hint="eastAsia"/>
              </w:rPr>
              <w:t>男</w:t>
            </w:r>
          </w:p>
        </w:tc>
        <w:tc>
          <w:tcPr>
            <w:tcW w:w="582" w:type="pct"/>
            <w:vAlign w:val="center"/>
          </w:tcPr>
          <w:p w14:paraId="6F2ADF56">
            <w:pPr>
              <w:pStyle w:val="12"/>
              <w:jc w:val="center"/>
            </w:pPr>
            <w:r>
              <w:rPr>
                <w:rFonts w:hint="eastAsia"/>
              </w:rPr>
              <w:t>1914年</w:t>
            </w:r>
          </w:p>
        </w:tc>
        <w:tc>
          <w:tcPr>
            <w:tcW w:w="582" w:type="pct"/>
            <w:vAlign w:val="center"/>
          </w:tcPr>
          <w:p w14:paraId="76042B6E">
            <w:pPr>
              <w:pStyle w:val="12"/>
              <w:jc w:val="center"/>
            </w:pPr>
            <w:r>
              <w:rPr>
                <w:rFonts w:hint="eastAsia"/>
              </w:rPr>
              <w:t>珠玑镇</w:t>
            </w:r>
          </w:p>
        </w:tc>
        <w:tc>
          <w:tcPr>
            <w:tcW w:w="582" w:type="pct"/>
            <w:vAlign w:val="center"/>
          </w:tcPr>
          <w:p w14:paraId="70695EDB">
            <w:pPr>
              <w:pStyle w:val="12"/>
              <w:jc w:val="center"/>
            </w:pPr>
            <w:r>
              <w:rPr>
                <w:rFonts w:hint="eastAsia"/>
              </w:rPr>
              <w:t>1937年</w:t>
            </w:r>
          </w:p>
        </w:tc>
        <w:tc>
          <w:tcPr>
            <w:tcW w:w="1066" w:type="pct"/>
            <w:vAlign w:val="center"/>
          </w:tcPr>
          <w:p w14:paraId="0825C6FF">
            <w:pPr>
              <w:pStyle w:val="12"/>
              <w:jc w:val="center"/>
            </w:pPr>
            <w:r>
              <w:rPr>
                <w:rFonts w:hint="eastAsia"/>
              </w:rPr>
              <w:t>新四军指导员</w:t>
            </w:r>
          </w:p>
        </w:tc>
        <w:tc>
          <w:tcPr>
            <w:tcW w:w="1162" w:type="pct"/>
            <w:vAlign w:val="center"/>
          </w:tcPr>
          <w:p w14:paraId="6ED15CA9">
            <w:pPr>
              <w:pStyle w:val="12"/>
              <w:jc w:val="left"/>
            </w:pPr>
            <w:r>
              <w:rPr>
                <w:rFonts w:hint="eastAsia"/>
              </w:rPr>
              <w:t>1944年对日作战牺牲</w:t>
            </w:r>
          </w:p>
        </w:tc>
      </w:tr>
      <w:tr w14:paraId="66C3D9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997055F">
            <w:pPr>
              <w:pStyle w:val="12"/>
              <w:jc w:val="center"/>
            </w:pPr>
            <w:r>
              <w:rPr>
                <w:rFonts w:hint="eastAsia"/>
              </w:rPr>
              <w:t>叶鸡生</w:t>
            </w:r>
          </w:p>
        </w:tc>
        <w:tc>
          <w:tcPr>
            <w:tcW w:w="388" w:type="pct"/>
            <w:vAlign w:val="center"/>
          </w:tcPr>
          <w:p w14:paraId="15F559A4">
            <w:pPr>
              <w:pStyle w:val="12"/>
              <w:jc w:val="center"/>
            </w:pPr>
            <w:r>
              <w:rPr>
                <w:rFonts w:hint="eastAsia"/>
              </w:rPr>
              <w:t>男</w:t>
            </w:r>
          </w:p>
        </w:tc>
        <w:tc>
          <w:tcPr>
            <w:tcW w:w="582" w:type="pct"/>
            <w:vAlign w:val="center"/>
          </w:tcPr>
          <w:p w14:paraId="5A774237">
            <w:pPr>
              <w:pStyle w:val="12"/>
              <w:jc w:val="center"/>
            </w:pPr>
            <w:r>
              <w:rPr>
                <w:rFonts w:hint="eastAsia"/>
              </w:rPr>
              <w:t>1913年</w:t>
            </w:r>
          </w:p>
        </w:tc>
        <w:tc>
          <w:tcPr>
            <w:tcW w:w="582" w:type="pct"/>
            <w:vAlign w:val="center"/>
          </w:tcPr>
          <w:p w14:paraId="28D1A0FF">
            <w:pPr>
              <w:pStyle w:val="12"/>
              <w:jc w:val="center"/>
            </w:pPr>
            <w:r>
              <w:rPr>
                <w:rFonts w:hint="eastAsia"/>
              </w:rPr>
              <w:t>坪田镇</w:t>
            </w:r>
          </w:p>
        </w:tc>
        <w:tc>
          <w:tcPr>
            <w:tcW w:w="582" w:type="pct"/>
            <w:vAlign w:val="center"/>
          </w:tcPr>
          <w:p w14:paraId="3607663F">
            <w:pPr>
              <w:pStyle w:val="12"/>
              <w:jc w:val="center"/>
            </w:pPr>
            <w:r>
              <w:rPr>
                <w:rFonts w:hint="eastAsia"/>
              </w:rPr>
              <w:t>1942年</w:t>
            </w:r>
          </w:p>
        </w:tc>
        <w:tc>
          <w:tcPr>
            <w:tcW w:w="1066" w:type="pct"/>
            <w:vAlign w:val="center"/>
          </w:tcPr>
          <w:p w14:paraId="13C2A095">
            <w:pPr>
              <w:pStyle w:val="12"/>
              <w:jc w:val="center"/>
            </w:pPr>
            <w:r>
              <w:rPr>
                <w:rFonts w:hint="eastAsia"/>
              </w:rPr>
              <w:t>抗日游击队队员</w:t>
            </w:r>
          </w:p>
        </w:tc>
        <w:tc>
          <w:tcPr>
            <w:tcW w:w="1162" w:type="pct"/>
            <w:vAlign w:val="center"/>
          </w:tcPr>
          <w:p w14:paraId="67F0627A">
            <w:pPr>
              <w:pStyle w:val="12"/>
              <w:jc w:val="left"/>
            </w:pPr>
            <w:r>
              <w:rPr>
                <w:rFonts w:hint="eastAsia"/>
              </w:rPr>
              <w:t>1944年在江西省江口战斗牺牲</w:t>
            </w:r>
          </w:p>
        </w:tc>
      </w:tr>
      <w:tr w14:paraId="1454A9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3A4EAD9">
            <w:pPr>
              <w:pStyle w:val="12"/>
              <w:jc w:val="center"/>
            </w:pPr>
            <w:r>
              <w:rPr>
                <w:rFonts w:hint="eastAsia"/>
              </w:rPr>
              <w:t>邓程生</w:t>
            </w:r>
          </w:p>
        </w:tc>
        <w:tc>
          <w:tcPr>
            <w:tcW w:w="388" w:type="pct"/>
            <w:vAlign w:val="center"/>
          </w:tcPr>
          <w:p w14:paraId="758B9BF6">
            <w:pPr>
              <w:pStyle w:val="12"/>
              <w:jc w:val="center"/>
            </w:pPr>
            <w:r>
              <w:rPr>
                <w:rFonts w:hint="eastAsia"/>
              </w:rPr>
              <w:t>男</w:t>
            </w:r>
          </w:p>
        </w:tc>
        <w:tc>
          <w:tcPr>
            <w:tcW w:w="582" w:type="pct"/>
            <w:vAlign w:val="center"/>
          </w:tcPr>
          <w:p w14:paraId="00EC2B33">
            <w:pPr>
              <w:pStyle w:val="12"/>
              <w:jc w:val="center"/>
            </w:pPr>
            <w:r>
              <w:rPr>
                <w:rFonts w:hint="eastAsia"/>
              </w:rPr>
              <w:t>1918年</w:t>
            </w:r>
          </w:p>
        </w:tc>
        <w:tc>
          <w:tcPr>
            <w:tcW w:w="582" w:type="pct"/>
            <w:vAlign w:val="center"/>
          </w:tcPr>
          <w:p w14:paraId="336D0317">
            <w:pPr>
              <w:pStyle w:val="12"/>
              <w:jc w:val="center"/>
            </w:pPr>
            <w:r>
              <w:rPr>
                <w:rFonts w:hint="eastAsia"/>
              </w:rPr>
              <w:t>珠玑镇</w:t>
            </w:r>
          </w:p>
        </w:tc>
        <w:tc>
          <w:tcPr>
            <w:tcW w:w="582" w:type="pct"/>
            <w:vAlign w:val="center"/>
          </w:tcPr>
          <w:p w14:paraId="3E3E59FE">
            <w:pPr>
              <w:pStyle w:val="12"/>
              <w:jc w:val="center"/>
            </w:pPr>
            <w:r>
              <w:rPr>
                <w:rFonts w:hint="eastAsia"/>
              </w:rPr>
              <w:t>1937年</w:t>
            </w:r>
          </w:p>
        </w:tc>
        <w:tc>
          <w:tcPr>
            <w:tcW w:w="1066" w:type="pct"/>
            <w:vAlign w:val="center"/>
          </w:tcPr>
          <w:p w14:paraId="62C84950">
            <w:pPr>
              <w:pStyle w:val="12"/>
              <w:jc w:val="center"/>
            </w:pPr>
            <w:r>
              <w:rPr>
                <w:rFonts w:hint="eastAsia"/>
              </w:rPr>
              <w:t>新四军战士</w:t>
            </w:r>
          </w:p>
        </w:tc>
        <w:tc>
          <w:tcPr>
            <w:tcW w:w="1162" w:type="pct"/>
            <w:vAlign w:val="center"/>
          </w:tcPr>
          <w:p w14:paraId="0E8477DE">
            <w:pPr>
              <w:pStyle w:val="12"/>
              <w:jc w:val="left"/>
            </w:pPr>
            <w:r>
              <w:rPr>
                <w:rFonts w:hint="eastAsia"/>
              </w:rPr>
              <w:t>1945年在福建省建阳战斗牺牲</w:t>
            </w:r>
          </w:p>
        </w:tc>
      </w:tr>
      <w:tr w14:paraId="2DEED93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94F3FD2">
            <w:pPr>
              <w:pStyle w:val="12"/>
              <w:jc w:val="center"/>
            </w:pPr>
            <w:r>
              <w:rPr>
                <w:rFonts w:hint="eastAsia"/>
              </w:rPr>
              <w:t>郭汉章</w:t>
            </w:r>
          </w:p>
        </w:tc>
        <w:tc>
          <w:tcPr>
            <w:tcW w:w="388" w:type="pct"/>
            <w:vAlign w:val="center"/>
          </w:tcPr>
          <w:p w14:paraId="04B656B0">
            <w:pPr>
              <w:pStyle w:val="12"/>
              <w:jc w:val="center"/>
            </w:pPr>
            <w:r>
              <w:rPr>
                <w:rFonts w:hint="eastAsia"/>
              </w:rPr>
              <w:t>男</w:t>
            </w:r>
          </w:p>
        </w:tc>
        <w:tc>
          <w:tcPr>
            <w:tcW w:w="582" w:type="pct"/>
            <w:vAlign w:val="center"/>
          </w:tcPr>
          <w:p w14:paraId="73A1CA5E">
            <w:pPr>
              <w:pStyle w:val="12"/>
              <w:jc w:val="center"/>
            </w:pPr>
            <w:r>
              <w:rPr>
                <w:rFonts w:hint="eastAsia"/>
              </w:rPr>
              <w:t>1917年</w:t>
            </w:r>
          </w:p>
        </w:tc>
        <w:tc>
          <w:tcPr>
            <w:tcW w:w="582" w:type="pct"/>
            <w:vAlign w:val="center"/>
          </w:tcPr>
          <w:p w14:paraId="396ACED4">
            <w:pPr>
              <w:pStyle w:val="12"/>
              <w:jc w:val="center"/>
            </w:pPr>
            <w:r>
              <w:rPr>
                <w:rFonts w:hint="eastAsia"/>
              </w:rPr>
              <w:t>珠玑镇</w:t>
            </w:r>
          </w:p>
        </w:tc>
        <w:tc>
          <w:tcPr>
            <w:tcW w:w="582" w:type="pct"/>
            <w:vAlign w:val="center"/>
          </w:tcPr>
          <w:p w14:paraId="0EF09083">
            <w:pPr>
              <w:pStyle w:val="12"/>
              <w:jc w:val="center"/>
            </w:pPr>
            <w:r>
              <w:rPr>
                <w:rFonts w:hint="eastAsia"/>
              </w:rPr>
              <w:t>1937年</w:t>
            </w:r>
          </w:p>
        </w:tc>
        <w:tc>
          <w:tcPr>
            <w:tcW w:w="1066" w:type="pct"/>
            <w:vAlign w:val="center"/>
          </w:tcPr>
          <w:p w14:paraId="23A1BC0B">
            <w:pPr>
              <w:pStyle w:val="12"/>
              <w:jc w:val="center"/>
            </w:pPr>
            <w:r>
              <w:rPr>
                <w:rFonts w:hint="eastAsia"/>
              </w:rPr>
              <w:t>新四军战士</w:t>
            </w:r>
          </w:p>
        </w:tc>
        <w:tc>
          <w:tcPr>
            <w:tcW w:w="1162" w:type="pct"/>
            <w:vAlign w:val="center"/>
          </w:tcPr>
          <w:p w14:paraId="03B04D3E">
            <w:pPr>
              <w:pStyle w:val="12"/>
              <w:jc w:val="left"/>
            </w:pPr>
            <w:r>
              <w:rPr>
                <w:rFonts w:hint="eastAsia"/>
              </w:rPr>
              <w:t>1945年在福建省建阳战斗牺牲</w:t>
            </w:r>
          </w:p>
        </w:tc>
      </w:tr>
      <w:tr w14:paraId="7761C0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F75E4AC">
            <w:pPr>
              <w:pStyle w:val="12"/>
              <w:jc w:val="center"/>
            </w:pPr>
            <w:r>
              <w:rPr>
                <w:rFonts w:hint="eastAsia"/>
              </w:rPr>
              <w:t>肖大龙</w:t>
            </w:r>
          </w:p>
        </w:tc>
        <w:tc>
          <w:tcPr>
            <w:tcW w:w="388" w:type="pct"/>
            <w:vAlign w:val="center"/>
          </w:tcPr>
          <w:p w14:paraId="2BBFC639">
            <w:pPr>
              <w:pStyle w:val="12"/>
              <w:jc w:val="center"/>
            </w:pPr>
            <w:r>
              <w:rPr>
                <w:rFonts w:hint="eastAsia"/>
              </w:rPr>
              <w:t>男</w:t>
            </w:r>
          </w:p>
        </w:tc>
        <w:tc>
          <w:tcPr>
            <w:tcW w:w="582" w:type="pct"/>
            <w:vAlign w:val="center"/>
          </w:tcPr>
          <w:p w14:paraId="2BED17E8">
            <w:pPr>
              <w:pStyle w:val="12"/>
              <w:jc w:val="center"/>
            </w:pPr>
            <w:r>
              <w:rPr>
                <w:rFonts w:hint="eastAsia"/>
              </w:rPr>
              <w:t>1911年</w:t>
            </w:r>
          </w:p>
        </w:tc>
        <w:tc>
          <w:tcPr>
            <w:tcW w:w="582" w:type="pct"/>
            <w:vAlign w:val="center"/>
          </w:tcPr>
          <w:p w14:paraId="51D57FDB">
            <w:pPr>
              <w:pStyle w:val="12"/>
              <w:jc w:val="center"/>
            </w:pPr>
            <w:r>
              <w:rPr>
                <w:rFonts w:hint="eastAsia"/>
              </w:rPr>
              <w:t>湖口镇</w:t>
            </w:r>
          </w:p>
        </w:tc>
        <w:tc>
          <w:tcPr>
            <w:tcW w:w="582" w:type="pct"/>
            <w:vAlign w:val="center"/>
          </w:tcPr>
          <w:p w14:paraId="79312818">
            <w:pPr>
              <w:pStyle w:val="12"/>
              <w:jc w:val="center"/>
            </w:pPr>
            <w:r>
              <w:rPr>
                <w:rFonts w:hint="eastAsia"/>
              </w:rPr>
              <w:t>1936年</w:t>
            </w:r>
          </w:p>
        </w:tc>
        <w:tc>
          <w:tcPr>
            <w:tcW w:w="1066" w:type="pct"/>
            <w:vAlign w:val="center"/>
          </w:tcPr>
          <w:p w14:paraId="170C035A">
            <w:pPr>
              <w:pStyle w:val="12"/>
              <w:jc w:val="center"/>
            </w:pPr>
            <w:r>
              <w:rPr>
                <w:rFonts w:hint="eastAsia"/>
              </w:rPr>
              <w:t>新四军战士</w:t>
            </w:r>
          </w:p>
        </w:tc>
        <w:tc>
          <w:tcPr>
            <w:tcW w:w="1162" w:type="pct"/>
            <w:vAlign w:val="center"/>
          </w:tcPr>
          <w:p w14:paraId="17807B60">
            <w:pPr>
              <w:pStyle w:val="12"/>
              <w:jc w:val="left"/>
            </w:pPr>
            <w:r>
              <w:rPr>
                <w:rFonts w:hint="eastAsia"/>
              </w:rPr>
              <w:t>1945年在江苏大丰县战斗牺牲</w:t>
            </w:r>
          </w:p>
        </w:tc>
      </w:tr>
      <w:tr w14:paraId="5DE9F3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7EAE1E9">
            <w:pPr>
              <w:pStyle w:val="12"/>
              <w:jc w:val="center"/>
            </w:pPr>
            <w:r>
              <w:rPr>
                <w:rFonts w:hint="eastAsia"/>
              </w:rPr>
              <w:t>叶阳清</w:t>
            </w:r>
          </w:p>
        </w:tc>
        <w:tc>
          <w:tcPr>
            <w:tcW w:w="388" w:type="pct"/>
            <w:vAlign w:val="center"/>
          </w:tcPr>
          <w:p w14:paraId="2A8D0672">
            <w:pPr>
              <w:pStyle w:val="12"/>
              <w:jc w:val="center"/>
            </w:pPr>
            <w:r>
              <w:rPr>
                <w:rFonts w:hint="eastAsia"/>
              </w:rPr>
              <w:t>男</w:t>
            </w:r>
          </w:p>
        </w:tc>
        <w:tc>
          <w:tcPr>
            <w:tcW w:w="582" w:type="pct"/>
            <w:vAlign w:val="center"/>
          </w:tcPr>
          <w:p w14:paraId="225F10C4">
            <w:pPr>
              <w:pStyle w:val="12"/>
              <w:jc w:val="center"/>
            </w:pPr>
            <w:r>
              <w:rPr>
                <w:rFonts w:hint="eastAsia"/>
              </w:rPr>
              <w:t>1910年</w:t>
            </w:r>
          </w:p>
        </w:tc>
        <w:tc>
          <w:tcPr>
            <w:tcW w:w="582" w:type="pct"/>
            <w:vAlign w:val="center"/>
          </w:tcPr>
          <w:p w14:paraId="70F6AE38">
            <w:pPr>
              <w:pStyle w:val="12"/>
              <w:jc w:val="center"/>
            </w:pPr>
            <w:r>
              <w:rPr>
                <w:rFonts w:hint="eastAsia"/>
              </w:rPr>
              <w:t>坪田镇</w:t>
            </w:r>
          </w:p>
        </w:tc>
        <w:tc>
          <w:tcPr>
            <w:tcW w:w="582" w:type="pct"/>
            <w:vAlign w:val="center"/>
          </w:tcPr>
          <w:p w14:paraId="56F8E687">
            <w:pPr>
              <w:pStyle w:val="12"/>
              <w:jc w:val="center"/>
            </w:pPr>
            <w:r>
              <w:rPr>
                <w:rFonts w:hint="eastAsia"/>
              </w:rPr>
              <w:t>1936年</w:t>
            </w:r>
          </w:p>
        </w:tc>
        <w:tc>
          <w:tcPr>
            <w:tcW w:w="1066" w:type="pct"/>
            <w:vAlign w:val="center"/>
          </w:tcPr>
          <w:p w14:paraId="0DF06A68">
            <w:pPr>
              <w:pStyle w:val="12"/>
              <w:jc w:val="center"/>
            </w:pPr>
            <w:r>
              <w:rPr>
                <w:rFonts w:hint="eastAsia"/>
              </w:rPr>
              <w:t>抗日游击队队员</w:t>
            </w:r>
          </w:p>
        </w:tc>
        <w:tc>
          <w:tcPr>
            <w:tcW w:w="1162" w:type="pct"/>
            <w:vAlign w:val="center"/>
          </w:tcPr>
          <w:p w14:paraId="46B4266D">
            <w:pPr>
              <w:pStyle w:val="12"/>
              <w:jc w:val="left"/>
            </w:pPr>
            <w:r>
              <w:rPr>
                <w:rFonts w:hint="eastAsia"/>
              </w:rPr>
              <w:t>1945年在江西大余县游仙战斗牺牲</w:t>
            </w:r>
          </w:p>
        </w:tc>
      </w:tr>
    </w:tbl>
    <w:p w14:paraId="7075D0FB">
      <w:pPr>
        <w:ind w:firstLine="602"/>
        <w:jc w:val="center"/>
        <w:rPr>
          <w:rFonts w:ascii="宋体" w:hAnsi="宋体" w:cs="宋体"/>
          <w:b/>
          <w:bCs/>
          <w:sz w:val="30"/>
          <w:szCs w:val="30"/>
        </w:rPr>
      </w:pPr>
      <w:r>
        <w:rPr>
          <w:rFonts w:hint="eastAsia" w:ascii="宋体" w:hAnsi="宋体" w:cs="宋体"/>
          <w:b/>
          <w:bCs/>
          <w:sz w:val="30"/>
          <w:szCs w:val="30"/>
        </w:rPr>
        <w:t>南雄市第三次国内革命战争时期烈士</w:t>
      </w:r>
    </w:p>
    <w:p w14:paraId="227595B7">
      <w:pPr>
        <w:ind w:firstLine="0" w:firstLineChars="0"/>
        <w:rPr>
          <w:rFonts w:ascii="宋体" w:hAnsi="宋体" w:cs="宋体"/>
          <w:b/>
          <w:bCs/>
        </w:rPr>
      </w:pPr>
      <w:r>
        <w:rPr>
          <w:rFonts w:hint="eastAsia" w:ascii="宋体" w:hAnsi="宋体" w:cs="宋体"/>
          <w:b/>
          <w:bCs/>
        </w:rPr>
        <w:t>表7-8</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4"/>
        <w:gridCol w:w="773"/>
        <w:gridCol w:w="1160"/>
        <w:gridCol w:w="1160"/>
        <w:gridCol w:w="1160"/>
        <w:gridCol w:w="2124"/>
        <w:gridCol w:w="2311"/>
      </w:tblGrid>
      <w:tr w14:paraId="03A49C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03CCC50">
            <w:pPr>
              <w:pStyle w:val="12"/>
              <w:jc w:val="center"/>
              <w:rPr>
                <w:b/>
              </w:rPr>
            </w:pPr>
            <w:r>
              <w:rPr>
                <w:rFonts w:hint="eastAsia"/>
                <w:b/>
              </w:rPr>
              <w:t>姓名</w:t>
            </w:r>
          </w:p>
        </w:tc>
        <w:tc>
          <w:tcPr>
            <w:tcW w:w="388" w:type="pct"/>
            <w:vAlign w:val="center"/>
          </w:tcPr>
          <w:p w14:paraId="2740B187">
            <w:pPr>
              <w:pStyle w:val="12"/>
              <w:jc w:val="center"/>
              <w:rPr>
                <w:b/>
              </w:rPr>
            </w:pPr>
            <w:r>
              <w:rPr>
                <w:rFonts w:hint="eastAsia"/>
                <w:b/>
              </w:rPr>
              <w:t>性别</w:t>
            </w:r>
          </w:p>
        </w:tc>
        <w:tc>
          <w:tcPr>
            <w:tcW w:w="582" w:type="pct"/>
            <w:vAlign w:val="center"/>
          </w:tcPr>
          <w:p w14:paraId="0D111746">
            <w:pPr>
              <w:pStyle w:val="12"/>
              <w:jc w:val="center"/>
              <w:rPr>
                <w:b/>
              </w:rPr>
            </w:pPr>
            <w:r>
              <w:rPr>
                <w:rFonts w:hint="eastAsia"/>
                <w:b/>
              </w:rPr>
              <w:t>出生年月</w:t>
            </w:r>
          </w:p>
        </w:tc>
        <w:tc>
          <w:tcPr>
            <w:tcW w:w="582" w:type="pct"/>
            <w:vAlign w:val="center"/>
          </w:tcPr>
          <w:p w14:paraId="1F4F7B10">
            <w:pPr>
              <w:pStyle w:val="12"/>
              <w:jc w:val="center"/>
              <w:rPr>
                <w:b/>
              </w:rPr>
            </w:pPr>
            <w:r>
              <w:rPr>
                <w:rFonts w:hint="eastAsia"/>
                <w:b/>
              </w:rPr>
              <w:t>籍贯</w:t>
            </w:r>
          </w:p>
        </w:tc>
        <w:tc>
          <w:tcPr>
            <w:tcW w:w="582" w:type="pct"/>
            <w:vAlign w:val="center"/>
          </w:tcPr>
          <w:p w14:paraId="5C0F67E7">
            <w:pPr>
              <w:pStyle w:val="12"/>
              <w:jc w:val="center"/>
              <w:rPr>
                <w:b/>
              </w:rPr>
            </w:pPr>
            <w:r>
              <w:rPr>
                <w:rFonts w:hint="eastAsia"/>
                <w:b/>
              </w:rPr>
              <w:t>入伍年月</w:t>
            </w:r>
          </w:p>
        </w:tc>
        <w:tc>
          <w:tcPr>
            <w:tcW w:w="1066" w:type="pct"/>
            <w:vAlign w:val="center"/>
          </w:tcPr>
          <w:p w14:paraId="04100CC1">
            <w:pPr>
              <w:pStyle w:val="12"/>
              <w:jc w:val="center"/>
              <w:rPr>
                <w:b/>
              </w:rPr>
            </w:pPr>
            <w:r>
              <w:rPr>
                <w:rFonts w:hint="eastAsia"/>
                <w:b/>
              </w:rPr>
              <w:t>所在单位职务</w:t>
            </w:r>
          </w:p>
        </w:tc>
        <w:tc>
          <w:tcPr>
            <w:tcW w:w="1162" w:type="pct"/>
            <w:vAlign w:val="center"/>
          </w:tcPr>
          <w:p w14:paraId="71D3C7AC">
            <w:pPr>
              <w:pStyle w:val="12"/>
              <w:jc w:val="center"/>
              <w:rPr>
                <w:b/>
              </w:rPr>
            </w:pPr>
            <w:r>
              <w:rPr>
                <w:rFonts w:hint="eastAsia"/>
                <w:b/>
              </w:rPr>
              <w:t>牺牲时间地点</w:t>
            </w:r>
          </w:p>
        </w:tc>
      </w:tr>
      <w:tr w14:paraId="18E629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5572B20">
            <w:pPr>
              <w:pStyle w:val="12"/>
              <w:jc w:val="center"/>
            </w:pPr>
            <w:r>
              <w:rPr>
                <w:rFonts w:hint="eastAsia"/>
              </w:rPr>
              <w:t>吴绍连</w:t>
            </w:r>
          </w:p>
        </w:tc>
        <w:tc>
          <w:tcPr>
            <w:tcW w:w="388" w:type="pct"/>
            <w:vAlign w:val="center"/>
          </w:tcPr>
          <w:p w14:paraId="06FB607D">
            <w:pPr>
              <w:pStyle w:val="12"/>
              <w:jc w:val="center"/>
            </w:pPr>
            <w:r>
              <w:rPr>
                <w:rFonts w:hint="eastAsia"/>
              </w:rPr>
              <w:t>男</w:t>
            </w:r>
          </w:p>
        </w:tc>
        <w:tc>
          <w:tcPr>
            <w:tcW w:w="582" w:type="pct"/>
            <w:vAlign w:val="center"/>
          </w:tcPr>
          <w:p w14:paraId="69D88FE1">
            <w:pPr>
              <w:pStyle w:val="12"/>
              <w:jc w:val="center"/>
            </w:pPr>
            <w:r>
              <w:rPr>
                <w:rFonts w:hint="eastAsia"/>
              </w:rPr>
              <w:t>1928年</w:t>
            </w:r>
          </w:p>
        </w:tc>
        <w:tc>
          <w:tcPr>
            <w:tcW w:w="582" w:type="pct"/>
            <w:vAlign w:val="center"/>
          </w:tcPr>
          <w:p w14:paraId="08A5A5BF">
            <w:pPr>
              <w:pStyle w:val="12"/>
              <w:jc w:val="center"/>
            </w:pPr>
            <w:r>
              <w:rPr>
                <w:rFonts w:hint="eastAsia"/>
              </w:rPr>
              <w:t>全安镇</w:t>
            </w:r>
          </w:p>
        </w:tc>
        <w:tc>
          <w:tcPr>
            <w:tcW w:w="582" w:type="pct"/>
            <w:vAlign w:val="center"/>
          </w:tcPr>
          <w:p w14:paraId="2739BC45">
            <w:pPr>
              <w:pStyle w:val="12"/>
              <w:jc w:val="center"/>
            </w:pPr>
            <w:r>
              <w:rPr>
                <w:rFonts w:hint="eastAsia"/>
              </w:rPr>
              <w:t>1945年11月</w:t>
            </w:r>
          </w:p>
        </w:tc>
        <w:tc>
          <w:tcPr>
            <w:tcW w:w="1066" w:type="pct"/>
            <w:vAlign w:val="center"/>
          </w:tcPr>
          <w:p w14:paraId="4220D1CF">
            <w:pPr>
              <w:pStyle w:val="12"/>
              <w:jc w:val="center"/>
            </w:pPr>
            <w:r>
              <w:rPr>
                <w:rFonts w:hint="eastAsia"/>
              </w:rPr>
              <w:t>东江纵队队员</w:t>
            </w:r>
          </w:p>
        </w:tc>
        <w:tc>
          <w:tcPr>
            <w:tcW w:w="1162" w:type="pct"/>
            <w:vAlign w:val="center"/>
          </w:tcPr>
          <w:p w14:paraId="3581E035">
            <w:pPr>
              <w:pStyle w:val="12"/>
              <w:jc w:val="left"/>
            </w:pPr>
            <w:r>
              <w:rPr>
                <w:rFonts w:hint="eastAsia"/>
              </w:rPr>
              <w:t>1946年1月19日回乡筹粮被捕，在县城郊就义</w:t>
            </w:r>
          </w:p>
        </w:tc>
      </w:tr>
      <w:tr w14:paraId="183980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85C709B">
            <w:pPr>
              <w:pStyle w:val="12"/>
              <w:jc w:val="center"/>
            </w:pPr>
            <w:r>
              <w:rPr>
                <w:rFonts w:hint="eastAsia"/>
              </w:rPr>
              <w:t>何华彬</w:t>
            </w:r>
          </w:p>
        </w:tc>
        <w:tc>
          <w:tcPr>
            <w:tcW w:w="388" w:type="pct"/>
            <w:vAlign w:val="center"/>
          </w:tcPr>
          <w:p w14:paraId="09AFDBB6">
            <w:pPr>
              <w:pStyle w:val="12"/>
              <w:jc w:val="center"/>
            </w:pPr>
            <w:r>
              <w:rPr>
                <w:rFonts w:hint="eastAsia"/>
              </w:rPr>
              <w:t>男</w:t>
            </w:r>
          </w:p>
        </w:tc>
        <w:tc>
          <w:tcPr>
            <w:tcW w:w="582" w:type="pct"/>
            <w:vAlign w:val="center"/>
          </w:tcPr>
          <w:p w14:paraId="4EFA5B32">
            <w:pPr>
              <w:pStyle w:val="12"/>
              <w:jc w:val="center"/>
            </w:pPr>
            <w:r>
              <w:rPr>
                <w:rFonts w:hint="eastAsia"/>
              </w:rPr>
              <w:t>1919年</w:t>
            </w:r>
          </w:p>
        </w:tc>
        <w:tc>
          <w:tcPr>
            <w:tcW w:w="582" w:type="pct"/>
            <w:vAlign w:val="center"/>
          </w:tcPr>
          <w:p w14:paraId="0E90AF81">
            <w:pPr>
              <w:pStyle w:val="12"/>
              <w:jc w:val="center"/>
            </w:pPr>
            <w:r>
              <w:rPr>
                <w:rFonts w:hint="eastAsia"/>
              </w:rPr>
              <w:t>全安镇</w:t>
            </w:r>
          </w:p>
        </w:tc>
        <w:tc>
          <w:tcPr>
            <w:tcW w:w="582" w:type="pct"/>
            <w:vAlign w:val="center"/>
          </w:tcPr>
          <w:p w14:paraId="29BCE2A3">
            <w:pPr>
              <w:pStyle w:val="12"/>
              <w:jc w:val="center"/>
            </w:pPr>
            <w:r>
              <w:rPr>
                <w:rFonts w:hint="eastAsia"/>
              </w:rPr>
              <w:t>1931年4月</w:t>
            </w:r>
          </w:p>
        </w:tc>
        <w:tc>
          <w:tcPr>
            <w:tcW w:w="1066" w:type="pct"/>
            <w:vAlign w:val="center"/>
          </w:tcPr>
          <w:p w14:paraId="38C9DAC1">
            <w:pPr>
              <w:pStyle w:val="12"/>
              <w:jc w:val="center"/>
            </w:pPr>
            <w:r>
              <w:rPr>
                <w:rFonts w:hint="eastAsia"/>
              </w:rPr>
              <w:t>东江纵队中队长</w:t>
            </w:r>
          </w:p>
        </w:tc>
        <w:tc>
          <w:tcPr>
            <w:tcW w:w="1162" w:type="pct"/>
            <w:vAlign w:val="center"/>
          </w:tcPr>
          <w:p w14:paraId="009B3CE4">
            <w:pPr>
              <w:pStyle w:val="12"/>
              <w:jc w:val="left"/>
            </w:pPr>
            <w:r>
              <w:rPr>
                <w:rFonts w:hint="eastAsia"/>
              </w:rPr>
              <w:t>1946年5月8日在小水村被敌人暗杀</w:t>
            </w:r>
          </w:p>
        </w:tc>
      </w:tr>
      <w:tr w14:paraId="6B9A2B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D32221A">
            <w:pPr>
              <w:pStyle w:val="12"/>
              <w:jc w:val="center"/>
            </w:pPr>
            <w:r>
              <w:rPr>
                <w:rFonts w:hint="eastAsia"/>
              </w:rPr>
              <w:t>陈万群</w:t>
            </w:r>
          </w:p>
        </w:tc>
        <w:tc>
          <w:tcPr>
            <w:tcW w:w="388" w:type="pct"/>
            <w:vAlign w:val="center"/>
          </w:tcPr>
          <w:p w14:paraId="7D2E7D09">
            <w:pPr>
              <w:pStyle w:val="12"/>
              <w:jc w:val="center"/>
            </w:pPr>
            <w:r>
              <w:rPr>
                <w:rFonts w:hint="eastAsia"/>
              </w:rPr>
              <w:t>男</w:t>
            </w:r>
          </w:p>
        </w:tc>
        <w:tc>
          <w:tcPr>
            <w:tcW w:w="582" w:type="pct"/>
            <w:vAlign w:val="center"/>
          </w:tcPr>
          <w:p w14:paraId="1ED602CA">
            <w:pPr>
              <w:pStyle w:val="12"/>
              <w:jc w:val="center"/>
            </w:pPr>
            <w:r>
              <w:rPr>
                <w:rFonts w:hint="eastAsia"/>
              </w:rPr>
              <w:t>1903年</w:t>
            </w:r>
          </w:p>
        </w:tc>
        <w:tc>
          <w:tcPr>
            <w:tcW w:w="582" w:type="pct"/>
            <w:vAlign w:val="center"/>
          </w:tcPr>
          <w:p w14:paraId="2EFBA971">
            <w:pPr>
              <w:pStyle w:val="12"/>
              <w:jc w:val="center"/>
            </w:pPr>
            <w:r>
              <w:rPr>
                <w:rFonts w:hint="eastAsia"/>
              </w:rPr>
              <w:t>湖口镇</w:t>
            </w:r>
          </w:p>
        </w:tc>
        <w:tc>
          <w:tcPr>
            <w:tcW w:w="582" w:type="pct"/>
            <w:vAlign w:val="center"/>
          </w:tcPr>
          <w:p w14:paraId="119F39D1">
            <w:pPr>
              <w:pStyle w:val="12"/>
              <w:jc w:val="center"/>
            </w:pPr>
            <w:r>
              <w:rPr>
                <w:rFonts w:hint="eastAsia"/>
              </w:rPr>
              <w:t>1937年</w:t>
            </w:r>
          </w:p>
        </w:tc>
        <w:tc>
          <w:tcPr>
            <w:tcW w:w="1066" w:type="pct"/>
            <w:vAlign w:val="center"/>
          </w:tcPr>
          <w:p w14:paraId="2D538B20">
            <w:pPr>
              <w:pStyle w:val="12"/>
              <w:jc w:val="center"/>
              <w:rPr>
                <w:rFonts w:ascii="宋体" w:hAnsi="宋体" w:cs="宋体"/>
              </w:rPr>
            </w:pPr>
            <w:r>
              <w:rPr>
                <w:rFonts w:hint="eastAsia"/>
              </w:rPr>
              <w:t>湖口中心区</w:t>
            </w:r>
          </w:p>
          <w:p w14:paraId="2DE43527">
            <w:pPr>
              <w:pStyle w:val="12"/>
              <w:jc w:val="center"/>
            </w:pPr>
            <w:r>
              <w:rPr>
                <w:rFonts w:hint="eastAsia" w:ascii="宋体" w:hAnsi="宋体" w:cs="宋体"/>
              </w:rPr>
              <w:t>委副书记</w:t>
            </w:r>
          </w:p>
        </w:tc>
        <w:tc>
          <w:tcPr>
            <w:tcW w:w="1162" w:type="pct"/>
            <w:vAlign w:val="center"/>
          </w:tcPr>
          <w:p w14:paraId="2DB3990E">
            <w:pPr>
              <w:pStyle w:val="12"/>
              <w:jc w:val="left"/>
            </w:pPr>
            <w:r>
              <w:rPr>
                <w:rFonts w:hint="eastAsia"/>
              </w:rPr>
              <w:t>1946年11月被捕，死于南雄监狱</w:t>
            </w:r>
          </w:p>
        </w:tc>
      </w:tr>
      <w:tr w14:paraId="0AEA96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8232475">
            <w:pPr>
              <w:pStyle w:val="12"/>
              <w:jc w:val="center"/>
            </w:pPr>
            <w:r>
              <w:rPr>
                <w:rFonts w:hint="eastAsia"/>
              </w:rPr>
              <w:t>孔显海</w:t>
            </w:r>
          </w:p>
        </w:tc>
        <w:tc>
          <w:tcPr>
            <w:tcW w:w="388" w:type="pct"/>
            <w:vAlign w:val="center"/>
          </w:tcPr>
          <w:p w14:paraId="51FAEF73">
            <w:pPr>
              <w:pStyle w:val="12"/>
              <w:jc w:val="center"/>
            </w:pPr>
            <w:r>
              <w:rPr>
                <w:rFonts w:hint="eastAsia"/>
              </w:rPr>
              <w:t>男</w:t>
            </w:r>
          </w:p>
        </w:tc>
        <w:tc>
          <w:tcPr>
            <w:tcW w:w="582" w:type="pct"/>
            <w:vAlign w:val="center"/>
          </w:tcPr>
          <w:p w14:paraId="36322064">
            <w:pPr>
              <w:pStyle w:val="12"/>
              <w:jc w:val="center"/>
            </w:pPr>
            <w:r>
              <w:rPr>
                <w:rFonts w:hint="eastAsia"/>
              </w:rPr>
              <w:t>1910年</w:t>
            </w:r>
          </w:p>
        </w:tc>
        <w:tc>
          <w:tcPr>
            <w:tcW w:w="582" w:type="pct"/>
            <w:vAlign w:val="center"/>
          </w:tcPr>
          <w:p w14:paraId="59499953">
            <w:pPr>
              <w:pStyle w:val="12"/>
              <w:jc w:val="center"/>
            </w:pPr>
            <w:r>
              <w:rPr>
                <w:rFonts w:hint="eastAsia"/>
              </w:rPr>
              <w:t>油山镇</w:t>
            </w:r>
          </w:p>
        </w:tc>
        <w:tc>
          <w:tcPr>
            <w:tcW w:w="582" w:type="pct"/>
            <w:vAlign w:val="center"/>
          </w:tcPr>
          <w:p w14:paraId="3F93907B">
            <w:pPr>
              <w:pStyle w:val="12"/>
              <w:jc w:val="center"/>
            </w:pPr>
            <w:r>
              <w:rPr>
                <w:rFonts w:hint="eastAsia"/>
              </w:rPr>
              <w:t>1945年</w:t>
            </w:r>
          </w:p>
        </w:tc>
        <w:tc>
          <w:tcPr>
            <w:tcW w:w="1066" w:type="pct"/>
            <w:vAlign w:val="center"/>
          </w:tcPr>
          <w:p w14:paraId="3FD8AC75">
            <w:pPr>
              <w:pStyle w:val="12"/>
              <w:jc w:val="center"/>
              <w:rPr>
                <w:rFonts w:ascii="宋体" w:hAnsi="宋体" w:cs="宋体"/>
              </w:rPr>
            </w:pPr>
            <w:r>
              <w:rPr>
                <w:rFonts w:hint="eastAsia"/>
              </w:rPr>
              <w:t>北江第二支</w:t>
            </w:r>
          </w:p>
          <w:p w14:paraId="218FF5E3">
            <w:pPr>
              <w:pStyle w:val="12"/>
              <w:jc w:val="center"/>
            </w:pPr>
            <w:r>
              <w:rPr>
                <w:rFonts w:hint="eastAsia" w:ascii="宋体" w:hAnsi="宋体" w:cs="宋体"/>
              </w:rPr>
              <w:t>队文书人员</w:t>
            </w:r>
          </w:p>
        </w:tc>
        <w:tc>
          <w:tcPr>
            <w:tcW w:w="1162" w:type="pct"/>
            <w:vAlign w:val="center"/>
          </w:tcPr>
          <w:p w14:paraId="0624C9E5">
            <w:pPr>
              <w:pStyle w:val="12"/>
              <w:jc w:val="left"/>
            </w:pPr>
            <w:r>
              <w:rPr>
                <w:rFonts w:hint="eastAsia"/>
              </w:rPr>
              <w:t>1945年在江西大余县社江坝战斗牺牲</w:t>
            </w:r>
          </w:p>
        </w:tc>
      </w:tr>
      <w:tr w14:paraId="3ACE1DF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A15637F">
            <w:pPr>
              <w:pStyle w:val="12"/>
              <w:jc w:val="center"/>
            </w:pPr>
            <w:r>
              <w:rPr>
                <w:rFonts w:hint="eastAsia"/>
              </w:rPr>
              <w:t>曾照万</w:t>
            </w:r>
          </w:p>
        </w:tc>
        <w:tc>
          <w:tcPr>
            <w:tcW w:w="388" w:type="pct"/>
            <w:vAlign w:val="center"/>
          </w:tcPr>
          <w:p w14:paraId="48F6E356">
            <w:pPr>
              <w:pStyle w:val="12"/>
              <w:jc w:val="center"/>
            </w:pPr>
            <w:r>
              <w:rPr>
                <w:rFonts w:hint="eastAsia"/>
              </w:rPr>
              <w:t>男</w:t>
            </w:r>
          </w:p>
        </w:tc>
        <w:tc>
          <w:tcPr>
            <w:tcW w:w="582" w:type="pct"/>
            <w:vAlign w:val="center"/>
          </w:tcPr>
          <w:p w14:paraId="63092C84">
            <w:pPr>
              <w:pStyle w:val="12"/>
              <w:jc w:val="center"/>
            </w:pPr>
            <w:r>
              <w:rPr>
                <w:rFonts w:hint="eastAsia"/>
              </w:rPr>
              <w:t>1923年</w:t>
            </w:r>
          </w:p>
        </w:tc>
        <w:tc>
          <w:tcPr>
            <w:tcW w:w="582" w:type="pct"/>
            <w:vAlign w:val="center"/>
          </w:tcPr>
          <w:p w14:paraId="46220858">
            <w:pPr>
              <w:pStyle w:val="12"/>
              <w:jc w:val="center"/>
            </w:pPr>
            <w:r>
              <w:rPr>
                <w:rFonts w:hint="eastAsia"/>
              </w:rPr>
              <w:t>油山镇</w:t>
            </w:r>
          </w:p>
        </w:tc>
        <w:tc>
          <w:tcPr>
            <w:tcW w:w="582" w:type="pct"/>
            <w:vAlign w:val="center"/>
          </w:tcPr>
          <w:p w14:paraId="2481F7B6">
            <w:pPr>
              <w:pStyle w:val="12"/>
              <w:jc w:val="center"/>
            </w:pPr>
            <w:r>
              <w:rPr>
                <w:rFonts w:hint="eastAsia"/>
              </w:rPr>
              <w:t>1945年</w:t>
            </w:r>
          </w:p>
        </w:tc>
        <w:tc>
          <w:tcPr>
            <w:tcW w:w="1066" w:type="pct"/>
            <w:vAlign w:val="center"/>
          </w:tcPr>
          <w:p w14:paraId="635593F1">
            <w:pPr>
              <w:pStyle w:val="12"/>
              <w:jc w:val="center"/>
              <w:rPr>
                <w:rFonts w:ascii="宋体" w:hAnsi="宋体" w:cs="宋体"/>
              </w:rPr>
            </w:pPr>
            <w:r>
              <w:rPr>
                <w:rFonts w:hint="eastAsia"/>
              </w:rPr>
              <w:t>北江第二支</w:t>
            </w:r>
          </w:p>
          <w:p w14:paraId="6172B9DA">
            <w:pPr>
              <w:pStyle w:val="12"/>
              <w:jc w:val="center"/>
            </w:pPr>
            <w:r>
              <w:rPr>
                <w:rFonts w:hint="eastAsia" w:ascii="宋体" w:hAnsi="宋体" w:cs="宋体"/>
              </w:rPr>
              <w:t>队  队  员</w:t>
            </w:r>
          </w:p>
        </w:tc>
        <w:tc>
          <w:tcPr>
            <w:tcW w:w="1162" w:type="pct"/>
            <w:vAlign w:val="center"/>
          </w:tcPr>
          <w:p w14:paraId="549A738F">
            <w:pPr>
              <w:pStyle w:val="12"/>
              <w:jc w:val="left"/>
            </w:pPr>
            <w:r>
              <w:rPr>
                <w:rFonts w:hint="eastAsia"/>
              </w:rPr>
              <w:t>1945年在大塘茶亭战斗牺牲</w:t>
            </w:r>
          </w:p>
        </w:tc>
      </w:tr>
      <w:tr w14:paraId="3C6EE7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5CF28BC">
            <w:pPr>
              <w:pStyle w:val="12"/>
              <w:jc w:val="center"/>
            </w:pPr>
            <w:r>
              <w:rPr>
                <w:rFonts w:hint="eastAsia"/>
              </w:rPr>
              <w:t>邱四妹</w:t>
            </w:r>
          </w:p>
        </w:tc>
        <w:tc>
          <w:tcPr>
            <w:tcW w:w="388" w:type="pct"/>
            <w:vAlign w:val="center"/>
          </w:tcPr>
          <w:p w14:paraId="119C0A5A">
            <w:pPr>
              <w:pStyle w:val="12"/>
              <w:jc w:val="center"/>
            </w:pPr>
            <w:r>
              <w:rPr>
                <w:rFonts w:hint="eastAsia"/>
              </w:rPr>
              <w:t>男</w:t>
            </w:r>
          </w:p>
        </w:tc>
        <w:tc>
          <w:tcPr>
            <w:tcW w:w="582" w:type="pct"/>
            <w:vAlign w:val="center"/>
          </w:tcPr>
          <w:p w14:paraId="48E82F68">
            <w:pPr>
              <w:pStyle w:val="12"/>
              <w:jc w:val="center"/>
            </w:pPr>
            <w:r>
              <w:rPr>
                <w:rFonts w:hint="eastAsia"/>
              </w:rPr>
              <w:t>1928年</w:t>
            </w:r>
          </w:p>
        </w:tc>
        <w:tc>
          <w:tcPr>
            <w:tcW w:w="582" w:type="pct"/>
            <w:vAlign w:val="center"/>
          </w:tcPr>
          <w:p w14:paraId="12BCA934">
            <w:pPr>
              <w:pStyle w:val="12"/>
              <w:jc w:val="center"/>
            </w:pPr>
            <w:r>
              <w:rPr>
                <w:rFonts w:hint="eastAsia"/>
              </w:rPr>
              <w:t>邓坊镇</w:t>
            </w:r>
          </w:p>
        </w:tc>
        <w:tc>
          <w:tcPr>
            <w:tcW w:w="582" w:type="pct"/>
            <w:vAlign w:val="center"/>
          </w:tcPr>
          <w:p w14:paraId="040D759E">
            <w:pPr>
              <w:pStyle w:val="12"/>
              <w:jc w:val="center"/>
            </w:pPr>
            <w:r>
              <w:rPr>
                <w:rFonts w:hint="eastAsia"/>
              </w:rPr>
              <w:t>1946年7月</w:t>
            </w:r>
          </w:p>
        </w:tc>
        <w:tc>
          <w:tcPr>
            <w:tcW w:w="1066" w:type="pct"/>
            <w:vAlign w:val="center"/>
          </w:tcPr>
          <w:p w14:paraId="6319FE3C">
            <w:pPr>
              <w:pStyle w:val="12"/>
              <w:jc w:val="center"/>
              <w:rPr>
                <w:rFonts w:ascii="宋体" w:hAnsi="宋体" w:cs="宋体"/>
              </w:rPr>
            </w:pPr>
            <w:r>
              <w:rPr>
                <w:rFonts w:hint="eastAsia"/>
              </w:rPr>
              <w:t>北江第二支</w:t>
            </w:r>
          </w:p>
          <w:p w14:paraId="0E858B42">
            <w:pPr>
              <w:pStyle w:val="12"/>
              <w:jc w:val="center"/>
            </w:pPr>
            <w:r>
              <w:rPr>
                <w:rFonts w:hint="eastAsia" w:ascii="宋体" w:hAnsi="宋体" w:cs="宋体"/>
              </w:rPr>
              <w:t>队  队  员</w:t>
            </w:r>
          </w:p>
        </w:tc>
        <w:tc>
          <w:tcPr>
            <w:tcW w:w="1162" w:type="pct"/>
            <w:vAlign w:val="center"/>
          </w:tcPr>
          <w:p w14:paraId="4EF2F6B4">
            <w:pPr>
              <w:pStyle w:val="12"/>
              <w:jc w:val="left"/>
            </w:pPr>
            <w:r>
              <w:rPr>
                <w:rFonts w:hint="eastAsia"/>
              </w:rPr>
              <w:t>1946年8月27日在邓坊石头狮战斗牺牲</w:t>
            </w:r>
          </w:p>
        </w:tc>
      </w:tr>
      <w:tr w14:paraId="5A8EE8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FD2B023">
            <w:pPr>
              <w:pStyle w:val="12"/>
              <w:jc w:val="center"/>
            </w:pPr>
            <w:r>
              <w:rPr>
                <w:rFonts w:hint="eastAsia"/>
              </w:rPr>
              <w:t>吴大声佬</w:t>
            </w:r>
          </w:p>
        </w:tc>
        <w:tc>
          <w:tcPr>
            <w:tcW w:w="388" w:type="pct"/>
            <w:vAlign w:val="center"/>
          </w:tcPr>
          <w:p w14:paraId="7B3A5973">
            <w:pPr>
              <w:pStyle w:val="12"/>
              <w:jc w:val="center"/>
            </w:pPr>
            <w:r>
              <w:rPr>
                <w:rFonts w:hint="eastAsia"/>
              </w:rPr>
              <w:t>男</w:t>
            </w:r>
          </w:p>
        </w:tc>
        <w:tc>
          <w:tcPr>
            <w:tcW w:w="582" w:type="pct"/>
            <w:vAlign w:val="center"/>
          </w:tcPr>
          <w:p w14:paraId="20435118">
            <w:pPr>
              <w:pStyle w:val="12"/>
              <w:jc w:val="center"/>
            </w:pPr>
            <w:r>
              <w:rPr>
                <w:rFonts w:hint="eastAsia"/>
              </w:rPr>
              <w:t>1918年</w:t>
            </w:r>
          </w:p>
        </w:tc>
        <w:tc>
          <w:tcPr>
            <w:tcW w:w="582" w:type="pct"/>
            <w:vAlign w:val="center"/>
          </w:tcPr>
          <w:p w14:paraId="34EB0800">
            <w:pPr>
              <w:pStyle w:val="12"/>
              <w:jc w:val="center"/>
            </w:pPr>
            <w:r>
              <w:rPr>
                <w:rFonts w:hint="eastAsia"/>
              </w:rPr>
              <w:t>湖口镇</w:t>
            </w:r>
          </w:p>
        </w:tc>
        <w:tc>
          <w:tcPr>
            <w:tcW w:w="582" w:type="pct"/>
            <w:vAlign w:val="center"/>
          </w:tcPr>
          <w:p w14:paraId="16EC1294">
            <w:pPr>
              <w:pStyle w:val="12"/>
              <w:jc w:val="center"/>
            </w:pPr>
            <w:r>
              <w:rPr>
                <w:rFonts w:hint="eastAsia"/>
              </w:rPr>
              <w:t>1937年9月</w:t>
            </w:r>
          </w:p>
        </w:tc>
        <w:tc>
          <w:tcPr>
            <w:tcW w:w="1066" w:type="pct"/>
            <w:vAlign w:val="center"/>
          </w:tcPr>
          <w:p w14:paraId="56D0E61D">
            <w:pPr>
              <w:pStyle w:val="12"/>
              <w:jc w:val="center"/>
            </w:pPr>
            <w:r>
              <w:rPr>
                <w:rFonts w:hint="eastAsia"/>
              </w:rPr>
              <w:t>解放军班长</w:t>
            </w:r>
          </w:p>
        </w:tc>
        <w:tc>
          <w:tcPr>
            <w:tcW w:w="1162" w:type="pct"/>
            <w:vAlign w:val="center"/>
          </w:tcPr>
          <w:p w14:paraId="3AB57B96">
            <w:pPr>
              <w:pStyle w:val="12"/>
              <w:jc w:val="left"/>
            </w:pPr>
            <w:r>
              <w:rPr>
                <w:rFonts w:hint="eastAsia"/>
              </w:rPr>
              <w:t>1946年4月6日在江苏高邮县战斗牺牲</w:t>
            </w:r>
          </w:p>
        </w:tc>
      </w:tr>
      <w:tr w14:paraId="59FCBB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3B729A7">
            <w:pPr>
              <w:pStyle w:val="12"/>
              <w:jc w:val="center"/>
            </w:pPr>
            <w:r>
              <w:rPr>
                <w:rFonts w:hint="eastAsia"/>
              </w:rPr>
              <w:t>谢俊贵</w:t>
            </w:r>
          </w:p>
        </w:tc>
        <w:tc>
          <w:tcPr>
            <w:tcW w:w="388" w:type="pct"/>
            <w:vAlign w:val="center"/>
          </w:tcPr>
          <w:p w14:paraId="5C4134FE">
            <w:pPr>
              <w:pStyle w:val="12"/>
              <w:jc w:val="center"/>
            </w:pPr>
            <w:r>
              <w:rPr>
                <w:rFonts w:hint="eastAsia"/>
              </w:rPr>
              <w:t>男</w:t>
            </w:r>
          </w:p>
        </w:tc>
        <w:tc>
          <w:tcPr>
            <w:tcW w:w="582" w:type="pct"/>
            <w:vAlign w:val="center"/>
          </w:tcPr>
          <w:p w14:paraId="3FD33516">
            <w:pPr>
              <w:pStyle w:val="12"/>
              <w:jc w:val="center"/>
            </w:pPr>
            <w:r>
              <w:rPr>
                <w:rFonts w:hint="eastAsia"/>
              </w:rPr>
              <w:t>1929年</w:t>
            </w:r>
          </w:p>
        </w:tc>
        <w:tc>
          <w:tcPr>
            <w:tcW w:w="582" w:type="pct"/>
            <w:vAlign w:val="center"/>
          </w:tcPr>
          <w:p w14:paraId="71D37848">
            <w:pPr>
              <w:pStyle w:val="12"/>
              <w:jc w:val="center"/>
            </w:pPr>
            <w:r>
              <w:rPr>
                <w:rFonts w:hint="eastAsia"/>
              </w:rPr>
              <w:t>珠玑镇</w:t>
            </w:r>
          </w:p>
        </w:tc>
        <w:tc>
          <w:tcPr>
            <w:tcW w:w="582" w:type="pct"/>
            <w:vAlign w:val="center"/>
          </w:tcPr>
          <w:p w14:paraId="253CB69B">
            <w:pPr>
              <w:pStyle w:val="12"/>
              <w:jc w:val="center"/>
            </w:pPr>
            <w:r>
              <w:rPr>
                <w:rFonts w:hint="eastAsia"/>
              </w:rPr>
              <w:t>1945年</w:t>
            </w:r>
          </w:p>
        </w:tc>
        <w:tc>
          <w:tcPr>
            <w:tcW w:w="1066" w:type="pct"/>
            <w:vAlign w:val="center"/>
          </w:tcPr>
          <w:p w14:paraId="268AEB28">
            <w:pPr>
              <w:pStyle w:val="12"/>
              <w:jc w:val="center"/>
              <w:rPr>
                <w:rFonts w:ascii="宋体" w:hAnsi="宋体" w:cs="宋体"/>
              </w:rPr>
            </w:pPr>
            <w:r>
              <w:rPr>
                <w:rFonts w:hint="eastAsia"/>
              </w:rPr>
              <w:t>北江第二支队</w:t>
            </w:r>
          </w:p>
          <w:p w14:paraId="54ACDE20">
            <w:pPr>
              <w:pStyle w:val="12"/>
              <w:jc w:val="center"/>
            </w:pPr>
            <w:r>
              <w:rPr>
                <w:rFonts w:hint="eastAsia" w:ascii="宋体" w:hAnsi="宋体" w:cs="宋体"/>
              </w:rPr>
              <w:t>小分队队长</w:t>
            </w:r>
          </w:p>
        </w:tc>
        <w:tc>
          <w:tcPr>
            <w:tcW w:w="1162" w:type="pct"/>
            <w:vAlign w:val="center"/>
          </w:tcPr>
          <w:p w14:paraId="354F5782">
            <w:pPr>
              <w:pStyle w:val="12"/>
              <w:jc w:val="left"/>
            </w:pPr>
            <w:r>
              <w:rPr>
                <w:rFonts w:hint="eastAsia"/>
              </w:rPr>
              <w:t>1946年4月在邓坊战斗牺牲</w:t>
            </w:r>
          </w:p>
        </w:tc>
      </w:tr>
      <w:tr w14:paraId="29D9DF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D96FC98">
            <w:pPr>
              <w:pStyle w:val="12"/>
              <w:jc w:val="center"/>
            </w:pPr>
            <w:r>
              <w:rPr>
                <w:rFonts w:hint="eastAsia"/>
              </w:rPr>
              <w:t>刘毛毛</w:t>
            </w:r>
          </w:p>
        </w:tc>
        <w:tc>
          <w:tcPr>
            <w:tcW w:w="388" w:type="pct"/>
            <w:vAlign w:val="center"/>
          </w:tcPr>
          <w:p w14:paraId="50067BF4">
            <w:pPr>
              <w:pStyle w:val="12"/>
              <w:jc w:val="center"/>
            </w:pPr>
            <w:r>
              <w:rPr>
                <w:rFonts w:hint="eastAsia"/>
              </w:rPr>
              <w:t>男</w:t>
            </w:r>
          </w:p>
        </w:tc>
        <w:tc>
          <w:tcPr>
            <w:tcW w:w="582" w:type="pct"/>
            <w:vAlign w:val="center"/>
          </w:tcPr>
          <w:p w14:paraId="3FC4583E">
            <w:pPr>
              <w:pStyle w:val="12"/>
              <w:jc w:val="center"/>
            </w:pPr>
            <w:r>
              <w:rPr>
                <w:rFonts w:hint="eastAsia"/>
              </w:rPr>
              <w:t>1926年</w:t>
            </w:r>
          </w:p>
        </w:tc>
        <w:tc>
          <w:tcPr>
            <w:tcW w:w="582" w:type="pct"/>
            <w:vAlign w:val="center"/>
          </w:tcPr>
          <w:p w14:paraId="27D843CF">
            <w:pPr>
              <w:pStyle w:val="12"/>
              <w:jc w:val="center"/>
            </w:pPr>
            <w:r>
              <w:rPr>
                <w:rFonts w:hint="eastAsia"/>
              </w:rPr>
              <w:t>珠玑镇</w:t>
            </w:r>
          </w:p>
        </w:tc>
        <w:tc>
          <w:tcPr>
            <w:tcW w:w="582" w:type="pct"/>
            <w:vAlign w:val="center"/>
          </w:tcPr>
          <w:p w14:paraId="636075F6">
            <w:pPr>
              <w:pStyle w:val="12"/>
              <w:jc w:val="center"/>
            </w:pPr>
            <w:r>
              <w:rPr>
                <w:rFonts w:hint="eastAsia"/>
              </w:rPr>
              <w:t>1945年3月</w:t>
            </w:r>
          </w:p>
        </w:tc>
        <w:tc>
          <w:tcPr>
            <w:tcW w:w="1066" w:type="pct"/>
            <w:vAlign w:val="center"/>
          </w:tcPr>
          <w:p w14:paraId="2ED83E4D">
            <w:pPr>
              <w:pStyle w:val="12"/>
              <w:jc w:val="center"/>
            </w:pPr>
            <w:r>
              <w:rPr>
                <w:rFonts w:hint="eastAsia"/>
              </w:rPr>
              <w:t>游击队队员</w:t>
            </w:r>
          </w:p>
        </w:tc>
        <w:tc>
          <w:tcPr>
            <w:tcW w:w="1162" w:type="pct"/>
            <w:vAlign w:val="center"/>
          </w:tcPr>
          <w:p w14:paraId="14AAC18F">
            <w:pPr>
              <w:pStyle w:val="12"/>
              <w:jc w:val="left"/>
            </w:pPr>
            <w:r>
              <w:rPr>
                <w:rFonts w:hint="eastAsia"/>
              </w:rPr>
              <w:t>1946年6月在珠玑聪背后龙山战斗牺牲</w:t>
            </w:r>
          </w:p>
        </w:tc>
      </w:tr>
      <w:tr w14:paraId="253A53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FC29154">
            <w:pPr>
              <w:pStyle w:val="12"/>
              <w:jc w:val="center"/>
            </w:pPr>
            <w:r>
              <w:rPr>
                <w:rFonts w:hint="eastAsia"/>
              </w:rPr>
              <w:t>彭成元</w:t>
            </w:r>
          </w:p>
        </w:tc>
        <w:tc>
          <w:tcPr>
            <w:tcW w:w="388" w:type="pct"/>
            <w:vAlign w:val="center"/>
          </w:tcPr>
          <w:p w14:paraId="3D876698">
            <w:pPr>
              <w:pStyle w:val="12"/>
              <w:jc w:val="center"/>
            </w:pPr>
            <w:r>
              <w:rPr>
                <w:rFonts w:hint="eastAsia"/>
              </w:rPr>
              <w:t>男</w:t>
            </w:r>
          </w:p>
        </w:tc>
        <w:tc>
          <w:tcPr>
            <w:tcW w:w="582" w:type="pct"/>
            <w:vAlign w:val="center"/>
          </w:tcPr>
          <w:p w14:paraId="1516C2F8">
            <w:pPr>
              <w:pStyle w:val="12"/>
              <w:jc w:val="center"/>
            </w:pPr>
            <w:r>
              <w:rPr>
                <w:rFonts w:hint="eastAsia"/>
              </w:rPr>
              <w:t>1918年</w:t>
            </w:r>
          </w:p>
        </w:tc>
        <w:tc>
          <w:tcPr>
            <w:tcW w:w="582" w:type="pct"/>
            <w:vAlign w:val="center"/>
          </w:tcPr>
          <w:p w14:paraId="2D7D6177">
            <w:pPr>
              <w:pStyle w:val="12"/>
              <w:jc w:val="center"/>
            </w:pPr>
            <w:r>
              <w:rPr>
                <w:rFonts w:hint="eastAsia"/>
              </w:rPr>
              <w:t>油山镇</w:t>
            </w:r>
          </w:p>
        </w:tc>
        <w:tc>
          <w:tcPr>
            <w:tcW w:w="582" w:type="pct"/>
            <w:vAlign w:val="center"/>
          </w:tcPr>
          <w:p w14:paraId="640B882E">
            <w:pPr>
              <w:pStyle w:val="12"/>
              <w:jc w:val="center"/>
            </w:pPr>
            <w:r>
              <w:rPr>
                <w:rFonts w:hint="eastAsia"/>
              </w:rPr>
              <w:t>1945年</w:t>
            </w:r>
          </w:p>
        </w:tc>
        <w:tc>
          <w:tcPr>
            <w:tcW w:w="1066" w:type="pct"/>
            <w:vAlign w:val="center"/>
          </w:tcPr>
          <w:p w14:paraId="03337743">
            <w:pPr>
              <w:pStyle w:val="12"/>
              <w:jc w:val="center"/>
              <w:rPr>
                <w:rFonts w:ascii="宋体" w:hAnsi="宋体" w:cs="宋体"/>
              </w:rPr>
            </w:pPr>
            <w:r>
              <w:rPr>
                <w:rFonts w:hint="eastAsia"/>
              </w:rPr>
              <w:t>北江第二支</w:t>
            </w:r>
          </w:p>
          <w:p w14:paraId="27F7C258">
            <w:pPr>
              <w:pStyle w:val="12"/>
              <w:jc w:val="center"/>
            </w:pPr>
            <w:r>
              <w:rPr>
                <w:rFonts w:hint="eastAsia" w:ascii="宋体" w:hAnsi="宋体" w:cs="宋体"/>
              </w:rPr>
              <w:t>队  队  员</w:t>
            </w:r>
          </w:p>
        </w:tc>
        <w:tc>
          <w:tcPr>
            <w:tcW w:w="1162" w:type="pct"/>
            <w:vAlign w:val="center"/>
          </w:tcPr>
          <w:p w14:paraId="399D89A5">
            <w:pPr>
              <w:pStyle w:val="12"/>
              <w:jc w:val="left"/>
            </w:pPr>
            <w:r>
              <w:rPr>
                <w:rFonts w:hint="eastAsia"/>
              </w:rPr>
              <w:t>1946年在江西大余县被捕，在南雄监狱中就义</w:t>
            </w:r>
          </w:p>
        </w:tc>
      </w:tr>
      <w:tr w14:paraId="205134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818EF4A">
            <w:pPr>
              <w:pStyle w:val="12"/>
              <w:jc w:val="center"/>
            </w:pPr>
            <w:r>
              <w:rPr>
                <w:rFonts w:hint="eastAsia"/>
              </w:rPr>
              <w:t>陈智发</w:t>
            </w:r>
          </w:p>
        </w:tc>
        <w:tc>
          <w:tcPr>
            <w:tcW w:w="388" w:type="pct"/>
            <w:vAlign w:val="center"/>
          </w:tcPr>
          <w:p w14:paraId="39F1AC00">
            <w:pPr>
              <w:pStyle w:val="12"/>
              <w:jc w:val="center"/>
            </w:pPr>
            <w:r>
              <w:rPr>
                <w:rFonts w:hint="eastAsia"/>
              </w:rPr>
              <w:t>男</w:t>
            </w:r>
          </w:p>
        </w:tc>
        <w:tc>
          <w:tcPr>
            <w:tcW w:w="582" w:type="pct"/>
            <w:vAlign w:val="center"/>
          </w:tcPr>
          <w:p w14:paraId="3954B904">
            <w:pPr>
              <w:pStyle w:val="12"/>
              <w:jc w:val="center"/>
            </w:pPr>
            <w:r>
              <w:rPr>
                <w:rFonts w:hint="eastAsia"/>
              </w:rPr>
              <w:t>1919年</w:t>
            </w:r>
          </w:p>
        </w:tc>
        <w:tc>
          <w:tcPr>
            <w:tcW w:w="582" w:type="pct"/>
            <w:vAlign w:val="center"/>
          </w:tcPr>
          <w:p w14:paraId="748B977C">
            <w:pPr>
              <w:pStyle w:val="12"/>
              <w:jc w:val="center"/>
            </w:pPr>
            <w:r>
              <w:rPr>
                <w:rFonts w:hint="eastAsia"/>
              </w:rPr>
              <w:t>油山镇</w:t>
            </w:r>
          </w:p>
        </w:tc>
        <w:tc>
          <w:tcPr>
            <w:tcW w:w="582" w:type="pct"/>
            <w:vAlign w:val="center"/>
          </w:tcPr>
          <w:p w14:paraId="2A2E5C55">
            <w:pPr>
              <w:pStyle w:val="12"/>
              <w:jc w:val="center"/>
            </w:pPr>
            <w:r>
              <w:rPr>
                <w:rFonts w:hint="eastAsia"/>
              </w:rPr>
              <w:t>1945年5月</w:t>
            </w:r>
          </w:p>
        </w:tc>
        <w:tc>
          <w:tcPr>
            <w:tcW w:w="1066" w:type="pct"/>
            <w:vAlign w:val="center"/>
          </w:tcPr>
          <w:p w14:paraId="448AAFC4">
            <w:pPr>
              <w:pStyle w:val="12"/>
              <w:jc w:val="center"/>
              <w:rPr>
                <w:rFonts w:ascii="宋体" w:hAnsi="宋体" w:cs="宋体"/>
              </w:rPr>
            </w:pPr>
            <w:r>
              <w:rPr>
                <w:rFonts w:hint="eastAsia"/>
              </w:rPr>
              <w:t>北江第二支</w:t>
            </w:r>
          </w:p>
          <w:p w14:paraId="13B5688E">
            <w:pPr>
              <w:pStyle w:val="12"/>
              <w:jc w:val="center"/>
            </w:pPr>
            <w:r>
              <w:rPr>
                <w:rFonts w:hint="eastAsia" w:ascii="宋体" w:hAnsi="宋体" w:cs="宋体"/>
              </w:rPr>
              <w:t>队  队  员</w:t>
            </w:r>
          </w:p>
        </w:tc>
        <w:tc>
          <w:tcPr>
            <w:tcW w:w="1162" w:type="pct"/>
            <w:vAlign w:val="center"/>
          </w:tcPr>
          <w:p w14:paraId="1D9C96C6">
            <w:pPr>
              <w:pStyle w:val="12"/>
              <w:jc w:val="left"/>
            </w:pPr>
            <w:r>
              <w:rPr>
                <w:rFonts w:hint="eastAsia"/>
              </w:rPr>
              <w:t>1946年10月在大塘圩被捕，在县城郊就义</w:t>
            </w:r>
          </w:p>
        </w:tc>
      </w:tr>
      <w:tr w14:paraId="266513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84E4870">
            <w:pPr>
              <w:pStyle w:val="12"/>
              <w:jc w:val="center"/>
            </w:pPr>
            <w:r>
              <w:rPr>
                <w:rFonts w:hint="eastAsia"/>
              </w:rPr>
              <w:t>邬书通</w:t>
            </w:r>
          </w:p>
        </w:tc>
        <w:tc>
          <w:tcPr>
            <w:tcW w:w="388" w:type="pct"/>
            <w:vAlign w:val="center"/>
          </w:tcPr>
          <w:p w14:paraId="79492F13">
            <w:pPr>
              <w:pStyle w:val="12"/>
              <w:jc w:val="center"/>
            </w:pPr>
            <w:r>
              <w:rPr>
                <w:rFonts w:hint="eastAsia"/>
              </w:rPr>
              <w:t>男</w:t>
            </w:r>
          </w:p>
        </w:tc>
        <w:tc>
          <w:tcPr>
            <w:tcW w:w="582" w:type="pct"/>
            <w:vAlign w:val="center"/>
          </w:tcPr>
          <w:p w14:paraId="64430B5B">
            <w:pPr>
              <w:pStyle w:val="12"/>
              <w:jc w:val="center"/>
            </w:pPr>
            <w:r>
              <w:rPr>
                <w:rFonts w:hint="eastAsia"/>
              </w:rPr>
              <w:t>1908年</w:t>
            </w:r>
          </w:p>
        </w:tc>
        <w:tc>
          <w:tcPr>
            <w:tcW w:w="582" w:type="pct"/>
            <w:vAlign w:val="center"/>
          </w:tcPr>
          <w:p w14:paraId="6909F4C4">
            <w:pPr>
              <w:pStyle w:val="12"/>
              <w:jc w:val="center"/>
            </w:pPr>
            <w:r>
              <w:rPr>
                <w:rFonts w:hint="eastAsia"/>
              </w:rPr>
              <w:t>澜河镇</w:t>
            </w:r>
          </w:p>
        </w:tc>
        <w:tc>
          <w:tcPr>
            <w:tcW w:w="582" w:type="pct"/>
            <w:vAlign w:val="center"/>
          </w:tcPr>
          <w:p w14:paraId="191C3B93">
            <w:pPr>
              <w:pStyle w:val="12"/>
              <w:jc w:val="center"/>
            </w:pPr>
            <w:r>
              <w:rPr>
                <w:rFonts w:hint="eastAsia"/>
              </w:rPr>
              <w:t>1943年</w:t>
            </w:r>
          </w:p>
        </w:tc>
        <w:tc>
          <w:tcPr>
            <w:tcW w:w="1066" w:type="pct"/>
            <w:vAlign w:val="center"/>
          </w:tcPr>
          <w:p w14:paraId="0A4E56D2">
            <w:pPr>
              <w:pStyle w:val="12"/>
              <w:jc w:val="center"/>
              <w:rPr>
                <w:rFonts w:ascii="宋体" w:hAnsi="宋体" w:cs="宋体"/>
              </w:rPr>
            </w:pPr>
            <w:r>
              <w:rPr>
                <w:rFonts w:hint="eastAsia"/>
              </w:rPr>
              <w:t>北江第二支</w:t>
            </w:r>
          </w:p>
          <w:p w14:paraId="1F36006F">
            <w:pPr>
              <w:pStyle w:val="12"/>
              <w:jc w:val="center"/>
            </w:pPr>
            <w:r>
              <w:rPr>
                <w:rFonts w:hint="eastAsia" w:ascii="宋体" w:hAnsi="宋体" w:cs="宋体"/>
              </w:rPr>
              <w:t>队小组长</w:t>
            </w:r>
          </w:p>
        </w:tc>
        <w:tc>
          <w:tcPr>
            <w:tcW w:w="1162" w:type="pct"/>
            <w:vAlign w:val="center"/>
          </w:tcPr>
          <w:p w14:paraId="4CDCEF48">
            <w:pPr>
              <w:pStyle w:val="12"/>
              <w:jc w:val="left"/>
            </w:pPr>
            <w:r>
              <w:rPr>
                <w:rFonts w:hint="eastAsia"/>
              </w:rPr>
              <w:t>1946年在澜河被捕，在白云圩就义</w:t>
            </w:r>
          </w:p>
        </w:tc>
      </w:tr>
      <w:tr w14:paraId="0AE6AB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D8DD545">
            <w:pPr>
              <w:pStyle w:val="12"/>
              <w:jc w:val="center"/>
            </w:pPr>
            <w:r>
              <w:rPr>
                <w:rFonts w:hint="eastAsia"/>
              </w:rPr>
              <w:t>曾文玉</w:t>
            </w:r>
            <w:r>
              <w:rPr>
                <w:rFonts w:hint="eastAsia" w:ascii="宋体" w:hAnsi="宋体" w:cs="宋体"/>
              </w:rPr>
              <w:t>（昭熙）</w:t>
            </w:r>
          </w:p>
        </w:tc>
        <w:tc>
          <w:tcPr>
            <w:tcW w:w="388" w:type="pct"/>
            <w:vAlign w:val="center"/>
          </w:tcPr>
          <w:p w14:paraId="43C2A493">
            <w:pPr>
              <w:pStyle w:val="12"/>
              <w:jc w:val="center"/>
            </w:pPr>
            <w:r>
              <w:rPr>
                <w:rFonts w:hint="eastAsia"/>
              </w:rPr>
              <w:t>男</w:t>
            </w:r>
          </w:p>
        </w:tc>
        <w:tc>
          <w:tcPr>
            <w:tcW w:w="582" w:type="pct"/>
            <w:vAlign w:val="center"/>
          </w:tcPr>
          <w:p w14:paraId="7C34EAF1">
            <w:pPr>
              <w:pStyle w:val="12"/>
              <w:jc w:val="center"/>
            </w:pPr>
            <w:r>
              <w:rPr>
                <w:rFonts w:hint="eastAsia"/>
              </w:rPr>
              <w:t>1918年</w:t>
            </w:r>
          </w:p>
        </w:tc>
        <w:tc>
          <w:tcPr>
            <w:tcW w:w="582" w:type="pct"/>
            <w:vAlign w:val="center"/>
          </w:tcPr>
          <w:p w14:paraId="0FBCB7F0">
            <w:pPr>
              <w:pStyle w:val="12"/>
              <w:jc w:val="center"/>
            </w:pPr>
            <w:r>
              <w:rPr>
                <w:rFonts w:hint="eastAsia"/>
              </w:rPr>
              <w:t>湖口镇</w:t>
            </w:r>
          </w:p>
        </w:tc>
        <w:tc>
          <w:tcPr>
            <w:tcW w:w="582" w:type="pct"/>
            <w:vAlign w:val="center"/>
          </w:tcPr>
          <w:p w14:paraId="44291915">
            <w:pPr>
              <w:pStyle w:val="12"/>
              <w:jc w:val="center"/>
            </w:pPr>
            <w:r>
              <w:rPr>
                <w:rFonts w:hint="eastAsia"/>
              </w:rPr>
              <w:t>1938年</w:t>
            </w:r>
          </w:p>
        </w:tc>
        <w:tc>
          <w:tcPr>
            <w:tcW w:w="1066" w:type="pct"/>
            <w:vAlign w:val="center"/>
          </w:tcPr>
          <w:p w14:paraId="6FA5F740">
            <w:pPr>
              <w:pStyle w:val="12"/>
              <w:jc w:val="center"/>
            </w:pPr>
            <w:r>
              <w:rPr>
                <w:rFonts w:hint="eastAsia"/>
              </w:rPr>
              <w:t>军委二局干部</w:t>
            </w:r>
          </w:p>
        </w:tc>
        <w:tc>
          <w:tcPr>
            <w:tcW w:w="1162" w:type="pct"/>
            <w:vAlign w:val="center"/>
          </w:tcPr>
          <w:p w14:paraId="42316393">
            <w:pPr>
              <w:pStyle w:val="12"/>
              <w:jc w:val="left"/>
            </w:pPr>
            <w:r>
              <w:rPr>
                <w:rFonts w:hint="eastAsia"/>
              </w:rPr>
              <w:t>1946年12月25日因积劳成疾去世</w:t>
            </w:r>
          </w:p>
        </w:tc>
      </w:tr>
      <w:tr w14:paraId="19ECB50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F0E6276">
            <w:pPr>
              <w:pStyle w:val="12"/>
              <w:jc w:val="center"/>
            </w:pPr>
            <w:r>
              <w:rPr>
                <w:rFonts w:hint="eastAsia"/>
              </w:rPr>
              <w:t>刘显富</w:t>
            </w:r>
          </w:p>
        </w:tc>
        <w:tc>
          <w:tcPr>
            <w:tcW w:w="388" w:type="pct"/>
            <w:vAlign w:val="center"/>
          </w:tcPr>
          <w:p w14:paraId="26373BA2">
            <w:pPr>
              <w:pStyle w:val="12"/>
              <w:jc w:val="center"/>
            </w:pPr>
            <w:r>
              <w:rPr>
                <w:rFonts w:hint="eastAsia"/>
              </w:rPr>
              <w:t>男</w:t>
            </w:r>
          </w:p>
        </w:tc>
        <w:tc>
          <w:tcPr>
            <w:tcW w:w="582" w:type="pct"/>
            <w:vAlign w:val="center"/>
          </w:tcPr>
          <w:p w14:paraId="40A5FB11">
            <w:pPr>
              <w:pStyle w:val="12"/>
              <w:jc w:val="center"/>
            </w:pPr>
            <w:r>
              <w:rPr>
                <w:rFonts w:hint="eastAsia"/>
              </w:rPr>
              <w:t>1922年</w:t>
            </w:r>
          </w:p>
        </w:tc>
        <w:tc>
          <w:tcPr>
            <w:tcW w:w="582" w:type="pct"/>
            <w:vAlign w:val="center"/>
          </w:tcPr>
          <w:p w14:paraId="28779593">
            <w:pPr>
              <w:pStyle w:val="12"/>
              <w:jc w:val="center"/>
            </w:pPr>
            <w:r>
              <w:rPr>
                <w:rFonts w:hint="eastAsia"/>
              </w:rPr>
              <w:t>湖口镇</w:t>
            </w:r>
          </w:p>
        </w:tc>
        <w:tc>
          <w:tcPr>
            <w:tcW w:w="582" w:type="pct"/>
            <w:vAlign w:val="center"/>
          </w:tcPr>
          <w:p w14:paraId="10591354">
            <w:pPr>
              <w:pStyle w:val="12"/>
              <w:jc w:val="center"/>
            </w:pPr>
            <w:r>
              <w:rPr>
                <w:rFonts w:hint="eastAsia"/>
              </w:rPr>
              <w:t>1946年</w:t>
            </w:r>
          </w:p>
        </w:tc>
        <w:tc>
          <w:tcPr>
            <w:tcW w:w="1066" w:type="pct"/>
            <w:vAlign w:val="center"/>
          </w:tcPr>
          <w:p w14:paraId="198F286A">
            <w:pPr>
              <w:pStyle w:val="12"/>
              <w:jc w:val="center"/>
              <w:rPr>
                <w:rFonts w:ascii="宋体" w:hAnsi="宋体" w:cs="宋体"/>
              </w:rPr>
            </w:pPr>
            <w:r>
              <w:rPr>
                <w:rFonts w:hint="eastAsia"/>
              </w:rPr>
              <w:t>北江第二支</w:t>
            </w:r>
          </w:p>
          <w:p w14:paraId="56499C0C">
            <w:pPr>
              <w:pStyle w:val="12"/>
              <w:jc w:val="center"/>
            </w:pPr>
            <w:r>
              <w:rPr>
                <w:rFonts w:hint="eastAsia" w:ascii="宋体" w:hAnsi="宋体" w:cs="宋体"/>
              </w:rPr>
              <w:t>队  队  员</w:t>
            </w:r>
          </w:p>
        </w:tc>
        <w:tc>
          <w:tcPr>
            <w:tcW w:w="1162" w:type="pct"/>
            <w:vAlign w:val="center"/>
          </w:tcPr>
          <w:p w14:paraId="7EE05558">
            <w:pPr>
              <w:pStyle w:val="12"/>
              <w:jc w:val="left"/>
            </w:pPr>
            <w:r>
              <w:rPr>
                <w:rFonts w:hint="eastAsia"/>
              </w:rPr>
              <w:t>1947年在大塘真仙岩作战牺牲</w:t>
            </w:r>
          </w:p>
        </w:tc>
      </w:tr>
      <w:tr w14:paraId="2010A5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DF80627">
            <w:pPr>
              <w:pStyle w:val="12"/>
              <w:jc w:val="center"/>
            </w:pPr>
            <w:r>
              <w:rPr>
                <w:rFonts w:hint="eastAsia"/>
              </w:rPr>
              <w:t>曾广田</w:t>
            </w:r>
          </w:p>
        </w:tc>
        <w:tc>
          <w:tcPr>
            <w:tcW w:w="388" w:type="pct"/>
            <w:vAlign w:val="center"/>
          </w:tcPr>
          <w:p w14:paraId="2C8704DC">
            <w:pPr>
              <w:pStyle w:val="12"/>
              <w:jc w:val="center"/>
            </w:pPr>
            <w:r>
              <w:rPr>
                <w:rFonts w:hint="eastAsia"/>
              </w:rPr>
              <w:t>男</w:t>
            </w:r>
          </w:p>
        </w:tc>
        <w:tc>
          <w:tcPr>
            <w:tcW w:w="582" w:type="pct"/>
            <w:vAlign w:val="center"/>
          </w:tcPr>
          <w:p w14:paraId="73F60A25">
            <w:pPr>
              <w:pStyle w:val="12"/>
              <w:jc w:val="center"/>
            </w:pPr>
            <w:r>
              <w:rPr>
                <w:rFonts w:hint="eastAsia"/>
              </w:rPr>
              <w:t>1912年</w:t>
            </w:r>
          </w:p>
        </w:tc>
        <w:tc>
          <w:tcPr>
            <w:tcW w:w="582" w:type="pct"/>
            <w:vAlign w:val="center"/>
          </w:tcPr>
          <w:p w14:paraId="37E197F8">
            <w:pPr>
              <w:pStyle w:val="12"/>
              <w:jc w:val="center"/>
            </w:pPr>
            <w:r>
              <w:rPr>
                <w:rFonts w:hint="eastAsia"/>
              </w:rPr>
              <w:t>湖口镇</w:t>
            </w:r>
          </w:p>
        </w:tc>
        <w:tc>
          <w:tcPr>
            <w:tcW w:w="582" w:type="pct"/>
            <w:vAlign w:val="center"/>
          </w:tcPr>
          <w:p w14:paraId="0611212C">
            <w:pPr>
              <w:pStyle w:val="12"/>
              <w:jc w:val="center"/>
            </w:pPr>
            <w:r>
              <w:rPr>
                <w:rFonts w:hint="eastAsia"/>
              </w:rPr>
              <w:t>1947年</w:t>
            </w:r>
          </w:p>
        </w:tc>
        <w:tc>
          <w:tcPr>
            <w:tcW w:w="1066" w:type="pct"/>
            <w:vAlign w:val="center"/>
          </w:tcPr>
          <w:p w14:paraId="5CF28F99">
            <w:pPr>
              <w:pStyle w:val="12"/>
              <w:jc w:val="center"/>
              <w:rPr>
                <w:rFonts w:ascii="宋体" w:hAnsi="宋体" w:cs="宋体"/>
              </w:rPr>
            </w:pPr>
            <w:r>
              <w:rPr>
                <w:rFonts w:hint="eastAsia"/>
              </w:rPr>
              <w:t>北江第二支</w:t>
            </w:r>
          </w:p>
          <w:p w14:paraId="1B116903">
            <w:pPr>
              <w:pStyle w:val="12"/>
              <w:jc w:val="center"/>
            </w:pPr>
            <w:r>
              <w:rPr>
                <w:rFonts w:hint="eastAsia" w:ascii="宋体" w:hAnsi="宋体" w:cs="宋体"/>
              </w:rPr>
              <w:t>队  班  长</w:t>
            </w:r>
          </w:p>
        </w:tc>
        <w:tc>
          <w:tcPr>
            <w:tcW w:w="1162" w:type="pct"/>
            <w:vAlign w:val="center"/>
          </w:tcPr>
          <w:p w14:paraId="381948AB">
            <w:pPr>
              <w:pStyle w:val="12"/>
              <w:jc w:val="left"/>
            </w:pPr>
            <w:r>
              <w:rPr>
                <w:rFonts w:hint="eastAsia"/>
              </w:rPr>
              <w:t>1947年9月在牛光岭战斗牺牲</w:t>
            </w:r>
          </w:p>
        </w:tc>
      </w:tr>
      <w:tr w14:paraId="2D3F7A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3405999">
            <w:pPr>
              <w:pStyle w:val="12"/>
              <w:jc w:val="center"/>
            </w:pPr>
            <w:r>
              <w:rPr>
                <w:rFonts w:hint="eastAsia"/>
              </w:rPr>
              <w:t>丁仁芳</w:t>
            </w:r>
          </w:p>
        </w:tc>
        <w:tc>
          <w:tcPr>
            <w:tcW w:w="388" w:type="pct"/>
            <w:vAlign w:val="center"/>
          </w:tcPr>
          <w:p w14:paraId="0FC972D6">
            <w:pPr>
              <w:pStyle w:val="12"/>
              <w:jc w:val="center"/>
            </w:pPr>
            <w:r>
              <w:rPr>
                <w:rFonts w:hint="eastAsia"/>
              </w:rPr>
              <w:t>男</w:t>
            </w:r>
          </w:p>
        </w:tc>
        <w:tc>
          <w:tcPr>
            <w:tcW w:w="582" w:type="pct"/>
            <w:vAlign w:val="center"/>
          </w:tcPr>
          <w:p w14:paraId="62B463FA">
            <w:pPr>
              <w:pStyle w:val="12"/>
              <w:jc w:val="center"/>
            </w:pPr>
            <w:r>
              <w:rPr>
                <w:rFonts w:hint="eastAsia"/>
              </w:rPr>
              <w:t>1923年</w:t>
            </w:r>
          </w:p>
        </w:tc>
        <w:tc>
          <w:tcPr>
            <w:tcW w:w="582" w:type="pct"/>
            <w:vAlign w:val="center"/>
          </w:tcPr>
          <w:p w14:paraId="782FCAD9">
            <w:pPr>
              <w:pStyle w:val="12"/>
              <w:jc w:val="center"/>
            </w:pPr>
            <w:r>
              <w:rPr>
                <w:rFonts w:hint="eastAsia"/>
              </w:rPr>
              <w:t>湖口镇</w:t>
            </w:r>
          </w:p>
        </w:tc>
        <w:tc>
          <w:tcPr>
            <w:tcW w:w="582" w:type="pct"/>
            <w:vAlign w:val="center"/>
          </w:tcPr>
          <w:p w14:paraId="0B10D8FB">
            <w:pPr>
              <w:pStyle w:val="12"/>
              <w:jc w:val="center"/>
            </w:pPr>
            <w:r>
              <w:rPr>
                <w:rFonts w:hint="eastAsia"/>
              </w:rPr>
              <w:t>1947年</w:t>
            </w:r>
          </w:p>
        </w:tc>
        <w:tc>
          <w:tcPr>
            <w:tcW w:w="1066" w:type="pct"/>
            <w:vAlign w:val="center"/>
          </w:tcPr>
          <w:p w14:paraId="5696D46E">
            <w:pPr>
              <w:pStyle w:val="12"/>
              <w:jc w:val="center"/>
              <w:rPr>
                <w:rFonts w:ascii="宋体" w:hAnsi="宋体" w:cs="宋体"/>
              </w:rPr>
            </w:pPr>
            <w:r>
              <w:rPr>
                <w:rFonts w:hint="eastAsia"/>
              </w:rPr>
              <w:t>北江第二支</w:t>
            </w:r>
          </w:p>
          <w:p w14:paraId="4FC7AAD1">
            <w:pPr>
              <w:pStyle w:val="12"/>
              <w:jc w:val="center"/>
            </w:pPr>
            <w:r>
              <w:rPr>
                <w:rFonts w:hint="eastAsia" w:ascii="宋体" w:hAnsi="宋体" w:cs="宋体"/>
              </w:rPr>
              <w:t>队  队  员</w:t>
            </w:r>
          </w:p>
        </w:tc>
        <w:tc>
          <w:tcPr>
            <w:tcW w:w="1162" w:type="pct"/>
            <w:vAlign w:val="center"/>
          </w:tcPr>
          <w:p w14:paraId="709092E0">
            <w:pPr>
              <w:pStyle w:val="12"/>
              <w:jc w:val="left"/>
            </w:pPr>
            <w:r>
              <w:rPr>
                <w:rFonts w:hint="eastAsia"/>
              </w:rPr>
              <w:t>1947年7月在长浦桥作战牺牲</w:t>
            </w:r>
          </w:p>
        </w:tc>
      </w:tr>
      <w:tr w14:paraId="17DFC58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CB6200F">
            <w:pPr>
              <w:pStyle w:val="12"/>
              <w:jc w:val="center"/>
            </w:pPr>
            <w:r>
              <w:rPr>
                <w:rFonts w:hint="eastAsia"/>
              </w:rPr>
              <w:t>凌红煌</w:t>
            </w:r>
          </w:p>
        </w:tc>
        <w:tc>
          <w:tcPr>
            <w:tcW w:w="388" w:type="pct"/>
            <w:vAlign w:val="center"/>
          </w:tcPr>
          <w:p w14:paraId="546A2DC5">
            <w:pPr>
              <w:pStyle w:val="12"/>
              <w:jc w:val="center"/>
            </w:pPr>
            <w:r>
              <w:rPr>
                <w:rFonts w:hint="eastAsia"/>
              </w:rPr>
              <w:t>男</w:t>
            </w:r>
          </w:p>
        </w:tc>
        <w:tc>
          <w:tcPr>
            <w:tcW w:w="582" w:type="pct"/>
            <w:vAlign w:val="center"/>
          </w:tcPr>
          <w:p w14:paraId="3E843E14">
            <w:pPr>
              <w:pStyle w:val="12"/>
              <w:jc w:val="center"/>
            </w:pPr>
            <w:r>
              <w:rPr>
                <w:rFonts w:hint="eastAsia"/>
              </w:rPr>
              <w:t>1925年</w:t>
            </w:r>
          </w:p>
        </w:tc>
        <w:tc>
          <w:tcPr>
            <w:tcW w:w="582" w:type="pct"/>
            <w:vAlign w:val="center"/>
          </w:tcPr>
          <w:p w14:paraId="27E22795">
            <w:pPr>
              <w:pStyle w:val="12"/>
              <w:jc w:val="center"/>
            </w:pPr>
            <w:r>
              <w:rPr>
                <w:rFonts w:hint="eastAsia"/>
              </w:rPr>
              <w:t>湖口镇</w:t>
            </w:r>
          </w:p>
        </w:tc>
        <w:tc>
          <w:tcPr>
            <w:tcW w:w="582" w:type="pct"/>
            <w:vAlign w:val="center"/>
          </w:tcPr>
          <w:p w14:paraId="5D184AF4">
            <w:pPr>
              <w:pStyle w:val="12"/>
              <w:jc w:val="center"/>
            </w:pPr>
            <w:r>
              <w:rPr>
                <w:rFonts w:hint="eastAsia"/>
              </w:rPr>
              <w:t>1947年</w:t>
            </w:r>
          </w:p>
        </w:tc>
        <w:tc>
          <w:tcPr>
            <w:tcW w:w="1066" w:type="pct"/>
            <w:vAlign w:val="center"/>
          </w:tcPr>
          <w:p w14:paraId="66FF4A7A">
            <w:pPr>
              <w:pStyle w:val="12"/>
              <w:jc w:val="center"/>
              <w:rPr>
                <w:rFonts w:ascii="宋体" w:hAnsi="宋体" w:cs="宋体"/>
              </w:rPr>
            </w:pPr>
            <w:r>
              <w:rPr>
                <w:rFonts w:hint="eastAsia"/>
              </w:rPr>
              <w:t>北江第二支</w:t>
            </w:r>
          </w:p>
          <w:p w14:paraId="7407DBEE">
            <w:pPr>
              <w:pStyle w:val="12"/>
              <w:jc w:val="center"/>
            </w:pPr>
            <w:r>
              <w:rPr>
                <w:rFonts w:hint="eastAsia" w:ascii="宋体" w:hAnsi="宋体" w:cs="宋体"/>
              </w:rPr>
              <w:t>队  队  员</w:t>
            </w:r>
          </w:p>
        </w:tc>
        <w:tc>
          <w:tcPr>
            <w:tcW w:w="1162" w:type="pct"/>
            <w:vAlign w:val="center"/>
          </w:tcPr>
          <w:p w14:paraId="1B74B7BC">
            <w:pPr>
              <w:pStyle w:val="12"/>
              <w:jc w:val="left"/>
            </w:pPr>
            <w:r>
              <w:rPr>
                <w:rFonts w:hint="eastAsia"/>
              </w:rPr>
              <w:t>1947年10月在江西省作战牺牲</w:t>
            </w:r>
          </w:p>
        </w:tc>
      </w:tr>
      <w:tr w14:paraId="41AC11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697E7A1">
            <w:pPr>
              <w:pStyle w:val="12"/>
              <w:jc w:val="center"/>
            </w:pPr>
            <w:r>
              <w:rPr>
                <w:rFonts w:hint="eastAsia"/>
              </w:rPr>
              <w:t>吴志荣</w:t>
            </w:r>
            <w:r>
              <w:rPr>
                <w:rFonts w:hint="eastAsia" w:ascii="宋体" w:hAnsi="宋体" w:cs="宋体"/>
              </w:rPr>
              <w:t>（志庆）</w:t>
            </w:r>
          </w:p>
        </w:tc>
        <w:tc>
          <w:tcPr>
            <w:tcW w:w="388" w:type="pct"/>
            <w:vAlign w:val="center"/>
          </w:tcPr>
          <w:p w14:paraId="5D22CC26">
            <w:pPr>
              <w:pStyle w:val="12"/>
              <w:jc w:val="center"/>
            </w:pPr>
            <w:r>
              <w:rPr>
                <w:rFonts w:hint="eastAsia"/>
              </w:rPr>
              <w:t>男</w:t>
            </w:r>
          </w:p>
        </w:tc>
        <w:tc>
          <w:tcPr>
            <w:tcW w:w="582" w:type="pct"/>
            <w:vAlign w:val="center"/>
          </w:tcPr>
          <w:p w14:paraId="71494261">
            <w:pPr>
              <w:pStyle w:val="12"/>
              <w:jc w:val="center"/>
            </w:pPr>
            <w:r>
              <w:rPr>
                <w:rFonts w:hint="eastAsia"/>
              </w:rPr>
              <w:t>1911年</w:t>
            </w:r>
          </w:p>
        </w:tc>
        <w:tc>
          <w:tcPr>
            <w:tcW w:w="582" w:type="pct"/>
            <w:vAlign w:val="center"/>
          </w:tcPr>
          <w:p w14:paraId="7398C482">
            <w:pPr>
              <w:pStyle w:val="12"/>
              <w:jc w:val="center"/>
            </w:pPr>
            <w:r>
              <w:rPr>
                <w:rFonts w:hint="eastAsia"/>
              </w:rPr>
              <w:t>湖口镇</w:t>
            </w:r>
          </w:p>
        </w:tc>
        <w:tc>
          <w:tcPr>
            <w:tcW w:w="582" w:type="pct"/>
            <w:vAlign w:val="center"/>
          </w:tcPr>
          <w:p w14:paraId="458475EE">
            <w:pPr>
              <w:pStyle w:val="12"/>
              <w:jc w:val="center"/>
            </w:pPr>
            <w:r>
              <w:rPr>
                <w:rFonts w:hint="eastAsia"/>
              </w:rPr>
              <w:t>1946年</w:t>
            </w:r>
          </w:p>
        </w:tc>
        <w:tc>
          <w:tcPr>
            <w:tcW w:w="1066" w:type="pct"/>
            <w:vAlign w:val="center"/>
          </w:tcPr>
          <w:p w14:paraId="3A9F3BAF">
            <w:pPr>
              <w:pStyle w:val="12"/>
              <w:jc w:val="center"/>
              <w:rPr>
                <w:rFonts w:ascii="宋体" w:hAnsi="宋体" w:cs="宋体"/>
              </w:rPr>
            </w:pPr>
            <w:r>
              <w:rPr>
                <w:rFonts w:hint="eastAsia"/>
              </w:rPr>
              <w:t>北江第二支队</w:t>
            </w:r>
          </w:p>
          <w:p w14:paraId="106BCFE5">
            <w:pPr>
              <w:pStyle w:val="12"/>
              <w:jc w:val="center"/>
            </w:pPr>
            <w:r>
              <w:rPr>
                <w:rFonts w:hint="eastAsia" w:ascii="宋体" w:hAnsi="宋体" w:cs="宋体"/>
              </w:rPr>
              <w:t>下属司务长</w:t>
            </w:r>
          </w:p>
        </w:tc>
        <w:tc>
          <w:tcPr>
            <w:tcW w:w="1162" w:type="pct"/>
            <w:vAlign w:val="center"/>
          </w:tcPr>
          <w:p w14:paraId="7BF00606">
            <w:pPr>
              <w:pStyle w:val="12"/>
              <w:jc w:val="left"/>
            </w:pPr>
            <w:r>
              <w:rPr>
                <w:rFonts w:hint="eastAsia"/>
              </w:rPr>
              <w:t>1947年在江西信丰县作战牺牲</w:t>
            </w:r>
          </w:p>
        </w:tc>
      </w:tr>
      <w:tr w14:paraId="6AECE0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A4294CF">
            <w:pPr>
              <w:pStyle w:val="12"/>
              <w:jc w:val="center"/>
            </w:pPr>
            <w:r>
              <w:rPr>
                <w:rFonts w:hint="eastAsia"/>
              </w:rPr>
              <w:t>张兴明</w:t>
            </w:r>
          </w:p>
        </w:tc>
        <w:tc>
          <w:tcPr>
            <w:tcW w:w="388" w:type="pct"/>
            <w:vAlign w:val="center"/>
          </w:tcPr>
          <w:p w14:paraId="5CA0994C">
            <w:pPr>
              <w:pStyle w:val="12"/>
              <w:jc w:val="center"/>
            </w:pPr>
            <w:r>
              <w:rPr>
                <w:rFonts w:hint="eastAsia"/>
              </w:rPr>
              <w:t>男</w:t>
            </w:r>
          </w:p>
        </w:tc>
        <w:tc>
          <w:tcPr>
            <w:tcW w:w="582" w:type="pct"/>
            <w:vAlign w:val="center"/>
          </w:tcPr>
          <w:p w14:paraId="448B7316">
            <w:pPr>
              <w:pStyle w:val="12"/>
              <w:jc w:val="center"/>
            </w:pPr>
            <w:r>
              <w:rPr>
                <w:rFonts w:hint="eastAsia"/>
              </w:rPr>
              <w:t>1904年</w:t>
            </w:r>
          </w:p>
        </w:tc>
        <w:tc>
          <w:tcPr>
            <w:tcW w:w="582" w:type="pct"/>
            <w:vAlign w:val="center"/>
          </w:tcPr>
          <w:p w14:paraId="0C308BF4">
            <w:pPr>
              <w:pStyle w:val="12"/>
              <w:jc w:val="center"/>
            </w:pPr>
            <w:r>
              <w:rPr>
                <w:rFonts w:hint="eastAsia"/>
              </w:rPr>
              <w:t>主田镇</w:t>
            </w:r>
          </w:p>
        </w:tc>
        <w:tc>
          <w:tcPr>
            <w:tcW w:w="582" w:type="pct"/>
            <w:vAlign w:val="center"/>
          </w:tcPr>
          <w:p w14:paraId="1065F577">
            <w:pPr>
              <w:pStyle w:val="12"/>
              <w:jc w:val="center"/>
            </w:pPr>
            <w:r>
              <w:rPr>
                <w:rFonts w:hint="eastAsia"/>
              </w:rPr>
              <w:t>1947年</w:t>
            </w:r>
          </w:p>
        </w:tc>
        <w:tc>
          <w:tcPr>
            <w:tcW w:w="1066" w:type="pct"/>
            <w:vAlign w:val="center"/>
          </w:tcPr>
          <w:p w14:paraId="6C17453E">
            <w:pPr>
              <w:pStyle w:val="12"/>
              <w:jc w:val="center"/>
              <w:rPr>
                <w:rFonts w:ascii="宋体" w:hAnsi="宋体" w:cs="宋体"/>
              </w:rPr>
            </w:pPr>
            <w:r>
              <w:rPr>
                <w:rFonts w:hint="eastAsia"/>
              </w:rPr>
              <w:t>北江第二支</w:t>
            </w:r>
          </w:p>
          <w:p w14:paraId="54129050">
            <w:pPr>
              <w:pStyle w:val="12"/>
              <w:jc w:val="center"/>
            </w:pPr>
            <w:r>
              <w:rPr>
                <w:rFonts w:hint="eastAsia" w:ascii="宋体" w:hAnsi="宋体" w:cs="宋体"/>
              </w:rPr>
              <w:t>队  队  员</w:t>
            </w:r>
          </w:p>
        </w:tc>
        <w:tc>
          <w:tcPr>
            <w:tcW w:w="1162" w:type="pct"/>
            <w:vAlign w:val="center"/>
          </w:tcPr>
          <w:p w14:paraId="61534DBC">
            <w:pPr>
              <w:pStyle w:val="12"/>
              <w:jc w:val="left"/>
            </w:pPr>
            <w:r>
              <w:rPr>
                <w:rFonts w:hint="eastAsia"/>
              </w:rPr>
              <w:t>1947年10月在主田大塘寨作战牺牲</w:t>
            </w:r>
          </w:p>
        </w:tc>
      </w:tr>
      <w:tr w14:paraId="516544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948B134">
            <w:pPr>
              <w:pStyle w:val="12"/>
              <w:jc w:val="center"/>
            </w:pPr>
            <w:r>
              <w:rPr>
                <w:rFonts w:hint="eastAsia"/>
              </w:rPr>
              <w:t>邓事勋</w:t>
            </w:r>
            <w:r>
              <w:rPr>
                <w:rFonts w:hint="eastAsia" w:ascii="宋体" w:hAnsi="宋体" w:cs="宋体"/>
              </w:rPr>
              <w:t>（寿岭）</w:t>
            </w:r>
          </w:p>
        </w:tc>
        <w:tc>
          <w:tcPr>
            <w:tcW w:w="388" w:type="pct"/>
            <w:vAlign w:val="center"/>
          </w:tcPr>
          <w:p w14:paraId="612706BA">
            <w:pPr>
              <w:pStyle w:val="12"/>
              <w:jc w:val="center"/>
            </w:pPr>
            <w:r>
              <w:rPr>
                <w:rFonts w:hint="eastAsia"/>
              </w:rPr>
              <w:t>男</w:t>
            </w:r>
          </w:p>
        </w:tc>
        <w:tc>
          <w:tcPr>
            <w:tcW w:w="582" w:type="pct"/>
            <w:vAlign w:val="center"/>
          </w:tcPr>
          <w:p w14:paraId="06BA95DE">
            <w:pPr>
              <w:pStyle w:val="12"/>
              <w:jc w:val="center"/>
            </w:pPr>
            <w:r>
              <w:rPr>
                <w:rFonts w:hint="eastAsia"/>
              </w:rPr>
              <w:t>1920年</w:t>
            </w:r>
          </w:p>
        </w:tc>
        <w:tc>
          <w:tcPr>
            <w:tcW w:w="582" w:type="pct"/>
            <w:vAlign w:val="center"/>
          </w:tcPr>
          <w:p w14:paraId="61298B5B">
            <w:pPr>
              <w:pStyle w:val="12"/>
              <w:jc w:val="center"/>
            </w:pPr>
            <w:r>
              <w:rPr>
                <w:rFonts w:hint="eastAsia"/>
              </w:rPr>
              <w:t>珠玑镇</w:t>
            </w:r>
          </w:p>
        </w:tc>
        <w:tc>
          <w:tcPr>
            <w:tcW w:w="582" w:type="pct"/>
            <w:vAlign w:val="center"/>
          </w:tcPr>
          <w:p w14:paraId="3AA71EC8">
            <w:pPr>
              <w:pStyle w:val="12"/>
              <w:jc w:val="center"/>
            </w:pPr>
            <w:r>
              <w:rPr>
                <w:rFonts w:hint="eastAsia"/>
              </w:rPr>
              <w:t>1947年</w:t>
            </w:r>
          </w:p>
        </w:tc>
        <w:tc>
          <w:tcPr>
            <w:tcW w:w="1066" w:type="pct"/>
            <w:vAlign w:val="center"/>
          </w:tcPr>
          <w:p w14:paraId="0B15A243">
            <w:pPr>
              <w:pStyle w:val="12"/>
              <w:jc w:val="center"/>
              <w:rPr>
                <w:rFonts w:ascii="宋体" w:hAnsi="宋体" w:cs="宋体"/>
              </w:rPr>
            </w:pPr>
            <w:r>
              <w:rPr>
                <w:rFonts w:hint="eastAsia"/>
              </w:rPr>
              <w:t>北江第二支</w:t>
            </w:r>
          </w:p>
          <w:p w14:paraId="13B05549">
            <w:pPr>
              <w:pStyle w:val="12"/>
              <w:jc w:val="center"/>
            </w:pPr>
            <w:r>
              <w:rPr>
                <w:rFonts w:hint="eastAsia" w:ascii="宋体" w:hAnsi="宋体" w:cs="宋体"/>
              </w:rPr>
              <w:t>队  队  员</w:t>
            </w:r>
          </w:p>
        </w:tc>
        <w:tc>
          <w:tcPr>
            <w:tcW w:w="1162" w:type="pct"/>
            <w:vAlign w:val="center"/>
          </w:tcPr>
          <w:p w14:paraId="5EB4F21B">
            <w:pPr>
              <w:pStyle w:val="12"/>
              <w:jc w:val="left"/>
            </w:pPr>
            <w:r>
              <w:rPr>
                <w:rFonts w:hint="eastAsia"/>
              </w:rPr>
              <w:t>1947年在里东被捕，在塘东就义</w:t>
            </w:r>
          </w:p>
        </w:tc>
      </w:tr>
      <w:tr w14:paraId="5EDD0B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327E5BD">
            <w:pPr>
              <w:pStyle w:val="12"/>
              <w:jc w:val="center"/>
            </w:pPr>
            <w:r>
              <w:rPr>
                <w:rFonts w:hint="eastAsia"/>
              </w:rPr>
              <w:t>张  洪</w:t>
            </w:r>
            <w:r>
              <w:rPr>
                <w:rFonts w:hint="eastAsia" w:ascii="宋体" w:hAnsi="宋体" w:cs="宋体"/>
              </w:rPr>
              <w:t>（张朝芳）</w:t>
            </w:r>
          </w:p>
        </w:tc>
        <w:tc>
          <w:tcPr>
            <w:tcW w:w="388" w:type="pct"/>
            <w:vAlign w:val="center"/>
          </w:tcPr>
          <w:p w14:paraId="55DAE931">
            <w:pPr>
              <w:pStyle w:val="12"/>
              <w:jc w:val="center"/>
            </w:pPr>
            <w:r>
              <w:rPr>
                <w:rFonts w:hint="eastAsia"/>
              </w:rPr>
              <w:t>男</w:t>
            </w:r>
          </w:p>
        </w:tc>
        <w:tc>
          <w:tcPr>
            <w:tcW w:w="582" w:type="pct"/>
            <w:vAlign w:val="center"/>
          </w:tcPr>
          <w:p w14:paraId="4777719C">
            <w:pPr>
              <w:pStyle w:val="12"/>
              <w:jc w:val="center"/>
            </w:pPr>
            <w:r>
              <w:rPr>
                <w:rFonts w:hint="eastAsia"/>
              </w:rPr>
              <w:t>1921年</w:t>
            </w:r>
          </w:p>
        </w:tc>
        <w:tc>
          <w:tcPr>
            <w:tcW w:w="582" w:type="pct"/>
            <w:vAlign w:val="center"/>
          </w:tcPr>
          <w:p w14:paraId="5D61F803">
            <w:pPr>
              <w:pStyle w:val="12"/>
              <w:jc w:val="center"/>
            </w:pPr>
            <w:r>
              <w:rPr>
                <w:rFonts w:hint="eastAsia"/>
              </w:rPr>
              <w:t>珠玑镇</w:t>
            </w:r>
          </w:p>
        </w:tc>
        <w:tc>
          <w:tcPr>
            <w:tcW w:w="582" w:type="pct"/>
            <w:vAlign w:val="center"/>
          </w:tcPr>
          <w:p w14:paraId="4E820408">
            <w:pPr>
              <w:pStyle w:val="12"/>
              <w:jc w:val="center"/>
            </w:pPr>
            <w:r>
              <w:rPr>
                <w:rFonts w:hint="eastAsia"/>
              </w:rPr>
              <w:t>1946年</w:t>
            </w:r>
          </w:p>
        </w:tc>
        <w:tc>
          <w:tcPr>
            <w:tcW w:w="1066" w:type="pct"/>
            <w:vAlign w:val="center"/>
          </w:tcPr>
          <w:p w14:paraId="49B0C221">
            <w:pPr>
              <w:pStyle w:val="12"/>
              <w:jc w:val="center"/>
              <w:rPr>
                <w:rFonts w:ascii="宋体" w:hAnsi="宋体" w:cs="宋体"/>
              </w:rPr>
            </w:pPr>
            <w:r>
              <w:rPr>
                <w:rFonts w:hint="eastAsia"/>
              </w:rPr>
              <w:t>北江第二支</w:t>
            </w:r>
          </w:p>
          <w:p w14:paraId="4682FE94">
            <w:pPr>
              <w:pStyle w:val="12"/>
              <w:jc w:val="center"/>
            </w:pPr>
            <w:r>
              <w:rPr>
                <w:rFonts w:hint="eastAsia" w:ascii="宋体" w:hAnsi="宋体" w:cs="宋体"/>
              </w:rPr>
              <w:t>队  队  员</w:t>
            </w:r>
          </w:p>
        </w:tc>
        <w:tc>
          <w:tcPr>
            <w:tcW w:w="1162" w:type="pct"/>
            <w:vAlign w:val="center"/>
          </w:tcPr>
          <w:p w14:paraId="2620BBC4">
            <w:pPr>
              <w:pStyle w:val="12"/>
              <w:jc w:val="left"/>
            </w:pPr>
            <w:r>
              <w:rPr>
                <w:rFonts w:hint="eastAsia"/>
              </w:rPr>
              <w:t>1947年6月19日在珠玑石子岭遇敌袭击牺牲</w:t>
            </w:r>
          </w:p>
        </w:tc>
      </w:tr>
      <w:tr w14:paraId="70D8357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86CFF6E">
            <w:pPr>
              <w:pStyle w:val="12"/>
              <w:jc w:val="center"/>
            </w:pPr>
            <w:r>
              <w:rPr>
                <w:rFonts w:hint="eastAsia"/>
              </w:rPr>
              <w:t>沈孝财</w:t>
            </w:r>
          </w:p>
        </w:tc>
        <w:tc>
          <w:tcPr>
            <w:tcW w:w="388" w:type="pct"/>
            <w:vAlign w:val="center"/>
          </w:tcPr>
          <w:p w14:paraId="77857F4E">
            <w:pPr>
              <w:pStyle w:val="12"/>
              <w:jc w:val="center"/>
            </w:pPr>
            <w:r>
              <w:rPr>
                <w:rFonts w:hint="eastAsia"/>
              </w:rPr>
              <w:t>男</w:t>
            </w:r>
          </w:p>
        </w:tc>
        <w:tc>
          <w:tcPr>
            <w:tcW w:w="582" w:type="pct"/>
            <w:vAlign w:val="center"/>
          </w:tcPr>
          <w:p w14:paraId="6C9E78A2">
            <w:pPr>
              <w:pStyle w:val="12"/>
              <w:jc w:val="center"/>
            </w:pPr>
            <w:r>
              <w:rPr>
                <w:rFonts w:hint="eastAsia"/>
              </w:rPr>
              <w:t>1928年</w:t>
            </w:r>
          </w:p>
        </w:tc>
        <w:tc>
          <w:tcPr>
            <w:tcW w:w="582" w:type="pct"/>
            <w:vAlign w:val="center"/>
          </w:tcPr>
          <w:p w14:paraId="1CF214B4">
            <w:pPr>
              <w:pStyle w:val="12"/>
              <w:jc w:val="center"/>
            </w:pPr>
            <w:r>
              <w:rPr>
                <w:rFonts w:hint="eastAsia"/>
              </w:rPr>
              <w:t>黄坑镇</w:t>
            </w:r>
          </w:p>
        </w:tc>
        <w:tc>
          <w:tcPr>
            <w:tcW w:w="582" w:type="pct"/>
            <w:vAlign w:val="center"/>
          </w:tcPr>
          <w:p w14:paraId="7B135827">
            <w:pPr>
              <w:pStyle w:val="12"/>
              <w:jc w:val="center"/>
            </w:pPr>
            <w:r>
              <w:rPr>
                <w:rFonts w:hint="eastAsia"/>
              </w:rPr>
              <w:t>1947年</w:t>
            </w:r>
          </w:p>
        </w:tc>
        <w:tc>
          <w:tcPr>
            <w:tcW w:w="1066" w:type="pct"/>
            <w:vAlign w:val="center"/>
          </w:tcPr>
          <w:p w14:paraId="6BAD7EEE">
            <w:pPr>
              <w:pStyle w:val="12"/>
              <w:jc w:val="center"/>
              <w:rPr>
                <w:rFonts w:ascii="宋体" w:hAnsi="宋体" w:cs="宋体"/>
              </w:rPr>
            </w:pPr>
            <w:r>
              <w:rPr>
                <w:rFonts w:hint="eastAsia"/>
              </w:rPr>
              <w:t>北江第二支</w:t>
            </w:r>
          </w:p>
          <w:p w14:paraId="70D97A09">
            <w:pPr>
              <w:pStyle w:val="12"/>
              <w:jc w:val="center"/>
            </w:pPr>
            <w:r>
              <w:rPr>
                <w:rFonts w:hint="eastAsia" w:ascii="宋体" w:hAnsi="宋体" w:cs="宋体"/>
              </w:rPr>
              <w:t>队  队  员</w:t>
            </w:r>
          </w:p>
        </w:tc>
        <w:tc>
          <w:tcPr>
            <w:tcW w:w="1162" w:type="pct"/>
            <w:vAlign w:val="center"/>
          </w:tcPr>
          <w:p w14:paraId="15EE25FE">
            <w:pPr>
              <w:pStyle w:val="12"/>
              <w:jc w:val="left"/>
            </w:pPr>
            <w:r>
              <w:rPr>
                <w:rFonts w:hint="eastAsia"/>
              </w:rPr>
              <w:t>1947年在邓坊石头狮牺牲</w:t>
            </w:r>
          </w:p>
        </w:tc>
      </w:tr>
      <w:tr w14:paraId="142FB5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AEC1D02">
            <w:pPr>
              <w:pStyle w:val="12"/>
              <w:jc w:val="center"/>
            </w:pPr>
            <w:r>
              <w:rPr>
                <w:rFonts w:hint="eastAsia"/>
              </w:rPr>
              <w:t>姚为群</w:t>
            </w:r>
          </w:p>
        </w:tc>
        <w:tc>
          <w:tcPr>
            <w:tcW w:w="388" w:type="pct"/>
            <w:vAlign w:val="center"/>
          </w:tcPr>
          <w:p w14:paraId="43EF6AA3">
            <w:pPr>
              <w:pStyle w:val="12"/>
              <w:jc w:val="center"/>
            </w:pPr>
            <w:r>
              <w:rPr>
                <w:rFonts w:hint="eastAsia"/>
              </w:rPr>
              <w:t>男</w:t>
            </w:r>
          </w:p>
        </w:tc>
        <w:tc>
          <w:tcPr>
            <w:tcW w:w="582" w:type="pct"/>
            <w:vAlign w:val="center"/>
          </w:tcPr>
          <w:p w14:paraId="503FF724">
            <w:pPr>
              <w:pStyle w:val="12"/>
              <w:jc w:val="center"/>
            </w:pPr>
            <w:r>
              <w:rPr>
                <w:rFonts w:hint="eastAsia"/>
              </w:rPr>
              <w:t>1917年4月</w:t>
            </w:r>
          </w:p>
        </w:tc>
        <w:tc>
          <w:tcPr>
            <w:tcW w:w="582" w:type="pct"/>
            <w:vAlign w:val="center"/>
          </w:tcPr>
          <w:p w14:paraId="76AB397A">
            <w:pPr>
              <w:pStyle w:val="12"/>
              <w:jc w:val="center"/>
            </w:pPr>
            <w:r>
              <w:rPr>
                <w:rFonts w:hint="eastAsia"/>
              </w:rPr>
              <w:t>全安镇</w:t>
            </w:r>
          </w:p>
        </w:tc>
        <w:tc>
          <w:tcPr>
            <w:tcW w:w="582" w:type="pct"/>
            <w:vAlign w:val="center"/>
          </w:tcPr>
          <w:p w14:paraId="11B04D12">
            <w:pPr>
              <w:pStyle w:val="12"/>
              <w:jc w:val="center"/>
            </w:pPr>
            <w:r>
              <w:rPr>
                <w:rFonts w:hint="eastAsia"/>
              </w:rPr>
              <w:t>1937年3月</w:t>
            </w:r>
          </w:p>
        </w:tc>
        <w:tc>
          <w:tcPr>
            <w:tcW w:w="1066" w:type="pct"/>
            <w:vAlign w:val="center"/>
          </w:tcPr>
          <w:p w14:paraId="5DF536E0">
            <w:pPr>
              <w:pStyle w:val="12"/>
              <w:jc w:val="center"/>
              <w:rPr>
                <w:rFonts w:ascii="宋体" w:hAnsi="宋体" w:cs="宋体"/>
              </w:rPr>
            </w:pPr>
            <w:r>
              <w:rPr>
                <w:rFonts w:hint="eastAsia"/>
              </w:rPr>
              <w:t>北江第二支</w:t>
            </w:r>
          </w:p>
          <w:p w14:paraId="08A41543">
            <w:pPr>
              <w:pStyle w:val="12"/>
              <w:jc w:val="center"/>
            </w:pPr>
            <w:r>
              <w:rPr>
                <w:rFonts w:hint="eastAsia" w:ascii="宋体" w:hAnsi="宋体" w:cs="宋体"/>
              </w:rPr>
              <w:t>队  队  员</w:t>
            </w:r>
          </w:p>
        </w:tc>
        <w:tc>
          <w:tcPr>
            <w:tcW w:w="1162" w:type="pct"/>
            <w:vAlign w:val="center"/>
          </w:tcPr>
          <w:p w14:paraId="6FE20054">
            <w:pPr>
              <w:pStyle w:val="12"/>
              <w:jc w:val="left"/>
            </w:pPr>
            <w:r>
              <w:rPr>
                <w:rFonts w:hint="eastAsia"/>
              </w:rPr>
              <w:t>1947年7月在塘坑就义</w:t>
            </w:r>
          </w:p>
        </w:tc>
      </w:tr>
      <w:tr w14:paraId="6F49A5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033988D">
            <w:pPr>
              <w:pStyle w:val="12"/>
              <w:jc w:val="center"/>
            </w:pPr>
            <w:r>
              <w:rPr>
                <w:rFonts w:hint="eastAsia"/>
              </w:rPr>
              <w:t>江才奇</w:t>
            </w:r>
          </w:p>
        </w:tc>
        <w:tc>
          <w:tcPr>
            <w:tcW w:w="388" w:type="pct"/>
            <w:vAlign w:val="center"/>
          </w:tcPr>
          <w:p w14:paraId="4048AD21">
            <w:pPr>
              <w:pStyle w:val="12"/>
              <w:jc w:val="center"/>
            </w:pPr>
            <w:r>
              <w:rPr>
                <w:rFonts w:hint="eastAsia"/>
              </w:rPr>
              <w:t>男</w:t>
            </w:r>
          </w:p>
        </w:tc>
        <w:tc>
          <w:tcPr>
            <w:tcW w:w="582" w:type="pct"/>
            <w:vAlign w:val="center"/>
          </w:tcPr>
          <w:p w14:paraId="70532C04">
            <w:pPr>
              <w:pStyle w:val="12"/>
              <w:jc w:val="center"/>
            </w:pPr>
            <w:r>
              <w:rPr>
                <w:rFonts w:hint="eastAsia"/>
              </w:rPr>
              <w:t>1901年</w:t>
            </w:r>
          </w:p>
        </w:tc>
        <w:tc>
          <w:tcPr>
            <w:tcW w:w="582" w:type="pct"/>
            <w:vAlign w:val="center"/>
          </w:tcPr>
          <w:p w14:paraId="512DE1EC">
            <w:pPr>
              <w:pStyle w:val="12"/>
              <w:jc w:val="center"/>
            </w:pPr>
            <w:r>
              <w:rPr>
                <w:rFonts w:hint="eastAsia"/>
              </w:rPr>
              <w:t>全安镇</w:t>
            </w:r>
          </w:p>
        </w:tc>
        <w:tc>
          <w:tcPr>
            <w:tcW w:w="582" w:type="pct"/>
            <w:vAlign w:val="center"/>
          </w:tcPr>
          <w:p w14:paraId="3C3AC149">
            <w:pPr>
              <w:pStyle w:val="12"/>
              <w:jc w:val="center"/>
            </w:pPr>
            <w:r>
              <w:rPr>
                <w:rFonts w:hint="eastAsia"/>
              </w:rPr>
              <w:t>1936年</w:t>
            </w:r>
          </w:p>
        </w:tc>
        <w:tc>
          <w:tcPr>
            <w:tcW w:w="1066" w:type="pct"/>
            <w:vAlign w:val="center"/>
          </w:tcPr>
          <w:p w14:paraId="510DBC06">
            <w:pPr>
              <w:pStyle w:val="12"/>
              <w:jc w:val="center"/>
              <w:rPr>
                <w:rFonts w:ascii="宋体" w:hAnsi="宋体" w:cs="宋体"/>
              </w:rPr>
            </w:pPr>
            <w:r>
              <w:rPr>
                <w:rFonts w:hint="eastAsia"/>
              </w:rPr>
              <w:t>北山区委委</w:t>
            </w:r>
          </w:p>
          <w:p w14:paraId="0A4E5EFF">
            <w:pPr>
              <w:pStyle w:val="12"/>
              <w:jc w:val="center"/>
            </w:pPr>
            <w:r>
              <w:rPr>
                <w:rFonts w:hint="eastAsia" w:ascii="宋体" w:hAnsi="宋体" w:cs="宋体"/>
              </w:rPr>
              <w:t>员、联络站长</w:t>
            </w:r>
          </w:p>
        </w:tc>
        <w:tc>
          <w:tcPr>
            <w:tcW w:w="1162" w:type="pct"/>
            <w:vAlign w:val="center"/>
          </w:tcPr>
          <w:p w14:paraId="28BAF390">
            <w:pPr>
              <w:pStyle w:val="12"/>
              <w:jc w:val="left"/>
            </w:pPr>
            <w:r>
              <w:rPr>
                <w:rFonts w:hint="eastAsia"/>
              </w:rPr>
              <w:t>1947年4月在黄岭小东坑被捕，在上龙就义</w:t>
            </w:r>
          </w:p>
        </w:tc>
      </w:tr>
      <w:tr w14:paraId="256D0A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961055F">
            <w:pPr>
              <w:pStyle w:val="12"/>
              <w:jc w:val="center"/>
            </w:pPr>
            <w:r>
              <w:rPr>
                <w:rFonts w:hint="eastAsia"/>
              </w:rPr>
              <w:t>邓事文</w:t>
            </w:r>
          </w:p>
        </w:tc>
        <w:tc>
          <w:tcPr>
            <w:tcW w:w="388" w:type="pct"/>
            <w:vAlign w:val="center"/>
          </w:tcPr>
          <w:p w14:paraId="5B09488B">
            <w:pPr>
              <w:pStyle w:val="12"/>
              <w:jc w:val="center"/>
            </w:pPr>
            <w:r>
              <w:rPr>
                <w:rFonts w:hint="eastAsia"/>
              </w:rPr>
              <w:t>男</w:t>
            </w:r>
          </w:p>
        </w:tc>
        <w:tc>
          <w:tcPr>
            <w:tcW w:w="582" w:type="pct"/>
            <w:vAlign w:val="center"/>
          </w:tcPr>
          <w:p w14:paraId="3AEC2FEA">
            <w:pPr>
              <w:pStyle w:val="12"/>
              <w:jc w:val="center"/>
            </w:pPr>
            <w:r>
              <w:rPr>
                <w:rFonts w:hint="eastAsia"/>
              </w:rPr>
              <w:t>1920年1月</w:t>
            </w:r>
          </w:p>
        </w:tc>
        <w:tc>
          <w:tcPr>
            <w:tcW w:w="582" w:type="pct"/>
            <w:vAlign w:val="center"/>
          </w:tcPr>
          <w:p w14:paraId="56E76049">
            <w:pPr>
              <w:pStyle w:val="12"/>
              <w:jc w:val="center"/>
            </w:pPr>
            <w:r>
              <w:rPr>
                <w:rFonts w:hint="eastAsia"/>
              </w:rPr>
              <w:t>全安镇</w:t>
            </w:r>
          </w:p>
        </w:tc>
        <w:tc>
          <w:tcPr>
            <w:tcW w:w="582" w:type="pct"/>
            <w:vAlign w:val="center"/>
          </w:tcPr>
          <w:p w14:paraId="03FCF6D4">
            <w:pPr>
              <w:pStyle w:val="12"/>
              <w:jc w:val="center"/>
            </w:pPr>
            <w:r>
              <w:rPr>
                <w:rFonts w:hint="eastAsia"/>
              </w:rPr>
              <w:t>1944年</w:t>
            </w:r>
          </w:p>
        </w:tc>
        <w:tc>
          <w:tcPr>
            <w:tcW w:w="1066" w:type="pct"/>
            <w:vAlign w:val="center"/>
          </w:tcPr>
          <w:p w14:paraId="7D4D3A55">
            <w:pPr>
              <w:pStyle w:val="12"/>
              <w:jc w:val="center"/>
            </w:pPr>
            <w:r>
              <w:rPr>
                <w:rFonts w:hint="eastAsia"/>
              </w:rPr>
              <w:t>东江纵队队员</w:t>
            </w:r>
          </w:p>
        </w:tc>
        <w:tc>
          <w:tcPr>
            <w:tcW w:w="1162" w:type="pct"/>
            <w:vAlign w:val="center"/>
          </w:tcPr>
          <w:p w14:paraId="4926D3EA">
            <w:pPr>
              <w:pStyle w:val="12"/>
              <w:jc w:val="left"/>
            </w:pPr>
            <w:r>
              <w:rPr>
                <w:rFonts w:hint="eastAsia"/>
              </w:rPr>
              <w:t>1947年1月13日在大门就义</w:t>
            </w:r>
          </w:p>
        </w:tc>
      </w:tr>
      <w:tr w14:paraId="255B88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F43D960">
            <w:pPr>
              <w:pStyle w:val="12"/>
              <w:jc w:val="center"/>
            </w:pPr>
            <w:r>
              <w:rPr>
                <w:rFonts w:hint="eastAsia"/>
              </w:rPr>
              <w:t>钟祥福</w:t>
            </w:r>
          </w:p>
        </w:tc>
        <w:tc>
          <w:tcPr>
            <w:tcW w:w="388" w:type="pct"/>
            <w:vAlign w:val="center"/>
          </w:tcPr>
          <w:p w14:paraId="7AA5A764">
            <w:pPr>
              <w:pStyle w:val="12"/>
              <w:jc w:val="center"/>
            </w:pPr>
            <w:r>
              <w:rPr>
                <w:rFonts w:hint="eastAsia"/>
              </w:rPr>
              <w:t>男</w:t>
            </w:r>
          </w:p>
        </w:tc>
        <w:tc>
          <w:tcPr>
            <w:tcW w:w="582" w:type="pct"/>
            <w:vAlign w:val="center"/>
          </w:tcPr>
          <w:p w14:paraId="3FB43670">
            <w:pPr>
              <w:pStyle w:val="12"/>
              <w:jc w:val="center"/>
            </w:pPr>
            <w:r>
              <w:rPr>
                <w:rFonts w:hint="eastAsia"/>
              </w:rPr>
              <w:t>1921年4月</w:t>
            </w:r>
          </w:p>
        </w:tc>
        <w:tc>
          <w:tcPr>
            <w:tcW w:w="582" w:type="pct"/>
            <w:vAlign w:val="center"/>
          </w:tcPr>
          <w:p w14:paraId="1E88CAC7">
            <w:pPr>
              <w:pStyle w:val="12"/>
              <w:jc w:val="center"/>
            </w:pPr>
            <w:r>
              <w:rPr>
                <w:rFonts w:hint="eastAsia"/>
              </w:rPr>
              <w:t>全安镇</w:t>
            </w:r>
          </w:p>
        </w:tc>
        <w:tc>
          <w:tcPr>
            <w:tcW w:w="582" w:type="pct"/>
            <w:vAlign w:val="center"/>
          </w:tcPr>
          <w:p w14:paraId="2B273548">
            <w:pPr>
              <w:pStyle w:val="12"/>
              <w:jc w:val="center"/>
            </w:pPr>
            <w:r>
              <w:rPr>
                <w:rFonts w:hint="eastAsia"/>
              </w:rPr>
              <w:t>1946年9月</w:t>
            </w:r>
          </w:p>
        </w:tc>
        <w:tc>
          <w:tcPr>
            <w:tcW w:w="1066" w:type="pct"/>
            <w:vAlign w:val="center"/>
          </w:tcPr>
          <w:p w14:paraId="4C89E7B3">
            <w:pPr>
              <w:pStyle w:val="12"/>
              <w:jc w:val="center"/>
            </w:pPr>
            <w:r>
              <w:rPr>
                <w:rFonts w:hint="eastAsia"/>
              </w:rPr>
              <w:t>东江纵队队员</w:t>
            </w:r>
          </w:p>
        </w:tc>
        <w:tc>
          <w:tcPr>
            <w:tcW w:w="1162" w:type="pct"/>
            <w:vAlign w:val="center"/>
          </w:tcPr>
          <w:p w14:paraId="2B22A956">
            <w:pPr>
              <w:pStyle w:val="12"/>
              <w:jc w:val="left"/>
            </w:pPr>
            <w:r>
              <w:rPr>
                <w:rFonts w:hint="eastAsia"/>
              </w:rPr>
              <w:t>1947年在佛岭头脚下牺牲</w:t>
            </w:r>
          </w:p>
        </w:tc>
      </w:tr>
      <w:tr w14:paraId="127B52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BD3F8E0">
            <w:pPr>
              <w:pStyle w:val="12"/>
              <w:jc w:val="center"/>
            </w:pPr>
            <w:r>
              <w:rPr>
                <w:rFonts w:hint="eastAsia"/>
              </w:rPr>
              <w:t>钟良善</w:t>
            </w:r>
          </w:p>
        </w:tc>
        <w:tc>
          <w:tcPr>
            <w:tcW w:w="388" w:type="pct"/>
            <w:vAlign w:val="center"/>
          </w:tcPr>
          <w:p w14:paraId="4E152F24">
            <w:pPr>
              <w:pStyle w:val="12"/>
              <w:jc w:val="center"/>
            </w:pPr>
            <w:r>
              <w:rPr>
                <w:rFonts w:hint="eastAsia"/>
              </w:rPr>
              <w:t>男</w:t>
            </w:r>
          </w:p>
        </w:tc>
        <w:tc>
          <w:tcPr>
            <w:tcW w:w="582" w:type="pct"/>
            <w:vAlign w:val="center"/>
          </w:tcPr>
          <w:p w14:paraId="700E0842">
            <w:pPr>
              <w:pStyle w:val="12"/>
              <w:jc w:val="center"/>
            </w:pPr>
            <w:r>
              <w:rPr>
                <w:rFonts w:hint="eastAsia"/>
              </w:rPr>
              <w:t>1919年</w:t>
            </w:r>
          </w:p>
        </w:tc>
        <w:tc>
          <w:tcPr>
            <w:tcW w:w="582" w:type="pct"/>
            <w:vAlign w:val="center"/>
          </w:tcPr>
          <w:p w14:paraId="1CC388A2">
            <w:pPr>
              <w:pStyle w:val="12"/>
              <w:jc w:val="center"/>
            </w:pPr>
            <w:r>
              <w:rPr>
                <w:rFonts w:hint="eastAsia"/>
              </w:rPr>
              <w:t>珠玑镇</w:t>
            </w:r>
          </w:p>
        </w:tc>
        <w:tc>
          <w:tcPr>
            <w:tcW w:w="582" w:type="pct"/>
            <w:vAlign w:val="center"/>
          </w:tcPr>
          <w:p w14:paraId="6B322392">
            <w:pPr>
              <w:pStyle w:val="12"/>
              <w:jc w:val="center"/>
            </w:pPr>
            <w:r>
              <w:rPr>
                <w:rFonts w:hint="eastAsia"/>
              </w:rPr>
              <w:t>1947年8月</w:t>
            </w:r>
          </w:p>
        </w:tc>
        <w:tc>
          <w:tcPr>
            <w:tcW w:w="1066" w:type="pct"/>
            <w:vAlign w:val="center"/>
          </w:tcPr>
          <w:p w14:paraId="027D477B">
            <w:pPr>
              <w:pStyle w:val="12"/>
              <w:jc w:val="center"/>
              <w:rPr>
                <w:rFonts w:ascii="宋体" w:hAnsi="宋体" w:cs="宋体"/>
              </w:rPr>
            </w:pPr>
            <w:r>
              <w:rPr>
                <w:rFonts w:hint="eastAsia"/>
              </w:rPr>
              <w:t>解放总队六支</w:t>
            </w:r>
          </w:p>
          <w:p w14:paraId="4D52A254">
            <w:pPr>
              <w:pStyle w:val="12"/>
              <w:jc w:val="center"/>
            </w:pPr>
            <w:r>
              <w:rPr>
                <w:rFonts w:hint="eastAsia" w:ascii="宋体" w:hAnsi="宋体" w:cs="宋体"/>
              </w:rPr>
              <w:t>队一大队机枪手</w:t>
            </w:r>
          </w:p>
        </w:tc>
        <w:tc>
          <w:tcPr>
            <w:tcW w:w="1162" w:type="pct"/>
            <w:vAlign w:val="center"/>
          </w:tcPr>
          <w:p w14:paraId="46807BDD">
            <w:pPr>
              <w:pStyle w:val="12"/>
              <w:jc w:val="left"/>
            </w:pPr>
            <w:r>
              <w:rPr>
                <w:rFonts w:hint="eastAsia"/>
              </w:rPr>
              <w:t>1947年3月被捕，在里东就义</w:t>
            </w:r>
          </w:p>
        </w:tc>
      </w:tr>
      <w:tr w14:paraId="53E2F4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79792D5">
            <w:pPr>
              <w:pStyle w:val="12"/>
              <w:jc w:val="center"/>
            </w:pPr>
            <w:r>
              <w:rPr>
                <w:rFonts w:hint="eastAsia"/>
              </w:rPr>
              <w:t>戴瑞春</w:t>
            </w:r>
          </w:p>
        </w:tc>
        <w:tc>
          <w:tcPr>
            <w:tcW w:w="388" w:type="pct"/>
            <w:vAlign w:val="center"/>
          </w:tcPr>
          <w:p w14:paraId="02C27C7A">
            <w:pPr>
              <w:pStyle w:val="12"/>
              <w:jc w:val="center"/>
            </w:pPr>
            <w:r>
              <w:rPr>
                <w:rFonts w:hint="eastAsia"/>
              </w:rPr>
              <w:t>男</w:t>
            </w:r>
          </w:p>
        </w:tc>
        <w:tc>
          <w:tcPr>
            <w:tcW w:w="582" w:type="pct"/>
            <w:vAlign w:val="center"/>
          </w:tcPr>
          <w:p w14:paraId="2B223580">
            <w:pPr>
              <w:pStyle w:val="12"/>
              <w:jc w:val="center"/>
            </w:pPr>
            <w:r>
              <w:rPr>
                <w:rFonts w:hint="eastAsia"/>
              </w:rPr>
              <w:t>1923年</w:t>
            </w:r>
          </w:p>
        </w:tc>
        <w:tc>
          <w:tcPr>
            <w:tcW w:w="582" w:type="pct"/>
            <w:vAlign w:val="center"/>
          </w:tcPr>
          <w:p w14:paraId="0EB16897">
            <w:pPr>
              <w:pStyle w:val="12"/>
              <w:jc w:val="center"/>
            </w:pPr>
            <w:r>
              <w:rPr>
                <w:rFonts w:hint="eastAsia"/>
              </w:rPr>
              <w:t>珠玑镇</w:t>
            </w:r>
          </w:p>
        </w:tc>
        <w:tc>
          <w:tcPr>
            <w:tcW w:w="582" w:type="pct"/>
            <w:vAlign w:val="center"/>
          </w:tcPr>
          <w:p w14:paraId="52A18B09">
            <w:pPr>
              <w:pStyle w:val="12"/>
              <w:jc w:val="center"/>
            </w:pPr>
            <w:r>
              <w:rPr>
                <w:rFonts w:hint="eastAsia"/>
              </w:rPr>
              <w:t>1946年</w:t>
            </w:r>
          </w:p>
        </w:tc>
        <w:tc>
          <w:tcPr>
            <w:tcW w:w="1066" w:type="pct"/>
            <w:vAlign w:val="center"/>
          </w:tcPr>
          <w:p w14:paraId="6CF3BAE5">
            <w:pPr>
              <w:pStyle w:val="12"/>
              <w:jc w:val="center"/>
              <w:rPr>
                <w:rFonts w:ascii="宋体" w:hAnsi="宋体" w:cs="宋体"/>
              </w:rPr>
            </w:pPr>
            <w:r>
              <w:rPr>
                <w:rFonts w:hint="eastAsia"/>
              </w:rPr>
              <w:t>北江第二支</w:t>
            </w:r>
          </w:p>
          <w:p w14:paraId="5E75FE0D">
            <w:pPr>
              <w:pStyle w:val="12"/>
              <w:jc w:val="center"/>
            </w:pPr>
            <w:r>
              <w:rPr>
                <w:rFonts w:hint="eastAsia" w:ascii="宋体" w:hAnsi="宋体" w:cs="宋体"/>
              </w:rPr>
              <w:t>队小队长</w:t>
            </w:r>
          </w:p>
        </w:tc>
        <w:tc>
          <w:tcPr>
            <w:tcW w:w="1162" w:type="pct"/>
            <w:vAlign w:val="center"/>
          </w:tcPr>
          <w:p w14:paraId="79C3FAAF">
            <w:pPr>
              <w:pStyle w:val="12"/>
              <w:jc w:val="left"/>
            </w:pPr>
            <w:r>
              <w:rPr>
                <w:rFonts w:hint="eastAsia"/>
              </w:rPr>
              <w:t>1947年11月在大塘真仙岩作战牺牲</w:t>
            </w:r>
          </w:p>
        </w:tc>
      </w:tr>
      <w:tr w14:paraId="4A41039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212F254">
            <w:pPr>
              <w:pStyle w:val="12"/>
              <w:jc w:val="center"/>
            </w:pPr>
            <w:r>
              <w:rPr>
                <w:rFonts w:hint="eastAsia"/>
              </w:rPr>
              <w:t>戴家震</w:t>
            </w:r>
          </w:p>
        </w:tc>
        <w:tc>
          <w:tcPr>
            <w:tcW w:w="388" w:type="pct"/>
            <w:vAlign w:val="center"/>
          </w:tcPr>
          <w:p w14:paraId="226A0597">
            <w:pPr>
              <w:pStyle w:val="12"/>
              <w:jc w:val="center"/>
            </w:pPr>
            <w:r>
              <w:rPr>
                <w:rFonts w:hint="eastAsia"/>
              </w:rPr>
              <w:t>男</w:t>
            </w:r>
          </w:p>
        </w:tc>
        <w:tc>
          <w:tcPr>
            <w:tcW w:w="582" w:type="pct"/>
            <w:vAlign w:val="center"/>
          </w:tcPr>
          <w:p w14:paraId="0BDCA850">
            <w:pPr>
              <w:pStyle w:val="12"/>
              <w:jc w:val="center"/>
            </w:pPr>
            <w:r>
              <w:rPr>
                <w:rFonts w:hint="eastAsia"/>
              </w:rPr>
              <w:t>1923年</w:t>
            </w:r>
          </w:p>
        </w:tc>
        <w:tc>
          <w:tcPr>
            <w:tcW w:w="582" w:type="pct"/>
            <w:vAlign w:val="center"/>
          </w:tcPr>
          <w:p w14:paraId="523797A7">
            <w:pPr>
              <w:pStyle w:val="12"/>
              <w:jc w:val="center"/>
            </w:pPr>
            <w:r>
              <w:rPr>
                <w:rFonts w:hint="eastAsia"/>
              </w:rPr>
              <w:t>珠玑镇</w:t>
            </w:r>
          </w:p>
        </w:tc>
        <w:tc>
          <w:tcPr>
            <w:tcW w:w="582" w:type="pct"/>
            <w:vAlign w:val="center"/>
          </w:tcPr>
          <w:p w14:paraId="23DBF288">
            <w:pPr>
              <w:pStyle w:val="12"/>
              <w:jc w:val="center"/>
            </w:pPr>
            <w:r>
              <w:rPr>
                <w:rFonts w:hint="eastAsia"/>
              </w:rPr>
              <w:t>1947年</w:t>
            </w:r>
          </w:p>
        </w:tc>
        <w:tc>
          <w:tcPr>
            <w:tcW w:w="1066" w:type="pct"/>
            <w:vAlign w:val="center"/>
          </w:tcPr>
          <w:p w14:paraId="6FAB4629">
            <w:pPr>
              <w:pStyle w:val="12"/>
              <w:jc w:val="center"/>
              <w:rPr>
                <w:rFonts w:ascii="宋体" w:hAnsi="宋体" w:cs="宋体"/>
              </w:rPr>
            </w:pPr>
            <w:r>
              <w:rPr>
                <w:rFonts w:hint="eastAsia"/>
              </w:rPr>
              <w:t>北江第二支</w:t>
            </w:r>
          </w:p>
          <w:p w14:paraId="66AFB342">
            <w:pPr>
              <w:pStyle w:val="12"/>
              <w:jc w:val="center"/>
            </w:pPr>
            <w:r>
              <w:rPr>
                <w:rFonts w:hint="eastAsia" w:ascii="宋体" w:hAnsi="宋体" w:cs="宋体"/>
              </w:rPr>
              <w:t>队  队  员</w:t>
            </w:r>
          </w:p>
        </w:tc>
        <w:tc>
          <w:tcPr>
            <w:tcW w:w="1162" w:type="pct"/>
            <w:vAlign w:val="center"/>
          </w:tcPr>
          <w:p w14:paraId="16872455">
            <w:pPr>
              <w:pStyle w:val="12"/>
              <w:jc w:val="left"/>
            </w:pPr>
            <w:r>
              <w:rPr>
                <w:rFonts w:hint="eastAsia"/>
              </w:rPr>
              <w:t>1947年11月在大塘古城战斗牺牲</w:t>
            </w:r>
          </w:p>
        </w:tc>
      </w:tr>
      <w:tr w14:paraId="2CBB61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F37C973">
            <w:pPr>
              <w:pStyle w:val="12"/>
              <w:jc w:val="center"/>
            </w:pPr>
            <w:r>
              <w:rPr>
                <w:rFonts w:hint="eastAsia"/>
              </w:rPr>
              <w:t>戴家槐</w:t>
            </w:r>
          </w:p>
        </w:tc>
        <w:tc>
          <w:tcPr>
            <w:tcW w:w="388" w:type="pct"/>
            <w:vAlign w:val="center"/>
          </w:tcPr>
          <w:p w14:paraId="76F887D3">
            <w:pPr>
              <w:pStyle w:val="12"/>
              <w:jc w:val="center"/>
            </w:pPr>
            <w:r>
              <w:rPr>
                <w:rFonts w:hint="eastAsia"/>
              </w:rPr>
              <w:t>男</w:t>
            </w:r>
          </w:p>
        </w:tc>
        <w:tc>
          <w:tcPr>
            <w:tcW w:w="582" w:type="pct"/>
            <w:vAlign w:val="center"/>
          </w:tcPr>
          <w:p w14:paraId="2996FDA3">
            <w:pPr>
              <w:pStyle w:val="12"/>
              <w:jc w:val="center"/>
            </w:pPr>
            <w:r>
              <w:rPr>
                <w:rFonts w:hint="eastAsia"/>
              </w:rPr>
              <w:t>1925年</w:t>
            </w:r>
          </w:p>
        </w:tc>
        <w:tc>
          <w:tcPr>
            <w:tcW w:w="582" w:type="pct"/>
            <w:vAlign w:val="center"/>
          </w:tcPr>
          <w:p w14:paraId="54AD6F37">
            <w:pPr>
              <w:pStyle w:val="12"/>
              <w:jc w:val="center"/>
            </w:pPr>
            <w:r>
              <w:rPr>
                <w:rFonts w:hint="eastAsia"/>
              </w:rPr>
              <w:t>珠玑镇</w:t>
            </w:r>
          </w:p>
        </w:tc>
        <w:tc>
          <w:tcPr>
            <w:tcW w:w="582" w:type="pct"/>
            <w:vAlign w:val="center"/>
          </w:tcPr>
          <w:p w14:paraId="54E7764A">
            <w:pPr>
              <w:pStyle w:val="12"/>
              <w:jc w:val="center"/>
            </w:pPr>
            <w:r>
              <w:rPr>
                <w:rFonts w:hint="eastAsia"/>
              </w:rPr>
              <w:t>1947年</w:t>
            </w:r>
          </w:p>
        </w:tc>
        <w:tc>
          <w:tcPr>
            <w:tcW w:w="1066" w:type="pct"/>
            <w:vAlign w:val="center"/>
          </w:tcPr>
          <w:p w14:paraId="3A9BC928">
            <w:pPr>
              <w:pStyle w:val="12"/>
              <w:jc w:val="center"/>
              <w:rPr>
                <w:rFonts w:ascii="宋体" w:hAnsi="宋体" w:cs="宋体"/>
              </w:rPr>
            </w:pPr>
            <w:r>
              <w:rPr>
                <w:rFonts w:hint="eastAsia"/>
              </w:rPr>
              <w:t>北江第二支</w:t>
            </w:r>
          </w:p>
          <w:p w14:paraId="42B370BE">
            <w:pPr>
              <w:pStyle w:val="12"/>
              <w:jc w:val="center"/>
            </w:pPr>
            <w:r>
              <w:rPr>
                <w:rFonts w:hint="eastAsia" w:ascii="宋体" w:hAnsi="宋体" w:cs="宋体"/>
              </w:rPr>
              <w:t>队  队  员</w:t>
            </w:r>
          </w:p>
        </w:tc>
        <w:tc>
          <w:tcPr>
            <w:tcW w:w="1162" w:type="pct"/>
            <w:vAlign w:val="center"/>
          </w:tcPr>
          <w:p w14:paraId="771394AB">
            <w:pPr>
              <w:pStyle w:val="12"/>
              <w:jc w:val="left"/>
            </w:pPr>
            <w:r>
              <w:rPr>
                <w:rFonts w:hint="eastAsia"/>
              </w:rPr>
              <w:t>1947年8月26日，送粮途中与敌人战斗牺牲</w:t>
            </w:r>
          </w:p>
        </w:tc>
      </w:tr>
      <w:tr w14:paraId="735AC1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4F1C593">
            <w:pPr>
              <w:pStyle w:val="12"/>
              <w:jc w:val="center"/>
            </w:pPr>
            <w:r>
              <w:rPr>
                <w:rFonts w:hint="eastAsia"/>
              </w:rPr>
              <w:t>黄云汉</w:t>
            </w:r>
          </w:p>
        </w:tc>
        <w:tc>
          <w:tcPr>
            <w:tcW w:w="388" w:type="pct"/>
            <w:vAlign w:val="center"/>
          </w:tcPr>
          <w:p w14:paraId="67F62907">
            <w:pPr>
              <w:pStyle w:val="12"/>
              <w:jc w:val="center"/>
            </w:pPr>
            <w:r>
              <w:rPr>
                <w:rFonts w:hint="eastAsia"/>
              </w:rPr>
              <w:t>男</w:t>
            </w:r>
          </w:p>
        </w:tc>
        <w:tc>
          <w:tcPr>
            <w:tcW w:w="582" w:type="pct"/>
            <w:vAlign w:val="center"/>
          </w:tcPr>
          <w:p w14:paraId="51BB2AD2">
            <w:pPr>
              <w:pStyle w:val="12"/>
              <w:jc w:val="center"/>
            </w:pPr>
            <w:r>
              <w:rPr>
                <w:rFonts w:hint="eastAsia"/>
              </w:rPr>
              <w:t>1923年</w:t>
            </w:r>
          </w:p>
        </w:tc>
        <w:tc>
          <w:tcPr>
            <w:tcW w:w="582" w:type="pct"/>
            <w:vAlign w:val="center"/>
          </w:tcPr>
          <w:p w14:paraId="18DEB517">
            <w:pPr>
              <w:pStyle w:val="12"/>
              <w:jc w:val="center"/>
            </w:pPr>
            <w:r>
              <w:rPr>
                <w:rFonts w:hint="eastAsia"/>
              </w:rPr>
              <w:t>珠玑镇</w:t>
            </w:r>
          </w:p>
        </w:tc>
        <w:tc>
          <w:tcPr>
            <w:tcW w:w="582" w:type="pct"/>
            <w:vAlign w:val="center"/>
          </w:tcPr>
          <w:p w14:paraId="3034A142">
            <w:pPr>
              <w:pStyle w:val="12"/>
              <w:jc w:val="center"/>
            </w:pPr>
            <w:r>
              <w:rPr>
                <w:rFonts w:hint="eastAsia"/>
              </w:rPr>
              <w:t>1946年</w:t>
            </w:r>
          </w:p>
        </w:tc>
        <w:tc>
          <w:tcPr>
            <w:tcW w:w="1066" w:type="pct"/>
            <w:vAlign w:val="center"/>
          </w:tcPr>
          <w:p w14:paraId="2CD9AC32">
            <w:pPr>
              <w:pStyle w:val="12"/>
              <w:jc w:val="center"/>
              <w:rPr>
                <w:rFonts w:ascii="宋体" w:hAnsi="宋体" w:cs="宋体"/>
              </w:rPr>
            </w:pPr>
            <w:r>
              <w:rPr>
                <w:rFonts w:hint="eastAsia"/>
              </w:rPr>
              <w:t>北江第二支</w:t>
            </w:r>
          </w:p>
          <w:p w14:paraId="36F4318A">
            <w:pPr>
              <w:pStyle w:val="12"/>
              <w:jc w:val="center"/>
            </w:pPr>
            <w:r>
              <w:rPr>
                <w:rFonts w:hint="eastAsia" w:ascii="宋体" w:hAnsi="宋体" w:cs="宋体"/>
              </w:rPr>
              <w:t>队  班  长</w:t>
            </w:r>
          </w:p>
        </w:tc>
        <w:tc>
          <w:tcPr>
            <w:tcW w:w="1162" w:type="pct"/>
            <w:vAlign w:val="center"/>
          </w:tcPr>
          <w:p w14:paraId="239DBD54">
            <w:pPr>
              <w:pStyle w:val="12"/>
              <w:jc w:val="left"/>
            </w:pPr>
            <w:r>
              <w:rPr>
                <w:rFonts w:hint="eastAsia"/>
              </w:rPr>
              <w:t>1947年在江西大余县游仙战斗牺牲</w:t>
            </w:r>
          </w:p>
        </w:tc>
      </w:tr>
      <w:tr w14:paraId="4B9837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FBC1580">
            <w:pPr>
              <w:pStyle w:val="12"/>
              <w:jc w:val="center"/>
            </w:pPr>
            <w:r>
              <w:rPr>
                <w:rFonts w:hint="eastAsia"/>
              </w:rPr>
              <w:t>饶振华</w:t>
            </w:r>
            <w:r>
              <w:rPr>
                <w:rFonts w:hint="eastAsia" w:ascii="宋体" w:hAnsi="宋体" w:cs="宋体"/>
              </w:rPr>
              <w:t>（振胜）</w:t>
            </w:r>
          </w:p>
        </w:tc>
        <w:tc>
          <w:tcPr>
            <w:tcW w:w="388" w:type="pct"/>
            <w:vAlign w:val="center"/>
          </w:tcPr>
          <w:p w14:paraId="50DC71BC">
            <w:pPr>
              <w:pStyle w:val="12"/>
              <w:jc w:val="center"/>
            </w:pPr>
            <w:r>
              <w:rPr>
                <w:rFonts w:hint="eastAsia"/>
              </w:rPr>
              <w:t>男</w:t>
            </w:r>
          </w:p>
        </w:tc>
        <w:tc>
          <w:tcPr>
            <w:tcW w:w="582" w:type="pct"/>
            <w:vAlign w:val="center"/>
          </w:tcPr>
          <w:p w14:paraId="15F1509D">
            <w:pPr>
              <w:pStyle w:val="12"/>
              <w:jc w:val="center"/>
            </w:pPr>
            <w:r>
              <w:rPr>
                <w:rFonts w:hint="eastAsia"/>
              </w:rPr>
              <w:t>1930年</w:t>
            </w:r>
          </w:p>
        </w:tc>
        <w:tc>
          <w:tcPr>
            <w:tcW w:w="582" w:type="pct"/>
            <w:vAlign w:val="center"/>
          </w:tcPr>
          <w:p w14:paraId="1BD0A163">
            <w:pPr>
              <w:pStyle w:val="12"/>
              <w:jc w:val="center"/>
            </w:pPr>
            <w:r>
              <w:rPr>
                <w:rFonts w:hint="eastAsia"/>
              </w:rPr>
              <w:t>珠玑镇</w:t>
            </w:r>
          </w:p>
        </w:tc>
        <w:tc>
          <w:tcPr>
            <w:tcW w:w="582" w:type="pct"/>
            <w:vAlign w:val="center"/>
          </w:tcPr>
          <w:p w14:paraId="72AEB52B">
            <w:pPr>
              <w:pStyle w:val="12"/>
              <w:jc w:val="center"/>
            </w:pPr>
            <w:r>
              <w:rPr>
                <w:rFonts w:hint="eastAsia"/>
              </w:rPr>
              <w:t>1947年</w:t>
            </w:r>
          </w:p>
        </w:tc>
        <w:tc>
          <w:tcPr>
            <w:tcW w:w="1066" w:type="pct"/>
            <w:vAlign w:val="center"/>
          </w:tcPr>
          <w:p w14:paraId="3D4A667A">
            <w:pPr>
              <w:pStyle w:val="12"/>
              <w:jc w:val="center"/>
              <w:rPr>
                <w:rFonts w:ascii="宋体" w:hAnsi="宋体" w:cs="宋体"/>
              </w:rPr>
            </w:pPr>
            <w:r>
              <w:rPr>
                <w:rFonts w:hint="eastAsia"/>
              </w:rPr>
              <w:t>北江第二支</w:t>
            </w:r>
          </w:p>
          <w:p w14:paraId="2F7ADE3C">
            <w:pPr>
              <w:pStyle w:val="12"/>
              <w:jc w:val="center"/>
            </w:pPr>
            <w:r>
              <w:rPr>
                <w:rFonts w:hint="eastAsia" w:ascii="宋体" w:hAnsi="宋体" w:cs="宋体"/>
              </w:rPr>
              <w:t>队  队  员</w:t>
            </w:r>
          </w:p>
        </w:tc>
        <w:tc>
          <w:tcPr>
            <w:tcW w:w="1162" w:type="pct"/>
            <w:vAlign w:val="center"/>
          </w:tcPr>
          <w:p w14:paraId="3371402A">
            <w:pPr>
              <w:pStyle w:val="12"/>
              <w:jc w:val="left"/>
            </w:pPr>
            <w:r>
              <w:rPr>
                <w:rFonts w:hint="eastAsia"/>
              </w:rPr>
              <w:t>1947年10月22日在珠玑下洞战斗牺牲</w:t>
            </w:r>
          </w:p>
        </w:tc>
      </w:tr>
      <w:tr w14:paraId="2FF175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11E4B6C">
            <w:pPr>
              <w:pStyle w:val="12"/>
              <w:jc w:val="center"/>
            </w:pPr>
            <w:r>
              <w:rPr>
                <w:rFonts w:hint="eastAsia"/>
              </w:rPr>
              <w:t>谢泰瑶</w:t>
            </w:r>
          </w:p>
        </w:tc>
        <w:tc>
          <w:tcPr>
            <w:tcW w:w="388" w:type="pct"/>
            <w:vAlign w:val="center"/>
          </w:tcPr>
          <w:p w14:paraId="5DB8468F">
            <w:pPr>
              <w:pStyle w:val="12"/>
              <w:jc w:val="center"/>
            </w:pPr>
            <w:r>
              <w:rPr>
                <w:rFonts w:hint="eastAsia"/>
              </w:rPr>
              <w:t>男</w:t>
            </w:r>
          </w:p>
        </w:tc>
        <w:tc>
          <w:tcPr>
            <w:tcW w:w="582" w:type="pct"/>
            <w:vAlign w:val="center"/>
          </w:tcPr>
          <w:p w14:paraId="1F87A944">
            <w:pPr>
              <w:pStyle w:val="12"/>
              <w:jc w:val="center"/>
            </w:pPr>
            <w:r>
              <w:rPr>
                <w:rFonts w:hint="eastAsia"/>
              </w:rPr>
              <w:t>1928年</w:t>
            </w:r>
          </w:p>
        </w:tc>
        <w:tc>
          <w:tcPr>
            <w:tcW w:w="582" w:type="pct"/>
            <w:vAlign w:val="center"/>
          </w:tcPr>
          <w:p w14:paraId="041DA5B6">
            <w:pPr>
              <w:pStyle w:val="12"/>
              <w:jc w:val="center"/>
            </w:pPr>
            <w:r>
              <w:rPr>
                <w:rFonts w:hint="eastAsia"/>
              </w:rPr>
              <w:t>油山镇</w:t>
            </w:r>
          </w:p>
        </w:tc>
        <w:tc>
          <w:tcPr>
            <w:tcW w:w="582" w:type="pct"/>
            <w:vAlign w:val="center"/>
          </w:tcPr>
          <w:p w14:paraId="38339FFF">
            <w:pPr>
              <w:pStyle w:val="12"/>
              <w:jc w:val="center"/>
            </w:pPr>
            <w:r>
              <w:rPr>
                <w:rFonts w:hint="eastAsia"/>
              </w:rPr>
              <w:t>1947年1月</w:t>
            </w:r>
          </w:p>
        </w:tc>
        <w:tc>
          <w:tcPr>
            <w:tcW w:w="1066" w:type="pct"/>
            <w:vAlign w:val="center"/>
          </w:tcPr>
          <w:p w14:paraId="4D4EEBDC">
            <w:pPr>
              <w:pStyle w:val="12"/>
              <w:jc w:val="center"/>
              <w:rPr>
                <w:rFonts w:ascii="宋体" w:hAnsi="宋体" w:cs="宋体"/>
              </w:rPr>
            </w:pPr>
            <w:r>
              <w:rPr>
                <w:rFonts w:hint="eastAsia"/>
              </w:rPr>
              <w:t>北江第二支</w:t>
            </w:r>
          </w:p>
          <w:p w14:paraId="347DC648">
            <w:pPr>
              <w:pStyle w:val="12"/>
              <w:jc w:val="center"/>
            </w:pPr>
            <w:r>
              <w:rPr>
                <w:rFonts w:hint="eastAsia" w:ascii="宋体" w:hAnsi="宋体" w:cs="宋体"/>
              </w:rPr>
              <w:t>队  队  员</w:t>
            </w:r>
          </w:p>
        </w:tc>
        <w:tc>
          <w:tcPr>
            <w:tcW w:w="1162" w:type="pct"/>
            <w:vAlign w:val="center"/>
          </w:tcPr>
          <w:p w14:paraId="2F53A4DB">
            <w:pPr>
              <w:pStyle w:val="12"/>
              <w:jc w:val="left"/>
            </w:pPr>
            <w:r>
              <w:rPr>
                <w:rFonts w:hint="eastAsia"/>
              </w:rPr>
              <w:t>1947年在江西大余县社江坝被捕就义</w:t>
            </w:r>
          </w:p>
        </w:tc>
      </w:tr>
      <w:tr w14:paraId="678D4B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C5568AF">
            <w:pPr>
              <w:pStyle w:val="12"/>
              <w:jc w:val="center"/>
            </w:pPr>
            <w:r>
              <w:rPr>
                <w:rFonts w:hint="eastAsia"/>
              </w:rPr>
              <w:t>谢崇实</w:t>
            </w:r>
          </w:p>
        </w:tc>
        <w:tc>
          <w:tcPr>
            <w:tcW w:w="388" w:type="pct"/>
            <w:vAlign w:val="center"/>
          </w:tcPr>
          <w:p w14:paraId="1AB2AAE4">
            <w:pPr>
              <w:pStyle w:val="12"/>
              <w:jc w:val="center"/>
            </w:pPr>
            <w:r>
              <w:rPr>
                <w:rFonts w:hint="eastAsia"/>
              </w:rPr>
              <w:t>男</w:t>
            </w:r>
          </w:p>
        </w:tc>
        <w:tc>
          <w:tcPr>
            <w:tcW w:w="582" w:type="pct"/>
            <w:vAlign w:val="center"/>
          </w:tcPr>
          <w:p w14:paraId="1B7D21B4">
            <w:pPr>
              <w:pStyle w:val="12"/>
              <w:jc w:val="center"/>
            </w:pPr>
            <w:r>
              <w:rPr>
                <w:rFonts w:hint="eastAsia"/>
              </w:rPr>
              <w:t>1918年</w:t>
            </w:r>
          </w:p>
        </w:tc>
        <w:tc>
          <w:tcPr>
            <w:tcW w:w="582" w:type="pct"/>
            <w:vAlign w:val="center"/>
          </w:tcPr>
          <w:p w14:paraId="08A57A34">
            <w:pPr>
              <w:pStyle w:val="12"/>
              <w:jc w:val="center"/>
            </w:pPr>
            <w:r>
              <w:rPr>
                <w:rFonts w:hint="eastAsia"/>
              </w:rPr>
              <w:t>油山镇</w:t>
            </w:r>
          </w:p>
        </w:tc>
        <w:tc>
          <w:tcPr>
            <w:tcW w:w="582" w:type="pct"/>
            <w:vAlign w:val="center"/>
          </w:tcPr>
          <w:p w14:paraId="61369B4B">
            <w:pPr>
              <w:pStyle w:val="12"/>
              <w:jc w:val="center"/>
            </w:pPr>
            <w:r>
              <w:rPr>
                <w:rFonts w:hint="eastAsia"/>
              </w:rPr>
              <w:t>1947年1月</w:t>
            </w:r>
          </w:p>
        </w:tc>
        <w:tc>
          <w:tcPr>
            <w:tcW w:w="1066" w:type="pct"/>
            <w:vAlign w:val="center"/>
          </w:tcPr>
          <w:p w14:paraId="7A8378F1">
            <w:pPr>
              <w:pStyle w:val="12"/>
              <w:jc w:val="center"/>
              <w:rPr>
                <w:rFonts w:ascii="宋体" w:hAnsi="宋体" w:cs="宋体"/>
              </w:rPr>
            </w:pPr>
            <w:r>
              <w:rPr>
                <w:rFonts w:hint="eastAsia"/>
              </w:rPr>
              <w:t>北江第二支</w:t>
            </w:r>
          </w:p>
          <w:p w14:paraId="6626CA1C">
            <w:pPr>
              <w:pStyle w:val="12"/>
              <w:jc w:val="center"/>
            </w:pPr>
            <w:r>
              <w:rPr>
                <w:rFonts w:hint="eastAsia" w:ascii="宋体" w:hAnsi="宋体" w:cs="宋体"/>
              </w:rPr>
              <w:t>队  队  员</w:t>
            </w:r>
          </w:p>
        </w:tc>
        <w:tc>
          <w:tcPr>
            <w:tcW w:w="1162" w:type="pct"/>
            <w:vAlign w:val="center"/>
          </w:tcPr>
          <w:p w14:paraId="7E675C93">
            <w:pPr>
              <w:pStyle w:val="12"/>
              <w:jc w:val="left"/>
            </w:pPr>
            <w:r>
              <w:rPr>
                <w:rFonts w:hint="eastAsia"/>
              </w:rPr>
              <w:t>1947年2月在江西大余县社江坝被捕就义</w:t>
            </w:r>
          </w:p>
        </w:tc>
      </w:tr>
      <w:tr w14:paraId="2B5295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A1529FB">
            <w:pPr>
              <w:pStyle w:val="12"/>
              <w:jc w:val="center"/>
            </w:pPr>
            <w:r>
              <w:rPr>
                <w:rFonts w:hint="eastAsia"/>
              </w:rPr>
              <w:t>冯过房</w:t>
            </w:r>
          </w:p>
        </w:tc>
        <w:tc>
          <w:tcPr>
            <w:tcW w:w="388" w:type="pct"/>
            <w:vAlign w:val="center"/>
          </w:tcPr>
          <w:p w14:paraId="5F61D75E">
            <w:pPr>
              <w:pStyle w:val="12"/>
              <w:jc w:val="center"/>
            </w:pPr>
            <w:r>
              <w:rPr>
                <w:rFonts w:hint="eastAsia"/>
              </w:rPr>
              <w:t>男</w:t>
            </w:r>
          </w:p>
        </w:tc>
        <w:tc>
          <w:tcPr>
            <w:tcW w:w="582" w:type="pct"/>
            <w:vAlign w:val="center"/>
          </w:tcPr>
          <w:p w14:paraId="467C7EB9">
            <w:pPr>
              <w:pStyle w:val="12"/>
              <w:jc w:val="center"/>
            </w:pPr>
            <w:r>
              <w:rPr>
                <w:rFonts w:hint="eastAsia"/>
              </w:rPr>
              <w:t>1920年</w:t>
            </w:r>
          </w:p>
        </w:tc>
        <w:tc>
          <w:tcPr>
            <w:tcW w:w="582" w:type="pct"/>
            <w:vAlign w:val="center"/>
          </w:tcPr>
          <w:p w14:paraId="24D105C2">
            <w:pPr>
              <w:pStyle w:val="12"/>
              <w:jc w:val="center"/>
            </w:pPr>
            <w:r>
              <w:rPr>
                <w:rFonts w:hint="eastAsia"/>
              </w:rPr>
              <w:t>油山镇</w:t>
            </w:r>
          </w:p>
        </w:tc>
        <w:tc>
          <w:tcPr>
            <w:tcW w:w="582" w:type="pct"/>
            <w:vAlign w:val="center"/>
          </w:tcPr>
          <w:p w14:paraId="26875CBA">
            <w:pPr>
              <w:pStyle w:val="12"/>
              <w:jc w:val="center"/>
            </w:pPr>
            <w:r>
              <w:rPr>
                <w:rFonts w:hint="eastAsia"/>
              </w:rPr>
              <w:t>1947年1月</w:t>
            </w:r>
          </w:p>
        </w:tc>
        <w:tc>
          <w:tcPr>
            <w:tcW w:w="1066" w:type="pct"/>
            <w:vAlign w:val="center"/>
          </w:tcPr>
          <w:p w14:paraId="483A6C70">
            <w:pPr>
              <w:pStyle w:val="12"/>
              <w:jc w:val="center"/>
              <w:rPr>
                <w:rFonts w:ascii="宋体" w:hAnsi="宋体" w:cs="宋体"/>
              </w:rPr>
            </w:pPr>
            <w:r>
              <w:rPr>
                <w:rFonts w:hint="eastAsia"/>
              </w:rPr>
              <w:t>北江第二支</w:t>
            </w:r>
          </w:p>
          <w:p w14:paraId="744D8938">
            <w:pPr>
              <w:pStyle w:val="12"/>
              <w:jc w:val="center"/>
            </w:pPr>
            <w:r>
              <w:rPr>
                <w:rFonts w:hint="eastAsia" w:ascii="宋体" w:hAnsi="宋体" w:cs="宋体"/>
              </w:rPr>
              <w:t>队  队  员</w:t>
            </w:r>
          </w:p>
        </w:tc>
        <w:tc>
          <w:tcPr>
            <w:tcW w:w="1162" w:type="pct"/>
            <w:vAlign w:val="center"/>
          </w:tcPr>
          <w:p w14:paraId="12225A45">
            <w:pPr>
              <w:pStyle w:val="12"/>
              <w:jc w:val="left"/>
            </w:pPr>
            <w:r>
              <w:rPr>
                <w:rFonts w:hint="eastAsia"/>
              </w:rPr>
              <w:t>1947年2月在江西大余县被捕就义</w:t>
            </w:r>
          </w:p>
        </w:tc>
      </w:tr>
      <w:tr w14:paraId="166A8E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B58CB9F">
            <w:pPr>
              <w:pStyle w:val="12"/>
              <w:jc w:val="center"/>
            </w:pPr>
            <w:r>
              <w:rPr>
                <w:rFonts w:hint="eastAsia"/>
              </w:rPr>
              <w:t>刘燕盛</w:t>
            </w:r>
          </w:p>
        </w:tc>
        <w:tc>
          <w:tcPr>
            <w:tcW w:w="388" w:type="pct"/>
            <w:vAlign w:val="center"/>
          </w:tcPr>
          <w:p w14:paraId="10AA9C97">
            <w:pPr>
              <w:pStyle w:val="12"/>
              <w:jc w:val="center"/>
            </w:pPr>
            <w:r>
              <w:rPr>
                <w:rFonts w:hint="eastAsia"/>
              </w:rPr>
              <w:t>男</w:t>
            </w:r>
          </w:p>
        </w:tc>
        <w:tc>
          <w:tcPr>
            <w:tcW w:w="582" w:type="pct"/>
            <w:vAlign w:val="center"/>
          </w:tcPr>
          <w:p w14:paraId="7D5C7574">
            <w:pPr>
              <w:pStyle w:val="12"/>
              <w:jc w:val="center"/>
            </w:pPr>
            <w:r>
              <w:rPr>
                <w:rFonts w:hint="eastAsia"/>
              </w:rPr>
              <w:t>1928年</w:t>
            </w:r>
          </w:p>
        </w:tc>
        <w:tc>
          <w:tcPr>
            <w:tcW w:w="582" w:type="pct"/>
            <w:vAlign w:val="center"/>
          </w:tcPr>
          <w:p w14:paraId="35387121">
            <w:pPr>
              <w:pStyle w:val="12"/>
              <w:jc w:val="center"/>
            </w:pPr>
            <w:r>
              <w:rPr>
                <w:rFonts w:hint="eastAsia"/>
              </w:rPr>
              <w:t>油山镇</w:t>
            </w:r>
          </w:p>
        </w:tc>
        <w:tc>
          <w:tcPr>
            <w:tcW w:w="582" w:type="pct"/>
            <w:vAlign w:val="center"/>
          </w:tcPr>
          <w:p w14:paraId="6CF4BA93">
            <w:pPr>
              <w:pStyle w:val="12"/>
              <w:jc w:val="center"/>
            </w:pPr>
            <w:r>
              <w:rPr>
                <w:rFonts w:hint="eastAsia"/>
              </w:rPr>
              <w:t>1946年</w:t>
            </w:r>
          </w:p>
        </w:tc>
        <w:tc>
          <w:tcPr>
            <w:tcW w:w="1066" w:type="pct"/>
            <w:vAlign w:val="center"/>
          </w:tcPr>
          <w:p w14:paraId="01A30D35">
            <w:pPr>
              <w:pStyle w:val="12"/>
              <w:jc w:val="center"/>
              <w:rPr>
                <w:rFonts w:ascii="宋体" w:hAnsi="宋体" w:cs="宋体"/>
              </w:rPr>
            </w:pPr>
            <w:r>
              <w:rPr>
                <w:rFonts w:hint="eastAsia"/>
              </w:rPr>
              <w:t>北江第二支</w:t>
            </w:r>
          </w:p>
          <w:p w14:paraId="44797CF0">
            <w:pPr>
              <w:pStyle w:val="12"/>
              <w:jc w:val="center"/>
            </w:pPr>
            <w:r>
              <w:rPr>
                <w:rFonts w:hint="eastAsia" w:ascii="宋体" w:hAnsi="宋体" w:cs="宋体"/>
              </w:rPr>
              <w:t>队  队  员</w:t>
            </w:r>
          </w:p>
        </w:tc>
        <w:tc>
          <w:tcPr>
            <w:tcW w:w="1162" w:type="pct"/>
            <w:vAlign w:val="center"/>
          </w:tcPr>
          <w:p w14:paraId="55A40A53">
            <w:pPr>
              <w:pStyle w:val="12"/>
              <w:jc w:val="left"/>
            </w:pPr>
            <w:r>
              <w:rPr>
                <w:rFonts w:hint="eastAsia"/>
              </w:rPr>
              <w:t>1947年在大塘花树下被捕，在县城郊就义</w:t>
            </w:r>
          </w:p>
        </w:tc>
      </w:tr>
      <w:tr w14:paraId="3E81D7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6662B77">
            <w:pPr>
              <w:pStyle w:val="12"/>
              <w:jc w:val="center"/>
            </w:pPr>
            <w:r>
              <w:rPr>
                <w:rFonts w:hint="eastAsia"/>
              </w:rPr>
              <w:t>彭呈炳老</w:t>
            </w:r>
          </w:p>
        </w:tc>
        <w:tc>
          <w:tcPr>
            <w:tcW w:w="388" w:type="pct"/>
            <w:vAlign w:val="center"/>
          </w:tcPr>
          <w:p w14:paraId="716DBB6E">
            <w:pPr>
              <w:pStyle w:val="12"/>
              <w:jc w:val="center"/>
            </w:pPr>
            <w:r>
              <w:rPr>
                <w:rFonts w:hint="eastAsia"/>
              </w:rPr>
              <w:t>男</w:t>
            </w:r>
          </w:p>
        </w:tc>
        <w:tc>
          <w:tcPr>
            <w:tcW w:w="582" w:type="pct"/>
            <w:vAlign w:val="center"/>
          </w:tcPr>
          <w:p w14:paraId="37E69789">
            <w:pPr>
              <w:pStyle w:val="12"/>
              <w:jc w:val="center"/>
            </w:pPr>
            <w:r>
              <w:rPr>
                <w:rFonts w:hint="eastAsia"/>
              </w:rPr>
              <w:t>1928年</w:t>
            </w:r>
          </w:p>
        </w:tc>
        <w:tc>
          <w:tcPr>
            <w:tcW w:w="582" w:type="pct"/>
            <w:vAlign w:val="center"/>
          </w:tcPr>
          <w:p w14:paraId="5D73DAF4">
            <w:pPr>
              <w:pStyle w:val="12"/>
              <w:jc w:val="center"/>
            </w:pPr>
            <w:r>
              <w:rPr>
                <w:rFonts w:hint="eastAsia"/>
              </w:rPr>
              <w:t>油山镇</w:t>
            </w:r>
          </w:p>
        </w:tc>
        <w:tc>
          <w:tcPr>
            <w:tcW w:w="582" w:type="pct"/>
            <w:vAlign w:val="center"/>
          </w:tcPr>
          <w:p w14:paraId="6F0DC5B6">
            <w:pPr>
              <w:pStyle w:val="12"/>
              <w:jc w:val="center"/>
            </w:pPr>
            <w:r>
              <w:rPr>
                <w:rFonts w:hint="eastAsia"/>
              </w:rPr>
              <w:t>1947年</w:t>
            </w:r>
          </w:p>
        </w:tc>
        <w:tc>
          <w:tcPr>
            <w:tcW w:w="1066" w:type="pct"/>
            <w:vAlign w:val="center"/>
          </w:tcPr>
          <w:p w14:paraId="490D7208">
            <w:pPr>
              <w:pStyle w:val="12"/>
              <w:jc w:val="center"/>
              <w:rPr>
                <w:rFonts w:ascii="宋体" w:hAnsi="宋体" w:cs="宋体"/>
              </w:rPr>
            </w:pPr>
            <w:r>
              <w:rPr>
                <w:rFonts w:hint="eastAsia"/>
              </w:rPr>
              <w:t>北江第二支</w:t>
            </w:r>
          </w:p>
          <w:p w14:paraId="10266165">
            <w:pPr>
              <w:pStyle w:val="12"/>
              <w:jc w:val="center"/>
            </w:pPr>
            <w:r>
              <w:rPr>
                <w:rFonts w:hint="eastAsia" w:ascii="宋体" w:hAnsi="宋体" w:cs="宋体"/>
              </w:rPr>
              <w:t>队  队  员</w:t>
            </w:r>
          </w:p>
        </w:tc>
        <w:tc>
          <w:tcPr>
            <w:tcW w:w="1162" w:type="pct"/>
            <w:vAlign w:val="center"/>
          </w:tcPr>
          <w:p w14:paraId="1C9074CE">
            <w:pPr>
              <w:pStyle w:val="12"/>
              <w:jc w:val="left"/>
            </w:pPr>
            <w:r>
              <w:rPr>
                <w:rFonts w:hint="eastAsia"/>
              </w:rPr>
              <w:t>1947年在古城战斗牺牲</w:t>
            </w:r>
          </w:p>
        </w:tc>
      </w:tr>
      <w:tr w14:paraId="589865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6C7EE69">
            <w:pPr>
              <w:pStyle w:val="12"/>
              <w:jc w:val="center"/>
            </w:pPr>
            <w:r>
              <w:rPr>
                <w:rFonts w:hint="eastAsia"/>
              </w:rPr>
              <w:t>谢金才</w:t>
            </w:r>
          </w:p>
        </w:tc>
        <w:tc>
          <w:tcPr>
            <w:tcW w:w="388" w:type="pct"/>
            <w:vAlign w:val="center"/>
          </w:tcPr>
          <w:p w14:paraId="47BFFB36">
            <w:pPr>
              <w:pStyle w:val="12"/>
              <w:jc w:val="center"/>
            </w:pPr>
            <w:r>
              <w:rPr>
                <w:rFonts w:hint="eastAsia"/>
              </w:rPr>
              <w:t>男</w:t>
            </w:r>
          </w:p>
        </w:tc>
        <w:tc>
          <w:tcPr>
            <w:tcW w:w="582" w:type="pct"/>
            <w:vAlign w:val="center"/>
          </w:tcPr>
          <w:p w14:paraId="3FF2E3F8">
            <w:pPr>
              <w:pStyle w:val="12"/>
              <w:jc w:val="center"/>
            </w:pPr>
            <w:r>
              <w:rPr>
                <w:rFonts w:hint="eastAsia"/>
              </w:rPr>
              <w:t>1924年</w:t>
            </w:r>
          </w:p>
        </w:tc>
        <w:tc>
          <w:tcPr>
            <w:tcW w:w="582" w:type="pct"/>
            <w:vAlign w:val="center"/>
          </w:tcPr>
          <w:p w14:paraId="435A6FD1">
            <w:pPr>
              <w:pStyle w:val="12"/>
              <w:jc w:val="center"/>
            </w:pPr>
            <w:r>
              <w:rPr>
                <w:rFonts w:hint="eastAsia"/>
              </w:rPr>
              <w:t>油山镇</w:t>
            </w:r>
          </w:p>
        </w:tc>
        <w:tc>
          <w:tcPr>
            <w:tcW w:w="582" w:type="pct"/>
            <w:vAlign w:val="center"/>
          </w:tcPr>
          <w:p w14:paraId="5697DA59">
            <w:pPr>
              <w:pStyle w:val="12"/>
              <w:jc w:val="center"/>
            </w:pPr>
            <w:r>
              <w:rPr>
                <w:rFonts w:hint="eastAsia"/>
              </w:rPr>
              <w:t>1946年</w:t>
            </w:r>
          </w:p>
        </w:tc>
        <w:tc>
          <w:tcPr>
            <w:tcW w:w="1066" w:type="pct"/>
            <w:vAlign w:val="center"/>
          </w:tcPr>
          <w:p w14:paraId="0F105047">
            <w:pPr>
              <w:pStyle w:val="12"/>
              <w:jc w:val="center"/>
              <w:rPr>
                <w:rFonts w:ascii="宋体" w:hAnsi="宋体" w:cs="宋体"/>
              </w:rPr>
            </w:pPr>
            <w:r>
              <w:rPr>
                <w:rFonts w:hint="eastAsia"/>
              </w:rPr>
              <w:t>北江第二支下</w:t>
            </w:r>
          </w:p>
          <w:p w14:paraId="00952A78">
            <w:pPr>
              <w:pStyle w:val="12"/>
              <w:jc w:val="center"/>
            </w:pPr>
            <w:r>
              <w:rPr>
                <w:rFonts w:hint="eastAsia" w:ascii="宋体" w:hAnsi="宋体" w:cs="宋体"/>
              </w:rPr>
              <w:t>属小分队队长</w:t>
            </w:r>
          </w:p>
        </w:tc>
        <w:tc>
          <w:tcPr>
            <w:tcW w:w="1162" w:type="pct"/>
            <w:vAlign w:val="center"/>
          </w:tcPr>
          <w:p w14:paraId="6211F4C8">
            <w:pPr>
              <w:pStyle w:val="12"/>
              <w:jc w:val="left"/>
            </w:pPr>
            <w:r>
              <w:rPr>
                <w:rFonts w:hint="eastAsia"/>
              </w:rPr>
              <w:t>1947年在江西大余县社江坝收税被捕就义</w:t>
            </w:r>
          </w:p>
        </w:tc>
      </w:tr>
      <w:tr w14:paraId="020343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3576968">
            <w:pPr>
              <w:pStyle w:val="12"/>
              <w:jc w:val="center"/>
            </w:pPr>
            <w:r>
              <w:rPr>
                <w:rFonts w:hint="eastAsia"/>
              </w:rPr>
              <w:t>谢崇明</w:t>
            </w:r>
          </w:p>
        </w:tc>
        <w:tc>
          <w:tcPr>
            <w:tcW w:w="388" w:type="pct"/>
            <w:vAlign w:val="center"/>
          </w:tcPr>
          <w:p w14:paraId="654B9106">
            <w:pPr>
              <w:pStyle w:val="12"/>
              <w:jc w:val="center"/>
            </w:pPr>
            <w:r>
              <w:rPr>
                <w:rFonts w:hint="eastAsia"/>
              </w:rPr>
              <w:t>男</w:t>
            </w:r>
          </w:p>
        </w:tc>
        <w:tc>
          <w:tcPr>
            <w:tcW w:w="582" w:type="pct"/>
            <w:vAlign w:val="center"/>
          </w:tcPr>
          <w:p w14:paraId="5C081C05">
            <w:pPr>
              <w:pStyle w:val="12"/>
              <w:jc w:val="center"/>
            </w:pPr>
            <w:r>
              <w:rPr>
                <w:rFonts w:hint="eastAsia"/>
              </w:rPr>
              <w:t>1928年</w:t>
            </w:r>
          </w:p>
        </w:tc>
        <w:tc>
          <w:tcPr>
            <w:tcW w:w="582" w:type="pct"/>
            <w:vAlign w:val="center"/>
          </w:tcPr>
          <w:p w14:paraId="1CA81499">
            <w:pPr>
              <w:pStyle w:val="12"/>
              <w:jc w:val="center"/>
            </w:pPr>
            <w:r>
              <w:rPr>
                <w:rFonts w:hint="eastAsia"/>
              </w:rPr>
              <w:t>油山镇</w:t>
            </w:r>
          </w:p>
        </w:tc>
        <w:tc>
          <w:tcPr>
            <w:tcW w:w="582" w:type="pct"/>
            <w:vAlign w:val="center"/>
          </w:tcPr>
          <w:p w14:paraId="29D6DB89">
            <w:pPr>
              <w:pStyle w:val="12"/>
              <w:jc w:val="center"/>
            </w:pPr>
            <w:r>
              <w:rPr>
                <w:rFonts w:hint="eastAsia"/>
              </w:rPr>
              <w:t>1947年1月</w:t>
            </w:r>
          </w:p>
        </w:tc>
        <w:tc>
          <w:tcPr>
            <w:tcW w:w="1066" w:type="pct"/>
            <w:vAlign w:val="center"/>
          </w:tcPr>
          <w:p w14:paraId="247354AE">
            <w:pPr>
              <w:pStyle w:val="12"/>
              <w:jc w:val="center"/>
              <w:rPr>
                <w:rFonts w:ascii="宋体" w:hAnsi="宋体" w:cs="宋体"/>
              </w:rPr>
            </w:pPr>
            <w:r>
              <w:rPr>
                <w:rFonts w:hint="eastAsia"/>
              </w:rPr>
              <w:t>北江第二支</w:t>
            </w:r>
          </w:p>
          <w:p w14:paraId="0DCB832A">
            <w:pPr>
              <w:pStyle w:val="12"/>
              <w:jc w:val="center"/>
            </w:pPr>
            <w:r>
              <w:rPr>
                <w:rFonts w:hint="eastAsia" w:ascii="宋体" w:hAnsi="宋体" w:cs="宋体"/>
              </w:rPr>
              <w:t>队  队  员</w:t>
            </w:r>
          </w:p>
        </w:tc>
        <w:tc>
          <w:tcPr>
            <w:tcW w:w="1162" w:type="pct"/>
            <w:vAlign w:val="center"/>
          </w:tcPr>
          <w:p w14:paraId="77AD8A8F">
            <w:pPr>
              <w:pStyle w:val="12"/>
              <w:jc w:val="left"/>
            </w:pPr>
            <w:r>
              <w:rPr>
                <w:rFonts w:hint="eastAsia"/>
              </w:rPr>
              <w:t>1947年在江西大余县社江坝被捕就义</w:t>
            </w:r>
          </w:p>
        </w:tc>
      </w:tr>
      <w:tr w14:paraId="05E46E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1EC4ABE">
            <w:pPr>
              <w:pStyle w:val="12"/>
              <w:jc w:val="center"/>
            </w:pPr>
            <w:r>
              <w:rPr>
                <w:rFonts w:hint="eastAsia"/>
              </w:rPr>
              <w:t>周  霖</w:t>
            </w:r>
          </w:p>
        </w:tc>
        <w:tc>
          <w:tcPr>
            <w:tcW w:w="388" w:type="pct"/>
            <w:vAlign w:val="center"/>
          </w:tcPr>
          <w:p w14:paraId="2ADA0BC2">
            <w:pPr>
              <w:pStyle w:val="12"/>
              <w:jc w:val="center"/>
            </w:pPr>
            <w:r>
              <w:rPr>
                <w:rFonts w:hint="eastAsia"/>
              </w:rPr>
              <w:t>男</w:t>
            </w:r>
          </w:p>
        </w:tc>
        <w:tc>
          <w:tcPr>
            <w:tcW w:w="582" w:type="pct"/>
            <w:vAlign w:val="center"/>
          </w:tcPr>
          <w:p w14:paraId="2B25003B">
            <w:pPr>
              <w:pStyle w:val="12"/>
              <w:jc w:val="center"/>
            </w:pPr>
            <w:r>
              <w:rPr>
                <w:rFonts w:hint="eastAsia"/>
              </w:rPr>
              <w:t>1911年</w:t>
            </w:r>
          </w:p>
        </w:tc>
        <w:tc>
          <w:tcPr>
            <w:tcW w:w="582" w:type="pct"/>
            <w:vAlign w:val="center"/>
          </w:tcPr>
          <w:p w14:paraId="2D9871E0">
            <w:pPr>
              <w:pStyle w:val="12"/>
              <w:jc w:val="center"/>
            </w:pPr>
            <w:r>
              <w:rPr>
                <w:rFonts w:hint="eastAsia"/>
              </w:rPr>
              <w:t>黄坑镇</w:t>
            </w:r>
          </w:p>
        </w:tc>
        <w:tc>
          <w:tcPr>
            <w:tcW w:w="582" w:type="pct"/>
            <w:vAlign w:val="center"/>
          </w:tcPr>
          <w:p w14:paraId="43E796D6">
            <w:pPr>
              <w:pStyle w:val="12"/>
              <w:jc w:val="center"/>
            </w:pPr>
            <w:r>
              <w:rPr>
                <w:rFonts w:hint="eastAsia"/>
              </w:rPr>
              <w:t>1930年</w:t>
            </w:r>
          </w:p>
        </w:tc>
        <w:tc>
          <w:tcPr>
            <w:tcW w:w="1066" w:type="pct"/>
            <w:vAlign w:val="center"/>
          </w:tcPr>
          <w:p w14:paraId="3FE4A156">
            <w:pPr>
              <w:pStyle w:val="12"/>
              <w:jc w:val="center"/>
              <w:rPr>
                <w:rFonts w:ascii="宋体" w:hAnsi="宋体" w:cs="宋体"/>
              </w:rPr>
            </w:pPr>
            <w:r>
              <w:rPr>
                <w:rFonts w:hint="eastAsia"/>
              </w:rPr>
              <w:t>东台县独立</w:t>
            </w:r>
          </w:p>
          <w:p w14:paraId="21ED16CC">
            <w:pPr>
              <w:pStyle w:val="12"/>
              <w:jc w:val="center"/>
            </w:pPr>
            <w:r>
              <w:rPr>
                <w:rFonts w:hint="eastAsia" w:ascii="宋体" w:hAnsi="宋体" w:cs="宋体"/>
              </w:rPr>
              <w:t>团  团  长</w:t>
            </w:r>
          </w:p>
        </w:tc>
        <w:tc>
          <w:tcPr>
            <w:tcW w:w="1162" w:type="pct"/>
            <w:vAlign w:val="center"/>
          </w:tcPr>
          <w:p w14:paraId="2BB4E529">
            <w:pPr>
              <w:pStyle w:val="12"/>
              <w:jc w:val="left"/>
            </w:pPr>
            <w:r>
              <w:rPr>
                <w:rFonts w:hint="eastAsia"/>
              </w:rPr>
              <w:t>1945年12月7日被国民党军俘获，1947年就义，有传</w:t>
            </w:r>
          </w:p>
        </w:tc>
      </w:tr>
      <w:tr w14:paraId="35D7EB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51FE237">
            <w:pPr>
              <w:pStyle w:val="12"/>
              <w:jc w:val="center"/>
            </w:pPr>
            <w:r>
              <w:rPr>
                <w:rFonts w:hint="eastAsia"/>
              </w:rPr>
              <w:t>沈宜礼</w:t>
            </w:r>
          </w:p>
        </w:tc>
        <w:tc>
          <w:tcPr>
            <w:tcW w:w="388" w:type="pct"/>
            <w:vAlign w:val="center"/>
          </w:tcPr>
          <w:p w14:paraId="25151346">
            <w:pPr>
              <w:pStyle w:val="12"/>
              <w:jc w:val="center"/>
            </w:pPr>
            <w:r>
              <w:rPr>
                <w:rFonts w:hint="eastAsia"/>
              </w:rPr>
              <w:t>男</w:t>
            </w:r>
          </w:p>
        </w:tc>
        <w:tc>
          <w:tcPr>
            <w:tcW w:w="582" w:type="pct"/>
            <w:vAlign w:val="center"/>
          </w:tcPr>
          <w:p w14:paraId="4A135FBB">
            <w:pPr>
              <w:pStyle w:val="12"/>
              <w:jc w:val="center"/>
            </w:pPr>
            <w:r>
              <w:rPr>
                <w:rFonts w:hint="eastAsia"/>
              </w:rPr>
              <w:t>1920年</w:t>
            </w:r>
          </w:p>
        </w:tc>
        <w:tc>
          <w:tcPr>
            <w:tcW w:w="582" w:type="pct"/>
            <w:vAlign w:val="center"/>
          </w:tcPr>
          <w:p w14:paraId="5A2D841A">
            <w:pPr>
              <w:pStyle w:val="12"/>
              <w:jc w:val="center"/>
            </w:pPr>
            <w:r>
              <w:rPr>
                <w:rFonts w:hint="eastAsia"/>
              </w:rPr>
              <w:t>黄坑镇</w:t>
            </w:r>
          </w:p>
        </w:tc>
        <w:tc>
          <w:tcPr>
            <w:tcW w:w="582" w:type="pct"/>
            <w:vAlign w:val="center"/>
          </w:tcPr>
          <w:p w14:paraId="7F1BF603">
            <w:pPr>
              <w:pStyle w:val="12"/>
              <w:jc w:val="center"/>
            </w:pPr>
            <w:r>
              <w:rPr>
                <w:rFonts w:hint="eastAsia"/>
              </w:rPr>
              <w:t>1947年</w:t>
            </w:r>
          </w:p>
        </w:tc>
        <w:tc>
          <w:tcPr>
            <w:tcW w:w="1066" w:type="pct"/>
            <w:vAlign w:val="center"/>
          </w:tcPr>
          <w:p w14:paraId="012971FB">
            <w:pPr>
              <w:pStyle w:val="12"/>
              <w:jc w:val="center"/>
              <w:rPr>
                <w:rFonts w:ascii="宋体" w:hAnsi="宋体" w:cs="宋体"/>
              </w:rPr>
            </w:pPr>
            <w:r>
              <w:rPr>
                <w:rFonts w:hint="eastAsia"/>
              </w:rPr>
              <w:t>北江第二支</w:t>
            </w:r>
          </w:p>
          <w:p w14:paraId="289C3681">
            <w:pPr>
              <w:pStyle w:val="12"/>
              <w:jc w:val="center"/>
            </w:pPr>
            <w:r>
              <w:rPr>
                <w:rFonts w:hint="eastAsia" w:ascii="宋体" w:hAnsi="宋体" w:cs="宋体"/>
              </w:rPr>
              <w:t>队  队  员</w:t>
            </w:r>
          </w:p>
        </w:tc>
        <w:tc>
          <w:tcPr>
            <w:tcW w:w="1162" w:type="pct"/>
            <w:vAlign w:val="center"/>
          </w:tcPr>
          <w:p w14:paraId="40DAC530">
            <w:pPr>
              <w:pStyle w:val="12"/>
              <w:jc w:val="left"/>
            </w:pPr>
            <w:r>
              <w:rPr>
                <w:rFonts w:hint="eastAsia"/>
              </w:rPr>
              <w:t>1947年12月在黄坑战斗牺牲</w:t>
            </w:r>
          </w:p>
        </w:tc>
      </w:tr>
      <w:tr w14:paraId="3F3E61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85F4C8C">
            <w:pPr>
              <w:pStyle w:val="12"/>
              <w:jc w:val="center"/>
            </w:pPr>
            <w:r>
              <w:rPr>
                <w:rFonts w:hint="eastAsia"/>
              </w:rPr>
              <w:t>沈桂易</w:t>
            </w:r>
          </w:p>
        </w:tc>
        <w:tc>
          <w:tcPr>
            <w:tcW w:w="388" w:type="pct"/>
            <w:vAlign w:val="center"/>
          </w:tcPr>
          <w:p w14:paraId="4D308B22">
            <w:pPr>
              <w:pStyle w:val="12"/>
              <w:jc w:val="center"/>
            </w:pPr>
            <w:r>
              <w:rPr>
                <w:rFonts w:hint="eastAsia"/>
              </w:rPr>
              <w:t>男</w:t>
            </w:r>
          </w:p>
        </w:tc>
        <w:tc>
          <w:tcPr>
            <w:tcW w:w="582" w:type="pct"/>
            <w:vAlign w:val="center"/>
          </w:tcPr>
          <w:p w14:paraId="0566D609">
            <w:pPr>
              <w:pStyle w:val="12"/>
              <w:jc w:val="center"/>
            </w:pPr>
            <w:r>
              <w:rPr>
                <w:rFonts w:hint="eastAsia"/>
              </w:rPr>
              <w:t>1931年</w:t>
            </w:r>
          </w:p>
        </w:tc>
        <w:tc>
          <w:tcPr>
            <w:tcW w:w="582" w:type="pct"/>
            <w:vAlign w:val="center"/>
          </w:tcPr>
          <w:p w14:paraId="4C083A80">
            <w:pPr>
              <w:pStyle w:val="12"/>
              <w:jc w:val="center"/>
            </w:pPr>
            <w:r>
              <w:rPr>
                <w:rFonts w:hint="eastAsia"/>
              </w:rPr>
              <w:t>黄坑镇</w:t>
            </w:r>
          </w:p>
        </w:tc>
        <w:tc>
          <w:tcPr>
            <w:tcW w:w="582" w:type="pct"/>
            <w:vAlign w:val="center"/>
          </w:tcPr>
          <w:p w14:paraId="5502C930">
            <w:pPr>
              <w:pStyle w:val="12"/>
              <w:jc w:val="center"/>
            </w:pPr>
            <w:r>
              <w:rPr>
                <w:rFonts w:hint="eastAsia"/>
              </w:rPr>
              <w:t>1947年</w:t>
            </w:r>
          </w:p>
        </w:tc>
        <w:tc>
          <w:tcPr>
            <w:tcW w:w="1066" w:type="pct"/>
            <w:vAlign w:val="center"/>
          </w:tcPr>
          <w:p w14:paraId="3921BEF9">
            <w:pPr>
              <w:pStyle w:val="12"/>
              <w:jc w:val="center"/>
              <w:rPr>
                <w:rFonts w:ascii="宋体" w:hAnsi="宋体" w:cs="宋体"/>
              </w:rPr>
            </w:pPr>
            <w:r>
              <w:rPr>
                <w:rFonts w:hint="eastAsia"/>
              </w:rPr>
              <w:t>北江第二支</w:t>
            </w:r>
          </w:p>
          <w:p w14:paraId="06F7837A">
            <w:pPr>
              <w:pStyle w:val="12"/>
              <w:jc w:val="center"/>
            </w:pPr>
            <w:r>
              <w:rPr>
                <w:rFonts w:hint="eastAsia" w:ascii="宋体" w:hAnsi="宋体" w:cs="宋体"/>
              </w:rPr>
              <w:t>队  队  员</w:t>
            </w:r>
          </w:p>
        </w:tc>
        <w:tc>
          <w:tcPr>
            <w:tcW w:w="1162" w:type="pct"/>
            <w:vAlign w:val="center"/>
          </w:tcPr>
          <w:p w14:paraId="17415290">
            <w:pPr>
              <w:pStyle w:val="12"/>
              <w:jc w:val="left"/>
            </w:pPr>
            <w:r>
              <w:rPr>
                <w:rFonts w:hint="eastAsia"/>
              </w:rPr>
              <w:t>1947年在黄坑被捕就义</w:t>
            </w:r>
          </w:p>
        </w:tc>
      </w:tr>
      <w:tr w14:paraId="15A28E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8C267E1">
            <w:pPr>
              <w:pStyle w:val="12"/>
              <w:jc w:val="center"/>
            </w:pPr>
            <w:r>
              <w:rPr>
                <w:rFonts w:hint="eastAsia"/>
              </w:rPr>
              <w:t>梁占雄</w:t>
            </w:r>
          </w:p>
        </w:tc>
        <w:tc>
          <w:tcPr>
            <w:tcW w:w="388" w:type="pct"/>
            <w:vAlign w:val="center"/>
          </w:tcPr>
          <w:p w14:paraId="5E292117">
            <w:pPr>
              <w:pStyle w:val="12"/>
              <w:jc w:val="center"/>
            </w:pPr>
            <w:r>
              <w:rPr>
                <w:rFonts w:hint="eastAsia"/>
              </w:rPr>
              <w:t>男</w:t>
            </w:r>
          </w:p>
        </w:tc>
        <w:tc>
          <w:tcPr>
            <w:tcW w:w="582" w:type="pct"/>
            <w:vAlign w:val="center"/>
          </w:tcPr>
          <w:p w14:paraId="008B24B2">
            <w:pPr>
              <w:pStyle w:val="12"/>
              <w:jc w:val="center"/>
            </w:pPr>
            <w:r>
              <w:rPr>
                <w:rFonts w:hint="eastAsia"/>
              </w:rPr>
              <w:t>1924年</w:t>
            </w:r>
          </w:p>
        </w:tc>
        <w:tc>
          <w:tcPr>
            <w:tcW w:w="582" w:type="pct"/>
            <w:vAlign w:val="center"/>
          </w:tcPr>
          <w:p w14:paraId="6C64B1E2">
            <w:pPr>
              <w:pStyle w:val="12"/>
              <w:jc w:val="center"/>
            </w:pPr>
            <w:r>
              <w:rPr>
                <w:rFonts w:hint="eastAsia"/>
              </w:rPr>
              <w:t>雄州镇</w:t>
            </w:r>
          </w:p>
        </w:tc>
        <w:tc>
          <w:tcPr>
            <w:tcW w:w="582" w:type="pct"/>
            <w:vAlign w:val="center"/>
          </w:tcPr>
          <w:p w14:paraId="5F27EFB9">
            <w:pPr>
              <w:pStyle w:val="12"/>
              <w:jc w:val="center"/>
            </w:pPr>
            <w:r>
              <w:rPr>
                <w:rFonts w:hint="eastAsia"/>
              </w:rPr>
              <w:t>1947年</w:t>
            </w:r>
          </w:p>
        </w:tc>
        <w:tc>
          <w:tcPr>
            <w:tcW w:w="1066" w:type="pct"/>
            <w:vAlign w:val="center"/>
          </w:tcPr>
          <w:p w14:paraId="07F4ADA2">
            <w:pPr>
              <w:pStyle w:val="12"/>
              <w:jc w:val="center"/>
              <w:rPr>
                <w:rFonts w:ascii="宋体" w:hAnsi="宋体" w:cs="宋体"/>
              </w:rPr>
            </w:pPr>
            <w:r>
              <w:rPr>
                <w:rFonts w:hint="eastAsia"/>
              </w:rPr>
              <w:t>北江第二支</w:t>
            </w:r>
          </w:p>
          <w:p w14:paraId="3AA0A57C">
            <w:pPr>
              <w:pStyle w:val="12"/>
              <w:jc w:val="center"/>
            </w:pPr>
            <w:r>
              <w:rPr>
                <w:rFonts w:hint="eastAsia" w:ascii="宋体" w:hAnsi="宋体" w:cs="宋体"/>
              </w:rPr>
              <w:t>队  队  员</w:t>
            </w:r>
          </w:p>
        </w:tc>
        <w:tc>
          <w:tcPr>
            <w:tcW w:w="1162" w:type="pct"/>
            <w:vAlign w:val="center"/>
          </w:tcPr>
          <w:p w14:paraId="313C188E">
            <w:pPr>
              <w:pStyle w:val="12"/>
              <w:jc w:val="left"/>
            </w:pPr>
            <w:r>
              <w:rPr>
                <w:rFonts w:hint="eastAsia"/>
              </w:rPr>
              <w:t>1947年9月在荆江梁屋村被捕就义</w:t>
            </w:r>
          </w:p>
        </w:tc>
      </w:tr>
      <w:tr w14:paraId="7A5A6B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C662D33">
            <w:pPr>
              <w:pStyle w:val="12"/>
              <w:jc w:val="center"/>
            </w:pPr>
            <w:r>
              <w:rPr>
                <w:rFonts w:hint="eastAsia"/>
              </w:rPr>
              <w:t>卢细狗</w:t>
            </w:r>
          </w:p>
        </w:tc>
        <w:tc>
          <w:tcPr>
            <w:tcW w:w="388" w:type="pct"/>
            <w:vAlign w:val="center"/>
          </w:tcPr>
          <w:p w14:paraId="78361E18">
            <w:pPr>
              <w:pStyle w:val="12"/>
              <w:jc w:val="center"/>
            </w:pPr>
            <w:r>
              <w:rPr>
                <w:rFonts w:hint="eastAsia"/>
              </w:rPr>
              <w:t>男</w:t>
            </w:r>
          </w:p>
        </w:tc>
        <w:tc>
          <w:tcPr>
            <w:tcW w:w="582" w:type="pct"/>
            <w:vAlign w:val="center"/>
          </w:tcPr>
          <w:p w14:paraId="47201C9F">
            <w:pPr>
              <w:pStyle w:val="12"/>
              <w:jc w:val="center"/>
            </w:pPr>
            <w:r>
              <w:rPr>
                <w:rFonts w:hint="eastAsia"/>
              </w:rPr>
              <w:t>1931年</w:t>
            </w:r>
          </w:p>
        </w:tc>
        <w:tc>
          <w:tcPr>
            <w:tcW w:w="582" w:type="pct"/>
            <w:vAlign w:val="center"/>
          </w:tcPr>
          <w:p w14:paraId="086ACCAB">
            <w:pPr>
              <w:pStyle w:val="12"/>
              <w:jc w:val="center"/>
            </w:pPr>
            <w:r>
              <w:rPr>
                <w:rFonts w:hint="eastAsia"/>
              </w:rPr>
              <w:t>古市镇</w:t>
            </w:r>
          </w:p>
        </w:tc>
        <w:tc>
          <w:tcPr>
            <w:tcW w:w="582" w:type="pct"/>
            <w:vAlign w:val="center"/>
          </w:tcPr>
          <w:p w14:paraId="69C948D7">
            <w:pPr>
              <w:pStyle w:val="12"/>
              <w:jc w:val="center"/>
            </w:pPr>
            <w:r>
              <w:rPr>
                <w:rFonts w:hint="eastAsia"/>
              </w:rPr>
              <w:t>1946年</w:t>
            </w:r>
          </w:p>
        </w:tc>
        <w:tc>
          <w:tcPr>
            <w:tcW w:w="1066" w:type="pct"/>
            <w:vAlign w:val="center"/>
          </w:tcPr>
          <w:p w14:paraId="1A14CCD1">
            <w:pPr>
              <w:pStyle w:val="12"/>
              <w:jc w:val="center"/>
              <w:rPr>
                <w:rFonts w:ascii="宋体" w:hAnsi="宋体" w:cs="宋体"/>
              </w:rPr>
            </w:pPr>
            <w:r>
              <w:rPr>
                <w:rFonts w:hint="eastAsia"/>
              </w:rPr>
              <w:t>游击队小鬼</w:t>
            </w:r>
          </w:p>
          <w:p w14:paraId="11E355BC">
            <w:pPr>
              <w:pStyle w:val="12"/>
              <w:jc w:val="center"/>
            </w:pPr>
            <w:r>
              <w:rPr>
                <w:rFonts w:hint="eastAsia" w:ascii="宋体" w:hAnsi="宋体" w:cs="宋体"/>
              </w:rPr>
              <w:t>班  战  士</w:t>
            </w:r>
          </w:p>
        </w:tc>
        <w:tc>
          <w:tcPr>
            <w:tcW w:w="1162" w:type="pct"/>
            <w:vAlign w:val="center"/>
          </w:tcPr>
          <w:p w14:paraId="67F85ABB">
            <w:pPr>
              <w:pStyle w:val="12"/>
              <w:jc w:val="left"/>
            </w:pPr>
            <w:r>
              <w:rPr>
                <w:rFonts w:hint="eastAsia"/>
              </w:rPr>
              <w:t>1947年在始兴县被捕就义</w:t>
            </w:r>
          </w:p>
        </w:tc>
      </w:tr>
      <w:tr w14:paraId="293CB4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4F26B1D">
            <w:pPr>
              <w:pStyle w:val="12"/>
              <w:jc w:val="center"/>
            </w:pPr>
            <w:r>
              <w:rPr>
                <w:rFonts w:hint="eastAsia"/>
              </w:rPr>
              <w:t>罗垂贞</w:t>
            </w:r>
          </w:p>
        </w:tc>
        <w:tc>
          <w:tcPr>
            <w:tcW w:w="388" w:type="pct"/>
            <w:vAlign w:val="center"/>
          </w:tcPr>
          <w:p w14:paraId="762BC5A2">
            <w:pPr>
              <w:pStyle w:val="12"/>
              <w:jc w:val="center"/>
            </w:pPr>
            <w:r>
              <w:rPr>
                <w:rFonts w:hint="eastAsia"/>
              </w:rPr>
              <w:t>男</w:t>
            </w:r>
          </w:p>
        </w:tc>
        <w:tc>
          <w:tcPr>
            <w:tcW w:w="582" w:type="pct"/>
            <w:vAlign w:val="center"/>
          </w:tcPr>
          <w:p w14:paraId="1A7D45FF">
            <w:pPr>
              <w:pStyle w:val="12"/>
              <w:jc w:val="center"/>
            </w:pPr>
            <w:r>
              <w:rPr>
                <w:rFonts w:hint="eastAsia"/>
              </w:rPr>
              <w:t>1931年</w:t>
            </w:r>
          </w:p>
        </w:tc>
        <w:tc>
          <w:tcPr>
            <w:tcW w:w="582" w:type="pct"/>
            <w:vAlign w:val="center"/>
          </w:tcPr>
          <w:p w14:paraId="71D47641">
            <w:pPr>
              <w:pStyle w:val="12"/>
              <w:jc w:val="center"/>
            </w:pPr>
            <w:r>
              <w:rPr>
                <w:rFonts w:hint="eastAsia"/>
              </w:rPr>
              <w:t>全安镇</w:t>
            </w:r>
          </w:p>
        </w:tc>
        <w:tc>
          <w:tcPr>
            <w:tcW w:w="582" w:type="pct"/>
            <w:vAlign w:val="center"/>
          </w:tcPr>
          <w:p w14:paraId="22B49D80">
            <w:pPr>
              <w:pStyle w:val="12"/>
              <w:jc w:val="center"/>
            </w:pPr>
            <w:r>
              <w:rPr>
                <w:rFonts w:hint="eastAsia"/>
              </w:rPr>
              <w:t>1946年</w:t>
            </w:r>
          </w:p>
        </w:tc>
        <w:tc>
          <w:tcPr>
            <w:tcW w:w="1066" w:type="pct"/>
            <w:vAlign w:val="center"/>
          </w:tcPr>
          <w:p w14:paraId="29B42F7A">
            <w:pPr>
              <w:pStyle w:val="12"/>
              <w:jc w:val="center"/>
              <w:rPr>
                <w:rFonts w:ascii="宋体" w:hAnsi="宋体" w:cs="宋体"/>
              </w:rPr>
            </w:pPr>
            <w:r>
              <w:rPr>
                <w:rFonts w:hint="eastAsia"/>
              </w:rPr>
              <w:t>北江第二支</w:t>
            </w:r>
          </w:p>
          <w:p w14:paraId="0F1EF4F2">
            <w:pPr>
              <w:pStyle w:val="12"/>
              <w:jc w:val="center"/>
            </w:pPr>
            <w:r>
              <w:rPr>
                <w:rFonts w:hint="eastAsia" w:ascii="宋体" w:hAnsi="宋体" w:cs="宋体"/>
              </w:rPr>
              <w:t>队警卫员</w:t>
            </w:r>
          </w:p>
        </w:tc>
        <w:tc>
          <w:tcPr>
            <w:tcW w:w="1162" w:type="pct"/>
            <w:vAlign w:val="center"/>
          </w:tcPr>
          <w:p w14:paraId="5D598FAF">
            <w:pPr>
              <w:pStyle w:val="12"/>
              <w:jc w:val="left"/>
            </w:pPr>
            <w:r>
              <w:rPr>
                <w:rFonts w:hint="eastAsia"/>
              </w:rPr>
              <w:t>1947年在江西高古山战斗牺牲</w:t>
            </w:r>
          </w:p>
        </w:tc>
      </w:tr>
      <w:tr w14:paraId="00CDD6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5C11A87">
            <w:pPr>
              <w:pStyle w:val="12"/>
              <w:jc w:val="center"/>
            </w:pPr>
            <w:r>
              <w:rPr>
                <w:rFonts w:hint="eastAsia"/>
              </w:rPr>
              <w:t>田达明</w:t>
            </w:r>
          </w:p>
        </w:tc>
        <w:tc>
          <w:tcPr>
            <w:tcW w:w="388" w:type="pct"/>
            <w:vAlign w:val="center"/>
          </w:tcPr>
          <w:p w14:paraId="0DE6B792">
            <w:pPr>
              <w:pStyle w:val="12"/>
              <w:jc w:val="center"/>
            </w:pPr>
            <w:r>
              <w:rPr>
                <w:rFonts w:hint="eastAsia"/>
              </w:rPr>
              <w:t>男</w:t>
            </w:r>
          </w:p>
        </w:tc>
        <w:tc>
          <w:tcPr>
            <w:tcW w:w="582" w:type="pct"/>
            <w:vAlign w:val="center"/>
          </w:tcPr>
          <w:p w14:paraId="4B6DC007">
            <w:pPr>
              <w:pStyle w:val="12"/>
              <w:jc w:val="center"/>
            </w:pPr>
            <w:r>
              <w:rPr>
                <w:rFonts w:hint="eastAsia"/>
              </w:rPr>
              <w:t>1927年</w:t>
            </w:r>
          </w:p>
        </w:tc>
        <w:tc>
          <w:tcPr>
            <w:tcW w:w="582" w:type="pct"/>
            <w:vAlign w:val="center"/>
          </w:tcPr>
          <w:p w14:paraId="4651CB8C">
            <w:pPr>
              <w:pStyle w:val="12"/>
              <w:jc w:val="center"/>
            </w:pPr>
            <w:r>
              <w:rPr>
                <w:rFonts w:hint="eastAsia"/>
              </w:rPr>
              <w:t>全安镇</w:t>
            </w:r>
          </w:p>
        </w:tc>
        <w:tc>
          <w:tcPr>
            <w:tcW w:w="582" w:type="pct"/>
            <w:vAlign w:val="center"/>
          </w:tcPr>
          <w:p w14:paraId="27A0F8B5">
            <w:pPr>
              <w:pStyle w:val="12"/>
              <w:jc w:val="center"/>
            </w:pPr>
            <w:r>
              <w:rPr>
                <w:rFonts w:hint="eastAsia"/>
              </w:rPr>
              <w:t>1947年3月</w:t>
            </w:r>
          </w:p>
        </w:tc>
        <w:tc>
          <w:tcPr>
            <w:tcW w:w="1066" w:type="pct"/>
            <w:vAlign w:val="center"/>
          </w:tcPr>
          <w:p w14:paraId="0958FF38">
            <w:pPr>
              <w:pStyle w:val="12"/>
              <w:jc w:val="center"/>
              <w:rPr>
                <w:rFonts w:ascii="宋体" w:hAnsi="宋体" w:cs="宋体"/>
              </w:rPr>
            </w:pPr>
            <w:r>
              <w:rPr>
                <w:rFonts w:hint="eastAsia"/>
              </w:rPr>
              <w:t>北江第二支</w:t>
            </w:r>
          </w:p>
          <w:p w14:paraId="2497C6A0">
            <w:pPr>
              <w:pStyle w:val="12"/>
              <w:jc w:val="center"/>
            </w:pPr>
            <w:r>
              <w:rPr>
                <w:rFonts w:hint="eastAsia" w:ascii="宋体" w:hAnsi="宋体" w:cs="宋体"/>
              </w:rPr>
              <w:t>队  队  员</w:t>
            </w:r>
          </w:p>
        </w:tc>
        <w:tc>
          <w:tcPr>
            <w:tcW w:w="1162" w:type="pct"/>
            <w:vAlign w:val="center"/>
          </w:tcPr>
          <w:p w14:paraId="4ACFC085">
            <w:pPr>
              <w:pStyle w:val="12"/>
              <w:jc w:val="left"/>
            </w:pPr>
            <w:r>
              <w:rPr>
                <w:rFonts w:hint="eastAsia"/>
              </w:rPr>
              <w:t>1947年在江西大余县杉村作战牺牲</w:t>
            </w:r>
          </w:p>
        </w:tc>
      </w:tr>
      <w:tr w14:paraId="6C6AFF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54719BB">
            <w:pPr>
              <w:pStyle w:val="12"/>
              <w:jc w:val="center"/>
            </w:pPr>
            <w:r>
              <w:rPr>
                <w:rFonts w:hint="eastAsia"/>
              </w:rPr>
              <w:t>邓功辛</w:t>
            </w:r>
          </w:p>
        </w:tc>
        <w:tc>
          <w:tcPr>
            <w:tcW w:w="388" w:type="pct"/>
            <w:vAlign w:val="center"/>
          </w:tcPr>
          <w:p w14:paraId="54EC1094">
            <w:pPr>
              <w:pStyle w:val="12"/>
              <w:jc w:val="center"/>
            </w:pPr>
            <w:r>
              <w:rPr>
                <w:rFonts w:hint="eastAsia"/>
              </w:rPr>
              <w:t>男</w:t>
            </w:r>
          </w:p>
        </w:tc>
        <w:tc>
          <w:tcPr>
            <w:tcW w:w="582" w:type="pct"/>
            <w:vAlign w:val="center"/>
          </w:tcPr>
          <w:p w14:paraId="784EE533">
            <w:pPr>
              <w:pStyle w:val="12"/>
              <w:jc w:val="center"/>
            </w:pPr>
            <w:r>
              <w:rPr>
                <w:rFonts w:hint="eastAsia"/>
              </w:rPr>
              <w:t>1923年</w:t>
            </w:r>
          </w:p>
        </w:tc>
        <w:tc>
          <w:tcPr>
            <w:tcW w:w="582" w:type="pct"/>
            <w:vAlign w:val="center"/>
          </w:tcPr>
          <w:p w14:paraId="116824AD">
            <w:pPr>
              <w:pStyle w:val="12"/>
              <w:jc w:val="center"/>
            </w:pPr>
            <w:r>
              <w:rPr>
                <w:rFonts w:hint="eastAsia"/>
              </w:rPr>
              <w:t>珠玑镇</w:t>
            </w:r>
          </w:p>
        </w:tc>
        <w:tc>
          <w:tcPr>
            <w:tcW w:w="582" w:type="pct"/>
            <w:vAlign w:val="center"/>
          </w:tcPr>
          <w:p w14:paraId="33E3F86D">
            <w:pPr>
              <w:pStyle w:val="12"/>
              <w:jc w:val="center"/>
            </w:pPr>
            <w:r>
              <w:rPr>
                <w:rFonts w:hint="eastAsia"/>
              </w:rPr>
              <w:t>1947年</w:t>
            </w:r>
          </w:p>
        </w:tc>
        <w:tc>
          <w:tcPr>
            <w:tcW w:w="1066" w:type="pct"/>
            <w:vAlign w:val="center"/>
          </w:tcPr>
          <w:p w14:paraId="6710FE9E">
            <w:pPr>
              <w:pStyle w:val="12"/>
              <w:jc w:val="center"/>
              <w:rPr>
                <w:rFonts w:ascii="宋体" w:hAnsi="宋体" w:cs="宋体"/>
              </w:rPr>
            </w:pPr>
            <w:r>
              <w:rPr>
                <w:rFonts w:hint="eastAsia"/>
              </w:rPr>
              <w:t>北江第二支</w:t>
            </w:r>
          </w:p>
          <w:p w14:paraId="443B4294">
            <w:pPr>
              <w:pStyle w:val="12"/>
              <w:jc w:val="center"/>
            </w:pPr>
            <w:r>
              <w:rPr>
                <w:rFonts w:hint="eastAsia" w:ascii="宋体" w:hAnsi="宋体" w:cs="宋体"/>
              </w:rPr>
              <w:t>队  队  员</w:t>
            </w:r>
          </w:p>
        </w:tc>
        <w:tc>
          <w:tcPr>
            <w:tcW w:w="1162" w:type="pct"/>
            <w:vAlign w:val="center"/>
          </w:tcPr>
          <w:p w14:paraId="592529F9">
            <w:pPr>
              <w:pStyle w:val="12"/>
              <w:jc w:val="left"/>
            </w:pPr>
            <w:r>
              <w:rPr>
                <w:rFonts w:hint="eastAsia"/>
              </w:rPr>
              <w:t>1947年在牛皮桥战斗负伤被捕，在城郊黄泥塘就义</w:t>
            </w:r>
          </w:p>
        </w:tc>
      </w:tr>
      <w:tr w14:paraId="28CD7F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2D3BFB7">
            <w:pPr>
              <w:pStyle w:val="12"/>
              <w:jc w:val="center"/>
            </w:pPr>
            <w:r>
              <w:rPr>
                <w:rFonts w:hint="eastAsia"/>
              </w:rPr>
              <w:t>何拔然</w:t>
            </w:r>
          </w:p>
        </w:tc>
        <w:tc>
          <w:tcPr>
            <w:tcW w:w="388" w:type="pct"/>
            <w:vAlign w:val="center"/>
          </w:tcPr>
          <w:p w14:paraId="46CE5528">
            <w:pPr>
              <w:pStyle w:val="12"/>
              <w:jc w:val="center"/>
            </w:pPr>
            <w:r>
              <w:rPr>
                <w:rFonts w:hint="eastAsia"/>
              </w:rPr>
              <w:t>男</w:t>
            </w:r>
          </w:p>
        </w:tc>
        <w:tc>
          <w:tcPr>
            <w:tcW w:w="582" w:type="pct"/>
            <w:vAlign w:val="center"/>
          </w:tcPr>
          <w:p w14:paraId="5B3AD686">
            <w:pPr>
              <w:pStyle w:val="12"/>
              <w:jc w:val="center"/>
            </w:pPr>
            <w:r>
              <w:rPr>
                <w:rFonts w:hint="eastAsia"/>
              </w:rPr>
              <w:t>1927年</w:t>
            </w:r>
          </w:p>
        </w:tc>
        <w:tc>
          <w:tcPr>
            <w:tcW w:w="582" w:type="pct"/>
            <w:vAlign w:val="center"/>
          </w:tcPr>
          <w:p w14:paraId="691AA645">
            <w:pPr>
              <w:pStyle w:val="12"/>
              <w:jc w:val="center"/>
            </w:pPr>
            <w:r>
              <w:rPr>
                <w:rFonts w:hint="eastAsia"/>
              </w:rPr>
              <w:t>水口镇</w:t>
            </w:r>
          </w:p>
        </w:tc>
        <w:tc>
          <w:tcPr>
            <w:tcW w:w="582" w:type="pct"/>
            <w:vAlign w:val="center"/>
          </w:tcPr>
          <w:p w14:paraId="7AA60947">
            <w:pPr>
              <w:pStyle w:val="12"/>
              <w:jc w:val="center"/>
            </w:pPr>
            <w:r>
              <w:rPr>
                <w:rFonts w:hint="eastAsia"/>
              </w:rPr>
              <w:t>1946年</w:t>
            </w:r>
          </w:p>
        </w:tc>
        <w:tc>
          <w:tcPr>
            <w:tcW w:w="1066" w:type="pct"/>
            <w:vAlign w:val="center"/>
          </w:tcPr>
          <w:p w14:paraId="750C5C4A">
            <w:pPr>
              <w:pStyle w:val="12"/>
              <w:jc w:val="center"/>
              <w:rPr>
                <w:rFonts w:ascii="宋体" w:hAnsi="宋体" w:cs="宋体"/>
              </w:rPr>
            </w:pPr>
            <w:r>
              <w:rPr>
                <w:rFonts w:hint="eastAsia"/>
              </w:rPr>
              <w:t>中国人民解</w:t>
            </w:r>
          </w:p>
          <w:p w14:paraId="3DAFC8B1">
            <w:pPr>
              <w:pStyle w:val="12"/>
              <w:jc w:val="center"/>
            </w:pPr>
            <w:r>
              <w:rPr>
                <w:rFonts w:hint="eastAsia" w:ascii="宋体" w:hAnsi="宋体" w:cs="宋体"/>
              </w:rPr>
              <w:t>放军战士</w:t>
            </w:r>
          </w:p>
        </w:tc>
        <w:tc>
          <w:tcPr>
            <w:tcW w:w="1162" w:type="pct"/>
            <w:vAlign w:val="center"/>
          </w:tcPr>
          <w:p w14:paraId="29D8AA47">
            <w:pPr>
              <w:pStyle w:val="12"/>
              <w:jc w:val="left"/>
            </w:pPr>
            <w:r>
              <w:rPr>
                <w:rFonts w:hint="eastAsia"/>
              </w:rPr>
              <w:t>1947年在湖南渡江牺牲</w:t>
            </w:r>
          </w:p>
        </w:tc>
      </w:tr>
      <w:tr w14:paraId="2E981D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6EAFB62">
            <w:pPr>
              <w:pStyle w:val="12"/>
              <w:jc w:val="center"/>
            </w:pPr>
            <w:r>
              <w:rPr>
                <w:rFonts w:hint="eastAsia"/>
              </w:rPr>
              <w:t>叶青槐</w:t>
            </w:r>
          </w:p>
        </w:tc>
        <w:tc>
          <w:tcPr>
            <w:tcW w:w="388" w:type="pct"/>
            <w:vAlign w:val="center"/>
          </w:tcPr>
          <w:p w14:paraId="03F6579A">
            <w:pPr>
              <w:pStyle w:val="12"/>
              <w:jc w:val="center"/>
            </w:pPr>
            <w:r>
              <w:rPr>
                <w:rFonts w:hint="eastAsia"/>
              </w:rPr>
              <w:t>男</w:t>
            </w:r>
          </w:p>
        </w:tc>
        <w:tc>
          <w:tcPr>
            <w:tcW w:w="582" w:type="pct"/>
            <w:vAlign w:val="center"/>
          </w:tcPr>
          <w:p w14:paraId="225E2111">
            <w:pPr>
              <w:pStyle w:val="12"/>
              <w:jc w:val="center"/>
            </w:pPr>
            <w:r>
              <w:rPr>
                <w:rFonts w:hint="eastAsia"/>
              </w:rPr>
              <w:t>1907年</w:t>
            </w:r>
          </w:p>
        </w:tc>
        <w:tc>
          <w:tcPr>
            <w:tcW w:w="582" w:type="pct"/>
            <w:vAlign w:val="center"/>
          </w:tcPr>
          <w:p w14:paraId="66B9AD0B">
            <w:pPr>
              <w:pStyle w:val="12"/>
              <w:jc w:val="center"/>
            </w:pPr>
            <w:r>
              <w:rPr>
                <w:rFonts w:hint="eastAsia"/>
              </w:rPr>
              <w:t>澜河镇</w:t>
            </w:r>
          </w:p>
        </w:tc>
        <w:tc>
          <w:tcPr>
            <w:tcW w:w="582" w:type="pct"/>
            <w:vAlign w:val="center"/>
          </w:tcPr>
          <w:p w14:paraId="258C32BA">
            <w:pPr>
              <w:pStyle w:val="12"/>
              <w:jc w:val="center"/>
            </w:pPr>
            <w:r>
              <w:rPr>
                <w:rFonts w:hint="eastAsia"/>
              </w:rPr>
              <w:t>1947年</w:t>
            </w:r>
          </w:p>
        </w:tc>
        <w:tc>
          <w:tcPr>
            <w:tcW w:w="1066" w:type="pct"/>
            <w:vAlign w:val="center"/>
          </w:tcPr>
          <w:p w14:paraId="3085A1AA">
            <w:pPr>
              <w:pStyle w:val="12"/>
              <w:jc w:val="center"/>
              <w:rPr>
                <w:rFonts w:ascii="宋体" w:hAnsi="宋体" w:cs="宋体"/>
              </w:rPr>
            </w:pPr>
            <w:r>
              <w:rPr>
                <w:rFonts w:hint="eastAsia"/>
              </w:rPr>
              <w:t>北江第二支</w:t>
            </w:r>
          </w:p>
          <w:p w14:paraId="608D7EE4">
            <w:pPr>
              <w:pStyle w:val="12"/>
              <w:jc w:val="center"/>
            </w:pPr>
            <w:r>
              <w:rPr>
                <w:rFonts w:hint="eastAsia" w:ascii="宋体" w:hAnsi="宋体" w:cs="宋体"/>
              </w:rPr>
              <w:t>队  队  员</w:t>
            </w:r>
          </w:p>
        </w:tc>
        <w:tc>
          <w:tcPr>
            <w:tcW w:w="1162" w:type="pct"/>
            <w:vAlign w:val="center"/>
          </w:tcPr>
          <w:p w14:paraId="5F23436E">
            <w:pPr>
              <w:pStyle w:val="12"/>
              <w:jc w:val="left"/>
            </w:pPr>
            <w:r>
              <w:rPr>
                <w:rFonts w:hint="eastAsia"/>
              </w:rPr>
              <w:t>1947年10月在澜河被捕就义</w:t>
            </w:r>
          </w:p>
        </w:tc>
      </w:tr>
      <w:tr w14:paraId="6E1725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466FECC">
            <w:pPr>
              <w:pStyle w:val="12"/>
              <w:jc w:val="center"/>
            </w:pPr>
            <w:r>
              <w:rPr>
                <w:rFonts w:hint="eastAsia"/>
              </w:rPr>
              <w:t>朱祖发</w:t>
            </w:r>
            <w:r>
              <w:rPr>
                <w:rFonts w:hint="eastAsia" w:ascii="宋体" w:hAnsi="宋体" w:cs="宋体"/>
              </w:rPr>
              <w:t>（文标）</w:t>
            </w:r>
          </w:p>
        </w:tc>
        <w:tc>
          <w:tcPr>
            <w:tcW w:w="388" w:type="pct"/>
            <w:vAlign w:val="center"/>
          </w:tcPr>
          <w:p w14:paraId="64B151DD">
            <w:pPr>
              <w:pStyle w:val="12"/>
              <w:jc w:val="center"/>
            </w:pPr>
            <w:r>
              <w:rPr>
                <w:rFonts w:hint="eastAsia"/>
              </w:rPr>
              <w:t>男</w:t>
            </w:r>
          </w:p>
        </w:tc>
        <w:tc>
          <w:tcPr>
            <w:tcW w:w="582" w:type="pct"/>
            <w:vAlign w:val="center"/>
          </w:tcPr>
          <w:p w14:paraId="1804D0D4">
            <w:pPr>
              <w:pStyle w:val="12"/>
              <w:jc w:val="center"/>
            </w:pPr>
            <w:r>
              <w:rPr>
                <w:rFonts w:hint="eastAsia"/>
              </w:rPr>
              <w:t>1914年</w:t>
            </w:r>
          </w:p>
        </w:tc>
        <w:tc>
          <w:tcPr>
            <w:tcW w:w="582" w:type="pct"/>
            <w:vAlign w:val="center"/>
          </w:tcPr>
          <w:p w14:paraId="1B56EDD9">
            <w:pPr>
              <w:pStyle w:val="12"/>
              <w:jc w:val="center"/>
            </w:pPr>
            <w:r>
              <w:rPr>
                <w:rFonts w:hint="eastAsia"/>
              </w:rPr>
              <w:t>澜河镇</w:t>
            </w:r>
          </w:p>
        </w:tc>
        <w:tc>
          <w:tcPr>
            <w:tcW w:w="582" w:type="pct"/>
            <w:vAlign w:val="center"/>
          </w:tcPr>
          <w:p w14:paraId="17EDCF97">
            <w:pPr>
              <w:pStyle w:val="12"/>
              <w:jc w:val="center"/>
            </w:pPr>
            <w:r>
              <w:rPr>
                <w:rFonts w:hint="eastAsia"/>
              </w:rPr>
              <w:t>1946年</w:t>
            </w:r>
          </w:p>
        </w:tc>
        <w:tc>
          <w:tcPr>
            <w:tcW w:w="1066" w:type="pct"/>
            <w:vAlign w:val="center"/>
          </w:tcPr>
          <w:p w14:paraId="7402FB4D">
            <w:pPr>
              <w:pStyle w:val="12"/>
              <w:jc w:val="center"/>
              <w:rPr>
                <w:rFonts w:ascii="宋体" w:hAnsi="宋体" w:cs="宋体"/>
              </w:rPr>
            </w:pPr>
            <w:r>
              <w:rPr>
                <w:rFonts w:hint="eastAsia"/>
              </w:rPr>
              <w:t>北江第二支</w:t>
            </w:r>
          </w:p>
          <w:p w14:paraId="6B24D837">
            <w:pPr>
              <w:pStyle w:val="12"/>
              <w:jc w:val="center"/>
            </w:pPr>
            <w:r>
              <w:rPr>
                <w:rFonts w:hint="eastAsia" w:ascii="宋体" w:hAnsi="宋体" w:cs="宋体"/>
              </w:rPr>
              <w:t>队  队  员</w:t>
            </w:r>
          </w:p>
        </w:tc>
        <w:tc>
          <w:tcPr>
            <w:tcW w:w="1162" w:type="pct"/>
            <w:vAlign w:val="center"/>
          </w:tcPr>
          <w:p w14:paraId="17044BE1">
            <w:pPr>
              <w:pStyle w:val="12"/>
              <w:jc w:val="left"/>
            </w:pPr>
            <w:r>
              <w:rPr>
                <w:rFonts w:hint="eastAsia"/>
              </w:rPr>
              <w:t>1947年在富竹被捕就义</w:t>
            </w:r>
          </w:p>
        </w:tc>
      </w:tr>
      <w:tr w14:paraId="4030A1C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BB863FB">
            <w:pPr>
              <w:pStyle w:val="12"/>
              <w:jc w:val="center"/>
            </w:pPr>
            <w:r>
              <w:rPr>
                <w:rFonts w:hint="eastAsia"/>
              </w:rPr>
              <w:t>李运仔</w:t>
            </w:r>
          </w:p>
        </w:tc>
        <w:tc>
          <w:tcPr>
            <w:tcW w:w="388" w:type="pct"/>
            <w:vAlign w:val="center"/>
          </w:tcPr>
          <w:p w14:paraId="193F89A6">
            <w:pPr>
              <w:pStyle w:val="12"/>
              <w:jc w:val="center"/>
            </w:pPr>
            <w:r>
              <w:rPr>
                <w:rFonts w:hint="eastAsia"/>
              </w:rPr>
              <w:t>男</w:t>
            </w:r>
          </w:p>
        </w:tc>
        <w:tc>
          <w:tcPr>
            <w:tcW w:w="582" w:type="pct"/>
            <w:vAlign w:val="center"/>
          </w:tcPr>
          <w:p w14:paraId="612BBDDE">
            <w:pPr>
              <w:pStyle w:val="12"/>
              <w:jc w:val="center"/>
            </w:pPr>
            <w:r>
              <w:rPr>
                <w:rFonts w:hint="eastAsia"/>
              </w:rPr>
              <w:t>1919年</w:t>
            </w:r>
          </w:p>
        </w:tc>
        <w:tc>
          <w:tcPr>
            <w:tcW w:w="582" w:type="pct"/>
            <w:vAlign w:val="center"/>
          </w:tcPr>
          <w:p w14:paraId="40E0AF98">
            <w:pPr>
              <w:pStyle w:val="12"/>
              <w:jc w:val="center"/>
            </w:pPr>
            <w:r>
              <w:rPr>
                <w:rFonts w:hint="eastAsia"/>
              </w:rPr>
              <w:t>澜河镇</w:t>
            </w:r>
          </w:p>
        </w:tc>
        <w:tc>
          <w:tcPr>
            <w:tcW w:w="582" w:type="pct"/>
            <w:vAlign w:val="center"/>
          </w:tcPr>
          <w:p w14:paraId="5D8C1192">
            <w:pPr>
              <w:pStyle w:val="12"/>
              <w:jc w:val="center"/>
            </w:pPr>
            <w:r>
              <w:rPr>
                <w:rFonts w:hint="eastAsia"/>
              </w:rPr>
              <w:t>1945年</w:t>
            </w:r>
          </w:p>
        </w:tc>
        <w:tc>
          <w:tcPr>
            <w:tcW w:w="1066" w:type="pct"/>
            <w:vAlign w:val="center"/>
          </w:tcPr>
          <w:p w14:paraId="20368B65">
            <w:pPr>
              <w:pStyle w:val="12"/>
              <w:jc w:val="center"/>
              <w:rPr>
                <w:rFonts w:ascii="宋体" w:hAnsi="宋体" w:cs="宋体"/>
              </w:rPr>
            </w:pPr>
            <w:r>
              <w:rPr>
                <w:rFonts w:hint="eastAsia"/>
              </w:rPr>
              <w:t>北江第二支</w:t>
            </w:r>
          </w:p>
          <w:p w14:paraId="41EA5C45">
            <w:pPr>
              <w:pStyle w:val="12"/>
              <w:jc w:val="center"/>
            </w:pPr>
            <w:r>
              <w:rPr>
                <w:rFonts w:hint="eastAsia" w:ascii="宋体" w:hAnsi="宋体" w:cs="宋体"/>
              </w:rPr>
              <w:t>队  队  员</w:t>
            </w:r>
          </w:p>
        </w:tc>
        <w:tc>
          <w:tcPr>
            <w:tcW w:w="1162" w:type="pct"/>
            <w:vAlign w:val="center"/>
          </w:tcPr>
          <w:p w14:paraId="3A508489">
            <w:pPr>
              <w:pStyle w:val="12"/>
              <w:jc w:val="left"/>
            </w:pPr>
            <w:r>
              <w:rPr>
                <w:rFonts w:hint="eastAsia"/>
              </w:rPr>
              <w:t>1947年在大坪被捕就义</w:t>
            </w:r>
          </w:p>
        </w:tc>
      </w:tr>
      <w:tr w14:paraId="0BD722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03E247D">
            <w:pPr>
              <w:pStyle w:val="12"/>
              <w:jc w:val="center"/>
            </w:pPr>
            <w:r>
              <w:rPr>
                <w:rFonts w:hint="eastAsia"/>
              </w:rPr>
              <w:t>董地仓</w:t>
            </w:r>
          </w:p>
        </w:tc>
        <w:tc>
          <w:tcPr>
            <w:tcW w:w="388" w:type="pct"/>
            <w:vAlign w:val="center"/>
          </w:tcPr>
          <w:p w14:paraId="63457E25">
            <w:pPr>
              <w:pStyle w:val="12"/>
              <w:jc w:val="center"/>
            </w:pPr>
            <w:r>
              <w:rPr>
                <w:rFonts w:hint="eastAsia"/>
              </w:rPr>
              <w:t>男</w:t>
            </w:r>
          </w:p>
        </w:tc>
        <w:tc>
          <w:tcPr>
            <w:tcW w:w="582" w:type="pct"/>
            <w:vAlign w:val="center"/>
          </w:tcPr>
          <w:p w14:paraId="21CAC7C1">
            <w:pPr>
              <w:pStyle w:val="12"/>
              <w:jc w:val="center"/>
            </w:pPr>
            <w:r>
              <w:rPr>
                <w:rFonts w:hint="eastAsia"/>
              </w:rPr>
              <w:t>1927年</w:t>
            </w:r>
          </w:p>
        </w:tc>
        <w:tc>
          <w:tcPr>
            <w:tcW w:w="582" w:type="pct"/>
            <w:vAlign w:val="center"/>
          </w:tcPr>
          <w:p w14:paraId="60AE8EBE">
            <w:pPr>
              <w:pStyle w:val="12"/>
              <w:jc w:val="center"/>
            </w:pPr>
            <w:r>
              <w:rPr>
                <w:rFonts w:hint="eastAsia"/>
              </w:rPr>
              <w:t>乌迳镇</w:t>
            </w:r>
          </w:p>
        </w:tc>
        <w:tc>
          <w:tcPr>
            <w:tcW w:w="582" w:type="pct"/>
            <w:vAlign w:val="center"/>
          </w:tcPr>
          <w:p w14:paraId="4A77A094">
            <w:pPr>
              <w:pStyle w:val="12"/>
              <w:jc w:val="center"/>
            </w:pPr>
            <w:r>
              <w:rPr>
                <w:rFonts w:hint="eastAsia"/>
              </w:rPr>
              <w:t>1945年</w:t>
            </w:r>
          </w:p>
        </w:tc>
        <w:tc>
          <w:tcPr>
            <w:tcW w:w="1066" w:type="pct"/>
            <w:vAlign w:val="center"/>
          </w:tcPr>
          <w:p w14:paraId="4CCD5512">
            <w:pPr>
              <w:pStyle w:val="12"/>
              <w:jc w:val="center"/>
              <w:rPr>
                <w:rFonts w:ascii="宋体" w:hAnsi="宋体" w:cs="宋体"/>
              </w:rPr>
            </w:pPr>
            <w:r>
              <w:rPr>
                <w:rFonts w:hint="eastAsia"/>
              </w:rPr>
              <w:t>北江第二支</w:t>
            </w:r>
          </w:p>
          <w:p w14:paraId="0175FA34">
            <w:pPr>
              <w:pStyle w:val="12"/>
              <w:jc w:val="center"/>
            </w:pPr>
            <w:r>
              <w:rPr>
                <w:rFonts w:hint="eastAsia" w:ascii="宋体" w:hAnsi="宋体" w:cs="宋体"/>
              </w:rPr>
              <w:t>队  队  员</w:t>
            </w:r>
          </w:p>
        </w:tc>
        <w:tc>
          <w:tcPr>
            <w:tcW w:w="1162" w:type="pct"/>
            <w:vAlign w:val="center"/>
          </w:tcPr>
          <w:p w14:paraId="47C74BD8">
            <w:pPr>
              <w:pStyle w:val="12"/>
              <w:jc w:val="left"/>
            </w:pPr>
            <w:r>
              <w:rPr>
                <w:rFonts w:hint="eastAsia"/>
              </w:rPr>
              <w:t>1947年在大余县被捕就义</w:t>
            </w:r>
          </w:p>
        </w:tc>
      </w:tr>
      <w:tr w14:paraId="063446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A0EBE41">
            <w:pPr>
              <w:pStyle w:val="12"/>
              <w:jc w:val="center"/>
            </w:pPr>
            <w:r>
              <w:rPr>
                <w:rFonts w:hint="eastAsia"/>
              </w:rPr>
              <w:t>邓功光</w:t>
            </w:r>
          </w:p>
        </w:tc>
        <w:tc>
          <w:tcPr>
            <w:tcW w:w="388" w:type="pct"/>
            <w:vAlign w:val="center"/>
          </w:tcPr>
          <w:p w14:paraId="12BE1041">
            <w:pPr>
              <w:pStyle w:val="12"/>
              <w:jc w:val="center"/>
            </w:pPr>
            <w:r>
              <w:rPr>
                <w:rFonts w:hint="eastAsia"/>
              </w:rPr>
              <w:t>男</w:t>
            </w:r>
          </w:p>
        </w:tc>
        <w:tc>
          <w:tcPr>
            <w:tcW w:w="582" w:type="pct"/>
            <w:vAlign w:val="center"/>
          </w:tcPr>
          <w:p w14:paraId="79F741FF">
            <w:pPr>
              <w:pStyle w:val="12"/>
              <w:jc w:val="center"/>
            </w:pPr>
            <w:r>
              <w:rPr>
                <w:rFonts w:hint="eastAsia"/>
              </w:rPr>
              <w:t>1926年</w:t>
            </w:r>
          </w:p>
        </w:tc>
        <w:tc>
          <w:tcPr>
            <w:tcW w:w="582" w:type="pct"/>
            <w:vAlign w:val="center"/>
          </w:tcPr>
          <w:p w14:paraId="25EC3E46">
            <w:pPr>
              <w:pStyle w:val="12"/>
              <w:jc w:val="center"/>
            </w:pPr>
            <w:r>
              <w:rPr>
                <w:rFonts w:hint="eastAsia"/>
              </w:rPr>
              <w:t>邓坊镇</w:t>
            </w:r>
          </w:p>
        </w:tc>
        <w:tc>
          <w:tcPr>
            <w:tcW w:w="582" w:type="pct"/>
            <w:vAlign w:val="center"/>
          </w:tcPr>
          <w:p w14:paraId="4E931660">
            <w:pPr>
              <w:pStyle w:val="12"/>
              <w:jc w:val="center"/>
            </w:pPr>
            <w:r>
              <w:rPr>
                <w:rFonts w:hint="eastAsia"/>
              </w:rPr>
              <w:t>1947年</w:t>
            </w:r>
          </w:p>
        </w:tc>
        <w:tc>
          <w:tcPr>
            <w:tcW w:w="1066" w:type="pct"/>
            <w:vAlign w:val="center"/>
          </w:tcPr>
          <w:p w14:paraId="1957D813">
            <w:pPr>
              <w:pStyle w:val="12"/>
              <w:jc w:val="center"/>
              <w:rPr>
                <w:rFonts w:ascii="宋体" w:hAnsi="宋体" w:cs="宋体"/>
              </w:rPr>
            </w:pPr>
            <w:r>
              <w:rPr>
                <w:rFonts w:hint="eastAsia"/>
              </w:rPr>
              <w:t>北江第二支</w:t>
            </w:r>
          </w:p>
          <w:p w14:paraId="612335A4">
            <w:pPr>
              <w:pStyle w:val="12"/>
              <w:jc w:val="center"/>
            </w:pPr>
            <w:r>
              <w:rPr>
                <w:rFonts w:hint="eastAsia" w:ascii="宋体" w:hAnsi="宋体" w:cs="宋体"/>
              </w:rPr>
              <w:t>队  队  员</w:t>
            </w:r>
          </w:p>
        </w:tc>
        <w:tc>
          <w:tcPr>
            <w:tcW w:w="1162" w:type="pct"/>
            <w:vAlign w:val="center"/>
          </w:tcPr>
          <w:p w14:paraId="5B7CC5AD">
            <w:pPr>
              <w:pStyle w:val="12"/>
              <w:jc w:val="left"/>
            </w:pPr>
            <w:r>
              <w:rPr>
                <w:rFonts w:hint="eastAsia"/>
              </w:rPr>
              <w:t>1947年12月在古城迳战斗牺牲</w:t>
            </w:r>
          </w:p>
        </w:tc>
      </w:tr>
      <w:tr w14:paraId="673572D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03D097C">
            <w:pPr>
              <w:pStyle w:val="12"/>
              <w:jc w:val="center"/>
            </w:pPr>
            <w:r>
              <w:rPr>
                <w:rFonts w:hint="eastAsia"/>
              </w:rPr>
              <w:t>欧阳荣八</w:t>
            </w:r>
          </w:p>
        </w:tc>
        <w:tc>
          <w:tcPr>
            <w:tcW w:w="388" w:type="pct"/>
            <w:vAlign w:val="center"/>
          </w:tcPr>
          <w:p w14:paraId="7E2D3CC7">
            <w:pPr>
              <w:pStyle w:val="12"/>
              <w:jc w:val="center"/>
            </w:pPr>
            <w:r>
              <w:rPr>
                <w:rFonts w:hint="eastAsia"/>
              </w:rPr>
              <w:t>男</w:t>
            </w:r>
          </w:p>
        </w:tc>
        <w:tc>
          <w:tcPr>
            <w:tcW w:w="582" w:type="pct"/>
            <w:vAlign w:val="center"/>
          </w:tcPr>
          <w:p w14:paraId="16C334A9">
            <w:pPr>
              <w:pStyle w:val="12"/>
              <w:jc w:val="center"/>
            </w:pPr>
            <w:r>
              <w:rPr>
                <w:rFonts w:hint="eastAsia"/>
              </w:rPr>
              <w:t>1920年</w:t>
            </w:r>
          </w:p>
        </w:tc>
        <w:tc>
          <w:tcPr>
            <w:tcW w:w="582" w:type="pct"/>
            <w:vAlign w:val="center"/>
          </w:tcPr>
          <w:p w14:paraId="11555E19">
            <w:pPr>
              <w:pStyle w:val="12"/>
              <w:jc w:val="center"/>
            </w:pPr>
            <w:r>
              <w:rPr>
                <w:rFonts w:hint="eastAsia"/>
              </w:rPr>
              <w:t>水口镇</w:t>
            </w:r>
          </w:p>
        </w:tc>
        <w:tc>
          <w:tcPr>
            <w:tcW w:w="582" w:type="pct"/>
            <w:vAlign w:val="center"/>
          </w:tcPr>
          <w:p w14:paraId="353ADAD7">
            <w:pPr>
              <w:pStyle w:val="12"/>
              <w:jc w:val="center"/>
            </w:pPr>
            <w:r>
              <w:rPr>
                <w:rFonts w:hint="eastAsia"/>
              </w:rPr>
              <w:t>1947年</w:t>
            </w:r>
          </w:p>
        </w:tc>
        <w:tc>
          <w:tcPr>
            <w:tcW w:w="1066" w:type="pct"/>
            <w:vAlign w:val="center"/>
          </w:tcPr>
          <w:p w14:paraId="5BBCD78A">
            <w:pPr>
              <w:pStyle w:val="12"/>
              <w:jc w:val="center"/>
              <w:rPr>
                <w:rFonts w:ascii="宋体" w:hAnsi="宋体" w:cs="宋体"/>
              </w:rPr>
            </w:pPr>
            <w:r>
              <w:rPr>
                <w:rFonts w:hint="eastAsia"/>
              </w:rPr>
              <w:t>北江第二支</w:t>
            </w:r>
          </w:p>
          <w:p w14:paraId="3B58E4EC">
            <w:pPr>
              <w:pStyle w:val="12"/>
              <w:jc w:val="center"/>
            </w:pPr>
            <w:r>
              <w:rPr>
                <w:rFonts w:hint="eastAsia" w:ascii="宋体" w:hAnsi="宋体" w:cs="宋体"/>
              </w:rPr>
              <w:t>交通站站长</w:t>
            </w:r>
          </w:p>
        </w:tc>
        <w:tc>
          <w:tcPr>
            <w:tcW w:w="1162" w:type="pct"/>
            <w:vAlign w:val="center"/>
          </w:tcPr>
          <w:p w14:paraId="4F27A53B">
            <w:pPr>
              <w:pStyle w:val="12"/>
              <w:jc w:val="left"/>
            </w:pPr>
            <w:r>
              <w:rPr>
                <w:rFonts w:hint="eastAsia"/>
              </w:rPr>
              <w:t>1947年8月在南亩中岭被捕就义</w:t>
            </w:r>
          </w:p>
        </w:tc>
      </w:tr>
      <w:tr w14:paraId="41D036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2C2BF52">
            <w:pPr>
              <w:pStyle w:val="12"/>
              <w:jc w:val="center"/>
            </w:pPr>
            <w:r>
              <w:rPr>
                <w:rFonts w:hint="eastAsia"/>
              </w:rPr>
              <w:t>周金发</w:t>
            </w:r>
          </w:p>
        </w:tc>
        <w:tc>
          <w:tcPr>
            <w:tcW w:w="388" w:type="pct"/>
            <w:vAlign w:val="center"/>
          </w:tcPr>
          <w:p w14:paraId="62099490">
            <w:pPr>
              <w:pStyle w:val="12"/>
              <w:jc w:val="center"/>
            </w:pPr>
            <w:r>
              <w:rPr>
                <w:rFonts w:hint="eastAsia"/>
              </w:rPr>
              <w:t>男</w:t>
            </w:r>
          </w:p>
        </w:tc>
        <w:tc>
          <w:tcPr>
            <w:tcW w:w="582" w:type="pct"/>
            <w:vAlign w:val="center"/>
          </w:tcPr>
          <w:p w14:paraId="0CCCBEB8">
            <w:pPr>
              <w:pStyle w:val="12"/>
              <w:jc w:val="center"/>
            </w:pPr>
            <w:r>
              <w:rPr>
                <w:rFonts w:hint="eastAsia"/>
              </w:rPr>
              <w:t>1931年</w:t>
            </w:r>
          </w:p>
        </w:tc>
        <w:tc>
          <w:tcPr>
            <w:tcW w:w="582" w:type="pct"/>
            <w:vAlign w:val="center"/>
          </w:tcPr>
          <w:p w14:paraId="2036BFAE">
            <w:pPr>
              <w:pStyle w:val="12"/>
              <w:jc w:val="center"/>
            </w:pPr>
            <w:r>
              <w:rPr>
                <w:rFonts w:hint="eastAsia"/>
              </w:rPr>
              <w:t>雄州镇</w:t>
            </w:r>
          </w:p>
        </w:tc>
        <w:tc>
          <w:tcPr>
            <w:tcW w:w="582" w:type="pct"/>
            <w:vAlign w:val="center"/>
          </w:tcPr>
          <w:p w14:paraId="1BDA8AE0">
            <w:pPr>
              <w:pStyle w:val="12"/>
              <w:jc w:val="center"/>
            </w:pPr>
            <w:r>
              <w:rPr>
                <w:rFonts w:hint="eastAsia"/>
              </w:rPr>
              <w:t>1946年</w:t>
            </w:r>
          </w:p>
        </w:tc>
        <w:tc>
          <w:tcPr>
            <w:tcW w:w="1066" w:type="pct"/>
            <w:vAlign w:val="center"/>
          </w:tcPr>
          <w:p w14:paraId="42B4B2C8">
            <w:pPr>
              <w:pStyle w:val="12"/>
              <w:jc w:val="center"/>
              <w:rPr>
                <w:rFonts w:ascii="宋体" w:hAnsi="宋体" w:cs="宋体"/>
              </w:rPr>
            </w:pPr>
            <w:r>
              <w:rPr>
                <w:rFonts w:hint="eastAsia"/>
              </w:rPr>
              <w:t>北江第二支</w:t>
            </w:r>
          </w:p>
          <w:p w14:paraId="175BE007">
            <w:pPr>
              <w:pStyle w:val="12"/>
              <w:jc w:val="center"/>
            </w:pPr>
            <w:r>
              <w:rPr>
                <w:rFonts w:hint="eastAsia" w:ascii="宋体" w:hAnsi="宋体" w:cs="宋体"/>
              </w:rPr>
              <w:t>队  队  员</w:t>
            </w:r>
          </w:p>
        </w:tc>
        <w:tc>
          <w:tcPr>
            <w:tcW w:w="1162" w:type="pct"/>
            <w:vAlign w:val="center"/>
          </w:tcPr>
          <w:p w14:paraId="7E4475F1">
            <w:pPr>
              <w:pStyle w:val="12"/>
              <w:jc w:val="left"/>
            </w:pPr>
            <w:r>
              <w:rPr>
                <w:rFonts w:hint="eastAsia"/>
              </w:rPr>
              <w:t>1947年在邓坊杨梅作战牺牲</w:t>
            </w:r>
          </w:p>
        </w:tc>
      </w:tr>
      <w:tr w14:paraId="0D7A3E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3D8119F">
            <w:pPr>
              <w:pStyle w:val="12"/>
              <w:jc w:val="center"/>
            </w:pPr>
            <w:r>
              <w:rPr>
                <w:rFonts w:hint="eastAsia"/>
              </w:rPr>
              <w:t>麦才升</w:t>
            </w:r>
          </w:p>
        </w:tc>
        <w:tc>
          <w:tcPr>
            <w:tcW w:w="388" w:type="pct"/>
            <w:vAlign w:val="center"/>
          </w:tcPr>
          <w:p w14:paraId="057121D7">
            <w:pPr>
              <w:pStyle w:val="12"/>
              <w:jc w:val="center"/>
            </w:pPr>
            <w:r>
              <w:rPr>
                <w:rFonts w:hint="eastAsia"/>
              </w:rPr>
              <w:t>男</w:t>
            </w:r>
          </w:p>
        </w:tc>
        <w:tc>
          <w:tcPr>
            <w:tcW w:w="582" w:type="pct"/>
            <w:vAlign w:val="center"/>
          </w:tcPr>
          <w:p w14:paraId="474B9F50">
            <w:pPr>
              <w:pStyle w:val="12"/>
              <w:jc w:val="center"/>
            </w:pPr>
            <w:r>
              <w:rPr>
                <w:rFonts w:hint="eastAsia"/>
              </w:rPr>
              <w:t>1913年</w:t>
            </w:r>
          </w:p>
        </w:tc>
        <w:tc>
          <w:tcPr>
            <w:tcW w:w="582" w:type="pct"/>
            <w:vAlign w:val="center"/>
          </w:tcPr>
          <w:p w14:paraId="5E4047F0">
            <w:pPr>
              <w:pStyle w:val="12"/>
              <w:jc w:val="center"/>
            </w:pPr>
            <w:r>
              <w:rPr>
                <w:rFonts w:hint="eastAsia"/>
              </w:rPr>
              <w:t>百顺镇</w:t>
            </w:r>
          </w:p>
        </w:tc>
        <w:tc>
          <w:tcPr>
            <w:tcW w:w="582" w:type="pct"/>
            <w:vAlign w:val="center"/>
          </w:tcPr>
          <w:p w14:paraId="1252C89B">
            <w:pPr>
              <w:pStyle w:val="12"/>
              <w:jc w:val="center"/>
            </w:pPr>
            <w:r>
              <w:rPr>
                <w:rFonts w:hint="eastAsia"/>
              </w:rPr>
              <w:t>1947年</w:t>
            </w:r>
          </w:p>
        </w:tc>
        <w:tc>
          <w:tcPr>
            <w:tcW w:w="1066" w:type="pct"/>
            <w:vAlign w:val="center"/>
          </w:tcPr>
          <w:p w14:paraId="71D5C9C7">
            <w:pPr>
              <w:pStyle w:val="12"/>
              <w:jc w:val="center"/>
              <w:rPr>
                <w:rFonts w:ascii="宋体" w:hAnsi="宋体" w:cs="宋体"/>
              </w:rPr>
            </w:pPr>
            <w:r>
              <w:rPr>
                <w:rFonts w:hint="eastAsia"/>
              </w:rPr>
              <w:t>北江第二支</w:t>
            </w:r>
          </w:p>
          <w:p w14:paraId="0CB6E1B0">
            <w:pPr>
              <w:pStyle w:val="12"/>
              <w:jc w:val="center"/>
            </w:pPr>
            <w:r>
              <w:rPr>
                <w:rFonts w:hint="eastAsia" w:ascii="宋体" w:hAnsi="宋体" w:cs="宋体"/>
              </w:rPr>
              <w:t>队司务长</w:t>
            </w:r>
          </w:p>
        </w:tc>
        <w:tc>
          <w:tcPr>
            <w:tcW w:w="1162" w:type="pct"/>
            <w:vAlign w:val="center"/>
          </w:tcPr>
          <w:p w14:paraId="6558BDD0">
            <w:pPr>
              <w:pStyle w:val="12"/>
              <w:jc w:val="left"/>
            </w:pPr>
            <w:r>
              <w:rPr>
                <w:rFonts w:hint="eastAsia"/>
              </w:rPr>
              <w:t>1948年底在百顺朱安塘被捕就义</w:t>
            </w:r>
          </w:p>
        </w:tc>
      </w:tr>
      <w:tr w14:paraId="13AB784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D1C4CA8">
            <w:pPr>
              <w:pStyle w:val="12"/>
              <w:jc w:val="center"/>
            </w:pPr>
            <w:r>
              <w:rPr>
                <w:rFonts w:hint="eastAsia"/>
              </w:rPr>
              <w:t>刘启荣</w:t>
            </w:r>
          </w:p>
        </w:tc>
        <w:tc>
          <w:tcPr>
            <w:tcW w:w="388" w:type="pct"/>
            <w:vAlign w:val="center"/>
          </w:tcPr>
          <w:p w14:paraId="4D7609B0">
            <w:pPr>
              <w:pStyle w:val="12"/>
              <w:jc w:val="center"/>
            </w:pPr>
            <w:r>
              <w:rPr>
                <w:rFonts w:hint="eastAsia"/>
              </w:rPr>
              <w:t>男</w:t>
            </w:r>
          </w:p>
        </w:tc>
        <w:tc>
          <w:tcPr>
            <w:tcW w:w="582" w:type="pct"/>
            <w:vAlign w:val="center"/>
          </w:tcPr>
          <w:p w14:paraId="53B3F45C">
            <w:pPr>
              <w:pStyle w:val="12"/>
              <w:jc w:val="center"/>
            </w:pPr>
            <w:r>
              <w:rPr>
                <w:rFonts w:hint="eastAsia"/>
              </w:rPr>
              <w:t>1928年</w:t>
            </w:r>
          </w:p>
        </w:tc>
        <w:tc>
          <w:tcPr>
            <w:tcW w:w="582" w:type="pct"/>
            <w:vAlign w:val="center"/>
          </w:tcPr>
          <w:p w14:paraId="68632559">
            <w:pPr>
              <w:pStyle w:val="12"/>
              <w:jc w:val="center"/>
            </w:pPr>
            <w:r>
              <w:rPr>
                <w:rFonts w:hint="eastAsia"/>
              </w:rPr>
              <w:t>黄坑镇</w:t>
            </w:r>
          </w:p>
        </w:tc>
        <w:tc>
          <w:tcPr>
            <w:tcW w:w="582" w:type="pct"/>
            <w:vAlign w:val="center"/>
          </w:tcPr>
          <w:p w14:paraId="58577D0A">
            <w:pPr>
              <w:pStyle w:val="12"/>
              <w:jc w:val="center"/>
            </w:pPr>
            <w:r>
              <w:rPr>
                <w:rFonts w:hint="eastAsia"/>
              </w:rPr>
              <w:t>1945年8月</w:t>
            </w:r>
          </w:p>
        </w:tc>
        <w:tc>
          <w:tcPr>
            <w:tcW w:w="1066" w:type="pct"/>
            <w:vAlign w:val="center"/>
          </w:tcPr>
          <w:p w14:paraId="6FBE07C1">
            <w:pPr>
              <w:pStyle w:val="12"/>
              <w:jc w:val="center"/>
              <w:rPr>
                <w:rFonts w:ascii="宋体" w:hAnsi="宋体" w:cs="宋体"/>
              </w:rPr>
            </w:pPr>
            <w:r>
              <w:rPr>
                <w:rFonts w:hint="eastAsia"/>
              </w:rPr>
              <w:t>北江第二支</w:t>
            </w:r>
          </w:p>
          <w:p w14:paraId="12CED58F">
            <w:pPr>
              <w:pStyle w:val="12"/>
              <w:jc w:val="center"/>
            </w:pPr>
            <w:r>
              <w:rPr>
                <w:rFonts w:hint="eastAsia" w:ascii="宋体" w:hAnsi="宋体" w:cs="宋体"/>
              </w:rPr>
              <w:t>队  队  员</w:t>
            </w:r>
          </w:p>
        </w:tc>
        <w:tc>
          <w:tcPr>
            <w:tcW w:w="1162" w:type="pct"/>
            <w:vAlign w:val="center"/>
          </w:tcPr>
          <w:p w14:paraId="461643E0">
            <w:pPr>
              <w:pStyle w:val="12"/>
              <w:jc w:val="left"/>
            </w:pPr>
            <w:r>
              <w:rPr>
                <w:rFonts w:hint="eastAsia"/>
              </w:rPr>
              <w:t>1947年在邓坊石头狮战斗牺牲</w:t>
            </w:r>
          </w:p>
        </w:tc>
      </w:tr>
      <w:tr w14:paraId="56725B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CA81BE5">
            <w:pPr>
              <w:pStyle w:val="12"/>
              <w:jc w:val="center"/>
            </w:pPr>
            <w:r>
              <w:rPr>
                <w:rFonts w:hint="eastAsia"/>
              </w:rPr>
              <w:t>钟文光</w:t>
            </w:r>
            <w:r>
              <w:rPr>
                <w:rFonts w:hint="eastAsia" w:ascii="宋体" w:hAnsi="宋体" w:cs="宋体"/>
              </w:rPr>
              <w:t>（玉神）</w:t>
            </w:r>
          </w:p>
        </w:tc>
        <w:tc>
          <w:tcPr>
            <w:tcW w:w="388" w:type="pct"/>
            <w:vAlign w:val="center"/>
          </w:tcPr>
          <w:p w14:paraId="338CBB20">
            <w:pPr>
              <w:pStyle w:val="12"/>
              <w:jc w:val="center"/>
            </w:pPr>
            <w:r>
              <w:rPr>
                <w:rFonts w:hint="eastAsia"/>
              </w:rPr>
              <w:t>男</w:t>
            </w:r>
          </w:p>
        </w:tc>
        <w:tc>
          <w:tcPr>
            <w:tcW w:w="582" w:type="pct"/>
            <w:vAlign w:val="center"/>
          </w:tcPr>
          <w:p w14:paraId="45E3F242">
            <w:pPr>
              <w:pStyle w:val="12"/>
              <w:jc w:val="center"/>
            </w:pPr>
            <w:r>
              <w:rPr>
                <w:rFonts w:hint="eastAsia"/>
              </w:rPr>
              <w:t>1928年</w:t>
            </w:r>
          </w:p>
        </w:tc>
        <w:tc>
          <w:tcPr>
            <w:tcW w:w="582" w:type="pct"/>
            <w:vAlign w:val="center"/>
          </w:tcPr>
          <w:p w14:paraId="0939EBC6">
            <w:pPr>
              <w:pStyle w:val="12"/>
              <w:jc w:val="center"/>
            </w:pPr>
            <w:r>
              <w:rPr>
                <w:rFonts w:hint="eastAsia"/>
              </w:rPr>
              <w:t>珠玑镇</w:t>
            </w:r>
          </w:p>
        </w:tc>
        <w:tc>
          <w:tcPr>
            <w:tcW w:w="582" w:type="pct"/>
            <w:vAlign w:val="center"/>
          </w:tcPr>
          <w:p w14:paraId="01DBB006">
            <w:pPr>
              <w:pStyle w:val="12"/>
              <w:jc w:val="center"/>
            </w:pPr>
            <w:r>
              <w:rPr>
                <w:rFonts w:hint="eastAsia"/>
              </w:rPr>
              <w:t>1947年</w:t>
            </w:r>
          </w:p>
        </w:tc>
        <w:tc>
          <w:tcPr>
            <w:tcW w:w="1066" w:type="pct"/>
            <w:vAlign w:val="center"/>
          </w:tcPr>
          <w:p w14:paraId="45822B3A">
            <w:pPr>
              <w:pStyle w:val="12"/>
              <w:jc w:val="center"/>
            </w:pPr>
            <w:r>
              <w:rPr>
                <w:rFonts w:hint="eastAsia"/>
              </w:rPr>
              <w:t>独立大队队员</w:t>
            </w:r>
          </w:p>
        </w:tc>
        <w:tc>
          <w:tcPr>
            <w:tcW w:w="1162" w:type="pct"/>
            <w:vAlign w:val="center"/>
          </w:tcPr>
          <w:p w14:paraId="793C606A">
            <w:pPr>
              <w:pStyle w:val="12"/>
              <w:jc w:val="left"/>
            </w:pPr>
            <w:r>
              <w:rPr>
                <w:rFonts w:hint="eastAsia"/>
              </w:rPr>
              <w:t>1947年在珠玑下洞战斗牺牲</w:t>
            </w:r>
          </w:p>
        </w:tc>
      </w:tr>
      <w:tr w14:paraId="7ECC43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A867F41">
            <w:pPr>
              <w:pStyle w:val="12"/>
              <w:jc w:val="center"/>
            </w:pPr>
            <w:r>
              <w:rPr>
                <w:rFonts w:hint="eastAsia"/>
              </w:rPr>
              <w:t>邓苟东</w:t>
            </w:r>
          </w:p>
        </w:tc>
        <w:tc>
          <w:tcPr>
            <w:tcW w:w="388" w:type="pct"/>
            <w:vAlign w:val="center"/>
          </w:tcPr>
          <w:p w14:paraId="214DC042">
            <w:pPr>
              <w:pStyle w:val="12"/>
              <w:jc w:val="center"/>
            </w:pPr>
            <w:r>
              <w:rPr>
                <w:rFonts w:hint="eastAsia"/>
              </w:rPr>
              <w:t>男</w:t>
            </w:r>
          </w:p>
        </w:tc>
        <w:tc>
          <w:tcPr>
            <w:tcW w:w="582" w:type="pct"/>
            <w:vAlign w:val="center"/>
          </w:tcPr>
          <w:p w14:paraId="1BEA8951">
            <w:pPr>
              <w:pStyle w:val="12"/>
              <w:jc w:val="center"/>
            </w:pPr>
            <w:r>
              <w:rPr>
                <w:rFonts w:hint="eastAsia"/>
              </w:rPr>
              <w:t>1908年</w:t>
            </w:r>
          </w:p>
        </w:tc>
        <w:tc>
          <w:tcPr>
            <w:tcW w:w="582" w:type="pct"/>
            <w:vAlign w:val="center"/>
          </w:tcPr>
          <w:p w14:paraId="5E79DD70">
            <w:pPr>
              <w:pStyle w:val="12"/>
              <w:jc w:val="center"/>
            </w:pPr>
            <w:r>
              <w:rPr>
                <w:rFonts w:hint="eastAsia"/>
              </w:rPr>
              <w:t>油山镇</w:t>
            </w:r>
          </w:p>
        </w:tc>
        <w:tc>
          <w:tcPr>
            <w:tcW w:w="582" w:type="pct"/>
            <w:vAlign w:val="center"/>
          </w:tcPr>
          <w:p w14:paraId="57843608">
            <w:pPr>
              <w:pStyle w:val="12"/>
              <w:jc w:val="center"/>
            </w:pPr>
            <w:r>
              <w:rPr>
                <w:rFonts w:hint="eastAsia"/>
              </w:rPr>
              <w:t>1947年</w:t>
            </w:r>
          </w:p>
        </w:tc>
        <w:tc>
          <w:tcPr>
            <w:tcW w:w="1066" w:type="pct"/>
            <w:vAlign w:val="center"/>
          </w:tcPr>
          <w:p w14:paraId="247D640B">
            <w:pPr>
              <w:pStyle w:val="12"/>
              <w:jc w:val="center"/>
              <w:rPr>
                <w:rFonts w:ascii="宋体" w:hAnsi="宋体" w:cs="宋体"/>
              </w:rPr>
            </w:pPr>
            <w:r>
              <w:rPr>
                <w:rFonts w:hint="eastAsia"/>
              </w:rPr>
              <w:t>北江第二支</w:t>
            </w:r>
          </w:p>
          <w:p w14:paraId="60430B82">
            <w:pPr>
              <w:pStyle w:val="12"/>
              <w:jc w:val="center"/>
            </w:pPr>
            <w:r>
              <w:rPr>
                <w:rFonts w:hint="eastAsia" w:ascii="宋体" w:hAnsi="宋体" w:cs="宋体"/>
              </w:rPr>
              <w:t>队  队  员</w:t>
            </w:r>
          </w:p>
        </w:tc>
        <w:tc>
          <w:tcPr>
            <w:tcW w:w="1162" w:type="pct"/>
            <w:vAlign w:val="center"/>
          </w:tcPr>
          <w:p w14:paraId="1646EE9B">
            <w:pPr>
              <w:pStyle w:val="12"/>
              <w:jc w:val="left"/>
            </w:pPr>
            <w:r>
              <w:rPr>
                <w:rFonts w:hint="eastAsia"/>
              </w:rPr>
              <w:t>1947年在江西大余县社江坝战斗牺牲</w:t>
            </w:r>
          </w:p>
        </w:tc>
      </w:tr>
      <w:tr w14:paraId="5B1177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7E7ED83">
            <w:pPr>
              <w:pStyle w:val="12"/>
              <w:jc w:val="center"/>
            </w:pPr>
            <w:r>
              <w:rPr>
                <w:rFonts w:hint="eastAsia"/>
              </w:rPr>
              <w:t>董天锡</w:t>
            </w:r>
          </w:p>
        </w:tc>
        <w:tc>
          <w:tcPr>
            <w:tcW w:w="388" w:type="pct"/>
            <w:vAlign w:val="center"/>
          </w:tcPr>
          <w:p w14:paraId="4E4392DE">
            <w:pPr>
              <w:pStyle w:val="12"/>
              <w:jc w:val="center"/>
            </w:pPr>
            <w:r>
              <w:rPr>
                <w:rFonts w:hint="eastAsia"/>
              </w:rPr>
              <w:t>男</w:t>
            </w:r>
          </w:p>
        </w:tc>
        <w:tc>
          <w:tcPr>
            <w:tcW w:w="582" w:type="pct"/>
            <w:vAlign w:val="center"/>
          </w:tcPr>
          <w:p w14:paraId="4404D7DE">
            <w:pPr>
              <w:pStyle w:val="12"/>
              <w:jc w:val="center"/>
            </w:pPr>
            <w:r>
              <w:rPr>
                <w:rFonts w:hint="eastAsia"/>
              </w:rPr>
              <w:t>1913年</w:t>
            </w:r>
          </w:p>
        </w:tc>
        <w:tc>
          <w:tcPr>
            <w:tcW w:w="582" w:type="pct"/>
            <w:vAlign w:val="center"/>
          </w:tcPr>
          <w:p w14:paraId="2417C4C0">
            <w:pPr>
              <w:pStyle w:val="12"/>
              <w:jc w:val="center"/>
            </w:pPr>
            <w:r>
              <w:rPr>
                <w:rFonts w:hint="eastAsia"/>
              </w:rPr>
              <w:t>乌迳镇</w:t>
            </w:r>
          </w:p>
        </w:tc>
        <w:tc>
          <w:tcPr>
            <w:tcW w:w="582" w:type="pct"/>
            <w:vAlign w:val="center"/>
          </w:tcPr>
          <w:p w14:paraId="5BD4E822">
            <w:pPr>
              <w:pStyle w:val="12"/>
              <w:jc w:val="center"/>
            </w:pPr>
            <w:r>
              <w:rPr>
                <w:rFonts w:hint="eastAsia"/>
              </w:rPr>
              <w:t>1935年</w:t>
            </w:r>
          </w:p>
        </w:tc>
        <w:tc>
          <w:tcPr>
            <w:tcW w:w="1066" w:type="pct"/>
            <w:vAlign w:val="center"/>
          </w:tcPr>
          <w:p w14:paraId="1C84940D">
            <w:pPr>
              <w:pStyle w:val="12"/>
              <w:jc w:val="center"/>
              <w:rPr>
                <w:rFonts w:ascii="宋体" w:hAnsi="宋体" w:cs="宋体"/>
              </w:rPr>
            </w:pPr>
            <w:r>
              <w:rPr>
                <w:rFonts w:hint="eastAsia"/>
              </w:rPr>
              <w:t>北江第二支</w:t>
            </w:r>
          </w:p>
          <w:p w14:paraId="2A7A5985">
            <w:pPr>
              <w:pStyle w:val="12"/>
              <w:jc w:val="center"/>
            </w:pPr>
            <w:r>
              <w:rPr>
                <w:rFonts w:hint="eastAsia" w:ascii="宋体" w:hAnsi="宋体" w:cs="宋体"/>
              </w:rPr>
              <w:t>队政工队队长</w:t>
            </w:r>
          </w:p>
        </w:tc>
        <w:tc>
          <w:tcPr>
            <w:tcW w:w="1162" w:type="pct"/>
            <w:vAlign w:val="center"/>
          </w:tcPr>
          <w:p w14:paraId="27FE01BC">
            <w:pPr>
              <w:pStyle w:val="12"/>
              <w:jc w:val="left"/>
            </w:pPr>
            <w:r>
              <w:rPr>
                <w:rFonts w:hint="eastAsia"/>
              </w:rPr>
              <w:t>1948年3月在南雄坪林村遇敌战斗中牺牲，有传</w:t>
            </w:r>
          </w:p>
        </w:tc>
      </w:tr>
      <w:tr w14:paraId="129EAA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F3A07B3">
            <w:pPr>
              <w:pStyle w:val="12"/>
              <w:jc w:val="center"/>
            </w:pPr>
            <w:r>
              <w:rPr>
                <w:rFonts w:hint="eastAsia"/>
              </w:rPr>
              <w:t>田达湖</w:t>
            </w:r>
          </w:p>
        </w:tc>
        <w:tc>
          <w:tcPr>
            <w:tcW w:w="388" w:type="pct"/>
            <w:vAlign w:val="center"/>
          </w:tcPr>
          <w:p w14:paraId="440CCD67">
            <w:pPr>
              <w:pStyle w:val="12"/>
              <w:jc w:val="center"/>
            </w:pPr>
            <w:r>
              <w:rPr>
                <w:rFonts w:hint="eastAsia"/>
              </w:rPr>
              <w:t>男</w:t>
            </w:r>
          </w:p>
        </w:tc>
        <w:tc>
          <w:tcPr>
            <w:tcW w:w="582" w:type="pct"/>
            <w:vAlign w:val="center"/>
          </w:tcPr>
          <w:p w14:paraId="2399FD84">
            <w:pPr>
              <w:pStyle w:val="12"/>
              <w:jc w:val="center"/>
            </w:pPr>
            <w:r>
              <w:rPr>
                <w:rFonts w:hint="eastAsia"/>
              </w:rPr>
              <w:t>1922年</w:t>
            </w:r>
          </w:p>
        </w:tc>
        <w:tc>
          <w:tcPr>
            <w:tcW w:w="582" w:type="pct"/>
            <w:vAlign w:val="center"/>
          </w:tcPr>
          <w:p w14:paraId="0719799F">
            <w:pPr>
              <w:pStyle w:val="12"/>
              <w:jc w:val="center"/>
            </w:pPr>
            <w:r>
              <w:rPr>
                <w:rFonts w:hint="eastAsia"/>
              </w:rPr>
              <w:t>全安镇</w:t>
            </w:r>
          </w:p>
        </w:tc>
        <w:tc>
          <w:tcPr>
            <w:tcW w:w="582" w:type="pct"/>
            <w:vAlign w:val="center"/>
          </w:tcPr>
          <w:p w14:paraId="5801C9FE">
            <w:pPr>
              <w:pStyle w:val="12"/>
              <w:jc w:val="center"/>
            </w:pPr>
            <w:r>
              <w:rPr>
                <w:rFonts w:hint="eastAsia"/>
              </w:rPr>
              <w:t>1947年</w:t>
            </w:r>
          </w:p>
        </w:tc>
        <w:tc>
          <w:tcPr>
            <w:tcW w:w="1066" w:type="pct"/>
            <w:vAlign w:val="center"/>
          </w:tcPr>
          <w:p w14:paraId="3AF0A6A8">
            <w:pPr>
              <w:pStyle w:val="12"/>
              <w:jc w:val="center"/>
              <w:rPr>
                <w:rFonts w:ascii="宋体" w:hAnsi="宋体" w:cs="宋体"/>
              </w:rPr>
            </w:pPr>
            <w:r>
              <w:rPr>
                <w:rFonts w:hint="eastAsia"/>
              </w:rPr>
              <w:t>北江第二支</w:t>
            </w:r>
          </w:p>
          <w:p w14:paraId="3292E8EF">
            <w:pPr>
              <w:pStyle w:val="12"/>
              <w:jc w:val="center"/>
            </w:pPr>
            <w:r>
              <w:rPr>
                <w:rFonts w:hint="eastAsia" w:ascii="宋体" w:hAnsi="宋体" w:cs="宋体"/>
              </w:rPr>
              <w:t>队  队  员</w:t>
            </w:r>
          </w:p>
        </w:tc>
        <w:tc>
          <w:tcPr>
            <w:tcW w:w="1162" w:type="pct"/>
            <w:vAlign w:val="center"/>
          </w:tcPr>
          <w:p w14:paraId="2F4FF7C7">
            <w:pPr>
              <w:pStyle w:val="12"/>
              <w:jc w:val="left"/>
            </w:pPr>
            <w:r>
              <w:rPr>
                <w:rFonts w:hint="eastAsia"/>
              </w:rPr>
              <w:t>1949年3月在陂头附近被捕牺牲</w:t>
            </w:r>
          </w:p>
        </w:tc>
      </w:tr>
      <w:tr w14:paraId="1A0DBD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0D187E6">
            <w:pPr>
              <w:pStyle w:val="12"/>
              <w:jc w:val="center"/>
            </w:pPr>
            <w:r>
              <w:rPr>
                <w:rFonts w:hint="eastAsia"/>
              </w:rPr>
              <w:t>李广仔</w:t>
            </w:r>
          </w:p>
        </w:tc>
        <w:tc>
          <w:tcPr>
            <w:tcW w:w="388" w:type="pct"/>
            <w:vAlign w:val="center"/>
          </w:tcPr>
          <w:p w14:paraId="45F79580">
            <w:pPr>
              <w:pStyle w:val="12"/>
              <w:jc w:val="center"/>
            </w:pPr>
            <w:r>
              <w:rPr>
                <w:rFonts w:hint="eastAsia"/>
              </w:rPr>
              <w:t>男</w:t>
            </w:r>
          </w:p>
        </w:tc>
        <w:tc>
          <w:tcPr>
            <w:tcW w:w="582" w:type="pct"/>
            <w:vAlign w:val="center"/>
          </w:tcPr>
          <w:p w14:paraId="7C4866C3">
            <w:pPr>
              <w:pStyle w:val="12"/>
              <w:jc w:val="center"/>
            </w:pPr>
            <w:r>
              <w:rPr>
                <w:rFonts w:hint="eastAsia"/>
              </w:rPr>
              <w:t>1903年</w:t>
            </w:r>
          </w:p>
        </w:tc>
        <w:tc>
          <w:tcPr>
            <w:tcW w:w="582" w:type="pct"/>
            <w:vAlign w:val="center"/>
          </w:tcPr>
          <w:p w14:paraId="3B7E8719">
            <w:pPr>
              <w:pStyle w:val="12"/>
              <w:jc w:val="center"/>
            </w:pPr>
            <w:r>
              <w:rPr>
                <w:rFonts w:hint="eastAsia"/>
              </w:rPr>
              <w:t>湖口镇</w:t>
            </w:r>
          </w:p>
        </w:tc>
        <w:tc>
          <w:tcPr>
            <w:tcW w:w="582" w:type="pct"/>
            <w:vAlign w:val="center"/>
          </w:tcPr>
          <w:p w14:paraId="7D02DA64">
            <w:pPr>
              <w:pStyle w:val="12"/>
              <w:jc w:val="center"/>
            </w:pPr>
            <w:r>
              <w:rPr>
                <w:rFonts w:hint="eastAsia"/>
              </w:rPr>
              <w:t>1947年</w:t>
            </w:r>
          </w:p>
        </w:tc>
        <w:tc>
          <w:tcPr>
            <w:tcW w:w="1066" w:type="pct"/>
            <w:vAlign w:val="center"/>
          </w:tcPr>
          <w:p w14:paraId="232C44B4">
            <w:pPr>
              <w:pStyle w:val="12"/>
              <w:jc w:val="center"/>
              <w:rPr>
                <w:rFonts w:ascii="宋体" w:hAnsi="宋体" w:cs="宋体"/>
              </w:rPr>
            </w:pPr>
            <w:r>
              <w:rPr>
                <w:rFonts w:hint="eastAsia"/>
              </w:rPr>
              <w:t>北江第二支</w:t>
            </w:r>
          </w:p>
          <w:p w14:paraId="5A167D0C">
            <w:pPr>
              <w:pStyle w:val="12"/>
              <w:jc w:val="center"/>
            </w:pPr>
            <w:r>
              <w:rPr>
                <w:rFonts w:hint="eastAsia" w:ascii="宋体" w:hAnsi="宋体" w:cs="宋体"/>
              </w:rPr>
              <w:t>队  队  员</w:t>
            </w:r>
          </w:p>
        </w:tc>
        <w:tc>
          <w:tcPr>
            <w:tcW w:w="1162" w:type="pct"/>
            <w:vAlign w:val="center"/>
          </w:tcPr>
          <w:p w14:paraId="514BD36E">
            <w:pPr>
              <w:pStyle w:val="12"/>
              <w:jc w:val="left"/>
            </w:pPr>
            <w:r>
              <w:rPr>
                <w:rFonts w:hint="eastAsia"/>
              </w:rPr>
              <w:t>1948年在茶头背作战牺牲</w:t>
            </w:r>
          </w:p>
        </w:tc>
      </w:tr>
      <w:tr w14:paraId="32E748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AB89EBA">
            <w:pPr>
              <w:pStyle w:val="12"/>
              <w:jc w:val="center"/>
            </w:pPr>
            <w:r>
              <w:rPr>
                <w:rFonts w:hint="eastAsia"/>
              </w:rPr>
              <w:t>曾罗保</w:t>
            </w:r>
          </w:p>
        </w:tc>
        <w:tc>
          <w:tcPr>
            <w:tcW w:w="388" w:type="pct"/>
            <w:vAlign w:val="center"/>
          </w:tcPr>
          <w:p w14:paraId="25FECC71">
            <w:pPr>
              <w:pStyle w:val="12"/>
              <w:jc w:val="center"/>
            </w:pPr>
            <w:r>
              <w:rPr>
                <w:rFonts w:hint="eastAsia"/>
              </w:rPr>
              <w:t>男</w:t>
            </w:r>
          </w:p>
        </w:tc>
        <w:tc>
          <w:tcPr>
            <w:tcW w:w="582" w:type="pct"/>
            <w:vAlign w:val="center"/>
          </w:tcPr>
          <w:p w14:paraId="0819205E">
            <w:pPr>
              <w:pStyle w:val="12"/>
              <w:jc w:val="center"/>
            </w:pPr>
            <w:r>
              <w:rPr>
                <w:rFonts w:hint="eastAsia"/>
              </w:rPr>
              <w:t>1931年</w:t>
            </w:r>
          </w:p>
        </w:tc>
        <w:tc>
          <w:tcPr>
            <w:tcW w:w="582" w:type="pct"/>
            <w:vAlign w:val="center"/>
          </w:tcPr>
          <w:p w14:paraId="14C30A8A">
            <w:pPr>
              <w:pStyle w:val="12"/>
              <w:jc w:val="center"/>
            </w:pPr>
            <w:r>
              <w:rPr>
                <w:rFonts w:hint="eastAsia"/>
              </w:rPr>
              <w:t>湖口镇</w:t>
            </w:r>
          </w:p>
        </w:tc>
        <w:tc>
          <w:tcPr>
            <w:tcW w:w="582" w:type="pct"/>
            <w:vAlign w:val="center"/>
          </w:tcPr>
          <w:p w14:paraId="59BD2B15">
            <w:pPr>
              <w:pStyle w:val="12"/>
              <w:jc w:val="center"/>
            </w:pPr>
            <w:r>
              <w:rPr>
                <w:rFonts w:hint="eastAsia"/>
              </w:rPr>
              <w:t>1947年</w:t>
            </w:r>
          </w:p>
        </w:tc>
        <w:tc>
          <w:tcPr>
            <w:tcW w:w="1066" w:type="pct"/>
            <w:vAlign w:val="center"/>
          </w:tcPr>
          <w:p w14:paraId="2457F356">
            <w:pPr>
              <w:pStyle w:val="12"/>
              <w:jc w:val="center"/>
              <w:rPr>
                <w:rFonts w:ascii="宋体" w:hAnsi="宋体" w:cs="宋体"/>
              </w:rPr>
            </w:pPr>
            <w:r>
              <w:rPr>
                <w:rFonts w:hint="eastAsia"/>
              </w:rPr>
              <w:t>北江第二支</w:t>
            </w:r>
          </w:p>
          <w:p w14:paraId="052145CB">
            <w:pPr>
              <w:pStyle w:val="12"/>
              <w:jc w:val="center"/>
            </w:pPr>
            <w:r>
              <w:rPr>
                <w:rFonts w:hint="eastAsia" w:ascii="宋体" w:hAnsi="宋体" w:cs="宋体"/>
              </w:rPr>
              <w:t>队通讯员</w:t>
            </w:r>
          </w:p>
        </w:tc>
        <w:tc>
          <w:tcPr>
            <w:tcW w:w="1162" w:type="pct"/>
            <w:vAlign w:val="center"/>
          </w:tcPr>
          <w:p w14:paraId="633354C4">
            <w:pPr>
              <w:pStyle w:val="12"/>
              <w:jc w:val="left"/>
            </w:pPr>
            <w:r>
              <w:rPr>
                <w:rFonts w:hint="eastAsia"/>
              </w:rPr>
              <w:t>1948年在里东龙凤庵作战牺牲</w:t>
            </w:r>
          </w:p>
        </w:tc>
      </w:tr>
      <w:tr w14:paraId="35FAAF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7D3CF97">
            <w:pPr>
              <w:pStyle w:val="12"/>
              <w:jc w:val="center"/>
            </w:pPr>
            <w:r>
              <w:rPr>
                <w:rFonts w:hint="eastAsia"/>
              </w:rPr>
              <w:t>张长莲</w:t>
            </w:r>
          </w:p>
        </w:tc>
        <w:tc>
          <w:tcPr>
            <w:tcW w:w="388" w:type="pct"/>
            <w:vAlign w:val="center"/>
          </w:tcPr>
          <w:p w14:paraId="1CF191C8">
            <w:pPr>
              <w:pStyle w:val="12"/>
              <w:jc w:val="center"/>
            </w:pPr>
            <w:r>
              <w:rPr>
                <w:rFonts w:hint="eastAsia"/>
              </w:rPr>
              <w:t>女</w:t>
            </w:r>
          </w:p>
        </w:tc>
        <w:tc>
          <w:tcPr>
            <w:tcW w:w="582" w:type="pct"/>
            <w:vAlign w:val="center"/>
          </w:tcPr>
          <w:p w14:paraId="41C299D3">
            <w:pPr>
              <w:pStyle w:val="12"/>
              <w:jc w:val="center"/>
            </w:pPr>
            <w:r>
              <w:rPr>
                <w:rFonts w:hint="eastAsia"/>
              </w:rPr>
              <w:t>1930年</w:t>
            </w:r>
          </w:p>
        </w:tc>
        <w:tc>
          <w:tcPr>
            <w:tcW w:w="582" w:type="pct"/>
            <w:vAlign w:val="center"/>
          </w:tcPr>
          <w:p w14:paraId="6DC46815">
            <w:pPr>
              <w:pStyle w:val="12"/>
              <w:jc w:val="center"/>
            </w:pPr>
            <w:r>
              <w:rPr>
                <w:rFonts w:hint="eastAsia"/>
              </w:rPr>
              <w:t>湖口镇</w:t>
            </w:r>
          </w:p>
        </w:tc>
        <w:tc>
          <w:tcPr>
            <w:tcW w:w="582" w:type="pct"/>
            <w:vAlign w:val="center"/>
          </w:tcPr>
          <w:p w14:paraId="3E87DB2D">
            <w:pPr>
              <w:pStyle w:val="12"/>
              <w:jc w:val="center"/>
            </w:pPr>
            <w:r>
              <w:rPr>
                <w:rFonts w:hint="eastAsia"/>
              </w:rPr>
              <w:t>1947年</w:t>
            </w:r>
          </w:p>
        </w:tc>
        <w:tc>
          <w:tcPr>
            <w:tcW w:w="1066" w:type="pct"/>
            <w:vAlign w:val="center"/>
          </w:tcPr>
          <w:p w14:paraId="20A5F99A">
            <w:pPr>
              <w:pStyle w:val="12"/>
              <w:jc w:val="center"/>
              <w:rPr>
                <w:rFonts w:ascii="宋体" w:hAnsi="宋体" w:cs="宋体"/>
              </w:rPr>
            </w:pPr>
            <w:r>
              <w:rPr>
                <w:rFonts w:hint="eastAsia"/>
              </w:rPr>
              <w:t>北江第二支</w:t>
            </w:r>
          </w:p>
          <w:p w14:paraId="3D72056C">
            <w:pPr>
              <w:pStyle w:val="12"/>
              <w:jc w:val="center"/>
            </w:pPr>
            <w:r>
              <w:rPr>
                <w:rFonts w:hint="eastAsia" w:ascii="宋体" w:hAnsi="宋体" w:cs="宋体"/>
              </w:rPr>
              <w:t>卫  生  员</w:t>
            </w:r>
          </w:p>
        </w:tc>
        <w:tc>
          <w:tcPr>
            <w:tcW w:w="1162" w:type="pct"/>
            <w:vAlign w:val="center"/>
          </w:tcPr>
          <w:p w14:paraId="50ACE230">
            <w:pPr>
              <w:pStyle w:val="12"/>
              <w:jc w:val="left"/>
            </w:pPr>
            <w:r>
              <w:rPr>
                <w:rFonts w:hint="eastAsia"/>
              </w:rPr>
              <w:t>1948年3月在里东龙凤庵突围被捕就义</w:t>
            </w:r>
          </w:p>
        </w:tc>
      </w:tr>
      <w:tr w14:paraId="3120E6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BD691A5">
            <w:pPr>
              <w:pStyle w:val="12"/>
              <w:jc w:val="center"/>
            </w:pPr>
            <w:r>
              <w:rPr>
                <w:rFonts w:hint="eastAsia"/>
              </w:rPr>
              <w:t>刘光前</w:t>
            </w:r>
          </w:p>
        </w:tc>
        <w:tc>
          <w:tcPr>
            <w:tcW w:w="388" w:type="pct"/>
            <w:vAlign w:val="center"/>
          </w:tcPr>
          <w:p w14:paraId="778CC185">
            <w:pPr>
              <w:pStyle w:val="12"/>
              <w:jc w:val="center"/>
            </w:pPr>
            <w:r>
              <w:rPr>
                <w:rFonts w:hint="eastAsia"/>
              </w:rPr>
              <w:t>男</w:t>
            </w:r>
          </w:p>
        </w:tc>
        <w:tc>
          <w:tcPr>
            <w:tcW w:w="582" w:type="pct"/>
            <w:vAlign w:val="center"/>
          </w:tcPr>
          <w:p w14:paraId="4F70A9C3">
            <w:pPr>
              <w:pStyle w:val="12"/>
              <w:jc w:val="center"/>
            </w:pPr>
            <w:r>
              <w:rPr>
                <w:rFonts w:hint="eastAsia"/>
              </w:rPr>
              <w:t>1918年</w:t>
            </w:r>
          </w:p>
        </w:tc>
        <w:tc>
          <w:tcPr>
            <w:tcW w:w="582" w:type="pct"/>
            <w:vAlign w:val="center"/>
          </w:tcPr>
          <w:p w14:paraId="16448348">
            <w:pPr>
              <w:pStyle w:val="12"/>
              <w:jc w:val="center"/>
            </w:pPr>
            <w:r>
              <w:rPr>
                <w:rFonts w:hint="eastAsia"/>
              </w:rPr>
              <w:t>湖口镇</w:t>
            </w:r>
          </w:p>
        </w:tc>
        <w:tc>
          <w:tcPr>
            <w:tcW w:w="582" w:type="pct"/>
            <w:vAlign w:val="center"/>
          </w:tcPr>
          <w:p w14:paraId="7892C592">
            <w:pPr>
              <w:pStyle w:val="12"/>
              <w:jc w:val="center"/>
            </w:pPr>
            <w:r>
              <w:rPr>
                <w:rFonts w:hint="eastAsia"/>
              </w:rPr>
              <w:t>1947年</w:t>
            </w:r>
          </w:p>
        </w:tc>
        <w:tc>
          <w:tcPr>
            <w:tcW w:w="1066" w:type="pct"/>
            <w:vAlign w:val="center"/>
          </w:tcPr>
          <w:p w14:paraId="0EA823E0">
            <w:pPr>
              <w:pStyle w:val="12"/>
              <w:jc w:val="center"/>
              <w:rPr>
                <w:rFonts w:ascii="宋体" w:hAnsi="宋体" w:cs="宋体"/>
              </w:rPr>
            </w:pPr>
            <w:r>
              <w:rPr>
                <w:rFonts w:hint="eastAsia"/>
              </w:rPr>
              <w:t>北江第二支</w:t>
            </w:r>
          </w:p>
          <w:p w14:paraId="7DA5A27E">
            <w:pPr>
              <w:pStyle w:val="12"/>
              <w:jc w:val="center"/>
            </w:pPr>
            <w:r>
              <w:rPr>
                <w:rFonts w:hint="eastAsia" w:ascii="宋体" w:hAnsi="宋体" w:cs="宋体"/>
              </w:rPr>
              <w:t>队  队  员</w:t>
            </w:r>
          </w:p>
        </w:tc>
        <w:tc>
          <w:tcPr>
            <w:tcW w:w="1162" w:type="pct"/>
            <w:vAlign w:val="center"/>
          </w:tcPr>
          <w:p w14:paraId="72E0F968">
            <w:pPr>
              <w:pStyle w:val="12"/>
              <w:jc w:val="left"/>
            </w:pPr>
            <w:r>
              <w:rPr>
                <w:rFonts w:hint="eastAsia"/>
              </w:rPr>
              <w:t>1948年在大塘真仙岩作战牺牲</w:t>
            </w:r>
          </w:p>
        </w:tc>
      </w:tr>
      <w:tr w14:paraId="5C6DD2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72D059C">
            <w:pPr>
              <w:pStyle w:val="12"/>
              <w:jc w:val="center"/>
            </w:pPr>
            <w:r>
              <w:rPr>
                <w:rFonts w:hint="eastAsia"/>
              </w:rPr>
              <w:t>刘亚明</w:t>
            </w:r>
          </w:p>
        </w:tc>
        <w:tc>
          <w:tcPr>
            <w:tcW w:w="388" w:type="pct"/>
            <w:vAlign w:val="center"/>
          </w:tcPr>
          <w:p w14:paraId="5C02D72E">
            <w:pPr>
              <w:pStyle w:val="12"/>
              <w:jc w:val="center"/>
            </w:pPr>
            <w:r>
              <w:rPr>
                <w:rFonts w:hint="eastAsia"/>
              </w:rPr>
              <w:t>男</w:t>
            </w:r>
          </w:p>
        </w:tc>
        <w:tc>
          <w:tcPr>
            <w:tcW w:w="582" w:type="pct"/>
            <w:vAlign w:val="center"/>
          </w:tcPr>
          <w:p w14:paraId="402BFCFE">
            <w:pPr>
              <w:pStyle w:val="12"/>
              <w:jc w:val="center"/>
            </w:pPr>
            <w:r>
              <w:rPr>
                <w:rFonts w:hint="eastAsia"/>
              </w:rPr>
              <w:t>1930年</w:t>
            </w:r>
          </w:p>
        </w:tc>
        <w:tc>
          <w:tcPr>
            <w:tcW w:w="582" w:type="pct"/>
            <w:vAlign w:val="center"/>
          </w:tcPr>
          <w:p w14:paraId="53A89646">
            <w:pPr>
              <w:pStyle w:val="12"/>
              <w:jc w:val="center"/>
            </w:pPr>
            <w:r>
              <w:rPr>
                <w:rFonts w:hint="eastAsia"/>
              </w:rPr>
              <w:t>湖口镇</w:t>
            </w:r>
          </w:p>
        </w:tc>
        <w:tc>
          <w:tcPr>
            <w:tcW w:w="582" w:type="pct"/>
            <w:vAlign w:val="center"/>
          </w:tcPr>
          <w:p w14:paraId="7E290072">
            <w:pPr>
              <w:pStyle w:val="12"/>
              <w:jc w:val="center"/>
            </w:pPr>
            <w:r>
              <w:rPr>
                <w:rFonts w:hint="eastAsia"/>
              </w:rPr>
              <w:t>1947年</w:t>
            </w:r>
          </w:p>
        </w:tc>
        <w:tc>
          <w:tcPr>
            <w:tcW w:w="1066" w:type="pct"/>
            <w:vAlign w:val="center"/>
          </w:tcPr>
          <w:p w14:paraId="1AD233D2">
            <w:pPr>
              <w:pStyle w:val="12"/>
              <w:jc w:val="center"/>
              <w:rPr>
                <w:rFonts w:ascii="宋体" w:hAnsi="宋体" w:cs="宋体"/>
              </w:rPr>
            </w:pPr>
            <w:r>
              <w:rPr>
                <w:rFonts w:hint="eastAsia"/>
              </w:rPr>
              <w:t>北江第二支</w:t>
            </w:r>
          </w:p>
          <w:p w14:paraId="3CE666B8">
            <w:pPr>
              <w:pStyle w:val="12"/>
              <w:jc w:val="center"/>
            </w:pPr>
            <w:r>
              <w:rPr>
                <w:rFonts w:hint="eastAsia" w:ascii="宋体" w:hAnsi="宋体" w:cs="宋体"/>
              </w:rPr>
              <w:t>队  队  员</w:t>
            </w:r>
          </w:p>
        </w:tc>
        <w:tc>
          <w:tcPr>
            <w:tcW w:w="1162" w:type="pct"/>
            <w:vAlign w:val="center"/>
          </w:tcPr>
          <w:p w14:paraId="0DF3C493">
            <w:pPr>
              <w:pStyle w:val="12"/>
              <w:jc w:val="left"/>
            </w:pPr>
            <w:r>
              <w:rPr>
                <w:rFonts w:hint="eastAsia"/>
              </w:rPr>
              <w:t>1948年在江西牛尾岭战斗牺牲</w:t>
            </w:r>
          </w:p>
        </w:tc>
      </w:tr>
      <w:tr w14:paraId="00E78F3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F982768">
            <w:pPr>
              <w:pStyle w:val="12"/>
              <w:jc w:val="center"/>
            </w:pPr>
            <w:r>
              <w:rPr>
                <w:rFonts w:hint="eastAsia"/>
              </w:rPr>
              <w:t>董嗣宽</w:t>
            </w:r>
          </w:p>
        </w:tc>
        <w:tc>
          <w:tcPr>
            <w:tcW w:w="388" w:type="pct"/>
            <w:vAlign w:val="center"/>
          </w:tcPr>
          <w:p w14:paraId="08FD2846">
            <w:pPr>
              <w:pStyle w:val="12"/>
              <w:jc w:val="center"/>
            </w:pPr>
            <w:r>
              <w:rPr>
                <w:rFonts w:hint="eastAsia"/>
              </w:rPr>
              <w:t>男</w:t>
            </w:r>
          </w:p>
        </w:tc>
        <w:tc>
          <w:tcPr>
            <w:tcW w:w="582" w:type="pct"/>
            <w:vAlign w:val="center"/>
          </w:tcPr>
          <w:p w14:paraId="2D897CA5">
            <w:pPr>
              <w:pStyle w:val="12"/>
              <w:jc w:val="center"/>
            </w:pPr>
            <w:r>
              <w:rPr>
                <w:rFonts w:hint="eastAsia"/>
              </w:rPr>
              <w:t>1929年</w:t>
            </w:r>
          </w:p>
        </w:tc>
        <w:tc>
          <w:tcPr>
            <w:tcW w:w="582" w:type="pct"/>
            <w:vAlign w:val="center"/>
          </w:tcPr>
          <w:p w14:paraId="2A29DC13">
            <w:pPr>
              <w:pStyle w:val="12"/>
              <w:jc w:val="center"/>
            </w:pPr>
            <w:r>
              <w:rPr>
                <w:rFonts w:hint="eastAsia"/>
              </w:rPr>
              <w:t>乌迳镇</w:t>
            </w:r>
          </w:p>
        </w:tc>
        <w:tc>
          <w:tcPr>
            <w:tcW w:w="582" w:type="pct"/>
            <w:vAlign w:val="center"/>
          </w:tcPr>
          <w:p w14:paraId="514E495A">
            <w:pPr>
              <w:pStyle w:val="12"/>
              <w:jc w:val="center"/>
            </w:pPr>
            <w:r>
              <w:rPr>
                <w:rFonts w:hint="eastAsia"/>
              </w:rPr>
              <w:t>1947年</w:t>
            </w:r>
          </w:p>
        </w:tc>
        <w:tc>
          <w:tcPr>
            <w:tcW w:w="1066" w:type="pct"/>
            <w:vAlign w:val="center"/>
          </w:tcPr>
          <w:p w14:paraId="54FD1160">
            <w:pPr>
              <w:pStyle w:val="12"/>
              <w:jc w:val="center"/>
              <w:rPr>
                <w:rFonts w:ascii="宋体" w:hAnsi="宋体" w:cs="宋体"/>
              </w:rPr>
            </w:pPr>
            <w:r>
              <w:rPr>
                <w:rFonts w:hint="eastAsia"/>
              </w:rPr>
              <w:t>北江第二支</w:t>
            </w:r>
          </w:p>
          <w:p w14:paraId="2E5D46B4">
            <w:pPr>
              <w:pStyle w:val="12"/>
              <w:jc w:val="center"/>
            </w:pPr>
            <w:r>
              <w:rPr>
                <w:rFonts w:hint="eastAsia" w:ascii="宋体" w:hAnsi="宋体" w:cs="宋体"/>
              </w:rPr>
              <w:t>队下属队长</w:t>
            </w:r>
          </w:p>
        </w:tc>
        <w:tc>
          <w:tcPr>
            <w:tcW w:w="1162" w:type="pct"/>
            <w:vAlign w:val="center"/>
          </w:tcPr>
          <w:p w14:paraId="67AC7688">
            <w:pPr>
              <w:pStyle w:val="12"/>
              <w:jc w:val="left"/>
            </w:pPr>
            <w:r>
              <w:rPr>
                <w:rFonts w:hint="eastAsia"/>
              </w:rPr>
              <w:t>1948年春被捕，在乌迳就义</w:t>
            </w:r>
          </w:p>
        </w:tc>
      </w:tr>
      <w:tr w14:paraId="3D9AAA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203A30C">
            <w:pPr>
              <w:pStyle w:val="12"/>
              <w:jc w:val="center"/>
            </w:pPr>
            <w:r>
              <w:rPr>
                <w:rFonts w:hint="eastAsia"/>
              </w:rPr>
              <w:t>王贵璇</w:t>
            </w:r>
          </w:p>
        </w:tc>
        <w:tc>
          <w:tcPr>
            <w:tcW w:w="388" w:type="pct"/>
            <w:vAlign w:val="center"/>
          </w:tcPr>
          <w:p w14:paraId="3BED3273">
            <w:pPr>
              <w:pStyle w:val="12"/>
              <w:jc w:val="center"/>
            </w:pPr>
            <w:r>
              <w:rPr>
                <w:rFonts w:hint="eastAsia"/>
              </w:rPr>
              <w:t>男</w:t>
            </w:r>
          </w:p>
        </w:tc>
        <w:tc>
          <w:tcPr>
            <w:tcW w:w="582" w:type="pct"/>
            <w:vAlign w:val="center"/>
          </w:tcPr>
          <w:p w14:paraId="3BAEDCDC">
            <w:pPr>
              <w:pStyle w:val="12"/>
              <w:jc w:val="center"/>
            </w:pPr>
            <w:r>
              <w:rPr>
                <w:rFonts w:hint="eastAsia"/>
              </w:rPr>
              <w:t>—</w:t>
            </w:r>
          </w:p>
        </w:tc>
        <w:tc>
          <w:tcPr>
            <w:tcW w:w="582" w:type="pct"/>
            <w:vAlign w:val="center"/>
          </w:tcPr>
          <w:p w14:paraId="10B283D4">
            <w:pPr>
              <w:pStyle w:val="12"/>
              <w:jc w:val="center"/>
            </w:pPr>
            <w:r>
              <w:rPr>
                <w:rFonts w:hint="eastAsia"/>
              </w:rPr>
              <w:t>乌迳镇</w:t>
            </w:r>
          </w:p>
        </w:tc>
        <w:tc>
          <w:tcPr>
            <w:tcW w:w="582" w:type="pct"/>
            <w:vAlign w:val="center"/>
          </w:tcPr>
          <w:p w14:paraId="04AB0C29">
            <w:pPr>
              <w:pStyle w:val="12"/>
              <w:jc w:val="center"/>
            </w:pPr>
            <w:r>
              <w:rPr>
                <w:rFonts w:hint="eastAsia"/>
              </w:rPr>
              <w:t>1938年</w:t>
            </w:r>
          </w:p>
        </w:tc>
        <w:tc>
          <w:tcPr>
            <w:tcW w:w="1066" w:type="pct"/>
            <w:vAlign w:val="center"/>
          </w:tcPr>
          <w:p w14:paraId="30FFEB60">
            <w:pPr>
              <w:pStyle w:val="12"/>
              <w:jc w:val="center"/>
            </w:pPr>
            <w:r>
              <w:rPr>
                <w:rFonts w:hint="eastAsia"/>
              </w:rPr>
              <w:t>常备队队长</w:t>
            </w:r>
          </w:p>
        </w:tc>
        <w:tc>
          <w:tcPr>
            <w:tcW w:w="1162" w:type="pct"/>
            <w:vAlign w:val="center"/>
          </w:tcPr>
          <w:p w14:paraId="23244F6E">
            <w:pPr>
              <w:pStyle w:val="12"/>
              <w:jc w:val="left"/>
            </w:pPr>
            <w:r>
              <w:rPr>
                <w:rFonts w:hint="eastAsia"/>
              </w:rPr>
              <w:t>1948年3月20日因叛徒出卖在流塘被捕就义</w:t>
            </w:r>
          </w:p>
        </w:tc>
      </w:tr>
      <w:tr w14:paraId="14901C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8F83BE4">
            <w:pPr>
              <w:pStyle w:val="12"/>
              <w:jc w:val="center"/>
            </w:pPr>
            <w:r>
              <w:rPr>
                <w:rFonts w:hint="eastAsia"/>
              </w:rPr>
              <w:t>陈显春</w:t>
            </w:r>
          </w:p>
        </w:tc>
        <w:tc>
          <w:tcPr>
            <w:tcW w:w="388" w:type="pct"/>
            <w:vAlign w:val="center"/>
          </w:tcPr>
          <w:p w14:paraId="5771EFCC">
            <w:pPr>
              <w:pStyle w:val="12"/>
              <w:jc w:val="center"/>
            </w:pPr>
            <w:r>
              <w:rPr>
                <w:rFonts w:hint="eastAsia"/>
              </w:rPr>
              <w:t>男</w:t>
            </w:r>
          </w:p>
        </w:tc>
        <w:tc>
          <w:tcPr>
            <w:tcW w:w="582" w:type="pct"/>
            <w:vAlign w:val="center"/>
          </w:tcPr>
          <w:p w14:paraId="7BD1F1BC">
            <w:pPr>
              <w:pStyle w:val="12"/>
              <w:jc w:val="center"/>
            </w:pPr>
            <w:r>
              <w:rPr>
                <w:rFonts w:hint="eastAsia"/>
              </w:rPr>
              <w:t>1890年</w:t>
            </w:r>
          </w:p>
        </w:tc>
        <w:tc>
          <w:tcPr>
            <w:tcW w:w="582" w:type="pct"/>
            <w:vAlign w:val="center"/>
          </w:tcPr>
          <w:p w14:paraId="664CDFFA">
            <w:pPr>
              <w:pStyle w:val="12"/>
              <w:jc w:val="center"/>
            </w:pPr>
            <w:r>
              <w:rPr>
                <w:rFonts w:hint="eastAsia"/>
              </w:rPr>
              <w:t>乌迳镇</w:t>
            </w:r>
          </w:p>
        </w:tc>
        <w:tc>
          <w:tcPr>
            <w:tcW w:w="582" w:type="pct"/>
            <w:vAlign w:val="center"/>
          </w:tcPr>
          <w:p w14:paraId="1C7F4C75">
            <w:pPr>
              <w:pStyle w:val="12"/>
              <w:jc w:val="center"/>
            </w:pPr>
            <w:r>
              <w:rPr>
                <w:rFonts w:hint="eastAsia"/>
              </w:rPr>
              <w:t>1947年8月</w:t>
            </w:r>
          </w:p>
        </w:tc>
        <w:tc>
          <w:tcPr>
            <w:tcW w:w="1066" w:type="pct"/>
            <w:vMerge w:val="restart"/>
            <w:vAlign w:val="center"/>
          </w:tcPr>
          <w:p w14:paraId="30A68544">
            <w:pPr>
              <w:pStyle w:val="12"/>
              <w:jc w:val="center"/>
              <w:rPr>
                <w:rFonts w:ascii="宋体" w:hAnsi="宋体" w:cs="宋体"/>
              </w:rPr>
            </w:pPr>
            <w:r>
              <w:rPr>
                <w:rFonts w:hint="eastAsia"/>
              </w:rPr>
              <w:t>粤赣湘边人</w:t>
            </w:r>
          </w:p>
          <w:p w14:paraId="6443253A">
            <w:pPr>
              <w:pStyle w:val="12"/>
              <w:jc w:val="center"/>
              <w:rPr>
                <w:rFonts w:ascii="宋体" w:hAnsi="宋体" w:cs="宋体"/>
              </w:rPr>
            </w:pPr>
            <w:r>
              <w:rPr>
                <w:rFonts w:hint="eastAsia" w:ascii="宋体" w:hAnsi="宋体" w:cs="宋体"/>
              </w:rPr>
              <w:t>民解放总队</w:t>
            </w:r>
          </w:p>
          <w:p w14:paraId="15FB83CA">
            <w:pPr>
              <w:pStyle w:val="12"/>
              <w:jc w:val="center"/>
              <w:rPr>
                <w:rFonts w:ascii="宋体" w:hAnsi="宋体" w:cs="宋体"/>
              </w:rPr>
            </w:pPr>
            <w:r>
              <w:rPr>
                <w:rFonts w:hint="eastAsia" w:ascii="宋体" w:hAnsi="宋体" w:cs="宋体"/>
              </w:rPr>
              <w:t>第六支队手</w:t>
            </w:r>
          </w:p>
          <w:p w14:paraId="72C7F500">
            <w:pPr>
              <w:pStyle w:val="12"/>
              <w:jc w:val="center"/>
            </w:pPr>
            <w:r>
              <w:rPr>
                <w:rFonts w:hint="eastAsia" w:ascii="宋体" w:hAnsi="宋体" w:cs="宋体"/>
              </w:rPr>
              <w:t>枪队队员</w:t>
            </w:r>
          </w:p>
        </w:tc>
        <w:tc>
          <w:tcPr>
            <w:tcW w:w="1162" w:type="pct"/>
            <w:vAlign w:val="center"/>
          </w:tcPr>
          <w:p w14:paraId="2DAD747A">
            <w:pPr>
              <w:pStyle w:val="12"/>
              <w:jc w:val="left"/>
            </w:pPr>
            <w:r>
              <w:rPr>
                <w:rFonts w:hint="eastAsia"/>
              </w:rPr>
              <w:t>1948年农历11月9日，在乌迳江口被国民党枪杀</w:t>
            </w:r>
          </w:p>
        </w:tc>
      </w:tr>
      <w:tr w14:paraId="7EBC44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C14F531">
            <w:pPr>
              <w:pStyle w:val="12"/>
              <w:jc w:val="center"/>
            </w:pPr>
            <w:r>
              <w:rPr>
                <w:rFonts w:hint="eastAsia"/>
              </w:rPr>
              <w:t>陈显星</w:t>
            </w:r>
          </w:p>
        </w:tc>
        <w:tc>
          <w:tcPr>
            <w:tcW w:w="388" w:type="pct"/>
            <w:vAlign w:val="center"/>
          </w:tcPr>
          <w:p w14:paraId="18959FBD">
            <w:pPr>
              <w:pStyle w:val="12"/>
              <w:jc w:val="center"/>
            </w:pPr>
            <w:r>
              <w:rPr>
                <w:rFonts w:hint="eastAsia"/>
              </w:rPr>
              <w:t>男</w:t>
            </w:r>
          </w:p>
        </w:tc>
        <w:tc>
          <w:tcPr>
            <w:tcW w:w="582" w:type="pct"/>
            <w:vAlign w:val="center"/>
          </w:tcPr>
          <w:p w14:paraId="09D1ED3C">
            <w:pPr>
              <w:pStyle w:val="12"/>
              <w:jc w:val="center"/>
            </w:pPr>
            <w:r>
              <w:rPr>
                <w:rFonts w:hint="eastAsia"/>
              </w:rPr>
              <w:t>1914年</w:t>
            </w:r>
          </w:p>
        </w:tc>
        <w:tc>
          <w:tcPr>
            <w:tcW w:w="582" w:type="pct"/>
            <w:vAlign w:val="center"/>
          </w:tcPr>
          <w:p w14:paraId="309FD41F">
            <w:pPr>
              <w:pStyle w:val="12"/>
              <w:jc w:val="center"/>
            </w:pPr>
            <w:r>
              <w:rPr>
                <w:rFonts w:hint="eastAsia"/>
              </w:rPr>
              <w:t>乌迳镇</w:t>
            </w:r>
          </w:p>
        </w:tc>
        <w:tc>
          <w:tcPr>
            <w:tcW w:w="582" w:type="pct"/>
            <w:vAlign w:val="center"/>
          </w:tcPr>
          <w:p w14:paraId="537B2EF6">
            <w:pPr>
              <w:pStyle w:val="12"/>
              <w:jc w:val="center"/>
            </w:pPr>
            <w:r>
              <w:rPr>
                <w:rFonts w:hint="eastAsia"/>
              </w:rPr>
              <w:t>1947年8月</w:t>
            </w:r>
          </w:p>
        </w:tc>
        <w:tc>
          <w:tcPr>
            <w:tcW w:w="1066" w:type="pct"/>
            <w:vMerge w:val="continue"/>
            <w:vAlign w:val="center"/>
          </w:tcPr>
          <w:p w14:paraId="4B30E462">
            <w:pPr>
              <w:pStyle w:val="12"/>
              <w:jc w:val="center"/>
            </w:pPr>
          </w:p>
        </w:tc>
        <w:tc>
          <w:tcPr>
            <w:tcW w:w="1162" w:type="pct"/>
            <w:vAlign w:val="center"/>
          </w:tcPr>
          <w:p w14:paraId="6F6E8B5C">
            <w:pPr>
              <w:pStyle w:val="12"/>
              <w:jc w:val="left"/>
            </w:pPr>
            <w:r>
              <w:rPr>
                <w:rFonts w:hint="eastAsia"/>
              </w:rPr>
              <w:t>1948年3月20日因叛徒出卖在流塘被捕就义</w:t>
            </w:r>
          </w:p>
        </w:tc>
      </w:tr>
      <w:tr w14:paraId="1E5708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9D7D4B5">
            <w:pPr>
              <w:pStyle w:val="12"/>
              <w:jc w:val="center"/>
            </w:pPr>
            <w:r>
              <w:rPr>
                <w:rFonts w:hint="eastAsia"/>
              </w:rPr>
              <w:t>陈金石</w:t>
            </w:r>
          </w:p>
        </w:tc>
        <w:tc>
          <w:tcPr>
            <w:tcW w:w="388" w:type="pct"/>
            <w:vAlign w:val="center"/>
          </w:tcPr>
          <w:p w14:paraId="1FA23AB7">
            <w:pPr>
              <w:pStyle w:val="12"/>
              <w:jc w:val="center"/>
            </w:pPr>
            <w:r>
              <w:rPr>
                <w:rFonts w:hint="eastAsia"/>
              </w:rPr>
              <w:t>男</w:t>
            </w:r>
          </w:p>
        </w:tc>
        <w:tc>
          <w:tcPr>
            <w:tcW w:w="582" w:type="pct"/>
            <w:vAlign w:val="center"/>
          </w:tcPr>
          <w:p w14:paraId="583324BF">
            <w:pPr>
              <w:pStyle w:val="12"/>
              <w:jc w:val="center"/>
            </w:pPr>
            <w:r>
              <w:rPr>
                <w:rFonts w:hint="eastAsia"/>
              </w:rPr>
              <w:t>1917年7月</w:t>
            </w:r>
          </w:p>
        </w:tc>
        <w:tc>
          <w:tcPr>
            <w:tcW w:w="582" w:type="pct"/>
            <w:vAlign w:val="center"/>
          </w:tcPr>
          <w:p w14:paraId="4F063FAF">
            <w:pPr>
              <w:pStyle w:val="12"/>
              <w:jc w:val="center"/>
            </w:pPr>
            <w:r>
              <w:rPr>
                <w:rFonts w:hint="eastAsia"/>
              </w:rPr>
              <w:t>乌迳镇</w:t>
            </w:r>
          </w:p>
        </w:tc>
        <w:tc>
          <w:tcPr>
            <w:tcW w:w="582" w:type="pct"/>
            <w:vAlign w:val="center"/>
          </w:tcPr>
          <w:p w14:paraId="5D5D705B">
            <w:pPr>
              <w:pStyle w:val="12"/>
              <w:jc w:val="center"/>
            </w:pPr>
            <w:r>
              <w:rPr>
                <w:rFonts w:hint="eastAsia"/>
              </w:rPr>
              <w:t>1947年8月</w:t>
            </w:r>
          </w:p>
        </w:tc>
        <w:tc>
          <w:tcPr>
            <w:tcW w:w="1066" w:type="pct"/>
            <w:vMerge w:val="continue"/>
            <w:vAlign w:val="center"/>
          </w:tcPr>
          <w:p w14:paraId="40A279EA">
            <w:pPr>
              <w:pStyle w:val="12"/>
              <w:jc w:val="center"/>
            </w:pPr>
          </w:p>
        </w:tc>
        <w:tc>
          <w:tcPr>
            <w:tcW w:w="1162" w:type="pct"/>
            <w:vMerge w:val="restart"/>
            <w:vAlign w:val="center"/>
          </w:tcPr>
          <w:p w14:paraId="5A3442E7">
            <w:pPr>
              <w:pStyle w:val="12"/>
              <w:jc w:val="left"/>
            </w:pPr>
            <w:r>
              <w:rPr>
                <w:rFonts w:hint="eastAsia"/>
              </w:rPr>
              <w:t>1948年农历11月9日，在乌迳江口被国民党枪杀</w:t>
            </w:r>
          </w:p>
        </w:tc>
      </w:tr>
      <w:tr w14:paraId="5F8C270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2016F5D">
            <w:pPr>
              <w:pStyle w:val="12"/>
              <w:jc w:val="center"/>
            </w:pPr>
            <w:r>
              <w:rPr>
                <w:rFonts w:hint="eastAsia"/>
              </w:rPr>
              <w:t>陈世昌</w:t>
            </w:r>
          </w:p>
        </w:tc>
        <w:tc>
          <w:tcPr>
            <w:tcW w:w="388" w:type="pct"/>
            <w:vAlign w:val="center"/>
          </w:tcPr>
          <w:p w14:paraId="5C690B15">
            <w:pPr>
              <w:pStyle w:val="12"/>
              <w:jc w:val="center"/>
            </w:pPr>
            <w:r>
              <w:rPr>
                <w:rFonts w:hint="eastAsia"/>
              </w:rPr>
              <w:t>男</w:t>
            </w:r>
          </w:p>
        </w:tc>
        <w:tc>
          <w:tcPr>
            <w:tcW w:w="582" w:type="pct"/>
            <w:vAlign w:val="center"/>
          </w:tcPr>
          <w:p w14:paraId="63EDF815">
            <w:pPr>
              <w:pStyle w:val="12"/>
              <w:jc w:val="center"/>
            </w:pPr>
            <w:r>
              <w:rPr>
                <w:rFonts w:hint="eastAsia"/>
              </w:rPr>
              <w:t>—</w:t>
            </w:r>
          </w:p>
        </w:tc>
        <w:tc>
          <w:tcPr>
            <w:tcW w:w="582" w:type="pct"/>
            <w:vAlign w:val="center"/>
          </w:tcPr>
          <w:p w14:paraId="48810F3D">
            <w:pPr>
              <w:pStyle w:val="12"/>
              <w:jc w:val="center"/>
            </w:pPr>
            <w:r>
              <w:rPr>
                <w:rFonts w:hint="eastAsia"/>
              </w:rPr>
              <w:t>乌迳镇</w:t>
            </w:r>
          </w:p>
        </w:tc>
        <w:tc>
          <w:tcPr>
            <w:tcW w:w="582" w:type="pct"/>
            <w:vAlign w:val="center"/>
          </w:tcPr>
          <w:p w14:paraId="010EBC81">
            <w:pPr>
              <w:pStyle w:val="12"/>
              <w:jc w:val="center"/>
            </w:pPr>
            <w:r>
              <w:rPr>
                <w:rFonts w:hint="eastAsia"/>
              </w:rPr>
              <w:t>1948年</w:t>
            </w:r>
          </w:p>
        </w:tc>
        <w:tc>
          <w:tcPr>
            <w:tcW w:w="1066" w:type="pct"/>
            <w:vMerge w:val="continue"/>
            <w:vAlign w:val="center"/>
          </w:tcPr>
          <w:p w14:paraId="5A14CB06">
            <w:pPr>
              <w:pStyle w:val="12"/>
              <w:jc w:val="center"/>
            </w:pPr>
          </w:p>
        </w:tc>
        <w:tc>
          <w:tcPr>
            <w:tcW w:w="1162" w:type="pct"/>
            <w:vMerge w:val="continue"/>
            <w:vAlign w:val="center"/>
          </w:tcPr>
          <w:p w14:paraId="093C0BA4">
            <w:pPr>
              <w:pStyle w:val="12"/>
              <w:jc w:val="left"/>
            </w:pPr>
          </w:p>
        </w:tc>
      </w:tr>
      <w:tr w14:paraId="06163A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1AB5035">
            <w:pPr>
              <w:pStyle w:val="12"/>
              <w:jc w:val="center"/>
            </w:pPr>
            <w:r>
              <w:rPr>
                <w:rFonts w:hint="eastAsia"/>
              </w:rPr>
              <w:t>刘显香</w:t>
            </w:r>
          </w:p>
        </w:tc>
        <w:tc>
          <w:tcPr>
            <w:tcW w:w="388" w:type="pct"/>
            <w:vAlign w:val="center"/>
          </w:tcPr>
          <w:p w14:paraId="5C786F39">
            <w:pPr>
              <w:pStyle w:val="12"/>
              <w:jc w:val="center"/>
            </w:pPr>
            <w:r>
              <w:rPr>
                <w:rFonts w:hint="eastAsia"/>
              </w:rPr>
              <w:t>男</w:t>
            </w:r>
          </w:p>
        </w:tc>
        <w:tc>
          <w:tcPr>
            <w:tcW w:w="582" w:type="pct"/>
            <w:vAlign w:val="center"/>
          </w:tcPr>
          <w:p w14:paraId="4DBC5A39">
            <w:pPr>
              <w:pStyle w:val="12"/>
              <w:jc w:val="center"/>
            </w:pPr>
            <w:r>
              <w:rPr>
                <w:rFonts w:hint="eastAsia"/>
              </w:rPr>
              <w:t>1917年</w:t>
            </w:r>
          </w:p>
        </w:tc>
        <w:tc>
          <w:tcPr>
            <w:tcW w:w="582" w:type="pct"/>
            <w:vAlign w:val="center"/>
          </w:tcPr>
          <w:p w14:paraId="6A52CC2E">
            <w:pPr>
              <w:pStyle w:val="12"/>
              <w:jc w:val="center"/>
            </w:pPr>
            <w:r>
              <w:rPr>
                <w:rFonts w:hint="eastAsia"/>
              </w:rPr>
              <w:t>雄州镇</w:t>
            </w:r>
          </w:p>
        </w:tc>
        <w:tc>
          <w:tcPr>
            <w:tcW w:w="582" w:type="pct"/>
            <w:vAlign w:val="center"/>
          </w:tcPr>
          <w:p w14:paraId="55C21739">
            <w:pPr>
              <w:pStyle w:val="12"/>
              <w:jc w:val="center"/>
            </w:pPr>
            <w:r>
              <w:rPr>
                <w:rFonts w:hint="eastAsia"/>
              </w:rPr>
              <w:t>1940年</w:t>
            </w:r>
          </w:p>
        </w:tc>
        <w:tc>
          <w:tcPr>
            <w:tcW w:w="1066" w:type="pct"/>
            <w:vMerge w:val="restart"/>
            <w:vAlign w:val="center"/>
          </w:tcPr>
          <w:p w14:paraId="25973953">
            <w:pPr>
              <w:pStyle w:val="12"/>
              <w:jc w:val="center"/>
              <w:rPr>
                <w:rFonts w:ascii="宋体" w:hAnsi="宋体" w:cs="宋体"/>
              </w:rPr>
            </w:pPr>
            <w:r>
              <w:rPr>
                <w:rFonts w:hint="eastAsia"/>
              </w:rPr>
              <w:t>中共地下</w:t>
            </w:r>
          </w:p>
          <w:p w14:paraId="0ECE713B">
            <w:pPr>
              <w:pStyle w:val="12"/>
              <w:jc w:val="center"/>
            </w:pPr>
            <w:r>
              <w:rPr>
                <w:rFonts w:hint="eastAsia" w:ascii="宋体" w:hAnsi="宋体" w:cs="宋体"/>
              </w:rPr>
              <w:t>工作人员</w:t>
            </w:r>
          </w:p>
        </w:tc>
        <w:tc>
          <w:tcPr>
            <w:tcW w:w="1162" w:type="pct"/>
            <w:vMerge w:val="restart"/>
            <w:vAlign w:val="center"/>
          </w:tcPr>
          <w:p w14:paraId="216A5DE4">
            <w:pPr>
              <w:pStyle w:val="12"/>
              <w:jc w:val="left"/>
            </w:pPr>
            <w:r>
              <w:rPr>
                <w:rFonts w:hint="eastAsia"/>
              </w:rPr>
              <w:t>1947年秋在县城公兴烟栈被捕，1948年春在城郊黄泥塘就义</w:t>
            </w:r>
          </w:p>
        </w:tc>
      </w:tr>
      <w:tr w14:paraId="7F7536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10FB264">
            <w:pPr>
              <w:pStyle w:val="12"/>
              <w:jc w:val="center"/>
            </w:pPr>
            <w:r>
              <w:rPr>
                <w:rFonts w:hint="eastAsia"/>
              </w:rPr>
              <w:t>刘烈祥</w:t>
            </w:r>
          </w:p>
        </w:tc>
        <w:tc>
          <w:tcPr>
            <w:tcW w:w="388" w:type="pct"/>
            <w:vAlign w:val="center"/>
          </w:tcPr>
          <w:p w14:paraId="765D87BD">
            <w:pPr>
              <w:pStyle w:val="12"/>
              <w:jc w:val="center"/>
            </w:pPr>
            <w:r>
              <w:rPr>
                <w:rFonts w:hint="eastAsia"/>
              </w:rPr>
              <w:t>男</w:t>
            </w:r>
          </w:p>
        </w:tc>
        <w:tc>
          <w:tcPr>
            <w:tcW w:w="582" w:type="pct"/>
            <w:vAlign w:val="center"/>
          </w:tcPr>
          <w:p w14:paraId="7D56757B">
            <w:pPr>
              <w:pStyle w:val="12"/>
              <w:jc w:val="center"/>
            </w:pPr>
            <w:r>
              <w:rPr>
                <w:rFonts w:hint="eastAsia"/>
              </w:rPr>
              <w:t>1920年</w:t>
            </w:r>
          </w:p>
        </w:tc>
        <w:tc>
          <w:tcPr>
            <w:tcW w:w="582" w:type="pct"/>
            <w:vAlign w:val="center"/>
          </w:tcPr>
          <w:p w14:paraId="5866DD9D">
            <w:pPr>
              <w:pStyle w:val="12"/>
              <w:jc w:val="center"/>
            </w:pPr>
            <w:r>
              <w:rPr>
                <w:rFonts w:hint="eastAsia"/>
              </w:rPr>
              <w:t>雄州镇</w:t>
            </w:r>
          </w:p>
        </w:tc>
        <w:tc>
          <w:tcPr>
            <w:tcW w:w="582" w:type="pct"/>
            <w:vAlign w:val="center"/>
          </w:tcPr>
          <w:p w14:paraId="2E45EA0B">
            <w:pPr>
              <w:pStyle w:val="12"/>
              <w:jc w:val="center"/>
            </w:pPr>
            <w:r>
              <w:rPr>
                <w:rFonts w:hint="eastAsia"/>
              </w:rPr>
              <w:t>1940年</w:t>
            </w:r>
          </w:p>
        </w:tc>
        <w:tc>
          <w:tcPr>
            <w:tcW w:w="1066" w:type="pct"/>
            <w:vMerge w:val="continue"/>
            <w:vAlign w:val="center"/>
          </w:tcPr>
          <w:p w14:paraId="47D2B5C2">
            <w:pPr>
              <w:pStyle w:val="12"/>
              <w:jc w:val="center"/>
            </w:pPr>
          </w:p>
        </w:tc>
        <w:tc>
          <w:tcPr>
            <w:tcW w:w="1162" w:type="pct"/>
            <w:vMerge w:val="continue"/>
            <w:vAlign w:val="center"/>
          </w:tcPr>
          <w:p w14:paraId="392B14F4">
            <w:pPr>
              <w:pStyle w:val="12"/>
              <w:jc w:val="left"/>
            </w:pPr>
          </w:p>
        </w:tc>
      </w:tr>
      <w:tr w14:paraId="040BCA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00DBD17">
            <w:pPr>
              <w:pStyle w:val="12"/>
              <w:jc w:val="center"/>
            </w:pPr>
            <w:r>
              <w:rPr>
                <w:rFonts w:hint="eastAsia"/>
              </w:rPr>
              <w:t>刘盛麟</w:t>
            </w:r>
          </w:p>
        </w:tc>
        <w:tc>
          <w:tcPr>
            <w:tcW w:w="388" w:type="pct"/>
            <w:vAlign w:val="center"/>
          </w:tcPr>
          <w:p w14:paraId="2E601478">
            <w:pPr>
              <w:pStyle w:val="12"/>
              <w:jc w:val="center"/>
            </w:pPr>
            <w:r>
              <w:rPr>
                <w:rFonts w:hint="eastAsia"/>
              </w:rPr>
              <w:t>男</w:t>
            </w:r>
          </w:p>
        </w:tc>
        <w:tc>
          <w:tcPr>
            <w:tcW w:w="582" w:type="pct"/>
            <w:vAlign w:val="center"/>
          </w:tcPr>
          <w:p w14:paraId="4E588681">
            <w:pPr>
              <w:pStyle w:val="12"/>
              <w:jc w:val="center"/>
            </w:pPr>
            <w:r>
              <w:rPr>
                <w:rFonts w:hint="eastAsia"/>
              </w:rPr>
              <w:t>1908年</w:t>
            </w:r>
          </w:p>
        </w:tc>
        <w:tc>
          <w:tcPr>
            <w:tcW w:w="582" w:type="pct"/>
            <w:vAlign w:val="center"/>
          </w:tcPr>
          <w:p w14:paraId="5C01489C">
            <w:pPr>
              <w:pStyle w:val="12"/>
              <w:jc w:val="center"/>
            </w:pPr>
            <w:r>
              <w:rPr>
                <w:rFonts w:hint="eastAsia"/>
              </w:rPr>
              <w:t>雄州镇</w:t>
            </w:r>
          </w:p>
        </w:tc>
        <w:tc>
          <w:tcPr>
            <w:tcW w:w="582" w:type="pct"/>
            <w:vAlign w:val="center"/>
          </w:tcPr>
          <w:p w14:paraId="12429907">
            <w:pPr>
              <w:pStyle w:val="12"/>
              <w:jc w:val="center"/>
            </w:pPr>
            <w:r>
              <w:rPr>
                <w:rFonts w:hint="eastAsia"/>
              </w:rPr>
              <w:t>1940年</w:t>
            </w:r>
          </w:p>
        </w:tc>
        <w:tc>
          <w:tcPr>
            <w:tcW w:w="1066" w:type="pct"/>
            <w:vMerge w:val="continue"/>
            <w:vAlign w:val="center"/>
          </w:tcPr>
          <w:p w14:paraId="0AFAAC5C">
            <w:pPr>
              <w:pStyle w:val="12"/>
              <w:jc w:val="center"/>
            </w:pPr>
          </w:p>
        </w:tc>
        <w:tc>
          <w:tcPr>
            <w:tcW w:w="1162" w:type="pct"/>
            <w:vMerge w:val="continue"/>
            <w:vAlign w:val="center"/>
          </w:tcPr>
          <w:p w14:paraId="5DFC051D">
            <w:pPr>
              <w:pStyle w:val="12"/>
              <w:jc w:val="left"/>
            </w:pPr>
          </w:p>
        </w:tc>
      </w:tr>
      <w:tr w14:paraId="3FB27E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9763F9D">
            <w:pPr>
              <w:pStyle w:val="12"/>
              <w:jc w:val="center"/>
            </w:pPr>
            <w:r>
              <w:rPr>
                <w:rFonts w:hint="eastAsia"/>
              </w:rPr>
              <w:t>赖美淮</w:t>
            </w:r>
          </w:p>
        </w:tc>
        <w:tc>
          <w:tcPr>
            <w:tcW w:w="388" w:type="pct"/>
            <w:vAlign w:val="center"/>
          </w:tcPr>
          <w:p w14:paraId="4B104B69">
            <w:pPr>
              <w:pStyle w:val="12"/>
              <w:jc w:val="center"/>
            </w:pPr>
            <w:r>
              <w:rPr>
                <w:rFonts w:hint="eastAsia"/>
              </w:rPr>
              <w:t>男</w:t>
            </w:r>
          </w:p>
        </w:tc>
        <w:tc>
          <w:tcPr>
            <w:tcW w:w="582" w:type="pct"/>
            <w:vAlign w:val="center"/>
          </w:tcPr>
          <w:p w14:paraId="104CBA3B">
            <w:pPr>
              <w:pStyle w:val="12"/>
              <w:jc w:val="center"/>
            </w:pPr>
            <w:r>
              <w:rPr>
                <w:rFonts w:hint="eastAsia"/>
              </w:rPr>
              <w:t>1925年8月</w:t>
            </w:r>
          </w:p>
        </w:tc>
        <w:tc>
          <w:tcPr>
            <w:tcW w:w="582" w:type="pct"/>
            <w:vAlign w:val="center"/>
          </w:tcPr>
          <w:p w14:paraId="6C10B600">
            <w:pPr>
              <w:pStyle w:val="12"/>
              <w:jc w:val="center"/>
            </w:pPr>
            <w:r>
              <w:rPr>
                <w:rFonts w:hint="eastAsia"/>
              </w:rPr>
              <w:t>雄州镇</w:t>
            </w:r>
          </w:p>
        </w:tc>
        <w:tc>
          <w:tcPr>
            <w:tcW w:w="582" w:type="pct"/>
            <w:vAlign w:val="center"/>
          </w:tcPr>
          <w:p w14:paraId="21DAB7E2">
            <w:pPr>
              <w:pStyle w:val="12"/>
              <w:jc w:val="center"/>
            </w:pPr>
            <w:r>
              <w:rPr>
                <w:rFonts w:hint="eastAsia"/>
              </w:rPr>
              <w:t>1946年</w:t>
            </w:r>
          </w:p>
        </w:tc>
        <w:tc>
          <w:tcPr>
            <w:tcW w:w="1066" w:type="pct"/>
            <w:vAlign w:val="center"/>
          </w:tcPr>
          <w:p w14:paraId="5EA93AC6">
            <w:pPr>
              <w:pStyle w:val="12"/>
              <w:jc w:val="center"/>
            </w:pPr>
            <w:r>
              <w:rPr>
                <w:rFonts w:hint="eastAsia"/>
              </w:rPr>
              <w:t>游击队队长</w:t>
            </w:r>
          </w:p>
        </w:tc>
        <w:tc>
          <w:tcPr>
            <w:tcW w:w="1162" w:type="pct"/>
            <w:vAlign w:val="center"/>
          </w:tcPr>
          <w:p w14:paraId="292D3A39">
            <w:pPr>
              <w:pStyle w:val="12"/>
              <w:jc w:val="left"/>
            </w:pPr>
            <w:r>
              <w:rPr>
                <w:rFonts w:hint="eastAsia"/>
              </w:rPr>
              <w:t>1948年在黎口桥征集经费被捕就义</w:t>
            </w:r>
          </w:p>
        </w:tc>
      </w:tr>
      <w:tr w14:paraId="0016FE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8A80C4E">
            <w:pPr>
              <w:pStyle w:val="12"/>
              <w:jc w:val="center"/>
            </w:pPr>
            <w:r>
              <w:rPr>
                <w:rFonts w:hint="eastAsia"/>
              </w:rPr>
              <w:t>刘青辉</w:t>
            </w:r>
          </w:p>
        </w:tc>
        <w:tc>
          <w:tcPr>
            <w:tcW w:w="388" w:type="pct"/>
            <w:vAlign w:val="center"/>
          </w:tcPr>
          <w:p w14:paraId="1B86D93F">
            <w:pPr>
              <w:pStyle w:val="12"/>
              <w:jc w:val="center"/>
            </w:pPr>
            <w:r>
              <w:rPr>
                <w:rFonts w:hint="eastAsia"/>
              </w:rPr>
              <w:t>男</w:t>
            </w:r>
          </w:p>
        </w:tc>
        <w:tc>
          <w:tcPr>
            <w:tcW w:w="582" w:type="pct"/>
            <w:vAlign w:val="center"/>
          </w:tcPr>
          <w:p w14:paraId="2B8412F7">
            <w:pPr>
              <w:pStyle w:val="12"/>
              <w:jc w:val="center"/>
            </w:pPr>
            <w:r>
              <w:rPr>
                <w:rFonts w:hint="eastAsia"/>
              </w:rPr>
              <w:t>1904年10月</w:t>
            </w:r>
          </w:p>
        </w:tc>
        <w:tc>
          <w:tcPr>
            <w:tcW w:w="582" w:type="pct"/>
            <w:vAlign w:val="center"/>
          </w:tcPr>
          <w:p w14:paraId="5BD59A41">
            <w:pPr>
              <w:pStyle w:val="12"/>
              <w:jc w:val="center"/>
            </w:pPr>
            <w:r>
              <w:rPr>
                <w:rFonts w:hint="eastAsia"/>
              </w:rPr>
              <w:t>雄州镇</w:t>
            </w:r>
          </w:p>
        </w:tc>
        <w:tc>
          <w:tcPr>
            <w:tcW w:w="582" w:type="pct"/>
            <w:vAlign w:val="center"/>
          </w:tcPr>
          <w:p w14:paraId="75F6C4EA">
            <w:pPr>
              <w:pStyle w:val="12"/>
              <w:jc w:val="center"/>
            </w:pPr>
            <w:r>
              <w:rPr>
                <w:rFonts w:hint="eastAsia"/>
              </w:rPr>
              <w:t>1947年</w:t>
            </w:r>
          </w:p>
        </w:tc>
        <w:tc>
          <w:tcPr>
            <w:tcW w:w="1066" w:type="pct"/>
            <w:vAlign w:val="center"/>
          </w:tcPr>
          <w:p w14:paraId="03B12269">
            <w:pPr>
              <w:pStyle w:val="12"/>
              <w:jc w:val="center"/>
              <w:rPr>
                <w:rFonts w:ascii="宋体" w:hAnsi="宋体" w:cs="宋体"/>
              </w:rPr>
            </w:pPr>
            <w:r>
              <w:rPr>
                <w:rFonts w:hint="eastAsia"/>
              </w:rPr>
              <w:t>北江第二支</w:t>
            </w:r>
          </w:p>
          <w:p w14:paraId="4F83F086">
            <w:pPr>
              <w:pStyle w:val="12"/>
              <w:jc w:val="center"/>
            </w:pPr>
            <w:r>
              <w:rPr>
                <w:rFonts w:hint="eastAsia" w:ascii="宋体" w:hAnsi="宋体" w:cs="宋体"/>
              </w:rPr>
              <w:t>队  队  员</w:t>
            </w:r>
          </w:p>
        </w:tc>
        <w:tc>
          <w:tcPr>
            <w:tcW w:w="1162" w:type="pct"/>
            <w:vAlign w:val="center"/>
          </w:tcPr>
          <w:p w14:paraId="4519E780">
            <w:pPr>
              <w:pStyle w:val="12"/>
              <w:jc w:val="left"/>
            </w:pPr>
            <w:r>
              <w:rPr>
                <w:rFonts w:hint="eastAsia"/>
              </w:rPr>
              <w:t>1948年在县城郊就义</w:t>
            </w:r>
          </w:p>
        </w:tc>
      </w:tr>
      <w:tr w14:paraId="27E30B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2A1175A">
            <w:pPr>
              <w:pStyle w:val="12"/>
              <w:jc w:val="center"/>
            </w:pPr>
            <w:r>
              <w:rPr>
                <w:rFonts w:hint="eastAsia"/>
              </w:rPr>
              <w:t>何元生</w:t>
            </w:r>
          </w:p>
        </w:tc>
        <w:tc>
          <w:tcPr>
            <w:tcW w:w="388" w:type="pct"/>
            <w:vAlign w:val="center"/>
          </w:tcPr>
          <w:p w14:paraId="0EE3F5E4">
            <w:pPr>
              <w:pStyle w:val="12"/>
              <w:jc w:val="center"/>
            </w:pPr>
            <w:r>
              <w:rPr>
                <w:rFonts w:hint="eastAsia"/>
              </w:rPr>
              <w:t>男</w:t>
            </w:r>
          </w:p>
        </w:tc>
        <w:tc>
          <w:tcPr>
            <w:tcW w:w="582" w:type="pct"/>
            <w:vAlign w:val="center"/>
          </w:tcPr>
          <w:p w14:paraId="37E2FDCC">
            <w:pPr>
              <w:pStyle w:val="12"/>
              <w:jc w:val="center"/>
            </w:pPr>
            <w:r>
              <w:rPr>
                <w:rFonts w:hint="eastAsia"/>
              </w:rPr>
              <w:t>1923年</w:t>
            </w:r>
          </w:p>
        </w:tc>
        <w:tc>
          <w:tcPr>
            <w:tcW w:w="582" w:type="pct"/>
            <w:vAlign w:val="center"/>
          </w:tcPr>
          <w:p w14:paraId="133AAF11">
            <w:pPr>
              <w:pStyle w:val="12"/>
              <w:jc w:val="center"/>
            </w:pPr>
            <w:r>
              <w:rPr>
                <w:rFonts w:hint="eastAsia"/>
              </w:rPr>
              <w:t>油山镇</w:t>
            </w:r>
          </w:p>
        </w:tc>
        <w:tc>
          <w:tcPr>
            <w:tcW w:w="582" w:type="pct"/>
            <w:vAlign w:val="center"/>
          </w:tcPr>
          <w:p w14:paraId="1934CE8E">
            <w:pPr>
              <w:pStyle w:val="12"/>
              <w:jc w:val="center"/>
            </w:pPr>
            <w:r>
              <w:rPr>
                <w:rFonts w:hint="eastAsia"/>
              </w:rPr>
              <w:t>1947年</w:t>
            </w:r>
          </w:p>
        </w:tc>
        <w:tc>
          <w:tcPr>
            <w:tcW w:w="1066" w:type="pct"/>
            <w:vAlign w:val="center"/>
          </w:tcPr>
          <w:p w14:paraId="717798F9">
            <w:pPr>
              <w:pStyle w:val="12"/>
              <w:jc w:val="center"/>
              <w:rPr>
                <w:rFonts w:ascii="宋体" w:hAnsi="宋体" w:cs="宋体"/>
              </w:rPr>
            </w:pPr>
            <w:r>
              <w:rPr>
                <w:rFonts w:hint="eastAsia"/>
              </w:rPr>
              <w:t>北江第二支</w:t>
            </w:r>
          </w:p>
          <w:p w14:paraId="3C1ECAB4">
            <w:pPr>
              <w:pStyle w:val="12"/>
              <w:jc w:val="center"/>
            </w:pPr>
            <w:r>
              <w:rPr>
                <w:rFonts w:hint="eastAsia" w:ascii="宋体" w:hAnsi="宋体" w:cs="宋体"/>
              </w:rPr>
              <w:t>队  队  员</w:t>
            </w:r>
          </w:p>
        </w:tc>
        <w:tc>
          <w:tcPr>
            <w:tcW w:w="1162" w:type="pct"/>
            <w:vAlign w:val="center"/>
          </w:tcPr>
          <w:p w14:paraId="0082CDB1">
            <w:pPr>
              <w:pStyle w:val="12"/>
              <w:jc w:val="left"/>
            </w:pPr>
            <w:r>
              <w:rPr>
                <w:rFonts w:hint="eastAsia"/>
              </w:rPr>
              <w:t>1948年在邓坊执行任务被捕就义</w:t>
            </w:r>
          </w:p>
        </w:tc>
      </w:tr>
      <w:tr w14:paraId="0EFA46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890E7CA">
            <w:pPr>
              <w:pStyle w:val="12"/>
              <w:jc w:val="center"/>
            </w:pPr>
            <w:r>
              <w:rPr>
                <w:rFonts w:hint="eastAsia"/>
              </w:rPr>
              <w:t>龚胜标</w:t>
            </w:r>
          </w:p>
        </w:tc>
        <w:tc>
          <w:tcPr>
            <w:tcW w:w="388" w:type="pct"/>
            <w:vAlign w:val="center"/>
          </w:tcPr>
          <w:p w14:paraId="79836420">
            <w:pPr>
              <w:pStyle w:val="12"/>
              <w:jc w:val="center"/>
            </w:pPr>
            <w:r>
              <w:rPr>
                <w:rFonts w:hint="eastAsia"/>
              </w:rPr>
              <w:t>男</w:t>
            </w:r>
          </w:p>
        </w:tc>
        <w:tc>
          <w:tcPr>
            <w:tcW w:w="582" w:type="pct"/>
            <w:vAlign w:val="center"/>
          </w:tcPr>
          <w:p w14:paraId="1A15E051">
            <w:pPr>
              <w:pStyle w:val="12"/>
              <w:jc w:val="center"/>
            </w:pPr>
            <w:r>
              <w:rPr>
                <w:rFonts w:hint="eastAsia"/>
              </w:rPr>
              <w:t>1904年</w:t>
            </w:r>
          </w:p>
        </w:tc>
        <w:tc>
          <w:tcPr>
            <w:tcW w:w="582" w:type="pct"/>
            <w:vAlign w:val="center"/>
          </w:tcPr>
          <w:p w14:paraId="5C89C5F5">
            <w:pPr>
              <w:pStyle w:val="12"/>
              <w:jc w:val="center"/>
            </w:pPr>
            <w:r>
              <w:rPr>
                <w:rFonts w:hint="eastAsia"/>
              </w:rPr>
              <w:t>全安镇</w:t>
            </w:r>
          </w:p>
        </w:tc>
        <w:tc>
          <w:tcPr>
            <w:tcW w:w="582" w:type="pct"/>
            <w:vAlign w:val="center"/>
          </w:tcPr>
          <w:p w14:paraId="5128D8F5">
            <w:pPr>
              <w:pStyle w:val="12"/>
              <w:jc w:val="center"/>
            </w:pPr>
            <w:r>
              <w:rPr>
                <w:rFonts w:hint="eastAsia"/>
              </w:rPr>
              <w:t>1931年4月</w:t>
            </w:r>
          </w:p>
        </w:tc>
        <w:tc>
          <w:tcPr>
            <w:tcW w:w="1066" w:type="pct"/>
            <w:vAlign w:val="center"/>
          </w:tcPr>
          <w:p w14:paraId="5466AB94">
            <w:pPr>
              <w:pStyle w:val="12"/>
              <w:jc w:val="center"/>
            </w:pPr>
            <w:r>
              <w:rPr>
                <w:rFonts w:hint="eastAsia"/>
              </w:rPr>
              <w:t>东江纵队交通员</w:t>
            </w:r>
          </w:p>
        </w:tc>
        <w:tc>
          <w:tcPr>
            <w:tcW w:w="1162" w:type="pct"/>
            <w:vAlign w:val="center"/>
          </w:tcPr>
          <w:p w14:paraId="1FB0A6EC">
            <w:pPr>
              <w:pStyle w:val="12"/>
              <w:jc w:val="left"/>
            </w:pPr>
            <w:r>
              <w:rPr>
                <w:rFonts w:hint="eastAsia"/>
              </w:rPr>
              <w:t>1948年4月25日在当地被捕，在横水就义</w:t>
            </w:r>
          </w:p>
        </w:tc>
      </w:tr>
      <w:tr w14:paraId="07EF1A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DC261C5">
            <w:pPr>
              <w:pStyle w:val="12"/>
              <w:jc w:val="center"/>
            </w:pPr>
            <w:r>
              <w:rPr>
                <w:rFonts w:hint="eastAsia"/>
              </w:rPr>
              <w:t>吴石万</w:t>
            </w:r>
          </w:p>
        </w:tc>
        <w:tc>
          <w:tcPr>
            <w:tcW w:w="388" w:type="pct"/>
            <w:vAlign w:val="center"/>
          </w:tcPr>
          <w:p w14:paraId="0E2B9D80">
            <w:pPr>
              <w:pStyle w:val="12"/>
              <w:jc w:val="center"/>
            </w:pPr>
            <w:r>
              <w:rPr>
                <w:rFonts w:hint="eastAsia"/>
              </w:rPr>
              <w:t>男</w:t>
            </w:r>
          </w:p>
        </w:tc>
        <w:tc>
          <w:tcPr>
            <w:tcW w:w="582" w:type="pct"/>
            <w:vAlign w:val="center"/>
          </w:tcPr>
          <w:p w14:paraId="1BF593C1">
            <w:pPr>
              <w:pStyle w:val="12"/>
              <w:jc w:val="center"/>
            </w:pPr>
            <w:r>
              <w:rPr>
                <w:rFonts w:hint="eastAsia"/>
              </w:rPr>
              <w:t>—</w:t>
            </w:r>
          </w:p>
        </w:tc>
        <w:tc>
          <w:tcPr>
            <w:tcW w:w="582" w:type="pct"/>
            <w:vAlign w:val="center"/>
          </w:tcPr>
          <w:p w14:paraId="21F33A6C">
            <w:pPr>
              <w:pStyle w:val="12"/>
              <w:jc w:val="center"/>
            </w:pPr>
            <w:r>
              <w:rPr>
                <w:rFonts w:hint="eastAsia"/>
              </w:rPr>
              <w:t>珠玑镇</w:t>
            </w:r>
          </w:p>
        </w:tc>
        <w:tc>
          <w:tcPr>
            <w:tcW w:w="582" w:type="pct"/>
            <w:vAlign w:val="center"/>
          </w:tcPr>
          <w:p w14:paraId="602C5A81">
            <w:pPr>
              <w:pStyle w:val="12"/>
              <w:jc w:val="center"/>
            </w:pPr>
            <w:r>
              <w:rPr>
                <w:rFonts w:hint="eastAsia"/>
              </w:rPr>
              <w:t>1947年3月</w:t>
            </w:r>
          </w:p>
        </w:tc>
        <w:tc>
          <w:tcPr>
            <w:tcW w:w="1066" w:type="pct"/>
            <w:vAlign w:val="center"/>
          </w:tcPr>
          <w:p w14:paraId="039199C7">
            <w:pPr>
              <w:pStyle w:val="12"/>
              <w:jc w:val="center"/>
              <w:rPr>
                <w:rFonts w:ascii="宋体" w:hAnsi="宋体" w:cs="宋体"/>
              </w:rPr>
            </w:pPr>
            <w:r>
              <w:rPr>
                <w:rFonts w:hint="eastAsia"/>
              </w:rPr>
              <w:t>游击队员</w:t>
            </w:r>
          </w:p>
          <w:p w14:paraId="6E99B4BF">
            <w:pPr>
              <w:pStyle w:val="12"/>
              <w:jc w:val="center"/>
            </w:pPr>
            <w:r>
              <w:rPr>
                <w:rFonts w:hint="eastAsia" w:ascii="宋体" w:hAnsi="宋体" w:cs="宋体"/>
              </w:rPr>
              <w:t>（小鬼队）</w:t>
            </w:r>
          </w:p>
        </w:tc>
        <w:tc>
          <w:tcPr>
            <w:tcW w:w="1162" w:type="pct"/>
            <w:vAlign w:val="center"/>
          </w:tcPr>
          <w:p w14:paraId="08554168">
            <w:pPr>
              <w:pStyle w:val="12"/>
              <w:jc w:val="left"/>
            </w:pPr>
            <w:r>
              <w:rPr>
                <w:rFonts w:hint="eastAsia"/>
              </w:rPr>
              <w:t>1948年11月在始兴县马市坑尾村背牺牲</w:t>
            </w:r>
          </w:p>
        </w:tc>
      </w:tr>
      <w:tr w14:paraId="0EE671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86A3B3E">
            <w:pPr>
              <w:pStyle w:val="12"/>
              <w:jc w:val="center"/>
            </w:pPr>
            <w:r>
              <w:rPr>
                <w:rFonts w:hint="eastAsia"/>
              </w:rPr>
              <w:t>曾  伟</w:t>
            </w:r>
          </w:p>
        </w:tc>
        <w:tc>
          <w:tcPr>
            <w:tcW w:w="388" w:type="pct"/>
            <w:vAlign w:val="center"/>
          </w:tcPr>
          <w:p w14:paraId="48914D20">
            <w:pPr>
              <w:pStyle w:val="12"/>
              <w:jc w:val="center"/>
            </w:pPr>
            <w:r>
              <w:rPr>
                <w:rFonts w:hint="eastAsia"/>
              </w:rPr>
              <w:t>男</w:t>
            </w:r>
          </w:p>
        </w:tc>
        <w:tc>
          <w:tcPr>
            <w:tcW w:w="582" w:type="pct"/>
            <w:vAlign w:val="center"/>
          </w:tcPr>
          <w:p w14:paraId="515AC3EB">
            <w:pPr>
              <w:pStyle w:val="12"/>
              <w:jc w:val="center"/>
            </w:pPr>
            <w:r>
              <w:rPr>
                <w:rFonts w:hint="eastAsia"/>
              </w:rPr>
              <w:t>1911年</w:t>
            </w:r>
          </w:p>
        </w:tc>
        <w:tc>
          <w:tcPr>
            <w:tcW w:w="582" w:type="pct"/>
            <w:vAlign w:val="center"/>
          </w:tcPr>
          <w:p w14:paraId="09C001F6">
            <w:pPr>
              <w:pStyle w:val="12"/>
              <w:jc w:val="center"/>
            </w:pPr>
            <w:r>
              <w:rPr>
                <w:rFonts w:hint="eastAsia"/>
              </w:rPr>
              <w:t>湖口镇</w:t>
            </w:r>
          </w:p>
        </w:tc>
        <w:tc>
          <w:tcPr>
            <w:tcW w:w="582" w:type="pct"/>
            <w:vAlign w:val="center"/>
          </w:tcPr>
          <w:p w14:paraId="101AC5B0">
            <w:pPr>
              <w:pStyle w:val="12"/>
              <w:jc w:val="center"/>
            </w:pPr>
            <w:r>
              <w:rPr>
                <w:rFonts w:hint="eastAsia"/>
              </w:rPr>
              <w:t>1947年8月</w:t>
            </w:r>
          </w:p>
        </w:tc>
        <w:tc>
          <w:tcPr>
            <w:tcW w:w="1066" w:type="pct"/>
            <w:vAlign w:val="center"/>
          </w:tcPr>
          <w:p w14:paraId="12D74AED">
            <w:pPr>
              <w:pStyle w:val="12"/>
              <w:jc w:val="center"/>
            </w:pPr>
            <w:r>
              <w:rPr>
                <w:rFonts w:hint="eastAsia"/>
              </w:rPr>
              <w:t>土改政工队员</w:t>
            </w:r>
          </w:p>
        </w:tc>
        <w:tc>
          <w:tcPr>
            <w:tcW w:w="1162" w:type="pct"/>
            <w:vAlign w:val="center"/>
          </w:tcPr>
          <w:p w14:paraId="15E4C80B">
            <w:pPr>
              <w:pStyle w:val="12"/>
              <w:jc w:val="left"/>
            </w:pPr>
            <w:r>
              <w:rPr>
                <w:rFonts w:hint="eastAsia"/>
              </w:rPr>
              <w:t>1948年在邓坊被围捕就义</w:t>
            </w:r>
          </w:p>
        </w:tc>
      </w:tr>
      <w:tr w14:paraId="56F09B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A71E078">
            <w:pPr>
              <w:pStyle w:val="12"/>
              <w:jc w:val="center"/>
            </w:pPr>
            <w:r>
              <w:rPr>
                <w:rFonts w:hint="eastAsia"/>
              </w:rPr>
              <w:t>刘黑古</w:t>
            </w:r>
          </w:p>
        </w:tc>
        <w:tc>
          <w:tcPr>
            <w:tcW w:w="388" w:type="pct"/>
            <w:vAlign w:val="center"/>
          </w:tcPr>
          <w:p w14:paraId="62F24F29">
            <w:pPr>
              <w:pStyle w:val="12"/>
              <w:jc w:val="center"/>
            </w:pPr>
            <w:r>
              <w:rPr>
                <w:rFonts w:hint="eastAsia"/>
              </w:rPr>
              <w:t>男</w:t>
            </w:r>
          </w:p>
        </w:tc>
        <w:tc>
          <w:tcPr>
            <w:tcW w:w="582" w:type="pct"/>
            <w:vAlign w:val="center"/>
          </w:tcPr>
          <w:p w14:paraId="299A6AE2">
            <w:pPr>
              <w:pStyle w:val="12"/>
              <w:jc w:val="center"/>
            </w:pPr>
            <w:r>
              <w:rPr>
                <w:rFonts w:hint="eastAsia"/>
              </w:rPr>
              <w:t>1918年</w:t>
            </w:r>
          </w:p>
        </w:tc>
        <w:tc>
          <w:tcPr>
            <w:tcW w:w="582" w:type="pct"/>
            <w:vAlign w:val="center"/>
          </w:tcPr>
          <w:p w14:paraId="4584BAA4">
            <w:pPr>
              <w:pStyle w:val="12"/>
              <w:jc w:val="center"/>
            </w:pPr>
            <w:r>
              <w:rPr>
                <w:rFonts w:hint="eastAsia"/>
              </w:rPr>
              <w:t>湖口镇</w:t>
            </w:r>
          </w:p>
        </w:tc>
        <w:tc>
          <w:tcPr>
            <w:tcW w:w="582" w:type="pct"/>
            <w:vAlign w:val="center"/>
          </w:tcPr>
          <w:p w14:paraId="20284F83">
            <w:pPr>
              <w:pStyle w:val="12"/>
              <w:jc w:val="center"/>
            </w:pPr>
            <w:r>
              <w:rPr>
                <w:rFonts w:hint="eastAsia"/>
              </w:rPr>
              <w:t>1947年</w:t>
            </w:r>
          </w:p>
        </w:tc>
        <w:tc>
          <w:tcPr>
            <w:tcW w:w="1066" w:type="pct"/>
            <w:vAlign w:val="center"/>
          </w:tcPr>
          <w:p w14:paraId="4C9B7690">
            <w:pPr>
              <w:pStyle w:val="12"/>
              <w:jc w:val="center"/>
            </w:pPr>
            <w:r>
              <w:rPr>
                <w:rFonts w:hint="eastAsia"/>
              </w:rPr>
              <w:t>常备队队长</w:t>
            </w:r>
          </w:p>
        </w:tc>
        <w:tc>
          <w:tcPr>
            <w:tcW w:w="1162" w:type="pct"/>
            <w:vAlign w:val="center"/>
          </w:tcPr>
          <w:p w14:paraId="0B9C1206">
            <w:pPr>
              <w:pStyle w:val="12"/>
              <w:jc w:val="left"/>
            </w:pPr>
            <w:r>
              <w:rPr>
                <w:rFonts w:hint="eastAsia"/>
              </w:rPr>
              <w:t>1948年3月在岗围被捕，在珠玑就义</w:t>
            </w:r>
          </w:p>
        </w:tc>
      </w:tr>
      <w:tr w14:paraId="2B8550A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75B1362">
            <w:pPr>
              <w:pStyle w:val="12"/>
              <w:jc w:val="center"/>
            </w:pPr>
            <w:r>
              <w:rPr>
                <w:rFonts w:hint="eastAsia"/>
              </w:rPr>
              <w:t>曾显龄</w:t>
            </w:r>
          </w:p>
        </w:tc>
        <w:tc>
          <w:tcPr>
            <w:tcW w:w="388" w:type="pct"/>
            <w:vAlign w:val="center"/>
          </w:tcPr>
          <w:p w14:paraId="5D44130E">
            <w:pPr>
              <w:pStyle w:val="12"/>
              <w:jc w:val="center"/>
            </w:pPr>
            <w:r>
              <w:rPr>
                <w:rFonts w:hint="eastAsia"/>
              </w:rPr>
              <w:t>男</w:t>
            </w:r>
          </w:p>
        </w:tc>
        <w:tc>
          <w:tcPr>
            <w:tcW w:w="582" w:type="pct"/>
            <w:vAlign w:val="center"/>
          </w:tcPr>
          <w:p w14:paraId="2CE4EA15">
            <w:pPr>
              <w:pStyle w:val="12"/>
              <w:jc w:val="center"/>
            </w:pPr>
            <w:r>
              <w:rPr>
                <w:rFonts w:hint="eastAsia"/>
              </w:rPr>
              <w:t>1930年</w:t>
            </w:r>
          </w:p>
        </w:tc>
        <w:tc>
          <w:tcPr>
            <w:tcW w:w="582" w:type="pct"/>
            <w:vAlign w:val="center"/>
          </w:tcPr>
          <w:p w14:paraId="319C5E9E">
            <w:pPr>
              <w:pStyle w:val="12"/>
              <w:jc w:val="center"/>
            </w:pPr>
            <w:r>
              <w:rPr>
                <w:rFonts w:hint="eastAsia"/>
              </w:rPr>
              <w:t>湖口镇</w:t>
            </w:r>
          </w:p>
        </w:tc>
        <w:tc>
          <w:tcPr>
            <w:tcW w:w="582" w:type="pct"/>
            <w:vAlign w:val="center"/>
          </w:tcPr>
          <w:p w14:paraId="0F45FC18">
            <w:pPr>
              <w:pStyle w:val="12"/>
              <w:jc w:val="center"/>
            </w:pPr>
            <w:r>
              <w:rPr>
                <w:rFonts w:hint="eastAsia"/>
              </w:rPr>
              <w:t>1947年</w:t>
            </w:r>
          </w:p>
        </w:tc>
        <w:tc>
          <w:tcPr>
            <w:tcW w:w="1066" w:type="pct"/>
            <w:vAlign w:val="center"/>
          </w:tcPr>
          <w:p w14:paraId="6258BBD0">
            <w:pPr>
              <w:pStyle w:val="12"/>
              <w:jc w:val="center"/>
              <w:rPr>
                <w:rFonts w:ascii="宋体" w:hAnsi="宋体" w:cs="宋体"/>
              </w:rPr>
            </w:pPr>
            <w:r>
              <w:rPr>
                <w:rFonts w:hint="eastAsia"/>
              </w:rPr>
              <w:t>北江第二支</w:t>
            </w:r>
          </w:p>
          <w:p w14:paraId="540C50A2">
            <w:pPr>
              <w:pStyle w:val="12"/>
              <w:jc w:val="center"/>
            </w:pPr>
            <w:r>
              <w:rPr>
                <w:rFonts w:hint="eastAsia" w:ascii="宋体" w:hAnsi="宋体" w:cs="宋体"/>
              </w:rPr>
              <w:t>队  队  员</w:t>
            </w:r>
          </w:p>
        </w:tc>
        <w:tc>
          <w:tcPr>
            <w:tcW w:w="1162" w:type="pct"/>
            <w:vAlign w:val="center"/>
          </w:tcPr>
          <w:p w14:paraId="48F10961">
            <w:pPr>
              <w:pStyle w:val="12"/>
              <w:jc w:val="left"/>
            </w:pPr>
            <w:r>
              <w:rPr>
                <w:rFonts w:hint="eastAsia"/>
              </w:rPr>
              <w:t>1948年在中站被捕，在县城郊就义</w:t>
            </w:r>
          </w:p>
        </w:tc>
      </w:tr>
      <w:tr w14:paraId="6A9037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B2601DE">
            <w:pPr>
              <w:pStyle w:val="12"/>
              <w:jc w:val="center"/>
            </w:pPr>
            <w:r>
              <w:rPr>
                <w:rFonts w:hint="eastAsia"/>
              </w:rPr>
              <w:t>陈杉树养</w:t>
            </w:r>
          </w:p>
        </w:tc>
        <w:tc>
          <w:tcPr>
            <w:tcW w:w="388" w:type="pct"/>
            <w:vAlign w:val="center"/>
          </w:tcPr>
          <w:p w14:paraId="7EF32C8D">
            <w:pPr>
              <w:pStyle w:val="12"/>
              <w:jc w:val="center"/>
            </w:pPr>
            <w:r>
              <w:rPr>
                <w:rFonts w:hint="eastAsia"/>
              </w:rPr>
              <w:t>男</w:t>
            </w:r>
          </w:p>
        </w:tc>
        <w:tc>
          <w:tcPr>
            <w:tcW w:w="582" w:type="pct"/>
            <w:vAlign w:val="center"/>
          </w:tcPr>
          <w:p w14:paraId="4EE14681">
            <w:pPr>
              <w:pStyle w:val="12"/>
              <w:jc w:val="center"/>
            </w:pPr>
            <w:r>
              <w:rPr>
                <w:rFonts w:hint="eastAsia"/>
              </w:rPr>
              <w:t>1932年</w:t>
            </w:r>
          </w:p>
        </w:tc>
        <w:tc>
          <w:tcPr>
            <w:tcW w:w="582" w:type="pct"/>
            <w:vAlign w:val="center"/>
          </w:tcPr>
          <w:p w14:paraId="4363F70D">
            <w:pPr>
              <w:pStyle w:val="12"/>
              <w:jc w:val="center"/>
            </w:pPr>
            <w:r>
              <w:rPr>
                <w:rFonts w:hint="eastAsia"/>
              </w:rPr>
              <w:t>湖口镇</w:t>
            </w:r>
          </w:p>
        </w:tc>
        <w:tc>
          <w:tcPr>
            <w:tcW w:w="582" w:type="pct"/>
            <w:vAlign w:val="center"/>
          </w:tcPr>
          <w:p w14:paraId="43F3889B">
            <w:pPr>
              <w:pStyle w:val="12"/>
              <w:jc w:val="center"/>
            </w:pPr>
            <w:r>
              <w:rPr>
                <w:rFonts w:hint="eastAsia"/>
              </w:rPr>
              <w:t>1947年</w:t>
            </w:r>
          </w:p>
        </w:tc>
        <w:tc>
          <w:tcPr>
            <w:tcW w:w="1066" w:type="pct"/>
            <w:vAlign w:val="center"/>
          </w:tcPr>
          <w:p w14:paraId="51396732">
            <w:pPr>
              <w:pStyle w:val="12"/>
              <w:jc w:val="center"/>
            </w:pPr>
            <w:r>
              <w:rPr>
                <w:rFonts w:hint="eastAsia"/>
              </w:rPr>
              <w:t>游击队队员</w:t>
            </w:r>
          </w:p>
        </w:tc>
        <w:tc>
          <w:tcPr>
            <w:tcW w:w="1162" w:type="pct"/>
            <w:vAlign w:val="center"/>
          </w:tcPr>
          <w:p w14:paraId="05322D75">
            <w:pPr>
              <w:pStyle w:val="12"/>
              <w:jc w:val="left"/>
            </w:pPr>
            <w:r>
              <w:rPr>
                <w:rFonts w:hint="eastAsia"/>
              </w:rPr>
              <w:t>1948年在横水筹粮遭敌伏击牺牲</w:t>
            </w:r>
          </w:p>
        </w:tc>
      </w:tr>
      <w:tr w14:paraId="460F15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6ACC91C">
            <w:pPr>
              <w:pStyle w:val="12"/>
              <w:jc w:val="center"/>
            </w:pPr>
            <w:r>
              <w:rPr>
                <w:rFonts w:hint="eastAsia"/>
              </w:rPr>
              <w:t>陈  良</w:t>
            </w:r>
          </w:p>
        </w:tc>
        <w:tc>
          <w:tcPr>
            <w:tcW w:w="388" w:type="pct"/>
            <w:vAlign w:val="center"/>
          </w:tcPr>
          <w:p w14:paraId="400C94D9">
            <w:pPr>
              <w:pStyle w:val="12"/>
              <w:jc w:val="center"/>
            </w:pPr>
            <w:r>
              <w:rPr>
                <w:rFonts w:hint="eastAsia"/>
              </w:rPr>
              <w:t>男</w:t>
            </w:r>
          </w:p>
        </w:tc>
        <w:tc>
          <w:tcPr>
            <w:tcW w:w="582" w:type="pct"/>
            <w:vAlign w:val="center"/>
          </w:tcPr>
          <w:p w14:paraId="4D968300">
            <w:pPr>
              <w:pStyle w:val="12"/>
              <w:jc w:val="center"/>
            </w:pPr>
            <w:r>
              <w:rPr>
                <w:rFonts w:hint="eastAsia"/>
              </w:rPr>
              <w:t>1930年</w:t>
            </w:r>
          </w:p>
        </w:tc>
        <w:tc>
          <w:tcPr>
            <w:tcW w:w="582" w:type="pct"/>
            <w:vAlign w:val="center"/>
          </w:tcPr>
          <w:p w14:paraId="2C8C0512">
            <w:pPr>
              <w:pStyle w:val="12"/>
              <w:jc w:val="center"/>
            </w:pPr>
            <w:r>
              <w:rPr>
                <w:rFonts w:hint="eastAsia"/>
              </w:rPr>
              <w:t>湖口镇</w:t>
            </w:r>
          </w:p>
        </w:tc>
        <w:tc>
          <w:tcPr>
            <w:tcW w:w="582" w:type="pct"/>
            <w:vAlign w:val="center"/>
          </w:tcPr>
          <w:p w14:paraId="1F617A17">
            <w:pPr>
              <w:pStyle w:val="12"/>
              <w:jc w:val="center"/>
            </w:pPr>
            <w:r>
              <w:rPr>
                <w:rFonts w:hint="eastAsia"/>
              </w:rPr>
              <w:t>1947年</w:t>
            </w:r>
          </w:p>
        </w:tc>
        <w:tc>
          <w:tcPr>
            <w:tcW w:w="1066" w:type="pct"/>
            <w:vAlign w:val="center"/>
          </w:tcPr>
          <w:p w14:paraId="128B75CB">
            <w:pPr>
              <w:pStyle w:val="12"/>
              <w:jc w:val="center"/>
              <w:rPr>
                <w:rFonts w:ascii="宋体" w:hAnsi="宋体" w:cs="宋体"/>
              </w:rPr>
            </w:pPr>
            <w:r>
              <w:rPr>
                <w:rFonts w:hint="eastAsia"/>
              </w:rPr>
              <w:t>北江第二支</w:t>
            </w:r>
          </w:p>
          <w:p w14:paraId="1DD84969">
            <w:pPr>
              <w:pStyle w:val="12"/>
              <w:jc w:val="center"/>
            </w:pPr>
            <w:r>
              <w:rPr>
                <w:rFonts w:hint="eastAsia" w:ascii="宋体" w:hAnsi="宋体" w:cs="宋体"/>
              </w:rPr>
              <w:t>队  队  员</w:t>
            </w:r>
          </w:p>
        </w:tc>
        <w:tc>
          <w:tcPr>
            <w:tcW w:w="1162" w:type="pct"/>
            <w:vAlign w:val="center"/>
          </w:tcPr>
          <w:p w14:paraId="41F3AFDC">
            <w:pPr>
              <w:pStyle w:val="12"/>
              <w:jc w:val="left"/>
            </w:pPr>
            <w:r>
              <w:rPr>
                <w:rFonts w:hint="eastAsia"/>
              </w:rPr>
              <w:t>1948年在江西大余县游仙作战牺牲</w:t>
            </w:r>
          </w:p>
        </w:tc>
      </w:tr>
      <w:tr w14:paraId="4CEF86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178E606">
            <w:pPr>
              <w:pStyle w:val="12"/>
              <w:jc w:val="center"/>
            </w:pPr>
            <w:r>
              <w:rPr>
                <w:rFonts w:hint="eastAsia"/>
              </w:rPr>
              <w:t>张祥鉴</w:t>
            </w:r>
          </w:p>
        </w:tc>
        <w:tc>
          <w:tcPr>
            <w:tcW w:w="388" w:type="pct"/>
            <w:vAlign w:val="center"/>
          </w:tcPr>
          <w:p w14:paraId="28712DD9">
            <w:pPr>
              <w:pStyle w:val="12"/>
              <w:jc w:val="center"/>
            </w:pPr>
            <w:r>
              <w:rPr>
                <w:rFonts w:hint="eastAsia"/>
              </w:rPr>
              <w:t>男</w:t>
            </w:r>
          </w:p>
        </w:tc>
        <w:tc>
          <w:tcPr>
            <w:tcW w:w="582" w:type="pct"/>
            <w:vAlign w:val="center"/>
          </w:tcPr>
          <w:p w14:paraId="1DD3BD57">
            <w:pPr>
              <w:pStyle w:val="12"/>
              <w:jc w:val="center"/>
            </w:pPr>
            <w:r>
              <w:rPr>
                <w:rFonts w:hint="eastAsia"/>
              </w:rPr>
              <w:t>1913年</w:t>
            </w:r>
          </w:p>
        </w:tc>
        <w:tc>
          <w:tcPr>
            <w:tcW w:w="582" w:type="pct"/>
            <w:vAlign w:val="center"/>
          </w:tcPr>
          <w:p w14:paraId="21218CEC">
            <w:pPr>
              <w:pStyle w:val="12"/>
              <w:jc w:val="center"/>
            </w:pPr>
            <w:r>
              <w:rPr>
                <w:rFonts w:hint="eastAsia"/>
              </w:rPr>
              <w:t>湖口镇</w:t>
            </w:r>
          </w:p>
        </w:tc>
        <w:tc>
          <w:tcPr>
            <w:tcW w:w="582" w:type="pct"/>
            <w:vAlign w:val="center"/>
          </w:tcPr>
          <w:p w14:paraId="68C8D9CB">
            <w:pPr>
              <w:pStyle w:val="12"/>
              <w:jc w:val="center"/>
            </w:pPr>
            <w:r>
              <w:rPr>
                <w:rFonts w:hint="eastAsia"/>
              </w:rPr>
              <w:t>1947年</w:t>
            </w:r>
          </w:p>
        </w:tc>
        <w:tc>
          <w:tcPr>
            <w:tcW w:w="1066" w:type="pct"/>
            <w:vAlign w:val="center"/>
          </w:tcPr>
          <w:p w14:paraId="78589366">
            <w:pPr>
              <w:pStyle w:val="12"/>
              <w:jc w:val="center"/>
              <w:rPr>
                <w:rFonts w:ascii="宋体" w:hAnsi="宋体" w:cs="宋体"/>
              </w:rPr>
            </w:pPr>
            <w:r>
              <w:rPr>
                <w:rFonts w:hint="eastAsia"/>
              </w:rPr>
              <w:t>北江第二支</w:t>
            </w:r>
          </w:p>
          <w:p w14:paraId="2B7453C1">
            <w:pPr>
              <w:pStyle w:val="12"/>
              <w:jc w:val="center"/>
            </w:pPr>
            <w:r>
              <w:rPr>
                <w:rFonts w:hint="eastAsia" w:ascii="宋体" w:hAnsi="宋体" w:cs="宋体"/>
              </w:rPr>
              <w:t>队  队  员</w:t>
            </w:r>
          </w:p>
        </w:tc>
        <w:tc>
          <w:tcPr>
            <w:tcW w:w="1162" w:type="pct"/>
            <w:vAlign w:val="center"/>
          </w:tcPr>
          <w:p w14:paraId="6888C231">
            <w:pPr>
              <w:pStyle w:val="12"/>
              <w:jc w:val="left"/>
            </w:pPr>
            <w:r>
              <w:rPr>
                <w:rFonts w:hint="eastAsia"/>
              </w:rPr>
              <w:t>1948年在长浦桥被捕就义</w:t>
            </w:r>
          </w:p>
        </w:tc>
      </w:tr>
      <w:tr w14:paraId="578A1C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7967075">
            <w:pPr>
              <w:pStyle w:val="12"/>
              <w:jc w:val="center"/>
            </w:pPr>
            <w:r>
              <w:rPr>
                <w:rFonts w:hint="eastAsia"/>
              </w:rPr>
              <w:t>张祥祯</w:t>
            </w:r>
          </w:p>
        </w:tc>
        <w:tc>
          <w:tcPr>
            <w:tcW w:w="388" w:type="pct"/>
            <w:vAlign w:val="center"/>
          </w:tcPr>
          <w:p w14:paraId="737D7F56">
            <w:pPr>
              <w:pStyle w:val="12"/>
              <w:jc w:val="center"/>
            </w:pPr>
            <w:r>
              <w:rPr>
                <w:rFonts w:hint="eastAsia"/>
              </w:rPr>
              <w:t>男</w:t>
            </w:r>
          </w:p>
        </w:tc>
        <w:tc>
          <w:tcPr>
            <w:tcW w:w="582" w:type="pct"/>
            <w:vAlign w:val="center"/>
          </w:tcPr>
          <w:p w14:paraId="31B5A66C">
            <w:pPr>
              <w:pStyle w:val="12"/>
              <w:jc w:val="center"/>
            </w:pPr>
            <w:r>
              <w:rPr>
                <w:rFonts w:hint="eastAsia"/>
              </w:rPr>
              <w:t>1924年</w:t>
            </w:r>
          </w:p>
        </w:tc>
        <w:tc>
          <w:tcPr>
            <w:tcW w:w="582" w:type="pct"/>
            <w:vAlign w:val="center"/>
          </w:tcPr>
          <w:p w14:paraId="0FAF19BC">
            <w:pPr>
              <w:pStyle w:val="12"/>
              <w:jc w:val="center"/>
            </w:pPr>
            <w:r>
              <w:rPr>
                <w:rFonts w:hint="eastAsia"/>
              </w:rPr>
              <w:t>湖口镇</w:t>
            </w:r>
          </w:p>
        </w:tc>
        <w:tc>
          <w:tcPr>
            <w:tcW w:w="582" w:type="pct"/>
            <w:vAlign w:val="center"/>
          </w:tcPr>
          <w:p w14:paraId="3FD9B100">
            <w:pPr>
              <w:pStyle w:val="12"/>
              <w:jc w:val="center"/>
            </w:pPr>
            <w:r>
              <w:rPr>
                <w:rFonts w:hint="eastAsia"/>
              </w:rPr>
              <w:t>1947年</w:t>
            </w:r>
          </w:p>
        </w:tc>
        <w:tc>
          <w:tcPr>
            <w:tcW w:w="1066" w:type="pct"/>
            <w:vAlign w:val="center"/>
          </w:tcPr>
          <w:p w14:paraId="523588BC">
            <w:pPr>
              <w:pStyle w:val="12"/>
              <w:jc w:val="center"/>
              <w:rPr>
                <w:rFonts w:ascii="宋体" w:hAnsi="宋体" w:cs="宋体"/>
              </w:rPr>
            </w:pPr>
            <w:r>
              <w:rPr>
                <w:rFonts w:hint="eastAsia"/>
              </w:rPr>
              <w:t>北江第二支</w:t>
            </w:r>
          </w:p>
          <w:p w14:paraId="2BBC2A3B">
            <w:pPr>
              <w:pStyle w:val="12"/>
              <w:jc w:val="center"/>
            </w:pPr>
            <w:r>
              <w:rPr>
                <w:rFonts w:hint="eastAsia" w:ascii="宋体" w:hAnsi="宋体" w:cs="宋体"/>
              </w:rPr>
              <w:t>队  队  员</w:t>
            </w:r>
          </w:p>
        </w:tc>
        <w:tc>
          <w:tcPr>
            <w:tcW w:w="1162" w:type="pct"/>
            <w:vAlign w:val="center"/>
          </w:tcPr>
          <w:p w14:paraId="7F294DD2">
            <w:pPr>
              <w:pStyle w:val="12"/>
              <w:jc w:val="left"/>
            </w:pPr>
            <w:r>
              <w:rPr>
                <w:rFonts w:hint="eastAsia"/>
              </w:rPr>
              <w:t>1948年在麻塔石老屋被捕，在长市就义</w:t>
            </w:r>
          </w:p>
        </w:tc>
      </w:tr>
      <w:tr w14:paraId="0C0614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EF2A35D">
            <w:pPr>
              <w:pStyle w:val="12"/>
              <w:jc w:val="center"/>
            </w:pPr>
            <w:r>
              <w:rPr>
                <w:rFonts w:hint="eastAsia"/>
              </w:rPr>
              <w:t>张熙华</w:t>
            </w:r>
          </w:p>
        </w:tc>
        <w:tc>
          <w:tcPr>
            <w:tcW w:w="388" w:type="pct"/>
            <w:vAlign w:val="center"/>
          </w:tcPr>
          <w:p w14:paraId="15693A01">
            <w:pPr>
              <w:pStyle w:val="12"/>
              <w:jc w:val="center"/>
            </w:pPr>
            <w:r>
              <w:rPr>
                <w:rFonts w:hint="eastAsia"/>
              </w:rPr>
              <w:t>男</w:t>
            </w:r>
          </w:p>
        </w:tc>
        <w:tc>
          <w:tcPr>
            <w:tcW w:w="582" w:type="pct"/>
            <w:vAlign w:val="center"/>
          </w:tcPr>
          <w:p w14:paraId="4B60C74F">
            <w:pPr>
              <w:pStyle w:val="12"/>
              <w:jc w:val="center"/>
            </w:pPr>
            <w:r>
              <w:rPr>
                <w:rFonts w:hint="eastAsia"/>
              </w:rPr>
              <w:t>1917年</w:t>
            </w:r>
          </w:p>
        </w:tc>
        <w:tc>
          <w:tcPr>
            <w:tcW w:w="582" w:type="pct"/>
            <w:vAlign w:val="center"/>
          </w:tcPr>
          <w:p w14:paraId="2C18DB99">
            <w:pPr>
              <w:pStyle w:val="12"/>
              <w:jc w:val="center"/>
            </w:pPr>
            <w:r>
              <w:rPr>
                <w:rFonts w:hint="eastAsia"/>
              </w:rPr>
              <w:t>湖口镇</w:t>
            </w:r>
          </w:p>
        </w:tc>
        <w:tc>
          <w:tcPr>
            <w:tcW w:w="582" w:type="pct"/>
            <w:vAlign w:val="center"/>
          </w:tcPr>
          <w:p w14:paraId="5E27E73B">
            <w:pPr>
              <w:pStyle w:val="12"/>
              <w:jc w:val="center"/>
            </w:pPr>
            <w:r>
              <w:rPr>
                <w:rFonts w:hint="eastAsia"/>
              </w:rPr>
              <w:t>1947年</w:t>
            </w:r>
          </w:p>
        </w:tc>
        <w:tc>
          <w:tcPr>
            <w:tcW w:w="1066" w:type="pct"/>
            <w:vAlign w:val="center"/>
          </w:tcPr>
          <w:p w14:paraId="6D2BDD9D">
            <w:pPr>
              <w:pStyle w:val="12"/>
              <w:jc w:val="center"/>
              <w:rPr>
                <w:rFonts w:ascii="宋体" w:hAnsi="宋体" w:cs="宋体"/>
              </w:rPr>
            </w:pPr>
            <w:r>
              <w:rPr>
                <w:rFonts w:hint="eastAsia"/>
              </w:rPr>
              <w:t>北江第二支</w:t>
            </w:r>
          </w:p>
          <w:p w14:paraId="70CABF90">
            <w:pPr>
              <w:pStyle w:val="12"/>
              <w:jc w:val="center"/>
            </w:pPr>
            <w:r>
              <w:rPr>
                <w:rFonts w:hint="eastAsia" w:ascii="宋体" w:hAnsi="宋体" w:cs="宋体"/>
              </w:rPr>
              <w:t>队  队  员</w:t>
            </w:r>
          </w:p>
        </w:tc>
        <w:tc>
          <w:tcPr>
            <w:tcW w:w="1162" w:type="pct"/>
            <w:vAlign w:val="center"/>
          </w:tcPr>
          <w:p w14:paraId="580D5D8D">
            <w:pPr>
              <w:pStyle w:val="12"/>
              <w:jc w:val="left"/>
            </w:pPr>
            <w:r>
              <w:rPr>
                <w:rFonts w:hint="eastAsia"/>
              </w:rPr>
              <w:t>1948年在湖口被捕，在长浦桥就义</w:t>
            </w:r>
          </w:p>
        </w:tc>
      </w:tr>
      <w:tr w14:paraId="324049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782FD70">
            <w:pPr>
              <w:pStyle w:val="12"/>
              <w:jc w:val="center"/>
            </w:pPr>
            <w:r>
              <w:rPr>
                <w:rFonts w:hint="eastAsia"/>
              </w:rPr>
              <w:t>张祥方</w:t>
            </w:r>
          </w:p>
        </w:tc>
        <w:tc>
          <w:tcPr>
            <w:tcW w:w="388" w:type="pct"/>
            <w:vAlign w:val="center"/>
          </w:tcPr>
          <w:p w14:paraId="1376DBD4">
            <w:pPr>
              <w:pStyle w:val="12"/>
              <w:jc w:val="center"/>
            </w:pPr>
            <w:r>
              <w:rPr>
                <w:rFonts w:hint="eastAsia"/>
              </w:rPr>
              <w:t>男</w:t>
            </w:r>
          </w:p>
        </w:tc>
        <w:tc>
          <w:tcPr>
            <w:tcW w:w="582" w:type="pct"/>
            <w:vAlign w:val="center"/>
          </w:tcPr>
          <w:p w14:paraId="4F6F8960">
            <w:pPr>
              <w:pStyle w:val="12"/>
              <w:jc w:val="center"/>
            </w:pPr>
            <w:r>
              <w:rPr>
                <w:rFonts w:hint="eastAsia"/>
              </w:rPr>
              <w:t>1916年</w:t>
            </w:r>
          </w:p>
        </w:tc>
        <w:tc>
          <w:tcPr>
            <w:tcW w:w="582" w:type="pct"/>
            <w:vAlign w:val="center"/>
          </w:tcPr>
          <w:p w14:paraId="08158107">
            <w:pPr>
              <w:pStyle w:val="12"/>
              <w:jc w:val="center"/>
            </w:pPr>
            <w:r>
              <w:rPr>
                <w:rFonts w:hint="eastAsia"/>
              </w:rPr>
              <w:t>湖口镇</w:t>
            </w:r>
          </w:p>
        </w:tc>
        <w:tc>
          <w:tcPr>
            <w:tcW w:w="582" w:type="pct"/>
            <w:vAlign w:val="center"/>
          </w:tcPr>
          <w:p w14:paraId="2B68BA23">
            <w:pPr>
              <w:pStyle w:val="12"/>
              <w:jc w:val="center"/>
            </w:pPr>
            <w:r>
              <w:rPr>
                <w:rFonts w:hint="eastAsia"/>
              </w:rPr>
              <w:t>1947年</w:t>
            </w:r>
          </w:p>
        </w:tc>
        <w:tc>
          <w:tcPr>
            <w:tcW w:w="1066" w:type="pct"/>
            <w:vAlign w:val="center"/>
          </w:tcPr>
          <w:p w14:paraId="7A911B68">
            <w:pPr>
              <w:pStyle w:val="12"/>
              <w:jc w:val="center"/>
              <w:rPr>
                <w:rFonts w:ascii="宋体" w:hAnsi="宋体" w:cs="宋体"/>
              </w:rPr>
            </w:pPr>
            <w:r>
              <w:rPr>
                <w:rFonts w:hint="eastAsia"/>
              </w:rPr>
              <w:t>北江第二支</w:t>
            </w:r>
          </w:p>
          <w:p w14:paraId="222DCDE9">
            <w:pPr>
              <w:pStyle w:val="12"/>
              <w:jc w:val="center"/>
            </w:pPr>
            <w:r>
              <w:rPr>
                <w:rFonts w:hint="eastAsia" w:ascii="宋体" w:hAnsi="宋体" w:cs="宋体"/>
              </w:rPr>
              <w:t>队  队  员</w:t>
            </w:r>
          </w:p>
        </w:tc>
        <w:tc>
          <w:tcPr>
            <w:tcW w:w="1162" w:type="pct"/>
            <w:vAlign w:val="center"/>
          </w:tcPr>
          <w:p w14:paraId="09AD60C6">
            <w:pPr>
              <w:pStyle w:val="12"/>
              <w:jc w:val="left"/>
            </w:pPr>
            <w:r>
              <w:rPr>
                <w:rFonts w:hint="eastAsia"/>
              </w:rPr>
              <w:t>1948年在湖口被捕，在长浦桥就义</w:t>
            </w:r>
          </w:p>
        </w:tc>
      </w:tr>
      <w:tr w14:paraId="0AC726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805BECD">
            <w:pPr>
              <w:pStyle w:val="12"/>
              <w:jc w:val="center"/>
            </w:pPr>
            <w:r>
              <w:rPr>
                <w:rFonts w:hint="eastAsia"/>
              </w:rPr>
              <w:t>李应煌</w:t>
            </w:r>
          </w:p>
        </w:tc>
        <w:tc>
          <w:tcPr>
            <w:tcW w:w="388" w:type="pct"/>
            <w:vAlign w:val="center"/>
          </w:tcPr>
          <w:p w14:paraId="5577AB83">
            <w:pPr>
              <w:pStyle w:val="12"/>
              <w:jc w:val="center"/>
            </w:pPr>
            <w:r>
              <w:rPr>
                <w:rFonts w:hint="eastAsia"/>
              </w:rPr>
              <w:t>男</w:t>
            </w:r>
          </w:p>
        </w:tc>
        <w:tc>
          <w:tcPr>
            <w:tcW w:w="582" w:type="pct"/>
            <w:vAlign w:val="center"/>
          </w:tcPr>
          <w:p w14:paraId="0951D2D2">
            <w:pPr>
              <w:pStyle w:val="12"/>
              <w:jc w:val="center"/>
            </w:pPr>
            <w:r>
              <w:rPr>
                <w:rFonts w:hint="eastAsia"/>
              </w:rPr>
              <w:t>1921年</w:t>
            </w:r>
          </w:p>
        </w:tc>
        <w:tc>
          <w:tcPr>
            <w:tcW w:w="582" w:type="pct"/>
            <w:vAlign w:val="center"/>
          </w:tcPr>
          <w:p w14:paraId="2EE63255">
            <w:pPr>
              <w:pStyle w:val="12"/>
              <w:jc w:val="center"/>
            </w:pPr>
            <w:r>
              <w:rPr>
                <w:rFonts w:hint="eastAsia"/>
              </w:rPr>
              <w:t>湖口镇</w:t>
            </w:r>
          </w:p>
        </w:tc>
        <w:tc>
          <w:tcPr>
            <w:tcW w:w="582" w:type="pct"/>
            <w:vAlign w:val="center"/>
          </w:tcPr>
          <w:p w14:paraId="2BE6C0B2">
            <w:pPr>
              <w:pStyle w:val="12"/>
              <w:jc w:val="center"/>
            </w:pPr>
            <w:r>
              <w:rPr>
                <w:rFonts w:hint="eastAsia"/>
              </w:rPr>
              <w:t>1947年</w:t>
            </w:r>
          </w:p>
        </w:tc>
        <w:tc>
          <w:tcPr>
            <w:tcW w:w="1066" w:type="pct"/>
            <w:vAlign w:val="center"/>
          </w:tcPr>
          <w:p w14:paraId="493CA991">
            <w:pPr>
              <w:pStyle w:val="12"/>
              <w:jc w:val="center"/>
              <w:rPr>
                <w:rFonts w:ascii="宋体" w:hAnsi="宋体" w:cs="宋体"/>
              </w:rPr>
            </w:pPr>
            <w:r>
              <w:rPr>
                <w:rFonts w:hint="eastAsia"/>
              </w:rPr>
              <w:t>北江第二支</w:t>
            </w:r>
          </w:p>
          <w:p w14:paraId="60190D34">
            <w:pPr>
              <w:pStyle w:val="12"/>
              <w:jc w:val="center"/>
            </w:pPr>
            <w:r>
              <w:rPr>
                <w:rFonts w:hint="eastAsia" w:ascii="宋体" w:hAnsi="宋体" w:cs="宋体"/>
              </w:rPr>
              <w:t>队  队  员</w:t>
            </w:r>
          </w:p>
        </w:tc>
        <w:tc>
          <w:tcPr>
            <w:tcW w:w="1162" w:type="pct"/>
            <w:vAlign w:val="center"/>
          </w:tcPr>
          <w:p w14:paraId="31948AAD">
            <w:pPr>
              <w:pStyle w:val="12"/>
              <w:jc w:val="left"/>
            </w:pPr>
            <w:r>
              <w:rPr>
                <w:rFonts w:hint="eastAsia"/>
              </w:rPr>
              <w:t>1948年在里东侦察敌情，遭敌伏击牺牲</w:t>
            </w:r>
          </w:p>
        </w:tc>
      </w:tr>
      <w:tr w14:paraId="35221D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FB22789">
            <w:pPr>
              <w:pStyle w:val="12"/>
              <w:jc w:val="center"/>
            </w:pPr>
            <w:r>
              <w:rPr>
                <w:rFonts w:hint="eastAsia"/>
              </w:rPr>
              <w:t>罗立兴</w:t>
            </w:r>
          </w:p>
        </w:tc>
        <w:tc>
          <w:tcPr>
            <w:tcW w:w="388" w:type="pct"/>
            <w:vAlign w:val="center"/>
          </w:tcPr>
          <w:p w14:paraId="72B9E9EF">
            <w:pPr>
              <w:pStyle w:val="12"/>
              <w:jc w:val="center"/>
            </w:pPr>
            <w:r>
              <w:rPr>
                <w:rFonts w:hint="eastAsia"/>
              </w:rPr>
              <w:t>男</w:t>
            </w:r>
          </w:p>
        </w:tc>
        <w:tc>
          <w:tcPr>
            <w:tcW w:w="582" w:type="pct"/>
            <w:vAlign w:val="center"/>
          </w:tcPr>
          <w:p w14:paraId="0B46F3F3">
            <w:pPr>
              <w:pStyle w:val="12"/>
              <w:jc w:val="center"/>
            </w:pPr>
            <w:r>
              <w:rPr>
                <w:rFonts w:hint="eastAsia"/>
              </w:rPr>
              <w:t>1906年</w:t>
            </w:r>
          </w:p>
        </w:tc>
        <w:tc>
          <w:tcPr>
            <w:tcW w:w="582" w:type="pct"/>
            <w:vAlign w:val="center"/>
          </w:tcPr>
          <w:p w14:paraId="68691FD3">
            <w:pPr>
              <w:pStyle w:val="12"/>
              <w:jc w:val="center"/>
            </w:pPr>
            <w:r>
              <w:rPr>
                <w:rFonts w:hint="eastAsia"/>
              </w:rPr>
              <w:t>湖口镇</w:t>
            </w:r>
          </w:p>
        </w:tc>
        <w:tc>
          <w:tcPr>
            <w:tcW w:w="582" w:type="pct"/>
            <w:vAlign w:val="center"/>
          </w:tcPr>
          <w:p w14:paraId="2FF23E58">
            <w:pPr>
              <w:pStyle w:val="12"/>
              <w:jc w:val="center"/>
            </w:pPr>
            <w:r>
              <w:rPr>
                <w:rFonts w:hint="eastAsia"/>
              </w:rPr>
              <w:t>1948年2月</w:t>
            </w:r>
          </w:p>
        </w:tc>
        <w:tc>
          <w:tcPr>
            <w:tcW w:w="1066" w:type="pct"/>
            <w:vAlign w:val="center"/>
          </w:tcPr>
          <w:p w14:paraId="4A92DD65">
            <w:pPr>
              <w:pStyle w:val="12"/>
              <w:jc w:val="center"/>
              <w:rPr>
                <w:rFonts w:ascii="宋体" w:hAnsi="宋体" w:cs="宋体"/>
              </w:rPr>
            </w:pPr>
            <w:r>
              <w:rPr>
                <w:rFonts w:hint="eastAsia"/>
              </w:rPr>
              <w:t>北江第二支</w:t>
            </w:r>
          </w:p>
          <w:p w14:paraId="086CDE46">
            <w:pPr>
              <w:pStyle w:val="12"/>
              <w:jc w:val="center"/>
            </w:pPr>
            <w:r>
              <w:rPr>
                <w:rFonts w:hint="eastAsia" w:ascii="宋体" w:hAnsi="宋体" w:cs="宋体"/>
              </w:rPr>
              <w:t>队交通员</w:t>
            </w:r>
          </w:p>
        </w:tc>
        <w:tc>
          <w:tcPr>
            <w:tcW w:w="1162" w:type="pct"/>
            <w:vAlign w:val="center"/>
          </w:tcPr>
          <w:p w14:paraId="3DF7CD23">
            <w:pPr>
              <w:pStyle w:val="12"/>
              <w:jc w:val="left"/>
            </w:pPr>
            <w:r>
              <w:rPr>
                <w:rFonts w:hint="eastAsia"/>
              </w:rPr>
              <w:t>1948年6月在县城被捕就义</w:t>
            </w:r>
          </w:p>
        </w:tc>
      </w:tr>
      <w:tr w14:paraId="670F4C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2F76604">
            <w:pPr>
              <w:pStyle w:val="12"/>
              <w:jc w:val="center"/>
            </w:pPr>
            <w:r>
              <w:rPr>
                <w:rFonts w:hint="eastAsia"/>
              </w:rPr>
              <w:t>徐道海</w:t>
            </w:r>
          </w:p>
        </w:tc>
        <w:tc>
          <w:tcPr>
            <w:tcW w:w="388" w:type="pct"/>
            <w:vAlign w:val="center"/>
          </w:tcPr>
          <w:p w14:paraId="0FA0ED6F">
            <w:pPr>
              <w:pStyle w:val="12"/>
              <w:jc w:val="center"/>
            </w:pPr>
            <w:r>
              <w:rPr>
                <w:rFonts w:hint="eastAsia"/>
              </w:rPr>
              <w:t>男</w:t>
            </w:r>
          </w:p>
        </w:tc>
        <w:tc>
          <w:tcPr>
            <w:tcW w:w="582" w:type="pct"/>
            <w:vAlign w:val="center"/>
          </w:tcPr>
          <w:p w14:paraId="03E30DED">
            <w:pPr>
              <w:pStyle w:val="12"/>
              <w:jc w:val="center"/>
            </w:pPr>
            <w:r>
              <w:rPr>
                <w:rFonts w:hint="eastAsia"/>
              </w:rPr>
              <w:t>1916年</w:t>
            </w:r>
          </w:p>
        </w:tc>
        <w:tc>
          <w:tcPr>
            <w:tcW w:w="582" w:type="pct"/>
            <w:vAlign w:val="center"/>
          </w:tcPr>
          <w:p w14:paraId="32BA93B0">
            <w:pPr>
              <w:pStyle w:val="12"/>
              <w:jc w:val="center"/>
            </w:pPr>
            <w:r>
              <w:rPr>
                <w:rFonts w:hint="eastAsia"/>
              </w:rPr>
              <w:t>湖口镇</w:t>
            </w:r>
          </w:p>
        </w:tc>
        <w:tc>
          <w:tcPr>
            <w:tcW w:w="582" w:type="pct"/>
            <w:vAlign w:val="center"/>
          </w:tcPr>
          <w:p w14:paraId="19C55698">
            <w:pPr>
              <w:pStyle w:val="12"/>
              <w:jc w:val="center"/>
            </w:pPr>
            <w:r>
              <w:rPr>
                <w:rFonts w:hint="eastAsia"/>
              </w:rPr>
              <w:t>1947年</w:t>
            </w:r>
          </w:p>
        </w:tc>
        <w:tc>
          <w:tcPr>
            <w:tcW w:w="1066" w:type="pct"/>
            <w:vAlign w:val="center"/>
          </w:tcPr>
          <w:p w14:paraId="09ADBA89">
            <w:pPr>
              <w:pStyle w:val="12"/>
              <w:jc w:val="center"/>
              <w:rPr>
                <w:rFonts w:ascii="宋体" w:hAnsi="宋体" w:cs="宋体"/>
              </w:rPr>
            </w:pPr>
            <w:r>
              <w:rPr>
                <w:rFonts w:hint="eastAsia"/>
              </w:rPr>
              <w:t>北江第二支</w:t>
            </w:r>
          </w:p>
          <w:p w14:paraId="2646AEE9">
            <w:pPr>
              <w:pStyle w:val="12"/>
              <w:jc w:val="center"/>
            </w:pPr>
            <w:r>
              <w:rPr>
                <w:rFonts w:hint="eastAsia" w:ascii="宋体" w:hAnsi="宋体" w:cs="宋体"/>
              </w:rPr>
              <w:t>队  队  员</w:t>
            </w:r>
          </w:p>
        </w:tc>
        <w:tc>
          <w:tcPr>
            <w:tcW w:w="1162" w:type="pct"/>
            <w:vAlign w:val="center"/>
          </w:tcPr>
          <w:p w14:paraId="7615B100">
            <w:pPr>
              <w:pStyle w:val="12"/>
              <w:jc w:val="left"/>
            </w:pPr>
            <w:r>
              <w:rPr>
                <w:rFonts w:hint="eastAsia"/>
              </w:rPr>
              <w:t>1948年1月27日，在江西崇义县文英圩轮机坳战斗牺牲</w:t>
            </w:r>
          </w:p>
        </w:tc>
      </w:tr>
      <w:tr w14:paraId="3C7F8C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F176913">
            <w:pPr>
              <w:pStyle w:val="12"/>
              <w:jc w:val="center"/>
            </w:pPr>
            <w:r>
              <w:rPr>
                <w:rFonts w:hint="eastAsia"/>
              </w:rPr>
              <w:t>李春生</w:t>
            </w:r>
          </w:p>
        </w:tc>
        <w:tc>
          <w:tcPr>
            <w:tcW w:w="388" w:type="pct"/>
            <w:vAlign w:val="center"/>
          </w:tcPr>
          <w:p w14:paraId="75B0E8B0">
            <w:pPr>
              <w:pStyle w:val="12"/>
              <w:jc w:val="center"/>
            </w:pPr>
            <w:r>
              <w:rPr>
                <w:rFonts w:hint="eastAsia"/>
              </w:rPr>
              <w:t>男</w:t>
            </w:r>
          </w:p>
        </w:tc>
        <w:tc>
          <w:tcPr>
            <w:tcW w:w="582" w:type="pct"/>
            <w:vAlign w:val="center"/>
          </w:tcPr>
          <w:p w14:paraId="516C679D">
            <w:pPr>
              <w:pStyle w:val="12"/>
              <w:jc w:val="center"/>
            </w:pPr>
            <w:r>
              <w:rPr>
                <w:rFonts w:hint="eastAsia"/>
              </w:rPr>
              <w:t>1925年</w:t>
            </w:r>
          </w:p>
        </w:tc>
        <w:tc>
          <w:tcPr>
            <w:tcW w:w="582" w:type="pct"/>
            <w:vAlign w:val="center"/>
          </w:tcPr>
          <w:p w14:paraId="7F01C6B4">
            <w:pPr>
              <w:pStyle w:val="12"/>
              <w:jc w:val="center"/>
            </w:pPr>
            <w:r>
              <w:rPr>
                <w:rFonts w:hint="eastAsia"/>
              </w:rPr>
              <w:t>湖口镇</w:t>
            </w:r>
          </w:p>
        </w:tc>
        <w:tc>
          <w:tcPr>
            <w:tcW w:w="582" w:type="pct"/>
            <w:vAlign w:val="center"/>
          </w:tcPr>
          <w:p w14:paraId="2F7CAD81">
            <w:pPr>
              <w:pStyle w:val="12"/>
              <w:jc w:val="center"/>
            </w:pPr>
            <w:r>
              <w:rPr>
                <w:rFonts w:hint="eastAsia"/>
              </w:rPr>
              <w:t>1947年</w:t>
            </w:r>
          </w:p>
        </w:tc>
        <w:tc>
          <w:tcPr>
            <w:tcW w:w="1066" w:type="pct"/>
            <w:vAlign w:val="center"/>
          </w:tcPr>
          <w:p w14:paraId="5384C1FF">
            <w:pPr>
              <w:pStyle w:val="12"/>
              <w:jc w:val="center"/>
              <w:rPr>
                <w:rFonts w:ascii="宋体" w:hAnsi="宋体" w:cs="宋体"/>
              </w:rPr>
            </w:pPr>
            <w:r>
              <w:rPr>
                <w:rFonts w:hint="eastAsia"/>
              </w:rPr>
              <w:t>北江第二支</w:t>
            </w:r>
          </w:p>
          <w:p w14:paraId="75DA420A">
            <w:pPr>
              <w:pStyle w:val="12"/>
              <w:jc w:val="center"/>
            </w:pPr>
            <w:r>
              <w:rPr>
                <w:rFonts w:hint="eastAsia" w:ascii="宋体" w:hAnsi="宋体" w:cs="宋体"/>
              </w:rPr>
              <w:t>队交通员</w:t>
            </w:r>
          </w:p>
        </w:tc>
        <w:tc>
          <w:tcPr>
            <w:tcW w:w="1162" w:type="pct"/>
            <w:vAlign w:val="center"/>
          </w:tcPr>
          <w:p w14:paraId="60E9C017">
            <w:pPr>
              <w:pStyle w:val="12"/>
              <w:jc w:val="left"/>
            </w:pPr>
            <w:r>
              <w:rPr>
                <w:rFonts w:hint="eastAsia"/>
              </w:rPr>
              <w:t>1948年4月18日在江西大余县吉村购药被敌伏击牺牲</w:t>
            </w:r>
          </w:p>
        </w:tc>
      </w:tr>
      <w:tr w14:paraId="56555A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8997613">
            <w:pPr>
              <w:pStyle w:val="12"/>
              <w:jc w:val="center"/>
            </w:pPr>
            <w:r>
              <w:rPr>
                <w:rFonts w:hint="eastAsia"/>
              </w:rPr>
              <w:t>刘荣兰</w:t>
            </w:r>
          </w:p>
        </w:tc>
        <w:tc>
          <w:tcPr>
            <w:tcW w:w="388" w:type="pct"/>
            <w:vAlign w:val="center"/>
          </w:tcPr>
          <w:p w14:paraId="4100F843">
            <w:pPr>
              <w:pStyle w:val="12"/>
              <w:jc w:val="center"/>
            </w:pPr>
            <w:r>
              <w:rPr>
                <w:rFonts w:hint="eastAsia"/>
              </w:rPr>
              <w:t>男</w:t>
            </w:r>
          </w:p>
        </w:tc>
        <w:tc>
          <w:tcPr>
            <w:tcW w:w="582" w:type="pct"/>
            <w:vAlign w:val="center"/>
          </w:tcPr>
          <w:p w14:paraId="011232C4">
            <w:pPr>
              <w:pStyle w:val="12"/>
              <w:jc w:val="center"/>
            </w:pPr>
            <w:r>
              <w:rPr>
                <w:rFonts w:hint="eastAsia"/>
              </w:rPr>
              <w:t>1918年</w:t>
            </w:r>
          </w:p>
        </w:tc>
        <w:tc>
          <w:tcPr>
            <w:tcW w:w="582" w:type="pct"/>
            <w:vAlign w:val="center"/>
          </w:tcPr>
          <w:p w14:paraId="0F8C4A55">
            <w:pPr>
              <w:pStyle w:val="12"/>
              <w:jc w:val="center"/>
            </w:pPr>
            <w:r>
              <w:rPr>
                <w:rFonts w:hint="eastAsia"/>
              </w:rPr>
              <w:t>湖口镇</w:t>
            </w:r>
          </w:p>
        </w:tc>
        <w:tc>
          <w:tcPr>
            <w:tcW w:w="582" w:type="pct"/>
            <w:vAlign w:val="center"/>
          </w:tcPr>
          <w:p w14:paraId="262E4D6D">
            <w:pPr>
              <w:pStyle w:val="12"/>
              <w:jc w:val="center"/>
            </w:pPr>
            <w:r>
              <w:rPr>
                <w:rFonts w:hint="eastAsia"/>
              </w:rPr>
              <w:t>1947年</w:t>
            </w:r>
          </w:p>
        </w:tc>
        <w:tc>
          <w:tcPr>
            <w:tcW w:w="1066" w:type="pct"/>
            <w:vAlign w:val="center"/>
          </w:tcPr>
          <w:p w14:paraId="57289A2A">
            <w:pPr>
              <w:pStyle w:val="12"/>
              <w:jc w:val="center"/>
              <w:rPr>
                <w:rFonts w:ascii="宋体" w:hAnsi="宋体" w:cs="宋体"/>
              </w:rPr>
            </w:pPr>
            <w:r>
              <w:rPr>
                <w:rFonts w:hint="eastAsia"/>
              </w:rPr>
              <w:t>北江第二支</w:t>
            </w:r>
          </w:p>
          <w:p w14:paraId="2C15DD74">
            <w:pPr>
              <w:pStyle w:val="12"/>
              <w:jc w:val="center"/>
            </w:pPr>
            <w:r>
              <w:rPr>
                <w:rFonts w:hint="eastAsia" w:ascii="宋体" w:hAnsi="宋体" w:cs="宋体"/>
              </w:rPr>
              <w:t>队  队  员</w:t>
            </w:r>
          </w:p>
        </w:tc>
        <w:tc>
          <w:tcPr>
            <w:tcW w:w="1162" w:type="pct"/>
            <w:vAlign w:val="center"/>
          </w:tcPr>
          <w:p w14:paraId="4AA291FD">
            <w:pPr>
              <w:pStyle w:val="12"/>
              <w:jc w:val="left"/>
            </w:pPr>
            <w:r>
              <w:rPr>
                <w:rFonts w:hint="eastAsia"/>
              </w:rPr>
              <w:t>1948年在里东龙凤庵被捕就义</w:t>
            </w:r>
          </w:p>
        </w:tc>
      </w:tr>
      <w:tr w14:paraId="0C8643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D547EEF">
            <w:pPr>
              <w:pStyle w:val="12"/>
              <w:jc w:val="center"/>
            </w:pPr>
            <w:r>
              <w:rPr>
                <w:rFonts w:hint="eastAsia"/>
              </w:rPr>
              <w:t>饶  辉</w:t>
            </w:r>
          </w:p>
        </w:tc>
        <w:tc>
          <w:tcPr>
            <w:tcW w:w="388" w:type="pct"/>
            <w:vAlign w:val="center"/>
          </w:tcPr>
          <w:p w14:paraId="62A34407">
            <w:pPr>
              <w:pStyle w:val="12"/>
              <w:jc w:val="center"/>
            </w:pPr>
            <w:r>
              <w:rPr>
                <w:rFonts w:hint="eastAsia"/>
              </w:rPr>
              <w:t>男</w:t>
            </w:r>
          </w:p>
        </w:tc>
        <w:tc>
          <w:tcPr>
            <w:tcW w:w="582" w:type="pct"/>
            <w:vAlign w:val="center"/>
          </w:tcPr>
          <w:p w14:paraId="30603912">
            <w:pPr>
              <w:pStyle w:val="12"/>
              <w:jc w:val="center"/>
            </w:pPr>
            <w:r>
              <w:rPr>
                <w:rFonts w:hint="eastAsia"/>
              </w:rPr>
              <w:t>1926年</w:t>
            </w:r>
          </w:p>
        </w:tc>
        <w:tc>
          <w:tcPr>
            <w:tcW w:w="582" w:type="pct"/>
            <w:vAlign w:val="center"/>
          </w:tcPr>
          <w:p w14:paraId="35598887">
            <w:pPr>
              <w:pStyle w:val="12"/>
              <w:jc w:val="center"/>
            </w:pPr>
            <w:r>
              <w:rPr>
                <w:rFonts w:hint="eastAsia"/>
              </w:rPr>
              <w:t>湖口镇</w:t>
            </w:r>
          </w:p>
        </w:tc>
        <w:tc>
          <w:tcPr>
            <w:tcW w:w="582" w:type="pct"/>
            <w:vAlign w:val="center"/>
          </w:tcPr>
          <w:p w14:paraId="1C659561">
            <w:pPr>
              <w:pStyle w:val="12"/>
              <w:jc w:val="center"/>
            </w:pPr>
            <w:r>
              <w:rPr>
                <w:rFonts w:hint="eastAsia"/>
              </w:rPr>
              <w:t>1947年</w:t>
            </w:r>
          </w:p>
        </w:tc>
        <w:tc>
          <w:tcPr>
            <w:tcW w:w="1066" w:type="pct"/>
            <w:vAlign w:val="center"/>
          </w:tcPr>
          <w:p w14:paraId="38FA39A9">
            <w:pPr>
              <w:pStyle w:val="12"/>
              <w:jc w:val="center"/>
              <w:rPr>
                <w:rFonts w:ascii="宋体" w:hAnsi="宋体" w:cs="宋体"/>
              </w:rPr>
            </w:pPr>
            <w:r>
              <w:rPr>
                <w:rFonts w:hint="eastAsia"/>
              </w:rPr>
              <w:t>北江第二支</w:t>
            </w:r>
          </w:p>
          <w:p w14:paraId="3814658D">
            <w:pPr>
              <w:pStyle w:val="12"/>
              <w:jc w:val="center"/>
            </w:pPr>
            <w:r>
              <w:rPr>
                <w:rFonts w:hint="eastAsia" w:ascii="宋体" w:hAnsi="宋体" w:cs="宋体"/>
              </w:rPr>
              <w:t>队  队  员</w:t>
            </w:r>
          </w:p>
        </w:tc>
        <w:tc>
          <w:tcPr>
            <w:tcW w:w="1162" w:type="pct"/>
            <w:vAlign w:val="center"/>
          </w:tcPr>
          <w:p w14:paraId="6568850C">
            <w:pPr>
              <w:pStyle w:val="12"/>
              <w:jc w:val="left"/>
            </w:pPr>
            <w:r>
              <w:rPr>
                <w:rFonts w:hint="eastAsia"/>
              </w:rPr>
              <w:t>1948年12月在大塘战斗牺牲</w:t>
            </w:r>
          </w:p>
        </w:tc>
      </w:tr>
      <w:tr w14:paraId="51C8BC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239C75A">
            <w:pPr>
              <w:pStyle w:val="12"/>
              <w:jc w:val="center"/>
            </w:pPr>
            <w:r>
              <w:rPr>
                <w:rFonts w:hint="eastAsia"/>
              </w:rPr>
              <w:t>张仕坤</w:t>
            </w:r>
          </w:p>
        </w:tc>
        <w:tc>
          <w:tcPr>
            <w:tcW w:w="388" w:type="pct"/>
            <w:vAlign w:val="center"/>
          </w:tcPr>
          <w:p w14:paraId="4A3CCD37">
            <w:pPr>
              <w:pStyle w:val="12"/>
              <w:jc w:val="center"/>
            </w:pPr>
            <w:r>
              <w:rPr>
                <w:rFonts w:hint="eastAsia"/>
              </w:rPr>
              <w:t>男</w:t>
            </w:r>
          </w:p>
        </w:tc>
        <w:tc>
          <w:tcPr>
            <w:tcW w:w="582" w:type="pct"/>
            <w:vAlign w:val="center"/>
          </w:tcPr>
          <w:p w14:paraId="426101FC">
            <w:pPr>
              <w:pStyle w:val="12"/>
              <w:jc w:val="center"/>
            </w:pPr>
            <w:r>
              <w:rPr>
                <w:rFonts w:hint="eastAsia"/>
              </w:rPr>
              <w:t>1930年</w:t>
            </w:r>
          </w:p>
        </w:tc>
        <w:tc>
          <w:tcPr>
            <w:tcW w:w="582" w:type="pct"/>
            <w:vAlign w:val="center"/>
          </w:tcPr>
          <w:p w14:paraId="53F87C53">
            <w:pPr>
              <w:pStyle w:val="12"/>
              <w:jc w:val="center"/>
            </w:pPr>
            <w:r>
              <w:rPr>
                <w:rFonts w:hint="eastAsia"/>
              </w:rPr>
              <w:t>湖口镇</w:t>
            </w:r>
          </w:p>
        </w:tc>
        <w:tc>
          <w:tcPr>
            <w:tcW w:w="582" w:type="pct"/>
            <w:vAlign w:val="center"/>
          </w:tcPr>
          <w:p w14:paraId="7F3A9A7C">
            <w:pPr>
              <w:pStyle w:val="12"/>
              <w:jc w:val="center"/>
            </w:pPr>
            <w:r>
              <w:rPr>
                <w:rFonts w:hint="eastAsia"/>
              </w:rPr>
              <w:t>1948年</w:t>
            </w:r>
          </w:p>
        </w:tc>
        <w:tc>
          <w:tcPr>
            <w:tcW w:w="1066" w:type="pct"/>
            <w:vAlign w:val="center"/>
          </w:tcPr>
          <w:p w14:paraId="109B95B3">
            <w:pPr>
              <w:pStyle w:val="12"/>
              <w:jc w:val="center"/>
              <w:rPr>
                <w:rFonts w:ascii="宋体" w:hAnsi="宋体" w:cs="宋体"/>
              </w:rPr>
            </w:pPr>
            <w:r>
              <w:rPr>
                <w:rFonts w:hint="eastAsia"/>
              </w:rPr>
              <w:t>中国人民解</w:t>
            </w:r>
          </w:p>
          <w:p w14:paraId="5D29E243">
            <w:pPr>
              <w:pStyle w:val="12"/>
              <w:jc w:val="center"/>
            </w:pPr>
            <w:r>
              <w:rPr>
                <w:rFonts w:hint="eastAsia" w:ascii="宋体" w:hAnsi="宋体" w:cs="宋体"/>
              </w:rPr>
              <w:t>放军文化教员</w:t>
            </w:r>
          </w:p>
        </w:tc>
        <w:tc>
          <w:tcPr>
            <w:tcW w:w="1162" w:type="pct"/>
            <w:vAlign w:val="center"/>
          </w:tcPr>
          <w:p w14:paraId="38D056A8">
            <w:pPr>
              <w:pStyle w:val="12"/>
              <w:jc w:val="left"/>
            </w:pPr>
            <w:r>
              <w:rPr>
                <w:rFonts w:hint="eastAsia"/>
              </w:rPr>
              <w:t>1948年在江西崇义县行军病逝</w:t>
            </w:r>
          </w:p>
        </w:tc>
      </w:tr>
      <w:tr w14:paraId="1B0B74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A74F628">
            <w:pPr>
              <w:pStyle w:val="12"/>
              <w:jc w:val="center"/>
            </w:pPr>
            <w:r>
              <w:rPr>
                <w:rFonts w:hint="eastAsia"/>
              </w:rPr>
              <w:t>黄履标</w:t>
            </w:r>
          </w:p>
        </w:tc>
        <w:tc>
          <w:tcPr>
            <w:tcW w:w="388" w:type="pct"/>
            <w:vAlign w:val="center"/>
          </w:tcPr>
          <w:p w14:paraId="100ADBFE">
            <w:pPr>
              <w:pStyle w:val="12"/>
              <w:jc w:val="center"/>
            </w:pPr>
            <w:r>
              <w:rPr>
                <w:rFonts w:hint="eastAsia"/>
              </w:rPr>
              <w:t>男</w:t>
            </w:r>
          </w:p>
        </w:tc>
        <w:tc>
          <w:tcPr>
            <w:tcW w:w="582" w:type="pct"/>
            <w:vAlign w:val="center"/>
          </w:tcPr>
          <w:p w14:paraId="57A62D62">
            <w:pPr>
              <w:pStyle w:val="12"/>
              <w:jc w:val="center"/>
            </w:pPr>
            <w:r>
              <w:rPr>
                <w:rFonts w:hint="eastAsia"/>
              </w:rPr>
              <w:t>1927年</w:t>
            </w:r>
          </w:p>
        </w:tc>
        <w:tc>
          <w:tcPr>
            <w:tcW w:w="582" w:type="pct"/>
            <w:vAlign w:val="center"/>
          </w:tcPr>
          <w:p w14:paraId="13B5D262">
            <w:pPr>
              <w:pStyle w:val="12"/>
              <w:jc w:val="center"/>
            </w:pPr>
            <w:r>
              <w:rPr>
                <w:rFonts w:hint="eastAsia"/>
              </w:rPr>
              <w:t>湖口镇</w:t>
            </w:r>
          </w:p>
        </w:tc>
        <w:tc>
          <w:tcPr>
            <w:tcW w:w="582" w:type="pct"/>
            <w:vAlign w:val="center"/>
          </w:tcPr>
          <w:p w14:paraId="50D2271B">
            <w:pPr>
              <w:pStyle w:val="12"/>
              <w:jc w:val="center"/>
            </w:pPr>
            <w:r>
              <w:rPr>
                <w:rFonts w:hint="eastAsia"/>
              </w:rPr>
              <w:t>1947年</w:t>
            </w:r>
          </w:p>
        </w:tc>
        <w:tc>
          <w:tcPr>
            <w:tcW w:w="1066" w:type="pct"/>
            <w:vAlign w:val="center"/>
          </w:tcPr>
          <w:p w14:paraId="6051D783">
            <w:pPr>
              <w:pStyle w:val="12"/>
              <w:jc w:val="center"/>
              <w:rPr>
                <w:rFonts w:ascii="宋体" w:hAnsi="宋体" w:cs="宋体"/>
              </w:rPr>
            </w:pPr>
            <w:r>
              <w:rPr>
                <w:rFonts w:hint="eastAsia"/>
              </w:rPr>
              <w:t>北江第二支</w:t>
            </w:r>
          </w:p>
          <w:p w14:paraId="0E4A80B2">
            <w:pPr>
              <w:pStyle w:val="12"/>
              <w:jc w:val="center"/>
            </w:pPr>
            <w:r>
              <w:rPr>
                <w:rFonts w:hint="eastAsia" w:ascii="宋体" w:hAnsi="宋体" w:cs="宋体"/>
              </w:rPr>
              <w:t>队  队  员</w:t>
            </w:r>
          </w:p>
        </w:tc>
        <w:tc>
          <w:tcPr>
            <w:tcW w:w="1162" w:type="pct"/>
            <w:vAlign w:val="center"/>
          </w:tcPr>
          <w:p w14:paraId="032416AE">
            <w:pPr>
              <w:pStyle w:val="12"/>
              <w:jc w:val="left"/>
            </w:pPr>
            <w:r>
              <w:rPr>
                <w:rFonts w:hint="eastAsia"/>
              </w:rPr>
              <w:t>1948年在大塘真仙岩战斗牺牲</w:t>
            </w:r>
          </w:p>
        </w:tc>
      </w:tr>
      <w:tr w14:paraId="1CD05C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6D3CF9B">
            <w:pPr>
              <w:pStyle w:val="12"/>
              <w:jc w:val="center"/>
            </w:pPr>
            <w:r>
              <w:rPr>
                <w:rFonts w:hint="eastAsia"/>
              </w:rPr>
              <w:t>卢尾风</w:t>
            </w:r>
          </w:p>
        </w:tc>
        <w:tc>
          <w:tcPr>
            <w:tcW w:w="388" w:type="pct"/>
            <w:vAlign w:val="center"/>
          </w:tcPr>
          <w:p w14:paraId="4026B0D0">
            <w:pPr>
              <w:pStyle w:val="12"/>
              <w:jc w:val="center"/>
            </w:pPr>
            <w:r>
              <w:rPr>
                <w:rFonts w:hint="eastAsia"/>
              </w:rPr>
              <w:t>男</w:t>
            </w:r>
          </w:p>
        </w:tc>
        <w:tc>
          <w:tcPr>
            <w:tcW w:w="582" w:type="pct"/>
            <w:vAlign w:val="center"/>
          </w:tcPr>
          <w:p w14:paraId="16E8FE8E">
            <w:pPr>
              <w:pStyle w:val="12"/>
              <w:jc w:val="center"/>
            </w:pPr>
            <w:r>
              <w:rPr>
                <w:rFonts w:hint="eastAsia"/>
              </w:rPr>
              <w:t>1927年</w:t>
            </w:r>
          </w:p>
        </w:tc>
        <w:tc>
          <w:tcPr>
            <w:tcW w:w="582" w:type="pct"/>
            <w:vAlign w:val="center"/>
          </w:tcPr>
          <w:p w14:paraId="4E59512C">
            <w:pPr>
              <w:pStyle w:val="12"/>
              <w:jc w:val="center"/>
            </w:pPr>
            <w:r>
              <w:rPr>
                <w:rFonts w:hint="eastAsia"/>
              </w:rPr>
              <w:t>湖口镇</w:t>
            </w:r>
          </w:p>
        </w:tc>
        <w:tc>
          <w:tcPr>
            <w:tcW w:w="582" w:type="pct"/>
            <w:vAlign w:val="center"/>
          </w:tcPr>
          <w:p w14:paraId="4E568AC4">
            <w:pPr>
              <w:pStyle w:val="12"/>
              <w:jc w:val="center"/>
            </w:pPr>
            <w:r>
              <w:rPr>
                <w:rFonts w:hint="eastAsia"/>
              </w:rPr>
              <w:t>1947年</w:t>
            </w:r>
          </w:p>
        </w:tc>
        <w:tc>
          <w:tcPr>
            <w:tcW w:w="1066" w:type="pct"/>
            <w:vAlign w:val="center"/>
          </w:tcPr>
          <w:p w14:paraId="0F72780F">
            <w:pPr>
              <w:pStyle w:val="12"/>
              <w:jc w:val="center"/>
              <w:rPr>
                <w:rFonts w:ascii="宋体" w:hAnsi="宋体" w:cs="宋体"/>
              </w:rPr>
            </w:pPr>
            <w:r>
              <w:rPr>
                <w:rFonts w:hint="eastAsia"/>
              </w:rPr>
              <w:t>北江第二支</w:t>
            </w:r>
          </w:p>
          <w:p w14:paraId="4E66E637">
            <w:pPr>
              <w:pStyle w:val="12"/>
              <w:jc w:val="center"/>
            </w:pPr>
            <w:r>
              <w:rPr>
                <w:rFonts w:hint="eastAsia" w:ascii="宋体" w:hAnsi="宋体" w:cs="宋体"/>
              </w:rPr>
              <w:t xml:space="preserve">队  队  </w:t>
            </w:r>
            <w:r>
              <w:rPr>
                <w:rFonts w:hint="eastAsia"/>
              </w:rPr>
              <w:t>员</w:t>
            </w:r>
          </w:p>
        </w:tc>
        <w:tc>
          <w:tcPr>
            <w:tcW w:w="1162" w:type="pct"/>
            <w:vAlign w:val="center"/>
          </w:tcPr>
          <w:p w14:paraId="4025D234">
            <w:pPr>
              <w:pStyle w:val="12"/>
              <w:jc w:val="left"/>
            </w:pPr>
            <w:r>
              <w:rPr>
                <w:rFonts w:hint="eastAsia"/>
              </w:rPr>
              <w:t>1948年在江西大余县横江坑突围牺牲</w:t>
            </w:r>
          </w:p>
        </w:tc>
      </w:tr>
      <w:tr w14:paraId="6A76D4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CAE1A91">
            <w:pPr>
              <w:pStyle w:val="12"/>
              <w:jc w:val="center"/>
            </w:pPr>
            <w:r>
              <w:rPr>
                <w:rFonts w:hint="eastAsia"/>
              </w:rPr>
              <w:t>何新辉</w:t>
            </w:r>
          </w:p>
        </w:tc>
        <w:tc>
          <w:tcPr>
            <w:tcW w:w="388" w:type="pct"/>
            <w:vAlign w:val="center"/>
          </w:tcPr>
          <w:p w14:paraId="4F30D56C">
            <w:pPr>
              <w:pStyle w:val="12"/>
              <w:jc w:val="center"/>
            </w:pPr>
            <w:r>
              <w:rPr>
                <w:rFonts w:hint="eastAsia"/>
              </w:rPr>
              <w:t>男</w:t>
            </w:r>
          </w:p>
        </w:tc>
        <w:tc>
          <w:tcPr>
            <w:tcW w:w="582" w:type="pct"/>
            <w:vAlign w:val="center"/>
          </w:tcPr>
          <w:p w14:paraId="1023EC9F">
            <w:pPr>
              <w:pStyle w:val="12"/>
              <w:jc w:val="center"/>
            </w:pPr>
            <w:r>
              <w:rPr>
                <w:rFonts w:hint="eastAsia"/>
              </w:rPr>
              <w:t>1920年</w:t>
            </w:r>
          </w:p>
        </w:tc>
        <w:tc>
          <w:tcPr>
            <w:tcW w:w="582" w:type="pct"/>
            <w:vAlign w:val="center"/>
          </w:tcPr>
          <w:p w14:paraId="3D2E4040">
            <w:pPr>
              <w:pStyle w:val="12"/>
              <w:jc w:val="center"/>
            </w:pPr>
            <w:r>
              <w:rPr>
                <w:rFonts w:hint="eastAsia"/>
              </w:rPr>
              <w:t>湖口镇</w:t>
            </w:r>
          </w:p>
        </w:tc>
        <w:tc>
          <w:tcPr>
            <w:tcW w:w="582" w:type="pct"/>
            <w:vAlign w:val="center"/>
          </w:tcPr>
          <w:p w14:paraId="02F81AF6">
            <w:pPr>
              <w:pStyle w:val="12"/>
              <w:jc w:val="center"/>
            </w:pPr>
            <w:r>
              <w:rPr>
                <w:rFonts w:hint="eastAsia"/>
              </w:rPr>
              <w:t>1947年</w:t>
            </w:r>
          </w:p>
        </w:tc>
        <w:tc>
          <w:tcPr>
            <w:tcW w:w="1066" w:type="pct"/>
            <w:vAlign w:val="center"/>
          </w:tcPr>
          <w:p w14:paraId="47AFBE76">
            <w:pPr>
              <w:pStyle w:val="12"/>
              <w:jc w:val="center"/>
              <w:rPr>
                <w:rFonts w:ascii="宋体" w:hAnsi="宋体" w:cs="宋体"/>
              </w:rPr>
            </w:pPr>
            <w:r>
              <w:rPr>
                <w:rFonts w:hint="eastAsia"/>
              </w:rPr>
              <w:t>北江第二支</w:t>
            </w:r>
          </w:p>
          <w:p w14:paraId="30CE5686">
            <w:pPr>
              <w:pStyle w:val="12"/>
              <w:jc w:val="center"/>
            </w:pPr>
            <w:r>
              <w:rPr>
                <w:rFonts w:hint="eastAsia" w:ascii="宋体" w:hAnsi="宋体" w:cs="宋体"/>
              </w:rPr>
              <w:t>队  队  员</w:t>
            </w:r>
          </w:p>
        </w:tc>
        <w:tc>
          <w:tcPr>
            <w:tcW w:w="1162" w:type="pct"/>
            <w:vAlign w:val="center"/>
          </w:tcPr>
          <w:p w14:paraId="0CFC1A9E">
            <w:pPr>
              <w:pStyle w:val="12"/>
              <w:jc w:val="left"/>
            </w:pPr>
            <w:r>
              <w:rPr>
                <w:rFonts w:hint="eastAsia"/>
              </w:rPr>
              <w:t>1948年在君子岭战斗牺牲</w:t>
            </w:r>
          </w:p>
        </w:tc>
      </w:tr>
      <w:tr w14:paraId="7FFC5E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F03ADA0">
            <w:pPr>
              <w:pStyle w:val="12"/>
              <w:jc w:val="center"/>
            </w:pPr>
            <w:r>
              <w:rPr>
                <w:rFonts w:hint="eastAsia"/>
              </w:rPr>
              <w:t>朱祖辉</w:t>
            </w:r>
            <w:r>
              <w:rPr>
                <w:rFonts w:hint="eastAsia" w:ascii="宋体" w:hAnsi="宋体" w:cs="宋体"/>
              </w:rPr>
              <w:t>（祖义）</w:t>
            </w:r>
          </w:p>
        </w:tc>
        <w:tc>
          <w:tcPr>
            <w:tcW w:w="388" w:type="pct"/>
            <w:vAlign w:val="center"/>
          </w:tcPr>
          <w:p w14:paraId="70A87044">
            <w:pPr>
              <w:pStyle w:val="12"/>
              <w:jc w:val="center"/>
            </w:pPr>
            <w:r>
              <w:rPr>
                <w:rFonts w:hint="eastAsia"/>
              </w:rPr>
              <w:t>男</w:t>
            </w:r>
          </w:p>
        </w:tc>
        <w:tc>
          <w:tcPr>
            <w:tcW w:w="582" w:type="pct"/>
            <w:vAlign w:val="center"/>
          </w:tcPr>
          <w:p w14:paraId="5DA55E20">
            <w:pPr>
              <w:pStyle w:val="12"/>
              <w:jc w:val="center"/>
            </w:pPr>
            <w:r>
              <w:rPr>
                <w:rFonts w:hint="eastAsia"/>
              </w:rPr>
              <w:t>1923年</w:t>
            </w:r>
          </w:p>
        </w:tc>
        <w:tc>
          <w:tcPr>
            <w:tcW w:w="582" w:type="pct"/>
            <w:vAlign w:val="center"/>
          </w:tcPr>
          <w:p w14:paraId="62CEFD03">
            <w:pPr>
              <w:pStyle w:val="12"/>
              <w:jc w:val="center"/>
            </w:pPr>
            <w:r>
              <w:rPr>
                <w:rFonts w:hint="eastAsia"/>
              </w:rPr>
              <w:t>湖口镇</w:t>
            </w:r>
          </w:p>
        </w:tc>
        <w:tc>
          <w:tcPr>
            <w:tcW w:w="582" w:type="pct"/>
            <w:vAlign w:val="center"/>
          </w:tcPr>
          <w:p w14:paraId="705788F7">
            <w:pPr>
              <w:pStyle w:val="12"/>
              <w:jc w:val="center"/>
            </w:pPr>
            <w:r>
              <w:rPr>
                <w:rFonts w:hint="eastAsia"/>
              </w:rPr>
              <w:t>1947年</w:t>
            </w:r>
          </w:p>
        </w:tc>
        <w:tc>
          <w:tcPr>
            <w:tcW w:w="1066" w:type="pct"/>
            <w:vAlign w:val="center"/>
          </w:tcPr>
          <w:p w14:paraId="609ABEF6">
            <w:pPr>
              <w:pStyle w:val="12"/>
              <w:jc w:val="center"/>
              <w:rPr>
                <w:rFonts w:ascii="宋体" w:hAnsi="宋体" w:cs="宋体"/>
              </w:rPr>
            </w:pPr>
            <w:r>
              <w:rPr>
                <w:rFonts w:hint="eastAsia"/>
              </w:rPr>
              <w:t>北江第二支</w:t>
            </w:r>
          </w:p>
          <w:p w14:paraId="1170CCD8">
            <w:pPr>
              <w:pStyle w:val="12"/>
              <w:jc w:val="center"/>
            </w:pPr>
            <w:r>
              <w:rPr>
                <w:rFonts w:hint="eastAsia" w:ascii="宋体" w:hAnsi="宋体" w:cs="宋体"/>
              </w:rPr>
              <w:t>队  队  员</w:t>
            </w:r>
          </w:p>
        </w:tc>
        <w:tc>
          <w:tcPr>
            <w:tcW w:w="1162" w:type="pct"/>
            <w:vAlign w:val="center"/>
          </w:tcPr>
          <w:p w14:paraId="4011C6D3">
            <w:pPr>
              <w:pStyle w:val="12"/>
              <w:jc w:val="left"/>
            </w:pPr>
            <w:r>
              <w:rPr>
                <w:rFonts w:hint="eastAsia"/>
              </w:rPr>
              <w:t>1948年冬送信往江西遇敌狙击牺牲</w:t>
            </w:r>
          </w:p>
        </w:tc>
      </w:tr>
      <w:tr w14:paraId="7BB141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723ACB9">
            <w:pPr>
              <w:pStyle w:val="12"/>
              <w:jc w:val="center"/>
            </w:pPr>
            <w:r>
              <w:rPr>
                <w:rFonts w:hint="eastAsia"/>
              </w:rPr>
              <w:t>刘益银</w:t>
            </w:r>
          </w:p>
        </w:tc>
        <w:tc>
          <w:tcPr>
            <w:tcW w:w="388" w:type="pct"/>
            <w:vAlign w:val="center"/>
          </w:tcPr>
          <w:p w14:paraId="7C2951FB">
            <w:pPr>
              <w:pStyle w:val="12"/>
              <w:jc w:val="center"/>
            </w:pPr>
            <w:r>
              <w:rPr>
                <w:rFonts w:hint="eastAsia"/>
              </w:rPr>
              <w:t>男</w:t>
            </w:r>
          </w:p>
        </w:tc>
        <w:tc>
          <w:tcPr>
            <w:tcW w:w="582" w:type="pct"/>
            <w:vAlign w:val="center"/>
          </w:tcPr>
          <w:p w14:paraId="3F63DBB5">
            <w:pPr>
              <w:pStyle w:val="12"/>
              <w:jc w:val="center"/>
            </w:pPr>
            <w:r>
              <w:rPr>
                <w:rFonts w:hint="eastAsia"/>
              </w:rPr>
              <w:t>1926年</w:t>
            </w:r>
          </w:p>
        </w:tc>
        <w:tc>
          <w:tcPr>
            <w:tcW w:w="582" w:type="pct"/>
            <w:vAlign w:val="center"/>
          </w:tcPr>
          <w:p w14:paraId="0550FAAA">
            <w:pPr>
              <w:pStyle w:val="12"/>
              <w:jc w:val="center"/>
            </w:pPr>
            <w:r>
              <w:rPr>
                <w:rFonts w:hint="eastAsia"/>
              </w:rPr>
              <w:t>湖口镇</w:t>
            </w:r>
          </w:p>
        </w:tc>
        <w:tc>
          <w:tcPr>
            <w:tcW w:w="582" w:type="pct"/>
            <w:vAlign w:val="center"/>
          </w:tcPr>
          <w:p w14:paraId="5BCDBD0B">
            <w:pPr>
              <w:pStyle w:val="12"/>
              <w:jc w:val="center"/>
            </w:pPr>
            <w:r>
              <w:rPr>
                <w:rFonts w:hint="eastAsia"/>
              </w:rPr>
              <w:t>1946年</w:t>
            </w:r>
          </w:p>
        </w:tc>
        <w:tc>
          <w:tcPr>
            <w:tcW w:w="1066" w:type="pct"/>
            <w:vAlign w:val="center"/>
          </w:tcPr>
          <w:p w14:paraId="687A437E">
            <w:pPr>
              <w:pStyle w:val="12"/>
              <w:jc w:val="center"/>
              <w:rPr>
                <w:rFonts w:ascii="宋体" w:hAnsi="宋体" w:cs="宋体"/>
              </w:rPr>
            </w:pPr>
            <w:r>
              <w:rPr>
                <w:rFonts w:hint="eastAsia"/>
              </w:rPr>
              <w:t>北江第二支</w:t>
            </w:r>
          </w:p>
          <w:p w14:paraId="2EA3E68C">
            <w:pPr>
              <w:pStyle w:val="12"/>
              <w:jc w:val="center"/>
            </w:pPr>
            <w:r>
              <w:rPr>
                <w:rFonts w:hint="eastAsia" w:ascii="宋体" w:hAnsi="宋体" w:cs="宋体"/>
              </w:rPr>
              <w:t>队  队  员</w:t>
            </w:r>
          </w:p>
        </w:tc>
        <w:tc>
          <w:tcPr>
            <w:tcW w:w="1162" w:type="pct"/>
            <w:vAlign w:val="center"/>
          </w:tcPr>
          <w:p w14:paraId="052BA6B0">
            <w:pPr>
              <w:pStyle w:val="12"/>
              <w:jc w:val="left"/>
            </w:pPr>
            <w:r>
              <w:rPr>
                <w:rFonts w:hint="eastAsia"/>
              </w:rPr>
              <w:t>1948年在君子岭被捕就义</w:t>
            </w:r>
          </w:p>
        </w:tc>
      </w:tr>
      <w:tr w14:paraId="1C6E72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5E20C91">
            <w:pPr>
              <w:pStyle w:val="12"/>
              <w:jc w:val="center"/>
            </w:pPr>
            <w:r>
              <w:rPr>
                <w:rFonts w:hint="eastAsia"/>
              </w:rPr>
              <w:t>王志兰</w:t>
            </w:r>
          </w:p>
        </w:tc>
        <w:tc>
          <w:tcPr>
            <w:tcW w:w="388" w:type="pct"/>
            <w:vAlign w:val="center"/>
          </w:tcPr>
          <w:p w14:paraId="684E2DC0">
            <w:pPr>
              <w:pStyle w:val="12"/>
              <w:jc w:val="center"/>
            </w:pPr>
            <w:r>
              <w:rPr>
                <w:rFonts w:hint="eastAsia"/>
              </w:rPr>
              <w:t>男</w:t>
            </w:r>
          </w:p>
        </w:tc>
        <w:tc>
          <w:tcPr>
            <w:tcW w:w="582" w:type="pct"/>
            <w:vAlign w:val="center"/>
          </w:tcPr>
          <w:p w14:paraId="6B134203">
            <w:pPr>
              <w:pStyle w:val="12"/>
              <w:jc w:val="center"/>
            </w:pPr>
            <w:r>
              <w:rPr>
                <w:rFonts w:hint="eastAsia"/>
              </w:rPr>
              <w:t>1930年</w:t>
            </w:r>
          </w:p>
        </w:tc>
        <w:tc>
          <w:tcPr>
            <w:tcW w:w="582" w:type="pct"/>
            <w:vAlign w:val="center"/>
          </w:tcPr>
          <w:p w14:paraId="209AC3A0">
            <w:pPr>
              <w:pStyle w:val="12"/>
              <w:jc w:val="center"/>
            </w:pPr>
            <w:r>
              <w:rPr>
                <w:rFonts w:hint="eastAsia"/>
              </w:rPr>
              <w:t>湖口镇</w:t>
            </w:r>
          </w:p>
        </w:tc>
        <w:tc>
          <w:tcPr>
            <w:tcW w:w="582" w:type="pct"/>
            <w:vAlign w:val="center"/>
          </w:tcPr>
          <w:p w14:paraId="30DC274E">
            <w:pPr>
              <w:pStyle w:val="12"/>
              <w:jc w:val="center"/>
            </w:pPr>
            <w:r>
              <w:rPr>
                <w:rFonts w:hint="eastAsia"/>
              </w:rPr>
              <w:t>1947年</w:t>
            </w:r>
          </w:p>
        </w:tc>
        <w:tc>
          <w:tcPr>
            <w:tcW w:w="1066" w:type="pct"/>
            <w:vAlign w:val="center"/>
          </w:tcPr>
          <w:p w14:paraId="7EAC813B">
            <w:pPr>
              <w:pStyle w:val="12"/>
              <w:jc w:val="center"/>
              <w:rPr>
                <w:rFonts w:ascii="宋体" w:hAnsi="宋体" w:cs="宋体"/>
              </w:rPr>
            </w:pPr>
            <w:r>
              <w:rPr>
                <w:rFonts w:hint="eastAsia"/>
              </w:rPr>
              <w:t>北江第二支</w:t>
            </w:r>
          </w:p>
          <w:p w14:paraId="57AB2620">
            <w:pPr>
              <w:pStyle w:val="12"/>
              <w:jc w:val="center"/>
            </w:pPr>
            <w:r>
              <w:rPr>
                <w:rFonts w:hint="eastAsia" w:ascii="宋体" w:hAnsi="宋体" w:cs="宋体"/>
              </w:rPr>
              <w:t>队下属队长</w:t>
            </w:r>
          </w:p>
        </w:tc>
        <w:tc>
          <w:tcPr>
            <w:tcW w:w="1162" w:type="pct"/>
            <w:vAlign w:val="center"/>
          </w:tcPr>
          <w:p w14:paraId="68D7E85B">
            <w:pPr>
              <w:pStyle w:val="12"/>
              <w:jc w:val="left"/>
            </w:pPr>
            <w:r>
              <w:rPr>
                <w:rFonts w:hint="eastAsia"/>
              </w:rPr>
              <w:t>1948年在大塘古城战斗牺牲</w:t>
            </w:r>
          </w:p>
        </w:tc>
      </w:tr>
      <w:tr w14:paraId="5CF6DC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31EBE21">
            <w:pPr>
              <w:pStyle w:val="12"/>
              <w:jc w:val="center"/>
            </w:pPr>
            <w:r>
              <w:rPr>
                <w:rFonts w:hint="eastAsia"/>
              </w:rPr>
              <w:t>李宏英</w:t>
            </w:r>
          </w:p>
        </w:tc>
        <w:tc>
          <w:tcPr>
            <w:tcW w:w="388" w:type="pct"/>
            <w:vAlign w:val="center"/>
          </w:tcPr>
          <w:p w14:paraId="08215831">
            <w:pPr>
              <w:pStyle w:val="12"/>
              <w:jc w:val="center"/>
            </w:pPr>
            <w:r>
              <w:rPr>
                <w:rFonts w:hint="eastAsia"/>
              </w:rPr>
              <w:t>男</w:t>
            </w:r>
          </w:p>
        </w:tc>
        <w:tc>
          <w:tcPr>
            <w:tcW w:w="582" w:type="pct"/>
            <w:vAlign w:val="center"/>
          </w:tcPr>
          <w:p w14:paraId="7C0F858F">
            <w:pPr>
              <w:pStyle w:val="12"/>
              <w:jc w:val="center"/>
            </w:pPr>
            <w:r>
              <w:rPr>
                <w:rFonts w:hint="eastAsia"/>
              </w:rPr>
              <w:t>1924年</w:t>
            </w:r>
          </w:p>
        </w:tc>
        <w:tc>
          <w:tcPr>
            <w:tcW w:w="582" w:type="pct"/>
            <w:vAlign w:val="center"/>
          </w:tcPr>
          <w:p w14:paraId="0681F1C1">
            <w:pPr>
              <w:pStyle w:val="12"/>
              <w:jc w:val="center"/>
            </w:pPr>
            <w:r>
              <w:rPr>
                <w:rFonts w:hint="eastAsia"/>
              </w:rPr>
              <w:t>珠玑镇</w:t>
            </w:r>
          </w:p>
        </w:tc>
        <w:tc>
          <w:tcPr>
            <w:tcW w:w="582" w:type="pct"/>
            <w:vAlign w:val="center"/>
          </w:tcPr>
          <w:p w14:paraId="340648E0">
            <w:pPr>
              <w:pStyle w:val="12"/>
              <w:jc w:val="center"/>
            </w:pPr>
            <w:r>
              <w:rPr>
                <w:rFonts w:hint="eastAsia"/>
              </w:rPr>
              <w:t>1947年</w:t>
            </w:r>
          </w:p>
        </w:tc>
        <w:tc>
          <w:tcPr>
            <w:tcW w:w="1066" w:type="pct"/>
            <w:vAlign w:val="center"/>
          </w:tcPr>
          <w:p w14:paraId="59CB2E47">
            <w:pPr>
              <w:pStyle w:val="12"/>
              <w:jc w:val="center"/>
              <w:rPr>
                <w:rFonts w:ascii="宋体" w:hAnsi="宋体" w:cs="宋体"/>
              </w:rPr>
            </w:pPr>
            <w:r>
              <w:rPr>
                <w:rFonts w:hint="eastAsia"/>
              </w:rPr>
              <w:t>北江第二支</w:t>
            </w:r>
          </w:p>
          <w:p w14:paraId="5EF8A7DF">
            <w:pPr>
              <w:pStyle w:val="12"/>
              <w:jc w:val="center"/>
            </w:pPr>
            <w:r>
              <w:rPr>
                <w:rFonts w:hint="eastAsia" w:ascii="宋体" w:hAnsi="宋体" w:cs="宋体"/>
              </w:rPr>
              <w:t>队  班  长</w:t>
            </w:r>
          </w:p>
        </w:tc>
        <w:tc>
          <w:tcPr>
            <w:tcW w:w="1162" w:type="pct"/>
            <w:vAlign w:val="center"/>
          </w:tcPr>
          <w:p w14:paraId="60436DC9">
            <w:pPr>
              <w:pStyle w:val="12"/>
              <w:jc w:val="left"/>
            </w:pPr>
            <w:r>
              <w:rPr>
                <w:rFonts w:hint="eastAsia"/>
              </w:rPr>
              <w:t>1948年7月17日在珠玑凤凰桥战斗牺牲</w:t>
            </w:r>
          </w:p>
        </w:tc>
      </w:tr>
      <w:tr w14:paraId="5D4E79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91B5C0B">
            <w:pPr>
              <w:pStyle w:val="12"/>
              <w:jc w:val="center"/>
            </w:pPr>
            <w:r>
              <w:rPr>
                <w:rFonts w:hint="eastAsia"/>
              </w:rPr>
              <w:t>陈朝龙</w:t>
            </w:r>
          </w:p>
        </w:tc>
        <w:tc>
          <w:tcPr>
            <w:tcW w:w="388" w:type="pct"/>
            <w:vAlign w:val="center"/>
          </w:tcPr>
          <w:p w14:paraId="3798DC7C">
            <w:pPr>
              <w:pStyle w:val="12"/>
              <w:jc w:val="center"/>
            </w:pPr>
            <w:r>
              <w:rPr>
                <w:rFonts w:hint="eastAsia"/>
              </w:rPr>
              <w:t>男</w:t>
            </w:r>
          </w:p>
        </w:tc>
        <w:tc>
          <w:tcPr>
            <w:tcW w:w="582" w:type="pct"/>
            <w:vAlign w:val="center"/>
          </w:tcPr>
          <w:p w14:paraId="771F9E44">
            <w:pPr>
              <w:pStyle w:val="12"/>
              <w:jc w:val="center"/>
            </w:pPr>
            <w:r>
              <w:rPr>
                <w:rFonts w:hint="eastAsia"/>
              </w:rPr>
              <w:t>1911年</w:t>
            </w:r>
          </w:p>
        </w:tc>
        <w:tc>
          <w:tcPr>
            <w:tcW w:w="582" w:type="pct"/>
            <w:vAlign w:val="center"/>
          </w:tcPr>
          <w:p w14:paraId="6EF4BBB0">
            <w:pPr>
              <w:pStyle w:val="12"/>
              <w:jc w:val="center"/>
            </w:pPr>
            <w:r>
              <w:rPr>
                <w:rFonts w:hint="eastAsia"/>
              </w:rPr>
              <w:t>珠玑镇</w:t>
            </w:r>
          </w:p>
        </w:tc>
        <w:tc>
          <w:tcPr>
            <w:tcW w:w="582" w:type="pct"/>
            <w:vAlign w:val="center"/>
          </w:tcPr>
          <w:p w14:paraId="7B6E2266">
            <w:pPr>
              <w:pStyle w:val="12"/>
              <w:jc w:val="center"/>
            </w:pPr>
            <w:r>
              <w:rPr>
                <w:rFonts w:hint="eastAsia"/>
              </w:rPr>
              <w:t>1946年</w:t>
            </w:r>
          </w:p>
        </w:tc>
        <w:tc>
          <w:tcPr>
            <w:tcW w:w="1066" w:type="pct"/>
            <w:vAlign w:val="center"/>
          </w:tcPr>
          <w:p w14:paraId="68DFD4C1">
            <w:pPr>
              <w:pStyle w:val="12"/>
              <w:jc w:val="center"/>
              <w:rPr>
                <w:rFonts w:ascii="宋体" w:hAnsi="宋体" w:cs="宋体"/>
              </w:rPr>
            </w:pPr>
            <w:r>
              <w:rPr>
                <w:rFonts w:hint="eastAsia"/>
              </w:rPr>
              <w:t>北江第二支</w:t>
            </w:r>
          </w:p>
          <w:p w14:paraId="0407C814">
            <w:pPr>
              <w:pStyle w:val="12"/>
              <w:jc w:val="center"/>
            </w:pPr>
            <w:r>
              <w:rPr>
                <w:rFonts w:hint="eastAsia" w:ascii="宋体" w:hAnsi="宋体" w:cs="宋体"/>
              </w:rPr>
              <w:t>队  队  员</w:t>
            </w:r>
          </w:p>
        </w:tc>
        <w:tc>
          <w:tcPr>
            <w:tcW w:w="1162" w:type="pct"/>
            <w:vAlign w:val="center"/>
          </w:tcPr>
          <w:p w14:paraId="6745A84F">
            <w:pPr>
              <w:pStyle w:val="12"/>
              <w:jc w:val="left"/>
            </w:pPr>
            <w:r>
              <w:rPr>
                <w:rFonts w:hint="eastAsia"/>
              </w:rPr>
              <w:t>1948年春在横江坑战斗牺牲</w:t>
            </w:r>
          </w:p>
        </w:tc>
      </w:tr>
      <w:tr w14:paraId="45A6C5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A39821A">
            <w:pPr>
              <w:pStyle w:val="12"/>
              <w:jc w:val="center"/>
            </w:pPr>
            <w:r>
              <w:rPr>
                <w:rFonts w:hint="eastAsia"/>
              </w:rPr>
              <w:t>吴增群</w:t>
            </w:r>
          </w:p>
        </w:tc>
        <w:tc>
          <w:tcPr>
            <w:tcW w:w="388" w:type="pct"/>
            <w:vAlign w:val="center"/>
          </w:tcPr>
          <w:p w14:paraId="2660892E">
            <w:pPr>
              <w:pStyle w:val="12"/>
              <w:jc w:val="center"/>
            </w:pPr>
            <w:r>
              <w:rPr>
                <w:rFonts w:hint="eastAsia"/>
              </w:rPr>
              <w:t>男</w:t>
            </w:r>
          </w:p>
        </w:tc>
        <w:tc>
          <w:tcPr>
            <w:tcW w:w="582" w:type="pct"/>
            <w:vAlign w:val="center"/>
          </w:tcPr>
          <w:p w14:paraId="07BF1066">
            <w:pPr>
              <w:pStyle w:val="12"/>
              <w:jc w:val="center"/>
            </w:pPr>
            <w:r>
              <w:rPr>
                <w:rFonts w:hint="eastAsia"/>
              </w:rPr>
              <w:t>1925年</w:t>
            </w:r>
          </w:p>
        </w:tc>
        <w:tc>
          <w:tcPr>
            <w:tcW w:w="582" w:type="pct"/>
            <w:vAlign w:val="center"/>
          </w:tcPr>
          <w:p w14:paraId="3C23671C">
            <w:pPr>
              <w:pStyle w:val="12"/>
              <w:jc w:val="center"/>
            </w:pPr>
            <w:r>
              <w:rPr>
                <w:rFonts w:hint="eastAsia"/>
              </w:rPr>
              <w:t>珠玑镇</w:t>
            </w:r>
          </w:p>
        </w:tc>
        <w:tc>
          <w:tcPr>
            <w:tcW w:w="582" w:type="pct"/>
            <w:vAlign w:val="center"/>
          </w:tcPr>
          <w:p w14:paraId="6FE79A26">
            <w:pPr>
              <w:pStyle w:val="12"/>
              <w:jc w:val="center"/>
            </w:pPr>
            <w:r>
              <w:rPr>
                <w:rFonts w:hint="eastAsia"/>
              </w:rPr>
              <w:t>1947年</w:t>
            </w:r>
          </w:p>
        </w:tc>
        <w:tc>
          <w:tcPr>
            <w:tcW w:w="1066" w:type="pct"/>
            <w:vAlign w:val="center"/>
          </w:tcPr>
          <w:p w14:paraId="13AED76E">
            <w:pPr>
              <w:pStyle w:val="12"/>
              <w:jc w:val="center"/>
              <w:rPr>
                <w:rFonts w:ascii="宋体" w:hAnsi="宋体" w:cs="宋体"/>
              </w:rPr>
            </w:pPr>
            <w:r>
              <w:rPr>
                <w:rFonts w:hint="eastAsia"/>
              </w:rPr>
              <w:t>中国人民解</w:t>
            </w:r>
          </w:p>
          <w:p w14:paraId="5423858D">
            <w:pPr>
              <w:pStyle w:val="12"/>
              <w:jc w:val="center"/>
            </w:pPr>
            <w:r>
              <w:rPr>
                <w:rFonts w:hint="eastAsia" w:ascii="宋体" w:hAnsi="宋体" w:cs="宋体"/>
              </w:rPr>
              <w:t>放军战士</w:t>
            </w:r>
          </w:p>
        </w:tc>
        <w:tc>
          <w:tcPr>
            <w:tcW w:w="1162" w:type="pct"/>
            <w:vAlign w:val="center"/>
          </w:tcPr>
          <w:p w14:paraId="762FC146">
            <w:pPr>
              <w:pStyle w:val="12"/>
              <w:jc w:val="left"/>
            </w:pPr>
            <w:r>
              <w:rPr>
                <w:rFonts w:hint="eastAsia"/>
              </w:rPr>
              <w:t>1948年9月在湖南省战斗牺牲</w:t>
            </w:r>
          </w:p>
        </w:tc>
      </w:tr>
      <w:tr w14:paraId="17A9D2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DF3E2F9">
            <w:pPr>
              <w:pStyle w:val="12"/>
              <w:jc w:val="center"/>
            </w:pPr>
            <w:r>
              <w:rPr>
                <w:rFonts w:hint="eastAsia"/>
              </w:rPr>
              <w:t>钟履山</w:t>
            </w:r>
          </w:p>
        </w:tc>
        <w:tc>
          <w:tcPr>
            <w:tcW w:w="388" w:type="pct"/>
            <w:vAlign w:val="center"/>
          </w:tcPr>
          <w:p w14:paraId="5D953015">
            <w:pPr>
              <w:pStyle w:val="12"/>
              <w:jc w:val="center"/>
            </w:pPr>
            <w:r>
              <w:rPr>
                <w:rFonts w:hint="eastAsia"/>
              </w:rPr>
              <w:t>男</w:t>
            </w:r>
          </w:p>
        </w:tc>
        <w:tc>
          <w:tcPr>
            <w:tcW w:w="582" w:type="pct"/>
            <w:vAlign w:val="center"/>
          </w:tcPr>
          <w:p w14:paraId="1A8C2579">
            <w:pPr>
              <w:pStyle w:val="12"/>
              <w:jc w:val="center"/>
            </w:pPr>
            <w:r>
              <w:rPr>
                <w:rFonts w:hint="eastAsia"/>
              </w:rPr>
              <w:t>1929年</w:t>
            </w:r>
          </w:p>
        </w:tc>
        <w:tc>
          <w:tcPr>
            <w:tcW w:w="582" w:type="pct"/>
            <w:vAlign w:val="center"/>
          </w:tcPr>
          <w:p w14:paraId="45800A18">
            <w:pPr>
              <w:pStyle w:val="12"/>
              <w:jc w:val="center"/>
            </w:pPr>
            <w:r>
              <w:rPr>
                <w:rFonts w:hint="eastAsia"/>
              </w:rPr>
              <w:t>珠玑镇</w:t>
            </w:r>
          </w:p>
        </w:tc>
        <w:tc>
          <w:tcPr>
            <w:tcW w:w="582" w:type="pct"/>
            <w:vAlign w:val="center"/>
          </w:tcPr>
          <w:p w14:paraId="599DBCCD">
            <w:pPr>
              <w:pStyle w:val="12"/>
              <w:jc w:val="center"/>
            </w:pPr>
            <w:r>
              <w:rPr>
                <w:rFonts w:hint="eastAsia"/>
              </w:rPr>
              <w:t>1947年</w:t>
            </w:r>
          </w:p>
        </w:tc>
        <w:tc>
          <w:tcPr>
            <w:tcW w:w="1066" w:type="pct"/>
            <w:vAlign w:val="center"/>
          </w:tcPr>
          <w:p w14:paraId="42BCE3A1">
            <w:pPr>
              <w:pStyle w:val="12"/>
              <w:jc w:val="center"/>
              <w:rPr>
                <w:rFonts w:ascii="宋体" w:hAnsi="宋体" w:cs="宋体"/>
              </w:rPr>
            </w:pPr>
            <w:r>
              <w:rPr>
                <w:rFonts w:hint="eastAsia"/>
              </w:rPr>
              <w:t>北江第二支队下</w:t>
            </w:r>
          </w:p>
          <w:p w14:paraId="0EB9F0D5">
            <w:pPr>
              <w:pStyle w:val="12"/>
              <w:jc w:val="center"/>
            </w:pPr>
            <w:r>
              <w:rPr>
                <w:rFonts w:hint="eastAsia" w:ascii="宋体" w:hAnsi="宋体" w:cs="宋体"/>
              </w:rPr>
              <w:t>属部队司务长</w:t>
            </w:r>
          </w:p>
        </w:tc>
        <w:tc>
          <w:tcPr>
            <w:tcW w:w="1162" w:type="pct"/>
            <w:vAlign w:val="center"/>
          </w:tcPr>
          <w:p w14:paraId="0117630E">
            <w:pPr>
              <w:pStyle w:val="12"/>
              <w:jc w:val="left"/>
            </w:pPr>
            <w:r>
              <w:rPr>
                <w:rFonts w:hint="eastAsia"/>
              </w:rPr>
              <w:t>1948年在龙凤庵战斗被捕，在县城郊就义</w:t>
            </w:r>
          </w:p>
        </w:tc>
      </w:tr>
      <w:tr w14:paraId="71AD3E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30C6697">
            <w:pPr>
              <w:pStyle w:val="12"/>
              <w:jc w:val="center"/>
            </w:pPr>
            <w:r>
              <w:rPr>
                <w:rFonts w:hint="eastAsia"/>
              </w:rPr>
              <w:t>朱定超</w:t>
            </w:r>
          </w:p>
        </w:tc>
        <w:tc>
          <w:tcPr>
            <w:tcW w:w="388" w:type="pct"/>
            <w:vAlign w:val="center"/>
          </w:tcPr>
          <w:p w14:paraId="069E033E">
            <w:pPr>
              <w:pStyle w:val="12"/>
              <w:jc w:val="center"/>
            </w:pPr>
            <w:r>
              <w:rPr>
                <w:rFonts w:hint="eastAsia"/>
              </w:rPr>
              <w:t>男</w:t>
            </w:r>
          </w:p>
        </w:tc>
        <w:tc>
          <w:tcPr>
            <w:tcW w:w="582" w:type="pct"/>
            <w:vAlign w:val="center"/>
          </w:tcPr>
          <w:p w14:paraId="7F7F85B8">
            <w:pPr>
              <w:pStyle w:val="12"/>
              <w:jc w:val="center"/>
            </w:pPr>
            <w:r>
              <w:rPr>
                <w:rFonts w:hint="eastAsia"/>
              </w:rPr>
              <w:t>1921年</w:t>
            </w:r>
          </w:p>
        </w:tc>
        <w:tc>
          <w:tcPr>
            <w:tcW w:w="582" w:type="pct"/>
            <w:vAlign w:val="center"/>
          </w:tcPr>
          <w:p w14:paraId="1C0AC0A3">
            <w:pPr>
              <w:pStyle w:val="12"/>
              <w:jc w:val="center"/>
            </w:pPr>
            <w:r>
              <w:rPr>
                <w:rFonts w:hint="eastAsia"/>
              </w:rPr>
              <w:t>珠玑镇</w:t>
            </w:r>
          </w:p>
        </w:tc>
        <w:tc>
          <w:tcPr>
            <w:tcW w:w="582" w:type="pct"/>
            <w:vAlign w:val="center"/>
          </w:tcPr>
          <w:p w14:paraId="75CC43DF">
            <w:pPr>
              <w:pStyle w:val="12"/>
              <w:jc w:val="center"/>
            </w:pPr>
            <w:r>
              <w:rPr>
                <w:rFonts w:hint="eastAsia"/>
              </w:rPr>
              <w:t>1947年</w:t>
            </w:r>
          </w:p>
        </w:tc>
        <w:tc>
          <w:tcPr>
            <w:tcW w:w="1066" w:type="pct"/>
            <w:vAlign w:val="center"/>
          </w:tcPr>
          <w:p w14:paraId="5F25DBB1">
            <w:pPr>
              <w:pStyle w:val="12"/>
              <w:jc w:val="center"/>
              <w:rPr>
                <w:rFonts w:ascii="宋体" w:hAnsi="宋体" w:cs="宋体"/>
              </w:rPr>
            </w:pPr>
            <w:r>
              <w:rPr>
                <w:rFonts w:hint="eastAsia"/>
              </w:rPr>
              <w:t>北江第二支</w:t>
            </w:r>
          </w:p>
          <w:p w14:paraId="6DF2A10C">
            <w:pPr>
              <w:pStyle w:val="12"/>
              <w:jc w:val="center"/>
            </w:pPr>
            <w:r>
              <w:rPr>
                <w:rFonts w:hint="eastAsia" w:ascii="宋体" w:hAnsi="宋体" w:cs="宋体"/>
              </w:rPr>
              <w:t>队  队  员</w:t>
            </w:r>
          </w:p>
        </w:tc>
        <w:tc>
          <w:tcPr>
            <w:tcW w:w="1162" w:type="pct"/>
            <w:vAlign w:val="center"/>
          </w:tcPr>
          <w:p w14:paraId="4641F1D9">
            <w:pPr>
              <w:pStyle w:val="12"/>
              <w:jc w:val="left"/>
            </w:pPr>
            <w:r>
              <w:rPr>
                <w:rFonts w:hint="eastAsia"/>
              </w:rPr>
              <w:t>1948年11月在珠玑下洞突围战斗牺牲</w:t>
            </w:r>
          </w:p>
        </w:tc>
      </w:tr>
      <w:tr w14:paraId="7F5537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B784AE5">
            <w:pPr>
              <w:pStyle w:val="12"/>
              <w:jc w:val="center"/>
            </w:pPr>
            <w:r>
              <w:rPr>
                <w:rFonts w:hint="eastAsia"/>
              </w:rPr>
              <w:t>曾照义</w:t>
            </w:r>
          </w:p>
        </w:tc>
        <w:tc>
          <w:tcPr>
            <w:tcW w:w="388" w:type="pct"/>
            <w:vAlign w:val="center"/>
          </w:tcPr>
          <w:p w14:paraId="5644275C">
            <w:pPr>
              <w:pStyle w:val="12"/>
              <w:jc w:val="center"/>
            </w:pPr>
            <w:r>
              <w:rPr>
                <w:rFonts w:hint="eastAsia"/>
              </w:rPr>
              <w:t>男</w:t>
            </w:r>
          </w:p>
        </w:tc>
        <w:tc>
          <w:tcPr>
            <w:tcW w:w="582" w:type="pct"/>
            <w:vAlign w:val="center"/>
          </w:tcPr>
          <w:p w14:paraId="75F256C7">
            <w:pPr>
              <w:pStyle w:val="12"/>
              <w:jc w:val="center"/>
            </w:pPr>
            <w:r>
              <w:rPr>
                <w:rFonts w:hint="eastAsia"/>
              </w:rPr>
              <w:t>1916年</w:t>
            </w:r>
          </w:p>
        </w:tc>
        <w:tc>
          <w:tcPr>
            <w:tcW w:w="582" w:type="pct"/>
            <w:vAlign w:val="center"/>
          </w:tcPr>
          <w:p w14:paraId="3EB2D12A">
            <w:pPr>
              <w:pStyle w:val="12"/>
              <w:jc w:val="center"/>
            </w:pPr>
            <w:r>
              <w:rPr>
                <w:rFonts w:hint="eastAsia"/>
              </w:rPr>
              <w:t>油山镇</w:t>
            </w:r>
          </w:p>
        </w:tc>
        <w:tc>
          <w:tcPr>
            <w:tcW w:w="582" w:type="pct"/>
            <w:vAlign w:val="center"/>
          </w:tcPr>
          <w:p w14:paraId="62637B20">
            <w:pPr>
              <w:pStyle w:val="12"/>
              <w:jc w:val="center"/>
            </w:pPr>
            <w:r>
              <w:rPr>
                <w:rFonts w:hint="eastAsia"/>
              </w:rPr>
              <w:t>1946年</w:t>
            </w:r>
          </w:p>
        </w:tc>
        <w:tc>
          <w:tcPr>
            <w:tcW w:w="1066" w:type="pct"/>
            <w:vAlign w:val="center"/>
          </w:tcPr>
          <w:p w14:paraId="6590FA3D">
            <w:pPr>
              <w:pStyle w:val="12"/>
              <w:jc w:val="center"/>
              <w:rPr>
                <w:rFonts w:ascii="宋体" w:hAnsi="宋体" w:cs="宋体"/>
              </w:rPr>
            </w:pPr>
            <w:r>
              <w:rPr>
                <w:rFonts w:hint="eastAsia"/>
              </w:rPr>
              <w:t>北江第二支队</w:t>
            </w:r>
          </w:p>
          <w:p w14:paraId="44CA0219">
            <w:pPr>
              <w:pStyle w:val="12"/>
              <w:jc w:val="center"/>
            </w:pPr>
            <w:r>
              <w:rPr>
                <w:rFonts w:hint="eastAsia" w:ascii="宋体" w:hAnsi="宋体" w:cs="宋体"/>
              </w:rPr>
              <w:t>交通站站长</w:t>
            </w:r>
          </w:p>
        </w:tc>
        <w:tc>
          <w:tcPr>
            <w:tcW w:w="1162" w:type="pct"/>
            <w:vAlign w:val="center"/>
          </w:tcPr>
          <w:p w14:paraId="604DF153">
            <w:pPr>
              <w:pStyle w:val="12"/>
              <w:jc w:val="left"/>
            </w:pPr>
            <w:r>
              <w:rPr>
                <w:rFonts w:hint="eastAsia"/>
              </w:rPr>
              <w:t>1948年在大塘老村战斗被捕，在县城郊就义</w:t>
            </w:r>
          </w:p>
        </w:tc>
      </w:tr>
      <w:tr w14:paraId="0778E1F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A3F9AD6">
            <w:pPr>
              <w:pStyle w:val="12"/>
              <w:jc w:val="center"/>
            </w:pPr>
            <w:r>
              <w:rPr>
                <w:rFonts w:hint="eastAsia"/>
              </w:rPr>
              <w:t>杨  清</w:t>
            </w:r>
            <w:r>
              <w:rPr>
                <w:rFonts w:hint="eastAsia" w:ascii="宋体" w:hAnsi="宋体" w:cs="宋体"/>
              </w:rPr>
              <w:t>（勋辉）</w:t>
            </w:r>
          </w:p>
        </w:tc>
        <w:tc>
          <w:tcPr>
            <w:tcW w:w="388" w:type="pct"/>
            <w:vAlign w:val="center"/>
          </w:tcPr>
          <w:p w14:paraId="266F8125">
            <w:pPr>
              <w:pStyle w:val="12"/>
              <w:jc w:val="center"/>
            </w:pPr>
            <w:r>
              <w:rPr>
                <w:rFonts w:hint="eastAsia"/>
              </w:rPr>
              <w:t>男</w:t>
            </w:r>
          </w:p>
        </w:tc>
        <w:tc>
          <w:tcPr>
            <w:tcW w:w="582" w:type="pct"/>
            <w:vAlign w:val="center"/>
          </w:tcPr>
          <w:p w14:paraId="71B9DA14">
            <w:pPr>
              <w:pStyle w:val="12"/>
              <w:jc w:val="center"/>
            </w:pPr>
            <w:r>
              <w:rPr>
                <w:rFonts w:hint="eastAsia"/>
              </w:rPr>
              <w:t>1918年</w:t>
            </w:r>
          </w:p>
        </w:tc>
        <w:tc>
          <w:tcPr>
            <w:tcW w:w="582" w:type="pct"/>
            <w:vAlign w:val="center"/>
          </w:tcPr>
          <w:p w14:paraId="2F9A5DFD">
            <w:pPr>
              <w:pStyle w:val="12"/>
              <w:jc w:val="center"/>
            </w:pPr>
            <w:r>
              <w:rPr>
                <w:rFonts w:hint="eastAsia"/>
              </w:rPr>
              <w:t>黄坑镇</w:t>
            </w:r>
          </w:p>
        </w:tc>
        <w:tc>
          <w:tcPr>
            <w:tcW w:w="582" w:type="pct"/>
            <w:vAlign w:val="center"/>
          </w:tcPr>
          <w:p w14:paraId="1CE17687">
            <w:pPr>
              <w:pStyle w:val="12"/>
              <w:jc w:val="center"/>
            </w:pPr>
            <w:r>
              <w:rPr>
                <w:rFonts w:hint="eastAsia"/>
              </w:rPr>
              <w:t>1946年</w:t>
            </w:r>
          </w:p>
        </w:tc>
        <w:tc>
          <w:tcPr>
            <w:tcW w:w="1066" w:type="pct"/>
            <w:vAlign w:val="center"/>
          </w:tcPr>
          <w:p w14:paraId="1ACAE886">
            <w:pPr>
              <w:pStyle w:val="12"/>
              <w:jc w:val="center"/>
              <w:rPr>
                <w:rFonts w:ascii="宋体" w:hAnsi="宋体" w:cs="宋体"/>
              </w:rPr>
            </w:pPr>
            <w:r>
              <w:rPr>
                <w:rFonts w:hint="eastAsia"/>
              </w:rPr>
              <w:t>北江第二支</w:t>
            </w:r>
          </w:p>
          <w:p w14:paraId="056D1A6B">
            <w:pPr>
              <w:pStyle w:val="12"/>
              <w:jc w:val="center"/>
            </w:pPr>
            <w:r>
              <w:rPr>
                <w:rFonts w:hint="eastAsia" w:ascii="宋体" w:hAnsi="宋体" w:cs="宋体"/>
              </w:rPr>
              <w:t>队  队  员</w:t>
            </w:r>
          </w:p>
        </w:tc>
        <w:tc>
          <w:tcPr>
            <w:tcW w:w="1162" w:type="pct"/>
            <w:vAlign w:val="center"/>
          </w:tcPr>
          <w:p w14:paraId="071239DB">
            <w:pPr>
              <w:pStyle w:val="12"/>
              <w:jc w:val="left"/>
            </w:pPr>
            <w:r>
              <w:rPr>
                <w:rFonts w:hint="eastAsia"/>
              </w:rPr>
              <w:t>1948年4月在江西大余县西权水被捕就义</w:t>
            </w:r>
          </w:p>
        </w:tc>
      </w:tr>
      <w:tr w14:paraId="4DA7AF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1F19A0C">
            <w:pPr>
              <w:pStyle w:val="12"/>
              <w:jc w:val="center"/>
            </w:pPr>
            <w:r>
              <w:rPr>
                <w:rFonts w:hint="eastAsia"/>
              </w:rPr>
              <w:t>阳  标</w:t>
            </w:r>
          </w:p>
        </w:tc>
        <w:tc>
          <w:tcPr>
            <w:tcW w:w="388" w:type="pct"/>
            <w:vAlign w:val="center"/>
          </w:tcPr>
          <w:p w14:paraId="4B7BDAE4">
            <w:pPr>
              <w:pStyle w:val="12"/>
              <w:jc w:val="center"/>
            </w:pPr>
            <w:r>
              <w:rPr>
                <w:rFonts w:hint="eastAsia"/>
              </w:rPr>
              <w:t>男</w:t>
            </w:r>
          </w:p>
        </w:tc>
        <w:tc>
          <w:tcPr>
            <w:tcW w:w="582" w:type="pct"/>
            <w:vAlign w:val="center"/>
          </w:tcPr>
          <w:p w14:paraId="04BE663B">
            <w:pPr>
              <w:pStyle w:val="12"/>
              <w:jc w:val="center"/>
            </w:pPr>
            <w:r>
              <w:rPr>
                <w:rFonts w:hint="eastAsia"/>
              </w:rPr>
              <w:t>1917年</w:t>
            </w:r>
          </w:p>
        </w:tc>
        <w:tc>
          <w:tcPr>
            <w:tcW w:w="582" w:type="pct"/>
            <w:vAlign w:val="center"/>
          </w:tcPr>
          <w:p w14:paraId="102E9CD9">
            <w:pPr>
              <w:pStyle w:val="12"/>
              <w:jc w:val="center"/>
            </w:pPr>
            <w:r>
              <w:rPr>
                <w:rFonts w:hint="eastAsia"/>
              </w:rPr>
              <w:t>黄坑镇</w:t>
            </w:r>
          </w:p>
        </w:tc>
        <w:tc>
          <w:tcPr>
            <w:tcW w:w="582" w:type="pct"/>
            <w:vAlign w:val="center"/>
          </w:tcPr>
          <w:p w14:paraId="35DFDA5A">
            <w:pPr>
              <w:pStyle w:val="12"/>
              <w:jc w:val="center"/>
            </w:pPr>
            <w:r>
              <w:rPr>
                <w:rFonts w:hint="eastAsia"/>
              </w:rPr>
              <w:t>1946年8月</w:t>
            </w:r>
          </w:p>
        </w:tc>
        <w:tc>
          <w:tcPr>
            <w:tcW w:w="1066" w:type="pct"/>
            <w:vAlign w:val="center"/>
          </w:tcPr>
          <w:p w14:paraId="4443F05D">
            <w:pPr>
              <w:pStyle w:val="12"/>
              <w:jc w:val="center"/>
              <w:rPr>
                <w:rFonts w:ascii="宋体" w:hAnsi="宋体" w:cs="宋体"/>
              </w:rPr>
            </w:pPr>
            <w:r>
              <w:rPr>
                <w:rFonts w:hint="eastAsia"/>
              </w:rPr>
              <w:t>北江第二支</w:t>
            </w:r>
          </w:p>
          <w:p w14:paraId="701A1AE7">
            <w:pPr>
              <w:pStyle w:val="12"/>
              <w:jc w:val="center"/>
            </w:pPr>
            <w:r>
              <w:rPr>
                <w:rFonts w:hint="eastAsia" w:ascii="宋体" w:hAnsi="宋体" w:cs="宋体"/>
              </w:rPr>
              <w:t>队  队  员</w:t>
            </w:r>
          </w:p>
        </w:tc>
        <w:tc>
          <w:tcPr>
            <w:tcW w:w="1162" w:type="pct"/>
            <w:vAlign w:val="center"/>
          </w:tcPr>
          <w:p w14:paraId="65059EE8">
            <w:pPr>
              <w:pStyle w:val="12"/>
              <w:jc w:val="left"/>
            </w:pPr>
            <w:r>
              <w:rPr>
                <w:rFonts w:hint="eastAsia"/>
              </w:rPr>
              <w:t>1948年在江西大余县坳上作战牺牲</w:t>
            </w:r>
          </w:p>
        </w:tc>
      </w:tr>
      <w:tr w14:paraId="7ACAC23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BD66054">
            <w:pPr>
              <w:pStyle w:val="12"/>
              <w:jc w:val="center"/>
            </w:pPr>
            <w:r>
              <w:rPr>
                <w:rFonts w:hint="eastAsia"/>
              </w:rPr>
              <w:t>陈朝春</w:t>
            </w:r>
            <w:r>
              <w:rPr>
                <w:rFonts w:hint="eastAsia" w:ascii="宋体" w:hAnsi="宋体" w:cs="宋体"/>
              </w:rPr>
              <w:t>（朝才）</w:t>
            </w:r>
          </w:p>
        </w:tc>
        <w:tc>
          <w:tcPr>
            <w:tcW w:w="388" w:type="pct"/>
            <w:vAlign w:val="center"/>
          </w:tcPr>
          <w:p w14:paraId="27153673">
            <w:pPr>
              <w:pStyle w:val="12"/>
              <w:jc w:val="center"/>
            </w:pPr>
            <w:r>
              <w:rPr>
                <w:rFonts w:hint="eastAsia"/>
              </w:rPr>
              <w:t>男</w:t>
            </w:r>
          </w:p>
        </w:tc>
        <w:tc>
          <w:tcPr>
            <w:tcW w:w="582" w:type="pct"/>
            <w:vAlign w:val="center"/>
          </w:tcPr>
          <w:p w14:paraId="26FA4689">
            <w:pPr>
              <w:pStyle w:val="12"/>
              <w:jc w:val="center"/>
            </w:pPr>
            <w:r>
              <w:rPr>
                <w:rFonts w:hint="eastAsia"/>
              </w:rPr>
              <w:t>1920年</w:t>
            </w:r>
          </w:p>
        </w:tc>
        <w:tc>
          <w:tcPr>
            <w:tcW w:w="582" w:type="pct"/>
            <w:vAlign w:val="center"/>
          </w:tcPr>
          <w:p w14:paraId="7C46369C">
            <w:pPr>
              <w:pStyle w:val="12"/>
              <w:jc w:val="center"/>
            </w:pPr>
            <w:r>
              <w:rPr>
                <w:rFonts w:hint="eastAsia"/>
              </w:rPr>
              <w:t>黄坑镇</w:t>
            </w:r>
          </w:p>
        </w:tc>
        <w:tc>
          <w:tcPr>
            <w:tcW w:w="582" w:type="pct"/>
            <w:vAlign w:val="center"/>
          </w:tcPr>
          <w:p w14:paraId="75DDD3F0">
            <w:pPr>
              <w:pStyle w:val="12"/>
              <w:jc w:val="center"/>
            </w:pPr>
            <w:r>
              <w:rPr>
                <w:rFonts w:hint="eastAsia"/>
              </w:rPr>
              <w:t>1947年</w:t>
            </w:r>
          </w:p>
        </w:tc>
        <w:tc>
          <w:tcPr>
            <w:tcW w:w="1066" w:type="pct"/>
            <w:vAlign w:val="center"/>
          </w:tcPr>
          <w:p w14:paraId="44FF0233">
            <w:pPr>
              <w:pStyle w:val="12"/>
              <w:jc w:val="center"/>
              <w:rPr>
                <w:rFonts w:ascii="宋体" w:hAnsi="宋体" w:cs="宋体"/>
              </w:rPr>
            </w:pPr>
            <w:r>
              <w:rPr>
                <w:rFonts w:hint="eastAsia"/>
              </w:rPr>
              <w:t>北江第二支</w:t>
            </w:r>
          </w:p>
          <w:p w14:paraId="210A96CC">
            <w:pPr>
              <w:pStyle w:val="12"/>
              <w:jc w:val="center"/>
            </w:pPr>
            <w:r>
              <w:rPr>
                <w:rFonts w:hint="eastAsia" w:ascii="宋体" w:hAnsi="宋体" w:cs="宋体"/>
              </w:rPr>
              <w:t>队  队  员</w:t>
            </w:r>
          </w:p>
        </w:tc>
        <w:tc>
          <w:tcPr>
            <w:tcW w:w="1162" w:type="pct"/>
            <w:vAlign w:val="center"/>
          </w:tcPr>
          <w:p w14:paraId="3F0AA552">
            <w:pPr>
              <w:pStyle w:val="12"/>
              <w:jc w:val="left"/>
            </w:pPr>
            <w:r>
              <w:rPr>
                <w:rFonts w:hint="eastAsia"/>
              </w:rPr>
              <w:t>1948年4月在茶头背作战牺牲</w:t>
            </w:r>
          </w:p>
        </w:tc>
      </w:tr>
      <w:tr w14:paraId="2A37331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0614069">
            <w:pPr>
              <w:pStyle w:val="12"/>
              <w:jc w:val="center"/>
            </w:pPr>
            <w:r>
              <w:rPr>
                <w:rFonts w:hint="eastAsia"/>
              </w:rPr>
              <w:t>李祥河</w:t>
            </w:r>
          </w:p>
        </w:tc>
        <w:tc>
          <w:tcPr>
            <w:tcW w:w="388" w:type="pct"/>
            <w:vAlign w:val="center"/>
          </w:tcPr>
          <w:p w14:paraId="67105D3F">
            <w:pPr>
              <w:pStyle w:val="12"/>
              <w:jc w:val="center"/>
            </w:pPr>
            <w:r>
              <w:rPr>
                <w:rFonts w:hint="eastAsia"/>
              </w:rPr>
              <w:t>男</w:t>
            </w:r>
          </w:p>
        </w:tc>
        <w:tc>
          <w:tcPr>
            <w:tcW w:w="582" w:type="pct"/>
            <w:vAlign w:val="center"/>
          </w:tcPr>
          <w:p w14:paraId="5D017FC5">
            <w:pPr>
              <w:pStyle w:val="12"/>
              <w:jc w:val="center"/>
            </w:pPr>
            <w:r>
              <w:rPr>
                <w:rFonts w:hint="eastAsia"/>
              </w:rPr>
              <w:t>1931年</w:t>
            </w:r>
          </w:p>
        </w:tc>
        <w:tc>
          <w:tcPr>
            <w:tcW w:w="582" w:type="pct"/>
            <w:vAlign w:val="center"/>
          </w:tcPr>
          <w:p w14:paraId="58A627ED">
            <w:pPr>
              <w:pStyle w:val="12"/>
              <w:jc w:val="center"/>
            </w:pPr>
            <w:r>
              <w:rPr>
                <w:rFonts w:hint="eastAsia"/>
              </w:rPr>
              <w:t>黄坑镇</w:t>
            </w:r>
          </w:p>
        </w:tc>
        <w:tc>
          <w:tcPr>
            <w:tcW w:w="582" w:type="pct"/>
            <w:vAlign w:val="center"/>
          </w:tcPr>
          <w:p w14:paraId="3DE867E6">
            <w:pPr>
              <w:pStyle w:val="12"/>
              <w:jc w:val="center"/>
            </w:pPr>
            <w:r>
              <w:rPr>
                <w:rFonts w:hint="eastAsia"/>
              </w:rPr>
              <w:t>1947年</w:t>
            </w:r>
          </w:p>
        </w:tc>
        <w:tc>
          <w:tcPr>
            <w:tcW w:w="1066" w:type="pct"/>
            <w:vAlign w:val="center"/>
          </w:tcPr>
          <w:p w14:paraId="486B9B05">
            <w:pPr>
              <w:pStyle w:val="12"/>
              <w:jc w:val="center"/>
              <w:rPr>
                <w:rFonts w:ascii="宋体" w:hAnsi="宋体" w:cs="宋体"/>
              </w:rPr>
            </w:pPr>
            <w:r>
              <w:rPr>
                <w:rFonts w:hint="eastAsia"/>
              </w:rPr>
              <w:t>北江第二支</w:t>
            </w:r>
          </w:p>
          <w:p w14:paraId="3E90DC25">
            <w:pPr>
              <w:pStyle w:val="12"/>
              <w:jc w:val="center"/>
            </w:pPr>
            <w:r>
              <w:rPr>
                <w:rFonts w:hint="eastAsia" w:ascii="宋体" w:hAnsi="宋体" w:cs="宋体"/>
              </w:rPr>
              <w:t>队  队  员</w:t>
            </w:r>
          </w:p>
        </w:tc>
        <w:tc>
          <w:tcPr>
            <w:tcW w:w="1162" w:type="pct"/>
            <w:vAlign w:val="center"/>
          </w:tcPr>
          <w:p w14:paraId="7065BA48">
            <w:pPr>
              <w:pStyle w:val="12"/>
              <w:jc w:val="left"/>
            </w:pPr>
            <w:r>
              <w:rPr>
                <w:rFonts w:hint="eastAsia"/>
              </w:rPr>
              <w:t>1948年9月在江西大余县被捕就义</w:t>
            </w:r>
          </w:p>
        </w:tc>
      </w:tr>
      <w:tr w14:paraId="150DC9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4FF4BAA">
            <w:pPr>
              <w:pStyle w:val="12"/>
              <w:jc w:val="center"/>
            </w:pPr>
            <w:r>
              <w:rPr>
                <w:rFonts w:hint="eastAsia"/>
              </w:rPr>
              <w:t>董松德</w:t>
            </w:r>
          </w:p>
        </w:tc>
        <w:tc>
          <w:tcPr>
            <w:tcW w:w="388" w:type="pct"/>
            <w:vAlign w:val="center"/>
          </w:tcPr>
          <w:p w14:paraId="17DF898B">
            <w:pPr>
              <w:pStyle w:val="12"/>
              <w:jc w:val="center"/>
            </w:pPr>
            <w:r>
              <w:rPr>
                <w:rFonts w:hint="eastAsia"/>
              </w:rPr>
              <w:t>男</w:t>
            </w:r>
          </w:p>
        </w:tc>
        <w:tc>
          <w:tcPr>
            <w:tcW w:w="582" w:type="pct"/>
            <w:vAlign w:val="center"/>
          </w:tcPr>
          <w:p w14:paraId="3AE5EE4D">
            <w:pPr>
              <w:pStyle w:val="12"/>
              <w:jc w:val="center"/>
            </w:pPr>
            <w:r>
              <w:rPr>
                <w:rFonts w:hint="eastAsia"/>
              </w:rPr>
              <w:t>1930年</w:t>
            </w:r>
          </w:p>
        </w:tc>
        <w:tc>
          <w:tcPr>
            <w:tcW w:w="582" w:type="pct"/>
            <w:vAlign w:val="center"/>
          </w:tcPr>
          <w:p w14:paraId="6F9B1D74">
            <w:pPr>
              <w:pStyle w:val="12"/>
              <w:jc w:val="center"/>
            </w:pPr>
            <w:r>
              <w:rPr>
                <w:rFonts w:hint="eastAsia"/>
              </w:rPr>
              <w:t>坪田镇</w:t>
            </w:r>
          </w:p>
        </w:tc>
        <w:tc>
          <w:tcPr>
            <w:tcW w:w="582" w:type="pct"/>
            <w:vAlign w:val="center"/>
          </w:tcPr>
          <w:p w14:paraId="3ABE9FEE">
            <w:pPr>
              <w:pStyle w:val="12"/>
              <w:jc w:val="center"/>
            </w:pPr>
            <w:r>
              <w:rPr>
                <w:rFonts w:hint="eastAsia"/>
              </w:rPr>
              <w:t>1947年</w:t>
            </w:r>
          </w:p>
        </w:tc>
        <w:tc>
          <w:tcPr>
            <w:tcW w:w="1066" w:type="pct"/>
            <w:vAlign w:val="center"/>
          </w:tcPr>
          <w:p w14:paraId="5F3FDF15">
            <w:pPr>
              <w:pStyle w:val="12"/>
              <w:jc w:val="center"/>
              <w:rPr>
                <w:rFonts w:ascii="宋体" w:hAnsi="宋体" w:cs="宋体"/>
              </w:rPr>
            </w:pPr>
            <w:r>
              <w:rPr>
                <w:rFonts w:hint="eastAsia"/>
              </w:rPr>
              <w:t>北江第二支</w:t>
            </w:r>
          </w:p>
          <w:p w14:paraId="1994952F">
            <w:pPr>
              <w:pStyle w:val="12"/>
              <w:jc w:val="center"/>
            </w:pPr>
            <w:r>
              <w:rPr>
                <w:rFonts w:hint="eastAsia" w:ascii="宋体" w:hAnsi="宋体" w:cs="宋体"/>
              </w:rPr>
              <w:t>队  队  员</w:t>
            </w:r>
          </w:p>
        </w:tc>
        <w:tc>
          <w:tcPr>
            <w:tcW w:w="1162" w:type="pct"/>
            <w:vAlign w:val="center"/>
          </w:tcPr>
          <w:p w14:paraId="38644647">
            <w:pPr>
              <w:pStyle w:val="12"/>
              <w:jc w:val="left"/>
            </w:pPr>
            <w:r>
              <w:rPr>
                <w:rFonts w:hint="eastAsia"/>
              </w:rPr>
              <w:t>1948年11月在老龙村被捕，在县城郊就义</w:t>
            </w:r>
          </w:p>
        </w:tc>
      </w:tr>
      <w:tr w14:paraId="6D5703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7B5A32F">
            <w:pPr>
              <w:pStyle w:val="12"/>
              <w:jc w:val="center"/>
            </w:pPr>
            <w:r>
              <w:rPr>
                <w:rFonts w:hint="eastAsia"/>
              </w:rPr>
              <w:t>刘运苟</w:t>
            </w:r>
          </w:p>
        </w:tc>
        <w:tc>
          <w:tcPr>
            <w:tcW w:w="388" w:type="pct"/>
            <w:vAlign w:val="center"/>
          </w:tcPr>
          <w:p w14:paraId="0C8F0A3F">
            <w:pPr>
              <w:pStyle w:val="12"/>
              <w:jc w:val="center"/>
            </w:pPr>
            <w:r>
              <w:rPr>
                <w:rFonts w:hint="eastAsia"/>
              </w:rPr>
              <w:t>男</w:t>
            </w:r>
          </w:p>
        </w:tc>
        <w:tc>
          <w:tcPr>
            <w:tcW w:w="582" w:type="pct"/>
            <w:vAlign w:val="center"/>
          </w:tcPr>
          <w:p w14:paraId="6CCD3FEE">
            <w:pPr>
              <w:pStyle w:val="12"/>
              <w:jc w:val="center"/>
            </w:pPr>
            <w:r>
              <w:rPr>
                <w:rFonts w:hint="eastAsia"/>
              </w:rPr>
              <w:t>1891年</w:t>
            </w:r>
          </w:p>
        </w:tc>
        <w:tc>
          <w:tcPr>
            <w:tcW w:w="582" w:type="pct"/>
            <w:vAlign w:val="center"/>
          </w:tcPr>
          <w:p w14:paraId="7C857FE1">
            <w:pPr>
              <w:pStyle w:val="12"/>
              <w:jc w:val="center"/>
            </w:pPr>
            <w:r>
              <w:rPr>
                <w:rFonts w:hint="eastAsia"/>
              </w:rPr>
              <w:t>雄州镇</w:t>
            </w:r>
          </w:p>
        </w:tc>
        <w:tc>
          <w:tcPr>
            <w:tcW w:w="582" w:type="pct"/>
            <w:vAlign w:val="center"/>
          </w:tcPr>
          <w:p w14:paraId="0769603F">
            <w:pPr>
              <w:pStyle w:val="12"/>
              <w:jc w:val="center"/>
            </w:pPr>
            <w:r>
              <w:rPr>
                <w:rFonts w:hint="eastAsia"/>
              </w:rPr>
              <w:t>1947年2月</w:t>
            </w:r>
          </w:p>
        </w:tc>
        <w:tc>
          <w:tcPr>
            <w:tcW w:w="1066" w:type="pct"/>
            <w:vAlign w:val="center"/>
          </w:tcPr>
          <w:p w14:paraId="0FD8914C">
            <w:pPr>
              <w:pStyle w:val="12"/>
              <w:jc w:val="center"/>
              <w:rPr>
                <w:rFonts w:ascii="宋体" w:hAnsi="宋体" w:cs="宋体"/>
              </w:rPr>
            </w:pPr>
            <w:r>
              <w:rPr>
                <w:rFonts w:hint="eastAsia"/>
              </w:rPr>
              <w:t>北江第二支</w:t>
            </w:r>
          </w:p>
          <w:p w14:paraId="014CADF1">
            <w:pPr>
              <w:pStyle w:val="12"/>
              <w:jc w:val="center"/>
            </w:pPr>
            <w:r>
              <w:rPr>
                <w:rFonts w:hint="eastAsia" w:ascii="宋体" w:hAnsi="宋体" w:cs="宋体"/>
              </w:rPr>
              <w:t>队交通员</w:t>
            </w:r>
          </w:p>
        </w:tc>
        <w:tc>
          <w:tcPr>
            <w:tcW w:w="1162" w:type="pct"/>
            <w:vAlign w:val="center"/>
          </w:tcPr>
          <w:p w14:paraId="44A27D19">
            <w:pPr>
              <w:pStyle w:val="12"/>
              <w:jc w:val="left"/>
            </w:pPr>
            <w:r>
              <w:rPr>
                <w:rFonts w:hint="eastAsia"/>
              </w:rPr>
              <w:t>1948年4月在瑶坑被捕，在县城郊就义</w:t>
            </w:r>
          </w:p>
        </w:tc>
      </w:tr>
      <w:tr w14:paraId="7B12EF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EC7DEC2">
            <w:pPr>
              <w:pStyle w:val="12"/>
              <w:jc w:val="center"/>
            </w:pPr>
            <w:r>
              <w:rPr>
                <w:rFonts w:hint="eastAsia"/>
              </w:rPr>
              <w:t>董奀德</w:t>
            </w:r>
          </w:p>
        </w:tc>
        <w:tc>
          <w:tcPr>
            <w:tcW w:w="388" w:type="pct"/>
            <w:vAlign w:val="center"/>
          </w:tcPr>
          <w:p w14:paraId="5F7C0E74">
            <w:pPr>
              <w:pStyle w:val="12"/>
              <w:jc w:val="center"/>
            </w:pPr>
            <w:r>
              <w:rPr>
                <w:rFonts w:hint="eastAsia"/>
              </w:rPr>
              <w:t>男</w:t>
            </w:r>
          </w:p>
        </w:tc>
        <w:tc>
          <w:tcPr>
            <w:tcW w:w="582" w:type="pct"/>
            <w:vAlign w:val="center"/>
          </w:tcPr>
          <w:p w14:paraId="24B895C1">
            <w:pPr>
              <w:pStyle w:val="12"/>
              <w:jc w:val="center"/>
            </w:pPr>
            <w:r>
              <w:rPr>
                <w:rFonts w:hint="eastAsia"/>
              </w:rPr>
              <w:t>1927年</w:t>
            </w:r>
          </w:p>
        </w:tc>
        <w:tc>
          <w:tcPr>
            <w:tcW w:w="582" w:type="pct"/>
            <w:vAlign w:val="center"/>
          </w:tcPr>
          <w:p w14:paraId="3B22534D">
            <w:pPr>
              <w:pStyle w:val="12"/>
              <w:jc w:val="center"/>
            </w:pPr>
            <w:r>
              <w:rPr>
                <w:rFonts w:hint="eastAsia"/>
              </w:rPr>
              <w:t>坪田镇</w:t>
            </w:r>
          </w:p>
        </w:tc>
        <w:tc>
          <w:tcPr>
            <w:tcW w:w="582" w:type="pct"/>
            <w:vAlign w:val="center"/>
          </w:tcPr>
          <w:p w14:paraId="671D312E">
            <w:pPr>
              <w:pStyle w:val="12"/>
              <w:jc w:val="center"/>
            </w:pPr>
            <w:r>
              <w:rPr>
                <w:rFonts w:hint="eastAsia"/>
              </w:rPr>
              <w:t>1947年</w:t>
            </w:r>
          </w:p>
        </w:tc>
        <w:tc>
          <w:tcPr>
            <w:tcW w:w="1066" w:type="pct"/>
            <w:vAlign w:val="center"/>
          </w:tcPr>
          <w:p w14:paraId="7DF70C96">
            <w:pPr>
              <w:pStyle w:val="12"/>
              <w:jc w:val="center"/>
              <w:rPr>
                <w:rFonts w:ascii="宋体" w:hAnsi="宋体" w:cs="宋体"/>
              </w:rPr>
            </w:pPr>
            <w:r>
              <w:rPr>
                <w:rFonts w:hint="eastAsia"/>
              </w:rPr>
              <w:t>北江第二支</w:t>
            </w:r>
          </w:p>
          <w:p w14:paraId="7E06EADD">
            <w:pPr>
              <w:pStyle w:val="12"/>
              <w:jc w:val="center"/>
            </w:pPr>
            <w:r>
              <w:rPr>
                <w:rFonts w:hint="eastAsia" w:ascii="宋体" w:hAnsi="宋体" w:cs="宋体"/>
              </w:rPr>
              <w:t>队  队  员</w:t>
            </w:r>
          </w:p>
        </w:tc>
        <w:tc>
          <w:tcPr>
            <w:tcW w:w="1162" w:type="pct"/>
            <w:vAlign w:val="center"/>
          </w:tcPr>
          <w:p w14:paraId="047E1BD1">
            <w:pPr>
              <w:pStyle w:val="12"/>
              <w:jc w:val="left"/>
            </w:pPr>
            <w:r>
              <w:rPr>
                <w:rFonts w:hint="eastAsia"/>
              </w:rPr>
              <w:t>1948年在大塘战斗牺牲</w:t>
            </w:r>
          </w:p>
        </w:tc>
      </w:tr>
      <w:tr w14:paraId="0B2646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FA2348D">
            <w:pPr>
              <w:pStyle w:val="12"/>
              <w:jc w:val="center"/>
            </w:pPr>
            <w:r>
              <w:rPr>
                <w:rFonts w:hint="eastAsia"/>
              </w:rPr>
              <w:t>聂齐贤</w:t>
            </w:r>
          </w:p>
        </w:tc>
        <w:tc>
          <w:tcPr>
            <w:tcW w:w="388" w:type="pct"/>
            <w:vAlign w:val="center"/>
          </w:tcPr>
          <w:p w14:paraId="49554332">
            <w:pPr>
              <w:pStyle w:val="12"/>
              <w:jc w:val="center"/>
            </w:pPr>
            <w:r>
              <w:rPr>
                <w:rFonts w:hint="eastAsia"/>
              </w:rPr>
              <w:t>男</w:t>
            </w:r>
          </w:p>
        </w:tc>
        <w:tc>
          <w:tcPr>
            <w:tcW w:w="582" w:type="pct"/>
            <w:vAlign w:val="center"/>
          </w:tcPr>
          <w:p w14:paraId="38A17B38">
            <w:pPr>
              <w:pStyle w:val="12"/>
              <w:jc w:val="center"/>
            </w:pPr>
            <w:r>
              <w:rPr>
                <w:rFonts w:hint="eastAsia"/>
              </w:rPr>
              <w:t>1923年</w:t>
            </w:r>
          </w:p>
        </w:tc>
        <w:tc>
          <w:tcPr>
            <w:tcW w:w="582" w:type="pct"/>
            <w:vAlign w:val="center"/>
          </w:tcPr>
          <w:p w14:paraId="7A78F51A">
            <w:pPr>
              <w:pStyle w:val="12"/>
              <w:jc w:val="center"/>
            </w:pPr>
            <w:r>
              <w:rPr>
                <w:rFonts w:hint="eastAsia"/>
              </w:rPr>
              <w:t>雄州镇</w:t>
            </w:r>
          </w:p>
        </w:tc>
        <w:tc>
          <w:tcPr>
            <w:tcW w:w="582" w:type="pct"/>
            <w:vAlign w:val="center"/>
          </w:tcPr>
          <w:p w14:paraId="4C57D0B2">
            <w:pPr>
              <w:pStyle w:val="12"/>
              <w:jc w:val="center"/>
            </w:pPr>
            <w:r>
              <w:rPr>
                <w:rFonts w:hint="eastAsia"/>
              </w:rPr>
              <w:t>1947年</w:t>
            </w:r>
          </w:p>
        </w:tc>
        <w:tc>
          <w:tcPr>
            <w:tcW w:w="1066" w:type="pct"/>
            <w:vAlign w:val="center"/>
          </w:tcPr>
          <w:p w14:paraId="2B624C49">
            <w:pPr>
              <w:pStyle w:val="12"/>
              <w:jc w:val="center"/>
              <w:rPr>
                <w:rFonts w:ascii="宋体" w:hAnsi="宋体" w:cs="宋体"/>
              </w:rPr>
            </w:pPr>
            <w:r>
              <w:rPr>
                <w:rFonts w:hint="eastAsia"/>
              </w:rPr>
              <w:t>北江第二支</w:t>
            </w:r>
          </w:p>
          <w:p w14:paraId="6DBC6B5E">
            <w:pPr>
              <w:pStyle w:val="12"/>
              <w:jc w:val="center"/>
            </w:pPr>
            <w:r>
              <w:rPr>
                <w:rFonts w:hint="eastAsia" w:ascii="宋体" w:hAnsi="宋体" w:cs="宋体"/>
              </w:rPr>
              <w:t>队联络员</w:t>
            </w:r>
          </w:p>
        </w:tc>
        <w:tc>
          <w:tcPr>
            <w:tcW w:w="1162" w:type="pct"/>
            <w:vAlign w:val="center"/>
          </w:tcPr>
          <w:p w14:paraId="4272A83A">
            <w:pPr>
              <w:pStyle w:val="12"/>
              <w:jc w:val="left"/>
            </w:pPr>
            <w:r>
              <w:rPr>
                <w:rFonts w:hint="eastAsia"/>
              </w:rPr>
              <w:t>1948年1月在瑶坑被捕，在县城郊就义</w:t>
            </w:r>
          </w:p>
        </w:tc>
      </w:tr>
      <w:tr w14:paraId="0EEFCF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D6B00C8">
            <w:pPr>
              <w:pStyle w:val="12"/>
              <w:jc w:val="center"/>
            </w:pPr>
            <w:r>
              <w:rPr>
                <w:rFonts w:hint="eastAsia"/>
              </w:rPr>
              <w:t>刘  平</w:t>
            </w:r>
          </w:p>
        </w:tc>
        <w:tc>
          <w:tcPr>
            <w:tcW w:w="388" w:type="pct"/>
            <w:vAlign w:val="center"/>
          </w:tcPr>
          <w:p w14:paraId="2CD160AA">
            <w:pPr>
              <w:pStyle w:val="12"/>
              <w:jc w:val="center"/>
            </w:pPr>
            <w:r>
              <w:rPr>
                <w:rFonts w:hint="eastAsia"/>
              </w:rPr>
              <w:t>男</w:t>
            </w:r>
          </w:p>
        </w:tc>
        <w:tc>
          <w:tcPr>
            <w:tcW w:w="582" w:type="pct"/>
            <w:vAlign w:val="center"/>
          </w:tcPr>
          <w:p w14:paraId="654A7B3C">
            <w:pPr>
              <w:pStyle w:val="12"/>
              <w:jc w:val="center"/>
            </w:pPr>
            <w:r>
              <w:rPr>
                <w:rFonts w:hint="eastAsia"/>
              </w:rPr>
              <w:t>1929年</w:t>
            </w:r>
          </w:p>
        </w:tc>
        <w:tc>
          <w:tcPr>
            <w:tcW w:w="582" w:type="pct"/>
            <w:vAlign w:val="center"/>
          </w:tcPr>
          <w:p w14:paraId="54C0AC42">
            <w:pPr>
              <w:pStyle w:val="12"/>
              <w:jc w:val="center"/>
            </w:pPr>
            <w:r>
              <w:rPr>
                <w:rFonts w:hint="eastAsia"/>
              </w:rPr>
              <w:t>雄州镇</w:t>
            </w:r>
          </w:p>
        </w:tc>
        <w:tc>
          <w:tcPr>
            <w:tcW w:w="582" w:type="pct"/>
            <w:vAlign w:val="center"/>
          </w:tcPr>
          <w:p w14:paraId="4D37A07B">
            <w:pPr>
              <w:pStyle w:val="12"/>
              <w:jc w:val="center"/>
            </w:pPr>
            <w:r>
              <w:rPr>
                <w:rFonts w:hint="eastAsia"/>
              </w:rPr>
              <w:t>1947年3月</w:t>
            </w:r>
          </w:p>
        </w:tc>
        <w:tc>
          <w:tcPr>
            <w:tcW w:w="1066" w:type="pct"/>
            <w:vAlign w:val="center"/>
          </w:tcPr>
          <w:p w14:paraId="0CC17649">
            <w:pPr>
              <w:pStyle w:val="12"/>
              <w:jc w:val="center"/>
              <w:rPr>
                <w:rFonts w:ascii="宋体" w:hAnsi="宋体" w:cs="宋体"/>
              </w:rPr>
            </w:pPr>
            <w:r>
              <w:rPr>
                <w:rFonts w:hint="eastAsia"/>
              </w:rPr>
              <w:t>北江第二支</w:t>
            </w:r>
          </w:p>
          <w:p w14:paraId="18D18B2E">
            <w:pPr>
              <w:pStyle w:val="12"/>
              <w:jc w:val="center"/>
            </w:pPr>
            <w:r>
              <w:rPr>
                <w:rFonts w:hint="eastAsia" w:ascii="宋体" w:hAnsi="宋体" w:cs="宋体"/>
              </w:rPr>
              <w:t>队  队  员</w:t>
            </w:r>
          </w:p>
        </w:tc>
        <w:tc>
          <w:tcPr>
            <w:tcW w:w="1162" w:type="pct"/>
            <w:vAlign w:val="center"/>
          </w:tcPr>
          <w:p w14:paraId="4C40616F">
            <w:pPr>
              <w:pStyle w:val="12"/>
              <w:jc w:val="left"/>
            </w:pPr>
            <w:r>
              <w:rPr>
                <w:rFonts w:hint="eastAsia"/>
              </w:rPr>
              <w:t>1948年6月被捕，在县城郊就义</w:t>
            </w:r>
          </w:p>
        </w:tc>
      </w:tr>
      <w:tr w14:paraId="6ACC6D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DE84325">
            <w:pPr>
              <w:pStyle w:val="12"/>
              <w:jc w:val="center"/>
            </w:pPr>
            <w:r>
              <w:rPr>
                <w:rFonts w:hint="eastAsia"/>
              </w:rPr>
              <w:t>刘烈勋</w:t>
            </w:r>
          </w:p>
        </w:tc>
        <w:tc>
          <w:tcPr>
            <w:tcW w:w="388" w:type="pct"/>
            <w:vAlign w:val="center"/>
          </w:tcPr>
          <w:p w14:paraId="7C3BB92B">
            <w:pPr>
              <w:pStyle w:val="12"/>
              <w:jc w:val="center"/>
            </w:pPr>
            <w:r>
              <w:rPr>
                <w:rFonts w:hint="eastAsia"/>
              </w:rPr>
              <w:t>男</w:t>
            </w:r>
          </w:p>
        </w:tc>
        <w:tc>
          <w:tcPr>
            <w:tcW w:w="582" w:type="pct"/>
            <w:vAlign w:val="center"/>
          </w:tcPr>
          <w:p w14:paraId="165F9569">
            <w:pPr>
              <w:pStyle w:val="12"/>
              <w:jc w:val="center"/>
            </w:pPr>
            <w:r>
              <w:rPr>
                <w:rFonts w:hint="eastAsia"/>
              </w:rPr>
              <w:t>1921年</w:t>
            </w:r>
          </w:p>
        </w:tc>
        <w:tc>
          <w:tcPr>
            <w:tcW w:w="582" w:type="pct"/>
            <w:vAlign w:val="center"/>
          </w:tcPr>
          <w:p w14:paraId="6E04F47B">
            <w:pPr>
              <w:pStyle w:val="12"/>
              <w:jc w:val="center"/>
            </w:pPr>
            <w:r>
              <w:rPr>
                <w:rFonts w:hint="eastAsia"/>
              </w:rPr>
              <w:t>雄州镇</w:t>
            </w:r>
          </w:p>
        </w:tc>
        <w:tc>
          <w:tcPr>
            <w:tcW w:w="582" w:type="pct"/>
            <w:vAlign w:val="center"/>
          </w:tcPr>
          <w:p w14:paraId="321649A8">
            <w:pPr>
              <w:pStyle w:val="12"/>
              <w:jc w:val="center"/>
            </w:pPr>
            <w:r>
              <w:rPr>
                <w:rFonts w:hint="eastAsia"/>
              </w:rPr>
              <w:t>1947年8月</w:t>
            </w:r>
          </w:p>
        </w:tc>
        <w:tc>
          <w:tcPr>
            <w:tcW w:w="1066" w:type="pct"/>
            <w:vAlign w:val="center"/>
          </w:tcPr>
          <w:p w14:paraId="50D837AC">
            <w:pPr>
              <w:pStyle w:val="12"/>
              <w:jc w:val="center"/>
              <w:rPr>
                <w:rFonts w:ascii="宋体" w:hAnsi="宋体" w:cs="宋体"/>
              </w:rPr>
            </w:pPr>
            <w:r>
              <w:rPr>
                <w:rFonts w:hint="eastAsia"/>
              </w:rPr>
              <w:t>北江第二支</w:t>
            </w:r>
          </w:p>
          <w:p w14:paraId="7FB56D59">
            <w:pPr>
              <w:pStyle w:val="12"/>
              <w:jc w:val="center"/>
            </w:pPr>
            <w:r>
              <w:rPr>
                <w:rFonts w:hint="eastAsia" w:ascii="宋体" w:hAnsi="宋体" w:cs="宋体"/>
              </w:rPr>
              <w:t>队  队  员</w:t>
            </w:r>
          </w:p>
        </w:tc>
        <w:tc>
          <w:tcPr>
            <w:tcW w:w="1162" w:type="pct"/>
            <w:vAlign w:val="center"/>
          </w:tcPr>
          <w:p w14:paraId="5CBB064D">
            <w:pPr>
              <w:pStyle w:val="12"/>
              <w:jc w:val="left"/>
            </w:pPr>
            <w:r>
              <w:rPr>
                <w:rFonts w:hint="eastAsia"/>
              </w:rPr>
              <w:t>1948年3月在瑶坑被捕，在县城郊就义</w:t>
            </w:r>
          </w:p>
        </w:tc>
      </w:tr>
      <w:tr w14:paraId="09C0A2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244A422">
            <w:pPr>
              <w:pStyle w:val="12"/>
              <w:jc w:val="center"/>
            </w:pPr>
            <w:r>
              <w:rPr>
                <w:rFonts w:hint="eastAsia"/>
              </w:rPr>
              <w:t>钟金标</w:t>
            </w:r>
            <w:r>
              <w:rPr>
                <w:rFonts w:hint="eastAsia" w:ascii="宋体" w:hAnsi="宋体" w:cs="宋体"/>
              </w:rPr>
              <w:t>（义建）</w:t>
            </w:r>
          </w:p>
        </w:tc>
        <w:tc>
          <w:tcPr>
            <w:tcW w:w="388" w:type="pct"/>
            <w:vAlign w:val="center"/>
          </w:tcPr>
          <w:p w14:paraId="794EA4F1">
            <w:pPr>
              <w:pStyle w:val="12"/>
              <w:jc w:val="center"/>
            </w:pPr>
            <w:r>
              <w:rPr>
                <w:rFonts w:hint="eastAsia"/>
              </w:rPr>
              <w:t>男</w:t>
            </w:r>
          </w:p>
        </w:tc>
        <w:tc>
          <w:tcPr>
            <w:tcW w:w="582" w:type="pct"/>
            <w:vAlign w:val="center"/>
          </w:tcPr>
          <w:p w14:paraId="56A951E6">
            <w:pPr>
              <w:pStyle w:val="12"/>
              <w:jc w:val="center"/>
            </w:pPr>
            <w:r>
              <w:rPr>
                <w:rFonts w:hint="eastAsia"/>
              </w:rPr>
              <w:t>1913年</w:t>
            </w:r>
          </w:p>
        </w:tc>
        <w:tc>
          <w:tcPr>
            <w:tcW w:w="582" w:type="pct"/>
            <w:vAlign w:val="center"/>
          </w:tcPr>
          <w:p w14:paraId="2738CD1F">
            <w:pPr>
              <w:pStyle w:val="12"/>
              <w:jc w:val="center"/>
            </w:pPr>
            <w:r>
              <w:rPr>
                <w:rFonts w:hint="eastAsia"/>
              </w:rPr>
              <w:t>邓坊镇</w:t>
            </w:r>
          </w:p>
        </w:tc>
        <w:tc>
          <w:tcPr>
            <w:tcW w:w="582" w:type="pct"/>
            <w:vAlign w:val="center"/>
          </w:tcPr>
          <w:p w14:paraId="42720D63">
            <w:pPr>
              <w:pStyle w:val="12"/>
              <w:jc w:val="center"/>
            </w:pPr>
            <w:r>
              <w:rPr>
                <w:rFonts w:hint="eastAsia"/>
              </w:rPr>
              <w:t>1946年</w:t>
            </w:r>
          </w:p>
        </w:tc>
        <w:tc>
          <w:tcPr>
            <w:tcW w:w="1066" w:type="pct"/>
            <w:vAlign w:val="center"/>
          </w:tcPr>
          <w:p w14:paraId="0490912F">
            <w:pPr>
              <w:pStyle w:val="12"/>
              <w:jc w:val="center"/>
              <w:rPr>
                <w:rFonts w:ascii="宋体" w:hAnsi="宋体" w:cs="宋体"/>
              </w:rPr>
            </w:pPr>
            <w:r>
              <w:rPr>
                <w:rFonts w:hint="eastAsia"/>
              </w:rPr>
              <w:t>北江第二支</w:t>
            </w:r>
          </w:p>
          <w:p w14:paraId="2189DE87">
            <w:pPr>
              <w:pStyle w:val="12"/>
              <w:jc w:val="center"/>
            </w:pPr>
            <w:r>
              <w:rPr>
                <w:rFonts w:hint="eastAsia" w:ascii="宋体" w:hAnsi="宋体" w:cs="宋体"/>
              </w:rPr>
              <w:t>队  班  长</w:t>
            </w:r>
          </w:p>
        </w:tc>
        <w:tc>
          <w:tcPr>
            <w:tcW w:w="1162" w:type="pct"/>
            <w:vAlign w:val="center"/>
          </w:tcPr>
          <w:p w14:paraId="07F90295">
            <w:pPr>
              <w:pStyle w:val="12"/>
              <w:jc w:val="left"/>
            </w:pPr>
            <w:r>
              <w:rPr>
                <w:rFonts w:hint="eastAsia"/>
              </w:rPr>
              <w:t>1948年在油山老村被捕，在城郊五里山就义</w:t>
            </w:r>
          </w:p>
        </w:tc>
      </w:tr>
      <w:tr w14:paraId="6EE53B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956975B">
            <w:pPr>
              <w:pStyle w:val="12"/>
              <w:jc w:val="center"/>
            </w:pPr>
            <w:r>
              <w:rPr>
                <w:rFonts w:hint="eastAsia"/>
              </w:rPr>
              <w:t>徐  铭</w:t>
            </w:r>
          </w:p>
        </w:tc>
        <w:tc>
          <w:tcPr>
            <w:tcW w:w="388" w:type="pct"/>
            <w:vAlign w:val="center"/>
          </w:tcPr>
          <w:p w14:paraId="6886F7DD">
            <w:pPr>
              <w:pStyle w:val="12"/>
              <w:jc w:val="center"/>
            </w:pPr>
            <w:r>
              <w:rPr>
                <w:rFonts w:hint="eastAsia"/>
              </w:rPr>
              <w:t>男</w:t>
            </w:r>
          </w:p>
        </w:tc>
        <w:tc>
          <w:tcPr>
            <w:tcW w:w="582" w:type="pct"/>
            <w:vAlign w:val="center"/>
          </w:tcPr>
          <w:p w14:paraId="391CB37A">
            <w:pPr>
              <w:pStyle w:val="12"/>
              <w:jc w:val="center"/>
            </w:pPr>
            <w:r>
              <w:rPr>
                <w:rFonts w:hint="eastAsia"/>
              </w:rPr>
              <w:t>1914年</w:t>
            </w:r>
          </w:p>
        </w:tc>
        <w:tc>
          <w:tcPr>
            <w:tcW w:w="582" w:type="pct"/>
            <w:vAlign w:val="center"/>
          </w:tcPr>
          <w:p w14:paraId="63D1EECE">
            <w:pPr>
              <w:pStyle w:val="12"/>
              <w:jc w:val="center"/>
            </w:pPr>
            <w:r>
              <w:rPr>
                <w:rFonts w:hint="eastAsia"/>
              </w:rPr>
              <w:t>雄州镇</w:t>
            </w:r>
          </w:p>
        </w:tc>
        <w:tc>
          <w:tcPr>
            <w:tcW w:w="582" w:type="pct"/>
            <w:vAlign w:val="center"/>
          </w:tcPr>
          <w:p w14:paraId="6B1AEB14">
            <w:pPr>
              <w:pStyle w:val="12"/>
              <w:jc w:val="center"/>
            </w:pPr>
            <w:r>
              <w:rPr>
                <w:rFonts w:hint="eastAsia"/>
              </w:rPr>
              <w:t>1947年1月</w:t>
            </w:r>
          </w:p>
        </w:tc>
        <w:tc>
          <w:tcPr>
            <w:tcW w:w="1066" w:type="pct"/>
            <w:vAlign w:val="center"/>
          </w:tcPr>
          <w:p w14:paraId="27316D5F">
            <w:pPr>
              <w:pStyle w:val="12"/>
              <w:jc w:val="center"/>
              <w:rPr>
                <w:rFonts w:ascii="宋体" w:hAnsi="宋体" w:cs="宋体"/>
              </w:rPr>
            </w:pPr>
            <w:r>
              <w:rPr>
                <w:rFonts w:hint="eastAsia"/>
              </w:rPr>
              <w:t>北江第二支</w:t>
            </w:r>
          </w:p>
          <w:p w14:paraId="65E79285">
            <w:pPr>
              <w:pStyle w:val="12"/>
              <w:jc w:val="center"/>
            </w:pPr>
            <w:r>
              <w:rPr>
                <w:rFonts w:hint="eastAsia" w:ascii="宋体" w:hAnsi="宋体" w:cs="宋体"/>
              </w:rPr>
              <w:t>队炊事员</w:t>
            </w:r>
          </w:p>
        </w:tc>
        <w:tc>
          <w:tcPr>
            <w:tcW w:w="1162" w:type="pct"/>
            <w:vAlign w:val="center"/>
          </w:tcPr>
          <w:p w14:paraId="41BA1EF9">
            <w:pPr>
              <w:pStyle w:val="12"/>
              <w:jc w:val="left"/>
            </w:pPr>
            <w:r>
              <w:rPr>
                <w:rFonts w:hint="eastAsia"/>
              </w:rPr>
              <w:t>1948年12月在江西大余县杉村行军中病逝</w:t>
            </w:r>
          </w:p>
        </w:tc>
      </w:tr>
      <w:tr w14:paraId="307B2B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DA01A25">
            <w:pPr>
              <w:pStyle w:val="12"/>
              <w:jc w:val="center"/>
            </w:pPr>
            <w:r>
              <w:rPr>
                <w:rFonts w:hint="eastAsia"/>
              </w:rPr>
              <w:t>卢章华</w:t>
            </w:r>
          </w:p>
        </w:tc>
        <w:tc>
          <w:tcPr>
            <w:tcW w:w="388" w:type="pct"/>
            <w:vAlign w:val="center"/>
          </w:tcPr>
          <w:p w14:paraId="065C39BF">
            <w:pPr>
              <w:pStyle w:val="12"/>
              <w:jc w:val="center"/>
            </w:pPr>
            <w:r>
              <w:rPr>
                <w:rFonts w:hint="eastAsia"/>
              </w:rPr>
              <w:t>男</w:t>
            </w:r>
          </w:p>
        </w:tc>
        <w:tc>
          <w:tcPr>
            <w:tcW w:w="582" w:type="pct"/>
            <w:vAlign w:val="center"/>
          </w:tcPr>
          <w:p w14:paraId="696E6815">
            <w:pPr>
              <w:pStyle w:val="12"/>
              <w:jc w:val="center"/>
            </w:pPr>
            <w:r>
              <w:rPr>
                <w:rFonts w:hint="eastAsia"/>
              </w:rPr>
              <w:t>1907年</w:t>
            </w:r>
          </w:p>
        </w:tc>
        <w:tc>
          <w:tcPr>
            <w:tcW w:w="582" w:type="pct"/>
            <w:vAlign w:val="center"/>
          </w:tcPr>
          <w:p w14:paraId="1F2B8153">
            <w:pPr>
              <w:pStyle w:val="12"/>
              <w:jc w:val="center"/>
            </w:pPr>
            <w:r>
              <w:rPr>
                <w:rFonts w:hint="eastAsia"/>
              </w:rPr>
              <w:t>古市镇</w:t>
            </w:r>
          </w:p>
        </w:tc>
        <w:tc>
          <w:tcPr>
            <w:tcW w:w="582" w:type="pct"/>
            <w:vAlign w:val="center"/>
          </w:tcPr>
          <w:p w14:paraId="3B60E2C2">
            <w:pPr>
              <w:pStyle w:val="12"/>
              <w:jc w:val="center"/>
            </w:pPr>
            <w:r>
              <w:rPr>
                <w:rFonts w:hint="eastAsia"/>
              </w:rPr>
              <w:t>1947年</w:t>
            </w:r>
          </w:p>
        </w:tc>
        <w:tc>
          <w:tcPr>
            <w:tcW w:w="1066" w:type="pct"/>
            <w:vAlign w:val="center"/>
          </w:tcPr>
          <w:p w14:paraId="63B4F1DC">
            <w:pPr>
              <w:pStyle w:val="12"/>
              <w:jc w:val="center"/>
              <w:rPr>
                <w:rFonts w:ascii="宋体" w:hAnsi="宋体" w:cs="宋体"/>
              </w:rPr>
            </w:pPr>
            <w:r>
              <w:rPr>
                <w:rFonts w:hint="eastAsia"/>
              </w:rPr>
              <w:t>北江第二支</w:t>
            </w:r>
          </w:p>
          <w:p w14:paraId="46DDDEAD">
            <w:pPr>
              <w:pStyle w:val="12"/>
              <w:jc w:val="center"/>
            </w:pPr>
            <w:r>
              <w:rPr>
                <w:rFonts w:hint="eastAsia" w:ascii="宋体" w:hAnsi="宋体" w:cs="宋体"/>
              </w:rPr>
              <w:t>队交通员</w:t>
            </w:r>
          </w:p>
        </w:tc>
        <w:tc>
          <w:tcPr>
            <w:tcW w:w="1162" w:type="pct"/>
            <w:vAlign w:val="center"/>
          </w:tcPr>
          <w:p w14:paraId="1E8B4F69">
            <w:pPr>
              <w:pStyle w:val="12"/>
              <w:jc w:val="left"/>
            </w:pPr>
            <w:r>
              <w:rPr>
                <w:rFonts w:hint="eastAsia"/>
              </w:rPr>
              <w:t>1948年2月在柴岭被捕，在县城郊黄泥塘就义</w:t>
            </w:r>
          </w:p>
        </w:tc>
      </w:tr>
      <w:tr w14:paraId="0AAECF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410A403">
            <w:pPr>
              <w:pStyle w:val="12"/>
              <w:jc w:val="center"/>
            </w:pPr>
            <w:r>
              <w:rPr>
                <w:rFonts w:hint="eastAsia"/>
              </w:rPr>
              <w:t>何腾祥</w:t>
            </w:r>
          </w:p>
        </w:tc>
        <w:tc>
          <w:tcPr>
            <w:tcW w:w="388" w:type="pct"/>
            <w:vAlign w:val="center"/>
          </w:tcPr>
          <w:p w14:paraId="48619E21">
            <w:pPr>
              <w:pStyle w:val="12"/>
              <w:jc w:val="center"/>
            </w:pPr>
            <w:r>
              <w:rPr>
                <w:rFonts w:hint="eastAsia"/>
              </w:rPr>
              <w:t>男</w:t>
            </w:r>
          </w:p>
        </w:tc>
        <w:tc>
          <w:tcPr>
            <w:tcW w:w="582" w:type="pct"/>
            <w:vAlign w:val="center"/>
          </w:tcPr>
          <w:p w14:paraId="049C8AFB">
            <w:pPr>
              <w:pStyle w:val="12"/>
              <w:jc w:val="center"/>
            </w:pPr>
            <w:r>
              <w:rPr>
                <w:rFonts w:hint="eastAsia"/>
              </w:rPr>
              <w:t>1919年</w:t>
            </w:r>
          </w:p>
        </w:tc>
        <w:tc>
          <w:tcPr>
            <w:tcW w:w="582" w:type="pct"/>
            <w:vAlign w:val="center"/>
          </w:tcPr>
          <w:p w14:paraId="1BCBA019">
            <w:pPr>
              <w:pStyle w:val="12"/>
              <w:jc w:val="center"/>
            </w:pPr>
            <w:r>
              <w:rPr>
                <w:rFonts w:hint="eastAsia"/>
              </w:rPr>
              <w:t>全安镇</w:t>
            </w:r>
          </w:p>
        </w:tc>
        <w:tc>
          <w:tcPr>
            <w:tcW w:w="582" w:type="pct"/>
            <w:vAlign w:val="center"/>
          </w:tcPr>
          <w:p w14:paraId="79FF779A">
            <w:pPr>
              <w:pStyle w:val="12"/>
              <w:jc w:val="center"/>
            </w:pPr>
            <w:r>
              <w:rPr>
                <w:rFonts w:hint="eastAsia"/>
              </w:rPr>
              <w:t>1947年</w:t>
            </w:r>
          </w:p>
        </w:tc>
        <w:tc>
          <w:tcPr>
            <w:tcW w:w="1066" w:type="pct"/>
            <w:vAlign w:val="center"/>
          </w:tcPr>
          <w:p w14:paraId="415CD1E9">
            <w:pPr>
              <w:pStyle w:val="12"/>
              <w:jc w:val="center"/>
              <w:rPr>
                <w:rFonts w:ascii="宋体" w:hAnsi="宋体" w:cs="宋体"/>
              </w:rPr>
            </w:pPr>
            <w:r>
              <w:rPr>
                <w:rFonts w:hint="eastAsia"/>
              </w:rPr>
              <w:t>北江第二支</w:t>
            </w:r>
          </w:p>
          <w:p w14:paraId="1CF33F52">
            <w:pPr>
              <w:pStyle w:val="12"/>
              <w:jc w:val="center"/>
            </w:pPr>
            <w:r>
              <w:rPr>
                <w:rFonts w:hint="eastAsia" w:ascii="宋体" w:hAnsi="宋体" w:cs="宋体"/>
              </w:rPr>
              <w:t>队  队  员</w:t>
            </w:r>
          </w:p>
        </w:tc>
        <w:tc>
          <w:tcPr>
            <w:tcW w:w="1162" w:type="pct"/>
            <w:vAlign w:val="center"/>
          </w:tcPr>
          <w:p w14:paraId="26D539ED">
            <w:pPr>
              <w:pStyle w:val="12"/>
              <w:jc w:val="left"/>
            </w:pPr>
            <w:r>
              <w:rPr>
                <w:rFonts w:hint="eastAsia"/>
              </w:rPr>
              <w:t>1948年在赣州战斗牺牲</w:t>
            </w:r>
          </w:p>
        </w:tc>
      </w:tr>
      <w:tr w14:paraId="494E8F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2768937">
            <w:pPr>
              <w:pStyle w:val="12"/>
              <w:jc w:val="center"/>
            </w:pPr>
            <w:r>
              <w:rPr>
                <w:rFonts w:hint="eastAsia"/>
              </w:rPr>
              <w:t>田南安</w:t>
            </w:r>
          </w:p>
        </w:tc>
        <w:tc>
          <w:tcPr>
            <w:tcW w:w="388" w:type="pct"/>
            <w:vAlign w:val="center"/>
          </w:tcPr>
          <w:p w14:paraId="131347BB">
            <w:pPr>
              <w:pStyle w:val="12"/>
              <w:jc w:val="center"/>
            </w:pPr>
            <w:r>
              <w:rPr>
                <w:rFonts w:hint="eastAsia"/>
              </w:rPr>
              <w:t>男</w:t>
            </w:r>
          </w:p>
        </w:tc>
        <w:tc>
          <w:tcPr>
            <w:tcW w:w="582" w:type="pct"/>
            <w:vAlign w:val="center"/>
          </w:tcPr>
          <w:p w14:paraId="02500ADD">
            <w:pPr>
              <w:pStyle w:val="12"/>
              <w:jc w:val="center"/>
            </w:pPr>
            <w:r>
              <w:rPr>
                <w:rFonts w:hint="eastAsia"/>
              </w:rPr>
              <w:t>1913年</w:t>
            </w:r>
          </w:p>
        </w:tc>
        <w:tc>
          <w:tcPr>
            <w:tcW w:w="582" w:type="pct"/>
            <w:vAlign w:val="center"/>
          </w:tcPr>
          <w:p w14:paraId="20CE6430">
            <w:pPr>
              <w:pStyle w:val="12"/>
              <w:jc w:val="center"/>
            </w:pPr>
            <w:r>
              <w:rPr>
                <w:rFonts w:hint="eastAsia"/>
              </w:rPr>
              <w:t>全安镇</w:t>
            </w:r>
          </w:p>
        </w:tc>
        <w:tc>
          <w:tcPr>
            <w:tcW w:w="582" w:type="pct"/>
            <w:vAlign w:val="center"/>
          </w:tcPr>
          <w:p w14:paraId="63EC7606">
            <w:pPr>
              <w:pStyle w:val="12"/>
              <w:jc w:val="center"/>
            </w:pPr>
            <w:r>
              <w:rPr>
                <w:rFonts w:hint="eastAsia"/>
              </w:rPr>
              <w:t>1947年3月</w:t>
            </w:r>
          </w:p>
        </w:tc>
        <w:tc>
          <w:tcPr>
            <w:tcW w:w="1066" w:type="pct"/>
            <w:vAlign w:val="center"/>
          </w:tcPr>
          <w:p w14:paraId="69592976">
            <w:pPr>
              <w:pStyle w:val="12"/>
              <w:jc w:val="center"/>
              <w:rPr>
                <w:rFonts w:ascii="宋体" w:hAnsi="宋体" w:cs="宋体"/>
              </w:rPr>
            </w:pPr>
            <w:r>
              <w:rPr>
                <w:rFonts w:hint="eastAsia"/>
              </w:rPr>
              <w:t>北江第二支</w:t>
            </w:r>
          </w:p>
          <w:p w14:paraId="3DAE4FDD">
            <w:pPr>
              <w:pStyle w:val="12"/>
              <w:jc w:val="center"/>
            </w:pPr>
            <w:r>
              <w:rPr>
                <w:rFonts w:hint="eastAsia" w:ascii="宋体" w:hAnsi="宋体" w:cs="宋体"/>
              </w:rPr>
              <w:t>队  队  员</w:t>
            </w:r>
          </w:p>
        </w:tc>
        <w:tc>
          <w:tcPr>
            <w:tcW w:w="1162" w:type="pct"/>
            <w:vAlign w:val="center"/>
          </w:tcPr>
          <w:p w14:paraId="5B20B0B3">
            <w:pPr>
              <w:pStyle w:val="12"/>
              <w:jc w:val="left"/>
            </w:pPr>
            <w:r>
              <w:rPr>
                <w:rFonts w:hint="eastAsia"/>
              </w:rPr>
              <w:t>1948年在陂头附近被捕就义</w:t>
            </w:r>
          </w:p>
        </w:tc>
      </w:tr>
      <w:tr w14:paraId="698F53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5179402">
            <w:pPr>
              <w:pStyle w:val="12"/>
              <w:jc w:val="center"/>
            </w:pPr>
            <w:r>
              <w:rPr>
                <w:rFonts w:hint="eastAsia"/>
              </w:rPr>
              <w:t>黄端富</w:t>
            </w:r>
          </w:p>
        </w:tc>
        <w:tc>
          <w:tcPr>
            <w:tcW w:w="388" w:type="pct"/>
            <w:vAlign w:val="center"/>
          </w:tcPr>
          <w:p w14:paraId="15A7B635">
            <w:pPr>
              <w:pStyle w:val="12"/>
              <w:jc w:val="center"/>
            </w:pPr>
            <w:r>
              <w:rPr>
                <w:rFonts w:hint="eastAsia"/>
              </w:rPr>
              <w:t>男</w:t>
            </w:r>
          </w:p>
        </w:tc>
        <w:tc>
          <w:tcPr>
            <w:tcW w:w="582" w:type="pct"/>
            <w:vAlign w:val="center"/>
          </w:tcPr>
          <w:p w14:paraId="61A3FA6D">
            <w:pPr>
              <w:pStyle w:val="12"/>
              <w:jc w:val="center"/>
            </w:pPr>
            <w:r>
              <w:rPr>
                <w:rFonts w:hint="eastAsia"/>
              </w:rPr>
              <w:t>1902年</w:t>
            </w:r>
          </w:p>
        </w:tc>
        <w:tc>
          <w:tcPr>
            <w:tcW w:w="582" w:type="pct"/>
            <w:vAlign w:val="center"/>
          </w:tcPr>
          <w:p w14:paraId="04C8E3A0">
            <w:pPr>
              <w:pStyle w:val="12"/>
              <w:jc w:val="center"/>
            </w:pPr>
            <w:r>
              <w:rPr>
                <w:rFonts w:hint="eastAsia"/>
              </w:rPr>
              <w:t>全安镇</w:t>
            </w:r>
          </w:p>
        </w:tc>
        <w:tc>
          <w:tcPr>
            <w:tcW w:w="582" w:type="pct"/>
            <w:vAlign w:val="center"/>
          </w:tcPr>
          <w:p w14:paraId="1E60E51F">
            <w:pPr>
              <w:pStyle w:val="12"/>
              <w:jc w:val="center"/>
            </w:pPr>
            <w:r>
              <w:rPr>
                <w:rFonts w:hint="eastAsia"/>
              </w:rPr>
              <w:t>1947年10月</w:t>
            </w:r>
          </w:p>
        </w:tc>
        <w:tc>
          <w:tcPr>
            <w:tcW w:w="1066" w:type="pct"/>
            <w:vAlign w:val="center"/>
          </w:tcPr>
          <w:p w14:paraId="4AC4A6C3">
            <w:pPr>
              <w:pStyle w:val="12"/>
              <w:jc w:val="center"/>
              <w:rPr>
                <w:rFonts w:ascii="宋体" w:hAnsi="宋体" w:cs="宋体"/>
              </w:rPr>
            </w:pPr>
            <w:r>
              <w:rPr>
                <w:rFonts w:hint="eastAsia"/>
              </w:rPr>
              <w:t>北江第二支队下</w:t>
            </w:r>
          </w:p>
          <w:p w14:paraId="7290F569">
            <w:pPr>
              <w:pStyle w:val="12"/>
              <w:jc w:val="center"/>
            </w:pPr>
            <w:r>
              <w:rPr>
                <w:rFonts w:hint="eastAsia" w:ascii="宋体" w:hAnsi="宋体" w:cs="宋体"/>
              </w:rPr>
              <w:t>属部队司务长</w:t>
            </w:r>
          </w:p>
        </w:tc>
        <w:tc>
          <w:tcPr>
            <w:tcW w:w="1162" w:type="pct"/>
            <w:vAlign w:val="center"/>
          </w:tcPr>
          <w:p w14:paraId="3313E55B">
            <w:pPr>
              <w:pStyle w:val="12"/>
              <w:jc w:val="left"/>
            </w:pPr>
            <w:r>
              <w:rPr>
                <w:rFonts w:hint="eastAsia"/>
              </w:rPr>
              <w:t>1948年2月在横水黄姜埂就义</w:t>
            </w:r>
          </w:p>
        </w:tc>
      </w:tr>
      <w:tr w14:paraId="32EC46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892E527">
            <w:pPr>
              <w:pStyle w:val="12"/>
              <w:jc w:val="center"/>
            </w:pPr>
            <w:r>
              <w:rPr>
                <w:rFonts w:hint="eastAsia"/>
              </w:rPr>
              <w:t>邬显光</w:t>
            </w:r>
          </w:p>
        </w:tc>
        <w:tc>
          <w:tcPr>
            <w:tcW w:w="388" w:type="pct"/>
            <w:vAlign w:val="center"/>
          </w:tcPr>
          <w:p w14:paraId="4283D750">
            <w:pPr>
              <w:pStyle w:val="12"/>
              <w:jc w:val="center"/>
            </w:pPr>
            <w:r>
              <w:rPr>
                <w:rFonts w:hint="eastAsia"/>
              </w:rPr>
              <w:t>男</w:t>
            </w:r>
          </w:p>
        </w:tc>
        <w:tc>
          <w:tcPr>
            <w:tcW w:w="582" w:type="pct"/>
            <w:vAlign w:val="center"/>
          </w:tcPr>
          <w:p w14:paraId="0B9E2EE6">
            <w:pPr>
              <w:pStyle w:val="12"/>
              <w:jc w:val="center"/>
            </w:pPr>
            <w:r>
              <w:rPr>
                <w:rFonts w:hint="eastAsia"/>
              </w:rPr>
              <w:t>1926年</w:t>
            </w:r>
          </w:p>
        </w:tc>
        <w:tc>
          <w:tcPr>
            <w:tcW w:w="582" w:type="pct"/>
            <w:vAlign w:val="center"/>
          </w:tcPr>
          <w:p w14:paraId="236CDA5C">
            <w:pPr>
              <w:pStyle w:val="12"/>
              <w:jc w:val="center"/>
            </w:pPr>
            <w:r>
              <w:rPr>
                <w:rFonts w:hint="eastAsia"/>
              </w:rPr>
              <w:t>澜河镇</w:t>
            </w:r>
          </w:p>
        </w:tc>
        <w:tc>
          <w:tcPr>
            <w:tcW w:w="582" w:type="pct"/>
            <w:vAlign w:val="center"/>
          </w:tcPr>
          <w:p w14:paraId="20539F2B">
            <w:pPr>
              <w:pStyle w:val="12"/>
              <w:jc w:val="center"/>
            </w:pPr>
            <w:r>
              <w:rPr>
                <w:rFonts w:hint="eastAsia"/>
              </w:rPr>
              <w:t>1946年</w:t>
            </w:r>
          </w:p>
        </w:tc>
        <w:tc>
          <w:tcPr>
            <w:tcW w:w="1066" w:type="pct"/>
            <w:vAlign w:val="center"/>
          </w:tcPr>
          <w:p w14:paraId="33239F0B">
            <w:pPr>
              <w:pStyle w:val="12"/>
              <w:jc w:val="center"/>
              <w:rPr>
                <w:rFonts w:ascii="宋体" w:hAnsi="宋体" w:cs="宋体"/>
              </w:rPr>
            </w:pPr>
            <w:r>
              <w:rPr>
                <w:rFonts w:hint="eastAsia"/>
              </w:rPr>
              <w:t>北江第二支</w:t>
            </w:r>
          </w:p>
          <w:p w14:paraId="534C747D">
            <w:pPr>
              <w:pStyle w:val="12"/>
              <w:jc w:val="center"/>
            </w:pPr>
            <w:r>
              <w:rPr>
                <w:rFonts w:hint="eastAsia" w:ascii="宋体" w:hAnsi="宋体" w:cs="宋体"/>
              </w:rPr>
              <w:t>队通讯员</w:t>
            </w:r>
          </w:p>
        </w:tc>
        <w:tc>
          <w:tcPr>
            <w:tcW w:w="1162" w:type="pct"/>
            <w:vAlign w:val="center"/>
          </w:tcPr>
          <w:p w14:paraId="79529053">
            <w:pPr>
              <w:pStyle w:val="12"/>
              <w:jc w:val="left"/>
            </w:pPr>
            <w:r>
              <w:rPr>
                <w:rFonts w:hint="eastAsia"/>
              </w:rPr>
              <w:t>1948年6月送信至横水被捕，在县城郊就义</w:t>
            </w:r>
          </w:p>
        </w:tc>
      </w:tr>
      <w:tr w14:paraId="25C70C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33F8979">
            <w:pPr>
              <w:pStyle w:val="12"/>
              <w:jc w:val="center"/>
            </w:pPr>
            <w:r>
              <w:rPr>
                <w:rFonts w:hint="eastAsia"/>
              </w:rPr>
              <w:t>董四川</w:t>
            </w:r>
          </w:p>
        </w:tc>
        <w:tc>
          <w:tcPr>
            <w:tcW w:w="388" w:type="pct"/>
            <w:vAlign w:val="center"/>
          </w:tcPr>
          <w:p w14:paraId="34B5B71C">
            <w:pPr>
              <w:pStyle w:val="12"/>
              <w:jc w:val="center"/>
            </w:pPr>
            <w:r>
              <w:rPr>
                <w:rFonts w:hint="eastAsia"/>
              </w:rPr>
              <w:t>男</w:t>
            </w:r>
          </w:p>
        </w:tc>
        <w:tc>
          <w:tcPr>
            <w:tcW w:w="582" w:type="pct"/>
            <w:vAlign w:val="center"/>
          </w:tcPr>
          <w:p w14:paraId="4E60025B">
            <w:pPr>
              <w:pStyle w:val="12"/>
              <w:jc w:val="center"/>
            </w:pPr>
            <w:r>
              <w:rPr>
                <w:rFonts w:hint="eastAsia"/>
              </w:rPr>
              <w:t>1920年</w:t>
            </w:r>
          </w:p>
        </w:tc>
        <w:tc>
          <w:tcPr>
            <w:tcW w:w="582" w:type="pct"/>
            <w:vAlign w:val="center"/>
          </w:tcPr>
          <w:p w14:paraId="7868909C">
            <w:pPr>
              <w:pStyle w:val="12"/>
              <w:jc w:val="center"/>
            </w:pPr>
            <w:r>
              <w:rPr>
                <w:rFonts w:hint="eastAsia"/>
              </w:rPr>
              <w:t>乌迳镇</w:t>
            </w:r>
          </w:p>
        </w:tc>
        <w:tc>
          <w:tcPr>
            <w:tcW w:w="582" w:type="pct"/>
            <w:vAlign w:val="center"/>
          </w:tcPr>
          <w:p w14:paraId="09092189">
            <w:pPr>
              <w:pStyle w:val="12"/>
              <w:jc w:val="center"/>
            </w:pPr>
            <w:r>
              <w:rPr>
                <w:rFonts w:hint="eastAsia"/>
              </w:rPr>
              <w:t>1947年</w:t>
            </w:r>
          </w:p>
        </w:tc>
        <w:tc>
          <w:tcPr>
            <w:tcW w:w="1066" w:type="pct"/>
            <w:vAlign w:val="center"/>
          </w:tcPr>
          <w:p w14:paraId="2CF5E494">
            <w:pPr>
              <w:pStyle w:val="12"/>
              <w:jc w:val="center"/>
              <w:rPr>
                <w:rFonts w:ascii="宋体" w:hAnsi="宋体" w:cs="宋体"/>
              </w:rPr>
            </w:pPr>
            <w:r>
              <w:rPr>
                <w:rFonts w:hint="eastAsia"/>
              </w:rPr>
              <w:t>北江第二支</w:t>
            </w:r>
          </w:p>
          <w:p w14:paraId="422F159F">
            <w:pPr>
              <w:pStyle w:val="12"/>
              <w:jc w:val="center"/>
            </w:pPr>
            <w:r>
              <w:rPr>
                <w:rFonts w:hint="eastAsia" w:ascii="宋体" w:hAnsi="宋体" w:cs="宋体"/>
              </w:rPr>
              <w:t>队  队  员</w:t>
            </w:r>
          </w:p>
        </w:tc>
        <w:tc>
          <w:tcPr>
            <w:tcW w:w="1162" w:type="pct"/>
            <w:vAlign w:val="center"/>
          </w:tcPr>
          <w:p w14:paraId="4A11478C">
            <w:pPr>
              <w:pStyle w:val="12"/>
              <w:jc w:val="left"/>
            </w:pPr>
            <w:r>
              <w:rPr>
                <w:rFonts w:hint="eastAsia"/>
              </w:rPr>
              <w:t>1948年2月在江西南康县被捕，在南雄城郊就义</w:t>
            </w:r>
          </w:p>
        </w:tc>
      </w:tr>
      <w:tr w14:paraId="324C48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B8F2A91">
            <w:pPr>
              <w:pStyle w:val="12"/>
              <w:jc w:val="center"/>
            </w:pPr>
            <w:r>
              <w:rPr>
                <w:rFonts w:hint="eastAsia"/>
              </w:rPr>
              <w:t>董嗣华</w:t>
            </w:r>
          </w:p>
        </w:tc>
        <w:tc>
          <w:tcPr>
            <w:tcW w:w="388" w:type="pct"/>
            <w:vAlign w:val="center"/>
          </w:tcPr>
          <w:p w14:paraId="407FA832">
            <w:pPr>
              <w:pStyle w:val="12"/>
              <w:jc w:val="center"/>
            </w:pPr>
            <w:r>
              <w:rPr>
                <w:rFonts w:hint="eastAsia"/>
              </w:rPr>
              <w:t>男</w:t>
            </w:r>
          </w:p>
        </w:tc>
        <w:tc>
          <w:tcPr>
            <w:tcW w:w="582" w:type="pct"/>
            <w:vAlign w:val="center"/>
          </w:tcPr>
          <w:p w14:paraId="2537E7EF">
            <w:pPr>
              <w:pStyle w:val="12"/>
              <w:jc w:val="center"/>
            </w:pPr>
            <w:r>
              <w:rPr>
                <w:rFonts w:hint="eastAsia"/>
              </w:rPr>
              <w:t>1914年</w:t>
            </w:r>
          </w:p>
        </w:tc>
        <w:tc>
          <w:tcPr>
            <w:tcW w:w="582" w:type="pct"/>
            <w:vAlign w:val="center"/>
          </w:tcPr>
          <w:p w14:paraId="17E6CC94">
            <w:pPr>
              <w:pStyle w:val="12"/>
              <w:jc w:val="center"/>
            </w:pPr>
            <w:r>
              <w:rPr>
                <w:rFonts w:hint="eastAsia"/>
              </w:rPr>
              <w:t>乌迳镇</w:t>
            </w:r>
          </w:p>
        </w:tc>
        <w:tc>
          <w:tcPr>
            <w:tcW w:w="582" w:type="pct"/>
            <w:vAlign w:val="center"/>
          </w:tcPr>
          <w:p w14:paraId="3975BC13">
            <w:pPr>
              <w:pStyle w:val="12"/>
              <w:jc w:val="center"/>
            </w:pPr>
            <w:r>
              <w:rPr>
                <w:rFonts w:hint="eastAsia"/>
              </w:rPr>
              <w:t>1946年</w:t>
            </w:r>
          </w:p>
        </w:tc>
        <w:tc>
          <w:tcPr>
            <w:tcW w:w="1066" w:type="pct"/>
            <w:vAlign w:val="center"/>
          </w:tcPr>
          <w:p w14:paraId="41C691BB">
            <w:pPr>
              <w:pStyle w:val="12"/>
              <w:jc w:val="center"/>
              <w:rPr>
                <w:rFonts w:ascii="宋体" w:hAnsi="宋体" w:cs="宋体"/>
              </w:rPr>
            </w:pPr>
            <w:r>
              <w:rPr>
                <w:rFonts w:hint="eastAsia"/>
              </w:rPr>
              <w:t>北江第二支</w:t>
            </w:r>
          </w:p>
          <w:p w14:paraId="6D55E038">
            <w:pPr>
              <w:pStyle w:val="12"/>
              <w:jc w:val="center"/>
            </w:pPr>
            <w:r>
              <w:rPr>
                <w:rFonts w:hint="eastAsia" w:ascii="宋体" w:hAnsi="宋体" w:cs="宋体"/>
              </w:rPr>
              <w:t>队  队  员</w:t>
            </w:r>
          </w:p>
        </w:tc>
        <w:tc>
          <w:tcPr>
            <w:tcW w:w="1162" w:type="pct"/>
            <w:vAlign w:val="center"/>
          </w:tcPr>
          <w:p w14:paraId="15A78DD6">
            <w:pPr>
              <w:pStyle w:val="12"/>
              <w:jc w:val="left"/>
            </w:pPr>
            <w:r>
              <w:rPr>
                <w:rFonts w:hint="eastAsia"/>
              </w:rPr>
              <w:t>1948年在乌迳烂城俚战斗牺牲</w:t>
            </w:r>
          </w:p>
        </w:tc>
      </w:tr>
      <w:tr w14:paraId="55A90D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43BE64C">
            <w:pPr>
              <w:pStyle w:val="12"/>
              <w:jc w:val="center"/>
            </w:pPr>
            <w:r>
              <w:rPr>
                <w:rFonts w:hint="eastAsia"/>
              </w:rPr>
              <w:t>王丙生</w:t>
            </w:r>
            <w:r>
              <w:rPr>
                <w:rFonts w:hint="eastAsia" w:ascii="宋体" w:hAnsi="宋体" w:cs="宋体"/>
              </w:rPr>
              <w:t>（王麻子）</w:t>
            </w:r>
          </w:p>
        </w:tc>
        <w:tc>
          <w:tcPr>
            <w:tcW w:w="388" w:type="pct"/>
            <w:vAlign w:val="center"/>
          </w:tcPr>
          <w:p w14:paraId="2469A20C">
            <w:pPr>
              <w:pStyle w:val="12"/>
              <w:jc w:val="center"/>
            </w:pPr>
            <w:r>
              <w:rPr>
                <w:rFonts w:hint="eastAsia"/>
              </w:rPr>
              <w:t>男</w:t>
            </w:r>
          </w:p>
        </w:tc>
        <w:tc>
          <w:tcPr>
            <w:tcW w:w="582" w:type="pct"/>
            <w:vAlign w:val="center"/>
          </w:tcPr>
          <w:p w14:paraId="02E16834">
            <w:pPr>
              <w:pStyle w:val="12"/>
              <w:jc w:val="center"/>
            </w:pPr>
            <w:r>
              <w:rPr>
                <w:rFonts w:hint="eastAsia"/>
              </w:rPr>
              <w:t>—</w:t>
            </w:r>
          </w:p>
        </w:tc>
        <w:tc>
          <w:tcPr>
            <w:tcW w:w="582" w:type="pct"/>
            <w:vAlign w:val="center"/>
          </w:tcPr>
          <w:p w14:paraId="031092E3">
            <w:pPr>
              <w:pStyle w:val="12"/>
              <w:jc w:val="center"/>
            </w:pPr>
            <w:r>
              <w:rPr>
                <w:rFonts w:hint="eastAsia"/>
              </w:rPr>
              <w:t>乌迳镇</w:t>
            </w:r>
          </w:p>
        </w:tc>
        <w:tc>
          <w:tcPr>
            <w:tcW w:w="582" w:type="pct"/>
            <w:vAlign w:val="center"/>
          </w:tcPr>
          <w:p w14:paraId="317D8C3D">
            <w:pPr>
              <w:pStyle w:val="12"/>
              <w:jc w:val="center"/>
            </w:pPr>
            <w:r>
              <w:rPr>
                <w:rFonts w:hint="eastAsia"/>
              </w:rPr>
              <w:t>1947年</w:t>
            </w:r>
          </w:p>
        </w:tc>
        <w:tc>
          <w:tcPr>
            <w:tcW w:w="1066" w:type="pct"/>
            <w:vAlign w:val="center"/>
          </w:tcPr>
          <w:p w14:paraId="26DC3413">
            <w:pPr>
              <w:pStyle w:val="12"/>
              <w:jc w:val="center"/>
              <w:rPr>
                <w:rFonts w:ascii="宋体" w:hAnsi="宋体" w:cs="宋体"/>
              </w:rPr>
            </w:pPr>
            <w:r>
              <w:rPr>
                <w:rFonts w:hint="eastAsia"/>
              </w:rPr>
              <w:t>粤赣湘边人民</w:t>
            </w:r>
          </w:p>
          <w:p w14:paraId="5B2BEBB7">
            <w:pPr>
              <w:pStyle w:val="12"/>
              <w:jc w:val="center"/>
              <w:rPr>
                <w:rFonts w:ascii="宋体" w:hAnsi="宋体" w:cs="宋体"/>
              </w:rPr>
            </w:pPr>
            <w:r>
              <w:rPr>
                <w:rFonts w:hint="eastAsia" w:ascii="宋体" w:hAnsi="宋体" w:cs="宋体"/>
              </w:rPr>
              <w:t>解放总队六支</w:t>
            </w:r>
          </w:p>
          <w:p w14:paraId="3F548617">
            <w:pPr>
              <w:pStyle w:val="12"/>
              <w:jc w:val="center"/>
            </w:pPr>
            <w:r>
              <w:rPr>
                <w:rFonts w:hint="eastAsia" w:ascii="宋体" w:hAnsi="宋体" w:cs="宋体"/>
              </w:rPr>
              <w:t>队三大队班长</w:t>
            </w:r>
          </w:p>
        </w:tc>
        <w:tc>
          <w:tcPr>
            <w:tcW w:w="1162" w:type="pct"/>
            <w:vAlign w:val="center"/>
          </w:tcPr>
          <w:p w14:paraId="758F26BF">
            <w:pPr>
              <w:pStyle w:val="12"/>
              <w:jc w:val="left"/>
            </w:pPr>
            <w:r>
              <w:rPr>
                <w:rFonts w:hint="eastAsia"/>
              </w:rPr>
              <w:t>1948年12月，在本县杨梅坑作战牺牲</w:t>
            </w:r>
          </w:p>
        </w:tc>
      </w:tr>
      <w:tr w14:paraId="5ED4AF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3CB4DAA">
            <w:pPr>
              <w:pStyle w:val="12"/>
              <w:jc w:val="center"/>
            </w:pPr>
            <w:r>
              <w:rPr>
                <w:rFonts w:hint="eastAsia"/>
              </w:rPr>
              <w:t>吴诗源</w:t>
            </w:r>
          </w:p>
        </w:tc>
        <w:tc>
          <w:tcPr>
            <w:tcW w:w="388" w:type="pct"/>
            <w:vAlign w:val="center"/>
          </w:tcPr>
          <w:p w14:paraId="305EFAC6">
            <w:pPr>
              <w:pStyle w:val="12"/>
              <w:jc w:val="center"/>
            </w:pPr>
            <w:r>
              <w:rPr>
                <w:rFonts w:hint="eastAsia"/>
              </w:rPr>
              <w:t>男</w:t>
            </w:r>
          </w:p>
        </w:tc>
        <w:tc>
          <w:tcPr>
            <w:tcW w:w="582" w:type="pct"/>
            <w:vAlign w:val="center"/>
          </w:tcPr>
          <w:p w14:paraId="663B69B8">
            <w:pPr>
              <w:pStyle w:val="12"/>
              <w:jc w:val="center"/>
            </w:pPr>
            <w:r>
              <w:rPr>
                <w:rFonts w:hint="eastAsia"/>
              </w:rPr>
              <w:t>1910年5月</w:t>
            </w:r>
          </w:p>
        </w:tc>
        <w:tc>
          <w:tcPr>
            <w:tcW w:w="582" w:type="pct"/>
            <w:vAlign w:val="center"/>
          </w:tcPr>
          <w:p w14:paraId="317C6B2C">
            <w:pPr>
              <w:pStyle w:val="12"/>
              <w:jc w:val="center"/>
            </w:pPr>
            <w:r>
              <w:rPr>
                <w:rFonts w:hint="eastAsia"/>
              </w:rPr>
              <w:t>湖口镇</w:t>
            </w:r>
          </w:p>
        </w:tc>
        <w:tc>
          <w:tcPr>
            <w:tcW w:w="582" w:type="pct"/>
            <w:vAlign w:val="center"/>
          </w:tcPr>
          <w:p w14:paraId="08051483">
            <w:pPr>
              <w:pStyle w:val="12"/>
              <w:jc w:val="center"/>
            </w:pPr>
            <w:r>
              <w:rPr>
                <w:rFonts w:hint="eastAsia"/>
              </w:rPr>
              <w:t>1947年3月</w:t>
            </w:r>
          </w:p>
        </w:tc>
        <w:tc>
          <w:tcPr>
            <w:tcW w:w="1066" w:type="pct"/>
            <w:vAlign w:val="center"/>
          </w:tcPr>
          <w:p w14:paraId="29FAE898">
            <w:pPr>
              <w:pStyle w:val="12"/>
              <w:jc w:val="center"/>
              <w:rPr>
                <w:rFonts w:ascii="宋体" w:hAnsi="宋体" w:cs="宋体"/>
              </w:rPr>
            </w:pPr>
            <w:r>
              <w:rPr>
                <w:rFonts w:hint="eastAsia"/>
              </w:rPr>
              <w:t>北江第二支</w:t>
            </w:r>
          </w:p>
          <w:p w14:paraId="587F37C6">
            <w:pPr>
              <w:pStyle w:val="12"/>
              <w:jc w:val="center"/>
            </w:pPr>
            <w:r>
              <w:rPr>
                <w:rFonts w:hint="eastAsia" w:ascii="宋体" w:hAnsi="宋体" w:cs="宋体"/>
              </w:rPr>
              <w:t>队  队  员</w:t>
            </w:r>
          </w:p>
        </w:tc>
        <w:tc>
          <w:tcPr>
            <w:tcW w:w="1162" w:type="pct"/>
            <w:vAlign w:val="center"/>
          </w:tcPr>
          <w:p w14:paraId="3EAD61BE">
            <w:pPr>
              <w:pStyle w:val="12"/>
              <w:jc w:val="left"/>
            </w:pPr>
            <w:r>
              <w:rPr>
                <w:rFonts w:hint="eastAsia"/>
              </w:rPr>
              <w:t>1948年大年初一被捕，2月在本县长市桥头岭就义</w:t>
            </w:r>
          </w:p>
        </w:tc>
      </w:tr>
      <w:tr w14:paraId="04D0CA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2C22DC7">
            <w:pPr>
              <w:pStyle w:val="12"/>
              <w:jc w:val="center"/>
            </w:pPr>
            <w:r>
              <w:rPr>
                <w:rFonts w:hint="eastAsia"/>
              </w:rPr>
              <w:t>卢章顺</w:t>
            </w:r>
          </w:p>
        </w:tc>
        <w:tc>
          <w:tcPr>
            <w:tcW w:w="388" w:type="pct"/>
            <w:vAlign w:val="center"/>
          </w:tcPr>
          <w:p w14:paraId="14785BF2">
            <w:pPr>
              <w:pStyle w:val="12"/>
              <w:jc w:val="center"/>
            </w:pPr>
            <w:r>
              <w:rPr>
                <w:rFonts w:hint="eastAsia"/>
              </w:rPr>
              <w:t>男</w:t>
            </w:r>
          </w:p>
        </w:tc>
        <w:tc>
          <w:tcPr>
            <w:tcW w:w="582" w:type="pct"/>
            <w:vAlign w:val="center"/>
          </w:tcPr>
          <w:p w14:paraId="72B6D9C5">
            <w:pPr>
              <w:pStyle w:val="12"/>
              <w:jc w:val="center"/>
            </w:pPr>
            <w:r>
              <w:rPr>
                <w:rFonts w:hint="eastAsia"/>
              </w:rPr>
              <w:t>—</w:t>
            </w:r>
          </w:p>
        </w:tc>
        <w:tc>
          <w:tcPr>
            <w:tcW w:w="582" w:type="pct"/>
            <w:vAlign w:val="center"/>
          </w:tcPr>
          <w:p w14:paraId="706F01B7">
            <w:pPr>
              <w:pStyle w:val="12"/>
              <w:jc w:val="center"/>
            </w:pPr>
            <w:r>
              <w:rPr>
                <w:rFonts w:hint="eastAsia"/>
              </w:rPr>
              <w:t>邓坊镇</w:t>
            </w:r>
          </w:p>
        </w:tc>
        <w:tc>
          <w:tcPr>
            <w:tcW w:w="582" w:type="pct"/>
            <w:vAlign w:val="center"/>
          </w:tcPr>
          <w:p w14:paraId="63CF20E4">
            <w:pPr>
              <w:pStyle w:val="12"/>
              <w:jc w:val="center"/>
            </w:pPr>
            <w:r>
              <w:rPr>
                <w:rFonts w:hint="eastAsia"/>
              </w:rPr>
              <w:t>1937年</w:t>
            </w:r>
          </w:p>
        </w:tc>
        <w:tc>
          <w:tcPr>
            <w:tcW w:w="1066" w:type="pct"/>
            <w:vAlign w:val="center"/>
          </w:tcPr>
          <w:p w14:paraId="2EBCC757">
            <w:pPr>
              <w:pStyle w:val="12"/>
              <w:jc w:val="center"/>
              <w:rPr>
                <w:rFonts w:ascii="宋体" w:hAnsi="宋体" w:cs="宋体"/>
              </w:rPr>
            </w:pPr>
            <w:r>
              <w:rPr>
                <w:rFonts w:hint="eastAsia"/>
              </w:rPr>
              <w:t>北江第二支队第</w:t>
            </w:r>
          </w:p>
          <w:p w14:paraId="17CEAF5E">
            <w:pPr>
              <w:pStyle w:val="12"/>
              <w:jc w:val="center"/>
            </w:pPr>
            <w:r>
              <w:rPr>
                <w:rFonts w:hint="eastAsia" w:ascii="宋体" w:hAnsi="宋体" w:cs="宋体"/>
              </w:rPr>
              <w:t>二大队中队长</w:t>
            </w:r>
          </w:p>
        </w:tc>
        <w:tc>
          <w:tcPr>
            <w:tcW w:w="1162" w:type="pct"/>
            <w:vAlign w:val="center"/>
          </w:tcPr>
          <w:p w14:paraId="083AD409">
            <w:pPr>
              <w:pStyle w:val="12"/>
              <w:jc w:val="left"/>
            </w:pPr>
            <w:r>
              <w:rPr>
                <w:rFonts w:hint="eastAsia"/>
              </w:rPr>
              <w:t>1948年7月19日，在江西省信丰县作战牺牲</w:t>
            </w:r>
          </w:p>
        </w:tc>
      </w:tr>
      <w:tr w14:paraId="504E94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DAB3237">
            <w:pPr>
              <w:pStyle w:val="12"/>
              <w:jc w:val="center"/>
            </w:pPr>
            <w:r>
              <w:rPr>
                <w:rFonts w:hint="eastAsia"/>
              </w:rPr>
              <w:t>郭显文</w:t>
            </w:r>
          </w:p>
        </w:tc>
        <w:tc>
          <w:tcPr>
            <w:tcW w:w="388" w:type="pct"/>
            <w:vAlign w:val="center"/>
          </w:tcPr>
          <w:p w14:paraId="4BEA74DD">
            <w:pPr>
              <w:pStyle w:val="12"/>
              <w:jc w:val="center"/>
            </w:pPr>
            <w:r>
              <w:rPr>
                <w:rFonts w:hint="eastAsia"/>
              </w:rPr>
              <w:t>男</w:t>
            </w:r>
          </w:p>
        </w:tc>
        <w:tc>
          <w:tcPr>
            <w:tcW w:w="582" w:type="pct"/>
            <w:vAlign w:val="center"/>
          </w:tcPr>
          <w:p w14:paraId="06B63B29">
            <w:pPr>
              <w:pStyle w:val="12"/>
              <w:jc w:val="center"/>
            </w:pPr>
            <w:r>
              <w:rPr>
                <w:rFonts w:hint="eastAsia"/>
              </w:rPr>
              <w:t>1914年</w:t>
            </w:r>
          </w:p>
        </w:tc>
        <w:tc>
          <w:tcPr>
            <w:tcW w:w="582" w:type="pct"/>
            <w:vAlign w:val="center"/>
          </w:tcPr>
          <w:p w14:paraId="44239C95">
            <w:pPr>
              <w:pStyle w:val="12"/>
              <w:jc w:val="center"/>
            </w:pPr>
            <w:r>
              <w:rPr>
                <w:rFonts w:hint="eastAsia"/>
              </w:rPr>
              <w:t>雄州镇</w:t>
            </w:r>
          </w:p>
        </w:tc>
        <w:tc>
          <w:tcPr>
            <w:tcW w:w="582" w:type="pct"/>
            <w:vAlign w:val="center"/>
          </w:tcPr>
          <w:p w14:paraId="2425EB71">
            <w:pPr>
              <w:pStyle w:val="12"/>
              <w:jc w:val="center"/>
            </w:pPr>
            <w:r>
              <w:rPr>
                <w:rFonts w:hint="eastAsia"/>
              </w:rPr>
              <w:t>1947年7月</w:t>
            </w:r>
          </w:p>
        </w:tc>
        <w:tc>
          <w:tcPr>
            <w:tcW w:w="1066" w:type="pct"/>
            <w:vAlign w:val="center"/>
          </w:tcPr>
          <w:p w14:paraId="740C69EF">
            <w:pPr>
              <w:pStyle w:val="12"/>
              <w:jc w:val="center"/>
              <w:rPr>
                <w:rFonts w:ascii="宋体" w:hAnsi="宋体" w:cs="宋体"/>
              </w:rPr>
            </w:pPr>
            <w:r>
              <w:rPr>
                <w:rFonts w:hint="eastAsia"/>
              </w:rPr>
              <w:t>北江第二支</w:t>
            </w:r>
          </w:p>
          <w:p w14:paraId="1B28EADF">
            <w:pPr>
              <w:pStyle w:val="12"/>
              <w:jc w:val="center"/>
            </w:pPr>
            <w:r>
              <w:rPr>
                <w:rFonts w:hint="eastAsia" w:ascii="宋体" w:hAnsi="宋体" w:cs="宋体"/>
              </w:rPr>
              <w:t>队交通员</w:t>
            </w:r>
          </w:p>
        </w:tc>
        <w:tc>
          <w:tcPr>
            <w:tcW w:w="1162" w:type="pct"/>
            <w:vAlign w:val="center"/>
          </w:tcPr>
          <w:p w14:paraId="60AA2135">
            <w:pPr>
              <w:pStyle w:val="12"/>
              <w:jc w:val="left"/>
            </w:pPr>
            <w:r>
              <w:rPr>
                <w:rFonts w:hint="eastAsia"/>
              </w:rPr>
              <w:t>1948年1月，在县城执行任务被捕，在县城郊就义</w:t>
            </w:r>
          </w:p>
        </w:tc>
      </w:tr>
      <w:tr w14:paraId="5894D2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1F6D556">
            <w:pPr>
              <w:pStyle w:val="12"/>
              <w:jc w:val="center"/>
            </w:pPr>
            <w:r>
              <w:rPr>
                <w:rFonts w:hint="eastAsia"/>
              </w:rPr>
              <w:t>吴继懋</w:t>
            </w:r>
          </w:p>
        </w:tc>
        <w:tc>
          <w:tcPr>
            <w:tcW w:w="388" w:type="pct"/>
            <w:vAlign w:val="center"/>
          </w:tcPr>
          <w:p w14:paraId="046F22CB">
            <w:pPr>
              <w:pStyle w:val="12"/>
              <w:jc w:val="center"/>
            </w:pPr>
            <w:r>
              <w:rPr>
                <w:rFonts w:hint="eastAsia"/>
              </w:rPr>
              <w:t>男</w:t>
            </w:r>
          </w:p>
        </w:tc>
        <w:tc>
          <w:tcPr>
            <w:tcW w:w="582" w:type="pct"/>
            <w:vAlign w:val="center"/>
          </w:tcPr>
          <w:p w14:paraId="53911F9D">
            <w:pPr>
              <w:pStyle w:val="12"/>
              <w:jc w:val="center"/>
            </w:pPr>
            <w:r>
              <w:rPr>
                <w:rFonts w:hint="eastAsia"/>
              </w:rPr>
              <w:t>1916年</w:t>
            </w:r>
          </w:p>
        </w:tc>
        <w:tc>
          <w:tcPr>
            <w:tcW w:w="582" w:type="pct"/>
            <w:vAlign w:val="center"/>
          </w:tcPr>
          <w:p w14:paraId="6E244A87">
            <w:pPr>
              <w:pStyle w:val="12"/>
              <w:jc w:val="center"/>
            </w:pPr>
            <w:r>
              <w:rPr>
                <w:rFonts w:hint="eastAsia"/>
              </w:rPr>
              <w:t>湖口镇</w:t>
            </w:r>
          </w:p>
        </w:tc>
        <w:tc>
          <w:tcPr>
            <w:tcW w:w="582" w:type="pct"/>
            <w:vAlign w:val="center"/>
          </w:tcPr>
          <w:p w14:paraId="4757A32F">
            <w:pPr>
              <w:pStyle w:val="12"/>
              <w:jc w:val="center"/>
            </w:pPr>
            <w:r>
              <w:rPr>
                <w:rFonts w:hint="eastAsia"/>
              </w:rPr>
              <w:t>1948年</w:t>
            </w:r>
          </w:p>
        </w:tc>
        <w:tc>
          <w:tcPr>
            <w:tcW w:w="1066" w:type="pct"/>
            <w:vAlign w:val="center"/>
          </w:tcPr>
          <w:p w14:paraId="5B08BFA3">
            <w:pPr>
              <w:pStyle w:val="12"/>
              <w:jc w:val="center"/>
              <w:rPr>
                <w:rFonts w:ascii="宋体" w:hAnsi="宋体" w:cs="宋体"/>
              </w:rPr>
            </w:pPr>
            <w:r>
              <w:rPr>
                <w:rFonts w:hint="eastAsia"/>
              </w:rPr>
              <w:t>北江第二支</w:t>
            </w:r>
          </w:p>
          <w:p w14:paraId="44EB153D">
            <w:pPr>
              <w:pStyle w:val="12"/>
              <w:jc w:val="center"/>
            </w:pPr>
            <w:r>
              <w:rPr>
                <w:rFonts w:hint="eastAsia" w:ascii="宋体" w:hAnsi="宋体" w:cs="宋体"/>
              </w:rPr>
              <w:t>队  队  员</w:t>
            </w:r>
          </w:p>
        </w:tc>
        <w:tc>
          <w:tcPr>
            <w:tcW w:w="1162" w:type="pct"/>
            <w:vAlign w:val="center"/>
          </w:tcPr>
          <w:p w14:paraId="60268598">
            <w:pPr>
              <w:pStyle w:val="12"/>
              <w:jc w:val="left"/>
            </w:pPr>
            <w:r>
              <w:rPr>
                <w:rFonts w:hint="eastAsia"/>
              </w:rPr>
              <w:t>1948年在家中被捕，南雄长市桥头岭就义</w:t>
            </w:r>
          </w:p>
        </w:tc>
      </w:tr>
      <w:tr w14:paraId="06FF69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EA0F2BB">
            <w:pPr>
              <w:pStyle w:val="12"/>
              <w:jc w:val="center"/>
            </w:pPr>
            <w:r>
              <w:rPr>
                <w:rFonts w:hint="eastAsia"/>
              </w:rPr>
              <w:t>吴才亨</w:t>
            </w:r>
          </w:p>
        </w:tc>
        <w:tc>
          <w:tcPr>
            <w:tcW w:w="388" w:type="pct"/>
            <w:vAlign w:val="center"/>
          </w:tcPr>
          <w:p w14:paraId="5BA9E01A">
            <w:pPr>
              <w:pStyle w:val="12"/>
              <w:jc w:val="center"/>
            </w:pPr>
            <w:r>
              <w:rPr>
                <w:rFonts w:hint="eastAsia"/>
              </w:rPr>
              <w:t>男</w:t>
            </w:r>
          </w:p>
        </w:tc>
        <w:tc>
          <w:tcPr>
            <w:tcW w:w="582" w:type="pct"/>
            <w:vAlign w:val="center"/>
          </w:tcPr>
          <w:p w14:paraId="15F8396E">
            <w:pPr>
              <w:pStyle w:val="12"/>
              <w:jc w:val="center"/>
            </w:pPr>
            <w:r>
              <w:rPr>
                <w:rFonts w:hint="eastAsia"/>
              </w:rPr>
              <w:t>1918年</w:t>
            </w:r>
          </w:p>
        </w:tc>
        <w:tc>
          <w:tcPr>
            <w:tcW w:w="582" w:type="pct"/>
            <w:vAlign w:val="center"/>
          </w:tcPr>
          <w:p w14:paraId="213A1377">
            <w:pPr>
              <w:pStyle w:val="12"/>
              <w:jc w:val="center"/>
            </w:pPr>
            <w:r>
              <w:rPr>
                <w:rFonts w:hint="eastAsia"/>
              </w:rPr>
              <w:t>湖口镇</w:t>
            </w:r>
          </w:p>
        </w:tc>
        <w:tc>
          <w:tcPr>
            <w:tcW w:w="582" w:type="pct"/>
            <w:vAlign w:val="center"/>
          </w:tcPr>
          <w:p w14:paraId="067C50C2">
            <w:pPr>
              <w:pStyle w:val="12"/>
              <w:jc w:val="center"/>
            </w:pPr>
            <w:r>
              <w:rPr>
                <w:rFonts w:hint="eastAsia"/>
              </w:rPr>
              <w:t>1947年</w:t>
            </w:r>
          </w:p>
        </w:tc>
        <w:tc>
          <w:tcPr>
            <w:tcW w:w="1066" w:type="pct"/>
            <w:vAlign w:val="center"/>
          </w:tcPr>
          <w:p w14:paraId="5AA27D46">
            <w:pPr>
              <w:pStyle w:val="12"/>
              <w:jc w:val="center"/>
              <w:rPr>
                <w:rFonts w:ascii="宋体" w:hAnsi="宋体" w:cs="宋体"/>
              </w:rPr>
            </w:pPr>
            <w:r>
              <w:rPr>
                <w:rFonts w:hint="eastAsia"/>
              </w:rPr>
              <w:t>北江第二支</w:t>
            </w:r>
          </w:p>
          <w:p w14:paraId="4A7D0DE0">
            <w:pPr>
              <w:pStyle w:val="12"/>
              <w:jc w:val="center"/>
            </w:pPr>
            <w:r>
              <w:rPr>
                <w:rFonts w:hint="eastAsia" w:ascii="宋体" w:hAnsi="宋体" w:cs="宋体"/>
              </w:rPr>
              <w:t>队  队  员</w:t>
            </w:r>
          </w:p>
        </w:tc>
        <w:tc>
          <w:tcPr>
            <w:tcW w:w="1162" w:type="pct"/>
            <w:vAlign w:val="center"/>
          </w:tcPr>
          <w:p w14:paraId="1CCC1A65">
            <w:pPr>
              <w:pStyle w:val="12"/>
              <w:jc w:val="left"/>
            </w:pPr>
            <w:r>
              <w:rPr>
                <w:rFonts w:hint="eastAsia"/>
              </w:rPr>
              <w:t>1948年在家中被捕，南雄长市桥头岭就义</w:t>
            </w:r>
          </w:p>
        </w:tc>
      </w:tr>
      <w:tr w14:paraId="4E7C24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B88D70D">
            <w:pPr>
              <w:pStyle w:val="12"/>
              <w:jc w:val="center"/>
            </w:pPr>
            <w:r>
              <w:rPr>
                <w:rFonts w:hint="eastAsia"/>
              </w:rPr>
              <w:t>何贞全</w:t>
            </w:r>
          </w:p>
        </w:tc>
        <w:tc>
          <w:tcPr>
            <w:tcW w:w="388" w:type="pct"/>
            <w:vAlign w:val="center"/>
          </w:tcPr>
          <w:p w14:paraId="37628A6A">
            <w:pPr>
              <w:pStyle w:val="12"/>
              <w:jc w:val="center"/>
            </w:pPr>
            <w:r>
              <w:rPr>
                <w:rFonts w:hint="eastAsia"/>
              </w:rPr>
              <w:t>男</w:t>
            </w:r>
          </w:p>
        </w:tc>
        <w:tc>
          <w:tcPr>
            <w:tcW w:w="582" w:type="pct"/>
            <w:vAlign w:val="center"/>
          </w:tcPr>
          <w:p w14:paraId="22729B89">
            <w:pPr>
              <w:pStyle w:val="12"/>
              <w:jc w:val="center"/>
            </w:pPr>
            <w:r>
              <w:rPr>
                <w:rFonts w:hint="eastAsia"/>
              </w:rPr>
              <w:t>1918年</w:t>
            </w:r>
          </w:p>
        </w:tc>
        <w:tc>
          <w:tcPr>
            <w:tcW w:w="582" w:type="pct"/>
            <w:vAlign w:val="center"/>
          </w:tcPr>
          <w:p w14:paraId="5E755972">
            <w:pPr>
              <w:pStyle w:val="12"/>
              <w:jc w:val="center"/>
            </w:pPr>
            <w:r>
              <w:rPr>
                <w:rFonts w:hint="eastAsia"/>
              </w:rPr>
              <w:t>珠玑镇</w:t>
            </w:r>
          </w:p>
        </w:tc>
        <w:tc>
          <w:tcPr>
            <w:tcW w:w="582" w:type="pct"/>
            <w:vAlign w:val="center"/>
          </w:tcPr>
          <w:p w14:paraId="5BE1A190">
            <w:pPr>
              <w:pStyle w:val="12"/>
              <w:jc w:val="center"/>
            </w:pPr>
            <w:r>
              <w:rPr>
                <w:rFonts w:hint="eastAsia"/>
              </w:rPr>
              <w:t>1949年7月</w:t>
            </w:r>
          </w:p>
        </w:tc>
        <w:tc>
          <w:tcPr>
            <w:tcW w:w="1066" w:type="pct"/>
            <w:vAlign w:val="center"/>
          </w:tcPr>
          <w:p w14:paraId="4DC273AD">
            <w:pPr>
              <w:pStyle w:val="12"/>
              <w:jc w:val="center"/>
              <w:rPr>
                <w:rFonts w:ascii="宋体" w:hAnsi="宋体" w:cs="宋体"/>
              </w:rPr>
            </w:pPr>
            <w:r>
              <w:rPr>
                <w:rFonts w:hint="eastAsia"/>
              </w:rPr>
              <w:t>北江第二支</w:t>
            </w:r>
          </w:p>
          <w:p w14:paraId="57716DF0">
            <w:pPr>
              <w:pStyle w:val="12"/>
              <w:jc w:val="center"/>
            </w:pPr>
            <w:r>
              <w:rPr>
                <w:rFonts w:hint="eastAsia" w:ascii="宋体" w:hAnsi="宋体" w:cs="宋体"/>
              </w:rPr>
              <w:t>队  队  员</w:t>
            </w:r>
          </w:p>
        </w:tc>
        <w:tc>
          <w:tcPr>
            <w:tcW w:w="1162" w:type="pct"/>
            <w:vAlign w:val="center"/>
          </w:tcPr>
          <w:p w14:paraId="76C4242A">
            <w:pPr>
              <w:pStyle w:val="12"/>
              <w:jc w:val="left"/>
            </w:pPr>
            <w:r>
              <w:rPr>
                <w:rFonts w:hint="eastAsia"/>
              </w:rPr>
              <w:t>1948年在南雄大塘战斗中牺牲</w:t>
            </w:r>
          </w:p>
        </w:tc>
      </w:tr>
      <w:tr w14:paraId="4782DF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1B4D5F0">
            <w:pPr>
              <w:pStyle w:val="12"/>
              <w:jc w:val="center"/>
            </w:pPr>
            <w:r>
              <w:rPr>
                <w:rFonts w:hint="eastAsia"/>
              </w:rPr>
              <w:t>董诗珠</w:t>
            </w:r>
          </w:p>
        </w:tc>
        <w:tc>
          <w:tcPr>
            <w:tcW w:w="388" w:type="pct"/>
            <w:vAlign w:val="center"/>
          </w:tcPr>
          <w:p w14:paraId="15AF9DB9">
            <w:pPr>
              <w:pStyle w:val="12"/>
              <w:jc w:val="center"/>
            </w:pPr>
            <w:r>
              <w:rPr>
                <w:rFonts w:hint="eastAsia"/>
              </w:rPr>
              <w:t>男</w:t>
            </w:r>
          </w:p>
        </w:tc>
        <w:tc>
          <w:tcPr>
            <w:tcW w:w="582" w:type="pct"/>
            <w:vAlign w:val="center"/>
          </w:tcPr>
          <w:p w14:paraId="646E443E">
            <w:pPr>
              <w:pStyle w:val="12"/>
              <w:jc w:val="center"/>
            </w:pPr>
            <w:r>
              <w:rPr>
                <w:rFonts w:hint="eastAsia"/>
              </w:rPr>
              <w:t>1927年</w:t>
            </w:r>
          </w:p>
        </w:tc>
        <w:tc>
          <w:tcPr>
            <w:tcW w:w="582" w:type="pct"/>
            <w:vAlign w:val="center"/>
          </w:tcPr>
          <w:p w14:paraId="6F4AF562">
            <w:pPr>
              <w:pStyle w:val="12"/>
              <w:jc w:val="center"/>
            </w:pPr>
            <w:r>
              <w:rPr>
                <w:rFonts w:hint="eastAsia"/>
              </w:rPr>
              <w:t>乌迳镇</w:t>
            </w:r>
          </w:p>
        </w:tc>
        <w:tc>
          <w:tcPr>
            <w:tcW w:w="582" w:type="pct"/>
            <w:vAlign w:val="center"/>
          </w:tcPr>
          <w:p w14:paraId="3C3DEA82">
            <w:pPr>
              <w:pStyle w:val="12"/>
              <w:jc w:val="center"/>
            </w:pPr>
            <w:r>
              <w:rPr>
                <w:rFonts w:hint="eastAsia"/>
              </w:rPr>
              <w:t>1947年</w:t>
            </w:r>
          </w:p>
        </w:tc>
        <w:tc>
          <w:tcPr>
            <w:tcW w:w="1066" w:type="pct"/>
            <w:vAlign w:val="center"/>
          </w:tcPr>
          <w:p w14:paraId="47D3911A">
            <w:pPr>
              <w:pStyle w:val="12"/>
              <w:jc w:val="center"/>
              <w:rPr>
                <w:rFonts w:ascii="宋体" w:hAnsi="宋体" w:cs="宋体"/>
              </w:rPr>
            </w:pPr>
            <w:r>
              <w:rPr>
                <w:rFonts w:hint="eastAsia"/>
              </w:rPr>
              <w:t>北江第二支</w:t>
            </w:r>
          </w:p>
          <w:p w14:paraId="29BBBDC9">
            <w:pPr>
              <w:pStyle w:val="12"/>
              <w:jc w:val="center"/>
            </w:pPr>
            <w:r>
              <w:rPr>
                <w:rFonts w:hint="eastAsia" w:ascii="宋体" w:hAnsi="宋体" w:cs="宋体"/>
              </w:rPr>
              <w:t>队  队  员</w:t>
            </w:r>
          </w:p>
        </w:tc>
        <w:tc>
          <w:tcPr>
            <w:tcW w:w="1162" w:type="pct"/>
            <w:vAlign w:val="center"/>
          </w:tcPr>
          <w:p w14:paraId="280E02AE">
            <w:pPr>
              <w:pStyle w:val="12"/>
              <w:jc w:val="left"/>
            </w:pPr>
            <w:r>
              <w:rPr>
                <w:rFonts w:hint="eastAsia"/>
              </w:rPr>
              <w:t>1948年2月在油山上湖战斗牺牲</w:t>
            </w:r>
          </w:p>
        </w:tc>
      </w:tr>
      <w:tr w14:paraId="6D0704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70A410B">
            <w:pPr>
              <w:pStyle w:val="12"/>
              <w:jc w:val="center"/>
            </w:pPr>
            <w:r>
              <w:rPr>
                <w:rFonts w:hint="eastAsia"/>
              </w:rPr>
              <w:t>赖荣炳</w:t>
            </w:r>
          </w:p>
        </w:tc>
        <w:tc>
          <w:tcPr>
            <w:tcW w:w="388" w:type="pct"/>
            <w:vAlign w:val="center"/>
          </w:tcPr>
          <w:p w14:paraId="4E5163E6">
            <w:pPr>
              <w:pStyle w:val="12"/>
              <w:jc w:val="center"/>
            </w:pPr>
            <w:r>
              <w:rPr>
                <w:rFonts w:hint="eastAsia"/>
              </w:rPr>
              <w:t>男</w:t>
            </w:r>
          </w:p>
        </w:tc>
        <w:tc>
          <w:tcPr>
            <w:tcW w:w="582" w:type="pct"/>
            <w:vAlign w:val="center"/>
          </w:tcPr>
          <w:p w14:paraId="1AD9A401">
            <w:pPr>
              <w:pStyle w:val="12"/>
              <w:jc w:val="center"/>
            </w:pPr>
            <w:r>
              <w:rPr>
                <w:rFonts w:hint="eastAsia"/>
              </w:rPr>
              <w:t>1928年</w:t>
            </w:r>
          </w:p>
        </w:tc>
        <w:tc>
          <w:tcPr>
            <w:tcW w:w="582" w:type="pct"/>
            <w:vAlign w:val="center"/>
          </w:tcPr>
          <w:p w14:paraId="4FD6FF2D">
            <w:pPr>
              <w:pStyle w:val="12"/>
              <w:jc w:val="center"/>
            </w:pPr>
            <w:r>
              <w:rPr>
                <w:rFonts w:hint="eastAsia"/>
              </w:rPr>
              <w:t>乌迳镇</w:t>
            </w:r>
          </w:p>
        </w:tc>
        <w:tc>
          <w:tcPr>
            <w:tcW w:w="582" w:type="pct"/>
            <w:vAlign w:val="center"/>
          </w:tcPr>
          <w:p w14:paraId="2649E713">
            <w:pPr>
              <w:pStyle w:val="12"/>
              <w:jc w:val="center"/>
            </w:pPr>
            <w:r>
              <w:rPr>
                <w:rFonts w:hint="eastAsia"/>
              </w:rPr>
              <w:t>1945年</w:t>
            </w:r>
          </w:p>
        </w:tc>
        <w:tc>
          <w:tcPr>
            <w:tcW w:w="1066" w:type="pct"/>
            <w:vAlign w:val="center"/>
          </w:tcPr>
          <w:p w14:paraId="5D7BBF9E">
            <w:pPr>
              <w:pStyle w:val="12"/>
              <w:jc w:val="center"/>
              <w:rPr>
                <w:rFonts w:ascii="宋体" w:hAnsi="宋体" w:cs="宋体"/>
              </w:rPr>
            </w:pPr>
            <w:r>
              <w:rPr>
                <w:rFonts w:hint="eastAsia"/>
              </w:rPr>
              <w:t>北江第二支</w:t>
            </w:r>
          </w:p>
          <w:p w14:paraId="1B568482">
            <w:pPr>
              <w:pStyle w:val="12"/>
              <w:jc w:val="center"/>
            </w:pPr>
            <w:r>
              <w:rPr>
                <w:rFonts w:hint="eastAsia" w:ascii="宋体" w:hAnsi="宋体" w:cs="宋体"/>
              </w:rPr>
              <w:t>队  队  员</w:t>
            </w:r>
          </w:p>
        </w:tc>
        <w:tc>
          <w:tcPr>
            <w:tcW w:w="1162" w:type="pct"/>
            <w:vAlign w:val="center"/>
          </w:tcPr>
          <w:p w14:paraId="179F78D6">
            <w:pPr>
              <w:pStyle w:val="12"/>
              <w:jc w:val="left"/>
            </w:pPr>
            <w:r>
              <w:rPr>
                <w:rFonts w:hint="eastAsia"/>
              </w:rPr>
              <w:t>1948年在赣州战斗牺牲</w:t>
            </w:r>
          </w:p>
        </w:tc>
      </w:tr>
      <w:tr w14:paraId="494061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D28B606">
            <w:pPr>
              <w:pStyle w:val="12"/>
              <w:jc w:val="center"/>
            </w:pPr>
            <w:r>
              <w:rPr>
                <w:rFonts w:hint="eastAsia"/>
              </w:rPr>
              <w:t>蓝师忠</w:t>
            </w:r>
          </w:p>
        </w:tc>
        <w:tc>
          <w:tcPr>
            <w:tcW w:w="388" w:type="pct"/>
            <w:vAlign w:val="center"/>
          </w:tcPr>
          <w:p w14:paraId="26B5A264">
            <w:pPr>
              <w:pStyle w:val="12"/>
              <w:jc w:val="center"/>
            </w:pPr>
            <w:r>
              <w:rPr>
                <w:rFonts w:hint="eastAsia"/>
              </w:rPr>
              <w:t>男</w:t>
            </w:r>
          </w:p>
        </w:tc>
        <w:tc>
          <w:tcPr>
            <w:tcW w:w="582" w:type="pct"/>
            <w:vAlign w:val="center"/>
          </w:tcPr>
          <w:p w14:paraId="1ECC4281">
            <w:pPr>
              <w:pStyle w:val="12"/>
              <w:jc w:val="center"/>
            </w:pPr>
            <w:r>
              <w:rPr>
                <w:rFonts w:hint="eastAsia"/>
              </w:rPr>
              <w:t>1920年</w:t>
            </w:r>
          </w:p>
        </w:tc>
        <w:tc>
          <w:tcPr>
            <w:tcW w:w="582" w:type="pct"/>
            <w:vAlign w:val="center"/>
          </w:tcPr>
          <w:p w14:paraId="38F3798C">
            <w:pPr>
              <w:pStyle w:val="12"/>
              <w:jc w:val="center"/>
            </w:pPr>
            <w:r>
              <w:rPr>
                <w:rFonts w:hint="eastAsia"/>
              </w:rPr>
              <w:t>乌迳镇</w:t>
            </w:r>
          </w:p>
        </w:tc>
        <w:tc>
          <w:tcPr>
            <w:tcW w:w="582" w:type="pct"/>
            <w:vAlign w:val="center"/>
          </w:tcPr>
          <w:p w14:paraId="388DBDEB">
            <w:pPr>
              <w:pStyle w:val="12"/>
              <w:jc w:val="center"/>
            </w:pPr>
            <w:r>
              <w:rPr>
                <w:rFonts w:hint="eastAsia"/>
              </w:rPr>
              <w:t>1947年1月</w:t>
            </w:r>
          </w:p>
        </w:tc>
        <w:tc>
          <w:tcPr>
            <w:tcW w:w="1066" w:type="pct"/>
            <w:vAlign w:val="center"/>
          </w:tcPr>
          <w:p w14:paraId="7E2EA88F">
            <w:pPr>
              <w:pStyle w:val="12"/>
              <w:jc w:val="center"/>
              <w:rPr>
                <w:rFonts w:ascii="宋体" w:hAnsi="宋体" w:cs="宋体"/>
              </w:rPr>
            </w:pPr>
            <w:r>
              <w:rPr>
                <w:rFonts w:hint="eastAsia"/>
              </w:rPr>
              <w:t>北江第二支队</w:t>
            </w:r>
          </w:p>
          <w:p w14:paraId="3520E8A9">
            <w:pPr>
              <w:pStyle w:val="12"/>
              <w:jc w:val="center"/>
            </w:pPr>
            <w:r>
              <w:rPr>
                <w:rFonts w:hint="eastAsia" w:ascii="宋体" w:hAnsi="宋体" w:cs="宋体"/>
              </w:rPr>
              <w:t>侦察小队长</w:t>
            </w:r>
          </w:p>
        </w:tc>
        <w:tc>
          <w:tcPr>
            <w:tcW w:w="1162" w:type="pct"/>
            <w:vAlign w:val="center"/>
          </w:tcPr>
          <w:p w14:paraId="77DD443C">
            <w:pPr>
              <w:pStyle w:val="12"/>
              <w:jc w:val="left"/>
            </w:pPr>
            <w:r>
              <w:rPr>
                <w:rFonts w:hint="eastAsia"/>
              </w:rPr>
              <w:t>1948年在新龙蕉江侦察被捕，在乌迳就义</w:t>
            </w:r>
          </w:p>
        </w:tc>
      </w:tr>
      <w:tr w14:paraId="006FCF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16434D6">
            <w:pPr>
              <w:pStyle w:val="12"/>
              <w:jc w:val="center"/>
            </w:pPr>
            <w:r>
              <w:rPr>
                <w:rFonts w:hint="eastAsia"/>
              </w:rPr>
              <w:t>陈家桂</w:t>
            </w:r>
          </w:p>
        </w:tc>
        <w:tc>
          <w:tcPr>
            <w:tcW w:w="388" w:type="pct"/>
            <w:vAlign w:val="center"/>
          </w:tcPr>
          <w:p w14:paraId="0DC1025D">
            <w:pPr>
              <w:pStyle w:val="12"/>
              <w:jc w:val="center"/>
            </w:pPr>
            <w:r>
              <w:rPr>
                <w:rFonts w:hint="eastAsia"/>
              </w:rPr>
              <w:t>男</w:t>
            </w:r>
          </w:p>
        </w:tc>
        <w:tc>
          <w:tcPr>
            <w:tcW w:w="582" w:type="pct"/>
            <w:vAlign w:val="center"/>
          </w:tcPr>
          <w:p w14:paraId="3093982D">
            <w:pPr>
              <w:pStyle w:val="12"/>
              <w:jc w:val="center"/>
            </w:pPr>
            <w:r>
              <w:rPr>
                <w:rFonts w:hint="eastAsia"/>
              </w:rPr>
              <w:t>1927年</w:t>
            </w:r>
          </w:p>
        </w:tc>
        <w:tc>
          <w:tcPr>
            <w:tcW w:w="582" w:type="pct"/>
            <w:vAlign w:val="center"/>
          </w:tcPr>
          <w:p w14:paraId="68BDFC2E">
            <w:pPr>
              <w:pStyle w:val="12"/>
              <w:jc w:val="center"/>
            </w:pPr>
            <w:r>
              <w:rPr>
                <w:rFonts w:hint="eastAsia"/>
              </w:rPr>
              <w:t>油山镇</w:t>
            </w:r>
          </w:p>
        </w:tc>
        <w:tc>
          <w:tcPr>
            <w:tcW w:w="582" w:type="pct"/>
            <w:vAlign w:val="center"/>
          </w:tcPr>
          <w:p w14:paraId="55949E6F">
            <w:pPr>
              <w:pStyle w:val="12"/>
              <w:jc w:val="center"/>
            </w:pPr>
            <w:r>
              <w:rPr>
                <w:rFonts w:hint="eastAsia"/>
              </w:rPr>
              <w:t>1947年</w:t>
            </w:r>
          </w:p>
        </w:tc>
        <w:tc>
          <w:tcPr>
            <w:tcW w:w="1066" w:type="pct"/>
            <w:vAlign w:val="center"/>
          </w:tcPr>
          <w:p w14:paraId="18CB185E">
            <w:pPr>
              <w:pStyle w:val="12"/>
              <w:jc w:val="center"/>
              <w:rPr>
                <w:rFonts w:ascii="宋体" w:hAnsi="宋体" w:cs="宋体"/>
              </w:rPr>
            </w:pPr>
            <w:r>
              <w:rPr>
                <w:rFonts w:hint="eastAsia"/>
              </w:rPr>
              <w:t>北江第二支</w:t>
            </w:r>
          </w:p>
          <w:p w14:paraId="68DDDACC">
            <w:pPr>
              <w:pStyle w:val="12"/>
              <w:jc w:val="center"/>
            </w:pPr>
            <w:r>
              <w:rPr>
                <w:rFonts w:hint="eastAsia" w:ascii="宋体" w:hAnsi="宋体" w:cs="宋体"/>
              </w:rPr>
              <w:t>队  队  员</w:t>
            </w:r>
          </w:p>
        </w:tc>
        <w:tc>
          <w:tcPr>
            <w:tcW w:w="1162" w:type="pct"/>
            <w:vAlign w:val="center"/>
          </w:tcPr>
          <w:p w14:paraId="16557681">
            <w:pPr>
              <w:pStyle w:val="12"/>
              <w:jc w:val="left"/>
            </w:pPr>
            <w:r>
              <w:rPr>
                <w:rFonts w:hint="eastAsia"/>
              </w:rPr>
              <w:t>1948年在江西横江庙仔战斗牺牲</w:t>
            </w:r>
          </w:p>
        </w:tc>
      </w:tr>
      <w:tr w14:paraId="7D76EB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70535E6">
            <w:pPr>
              <w:pStyle w:val="12"/>
              <w:jc w:val="center"/>
            </w:pPr>
            <w:r>
              <w:rPr>
                <w:rFonts w:hint="eastAsia"/>
              </w:rPr>
              <w:t>叶见富</w:t>
            </w:r>
          </w:p>
        </w:tc>
        <w:tc>
          <w:tcPr>
            <w:tcW w:w="388" w:type="pct"/>
            <w:vAlign w:val="center"/>
          </w:tcPr>
          <w:p w14:paraId="447180A2">
            <w:pPr>
              <w:pStyle w:val="12"/>
              <w:jc w:val="center"/>
            </w:pPr>
            <w:r>
              <w:rPr>
                <w:rFonts w:hint="eastAsia"/>
              </w:rPr>
              <w:t>男</w:t>
            </w:r>
          </w:p>
        </w:tc>
        <w:tc>
          <w:tcPr>
            <w:tcW w:w="582" w:type="pct"/>
            <w:vAlign w:val="center"/>
          </w:tcPr>
          <w:p w14:paraId="57BD308B">
            <w:pPr>
              <w:pStyle w:val="12"/>
              <w:jc w:val="center"/>
            </w:pPr>
            <w:r>
              <w:rPr>
                <w:rFonts w:hint="eastAsia"/>
              </w:rPr>
              <w:t>1904年</w:t>
            </w:r>
          </w:p>
        </w:tc>
        <w:tc>
          <w:tcPr>
            <w:tcW w:w="582" w:type="pct"/>
            <w:vAlign w:val="center"/>
          </w:tcPr>
          <w:p w14:paraId="6E68F50D">
            <w:pPr>
              <w:pStyle w:val="12"/>
              <w:jc w:val="center"/>
            </w:pPr>
            <w:r>
              <w:rPr>
                <w:rFonts w:hint="eastAsia"/>
              </w:rPr>
              <w:t>水口镇</w:t>
            </w:r>
          </w:p>
        </w:tc>
        <w:tc>
          <w:tcPr>
            <w:tcW w:w="582" w:type="pct"/>
            <w:vAlign w:val="center"/>
          </w:tcPr>
          <w:p w14:paraId="18393ED6">
            <w:pPr>
              <w:pStyle w:val="12"/>
              <w:jc w:val="center"/>
            </w:pPr>
            <w:r>
              <w:rPr>
                <w:rFonts w:hint="eastAsia"/>
              </w:rPr>
              <w:t>1947年</w:t>
            </w:r>
          </w:p>
        </w:tc>
        <w:tc>
          <w:tcPr>
            <w:tcW w:w="1066" w:type="pct"/>
            <w:vAlign w:val="center"/>
          </w:tcPr>
          <w:p w14:paraId="4E083CBC">
            <w:pPr>
              <w:pStyle w:val="12"/>
              <w:jc w:val="center"/>
              <w:rPr>
                <w:rFonts w:ascii="宋体" w:hAnsi="宋体" w:cs="宋体"/>
              </w:rPr>
            </w:pPr>
            <w:r>
              <w:rPr>
                <w:rFonts w:hint="eastAsia"/>
              </w:rPr>
              <w:t>北江第二支</w:t>
            </w:r>
          </w:p>
          <w:p w14:paraId="045F1AF2">
            <w:pPr>
              <w:pStyle w:val="12"/>
              <w:jc w:val="center"/>
            </w:pPr>
            <w:r>
              <w:rPr>
                <w:rFonts w:hint="eastAsia" w:ascii="宋体" w:hAnsi="宋体" w:cs="宋体"/>
              </w:rPr>
              <w:t>武工队队长</w:t>
            </w:r>
          </w:p>
        </w:tc>
        <w:tc>
          <w:tcPr>
            <w:tcW w:w="1162" w:type="pct"/>
            <w:vAlign w:val="center"/>
          </w:tcPr>
          <w:p w14:paraId="05113925">
            <w:pPr>
              <w:pStyle w:val="12"/>
              <w:jc w:val="left"/>
            </w:pPr>
            <w:r>
              <w:rPr>
                <w:rFonts w:hint="eastAsia"/>
              </w:rPr>
              <w:t>1948年在坪田被捕，在新龙就义</w:t>
            </w:r>
          </w:p>
        </w:tc>
      </w:tr>
      <w:tr w14:paraId="57FAB3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47C4A92">
            <w:pPr>
              <w:pStyle w:val="12"/>
              <w:jc w:val="center"/>
            </w:pPr>
            <w:r>
              <w:rPr>
                <w:rFonts w:hint="eastAsia"/>
              </w:rPr>
              <w:t>钟才山</w:t>
            </w:r>
          </w:p>
        </w:tc>
        <w:tc>
          <w:tcPr>
            <w:tcW w:w="388" w:type="pct"/>
            <w:vAlign w:val="center"/>
          </w:tcPr>
          <w:p w14:paraId="755A497F">
            <w:pPr>
              <w:pStyle w:val="12"/>
              <w:jc w:val="center"/>
            </w:pPr>
            <w:r>
              <w:rPr>
                <w:rFonts w:hint="eastAsia"/>
              </w:rPr>
              <w:t>男</w:t>
            </w:r>
          </w:p>
        </w:tc>
        <w:tc>
          <w:tcPr>
            <w:tcW w:w="582" w:type="pct"/>
            <w:vAlign w:val="center"/>
          </w:tcPr>
          <w:p w14:paraId="19A8A285">
            <w:pPr>
              <w:pStyle w:val="12"/>
              <w:jc w:val="center"/>
            </w:pPr>
            <w:r>
              <w:rPr>
                <w:rFonts w:hint="eastAsia"/>
              </w:rPr>
              <w:t>1899年</w:t>
            </w:r>
          </w:p>
        </w:tc>
        <w:tc>
          <w:tcPr>
            <w:tcW w:w="582" w:type="pct"/>
            <w:vAlign w:val="center"/>
          </w:tcPr>
          <w:p w14:paraId="5C0DBCC7">
            <w:pPr>
              <w:pStyle w:val="12"/>
              <w:jc w:val="center"/>
            </w:pPr>
            <w:r>
              <w:rPr>
                <w:rFonts w:hint="eastAsia"/>
              </w:rPr>
              <w:t>雄州镇</w:t>
            </w:r>
          </w:p>
        </w:tc>
        <w:tc>
          <w:tcPr>
            <w:tcW w:w="582" w:type="pct"/>
            <w:vAlign w:val="center"/>
          </w:tcPr>
          <w:p w14:paraId="4C06CE9E">
            <w:pPr>
              <w:pStyle w:val="12"/>
              <w:jc w:val="center"/>
            </w:pPr>
            <w:r>
              <w:rPr>
                <w:rFonts w:hint="eastAsia"/>
              </w:rPr>
              <w:t>1946年</w:t>
            </w:r>
          </w:p>
        </w:tc>
        <w:tc>
          <w:tcPr>
            <w:tcW w:w="1066" w:type="pct"/>
            <w:vAlign w:val="center"/>
          </w:tcPr>
          <w:p w14:paraId="738BB8DC">
            <w:pPr>
              <w:pStyle w:val="12"/>
              <w:jc w:val="center"/>
              <w:rPr>
                <w:rFonts w:ascii="宋体" w:hAnsi="宋体" w:cs="宋体"/>
              </w:rPr>
            </w:pPr>
            <w:r>
              <w:rPr>
                <w:rFonts w:hint="eastAsia"/>
              </w:rPr>
              <w:t>北江第二支</w:t>
            </w:r>
          </w:p>
          <w:p w14:paraId="013E15A0">
            <w:pPr>
              <w:pStyle w:val="12"/>
              <w:jc w:val="center"/>
            </w:pPr>
            <w:r>
              <w:rPr>
                <w:rFonts w:hint="eastAsia" w:ascii="宋体" w:hAnsi="宋体" w:cs="宋体"/>
              </w:rPr>
              <w:t>队  队  员</w:t>
            </w:r>
          </w:p>
        </w:tc>
        <w:tc>
          <w:tcPr>
            <w:tcW w:w="1162" w:type="pct"/>
            <w:vAlign w:val="center"/>
          </w:tcPr>
          <w:p w14:paraId="3EFA1E4C">
            <w:pPr>
              <w:pStyle w:val="12"/>
              <w:jc w:val="left"/>
            </w:pPr>
            <w:r>
              <w:rPr>
                <w:rFonts w:hint="eastAsia"/>
              </w:rPr>
              <w:t>1948年在江西大余县作战牺牲</w:t>
            </w:r>
          </w:p>
        </w:tc>
      </w:tr>
      <w:tr w14:paraId="755862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100CED1">
            <w:pPr>
              <w:pStyle w:val="12"/>
              <w:jc w:val="center"/>
            </w:pPr>
            <w:r>
              <w:rPr>
                <w:rFonts w:hint="eastAsia"/>
              </w:rPr>
              <w:t>刘升和</w:t>
            </w:r>
          </w:p>
        </w:tc>
        <w:tc>
          <w:tcPr>
            <w:tcW w:w="388" w:type="pct"/>
            <w:vAlign w:val="center"/>
          </w:tcPr>
          <w:p w14:paraId="670ABEE3">
            <w:pPr>
              <w:pStyle w:val="12"/>
              <w:jc w:val="center"/>
            </w:pPr>
            <w:r>
              <w:rPr>
                <w:rFonts w:hint="eastAsia"/>
              </w:rPr>
              <w:t>男</w:t>
            </w:r>
          </w:p>
        </w:tc>
        <w:tc>
          <w:tcPr>
            <w:tcW w:w="582" w:type="pct"/>
            <w:vAlign w:val="center"/>
          </w:tcPr>
          <w:p w14:paraId="4BD47564">
            <w:pPr>
              <w:pStyle w:val="12"/>
              <w:jc w:val="center"/>
            </w:pPr>
            <w:r>
              <w:rPr>
                <w:rFonts w:hint="eastAsia"/>
              </w:rPr>
              <w:t>1918年</w:t>
            </w:r>
          </w:p>
        </w:tc>
        <w:tc>
          <w:tcPr>
            <w:tcW w:w="582" w:type="pct"/>
            <w:vAlign w:val="center"/>
          </w:tcPr>
          <w:p w14:paraId="4EA2CD0E">
            <w:pPr>
              <w:pStyle w:val="12"/>
              <w:jc w:val="center"/>
            </w:pPr>
            <w:r>
              <w:rPr>
                <w:rFonts w:hint="eastAsia"/>
              </w:rPr>
              <w:t>雄州镇</w:t>
            </w:r>
          </w:p>
        </w:tc>
        <w:tc>
          <w:tcPr>
            <w:tcW w:w="582" w:type="pct"/>
            <w:vAlign w:val="center"/>
          </w:tcPr>
          <w:p w14:paraId="02D7ABFA">
            <w:pPr>
              <w:pStyle w:val="12"/>
              <w:jc w:val="center"/>
            </w:pPr>
            <w:r>
              <w:rPr>
                <w:rFonts w:hint="eastAsia"/>
              </w:rPr>
              <w:t>1947年</w:t>
            </w:r>
          </w:p>
        </w:tc>
        <w:tc>
          <w:tcPr>
            <w:tcW w:w="1066" w:type="pct"/>
            <w:vAlign w:val="center"/>
          </w:tcPr>
          <w:p w14:paraId="06BC4436">
            <w:pPr>
              <w:pStyle w:val="12"/>
              <w:jc w:val="center"/>
              <w:rPr>
                <w:rFonts w:ascii="宋体" w:hAnsi="宋体" w:cs="宋体"/>
              </w:rPr>
            </w:pPr>
            <w:r>
              <w:rPr>
                <w:rFonts w:hint="eastAsia"/>
              </w:rPr>
              <w:t>中国人民解</w:t>
            </w:r>
          </w:p>
          <w:p w14:paraId="022372FC">
            <w:pPr>
              <w:pStyle w:val="12"/>
              <w:jc w:val="center"/>
            </w:pPr>
            <w:r>
              <w:rPr>
                <w:rFonts w:hint="eastAsia" w:ascii="宋体" w:hAnsi="宋体" w:cs="宋体"/>
              </w:rPr>
              <w:t>放军班长</w:t>
            </w:r>
          </w:p>
        </w:tc>
        <w:tc>
          <w:tcPr>
            <w:tcW w:w="1162" w:type="pct"/>
            <w:vAlign w:val="center"/>
          </w:tcPr>
          <w:p w14:paraId="7F432CEF">
            <w:pPr>
              <w:pStyle w:val="12"/>
              <w:jc w:val="left"/>
            </w:pPr>
            <w:r>
              <w:rPr>
                <w:rFonts w:hint="eastAsia"/>
              </w:rPr>
              <w:t>1948年在战斗中牺牲</w:t>
            </w:r>
          </w:p>
        </w:tc>
      </w:tr>
      <w:tr w14:paraId="24E6E8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F1C911F">
            <w:pPr>
              <w:pStyle w:val="12"/>
              <w:jc w:val="center"/>
            </w:pPr>
            <w:r>
              <w:rPr>
                <w:rFonts w:hint="eastAsia"/>
              </w:rPr>
              <w:t>麦太阳宝</w:t>
            </w:r>
          </w:p>
        </w:tc>
        <w:tc>
          <w:tcPr>
            <w:tcW w:w="388" w:type="pct"/>
            <w:vAlign w:val="center"/>
          </w:tcPr>
          <w:p w14:paraId="092B12A9">
            <w:pPr>
              <w:pStyle w:val="12"/>
              <w:jc w:val="center"/>
            </w:pPr>
            <w:r>
              <w:rPr>
                <w:rFonts w:hint="eastAsia"/>
              </w:rPr>
              <w:t>男</w:t>
            </w:r>
          </w:p>
        </w:tc>
        <w:tc>
          <w:tcPr>
            <w:tcW w:w="582" w:type="pct"/>
            <w:vAlign w:val="center"/>
          </w:tcPr>
          <w:p w14:paraId="7D5747B3">
            <w:pPr>
              <w:pStyle w:val="12"/>
              <w:jc w:val="center"/>
            </w:pPr>
            <w:r>
              <w:rPr>
                <w:rFonts w:hint="eastAsia"/>
              </w:rPr>
              <w:t>1916年</w:t>
            </w:r>
          </w:p>
        </w:tc>
        <w:tc>
          <w:tcPr>
            <w:tcW w:w="582" w:type="pct"/>
            <w:vAlign w:val="center"/>
          </w:tcPr>
          <w:p w14:paraId="703902EB">
            <w:pPr>
              <w:pStyle w:val="12"/>
              <w:jc w:val="center"/>
            </w:pPr>
            <w:r>
              <w:rPr>
                <w:rFonts w:hint="eastAsia"/>
              </w:rPr>
              <w:t>百顺镇</w:t>
            </w:r>
          </w:p>
        </w:tc>
        <w:tc>
          <w:tcPr>
            <w:tcW w:w="582" w:type="pct"/>
            <w:vAlign w:val="center"/>
          </w:tcPr>
          <w:p w14:paraId="007ADC9F">
            <w:pPr>
              <w:pStyle w:val="12"/>
              <w:jc w:val="center"/>
            </w:pPr>
            <w:r>
              <w:rPr>
                <w:rFonts w:hint="eastAsia"/>
              </w:rPr>
              <w:t>1947年</w:t>
            </w:r>
          </w:p>
        </w:tc>
        <w:tc>
          <w:tcPr>
            <w:tcW w:w="1066" w:type="pct"/>
            <w:vAlign w:val="center"/>
          </w:tcPr>
          <w:p w14:paraId="2C5DA24C">
            <w:pPr>
              <w:pStyle w:val="12"/>
              <w:jc w:val="center"/>
              <w:rPr>
                <w:rFonts w:ascii="宋体" w:hAnsi="宋体" w:cs="宋体"/>
              </w:rPr>
            </w:pPr>
            <w:r>
              <w:rPr>
                <w:rFonts w:hint="eastAsia"/>
              </w:rPr>
              <w:t>北江第二支队</w:t>
            </w:r>
          </w:p>
          <w:p w14:paraId="210091D2">
            <w:pPr>
              <w:pStyle w:val="12"/>
              <w:jc w:val="center"/>
            </w:pPr>
            <w:r>
              <w:rPr>
                <w:rFonts w:hint="eastAsia" w:ascii="宋体" w:hAnsi="宋体" w:cs="宋体"/>
              </w:rPr>
              <w:t>下属部队队长</w:t>
            </w:r>
          </w:p>
        </w:tc>
        <w:tc>
          <w:tcPr>
            <w:tcW w:w="1162" w:type="pct"/>
            <w:vAlign w:val="center"/>
          </w:tcPr>
          <w:p w14:paraId="59B29514">
            <w:pPr>
              <w:pStyle w:val="12"/>
              <w:jc w:val="left"/>
            </w:pPr>
            <w:r>
              <w:rPr>
                <w:rFonts w:hint="eastAsia"/>
              </w:rPr>
              <w:t>1948年2月在朱安塘被捕，在百顺就义</w:t>
            </w:r>
          </w:p>
        </w:tc>
      </w:tr>
      <w:tr w14:paraId="2FBD97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1F60715">
            <w:pPr>
              <w:pStyle w:val="12"/>
              <w:jc w:val="center"/>
            </w:pPr>
            <w:r>
              <w:rPr>
                <w:rFonts w:hint="eastAsia"/>
              </w:rPr>
              <w:t>麦著雄</w:t>
            </w:r>
          </w:p>
        </w:tc>
        <w:tc>
          <w:tcPr>
            <w:tcW w:w="388" w:type="pct"/>
            <w:vAlign w:val="center"/>
          </w:tcPr>
          <w:p w14:paraId="43EB9A66">
            <w:pPr>
              <w:pStyle w:val="12"/>
              <w:jc w:val="center"/>
            </w:pPr>
            <w:r>
              <w:rPr>
                <w:rFonts w:hint="eastAsia"/>
              </w:rPr>
              <w:t>男</w:t>
            </w:r>
          </w:p>
        </w:tc>
        <w:tc>
          <w:tcPr>
            <w:tcW w:w="582" w:type="pct"/>
            <w:vAlign w:val="center"/>
          </w:tcPr>
          <w:p w14:paraId="23E7FD6B">
            <w:pPr>
              <w:pStyle w:val="12"/>
              <w:jc w:val="center"/>
            </w:pPr>
            <w:r>
              <w:rPr>
                <w:rFonts w:hint="eastAsia"/>
              </w:rPr>
              <w:t>1928年</w:t>
            </w:r>
          </w:p>
        </w:tc>
        <w:tc>
          <w:tcPr>
            <w:tcW w:w="582" w:type="pct"/>
            <w:vAlign w:val="center"/>
          </w:tcPr>
          <w:p w14:paraId="1003A6C7">
            <w:pPr>
              <w:pStyle w:val="12"/>
              <w:jc w:val="center"/>
            </w:pPr>
            <w:r>
              <w:rPr>
                <w:rFonts w:hint="eastAsia"/>
              </w:rPr>
              <w:t>百顺镇</w:t>
            </w:r>
          </w:p>
        </w:tc>
        <w:tc>
          <w:tcPr>
            <w:tcW w:w="582" w:type="pct"/>
            <w:vAlign w:val="center"/>
          </w:tcPr>
          <w:p w14:paraId="30854BAC">
            <w:pPr>
              <w:pStyle w:val="12"/>
              <w:jc w:val="center"/>
            </w:pPr>
            <w:r>
              <w:rPr>
                <w:rFonts w:hint="eastAsia"/>
              </w:rPr>
              <w:t>1947年8月</w:t>
            </w:r>
          </w:p>
        </w:tc>
        <w:tc>
          <w:tcPr>
            <w:tcW w:w="1066" w:type="pct"/>
            <w:vAlign w:val="center"/>
          </w:tcPr>
          <w:p w14:paraId="635C9429">
            <w:pPr>
              <w:pStyle w:val="12"/>
              <w:jc w:val="center"/>
              <w:rPr>
                <w:rFonts w:ascii="宋体" w:hAnsi="宋体" w:cs="宋体"/>
              </w:rPr>
            </w:pPr>
            <w:r>
              <w:rPr>
                <w:rFonts w:hint="eastAsia"/>
              </w:rPr>
              <w:t>北江第二支</w:t>
            </w:r>
          </w:p>
          <w:p w14:paraId="5AB5CC9D">
            <w:pPr>
              <w:pStyle w:val="12"/>
              <w:jc w:val="center"/>
            </w:pPr>
            <w:r>
              <w:rPr>
                <w:rFonts w:hint="eastAsia" w:ascii="宋体" w:hAnsi="宋体" w:cs="宋体"/>
              </w:rPr>
              <w:t>队  队  员</w:t>
            </w:r>
          </w:p>
        </w:tc>
        <w:tc>
          <w:tcPr>
            <w:tcW w:w="1162" w:type="pct"/>
            <w:vAlign w:val="center"/>
          </w:tcPr>
          <w:p w14:paraId="1A71A4D7">
            <w:pPr>
              <w:pStyle w:val="12"/>
              <w:jc w:val="left"/>
            </w:pPr>
            <w:r>
              <w:rPr>
                <w:rFonts w:hint="eastAsia"/>
              </w:rPr>
              <w:t>1948年秋在江西大余县东坑战斗牺牲</w:t>
            </w:r>
          </w:p>
        </w:tc>
      </w:tr>
      <w:tr w14:paraId="67AF943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0B71B6B">
            <w:pPr>
              <w:pStyle w:val="12"/>
              <w:jc w:val="center"/>
            </w:pPr>
            <w:r>
              <w:rPr>
                <w:rFonts w:hint="eastAsia"/>
              </w:rPr>
              <w:t>谢大发</w:t>
            </w:r>
          </w:p>
        </w:tc>
        <w:tc>
          <w:tcPr>
            <w:tcW w:w="388" w:type="pct"/>
            <w:vAlign w:val="center"/>
          </w:tcPr>
          <w:p w14:paraId="592B44C0">
            <w:pPr>
              <w:pStyle w:val="12"/>
              <w:jc w:val="center"/>
            </w:pPr>
            <w:r>
              <w:rPr>
                <w:rFonts w:hint="eastAsia"/>
              </w:rPr>
              <w:t>男</w:t>
            </w:r>
          </w:p>
        </w:tc>
        <w:tc>
          <w:tcPr>
            <w:tcW w:w="582" w:type="pct"/>
            <w:vAlign w:val="center"/>
          </w:tcPr>
          <w:p w14:paraId="1BBA6F19">
            <w:pPr>
              <w:pStyle w:val="12"/>
              <w:jc w:val="center"/>
            </w:pPr>
            <w:r>
              <w:rPr>
                <w:rFonts w:hint="eastAsia"/>
              </w:rPr>
              <w:t>1921年</w:t>
            </w:r>
          </w:p>
        </w:tc>
        <w:tc>
          <w:tcPr>
            <w:tcW w:w="582" w:type="pct"/>
            <w:vAlign w:val="center"/>
          </w:tcPr>
          <w:p w14:paraId="3C8A9821">
            <w:pPr>
              <w:pStyle w:val="12"/>
              <w:jc w:val="center"/>
            </w:pPr>
            <w:r>
              <w:rPr>
                <w:rFonts w:hint="eastAsia"/>
              </w:rPr>
              <w:t>珠玑镇</w:t>
            </w:r>
          </w:p>
        </w:tc>
        <w:tc>
          <w:tcPr>
            <w:tcW w:w="582" w:type="pct"/>
            <w:vAlign w:val="center"/>
          </w:tcPr>
          <w:p w14:paraId="4905752D">
            <w:pPr>
              <w:pStyle w:val="12"/>
              <w:jc w:val="center"/>
            </w:pPr>
            <w:r>
              <w:rPr>
                <w:rFonts w:hint="eastAsia"/>
              </w:rPr>
              <w:t>1948年</w:t>
            </w:r>
          </w:p>
        </w:tc>
        <w:tc>
          <w:tcPr>
            <w:tcW w:w="1066" w:type="pct"/>
            <w:vAlign w:val="center"/>
          </w:tcPr>
          <w:p w14:paraId="1BE634F9">
            <w:pPr>
              <w:pStyle w:val="12"/>
              <w:jc w:val="center"/>
              <w:rPr>
                <w:rFonts w:ascii="宋体" w:hAnsi="宋体" w:cs="宋体"/>
              </w:rPr>
            </w:pPr>
            <w:r>
              <w:rPr>
                <w:rFonts w:hint="eastAsia"/>
              </w:rPr>
              <w:t>北江第二支</w:t>
            </w:r>
          </w:p>
          <w:p w14:paraId="076102D3">
            <w:pPr>
              <w:pStyle w:val="12"/>
              <w:jc w:val="center"/>
            </w:pPr>
            <w:r>
              <w:rPr>
                <w:rFonts w:hint="eastAsia" w:ascii="宋体" w:hAnsi="宋体" w:cs="宋体"/>
              </w:rPr>
              <w:t>队  队  员</w:t>
            </w:r>
          </w:p>
        </w:tc>
        <w:tc>
          <w:tcPr>
            <w:tcW w:w="1162" w:type="pct"/>
            <w:vAlign w:val="center"/>
          </w:tcPr>
          <w:p w14:paraId="774FC952">
            <w:pPr>
              <w:pStyle w:val="12"/>
              <w:jc w:val="left"/>
            </w:pPr>
            <w:r>
              <w:rPr>
                <w:rFonts w:hint="eastAsia"/>
              </w:rPr>
              <w:t>1948年9月在珠玑战斗牺牲</w:t>
            </w:r>
          </w:p>
        </w:tc>
      </w:tr>
      <w:tr w14:paraId="227928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8587185">
            <w:pPr>
              <w:pStyle w:val="12"/>
              <w:jc w:val="center"/>
            </w:pPr>
            <w:r>
              <w:rPr>
                <w:rFonts w:hint="eastAsia"/>
              </w:rPr>
              <w:t>刘新辉</w:t>
            </w:r>
          </w:p>
        </w:tc>
        <w:tc>
          <w:tcPr>
            <w:tcW w:w="388" w:type="pct"/>
            <w:vAlign w:val="center"/>
          </w:tcPr>
          <w:p w14:paraId="4862B8CF">
            <w:pPr>
              <w:pStyle w:val="12"/>
              <w:jc w:val="center"/>
            </w:pPr>
            <w:r>
              <w:rPr>
                <w:rFonts w:hint="eastAsia"/>
              </w:rPr>
              <w:t>男</w:t>
            </w:r>
          </w:p>
        </w:tc>
        <w:tc>
          <w:tcPr>
            <w:tcW w:w="582" w:type="pct"/>
            <w:vAlign w:val="center"/>
          </w:tcPr>
          <w:p w14:paraId="7DD3895E">
            <w:pPr>
              <w:pStyle w:val="12"/>
              <w:jc w:val="center"/>
            </w:pPr>
            <w:r>
              <w:rPr>
                <w:rFonts w:hint="eastAsia"/>
              </w:rPr>
              <w:t>1909年</w:t>
            </w:r>
          </w:p>
        </w:tc>
        <w:tc>
          <w:tcPr>
            <w:tcW w:w="582" w:type="pct"/>
            <w:vAlign w:val="center"/>
          </w:tcPr>
          <w:p w14:paraId="785F9226">
            <w:pPr>
              <w:pStyle w:val="12"/>
              <w:jc w:val="center"/>
            </w:pPr>
            <w:r>
              <w:rPr>
                <w:rFonts w:hint="eastAsia"/>
              </w:rPr>
              <w:t>珠玑镇</w:t>
            </w:r>
          </w:p>
        </w:tc>
        <w:tc>
          <w:tcPr>
            <w:tcW w:w="582" w:type="pct"/>
            <w:vAlign w:val="center"/>
          </w:tcPr>
          <w:p w14:paraId="6030C304">
            <w:pPr>
              <w:pStyle w:val="12"/>
              <w:jc w:val="center"/>
            </w:pPr>
            <w:r>
              <w:rPr>
                <w:rFonts w:hint="eastAsia"/>
              </w:rPr>
              <w:t>1944年</w:t>
            </w:r>
          </w:p>
        </w:tc>
        <w:tc>
          <w:tcPr>
            <w:tcW w:w="1066" w:type="pct"/>
            <w:vAlign w:val="center"/>
          </w:tcPr>
          <w:p w14:paraId="60698079">
            <w:pPr>
              <w:pStyle w:val="12"/>
              <w:jc w:val="center"/>
              <w:rPr>
                <w:rFonts w:ascii="宋体" w:hAnsi="宋体" w:cs="宋体"/>
              </w:rPr>
            </w:pPr>
            <w:r>
              <w:rPr>
                <w:rFonts w:hint="eastAsia"/>
              </w:rPr>
              <w:t>北江第二支</w:t>
            </w:r>
          </w:p>
          <w:p w14:paraId="21049393">
            <w:pPr>
              <w:pStyle w:val="12"/>
              <w:jc w:val="center"/>
            </w:pPr>
            <w:r>
              <w:rPr>
                <w:rFonts w:hint="eastAsia" w:ascii="宋体" w:hAnsi="宋体" w:cs="宋体"/>
              </w:rPr>
              <w:t>队下</w:t>
            </w:r>
            <w:r>
              <w:rPr>
                <w:rFonts w:hint="eastAsia"/>
              </w:rPr>
              <w:t>属队长</w:t>
            </w:r>
          </w:p>
        </w:tc>
        <w:tc>
          <w:tcPr>
            <w:tcW w:w="1162" w:type="pct"/>
            <w:vAlign w:val="center"/>
          </w:tcPr>
          <w:p w14:paraId="4E0A5EE2">
            <w:pPr>
              <w:pStyle w:val="12"/>
              <w:jc w:val="left"/>
            </w:pPr>
            <w:r>
              <w:rPr>
                <w:rFonts w:hint="eastAsia"/>
              </w:rPr>
              <w:t>1948年在本县战斗中牺牲</w:t>
            </w:r>
          </w:p>
        </w:tc>
      </w:tr>
      <w:tr w14:paraId="119563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1CF97BA">
            <w:pPr>
              <w:pStyle w:val="12"/>
              <w:jc w:val="center"/>
            </w:pPr>
            <w:r>
              <w:rPr>
                <w:rFonts w:hint="eastAsia"/>
              </w:rPr>
              <w:t>何火生</w:t>
            </w:r>
          </w:p>
        </w:tc>
        <w:tc>
          <w:tcPr>
            <w:tcW w:w="388" w:type="pct"/>
            <w:vAlign w:val="center"/>
          </w:tcPr>
          <w:p w14:paraId="6BC4D90B">
            <w:pPr>
              <w:pStyle w:val="12"/>
              <w:jc w:val="center"/>
            </w:pPr>
            <w:r>
              <w:rPr>
                <w:rFonts w:hint="eastAsia"/>
              </w:rPr>
              <w:t>男</w:t>
            </w:r>
          </w:p>
        </w:tc>
        <w:tc>
          <w:tcPr>
            <w:tcW w:w="582" w:type="pct"/>
            <w:vAlign w:val="center"/>
          </w:tcPr>
          <w:p w14:paraId="65E5696F">
            <w:pPr>
              <w:pStyle w:val="12"/>
              <w:jc w:val="center"/>
            </w:pPr>
            <w:r>
              <w:rPr>
                <w:rFonts w:hint="eastAsia"/>
              </w:rPr>
              <w:t>1927年</w:t>
            </w:r>
          </w:p>
        </w:tc>
        <w:tc>
          <w:tcPr>
            <w:tcW w:w="582" w:type="pct"/>
            <w:vAlign w:val="center"/>
          </w:tcPr>
          <w:p w14:paraId="0C4045E6">
            <w:pPr>
              <w:pStyle w:val="12"/>
              <w:jc w:val="center"/>
            </w:pPr>
            <w:r>
              <w:rPr>
                <w:rFonts w:hint="eastAsia"/>
              </w:rPr>
              <w:t>油山镇</w:t>
            </w:r>
          </w:p>
        </w:tc>
        <w:tc>
          <w:tcPr>
            <w:tcW w:w="582" w:type="pct"/>
            <w:vAlign w:val="center"/>
          </w:tcPr>
          <w:p w14:paraId="50AA39DA">
            <w:pPr>
              <w:pStyle w:val="12"/>
              <w:jc w:val="center"/>
            </w:pPr>
            <w:r>
              <w:rPr>
                <w:rFonts w:hint="eastAsia"/>
              </w:rPr>
              <w:t>1947年</w:t>
            </w:r>
          </w:p>
        </w:tc>
        <w:tc>
          <w:tcPr>
            <w:tcW w:w="1066" w:type="pct"/>
            <w:vAlign w:val="center"/>
          </w:tcPr>
          <w:p w14:paraId="3F548AD5">
            <w:pPr>
              <w:pStyle w:val="12"/>
              <w:jc w:val="center"/>
              <w:rPr>
                <w:rFonts w:ascii="宋体" w:hAnsi="宋体" w:cs="宋体"/>
              </w:rPr>
            </w:pPr>
            <w:r>
              <w:rPr>
                <w:rFonts w:hint="eastAsia"/>
              </w:rPr>
              <w:t>北江第二支</w:t>
            </w:r>
          </w:p>
          <w:p w14:paraId="6C45AE60">
            <w:pPr>
              <w:pStyle w:val="12"/>
              <w:jc w:val="center"/>
            </w:pPr>
            <w:r>
              <w:rPr>
                <w:rFonts w:hint="eastAsia" w:ascii="宋体" w:hAnsi="宋体" w:cs="宋体"/>
              </w:rPr>
              <w:t>队  队  员</w:t>
            </w:r>
          </w:p>
        </w:tc>
        <w:tc>
          <w:tcPr>
            <w:tcW w:w="1162" w:type="pct"/>
            <w:vAlign w:val="center"/>
          </w:tcPr>
          <w:p w14:paraId="49C24864">
            <w:pPr>
              <w:pStyle w:val="12"/>
              <w:jc w:val="left"/>
            </w:pPr>
            <w:r>
              <w:rPr>
                <w:rFonts w:hint="eastAsia"/>
              </w:rPr>
              <w:t>1948年3月在邓坊执行任务时被捕就义</w:t>
            </w:r>
          </w:p>
        </w:tc>
      </w:tr>
      <w:tr w14:paraId="79C4E8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1901720">
            <w:pPr>
              <w:pStyle w:val="12"/>
              <w:jc w:val="center"/>
            </w:pPr>
            <w:r>
              <w:rPr>
                <w:rFonts w:hint="eastAsia"/>
              </w:rPr>
              <w:t>王雄钧</w:t>
            </w:r>
          </w:p>
        </w:tc>
        <w:tc>
          <w:tcPr>
            <w:tcW w:w="388" w:type="pct"/>
            <w:vAlign w:val="center"/>
          </w:tcPr>
          <w:p w14:paraId="20300A2C">
            <w:pPr>
              <w:pStyle w:val="12"/>
              <w:jc w:val="center"/>
            </w:pPr>
            <w:r>
              <w:rPr>
                <w:rFonts w:hint="eastAsia"/>
              </w:rPr>
              <w:t>男</w:t>
            </w:r>
          </w:p>
        </w:tc>
        <w:tc>
          <w:tcPr>
            <w:tcW w:w="582" w:type="pct"/>
            <w:vAlign w:val="center"/>
          </w:tcPr>
          <w:p w14:paraId="1F629BC4">
            <w:pPr>
              <w:pStyle w:val="12"/>
              <w:jc w:val="center"/>
            </w:pPr>
            <w:r>
              <w:rPr>
                <w:rFonts w:hint="eastAsia"/>
              </w:rPr>
              <w:t>1922年</w:t>
            </w:r>
          </w:p>
        </w:tc>
        <w:tc>
          <w:tcPr>
            <w:tcW w:w="582" w:type="pct"/>
            <w:vAlign w:val="center"/>
          </w:tcPr>
          <w:p w14:paraId="605FCE3C">
            <w:pPr>
              <w:pStyle w:val="12"/>
              <w:jc w:val="center"/>
            </w:pPr>
            <w:r>
              <w:rPr>
                <w:rFonts w:hint="eastAsia"/>
              </w:rPr>
              <w:t>邓坊镇</w:t>
            </w:r>
          </w:p>
        </w:tc>
        <w:tc>
          <w:tcPr>
            <w:tcW w:w="582" w:type="pct"/>
            <w:vAlign w:val="center"/>
          </w:tcPr>
          <w:p w14:paraId="1AD7A97A">
            <w:pPr>
              <w:pStyle w:val="12"/>
              <w:jc w:val="center"/>
            </w:pPr>
            <w:r>
              <w:rPr>
                <w:rFonts w:hint="eastAsia"/>
              </w:rPr>
              <w:t>1943年</w:t>
            </w:r>
          </w:p>
        </w:tc>
        <w:tc>
          <w:tcPr>
            <w:tcW w:w="1066" w:type="pct"/>
            <w:vAlign w:val="center"/>
          </w:tcPr>
          <w:p w14:paraId="20B600FE">
            <w:pPr>
              <w:pStyle w:val="12"/>
              <w:jc w:val="center"/>
              <w:rPr>
                <w:rFonts w:ascii="宋体" w:hAnsi="宋体" w:cs="宋体"/>
              </w:rPr>
            </w:pPr>
            <w:r>
              <w:rPr>
                <w:rFonts w:hint="eastAsia"/>
              </w:rPr>
              <w:t>北江第二支</w:t>
            </w:r>
          </w:p>
          <w:p w14:paraId="585764CB">
            <w:pPr>
              <w:pStyle w:val="12"/>
              <w:jc w:val="center"/>
            </w:pPr>
            <w:r>
              <w:rPr>
                <w:rFonts w:hint="eastAsia" w:ascii="宋体" w:hAnsi="宋体" w:cs="宋体"/>
              </w:rPr>
              <w:t>队通讯员</w:t>
            </w:r>
          </w:p>
        </w:tc>
        <w:tc>
          <w:tcPr>
            <w:tcW w:w="1162" w:type="pct"/>
            <w:vAlign w:val="center"/>
          </w:tcPr>
          <w:p w14:paraId="77DADADC">
            <w:pPr>
              <w:pStyle w:val="12"/>
              <w:jc w:val="left"/>
            </w:pPr>
            <w:r>
              <w:rPr>
                <w:rFonts w:hint="eastAsia"/>
              </w:rPr>
              <w:t>1948年春在江西大余县份子坑被捕，在大余县城郊就义</w:t>
            </w:r>
          </w:p>
        </w:tc>
      </w:tr>
      <w:tr w14:paraId="3B0B62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81E6F9A">
            <w:pPr>
              <w:pStyle w:val="12"/>
              <w:jc w:val="center"/>
            </w:pPr>
            <w:r>
              <w:rPr>
                <w:rFonts w:hint="eastAsia"/>
              </w:rPr>
              <w:t>廖  坤</w:t>
            </w:r>
            <w:r>
              <w:rPr>
                <w:rFonts w:hint="eastAsia" w:ascii="宋体" w:hAnsi="宋体" w:cs="宋体"/>
              </w:rPr>
              <w:t>（辉荣）</w:t>
            </w:r>
          </w:p>
        </w:tc>
        <w:tc>
          <w:tcPr>
            <w:tcW w:w="388" w:type="pct"/>
            <w:vAlign w:val="center"/>
          </w:tcPr>
          <w:p w14:paraId="6F26E4C6">
            <w:pPr>
              <w:pStyle w:val="12"/>
              <w:jc w:val="center"/>
            </w:pPr>
            <w:r>
              <w:rPr>
                <w:rFonts w:hint="eastAsia"/>
              </w:rPr>
              <w:t>男</w:t>
            </w:r>
          </w:p>
        </w:tc>
        <w:tc>
          <w:tcPr>
            <w:tcW w:w="582" w:type="pct"/>
            <w:vAlign w:val="center"/>
          </w:tcPr>
          <w:p w14:paraId="785E858D">
            <w:pPr>
              <w:pStyle w:val="12"/>
              <w:jc w:val="center"/>
            </w:pPr>
            <w:r>
              <w:rPr>
                <w:rFonts w:hint="eastAsia"/>
              </w:rPr>
              <w:t>1909年</w:t>
            </w:r>
          </w:p>
        </w:tc>
        <w:tc>
          <w:tcPr>
            <w:tcW w:w="582" w:type="pct"/>
            <w:vAlign w:val="center"/>
          </w:tcPr>
          <w:p w14:paraId="7DEF57F6">
            <w:pPr>
              <w:pStyle w:val="12"/>
              <w:jc w:val="center"/>
            </w:pPr>
            <w:r>
              <w:rPr>
                <w:rFonts w:hint="eastAsia"/>
              </w:rPr>
              <w:t>古市镇</w:t>
            </w:r>
          </w:p>
        </w:tc>
        <w:tc>
          <w:tcPr>
            <w:tcW w:w="582" w:type="pct"/>
            <w:vAlign w:val="center"/>
          </w:tcPr>
          <w:p w14:paraId="581DD429">
            <w:pPr>
              <w:pStyle w:val="12"/>
              <w:jc w:val="center"/>
            </w:pPr>
            <w:r>
              <w:rPr>
                <w:rFonts w:hint="eastAsia"/>
              </w:rPr>
              <w:t>1940年</w:t>
            </w:r>
          </w:p>
        </w:tc>
        <w:tc>
          <w:tcPr>
            <w:tcW w:w="1066" w:type="pct"/>
            <w:vAlign w:val="center"/>
          </w:tcPr>
          <w:p w14:paraId="5F776E94">
            <w:pPr>
              <w:pStyle w:val="12"/>
              <w:jc w:val="center"/>
              <w:rPr>
                <w:rFonts w:ascii="宋体" w:hAnsi="宋体" w:cs="宋体"/>
              </w:rPr>
            </w:pPr>
            <w:r>
              <w:rPr>
                <w:rFonts w:hint="eastAsia"/>
              </w:rPr>
              <w:t>中国人民解</w:t>
            </w:r>
          </w:p>
          <w:p w14:paraId="0529ADAA">
            <w:pPr>
              <w:pStyle w:val="12"/>
              <w:jc w:val="center"/>
            </w:pPr>
            <w:r>
              <w:rPr>
                <w:rFonts w:hint="eastAsia" w:ascii="宋体" w:hAnsi="宋体" w:cs="宋体"/>
              </w:rPr>
              <w:t>放军连长</w:t>
            </w:r>
          </w:p>
        </w:tc>
        <w:tc>
          <w:tcPr>
            <w:tcW w:w="1162" w:type="pct"/>
            <w:vAlign w:val="center"/>
          </w:tcPr>
          <w:p w14:paraId="5164CA1B">
            <w:pPr>
              <w:pStyle w:val="12"/>
              <w:jc w:val="left"/>
            </w:pPr>
            <w:r>
              <w:rPr>
                <w:rFonts w:hint="eastAsia"/>
              </w:rPr>
              <w:t>1948年在淮海战役中牺牲</w:t>
            </w:r>
          </w:p>
        </w:tc>
      </w:tr>
      <w:tr w14:paraId="61BB18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1F60717">
            <w:pPr>
              <w:pStyle w:val="12"/>
              <w:jc w:val="center"/>
            </w:pPr>
            <w:r>
              <w:rPr>
                <w:rFonts w:hint="eastAsia"/>
              </w:rPr>
              <w:t>胡辉绣</w:t>
            </w:r>
          </w:p>
        </w:tc>
        <w:tc>
          <w:tcPr>
            <w:tcW w:w="388" w:type="pct"/>
            <w:vAlign w:val="center"/>
          </w:tcPr>
          <w:p w14:paraId="4B1A2894">
            <w:pPr>
              <w:pStyle w:val="12"/>
              <w:jc w:val="center"/>
            </w:pPr>
            <w:r>
              <w:rPr>
                <w:rFonts w:hint="eastAsia"/>
              </w:rPr>
              <w:t>男</w:t>
            </w:r>
          </w:p>
        </w:tc>
        <w:tc>
          <w:tcPr>
            <w:tcW w:w="582" w:type="pct"/>
            <w:vAlign w:val="center"/>
          </w:tcPr>
          <w:p w14:paraId="75C2036A">
            <w:pPr>
              <w:pStyle w:val="12"/>
              <w:jc w:val="center"/>
            </w:pPr>
            <w:r>
              <w:rPr>
                <w:rFonts w:hint="eastAsia"/>
              </w:rPr>
              <w:t>1927年</w:t>
            </w:r>
          </w:p>
        </w:tc>
        <w:tc>
          <w:tcPr>
            <w:tcW w:w="582" w:type="pct"/>
            <w:vAlign w:val="center"/>
          </w:tcPr>
          <w:p w14:paraId="7ECEEBBA">
            <w:pPr>
              <w:pStyle w:val="12"/>
              <w:jc w:val="center"/>
            </w:pPr>
            <w:r>
              <w:rPr>
                <w:rFonts w:hint="eastAsia"/>
              </w:rPr>
              <w:t>湖口镇</w:t>
            </w:r>
          </w:p>
        </w:tc>
        <w:tc>
          <w:tcPr>
            <w:tcW w:w="582" w:type="pct"/>
            <w:vAlign w:val="center"/>
          </w:tcPr>
          <w:p w14:paraId="34BEC7FE">
            <w:pPr>
              <w:pStyle w:val="12"/>
              <w:jc w:val="center"/>
            </w:pPr>
            <w:r>
              <w:rPr>
                <w:rFonts w:hint="eastAsia"/>
              </w:rPr>
              <w:t>1947年</w:t>
            </w:r>
          </w:p>
        </w:tc>
        <w:tc>
          <w:tcPr>
            <w:tcW w:w="1066" w:type="pct"/>
            <w:vAlign w:val="center"/>
          </w:tcPr>
          <w:p w14:paraId="6A2EF849">
            <w:pPr>
              <w:pStyle w:val="12"/>
              <w:jc w:val="center"/>
              <w:rPr>
                <w:rFonts w:ascii="宋体" w:hAnsi="宋体" w:cs="宋体"/>
              </w:rPr>
            </w:pPr>
            <w:r>
              <w:rPr>
                <w:rFonts w:hint="eastAsia"/>
              </w:rPr>
              <w:t>北江第二支</w:t>
            </w:r>
          </w:p>
          <w:p w14:paraId="741A7EE2">
            <w:pPr>
              <w:pStyle w:val="12"/>
              <w:jc w:val="center"/>
            </w:pPr>
            <w:r>
              <w:rPr>
                <w:rFonts w:hint="eastAsia" w:ascii="宋体" w:hAnsi="宋体" w:cs="宋体"/>
              </w:rPr>
              <w:t>队  队  员</w:t>
            </w:r>
          </w:p>
        </w:tc>
        <w:tc>
          <w:tcPr>
            <w:tcW w:w="1162" w:type="pct"/>
            <w:vAlign w:val="center"/>
          </w:tcPr>
          <w:p w14:paraId="47C35335">
            <w:pPr>
              <w:pStyle w:val="12"/>
              <w:jc w:val="left"/>
            </w:pPr>
            <w:r>
              <w:rPr>
                <w:rFonts w:hint="eastAsia"/>
              </w:rPr>
              <w:t>1949年在北山战斗牺牲</w:t>
            </w:r>
          </w:p>
        </w:tc>
      </w:tr>
      <w:tr w14:paraId="7E3646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41FE76C">
            <w:pPr>
              <w:pStyle w:val="12"/>
              <w:jc w:val="center"/>
            </w:pPr>
            <w:r>
              <w:rPr>
                <w:rFonts w:hint="eastAsia"/>
              </w:rPr>
              <w:t>吴述滨</w:t>
            </w:r>
          </w:p>
        </w:tc>
        <w:tc>
          <w:tcPr>
            <w:tcW w:w="388" w:type="pct"/>
            <w:vAlign w:val="center"/>
          </w:tcPr>
          <w:p w14:paraId="461C7055">
            <w:pPr>
              <w:pStyle w:val="12"/>
              <w:jc w:val="center"/>
            </w:pPr>
            <w:r>
              <w:rPr>
                <w:rFonts w:hint="eastAsia"/>
              </w:rPr>
              <w:t>男</w:t>
            </w:r>
          </w:p>
        </w:tc>
        <w:tc>
          <w:tcPr>
            <w:tcW w:w="582" w:type="pct"/>
            <w:vAlign w:val="center"/>
          </w:tcPr>
          <w:p w14:paraId="1988FCF0">
            <w:pPr>
              <w:pStyle w:val="12"/>
              <w:jc w:val="center"/>
            </w:pPr>
            <w:r>
              <w:rPr>
                <w:rFonts w:hint="eastAsia"/>
              </w:rPr>
              <w:t>1931年</w:t>
            </w:r>
          </w:p>
        </w:tc>
        <w:tc>
          <w:tcPr>
            <w:tcW w:w="582" w:type="pct"/>
            <w:vAlign w:val="center"/>
          </w:tcPr>
          <w:p w14:paraId="27763F33">
            <w:pPr>
              <w:pStyle w:val="12"/>
              <w:jc w:val="center"/>
            </w:pPr>
            <w:r>
              <w:rPr>
                <w:rFonts w:hint="eastAsia"/>
              </w:rPr>
              <w:t>珠玑镇</w:t>
            </w:r>
          </w:p>
        </w:tc>
        <w:tc>
          <w:tcPr>
            <w:tcW w:w="582" w:type="pct"/>
            <w:vAlign w:val="center"/>
          </w:tcPr>
          <w:p w14:paraId="31BC468B">
            <w:pPr>
              <w:pStyle w:val="12"/>
              <w:jc w:val="center"/>
            </w:pPr>
            <w:r>
              <w:rPr>
                <w:rFonts w:hint="eastAsia"/>
              </w:rPr>
              <w:t>1947年</w:t>
            </w:r>
          </w:p>
        </w:tc>
        <w:tc>
          <w:tcPr>
            <w:tcW w:w="1066" w:type="pct"/>
            <w:vAlign w:val="center"/>
          </w:tcPr>
          <w:p w14:paraId="65936612">
            <w:pPr>
              <w:pStyle w:val="12"/>
              <w:jc w:val="center"/>
              <w:rPr>
                <w:rFonts w:ascii="宋体" w:hAnsi="宋体" w:cs="宋体"/>
              </w:rPr>
            </w:pPr>
            <w:r>
              <w:rPr>
                <w:rFonts w:hint="eastAsia"/>
              </w:rPr>
              <w:t>北江第二支</w:t>
            </w:r>
          </w:p>
          <w:p w14:paraId="1B593B78">
            <w:pPr>
              <w:pStyle w:val="12"/>
              <w:jc w:val="center"/>
            </w:pPr>
            <w:r>
              <w:rPr>
                <w:rFonts w:hint="eastAsia" w:ascii="宋体" w:hAnsi="宋体" w:cs="宋体"/>
              </w:rPr>
              <w:t>队政工员</w:t>
            </w:r>
          </w:p>
        </w:tc>
        <w:tc>
          <w:tcPr>
            <w:tcW w:w="1162" w:type="pct"/>
            <w:vAlign w:val="center"/>
          </w:tcPr>
          <w:p w14:paraId="29882500">
            <w:pPr>
              <w:pStyle w:val="12"/>
              <w:jc w:val="left"/>
            </w:pPr>
            <w:r>
              <w:rPr>
                <w:rFonts w:hint="eastAsia"/>
              </w:rPr>
              <w:t>1947年在帽子峰洞头村战斗牺牲</w:t>
            </w:r>
          </w:p>
        </w:tc>
      </w:tr>
      <w:tr w14:paraId="49E0AF9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FDADB29">
            <w:pPr>
              <w:pStyle w:val="12"/>
              <w:jc w:val="center"/>
            </w:pPr>
            <w:r>
              <w:rPr>
                <w:rFonts w:hint="eastAsia"/>
              </w:rPr>
              <w:t>谢泰明</w:t>
            </w:r>
          </w:p>
        </w:tc>
        <w:tc>
          <w:tcPr>
            <w:tcW w:w="388" w:type="pct"/>
            <w:vAlign w:val="center"/>
          </w:tcPr>
          <w:p w14:paraId="1B50FB2B">
            <w:pPr>
              <w:pStyle w:val="12"/>
              <w:jc w:val="center"/>
            </w:pPr>
            <w:r>
              <w:rPr>
                <w:rFonts w:hint="eastAsia"/>
              </w:rPr>
              <w:t>男</w:t>
            </w:r>
          </w:p>
        </w:tc>
        <w:tc>
          <w:tcPr>
            <w:tcW w:w="582" w:type="pct"/>
            <w:vAlign w:val="center"/>
          </w:tcPr>
          <w:p w14:paraId="679DF2D6">
            <w:pPr>
              <w:pStyle w:val="12"/>
              <w:jc w:val="center"/>
            </w:pPr>
            <w:r>
              <w:rPr>
                <w:rFonts w:hint="eastAsia"/>
              </w:rPr>
              <w:t>1922年</w:t>
            </w:r>
          </w:p>
        </w:tc>
        <w:tc>
          <w:tcPr>
            <w:tcW w:w="582" w:type="pct"/>
            <w:vAlign w:val="center"/>
          </w:tcPr>
          <w:p w14:paraId="2D6C2D71">
            <w:pPr>
              <w:pStyle w:val="12"/>
              <w:jc w:val="center"/>
            </w:pPr>
            <w:r>
              <w:rPr>
                <w:rFonts w:hint="eastAsia"/>
              </w:rPr>
              <w:t>珠玑镇</w:t>
            </w:r>
          </w:p>
        </w:tc>
        <w:tc>
          <w:tcPr>
            <w:tcW w:w="582" w:type="pct"/>
            <w:vAlign w:val="center"/>
          </w:tcPr>
          <w:p w14:paraId="36CC23AE">
            <w:pPr>
              <w:pStyle w:val="12"/>
              <w:jc w:val="center"/>
            </w:pPr>
            <w:r>
              <w:rPr>
                <w:rFonts w:hint="eastAsia"/>
              </w:rPr>
              <w:t>1946年</w:t>
            </w:r>
          </w:p>
        </w:tc>
        <w:tc>
          <w:tcPr>
            <w:tcW w:w="1066" w:type="pct"/>
            <w:vAlign w:val="center"/>
          </w:tcPr>
          <w:p w14:paraId="526EC4E3">
            <w:pPr>
              <w:pStyle w:val="12"/>
              <w:jc w:val="center"/>
              <w:rPr>
                <w:rFonts w:ascii="宋体" w:hAnsi="宋体" w:cs="宋体"/>
              </w:rPr>
            </w:pPr>
            <w:r>
              <w:rPr>
                <w:rFonts w:hint="eastAsia"/>
              </w:rPr>
              <w:t>北江第二支</w:t>
            </w:r>
          </w:p>
          <w:p w14:paraId="722A8CD1">
            <w:pPr>
              <w:pStyle w:val="12"/>
              <w:jc w:val="center"/>
            </w:pPr>
            <w:r>
              <w:rPr>
                <w:rFonts w:hint="eastAsia" w:ascii="宋体" w:hAnsi="宋体" w:cs="宋体"/>
              </w:rPr>
              <w:t>队  队  员</w:t>
            </w:r>
          </w:p>
        </w:tc>
        <w:tc>
          <w:tcPr>
            <w:tcW w:w="1162" w:type="pct"/>
            <w:vAlign w:val="center"/>
          </w:tcPr>
          <w:p w14:paraId="1F75EB47">
            <w:pPr>
              <w:pStyle w:val="12"/>
              <w:jc w:val="left"/>
            </w:pPr>
            <w:r>
              <w:rPr>
                <w:rFonts w:hint="eastAsia"/>
              </w:rPr>
              <w:t>1949年在珠玑下洞被捕，在县城郊就义</w:t>
            </w:r>
          </w:p>
        </w:tc>
      </w:tr>
      <w:tr w14:paraId="77FCDC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BF86E74">
            <w:pPr>
              <w:pStyle w:val="12"/>
              <w:jc w:val="center"/>
            </w:pPr>
            <w:r>
              <w:rPr>
                <w:rFonts w:hint="eastAsia"/>
              </w:rPr>
              <w:t>李  辉</w:t>
            </w:r>
          </w:p>
        </w:tc>
        <w:tc>
          <w:tcPr>
            <w:tcW w:w="388" w:type="pct"/>
            <w:vAlign w:val="center"/>
          </w:tcPr>
          <w:p w14:paraId="55187961">
            <w:pPr>
              <w:pStyle w:val="12"/>
              <w:jc w:val="center"/>
            </w:pPr>
            <w:r>
              <w:rPr>
                <w:rFonts w:hint="eastAsia"/>
              </w:rPr>
              <w:t>男</w:t>
            </w:r>
          </w:p>
        </w:tc>
        <w:tc>
          <w:tcPr>
            <w:tcW w:w="582" w:type="pct"/>
            <w:vAlign w:val="center"/>
          </w:tcPr>
          <w:p w14:paraId="28916420">
            <w:pPr>
              <w:pStyle w:val="12"/>
              <w:jc w:val="center"/>
            </w:pPr>
            <w:r>
              <w:rPr>
                <w:rFonts w:hint="eastAsia"/>
              </w:rPr>
              <w:t>1920年</w:t>
            </w:r>
          </w:p>
        </w:tc>
        <w:tc>
          <w:tcPr>
            <w:tcW w:w="582" w:type="pct"/>
            <w:vAlign w:val="center"/>
          </w:tcPr>
          <w:p w14:paraId="6B160D26">
            <w:pPr>
              <w:pStyle w:val="12"/>
              <w:jc w:val="center"/>
            </w:pPr>
            <w:r>
              <w:rPr>
                <w:rFonts w:hint="eastAsia"/>
              </w:rPr>
              <w:t>珠玑镇</w:t>
            </w:r>
          </w:p>
        </w:tc>
        <w:tc>
          <w:tcPr>
            <w:tcW w:w="582" w:type="pct"/>
            <w:vAlign w:val="center"/>
          </w:tcPr>
          <w:p w14:paraId="1B31CAA8">
            <w:pPr>
              <w:pStyle w:val="12"/>
              <w:jc w:val="center"/>
            </w:pPr>
            <w:r>
              <w:rPr>
                <w:rFonts w:hint="eastAsia"/>
              </w:rPr>
              <w:t>1947年</w:t>
            </w:r>
          </w:p>
        </w:tc>
        <w:tc>
          <w:tcPr>
            <w:tcW w:w="1066" w:type="pct"/>
            <w:vAlign w:val="center"/>
          </w:tcPr>
          <w:p w14:paraId="120D471B">
            <w:pPr>
              <w:pStyle w:val="12"/>
              <w:jc w:val="center"/>
              <w:rPr>
                <w:rFonts w:ascii="宋体" w:hAnsi="宋体" w:cs="宋体"/>
              </w:rPr>
            </w:pPr>
            <w:r>
              <w:rPr>
                <w:rFonts w:hint="eastAsia"/>
              </w:rPr>
              <w:t>中国人民解</w:t>
            </w:r>
          </w:p>
          <w:p w14:paraId="2EDF599C">
            <w:pPr>
              <w:pStyle w:val="12"/>
              <w:jc w:val="center"/>
            </w:pPr>
            <w:r>
              <w:rPr>
                <w:rFonts w:hint="eastAsia" w:ascii="宋体" w:hAnsi="宋体" w:cs="宋体"/>
              </w:rPr>
              <w:t>放军战士</w:t>
            </w:r>
          </w:p>
        </w:tc>
        <w:tc>
          <w:tcPr>
            <w:tcW w:w="1162" w:type="pct"/>
            <w:vAlign w:val="center"/>
          </w:tcPr>
          <w:p w14:paraId="3F2A6D10">
            <w:pPr>
              <w:pStyle w:val="12"/>
              <w:jc w:val="left"/>
            </w:pPr>
            <w:r>
              <w:rPr>
                <w:rFonts w:hint="eastAsia"/>
              </w:rPr>
              <w:t>1949年在湖南省长江剿匪牺牲</w:t>
            </w:r>
          </w:p>
        </w:tc>
      </w:tr>
      <w:tr w14:paraId="370659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5AA3E9B">
            <w:pPr>
              <w:pStyle w:val="12"/>
              <w:jc w:val="center"/>
            </w:pPr>
            <w:r>
              <w:rPr>
                <w:rFonts w:hint="eastAsia"/>
              </w:rPr>
              <w:t>邓事暂</w:t>
            </w:r>
          </w:p>
        </w:tc>
        <w:tc>
          <w:tcPr>
            <w:tcW w:w="388" w:type="pct"/>
            <w:vAlign w:val="center"/>
          </w:tcPr>
          <w:p w14:paraId="581B592B">
            <w:pPr>
              <w:pStyle w:val="12"/>
              <w:jc w:val="center"/>
            </w:pPr>
            <w:r>
              <w:rPr>
                <w:rFonts w:hint="eastAsia"/>
              </w:rPr>
              <w:t>男</w:t>
            </w:r>
          </w:p>
        </w:tc>
        <w:tc>
          <w:tcPr>
            <w:tcW w:w="582" w:type="pct"/>
            <w:vAlign w:val="center"/>
          </w:tcPr>
          <w:p w14:paraId="48DC600D">
            <w:pPr>
              <w:pStyle w:val="12"/>
              <w:jc w:val="center"/>
            </w:pPr>
            <w:r>
              <w:rPr>
                <w:rFonts w:hint="eastAsia"/>
              </w:rPr>
              <w:t>1924年</w:t>
            </w:r>
          </w:p>
        </w:tc>
        <w:tc>
          <w:tcPr>
            <w:tcW w:w="582" w:type="pct"/>
            <w:vAlign w:val="center"/>
          </w:tcPr>
          <w:p w14:paraId="732A018E">
            <w:pPr>
              <w:pStyle w:val="12"/>
              <w:jc w:val="center"/>
            </w:pPr>
            <w:r>
              <w:rPr>
                <w:rFonts w:hint="eastAsia"/>
              </w:rPr>
              <w:t>珠玑镇</w:t>
            </w:r>
          </w:p>
        </w:tc>
        <w:tc>
          <w:tcPr>
            <w:tcW w:w="582" w:type="pct"/>
            <w:vAlign w:val="center"/>
          </w:tcPr>
          <w:p w14:paraId="519DFB34">
            <w:pPr>
              <w:pStyle w:val="12"/>
              <w:jc w:val="center"/>
            </w:pPr>
            <w:r>
              <w:rPr>
                <w:rFonts w:hint="eastAsia"/>
              </w:rPr>
              <w:t>1947年</w:t>
            </w:r>
          </w:p>
        </w:tc>
        <w:tc>
          <w:tcPr>
            <w:tcW w:w="1066" w:type="pct"/>
            <w:vAlign w:val="center"/>
          </w:tcPr>
          <w:p w14:paraId="07142364">
            <w:pPr>
              <w:pStyle w:val="12"/>
              <w:jc w:val="center"/>
              <w:rPr>
                <w:rFonts w:ascii="宋体" w:hAnsi="宋体" w:cs="宋体"/>
              </w:rPr>
            </w:pPr>
            <w:r>
              <w:rPr>
                <w:rFonts w:hint="eastAsia"/>
              </w:rPr>
              <w:t>北江第二支</w:t>
            </w:r>
          </w:p>
          <w:p w14:paraId="40315C74">
            <w:pPr>
              <w:pStyle w:val="12"/>
              <w:jc w:val="center"/>
            </w:pPr>
            <w:r>
              <w:rPr>
                <w:rFonts w:hint="eastAsia" w:ascii="宋体" w:hAnsi="宋体" w:cs="宋体"/>
              </w:rPr>
              <w:t>队  队  员</w:t>
            </w:r>
          </w:p>
        </w:tc>
        <w:tc>
          <w:tcPr>
            <w:tcW w:w="1162" w:type="pct"/>
            <w:vAlign w:val="center"/>
          </w:tcPr>
          <w:p w14:paraId="610139DA">
            <w:pPr>
              <w:pStyle w:val="12"/>
              <w:jc w:val="left"/>
            </w:pPr>
            <w:r>
              <w:rPr>
                <w:rFonts w:hint="eastAsia"/>
              </w:rPr>
              <w:t>1949年1月在帽子峰战斗牺牲</w:t>
            </w:r>
          </w:p>
        </w:tc>
      </w:tr>
      <w:tr w14:paraId="6C22F3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AE9AA4D">
            <w:pPr>
              <w:pStyle w:val="12"/>
              <w:jc w:val="center"/>
            </w:pPr>
            <w:r>
              <w:rPr>
                <w:rFonts w:hint="eastAsia"/>
              </w:rPr>
              <w:t>唐子俊</w:t>
            </w:r>
          </w:p>
        </w:tc>
        <w:tc>
          <w:tcPr>
            <w:tcW w:w="388" w:type="pct"/>
            <w:vAlign w:val="center"/>
          </w:tcPr>
          <w:p w14:paraId="5F25996D">
            <w:pPr>
              <w:pStyle w:val="12"/>
              <w:jc w:val="center"/>
            </w:pPr>
            <w:r>
              <w:rPr>
                <w:rFonts w:hint="eastAsia"/>
              </w:rPr>
              <w:t>男</w:t>
            </w:r>
          </w:p>
        </w:tc>
        <w:tc>
          <w:tcPr>
            <w:tcW w:w="582" w:type="pct"/>
            <w:vAlign w:val="center"/>
          </w:tcPr>
          <w:p w14:paraId="29121BC6">
            <w:pPr>
              <w:pStyle w:val="12"/>
              <w:jc w:val="center"/>
            </w:pPr>
            <w:r>
              <w:rPr>
                <w:rFonts w:hint="eastAsia"/>
              </w:rPr>
              <w:t>1919年</w:t>
            </w:r>
          </w:p>
        </w:tc>
        <w:tc>
          <w:tcPr>
            <w:tcW w:w="582" w:type="pct"/>
            <w:vAlign w:val="center"/>
          </w:tcPr>
          <w:p w14:paraId="101E7D4C">
            <w:pPr>
              <w:pStyle w:val="12"/>
              <w:jc w:val="center"/>
            </w:pPr>
            <w:r>
              <w:rPr>
                <w:rFonts w:hint="eastAsia"/>
              </w:rPr>
              <w:t>雄州镇</w:t>
            </w:r>
          </w:p>
        </w:tc>
        <w:tc>
          <w:tcPr>
            <w:tcW w:w="582" w:type="pct"/>
            <w:vAlign w:val="center"/>
          </w:tcPr>
          <w:p w14:paraId="70EC45A0">
            <w:pPr>
              <w:pStyle w:val="12"/>
              <w:jc w:val="center"/>
            </w:pPr>
            <w:r>
              <w:rPr>
                <w:rFonts w:hint="eastAsia"/>
              </w:rPr>
              <w:t>1947年</w:t>
            </w:r>
          </w:p>
        </w:tc>
        <w:tc>
          <w:tcPr>
            <w:tcW w:w="1066" w:type="pct"/>
            <w:vAlign w:val="center"/>
          </w:tcPr>
          <w:p w14:paraId="35AEBE34">
            <w:pPr>
              <w:pStyle w:val="12"/>
              <w:jc w:val="center"/>
              <w:rPr>
                <w:rFonts w:ascii="宋体" w:hAnsi="宋体" w:cs="宋体"/>
              </w:rPr>
            </w:pPr>
            <w:r>
              <w:rPr>
                <w:rFonts w:hint="eastAsia"/>
              </w:rPr>
              <w:t>北江第二支</w:t>
            </w:r>
          </w:p>
          <w:p w14:paraId="7EE410B3">
            <w:pPr>
              <w:pStyle w:val="12"/>
              <w:jc w:val="center"/>
            </w:pPr>
            <w:r>
              <w:rPr>
                <w:rFonts w:hint="eastAsia" w:ascii="宋体" w:hAnsi="宋体" w:cs="宋体"/>
              </w:rPr>
              <w:t>队  队  员</w:t>
            </w:r>
          </w:p>
        </w:tc>
        <w:tc>
          <w:tcPr>
            <w:tcW w:w="1162" w:type="pct"/>
            <w:vAlign w:val="center"/>
          </w:tcPr>
          <w:p w14:paraId="1B57D90F">
            <w:pPr>
              <w:pStyle w:val="12"/>
              <w:jc w:val="left"/>
            </w:pPr>
            <w:r>
              <w:rPr>
                <w:rFonts w:hint="eastAsia"/>
              </w:rPr>
              <w:t>1949年1月15日被捕，在县城郊就义</w:t>
            </w:r>
          </w:p>
        </w:tc>
      </w:tr>
      <w:tr w14:paraId="33FC7D0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7A5ABF7">
            <w:pPr>
              <w:pStyle w:val="12"/>
              <w:jc w:val="center"/>
            </w:pPr>
            <w:r>
              <w:rPr>
                <w:rFonts w:hint="eastAsia"/>
              </w:rPr>
              <w:t>张清泉</w:t>
            </w:r>
          </w:p>
        </w:tc>
        <w:tc>
          <w:tcPr>
            <w:tcW w:w="388" w:type="pct"/>
            <w:vAlign w:val="center"/>
          </w:tcPr>
          <w:p w14:paraId="3513067B">
            <w:pPr>
              <w:pStyle w:val="12"/>
              <w:jc w:val="center"/>
            </w:pPr>
            <w:r>
              <w:rPr>
                <w:rFonts w:hint="eastAsia"/>
              </w:rPr>
              <w:t>男</w:t>
            </w:r>
          </w:p>
        </w:tc>
        <w:tc>
          <w:tcPr>
            <w:tcW w:w="582" w:type="pct"/>
            <w:vAlign w:val="center"/>
          </w:tcPr>
          <w:p w14:paraId="266C9BC9">
            <w:pPr>
              <w:pStyle w:val="12"/>
              <w:jc w:val="center"/>
            </w:pPr>
            <w:r>
              <w:rPr>
                <w:rFonts w:hint="eastAsia"/>
              </w:rPr>
              <w:t>1913年</w:t>
            </w:r>
          </w:p>
        </w:tc>
        <w:tc>
          <w:tcPr>
            <w:tcW w:w="582" w:type="pct"/>
            <w:vAlign w:val="center"/>
          </w:tcPr>
          <w:p w14:paraId="3654BCE9">
            <w:pPr>
              <w:pStyle w:val="12"/>
              <w:jc w:val="center"/>
            </w:pPr>
            <w:r>
              <w:rPr>
                <w:rFonts w:hint="eastAsia"/>
              </w:rPr>
              <w:t>雄州镇</w:t>
            </w:r>
          </w:p>
        </w:tc>
        <w:tc>
          <w:tcPr>
            <w:tcW w:w="582" w:type="pct"/>
            <w:vAlign w:val="center"/>
          </w:tcPr>
          <w:p w14:paraId="56EED542">
            <w:pPr>
              <w:pStyle w:val="12"/>
              <w:jc w:val="center"/>
            </w:pPr>
            <w:r>
              <w:rPr>
                <w:rFonts w:hint="eastAsia"/>
              </w:rPr>
              <w:t>1947年2月</w:t>
            </w:r>
          </w:p>
        </w:tc>
        <w:tc>
          <w:tcPr>
            <w:tcW w:w="1066" w:type="pct"/>
            <w:vAlign w:val="center"/>
          </w:tcPr>
          <w:p w14:paraId="04A6C42E">
            <w:pPr>
              <w:pStyle w:val="12"/>
              <w:jc w:val="center"/>
              <w:rPr>
                <w:rFonts w:ascii="宋体" w:hAnsi="宋体" w:cs="宋体"/>
              </w:rPr>
            </w:pPr>
            <w:r>
              <w:rPr>
                <w:rFonts w:hint="eastAsia"/>
              </w:rPr>
              <w:t>北江第二支</w:t>
            </w:r>
          </w:p>
          <w:p w14:paraId="1D45BA58">
            <w:pPr>
              <w:pStyle w:val="12"/>
              <w:jc w:val="center"/>
            </w:pPr>
            <w:r>
              <w:rPr>
                <w:rFonts w:hint="eastAsia" w:ascii="宋体" w:hAnsi="宋体" w:cs="宋体"/>
              </w:rPr>
              <w:t>队  队  员</w:t>
            </w:r>
          </w:p>
        </w:tc>
        <w:tc>
          <w:tcPr>
            <w:tcW w:w="1162" w:type="pct"/>
            <w:vAlign w:val="center"/>
          </w:tcPr>
          <w:p w14:paraId="27F6FC8D">
            <w:pPr>
              <w:pStyle w:val="12"/>
              <w:jc w:val="left"/>
            </w:pPr>
            <w:r>
              <w:rPr>
                <w:rFonts w:hint="eastAsia"/>
              </w:rPr>
              <w:t>1949年3月8日，在县城郊就义</w:t>
            </w:r>
          </w:p>
        </w:tc>
      </w:tr>
      <w:tr w14:paraId="2429A6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6EC48F9">
            <w:pPr>
              <w:pStyle w:val="12"/>
              <w:jc w:val="center"/>
            </w:pPr>
            <w:r>
              <w:rPr>
                <w:rFonts w:hint="eastAsia"/>
              </w:rPr>
              <w:t>邓功光</w:t>
            </w:r>
          </w:p>
        </w:tc>
        <w:tc>
          <w:tcPr>
            <w:tcW w:w="388" w:type="pct"/>
            <w:vAlign w:val="center"/>
          </w:tcPr>
          <w:p w14:paraId="5B2800EF">
            <w:pPr>
              <w:pStyle w:val="12"/>
              <w:jc w:val="center"/>
            </w:pPr>
            <w:r>
              <w:rPr>
                <w:rFonts w:hint="eastAsia"/>
              </w:rPr>
              <w:t>男</w:t>
            </w:r>
          </w:p>
        </w:tc>
        <w:tc>
          <w:tcPr>
            <w:tcW w:w="582" w:type="pct"/>
            <w:vAlign w:val="center"/>
          </w:tcPr>
          <w:p w14:paraId="5ABEAB56">
            <w:pPr>
              <w:pStyle w:val="12"/>
              <w:jc w:val="center"/>
            </w:pPr>
            <w:r>
              <w:rPr>
                <w:rFonts w:hint="eastAsia"/>
              </w:rPr>
              <w:t>1926年</w:t>
            </w:r>
          </w:p>
        </w:tc>
        <w:tc>
          <w:tcPr>
            <w:tcW w:w="582" w:type="pct"/>
            <w:vAlign w:val="center"/>
          </w:tcPr>
          <w:p w14:paraId="3FA791D3">
            <w:pPr>
              <w:pStyle w:val="12"/>
              <w:jc w:val="center"/>
            </w:pPr>
            <w:r>
              <w:rPr>
                <w:rFonts w:hint="eastAsia"/>
              </w:rPr>
              <w:t>邓坊镇</w:t>
            </w:r>
          </w:p>
        </w:tc>
        <w:tc>
          <w:tcPr>
            <w:tcW w:w="582" w:type="pct"/>
            <w:vAlign w:val="center"/>
          </w:tcPr>
          <w:p w14:paraId="6B598063">
            <w:pPr>
              <w:pStyle w:val="12"/>
              <w:jc w:val="center"/>
            </w:pPr>
            <w:r>
              <w:rPr>
                <w:rFonts w:hint="eastAsia"/>
              </w:rPr>
              <w:t>1947年</w:t>
            </w:r>
          </w:p>
        </w:tc>
        <w:tc>
          <w:tcPr>
            <w:tcW w:w="1066" w:type="pct"/>
            <w:vAlign w:val="center"/>
          </w:tcPr>
          <w:p w14:paraId="301E1D6A">
            <w:pPr>
              <w:pStyle w:val="12"/>
              <w:jc w:val="center"/>
              <w:rPr>
                <w:rFonts w:ascii="宋体" w:hAnsi="宋体" w:cs="宋体"/>
              </w:rPr>
            </w:pPr>
            <w:r>
              <w:rPr>
                <w:rFonts w:hint="eastAsia"/>
              </w:rPr>
              <w:t>北江第二支</w:t>
            </w:r>
          </w:p>
          <w:p w14:paraId="7B0A600C">
            <w:pPr>
              <w:pStyle w:val="12"/>
              <w:jc w:val="center"/>
            </w:pPr>
            <w:r>
              <w:rPr>
                <w:rFonts w:hint="eastAsia" w:ascii="宋体" w:hAnsi="宋体" w:cs="宋体"/>
              </w:rPr>
              <w:t>队  队  员</w:t>
            </w:r>
          </w:p>
        </w:tc>
        <w:tc>
          <w:tcPr>
            <w:tcW w:w="1162" w:type="pct"/>
            <w:vAlign w:val="center"/>
          </w:tcPr>
          <w:p w14:paraId="0DCC1E0A">
            <w:pPr>
              <w:pStyle w:val="12"/>
              <w:jc w:val="left"/>
            </w:pPr>
            <w:r>
              <w:rPr>
                <w:rFonts w:hint="eastAsia"/>
              </w:rPr>
              <w:t>1949年在古城迳战斗牺牲</w:t>
            </w:r>
          </w:p>
        </w:tc>
      </w:tr>
      <w:tr w14:paraId="464E8D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7D9F3E0">
            <w:pPr>
              <w:pStyle w:val="12"/>
              <w:jc w:val="center"/>
            </w:pPr>
            <w:r>
              <w:rPr>
                <w:rFonts w:hint="eastAsia"/>
              </w:rPr>
              <w:t>李品行</w:t>
            </w:r>
          </w:p>
        </w:tc>
        <w:tc>
          <w:tcPr>
            <w:tcW w:w="388" w:type="pct"/>
            <w:vAlign w:val="center"/>
          </w:tcPr>
          <w:p w14:paraId="1FA4671A">
            <w:pPr>
              <w:pStyle w:val="12"/>
              <w:jc w:val="center"/>
            </w:pPr>
            <w:r>
              <w:rPr>
                <w:rFonts w:hint="eastAsia"/>
              </w:rPr>
              <w:t>男</w:t>
            </w:r>
          </w:p>
        </w:tc>
        <w:tc>
          <w:tcPr>
            <w:tcW w:w="582" w:type="pct"/>
            <w:vAlign w:val="center"/>
          </w:tcPr>
          <w:p w14:paraId="1BD4ADB4">
            <w:pPr>
              <w:pStyle w:val="12"/>
              <w:jc w:val="center"/>
            </w:pPr>
            <w:r>
              <w:rPr>
                <w:rFonts w:hint="eastAsia"/>
              </w:rPr>
              <w:t>1929年</w:t>
            </w:r>
          </w:p>
        </w:tc>
        <w:tc>
          <w:tcPr>
            <w:tcW w:w="582" w:type="pct"/>
            <w:vAlign w:val="center"/>
          </w:tcPr>
          <w:p w14:paraId="388C4D0D">
            <w:pPr>
              <w:pStyle w:val="12"/>
              <w:jc w:val="center"/>
            </w:pPr>
            <w:r>
              <w:rPr>
                <w:rFonts w:hint="eastAsia"/>
              </w:rPr>
              <w:t>珠玑镇</w:t>
            </w:r>
          </w:p>
        </w:tc>
        <w:tc>
          <w:tcPr>
            <w:tcW w:w="582" w:type="pct"/>
            <w:vAlign w:val="center"/>
          </w:tcPr>
          <w:p w14:paraId="6CCDA68E">
            <w:pPr>
              <w:pStyle w:val="12"/>
              <w:jc w:val="center"/>
            </w:pPr>
            <w:r>
              <w:rPr>
                <w:rFonts w:hint="eastAsia"/>
              </w:rPr>
              <w:t>1947年</w:t>
            </w:r>
          </w:p>
        </w:tc>
        <w:tc>
          <w:tcPr>
            <w:tcW w:w="1066" w:type="pct"/>
            <w:vAlign w:val="center"/>
          </w:tcPr>
          <w:p w14:paraId="74908052">
            <w:pPr>
              <w:pStyle w:val="12"/>
              <w:jc w:val="center"/>
              <w:rPr>
                <w:rFonts w:ascii="宋体" w:hAnsi="宋体" w:cs="宋体"/>
              </w:rPr>
            </w:pPr>
            <w:r>
              <w:rPr>
                <w:rFonts w:hint="eastAsia"/>
              </w:rPr>
              <w:t>北江第二支</w:t>
            </w:r>
          </w:p>
          <w:p w14:paraId="6C8145B3">
            <w:pPr>
              <w:pStyle w:val="12"/>
              <w:jc w:val="center"/>
            </w:pPr>
            <w:r>
              <w:rPr>
                <w:rFonts w:hint="eastAsia" w:ascii="宋体" w:hAnsi="宋体" w:cs="宋体"/>
              </w:rPr>
              <w:t>队  班  长</w:t>
            </w:r>
          </w:p>
        </w:tc>
        <w:tc>
          <w:tcPr>
            <w:tcW w:w="1162" w:type="pct"/>
            <w:vAlign w:val="center"/>
          </w:tcPr>
          <w:p w14:paraId="5806E944">
            <w:pPr>
              <w:pStyle w:val="12"/>
              <w:jc w:val="left"/>
            </w:pPr>
            <w:r>
              <w:rPr>
                <w:rFonts w:hint="eastAsia"/>
              </w:rPr>
              <w:t>1949年在南亩战斗牺牲</w:t>
            </w:r>
          </w:p>
        </w:tc>
      </w:tr>
      <w:tr w14:paraId="138284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9B88651">
            <w:pPr>
              <w:pStyle w:val="12"/>
              <w:jc w:val="center"/>
            </w:pPr>
            <w:r>
              <w:rPr>
                <w:rFonts w:hint="eastAsia"/>
              </w:rPr>
              <w:t>郭光明</w:t>
            </w:r>
          </w:p>
        </w:tc>
        <w:tc>
          <w:tcPr>
            <w:tcW w:w="388" w:type="pct"/>
            <w:vAlign w:val="center"/>
          </w:tcPr>
          <w:p w14:paraId="7FE9EBA5">
            <w:pPr>
              <w:pStyle w:val="12"/>
              <w:jc w:val="center"/>
            </w:pPr>
            <w:r>
              <w:rPr>
                <w:rFonts w:hint="eastAsia"/>
              </w:rPr>
              <w:t>男</w:t>
            </w:r>
          </w:p>
        </w:tc>
        <w:tc>
          <w:tcPr>
            <w:tcW w:w="582" w:type="pct"/>
            <w:vAlign w:val="center"/>
          </w:tcPr>
          <w:p w14:paraId="67FB864D">
            <w:pPr>
              <w:pStyle w:val="12"/>
              <w:jc w:val="center"/>
            </w:pPr>
            <w:r>
              <w:rPr>
                <w:rFonts w:hint="eastAsia"/>
              </w:rPr>
              <w:t>1921年</w:t>
            </w:r>
          </w:p>
        </w:tc>
        <w:tc>
          <w:tcPr>
            <w:tcW w:w="582" w:type="pct"/>
            <w:vAlign w:val="center"/>
          </w:tcPr>
          <w:p w14:paraId="7CC0B3E1">
            <w:pPr>
              <w:pStyle w:val="12"/>
              <w:jc w:val="center"/>
            </w:pPr>
            <w:r>
              <w:rPr>
                <w:rFonts w:hint="eastAsia"/>
              </w:rPr>
              <w:t>油山镇</w:t>
            </w:r>
          </w:p>
        </w:tc>
        <w:tc>
          <w:tcPr>
            <w:tcW w:w="582" w:type="pct"/>
            <w:vAlign w:val="center"/>
          </w:tcPr>
          <w:p w14:paraId="1CE2690C">
            <w:pPr>
              <w:pStyle w:val="12"/>
              <w:jc w:val="center"/>
            </w:pPr>
            <w:r>
              <w:rPr>
                <w:rFonts w:hint="eastAsia"/>
              </w:rPr>
              <w:t>1947年</w:t>
            </w:r>
          </w:p>
        </w:tc>
        <w:tc>
          <w:tcPr>
            <w:tcW w:w="1066" w:type="pct"/>
            <w:vAlign w:val="center"/>
          </w:tcPr>
          <w:p w14:paraId="04DB69CF">
            <w:pPr>
              <w:pStyle w:val="12"/>
              <w:jc w:val="center"/>
              <w:rPr>
                <w:rFonts w:ascii="宋体" w:hAnsi="宋体" w:cs="宋体"/>
              </w:rPr>
            </w:pPr>
            <w:r>
              <w:rPr>
                <w:rFonts w:hint="eastAsia"/>
              </w:rPr>
              <w:t>北江第二支</w:t>
            </w:r>
          </w:p>
          <w:p w14:paraId="3490AA96">
            <w:pPr>
              <w:pStyle w:val="12"/>
              <w:jc w:val="center"/>
            </w:pPr>
            <w:r>
              <w:rPr>
                <w:rFonts w:hint="eastAsia" w:ascii="宋体" w:hAnsi="宋体" w:cs="宋体"/>
              </w:rPr>
              <w:t>队中队长</w:t>
            </w:r>
          </w:p>
        </w:tc>
        <w:tc>
          <w:tcPr>
            <w:tcW w:w="1162" w:type="pct"/>
            <w:vAlign w:val="center"/>
          </w:tcPr>
          <w:p w14:paraId="11AD3EEA">
            <w:pPr>
              <w:pStyle w:val="12"/>
              <w:jc w:val="left"/>
            </w:pPr>
            <w:r>
              <w:rPr>
                <w:rFonts w:hint="eastAsia"/>
              </w:rPr>
              <w:t>1949年在大余县被捕牺牲</w:t>
            </w:r>
          </w:p>
        </w:tc>
      </w:tr>
      <w:tr w14:paraId="00DAB9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4DC5C6A">
            <w:pPr>
              <w:pStyle w:val="12"/>
              <w:jc w:val="center"/>
            </w:pPr>
            <w:r>
              <w:rPr>
                <w:rFonts w:hint="eastAsia"/>
              </w:rPr>
              <w:t>廖文金</w:t>
            </w:r>
          </w:p>
        </w:tc>
        <w:tc>
          <w:tcPr>
            <w:tcW w:w="388" w:type="pct"/>
            <w:vAlign w:val="center"/>
          </w:tcPr>
          <w:p w14:paraId="27D584C0">
            <w:pPr>
              <w:pStyle w:val="12"/>
              <w:jc w:val="center"/>
            </w:pPr>
            <w:r>
              <w:rPr>
                <w:rFonts w:hint="eastAsia"/>
              </w:rPr>
              <w:t>男</w:t>
            </w:r>
          </w:p>
        </w:tc>
        <w:tc>
          <w:tcPr>
            <w:tcW w:w="582" w:type="pct"/>
            <w:vAlign w:val="center"/>
          </w:tcPr>
          <w:p w14:paraId="2BCC828C">
            <w:pPr>
              <w:pStyle w:val="12"/>
              <w:jc w:val="center"/>
            </w:pPr>
            <w:r>
              <w:rPr>
                <w:rFonts w:hint="eastAsia"/>
              </w:rPr>
              <w:t>1931年</w:t>
            </w:r>
          </w:p>
        </w:tc>
        <w:tc>
          <w:tcPr>
            <w:tcW w:w="582" w:type="pct"/>
            <w:vAlign w:val="center"/>
          </w:tcPr>
          <w:p w14:paraId="272A77E5">
            <w:pPr>
              <w:pStyle w:val="12"/>
              <w:jc w:val="center"/>
            </w:pPr>
            <w:r>
              <w:rPr>
                <w:rFonts w:hint="eastAsia"/>
              </w:rPr>
              <w:t>黄坑镇</w:t>
            </w:r>
          </w:p>
        </w:tc>
        <w:tc>
          <w:tcPr>
            <w:tcW w:w="582" w:type="pct"/>
            <w:vAlign w:val="center"/>
          </w:tcPr>
          <w:p w14:paraId="5F22F471">
            <w:pPr>
              <w:pStyle w:val="12"/>
              <w:jc w:val="center"/>
            </w:pPr>
            <w:r>
              <w:rPr>
                <w:rFonts w:hint="eastAsia"/>
              </w:rPr>
              <w:t>1946年</w:t>
            </w:r>
          </w:p>
        </w:tc>
        <w:tc>
          <w:tcPr>
            <w:tcW w:w="1066" w:type="pct"/>
            <w:vAlign w:val="center"/>
          </w:tcPr>
          <w:p w14:paraId="7F4C1A72">
            <w:pPr>
              <w:pStyle w:val="12"/>
              <w:jc w:val="center"/>
              <w:rPr>
                <w:rFonts w:ascii="宋体" w:hAnsi="宋体" w:cs="宋体"/>
              </w:rPr>
            </w:pPr>
            <w:r>
              <w:rPr>
                <w:rFonts w:hint="eastAsia"/>
              </w:rPr>
              <w:t>北江第二支</w:t>
            </w:r>
          </w:p>
          <w:p w14:paraId="1C1CA506">
            <w:pPr>
              <w:pStyle w:val="12"/>
              <w:jc w:val="center"/>
            </w:pPr>
            <w:r>
              <w:rPr>
                <w:rFonts w:hint="eastAsia" w:ascii="宋体" w:hAnsi="宋体" w:cs="宋体"/>
              </w:rPr>
              <w:t>队  队  员</w:t>
            </w:r>
          </w:p>
        </w:tc>
        <w:tc>
          <w:tcPr>
            <w:tcW w:w="1162" w:type="pct"/>
            <w:vAlign w:val="center"/>
          </w:tcPr>
          <w:p w14:paraId="60ECABFC">
            <w:pPr>
              <w:pStyle w:val="12"/>
              <w:jc w:val="left"/>
            </w:pPr>
            <w:r>
              <w:rPr>
                <w:rFonts w:hint="eastAsia"/>
              </w:rPr>
              <w:t>1949年3月在乌迳江口被捕就义</w:t>
            </w:r>
          </w:p>
        </w:tc>
      </w:tr>
      <w:tr w14:paraId="4C8D42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AF70DDC">
            <w:pPr>
              <w:pStyle w:val="12"/>
              <w:jc w:val="center"/>
            </w:pPr>
            <w:r>
              <w:rPr>
                <w:rFonts w:hint="eastAsia"/>
              </w:rPr>
              <w:t>杨垂统</w:t>
            </w:r>
          </w:p>
        </w:tc>
        <w:tc>
          <w:tcPr>
            <w:tcW w:w="388" w:type="pct"/>
            <w:vAlign w:val="center"/>
          </w:tcPr>
          <w:p w14:paraId="7018547B">
            <w:pPr>
              <w:pStyle w:val="12"/>
              <w:jc w:val="center"/>
            </w:pPr>
            <w:r>
              <w:rPr>
                <w:rFonts w:hint="eastAsia"/>
              </w:rPr>
              <w:t>男</w:t>
            </w:r>
          </w:p>
        </w:tc>
        <w:tc>
          <w:tcPr>
            <w:tcW w:w="582" w:type="pct"/>
            <w:vAlign w:val="center"/>
          </w:tcPr>
          <w:p w14:paraId="72537A0B">
            <w:pPr>
              <w:pStyle w:val="12"/>
              <w:jc w:val="center"/>
            </w:pPr>
            <w:r>
              <w:rPr>
                <w:rFonts w:hint="eastAsia"/>
              </w:rPr>
              <w:t>1923年</w:t>
            </w:r>
          </w:p>
        </w:tc>
        <w:tc>
          <w:tcPr>
            <w:tcW w:w="582" w:type="pct"/>
            <w:vAlign w:val="center"/>
          </w:tcPr>
          <w:p w14:paraId="303C6123">
            <w:pPr>
              <w:pStyle w:val="12"/>
              <w:jc w:val="center"/>
            </w:pPr>
            <w:r>
              <w:rPr>
                <w:rFonts w:hint="eastAsia"/>
              </w:rPr>
              <w:t>黄坑镇</w:t>
            </w:r>
          </w:p>
        </w:tc>
        <w:tc>
          <w:tcPr>
            <w:tcW w:w="582" w:type="pct"/>
            <w:vAlign w:val="center"/>
          </w:tcPr>
          <w:p w14:paraId="42662CB9">
            <w:pPr>
              <w:pStyle w:val="12"/>
              <w:jc w:val="center"/>
            </w:pPr>
            <w:r>
              <w:rPr>
                <w:rFonts w:hint="eastAsia"/>
              </w:rPr>
              <w:t>1946年</w:t>
            </w:r>
          </w:p>
        </w:tc>
        <w:tc>
          <w:tcPr>
            <w:tcW w:w="1066" w:type="pct"/>
            <w:vAlign w:val="center"/>
          </w:tcPr>
          <w:p w14:paraId="2B106F4A">
            <w:pPr>
              <w:pStyle w:val="12"/>
              <w:jc w:val="center"/>
              <w:rPr>
                <w:rFonts w:ascii="宋体" w:hAnsi="宋体" w:cs="宋体"/>
              </w:rPr>
            </w:pPr>
            <w:r>
              <w:rPr>
                <w:rFonts w:hint="eastAsia"/>
              </w:rPr>
              <w:t>北江第二支</w:t>
            </w:r>
          </w:p>
          <w:p w14:paraId="7B299EC3">
            <w:pPr>
              <w:pStyle w:val="12"/>
              <w:jc w:val="center"/>
            </w:pPr>
            <w:r>
              <w:rPr>
                <w:rFonts w:hint="eastAsia" w:ascii="宋体" w:hAnsi="宋体" w:cs="宋体"/>
              </w:rPr>
              <w:t>队  队  员</w:t>
            </w:r>
          </w:p>
        </w:tc>
        <w:tc>
          <w:tcPr>
            <w:tcW w:w="1162" w:type="pct"/>
            <w:vAlign w:val="center"/>
          </w:tcPr>
          <w:p w14:paraId="353A8A86">
            <w:pPr>
              <w:pStyle w:val="12"/>
              <w:jc w:val="left"/>
            </w:pPr>
            <w:r>
              <w:rPr>
                <w:rFonts w:hint="eastAsia"/>
              </w:rPr>
              <w:t>1949年3月在油山埋地雷牺牲</w:t>
            </w:r>
          </w:p>
        </w:tc>
      </w:tr>
      <w:tr w14:paraId="36B8FE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4AD082F">
            <w:pPr>
              <w:pStyle w:val="12"/>
              <w:jc w:val="center"/>
            </w:pPr>
            <w:r>
              <w:rPr>
                <w:rFonts w:hint="eastAsia"/>
              </w:rPr>
              <w:t>梁志渊</w:t>
            </w:r>
          </w:p>
        </w:tc>
        <w:tc>
          <w:tcPr>
            <w:tcW w:w="388" w:type="pct"/>
            <w:vAlign w:val="center"/>
          </w:tcPr>
          <w:p w14:paraId="11E0A7E3">
            <w:pPr>
              <w:pStyle w:val="12"/>
              <w:jc w:val="center"/>
            </w:pPr>
            <w:r>
              <w:rPr>
                <w:rFonts w:hint="eastAsia"/>
              </w:rPr>
              <w:t>男</w:t>
            </w:r>
          </w:p>
        </w:tc>
        <w:tc>
          <w:tcPr>
            <w:tcW w:w="582" w:type="pct"/>
            <w:vAlign w:val="center"/>
          </w:tcPr>
          <w:p w14:paraId="3E4FBA0D">
            <w:pPr>
              <w:pStyle w:val="12"/>
              <w:jc w:val="center"/>
            </w:pPr>
            <w:r>
              <w:rPr>
                <w:rFonts w:hint="eastAsia"/>
              </w:rPr>
              <w:t>1915年</w:t>
            </w:r>
          </w:p>
        </w:tc>
        <w:tc>
          <w:tcPr>
            <w:tcW w:w="582" w:type="pct"/>
            <w:vAlign w:val="center"/>
          </w:tcPr>
          <w:p w14:paraId="19264E94">
            <w:pPr>
              <w:pStyle w:val="12"/>
              <w:jc w:val="center"/>
            </w:pPr>
            <w:r>
              <w:rPr>
                <w:rFonts w:hint="eastAsia"/>
              </w:rPr>
              <w:t>雄州镇</w:t>
            </w:r>
          </w:p>
        </w:tc>
        <w:tc>
          <w:tcPr>
            <w:tcW w:w="582" w:type="pct"/>
            <w:vAlign w:val="center"/>
          </w:tcPr>
          <w:p w14:paraId="00E17E52">
            <w:pPr>
              <w:pStyle w:val="12"/>
              <w:jc w:val="center"/>
            </w:pPr>
            <w:r>
              <w:rPr>
                <w:rFonts w:hint="eastAsia"/>
              </w:rPr>
              <w:t>1947年</w:t>
            </w:r>
          </w:p>
        </w:tc>
        <w:tc>
          <w:tcPr>
            <w:tcW w:w="1066" w:type="pct"/>
            <w:vAlign w:val="center"/>
          </w:tcPr>
          <w:p w14:paraId="6CDB9FB7">
            <w:pPr>
              <w:pStyle w:val="12"/>
              <w:jc w:val="center"/>
            </w:pPr>
            <w:r>
              <w:rPr>
                <w:rFonts w:hint="eastAsia"/>
              </w:rPr>
              <w:t>北江第二支队</w:t>
            </w:r>
          </w:p>
          <w:p w14:paraId="2937AAC0">
            <w:pPr>
              <w:pStyle w:val="12"/>
              <w:jc w:val="center"/>
            </w:pPr>
            <w:r>
              <w:rPr>
                <w:rFonts w:hint="eastAsia" w:ascii="宋体" w:hAnsi="宋体" w:cs="宋体"/>
              </w:rPr>
              <w:t>地下工作人员</w:t>
            </w:r>
          </w:p>
        </w:tc>
        <w:tc>
          <w:tcPr>
            <w:tcW w:w="1162" w:type="pct"/>
            <w:vAlign w:val="center"/>
          </w:tcPr>
          <w:p w14:paraId="0C3680FA">
            <w:pPr>
              <w:pStyle w:val="12"/>
              <w:jc w:val="left"/>
            </w:pPr>
            <w:r>
              <w:rPr>
                <w:rFonts w:hint="eastAsia"/>
              </w:rPr>
              <w:t>1949年3月8日，在县城郊就义</w:t>
            </w:r>
          </w:p>
        </w:tc>
      </w:tr>
      <w:tr w14:paraId="648590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9721808">
            <w:pPr>
              <w:pStyle w:val="12"/>
              <w:jc w:val="center"/>
            </w:pPr>
            <w:r>
              <w:rPr>
                <w:rFonts w:hint="eastAsia"/>
              </w:rPr>
              <w:t>吴万辉</w:t>
            </w:r>
          </w:p>
        </w:tc>
        <w:tc>
          <w:tcPr>
            <w:tcW w:w="388" w:type="pct"/>
            <w:vAlign w:val="center"/>
          </w:tcPr>
          <w:p w14:paraId="64D1F2BF">
            <w:pPr>
              <w:pStyle w:val="12"/>
              <w:jc w:val="center"/>
            </w:pPr>
            <w:r>
              <w:rPr>
                <w:rFonts w:hint="eastAsia"/>
              </w:rPr>
              <w:t>男</w:t>
            </w:r>
          </w:p>
        </w:tc>
        <w:tc>
          <w:tcPr>
            <w:tcW w:w="582" w:type="pct"/>
            <w:vAlign w:val="center"/>
          </w:tcPr>
          <w:p w14:paraId="5E677B59">
            <w:pPr>
              <w:pStyle w:val="12"/>
              <w:jc w:val="center"/>
            </w:pPr>
            <w:r>
              <w:rPr>
                <w:rFonts w:hint="eastAsia"/>
              </w:rPr>
              <w:t>1901年</w:t>
            </w:r>
          </w:p>
        </w:tc>
        <w:tc>
          <w:tcPr>
            <w:tcW w:w="582" w:type="pct"/>
            <w:vAlign w:val="center"/>
          </w:tcPr>
          <w:p w14:paraId="765EFF3B">
            <w:pPr>
              <w:pStyle w:val="12"/>
              <w:jc w:val="center"/>
            </w:pPr>
            <w:r>
              <w:rPr>
                <w:rFonts w:hint="eastAsia"/>
              </w:rPr>
              <w:t>油山镇</w:t>
            </w:r>
          </w:p>
        </w:tc>
        <w:tc>
          <w:tcPr>
            <w:tcW w:w="582" w:type="pct"/>
            <w:vAlign w:val="center"/>
          </w:tcPr>
          <w:p w14:paraId="6B3745D0">
            <w:pPr>
              <w:pStyle w:val="12"/>
              <w:jc w:val="center"/>
            </w:pPr>
            <w:r>
              <w:rPr>
                <w:rFonts w:hint="eastAsia"/>
              </w:rPr>
              <w:t>1949年10月</w:t>
            </w:r>
          </w:p>
        </w:tc>
        <w:tc>
          <w:tcPr>
            <w:tcW w:w="1066" w:type="pct"/>
            <w:vAlign w:val="center"/>
          </w:tcPr>
          <w:p w14:paraId="4B978837">
            <w:pPr>
              <w:pStyle w:val="12"/>
              <w:jc w:val="center"/>
              <w:rPr>
                <w:rFonts w:ascii="宋体" w:hAnsi="宋体" w:cs="宋体"/>
              </w:rPr>
            </w:pPr>
            <w:r>
              <w:rPr>
                <w:rFonts w:hint="eastAsia"/>
              </w:rPr>
              <w:t>曲江县黄坑</w:t>
            </w:r>
          </w:p>
          <w:p w14:paraId="15C60567">
            <w:pPr>
              <w:pStyle w:val="12"/>
              <w:jc w:val="center"/>
            </w:pPr>
            <w:r>
              <w:rPr>
                <w:rFonts w:hint="eastAsia" w:ascii="宋体" w:hAnsi="宋体" w:cs="宋体"/>
              </w:rPr>
              <w:t>乡民兵队长</w:t>
            </w:r>
          </w:p>
        </w:tc>
        <w:tc>
          <w:tcPr>
            <w:tcW w:w="1162" w:type="pct"/>
            <w:vAlign w:val="center"/>
          </w:tcPr>
          <w:p w14:paraId="306E2127">
            <w:pPr>
              <w:pStyle w:val="12"/>
              <w:jc w:val="left"/>
            </w:pPr>
            <w:r>
              <w:rPr>
                <w:rFonts w:hint="eastAsia"/>
              </w:rPr>
              <w:t>1949年农历12月，在曲江县黄坑乡政府被土匪杀害</w:t>
            </w:r>
          </w:p>
        </w:tc>
      </w:tr>
      <w:tr w14:paraId="084747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7F8444D">
            <w:pPr>
              <w:pStyle w:val="12"/>
              <w:jc w:val="center"/>
            </w:pPr>
            <w:r>
              <w:rPr>
                <w:rFonts w:hint="eastAsia"/>
              </w:rPr>
              <w:t>陈绪斌</w:t>
            </w:r>
          </w:p>
        </w:tc>
        <w:tc>
          <w:tcPr>
            <w:tcW w:w="388" w:type="pct"/>
            <w:vAlign w:val="center"/>
          </w:tcPr>
          <w:p w14:paraId="0EB13312">
            <w:pPr>
              <w:pStyle w:val="12"/>
              <w:jc w:val="center"/>
            </w:pPr>
            <w:r>
              <w:rPr>
                <w:rFonts w:hint="eastAsia"/>
              </w:rPr>
              <w:t>男</w:t>
            </w:r>
          </w:p>
        </w:tc>
        <w:tc>
          <w:tcPr>
            <w:tcW w:w="582" w:type="pct"/>
            <w:vAlign w:val="center"/>
          </w:tcPr>
          <w:p w14:paraId="3ACB0E66">
            <w:pPr>
              <w:pStyle w:val="12"/>
              <w:jc w:val="center"/>
            </w:pPr>
            <w:r>
              <w:rPr>
                <w:rFonts w:hint="eastAsia"/>
              </w:rPr>
              <w:t>—</w:t>
            </w:r>
          </w:p>
        </w:tc>
        <w:tc>
          <w:tcPr>
            <w:tcW w:w="582" w:type="pct"/>
            <w:vAlign w:val="center"/>
          </w:tcPr>
          <w:p w14:paraId="790EE5FE">
            <w:pPr>
              <w:pStyle w:val="12"/>
              <w:jc w:val="center"/>
            </w:pPr>
            <w:r>
              <w:rPr>
                <w:rFonts w:hint="eastAsia"/>
              </w:rPr>
              <w:t>油山镇</w:t>
            </w:r>
          </w:p>
        </w:tc>
        <w:tc>
          <w:tcPr>
            <w:tcW w:w="582" w:type="pct"/>
            <w:vAlign w:val="center"/>
          </w:tcPr>
          <w:p w14:paraId="688A43AF">
            <w:pPr>
              <w:pStyle w:val="12"/>
              <w:jc w:val="center"/>
            </w:pPr>
            <w:r>
              <w:rPr>
                <w:rFonts w:hint="eastAsia"/>
              </w:rPr>
              <w:t>1947年7月</w:t>
            </w:r>
          </w:p>
        </w:tc>
        <w:tc>
          <w:tcPr>
            <w:tcW w:w="1066" w:type="pct"/>
            <w:vAlign w:val="center"/>
          </w:tcPr>
          <w:p w14:paraId="2AC31E85">
            <w:pPr>
              <w:pStyle w:val="12"/>
              <w:jc w:val="center"/>
              <w:rPr>
                <w:rFonts w:ascii="宋体" w:hAnsi="宋体" w:cs="宋体"/>
              </w:rPr>
            </w:pPr>
            <w:r>
              <w:rPr>
                <w:rFonts w:hint="eastAsia"/>
              </w:rPr>
              <w:t>粤赣湘边人民</w:t>
            </w:r>
          </w:p>
          <w:p w14:paraId="7F1DEF38">
            <w:pPr>
              <w:pStyle w:val="12"/>
              <w:jc w:val="center"/>
              <w:rPr>
                <w:rFonts w:ascii="宋体" w:hAnsi="宋体" w:cs="宋体"/>
              </w:rPr>
            </w:pPr>
            <w:r>
              <w:rPr>
                <w:rFonts w:hint="eastAsia" w:ascii="宋体" w:hAnsi="宋体" w:cs="宋体"/>
              </w:rPr>
              <w:t>解放总队六支</w:t>
            </w:r>
          </w:p>
          <w:p w14:paraId="3E83A8CB">
            <w:pPr>
              <w:pStyle w:val="12"/>
              <w:jc w:val="center"/>
            </w:pPr>
            <w:r>
              <w:rPr>
                <w:rFonts w:hint="eastAsia" w:ascii="宋体" w:hAnsi="宋体" w:cs="宋体"/>
              </w:rPr>
              <w:t>队中队长</w:t>
            </w:r>
          </w:p>
        </w:tc>
        <w:tc>
          <w:tcPr>
            <w:tcW w:w="1162" w:type="pct"/>
            <w:vAlign w:val="center"/>
          </w:tcPr>
          <w:p w14:paraId="2320AB51">
            <w:pPr>
              <w:pStyle w:val="12"/>
              <w:jc w:val="left"/>
            </w:pPr>
            <w:r>
              <w:rPr>
                <w:rFonts w:hint="eastAsia"/>
              </w:rPr>
              <w:t>1948年5月被捕，1949年2月在县城郊就义</w:t>
            </w:r>
          </w:p>
        </w:tc>
      </w:tr>
      <w:tr w14:paraId="17BF5B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D4565D9">
            <w:pPr>
              <w:pStyle w:val="12"/>
              <w:jc w:val="center"/>
            </w:pPr>
            <w:r>
              <w:rPr>
                <w:rFonts w:hint="eastAsia"/>
              </w:rPr>
              <w:t>卢隆祥</w:t>
            </w:r>
          </w:p>
        </w:tc>
        <w:tc>
          <w:tcPr>
            <w:tcW w:w="388" w:type="pct"/>
            <w:vAlign w:val="center"/>
          </w:tcPr>
          <w:p w14:paraId="27C4360A">
            <w:pPr>
              <w:pStyle w:val="12"/>
              <w:jc w:val="center"/>
            </w:pPr>
            <w:r>
              <w:rPr>
                <w:rFonts w:hint="eastAsia"/>
              </w:rPr>
              <w:t>男</w:t>
            </w:r>
          </w:p>
        </w:tc>
        <w:tc>
          <w:tcPr>
            <w:tcW w:w="582" w:type="pct"/>
            <w:vAlign w:val="center"/>
          </w:tcPr>
          <w:p w14:paraId="784AB8EA">
            <w:pPr>
              <w:pStyle w:val="12"/>
              <w:jc w:val="center"/>
            </w:pPr>
            <w:r>
              <w:rPr>
                <w:rFonts w:hint="eastAsia"/>
              </w:rPr>
              <w:t>1930年</w:t>
            </w:r>
          </w:p>
        </w:tc>
        <w:tc>
          <w:tcPr>
            <w:tcW w:w="582" w:type="pct"/>
            <w:vAlign w:val="center"/>
          </w:tcPr>
          <w:p w14:paraId="3425FB1E">
            <w:pPr>
              <w:pStyle w:val="12"/>
              <w:jc w:val="center"/>
            </w:pPr>
            <w:r>
              <w:rPr>
                <w:rFonts w:hint="eastAsia"/>
              </w:rPr>
              <w:t>黄坑镇</w:t>
            </w:r>
          </w:p>
        </w:tc>
        <w:tc>
          <w:tcPr>
            <w:tcW w:w="582" w:type="pct"/>
            <w:vAlign w:val="center"/>
          </w:tcPr>
          <w:p w14:paraId="18D47109">
            <w:pPr>
              <w:pStyle w:val="12"/>
              <w:jc w:val="center"/>
            </w:pPr>
            <w:r>
              <w:rPr>
                <w:rFonts w:hint="eastAsia"/>
              </w:rPr>
              <w:t>1949年</w:t>
            </w:r>
          </w:p>
        </w:tc>
        <w:tc>
          <w:tcPr>
            <w:tcW w:w="1066" w:type="pct"/>
            <w:vAlign w:val="center"/>
          </w:tcPr>
          <w:p w14:paraId="412EA6E6">
            <w:pPr>
              <w:pStyle w:val="12"/>
              <w:jc w:val="center"/>
              <w:rPr>
                <w:rFonts w:ascii="宋体" w:hAnsi="宋体" w:cs="宋体"/>
              </w:rPr>
            </w:pPr>
            <w:r>
              <w:rPr>
                <w:rFonts w:hint="eastAsia"/>
              </w:rPr>
              <w:t>北江第二支</w:t>
            </w:r>
          </w:p>
          <w:p w14:paraId="56EFDF44">
            <w:pPr>
              <w:pStyle w:val="12"/>
              <w:jc w:val="center"/>
            </w:pPr>
            <w:r>
              <w:rPr>
                <w:rFonts w:hint="eastAsia" w:ascii="宋体" w:hAnsi="宋体" w:cs="宋体"/>
              </w:rPr>
              <w:t>队交通员</w:t>
            </w:r>
          </w:p>
        </w:tc>
        <w:tc>
          <w:tcPr>
            <w:tcW w:w="1162" w:type="pct"/>
            <w:vAlign w:val="center"/>
          </w:tcPr>
          <w:p w14:paraId="21C04F9B">
            <w:pPr>
              <w:pStyle w:val="12"/>
              <w:jc w:val="left"/>
            </w:pPr>
            <w:r>
              <w:rPr>
                <w:rFonts w:hint="eastAsia"/>
              </w:rPr>
              <w:t>1949年在大塘被捕就义</w:t>
            </w:r>
          </w:p>
        </w:tc>
      </w:tr>
      <w:tr w14:paraId="46A57C3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6FBB417">
            <w:pPr>
              <w:pStyle w:val="12"/>
              <w:jc w:val="center"/>
            </w:pPr>
            <w:r>
              <w:rPr>
                <w:rFonts w:hint="eastAsia"/>
              </w:rPr>
              <w:t>刘世椿</w:t>
            </w:r>
          </w:p>
        </w:tc>
        <w:tc>
          <w:tcPr>
            <w:tcW w:w="388" w:type="pct"/>
            <w:vAlign w:val="center"/>
          </w:tcPr>
          <w:p w14:paraId="3E1AFCCC">
            <w:pPr>
              <w:pStyle w:val="12"/>
              <w:jc w:val="center"/>
            </w:pPr>
            <w:r>
              <w:rPr>
                <w:rFonts w:hint="eastAsia"/>
              </w:rPr>
              <w:t>男</w:t>
            </w:r>
          </w:p>
        </w:tc>
        <w:tc>
          <w:tcPr>
            <w:tcW w:w="582" w:type="pct"/>
            <w:vAlign w:val="center"/>
          </w:tcPr>
          <w:p w14:paraId="13E9618E">
            <w:pPr>
              <w:pStyle w:val="12"/>
              <w:jc w:val="center"/>
            </w:pPr>
            <w:r>
              <w:rPr>
                <w:rFonts w:hint="eastAsia"/>
              </w:rPr>
              <w:t>1912年</w:t>
            </w:r>
          </w:p>
        </w:tc>
        <w:tc>
          <w:tcPr>
            <w:tcW w:w="582" w:type="pct"/>
            <w:vAlign w:val="center"/>
          </w:tcPr>
          <w:p w14:paraId="5F40E6EE">
            <w:pPr>
              <w:pStyle w:val="12"/>
              <w:jc w:val="center"/>
            </w:pPr>
            <w:r>
              <w:rPr>
                <w:rFonts w:hint="eastAsia"/>
              </w:rPr>
              <w:t>雄州镇</w:t>
            </w:r>
          </w:p>
        </w:tc>
        <w:tc>
          <w:tcPr>
            <w:tcW w:w="582" w:type="pct"/>
            <w:vAlign w:val="center"/>
          </w:tcPr>
          <w:p w14:paraId="58579AA0">
            <w:pPr>
              <w:pStyle w:val="12"/>
              <w:jc w:val="center"/>
            </w:pPr>
            <w:r>
              <w:rPr>
                <w:rFonts w:hint="eastAsia"/>
              </w:rPr>
              <w:t>1947年</w:t>
            </w:r>
          </w:p>
        </w:tc>
        <w:tc>
          <w:tcPr>
            <w:tcW w:w="1066" w:type="pct"/>
            <w:vAlign w:val="center"/>
          </w:tcPr>
          <w:p w14:paraId="73886E1E">
            <w:pPr>
              <w:pStyle w:val="12"/>
              <w:jc w:val="center"/>
              <w:rPr>
                <w:rFonts w:ascii="宋体" w:hAnsi="宋体" w:cs="宋体"/>
              </w:rPr>
            </w:pPr>
            <w:r>
              <w:rPr>
                <w:rFonts w:hint="eastAsia"/>
              </w:rPr>
              <w:t>北江第二支</w:t>
            </w:r>
          </w:p>
          <w:p w14:paraId="0C37B185">
            <w:pPr>
              <w:pStyle w:val="12"/>
              <w:jc w:val="center"/>
            </w:pPr>
            <w:r>
              <w:rPr>
                <w:rFonts w:hint="eastAsia" w:ascii="宋体" w:hAnsi="宋体" w:cs="宋体"/>
              </w:rPr>
              <w:t>队交通员</w:t>
            </w:r>
          </w:p>
        </w:tc>
        <w:tc>
          <w:tcPr>
            <w:tcW w:w="1162" w:type="pct"/>
            <w:vAlign w:val="center"/>
          </w:tcPr>
          <w:p w14:paraId="374D753F">
            <w:pPr>
              <w:pStyle w:val="12"/>
              <w:jc w:val="left"/>
            </w:pPr>
            <w:r>
              <w:rPr>
                <w:rFonts w:hint="eastAsia"/>
              </w:rPr>
              <w:t>1948年在县城公兴烟站被捕，1949年4月就义</w:t>
            </w:r>
          </w:p>
        </w:tc>
      </w:tr>
      <w:tr w14:paraId="0B0298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E3F0ADC">
            <w:pPr>
              <w:pStyle w:val="12"/>
              <w:jc w:val="center"/>
            </w:pPr>
            <w:r>
              <w:rPr>
                <w:rFonts w:hint="eastAsia"/>
              </w:rPr>
              <w:t>刘烈义</w:t>
            </w:r>
          </w:p>
        </w:tc>
        <w:tc>
          <w:tcPr>
            <w:tcW w:w="388" w:type="pct"/>
            <w:vAlign w:val="center"/>
          </w:tcPr>
          <w:p w14:paraId="11EEA3D3">
            <w:pPr>
              <w:pStyle w:val="12"/>
              <w:jc w:val="center"/>
            </w:pPr>
            <w:r>
              <w:rPr>
                <w:rFonts w:hint="eastAsia"/>
              </w:rPr>
              <w:t>男</w:t>
            </w:r>
          </w:p>
        </w:tc>
        <w:tc>
          <w:tcPr>
            <w:tcW w:w="582" w:type="pct"/>
            <w:vAlign w:val="center"/>
          </w:tcPr>
          <w:p w14:paraId="42F915E0">
            <w:pPr>
              <w:pStyle w:val="12"/>
              <w:jc w:val="center"/>
            </w:pPr>
            <w:r>
              <w:rPr>
                <w:rFonts w:hint="eastAsia"/>
              </w:rPr>
              <w:t>1920年</w:t>
            </w:r>
          </w:p>
        </w:tc>
        <w:tc>
          <w:tcPr>
            <w:tcW w:w="582" w:type="pct"/>
            <w:vAlign w:val="center"/>
          </w:tcPr>
          <w:p w14:paraId="7C4CBD06">
            <w:pPr>
              <w:pStyle w:val="12"/>
              <w:jc w:val="center"/>
            </w:pPr>
            <w:r>
              <w:rPr>
                <w:rFonts w:hint="eastAsia"/>
              </w:rPr>
              <w:t>雄州镇</w:t>
            </w:r>
          </w:p>
        </w:tc>
        <w:tc>
          <w:tcPr>
            <w:tcW w:w="582" w:type="pct"/>
            <w:vAlign w:val="center"/>
          </w:tcPr>
          <w:p w14:paraId="3FD8ECB6">
            <w:pPr>
              <w:pStyle w:val="12"/>
              <w:jc w:val="center"/>
            </w:pPr>
            <w:r>
              <w:rPr>
                <w:rFonts w:hint="eastAsia"/>
              </w:rPr>
              <w:t>1947年</w:t>
            </w:r>
          </w:p>
        </w:tc>
        <w:tc>
          <w:tcPr>
            <w:tcW w:w="1066" w:type="pct"/>
            <w:vAlign w:val="center"/>
          </w:tcPr>
          <w:p w14:paraId="2F225111">
            <w:pPr>
              <w:pStyle w:val="12"/>
              <w:jc w:val="center"/>
              <w:rPr>
                <w:rFonts w:ascii="宋体" w:hAnsi="宋体" w:cs="宋体"/>
              </w:rPr>
            </w:pPr>
            <w:r>
              <w:rPr>
                <w:rFonts w:hint="eastAsia"/>
              </w:rPr>
              <w:t>北江第二支</w:t>
            </w:r>
          </w:p>
          <w:p w14:paraId="7D8E6D16">
            <w:pPr>
              <w:pStyle w:val="12"/>
              <w:jc w:val="center"/>
            </w:pPr>
            <w:r>
              <w:rPr>
                <w:rFonts w:hint="eastAsia" w:ascii="宋体" w:hAnsi="宋体" w:cs="宋体"/>
              </w:rPr>
              <w:t>队交通员</w:t>
            </w:r>
          </w:p>
        </w:tc>
        <w:tc>
          <w:tcPr>
            <w:tcW w:w="1162" w:type="pct"/>
            <w:vAlign w:val="center"/>
          </w:tcPr>
          <w:p w14:paraId="2D49CFF1">
            <w:pPr>
              <w:pStyle w:val="12"/>
              <w:jc w:val="left"/>
            </w:pPr>
            <w:r>
              <w:rPr>
                <w:rFonts w:hint="eastAsia"/>
              </w:rPr>
              <w:t>1948年在县城公兴烟站被捕，1949年4月就义</w:t>
            </w:r>
          </w:p>
        </w:tc>
      </w:tr>
      <w:tr w14:paraId="3C334C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6B3ACDF">
            <w:pPr>
              <w:pStyle w:val="12"/>
              <w:jc w:val="center"/>
            </w:pPr>
            <w:r>
              <w:rPr>
                <w:rFonts w:hint="eastAsia"/>
              </w:rPr>
              <w:t>邹家槐</w:t>
            </w:r>
          </w:p>
        </w:tc>
        <w:tc>
          <w:tcPr>
            <w:tcW w:w="388" w:type="pct"/>
            <w:vAlign w:val="center"/>
          </w:tcPr>
          <w:p w14:paraId="3F4D34D5">
            <w:pPr>
              <w:pStyle w:val="12"/>
              <w:jc w:val="center"/>
            </w:pPr>
            <w:r>
              <w:rPr>
                <w:rFonts w:hint="eastAsia"/>
              </w:rPr>
              <w:t>男</w:t>
            </w:r>
          </w:p>
        </w:tc>
        <w:tc>
          <w:tcPr>
            <w:tcW w:w="582" w:type="pct"/>
            <w:vAlign w:val="center"/>
          </w:tcPr>
          <w:p w14:paraId="515A9E2B">
            <w:pPr>
              <w:pStyle w:val="12"/>
              <w:jc w:val="center"/>
            </w:pPr>
            <w:r>
              <w:rPr>
                <w:rFonts w:hint="eastAsia"/>
              </w:rPr>
              <w:t>1918年</w:t>
            </w:r>
          </w:p>
        </w:tc>
        <w:tc>
          <w:tcPr>
            <w:tcW w:w="582" w:type="pct"/>
            <w:vAlign w:val="center"/>
          </w:tcPr>
          <w:p w14:paraId="7492699B">
            <w:pPr>
              <w:pStyle w:val="12"/>
              <w:jc w:val="center"/>
            </w:pPr>
            <w:r>
              <w:rPr>
                <w:rFonts w:hint="eastAsia"/>
              </w:rPr>
              <w:t>邓坊镇</w:t>
            </w:r>
          </w:p>
        </w:tc>
        <w:tc>
          <w:tcPr>
            <w:tcW w:w="582" w:type="pct"/>
            <w:vAlign w:val="center"/>
          </w:tcPr>
          <w:p w14:paraId="5CE84D03">
            <w:pPr>
              <w:pStyle w:val="12"/>
              <w:jc w:val="center"/>
            </w:pPr>
            <w:r>
              <w:rPr>
                <w:rFonts w:hint="eastAsia"/>
              </w:rPr>
              <w:t>1947年</w:t>
            </w:r>
          </w:p>
        </w:tc>
        <w:tc>
          <w:tcPr>
            <w:tcW w:w="1066" w:type="pct"/>
            <w:vAlign w:val="center"/>
          </w:tcPr>
          <w:p w14:paraId="3BD16D0B">
            <w:pPr>
              <w:pStyle w:val="12"/>
              <w:jc w:val="center"/>
              <w:rPr>
                <w:rFonts w:ascii="宋体" w:hAnsi="宋体" w:cs="宋体"/>
              </w:rPr>
            </w:pPr>
            <w:r>
              <w:rPr>
                <w:rFonts w:hint="eastAsia"/>
              </w:rPr>
              <w:t>北江第二支</w:t>
            </w:r>
          </w:p>
          <w:p w14:paraId="38DF52B1">
            <w:pPr>
              <w:pStyle w:val="12"/>
              <w:jc w:val="center"/>
            </w:pPr>
            <w:r>
              <w:rPr>
                <w:rFonts w:hint="eastAsia" w:ascii="宋体" w:hAnsi="宋体" w:cs="宋体"/>
              </w:rPr>
              <w:t>队小队长</w:t>
            </w:r>
          </w:p>
        </w:tc>
        <w:tc>
          <w:tcPr>
            <w:tcW w:w="1162" w:type="pct"/>
            <w:vAlign w:val="center"/>
          </w:tcPr>
          <w:p w14:paraId="121F386C">
            <w:pPr>
              <w:pStyle w:val="12"/>
              <w:jc w:val="left"/>
            </w:pPr>
            <w:r>
              <w:rPr>
                <w:rFonts w:hint="eastAsia"/>
              </w:rPr>
              <w:t>1949年在珠玑掩护部队突围战斗牺牲</w:t>
            </w:r>
          </w:p>
        </w:tc>
      </w:tr>
      <w:tr w14:paraId="7F4569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D6DA08F">
            <w:pPr>
              <w:pStyle w:val="12"/>
              <w:jc w:val="center"/>
            </w:pPr>
            <w:r>
              <w:rPr>
                <w:rFonts w:hint="eastAsia"/>
              </w:rPr>
              <w:t>肖铁峰</w:t>
            </w:r>
          </w:p>
        </w:tc>
        <w:tc>
          <w:tcPr>
            <w:tcW w:w="388" w:type="pct"/>
            <w:vAlign w:val="center"/>
          </w:tcPr>
          <w:p w14:paraId="39A92728">
            <w:pPr>
              <w:pStyle w:val="12"/>
              <w:jc w:val="center"/>
            </w:pPr>
            <w:r>
              <w:rPr>
                <w:rFonts w:hint="eastAsia"/>
              </w:rPr>
              <w:t>男</w:t>
            </w:r>
          </w:p>
        </w:tc>
        <w:tc>
          <w:tcPr>
            <w:tcW w:w="582" w:type="pct"/>
            <w:vAlign w:val="center"/>
          </w:tcPr>
          <w:p w14:paraId="312D3C9C">
            <w:pPr>
              <w:pStyle w:val="12"/>
              <w:jc w:val="center"/>
            </w:pPr>
            <w:r>
              <w:rPr>
                <w:rFonts w:hint="eastAsia"/>
              </w:rPr>
              <w:t>1910年</w:t>
            </w:r>
          </w:p>
        </w:tc>
        <w:tc>
          <w:tcPr>
            <w:tcW w:w="582" w:type="pct"/>
            <w:vAlign w:val="center"/>
          </w:tcPr>
          <w:p w14:paraId="343130DA">
            <w:pPr>
              <w:pStyle w:val="12"/>
              <w:jc w:val="center"/>
            </w:pPr>
            <w:r>
              <w:rPr>
                <w:rFonts w:hint="eastAsia"/>
              </w:rPr>
              <w:t>雄州镇</w:t>
            </w:r>
          </w:p>
        </w:tc>
        <w:tc>
          <w:tcPr>
            <w:tcW w:w="582" w:type="pct"/>
            <w:vAlign w:val="center"/>
          </w:tcPr>
          <w:p w14:paraId="492B9A98">
            <w:pPr>
              <w:pStyle w:val="12"/>
              <w:jc w:val="center"/>
            </w:pPr>
            <w:r>
              <w:rPr>
                <w:rFonts w:hint="eastAsia"/>
              </w:rPr>
              <w:t>1947年7月</w:t>
            </w:r>
          </w:p>
        </w:tc>
        <w:tc>
          <w:tcPr>
            <w:tcW w:w="1066" w:type="pct"/>
            <w:vAlign w:val="center"/>
          </w:tcPr>
          <w:p w14:paraId="6A204AA8">
            <w:pPr>
              <w:pStyle w:val="12"/>
              <w:jc w:val="center"/>
              <w:rPr>
                <w:rFonts w:ascii="宋体" w:hAnsi="宋体" w:cs="宋体"/>
              </w:rPr>
            </w:pPr>
            <w:r>
              <w:rPr>
                <w:rFonts w:hint="eastAsia"/>
              </w:rPr>
              <w:t>中国人民解</w:t>
            </w:r>
          </w:p>
          <w:p w14:paraId="21D2AFEC">
            <w:pPr>
              <w:pStyle w:val="12"/>
              <w:jc w:val="center"/>
            </w:pPr>
            <w:r>
              <w:rPr>
                <w:rFonts w:hint="eastAsia" w:ascii="宋体" w:hAnsi="宋体" w:cs="宋体"/>
              </w:rPr>
              <w:t>放军班长</w:t>
            </w:r>
          </w:p>
        </w:tc>
        <w:tc>
          <w:tcPr>
            <w:tcW w:w="1162" w:type="pct"/>
            <w:vAlign w:val="center"/>
          </w:tcPr>
          <w:p w14:paraId="09CEA3F7">
            <w:pPr>
              <w:pStyle w:val="12"/>
              <w:jc w:val="left"/>
            </w:pPr>
            <w:r>
              <w:rPr>
                <w:rFonts w:hint="eastAsia"/>
              </w:rPr>
              <w:t>1949年在湖南省长沙战斗牺牲</w:t>
            </w:r>
          </w:p>
        </w:tc>
      </w:tr>
      <w:tr w14:paraId="6945A1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4D63B21">
            <w:pPr>
              <w:pStyle w:val="12"/>
              <w:jc w:val="center"/>
            </w:pPr>
            <w:r>
              <w:rPr>
                <w:rFonts w:hint="eastAsia"/>
              </w:rPr>
              <w:t>钟履辰</w:t>
            </w:r>
          </w:p>
        </w:tc>
        <w:tc>
          <w:tcPr>
            <w:tcW w:w="388" w:type="pct"/>
            <w:vAlign w:val="center"/>
          </w:tcPr>
          <w:p w14:paraId="2B08B516">
            <w:pPr>
              <w:pStyle w:val="12"/>
              <w:jc w:val="center"/>
            </w:pPr>
            <w:r>
              <w:rPr>
                <w:rFonts w:hint="eastAsia"/>
              </w:rPr>
              <w:t>男</w:t>
            </w:r>
          </w:p>
        </w:tc>
        <w:tc>
          <w:tcPr>
            <w:tcW w:w="582" w:type="pct"/>
            <w:vAlign w:val="center"/>
          </w:tcPr>
          <w:p w14:paraId="23989E7B">
            <w:pPr>
              <w:pStyle w:val="12"/>
              <w:jc w:val="center"/>
            </w:pPr>
            <w:r>
              <w:rPr>
                <w:rFonts w:hint="eastAsia"/>
              </w:rPr>
              <w:t>1925年</w:t>
            </w:r>
          </w:p>
        </w:tc>
        <w:tc>
          <w:tcPr>
            <w:tcW w:w="582" w:type="pct"/>
            <w:vAlign w:val="center"/>
          </w:tcPr>
          <w:p w14:paraId="12F46073">
            <w:pPr>
              <w:pStyle w:val="12"/>
              <w:jc w:val="center"/>
            </w:pPr>
            <w:r>
              <w:rPr>
                <w:rFonts w:hint="eastAsia"/>
              </w:rPr>
              <w:t>珠玑镇</w:t>
            </w:r>
          </w:p>
        </w:tc>
        <w:tc>
          <w:tcPr>
            <w:tcW w:w="582" w:type="pct"/>
            <w:vAlign w:val="center"/>
          </w:tcPr>
          <w:p w14:paraId="28747F19">
            <w:pPr>
              <w:pStyle w:val="12"/>
              <w:jc w:val="center"/>
            </w:pPr>
            <w:r>
              <w:rPr>
                <w:rFonts w:hint="eastAsia"/>
              </w:rPr>
              <w:t>1947年</w:t>
            </w:r>
          </w:p>
        </w:tc>
        <w:tc>
          <w:tcPr>
            <w:tcW w:w="1066" w:type="pct"/>
            <w:vAlign w:val="center"/>
          </w:tcPr>
          <w:p w14:paraId="2D872C08">
            <w:pPr>
              <w:pStyle w:val="12"/>
              <w:jc w:val="center"/>
              <w:rPr>
                <w:rFonts w:ascii="宋体" w:hAnsi="宋体" w:cs="宋体"/>
              </w:rPr>
            </w:pPr>
            <w:r>
              <w:rPr>
                <w:rFonts w:hint="eastAsia"/>
              </w:rPr>
              <w:t>北江第二支</w:t>
            </w:r>
          </w:p>
          <w:p w14:paraId="3A9A25F5">
            <w:pPr>
              <w:pStyle w:val="12"/>
              <w:jc w:val="center"/>
            </w:pPr>
            <w:r>
              <w:rPr>
                <w:rFonts w:hint="eastAsia" w:ascii="宋体" w:hAnsi="宋体" w:cs="宋体"/>
              </w:rPr>
              <w:t>队队员</w:t>
            </w:r>
          </w:p>
        </w:tc>
        <w:tc>
          <w:tcPr>
            <w:tcW w:w="1162" w:type="pct"/>
            <w:vAlign w:val="center"/>
          </w:tcPr>
          <w:p w14:paraId="276D3E50">
            <w:pPr>
              <w:pStyle w:val="12"/>
              <w:jc w:val="left"/>
            </w:pPr>
            <w:r>
              <w:rPr>
                <w:rFonts w:hint="eastAsia"/>
              </w:rPr>
              <w:t>1949年在湖南省白薯坝被叛徒暗杀</w:t>
            </w:r>
          </w:p>
        </w:tc>
      </w:tr>
      <w:tr w14:paraId="225BF4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CEA6639">
            <w:pPr>
              <w:pStyle w:val="12"/>
              <w:jc w:val="center"/>
            </w:pPr>
            <w:r>
              <w:rPr>
                <w:rFonts w:hint="eastAsia"/>
              </w:rPr>
              <w:t>李文昌</w:t>
            </w:r>
          </w:p>
        </w:tc>
        <w:tc>
          <w:tcPr>
            <w:tcW w:w="388" w:type="pct"/>
            <w:vAlign w:val="center"/>
          </w:tcPr>
          <w:p w14:paraId="3048BD1C">
            <w:pPr>
              <w:pStyle w:val="12"/>
              <w:jc w:val="center"/>
            </w:pPr>
            <w:r>
              <w:rPr>
                <w:rFonts w:hint="eastAsia"/>
              </w:rPr>
              <w:t>男</w:t>
            </w:r>
          </w:p>
        </w:tc>
        <w:tc>
          <w:tcPr>
            <w:tcW w:w="582" w:type="pct"/>
            <w:vAlign w:val="center"/>
          </w:tcPr>
          <w:p w14:paraId="4D27AC39">
            <w:pPr>
              <w:pStyle w:val="12"/>
              <w:jc w:val="center"/>
            </w:pPr>
            <w:r>
              <w:rPr>
                <w:rFonts w:hint="eastAsia"/>
              </w:rPr>
              <w:t>1923年</w:t>
            </w:r>
          </w:p>
        </w:tc>
        <w:tc>
          <w:tcPr>
            <w:tcW w:w="582" w:type="pct"/>
            <w:vAlign w:val="center"/>
          </w:tcPr>
          <w:p w14:paraId="11AD4219">
            <w:pPr>
              <w:pStyle w:val="12"/>
              <w:jc w:val="center"/>
            </w:pPr>
            <w:r>
              <w:rPr>
                <w:rFonts w:hint="eastAsia"/>
              </w:rPr>
              <w:t>湖口镇</w:t>
            </w:r>
          </w:p>
        </w:tc>
        <w:tc>
          <w:tcPr>
            <w:tcW w:w="582" w:type="pct"/>
            <w:vAlign w:val="center"/>
          </w:tcPr>
          <w:p w14:paraId="04E1BFA1">
            <w:pPr>
              <w:pStyle w:val="12"/>
              <w:jc w:val="center"/>
            </w:pPr>
            <w:r>
              <w:rPr>
                <w:rFonts w:hint="eastAsia"/>
              </w:rPr>
              <w:t>1938年</w:t>
            </w:r>
          </w:p>
        </w:tc>
        <w:tc>
          <w:tcPr>
            <w:tcW w:w="1066" w:type="pct"/>
            <w:vAlign w:val="center"/>
          </w:tcPr>
          <w:p w14:paraId="59021923">
            <w:pPr>
              <w:pStyle w:val="12"/>
              <w:jc w:val="center"/>
              <w:rPr>
                <w:rFonts w:ascii="宋体" w:hAnsi="宋体" w:cs="宋体"/>
              </w:rPr>
            </w:pPr>
            <w:r>
              <w:rPr>
                <w:rFonts w:hint="eastAsia"/>
              </w:rPr>
              <w:t>中国人民解</w:t>
            </w:r>
          </w:p>
          <w:p w14:paraId="0EEC0088">
            <w:pPr>
              <w:pStyle w:val="12"/>
              <w:jc w:val="center"/>
            </w:pPr>
            <w:r>
              <w:rPr>
                <w:rFonts w:hint="eastAsia" w:ascii="宋体" w:hAnsi="宋体" w:cs="宋体"/>
              </w:rPr>
              <w:t>放军战士</w:t>
            </w:r>
          </w:p>
        </w:tc>
        <w:tc>
          <w:tcPr>
            <w:tcW w:w="1162" w:type="pct"/>
            <w:vAlign w:val="center"/>
          </w:tcPr>
          <w:p w14:paraId="23B53F62">
            <w:pPr>
              <w:pStyle w:val="12"/>
              <w:jc w:val="left"/>
            </w:pPr>
            <w:r>
              <w:rPr>
                <w:rFonts w:hint="eastAsia"/>
              </w:rPr>
              <w:t>1949年解放上海战斗牺牲</w:t>
            </w:r>
          </w:p>
        </w:tc>
      </w:tr>
      <w:tr w14:paraId="46AD9AC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2003CC3">
            <w:pPr>
              <w:pStyle w:val="12"/>
              <w:jc w:val="center"/>
            </w:pPr>
            <w:r>
              <w:rPr>
                <w:rFonts w:hint="eastAsia"/>
              </w:rPr>
              <w:t>叶见辉</w:t>
            </w:r>
          </w:p>
        </w:tc>
        <w:tc>
          <w:tcPr>
            <w:tcW w:w="388" w:type="pct"/>
            <w:vAlign w:val="center"/>
          </w:tcPr>
          <w:p w14:paraId="1A93F795">
            <w:pPr>
              <w:pStyle w:val="12"/>
              <w:jc w:val="center"/>
            </w:pPr>
            <w:r>
              <w:rPr>
                <w:rFonts w:hint="eastAsia"/>
              </w:rPr>
              <w:t>男</w:t>
            </w:r>
          </w:p>
        </w:tc>
        <w:tc>
          <w:tcPr>
            <w:tcW w:w="582" w:type="pct"/>
            <w:vAlign w:val="center"/>
          </w:tcPr>
          <w:p w14:paraId="06275B99">
            <w:pPr>
              <w:pStyle w:val="12"/>
              <w:jc w:val="center"/>
            </w:pPr>
            <w:r>
              <w:rPr>
                <w:rFonts w:hint="eastAsia"/>
              </w:rPr>
              <w:t>1911年</w:t>
            </w:r>
          </w:p>
        </w:tc>
        <w:tc>
          <w:tcPr>
            <w:tcW w:w="582" w:type="pct"/>
            <w:vAlign w:val="center"/>
          </w:tcPr>
          <w:p w14:paraId="2BC1F212">
            <w:pPr>
              <w:pStyle w:val="12"/>
              <w:jc w:val="center"/>
            </w:pPr>
            <w:r>
              <w:rPr>
                <w:rFonts w:hint="eastAsia"/>
              </w:rPr>
              <w:t>坪田镇</w:t>
            </w:r>
          </w:p>
        </w:tc>
        <w:tc>
          <w:tcPr>
            <w:tcW w:w="582" w:type="pct"/>
            <w:vAlign w:val="center"/>
          </w:tcPr>
          <w:p w14:paraId="01BA8026">
            <w:pPr>
              <w:pStyle w:val="12"/>
              <w:jc w:val="center"/>
            </w:pPr>
            <w:r>
              <w:rPr>
                <w:rFonts w:hint="eastAsia"/>
              </w:rPr>
              <w:t>1943年</w:t>
            </w:r>
          </w:p>
        </w:tc>
        <w:tc>
          <w:tcPr>
            <w:tcW w:w="1066" w:type="pct"/>
            <w:vAlign w:val="center"/>
          </w:tcPr>
          <w:p w14:paraId="72A37A3B">
            <w:pPr>
              <w:pStyle w:val="12"/>
              <w:jc w:val="center"/>
              <w:rPr>
                <w:rFonts w:ascii="宋体" w:hAnsi="宋体" w:cs="宋体"/>
              </w:rPr>
            </w:pPr>
            <w:r>
              <w:rPr>
                <w:rFonts w:hint="eastAsia"/>
              </w:rPr>
              <w:t>北江第二支</w:t>
            </w:r>
          </w:p>
          <w:p w14:paraId="5B8A6B4E">
            <w:pPr>
              <w:pStyle w:val="12"/>
              <w:jc w:val="center"/>
            </w:pPr>
            <w:r>
              <w:rPr>
                <w:rFonts w:hint="eastAsia" w:ascii="宋体" w:hAnsi="宋体" w:cs="宋体"/>
              </w:rPr>
              <w:t>队班长</w:t>
            </w:r>
          </w:p>
        </w:tc>
        <w:tc>
          <w:tcPr>
            <w:tcW w:w="1162" w:type="pct"/>
            <w:vAlign w:val="center"/>
          </w:tcPr>
          <w:p w14:paraId="36ADDE1F">
            <w:pPr>
              <w:pStyle w:val="12"/>
              <w:jc w:val="left"/>
            </w:pPr>
            <w:r>
              <w:rPr>
                <w:rFonts w:hint="eastAsia"/>
              </w:rPr>
              <w:t>1949年在湖口长市战斗牺牲</w:t>
            </w:r>
          </w:p>
        </w:tc>
      </w:tr>
    </w:tbl>
    <w:p w14:paraId="6B8F8108">
      <w:pPr>
        <w:ind w:firstLine="422"/>
        <w:rPr>
          <w:rFonts w:ascii="宋体" w:hAnsi="宋体" w:cs="宋体"/>
          <w:b/>
        </w:rPr>
      </w:pPr>
      <w:r>
        <w:rPr>
          <w:rFonts w:hint="eastAsia" w:ascii="宋体" w:hAnsi="宋体" w:cs="宋体"/>
          <w:b/>
        </w:rPr>
        <w:t>说明：以上表列名单经有关部门查核批准。</w:t>
      </w:r>
    </w:p>
    <w:p w14:paraId="1BE664CE">
      <w:pPr>
        <w:ind w:firstLine="602"/>
        <w:jc w:val="center"/>
        <w:rPr>
          <w:rFonts w:ascii="宋体" w:hAnsi="宋体" w:cs="宋体"/>
          <w:b/>
          <w:bCs/>
          <w:sz w:val="30"/>
          <w:szCs w:val="30"/>
        </w:rPr>
      </w:pPr>
      <w:r>
        <w:rPr>
          <w:rFonts w:hint="eastAsia" w:ascii="宋体" w:hAnsi="宋体" w:cs="宋体"/>
          <w:b/>
          <w:bCs/>
          <w:sz w:val="30"/>
          <w:szCs w:val="30"/>
        </w:rPr>
        <w:t>南雄市新中国成立后烈士</w:t>
      </w:r>
    </w:p>
    <w:p w14:paraId="207075DC">
      <w:pPr>
        <w:ind w:firstLine="0" w:firstLineChars="0"/>
        <w:rPr>
          <w:rFonts w:ascii="宋体" w:hAnsi="宋体" w:cs="宋体"/>
          <w:b/>
          <w:bCs/>
        </w:rPr>
      </w:pPr>
      <w:r>
        <w:rPr>
          <w:rFonts w:hint="eastAsia" w:ascii="宋体" w:hAnsi="宋体" w:cs="宋体"/>
          <w:b/>
          <w:bCs/>
        </w:rPr>
        <w:t>表7-9</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3"/>
        <w:gridCol w:w="773"/>
        <w:gridCol w:w="1160"/>
        <w:gridCol w:w="1160"/>
        <w:gridCol w:w="1411"/>
        <w:gridCol w:w="1873"/>
        <w:gridCol w:w="2312"/>
      </w:tblGrid>
      <w:tr w14:paraId="29B2EE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5E12F5D">
            <w:pPr>
              <w:pStyle w:val="12"/>
              <w:jc w:val="center"/>
              <w:rPr>
                <w:b/>
              </w:rPr>
            </w:pPr>
            <w:r>
              <w:rPr>
                <w:rFonts w:hint="eastAsia"/>
                <w:b/>
              </w:rPr>
              <w:t>姓名</w:t>
            </w:r>
          </w:p>
        </w:tc>
        <w:tc>
          <w:tcPr>
            <w:tcW w:w="388" w:type="pct"/>
            <w:vAlign w:val="center"/>
          </w:tcPr>
          <w:p w14:paraId="2451E6C8">
            <w:pPr>
              <w:pStyle w:val="12"/>
              <w:jc w:val="center"/>
              <w:rPr>
                <w:b/>
              </w:rPr>
            </w:pPr>
            <w:r>
              <w:rPr>
                <w:rFonts w:hint="eastAsia"/>
                <w:b/>
              </w:rPr>
              <w:t>性别</w:t>
            </w:r>
          </w:p>
        </w:tc>
        <w:tc>
          <w:tcPr>
            <w:tcW w:w="582" w:type="pct"/>
            <w:vAlign w:val="center"/>
          </w:tcPr>
          <w:p w14:paraId="569F6FBD">
            <w:pPr>
              <w:pStyle w:val="12"/>
              <w:jc w:val="center"/>
              <w:rPr>
                <w:b/>
              </w:rPr>
            </w:pPr>
            <w:r>
              <w:rPr>
                <w:rFonts w:hint="eastAsia"/>
                <w:b/>
              </w:rPr>
              <w:t>出生</w:t>
            </w:r>
            <w:r>
              <w:rPr>
                <w:rFonts w:hint="eastAsia" w:ascii="宋体" w:hAnsi="宋体" w:cs="宋体"/>
                <w:b/>
              </w:rPr>
              <w:t>年月</w:t>
            </w:r>
          </w:p>
        </w:tc>
        <w:tc>
          <w:tcPr>
            <w:tcW w:w="582" w:type="pct"/>
            <w:vAlign w:val="center"/>
          </w:tcPr>
          <w:p w14:paraId="5D682A98">
            <w:pPr>
              <w:pStyle w:val="12"/>
              <w:jc w:val="center"/>
              <w:rPr>
                <w:b/>
              </w:rPr>
            </w:pPr>
            <w:r>
              <w:rPr>
                <w:rFonts w:hint="eastAsia"/>
                <w:b/>
              </w:rPr>
              <w:t>籍贯</w:t>
            </w:r>
          </w:p>
        </w:tc>
        <w:tc>
          <w:tcPr>
            <w:tcW w:w="708" w:type="pct"/>
            <w:vAlign w:val="center"/>
          </w:tcPr>
          <w:p w14:paraId="0B3D6555">
            <w:pPr>
              <w:pStyle w:val="12"/>
              <w:jc w:val="center"/>
              <w:rPr>
                <w:b/>
              </w:rPr>
            </w:pPr>
            <w:r>
              <w:rPr>
                <w:rFonts w:hint="eastAsia"/>
                <w:b/>
              </w:rPr>
              <w:t>入伍年月</w:t>
            </w:r>
          </w:p>
        </w:tc>
        <w:tc>
          <w:tcPr>
            <w:tcW w:w="940" w:type="pct"/>
            <w:vAlign w:val="center"/>
          </w:tcPr>
          <w:p w14:paraId="59FAF527">
            <w:pPr>
              <w:pStyle w:val="12"/>
              <w:jc w:val="center"/>
              <w:rPr>
                <w:b/>
              </w:rPr>
            </w:pPr>
            <w:r>
              <w:rPr>
                <w:rFonts w:hint="eastAsia"/>
                <w:b/>
              </w:rPr>
              <w:t>所在单位职务</w:t>
            </w:r>
          </w:p>
        </w:tc>
        <w:tc>
          <w:tcPr>
            <w:tcW w:w="1160" w:type="pct"/>
            <w:vAlign w:val="center"/>
          </w:tcPr>
          <w:p w14:paraId="4D2FFD43">
            <w:pPr>
              <w:pStyle w:val="12"/>
              <w:jc w:val="center"/>
              <w:rPr>
                <w:b/>
              </w:rPr>
            </w:pPr>
            <w:r>
              <w:rPr>
                <w:rFonts w:hint="eastAsia"/>
                <w:b/>
              </w:rPr>
              <w:t>牺牲时间地点</w:t>
            </w:r>
          </w:p>
        </w:tc>
      </w:tr>
      <w:tr w14:paraId="11BC88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A708858">
            <w:pPr>
              <w:pStyle w:val="12"/>
              <w:jc w:val="center"/>
            </w:pPr>
            <w:r>
              <w:rPr>
                <w:rFonts w:hint="eastAsia"/>
              </w:rPr>
              <w:t>邓有煌</w:t>
            </w:r>
          </w:p>
        </w:tc>
        <w:tc>
          <w:tcPr>
            <w:tcW w:w="388" w:type="pct"/>
            <w:vAlign w:val="center"/>
          </w:tcPr>
          <w:p w14:paraId="601E0D34">
            <w:pPr>
              <w:pStyle w:val="12"/>
              <w:jc w:val="center"/>
            </w:pPr>
            <w:r>
              <w:rPr>
                <w:rFonts w:hint="eastAsia"/>
              </w:rPr>
              <w:t>男</w:t>
            </w:r>
          </w:p>
        </w:tc>
        <w:tc>
          <w:tcPr>
            <w:tcW w:w="582" w:type="pct"/>
            <w:vAlign w:val="center"/>
          </w:tcPr>
          <w:p w14:paraId="381AC39A">
            <w:pPr>
              <w:pStyle w:val="12"/>
              <w:jc w:val="center"/>
            </w:pPr>
            <w:r>
              <w:rPr>
                <w:rFonts w:hint="eastAsia"/>
              </w:rPr>
              <w:t>1931年</w:t>
            </w:r>
          </w:p>
        </w:tc>
        <w:tc>
          <w:tcPr>
            <w:tcW w:w="582" w:type="pct"/>
            <w:vAlign w:val="center"/>
          </w:tcPr>
          <w:p w14:paraId="75AE47BF">
            <w:pPr>
              <w:pStyle w:val="12"/>
              <w:jc w:val="center"/>
            </w:pPr>
            <w:r>
              <w:rPr>
                <w:rFonts w:hint="eastAsia"/>
              </w:rPr>
              <w:t>珠玑镇</w:t>
            </w:r>
          </w:p>
        </w:tc>
        <w:tc>
          <w:tcPr>
            <w:tcW w:w="708" w:type="pct"/>
            <w:vAlign w:val="center"/>
          </w:tcPr>
          <w:p w14:paraId="4995B04B">
            <w:pPr>
              <w:pStyle w:val="12"/>
              <w:jc w:val="center"/>
            </w:pPr>
            <w:r>
              <w:rPr>
                <w:rFonts w:hint="eastAsia"/>
              </w:rPr>
              <w:t>1949年</w:t>
            </w:r>
          </w:p>
        </w:tc>
        <w:tc>
          <w:tcPr>
            <w:tcW w:w="940" w:type="pct"/>
            <w:vAlign w:val="center"/>
          </w:tcPr>
          <w:p w14:paraId="34FADC4F">
            <w:pPr>
              <w:pStyle w:val="12"/>
              <w:jc w:val="center"/>
              <w:rPr>
                <w:rFonts w:ascii="宋体" w:hAnsi="宋体" w:cs="宋体"/>
              </w:rPr>
            </w:pPr>
            <w:r>
              <w:rPr>
                <w:rFonts w:hint="eastAsia"/>
              </w:rPr>
              <w:t>南雄县七区</w:t>
            </w:r>
          </w:p>
          <w:p w14:paraId="20892DEC">
            <w:pPr>
              <w:pStyle w:val="12"/>
              <w:jc w:val="center"/>
            </w:pPr>
            <w:r>
              <w:rPr>
                <w:rFonts w:hint="eastAsia" w:ascii="宋体" w:hAnsi="宋体" w:cs="宋体"/>
              </w:rPr>
              <w:t>区中队战士</w:t>
            </w:r>
          </w:p>
        </w:tc>
        <w:tc>
          <w:tcPr>
            <w:tcW w:w="1160" w:type="pct"/>
            <w:vAlign w:val="center"/>
          </w:tcPr>
          <w:p w14:paraId="68B867EC">
            <w:pPr>
              <w:pStyle w:val="12"/>
              <w:jc w:val="left"/>
            </w:pPr>
            <w:r>
              <w:rPr>
                <w:rFonts w:hint="eastAsia"/>
              </w:rPr>
              <w:t>1949年12月21日在靖平乡剿匪牺牲</w:t>
            </w:r>
          </w:p>
        </w:tc>
      </w:tr>
      <w:tr w14:paraId="352D59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C60D0B5">
            <w:pPr>
              <w:pStyle w:val="12"/>
              <w:jc w:val="center"/>
            </w:pPr>
            <w:r>
              <w:rPr>
                <w:rFonts w:hint="eastAsia"/>
              </w:rPr>
              <w:t>丁长明</w:t>
            </w:r>
          </w:p>
        </w:tc>
        <w:tc>
          <w:tcPr>
            <w:tcW w:w="388" w:type="pct"/>
            <w:vAlign w:val="center"/>
          </w:tcPr>
          <w:p w14:paraId="7F339B26">
            <w:pPr>
              <w:pStyle w:val="12"/>
              <w:jc w:val="center"/>
            </w:pPr>
            <w:r>
              <w:rPr>
                <w:rFonts w:hint="eastAsia"/>
              </w:rPr>
              <w:t>男</w:t>
            </w:r>
          </w:p>
        </w:tc>
        <w:tc>
          <w:tcPr>
            <w:tcW w:w="582" w:type="pct"/>
            <w:vAlign w:val="center"/>
          </w:tcPr>
          <w:p w14:paraId="3B603E4F">
            <w:pPr>
              <w:pStyle w:val="12"/>
              <w:jc w:val="center"/>
            </w:pPr>
            <w:r>
              <w:rPr>
                <w:rFonts w:hint="eastAsia"/>
              </w:rPr>
              <w:t>1902年</w:t>
            </w:r>
          </w:p>
        </w:tc>
        <w:tc>
          <w:tcPr>
            <w:tcW w:w="582" w:type="pct"/>
            <w:vAlign w:val="center"/>
          </w:tcPr>
          <w:p w14:paraId="169824B2">
            <w:pPr>
              <w:pStyle w:val="12"/>
              <w:jc w:val="center"/>
            </w:pPr>
            <w:r>
              <w:rPr>
                <w:rFonts w:hint="eastAsia"/>
              </w:rPr>
              <w:t>乌迳镇</w:t>
            </w:r>
          </w:p>
        </w:tc>
        <w:tc>
          <w:tcPr>
            <w:tcW w:w="708" w:type="pct"/>
            <w:vAlign w:val="center"/>
          </w:tcPr>
          <w:p w14:paraId="7738E7AA">
            <w:pPr>
              <w:pStyle w:val="12"/>
              <w:jc w:val="center"/>
            </w:pPr>
            <w:r>
              <w:rPr>
                <w:rFonts w:hint="eastAsia"/>
              </w:rPr>
              <w:t>1948年</w:t>
            </w:r>
          </w:p>
        </w:tc>
        <w:tc>
          <w:tcPr>
            <w:tcW w:w="940" w:type="pct"/>
            <w:vAlign w:val="center"/>
          </w:tcPr>
          <w:p w14:paraId="3F9EB3EB">
            <w:pPr>
              <w:pStyle w:val="12"/>
              <w:jc w:val="center"/>
              <w:rPr>
                <w:rFonts w:ascii="宋体" w:hAnsi="宋体" w:cs="宋体"/>
              </w:rPr>
            </w:pPr>
            <w:r>
              <w:rPr>
                <w:rFonts w:hint="eastAsia"/>
              </w:rPr>
              <w:t>北江第二支</w:t>
            </w:r>
          </w:p>
          <w:p w14:paraId="71644BAD">
            <w:pPr>
              <w:pStyle w:val="12"/>
              <w:jc w:val="center"/>
            </w:pPr>
            <w:r>
              <w:rPr>
                <w:rFonts w:hint="eastAsia" w:ascii="宋体" w:hAnsi="宋体" w:cs="宋体"/>
              </w:rPr>
              <w:t>队  队  员</w:t>
            </w:r>
          </w:p>
        </w:tc>
        <w:tc>
          <w:tcPr>
            <w:tcW w:w="1160" w:type="pct"/>
            <w:vAlign w:val="center"/>
          </w:tcPr>
          <w:p w14:paraId="6D64FB22">
            <w:pPr>
              <w:pStyle w:val="12"/>
              <w:jc w:val="left"/>
            </w:pPr>
            <w:r>
              <w:rPr>
                <w:rFonts w:hint="eastAsia"/>
              </w:rPr>
              <w:t>1949年12月在江西信丰县九渡水灌坑被捕，在信丰城被敌人烧死</w:t>
            </w:r>
          </w:p>
        </w:tc>
      </w:tr>
      <w:tr w14:paraId="048AF8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23ED43E">
            <w:pPr>
              <w:pStyle w:val="12"/>
              <w:jc w:val="center"/>
            </w:pPr>
            <w:r>
              <w:rPr>
                <w:rFonts w:hint="eastAsia"/>
              </w:rPr>
              <w:t>吴学胜</w:t>
            </w:r>
          </w:p>
        </w:tc>
        <w:tc>
          <w:tcPr>
            <w:tcW w:w="388" w:type="pct"/>
            <w:vAlign w:val="center"/>
          </w:tcPr>
          <w:p w14:paraId="00DA8473">
            <w:pPr>
              <w:pStyle w:val="12"/>
              <w:jc w:val="center"/>
            </w:pPr>
            <w:r>
              <w:rPr>
                <w:rFonts w:hint="eastAsia"/>
              </w:rPr>
              <w:t>男</w:t>
            </w:r>
          </w:p>
        </w:tc>
        <w:tc>
          <w:tcPr>
            <w:tcW w:w="582" w:type="pct"/>
            <w:vAlign w:val="center"/>
          </w:tcPr>
          <w:p w14:paraId="675B67E4">
            <w:pPr>
              <w:pStyle w:val="12"/>
              <w:jc w:val="center"/>
            </w:pPr>
            <w:r>
              <w:rPr>
                <w:rFonts w:hint="eastAsia"/>
              </w:rPr>
              <w:t>1927年</w:t>
            </w:r>
          </w:p>
        </w:tc>
        <w:tc>
          <w:tcPr>
            <w:tcW w:w="582" w:type="pct"/>
            <w:vAlign w:val="center"/>
          </w:tcPr>
          <w:p w14:paraId="42854BBE">
            <w:pPr>
              <w:pStyle w:val="12"/>
              <w:jc w:val="center"/>
            </w:pPr>
            <w:r>
              <w:rPr>
                <w:rFonts w:hint="eastAsia"/>
              </w:rPr>
              <w:t>水口镇</w:t>
            </w:r>
          </w:p>
        </w:tc>
        <w:tc>
          <w:tcPr>
            <w:tcW w:w="708" w:type="pct"/>
            <w:vAlign w:val="center"/>
          </w:tcPr>
          <w:p w14:paraId="10383FC8">
            <w:pPr>
              <w:pStyle w:val="12"/>
              <w:jc w:val="center"/>
            </w:pPr>
            <w:r>
              <w:rPr>
                <w:rFonts w:hint="eastAsia"/>
              </w:rPr>
              <w:t>1949年</w:t>
            </w:r>
          </w:p>
        </w:tc>
        <w:tc>
          <w:tcPr>
            <w:tcW w:w="940" w:type="pct"/>
            <w:vAlign w:val="center"/>
          </w:tcPr>
          <w:p w14:paraId="5D4DCD1C">
            <w:pPr>
              <w:pStyle w:val="12"/>
              <w:jc w:val="center"/>
              <w:rPr>
                <w:rFonts w:ascii="宋体" w:hAnsi="宋体" w:cs="宋体"/>
              </w:rPr>
            </w:pPr>
            <w:r>
              <w:rPr>
                <w:rFonts w:hint="eastAsia"/>
              </w:rPr>
              <w:t>解放军第四</w:t>
            </w:r>
          </w:p>
          <w:p w14:paraId="7B5C565E">
            <w:pPr>
              <w:pStyle w:val="12"/>
              <w:jc w:val="center"/>
            </w:pPr>
            <w:r>
              <w:rPr>
                <w:rFonts w:hint="eastAsia" w:ascii="宋体" w:hAnsi="宋体" w:cs="宋体"/>
              </w:rPr>
              <w:t>野战军战士</w:t>
            </w:r>
          </w:p>
        </w:tc>
        <w:tc>
          <w:tcPr>
            <w:tcW w:w="1160" w:type="pct"/>
            <w:vAlign w:val="center"/>
          </w:tcPr>
          <w:p w14:paraId="4B8AA47F">
            <w:pPr>
              <w:pStyle w:val="12"/>
              <w:jc w:val="left"/>
            </w:pPr>
            <w:r>
              <w:rPr>
                <w:rFonts w:hint="eastAsia"/>
              </w:rPr>
              <w:t>1950年在广西战斗牺牲</w:t>
            </w:r>
          </w:p>
        </w:tc>
      </w:tr>
      <w:tr w14:paraId="6D1035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C1E42F7">
            <w:pPr>
              <w:pStyle w:val="12"/>
              <w:jc w:val="center"/>
            </w:pPr>
            <w:r>
              <w:rPr>
                <w:rFonts w:hint="eastAsia"/>
              </w:rPr>
              <w:t>廖平安</w:t>
            </w:r>
          </w:p>
        </w:tc>
        <w:tc>
          <w:tcPr>
            <w:tcW w:w="388" w:type="pct"/>
            <w:vAlign w:val="center"/>
          </w:tcPr>
          <w:p w14:paraId="763FFDAF">
            <w:pPr>
              <w:pStyle w:val="12"/>
              <w:jc w:val="center"/>
            </w:pPr>
            <w:r>
              <w:rPr>
                <w:rFonts w:hint="eastAsia"/>
              </w:rPr>
              <w:t>男</w:t>
            </w:r>
          </w:p>
        </w:tc>
        <w:tc>
          <w:tcPr>
            <w:tcW w:w="582" w:type="pct"/>
            <w:vAlign w:val="center"/>
          </w:tcPr>
          <w:p w14:paraId="2292F56A">
            <w:pPr>
              <w:pStyle w:val="12"/>
              <w:jc w:val="center"/>
            </w:pPr>
            <w:r>
              <w:rPr>
                <w:rFonts w:hint="eastAsia"/>
              </w:rPr>
              <w:t>1921年</w:t>
            </w:r>
          </w:p>
        </w:tc>
        <w:tc>
          <w:tcPr>
            <w:tcW w:w="582" w:type="pct"/>
            <w:vAlign w:val="center"/>
          </w:tcPr>
          <w:p w14:paraId="457B15D6">
            <w:pPr>
              <w:pStyle w:val="12"/>
              <w:jc w:val="center"/>
            </w:pPr>
            <w:r>
              <w:rPr>
                <w:rFonts w:hint="eastAsia"/>
              </w:rPr>
              <w:t>黄坑镇</w:t>
            </w:r>
          </w:p>
        </w:tc>
        <w:tc>
          <w:tcPr>
            <w:tcW w:w="708" w:type="pct"/>
            <w:vAlign w:val="center"/>
          </w:tcPr>
          <w:p w14:paraId="1EDFF4B8">
            <w:pPr>
              <w:pStyle w:val="12"/>
              <w:jc w:val="center"/>
            </w:pPr>
            <w:r>
              <w:rPr>
                <w:rFonts w:hint="eastAsia"/>
              </w:rPr>
              <w:t>1948年10月</w:t>
            </w:r>
          </w:p>
        </w:tc>
        <w:tc>
          <w:tcPr>
            <w:tcW w:w="940" w:type="pct"/>
            <w:vAlign w:val="center"/>
          </w:tcPr>
          <w:p w14:paraId="350079DA">
            <w:pPr>
              <w:pStyle w:val="12"/>
              <w:jc w:val="center"/>
              <w:rPr>
                <w:rFonts w:ascii="宋体" w:hAnsi="宋体" w:cs="宋体"/>
              </w:rPr>
            </w:pPr>
            <w:r>
              <w:rPr>
                <w:rFonts w:hint="eastAsia"/>
              </w:rPr>
              <w:t>中国人民志</w:t>
            </w:r>
          </w:p>
          <w:p w14:paraId="42B70BD8">
            <w:pPr>
              <w:pStyle w:val="12"/>
              <w:jc w:val="center"/>
            </w:pPr>
            <w:r>
              <w:rPr>
                <w:rFonts w:hint="eastAsia" w:ascii="宋体" w:hAnsi="宋体" w:cs="宋体"/>
              </w:rPr>
              <w:t>愿军战士</w:t>
            </w:r>
          </w:p>
        </w:tc>
        <w:tc>
          <w:tcPr>
            <w:tcW w:w="1160" w:type="pct"/>
            <w:vAlign w:val="center"/>
          </w:tcPr>
          <w:p w14:paraId="77BA8ACB">
            <w:pPr>
              <w:pStyle w:val="12"/>
              <w:jc w:val="left"/>
            </w:pPr>
            <w:r>
              <w:rPr>
                <w:rFonts w:hint="eastAsia"/>
              </w:rPr>
              <w:t>1950年11月在朝鲜战场牺牲</w:t>
            </w:r>
          </w:p>
        </w:tc>
      </w:tr>
      <w:tr w14:paraId="72EAC9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A2873AD">
            <w:pPr>
              <w:pStyle w:val="12"/>
              <w:jc w:val="center"/>
            </w:pPr>
            <w:r>
              <w:rPr>
                <w:rFonts w:hint="eastAsia"/>
              </w:rPr>
              <w:t>袁风秀</w:t>
            </w:r>
          </w:p>
        </w:tc>
        <w:tc>
          <w:tcPr>
            <w:tcW w:w="388" w:type="pct"/>
            <w:vAlign w:val="center"/>
          </w:tcPr>
          <w:p w14:paraId="38933159">
            <w:pPr>
              <w:pStyle w:val="12"/>
              <w:jc w:val="center"/>
            </w:pPr>
            <w:r>
              <w:rPr>
                <w:rFonts w:hint="eastAsia"/>
              </w:rPr>
              <w:t>男</w:t>
            </w:r>
          </w:p>
        </w:tc>
        <w:tc>
          <w:tcPr>
            <w:tcW w:w="582" w:type="pct"/>
            <w:vAlign w:val="center"/>
          </w:tcPr>
          <w:p w14:paraId="29E9C5A8">
            <w:pPr>
              <w:pStyle w:val="12"/>
              <w:jc w:val="center"/>
            </w:pPr>
            <w:r>
              <w:rPr>
                <w:rFonts w:hint="eastAsia"/>
              </w:rPr>
              <w:t>1918年</w:t>
            </w:r>
          </w:p>
        </w:tc>
        <w:tc>
          <w:tcPr>
            <w:tcW w:w="582" w:type="pct"/>
            <w:vAlign w:val="center"/>
          </w:tcPr>
          <w:p w14:paraId="5C67C4D7">
            <w:pPr>
              <w:pStyle w:val="12"/>
              <w:jc w:val="center"/>
            </w:pPr>
            <w:r>
              <w:rPr>
                <w:rFonts w:hint="eastAsia"/>
              </w:rPr>
              <w:t>水口镇</w:t>
            </w:r>
          </w:p>
        </w:tc>
        <w:tc>
          <w:tcPr>
            <w:tcW w:w="708" w:type="pct"/>
            <w:vAlign w:val="center"/>
          </w:tcPr>
          <w:p w14:paraId="2626BB52">
            <w:pPr>
              <w:pStyle w:val="12"/>
              <w:jc w:val="center"/>
            </w:pPr>
            <w:r>
              <w:rPr>
                <w:rFonts w:hint="eastAsia"/>
              </w:rPr>
              <w:t>1950年</w:t>
            </w:r>
          </w:p>
        </w:tc>
        <w:tc>
          <w:tcPr>
            <w:tcW w:w="940" w:type="pct"/>
            <w:vAlign w:val="center"/>
          </w:tcPr>
          <w:p w14:paraId="1ACFD29A">
            <w:pPr>
              <w:pStyle w:val="12"/>
              <w:jc w:val="center"/>
              <w:rPr>
                <w:rFonts w:ascii="宋体" w:hAnsi="宋体" w:cs="宋体"/>
              </w:rPr>
            </w:pPr>
            <w:r>
              <w:rPr>
                <w:rFonts w:hint="eastAsia"/>
              </w:rPr>
              <w:t>中国人民志</w:t>
            </w:r>
          </w:p>
          <w:p w14:paraId="5DB42324">
            <w:pPr>
              <w:pStyle w:val="12"/>
              <w:jc w:val="center"/>
            </w:pPr>
            <w:r>
              <w:rPr>
                <w:rFonts w:hint="eastAsia" w:ascii="宋体" w:hAnsi="宋体" w:cs="宋体"/>
              </w:rPr>
              <w:t>愿军战士</w:t>
            </w:r>
          </w:p>
        </w:tc>
        <w:tc>
          <w:tcPr>
            <w:tcW w:w="1160" w:type="pct"/>
            <w:vAlign w:val="center"/>
          </w:tcPr>
          <w:p w14:paraId="338FA859">
            <w:pPr>
              <w:pStyle w:val="12"/>
              <w:jc w:val="left"/>
            </w:pPr>
            <w:r>
              <w:rPr>
                <w:rFonts w:hint="eastAsia"/>
              </w:rPr>
              <w:t>1950年在朝鲜战场牺牲</w:t>
            </w:r>
          </w:p>
        </w:tc>
      </w:tr>
      <w:tr w14:paraId="75B967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DDAC35B">
            <w:pPr>
              <w:pStyle w:val="12"/>
              <w:jc w:val="center"/>
            </w:pPr>
            <w:r>
              <w:rPr>
                <w:rFonts w:hint="eastAsia"/>
              </w:rPr>
              <w:t>林国芳</w:t>
            </w:r>
          </w:p>
        </w:tc>
        <w:tc>
          <w:tcPr>
            <w:tcW w:w="388" w:type="pct"/>
            <w:vAlign w:val="center"/>
          </w:tcPr>
          <w:p w14:paraId="77F31BAC">
            <w:pPr>
              <w:pStyle w:val="12"/>
              <w:jc w:val="center"/>
            </w:pPr>
            <w:r>
              <w:rPr>
                <w:rFonts w:hint="eastAsia"/>
              </w:rPr>
              <w:t>男</w:t>
            </w:r>
          </w:p>
        </w:tc>
        <w:tc>
          <w:tcPr>
            <w:tcW w:w="582" w:type="pct"/>
            <w:vAlign w:val="center"/>
          </w:tcPr>
          <w:p w14:paraId="2D22A5D6">
            <w:pPr>
              <w:pStyle w:val="12"/>
              <w:jc w:val="center"/>
            </w:pPr>
            <w:r>
              <w:rPr>
                <w:rFonts w:hint="eastAsia"/>
              </w:rPr>
              <w:t>1916年</w:t>
            </w:r>
          </w:p>
        </w:tc>
        <w:tc>
          <w:tcPr>
            <w:tcW w:w="582" w:type="pct"/>
            <w:vAlign w:val="center"/>
          </w:tcPr>
          <w:p w14:paraId="635BE770">
            <w:pPr>
              <w:pStyle w:val="12"/>
              <w:jc w:val="center"/>
            </w:pPr>
            <w:r>
              <w:rPr>
                <w:rFonts w:hint="eastAsia"/>
              </w:rPr>
              <w:t>水口镇</w:t>
            </w:r>
          </w:p>
        </w:tc>
        <w:tc>
          <w:tcPr>
            <w:tcW w:w="708" w:type="pct"/>
            <w:vAlign w:val="center"/>
          </w:tcPr>
          <w:p w14:paraId="44D11D72">
            <w:pPr>
              <w:pStyle w:val="12"/>
              <w:jc w:val="center"/>
            </w:pPr>
            <w:r>
              <w:rPr>
                <w:rFonts w:hint="eastAsia"/>
              </w:rPr>
              <w:t>1947年</w:t>
            </w:r>
          </w:p>
        </w:tc>
        <w:tc>
          <w:tcPr>
            <w:tcW w:w="940" w:type="pct"/>
            <w:vAlign w:val="center"/>
          </w:tcPr>
          <w:p w14:paraId="768AE6E7">
            <w:pPr>
              <w:pStyle w:val="12"/>
              <w:jc w:val="center"/>
              <w:rPr>
                <w:rFonts w:ascii="宋体" w:hAnsi="宋体" w:cs="宋体"/>
              </w:rPr>
            </w:pPr>
            <w:r>
              <w:rPr>
                <w:rFonts w:hint="eastAsia"/>
              </w:rPr>
              <w:t>中国人民志</w:t>
            </w:r>
          </w:p>
          <w:p w14:paraId="66E19FEF">
            <w:pPr>
              <w:pStyle w:val="12"/>
              <w:jc w:val="center"/>
            </w:pPr>
            <w:r>
              <w:rPr>
                <w:rFonts w:hint="eastAsia" w:ascii="宋体" w:hAnsi="宋体" w:cs="宋体"/>
              </w:rPr>
              <w:t>愿军战士</w:t>
            </w:r>
          </w:p>
        </w:tc>
        <w:tc>
          <w:tcPr>
            <w:tcW w:w="1160" w:type="pct"/>
            <w:vAlign w:val="center"/>
          </w:tcPr>
          <w:p w14:paraId="435960D6">
            <w:pPr>
              <w:pStyle w:val="12"/>
              <w:jc w:val="left"/>
            </w:pPr>
            <w:r>
              <w:rPr>
                <w:rFonts w:hint="eastAsia"/>
              </w:rPr>
              <w:t>1950年11月28日在朝鲜咸镜南道战场牺牲</w:t>
            </w:r>
          </w:p>
        </w:tc>
      </w:tr>
      <w:tr w14:paraId="60B221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0D314DB">
            <w:pPr>
              <w:pStyle w:val="12"/>
              <w:jc w:val="center"/>
            </w:pPr>
            <w:r>
              <w:rPr>
                <w:rFonts w:hint="eastAsia"/>
              </w:rPr>
              <w:t>张大升</w:t>
            </w:r>
          </w:p>
        </w:tc>
        <w:tc>
          <w:tcPr>
            <w:tcW w:w="388" w:type="pct"/>
            <w:vAlign w:val="center"/>
          </w:tcPr>
          <w:p w14:paraId="0D8AD258">
            <w:pPr>
              <w:pStyle w:val="12"/>
              <w:jc w:val="center"/>
            </w:pPr>
            <w:r>
              <w:rPr>
                <w:rFonts w:hint="eastAsia"/>
              </w:rPr>
              <w:t>男</w:t>
            </w:r>
          </w:p>
        </w:tc>
        <w:tc>
          <w:tcPr>
            <w:tcW w:w="582" w:type="pct"/>
            <w:vAlign w:val="center"/>
          </w:tcPr>
          <w:p w14:paraId="1B88B8E9">
            <w:pPr>
              <w:pStyle w:val="12"/>
              <w:jc w:val="center"/>
            </w:pPr>
            <w:r>
              <w:rPr>
                <w:rFonts w:hint="eastAsia"/>
              </w:rPr>
              <w:t>1924年</w:t>
            </w:r>
          </w:p>
        </w:tc>
        <w:tc>
          <w:tcPr>
            <w:tcW w:w="582" w:type="pct"/>
            <w:vAlign w:val="center"/>
          </w:tcPr>
          <w:p w14:paraId="6D3F3C03">
            <w:pPr>
              <w:pStyle w:val="12"/>
              <w:jc w:val="center"/>
            </w:pPr>
            <w:r>
              <w:rPr>
                <w:rFonts w:hint="eastAsia"/>
              </w:rPr>
              <w:t>水口镇</w:t>
            </w:r>
          </w:p>
        </w:tc>
        <w:tc>
          <w:tcPr>
            <w:tcW w:w="708" w:type="pct"/>
            <w:vAlign w:val="center"/>
          </w:tcPr>
          <w:p w14:paraId="6674AD09">
            <w:pPr>
              <w:pStyle w:val="12"/>
              <w:jc w:val="center"/>
            </w:pPr>
            <w:r>
              <w:rPr>
                <w:rFonts w:hint="eastAsia"/>
              </w:rPr>
              <w:t>1949年</w:t>
            </w:r>
          </w:p>
        </w:tc>
        <w:tc>
          <w:tcPr>
            <w:tcW w:w="940" w:type="pct"/>
            <w:vAlign w:val="center"/>
          </w:tcPr>
          <w:p w14:paraId="1531E06B">
            <w:pPr>
              <w:pStyle w:val="12"/>
              <w:jc w:val="center"/>
            </w:pPr>
            <w:r>
              <w:rPr>
                <w:rFonts w:hint="eastAsia"/>
              </w:rPr>
              <w:t>水口区民兵</w:t>
            </w:r>
          </w:p>
        </w:tc>
        <w:tc>
          <w:tcPr>
            <w:tcW w:w="1160" w:type="pct"/>
            <w:vAlign w:val="center"/>
          </w:tcPr>
          <w:p w14:paraId="623A72B1">
            <w:pPr>
              <w:pStyle w:val="12"/>
              <w:jc w:val="left"/>
            </w:pPr>
            <w:r>
              <w:rPr>
                <w:rFonts w:hint="eastAsia"/>
              </w:rPr>
              <w:t>1950年在保卫水口区公所战斗中牺牲</w:t>
            </w:r>
          </w:p>
        </w:tc>
      </w:tr>
      <w:tr w14:paraId="4C6D7A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2AD466E">
            <w:pPr>
              <w:pStyle w:val="12"/>
              <w:jc w:val="center"/>
            </w:pPr>
            <w:r>
              <w:rPr>
                <w:rFonts w:hint="eastAsia"/>
              </w:rPr>
              <w:t>蔡昌明</w:t>
            </w:r>
          </w:p>
        </w:tc>
        <w:tc>
          <w:tcPr>
            <w:tcW w:w="388" w:type="pct"/>
            <w:vAlign w:val="center"/>
          </w:tcPr>
          <w:p w14:paraId="20E772DA">
            <w:pPr>
              <w:pStyle w:val="12"/>
              <w:jc w:val="center"/>
            </w:pPr>
            <w:r>
              <w:rPr>
                <w:rFonts w:hint="eastAsia"/>
              </w:rPr>
              <w:t>男</w:t>
            </w:r>
          </w:p>
        </w:tc>
        <w:tc>
          <w:tcPr>
            <w:tcW w:w="582" w:type="pct"/>
            <w:vAlign w:val="center"/>
          </w:tcPr>
          <w:p w14:paraId="36F8DFFF">
            <w:pPr>
              <w:pStyle w:val="12"/>
              <w:jc w:val="center"/>
            </w:pPr>
            <w:r>
              <w:rPr>
                <w:rFonts w:hint="eastAsia"/>
              </w:rPr>
              <w:t>1922年</w:t>
            </w:r>
          </w:p>
        </w:tc>
        <w:tc>
          <w:tcPr>
            <w:tcW w:w="582" w:type="pct"/>
            <w:vAlign w:val="center"/>
          </w:tcPr>
          <w:p w14:paraId="0D66378A">
            <w:pPr>
              <w:pStyle w:val="12"/>
              <w:jc w:val="center"/>
            </w:pPr>
            <w:r>
              <w:rPr>
                <w:rFonts w:hint="eastAsia"/>
              </w:rPr>
              <w:t>南亩镇</w:t>
            </w:r>
          </w:p>
        </w:tc>
        <w:tc>
          <w:tcPr>
            <w:tcW w:w="708" w:type="pct"/>
            <w:vAlign w:val="center"/>
          </w:tcPr>
          <w:p w14:paraId="14D196EC">
            <w:pPr>
              <w:pStyle w:val="12"/>
              <w:jc w:val="center"/>
            </w:pPr>
            <w:r>
              <w:rPr>
                <w:rFonts w:hint="eastAsia"/>
              </w:rPr>
              <w:t>1948年8月</w:t>
            </w:r>
          </w:p>
        </w:tc>
        <w:tc>
          <w:tcPr>
            <w:tcW w:w="940" w:type="pct"/>
            <w:vAlign w:val="center"/>
          </w:tcPr>
          <w:p w14:paraId="1106F7D0">
            <w:pPr>
              <w:pStyle w:val="12"/>
              <w:jc w:val="center"/>
            </w:pPr>
            <w:r>
              <w:rPr>
                <w:rFonts w:hint="eastAsia"/>
              </w:rPr>
              <w:t>剿匪工作队班长</w:t>
            </w:r>
          </w:p>
        </w:tc>
        <w:tc>
          <w:tcPr>
            <w:tcW w:w="1160" w:type="pct"/>
            <w:vAlign w:val="center"/>
          </w:tcPr>
          <w:p w14:paraId="7A6ACA53">
            <w:pPr>
              <w:pStyle w:val="12"/>
              <w:jc w:val="left"/>
            </w:pPr>
            <w:r>
              <w:rPr>
                <w:rFonts w:hint="eastAsia"/>
              </w:rPr>
              <w:t>1950年4月，在乐昌县剿匪战斗牺牲</w:t>
            </w:r>
          </w:p>
        </w:tc>
      </w:tr>
      <w:tr w14:paraId="7380F16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70C44C4">
            <w:pPr>
              <w:pStyle w:val="12"/>
              <w:jc w:val="center"/>
            </w:pPr>
            <w:r>
              <w:rPr>
                <w:rFonts w:hint="eastAsia"/>
              </w:rPr>
              <w:t>赖日昆</w:t>
            </w:r>
          </w:p>
        </w:tc>
        <w:tc>
          <w:tcPr>
            <w:tcW w:w="388" w:type="pct"/>
            <w:vAlign w:val="center"/>
          </w:tcPr>
          <w:p w14:paraId="3B973EB0">
            <w:pPr>
              <w:pStyle w:val="12"/>
              <w:jc w:val="center"/>
            </w:pPr>
            <w:r>
              <w:rPr>
                <w:rFonts w:hint="eastAsia"/>
              </w:rPr>
              <w:t>男</w:t>
            </w:r>
          </w:p>
        </w:tc>
        <w:tc>
          <w:tcPr>
            <w:tcW w:w="582" w:type="pct"/>
            <w:vAlign w:val="center"/>
          </w:tcPr>
          <w:p w14:paraId="5DFE94CA">
            <w:pPr>
              <w:pStyle w:val="12"/>
              <w:jc w:val="center"/>
            </w:pPr>
            <w:r>
              <w:rPr>
                <w:rFonts w:hint="eastAsia"/>
              </w:rPr>
              <w:t>1918年</w:t>
            </w:r>
          </w:p>
        </w:tc>
        <w:tc>
          <w:tcPr>
            <w:tcW w:w="582" w:type="pct"/>
            <w:vAlign w:val="center"/>
          </w:tcPr>
          <w:p w14:paraId="1CA124EF">
            <w:pPr>
              <w:pStyle w:val="12"/>
              <w:jc w:val="center"/>
            </w:pPr>
            <w:r>
              <w:rPr>
                <w:rFonts w:hint="eastAsia"/>
              </w:rPr>
              <w:t>乌迳镇</w:t>
            </w:r>
          </w:p>
        </w:tc>
        <w:tc>
          <w:tcPr>
            <w:tcW w:w="708" w:type="pct"/>
            <w:vAlign w:val="center"/>
          </w:tcPr>
          <w:p w14:paraId="087F2D70">
            <w:pPr>
              <w:pStyle w:val="12"/>
              <w:jc w:val="center"/>
            </w:pPr>
            <w:r>
              <w:rPr>
                <w:rFonts w:hint="eastAsia"/>
              </w:rPr>
              <w:t>1949年</w:t>
            </w:r>
          </w:p>
        </w:tc>
        <w:tc>
          <w:tcPr>
            <w:tcW w:w="940" w:type="pct"/>
            <w:vAlign w:val="center"/>
          </w:tcPr>
          <w:p w14:paraId="7541C735">
            <w:pPr>
              <w:pStyle w:val="12"/>
              <w:jc w:val="center"/>
              <w:rPr>
                <w:rFonts w:ascii="宋体" w:hAnsi="宋体" w:cs="宋体"/>
              </w:rPr>
            </w:pPr>
            <w:r>
              <w:rPr>
                <w:rFonts w:hint="eastAsia"/>
              </w:rPr>
              <w:t>南雄县征粮</w:t>
            </w:r>
          </w:p>
          <w:p w14:paraId="78DDC594">
            <w:pPr>
              <w:pStyle w:val="12"/>
              <w:jc w:val="center"/>
            </w:pPr>
            <w:r>
              <w:rPr>
                <w:rFonts w:hint="eastAsia" w:ascii="宋体" w:hAnsi="宋体" w:cs="宋体"/>
              </w:rPr>
              <w:t>队小组长</w:t>
            </w:r>
          </w:p>
        </w:tc>
        <w:tc>
          <w:tcPr>
            <w:tcW w:w="1160" w:type="pct"/>
            <w:vAlign w:val="center"/>
          </w:tcPr>
          <w:p w14:paraId="2F1C0D19">
            <w:pPr>
              <w:pStyle w:val="12"/>
              <w:jc w:val="left"/>
            </w:pPr>
            <w:r>
              <w:rPr>
                <w:rFonts w:hint="eastAsia"/>
              </w:rPr>
              <w:t>1950年在孔班村征粮被土匪伏击牺牲</w:t>
            </w:r>
          </w:p>
        </w:tc>
      </w:tr>
      <w:tr w14:paraId="1EB63A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ECCF7FF">
            <w:pPr>
              <w:pStyle w:val="12"/>
              <w:jc w:val="center"/>
            </w:pPr>
            <w:r>
              <w:rPr>
                <w:rFonts w:hint="eastAsia"/>
              </w:rPr>
              <w:t>陈盛利</w:t>
            </w:r>
          </w:p>
        </w:tc>
        <w:tc>
          <w:tcPr>
            <w:tcW w:w="388" w:type="pct"/>
            <w:vAlign w:val="center"/>
          </w:tcPr>
          <w:p w14:paraId="127EDDF9">
            <w:pPr>
              <w:pStyle w:val="12"/>
              <w:jc w:val="center"/>
            </w:pPr>
            <w:r>
              <w:rPr>
                <w:rFonts w:hint="eastAsia"/>
              </w:rPr>
              <w:t>男</w:t>
            </w:r>
          </w:p>
        </w:tc>
        <w:tc>
          <w:tcPr>
            <w:tcW w:w="582" w:type="pct"/>
            <w:vAlign w:val="center"/>
          </w:tcPr>
          <w:p w14:paraId="2F8B7D5B">
            <w:pPr>
              <w:pStyle w:val="12"/>
              <w:jc w:val="center"/>
            </w:pPr>
            <w:r>
              <w:rPr>
                <w:rFonts w:hint="eastAsia"/>
              </w:rPr>
              <w:t>1924年</w:t>
            </w:r>
          </w:p>
        </w:tc>
        <w:tc>
          <w:tcPr>
            <w:tcW w:w="582" w:type="pct"/>
            <w:vAlign w:val="center"/>
          </w:tcPr>
          <w:p w14:paraId="289B3F83">
            <w:pPr>
              <w:pStyle w:val="12"/>
              <w:jc w:val="center"/>
            </w:pPr>
            <w:r>
              <w:rPr>
                <w:rFonts w:hint="eastAsia"/>
              </w:rPr>
              <w:t>乌迳镇</w:t>
            </w:r>
          </w:p>
        </w:tc>
        <w:tc>
          <w:tcPr>
            <w:tcW w:w="708" w:type="pct"/>
            <w:vAlign w:val="center"/>
          </w:tcPr>
          <w:p w14:paraId="45245135">
            <w:pPr>
              <w:pStyle w:val="12"/>
              <w:jc w:val="center"/>
            </w:pPr>
            <w:r>
              <w:rPr>
                <w:rFonts w:hint="eastAsia"/>
              </w:rPr>
              <w:t>1948年</w:t>
            </w:r>
          </w:p>
        </w:tc>
        <w:tc>
          <w:tcPr>
            <w:tcW w:w="940" w:type="pct"/>
            <w:vAlign w:val="center"/>
          </w:tcPr>
          <w:p w14:paraId="6A58F4F5">
            <w:pPr>
              <w:pStyle w:val="12"/>
              <w:jc w:val="center"/>
              <w:rPr>
                <w:rFonts w:ascii="宋体" w:hAnsi="宋体" w:cs="宋体"/>
              </w:rPr>
            </w:pPr>
            <w:r>
              <w:rPr>
                <w:rFonts w:hint="eastAsia"/>
              </w:rPr>
              <w:t>中国人民志</w:t>
            </w:r>
          </w:p>
          <w:p w14:paraId="2412A3DE">
            <w:pPr>
              <w:pStyle w:val="12"/>
              <w:jc w:val="center"/>
            </w:pPr>
            <w:r>
              <w:rPr>
                <w:rFonts w:hint="eastAsia" w:ascii="宋体" w:hAnsi="宋体" w:cs="宋体"/>
              </w:rPr>
              <w:t>愿军战士</w:t>
            </w:r>
          </w:p>
        </w:tc>
        <w:tc>
          <w:tcPr>
            <w:tcW w:w="1160" w:type="pct"/>
            <w:vAlign w:val="center"/>
          </w:tcPr>
          <w:p w14:paraId="20354907">
            <w:pPr>
              <w:pStyle w:val="12"/>
              <w:jc w:val="left"/>
            </w:pPr>
            <w:r>
              <w:rPr>
                <w:rFonts w:hint="eastAsia"/>
              </w:rPr>
              <w:t>1950年在朝鲜战场牺牲</w:t>
            </w:r>
          </w:p>
        </w:tc>
      </w:tr>
      <w:tr w14:paraId="2C5455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7507630">
            <w:pPr>
              <w:pStyle w:val="12"/>
              <w:jc w:val="center"/>
            </w:pPr>
            <w:r>
              <w:rPr>
                <w:rFonts w:hint="eastAsia"/>
              </w:rPr>
              <w:t>叶新发</w:t>
            </w:r>
          </w:p>
        </w:tc>
        <w:tc>
          <w:tcPr>
            <w:tcW w:w="388" w:type="pct"/>
            <w:vAlign w:val="center"/>
          </w:tcPr>
          <w:p w14:paraId="35DF9215">
            <w:pPr>
              <w:pStyle w:val="12"/>
              <w:jc w:val="center"/>
            </w:pPr>
            <w:r>
              <w:rPr>
                <w:rFonts w:hint="eastAsia"/>
              </w:rPr>
              <w:t>男</w:t>
            </w:r>
          </w:p>
        </w:tc>
        <w:tc>
          <w:tcPr>
            <w:tcW w:w="582" w:type="pct"/>
            <w:vAlign w:val="center"/>
          </w:tcPr>
          <w:p w14:paraId="4D4B9769">
            <w:pPr>
              <w:pStyle w:val="12"/>
              <w:jc w:val="center"/>
            </w:pPr>
            <w:r>
              <w:rPr>
                <w:rFonts w:hint="eastAsia"/>
              </w:rPr>
              <w:t>1920年</w:t>
            </w:r>
          </w:p>
        </w:tc>
        <w:tc>
          <w:tcPr>
            <w:tcW w:w="582" w:type="pct"/>
            <w:vAlign w:val="center"/>
          </w:tcPr>
          <w:p w14:paraId="67207CBD">
            <w:pPr>
              <w:pStyle w:val="12"/>
              <w:jc w:val="center"/>
            </w:pPr>
            <w:r>
              <w:rPr>
                <w:rFonts w:hint="eastAsia"/>
              </w:rPr>
              <w:t>坪田镇</w:t>
            </w:r>
          </w:p>
        </w:tc>
        <w:tc>
          <w:tcPr>
            <w:tcW w:w="708" w:type="pct"/>
            <w:vAlign w:val="center"/>
          </w:tcPr>
          <w:p w14:paraId="716F1B4F">
            <w:pPr>
              <w:pStyle w:val="12"/>
              <w:jc w:val="center"/>
            </w:pPr>
            <w:r>
              <w:rPr>
                <w:rFonts w:hint="eastAsia"/>
              </w:rPr>
              <w:t>1947年</w:t>
            </w:r>
          </w:p>
        </w:tc>
        <w:tc>
          <w:tcPr>
            <w:tcW w:w="940" w:type="pct"/>
            <w:vAlign w:val="center"/>
          </w:tcPr>
          <w:p w14:paraId="4ED7C426">
            <w:pPr>
              <w:pStyle w:val="12"/>
              <w:jc w:val="center"/>
              <w:rPr>
                <w:rFonts w:ascii="宋体" w:hAnsi="宋体" w:cs="宋体"/>
              </w:rPr>
            </w:pPr>
            <w:r>
              <w:rPr>
                <w:rFonts w:hint="eastAsia"/>
              </w:rPr>
              <w:t>北江第二支</w:t>
            </w:r>
          </w:p>
          <w:p w14:paraId="53737CEA">
            <w:pPr>
              <w:pStyle w:val="12"/>
              <w:jc w:val="center"/>
            </w:pPr>
            <w:r>
              <w:rPr>
                <w:rFonts w:hint="eastAsia" w:ascii="宋体" w:hAnsi="宋体" w:cs="宋体"/>
              </w:rPr>
              <w:t>队  班  长</w:t>
            </w:r>
          </w:p>
        </w:tc>
        <w:tc>
          <w:tcPr>
            <w:tcW w:w="1160" w:type="pct"/>
            <w:vAlign w:val="center"/>
          </w:tcPr>
          <w:p w14:paraId="08F65CEB">
            <w:pPr>
              <w:pStyle w:val="12"/>
              <w:jc w:val="left"/>
            </w:pPr>
            <w:r>
              <w:rPr>
                <w:rFonts w:hint="eastAsia"/>
              </w:rPr>
              <w:t>1950年12月在江头圩剿匪战斗牺牲</w:t>
            </w:r>
          </w:p>
        </w:tc>
      </w:tr>
      <w:tr w14:paraId="13A282C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158345C">
            <w:pPr>
              <w:pStyle w:val="12"/>
              <w:jc w:val="center"/>
            </w:pPr>
            <w:r>
              <w:rPr>
                <w:rFonts w:hint="eastAsia"/>
              </w:rPr>
              <w:t>林应清</w:t>
            </w:r>
          </w:p>
        </w:tc>
        <w:tc>
          <w:tcPr>
            <w:tcW w:w="388" w:type="pct"/>
            <w:vAlign w:val="center"/>
          </w:tcPr>
          <w:p w14:paraId="4243B114">
            <w:pPr>
              <w:pStyle w:val="12"/>
              <w:jc w:val="center"/>
            </w:pPr>
            <w:r>
              <w:rPr>
                <w:rFonts w:hint="eastAsia"/>
              </w:rPr>
              <w:t>男</w:t>
            </w:r>
          </w:p>
        </w:tc>
        <w:tc>
          <w:tcPr>
            <w:tcW w:w="582" w:type="pct"/>
            <w:vAlign w:val="center"/>
          </w:tcPr>
          <w:p w14:paraId="26F022B9">
            <w:pPr>
              <w:pStyle w:val="12"/>
              <w:jc w:val="center"/>
            </w:pPr>
            <w:r>
              <w:rPr>
                <w:rFonts w:hint="eastAsia"/>
              </w:rPr>
              <w:t>1926年</w:t>
            </w:r>
          </w:p>
        </w:tc>
        <w:tc>
          <w:tcPr>
            <w:tcW w:w="582" w:type="pct"/>
            <w:vAlign w:val="center"/>
          </w:tcPr>
          <w:p w14:paraId="275480BE">
            <w:pPr>
              <w:pStyle w:val="12"/>
              <w:jc w:val="center"/>
            </w:pPr>
            <w:r>
              <w:rPr>
                <w:rFonts w:hint="eastAsia"/>
              </w:rPr>
              <w:t>雄州镇</w:t>
            </w:r>
          </w:p>
        </w:tc>
        <w:tc>
          <w:tcPr>
            <w:tcW w:w="708" w:type="pct"/>
            <w:vAlign w:val="center"/>
          </w:tcPr>
          <w:p w14:paraId="554916E8">
            <w:pPr>
              <w:pStyle w:val="12"/>
              <w:jc w:val="center"/>
            </w:pPr>
            <w:r>
              <w:rPr>
                <w:rFonts w:hint="eastAsia"/>
              </w:rPr>
              <w:t>1949年4月</w:t>
            </w:r>
          </w:p>
        </w:tc>
        <w:tc>
          <w:tcPr>
            <w:tcW w:w="940" w:type="pct"/>
            <w:vAlign w:val="center"/>
          </w:tcPr>
          <w:p w14:paraId="3B774C1F">
            <w:pPr>
              <w:pStyle w:val="12"/>
              <w:jc w:val="center"/>
              <w:rPr>
                <w:rFonts w:ascii="宋体" w:hAnsi="宋体" w:cs="宋体"/>
              </w:rPr>
            </w:pPr>
            <w:r>
              <w:rPr>
                <w:rFonts w:hint="eastAsia"/>
              </w:rPr>
              <w:t>中国人民解</w:t>
            </w:r>
          </w:p>
          <w:p w14:paraId="17F6A688">
            <w:pPr>
              <w:pStyle w:val="12"/>
              <w:jc w:val="center"/>
            </w:pPr>
            <w:r>
              <w:rPr>
                <w:rFonts w:hint="eastAsia" w:ascii="宋体" w:hAnsi="宋体" w:cs="宋体"/>
              </w:rPr>
              <w:t>放军战士</w:t>
            </w:r>
          </w:p>
        </w:tc>
        <w:tc>
          <w:tcPr>
            <w:tcW w:w="1160" w:type="pct"/>
            <w:vAlign w:val="center"/>
          </w:tcPr>
          <w:p w14:paraId="3D7F1961">
            <w:pPr>
              <w:pStyle w:val="12"/>
              <w:jc w:val="left"/>
            </w:pPr>
            <w:r>
              <w:rPr>
                <w:rFonts w:hint="eastAsia"/>
              </w:rPr>
              <w:t>1950年7月30日在部队因公牺牲</w:t>
            </w:r>
          </w:p>
        </w:tc>
      </w:tr>
      <w:tr w14:paraId="0BE1FA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7E21A00">
            <w:pPr>
              <w:pStyle w:val="12"/>
              <w:jc w:val="center"/>
            </w:pPr>
            <w:r>
              <w:rPr>
                <w:rFonts w:hint="eastAsia"/>
              </w:rPr>
              <w:t>刘烈凌</w:t>
            </w:r>
          </w:p>
        </w:tc>
        <w:tc>
          <w:tcPr>
            <w:tcW w:w="388" w:type="pct"/>
            <w:vAlign w:val="center"/>
          </w:tcPr>
          <w:p w14:paraId="2AEF2DBE">
            <w:pPr>
              <w:pStyle w:val="12"/>
              <w:jc w:val="center"/>
            </w:pPr>
            <w:r>
              <w:rPr>
                <w:rFonts w:hint="eastAsia"/>
              </w:rPr>
              <w:t>男</w:t>
            </w:r>
          </w:p>
        </w:tc>
        <w:tc>
          <w:tcPr>
            <w:tcW w:w="582" w:type="pct"/>
            <w:vAlign w:val="center"/>
          </w:tcPr>
          <w:p w14:paraId="1FBEA7DE">
            <w:pPr>
              <w:pStyle w:val="12"/>
              <w:jc w:val="center"/>
            </w:pPr>
            <w:r>
              <w:rPr>
                <w:rFonts w:hint="eastAsia"/>
              </w:rPr>
              <w:t>1931年</w:t>
            </w:r>
          </w:p>
        </w:tc>
        <w:tc>
          <w:tcPr>
            <w:tcW w:w="582" w:type="pct"/>
            <w:vAlign w:val="center"/>
          </w:tcPr>
          <w:p w14:paraId="476B5624">
            <w:pPr>
              <w:pStyle w:val="12"/>
              <w:jc w:val="center"/>
            </w:pPr>
            <w:r>
              <w:rPr>
                <w:rFonts w:hint="eastAsia"/>
              </w:rPr>
              <w:t>雄州镇</w:t>
            </w:r>
          </w:p>
        </w:tc>
        <w:tc>
          <w:tcPr>
            <w:tcW w:w="708" w:type="pct"/>
            <w:vAlign w:val="center"/>
          </w:tcPr>
          <w:p w14:paraId="1A4F6787">
            <w:pPr>
              <w:pStyle w:val="12"/>
              <w:jc w:val="center"/>
            </w:pPr>
            <w:r>
              <w:rPr>
                <w:rFonts w:hint="eastAsia"/>
              </w:rPr>
              <w:t>1949年</w:t>
            </w:r>
          </w:p>
        </w:tc>
        <w:tc>
          <w:tcPr>
            <w:tcW w:w="940" w:type="pct"/>
            <w:vAlign w:val="center"/>
          </w:tcPr>
          <w:p w14:paraId="1F53B2E0">
            <w:pPr>
              <w:pStyle w:val="12"/>
              <w:jc w:val="center"/>
            </w:pPr>
            <w:r>
              <w:rPr>
                <w:rFonts w:hint="eastAsia"/>
              </w:rPr>
              <w:t>北江第二支</w:t>
            </w:r>
          </w:p>
          <w:p w14:paraId="1C58AE41">
            <w:pPr>
              <w:pStyle w:val="12"/>
              <w:jc w:val="center"/>
            </w:pPr>
            <w:r>
              <w:rPr>
                <w:rFonts w:hint="eastAsia" w:ascii="宋体" w:hAnsi="宋体" w:cs="宋体"/>
              </w:rPr>
              <w:t>队收税员</w:t>
            </w:r>
          </w:p>
        </w:tc>
        <w:tc>
          <w:tcPr>
            <w:tcW w:w="1160" w:type="pct"/>
            <w:vAlign w:val="center"/>
          </w:tcPr>
          <w:p w14:paraId="3DAD606F">
            <w:pPr>
              <w:pStyle w:val="12"/>
              <w:jc w:val="left"/>
            </w:pPr>
            <w:r>
              <w:rPr>
                <w:rFonts w:hint="eastAsia"/>
              </w:rPr>
              <w:t>1950年1月在大塘收税，被土匪伏击，战斗牺牲</w:t>
            </w:r>
          </w:p>
        </w:tc>
      </w:tr>
      <w:tr w14:paraId="38CF79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3CCC885">
            <w:pPr>
              <w:pStyle w:val="12"/>
              <w:jc w:val="center"/>
            </w:pPr>
            <w:r>
              <w:rPr>
                <w:rFonts w:hint="eastAsia"/>
              </w:rPr>
              <w:t>王  辉</w:t>
            </w:r>
            <w:r>
              <w:rPr>
                <w:rFonts w:hint="eastAsia" w:ascii="宋体" w:hAnsi="宋体" w:cs="宋体"/>
              </w:rPr>
              <w:t>（显乐）</w:t>
            </w:r>
          </w:p>
        </w:tc>
        <w:tc>
          <w:tcPr>
            <w:tcW w:w="388" w:type="pct"/>
            <w:vAlign w:val="center"/>
          </w:tcPr>
          <w:p w14:paraId="75AE4013">
            <w:pPr>
              <w:pStyle w:val="12"/>
              <w:jc w:val="center"/>
            </w:pPr>
            <w:r>
              <w:rPr>
                <w:rFonts w:hint="eastAsia"/>
              </w:rPr>
              <w:t>男</w:t>
            </w:r>
          </w:p>
        </w:tc>
        <w:tc>
          <w:tcPr>
            <w:tcW w:w="582" w:type="pct"/>
            <w:vAlign w:val="center"/>
          </w:tcPr>
          <w:p w14:paraId="344D1820">
            <w:pPr>
              <w:pStyle w:val="12"/>
              <w:jc w:val="center"/>
            </w:pPr>
            <w:r>
              <w:rPr>
                <w:rFonts w:hint="eastAsia"/>
              </w:rPr>
              <w:t>1934年</w:t>
            </w:r>
          </w:p>
        </w:tc>
        <w:tc>
          <w:tcPr>
            <w:tcW w:w="582" w:type="pct"/>
            <w:vAlign w:val="center"/>
          </w:tcPr>
          <w:p w14:paraId="405C5BEA">
            <w:pPr>
              <w:pStyle w:val="12"/>
              <w:jc w:val="center"/>
            </w:pPr>
            <w:r>
              <w:rPr>
                <w:rFonts w:hint="eastAsia"/>
              </w:rPr>
              <w:t>雄州镇</w:t>
            </w:r>
          </w:p>
        </w:tc>
        <w:tc>
          <w:tcPr>
            <w:tcW w:w="708" w:type="pct"/>
            <w:vAlign w:val="center"/>
          </w:tcPr>
          <w:p w14:paraId="3EC4267A">
            <w:pPr>
              <w:pStyle w:val="12"/>
              <w:jc w:val="center"/>
            </w:pPr>
            <w:r>
              <w:rPr>
                <w:rFonts w:hint="eastAsia"/>
              </w:rPr>
              <w:t>1948年</w:t>
            </w:r>
          </w:p>
        </w:tc>
        <w:tc>
          <w:tcPr>
            <w:tcW w:w="940" w:type="pct"/>
            <w:vAlign w:val="center"/>
          </w:tcPr>
          <w:p w14:paraId="5D913367">
            <w:pPr>
              <w:pStyle w:val="12"/>
              <w:jc w:val="center"/>
            </w:pPr>
            <w:r>
              <w:rPr>
                <w:rFonts w:hint="eastAsia"/>
              </w:rPr>
              <w:t>0060部队战士</w:t>
            </w:r>
          </w:p>
        </w:tc>
        <w:tc>
          <w:tcPr>
            <w:tcW w:w="1160" w:type="pct"/>
            <w:vAlign w:val="center"/>
          </w:tcPr>
          <w:p w14:paraId="3FBF7CC8">
            <w:pPr>
              <w:pStyle w:val="12"/>
              <w:jc w:val="left"/>
            </w:pPr>
            <w:r>
              <w:rPr>
                <w:rFonts w:hint="eastAsia"/>
              </w:rPr>
              <w:t>1950年6月在云南剿匪战斗牺牲</w:t>
            </w:r>
          </w:p>
        </w:tc>
      </w:tr>
      <w:tr w14:paraId="03AF6D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6C2E2F4">
            <w:pPr>
              <w:pStyle w:val="12"/>
              <w:jc w:val="center"/>
            </w:pPr>
            <w:r>
              <w:rPr>
                <w:rFonts w:hint="eastAsia"/>
              </w:rPr>
              <w:t>刘桂生</w:t>
            </w:r>
            <w:r>
              <w:rPr>
                <w:rFonts w:hint="eastAsia" w:ascii="宋体" w:hAnsi="宋体" w:cs="宋体"/>
              </w:rPr>
              <w:t>（昌古）</w:t>
            </w:r>
          </w:p>
        </w:tc>
        <w:tc>
          <w:tcPr>
            <w:tcW w:w="388" w:type="pct"/>
            <w:vAlign w:val="center"/>
          </w:tcPr>
          <w:p w14:paraId="3F4FCBDC">
            <w:pPr>
              <w:pStyle w:val="12"/>
              <w:jc w:val="center"/>
            </w:pPr>
            <w:r>
              <w:rPr>
                <w:rFonts w:hint="eastAsia"/>
              </w:rPr>
              <w:t>男</w:t>
            </w:r>
          </w:p>
        </w:tc>
        <w:tc>
          <w:tcPr>
            <w:tcW w:w="582" w:type="pct"/>
            <w:vAlign w:val="center"/>
          </w:tcPr>
          <w:p w14:paraId="46A02F18">
            <w:pPr>
              <w:pStyle w:val="12"/>
              <w:jc w:val="center"/>
            </w:pPr>
            <w:r>
              <w:rPr>
                <w:rFonts w:hint="eastAsia"/>
              </w:rPr>
              <w:t>1915年</w:t>
            </w:r>
          </w:p>
        </w:tc>
        <w:tc>
          <w:tcPr>
            <w:tcW w:w="582" w:type="pct"/>
            <w:vAlign w:val="center"/>
          </w:tcPr>
          <w:p w14:paraId="623FD4FE">
            <w:pPr>
              <w:pStyle w:val="12"/>
              <w:jc w:val="center"/>
            </w:pPr>
            <w:r>
              <w:rPr>
                <w:rFonts w:hint="eastAsia"/>
              </w:rPr>
              <w:t>邓坊镇</w:t>
            </w:r>
          </w:p>
        </w:tc>
        <w:tc>
          <w:tcPr>
            <w:tcW w:w="708" w:type="pct"/>
            <w:vAlign w:val="center"/>
          </w:tcPr>
          <w:p w14:paraId="39ACE7A6">
            <w:pPr>
              <w:pStyle w:val="12"/>
              <w:jc w:val="center"/>
            </w:pPr>
            <w:r>
              <w:rPr>
                <w:rFonts w:hint="eastAsia"/>
              </w:rPr>
              <w:t>1949年</w:t>
            </w:r>
          </w:p>
        </w:tc>
        <w:tc>
          <w:tcPr>
            <w:tcW w:w="940" w:type="pct"/>
            <w:vAlign w:val="center"/>
          </w:tcPr>
          <w:p w14:paraId="7C82B70C">
            <w:pPr>
              <w:pStyle w:val="12"/>
              <w:jc w:val="center"/>
              <w:rPr>
                <w:rFonts w:ascii="宋体" w:hAnsi="宋体" w:cs="宋体"/>
              </w:rPr>
            </w:pPr>
            <w:r>
              <w:rPr>
                <w:rFonts w:hint="eastAsia"/>
              </w:rPr>
              <w:t>中国人民解</w:t>
            </w:r>
          </w:p>
          <w:p w14:paraId="6579E692">
            <w:pPr>
              <w:pStyle w:val="12"/>
              <w:jc w:val="center"/>
            </w:pPr>
            <w:r>
              <w:rPr>
                <w:rFonts w:hint="eastAsia" w:ascii="宋体" w:hAnsi="宋体" w:cs="宋体"/>
              </w:rPr>
              <w:t>放军战士</w:t>
            </w:r>
          </w:p>
        </w:tc>
        <w:tc>
          <w:tcPr>
            <w:tcW w:w="1160" w:type="pct"/>
            <w:vAlign w:val="center"/>
          </w:tcPr>
          <w:p w14:paraId="3EF48C5C">
            <w:pPr>
              <w:pStyle w:val="12"/>
              <w:jc w:val="left"/>
            </w:pPr>
            <w:r>
              <w:rPr>
                <w:rFonts w:hint="eastAsia"/>
              </w:rPr>
              <w:t>1950年在云南剿匪战斗牺牲</w:t>
            </w:r>
          </w:p>
        </w:tc>
      </w:tr>
      <w:tr w14:paraId="3A3B9EE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A91FF56">
            <w:pPr>
              <w:pStyle w:val="12"/>
              <w:jc w:val="center"/>
            </w:pPr>
            <w:r>
              <w:rPr>
                <w:rFonts w:hint="eastAsia"/>
              </w:rPr>
              <w:t>田王志</w:t>
            </w:r>
            <w:r>
              <w:rPr>
                <w:rFonts w:hint="eastAsia" w:ascii="宋体" w:hAnsi="宋体" w:cs="宋体"/>
              </w:rPr>
              <w:t>（李布俚）</w:t>
            </w:r>
          </w:p>
        </w:tc>
        <w:tc>
          <w:tcPr>
            <w:tcW w:w="388" w:type="pct"/>
            <w:vAlign w:val="center"/>
          </w:tcPr>
          <w:p w14:paraId="421E896C">
            <w:pPr>
              <w:pStyle w:val="12"/>
              <w:jc w:val="center"/>
            </w:pPr>
            <w:r>
              <w:rPr>
                <w:rFonts w:hint="eastAsia"/>
              </w:rPr>
              <w:t>男</w:t>
            </w:r>
          </w:p>
        </w:tc>
        <w:tc>
          <w:tcPr>
            <w:tcW w:w="582" w:type="pct"/>
            <w:vAlign w:val="center"/>
          </w:tcPr>
          <w:p w14:paraId="0507038F">
            <w:pPr>
              <w:pStyle w:val="12"/>
              <w:jc w:val="center"/>
            </w:pPr>
            <w:r>
              <w:rPr>
                <w:rFonts w:hint="eastAsia"/>
              </w:rPr>
              <w:t>1925年</w:t>
            </w:r>
          </w:p>
        </w:tc>
        <w:tc>
          <w:tcPr>
            <w:tcW w:w="582" w:type="pct"/>
            <w:vAlign w:val="center"/>
          </w:tcPr>
          <w:p w14:paraId="09EE7238">
            <w:pPr>
              <w:pStyle w:val="12"/>
              <w:jc w:val="center"/>
            </w:pPr>
            <w:r>
              <w:rPr>
                <w:rFonts w:hint="eastAsia"/>
              </w:rPr>
              <w:t>全安镇</w:t>
            </w:r>
          </w:p>
        </w:tc>
        <w:tc>
          <w:tcPr>
            <w:tcW w:w="708" w:type="pct"/>
            <w:vAlign w:val="center"/>
          </w:tcPr>
          <w:p w14:paraId="1731D424">
            <w:pPr>
              <w:pStyle w:val="12"/>
              <w:jc w:val="center"/>
            </w:pPr>
            <w:r>
              <w:rPr>
                <w:rFonts w:hint="eastAsia"/>
              </w:rPr>
              <w:t>1947年</w:t>
            </w:r>
          </w:p>
        </w:tc>
        <w:tc>
          <w:tcPr>
            <w:tcW w:w="940" w:type="pct"/>
            <w:vAlign w:val="center"/>
          </w:tcPr>
          <w:p w14:paraId="52826C05">
            <w:pPr>
              <w:pStyle w:val="12"/>
              <w:jc w:val="center"/>
            </w:pPr>
            <w:r>
              <w:rPr>
                <w:rFonts w:hint="eastAsia"/>
              </w:rPr>
              <w:t>北江军分区战士</w:t>
            </w:r>
          </w:p>
        </w:tc>
        <w:tc>
          <w:tcPr>
            <w:tcW w:w="1160" w:type="pct"/>
            <w:vAlign w:val="center"/>
          </w:tcPr>
          <w:p w14:paraId="66DCD68B">
            <w:pPr>
              <w:pStyle w:val="12"/>
              <w:jc w:val="left"/>
            </w:pPr>
            <w:r>
              <w:rPr>
                <w:rFonts w:hint="eastAsia"/>
              </w:rPr>
              <w:t>1950年在英德县剿匪战斗牺牲</w:t>
            </w:r>
          </w:p>
        </w:tc>
      </w:tr>
      <w:tr w14:paraId="2D25F4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D6539A1">
            <w:pPr>
              <w:pStyle w:val="12"/>
              <w:jc w:val="center"/>
            </w:pPr>
            <w:r>
              <w:rPr>
                <w:rFonts w:hint="eastAsia"/>
              </w:rPr>
              <w:t>冯任春</w:t>
            </w:r>
          </w:p>
        </w:tc>
        <w:tc>
          <w:tcPr>
            <w:tcW w:w="388" w:type="pct"/>
            <w:vAlign w:val="center"/>
          </w:tcPr>
          <w:p w14:paraId="26AE33A0">
            <w:pPr>
              <w:pStyle w:val="12"/>
              <w:jc w:val="center"/>
            </w:pPr>
            <w:r>
              <w:rPr>
                <w:rFonts w:hint="eastAsia"/>
              </w:rPr>
              <w:t>男</w:t>
            </w:r>
          </w:p>
        </w:tc>
        <w:tc>
          <w:tcPr>
            <w:tcW w:w="582" w:type="pct"/>
            <w:vAlign w:val="center"/>
          </w:tcPr>
          <w:p w14:paraId="2BFB1B6A">
            <w:pPr>
              <w:pStyle w:val="12"/>
              <w:jc w:val="center"/>
            </w:pPr>
            <w:r>
              <w:rPr>
                <w:rFonts w:hint="eastAsia"/>
              </w:rPr>
              <w:t>1919年</w:t>
            </w:r>
          </w:p>
        </w:tc>
        <w:tc>
          <w:tcPr>
            <w:tcW w:w="582" w:type="pct"/>
            <w:vAlign w:val="center"/>
          </w:tcPr>
          <w:p w14:paraId="44433306">
            <w:pPr>
              <w:pStyle w:val="12"/>
              <w:jc w:val="center"/>
            </w:pPr>
            <w:r>
              <w:rPr>
                <w:rFonts w:hint="eastAsia"/>
              </w:rPr>
              <w:t>油山镇</w:t>
            </w:r>
          </w:p>
        </w:tc>
        <w:tc>
          <w:tcPr>
            <w:tcW w:w="708" w:type="pct"/>
            <w:vAlign w:val="center"/>
          </w:tcPr>
          <w:p w14:paraId="07383197">
            <w:pPr>
              <w:pStyle w:val="12"/>
              <w:jc w:val="center"/>
            </w:pPr>
            <w:r>
              <w:rPr>
                <w:rFonts w:hint="eastAsia"/>
              </w:rPr>
              <w:t>1949年</w:t>
            </w:r>
          </w:p>
        </w:tc>
        <w:tc>
          <w:tcPr>
            <w:tcW w:w="940" w:type="pct"/>
            <w:vAlign w:val="center"/>
          </w:tcPr>
          <w:p w14:paraId="2C0972DF">
            <w:pPr>
              <w:pStyle w:val="12"/>
              <w:jc w:val="center"/>
              <w:rPr>
                <w:rFonts w:ascii="宋体" w:hAnsi="宋体" w:cs="宋体"/>
              </w:rPr>
            </w:pPr>
            <w:r>
              <w:rPr>
                <w:rFonts w:hint="eastAsia"/>
              </w:rPr>
              <w:t>中国人民志</w:t>
            </w:r>
          </w:p>
          <w:p w14:paraId="7B7DFC88">
            <w:pPr>
              <w:pStyle w:val="12"/>
              <w:jc w:val="center"/>
            </w:pPr>
            <w:r>
              <w:rPr>
                <w:rFonts w:hint="eastAsia" w:ascii="宋体" w:hAnsi="宋体" w:cs="宋体"/>
              </w:rPr>
              <w:t>愿军战士</w:t>
            </w:r>
          </w:p>
        </w:tc>
        <w:tc>
          <w:tcPr>
            <w:tcW w:w="1160" w:type="pct"/>
            <w:vAlign w:val="center"/>
          </w:tcPr>
          <w:p w14:paraId="73FFC182">
            <w:pPr>
              <w:pStyle w:val="12"/>
              <w:jc w:val="left"/>
            </w:pPr>
            <w:r>
              <w:rPr>
                <w:rFonts w:hint="eastAsia"/>
              </w:rPr>
              <w:t>1950年在朝鲜战场牺牲</w:t>
            </w:r>
          </w:p>
        </w:tc>
      </w:tr>
      <w:tr w14:paraId="29E016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4D7370A">
            <w:pPr>
              <w:pStyle w:val="12"/>
              <w:jc w:val="center"/>
            </w:pPr>
            <w:r>
              <w:rPr>
                <w:rFonts w:hint="eastAsia"/>
              </w:rPr>
              <w:t>蓝启进</w:t>
            </w:r>
          </w:p>
        </w:tc>
        <w:tc>
          <w:tcPr>
            <w:tcW w:w="388" w:type="pct"/>
            <w:vAlign w:val="center"/>
          </w:tcPr>
          <w:p w14:paraId="3A0AC0DE">
            <w:pPr>
              <w:pStyle w:val="12"/>
              <w:jc w:val="center"/>
            </w:pPr>
            <w:r>
              <w:rPr>
                <w:rFonts w:hint="eastAsia"/>
              </w:rPr>
              <w:t>男</w:t>
            </w:r>
          </w:p>
        </w:tc>
        <w:tc>
          <w:tcPr>
            <w:tcW w:w="582" w:type="pct"/>
            <w:vAlign w:val="center"/>
          </w:tcPr>
          <w:p w14:paraId="317A3C5E">
            <w:pPr>
              <w:pStyle w:val="12"/>
              <w:jc w:val="center"/>
            </w:pPr>
            <w:r>
              <w:rPr>
                <w:rFonts w:hint="eastAsia"/>
              </w:rPr>
              <w:t>1902年</w:t>
            </w:r>
          </w:p>
        </w:tc>
        <w:tc>
          <w:tcPr>
            <w:tcW w:w="582" w:type="pct"/>
            <w:vAlign w:val="center"/>
          </w:tcPr>
          <w:p w14:paraId="1CF033E1">
            <w:pPr>
              <w:pStyle w:val="12"/>
              <w:jc w:val="center"/>
            </w:pPr>
            <w:r>
              <w:rPr>
                <w:rFonts w:hint="eastAsia"/>
              </w:rPr>
              <w:t>江头镇</w:t>
            </w:r>
          </w:p>
        </w:tc>
        <w:tc>
          <w:tcPr>
            <w:tcW w:w="708" w:type="pct"/>
            <w:vAlign w:val="center"/>
          </w:tcPr>
          <w:p w14:paraId="547A8016">
            <w:pPr>
              <w:pStyle w:val="12"/>
              <w:jc w:val="center"/>
            </w:pPr>
            <w:r>
              <w:rPr>
                <w:rFonts w:hint="eastAsia"/>
              </w:rPr>
              <w:t>1949年8月</w:t>
            </w:r>
          </w:p>
        </w:tc>
        <w:tc>
          <w:tcPr>
            <w:tcW w:w="940" w:type="pct"/>
            <w:vAlign w:val="center"/>
          </w:tcPr>
          <w:p w14:paraId="6904CABC">
            <w:pPr>
              <w:pStyle w:val="12"/>
              <w:jc w:val="center"/>
              <w:rPr>
                <w:rFonts w:ascii="宋体" w:hAnsi="宋体" w:cs="宋体"/>
              </w:rPr>
            </w:pPr>
            <w:r>
              <w:rPr>
                <w:rFonts w:hint="eastAsia"/>
              </w:rPr>
              <w:t>南雄县大队</w:t>
            </w:r>
          </w:p>
          <w:p w14:paraId="5A6B5844">
            <w:pPr>
              <w:pStyle w:val="12"/>
              <w:jc w:val="center"/>
            </w:pPr>
            <w:r>
              <w:rPr>
                <w:rFonts w:hint="eastAsia" w:ascii="宋体" w:hAnsi="宋体" w:cs="宋体"/>
              </w:rPr>
              <w:t>副  班  长</w:t>
            </w:r>
          </w:p>
        </w:tc>
        <w:tc>
          <w:tcPr>
            <w:tcW w:w="1160" w:type="pct"/>
            <w:vAlign w:val="center"/>
          </w:tcPr>
          <w:p w14:paraId="70DD9349">
            <w:pPr>
              <w:pStyle w:val="12"/>
              <w:jc w:val="left"/>
            </w:pPr>
            <w:r>
              <w:rPr>
                <w:rFonts w:hint="eastAsia"/>
              </w:rPr>
              <w:t>1950年3月在江头剿匪战斗牺牲</w:t>
            </w:r>
          </w:p>
        </w:tc>
      </w:tr>
      <w:tr w14:paraId="48458C9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C4F53FE">
            <w:pPr>
              <w:pStyle w:val="12"/>
              <w:jc w:val="center"/>
            </w:pPr>
            <w:r>
              <w:rPr>
                <w:rFonts w:hint="eastAsia"/>
              </w:rPr>
              <w:t>邓汝荣</w:t>
            </w:r>
          </w:p>
        </w:tc>
        <w:tc>
          <w:tcPr>
            <w:tcW w:w="388" w:type="pct"/>
            <w:vAlign w:val="center"/>
          </w:tcPr>
          <w:p w14:paraId="5C714EB9">
            <w:pPr>
              <w:pStyle w:val="12"/>
              <w:jc w:val="center"/>
            </w:pPr>
            <w:r>
              <w:rPr>
                <w:rFonts w:hint="eastAsia"/>
              </w:rPr>
              <w:t>男</w:t>
            </w:r>
          </w:p>
        </w:tc>
        <w:tc>
          <w:tcPr>
            <w:tcW w:w="582" w:type="pct"/>
            <w:vAlign w:val="center"/>
          </w:tcPr>
          <w:p w14:paraId="73BAE377">
            <w:pPr>
              <w:pStyle w:val="12"/>
              <w:jc w:val="center"/>
            </w:pPr>
            <w:r>
              <w:rPr>
                <w:rFonts w:hint="eastAsia"/>
              </w:rPr>
              <w:t>1926年</w:t>
            </w:r>
          </w:p>
        </w:tc>
        <w:tc>
          <w:tcPr>
            <w:tcW w:w="582" w:type="pct"/>
            <w:vAlign w:val="center"/>
          </w:tcPr>
          <w:p w14:paraId="4D18E8DC">
            <w:pPr>
              <w:pStyle w:val="12"/>
              <w:jc w:val="center"/>
            </w:pPr>
            <w:r>
              <w:rPr>
                <w:rFonts w:hint="eastAsia"/>
              </w:rPr>
              <w:t>帽子峰镇</w:t>
            </w:r>
          </w:p>
        </w:tc>
        <w:tc>
          <w:tcPr>
            <w:tcW w:w="708" w:type="pct"/>
            <w:vAlign w:val="center"/>
          </w:tcPr>
          <w:p w14:paraId="479BD5F8">
            <w:pPr>
              <w:pStyle w:val="12"/>
              <w:jc w:val="center"/>
            </w:pPr>
            <w:r>
              <w:rPr>
                <w:rFonts w:hint="eastAsia"/>
              </w:rPr>
              <w:t>1949年</w:t>
            </w:r>
          </w:p>
        </w:tc>
        <w:tc>
          <w:tcPr>
            <w:tcW w:w="940" w:type="pct"/>
            <w:vAlign w:val="center"/>
          </w:tcPr>
          <w:p w14:paraId="078FF3D0">
            <w:pPr>
              <w:pStyle w:val="12"/>
              <w:jc w:val="center"/>
            </w:pPr>
            <w:r>
              <w:rPr>
                <w:rFonts w:hint="eastAsia"/>
              </w:rPr>
              <w:t>剿匪工作队战士</w:t>
            </w:r>
          </w:p>
        </w:tc>
        <w:tc>
          <w:tcPr>
            <w:tcW w:w="1160" w:type="pct"/>
            <w:vAlign w:val="center"/>
          </w:tcPr>
          <w:p w14:paraId="4C7F5970">
            <w:pPr>
              <w:pStyle w:val="12"/>
              <w:jc w:val="left"/>
            </w:pPr>
            <w:r>
              <w:rPr>
                <w:rFonts w:hint="eastAsia"/>
              </w:rPr>
              <w:t>1950年在曲江县剿匪战斗牺牲</w:t>
            </w:r>
          </w:p>
        </w:tc>
      </w:tr>
      <w:tr w14:paraId="04200A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DAF7F66">
            <w:pPr>
              <w:pStyle w:val="12"/>
              <w:jc w:val="center"/>
            </w:pPr>
            <w:r>
              <w:rPr>
                <w:rFonts w:hint="eastAsia"/>
              </w:rPr>
              <w:t>刘光荣</w:t>
            </w:r>
          </w:p>
        </w:tc>
        <w:tc>
          <w:tcPr>
            <w:tcW w:w="388" w:type="pct"/>
            <w:vAlign w:val="center"/>
          </w:tcPr>
          <w:p w14:paraId="0017A897">
            <w:pPr>
              <w:pStyle w:val="12"/>
              <w:jc w:val="center"/>
            </w:pPr>
            <w:r>
              <w:rPr>
                <w:rFonts w:hint="eastAsia"/>
              </w:rPr>
              <w:t>男</w:t>
            </w:r>
          </w:p>
        </w:tc>
        <w:tc>
          <w:tcPr>
            <w:tcW w:w="582" w:type="pct"/>
            <w:vAlign w:val="center"/>
          </w:tcPr>
          <w:p w14:paraId="263E8887">
            <w:pPr>
              <w:pStyle w:val="12"/>
              <w:jc w:val="center"/>
            </w:pPr>
            <w:r>
              <w:rPr>
                <w:rFonts w:hint="eastAsia"/>
              </w:rPr>
              <w:t>1929年</w:t>
            </w:r>
          </w:p>
        </w:tc>
        <w:tc>
          <w:tcPr>
            <w:tcW w:w="582" w:type="pct"/>
            <w:vAlign w:val="center"/>
          </w:tcPr>
          <w:p w14:paraId="244D6BEA">
            <w:pPr>
              <w:pStyle w:val="12"/>
              <w:jc w:val="center"/>
            </w:pPr>
            <w:r>
              <w:rPr>
                <w:rFonts w:hint="eastAsia"/>
              </w:rPr>
              <w:t>雄州镇</w:t>
            </w:r>
          </w:p>
        </w:tc>
        <w:tc>
          <w:tcPr>
            <w:tcW w:w="708" w:type="pct"/>
            <w:vAlign w:val="center"/>
          </w:tcPr>
          <w:p w14:paraId="18708859">
            <w:pPr>
              <w:pStyle w:val="12"/>
              <w:jc w:val="center"/>
            </w:pPr>
            <w:r>
              <w:rPr>
                <w:rFonts w:hint="eastAsia"/>
              </w:rPr>
              <w:t>1946年</w:t>
            </w:r>
          </w:p>
        </w:tc>
        <w:tc>
          <w:tcPr>
            <w:tcW w:w="940" w:type="pct"/>
            <w:vAlign w:val="center"/>
          </w:tcPr>
          <w:p w14:paraId="13840D9F">
            <w:pPr>
              <w:pStyle w:val="12"/>
              <w:jc w:val="center"/>
              <w:rPr>
                <w:rFonts w:ascii="宋体" w:hAnsi="宋体" w:cs="宋体"/>
              </w:rPr>
            </w:pPr>
            <w:r>
              <w:rPr>
                <w:rFonts w:hint="eastAsia"/>
              </w:rPr>
              <w:t>广州军区文</w:t>
            </w:r>
          </w:p>
          <w:p w14:paraId="204467E8">
            <w:pPr>
              <w:pStyle w:val="12"/>
              <w:jc w:val="center"/>
            </w:pPr>
            <w:r>
              <w:rPr>
                <w:rFonts w:hint="eastAsia" w:ascii="宋体" w:hAnsi="宋体" w:cs="宋体"/>
              </w:rPr>
              <w:t>化  教  员</w:t>
            </w:r>
          </w:p>
        </w:tc>
        <w:tc>
          <w:tcPr>
            <w:tcW w:w="1160" w:type="pct"/>
            <w:vAlign w:val="center"/>
          </w:tcPr>
          <w:p w14:paraId="532706D6">
            <w:pPr>
              <w:pStyle w:val="12"/>
              <w:jc w:val="left"/>
            </w:pPr>
            <w:r>
              <w:rPr>
                <w:rFonts w:hint="eastAsia"/>
              </w:rPr>
              <w:t>1950年参加剿匪牺牲</w:t>
            </w:r>
          </w:p>
        </w:tc>
      </w:tr>
      <w:tr w14:paraId="38D59F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49AB3C9">
            <w:pPr>
              <w:pStyle w:val="12"/>
              <w:jc w:val="center"/>
            </w:pPr>
            <w:r>
              <w:rPr>
                <w:rFonts w:hint="eastAsia"/>
              </w:rPr>
              <w:t>沈家诚</w:t>
            </w:r>
          </w:p>
        </w:tc>
        <w:tc>
          <w:tcPr>
            <w:tcW w:w="388" w:type="pct"/>
            <w:vAlign w:val="center"/>
          </w:tcPr>
          <w:p w14:paraId="6B58AC18">
            <w:pPr>
              <w:pStyle w:val="12"/>
              <w:jc w:val="center"/>
            </w:pPr>
            <w:r>
              <w:rPr>
                <w:rFonts w:hint="eastAsia"/>
              </w:rPr>
              <w:t>男</w:t>
            </w:r>
          </w:p>
        </w:tc>
        <w:tc>
          <w:tcPr>
            <w:tcW w:w="582" w:type="pct"/>
            <w:vAlign w:val="center"/>
          </w:tcPr>
          <w:p w14:paraId="68AAC198">
            <w:pPr>
              <w:pStyle w:val="12"/>
              <w:jc w:val="center"/>
            </w:pPr>
            <w:r>
              <w:rPr>
                <w:rFonts w:hint="eastAsia"/>
              </w:rPr>
              <w:t>1906年</w:t>
            </w:r>
          </w:p>
        </w:tc>
        <w:tc>
          <w:tcPr>
            <w:tcW w:w="582" w:type="pct"/>
            <w:vAlign w:val="center"/>
          </w:tcPr>
          <w:p w14:paraId="54BAADC5">
            <w:pPr>
              <w:pStyle w:val="12"/>
              <w:jc w:val="center"/>
            </w:pPr>
            <w:r>
              <w:rPr>
                <w:rFonts w:hint="eastAsia"/>
              </w:rPr>
              <w:t>黄坑镇</w:t>
            </w:r>
          </w:p>
        </w:tc>
        <w:tc>
          <w:tcPr>
            <w:tcW w:w="708" w:type="pct"/>
            <w:vAlign w:val="center"/>
          </w:tcPr>
          <w:p w14:paraId="67D12534">
            <w:pPr>
              <w:pStyle w:val="12"/>
              <w:jc w:val="center"/>
            </w:pPr>
            <w:r>
              <w:rPr>
                <w:rFonts w:hint="eastAsia"/>
              </w:rPr>
              <w:t>1940年</w:t>
            </w:r>
          </w:p>
        </w:tc>
        <w:tc>
          <w:tcPr>
            <w:tcW w:w="940" w:type="pct"/>
            <w:vAlign w:val="center"/>
          </w:tcPr>
          <w:p w14:paraId="2863A428">
            <w:pPr>
              <w:pStyle w:val="12"/>
              <w:jc w:val="center"/>
            </w:pPr>
            <w:r>
              <w:rPr>
                <w:rFonts w:hint="eastAsia"/>
              </w:rPr>
              <w:t>第四野战军战士</w:t>
            </w:r>
          </w:p>
        </w:tc>
        <w:tc>
          <w:tcPr>
            <w:tcW w:w="1160" w:type="pct"/>
            <w:vAlign w:val="center"/>
          </w:tcPr>
          <w:p w14:paraId="389AC05C">
            <w:pPr>
              <w:pStyle w:val="12"/>
              <w:jc w:val="left"/>
            </w:pPr>
            <w:r>
              <w:rPr>
                <w:rFonts w:hint="eastAsia"/>
              </w:rPr>
              <w:t>1951年2月在广西剿匪牺牲</w:t>
            </w:r>
          </w:p>
        </w:tc>
      </w:tr>
      <w:tr w14:paraId="121784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FCEC3A8">
            <w:pPr>
              <w:pStyle w:val="12"/>
              <w:jc w:val="center"/>
            </w:pPr>
            <w:r>
              <w:rPr>
                <w:rFonts w:hint="eastAsia"/>
              </w:rPr>
              <w:t>沈金祥</w:t>
            </w:r>
            <w:r>
              <w:rPr>
                <w:rFonts w:hint="eastAsia" w:ascii="宋体" w:hAnsi="宋体" w:cs="宋体"/>
              </w:rPr>
              <w:t>（世生）</w:t>
            </w:r>
          </w:p>
        </w:tc>
        <w:tc>
          <w:tcPr>
            <w:tcW w:w="388" w:type="pct"/>
            <w:vAlign w:val="center"/>
          </w:tcPr>
          <w:p w14:paraId="115E0932">
            <w:pPr>
              <w:pStyle w:val="12"/>
              <w:jc w:val="center"/>
            </w:pPr>
            <w:r>
              <w:rPr>
                <w:rFonts w:hint="eastAsia"/>
              </w:rPr>
              <w:t>男</w:t>
            </w:r>
          </w:p>
        </w:tc>
        <w:tc>
          <w:tcPr>
            <w:tcW w:w="582" w:type="pct"/>
            <w:vAlign w:val="center"/>
          </w:tcPr>
          <w:p w14:paraId="33C4F2AC">
            <w:pPr>
              <w:pStyle w:val="12"/>
              <w:jc w:val="center"/>
            </w:pPr>
            <w:r>
              <w:rPr>
                <w:rFonts w:hint="eastAsia"/>
              </w:rPr>
              <w:t>1921年</w:t>
            </w:r>
          </w:p>
        </w:tc>
        <w:tc>
          <w:tcPr>
            <w:tcW w:w="582" w:type="pct"/>
            <w:vAlign w:val="center"/>
          </w:tcPr>
          <w:p w14:paraId="5965EC2D">
            <w:pPr>
              <w:pStyle w:val="12"/>
              <w:jc w:val="center"/>
            </w:pPr>
            <w:r>
              <w:rPr>
                <w:rFonts w:hint="eastAsia"/>
              </w:rPr>
              <w:t>黄坑镇</w:t>
            </w:r>
          </w:p>
        </w:tc>
        <w:tc>
          <w:tcPr>
            <w:tcW w:w="708" w:type="pct"/>
            <w:vAlign w:val="center"/>
          </w:tcPr>
          <w:p w14:paraId="70240727">
            <w:pPr>
              <w:pStyle w:val="12"/>
              <w:jc w:val="center"/>
            </w:pPr>
            <w:r>
              <w:rPr>
                <w:rFonts w:hint="eastAsia"/>
              </w:rPr>
              <w:t>1943年</w:t>
            </w:r>
          </w:p>
        </w:tc>
        <w:tc>
          <w:tcPr>
            <w:tcW w:w="940" w:type="pct"/>
            <w:vAlign w:val="center"/>
          </w:tcPr>
          <w:p w14:paraId="3D292D3C">
            <w:pPr>
              <w:pStyle w:val="12"/>
              <w:jc w:val="center"/>
              <w:rPr>
                <w:rFonts w:ascii="宋体" w:hAnsi="宋体" w:cs="宋体"/>
              </w:rPr>
            </w:pPr>
            <w:r>
              <w:rPr>
                <w:rFonts w:hint="eastAsia"/>
              </w:rPr>
              <w:t>中国人民解</w:t>
            </w:r>
          </w:p>
          <w:p w14:paraId="46B1ABAD">
            <w:pPr>
              <w:pStyle w:val="12"/>
              <w:jc w:val="center"/>
            </w:pPr>
            <w:r>
              <w:rPr>
                <w:rFonts w:hint="eastAsia" w:ascii="宋体" w:hAnsi="宋体" w:cs="宋体"/>
              </w:rPr>
              <w:t>放军排长</w:t>
            </w:r>
          </w:p>
        </w:tc>
        <w:tc>
          <w:tcPr>
            <w:tcW w:w="1160" w:type="pct"/>
            <w:vAlign w:val="center"/>
          </w:tcPr>
          <w:p w14:paraId="26E7FEC6">
            <w:pPr>
              <w:pStyle w:val="12"/>
              <w:jc w:val="left"/>
            </w:pPr>
            <w:r>
              <w:rPr>
                <w:rFonts w:hint="eastAsia"/>
              </w:rPr>
              <w:t>1950年在江苏北部战斗牺牲</w:t>
            </w:r>
          </w:p>
        </w:tc>
      </w:tr>
      <w:tr w14:paraId="0C4DB9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98D0DED">
            <w:pPr>
              <w:pStyle w:val="12"/>
              <w:jc w:val="center"/>
            </w:pPr>
            <w:r>
              <w:rPr>
                <w:rFonts w:hint="eastAsia"/>
              </w:rPr>
              <w:t>廖广涛</w:t>
            </w:r>
          </w:p>
        </w:tc>
        <w:tc>
          <w:tcPr>
            <w:tcW w:w="388" w:type="pct"/>
            <w:vAlign w:val="center"/>
          </w:tcPr>
          <w:p w14:paraId="7C1CE87A">
            <w:pPr>
              <w:pStyle w:val="12"/>
              <w:jc w:val="center"/>
            </w:pPr>
            <w:r>
              <w:rPr>
                <w:rFonts w:hint="eastAsia"/>
              </w:rPr>
              <w:t>男</w:t>
            </w:r>
          </w:p>
        </w:tc>
        <w:tc>
          <w:tcPr>
            <w:tcW w:w="582" w:type="pct"/>
            <w:vAlign w:val="center"/>
          </w:tcPr>
          <w:p w14:paraId="2BBCF4EA">
            <w:pPr>
              <w:pStyle w:val="12"/>
              <w:jc w:val="center"/>
            </w:pPr>
            <w:r>
              <w:rPr>
                <w:rFonts w:hint="eastAsia"/>
              </w:rPr>
              <w:t>1925年</w:t>
            </w:r>
          </w:p>
        </w:tc>
        <w:tc>
          <w:tcPr>
            <w:tcW w:w="582" w:type="pct"/>
            <w:vAlign w:val="center"/>
          </w:tcPr>
          <w:p w14:paraId="7C641795">
            <w:pPr>
              <w:pStyle w:val="12"/>
              <w:jc w:val="center"/>
            </w:pPr>
            <w:r>
              <w:rPr>
                <w:rFonts w:hint="eastAsia"/>
              </w:rPr>
              <w:t>雄州镇</w:t>
            </w:r>
          </w:p>
        </w:tc>
        <w:tc>
          <w:tcPr>
            <w:tcW w:w="708" w:type="pct"/>
            <w:vAlign w:val="center"/>
          </w:tcPr>
          <w:p w14:paraId="7A3621DE">
            <w:pPr>
              <w:pStyle w:val="12"/>
              <w:jc w:val="center"/>
            </w:pPr>
            <w:r>
              <w:rPr>
                <w:rFonts w:hint="eastAsia"/>
              </w:rPr>
              <w:t>1947年</w:t>
            </w:r>
          </w:p>
        </w:tc>
        <w:tc>
          <w:tcPr>
            <w:tcW w:w="940" w:type="pct"/>
            <w:vAlign w:val="center"/>
          </w:tcPr>
          <w:p w14:paraId="12A1BF11">
            <w:pPr>
              <w:pStyle w:val="12"/>
              <w:jc w:val="center"/>
              <w:rPr>
                <w:rFonts w:ascii="宋体" w:hAnsi="宋体" w:cs="宋体"/>
              </w:rPr>
            </w:pPr>
            <w:r>
              <w:rPr>
                <w:rFonts w:hint="eastAsia"/>
              </w:rPr>
              <w:t>中国人民志</w:t>
            </w:r>
          </w:p>
          <w:p w14:paraId="62D4D2B8">
            <w:pPr>
              <w:pStyle w:val="12"/>
              <w:jc w:val="center"/>
            </w:pPr>
            <w:r>
              <w:rPr>
                <w:rFonts w:hint="eastAsia" w:ascii="宋体" w:hAnsi="宋体" w:cs="宋体"/>
              </w:rPr>
              <w:t>愿军文化教员</w:t>
            </w:r>
          </w:p>
        </w:tc>
        <w:tc>
          <w:tcPr>
            <w:tcW w:w="1160" w:type="pct"/>
            <w:vAlign w:val="center"/>
          </w:tcPr>
          <w:p w14:paraId="6DA27E26">
            <w:pPr>
              <w:pStyle w:val="12"/>
              <w:jc w:val="left"/>
            </w:pPr>
            <w:r>
              <w:rPr>
                <w:rFonts w:hint="eastAsia"/>
              </w:rPr>
              <w:t>1950年11月26日在朝鲜大同江岸战斗牺牲</w:t>
            </w:r>
          </w:p>
        </w:tc>
      </w:tr>
      <w:tr w14:paraId="2B7A06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57E2B25">
            <w:pPr>
              <w:pStyle w:val="12"/>
              <w:jc w:val="center"/>
            </w:pPr>
            <w:r>
              <w:rPr>
                <w:rFonts w:hint="eastAsia"/>
              </w:rPr>
              <w:t>卢德立</w:t>
            </w:r>
          </w:p>
        </w:tc>
        <w:tc>
          <w:tcPr>
            <w:tcW w:w="388" w:type="pct"/>
            <w:vAlign w:val="center"/>
          </w:tcPr>
          <w:p w14:paraId="2E7AA186">
            <w:pPr>
              <w:pStyle w:val="12"/>
              <w:jc w:val="center"/>
            </w:pPr>
            <w:r>
              <w:rPr>
                <w:rFonts w:hint="eastAsia"/>
              </w:rPr>
              <w:t>男</w:t>
            </w:r>
          </w:p>
        </w:tc>
        <w:tc>
          <w:tcPr>
            <w:tcW w:w="582" w:type="pct"/>
            <w:vAlign w:val="center"/>
          </w:tcPr>
          <w:p w14:paraId="052D3889">
            <w:pPr>
              <w:pStyle w:val="12"/>
              <w:jc w:val="center"/>
            </w:pPr>
            <w:r>
              <w:rPr>
                <w:rFonts w:hint="eastAsia"/>
              </w:rPr>
              <w:t>1914年</w:t>
            </w:r>
          </w:p>
        </w:tc>
        <w:tc>
          <w:tcPr>
            <w:tcW w:w="582" w:type="pct"/>
            <w:vAlign w:val="center"/>
          </w:tcPr>
          <w:p w14:paraId="18E6B246">
            <w:pPr>
              <w:pStyle w:val="12"/>
              <w:jc w:val="center"/>
            </w:pPr>
            <w:r>
              <w:rPr>
                <w:rFonts w:hint="eastAsia"/>
              </w:rPr>
              <w:t>南亩镇</w:t>
            </w:r>
          </w:p>
        </w:tc>
        <w:tc>
          <w:tcPr>
            <w:tcW w:w="708" w:type="pct"/>
            <w:vAlign w:val="center"/>
          </w:tcPr>
          <w:p w14:paraId="43695A5A">
            <w:pPr>
              <w:pStyle w:val="12"/>
              <w:jc w:val="center"/>
            </w:pPr>
            <w:r>
              <w:rPr>
                <w:rFonts w:hint="eastAsia"/>
              </w:rPr>
              <w:t>1949年</w:t>
            </w:r>
          </w:p>
        </w:tc>
        <w:tc>
          <w:tcPr>
            <w:tcW w:w="940" w:type="pct"/>
            <w:vAlign w:val="center"/>
          </w:tcPr>
          <w:p w14:paraId="5FE8541D">
            <w:pPr>
              <w:pStyle w:val="12"/>
              <w:jc w:val="center"/>
            </w:pPr>
            <w:r>
              <w:rPr>
                <w:rFonts w:hint="eastAsia"/>
              </w:rPr>
              <w:t>征粮队队员</w:t>
            </w:r>
          </w:p>
        </w:tc>
        <w:tc>
          <w:tcPr>
            <w:tcW w:w="1160" w:type="pct"/>
            <w:vAlign w:val="center"/>
          </w:tcPr>
          <w:p w14:paraId="08BCF257">
            <w:pPr>
              <w:pStyle w:val="12"/>
              <w:jc w:val="left"/>
            </w:pPr>
            <w:r>
              <w:rPr>
                <w:rFonts w:hint="eastAsia"/>
              </w:rPr>
              <w:t>1949年在南亩征粮被土匪捕去，在江头就义</w:t>
            </w:r>
          </w:p>
        </w:tc>
      </w:tr>
      <w:tr w14:paraId="6B6061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97B4A23">
            <w:pPr>
              <w:pStyle w:val="12"/>
              <w:jc w:val="center"/>
            </w:pPr>
            <w:r>
              <w:rPr>
                <w:rFonts w:hint="eastAsia"/>
              </w:rPr>
              <w:t>叶  忠</w:t>
            </w:r>
          </w:p>
        </w:tc>
        <w:tc>
          <w:tcPr>
            <w:tcW w:w="388" w:type="pct"/>
            <w:vAlign w:val="center"/>
          </w:tcPr>
          <w:p w14:paraId="4C793C43">
            <w:pPr>
              <w:pStyle w:val="12"/>
              <w:jc w:val="center"/>
            </w:pPr>
            <w:r>
              <w:rPr>
                <w:rFonts w:hint="eastAsia"/>
              </w:rPr>
              <w:t>男</w:t>
            </w:r>
          </w:p>
        </w:tc>
        <w:tc>
          <w:tcPr>
            <w:tcW w:w="582" w:type="pct"/>
            <w:vAlign w:val="center"/>
          </w:tcPr>
          <w:p w14:paraId="7C0F0B98">
            <w:pPr>
              <w:pStyle w:val="12"/>
              <w:jc w:val="center"/>
            </w:pPr>
            <w:r>
              <w:rPr>
                <w:rFonts w:hint="eastAsia"/>
              </w:rPr>
              <w:t>1924年</w:t>
            </w:r>
          </w:p>
        </w:tc>
        <w:tc>
          <w:tcPr>
            <w:tcW w:w="582" w:type="pct"/>
            <w:vAlign w:val="center"/>
          </w:tcPr>
          <w:p w14:paraId="7F0CE1E9">
            <w:pPr>
              <w:pStyle w:val="12"/>
              <w:jc w:val="center"/>
            </w:pPr>
            <w:r>
              <w:rPr>
                <w:rFonts w:hint="eastAsia"/>
              </w:rPr>
              <w:t>乌迳镇</w:t>
            </w:r>
          </w:p>
        </w:tc>
        <w:tc>
          <w:tcPr>
            <w:tcW w:w="708" w:type="pct"/>
            <w:vAlign w:val="center"/>
          </w:tcPr>
          <w:p w14:paraId="21FC1AD7">
            <w:pPr>
              <w:pStyle w:val="12"/>
              <w:jc w:val="center"/>
            </w:pPr>
            <w:r>
              <w:rPr>
                <w:rFonts w:hint="eastAsia"/>
              </w:rPr>
              <w:t>1942年</w:t>
            </w:r>
          </w:p>
        </w:tc>
        <w:tc>
          <w:tcPr>
            <w:tcW w:w="940" w:type="pct"/>
            <w:vAlign w:val="center"/>
          </w:tcPr>
          <w:p w14:paraId="5D4B0C01">
            <w:pPr>
              <w:pStyle w:val="12"/>
              <w:jc w:val="center"/>
              <w:rPr>
                <w:rFonts w:ascii="宋体" w:hAnsi="宋体" w:cs="宋体"/>
              </w:rPr>
            </w:pPr>
            <w:r>
              <w:rPr>
                <w:rFonts w:hint="eastAsia"/>
              </w:rPr>
              <w:t>南雄县大队</w:t>
            </w:r>
          </w:p>
          <w:p w14:paraId="1B8703B7">
            <w:pPr>
              <w:pStyle w:val="12"/>
              <w:jc w:val="center"/>
            </w:pPr>
            <w:r>
              <w:rPr>
                <w:rFonts w:hint="eastAsia" w:ascii="宋体" w:hAnsi="宋体" w:cs="宋体"/>
              </w:rPr>
              <w:t>中  队  长</w:t>
            </w:r>
          </w:p>
        </w:tc>
        <w:tc>
          <w:tcPr>
            <w:tcW w:w="1160" w:type="pct"/>
            <w:vAlign w:val="center"/>
          </w:tcPr>
          <w:p w14:paraId="142600FE">
            <w:pPr>
              <w:pStyle w:val="12"/>
              <w:jc w:val="left"/>
            </w:pPr>
            <w:r>
              <w:rPr>
                <w:rFonts w:hint="eastAsia"/>
              </w:rPr>
              <w:t>1950年在江西大余县黄龙剿匪战斗牺牲</w:t>
            </w:r>
          </w:p>
        </w:tc>
      </w:tr>
      <w:tr w14:paraId="0A4E45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D6F5B03">
            <w:pPr>
              <w:pStyle w:val="12"/>
              <w:jc w:val="center"/>
            </w:pPr>
            <w:r>
              <w:rPr>
                <w:rFonts w:hint="eastAsia"/>
              </w:rPr>
              <w:t>袁世金</w:t>
            </w:r>
          </w:p>
        </w:tc>
        <w:tc>
          <w:tcPr>
            <w:tcW w:w="388" w:type="pct"/>
            <w:vAlign w:val="center"/>
          </w:tcPr>
          <w:p w14:paraId="46F1D493">
            <w:pPr>
              <w:pStyle w:val="12"/>
              <w:jc w:val="center"/>
            </w:pPr>
            <w:r>
              <w:rPr>
                <w:rFonts w:hint="eastAsia"/>
              </w:rPr>
              <w:t>男</w:t>
            </w:r>
          </w:p>
        </w:tc>
        <w:tc>
          <w:tcPr>
            <w:tcW w:w="582" w:type="pct"/>
            <w:vAlign w:val="center"/>
          </w:tcPr>
          <w:p w14:paraId="5D58A244">
            <w:pPr>
              <w:pStyle w:val="12"/>
              <w:jc w:val="center"/>
            </w:pPr>
            <w:r>
              <w:rPr>
                <w:rFonts w:hint="eastAsia"/>
              </w:rPr>
              <w:t>1925年</w:t>
            </w:r>
          </w:p>
        </w:tc>
        <w:tc>
          <w:tcPr>
            <w:tcW w:w="582" w:type="pct"/>
            <w:vAlign w:val="center"/>
          </w:tcPr>
          <w:p w14:paraId="14047785">
            <w:pPr>
              <w:pStyle w:val="12"/>
              <w:jc w:val="center"/>
            </w:pPr>
            <w:r>
              <w:rPr>
                <w:rFonts w:hint="eastAsia"/>
              </w:rPr>
              <w:t>湖口镇</w:t>
            </w:r>
          </w:p>
        </w:tc>
        <w:tc>
          <w:tcPr>
            <w:tcW w:w="708" w:type="pct"/>
            <w:vAlign w:val="center"/>
          </w:tcPr>
          <w:p w14:paraId="6BC6D1ED">
            <w:pPr>
              <w:pStyle w:val="12"/>
              <w:jc w:val="center"/>
            </w:pPr>
            <w:r>
              <w:rPr>
                <w:rFonts w:hint="eastAsia"/>
              </w:rPr>
              <w:t>1949年</w:t>
            </w:r>
          </w:p>
        </w:tc>
        <w:tc>
          <w:tcPr>
            <w:tcW w:w="940" w:type="pct"/>
            <w:vAlign w:val="center"/>
          </w:tcPr>
          <w:p w14:paraId="41BE4518">
            <w:pPr>
              <w:pStyle w:val="12"/>
              <w:jc w:val="center"/>
              <w:rPr>
                <w:rFonts w:ascii="宋体" w:hAnsi="宋体" w:cs="宋体"/>
              </w:rPr>
            </w:pPr>
            <w:r>
              <w:rPr>
                <w:rFonts w:hint="eastAsia"/>
              </w:rPr>
              <w:t>中国人民解</w:t>
            </w:r>
          </w:p>
          <w:p w14:paraId="4C3D1E0F">
            <w:pPr>
              <w:pStyle w:val="12"/>
              <w:jc w:val="center"/>
            </w:pPr>
            <w:r>
              <w:rPr>
                <w:rFonts w:hint="eastAsia" w:ascii="宋体" w:hAnsi="宋体" w:cs="宋体"/>
              </w:rPr>
              <w:t>放军战士</w:t>
            </w:r>
          </w:p>
        </w:tc>
        <w:tc>
          <w:tcPr>
            <w:tcW w:w="1160" w:type="pct"/>
            <w:vAlign w:val="center"/>
          </w:tcPr>
          <w:p w14:paraId="597994A9">
            <w:pPr>
              <w:pStyle w:val="12"/>
              <w:jc w:val="left"/>
            </w:pPr>
            <w:r>
              <w:rPr>
                <w:rFonts w:hint="eastAsia"/>
              </w:rPr>
              <w:t>1951年在贵州省剿匪战斗牺牲</w:t>
            </w:r>
          </w:p>
        </w:tc>
      </w:tr>
      <w:tr w14:paraId="158BEF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7D5DBB8">
            <w:pPr>
              <w:pStyle w:val="12"/>
              <w:jc w:val="center"/>
            </w:pPr>
            <w:r>
              <w:rPr>
                <w:rFonts w:hint="eastAsia"/>
              </w:rPr>
              <w:t>王举辉</w:t>
            </w:r>
          </w:p>
        </w:tc>
        <w:tc>
          <w:tcPr>
            <w:tcW w:w="388" w:type="pct"/>
            <w:vAlign w:val="center"/>
          </w:tcPr>
          <w:p w14:paraId="14D700EA">
            <w:pPr>
              <w:pStyle w:val="12"/>
              <w:jc w:val="center"/>
            </w:pPr>
            <w:r>
              <w:rPr>
                <w:rFonts w:hint="eastAsia"/>
              </w:rPr>
              <w:t>男</w:t>
            </w:r>
          </w:p>
        </w:tc>
        <w:tc>
          <w:tcPr>
            <w:tcW w:w="582" w:type="pct"/>
            <w:vAlign w:val="center"/>
          </w:tcPr>
          <w:p w14:paraId="4DA7C7BC">
            <w:pPr>
              <w:pStyle w:val="12"/>
              <w:jc w:val="center"/>
            </w:pPr>
            <w:r>
              <w:rPr>
                <w:rFonts w:hint="eastAsia"/>
              </w:rPr>
              <w:t>1927年</w:t>
            </w:r>
          </w:p>
        </w:tc>
        <w:tc>
          <w:tcPr>
            <w:tcW w:w="582" w:type="pct"/>
            <w:vAlign w:val="center"/>
          </w:tcPr>
          <w:p w14:paraId="55A7AB5B">
            <w:pPr>
              <w:pStyle w:val="12"/>
              <w:jc w:val="center"/>
            </w:pPr>
            <w:r>
              <w:rPr>
                <w:rFonts w:hint="eastAsia"/>
              </w:rPr>
              <w:t>乌迳镇</w:t>
            </w:r>
          </w:p>
        </w:tc>
        <w:tc>
          <w:tcPr>
            <w:tcW w:w="708" w:type="pct"/>
            <w:vAlign w:val="center"/>
          </w:tcPr>
          <w:p w14:paraId="45BD49F5">
            <w:pPr>
              <w:pStyle w:val="12"/>
              <w:jc w:val="center"/>
            </w:pPr>
            <w:r>
              <w:rPr>
                <w:rFonts w:hint="eastAsia"/>
              </w:rPr>
              <w:t>1950年</w:t>
            </w:r>
          </w:p>
        </w:tc>
        <w:tc>
          <w:tcPr>
            <w:tcW w:w="940" w:type="pct"/>
            <w:vAlign w:val="center"/>
          </w:tcPr>
          <w:p w14:paraId="2B8F2C86">
            <w:pPr>
              <w:pStyle w:val="12"/>
              <w:jc w:val="center"/>
            </w:pPr>
            <w:r>
              <w:rPr>
                <w:rFonts w:hint="eastAsia"/>
              </w:rPr>
              <w:t>县征粮队队员</w:t>
            </w:r>
          </w:p>
        </w:tc>
        <w:tc>
          <w:tcPr>
            <w:tcW w:w="1160" w:type="pct"/>
            <w:vAlign w:val="center"/>
          </w:tcPr>
          <w:p w14:paraId="06005D58">
            <w:pPr>
              <w:pStyle w:val="12"/>
              <w:jc w:val="left"/>
            </w:pPr>
            <w:r>
              <w:rPr>
                <w:rFonts w:hint="eastAsia"/>
              </w:rPr>
              <w:t>1951年在界址征粮途中被土匪杀害</w:t>
            </w:r>
          </w:p>
        </w:tc>
      </w:tr>
      <w:tr w14:paraId="474ADA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5F25D7D">
            <w:pPr>
              <w:pStyle w:val="12"/>
              <w:jc w:val="center"/>
            </w:pPr>
            <w:r>
              <w:rPr>
                <w:rFonts w:hint="eastAsia"/>
              </w:rPr>
              <w:t>钟华富</w:t>
            </w:r>
          </w:p>
        </w:tc>
        <w:tc>
          <w:tcPr>
            <w:tcW w:w="388" w:type="pct"/>
            <w:vAlign w:val="center"/>
          </w:tcPr>
          <w:p w14:paraId="4AE75ADC">
            <w:pPr>
              <w:pStyle w:val="12"/>
              <w:jc w:val="center"/>
            </w:pPr>
            <w:r>
              <w:rPr>
                <w:rFonts w:hint="eastAsia"/>
              </w:rPr>
              <w:t>男</w:t>
            </w:r>
          </w:p>
        </w:tc>
        <w:tc>
          <w:tcPr>
            <w:tcW w:w="582" w:type="pct"/>
            <w:vAlign w:val="center"/>
          </w:tcPr>
          <w:p w14:paraId="021DE1B4">
            <w:pPr>
              <w:pStyle w:val="12"/>
              <w:jc w:val="center"/>
            </w:pPr>
            <w:r>
              <w:rPr>
                <w:rFonts w:hint="eastAsia"/>
              </w:rPr>
              <w:t>1929年</w:t>
            </w:r>
          </w:p>
        </w:tc>
        <w:tc>
          <w:tcPr>
            <w:tcW w:w="582" w:type="pct"/>
            <w:vAlign w:val="center"/>
          </w:tcPr>
          <w:p w14:paraId="3055F3A1">
            <w:pPr>
              <w:pStyle w:val="12"/>
              <w:jc w:val="center"/>
            </w:pPr>
            <w:r>
              <w:rPr>
                <w:rFonts w:hint="eastAsia"/>
              </w:rPr>
              <w:t>乌迳镇</w:t>
            </w:r>
          </w:p>
        </w:tc>
        <w:tc>
          <w:tcPr>
            <w:tcW w:w="708" w:type="pct"/>
            <w:vAlign w:val="center"/>
          </w:tcPr>
          <w:p w14:paraId="3DBCC276">
            <w:pPr>
              <w:pStyle w:val="12"/>
              <w:jc w:val="center"/>
            </w:pPr>
            <w:r>
              <w:rPr>
                <w:rFonts w:hint="eastAsia"/>
              </w:rPr>
              <w:t>1949年</w:t>
            </w:r>
          </w:p>
        </w:tc>
        <w:tc>
          <w:tcPr>
            <w:tcW w:w="940" w:type="pct"/>
            <w:vAlign w:val="center"/>
          </w:tcPr>
          <w:p w14:paraId="1DCD3BB9">
            <w:pPr>
              <w:pStyle w:val="12"/>
              <w:jc w:val="center"/>
              <w:rPr>
                <w:rFonts w:ascii="宋体" w:hAnsi="宋体" w:cs="宋体"/>
              </w:rPr>
            </w:pPr>
            <w:r>
              <w:rPr>
                <w:rFonts w:hint="eastAsia"/>
              </w:rPr>
              <w:t>北江第二支</w:t>
            </w:r>
          </w:p>
          <w:p w14:paraId="6AC72E70">
            <w:pPr>
              <w:pStyle w:val="12"/>
              <w:jc w:val="center"/>
            </w:pPr>
            <w:r>
              <w:rPr>
                <w:rFonts w:hint="eastAsia" w:ascii="宋体" w:hAnsi="宋体" w:cs="宋体"/>
              </w:rPr>
              <w:t>队  队  员</w:t>
            </w:r>
          </w:p>
        </w:tc>
        <w:tc>
          <w:tcPr>
            <w:tcW w:w="1160" w:type="pct"/>
            <w:vAlign w:val="center"/>
          </w:tcPr>
          <w:p w14:paraId="0E0618A1">
            <w:pPr>
              <w:pStyle w:val="12"/>
              <w:jc w:val="left"/>
            </w:pPr>
            <w:r>
              <w:rPr>
                <w:rFonts w:hint="eastAsia"/>
              </w:rPr>
              <w:t>1951年在江西省赣州大田乡与土匪战斗牺牲</w:t>
            </w:r>
          </w:p>
        </w:tc>
      </w:tr>
      <w:tr w14:paraId="08B60E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64CB598">
            <w:pPr>
              <w:pStyle w:val="12"/>
              <w:jc w:val="center"/>
            </w:pPr>
            <w:r>
              <w:rPr>
                <w:rFonts w:hint="eastAsia"/>
              </w:rPr>
              <w:t>陈厚林</w:t>
            </w:r>
          </w:p>
        </w:tc>
        <w:tc>
          <w:tcPr>
            <w:tcW w:w="388" w:type="pct"/>
            <w:vAlign w:val="center"/>
          </w:tcPr>
          <w:p w14:paraId="3DC604DF">
            <w:pPr>
              <w:pStyle w:val="12"/>
              <w:jc w:val="center"/>
            </w:pPr>
            <w:r>
              <w:rPr>
                <w:rFonts w:hint="eastAsia"/>
              </w:rPr>
              <w:t>男</w:t>
            </w:r>
          </w:p>
        </w:tc>
        <w:tc>
          <w:tcPr>
            <w:tcW w:w="582" w:type="pct"/>
            <w:vAlign w:val="center"/>
          </w:tcPr>
          <w:p w14:paraId="67FBEDE9">
            <w:pPr>
              <w:pStyle w:val="12"/>
              <w:jc w:val="center"/>
            </w:pPr>
            <w:r>
              <w:rPr>
                <w:rFonts w:hint="eastAsia"/>
              </w:rPr>
              <w:t>1924年</w:t>
            </w:r>
          </w:p>
        </w:tc>
        <w:tc>
          <w:tcPr>
            <w:tcW w:w="582" w:type="pct"/>
            <w:vAlign w:val="center"/>
          </w:tcPr>
          <w:p w14:paraId="643817FA">
            <w:pPr>
              <w:pStyle w:val="12"/>
              <w:jc w:val="center"/>
            </w:pPr>
            <w:r>
              <w:rPr>
                <w:rFonts w:hint="eastAsia"/>
              </w:rPr>
              <w:t>邓坊镇</w:t>
            </w:r>
          </w:p>
        </w:tc>
        <w:tc>
          <w:tcPr>
            <w:tcW w:w="708" w:type="pct"/>
            <w:vAlign w:val="center"/>
          </w:tcPr>
          <w:p w14:paraId="3C168439">
            <w:pPr>
              <w:pStyle w:val="12"/>
              <w:jc w:val="center"/>
            </w:pPr>
            <w:r>
              <w:rPr>
                <w:rFonts w:hint="eastAsia"/>
              </w:rPr>
              <w:t>1950年12月</w:t>
            </w:r>
          </w:p>
        </w:tc>
        <w:tc>
          <w:tcPr>
            <w:tcW w:w="940" w:type="pct"/>
            <w:vAlign w:val="center"/>
          </w:tcPr>
          <w:p w14:paraId="236780FC">
            <w:pPr>
              <w:pStyle w:val="12"/>
              <w:jc w:val="center"/>
              <w:rPr>
                <w:rFonts w:ascii="宋体" w:hAnsi="宋体" w:cs="宋体"/>
              </w:rPr>
            </w:pPr>
            <w:r>
              <w:rPr>
                <w:rFonts w:hint="eastAsia"/>
              </w:rPr>
              <w:t>中国人民志愿军</w:t>
            </w:r>
          </w:p>
          <w:p w14:paraId="31159F37">
            <w:pPr>
              <w:pStyle w:val="12"/>
              <w:jc w:val="center"/>
            </w:pPr>
            <w:r>
              <w:rPr>
                <w:rFonts w:hint="eastAsia" w:ascii="宋体" w:hAnsi="宋体" w:cs="宋体"/>
              </w:rPr>
              <w:t>见习文化教员</w:t>
            </w:r>
          </w:p>
        </w:tc>
        <w:tc>
          <w:tcPr>
            <w:tcW w:w="1160" w:type="pct"/>
            <w:vAlign w:val="center"/>
          </w:tcPr>
          <w:p w14:paraId="3BACCA7A">
            <w:pPr>
              <w:pStyle w:val="12"/>
              <w:jc w:val="left"/>
            </w:pPr>
            <w:r>
              <w:rPr>
                <w:rFonts w:hint="eastAsia"/>
              </w:rPr>
              <w:t>1951年2月在朝鲜新安州牺牲</w:t>
            </w:r>
          </w:p>
        </w:tc>
      </w:tr>
      <w:tr w14:paraId="0E5F7B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B6B7280">
            <w:pPr>
              <w:pStyle w:val="12"/>
              <w:jc w:val="center"/>
            </w:pPr>
            <w:r>
              <w:rPr>
                <w:rFonts w:hint="eastAsia"/>
              </w:rPr>
              <w:t>王国初</w:t>
            </w:r>
            <w:r>
              <w:rPr>
                <w:rFonts w:hint="eastAsia" w:ascii="宋体" w:hAnsi="宋体" w:cs="宋体"/>
              </w:rPr>
              <w:t>（步祯）</w:t>
            </w:r>
          </w:p>
        </w:tc>
        <w:tc>
          <w:tcPr>
            <w:tcW w:w="388" w:type="pct"/>
            <w:vAlign w:val="center"/>
          </w:tcPr>
          <w:p w14:paraId="486E6EE4">
            <w:pPr>
              <w:pStyle w:val="12"/>
              <w:jc w:val="center"/>
            </w:pPr>
            <w:r>
              <w:rPr>
                <w:rFonts w:hint="eastAsia"/>
              </w:rPr>
              <w:t>男</w:t>
            </w:r>
          </w:p>
        </w:tc>
        <w:tc>
          <w:tcPr>
            <w:tcW w:w="582" w:type="pct"/>
            <w:vAlign w:val="center"/>
          </w:tcPr>
          <w:p w14:paraId="2C42489C">
            <w:pPr>
              <w:pStyle w:val="12"/>
              <w:jc w:val="center"/>
            </w:pPr>
            <w:r>
              <w:rPr>
                <w:rFonts w:hint="eastAsia"/>
              </w:rPr>
              <w:t>1914年</w:t>
            </w:r>
          </w:p>
        </w:tc>
        <w:tc>
          <w:tcPr>
            <w:tcW w:w="582" w:type="pct"/>
            <w:vAlign w:val="center"/>
          </w:tcPr>
          <w:p w14:paraId="5E0ED25F">
            <w:pPr>
              <w:pStyle w:val="12"/>
              <w:jc w:val="center"/>
            </w:pPr>
            <w:r>
              <w:rPr>
                <w:rFonts w:hint="eastAsia"/>
              </w:rPr>
              <w:t>界址镇</w:t>
            </w:r>
          </w:p>
        </w:tc>
        <w:tc>
          <w:tcPr>
            <w:tcW w:w="708" w:type="pct"/>
            <w:vAlign w:val="center"/>
          </w:tcPr>
          <w:p w14:paraId="18D35291">
            <w:pPr>
              <w:pStyle w:val="12"/>
              <w:jc w:val="center"/>
            </w:pPr>
            <w:r>
              <w:rPr>
                <w:rFonts w:hint="eastAsia"/>
              </w:rPr>
              <w:t>1949年</w:t>
            </w:r>
          </w:p>
        </w:tc>
        <w:tc>
          <w:tcPr>
            <w:tcW w:w="940" w:type="pct"/>
            <w:vAlign w:val="center"/>
          </w:tcPr>
          <w:p w14:paraId="60C863D9">
            <w:pPr>
              <w:pStyle w:val="12"/>
              <w:jc w:val="center"/>
              <w:rPr>
                <w:rFonts w:ascii="宋体" w:hAnsi="宋体" w:cs="宋体"/>
              </w:rPr>
            </w:pPr>
            <w:r>
              <w:rPr>
                <w:rFonts w:hint="eastAsia"/>
              </w:rPr>
              <w:t>中国人民志</w:t>
            </w:r>
          </w:p>
          <w:p w14:paraId="7552B48F">
            <w:pPr>
              <w:pStyle w:val="12"/>
              <w:jc w:val="center"/>
            </w:pPr>
            <w:r>
              <w:rPr>
                <w:rFonts w:hint="eastAsia" w:ascii="宋体" w:hAnsi="宋体" w:cs="宋体"/>
              </w:rPr>
              <w:t>愿军战士</w:t>
            </w:r>
          </w:p>
        </w:tc>
        <w:tc>
          <w:tcPr>
            <w:tcW w:w="1160" w:type="pct"/>
            <w:vAlign w:val="center"/>
          </w:tcPr>
          <w:p w14:paraId="51ED239B">
            <w:pPr>
              <w:pStyle w:val="12"/>
              <w:jc w:val="left"/>
            </w:pPr>
            <w:r>
              <w:rPr>
                <w:rFonts w:hint="eastAsia"/>
              </w:rPr>
              <w:t>1951年8月27日在朝鲜铁原战斗牺牲</w:t>
            </w:r>
          </w:p>
        </w:tc>
      </w:tr>
      <w:tr w14:paraId="545B04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C3FB6BA">
            <w:pPr>
              <w:pStyle w:val="12"/>
              <w:jc w:val="center"/>
            </w:pPr>
            <w:r>
              <w:rPr>
                <w:rFonts w:hint="eastAsia"/>
              </w:rPr>
              <w:t>郑仁浩</w:t>
            </w:r>
          </w:p>
        </w:tc>
        <w:tc>
          <w:tcPr>
            <w:tcW w:w="388" w:type="pct"/>
            <w:vAlign w:val="center"/>
          </w:tcPr>
          <w:p w14:paraId="1856C90B">
            <w:pPr>
              <w:pStyle w:val="12"/>
              <w:jc w:val="center"/>
            </w:pPr>
            <w:r>
              <w:rPr>
                <w:rFonts w:hint="eastAsia"/>
              </w:rPr>
              <w:t>男</w:t>
            </w:r>
          </w:p>
        </w:tc>
        <w:tc>
          <w:tcPr>
            <w:tcW w:w="582" w:type="pct"/>
            <w:vAlign w:val="center"/>
          </w:tcPr>
          <w:p w14:paraId="1B339457">
            <w:pPr>
              <w:pStyle w:val="12"/>
              <w:jc w:val="center"/>
            </w:pPr>
            <w:r>
              <w:rPr>
                <w:rFonts w:hint="eastAsia"/>
              </w:rPr>
              <w:t>1926年</w:t>
            </w:r>
          </w:p>
        </w:tc>
        <w:tc>
          <w:tcPr>
            <w:tcW w:w="582" w:type="pct"/>
            <w:vAlign w:val="center"/>
          </w:tcPr>
          <w:p w14:paraId="308464AF">
            <w:pPr>
              <w:pStyle w:val="12"/>
              <w:jc w:val="center"/>
            </w:pPr>
            <w:r>
              <w:rPr>
                <w:rFonts w:hint="eastAsia"/>
              </w:rPr>
              <w:t>雄州镇</w:t>
            </w:r>
          </w:p>
        </w:tc>
        <w:tc>
          <w:tcPr>
            <w:tcW w:w="708" w:type="pct"/>
            <w:vAlign w:val="center"/>
          </w:tcPr>
          <w:p w14:paraId="16DFA04A">
            <w:pPr>
              <w:pStyle w:val="12"/>
              <w:jc w:val="center"/>
            </w:pPr>
            <w:r>
              <w:rPr>
                <w:rFonts w:hint="eastAsia"/>
              </w:rPr>
              <w:t>1949年</w:t>
            </w:r>
          </w:p>
        </w:tc>
        <w:tc>
          <w:tcPr>
            <w:tcW w:w="940" w:type="pct"/>
            <w:vAlign w:val="center"/>
          </w:tcPr>
          <w:p w14:paraId="763D9950">
            <w:pPr>
              <w:pStyle w:val="12"/>
              <w:jc w:val="center"/>
              <w:rPr>
                <w:rFonts w:ascii="宋体" w:hAnsi="宋体" w:cs="宋体"/>
              </w:rPr>
            </w:pPr>
            <w:r>
              <w:rPr>
                <w:rFonts w:hint="eastAsia"/>
              </w:rPr>
              <w:t>中国人民志愿</w:t>
            </w:r>
          </w:p>
          <w:p w14:paraId="02CE4C4D">
            <w:pPr>
              <w:pStyle w:val="12"/>
              <w:jc w:val="center"/>
            </w:pPr>
            <w:r>
              <w:rPr>
                <w:rFonts w:hint="eastAsia" w:ascii="宋体" w:hAnsi="宋体" w:cs="宋体"/>
              </w:rPr>
              <w:t>军机炮连班长</w:t>
            </w:r>
          </w:p>
        </w:tc>
        <w:tc>
          <w:tcPr>
            <w:tcW w:w="1160" w:type="pct"/>
            <w:vAlign w:val="center"/>
          </w:tcPr>
          <w:p w14:paraId="7355FB5D">
            <w:pPr>
              <w:pStyle w:val="12"/>
              <w:jc w:val="left"/>
            </w:pPr>
            <w:r>
              <w:rPr>
                <w:rFonts w:hint="eastAsia"/>
              </w:rPr>
              <w:t>1952年2月15日在朝鲜平金战斗牺牲</w:t>
            </w:r>
          </w:p>
        </w:tc>
      </w:tr>
      <w:tr w14:paraId="5A5FBB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C9F3424">
            <w:pPr>
              <w:pStyle w:val="12"/>
              <w:jc w:val="center"/>
            </w:pPr>
            <w:r>
              <w:rPr>
                <w:rFonts w:hint="eastAsia"/>
              </w:rPr>
              <w:t>刘胜标</w:t>
            </w:r>
          </w:p>
        </w:tc>
        <w:tc>
          <w:tcPr>
            <w:tcW w:w="388" w:type="pct"/>
            <w:vAlign w:val="center"/>
          </w:tcPr>
          <w:p w14:paraId="0476F0D7">
            <w:pPr>
              <w:pStyle w:val="12"/>
              <w:jc w:val="center"/>
            </w:pPr>
            <w:r>
              <w:rPr>
                <w:rFonts w:hint="eastAsia"/>
              </w:rPr>
              <w:t>男</w:t>
            </w:r>
          </w:p>
        </w:tc>
        <w:tc>
          <w:tcPr>
            <w:tcW w:w="582" w:type="pct"/>
            <w:vAlign w:val="center"/>
          </w:tcPr>
          <w:p w14:paraId="565F40CE">
            <w:pPr>
              <w:pStyle w:val="12"/>
              <w:jc w:val="center"/>
            </w:pPr>
            <w:r>
              <w:rPr>
                <w:rFonts w:hint="eastAsia"/>
              </w:rPr>
              <w:t>1910年</w:t>
            </w:r>
          </w:p>
        </w:tc>
        <w:tc>
          <w:tcPr>
            <w:tcW w:w="582" w:type="pct"/>
            <w:vAlign w:val="center"/>
          </w:tcPr>
          <w:p w14:paraId="1D1FD878">
            <w:pPr>
              <w:pStyle w:val="12"/>
              <w:jc w:val="center"/>
            </w:pPr>
            <w:r>
              <w:rPr>
                <w:rFonts w:hint="eastAsia"/>
              </w:rPr>
              <w:t>珠玑镇</w:t>
            </w:r>
          </w:p>
        </w:tc>
        <w:tc>
          <w:tcPr>
            <w:tcW w:w="708" w:type="pct"/>
            <w:vAlign w:val="center"/>
          </w:tcPr>
          <w:p w14:paraId="3F0A4281">
            <w:pPr>
              <w:pStyle w:val="12"/>
              <w:jc w:val="center"/>
            </w:pPr>
            <w:r>
              <w:rPr>
                <w:rFonts w:hint="eastAsia"/>
              </w:rPr>
              <w:t>1949年11月</w:t>
            </w:r>
          </w:p>
        </w:tc>
        <w:tc>
          <w:tcPr>
            <w:tcW w:w="940" w:type="pct"/>
            <w:vAlign w:val="center"/>
          </w:tcPr>
          <w:p w14:paraId="11F1951C">
            <w:pPr>
              <w:pStyle w:val="12"/>
              <w:jc w:val="center"/>
              <w:rPr>
                <w:rFonts w:ascii="宋体" w:hAnsi="宋体" w:cs="宋体"/>
              </w:rPr>
            </w:pPr>
            <w:r>
              <w:rPr>
                <w:rFonts w:hint="eastAsia"/>
              </w:rPr>
              <w:t>中国人民志</w:t>
            </w:r>
          </w:p>
          <w:p w14:paraId="02EDDA07">
            <w:pPr>
              <w:pStyle w:val="12"/>
              <w:jc w:val="center"/>
            </w:pPr>
            <w:r>
              <w:rPr>
                <w:rFonts w:hint="eastAsia" w:ascii="宋体" w:hAnsi="宋体" w:cs="宋体"/>
              </w:rPr>
              <w:t>愿军战士</w:t>
            </w:r>
          </w:p>
        </w:tc>
        <w:tc>
          <w:tcPr>
            <w:tcW w:w="1160" w:type="pct"/>
            <w:vAlign w:val="center"/>
          </w:tcPr>
          <w:p w14:paraId="60D8CEEF">
            <w:pPr>
              <w:pStyle w:val="12"/>
              <w:jc w:val="left"/>
            </w:pPr>
            <w:r>
              <w:rPr>
                <w:rFonts w:hint="eastAsia"/>
              </w:rPr>
              <w:t>1952年在朝鲜舍凤朴达峰战斗牺牲</w:t>
            </w:r>
          </w:p>
        </w:tc>
      </w:tr>
      <w:tr w14:paraId="1555A7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47FD776">
            <w:pPr>
              <w:pStyle w:val="12"/>
              <w:jc w:val="center"/>
            </w:pPr>
            <w:r>
              <w:rPr>
                <w:rFonts w:hint="eastAsia"/>
              </w:rPr>
              <w:t>张兴光</w:t>
            </w:r>
          </w:p>
        </w:tc>
        <w:tc>
          <w:tcPr>
            <w:tcW w:w="388" w:type="pct"/>
            <w:vAlign w:val="center"/>
          </w:tcPr>
          <w:p w14:paraId="392C1402">
            <w:pPr>
              <w:pStyle w:val="12"/>
              <w:jc w:val="center"/>
            </w:pPr>
            <w:r>
              <w:rPr>
                <w:rFonts w:hint="eastAsia"/>
              </w:rPr>
              <w:t>男</w:t>
            </w:r>
          </w:p>
        </w:tc>
        <w:tc>
          <w:tcPr>
            <w:tcW w:w="582" w:type="pct"/>
            <w:vAlign w:val="center"/>
          </w:tcPr>
          <w:p w14:paraId="06C10298">
            <w:pPr>
              <w:pStyle w:val="12"/>
              <w:jc w:val="center"/>
            </w:pPr>
            <w:r>
              <w:rPr>
                <w:rFonts w:hint="eastAsia"/>
              </w:rPr>
              <w:t>1925年</w:t>
            </w:r>
          </w:p>
        </w:tc>
        <w:tc>
          <w:tcPr>
            <w:tcW w:w="582" w:type="pct"/>
            <w:vAlign w:val="center"/>
          </w:tcPr>
          <w:p w14:paraId="74D5E701">
            <w:pPr>
              <w:pStyle w:val="12"/>
              <w:jc w:val="center"/>
            </w:pPr>
            <w:r>
              <w:rPr>
                <w:rFonts w:hint="eastAsia"/>
              </w:rPr>
              <w:t>水口镇</w:t>
            </w:r>
          </w:p>
        </w:tc>
        <w:tc>
          <w:tcPr>
            <w:tcW w:w="708" w:type="pct"/>
            <w:vAlign w:val="center"/>
          </w:tcPr>
          <w:p w14:paraId="65E6AB88">
            <w:pPr>
              <w:pStyle w:val="12"/>
              <w:jc w:val="center"/>
            </w:pPr>
            <w:r>
              <w:rPr>
                <w:rFonts w:hint="eastAsia"/>
              </w:rPr>
              <w:t>1949年</w:t>
            </w:r>
          </w:p>
        </w:tc>
        <w:tc>
          <w:tcPr>
            <w:tcW w:w="940" w:type="pct"/>
            <w:vAlign w:val="center"/>
          </w:tcPr>
          <w:p w14:paraId="20B2CBF9">
            <w:pPr>
              <w:pStyle w:val="12"/>
              <w:jc w:val="center"/>
              <w:rPr>
                <w:rFonts w:ascii="宋体" w:hAnsi="宋体" w:cs="宋体"/>
              </w:rPr>
            </w:pPr>
            <w:r>
              <w:rPr>
                <w:rFonts w:hint="eastAsia"/>
              </w:rPr>
              <w:t>中国人民志</w:t>
            </w:r>
          </w:p>
          <w:p w14:paraId="347B76CE">
            <w:pPr>
              <w:pStyle w:val="12"/>
              <w:jc w:val="center"/>
            </w:pPr>
            <w:r>
              <w:rPr>
                <w:rFonts w:hint="eastAsia" w:ascii="宋体" w:hAnsi="宋体" w:cs="宋体"/>
              </w:rPr>
              <w:t>愿军战士</w:t>
            </w:r>
          </w:p>
        </w:tc>
        <w:tc>
          <w:tcPr>
            <w:tcW w:w="1160" w:type="pct"/>
            <w:vAlign w:val="center"/>
          </w:tcPr>
          <w:p w14:paraId="2984FB2B">
            <w:pPr>
              <w:pStyle w:val="12"/>
              <w:jc w:val="left"/>
            </w:pPr>
            <w:r>
              <w:rPr>
                <w:rFonts w:hint="eastAsia"/>
              </w:rPr>
              <w:t>1952年在朝鲜五圣山战斗牺牲</w:t>
            </w:r>
          </w:p>
        </w:tc>
      </w:tr>
      <w:tr w14:paraId="6F1EDD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B2E2FCC">
            <w:pPr>
              <w:pStyle w:val="12"/>
              <w:jc w:val="center"/>
            </w:pPr>
            <w:r>
              <w:rPr>
                <w:rFonts w:hint="eastAsia"/>
              </w:rPr>
              <w:t>王友良</w:t>
            </w:r>
          </w:p>
        </w:tc>
        <w:tc>
          <w:tcPr>
            <w:tcW w:w="388" w:type="pct"/>
            <w:vAlign w:val="center"/>
          </w:tcPr>
          <w:p w14:paraId="231E32A1">
            <w:pPr>
              <w:pStyle w:val="12"/>
              <w:jc w:val="center"/>
            </w:pPr>
            <w:r>
              <w:rPr>
                <w:rFonts w:hint="eastAsia"/>
              </w:rPr>
              <w:t>男</w:t>
            </w:r>
          </w:p>
        </w:tc>
        <w:tc>
          <w:tcPr>
            <w:tcW w:w="582" w:type="pct"/>
            <w:vAlign w:val="center"/>
          </w:tcPr>
          <w:p w14:paraId="2254E51B">
            <w:pPr>
              <w:pStyle w:val="12"/>
              <w:jc w:val="center"/>
            </w:pPr>
            <w:r>
              <w:rPr>
                <w:rFonts w:hint="eastAsia"/>
              </w:rPr>
              <w:t>1926年</w:t>
            </w:r>
          </w:p>
        </w:tc>
        <w:tc>
          <w:tcPr>
            <w:tcW w:w="582" w:type="pct"/>
            <w:vAlign w:val="center"/>
          </w:tcPr>
          <w:p w14:paraId="48620430">
            <w:pPr>
              <w:pStyle w:val="12"/>
              <w:jc w:val="center"/>
            </w:pPr>
            <w:r>
              <w:rPr>
                <w:rFonts w:hint="eastAsia"/>
              </w:rPr>
              <w:t>邓坊镇</w:t>
            </w:r>
          </w:p>
        </w:tc>
        <w:tc>
          <w:tcPr>
            <w:tcW w:w="708" w:type="pct"/>
            <w:vAlign w:val="center"/>
          </w:tcPr>
          <w:p w14:paraId="6F61B0DF">
            <w:pPr>
              <w:pStyle w:val="12"/>
              <w:jc w:val="center"/>
            </w:pPr>
            <w:r>
              <w:rPr>
                <w:rFonts w:hint="eastAsia"/>
              </w:rPr>
              <w:t>1945年</w:t>
            </w:r>
          </w:p>
        </w:tc>
        <w:tc>
          <w:tcPr>
            <w:tcW w:w="940" w:type="pct"/>
            <w:vAlign w:val="center"/>
          </w:tcPr>
          <w:p w14:paraId="5F892E56">
            <w:pPr>
              <w:pStyle w:val="12"/>
              <w:jc w:val="center"/>
              <w:rPr>
                <w:rFonts w:ascii="宋体" w:hAnsi="宋体" w:cs="宋体"/>
              </w:rPr>
            </w:pPr>
            <w:r>
              <w:rPr>
                <w:rFonts w:hint="eastAsia"/>
              </w:rPr>
              <w:t>中国人民解</w:t>
            </w:r>
          </w:p>
          <w:p w14:paraId="533DD0FD">
            <w:pPr>
              <w:pStyle w:val="12"/>
              <w:jc w:val="center"/>
            </w:pPr>
            <w:r>
              <w:rPr>
                <w:rFonts w:hint="eastAsia" w:ascii="宋体" w:hAnsi="宋体" w:cs="宋体"/>
              </w:rPr>
              <w:t>放军排长</w:t>
            </w:r>
          </w:p>
        </w:tc>
        <w:tc>
          <w:tcPr>
            <w:tcW w:w="1160" w:type="pct"/>
            <w:vAlign w:val="center"/>
          </w:tcPr>
          <w:p w14:paraId="614E6BC4">
            <w:pPr>
              <w:pStyle w:val="12"/>
              <w:jc w:val="left"/>
            </w:pPr>
            <w:r>
              <w:rPr>
                <w:rFonts w:hint="eastAsia"/>
              </w:rPr>
              <w:t>1952年在江西崇义县战斗牺牲</w:t>
            </w:r>
          </w:p>
        </w:tc>
      </w:tr>
      <w:tr w14:paraId="77DC3C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1277196">
            <w:pPr>
              <w:pStyle w:val="12"/>
              <w:jc w:val="center"/>
            </w:pPr>
            <w:r>
              <w:rPr>
                <w:rFonts w:hint="eastAsia"/>
              </w:rPr>
              <w:t>林应鸿</w:t>
            </w:r>
            <w:r>
              <w:rPr>
                <w:rFonts w:hint="eastAsia" w:ascii="宋体" w:hAnsi="宋体" w:cs="宋体"/>
              </w:rPr>
              <w:t>（林鸿）</w:t>
            </w:r>
          </w:p>
        </w:tc>
        <w:tc>
          <w:tcPr>
            <w:tcW w:w="388" w:type="pct"/>
            <w:vAlign w:val="center"/>
          </w:tcPr>
          <w:p w14:paraId="6DCB579C">
            <w:pPr>
              <w:pStyle w:val="12"/>
              <w:jc w:val="center"/>
            </w:pPr>
            <w:r>
              <w:rPr>
                <w:rFonts w:hint="eastAsia"/>
              </w:rPr>
              <w:t>男</w:t>
            </w:r>
          </w:p>
        </w:tc>
        <w:tc>
          <w:tcPr>
            <w:tcW w:w="582" w:type="pct"/>
            <w:vAlign w:val="center"/>
          </w:tcPr>
          <w:p w14:paraId="51E9B24D">
            <w:pPr>
              <w:pStyle w:val="12"/>
              <w:jc w:val="center"/>
            </w:pPr>
            <w:r>
              <w:rPr>
                <w:rFonts w:hint="eastAsia"/>
              </w:rPr>
              <w:t>1931年</w:t>
            </w:r>
          </w:p>
        </w:tc>
        <w:tc>
          <w:tcPr>
            <w:tcW w:w="582" w:type="pct"/>
            <w:vAlign w:val="center"/>
          </w:tcPr>
          <w:p w14:paraId="0718E235">
            <w:pPr>
              <w:pStyle w:val="12"/>
              <w:jc w:val="center"/>
            </w:pPr>
            <w:r>
              <w:rPr>
                <w:rFonts w:hint="eastAsia"/>
              </w:rPr>
              <w:t>古市镇</w:t>
            </w:r>
          </w:p>
        </w:tc>
        <w:tc>
          <w:tcPr>
            <w:tcW w:w="708" w:type="pct"/>
            <w:vAlign w:val="center"/>
          </w:tcPr>
          <w:p w14:paraId="20D7F596">
            <w:pPr>
              <w:pStyle w:val="12"/>
              <w:jc w:val="center"/>
            </w:pPr>
            <w:r>
              <w:rPr>
                <w:rFonts w:hint="eastAsia"/>
              </w:rPr>
              <w:t>1949年</w:t>
            </w:r>
          </w:p>
        </w:tc>
        <w:tc>
          <w:tcPr>
            <w:tcW w:w="940" w:type="pct"/>
            <w:vAlign w:val="center"/>
          </w:tcPr>
          <w:p w14:paraId="408190E7">
            <w:pPr>
              <w:pStyle w:val="12"/>
              <w:jc w:val="center"/>
              <w:rPr>
                <w:rFonts w:ascii="宋体" w:hAnsi="宋体" w:cs="宋体"/>
              </w:rPr>
            </w:pPr>
            <w:r>
              <w:rPr>
                <w:rFonts w:hint="eastAsia"/>
              </w:rPr>
              <w:t>中国人民志</w:t>
            </w:r>
          </w:p>
          <w:p w14:paraId="6C8E81CF">
            <w:pPr>
              <w:pStyle w:val="12"/>
              <w:jc w:val="center"/>
            </w:pPr>
            <w:r>
              <w:rPr>
                <w:rFonts w:hint="eastAsia" w:ascii="宋体" w:hAnsi="宋体" w:cs="宋体"/>
              </w:rPr>
              <w:t>愿军战士</w:t>
            </w:r>
          </w:p>
        </w:tc>
        <w:tc>
          <w:tcPr>
            <w:tcW w:w="1160" w:type="pct"/>
            <w:vAlign w:val="center"/>
          </w:tcPr>
          <w:p w14:paraId="4D347539">
            <w:pPr>
              <w:pStyle w:val="12"/>
              <w:jc w:val="left"/>
            </w:pPr>
            <w:r>
              <w:rPr>
                <w:rFonts w:hint="eastAsia"/>
              </w:rPr>
              <w:t>1952年在朝鲜战斗牺牲</w:t>
            </w:r>
          </w:p>
        </w:tc>
      </w:tr>
      <w:tr w14:paraId="0D5575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C0F9E4A">
            <w:pPr>
              <w:pStyle w:val="12"/>
              <w:jc w:val="center"/>
            </w:pPr>
            <w:r>
              <w:rPr>
                <w:rFonts w:hint="eastAsia"/>
              </w:rPr>
              <w:t>钟达福</w:t>
            </w:r>
          </w:p>
        </w:tc>
        <w:tc>
          <w:tcPr>
            <w:tcW w:w="388" w:type="pct"/>
            <w:vAlign w:val="center"/>
          </w:tcPr>
          <w:p w14:paraId="3CB54075">
            <w:pPr>
              <w:pStyle w:val="12"/>
              <w:jc w:val="center"/>
            </w:pPr>
            <w:r>
              <w:rPr>
                <w:rFonts w:hint="eastAsia"/>
              </w:rPr>
              <w:t>男</w:t>
            </w:r>
          </w:p>
        </w:tc>
        <w:tc>
          <w:tcPr>
            <w:tcW w:w="582" w:type="pct"/>
            <w:vAlign w:val="center"/>
          </w:tcPr>
          <w:p w14:paraId="6563C579">
            <w:pPr>
              <w:pStyle w:val="12"/>
              <w:jc w:val="center"/>
            </w:pPr>
            <w:r>
              <w:rPr>
                <w:rFonts w:hint="eastAsia"/>
              </w:rPr>
              <w:t>1916年</w:t>
            </w:r>
          </w:p>
        </w:tc>
        <w:tc>
          <w:tcPr>
            <w:tcW w:w="582" w:type="pct"/>
            <w:vAlign w:val="center"/>
          </w:tcPr>
          <w:p w14:paraId="6B3761B7">
            <w:pPr>
              <w:pStyle w:val="12"/>
              <w:jc w:val="center"/>
            </w:pPr>
            <w:r>
              <w:rPr>
                <w:rFonts w:hint="eastAsia"/>
              </w:rPr>
              <w:t>古市镇</w:t>
            </w:r>
          </w:p>
        </w:tc>
        <w:tc>
          <w:tcPr>
            <w:tcW w:w="708" w:type="pct"/>
            <w:vAlign w:val="center"/>
          </w:tcPr>
          <w:p w14:paraId="612FC689">
            <w:pPr>
              <w:pStyle w:val="12"/>
              <w:jc w:val="center"/>
            </w:pPr>
            <w:r>
              <w:rPr>
                <w:rFonts w:hint="eastAsia"/>
              </w:rPr>
              <w:t>1949年10月</w:t>
            </w:r>
          </w:p>
        </w:tc>
        <w:tc>
          <w:tcPr>
            <w:tcW w:w="940" w:type="pct"/>
            <w:vAlign w:val="center"/>
          </w:tcPr>
          <w:p w14:paraId="11FB27C6">
            <w:pPr>
              <w:pStyle w:val="12"/>
              <w:jc w:val="center"/>
              <w:rPr>
                <w:rFonts w:ascii="宋体" w:hAnsi="宋体" w:cs="宋体"/>
              </w:rPr>
            </w:pPr>
            <w:r>
              <w:rPr>
                <w:rFonts w:hint="eastAsia"/>
              </w:rPr>
              <w:t>中国人民志</w:t>
            </w:r>
          </w:p>
          <w:p w14:paraId="0797EEFA">
            <w:pPr>
              <w:pStyle w:val="12"/>
              <w:jc w:val="center"/>
            </w:pPr>
            <w:r>
              <w:rPr>
                <w:rFonts w:hint="eastAsia" w:ascii="宋体" w:hAnsi="宋体" w:cs="宋体"/>
              </w:rPr>
              <w:t>愿军战士</w:t>
            </w:r>
          </w:p>
        </w:tc>
        <w:tc>
          <w:tcPr>
            <w:tcW w:w="1160" w:type="pct"/>
            <w:vAlign w:val="center"/>
          </w:tcPr>
          <w:p w14:paraId="79215543">
            <w:pPr>
              <w:pStyle w:val="12"/>
              <w:jc w:val="left"/>
            </w:pPr>
            <w:r>
              <w:rPr>
                <w:rFonts w:hint="eastAsia"/>
              </w:rPr>
              <w:t>1952年2月在朝鲜战斗牺牲</w:t>
            </w:r>
          </w:p>
        </w:tc>
      </w:tr>
      <w:tr w14:paraId="6D7FF4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7CE5B36">
            <w:pPr>
              <w:pStyle w:val="12"/>
              <w:jc w:val="center"/>
            </w:pPr>
            <w:r>
              <w:rPr>
                <w:rFonts w:hint="eastAsia"/>
              </w:rPr>
              <w:t>陈二娣</w:t>
            </w:r>
            <w:r>
              <w:rPr>
                <w:rFonts w:hint="eastAsia" w:ascii="宋体" w:hAnsi="宋体" w:cs="宋体"/>
              </w:rPr>
              <w:t>（万清）</w:t>
            </w:r>
          </w:p>
        </w:tc>
        <w:tc>
          <w:tcPr>
            <w:tcW w:w="388" w:type="pct"/>
            <w:vAlign w:val="center"/>
          </w:tcPr>
          <w:p w14:paraId="2ACE43EE">
            <w:pPr>
              <w:pStyle w:val="12"/>
              <w:jc w:val="center"/>
            </w:pPr>
            <w:r>
              <w:rPr>
                <w:rFonts w:hint="eastAsia"/>
              </w:rPr>
              <w:t>男</w:t>
            </w:r>
          </w:p>
        </w:tc>
        <w:tc>
          <w:tcPr>
            <w:tcW w:w="582" w:type="pct"/>
            <w:vAlign w:val="center"/>
          </w:tcPr>
          <w:p w14:paraId="6C9B8461">
            <w:pPr>
              <w:pStyle w:val="12"/>
              <w:jc w:val="center"/>
            </w:pPr>
            <w:r>
              <w:rPr>
                <w:rFonts w:hint="eastAsia"/>
              </w:rPr>
              <w:t>1927年</w:t>
            </w:r>
          </w:p>
        </w:tc>
        <w:tc>
          <w:tcPr>
            <w:tcW w:w="582" w:type="pct"/>
            <w:vAlign w:val="center"/>
          </w:tcPr>
          <w:p w14:paraId="13C8DDE4">
            <w:pPr>
              <w:pStyle w:val="12"/>
              <w:jc w:val="center"/>
            </w:pPr>
            <w:r>
              <w:rPr>
                <w:rFonts w:hint="eastAsia"/>
              </w:rPr>
              <w:t>古市镇</w:t>
            </w:r>
          </w:p>
        </w:tc>
        <w:tc>
          <w:tcPr>
            <w:tcW w:w="708" w:type="pct"/>
            <w:vAlign w:val="center"/>
          </w:tcPr>
          <w:p w14:paraId="4D5CDC3C">
            <w:pPr>
              <w:pStyle w:val="12"/>
              <w:jc w:val="center"/>
            </w:pPr>
            <w:r>
              <w:rPr>
                <w:rFonts w:hint="eastAsia"/>
              </w:rPr>
              <w:t>1949年</w:t>
            </w:r>
          </w:p>
        </w:tc>
        <w:tc>
          <w:tcPr>
            <w:tcW w:w="940" w:type="pct"/>
            <w:vAlign w:val="center"/>
          </w:tcPr>
          <w:p w14:paraId="4CE83F2B">
            <w:pPr>
              <w:pStyle w:val="12"/>
              <w:jc w:val="center"/>
              <w:rPr>
                <w:rFonts w:ascii="宋体" w:hAnsi="宋体" w:cs="宋体"/>
              </w:rPr>
            </w:pPr>
            <w:r>
              <w:rPr>
                <w:rFonts w:hint="eastAsia"/>
              </w:rPr>
              <w:t>中国人民志</w:t>
            </w:r>
          </w:p>
          <w:p w14:paraId="16BA7530">
            <w:pPr>
              <w:pStyle w:val="12"/>
              <w:jc w:val="center"/>
            </w:pPr>
            <w:r>
              <w:rPr>
                <w:rFonts w:hint="eastAsia" w:ascii="宋体" w:hAnsi="宋体" w:cs="宋体"/>
              </w:rPr>
              <w:t>愿军副班长</w:t>
            </w:r>
          </w:p>
        </w:tc>
        <w:tc>
          <w:tcPr>
            <w:tcW w:w="1160" w:type="pct"/>
            <w:vAlign w:val="center"/>
          </w:tcPr>
          <w:p w14:paraId="40FED497">
            <w:pPr>
              <w:pStyle w:val="12"/>
              <w:jc w:val="left"/>
            </w:pPr>
            <w:r>
              <w:rPr>
                <w:rFonts w:hint="eastAsia"/>
              </w:rPr>
              <w:t>1952年在朝鲜上甘岭战斗牺牲</w:t>
            </w:r>
          </w:p>
        </w:tc>
      </w:tr>
      <w:tr w14:paraId="3EF01A8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1506C24">
            <w:pPr>
              <w:pStyle w:val="12"/>
              <w:jc w:val="center"/>
            </w:pPr>
            <w:r>
              <w:rPr>
                <w:rFonts w:hint="eastAsia"/>
              </w:rPr>
              <w:t>朱光祥</w:t>
            </w:r>
          </w:p>
        </w:tc>
        <w:tc>
          <w:tcPr>
            <w:tcW w:w="388" w:type="pct"/>
            <w:vAlign w:val="center"/>
          </w:tcPr>
          <w:p w14:paraId="5352205B">
            <w:pPr>
              <w:pStyle w:val="12"/>
              <w:jc w:val="center"/>
            </w:pPr>
            <w:r>
              <w:rPr>
                <w:rFonts w:hint="eastAsia"/>
              </w:rPr>
              <w:t>男</w:t>
            </w:r>
          </w:p>
        </w:tc>
        <w:tc>
          <w:tcPr>
            <w:tcW w:w="582" w:type="pct"/>
            <w:vAlign w:val="center"/>
          </w:tcPr>
          <w:p w14:paraId="13864237">
            <w:pPr>
              <w:pStyle w:val="12"/>
              <w:jc w:val="center"/>
            </w:pPr>
            <w:r>
              <w:rPr>
                <w:rFonts w:hint="eastAsia"/>
              </w:rPr>
              <w:t>1933年</w:t>
            </w:r>
          </w:p>
        </w:tc>
        <w:tc>
          <w:tcPr>
            <w:tcW w:w="582" w:type="pct"/>
            <w:vAlign w:val="center"/>
          </w:tcPr>
          <w:p w14:paraId="79C2BC24">
            <w:pPr>
              <w:pStyle w:val="12"/>
              <w:jc w:val="center"/>
            </w:pPr>
            <w:r>
              <w:rPr>
                <w:rFonts w:hint="eastAsia"/>
              </w:rPr>
              <w:t>澜河镇</w:t>
            </w:r>
          </w:p>
        </w:tc>
        <w:tc>
          <w:tcPr>
            <w:tcW w:w="708" w:type="pct"/>
            <w:vAlign w:val="center"/>
          </w:tcPr>
          <w:p w14:paraId="2C5D7582">
            <w:pPr>
              <w:pStyle w:val="12"/>
              <w:jc w:val="center"/>
            </w:pPr>
            <w:r>
              <w:rPr>
                <w:rFonts w:hint="eastAsia"/>
              </w:rPr>
              <w:t>1950年</w:t>
            </w:r>
          </w:p>
        </w:tc>
        <w:tc>
          <w:tcPr>
            <w:tcW w:w="940" w:type="pct"/>
            <w:vAlign w:val="center"/>
          </w:tcPr>
          <w:p w14:paraId="0D0F2435">
            <w:pPr>
              <w:pStyle w:val="12"/>
              <w:jc w:val="center"/>
              <w:rPr>
                <w:rFonts w:ascii="宋体" w:hAnsi="宋体" w:cs="宋体"/>
              </w:rPr>
            </w:pPr>
            <w:r>
              <w:rPr>
                <w:rFonts w:hint="eastAsia"/>
              </w:rPr>
              <w:t>中国人民志</w:t>
            </w:r>
          </w:p>
          <w:p w14:paraId="714CDF9A">
            <w:pPr>
              <w:pStyle w:val="12"/>
              <w:jc w:val="center"/>
            </w:pPr>
            <w:r>
              <w:rPr>
                <w:rFonts w:hint="eastAsia" w:ascii="宋体" w:hAnsi="宋体" w:cs="宋体"/>
              </w:rPr>
              <w:t>愿军火车司机</w:t>
            </w:r>
          </w:p>
        </w:tc>
        <w:tc>
          <w:tcPr>
            <w:tcW w:w="1160" w:type="pct"/>
            <w:vAlign w:val="center"/>
          </w:tcPr>
          <w:p w14:paraId="56DDF7E0">
            <w:pPr>
              <w:pStyle w:val="12"/>
              <w:jc w:val="left"/>
            </w:pPr>
            <w:r>
              <w:rPr>
                <w:rFonts w:hint="eastAsia"/>
              </w:rPr>
              <w:t>1952年在朝鲜战场牺牲</w:t>
            </w:r>
          </w:p>
        </w:tc>
      </w:tr>
      <w:tr w14:paraId="6BF42AE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43E6C9E">
            <w:pPr>
              <w:pStyle w:val="12"/>
              <w:jc w:val="center"/>
            </w:pPr>
            <w:r>
              <w:rPr>
                <w:rFonts w:hint="eastAsia"/>
              </w:rPr>
              <w:t>聂富木</w:t>
            </w:r>
          </w:p>
        </w:tc>
        <w:tc>
          <w:tcPr>
            <w:tcW w:w="388" w:type="pct"/>
            <w:vAlign w:val="center"/>
          </w:tcPr>
          <w:p w14:paraId="150C0CFF">
            <w:pPr>
              <w:pStyle w:val="12"/>
              <w:jc w:val="center"/>
            </w:pPr>
            <w:r>
              <w:rPr>
                <w:rFonts w:hint="eastAsia"/>
              </w:rPr>
              <w:t>男</w:t>
            </w:r>
          </w:p>
        </w:tc>
        <w:tc>
          <w:tcPr>
            <w:tcW w:w="582" w:type="pct"/>
            <w:vAlign w:val="center"/>
          </w:tcPr>
          <w:p w14:paraId="3669A90B">
            <w:pPr>
              <w:pStyle w:val="12"/>
              <w:jc w:val="center"/>
            </w:pPr>
            <w:r>
              <w:rPr>
                <w:rFonts w:hint="eastAsia"/>
              </w:rPr>
              <w:t>1926年</w:t>
            </w:r>
          </w:p>
        </w:tc>
        <w:tc>
          <w:tcPr>
            <w:tcW w:w="582" w:type="pct"/>
            <w:vAlign w:val="center"/>
          </w:tcPr>
          <w:p w14:paraId="6547439E">
            <w:pPr>
              <w:pStyle w:val="12"/>
              <w:jc w:val="center"/>
            </w:pPr>
            <w:r>
              <w:rPr>
                <w:rFonts w:hint="eastAsia"/>
              </w:rPr>
              <w:t>全安镇</w:t>
            </w:r>
          </w:p>
        </w:tc>
        <w:tc>
          <w:tcPr>
            <w:tcW w:w="708" w:type="pct"/>
            <w:vAlign w:val="center"/>
          </w:tcPr>
          <w:p w14:paraId="312DE3EC">
            <w:pPr>
              <w:pStyle w:val="12"/>
              <w:jc w:val="center"/>
            </w:pPr>
            <w:r>
              <w:rPr>
                <w:rFonts w:hint="eastAsia"/>
              </w:rPr>
              <w:t>1949年9月</w:t>
            </w:r>
          </w:p>
        </w:tc>
        <w:tc>
          <w:tcPr>
            <w:tcW w:w="940" w:type="pct"/>
            <w:vAlign w:val="center"/>
          </w:tcPr>
          <w:p w14:paraId="599B8086">
            <w:pPr>
              <w:pStyle w:val="12"/>
              <w:jc w:val="center"/>
              <w:rPr>
                <w:rFonts w:ascii="宋体" w:hAnsi="宋体" w:cs="宋体"/>
              </w:rPr>
            </w:pPr>
            <w:r>
              <w:rPr>
                <w:rFonts w:hint="eastAsia"/>
              </w:rPr>
              <w:t>中国人民志</w:t>
            </w:r>
          </w:p>
          <w:p w14:paraId="082D1D13">
            <w:pPr>
              <w:pStyle w:val="12"/>
              <w:jc w:val="center"/>
            </w:pPr>
            <w:r>
              <w:rPr>
                <w:rFonts w:hint="eastAsia" w:ascii="宋体" w:hAnsi="宋体" w:cs="宋体"/>
              </w:rPr>
              <w:t>愿军战士</w:t>
            </w:r>
          </w:p>
        </w:tc>
        <w:tc>
          <w:tcPr>
            <w:tcW w:w="1160" w:type="pct"/>
            <w:vAlign w:val="center"/>
          </w:tcPr>
          <w:p w14:paraId="7B14FF42">
            <w:pPr>
              <w:pStyle w:val="12"/>
              <w:jc w:val="left"/>
            </w:pPr>
            <w:r>
              <w:rPr>
                <w:rFonts w:hint="eastAsia"/>
              </w:rPr>
              <w:t>1952年10月20日在朝鲜上甘岭战斗牺牲</w:t>
            </w:r>
          </w:p>
        </w:tc>
      </w:tr>
      <w:tr w14:paraId="357B81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AB2F3D9">
            <w:pPr>
              <w:pStyle w:val="12"/>
              <w:jc w:val="center"/>
            </w:pPr>
            <w:r>
              <w:rPr>
                <w:rFonts w:hint="eastAsia"/>
              </w:rPr>
              <w:t>邓有龙</w:t>
            </w:r>
          </w:p>
        </w:tc>
        <w:tc>
          <w:tcPr>
            <w:tcW w:w="388" w:type="pct"/>
            <w:vAlign w:val="center"/>
          </w:tcPr>
          <w:p w14:paraId="1B21FECB">
            <w:pPr>
              <w:pStyle w:val="12"/>
              <w:jc w:val="center"/>
            </w:pPr>
            <w:r>
              <w:rPr>
                <w:rFonts w:hint="eastAsia"/>
              </w:rPr>
              <w:t>男</w:t>
            </w:r>
          </w:p>
        </w:tc>
        <w:tc>
          <w:tcPr>
            <w:tcW w:w="582" w:type="pct"/>
            <w:vAlign w:val="center"/>
          </w:tcPr>
          <w:p w14:paraId="28A584B5">
            <w:pPr>
              <w:pStyle w:val="12"/>
              <w:jc w:val="center"/>
            </w:pPr>
            <w:r>
              <w:rPr>
                <w:rFonts w:hint="eastAsia"/>
              </w:rPr>
              <w:t>1933年7月</w:t>
            </w:r>
          </w:p>
        </w:tc>
        <w:tc>
          <w:tcPr>
            <w:tcW w:w="582" w:type="pct"/>
            <w:vAlign w:val="center"/>
          </w:tcPr>
          <w:p w14:paraId="26874EBA">
            <w:pPr>
              <w:pStyle w:val="12"/>
              <w:jc w:val="center"/>
            </w:pPr>
            <w:r>
              <w:rPr>
                <w:rFonts w:hint="eastAsia"/>
              </w:rPr>
              <w:t>珠玑镇</w:t>
            </w:r>
          </w:p>
        </w:tc>
        <w:tc>
          <w:tcPr>
            <w:tcW w:w="708" w:type="pct"/>
            <w:vAlign w:val="center"/>
          </w:tcPr>
          <w:p w14:paraId="7BEBCBB5">
            <w:pPr>
              <w:pStyle w:val="12"/>
              <w:jc w:val="center"/>
            </w:pPr>
            <w:r>
              <w:rPr>
                <w:rFonts w:hint="eastAsia"/>
              </w:rPr>
              <w:t>1949年10月</w:t>
            </w:r>
          </w:p>
        </w:tc>
        <w:tc>
          <w:tcPr>
            <w:tcW w:w="940" w:type="pct"/>
            <w:vAlign w:val="center"/>
          </w:tcPr>
          <w:p w14:paraId="2FB03763">
            <w:pPr>
              <w:pStyle w:val="12"/>
              <w:jc w:val="center"/>
              <w:rPr>
                <w:rFonts w:ascii="宋体" w:hAnsi="宋体" w:cs="宋体"/>
              </w:rPr>
            </w:pPr>
            <w:r>
              <w:rPr>
                <w:rFonts w:hint="eastAsia"/>
              </w:rPr>
              <w:t>中国人民志</w:t>
            </w:r>
          </w:p>
          <w:p w14:paraId="3F2785F1">
            <w:pPr>
              <w:pStyle w:val="12"/>
              <w:jc w:val="center"/>
            </w:pPr>
            <w:r>
              <w:rPr>
                <w:rFonts w:hint="eastAsia" w:ascii="宋体" w:hAnsi="宋体" w:cs="宋体"/>
              </w:rPr>
              <w:t>愿军战士</w:t>
            </w:r>
          </w:p>
        </w:tc>
        <w:tc>
          <w:tcPr>
            <w:tcW w:w="1160" w:type="pct"/>
            <w:vAlign w:val="center"/>
          </w:tcPr>
          <w:p w14:paraId="5FEC1024">
            <w:pPr>
              <w:pStyle w:val="12"/>
              <w:jc w:val="left"/>
            </w:pPr>
            <w:r>
              <w:rPr>
                <w:rFonts w:hint="eastAsia"/>
              </w:rPr>
              <w:t>在朝鲜牺牲</w:t>
            </w:r>
          </w:p>
        </w:tc>
      </w:tr>
      <w:tr w14:paraId="265421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1355652">
            <w:pPr>
              <w:pStyle w:val="12"/>
              <w:jc w:val="center"/>
            </w:pPr>
            <w:r>
              <w:rPr>
                <w:rFonts w:hint="eastAsia"/>
              </w:rPr>
              <w:t>袁世勤</w:t>
            </w:r>
          </w:p>
        </w:tc>
        <w:tc>
          <w:tcPr>
            <w:tcW w:w="388" w:type="pct"/>
            <w:vAlign w:val="center"/>
          </w:tcPr>
          <w:p w14:paraId="10F1E618">
            <w:pPr>
              <w:pStyle w:val="12"/>
              <w:jc w:val="center"/>
            </w:pPr>
            <w:r>
              <w:rPr>
                <w:rFonts w:hint="eastAsia"/>
              </w:rPr>
              <w:t>男</w:t>
            </w:r>
          </w:p>
        </w:tc>
        <w:tc>
          <w:tcPr>
            <w:tcW w:w="582" w:type="pct"/>
            <w:vAlign w:val="center"/>
          </w:tcPr>
          <w:p w14:paraId="3A99C87B">
            <w:pPr>
              <w:pStyle w:val="12"/>
              <w:jc w:val="center"/>
            </w:pPr>
            <w:r>
              <w:rPr>
                <w:rFonts w:hint="eastAsia"/>
              </w:rPr>
              <w:t>1924年</w:t>
            </w:r>
          </w:p>
        </w:tc>
        <w:tc>
          <w:tcPr>
            <w:tcW w:w="582" w:type="pct"/>
            <w:vAlign w:val="center"/>
          </w:tcPr>
          <w:p w14:paraId="2976E5F7">
            <w:pPr>
              <w:pStyle w:val="12"/>
              <w:jc w:val="center"/>
            </w:pPr>
            <w:r>
              <w:rPr>
                <w:rFonts w:hint="eastAsia"/>
              </w:rPr>
              <w:t>湖口镇</w:t>
            </w:r>
          </w:p>
        </w:tc>
        <w:tc>
          <w:tcPr>
            <w:tcW w:w="708" w:type="pct"/>
            <w:vAlign w:val="center"/>
          </w:tcPr>
          <w:p w14:paraId="7FE9E955">
            <w:pPr>
              <w:pStyle w:val="12"/>
              <w:jc w:val="center"/>
            </w:pPr>
            <w:r>
              <w:rPr>
                <w:rFonts w:hint="eastAsia"/>
              </w:rPr>
              <w:t>1949年</w:t>
            </w:r>
          </w:p>
        </w:tc>
        <w:tc>
          <w:tcPr>
            <w:tcW w:w="940" w:type="pct"/>
            <w:vAlign w:val="center"/>
          </w:tcPr>
          <w:p w14:paraId="784EEA6C">
            <w:pPr>
              <w:pStyle w:val="12"/>
              <w:jc w:val="center"/>
              <w:rPr>
                <w:rFonts w:ascii="宋体" w:hAnsi="宋体" w:cs="宋体"/>
              </w:rPr>
            </w:pPr>
            <w:r>
              <w:rPr>
                <w:rFonts w:hint="eastAsia"/>
              </w:rPr>
              <w:t>中国人民志</w:t>
            </w:r>
          </w:p>
          <w:p w14:paraId="7A581116">
            <w:pPr>
              <w:pStyle w:val="12"/>
              <w:jc w:val="center"/>
            </w:pPr>
            <w:r>
              <w:rPr>
                <w:rFonts w:hint="eastAsia" w:ascii="宋体" w:hAnsi="宋体" w:cs="宋体"/>
              </w:rPr>
              <w:t>愿军战士</w:t>
            </w:r>
          </w:p>
        </w:tc>
        <w:tc>
          <w:tcPr>
            <w:tcW w:w="1160" w:type="pct"/>
            <w:vAlign w:val="center"/>
          </w:tcPr>
          <w:p w14:paraId="0284603E">
            <w:pPr>
              <w:pStyle w:val="12"/>
              <w:jc w:val="left"/>
            </w:pPr>
            <w:r>
              <w:rPr>
                <w:rFonts w:hint="eastAsia"/>
              </w:rPr>
              <w:t>1952年6月在朝鲜前线失踪</w:t>
            </w:r>
          </w:p>
        </w:tc>
      </w:tr>
      <w:tr w14:paraId="25DE38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FD9824D">
            <w:pPr>
              <w:pStyle w:val="12"/>
              <w:jc w:val="center"/>
            </w:pPr>
            <w:r>
              <w:rPr>
                <w:rFonts w:hint="eastAsia"/>
              </w:rPr>
              <w:t>刘倍元</w:t>
            </w:r>
          </w:p>
        </w:tc>
        <w:tc>
          <w:tcPr>
            <w:tcW w:w="388" w:type="pct"/>
            <w:vAlign w:val="center"/>
          </w:tcPr>
          <w:p w14:paraId="215CF4B3">
            <w:pPr>
              <w:pStyle w:val="12"/>
              <w:jc w:val="center"/>
            </w:pPr>
            <w:r>
              <w:rPr>
                <w:rFonts w:hint="eastAsia"/>
              </w:rPr>
              <w:t>男</w:t>
            </w:r>
          </w:p>
        </w:tc>
        <w:tc>
          <w:tcPr>
            <w:tcW w:w="582" w:type="pct"/>
            <w:vAlign w:val="center"/>
          </w:tcPr>
          <w:p w14:paraId="46152314">
            <w:pPr>
              <w:pStyle w:val="12"/>
              <w:jc w:val="center"/>
            </w:pPr>
            <w:r>
              <w:rPr>
                <w:rFonts w:hint="eastAsia"/>
              </w:rPr>
              <w:t>1921年</w:t>
            </w:r>
          </w:p>
        </w:tc>
        <w:tc>
          <w:tcPr>
            <w:tcW w:w="582" w:type="pct"/>
            <w:vAlign w:val="center"/>
          </w:tcPr>
          <w:p w14:paraId="78343FE6">
            <w:pPr>
              <w:pStyle w:val="12"/>
              <w:jc w:val="center"/>
            </w:pPr>
            <w:r>
              <w:rPr>
                <w:rFonts w:hint="eastAsia"/>
              </w:rPr>
              <w:t>湖口镇</w:t>
            </w:r>
          </w:p>
        </w:tc>
        <w:tc>
          <w:tcPr>
            <w:tcW w:w="708" w:type="pct"/>
            <w:vAlign w:val="center"/>
          </w:tcPr>
          <w:p w14:paraId="39F6F2C5">
            <w:pPr>
              <w:pStyle w:val="12"/>
              <w:jc w:val="center"/>
            </w:pPr>
            <w:r>
              <w:rPr>
                <w:rFonts w:hint="eastAsia"/>
              </w:rPr>
              <w:t>1948年</w:t>
            </w:r>
          </w:p>
        </w:tc>
        <w:tc>
          <w:tcPr>
            <w:tcW w:w="940" w:type="pct"/>
            <w:vAlign w:val="center"/>
          </w:tcPr>
          <w:p w14:paraId="36B3720C">
            <w:pPr>
              <w:pStyle w:val="12"/>
              <w:jc w:val="center"/>
              <w:rPr>
                <w:rFonts w:ascii="宋体" w:hAnsi="宋体" w:cs="宋体"/>
              </w:rPr>
            </w:pPr>
            <w:r>
              <w:rPr>
                <w:rFonts w:hint="eastAsia"/>
              </w:rPr>
              <w:t>中国人民志</w:t>
            </w:r>
          </w:p>
          <w:p w14:paraId="74EE4865">
            <w:pPr>
              <w:pStyle w:val="12"/>
              <w:jc w:val="center"/>
            </w:pPr>
            <w:r>
              <w:rPr>
                <w:rFonts w:hint="eastAsia" w:ascii="宋体" w:hAnsi="宋体" w:cs="宋体"/>
              </w:rPr>
              <w:t>愿军战士</w:t>
            </w:r>
          </w:p>
        </w:tc>
        <w:tc>
          <w:tcPr>
            <w:tcW w:w="1160" w:type="pct"/>
            <w:vAlign w:val="center"/>
          </w:tcPr>
          <w:p w14:paraId="00F29293">
            <w:pPr>
              <w:pStyle w:val="12"/>
              <w:jc w:val="left"/>
            </w:pPr>
            <w:r>
              <w:rPr>
                <w:rFonts w:hint="eastAsia"/>
              </w:rPr>
              <w:t>1952年失踪</w:t>
            </w:r>
          </w:p>
        </w:tc>
      </w:tr>
      <w:tr w14:paraId="4279CEC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95533B1">
            <w:pPr>
              <w:pStyle w:val="12"/>
              <w:jc w:val="center"/>
            </w:pPr>
            <w:r>
              <w:rPr>
                <w:rFonts w:hint="eastAsia"/>
              </w:rPr>
              <w:t>肖和俚</w:t>
            </w:r>
          </w:p>
        </w:tc>
        <w:tc>
          <w:tcPr>
            <w:tcW w:w="388" w:type="pct"/>
            <w:vAlign w:val="center"/>
          </w:tcPr>
          <w:p w14:paraId="0B959FA9">
            <w:pPr>
              <w:pStyle w:val="12"/>
              <w:jc w:val="center"/>
            </w:pPr>
            <w:r>
              <w:rPr>
                <w:rFonts w:hint="eastAsia"/>
              </w:rPr>
              <w:t>男</w:t>
            </w:r>
          </w:p>
        </w:tc>
        <w:tc>
          <w:tcPr>
            <w:tcW w:w="582" w:type="pct"/>
            <w:vAlign w:val="center"/>
          </w:tcPr>
          <w:p w14:paraId="21684996">
            <w:pPr>
              <w:pStyle w:val="12"/>
              <w:jc w:val="center"/>
            </w:pPr>
            <w:r>
              <w:rPr>
                <w:rFonts w:hint="eastAsia"/>
              </w:rPr>
              <w:t>1932年</w:t>
            </w:r>
          </w:p>
        </w:tc>
        <w:tc>
          <w:tcPr>
            <w:tcW w:w="582" w:type="pct"/>
            <w:vAlign w:val="center"/>
          </w:tcPr>
          <w:p w14:paraId="4B2C703A">
            <w:pPr>
              <w:pStyle w:val="12"/>
              <w:jc w:val="center"/>
            </w:pPr>
            <w:r>
              <w:rPr>
                <w:rFonts w:hint="eastAsia"/>
              </w:rPr>
              <w:t>乌迳镇</w:t>
            </w:r>
          </w:p>
        </w:tc>
        <w:tc>
          <w:tcPr>
            <w:tcW w:w="708" w:type="pct"/>
            <w:vAlign w:val="center"/>
          </w:tcPr>
          <w:p w14:paraId="0B1A1311">
            <w:pPr>
              <w:pStyle w:val="12"/>
              <w:jc w:val="center"/>
            </w:pPr>
            <w:r>
              <w:rPr>
                <w:rFonts w:hint="eastAsia"/>
              </w:rPr>
              <w:t>1949年12月</w:t>
            </w:r>
          </w:p>
        </w:tc>
        <w:tc>
          <w:tcPr>
            <w:tcW w:w="940" w:type="pct"/>
            <w:vAlign w:val="center"/>
          </w:tcPr>
          <w:p w14:paraId="456E381C">
            <w:pPr>
              <w:pStyle w:val="12"/>
              <w:jc w:val="center"/>
              <w:rPr>
                <w:rFonts w:ascii="宋体" w:hAnsi="宋体" w:cs="宋体"/>
              </w:rPr>
            </w:pPr>
            <w:r>
              <w:rPr>
                <w:rFonts w:hint="eastAsia"/>
              </w:rPr>
              <w:t>中国人民志</w:t>
            </w:r>
          </w:p>
          <w:p w14:paraId="1A35B96A">
            <w:pPr>
              <w:pStyle w:val="12"/>
              <w:jc w:val="center"/>
            </w:pPr>
            <w:r>
              <w:rPr>
                <w:rFonts w:hint="eastAsia" w:ascii="宋体" w:hAnsi="宋体" w:cs="宋体"/>
              </w:rPr>
              <w:t>愿军战士</w:t>
            </w:r>
          </w:p>
        </w:tc>
        <w:tc>
          <w:tcPr>
            <w:tcW w:w="1160" w:type="pct"/>
            <w:vAlign w:val="center"/>
          </w:tcPr>
          <w:p w14:paraId="1B62F40D">
            <w:pPr>
              <w:pStyle w:val="12"/>
              <w:jc w:val="left"/>
            </w:pPr>
            <w:r>
              <w:rPr>
                <w:rFonts w:hint="eastAsia"/>
              </w:rPr>
              <w:t>1953年5月29日在朝鲜马踏里西山战斗牺牲</w:t>
            </w:r>
          </w:p>
        </w:tc>
      </w:tr>
      <w:tr w14:paraId="743AFAE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91B2229">
            <w:pPr>
              <w:pStyle w:val="12"/>
              <w:jc w:val="center"/>
            </w:pPr>
            <w:r>
              <w:rPr>
                <w:rFonts w:hint="eastAsia"/>
              </w:rPr>
              <w:t>温锡路</w:t>
            </w:r>
          </w:p>
        </w:tc>
        <w:tc>
          <w:tcPr>
            <w:tcW w:w="388" w:type="pct"/>
            <w:vAlign w:val="center"/>
          </w:tcPr>
          <w:p w14:paraId="574D1E07">
            <w:pPr>
              <w:pStyle w:val="12"/>
              <w:jc w:val="center"/>
            </w:pPr>
            <w:r>
              <w:rPr>
                <w:rFonts w:hint="eastAsia"/>
              </w:rPr>
              <w:t>男</w:t>
            </w:r>
          </w:p>
        </w:tc>
        <w:tc>
          <w:tcPr>
            <w:tcW w:w="582" w:type="pct"/>
            <w:vAlign w:val="center"/>
          </w:tcPr>
          <w:p w14:paraId="3B432662">
            <w:pPr>
              <w:pStyle w:val="12"/>
              <w:jc w:val="center"/>
            </w:pPr>
            <w:r>
              <w:rPr>
                <w:rFonts w:hint="eastAsia"/>
              </w:rPr>
              <w:t>1921年</w:t>
            </w:r>
          </w:p>
        </w:tc>
        <w:tc>
          <w:tcPr>
            <w:tcW w:w="582" w:type="pct"/>
            <w:vAlign w:val="center"/>
          </w:tcPr>
          <w:p w14:paraId="30BA8EF8">
            <w:pPr>
              <w:pStyle w:val="12"/>
              <w:jc w:val="center"/>
            </w:pPr>
            <w:r>
              <w:rPr>
                <w:rFonts w:hint="eastAsia"/>
              </w:rPr>
              <w:t>雄州镇</w:t>
            </w:r>
          </w:p>
        </w:tc>
        <w:tc>
          <w:tcPr>
            <w:tcW w:w="708" w:type="pct"/>
            <w:vAlign w:val="center"/>
          </w:tcPr>
          <w:p w14:paraId="76AF850E">
            <w:pPr>
              <w:pStyle w:val="12"/>
              <w:jc w:val="center"/>
            </w:pPr>
            <w:r>
              <w:rPr>
                <w:rFonts w:hint="eastAsia"/>
              </w:rPr>
              <w:t>1948年</w:t>
            </w:r>
          </w:p>
        </w:tc>
        <w:tc>
          <w:tcPr>
            <w:tcW w:w="940" w:type="pct"/>
            <w:vAlign w:val="center"/>
          </w:tcPr>
          <w:p w14:paraId="2CE7B9F9">
            <w:pPr>
              <w:pStyle w:val="12"/>
              <w:jc w:val="center"/>
              <w:rPr>
                <w:rFonts w:ascii="宋体" w:hAnsi="宋体" w:cs="宋体"/>
              </w:rPr>
            </w:pPr>
            <w:r>
              <w:rPr>
                <w:rFonts w:hint="eastAsia"/>
              </w:rPr>
              <w:t>中国人民志</w:t>
            </w:r>
          </w:p>
          <w:p w14:paraId="33478E07">
            <w:pPr>
              <w:pStyle w:val="12"/>
              <w:jc w:val="center"/>
            </w:pPr>
            <w:r>
              <w:rPr>
                <w:rFonts w:hint="eastAsia" w:ascii="宋体" w:hAnsi="宋体" w:cs="宋体"/>
              </w:rPr>
              <w:t>愿军战士</w:t>
            </w:r>
          </w:p>
        </w:tc>
        <w:tc>
          <w:tcPr>
            <w:tcW w:w="1160" w:type="pct"/>
            <w:vAlign w:val="center"/>
          </w:tcPr>
          <w:p w14:paraId="36F367DF">
            <w:pPr>
              <w:pStyle w:val="12"/>
              <w:jc w:val="left"/>
            </w:pPr>
            <w:r>
              <w:rPr>
                <w:rFonts w:hint="eastAsia"/>
              </w:rPr>
              <w:t>1953年在朝鲜战斗牺牲</w:t>
            </w:r>
          </w:p>
        </w:tc>
      </w:tr>
      <w:tr w14:paraId="6E6C2E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33CCB52">
            <w:pPr>
              <w:pStyle w:val="12"/>
              <w:jc w:val="center"/>
            </w:pPr>
            <w:r>
              <w:rPr>
                <w:rFonts w:hint="eastAsia"/>
              </w:rPr>
              <w:t>朱德胜</w:t>
            </w:r>
          </w:p>
        </w:tc>
        <w:tc>
          <w:tcPr>
            <w:tcW w:w="388" w:type="pct"/>
            <w:vAlign w:val="center"/>
          </w:tcPr>
          <w:p w14:paraId="274CBDEA">
            <w:pPr>
              <w:pStyle w:val="12"/>
              <w:jc w:val="center"/>
            </w:pPr>
            <w:r>
              <w:rPr>
                <w:rFonts w:hint="eastAsia"/>
              </w:rPr>
              <w:t>男</w:t>
            </w:r>
          </w:p>
        </w:tc>
        <w:tc>
          <w:tcPr>
            <w:tcW w:w="582" w:type="pct"/>
            <w:vAlign w:val="center"/>
          </w:tcPr>
          <w:p w14:paraId="5F3B6484">
            <w:pPr>
              <w:pStyle w:val="12"/>
              <w:jc w:val="center"/>
            </w:pPr>
            <w:r>
              <w:rPr>
                <w:rFonts w:hint="eastAsia"/>
              </w:rPr>
              <w:t>1915年</w:t>
            </w:r>
          </w:p>
        </w:tc>
        <w:tc>
          <w:tcPr>
            <w:tcW w:w="582" w:type="pct"/>
            <w:vAlign w:val="center"/>
          </w:tcPr>
          <w:p w14:paraId="65FE6A42">
            <w:pPr>
              <w:pStyle w:val="12"/>
              <w:jc w:val="center"/>
            </w:pPr>
            <w:r>
              <w:rPr>
                <w:rFonts w:hint="eastAsia"/>
              </w:rPr>
              <w:t>雄州镇</w:t>
            </w:r>
          </w:p>
        </w:tc>
        <w:tc>
          <w:tcPr>
            <w:tcW w:w="708" w:type="pct"/>
            <w:vAlign w:val="center"/>
          </w:tcPr>
          <w:p w14:paraId="6F674966">
            <w:pPr>
              <w:pStyle w:val="12"/>
              <w:jc w:val="center"/>
            </w:pPr>
            <w:r>
              <w:rPr>
                <w:rFonts w:hint="eastAsia"/>
              </w:rPr>
              <w:t>1946年12月</w:t>
            </w:r>
          </w:p>
        </w:tc>
        <w:tc>
          <w:tcPr>
            <w:tcW w:w="940" w:type="pct"/>
            <w:vAlign w:val="center"/>
          </w:tcPr>
          <w:p w14:paraId="35751E64">
            <w:pPr>
              <w:pStyle w:val="12"/>
              <w:jc w:val="center"/>
              <w:rPr>
                <w:rFonts w:ascii="宋体" w:hAnsi="宋体" w:cs="宋体"/>
              </w:rPr>
            </w:pPr>
            <w:r>
              <w:rPr>
                <w:rFonts w:hint="eastAsia"/>
              </w:rPr>
              <w:t>中国人民志</w:t>
            </w:r>
          </w:p>
          <w:p w14:paraId="47280CAD">
            <w:pPr>
              <w:pStyle w:val="12"/>
              <w:jc w:val="center"/>
            </w:pPr>
            <w:r>
              <w:rPr>
                <w:rFonts w:hint="eastAsia" w:ascii="宋体" w:hAnsi="宋体" w:cs="宋体"/>
              </w:rPr>
              <w:t>愿军排长</w:t>
            </w:r>
          </w:p>
        </w:tc>
        <w:tc>
          <w:tcPr>
            <w:tcW w:w="1160" w:type="pct"/>
            <w:vAlign w:val="center"/>
          </w:tcPr>
          <w:p w14:paraId="7A0E7D9B">
            <w:pPr>
              <w:pStyle w:val="12"/>
              <w:jc w:val="left"/>
            </w:pPr>
            <w:r>
              <w:rPr>
                <w:rFonts w:hint="eastAsia"/>
              </w:rPr>
              <w:t>1953年7月15日，在朝鲜4824高地战斗牺牲</w:t>
            </w:r>
          </w:p>
        </w:tc>
      </w:tr>
      <w:tr w14:paraId="5A53C9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003A266">
            <w:pPr>
              <w:pStyle w:val="12"/>
              <w:jc w:val="center"/>
            </w:pPr>
            <w:r>
              <w:rPr>
                <w:rFonts w:hint="eastAsia"/>
              </w:rPr>
              <w:t>邱仁俊</w:t>
            </w:r>
          </w:p>
        </w:tc>
        <w:tc>
          <w:tcPr>
            <w:tcW w:w="388" w:type="pct"/>
            <w:vAlign w:val="center"/>
          </w:tcPr>
          <w:p w14:paraId="1313BBE6">
            <w:pPr>
              <w:pStyle w:val="12"/>
              <w:jc w:val="center"/>
            </w:pPr>
            <w:r>
              <w:rPr>
                <w:rFonts w:hint="eastAsia"/>
              </w:rPr>
              <w:t>男</w:t>
            </w:r>
          </w:p>
        </w:tc>
        <w:tc>
          <w:tcPr>
            <w:tcW w:w="582" w:type="pct"/>
            <w:vAlign w:val="center"/>
          </w:tcPr>
          <w:p w14:paraId="3CCFF07E">
            <w:pPr>
              <w:pStyle w:val="12"/>
              <w:jc w:val="center"/>
            </w:pPr>
            <w:r>
              <w:rPr>
                <w:rFonts w:hint="eastAsia"/>
              </w:rPr>
              <w:t>1933年</w:t>
            </w:r>
          </w:p>
        </w:tc>
        <w:tc>
          <w:tcPr>
            <w:tcW w:w="582" w:type="pct"/>
            <w:vAlign w:val="center"/>
          </w:tcPr>
          <w:p w14:paraId="0AF03249">
            <w:pPr>
              <w:pStyle w:val="12"/>
              <w:jc w:val="center"/>
            </w:pPr>
            <w:r>
              <w:rPr>
                <w:rFonts w:hint="eastAsia"/>
              </w:rPr>
              <w:t>雄州镇</w:t>
            </w:r>
          </w:p>
        </w:tc>
        <w:tc>
          <w:tcPr>
            <w:tcW w:w="708" w:type="pct"/>
            <w:vAlign w:val="center"/>
          </w:tcPr>
          <w:p w14:paraId="3DFA4158">
            <w:pPr>
              <w:pStyle w:val="12"/>
              <w:jc w:val="center"/>
            </w:pPr>
            <w:r>
              <w:rPr>
                <w:rFonts w:hint="eastAsia"/>
              </w:rPr>
              <w:t>1951年6月</w:t>
            </w:r>
          </w:p>
        </w:tc>
        <w:tc>
          <w:tcPr>
            <w:tcW w:w="940" w:type="pct"/>
            <w:vAlign w:val="center"/>
          </w:tcPr>
          <w:p w14:paraId="0FA3F19D">
            <w:pPr>
              <w:pStyle w:val="12"/>
              <w:jc w:val="center"/>
              <w:rPr>
                <w:rFonts w:ascii="宋体" w:hAnsi="宋体" w:cs="宋体"/>
              </w:rPr>
            </w:pPr>
            <w:r>
              <w:rPr>
                <w:rFonts w:hint="eastAsia"/>
              </w:rPr>
              <w:t>中国人民志愿</w:t>
            </w:r>
          </w:p>
          <w:p w14:paraId="085FDA4D">
            <w:pPr>
              <w:pStyle w:val="12"/>
              <w:jc w:val="center"/>
            </w:pPr>
            <w:r>
              <w:rPr>
                <w:rFonts w:hint="eastAsia" w:ascii="宋体" w:hAnsi="宋体" w:cs="宋体"/>
              </w:rPr>
              <w:t>军担运连副班长</w:t>
            </w:r>
          </w:p>
        </w:tc>
        <w:tc>
          <w:tcPr>
            <w:tcW w:w="1160" w:type="pct"/>
            <w:vAlign w:val="center"/>
          </w:tcPr>
          <w:p w14:paraId="0FCD4918">
            <w:pPr>
              <w:pStyle w:val="12"/>
              <w:jc w:val="left"/>
            </w:pPr>
            <w:r>
              <w:rPr>
                <w:rFonts w:hint="eastAsia"/>
              </w:rPr>
              <w:t>1953年12月，在朝鲜金城战役中牺牲</w:t>
            </w:r>
          </w:p>
        </w:tc>
      </w:tr>
      <w:tr w14:paraId="22241D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3E89B69">
            <w:pPr>
              <w:pStyle w:val="12"/>
              <w:jc w:val="center"/>
            </w:pPr>
            <w:r>
              <w:rPr>
                <w:rFonts w:hint="eastAsia"/>
              </w:rPr>
              <w:t>沈家成</w:t>
            </w:r>
            <w:r>
              <w:rPr>
                <w:rFonts w:hint="eastAsia" w:ascii="宋体" w:hAnsi="宋体" w:cs="宋体"/>
              </w:rPr>
              <w:t>（家珍）</w:t>
            </w:r>
          </w:p>
        </w:tc>
        <w:tc>
          <w:tcPr>
            <w:tcW w:w="388" w:type="pct"/>
            <w:vAlign w:val="center"/>
          </w:tcPr>
          <w:p w14:paraId="26FB6EA6">
            <w:pPr>
              <w:pStyle w:val="12"/>
              <w:jc w:val="center"/>
            </w:pPr>
            <w:r>
              <w:rPr>
                <w:rFonts w:hint="eastAsia"/>
              </w:rPr>
              <w:t>男</w:t>
            </w:r>
          </w:p>
        </w:tc>
        <w:tc>
          <w:tcPr>
            <w:tcW w:w="582" w:type="pct"/>
            <w:vAlign w:val="center"/>
          </w:tcPr>
          <w:p w14:paraId="1FD70ECA">
            <w:pPr>
              <w:pStyle w:val="12"/>
              <w:jc w:val="center"/>
            </w:pPr>
            <w:r>
              <w:rPr>
                <w:rFonts w:hint="eastAsia"/>
              </w:rPr>
              <w:t>1906年</w:t>
            </w:r>
          </w:p>
        </w:tc>
        <w:tc>
          <w:tcPr>
            <w:tcW w:w="582" w:type="pct"/>
            <w:vAlign w:val="center"/>
          </w:tcPr>
          <w:p w14:paraId="3B66801B">
            <w:pPr>
              <w:pStyle w:val="12"/>
              <w:jc w:val="center"/>
            </w:pPr>
            <w:r>
              <w:rPr>
                <w:rFonts w:hint="eastAsia"/>
              </w:rPr>
              <w:t>黄坑镇</w:t>
            </w:r>
          </w:p>
        </w:tc>
        <w:tc>
          <w:tcPr>
            <w:tcW w:w="708" w:type="pct"/>
            <w:vAlign w:val="center"/>
          </w:tcPr>
          <w:p w14:paraId="75CB29F4">
            <w:pPr>
              <w:pStyle w:val="12"/>
              <w:jc w:val="center"/>
            </w:pPr>
            <w:r>
              <w:rPr>
                <w:rFonts w:hint="eastAsia"/>
              </w:rPr>
              <w:t>1940年</w:t>
            </w:r>
          </w:p>
        </w:tc>
        <w:tc>
          <w:tcPr>
            <w:tcW w:w="940" w:type="pct"/>
            <w:vAlign w:val="center"/>
          </w:tcPr>
          <w:p w14:paraId="22F0368B">
            <w:pPr>
              <w:pStyle w:val="12"/>
              <w:jc w:val="center"/>
              <w:rPr>
                <w:rFonts w:ascii="宋体" w:hAnsi="宋体" w:cs="宋体"/>
              </w:rPr>
            </w:pPr>
            <w:r>
              <w:rPr>
                <w:rFonts w:hint="eastAsia"/>
              </w:rPr>
              <w:t>中国人民志</w:t>
            </w:r>
          </w:p>
          <w:p w14:paraId="20B90100">
            <w:pPr>
              <w:pStyle w:val="12"/>
              <w:jc w:val="center"/>
            </w:pPr>
            <w:r>
              <w:rPr>
                <w:rFonts w:hint="eastAsia" w:ascii="宋体" w:hAnsi="宋体" w:cs="宋体"/>
              </w:rPr>
              <w:t>愿军战士</w:t>
            </w:r>
          </w:p>
        </w:tc>
        <w:tc>
          <w:tcPr>
            <w:tcW w:w="1160" w:type="pct"/>
            <w:vAlign w:val="center"/>
          </w:tcPr>
          <w:p w14:paraId="5985E71E">
            <w:pPr>
              <w:pStyle w:val="12"/>
              <w:jc w:val="left"/>
            </w:pPr>
            <w:r>
              <w:rPr>
                <w:rFonts w:hint="eastAsia"/>
              </w:rPr>
              <w:t>1953年在朝鲜战场牺牲</w:t>
            </w:r>
          </w:p>
        </w:tc>
      </w:tr>
      <w:tr w14:paraId="3F6B4B6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9AAE0FF">
            <w:pPr>
              <w:pStyle w:val="12"/>
              <w:jc w:val="center"/>
            </w:pPr>
            <w:r>
              <w:rPr>
                <w:rFonts w:hint="eastAsia"/>
              </w:rPr>
              <w:t>陈尚和</w:t>
            </w:r>
          </w:p>
        </w:tc>
        <w:tc>
          <w:tcPr>
            <w:tcW w:w="388" w:type="pct"/>
            <w:vAlign w:val="center"/>
          </w:tcPr>
          <w:p w14:paraId="742A0088">
            <w:pPr>
              <w:pStyle w:val="12"/>
              <w:jc w:val="center"/>
            </w:pPr>
            <w:r>
              <w:rPr>
                <w:rFonts w:hint="eastAsia"/>
              </w:rPr>
              <w:t>男</w:t>
            </w:r>
          </w:p>
        </w:tc>
        <w:tc>
          <w:tcPr>
            <w:tcW w:w="582" w:type="pct"/>
            <w:vAlign w:val="center"/>
          </w:tcPr>
          <w:p w14:paraId="2379F790">
            <w:pPr>
              <w:pStyle w:val="12"/>
              <w:jc w:val="center"/>
            </w:pPr>
            <w:r>
              <w:rPr>
                <w:rFonts w:hint="eastAsia"/>
              </w:rPr>
              <w:t>1931年</w:t>
            </w:r>
          </w:p>
        </w:tc>
        <w:tc>
          <w:tcPr>
            <w:tcW w:w="582" w:type="pct"/>
            <w:vAlign w:val="center"/>
          </w:tcPr>
          <w:p w14:paraId="3993FEAB">
            <w:pPr>
              <w:pStyle w:val="12"/>
              <w:jc w:val="center"/>
            </w:pPr>
            <w:r>
              <w:rPr>
                <w:rFonts w:hint="eastAsia"/>
              </w:rPr>
              <w:t>水口镇</w:t>
            </w:r>
          </w:p>
        </w:tc>
        <w:tc>
          <w:tcPr>
            <w:tcW w:w="708" w:type="pct"/>
            <w:vAlign w:val="center"/>
          </w:tcPr>
          <w:p w14:paraId="55E447C8">
            <w:pPr>
              <w:pStyle w:val="12"/>
              <w:jc w:val="center"/>
            </w:pPr>
            <w:r>
              <w:rPr>
                <w:rFonts w:hint="eastAsia"/>
              </w:rPr>
              <w:t>1949年4月</w:t>
            </w:r>
          </w:p>
        </w:tc>
        <w:tc>
          <w:tcPr>
            <w:tcW w:w="940" w:type="pct"/>
            <w:vAlign w:val="center"/>
          </w:tcPr>
          <w:p w14:paraId="797817EC">
            <w:pPr>
              <w:pStyle w:val="12"/>
              <w:jc w:val="center"/>
              <w:rPr>
                <w:rFonts w:ascii="宋体" w:hAnsi="宋体" w:cs="宋体"/>
              </w:rPr>
            </w:pPr>
            <w:r>
              <w:rPr>
                <w:rFonts w:hint="eastAsia"/>
              </w:rPr>
              <w:t>中国人民志</w:t>
            </w:r>
          </w:p>
          <w:p w14:paraId="2A8AB0AB">
            <w:pPr>
              <w:pStyle w:val="12"/>
              <w:jc w:val="center"/>
            </w:pPr>
            <w:r>
              <w:rPr>
                <w:rFonts w:hint="eastAsia" w:ascii="宋体" w:hAnsi="宋体" w:cs="宋体"/>
              </w:rPr>
              <w:t>愿军班长</w:t>
            </w:r>
          </w:p>
        </w:tc>
        <w:tc>
          <w:tcPr>
            <w:tcW w:w="1160" w:type="pct"/>
            <w:vAlign w:val="center"/>
          </w:tcPr>
          <w:p w14:paraId="309F102C">
            <w:pPr>
              <w:pStyle w:val="12"/>
              <w:jc w:val="left"/>
            </w:pPr>
            <w:r>
              <w:rPr>
                <w:rFonts w:hint="eastAsia"/>
              </w:rPr>
              <w:t>1953年7月25日在朝鲜战场牺牲</w:t>
            </w:r>
          </w:p>
        </w:tc>
      </w:tr>
      <w:tr w14:paraId="300989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247FC2D">
            <w:pPr>
              <w:pStyle w:val="12"/>
              <w:jc w:val="center"/>
            </w:pPr>
            <w:r>
              <w:rPr>
                <w:rFonts w:hint="eastAsia"/>
              </w:rPr>
              <w:t>黄传辉</w:t>
            </w:r>
          </w:p>
        </w:tc>
        <w:tc>
          <w:tcPr>
            <w:tcW w:w="388" w:type="pct"/>
            <w:vAlign w:val="center"/>
          </w:tcPr>
          <w:p w14:paraId="5BA04AF7">
            <w:pPr>
              <w:pStyle w:val="12"/>
              <w:jc w:val="center"/>
            </w:pPr>
            <w:r>
              <w:rPr>
                <w:rFonts w:hint="eastAsia"/>
              </w:rPr>
              <w:t>男</w:t>
            </w:r>
          </w:p>
        </w:tc>
        <w:tc>
          <w:tcPr>
            <w:tcW w:w="582" w:type="pct"/>
            <w:vAlign w:val="center"/>
          </w:tcPr>
          <w:p w14:paraId="61368512">
            <w:pPr>
              <w:pStyle w:val="12"/>
              <w:jc w:val="center"/>
            </w:pPr>
            <w:r>
              <w:rPr>
                <w:rFonts w:hint="eastAsia"/>
              </w:rPr>
              <w:t>1931年</w:t>
            </w:r>
          </w:p>
        </w:tc>
        <w:tc>
          <w:tcPr>
            <w:tcW w:w="582" w:type="pct"/>
            <w:vAlign w:val="center"/>
          </w:tcPr>
          <w:p w14:paraId="22930BF7">
            <w:pPr>
              <w:pStyle w:val="12"/>
              <w:jc w:val="center"/>
            </w:pPr>
            <w:r>
              <w:rPr>
                <w:rFonts w:hint="eastAsia"/>
              </w:rPr>
              <w:t>乌迳镇</w:t>
            </w:r>
          </w:p>
        </w:tc>
        <w:tc>
          <w:tcPr>
            <w:tcW w:w="708" w:type="pct"/>
            <w:vAlign w:val="center"/>
          </w:tcPr>
          <w:p w14:paraId="562FCDC0">
            <w:pPr>
              <w:pStyle w:val="12"/>
              <w:jc w:val="center"/>
            </w:pPr>
            <w:r>
              <w:rPr>
                <w:rFonts w:hint="eastAsia"/>
              </w:rPr>
              <w:t>1951年</w:t>
            </w:r>
          </w:p>
        </w:tc>
        <w:tc>
          <w:tcPr>
            <w:tcW w:w="940" w:type="pct"/>
            <w:vAlign w:val="center"/>
          </w:tcPr>
          <w:p w14:paraId="0F253371">
            <w:pPr>
              <w:pStyle w:val="12"/>
              <w:jc w:val="center"/>
              <w:rPr>
                <w:rFonts w:ascii="宋体" w:hAnsi="宋体" w:cs="宋体"/>
              </w:rPr>
            </w:pPr>
            <w:r>
              <w:rPr>
                <w:rFonts w:hint="eastAsia"/>
              </w:rPr>
              <w:t>中国人民志</w:t>
            </w:r>
          </w:p>
          <w:p w14:paraId="69D3A3D7">
            <w:pPr>
              <w:pStyle w:val="12"/>
              <w:jc w:val="center"/>
            </w:pPr>
            <w:r>
              <w:rPr>
                <w:rFonts w:hint="eastAsia" w:ascii="宋体" w:hAnsi="宋体" w:cs="宋体"/>
              </w:rPr>
              <w:t>愿军战士</w:t>
            </w:r>
          </w:p>
        </w:tc>
        <w:tc>
          <w:tcPr>
            <w:tcW w:w="1160" w:type="pct"/>
            <w:vAlign w:val="center"/>
          </w:tcPr>
          <w:p w14:paraId="4672D6C7">
            <w:pPr>
              <w:pStyle w:val="12"/>
              <w:jc w:val="left"/>
            </w:pPr>
            <w:r>
              <w:rPr>
                <w:rFonts w:hint="eastAsia"/>
              </w:rPr>
              <w:t>1953年在朝鲜战场牺牲</w:t>
            </w:r>
          </w:p>
        </w:tc>
      </w:tr>
      <w:tr w14:paraId="44867F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D84D99F">
            <w:pPr>
              <w:pStyle w:val="12"/>
              <w:jc w:val="center"/>
            </w:pPr>
            <w:r>
              <w:rPr>
                <w:rFonts w:hint="eastAsia"/>
              </w:rPr>
              <w:t>龚书长</w:t>
            </w:r>
          </w:p>
        </w:tc>
        <w:tc>
          <w:tcPr>
            <w:tcW w:w="388" w:type="pct"/>
            <w:vAlign w:val="center"/>
          </w:tcPr>
          <w:p w14:paraId="0D0296A1">
            <w:pPr>
              <w:pStyle w:val="12"/>
              <w:jc w:val="center"/>
            </w:pPr>
            <w:r>
              <w:rPr>
                <w:rFonts w:hint="eastAsia"/>
              </w:rPr>
              <w:t>男</w:t>
            </w:r>
          </w:p>
        </w:tc>
        <w:tc>
          <w:tcPr>
            <w:tcW w:w="582" w:type="pct"/>
            <w:vAlign w:val="center"/>
          </w:tcPr>
          <w:p w14:paraId="04E9F7C5">
            <w:pPr>
              <w:pStyle w:val="12"/>
              <w:jc w:val="center"/>
            </w:pPr>
            <w:r>
              <w:rPr>
                <w:rFonts w:hint="eastAsia"/>
              </w:rPr>
              <w:t>1932年</w:t>
            </w:r>
          </w:p>
        </w:tc>
        <w:tc>
          <w:tcPr>
            <w:tcW w:w="582" w:type="pct"/>
            <w:vAlign w:val="center"/>
          </w:tcPr>
          <w:p w14:paraId="1B5DC7BE">
            <w:pPr>
              <w:pStyle w:val="12"/>
              <w:jc w:val="center"/>
            </w:pPr>
            <w:r>
              <w:rPr>
                <w:rFonts w:hint="eastAsia"/>
              </w:rPr>
              <w:t>坪田镇</w:t>
            </w:r>
          </w:p>
        </w:tc>
        <w:tc>
          <w:tcPr>
            <w:tcW w:w="708" w:type="pct"/>
            <w:vAlign w:val="center"/>
          </w:tcPr>
          <w:p w14:paraId="2E3C62CF">
            <w:pPr>
              <w:pStyle w:val="12"/>
              <w:jc w:val="center"/>
            </w:pPr>
            <w:r>
              <w:rPr>
                <w:rFonts w:hint="eastAsia"/>
              </w:rPr>
              <w:t>1951年6月</w:t>
            </w:r>
          </w:p>
        </w:tc>
        <w:tc>
          <w:tcPr>
            <w:tcW w:w="940" w:type="pct"/>
            <w:vAlign w:val="center"/>
          </w:tcPr>
          <w:p w14:paraId="0B7DA5C7">
            <w:pPr>
              <w:pStyle w:val="12"/>
              <w:jc w:val="center"/>
              <w:rPr>
                <w:rFonts w:ascii="宋体" w:hAnsi="宋体" w:cs="宋体"/>
              </w:rPr>
            </w:pPr>
            <w:r>
              <w:rPr>
                <w:rFonts w:hint="eastAsia"/>
              </w:rPr>
              <w:t>中国人民志</w:t>
            </w:r>
          </w:p>
          <w:p w14:paraId="4204EA93">
            <w:pPr>
              <w:pStyle w:val="12"/>
              <w:jc w:val="center"/>
            </w:pPr>
            <w:r>
              <w:rPr>
                <w:rFonts w:hint="eastAsia" w:ascii="宋体" w:hAnsi="宋体" w:cs="宋体"/>
              </w:rPr>
              <w:t>愿军战士</w:t>
            </w:r>
          </w:p>
        </w:tc>
        <w:tc>
          <w:tcPr>
            <w:tcW w:w="1160" w:type="pct"/>
            <w:vAlign w:val="center"/>
          </w:tcPr>
          <w:p w14:paraId="322A9302">
            <w:pPr>
              <w:pStyle w:val="12"/>
              <w:jc w:val="left"/>
            </w:pPr>
            <w:r>
              <w:rPr>
                <w:rFonts w:hint="eastAsia"/>
              </w:rPr>
              <w:t>1953年7月18日在朝鲜金城川战斗牺牲</w:t>
            </w:r>
          </w:p>
        </w:tc>
      </w:tr>
      <w:tr w14:paraId="388F1A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73F5191">
            <w:pPr>
              <w:pStyle w:val="12"/>
              <w:jc w:val="center"/>
            </w:pPr>
            <w:r>
              <w:rPr>
                <w:rFonts w:hint="eastAsia"/>
              </w:rPr>
              <w:t>邓文才</w:t>
            </w:r>
          </w:p>
        </w:tc>
        <w:tc>
          <w:tcPr>
            <w:tcW w:w="388" w:type="pct"/>
            <w:vAlign w:val="center"/>
          </w:tcPr>
          <w:p w14:paraId="6F919A9A">
            <w:pPr>
              <w:pStyle w:val="12"/>
              <w:jc w:val="center"/>
            </w:pPr>
            <w:r>
              <w:rPr>
                <w:rFonts w:hint="eastAsia"/>
              </w:rPr>
              <w:t>男</w:t>
            </w:r>
          </w:p>
        </w:tc>
        <w:tc>
          <w:tcPr>
            <w:tcW w:w="582" w:type="pct"/>
            <w:vAlign w:val="center"/>
          </w:tcPr>
          <w:p w14:paraId="71A6EF3C">
            <w:pPr>
              <w:pStyle w:val="12"/>
              <w:jc w:val="center"/>
            </w:pPr>
            <w:r>
              <w:rPr>
                <w:rFonts w:hint="eastAsia"/>
              </w:rPr>
              <w:t>1923年</w:t>
            </w:r>
          </w:p>
        </w:tc>
        <w:tc>
          <w:tcPr>
            <w:tcW w:w="582" w:type="pct"/>
            <w:vAlign w:val="center"/>
          </w:tcPr>
          <w:p w14:paraId="44EC632B">
            <w:pPr>
              <w:pStyle w:val="12"/>
              <w:jc w:val="center"/>
            </w:pPr>
            <w:r>
              <w:rPr>
                <w:rFonts w:hint="eastAsia"/>
              </w:rPr>
              <w:t>雄州镇</w:t>
            </w:r>
          </w:p>
        </w:tc>
        <w:tc>
          <w:tcPr>
            <w:tcW w:w="708" w:type="pct"/>
            <w:vAlign w:val="center"/>
          </w:tcPr>
          <w:p w14:paraId="140BB2F2">
            <w:pPr>
              <w:pStyle w:val="12"/>
              <w:jc w:val="center"/>
            </w:pPr>
            <w:r>
              <w:rPr>
                <w:rFonts w:hint="eastAsia"/>
              </w:rPr>
              <w:t>1949年12月</w:t>
            </w:r>
          </w:p>
        </w:tc>
        <w:tc>
          <w:tcPr>
            <w:tcW w:w="940" w:type="pct"/>
            <w:vAlign w:val="center"/>
          </w:tcPr>
          <w:p w14:paraId="24592EC0">
            <w:pPr>
              <w:pStyle w:val="12"/>
              <w:jc w:val="center"/>
              <w:rPr>
                <w:rFonts w:ascii="宋体" w:hAnsi="宋体" w:cs="宋体"/>
              </w:rPr>
            </w:pPr>
            <w:r>
              <w:rPr>
                <w:rFonts w:hint="eastAsia"/>
              </w:rPr>
              <w:t>中国人民解放</w:t>
            </w:r>
          </w:p>
          <w:p w14:paraId="5D1ADAD4">
            <w:pPr>
              <w:pStyle w:val="12"/>
              <w:jc w:val="center"/>
            </w:pPr>
            <w:r>
              <w:rPr>
                <w:rFonts w:hint="eastAsia" w:ascii="宋体" w:hAnsi="宋体" w:cs="宋体"/>
              </w:rPr>
              <w:t>军机要通讯员</w:t>
            </w:r>
          </w:p>
        </w:tc>
        <w:tc>
          <w:tcPr>
            <w:tcW w:w="1160" w:type="pct"/>
            <w:vAlign w:val="center"/>
          </w:tcPr>
          <w:p w14:paraId="614247A9">
            <w:pPr>
              <w:pStyle w:val="12"/>
              <w:jc w:val="left"/>
            </w:pPr>
            <w:r>
              <w:rPr>
                <w:rFonts w:hint="eastAsia"/>
              </w:rPr>
              <w:t>1953年8月26日在西康省义敦县牺牲</w:t>
            </w:r>
          </w:p>
        </w:tc>
      </w:tr>
      <w:tr w14:paraId="680648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B5D5BEC">
            <w:pPr>
              <w:pStyle w:val="12"/>
              <w:jc w:val="center"/>
            </w:pPr>
            <w:r>
              <w:rPr>
                <w:rFonts w:hint="eastAsia"/>
              </w:rPr>
              <w:t>郭河光</w:t>
            </w:r>
          </w:p>
        </w:tc>
        <w:tc>
          <w:tcPr>
            <w:tcW w:w="388" w:type="pct"/>
            <w:vAlign w:val="center"/>
          </w:tcPr>
          <w:p w14:paraId="2B6D9471">
            <w:pPr>
              <w:pStyle w:val="12"/>
              <w:jc w:val="center"/>
            </w:pPr>
            <w:r>
              <w:rPr>
                <w:rFonts w:hint="eastAsia"/>
              </w:rPr>
              <w:t>男</w:t>
            </w:r>
          </w:p>
        </w:tc>
        <w:tc>
          <w:tcPr>
            <w:tcW w:w="582" w:type="pct"/>
            <w:vAlign w:val="center"/>
          </w:tcPr>
          <w:p w14:paraId="02FA7ECA">
            <w:pPr>
              <w:pStyle w:val="12"/>
              <w:jc w:val="center"/>
            </w:pPr>
            <w:r>
              <w:rPr>
                <w:rFonts w:hint="eastAsia"/>
              </w:rPr>
              <w:t>1930年</w:t>
            </w:r>
          </w:p>
        </w:tc>
        <w:tc>
          <w:tcPr>
            <w:tcW w:w="582" w:type="pct"/>
            <w:vAlign w:val="center"/>
          </w:tcPr>
          <w:p w14:paraId="54355A95">
            <w:pPr>
              <w:pStyle w:val="12"/>
              <w:jc w:val="center"/>
            </w:pPr>
            <w:r>
              <w:rPr>
                <w:rFonts w:hint="eastAsia"/>
              </w:rPr>
              <w:t>古市镇</w:t>
            </w:r>
          </w:p>
        </w:tc>
        <w:tc>
          <w:tcPr>
            <w:tcW w:w="708" w:type="pct"/>
            <w:vAlign w:val="center"/>
          </w:tcPr>
          <w:p w14:paraId="5634D606">
            <w:pPr>
              <w:pStyle w:val="12"/>
              <w:jc w:val="center"/>
            </w:pPr>
            <w:r>
              <w:rPr>
                <w:rFonts w:hint="eastAsia"/>
              </w:rPr>
              <w:t>1951年</w:t>
            </w:r>
          </w:p>
        </w:tc>
        <w:tc>
          <w:tcPr>
            <w:tcW w:w="940" w:type="pct"/>
            <w:vAlign w:val="center"/>
          </w:tcPr>
          <w:p w14:paraId="41EFF708">
            <w:pPr>
              <w:pStyle w:val="12"/>
              <w:jc w:val="center"/>
              <w:rPr>
                <w:rFonts w:ascii="宋体" w:hAnsi="宋体" w:cs="宋体"/>
              </w:rPr>
            </w:pPr>
            <w:r>
              <w:rPr>
                <w:rFonts w:hint="eastAsia"/>
              </w:rPr>
              <w:t>中国人民志</w:t>
            </w:r>
          </w:p>
          <w:p w14:paraId="505FD760">
            <w:pPr>
              <w:pStyle w:val="12"/>
              <w:jc w:val="center"/>
            </w:pPr>
            <w:r>
              <w:rPr>
                <w:rFonts w:hint="eastAsia" w:ascii="宋体" w:hAnsi="宋体" w:cs="宋体"/>
              </w:rPr>
              <w:t>愿军战</w:t>
            </w:r>
            <w:r>
              <w:rPr>
                <w:rFonts w:hint="eastAsia"/>
              </w:rPr>
              <w:t>士</w:t>
            </w:r>
          </w:p>
        </w:tc>
        <w:tc>
          <w:tcPr>
            <w:tcW w:w="1160" w:type="pct"/>
            <w:vAlign w:val="center"/>
          </w:tcPr>
          <w:p w14:paraId="5B9845A7">
            <w:pPr>
              <w:pStyle w:val="12"/>
              <w:jc w:val="left"/>
            </w:pPr>
            <w:r>
              <w:rPr>
                <w:rFonts w:hint="eastAsia"/>
              </w:rPr>
              <w:t>1953年7月22日在朝鲜金城川反击战中牺牲</w:t>
            </w:r>
          </w:p>
        </w:tc>
      </w:tr>
      <w:tr w14:paraId="61438E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27E8D4D">
            <w:pPr>
              <w:pStyle w:val="12"/>
              <w:jc w:val="center"/>
            </w:pPr>
            <w:r>
              <w:rPr>
                <w:rFonts w:hint="eastAsia"/>
              </w:rPr>
              <w:t>张熙军</w:t>
            </w:r>
          </w:p>
        </w:tc>
        <w:tc>
          <w:tcPr>
            <w:tcW w:w="388" w:type="pct"/>
            <w:vAlign w:val="center"/>
          </w:tcPr>
          <w:p w14:paraId="50CDC379">
            <w:pPr>
              <w:pStyle w:val="12"/>
              <w:jc w:val="center"/>
            </w:pPr>
            <w:r>
              <w:rPr>
                <w:rFonts w:hint="eastAsia"/>
              </w:rPr>
              <w:t>男</w:t>
            </w:r>
          </w:p>
        </w:tc>
        <w:tc>
          <w:tcPr>
            <w:tcW w:w="582" w:type="pct"/>
            <w:vAlign w:val="center"/>
          </w:tcPr>
          <w:p w14:paraId="7593278E">
            <w:pPr>
              <w:pStyle w:val="12"/>
              <w:jc w:val="center"/>
            </w:pPr>
            <w:r>
              <w:rPr>
                <w:rFonts w:hint="eastAsia"/>
              </w:rPr>
              <w:t>1932年</w:t>
            </w:r>
          </w:p>
        </w:tc>
        <w:tc>
          <w:tcPr>
            <w:tcW w:w="582" w:type="pct"/>
            <w:vAlign w:val="center"/>
          </w:tcPr>
          <w:p w14:paraId="21E56450">
            <w:pPr>
              <w:pStyle w:val="12"/>
              <w:jc w:val="center"/>
            </w:pPr>
            <w:r>
              <w:rPr>
                <w:rFonts w:hint="eastAsia"/>
              </w:rPr>
              <w:t>古市镇</w:t>
            </w:r>
          </w:p>
        </w:tc>
        <w:tc>
          <w:tcPr>
            <w:tcW w:w="708" w:type="pct"/>
            <w:vAlign w:val="center"/>
          </w:tcPr>
          <w:p w14:paraId="4BFE3DA6">
            <w:pPr>
              <w:pStyle w:val="12"/>
              <w:jc w:val="center"/>
            </w:pPr>
            <w:r>
              <w:rPr>
                <w:rFonts w:hint="eastAsia"/>
              </w:rPr>
              <w:t>1951年5月</w:t>
            </w:r>
          </w:p>
        </w:tc>
        <w:tc>
          <w:tcPr>
            <w:tcW w:w="940" w:type="pct"/>
            <w:vAlign w:val="center"/>
          </w:tcPr>
          <w:p w14:paraId="69E44A99">
            <w:pPr>
              <w:pStyle w:val="12"/>
              <w:jc w:val="center"/>
              <w:rPr>
                <w:rFonts w:ascii="宋体" w:hAnsi="宋体" w:cs="宋体"/>
              </w:rPr>
            </w:pPr>
            <w:r>
              <w:rPr>
                <w:rFonts w:hint="eastAsia"/>
              </w:rPr>
              <w:t>中国人民志</w:t>
            </w:r>
          </w:p>
          <w:p w14:paraId="3CFD00D0">
            <w:pPr>
              <w:pStyle w:val="12"/>
              <w:jc w:val="center"/>
            </w:pPr>
            <w:r>
              <w:rPr>
                <w:rFonts w:hint="eastAsia" w:ascii="宋体" w:hAnsi="宋体" w:cs="宋体"/>
              </w:rPr>
              <w:t>愿军战士</w:t>
            </w:r>
          </w:p>
        </w:tc>
        <w:tc>
          <w:tcPr>
            <w:tcW w:w="1160" w:type="pct"/>
            <w:vAlign w:val="center"/>
          </w:tcPr>
          <w:p w14:paraId="185FD2D9">
            <w:pPr>
              <w:pStyle w:val="12"/>
              <w:jc w:val="left"/>
            </w:pPr>
            <w:r>
              <w:rPr>
                <w:rFonts w:hint="eastAsia"/>
              </w:rPr>
              <w:t>1953年7月21日在朝鲜金城川反击战中牺牲</w:t>
            </w:r>
          </w:p>
        </w:tc>
      </w:tr>
      <w:tr w14:paraId="423295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2C49787">
            <w:pPr>
              <w:pStyle w:val="12"/>
              <w:jc w:val="center"/>
            </w:pPr>
            <w:r>
              <w:rPr>
                <w:rFonts w:hint="eastAsia"/>
              </w:rPr>
              <w:t>刘春瑶</w:t>
            </w:r>
          </w:p>
        </w:tc>
        <w:tc>
          <w:tcPr>
            <w:tcW w:w="388" w:type="pct"/>
            <w:vAlign w:val="center"/>
          </w:tcPr>
          <w:p w14:paraId="53DF173D">
            <w:pPr>
              <w:pStyle w:val="12"/>
              <w:jc w:val="center"/>
            </w:pPr>
            <w:r>
              <w:rPr>
                <w:rFonts w:hint="eastAsia"/>
              </w:rPr>
              <w:t>男</w:t>
            </w:r>
          </w:p>
        </w:tc>
        <w:tc>
          <w:tcPr>
            <w:tcW w:w="582" w:type="pct"/>
            <w:vAlign w:val="center"/>
          </w:tcPr>
          <w:p w14:paraId="28630FF9">
            <w:pPr>
              <w:pStyle w:val="12"/>
              <w:jc w:val="center"/>
            </w:pPr>
            <w:r>
              <w:rPr>
                <w:rFonts w:hint="eastAsia"/>
              </w:rPr>
              <w:t>1930年</w:t>
            </w:r>
          </w:p>
        </w:tc>
        <w:tc>
          <w:tcPr>
            <w:tcW w:w="582" w:type="pct"/>
            <w:vAlign w:val="center"/>
          </w:tcPr>
          <w:p w14:paraId="10900289">
            <w:pPr>
              <w:pStyle w:val="12"/>
              <w:jc w:val="center"/>
            </w:pPr>
            <w:r>
              <w:rPr>
                <w:rFonts w:hint="eastAsia"/>
              </w:rPr>
              <w:t>全安镇</w:t>
            </w:r>
          </w:p>
        </w:tc>
        <w:tc>
          <w:tcPr>
            <w:tcW w:w="708" w:type="pct"/>
            <w:vAlign w:val="center"/>
          </w:tcPr>
          <w:p w14:paraId="490306B4">
            <w:pPr>
              <w:pStyle w:val="12"/>
              <w:jc w:val="center"/>
            </w:pPr>
            <w:r>
              <w:rPr>
                <w:rFonts w:hint="eastAsia"/>
              </w:rPr>
              <w:t>1951年1月</w:t>
            </w:r>
          </w:p>
        </w:tc>
        <w:tc>
          <w:tcPr>
            <w:tcW w:w="940" w:type="pct"/>
            <w:vAlign w:val="center"/>
          </w:tcPr>
          <w:p w14:paraId="48D0DA64">
            <w:pPr>
              <w:pStyle w:val="12"/>
              <w:jc w:val="center"/>
              <w:rPr>
                <w:rFonts w:ascii="宋体" w:hAnsi="宋体" w:cs="宋体"/>
              </w:rPr>
            </w:pPr>
            <w:r>
              <w:rPr>
                <w:rFonts w:hint="eastAsia"/>
              </w:rPr>
              <w:t>中国人民志</w:t>
            </w:r>
          </w:p>
          <w:p w14:paraId="634019AA">
            <w:pPr>
              <w:pStyle w:val="12"/>
              <w:jc w:val="center"/>
            </w:pPr>
            <w:r>
              <w:rPr>
                <w:rFonts w:hint="eastAsia" w:ascii="宋体" w:hAnsi="宋体" w:cs="宋体"/>
              </w:rPr>
              <w:t>愿军战士</w:t>
            </w:r>
          </w:p>
        </w:tc>
        <w:tc>
          <w:tcPr>
            <w:tcW w:w="1160" w:type="pct"/>
            <w:vAlign w:val="center"/>
          </w:tcPr>
          <w:p w14:paraId="79F273CD">
            <w:pPr>
              <w:pStyle w:val="12"/>
              <w:jc w:val="left"/>
            </w:pPr>
            <w:r>
              <w:rPr>
                <w:rFonts w:hint="eastAsia"/>
              </w:rPr>
              <w:t>1953年6月在朝鲜战场牺牲</w:t>
            </w:r>
          </w:p>
        </w:tc>
      </w:tr>
      <w:tr w14:paraId="380AB1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B93CEA0">
            <w:pPr>
              <w:pStyle w:val="12"/>
              <w:jc w:val="center"/>
            </w:pPr>
            <w:r>
              <w:rPr>
                <w:rFonts w:hint="eastAsia"/>
              </w:rPr>
              <w:t>莫泽霖</w:t>
            </w:r>
          </w:p>
        </w:tc>
        <w:tc>
          <w:tcPr>
            <w:tcW w:w="388" w:type="pct"/>
            <w:vAlign w:val="center"/>
          </w:tcPr>
          <w:p w14:paraId="40AADEE1">
            <w:pPr>
              <w:pStyle w:val="12"/>
              <w:jc w:val="center"/>
            </w:pPr>
            <w:r>
              <w:rPr>
                <w:rFonts w:hint="eastAsia"/>
              </w:rPr>
              <w:t>男</w:t>
            </w:r>
          </w:p>
        </w:tc>
        <w:tc>
          <w:tcPr>
            <w:tcW w:w="582" w:type="pct"/>
            <w:vAlign w:val="center"/>
          </w:tcPr>
          <w:p w14:paraId="67CA360B">
            <w:pPr>
              <w:pStyle w:val="12"/>
              <w:jc w:val="center"/>
            </w:pPr>
            <w:r>
              <w:rPr>
                <w:rFonts w:hint="eastAsia"/>
              </w:rPr>
              <w:t>1929年</w:t>
            </w:r>
          </w:p>
        </w:tc>
        <w:tc>
          <w:tcPr>
            <w:tcW w:w="582" w:type="pct"/>
            <w:vAlign w:val="center"/>
          </w:tcPr>
          <w:p w14:paraId="1D128C67">
            <w:pPr>
              <w:pStyle w:val="12"/>
              <w:jc w:val="center"/>
            </w:pPr>
            <w:r>
              <w:rPr>
                <w:rFonts w:hint="eastAsia"/>
              </w:rPr>
              <w:t>百顺镇</w:t>
            </w:r>
          </w:p>
        </w:tc>
        <w:tc>
          <w:tcPr>
            <w:tcW w:w="708" w:type="pct"/>
            <w:vAlign w:val="center"/>
          </w:tcPr>
          <w:p w14:paraId="78FFFE1E">
            <w:pPr>
              <w:pStyle w:val="12"/>
              <w:jc w:val="center"/>
            </w:pPr>
            <w:r>
              <w:rPr>
                <w:rFonts w:hint="eastAsia"/>
              </w:rPr>
              <w:t>1946年</w:t>
            </w:r>
          </w:p>
        </w:tc>
        <w:tc>
          <w:tcPr>
            <w:tcW w:w="940" w:type="pct"/>
            <w:vAlign w:val="center"/>
          </w:tcPr>
          <w:p w14:paraId="2FE72525">
            <w:pPr>
              <w:pStyle w:val="12"/>
              <w:jc w:val="center"/>
              <w:rPr>
                <w:rFonts w:ascii="宋体" w:hAnsi="宋体" w:cs="宋体"/>
              </w:rPr>
            </w:pPr>
            <w:r>
              <w:rPr>
                <w:rFonts w:hint="eastAsia"/>
              </w:rPr>
              <w:t>中国人民志</w:t>
            </w:r>
          </w:p>
          <w:p w14:paraId="1DF42A84">
            <w:pPr>
              <w:pStyle w:val="12"/>
              <w:jc w:val="center"/>
            </w:pPr>
            <w:r>
              <w:rPr>
                <w:rFonts w:hint="eastAsia" w:ascii="宋体" w:hAnsi="宋体" w:cs="宋体"/>
              </w:rPr>
              <w:t>愿军副班长</w:t>
            </w:r>
          </w:p>
        </w:tc>
        <w:tc>
          <w:tcPr>
            <w:tcW w:w="1160" w:type="pct"/>
            <w:vAlign w:val="center"/>
          </w:tcPr>
          <w:p w14:paraId="6BEE8676">
            <w:pPr>
              <w:pStyle w:val="12"/>
              <w:jc w:val="left"/>
            </w:pPr>
            <w:r>
              <w:rPr>
                <w:rFonts w:hint="eastAsia"/>
              </w:rPr>
              <w:t>1953年8月4日在朝鲜战场牺牲</w:t>
            </w:r>
          </w:p>
        </w:tc>
      </w:tr>
      <w:tr w14:paraId="03861F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F7D7F04">
            <w:pPr>
              <w:pStyle w:val="12"/>
              <w:jc w:val="center"/>
            </w:pPr>
            <w:r>
              <w:rPr>
                <w:rFonts w:hint="eastAsia"/>
              </w:rPr>
              <w:t>徐  孟</w:t>
            </w:r>
          </w:p>
        </w:tc>
        <w:tc>
          <w:tcPr>
            <w:tcW w:w="388" w:type="pct"/>
            <w:vAlign w:val="center"/>
          </w:tcPr>
          <w:p w14:paraId="430A104E">
            <w:pPr>
              <w:pStyle w:val="12"/>
              <w:jc w:val="center"/>
            </w:pPr>
            <w:r>
              <w:rPr>
                <w:rFonts w:hint="eastAsia"/>
              </w:rPr>
              <w:t>男</w:t>
            </w:r>
          </w:p>
        </w:tc>
        <w:tc>
          <w:tcPr>
            <w:tcW w:w="582" w:type="pct"/>
            <w:vAlign w:val="center"/>
          </w:tcPr>
          <w:p w14:paraId="33161211">
            <w:pPr>
              <w:pStyle w:val="12"/>
              <w:jc w:val="center"/>
            </w:pPr>
            <w:r>
              <w:rPr>
                <w:rFonts w:hint="eastAsia"/>
              </w:rPr>
              <w:t>1924年</w:t>
            </w:r>
          </w:p>
        </w:tc>
        <w:tc>
          <w:tcPr>
            <w:tcW w:w="582" w:type="pct"/>
            <w:vAlign w:val="center"/>
          </w:tcPr>
          <w:p w14:paraId="32DCB203">
            <w:pPr>
              <w:pStyle w:val="12"/>
              <w:jc w:val="center"/>
            </w:pPr>
            <w:r>
              <w:rPr>
                <w:rFonts w:hint="eastAsia"/>
              </w:rPr>
              <w:t>油山镇</w:t>
            </w:r>
          </w:p>
        </w:tc>
        <w:tc>
          <w:tcPr>
            <w:tcW w:w="708" w:type="pct"/>
            <w:vAlign w:val="center"/>
          </w:tcPr>
          <w:p w14:paraId="3114F06B">
            <w:pPr>
              <w:pStyle w:val="12"/>
              <w:jc w:val="center"/>
            </w:pPr>
            <w:r>
              <w:rPr>
                <w:rFonts w:hint="eastAsia"/>
              </w:rPr>
              <w:t>1949年8月</w:t>
            </w:r>
          </w:p>
        </w:tc>
        <w:tc>
          <w:tcPr>
            <w:tcW w:w="940" w:type="pct"/>
            <w:vAlign w:val="center"/>
          </w:tcPr>
          <w:p w14:paraId="4277B959">
            <w:pPr>
              <w:pStyle w:val="12"/>
              <w:jc w:val="center"/>
              <w:rPr>
                <w:rFonts w:ascii="宋体" w:hAnsi="宋体" w:cs="宋体"/>
              </w:rPr>
            </w:pPr>
            <w:r>
              <w:rPr>
                <w:rFonts w:hint="eastAsia"/>
              </w:rPr>
              <w:t>中国人民志愿</w:t>
            </w:r>
          </w:p>
          <w:p w14:paraId="41D58FCD">
            <w:pPr>
              <w:pStyle w:val="12"/>
              <w:jc w:val="center"/>
            </w:pPr>
            <w:r>
              <w:rPr>
                <w:rFonts w:hint="eastAsia" w:ascii="宋体" w:hAnsi="宋体" w:cs="宋体"/>
              </w:rPr>
              <w:t>军汽车团炊事员</w:t>
            </w:r>
          </w:p>
        </w:tc>
        <w:tc>
          <w:tcPr>
            <w:tcW w:w="1160" w:type="pct"/>
            <w:vAlign w:val="center"/>
          </w:tcPr>
          <w:p w14:paraId="48A5113B">
            <w:pPr>
              <w:pStyle w:val="12"/>
              <w:jc w:val="left"/>
            </w:pPr>
            <w:r>
              <w:rPr>
                <w:rFonts w:hint="eastAsia"/>
              </w:rPr>
              <w:t>1953年在朝鲜平安北道战斗牺牲</w:t>
            </w:r>
          </w:p>
        </w:tc>
      </w:tr>
      <w:tr w14:paraId="077BE0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AE87F6C">
            <w:pPr>
              <w:pStyle w:val="12"/>
              <w:jc w:val="center"/>
            </w:pPr>
            <w:r>
              <w:rPr>
                <w:rFonts w:hint="eastAsia"/>
              </w:rPr>
              <w:t>叶逢春</w:t>
            </w:r>
          </w:p>
        </w:tc>
        <w:tc>
          <w:tcPr>
            <w:tcW w:w="388" w:type="pct"/>
            <w:vAlign w:val="center"/>
          </w:tcPr>
          <w:p w14:paraId="5BBD035B">
            <w:pPr>
              <w:pStyle w:val="12"/>
              <w:jc w:val="center"/>
            </w:pPr>
            <w:r>
              <w:rPr>
                <w:rFonts w:hint="eastAsia"/>
              </w:rPr>
              <w:t>男</w:t>
            </w:r>
          </w:p>
        </w:tc>
        <w:tc>
          <w:tcPr>
            <w:tcW w:w="582" w:type="pct"/>
            <w:vAlign w:val="center"/>
          </w:tcPr>
          <w:p w14:paraId="28B7297B">
            <w:pPr>
              <w:pStyle w:val="12"/>
              <w:jc w:val="center"/>
            </w:pPr>
            <w:r>
              <w:rPr>
                <w:rFonts w:hint="eastAsia"/>
              </w:rPr>
              <w:t>1925年</w:t>
            </w:r>
          </w:p>
        </w:tc>
        <w:tc>
          <w:tcPr>
            <w:tcW w:w="582" w:type="pct"/>
            <w:vAlign w:val="center"/>
          </w:tcPr>
          <w:p w14:paraId="707D2B18">
            <w:pPr>
              <w:pStyle w:val="12"/>
              <w:jc w:val="center"/>
            </w:pPr>
            <w:r>
              <w:rPr>
                <w:rFonts w:hint="eastAsia"/>
              </w:rPr>
              <w:t>乌迳镇</w:t>
            </w:r>
          </w:p>
        </w:tc>
        <w:tc>
          <w:tcPr>
            <w:tcW w:w="708" w:type="pct"/>
            <w:vAlign w:val="center"/>
          </w:tcPr>
          <w:p w14:paraId="632CE1D2">
            <w:pPr>
              <w:pStyle w:val="12"/>
              <w:jc w:val="center"/>
            </w:pPr>
            <w:r>
              <w:rPr>
                <w:rFonts w:hint="eastAsia"/>
              </w:rPr>
              <w:t>1951年</w:t>
            </w:r>
          </w:p>
        </w:tc>
        <w:tc>
          <w:tcPr>
            <w:tcW w:w="940" w:type="pct"/>
            <w:vAlign w:val="center"/>
          </w:tcPr>
          <w:p w14:paraId="61C43F81">
            <w:pPr>
              <w:pStyle w:val="12"/>
              <w:jc w:val="center"/>
              <w:rPr>
                <w:rFonts w:ascii="宋体" w:hAnsi="宋体" w:cs="宋体"/>
              </w:rPr>
            </w:pPr>
            <w:r>
              <w:rPr>
                <w:rFonts w:hint="eastAsia"/>
              </w:rPr>
              <w:t>中国人民志</w:t>
            </w:r>
          </w:p>
          <w:p w14:paraId="4DB28F35">
            <w:pPr>
              <w:pStyle w:val="12"/>
              <w:jc w:val="center"/>
            </w:pPr>
            <w:r>
              <w:rPr>
                <w:rFonts w:hint="eastAsia" w:ascii="宋体" w:hAnsi="宋体" w:cs="宋体"/>
              </w:rPr>
              <w:t>愿军战士</w:t>
            </w:r>
          </w:p>
        </w:tc>
        <w:tc>
          <w:tcPr>
            <w:tcW w:w="1160" w:type="pct"/>
            <w:vAlign w:val="center"/>
          </w:tcPr>
          <w:p w14:paraId="5C1A9110">
            <w:pPr>
              <w:pStyle w:val="12"/>
              <w:jc w:val="left"/>
            </w:pPr>
            <w:r>
              <w:rPr>
                <w:rFonts w:hint="eastAsia"/>
              </w:rPr>
              <w:t>1953年7月19日在朝鲜金川战斗中牺牲</w:t>
            </w:r>
          </w:p>
        </w:tc>
      </w:tr>
      <w:tr w14:paraId="3CCF4F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7427DC0">
            <w:pPr>
              <w:pStyle w:val="12"/>
              <w:jc w:val="center"/>
            </w:pPr>
            <w:r>
              <w:rPr>
                <w:rFonts w:hint="eastAsia"/>
              </w:rPr>
              <w:t>郭生发</w:t>
            </w:r>
          </w:p>
        </w:tc>
        <w:tc>
          <w:tcPr>
            <w:tcW w:w="388" w:type="pct"/>
            <w:vAlign w:val="center"/>
          </w:tcPr>
          <w:p w14:paraId="5604651A">
            <w:pPr>
              <w:pStyle w:val="12"/>
              <w:jc w:val="center"/>
            </w:pPr>
            <w:r>
              <w:rPr>
                <w:rFonts w:hint="eastAsia"/>
              </w:rPr>
              <w:t>男</w:t>
            </w:r>
          </w:p>
        </w:tc>
        <w:tc>
          <w:tcPr>
            <w:tcW w:w="582" w:type="pct"/>
            <w:vAlign w:val="center"/>
          </w:tcPr>
          <w:p w14:paraId="37F37CA6">
            <w:pPr>
              <w:pStyle w:val="12"/>
              <w:jc w:val="center"/>
            </w:pPr>
            <w:r>
              <w:rPr>
                <w:rFonts w:hint="eastAsia"/>
              </w:rPr>
              <w:t>1931年</w:t>
            </w:r>
          </w:p>
        </w:tc>
        <w:tc>
          <w:tcPr>
            <w:tcW w:w="582" w:type="pct"/>
            <w:vAlign w:val="center"/>
          </w:tcPr>
          <w:p w14:paraId="459FA87D">
            <w:pPr>
              <w:pStyle w:val="12"/>
              <w:jc w:val="center"/>
            </w:pPr>
            <w:r>
              <w:rPr>
                <w:rFonts w:hint="eastAsia"/>
              </w:rPr>
              <w:t>珠玑镇</w:t>
            </w:r>
          </w:p>
        </w:tc>
        <w:tc>
          <w:tcPr>
            <w:tcW w:w="708" w:type="pct"/>
            <w:vAlign w:val="center"/>
          </w:tcPr>
          <w:p w14:paraId="7AFA54E1">
            <w:pPr>
              <w:pStyle w:val="12"/>
              <w:jc w:val="center"/>
            </w:pPr>
            <w:r>
              <w:rPr>
                <w:rFonts w:hint="eastAsia"/>
              </w:rPr>
              <w:t>1950年</w:t>
            </w:r>
          </w:p>
        </w:tc>
        <w:tc>
          <w:tcPr>
            <w:tcW w:w="940" w:type="pct"/>
            <w:vAlign w:val="center"/>
          </w:tcPr>
          <w:p w14:paraId="6049003C">
            <w:pPr>
              <w:pStyle w:val="12"/>
              <w:jc w:val="center"/>
              <w:rPr>
                <w:rFonts w:ascii="宋体" w:hAnsi="宋体" w:cs="宋体"/>
              </w:rPr>
            </w:pPr>
            <w:r>
              <w:rPr>
                <w:rFonts w:hint="eastAsia"/>
              </w:rPr>
              <w:t>中国人民志</w:t>
            </w:r>
          </w:p>
          <w:p w14:paraId="66EEDF06">
            <w:pPr>
              <w:pStyle w:val="12"/>
              <w:jc w:val="center"/>
            </w:pPr>
            <w:r>
              <w:rPr>
                <w:rFonts w:hint="eastAsia" w:ascii="宋体" w:hAnsi="宋体" w:cs="宋体"/>
              </w:rPr>
              <w:t>愿军战士</w:t>
            </w:r>
          </w:p>
        </w:tc>
        <w:tc>
          <w:tcPr>
            <w:tcW w:w="1160" w:type="pct"/>
            <w:vAlign w:val="center"/>
          </w:tcPr>
          <w:p w14:paraId="5B154917">
            <w:pPr>
              <w:pStyle w:val="12"/>
              <w:jc w:val="left"/>
            </w:pPr>
            <w:r>
              <w:rPr>
                <w:rFonts w:hint="eastAsia"/>
              </w:rPr>
              <w:t>1953年7月22日在朝鲜金川战斗中牺牲</w:t>
            </w:r>
          </w:p>
        </w:tc>
      </w:tr>
      <w:tr w14:paraId="3CD140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6DA27D9">
            <w:pPr>
              <w:pStyle w:val="12"/>
              <w:jc w:val="center"/>
            </w:pPr>
            <w:r>
              <w:rPr>
                <w:rFonts w:hint="eastAsia"/>
              </w:rPr>
              <w:t>赖华计</w:t>
            </w:r>
          </w:p>
        </w:tc>
        <w:tc>
          <w:tcPr>
            <w:tcW w:w="388" w:type="pct"/>
            <w:vAlign w:val="center"/>
          </w:tcPr>
          <w:p w14:paraId="54FEDE08">
            <w:pPr>
              <w:pStyle w:val="12"/>
              <w:jc w:val="center"/>
            </w:pPr>
            <w:r>
              <w:rPr>
                <w:rFonts w:hint="eastAsia"/>
              </w:rPr>
              <w:t>男</w:t>
            </w:r>
          </w:p>
        </w:tc>
        <w:tc>
          <w:tcPr>
            <w:tcW w:w="582" w:type="pct"/>
            <w:vAlign w:val="center"/>
          </w:tcPr>
          <w:p w14:paraId="67B3FE75">
            <w:pPr>
              <w:pStyle w:val="12"/>
              <w:jc w:val="center"/>
            </w:pPr>
            <w:r>
              <w:rPr>
                <w:rFonts w:hint="eastAsia"/>
              </w:rPr>
              <w:t>1932年</w:t>
            </w:r>
          </w:p>
        </w:tc>
        <w:tc>
          <w:tcPr>
            <w:tcW w:w="582" w:type="pct"/>
            <w:vAlign w:val="center"/>
          </w:tcPr>
          <w:p w14:paraId="20A851E6">
            <w:pPr>
              <w:pStyle w:val="12"/>
              <w:jc w:val="center"/>
            </w:pPr>
            <w:r>
              <w:rPr>
                <w:rFonts w:hint="eastAsia"/>
              </w:rPr>
              <w:t>乌迳镇</w:t>
            </w:r>
          </w:p>
        </w:tc>
        <w:tc>
          <w:tcPr>
            <w:tcW w:w="708" w:type="pct"/>
            <w:vAlign w:val="center"/>
          </w:tcPr>
          <w:p w14:paraId="7428CCFD">
            <w:pPr>
              <w:pStyle w:val="12"/>
              <w:jc w:val="center"/>
            </w:pPr>
            <w:r>
              <w:rPr>
                <w:rFonts w:hint="eastAsia"/>
              </w:rPr>
              <w:t>1951年</w:t>
            </w:r>
          </w:p>
        </w:tc>
        <w:tc>
          <w:tcPr>
            <w:tcW w:w="940" w:type="pct"/>
            <w:vAlign w:val="center"/>
          </w:tcPr>
          <w:p w14:paraId="1B0C5258">
            <w:pPr>
              <w:pStyle w:val="12"/>
              <w:jc w:val="center"/>
              <w:rPr>
                <w:rFonts w:ascii="宋体" w:hAnsi="宋体" w:cs="宋体"/>
              </w:rPr>
            </w:pPr>
            <w:r>
              <w:rPr>
                <w:rFonts w:hint="eastAsia"/>
              </w:rPr>
              <w:t>中国人民志</w:t>
            </w:r>
          </w:p>
          <w:p w14:paraId="000551FB">
            <w:pPr>
              <w:pStyle w:val="12"/>
              <w:jc w:val="center"/>
            </w:pPr>
            <w:r>
              <w:rPr>
                <w:rFonts w:hint="eastAsia" w:ascii="宋体" w:hAnsi="宋体" w:cs="宋体"/>
              </w:rPr>
              <w:t>愿军战士</w:t>
            </w:r>
          </w:p>
        </w:tc>
        <w:tc>
          <w:tcPr>
            <w:tcW w:w="1160" w:type="pct"/>
            <w:vAlign w:val="center"/>
          </w:tcPr>
          <w:p w14:paraId="09B00BCE">
            <w:pPr>
              <w:pStyle w:val="12"/>
              <w:jc w:val="left"/>
            </w:pPr>
            <w:r>
              <w:rPr>
                <w:rFonts w:hint="eastAsia"/>
              </w:rPr>
              <w:t>1953年7月21日在朝鲜金川战斗中牺牲</w:t>
            </w:r>
          </w:p>
        </w:tc>
      </w:tr>
      <w:tr w14:paraId="5C8991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8071928">
            <w:pPr>
              <w:pStyle w:val="12"/>
              <w:jc w:val="center"/>
            </w:pPr>
            <w:r>
              <w:rPr>
                <w:rFonts w:hint="eastAsia"/>
              </w:rPr>
              <w:t>彭遵程</w:t>
            </w:r>
          </w:p>
        </w:tc>
        <w:tc>
          <w:tcPr>
            <w:tcW w:w="388" w:type="pct"/>
            <w:vAlign w:val="center"/>
          </w:tcPr>
          <w:p w14:paraId="549F5D85">
            <w:pPr>
              <w:pStyle w:val="12"/>
              <w:jc w:val="center"/>
            </w:pPr>
            <w:r>
              <w:rPr>
                <w:rFonts w:hint="eastAsia"/>
              </w:rPr>
              <w:t>男</w:t>
            </w:r>
          </w:p>
        </w:tc>
        <w:tc>
          <w:tcPr>
            <w:tcW w:w="582" w:type="pct"/>
            <w:vAlign w:val="center"/>
          </w:tcPr>
          <w:p w14:paraId="5F7E6E8C">
            <w:pPr>
              <w:pStyle w:val="12"/>
              <w:jc w:val="center"/>
            </w:pPr>
            <w:r>
              <w:rPr>
                <w:rFonts w:hint="eastAsia"/>
              </w:rPr>
              <w:t>1927年</w:t>
            </w:r>
          </w:p>
        </w:tc>
        <w:tc>
          <w:tcPr>
            <w:tcW w:w="582" w:type="pct"/>
            <w:vAlign w:val="center"/>
          </w:tcPr>
          <w:p w14:paraId="07C1CDBC">
            <w:pPr>
              <w:pStyle w:val="12"/>
              <w:jc w:val="center"/>
            </w:pPr>
            <w:r>
              <w:rPr>
                <w:rFonts w:hint="eastAsia"/>
              </w:rPr>
              <w:t>油山镇</w:t>
            </w:r>
          </w:p>
        </w:tc>
        <w:tc>
          <w:tcPr>
            <w:tcW w:w="708" w:type="pct"/>
            <w:vAlign w:val="center"/>
          </w:tcPr>
          <w:p w14:paraId="1224816C">
            <w:pPr>
              <w:pStyle w:val="12"/>
              <w:jc w:val="center"/>
            </w:pPr>
            <w:r>
              <w:rPr>
                <w:rFonts w:hint="eastAsia"/>
              </w:rPr>
              <w:t>1951年</w:t>
            </w:r>
          </w:p>
        </w:tc>
        <w:tc>
          <w:tcPr>
            <w:tcW w:w="940" w:type="pct"/>
            <w:vAlign w:val="center"/>
          </w:tcPr>
          <w:p w14:paraId="5D28C17F">
            <w:pPr>
              <w:pStyle w:val="12"/>
              <w:jc w:val="center"/>
              <w:rPr>
                <w:rFonts w:ascii="宋体" w:hAnsi="宋体" w:cs="宋体"/>
              </w:rPr>
            </w:pPr>
            <w:r>
              <w:rPr>
                <w:rFonts w:hint="eastAsia"/>
              </w:rPr>
              <w:t>中国人民志</w:t>
            </w:r>
          </w:p>
          <w:p w14:paraId="2ABFC52E">
            <w:pPr>
              <w:pStyle w:val="12"/>
              <w:jc w:val="center"/>
            </w:pPr>
            <w:r>
              <w:rPr>
                <w:rFonts w:hint="eastAsia" w:ascii="宋体" w:hAnsi="宋体" w:cs="宋体"/>
              </w:rPr>
              <w:t>愿军战士</w:t>
            </w:r>
          </w:p>
        </w:tc>
        <w:tc>
          <w:tcPr>
            <w:tcW w:w="1160" w:type="pct"/>
            <w:vAlign w:val="center"/>
          </w:tcPr>
          <w:p w14:paraId="1A15DC2C">
            <w:pPr>
              <w:pStyle w:val="12"/>
              <w:jc w:val="left"/>
            </w:pPr>
            <w:r>
              <w:rPr>
                <w:rFonts w:hint="eastAsia"/>
              </w:rPr>
              <w:t>1953年在朝鲜战场牺牲</w:t>
            </w:r>
          </w:p>
        </w:tc>
      </w:tr>
      <w:tr w14:paraId="730F49E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788117A">
            <w:pPr>
              <w:pStyle w:val="12"/>
              <w:jc w:val="center"/>
            </w:pPr>
            <w:r>
              <w:rPr>
                <w:rFonts w:hint="eastAsia"/>
              </w:rPr>
              <w:t>郭英辉</w:t>
            </w:r>
          </w:p>
        </w:tc>
        <w:tc>
          <w:tcPr>
            <w:tcW w:w="388" w:type="pct"/>
            <w:vAlign w:val="center"/>
          </w:tcPr>
          <w:p w14:paraId="41CC50CE">
            <w:pPr>
              <w:pStyle w:val="12"/>
              <w:jc w:val="center"/>
            </w:pPr>
            <w:r>
              <w:rPr>
                <w:rFonts w:hint="eastAsia"/>
              </w:rPr>
              <w:t>男</w:t>
            </w:r>
          </w:p>
        </w:tc>
        <w:tc>
          <w:tcPr>
            <w:tcW w:w="582" w:type="pct"/>
            <w:vAlign w:val="center"/>
          </w:tcPr>
          <w:p w14:paraId="21AA5CAF">
            <w:pPr>
              <w:pStyle w:val="12"/>
              <w:jc w:val="center"/>
            </w:pPr>
            <w:r>
              <w:rPr>
                <w:rFonts w:hint="eastAsia"/>
              </w:rPr>
              <w:t>1931年</w:t>
            </w:r>
          </w:p>
        </w:tc>
        <w:tc>
          <w:tcPr>
            <w:tcW w:w="582" w:type="pct"/>
            <w:vAlign w:val="center"/>
          </w:tcPr>
          <w:p w14:paraId="7A17035A">
            <w:pPr>
              <w:pStyle w:val="12"/>
              <w:jc w:val="center"/>
            </w:pPr>
            <w:r>
              <w:rPr>
                <w:rFonts w:hint="eastAsia"/>
              </w:rPr>
              <w:t>珠玑镇</w:t>
            </w:r>
          </w:p>
        </w:tc>
        <w:tc>
          <w:tcPr>
            <w:tcW w:w="708" w:type="pct"/>
            <w:vAlign w:val="center"/>
          </w:tcPr>
          <w:p w14:paraId="57FD5401">
            <w:pPr>
              <w:pStyle w:val="12"/>
              <w:jc w:val="center"/>
            </w:pPr>
            <w:r>
              <w:rPr>
                <w:rFonts w:hint="eastAsia"/>
              </w:rPr>
              <w:t>1950年</w:t>
            </w:r>
          </w:p>
        </w:tc>
        <w:tc>
          <w:tcPr>
            <w:tcW w:w="940" w:type="pct"/>
            <w:vAlign w:val="center"/>
          </w:tcPr>
          <w:p w14:paraId="6650712D">
            <w:pPr>
              <w:pStyle w:val="12"/>
              <w:jc w:val="center"/>
              <w:rPr>
                <w:rFonts w:ascii="宋体" w:hAnsi="宋体" w:cs="宋体"/>
              </w:rPr>
            </w:pPr>
            <w:r>
              <w:rPr>
                <w:rFonts w:hint="eastAsia"/>
              </w:rPr>
              <w:t>中国人民志</w:t>
            </w:r>
          </w:p>
          <w:p w14:paraId="458B9D8A">
            <w:pPr>
              <w:pStyle w:val="12"/>
              <w:jc w:val="center"/>
            </w:pPr>
            <w:r>
              <w:rPr>
                <w:rFonts w:hint="eastAsia" w:ascii="宋体" w:hAnsi="宋体" w:cs="宋体"/>
              </w:rPr>
              <w:t>愿军炊事员</w:t>
            </w:r>
          </w:p>
        </w:tc>
        <w:tc>
          <w:tcPr>
            <w:tcW w:w="1160" w:type="pct"/>
            <w:vAlign w:val="center"/>
          </w:tcPr>
          <w:p w14:paraId="78DD1EDE">
            <w:pPr>
              <w:pStyle w:val="12"/>
              <w:jc w:val="left"/>
            </w:pPr>
            <w:r>
              <w:rPr>
                <w:rFonts w:hint="eastAsia"/>
              </w:rPr>
              <w:t>1953年7月15日在朝鲜金川战斗中牺牲</w:t>
            </w:r>
          </w:p>
        </w:tc>
      </w:tr>
      <w:tr w14:paraId="567893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6793FFC">
            <w:pPr>
              <w:pStyle w:val="12"/>
              <w:jc w:val="center"/>
            </w:pPr>
            <w:r>
              <w:rPr>
                <w:rFonts w:hint="eastAsia"/>
              </w:rPr>
              <w:t>刘祥林</w:t>
            </w:r>
          </w:p>
        </w:tc>
        <w:tc>
          <w:tcPr>
            <w:tcW w:w="388" w:type="pct"/>
            <w:vAlign w:val="center"/>
          </w:tcPr>
          <w:p w14:paraId="53A75756">
            <w:pPr>
              <w:pStyle w:val="12"/>
              <w:jc w:val="center"/>
            </w:pPr>
            <w:r>
              <w:rPr>
                <w:rFonts w:hint="eastAsia"/>
              </w:rPr>
              <w:t>男</w:t>
            </w:r>
          </w:p>
        </w:tc>
        <w:tc>
          <w:tcPr>
            <w:tcW w:w="582" w:type="pct"/>
            <w:vAlign w:val="center"/>
          </w:tcPr>
          <w:p w14:paraId="654D2B9C">
            <w:pPr>
              <w:pStyle w:val="12"/>
              <w:jc w:val="center"/>
            </w:pPr>
            <w:r>
              <w:rPr>
                <w:rFonts w:hint="eastAsia"/>
              </w:rPr>
              <w:t>1928年</w:t>
            </w:r>
          </w:p>
        </w:tc>
        <w:tc>
          <w:tcPr>
            <w:tcW w:w="582" w:type="pct"/>
            <w:vAlign w:val="center"/>
          </w:tcPr>
          <w:p w14:paraId="60E9FDB3">
            <w:pPr>
              <w:pStyle w:val="12"/>
              <w:jc w:val="center"/>
            </w:pPr>
            <w:r>
              <w:rPr>
                <w:rFonts w:hint="eastAsia"/>
              </w:rPr>
              <w:t>全安镇</w:t>
            </w:r>
          </w:p>
        </w:tc>
        <w:tc>
          <w:tcPr>
            <w:tcW w:w="708" w:type="pct"/>
            <w:vAlign w:val="center"/>
          </w:tcPr>
          <w:p w14:paraId="731EE751">
            <w:pPr>
              <w:pStyle w:val="12"/>
              <w:jc w:val="center"/>
            </w:pPr>
            <w:r>
              <w:rPr>
                <w:rFonts w:hint="eastAsia"/>
              </w:rPr>
              <w:t>1949年</w:t>
            </w:r>
          </w:p>
        </w:tc>
        <w:tc>
          <w:tcPr>
            <w:tcW w:w="940" w:type="pct"/>
            <w:vAlign w:val="center"/>
          </w:tcPr>
          <w:p w14:paraId="4DAB9B92">
            <w:pPr>
              <w:pStyle w:val="12"/>
              <w:jc w:val="center"/>
              <w:rPr>
                <w:rFonts w:ascii="宋体" w:hAnsi="宋体" w:cs="宋体"/>
              </w:rPr>
            </w:pPr>
            <w:r>
              <w:rPr>
                <w:rFonts w:hint="eastAsia"/>
              </w:rPr>
              <w:t>中国人民解</w:t>
            </w:r>
          </w:p>
          <w:p w14:paraId="0350F8F9">
            <w:pPr>
              <w:pStyle w:val="12"/>
              <w:jc w:val="center"/>
            </w:pPr>
            <w:r>
              <w:rPr>
                <w:rFonts w:hint="eastAsia" w:ascii="宋体" w:hAnsi="宋体" w:cs="宋体"/>
              </w:rPr>
              <w:t>放军战士</w:t>
            </w:r>
          </w:p>
        </w:tc>
        <w:tc>
          <w:tcPr>
            <w:tcW w:w="1160" w:type="pct"/>
            <w:vAlign w:val="center"/>
          </w:tcPr>
          <w:p w14:paraId="775099B1">
            <w:pPr>
              <w:pStyle w:val="12"/>
              <w:jc w:val="left"/>
            </w:pPr>
            <w:r>
              <w:rPr>
                <w:rFonts w:hint="eastAsia"/>
              </w:rPr>
              <w:t>1956年在湖北部队农场因公牺牲</w:t>
            </w:r>
          </w:p>
        </w:tc>
      </w:tr>
      <w:tr w14:paraId="4E90B5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A4400BF">
            <w:pPr>
              <w:pStyle w:val="12"/>
              <w:jc w:val="center"/>
            </w:pPr>
            <w:r>
              <w:rPr>
                <w:rFonts w:hint="eastAsia"/>
              </w:rPr>
              <w:t>彭显伦</w:t>
            </w:r>
          </w:p>
        </w:tc>
        <w:tc>
          <w:tcPr>
            <w:tcW w:w="388" w:type="pct"/>
            <w:vAlign w:val="center"/>
          </w:tcPr>
          <w:p w14:paraId="327FD953">
            <w:pPr>
              <w:pStyle w:val="12"/>
              <w:jc w:val="center"/>
            </w:pPr>
            <w:r>
              <w:rPr>
                <w:rFonts w:hint="eastAsia"/>
              </w:rPr>
              <w:t>男</w:t>
            </w:r>
          </w:p>
        </w:tc>
        <w:tc>
          <w:tcPr>
            <w:tcW w:w="582" w:type="pct"/>
            <w:vAlign w:val="center"/>
          </w:tcPr>
          <w:p w14:paraId="406E91E3">
            <w:pPr>
              <w:pStyle w:val="12"/>
              <w:jc w:val="center"/>
            </w:pPr>
            <w:r>
              <w:rPr>
                <w:rFonts w:hint="eastAsia"/>
              </w:rPr>
              <w:t>1895年</w:t>
            </w:r>
          </w:p>
        </w:tc>
        <w:tc>
          <w:tcPr>
            <w:tcW w:w="582" w:type="pct"/>
            <w:vAlign w:val="center"/>
          </w:tcPr>
          <w:p w14:paraId="29240E60">
            <w:pPr>
              <w:pStyle w:val="12"/>
              <w:jc w:val="center"/>
            </w:pPr>
            <w:r>
              <w:rPr>
                <w:rFonts w:hint="eastAsia"/>
              </w:rPr>
              <w:t>油山镇</w:t>
            </w:r>
          </w:p>
        </w:tc>
        <w:tc>
          <w:tcPr>
            <w:tcW w:w="708" w:type="pct"/>
            <w:vAlign w:val="center"/>
          </w:tcPr>
          <w:p w14:paraId="5EE7FBA5">
            <w:pPr>
              <w:pStyle w:val="12"/>
              <w:jc w:val="center"/>
            </w:pPr>
            <w:r>
              <w:rPr>
                <w:rFonts w:hint="eastAsia"/>
              </w:rPr>
              <w:t>1925年</w:t>
            </w:r>
          </w:p>
        </w:tc>
        <w:tc>
          <w:tcPr>
            <w:tcW w:w="940" w:type="pct"/>
            <w:vAlign w:val="center"/>
          </w:tcPr>
          <w:p w14:paraId="55F32CDE">
            <w:pPr>
              <w:pStyle w:val="12"/>
              <w:jc w:val="center"/>
              <w:rPr>
                <w:rFonts w:ascii="宋体" w:hAnsi="宋体" w:cs="宋体"/>
              </w:rPr>
            </w:pPr>
            <w:r>
              <w:rPr>
                <w:rFonts w:hint="eastAsia"/>
              </w:rPr>
              <w:t>山东军区后</w:t>
            </w:r>
          </w:p>
          <w:p w14:paraId="5ACE66C5">
            <w:pPr>
              <w:pStyle w:val="12"/>
              <w:jc w:val="center"/>
            </w:pPr>
            <w:r>
              <w:rPr>
                <w:rFonts w:hint="eastAsia" w:ascii="宋体" w:hAnsi="宋体" w:cs="宋体"/>
              </w:rPr>
              <w:t>勤部政委，少将</w:t>
            </w:r>
          </w:p>
        </w:tc>
        <w:tc>
          <w:tcPr>
            <w:tcW w:w="1160" w:type="pct"/>
            <w:vAlign w:val="center"/>
          </w:tcPr>
          <w:p w14:paraId="163AB596">
            <w:pPr>
              <w:pStyle w:val="12"/>
              <w:jc w:val="left"/>
            </w:pPr>
            <w:r>
              <w:rPr>
                <w:rFonts w:hint="eastAsia"/>
              </w:rPr>
              <w:t>1958年5月1日因积劳成疾逝世，追认烈士，有传</w:t>
            </w:r>
          </w:p>
        </w:tc>
      </w:tr>
      <w:tr w14:paraId="112FBD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1DDE3E8">
            <w:pPr>
              <w:pStyle w:val="12"/>
              <w:jc w:val="center"/>
            </w:pPr>
            <w:r>
              <w:rPr>
                <w:rFonts w:hint="eastAsia"/>
              </w:rPr>
              <w:t>郭良珍</w:t>
            </w:r>
          </w:p>
        </w:tc>
        <w:tc>
          <w:tcPr>
            <w:tcW w:w="388" w:type="pct"/>
            <w:vAlign w:val="center"/>
          </w:tcPr>
          <w:p w14:paraId="109F120E">
            <w:pPr>
              <w:pStyle w:val="12"/>
              <w:jc w:val="center"/>
            </w:pPr>
            <w:r>
              <w:rPr>
                <w:rFonts w:hint="eastAsia"/>
              </w:rPr>
              <w:t>男</w:t>
            </w:r>
          </w:p>
        </w:tc>
        <w:tc>
          <w:tcPr>
            <w:tcW w:w="582" w:type="pct"/>
            <w:vAlign w:val="center"/>
          </w:tcPr>
          <w:p w14:paraId="73F44E7F">
            <w:pPr>
              <w:pStyle w:val="12"/>
              <w:jc w:val="center"/>
            </w:pPr>
            <w:r>
              <w:rPr>
                <w:rFonts w:hint="eastAsia"/>
              </w:rPr>
              <w:t>1928年</w:t>
            </w:r>
          </w:p>
        </w:tc>
        <w:tc>
          <w:tcPr>
            <w:tcW w:w="582" w:type="pct"/>
            <w:vAlign w:val="center"/>
          </w:tcPr>
          <w:p w14:paraId="00A868FD">
            <w:pPr>
              <w:pStyle w:val="12"/>
              <w:jc w:val="center"/>
            </w:pPr>
            <w:r>
              <w:rPr>
                <w:rFonts w:hint="eastAsia"/>
              </w:rPr>
              <w:t>湖口镇</w:t>
            </w:r>
          </w:p>
        </w:tc>
        <w:tc>
          <w:tcPr>
            <w:tcW w:w="708" w:type="pct"/>
            <w:vAlign w:val="center"/>
          </w:tcPr>
          <w:p w14:paraId="42478843">
            <w:pPr>
              <w:pStyle w:val="12"/>
              <w:jc w:val="center"/>
            </w:pPr>
            <w:r>
              <w:rPr>
                <w:rFonts w:hint="eastAsia"/>
              </w:rPr>
              <w:t>1951年6月</w:t>
            </w:r>
          </w:p>
        </w:tc>
        <w:tc>
          <w:tcPr>
            <w:tcW w:w="940" w:type="pct"/>
            <w:vAlign w:val="center"/>
          </w:tcPr>
          <w:p w14:paraId="487C046D">
            <w:pPr>
              <w:pStyle w:val="12"/>
              <w:jc w:val="center"/>
              <w:rPr>
                <w:rFonts w:ascii="宋体" w:hAnsi="宋体" w:cs="宋体"/>
              </w:rPr>
            </w:pPr>
            <w:r>
              <w:rPr>
                <w:rFonts w:hint="eastAsia"/>
              </w:rPr>
              <w:t>马口武警中</w:t>
            </w:r>
          </w:p>
          <w:p w14:paraId="43DA0931">
            <w:pPr>
              <w:pStyle w:val="12"/>
              <w:jc w:val="center"/>
            </w:pPr>
            <w:r>
              <w:rPr>
                <w:rFonts w:hint="eastAsia" w:ascii="宋体" w:hAnsi="宋体" w:cs="宋体"/>
              </w:rPr>
              <w:t>队分队长</w:t>
            </w:r>
          </w:p>
        </w:tc>
        <w:tc>
          <w:tcPr>
            <w:tcW w:w="1160" w:type="pct"/>
            <w:vMerge w:val="restart"/>
            <w:vAlign w:val="center"/>
          </w:tcPr>
          <w:p w14:paraId="6D8BBBB3">
            <w:pPr>
              <w:pStyle w:val="12"/>
              <w:jc w:val="left"/>
            </w:pPr>
            <w:r>
              <w:rPr>
                <w:rFonts w:hint="eastAsia"/>
              </w:rPr>
              <w:t>1960年2月在英德县马口扑灭火灾抢救国家财产中英勇牺牲，有传</w:t>
            </w:r>
          </w:p>
        </w:tc>
      </w:tr>
      <w:tr w14:paraId="1C8B14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A5145A7">
            <w:pPr>
              <w:pStyle w:val="12"/>
              <w:jc w:val="center"/>
            </w:pPr>
            <w:r>
              <w:rPr>
                <w:rFonts w:hint="eastAsia"/>
              </w:rPr>
              <w:t>叶会明</w:t>
            </w:r>
          </w:p>
        </w:tc>
        <w:tc>
          <w:tcPr>
            <w:tcW w:w="388" w:type="pct"/>
            <w:vAlign w:val="center"/>
          </w:tcPr>
          <w:p w14:paraId="119DB168">
            <w:pPr>
              <w:pStyle w:val="12"/>
              <w:jc w:val="center"/>
            </w:pPr>
            <w:r>
              <w:rPr>
                <w:rFonts w:hint="eastAsia"/>
              </w:rPr>
              <w:t>男</w:t>
            </w:r>
          </w:p>
        </w:tc>
        <w:tc>
          <w:tcPr>
            <w:tcW w:w="582" w:type="pct"/>
            <w:vAlign w:val="center"/>
          </w:tcPr>
          <w:p w14:paraId="587FF8D2">
            <w:pPr>
              <w:pStyle w:val="12"/>
              <w:jc w:val="center"/>
            </w:pPr>
            <w:r>
              <w:rPr>
                <w:rFonts w:hint="eastAsia"/>
              </w:rPr>
              <w:t>1932年</w:t>
            </w:r>
          </w:p>
        </w:tc>
        <w:tc>
          <w:tcPr>
            <w:tcW w:w="582" w:type="pct"/>
            <w:vAlign w:val="center"/>
          </w:tcPr>
          <w:p w14:paraId="5B15AB66">
            <w:pPr>
              <w:pStyle w:val="12"/>
              <w:jc w:val="center"/>
            </w:pPr>
            <w:r>
              <w:rPr>
                <w:rFonts w:hint="eastAsia"/>
              </w:rPr>
              <w:t>珠玑镇</w:t>
            </w:r>
          </w:p>
        </w:tc>
        <w:tc>
          <w:tcPr>
            <w:tcW w:w="708" w:type="pct"/>
            <w:vAlign w:val="center"/>
          </w:tcPr>
          <w:p w14:paraId="5053D2D6">
            <w:pPr>
              <w:pStyle w:val="12"/>
              <w:jc w:val="center"/>
            </w:pPr>
            <w:r>
              <w:rPr>
                <w:rFonts w:hint="eastAsia"/>
              </w:rPr>
              <w:t>1955年</w:t>
            </w:r>
          </w:p>
        </w:tc>
        <w:tc>
          <w:tcPr>
            <w:tcW w:w="940" w:type="pct"/>
            <w:vAlign w:val="center"/>
          </w:tcPr>
          <w:p w14:paraId="549CF61A">
            <w:pPr>
              <w:pStyle w:val="12"/>
              <w:jc w:val="center"/>
              <w:rPr>
                <w:rFonts w:ascii="宋体" w:hAnsi="宋体" w:cs="宋体"/>
              </w:rPr>
            </w:pPr>
            <w:r>
              <w:rPr>
                <w:rFonts w:hint="eastAsia"/>
              </w:rPr>
              <w:t>马口武警中</w:t>
            </w:r>
          </w:p>
          <w:p w14:paraId="60B90BD0">
            <w:pPr>
              <w:pStyle w:val="12"/>
              <w:jc w:val="center"/>
            </w:pPr>
            <w:r>
              <w:rPr>
                <w:rFonts w:hint="eastAsia" w:ascii="宋体" w:hAnsi="宋体" w:cs="宋体"/>
              </w:rPr>
              <w:t>队  警  士</w:t>
            </w:r>
          </w:p>
        </w:tc>
        <w:tc>
          <w:tcPr>
            <w:tcW w:w="1160" w:type="pct"/>
            <w:vMerge w:val="continue"/>
            <w:vAlign w:val="center"/>
          </w:tcPr>
          <w:p w14:paraId="78311C6A">
            <w:pPr>
              <w:pStyle w:val="12"/>
              <w:jc w:val="left"/>
            </w:pPr>
          </w:p>
        </w:tc>
      </w:tr>
      <w:tr w14:paraId="39B21D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BA26A91">
            <w:pPr>
              <w:pStyle w:val="12"/>
              <w:jc w:val="center"/>
            </w:pPr>
            <w:r>
              <w:rPr>
                <w:rFonts w:hint="eastAsia"/>
              </w:rPr>
              <w:t>沈发福</w:t>
            </w:r>
          </w:p>
        </w:tc>
        <w:tc>
          <w:tcPr>
            <w:tcW w:w="388" w:type="pct"/>
            <w:vAlign w:val="center"/>
          </w:tcPr>
          <w:p w14:paraId="4F947CCF">
            <w:pPr>
              <w:pStyle w:val="12"/>
              <w:jc w:val="center"/>
            </w:pPr>
            <w:r>
              <w:rPr>
                <w:rFonts w:hint="eastAsia"/>
              </w:rPr>
              <w:t>男</w:t>
            </w:r>
          </w:p>
        </w:tc>
        <w:tc>
          <w:tcPr>
            <w:tcW w:w="582" w:type="pct"/>
            <w:vAlign w:val="center"/>
          </w:tcPr>
          <w:p w14:paraId="5BC2B293">
            <w:pPr>
              <w:pStyle w:val="12"/>
              <w:jc w:val="center"/>
            </w:pPr>
            <w:r>
              <w:rPr>
                <w:rFonts w:hint="eastAsia"/>
              </w:rPr>
              <w:t>1936年</w:t>
            </w:r>
          </w:p>
        </w:tc>
        <w:tc>
          <w:tcPr>
            <w:tcW w:w="582" w:type="pct"/>
            <w:vAlign w:val="center"/>
          </w:tcPr>
          <w:p w14:paraId="38A67C4E">
            <w:pPr>
              <w:pStyle w:val="12"/>
              <w:jc w:val="center"/>
            </w:pPr>
            <w:r>
              <w:rPr>
                <w:rFonts w:hint="eastAsia"/>
              </w:rPr>
              <w:t>黄坑镇</w:t>
            </w:r>
          </w:p>
        </w:tc>
        <w:tc>
          <w:tcPr>
            <w:tcW w:w="708" w:type="pct"/>
            <w:vAlign w:val="center"/>
          </w:tcPr>
          <w:p w14:paraId="1D4941A0">
            <w:pPr>
              <w:pStyle w:val="12"/>
              <w:jc w:val="center"/>
            </w:pPr>
            <w:r>
              <w:rPr>
                <w:rFonts w:hint="eastAsia"/>
              </w:rPr>
              <w:t>1955年</w:t>
            </w:r>
          </w:p>
        </w:tc>
        <w:tc>
          <w:tcPr>
            <w:tcW w:w="940" w:type="pct"/>
            <w:vAlign w:val="center"/>
          </w:tcPr>
          <w:p w14:paraId="6930EB81">
            <w:pPr>
              <w:pStyle w:val="12"/>
              <w:jc w:val="center"/>
              <w:rPr>
                <w:rFonts w:ascii="宋体" w:hAnsi="宋体" w:cs="宋体"/>
              </w:rPr>
            </w:pPr>
            <w:r>
              <w:rPr>
                <w:rFonts w:hint="eastAsia"/>
              </w:rPr>
              <w:t>英德县马口硫</w:t>
            </w:r>
          </w:p>
          <w:p w14:paraId="3CE8E4B6">
            <w:pPr>
              <w:pStyle w:val="12"/>
              <w:jc w:val="center"/>
            </w:pPr>
            <w:r>
              <w:rPr>
                <w:rFonts w:hint="eastAsia" w:ascii="宋体" w:hAnsi="宋体" w:cs="宋体"/>
              </w:rPr>
              <w:t>铁矿政工干部</w:t>
            </w:r>
          </w:p>
        </w:tc>
        <w:tc>
          <w:tcPr>
            <w:tcW w:w="1160" w:type="pct"/>
            <w:vMerge w:val="continue"/>
            <w:vAlign w:val="center"/>
          </w:tcPr>
          <w:p w14:paraId="18A66AD5">
            <w:pPr>
              <w:pStyle w:val="12"/>
              <w:jc w:val="left"/>
            </w:pPr>
          </w:p>
        </w:tc>
      </w:tr>
      <w:tr w14:paraId="6E7A41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1B5B4F4">
            <w:pPr>
              <w:pStyle w:val="12"/>
              <w:jc w:val="center"/>
            </w:pPr>
            <w:r>
              <w:rPr>
                <w:rFonts w:hint="eastAsia"/>
              </w:rPr>
              <w:t>邱启发</w:t>
            </w:r>
          </w:p>
        </w:tc>
        <w:tc>
          <w:tcPr>
            <w:tcW w:w="388" w:type="pct"/>
            <w:vAlign w:val="center"/>
          </w:tcPr>
          <w:p w14:paraId="250D40A1">
            <w:pPr>
              <w:pStyle w:val="12"/>
              <w:jc w:val="center"/>
            </w:pPr>
            <w:r>
              <w:rPr>
                <w:rFonts w:hint="eastAsia"/>
              </w:rPr>
              <w:t>男</w:t>
            </w:r>
          </w:p>
        </w:tc>
        <w:tc>
          <w:tcPr>
            <w:tcW w:w="582" w:type="pct"/>
            <w:vAlign w:val="center"/>
          </w:tcPr>
          <w:p w14:paraId="0B12247F">
            <w:pPr>
              <w:pStyle w:val="12"/>
              <w:jc w:val="center"/>
            </w:pPr>
            <w:r>
              <w:rPr>
                <w:rFonts w:hint="eastAsia"/>
              </w:rPr>
              <w:t>1937年</w:t>
            </w:r>
          </w:p>
        </w:tc>
        <w:tc>
          <w:tcPr>
            <w:tcW w:w="582" w:type="pct"/>
            <w:vAlign w:val="center"/>
          </w:tcPr>
          <w:p w14:paraId="7A5157F9">
            <w:pPr>
              <w:pStyle w:val="12"/>
              <w:jc w:val="center"/>
            </w:pPr>
            <w:r>
              <w:rPr>
                <w:rFonts w:hint="eastAsia"/>
              </w:rPr>
              <w:t>水口镇</w:t>
            </w:r>
          </w:p>
        </w:tc>
        <w:tc>
          <w:tcPr>
            <w:tcW w:w="708" w:type="pct"/>
            <w:vAlign w:val="center"/>
          </w:tcPr>
          <w:p w14:paraId="3593CFBD">
            <w:pPr>
              <w:pStyle w:val="12"/>
              <w:jc w:val="center"/>
            </w:pPr>
            <w:r>
              <w:rPr>
                <w:rFonts w:hint="eastAsia"/>
              </w:rPr>
              <w:t>1958年</w:t>
            </w:r>
          </w:p>
        </w:tc>
        <w:tc>
          <w:tcPr>
            <w:tcW w:w="940" w:type="pct"/>
            <w:vAlign w:val="center"/>
          </w:tcPr>
          <w:p w14:paraId="50727A69">
            <w:pPr>
              <w:pStyle w:val="12"/>
              <w:jc w:val="center"/>
            </w:pPr>
          </w:p>
        </w:tc>
        <w:tc>
          <w:tcPr>
            <w:tcW w:w="1160" w:type="pct"/>
            <w:vAlign w:val="center"/>
          </w:tcPr>
          <w:p w14:paraId="2257BF15">
            <w:pPr>
              <w:pStyle w:val="12"/>
              <w:jc w:val="left"/>
            </w:pPr>
          </w:p>
        </w:tc>
      </w:tr>
      <w:tr w14:paraId="35A005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02E6F86">
            <w:pPr>
              <w:pStyle w:val="12"/>
              <w:jc w:val="center"/>
            </w:pPr>
            <w:r>
              <w:rPr>
                <w:rFonts w:hint="eastAsia"/>
              </w:rPr>
              <w:t>胡声荣</w:t>
            </w:r>
          </w:p>
        </w:tc>
        <w:tc>
          <w:tcPr>
            <w:tcW w:w="388" w:type="pct"/>
            <w:vAlign w:val="center"/>
          </w:tcPr>
          <w:p w14:paraId="6B41FD19">
            <w:pPr>
              <w:pStyle w:val="12"/>
              <w:jc w:val="center"/>
            </w:pPr>
            <w:r>
              <w:rPr>
                <w:rFonts w:hint="eastAsia"/>
              </w:rPr>
              <w:t>男</w:t>
            </w:r>
          </w:p>
        </w:tc>
        <w:tc>
          <w:tcPr>
            <w:tcW w:w="582" w:type="pct"/>
            <w:vAlign w:val="center"/>
          </w:tcPr>
          <w:p w14:paraId="3A8B9DEF">
            <w:pPr>
              <w:pStyle w:val="12"/>
              <w:jc w:val="center"/>
            </w:pPr>
            <w:r>
              <w:rPr>
                <w:rFonts w:hint="eastAsia"/>
              </w:rPr>
              <w:t>1937年</w:t>
            </w:r>
          </w:p>
        </w:tc>
        <w:tc>
          <w:tcPr>
            <w:tcW w:w="582" w:type="pct"/>
            <w:vAlign w:val="center"/>
          </w:tcPr>
          <w:p w14:paraId="32E58F68">
            <w:pPr>
              <w:pStyle w:val="12"/>
              <w:jc w:val="center"/>
            </w:pPr>
            <w:r>
              <w:rPr>
                <w:rFonts w:hint="eastAsia"/>
              </w:rPr>
              <w:t>水口镇</w:t>
            </w:r>
          </w:p>
        </w:tc>
        <w:tc>
          <w:tcPr>
            <w:tcW w:w="708" w:type="pct"/>
            <w:vAlign w:val="center"/>
          </w:tcPr>
          <w:p w14:paraId="7E54CA65">
            <w:pPr>
              <w:pStyle w:val="12"/>
              <w:jc w:val="center"/>
            </w:pPr>
            <w:r>
              <w:rPr>
                <w:rFonts w:hint="eastAsia"/>
              </w:rPr>
              <w:t>1958年</w:t>
            </w:r>
          </w:p>
        </w:tc>
        <w:tc>
          <w:tcPr>
            <w:tcW w:w="940" w:type="pct"/>
            <w:vAlign w:val="center"/>
          </w:tcPr>
          <w:p w14:paraId="194CC87A">
            <w:pPr>
              <w:pStyle w:val="12"/>
              <w:jc w:val="center"/>
            </w:pPr>
          </w:p>
        </w:tc>
        <w:tc>
          <w:tcPr>
            <w:tcW w:w="1160" w:type="pct"/>
            <w:vAlign w:val="center"/>
          </w:tcPr>
          <w:p w14:paraId="6D9AF1EE">
            <w:pPr>
              <w:pStyle w:val="12"/>
              <w:jc w:val="left"/>
            </w:pPr>
          </w:p>
        </w:tc>
      </w:tr>
      <w:tr w14:paraId="6F9CD5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9F4132F">
            <w:pPr>
              <w:pStyle w:val="12"/>
              <w:jc w:val="center"/>
            </w:pPr>
            <w:r>
              <w:rPr>
                <w:rFonts w:hint="eastAsia"/>
              </w:rPr>
              <w:t>邓光福</w:t>
            </w:r>
          </w:p>
        </w:tc>
        <w:tc>
          <w:tcPr>
            <w:tcW w:w="388" w:type="pct"/>
            <w:vAlign w:val="center"/>
          </w:tcPr>
          <w:p w14:paraId="4279A54A">
            <w:pPr>
              <w:pStyle w:val="12"/>
              <w:jc w:val="center"/>
            </w:pPr>
            <w:r>
              <w:rPr>
                <w:rFonts w:hint="eastAsia"/>
              </w:rPr>
              <w:t>男</w:t>
            </w:r>
          </w:p>
        </w:tc>
        <w:tc>
          <w:tcPr>
            <w:tcW w:w="582" w:type="pct"/>
            <w:vAlign w:val="center"/>
          </w:tcPr>
          <w:p w14:paraId="0B7F6056">
            <w:pPr>
              <w:pStyle w:val="12"/>
              <w:jc w:val="center"/>
            </w:pPr>
            <w:r>
              <w:rPr>
                <w:rFonts w:hint="eastAsia"/>
              </w:rPr>
              <w:t>1935年</w:t>
            </w:r>
          </w:p>
        </w:tc>
        <w:tc>
          <w:tcPr>
            <w:tcW w:w="582" w:type="pct"/>
            <w:vAlign w:val="center"/>
          </w:tcPr>
          <w:p w14:paraId="12FC2A26">
            <w:pPr>
              <w:pStyle w:val="12"/>
              <w:jc w:val="center"/>
            </w:pPr>
            <w:r>
              <w:rPr>
                <w:rFonts w:hint="eastAsia"/>
              </w:rPr>
              <w:t>坪田镇</w:t>
            </w:r>
          </w:p>
        </w:tc>
        <w:tc>
          <w:tcPr>
            <w:tcW w:w="708" w:type="pct"/>
            <w:vAlign w:val="center"/>
          </w:tcPr>
          <w:p w14:paraId="6D0115BC">
            <w:pPr>
              <w:pStyle w:val="12"/>
              <w:jc w:val="center"/>
            </w:pPr>
            <w:r>
              <w:rPr>
                <w:rFonts w:hint="eastAsia"/>
              </w:rPr>
              <w:t>1953年</w:t>
            </w:r>
          </w:p>
        </w:tc>
        <w:tc>
          <w:tcPr>
            <w:tcW w:w="940" w:type="pct"/>
            <w:vAlign w:val="center"/>
          </w:tcPr>
          <w:p w14:paraId="76B45B0C">
            <w:pPr>
              <w:pStyle w:val="12"/>
              <w:jc w:val="center"/>
              <w:rPr>
                <w:rFonts w:ascii="宋体" w:hAnsi="宋体" w:cs="宋体"/>
              </w:rPr>
            </w:pPr>
            <w:r>
              <w:rPr>
                <w:rFonts w:hint="eastAsia"/>
              </w:rPr>
              <w:t>马口武警中</w:t>
            </w:r>
          </w:p>
          <w:p w14:paraId="22ACEED9">
            <w:pPr>
              <w:pStyle w:val="12"/>
              <w:jc w:val="center"/>
            </w:pPr>
            <w:r>
              <w:rPr>
                <w:rFonts w:hint="eastAsia" w:ascii="宋体" w:hAnsi="宋体" w:cs="宋体"/>
              </w:rPr>
              <w:t>队  警  士</w:t>
            </w:r>
          </w:p>
        </w:tc>
        <w:tc>
          <w:tcPr>
            <w:tcW w:w="1160" w:type="pct"/>
            <w:vAlign w:val="center"/>
          </w:tcPr>
          <w:p w14:paraId="3A791DB2">
            <w:pPr>
              <w:pStyle w:val="12"/>
              <w:jc w:val="left"/>
            </w:pPr>
            <w:r>
              <w:rPr>
                <w:rFonts w:hint="eastAsia"/>
              </w:rPr>
              <w:t>1960年2月在英德县马口扑灭火灾抢救国家财产中英勇牺牲，有传</w:t>
            </w:r>
          </w:p>
        </w:tc>
      </w:tr>
      <w:tr w14:paraId="5A9220B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EF74CA4">
            <w:pPr>
              <w:pStyle w:val="12"/>
              <w:jc w:val="center"/>
            </w:pPr>
            <w:r>
              <w:rPr>
                <w:rFonts w:hint="eastAsia"/>
              </w:rPr>
              <w:t>聂复茂</w:t>
            </w:r>
          </w:p>
        </w:tc>
        <w:tc>
          <w:tcPr>
            <w:tcW w:w="388" w:type="pct"/>
            <w:vAlign w:val="center"/>
          </w:tcPr>
          <w:p w14:paraId="6A58BA3D">
            <w:pPr>
              <w:pStyle w:val="12"/>
              <w:jc w:val="center"/>
            </w:pPr>
            <w:r>
              <w:rPr>
                <w:rFonts w:hint="eastAsia"/>
              </w:rPr>
              <w:t>男</w:t>
            </w:r>
          </w:p>
        </w:tc>
        <w:tc>
          <w:tcPr>
            <w:tcW w:w="582" w:type="pct"/>
            <w:vAlign w:val="center"/>
          </w:tcPr>
          <w:p w14:paraId="75B9A288">
            <w:pPr>
              <w:pStyle w:val="12"/>
              <w:jc w:val="center"/>
            </w:pPr>
            <w:r>
              <w:rPr>
                <w:rFonts w:hint="eastAsia"/>
              </w:rPr>
              <w:t>1936年</w:t>
            </w:r>
          </w:p>
        </w:tc>
        <w:tc>
          <w:tcPr>
            <w:tcW w:w="582" w:type="pct"/>
            <w:vAlign w:val="center"/>
          </w:tcPr>
          <w:p w14:paraId="005B0F2D">
            <w:pPr>
              <w:pStyle w:val="12"/>
              <w:jc w:val="center"/>
            </w:pPr>
            <w:r>
              <w:rPr>
                <w:rFonts w:hint="eastAsia"/>
              </w:rPr>
              <w:t>雄州镇</w:t>
            </w:r>
          </w:p>
        </w:tc>
        <w:tc>
          <w:tcPr>
            <w:tcW w:w="708" w:type="pct"/>
            <w:vAlign w:val="center"/>
          </w:tcPr>
          <w:p w14:paraId="6070460C">
            <w:pPr>
              <w:pStyle w:val="12"/>
              <w:jc w:val="center"/>
            </w:pPr>
            <w:r>
              <w:rPr>
                <w:rFonts w:hint="eastAsia"/>
              </w:rPr>
              <w:t>1958年</w:t>
            </w:r>
          </w:p>
        </w:tc>
        <w:tc>
          <w:tcPr>
            <w:tcW w:w="940" w:type="pct"/>
            <w:vAlign w:val="center"/>
          </w:tcPr>
          <w:p w14:paraId="0F5C1ADC">
            <w:pPr>
              <w:pStyle w:val="12"/>
              <w:jc w:val="center"/>
              <w:rPr>
                <w:rFonts w:ascii="宋体" w:hAnsi="宋体" w:cs="宋体"/>
              </w:rPr>
            </w:pPr>
            <w:r>
              <w:rPr>
                <w:rFonts w:hint="eastAsia"/>
              </w:rPr>
              <w:t>中国人民解</w:t>
            </w:r>
          </w:p>
          <w:p w14:paraId="5FC56961">
            <w:pPr>
              <w:pStyle w:val="12"/>
              <w:jc w:val="center"/>
            </w:pPr>
            <w:r>
              <w:rPr>
                <w:rFonts w:hint="eastAsia" w:ascii="宋体" w:hAnsi="宋体" w:cs="宋体"/>
              </w:rPr>
              <w:t>放军战士</w:t>
            </w:r>
          </w:p>
        </w:tc>
        <w:tc>
          <w:tcPr>
            <w:tcW w:w="1160" w:type="pct"/>
            <w:vAlign w:val="center"/>
          </w:tcPr>
          <w:p w14:paraId="400D5458">
            <w:pPr>
              <w:pStyle w:val="12"/>
              <w:jc w:val="left"/>
            </w:pPr>
            <w:r>
              <w:rPr>
                <w:rFonts w:hint="eastAsia"/>
              </w:rPr>
              <w:t>1962年12月8日在西安执行任务中牺牲</w:t>
            </w:r>
          </w:p>
        </w:tc>
      </w:tr>
      <w:tr w14:paraId="16031E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45D680FD">
            <w:pPr>
              <w:pStyle w:val="12"/>
              <w:jc w:val="center"/>
            </w:pPr>
            <w:r>
              <w:rPr>
                <w:rFonts w:hint="eastAsia"/>
              </w:rPr>
              <w:t>刘显河</w:t>
            </w:r>
          </w:p>
        </w:tc>
        <w:tc>
          <w:tcPr>
            <w:tcW w:w="388" w:type="pct"/>
            <w:vAlign w:val="center"/>
          </w:tcPr>
          <w:p w14:paraId="19E072C5">
            <w:pPr>
              <w:pStyle w:val="12"/>
              <w:jc w:val="center"/>
            </w:pPr>
            <w:r>
              <w:rPr>
                <w:rFonts w:hint="eastAsia"/>
              </w:rPr>
              <w:t>男</w:t>
            </w:r>
          </w:p>
        </w:tc>
        <w:tc>
          <w:tcPr>
            <w:tcW w:w="582" w:type="pct"/>
            <w:vAlign w:val="center"/>
          </w:tcPr>
          <w:p w14:paraId="3DCCE09A">
            <w:pPr>
              <w:pStyle w:val="12"/>
              <w:jc w:val="center"/>
            </w:pPr>
            <w:r>
              <w:rPr>
                <w:rFonts w:hint="eastAsia"/>
              </w:rPr>
              <w:t>1945年</w:t>
            </w:r>
          </w:p>
        </w:tc>
        <w:tc>
          <w:tcPr>
            <w:tcW w:w="582" w:type="pct"/>
            <w:vAlign w:val="center"/>
          </w:tcPr>
          <w:p w14:paraId="6B0F2487">
            <w:pPr>
              <w:pStyle w:val="12"/>
              <w:jc w:val="center"/>
            </w:pPr>
            <w:r>
              <w:rPr>
                <w:rFonts w:hint="eastAsia"/>
              </w:rPr>
              <w:t>珠玑镇</w:t>
            </w:r>
          </w:p>
        </w:tc>
        <w:tc>
          <w:tcPr>
            <w:tcW w:w="708" w:type="pct"/>
            <w:vAlign w:val="center"/>
          </w:tcPr>
          <w:p w14:paraId="5F37BFAD">
            <w:pPr>
              <w:pStyle w:val="12"/>
              <w:jc w:val="center"/>
            </w:pPr>
            <w:r>
              <w:rPr>
                <w:rFonts w:hint="eastAsia"/>
              </w:rPr>
              <w:t>1963年12月</w:t>
            </w:r>
          </w:p>
        </w:tc>
        <w:tc>
          <w:tcPr>
            <w:tcW w:w="940" w:type="pct"/>
            <w:vAlign w:val="center"/>
          </w:tcPr>
          <w:p w14:paraId="531CE66E">
            <w:pPr>
              <w:pStyle w:val="12"/>
              <w:jc w:val="center"/>
            </w:pPr>
            <w:r>
              <w:rPr>
                <w:rFonts w:hint="eastAsia"/>
              </w:rPr>
              <w:t>7007部队战士</w:t>
            </w:r>
          </w:p>
        </w:tc>
        <w:tc>
          <w:tcPr>
            <w:tcW w:w="1160" w:type="pct"/>
            <w:vAlign w:val="center"/>
          </w:tcPr>
          <w:p w14:paraId="23F48E79">
            <w:pPr>
              <w:pStyle w:val="12"/>
              <w:jc w:val="left"/>
            </w:pPr>
            <w:r>
              <w:rPr>
                <w:rFonts w:hint="eastAsia"/>
              </w:rPr>
              <w:t>1966年10月在珠海县万山公社万山大队训练中掩护民兵牺牲</w:t>
            </w:r>
          </w:p>
        </w:tc>
      </w:tr>
      <w:tr w14:paraId="0838EB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B09E71E">
            <w:pPr>
              <w:pStyle w:val="12"/>
              <w:jc w:val="center"/>
            </w:pPr>
            <w:r>
              <w:rPr>
                <w:rFonts w:hint="eastAsia"/>
              </w:rPr>
              <w:t>张芳全</w:t>
            </w:r>
          </w:p>
        </w:tc>
        <w:tc>
          <w:tcPr>
            <w:tcW w:w="388" w:type="pct"/>
            <w:vAlign w:val="center"/>
          </w:tcPr>
          <w:p w14:paraId="3E42A015">
            <w:pPr>
              <w:pStyle w:val="12"/>
              <w:jc w:val="center"/>
            </w:pPr>
            <w:r>
              <w:rPr>
                <w:rFonts w:hint="eastAsia"/>
              </w:rPr>
              <w:t>男</w:t>
            </w:r>
          </w:p>
        </w:tc>
        <w:tc>
          <w:tcPr>
            <w:tcW w:w="582" w:type="pct"/>
            <w:vAlign w:val="center"/>
          </w:tcPr>
          <w:p w14:paraId="2DD9EDE3">
            <w:pPr>
              <w:pStyle w:val="12"/>
              <w:jc w:val="center"/>
            </w:pPr>
            <w:r>
              <w:rPr>
                <w:rFonts w:hint="eastAsia"/>
              </w:rPr>
              <w:t>1947年</w:t>
            </w:r>
          </w:p>
        </w:tc>
        <w:tc>
          <w:tcPr>
            <w:tcW w:w="582" w:type="pct"/>
            <w:vAlign w:val="center"/>
          </w:tcPr>
          <w:p w14:paraId="4A8111BA">
            <w:pPr>
              <w:pStyle w:val="12"/>
              <w:jc w:val="center"/>
            </w:pPr>
            <w:r>
              <w:rPr>
                <w:rFonts w:hint="eastAsia"/>
              </w:rPr>
              <w:t>油山镇</w:t>
            </w:r>
          </w:p>
        </w:tc>
        <w:tc>
          <w:tcPr>
            <w:tcW w:w="708" w:type="pct"/>
            <w:vAlign w:val="center"/>
          </w:tcPr>
          <w:p w14:paraId="1A1ECB12">
            <w:pPr>
              <w:pStyle w:val="12"/>
              <w:jc w:val="center"/>
            </w:pPr>
            <w:r>
              <w:rPr>
                <w:rFonts w:hint="eastAsia"/>
              </w:rPr>
              <w:t>1966年3月</w:t>
            </w:r>
          </w:p>
        </w:tc>
        <w:tc>
          <w:tcPr>
            <w:tcW w:w="940" w:type="pct"/>
            <w:vAlign w:val="center"/>
          </w:tcPr>
          <w:p w14:paraId="12CDE8BA">
            <w:pPr>
              <w:pStyle w:val="12"/>
              <w:jc w:val="center"/>
              <w:rPr>
                <w:rFonts w:ascii="宋体" w:hAnsi="宋体" w:cs="宋体"/>
              </w:rPr>
            </w:pPr>
            <w:r>
              <w:rPr>
                <w:rFonts w:hint="eastAsia"/>
              </w:rPr>
              <w:t>铁道兵二大队</w:t>
            </w:r>
          </w:p>
          <w:p w14:paraId="7B1B8972">
            <w:pPr>
              <w:pStyle w:val="12"/>
              <w:jc w:val="center"/>
            </w:pPr>
            <w:r>
              <w:rPr>
                <w:rFonts w:hint="eastAsia" w:ascii="宋体" w:hAnsi="宋体" w:cs="宋体"/>
              </w:rPr>
              <w:t>一中队四分队</w:t>
            </w:r>
          </w:p>
        </w:tc>
        <w:tc>
          <w:tcPr>
            <w:tcW w:w="1160" w:type="pct"/>
            <w:vAlign w:val="center"/>
          </w:tcPr>
          <w:p w14:paraId="313708D2">
            <w:pPr>
              <w:pStyle w:val="12"/>
              <w:jc w:val="left"/>
            </w:pPr>
            <w:r>
              <w:rPr>
                <w:rFonts w:hint="eastAsia"/>
              </w:rPr>
              <w:t>1968年1月24日援越抗美中牺牲</w:t>
            </w:r>
          </w:p>
        </w:tc>
      </w:tr>
      <w:tr w14:paraId="6FF6D8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5C8C7C50">
            <w:pPr>
              <w:pStyle w:val="12"/>
              <w:jc w:val="center"/>
            </w:pPr>
            <w:r>
              <w:rPr>
                <w:rFonts w:hint="eastAsia"/>
              </w:rPr>
              <w:t>王孔寿</w:t>
            </w:r>
          </w:p>
        </w:tc>
        <w:tc>
          <w:tcPr>
            <w:tcW w:w="388" w:type="pct"/>
            <w:vAlign w:val="center"/>
          </w:tcPr>
          <w:p w14:paraId="3BFAD8AF">
            <w:pPr>
              <w:pStyle w:val="12"/>
              <w:jc w:val="center"/>
            </w:pPr>
            <w:r>
              <w:rPr>
                <w:rFonts w:hint="eastAsia"/>
              </w:rPr>
              <w:t>男</w:t>
            </w:r>
          </w:p>
        </w:tc>
        <w:tc>
          <w:tcPr>
            <w:tcW w:w="582" w:type="pct"/>
            <w:vAlign w:val="center"/>
          </w:tcPr>
          <w:p w14:paraId="64B0878D">
            <w:pPr>
              <w:pStyle w:val="12"/>
              <w:jc w:val="center"/>
            </w:pPr>
            <w:r>
              <w:rPr>
                <w:rFonts w:hint="eastAsia"/>
              </w:rPr>
              <w:t>1944年</w:t>
            </w:r>
          </w:p>
        </w:tc>
        <w:tc>
          <w:tcPr>
            <w:tcW w:w="582" w:type="pct"/>
            <w:vAlign w:val="center"/>
          </w:tcPr>
          <w:p w14:paraId="616C4911">
            <w:pPr>
              <w:pStyle w:val="12"/>
              <w:jc w:val="center"/>
            </w:pPr>
            <w:r>
              <w:rPr>
                <w:rFonts w:hint="eastAsia"/>
              </w:rPr>
              <w:t>油山镇</w:t>
            </w:r>
          </w:p>
        </w:tc>
        <w:tc>
          <w:tcPr>
            <w:tcW w:w="708" w:type="pct"/>
            <w:vAlign w:val="center"/>
          </w:tcPr>
          <w:p w14:paraId="2A2F05C6">
            <w:pPr>
              <w:pStyle w:val="12"/>
              <w:jc w:val="center"/>
            </w:pPr>
            <w:r>
              <w:rPr>
                <w:rFonts w:hint="eastAsia"/>
              </w:rPr>
              <w:t>1966年3月</w:t>
            </w:r>
          </w:p>
        </w:tc>
        <w:tc>
          <w:tcPr>
            <w:tcW w:w="940" w:type="pct"/>
            <w:vAlign w:val="center"/>
          </w:tcPr>
          <w:p w14:paraId="0425FF6F">
            <w:pPr>
              <w:pStyle w:val="12"/>
              <w:jc w:val="center"/>
            </w:pPr>
            <w:r>
              <w:rPr>
                <w:rFonts w:hint="eastAsia"/>
              </w:rPr>
              <w:t>铁道兵战士</w:t>
            </w:r>
          </w:p>
        </w:tc>
        <w:tc>
          <w:tcPr>
            <w:tcW w:w="1160" w:type="pct"/>
            <w:vAlign w:val="center"/>
          </w:tcPr>
          <w:p w14:paraId="58355F57">
            <w:pPr>
              <w:pStyle w:val="12"/>
              <w:jc w:val="left"/>
            </w:pPr>
            <w:r>
              <w:rPr>
                <w:rFonts w:hint="eastAsia"/>
              </w:rPr>
              <w:t>1968年8月21日在援越抗美中牺牲</w:t>
            </w:r>
          </w:p>
        </w:tc>
      </w:tr>
      <w:tr w14:paraId="713985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B65BA7F">
            <w:pPr>
              <w:pStyle w:val="12"/>
              <w:jc w:val="center"/>
            </w:pPr>
            <w:r>
              <w:rPr>
                <w:rFonts w:hint="eastAsia"/>
              </w:rPr>
              <w:t>李贤顺</w:t>
            </w:r>
          </w:p>
        </w:tc>
        <w:tc>
          <w:tcPr>
            <w:tcW w:w="388" w:type="pct"/>
            <w:vAlign w:val="center"/>
          </w:tcPr>
          <w:p w14:paraId="57F7746C">
            <w:pPr>
              <w:pStyle w:val="12"/>
              <w:jc w:val="center"/>
            </w:pPr>
            <w:r>
              <w:rPr>
                <w:rFonts w:hint="eastAsia"/>
              </w:rPr>
              <w:t>男</w:t>
            </w:r>
          </w:p>
        </w:tc>
        <w:tc>
          <w:tcPr>
            <w:tcW w:w="582" w:type="pct"/>
            <w:vAlign w:val="center"/>
          </w:tcPr>
          <w:p w14:paraId="4DED430F">
            <w:pPr>
              <w:pStyle w:val="12"/>
              <w:jc w:val="center"/>
            </w:pPr>
            <w:r>
              <w:rPr>
                <w:rFonts w:hint="eastAsia"/>
              </w:rPr>
              <w:t>1916年</w:t>
            </w:r>
          </w:p>
        </w:tc>
        <w:tc>
          <w:tcPr>
            <w:tcW w:w="582" w:type="pct"/>
            <w:vAlign w:val="center"/>
          </w:tcPr>
          <w:p w14:paraId="3852B42D">
            <w:pPr>
              <w:pStyle w:val="12"/>
              <w:jc w:val="center"/>
            </w:pPr>
            <w:r>
              <w:rPr>
                <w:rFonts w:hint="eastAsia"/>
              </w:rPr>
              <w:t>湖口镇</w:t>
            </w:r>
          </w:p>
        </w:tc>
        <w:tc>
          <w:tcPr>
            <w:tcW w:w="708" w:type="pct"/>
            <w:vAlign w:val="center"/>
          </w:tcPr>
          <w:p w14:paraId="662CE101">
            <w:pPr>
              <w:pStyle w:val="12"/>
              <w:jc w:val="center"/>
            </w:pPr>
            <w:r>
              <w:rPr>
                <w:rFonts w:hint="eastAsia"/>
              </w:rPr>
              <w:t>1945年冬</w:t>
            </w:r>
          </w:p>
        </w:tc>
        <w:tc>
          <w:tcPr>
            <w:tcW w:w="940" w:type="pct"/>
            <w:vAlign w:val="center"/>
          </w:tcPr>
          <w:p w14:paraId="544954D3">
            <w:pPr>
              <w:pStyle w:val="12"/>
              <w:jc w:val="center"/>
              <w:rPr>
                <w:rFonts w:ascii="宋体" w:hAnsi="宋体" w:cs="宋体"/>
              </w:rPr>
            </w:pPr>
            <w:r>
              <w:rPr>
                <w:rFonts w:hint="eastAsia"/>
              </w:rPr>
              <w:t>南雄县供电</w:t>
            </w:r>
          </w:p>
          <w:p w14:paraId="003B47D2">
            <w:pPr>
              <w:pStyle w:val="12"/>
              <w:jc w:val="center"/>
            </w:pPr>
            <w:r>
              <w:rPr>
                <w:rFonts w:hint="eastAsia" w:ascii="宋体" w:hAnsi="宋体" w:cs="宋体"/>
              </w:rPr>
              <w:t>公司工人</w:t>
            </w:r>
          </w:p>
        </w:tc>
        <w:tc>
          <w:tcPr>
            <w:tcW w:w="1160" w:type="pct"/>
            <w:vAlign w:val="center"/>
          </w:tcPr>
          <w:p w14:paraId="2797A898">
            <w:pPr>
              <w:pStyle w:val="12"/>
              <w:jc w:val="left"/>
            </w:pPr>
            <w:r>
              <w:rPr>
                <w:rFonts w:hint="eastAsia"/>
              </w:rPr>
              <w:t>1969年9月18日在孔江抗旱中殉职</w:t>
            </w:r>
          </w:p>
        </w:tc>
      </w:tr>
      <w:tr w14:paraId="601484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223A93B">
            <w:pPr>
              <w:pStyle w:val="12"/>
              <w:jc w:val="center"/>
            </w:pPr>
            <w:r>
              <w:rPr>
                <w:rFonts w:hint="eastAsia"/>
              </w:rPr>
              <w:t>游桥养</w:t>
            </w:r>
          </w:p>
        </w:tc>
        <w:tc>
          <w:tcPr>
            <w:tcW w:w="388" w:type="pct"/>
            <w:vAlign w:val="center"/>
          </w:tcPr>
          <w:p w14:paraId="7E55693B">
            <w:pPr>
              <w:pStyle w:val="12"/>
              <w:jc w:val="center"/>
            </w:pPr>
            <w:r>
              <w:rPr>
                <w:rFonts w:hint="eastAsia"/>
              </w:rPr>
              <w:t>男</w:t>
            </w:r>
          </w:p>
        </w:tc>
        <w:tc>
          <w:tcPr>
            <w:tcW w:w="582" w:type="pct"/>
            <w:vAlign w:val="center"/>
          </w:tcPr>
          <w:p w14:paraId="2D32D33B">
            <w:pPr>
              <w:pStyle w:val="12"/>
              <w:jc w:val="center"/>
            </w:pPr>
            <w:r>
              <w:rPr>
                <w:rFonts w:hint="eastAsia"/>
              </w:rPr>
              <w:t>1929年</w:t>
            </w:r>
          </w:p>
        </w:tc>
        <w:tc>
          <w:tcPr>
            <w:tcW w:w="582" w:type="pct"/>
            <w:vAlign w:val="center"/>
          </w:tcPr>
          <w:p w14:paraId="1ED7AB52">
            <w:pPr>
              <w:pStyle w:val="12"/>
              <w:jc w:val="center"/>
            </w:pPr>
            <w:r>
              <w:rPr>
                <w:rFonts w:hint="eastAsia"/>
              </w:rPr>
              <w:t>百顺镇</w:t>
            </w:r>
          </w:p>
        </w:tc>
        <w:tc>
          <w:tcPr>
            <w:tcW w:w="708" w:type="pct"/>
            <w:vAlign w:val="center"/>
          </w:tcPr>
          <w:p w14:paraId="093CF881">
            <w:pPr>
              <w:pStyle w:val="12"/>
              <w:jc w:val="center"/>
            </w:pPr>
            <w:r>
              <w:rPr>
                <w:rFonts w:hint="eastAsia"/>
              </w:rPr>
              <w:t>—</w:t>
            </w:r>
          </w:p>
        </w:tc>
        <w:tc>
          <w:tcPr>
            <w:tcW w:w="940" w:type="pct"/>
            <w:vAlign w:val="center"/>
          </w:tcPr>
          <w:p w14:paraId="5882AA1A">
            <w:pPr>
              <w:pStyle w:val="12"/>
              <w:jc w:val="center"/>
              <w:rPr>
                <w:rFonts w:ascii="宋体" w:hAnsi="宋体" w:cs="宋体"/>
              </w:rPr>
            </w:pPr>
            <w:r>
              <w:rPr>
                <w:rFonts w:hint="eastAsia"/>
              </w:rPr>
              <w:t>百顺镇上木大</w:t>
            </w:r>
          </w:p>
          <w:p w14:paraId="4DD8716F">
            <w:pPr>
              <w:pStyle w:val="12"/>
              <w:jc w:val="center"/>
            </w:pPr>
            <w:r>
              <w:rPr>
                <w:rFonts w:hint="eastAsia" w:ascii="宋体" w:hAnsi="宋体" w:cs="宋体"/>
              </w:rPr>
              <w:t>队党支部副书记</w:t>
            </w:r>
          </w:p>
        </w:tc>
        <w:tc>
          <w:tcPr>
            <w:tcW w:w="1160" w:type="pct"/>
            <w:vAlign w:val="center"/>
          </w:tcPr>
          <w:p w14:paraId="7799376C">
            <w:pPr>
              <w:pStyle w:val="12"/>
              <w:jc w:val="left"/>
            </w:pPr>
            <w:r>
              <w:rPr>
                <w:rFonts w:hint="eastAsia"/>
              </w:rPr>
              <w:t>1971年10月12日在07033工程因公牺牲</w:t>
            </w:r>
          </w:p>
        </w:tc>
      </w:tr>
      <w:tr w14:paraId="6FE006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47D3B09">
            <w:pPr>
              <w:pStyle w:val="12"/>
              <w:jc w:val="center"/>
            </w:pPr>
            <w:r>
              <w:rPr>
                <w:rFonts w:hint="eastAsia"/>
              </w:rPr>
              <w:t>赖日祥</w:t>
            </w:r>
          </w:p>
        </w:tc>
        <w:tc>
          <w:tcPr>
            <w:tcW w:w="388" w:type="pct"/>
            <w:vAlign w:val="center"/>
          </w:tcPr>
          <w:p w14:paraId="5B326D0E">
            <w:pPr>
              <w:pStyle w:val="12"/>
              <w:jc w:val="center"/>
            </w:pPr>
            <w:r>
              <w:rPr>
                <w:rFonts w:hint="eastAsia"/>
              </w:rPr>
              <w:t>男</w:t>
            </w:r>
          </w:p>
        </w:tc>
        <w:tc>
          <w:tcPr>
            <w:tcW w:w="582" w:type="pct"/>
            <w:vAlign w:val="center"/>
          </w:tcPr>
          <w:p w14:paraId="2BC6247A">
            <w:pPr>
              <w:pStyle w:val="12"/>
              <w:jc w:val="center"/>
            </w:pPr>
            <w:r>
              <w:rPr>
                <w:rFonts w:hint="eastAsia"/>
              </w:rPr>
              <w:t>1958年</w:t>
            </w:r>
          </w:p>
        </w:tc>
        <w:tc>
          <w:tcPr>
            <w:tcW w:w="582" w:type="pct"/>
            <w:vAlign w:val="center"/>
          </w:tcPr>
          <w:p w14:paraId="765B31EC">
            <w:pPr>
              <w:pStyle w:val="12"/>
              <w:jc w:val="center"/>
            </w:pPr>
            <w:r>
              <w:rPr>
                <w:rFonts w:hint="eastAsia"/>
              </w:rPr>
              <w:t>乌迳镇</w:t>
            </w:r>
          </w:p>
        </w:tc>
        <w:tc>
          <w:tcPr>
            <w:tcW w:w="708" w:type="pct"/>
            <w:vAlign w:val="center"/>
          </w:tcPr>
          <w:p w14:paraId="514FF852">
            <w:pPr>
              <w:pStyle w:val="12"/>
              <w:jc w:val="center"/>
            </w:pPr>
            <w:r>
              <w:rPr>
                <w:rFonts w:hint="eastAsia"/>
              </w:rPr>
              <w:t>1978年3月</w:t>
            </w:r>
          </w:p>
        </w:tc>
        <w:tc>
          <w:tcPr>
            <w:tcW w:w="940" w:type="pct"/>
            <w:vAlign w:val="center"/>
          </w:tcPr>
          <w:p w14:paraId="1ABE3A3D">
            <w:pPr>
              <w:pStyle w:val="12"/>
              <w:jc w:val="center"/>
              <w:rPr>
                <w:rFonts w:ascii="宋体" w:hAnsi="宋体" w:cs="宋体"/>
              </w:rPr>
            </w:pPr>
            <w:r>
              <w:rPr>
                <w:rFonts w:hint="eastAsia"/>
              </w:rPr>
              <w:t>53254部队</w:t>
            </w:r>
          </w:p>
          <w:p w14:paraId="77DB59FC">
            <w:pPr>
              <w:pStyle w:val="12"/>
              <w:jc w:val="center"/>
            </w:pPr>
            <w:r>
              <w:rPr>
                <w:rFonts w:hint="eastAsia"/>
              </w:rPr>
              <w:t>83分队副班长</w:t>
            </w:r>
          </w:p>
        </w:tc>
        <w:tc>
          <w:tcPr>
            <w:tcW w:w="1160" w:type="pct"/>
            <w:vAlign w:val="center"/>
          </w:tcPr>
          <w:p w14:paraId="79B94E33">
            <w:pPr>
              <w:pStyle w:val="12"/>
              <w:jc w:val="left"/>
            </w:pPr>
            <w:r>
              <w:rPr>
                <w:rFonts w:hint="eastAsia"/>
              </w:rPr>
              <w:t>1979年2月19日在对越自卫反击战中牺牲</w:t>
            </w:r>
          </w:p>
        </w:tc>
      </w:tr>
      <w:tr w14:paraId="10BEB0C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83FADC1">
            <w:pPr>
              <w:pStyle w:val="12"/>
              <w:jc w:val="center"/>
            </w:pPr>
            <w:r>
              <w:rPr>
                <w:rFonts w:hint="eastAsia"/>
              </w:rPr>
              <w:t>陈学良</w:t>
            </w:r>
          </w:p>
        </w:tc>
        <w:tc>
          <w:tcPr>
            <w:tcW w:w="388" w:type="pct"/>
            <w:vAlign w:val="center"/>
          </w:tcPr>
          <w:p w14:paraId="5ED762BA">
            <w:pPr>
              <w:pStyle w:val="12"/>
              <w:jc w:val="center"/>
            </w:pPr>
            <w:r>
              <w:rPr>
                <w:rFonts w:hint="eastAsia"/>
              </w:rPr>
              <w:t>男</w:t>
            </w:r>
          </w:p>
        </w:tc>
        <w:tc>
          <w:tcPr>
            <w:tcW w:w="582" w:type="pct"/>
            <w:vAlign w:val="center"/>
          </w:tcPr>
          <w:p w14:paraId="05DC9550">
            <w:pPr>
              <w:pStyle w:val="12"/>
              <w:jc w:val="center"/>
            </w:pPr>
            <w:r>
              <w:rPr>
                <w:rFonts w:hint="eastAsia"/>
              </w:rPr>
              <w:t>1960年</w:t>
            </w:r>
          </w:p>
        </w:tc>
        <w:tc>
          <w:tcPr>
            <w:tcW w:w="582" w:type="pct"/>
            <w:vAlign w:val="center"/>
          </w:tcPr>
          <w:p w14:paraId="48502776">
            <w:pPr>
              <w:pStyle w:val="12"/>
              <w:jc w:val="center"/>
            </w:pPr>
            <w:r>
              <w:rPr>
                <w:rFonts w:hint="eastAsia"/>
              </w:rPr>
              <w:t>乌迳镇</w:t>
            </w:r>
          </w:p>
        </w:tc>
        <w:tc>
          <w:tcPr>
            <w:tcW w:w="708" w:type="pct"/>
            <w:vAlign w:val="center"/>
          </w:tcPr>
          <w:p w14:paraId="14030B8A">
            <w:pPr>
              <w:pStyle w:val="12"/>
              <w:jc w:val="center"/>
            </w:pPr>
            <w:r>
              <w:rPr>
                <w:rFonts w:hint="eastAsia"/>
              </w:rPr>
              <w:t>1977年12月</w:t>
            </w:r>
          </w:p>
        </w:tc>
        <w:tc>
          <w:tcPr>
            <w:tcW w:w="940" w:type="pct"/>
            <w:vAlign w:val="center"/>
          </w:tcPr>
          <w:p w14:paraId="29DED2AC">
            <w:pPr>
              <w:pStyle w:val="12"/>
              <w:jc w:val="center"/>
              <w:rPr>
                <w:rFonts w:ascii="宋体" w:hAnsi="宋体" w:cs="宋体"/>
              </w:rPr>
            </w:pPr>
            <w:r>
              <w:rPr>
                <w:rFonts w:hint="eastAsia"/>
              </w:rPr>
              <w:t>53254部队</w:t>
            </w:r>
          </w:p>
          <w:p w14:paraId="4B585380">
            <w:pPr>
              <w:pStyle w:val="12"/>
              <w:jc w:val="center"/>
            </w:pPr>
            <w:r>
              <w:rPr>
                <w:rFonts w:hint="eastAsia"/>
              </w:rPr>
              <w:t>73分队副班长</w:t>
            </w:r>
          </w:p>
        </w:tc>
        <w:tc>
          <w:tcPr>
            <w:tcW w:w="1160" w:type="pct"/>
            <w:vAlign w:val="center"/>
          </w:tcPr>
          <w:p w14:paraId="04897BAE">
            <w:pPr>
              <w:pStyle w:val="12"/>
              <w:jc w:val="left"/>
            </w:pPr>
            <w:r>
              <w:rPr>
                <w:rFonts w:hint="eastAsia"/>
              </w:rPr>
              <w:t>1979年2月19日在对越自卫反击战中牺牲</w:t>
            </w:r>
          </w:p>
        </w:tc>
      </w:tr>
      <w:tr w14:paraId="12D4A1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09CC6DA1">
            <w:pPr>
              <w:pStyle w:val="12"/>
              <w:jc w:val="center"/>
            </w:pPr>
            <w:r>
              <w:rPr>
                <w:rFonts w:hint="eastAsia"/>
              </w:rPr>
              <w:t>康桂林</w:t>
            </w:r>
          </w:p>
        </w:tc>
        <w:tc>
          <w:tcPr>
            <w:tcW w:w="388" w:type="pct"/>
            <w:vAlign w:val="center"/>
          </w:tcPr>
          <w:p w14:paraId="3D423FC2">
            <w:pPr>
              <w:pStyle w:val="12"/>
              <w:jc w:val="center"/>
            </w:pPr>
            <w:r>
              <w:rPr>
                <w:rFonts w:hint="eastAsia"/>
              </w:rPr>
              <w:t>男</w:t>
            </w:r>
          </w:p>
        </w:tc>
        <w:tc>
          <w:tcPr>
            <w:tcW w:w="582" w:type="pct"/>
            <w:vAlign w:val="center"/>
          </w:tcPr>
          <w:p w14:paraId="5D255686">
            <w:pPr>
              <w:pStyle w:val="12"/>
              <w:jc w:val="center"/>
            </w:pPr>
            <w:r>
              <w:rPr>
                <w:rFonts w:hint="eastAsia"/>
              </w:rPr>
              <w:t>1958年</w:t>
            </w:r>
          </w:p>
        </w:tc>
        <w:tc>
          <w:tcPr>
            <w:tcW w:w="582" w:type="pct"/>
            <w:vAlign w:val="center"/>
          </w:tcPr>
          <w:p w14:paraId="000C82C7">
            <w:pPr>
              <w:pStyle w:val="12"/>
              <w:jc w:val="center"/>
            </w:pPr>
            <w:r>
              <w:rPr>
                <w:rFonts w:hint="eastAsia"/>
              </w:rPr>
              <w:t>雄州镇</w:t>
            </w:r>
          </w:p>
        </w:tc>
        <w:tc>
          <w:tcPr>
            <w:tcW w:w="708" w:type="pct"/>
            <w:vAlign w:val="center"/>
          </w:tcPr>
          <w:p w14:paraId="3A5001EA">
            <w:pPr>
              <w:pStyle w:val="12"/>
              <w:jc w:val="center"/>
            </w:pPr>
            <w:r>
              <w:rPr>
                <w:rFonts w:hint="eastAsia"/>
              </w:rPr>
              <w:t>1978年3月</w:t>
            </w:r>
          </w:p>
        </w:tc>
        <w:tc>
          <w:tcPr>
            <w:tcW w:w="940" w:type="pct"/>
            <w:vAlign w:val="center"/>
          </w:tcPr>
          <w:p w14:paraId="7AD5CECA">
            <w:pPr>
              <w:pStyle w:val="12"/>
              <w:jc w:val="center"/>
              <w:rPr>
                <w:rFonts w:ascii="宋体" w:hAnsi="宋体" w:cs="宋体"/>
              </w:rPr>
            </w:pPr>
            <w:r>
              <w:rPr>
                <w:rFonts w:hint="eastAsia"/>
              </w:rPr>
              <w:t>53251部队</w:t>
            </w:r>
          </w:p>
          <w:p w14:paraId="763273F8">
            <w:pPr>
              <w:pStyle w:val="12"/>
              <w:jc w:val="center"/>
            </w:pPr>
            <w:r>
              <w:rPr>
                <w:rFonts w:hint="eastAsia"/>
              </w:rPr>
              <w:t>78分队副班长</w:t>
            </w:r>
          </w:p>
        </w:tc>
        <w:tc>
          <w:tcPr>
            <w:tcW w:w="1160" w:type="pct"/>
            <w:vAlign w:val="center"/>
          </w:tcPr>
          <w:p w14:paraId="033F4EA2">
            <w:pPr>
              <w:pStyle w:val="12"/>
              <w:jc w:val="left"/>
            </w:pPr>
            <w:r>
              <w:rPr>
                <w:rFonts w:hint="eastAsia"/>
              </w:rPr>
              <w:t>1979年2月21日在对越自卫反击战中牺牲</w:t>
            </w:r>
          </w:p>
        </w:tc>
      </w:tr>
      <w:tr w14:paraId="252035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86243AE">
            <w:pPr>
              <w:pStyle w:val="12"/>
              <w:jc w:val="center"/>
            </w:pPr>
            <w:r>
              <w:rPr>
                <w:rFonts w:hint="eastAsia"/>
              </w:rPr>
              <w:t>曾庆荣</w:t>
            </w:r>
          </w:p>
        </w:tc>
        <w:tc>
          <w:tcPr>
            <w:tcW w:w="388" w:type="pct"/>
            <w:vAlign w:val="center"/>
          </w:tcPr>
          <w:p w14:paraId="2566085C">
            <w:pPr>
              <w:pStyle w:val="12"/>
              <w:jc w:val="center"/>
            </w:pPr>
            <w:r>
              <w:rPr>
                <w:rFonts w:hint="eastAsia"/>
              </w:rPr>
              <w:t>男</w:t>
            </w:r>
          </w:p>
        </w:tc>
        <w:tc>
          <w:tcPr>
            <w:tcW w:w="582" w:type="pct"/>
            <w:vAlign w:val="center"/>
          </w:tcPr>
          <w:p w14:paraId="152B3CBD">
            <w:pPr>
              <w:pStyle w:val="12"/>
              <w:jc w:val="center"/>
            </w:pPr>
            <w:r>
              <w:rPr>
                <w:rFonts w:hint="eastAsia"/>
              </w:rPr>
              <w:t>1958年</w:t>
            </w:r>
          </w:p>
        </w:tc>
        <w:tc>
          <w:tcPr>
            <w:tcW w:w="582" w:type="pct"/>
            <w:vAlign w:val="center"/>
          </w:tcPr>
          <w:p w14:paraId="29785081">
            <w:pPr>
              <w:pStyle w:val="12"/>
              <w:jc w:val="center"/>
            </w:pPr>
            <w:r>
              <w:rPr>
                <w:rFonts w:hint="eastAsia"/>
              </w:rPr>
              <w:t>邓坊镇</w:t>
            </w:r>
          </w:p>
        </w:tc>
        <w:tc>
          <w:tcPr>
            <w:tcW w:w="708" w:type="pct"/>
            <w:vAlign w:val="center"/>
          </w:tcPr>
          <w:p w14:paraId="3B814FE7">
            <w:pPr>
              <w:pStyle w:val="12"/>
              <w:jc w:val="center"/>
            </w:pPr>
            <w:r>
              <w:rPr>
                <w:rFonts w:hint="eastAsia"/>
              </w:rPr>
              <w:t>1978年3月</w:t>
            </w:r>
          </w:p>
        </w:tc>
        <w:tc>
          <w:tcPr>
            <w:tcW w:w="940" w:type="pct"/>
            <w:vAlign w:val="center"/>
          </w:tcPr>
          <w:p w14:paraId="16C2E7AF">
            <w:pPr>
              <w:pStyle w:val="12"/>
              <w:jc w:val="center"/>
              <w:rPr>
                <w:rFonts w:ascii="宋体" w:hAnsi="宋体" w:cs="宋体"/>
              </w:rPr>
            </w:pPr>
            <w:r>
              <w:rPr>
                <w:rFonts w:hint="eastAsia"/>
              </w:rPr>
              <w:t>53253部队</w:t>
            </w:r>
          </w:p>
          <w:p w14:paraId="273C176E">
            <w:pPr>
              <w:pStyle w:val="12"/>
              <w:jc w:val="center"/>
            </w:pPr>
            <w:r>
              <w:rPr>
                <w:rFonts w:hint="eastAsia"/>
              </w:rPr>
              <w:t>33分队战士</w:t>
            </w:r>
          </w:p>
        </w:tc>
        <w:tc>
          <w:tcPr>
            <w:tcW w:w="1160" w:type="pct"/>
            <w:vAlign w:val="center"/>
          </w:tcPr>
          <w:p w14:paraId="5FBEE1F0">
            <w:pPr>
              <w:pStyle w:val="12"/>
              <w:jc w:val="left"/>
            </w:pPr>
            <w:r>
              <w:rPr>
                <w:rFonts w:hint="eastAsia"/>
              </w:rPr>
              <w:t>1979年3月17日在对越自卫反击战中牺牲</w:t>
            </w:r>
          </w:p>
        </w:tc>
      </w:tr>
      <w:tr w14:paraId="34282A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19DF8A8B">
            <w:pPr>
              <w:pStyle w:val="12"/>
              <w:jc w:val="center"/>
            </w:pPr>
            <w:r>
              <w:rPr>
                <w:rFonts w:hint="eastAsia"/>
              </w:rPr>
              <w:t>廖淑华</w:t>
            </w:r>
          </w:p>
        </w:tc>
        <w:tc>
          <w:tcPr>
            <w:tcW w:w="388" w:type="pct"/>
            <w:vAlign w:val="center"/>
          </w:tcPr>
          <w:p w14:paraId="6B6E409E">
            <w:pPr>
              <w:pStyle w:val="12"/>
              <w:jc w:val="center"/>
            </w:pPr>
            <w:r>
              <w:rPr>
                <w:rFonts w:hint="eastAsia"/>
              </w:rPr>
              <w:t>男</w:t>
            </w:r>
          </w:p>
        </w:tc>
        <w:tc>
          <w:tcPr>
            <w:tcW w:w="582" w:type="pct"/>
            <w:vAlign w:val="center"/>
          </w:tcPr>
          <w:p w14:paraId="6DC0B3EA">
            <w:pPr>
              <w:pStyle w:val="12"/>
              <w:jc w:val="center"/>
            </w:pPr>
            <w:r>
              <w:rPr>
                <w:rFonts w:hint="eastAsia"/>
              </w:rPr>
              <w:t>1961年</w:t>
            </w:r>
          </w:p>
        </w:tc>
        <w:tc>
          <w:tcPr>
            <w:tcW w:w="582" w:type="pct"/>
            <w:vAlign w:val="center"/>
          </w:tcPr>
          <w:p w14:paraId="7039F8F7">
            <w:pPr>
              <w:pStyle w:val="12"/>
              <w:jc w:val="center"/>
            </w:pPr>
            <w:r>
              <w:rPr>
                <w:rFonts w:hint="eastAsia"/>
              </w:rPr>
              <w:t>雄州镇</w:t>
            </w:r>
          </w:p>
        </w:tc>
        <w:tc>
          <w:tcPr>
            <w:tcW w:w="708" w:type="pct"/>
            <w:vAlign w:val="center"/>
          </w:tcPr>
          <w:p w14:paraId="20640347">
            <w:pPr>
              <w:pStyle w:val="12"/>
              <w:jc w:val="center"/>
            </w:pPr>
            <w:r>
              <w:rPr>
                <w:rFonts w:hint="eastAsia"/>
              </w:rPr>
              <w:t>1980年1月</w:t>
            </w:r>
          </w:p>
        </w:tc>
        <w:tc>
          <w:tcPr>
            <w:tcW w:w="940" w:type="pct"/>
            <w:vAlign w:val="center"/>
          </w:tcPr>
          <w:p w14:paraId="409ACF1D">
            <w:pPr>
              <w:pStyle w:val="12"/>
              <w:jc w:val="center"/>
              <w:rPr>
                <w:rFonts w:ascii="宋体" w:hAnsi="宋体" w:cs="宋体"/>
              </w:rPr>
            </w:pPr>
            <w:r>
              <w:rPr>
                <w:rFonts w:hint="eastAsia"/>
              </w:rPr>
              <w:t>广西壮族自治</w:t>
            </w:r>
          </w:p>
          <w:p w14:paraId="3EE7EB76">
            <w:pPr>
              <w:pStyle w:val="12"/>
              <w:jc w:val="center"/>
              <w:rPr>
                <w:rFonts w:ascii="宋体" w:hAnsi="宋体" w:cs="宋体"/>
              </w:rPr>
            </w:pPr>
            <w:r>
              <w:rPr>
                <w:rFonts w:hint="eastAsia" w:ascii="宋体" w:hAnsi="宋体" w:cs="宋体"/>
              </w:rPr>
              <w:t>区边防九团六</w:t>
            </w:r>
          </w:p>
          <w:p w14:paraId="5DF983A0">
            <w:pPr>
              <w:pStyle w:val="12"/>
              <w:jc w:val="center"/>
            </w:pPr>
            <w:r>
              <w:rPr>
                <w:rFonts w:hint="eastAsia" w:ascii="宋体" w:hAnsi="宋体" w:cs="宋体"/>
              </w:rPr>
              <w:t>连副班长</w:t>
            </w:r>
          </w:p>
        </w:tc>
        <w:tc>
          <w:tcPr>
            <w:tcW w:w="1160" w:type="pct"/>
            <w:vMerge w:val="restart"/>
            <w:vAlign w:val="center"/>
          </w:tcPr>
          <w:p w14:paraId="2420740D">
            <w:pPr>
              <w:pStyle w:val="12"/>
              <w:jc w:val="left"/>
            </w:pPr>
            <w:r>
              <w:rPr>
                <w:rFonts w:hint="eastAsia"/>
              </w:rPr>
              <w:t>1981年5月16日在广西法卡山对越自卫反击战中牺牲</w:t>
            </w:r>
          </w:p>
        </w:tc>
      </w:tr>
      <w:tr w14:paraId="33418AE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67043D65">
            <w:pPr>
              <w:pStyle w:val="12"/>
              <w:jc w:val="center"/>
            </w:pPr>
            <w:r>
              <w:rPr>
                <w:rFonts w:hint="eastAsia"/>
              </w:rPr>
              <w:t>叶永宁</w:t>
            </w:r>
          </w:p>
        </w:tc>
        <w:tc>
          <w:tcPr>
            <w:tcW w:w="388" w:type="pct"/>
            <w:vAlign w:val="center"/>
          </w:tcPr>
          <w:p w14:paraId="1FA46F58">
            <w:pPr>
              <w:pStyle w:val="12"/>
              <w:jc w:val="center"/>
            </w:pPr>
            <w:r>
              <w:rPr>
                <w:rFonts w:hint="eastAsia"/>
              </w:rPr>
              <w:t>男</w:t>
            </w:r>
          </w:p>
        </w:tc>
        <w:tc>
          <w:tcPr>
            <w:tcW w:w="582" w:type="pct"/>
            <w:vAlign w:val="center"/>
          </w:tcPr>
          <w:p w14:paraId="440B4FC1">
            <w:pPr>
              <w:pStyle w:val="12"/>
              <w:jc w:val="center"/>
            </w:pPr>
            <w:r>
              <w:rPr>
                <w:rFonts w:hint="eastAsia"/>
              </w:rPr>
              <w:t>1962年</w:t>
            </w:r>
          </w:p>
        </w:tc>
        <w:tc>
          <w:tcPr>
            <w:tcW w:w="582" w:type="pct"/>
            <w:vAlign w:val="center"/>
          </w:tcPr>
          <w:p w14:paraId="3200F66C">
            <w:pPr>
              <w:pStyle w:val="12"/>
              <w:jc w:val="center"/>
            </w:pPr>
            <w:r>
              <w:rPr>
                <w:rFonts w:hint="eastAsia"/>
              </w:rPr>
              <w:t>雄州镇</w:t>
            </w:r>
          </w:p>
        </w:tc>
        <w:tc>
          <w:tcPr>
            <w:tcW w:w="708" w:type="pct"/>
            <w:vAlign w:val="center"/>
          </w:tcPr>
          <w:p w14:paraId="07E5E58A">
            <w:pPr>
              <w:pStyle w:val="12"/>
              <w:jc w:val="center"/>
            </w:pPr>
            <w:r>
              <w:rPr>
                <w:rFonts w:hint="eastAsia"/>
              </w:rPr>
              <w:t>1980年1月</w:t>
            </w:r>
          </w:p>
        </w:tc>
        <w:tc>
          <w:tcPr>
            <w:tcW w:w="940" w:type="pct"/>
            <w:vAlign w:val="center"/>
          </w:tcPr>
          <w:p w14:paraId="213AF7FA">
            <w:pPr>
              <w:pStyle w:val="12"/>
              <w:jc w:val="center"/>
              <w:rPr>
                <w:rFonts w:ascii="宋体" w:hAnsi="宋体" w:cs="宋体"/>
              </w:rPr>
            </w:pPr>
            <w:r>
              <w:rPr>
                <w:rFonts w:hint="eastAsia"/>
              </w:rPr>
              <w:t>广西壮族自治</w:t>
            </w:r>
          </w:p>
          <w:p w14:paraId="4D762808">
            <w:pPr>
              <w:pStyle w:val="12"/>
              <w:jc w:val="center"/>
              <w:rPr>
                <w:rFonts w:ascii="宋体" w:hAnsi="宋体" w:cs="宋体"/>
              </w:rPr>
            </w:pPr>
            <w:r>
              <w:rPr>
                <w:rFonts w:hint="eastAsia" w:ascii="宋体" w:hAnsi="宋体" w:cs="宋体"/>
              </w:rPr>
              <w:t>区边防九团四</w:t>
            </w:r>
          </w:p>
          <w:p w14:paraId="2FD37350">
            <w:pPr>
              <w:pStyle w:val="12"/>
              <w:jc w:val="center"/>
            </w:pPr>
            <w:r>
              <w:rPr>
                <w:rFonts w:hint="eastAsia" w:ascii="宋体" w:hAnsi="宋体" w:cs="宋体"/>
              </w:rPr>
              <w:t>连战士</w:t>
            </w:r>
          </w:p>
        </w:tc>
        <w:tc>
          <w:tcPr>
            <w:tcW w:w="1160" w:type="pct"/>
            <w:vMerge w:val="continue"/>
            <w:vAlign w:val="center"/>
          </w:tcPr>
          <w:p w14:paraId="1370B10C">
            <w:pPr>
              <w:pStyle w:val="12"/>
              <w:jc w:val="left"/>
            </w:pPr>
          </w:p>
        </w:tc>
      </w:tr>
      <w:tr w14:paraId="32824E3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3782A53">
            <w:pPr>
              <w:pStyle w:val="12"/>
              <w:jc w:val="center"/>
            </w:pPr>
            <w:r>
              <w:rPr>
                <w:rFonts w:hint="eastAsia"/>
              </w:rPr>
              <w:t>罗  亮</w:t>
            </w:r>
          </w:p>
        </w:tc>
        <w:tc>
          <w:tcPr>
            <w:tcW w:w="388" w:type="pct"/>
            <w:vAlign w:val="center"/>
          </w:tcPr>
          <w:p w14:paraId="5AFD08BF">
            <w:pPr>
              <w:pStyle w:val="12"/>
              <w:jc w:val="center"/>
            </w:pPr>
            <w:r>
              <w:rPr>
                <w:rFonts w:hint="eastAsia"/>
              </w:rPr>
              <w:t>男</w:t>
            </w:r>
          </w:p>
        </w:tc>
        <w:tc>
          <w:tcPr>
            <w:tcW w:w="582" w:type="pct"/>
            <w:vAlign w:val="center"/>
          </w:tcPr>
          <w:p w14:paraId="2BFBCC6B">
            <w:pPr>
              <w:pStyle w:val="12"/>
              <w:jc w:val="center"/>
            </w:pPr>
            <w:r>
              <w:rPr>
                <w:rFonts w:hint="eastAsia"/>
              </w:rPr>
              <w:t>1962年</w:t>
            </w:r>
          </w:p>
        </w:tc>
        <w:tc>
          <w:tcPr>
            <w:tcW w:w="582" w:type="pct"/>
            <w:vAlign w:val="center"/>
          </w:tcPr>
          <w:p w14:paraId="5A8E7BFE">
            <w:pPr>
              <w:pStyle w:val="12"/>
              <w:jc w:val="center"/>
            </w:pPr>
            <w:r>
              <w:rPr>
                <w:rFonts w:hint="eastAsia"/>
              </w:rPr>
              <w:t>湖南省</w:t>
            </w:r>
            <w:r>
              <w:rPr>
                <w:rFonts w:hint="eastAsia" w:ascii="宋体" w:hAnsi="宋体" w:cs="宋体"/>
              </w:rPr>
              <w:t>邹东县</w:t>
            </w:r>
          </w:p>
        </w:tc>
        <w:tc>
          <w:tcPr>
            <w:tcW w:w="708" w:type="pct"/>
            <w:vAlign w:val="center"/>
          </w:tcPr>
          <w:p w14:paraId="4695FF86">
            <w:pPr>
              <w:pStyle w:val="12"/>
              <w:jc w:val="center"/>
            </w:pPr>
            <w:r>
              <w:rPr>
                <w:rFonts w:hint="eastAsia"/>
              </w:rPr>
              <w:t>1980年1月</w:t>
            </w:r>
          </w:p>
        </w:tc>
        <w:tc>
          <w:tcPr>
            <w:tcW w:w="940" w:type="pct"/>
            <w:vAlign w:val="center"/>
          </w:tcPr>
          <w:p w14:paraId="4341EA64">
            <w:pPr>
              <w:pStyle w:val="12"/>
              <w:jc w:val="center"/>
              <w:rPr>
                <w:rFonts w:ascii="宋体" w:hAnsi="宋体" w:cs="宋体"/>
              </w:rPr>
            </w:pPr>
            <w:r>
              <w:rPr>
                <w:rFonts w:hint="eastAsia"/>
              </w:rPr>
              <w:t>广西壮族自治</w:t>
            </w:r>
          </w:p>
          <w:p w14:paraId="26B9B9A3">
            <w:pPr>
              <w:pStyle w:val="12"/>
              <w:jc w:val="center"/>
              <w:rPr>
                <w:rFonts w:ascii="宋体" w:hAnsi="宋体" w:cs="宋体"/>
              </w:rPr>
            </w:pPr>
            <w:r>
              <w:rPr>
                <w:rFonts w:hint="eastAsia" w:ascii="宋体" w:hAnsi="宋体" w:cs="宋体"/>
              </w:rPr>
              <w:t>区边防九团二</w:t>
            </w:r>
          </w:p>
          <w:p w14:paraId="59536803">
            <w:pPr>
              <w:pStyle w:val="12"/>
              <w:jc w:val="center"/>
            </w:pPr>
            <w:r>
              <w:rPr>
                <w:rFonts w:hint="eastAsia" w:ascii="宋体" w:hAnsi="宋体" w:cs="宋体"/>
              </w:rPr>
              <w:t>连战士</w:t>
            </w:r>
          </w:p>
        </w:tc>
        <w:tc>
          <w:tcPr>
            <w:tcW w:w="1160" w:type="pct"/>
            <w:vAlign w:val="center"/>
          </w:tcPr>
          <w:p w14:paraId="3DD428CA">
            <w:pPr>
              <w:pStyle w:val="12"/>
              <w:jc w:val="left"/>
            </w:pPr>
            <w:r>
              <w:rPr>
                <w:rFonts w:hint="eastAsia"/>
              </w:rPr>
              <w:t>1981年5月16日在广西法卡山对越自卫反击战中牺牲</w:t>
            </w:r>
          </w:p>
        </w:tc>
      </w:tr>
      <w:tr w14:paraId="49DD82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3F0E1EC9">
            <w:pPr>
              <w:pStyle w:val="12"/>
              <w:jc w:val="center"/>
            </w:pPr>
            <w:r>
              <w:rPr>
                <w:rFonts w:hint="eastAsia"/>
              </w:rPr>
              <w:t>王东平</w:t>
            </w:r>
          </w:p>
        </w:tc>
        <w:tc>
          <w:tcPr>
            <w:tcW w:w="388" w:type="pct"/>
            <w:vAlign w:val="center"/>
          </w:tcPr>
          <w:p w14:paraId="31D8BD3A">
            <w:pPr>
              <w:pStyle w:val="12"/>
              <w:jc w:val="center"/>
            </w:pPr>
            <w:r>
              <w:rPr>
                <w:rFonts w:hint="eastAsia"/>
              </w:rPr>
              <w:t>男</w:t>
            </w:r>
          </w:p>
        </w:tc>
        <w:tc>
          <w:tcPr>
            <w:tcW w:w="582" w:type="pct"/>
            <w:vAlign w:val="center"/>
          </w:tcPr>
          <w:p w14:paraId="6BD52DD9">
            <w:pPr>
              <w:pStyle w:val="12"/>
              <w:jc w:val="center"/>
            </w:pPr>
            <w:r>
              <w:rPr>
                <w:rFonts w:hint="eastAsia"/>
              </w:rPr>
              <w:t>1961年</w:t>
            </w:r>
          </w:p>
        </w:tc>
        <w:tc>
          <w:tcPr>
            <w:tcW w:w="582" w:type="pct"/>
            <w:vAlign w:val="center"/>
          </w:tcPr>
          <w:p w14:paraId="3CBF0309">
            <w:pPr>
              <w:pStyle w:val="12"/>
              <w:jc w:val="center"/>
            </w:pPr>
            <w:r>
              <w:rPr>
                <w:rFonts w:hint="eastAsia"/>
              </w:rPr>
              <w:t>湖北省</w:t>
            </w:r>
            <w:r>
              <w:rPr>
                <w:rFonts w:hint="eastAsia" w:ascii="宋体" w:hAnsi="宋体" w:cs="宋体"/>
              </w:rPr>
              <w:t>蕲春县</w:t>
            </w:r>
          </w:p>
        </w:tc>
        <w:tc>
          <w:tcPr>
            <w:tcW w:w="708" w:type="pct"/>
            <w:vAlign w:val="center"/>
          </w:tcPr>
          <w:p w14:paraId="3283C987">
            <w:pPr>
              <w:pStyle w:val="12"/>
              <w:jc w:val="center"/>
            </w:pPr>
            <w:r>
              <w:rPr>
                <w:rFonts w:hint="eastAsia"/>
              </w:rPr>
              <w:t>1980年1月</w:t>
            </w:r>
          </w:p>
        </w:tc>
        <w:tc>
          <w:tcPr>
            <w:tcW w:w="940" w:type="pct"/>
            <w:vAlign w:val="center"/>
          </w:tcPr>
          <w:p w14:paraId="509DAE30">
            <w:pPr>
              <w:pStyle w:val="12"/>
              <w:jc w:val="center"/>
              <w:rPr>
                <w:rFonts w:ascii="宋体" w:hAnsi="宋体" w:cs="宋体"/>
              </w:rPr>
            </w:pPr>
            <w:r>
              <w:rPr>
                <w:rFonts w:hint="eastAsia"/>
              </w:rPr>
              <w:t>广西壮族自治</w:t>
            </w:r>
          </w:p>
          <w:p w14:paraId="26C3F3E3">
            <w:pPr>
              <w:pStyle w:val="12"/>
              <w:jc w:val="center"/>
              <w:rPr>
                <w:rFonts w:ascii="宋体" w:hAnsi="宋体" w:cs="宋体"/>
              </w:rPr>
            </w:pPr>
            <w:r>
              <w:rPr>
                <w:rFonts w:hint="eastAsia" w:ascii="宋体" w:hAnsi="宋体" w:cs="宋体"/>
              </w:rPr>
              <w:t>区边防九团七</w:t>
            </w:r>
          </w:p>
          <w:p w14:paraId="62C937B8">
            <w:pPr>
              <w:pStyle w:val="12"/>
              <w:jc w:val="center"/>
            </w:pPr>
            <w:r>
              <w:rPr>
                <w:rFonts w:hint="eastAsia" w:ascii="宋体" w:hAnsi="宋体" w:cs="宋体"/>
              </w:rPr>
              <w:t>连战士</w:t>
            </w:r>
          </w:p>
        </w:tc>
        <w:tc>
          <w:tcPr>
            <w:tcW w:w="1160" w:type="pct"/>
            <w:vAlign w:val="center"/>
          </w:tcPr>
          <w:p w14:paraId="6F2590B5">
            <w:pPr>
              <w:pStyle w:val="12"/>
              <w:jc w:val="left"/>
            </w:pPr>
            <w:r>
              <w:rPr>
                <w:rFonts w:hint="eastAsia"/>
              </w:rPr>
              <w:t>1981年6月8日在广西法卡山对越自卫反击战中牺牲</w:t>
            </w:r>
          </w:p>
        </w:tc>
      </w:tr>
      <w:tr w14:paraId="356AC0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81CEA9C">
            <w:pPr>
              <w:pStyle w:val="12"/>
              <w:jc w:val="center"/>
            </w:pPr>
            <w:r>
              <w:rPr>
                <w:rFonts w:hint="eastAsia"/>
              </w:rPr>
              <w:t>潘家仁</w:t>
            </w:r>
          </w:p>
        </w:tc>
        <w:tc>
          <w:tcPr>
            <w:tcW w:w="388" w:type="pct"/>
            <w:vAlign w:val="center"/>
          </w:tcPr>
          <w:p w14:paraId="3EDFD80E">
            <w:pPr>
              <w:pStyle w:val="12"/>
              <w:jc w:val="center"/>
            </w:pPr>
            <w:r>
              <w:rPr>
                <w:rFonts w:hint="eastAsia"/>
              </w:rPr>
              <w:t>男</w:t>
            </w:r>
          </w:p>
        </w:tc>
        <w:tc>
          <w:tcPr>
            <w:tcW w:w="582" w:type="pct"/>
            <w:vAlign w:val="center"/>
          </w:tcPr>
          <w:p w14:paraId="7DA1946E">
            <w:pPr>
              <w:pStyle w:val="12"/>
              <w:jc w:val="center"/>
            </w:pPr>
            <w:r>
              <w:rPr>
                <w:rFonts w:hint="eastAsia"/>
              </w:rPr>
              <w:t>1950年12月</w:t>
            </w:r>
          </w:p>
        </w:tc>
        <w:tc>
          <w:tcPr>
            <w:tcW w:w="582" w:type="pct"/>
            <w:vAlign w:val="center"/>
          </w:tcPr>
          <w:p w14:paraId="2040F548">
            <w:pPr>
              <w:pStyle w:val="12"/>
              <w:jc w:val="center"/>
            </w:pPr>
            <w:r>
              <w:rPr>
                <w:rFonts w:hint="eastAsia"/>
              </w:rPr>
              <w:t>湖南省</w:t>
            </w:r>
            <w:r>
              <w:rPr>
                <w:rFonts w:hint="eastAsia" w:ascii="宋体" w:hAnsi="宋体" w:cs="宋体"/>
              </w:rPr>
              <w:t>南  县</w:t>
            </w:r>
          </w:p>
        </w:tc>
        <w:tc>
          <w:tcPr>
            <w:tcW w:w="708" w:type="pct"/>
            <w:vAlign w:val="center"/>
          </w:tcPr>
          <w:p w14:paraId="314553B8">
            <w:pPr>
              <w:pStyle w:val="12"/>
              <w:jc w:val="center"/>
            </w:pPr>
            <w:r>
              <w:rPr>
                <w:rFonts w:hint="eastAsia"/>
              </w:rPr>
              <w:t>1968年</w:t>
            </w:r>
          </w:p>
        </w:tc>
        <w:tc>
          <w:tcPr>
            <w:tcW w:w="940" w:type="pct"/>
            <w:vAlign w:val="center"/>
          </w:tcPr>
          <w:p w14:paraId="06A73487">
            <w:pPr>
              <w:pStyle w:val="12"/>
              <w:jc w:val="center"/>
              <w:rPr>
                <w:rFonts w:ascii="宋体" w:hAnsi="宋体" w:cs="宋体"/>
              </w:rPr>
            </w:pPr>
            <w:r>
              <w:rPr>
                <w:rFonts w:hint="eastAsia"/>
              </w:rPr>
              <w:t>南雄县武装</w:t>
            </w:r>
          </w:p>
          <w:p w14:paraId="62FA166E">
            <w:pPr>
              <w:pStyle w:val="12"/>
              <w:jc w:val="center"/>
            </w:pPr>
            <w:r>
              <w:rPr>
                <w:rFonts w:hint="eastAsia" w:ascii="宋体" w:hAnsi="宋体" w:cs="宋体"/>
              </w:rPr>
              <w:t>部军事科长</w:t>
            </w:r>
          </w:p>
        </w:tc>
        <w:tc>
          <w:tcPr>
            <w:tcW w:w="1160" w:type="pct"/>
            <w:vAlign w:val="center"/>
          </w:tcPr>
          <w:p w14:paraId="44116DFC">
            <w:pPr>
              <w:pStyle w:val="12"/>
              <w:jc w:val="left"/>
            </w:pPr>
            <w:r>
              <w:rPr>
                <w:rFonts w:hint="eastAsia"/>
              </w:rPr>
              <w:t>1986年9月21日在扑灭棉土窝特大山火中牺牲</w:t>
            </w:r>
          </w:p>
        </w:tc>
      </w:tr>
      <w:tr w14:paraId="19952E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44A0424">
            <w:pPr>
              <w:pStyle w:val="12"/>
              <w:jc w:val="center"/>
            </w:pPr>
            <w:r>
              <w:rPr>
                <w:rFonts w:hint="eastAsia"/>
              </w:rPr>
              <w:t>叶剑忠</w:t>
            </w:r>
          </w:p>
        </w:tc>
        <w:tc>
          <w:tcPr>
            <w:tcW w:w="388" w:type="pct"/>
            <w:vAlign w:val="center"/>
          </w:tcPr>
          <w:p w14:paraId="58583699">
            <w:pPr>
              <w:pStyle w:val="12"/>
              <w:jc w:val="center"/>
            </w:pPr>
            <w:r>
              <w:rPr>
                <w:rFonts w:hint="eastAsia"/>
              </w:rPr>
              <w:t>男</w:t>
            </w:r>
          </w:p>
        </w:tc>
        <w:tc>
          <w:tcPr>
            <w:tcW w:w="582" w:type="pct"/>
            <w:vAlign w:val="center"/>
          </w:tcPr>
          <w:p w14:paraId="5F2B2A50">
            <w:pPr>
              <w:pStyle w:val="12"/>
              <w:jc w:val="center"/>
            </w:pPr>
            <w:r>
              <w:rPr>
                <w:rFonts w:hint="eastAsia"/>
              </w:rPr>
              <w:t>1958年</w:t>
            </w:r>
          </w:p>
        </w:tc>
        <w:tc>
          <w:tcPr>
            <w:tcW w:w="582" w:type="pct"/>
            <w:vAlign w:val="center"/>
          </w:tcPr>
          <w:p w14:paraId="105BCFD1">
            <w:pPr>
              <w:pStyle w:val="12"/>
              <w:jc w:val="center"/>
            </w:pPr>
            <w:r>
              <w:rPr>
                <w:rFonts w:hint="eastAsia"/>
              </w:rPr>
              <w:t>坪田乡</w:t>
            </w:r>
          </w:p>
        </w:tc>
        <w:tc>
          <w:tcPr>
            <w:tcW w:w="708" w:type="pct"/>
            <w:vAlign w:val="center"/>
          </w:tcPr>
          <w:p w14:paraId="724B5D26">
            <w:pPr>
              <w:pStyle w:val="12"/>
              <w:jc w:val="center"/>
            </w:pPr>
            <w:r>
              <w:rPr>
                <w:rFonts w:hint="eastAsia"/>
              </w:rPr>
              <w:t>1978年3月</w:t>
            </w:r>
          </w:p>
        </w:tc>
        <w:tc>
          <w:tcPr>
            <w:tcW w:w="940" w:type="pct"/>
            <w:vAlign w:val="center"/>
          </w:tcPr>
          <w:p w14:paraId="609BB55A">
            <w:pPr>
              <w:pStyle w:val="12"/>
              <w:jc w:val="center"/>
              <w:rPr>
                <w:rFonts w:ascii="宋体" w:hAnsi="宋体" w:cs="宋体"/>
              </w:rPr>
            </w:pPr>
            <w:r>
              <w:rPr>
                <w:rFonts w:hint="eastAsia"/>
              </w:rPr>
              <w:t>广州军区守备</w:t>
            </w:r>
          </w:p>
          <w:p w14:paraId="5B281EE2">
            <w:pPr>
              <w:pStyle w:val="12"/>
              <w:jc w:val="center"/>
            </w:pPr>
            <w:r>
              <w:rPr>
                <w:rFonts w:hint="eastAsia"/>
              </w:rPr>
              <w:t>13团13连指导员</w:t>
            </w:r>
          </w:p>
        </w:tc>
        <w:tc>
          <w:tcPr>
            <w:tcW w:w="1160" w:type="pct"/>
            <w:vAlign w:val="center"/>
          </w:tcPr>
          <w:p w14:paraId="5AB2DBAF">
            <w:pPr>
              <w:pStyle w:val="12"/>
              <w:jc w:val="left"/>
            </w:pPr>
            <w:r>
              <w:rPr>
                <w:rFonts w:hint="eastAsia"/>
              </w:rPr>
              <w:t>1989年3月2日在广西庭毫山战备施工中牺牲</w:t>
            </w:r>
          </w:p>
        </w:tc>
      </w:tr>
      <w:tr w14:paraId="0E9B13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2B2F2896">
            <w:pPr>
              <w:pStyle w:val="12"/>
              <w:jc w:val="center"/>
            </w:pPr>
            <w:r>
              <w:rPr>
                <w:rFonts w:hint="eastAsia"/>
              </w:rPr>
              <w:t>刘玉英</w:t>
            </w:r>
          </w:p>
        </w:tc>
        <w:tc>
          <w:tcPr>
            <w:tcW w:w="388" w:type="pct"/>
            <w:vAlign w:val="center"/>
          </w:tcPr>
          <w:p w14:paraId="72AB69A6">
            <w:pPr>
              <w:pStyle w:val="12"/>
              <w:jc w:val="center"/>
            </w:pPr>
            <w:r>
              <w:rPr>
                <w:rFonts w:hint="eastAsia"/>
              </w:rPr>
              <w:t>女</w:t>
            </w:r>
          </w:p>
        </w:tc>
        <w:tc>
          <w:tcPr>
            <w:tcW w:w="582" w:type="pct"/>
            <w:vAlign w:val="center"/>
          </w:tcPr>
          <w:p w14:paraId="62E845FA">
            <w:pPr>
              <w:pStyle w:val="12"/>
              <w:jc w:val="center"/>
            </w:pPr>
            <w:r>
              <w:rPr>
                <w:rFonts w:hint="eastAsia"/>
              </w:rPr>
              <w:t>1962年</w:t>
            </w:r>
          </w:p>
        </w:tc>
        <w:tc>
          <w:tcPr>
            <w:tcW w:w="582" w:type="pct"/>
            <w:vAlign w:val="center"/>
          </w:tcPr>
          <w:p w14:paraId="293068AD">
            <w:pPr>
              <w:pStyle w:val="12"/>
              <w:jc w:val="center"/>
            </w:pPr>
            <w:r>
              <w:rPr>
                <w:rFonts w:hint="eastAsia"/>
              </w:rPr>
              <w:t>雄州镇</w:t>
            </w:r>
          </w:p>
        </w:tc>
        <w:tc>
          <w:tcPr>
            <w:tcW w:w="708" w:type="pct"/>
            <w:vAlign w:val="center"/>
          </w:tcPr>
          <w:p w14:paraId="59B3AF39">
            <w:pPr>
              <w:pStyle w:val="12"/>
              <w:jc w:val="center"/>
            </w:pPr>
            <w:r>
              <w:rPr>
                <w:rFonts w:hint="eastAsia"/>
              </w:rPr>
              <w:t>1995年</w:t>
            </w:r>
          </w:p>
        </w:tc>
        <w:tc>
          <w:tcPr>
            <w:tcW w:w="940" w:type="pct"/>
            <w:vAlign w:val="center"/>
          </w:tcPr>
          <w:p w14:paraId="7D61FEDA">
            <w:pPr>
              <w:pStyle w:val="12"/>
              <w:jc w:val="center"/>
              <w:rPr>
                <w:rFonts w:ascii="宋体" w:hAnsi="宋体" w:cs="宋体"/>
              </w:rPr>
            </w:pPr>
            <w:r>
              <w:rPr>
                <w:rFonts w:hint="eastAsia"/>
              </w:rPr>
              <w:t>市烟草公司新</w:t>
            </w:r>
          </w:p>
          <w:p w14:paraId="1AB456C2">
            <w:pPr>
              <w:pStyle w:val="12"/>
              <w:jc w:val="center"/>
            </w:pPr>
            <w:r>
              <w:rPr>
                <w:rFonts w:hint="eastAsia" w:ascii="宋体" w:hAnsi="宋体" w:cs="宋体"/>
              </w:rPr>
              <w:t>龙收购站保管员</w:t>
            </w:r>
          </w:p>
        </w:tc>
        <w:tc>
          <w:tcPr>
            <w:tcW w:w="1160" w:type="pct"/>
            <w:vAlign w:val="center"/>
          </w:tcPr>
          <w:p w14:paraId="50CF3694">
            <w:pPr>
              <w:pStyle w:val="12"/>
              <w:jc w:val="left"/>
            </w:pPr>
            <w:r>
              <w:rPr>
                <w:rFonts w:hint="eastAsia"/>
              </w:rPr>
              <w:t>1996年9月10日上午为保护公款与抢劫歹徒搏斗中殉职</w:t>
            </w:r>
          </w:p>
        </w:tc>
      </w:tr>
      <w:tr w14:paraId="501197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vAlign w:val="center"/>
          </w:tcPr>
          <w:p w14:paraId="78F4EA3D">
            <w:pPr>
              <w:pStyle w:val="12"/>
              <w:jc w:val="center"/>
            </w:pPr>
            <w:r>
              <w:rPr>
                <w:rFonts w:hint="eastAsia"/>
              </w:rPr>
              <w:t>吴华东</w:t>
            </w:r>
          </w:p>
        </w:tc>
        <w:tc>
          <w:tcPr>
            <w:tcW w:w="388" w:type="pct"/>
            <w:vAlign w:val="center"/>
          </w:tcPr>
          <w:p w14:paraId="4F851BEA">
            <w:pPr>
              <w:pStyle w:val="12"/>
              <w:jc w:val="center"/>
            </w:pPr>
            <w:r>
              <w:rPr>
                <w:rFonts w:hint="eastAsia"/>
              </w:rPr>
              <w:t>男</w:t>
            </w:r>
          </w:p>
        </w:tc>
        <w:tc>
          <w:tcPr>
            <w:tcW w:w="582" w:type="pct"/>
            <w:vAlign w:val="center"/>
          </w:tcPr>
          <w:p w14:paraId="6A15E37B">
            <w:pPr>
              <w:pStyle w:val="12"/>
              <w:jc w:val="center"/>
            </w:pPr>
            <w:r>
              <w:rPr>
                <w:rFonts w:hint="eastAsia"/>
              </w:rPr>
              <w:t>1974年</w:t>
            </w:r>
          </w:p>
        </w:tc>
        <w:tc>
          <w:tcPr>
            <w:tcW w:w="582" w:type="pct"/>
            <w:vAlign w:val="center"/>
          </w:tcPr>
          <w:p w14:paraId="15D7FB74">
            <w:pPr>
              <w:pStyle w:val="12"/>
              <w:jc w:val="center"/>
            </w:pPr>
            <w:r>
              <w:rPr>
                <w:rFonts w:hint="eastAsia"/>
              </w:rPr>
              <w:t>湖口镇</w:t>
            </w:r>
          </w:p>
        </w:tc>
        <w:tc>
          <w:tcPr>
            <w:tcW w:w="708" w:type="pct"/>
            <w:vAlign w:val="center"/>
          </w:tcPr>
          <w:p w14:paraId="4BD4E2B9">
            <w:pPr>
              <w:pStyle w:val="12"/>
              <w:jc w:val="center"/>
            </w:pPr>
            <w:r>
              <w:rPr>
                <w:rFonts w:hint="eastAsia"/>
              </w:rPr>
              <w:t>1991年12月</w:t>
            </w:r>
          </w:p>
        </w:tc>
        <w:tc>
          <w:tcPr>
            <w:tcW w:w="940" w:type="pct"/>
            <w:vAlign w:val="center"/>
          </w:tcPr>
          <w:p w14:paraId="5BA1DF29">
            <w:pPr>
              <w:pStyle w:val="12"/>
              <w:jc w:val="center"/>
              <w:rPr>
                <w:rFonts w:ascii="宋体" w:hAnsi="宋体" w:cs="宋体"/>
              </w:rPr>
            </w:pPr>
            <w:r>
              <w:rPr>
                <w:rFonts w:hint="eastAsia"/>
              </w:rPr>
              <w:t>海南省琼山市</w:t>
            </w:r>
          </w:p>
          <w:p w14:paraId="59A04AA9">
            <w:pPr>
              <w:pStyle w:val="12"/>
              <w:jc w:val="center"/>
              <w:rPr>
                <w:rFonts w:ascii="宋体" w:hAnsi="宋体" w:cs="宋体"/>
              </w:rPr>
            </w:pPr>
            <w:r>
              <w:rPr>
                <w:rFonts w:hint="eastAsia" w:ascii="宋体" w:hAnsi="宋体" w:cs="宋体"/>
              </w:rPr>
              <w:t>人民武装部后勤</w:t>
            </w:r>
          </w:p>
          <w:p w14:paraId="4214C475">
            <w:pPr>
              <w:pStyle w:val="12"/>
              <w:jc w:val="center"/>
            </w:pPr>
            <w:r>
              <w:rPr>
                <w:rFonts w:hint="eastAsia" w:ascii="宋体" w:hAnsi="宋体" w:cs="宋体"/>
              </w:rPr>
              <w:t>科副连职助理员</w:t>
            </w:r>
          </w:p>
        </w:tc>
        <w:tc>
          <w:tcPr>
            <w:tcW w:w="1160" w:type="pct"/>
            <w:vAlign w:val="center"/>
          </w:tcPr>
          <w:p w14:paraId="1D0BC248">
            <w:pPr>
              <w:pStyle w:val="12"/>
              <w:jc w:val="left"/>
            </w:pPr>
            <w:r>
              <w:rPr>
                <w:rFonts w:hint="eastAsia"/>
              </w:rPr>
              <w:t>2000年10月在抗洪抢险中为抢救遇险群众而牺牲</w:t>
            </w:r>
          </w:p>
        </w:tc>
      </w:tr>
    </w:tbl>
    <w:p w14:paraId="31858BC2">
      <w:pPr>
        <w:pStyle w:val="4"/>
        <w:rPr>
          <w:rFonts w:ascii="宋体" w:hAnsi="宋体" w:cs="宋体"/>
        </w:rPr>
      </w:pPr>
      <w:r>
        <w:rPr>
          <w:rFonts w:hint="eastAsia" w:ascii="宋体" w:hAnsi="宋体" w:cs="宋体"/>
        </w:rPr>
        <w:t>第三节  抗日战争时期国民革命军南雄籍阵亡将士</w:t>
      </w:r>
    </w:p>
    <w:p w14:paraId="45B4BFA0">
      <w:pPr>
        <w:ind w:firstLine="0" w:firstLineChars="0"/>
        <w:rPr>
          <w:rFonts w:ascii="宋体" w:hAnsi="宋体" w:cs="宋体"/>
          <w:b/>
          <w:bCs/>
        </w:rPr>
      </w:pPr>
      <w:r>
        <w:rPr>
          <w:rFonts w:hint="eastAsia" w:ascii="宋体" w:hAnsi="宋体" w:cs="宋体"/>
          <w:b/>
          <w:bCs/>
        </w:rPr>
        <w:t>表7-10</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5"/>
        <w:gridCol w:w="773"/>
        <w:gridCol w:w="1160"/>
        <w:gridCol w:w="4248"/>
        <w:gridCol w:w="2506"/>
      </w:tblGrid>
      <w:tr w14:paraId="180F58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527F496">
            <w:pPr>
              <w:pStyle w:val="12"/>
              <w:jc w:val="center"/>
              <w:rPr>
                <w:b/>
              </w:rPr>
            </w:pPr>
            <w:r>
              <w:rPr>
                <w:rFonts w:hint="eastAsia"/>
                <w:b/>
              </w:rPr>
              <w:t>姓名</w:t>
            </w:r>
          </w:p>
        </w:tc>
        <w:tc>
          <w:tcPr>
            <w:tcW w:w="388" w:type="pct"/>
            <w:vAlign w:val="center"/>
          </w:tcPr>
          <w:p w14:paraId="5036F8DF">
            <w:pPr>
              <w:pStyle w:val="12"/>
              <w:jc w:val="center"/>
              <w:rPr>
                <w:b/>
              </w:rPr>
            </w:pPr>
            <w:r>
              <w:rPr>
                <w:rFonts w:hint="eastAsia"/>
                <w:b/>
              </w:rPr>
              <w:t>性别</w:t>
            </w:r>
          </w:p>
        </w:tc>
        <w:tc>
          <w:tcPr>
            <w:tcW w:w="582" w:type="pct"/>
            <w:vAlign w:val="center"/>
          </w:tcPr>
          <w:p w14:paraId="0D9CCF53">
            <w:pPr>
              <w:pStyle w:val="12"/>
              <w:jc w:val="center"/>
              <w:rPr>
                <w:b/>
              </w:rPr>
            </w:pPr>
            <w:r>
              <w:rPr>
                <w:rFonts w:hint="eastAsia"/>
                <w:b/>
              </w:rPr>
              <w:t>籍贯</w:t>
            </w:r>
          </w:p>
        </w:tc>
        <w:tc>
          <w:tcPr>
            <w:tcW w:w="2132" w:type="pct"/>
            <w:vAlign w:val="center"/>
          </w:tcPr>
          <w:p w14:paraId="1CE3B962">
            <w:pPr>
              <w:pStyle w:val="12"/>
              <w:jc w:val="center"/>
              <w:rPr>
                <w:b/>
              </w:rPr>
            </w:pPr>
            <w:r>
              <w:rPr>
                <w:rFonts w:hint="eastAsia"/>
                <w:b/>
              </w:rPr>
              <w:t>所在单位职务</w:t>
            </w:r>
          </w:p>
        </w:tc>
        <w:tc>
          <w:tcPr>
            <w:tcW w:w="1259" w:type="pct"/>
            <w:vAlign w:val="center"/>
          </w:tcPr>
          <w:p w14:paraId="3B48C030">
            <w:pPr>
              <w:pStyle w:val="12"/>
              <w:jc w:val="center"/>
              <w:rPr>
                <w:b/>
              </w:rPr>
            </w:pPr>
            <w:r>
              <w:rPr>
                <w:rFonts w:hint="eastAsia"/>
                <w:b/>
              </w:rPr>
              <w:t>牺牲地点</w:t>
            </w:r>
          </w:p>
        </w:tc>
      </w:tr>
      <w:tr w14:paraId="726E1B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554BAEE">
            <w:pPr>
              <w:pStyle w:val="12"/>
              <w:jc w:val="center"/>
            </w:pPr>
            <w:r>
              <w:rPr>
                <w:rFonts w:hint="eastAsia"/>
              </w:rPr>
              <w:t>徐池中</w:t>
            </w:r>
          </w:p>
        </w:tc>
        <w:tc>
          <w:tcPr>
            <w:tcW w:w="388" w:type="pct"/>
            <w:vAlign w:val="center"/>
          </w:tcPr>
          <w:p w14:paraId="1319FC86">
            <w:pPr>
              <w:pStyle w:val="12"/>
              <w:jc w:val="center"/>
            </w:pPr>
            <w:r>
              <w:rPr>
                <w:rFonts w:hint="eastAsia"/>
              </w:rPr>
              <w:t>男</w:t>
            </w:r>
          </w:p>
        </w:tc>
        <w:tc>
          <w:tcPr>
            <w:tcW w:w="582" w:type="pct"/>
            <w:vAlign w:val="center"/>
          </w:tcPr>
          <w:p w14:paraId="4D19C1A1">
            <w:pPr>
              <w:pStyle w:val="12"/>
              <w:jc w:val="center"/>
            </w:pPr>
            <w:r>
              <w:rPr>
                <w:rFonts w:hint="eastAsia"/>
              </w:rPr>
              <w:t>南雄</w:t>
            </w:r>
          </w:p>
        </w:tc>
        <w:tc>
          <w:tcPr>
            <w:tcW w:w="2132" w:type="pct"/>
            <w:vAlign w:val="center"/>
          </w:tcPr>
          <w:p w14:paraId="0B856A5A">
            <w:pPr>
              <w:pStyle w:val="12"/>
              <w:jc w:val="left"/>
            </w:pPr>
            <w:r>
              <w:rPr>
                <w:rFonts w:hint="eastAsia"/>
              </w:rPr>
              <w:t>4师20团5连一等兵</w:t>
            </w:r>
          </w:p>
        </w:tc>
        <w:tc>
          <w:tcPr>
            <w:tcW w:w="1259" w:type="pct"/>
            <w:vAlign w:val="center"/>
          </w:tcPr>
          <w:p w14:paraId="18BEB962">
            <w:pPr>
              <w:pStyle w:val="12"/>
              <w:jc w:val="left"/>
            </w:pPr>
            <w:r>
              <w:rPr>
                <w:rFonts w:hint="eastAsia"/>
              </w:rPr>
              <w:t>察哈尔省西大岭</w:t>
            </w:r>
          </w:p>
        </w:tc>
      </w:tr>
      <w:tr w14:paraId="0A91FD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D40366C">
            <w:pPr>
              <w:pStyle w:val="12"/>
              <w:jc w:val="center"/>
            </w:pPr>
            <w:r>
              <w:rPr>
                <w:rFonts w:hint="eastAsia"/>
              </w:rPr>
              <w:t>沈祥勋</w:t>
            </w:r>
          </w:p>
        </w:tc>
        <w:tc>
          <w:tcPr>
            <w:tcW w:w="388" w:type="pct"/>
            <w:vAlign w:val="center"/>
          </w:tcPr>
          <w:p w14:paraId="7DFB43E9">
            <w:pPr>
              <w:pStyle w:val="12"/>
              <w:jc w:val="center"/>
            </w:pPr>
            <w:r>
              <w:rPr>
                <w:rFonts w:hint="eastAsia"/>
              </w:rPr>
              <w:t>男</w:t>
            </w:r>
          </w:p>
        </w:tc>
        <w:tc>
          <w:tcPr>
            <w:tcW w:w="582" w:type="pct"/>
            <w:vAlign w:val="center"/>
          </w:tcPr>
          <w:p w14:paraId="48A60C5A">
            <w:pPr>
              <w:pStyle w:val="12"/>
              <w:jc w:val="center"/>
            </w:pPr>
            <w:r>
              <w:rPr>
                <w:rFonts w:hint="eastAsia"/>
              </w:rPr>
              <w:t>南雄</w:t>
            </w:r>
          </w:p>
        </w:tc>
        <w:tc>
          <w:tcPr>
            <w:tcW w:w="2132" w:type="pct"/>
            <w:vAlign w:val="center"/>
          </w:tcPr>
          <w:p w14:paraId="6BDE264C">
            <w:pPr>
              <w:pStyle w:val="12"/>
              <w:jc w:val="left"/>
            </w:pPr>
            <w:r>
              <w:rPr>
                <w:rFonts w:hint="eastAsia"/>
              </w:rPr>
              <w:t>6预师22团4连二等兵</w:t>
            </w:r>
          </w:p>
        </w:tc>
        <w:tc>
          <w:tcPr>
            <w:tcW w:w="1259" w:type="pct"/>
            <w:vAlign w:val="center"/>
          </w:tcPr>
          <w:p w14:paraId="295D05D9">
            <w:pPr>
              <w:pStyle w:val="12"/>
              <w:jc w:val="left"/>
            </w:pPr>
            <w:r>
              <w:rPr>
                <w:rFonts w:hint="eastAsia"/>
              </w:rPr>
              <w:t>江西永修</w:t>
            </w:r>
          </w:p>
        </w:tc>
      </w:tr>
      <w:tr w14:paraId="15422B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92E276B">
            <w:pPr>
              <w:pStyle w:val="12"/>
              <w:jc w:val="center"/>
            </w:pPr>
            <w:r>
              <w:rPr>
                <w:rFonts w:hint="eastAsia"/>
              </w:rPr>
              <w:t>邱国光</w:t>
            </w:r>
          </w:p>
        </w:tc>
        <w:tc>
          <w:tcPr>
            <w:tcW w:w="388" w:type="pct"/>
            <w:vAlign w:val="center"/>
          </w:tcPr>
          <w:p w14:paraId="4F3C9C0A">
            <w:pPr>
              <w:pStyle w:val="12"/>
              <w:jc w:val="center"/>
            </w:pPr>
            <w:r>
              <w:rPr>
                <w:rFonts w:hint="eastAsia"/>
              </w:rPr>
              <w:t>男</w:t>
            </w:r>
          </w:p>
        </w:tc>
        <w:tc>
          <w:tcPr>
            <w:tcW w:w="582" w:type="pct"/>
            <w:vAlign w:val="center"/>
          </w:tcPr>
          <w:p w14:paraId="05043A7C">
            <w:pPr>
              <w:pStyle w:val="12"/>
              <w:jc w:val="center"/>
            </w:pPr>
            <w:r>
              <w:rPr>
                <w:rFonts w:hint="eastAsia"/>
              </w:rPr>
              <w:t>南雄</w:t>
            </w:r>
          </w:p>
        </w:tc>
        <w:tc>
          <w:tcPr>
            <w:tcW w:w="2132" w:type="pct"/>
            <w:vAlign w:val="center"/>
          </w:tcPr>
          <w:p w14:paraId="734FFDC4">
            <w:pPr>
              <w:pStyle w:val="12"/>
              <w:jc w:val="left"/>
            </w:pPr>
            <w:r>
              <w:rPr>
                <w:rFonts w:hint="eastAsia"/>
              </w:rPr>
              <w:t>6预师卫生队一等兵</w:t>
            </w:r>
          </w:p>
        </w:tc>
        <w:tc>
          <w:tcPr>
            <w:tcW w:w="1259" w:type="pct"/>
            <w:vAlign w:val="center"/>
          </w:tcPr>
          <w:p w14:paraId="2E3CDB55">
            <w:pPr>
              <w:pStyle w:val="12"/>
              <w:jc w:val="left"/>
            </w:pPr>
            <w:r>
              <w:rPr>
                <w:rFonts w:hint="eastAsia"/>
              </w:rPr>
              <w:t>德安</w:t>
            </w:r>
          </w:p>
        </w:tc>
      </w:tr>
      <w:tr w14:paraId="44CB17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6E6FF7A">
            <w:pPr>
              <w:pStyle w:val="12"/>
              <w:jc w:val="center"/>
            </w:pPr>
            <w:r>
              <w:rPr>
                <w:rFonts w:hint="eastAsia"/>
              </w:rPr>
              <w:t>陈福利</w:t>
            </w:r>
          </w:p>
        </w:tc>
        <w:tc>
          <w:tcPr>
            <w:tcW w:w="388" w:type="pct"/>
            <w:vAlign w:val="center"/>
          </w:tcPr>
          <w:p w14:paraId="233BBD8D">
            <w:pPr>
              <w:pStyle w:val="12"/>
              <w:jc w:val="center"/>
            </w:pPr>
            <w:r>
              <w:rPr>
                <w:rFonts w:hint="eastAsia"/>
              </w:rPr>
              <w:t>男</w:t>
            </w:r>
          </w:p>
        </w:tc>
        <w:tc>
          <w:tcPr>
            <w:tcW w:w="582" w:type="pct"/>
            <w:vAlign w:val="center"/>
          </w:tcPr>
          <w:p w14:paraId="6BDC2B1F">
            <w:pPr>
              <w:pStyle w:val="12"/>
              <w:jc w:val="center"/>
            </w:pPr>
            <w:r>
              <w:rPr>
                <w:rFonts w:hint="eastAsia"/>
              </w:rPr>
              <w:t>南雄</w:t>
            </w:r>
          </w:p>
        </w:tc>
        <w:tc>
          <w:tcPr>
            <w:tcW w:w="2132" w:type="pct"/>
            <w:vAlign w:val="center"/>
          </w:tcPr>
          <w:p w14:paraId="2CAA052B">
            <w:pPr>
              <w:pStyle w:val="12"/>
              <w:jc w:val="left"/>
            </w:pPr>
            <w:r>
              <w:rPr>
                <w:rFonts w:hint="eastAsia"/>
              </w:rPr>
              <w:t>陆军6师18团7连一等兵</w:t>
            </w:r>
          </w:p>
        </w:tc>
        <w:tc>
          <w:tcPr>
            <w:tcW w:w="1259" w:type="pct"/>
            <w:vAlign w:val="center"/>
          </w:tcPr>
          <w:p w14:paraId="22F064BE">
            <w:pPr>
              <w:pStyle w:val="12"/>
              <w:jc w:val="left"/>
            </w:pPr>
            <w:r>
              <w:rPr>
                <w:rFonts w:hint="eastAsia"/>
              </w:rPr>
              <w:t>湖北京山</w:t>
            </w:r>
          </w:p>
        </w:tc>
      </w:tr>
      <w:tr w14:paraId="672886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D838A29">
            <w:pPr>
              <w:pStyle w:val="12"/>
              <w:jc w:val="center"/>
            </w:pPr>
            <w:r>
              <w:rPr>
                <w:rFonts w:hint="eastAsia"/>
              </w:rPr>
              <w:t>吴英才</w:t>
            </w:r>
          </w:p>
        </w:tc>
        <w:tc>
          <w:tcPr>
            <w:tcW w:w="388" w:type="pct"/>
            <w:vAlign w:val="center"/>
          </w:tcPr>
          <w:p w14:paraId="57CC48BB">
            <w:pPr>
              <w:pStyle w:val="12"/>
              <w:jc w:val="center"/>
            </w:pPr>
            <w:r>
              <w:rPr>
                <w:rFonts w:hint="eastAsia"/>
              </w:rPr>
              <w:t>男</w:t>
            </w:r>
          </w:p>
        </w:tc>
        <w:tc>
          <w:tcPr>
            <w:tcW w:w="582" w:type="pct"/>
            <w:vAlign w:val="center"/>
          </w:tcPr>
          <w:p w14:paraId="38AB7058">
            <w:pPr>
              <w:pStyle w:val="12"/>
              <w:jc w:val="center"/>
            </w:pPr>
            <w:r>
              <w:rPr>
                <w:rFonts w:hint="eastAsia"/>
              </w:rPr>
              <w:t>南雄</w:t>
            </w:r>
          </w:p>
        </w:tc>
        <w:tc>
          <w:tcPr>
            <w:tcW w:w="2132" w:type="pct"/>
            <w:vAlign w:val="center"/>
          </w:tcPr>
          <w:p w14:paraId="54A1E204">
            <w:pPr>
              <w:pStyle w:val="12"/>
              <w:jc w:val="left"/>
            </w:pPr>
            <w:r>
              <w:rPr>
                <w:rFonts w:hint="eastAsia"/>
              </w:rPr>
              <w:t>新10师28团迫炮连二等兵</w:t>
            </w:r>
          </w:p>
        </w:tc>
        <w:tc>
          <w:tcPr>
            <w:tcW w:w="1259" w:type="pct"/>
            <w:vAlign w:val="center"/>
          </w:tcPr>
          <w:p w14:paraId="61E6A72D">
            <w:pPr>
              <w:pStyle w:val="12"/>
              <w:jc w:val="left"/>
            </w:pPr>
            <w:r>
              <w:rPr>
                <w:rFonts w:hint="eastAsia"/>
              </w:rPr>
              <w:t>湖南岳阳</w:t>
            </w:r>
          </w:p>
        </w:tc>
      </w:tr>
      <w:tr w14:paraId="26C3C3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749CB27">
            <w:pPr>
              <w:pStyle w:val="12"/>
              <w:jc w:val="center"/>
            </w:pPr>
            <w:r>
              <w:rPr>
                <w:rFonts w:hint="eastAsia"/>
              </w:rPr>
              <w:t>孙发岁</w:t>
            </w:r>
          </w:p>
        </w:tc>
        <w:tc>
          <w:tcPr>
            <w:tcW w:w="388" w:type="pct"/>
            <w:vAlign w:val="center"/>
          </w:tcPr>
          <w:p w14:paraId="0FF32341">
            <w:pPr>
              <w:pStyle w:val="12"/>
              <w:jc w:val="center"/>
            </w:pPr>
            <w:r>
              <w:rPr>
                <w:rFonts w:hint="eastAsia"/>
              </w:rPr>
              <w:t>男</w:t>
            </w:r>
          </w:p>
        </w:tc>
        <w:tc>
          <w:tcPr>
            <w:tcW w:w="582" w:type="pct"/>
            <w:vAlign w:val="center"/>
          </w:tcPr>
          <w:p w14:paraId="722C60C0">
            <w:pPr>
              <w:pStyle w:val="12"/>
              <w:jc w:val="center"/>
            </w:pPr>
            <w:r>
              <w:rPr>
                <w:rFonts w:hint="eastAsia"/>
              </w:rPr>
              <w:t>南雄</w:t>
            </w:r>
          </w:p>
        </w:tc>
        <w:tc>
          <w:tcPr>
            <w:tcW w:w="2132" w:type="pct"/>
            <w:vAlign w:val="center"/>
          </w:tcPr>
          <w:p w14:paraId="74D9CE4F">
            <w:pPr>
              <w:pStyle w:val="12"/>
              <w:jc w:val="left"/>
            </w:pPr>
            <w:r>
              <w:rPr>
                <w:rFonts w:hint="eastAsia"/>
              </w:rPr>
              <w:t>新10师28团迫炮连一等兵</w:t>
            </w:r>
          </w:p>
        </w:tc>
        <w:tc>
          <w:tcPr>
            <w:tcW w:w="1259" w:type="pct"/>
            <w:vAlign w:val="center"/>
          </w:tcPr>
          <w:p w14:paraId="68FECFF0">
            <w:pPr>
              <w:pStyle w:val="12"/>
              <w:jc w:val="left"/>
            </w:pPr>
            <w:r>
              <w:rPr>
                <w:rFonts w:hint="eastAsia"/>
              </w:rPr>
              <w:t>湖南岳阳</w:t>
            </w:r>
          </w:p>
        </w:tc>
      </w:tr>
      <w:tr w14:paraId="682F57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E9B7907">
            <w:pPr>
              <w:pStyle w:val="12"/>
              <w:jc w:val="center"/>
            </w:pPr>
            <w:r>
              <w:rPr>
                <w:rFonts w:hint="eastAsia"/>
              </w:rPr>
              <w:t>冯家声</w:t>
            </w:r>
          </w:p>
        </w:tc>
        <w:tc>
          <w:tcPr>
            <w:tcW w:w="388" w:type="pct"/>
            <w:vAlign w:val="center"/>
          </w:tcPr>
          <w:p w14:paraId="0F12234E">
            <w:pPr>
              <w:pStyle w:val="12"/>
              <w:jc w:val="center"/>
            </w:pPr>
            <w:r>
              <w:rPr>
                <w:rFonts w:hint="eastAsia"/>
              </w:rPr>
              <w:t>男</w:t>
            </w:r>
          </w:p>
        </w:tc>
        <w:tc>
          <w:tcPr>
            <w:tcW w:w="582" w:type="pct"/>
            <w:vAlign w:val="center"/>
          </w:tcPr>
          <w:p w14:paraId="7CD4F85C">
            <w:pPr>
              <w:pStyle w:val="12"/>
              <w:jc w:val="center"/>
            </w:pPr>
            <w:r>
              <w:rPr>
                <w:rFonts w:hint="eastAsia"/>
              </w:rPr>
              <w:t>南雄</w:t>
            </w:r>
          </w:p>
        </w:tc>
        <w:tc>
          <w:tcPr>
            <w:tcW w:w="2132" w:type="pct"/>
            <w:vAlign w:val="center"/>
          </w:tcPr>
          <w:p w14:paraId="2D4BE02A">
            <w:pPr>
              <w:pStyle w:val="12"/>
              <w:jc w:val="left"/>
            </w:pPr>
            <w:r>
              <w:rPr>
                <w:rFonts w:hint="eastAsia"/>
              </w:rPr>
              <w:t>11师62团9连一等兵</w:t>
            </w:r>
          </w:p>
        </w:tc>
        <w:tc>
          <w:tcPr>
            <w:tcW w:w="1259" w:type="pct"/>
            <w:vAlign w:val="center"/>
          </w:tcPr>
          <w:p w14:paraId="5DC05D1E">
            <w:pPr>
              <w:pStyle w:val="12"/>
              <w:jc w:val="left"/>
            </w:pPr>
            <w:r>
              <w:rPr>
                <w:rFonts w:hint="eastAsia"/>
              </w:rPr>
              <w:t>岳王庙</w:t>
            </w:r>
          </w:p>
        </w:tc>
      </w:tr>
      <w:tr w14:paraId="6CF503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A567B3C">
            <w:pPr>
              <w:pStyle w:val="12"/>
              <w:jc w:val="center"/>
            </w:pPr>
            <w:r>
              <w:rPr>
                <w:rFonts w:hint="eastAsia"/>
              </w:rPr>
              <w:t>叶锡古</w:t>
            </w:r>
          </w:p>
        </w:tc>
        <w:tc>
          <w:tcPr>
            <w:tcW w:w="388" w:type="pct"/>
            <w:vAlign w:val="center"/>
          </w:tcPr>
          <w:p w14:paraId="47164EE3">
            <w:pPr>
              <w:pStyle w:val="12"/>
              <w:jc w:val="center"/>
            </w:pPr>
            <w:r>
              <w:rPr>
                <w:rFonts w:hint="eastAsia"/>
              </w:rPr>
              <w:t>男</w:t>
            </w:r>
          </w:p>
        </w:tc>
        <w:tc>
          <w:tcPr>
            <w:tcW w:w="582" w:type="pct"/>
            <w:vAlign w:val="center"/>
          </w:tcPr>
          <w:p w14:paraId="2F2529A4">
            <w:pPr>
              <w:pStyle w:val="12"/>
              <w:jc w:val="center"/>
            </w:pPr>
            <w:r>
              <w:rPr>
                <w:rFonts w:hint="eastAsia"/>
              </w:rPr>
              <w:t>南雄</w:t>
            </w:r>
          </w:p>
        </w:tc>
        <w:tc>
          <w:tcPr>
            <w:tcW w:w="2132" w:type="pct"/>
            <w:vAlign w:val="center"/>
          </w:tcPr>
          <w:p w14:paraId="26217DD3">
            <w:pPr>
              <w:pStyle w:val="12"/>
              <w:jc w:val="left"/>
            </w:pPr>
            <w:r>
              <w:rPr>
                <w:rFonts w:hint="eastAsia"/>
              </w:rPr>
              <w:t>11师61团3连一等兵</w:t>
            </w:r>
          </w:p>
        </w:tc>
        <w:tc>
          <w:tcPr>
            <w:tcW w:w="1259" w:type="pct"/>
            <w:vAlign w:val="center"/>
          </w:tcPr>
          <w:p w14:paraId="57BB822D">
            <w:pPr>
              <w:pStyle w:val="12"/>
              <w:jc w:val="left"/>
            </w:pPr>
            <w:r>
              <w:rPr>
                <w:rFonts w:hint="eastAsia"/>
              </w:rPr>
              <w:t>马鞍山</w:t>
            </w:r>
          </w:p>
        </w:tc>
      </w:tr>
      <w:tr w14:paraId="079B29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1595AAD">
            <w:pPr>
              <w:pStyle w:val="12"/>
              <w:jc w:val="center"/>
            </w:pPr>
            <w:r>
              <w:rPr>
                <w:rFonts w:hint="eastAsia"/>
              </w:rPr>
              <w:t>戴德明</w:t>
            </w:r>
          </w:p>
        </w:tc>
        <w:tc>
          <w:tcPr>
            <w:tcW w:w="388" w:type="pct"/>
            <w:vAlign w:val="center"/>
          </w:tcPr>
          <w:p w14:paraId="1DD94D65">
            <w:pPr>
              <w:pStyle w:val="12"/>
              <w:jc w:val="center"/>
            </w:pPr>
            <w:r>
              <w:rPr>
                <w:rFonts w:hint="eastAsia"/>
              </w:rPr>
              <w:t>男</w:t>
            </w:r>
          </w:p>
        </w:tc>
        <w:tc>
          <w:tcPr>
            <w:tcW w:w="582" w:type="pct"/>
            <w:vAlign w:val="center"/>
          </w:tcPr>
          <w:p w14:paraId="1C998AAA">
            <w:pPr>
              <w:pStyle w:val="12"/>
              <w:jc w:val="center"/>
            </w:pPr>
            <w:r>
              <w:rPr>
                <w:rFonts w:hint="eastAsia"/>
              </w:rPr>
              <w:t>南雄</w:t>
            </w:r>
          </w:p>
        </w:tc>
        <w:tc>
          <w:tcPr>
            <w:tcW w:w="2132" w:type="pct"/>
            <w:vAlign w:val="center"/>
          </w:tcPr>
          <w:p w14:paraId="5372CE88">
            <w:pPr>
              <w:pStyle w:val="12"/>
              <w:jc w:val="left"/>
            </w:pPr>
            <w:r>
              <w:rPr>
                <w:rFonts w:hint="eastAsia"/>
              </w:rPr>
              <w:t>11师61团3连二等兵</w:t>
            </w:r>
          </w:p>
        </w:tc>
        <w:tc>
          <w:tcPr>
            <w:tcW w:w="1259" w:type="pct"/>
            <w:vAlign w:val="center"/>
          </w:tcPr>
          <w:p w14:paraId="29877135">
            <w:pPr>
              <w:pStyle w:val="12"/>
              <w:jc w:val="left"/>
            </w:pPr>
            <w:r>
              <w:rPr>
                <w:rFonts w:hint="eastAsia"/>
              </w:rPr>
              <w:t>方山</w:t>
            </w:r>
          </w:p>
        </w:tc>
      </w:tr>
      <w:tr w14:paraId="500178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90C55BB">
            <w:pPr>
              <w:pStyle w:val="12"/>
              <w:jc w:val="center"/>
            </w:pPr>
            <w:r>
              <w:rPr>
                <w:rFonts w:hint="eastAsia"/>
              </w:rPr>
              <w:t>李志辉</w:t>
            </w:r>
          </w:p>
        </w:tc>
        <w:tc>
          <w:tcPr>
            <w:tcW w:w="388" w:type="pct"/>
            <w:vAlign w:val="center"/>
          </w:tcPr>
          <w:p w14:paraId="0D7C916D">
            <w:pPr>
              <w:pStyle w:val="12"/>
              <w:jc w:val="center"/>
            </w:pPr>
            <w:r>
              <w:rPr>
                <w:rFonts w:hint="eastAsia"/>
              </w:rPr>
              <w:t>男</w:t>
            </w:r>
          </w:p>
        </w:tc>
        <w:tc>
          <w:tcPr>
            <w:tcW w:w="582" w:type="pct"/>
            <w:vAlign w:val="center"/>
          </w:tcPr>
          <w:p w14:paraId="4D713AA1">
            <w:pPr>
              <w:pStyle w:val="12"/>
              <w:jc w:val="center"/>
            </w:pPr>
            <w:r>
              <w:rPr>
                <w:rFonts w:hint="eastAsia"/>
              </w:rPr>
              <w:t>南雄</w:t>
            </w:r>
          </w:p>
        </w:tc>
        <w:tc>
          <w:tcPr>
            <w:tcW w:w="2132" w:type="pct"/>
            <w:vAlign w:val="center"/>
          </w:tcPr>
          <w:p w14:paraId="01A96047">
            <w:pPr>
              <w:pStyle w:val="12"/>
              <w:jc w:val="left"/>
            </w:pPr>
            <w:r>
              <w:rPr>
                <w:rFonts w:hint="eastAsia"/>
              </w:rPr>
              <w:t>新13师39团8连一等兵</w:t>
            </w:r>
          </w:p>
        </w:tc>
        <w:tc>
          <w:tcPr>
            <w:tcW w:w="1259" w:type="pct"/>
            <w:vAlign w:val="center"/>
          </w:tcPr>
          <w:p w14:paraId="59FD9C20">
            <w:pPr>
              <w:pStyle w:val="12"/>
              <w:jc w:val="left"/>
            </w:pPr>
            <w:r>
              <w:rPr>
                <w:rFonts w:hint="eastAsia"/>
              </w:rPr>
              <w:t>湖南醴陵</w:t>
            </w:r>
          </w:p>
        </w:tc>
      </w:tr>
      <w:tr w14:paraId="186BCF6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756AF90">
            <w:pPr>
              <w:pStyle w:val="12"/>
              <w:jc w:val="center"/>
            </w:pPr>
            <w:r>
              <w:rPr>
                <w:rFonts w:hint="eastAsia"/>
              </w:rPr>
              <w:t>肖胜标</w:t>
            </w:r>
          </w:p>
        </w:tc>
        <w:tc>
          <w:tcPr>
            <w:tcW w:w="388" w:type="pct"/>
            <w:vAlign w:val="center"/>
          </w:tcPr>
          <w:p w14:paraId="478F10B7">
            <w:pPr>
              <w:pStyle w:val="12"/>
              <w:jc w:val="center"/>
            </w:pPr>
            <w:r>
              <w:rPr>
                <w:rFonts w:hint="eastAsia"/>
              </w:rPr>
              <w:t>男</w:t>
            </w:r>
          </w:p>
        </w:tc>
        <w:tc>
          <w:tcPr>
            <w:tcW w:w="582" w:type="pct"/>
            <w:vAlign w:val="center"/>
          </w:tcPr>
          <w:p w14:paraId="61FE1A0D">
            <w:pPr>
              <w:pStyle w:val="12"/>
              <w:jc w:val="center"/>
            </w:pPr>
            <w:r>
              <w:rPr>
                <w:rFonts w:hint="eastAsia"/>
              </w:rPr>
              <w:t>南雄</w:t>
            </w:r>
          </w:p>
        </w:tc>
        <w:tc>
          <w:tcPr>
            <w:tcW w:w="2132" w:type="pct"/>
            <w:vAlign w:val="center"/>
          </w:tcPr>
          <w:p w14:paraId="17274EC3">
            <w:pPr>
              <w:pStyle w:val="12"/>
              <w:jc w:val="left"/>
            </w:pPr>
            <w:r>
              <w:rPr>
                <w:rFonts w:hint="eastAsia"/>
              </w:rPr>
              <w:t>14师80团机3连一等兵</w:t>
            </w:r>
          </w:p>
        </w:tc>
        <w:tc>
          <w:tcPr>
            <w:tcW w:w="1259" w:type="pct"/>
            <w:vAlign w:val="center"/>
          </w:tcPr>
          <w:p w14:paraId="2B4B500B">
            <w:pPr>
              <w:pStyle w:val="12"/>
              <w:jc w:val="left"/>
            </w:pPr>
            <w:r>
              <w:rPr>
                <w:rFonts w:hint="eastAsia"/>
              </w:rPr>
              <w:t>江苏嘉定</w:t>
            </w:r>
          </w:p>
        </w:tc>
      </w:tr>
      <w:tr w14:paraId="210D82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070C1B7">
            <w:pPr>
              <w:pStyle w:val="12"/>
              <w:jc w:val="center"/>
            </w:pPr>
            <w:r>
              <w:rPr>
                <w:rFonts w:hint="eastAsia"/>
              </w:rPr>
              <w:t>陈日昶</w:t>
            </w:r>
          </w:p>
        </w:tc>
        <w:tc>
          <w:tcPr>
            <w:tcW w:w="388" w:type="pct"/>
            <w:vAlign w:val="center"/>
          </w:tcPr>
          <w:p w14:paraId="4EA10776">
            <w:pPr>
              <w:pStyle w:val="12"/>
              <w:jc w:val="center"/>
            </w:pPr>
            <w:r>
              <w:rPr>
                <w:rFonts w:hint="eastAsia"/>
              </w:rPr>
              <w:t>男</w:t>
            </w:r>
          </w:p>
        </w:tc>
        <w:tc>
          <w:tcPr>
            <w:tcW w:w="582" w:type="pct"/>
            <w:vAlign w:val="center"/>
          </w:tcPr>
          <w:p w14:paraId="24E2C598">
            <w:pPr>
              <w:pStyle w:val="12"/>
              <w:jc w:val="center"/>
            </w:pPr>
            <w:r>
              <w:rPr>
                <w:rFonts w:hint="eastAsia"/>
              </w:rPr>
              <w:t>南雄</w:t>
            </w:r>
          </w:p>
        </w:tc>
        <w:tc>
          <w:tcPr>
            <w:tcW w:w="2132" w:type="pct"/>
            <w:vAlign w:val="center"/>
          </w:tcPr>
          <w:p w14:paraId="773FC1B1">
            <w:pPr>
              <w:pStyle w:val="12"/>
              <w:jc w:val="left"/>
            </w:pPr>
            <w:r>
              <w:rPr>
                <w:rFonts w:hint="eastAsia"/>
              </w:rPr>
              <w:t>15师特务团一等兵</w:t>
            </w:r>
          </w:p>
        </w:tc>
        <w:tc>
          <w:tcPr>
            <w:tcW w:w="1259" w:type="pct"/>
            <w:vAlign w:val="center"/>
          </w:tcPr>
          <w:p w14:paraId="582CDAC0">
            <w:pPr>
              <w:pStyle w:val="12"/>
              <w:jc w:val="left"/>
            </w:pPr>
            <w:r>
              <w:rPr>
                <w:rFonts w:hint="eastAsia"/>
              </w:rPr>
              <w:t>江苏安乡</w:t>
            </w:r>
          </w:p>
        </w:tc>
      </w:tr>
      <w:tr w14:paraId="6438FF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BD75C74">
            <w:pPr>
              <w:pStyle w:val="12"/>
              <w:jc w:val="center"/>
            </w:pPr>
            <w:r>
              <w:rPr>
                <w:rFonts w:hint="eastAsia"/>
              </w:rPr>
              <w:t>张祥南</w:t>
            </w:r>
          </w:p>
        </w:tc>
        <w:tc>
          <w:tcPr>
            <w:tcW w:w="388" w:type="pct"/>
            <w:vAlign w:val="center"/>
          </w:tcPr>
          <w:p w14:paraId="459C27A9">
            <w:pPr>
              <w:pStyle w:val="12"/>
              <w:jc w:val="center"/>
            </w:pPr>
            <w:r>
              <w:rPr>
                <w:rFonts w:hint="eastAsia"/>
              </w:rPr>
              <w:t>男</w:t>
            </w:r>
          </w:p>
        </w:tc>
        <w:tc>
          <w:tcPr>
            <w:tcW w:w="582" w:type="pct"/>
            <w:vAlign w:val="center"/>
          </w:tcPr>
          <w:p w14:paraId="779193CE">
            <w:pPr>
              <w:pStyle w:val="12"/>
              <w:jc w:val="center"/>
            </w:pPr>
            <w:r>
              <w:rPr>
                <w:rFonts w:hint="eastAsia"/>
              </w:rPr>
              <w:t>南雄</w:t>
            </w:r>
          </w:p>
        </w:tc>
        <w:tc>
          <w:tcPr>
            <w:tcW w:w="2132" w:type="pct"/>
            <w:vAlign w:val="center"/>
          </w:tcPr>
          <w:p w14:paraId="3201F57A">
            <w:pPr>
              <w:pStyle w:val="12"/>
              <w:jc w:val="left"/>
            </w:pPr>
            <w:r>
              <w:rPr>
                <w:rFonts w:hint="eastAsia"/>
              </w:rPr>
              <w:t>陆军26师151团8连一等兵</w:t>
            </w:r>
          </w:p>
        </w:tc>
        <w:tc>
          <w:tcPr>
            <w:tcW w:w="1259" w:type="pct"/>
            <w:vAlign w:val="center"/>
          </w:tcPr>
          <w:p w14:paraId="50F93861">
            <w:pPr>
              <w:pStyle w:val="12"/>
              <w:jc w:val="left"/>
            </w:pPr>
            <w:r>
              <w:rPr>
                <w:rFonts w:hint="eastAsia"/>
              </w:rPr>
              <w:t>安徽东流</w:t>
            </w:r>
          </w:p>
        </w:tc>
      </w:tr>
      <w:tr w14:paraId="28EB4B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E7FF4FF">
            <w:pPr>
              <w:pStyle w:val="12"/>
              <w:jc w:val="center"/>
            </w:pPr>
            <w:r>
              <w:rPr>
                <w:rFonts w:hint="eastAsia"/>
              </w:rPr>
              <w:t>赵独骑</w:t>
            </w:r>
          </w:p>
        </w:tc>
        <w:tc>
          <w:tcPr>
            <w:tcW w:w="388" w:type="pct"/>
            <w:vAlign w:val="center"/>
          </w:tcPr>
          <w:p w14:paraId="7B1A5AA1">
            <w:pPr>
              <w:pStyle w:val="12"/>
              <w:jc w:val="center"/>
            </w:pPr>
            <w:r>
              <w:rPr>
                <w:rFonts w:hint="eastAsia"/>
              </w:rPr>
              <w:t>男</w:t>
            </w:r>
          </w:p>
        </w:tc>
        <w:tc>
          <w:tcPr>
            <w:tcW w:w="582" w:type="pct"/>
            <w:vAlign w:val="center"/>
          </w:tcPr>
          <w:p w14:paraId="385DB4B6">
            <w:pPr>
              <w:pStyle w:val="12"/>
              <w:jc w:val="center"/>
            </w:pPr>
            <w:r>
              <w:rPr>
                <w:rFonts w:hint="eastAsia"/>
              </w:rPr>
              <w:t>南雄</w:t>
            </w:r>
          </w:p>
        </w:tc>
        <w:tc>
          <w:tcPr>
            <w:tcW w:w="2132" w:type="pct"/>
            <w:vAlign w:val="center"/>
          </w:tcPr>
          <w:p w14:paraId="533815CB">
            <w:pPr>
              <w:pStyle w:val="12"/>
              <w:jc w:val="left"/>
            </w:pPr>
            <w:r>
              <w:rPr>
                <w:rFonts w:hint="eastAsia"/>
              </w:rPr>
              <w:t>46师271团1连上等兵</w:t>
            </w:r>
          </w:p>
        </w:tc>
        <w:tc>
          <w:tcPr>
            <w:tcW w:w="1259" w:type="pct"/>
            <w:vAlign w:val="center"/>
          </w:tcPr>
          <w:p w14:paraId="400B4FF4">
            <w:pPr>
              <w:pStyle w:val="12"/>
              <w:jc w:val="left"/>
            </w:pPr>
            <w:r>
              <w:rPr>
                <w:rFonts w:hint="eastAsia"/>
              </w:rPr>
              <w:t>江苏无锡</w:t>
            </w:r>
          </w:p>
        </w:tc>
      </w:tr>
      <w:tr w14:paraId="6597ED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903684A">
            <w:pPr>
              <w:pStyle w:val="12"/>
              <w:jc w:val="center"/>
            </w:pPr>
            <w:r>
              <w:rPr>
                <w:rFonts w:hint="eastAsia"/>
              </w:rPr>
              <w:t>董诗广</w:t>
            </w:r>
          </w:p>
        </w:tc>
        <w:tc>
          <w:tcPr>
            <w:tcW w:w="388" w:type="pct"/>
            <w:vAlign w:val="center"/>
          </w:tcPr>
          <w:p w14:paraId="4DD2541D">
            <w:pPr>
              <w:pStyle w:val="12"/>
              <w:jc w:val="center"/>
            </w:pPr>
            <w:r>
              <w:rPr>
                <w:rFonts w:hint="eastAsia"/>
              </w:rPr>
              <w:t>男</w:t>
            </w:r>
          </w:p>
        </w:tc>
        <w:tc>
          <w:tcPr>
            <w:tcW w:w="582" w:type="pct"/>
            <w:vAlign w:val="center"/>
          </w:tcPr>
          <w:p w14:paraId="03D58C43">
            <w:pPr>
              <w:pStyle w:val="12"/>
              <w:jc w:val="center"/>
            </w:pPr>
            <w:r>
              <w:rPr>
                <w:rFonts w:hint="eastAsia"/>
              </w:rPr>
              <w:t>南雄</w:t>
            </w:r>
          </w:p>
        </w:tc>
        <w:tc>
          <w:tcPr>
            <w:tcW w:w="2132" w:type="pct"/>
            <w:vAlign w:val="center"/>
          </w:tcPr>
          <w:p w14:paraId="50AE534E">
            <w:pPr>
              <w:pStyle w:val="12"/>
              <w:jc w:val="left"/>
            </w:pPr>
            <w:r>
              <w:rPr>
                <w:rFonts w:hint="eastAsia"/>
              </w:rPr>
              <w:t>46师271团1连二等兵</w:t>
            </w:r>
          </w:p>
        </w:tc>
        <w:tc>
          <w:tcPr>
            <w:tcW w:w="1259" w:type="pct"/>
            <w:vAlign w:val="center"/>
          </w:tcPr>
          <w:p w14:paraId="27D57FDB">
            <w:pPr>
              <w:pStyle w:val="12"/>
              <w:jc w:val="left"/>
            </w:pPr>
            <w:r>
              <w:rPr>
                <w:rFonts w:hint="eastAsia"/>
              </w:rPr>
              <w:t>江苏无锡</w:t>
            </w:r>
          </w:p>
        </w:tc>
      </w:tr>
      <w:tr w14:paraId="046C2E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6421367">
            <w:pPr>
              <w:pStyle w:val="12"/>
              <w:jc w:val="center"/>
            </w:pPr>
            <w:r>
              <w:rPr>
                <w:rFonts w:hint="eastAsia"/>
              </w:rPr>
              <w:t>何光前</w:t>
            </w:r>
          </w:p>
        </w:tc>
        <w:tc>
          <w:tcPr>
            <w:tcW w:w="388" w:type="pct"/>
            <w:vAlign w:val="center"/>
          </w:tcPr>
          <w:p w14:paraId="766A33D1">
            <w:pPr>
              <w:pStyle w:val="12"/>
              <w:jc w:val="center"/>
            </w:pPr>
            <w:r>
              <w:rPr>
                <w:rFonts w:hint="eastAsia"/>
              </w:rPr>
              <w:t>男</w:t>
            </w:r>
          </w:p>
        </w:tc>
        <w:tc>
          <w:tcPr>
            <w:tcW w:w="582" w:type="pct"/>
            <w:vAlign w:val="center"/>
          </w:tcPr>
          <w:p w14:paraId="29653C7C">
            <w:pPr>
              <w:pStyle w:val="12"/>
              <w:jc w:val="center"/>
            </w:pPr>
            <w:r>
              <w:rPr>
                <w:rFonts w:hint="eastAsia"/>
              </w:rPr>
              <w:t>南雄</w:t>
            </w:r>
          </w:p>
        </w:tc>
        <w:tc>
          <w:tcPr>
            <w:tcW w:w="2132" w:type="pct"/>
            <w:vAlign w:val="center"/>
          </w:tcPr>
          <w:p w14:paraId="7FB8D2F5">
            <w:pPr>
              <w:pStyle w:val="12"/>
              <w:jc w:val="left"/>
            </w:pPr>
            <w:r>
              <w:rPr>
                <w:rFonts w:hint="eastAsia"/>
              </w:rPr>
              <w:t>46师271团2连一等兵</w:t>
            </w:r>
          </w:p>
        </w:tc>
        <w:tc>
          <w:tcPr>
            <w:tcW w:w="1259" w:type="pct"/>
            <w:vAlign w:val="center"/>
          </w:tcPr>
          <w:p w14:paraId="6D91E339">
            <w:pPr>
              <w:pStyle w:val="12"/>
              <w:jc w:val="left"/>
            </w:pPr>
            <w:r>
              <w:rPr>
                <w:rFonts w:hint="eastAsia"/>
              </w:rPr>
              <w:t>江苏无锡</w:t>
            </w:r>
          </w:p>
        </w:tc>
      </w:tr>
      <w:tr w14:paraId="1B9E97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BE7004E">
            <w:pPr>
              <w:pStyle w:val="12"/>
              <w:jc w:val="center"/>
            </w:pPr>
            <w:r>
              <w:rPr>
                <w:rFonts w:hint="eastAsia"/>
              </w:rPr>
              <w:t>刘顺添</w:t>
            </w:r>
          </w:p>
        </w:tc>
        <w:tc>
          <w:tcPr>
            <w:tcW w:w="388" w:type="pct"/>
            <w:vAlign w:val="center"/>
          </w:tcPr>
          <w:p w14:paraId="612F4436">
            <w:pPr>
              <w:pStyle w:val="12"/>
              <w:jc w:val="center"/>
            </w:pPr>
            <w:r>
              <w:rPr>
                <w:rFonts w:hint="eastAsia"/>
              </w:rPr>
              <w:t>男</w:t>
            </w:r>
          </w:p>
        </w:tc>
        <w:tc>
          <w:tcPr>
            <w:tcW w:w="582" w:type="pct"/>
            <w:vAlign w:val="center"/>
          </w:tcPr>
          <w:p w14:paraId="6D288077">
            <w:pPr>
              <w:pStyle w:val="12"/>
              <w:jc w:val="center"/>
            </w:pPr>
            <w:r>
              <w:rPr>
                <w:rFonts w:hint="eastAsia"/>
              </w:rPr>
              <w:t>南雄</w:t>
            </w:r>
          </w:p>
        </w:tc>
        <w:tc>
          <w:tcPr>
            <w:tcW w:w="2132" w:type="pct"/>
            <w:vAlign w:val="center"/>
          </w:tcPr>
          <w:p w14:paraId="3043C258">
            <w:pPr>
              <w:pStyle w:val="12"/>
              <w:jc w:val="left"/>
            </w:pPr>
            <w:r>
              <w:rPr>
                <w:rFonts w:hint="eastAsia"/>
              </w:rPr>
              <w:t>46师272团1连一等兵</w:t>
            </w:r>
          </w:p>
        </w:tc>
        <w:tc>
          <w:tcPr>
            <w:tcW w:w="1259" w:type="pct"/>
            <w:vAlign w:val="center"/>
          </w:tcPr>
          <w:p w14:paraId="279C45BA">
            <w:pPr>
              <w:pStyle w:val="12"/>
              <w:jc w:val="left"/>
            </w:pPr>
            <w:r>
              <w:rPr>
                <w:rFonts w:hint="eastAsia"/>
              </w:rPr>
              <w:t>江苏无锡</w:t>
            </w:r>
          </w:p>
        </w:tc>
      </w:tr>
      <w:tr w14:paraId="167ABF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9B4CCDD">
            <w:pPr>
              <w:pStyle w:val="12"/>
              <w:jc w:val="center"/>
            </w:pPr>
            <w:r>
              <w:rPr>
                <w:rFonts w:hint="eastAsia"/>
              </w:rPr>
              <w:t>张泰华</w:t>
            </w:r>
          </w:p>
        </w:tc>
        <w:tc>
          <w:tcPr>
            <w:tcW w:w="388" w:type="pct"/>
            <w:vAlign w:val="center"/>
          </w:tcPr>
          <w:p w14:paraId="29619D95">
            <w:pPr>
              <w:pStyle w:val="12"/>
              <w:jc w:val="center"/>
            </w:pPr>
            <w:r>
              <w:rPr>
                <w:rFonts w:hint="eastAsia"/>
              </w:rPr>
              <w:t>男</w:t>
            </w:r>
          </w:p>
        </w:tc>
        <w:tc>
          <w:tcPr>
            <w:tcW w:w="582" w:type="pct"/>
            <w:vAlign w:val="center"/>
          </w:tcPr>
          <w:p w14:paraId="1220FED7">
            <w:pPr>
              <w:pStyle w:val="12"/>
              <w:jc w:val="center"/>
            </w:pPr>
            <w:r>
              <w:rPr>
                <w:rFonts w:hint="eastAsia"/>
              </w:rPr>
              <w:t>南雄</w:t>
            </w:r>
          </w:p>
        </w:tc>
        <w:tc>
          <w:tcPr>
            <w:tcW w:w="2132" w:type="pct"/>
            <w:vAlign w:val="center"/>
          </w:tcPr>
          <w:p w14:paraId="2A005075">
            <w:pPr>
              <w:pStyle w:val="12"/>
              <w:jc w:val="left"/>
            </w:pPr>
            <w:r>
              <w:rPr>
                <w:rFonts w:hint="eastAsia"/>
              </w:rPr>
              <w:t>46师272团1连二等兵</w:t>
            </w:r>
          </w:p>
        </w:tc>
        <w:tc>
          <w:tcPr>
            <w:tcW w:w="1259" w:type="pct"/>
            <w:vAlign w:val="center"/>
          </w:tcPr>
          <w:p w14:paraId="0E662B90">
            <w:pPr>
              <w:pStyle w:val="12"/>
              <w:jc w:val="left"/>
            </w:pPr>
            <w:r>
              <w:rPr>
                <w:rFonts w:hint="eastAsia"/>
              </w:rPr>
              <w:t>江苏无锡</w:t>
            </w:r>
          </w:p>
        </w:tc>
      </w:tr>
      <w:tr w14:paraId="741631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B1CDDA0">
            <w:pPr>
              <w:pStyle w:val="12"/>
              <w:jc w:val="center"/>
            </w:pPr>
            <w:r>
              <w:rPr>
                <w:rFonts w:hint="eastAsia"/>
              </w:rPr>
              <w:t>吴文焕</w:t>
            </w:r>
          </w:p>
        </w:tc>
        <w:tc>
          <w:tcPr>
            <w:tcW w:w="388" w:type="pct"/>
            <w:vAlign w:val="center"/>
          </w:tcPr>
          <w:p w14:paraId="5F37C083">
            <w:pPr>
              <w:pStyle w:val="12"/>
              <w:jc w:val="center"/>
            </w:pPr>
            <w:r>
              <w:rPr>
                <w:rFonts w:hint="eastAsia"/>
              </w:rPr>
              <w:t>男</w:t>
            </w:r>
          </w:p>
        </w:tc>
        <w:tc>
          <w:tcPr>
            <w:tcW w:w="582" w:type="pct"/>
            <w:vAlign w:val="center"/>
          </w:tcPr>
          <w:p w14:paraId="4E15707D">
            <w:pPr>
              <w:pStyle w:val="12"/>
              <w:jc w:val="center"/>
            </w:pPr>
            <w:r>
              <w:rPr>
                <w:rFonts w:hint="eastAsia"/>
              </w:rPr>
              <w:t>南雄</w:t>
            </w:r>
          </w:p>
        </w:tc>
        <w:tc>
          <w:tcPr>
            <w:tcW w:w="2132" w:type="pct"/>
            <w:vAlign w:val="center"/>
          </w:tcPr>
          <w:p w14:paraId="1F06205F">
            <w:pPr>
              <w:pStyle w:val="12"/>
              <w:jc w:val="left"/>
            </w:pPr>
            <w:r>
              <w:rPr>
                <w:rFonts w:hint="eastAsia"/>
              </w:rPr>
              <w:t>46师272团1连二等兵</w:t>
            </w:r>
          </w:p>
        </w:tc>
        <w:tc>
          <w:tcPr>
            <w:tcW w:w="1259" w:type="pct"/>
            <w:vAlign w:val="center"/>
          </w:tcPr>
          <w:p w14:paraId="6C31D521">
            <w:pPr>
              <w:pStyle w:val="12"/>
              <w:jc w:val="left"/>
            </w:pPr>
            <w:r>
              <w:rPr>
                <w:rFonts w:hint="eastAsia"/>
              </w:rPr>
              <w:t>上海</w:t>
            </w:r>
          </w:p>
        </w:tc>
      </w:tr>
      <w:tr w14:paraId="66B40B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581B4EF">
            <w:pPr>
              <w:pStyle w:val="12"/>
              <w:jc w:val="center"/>
            </w:pPr>
            <w:r>
              <w:rPr>
                <w:rFonts w:hint="eastAsia"/>
              </w:rPr>
              <w:t>赖国英</w:t>
            </w:r>
          </w:p>
        </w:tc>
        <w:tc>
          <w:tcPr>
            <w:tcW w:w="388" w:type="pct"/>
            <w:vAlign w:val="center"/>
          </w:tcPr>
          <w:p w14:paraId="2A557082">
            <w:pPr>
              <w:pStyle w:val="12"/>
              <w:jc w:val="center"/>
            </w:pPr>
            <w:r>
              <w:rPr>
                <w:rFonts w:hint="eastAsia"/>
              </w:rPr>
              <w:t>男</w:t>
            </w:r>
          </w:p>
        </w:tc>
        <w:tc>
          <w:tcPr>
            <w:tcW w:w="582" w:type="pct"/>
            <w:vAlign w:val="center"/>
          </w:tcPr>
          <w:p w14:paraId="644869EC">
            <w:pPr>
              <w:pStyle w:val="12"/>
              <w:jc w:val="center"/>
            </w:pPr>
            <w:r>
              <w:rPr>
                <w:rFonts w:hint="eastAsia"/>
              </w:rPr>
              <w:t>南雄</w:t>
            </w:r>
          </w:p>
        </w:tc>
        <w:tc>
          <w:tcPr>
            <w:tcW w:w="2132" w:type="pct"/>
            <w:vAlign w:val="center"/>
          </w:tcPr>
          <w:p w14:paraId="265B9056">
            <w:pPr>
              <w:pStyle w:val="12"/>
              <w:jc w:val="left"/>
            </w:pPr>
            <w:r>
              <w:rPr>
                <w:rFonts w:hint="eastAsia"/>
              </w:rPr>
              <w:t>46师272团1连二等兵</w:t>
            </w:r>
          </w:p>
        </w:tc>
        <w:tc>
          <w:tcPr>
            <w:tcW w:w="1259" w:type="pct"/>
            <w:vAlign w:val="center"/>
          </w:tcPr>
          <w:p w14:paraId="4233FDBB">
            <w:pPr>
              <w:pStyle w:val="12"/>
              <w:jc w:val="left"/>
            </w:pPr>
            <w:r>
              <w:rPr>
                <w:rFonts w:hint="eastAsia"/>
              </w:rPr>
              <w:t>上海</w:t>
            </w:r>
          </w:p>
        </w:tc>
      </w:tr>
      <w:tr w14:paraId="108BD6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5E6A08D">
            <w:pPr>
              <w:pStyle w:val="12"/>
              <w:jc w:val="center"/>
            </w:pPr>
            <w:r>
              <w:rPr>
                <w:rFonts w:hint="eastAsia"/>
              </w:rPr>
              <w:t>王世恩</w:t>
            </w:r>
          </w:p>
        </w:tc>
        <w:tc>
          <w:tcPr>
            <w:tcW w:w="388" w:type="pct"/>
            <w:vAlign w:val="center"/>
          </w:tcPr>
          <w:p w14:paraId="37E2F92D">
            <w:pPr>
              <w:pStyle w:val="12"/>
              <w:jc w:val="center"/>
            </w:pPr>
            <w:r>
              <w:rPr>
                <w:rFonts w:hint="eastAsia"/>
              </w:rPr>
              <w:t>男</w:t>
            </w:r>
          </w:p>
        </w:tc>
        <w:tc>
          <w:tcPr>
            <w:tcW w:w="582" w:type="pct"/>
            <w:vAlign w:val="center"/>
          </w:tcPr>
          <w:p w14:paraId="07B01FF7">
            <w:pPr>
              <w:pStyle w:val="12"/>
              <w:jc w:val="center"/>
            </w:pPr>
            <w:r>
              <w:rPr>
                <w:rFonts w:hint="eastAsia"/>
              </w:rPr>
              <w:t>南雄</w:t>
            </w:r>
          </w:p>
        </w:tc>
        <w:tc>
          <w:tcPr>
            <w:tcW w:w="2132" w:type="pct"/>
            <w:vAlign w:val="center"/>
          </w:tcPr>
          <w:p w14:paraId="6C437559">
            <w:pPr>
              <w:pStyle w:val="12"/>
              <w:jc w:val="left"/>
            </w:pPr>
            <w:r>
              <w:rPr>
                <w:rFonts w:hint="eastAsia"/>
              </w:rPr>
              <w:t>46师272团1连二等兵</w:t>
            </w:r>
          </w:p>
        </w:tc>
        <w:tc>
          <w:tcPr>
            <w:tcW w:w="1259" w:type="pct"/>
            <w:vAlign w:val="center"/>
          </w:tcPr>
          <w:p w14:paraId="76F51359">
            <w:pPr>
              <w:pStyle w:val="12"/>
              <w:jc w:val="left"/>
            </w:pPr>
            <w:r>
              <w:rPr>
                <w:rFonts w:hint="eastAsia"/>
              </w:rPr>
              <w:t>江苏无锡</w:t>
            </w:r>
          </w:p>
        </w:tc>
      </w:tr>
      <w:tr w14:paraId="113F3B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CD982A1">
            <w:pPr>
              <w:pStyle w:val="12"/>
              <w:jc w:val="center"/>
            </w:pPr>
            <w:r>
              <w:rPr>
                <w:rFonts w:hint="eastAsia"/>
              </w:rPr>
              <w:t>黄瑞章</w:t>
            </w:r>
          </w:p>
        </w:tc>
        <w:tc>
          <w:tcPr>
            <w:tcW w:w="388" w:type="pct"/>
            <w:vAlign w:val="center"/>
          </w:tcPr>
          <w:p w14:paraId="124F398B">
            <w:pPr>
              <w:pStyle w:val="12"/>
              <w:jc w:val="center"/>
            </w:pPr>
            <w:r>
              <w:rPr>
                <w:rFonts w:hint="eastAsia"/>
              </w:rPr>
              <w:t>男</w:t>
            </w:r>
          </w:p>
        </w:tc>
        <w:tc>
          <w:tcPr>
            <w:tcW w:w="582" w:type="pct"/>
            <w:vAlign w:val="center"/>
          </w:tcPr>
          <w:p w14:paraId="1CD488B4">
            <w:pPr>
              <w:pStyle w:val="12"/>
              <w:jc w:val="center"/>
            </w:pPr>
            <w:r>
              <w:rPr>
                <w:rFonts w:hint="eastAsia"/>
              </w:rPr>
              <w:t>南雄</w:t>
            </w:r>
          </w:p>
        </w:tc>
        <w:tc>
          <w:tcPr>
            <w:tcW w:w="2132" w:type="pct"/>
            <w:vAlign w:val="center"/>
          </w:tcPr>
          <w:p w14:paraId="14437087">
            <w:pPr>
              <w:pStyle w:val="12"/>
              <w:jc w:val="left"/>
            </w:pPr>
            <w:r>
              <w:rPr>
                <w:rFonts w:hint="eastAsia"/>
              </w:rPr>
              <w:t>46师272团机连二等兵</w:t>
            </w:r>
          </w:p>
        </w:tc>
        <w:tc>
          <w:tcPr>
            <w:tcW w:w="1259" w:type="pct"/>
            <w:vAlign w:val="center"/>
          </w:tcPr>
          <w:p w14:paraId="2FA5365F">
            <w:pPr>
              <w:pStyle w:val="12"/>
              <w:jc w:val="left"/>
            </w:pPr>
            <w:r>
              <w:rPr>
                <w:rFonts w:hint="eastAsia"/>
              </w:rPr>
              <w:t>上海</w:t>
            </w:r>
          </w:p>
        </w:tc>
      </w:tr>
      <w:tr w14:paraId="354DF5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C3468A0">
            <w:pPr>
              <w:pStyle w:val="12"/>
              <w:jc w:val="center"/>
            </w:pPr>
            <w:r>
              <w:rPr>
                <w:rFonts w:hint="eastAsia"/>
              </w:rPr>
              <w:t>郭开江</w:t>
            </w:r>
          </w:p>
        </w:tc>
        <w:tc>
          <w:tcPr>
            <w:tcW w:w="388" w:type="pct"/>
            <w:vAlign w:val="center"/>
          </w:tcPr>
          <w:p w14:paraId="5ACD8943">
            <w:pPr>
              <w:pStyle w:val="12"/>
              <w:jc w:val="center"/>
            </w:pPr>
            <w:r>
              <w:rPr>
                <w:rFonts w:hint="eastAsia"/>
              </w:rPr>
              <w:t>男</w:t>
            </w:r>
          </w:p>
        </w:tc>
        <w:tc>
          <w:tcPr>
            <w:tcW w:w="582" w:type="pct"/>
            <w:vAlign w:val="center"/>
          </w:tcPr>
          <w:p w14:paraId="40C60B19">
            <w:pPr>
              <w:pStyle w:val="12"/>
              <w:jc w:val="center"/>
            </w:pPr>
            <w:r>
              <w:rPr>
                <w:rFonts w:hint="eastAsia"/>
              </w:rPr>
              <w:t>南雄</w:t>
            </w:r>
          </w:p>
        </w:tc>
        <w:tc>
          <w:tcPr>
            <w:tcW w:w="2132" w:type="pct"/>
            <w:vAlign w:val="center"/>
          </w:tcPr>
          <w:p w14:paraId="479E1AD1">
            <w:pPr>
              <w:pStyle w:val="12"/>
              <w:jc w:val="left"/>
            </w:pPr>
            <w:r>
              <w:rPr>
                <w:rFonts w:hint="eastAsia"/>
              </w:rPr>
              <w:t>46师272团机连二等兵</w:t>
            </w:r>
          </w:p>
        </w:tc>
        <w:tc>
          <w:tcPr>
            <w:tcW w:w="1259" w:type="pct"/>
            <w:vAlign w:val="center"/>
          </w:tcPr>
          <w:p w14:paraId="5E8DDD8E">
            <w:pPr>
              <w:pStyle w:val="12"/>
              <w:jc w:val="left"/>
            </w:pPr>
            <w:r>
              <w:rPr>
                <w:rFonts w:hint="eastAsia"/>
              </w:rPr>
              <w:t>上海</w:t>
            </w:r>
          </w:p>
        </w:tc>
      </w:tr>
      <w:tr w14:paraId="41A8931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0F610D0">
            <w:pPr>
              <w:pStyle w:val="12"/>
              <w:jc w:val="center"/>
            </w:pPr>
            <w:r>
              <w:rPr>
                <w:rFonts w:hint="eastAsia"/>
              </w:rPr>
              <w:t>胡宝良</w:t>
            </w:r>
          </w:p>
        </w:tc>
        <w:tc>
          <w:tcPr>
            <w:tcW w:w="388" w:type="pct"/>
            <w:vAlign w:val="center"/>
          </w:tcPr>
          <w:p w14:paraId="0459F3F9">
            <w:pPr>
              <w:pStyle w:val="12"/>
              <w:jc w:val="center"/>
            </w:pPr>
            <w:r>
              <w:rPr>
                <w:rFonts w:hint="eastAsia"/>
              </w:rPr>
              <w:t>男</w:t>
            </w:r>
          </w:p>
        </w:tc>
        <w:tc>
          <w:tcPr>
            <w:tcW w:w="582" w:type="pct"/>
            <w:vAlign w:val="center"/>
          </w:tcPr>
          <w:p w14:paraId="36A60A23">
            <w:pPr>
              <w:pStyle w:val="12"/>
              <w:jc w:val="center"/>
            </w:pPr>
            <w:r>
              <w:rPr>
                <w:rFonts w:hint="eastAsia"/>
              </w:rPr>
              <w:t>南雄</w:t>
            </w:r>
          </w:p>
        </w:tc>
        <w:tc>
          <w:tcPr>
            <w:tcW w:w="2132" w:type="pct"/>
            <w:vAlign w:val="center"/>
          </w:tcPr>
          <w:p w14:paraId="3DB981FB">
            <w:pPr>
              <w:pStyle w:val="12"/>
              <w:jc w:val="left"/>
            </w:pPr>
            <w:r>
              <w:rPr>
                <w:rFonts w:hint="eastAsia"/>
              </w:rPr>
              <w:t>57师337团9连二等兵</w:t>
            </w:r>
          </w:p>
        </w:tc>
        <w:tc>
          <w:tcPr>
            <w:tcW w:w="1259" w:type="pct"/>
            <w:vAlign w:val="center"/>
          </w:tcPr>
          <w:p w14:paraId="16E707AB">
            <w:pPr>
              <w:pStyle w:val="12"/>
              <w:jc w:val="left"/>
            </w:pPr>
            <w:r>
              <w:rPr>
                <w:rFonts w:hint="eastAsia"/>
              </w:rPr>
              <w:t>江西高安</w:t>
            </w:r>
          </w:p>
        </w:tc>
      </w:tr>
      <w:tr w14:paraId="398F44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A2B2B3F">
            <w:pPr>
              <w:pStyle w:val="12"/>
              <w:jc w:val="center"/>
            </w:pPr>
            <w:r>
              <w:rPr>
                <w:rFonts w:hint="eastAsia"/>
              </w:rPr>
              <w:t>沈发高</w:t>
            </w:r>
          </w:p>
        </w:tc>
        <w:tc>
          <w:tcPr>
            <w:tcW w:w="388" w:type="pct"/>
            <w:vAlign w:val="center"/>
          </w:tcPr>
          <w:p w14:paraId="384B9CD1">
            <w:pPr>
              <w:pStyle w:val="12"/>
              <w:jc w:val="center"/>
            </w:pPr>
            <w:r>
              <w:rPr>
                <w:rFonts w:hint="eastAsia"/>
              </w:rPr>
              <w:t>男</w:t>
            </w:r>
          </w:p>
        </w:tc>
        <w:tc>
          <w:tcPr>
            <w:tcW w:w="582" w:type="pct"/>
            <w:vAlign w:val="center"/>
          </w:tcPr>
          <w:p w14:paraId="6D6B878B">
            <w:pPr>
              <w:pStyle w:val="12"/>
              <w:jc w:val="center"/>
            </w:pPr>
            <w:r>
              <w:rPr>
                <w:rFonts w:hint="eastAsia"/>
              </w:rPr>
              <w:t>南雄</w:t>
            </w:r>
          </w:p>
        </w:tc>
        <w:tc>
          <w:tcPr>
            <w:tcW w:w="2132" w:type="pct"/>
            <w:vAlign w:val="center"/>
          </w:tcPr>
          <w:p w14:paraId="21D730D2">
            <w:pPr>
              <w:pStyle w:val="12"/>
              <w:jc w:val="left"/>
            </w:pPr>
            <w:r>
              <w:rPr>
                <w:rFonts w:hint="eastAsia"/>
              </w:rPr>
              <w:t>67师397团3连中尉代团长</w:t>
            </w:r>
          </w:p>
        </w:tc>
        <w:tc>
          <w:tcPr>
            <w:tcW w:w="1259" w:type="pct"/>
            <w:vAlign w:val="center"/>
          </w:tcPr>
          <w:p w14:paraId="7E401320">
            <w:pPr>
              <w:pStyle w:val="12"/>
              <w:jc w:val="left"/>
            </w:pPr>
            <w:r>
              <w:rPr>
                <w:rFonts w:hint="eastAsia"/>
              </w:rPr>
              <w:t>罗店</w:t>
            </w:r>
          </w:p>
        </w:tc>
      </w:tr>
      <w:tr w14:paraId="0FAD7B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A2E4437">
            <w:pPr>
              <w:pStyle w:val="12"/>
              <w:jc w:val="center"/>
            </w:pPr>
            <w:r>
              <w:rPr>
                <w:rFonts w:hint="eastAsia"/>
              </w:rPr>
              <w:t>田刚德</w:t>
            </w:r>
          </w:p>
        </w:tc>
        <w:tc>
          <w:tcPr>
            <w:tcW w:w="388" w:type="pct"/>
            <w:vAlign w:val="center"/>
          </w:tcPr>
          <w:p w14:paraId="5644355A">
            <w:pPr>
              <w:pStyle w:val="12"/>
              <w:jc w:val="center"/>
            </w:pPr>
            <w:r>
              <w:rPr>
                <w:rFonts w:hint="eastAsia"/>
              </w:rPr>
              <w:t>男</w:t>
            </w:r>
          </w:p>
        </w:tc>
        <w:tc>
          <w:tcPr>
            <w:tcW w:w="582" w:type="pct"/>
            <w:vAlign w:val="center"/>
          </w:tcPr>
          <w:p w14:paraId="77BB6ABE">
            <w:pPr>
              <w:pStyle w:val="12"/>
              <w:jc w:val="center"/>
            </w:pPr>
            <w:r>
              <w:rPr>
                <w:rFonts w:hint="eastAsia"/>
              </w:rPr>
              <w:t>南雄</w:t>
            </w:r>
          </w:p>
        </w:tc>
        <w:tc>
          <w:tcPr>
            <w:tcW w:w="2132" w:type="pct"/>
            <w:vAlign w:val="center"/>
          </w:tcPr>
          <w:p w14:paraId="5054D8ED">
            <w:pPr>
              <w:pStyle w:val="12"/>
              <w:jc w:val="left"/>
            </w:pPr>
            <w:r>
              <w:rPr>
                <w:rFonts w:hint="eastAsia"/>
              </w:rPr>
              <w:t>67师398团1连上等兵</w:t>
            </w:r>
          </w:p>
        </w:tc>
        <w:tc>
          <w:tcPr>
            <w:tcW w:w="1259" w:type="pct"/>
            <w:vAlign w:val="center"/>
          </w:tcPr>
          <w:p w14:paraId="4D88AD33">
            <w:pPr>
              <w:pStyle w:val="12"/>
              <w:jc w:val="left"/>
            </w:pPr>
            <w:r>
              <w:rPr>
                <w:rFonts w:hint="eastAsia"/>
              </w:rPr>
              <w:t>上海</w:t>
            </w:r>
          </w:p>
        </w:tc>
      </w:tr>
      <w:tr w14:paraId="16F62B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3C1302C">
            <w:pPr>
              <w:pStyle w:val="12"/>
              <w:jc w:val="center"/>
            </w:pPr>
            <w:r>
              <w:rPr>
                <w:rFonts w:hint="eastAsia"/>
              </w:rPr>
              <w:t>李径礼</w:t>
            </w:r>
          </w:p>
        </w:tc>
        <w:tc>
          <w:tcPr>
            <w:tcW w:w="388" w:type="pct"/>
            <w:vAlign w:val="center"/>
          </w:tcPr>
          <w:p w14:paraId="4AFA0AFE">
            <w:pPr>
              <w:pStyle w:val="12"/>
              <w:jc w:val="center"/>
            </w:pPr>
            <w:r>
              <w:rPr>
                <w:rFonts w:hint="eastAsia"/>
              </w:rPr>
              <w:t>男</w:t>
            </w:r>
          </w:p>
        </w:tc>
        <w:tc>
          <w:tcPr>
            <w:tcW w:w="582" w:type="pct"/>
            <w:vAlign w:val="center"/>
          </w:tcPr>
          <w:p w14:paraId="365C6DC8">
            <w:pPr>
              <w:pStyle w:val="12"/>
              <w:jc w:val="center"/>
            </w:pPr>
            <w:r>
              <w:rPr>
                <w:rFonts w:hint="eastAsia"/>
              </w:rPr>
              <w:t>南雄</w:t>
            </w:r>
          </w:p>
        </w:tc>
        <w:tc>
          <w:tcPr>
            <w:tcW w:w="2132" w:type="pct"/>
            <w:vAlign w:val="center"/>
          </w:tcPr>
          <w:p w14:paraId="57D0AC22">
            <w:pPr>
              <w:pStyle w:val="12"/>
              <w:jc w:val="left"/>
            </w:pPr>
            <w:r>
              <w:rPr>
                <w:rFonts w:hint="eastAsia"/>
              </w:rPr>
              <w:t>67师401团5连一等兵</w:t>
            </w:r>
          </w:p>
        </w:tc>
        <w:tc>
          <w:tcPr>
            <w:tcW w:w="1259" w:type="pct"/>
            <w:vAlign w:val="center"/>
          </w:tcPr>
          <w:p w14:paraId="6499DF71">
            <w:pPr>
              <w:pStyle w:val="12"/>
              <w:jc w:val="left"/>
            </w:pPr>
            <w:r>
              <w:rPr>
                <w:rFonts w:hint="eastAsia"/>
              </w:rPr>
              <w:t>江苏武进</w:t>
            </w:r>
          </w:p>
        </w:tc>
      </w:tr>
      <w:tr w14:paraId="0E52CF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192A5D5">
            <w:pPr>
              <w:pStyle w:val="12"/>
              <w:jc w:val="center"/>
            </w:pPr>
            <w:r>
              <w:rPr>
                <w:rFonts w:hint="eastAsia"/>
              </w:rPr>
              <w:t>尹述辉</w:t>
            </w:r>
          </w:p>
        </w:tc>
        <w:tc>
          <w:tcPr>
            <w:tcW w:w="388" w:type="pct"/>
            <w:vAlign w:val="center"/>
          </w:tcPr>
          <w:p w14:paraId="4A3BD114">
            <w:pPr>
              <w:pStyle w:val="12"/>
              <w:jc w:val="center"/>
            </w:pPr>
            <w:r>
              <w:rPr>
                <w:rFonts w:hint="eastAsia"/>
              </w:rPr>
              <w:t>男</w:t>
            </w:r>
          </w:p>
        </w:tc>
        <w:tc>
          <w:tcPr>
            <w:tcW w:w="582" w:type="pct"/>
            <w:vAlign w:val="center"/>
          </w:tcPr>
          <w:p w14:paraId="60333303">
            <w:pPr>
              <w:pStyle w:val="12"/>
              <w:jc w:val="center"/>
            </w:pPr>
            <w:r>
              <w:rPr>
                <w:rFonts w:hint="eastAsia"/>
              </w:rPr>
              <w:t>南雄</w:t>
            </w:r>
          </w:p>
        </w:tc>
        <w:tc>
          <w:tcPr>
            <w:tcW w:w="2132" w:type="pct"/>
            <w:vAlign w:val="center"/>
          </w:tcPr>
          <w:p w14:paraId="5B77FB11">
            <w:pPr>
              <w:pStyle w:val="12"/>
              <w:jc w:val="left"/>
            </w:pPr>
            <w:r>
              <w:rPr>
                <w:rFonts w:hint="eastAsia"/>
              </w:rPr>
              <w:t>67师野战补充团辎重兵营汽班上士</w:t>
            </w:r>
          </w:p>
        </w:tc>
        <w:tc>
          <w:tcPr>
            <w:tcW w:w="1259" w:type="pct"/>
            <w:vAlign w:val="center"/>
          </w:tcPr>
          <w:p w14:paraId="7B916EB8">
            <w:pPr>
              <w:pStyle w:val="12"/>
              <w:jc w:val="left"/>
            </w:pPr>
            <w:r>
              <w:rPr>
                <w:rFonts w:hint="eastAsia"/>
              </w:rPr>
              <w:t>安徽青阳</w:t>
            </w:r>
          </w:p>
        </w:tc>
      </w:tr>
      <w:tr w14:paraId="18F2B4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04A16DD">
            <w:pPr>
              <w:pStyle w:val="12"/>
              <w:jc w:val="center"/>
            </w:pPr>
            <w:r>
              <w:rPr>
                <w:rFonts w:hint="eastAsia"/>
              </w:rPr>
              <w:t>谢宗修</w:t>
            </w:r>
          </w:p>
        </w:tc>
        <w:tc>
          <w:tcPr>
            <w:tcW w:w="388" w:type="pct"/>
            <w:vAlign w:val="center"/>
          </w:tcPr>
          <w:p w14:paraId="07734CB1">
            <w:pPr>
              <w:pStyle w:val="12"/>
              <w:jc w:val="center"/>
            </w:pPr>
            <w:r>
              <w:rPr>
                <w:rFonts w:hint="eastAsia"/>
              </w:rPr>
              <w:t>男</w:t>
            </w:r>
          </w:p>
        </w:tc>
        <w:tc>
          <w:tcPr>
            <w:tcW w:w="582" w:type="pct"/>
            <w:vAlign w:val="center"/>
          </w:tcPr>
          <w:p w14:paraId="380F43AD">
            <w:pPr>
              <w:pStyle w:val="12"/>
              <w:jc w:val="center"/>
            </w:pPr>
            <w:r>
              <w:rPr>
                <w:rFonts w:hint="eastAsia"/>
              </w:rPr>
              <w:t>南雄</w:t>
            </w:r>
          </w:p>
        </w:tc>
        <w:tc>
          <w:tcPr>
            <w:tcW w:w="2132" w:type="pct"/>
            <w:vAlign w:val="center"/>
          </w:tcPr>
          <w:p w14:paraId="5B713642">
            <w:pPr>
              <w:pStyle w:val="12"/>
              <w:jc w:val="left"/>
            </w:pPr>
            <w:r>
              <w:rPr>
                <w:rFonts w:hint="eastAsia"/>
              </w:rPr>
              <w:t>77师231团6连上等兵</w:t>
            </w:r>
          </w:p>
        </w:tc>
        <w:tc>
          <w:tcPr>
            <w:tcW w:w="1259" w:type="pct"/>
            <w:vAlign w:val="center"/>
          </w:tcPr>
          <w:p w14:paraId="386B1CFD">
            <w:pPr>
              <w:pStyle w:val="12"/>
              <w:jc w:val="left"/>
            </w:pPr>
            <w:r>
              <w:rPr>
                <w:rFonts w:hint="eastAsia"/>
              </w:rPr>
              <w:t>华容</w:t>
            </w:r>
          </w:p>
        </w:tc>
      </w:tr>
      <w:tr w14:paraId="66A07E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AF2EBB7">
            <w:pPr>
              <w:pStyle w:val="12"/>
              <w:jc w:val="center"/>
            </w:pPr>
            <w:r>
              <w:rPr>
                <w:rFonts w:hint="eastAsia"/>
              </w:rPr>
              <w:t>刘耀春</w:t>
            </w:r>
          </w:p>
        </w:tc>
        <w:tc>
          <w:tcPr>
            <w:tcW w:w="388" w:type="pct"/>
            <w:vAlign w:val="center"/>
          </w:tcPr>
          <w:p w14:paraId="6EDCA45F">
            <w:pPr>
              <w:pStyle w:val="12"/>
              <w:jc w:val="center"/>
            </w:pPr>
            <w:r>
              <w:rPr>
                <w:rFonts w:hint="eastAsia"/>
              </w:rPr>
              <w:t>男</w:t>
            </w:r>
          </w:p>
        </w:tc>
        <w:tc>
          <w:tcPr>
            <w:tcW w:w="582" w:type="pct"/>
            <w:vAlign w:val="center"/>
          </w:tcPr>
          <w:p w14:paraId="6F0AFAC4">
            <w:pPr>
              <w:pStyle w:val="12"/>
              <w:jc w:val="center"/>
            </w:pPr>
            <w:r>
              <w:rPr>
                <w:rFonts w:hint="eastAsia"/>
              </w:rPr>
              <w:t>南雄</w:t>
            </w:r>
          </w:p>
        </w:tc>
        <w:tc>
          <w:tcPr>
            <w:tcW w:w="2132" w:type="pct"/>
            <w:vAlign w:val="center"/>
          </w:tcPr>
          <w:p w14:paraId="1326231B">
            <w:pPr>
              <w:pStyle w:val="12"/>
              <w:jc w:val="left"/>
            </w:pPr>
            <w:r>
              <w:rPr>
                <w:rFonts w:hint="eastAsia"/>
              </w:rPr>
              <w:t>78师1团机2连一等兵</w:t>
            </w:r>
          </w:p>
        </w:tc>
        <w:tc>
          <w:tcPr>
            <w:tcW w:w="1259" w:type="pct"/>
            <w:vAlign w:val="center"/>
          </w:tcPr>
          <w:p w14:paraId="2F2F91FE">
            <w:pPr>
              <w:pStyle w:val="12"/>
              <w:jc w:val="left"/>
            </w:pPr>
            <w:r>
              <w:rPr>
                <w:rFonts w:hint="eastAsia"/>
              </w:rPr>
              <w:t>淞沪</w:t>
            </w:r>
          </w:p>
        </w:tc>
      </w:tr>
      <w:tr w14:paraId="0364D2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78B5CB2">
            <w:pPr>
              <w:pStyle w:val="12"/>
              <w:jc w:val="center"/>
            </w:pPr>
            <w:r>
              <w:rPr>
                <w:rFonts w:hint="eastAsia"/>
              </w:rPr>
              <w:t>李道书</w:t>
            </w:r>
          </w:p>
        </w:tc>
        <w:tc>
          <w:tcPr>
            <w:tcW w:w="388" w:type="pct"/>
            <w:vAlign w:val="center"/>
          </w:tcPr>
          <w:p w14:paraId="15084325">
            <w:pPr>
              <w:pStyle w:val="12"/>
              <w:jc w:val="center"/>
            </w:pPr>
            <w:r>
              <w:rPr>
                <w:rFonts w:hint="eastAsia"/>
              </w:rPr>
              <w:t>男</w:t>
            </w:r>
          </w:p>
        </w:tc>
        <w:tc>
          <w:tcPr>
            <w:tcW w:w="582" w:type="pct"/>
            <w:vAlign w:val="center"/>
          </w:tcPr>
          <w:p w14:paraId="760069F7">
            <w:pPr>
              <w:pStyle w:val="12"/>
              <w:jc w:val="center"/>
            </w:pPr>
            <w:r>
              <w:rPr>
                <w:rFonts w:hint="eastAsia"/>
              </w:rPr>
              <w:t>南雄</w:t>
            </w:r>
          </w:p>
        </w:tc>
        <w:tc>
          <w:tcPr>
            <w:tcW w:w="2132" w:type="pct"/>
            <w:vAlign w:val="center"/>
          </w:tcPr>
          <w:p w14:paraId="1DB51533">
            <w:pPr>
              <w:pStyle w:val="12"/>
              <w:jc w:val="left"/>
            </w:pPr>
            <w:r>
              <w:rPr>
                <w:rFonts w:hint="eastAsia"/>
              </w:rPr>
              <w:t>93师277团机1连二等兵</w:t>
            </w:r>
          </w:p>
        </w:tc>
        <w:tc>
          <w:tcPr>
            <w:tcW w:w="1259" w:type="pct"/>
            <w:vAlign w:val="center"/>
          </w:tcPr>
          <w:p w14:paraId="004D41A2">
            <w:pPr>
              <w:pStyle w:val="12"/>
              <w:jc w:val="left"/>
            </w:pPr>
            <w:r>
              <w:rPr>
                <w:rFonts w:hint="eastAsia"/>
              </w:rPr>
              <w:t>猛戈</w:t>
            </w:r>
          </w:p>
        </w:tc>
      </w:tr>
      <w:tr w14:paraId="37FBCF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4815A02">
            <w:pPr>
              <w:pStyle w:val="12"/>
              <w:jc w:val="center"/>
            </w:pPr>
            <w:r>
              <w:rPr>
                <w:rFonts w:hint="eastAsia"/>
              </w:rPr>
              <w:t>胡初发</w:t>
            </w:r>
          </w:p>
        </w:tc>
        <w:tc>
          <w:tcPr>
            <w:tcW w:w="388" w:type="pct"/>
            <w:vAlign w:val="center"/>
          </w:tcPr>
          <w:p w14:paraId="57BDC6D8">
            <w:pPr>
              <w:pStyle w:val="12"/>
              <w:jc w:val="center"/>
            </w:pPr>
            <w:r>
              <w:rPr>
                <w:rFonts w:hint="eastAsia"/>
              </w:rPr>
              <w:t>男</w:t>
            </w:r>
          </w:p>
        </w:tc>
        <w:tc>
          <w:tcPr>
            <w:tcW w:w="582" w:type="pct"/>
            <w:vAlign w:val="center"/>
          </w:tcPr>
          <w:p w14:paraId="0B2EC2D1">
            <w:pPr>
              <w:pStyle w:val="12"/>
              <w:jc w:val="center"/>
            </w:pPr>
            <w:r>
              <w:rPr>
                <w:rFonts w:hint="eastAsia"/>
              </w:rPr>
              <w:t>南雄</w:t>
            </w:r>
          </w:p>
        </w:tc>
        <w:tc>
          <w:tcPr>
            <w:tcW w:w="2132" w:type="pct"/>
            <w:vAlign w:val="center"/>
          </w:tcPr>
          <w:p w14:paraId="5B52AB5F">
            <w:pPr>
              <w:pStyle w:val="12"/>
              <w:jc w:val="left"/>
            </w:pPr>
            <w:r>
              <w:rPr>
                <w:rFonts w:hint="eastAsia"/>
              </w:rPr>
              <w:t>133师399团1连一等兵</w:t>
            </w:r>
          </w:p>
        </w:tc>
        <w:tc>
          <w:tcPr>
            <w:tcW w:w="1259" w:type="pct"/>
            <w:vAlign w:val="center"/>
          </w:tcPr>
          <w:p w14:paraId="08128F54">
            <w:pPr>
              <w:pStyle w:val="12"/>
              <w:jc w:val="left"/>
            </w:pPr>
            <w:r>
              <w:rPr>
                <w:rFonts w:hint="eastAsia"/>
              </w:rPr>
              <w:t>湖北崇阳</w:t>
            </w:r>
          </w:p>
        </w:tc>
      </w:tr>
      <w:tr w14:paraId="27CAEB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CF7B3EC">
            <w:pPr>
              <w:pStyle w:val="12"/>
              <w:jc w:val="center"/>
            </w:pPr>
            <w:r>
              <w:rPr>
                <w:rFonts w:hint="eastAsia"/>
              </w:rPr>
              <w:t>张泰荣</w:t>
            </w:r>
          </w:p>
        </w:tc>
        <w:tc>
          <w:tcPr>
            <w:tcW w:w="388" w:type="pct"/>
            <w:vAlign w:val="center"/>
          </w:tcPr>
          <w:p w14:paraId="6DA31390">
            <w:pPr>
              <w:pStyle w:val="12"/>
              <w:jc w:val="center"/>
            </w:pPr>
            <w:r>
              <w:rPr>
                <w:rFonts w:hint="eastAsia"/>
              </w:rPr>
              <w:t>男</w:t>
            </w:r>
          </w:p>
        </w:tc>
        <w:tc>
          <w:tcPr>
            <w:tcW w:w="582" w:type="pct"/>
            <w:vAlign w:val="center"/>
          </w:tcPr>
          <w:p w14:paraId="340596BB">
            <w:pPr>
              <w:pStyle w:val="12"/>
              <w:jc w:val="center"/>
            </w:pPr>
            <w:r>
              <w:rPr>
                <w:rFonts w:hint="eastAsia"/>
              </w:rPr>
              <w:t>南雄</w:t>
            </w:r>
          </w:p>
        </w:tc>
        <w:tc>
          <w:tcPr>
            <w:tcW w:w="2132" w:type="pct"/>
            <w:vAlign w:val="center"/>
          </w:tcPr>
          <w:p w14:paraId="7321CC6C">
            <w:pPr>
              <w:pStyle w:val="12"/>
              <w:jc w:val="left"/>
            </w:pPr>
            <w:r>
              <w:rPr>
                <w:rFonts w:hint="eastAsia"/>
              </w:rPr>
              <w:t>152师454团6连一等兵</w:t>
            </w:r>
          </w:p>
        </w:tc>
        <w:tc>
          <w:tcPr>
            <w:tcW w:w="1259" w:type="pct"/>
            <w:vAlign w:val="center"/>
          </w:tcPr>
          <w:p w14:paraId="5B79F9C9">
            <w:pPr>
              <w:pStyle w:val="12"/>
              <w:jc w:val="left"/>
            </w:pPr>
            <w:r>
              <w:rPr>
                <w:rFonts w:hint="eastAsia"/>
              </w:rPr>
              <w:t>广东从化</w:t>
            </w:r>
          </w:p>
        </w:tc>
      </w:tr>
      <w:tr w14:paraId="0FB446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4F5DFE1">
            <w:pPr>
              <w:pStyle w:val="12"/>
              <w:jc w:val="center"/>
            </w:pPr>
            <w:r>
              <w:rPr>
                <w:rFonts w:hint="eastAsia"/>
              </w:rPr>
              <w:t>刘家生</w:t>
            </w:r>
          </w:p>
        </w:tc>
        <w:tc>
          <w:tcPr>
            <w:tcW w:w="388" w:type="pct"/>
            <w:vAlign w:val="center"/>
          </w:tcPr>
          <w:p w14:paraId="57437973">
            <w:pPr>
              <w:pStyle w:val="12"/>
              <w:jc w:val="center"/>
            </w:pPr>
            <w:r>
              <w:rPr>
                <w:rFonts w:hint="eastAsia"/>
              </w:rPr>
              <w:t>男</w:t>
            </w:r>
          </w:p>
        </w:tc>
        <w:tc>
          <w:tcPr>
            <w:tcW w:w="582" w:type="pct"/>
            <w:vAlign w:val="center"/>
          </w:tcPr>
          <w:p w14:paraId="3C5D5681">
            <w:pPr>
              <w:pStyle w:val="12"/>
              <w:jc w:val="center"/>
            </w:pPr>
            <w:r>
              <w:rPr>
                <w:rFonts w:hint="eastAsia"/>
              </w:rPr>
              <w:t>南雄</w:t>
            </w:r>
          </w:p>
        </w:tc>
        <w:tc>
          <w:tcPr>
            <w:tcW w:w="2132" w:type="pct"/>
            <w:vAlign w:val="center"/>
          </w:tcPr>
          <w:p w14:paraId="4317E79B">
            <w:pPr>
              <w:pStyle w:val="12"/>
              <w:jc w:val="left"/>
            </w:pPr>
            <w:r>
              <w:rPr>
                <w:rFonts w:hint="eastAsia"/>
              </w:rPr>
              <w:t>152师455团6连上等兵</w:t>
            </w:r>
          </w:p>
        </w:tc>
        <w:tc>
          <w:tcPr>
            <w:tcW w:w="1259" w:type="pct"/>
            <w:vAlign w:val="center"/>
          </w:tcPr>
          <w:p w14:paraId="7673BC8B">
            <w:pPr>
              <w:pStyle w:val="12"/>
              <w:jc w:val="left"/>
            </w:pPr>
            <w:r>
              <w:rPr>
                <w:rFonts w:hint="eastAsia"/>
              </w:rPr>
              <w:t>广东从化</w:t>
            </w:r>
          </w:p>
        </w:tc>
      </w:tr>
      <w:tr w14:paraId="172492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C0A91C0">
            <w:pPr>
              <w:pStyle w:val="12"/>
              <w:jc w:val="center"/>
            </w:pPr>
            <w:r>
              <w:rPr>
                <w:rFonts w:hint="eastAsia"/>
              </w:rPr>
              <w:t>李绍棠</w:t>
            </w:r>
          </w:p>
        </w:tc>
        <w:tc>
          <w:tcPr>
            <w:tcW w:w="388" w:type="pct"/>
            <w:vAlign w:val="center"/>
          </w:tcPr>
          <w:p w14:paraId="0CAF8FE7">
            <w:pPr>
              <w:pStyle w:val="12"/>
              <w:jc w:val="center"/>
            </w:pPr>
            <w:r>
              <w:rPr>
                <w:rFonts w:hint="eastAsia"/>
              </w:rPr>
              <w:t>男</w:t>
            </w:r>
          </w:p>
        </w:tc>
        <w:tc>
          <w:tcPr>
            <w:tcW w:w="582" w:type="pct"/>
            <w:vAlign w:val="center"/>
          </w:tcPr>
          <w:p w14:paraId="52AF19F3">
            <w:pPr>
              <w:pStyle w:val="12"/>
              <w:jc w:val="center"/>
            </w:pPr>
            <w:r>
              <w:rPr>
                <w:rFonts w:hint="eastAsia"/>
              </w:rPr>
              <w:t>南雄</w:t>
            </w:r>
          </w:p>
        </w:tc>
        <w:tc>
          <w:tcPr>
            <w:tcW w:w="2132" w:type="pct"/>
            <w:vAlign w:val="center"/>
          </w:tcPr>
          <w:p w14:paraId="0E710D69">
            <w:pPr>
              <w:pStyle w:val="12"/>
              <w:jc w:val="left"/>
            </w:pPr>
            <w:r>
              <w:rPr>
                <w:rFonts w:hint="eastAsia"/>
              </w:rPr>
              <w:t>154师461团2连一等兵</w:t>
            </w:r>
          </w:p>
        </w:tc>
        <w:tc>
          <w:tcPr>
            <w:tcW w:w="1259" w:type="pct"/>
            <w:vAlign w:val="center"/>
          </w:tcPr>
          <w:p w14:paraId="216CF422">
            <w:pPr>
              <w:pStyle w:val="12"/>
              <w:jc w:val="left"/>
            </w:pPr>
            <w:r>
              <w:rPr>
                <w:rFonts w:hint="eastAsia"/>
              </w:rPr>
              <w:t>广东清远</w:t>
            </w:r>
          </w:p>
        </w:tc>
      </w:tr>
      <w:tr w14:paraId="17F1CC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6CAA7C0">
            <w:pPr>
              <w:pStyle w:val="12"/>
              <w:jc w:val="center"/>
            </w:pPr>
            <w:r>
              <w:rPr>
                <w:rFonts w:hint="eastAsia"/>
              </w:rPr>
              <w:t>蔡东成</w:t>
            </w:r>
          </w:p>
        </w:tc>
        <w:tc>
          <w:tcPr>
            <w:tcW w:w="388" w:type="pct"/>
            <w:vAlign w:val="center"/>
          </w:tcPr>
          <w:p w14:paraId="7DB67D5D">
            <w:pPr>
              <w:pStyle w:val="12"/>
              <w:jc w:val="center"/>
            </w:pPr>
            <w:r>
              <w:rPr>
                <w:rFonts w:hint="eastAsia"/>
              </w:rPr>
              <w:t>男</w:t>
            </w:r>
          </w:p>
        </w:tc>
        <w:tc>
          <w:tcPr>
            <w:tcW w:w="582" w:type="pct"/>
            <w:vAlign w:val="center"/>
          </w:tcPr>
          <w:p w14:paraId="197E6249">
            <w:pPr>
              <w:pStyle w:val="12"/>
              <w:jc w:val="center"/>
            </w:pPr>
            <w:r>
              <w:rPr>
                <w:rFonts w:hint="eastAsia"/>
              </w:rPr>
              <w:t>南雄</w:t>
            </w:r>
          </w:p>
        </w:tc>
        <w:tc>
          <w:tcPr>
            <w:tcW w:w="2132" w:type="pct"/>
            <w:vAlign w:val="center"/>
          </w:tcPr>
          <w:p w14:paraId="062B7EDD">
            <w:pPr>
              <w:pStyle w:val="12"/>
              <w:jc w:val="left"/>
            </w:pPr>
            <w:r>
              <w:rPr>
                <w:rFonts w:hint="eastAsia"/>
              </w:rPr>
              <w:t>154师919团5连下士</w:t>
            </w:r>
          </w:p>
        </w:tc>
        <w:tc>
          <w:tcPr>
            <w:tcW w:w="1259" w:type="pct"/>
            <w:vAlign w:val="center"/>
          </w:tcPr>
          <w:p w14:paraId="7E6043EA">
            <w:pPr>
              <w:pStyle w:val="12"/>
              <w:jc w:val="left"/>
            </w:pPr>
            <w:r>
              <w:rPr>
                <w:rFonts w:hint="eastAsia"/>
              </w:rPr>
              <w:t>广东从化</w:t>
            </w:r>
          </w:p>
        </w:tc>
      </w:tr>
      <w:tr w14:paraId="1A2EF6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715365B">
            <w:pPr>
              <w:pStyle w:val="12"/>
              <w:jc w:val="center"/>
            </w:pPr>
            <w:r>
              <w:rPr>
                <w:rFonts w:hint="eastAsia"/>
              </w:rPr>
              <w:t>杨运群</w:t>
            </w:r>
          </w:p>
        </w:tc>
        <w:tc>
          <w:tcPr>
            <w:tcW w:w="388" w:type="pct"/>
            <w:vAlign w:val="center"/>
          </w:tcPr>
          <w:p w14:paraId="349E7356">
            <w:pPr>
              <w:pStyle w:val="12"/>
              <w:jc w:val="center"/>
            </w:pPr>
            <w:r>
              <w:rPr>
                <w:rFonts w:hint="eastAsia"/>
              </w:rPr>
              <w:t>男</w:t>
            </w:r>
          </w:p>
        </w:tc>
        <w:tc>
          <w:tcPr>
            <w:tcW w:w="582" w:type="pct"/>
            <w:vAlign w:val="center"/>
          </w:tcPr>
          <w:p w14:paraId="592C22BE">
            <w:pPr>
              <w:pStyle w:val="12"/>
              <w:jc w:val="center"/>
            </w:pPr>
            <w:r>
              <w:rPr>
                <w:rFonts w:hint="eastAsia"/>
              </w:rPr>
              <w:t>南雄</w:t>
            </w:r>
          </w:p>
        </w:tc>
        <w:tc>
          <w:tcPr>
            <w:tcW w:w="2132" w:type="pct"/>
            <w:vAlign w:val="center"/>
          </w:tcPr>
          <w:p w14:paraId="0F9284F0">
            <w:pPr>
              <w:pStyle w:val="12"/>
              <w:jc w:val="left"/>
            </w:pPr>
            <w:r>
              <w:rPr>
                <w:rFonts w:hint="eastAsia"/>
              </w:rPr>
              <w:t>154师461团9连二等兵</w:t>
            </w:r>
          </w:p>
        </w:tc>
        <w:tc>
          <w:tcPr>
            <w:tcW w:w="1259" w:type="pct"/>
            <w:vAlign w:val="center"/>
          </w:tcPr>
          <w:p w14:paraId="5FC1F220">
            <w:pPr>
              <w:pStyle w:val="12"/>
              <w:jc w:val="left"/>
            </w:pPr>
            <w:r>
              <w:rPr>
                <w:rFonts w:hint="eastAsia"/>
              </w:rPr>
              <w:t>江西信丰</w:t>
            </w:r>
          </w:p>
        </w:tc>
      </w:tr>
      <w:tr w14:paraId="6348A5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C454C73">
            <w:pPr>
              <w:pStyle w:val="12"/>
              <w:jc w:val="center"/>
            </w:pPr>
            <w:r>
              <w:rPr>
                <w:rFonts w:hint="eastAsia"/>
              </w:rPr>
              <w:t>陈万选</w:t>
            </w:r>
          </w:p>
        </w:tc>
        <w:tc>
          <w:tcPr>
            <w:tcW w:w="388" w:type="pct"/>
            <w:vAlign w:val="center"/>
          </w:tcPr>
          <w:p w14:paraId="4EDD517F">
            <w:pPr>
              <w:pStyle w:val="12"/>
              <w:jc w:val="center"/>
            </w:pPr>
            <w:r>
              <w:rPr>
                <w:rFonts w:hint="eastAsia"/>
              </w:rPr>
              <w:t>男</w:t>
            </w:r>
          </w:p>
        </w:tc>
        <w:tc>
          <w:tcPr>
            <w:tcW w:w="582" w:type="pct"/>
            <w:vAlign w:val="center"/>
          </w:tcPr>
          <w:p w14:paraId="040FFA7C">
            <w:pPr>
              <w:pStyle w:val="12"/>
              <w:jc w:val="center"/>
            </w:pPr>
            <w:r>
              <w:rPr>
                <w:rFonts w:hint="eastAsia"/>
              </w:rPr>
              <w:t>南雄</w:t>
            </w:r>
          </w:p>
        </w:tc>
        <w:tc>
          <w:tcPr>
            <w:tcW w:w="2132" w:type="pct"/>
            <w:vAlign w:val="center"/>
          </w:tcPr>
          <w:p w14:paraId="333000EA">
            <w:pPr>
              <w:pStyle w:val="12"/>
              <w:jc w:val="left"/>
            </w:pPr>
            <w:r>
              <w:rPr>
                <w:rFonts w:hint="eastAsia"/>
              </w:rPr>
              <w:t>160师478团7连二等兵</w:t>
            </w:r>
          </w:p>
        </w:tc>
        <w:tc>
          <w:tcPr>
            <w:tcW w:w="1259" w:type="pct"/>
            <w:vAlign w:val="center"/>
          </w:tcPr>
          <w:p w14:paraId="3E4341DC">
            <w:pPr>
              <w:pStyle w:val="12"/>
              <w:jc w:val="left"/>
            </w:pPr>
            <w:r>
              <w:rPr>
                <w:rFonts w:hint="eastAsia"/>
              </w:rPr>
              <w:t>广东乳源</w:t>
            </w:r>
          </w:p>
        </w:tc>
      </w:tr>
      <w:tr w14:paraId="170C59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7863321">
            <w:pPr>
              <w:pStyle w:val="12"/>
              <w:jc w:val="center"/>
            </w:pPr>
            <w:r>
              <w:rPr>
                <w:rFonts w:hint="eastAsia"/>
              </w:rPr>
              <w:t>刘启运</w:t>
            </w:r>
          </w:p>
        </w:tc>
        <w:tc>
          <w:tcPr>
            <w:tcW w:w="388" w:type="pct"/>
            <w:vAlign w:val="center"/>
          </w:tcPr>
          <w:p w14:paraId="62485A47">
            <w:pPr>
              <w:pStyle w:val="12"/>
              <w:jc w:val="center"/>
            </w:pPr>
            <w:r>
              <w:rPr>
                <w:rFonts w:hint="eastAsia"/>
              </w:rPr>
              <w:t>男</w:t>
            </w:r>
          </w:p>
        </w:tc>
        <w:tc>
          <w:tcPr>
            <w:tcW w:w="582" w:type="pct"/>
            <w:vAlign w:val="center"/>
          </w:tcPr>
          <w:p w14:paraId="2846028D">
            <w:pPr>
              <w:pStyle w:val="12"/>
              <w:jc w:val="center"/>
            </w:pPr>
            <w:r>
              <w:rPr>
                <w:rFonts w:hint="eastAsia"/>
              </w:rPr>
              <w:t>南雄</w:t>
            </w:r>
          </w:p>
        </w:tc>
        <w:tc>
          <w:tcPr>
            <w:tcW w:w="2132" w:type="pct"/>
            <w:vAlign w:val="center"/>
          </w:tcPr>
          <w:p w14:paraId="25F59938">
            <w:pPr>
              <w:pStyle w:val="12"/>
              <w:jc w:val="left"/>
            </w:pPr>
            <w:r>
              <w:rPr>
                <w:rFonts w:hint="eastAsia"/>
              </w:rPr>
              <w:t>160师478团7连二等兵</w:t>
            </w:r>
          </w:p>
        </w:tc>
        <w:tc>
          <w:tcPr>
            <w:tcW w:w="1259" w:type="pct"/>
            <w:vAlign w:val="center"/>
          </w:tcPr>
          <w:p w14:paraId="193946B3">
            <w:pPr>
              <w:pStyle w:val="12"/>
              <w:jc w:val="left"/>
            </w:pPr>
            <w:r>
              <w:rPr>
                <w:rFonts w:hint="eastAsia"/>
              </w:rPr>
              <w:t>广东乳源</w:t>
            </w:r>
          </w:p>
        </w:tc>
      </w:tr>
      <w:tr w14:paraId="60C2C8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8564DF9">
            <w:pPr>
              <w:pStyle w:val="12"/>
              <w:jc w:val="center"/>
            </w:pPr>
            <w:r>
              <w:rPr>
                <w:rFonts w:hint="eastAsia"/>
              </w:rPr>
              <w:t>陈生记</w:t>
            </w:r>
          </w:p>
        </w:tc>
        <w:tc>
          <w:tcPr>
            <w:tcW w:w="388" w:type="pct"/>
            <w:vAlign w:val="center"/>
          </w:tcPr>
          <w:p w14:paraId="2E393D1D">
            <w:pPr>
              <w:pStyle w:val="12"/>
              <w:jc w:val="center"/>
            </w:pPr>
            <w:r>
              <w:rPr>
                <w:rFonts w:hint="eastAsia"/>
              </w:rPr>
              <w:t>男</w:t>
            </w:r>
          </w:p>
        </w:tc>
        <w:tc>
          <w:tcPr>
            <w:tcW w:w="582" w:type="pct"/>
            <w:vAlign w:val="center"/>
          </w:tcPr>
          <w:p w14:paraId="07D33D23">
            <w:pPr>
              <w:pStyle w:val="12"/>
              <w:jc w:val="center"/>
            </w:pPr>
            <w:r>
              <w:rPr>
                <w:rFonts w:hint="eastAsia"/>
              </w:rPr>
              <w:t>南雄</w:t>
            </w:r>
          </w:p>
        </w:tc>
        <w:tc>
          <w:tcPr>
            <w:tcW w:w="2132" w:type="pct"/>
            <w:vAlign w:val="center"/>
          </w:tcPr>
          <w:p w14:paraId="2FB80698">
            <w:pPr>
              <w:pStyle w:val="12"/>
              <w:jc w:val="left"/>
            </w:pPr>
            <w:r>
              <w:rPr>
                <w:rFonts w:hint="eastAsia"/>
              </w:rPr>
              <w:t>160师478团7连二等兵</w:t>
            </w:r>
          </w:p>
        </w:tc>
        <w:tc>
          <w:tcPr>
            <w:tcW w:w="1259" w:type="pct"/>
            <w:vAlign w:val="center"/>
          </w:tcPr>
          <w:p w14:paraId="178F6250">
            <w:pPr>
              <w:pStyle w:val="12"/>
              <w:jc w:val="left"/>
            </w:pPr>
            <w:r>
              <w:rPr>
                <w:rFonts w:hint="eastAsia"/>
              </w:rPr>
              <w:t>广东乳源</w:t>
            </w:r>
          </w:p>
        </w:tc>
      </w:tr>
      <w:tr w14:paraId="2E4C98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209C8F6">
            <w:pPr>
              <w:pStyle w:val="12"/>
              <w:jc w:val="center"/>
            </w:pPr>
            <w:r>
              <w:rPr>
                <w:rFonts w:hint="eastAsia"/>
              </w:rPr>
              <w:t>杨端初</w:t>
            </w:r>
          </w:p>
        </w:tc>
        <w:tc>
          <w:tcPr>
            <w:tcW w:w="388" w:type="pct"/>
            <w:vAlign w:val="center"/>
          </w:tcPr>
          <w:p w14:paraId="01415E08">
            <w:pPr>
              <w:pStyle w:val="12"/>
              <w:jc w:val="center"/>
            </w:pPr>
            <w:r>
              <w:rPr>
                <w:rFonts w:hint="eastAsia"/>
              </w:rPr>
              <w:t>男</w:t>
            </w:r>
          </w:p>
        </w:tc>
        <w:tc>
          <w:tcPr>
            <w:tcW w:w="582" w:type="pct"/>
            <w:vAlign w:val="center"/>
          </w:tcPr>
          <w:p w14:paraId="5DC9FACC">
            <w:pPr>
              <w:pStyle w:val="12"/>
              <w:jc w:val="center"/>
            </w:pPr>
            <w:r>
              <w:rPr>
                <w:rFonts w:hint="eastAsia"/>
              </w:rPr>
              <w:t>南雄</w:t>
            </w:r>
          </w:p>
        </w:tc>
        <w:tc>
          <w:tcPr>
            <w:tcW w:w="2132" w:type="pct"/>
            <w:vAlign w:val="center"/>
          </w:tcPr>
          <w:p w14:paraId="4E98EB67">
            <w:pPr>
              <w:pStyle w:val="12"/>
              <w:jc w:val="left"/>
            </w:pPr>
            <w:r>
              <w:rPr>
                <w:rFonts w:hint="eastAsia"/>
              </w:rPr>
              <w:t>160师478团7连二等兵</w:t>
            </w:r>
          </w:p>
        </w:tc>
        <w:tc>
          <w:tcPr>
            <w:tcW w:w="1259" w:type="pct"/>
            <w:vAlign w:val="center"/>
          </w:tcPr>
          <w:p w14:paraId="41CA343F">
            <w:pPr>
              <w:pStyle w:val="12"/>
              <w:jc w:val="left"/>
            </w:pPr>
            <w:r>
              <w:rPr>
                <w:rFonts w:hint="eastAsia"/>
              </w:rPr>
              <w:t>广东乐昌</w:t>
            </w:r>
          </w:p>
        </w:tc>
      </w:tr>
      <w:tr w14:paraId="051D47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05F37CF">
            <w:pPr>
              <w:pStyle w:val="12"/>
              <w:jc w:val="center"/>
            </w:pPr>
            <w:r>
              <w:rPr>
                <w:rFonts w:hint="eastAsia"/>
              </w:rPr>
              <w:t>曾昭能</w:t>
            </w:r>
          </w:p>
        </w:tc>
        <w:tc>
          <w:tcPr>
            <w:tcW w:w="388" w:type="pct"/>
            <w:vAlign w:val="center"/>
          </w:tcPr>
          <w:p w14:paraId="26A30052">
            <w:pPr>
              <w:pStyle w:val="12"/>
              <w:jc w:val="center"/>
            </w:pPr>
            <w:r>
              <w:rPr>
                <w:rFonts w:hint="eastAsia"/>
              </w:rPr>
              <w:t>男</w:t>
            </w:r>
          </w:p>
        </w:tc>
        <w:tc>
          <w:tcPr>
            <w:tcW w:w="582" w:type="pct"/>
            <w:vAlign w:val="center"/>
          </w:tcPr>
          <w:p w14:paraId="5C82CA45">
            <w:pPr>
              <w:pStyle w:val="12"/>
              <w:jc w:val="center"/>
            </w:pPr>
            <w:r>
              <w:rPr>
                <w:rFonts w:hint="eastAsia"/>
              </w:rPr>
              <w:t>南雄</w:t>
            </w:r>
          </w:p>
        </w:tc>
        <w:tc>
          <w:tcPr>
            <w:tcW w:w="2132" w:type="pct"/>
            <w:vAlign w:val="center"/>
          </w:tcPr>
          <w:p w14:paraId="21200A9D">
            <w:pPr>
              <w:pStyle w:val="12"/>
              <w:jc w:val="left"/>
            </w:pPr>
            <w:r>
              <w:rPr>
                <w:rFonts w:hint="eastAsia"/>
              </w:rPr>
              <w:t>160师478团7连上等兵</w:t>
            </w:r>
          </w:p>
        </w:tc>
        <w:tc>
          <w:tcPr>
            <w:tcW w:w="1259" w:type="pct"/>
            <w:vAlign w:val="center"/>
          </w:tcPr>
          <w:p w14:paraId="390970B8">
            <w:pPr>
              <w:pStyle w:val="12"/>
              <w:jc w:val="left"/>
            </w:pPr>
            <w:r>
              <w:rPr>
                <w:rFonts w:hint="eastAsia"/>
              </w:rPr>
              <w:t>广东乐昌</w:t>
            </w:r>
          </w:p>
        </w:tc>
      </w:tr>
      <w:tr w14:paraId="3EA1DA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480D758">
            <w:pPr>
              <w:pStyle w:val="12"/>
              <w:jc w:val="center"/>
            </w:pPr>
            <w:r>
              <w:rPr>
                <w:rFonts w:hint="eastAsia"/>
              </w:rPr>
              <w:t>邓华香</w:t>
            </w:r>
          </w:p>
        </w:tc>
        <w:tc>
          <w:tcPr>
            <w:tcW w:w="388" w:type="pct"/>
            <w:vAlign w:val="center"/>
          </w:tcPr>
          <w:p w14:paraId="7AF55E46">
            <w:pPr>
              <w:pStyle w:val="12"/>
              <w:jc w:val="center"/>
            </w:pPr>
            <w:r>
              <w:rPr>
                <w:rFonts w:hint="eastAsia"/>
              </w:rPr>
              <w:t>男</w:t>
            </w:r>
          </w:p>
        </w:tc>
        <w:tc>
          <w:tcPr>
            <w:tcW w:w="582" w:type="pct"/>
            <w:vAlign w:val="center"/>
          </w:tcPr>
          <w:p w14:paraId="41EFEE45">
            <w:pPr>
              <w:pStyle w:val="12"/>
              <w:jc w:val="center"/>
            </w:pPr>
            <w:r>
              <w:rPr>
                <w:rFonts w:hint="eastAsia"/>
              </w:rPr>
              <w:t>南雄</w:t>
            </w:r>
          </w:p>
        </w:tc>
        <w:tc>
          <w:tcPr>
            <w:tcW w:w="2132" w:type="pct"/>
            <w:vAlign w:val="center"/>
          </w:tcPr>
          <w:p w14:paraId="3701CCF0">
            <w:pPr>
              <w:pStyle w:val="12"/>
              <w:jc w:val="left"/>
            </w:pPr>
            <w:r>
              <w:rPr>
                <w:rFonts w:hint="eastAsia"/>
              </w:rPr>
              <w:t>160师478团7连二等兵</w:t>
            </w:r>
          </w:p>
        </w:tc>
        <w:tc>
          <w:tcPr>
            <w:tcW w:w="1259" w:type="pct"/>
            <w:vAlign w:val="center"/>
          </w:tcPr>
          <w:p w14:paraId="6977601A">
            <w:pPr>
              <w:pStyle w:val="12"/>
              <w:jc w:val="left"/>
            </w:pPr>
            <w:r>
              <w:rPr>
                <w:rFonts w:hint="eastAsia"/>
              </w:rPr>
              <w:t>江西信丰</w:t>
            </w:r>
          </w:p>
        </w:tc>
      </w:tr>
      <w:tr w14:paraId="552634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30C4992">
            <w:pPr>
              <w:pStyle w:val="12"/>
              <w:jc w:val="center"/>
            </w:pPr>
            <w:r>
              <w:rPr>
                <w:rFonts w:hint="eastAsia"/>
              </w:rPr>
              <w:t>梁星南</w:t>
            </w:r>
          </w:p>
        </w:tc>
        <w:tc>
          <w:tcPr>
            <w:tcW w:w="388" w:type="pct"/>
            <w:vAlign w:val="center"/>
          </w:tcPr>
          <w:p w14:paraId="68F51302">
            <w:pPr>
              <w:pStyle w:val="12"/>
              <w:jc w:val="center"/>
            </w:pPr>
            <w:r>
              <w:rPr>
                <w:rFonts w:hint="eastAsia"/>
              </w:rPr>
              <w:t>男</w:t>
            </w:r>
          </w:p>
        </w:tc>
        <w:tc>
          <w:tcPr>
            <w:tcW w:w="582" w:type="pct"/>
            <w:vAlign w:val="center"/>
          </w:tcPr>
          <w:p w14:paraId="6542B11C">
            <w:pPr>
              <w:pStyle w:val="12"/>
              <w:jc w:val="center"/>
            </w:pPr>
            <w:r>
              <w:rPr>
                <w:rFonts w:hint="eastAsia"/>
              </w:rPr>
              <w:t>南雄</w:t>
            </w:r>
          </w:p>
        </w:tc>
        <w:tc>
          <w:tcPr>
            <w:tcW w:w="2132" w:type="pct"/>
            <w:vAlign w:val="center"/>
          </w:tcPr>
          <w:p w14:paraId="0D31F61E">
            <w:pPr>
              <w:pStyle w:val="12"/>
              <w:jc w:val="left"/>
            </w:pPr>
            <w:r>
              <w:rPr>
                <w:rFonts w:hint="eastAsia"/>
              </w:rPr>
              <w:t>160师478团7连一等兵</w:t>
            </w:r>
          </w:p>
        </w:tc>
        <w:tc>
          <w:tcPr>
            <w:tcW w:w="1259" w:type="pct"/>
            <w:vAlign w:val="center"/>
          </w:tcPr>
          <w:p w14:paraId="2B5ED654">
            <w:pPr>
              <w:pStyle w:val="12"/>
              <w:jc w:val="left"/>
            </w:pPr>
            <w:r>
              <w:rPr>
                <w:rFonts w:hint="eastAsia"/>
              </w:rPr>
              <w:t>广东乐昌</w:t>
            </w:r>
          </w:p>
        </w:tc>
      </w:tr>
      <w:tr w14:paraId="665E6E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B890FA7">
            <w:pPr>
              <w:pStyle w:val="12"/>
              <w:jc w:val="center"/>
            </w:pPr>
            <w:r>
              <w:rPr>
                <w:rFonts w:hint="eastAsia"/>
              </w:rPr>
              <w:t>李火仔</w:t>
            </w:r>
          </w:p>
        </w:tc>
        <w:tc>
          <w:tcPr>
            <w:tcW w:w="388" w:type="pct"/>
            <w:vAlign w:val="center"/>
          </w:tcPr>
          <w:p w14:paraId="0B3BB206">
            <w:pPr>
              <w:pStyle w:val="12"/>
              <w:jc w:val="center"/>
            </w:pPr>
            <w:r>
              <w:rPr>
                <w:rFonts w:hint="eastAsia"/>
              </w:rPr>
              <w:t>男</w:t>
            </w:r>
          </w:p>
        </w:tc>
        <w:tc>
          <w:tcPr>
            <w:tcW w:w="582" w:type="pct"/>
            <w:vAlign w:val="center"/>
          </w:tcPr>
          <w:p w14:paraId="3EFF2B8D">
            <w:pPr>
              <w:pStyle w:val="12"/>
              <w:jc w:val="center"/>
            </w:pPr>
            <w:r>
              <w:rPr>
                <w:rFonts w:hint="eastAsia"/>
              </w:rPr>
              <w:t>南雄</w:t>
            </w:r>
          </w:p>
        </w:tc>
        <w:tc>
          <w:tcPr>
            <w:tcW w:w="2132" w:type="pct"/>
            <w:vAlign w:val="center"/>
          </w:tcPr>
          <w:p w14:paraId="3C7EA8E7">
            <w:pPr>
              <w:pStyle w:val="12"/>
              <w:jc w:val="left"/>
            </w:pPr>
            <w:r>
              <w:rPr>
                <w:rFonts w:hint="eastAsia"/>
              </w:rPr>
              <w:t>160师478团7连上等兵</w:t>
            </w:r>
          </w:p>
        </w:tc>
        <w:tc>
          <w:tcPr>
            <w:tcW w:w="1259" w:type="pct"/>
            <w:vAlign w:val="center"/>
          </w:tcPr>
          <w:p w14:paraId="522DCE26">
            <w:pPr>
              <w:pStyle w:val="12"/>
              <w:jc w:val="left"/>
            </w:pPr>
            <w:r>
              <w:rPr>
                <w:rFonts w:hint="eastAsia"/>
              </w:rPr>
              <w:t>广东乐昌</w:t>
            </w:r>
          </w:p>
        </w:tc>
      </w:tr>
      <w:tr w14:paraId="26920D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C4EFE84">
            <w:pPr>
              <w:pStyle w:val="12"/>
              <w:jc w:val="center"/>
            </w:pPr>
            <w:r>
              <w:rPr>
                <w:rFonts w:hint="eastAsia"/>
              </w:rPr>
              <w:t>陈宏福</w:t>
            </w:r>
          </w:p>
        </w:tc>
        <w:tc>
          <w:tcPr>
            <w:tcW w:w="388" w:type="pct"/>
            <w:vAlign w:val="center"/>
          </w:tcPr>
          <w:p w14:paraId="35A00629">
            <w:pPr>
              <w:pStyle w:val="12"/>
              <w:jc w:val="center"/>
            </w:pPr>
            <w:r>
              <w:rPr>
                <w:rFonts w:hint="eastAsia"/>
              </w:rPr>
              <w:t>男</w:t>
            </w:r>
          </w:p>
        </w:tc>
        <w:tc>
          <w:tcPr>
            <w:tcW w:w="582" w:type="pct"/>
            <w:vAlign w:val="center"/>
          </w:tcPr>
          <w:p w14:paraId="20489C62">
            <w:pPr>
              <w:pStyle w:val="12"/>
              <w:jc w:val="center"/>
            </w:pPr>
            <w:r>
              <w:rPr>
                <w:rFonts w:hint="eastAsia"/>
              </w:rPr>
              <w:t>南雄</w:t>
            </w:r>
          </w:p>
        </w:tc>
        <w:tc>
          <w:tcPr>
            <w:tcW w:w="2132" w:type="pct"/>
            <w:vAlign w:val="center"/>
          </w:tcPr>
          <w:p w14:paraId="34F5A07D">
            <w:pPr>
              <w:pStyle w:val="12"/>
              <w:jc w:val="left"/>
            </w:pPr>
            <w:r>
              <w:rPr>
                <w:rFonts w:hint="eastAsia"/>
              </w:rPr>
              <w:t>160师478团7连一等兵</w:t>
            </w:r>
          </w:p>
        </w:tc>
        <w:tc>
          <w:tcPr>
            <w:tcW w:w="1259" w:type="pct"/>
            <w:vAlign w:val="center"/>
          </w:tcPr>
          <w:p w14:paraId="6C84E971">
            <w:pPr>
              <w:pStyle w:val="12"/>
              <w:jc w:val="left"/>
            </w:pPr>
            <w:r>
              <w:rPr>
                <w:rFonts w:hint="eastAsia"/>
              </w:rPr>
              <w:t>广东乳源</w:t>
            </w:r>
          </w:p>
        </w:tc>
      </w:tr>
      <w:tr w14:paraId="1BCBA5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3E8E956">
            <w:pPr>
              <w:pStyle w:val="12"/>
              <w:jc w:val="center"/>
            </w:pPr>
            <w:r>
              <w:rPr>
                <w:rFonts w:hint="eastAsia"/>
              </w:rPr>
              <w:t>曾  琪</w:t>
            </w:r>
          </w:p>
        </w:tc>
        <w:tc>
          <w:tcPr>
            <w:tcW w:w="388" w:type="pct"/>
            <w:vAlign w:val="center"/>
          </w:tcPr>
          <w:p w14:paraId="439C96A8">
            <w:pPr>
              <w:pStyle w:val="12"/>
              <w:jc w:val="center"/>
            </w:pPr>
            <w:r>
              <w:rPr>
                <w:rFonts w:hint="eastAsia"/>
              </w:rPr>
              <w:t>男</w:t>
            </w:r>
          </w:p>
        </w:tc>
        <w:tc>
          <w:tcPr>
            <w:tcW w:w="582" w:type="pct"/>
            <w:vAlign w:val="center"/>
          </w:tcPr>
          <w:p w14:paraId="5C3D9127">
            <w:pPr>
              <w:pStyle w:val="12"/>
              <w:jc w:val="center"/>
            </w:pPr>
            <w:r>
              <w:rPr>
                <w:rFonts w:hint="eastAsia"/>
              </w:rPr>
              <w:t>南雄</w:t>
            </w:r>
          </w:p>
        </w:tc>
        <w:tc>
          <w:tcPr>
            <w:tcW w:w="2132" w:type="pct"/>
            <w:vAlign w:val="center"/>
          </w:tcPr>
          <w:p w14:paraId="0A2DC0B9">
            <w:pPr>
              <w:pStyle w:val="12"/>
              <w:jc w:val="left"/>
            </w:pPr>
            <w:r>
              <w:rPr>
                <w:rFonts w:hint="eastAsia"/>
              </w:rPr>
              <w:t>160师478团7连二等兵</w:t>
            </w:r>
          </w:p>
        </w:tc>
        <w:tc>
          <w:tcPr>
            <w:tcW w:w="1259" w:type="pct"/>
            <w:vAlign w:val="center"/>
          </w:tcPr>
          <w:p w14:paraId="2CF83428">
            <w:pPr>
              <w:pStyle w:val="12"/>
              <w:jc w:val="left"/>
            </w:pPr>
            <w:r>
              <w:rPr>
                <w:rFonts w:hint="eastAsia"/>
              </w:rPr>
              <w:t>广东乐昌</w:t>
            </w:r>
          </w:p>
        </w:tc>
      </w:tr>
      <w:tr w14:paraId="18ECAB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4EC69E5">
            <w:pPr>
              <w:pStyle w:val="12"/>
              <w:jc w:val="center"/>
            </w:pPr>
            <w:r>
              <w:rPr>
                <w:rFonts w:hint="eastAsia"/>
              </w:rPr>
              <w:t>李英亮</w:t>
            </w:r>
          </w:p>
        </w:tc>
        <w:tc>
          <w:tcPr>
            <w:tcW w:w="388" w:type="pct"/>
            <w:vAlign w:val="center"/>
          </w:tcPr>
          <w:p w14:paraId="4AC114ED">
            <w:pPr>
              <w:pStyle w:val="12"/>
              <w:jc w:val="center"/>
            </w:pPr>
            <w:r>
              <w:rPr>
                <w:rFonts w:hint="eastAsia"/>
              </w:rPr>
              <w:t>男</w:t>
            </w:r>
          </w:p>
        </w:tc>
        <w:tc>
          <w:tcPr>
            <w:tcW w:w="582" w:type="pct"/>
            <w:vAlign w:val="center"/>
          </w:tcPr>
          <w:p w14:paraId="03779640">
            <w:pPr>
              <w:pStyle w:val="12"/>
              <w:jc w:val="center"/>
            </w:pPr>
            <w:r>
              <w:rPr>
                <w:rFonts w:hint="eastAsia"/>
              </w:rPr>
              <w:t>南雄</w:t>
            </w:r>
          </w:p>
        </w:tc>
        <w:tc>
          <w:tcPr>
            <w:tcW w:w="2132" w:type="pct"/>
            <w:vAlign w:val="center"/>
          </w:tcPr>
          <w:p w14:paraId="733A1CD0">
            <w:pPr>
              <w:pStyle w:val="12"/>
              <w:jc w:val="left"/>
            </w:pPr>
            <w:r>
              <w:rPr>
                <w:rFonts w:hint="eastAsia"/>
              </w:rPr>
              <w:t>160师478团7连二等兵</w:t>
            </w:r>
          </w:p>
        </w:tc>
        <w:tc>
          <w:tcPr>
            <w:tcW w:w="1259" w:type="pct"/>
            <w:vAlign w:val="center"/>
          </w:tcPr>
          <w:p w14:paraId="7BB83A63">
            <w:pPr>
              <w:pStyle w:val="12"/>
              <w:jc w:val="left"/>
            </w:pPr>
            <w:r>
              <w:rPr>
                <w:rFonts w:hint="eastAsia"/>
              </w:rPr>
              <w:t>广东乐昌</w:t>
            </w:r>
          </w:p>
        </w:tc>
      </w:tr>
      <w:tr w14:paraId="7F03F5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38447C3D">
            <w:pPr>
              <w:pStyle w:val="12"/>
              <w:jc w:val="center"/>
            </w:pPr>
            <w:r>
              <w:rPr>
                <w:rFonts w:hint="eastAsia"/>
              </w:rPr>
              <w:t>邱萃芙</w:t>
            </w:r>
          </w:p>
        </w:tc>
        <w:tc>
          <w:tcPr>
            <w:tcW w:w="388" w:type="pct"/>
            <w:vAlign w:val="center"/>
          </w:tcPr>
          <w:p w14:paraId="0A9E5B86">
            <w:pPr>
              <w:pStyle w:val="12"/>
              <w:jc w:val="center"/>
            </w:pPr>
            <w:r>
              <w:rPr>
                <w:rFonts w:hint="eastAsia"/>
              </w:rPr>
              <w:t>男</w:t>
            </w:r>
          </w:p>
        </w:tc>
        <w:tc>
          <w:tcPr>
            <w:tcW w:w="582" w:type="pct"/>
            <w:vAlign w:val="center"/>
          </w:tcPr>
          <w:p w14:paraId="1E8E34D5">
            <w:pPr>
              <w:pStyle w:val="12"/>
              <w:jc w:val="center"/>
            </w:pPr>
            <w:r>
              <w:rPr>
                <w:rFonts w:hint="eastAsia"/>
              </w:rPr>
              <w:t>南雄</w:t>
            </w:r>
          </w:p>
        </w:tc>
        <w:tc>
          <w:tcPr>
            <w:tcW w:w="2132" w:type="pct"/>
            <w:vAlign w:val="center"/>
          </w:tcPr>
          <w:p w14:paraId="6AE4FE5A">
            <w:pPr>
              <w:pStyle w:val="12"/>
              <w:jc w:val="left"/>
            </w:pPr>
            <w:r>
              <w:rPr>
                <w:rFonts w:hint="eastAsia"/>
              </w:rPr>
              <w:t>160师478团8连二等兵</w:t>
            </w:r>
          </w:p>
        </w:tc>
        <w:tc>
          <w:tcPr>
            <w:tcW w:w="1259" w:type="pct"/>
            <w:vAlign w:val="center"/>
          </w:tcPr>
          <w:p w14:paraId="44299BBE">
            <w:pPr>
              <w:pStyle w:val="12"/>
              <w:jc w:val="left"/>
            </w:pPr>
            <w:r>
              <w:rPr>
                <w:rFonts w:hint="eastAsia"/>
              </w:rPr>
              <w:t>广东乐昌</w:t>
            </w:r>
          </w:p>
        </w:tc>
      </w:tr>
      <w:tr w14:paraId="5B5249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9E2170B">
            <w:pPr>
              <w:pStyle w:val="12"/>
              <w:jc w:val="center"/>
            </w:pPr>
            <w:r>
              <w:rPr>
                <w:rFonts w:hint="eastAsia"/>
              </w:rPr>
              <w:t>刘恒宝</w:t>
            </w:r>
          </w:p>
        </w:tc>
        <w:tc>
          <w:tcPr>
            <w:tcW w:w="388" w:type="pct"/>
            <w:vAlign w:val="center"/>
          </w:tcPr>
          <w:p w14:paraId="33FC2C27">
            <w:pPr>
              <w:pStyle w:val="12"/>
              <w:jc w:val="center"/>
            </w:pPr>
            <w:r>
              <w:rPr>
                <w:rFonts w:hint="eastAsia"/>
              </w:rPr>
              <w:t>男</w:t>
            </w:r>
          </w:p>
        </w:tc>
        <w:tc>
          <w:tcPr>
            <w:tcW w:w="582" w:type="pct"/>
            <w:vAlign w:val="center"/>
          </w:tcPr>
          <w:p w14:paraId="6D7A1875">
            <w:pPr>
              <w:pStyle w:val="12"/>
              <w:jc w:val="center"/>
            </w:pPr>
            <w:r>
              <w:rPr>
                <w:rFonts w:hint="eastAsia"/>
              </w:rPr>
              <w:t>南雄</w:t>
            </w:r>
          </w:p>
        </w:tc>
        <w:tc>
          <w:tcPr>
            <w:tcW w:w="2132" w:type="pct"/>
            <w:vAlign w:val="center"/>
          </w:tcPr>
          <w:p w14:paraId="05ACE728">
            <w:pPr>
              <w:pStyle w:val="12"/>
              <w:jc w:val="left"/>
            </w:pPr>
            <w:r>
              <w:rPr>
                <w:rFonts w:hint="eastAsia"/>
              </w:rPr>
              <w:t>160师478团8连二等兵</w:t>
            </w:r>
          </w:p>
        </w:tc>
        <w:tc>
          <w:tcPr>
            <w:tcW w:w="1259" w:type="pct"/>
            <w:vAlign w:val="center"/>
          </w:tcPr>
          <w:p w14:paraId="40BC2167">
            <w:pPr>
              <w:pStyle w:val="12"/>
              <w:jc w:val="left"/>
            </w:pPr>
            <w:r>
              <w:rPr>
                <w:rFonts w:hint="eastAsia"/>
              </w:rPr>
              <w:t>广东乐昌</w:t>
            </w:r>
          </w:p>
        </w:tc>
      </w:tr>
      <w:tr w14:paraId="7987BF3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86505D4">
            <w:pPr>
              <w:pStyle w:val="12"/>
              <w:jc w:val="center"/>
            </w:pPr>
            <w:r>
              <w:rPr>
                <w:rFonts w:hint="eastAsia"/>
              </w:rPr>
              <w:t>罗  民</w:t>
            </w:r>
          </w:p>
        </w:tc>
        <w:tc>
          <w:tcPr>
            <w:tcW w:w="388" w:type="pct"/>
            <w:vAlign w:val="center"/>
          </w:tcPr>
          <w:p w14:paraId="22768299">
            <w:pPr>
              <w:pStyle w:val="12"/>
              <w:jc w:val="center"/>
            </w:pPr>
            <w:r>
              <w:rPr>
                <w:rFonts w:hint="eastAsia"/>
              </w:rPr>
              <w:t>男</w:t>
            </w:r>
          </w:p>
        </w:tc>
        <w:tc>
          <w:tcPr>
            <w:tcW w:w="582" w:type="pct"/>
            <w:vAlign w:val="center"/>
          </w:tcPr>
          <w:p w14:paraId="2417E92A">
            <w:pPr>
              <w:pStyle w:val="12"/>
              <w:jc w:val="center"/>
            </w:pPr>
            <w:r>
              <w:rPr>
                <w:rFonts w:hint="eastAsia"/>
              </w:rPr>
              <w:t>南雄</w:t>
            </w:r>
          </w:p>
        </w:tc>
        <w:tc>
          <w:tcPr>
            <w:tcW w:w="2132" w:type="pct"/>
            <w:vAlign w:val="center"/>
          </w:tcPr>
          <w:p w14:paraId="46DD0F21">
            <w:pPr>
              <w:pStyle w:val="12"/>
              <w:jc w:val="left"/>
            </w:pPr>
            <w:r>
              <w:rPr>
                <w:rFonts w:hint="eastAsia"/>
              </w:rPr>
              <w:t>160师478团8连二等兵</w:t>
            </w:r>
          </w:p>
        </w:tc>
        <w:tc>
          <w:tcPr>
            <w:tcW w:w="1259" w:type="pct"/>
            <w:vAlign w:val="center"/>
          </w:tcPr>
          <w:p w14:paraId="20E39523">
            <w:pPr>
              <w:pStyle w:val="12"/>
              <w:jc w:val="left"/>
            </w:pPr>
            <w:r>
              <w:rPr>
                <w:rFonts w:hint="eastAsia"/>
              </w:rPr>
              <w:t>广东乐昌</w:t>
            </w:r>
          </w:p>
        </w:tc>
      </w:tr>
      <w:tr w14:paraId="3904B2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C8C64AA">
            <w:pPr>
              <w:pStyle w:val="12"/>
              <w:jc w:val="center"/>
            </w:pPr>
            <w:r>
              <w:rPr>
                <w:rFonts w:hint="eastAsia"/>
              </w:rPr>
              <w:t>刘运富</w:t>
            </w:r>
          </w:p>
        </w:tc>
        <w:tc>
          <w:tcPr>
            <w:tcW w:w="388" w:type="pct"/>
            <w:vAlign w:val="center"/>
          </w:tcPr>
          <w:p w14:paraId="24F36A69">
            <w:pPr>
              <w:pStyle w:val="12"/>
              <w:jc w:val="center"/>
            </w:pPr>
            <w:r>
              <w:rPr>
                <w:rFonts w:hint="eastAsia"/>
              </w:rPr>
              <w:t>男</w:t>
            </w:r>
          </w:p>
        </w:tc>
        <w:tc>
          <w:tcPr>
            <w:tcW w:w="582" w:type="pct"/>
            <w:vAlign w:val="center"/>
          </w:tcPr>
          <w:p w14:paraId="71C20B15">
            <w:pPr>
              <w:pStyle w:val="12"/>
              <w:jc w:val="center"/>
            </w:pPr>
            <w:r>
              <w:rPr>
                <w:rFonts w:hint="eastAsia"/>
              </w:rPr>
              <w:t>南雄</w:t>
            </w:r>
          </w:p>
        </w:tc>
        <w:tc>
          <w:tcPr>
            <w:tcW w:w="2132" w:type="pct"/>
            <w:vAlign w:val="center"/>
          </w:tcPr>
          <w:p w14:paraId="2C259FA9">
            <w:pPr>
              <w:pStyle w:val="12"/>
              <w:jc w:val="left"/>
            </w:pPr>
            <w:r>
              <w:rPr>
                <w:rFonts w:hint="eastAsia"/>
              </w:rPr>
              <w:t>160师478团8连二等兵</w:t>
            </w:r>
          </w:p>
        </w:tc>
        <w:tc>
          <w:tcPr>
            <w:tcW w:w="1259" w:type="pct"/>
            <w:vAlign w:val="center"/>
          </w:tcPr>
          <w:p w14:paraId="7E1E5E97">
            <w:pPr>
              <w:pStyle w:val="12"/>
              <w:jc w:val="left"/>
            </w:pPr>
            <w:r>
              <w:rPr>
                <w:rFonts w:hint="eastAsia"/>
              </w:rPr>
              <w:t>广东乐昌</w:t>
            </w:r>
          </w:p>
        </w:tc>
      </w:tr>
      <w:tr w14:paraId="7CE6EE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CC45F35">
            <w:pPr>
              <w:pStyle w:val="12"/>
              <w:jc w:val="center"/>
            </w:pPr>
            <w:r>
              <w:rPr>
                <w:rFonts w:hint="eastAsia"/>
              </w:rPr>
              <w:t>张名杰</w:t>
            </w:r>
          </w:p>
        </w:tc>
        <w:tc>
          <w:tcPr>
            <w:tcW w:w="388" w:type="pct"/>
            <w:vAlign w:val="center"/>
          </w:tcPr>
          <w:p w14:paraId="6D921A93">
            <w:pPr>
              <w:pStyle w:val="12"/>
              <w:jc w:val="center"/>
            </w:pPr>
            <w:r>
              <w:rPr>
                <w:rFonts w:hint="eastAsia"/>
              </w:rPr>
              <w:t>男</w:t>
            </w:r>
          </w:p>
        </w:tc>
        <w:tc>
          <w:tcPr>
            <w:tcW w:w="582" w:type="pct"/>
            <w:vAlign w:val="center"/>
          </w:tcPr>
          <w:p w14:paraId="106C65E2">
            <w:pPr>
              <w:pStyle w:val="12"/>
              <w:jc w:val="center"/>
            </w:pPr>
            <w:r>
              <w:rPr>
                <w:rFonts w:hint="eastAsia"/>
              </w:rPr>
              <w:t>南雄</w:t>
            </w:r>
          </w:p>
        </w:tc>
        <w:tc>
          <w:tcPr>
            <w:tcW w:w="2132" w:type="pct"/>
            <w:vAlign w:val="center"/>
          </w:tcPr>
          <w:p w14:paraId="17909D2E">
            <w:pPr>
              <w:pStyle w:val="12"/>
              <w:jc w:val="left"/>
            </w:pPr>
            <w:r>
              <w:rPr>
                <w:rFonts w:hint="eastAsia"/>
              </w:rPr>
              <w:t>160师478团8连二等兵</w:t>
            </w:r>
          </w:p>
        </w:tc>
        <w:tc>
          <w:tcPr>
            <w:tcW w:w="1259" w:type="pct"/>
            <w:vAlign w:val="center"/>
          </w:tcPr>
          <w:p w14:paraId="5337BD66">
            <w:pPr>
              <w:pStyle w:val="12"/>
              <w:jc w:val="left"/>
            </w:pPr>
            <w:r>
              <w:rPr>
                <w:rFonts w:hint="eastAsia"/>
              </w:rPr>
              <w:t>广东乐昌</w:t>
            </w:r>
          </w:p>
        </w:tc>
      </w:tr>
      <w:tr w14:paraId="1D7BC1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09DCD30E">
            <w:pPr>
              <w:pStyle w:val="12"/>
              <w:jc w:val="center"/>
            </w:pPr>
            <w:r>
              <w:rPr>
                <w:rFonts w:hint="eastAsia"/>
              </w:rPr>
              <w:t>吴华伦</w:t>
            </w:r>
          </w:p>
        </w:tc>
        <w:tc>
          <w:tcPr>
            <w:tcW w:w="388" w:type="pct"/>
            <w:vAlign w:val="center"/>
          </w:tcPr>
          <w:p w14:paraId="16C796B8">
            <w:pPr>
              <w:pStyle w:val="12"/>
              <w:jc w:val="center"/>
            </w:pPr>
            <w:r>
              <w:rPr>
                <w:rFonts w:hint="eastAsia"/>
              </w:rPr>
              <w:t>男</w:t>
            </w:r>
          </w:p>
        </w:tc>
        <w:tc>
          <w:tcPr>
            <w:tcW w:w="582" w:type="pct"/>
            <w:vAlign w:val="center"/>
          </w:tcPr>
          <w:p w14:paraId="5C8BDB6E">
            <w:pPr>
              <w:pStyle w:val="12"/>
              <w:jc w:val="center"/>
            </w:pPr>
            <w:r>
              <w:rPr>
                <w:rFonts w:hint="eastAsia"/>
              </w:rPr>
              <w:t>南雄</w:t>
            </w:r>
          </w:p>
        </w:tc>
        <w:tc>
          <w:tcPr>
            <w:tcW w:w="2132" w:type="pct"/>
            <w:vAlign w:val="center"/>
          </w:tcPr>
          <w:p w14:paraId="087927D5">
            <w:pPr>
              <w:pStyle w:val="12"/>
              <w:jc w:val="left"/>
            </w:pPr>
            <w:r>
              <w:rPr>
                <w:rFonts w:hint="eastAsia"/>
              </w:rPr>
              <w:t>160师478团9连二等兵</w:t>
            </w:r>
          </w:p>
        </w:tc>
        <w:tc>
          <w:tcPr>
            <w:tcW w:w="1259" w:type="pct"/>
            <w:vAlign w:val="center"/>
          </w:tcPr>
          <w:p w14:paraId="77556C72">
            <w:pPr>
              <w:pStyle w:val="12"/>
              <w:jc w:val="left"/>
            </w:pPr>
            <w:r>
              <w:rPr>
                <w:rFonts w:hint="eastAsia"/>
              </w:rPr>
              <w:t>江西信丰</w:t>
            </w:r>
          </w:p>
        </w:tc>
      </w:tr>
      <w:tr w14:paraId="6866AE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166C148">
            <w:pPr>
              <w:pStyle w:val="12"/>
              <w:jc w:val="center"/>
            </w:pPr>
            <w:r>
              <w:rPr>
                <w:rFonts w:hint="eastAsia"/>
              </w:rPr>
              <w:t>朱昌荣</w:t>
            </w:r>
          </w:p>
        </w:tc>
        <w:tc>
          <w:tcPr>
            <w:tcW w:w="388" w:type="pct"/>
            <w:vAlign w:val="center"/>
          </w:tcPr>
          <w:p w14:paraId="5ED07C5D">
            <w:pPr>
              <w:pStyle w:val="12"/>
              <w:jc w:val="center"/>
            </w:pPr>
            <w:r>
              <w:rPr>
                <w:rFonts w:hint="eastAsia"/>
              </w:rPr>
              <w:t>男</w:t>
            </w:r>
          </w:p>
        </w:tc>
        <w:tc>
          <w:tcPr>
            <w:tcW w:w="582" w:type="pct"/>
            <w:vAlign w:val="center"/>
          </w:tcPr>
          <w:p w14:paraId="54334C93">
            <w:pPr>
              <w:pStyle w:val="12"/>
              <w:jc w:val="center"/>
            </w:pPr>
            <w:r>
              <w:rPr>
                <w:rFonts w:hint="eastAsia"/>
              </w:rPr>
              <w:t>南雄</w:t>
            </w:r>
          </w:p>
        </w:tc>
        <w:tc>
          <w:tcPr>
            <w:tcW w:w="2132" w:type="pct"/>
            <w:vAlign w:val="center"/>
          </w:tcPr>
          <w:p w14:paraId="06C2DCD0">
            <w:pPr>
              <w:pStyle w:val="12"/>
              <w:jc w:val="left"/>
            </w:pPr>
            <w:r>
              <w:rPr>
                <w:rFonts w:hint="eastAsia"/>
              </w:rPr>
              <w:t>160师478团9连二等兵</w:t>
            </w:r>
          </w:p>
        </w:tc>
        <w:tc>
          <w:tcPr>
            <w:tcW w:w="1259" w:type="pct"/>
            <w:vAlign w:val="center"/>
          </w:tcPr>
          <w:p w14:paraId="1FC79DB4">
            <w:pPr>
              <w:pStyle w:val="12"/>
              <w:jc w:val="left"/>
            </w:pPr>
            <w:r>
              <w:rPr>
                <w:rFonts w:hint="eastAsia"/>
              </w:rPr>
              <w:t>江西信丰</w:t>
            </w:r>
          </w:p>
        </w:tc>
      </w:tr>
      <w:tr w14:paraId="70A7C4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DF2D72A">
            <w:pPr>
              <w:pStyle w:val="12"/>
              <w:jc w:val="center"/>
            </w:pPr>
            <w:r>
              <w:rPr>
                <w:rFonts w:hint="eastAsia"/>
              </w:rPr>
              <w:t>刘兴华</w:t>
            </w:r>
          </w:p>
        </w:tc>
        <w:tc>
          <w:tcPr>
            <w:tcW w:w="388" w:type="pct"/>
            <w:vAlign w:val="center"/>
          </w:tcPr>
          <w:p w14:paraId="777ADF6C">
            <w:pPr>
              <w:pStyle w:val="12"/>
              <w:jc w:val="center"/>
            </w:pPr>
            <w:r>
              <w:rPr>
                <w:rFonts w:hint="eastAsia"/>
              </w:rPr>
              <w:t>男</w:t>
            </w:r>
          </w:p>
        </w:tc>
        <w:tc>
          <w:tcPr>
            <w:tcW w:w="582" w:type="pct"/>
            <w:vAlign w:val="center"/>
          </w:tcPr>
          <w:p w14:paraId="2EA7B4C2">
            <w:pPr>
              <w:pStyle w:val="12"/>
              <w:jc w:val="center"/>
            </w:pPr>
            <w:r>
              <w:rPr>
                <w:rFonts w:hint="eastAsia"/>
              </w:rPr>
              <w:t>南雄</w:t>
            </w:r>
          </w:p>
        </w:tc>
        <w:tc>
          <w:tcPr>
            <w:tcW w:w="2132" w:type="pct"/>
            <w:vAlign w:val="center"/>
          </w:tcPr>
          <w:p w14:paraId="6FBFDDAC">
            <w:pPr>
              <w:pStyle w:val="12"/>
              <w:jc w:val="left"/>
            </w:pPr>
            <w:r>
              <w:rPr>
                <w:rFonts w:hint="eastAsia"/>
              </w:rPr>
              <w:t>160师478团9连二等兵</w:t>
            </w:r>
          </w:p>
        </w:tc>
        <w:tc>
          <w:tcPr>
            <w:tcW w:w="1259" w:type="pct"/>
            <w:vAlign w:val="center"/>
          </w:tcPr>
          <w:p w14:paraId="748D6333">
            <w:pPr>
              <w:pStyle w:val="12"/>
              <w:jc w:val="left"/>
            </w:pPr>
            <w:r>
              <w:rPr>
                <w:rFonts w:hint="eastAsia"/>
              </w:rPr>
              <w:t>江西信丰</w:t>
            </w:r>
          </w:p>
        </w:tc>
      </w:tr>
      <w:tr w14:paraId="3E1072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5619F82">
            <w:pPr>
              <w:pStyle w:val="12"/>
              <w:jc w:val="center"/>
            </w:pPr>
            <w:r>
              <w:rPr>
                <w:rFonts w:hint="eastAsia"/>
              </w:rPr>
              <w:t>叶文辉</w:t>
            </w:r>
          </w:p>
        </w:tc>
        <w:tc>
          <w:tcPr>
            <w:tcW w:w="388" w:type="pct"/>
            <w:vAlign w:val="center"/>
          </w:tcPr>
          <w:p w14:paraId="4CE61204">
            <w:pPr>
              <w:pStyle w:val="12"/>
              <w:jc w:val="center"/>
            </w:pPr>
            <w:r>
              <w:rPr>
                <w:rFonts w:hint="eastAsia"/>
              </w:rPr>
              <w:t>男</w:t>
            </w:r>
          </w:p>
        </w:tc>
        <w:tc>
          <w:tcPr>
            <w:tcW w:w="582" w:type="pct"/>
            <w:vAlign w:val="center"/>
          </w:tcPr>
          <w:p w14:paraId="6C0A39BB">
            <w:pPr>
              <w:pStyle w:val="12"/>
              <w:jc w:val="center"/>
            </w:pPr>
            <w:r>
              <w:rPr>
                <w:rFonts w:hint="eastAsia"/>
              </w:rPr>
              <w:t>南雄</w:t>
            </w:r>
          </w:p>
        </w:tc>
        <w:tc>
          <w:tcPr>
            <w:tcW w:w="2132" w:type="pct"/>
            <w:vAlign w:val="center"/>
          </w:tcPr>
          <w:p w14:paraId="35DBB960">
            <w:pPr>
              <w:pStyle w:val="12"/>
              <w:jc w:val="left"/>
            </w:pPr>
            <w:r>
              <w:rPr>
                <w:rFonts w:hint="eastAsia"/>
              </w:rPr>
              <w:t>160师478团9连二等兵</w:t>
            </w:r>
          </w:p>
        </w:tc>
        <w:tc>
          <w:tcPr>
            <w:tcW w:w="1259" w:type="pct"/>
            <w:vAlign w:val="center"/>
          </w:tcPr>
          <w:p w14:paraId="0FFD139F">
            <w:pPr>
              <w:pStyle w:val="12"/>
              <w:jc w:val="left"/>
            </w:pPr>
            <w:r>
              <w:rPr>
                <w:rFonts w:hint="eastAsia"/>
              </w:rPr>
              <w:t>江西信丰</w:t>
            </w:r>
          </w:p>
        </w:tc>
      </w:tr>
      <w:tr w14:paraId="7F8448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23539B2">
            <w:pPr>
              <w:pStyle w:val="12"/>
              <w:jc w:val="center"/>
            </w:pPr>
            <w:r>
              <w:rPr>
                <w:rFonts w:hint="eastAsia"/>
              </w:rPr>
              <w:t>曾广富</w:t>
            </w:r>
          </w:p>
        </w:tc>
        <w:tc>
          <w:tcPr>
            <w:tcW w:w="388" w:type="pct"/>
            <w:vAlign w:val="center"/>
          </w:tcPr>
          <w:p w14:paraId="31DE36E4">
            <w:pPr>
              <w:pStyle w:val="12"/>
              <w:jc w:val="center"/>
            </w:pPr>
            <w:r>
              <w:rPr>
                <w:rFonts w:hint="eastAsia"/>
              </w:rPr>
              <w:t>男</w:t>
            </w:r>
          </w:p>
        </w:tc>
        <w:tc>
          <w:tcPr>
            <w:tcW w:w="582" w:type="pct"/>
            <w:vAlign w:val="center"/>
          </w:tcPr>
          <w:p w14:paraId="4D97ADEF">
            <w:pPr>
              <w:pStyle w:val="12"/>
              <w:jc w:val="center"/>
            </w:pPr>
            <w:r>
              <w:rPr>
                <w:rFonts w:hint="eastAsia"/>
              </w:rPr>
              <w:t>南雄</w:t>
            </w:r>
          </w:p>
        </w:tc>
        <w:tc>
          <w:tcPr>
            <w:tcW w:w="2132" w:type="pct"/>
            <w:vAlign w:val="center"/>
          </w:tcPr>
          <w:p w14:paraId="4F18FE63">
            <w:pPr>
              <w:pStyle w:val="12"/>
              <w:jc w:val="left"/>
            </w:pPr>
            <w:r>
              <w:rPr>
                <w:rFonts w:hint="eastAsia"/>
              </w:rPr>
              <w:t>160师480团3连二等兵</w:t>
            </w:r>
          </w:p>
        </w:tc>
        <w:tc>
          <w:tcPr>
            <w:tcW w:w="1259" w:type="pct"/>
            <w:vAlign w:val="center"/>
          </w:tcPr>
          <w:p w14:paraId="683DCFBE">
            <w:pPr>
              <w:pStyle w:val="12"/>
              <w:jc w:val="left"/>
            </w:pPr>
            <w:r>
              <w:rPr>
                <w:rFonts w:hint="eastAsia"/>
              </w:rPr>
              <w:t>广东乐昌</w:t>
            </w:r>
          </w:p>
        </w:tc>
      </w:tr>
      <w:tr w14:paraId="0F4F0D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45A5754F">
            <w:pPr>
              <w:pStyle w:val="12"/>
              <w:jc w:val="center"/>
            </w:pPr>
            <w:r>
              <w:rPr>
                <w:rFonts w:hint="eastAsia"/>
              </w:rPr>
              <w:t>陈德明</w:t>
            </w:r>
          </w:p>
        </w:tc>
        <w:tc>
          <w:tcPr>
            <w:tcW w:w="388" w:type="pct"/>
            <w:vAlign w:val="center"/>
          </w:tcPr>
          <w:p w14:paraId="410DF845">
            <w:pPr>
              <w:pStyle w:val="12"/>
              <w:jc w:val="center"/>
            </w:pPr>
            <w:r>
              <w:rPr>
                <w:rFonts w:hint="eastAsia"/>
              </w:rPr>
              <w:t>男</w:t>
            </w:r>
          </w:p>
        </w:tc>
        <w:tc>
          <w:tcPr>
            <w:tcW w:w="582" w:type="pct"/>
            <w:vAlign w:val="center"/>
          </w:tcPr>
          <w:p w14:paraId="3700B5D6">
            <w:pPr>
              <w:pStyle w:val="12"/>
              <w:jc w:val="center"/>
            </w:pPr>
            <w:r>
              <w:rPr>
                <w:rFonts w:hint="eastAsia"/>
              </w:rPr>
              <w:t>南雄</w:t>
            </w:r>
          </w:p>
        </w:tc>
        <w:tc>
          <w:tcPr>
            <w:tcW w:w="2132" w:type="pct"/>
            <w:vAlign w:val="center"/>
          </w:tcPr>
          <w:p w14:paraId="277DFF70">
            <w:pPr>
              <w:pStyle w:val="12"/>
              <w:jc w:val="left"/>
            </w:pPr>
            <w:r>
              <w:rPr>
                <w:rFonts w:hint="eastAsia"/>
              </w:rPr>
              <w:t>160师480团7连二等兵</w:t>
            </w:r>
          </w:p>
        </w:tc>
        <w:tc>
          <w:tcPr>
            <w:tcW w:w="1259" w:type="pct"/>
            <w:vAlign w:val="center"/>
          </w:tcPr>
          <w:p w14:paraId="727C0020">
            <w:pPr>
              <w:pStyle w:val="12"/>
              <w:jc w:val="left"/>
            </w:pPr>
            <w:r>
              <w:rPr>
                <w:rFonts w:hint="eastAsia"/>
              </w:rPr>
              <w:t>广东乐昌</w:t>
            </w:r>
          </w:p>
        </w:tc>
      </w:tr>
      <w:tr w14:paraId="29F439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5893FE2">
            <w:pPr>
              <w:pStyle w:val="12"/>
              <w:jc w:val="center"/>
            </w:pPr>
            <w:r>
              <w:rPr>
                <w:rFonts w:hint="eastAsia"/>
              </w:rPr>
              <w:t>张卿炳</w:t>
            </w:r>
          </w:p>
        </w:tc>
        <w:tc>
          <w:tcPr>
            <w:tcW w:w="388" w:type="pct"/>
            <w:vAlign w:val="center"/>
          </w:tcPr>
          <w:p w14:paraId="1897E0E3">
            <w:pPr>
              <w:pStyle w:val="12"/>
              <w:jc w:val="center"/>
            </w:pPr>
            <w:r>
              <w:rPr>
                <w:rFonts w:hint="eastAsia"/>
              </w:rPr>
              <w:t>男</w:t>
            </w:r>
          </w:p>
        </w:tc>
        <w:tc>
          <w:tcPr>
            <w:tcW w:w="582" w:type="pct"/>
            <w:vAlign w:val="center"/>
          </w:tcPr>
          <w:p w14:paraId="451ECEE7">
            <w:pPr>
              <w:pStyle w:val="12"/>
              <w:jc w:val="center"/>
            </w:pPr>
            <w:r>
              <w:rPr>
                <w:rFonts w:hint="eastAsia"/>
              </w:rPr>
              <w:t>南雄</w:t>
            </w:r>
          </w:p>
        </w:tc>
        <w:tc>
          <w:tcPr>
            <w:tcW w:w="2132" w:type="pct"/>
            <w:vAlign w:val="center"/>
          </w:tcPr>
          <w:p w14:paraId="3C9CACD9">
            <w:pPr>
              <w:pStyle w:val="12"/>
              <w:jc w:val="left"/>
            </w:pPr>
            <w:r>
              <w:rPr>
                <w:rFonts w:hint="eastAsia"/>
              </w:rPr>
              <w:t>160师480团8连二等兵</w:t>
            </w:r>
          </w:p>
        </w:tc>
        <w:tc>
          <w:tcPr>
            <w:tcW w:w="1259" w:type="pct"/>
            <w:vAlign w:val="center"/>
          </w:tcPr>
          <w:p w14:paraId="79B91116">
            <w:pPr>
              <w:pStyle w:val="12"/>
              <w:jc w:val="left"/>
            </w:pPr>
            <w:r>
              <w:rPr>
                <w:rFonts w:hint="eastAsia"/>
              </w:rPr>
              <w:t>广东乐昌</w:t>
            </w:r>
          </w:p>
        </w:tc>
      </w:tr>
      <w:tr w14:paraId="547E93C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BC28EAB">
            <w:pPr>
              <w:pStyle w:val="12"/>
              <w:jc w:val="center"/>
            </w:pPr>
            <w:r>
              <w:rPr>
                <w:rFonts w:hint="eastAsia"/>
              </w:rPr>
              <w:t>何  辉</w:t>
            </w:r>
          </w:p>
        </w:tc>
        <w:tc>
          <w:tcPr>
            <w:tcW w:w="388" w:type="pct"/>
            <w:vAlign w:val="center"/>
          </w:tcPr>
          <w:p w14:paraId="764BC538">
            <w:pPr>
              <w:pStyle w:val="12"/>
              <w:jc w:val="center"/>
            </w:pPr>
            <w:r>
              <w:rPr>
                <w:rFonts w:hint="eastAsia"/>
              </w:rPr>
              <w:t>男</w:t>
            </w:r>
          </w:p>
        </w:tc>
        <w:tc>
          <w:tcPr>
            <w:tcW w:w="582" w:type="pct"/>
            <w:vAlign w:val="center"/>
          </w:tcPr>
          <w:p w14:paraId="00DB4349">
            <w:pPr>
              <w:pStyle w:val="12"/>
              <w:jc w:val="center"/>
            </w:pPr>
            <w:r>
              <w:rPr>
                <w:rFonts w:hint="eastAsia"/>
              </w:rPr>
              <w:t>南雄</w:t>
            </w:r>
          </w:p>
        </w:tc>
        <w:tc>
          <w:tcPr>
            <w:tcW w:w="2132" w:type="pct"/>
            <w:vAlign w:val="center"/>
          </w:tcPr>
          <w:p w14:paraId="5B88A186">
            <w:pPr>
              <w:pStyle w:val="12"/>
              <w:jc w:val="left"/>
            </w:pPr>
            <w:r>
              <w:rPr>
                <w:rFonts w:hint="eastAsia"/>
              </w:rPr>
              <w:t>160师通信连上士班长</w:t>
            </w:r>
          </w:p>
        </w:tc>
        <w:tc>
          <w:tcPr>
            <w:tcW w:w="1259" w:type="pct"/>
            <w:vAlign w:val="center"/>
          </w:tcPr>
          <w:p w14:paraId="621EE7FA">
            <w:pPr>
              <w:pStyle w:val="12"/>
              <w:jc w:val="left"/>
            </w:pPr>
            <w:r>
              <w:rPr>
                <w:rFonts w:hint="eastAsia"/>
              </w:rPr>
              <w:t>南京</w:t>
            </w:r>
          </w:p>
        </w:tc>
      </w:tr>
      <w:tr w14:paraId="5EDA55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78D52C17">
            <w:pPr>
              <w:pStyle w:val="12"/>
              <w:jc w:val="center"/>
            </w:pPr>
            <w:r>
              <w:rPr>
                <w:rFonts w:hint="eastAsia"/>
              </w:rPr>
              <w:t>张发江</w:t>
            </w:r>
          </w:p>
        </w:tc>
        <w:tc>
          <w:tcPr>
            <w:tcW w:w="388" w:type="pct"/>
            <w:vAlign w:val="center"/>
          </w:tcPr>
          <w:p w14:paraId="6CA27D91">
            <w:pPr>
              <w:pStyle w:val="12"/>
              <w:jc w:val="center"/>
            </w:pPr>
            <w:r>
              <w:rPr>
                <w:rFonts w:hint="eastAsia"/>
              </w:rPr>
              <w:t>男</w:t>
            </w:r>
          </w:p>
        </w:tc>
        <w:tc>
          <w:tcPr>
            <w:tcW w:w="582" w:type="pct"/>
            <w:vAlign w:val="center"/>
          </w:tcPr>
          <w:p w14:paraId="5B40B85A">
            <w:pPr>
              <w:pStyle w:val="12"/>
              <w:jc w:val="center"/>
            </w:pPr>
            <w:r>
              <w:rPr>
                <w:rFonts w:hint="eastAsia"/>
              </w:rPr>
              <w:t>南雄</w:t>
            </w:r>
          </w:p>
        </w:tc>
        <w:tc>
          <w:tcPr>
            <w:tcW w:w="2132" w:type="pct"/>
            <w:vAlign w:val="center"/>
          </w:tcPr>
          <w:p w14:paraId="02AEB6C1">
            <w:pPr>
              <w:pStyle w:val="12"/>
              <w:jc w:val="left"/>
            </w:pPr>
            <w:r>
              <w:rPr>
                <w:rFonts w:hint="eastAsia"/>
              </w:rPr>
              <w:t>160师478团迫炮排二等兵</w:t>
            </w:r>
          </w:p>
        </w:tc>
        <w:tc>
          <w:tcPr>
            <w:tcW w:w="1259" w:type="pct"/>
            <w:vAlign w:val="center"/>
          </w:tcPr>
          <w:p w14:paraId="579609EE">
            <w:pPr>
              <w:pStyle w:val="12"/>
              <w:jc w:val="left"/>
            </w:pPr>
            <w:r>
              <w:rPr>
                <w:rFonts w:hint="eastAsia"/>
              </w:rPr>
              <w:t>江西信丰</w:t>
            </w:r>
          </w:p>
        </w:tc>
      </w:tr>
      <w:tr w14:paraId="783B67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541076B9">
            <w:pPr>
              <w:pStyle w:val="12"/>
              <w:jc w:val="center"/>
            </w:pPr>
            <w:r>
              <w:rPr>
                <w:rFonts w:hint="eastAsia"/>
              </w:rPr>
              <w:t>江亚添</w:t>
            </w:r>
          </w:p>
        </w:tc>
        <w:tc>
          <w:tcPr>
            <w:tcW w:w="388" w:type="pct"/>
            <w:vAlign w:val="center"/>
          </w:tcPr>
          <w:p w14:paraId="6C8689FC">
            <w:pPr>
              <w:pStyle w:val="12"/>
              <w:jc w:val="center"/>
            </w:pPr>
            <w:r>
              <w:rPr>
                <w:rFonts w:hint="eastAsia"/>
              </w:rPr>
              <w:t>男</w:t>
            </w:r>
          </w:p>
        </w:tc>
        <w:tc>
          <w:tcPr>
            <w:tcW w:w="582" w:type="pct"/>
            <w:vAlign w:val="center"/>
          </w:tcPr>
          <w:p w14:paraId="0A18B993">
            <w:pPr>
              <w:pStyle w:val="12"/>
              <w:jc w:val="center"/>
            </w:pPr>
            <w:r>
              <w:rPr>
                <w:rFonts w:hint="eastAsia"/>
              </w:rPr>
              <w:t>南雄</w:t>
            </w:r>
          </w:p>
        </w:tc>
        <w:tc>
          <w:tcPr>
            <w:tcW w:w="2132" w:type="pct"/>
            <w:vAlign w:val="center"/>
          </w:tcPr>
          <w:p w14:paraId="2EB0BCB5">
            <w:pPr>
              <w:pStyle w:val="12"/>
              <w:jc w:val="left"/>
            </w:pPr>
            <w:r>
              <w:rPr>
                <w:rFonts w:hint="eastAsia"/>
              </w:rPr>
              <w:t>160师478团迫炮排二等兵</w:t>
            </w:r>
          </w:p>
        </w:tc>
        <w:tc>
          <w:tcPr>
            <w:tcW w:w="1259" w:type="pct"/>
            <w:vAlign w:val="center"/>
          </w:tcPr>
          <w:p w14:paraId="269B7FB6">
            <w:pPr>
              <w:pStyle w:val="12"/>
              <w:jc w:val="left"/>
            </w:pPr>
            <w:r>
              <w:rPr>
                <w:rFonts w:hint="eastAsia"/>
              </w:rPr>
              <w:t>江西信丰</w:t>
            </w:r>
          </w:p>
        </w:tc>
      </w:tr>
      <w:tr w14:paraId="269B541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D8BAEE7">
            <w:pPr>
              <w:pStyle w:val="12"/>
              <w:jc w:val="center"/>
            </w:pPr>
            <w:r>
              <w:rPr>
                <w:rFonts w:hint="eastAsia"/>
              </w:rPr>
              <w:t>庞国生</w:t>
            </w:r>
          </w:p>
        </w:tc>
        <w:tc>
          <w:tcPr>
            <w:tcW w:w="388" w:type="pct"/>
            <w:vAlign w:val="center"/>
          </w:tcPr>
          <w:p w14:paraId="69B88FF5">
            <w:pPr>
              <w:pStyle w:val="12"/>
              <w:jc w:val="center"/>
            </w:pPr>
            <w:r>
              <w:rPr>
                <w:rFonts w:hint="eastAsia"/>
              </w:rPr>
              <w:t>男</w:t>
            </w:r>
          </w:p>
        </w:tc>
        <w:tc>
          <w:tcPr>
            <w:tcW w:w="582" w:type="pct"/>
            <w:vAlign w:val="center"/>
          </w:tcPr>
          <w:p w14:paraId="6D58A0AD">
            <w:pPr>
              <w:pStyle w:val="12"/>
              <w:jc w:val="center"/>
            </w:pPr>
            <w:r>
              <w:rPr>
                <w:rFonts w:hint="eastAsia"/>
              </w:rPr>
              <w:t>南雄</w:t>
            </w:r>
          </w:p>
        </w:tc>
        <w:tc>
          <w:tcPr>
            <w:tcW w:w="2132" w:type="pct"/>
            <w:vAlign w:val="center"/>
          </w:tcPr>
          <w:p w14:paraId="5409563E">
            <w:pPr>
              <w:pStyle w:val="12"/>
              <w:jc w:val="left"/>
            </w:pPr>
            <w:r>
              <w:rPr>
                <w:rFonts w:hint="eastAsia"/>
              </w:rPr>
              <w:t>67师401团8连上等兵</w:t>
            </w:r>
          </w:p>
        </w:tc>
        <w:tc>
          <w:tcPr>
            <w:tcW w:w="1259" w:type="pct"/>
            <w:vAlign w:val="center"/>
          </w:tcPr>
          <w:p w14:paraId="590D9AE3">
            <w:pPr>
              <w:pStyle w:val="12"/>
              <w:jc w:val="left"/>
            </w:pPr>
            <w:r>
              <w:rPr>
                <w:rFonts w:hint="eastAsia"/>
              </w:rPr>
              <w:t>陆宅附近</w:t>
            </w:r>
          </w:p>
        </w:tc>
      </w:tr>
      <w:tr w14:paraId="1E2B16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A7E56EA">
            <w:pPr>
              <w:pStyle w:val="12"/>
              <w:jc w:val="center"/>
            </w:pPr>
            <w:r>
              <w:rPr>
                <w:rFonts w:hint="eastAsia"/>
              </w:rPr>
              <w:t>张凤雏</w:t>
            </w:r>
          </w:p>
        </w:tc>
        <w:tc>
          <w:tcPr>
            <w:tcW w:w="388" w:type="pct"/>
            <w:vAlign w:val="center"/>
          </w:tcPr>
          <w:p w14:paraId="60338A6C">
            <w:pPr>
              <w:pStyle w:val="12"/>
              <w:jc w:val="center"/>
            </w:pPr>
            <w:r>
              <w:rPr>
                <w:rFonts w:hint="eastAsia"/>
              </w:rPr>
              <w:t>男</w:t>
            </w:r>
          </w:p>
        </w:tc>
        <w:tc>
          <w:tcPr>
            <w:tcW w:w="582" w:type="pct"/>
            <w:vAlign w:val="center"/>
          </w:tcPr>
          <w:p w14:paraId="742F4EC3">
            <w:pPr>
              <w:pStyle w:val="12"/>
              <w:jc w:val="center"/>
            </w:pPr>
            <w:r>
              <w:rPr>
                <w:rFonts w:hint="eastAsia"/>
              </w:rPr>
              <w:t>南雄</w:t>
            </w:r>
          </w:p>
        </w:tc>
        <w:tc>
          <w:tcPr>
            <w:tcW w:w="2132" w:type="pct"/>
            <w:vAlign w:val="center"/>
          </w:tcPr>
          <w:p w14:paraId="7D158802">
            <w:pPr>
              <w:pStyle w:val="12"/>
              <w:jc w:val="left"/>
            </w:pPr>
            <w:r>
              <w:rPr>
                <w:rFonts w:hint="eastAsia"/>
              </w:rPr>
              <w:t>南雄县国民兵团后备大队二中队少尉分队长</w:t>
            </w:r>
          </w:p>
        </w:tc>
        <w:tc>
          <w:tcPr>
            <w:tcW w:w="1259" w:type="pct"/>
            <w:vAlign w:val="center"/>
          </w:tcPr>
          <w:p w14:paraId="0E039D98">
            <w:pPr>
              <w:pStyle w:val="12"/>
              <w:jc w:val="left"/>
            </w:pPr>
            <w:r>
              <w:rPr>
                <w:rFonts w:hint="eastAsia"/>
              </w:rPr>
              <w:t>广东南雄</w:t>
            </w:r>
          </w:p>
        </w:tc>
      </w:tr>
      <w:tr w14:paraId="307F4E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60F6E6A">
            <w:pPr>
              <w:pStyle w:val="12"/>
              <w:jc w:val="center"/>
            </w:pPr>
            <w:r>
              <w:rPr>
                <w:rFonts w:hint="eastAsia"/>
              </w:rPr>
              <w:t>黄履珍</w:t>
            </w:r>
          </w:p>
        </w:tc>
        <w:tc>
          <w:tcPr>
            <w:tcW w:w="388" w:type="pct"/>
            <w:vAlign w:val="center"/>
          </w:tcPr>
          <w:p w14:paraId="34DECA28">
            <w:pPr>
              <w:pStyle w:val="12"/>
              <w:jc w:val="center"/>
            </w:pPr>
            <w:r>
              <w:rPr>
                <w:rFonts w:hint="eastAsia"/>
              </w:rPr>
              <w:t>男</w:t>
            </w:r>
          </w:p>
        </w:tc>
        <w:tc>
          <w:tcPr>
            <w:tcW w:w="582" w:type="pct"/>
            <w:vAlign w:val="center"/>
          </w:tcPr>
          <w:p w14:paraId="1CF960F4">
            <w:pPr>
              <w:pStyle w:val="12"/>
              <w:jc w:val="center"/>
            </w:pPr>
            <w:r>
              <w:rPr>
                <w:rFonts w:hint="eastAsia"/>
              </w:rPr>
              <w:t>南雄</w:t>
            </w:r>
          </w:p>
        </w:tc>
        <w:tc>
          <w:tcPr>
            <w:tcW w:w="2132" w:type="pct"/>
            <w:vAlign w:val="center"/>
          </w:tcPr>
          <w:p w14:paraId="63E1B24B">
            <w:pPr>
              <w:pStyle w:val="12"/>
              <w:jc w:val="left"/>
            </w:pPr>
            <w:r>
              <w:rPr>
                <w:rFonts w:hint="eastAsia"/>
              </w:rPr>
              <w:t>南雄县国民兵团后备大队二中队上等兵</w:t>
            </w:r>
          </w:p>
        </w:tc>
        <w:tc>
          <w:tcPr>
            <w:tcW w:w="1259" w:type="pct"/>
            <w:vAlign w:val="center"/>
          </w:tcPr>
          <w:p w14:paraId="2A1196C9">
            <w:pPr>
              <w:pStyle w:val="12"/>
              <w:jc w:val="left"/>
            </w:pPr>
            <w:r>
              <w:rPr>
                <w:rFonts w:hint="eastAsia"/>
              </w:rPr>
              <w:t>广东南雄</w:t>
            </w:r>
          </w:p>
        </w:tc>
      </w:tr>
      <w:tr w14:paraId="18205C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2D1B136B">
            <w:pPr>
              <w:pStyle w:val="12"/>
              <w:jc w:val="center"/>
            </w:pPr>
            <w:r>
              <w:rPr>
                <w:rFonts w:hint="eastAsia"/>
              </w:rPr>
              <w:t>张盛贵</w:t>
            </w:r>
          </w:p>
        </w:tc>
        <w:tc>
          <w:tcPr>
            <w:tcW w:w="388" w:type="pct"/>
            <w:vAlign w:val="center"/>
          </w:tcPr>
          <w:p w14:paraId="71CA9F8E">
            <w:pPr>
              <w:pStyle w:val="12"/>
              <w:jc w:val="center"/>
            </w:pPr>
            <w:r>
              <w:rPr>
                <w:rFonts w:hint="eastAsia"/>
              </w:rPr>
              <w:t>男</w:t>
            </w:r>
          </w:p>
        </w:tc>
        <w:tc>
          <w:tcPr>
            <w:tcW w:w="582" w:type="pct"/>
            <w:vAlign w:val="center"/>
          </w:tcPr>
          <w:p w14:paraId="368F2189">
            <w:pPr>
              <w:pStyle w:val="12"/>
              <w:jc w:val="center"/>
            </w:pPr>
            <w:r>
              <w:rPr>
                <w:rFonts w:hint="eastAsia"/>
              </w:rPr>
              <w:t>南雄</w:t>
            </w:r>
          </w:p>
        </w:tc>
        <w:tc>
          <w:tcPr>
            <w:tcW w:w="2132" w:type="pct"/>
            <w:vAlign w:val="center"/>
          </w:tcPr>
          <w:p w14:paraId="0C0F2824">
            <w:pPr>
              <w:pStyle w:val="12"/>
              <w:jc w:val="left"/>
            </w:pPr>
            <w:r>
              <w:rPr>
                <w:rFonts w:hint="eastAsia"/>
              </w:rPr>
              <w:t>南雄县国民兵团后备大队二中队下士</w:t>
            </w:r>
          </w:p>
        </w:tc>
        <w:tc>
          <w:tcPr>
            <w:tcW w:w="1259" w:type="pct"/>
            <w:vAlign w:val="center"/>
          </w:tcPr>
          <w:p w14:paraId="05FBBE48">
            <w:pPr>
              <w:pStyle w:val="12"/>
              <w:jc w:val="left"/>
            </w:pPr>
            <w:r>
              <w:rPr>
                <w:rFonts w:hint="eastAsia"/>
              </w:rPr>
              <w:t>广东南雄</w:t>
            </w:r>
          </w:p>
        </w:tc>
      </w:tr>
      <w:tr w14:paraId="18F90A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1CDC9EC5">
            <w:pPr>
              <w:pStyle w:val="12"/>
              <w:jc w:val="center"/>
            </w:pPr>
            <w:r>
              <w:rPr>
                <w:rFonts w:hint="eastAsia"/>
              </w:rPr>
              <w:t>张盛万</w:t>
            </w:r>
          </w:p>
        </w:tc>
        <w:tc>
          <w:tcPr>
            <w:tcW w:w="388" w:type="pct"/>
            <w:vAlign w:val="center"/>
          </w:tcPr>
          <w:p w14:paraId="6EA92ADD">
            <w:pPr>
              <w:pStyle w:val="12"/>
              <w:jc w:val="center"/>
            </w:pPr>
            <w:r>
              <w:rPr>
                <w:rFonts w:hint="eastAsia"/>
              </w:rPr>
              <w:t>男</w:t>
            </w:r>
          </w:p>
        </w:tc>
        <w:tc>
          <w:tcPr>
            <w:tcW w:w="582" w:type="pct"/>
            <w:vAlign w:val="center"/>
          </w:tcPr>
          <w:p w14:paraId="4C9F7ADE">
            <w:pPr>
              <w:pStyle w:val="12"/>
              <w:jc w:val="center"/>
            </w:pPr>
            <w:r>
              <w:rPr>
                <w:rFonts w:hint="eastAsia"/>
              </w:rPr>
              <w:t>南雄</w:t>
            </w:r>
          </w:p>
        </w:tc>
        <w:tc>
          <w:tcPr>
            <w:tcW w:w="2132" w:type="pct"/>
            <w:vAlign w:val="center"/>
          </w:tcPr>
          <w:p w14:paraId="2F8388F8">
            <w:pPr>
              <w:pStyle w:val="12"/>
              <w:jc w:val="left"/>
            </w:pPr>
            <w:r>
              <w:rPr>
                <w:rFonts w:hint="eastAsia"/>
              </w:rPr>
              <w:t>南雄县国民兵团后备大队二中队上等兵</w:t>
            </w:r>
          </w:p>
        </w:tc>
        <w:tc>
          <w:tcPr>
            <w:tcW w:w="1259" w:type="pct"/>
            <w:vAlign w:val="center"/>
          </w:tcPr>
          <w:p w14:paraId="18CD2CB9">
            <w:pPr>
              <w:pStyle w:val="12"/>
              <w:jc w:val="left"/>
            </w:pPr>
            <w:r>
              <w:rPr>
                <w:rFonts w:hint="eastAsia"/>
              </w:rPr>
              <w:t>广东南雄</w:t>
            </w:r>
          </w:p>
        </w:tc>
      </w:tr>
      <w:tr w14:paraId="2E0610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vAlign w:val="center"/>
          </w:tcPr>
          <w:p w14:paraId="6188AAAF">
            <w:pPr>
              <w:pStyle w:val="12"/>
              <w:jc w:val="center"/>
            </w:pPr>
            <w:r>
              <w:rPr>
                <w:rFonts w:hint="eastAsia"/>
              </w:rPr>
              <w:t>潘  亮</w:t>
            </w:r>
          </w:p>
        </w:tc>
        <w:tc>
          <w:tcPr>
            <w:tcW w:w="388" w:type="pct"/>
            <w:vAlign w:val="center"/>
          </w:tcPr>
          <w:p w14:paraId="6B139187">
            <w:pPr>
              <w:pStyle w:val="12"/>
              <w:jc w:val="center"/>
            </w:pPr>
            <w:r>
              <w:rPr>
                <w:rFonts w:hint="eastAsia"/>
              </w:rPr>
              <w:t>男</w:t>
            </w:r>
          </w:p>
        </w:tc>
        <w:tc>
          <w:tcPr>
            <w:tcW w:w="582" w:type="pct"/>
            <w:vAlign w:val="center"/>
          </w:tcPr>
          <w:p w14:paraId="58B8BC75">
            <w:pPr>
              <w:pStyle w:val="12"/>
              <w:jc w:val="center"/>
            </w:pPr>
            <w:r>
              <w:rPr>
                <w:rFonts w:hint="eastAsia"/>
              </w:rPr>
              <w:t>南雄</w:t>
            </w:r>
          </w:p>
        </w:tc>
        <w:tc>
          <w:tcPr>
            <w:tcW w:w="2132" w:type="pct"/>
            <w:vAlign w:val="center"/>
          </w:tcPr>
          <w:p w14:paraId="100DC86E">
            <w:pPr>
              <w:pStyle w:val="12"/>
              <w:jc w:val="left"/>
            </w:pPr>
            <w:r>
              <w:rPr>
                <w:rFonts w:hint="eastAsia"/>
              </w:rPr>
              <w:t>独20旅2团8连</w:t>
            </w:r>
          </w:p>
        </w:tc>
        <w:tc>
          <w:tcPr>
            <w:tcW w:w="1259" w:type="pct"/>
            <w:vAlign w:val="center"/>
          </w:tcPr>
          <w:p w14:paraId="00E20CD6">
            <w:pPr>
              <w:pStyle w:val="12"/>
              <w:jc w:val="left"/>
            </w:pPr>
            <w:r>
              <w:rPr>
                <w:rFonts w:hint="eastAsia"/>
              </w:rPr>
              <w:t>广东南雄</w:t>
            </w:r>
          </w:p>
        </w:tc>
      </w:tr>
    </w:tbl>
    <w:p w14:paraId="17FE8EB5">
      <w:pPr>
        <w:ind w:firstLine="422"/>
        <w:rPr>
          <w:b/>
        </w:rPr>
      </w:pPr>
      <w:r>
        <w:rPr>
          <w:b/>
        </w:rPr>
        <w:t>说明</w:t>
      </w:r>
      <w:r>
        <w:rPr>
          <w:rFonts w:hint="eastAsia"/>
          <w:b/>
        </w:rPr>
        <w:t>：</w:t>
      </w:r>
      <w:r>
        <w:rPr>
          <w:b/>
        </w:rPr>
        <w:t>此名表源自南京中国第二历史档案馆</w:t>
      </w:r>
      <w:r>
        <w:rPr>
          <w:rFonts w:hint="eastAsia"/>
          <w:b/>
        </w:rPr>
        <w:t>。</w:t>
      </w:r>
    </w:p>
    <w:p w14:paraId="3C1D33B5">
      <w:pPr>
        <w:pStyle w:val="4"/>
        <w:spacing w:line="360" w:lineRule="auto"/>
        <w:ind w:firstLine="643" w:firstLineChars="200"/>
        <w:rPr>
          <w:rFonts w:ascii="宋体" w:hAnsi="宋体" w:cs="宋体"/>
        </w:rPr>
      </w:pPr>
      <w:r>
        <w:rPr>
          <w:rFonts w:hint="eastAsia" w:ascii="宋体" w:hAnsi="宋体" w:cs="宋体"/>
        </w:rPr>
        <w:t>第四节  新中国成立后先进人物</w:t>
      </w:r>
    </w:p>
    <w:p w14:paraId="5693B359">
      <w:pPr>
        <w:pStyle w:val="5"/>
        <w:rPr>
          <w:rFonts w:ascii="宋体" w:hAnsi="宋体" w:cs="宋体"/>
        </w:rPr>
      </w:pPr>
      <w:r>
        <w:rPr>
          <w:rFonts w:hint="eastAsia" w:ascii="宋体" w:hAnsi="宋体" w:cs="宋体"/>
        </w:rPr>
        <w:t>一、国家级先进个人</w:t>
      </w:r>
    </w:p>
    <w:p w14:paraId="7608E0DF">
      <w:pPr>
        <w:ind w:firstLine="0" w:firstLineChars="0"/>
        <w:rPr>
          <w:rFonts w:ascii="宋体" w:hAnsi="宋体" w:cs="宋体"/>
          <w:b/>
          <w:bCs/>
        </w:rPr>
      </w:pPr>
      <w:r>
        <w:rPr>
          <w:rFonts w:hint="eastAsia" w:ascii="宋体" w:hAnsi="宋体" w:cs="宋体"/>
          <w:b/>
          <w:bCs/>
        </w:rPr>
        <w:t>表7-11</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88"/>
        <w:gridCol w:w="2122"/>
        <w:gridCol w:w="1700"/>
        <w:gridCol w:w="2128"/>
        <w:gridCol w:w="2624"/>
      </w:tblGrid>
      <w:tr w14:paraId="681AB2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79D2A601">
            <w:pPr>
              <w:pStyle w:val="12"/>
              <w:jc w:val="center"/>
              <w:rPr>
                <w:b/>
              </w:rPr>
            </w:pPr>
            <w:r>
              <w:rPr>
                <w:rFonts w:hint="eastAsia"/>
                <w:b/>
              </w:rPr>
              <w:t>姓名</w:t>
            </w:r>
          </w:p>
        </w:tc>
        <w:tc>
          <w:tcPr>
            <w:tcW w:w="1065" w:type="pct"/>
            <w:vAlign w:val="center"/>
          </w:tcPr>
          <w:p w14:paraId="65D13A62">
            <w:pPr>
              <w:pStyle w:val="12"/>
              <w:jc w:val="center"/>
              <w:rPr>
                <w:b/>
              </w:rPr>
            </w:pPr>
            <w:r>
              <w:rPr>
                <w:rFonts w:hint="eastAsia"/>
                <w:b/>
              </w:rPr>
              <w:t>获奖时</w:t>
            </w:r>
            <w:r>
              <w:rPr>
                <w:rFonts w:hint="eastAsia" w:ascii="宋体" w:hAnsi="宋体" w:cs="宋体"/>
                <w:b/>
              </w:rPr>
              <w:t>工作单位</w:t>
            </w:r>
          </w:p>
        </w:tc>
        <w:tc>
          <w:tcPr>
            <w:tcW w:w="853" w:type="pct"/>
            <w:vAlign w:val="center"/>
          </w:tcPr>
          <w:p w14:paraId="0EBD3199">
            <w:pPr>
              <w:pStyle w:val="12"/>
              <w:jc w:val="center"/>
              <w:rPr>
                <w:b/>
              </w:rPr>
            </w:pPr>
            <w:r>
              <w:rPr>
                <w:rFonts w:hint="eastAsia"/>
                <w:b/>
              </w:rPr>
              <w:t>获奖时间</w:t>
            </w:r>
          </w:p>
        </w:tc>
        <w:tc>
          <w:tcPr>
            <w:tcW w:w="1068" w:type="pct"/>
            <w:vAlign w:val="center"/>
          </w:tcPr>
          <w:p w14:paraId="2A351C43">
            <w:pPr>
              <w:pStyle w:val="12"/>
              <w:jc w:val="center"/>
              <w:rPr>
                <w:b/>
              </w:rPr>
            </w:pPr>
            <w:r>
              <w:rPr>
                <w:rFonts w:hint="eastAsia"/>
                <w:b/>
              </w:rPr>
              <w:t>授奖单位</w:t>
            </w:r>
          </w:p>
        </w:tc>
        <w:tc>
          <w:tcPr>
            <w:tcW w:w="1317" w:type="pct"/>
            <w:vAlign w:val="center"/>
          </w:tcPr>
          <w:p w14:paraId="6A6C96FD">
            <w:pPr>
              <w:pStyle w:val="12"/>
              <w:jc w:val="center"/>
              <w:rPr>
                <w:b/>
              </w:rPr>
            </w:pPr>
            <w:r>
              <w:rPr>
                <w:rFonts w:hint="eastAsia"/>
                <w:b/>
              </w:rPr>
              <w:t>荣誉称号</w:t>
            </w:r>
          </w:p>
        </w:tc>
      </w:tr>
      <w:tr w14:paraId="0F33BA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2E8E4AAA">
            <w:pPr>
              <w:pStyle w:val="12"/>
              <w:jc w:val="center"/>
            </w:pPr>
            <w:r>
              <w:rPr>
                <w:rFonts w:hint="eastAsia"/>
              </w:rPr>
              <w:t>冯自强</w:t>
            </w:r>
          </w:p>
        </w:tc>
        <w:tc>
          <w:tcPr>
            <w:tcW w:w="1065" w:type="pct"/>
            <w:vAlign w:val="center"/>
          </w:tcPr>
          <w:p w14:paraId="28DF6B2D">
            <w:pPr>
              <w:pStyle w:val="12"/>
              <w:jc w:val="center"/>
            </w:pPr>
            <w:r>
              <w:rPr>
                <w:rFonts w:hint="eastAsia"/>
              </w:rPr>
              <w:t>县酱油咸杂</w:t>
            </w:r>
            <w:r>
              <w:rPr>
                <w:rFonts w:hint="eastAsia" w:ascii="宋体" w:hAnsi="宋体" w:cs="宋体"/>
              </w:rPr>
              <w:t>加工厂</w:t>
            </w:r>
          </w:p>
        </w:tc>
        <w:tc>
          <w:tcPr>
            <w:tcW w:w="853" w:type="pct"/>
            <w:vAlign w:val="center"/>
          </w:tcPr>
          <w:p w14:paraId="7BFE116F">
            <w:pPr>
              <w:pStyle w:val="12"/>
              <w:jc w:val="center"/>
            </w:pPr>
            <w:r>
              <w:rPr>
                <w:rFonts w:hint="eastAsia"/>
              </w:rPr>
              <w:t>1956年</w:t>
            </w:r>
          </w:p>
        </w:tc>
        <w:tc>
          <w:tcPr>
            <w:tcW w:w="1068" w:type="pct"/>
            <w:vAlign w:val="center"/>
          </w:tcPr>
          <w:p w14:paraId="4F7E7873">
            <w:pPr>
              <w:pStyle w:val="12"/>
              <w:jc w:val="center"/>
            </w:pPr>
            <w:r>
              <w:rPr>
                <w:rFonts w:hint="eastAsia"/>
              </w:rPr>
              <w:t>国务院</w:t>
            </w:r>
          </w:p>
        </w:tc>
        <w:tc>
          <w:tcPr>
            <w:tcW w:w="1317" w:type="pct"/>
            <w:vAlign w:val="center"/>
          </w:tcPr>
          <w:p w14:paraId="5EA04D4F">
            <w:pPr>
              <w:pStyle w:val="12"/>
              <w:jc w:val="left"/>
            </w:pPr>
            <w:r>
              <w:rPr>
                <w:rFonts w:hint="eastAsia"/>
              </w:rPr>
              <w:t>全国先进生产者</w:t>
            </w:r>
          </w:p>
        </w:tc>
      </w:tr>
      <w:tr w14:paraId="3C5C91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0C09B645">
            <w:pPr>
              <w:pStyle w:val="12"/>
              <w:jc w:val="center"/>
            </w:pPr>
            <w:r>
              <w:rPr>
                <w:rFonts w:hint="eastAsia"/>
              </w:rPr>
              <w:t>郭淑华</w:t>
            </w:r>
          </w:p>
        </w:tc>
        <w:tc>
          <w:tcPr>
            <w:tcW w:w="1065" w:type="pct"/>
            <w:vAlign w:val="center"/>
          </w:tcPr>
          <w:p w14:paraId="117C920A">
            <w:pPr>
              <w:pStyle w:val="12"/>
              <w:jc w:val="center"/>
            </w:pPr>
            <w:r>
              <w:rPr>
                <w:rFonts w:hint="eastAsia"/>
              </w:rPr>
              <w:t>城镇民办</w:t>
            </w:r>
            <w:r>
              <w:rPr>
                <w:rFonts w:hint="eastAsia" w:ascii="宋体" w:hAnsi="宋体" w:cs="宋体"/>
              </w:rPr>
              <w:t>中学</w:t>
            </w:r>
          </w:p>
        </w:tc>
        <w:tc>
          <w:tcPr>
            <w:tcW w:w="853" w:type="pct"/>
            <w:vAlign w:val="center"/>
          </w:tcPr>
          <w:p w14:paraId="29B851AD">
            <w:pPr>
              <w:pStyle w:val="12"/>
              <w:jc w:val="center"/>
            </w:pPr>
            <w:r>
              <w:rPr>
                <w:rFonts w:hint="eastAsia"/>
              </w:rPr>
              <w:t>1960年6月</w:t>
            </w:r>
          </w:p>
        </w:tc>
        <w:tc>
          <w:tcPr>
            <w:tcW w:w="1068" w:type="pct"/>
            <w:vAlign w:val="center"/>
          </w:tcPr>
          <w:p w14:paraId="2CC78F40">
            <w:pPr>
              <w:pStyle w:val="12"/>
              <w:jc w:val="center"/>
            </w:pPr>
            <w:r>
              <w:rPr>
                <w:rFonts w:hint="eastAsia"/>
              </w:rPr>
              <w:t>国务院</w:t>
            </w:r>
          </w:p>
        </w:tc>
        <w:tc>
          <w:tcPr>
            <w:tcW w:w="1317" w:type="pct"/>
            <w:vAlign w:val="center"/>
          </w:tcPr>
          <w:p w14:paraId="0E561A13">
            <w:pPr>
              <w:pStyle w:val="12"/>
              <w:jc w:val="left"/>
            </w:pPr>
            <w:r>
              <w:rPr>
                <w:rFonts w:hint="eastAsia"/>
              </w:rPr>
              <w:t>全国文教方面社会主义建设先进工作者</w:t>
            </w:r>
          </w:p>
        </w:tc>
      </w:tr>
      <w:tr w14:paraId="7DDD9E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5DC168FF">
            <w:pPr>
              <w:pStyle w:val="12"/>
              <w:jc w:val="center"/>
            </w:pPr>
            <w:r>
              <w:rPr>
                <w:rFonts w:hint="eastAsia"/>
              </w:rPr>
              <w:t>何贵明</w:t>
            </w:r>
          </w:p>
        </w:tc>
        <w:tc>
          <w:tcPr>
            <w:tcW w:w="1065" w:type="pct"/>
            <w:vAlign w:val="center"/>
          </w:tcPr>
          <w:p w14:paraId="77E446E4">
            <w:pPr>
              <w:pStyle w:val="12"/>
              <w:jc w:val="center"/>
            </w:pPr>
            <w:r>
              <w:rPr>
                <w:rFonts w:hint="eastAsia"/>
              </w:rPr>
              <w:t>县粮食局</w:t>
            </w:r>
          </w:p>
        </w:tc>
        <w:tc>
          <w:tcPr>
            <w:tcW w:w="853" w:type="pct"/>
            <w:vAlign w:val="center"/>
          </w:tcPr>
          <w:p w14:paraId="3BE03E3F">
            <w:pPr>
              <w:pStyle w:val="12"/>
              <w:jc w:val="center"/>
            </w:pPr>
            <w:r>
              <w:rPr>
                <w:rFonts w:hint="eastAsia"/>
              </w:rPr>
              <w:t>1975年</w:t>
            </w:r>
          </w:p>
        </w:tc>
        <w:tc>
          <w:tcPr>
            <w:tcW w:w="1068" w:type="pct"/>
            <w:vAlign w:val="center"/>
          </w:tcPr>
          <w:p w14:paraId="101EB49B">
            <w:pPr>
              <w:pStyle w:val="12"/>
              <w:jc w:val="center"/>
            </w:pPr>
            <w:r>
              <w:rPr>
                <w:rFonts w:hint="eastAsia"/>
              </w:rPr>
              <w:t>国家粮食部</w:t>
            </w:r>
          </w:p>
        </w:tc>
        <w:tc>
          <w:tcPr>
            <w:tcW w:w="1317" w:type="pct"/>
            <w:vAlign w:val="center"/>
          </w:tcPr>
          <w:p w14:paraId="0739ACD0">
            <w:pPr>
              <w:pStyle w:val="12"/>
              <w:jc w:val="left"/>
            </w:pPr>
            <w:r>
              <w:rPr>
                <w:rFonts w:hint="eastAsia"/>
              </w:rPr>
              <w:t>全国粮油系统仓储技术改革先进工作者</w:t>
            </w:r>
          </w:p>
        </w:tc>
      </w:tr>
      <w:tr w14:paraId="02DF20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40A558AE">
            <w:pPr>
              <w:pStyle w:val="12"/>
              <w:jc w:val="center"/>
            </w:pPr>
            <w:r>
              <w:rPr>
                <w:rFonts w:hint="eastAsia"/>
              </w:rPr>
              <w:t>郭  瑛</w:t>
            </w:r>
          </w:p>
        </w:tc>
        <w:tc>
          <w:tcPr>
            <w:tcW w:w="1065" w:type="pct"/>
            <w:vAlign w:val="center"/>
          </w:tcPr>
          <w:p w14:paraId="26D7AB1C">
            <w:pPr>
              <w:pStyle w:val="12"/>
              <w:jc w:val="center"/>
            </w:pPr>
            <w:r>
              <w:rPr>
                <w:rFonts w:hint="eastAsia"/>
              </w:rPr>
              <w:t>县体育运</w:t>
            </w:r>
            <w:r>
              <w:rPr>
                <w:rFonts w:hint="eastAsia" w:ascii="宋体" w:hAnsi="宋体" w:cs="宋体"/>
              </w:rPr>
              <w:t>动委员会</w:t>
            </w:r>
          </w:p>
        </w:tc>
        <w:tc>
          <w:tcPr>
            <w:tcW w:w="853" w:type="pct"/>
            <w:vAlign w:val="center"/>
          </w:tcPr>
          <w:p w14:paraId="5B447639">
            <w:pPr>
              <w:pStyle w:val="12"/>
              <w:jc w:val="center"/>
            </w:pPr>
            <w:r>
              <w:rPr>
                <w:rFonts w:hint="eastAsia"/>
              </w:rPr>
              <w:t>1978年</w:t>
            </w:r>
          </w:p>
        </w:tc>
        <w:tc>
          <w:tcPr>
            <w:tcW w:w="1068" w:type="pct"/>
            <w:vAlign w:val="center"/>
          </w:tcPr>
          <w:p w14:paraId="3C5C4AC7">
            <w:pPr>
              <w:pStyle w:val="12"/>
              <w:jc w:val="center"/>
            </w:pPr>
            <w:r>
              <w:rPr>
                <w:rFonts w:hint="eastAsia"/>
              </w:rPr>
              <w:t>全国体育运动委员会</w:t>
            </w:r>
          </w:p>
        </w:tc>
        <w:tc>
          <w:tcPr>
            <w:tcW w:w="1317" w:type="pct"/>
            <w:vAlign w:val="center"/>
          </w:tcPr>
          <w:p w14:paraId="4D3DCC17">
            <w:pPr>
              <w:pStyle w:val="12"/>
              <w:jc w:val="left"/>
            </w:pPr>
            <w:r>
              <w:rPr>
                <w:rFonts w:hint="eastAsia"/>
              </w:rPr>
              <w:t>全国优秀教练员</w:t>
            </w:r>
          </w:p>
        </w:tc>
      </w:tr>
      <w:tr w14:paraId="05DA8DE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6D226057">
            <w:pPr>
              <w:pStyle w:val="12"/>
              <w:jc w:val="center"/>
            </w:pPr>
            <w:r>
              <w:rPr>
                <w:rFonts w:hint="eastAsia"/>
              </w:rPr>
              <w:t>朱广发</w:t>
            </w:r>
          </w:p>
        </w:tc>
        <w:tc>
          <w:tcPr>
            <w:tcW w:w="1065" w:type="pct"/>
            <w:vAlign w:val="center"/>
          </w:tcPr>
          <w:p w14:paraId="396CA67F">
            <w:pPr>
              <w:pStyle w:val="12"/>
              <w:jc w:val="center"/>
            </w:pPr>
            <w:r>
              <w:rPr>
                <w:rFonts w:hint="eastAsia"/>
              </w:rPr>
              <w:t>县邮电局</w:t>
            </w:r>
          </w:p>
        </w:tc>
        <w:tc>
          <w:tcPr>
            <w:tcW w:w="853" w:type="pct"/>
            <w:vAlign w:val="center"/>
          </w:tcPr>
          <w:p w14:paraId="5918CEFE">
            <w:pPr>
              <w:pStyle w:val="12"/>
              <w:jc w:val="center"/>
            </w:pPr>
            <w:r>
              <w:rPr>
                <w:rFonts w:hint="eastAsia"/>
              </w:rPr>
              <w:t>1977年</w:t>
            </w:r>
          </w:p>
        </w:tc>
        <w:tc>
          <w:tcPr>
            <w:tcW w:w="1068" w:type="pct"/>
            <w:vAlign w:val="center"/>
          </w:tcPr>
          <w:p w14:paraId="7656A95D">
            <w:pPr>
              <w:pStyle w:val="12"/>
              <w:jc w:val="center"/>
            </w:pPr>
            <w:r>
              <w:rPr>
                <w:rFonts w:hint="eastAsia"/>
              </w:rPr>
              <w:t>邮电部</w:t>
            </w:r>
          </w:p>
        </w:tc>
        <w:tc>
          <w:tcPr>
            <w:tcW w:w="1317" w:type="pct"/>
            <w:vAlign w:val="center"/>
          </w:tcPr>
          <w:p w14:paraId="5385CBE9">
            <w:pPr>
              <w:pStyle w:val="12"/>
              <w:jc w:val="left"/>
            </w:pPr>
            <w:r>
              <w:rPr>
                <w:rFonts w:hint="eastAsia"/>
              </w:rPr>
              <w:t>全国工业学大庆先进生产者</w:t>
            </w:r>
          </w:p>
        </w:tc>
      </w:tr>
      <w:tr w14:paraId="5161A2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5ACA43F6">
            <w:pPr>
              <w:pStyle w:val="12"/>
              <w:jc w:val="center"/>
            </w:pPr>
            <w:r>
              <w:rPr>
                <w:rFonts w:hint="eastAsia"/>
              </w:rPr>
              <w:t>张秀莲</w:t>
            </w:r>
          </w:p>
        </w:tc>
        <w:tc>
          <w:tcPr>
            <w:tcW w:w="1065" w:type="pct"/>
            <w:vAlign w:val="center"/>
          </w:tcPr>
          <w:p w14:paraId="76E6ED44">
            <w:pPr>
              <w:pStyle w:val="12"/>
              <w:jc w:val="center"/>
            </w:pPr>
            <w:r>
              <w:rPr>
                <w:rFonts w:hint="eastAsia"/>
              </w:rPr>
              <w:t>县人民医院</w:t>
            </w:r>
          </w:p>
        </w:tc>
        <w:tc>
          <w:tcPr>
            <w:tcW w:w="853" w:type="pct"/>
            <w:vAlign w:val="center"/>
          </w:tcPr>
          <w:p w14:paraId="4437C8F0">
            <w:pPr>
              <w:pStyle w:val="12"/>
              <w:jc w:val="center"/>
            </w:pPr>
            <w:r>
              <w:rPr>
                <w:rFonts w:hint="eastAsia"/>
              </w:rPr>
              <w:t>1979年</w:t>
            </w:r>
          </w:p>
        </w:tc>
        <w:tc>
          <w:tcPr>
            <w:tcW w:w="1068" w:type="pct"/>
            <w:vAlign w:val="center"/>
          </w:tcPr>
          <w:p w14:paraId="652779F3">
            <w:pPr>
              <w:pStyle w:val="12"/>
              <w:jc w:val="center"/>
            </w:pPr>
            <w:r>
              <w:rPr>
                <w:rFonts w:hint="eastAsia"/>
              </w:rPr>
              <w:t>中华全国妇女联合会</w:t>
            </w:r>
          </w:p>
        </w:tc>
        <w:tc>
          <w:tcPr>
            <w:tcW w:w="1317" w:type="pct"/>
            <w:vAlign w:val="center"/>
          </w:tcPr>
          <w:p w14:paraId="6C5999BD">
            <w:pPr>
              <w:pStyle w:val="12"/>
              <w:jc w:val="left"/>
            </w:pPr>
            <w:r>
              <w:rPr>
                <w:rFonts w:hint="eastAsia"/>
              </w:rPr>
              <w:t>全国“三八”红旗手</w:t>
            </w:r>
          </w:p>
        </w:tc>
      </w:tr>
      <w:tr w14:paraId="6F64E0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744D67F4">
            <w:pPr>
              <w:pStyle w:val="12"/>
              <w:jc w:val="center"/>
            </w:pPr>
            <w:r>
              <w:rPr>
                <w:rFonts w:hint="eastAsia"/>
              </w:rPr>
              <w:t>郭  瑛</w:t>
            </w:r>
          </w:p>
        </w:tc>
        <w:tc>
          <w:tcPr>
            <w:tcW w:w="1065" w:type="pct"/>
            <w:vAlign w:val="center"/>
          </w:tcPr>
          <w:p w14:paraId="28443E92">
            <w:pPr>
              <w:pStyle w:val="12"/>
              <w:jc w:val="center"/>
            </w:pPr>
            <w:r>
              <w:rPr>
                <w:rFonts w:hint="eastAsia"/>
              </w:rPr>
              <w:t>县体育运动</w:t>
            </w:r>
            <w:r>
              <w:rPr>
                <w:rFonts w:hint="eastAsia" w:ascii="宋体" w:hAnsi="宋体" w:cs="宋体"/>
              </w:rPr>
              <w:t>委员会</w:t>
            </w:r>
          </w:p>
        </w:tc>
        <w:tc>
          <w:tcPr>
            <w:tcW w:w="853" w:type="pct"/>
            <w:vAlign w:val="center"/>
          </w:tcPr>
          <w:p w14:paraId="5D973F62">
            <w:pPr>
              <w:pStyle w:val="12"/>
              <w:jc w:val="center"/>
            </w:pPr>
            <w:r>
              <w:rPr>
                <w:rFonts w:hint="eastAsia"/>
              </w:rPr>
              <w:t>1979年</w:t>
            </w:r>
          </w:p>
        </w:tc>
        <w:tc>
          <w:tcPr>
            <w:tcW w:w="1068" w:type="pct"/>
            <w:vAlign w:val="center"/>
          </w:tcPr>
          <w:p w14:paraId="7D52C330">
            <w:pPr>
              <w:pStyle w:val="12"/>
              <w:jc w:val="center"/>
            </w:pPr>
            <w:r>
              <w:rPr>
                <w:rFonts w:hint="eastAsia"/>
              </w:rPr>
              <w:t>中华全国妇女联合会</w:t>
            </w:r>
          </w:p>
        </w:tc>
        <w:tc>
          <w:tcPr>
            <w:tcW w:w="1317" w:type="pct"/>
            <w:vAlign w:val="center"/>
          </w:tcPr>
          <w:p w14:paraId="408A638E">
            <w:pPr>
              <w:pStyle w:val="12"/>
              <w:jc w:val="left"/>
            </w:pPr>
            <w:r>
              <w:rPr>
                <w:rFonts w:hint="eastAsia"/>
              </w:rPr>
              <w:t>全国“三八”红旗手</w:t>
            </w:r>
          </w:p>
        </w:tc>
      </w:tr>
      <w:tr w14:paraId="2CD669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4EEA5662">
            <w:pPr>
              <w:pStyle w:val="12"/>
              <w:jc w:val="center"/>
            </w:pPr>
            <w:r>
              <w:rPr>
                <w:rFonts w:hint="eastAsia"/>
              </w:rPr>
              <w:t>李祥贞</w:t>
            </w:r>
          </w:p>
        </w:tc>
        <w:tc>
          <w:tcPr>
            <w:tcW w:w="1065" w:type="pct"/>
            <w:vAlign w:val="center"/>
          </w:tcPr>
          <w:p w14:paraId="61563111">
            <w:pPr>
              <w:pStyle w:val="12"/>
              <w:jc w:val="center"/>
            </w:pPr>
            <w:r>
              <w:rPr>
                <w:rFonts w:hint="eastAsia"/>
              </w:rPr>
              <w:t>城关镇八一</w:t>
            </w:r>
            <w:r>
              <w:rPr>
                <w:rFonts w:hint="eastAsia" w:ascii="宋体" w:hAnsi="宋体" w:cs="宋体"/>
              </w:rPr>
              <w:t>街幼儿园</w:t>
            </w:r>
          </w:p>
        </w:tc>
        <w:tc>
          <w:tcPr>
            <w:tcW w:w="853" w:type="pct"/>
            <w:vAlign w:val="center"/>
          </w:tcPr>
          <w:p w14:paraId="2B889E80">
            <w:pPr>
              <w:pStyle w:val="12"/>
              <w:jc w:val="center"/>
            </w:pPr>
            <w:r>
              <w:rPr>
                <w:rFonts w:hint="eastAsia"/>
              </w:rPr>
              <w:t>1979年</w:t>
            </w:r>
          </w:p>
        </w:tc>
        <w:tc>
          <w:tcPr>
            <w:tcW w:w="1068" w:type="pct"/>
            <w:vAlign w:val="center"/>
          </w:tcPr>
          <w:p w14:paraId="297FCFF2">
            <w:pPr>
              <w:pStyle w:val="12"/>
              <w:jc w:val="center"/>
            </w:pPr>
            <w:r>
              <w:rPr>
                <w:rFonts w:hint="eastAsia"/>
              </w:rPr>
              <w:t>中华全国妇女联合会</w:t>
            </w:r>
          </w:p>
        </w:tc>
        <w:tc>
          <w:tcPr>
            <w:tcW w:w="1317" w:type="pct"/>
            <w:vAlign w:val="center"/>
          </w:tcPr>
          <w:p w14:paraId="29541940">
            <w:pPr>
              <w:pStyle w:val="12"/>
              <w:jc w:val="left"/>
            </w:pPr>
            <w:r>
              <w:rPr>
                <w:rFonts w:hint="eastAsia"/>
              </w:rPr>
              <w:t>全国“三八”红旗手</w:t>
            </w:r>
          </w:p>
        </w:tc>
      </w:tr>
      <w:tr w14:paraId="1C931C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Merge w:val="restart"/>
            <w:vAlign w:val="center"/>
          </w:tcPr>
          <w:p w14:paraId="328B4DB3">
            <w:pPr>
              <w:pStyle w:val="12"/>
              <w:jc w:val="center"/>
            </w:pPr>
            <w:r>
              <w:rPr>
                <w:rFonts w:hint="eastAsia"/>
              </w:rPr>
              <w:t>邓光珍</w:t>
            </w:r>
          </w:p>
        </w:tc>
        <w:tc>
          <w:tcPr>
            <w:tcW w:w="1065" w:type="pct"/>
            <w:vMerge w:val="restart"/>
            <w:vAlign w:val="center"/>
          </w:tcPr>
          <w:p w14:paraId="7F8F40C2">
            <w:pPr>
              <w:pStyle w:val="12"/>
              <w:jc w:val="center"/>
            </w:pPr>
            <w:r>
              <w:rPr>
                <w:rFonts w:hint="eastAsia"/>
              </w:rPr>
              <w:t>县工交</w:t>
            </w:r>
            <w:r>
              <w:rPr>
                <w:rFonts w:hint="eastAsia" w:ascii="宋体" w:hAnsi="宋体" w:cs="宋体"/>
              </w:rPr>
              <w:t>幼儿园</w:t>
            </w:r>
          </w:p>
        </w:tc>
        <w:tc>
          <w:tcPr>
            <w:tcW w:w="853" w:type="pct"/>
            <w:vAlign w:val="center"/>
          </w:tcPr>
          <w:p w14:paraId="5F3B5131">
            <w:pPr>
              <w:pStyle w:val="12"/>
              <w:jc w:val="center"/>
            </w:pPr>
            <w:r>
              <w:rPr>
                <w:rFonts w:hint="eastAsia"/>
              </w:rPr>
              <w:t>1983年3月</w:t>
            </w:r>
          </w:p>
        </w:tc>
        <w:tc>
          <w:tcPr>
            <w:tcW w:w="1068" w:type="pct"/>
            <w:vAlign w:val="center"/>
          </w:tcPr>
          <w:p w14:paraId="2BA90B11">
            <w:pPr>
              <w:pStyle w:val="12"/>
              <w:jc w:val="center"/>
            </w:pPr>
            <w:r>
              <w:rPr>
                <w:rFonts w:hint="eastAsia"/>
              </w:rPr>
              <w:t>全国儿童少年工作</w:t>
            </w:r>
            <w:r>
              <w:rPr>
                <w:rFonts w:hint="eastAsia" w:ascii="宋体" w:hAnsi="宋体" w:cs="宋体"/>
              </w:rPr>
              <w:t>协调委员会</w:t>
            </w:r>
          </w:p>
        </w:tc>
        <w:tc>
          <w:tcPr>
            <w:tcW w:w="1317" w:type="pct"/>
            <w:vAlign w:val="center"/>
          </w:tcPr>
          <w:p w14:paraId="278CC296">
            <w:pPr>
              <w:pStyle w:val="12"/>
              <w:jc w:val="left"/>
            </w:pPr>
            <w:r>
              <w:rPr>
                <w:rFonts w:hint="eastAsia"/>
              </w:rPr>
              <w:t>全国先进儿童少年工作者</w:t>
            </w:r>
          </w:p>
        </w:tc>
      </w:tr>
      <w:tr w14:paraId="362ECF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Merge w:val="continue"/>
            <w:vAlign w:val="center"/>
          </w:tcPr>
          <w:p w14:paraId="1B758522">
            <w:pPr>
              <w:pStyle w:val="12"/>
              <w:jc w:val="center"/>
            </w:pPr>
          </w:p>
        </w:tc>
        <w:tc>
          <w:tcPr>
            <w:tcW w:w="1065" w:type="pct"/>
            <w:vMerge w:val="continue"/>
            <w:vAlign w:val="center"/>
          </w:tcPr>
          <w:p w14:paraId="7C9AF7A8">
            <w:pPr>
              <w:pStyle w:val="12"/>
              <w:jc w:val="center"/>
            </w:pPr>
          </w:p>
        </w:tc>
        <w:tc>
          <w:tcPr>
            <w:tcW w:w="853" w:type="pct"/>
            <w:vAlign w:val="center"/>
          </w:tcPr>
          <w:p w14:paraId="00B4CAAD">
            <w:pPr>
              <w:pStyle w:val="12"/>
              <w:jc w:val="center"/>
            </w:pPr>
            <w:r>
              <w:rPr>
                <w:rFonts w:hint="eastAsia"/>
              </w:rPr>
              <w:t>1983年9月</w:t>
            </w:r>
          </w:p>
        </w:tc>
        <w:tc>
          <w:tcPr>
            <w:tcW w:w="1068" w:type="pct"/>
            <w:vAlign w:val="center"/>
          </w:tcPr>
          <w:p w14:paraId="3B59ACDE">
            <w:pPr>
              <w:pStyle w:val="12"/>
              <w:jc w:val="center"/>
            </w:pPr>
            <w:r>
              <w:rPr>
                <w:rFonts w:hint="eastAsia"/>
              </w:rPr>
              <w:t>中华全国妇女联合会</w:t>
            </w:r>
          </w:p>
        </w:tc>
        <w:tc>
          <w:tcPr>
            <w:tcW w:w="1317" w:type="pct"/>
            <w:vAlign w:val="center"/>
          </w:tcPr>
          <w:p w14:paraId="6C8AA409">
            <w:pPr>
              <w:pStyle w:val="12"/>
              <w:jc w:val="left"/>
            </w:pPr>
            <w:r>
              <w:rPr>
                <w:rFonts w:hint="eastAsia"/>
              </w:rPr>
              <w:t>全国“三八”红旗手</w:t>
            </w:r>
          </w:p>
        </w:tc>
      </w:tr>
      <w:tr w14:paraId="7BD383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634506C2">
            <w:pPr>
              <w:pStyle w:val="12"/>
              <w:jc w:val="center"/>
            </w:pPr>
            <w:r>
              <w:rPr>
                <w:rFonts w:hint="eastAsia"/>
              </w:rPr>
              <w:t>简秀霞</w:t>
            </w:r>
          </w:p>
        </w:tc>
        <w:tc>
          <w:tcPr>
            <w:tcW w:w="1065" w:type="pct"/>
            <w:vAlign w:val="center"/>
          </w:tcPr>
          <w:p w14:paraId="63BF239D">
            <w:pPr>
              <w:pStyle w:val="12"/>
              <w:jc w:val="center"/>
            </w:pPr>
            <w:r>
              <w:rPr>
                <w:rFonts w:hint="eastAsia"/>
              </w:rPr>
              <w:t>城关镇繁</w:t>
            </w:r>
            <w:r>
              <w:rPr>
                <w:rFonts w:hint="eastAsia" w:ascii="宋体" w:hAnsi="宋体" w:cs="宋体"/>
              </w:rPr>
              <w:t>荣粮店</w:t>
            </w:r>
          </w:p>
        </w:tc>
        <w:tc>
          <w:tcPr>
            <w:tcW w:w="853" w:type="pct"/>
            <w:vAlign w:val="center"/>
          </w:tcPr>
          <w:p w14:paraId="6C44F438">
            <w:pPr>
              <w:pStyle w:val="12"/>
              <w:jc w:val="center"/>
            </w:pPr>
            <w:r>
              <w:rPr>
                <w:rFonts w:hint="eastAsia"/>
              </w:rPr>
              <w:t>1983年9月</w:t>
            </w:r>
          </w:p>
        </w:tc>
        <w:tc>
          <w:tcPr>
            <w:tcW w:w="1068" w:type="pct"/>
            <w:vAlign w:val="center"/>
          </w:tcPr>
          <w:p w14:paraId="4D795A7F">
            <w:pPr>
              <w:pStyle w:val="12"/>
              <w:jc w:val="center"/>
            </w:pPr>
            <w:r>
              <w:rPr>
                <w:rFonts w:hint="eastAsia"/>
              </w:rPr>
              <w:t>中华全国妇女联合会</w:t>
            </w:r>
          </w:p>
        </w:tc>
        <w:tc>
          <w:tcPr>
            <w:tcW w:w="1317" w:type="pct"/>
            <w:vAlign w:val="center"/>
          </w:tcPr>
          <w:p w14:paraId="6733712E">
            <w:pPr>
              <w:pStyle w:val="12"/>
              <w:jc w:val="left"/>
            </w:pPr>
            <w:r>
              <w:rPr>
                <w:rFonts w:hint="eastAsia"/>
              </w:rPr>
              <w:t>全国“三八”红旗手</w:t>
            </w:r>
          </w:p>
        </w:tc>
      </w:tr>
      <w:tr w14:paraId="641428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7E5407C0">
            <w:pPr>
              <w:pStyle w:val="12"/>
              <w:jc w:val="center"/>
            </w:pPr>
            <w:r>
              <w:rPr>
                <w:rFonts w:hint="eastAsia"/>
              </w:rPr>
              <w:t>田荣祥</w:t>
            </w:r>
          </w:p>
        </w:tc>
        <w:tc>
          <w:tcPr>
            <w:tcW w:w="1065" w:type="pct"/>
            <w:vAlign w:val="center"/>
          </w:tcPr>
          <w:p w14:paraId="241763AE">
            <w:pPr>
              <w:pStyle w:val="12"/>
              <w:jc w:val="center"/>
            </w:pPr>
            <w:r>
              <w:rPr>
                <w:rFonts w:hint="eastAsia"/>
              </w:rPr>
              <w:t>县第一中学</w:t>
            </w:r>
          </w:p>
        </w:tc>
        <w:tc>
          <w:tcPr>
            <w:tcW w:w="853" w:type="pct"/>
            <w:vAlign w:val="center"/>
          </w:tcPr>
          <w:p w14:paraId="4E44BFAF">
            <w:pPr>
              <w:pStyle w:val="12"/>
              <w:jc w:val="center"/>
            </w:pPr>
            <w:r>
              <w:rPr>
                <w:rFonts w:hint="eastAsia"/>
              </w:rPr>
              <w:t>1983年9月</w:t>
            </w:r>
          </w:p>
        </w:tc>
        <w:tc>
          <w:tcPr>
            <w:tcW w:w="1068" w:type="pct"/>
            <w:vAlign w:val="center"/>
          </w:tcPr>
          <w:p w14:paraId="62C4AEB1">
            <w:pPr>
              <w:pStyle w:val="12"/>
              <w:jc w:val="center"/>
            </w:pPr>
            <w:r>
              <w:rPr>
                <w:rFonts w:hint="eastAsia"/>
              </w:rPr>
              <w:t>中华全国妇女联合会</w:t>
            </w:r>
          </w:p>
        </w:tc>
        <w:tc>
          <w:tcPr>
            <w:tcW w:w="1317" w:type="pct"/>
            <w:vAlign w:val="center"/>
          </w:tcPr>
          <w:p w14:paraId="397A6B0D">
            <w:pPr>
              <w:pStyle w:val="12"/>
              <w:jc w:val="left"/>
            </w:pPr>
            <w:r>
              <w:rPr>
                <w:rFonts w:hint="eastAsia"/>
              </w:rPr>
              <w:t>全国“三八”红旗手</w:t>
            </w:r>
          </w:p>
        </w:tc>
      </w:tr>
      <w:tr w14:paraId="32EB5A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5830507F">
            <w:pPr>
              <w:pStyle w:val="12"/>
              <w:jc w:val="center"/>
            </w:pPr>
            <w:r>
              <w:rPr>
                <w:rFonts w:hint="eastAsia"/>
              </w:rPr>
              <w:t>苏凤英</w:t>
            </w:r>
          </w:p>
        </w:tc>
        <w:tc>
          <w:tcPr>
            <w:tcW w:w="1065" w:type="pct"/>
            <w:vAlign w:val="center"/>
          </w:tcPr>
          <w:p w14:paraId="799D951B">
            <w:pPr>
              <w:pStyle w:val="12"/>
              <w:jc w:val="center"/>
            </w:pPr>
            <w:r>
              <w:rPr>
                <w:rFonts w:hint="eastAsia"/>
              </w:rPr>
              <w:t>梅关“三八”</w:t>
            </w:r>
            <w:r>
              <w:rPr>
                <w:rFonts w:hint="eastAsia" w:ascii="宋体" w:hAnsi="宋体" w:cs="宋体"/>
              </w:rPr>
              <w:t>林场</w:t>
            </w:r>
          </w:p>
        </w:tc>
        <w:tc>
          <w:tcPr>
            <w:tcW w:w="853" w:type="pct"/>
            <w:vAlign w:val="center"/>
          </w:tcPr>
          <w:p w14:paraId="3AA0BEE4">
            <w:pPr>
              <w:pStyle w:val="12"/>
              <w:jc w:val="center"/>
            </w:pPr>
            <w:r>
              <w:rPr>
                <w:rFonts w:hint="eastAsia"/>
              </w:rPr>
              <w:t>1983年9月</w:t>
            </w:r>
          </w:p>
        </w:tc>
        <w:tc>
          <w:tcPr>
            <w:tcW w:w="1068" w:type="pct"/>
            <w:vAlign w:val="center"/>
          </w:tcPr>
          <w:p w14:paraId="75DFC839">
            <w:pPr>
              <w:pStyle w:val="12"/>
              <w:jc w:val="center"/>
            </w:pPr>
            <w:r>
              <w:rPr>
                <w:rFonts w:hint="eastAsia"/>
              </w:rPr>
              <w:t>中华全国妇女联合会</w:t>
            </w:r>
          </w:p>
        </w:tc>
        <w:tc>
          <w:tcPr>
            <w:tcW w:w="1317" w:type="pct"/>
            <w:vAlign w:val="center"/>
          </w:tcPr>
          <w:p w14:paraId="73C58B33">
            <w:pPr>
              <w:pStyle w:val="12"/>
              <w:jc w:val="left"/>
            </w:pPr>
            <w:r>
              <w:rPr>
                <w:rFonts w:hint="eastAsia"/>
              </w:rPr>
              <w:t>全国“三八”红旗手</w:t>
            </w:r>
          </w:p>
        </w:tc>
      </w:tr>
      <w:tr w14:paraId="6EF142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1CB25582">
            <w:pPr>
              <w:pStyle w:val="12"/>
              <w:jc w:val="center"/>
            </w:pPr>
            <w:r>
              <w:rPr>
                <w:rFonts w:hint="eastAsia"/>
              </w:rPr>
              <w:t>黄伟芳</w:t>
            </w:r>
          </w:p>
        </w:tc>
        <w:tc>
          <w:tcPr>
            <w:tcW w:w="1065" w:type="pct"/>
            <w:vAlign w:val="center"/>
          </w:tcPr>
          <w:p w14:paraId="752C5788">
            <w:pPr>
              <w:pStyle w:val="12"/>
              <w:jc w:val="center"/>
            </w:pPr>
            <w:r>
              <w:rPr>
                <w:rFonts w:hint="eastAsia"/>
              </w:rPr>
              <w:t>县人民医院</w:t>
            </w:r>
          </w:p>
        </w:tc>
        <w:tc>
          <w:tcPr>
            <w:tcW w:w="853" w:type="pct"/>
            <w:vAlign w:val="center"/>
          </w:tcPr>
          <w:p w14:paraId="2B93DDB3">
            <w:pPr>
              <w:pStyle w:val="12"/>
              <w:jc w:val="center"/>
            </w:pPr>
            <w:r>
              <w:rPr>
                <w:rFonts w:hint="eastAsia"/>
              </w:rPr>
              <w:t>1983年12月</w:t>
            </w:r>
          </w:p>
        </w:tc>
        <w:tc>
          <w:tcPr>
            <w:tcW w:w="1068" w:type="pct"/>
            <w:vAlign w:val="center"/>
          </w:tcPr>
          <w:p w14:paraId="63295CAB">
            <w:pPr>
              <w:pStyle w:val="12"/>
              <w:jc w:val="center"/>
            </w:pPr>
            <w:r>
              <w:rPr>
                <w:rFonts w:hint="eastAsia"/>
              </w:rPr>
              <w:t>国家卫生部</w:t>
            </w:r>
          </w:p>
        </w:tc>
        <w:tc>
          <w:tcPr>
            <w:tcW w:w="1317" w:type="pct"/>
            <w:vAlign w:val="center"/>
          </w:tcPr>
          <w:p w14:paraId="1C3E11C1">
            <w:pPr>
              <w:pStyle w:val="12"/>
              <w:jc w:val="left"/>
            </w:pPr>
            <w:r>
              <w:rPr>
                <w:rFonts w:hint="eastAsia"/>
              </w:rPr>
              <w:t>全国卫生先进工作者</w:t>
            </w:r>
          </w:p>
        </w:tc>
      </w:tr>
      <w:tr w14:paraId="2070FF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713A01A2">
            <w:pPr>
              <w:pStyle w:val="12"/>
              <w:jc w:val="center"/>
            </w:pPr>
            <w:r>
              <w:rPr>
                <w:rFonts w:hint="eastAsia"/>
              </w:rPr>
              <w:t>刘守禄</w:t>
            </w:r>
          </w:p>
        </w:tc>
        <w:tc>
          <w:tcPr>
            <w:tcW w:w="1065" w:type="pct"/>
            <w:vAlign w:val="center"/>
          </w:tcPr>
          <w:p w14:paraId="300D3877">
            <w:pPr>
              <w:pStyle w:val="12"/>
              <w:jc w:val="center"/>
            </w:pPr>
            <w:r>
              <w:rPr>
                <w:rFonts w:hint="eastAsia"/>
              </w:rPr>
              <w:t>县氮肥厂</w:t>
            </w:r>
          </w:p>
        </w:tc>
        <w:tc>
          <w:tcPr>
            <w:tcW w:w="853" w:type="pct"/>
            <w:vAlign w:val="center"/>
          </w:tcPr>
          <w:p w14:paraId="52AF2E8D">
            <w:pPr>
              <w:pStyle w:val="12"/>
              <w:jc w:val="center"/>
            </w:pPr>
            <w:r>
              <w:rPr>
                <w:rFonts w:hint="eastAsia"/>
              </w:rPr>
              <w:t>1983年</w:t>
            </w:r>
          </w:p>
        </w:tc>
        <w:tc>
          <w:tcPr>
            <w:tcW w:w="1068" w:type="pct"/>
            <w:vAlign w:val="center"/>
          </w:tcPr>
          <w:p w14:paraId="6C6A3B3C">
            <w:pPr>
              <w:pStyle w:val="12"/>
              <w:jc w:val="center"/>
            </w:pPr>
            <w:r>
              <w:rPr>
                <w:rFonts w:hint="eastAsia"/>
              </w:rPr>
              <w:t>中华全国总工会</w:t>
            </w:r>
          </w:p>
        </w:tc>
        <w:tc>
          <w:tcPr>
            <w:tcW w:w="1317" w:type="pct"/>
            <w:vAlign w:val="center"/>
          </w:tcPr>
          <w:p w14:paraId="26F7651D">
            <w:pPr>
              <w:pStyle w:val="12"/>
              <w:jc w:val="left"/>
            </w:pPr>
            <w:r>
              <w:rPr>
                <w:rFonts w:hint="eastAsia"/>
              </w:rPr>
              <w:t>全国优秀工会积极分子</w:t>
            </w:r>
          </w:p>
        </w:tc>
      </w:tr>
      <w:tr w14:paraId="0D5634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3FD6A5FC">
            <w:pPr>
              <w:pStyle w:val="12"/>
              <w:jc w:val="center"/>
            </w:pPr>
            <w:r>
              <w:rPr>
                <w:rFonts w:hint="eastAsia"/>
              </w:rPr>
              <w:t>沈会峰</w:t>
            </w:r>
          </w:p>
        </w:tc>
        <w:tc>
          <w:tcPr>
            <w:tcW w:w="1065" w:type="pct"/>
            <w:vAlign w:val="center"/>
          </w:tcPr>
          <w:p w14:paraId="6624F011">
            <w:pPr>
              <w:pStyle w:val="12"/>
              <w:jc w:val="center"/>
            </w:pPr>
            <w:r>
              <w:rPr>
                <w:rFonts w:hint="eastAsia"/>
              </w:rPr>
              <w:t>中共南雄</w:t>
            </w:r>
            <w:r>
              <w:rPr>
                <w:rFonts w:hint="eastAsia" w:ascii="宋体" w:hAnsi="宋体" w:cs="宋体"/>
              </w:rPr>
              <w:t>县委员会</w:t>
            </w:r>
          </w:p>
        </w:tc>
        <w:tc>
          <w:tcPr>
            <w:tcW w:w="853" w:type="pct"/>
            <w:vAlign w:val="center"/>
          </w:tcPr>
          <w:p w14:paraId="79825CFE">
            <w:pPr>
              <w:pStyle w:val="12"/>
              <w:jc w:val="center"/>
            </w:pPr>
            <w:r>
              <w:rPr>
                <w:rFonts w:hint="eastAsia"/>
              </w:rPr>
              <w:t>1986年3月</w:t>
            </w:r>
          </w:p>
        </w:tc>
        <w:tc>
          <w:tcPr>
            <w:tcW w:w="1068" w:type="pct"/>
            <w:vAlign w:val="center"/>
          </w:tcPr>
          <w:p w14:paraId="0C659F19">
            <w:pPr>
              <w:pStyle w:val="12"/>
              <w:jc w:val="center"/>
            </w:pPr>
            <w:r>
              <w:rPr>
                <w:rFonts w:hint="eastAsia"/>
              </w:rPr>
              <w:t>国家计划生育委员会</w:t>
            </w:r>
          </w:p>
        </w:tc>
        <w:tc>
          <w:tcPr>
            <w:tcW w:w="1317" w:type="pct"/>
            <w:vAlign w:val="center"/>
          </w:tcPr>
          <w:p w14:paraId="70D7D930">
            <w:pPr>
              <w:pStyle w:val="12"/>
              <w:jc w:val="left"/>
            </w:pPr>
            <w:r>
              <w:rPr>
                <w:rFonts w:hint="eastAsia"/>
              </w:rPr>
              <w:t>全国计划生育先进个人</w:t>
            </w:r>
          </w:p>
        </w:tc>
      </w:tr>
      <w:tr w14:paraId="21FC55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55477141">
            <w:pPr>
              <w:pStyle w:val="12"/>
              <w:jc w:val="center"/>
            </w:pPr>
            <w:r>
              <w:rPr>
                <w:rFonts w:hint="eastAsia"/>
              </w:rPr>
              <w:t>李贤林</w:t>
            </w:r>
          </w:p>
        </w:tc>
        <w:tc>
          <w:tcPr>
            <w:tcW w:w="1065" w:type="pct"/>
            <w:vAlign w:val="center"/>
          </w:tcPr>
          <w:p w14:paraId="78AC704F">
            <w:pPr>
              <w:pStyle w:val="12"/>
              <w:jc w:val="center"/>
            </w:pPr>
            <w:r>
              <w:rPr>
                <w:rFonts w:hint="eastAsia"/>
              </w:rPr>
              <w:t>水口区公所</w:t>
            </w:r>
          </w:p>
        </w:tc>
        <w:tc>
          <w:tcPr>
            <w:tcW w:w="853" w:type="pct"/>
            <w:vAlign w:val="center"/>
          </w:tcPr>
          <w:p w14:paraId="083958C0">
            <w:pPr>
              <w:pStyle w:val="12"/>
              <w:jc w:val="center"/>
            </w:pPr>
            <w:r>
              <w:rPr>
                <w:rFonts w:hint="eastAsia"/>
              </w:rPr>
              <w:t>1986年3月</w:t>
            </w:r>
          </w:p>
        </w:tc>
        <w:tc>
          <w:tcPr>
            <w:tcW w:w="1068" w:type="pct"/>
            <w:vAlign w:val="center"/>
          </w:tcPr>
          <w:p w14:paraId="285CC8A1">
            <w:pPr>
              <w:pStyle w:val="12"/>
              <w:jc w:val="center"/>
            </w:pPr>
            <w:r>
              <w:rPr>
                <w:rFonts w:hint="eastAsia"/>
              </w:rPr>
              <w:t>国家计划生育委员会</w:t>
            </w:r>
          </w:p>
        </w:tc>
        <w:tc>
          <w:tcPr>
            <w:tcW w:w="1317" w:type="pct"/>
            <w:vAlign w:val="center"/>
          </w:tcPr>
          <w:p w14:paraId="48C569B3">
            <w:pPr>
              <w:pStyle w:val="12"/>
              <w:jc w:val="left"/>
            </w:pPr>
            <w:r>
              <w:rPr>
                <w:rFonts w:hint="eastAsia"/>
              </w:rPr>
              <w:t>全国计划生育先进个人</w:t>
            </w:r>
          </w:p>
        </w:tc>
      </w:tr>
      <w:tr w14:paraId="643064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27847328">
            <w:pPr>
              <w:pStyle w:val="12"/>
              <w:jc w:val="center"/>
            </w:pPr>
            <w:r>
              <w:rPr>
                <w:rFonts w:hint="eastAsia"/>
              </w:rPr>
              <w:t>邓赣南</w:t>
            </w:r>
          </w:p>
        </w:tc>
        <w:tc>
          <w:tcPr>
            <w:tcW w:w="1065" w:type="pct"/>
            <w:vAlign w:val="center"/>
          </w:tcPr>
          <w:p w14:paraId="7163F778">
            <w:pPr>
              <w:pStyle w:val="12"/>
              <w:jc w:val="center"/>
            </w:pPr>
            <w:r>
              <w:rPr>
                <w:rFonts w:hint="eastAsia"/>
              </w:rPr>
              <w:t>县汽车运输站</w:t>
            </w:r>
          </w:p>
        </w:tc>
        <w:tc>
          <w:tcPr>
            <w:tcW w:w="853" w:type="pct"/>
            <w:vAlign w:val="center"/>
          </w:tcPr>
          <w:p w14:paraId="4CFF04AE">
            <w:pPr>
              <w:pStyle w:val="12"/>
              <w:jc w:val="center"/>
            </w:pPr>
            <w:r>
              <w:rPr>
                <w:rFonts w:hint="eastAsia"/>
              </w:rPr>
              <w:t>1986年</w:t>
            </w:r>
          </w:p>
        </w:tc>
        <w:tc>
          <w:tcPr>
            <w:tcW w:w="1068" w:type="pct"/>
            <w:vAlign w:val="center"/>
          </w:tcPr>
          <w:p w14:paraId="62F066E0">
            <w:pPr>
              <w:pStyle w:val="12"/>
              <w:jc w:val="center"/>
            </w:pPr>
            <w:r>
              <w:rPr>
                <w:rFonts w:hint="eastAsia"/>
              </w:rPr>
              <w:t>国家交通部</w:t>
            </w:r>
          </w:p>
        </w:tc>
        <w:tc>
          <w:tcPr>
            <w:tcW w:w="1317" w:type="pct"/>
            <w:vAlign w:val="center"/>
          </w:tcPr>
          <w:p w14:paraId="132D99FC">
            <w:pPr>
              <w:pStyle w:val="12"/>
              <w:jc w:val="left"/>
            </w:pPr>
            <w:r>
              <w:rPr>
                <w:rFonts w:hint="eastAsia"/>
              </w:rPr>
              <w:t>安全行车百万公里驾驶员</w:t>
            </w:r>
          </w:p>
        </w:tc>
      </w:tr>
      <w:tr w14:paraId="310E0E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087891CE">
            <w:pPr>
              <w:pStyle w:val="12"/>
              <w:jc w:val="center"/>
            </w:pPr>
            <w:r>
              <w:rPr>
                <w:rFonts w:hint="eastAsia"/>
              </w:rPr>
              <w:t>利剑威</w:t>
            </w:r>
          </w:p>
        </w:tc>
        <w:tc>
          <w:tcPr>
            <w:tcW w:w="1065" w:type="pct"/>
            <w:vAlign w:val="center"/>
          </w:tcPr>
          <w:p w14:paraId="673042F5">
            <w:pPr>
              <w:pStyle w:val="12"/>
              <w:jc w:val="center"/>
            </w:pPr>
            <w:r>
              <w:rPr>
                <w:rFonts w:hint="eastAsia"/>
              </w:rPr>
              <w:t>县汽车运输站</w:t>
            </w:r>
          </w:p>
        </w:tc>
        <w:tc>
          <w:tcPr>
            <w:tcW w:w="853" w:type="pct"/>
            <w:vAlign w:val="center"/>
          </w:tcPr>
          <w:p w14:paraId="209C93BD">
            <w:pPr>
              <w:pStyle w:val="12"/>
              <w:jc w:val="center"/>
            </w:pPr>
            <w:r>
              <w:rPr>
                <w:rFonts w:hint="eastAsia"/>
              </w:rPr>
              <w:t>1986年</w:t>
            </w:r>
          </w:p>
        </w:tc>
        <w:tc>
          <w:tcPr>
            <w:tcW w:w="1068" w:type="pct"/>
            <w:vAlign w:val="center"/>
          </w:tcPr>
          <w:p w14:paraId="3D6B5765">
            <w:pPr>
              <w:pStyle w:val="12"/>
              <w:jc w:val="center"/>
            </w:pPr>
            <w:r>
              <w:rPr>
                <w:rFonts w:hint="eastAsia"/>
              </w:rPr>
              <w:t>国家交通部</w:t>
            </w:r>
          </w:p>
        </w:tc>
        <w:tc>
          <w:tcPr>
            <w:tcW w:w="1317" w:type="pct"/>
            <w:vAlign w:val="center"/>
          </w:tcPr>
          <w:p w14:paraId="5339A669">
            <w:pPr>
              <w:pStyle w:val="12"/>
              <w:jc w:val="left"/>
            </w:pPr>
            <w:r>
              <w:rPr>
                <w:rFonts w:hint="eastAsia"/>
              </w:rPr>
              <w:t>安全行车百万公里驾驶员</w:t>
            </w:r>
          </w:p>
        </w:tc>
      </w:tr>
      <w:tr w14:paraId="1633D6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1C87BD0C">
            <w:pPr>
              <w:pStyle w:val="12"/>
              <w:jc w:val="center"/>
            </w:pPr>
            <w:r>
              <w:rPr>
                <w:rFonts w:hint="eastAsia"/>
              </w:rPr>
              <w:t>苏家赣</w:t>
            </w:r>
          </w:p>
        </w:tc>
        <w:tc>
          <w:tcPr>
            <w:tcW w:w="1065" w:type="pct"/>
            <w:vAlign w:val="center"/>
          </w:tcPr>
          <w:p w14:paraId="0DF6C879">
            <w:pPr>
              <w:pStyle w:val="12"/>
              <w:jc w:val="center"/>
            </w:pPr>
            <w:r>
              <w:rPr>
                <w:rFonts w:hint="eastAsia"/>
              </w:rPr>
              <w:t>县汽车运输站</w:t>
            </w:r>
          </w:p>
        </w:tc>
        <w:tc>
          <w:tcPr>
            <w:tcW w:w="853" w:type="pct"/>
            <w:vAlign w:val="center"/>
          </w:tcPr>
          <w:p w14:paraId="77884591">
            <w:pPr>
              <w:pStyle w:val="12"/>
              <w:jc w:val="center"/>
            </w:pPr>
            <w:r>
              <w:rPr>
                <w:rFonts w:hint="eastAsia"/>
              </w:rPr>
              <w:t>1986年</w:t>
            </w:r>
          </w:p>
        </w:tc>
        <w:tc>
          <w:tcPr>
            <w:tcW w:w="1068" w:type="pct"/>
            <w:vAlign w:val="center"/>
          </w:tcPr>
          <w:p w14:paraId="698BC11D">
            <w:pPr>
              <w:pStyle w:val="12"/>
              <w:jc w:val="center"/>
            </w:pPr>
            <w:r>
              <w:rPr>
                <w:rFonts w:hint="eastAsia"/>
              </w:rPr>
              <w:t>国家交通部</w:t>
            </w:r>
          </w:p>
        </w:tc>
        <w:tc>
          <w:tcPr>
            <w:tcW w:w="1317" w:type="pct"/>
            <w:vAlign w:val="center"/>
          </w:tcPr>
          <w:p w14:paraId="29C90B8C">
            <w:pPr>
              <w:pStyle w:val="12"/>
              <w:jc w:val="left"/>
            </w:pPr>
            <w:r>
              <w:rPr>
                <w:rFonts w:hint="eastAsia"/>
              </w:rPr>
              <w:t>安全行车百万公里驾驶员</w:t>
            </w:r>
          </w:p>
        </w:tc>
      </w:tr>
      <w:tr w14:paraId="6E5FC8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78F2CF7B">
            <w:pPr>
              <w:pStyle w:val="12"/>
              <w:jc w:val="center"/>
            </w:pPr>
            <w:r>
              <w:rPr>
                <w:rFonts w:hint="eastAsia"/>
              </w:rPr>
              <w:t>陈增怀</w:t>
            </w:r>
          </w:p>
        </w:tc>
        <w:tc>
          <w:tcPr>
            <w:tcW w:w="1065" w:type="pct"/>
            <w:vAlign w:val="center"/>
          </w:tcPr>
          <w:p w14:paraId="583B8A50">
            <w:pPr>
              <w:pStyle w:val="12"/>
              <w:jc w:val="center"/>
            </w:pPr>
            <w:r>
              <w:rPr>
                <w:rFonts w:hint="eastAsia"/>
              </w:rPr>
              <w:t>县农机局</w:t>
            </w:r>
          </w:p>
        </w:tc>
        <w:tc>
          <w:tcPr>
            <w:tcW w:w="853" w:type="pct"/>
            <w:vAlign w:val="center"/>
          </w:tcPr>
          <w:p w14:paraId="1432F877">
            <w:pPr>
              <w:pStyle w:val="12"/>
              <w:jc w:val="center"/>
            </w:pPr>
            <w:r>
              <w:rPr>
                <w:rFonts w:hint="eastAsia"/>
              </w:rPr>
              <w:t>1986年</w:t>
            </w:r>
          </w:p>
        </w:tc>
        <w:tc>
          <w:tcPr>
            <w:tcW w:w="1068" w:type="pct"/>
            <w:vAlign w:val="center"/>
          </w:tcPr>
          <w:p w14:paraId="2CD7CF78">
            <w:pPr>
              <w:pStyle w:val="12"/>
              <w:jc w:val="center"/>
            </w:pPr>
            <w:r>
              <w:rPr>
                <w:rFonts w:hint="eastAsia"/>
              </w:rPr>
              <w:t>国家农牧渔业部</w:t>
            </w:r>
          </w:p>
        </w:tc>
        <w:tc>
          <w:tcPr>
            <w:tcW w:w="1317" w:type="pct"/>
            <w:vAlign w:val="center"/>
          </w:tcPr>
          <w:p w14:paraId="27B46FAD">
            <w:pPr>
              <w:pStyle w:val="12"/>
              <w:jc w:val="left"/>
            </w:pPr>
            <w:r>
              <w:rPr>
                <w:rFonts w:hint="eastAsia"/>
              </w:rPr>
              <w:t>全国农机系统先进工作者</w:t>
            </w:r>
          </w:p>
        </w:tc>
      </w:tr>
      <w:tr w14:paraId="098E6B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5F046DED">
            <w:pPr>
              <w:pStyle w:val="12"/>
              <w:jc w:val="center"/>
            </w:pPr>
            <w:r>
              <w:rPr>
                <w:rFonts w:hint="eastAsia"/>
              </w:rPr>
              <w:t>陈培林</w:t>
            </w:r>
          </w:p>
        </w:tc>
        <w:tc>
          <w:tcPr>
            <w:tcW w:w="1065" w:type="pct"/>
            <w:vMerge w:val="restart"/>
            <w:vAlign w:val="center"/>
          </w:tcPr>
          <w:p w14:paraId="76D02B22">
            <w:pPr>
              <w:pStyle w:val="12"/>
              <w:jc w:val="center"/>
            </w:pPr>
            <w:r>
              <w:rPr>
                <w:rFonts w:hint="eastAsia"/>
              </w:rPr>
              <w:t>县公安局</w:t>
            </w:r>
          </w:p>
        </w:tc>
        <w:tc>
          <w:tcPr>
            <w:tcW w:w="853" w:type="pct"/>
            <w:vMerge w:val="restart"/>
            <w:vAlign w:val="center"/>
          </w:tcPr>
          <w:p w14:paraId="3C944621">
            <w:pPr>
              <w:pStyle w:val="12"/>
              <w:jc w:val="center"/>
            </w:pPr>
            <w:r>
              <w:rPr>
                <w:rFonts w:hint="eastAsia"/>
              </w:rPr>
              <w:t>1987年</w:t>
            </w:r>
          </w:p>
        </w:tc>
        <w:tc>
          <w:tcPr>
            <w:tcW w:w="1068" w:type="pct"/>
            <w:vMerge w:val="restart"/>
            <w:vAlign w:val="center"/>
          </w:tcPr>
          <w:p w14:paraId="2ABA0936">
            <w:pPr>
              <w:pStyle w:val="12"/>
              <w:jc w:val="center"/>
            </w:pPr>
            <w:r>
              <w:rPr>
                <w:rFonts w:hint="eastAsia"/>
              </w:rPr>
              <w:t>国家公安部</w:t>
            </w:r>
          </w:p>
        </w:tc>
        <w:tc>
          <w:tcPr>
            <w:tcW w:w="1317" w:type="pct"/>
            <w:vMerge w:val="restart"/>
            <w:vAlign w:val="center"/>
          </w:tcPr>
          <w:p w14:paraId="662E0CA2">
            <w:pPr>
              <w:pStyle w:val="12"/>
              <w:jc w:val="left"/>
            </w:pPr>
            <w:r>
              <w:rPr>
                <w:rFonts w:hint="eastAsia"/>
              </w:rPr>
              <w:t>全国公安战线严厉打击刑事犯罪活动三等功</w:t>
            </w:r>
          </w:p>
        </w:tc>
      </w:tr>
      <w:tr w14:paraId="6797098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50EE8477">
            <w:pPr>
              <w:pStyle w:val="12"/>
              <w:jc w:val="center"/>
            </w:pPr>
            <w:r>
              <w:rPr>
                <w:rFonts w:hint="eastAsia"/>
              </w:rPr>
              <w:t>陈道勇</w:t>
            </w:r>
          </w:p>
        </w:tc>
        <w:tc>
          <w:tcPr>
            <w:tcW w:w="1065" w:type="pct"/>
            <w:vMerge w:val="continue"/>
            <w:vAlign w:val="center"/>
          </w:tcPr>
          <w:p w14:paraId="2CB16826">
            <w:pPr>
              <w:pStyle w:val="12"/>
              <w:jc w:val="center"/>
            </w:pPr>
          </w:p>
        </w:tc>
        <w:tc>
          <w:tcPr>
            <w:tcW w:w="853" w:type="pct"/>
            <w:vMerge w:val="continue"/>
            <w:vAlign w:val="center"/>
          </w:tcPr>
          <w:p w14:paraId="4728A22B">
            <w:pPr>
              <w:pStyle w:val="12"/>
              <w:jc w:val="center"/>
            </w:pPr>
          </w:p>
        </w:tc>
        <w:tc>
          <w:tcPr>
            <w:tcW w:w="1068" w:type="pct"/>
            <w:vMerge w:val="continue"/>
            <w:vAlign w:val="center"/>
          </w:tcPr>
          <w:p w14:paraId="619A16EB">
            <w:pPr>
              <w:pStyle w:val="12"/>
              <w:jc w:val="center"/>
            </w:pPr>
          </w:p>
        </w:tc>
        <w:tc>
          <w:tcPr>
            <w:tcW w:w="1317" w:type="pct"/>
            <w:vMerge w:val="continue"/>
            <w:vAlign w:val="center"/>
          </w:tcPr>
          <w:p w14:paraId="51D3D044">
            <w:pPr>
              <w:pStyle w:val="12"/>
              <w:jc w:val="left"/>
            </w:pPr>
          </w:p>
        </w:tc>
      </w:tr>
      <w:tr w14:paraId="140280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07144E12">
            <w:pPr>
              <w:pStyle w:val="12"/>
              <w:jc w:val="center"/>
            </w:pPr>
            <w:r>
              <w:rPr>
                <w:rFonts w:hint="eastAsia"/>
              </w:rPr>
              <w:t>蔡明款</w:t>
            </w:r>
          </w:p>
        </w:tc>
        <w:tc>
          <w:tcPr>
            <w:tcW w:w="1065" w:type="pct"/>
            <w:vMerge w:val="continue"/>
            <w:vAlign w:val="center"/>
          </w:tcPr>
          <w:p w14:paraId="6E545873">
            <w:pPr>
              <w:pStyle w:val="12"/>
              <w:jc w:val="center"/>
            </w:pPr>
          </w:p>
        </w:tc>
        <w:tc>
          <w:tcPr>
            <w:tcW w:w="853" w:type="pct"/>
            <w:vMerge w:val="continue"/>
            <w:vAlign w:val="center"/>
          </w:tcPr>
          <w:p w14:paraId="79064A7B">
            <w:pPr>
              <w:pStyle w:val="12"/>
              <w:jc w:val="center"/>
            </w:pPr>
          </w:p>
        </w:tc>
        <w:tc>
          <w:tcPr>
            <w:tcW w:w="1068" w:type="pct"/>
            <w:vMerge w:val="continue"/>
            <w:vAlign w:val="center"/>
          </w:tcPr>
          <w:p w14:paraId="3B66CC95">
            <w:pPr>
              <w:pStyle w:val="12"/>
              <w:jc w:val="center"/>
            </w:pPr>
          </w:p>
        </w:tc>
        <w:tc>
          <w:tcPr>
            <w:tcW w:w="1317" w:type="pct"/>
            <w:vMerge w:val="continue"/>
            <w:vAlign w:val="center"/>
          </w:tcPr>
          <w:p w14:paraId="5D804E76">
            <w:pPr>
              <w:pStyle w:val="12"/>
              <w:jc w:val="left"/>
            </w:pPr>
          </w:p>
        </w:tc>
      </w:tr>
      <w:tr w14:paraId="08C8D3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524A5846">
            <w:pPr>
              <w:pStyle w:val="12"/>
              <w:jc w:val="center"/>
            </w:pPr>
            <w:r>
              <w:rPr>
                <w:rFonts w:hint="eastAsia"/>
              </w:rPr>
              <w:t>李崇海</w:t>
            </w:r>
          </w:p>
        </w:tc>
        <w:tc>
          <w:tcPr>
            <w:tcW w:w="1065" w:type="pct"/>
            <w:vAlign w:val="center"/>
          </w:tcPr>
          <w:p w14:paraId="28D5FCCA">
            <w:pPr>
              <w:pStyle w:val="12"/>
              <w:jc w:val="center"/>
            </w:pPr>
            <w:r>
              <w:rPr>
                <w:rFonts w:hint="eastAsia"/>
              </w:rPr>
              <w:t>南雄中学</w:t>
            </w:r>
          </w:p>
        </w:tc>
        <w:tc>
          <w:tcPr>
            <w:tcW w:w="853" w:type="pct"/>
            <w:vAlign w:val="center"/>
          </w:tcPr>
          <w:p w14:paraId="690E7339">
            <w:pPr>
              <w:pStyle w:val="12"/>
              <w:jc w:val="center"/>
            </w:pPr>
            <w:r>
              <w:rPr>
                <w:rFonts w:hint="eastAsia"/>
              </w:rPr>
              <w:t>1987年12月</w:t>
            </w:r>
          </w:p>
        </w:tc>
        <w:tc>
          <w:tcPr>
            <w:tcW w:w="1068" w:type="pct"/>
            <w:vAlign w:val="center"/>
          </w:tcPr>
          <w:p w14:paraId="7E28B239">
            <w:pPr>
              <w:pStyle w:val="12"/>
              <w:jc w:val="center"/>
            </w:pPr>
            <w:r>
              <w:rPr>
                <w:rFonts w:hint="eastAsia"/>
              </w:rPr>
              <w:t>国家体育运动委员会、</w:t>
            </w:r>
            <w:r>
              <w:rPr>
                <w:rFonts w:hint="eastAsia" w:ascii="宋体" w:hAnsi="宋体" w:cs="宋体"/>
              </w:rPr>
              <w:t>国家教育委员会</w:t>
            </w:r>
          </w:p>
        </w:tc>
        <w:tc>
          <w:tcPr>
            <w:tcW w:w="1317" w:type="pct"/>
            <w:vAlign w:val="center"/>
          </w:tcPr>
          <w:p w14:paraId="74D0F52D">
            <w:pPr>
              <w:pStyle w:val="12"/>
              <w:jc w:val="left"/>
            </w:pPr>
            <w:r>
              <w:rPr>
                <w:rFonts w:hint="eastAsia"/>
              </w:rPr>
              <w:t>全国体育传统项目学校优秀工作者</w:t>
            </w:r>
          </w:p>
        </w:tc>
      </w:tr>
      <w:tr w14:paraId="7FF1021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62D437CB">
            <w:pPr>
              <w:pStyle w:val="12"/>
              <w:jc w:val="center"/>
            </w:pPr>
            <w:r>
              <w:rPr>
                <w:rFonts w:hint="eastAsia"/>
              </w:rPr>
              <w:t>叶照均</w:t>
            </w:r>
          </w:p>
        </w:tc>
        <w:tc>
          <w:tcPr>
            <w:tcW w:w="1065" w:type="pct"/>
            <w:vAlign w:val="center"/>
          </w:tcPr>
          <w:p w14:paraId="70B43B59">
            <w:pPr>
              <w:pStyle w:val="12"/>
              <w:jc w:val="center"/>
            </w:pPr>
            <w:r>
              <w:rPr>
                <w:rFonts w:hint="eastAsia"/>
              </w:rPr>
              <w:t>县水电局乌</w:t>
            </w:r>
            <w:r>
              <w:rPr>
                <w:rFonts w:hint="eastAsia" w:ascii="宋体" w:hAnsi="宋体" w:cs="宋体"/>
              </w:rPr>
              <w:t>径电管所</w:t>
            </w:r>
          </w:p>
        </w:tc>
        <w:tc>
          <w:tcPr>
            <w:tcW w:w="853" w:type="pct"/>
            <w:vAlign w:val="center"/>
          </w:tcPr>
          <w:p w14:paraId="5534A2E3">
            <w:pPr>
              <w:pStyle w:val="12"/>
              <w:jc w:val="center"/>
            </w:pPr>
            <w:r>
              <w:rPr>
                <w:rFonts w:hint="eastAsia"/>
              </w:rPr>
              <w:t>1987年9月</w:t>
            </w:r>
          </w:p>
        </w:tc>
        <w:tc>
          <w:tcPr>
            <w:tcW w:w="1068" w:type="pct"/>
            <w:vAlign w:val="center"/>
          </w:tcPr>
          <w:p w14:paraId="4DFA29C5">
            <w:pPr>
              <w:pStyle w:val="12"/>
              <w:jc w:val="center"/>
            </w:pPr>
            <w:r>
              <w:rPr>
                <w:rFonts w:hint="eastAsia"/>
              </w:rPr>
              <w:t>国家水利电力部、中国</w:t>
            </w:r>
            <w:r>
              <w:rPr>
                <w:rFonts w:hint="eastAsia" w:ascii="宋体" w:hAnsi="宋体" w:cs="宋体"/>
              </w:rPr>
              <w:t>水利电力工会全委会</w:t>
            </w:r>
          </w:p>
        </w:tc>
        <w:tc>
          <w:tcPr>
            <w:tcW w:w="1317" w:type="pct"/>
            <w:vAlign w:val="center"/>
          </w:tcPr>
          <w:p w14:paraId="7526590F">
            <w:pPr>
              <w:pStyle w:val="12"/>
              <w:jc w:val="left"/>
            </w:pPr>
            <w:r>
              <w:rPr>
                <w:rFonts w:hint="eastAsia"/>
              </w:rPr>
              <w:t>全国优秀农村电工</w:t>
            </w:r>
          </w:p>
        </w:tc>
      </w:tr>
      <w:tr w14:paraId="51EBA7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52851BA0">
            <w:pPr>
              <w:pStyle w:val="12"/>
              <w:jc w:val="center"/>
            </w:pPr>
            <w:r>
              <w:rPr>
                <w:rFonts w:hint="eastAsia"/>
              </w:rPr>
              <w:t>林大民</w:t>
            </w:r>
          </w:p>
        </w:tc>
        <w:tc>
          <w:tcPr>
            <w:tcW w:w="1065" w:type="pct"/>
            <w:vAlign w:val="center"/>
          </w:tcPr>
          <w:p w14:paraId="0A1F3054">
            <w:pPr>
              <w:pStyle w:val="12"/>
              <w:jc w:val="center"/>
            </w:pPr>
            <w:r>
              <w:rPr>
                <w:rFonts w:hint="eastAsia"/>
              </w:rPr>
              <w:t>县太和水保站</w:t>
            </w:r>
          </w:p>
        </w:tc>
        <w:tc>
          <w:tcPr>
            <w:tcW w:w="853" w:type="pct"/>
            <w:vAlign w:val="center"/>
          </w:tcPr>
          <w:p w14:paraId="6D41DDCF">
            <w:pPr>
              <w:pStyle w:val="12"/>
              <w:jc w:val="center"/>
            </w:pPr>
            <w:r>
              <w:rPr>
                <w:rFonts w:hint="eastAsia"/>
              </w:rPr>
              <w:t>1988年</w:t>
            </w:r>
          </w:p>
        </w:tc>
        <w:tc>
          <w:tcPr>
            <w:tcW w:w="1068" w:type="pct"/>
            <w:vAlign w:val="center"/>
          </w:tcPr>
          <w:p w14:paraId="1284056D">
            <w:pPr>
              <w:pStyle w:val="12"/>
              <w:jc w:val="center"/>
            </w:pPr>
            <w:r>
              <w:rPr>
                <w:rFonts w:hint="eastAsia"/>
              </w:rPr>
              <w:t>国家水利部</w:t>
            </w:r>
          </w:p>
        </w:tc>
        <w:tc>
          <w:tcPr>
            <w:tcW w:w="1317" w:type="pct"/>
            <w:vAlign w:val="center"/>
          </w:tcPr>
          <w:p w14:paraId="749A4BF3">
            <w:pPr>
              <w:pStyle w:val="12"/>
              <w:jc w:val="left"/>
            </w:pPr>
            <w:r>
              <w:rPr>
                <w:rFonts w:hint="eastAsia"/>
              </w:rPr>
              <w:t>全国区乡优秀水利水管员</w:t>
            </w:r>
          </w:p>
        </w:tc>
      </w:tr>
      <w:tr w14:paraId="400B4B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004541B3">
            <w:pPr>
              <w:pStyle w:val="12"/>
              <w:jc w:val="center"/>
            </w:pPr>
            <w:r>
              <w:rPr>
                <w:rFonts w:hint="eastAsia"/>
              </w:rPr>
              <w:t>邓祖积</w:t>
            </w:r>
          </w:p>
        </w:tc>
        <w:tc>
          <w:tcPr>
            <w:tcW w:w="1065" w:type="pct"/>
            <w:vAlign w:val="center"/>
          </w:tcPr>
          <w:p w14:paraId="256F7899">
            <w:pPr>
              <w:pStyle w:val="12"/>
              <w:jc w:val="center"/>
            </w:pPr>
            <w:r>
              <w:rPr>
                <w:rFonts w:hint="eastAsia"/>
              </w:rPr>
              <w:t>县水电局</w:t>
            </w:r>
          </w:p>
        </w:tc>
        <w:tc>
          <w:tcPr>
            <w:tcW w:w="853" w:type="pct"/>
            <w:vAlign w:val="center"/>
          </w:tcPr>
          <w:p w14:paraId="1F463550">
            <w:pPr>
              <w:pStyle w:val="12"/>
              <w:jc w:val="center"/>
            </w:pPr>
            <w:r>
              <w:rPr>
                <w:rFonts w:hint="eastAsia"/>
              </w:rPr>
              <w:t>1988年4月</w:t>
            </w:r>
          </w:p>
        </w:tc>
        <w:tc>
          <w:tcPr>
            <w:tcW w:w="1068" w:type="pct"/>
            <w:vAlign w:val="center"/>
          </w:tcPr>
          <w:p w14:paraId="339357FA">
            <w:pPr>
              <w:pStyle w:val="12"/>
              <w:jc w:val="center"/>
            </w:pPr>
            <w:r>
              <w:rPr>
                <w:rFonts w:hint="eastAsia"/>
              </w:rPr>
              <w:t>国家水利部</w:t>
            </w:r>
          </w:p>
        </w:tc>
        <w:tc>
          <w:tcPr>
            <w:tcW w:w="1317" w:type="pct"/>
            <w:vAlign w:val="center"/>
          </w:tcPr>
          <w:p w14:paraId="1CB326E5">
            <w:pPr>
              <w:pStyle w:val="12"/>
              <w:jc w:val="left"/>
            </w:pPr>
            <w:r>
              <w:rPr>
                <w:rFonts w:hint="eastAsia"/>
              </w:rPr>
              <w:t>全国水利系统优秀财务会计工作者</w:t>
            </w:r>
          </w:p>
        </w:tc>
      </w:tr>
      <w:tr w14:paraId="6369BB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586291EE">
            <w:pPr>
              <w:pStyle w:val="12"/>
              <w:jc w:val="center"/>
            </w:pPr>
            <w:r>
              <w:rPr>
                <w:rFonts w:hint="eastAsia"/>
              </w:rPr>
              <w:t>王东华</w:t>
            </w:r>
          </w:p>
        </w:tc>
        <w:tc>
          <w:tcPr>
            <w:tcW w:w="1065" w:type="pct"/>
            <w:vAlign w:val="center"/>
          </w:tcPr>
          <w:p w14:paraId="7C120E16">
            <w:pPr>
              <w:pStyle w:val="12"/>
              <w:jc w:val="center"/>
            </w:pPr>
            <w:r>
              <w:rPr>
                <w:rFonts w:hint="eastAsia"/>
              </w:rPr>
              <w:t>县水土保持委</w:t>
            </w:r>
            <w:r>
              <w:rPr>
                <w:rFonts w:hint="eastAsia" w:ascii="宋体" w:hAnsi="宋体" w:cs="宋体"/>
              </w:rPr>
              <w:t>员会办公室</w:t>
            </w:r>
          </w:p>
        </w:tc>
        <w:tc>
          <w:tcPr>
            <w:tcW w:w="853" w:type="pct"/>
            <w:vAlign w:val="center"/>
          </w:tcPr>
          <w:p w14:paraId="4597F821">
            <w:pPr>
              <w:pStyle w:val="12"/>
              <w:jc w:val="center"/>
            </w:pPr>
            <w:r>
              <w:rPr>
                <w:rFonts w:hint="eastAsia"/>
              </w:rPr>
              <w:t>1988年7月</w:t>
            </w:r>
          </w:p>
        </w:tc>
        <w:tc>
          <w:tcPr>
            <w:tcW w:w="1068" w:type="pct"/>
            <w:vAlign w:val="center"/>
          </w:tcPr>
          <w:p w14:paraId="5F7E3016">
            <w:pPr>
              <w:pStyle w:val="12"/>
              <w:jc w:val="center"/>
            </w:pPr>
            <w:r>
              <w:rPr>
                <w:rFonts w:hint="eastAsia"/>
              </w:rPr>
              <w:t>中国科学院</w:t>
            </w:r>
          </w:p>
        </w:tc>
        <w:tc>
          <w:tcPr>
            <w:tcW w:w="1317" w:type="pct"/>
            <w:vAlign w:val="center"/>
          </w:tcPr>
          <w:p w14:paraId="349F4D32">
            <w:pPr>
              <w:pStyle w:val="12"/>
              <w:jc w:val="left"/>
            </w:pPr>
            <w:r>
              <w:rPr>
                <w:rFonts w:hint="eastAsia"/>
              </w:rPr>
              <w:t>科技进步三等奖</w:t>
            </w:r>
          </w:p>
        </w:tc>
      </w:tr>
      <w:tr w14:paraId="30AA9D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29ED6D32">
            <w:pPr>
              <w:pStyle w:val="12"/>
              <w:jc w:val="center"/>
            </w:pPr>
            <w:r>
              <w:rPr>
                <w:rFonts w:hint="eastAsia"/>
              </w:rPr>
              <w:t>卢德政</w:t>
            </w:r>
          </w:p>
        </w:tc>
        <w:tc>
          <w:tcPr>
            <w:tcW w:w="1065" w:type="pct"/>
            <w:vAlign w:val="center"/>
          </w:tcPr>
          <w:p w14:paraId="20924F7E">
            <w:pPr>
              <w:pStyle w:val="12"/>
              <w:jc w:val="center"/>
            </w:pPr>
            <w:r>
              <w:rPr>
                <w:rFonts w:hint="eastAsia"/>
              </w:rPr>
              <w:t>县卫生局</w:t>
            </w:r>
          </w:p>
        </w:tc>
        <w:tc>
          <w:tcPr>
            <w:tcW w:w="853" w:type="pct"/>
            <w:vAlign w:val="center"/>
          </w:tcPr>
          <w:p w14:paraId="640E8D70">
            <w:pPr>
              <w:pStyle w:val="12"/>
              <w:jc w:val="center"/>
            </w:pPr>
            <w:r>
              <w:rPr>
                <w:rFonts w:hint="eastAsia"/>
              </w:rPr>
              <w:t>1988年7月</w:t>
            </w:r>
          </w:p>
        </w:tc>
        <w:tc>
          <w:tcPr>
            <w:tcW w:w="1068" w:type="pct"/>
            <w:vAlign w:val="center"/>
          </w:tcPr>
          <w:p w14:paraId="4464E909">
            <w:pPr>
              <w:pStyle w:val="12"/>
              <w:jc w:val="center"/>
            </w:pPr>
            <w:r>
              <w:rPr>
                <w:rFonts w:hint="eastAsia"/>
              </w:rPr>
              <w:t>国家卫生部</w:t>
            </w:r>
          </w:p>
        </w:tc>
        <w:tc>
          <w:tcPr>
            <w:tcW w:w="1317" w:type="pct"/>
            <w:vAlign w:val="center"/>
          </w:tcPr>
          <w:p w14:paraId="4F884664">
            <w:pPr>
              <w:pStyle w:val="12"/>
              <w:jc w:val="left"/>
            </w:pPr>
            <w:r>
              <w:rPr>
                <w:rFonts w:hint="eastAsia"/>
              </w:rPr>
              <w:t>全国卫生系统先进工作者</w:t>
            </w:r>
          </w:p>
        </w:tc>
      </w:tr>
      <w:tr w14:paraId="40440D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7E3B725A">
            <w:pPr>
              <w:pStyle w:val="12"/>
              <w:jc w:val="center"/>
            </w:pPr>
            <w:r>
              <w:rPr>
                <w:rFonts w:hint="eastAsia"/>
              </w:rPr>
              <w:t>封裕廉</w:t>
            </w:r>
          </w:p>
        </w:tc>
        <w:tc>
          <w:tcPr>
            <w:tcW w:w="1065" w:type="pct"/>
            <w:vAlign w:val="center"/>
          </w:tcPr>
          <w:p w14:paraId="17A2244C">
            <w:pPr>
              <w:pStyle w:val="12"/>
              <w:jc w:val="center"/>
            </w:pPr>
            <w:r>
              <w:rPr>
                <w:rFonts w:hint="eastAsia"/>
              </w:rPr>
              <w:t>县商业局</w:t>
            </w:r>
            <w:r>
              <w:rPr>
                <w:rFonts w:hint="eastAsia" w:ascii="宋体" w:hAnsi="宋体" w:cs="宋体"/>
              </w:rPr>
              <w:t>储运公司</w:t>
            </w:r>
          </w:p>
        </w:tc>
        <w:tc>
          <w:tcPr>
            <w:tcW w:w="853" w:type="pct"/>
            <w:vAlign w:val="center"/>
          </w:tcPr>
          <w:p w14:paraId="413B993A">
            <w:pPr>
              <w:pStyle w:val="12"/>
              <w:jc w:val="center"/>
            </w:pPr>
            <w:r>
              <w:rPr>
                <w:rFonts w:hint="eastAsia"/>
              </w:rPr>
              <w:t>1988年12月</w:t>
            </w:r>
          </w:p>
        </w:tc>
        <w:tc>
          <w:tcPr>
            <w:tcW w:w="1068" w:type="pct"/>
            <w:vAlign w:val="center"/>
          </w:tcPr>
          <w:p w14:paraId="588019F6">
            <w:pPr>
              <w:pStyle w:val="12"/>
              <w:jc w:val="center"/>
            </w:pPr>
            <w:r>
              <w:rPr>
                <w:rFonts w:hint="eastAsia"/>
              </w:rPr>
              <w:t>国家商业部</w:t>
            </w:r>
          </w:p>
        </w:tc>
        <w:tc>
          <w:tcPr>
            <w:tcW w:w="1317" w:type="pct"/>
            <w:vAlign w:val="center"/>
          </w:tcPr>
          <w:p w14:paraId="3168C700">
            <w:pPr>
              <w:pStyle w:val="12"/>
              <w:jc w:val="left"/>
            </w:pPr>
            <w:r>
              <w:rPr>
                <w:rFonts w:hint="eastAsia"/>
              </w:rPr>
              <w:t>全国商业安全行车百万公里标兵</w:t>
            </w:r>
          </w:p>
        </w:tc>
      </w:tr>
      <w:tr w14:paraId="265BDC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239712C0">
            <w:pPr>
              <w:pStyle w:val="12"/>
              <w:jc w:val="center"/>
            </w:pPr>
            <w:r>
              <w:rPr>
                <w:rFonts w:hint="eastAsia"/>
              </w:rPr>
              <w:t>蒋耀泉</w:t>
            </w:r>
          </w:p>
        </w:tc>
        <w:tc>
          <w:tcPr>
            <w:tcW w:w="1065" w:type="pct"/>
            <w:vMerge w:val="restart"/>
            <w:vAlign w:val="center"/>
          </w:tcPr>
          <w:p w14:paraId="766BFF88">
            <w:pPr>
              <w:pStyle w:val="12"/>
              <w:jc w:val="center"/>
            </w:pPr>
            <w:r>
              <w:rPr>
                <w:rFonts w:hint="eastAsia"/>
              </w:rPr>
              <w:t>县烟草公司</w:t>
            </w:r>
          </w:p>
        </w:tc>
        <w:tc>
          <w:tcPr>
            <w:tcW w:w="853" w:type="pct"/>
            <w:vMerge w:val="restart"/>
            <w:vAlign w:val="center"/>
          </w:tcPr>
          <w:p w14:paraId="00A6E4B2">
            <w:pPr>
              <w:pStyle w:val="12"/>
              <w:jc w:val="center"/>
            </w:pPr>
            <w:r>
              <w:rPr>
                <w:rFonts w:hint="eastAsia"/>
              </w:rPr>
              <w:t>1988年12月</w:t>
            </w:r>
          </w:p>
        </w:tc>
        <w:tc>
          <w:tcPr>
            <w:tcW w:w="1068" w:type="pct"/>
            <w:vMerge w:val="restart"/>
            <w:vAlign w:val="center"/>
          </w:tcPr>
          <w:p w14:paraId="7401A281">
            <w:pPr>
              <w:pStyle w:val="12"/>
              <w:jc w:val="center"/>
            </w:pPr>
            <w:r>
              <w:rPr>
                <w:rFonts w:hint="eastAsia"/>
              </w:rPr>
              <w:t>国家农业部</w:t>
            </w:r>
          </w:p>
        </w:tc>
        <w:tc>
          <w:tcPr>
            <w:tcW w:w="1317" w:type="pct"/>
            <w:vMerge w:val="restart"/>
            <w:vAlign w:val="center"/>
          </w:tcPr>
          <w:p w14:paraId="26D5ECDA">
            <w:pPr>
              <w:pStyle w:val="12"/>
              <w:jc w:val="left"/>
            </w:pPr>
            <w:r>
              <w:rPr>
                <w:rFonts w:hint="eastAsia"/>
              </w:rPr>
              <w:t>农业部科技进步二等奖</w:t>
            </w:r>
          </w:p>
        </w:tc>
      </w:tr>
      <w:tr w14:paraId="684E0F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318430DF">
            <w:pPr>
              <w:pStyle w:val="12"/>
              <w:jc w:val="center"/>
            </w:pPr>
            <w:r>
              <w:rPr>
                <w:rFonts w:hint="eastAsia"/>
              </w:rPr>
              <w:t>吕永华</w:t>
            </w:r>
          </w:p>
        </w:tc>
        <w:tc>
          <w:tcPr>
            <w:tcW w:w="1065" w:type="pct"/>
            <w:vMerge w:val="continue"/>
            <w:vAlign w:val="center"/>
          </w:tcPr>
          <w:p w14:paraId="7D4D0EC0">
            <w:pPr>
              <w:pStyle w:val="12"/>
              <w:jc w:val="center"/>
            </w:pPr>
          </w:p>
        </w:tc>
        <w:tc>
          <w:tcPr>
            <w:tcW w:w="853" w:type="pct"/>
            <w:vMerge w:val="continue"/>
            <w:vAlign w:val="center"/>
          </w:tcPr>
          <w:p w14:paraId="3D2AB657">
            <w:pPr>
              <w:pStyle w:val="12"/>
              <w:jc w:val="center"/>
            </w:pPr>
          </w:p>
        </w:tc>
        <w:tc>
          <w:tcPr>
            <w:tcW w:w="1068" w:type="pct"/>
            <w:vMerge w:val="continue"/>
            <w:vAlign w:val="center"/>
          </w:tcPr>
          <w:p w14:paraId="19E1E080">
            <w:pPr>
              <w:pStyle w:val="12"/>
              <w:jc w:val="center"/>
            </w:pPr>
          </w:p>
        </w:tc>
        <w:tc>
          <w:tcPr>
            <w:tcW w:w="1317" w:type="pct"/>
            <w:vMerge w:val="continue"/>
            <w:vAlign w:val="center"/>
          </w:tcPr>
          <w:p w14:paraId="01AC3D1A">
            <w:pPr>
              <w:pStyle w:val="12"/>
              <w:jc w:val="left"/>
            </w:pPr>
          </w:p>
        </w:tc>
      </w:tr>
      <w:tr w14:paraId="1131C0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291F9DB1">
            <w:pPr>
              <w:pStyle w:val="12"/>
              <w:jc w:val="center"/>
            </w:pPr>
            <w:r>
              <w:rPr>
                <w:rFonts w:hint="eastAsia"/>
              </w:rPr>
              <w:t>吴述永</w:t>
            </w:r>
          </w:p>
        </w:tc>
        <w:tc>
          <w:tcPr>
            <w:tcW w:w="1065" w:type="pct"/>
            <w:vMerge w:val="continue"/>
            <w:vAlign w:val="center"/>
          </w:tcPr>
          <w:p w14:paraId="78D13A37">
            <w:pPr>
              <w:pStyle w:val="12"/>
              <w:jc w:val="center"/>
            </w:pPr>
          </w:p>
        </w:tc>
        <w:tc>
          <w:tcPr>
            <w:tcW w:w="853" w:type="pct"/>
            <w:vMerge w:val="continue"/>
            <w:vAlign w:val="center"/>
          </w:tcPr>
          <w:p w14:paraId="30689835">
            <w:pPr>
              <w:pStyle w:val="12"/>
              <w:jc w:val="center"/>
            </w:pPr>
          </w:p>
        </w:tc>
        <w:tc>
          <w:tcPr>
            <w:tcW w:w="1068" w:type="pct"/>
            <w:vMerge w:val="continue"/>
            <w:vAlign w:val="center"/>
          </w:tcPr>
          <w:p w14:paraId="58A6C2B6">
            <w:pPr>
              <w:pStyle w:val="12"/>
              <w:jc w:val="center"/>
            </w:pPr>
          </w:p>
        </w:tc>
        <w:tc>
          <w:tcPr>
            <w:tcW w:w="1317" w:type="pct"/>
            <w:vMerge w:val="continue"/>
            <w:vAlign w:val="center"/>
          </w:tcPr>
          <w:p w14:paraId="18B81D41">
            <w:pPr>
              <w:pStyle w:val="12"/>
              <w:jc w:val="left"/>
            </w:pPr>
          </w:p>
        </w:tc>
      </w:tr>
      <w:tr w14:paraId="268FB4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7FD91401">
            <w:pPr>
              <w:pStyle w:val="12"/>
              <w:jc w:val="center"/>
            </w:pPr>
            <w:r>
              <w:rPr>
                <w:rFonts w:hint="eastAsia"/>
              </w:rPr>
              <w:t>吴述永</w:t>
            </w:r>
          </w:p>
        </w:tc>
        <w:tc>
          <w:tcPr>
            <w:tcW w:w="1065" w:type="pct"/>
            <w:vMerge w:val="continue"/>
            <w:vAlign w:val="center"/>
          </w:tcPr>
          <w:p w14:paraId="22A16E6C">
            <w:pPr>
              <w:pStyle w:val="12"/>
              <w:jc w:val="center"/>
            </w:pPr>
          </w:p>
        </w:tc>
        <w:tc>
          <w:tcPr>
            <w:tcW w:w="853" w:type="pct"/>
            <w:vAlign w:val="center"/>
          </w:tcPr>
          <w:p w14:paraId="1A84DA4D">
            <w:pPr>
              <w:pStyle w:val="12"/>
              <w:jc w:val="center"/>
            </w:pPr>
            <w:r>
              <w:rPr>
                <w:rFonts w:hint="eastAsia"/>
              </w:rPr>
              <w:t>1989年8月</w:t>
            </w:r>
          </w:p>
        </w:tc>
        <w:tc>
          <w:tcPr>
            <w:tcW w:w="1068" w:type="pct"/>
            <w:vMerge w:val="continue"/>
            <w:vAlign w:val="center"/>
          </w:tcPr>
          <w:p w14:paraId="1120AC2A">
            <w:pPr>
              <w:pStyle w:val="12"/>
              <w:jc w:val="center"/>
            </w:pPr>
          </w:p>
        </w:tc>
        <w:tc>
          <w:tcPr>
            <w:tcW w:w="1317" w:type="pct"/>
            <w:vAlign w:val="center"/>
          </w:tcPr>
          <w:p w14:paraId="6C28EDFD">
            <w:pPr>
              <w:pStyle w:val="12"/>
              <w:jc w:val="left"/>
            </w:pPr>
            <w:r>
              <w:rPr>
                <w:rFonts w:hint="eastAsia" w:ascii="宋体" w:hAnsi="宋体" w:cs="宋体"/>
              </w:rPr>
              <w:t>部级科学技术进步三等奖</w:t>
            </w:r>
          </w:p>
        </w:tc>
      </w:tr>
      <w:tr w14:paraId="4F1C04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063C45D0">
            <w:pPr>
              <w:pStyle w:val="12"/>
              <w:jc w:val="center"/>
            </w:pPr>
            <w:r>
              <w:rPr>
                <w:rFonts w:hint="eastAsia"/>
              </w:rPr>
              <w:t>郭淑华</w:t>
            </w:r>
          </w:p>
        </w:tc>
        <w:tc>
          <w:tcPr>
            <w:tcW w:w="1065" w:type="pct"/>
            <w:vAlign w:val="center"/>
          </w:tcPr>
          <w:p w14:paraId="2B7857DB">
            <w:pPr>
              <w:pStyle w:val="12"/>
              <w:jc w:val="center"/>
            </w:pPr>
            <w:r>
              <w:rPr>
                <w:rFonts w:hint="eastAsia"/>
              </w:rPr>
              <w:t>县教育局</w:t>
            </w:r>
          </w:p>
        </w:tc>
        <w:tc>
          <w:tcPr>
            <w:tcW w:w="853" w:type="pct"/>
            <w:vAlign w:val="center"/>
          </w:tcPr>
          <w:p w14:paraId="7079BE2F">
            <w:pPr>
              <w:pStyle w:val="12"/>
              <w:jc w:val="center"/>
            </w:pPr>
            <w:r>
              <w:rPr>
                <w:rFonts w:hint="eastAsia"/>
              </w:rPr>
              <w:t>1989年3月</w:t>
            </w:r>
          </w:p>
        </w:tc>
        <w:tc>
          <w:tcPr>
            <w:tcW w:w="1068" w:type="pct"/>
            <w:vAlign w:val="center"/>
          </w:tcPr>
          <w:p w14:paraId="69A00A92">
            <w:pPr>
              <w:pStyle w:val="12"/>
              <w:jc w:val="center"/>
            </w:pPr>
            <w:r>
              <w:rPr>
                <w:rFonts w:hint="eastAsia"/>
              </w:rPr>
              <w:t>中华全国总工会</w:t>
            </w:r>
          </w:p>
        </w:tc>
        <w:tc>
          <w:tcPr>
            <w:tcW w:w="1317" w:type="pct"/>
            <w:vAlign w:val="center"/>
          </w:tcPr>
          <w:p w14:paraId="67D85305">
            <w:pPr>
              <w:pStyle w:val="12"/>
              <w:jc w:val="left"/>
            </w:pPr>
            <w:r>
              <w:rPr>
                <w:rFonts w:hint="eastAsia"/>
              </w:rPr>
              <w:t>全国“三八”红旗手</w:t>
            </w:r>
          </w:p>
        </w:tc>
      </w:tr>
      <w:tr w14:paraId="5F7AD9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3B9287C7">
            <w:pPr>
              <w:pStyle w:val="12"/>
              <w:jc w:val="center"/>
            </w:pPr>
            <w:r>
              <w:rPr>
                <w:rFonts w:hint="eastAsia"/>
              </w:rPr>
              <w:t>郭淑华</w:t>
            </w:r>
          </w:p>
        </w:tc>
        <w:tc>
          <w:tcPr>
            <w:tcW w:w="1065" w:type="pct"/>
            <w:vAlign w:val="center"/>
          </w:tcPr>
          <w:p w14:paraId="2E764CCA">
            <w:pPr>
              <w:pStyle w:val="12"/>
              <w:jc w:val="center"/>
            </w:pPr>
            <w:r>
              <w:rPr>
                <w:rFonts w:hint="eastAsia"/>
              </w:rPr>
              <w:t>县教育局</w:t>
            </w:r>
          </w:p>
        </w:tc>
        <w:tc>
          <w:tcPr>
            <w:tcW w:w="853" w:type="pct"/>
            <w:vAlign w:val="center"/>
          </w:tcPr>
          <w:p w14:paraId="55AD0134">
            <w:pPr>
              <w:pStyle w:val="12"/>
              <w:jc w:val="center"/>
            </w:pPr>
            <w:r>
              <w:rPr>
                <w:rFonts w:hint="eastAsia"/>
              </w:rPr>
              <w:t>1989年</w:t>
            </w:r>
          </w:p>
        </w:tc>
        <w:tc>
          <w:tcPr>
            <w:tcW w:w="1068" w:type="pct"/>
            <w:vAlign w:val="center"/>
          </w:tcPr>
          <w:p w14:paraId="34AE9884">
            <w:pPr>
              <w:pStyle w:val="12"/>
              <w:jc w:val="center"/>
            </w:pPr>
            <w:r>
              <w:rPr>
                <w:rFonts w:hint="eastAsia"/>
              </w:rPr>
              <w:t>国家教育委员会</w:t>
            </w:r>
          </w:p>
        </w:tc>
        <w:tc>
          <w:tcPr>
            <w:tcW w:w="1317" w:type="pct"/>
            <w:vAlign w:val="center"/>
          </w:tcPr>
          <w:p w14:paraId="7DF89CC6">
            <w:pPr>
              <w:pStyle w:val="12"/>
              <w:jc w:val="left"/>
            </w:pPr>
            <w:r>
              <w:rPr>
                <w:rFonts w:hint="eastAsia"/>
              </w:rPr>
              <w:t>全国教育先进工作者</w:t>
            </w:r>
          </w:p>
        </w:tc>
      </w:tr>
      <w:tr w14:paraId="6951E7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08D67539">
            <w:pPr>
              <w:pStyle w:val="12"/>
              <w:jc w:val="center"/>
            </w:pPr>
            <w:r>
              <w:rPr>
                <w:rFonts w:hint="eastAsia"/>
              </w:rPr>
              <w:t>罗木泉</w:t>
            </w:r>
          </w:p>
        </w:tc>
        <w:tc>
          <w:tcPr>
            <w:tcW w:w="1065" w:type="pct"/>
            <w:vAlign w:val="center"/>
          </w:tcPr>
          <w:p w14:paraId="272E77C2">
            <w:pPr>
              <w:pStyle w:val="12"/>
              <w:jc w:val="center"/>
            </w:pPr>
            <w:r>
              <w:rPr>
                <w:rFonts w:hint="eastAsia"/>
              </w:rPr>
              <w:t>县农业局</w:t>
            </w:r>
          </w:p>
        </w:tc>
        <w:tc>
          <w:tcPr>
            <w:tcW w:w="853" w:type="pct"/>
            <w:vAlign w:val="center"/>
          </w:tcPr>
          <w:p w14:paraId="29061B2A">
            <w:pPr>
              <w:pStyle w:val="12"/>
              <w:jc w:val="center"/>
            </w:pPr>
            <w:r>
              <w:rPr>
                <w:rFonts w:hint="eastAsia"/>
              </w:rPr>
              <w:t>1989年8月</w:t>
            </w:r>
          </w:p>
        </w:tc>
        <w:tc>
          <w:tcPr>
            <w:tcW w:w="1068" w:type="pct"/>
            <w:vAlign w:val="center"/>
          </w:tcPr>
          <w:p w14:paraId="7C44B6A5">
            <w:pPr>
              <w:pStyle w:val="12"/>
              <w:jc w:val="center"/>
            </w:pPr>
            <w:r>
              <w:rPr>
                <w:rFonts w:hint="eastAsia"/>
              </w:rPr>
              <w:t>国家农牧渔业部</w:t>
            </w:r>
          </w:p>
        </w:tc>
        <w:tc>
          <w:tcPr>
            <w:tcW w:w="1317" w:type="pct"/>
            <w:vAlign w:val="center"/>
          </w:tcPr>
          <w:p w14:paraId="74A9200B">
            <w:pPr>
              <w:pStyle w:val="12"/>
              <w:jc w:val="left"/>
            </w:pPr>
            <w:r>
              <w:rPr>
                <w:rFonts w:hint="eastAsia"/>
              </w:rPr>
              <w:t>全国农牧渔业丰收奖二等奖</w:t>
            </w:r>
          </w:p>
        </w:tc>
      </w:tr>
      <w:tr w14:paraId="647F88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3ACD12AC">
            <w:pPr>
              <w:pStyle w:val="12"/>
              <w:jc w:val="center"/>
            </w:pPr>
            <w:r>
              <w:rPr>
                <w:rFonts w:hint="eastAsia"/>
              </w:rPr>
              <w:t>廖威宗</w:t>
            </w:r>
          </w:p>
        </w:tc>
        <w:tc>
          <w:tcPr>
            <w:tcW w:w="1065" w:type="pct"/>
            <w:vAlign w:val="center"/>
          </w:tcPr>
          <w:p w14:paraId="4C14F84E">
            <w:pPr>
              <w:pStyle w:val="12"/>
              <w:jc w:val="center"/>
            </w:pPr>
            <w:r>
              <w:rPr>
                <w:rFonts w:hint="eastAsia"/>
              </w:rPr>
              <w:t>县林业局</w:t>
            </w:r>
          </w:p>
        </w:tc>
        <w:tc>
          <w:tcPr>
            <w:tcW w:w="853" w:type="pct"/>
            <w:vAlign w:val="center"/>
          </w:tcPr>
          <w:p w14:paraId="4DB5B3F2">
            <w:pPr>
              <w:pStyle w:val="12"/>
              <w:jc w:val="center"/>
            </w:pPr>
            <w:r>
              <w:rPr>
                <w:rFonts w:hint="eastAsia"/>
              </w:rPr>
              <w:t>1989年9月</w:t>
            </w:r>
          </w:p>
        </w:tc>
        <w:tc>
          <w:tcPr>
            <w:tcW w:w="1068" w:type="pct"/>
            <w:vAlign w:val="center"/>
          </w:tcPr>
          <w:p w14:paraId="3920137A">
            <w:pPr>
              <w:pStyle w:val="12"/>
              <w:jc w:val="center"/>
            </w:pPr>
            <w:r>
              <w:rPr>
                <w:rFonts w:hint="eastAsia"/>
              </w:rPr>
              <w:t>国务院</w:t>
            </w:r>
          </w:p>
        </w:tc>
        <w:tc>
          <w:tcPr>
            <w:tcW w:w="1317" w:type="pct"/>
            <w:vAlign w:val="center"/>
          </w:tcPr>
          <w:p w14:paraId="7297E959">
            <w:pPr>
              <w:pStyle w:val="12"/>
              <w:jc w:val="left"/>
            </w:pPr>
            <w:r>
              <w:rPr>
                <w:rFonts w:hint="eastAsia"/>
              </w:rPr>
              <w:t>全国先进工作者</w:t>
            </w:r>
          </w:p>
        </w:tc>
      </w:tr>
      <w:tr w14:paraId="0A6016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3C305B3E">
            <w:pPr>
              <w:pStyle w:val="12"/>
              <w:jc w:val="center"/>
            </w:pPr>
            <w:r>
              <w:rPr>
                <w:rFonts w:hint="eastAsia"/>
              </w:rPr>
              <w:t>郭淑华</w:t>
            </w:r>
          </w:p>
        </w:tc>
        <w:tc>
          <w:tcPr>
            <w:tcW w:w="1065" w:type="pct"/>
            <w:vAlign w:val="center"/>
          </w:tcPr>
          <w:p w14:paraId="24A2909F">
            <w:pPr>
              <w:pStyle w:val="12"/>
              <w:jc w:val="center"/>
            </w:pPr>
            <w:r>
              <w:rPr>
                <w:rFonts w:hint="eastAsia"/>
              </w:rPr>
              <w:t>县教育局</w:t>
            </w:r>
          </w:p>
        </w:tc>
        <w:tc>
          <w:tcPr>
            <w:tcW w:w="853" w:type="pct"/>
            <w:vAlign w:val="center"/>
          </w:tcPr>
          <w:p w14:paraId="444E3ECF">
            <w:pPr>
              <w:pStyle w:val="12"/>
              <w:jc w:val="center"/>
            </w:pPr>
            <w:r>
              <w:rPr>
                <w:rFonts w:hint="eastAsia"/>
              </w:rPr>
              <w:t>1989年9月</w:t>
            </w:r>
          </w:p>
        </w:tc>
        <w:tc>
          <w:tcPr>
            <w:tcW w:w="1068" w:type="pct"/>
            <w:vAlign w:val="center"/>
          </w:tcPr>
          <w:p w14:paraId="1AE1392D">
            <w:pPr>
              <w:pStyle w:val="12"/>
              <w:jc w:val="center"/>
            </w:pPr>
            <w:r>
              <w:rPr>
                <w:rFonts w:hint="eastAsia"/>
              </w:rPr>
              <w:t>国家教育委员会</w:t>
            </w:r>
            <w:r>
              <w:rPr>
                <w:rFonts w:hint="eastAsia" w:ascii="宋体" w:hAnsi="宋体" w:cs="宋体"/>
              </w:rPr>
              <w:t>国家人事部</w:t>
            </w:r>
          </w:p>
        </w:tc>
        <w:tc>
          <w:tcPr>
            <w:tcW w:w="1317" w:type="pct"/>
            <w:vAlign w:val="center"/>
          </w:tcPr>
          <w:p w14:paraId="2BAD3FC1">
            <w:pPr>
              <w:pStyle w:val="12"/>
              <w:jc w:val="left"/>
            </w:pPr>
            <w:r>
              <w:rPr>
                <w:rFonts w:hint="eastAsia"/>
              </w:rPr>
              <w:t>全国教育系统劳动模范</w:t>
            </w:r>
          </w:p>
        </w:tc>
      </w:tr>
      <w:tr w14:paraId="38897E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3F51DE7C">
            <w:pPr>
              <w:pStyle w:val="12"/>
              <w:jc w:val="center"/>
            </w:pPr>
            <w:r>
              <w:rPr>
                <w:rFonts w:hint="eastAsia"/>
              </w:rPr>
              <w:t>黄国真</w:t>
            </w:r>
          </w:p>
        </w:tc>
        <w:tc>
          <w:tcPr>
            <w:tcW w:w="1065" w:type="pct"/>
            <w:vAlign w:val="center"/>
          </w:tcPr>
          <w:p w14:paraId="1C639C5F">
            <w:pPr>
              <w:pStyle w:val="12"/>
              <w:jc w:val="center"/>
            </w:pPr>
            <w:r>
              <w:rPr>
                <w:rFonts w:hint="eastAsia"/>
              </w:rPr>
              <w:t>县水电局</w:t>
            </w:r>
          </w:p>
        </w:tc>
        <w:tc>
          <w:tcPr>
            <w:tcW w:w="853" w:type="pct"/>
            <w:vAlign w:val="center"/>
          </w:tcPr>
          <w:p w14:paraId="75AB6A92">
            <w:pPr>
              <w:pStyle w:val="12"/>
              <w:jc w:val="center"/>
            </w:pPr>
            <w:r>
              <w:rPr>
                <w:rFonts w:hint="eastAsia"/>
              </w:rPr>
              <w:t>1989年</w:t>
            </w:r>
          </w:p>
        </w:tc>
        <w:tc>
          <w:tcPr>
            <w:tcW w:w="1068" w:type="pct"/>
            <w:vAlign w:val="center"/>
          </w:tcPr>
          <w:p w14:paraId="6A74AE89">
            <w:pPr>
              <w:pStyle w:val="12"/>
              <w:jc w:val="center"/>
            </w:pPr>
            <w:r>
              <w:rPr>
                <w:rFonts w:hint="eastAsia"/>
              </w:rPr>
              <w:t>国家水利部</w:t>
            </w:r>
            <w:r>
              <w:rPr>
                <w:rFonts w:hint="eastAsia" w:ascii="宋体" w:hAnsi="宋体" w:cs="宋体"/>
              </w:rPr>
              <w:t>中国水利学会</w:t>
            </w:r>
          </w:p>
        </w:tc>
        <w:tc>
          <w:tcPr>
            <w:tcW w:w="1317" w:type="pct"/>
            <w:vAlign w:val="center"/>
          </w:tcPr>
          <w:p w14:paraId="0D95D33E">
            <w:pPr>
              <w:pStyle w:val="12"/>
              <w:jc w:val="left"/>
            </w:pPr>
            <w:r>
              <w:rPr>
                <w:rFonts w:hint="eastAsia"/>
              </w:rPr>
              <w:t>全国水利战线优秀中青年水利科技工作者</w:t>
            </w:r>
          </w:p>
        </w:tc>
      </w:tr>
      <w:tr w14:paraId="662D90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1F874026">
            <w:pPr>
              <w:pStyle w:val="12"/>
              <w:jc w:val="center"/>
            </w:pPr>
            <w:r>
              <w:rPr>
                <w:rFonts w:hint="eastAsia"/>
              </w:rPr>
              <w:t>陈德华</w:t>
            </w:r>
          </w:p>
        </w:tc>
        <w:tc>
          <w:tcPr>
            <w:tcW w:w="1065" w:type="pct"/>
            <w:vAlign w:val="center"/>
          </w:tcPr>
          <w:p w14:paraId="175F67BF">
            <w:pPr>
              <w:pStyle w:val="12"/>
              <w:jc w:val="center"/>
            </w:pPr>
            <w:r>
              <w:rPr>
                <w:rFonts w:hint="eastAsia"/>
              </w:rPr>
              <w:t>南雄中学</w:t>
            </w:r>
          </w:p>
        </w:tc>
        <w:tc>
          <w:tcPr>
            <w:tcW w:w="853" w:type="pct"/>
            <w:vMerge w:val="restart"/>
            <w:vAlign w:val="center"/>
          </w:tcPr>
          <w:p w14:paraId="341FF664">
            <w:pPr>
              <w:pStyle w:val="12"/>
              <w:jc w:val="center"/>
            </w:pPr>
            <w:r>
              <w:rPr>
                <w:rFonts w:hint="eastAsia"/>
              </w:rPr>
              <w:t>1989年</w:t>
            </w:r>
          </w:p>
        </w:tc>
        <w:tc>
          <w:tcPr>
            <w:tcW w:w="1068" w:type="pct"/>
            <w:vMerge w:val="restart"/>
            <w:vAlign w:val="center"/>
          </w:tcPr>
          <w:p w14:paraId="6EB03177">
            <w:pPr>
              <w:pStyle w:val="12"/>
              <w:jc w:val="center"/>
            </w:pPr>
            <w:r>
              <w:rPr>
                <w:rFonts w:hint="eastAsia"/>
              </w:rPr>
              <w:t>国家教育委员会</w:t>
            </w:r>
          </w:p>
        </w:tc>
        <w:tc>
          <w:tcPr>
            <w:tcW w:w="1317" w:type="pct"/>
            <w:vMerge w:val="restart"/>
            <w:vAlign w:val="center"/>
          </w:tcPr>
          <w:p w14:paraId="3379D3CC">
            <w:pPr>
              <w:pStyle w:val="12"/>
              <w:jc w:val="left"/>
            </w:pPr>
            <w:r>
              <w:rPr>
                <w:rFonts w:hint="eastAsia"/>
              </w:rPr>
              <w:t>全国先进教师</w:t>
            </w:r>
          </w:p>
        </w:tc>
      </w:tr>
      <w:tr w14:paraId="256B94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526D6DC8">
            <w:pPr>
              <w:pStyle w:val="12"/>
              <w:jc w:val="center"/>
            </w:pPr>
            <w:r>
              <w:rPr>
                <w:rFonts w:hint="eastAsia"/>
              </w:rPr>
              <w:t>李各民</w:t>
            </w:r>
          </w:p>
        </w:tc>
        <w:tc>
          <w:tcPr>
            <w:tcW w:w="1065" w:type="pct"/>
            <w:vAlign w:val="center"/>
          </w:tcPr>
          <w:p w14:paraId="3AB0A36F">
            <w:pPr>
              <w:pStyle w:val="12"/>
              <w:jc w:val="center"/>
            </w:pPr>
            <w:r>
              <w:rPr>
                <w:rFonts w:hint="eastAsia"/>
              </w:rPr>
              <w:t>南雄县一中</w:t>
            </w:r>
          </w:p>
        </w:tc>
        <w:tc>
          <w:tcPr>
            <w:tcW w:w="853" w:type="pct"/>
            <w:vMerge w:val="continue"/>
            <w:vAlign w:val="center"/>
          </w:tcPr>
          <w:p w14:paraId="62D199C3">
            <w:pPr>
              <w:pStyle w:val="12"/>
              <w:jc w:val="center"/>
            </w:pPr>
          </w:p>
        </w:tc>
        <w:tc>
          <w:tcPr>
            <w:tcW w:w="1068" w:type="pct"/>
            <w:vMerge w:val="continue"/>
            <w:vAlign w:val="center"/>
          </w:tcPr>
          <w:p w14:paraId="00345284">
            <w:pPr>
              <w:pStyle w:val="12"/>
              <w:jc w:val="center"/>
            </w:pPr>
          </w:p>
        </w:tc>
        <w:tc>
          <w:tcPr>
            <w:tcW w:w="1317" w:type="pct"/>
            <w:vMerge w:val="continue"/>
            <w:vAlign w:val="center"/>
          </w:tcPr>
          <w:p w14:paraId="0544F59E">
            <w:pPr>
              <w:pStyle w:val="12"/>
              <w:jc w:val="left"/>
            </w:pPr>
          </w:p>
        </w:tc>
      </w:tr>
      <w:tr w14:paraId="057966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50C49AFD">
            <w:pPr>
              <w:pStyle w:val="12"/>
              <w:jc w:val="center"/>
            </w:pPr>
            <w:r>
              <w:rPr>
                <w:rFonts w:hint="eastAsia"/>
              </w:rPr>
              <w:t>陈家强</w:t>
            </w:r>
          </w:p>
        </w:tc>
        <w:tc>
          <w:tcPr>
            <w:tcW w:w="1065" w:type="pct"/>
            <w:vAlign w:val="center"/>
          </w:tcPr>
          <w:p w14:paraId="17B57295">
            <w:pPr>
              <w:pStyle w:val="12"/>
              <w:jc w:val="center"/>
            </w:pPr>
            <w:r>
              <w:rPr>
                <w:rFonts w:hint="eastAsia"/>
              </w:rPr>
              <w:t>县职业</w:t>
            </w:r>
            <w:r>
              <w:rPr>
                <w:rFonts w:hint="eastAsia" w:ascii="宋体" w:hAnsi="宋体" w:cs="宋体"/>
              </w:rPr>
              <w:t>高级中学</w:t>
            </w:r>
          </w:p>
        </w:tc>
        <w:tc>
          <w:tcPr>
            <w:tcW w:w="853" w:type="pct"/>
            <w:vMerge w:val="continue"/>
            <w:vAlign w:val="center"/>
          </w:tcPr>
          <w:p w14:paraId="46E70177">
            <w:pPr>
              <w:pStyle w:val="12"/>
              <w:jc w:val="center"/>
            </w:pPr>
          </w:p>
        </w:tc>
        <w:tc>
          <w:tcPr>
            <w:tcW w:w="1068" w:type="pct"/>
            <w:vMerge w:val="continue"/>
            <w:vAlign w:val="center"/>
          </w:tcPr>
          <w:p w14:paraId="2949D98E">
            <w:pPr>
              <w:pStyle w:val="12"/>
              <w:jc w:val="center"/>
            </w:pPr>
          </w:p>
        </w:tc>
        <w:tc>
          <w:tcPr>
            <w:tcW w:w="1317" w:type="pct"/>
            <w:vMerge w:val="continue"/>
            <w:vAlign w:val="center"/>
          </w:tcPr>
          <w:p w14:paraId="4053CA79">
            <w:pPr>
              <w:pStyle w:val="12"/>
              <w:jc w:val="left"/>
            </w:pPr>
          </w:p>
        </w:tc>
      </w:tr>
      <w:tr w14:paraId="77FF310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7BCD5228">
            <w:pPr>
              <w:pStyle w:val="12"/>
              <w:jc w:val="center"/>
            </w:pPr>
            <w:r>
              <w:rPr>
                <w:rFonts w:hint="eastAsia"/>
              </w:rPr>
              <w:t>杨青海</w:t>
            </w:r>
          </w:p>
        </w:tc>
        <w:tc>
          <w:tcPr>
            <w:tcW w:w="1065" w:type="pct"/>
            <w:vAlign w:val="center"/>
          </w:tcPr>
          <w:p w14:paraId="27A5DD4C">
            <w:pPr>
              <w:pStyle w:val="12"/>
              <w:jc w:val="center"/>
            </w:pPr>
            <w:r>
              <w:rPr>
                <w:rFonts w:hint="eastAsia"/>
              </w:rPr>
              <w:t>雄州中学</w:t>
            </w:r>
          </w:p>
        </w:tc>
        <w:tc>
          <w:tcPr>
            <w:tcW w:w="853" w:type="pct"/>
            <w:vMerge w:val="continue"/>
            <w:vAlign w:val="center"/>
          </w:tcPr>
          <w:p w14:paraId="0474EA9C">
            <w:pPr>
              <w:pStyle w:val="12"/>
              <w:jc w:val="center"/>
            </w:pPr>
          </w:p>
        </w:tc>
        <w:tc>
          <w:tcPr>
            <w:tcW w:w="1068" w:type="pct"/>
            <w:vMerge w:val="continue"/>
            <w:vAlign w:val="center"/>
          </w:tcPr>
          <w:p w14:paraId="0F7DDA01">
            <w:pPr>
              <w:pStyle w:val="12"/>
              <w:jc w:val="center"/>
            </w:pPr>
          </w:p>
        </w:tc>
        <w:tc>
          <w:tcPr>
            <w:tcW w:w="1317" w:type="pct"/>
            <w:vMerge w:val="continue"/>
            <w:vAlign w:val="center"/>
          </w:tcPr>
          <w:p w14:paraId="11A8FEC6">
            <w:pPr>
              <w:pStyle w:val="12"/>
              <w:jc w:val="left"/>
            </w:pPr>
          </w:p>
        </w:tc>
      </w:tr>
      <w:tr w14:paraId="50A0C0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22AAEF8C">
            <w:pPr>
              <w:pStyle w:val="12"/>
              <w:jc w:val="center"/>
            </w:pPr>
            <w:r>
              <w:rPr>
                <w:rFonts w:hint="eastAsia"/>
              </w:rPr>
              <w:t>邓汝机</w:t>
            </w:r>
          </w:p>
        </w:tc>
        <w:tc>
          <w:tcPr>
            <w:tcW w:w="1065" w:type="pct"/>
            <w:vAlign w:val="center"/>
          </w:tcPr>
          <w:p w14:paraId="3698D42E">
            <w:pPr>
              <w:pStyle w:val="12"/>
              <w:jc w:val="center"/>
            </w:pPr>
            <w:r>
              <w:rPr>
                <w:rFonts w:hint="eastAsia"/>
              </w:rPr>
              <w:t>实验小学</w:t>
            </w:r>
          </w:p>
        </w:tc>
        <w:tc>
          <w:tcPr>
            <w:tcW w:w="853" w:type="pct"/>
            <w:vMerge w:val="continue"/>
            <w:vAlign w:val="center"/>
          </w:tcPr>
          <w:p w14:paraId="4F6B42CD">
            <w:pPr>
              <w:pStyle w:val="12"/>
              <w:jc w:val="center"/>
            </w:pPr>
          </w:p>
        </w:tc>
        <w:tc>
          <w:tcPr>
            <w:tcW w:w="1068" w:type="pct"/>
            <w:vMerge w:val="continue"/>
            <w:vAlign w:val="center"/>
          </w:tcPr>
          <w:p w14:paraId="3BFE4110">
            <w:pPr>
              <w:pStyle w:val="12"/>
              <w:jc w:val="center"/>
            </w:pPr>
          </w:p>
        </w:tc>
        <w:tc>
          <w:tcPr>
            <w:tcW w:w="1317" w:type="pct"/>
            <w:vMerge w:val="continue"/>
            <w:vAlign w:val="center"/>
          </w:tcPr>
          <w:p w14:paraId="145DF48F">
            <w:pPr>
              <w:pStyle w:val="12"/>
              <w:jc w:val="left"/>
            </w:pPr>
          </w:p>
        </w:tc>
      </w:tr>
      <w:tr w14:paraId="461CBA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3C21719D">
            <w:pPr>
              <w:pStyle w:val="12"/>
              <w:jc w:val="center"/>
            </w:pPr>
            <w:r>
              <w:rPr>
                <w:rFonts w:hint="eastAsia"/>
              </w:rPr>
              <w:t>张泰金</w:t>
            </w:r>
          </w:p>
        </w:tc>
        <w:tc>
          <w:tcPr>
            <w:tcW w:w="1065" w:type="pct"/>
            <w:vAlign w:val="center"/>
          </w:tcPr>
          <w:p w14:paraId="689A450A">
            <w:pPr>
              <w:pStyle w:val="12"/>
              <w:jc w:val="center"/>
            </w:pPr>
            <w:r>
              <w:rPr>
                <w:rFonts w:hint="eastAsia"/>
              </w:rPr>
              <w:t>江头南</w:t>
            </w:r>
            <w:r>
              <w:rPr>
                <w:rFonts w:hint="eastAsia" w:ascii="宋体" w:hAnsi="宋体" w:cs="宋体"/>
              </w:rPr>
              <w:t>甫小学</w:t>
            </w:r>
          </w:p>
        </w:tc>
        <w:tc>
          <w:tcPr>
            <w:tcW w:w="853" w:type="pct"/>
            <w:vMerge w:val="continue"/>
            <w:vAlign w:val="center"/>
          </w:tcPr>
          <w:p w14:paraId="7395758F">
            <w:pPr>
              <w:pStyle w:val="12"/>
              <w:jc w:val="center"/>
            </w:pPr>
          </w:p>
        </w:tc>
        <w:tc>
          <w:tcPr>
            <w:tcW w:w="1068" w:type="pct"/>
            <w:vMerge w:val="continue"/>
            <w:vAlign w:val="center"/>
          </w:tcPr>
          <w:p w14:paraId="2F3A1131">
            <w:pPr>
              <w:pStyle w:val="12"/>
              <w:jc w:val="center"/>
            </w:pPr>
          </w:p>
        </w:tc>
        <w:tc>
          <w:tcPr>
            <w:tcW w:w="1317" w:type="pct"/>
            <w:vMerge w:val="continue"/>
            <w:vAlign w:val="center"/>
          </w:tcPr>
          <w:p w14:paraId="6172A764">
            <w:pPr>
              <w:pStyle w:val="12"/>
              <w:jc w:val="left"/>
            </w:pPr>
          </w:p>
        </w:tc>
      </w:tr>
      <w:tr w14:paraId="365BDF3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2E9F0710">
            <w:pPr>
              <w:pStyle w:val="12"/>
              <w:jc w:val="center"/>
            </w:pPr>
            <w:r>
              <w:rPr>
                <w:rFonts w:hint="eastAsia"/>
              </w:rPr>
              <w:t>黄永东</w:t>
            </w:r>
          </w:p>
        </w:tc>
        <w:tc>
          <w:tcPr>
            <w:tcW w:w="1065" w:type="pct"/>
            <w:vAlign w:val="center"/>
          </w:tcPr>
          <w:p w14:paraId="662A61EA">
            <w:pPr>
              <w:pStyle w:val="12"/>
              <w:jc w:val="center"/>
            </w:pPr>
            <w:r>
              <w:rPr>
                <w:rFonts w:hint="eastAsia"/>
              </w:rPr>
              <w:t>中共南雄县委</w:t>
            </w:r>
          </w:p>
        </w:tc>
        <w:tc>
          <w:tcPr>
            <w:tcW w:w="853" w:type="pct"/>
            <w:vMerge w:val="restart"/>
            <w:vAlign w:val="center"/>
          </w:tcPr>
          <w:p w14:paraId="6CC956DA">
            <w:pPr>
              <w:pStyle w:val="12"/>
              <w:jc w:val="center"/>
            </w:pPr>
            <w:r>
              <w:rPr>
                <w:rFonts w:hint="eastAsia"/>
              </w:rPr>
              <w:t>1989年11月</w:t>
            </w:r>
          </w:p>
        </w:tc>
        <w:tc>
          <w:tcPr>
            <w:tcW w:w="1068" w:type="pct"/>
            <w:vMerge w:val="restart"/>
            <w:vAlign w:val="center"/>
          </w:tcPr>
          <w:p w14:paraId="0B350700">
            <w:pPr>
              <w:pStyle w:val="12"/>
              <w:jc w:val="center"/>
            </w:pPr>
            <w:r>
              <w:rPr>
                <w:rFonts w:hint="eastAsia"/>
              </w:rPr>
              <w:t>国家农业部</w:t>
            </w:r>
          </w:p>
        </w:tc>
        <w:tc>
          <w:tcPr>
            <w:tcW w:w="1317" w:type="pct"/>
            <w:vMerge w:val="restart"/>
            <w:vAlign w:val="center"/>
          </w:tcPr>
          <w:p w14:paraId="798CAE65">
            <w:pPr>
              <w:pStyle w:val="12"/>
              <w:jc w:val="left"/>
            </w:pPr>
            <w:r>
              <w:rPr>
                <w:rFonts w:hint="eastAsia"/>
              </w:rPr>
              <w:t>农村能源环保优秀成果三等奖</w:t>
            </w:r>
          </w:p>
        </w:tc>
      </w:tr>
      <w:tr w14:paraId="74486B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1AB100FA">
            <w:pPr>
              <w:pStyle w:val="12"/>
              <w:jc w:val="center"/>
            </w:pPr>
            <w:r>
              <w:rPr>
                <w:rFonts w:hint="eastAsia"/>
              </w:rPr>
              <w:t>杨  红</w:t>
            </w:r>
          </w:p>
        </w:tc>
        <w:tc>
          <w:tcPr>
            <w:tcW w:w="1065" w:type="pct"/>
            <w:vMerge w:val="restart"/>
            <w:vAlign w:val="center"/>
          </w:tcPr>
          <w:p w14:paraId="60D6BEC5">
            <w:pPr>
              <w:pStyle w:val="12"/>
              <w:jc w:val="center"/>
            </w:pPr>
            <w:r>
              <w:rPr>
                <w:rFonts w:hint="eastAsia"/>
              </w:rPr>
              <w:t>县沼气办</w:t>
            </w:r>
          </w:p>
        </w:tc>
        <w:tc>
          <w:tcPr>
            <w:tcW w:w="853" w:type="pct"/>
            <w:vMerge w:val="continue"/>
            <w:vAlign w:val="center"/>
          </w:tcPr>
          <w:p w14:paraId="6B1F07B1">
            <w:pPr>
              <w:pStyle w:val="12"/>
              <w:jc w:val="center"/>
            </w:pPr>
          </w:p>
        </w:tc>
        <w:tc>
          <w:tcPr>
            <w:tcW w:w="1068" w:type="pct"/>
            <w:vMerge w:val="continue"/>
            <w:vAlign w:val="center"/>
          </w:tcPr>
          <w:p w14:paraId="22043AFD">
            <w:pPr>
              <w:pStyle w:val="12"/>
              <w:jc w:val="center"/>
            </w:pPr>
          </w:p>
        </w:tc>
        <w:tc>
          <w:tcPr>
            <w:tcW w:w="1317" w:type="pct"/>
            <w:vMerge w:val="continue"/>
            <w:vAlign w:val="center"/>
          </w:tcPr>
          <w:p w14:paraId="4FF90341">
            <w:pPr>
              <w:pStyle w:val="12"/>
              <w:jc w:val="left"/>
            </w:pPr>
          </w:p>
        </w:tc>
      </w:tr>
      <w:tr w14:paraId="035F73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34657135">
            <w:pPr>
              <w:pStyle w:val="12"/>
              <w:jc w:val="center"/>
            </w:pPr>
            <w:r>
              <w:rPr>
                <w:rFonts w:hint="eastAsia"/>
              </w:rPr>
              <w:t>叶永明</w:t>
            </w:r>
          </w:p>
        </w:tc>
        <w:tc>
          <w:tcPr>
            <w:tcW w:w="1065" w:type="pct"/>
            <w:vMerge w:val="continue"/>
            <w:vAlign w:val="center"/>
          </w:tcPr>
          <w:p w14:paraId="50DC32A9">
            <w:pPr>
              <w:pStyle w:val="12"/>
              <w:jc w:val="center"/>
            </w:pPr>
          </w:p>
        </w:tc>
        <w:tc>
          <w:tcPr>
            <w:tcW w:w="853" w:type="pct"/>
            <w:vMerge w:val="continue"/>
            <w:vAlign w:val="center"/>
          </w:tcPr>
          <w:p w14:paraId="6016520C">
            <w:pPr>
              <w:pStyle w:val="12"/>
              <w:jc w:val="center"/>
            </w:pPr>
          </w:p>
        </w:tc>
        <w:tc>
          <w:tcPr>
            <w:tcW w:w="1068" w:type="pct"/>
            <w:vMerge w:val="continue"/>
            <w:vAlign w:val="center"/>
          </w:tcPr>
          <w:p w14:paraId="04911029">
            <w:pPr>
              <w:pStyle w:val="12"/>
              <w:jc w:val="center"/>
            </w:pPr>
          </w:p>
        </w:tc>
        <w:tc>
          <w:tcPr>
            <w:tcW w:w="1317" w:type="pct"/>
            <w:vMerge w:val="continue"/>
            <w:vAlign w:val="center"/>
          </w:tcPr>
          <w:p w14:paraId="38F91FDB">
            <w:pPr>
              <w:pStyle w:val="12"/>
              <w:jc w:val="left"/>
            </w:pPr>
          </w:p>
        </w:tc>
      </w:tr>
      <w:tr w14:paraId="08CD4D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395D883B">
            <w:pPr>
              <w:pStyle w:val="12"/>
              <w:jc w:val="center"/>
            </w:pPr>
            <w:r>
              <w:rPr>
                <w:rFonts w:hint="eastAsia"/>
              </w:rPr>
              <w:t>李建辉</w:t>
            </w:r>
          </w:p>
        </w:tc>
        <w:tc>
          <w:tcPr>
            <w:tcW w:w="1065" w:type="pct"/>
            <w:vMerge w:val="continue"/>
            <w:vAlign w:val="center"/>
          </w:tcPr>
          <w:p w14:paraId="1E750BE9">
            <w:pPr>
              <w:pStyle w:val="12"/>
              <w:jc w:val="center"/>
            </w:pPr>
          </w:p>
        </w:tc>
        <w:tc>
          <w:tcPr>
            <w:tcW w:w="853" w:type="pct"/>
            <w:vMerge w:val="continue"/>
            <w:vAlign w:val="center"/>
          </w:tcPr>
          <w:p w14:paraId="20C79618">
            <w:pPr>
              <w:pStyle w:val="12"/>
              <w:jc w:val="center"/>
            </w:pPr>
          </w:p>
        </w:tc>
        <w:tc>
          <w:tcPr>
            <w:tcW w:w="1068" w:type="pct"/>
            <w:vMerge w:val="continue"/>
            <w:vAlign w:val="center"/>
          </w:tcPr>
          <w:p w14:paraId="6A945EAA">
            <w:pPr>
              <w:pStyle w:val="12"/>
              <w:jc w:val="center"/>
            </w:pPr>
          </w:p>
        </w:tc>
        <w:tc>
          <w:tcPr>
            <w:tcW w:w="1317" w:type="pct"/>
            <w:vMerge w:val="continue"/>
            <w:vAlign w:val="center"/>
          </w:tcPr>
          <w:p w14:paraId="1A9508FB">
            <w:pPr>
              <w:pStyle w:val="12"/>
              <w:jc w:val="left"/>
            </w:pPr>
          </w:p>
        </w:tc>
      </w:tr>
      <w:tr w14:paraId="1344A3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779116F3">
            <w:pPr>
              <w:pStyle w:val="12"/>
              <w:jc w:val="center"/>
            </w:pPr>
            <w:r>
              <w:rPr>
                <w:rFonts w:hint="eastAsia"/>
              </w:rPr>
              <w:t>陈万凌</w:t>
            </w:r>
          </w:p>
        </w:tc>
        <w:tc>
          <w:tcPr>
            <w:tcW w:w="1065" w:type="pct"/>
            <w:vMerge w:val="continue"/>
            <w:vAlign w:val="center"/>
          </w:tcPr>
          <w:p w14:paraId="137E9039">
            <w:pPr>
              <w:pStyle w:val="12"/>
              <w:jc w:val="center"/>
            </w:pPr>
          </w:p>
        </w:tc>
        <w:tc>
          <w:tcPr>
            <w:tcW w:w="853" w:type="pct"/>
            <w:vMerge w:val="continue"/>
            <w:vAlign w:val="center"/>
          </w:tcPr>
          <w:p w14:paraId="6C02ABBB">
            <w:pPr>
              <w:pStyle w:val="12"/>
              <w:jc w:val="center"/>
            </w:pPr>
          </w:p>
        </w:tc>
        <w:tc>
          <w:tcPr>
            <w:tcW w:w="1068" w:type="pct"/>
            <w:vMerge w:val="continue"/>
            <w:vAlign w:val="center"/>
          </w:tcPr>
          <w:p w14:paraId="2ADB7D7E">
            <w:pPr>
              <w:pStyle w:val="12"/>
              <w:jc w:val="center"/>
            </w:pPr>
          </w:p>
        </w:tc>
        <w:tc>
          <w:tcPr>
            <w:tcW w:w="1317" w:type="pct"/>
            <w:vMerge w:val="continue"/>
            <w:vAlign w:val="center"/>
          </w:tcPr>
          <w:p w14:paraId="5AE0DE0A">
            <w:pPr>
              <w:pStyle w:val="12"/>
              <w:jc w:val="left"/>
            </w:pPr>
          </w:p>
        </w:tc>
      </w:tr>
      <w:tr w14:paraId="009222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4E0F375E">
            <w:pPr>
              <w:pStyle w:val="12"/>
              <w:jc w:val="center"/>
            </w:pPr>
            <w:r>
              <w:rPr>
                <w:rFonts w:hint="eastAsia"/>
              </w:rPr>
              <w:t>彭尚权</w:t>
            </w:r>
          </w:p>
        </w:tc>
        <w:tc>
          <w:tcPr>
            <w:tcW w:w="1065" w:type="pct"/>
            <w:vAlign w:val="center"/>
          </w:tcPr>
          <w:p w14:paraId="501B8F79">
            <w:pPr>
              <w:pStyle w:val="12"/>
              <w:jc w:val="center"/>
            </w:pPr>
            <w:r>
              <w:rPr>
                <w:rFonts w:hint="eastAsia"/>
              </w:rPr>
              <w:t>县农业局</w:t>
            </w:r>
          </w:p>
        </w:tc>
        <w:tc>
          <w:tcPr>
            <w:tcW w:w="853" w:type="pct"/>
            <w:vAlign w:val="center"/>
          </w:tcPr>
          <w:p w14:paraId="2968873F">
            <w:pPr>
              <w:pStyle w:val="12"/>
              <w:jc w:val="center"/>
            </w:pPr>
            <w:r>
              <w:rPr>
                <w:rFonts w:hint="eastAsia"/>
              </w:rPr>
              <w:t>1989年8月</w:t>
            </w:r>
          </w:p>
        </w:tc>
        <w:tc>
          <w:tcPr>
            <w:tcW w:w="1068" w:type="pct"/>
            <w:vAlign w:val="center"/>
          </w:tcPr>
          <w:p w14:paraId="0A39CE34">
            <w:pPr>
              <w:pStyle w:val="12"/>
              <w:jc w:val="center"/>
            </w:pPr>
            <w:r>
              <w:rPr>
                <w:rFonts w:hint="eastAsia"/>
              </w:rPr>
              <w:t>国家农业部</w:t>
            </w:r>
          </w:p>
        </w:tc>
        <w:tc>
          <w:tcPr>
            <w:tcW w:w="1317" w:type="pct"/>
            <w:vAlign w:val="center"/>
          </w:tcPr>
          <w:p w14:paraId="1EB17177">
            <w:pPr>
              <w:pStyle w:val="12"/>
              <w:jc w:val="left"/>
            </w:pPr>
            <w:r>
              <w:rPr>
                <w:rFonts w:hint="eastAsia"/>
              </w:rPr>
              <w:t>杂交稻丰产栽培配套技术推广二等奖</w:t>
            </w:r>
          </w:p>
        </w:tc>
      </w:tr>
      <w:tr w14:paraId="67DA4D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720D01C8">
            <w:pPr>
              <w:pStyle w:val="12"/>
              <w:jc w:val="center"/>
            </w:pPr>
            <w:r>
              <w:rPr>
                <w:rFonts w:hint="eastAsia"/>
              </w:rPr>
              <w:t>王  敏</w:t>
            </w:r>
          </w:p>
        </w:tc>
        <w:tc>
          <w:tcPr>
            <w:tcW w:w="1065" w:type="pct"/>
            <w:vAlign w:val="center"/>
          </w:tcPr>
          <w:p w14:paraId="5852D99C">
            <w:pPr>
              <w:pStyle w:val="12"/>
              <w:jc w:val="center"/>
            </w:pPr>
            <w:r>
              <w:rPr>
                <w:rFonts w:hint="eastAsia"/>
              </w:rPr>
              <w:t>县计划生育委</w:t>
            </w:r>
            <w:r>
              <w:rPr>
                <w:rFonts w:hint="eastAsia" w:ascii="宋体" w:hAnsi="宋体" w:cs="宋体"/>
              </w:rPr>
              <w:t>员会办公室</w:t>
            </w:r>
          </w:p>
        </w:tc>
        <w:tc>
          <w:tcPr>
            <w:tcW w:w="853" w:type="pct"/>
            <w:vAlign w:val="center"/>
          </w:tcPr>
          <w:p w14:paraId="4352DF79">
            <w:pPr>
              <w:pStyle w:val="12"/>
              <w:jc w:val="center"/>
            </w:pPr>
            <w:r>
              <w:rPr>
                <w:rFonts w:hint="eastAsia"/>
              </w:rPr>
              <w:t>1990年11月</w:t>
            </w:r>
          </w:p>
        </w:tc>
        <w:tc>
          <w:tcPr>
            <w:tcW w:w="1068" w:type="pct"/>
            <w:vAlign w:val="center"/>
          </w:tcPr>
          <w:p w14:paraId="69B76C4B">
            <w:pPr>
              <w:pStyle w:val="12"/>
              <w:jc w:val="center"/>
            </w:pPr>
            <w:r>
              <w:rPr>
                <w:rFonts w:hint="eastAsia"/>
              </w:rPr>
              <w:t>国家计划生育</w:t>
            </w:r>
            <w:r>
              <w:rPr>
                <w:rFonts w:hint="eastAsia" w:ascii="宋体" w:hAnsi="宋体" w:cs="宋体"/>
              </w:rPr>
              <w:t>委员会、国家人事部</w:t>
            </w:r>
          </w:p>
        </w:tc>
        <w:tc>
          <w:tcPr>
            <w:tcW w:w="1317" w:type="pct"/>
            <w:vAlign w:val="center"/>
          </w:tcPr>
          <w:p w14:paraId="4A452EFE">
            <w:pPr>
              <w:pStyle w:val="12"/>
              <w:jc w:val="left"/>
            </w:pPr>
            <w:r>
              <w:rPr>
                <w:rFonts w:hint="eastAsia"/>
              </w:rPr>
              <w:t>全国优秀计划生育工作者</w:t>
            </w:r>
          </w:p>
        </w:tc>
      </w:tr>
      <w:tr w14:paraId="0E2211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03A04EB3">
            <w:pPr>
              <w:pStyle w:val="12"/>
              <w:jc w:val="center"/>
            </w:pPr>
            <w:r>
              <w:rPr>
                <w:rFonts w:hint="eastAsia"/>
              </w:rPr>
              <w:t>何光禄</w:t>
            </w:r>
          </w:p>
        </w:tc>
        <w:tc>
          <w:tcPr>
            <w:tcW w:w="1065" w:type="pct"/>
            <w:vAlign w:val="center"/>
          </w:tcPr>
          <w:p w14:paraId="04CD505F">
            <w:pPr>
              <w:pStyle w:val="12"/>
              <w:jc w:val="center"/>
            </w:pPr>
            <w:r>
              <w:rPr>
                <w:rFonts w:hint="eastAsia"/>
              </w:rPr>
              <w:t>县统计局</w:t>
            </w:r>
          </w:p>
        </w:tc>
        <w:tc>
          <w:tcPr>
            <w:tcW w:w="853" w:type="pct"/>
            <w:vMerge w:val="restart"/>
            <w:vAlign w:val="center"/>
          </w:tcPr>
          <w:p w14:paraId="07BFCAE2">
            <w:pPr>
              <w:pStyle w:val="12"/>
              <w:jc w:val="center"/>
            </w:pPr>
            <w:r>
              <w:rPr>
                <w:rFonts w:hint="eastAsia"/>
              </w:rPr>
              <w:t>1990年12月</w:t>
            </w:r>
          </w:p>
        </w:tc>
        <w:tc>
          <w:tcPr>
            <w:tcW w:w="1068" w:type="pct"/>
            <w:vMerge w:val="restart"/>
            <w:vAlign w:val="center"/>
          </w:tcPr>
          <w:p w14:paraId="65A90070">
            <w:pPr>
              <w:pStyle w:val="12"/>
              <w:jc w:val="center"/>
            </w:pPr>
            <w:r>
              <w:rPr>
                <w:rFonts w:hint="eastAsia"/>
              </w:rPr>
              <w:t>国务院第四次</w:t>
            </w:r>
            <w:r>
              <w:rPr>
                <w:rFonts w:hint="eastAsia" w:ascii="宋体" w:hAnsi="宋体" w:cs="宋体"/>
              </w:rPr>
              <w:t>人口普查领导小组</w:t>
            </w:r>
          </w:p>
        </w:tc>
        <w:tc>
          <w:tcPr>
            <w:tcW w:w="1317" w:type="pct"/>
            <w:vMerge w:val="restart"/>
            <w:vAlign w:val="center"/>
          </w:tcPr>
          <w:p w14:paraId="1D5C8AD4">
            <w:pPr>
              <w:pStyle w:val="12"/>
              <w:jc w:val="left"/>
            </w:pPr>
            <w:r>
              <w:rPr>
                <w:rFonts w:hint="eastAsia"/>
              </w:rPr>
              <w:t>全国人口普查先进工作者</w:t>
            </w:r>
          </w:p>
        </w:tc>
      </w:tr>
      <w:tr w14:paraId="2EA42F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7E143B46">
            <w:pPr>
              <w:pStyle w:val="12"/>
              <w:jc w:val="center"/>
            </w:pPr>
            <w:r>
              <w:rPr>
                <w:rFonts w:hint="eastAsia"/>
              </w:rPr>
              <w:t>黄履斌</w:t>
            </w:r>
          </w:p>
        </w:tc>
        <w:tc>
          <w:tcPr>
            <w:tcW w:w="1065" w:type="pct"/>
            <w:vAlign w:val="center"/>
          </w:tcPr>
          <w:p w14:paraId="1E357926">
            <w:pPr>
              <w:pStyle w:val="12"/>
              <w:jc w:val="center"/>
            </w:pPr>
            <w:r>
              <w:rPr>
                <w:rFonts w:hint="eastAsia"/>
              </w:rPr>
              <w:t>黎口乡政府</w:t>
            </w:r>
          </w:p>
        </w:tc>
        <w:tc>
          <w:tcPr>
            <w:tcW w:w="853" w:type="pct"/>
            <w:vMerge w:val="continue"/>
            <w:vAlign w:val="center"/>
          </w:tcPr>
          <w:p w14:paraId="6A88C4DE">
            <w:pPr>
              <w:pStyle w:val="12"/>
              <w:jc w:val="center"/>
            </w:pPr>
          </w:p>
        </w:tc>
        <w:tc>
          <w:tcPr>
            <w:tcW w:w="1068" w:type="pct"/>
            <w:vMerge w:val="continue"/>
            <w:vAlign w:val="center"/>
          </w:tcPr>
          <w:p w14:paraId="4812F5D1">
            <w:pPr>
              <w:pStyle w:val="12"/>
              <w:jc w:val="center"/>
            </w:pPr>
          </w:p>
        </w:tc>
        <w:tc>
          <w:tcPr>
            <w:tcW w:w="1317" w:type="pct"/>
            <w:vMerge w:val="continue"/>
            <w:vAlign w:val="center"/>
          </w:tcPr>
          <w:p w14:paraId="0C352815">
            <w:pPr>
              <w:pStyle w:val="12"/>
              <w:jc w:val="left"/>
            </w:pPr>
          </w:p>
        </w:tc>
      </w:tr>
      <w:tr w14:paraId="4C3D50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4315229E">
            <w:pPr>
              <w:pStyle w:val="12"/>
              <w:jc w:val="center"/>
            </w:pPr>
            <w:r>
              <w:rPr>
                <w:rFonts w:hint="eastAsia"/>
              </w:rPr>
              <w:t>黄慕琼</w:t>
            </w:r>
          </w:p>
        </w:tc>
        <w:tc>
          <w:tcPr>
            <w:tcW w:w="1065" w:type="pct"/>
            <w:vAlign w:val="center"/>
          </w:tcPr>
          <w:p w14:paraId="7CA653BD">
            <w:pPr>
              <w:pStyle w:val="12"/>
              <w:jc w:val="center"/>
            </w:pPr>
            <w:r>
              <w:rPr>
                <w:rFonts w:hint="eastAsia"/>
              </w:rPr>
              <w:t>雄州镇政府</w:t>
            </w:r>
          </w:p>
        </w:tc>
        <w:tc>
          <w:tcPr>
            <w:tcW w:w="853" w:type="pct"/>
            <w:vMerge w:val="continue"/>
            <w:vAlign w:val="center"/>
          </w:tcPr>
          <w:p w14:paraId="2CCB1F51">
            <w:pPr>
              <w:pStyle w:val="12"/>
              <w:jc w:val="center"/>
            </w:pPr>
          </w:p>
        </w:tc>
        <w:tc>
          <w:tcPr>
            <w:tcW w:w="1068" w:type="pct"/>
            <w:vMerge w:val="continue"/>
            <w:vAlign w:val="center"/>
          </w:tcPr>
          <w:p w14:paraId="2C1CE599">
            <w:pPr>
              <w:pStyle w:val="12"/>
              <w:jc w:val="center"/>
            </w:pPr>
          </w:p>
        </w:tc>
        <w:tc>
          <w:tcPr>
            <w:tcW w:w="1317" w:type="pct"/>
            <w:vMerge w:val="continue"/>
            <w:vAlign w:val="center"/>
          </w:tcPr>
          <w:p w14:paraId="59055CBC">
            <w:pPr>
              <w:pStyle w:val="12"/>
              <w:jc w:val="left"/>
            </w:pPr>
          </w:p>
        </w:tc>
      </w:tr>
      <w:tr w14:paraId="3B7B10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33152F37">
            <w:pPr>
              <w:pStyle w:val="12"/>
              <w:jc w:val="center"/>
            </w:pPr>
            <w:r>
              <w:rPr>
                <w:rFonts w:hint="eastAsia"/>
              </w:rPr>
              <w:t>梁斌</w:t>
            </w:r>
          </w:p>
        </w:tc>
        <w:tc>
          <w:tcPr>
            <w:tcW w:w="1065" w:type="pct"/>
            <w:vAlign w:val="center"/>
          </w:tcPr>
          <w:p w14:paraId="3E6F8733">
            <w:pPr>
              <w:pStyle w:val="12"/>
              <w:jc w:val="center"/>
            </w:pPr>
            <w:r>
              <w:rPr>
                <w:rFonts w:hint="eastAsia"/>
              </w:rPr>
              <w:t>黄坑镇政府</w:t>
            </w:r>
          </w:p>
        </w:tc>
        <w:tc>
          <w:tcPr>
            <w:tcW w:w="853" w:type="pct"/>
            <w:vMerge w:val="continue"/>
            <w:vAlign w:val="center"/>
          </w:tcPr>
          <w:p w14:paraId="5D031D09">
            <w:pPr>
              <w:pStyle w:val="12"/>
              <w:jc w:val="center"/>
            </w:pPr>
          </w:p>
        </w:tc>
        <w:tc>
          <w:tcPr>
            <w:tcW w:w="1068" w:type="pct"/>
            <w:vMerge w:val="continue"/>
            <w:vAlign w:val="center"/>
          </w:tcPr>
          <w:p w14:paraId="5C7ADDB3">
            <w:pPr>
              <w:pStyle w:val="12"/>
              <w:jc w:val="center"/>
            </w:pPr>
          </w:p>
        </w:tc>
        <w:tc>
          <w:tcPr>
            <w:tcW w:w="1317" w:type="pct"/>
            <w:vMerge w:val="continue"/>
            <w:vAlign w:val="center"/>
          </w:tcPr>
          <w:p w14:paraId="3FFDF350">
            <w:pPr>
              <w:pStyle w:val="12"/>
              <w:jc w:val="left"/>
            </w:pPr>
          </w:p>
        </w:tc>
      </w:tr>
      <w:tr w14:paraId="131F02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63BF03D4">
            <w:pPr>
              <w:pStyle w:val="12"/>
              <w:jc w:val="center"/>
            </w:pPr>
            <w:r>
              <w:rPr>
                <w:rFonts w:hint="eastAsia"/>
              </w:rPr>
              <w:t>余小海</w:t>
            </w:r>
          </w:p>
        </w:tc>
        <w:tc>
          <w:tcPr>
            <w:tcW w:w="1065" w:type="pct"/>
            <w:vAlign w:val="center"/>
          </w:tcPr>
          <w:p w14:paraId="7C7E10EF">
            <w:pPr>
              <w:pStyle w:val="12"/>
              <w:jc w:val="center"/>
            </w:pPr>
            <w:r>
              <w:rPr>
                <w:rFonts w:hint="eastAsia"/>
              </w:rPr>
              <w:t>永康路小学</w:t>
            </w:r>
          </w:p>
        </w:tc>
        <w:tc>
          <w:tcPr>
            <w:tcW w:w="853" w:type="pct"/>
            <w:vAlign w:val="center"/>
          </w:tcPr>
          <w:p w14:paraId="2D40DFE9">
            <w:pPr>
              <w:pStyle w:val="12"/>
              <w:jc w:val="center"/>
            </w:pPr>
            <w:r>
              <w:rPr>
                <w:rFonts w:hint="eastAsia"/>
              </w:rPr>
              <w:t>1991年</w:t>
            </w:r>
          </w:p>
        </w:tc>
        <w:tc>
          <w:tcPr>
            <w:tcW w:w="1068" w:type="pct"/>
            <w:vAlign w:val="center"/>
          </w:tcPr>
          <w:p w14:paraId="44AE0E38">
            <w:pPr>
              <w:pStyle w:val="12"/>
              <w:jc w:val="center"/>
            </w:pPr>
            <w:r>
              <w:rPr>
                <w:rFonts w:hint="eastAsia"/>
              </w:rPr>
              <w:t>国家教育委员会</w:t>
            </w:r>
          </w:p>
        </w:tc>
        <w:tc>
          <w:tcPr>
            <w:tcW w:w="1317" w:type="pct"/>
            <w:vAlign w:val="center"/>
          </w:tcPr>
          <w:p w14:paraId="0EEF6BEE">
            <w:pPr>
              <w:pStyle w:val="12"/>
              <w:jc w:val="left"/>
            </w:pPr>
            <w:r>
              <w:rPr>
                <w:rFonts w:hint="eastAsia"/>
              </w:rPr>
              <w:t>全国优秀教师</w:t>
            </w:r>
          </w:p>
        </w:tc>
      </w:tr>
      <w:tr w14:paraId="55EE9D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432A3409">
            <w:pPr>
              <w:pStyle w:val="12"/>
              <w:jc w:val="center"/>
            </w:pPr>
            <w:r>
              <w:rPr>
                <w:rFonts w:hint="eastAsia"/>
              </w:rPr>
              <w:t>丘人英</w:t>
            </w:r>
          </w:p>
        </w:tc>
        <w:tc>
          <w:tcPr>
            <w:tcW w:w="1065" w:type="pct"/>
            <w:vAlign w:val="center"/>
          </w:tcPr>
          <w:p w14:paraId="048B936F">
            <w:pPr>
              <w:pStyle w:val="12"/>
              <w:jc w:val="center"/>
            </w:pPr>
            <w:r>
              <w:rPr>
                <w:rFonts w:hint="eastAsia"/>
              </w:rPr>
              <w:t>县工商银行</w:t>
            </w:r>
          </w:p>
        </w:tc>
        <w:tc>
          <w:tcPr>
            <w:tcW w:w="853" w:type="pct"/>
            <w:vAlign w:val="center"/>
          </w:tcPr>
          <w:p w14:paraId="65E18F1A">
            <w:pPr>
              <w:pStyle w:val="12"/>
              <w:jc w:val="center"/>
            </w:pPr>
            <w:r>
              <w:rPr>
                <w:rFonts w:hint="eastAsia"/>
              </w:rPr>
              <w:t>1991年1月</w:t>
            </w:r>
          </w:p>
        </w:tc>
        <w:tc>
          <w:tcPr>
            <w:tcW w:w="1068" w:type="pct"/>
            <w:vAlign w:val="center"/>
          </w:tcPr>
          <w:p w14:paraId="51CB7A7B">
            <w:pPr>
              <w:pStyle w:val="12"/>
              <w:jc w:val="center"/>
            </w:pPr>
            <w:r>
              <w:rPr>
                <w:rFonts w:hint="eastAsia"/>
              </w:rPr>
              <w:t>中国工商银行</w:t>
            </w:r>
          </w:p>
        </w:tc>
        <w:tc>
          <w:tcPr>
            <w:tcW w:w="1317" w:type="pct"/>
            <w:vAlign w:val="center"/>
          </w:tcPr>
          <w:p w14:paraId="70F71500">
            <w:pPr>
              <w:pStyle w:val="12"/>
              <w:jc w:val="left"/>
            </w:pPr>
            <w:r>
              <w:rPr>
                <w:rFonts w:hint="eastAsia"/>
              </w:rPr>
              <w:t>文明优秀服务标兵</w:t>
            </w:r>
          </w:p>
        </w:tc>
      </w:tr>
      <w:tr w14:paraId="265012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5FF31B00">
            <w:pPr>
              <w:pStyle w:val="12"/>
              <w:jc w:val="center"/>
            </w:pPr>
            <w:r>
              <w:rPr>
                <w:rFonts w:hint="eastAsia"/>
              </w:rPr>
              <w:t>丁卫东</w:t>
            </w:r>
          </w:p>
        </w:tc>
        <w:tc>
          <w:tcPr>
            <w:tcW w:w="1065" w:type="pct"/>
            <w:vAlign w:val="center"/>
          </w:tcPr>
          <w:p w14:paraId="505F6DFC">
            <w:pPr>
              <w:pStyle w:val="12"/>
              <w:jc w:val="center"/>
            </w:pPr>
            <w:r>
              <w:rPr>
                <w:rFonts w:hint="eastAsia"/>
              </w:rPr>
              <w:t>湖口镇长</w:t>
            </w:r>
            <w:r>
              <w:rPr>
                <w:rFonts w:hint="eastAsia" w:ascii="宋体" w:hAnsi="宋体" w:cs="宋体"/>
              </w:rPr>
              <w:t>市管理区</w:t>
            </w:r>
          </w:p>
        </w:tc>
        <w:tc>
          <w:tcPr>
            <w:tcW w:w="853" w:type="pct"/>
            <w:vMerge w:val="restart"/>
            <w:vAlign w:val="center"/>
          </w:tcPr>
          <w:p w14:paraId="3E17C5A5">
            <w:pPr>
              <w:pStyle w:val="12"/>
              <w:jc w:val="center"/>
            </w:pPr>
            <w:r>
              <w:rPr>
                <w:rFonts w:hint="eastAsia"/>
              </w:rPr>
              <w:t>1991年5月</w:t>
            </w:r>
          </w:p>
        </w:tc>
        <w:tc>
          <w:tcPr>
            <w:tcW w:w="1068" w:type="pct"/>
            <w:vMerge w:val="restart"/>
            <w:vAlign w:val="center"/>
          </w:tcPr>
          <w:p w14:paraId="73E3449E">
            <w:pPr>
              <w:pStyle w:val="12"/>
              <w:jc w:val="center"/>
            </w:pPr>
            <w:r>
              <w:rPr>
                <w:rFonts w:hint="eastAsia"/>
              </w:rPr>
              <w:t>共青团中央委</w:t>
            </w:r>
            <w:r>
              <w:rPr>
                <w:rFonts w:hint="eastAsia" w:ascii="宋体" w:hAnsi="宋体" w:cs="宋体"/>
              </w:rPr>
              <w:t>员会、国家科学技术委员会</w:t>
            </w:r>
          </w:p>
        </w:tc>
        <w:tc>
          <w:tcPr>
            <w:tcW w:w="1317" w:type="pct"/>
            <w:vMerge w:val="restart"/>
            <w:vAlign w:val="center"/>
          </w:tcPr>
          <w:p w14:paraId="751DB9C6">
            <w:pPr>
              <w:pStyle w:val="12"/>
              <w:jc w:val="left"/>
            </w:pPr>
            <w:r>
              <w:rPr>
                <w:rFonts w:hint="eastAsia"/>
              </w:rPr>
              <w:t>全国优秀青年星火带头人</w:t>
            </w:r>
          </w:p>
        </w:tc>
      </w:tr>
      <w:tr w14:paraId="2FC27B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68B45179">
            <w:pPr>
              <w:pStyle w:val="12"/>
              <w:jc w:val="center"/>
            </w:pPr>
            <w:r>
              <w:rPr>
                <w:rFonts w:hint="eastAsia"/>
              </w:rPr>
              <w:t>谢崇龙</w:t>
            </w:r>
          </w:p>
        </w:tc>
        <w:tc>
          <w:tcPr>
            <w:tcW w:w="1065" w:type="pct"/>
            <w:vAlign w:val="center"/>
          </w:tcPr>
          <w:p w14:paraId="309BBD70">
            <w:pPr>
              <w:pStyle w:val="12"/>
              <w:jc w:val="center"/>
            </w:pPr>
            <w:r>
              <w:rPr>
                <w:rFonts w:hint="eastAsia"/>
              </w:rPr>
              <w:t>雄州镇河</w:t>
            </w:r>
            <w:r>
              <w:rPr>
                <w:rFonts w:hint="eastAsia" w:ascii="宋体" w:hAnsi="宋体" w:cs="宋体"/>
              </w:rPr>
              <w:t>南管理区</w:t>
            </w:r>
          </w:p>
        </w:tc>
        <w:tc>
          <w:tcPr>
            <w:tcW w:w="853" w:type="pct"/>
            <w:vMerge w:val="continue"/>
            <w:vAlign w:val="center"/>
          </w:tcPr>
          <w:p w14:paraId="6264C991">
            <w:pPr>
              <w:pStyle w:val="12"/>
              <w:jc w:val="center"/>
            </w:pPr>
          </w:p>
        </w:tc>
        <w:tc>
          <w:tcPr>
            <w:tcW w:w="1068" w:type="pct"/>
            <w:vMerge w:val="continue"/>
            <w:vAlign w:val="center"/>
          </w:tcPr>
          <w:p w14:paraId="633FE576">
            <w:pPr>
              <w:pStyle w:val="12"/>
              <w:jc w:val="center"/>
            </w:pPr>
          </w:p>
        </w:tc>
        <w:tc>
          <w:tcPr>
            <w:tcW w:w="1317" w:type="pct"/>
            <w:vMerge w:val="continue"/>
            <w:vAlign w:val="center"/>
          </w:tcPr>
          <w:p w14:paraId="5807B2A9">
            <w:pPr>
              <w:pStyle w:val="12"/>
              <w:jc w:val="left"/>
            </w:pPr>
          </w:p>
        </w:tc>
      </w:tr>
      <w:tr w14:paraId="17ECF31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47C27B75">
            <w:pPr>
              <w:pStyle w:val="12"/>
              <w:jc w:val="center"/>
            </w:pPr>
            <w:r>
              <w:rPr>
                <w:rFonts w:hint="eastAsia"/>
              </w:rPr>
              <w:t>罗时飞</w:t>
            </w:r>
          </w:p>
        </w:tc>
        <w:tc>
          <w:tcPr>
            <w:tcW w:w="1065" w:type="pct"/>
            <w:vAlign w:val="center"/>
          </w:tcPr>
          <w:p w14:paraId="1C963EA5">
            <w:pPr>
              <w:pStyle w:val="12"/>
              <w:jc w:val="center"/>
            </w:pPr>
            <w:r>
              <w:rPr>
                <w:rFonts w:hint="eastAsia"/>
              </w:rPr>
              <w:t>县商业五</w:t>
            </w:r>
            <w:r>
              <w:rPr>
                <w:rFonts w:hint="eastAsia" w:ascii="宋体" w:hAnsi="宋体" w:cs="宋体"/>
              </w:rPr>
              <w:t>金公司</w:t>
            </w:r>
          </w:p>
        </w:tc>
        <w:tc>
          <w:tcPr>
            <w:tcW w:w="853" w:type="pct"/>
            <w:vAlign w:val="center"/>
          </w:tcPr>
          <w:p w14:paraId="3A719A9B">
            <w:pPr>
              <w:pStyle w:val="12"/>
              <w:jc w:val="center"/>
            </w:pPr>
            <w:r>
              <w:rPr>
                <w:rFonts w:hint="eastAsia"/>
              </w:rPr>
              <w:t>1991年1月</w:t>
            </w:r>
          </w:p>
        </w:tc>
        <w:tc>
          <w:tcPr>
            <w:tcW w:w="1068" w:type="pct"/>
            <w:vAlign w:val="center"/>
          </w:tcPr>
          <w:p w14:paraId="172A0E61">
            <w:pPr>
              <w:pStyle w:val="12"/>
              <w:jc w:val="center"/>
            </w:pPr>
            <w:r>
              <w:rPr>
                <w:rFonts w:hint="eastAsia"/>
              </w:rPr>
              <w:t>国家物价局</w:t>
            </w:r>
            <w:r>
              <w:rPr>
                <w:rFonts w:hint="eastAsia" w:ascii="宋体" w:hAnsi="宋体" w:cs="宋体"/>
              </w:rPr>
              <w:t>中华全国总工会</w:t>
            </w:r>
          </w:p>
        </w:tc>
        <w:tc>
          <w:tcPr>
            <w:tcW w:w="1317" w:type="pct"/>
            <w:vAlign w:val="center"/>
          </w:tcPr>
          <w:p w14:paraId="3458DC98">
            <w:pPr>
              <w:pStyle w:val="12"/>
              <w:jc w:val="left"/>
            </w:pPr>
            <w:r>
              <w:rPr>
                <w:rFonts w:hint="eastAsia"/>
              </w:rPr>
              <w:t>物价监督工作先进个人</w:t>
            </w:r>
          </w:p>
        </w:tc>
      </w:tr>
      <w:tr w14:paraId="3D15DF9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2280EAAA">
            <w:pPr>
              <w:pStyle w:val="12"/>
              <w:jc w:val="center"/>
            </w:pPr>
            <w:r>
              <w:rPr>
                <w:rFonts w:hint="eastAsia"/>
              </w:rPr>
              <w:t>陈亿财</w:t>
            </w:r>
          </w:p>
        </w:tc>
        <w:tc>
          <w:tcPr>
            <w:tcW w:w="1065" w:type="pct"/>
            <w:vAlign w:val="center"/>
          </w:tcPr>
          <w:p w14:paraId="4E87C689">
            <w:pPr>
              <w:pStyle w:val="12"/>
              <w:jc w:val="center"/>
            </w:pPr>
            <w:r>
              <w:rPr>
                <w:rFonts w:hint="eastAsia"/>
              </w:rPr>
              <w:t>县人民银行</w:t>
            </w:r>
          </w:p>
        </w:tc>
        <w:tc>
          <w:tcPr>
            <w:tcW w:w="853" w:type="pct"/>
            <w:vAlign w:val="center"/>
          </w:tcPr>
          <w:p w14:paraId="48EAF389">
            <w:pPr>
              <w:pStyle w:val="12"/>
              <w:jc w:val="center"/>
            </w:pPr>
            <w:r>
              <w:rPr>
                <w:rFonts w:hint="eastAsia"/>
              </w:rPr>
              <w:t>1991年9月</w:t>
            </w:r>
          </w:p>
        </w:tc>
        <w:tc>
          <w:tcPr>
            <w:tcW w:w="1068" w:type="pct"/>
            <w:vAlign w:val="center"/>
          </w:tcPr>
          <w:p w14:paraId="7ABA72B8">
            <w:pPr>
              <w:pStyle w:val="12"/>
              <w:jc w:val="center"/>
            </w:pPr>
            <w:r>
              <w:rPr>
                <w:rFonts w:hint="eastAsia"/>
              </w:rPr>
              <w:t>中国人民银行、中国</w:t>
            </w:r>
            <w:r>
              <w:rPr>
                <w:rFonts w:hint="eastAsia" w:ascii="宋体" w:hAnsi="宋体" w:cs="宋体"/>
              </w:rPr>
              <w:t>人民银行工会委员会</w:t>
            </w:r>
          </w:p>
        </w:tc>
        <w:tc>
          <w:tcPr>
            <w:tcW w:w="1317" w:type="pct"/>
            <w:vAlign w:val="center"/>
          </w:tcPr>
          <w:p w14:paraId="3492CC87">
            <w:pPr>
              <w:pStyle w:val="12"/>
              <w:jc w:val="left"/>
            </w:pPr>
            <w:r>
              <w:rPr>
                <w:rFonts w:hint="eastAsia"/>
              </w:rPr>
              <w:t>全国货币发行先进工作者</w:t>
            </w:r>
          </w:p>
        </w:tc>
      </w:tr>
      <w:tr w14:paraId="13C842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591BBB55">
            <w:pPr>
              <w:pStyle w:val="12"/>
              <w:jc w:val="center"/>
            </w:pPr>
            <w:r>
              <w:rPr>
                <w:rFonts w:hint="eastAsia"/>
              </w:rPr>
              <w:t>郑惠彰</w:t>
            </w:r>
          </w:p>
        </w:tc>
        <w:tc>
          <w:tcPr>
            <w:tcW w:w="1065" w:type="pct"/>
            <w:vAlign w:val="center"/>
          </w:tcPr>
          <w:p w14:paraId="06552ABE">
            <w:pPr>
              <w:pStyle w:val="12"/>
              <w:jc w:val="center"/>
            </w:pPr>
            <w:r>
              <w:rPr>
                <w:rFonts w:hint="eastAsia"/>
              </w:rPr>
              <w:t>县农业局</w:t>
            </w:r>
          </w:p>
        </w:tc>
        <w:tc>
          <w:tcPr>
            <w:tcW w:w="853" w:type="pct"/>
            <w:vAlign w:val="center"/>
          </w:tcPr>
          <w:p w14:paraId="11611EAD">
            <w:pPr>
              <w:pStyle w:val="12"/>
              <w:jc w:val="center"/>
            </w:pPr>
            <w:r>
              <w:rPr>
                <w:rFonts w:hint="eastAsia"/>
              </w:rPr>
              <w:t>1992年1月</w:t>
            </w:r>
          </w:p>
        </w:tc>
        <w:tc>
          <w:tcPr>
            <w:tcW w:w="1068" w:type="pct"/>
            <w:vAlign w:val="center"/>
          </w:tcPr>
          <w:p w14:paraId="16D30CF3">
            <w:pPr>
              <w:pStyle w:val="12"/>
              <w:jc w:val="center"/>
            </w:pPr>
            <w:r>
              <w:rPr>
                <w:rFonts w:hint="eastAsia"/>
              </w:rPr>
              <w:t>国家农业部</w:t>
            </w:r>
          </w:p>
        </w:tc>
        <w:tc>
          <w:tcPr>
            <w:tcW w:w="1317" w:type="pct"/>
            <w:vAlign w:val="center"/>
          </w:tcPr>
          <w:p w14:paraId="650EAE84">
            <w:pPr>
              <w:pStyle w:val="12"/>
              <w:jc w:val="left"/>
            </w:pPr>
            <w:r>
              <w:rPr>
                <w:rFonts w:hint="eastAsia"/>
              </w:rPr>
              <w:t>“振兴农业”先进个人</w:t>
            </w:r>
          </w:p>
        </w:tc>
      </w:tr>
      <w:tr w14:paraId="4EEB00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1915EC7A">
            <w:pPr>
              <w:pStyle w:val="12"/>
              <w:jc w:val="center"/>
            </w:pPr>
            <w:r>
              <w:rPr>
                <w:rFonts w:hint="eastAsia"/>
              </w:rPr>
              <w:t>吴俊成</w:t>
            </w:r>
          </w:p>
        </w:tc>
        <w:tc>
          <w:tcPr>
            <w:tcW w:w="1065" w:type="pct"/>
            <w:vAlign w:val="center"/>
          </w:tcPr>
          <w:p w14:paraId="5A23F21A">
            <w:pPr>
              <w:pStyle w:val="12"/>
              <w:jc w:val="center"/>
            </w:pPr>
            <w:r>
              <w:rPr>
                <w:rFonts w:hint="eastAsia"/>
              </w:rPr>
              <w:t>县绿化委员</w:t>
            </w:r>
            <w:r>
              <w:rPr>
                <w:rFonts w:hint="eastAsia" w:ascii="宋体" w:hAnsi="宋体" w:cs="宋体"/>
              </w:rPr>
              <w:t>会办公室</w:t>
            </w:r>
          </w:p>
        </w:tc>
        <w:tc>
          <w:tcPr>
            <w:tcW w:w="853" w:type="pct"/>
            <w:vAlign w:val="center"/>
          </w:tcPr>
          <w:p w14:paraId="3DE16A68">
            <w:pPr>
              <w:pStyle w:val="12"/>
              <w:jc w:val="center"/>
            </w:pPr>
            <w:r>
              <w:rPr>
                <w:rFonts w:hint="eastAsia"/>
              </w:rPr>
              <w:t>1992年3月</w:t>
            </w:r>
          </w:p>
        </w:tc>
        <w:tc>
          <w:tcPr>
            <w:tcW w:w="1068" w:type="pct"/>
            <w:vAlign w:val="center"/>
          </w:tcPr>
          <w:p w14:paraId="759EE893">
            <w:pPr>
              <w:pStyle w:val="12"/>
              <w:jc w:val="center"/>
            </w:pPr>
            <w:r>
              <w:rPr>
                <w:rFonts w:hint="eastAsia"/>
              </w:rPr>
              <w:t>全国绿化委员会</w:t>
            </w:r>
          </w:p>
        </w:tc>
        <w:tc>
          <w:tcPr>
            <w:tcW w:w="1317" w:type="pct"/>
            <w:vAlign w:val="center"/>
          </w:tcPr>
          <w:p w14:paraId="6BB15F89">
            <w:pPr>
              <w:pStyle w:val="12"/>
              <w:jc w:val="left"/>
            </w:pPr>
            <w:r>
              <w:rPr>
                <w:rFonts w:hint="eastAsia"/>
              </w:rPr>
              <w:t>全国绿化奖章</w:t>
            </w:r>
          </w:p>
        </w:tc>
      </w:tr>
      <w:tr w14:paraId="06A2BD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620C95D0">
            <w:pPr>
              <w:pStyle w:val="12"/>
              <w:jc w:val="center"/>
            </w:pPr>
            <w:r>
              <w:rPr>
                <w:rFonts w:hint="eastAsia"/>
              </w:rPr>
              <w:t>赖荣丰</w:t>
            </w:r>
          </w:p>
        </w:tc>
        <w:tc>
          <w:tcPr>
            <w:tcW w:w="1065" w:type="pct"/>
            <w:vAlign w:val="center"/>
          </w:tcPr>
          <w:p w14:paraId="5F87FCBF">
            <w:pPr>
              <w:pStyle w:val="12"/>
              <w:jc w:val="center"/>
            </w:pPr>
            <w:r>
              <w:rPr>
                <w:rFonts w:hint="eastAsia"/>
              </w:rPr>
              <w:t>湖口农技站</w:t>
            </w:r>
          </w:p>
        </w:tc>
        <w:tc>
          <w:tcPr>
            <w:tcW w:w="853" w:type="pct"/>
            <w:vAlign w:val="center"/>
          </w:tcPr>
          <w:p w14:paraId="3D95A661">
            <w:pPr>
              <w:pStyle w:val="12"/>
              <w:jc w:val="center"/>
            </w:pPr>
            <w:r>
              <w:rPr>
                <w:rFonts w:hint="eastAsia"/>
              </w:rPr>
              <w:t>1992年9月</w:t>
            </w:r>
          </w:p>
        </w:tc>
        <w:tc>
          <w:tcPr>
            <w:tcW w:w="1068" w:type="pct"/>
            <w:vAlign w:val="center"/>
          </w:tcPr>
          <w:p w14:paraId="74B8C30D">
            <w:pPr>
              <w:pStyle w:val="12"/>
              <w:jc w:val="center"/>
            </w:pPr>
            <w:r>
              <w:rPr>
                <w:rFonts w:hint="eastAsia"/>
              </w:rPr>
              <w:t>国家农业部</w:t>
            </w:r>
          </w:p>
        </w:tc>
        <w:tc>
          <w:tcPr>
            <w:tcW w:w="1317" w:type="pct"/>
            <w:vAlign w:val="center"/>
          </w:tcPr>
          <w:p w14:paraId="5C6FE655">
            <w:pPr>
              <w:pStyle w:val="12"/>
              <w:jc w:val="left"/>
            </w:pPr>
            <w:r>
              <w:rPr>
                <w:rFonts w:hint="eastAsia"/>
              </w:rPr>
              <w:t>农业技术推广先进工作者</w:t>
            </w:r>
          </w:p>
        </w:tc>
      </w:tr>
      <w:tr w14:paraId="17C31ED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5248BC91">
            <w:pPr>
              <w:pStyle w:val="12"/>
              <w:jc w:val="center"/>
            </w:pPr>
            <w:r>
              <w:rPr>
                <w:rFonts w:hint="eastAsia"/>
              </w:rPr>
              <w:t>董明发</w:t>
            </w:r>
          </w:p>
        </w:tc>
        <w:tc>
          <w:tcPr>
            <w:tcW w:w="1065" w:type="pct"/>
            <w:vAlign w:val="center"/>
          </w:tcPr>
          <w:p w14:paraId="1BA7C274">
            <w:pPr>
              <w:pStyle w:val="12"/>
              <w:jc w:val="center"/>
            </w:pPr>
            <w:r>
              <w:rPr>
                <w:rFonts w:hint="eastAsia"/>
              </w:rPr>
              <w:t>核工业部</w:t>
            </w:r>
            <w:r>
              <w:rPr>
                <w:rFonts w:hint="eastAsia" w:ascii="宋体" w:hAnsi="宋体" w:cs="宋体"/>
              </w:rPr>
              <w:t>二九七厂</w:t>
            </w:r>
          </w:p>
        </w:tc>
        <w:tc>
          <w:tcPr>
            <w:tcW w:w="853" w:type="pct"/>
            <w:vAlign w:val="center"/>
          </w:tcPr>
          <w:p w14:paraId="7278B9E2">
            <w:pPr>
              <w:pStyle w:val="12"/>
              <w:jc w:val="center"/>
            </w:pPr>
            <w:r>
              <w:rPr>
                <w:rFonts w:hint="eastAsia"/>
              </w:rPr>
              <w:t>1992年</w:t>
            </w:r>
          </w:p>
        </w:tc>
        <w:tc>
          <w:tcPr>
            <w:tcW w:w="1068" w:type="pct"/>
            <w:vAlign w:val="center"/>
          </w:tcPr>
          <w:p w14:paraId="7D231DE9">
            <w:pPr>
              <w:pStyle w:val="12"/>
              <w:jc w:val="center"/>
            </w:pPr>
            <w:r>
              <w:rPr>
                <w:rFonts w:hint="eastAsia"/>
              </w:rPr>
              <w:t>国家核工业部</w:t>
            </w:r>
          </w:p>
        </w:tc>
        <w:tc>
          <w:tcPr>
            <w:tcW w:w="1317" w:type="pct"/>
            <w:vAlign w:val="center"/>
          </w:tcPr>
          <w:p w14:paraId="7962F8C9">
            <w:pPr>
              <w:pStyle w:val="12"/>
              <w:jc w:val="left"/>
            </w:pPr>
            <w:r>
              <w:rPr>
                <w:rFonts w:hint="eastAsia"/>
              </w:rPr>
              <w:t>科学技术进步三等奖</w:t>
            </w:r>
          </w:p>
        </w:tc>
      </w:tr>
      <w:tr w14:paraId="3D94B8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03294961">
            <w:pPr>
              <w:pStyle w:val="12"/>
              <w:jc w:val="center"/>
            </w:pPr>
            <w:r>
              <w:rPr>
                <w:rFonts w:hint="eastAsia"/>
              </w:rPr>
              <w:t>陈相林</w:t>
            </w:r>
          </w:p>
        </w:tc>
        <w:tc>
          <w:tcPr>
            <w:tcW w:w="1065" w:type="pct"/>
            <w:vAlign w:val="center"/>
          </w:tcPr>
          <w:p w14:paraId="3EE26DE6">
            <w:pPr>
              <w:pStyle w:val="12"/>
              <w:jc w:val="center"/>
            </w:pPr>
            <w:r>
              <w:rPr>
                <w:rFonts w:hint="eastAsia"/>
              </w:rPr>
              <w:t>南雄中学</w:t>
            </w:r>
          </w:p>
        </w:tc>
        <w:tc>
          <w:tcPr>
            <w:tcW w:w="853" w:type="pct"/>
            <w:vAlign w:val="center"/>
          </w:tcPr>
          <w:p w14:paraId="130DB88E">
            <w:pPr>
              <w:pStyle w:val="12"/>
              <w:jc w:val="center"/>
            </w:pPr>
            <w:r>
              <w:rPr>
                <w:rFonts w:hint="eastAsia"/>
              </w:rPr>
              <w:t>1993年</w:t>
            </w:r>
          </w:p>
        </w:tc>
        <w:tc>
          <w:tcPr>
            <w:tcW w:w="1068" w:type="pct"/>
            <w:vAlign w:val="center"/>
          </w:tcPr>
          <w:p w14:paraId="5E2BB8A2">
            <w:pPr>
              <w:pStyle w:val="12"/>
              <w:jc w:val="center"/>
            </w:pPr>
            <w:r>
              <w:rPr>
                <w:rFonts w:hint="eastAsia"/>
              </w:rPr>
              <w:t>国家教育委员会</w:t>
            </w:r>
          </w:p>
        </w:tc>
        <w:tc>
          <w:tcPr>
            <w:tcW w:w="1317" w:type="pct"/>
            <w:vAlign w:val="center"/>
          </w:tcPr>
          <w:p w14:paraId="2B8B7119">
            <w:pPr>
              <w:pStyle w:val="12"/>
              <w:jc w:val="left"/>
            </w:pPr>
            <w:r>
              <w:rPr>
                <w:rFonts w:hint="eastAsia"/>
              </w:rPr>
              <w:t>全国优秀教师</w:t>
            </w:r>
          </w:p>
        </w:tc>
      </w:tr>
      <w:tr w14:paraId="116FCE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6B71887B">
            <w:pPr>
              <w:pStyle w:val="12"/>
              <w:jc w:val="center"/>
            </w:pPr>
            <w:r>
              <w:rPr>
                <w:rFonts w:hint="eastAsia"/>
              </w:rPr>
              <w:t>李选福</w:t>
            </w:r>
          </w:p>
        </w:tc>
        <w:tc>
          <w:tcPr>
            <w:tcW w:w="1065" w:type="pct"/>
            <w:vAlign w:val="center"/>
          </w:tcPr>
          <w:p w14:paraId="3B2CCA8E">
            <w:pPr>
              <w:pStyle w:val="12"/>
              <w:jc w:val="center"/>
            </w:pPr>
            <w:r>
              <w:rPr>
                <w:rFonts w:hint="eastAsia"/>
              </w:rPr>
              <w:t>县工商行</w:t>
            </w:r>
            <w:r>
              <w:rPr>
                <w:rFonts w:hint="eastAsia" w:ascii="宋体" w:hAnsi="宋体" w:cs="宋体"/>
              </w:rPr>
              <w:t>政管理局</w:t>
            </w:r>
          </w:p>
        </w:tc>
        <w:tc>
          <w:tcPr>
            <w:tcW w:w="853" w:type="pct"/>
            <w:vAlign w:val="center"/>
          </w:tcPr>
          <w:p w14:paraId="3CF777BC">
            <w:pPr>
              <w:pStyle w:val="12"/>
              <w:jc w:val="center"/>
            </w:pPr>
            <w:r>
              <w:rPr>
                <w:rFonts w:hint="eastAsia"/>
              </w:rPr>
              <w:t>1993年3月</w:t>
            </w:r>
          </w:p>
        </w:tc>
        <w:tc>
          <w:tcPr>
            <w:tcW w:w="1068" w:type="pct"/>
            <w:vAlign w:val="center"/>
          </w:tcPr>
          <w:p w14:paraId="0796D732">
            <w:pPr>
              <w:pStyle w:val="12"/>
              <w:jc w:val="center"/>
            </w:pPr>
            <w:r>
              <w:rPr>
                <w:rFonts w:hint="eastAsia"/>
              </w:rPr>
              <w:t>国家工商行政管理局</w:t>
            </w:r>
          </w:p>
        </w:tc>
        <w:tc>
          <w:tcPr>
            <w:tcW w:w="1317" w:type="pct"/>
            <w:vAlign w:val="center"/>
          </w:tcPr>
          <w:p w14:paraId="222AA74E">
            <w:pPr>
              <w:pStyle w:val="12"/>
              <w:jc w:val="left"/>
            </w:pPr>
            <w:r>
              <w:rPr>
                <w:rFonts w:hint="eastAsia"/>
              </w:rPr>
              <w:t>全国优秀工商行政管理人员</w:t>
            </w:r>
          </w:p>
        </w:tc>
      </w:tr>
      <w:tr w14:paraId="1E2BBF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Merge w:val="restart"/>
            <w:vAlign w:val="center"/>
          </w:tcPr>
          <w:p w14:paraId="2B49AEB7">
            <w:pPr>
              <w:pStyle w:val="12"/>
              <w:jc w:val="center"/>
            </w:pPr>
            <w:r>
              <w:rPr>
                <w:rFonts w:hint="eastAsia"/>
              </w:rPr>
              <w:t>郭盛森</w:t>
            </w:r>
          </w:p>
        </w:tc>
        <w:tc>
          <w:tcPr>
            <w:tcW w:w="1065" w:type="pct"/>
            <w:vMerge w:val="restart"/>
            <w:vAlign w:val="center"/>
          </w:tcPr>
          <w:p w14:paraId="79E75005">
            <w:pPr>
              <w:pStyle w:val="12"/>
              <w:jc w:val="center"/>
            </w:pPr>
            <w:r>
              <w:rPr>
                <w:rFonts w:hint="eastAsia"/>
              </w:rPr>
              <w:t>县税务局</w:t>
            </w:r>
          </w:p>
        </w:tc>
        <w:tc>
          <w:tcPr>
            <w:tcW w:w="853" w:type="pct"/>
            <w:vAlign w:val="center"/>
          </w:tcPr>
          <w:p w14:paraId="2F3E5EE4">
            <w:pPr>
              <w:pStyle w:val="12"/>
              <w:jc w:val="center"/>
            </w:pPr>
            <w:r>
              <w:rPr>
                <w:rFonts w:hint="eastAsia"/>
              </w:rPr>
              <w:t>1990年4月</w:t>
            </w:r>
          </w:p>
        </w:tc>
        <w:tc>
          <w:tcPr>
            <w:tcW w:w="1068" w:type="pct"/>
            <w:vAlign w:val="center"/>
          </w:tcPr>
          <w:p w14:paraId="0153054C">
            <w:pPr>
              <w:pStyle w:val="12"/>
              <w:jc w:val="center"/>
            </w:pPr>
            <w:r>
              <w:rPr>
                <w:rFonts w:hint="eastAsia"/>
              </w:rPr>
              <w:t>国家税务总局、共青团</w:t>
            </w:r>
            <w:r>
              <w:rPr>
                <w:rFonts w:hint="eastAsia" w:ascii="宋体" w:hAnsi="宋体" w:cs="宋体"/>
              </w:rPr>
              <w:t>中央委员会、全国总工会</w:t>
            </w:r>
          </w:p>
        </w:tc>
        <w:tc>
          <w:tcPr>
            <w:tcW w:w="1317" w:type="pct"/>
            <w:vAlign w:val="center"/>
          </w:tcPr>
          <w:p w14:paraId="18FE1D55">
            <w:pPr>
              <w:pStyle w:val="12"/>
              <w:jc w:val="left"/>
            </w:pPr>
            <w:r>
              <w:rPr>
                <w:rFonts w:hint="eastAsia"/>
              </w:rPr>
              <w:t>全国税法宣传活动先进工作者</w:t>
            </w:r>
          </w:p>
        </w:tc>
      </w:tr>
      <w:tr w14:paraId="65C4CB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Merge w:val="continue"/>
            <w:vAlign w:val="center"/>
          </w:tcPr>
          <w:p w14:paraId="2A09DF3C">
            <w:pPr>
              <w:pStyle w:val="12"/>
              <w:jc w:val="center"/>
            </w:pPr>
          </w:p>
        </w:tc>
        <w:tc>
          <w:tcPr>
            <w:tcW w:w="1065" w:type="pct"/>
            <w:vMerge w:val="continue"/>
            <w:vAlign w:val="center"/>
          </w:tcPr>
          <w:p w14:paraId="5BFC3C3D">
            <w:pPr>
              <w:pStyle w:val="12"/>
              <w:jc w:val="center"/>
            </w:pPr>
          </w:p>
        </w:tc>
        <w:tc>
          <w:tcPr>
            <w:tcW w:w="853" w:type="pct"/>
            <w:vAlign w:val="center"/>
          </w:tcPr>
          <w:p w14:paraId="39FBC73D">
            <w:pPr>
              <w:pStyle w:val="12"/>
              <w:jc w:val="center"/>
            </w:pPr>
            <w:r>
              <w:rPr>
                <w:rFonts w:hint="eastAsia"/>
              </w:rPr>
              <w:t>1993年10月</w:t>
            </w:r>
          </w:p>
        </w:tc>
        <w:tc>
          <w:tcPr>
            <w:tcW w:w="1068" w:type="pct"/>
            <w:vAlign w:val="center"/>
          </w:tcPr>
          <w:p w14:paraId="000A8C29">
            <w:pPr>
              <w:pStyle w:val="12"/>
              <w:jc w:val="center"/>
            </w:pPr>
            <w:r>
              <w:rPr>
                <w:rFonts w:hint="eastAsia"/>
              </w:rPr>
              <w:t>国家税务总局</w:t>
            </w:r>
            <w:r>
              <w:rPr>
                <w:rFonts w:hint="eastAsia" w:ascii="宋体" w:hAnsi="宋体" w:cs="宋体"/>
              </w:rPr>
              <w:t>国家人事部</w:t>
            </w:r>
          </w:p>
        </w:tc>
        <w:tc>
          <w:tcPr>
            <w:tcW w:w="1317" w:type="pct"/>
            <w:vAlign w:val="center"/>
          </w:tcPr>
          <w:p w14:paraId="252F59F1">
            <w:pPr>
              <w:pStyle w:val="12"/>
              <w:jc w:val="center"/>
            </w:pPr>
            <w:r>
              <w:rPr>
                <w:rFonts w:hint="eastAsia"/>
              </w:rPr>
              <w:t>全国税务系统先进工作者</w:t>
            </w:r>
          </w:p>
        </w:tc>
      </w:tr>
      <w:tr w14:paraId="470E25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66F138BE">
            <w:pPr>
              <w:pStyle w:val="12"/>
              <w:jc w:val="center"/>
            </w:pPr>
            <w:r>
              <w:rPr>
                <w:rFonts w:hint="eastAsia"/>
              </w:rPr>
              <w:t>叶永明</w:t>
            </w:r>
          </w:p>
        </w:tc>
        <w:tc>
          <w:tcPr>
            <w:tcW w:w="1065" w:type="pct"/>
            <w:vMerge w:val="restart"/>
            <w:vAlign w:val="center"/>
          </w:tcPr>
          <w:p w14:paraId="2A8F4E0B">
            <w:pPr>
              <w:pStyle w:val="12"/>
              <w:jc w:val="center"/>
            </w:pPr>
            <w:r>
              <w:rPr>
                <w:rFonts w:hint="eastAsia"/>
              </w:rPr>
              <w:t>县沼气办公室</w:t>
            </w:r>
          </w:p>
        </w:tc>
        <w:tc>
          <w:tcPr>
            <w:tcW w:w="853" w:type="pct"/>
            <w:vMerge w:val="restart"/>
            <w:vAlign w:val="center"/>
          </w:tcPr>
          <w:p w14:paraId="0B19C6BA">
            <w:pPr>
              <w:pStyle w:val="12"/>
              <w:jc w:val="center"/>
            </w:pPr>
            <w:r>
              <w:rPr>
                <w:rFonts w:hint="eastAsia"/>
              </w:rPr>
              <w:t>1993年10月</w:t>
            </w:r>
          </w:p>
        </w:tc>
        <w:tc>
          <w:tcPr>
            <w:tcW w:w="1068" w:type="pct"/>
            <w:vMerge w:val="restart"/>
            <w:vAlign w:val="center"/>
          </w:tcPr>
          <w:p w14:paraId="089B25C5">
            <w:pPr>
              <w:pStyle w:val="12"/>
              <w:jc w:val="center"/>
            </w:pPr>
            <w:r>
              <w:rPr>
                <w:rFonts w:hint="eastAsia"/>
              </w:rPr>
              <w:t>国家农业部</w:t>
            </w:r>
          </w:p>
        </w:tc>
        <w:tc>
          <w:tcPr>
            <w:tcW w:w="1317" w:type="pct"/>
            <w:vMerge w:val="restart"/>
            <w:vAlign w:val="center"/>
          </w:tcPr>
          <w:p w14:paraId="2CAF6742">
            <w:pPr>
              <w:pStyle w:val="12"/>
              <w:jc w:val="left"/>
            </w:pPr>
            <w:r>
              <w:rPr>
                <w:rFonts w:hint="eastAsia"/>
              </w:rPr>
              <w:t>全国省柴节煤先进工作者</w:t>
            </w:r>
          </w:p>
        </w:tc>
      </w:tr>
      <w:tr w14:paraId="29D95D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7F69DC1E">
            <w:pPr>
              <w:pStyle w:val="12"/>
              <w:jc w:val="center"/>
            </w:pPr>
            <w:r>
              <w:rPr>
                <w:rFonts w:hint="eastAsia"/>
              </w:rPr>
              <w:t>魏华生</w:t>
            </w:r>
          </w:p>
        </w:tc>
        <w:tc>
          <w:tcPr>
            <w:tcW w:w="1065" w:type="pct"/>
            <w:vMerge w:val="continue"/>
            <w:vAlign w:val="center"/>
          </w:tcPr>
          <w:p w14:paraId="2A95C2C8">
            <w:pPr>
              <w:pStyle w:val="12"/>
              <w:jc w:val="center"/>
            </w:pPr>
          </w:p>
        </w:tc>
        <w:tc>
          <w:tcPr>
            <w:tcW w:w="853" w:type="pct"/>
            <w:vMerge w:val="continue"/>
            <w:vAlign w:val="center"/>
          </w:tcPr>
          <w:p w14:paraId="07DE5D31">
            <w:pPr>
              <w:pStyle w:val="12"/>
              <w:jc w:val="center"/>
            </w:pPr>
          </w:p>
        </w:tc>
        <w:tc>
          <w:tcPr>
            <w:tcW w:w="1068" w:type="pct"/>
            <w:vMerge w:val="continue"/>
            <w:vAlign w:val="center"/>
          </w:tcPr>
          <w:p w14:paraId="69BDC963">
            <w:pPr>
              <w:pStyle w:val="12"/>
              <w:jc w:val="center"/>
            </w:pPr>
          </w:p>
        </w:tc>
        <w:tc>
          <w:tcPr>
            <w:tcW w:w="1317" w:type="pct"/>
            <w:vMerge w:val="continue"/>
            <w:vAlign w:val="center"/>
          </w:tcPr>
          <w:p w14:paraId="2E3D7A5D">
            <w:pPr>
              <w:pStyle w:val="12"/>
              <w:jc w:val="left"/>
            </w:pPr>
          </w:p>
        </w:tc>
      </w:tr>
      <w:tr w14:paraId="06729D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5BF08DD4">
            <w:pPr>
              <w:pStyle w:val="12"/>
              <w:jc w:val="center"/>
            </w:pPr>
            <w:r>
              <w:rPr>
                <w:rFonts w:hint="eastAsia"/>
              </w:rPr>
              <w:t>陈万凌</w:t>
            </w:r>
          </w:p>
        </w:tc>
        <w:tc>
          <w:tcPr>
            <w:tcW w:w="1065" w:type="pct"/>
            <w:vAlign w:val="center"/>
          </w:tcPr>
          <w:p w14:paraId="2B46BCFF">
            <w:pPr>
              <w:pStyle w:val="12"/>
              <w:jc w:val="center"/>
            </w:pPr>
            <w:r>
              <w:rPr>
                <w:rFonts w:hint="eastAsia"/>
              </w:rPr>
              <w:t>县水土保持委</w:t>
            </w:r>
            <w:r>
              <w:rPr>
                <w:rFonts w:hint="eastAsia" w:ascii="宋体" w:hAnsi="宋体" w:cs="宋体"/>
              </w:rPr>
              <w:t>员会办公室</w:t>
            </w:r>
          </w:p>
        </w:tc>
        <w:tc>
          <w:tcPr>
            <w:tcW w:w="853" w:type="pct"/>
            <w:vAlign w:val="center"/>
          </w:tcPr>
          <w:p w14:paraId="07C7B573">
            <w:pPr>
              <w:pStyle w:val="12"/>
              <w:jc w:val="center"/>
            </w:pPr>
            <w:r>
              <w:rPr>
                <w:rFonts w:hint="eastAsia"/>
              </w:rPr>
              <w:t>1993年11月</w:t>
            </w:r>
          </w:p>
        </w:tc>
        <w:tc>
          <w:tcPr>
            <w:tcW w:w="1068" w:type="pct"/>
            <w:vAlign w:val="center"/>
          </w:tcPr>
          <w:p w14:paraId="78E59C7B">
            <w:pPr>
              <w:pStyle w:val="12"/>
              <w:jc w:val="center"/>
            </w:pPr>
            <w:r>
              <w:rPr>
                <w:rFonts w:hint="eastAsia"/>
              </w:rPr>
              <w:t>国家水利部</w:t>
            </w:r>
          </w:p>
        </w:tc>
        <w:tc>
          <w:tcPr>
            <w:tcW w:w="1317" w:type="pct"/>
            <w:vAlign w:val="center"/>
          </w:tcPr>
          <w:p w14:paraId="06AC7E53">
            <w:pPr>
              <w:pStyle w:val="12"/>
              <w:jc w:val="left"/>
            </w:pPr>
            <w:r>
              <w:rPr>
                <w:rFonts w:hint="eastAsia"/>
              </w:rPr>
              <w:t>水土保持预防监督执法第一批试点先进个人</w:t>
            </w:r>
          </w:p>
        </w:tc>
      </w:tr>
      <w:tr w14:paraId="71017C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4A2210DA">
            <w:pPr>
              <w:pStyle w:val="12"/>
              <w:jc w:val="center"/>
            </w:pPr>
            <w:r>
              <w:rPr>
                <w:rFonts w:hint="eastAsia"/>
              </w:rPr>
              <w:t>江青粦</w:t>
            </w:r>
          </w:p>
        </w:tc>
        <w:tc>
          <w:tcPr>
            <w:tcW w:w="1065" w:type="pct"/>
            <w:vAlign w:val="center"/>
          </w:tcPr>
          <w:p w14:paraId="5776F803">
            <w:pPr>
              <w:pStyle w:val="12"/>
              <w:jc w:val="center"/>
            </w:pPr>
            <w:r>
              <w:rPr>
                <w:rFonts w:hint="eastAsia"/>
              </w:rPr>
              <w:t>中共南雄县委</w:t>
            </w:r>
          </w:p>
        </w:tc>
        <w:tc>
          <w:tcPr>
            <w:tcW w:w="853" w:type="pct"/>
            <w:vMerge w:val="restart"/>
            <w:vAlign w:val="center"/>
          </w:tcPr>
          <w:p w14:paraId="7DA9890D">
            <w:pPr>
              <w:pStyle w:val="12"/>
              <w:jc w:val="center"/>
            </w:pPr>
            <w:r>
              <w:rPr>
                <w:rFonts w:hint="eastAsia"/>
              </w:rPr>
              <w:t>1993年12月</w:t>
            </w:r>
          </w:p>
        </w:tc>
        <w:tc>
          <w:tcPr>
            <w:tcW w:w="1068" w:type="pct"/>
            <w:vMerge w:val="restart"/>
            <w:vAlign w:val="center"/>
          </w:tcPr>
          <w:p w14:paraId="6173E7DF">
            <w:pPr>
              <w:pStyle w:val="12"/>
              <w:jc w:val="center"/>
            </w:pPr>
            <w:r>
              <w:rPr>
                <w:rFonts w:hint="eastAsia"/>
              </w:rPr>
              <w:t>国家林业局</w:t>
            </w:r>
            <w:r>
              <w:rPr>
                <w:rFonts w:hint="eastAsia" w:ascii="宋体" w:hAnsi="宋体" w:cs="宋体"/>
              </w:rPr>
              <w:t>国家人事部</w:t>
            </w:r>
          </w:p>
        </w:tc>
        <w:tc>
          <w:tcPr>
            <w:tcW w:w="1317" w:type="pct"/>
            <w:vMerge w:val="restart"/>
            <w:vAlign w:val="center"/>
          </w:tcPr>
          <w:p w14:paraId="462A4F07">
            <w:pPr>
              <w:pStyle w:val="12"/>
              <w:jc w:val="left"/>
            </w:pPr>
            <w:r>
              <w:rPr>
                <w:rFonts w:hint="eastAsia"/>
              </w:rPr>
              <w:t>三年无山火先进个人</w:t>
            </w:r>
          </w:p>
        </w:tc>
      </w:tr>
      <w:tr w14:paraId="39934F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0D707E52">
            <w:pPr>
              <w:pStyle w:val="12"/>
              <w:jc w:val="center"/>
            </w:pPr>
            <w:r>
              <w:rPr>
                <w:rFonts w:hint="eastAsia"/>
              </w:rPr>
              <w:t>沈学柏</w:t>
            </w:r>
          </w:p>
        </w:tc>
        <w:tc>
          <w:tcPr>
            <w:tcW w:w="1065" w:type="pct"/>
            <w:vAlign w:val="center"/>
          </w:tcPr>
          <w:p w14:paraId="13A299FA">
            <w:pPr>
              <w:pStyle w:val="12"/>
              <w:jc w:val="center"/>
            </w:pPr>
            <w:r>
              <w:rPr>
                <w:rFonts w:hint="eastAsia"/>
              </w:rPr>
              <w:t>县人民政府</w:t>
            </w:r>
          </w:p>
        </w:tc>
        <w:tc>
          <w:tcPr>
            <w:tcW w:w="853" w:type="pct"/>
            <w:vMerge w:val="continue"/>
            <w:vAlign w:val="center"/>
          </w:tcPr>
          <w:p w14:paraId="140C8914">
            <w:pPr>
              <w:pStyle w:val="12"/>
              <w:jc w:val="center"/>
            </w:pPr>
          </w:p>
        </w:tc>
        <w:tc>
          <w:tcPr>
            <w:tcW w:w="1068" w:type="pct"/>
            <w:vMerge w:val="continue"/>
            <w:vAlign w:val="center"/>
          </w:tcPr>
          <w:p w14:paraId="643E638D">
            <w:pPr>
              <w:pStyle w:val="12"/>
              <w:jc w:val="center"/>
            </w:pPr>
          </w:p>
        </w:tc>
        <w:tc>
          <w:tcPr>
            <w:tcW w:w="1317" w:type="pct"/>
            <w:vMerge w:val="continue"/>
            <w:vAlign w:val="center"/>
          </w:tcPr>
          <w:p w14:paraId="6A9E16FA">
            <w:pPr>
              <w:pStyle w:val="12"/>
              <w:jc w:val="left"/>
            </w:pPr>
          </w:p>
        </w:tc>
      </w:tr>
      <w:tr w14:paraId="439371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4A289695">
            <w:pPr>
              <w:pStyle w:val="12"/>
              <w:jc w:val="center"/>
            </w:pPr>
            <w:r>
              <w:rPr>
                <w:rFonts w:hint="eastAsia"/>
              </w:rPr>
              <w:t>郭凌盛</w:t>
            </w:r>
          </w:p>
        </w:tc>
        <w:tc>
          <w:tcPr>
            <w:tcW w:w="1065" w:type="pct"/>
            <w:vAlign w:val="center"/>
          </w:tcPr>
          <w:p w14:paraId="220B784F">
            <w:pPr>
              <w:pStyle w:val="12"/>
              <w:jc w:val="center"/>
            </w:pPr>
            <w:r>
              <w:rPr>
                <w:rFonts w:hint="eastAsia"/>
              </w:rPr>
              <w:t>县林业局</w:t>
            </w:r>
          </w:p>
        </w:tc>
        <w:tc>
          <w:tcPr>
            <w:tcW w:w="853" w:type="pct"/>
            <w:vMerge w:val="continue"/>
            <w:vAlign w:val="center"/>
          </w:tcPr>
          <w:p w14:paraId="0EF195FA">
            <w:pPr>
              <w:pStyle w:val="12"/>
              <w:jc w:val="center"/>
            </w:pPr>
          </w:p>
        </w:tc>
        <w:tc>
          <w:tcPr>
            <w:tcW w:w="1068" w:type="pct"/>
            <w:vMerge w:val="continue"/>
            <w:vAlign w:val="center"/>
          </w:tcPr>
          <w:p w14:paraId="13EB8CA1">
            <w:pPr>
              <w:pStyle w:val="12"/>
              <w:jc w:val="center"/>
            </w:pPr>
          </w:p>
        </w:tc>
        <w:tc>
          <w:tcPr>
            <w:tcW w:w="1317" w:type="pct"/>
            <w:vMerge w:val="continue"/>
            <w:vAlign w:val="center"/>
          </w:tcPr>
          <w:p w14:paraId="19656C6F">
            <w:pPr>
              <w:pStyle w:val="12"/>
              <w:jc w:val="left"/>
            </w:pPr>
          </w:p>
        </w:tc>
      </w:tr>
      <w:tr w14:paraId="124449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7C46E8CF">
            <w:pPr>
              <w:pStyle w:val="12"/>
              <w:jc w:val="center"/>
            </w:pPr>
            <w:r>
              <w:rPr>
                <w:rFonts w:hint="eastAsia"/>
              </w:rPr>
              <w:t>陈道勇</w:t>
            </w:r>
          </w:p>
        </w:tc>
        <w:tc>
          <w:tcPr>
            <w:tcW w:w="1065" w:type="pct"/>
            <w:vAlign w:val="center"/>
          </w:tcPr>
          <w:p w14:paraId="52D69B18">
            <w:pPr>
              <w:pStyle w:val="12"/>
              <w:jc w:val="center"/>
            </w:pPr>
            <w:r>
              <w:rPr>
                <w:rFonts w:hint="eastAsia"/>
              </w:rPr>
              <w:t>南雄卷烟厂</w:t>
            </w:r>
          </w:p>
        </w:tc>
        <w:tc>
          <w:tcPr>
            <w:tcW w:w="853" w:type="pct"/>
            <w:vAlign w:val="center"/>
          </w:tcPr>
          <w:p w14:paraId="5B46F9AB">
            <w:pPr>
              <w:pStyle w:val="12"/>
              <w:jc w:val="center"/>
            </w:pPr>
            <w:r>
              <w:rPr>
                <w:rFonts w:hint="eastAsia"/>
              </w:rPr>
              <w:t>1993年12月</w:t>
            </w:r>
          </w:p>
        </w:tc>
        <w:tc>
          <w:tcPr>
            <w:tcW w:w="1068" w:type="pct"/>
            <w:vAlign w:val="center"/>
          </w:tcPr>
          <w:p w14:paraId="6627DF19">
            <w:pPr>
              <w:pStyle w:val="12"/>
              <w:jc w:val="center"/>
            </w:pPr>
            <w:r>
              <w:rPr>
                <w:rFonts w:hint="eastAsia"/>
              </w:rPr>
              <w:t>中国烟草总公司</w:t>
            </w:r>
          </w:p>
        </w:tc>
        <w:tc>
          <w:tcPr>
            <w:tcW w:w="1317" w:type="pct"/>
            <w:vAlign w:val="center"/>
          </w:tcPr>
          <w:p w14:paraId="56086935">
            <w:pPr>
              <w:pStyle w:val="12"/>
              <w:jc w:val="left"/>
            </w:pPr>
            <w:r>
              <w:rPr>
                <w:rFonts w:hint="eastAsia"/>
              </w:rPr>
              <w:t>全国烟草行业思想政治先进工作者</w:t>
            </w:r>
          </w:p>
        </w:tc>
      </w:tr>
      <w:tr w14:paraId="42ECD8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213FE2E4">
            <w:pPr>
              <w:pStyle w:val="12"/>
              <w:jc w:val="center"/>
            </w:pPr>
            <w:r>
              <w:rPr>
                <w:rFonts w:hint="eastAsia"/>
              </w:rPr>
              <w:t>肖水石</w:t>
            </w:r>
          </w:p>
        </w:tc>
        <w:tc>
          <w:tcPr>
            <w:tcW w:w="1065" w:type="pct"/>
            <w:vAlign w:val="center"/>
          </w:tcPr>
          <w:p w14:paraId="24375EB9">
            <w:pPr>
              <w:pStyle w:val="12"/>
              <w:jc w:val="center"/>
            </w:pPr>
            <w:r>
              <w:rPr>
                <w:rFonts w:hint="eastAsia"/>
              </w:rPr>
              <w:t>县人民武装部</w:t>
            </w:r>
          </w:p>
        </w:tc>
        <w:tc>
          <w:tcPr>
            <w:tcW w:w="853" w:type="pct"/>
            <w:vAlign w:val="center"/>
          </w:tcPr>
          <w:p w14:paraId="7DE15A47">
            <w:pPr>
              <w:pStyle w:val="12"/>
              <w:jc w:val="center"/>
            </w:pPr>
            <w:r>
              <w:rPr>
                <w:rFonts w:hint="eastAsia"/>
              </w:rPr>
              <w:t>1993年12月</w:t>
            </w:r>
          </w:p>
        </w:tc>
        <w:tc>
          <w:tcPr>
            <w:tcW w:w="1068" w:type="pct"/>
            <w:vAlign w:val="center"/>
          </w:tcPr>
          <w:p w14:paraId="6F1D862B">
            <w:pPr>
              <w:pStyle w:val="12"/>
              <w:jc w:val="center"/>
            </w:pPr>
            <w:r>
              <w:rPr>
                <w:rFonts w:hint="eastAsia"/>
              </w:rPr>
              <w:t>中国人民解放军</w:t>
            </w:r>
            <w:r>
              <w:rPr>
                <w:rFonts w:hint="eastAsia" w:ascii="宋体" w:hAnsi="宋体" w:cs="宋体"/>
              </w:rPr>
              <w:t>总参谋部</w:t>
            </w:r>
          </w:p>
        </w:tc>
        <w:tc>
          <w:tcPr>
            <w:tcW w:w="1317" w:type="pct"/>
            <w:vAlign w:val="center"/>
          </w:tcPr>
          <w:p w14:paraId="23559B12">
            <w:pPr>
              <w:pStyle w:val="12"/>
              <w:jc w:val="left"/>
            </w:pPr>
            <w:r>
              <w:rPr>
                <w:rFonts w:hint="eastAsia"/>
              </w:rPr>
              <w:t>优秀“四会”教练员</w:t>
            </w:r>
          </w:p>
        </w:tc>
      </w:tr>
      <w:tr w14:paraId="3A7CCD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638AC9B9">
            <w:pPr>
              <w:pStyle w:val="12"/>
              <w:jc w:val="center"/>
            </w:pPr>
            <w:r>
              <w:rPr>
                <w:rFonts w:hint="eastAsia"/>
              </w:rPr>
              <w:t>陈尚群</w:t>
            </w:r>
          </w:p>
        </w:tc>
        <w:tc>
          <w:tcPr>
            <w:tcW w:w="1065" w:type="pct"/>
            <w:vAlign w:val="center"/>
          </w:tcPr>
          <w:p w14:paraId="1A1777A1">
            <w:pPr>
              <w:pStyle w:val="12"/>
              <w:jc w:val="center"/>
            </w:pPr>
            <w:r>
              <w:rPr>
                <w:rFonts w:hint="eastAsia"/>
              </w:rPr>
              <w:t>县农村社会</w:t>
            </w:r>
            <w:r>
              <w:rPr>
                <w:rFonts w:hint="eastAsia" w:ascii="宋体" w:hAnsi="宋体" w:cs="宋体"/>
              </w:rPr>
              <w:t>经济调查队</w:t>
            </w:r>
          </w:p>
        </w:tc>
        <w:tc>
          <w:tcPr>
            <w:tcW w:w="853" w:type="pct"/>
            <w:vAlign w:val="center"/>
          </w:tcPr>
          <w:p w14:paraId="166DE3D5">
            <w:pPr>
              <w:pStyle w:val="12"/>
              <w:jc w:val="center"/>
            </w:pPr>
            <w:r>
              <w:rPr>
                <w:rFonts w:hint="eastAsia"/>
              </w:rPr>
              <w:t>1994年3月</w:t>
            </w:r>
          </w:p>
        </w:tc>
        <w:tc>
          <w:tcPr>
            <w:tcW w:w="1068" w:type="pct"/>
            <w:vAlign w:val="center"/>
          </w:tcPr>
          <w:p w14:paraId="6F3DDB2D">
            <w:pPr>
              <w:pStyle w:val="12"/>
              <w:jc w:val="center"/>
            </w:pPr>
            <w:r>
              <w:rPr>
                <w:rFonts w:hint="eastAsia"/>
              </w:rPr>
              <w:t>国家统计局农村</w:t>
            </w:r>
            <w:r>
              <w:rPr>
                <w:rFonts w:hint="eastAsia" w:ascii="宋体" w:hAnsi="宋体" w:cs="宋体"/>
              </w:rPr>
              <w:t>社会经济调查队</w:t>
            </w:r>
          </w:p>
        </w:tc>
        <w:tc>
          <w:tcPr>
            <w:tcW w:w="1317" w:type="pct"/>
            <w:vAlign w:val="center"/>
          </w:tcPr>
          <w:p w14:paraId="1C25D76F">
            <w:pPr>
              <w:pStyle w:val="12"/>
              <w:jc w:val="left"/>
            </w:pPr>
            <w:r>
              <w:rPr>
                <w:rFonts w:hint="eastAsia"/>
              </w:rPr>
              <w:t>全国农调工作先进个人</w:t>
            </w:r>
          </w:p>
        </w:tc>
      </w:tr>
      <w:tr w14:paraId="0C9954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2B659770">
            <w:pPr>
              <w:pStyle w:val="12"/>
              <w:jc w:val="center"/>
            </w:pPr>
            <w:r>
              <w:rPr>
                <w:rFonts w:hint="eastAsia"/>
              </w:rPr>
              <w:t>钟祥华</w:t>
            </w:r>
          </w:p>
        </w:tc>
        <w:tc>
          <w:tcPr>
            <w:tcW w:w="1065" w:type="pct"/>
            <w:vAlign w:val="center"/>
          </w:tcPr>
          <w:p w14:paraId="230E6B82">
            <w:pPr>
              <w:pStyle w:val="12"/>
              <w:jc w:val="center"/>
            </w:pPr>
            <w:r>
              <w:rPr>
                <w:rFonts w:hint="eastAsia"/>
              </w:rPr>
              <w:t>县卫生局</w:t>
            </w:r>
          </w:p>
        </w:tc>
        <w:tc>
          <w:tcPr>
            <w:tcW w:w="853" w:type="pct"/>
            <w:vAlign w:val="center"/>
          </w:tcPr>
          <w:p w14:paraId="7BF1FCAB">
            <w:pPr>
              <w:pStyle w:val="12"/>
              <w:jc w:val="center"/>
            </w:pPr>
            <w:r>
              <w:rPr>
                <w:rFonts w:hint="eastAsia"/>
              </w:rPr>
              <w:t>1994年3月</w:t>
            </w:r>
          </w:p>
        </w:tc>
        <w:tc>
          <w:tcPr>
            <w:tcW w:w="1068" w:type="pct"/>
            <w:vAlign w:val="center"/>
          </w:tcPr>
          <w:p w14:paraId="23E893B4">
            <w:pPr>
              <w:pStyle w:val="12"/>
              <w:jc w:val="center"/>
            </w:pPr>
            <w:r>
              <w:rPr>
                <w:rFonts w:hint="eastAsia"/>
              </w:rPr>
              <w:t>国务院全国第三</w:t>
            </w:r>
            <w:r>
              <w:rPr>
                <w:rFonts w:hint="eastAsia" w:ascii="宋体" w:hAnsi="宋体" w:cs="宋体"/>
              </w:rPr>
              <w:t>产业普查协调小组</w:t>
            </w:r>
          </w:p>
        </w:tc>
        <w:tc>
          <w:tcPr>
            <w:tcW w:w="1317" w:type="pct"/>
            <w:vAlign w:val="center"/>
          </w:tcPr>
          <w:p w14:paraId="4285825A">
            <w:pPr>
              <w:pStyle w:val="12"/>
              <w:jc w:val="left"/>
            </w:pPr>
            <w:r>
              <w:rPr>
                <w:rFonts w:hint="eastAsia"/>
              </w:rPr>
              <w:t>国家级第三产业普查先进工作者</w:t>
            </w:r>
          </w:p>
        </w:tc>
      </w:tr>
      <w:tr w14:paraId="5F452B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63728974">
            <w:pPr>
              <w:pStyle w:val="12"/>
              <w:jc w:val="center"/>
            </w:pPr>
            <w:r>
              <w:rPr>
                <w:rFonts w:hint="eastAsia"/>
              </w:rPr>
              <w:t>刘宏信</w:t>
            </w:r>
          </w:p>
        </w:tc>
        <w:tc>
          <w:tcPr>
            <w:tcW w:w="1065" w:type="pct"/>
            <w:vAlign w:val="center"/>
          </w:tcPr>
          <w:p w14:paraId="5FE6D683">
            <w:pPr>
              <w:pStyle w:val="12"/>
              <w:jc w:val="center"/>
            </w:pPr>
            <w:r>
              <w:rPr>
                <w:rFonts w:hint="eastAsia"/>
              </w:rPr>
              <w:t>全安粮管所</w:t>
            </w:r>
          </w:p>
        </w:tc>
        <w:tc>
          <w:tcPr>
            <w:tcW w:w="853" w:type="pct"/>
            <w:vAlign w:val="center"/>
          </w:tcPr>
          <w:p w14:paraId="3710C6D2">
            <w:pPr>
              <w:pStyle w:val="12"/>
              <w:jc w:val="center"/>
            </w:pPr>
            <w:r>
              <w:rPr>
                <w:rFonts w:hint="eastAsia"/>
              </w:rPr>
              <w:t>1994年8月</w:t>
            </w:r>
          </w:p>
        </w:tc>
        <w:tc>
          <w:tcPr>
            <w:tcW w:w="1068" w:type="pct"/>
            <w:vAlign w:val="center"/>
          </w:tcPr>
          <w:p w14:paraId="10A7B0EA">
            <w:pPr>
              <w:pStyle w:val="12"/>
              <w:jc w:val="center"/>
            </w:pPr>
            <w:r>
              <w:rPr>
                <w:rFonts w:hint="eastAsia"/>
              </w:rPr>
              <w:t>国家粮食储备局</w:t>
            </w:r>
          </w:p>
        </w:tc>
        <w:tc>
          <w:tcPr>
            <w:tcW w:w="1317" w:type="pct"/>
            <w:vAlign w:val="center"/>
          </w:tcPr>
          <w:p w14:paraId="0E2CC59E">
            <w:pPr>
              <w:pStyle w:val="12"/>
              <w:jc w:val="left"/>
            </w:pPr>
            <w:r>
              <w:rPr>
                <w:rFonts w:hint="eastAsia"/>
              </w:rPr>
              <w:t>全国粮食收购先进个人</w:t>
            </w:r>
          </w:p>
        </w:tc>
      </w:tr>
      <w:tr w14:paraId="6C91208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7525473D">
            <w:pPr>
              <w:pStyle w:val="12"/>
              <w:jc w:val="center"/>
            </w:pPr>
            <w:r>
              <w:rPr>
                <w:rFonts w:hint="eastAsia"/>
              </w:rPr>
              <w:t>张宗花</w:t>
            </w:r>
          </w:p>
        </w:tc>
        <w:tc>
          <w:tcPr>
            <w:tcW w:w="1065" w:type="pct"/>
            <w:vAlign w:val="center"/>
          </w:tcPr>
          <w:p w14:paraId="6F94E060">
            <w:pPr>
              <w:pStyle w:val="12"/>
              <w:jc w:val="center"/>
            </w:pPr>
            <w:r>
              <w:rPr>
                <w:rFonts w:hint="eastAsia"/>
              </w:rPr>
              <w:t>澜河小学</w:t>
            </w:r>
          </w:p>
        </w:tc>
        <w:tc>
          <w:tcPr>
            <w:tcW w:w="853" w:type="pct"/>
            <w:vAlign w:val="center"/>
          </w:tcPr>
          <w:p w14:paraId="54805693">
            <w:pPr>
              <w:pStyle w:val="12"/>
              <w:jc w:val="center"/>
            </w:pPr>
            <w:r>
              <w:rPr>
                <w:rFonts w:hint="eastAsia"/>
              </w:rPr>
              <w:t>1994年</w:t>
            </w:r>
          </w:p>
        </w:tc>
        <w:tc>
          <w:tcPr>
            <w:tcW w:w="1068" w:type="pct"/>
            <w:vAlign w:val="center"/>
          </w:tcPr>
          <w:p w14:paraId="17479ADB">
            <w:pPr>
              <w:pStyle w:val="12"/>
              <w:jc w:val="center"/>
            </w:pPr>
            <w:r>
              <w:rPr>
                <w:rFonts w:hint="eastAsia"/>
              </w:rPr>
              <w:t>国家教育委员会</w:t>
            </w:r>
          </w:p>
        </w:tc>
        <w:tc>
          <w:tcPr>
            <w:tcW w:w="1317" w:type="pct"/>
            <w:vAlign w:val="center"/>
          </w:tcPr>
          <w:p w14:paraId="21F69969">
            <w:pPr>
              <w:pStyle w:val="12"/>
              <w:jc w:val="left"/>
            </w:pPr>
            <w:r>
              <w:rPr>
                <w:rFonts w:hint="eastAsia"/>
              </w:rPr>
              <w:t>全国优秀民办教师</w:t>
            </w:r>
          </w:p>
        </w:tc>
      </w:tr>
      <w:tr w14:paraId="70C63B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7D9B9AF0">
            <w:pPr>
              <w:pStyle w:val="12"/>
              <w:jc w:val="center"/>
            </w:pPr>
            <w:r>
              <w:rPr>
                <w:rFonts w:hint="eastAsia"/>
              </w:rPr>
              <w:t>钟祥富</w:t>
            </w:r>
          </w:p>
        </w:tc>
        <w:tc>
          <w:tcPr>
            <w:tcW w:w="1065" w:type="pct"/>
            <w:vAlign w:val="center"/>
          </w:tcPr>
          <w:p w14:paraId="58E9BDBC">
            <w:pPr>
              <w:pStyle w:val="12"/>
              <w:jc w:val="center"/>
            </w:pPr>
            <w:r>
              <w:rPr>
                <w:rFonts w:hint="eastAsia"/>
              </w:rPr>
              <w:t>县农业局</w:t>
            </w:r>
          </w:p>
        </w:tc>
        <w:tc>
          <w:tcPr>
            <w:tcW w:w="853" w:type="pct"/>
            <w:vAlign w:val="center"/>
          </w:tcPr>
          <w:p w14:paraId="09231CF1">
            <w:pPr>
              <w:pStyle w:val="12"/>
              <w:jc w:val="center"/>
            </w:pPr>
            <w:r>
              <w:rPr>
                <w:rFonts w:hint="eastAsia"/>
              </w:rPr>
              <w:t>1994年</w:t>
            </w:r>
          </w:p>
        </w:tc>
        <w:tc>
          <w:tcPr>
            <w:tcW w:w="1068" w:type="pct"/>
            <w:vAlign w:val="center"/>
          </w:tcPr>
          <w:p w14:paraId="4581E3F0">
            <w:pPr>
              <w:pStyle w:val="12"/>
              <w:jc w:val="center"/>
            </w:pPr>
            <w:r>
              <w:rPr>
                <w:rFonts w:hint="eastAsia"/>
              </w:rPr>
              <w:t>国家农业部</w:t>
            </w:r>
          </w:p>
        </w:tc>
        <w:tc>
          <w:tcPr>
            <w:tcW w:w="1317" w:type="pct"/>
            <w:vAlign w:val="center"/>
          </w:tcPr>
          <w:p w14:paraId="7F1CCB11">
            <w:pPr>
              <w:pStyle w:val="12"/>
              <w:jc w:val="left"/>
            </w:pPr>
            <w:r>
              <w:rPr>
                <w:rFonts w:hint="eastAsia"/>
              </w:rPr>
              <w:t>先进工作者</w:t>
            </w:r>
          </w:p>
        </w:tc>
      </w:tr>
      <w:tr w14:paraId="119D62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0C2A2413">
            <w:pPr>
              <w:pStyle w:val="12"/>
              <w:jc w:val="center"/>
            </w:pPr>
            <w:r>
              <w:rPr>
                <w:rFonts w:hint="eastAsia"/>
              </w:rPr>
              <w:t>何光禄</w:t>
            </w:r>
          </w:p>
        </w:tc>
        <w:tc>
          <w:tcPr>
            <w:tcW w:w="1065" w:type="pct"/>
            <w:vAlign w:val="center"/>
          </w:tcPr>
          <w:p w14:paraId="624138F5">
            <w:pPr>
              <w:pStyle w:val="12"/>
              <w:jc w:val="center"/>
            </w:pPr>
            <w:r>
              <w:rPr>
                <w:rFonts w:hint="eastAsia"/>
              </w:rPr>
              <w:t>南雄县统计局</w:t>
            </w:r>
          </w:p>
        </w:tc>
        <w:tc>
          <w:tcPr>
            <w:tcW w:w="853" w:type="pct"/>
            <w:vAlign w:val="center"/>
          </w:tcPr>
          <w:p w14:paraId="7DFF35BE">
            <w:pPr>
              <w:pStyle w:val="12"/>
              <w:jc w:val="center"/>
            </w:pPr>
            <w:r>
              <w:rPr>
                <w:rFonts w:hint="eastAsia"/>
              </w:rPr>
              <w:t>1994年12月</w:t>
            </w:r>
          </w:p>
        </w:tc>
        <w:tc>
          <w:tcPr>
            <w:tcW w:w="1068" w:type="pct"/>
            <w:vAlign w:val="center"/>
          </w:tcPr>
          <w:p w14:paraId="4C957106">
            <w:pPr>
              <w:pStyle w:val="12"/>
              <w:jc w:val="center"/>
            </w:pPr>
            <w:r>
              <w:rPr>
                <w:rFonts w:hint="eastAsia"/>
              </w:rPr>
              <w:t>国务院全国第三</w:t>
            </w:r>
            <w:r>
              <w:rPr>
                <w:rFonts w:hint="eastAsia" w:ascii="宋体" w:hAnsi="宋体" w:cs="宋体"/>
              </w:rPr>
              <w:t>产业普查协调小组</w:t>
            </w:r>
          </w:p>
        </w:tc>
        <w:tc>
          <w:tcPr>
            <w:tcW w:w="1317" w:type="pct"/>
            <w:vAlign w:val="center"/>
          </w:tcPr>
          <w:p w14:paraId="4751BAE2">
            <w:pPr>
              <w:pStyle w:val="12"/>
              <w:jc w:val="left"/>
            </w:pPr>
            <w:r>
              <w:rPr>
                <w:rFonts w:hint="eastAsia"/>
              </w:rPr>
              <w:t>国家级综合部门第三产业普查先进工作者</w:t>
            </w:r>
          </w:p>
        </w:tc>
      </w:tr>
      <w:tr w14:paraId="799970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628BFFC6">
            <w:pPr>
              <w:pStyle w:val="12"/>
              <w:jc w:val="center"/>
            </w:pPr>
            <w:r>
              <w:rPr>
                <w:rFonts w:hint="eastAsia"/>
              </w:rPr>
              <w:t>谢代阳</w:t>
            </w:r>
          </w:p>
        </w:tc>
        <w:tc>
          <w:tcPr>
            <w:tcW w:w="1065" w:type="pct"/>
            <w:vAlign w:val="center"/>
          </w:tcPr>
          <w:p w14:paraId="393C39E5">
            <w:pPr>
              <w:pStyle w:val="12"/>
              <w:jc w:val="center"/>
            </w:pPr>
            <w:r>
              <w:rPr>
                <w:rFonts w:hint="eastAsia"/>
              </w:rPr>
              <w:t>南雄县统计局</w:t>
            </w:r>
          </w:p>
        </w:tc>
        <w:tc>
          <w:tcPr>
            <w:tcW w:w="853" w:type="pct"/>
            <w:vAlign w:val="center"/>
          </w:tcPr>
          <w:p w14:paraId="73F82ECC">
            <w:pPr>
              <w:pStyle w:val="12"/>
              <w:jc w:val="center"/>
            </w:pPr>
            <w:r>
              <w:rPr>
                <w:rFonts w:hint="eastAsia"/>
              </w:rPr>
              <w:t>1994年12月</w:t>
            </w:r>
          </w:p>
        </w:tc>
        <w:tc>
          <w:tcPr>
            <w:tcW w:w="1068" w:type="pct"/>
            <w:vAlign w:val="center"/>
          </w:tcPr>
          <w:p w14:paraId="50BF5D10">
            <w:pPr>
              <w:pStyle w:val="12"/>
              <w:jc w:val="center"/>
            </w:pPr>
            <w:r>
              <w:rPr>
                <w:rFonts w:hint="eastAsia"/>
              </w:rPr>
              <w:t>国务院全国第三</w:t>
            </w:r>
            <w:r>
              <w:rPr>
                <w:rFonts w:hint="eastAsia" w:ascii="宋体" w:hAnsi="宋体" w:cs="宋体"/>
              </w:rPr>
              <w:t>产业普查协调小组</w:t>
            </w:r>
          </w:p>
        </w:tc>
        <w:tc>
          <w:tcPr>
            <w:tcW w:w="1317" w:type="pct"/>
            <w:vAlign w:val="center"/>
          </w:tcPr>
          <w:p w14:paraId="7D7F3B37">
            <w:pPr>
              <w:pStyle w:val="12"/>
              <w:jc w:val="left"/>
            </w:pPr>
            <w:r>
              <w:rPr>
                <w:rFonts w:hint="eastAsia"/>
              </w:rPr>
              <w:t>国家级综合部门第三产业普查先进工作者</w:t>
            </w:r>
          </w:p>
        </w:tc>
      </w:tr>
      <w:tr w14:paraId="6FA213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504A8B60">
            <w:pPr>
              <w:pStyle w:val="12"/>
              <w:jc w:val="center"/>
            </w:pPr>
            <w:r>
              <w:rPr>
                <w:rFonts w:hint="eastAsia"/>
              </w:rPr>
              <w:t>胡立文</w:t>
            </w:r>
          </w:p>
        </w:tc>
        <w:tc>
          <w:tcPr>
            <w:tcW w:w="1065" w:type="pct"/>
            <w:vAlign w:val="center"/>
          </w:tcPr>
          <w:p w14:paraId="7F7FE35A">
            <w:pPr>
              <w:pStyle w:val="12"/>
              <w:jc w:val="center"/>
            </w:pPr>
            <w:r>
              <w:rPr>
                <w:rFonts w:hint="eastAsia"/>
              </w:rPr>
              <w:t>县公安局</w:t>
            </w:r>
          </w:p>
        </w:tc>
        <w:tc>
          <w:tcPr>
            <w:tcW w:w="853" w:type="pct"/>
            <w:vAlign w:val="center"/>
          </w:tcPr>
          <w:p w14:paraId="2D9A6520">
            <w:pPr>
              <w:pStyle w:val="12"/>
              <w:jc w:val="center"/>
            </w:pPr>
            <w:r>
              <w:rPr>
                <w:rFonts w:hint="eastAsia"/>
              </w:rPr>
              <w:t>1995年2月</w:t>
            </w:r>
          </w:p>
        </w:tc>
        <w:tc>
          <w:tcPr>
            <w:tcW w:w="1068" w:type="pct"/>
            <w:vAlign w:val="center"/>
          </w:tcPr>
          <w:p w14:paraId="1E97B5A6">
            <w:pPr>
              <w:pStyle w:val="12"/>
              <w:jc w:val="center"/>
            </w:pPr>
            <w:r>
              <w:rPr>
                <w:rFonts w:hint="eastAsia"/>
              </w:rPr>
              <w:t>国家公安部</w:t>
            </w:r>
          </w:p>
        </w:tc>
        <w:tc>
          <w:tcPr>
            <w:tcW w:w="1317" w:type="pct"/>
            <w:vAlign w:val="center"/>
          </w:tcPr>
          <w:p w14:paraId="45879411">
            <w:pPr>
              <w:pStyle w:val="12"/>
              <w:jc w:val="left"/>
            </w:pPr>
            <w:r>
              <w:rPr>
                <w:rFonts w:hint="eastAsia"/>
              </w:rPr>
              <w:t>全国优秀人民警察</w:t>
            </w:r>
          </w:p>
        </w:tc>
      </w:tr>
      <w:tr w14:paraId="32745F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04671E5E">
            <w:pPr>
              <w:pStyle w:val="12"/>
              <w:jc w:val="center"/>
            </w:pPr>
            <w:r>
              <w:rPr>
                <w:rFonts w:hint="eastAsia"/>
              </w:rPr>
              <w:t>李满祥</w:t>
            </w:r>
          </w:p>
        </w:tc>
        <w:tc>
          <w:tcPr>
            <w:tcW w:w="1065" w:type="pct"/>
            <w:vAlign w:val="center"/>
          </w:tcPr>
          <w:p w14:paraId="289048F7">
            <w:pPr>
              <w:pStyle w:val="12"/>
              <w:jc w:val="center"/>
            </w:pPr>
            <w:r>
              <w:rPr>
                <w:rFonts w:hint="eastAsia"/>
              </w:rPr>
              <w:t>南雄一中</w:t>
            </w:r>
          </w:p>
        </w:tc>
        <w:tc>
          <w:tcPr>
            <w:tcW w:w="853" w:type="pct"/>
            <w:vAlign w:val="center"/>
          </w:tcPr>
          <w:p w14:paraId="26A73A8D">
            <w:pPr>
              <w:pStyle w:val="12"/>
              <w:jc w:val="center"/>
            </w:pPr>
            <w:r>
              <w:rPr>
                <w:rFonts w:hint="eastAsia"/>
              </w:rPr>
              <w:t>1995年9月</w:t>
            </w:r>
          </w:p>
        </w:tc>
        <w:tc>
          <w:tcPr>
            <w:tcW w:w="1068" w:type="pct"/>
            <w:vAlign w:val="center"/>
          </w:tcPr>
          <w:p w14:paraId="28B1DB5C">
            <w:pPr>
              <w:pStyle w:val="12"/>
              <w:jc w:val="center"/>
            </w:pPr>
            <w:r>
              <w:rPr>
                <w:rFonts w:hint="eastAsia"/>
              </w:rPr>
              <w:t>国家教委、国家人事部</w:t>
            </w:r>
          </w:p>
        </w:tc>
        <w:tc>
          <w:tcPr>
            <w:tcW w:w="1317" w:type="pct"/>
            <w:vAlign w:val="center"/>
          </w:tcPr>
          <w:p w14:paraId="64ED82C4">
            <w:pPr>
              <w:pStyle w:val="12"/>
              <w:jc w:val="left"/>
            </w:pPr>
            <w:r>
              <w:rPr>
                <w:rFonts w:hint="eastAsia"/>
              </w:rPr>
              <w:t>全国优秀教师</w:t>
            </w:r>
          </w:p>
        </w:tc>
      </w:tr>
      <w:tr w14:paraId="2F4106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65B18150">
            <w:pPr>
              <w:pStyle w:val="12"/>
              <w:jc w:val="center"/>
            </w:pPr>
            <w:r>
              <w:rPr>
                <w:rFonts w:hint="eastAsia"/>
              </w:rPr>
              <w:t>何光禄</w:t>
            </w:r>
          </w:p>
        </w:tc>
        <w:tc>
          <w:tcPr>
            <w:tcW w:w="1065" w:type="pct"/>
            <w:vMerge w:val="restart"/>
            <w:vAlign w:val="center"/>
          </w:tcPr>
          <w:p w14:paraId="06BB76FF">
            <w:pPr>
              <w:pStyle w:val="12"/>
              <w:jc w:val="center"/>
            </w:pPr>
            <w:r>
              <w:rPr>
                <w:rFonts w:hint="eastAsia"/>
              </w:rPr>
              <w:t>县统计局</w:t>
            </w:r>
          </w:p>
        </w:tc>
        <w:tc>
          <w:tcPr>
            <w:tcW w:w="853" w:type="pct"/>
            <w:vMerge w:val="restart"/>
            <w:vAlign w:val="center"/>
          </w:tcPr>
          <w:p w14:paraId="120FAF2F">
            <w:pPr>
              <w:pStyle w:val="12"/>
              <w:jc w:val="center"/>
            </w:pPr>
            <w:r>
              <w:rPr>
                <w:rFonts w:hint="eastAsia"/>
              </w:rPr>
              <w:t>1995年</w:t>
            </w:r>
          </w:p>
        </w:tc>
        <w:tc>
          <w:tcPr>
            <w:tcW w:w="1068" w:type="pct"/>
            <w:vMerge w:val="restart"/>
            <w:vAlign w:val="center"/>
          </w:tcPr>
          <w:p w14:paraId="5219FFD4">
            <w:pPr>
              <w:pStyle w:val="12"/>
              <w:jc w:val="center"/>
            </w:pPr>
            <w:r>
              <w:rPr>
                <w:rFonts w:hint="eastAsia"/>
              </w:rPr>
              <w:t>全国1%人口抽样</w:t>
            </w:r>
            <w:r>
              <w:rPr>
                <w:rFonts w:hint="eastAsia" w:ascii="宋体" w:hAnsi="宋体" w:cs="宋体"/>
              </w:rPr>
              <w:t>调查领导小组</w:t>
            </w:r>
          </w:p>
        </w:tc>
        <w:tc>
          <w:tcPr>
            <w:tcW w:w="1317" w:type="pct"/>
            <w:vMerge w:val="restart"/>
            <w:vAlign w:val="center"/>
          </w:tcPr>
          <w:p w14:paraId="55E04D13">
            <w:pPr>
              <w:pStyle w:val="12"/>
              <w:jc w:val="left"/>
            </w:pPr>
            <w:r>
              <w:rPr>
                <w:rFonts w:hint="eastAsia"/>
              </w:rPr>
              <w:t>全国1%人口抽样调查先进个人</w:t>
            </w:r>
          </w:p>
        </w:tc>
      </w:tr>
      <w:tr w14:paraId="00508F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1920A1BA">
            <w:pPr>
              <w:pStyle w:val="12"/>
              <w:jc w:val="center"/>
            </w:pPr>
            <w:r>
              <w:rPr>
                <w:rFonts w:hint="eastAsia"/>
              </w:rPr>
              <w:t>何辉阳</w:t>
            </w:r>
          </w:p>
        </w:tc>
        <w:tc>
          <w:tcPr>
            <w:tcW w:w="1065" w:type="pct"/>
            <w:vMerge w:val="continue"/>
            <w:vAlign w:val="center"/>
          </w:tcPr>
          <w:p w14:paraId="53A64C2A">
            <w:pPr>
              <w:pStyle w:val="12"/>
              <w:jc w:val="center"/>
            </w:pPr>
          </w:p>
        </w:tc>
        <w:tc>
          <w:tcPr>
            <w:tcW w:w="853" w:type="pct"/>
            <w:vMerge w:val="continue"/>
            <w:vAlign w:val="center"/>
          </w:tcPr>
          <w:p w14:paraId="00078585">
            <w:pPr>
              <w:pStyle w:val="12"/>
              <w:jc w:val="center"/>
            </w:pPr>
          </w:p>
        </w:tc>
        <w:tc>
          <w:tcPr>
            <w:tcW w:w="1068" w:type="pct"/>
            <w:vMerge w:val="continue"/>
            <w:vAlign w:val="center"/>
          </w:tcPr>
          <w:p w14:paraId="544D324D">
            <w:pPr>
              <w:pStyle w:val="12"/>
              <w:jc w:val="center"/>
            </w:pPr>
          </w:p>
        </w:tc>
        <w:tc>
          <w:tcPr>
            <w:tcW w:w="1317" w:type="pct"/>
            <w:vMerge w:val="continue"/>
            <w:vAlign w:val="center"/>
          </w:tcPr>
          <w:p w14:paraId="10670746">
            <w:pPr>
              <w:pStyle w:val="12"/>
              <w:jc w:val="left"/>
            </w:pPr>
          </w:p>
        </w:tc>
      </w:tr>
      <w:tr w14:paraId="29AA3F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697" w:type="pct"/>
            <w:vAlign w:val="center"/>
          </w:tcPr>
          <w:p w14:paraId="0CA5A850">
            <w:pPr>
              <w:pStyle w:val="12"/>
              <w:jc w:val="center"/>
            </w:pPr>
            <w:r>
              <w:rPr>
                <w:rFonts w:hint="eastAsia"/>
              </w:rPr>
              <w:t>朱德忠</w:t>
            </w:r>
          </w:p>
        </w:tc>
        <w:tc>
          <w:tcPr>
            <w:tcW w:w="1065" w:type="pct"/>
            <w:vMerge w:val="continue"/>
            <w:vAlign w:val="center"/>
          </w:tcPr>
          <w:p w14:paraId="36D8B854">
            <w:pPr>
              <w:pStyle w:val="12"/>
              <w:jc w:val="center"/>
            </w:pPr>
          </w:p>
        </w:tc>
        <w:tc>
          <w:tcPr>
            <w:tcW w:w="853" w:type="pct"/>
            <w:vMerge w:val="continue"/>
            <w:vAlign w:val="center"/>
          </w:tcPr>
          <w:p w14:paraId="7D85FC35">
            <w:pPr>
              <w:pStyle w:val="12"/>
              <w:jc w:val="center"/>
            </w:pPr>
          </w:p>
        </w:tc>
        <w:tc>
          <w:tcPr>
            <w:tcW w:w="1068" w:type="pct"/>
            <w:vMerge w:val="continue"/>
            <w:vAlign w:val="center"/>
          </w:tcPr>
          <w:p w14:paraId="3929E908">
            <w:pPr>
              <w:pStyle w:val="12"/>
              <w:jc w:val="center"/>
            </w:pPr>
          </w:p>
        </w:tc>
        <w:tc>
          <w:tcPr>
            <w:tcW w:w="1317" w:type="pct"/>
            <w:vMerge w:val="continue"/>
            <w:vAlign w:val="center"/>
          </w:tcPr>
          <w:p w14:paraId="3151EF0E">
            <w:pPr>
              <w:pStyle w:val="12"/>
              <w:jc w:val="left"/>
            </w:pPr>
          </w:p>
        </w:tc>
      </w:tr>
      <w:tr w14:paraId="597804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734CDFE9">
            <w:pPr>
              <w:pStyle w:val="12"/>
              <w:jc w:val="center"/>
            </w:pPr>
            <w:r>
              <w:rPr>
                <w:rFonts w:hint="eastAsia"/>
              </w:rPr>
              <w:t>曾开寿</w:t>
            </w:r>
          </w:p>
        </w:tc>
        <w:tc>
          <w:tcPr>
            <w:tcW w:w="1065" w:type="pct"/>
            <w:vAlign w:val="center"/>
          </w:tcPr>
          <w:p w14:paraId="787793DF">
            <w:pPr>
              <w:pStyle w:val="12"/>
              <w:jc w:val="center"/>
            </w:pPr>
            <w:r>
              <w:rPr>
                <w:rFonts w:hint="eastAsia"/>
              </w:rPr>
              <w:t>县统计局</w:t>
            </w:r>
          </w:p>
        </w:tc>
        <w:tc>
          <w:tcPr>
            <w:tcW w:w="853" w:type="pct"/>
            <w:vAlign w:val="center"/>
          </w:tcPr>
          <w:p w14:paraId="559BE976">
            <w:pPr>
              <w:pStyle w:val="12"/>
              <w:jc w:val="center"/>
            </w:pPr>
            <w:r>
              <w:rPr>
                <w:rFonts w:hint="eastAsia"/>
              </w:rPr>
              <w:t>1995年</w:t>
            </w:r>
          </w:p>
        </w:tc>
        <w:tc>
          <w:tcPr>
            <w:tcW w:w="1068" w:type="pct"/>
            <w:vAlign w:val="center"/>
          </w:tcPr>
          <w:p w14:paraId="0AC2895A">
            <w:pPr>
              <w:pStyle w:val="12"/>
              <w:jc w:val="center"/>
            </w:pPr>
            <w:r>
              <w:rPr>
                <w:rFonts w:hint="eastAsia"/>
              </w:rPr>
              <w:t>全国第三次工业普查</w:t>
            </w:r>
            <w:r>
              <w:rPr>
                <w:rFonts w:hint="eastAsia" w:ascii="宋体" w:hAnsi="宋体" w:cs="宋体"/>
              </w:rPr>
              <w:t>协调领导小组</w:t>
            </w:r>
          </w:p>
        </w:tc>
        <w:tc>
          <w:tcPr>
            <w:tcW w:w="1317" w:type="pct"/>
            <w:vAlign w:val="center"/>
          </w:tcPr>
          <w:p w14:paraId="4A317610">
            <w:pPr>
              <w:pStyle w:val="12"/>
              <w:jc w:val="left"/>
            </w:pPr>
            <w:r>
              <w:rPr>
                <w:rFonts w:hint="eastAsia"/>
              </w:rPr>
              <w:t>全国第三次工业普查先进个人</w:t>
            </w:r>
          </w:p>
        </w:tc>
      </w:tr>
      <w:tr w14:paraId="705964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71DAAA4C">
            <w:pPr>
              <w:pStyle w:val="12"/>
              <w:jc w:val="center"/>
            </w:pPr>
            <w:r>
              <w:rPr>
                <w:rFonts w:hint="eastAsia"/>
              </w:rPr>
              <w:t>黄浩烈</w:t>
            </w:r>
          </w:p>
        </w:tc>
        <w:tc>
          <w:tcPr>
            <w:tcW w:w="1065" w:type="pct"/>
            <w:vAlign w:val="center"/>
          </w:tcPr>
          <w:p w14:paraId="12101A44">
            <w:pPr>
              <w:pStyle w:val="12"/>
              <w:jc w:val="center"/>
            </w:pPr>
            <w:r>
              <w:rPr>
                <w:rFonts w:hint="eastAsia"/>
              </w:rPr>
              <w:t>市政府</w:t>
            </w:r>
          </w:p>
        </w:tc>
        <w:tc>
          <w:tcPr>
            <w:tcW w:w="853" w:type="pct"/>
            <w:vAlign w:val="center"/>
          </w:tcPr>
          <w:p w14:paraId="367B5FC9">
            <w:pPr>
              <w:pStyle w:val="12"/>
              <w:jc w:val="center"/>
            </w:pPr>
            <w:r>
              <w:rPr>
                <w:rFonts w:hint="eastAsia"/>
              </w:rPr>
              <w:t>1996年</w:t>
            </w:r>
          </w:p>
        </w:tc>
        <w:tc>
          <w:tcPr>
            <w:tcW w:w="1068" w:type="pct"/>
            <w:vAlign w:val="center"/>
          </w:tcPr>
          <w:p w14:paraId="200172F7">
            <w:pPr>
              <w:pStyle w:val="12"/>
              <w:jc w:val="center"/>
            </w:pPr>
            <w:r>
              <w:rPr>
                <w:rFonts w:hint="eastAsia"/>
              </w:rPr>
              <w:t>第一次全国基本单位</w:t>
            </w:r>
            <w:r>
              <w:rPr>
                <w:rFonts w:hint="eastAsia" w:ascii="宋体" w:hAnsi="宋体" w:cs="宋体"/>
              </w:rPr>
              <w:t>普查协调领导小组</w:t>
            </w:r>
          </w:p>
        </w:tc>
        <w:tc>
          <w:tcPr>
            <w:tcW w:w="1317" w:type="pct"/>
            <w:vAlign w:val="center"/>
          </w:tcPr>
          <w:p w14:paraId="560B11B6">
            <w:pPr>
              <w:pStyle w:val="12"/>
              <w:jc w:val="left"/>
            </w:pPr>
            <w:r>
              <w:rPr>
                <w:rFonts w:hint="eastAsia"/>
              </w:rPr>
              <w:t>第一次全国基本单位普查优秀组织领导者</w:t>
            </w:r>
          </w:p>
        </w:tc>
      </w:tr>
      <w:tr w14:paraId="69F715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564563BE">
            <w:pPr>
              <w:pStyle w:val="12"/>
              <w:jc w:val="center"/>
            </w:pPr>
            <w:r>
              <w:rPr>
                <w:rFonts w:hint="eastAsia"/>
              </w:rPr>
              <w:t>何辉阳</w:t>
            </w:r>
          </w:p>
        </w:tc>
        <w:tc>
          <w:tcPr>
            <w:tcW w:w="1065" w:type="pct"/>
            <w:vMerge w:val="restart"/>
            <w:vAlign w:val="center"/>
          </w:tcPr>
          <w:p w14:paraId="500F54F1">
            <w:pPr>
              <w:pStyle w:val="12"/>
              <w:jc w:val="center"/>
            </w:pPr>
            <w:r>
              <w:rPr>
                <w:rFonts w:hint="eastAsia"/>
              </w:rPr>
              <w:t>市统计局</w:t>
            </w:r>
          </w:p>
        </w:tc>
        <w:tc>
          <w:tcPr>
            <w:tcW w:w="853" w:type="pct"/>
            <w:vMerge w:val="restart"/>
            <w:vAlign w:val="center"/>
          </w:tcPr>
          <w:p w14:paraId="688017CD">
            <w:pPr>
              <w:pStyle w:val="12"/>
              <w:jc w:val="center"/>
            </w:pPr>
            <w:r>
              <w:rPr>
                <w:rFonts w:hint="eastAsia"/>
              </w:rPr>
              <w:t>1996年</w:t>
            </w:r>
          </w:p>
        </w:tc>
        <w:tc>
          <w:tcPr>
            <w:tcW w:w="1068" w:type="pct"/>
            <w:vMerge w:val="restart"/>
            <w:vAlign w:val="center"/>
          </w:tcPr>
          <w:p w14:paraId="3410D64B">
            <w:pPr>
              <w:pStyle w:val="12"/>
              <w:jc w:val="center"/>
            </w:pPr>
            <w:r>
              <w:rPr>
                <w:rFonts w:hint="eastAsia"/>
              </w:rPr>
              <w:t>第一次全国基本单位</w:t>
            </w:r>
            <w:r>
              <w:rPr>
                <w:rFonts w:hint="eastAsia" w:ascii="宋体" w:hAnsi="宋体" w:cs="宋体"/>
              </w:rPr>
              <w:t>普查协调领导小组</w:t>
            </w:r>
          </w:p>
        </w:tc>
        <w:tc>
          <w:tcPr>
            <w:tcW w:w="1317" w:type="pct"/>
            <w:vMerge w:val="restart"/>
            <w:vAlign w:val="center"/>
          </w:tcPr>
          <w:p w14:paraId="3B64531E">
            <w:pPr>
              <w:pStyle w:val="12"/>
              <w:jc w:val="left"/>
            </w:pPr>
            <w:r>
              <w:rPr>
                <w:rFonts w:hint="eastAsia"/>
              </w:rPr>
              <w:t>第一次全国基本单位普查先进个人</w:t>
            </w:r>
          </w:p>
        </w:tc>
      </w:tr>
      <w:tr w14:paraId="75E657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40FBB687">
            <w:pPr>
              <w:pStyle w:val="12"/>
              <w:jc w:val="center"/>
            </w:pPr>
            <w:r>
              <w:rPr>
                <w:rFonts w:hint="eastAsia"/>
              </w:rPr>
              <w:t>谢代阳</w:t>
            </w:r>
          </w:p>
        </w:tc>
        <w:tc>
          <w:tcPr>
            <w:tcW w:w="1065" w:type="pct"/>
            <w:vMerge w:val="continue"/>
            <w:vAlign w:val="center"/>
          </w:tcPr>
          <w:p w14:paraId="5FF28E1E">
            <w:pPr>
              <w:pStyle w:val="12"/>
              <w:jc w:val="center"/>
            </w:pPr>
          </w:p>
        </w:tc>
        <w:tc>
          <w:tcPr>
            <w:tcW w:w="853" w:type="pct"/>
            <w:vMerge w:val="continue"/>
            <w:vAlign w:val="center"/>
          </w:tcPr>
          <w:p w14:paraId="7467A226">
            <w:pPr>
              <w:pStyle w:val="12"/>
              <w:jc w:val="center"/>
            </w:pPr>
          </w:p>
        </w:tc>
        <w:tc>
          <w:tcPr>
            <w:tcW w:w="1068" w:type="pct"/>
            <w:vMerge w:val="continue"/>
            <w:vAlign w:val="center"/>
          </w:tcPr>
          <w:p w14:paraId="3A25F040">
            <w:pPr>
              <w:pStyle w:val="12"/>
              <w:jc w:val="center"/>
            </w:pPr>
          </w:p>
        </w:tc>
        <w:tc>
          <w:tcPr>
            <w:tcW w:w="1317" w:type="pct"/>
            <w:vMerge w:val="continue"/>
            <w:vAlign w:val="center"/>
          </w:tcPr>
          <w:p w14:paraId="2D16AFEE">
            <w:pPr>
              <w:pStyle w:val="12"/>
              <w:jc w:val="left"/>
            </w:pPr>
          </w:p>
        </w:tc>
      </w:tr>
      <w:tr w14:paraId="74A9C9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7E3F939B">
            <w:pPr>
              <w:pStyle w:val="12"/>
              <w:jc w:val="center"/>
            </w:pPr>
            <w:r>
              <w:rPr>
                <w:rFonts w:hint="eastAsia"/>
              </w:rPr>
              <w:t>朱德泉</w:t>
            </w:r>
          </w:p>
        </w:tc>
        <w:tc>
          <w:tcPr>
            <w:tcW w:w="1065" w:type="pct"/>
            <w:vMerge w:val="continue"/>
            <w:vAlign w:val="center"/>
          </w:tcPr>
          <w:p w14:paraId="7F56BC2F">
            <w:pPr>
              <w:pStyle w:val="12"/>
              <w:jc w:val="center"/>
            </w:pPr>
          </w:p>
        </w:tc>
        <w:tc>
          <w:tcPr>
            <w:tcW w:w="853" w:type="pct"/>
            <w:vMerge w:val="continue"/>
            <w:vAlign w:val="center"/>
          </w:tcPr>
          <w:p w14:paraId="19802D41">
            <w:pPr>
              <w:pStyle w:val="12"/>
              <w:jc w:val="center"/>
            </w:pPr>
          </w:p>
        </w:tc>
        <w:tc>
          <w:tcPr>
            <w:tcW w:w="1068" w:type="pct"/>
            <w:vMerge w:val="continue"/>
            <w:vAlign w:val="center"/>
          </w:tcPr>
          <w:p w14:paraId="0534251C">
            <w:pPr>
              <w:pStyle w:val="12"/>
              <w:jc w:val="center"/>
            </w:pPr>
          </w:p>
        </w:tc>
        <w:tc>
          <w:tcPr>
            <w:tcW w:w="1317" w:type="pct"/>
            <w:vMerge w:val="continue"/>
            <w:vAlign w:val="center"/>
          </w:tcPr>
          <w:p w14:paraId="6A57BC12">
            <w:pPr>
              <w:pStyle w:val="12"/>
              <w:jc w:val="left"/>
            </w:pPr>
          </w:p>
        </w:tc>
      </w:tr>
      <w:tr w14:paraId="7A3F81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27A6CD06">
            <w:pPr>
              <w:pStyle w:val="12"/>
              <w:jc w:val="center"/>
            </w:pPr>
            <w:r>
              <w:rPr>
                <w:rFonts w:hint="eastAsia"/>
              </w:rPr>
              <w:t>阳程</w:t>
            </w:r>
          </w:p>
        </w:tc>
        <w:tc>
          <w:tcPr>
            <w:tcW w:w="1065" w:type="pct"/>
            <w:vAlign w:val="center"/>
          </w:tcPr>
          <w:p w14:paraId="08474D7B">
            <w:pPr>
              <w:pStyle w:val="12"/>
              <w:jc w:val="center"/>
            </w:pPr>
            <w:r>
              <w:rPr>
                <w:rFonts w:hint="eastAsia"/>
              </w:rPr>
              <w:t>市统计局</w:t>
            </w:r>
          </w:p>
        </w:tc>
        <w:tc>
          <w:tcPr>
            <w:tcW w:w="853" w:type="pct"/>
            <w:vAlign w:val="center"/>
          </w:tcPr>
          <w:p w14:paraId="4091CF7A">
            <w:pPr>
              <w:pStyle w:val="12"/>
              <w:jc w:val="center"/>
            </w:pPr>
            <w:r>
              <w:rPr>
                <w:rFonts w:hint="eastAsia"/>
              </w:rPr>
              <w:t>1997年</w:t>
            </w:r>
          </w:p>
        </w:tc>
        <w:tc>
          <w:tcPr>
            <w:tcW w:w="1068" w:type="pct"/>
            <w:vAlign w:val="center"/>
          </w:tcPr>
          <w:p w14:paraId="74B306CB">
            <w:pPr>
              <w:pStyle w:val="12"/>
              <w:jc w:val="center"/>
            </w:pPr>
            <w:r>
              <w:rPr>
                <w:rFonts w:hint="eastAsia"/>
              </w:rPr>
              <w:t>全国农业普查领导小组</w:t>
            </w:r>
          </w:p>
        </w:tc>
        <w:tc>
          <w:tcPr>
            <w:tcW w:w="1317" w:type="pct"/>
            <w:vAlign w:val="center"/>
          </w:tcPr>
          <w:p w14:paraId="12BAFBD8">
            <w:pPr>
              <w:pStyle w:val="12"/>
              <w:jc w:val="left"/>
            </w:pPr>
            <w:r>
              <w:rPr>
                <w:rFonts w:hint="eastAsia"/>
              </w:rPr>
              <w:t>全国第一次农业普查先进个人</w:t>
            </w:r>
          </w:p>
        </w:tc>
      </w:tr>
      <w:tr w14:paraId="33AABE3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4A9EBACD">
            <w:pPr>
              <w:pStyle w:val="12"/>
              <w:jc w:val="center"/>
            </w:pPr>
            <w:r>
              <w:rPr>
                <w:rFonts w:hint="eastAsia"/>
              </w:rPr>
              <w:t>曹宗林</w:t>
            </w:r>
          </w:p>
        </w:tc>
        <w:tc>
          <w:tcPr>
            <w:tcW w:w="1065" w:type="pct"/>
            <w:vAlign w:val="center"/>
          </w:tcPr>
          <w:p w14:paraId="7FE1670B">
            <w:pPr>
              <w:pStyle w:val="12"/>
              <w:jc w:val="center"/>
            </w:pPr>
            <w:r>
              <w:rPr>
                <w:rFonts w:hint="eastAsia"/>
              </w:rPr>
              <w:t>古市农技站</w:t>
            </w:r>
          </w:p>
        </w:tc>
        <w:tc>
          <w:tcPr>
            <w:tcW w:w="853" w:type="pct"/>
            <w:vAlign w:val="center"/>
          </w:tcPr>
          <w:p w14:paraId="76CB0EEE">
            <w:pPr>
              <w:pStyle w:val="12"/>
              <w:jc w:val="center"/>
            </w:pPr>
            <w:r>
              <w:rPr>
                <w:rFonts w:hint="eastAsia"/>
              </w:rPr>
              <w:t>1997年</w:t>
            </w:r>
          </w:p>
        </w:tc>
        <w:tc>
          <w:tcPr>
            <w:tcW w:w="1068" w:type="pct"/>
            <w:vAlign w:val="center"/>
          </w:tcPr>
          <w:p w14:paraId="79A9374E">
            <w:pPr>
              <w:pStyle w:val="12"/>
              <w:jc w:val="center"/>
            </w:pPr>
            <w:r>
              <w:rPr>
                <w:rFonts w:hint="eastAsia"/>
              </w:rPr>
              <w:t>国家农业部</w:t>
            </w:r>
          </w:p>
        </w:tc>
        <w:tc>
          <w:tcPr>
            <w:tcW w:w="1317" w:type="pct"/>
            <w:vAlign w:val="center"/>
          </w:tcPr>
          <w:p w14:paraId="130E7099">
            <w:pPr>
              <w:pStyle w:val="12"/>
              <w:jc w:val="left"/>
            </w:pPr>
            <w:r>
              <w:rPr>
                <w:rFonts w:hint="eastAsia"/>
              </w:rPr>
              <w:t>科技推广三等奖</w:t>
            </w:r>
          </w:p>
        </w:tc>
      </w:tr>
      <w:tr w14:paraId="2C8B88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Merge w:val="restart"/>
            <w:vAlign w:val="center"/>
          </w:tcPr>
          <w:p w14:paraId="1222E1CE">
            <w:pPr>
              <w:pStyle w:val="12"/>
              <w:jc w:val="center"/>
            </w:pPr>
            <w:r>
              <w:rPr>
                <w:rFonts w:hint="eastAsia"/>
              </w:rPr>
              <w:t>黄履东</w:t>
            </w:r>
          </w:p>
        </w:tc>
        <w:tc>
          <w:tcPr>
            <w:tcW w:w="1065" w:type="pct"/>
            <w:vMerge w:val="restart"/>
            <w:vAlign w:val="center"/>
          </w:tcPr>
          <w:p w14:paraId="224C2114">
            <w:pPr>
              <w:pStyle w:val="12"/>
              <w:jc w:val="center"/>
            </w:pPr>
            <w:r>
              <w:rPr>
                <w:rFonts w:hint="eastAsia"/>
              </w:rPr>
              <w:t>市烟草公司</w:t>
            </w:r>
          </w:p>
        </w:tc>
        <w:tc>
          <w:tcPr>
            <w:tcW w:w="853" w:type="pct"/>
            <w:vAlign w:val="center"/>
          </w:tcPr>
          <w:p w14:paraId="4C108D39">
            <w:pPr>
              <w:pStyle w:val="12"/>
              <w:jc w:val="center"/>
            </w:pPr>
            <w:r>
              <w:rPr>
                <w:rFonts w:hint="eastAsia"/>
              </w:rPr>
              <w:t>1996年</w:t>
            </w:r>
          </w:p>
        </w:tc>
        <w:tc>
          <w:tcPr>
            <w:tcW w:w="1068" w:type="pct"/>
            <w:vMerge w:val="restart"/>
            <w:vAlign w:val="center"/>
          </w:tcPr>
          <w:p w14:paraId="270EBF71">
            <w:pPr>
              <w:pStyle w:val="12"/>
              <w:jc w:val="center"/>
            </w:pPr>
            <w:r>
              <w:rPr>
                <w:rFonts w:hint="eastAsia"/>
              </w:rPr>
              <w:t>国家烟草专卖局</w:t>
            </w:r>
          </w:p>
        </w:tc>
        <w:tc>
          <w:tcPr>
            <w:tcW w:w="1317" w:type="pct"/>
            <w:vAlign w:val="center"/>
          </w:tcPr>
          <w:p w14:paraId="6D180676">
            <w:pPr>
              <w:pStyle w:val="12"/>
              <w:jc w:val="left"/>
            </w:pPr>
            <w:r>
              <w:rPr>
                <w:rFonts w:hint="eastAsia"/>
              </w:rPr>
              <w:t>1996年度全国烟草系统纠正行业不正之风工作先进个人</w:t>
            </w:r>
          </w:p>
        </w:tc>
      </w:tr>
      <w:tr w14:paraId="397C23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Merge w:val="continue"/>
            <w:vAlign w:val="center"/>
          </w:tcPr>
          <w:p w14:paraId="50418848">
            <w:pPr>
              <w:pStyle w:val="12"/>
              <w:jc w:val="center"/>
            </w:pPr>
          </w:p>
        </w:tc>
        <w:tc>
          <w:tcPr>
            <w:tcW w:w="1065" w:type="pct"/>
            <w:vMerge w:val="continue"/>
            <w:vAlign w:val="center"/>
          </w:tcPr>
          <w:p w14:paraId="57798F24">
            <w:pPr>
              <w:pStyle w:val="12"/>
              <w:jc w:val="center"/>
            </w:pPr>
          </w:p>
        </w:tc>
        <w:tc>
          <w:tcPr>
            <w:tcW w:w="853" w:type="pct"/>
            <w:vAlign w:val="center"/>
          </w:tcPr>
          <w:p w14:paraId="0DC10DFD">
            <w:pPr>
              <w:pStyle w:val="12"/>
              <w:jc w:val="center"/>
            </w:pPr>
            <w:r>
              <w:rPr>
                <w:rFonts w:hint="eastAsia"/>
              </w:rPr>
              <w:t>1997年</w:t>
            </w:r>
          </w:p>
        </w:tc>
        <w:tc>
          <w:tcPr>
            <w:tcW w:w="1068" w:type="pct"/>
            <w:vMerge w:val="continue"/>
            <w:vAlign w:val="center"/>
          </w:tcPr>
          <w:p w14:paraId="6A1E3AB1">
            <w:pPr>
              <w:pStyle w:val="12"/>
              <w:jc w:val="center"/>
            </w:pPr>
          </w:p>
        </w:tc>
        <w:tc>
          <w:tcPr>
            <w:tcW w:w="1317" w:type="pct"/>
            <w:vAlign w:val="center"/>
          </w:tcPr>
          <w:p w14:paraId="53582091">
            <w:pPr>
              <w:pStyle w:val="12"/>
              <w:jc w:val="left"/>
            </w:pPr>
            <w:r>
              <w:rPr>
                <w:rFonts w:hint="eastAsia"/>
              </w:rPr>
              <w:t>1997年度烟草专卖管理先进个人</w:t>
            </w:r>
          </w:p>
        </w:tc>
      </w:tr>
      <w:tr w14:paraId="53AA43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12C2D790">
            <w:pPr>
              <w:pStyle w:val="12"/>
              <w:jc w:val="center"/>
            </w:pPr>
            <w:r>
              <w:rPr>
                <w:rFonts w:hint="eastAsia"/>
              </w:rPr>
              <w:t>徐永露</w:t>
            </w:r>
          </w:p>
        </w:tc>
        <w:tc>
          <w:tcPr>
            <w:tcW w:w="1065" w:type="pct"/>
            <w:vAlign w:val="center"/>
          </w:tcPr>
          <w:p w14:paraId="40395EC7">
            <w:pPr>
              <w:pStyle w:val="12"/>
              <w:jc w:val="center"/>
            </w:pPr>
            <w:r>
              <w:rPr>
                <w:rFonts w:hint="eastAsia"/>
              </w:rPr>
              <w:t>市烟草公司</w:t>
            </w:r>
          </w:p>
        </w:tc>
        <w:tc>
          <w:tcPr>
            <w:tcW w:w="853" w:type="pct"/>
            <w:vAlign w:val="center"/>
          </w:tcPr>
          <w:p w14:paraId="3987DE23">
            <w:pPr>
              <w:pStyle w:val="12"/>
              <w:jc w:val="center"/>
            </w:pPr>
            <w:r>
              <w:rPr>
                <w:rFonts w:hint="eastAsia"/>
              </w:rPr>
              <w:t>1997年</w:t>
            </w:r>
          </w:p>
        </w:tc>
        <w:tc>
          <w:tcPr>
            <w:tcW w:w="1068" w:type="pct"/>
            <w:vAlign w:val="center"/>
          </w:tcPr>
          <w:p w14:paraId="109FF8C1">
            <w:pPr>
              <w:pStyle w:val="12"/>
              <w:jc w:val="center"/>
            </w:pPr>
            <w:r>
              <w:rPr>
                <w:rFonts w:hint="eastAsia"/>
              </w:rPr>
              <w:t>国家烟草专卖局</w:t>
            </w:r>
          </w:p>
        </w:tc>
        <w:tc>
          <w:tcPr>
            <w:tcW w:w="1317" w:type="pct"/>
            <w:vAlign w:val="center"/>
          </w:tcPr>
          <w:p w14:paraId="10F84572">
            <w:pPr>
              <w:pStyle w:val="12"/>
              <w:jc w:val="left"/>
            </w:pPr>
            <w:r>
              <w:rPr>
                <w:rFonts w:hint="eastAsia"/>
              </w:rPr>
              <w:t>1997年度安全生产先进个人</w:t>
            </w:r>
          </w:p>
        </w:tc>
      </w:tr>
      <w:tr w14:paraId="5CDAA4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2A8F1A32">
            <w:pPr>
              <w:pStyle w:val="12"/>
              <w:jc w:val="center"/>
            </w:pPr>
            <w:r>
              <w:rPr>
                <w:rFonts w:hint="eastAsia"/>
              </w:rPr>
              <w:t>郭衍全</w:t>
            </w:r>
          </w:p>
        </w:tc>
        <w:tc>
          <w:tcPr>
            <w:tcW w:w="1065" w:type="pct"/>
            <w:vMerge w:val="restart"/>
            <w:vAlign w:val="center"/>
          </w:tcPr>
          <w:p w14:paraId="12B5ED3B">
            <w:pPr>
              <w:pStyle w:val="12"/>
              <w:jc w:val="center"/>
            </w:pPr>
            <w:r>
              <w:rPr>
                <w:rFonts w:hint="eastAsia"/>
              </w:rPr>
              <w:t>市政府</w:t>
            </w:r>
          </w:p>
        </w:tc>
        <w:tc>
          <w:tcPr>
            <w:tcW w:w="853" w:type="pct"/>
            <w:vMerge w:val="restart"/>
            <w:vAlign w:val="center"/>
          </w:tcPr>
          <w:p w14:paraId="4DA283B2">
            <w:pPr>
              <w:pStyle w:val="12"/>
              <w:jc w:val="center"/>
            </w:pPr>
            <w:r>
              <w:rPr>
                <w:rFonts w:hint="eastAsia"/>
              </w:rPr>
              <w:t>1996年</w:t>
            </w:r>
          </w:p>
        </w:tc>
        <w:tc>
          <w:tcPr>
            <w:tcW w:w="1068" w:type="pct"/>
            <w:vMerge w:val="restart"/>
            <w:vAlign w:val="center"/>
          </w:tcPr>
          <w:p w14:paraId="7BE9CCD3">
            <w:pPr>
              <w:pStyle w:val="12"/>
              <w:jc w:val="center"/>
            </w:pPr>
            <w:r>
              <w:rPr>
                <w:rFonts w:hint="eastAsia"/>
              </w:rPr>
              <w:t>国家水利部、国家计委</w:t>
            </w:r>
          </w:p>
        </w:tc>
        <w:tc>
          <w:tcPr>
            <w:tcW w:w="1317" w:type="pct"/>
            <w:vMerge w:val="restart"/>
            <w:vAlign w:val="center"/>
          </w:tcPr>
          <w:p w14:paraId="499D6896">
            <w:pPr>
              <w:pStyle w:val="12"/>
              <w:jc w:val="left"/>
            </w:pPr>
            <w:r>
              <w:rPr>
                <w:rFonts w:hint="eastAsia"/>
              </w:rPr>
              <w:t>全国第二批农村水电初级电气化建设先进工作者</w:t>
            </w:r>
          </w:p>
        </w:tc>
      </w:tr>
      <w:tr w14:paraId="68CDBC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5436F7BB">
            <w:pPr>
              <w:pStyle w:val="12"/>
              <w:jc w:val="center"/>
            </w:pPr>
            <w:r>
              <w:rPr>
                <w:rFonts w:hint="eastAsia"/>
              </w:rPr>
              <w:t>沈学栢</w:t>
            </w:r>
          </w:p>
        </w:tc>
        <w:tc>
          <w:tcPr>
            <w:tcW w:w="1065" w:type="pct"/>
            <w:vMerge w:val="continue"/>
            <w:vAlign w:val="center"/>
          </w:tcPr>
          <w:p w14:paraId="129F308F">
            <w:pPr>
              <w:pStyle w:val="12"/>
              <w:jc w:val="center"/>
            </w:pPr>
          </w:p>
        </w:tc>
        <w:tc>
          <w:tcPr>
            <w:tcW w:w="853" w:type="pct"/>
            <w:vMerge w:val="continue"/>
            <w:vAlign w:val="center"/>
          </w:tcPr>
          <w:p w14:paraId="49C8084C">
            <w:pPr>
              <w:pStyle w:val="12"/>
              <w:jc w:val="center"/>
            </w:pPr>
          </w:p>
        </w:tc>
        <w:tc>
          <w:tcPr>
            <w:tcW w:w="1068" w:type="pct"/>
            <w:vMerge w:val="continue"/>
            <w:vAlign w:val="center"/>
          </w:tcPr>
          <w:p w14:paraId="75CCFD90">
            <w:pPr>
              <w:pStyle w:val="12"/>
              <w:jc w:val="center"/>
            </w:pPr>
          </w:p>
        </w:tc>
        <w:tc>
          <w:tcPr>
            <w:tcW w:w="1317" w:type="pct"/>
            <w:vMerge w:val="continue"/>
            <w:vAlign w:val="center"/>
          </w:tcPr>
          <w:p w14:paraId="312A3526">
            <w:pPr>
              <w:pStyle w:val="12"/>
              <w:jc w:val="left"/>
            </w:pPr>
          </w:p>
        </w:tc>
      </w:tr>
      <w:tr w14:paraId="483D9C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49E21A62">
            <w:pPr>
              <w:pStyle w:val="12"/>
              <w:jc w:val="center"/>
            </w:pPr>
            <w:r>
              <w:rPr>
                <w:rFonts w:hint="eastAsia"/>
              </w:rPr>
              <w:t>黄国真</w:t>
            </w:r>
          </w:p>
        </w:tc>
        <w:tc>
          <w:tcPr>
            <w:tcW w:w="1065" w:type="pct"/>
            <w:vMerge w:val="continue"/>
            <w:vAlign w:val="center"/>
          </w:tcPr>
          <w:p w14:paraId="6F4816A7">
            <w:pPr>
              <w:pStyle w:val="12"/>
              <w:jc w:val="center"/>
            </w:pPr>
          </w:p>
        </w:tc>
        <w:tc>
          <w:tcPr>
            <w:tcW w:w="853" w:type="pct"/>
            <w:vMerge w:val="continue"/>
            <w:vAlign w:val="center"/>
          </w:tcPr>
          <w:p w14:paraId="30F04446">
            <w:pPr>
              <w:pStyle w:val="12"/>
              <w:jc w:val="center"/>
            </w:pPr>
          </w:p>
        </w:tc>
        <w:tc>
          <w:tcPr>
            <w:tcW w:w="1068" w:type="pct"/>
            <w:vMerge w:val="continue"/>
            <w:vAlign w:val="center"/>
          </w:tcPr>
          <w:p w14:paraId="3B7E4ABF">
            <w:pPr>
              <w:pStyle w:val="12"/>
              <w:jc w:val="center"/>
            </w:pPr>
          </w:p>
        </w:tc>
        <w:tc>
          <w:tcPr>
            <w:tcW w:w="1317" w:type="pct"/>
            <w:vMerge w:val="continue"/>
            <w:vAlign w:val="center"/>
          </w:tcPr>
          <w:p w14:paraId="06E03EF3">
            <w:pPr>
              <w:pStyle w:val="12"/>
              <w:jc w:val="left"/>
            </w:pPr>
          </w:p>
        </w:tc>
      </w:tr>
      <w:tr w14:paraId="1F7E33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4363CD66">
            <w:pPr>
              <w:pStyle w:val="12"/>
              <w:jc w:val="center"/>
              <w:rPr>
                <w:rFonts w:ascii="宋体" w:hAnsi="宋体" w:cs="宋体"/>
              </w:rPr>
            </w:pPr>
            <w:r>
              <w:rPr>
                <w:rFonts w:hint="eastAsia"/>
              </w:rPr>
              <w:t>罗木泉</w:t>
            </w:r>
          </w:p>
        </w:tc>
        <w:tc>
          <w:tcPr>
            <w:tcW w:w="1065" w:type="pct"/>
            <w:vMerge w:val="restart"/>
            <w:vAlign w:val="center"/>
          </w:tcPr>
          <w:p w14:paraId="2425D6CB">
            <w:pPr>
              <w:pStyle w:val="12"/>
              <w:jc w:val="center"/>
            </w:pPr>
            <w:r>
              <w:rPr>
                <w:rFonts w:hint="eastAsia"/>
              </w:rPr>
              <w:t>市农业局</w:t>
            </w:r>
          </w:p>
        </w:tc>
        <w:tc>
          <w:tcPr>
            <w:tcW w:w="853" w:type="pct"/>
            <w:vMerge w:val="restart"/>
            <w:vAlign w:val="center"/>
          </w:tcPr>
          <w:p w14:paraId="109615E1">
            <w:pPr>
              <w:pStyle w:val="12"/>
              <w:jc w:val="center"/>
            </w:pPr>
            <w:r>
              <w:rPr>
                <w:rFonts w:hint="eastAsia"/>
              </w:rPr>
              <w:t>1997年</w:t>
            </w:r>
          </w:p>
        </w:tc>
        <w:tc>
          <w:tcPr>
            <w:tcW w:w="1068" w:type="pct"/>
            <w:vMerge w:val="restart"/>
            <w:vAlign w:val="center"/>
          </w:tcPr>
          <w:p w14:paraId="4A1B8580">
            <w:pPr>
              <w:pStyle w:val="12"/>
              <w:jc w:val="center"/>
            </w:pPr>
            <w:r>
              <w:rPr>
                <w:rFonts w:hint="eastAsia"/>
              </w:rPr>
              <w:t>国家农业部</w:t>
            </w:r>
          </w:p>
        </w:tc>
        <w:tc>
          <w:tcPr>
            <w:tcW w:w="1317" w:type="pct"/>
            <w:vMerge w:val="restart"/>
            <w:vAlign w:val="center"/>
          </w:tcPr>
          <w:p w14:paraId="518BD2EA">
            <w:pPr>
              <w:pStyle w:val="12"/>
              <w:jc w:val="left"/>
            </w:pPr>
            <w:r>
              <w:rPr>
                <w:rFonts w:hint="eastAsia"/>
              </w:rPr>
              <w:t>水稻旱播旱育高产栽培综合技术三等奖</w:t>
            </w:r>
          </w:p>
        </w:tc>
      </w:tr>
      <w:tr w14:paraId="671B72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05678E1C">
            <w:pPr>
              <w:pStyle w:val="12"/>
              <w:jc w:val="center"/>
              <w:rPr>
                <w:rFonts w:ascii="宋体" w:hAnsi="宋体" w:cs="宋体"/>
              </w:rPr>
            </w:pPr>
            <w:r>
              <w:rPr>
                <w:rFonts w:hint="eastAsia" w:ascii="宋体" w:hAnsi="宋体" w:cs="宋体"/>
              </w:rPr>
              <w:t>肖开林</w:t>
            </w:r>
          </w:p>
        </w:tc>
        <w:tc>
          <w:tcPr>
            <w:tcW w:w="1065" w:type="pct"/>
            <w:vMerge w:val="continue"/>
            <w:vAlign w:val="center"/>
          </w:tcPr>
          <w:p w14:paraId="757A13E3">
            <w:pPr>
              <w:pStyle w:val="12"/>
              <w:jc w:val="center"/>
            </w:pPr>
          </w:p>
        </w:tc>
        <w:tc>
          <w:tcPr>
            <w:tcW w:w="853" w:type="pct"/>
            <w:vMerge w:val="continue"/>
            <w:vAlign w:val="center"/>
          </w:tcPr>
          <w:p w14:paraId="6E1D0B47">
            <w:pPr>
              <w:pStyle w:val="12"/>
              <w:jc w:val="center"/>
            </w:pPr>
          </w:p>
        </w:tc>
        <w:tc>
          <w:tcPr>
            <w:tcW w:w="1068" w:type="pct"/>
            <w:vMerge w:val="continue"/>
            <w:vAlign w:val="center"/>
          </w:tcPr>
          <w:p w14:paraId="1086C709">
            <w:pPr>
              <w:pStyle w:val="12"/>
              <w:jc w:val="center"/>
            </w:pPr>
          </w:p>
        </w:tc>
        <w:tc>
          <w:tcPr>
            <w:tcW w:w="1317" w:type="pct"/>
            <w:vMerge w:val="continue"/>
            <w:vAlign w:val="center"/>
          </w:tcPr>
          <w:p w14:paraId="4DBE4C01">
            <w:pPr>
              <w:pStyle w:val="12"/>
              <w:jc w:val="left"/>
            </w:pPr>
          </w:p>
        </w:tc>
      </w:tr>
      <w:tr w14:paraId="1F7A7F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08D33F50">
            <w:pPr>
              <w:pStyle w:val="12"/>
              <w:jc w:val="center"/>
              <w:rPr>
                <w:rFonts w:ascii="宋体" w:hAnsi="宋体" w:cs="宋体"/>
              </w:rPr>
            </w:pPr>
            <w:r>
              <w:rPr>
                <w:rFonts w:hint="eastAsia" w:ascii="宋体" w:hAnsi="宋体" w:cs="宋体"/>
              </w:rPr>
              <w:t>朱祖华</w:t>
            </w:r>
          </w:p>
        </w:tc>
        <w:tc>
          <w:tcPr>
            <w:tcW w:w="1065" w:type="pct"/>
            <w:vMerge w:val="continue"/>
            <w:vAlign w:val="center"/>
          </w:tcPr>
          <w:p w14:paraId="5368FB4E">
            <w:pPr>
              <w:pStyle w:val="12"/>
              <w:jc w:val="center"/>
            </w:pPr>
          </w:p>
        </w:tc>
        <w:tc>
          <w:tcPr>
            <w:tcW w:w="853" w:type="pct"/>
            <w:vMerge w:val="continue"/>
            <w:vAlign w:val="center"/>
          </w:tcPr>
          <w:p w14:paraId="56E7F3CE">
            <w:pPr>
              <w:pStyle w:val="12"/>
              <w:jc w:val="center"/>
            </w:pPr>
          </w:p>
        </w:tc>
        <w:tc>
          <w:tcPr>
            <w:tcW w:w="1068" w:type="pct"/>
            <w:vMerge w:val="continue"/>
            <w:vAlign w:val="center"/>
          </w:tcPr>
          <w:p w14:paraId="31942879">
            <w:pPr>
              <w:pStyle w:val="12"/>
              <w:jc w:val="center"/>
            </w:pPr>
          </w:p>
        </w:tc>
        <w:tc>
          <w:tcPr>
            <w:tcW w:w="1317" w:type="pct"/>
            <w:vMerge w:val="continue"/>
            <w:vAlign w:val="center"/>
          </w:tcPr>
          <w:p w14:paraId="54BB541F">
            <w:pPr>
              <w:pStyle w:val="12"/>
              <w:jc w:val="left"/>
            </w:pPr>
          </w:p>
        </w:tc>
      </w:tr>
      <w:tr w14:paraId="7440A6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6A512F34">
            <w:pPr>
              <w:pStyle w:val="12"/>
              <w:jc w:val="center"/>
              <w:rPr>
                <w:rFonts w:ascii="宋体" w:hAnsi="宋体" w:cs="宋体"/>
              </w:rPr>
            </w:pPr>
            <w:r>
              <w:rPr>
                <w:rFonts w:hint="eastAsia" w:ascii="宋体" w:hAnsi="宋体" w:cs="宋体"/>
              </w:rPr>
              <w:t>刘银生</w:t>
            </w:r>
          </w:p>
        </w:tc>
        <w:tc>
          <w:tcPr>
            <w:tcW w:w="1065" w:type="pct"/>
            <w:vMerge w:val="continue"/>
            <w:vAlign w:val="center"/>
          </w:tcPr>
          <w:p w14:paraId="760E2E83">
            <w:pPr>
              <w:pStyle w:val="12"/>
              <w:jc w:val="center"/>
            </w:pPr>
          </w:p>
        </w:tc>
        <w:tc>
          <w:tcPr>
            <w:tcW w:w="853" w:type="pct"/>
            <w:vMerge w:val="continue"/>
            <w:vAlign w:val="center"/>
          </w:tcPr>
          <w:p w14:paraId="48F17F5D">
            <w:pPr>
              <w:pStyle w:val="12"/>
              <w:jc w:val="center"/>
            </w:pPr>
          </w:p>
        </w:tc>
        <w:tc>
          <w:tcPr>
            <w:tcW w:w="1068" w:type="pct"/>
            <w:vMerge w:val="continue"/>
            <w:vAlign w:val="center"/>
          </w:tcPr>
          <w:p w14:paraId="55A52D4B">
            <w:pPr>
              <w:pStyle w:val="12"/>
              <w:jc w:val="center"/>
            </w:pPr>
          </w:p>
        </w:tc>
        <w:tc>
          <w:tcPr>
            <w:tcW w:w="1317" w:type="pct"/>
            <w:vMerge w:val="continue"/>
            <w:vAlign w:val="center"/>
          </w:tcPr>
          <w:p w14:paraId="005B15E5">
            <w:pPr>
              <w:pStyle w:val="12"/>
              <w:jc w:val="left"/>
            </w:pPr>
          </w:p>
        </w:tc>
      </w:tr>
      <w:tr w14:paraId="6DE854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2DCFFD41">
            <w:pPr>
              <w:pStyle w:val="12"/>
              <w:jc w:val="center"/>
              <w:rPr>
                <w:rFonts w:ascii="宋体" w:hAnsi="宋体" w:cs="宋体"/>
              </w:rPr>
            </w:pPr>
            <w:r>
              <w:rPr>
                <w:rFonts w:hint="eastAsia" w:ascii="宋体" w:hAnsi="宋体" w:cs="宋体"/>
              </w:rPr>
              <w:t>周礼军</w:t>
            </w:r>
          </w:p>
        </w:tc>
        <w:tc>
          <w:tcPr>
            <w:tcW w:w="1065" w:type="pct"/>
            <w:vMerge w:val="continue"/>
            <w:vAlign w:val="center"/>
          </w:tcPr>
          <w:p w14:paraId="6500CE00">
            <w:pPr>
              <w:pStyle w:val="12"/>
              <w:jc w:val="center"/>
            </w:pPr>
          </w:p>
        </w:tc>
        <w:tc>
          <w:tcPr>
            <w:tcW w:w="853" w:type="pct"/>
            <w:vMerge w:val="continue"/>
            <w:vAlign w:val="center"/>
          </w:tcPr>
          <w:p w14:paraId="38EC219C">
            <w:pPr>
              <w:pStyle w:val="12"/>
              <w:jc w:val="center"/>
            </w:pPr>
          </w:p>
        </w:tc>
        <w:tc>
          <w:tcPr>
            <w:tcW w:w="1068" w:type="pct"/>
            <w:vMerge w:val="continue"/>
            <w:vAlign w:val="center"/>
          </w:tcPr>
          <w:p w14:paraId="3267A25D">
            <w:pPr>
              <w:pStyle w:val="12"/>
              <w:jc w:val="center"/>
            </w:pPr>
          </w:p>
        </w:tc>
        <w:tc>
          <w:tcPr>
            <w:tcW w:w="1317" w:type="pct"/>
            <w:vMerge w:val="continue"/>
            <w:vAlign w:val="center"/>
          </w:tcPr>
          <w:p w14:paraId="1CCE4663">
            <w:pPr>
              <w:pStyle w:val="12"/>
              <w:jc w:val="left"/>
            </w:pPr>
          </w:p>
        </w:tc>
      </w:tr>
      <w:tr w14:paraId="5B948B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3217450C">
            <w:pPr>
              <w:pStyle w:val="12"/>
              <w:jc w:val="center"/>
              <w:rPr>
                <w:rFonts w:ascii="宋体" w:hAnsi="宋体" w:cs="宋体"/>
              </w:rPr>
            </w:pPr>
            <w:r>
              <w:rPr>
                <w:rFonts w:hint="eastAsia" w:ascii="宋体" w:hAnsi="宋体" w:cs="宋体"/>
              </w:rPr>
              <w:t>刘  军</w:t>
            </w:r>
          </w:p>
        </w:tc>
        <w:tc>
          <w:tcPr>
            <w:tcW w:w="1065" w:type="pct"/>
            <w:vMerge w:val="continue"/>
            <w:vAlign w:val="center"/>
          </w:tcPr>
          <w:p w14:paraId="044B3D51">
            <w:pPr>
              <w:pStyle w:val="12"/>
              <w:jc w:val="center"/>
            </w:pPr>
          </w:p>
        </w:tc>
        <w:tc>
          <w:tcPr>
            <w:tcW w:w="853" w:type="pct"/>
            <w:vMerge w:val="continue"/>
            <w:vAlign w:val="center"/>
          </w:tcPr>
          <w:p w14:paraId="34F75836">
            <w:pPr>
              <w:pStyle w:val="12"/>
              <w:jc w:val="center"/>
            </w:pPr>
          </w:p>
        </w:tc>
        <w:tc>
          <w:tcPr>
            <w:tcW w:w="1068" w:type="pct"/>
            <w:vMerge w:val="continue"/>
            <w:vAlign w:val="center"/>
          </w:tcPr>
          <w:p w14:paraId="33AEA96C">
            <w:pPr>
              <w:pStyle w:val="12"/>
              <w:jc w:val="center"/>
            </w:pPr>
          </w:p>
        </w:tc>
        <w:tc>
          <w:tcPr>
            <w:tcW w:w="1317" w:type="pct"/>
            <w:vMerge w:val="continue"/>
            <w:vAlign w:val="center"/>
          </w:tcPr>
          <w:p w14:paraId="434AD788">
            <w:pPr>
              <w:pStyle w:val="12"/>
              <w:jc w:val="left"/>
            </w:pPr>
          </w:p>
        </w:tc>
      </w:tr>
      <w:tr w14:paraId="167C4D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724D7B44">
            <w:pPr>
              <w:pStyle w:val="12"/>
              <w:jc w:val="center"/>
              <w:rPr>
                <w:rFonts w:ascii="宋体" w:hAnsi="宋体" w:cs="宋体"/>
              </w:rPr>
            </w:pPr>
            <w:r>
              <w:rPr>
                <w:rFonts w:hint="eastAsia" w:ascii="宋体" w:hAnsi="宋体" w:cs="宋体"/>
              </w:rPr>
              <w:t>林学甫</w:t>
            </w:r>
          </w:p>
        </w:tc>
        <w:tc>
          <w:tcPr>
            <w:tcW w:w="1065" w:type="pct"/>
            <w:vMerge w:val="continue"/>
            <w:vAlign w:val="center"/>
          </w:tcPr>
          <w:p w14:paraId="1F4CE01A">
            <w:pPr>
              <w:pStyle w:val="12"/>
              <w:jc w:val="center"/>
            </w:pPr>
          </w:p>
        </w:tc>
        <w:tc>
          <w:tcPr>
            <w:tcW w:w="853" w:type="pct"/>
            <w:vMerge w:val="continue"/>
            <w:vAlign w:val="center"/>
          </w:tcPr>
          <w:p w14:paraId="4CC17A19">
            <w:pPr>
              <w:pStyle w:val="12"/>
              <w:jc w:val="center"/>
            </w:pPr>
          </w:p>
        </w:tc>
        <w:tc>
          <w:tcPr>
            <w:tcW w:w="1068" w:type="pct"/>
            <w:vMerge w:val="continue"/>
            <w:vAlign w:val="center"/>
          </w:tcPr>
          <w:p w14:paraId="7A9336BD">
            <w:pPr>
              <w:pStyle w:val="12"/>
              <w:jc w:val="center"/>
            </w:pPr>
          </w:p>
        </w:tc>
        <w:tc>
          <w:tcPr>
            <w:tcW w:w="1317" w:type="pct"/>
            <w:vMerge w:val="continue"/>
            <w:vAlign w:val="center"/>
          </w:tcPr>
          <w:p w14:paraId="66CD95A6">
            <w:pPr>
              <w:pStyle w:val="12"/>
              <w:jc w:val="left"/>
            </w:pPr>
          </w:p>
        </w:tc>
      </w:tr>
      <w:tr w14:paraId="0086C3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77E0CF07">
            <w:pPr>
              <w:pStyle w:val="12"/>
              <w:jc w:val="center"/>
              <w:rPr>
                <w:rFonts w:ascii="宋体" w:hAnsi="宋体" w:cs="宋体"/>
              </w:rPr>
            </w:pPr>
            <w:r>
              <w:rPr>
                <w:rFonts w:hint="eastAsia" w:ascii="宋体" w:hAnsi="宋体" w:cs="宋体"/>
              </w:rPr>
              <w:t>邱邦辉</w:t>
            </w:r>
          </w:p>
        </w:tc>
        <w:tc>
          <w:tcPr>
            <w:tcW w:w="1065" w:type="pct"/>
            <w:vMerge w:val="continue"/>
            <w:vAlign w:val="center"/>
          </w:tcPr>
          <w:p w14:paraId="25134DA6">
            <w:pPr>
              <w:pStyle w:val="12"/>
              <w:jc w:val="center"/>
            </w:pPr>
          </w:p>
        </w:tc>
        <w:tc>
          <w:tcPr>
            <w:tcW w:w="853" w:type="pct"/>
            <w:vMerge w:val="continue"/>
            <w:vAlign w:val="center"/>
          </w:tcPr>
          <w:p w14:paraId="232D2851">
            <w:pPr>
              <w:pStyle w:val="12"/>
              <w:jc w:val="center"/>
            </w:pPr>
          </w:p>
        </w:tc>
        <w:tc>
          <w:tcPr>
            <w:tcW w:w="1068" w:type="pct"/>
            <w:vMerge w:val="continue"/>
            <w:vAlign w:val="center"/>
          </w:tcPr>
          <w:p w14:paraId="2BD1518B">
            <w:pPr>
              <w:pStyle w:val="12"/>
              <w:jc w:val="center"/>
            </w:pPr>
          </w:p>
        </w:tc>
        <w:tc>
          <w:tcPr>
            <w:tcW w:w="1317" w:type="pct"/>
            <w:vMerge w:val="continue"/>
            <w:vAlign w:val="center"/>
          </w:tcPr>
          <w:p w14:paraId="1B2DB684">
            <w:pPr>
              <w:pStyle w:val="12"/>
              <w:jc w:val="left"/>
            </w:pPr>
          </w:p>
        </w:tc>
      </w:tr>
      <w:tr w14:paraId="7D4094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53A7C936">
            <w:pPr>
              <w:pStyle w:val="12"/>
              <w:jc w:val="center"/>
              <w:rPr>
                <w:rFonts w:ascii="宋体" w:hAnsi="宋体" w:cs="宋体"/>
              </w:rPr>
            </w:pPr>
            <w:r>
              <w:rPr>
                <w:rFonts w:hint="eastAsia" w:ascii="宋体" w:hAnsi="宋体" w:cs="宋体"/>
              </w:rPr>
              <w:t>夏叠文</w:t>
            </w:r>
          </w:p>
        </w:tc>
        <w:tc>
          <w:tcPr>
            <w:tcW w:w="1065" w:type="pct"/>
            <w:vMerge w:val="continue"/>
            <w:vAlign w:val="center"/>
          </w:tcPr>
          <w:p w14:paraId="41BD698B">
            <w:pPr>
              <w:pStyle w:val="12"/>
              <w:jc w:val="center"/>
            </w:pPr>
          </w:p>
        </w:tc>
        <w:tc>
          <w:tcPr>
            <w:tcW w:w="853" w:type="pct"/>
            <w:vMerge w:val="continue"/>
            <w:vAlign w:val="center"/>
          </w:tcPr>
          <w:p w14:paraId="6EA60910">
            <w:pPr>
              <w:pStyle w:val="12"/>
              <w:jc w:val="center"/>
            </w:pPr>
          </w:p>
        </w:tc>
        <w:tc>
          <w:tcPr>
            <w:tcW w:w="1068" w:type="pct"/>
            <w:vMerge w:val="continue"/>
            <w:vAlign w:val="center"/>
          </w:tcPr>
          <w:p w14:paraId="0189D43C">
            <w:pPr>
              <w:pStyle w:val="12"/>
              <w:jc w:val="center"/>
            </w:pPr>
          </w:p>
        </w:tc>
        <w:tc>
          <w:tcPr>
            <w:tcW w:w="1317" w:type="pct"/>
            <w:vMerge w:val="continue"/>
            <w:vAlign w:val="center"/>
          </w:tcPr>
          <w:p w14:paraId="1BC7F4C5">
            <w:pPr>
              <w:pStyle w:val="12"/>
              <w:jc w:val="left"/>
            </w:pPr>
          </w:p>
        </w:tc>
      </w:tr>
      <w:tr w14:paraId="769F4D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321BFA82">
            <w:pPr>
              <w:pStyle w:val="12"/>
              <w:jc w:val="center"/>
              <w:rPr>
                <w:rFonts w:ascii="宋体" w:hAnsi="宋体" w:cs="宋体"/>
              </w:rPr>
            </w:pPr>
            <w:r>
              <w:rPr>
                <w:rFonts w:hint="eastAsia" w:ascii="宋体" w:hAnsi="宋体" w:cs="宋体"/>
              </w:rPr>
              <w:t>陈尚龙</w:t>
            </w:r>
          </w:p>
        </w:tc>
        <w:tc>
          <w:tcPr>
            <w:tcW w:w="1065" w:type="pct"/>
            <w:vMerge w:val="continue"/>
            <w:vAlign w:val="center"/>
          </w:tcPr>
          <w:p w14:paraId="4CF6D6BD">
            <w:pPr>
              <w:pStyle w:val="12"/>
              <w:jc w:val="center"/>
            </w:pPr>
          </w:p>
        </w:tc>
        <w:tc>
          <w:tcPr>
            <w:tcW w:w="853" w:type="pct"/>
            <w:vMerge w:val="continue"/>
            <w:vAlign w:val="center"/>
          </w:tcPr>
          <w:p w14:paraId="49877303">
            <w:pPr>
              <w:pStyle w:val="12"/>
              <w:jc w:val="center"/>
            </w:pPr>
          </w:p>
        </w:tc>
        <w:tc>
          <w:tcPr>
            <w:tcW w:w="1068" w:type="pct"/>
            <w:vMerge w:val="continue"/>
            <w:vAlign w:val="center"/>
          </w:tcPr>
          <w:p w14:paraId="14271986">
            <w:pPr>
              <w:pStyle w:val="12"/>
              <w:jc w:val="center"/>
            </w:pPr>
          </w:p>
        </w:tc>
        <w:tc>
          <w:tcPr>
            <w:tcW w:w="1317" w:type="pct"/>
            <w:vMerge w:val="continue"/>
            <w:vAlign w:val="center"/>
          </w:tcPr>
          <w:p w14:paraId="611A3D02">
            <w:pPr>
              <w:pStyle w:val="12"/>
              <w:jc w:val="left"/>
            </w:pPr>
          </w:p>
        </w:tc>
      </w:tr>
      <w:tr w14:paraId="366ECE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7934533C">
            <w:pPr>
              <w:pStyle w:val="12"/>
              <w:jc w:val="center"/>
              <w:rPr>
                <w:rFonts w:ascii="宋体" w:hAnsi="宋体" w:cs="宋体"/>
              </w:rPr>
            </w:pPr>
            <w:r>
              <w:rPr>
                <w:rFonts w:hint="eastAsia" w:ascii="宋体" w:hAnsi="宋体" w:cs="宋体"/>
              </w:rPr>
              <w:t>钟祥富</w:t>
            </w:r>
          </w:p>
        </w:tc>
        <w:tc>
          <w:tcPr>
            <w:tcW w:w="1065" w:type="pct"/>
            <w:vMerge w:val="continue"/>
            <w:vAlign w:val="center"/>
          </w:tcPr>
          <w:p w14:paraId="4C55672D">
            <w:pPr>
              <w:pStyle w:val="12"/>
              <w:jc w:val="center"/>
            </w:pPr>
          </w:p>
        </w:tc>
        <w:tc>
          <w:tcPr>
            <w:tcW w:w="853" w:type="pct"/>
            <w:vMerge w:val="continue"/>
            <w:vAlign w:val="center"/>
          </w:tcPr>
          <w:p w14:paraId="41FA7910">
            <w:pPr>
              <w:pStyle w:val="12"/>
              <w:jc w:val="center"/>
            </w:pPr>
          </w:p>
        </w:tc>
        <w:tc>
          <w:tcPr>
            <w:tcW w:w="1068" w:type="pct"/>
            <w:vMerge w:val="continue"/>
            <w:vAlign w:val="center"/>
          </w:tcPr>
          <w:p w14:paraId="1065DED4">
            <w:pPr>
              <w:pStyle w:val="12"/>
              <w:jc w:val="center"/>
            </w:pPr>
          </w:p>
        </w:tc>
        <w:tc>
          <w:tcPr>
            <w:tcW w:w="1317" w:type="pct"/>
            <w:vMerge w:val="continue"/>
            <w:vAlign w:val="center"/>
          </w:tcPr>
          <w:p w14:paraId="3AD39603">
            <w:pPr>
              <w:pStyle w:val="12"/>
              <w:jc w:val="left"/>
            </w:pPr>
          </w:p>
        </w:tc>
      </w:tr>
      <w:tr w14:paraId="5DB56F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189C53E8">
            <w:pPr>
              <w:pStyle w:val="12"/>
              <w:jc w:val="center"/>
              <w:rPr>
                <w:rFonts w:ascii="宋体" w:hAnsi="宋体" w:cs="宋体"/>
              </w:rPr>
            </w:pPr>
            <w:r>
              <w:rPr>
                <w:rFonts w:hint="eastAsia" w:ascii="宋体" w:hAnsi="宋体" w:cs="宋体"/>
              </w:rPr>
              <w:t>叶常煌</w:t>
            </w:r>
          </w:p>
        </w:tc>
        <w:tc>
          <w:tcPr>
            <w:tcW w:w="1065" w:type="pct"/>
            <w:vMerge w:val="continue"/>
            <w:vAlign w:val="center"/>
          </w:tcPr>
          <w:p w14:paraId="4529A0A1">
            <w:pPr>
              <w:pStyle w:val="12"/>
              <w:jc w:val="center"/>
            </w:pPr>
          </w:p>
        </w:tc>
        <w:tc>
          <w:tcPr>
            <w:tcW w:w="853" w:type="pct"/>
            <w:vMerge w:val="continue"/>
            <w:vAlign w:val="center"/>
          </w:tcPr>
          <w:p w14:paraId="2ADF94DF">
            <w:pPr>
              <w:pStyle w:val="12"/>
              <w:jc w:val="center"/>
            </w:pPr>
          </w:p>
        </w:tc>
        <w:tc>
          <w:tcPr>
            <w:tcW w:w="1068" w:type="pct"/>
            <w:vMerge w:val="continue"/>
            <w:vAlign w:val="center"/>
          </w:tcPr>
          <w:p w14:paraId="09E78EFB">
            <w:pPr>
              <w:pStyle w:val="12"/>
              <w:jc w:val="center"/>
            </w:pPr>
          </w:p>
        </w:tc>
        <w:tc>
          <w:tcPr>
            <w:tcW w:w="1317" w:type="pct"/>
            <w:vMerge w:val="continue"/>
            <w:vAlign w:val="center"/>
          </w:tcPr>
          <w:p w14:paraId="2BC831B2">
            <w:pPr>
              <w:pStyle w:val="12"/>
              <w:jc w:val="left"/>
            </w:pPr>
          </w:p>
        </w:tc>
      </w:tr>
      <w:tr w14:paraId="60834E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48762429">
            <w:pPr>
              <w:pStyle w:val="12"/>
              <w:jc w:val="center"/>
              <w:rPr>
                <w:rFonts w:ascii="宋体" w:hAnsi="宋体" w:cs="宋体"/>
              </w:rPr>
            </w:pPr>
            <w:r>
              <w:rPr>
                <w:rFonts w:hint="eastAsia" w:ascii="宋体" w:hAnsi="宋体" w:cs="宋体"/>
              </w:rPr>
              <w:t>黄以委</w:t>
            </w:r>
          </w:p>
        </w:tc>
        <w:tc>
          <w:tcPr>
            <w:tcW w:w="1065" w:type="pct"/>
            <w:vMerge w:val="continue"/>
            <w:vAlign w:val="center"/>
          </w:tcPr>
          <w:p w14:paraId="421BFE8D">
            <w:pPr>
              <w:pStyle w:val="12"/>
              <w:jc w:val="center"/>
            </w:pPr>
          </w:p>
        </w:tc>
        <w:tc>
          <w:tcPr>
            <w:tcW w:w="853" w:type="pct"/>
            <w:vMerge w:val="continue"/>
            <w:vAlign w:val="center"/>
          </w:tcPr>
          <w:p w14:paraId="4E970D69">
            <w:pPr>
              <w:pStyle w:val="12"/>
              <w:jc w:val="center"/>
            </w:pPr>
          </w:p>
        </w:tc>
        <w:tc>
          <w:tcPr>
            <w:tcW w:w="1068" w:type="pct"/>
            <w:vMerge w:val="continue"/>
            <w:vAlign w:val="center"/>
          </w:tcPr>
          <w:p w14:paraId="5557BC68">
            <w:pPr>
              <w:pStyle w:val="12"/>
              <w:jc w:val="center"/>
            </w:pPr>
          </w:p>
        </w:tc>
        <w:tc>
          <w:tcPr>
            <w:tcW w:w="1317" w:type="pct"/>
            <w:vMerge w:val="continue"/>
            <w:vAlign w:val="center"/>
          </w:tcPr>
          <w:p w14:paraId="6BCDC56D">
            <w:pPr>
              <w:pStyle w:val="12"/>
              <w:jc w:val="left"/>
            </w:pPr>
          </w:p>
        </w:tc>
      </w:tr>
      <w:tr w14:paraId="3E777A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57B85D65">
            <w:pPr>
              <w:pStyle w:val="12"/>
              <w:jc w:val="center"/>
              <w:rPr>
                <w:rFonts w:ascii="宋体" w:hAnsi="宋体" w:cs="宋体"/>
              </w:rPr>
            </w:pPr>
            <w:r>
              <w:rPr>
                <w:rFonts w:hint="eastAsia" w:ascii="宋体" w:hAnsi="宋体" w:cs="宋体"/>
              </w:rPr>
              <w:t>肖永华</w:t>
            </w:r>
          </w:p>
        </w:tc>
        <w:tc>
          <w:tcPr>
            <w:tcW w:w="1065" w:type="pct"/>
            <w:vMerge w:val="continue"/>
            <w:vAlign w:val="center"/>
          </w:tcPr>
          <w:p w14:paraId="58588BCE">
            <w:pPr>
              <w:pStyle w:val="12"/>
              <w:jc w:val="center"/>
            </w:pPr>
          </w:p>
        </w:tc>
        <w:tc>
          <w:tcPr>
            <w:tcW w:w="853" w:type="pct"/>
            <w:vMerge w:val="continue"/>
            <w:vAlign w:val="center"/>
          </w:tcPr>
          <w:p w14:paraId="29866550">
            <w:pPr>
              <w:pStyle w:val="12"/>
              <w:jc w:val="center"/>
            </w:pPr>
          </w:p>
        </w:tc>
        <w:tc>
          <w:tcPr>
            <w:tcW w:w="1068" w:type="pct"/>
            <w:vMerge w:val="continue"/>
            <w:vAlign w:val="center"/>
          </w:tcPr>
          <w:p w14:paraId="47B9D995">
            <w:pPr>
              <w:pStyle w:val="12"/>
              <w:jc w:val="center"/>
            </w:pPr>
          </w:p>
        </w:tc>
        <w:tc>
          <w:tcPr>
            <w:tcW w:w="1317" w:type="pct"/>
            <w:vMerge w:val="continue"/>
            <w:vAlign w:val="center"/>
          </w:tcPr>
          <w:p w14:paraId="6AFE97DF">
            <w:pPr>
              <w:pStyle w:val="12"/>
              <w:jc w:val="left"/>
            </w:pPr>
          </w:p>
        </w:tc>
      </w:tr>
      <w:tr w14:paraId="117C0D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51C14F82">
            <w:pPr>
              <w:pStyle w:val="12"/>
              <w:jc w:val="center"/>
              <w:rPr>
                <w:rFonts w:ascii="宋体" w:hAnsi="宋体" w:cs="宋体"/>
              </w:rPr>
            </w:pPr>
            <w:r>
              <w:rPr>
                <w:rFonts w:hint="eastAsia" w:ascii="宋体" w:hAnsi="宋体" w:cs="宋体"/>
              </w:rPr>
              <w:t>胡  辉</w:t>
            </w:r>
          </w:p>
        </w:tc>
        <w:tc>
          <w:tcPr>
            <w:tcW w:w="1065" w:type="pct"/>
            <w:vMerge w:val="continue"/>
            <w:vAlign w:val="center"/>
          </w:tcPr>
          <w:p w14:paraId="60B059B7">
            <w:pPr>
              <w:pStyle w:val="12"/>
              <w:jc w:val="center"/>
            </w:pPr>
          </w:p>
        </w:tc>
        <w:tc>
          <w:tcPr>
            <w:tcW w:w="853" w:type="pct"/>
            <w:vMerge w:val="continue"/>
            <w:vAlign w:val="center"/>
          </w:tcPr>
          <w:p w14:paraId="03E445AD">
            <w:pPr>
              <w:pStyle w:val="12"/>
              <w:jc w:val="center"/>
            </w:pPr>
          </w:p>
        </w:tc>
        <w:tc>
          <w:tcPr>
            <w:tcW w:w="1068" w:type="pct"/>
            <w:vMerge w:val="continue"/>
            <w:vAlign w:val="center"/>
          </w:tcPr>
          <w:p w14:paraId="4C25FF1D">
            <w:pPr>
              <w:pStyle w:val="12"/>
              <w:jc w:val="center"/>
            </w:pPr>
          </w:p>
        </w:tc>
        <w:tc>
          <w:tcPr>
            <w:tcW w:w="1317" w:type="pct"/>
            <w:vMerge w:val="continue"/>
            <w:vAlign w:val="center"/>
          </w:tcPr>
          <w:p w14:paraId="3183AF17">
            <w:pPr>
              <w:pStyle w:val="12"/>
              <w:jc w:val="left"/>
            </w:pPr>
          </w:p>
        </w:tc>
      </w:tr>
      <w:tr w14:paraId="32CA92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4F50E3BF">
            <w:pPr>
              <w:pStyle w:val="12"/>
              <w:jc w:val="center"/>
              <w:rPr>
                <w:rFonts w:ascii="宋体" w:hAnsi="宋体" w:cs="宋体"/>
              </w:rPr>
            </w:pPr>
            <w:r>
              <w:rPr>
                <w:rFonts w:hint="eastAsia" w:ascii="宋体" w:hAnsi="宋体" w:cs="宋体"/>
              </w:rPr>
              <w:t>黄洲文</w:t>
            </w:r>
          </w:p>
        </w:tc>
        <w:tc>
          <w:tcPr>
            <w:tcW w:w="1065" w:type="pct"/>
            <w:vMerge w:val="continue"/>
            <w:vAlign w:val="center"/>
          </w:tcPr>
          <w:p w14:paraId="7097D914">
            <w:pPr>
              <w:pStyle w:val="12"/>
              <w:jc w:val="center"/>
            </w:pPr>
          </w:p>
        </w:tc>
        <w:tc>
          <w:tcPr>
            <w:tcW w:w="853" w:type="pct"/>
            <w:vMerge w:val="continue"/>
            <w:vAlign w:val="center"/>
          </w:tcPr>
          <w:p w14:paraId="64E6B6D9">
            <w:pPr>
              <w:pStyle w:val="12"/>
              <w:jc w:val="center"/>
            </w:pPr>
          </w:p>
        </w:tc>
        <w:tc>
          <w:tcPr>
            <w:tcW w:w="1068" w:type="pct"/>
            <w:vMerge w:val="continue"/>
            <w:vAlign w:val="center"/>
          </w:tcPr>
          <w:p w14:paraId="10938A9B">
            <w:pPr>
              <w:pStyle w:val="12"/>
              <w:jc w:val="center"/>
            </w:pPr>
          </w:p>
        </w:tc>
        <w:tc>
          <w:tcPr>
            <w:tcW w:w="1317" w:type="pct"/>
            <w:vMerge w:val="continue"/>
            <w:vAlign w:val="center"/>
          </w:tcPr>
          <w:p w14:paraId="0EDE334F">
            <w:pPr>
              <w:pStyle w:val="12"/>
              <w:jc w:val="left"/>
            </w:pPr>
          </w:p>
        </w:tc>
      </w:tr>
      <w:tr w14:paraId="5B72F6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0A92374F">
            <w:pPr>
              <w:pStyle w:val="12"/>
              <w:jc w:val="center"/>
              <w:rPr>
                <w:rFonts w:ascii="宋体" w:hAnsi="宋体" w:cs="宋体"/>
              </w:rPr>
            </w:pPr>
            <w:r>
              <w:rPr>
                <w:rFonts w:hint="eastAsia" w:ascii="宋体" w:hAnsi="宋体" w:cs="宋体"/>
              </w:rPr>
              <w:t>曹宗林</w:t>
            </w:r>
          </w:p>
        </w:tc>
        <w:tc>
          <w:tcPr>
            <w:tcW w:w="1065" w:type="pct"/>
            <w:vMerge w:val="continue"/>
            <w:vAlign w:val="center"/>
          </w:tcPr>
          <w:p w14:paraId="115172DE">
            <w:pPr>
              <w:pStyle w:val="12"/>
              <w:jc w:val="center"/>
            </w:pPr>
          </w:p>
        </w:tc>
        <w:tc>
          <w:tcPr>
            <w:tcW w:w="853" w:type="pct"/>
            <w:vMerge w:val="continue"/>
            <w:vAlign w:val="center"/>
          </w:tcPr>
          <w:p w14:paraId="0E11C2AE">
            <w:pPr>
              <w:pStyle w:val="12"/>
              <w:jc w:val="center"/>
            </w:pPr>
          </w:p>
        </w:tc>
        <w:tc>
          <w:tcPr>
            <w:tcW w:w="1068" w:type="pct"/>
            <w:vMerge w:val="continue"/>
            <w:vAlign w:val="center"/>
          </w:tcPr>
          <w:p w14:paraId="035BD6DE">
            <w:pPr>
              <w:pStyle w:val="12"/>
              <w:jc w:val="center"/>
            </w:pPr>
          </w:p>
        </w:tc>
        <w:tc>
          <w:tcPr>
            <w:tcW w:w="1317" w:type="pct"/>
            <w:vMerge w:val="continue"/>
            <w:vAlign w:val="center"/>
          </w:tcPr>
          <w:p w14:paraId="35C01BFD">
            <w:pPr>
              <w:pStyle w:val="12"/>
              <w:jc w:val="left"/>
            </w:pPr>
          </w:p>
        </w:tc>
      </w:tr>
      <w:tr w14:paraId="2E7F08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31125C72">
            <w:pPr>
              <w:pStyle w:val="12"/>
              <w:jc w:val="center"/>
              <w:rPr>
                <w:rFonts w:ascii="宋体" w:hAnsi="宋体" w:cs="宋体"/>
              </w:rPr>
            </w:pPr>
            <w:r>
              <w:rPr>
                <w:rFonts w:hint="eastAsia" w:ascii="宋体" w:hAnsi="宋体" w:cs="宋体"/>
              </w:rPr>
              <w:t>朱天骥</w:t>
            </w:r>
          </w:p>
        </w:tc>
        <w:tc>
          <w:tcPr>
            <w:tcW w:w="1065" w:type="pct"/>
            <w:vMerge w:val="continue"/>
            <w:vAlign w:val="center"/>
          </w:tcPr>
          <w:p w14:paraId="2788A9B2">
            <w:pPr>
              <w:pStyle w:val="12"/>
              <w:jc w:val="center"/>
            </w:pPr>
          </w:p>
        </w:tc>
        <w:tc>
          <w:tcPr>
            <w:tcW w:w="853" w:type="pct"/>
            <w:vMerge w:val="continue"/>
            <w:vAlign w:val="center"/>
          </w:tcPr>
          <w:p w14:paraId="58A49215">
            <w:pPr>
              <w:pStyle w:val="12"/>
              <w:jc w:val="center"/>
            </w:pPr>
          </w:p>
        </w:tc>
        <w:tc>
          <w:tcPr>
            <w:tcW w:w="1068" w:type="pct"/>
            <w:vMerge w:val="continue"/>
            <w:vAlign w:val="center"/>
          </w:tcPr>
          <w:p w14:paraId="452D833C">
            <w:pPr>
              <w:pStyle w:val="12"/>
              <w:jc w:val="center"/>
            </w:pPr>
          </w:p>
        </w:tc>
        <w:tc>
          <w:tcPr>
            <w:tcW w:w="1317" w:type="pct"/>
            <w:vMerge w:val="continue"/>
            <w:vAlign w:val="center"/>
          </w:tcPr>
          <w:p w14:paraId="4BC89CDE">
            <w:pPr>
              <w:pStyle w:val="12"/>
              <w:jc w:val="left"/>
            </w:pPr>
          </w:p>
        </w:tc>
      </w:tr>
      <w:tr w14:paraId="42E8A6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26A272F1">
            <w:pPr>
              <w:pStyle w:val="12"/>
              <w:jc w:val="center"/>
              <w:rPr>
                <w:rFonts w:ascii="宋体" w:hAnsi="宋体" w:cs="宋体"/>
              </w:rPr>
            </w:pPr>
            <w:r>
              <w:rPr>
                <w:rFonts w:hint="eastAsia" w:ascii="宋体" w:hAnsi="宋体" w:cs="宋体"/>
              </w:rPr>
              <w:t>陈逢文</w:t>
            </w:r>
          </w:p>
        </w:tc>
        <w:tc>
          <w:tcPr>
            <w:tcW w:w="1065" w:type="pct"/>
            <w:vMerge w:val="continue"/>
            <w:vAlign w:val="center"/>
          </w:tcPr>
          <w:p w14:paraId="0042311A">
            <w:pPr>
              <w:pStyle w:val="12"/>
              <w:jc w:val="center"/>
            </w:pPr>
          </w:p>
        </w:tc>
        <w:tc>
          <w:tcPr>
            <w:tcW w:w="853" w:type="pct"/>
            <w:vMerge w:val="continue"/>
            <w:vAlign w:val="center"/>
          </w:tcPr>
          <w:p w14:paraId="31D375F4">
            <w:pPr>
              <w:pStyle w:val="12"/>
              <w:jc w:val="center"/>
            </w:pPr>
          </w:p>
        </w:tc>
        <w:tc>
          <w:tcPr>
            <w:tcW w:w="1068" w:type="pct"/>
            <w:vMerge w:val="continue"/>
            <w:vAlign w:val="center"/>
          </w:tcPr>
          <w:p w14:paraId="0461A0E4">
            <w:pPr>
              <w:pStyle w:val="12"/>
              <w:jc w:val="center"/>
            </w:pPr>
          </w:p>
        </w:tc>
        <w:tc>
          <w:tcPr>
            <w:tcW w:w="1317" w:type="pct"/>
            <w:vMerge w:val="continue"/>
            <w:vAlign w:val="center"/>
          </w:tcPr>
          <w:p w14:paraId="5B6DE4F8">
            <w:pPr>
              <w:pStyle w:val="12"/>
              <w:jc w:val="left"/>
            </w:pPr>
          </w:p>
        </w:tc>
      </w:tr>
      <w:tr w14:paraId="35AB93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7D2E97E0">
            <w:pPr>
              <w:pStyle w:val="12"/>
              <w:jc w:val="center"/>
            </w:pPr>
            <w:r>
              <w:rPr>
                <w:rFonts w:hint="eastAsia" w:ascii="宋体" w:hAnsi="宋体" w:cs="宋体"/>
              </w:rPr>
              <w:t>陈金华</w:t>
            </w:r>
          </w:p>
        </w:tc>
        <w:tc>
          <w:tcPr>
            <w:tcW w:w="1065" w:type="pct"/>
            <w:vMerge w:val="continue"/>
            <w:vAlign w:val="center"/>
          </w:tcPr>
          <w:p w14:paraId="52DCB477">
            <w:pPr>
              <w:pStyle w:val="12"/>
              <w:jc w:val="center"/>
            </w:pPr>
          </w:p>
        </w:tc>
        <w:tc>
          <w:tcPr>
            <w:tcW w:w="853" w:type="pct"/>
            <w:vMerge w:val="continue"/>
            <w:vAlign w:val="center"/>
          </w:tcPr>
          <w:p w14:paraId="588796DA">
            <w:pPr>
              <w:pStyle w:val="12"/>
              <w:jc w:val="center"/>
            </w:pPr>
          </w:p>
        </w:tc>
        <w:tc>
          <w:tcPr>
            <w:tcW w:w="1068" w:type="pct"/>
            <w:vMerge w:val="continue"/>
            <w:vAlign w:val="center"/>
          </w:tcPr>
          <w:p w14:paraId="01CC6965">
            <w:pPr>
              <w:pStyle w:val="12"/>
              <w:jc w:val="center"/>
            </w:pPr>
          </w:p>
        </w:tc>
        <w:tc>
          <w:tcPr>
            <w:tcW w:w="1317" w:type="pct"/>
            <w:vMerge w:val="continue"/>
            <w:vAlign w:val="center"/>
          </w:tcPr>
          <w:p w14:paraId="3662ED6F">
            <w:pPr>
              <w:pStyle w:val="12"/>
              <w:jc w:val="left"/>
            </w:pPr>
          </w:p>
        </w:tc>
      </w:tr>
      <w:tr w14:paraId="66FD8A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33C8A1C3">
            <w:pPr>
              <w:pStyle w:val="12"/>
              <w:jc w:val="center"/>
            </w:pPr>
            <w:r>
              <w:rPr>
                <w:rFonts w:hint="eastAsia"/>
              </w:rPr>
              <w:t>熊文荣</w:t>
            </w:r>
          </w:p>
        </w:tc>
        <w:tc>
          <w:tcPr>
            <w:tcW w:w="1065" w:type="pct"/>
            <w:vAlign w:val="center"/>
          </w:tcPr>
          <w:p w14:paraId="77D446D6">
            <w:pPr>
              <w:pStyle w:val="12"/>
              <w:jc w:val="center"/>
            </w:pPr>
            <w:r>
              <w:rPr>
                <w:rFonts w:hint="eastAsia"/>
              </w:rPr>
              <w:t>市工商局</w:t>
            </w:r>
          </w:p>
        </w:tc>
        <w:tc>
          <w:tcPr>
            <w:tcW w:w="853" w:type="pct"/>
            <w:vAlign w:val="center"/>
          </w:tcPr>
          <w:p w14:paraId="17FE1305">
            <w:pPr>
              <w:pStyle w:val="12"/>
              <w:jc w:val="center"/>
            </w:pPr>
            <w:r>
              <w:rPr>
                <w:rFonts w:hint="eastAsia"/>
              </w:rPr>
              <w:t>2000年</w:t>
            </w:r>
          </w:p>
        </w:tc>
        <w:tc>
          <w:tcPr>
            <w:tcW w:w="1068" w:type="pct"/>
            <w:vAlign w:val="center"/>
          </w:tcPr>
          <w:p w14:paraId="2572CFDE">
            <w:pPr>
              <w:pStyle w:val="12"/>
              <w:jc w:val="center"/>
            </w:pPr>
            <w:r>
              <w:rPr>
                <w:rFonts w:hint="eastAsia"/>
              </w:rPr>
              <w:t>国家工商局</w:t>
            </w:r>
          </w:p>
        </w:tc>
        <w:tc>
          <w:tcPr>
            <w:tcW w:w="1317" w:type="pct"/>
            <w:vAlign w:val="center"/>
          </w:tcPr>
          <w:p w14:paraId="63D82196">
            <w:pPr>
              <w:pStyle w:val="12"/>
              <w:jc w:val="left"/>
            </w:pPr>
            <w:r>
              <w:rPr>
                <w:rFonts w:hint="eastAsia"/>
              </w:rPr>
              <w:t>全国优秀工商行政管理人员</w:t>
            </w:r>
          </w:p>
        </w:tc>
      </w:tr>
      <w:tr w14:paraId="58DCA7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6915BF69">
            <w:pPr>
              <w:pStyle w:val="12"/>
              <w:jc w:val="center"/>
            </w:pPr>
            <w:r>
              <w:rPr>
                <w:rFonts w:hint="eastAsia"/>
              </w:rPr>
              <w:t>曾开寿</w:t>
            </w:r>
          </w:p>
        </w:tc>
        <w:tc>
          <w:tcPr>
            <w:tcW w:w="1065" w:type="pct"/>
            <w:vAlign w:val="center"/>
          </w:tcPr>
          <w:p w14:paraId="7F2B82AA">
            <w:pPr>
              <w:pStyle w:val="12"/>
              <w:jc w:val="center"/>
            </w:pPr>
            <w:r>
              <w:rPr>
                <w:rFonts w:hint="eastAsia"/>
              </w:rPr>
              <w:t>市统计局</w:t>
            </w:r>
          </w:p>
        </w:tc>
        <w:tc>
          <w:tcPr>
            <w:tcW w:w="853" w:type="pct"/>
            <w:vAlign w:val="center"/>
          </w:tcPr>
          <w:p w14:paraId="0FCE32AE">
            <w:pPr>
              <w:pStyle w:val="12"/>
              <w:jc w:val="center"/>
            </w:pPr>
            <w:r>
              <w:rPr>
                <w:rFonts w:hint="eastAsia"/>
              </w:rPr>
              <w:t>2001年</w:t>
            </w:r>
          </w:p>
        </w:tc>
        <w:tc>
          <w:tcPr>
            <w:tcW w:w="1068" w:type="pct"/>
            <w:vAlign w:val="center"/>
          </w:tcPr>
          <w:p w14:paraId="36FA0FC3">
            <w:pPr>
              <w:pStyle w:val="12"/>
              <w:jc w:val="center"/>
            </w:pPr>
            <w:r>
              <w:rPr>
                <w:rFonts w:hint="eastAsia"/>
              </w:rPr>
              <w:t>全国第二次基本单位</w:t>
            </w:r>
            <w:r>
              <w:rPr>
                <w:rFonts w:hint="eastAsia" w:ascii="宋体" w:hAnsi="宋体" w:cs="宋体"/>
              </w:rPr>
              <w:t>普查领导小组</w:t>
            </w:r>
          </w:p>
        </w:tc>
        <w:tc>
          <w:tcPr>
            <w:tcW w:w="1317" w:type="pct"/>
            <w:vAlign w:val="center"/>
          </w:tcPr>
          <w:p w14:paraId="234D1E24">
            <w:pPr>
              <w:pStyle w:val="12"/>
              <w:jc w:val="left"/>
            </w:pPr>
            <w:r>
              <w:rPr>
                <w:rFonts w:hint="eastAsia"/>
              </w:rPr>
              <w:t>全国第二次基本单位普查先进个人</w:t>
            </w:r>
          </w:p>
        </w:tc>
      </w:tr>
      <w:tr w14:paraId="447FDE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506FE0C2">
            <w:pPr>
              <w:pStyle w:val="12"/>
              <w:jc w:val="center"/>
            </w:pPr>
            <w:r>
              <w:rPr>
                <w:rFonts w:hint="eastAsia"/>
              </w:rPr>
              <w:t>何辉阳</w:t>
            </w:r>
          </w:p>
        </w:tc>
        <w:tc>
          <w:tcPr>
            <w:tcW w:w="1065" w:type="pct"/>
            <w:vAlign w:val="center"/>
          </w:tcPr>
          <w:p w14:paraId="0B5F61F1">
            <w:pPr>
              <w:pStyle w:val="12"/>
              <w:jc w:val="center"/>
            </w:pPr>
            <w:r>
              <w:rPr>
                <w:rFonts w:hint="eastAsia"/>
              </w:rPr>
              <w:t>市统计局</w:t>
            </w:r>
          </w:p>
        </w:tc>
        <w:tc>
          <w:tcPr>
            <w:tcW w:w="853" w:type="pct"/>
            <w:vAlign w:val="center"/>
          </w:tcPr>
          <w:p w14:paraId="4F068571">
            <w:pPr>
              <w:pStyle w:val="12"/>
              <w:jc w:val="center"/>
            </w:pPr>
            <w:r>
              <w:rPr>
                <w:rFonts w:hint="eastAsia"/>
              </w:rPr>
              <w:t>2002年</w:t>
            </w:r>
          </w:p>
        </w:tc>
        <w:tc>
          <w:tcPr>
            <w:tcW w:w="1068" w:type="pct"/>
            <w:vAlign w:val="center"/>
          </w:tcPr>
          <w:p w14:paraId="15AF14C3">
            <w:pPr>
              <w:pStyle w:val="12"/>
              <w:jc w:val="center"/>
            </w:pPr>
            <w:r>
              <w:rPr>
                <w:rFonts w:hint="eastAsia"/>
              </w:rPr>
              <w:t>全国第五次人口普查</w:t>
            </w:r>
            <w:r>
              <w:rPr>
                <w:rFonts w:hint="eastAsia" w:ascii="宋体" w:hAnsi="宋体" w:cs="宋体"/>
              </w:rPr>
              <w:t>领导小组</w:t>
            </w:r>
          </w:p>
        </w:tc>
        <w:tc>
          <w:tcPr>
            <w:tcW w:w="1317" w:type="pct"/>
            <w:vAlign w:val="center"/>
          </w:tcPr>
          <w:p w14:paraId="649777EA">
            <w:pPr>
              <w:pStyle w:val="12"/>
              <w:jc w:val="left"/>
            </w:pPr>
            <w:r>
              <w:rPr>
                <w:rFonts w:hint="eastAsia"/>
              </w:rPr>
              <w:t>全国第五次人口普查先进个人</w:t>
            </w:r>
          </w:p>
        </w:tc>
      </w:tr>
      <w:tr w14:paraId="69C5E8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2AEC1DFC">
            <w:pPr>
              <w:pStyle w:val="12"/>
              <w:jc w:val="center"/>
            </w:pPr>
            <w:r>
              <w:rPr>
                <w:rFonts w:hint="eastAsia"/>
              </w:rPr>
              <w:t>谢文源</w:t>
            </w:r>
          </w:p>
        </w:tc>
        <w:tc>
          <w:tcPr>
            <w:tcW w:w="1065" w:type="pct"/>
            <w:vAlign w:val="center"/>
          </w:tcPr>
          <w:p w14:paraId="44112630">
            <w:pPr>
              <w:pStyle w:val="12"/>
              <w:jc w:val="center"/>
            </w:pPr>
            <w:r>
              <w:rPr>
                <w:rFonts w:hint="eastAsia"/>
              </w:rPr>
              <w:t>市卫生防疫站</w:t>
            </w:r>
          </w:p>
        </w:tc>
        <w:tc>
          <w:tcPr>
            <w:tcW w:w="853" w:type="pct"/>
            <w:vAlign w:val="center"/>
          </w:tcPr>
          <w:p w14:paraId="2E033C7A">
            <w:pPr>
              <w:pStyle w:val="12"/>
              <w:jc w:val="center"/>
            </w:pPr>
            <w:r>
              <w:rPr>
                <w:rFonts w:hint="eastAsia"/>
              </w:rPr>
              <w:t>2001年</w:t>
            </w:r>
          </w:p>
        </w:tc>
        <w:tc>
          <w:tcPr>
            <w:tcW w:w="1068" w:type="pct"/>
            <w:vAlign w:val="center"/>
          </w:tcPr>
          <w:p w14:paraId="2A0AB22F">
            <w:pPr>
              <w:pStyle w:val="12"/>
              <w:jc w:val="center"/>
            </w:pPr>
            <w:r>
              <w:rPr>
                <w:rFonts w:hint="eastAsia"/>
              </w:rPr>
              <w:t>国家卫生部</w:t>
            </w:r>
          </w:p>
        </w:tc>
        <w:tc>
          <w:tcPr>
            <w:tcW w:w="1317" w:type="pct"/>
            <w:vAlign w:val="center"/>
          </w:tcPr>
          <w:p w14:paraId="3A80FD4C">
            <w:pPr>
              <w:pStyle w:val="12"/>
              <w:jc w:val="left"/>
            </w:pPr>
            <w:r>
              <w:rPr>
                <w:rFonts w:hint="eastAsia"/>
              </w:rPr>
              <w:t>消灭脊髓灰质炎先进个人</w:t>
            </w:r>
          </w:p>
        </w:tc>
      </w:tr>
      <w:tr w14:paraId="40BF60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7" w:type="pct"/>
            <w:vAlign w:val="center"/>
          </w:tcPr>
          <w:p w14:paraId="0CFCDAE4">
            <w:pPr>
              <w:pStyle w:val="12"/>
              <w:jc w:val="center"/>
            </w:pPr>
            <w:r>
              <w:rPr>
                <w:rFonts w:hint="eastAsia"/>
              </w:rPr>
              <w:t>朱德林</w:t>
            </w:r>
          </w:p>
        </w:tc>
        <w:tc>
          <w:tcPr>
            <w:tcW w:w="1065" w:type="pct"/>
            <w:vAlign w:val="center"/>
          </w:tcPr>
          <w:p w14:paraId="4E071152">
            <w:pPr>
              <w:pStyle w:val="12"/>
              <w:jc w:val="center"/>
            </w:pPr>
            <w:r>
              <w:rPr>
                <w:rFonts w:hint="eastAsia"/>
              </w:rPr>
              <w:t>市博物馆</w:t>
            </w:r>
          </w:p>
        </w:tc>
        <w:tc>
          <w:tcPr>
            <w:tcW w:w="853" w:type="pct"/>
            <w:vAlign w:val="center"/>
          </w:tcPr>
          <w:p w14:paraId="0376C3D3">
            <w:pPr>
              <w:pStyle w:val="12"/>
              <w:jc w:val="center"/>
            </w:pPr>
            <w:r>
              <w:rPr>
                <w:rFonts w:hint="eastAsia"/>
              </w:rPr>
              <w:t>2002年</w:t>
            </w:r>
          </w:p>
        </w:tc>
        <w:tc>
          <w:tcPr>
            <w:tcW w:w="1068" w:type="pct"/>
            <w:vAlign w:val="center"/>
          </w:tcPr>
          <w:p w14:paraId="7497330C">
            <w:pPr>
              <w:pStyle w:val="12"/>
              <w:jc w:val="center"/>
            </w:pPr>
            <w:r>
              <w:rPr>
                <w:rFonts w:hint="eastAsia"/>
              </w:rPr>
              <w:t>国家文物局</w:t>
            </w:r>
          </w:p>
        </w:tc>
        <w:tc>
          <w:tcPr>
            <w:tcW w:w="1317" w:type="pct"/>
            <w:vAlign w:val="center"/>
          </w:tcPr>
          <w:p w14:paraId="27636842">
            <w:pPr>
              <w:pStyle w:val="12"/>
              <w:jc w:val="left"/>
            </w:pPr>
            <w:r>
              <w:rPr>
                <w:rFonts w:hint="eastAsia"/>
              </w:rPr>
              <w:t>全国文物系统先进个人</w:t>
            </w:r>
          </w:p>
        </w:tc>
      </w:tr>
    </w:tbl>
    <w:p w14:paraId="3C249F21">
      <w:pPr>
        <w:pStyle w:val="5"/>
        <w:rPr>
          <w:rFonts w:ascii="宋体" w:hAnsi="宋体" w:cs="宋体"/>
        </w:rPr>
      </w:pPr>
      <w:r>
        <w:rPr>
          <w:rFonts w:hint="eastAsia" w:ascii="宋体" w:hAnsi="宋体" w:cs="宋体"/>
        </w:rPr>
        <w:t>二、省级先进个人</w:t>
      </w:r>
    </w:p>
    <w:p w14:paraId="69CAA92A">
      <w:pPr>
        <w:ind w:firstLine="0" w:firstLineChars="0"/>
        <w:rPr>
          <w:rFonts w:ascii="宋体" w:hAnsi="宋体" w:cs="宋体"/>
          <w:b/>
          <w:bCs/>
        </w:rPr>
      </w:pPr>
      <w:r>
        <w:rPr>
          <w:rFonts w:hint="eastAsia" w:ascii="宋体" w:hAnsi="宋体" w:cs="宋体"/>
          <w:b/>
          <w:bCs/>
        </w:rPr>
        <w:t>表7-12</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1"/>
        <w:gridCol w:w="1984"/>
        <w:gridCol w:w="1843"/>
        <w:gridCol w:w="1843"/>
        <w:gridCol w:w="3051"/>
      </w:tblGrid>
      <w:tr w14:paraId="0A9BA0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0B3857BA">
            <w:pPr>
              <w:pStyle w:val="12"/>
              <w:jc w:val="center"/>
              <w:rPr>
                <w:b/>
              </w:rPr>
            </w:pPr>
            <w:r>
              <w:rPr>
                <w:rFonts w:hint="eastAsia"/>
                <w:b/>
              </w:rPr>
              <w:t>姓名</w:t>
            </w:r>
          </w:p>
        </w:tc>
        <w:tc>
          <w:tcPr>
            <w:tcW w:w="996" w:type="pct"/>
            <w:vAlign w:val="center"/>
          </w:tcPr>
          <w:p w14:paraId="67661715">
            <w:pPr>
              <w:pStyle w:val="12"/>
              <w:jc w:val="center"/>
              <w:rPr>
                <w:b/>
              </w:rPr>
            </w:pPr>
            <w:r>
              <w:rPr>
                <w:rFonts w:hint="eastAsia"/>
                <w:b/>
              </w:rPr>
              <w:t>获奖时</w:t>
            </w:r>
            <w:r>
              <w:rPr>
                <w:rFonts w:hint="eastAsia" w:ascii="宋体" w:hAnsi="宋体" w:cs="宋体"/>
                <w:b/>
              </w:rPr>
              <w:t>工作单位</w:t>
            </w:r>
          </w:p>
        </w:tc>
        <w:tc>
          <w:tcPr>
            <w:tcW w:w="925" w:type="pct"/>
            <w:vAlign w:val="center"/>
          </w:tcPr>
          <w:p w14:paraId="1A0647A0">
            <w:pPr>
              <w:pStyle w:val="12"/>
              <w:jc w:val="center"/>
              <w:rPr>
                <w:b/>
              </w:rPr>
            </w:pPr>
            <w:r>
              <w:rPr>
                <w:rFonts w:hint="eastAsia"/>
                <w:b/>
              </w:rPr>
              <w:t>获奖时间</w:t>
            </w:r>
          </w:p>
        </w:tc>
        <w:tc>
          <w:tcPr>
            <w:tcW w:w="925" w:type="pct"/>
            <w:vAlign w:val="center"/>
          </w:tcPr>
          <w:p w14:paraId="609D384D">
            <w:pPr>
              <w:pStyle w:val="12"/>
              <w:jc w:val="center"/>
              <w:rPr>
                <w:b/>
              </w:rPr>
            </w:pPr>
            <w:r>
              <w:rPr>
                <w:rFonts w:hint="eastAsia"/>
                <w:b/>
              </w:rPr>
              <w:t>授奖单位</w:t>
            </w:r>
          </w:p>
        </w:tc>
        <w:tc>
          <w:tcPr>
            <w:tcW w:w="1531" w:type="pct"/>
            <w:vAlign w:val="center"/>
          </w:tcPr>
          <w:p w14:paraId="20D467D9">
            <w:pPr>
              <w:pStyle w:val="12"/>
              <w:jc w:val="center"/>
              <w:rPr>
                <w:b/>
              </w:rPr>
            </w:pPr>
            <w:r>
              <w:rPr>
                <w:rFonts w:hint="eastAsia"/>
                <w:b/>
              </w:rPr>
              <w:t>荣誉称号</w:t>
            </w:r>
          </w:p>
        </w:tc>
      </w:tr>
      <w:tr w14:paraId="660352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5231FB56">
            <w:pPr>
              <w:pStyle w:val="12"/>
              <w:jc w:val="center"/>
            </w:pPr>
            <w:r>
              <w:rPr>
                <w:rFonts w:hint="eastAsia"/>
              </w:rPr>
              <w:t>冯双胜</w:t>
            </w:r>
          </w:p>
        </w:tc>
        <w:tc>
          <w:tcPr>
            <w:tcW w:w="996" w:type="pct"/>
            <w:vAlign w:val="center"/>
          </w:tcPr>
          <w:p w14:paraId="3C64FF36">
            <w:pPr>
              <w:pStyle w:val="12"/>
              <w:jc w:val="center"/>
            </w:pPr>
            <w:r>
              <w:rPr>
                <w:rFonts w:hint="eastAsia"/>
              </w:rPr>
              <w:t>县农科所</w:t>
            </w:r>
          </w:p>
        </w:tc>
        <w:tc>
          <w:tcPr>
            <w:tcW w:w="925" w:type="pct"/>
            <w:vAlign w:val="center"/>
          </w:tcPr>
          <w:p w14:paraId="2A14213A">
            <w:pPr>
              <w:pStyle w:val="12"/>
              <w:jc w:val="center"/>
            </w:pPr>
            <w:r>
              <w:rPr>
                <w:rFonts w:hint="eastAsia"/>
              </w:rPr>
              <w:t>1978年2月</w:t>
            </w:r>
          </w:p>
        </w:tc>
        <w:tc>
          <w:tcPr>
            <w:tcW w:w="925" w:type="pct"/>
            <w:vAlign w:val="center"/>
          </w:tcPr>
          <w:p w14:paraId="5CDEA1D2">
            <w:pPr>
              <w:pStyle w:val="12"/>
              <w:jc w:val="center"/>
            </w:pPr>
            <w:r>
              <w:rPr>
                <w:rFonts w:hint="eastAsia"/>
              </w:rPr>
              <w:t>省革命委员会</w:t>
            </w:r>
          </w:p>
        </w:tc>
        <w:tc>
          <w:tcPr>
            <w:tcW w:w="1531" w:type="pct"/>
            <w:vAlign w:val="center"/>
          </w:tcPr>
          <w:p w14:paraId="2657B525">
            <w:pPr>
              <w:pStyle w:val="12"/>
              <w:jc w:val="left"/>
            </w:pPr>
            <w:r>
              <w:rPr>
                <w:rFonts w:hint="eastAsia"/>
              </w:rPr>
              <w:t>全省农业科学实验先进工作者</w:t>
            </w:r>
          </w:p>
        </w:tc>
      </w:tr>
      <w:tr w14:paraId="1B19F1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3AFC9808">
            <w:pPr>
              <w:pStyle w:val="12"/>
              <w:jc w:val="center"/>
            </w:pPr>
            <w:r>
              <w:rPr>
                <w:rFonts w:hint="eastAsia"/>
              </w:rPr>
              <w:t>余两安</w:t>
            </w:r>
          </w:p>
        </w:tc>
        <w:tc>
          <w:tcPr>
            <w:tcW w:w="996" w:type="pct"/>
            <w:vAlign w:val="center"/>
          </w:tcPr>
          <w:p w14:paraId="30B82089">
            <w:pPr>
              <w:pStyle w:val="12"/>
              <w:jc w:val="center"/>
            </w:pPr>
            <w:r>
              <w:rPr>
                <w:rFonts w:hint="eastAsia"/>
              </w:rPr>
              <w:t>县氮肥厂</w:t>
            </w:r>
          </w:p>
        </w:tc>
        <w:tc>
          <w:tcPr>
            <w:tcW w:w="925" w:type="pct"/>
            <w:vAlign w:val="center"/>
          </w:tcPr>
          <w:p w14:paraId="2AB27B7A">
            <w:pPr>
              <w:pStyle w:val="12"/>
              <w:jc w:val="center"/>
            </w:pPr>
            <w:r>
              <w:rPr>
                <w:rFonts w:hint="eastAsia"/>
              </w:rPr>
              <w:t>1982年9月</w:t>
            </w:r>
          </w:p>
        </w:tc>
        <w:tc>
          <w:tcPr>
            <w:tcW w:w="925" w:type="pct"/>
            <w:vAlign w:val="center"/>
          </w:tcPr>
          <w:p w14:paraId="2623136C">
            <w:pPr>
              <w:pStyle w:val="12"/>
              <w:jc w:val="center"/>
            </w:pPr>
            <w:r>
              <w:rPr>
                <w:rFonts w:hint="eastAsia"/>
              </w:rPr>
              <w:t>省人民政府</w:t>
            </w:r>
          </w:p>
        </w:tc>
        <w:tc>
          <w:tcPr>
            <w:tcW w:w="1531" w:type="pct"/>
            <w:vAlign w:val="center"/>
          </w:tcPr>
          <w:p w14:paraId="5440C9CA">
            <w:pPr>
              <w:pStyle w:val="12"/>
              <w:jc w:val="left"/>
            </w:pPr>
            <w:r>
              <w:rPr>
                <w:rFonts w:hint="eastAsia"/>
              </w:rPr>
              <w:t>全省职工先进工作者</w:t>
            </w:r>
          </w:p>
        </w:tc>
      </w:tr>
      <w:tr w14:paraId="6E5E96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54284151">
            <w:pPr>
              <w:pStyle w:val="12"/>
              <w:jc w:val="center"/>
            </w:pPr>
            <w:r>
              <w:rPr>
                <w:rFonts w:hint="eastAsia"/>
              </w:rPr>
              <w:t>张金中</w:t>
            </w:r>
          </w:p>
        </w:tc>
        <w:tc>
          <w:tcPr>
            <w:tcW w:w="996" w:type="pct"/>
            <w:vAlign w:val="center"/>
          </w:tcPr>
          <w:p w14:paraId="0506E9A3">
            <w:pPr>
              <w:pStyle w:val="12"/>
              <w:jc w:val="center"/>
              <w:rPr>
                <w:rFonts w:ascii="宋体" w:hAnsi="宋体" w:cs="宋体"/>
              </w:rPr>
            </w:pPr>
            <w:r>
              <w:rPr>
                <w:rFonts w:hint="eastAsia"/>
              </w:rPr>
              <w:t>县体育运</w:t>
            </w:r>
          </w:p>
          <w:p w14:paraId="5A493BC6">
            <w:pPr>
              <w:pStyle w:val="12"/>
              <w:jc w:val="center"/>
            </w:pPr>
            <w:r>
              <w:rPr>
                <w:rFonts w:hint="eastAsia" w:ascii="宋体" w:hAnsi="宋体" w:cs="宋体"/>
              </w:rPr>
              <w:t>动委员会</w:t>
            </w:r>
          </w:p>
        </w:tc>
        <w:tc>
          <w:tcPr>
            <w:tcW w:w="925" w:type="pct"/>
            <w:vAlign w:val="center"/>
          </w:tcPr>
          <w:p w14:paraId="1469C215">
            <w:pPr>
              <w:pStyle w:val="12"/>
              <w:jc w:val="center"/>
            </w:pPr>
            <w:r>
              <w:rPr>
                <w:rFonts w:hint="eastAsia"/>
              </w:rPr>
              <w:t>1982年9月</w:t>
            </w:r>
          </w:p>
        </w:tc>
        <w:tc>
          <w:tcPr>
            <w:tcW w:w="925" w:type="pct"/>
            <w:vAlign w:val="center"/>
          </w:tcPr>
          <w:p w14:paraId="6ABF700E">
            <w:pPr>
              <w:pStyle w:val="12"/>
              <w:jc w:val="center"/>
            </w:pPr>
            <w:r>
              <w:rPr>
                <w:rFonts w:hint="eastAsia"/>
              </w:rPr>
              <w:t>省人民政府</w:t>
            </w:r>
          </w:p>
        </w:tc>
        <w:tc>
          <w:tcPr>
            <w:tcW w:w="1531" w:type="pct"/>
            <w:vAlign w:val="center"/>
          </w:tcPr>
          <w:p w14:paraId="52BE921F">
            <w:pPr>
              <w:pStyle w:val="12"/>
              <w:jc w:val="left"/>
            </w:pPr>
            <w:r>
              <w:rPr>
                <w:rFonts w:hint="eastAsia"/>
              </w:rPr>
              <w:t>全省职工先进工作者</w:t>
            </w:r>
          </w:p>
        </w:tc>
      </w:tr>
      <w:tr w14:paraId="440456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67BFF672">
            <w:pPr>
              <w:pStyle w:val="12"/>
              <w:jc w:val="center"/>
            </w:pPr>
            <w:r>
              <w:rPr>
                <w:rFonts w:hint="eastAsia"/>
              </w:rPr>
              <w:t>黄耀平</w:t>
            </w:r>
          </w:p>
        </w:tc>
        <w:tc>
          <w:tcPr>
            <w:tcW w:w="996" w:type="pct"/>
            <w:vAlign w:val="center"/>
          </w:tcPr>
          <w:p w14:paraId="44FA6B07">
            <w:pPr>
              <w:pStyle w:val="12"/>
              <w:jc w:val="center"/>
              <w:rPr>
                <w:rFonts w:ascii="宋体" w:hAnsi="宋体" w:cs="宋体"/>
              </w:rPr>
            </w:pPr>
            <w:r>
              <w:rPr>
                <w:rFonts w:hint="eastAsia"/>
              </w:rPr>
              <w:t>糖烟酒公司</w:t>
            </w:r>
          </w:p>
          <w:p w14:paraId="3B537106">
            <w:pPr>
              <w:pStyle w:val="12"/>
              <w:jc w:val="center"/>
            </w:pPr>
            <w:r>
              <w:rPr>
                <w:rFonts w:hint="eastAsia" w:ascii="宋体" w:hAnsi="宋体" w:cs="宋体"/>
              </w:rPr>
              <w:t>车站门市部</w:t>
            </w:r>
          </w:p>
        </w:tc>
        <w:tc>
          <w:tcPr>
            <w:tcW w:w="925" w:type="pct"/>
            <w:vAlign w:val="center"/>
          </w:tcPr>
          <w:p w14:paraId="7CBE2BD0">
            <w:pPr>
              <w:pStyle w:val="12"/>
              <w:jc w:val="center"/>
            </w:pPr>
            <w:r>
              <w:rPr>
                <w:rFonts w:hint="eastAsia"/>
              </w:rPr>
              <w:t>1982年9月</w:t>
            </w:r>
          </w:p>
        </w:tc>
        <w:tc>
          <w:tcPr>
            <w:tcW w:w="925" w:type="pct"/>
            <w:vAlign w:val="center"/>
          </w:tcPr>
          <w:p w14:paraId="64E0E9CD">
            <w:pPr>
              <w:pStyle w:val="12"/>
              <w:jc w:val="center"/>
            </w:pPr>
            <w:r>
              <w:rPr>
                <w:rFonts w:hint="eastAsia"/>
              </w:rPr>
              <w:t>省人民政府</w:t>
            </w:r>
          </w:p>
        </w:tc>
        <w:tc>
          <w:tcPr>
            <w:tcW w:w="1531" w:type="pct"/>
            <w:vAlign w:val="center"/>
          </w:tcPr>
          <w:p w14:paraId="0111E3F8">
            <w:pPr>
              <w:pStyle w:val="12"/>
              <w:jc w:val="left"/>
            </w:pPr>
            <w:r>
              <w:rPr>
                <w:rFonts w:hint="eastAsia"/>
              </w:rPr>
              <w:t>全省职工先进工作者</w:t>
            </w:r>
          </w:p>
        </w:tc>
      </w:tr>
      <w:tr w14:paraId="616E1A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13F3A71E">
            <w:pPr>
              <w:pStyle w:val="12"/>
              <w:jc w:val="center"/>
            </w:pPr>
            <w:r>
              <w:rPr>
                <w:rFonts w:hint="eastAsia"/>
              </w:rPr>
              <w:t>李英汉</w:t>
            </w:r>
          </w:p>
        </w:tc>
        <w:tc>
          <w:tcPr>
            <w:tcW w:w="996" w:type="pct"/>
            <w:vAlign w:val="center"/>
          </w:tcPr>
          <w:p w14:paraId="7542D09C">
            <w:pPr>
              <w:pStyle w:val="12"/>
              <w:jc w:val="center"/>
              <w:rPr>
                <w:rFonts w:ascii="宋体" w:hAnsi="宋体" w:cs="宋体"/>
              </w:rPr>
            </w:pPr>
            <w:r>
              <w:rPr>
                <w:rFonts w:hint="eastAsia"/>
              </w:rPr>
              <w:t>城关镇</w:t>
            </w:r>
          </w:p>
          <w:p w14:paraId="57DB8B88">
            <w:pPr>
              <w:pStyle w:val="12"/>
              <w:jc w:val="center"/>
            </w:pPr>
            <w:r>
              <w:rPr>
                <w:rFonts w:hint="eastAsia" w:ascii="宋体" w:hAnsi="宋体" w:cs="宋体"/>
              </w:rPr>
              <w:t>河南小学</w:t>
            </w:r>
          </w:p>
        </w:tc>
        <w:tc>
          <w:tcPr>
            <w:tcW w:w="925" w:type="pct"/>
            <w:vAlign w:val="center"/>
          </w:tcPr>
          <w:p w14:paraId="7E742589">
            <w:pPr>
              <w:pStyle w:val="12"/>
              <w:jc w:val="center"/>
            </w:pPr>
            <w:r>
              <w:rPr>
                <w:rFonts w:hint="eastAsia"/>
              </w:rPr>
              <w:t>1982年11月</w:t>
            </w:r>
          </w:p>
        </w:tc>
        <w:tc>
          <w:tcPr>
            <w:tcW w:w="925" w:type="pct"/>
            <w:vAlign w:val="center"/>
          </w:tcPr>
          <w:p w14:paraId="774591A2">
            <w:pPr>
              <w:pStyle w:val="12"/>
              <w:jc w:val="center"/>
              <w:rPr>
                <w:rFonts w:ascii="宋体" w:hAnsi="宋体" w:cs="宋体"/>
              </w:rPr>
            </w:pPr>
            <w:r>
              <w:rPr>
                <w:rFonts w:hint="eastAsia"/>
              </w:rPr>
              <w:t>中共广东省委</w:t>
            </w:r>
          </w:p>
          <w:p w14:paraId="6372BD87">
            <w:pPr>
              <w:pStyle w:val="12"/>
              <w:jc w:val="center"/>
            </w:pPr>
            <w:r>
              <w:rPr>
                <w:rFonts w:hint="eastAsia" w:ascii="宋体" w:hAnsi="宋体" w:cs="宋体"/>
              </w:rPr>
              <w:t>省人民政府</w:t>
            </w:r>
          </w:p>
        </w:tc>
        <w:tc>
          <w:tcPr>
            <w:tcW w:w="1531" w:type="pct"/>
            <w:vAlign w:val="center"/>
          </w:tcPr>
          <w:p w14:paraId="4FB22670">
            <w:pPr>
              <w:pStyle w:val="12"/>
              <w:jc w:val="left"/>
            </w:pPr>
            <w:r>
              <w:rPr>
                <w:rFonts w:hint="eastAsia"/>
              </w:rPr>
              <w:t>优秀教育工作者</w:t>
            </w:r>
          </w:p>
        </w:tc>
      </w:tr>
      <w:tr w14:paraId="7FC492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7E9B927F">
            <w:pPr>
              <w:pStyle w:val="12"/>
              <w:jc w:val="center"/>
            </w:pPr>
            <w:r>
              <w:rPr>
                <w:rFonts w:hint="eastAsia"/>
              </w:rPr>
              <w:t>陈彝清</w:t>
            </w:r>
          </w:p>
        </w:tc>
        <w:tc>
          <w:tcPr>
            <w:tcW w:w="996" w:type="pct"/>
            <w:vAlign w:val="center"/>
          </w:tcPr>
          <w:p w14:paraId="0822DAB9">
            <w:pPr>
              <w:pStyle w:val="12"/>
              <w:jc w:val="center"/>
            </w:pPr>
            <w:r>
              <w:rPr>
                <w:rFonts w:hint="eastAsia"/>
              </w:rPr>
              <w:t>珠玑区教办</w:t>
            </w:r>
          </w:p>
        </w:tc>
        <w:tc>
          <w:tcPr>
            <w:tcW w:w="925" w:type="pct"/>
            <w:vAlign w:val="center"/>
          </w:tcPr>
          <w:p w14:paraId="56324F23">
            <w:pPr>
              <w:pStyle w:val="12"/>
              <w:jc w:val="center"/>
            </w:pPr>
            <w:r>
              <w:rPr>
                <w:rFonts w:hint="eastAsia"/>
              </w:rPr>
              <w:t>1982年11月</w:t>
            </w:r>
          </w:p>
        </w:tc>
        <w:tc>
          <w:tcPr>
            <w:tcW w:w="925" w:type="pct"/>
            <w:vAlign w:val="center"/>
          </w:tcPr>
          <w:p w14:paraId="77EB00E8">
            <w:pPr>
              <w:pStyle w:val="12"/>
              <w:jc w:val="center"/>
              <w:rPr>
                <w:rFonts w:ascii="宋体" w:hAnsi="宋体" w:cs="宋体"/>
              </w:rPr>
            </w:pPr>
            <w:r>
              <w:rPr>
                <w:rFonts w:hint="eastAsia"/>
              </w:rPr>
              <w:t>中共广东省委</w:t>
            </w:r>
          </w:p>
          <w:p w14:paraId="5DF77168">
            <w:pPr>
              <w:pStyle w:val="12"/>
              <w:jc w:val="center"/>
            </w:pPr>
            <w:r>
              <w:rPr>
                <w:rFonts w:hint="eastAsia" w:ascii="宋体" w:hAnsi="宋体" w:cs="宋体"/>
              </w:rPr>
              <w:t>省人民政府</w:t>
            </w:r>
          </w:p>
        </w:tc>
        <w:tc>
          <w:tcPr>
            <w:tcW w:w="1531" w:type="pct"/>
            <w:vAlign w:val="center"/>
          </w:tcPr>
          <w:p w14:paraId="0B9280DA">
            <w:pPr>
              <w:pStyle w:val="12"/>
              <w:jc w:val="left"/>
            </w:pPr>
            <w:r>
              <w:rPr>
                <w:rFonts w:hint="eastAsia"/>
              </w:rPr>
              <w:t>优秀教育工作者</w:t>
            </w:r>
          </w:p>
        </w:tc>
      </w:tr>
      <w:tr w14:paraId="2F534A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7E77E527">
            <w:pPr>
              <w:pStyle w:val="12"/>
              <w:jc w:val="center"/>
            </w:pPr>
            <w:r>
              <w:rPr>
                <w:rFonts w:hint="eastAsia"/>
              </w:rPr>
              <w:t>何腾杰</w:t>
            </w:r>
          </w:p>
        </w:tc>
        <w:tc>
          <w:tcPr>
            <w:tcW w:w="996" w:type="pct"/>
            <w:vAlign w:val="center"/>
          </w:tcPr>
          <w:p w14:paraId="6FD13B10">
            <w:pPr>
              <w:pStyle w:val="12"/>
              <w:jc w:val="center"/>
            </w:pPr>
            <w:r>
              <w:rPr>
                <w:rFonts w:hint="eastAsia"/>
              </w:rPr>
              <w:t>百顺小学</w:t>
            </w:r>
          </w:p>
        </w:tc>
        <w:tc>
          <w:tcPr>
            <w:tcW w:w="925" w:type="pct"/>
            <w:vAlign w:val="center"/>
          </w:tcPr>
          <w:p w14:paraId="24DE0A1C">
            <w:pPr>
              <w:pStyle w:val="12"/>
              <w:jc w:val="center"/>
            </w:pPr>
            <w:r>
              <w:rPr>
                <w:rFonts w:hint="eastAsia"/>
              </w:rPr>
              <w:t>1982年11月</w:t>
            </w:r>
          </w:p>
        </w:tc>
        <w:tc>
          <w:tcPr>
            <w:tcW w:w="925" w:type="pct"/>
            <w:vAlign w:val="center"/>
          </w:tcPr>
          <w:p w14:paraId="0D487E29">
            <w:pPr>
              <w:pStyle w:val="12"/>
              <w:jc w:val="center"/>
              <w:rPr>
                <w:rFonts w:ascii="宋体" w:hAnsi="宋体" w:cs="宋体"/>
              </w:rPr>
            </w:pPr>
            <w:r>
              <w:rPr>
                <w:rFonts w:hint="eastAsia"/>
              </w:rPr>
              <w:t>中共广东省委</w:t>
            </w:r>
          </w:p>
          <w:p w14:paraId="09F21648">
            <w:pPr>
              <w:pStyle w:val="12"/>
              <w:jc w:val="center"/>
            </w:pPr>
            <w:r>
              <w:rPr>
                <w:rFonts w:hint="eastAsia" w:ascii="宋体" w:hAnsi="宋体" w:cs="宋体"/>
              </w:rPr>
              <w:t>省人民政府</w:t>
            </w:r>
          </w:p>
        </w:tc>
        <w:tc>
          <w:tcPr>
            <w:tcW w:w="1531" w:type="pct"/>
            <w:vAlign w:val="center"/>
          </w:tcPr>
          <w:p w14:paraId="34E59AA2">
            <w:pPr>
              <w:pStyle w:val="12"/>
              <w:jc w:val="left"/>
            </w:pPr>
            <w:r>
              <w:rPr>
                <w:rFonts w:hint="eastAsia"/>
              </w:rPr>
              <w:t>优秀教育工作者</w:t>
            </w:r>
          </w:p>
        </w:tc>
      </w:tr>
      <w:tr w14:paraId="320C67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00D92FD9">
            <w:pPr>
              <w:pStyle w:val="12"/>
              <w:jc w:val="center"/>
            </w:pPr>
            <w:r>
              <w:rPr>
                <w:rFonts w:hint="eastAsia"/>
              </w:rPr>
              <w:t>邓光珍</w:t>
            </w:r>
          </w:p>
        </w:tc>
        <w:tc>
          <w:tcPr>
            <w:tcW w:w="996" w:type="pct"/>
            <w:vAlign w:val="center"/>
          </w:tcPr>
          <w:p w14:paraId="230A934D">
            <w:pPr>
              <w:pStyle w:val="12"/>
              <w:jc w:val="center"/>
            </w:pPr>
            <w:r>
              <w:rPr>
                <w:rFonts w:hint="eastAsia"/>
              </w:rPr>
              <w:t>工交幼儿园</w:t>
            </w:r>
          </w:p>
        </w:tc>
        <w:tc>
          <w:tcPr>
            <w:tcW w:w="925" w:type="pct"/>
            <w:vAlign w:val="center"/>
          </w:tcPr>
          <w:p w14:paraId="1F097E4E">
            <w:pPr>
              <w:pStyle w:val="12"/>
              <w:jc w:val="center"/>
            </w:pPr>
            <w:r>
              <w:rPr>
                <w:rFonts w:hint="eastAsia"/>
              </w:rPr>
              <w:t>1982年11月</w:t>
            </w:r>
          </w:p>
        </w:tc>
        <w:tc>
          <w:tcPr>
            <w:tcW w:w="925" w:type="pct"/>
            <w:vAlign w:val="center"/>
          </w:tcPr>
          <w:p w14:paraId="6D8C7842">
            <w:pPr>
              <w:pStyle w:val="12"/>
              <w:jc w:val="center"/>
              <w:rPr>
                <w:rFonts w:ascii="宋体" w:hAnsi="宋体" w:cs="宋体"/>
              </w:rPr>
            </w:pPr>
            <w:r>
              <w:rPr>
                <w:rFonts w:hint="eastAsia"/>
              </w:rPr>
              <w:t>中共广东省委</w:t>
            </w:r>
          </w:p>
          <w:p w14:paraId="73D01237">
            <w:pPr>
              <w:pStyle w:val="12"/>
              <w:jc w:val="center"/>
            </w:pPr>
            <w:r>
              <w:rPr>
                <w:rFonts w:hint="eastAsia" w:ascii="宋体" w:hAnsi="宋体" w:cs="宋体"/>
              </w:rPr>
              <w:t>省人民政府</w:t>
            </w:r>
          </w:p>
        </w:tc>
        <w:tc>
          <w:tcPr>
            <w:tcW w:w="1531" w:type="pct"/>
            <w:vAlign w:val="center"/>
          </w:tcPr>
          <w:p w14:paraId="156EB116">
            <w:pPr>
              <w:pStyle w:val="12"/>
              <w:jc w:val="left"/>
            </w:pPr>
            <w:r>
              <w:rPr>
                <w:rFonts w:hint="eastAsia"/>
              </w:rPr>
              <w:t>优秀教育工作者</w:t>
            </w:r>
          </w:p>
        </w:tc>
      </w:tr>
      <w:tr w14:paraId="44B07E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107469E5">
            <w:pPr>
              <w:pStyle w:val="12"/>
              <w:jc w:val="center"/>
            </w:pPr>
            <w:r>
              <w:rPr>
                <w:rFonts w:hint="eastAsia"/>
              </w:rPr>
              <w:t>黄传辉</w:t>
            </w:r>
          </w:p>
        </w:tc>
        <w:tc>
          <w:tcPr>
            <w:tcW w:w="996" w:type="pct"/>
            <w:vAlign w:val="center"/>
          </w:tcPr>
          <w:p w14:paraId="23A4FFB5">
            <w:pPr>
              <w:pStyle w:val="12"/>
              <w:jc w:val="center"/>
            </w:pPr>
            <w:r>
              <w:rPr>
                <w:rFonts w:hint="eastAsia"/>
              </w:rPr>
              <w:t>新龙长坑小学</w:t>
            </w:r>
          </w:p>
        </w:tc>
        <w:tc>
          <w:tcPr>
            <w:tcW w:w="925" w:type="pct"/>
            <w:vAlign w:val="center"/>
          </w:tcPr>
          <w:p w14:paraId="35AB6968">
            <w:pPr>
              <w:pStyle w:val="12"/>
              <w:jc w:val="center"/>
            </w:pPr>
            <w:r>
              <w:rPr>
                <w:rFonts w:hint="eastAsia"/>
              </w:rPr>
              <w:t>1982年11月</w:t>
            </w:r>
          </w:p>
        </w:tc>
        <w:tc>
          <w:tcPr>
            <w:tcW w:w="925" w:type="pct"/>
            <w:vAlign w:val="center"/>
          </w:tcPr>
          <w:p w14:paraId="4E90264D">
            <w:pPr>
              <w:pStyle w:val="12"/>
              <w:jc w:val="center"/>
              <w:rPr>
                <w:rFonts w:ascii="宋体" w:hAnsi="宋体" w:cs="宋体"/>
              </w:rPr>
            </w:pPr>
            <w:r>
              <w:rPr>
                <w:rFonts w:hint="eastAsia"/>
              </w:rPr>
              <w:t>中共广东省委</w:t>
            </w:r>
          </w:p>
          <w:p w14:paraId="1F5C6623">
            <w:pPr>
              <w:pStyle w:val="12"/>
              <w:jc w:val="center"/>
            </w:pPr>
            <w:r>
              <w:rPr>
                <w:rFonts w:hint="eastAsia" w:ascii="宋体" w:hAnsi="宋体" w:cs="宋体"/>
              </w:rPr>
              <w:t>省人民政府</w:t>
            </w:r>
          </w:p>
        </w:tc>
        <w:tc>
          <w:tcPr>
            <w:tcW w:w="1531" w:type="pct"/>
            <w:vAlign w:val="center"/>
          </w:tcPr>
          <w:p w14:paraId="6E27F5CE">
            <w:pPr>
              <w:pStyle w:val="12"/>
              <w:jc w:val="left"/>
            </w:pPr>
            <w:r>
              <w:rPr>
                <w:rFonts w:hint="eastAsia"/>
              </w:rPr>
              <w:t>优秀教育工作者</w:t>
            </w:r>
          </w:p>
        </w:tc>
      </w:tr>
      <w:tr w14:paraId="44E3D3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6ACE2547">
            <w:pPr>
              <w:pStyle w:val="12"/>
              <w:jc w:val="center"/>
            </w:pPr>
            <w:r>
              <w:rPr>
                <w:rFonts w:hint="eastAsia"/>
              </w:rPr>
              <w:t>金燕祥</w:t>
            </w:r>
          </w:p>
        </w:tc>
        <w:tc>
          <w:tcPr>
            <w:tcW w:w="996" w:type="pct"/>
            <w:vAlign w:val="center"/>
          </w:tcPr>
          <w:p w14:paraId="72D1847E">
            <w:pPr>
              <w:pStyle w:val="12"/>
              <w:jc w:val="center"/>
            </w:pPr>
            <w:r>
              <w:rPr>
                <w:rFonts w:hint="eastAsia"/>
              </w:rPr>
              <w:t>县卫生局</w:t>
            </w:r>
          </w:p>
        </w:tc>
        <w:tc>
          <w:tcPr>
            <w:tcW w:w="925" w:type="pct"/>
            <w:vAlign w:val="center"/>
          </w:tcPr>
          <w:p w14:paraId="01E60E26">
            <w:pPr>
              <w:pStyle w:val="12"/>
              <w:jc w:val="center"/>
            </w:pPr>
            <w:r>
              <w:rPr>
                <w:rFonts w:hint="eastAsia"/>
              </w:rPr>
              <w:t>1983年6月</w:t>
            </w:r>
          </w:p>
        </w:tc>
        <w:tc>
          <w:tcPr>
            <w:tcW w:w="925" w:type="pct"/>
            <w:vAlign w:val="center"/>
          </w:tcPr>
          <w:p w14:paraId="17BD0730">
            <w:pPr>
              <w:pStyle w:val="12"/>
              <w:jc w:val="center"/>
            </w:pPr>
            <w:r>
              <w:rPr>
                <w:rFonts w:hint="eastAsia"/>
              </w:rPr>
              <w:t>省人民政府</w:t>
            </w:r>
          </w:p>
        </w:tc>
        <w:tc>
          <w:tcPr>
            <w:tcW w:w="1531" w:type="pct"/>
            <w:vAlign w:val="center"/>
          </w:tcPr>
          <w:p w14:paraId="2136C0F7">
            <w:pPr>
              <w:pStyle w:val="12"/>
              <w:jc w:val="left"/>
            </w:pPr>
            <w:r>
              <w:rPr>
                <w:rFonts w:hint="eastAsia"/>
              </w:rPr>
              <w:t>全省财务会计先进工作者</w:t>
            </w:r>
          </w:p>
        </w:tc>
      </w:tr>
      <w:tr w14:paraId="054F02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4100B783">
            <w:pPr>
              <w:pStyle w:val="12"/>
              <w:jc w:val="center"/>
            </w:pPr>
            <w:r>
              <w:rPr>
                <w:rFonts w:hint="eastAsia"/>
              </w:rPr>
              <w:t>沈会峰</w:t>
            </w:r>
          </w:p>
        </w:tc>
        <w:tc>
          <w:tcPr>
            <w:tcW w:w="996" w:type="pct"/>
            <w:vAlign w:val="center"/>
          </w:tcPr>
          <w:p w14:paraId="7C172743">
            <w:pPr>
              <w:pStyle w:val="12"/>
              <w:jc w:val="center"/>
              <w:rPr>
                <w:rFonts w:ascii="宋体" w:hAnsi="宋体" w:cs="宋体"/>
              </w:rPr>
            </w:pPr>
            <w:r>
              <w:rPr>
                <w:rFonts w:hint="eastAsia"/>
              </w:rPr>
              <w:t>中共南雄</w:t>
            </w:r>
          </w:p>
          <w:p w14:paraId="49EE1418">
            <w:pPr>
              <w:pStyle w:val="12"/>
              <w:jc w:val="center"/>
            </w:pPr>
            <w:r>
              <w:rPr>
                <w:rFonts w:hint="eastAsia" w:ascii="宋体" w:hAnsi="宋体" w:cs="宋体"/>
              </w:rPr>
              <w:t>县委员会</w:t>
            </w:r>
          </w:p>
        </w:tc>
        <w:tc>
          <w:tcPr>
            <w:tcW w:w="925" w:type="pct"/>
            <w:vAlign w:val="center"/>
          </w:tcPr>
          <w:p w14:paraId="19FAE77E">
            <w:pPr>
              <w:pStyle w:val="12"/>
              <w:jc w:val="center"/>
            </w:pPr>
            <w:r>
              <w:rPr>
                <w:rFonts w:hint="eastAsia"/>
              </w:rPr>
              <w:t>1983年8月</w:t>
            </w:r>
          </w:p>
        </w:tc>
        <w:tc>
          <w:tcPr>
            <w:tcW w:w="925" w:type="pct"/>
            <w:vAlign w:val="center"/>
          </w:tcPr>
          <w:p w14:paraId="19DFD1F1">
            <w:pPr>
              <w:pStyle w:val="12"/>
              <w:jc w:val="center"/>
            </w:pPr>
            <w:r>
              <w:rPr>
                <w:rFonts w:hint="eastAsia"/>
              </w:rPr>
              <w:t>省人民政府</w:t>
            </w:r>
          </w:p>
        </w:tc>
        <w:tc>
          <w:tcPr>
            <w:tcW w:w="1531" w:type="pct"/>
            <w:vAlign w:val="center"/>
          </w:tcPr>
          <w:p w14:paraId="13CF42CA">
            <w:pPr>
              <w:pStyle w:val="12"/>
              <w:jc w:val="left"/>
            </w:pPr>
            <w:r>
              <w:rPr>
                <w:rFonts w:hint="eastAsia"/>
              </w:rPr>
              <w:t>全省计划生育先进工作者</w:t>
            </w:r>
          </w:p>
        </w:tc>
      </w:tr>
      <w:tr w14:paraId="64F02E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6EBA558A">
            <w:pPr>
              <w:pStyle w:val="12"/>
              <w:jc w:val="center"/>
            </w:pPr>
            <w:r>
              <w:rPr>
                <w:rFonts w:hint="eastAsia"/>
              </w:rPr>
              <w:t>王  敏</w:t>
            </w:r>
          </w:p>
        </w:tc>
        <w:tc>
          <w:tcPr>
            <w:tcW w:w="996" w:type="pct"/>
            <w:vAlign w:val="center"/>
          </w:tcPr>
          <w:p w14:paraId="21924808">
            <w:pPr>
              <w:pStyle w:val="12"/>
              <w:jc w:val="center"/>
              <w:rPr>
                <w:rFonts w:ascii="宋体" w:hAnsi="宋体" w:cs="宋体"/>
              </w:rPr>
            </w:pPr>
            <w:r>
              <w:rPr>
                <w:rFonts w:hint="eastAsia"/>
              </w:rPr>
              <w:t>县计划生</w:t>
            </w:r>
          </w:p>
          <w:p w14:paraId="3C472360">
            <w:pPr>
              <w:pStyle w:val="12"/>
              <w:jc w:val="center"/>
            </w:pPr>
            <w:r>
              <w:rPr>
                <w:rFonts w:hint="eastAsia"/>
              </w:rPr>
              <w:t>育委员会</w:t>
            </w:r>
          </w:p>
        </w:tc>
        <w:tc>
          <w:tcPr>
            <w:tcW w:w="925" w:type="pct"/>
            <w:vAlign w:val="center"/>
          </w:tcPr>
          <w:p w14:paraId="17009B22">
            <w:pPr>
              <w:pStyle w:val="12"/>
              <w:jc w:val="center"/>
            </w:pPr>
            <w:r>
              <w:rPr>
                <w:rFonts w:hint="eastAsia"/>
              </w:rPr>
              <w:t>1983年8月</w:t>
            </w:r>
          </w:p>
        </w:tc>
        <w:tc>
          <w:tcPr>
            <w:tcW w:w="925" w:type="pct"/>
            <w:vAlign w:val="center"/>
          </w:tcPr>
          <w:p w14:paraId="55DD9568">
            <w:pPr>
              <w:pStyle w:val="12"/>
              <w:jc w:val="center"/>
            </w:pPr>
            <w:r>
              <w:rPr>
                <w:rFonts w:hint="eastAsia"/>
              </w:rPr>
              <w:t>省人民政府</w:t>
            </w:r>
          </w:p>
        </w:tc>
        <w:tc>
          <w:tcPr>
            <w:tcW w:w="1531" w:type="pct"/>
            <w:vAlign w:val="center"/>
          </w:tcPr>
          <w:p w14:paraId="62C4636D">
            <w:pPr>
              <w:pStyle w:val="12"/>
              <w:jc w:val="left"/>
            </w:pPr>
            <w:r>
              <w:rPr>
                <w:rFonts w:hint="eastAsia"/>
              </w:rPr>
              <w:t>全省计划生育先进工作者</w:t>
            </w:r>
          </w:p>
        </w:tc>
      </w:tr>
      <w:tr w14:paraId="09FDF8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0DE71792">
            <w:pPr>
              <w:pStyle w:val="12"/>
              <w:jc w:val="center"/>
            </w:pPr>
            <w:r>
              <w:rPr>
                <w:rFonts w:hint="eastAsia"/>
              </w:rPr>
              <w:t>彭大清</w:t>
            </w:r>
          </w:p>
        </w:tc>
        <w:tc>
          <w:tcPr>
            <w:tcW w:w="996" w:type="pct"/>
            <w:vAlign w:val="center"/>
          </w:tcPr>
          <w:p w14:paraId="62B6F945">
            <w:pPr>
              <w:pStyle w:val="12"/>
              <w:jc w:val="center"/>
            </w:pPr>
            <w:r>
              <w:rPr>
                <w:rFonts w:hint="eastAsia"/>
              </w:rPr>
              <w:t>油山公社</w:t>
            </w:r>
          </w:p>
        </w:tc>
        <w:tc>
          <w:tcPr>
            <w:tcW w:w="925" w:type="pct"/>
            <w:vAlign w:val="center"/>
          </w:tcPr>
          <w:p w14:paraId="5B08DA21">
            <w:pPr>
              <w:pStyle w:val="12"/>
              <w:jc w:val="center"/>
            </w:pPr>
            <w:r>
              <w:rPr>
                <w:rFonts w:hint="eastAsia"/>
              </w:rPr>
              <w:t>1983年8月</w:t>
            </w:r>
          </w:p>
        </w:tc>
        <w:tc>
          <w:tcPr>
            <w:tcW w:w="925" w:type="pct"/>
            <w:vAlign w:val="center"/>
          </w:tcPr>
          <w:p w14:paraId="5C715751">
            <w:pPr>
              <w:pStyle w:val="12"/>
              <w:jc w:val="center"/>
            </w:pPr>
            <w:r>
              <w:rPr>
                <w:rFonts w:hint="eastAsia"/>
              </w:rPr>
              <w:t>省人民政府</w:t>
            </w:r>
          </w:p>
        </w:tc>
        <w:tc>
          <w:tcPr>
            <w:tcW w:w="1531" w:type="pct"/>
            <w:vAlign w:val="center"/>
          </w:tcPr>
          <w:p w14:paraId="6B2F333C">
            <w:pPr>
              <w:pStyle w:val="12"/>
              <w:jc w:val="left"/>
            </w:pPr>
            <w:r>
              <w:rPr>
                <w:rFonts w:hint="eastAsia"/>
              </w:rPr>
              <w:t>全省计划生育先进工作者</w:t>
            </w:r>
          </w:p>
        </w:tc>
      </w:tr>
      <w:tr w14:paraId="3F5B01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59BEB35E">
            <w:pPr>
              <w:pStyle w:val="12"/>
              <w:jc w:val="center"/>
            </w:pPr>
            <w:r>
              <w:rPr>
                <w:rFonts w:hint="eastAsia"/>
              </w:rPr>
              <w:t>沈迪炎</w:t>
            </w:r>
          </w:p>
        </w:tc>
        <w:tc>
          <w:tcPr>
            <w:tcW w:w="996" w:type="pct"/>
            <w:vAlign w:val="center"/>
          </w:tcPr>
          <w:p w14:paraId="12D719ED">
            <w:pPr>
              <w:pStyle w:val="12"/>
              <w:jc w:val="center"/>
            </w:pPr>
            <w:r>
              <w:rPr>
                <w:rFonts w:hint="eastAsia"/>
              </w:rPr>
              <w:t>珠玑公社</w:t>
            </w:r>
          </w:p>
        </w:tc>
        <w:tc>
          <w:tcPr>
            <w:tcW w:w="925" w:type="pct"/>
            <w:vAlign w:val="center"/>
          </w:tcPr>
          <w:p w14:paraId="283B2DCF">
            <w:pPr>
              <w:pStyle w:val="12"/>
              <w:jc w:val="center"/>
            </w:pPr>
            <w:r>
              <w:rPr>
                <w:rFonts w:hint="eastAsia"/>
              </w:rPr>
              <w:t>1983年8月</w:t>
            </w:r>
          </w:p>
        </w:tc>
        <w:tc>
          <w:tcPr>
            <w:tcW w:w="925" w:type="pct"/>
            <w:vAlign w:val="center"/>
          </w:tcPr>
          <w:p w14:paraId="34653465">
            <w:pPr>
              <w:pStyle w:val="12"/>
              <w:jc w:val="center"/>
            </w:pPr>
            <w:r>
              <w:rPr>
                <w:rFonts w:hint="eastAsia"/>
              </w:rPr>
              <w:t>省人民政府</w:t>
            </w:r>
          </w:p>
        </w:tc>
        <w:tc>
          <w:tcPr>
            <w:tcW w:w="1531" w:type="pct"/>
            <w:vAlign w:val="center"/>
          </w:tcPr>
          <w:p w14:paraId="11615D0C">
            <w:pPr>
              <w:pStyle w:val="12"/>
              <w:jc w:val="left"/>
            </w:pPr>
            <w:r>
              <w:rPr>
                <w:rFonts w:hint="eastAsia"/>
              </w:rPr>
              <w:t>全省计划生育先进工作者</w:t>
            </w:r>
          </w:p>
        </w:tc>
      </w:tr>
      <w:tr w14:paraId="7C82C9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40F5B435">
            <w:pPr>
              <w:pStyle w:val="12"/>
              <w:jc w:val="center"/>
            </w:pPr>
            <w:r>
              <w:rPr>
                <w:rFonts w:hint="eastAsia"/>
              </w:rPr>
              <w:t>黄辉萍</w:t>
            </w:r>
          </w:p>
        </w:tc>
        <w:tc>
          <w:tcPr>
            <w:tcW w:w="996" w:type="pct"/>
            <w:vAlign w:val="center"/>
          </w:tcPr>
          <w:p w14:paraId="409D0EDB">
            <w:pPr>
              <w:pStyle w:val="12"/>
              <w:jc w:val="center"/>
            </w:pPr>
            <w:r>
              <w:rPr>
                <w:rFonts w:hint="eastAsia"/>
              </w:rPr>
              <w:t>县人民医院</w:t>
            </w:r>
          </w:p>
        </w:tc>
        <w:tc>
          <w:tcPr>
            <w:tcW w:w="925" w:type="pct"/>
            <w:vAlign w:val="center"/>
          </w:tcPr>
          <w:p w14:paraId="3DBE2A9F">
            <w:pPr>
              <w:pStyle w:val="12"/>
              <w:jc w:val="center"/>
            </w:pPr>
            <w:r>
              <w:rPr>
                <w:rFonts w:hint="eastAsia"/>
              </w:rPr>
              <w:t>1983年8月</w:t>
            </w:r>
          </w:p>
        </w:tc>
        <w:tc>
          <w:tcPr>
            <w:tcW w:w="925" w:type="pct"/>
            <w:vAlign w:val="center"/>
          </w:tcPr>
          <w:p w14:paraId="5A4ED2F1">
            <w:pPr>
              <w:pStyle w:val="12"/>
              <w:jc w:val="center"/>
            </w:pPr>
            <w:r>
              <w:rPr>
                <w:rFonts w:hint="eastAsia"/>
              </w:rPr>
              <w:t>省人民政府</w:t>
            </w:r>
          </w:p>
        </w:tc>
        <w:tc>
          <w:tcPr>
            <w:tcW w:w="1531" w:type="pct"/>
            <w:vAlign w:val="center"/>
          </w:tcPr>
          <w:p w14:paraId="10D01900">
            <w:pPr>
              <w:pStyle w:val="12"/>
              <w:jc w:val="left"/>
            </w:pPr>
            <w:r>
              <w:rPr>
                <w:rFonts w:hint="eastAsia"/>
              </w:rPr>
              <w:t>全省计划生育先进工作者</w:t>
            </w:r>
          </w:p>
        </w:tc>
      </w:tr>
      <w:tr w14:paraId="73F164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092CF935">
            <w:pPr>
              <w:pStyle w:val="12"/>
              <w:jc w:val="center"/>
            </w:pPr>
            <w:r>
              <w:rPr>
                <w:rFonts w:hint="eastAsia"/>
              </w:rPr>
              <w:t>陈玉兰</w:t>
            </w:r>
          </w:p>
        </w:tc>
        <w:tc>
          <w:tcPr>
            <w:tcW w:w="996" w:type="pct"/>
            <w:vAlign w:val="center"/>
          </w:tcPr>
          <w:p w14:paraId="6EE16AA2">
            <w:pPr>
              <w:pStyle w:val="12"/>
              <w:jc w:val="center"/>
              <w:rPr>
                <w:rFonts w:ascii="宋体" w:hAnsi="宋体" w:cs="宋体"/>
              </w:rPr>
            </w:pPr>
            <w:r>
              <w:rPr>
                <w:rFonts w:hint="eastAsia"/>
              </w:rPr>
              <w:t>主田公社</w:t>
            </w:r>
          </w:p>
          <w:p w14:paraId="0D1A276C">
            <w:pPr>
              <w:pStyle w:val="12"/>
              <w:jc w:val="center"/>
            </w:pPr>
            <w:r>
              <w:rPr>
                <w:rFonts w:hint="eastAsia" w:ascii="宋体" w:hAnsi="宋体" w:cs="宋体"/>
              </w:rPr>
              <w:t>城门大队</w:t>
            </w:r>
          </w:p>
        </w:tc>
        <w:tc>
          <w:tcPr>
            <w:tcW w:w="925" w:type="pct"/>
            <w:vAlign w:val="center"/>
          </w:tcPr>
          <w:p w14:paraId="3202B706">
            <w:pPr>
              <w:pStyle w:val="12"/>
              <w:jc w:val="center"/>
            </w:pPr>
            <w:r>
              <w:rPr>
                <w:rFonts w:hint="eastAsia"/>
              </w:rPr>
              <w:t>1983年8月</w:t>
            </w:r>
          </w:p>
        </w:tc>
        <w:tc>
          <w:tcPr>
            <w:tcW w:w="925" w:type="pct"/>
            <w:vAlign w:val="center"/>
          </w:tcPr>
          <w:p w14:paraId="77135B99">
            <w:pPr>
              <w:pStyle w:val="12"/>
              <w:jc w:val="center"/>
            </w:pPr>
            <w:r>
              <w:rPr>
                <w:rFonts w:hint="eastAsia"/>
              </w:rPr>
              <w:t>省人民政府</w:t>
            </w:r>
          </w:p>
        </w:tc>
        <w:tc>
          <w:tcPr>
            <w:tcW w:w="1531" w:type="pct"/>
            <w:vAlign w:val="center"/>
          </w:tcPr>
          <w:p w14:paraId="2B723C6B">
            <w:pPr>
              <w:pStyle w:val="12"/>
              <w:jc w:val="left"/>
            </w:pPr>
            <w:r>
              <w:rPr>
                <w:rFonts w:hint="eastAsia"/>
              </w:rPr>
              <w:t>全省计划生育先进工作者</w:t>
            </w:r>
          </w:p>
        </w:tc>
      </w:tr>
      <w:tr w14:paraId="7C2E66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32D083D9">
            <w:pPr>
              <w:pStyle w:val="12"/>
              <w:jc w:val="center"/>
            </w:pPr>
            <w:r>
              <w:rPr>
                <w:rFonts w:hint="eastAsia"/>
              </w:rPr>
              <w:t>蔡明款</w:t>
            </w:r>
          </w:p>
        </w:tc>
        <w:tc>
          <w:tcPr>
            <w:tcW w:w="996" w:type="pct"/>
            <w:vAlign w:val="center"/>
          </w:tcPr>
          <w:p w14:paraId="21D64260">
            <w:pPr>
              <w:pStyle w:val="12"/>
              <w:jc w:val="center"/>
            </w:pPr>
            <w:r>
              <w:rPr>
                <w:rFonts w:hint="eastAsia"/>
              </w:rPr>
              <w:t>县公安局</w:t>
            </w:r>
          </w:p>
        </w:tc>
        <w:tc>
          <w:tcPr>
            <w:tcW w:w="925" w:type="pct"/>
            <w:vAlign w:val="center"/>
          </w:tcPr>
          <w:p w14:paraId="48A9D59C">
            <w:pPr>
              <w:pStyle w:val="12"/>
              <w:jc w:val="center"/>
            </w:pPr>
            <w:r>
              <w:rPr>
                <w:rFonts w:hint="eastAsia"/>
              </w:rPr>
              <w:t>1984年5月</w:t>
            </w:r>
          </w:p>
        </w:tc>
        <w:tc>
          <w:tcPr>
            <w:tcW w:w="925" w:type="pct"/>
            <w:vAlign w:val="center"/>
          </w:tcPr>
          <w:p w14:paraId="40E3C285">
            <w:pPr>
              <w:pStyle w:val="12"/>
              <w:jc w:val="center"/>
            </w:pPr>
            <w:r>
              <w:rPr>
                <w:rFonts w:hint="eastAsia"/>
              </w:rPr>
              <w:t>省人民政府</w:t>
            </w:r>
          </w:p>
        </w:tc>
        <w:tc>
          <w:tcPr>
            <w:tcW w:w="1531" w:type="pct"/>
            <w:vMerge w:val="restart"/>
            <w:vAlign w:val="center"/>
          </w:tcPr>
          <w:p w14:paraId="3FD81155">
            <w:pPr>
              <w:pStyle w:val="12"/>
              <w:jc w:val="left"/>
            </w:pPr>
            <w:r>
              <w:rPr>
                <w:rFonts w:hint="eastAsia"/>
              </w:rPr>
              <w:t>打击刑事犯罪活动先进工作者</w:t>
            </w:r>
          </w:p>
        </w:tc>
      </w:tr>
      <w:tr w14:paraId="0E7B8B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7E7225F8">
            <w:pPr>
              <w:pStyle w:val="12"/>
              <w:jc w:val="center"/>
            </w:pPr>
            <w:r>
              <w:rPr>
                <w:rFonts w:hint="eastAsia"/>
              </w:rPr>
              <w:t>陈培林</w:t>
            </w:r>
          </w:p>
        </w:tc>
        <w:tc>
          <w:tcPr>
            <w:tcW w:w="996" w:type="pct"/>
            <w:vAlign w:val="center"/>
          </w:tcPr>
          <w:p w14:paraId="026D7035">
            <w:pPr>
              <w:pStyle w:val="12"/>
              <w:jc w:val="center"/>
            </w:pPr>
            <w:r>
              <w:rPr>
                <w:rFonts w:hint="eastAsia"/>
              </w:rPr>
              <w:t>县公安局</w:t>
            </w:r>
          </w:p>
        </w:tc>
        <w:tc>
          <w:tcPr>
            <w:tcW w:w="925" w:type="pct"/>
            <w:vAlign w:val="center"/>
          </w:tcPr>
          <w:p w14:paraId="0CEE4F08">
            <w:pPr>
              <w:pStyle w:val="12"/>
              <w:jc w:val="center"/>
            </w:pPr>
            <w:r>
              <w:rPr>
                <w:rFonts w:hint="eastAsia"/>
              </w:rPr>
              <w:t>1984年5月</w:t>
            </w:r>
          </w:p>
        </w:tc>
        <w:tc>
          <w:tcPr>
            <w:tcW w:w="925" w:type="pct"/>
            <w:vAlign w:val="center"/>
          </w:tcPr>
          <w:p w14:paraId="5F9461F9">
            <w:pPr>
              <w:pStyle w:val="12"/>
              <w:jc w:val="center"/>
            </w:pPr>
            <w:r>
              <w:rPr>
                <w:rFonts w:hint="eastAsia"/>
              </w:rPr>
              <w:t>省人民政府</w:t>
            </w:r>
          </w:p>
        </w:tc>
        <w:tc>
          <w:tcPr>
            <w:tcW w:w="1531" w:type="pct"/>
            <w:vMerge w:val="continue"/>
            <w:vAlign w:val="center"/>
          </w:tcPr>
          <w:p w14:paraId="7932A45E">
            <w:pPr>
              <w:pStyle w:val="12"/>
              <w:jc w:val="left"/>
            </w:pPr>
          </w:p>
        </w:tc>
      </w:tr>
      <w:tr w14:paraId="444F98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407F733A">
            <w:pPr>
              <w:pStyle w:val="12"/>
              <w:jc w:val="center"/>
            </w:pPr>
            <w:r>
              <w:rPr>
                <w:rFonts w:hint="eastAsia"/>
              </w:rPr>
              <w:t>陈道勇</w:t>
            </w:r>
          </w:p>
        </w:tc>
        <w:tc>
          <w:tcPr>
            <w:tcW w:w="996" w:type="pct"/>
            <w:vAlign w:val="center"/>
          </w:tcPr>
          <w:p w14:paraId="41DC9CA1">
            <w:pPr>
              <w:pStyle w:val="12"/>
              <w:jc w:val="center"/>
            </w:pPr>
            <w:r>
              <w:rPr>
                <w:rFonts w:hint="eastAsia"/>
              </w:rPr>
              <w:t>雄州公安分局</w:t>
            </w:r>
          </w:p>
        </w:tc>
        <w:tc>
          <w:tcPr>
            <w:tcW w:w="925" w:type="pct"/>
            <w:vAlign w:val="center"/>
          </w:tcPr>
          <w:p w14:paraId="4BF00DF6">
            <w:pPr>
              <w:pStyle w:val="12"/>
              <w:jc w:val="center"/>
            </w:pPr>
            <w:r>
              <w:rPr>
                <w:rFonts w:hint="eastAsia"/>
              </w:rPr>
              <w:t>1984年5月</w:t>
            </w:r>
          </w:p>
        </w:tc>
        <w:tc>
          <w:tcPr>
            <w:tcW w:w="925" w:type="pct"/>
            <w:vAlign w:val="center"/>
          </w:tcPr>
          <w:p w14:paraId="49399BC0">
            <w:pPr>
              <w:pStyle w:val="12"/>
              <w:jc w:val="center"/>
            </w:pPr>
            <w:r>
              <w:rPr>
                <w:rFonts w:hint="eastAsia"/>
              </w:rPr>
              <w:t>省人民政府</w:t>
            </w:r>
          </w:p>
        </w:tc>
        <w:tc>
          <w:tcPr>
            <w:tcW w:w="1531" w:type="pct"/>
            <w:vMerge w:val="continue"/>
            <w:vAlign w:val="center"/>
          </w:tcPr>
          <w:p w14:paraId="66B93944">
            <w:pPr>
              <w:pStyle w:val="12"/>
              <w:jc w:val="left"/>
            </w:pPr>
          </w:p>
        </w:tc>
      </w:tr>
      <w:tr w14:paraId="4D9657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4AE8F610">
            <w:pPr>
              <w:pStyle w:val="12"/>
              <w:jc w:val="center"/>
            </w:pPr>
            <w:r>
              <w:rPr>
                <w:rFonts w:hint="eastAsia"/>
              </w:rPr>
              <w:t>周伦先</w:t>
            </w:r>
          </w:p>
        </w:tc>
        <w:tc>
          <w:tcPr>
            <w:tcW w:w="996" w:type="pct"/>
            <w:vAlign w:val="center"/>
          </w:tcPr>
          <w:p w14:paraId="433520A9">
            <w:pPr>
              <w:pStyle w:val="12"/>
              <w:jc w:val="center"/>
            </w:pPr>
            <w:r>
              <w:rPr>
                <w:rFonts w:hint="eastAsia"/>
              </w:rPr>
              <w:t>县检察院</w:t>
            </w:r>
          </w:p>
        </w:tc>
        <w:tc>
          <w:tcPr>
            <w:tcW w:w="925" w:type="pct"/>
            <w:vAlign w:val="center"/>
          </w:tcPr>
          <w:p w14:paraId="4B9F3C74">
            <w:pPr>
              <w:pStyle w:val="12"/>
              <w:jc w:val="center"/>
            </w:pPr>
            <w:r>
              <w:rPr>
                <w:rFonts w:hint="eastAsia"/>
              </w:rPr>
              <w:t>1984年5月</w:t>
            </w:r>
          </w:p>
        </w:tc>
        <w:tc>
          <w:tcPr>
            <w:tcW w:w="925" w:type="pct"/>
            <w:vAlign w:val="center"/>
          </w:tcPr>
          <w:p w14:paraId="35EAFF3B">
            <w:pPr>
              <w:pStyle w:val="12"/>
              <w:jc w:val="center"/>
            </w:pPr>
            <w:r>
              <w:rPr>
                <w:rFonts w:hint="eastAsia"/>
              </w:rPr>
              <w:t>省人民政府</w:t>
            </w:r>
          </w:p>
        </w:tc>
        <w:tc>
          <w:tcPr>
            <w:tcW w:w="1531" w:type="pct"/>
            <w:vMerge w:val="continue"/>
            <w:vAlign w:val="center"/>
          </w:tcPr>
          <w:p w14:paraId="3D08D08F">
            <w:pPr>
              <w:pStyle w:val="12"/>
              <w:jc w:val="left"/>
            </w:pPr>
          </w:p>
        </w:tc>
      </w:tr>
      <w:tr w14:paraId="5B229E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58EA083A">
            <w:pPr>
              <w:pStyle w:val="12"/>
              <w:jc w:val="center"/>
            </w:pPr>
            <w:r>
              <w:rPr>
                <w:rFonts w:hint="eastAsia"/>
              </w:rPr>
              <w:t>卢道传</w:t>
            </w:r>
          </w:p>
        </w:tc>
        <w:tc>
          <w:tcPr>
            <w:tcW w:w="996" w:type="pct"/>
            <w:vAlign w:val="center"/>
          </w:tcPr>
          <w:p w14:paraId="42639CB7">
            <w:pPr>
              <w:pStyle w:val="12"/>
              <w:jc w:val="center"/>
            </w:pPr>
            <w:r>
              <w:rPr>
                <w:rFonts w:hint="eastAsia"/>
              </w:rPr>
              <w:t>县人民法院</w:t>
            </w:r>
          </w:p>
        </w:tc>
        <w:tc>
          <w:tcPr>
            <w:tcW w:w="925" w:type="pct"/>
            <w:vAlign w:val="center"/>
          </w:tcPr>
          <w:p w14:paraId="1F0EA25F">
            <w:pPr>
              <w:pStyle w:val="12"/>
              <w:jc w:val="center"/>
            </w:pPr>
            <w:r>
              <w:rPr>
                <w:rFonts w:hint="eastAsia"/>
              </w:rPr>
              <w:t>1984年5月</w:t>
            </w:r>
          </w:p>
        </w:tc>
        <w:tc>
          <w:tcPr>
            <w:tcW w:w="925" w:type="pct"/>
            <w:vAlign w:val="center"/>
          </w:tcPr>
          <w:p w14:paraId="655F3847">
            <w:pPr>
              <w:pStyle w:val="12"/>
              <w:jc w:val="center"/>
            </w:pPr>
            <w:r>
              <w:rPr>
                <w:rFonts w:hint="eastAsia"/>
              </w:rPr>
              <w:t>省人民政府</w:t>
            </w:r>
          </w:p>
        </w:tc>
        <w:tc>
          <w:tcPr>
            <w:tcW w:w="1531" w:type="pct"/>
            <w:vMerge w:val="continue"/>
            <w:vAlign w:val="center"/>
          </w:tcPr>
          <w:p w14:paraId="41153F94">
            <w:pPr>
              <w:pStyle w:val="12"/>
              <w:jc w:val="left"/>
            </w:pPr>
          </w:p>
        </w:tc>
      </w:tr>
      <w:tr w14:paraId="3BC926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68E1BBCD">
            <w:pPr>
              <w:pStyle w:val="12"/>
              <w:jc w:val="center"/>
            </w:pPr>
            <w:r>
              <w:rPr>
                <w:rFonts w:hint="eastAsia"/>
              </w:rPr>
              <w:t>魏修文</w:t>
            </w:r>
          </w:p>
        </w:tc>
        <w:tc>
          <w:tcPr>
            <w:tcW w:w="996" w:type="pct"/>
            <w:vAlign w:val="center"/>
          </w:tcPr>
          <w:p w14:paraId="5B0E7824">
            <w:pPr>
              <w:pStyle w:val="12"/>
              <w:jc w:val="center"/>
            </w:pPr>
            <w:r>
              <w:rPr>
                <w:rFonts w:hint="eastAsia"/>
              </w:rPr>
              <w:t>梅岭小学</w:t>
            </w:r>
          </w:p>
        </w:tc>
        <w:tc>
          <w:tcPr>
            <w:tcW w:w="925" w:type="pct"/>
            <w:vAlign w:val="center"/>
          </w:tcPr>
          <w:p w14:paraId="29B43D99">
            <w:pPr>
              <w:pStyle w:val="12"/>
              <w:jc w:val="center"/>
            </w:pPr>
            <w:r>
              <w:rPr>
                <w:rFonts w:hint="eastAsia"/>
              </w:rPr>
              <w:t>1985年3月</w:t>
            </w:r>
          </w:p>
        </w:tc>
        <w:tc>
          <w:tcPr>
            <w:tcW w:w="925" w:type="pct"/>
            <w:vAlign w:val="center"/>
          </w:tcPr>
          <w:p w14:paraId="4B6CF160">
            <w:pPr>
              <w:pStyle w:val="12"/>
              <w:jc w:val="center"/>
              <w:rPr>
                <w:rFonts w:ascii="宋体" w:hAnsi="宋体" w:cs="宋体"/>
              </w:rPr>
            </w:pPr>
            <w:r>
              <w:rPr>
                <w:rFonts w:hint="eastAsia"/>
              </w:rPr>
              <w:t>中共广东省委</w:t>
            </w:r>
          </w:p>
          <w:p w14:paraId="7454EFA8">
            <w:pPr>
              <w:pStyle w:val="12"/>
              <w:jc w:val="center"/>
            </w:pPr>
            <w:r>
              <w:rPr>
                <w:rFonts w:hint="eastAsia" w:ascii="宋体" w:hAnsi="宋体" w:cs="宋体"/>
              </w:rPr>
              <w:t>省人民政府</w:t>
            </w:r>
          </w:p>
        </w:tc>
        <w:tc>
          <w:tcPr>
            <w:tcW w:w="1531" w:type="pct"/>
            <w:vAlign w:val="center"/>
          </w:tcPr>
          <w:p w14:paraId="0253D3CB">
            <w:pPr>
              <w:pStyle w:val="12"/>
              <w:jc w:val="left"/>
            </w:pPr>
            <w:r>
              <w:rPr>
                <w:rFonts w:hint="eastAsia"/>
              </w:rPr>
              <w:t>优秀教育工作者</w:t>
            </w:r>
          </w:p>
        </w:tc>
      </w:tr>
      <w:tr w14:paraId="27A0F8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32B39A69">
            <w:pPr>
              <w:pStyle w:val="12"/>
              <w:jc w:val="center"/>
            </w:pPr>
            <w:r>
              <w:rPr>
                <w:rFonts w:hint="eastAsia"/>
              </w:rPr>
              <w:t>刘景山</w:t>
            </w:r>
          </w:p>
        </w:tc>
        <w:tc>
          <w:tcPr>
            <w:tcW w:w="996" w:type="pct"/>
            <w:vAlign w:val="center"/>
          </w:tcPr>
          <w:p w14:paraId="6E2F9974">
            <w:pPr>
              <w:pStyle w:val="12"/>
              <w:jc w:val="center"/>
            </w:pPr>
            <w:r>
              <w:rPr>
                <w:rFonts w:hint="eastAsia"/>
              </w:rPr>
              <w:t>城镇一中</w:t>
            </w:r>
          </w:p>
        </w:tc>
        <w:tc>
          <w:tcPr>
            <w:tcW w:w="925" w:type="pct"/>
            <w:vAlign w:val="center"/>
          </w:tcPr>
          <w:p w14:paraId="025EB3E0">
            <w:pPr>
              <w:pStyle w:val="12"/>
              <w:jc w:val="center"/>
            </w:pPr>
            <w:r>
              <w:rPr>
                <w:rFonts w:hint="eastAsia"/>
              </w:rPr>
              <w:t>1985年3月</w:t>
            </w:r>
          </w:p>
        </w:tc>
        <w:tc>
          <w:tcPr>
            <w:tcW w:w="925" w:type="pct"/>
            <w:vAlign w:val="center"/>
          </w:tcPr>
          <w:p w14:paraId="326001E5">
            <w:pPr>
              <w:pStyle w:val="12"/>
              <w:jc w:val="center"/>
              <w:rPr>
                <w:rFonts w:ascii="宋体" w:hAnsi="宋体" w:cs="宋体"/>
              </w:rPr>
            </w:pPr>
            <w:r>
              <w:rPr>
                <w:rFonts w:hint="eastAsia"/>
              </w:rPr>
              <w:t>中共广东省委</w:t>
            </w:r>
          </w:p>
          <w:p w14:paraId="5BC910B5">
            <w:pPr>
              <w:pStyle w:val="12"/>
              <w:jc w:val="center"/>
            </w:pPr>
            <w:r>
              <w:rPr>
                <w:rFonts w:hint="eastAsia" w:ascii="宋体" w:hAnsi="宋体" w:cs="宋体"/>
              </w:rPr>
              <w:t>省人民政府</w:t>
            </w:r>
          </w:p>
        </w:tc>
        <w:tc>
          <w:tcPr>
            <w:tcW w:w="1531" w:type="pct"/>
            <w:vAlign w:val="center"/>
          </w:tcPr>
          <w:p w14:paraId="2982D9C5">
            <w:pPr>
              <w:pStyle w:val="12"/>
              <w:jc w:val="left"/>
            </w:pPr>
            <w:r>
              <w:rPr>
                <w:rFonts w:hint="eastAsia"/>
              </w:rPr>
              <w:t>优秀教育工作者</w:t>
            </w:r>
          </w:p>
        </w:tc>
      </w:tr>
      <w:tr w14:paraId="21E2FD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1985EE16">
            <w:pPr>
              <w:pStyle w:val="12"/>
              <w:jc w:val="center"/>
            </w:pPr>
            <w:r>
              <w:rPr>
                <w:rFonts w:hint="eastAsia"/>
              </w:rPr>
              <w:t>丘德高</w:t>
            </w:r>
          </w:p>
        </w:tc>
        <w:tc>
          <w:tcPr>
            <w:tcW w:w="996" w:type="pct"/>
            <w:vAlign w:val="center"/>
          </w:tcPr>
          <w:p w14:paraId="259D21DC">
            <w:pPr>
              <w:pStyle w:val="12"/>
              <w:jc w:val="center"/>
            </w:pPr>
            <w:r>
              <w:rPr>
                <w:rFonts w:hint="eastAsia"/>
              </w:rPr>
              <w:t>城镇二中</w:t>
            </w:r>
          </w:p>
        </w:tc>
        <w:tc>
          <w:tcPr>
            <w:tcW w:w="925" w:type="pct"/>
            <w:vAlign w:val="center"/>
          </w:tcPr>
          <w:p w14:paraId="57818ED7">
            <w:pPr>
              <w:pStyle w:val="12"/>
              <w:jc w:val="center"/>
            </w:pPr>
            <w:r>
              <w:rPr>
                <w:rFonts w:hint="eastAsia"/>
              </w:rPr>
              <w:t>1985年3月</w:t>
            </w:r>
          </w:p>
        </w:tc>
        <w:tc>
          <w:tcPr>
            <w:tcW w:w="925" w:type="pct"/>
            <w:vAlign w:val="center"/>
          </w:tcPr>
          <w:p w14:paraId="2DBAB35C">
            <w:pPr>
              <w:pStyle w:val="12"/>
              <w:jc w:val="center"/>
              <w:rPr>
                <w:rFonts w:ascii="宋体" w:hAnsi="宋体" w:cs="宋体"/>
              </w:rPr>
            </w:pPr>
            <w:r>
              <w:rPr>
                <w:rFonts w:hint="eastAsia"/>
              </w:rPr>
              <w:t>中共广东省委</w:t>
            </w:r>
          </w:p>
          <w:p w14:paraId="3D6FC29A">
            <w:pPr>
              <w:pStyle w:val="12"/>
              <w:jc w:val="center"/>
            </w:pPr>
            <w:r>
              <w:rPr>
                <w:rFonts w:hint="eastAsia" w:ascii="宋体" w:hAnsi="宋体" w:cs="宋体"/>
              </w:rPr>
              <w:t>省人民政府</w:t>
            </w:r>
          </w:p>
        </w:tc>
        <w:tc>
          <w:tcPr>
            <w:tcW w:w="1531" w:type="pct"/>
            <w:vAlign w:val="center"/>
          </w:tcPr>
          <w:p w14:paraId="01B8CF57">
            <w:pPr>
              <w:pStyle w:val="12"/>
              <w:jc w:val="left"/>
            </w:pPr>
            <w:r>
              <w:rPr>
                <w:rFonts w:hint="eastAsia"/>
              </w:rPr>
              <w:t>优秀教育工作者</w:t>
            </w:r>
          </w:p>
        </w:tc>
      </w:tr>
      <w:tr w14:paraId="001844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7E6E536C">
            <w:pPr>
              <w:pStyle w:val="12"/>
              <w:jc w:val="center"/>
            </w:pPr>
            <w:r>
              <w:rPr>
                <w:rFonts w:hint="eastAsia"/>
              </w:rPr>
              <w:t>刘洪健</w:t>
            </w:r>
          </w:p>
        </w:tc>
        <w:tc>
          <w:tcPr>
            <w:tcW w:w="996" w:type="pct"/>
            <w:vAlign w:val="center"/>
          </w:tcPr>
          <w:p w14:paraId="59C29AF5">
            <w:pPr>
              <w:pStyle w:val="12"/>
              <w:jc w:val="center"/>
            </w:pPr>
            <w:r>
              <w:rPr>
                <w:rFonts w:hint="eastAsia"/>
              </w:rPr>
              <w:t>黄坑中学</w:t>
            </w:r>
          </w:p>
        </w:tc>
        <w:tc>
          <w:tcPr>
            <w:tcW w:w="925" w:type="pct"/>
            <w:vAlign w:val="center"/>
          </w:tcPr>
          <w:p w14:paraId="6F745F26">
            <w:pPr>
              <w:pStyle w:val="12"/>
              <w:jc w:val="center"/>
            </w:pPr>
            <w:r>
              <w:rPr>
                <w:rFonts w:hint="eastAsia"/>
              </w:rPr>
              <w:t>1985年3月</w:t>
            </w:r>
          </w:p>
        </w:tc>
        <w:tc>
          <w:tcPr>
            <w:tcW w:w="925" w:type="pct"/>
            <w:vAlign w:val="center"/>
          </w:tcPr>
          <w:p w14:paraId="16A5EF15">
            <w:pPr>
              <w:pStyle w:val="12"/>
              <w:jc w:val="center"/>
              <w:rPr>
                <w:rFonts w:ascii="宋体" w:hAnsi="宋体" w:cs="宋体"/>
              </w:rPr>
            </w:pPr>
            <w:r>
              <w:rPr>
                <w:rFonts w:hint="eastAsia"/>
              </w:rPr>
              <w:t>中共广东省委</w:t>
            </w:r>
          </w:p>
          <w:p w14:paraId="1682B8F4">
            <w:pPr>
              <w:pStyle w:val="12"/>
              <w:jc w:val="center"/>
            </w:pPr>
            <w:r>
              <w:rPr>
                <w:rFonts w:hint="eastAsia" w:ascii="宋体" w:hAnsi="宋体" w:cs="宋体"/>
              </w:rPr>
              <w:t>省人民政府</w:t>
            </w:r>
          </w:p>
        </w:tc>
        <w:tc>
          <w:tcPr>
            <w:tcW w:w="1531" w:type="pct"/>
            <w:vAlign w:val="center"/>
          </w:tcPr>
          <w:p w14:paraId="5C649423">
            <w:pPr>
              <w:pStyle w:val="12"/>
              <w:jc w:val="left"/>
            </w:pPr>
            <w:r>
              <w:rPr>
                <w:rFonts w:hint="eastAsia"/>
              </w:rPr>
              <w:t>优秀教育工作者</w:t>
            </w:r>
          </w:p>
        </w:tc>
      </w:tr>
      <w:tr w14:paraId="56F0C6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520E08F4">
            <w:pPr>
              <w:pStyle w:val="12"/>
              <w:jc w:val="center"/>
            </w:pPr>
            <w:r>
              <w:rPr>
                <w:rFonts w:hint="eastAsia"/>
              </w:rPr>
              <w:t>叶达明</w:t>
            </w:r>
          </w:p>
        </w:tc>
        <w:tc>
          <w:tcPr>
            <w:tcW w:w="996" w:type="pct"/>
            <w:vAlign w:val="center"/>
          </w:tcPr>
          <w:p w14:paraId="4C2978A8">
            <w:pPr>
              <w:pStyle w:val="12"/>
              <w:jc w:val="center"/>
            </w:pPr>
            <w:r>
              <w:rPr>
                <w:rFonts w:hint="eastAsia"/>
              </w:rPr>
              <w:t>坪田小学</w:t>
            </w:r>
          </w:p>
        </w:tc>
        <w:tc>
          <w:tcPr>
            <w:tcW w:w="925" w:type="pct"/>
            <w:vAlign w:val="center"/>
          </w:tcPr>
          <w:p w14:paraId="30B1DFA1">
            <w:pPr>
              <w:pStyle w:val="12"/>
              <w:jc w:val="center"/>
            </w:pPr>
            <w:r>
              <w:rPr>
                <w:rFonts w:hint="eastAsia"/>
              </w:rPr>
              <w:t>1985年3月</w:t>
            </w:r>
          </w:p>
        </w:tc>
        <w:tc>
          <w:tcPr>
            <w:tcW w:w="925" w:type="pct"/>
            <w:vAlign w:val="center"/>
          </w:tcPr>
          <w:p w14:paraId="7CF7965E">
            <w:pPr>
              <w:pStyle w:val="12"/>
              <w:jc w:val="center"/>
              <w:rPr>
                <w:rFonts w:ascii="宋体" w:hAnsi="宋体" w:cs="宋体"/>
              </w:rPr>
            </w:pPr>
            <w:r>
              <w:rPr>
                <w:rFonts w:hint="eastAsia"/>
              </w:rPr>
              <w:t>中共广东省委</w:t>
            </w:r>
          </w:p>
          <w:p w14:paraId="1434F423">
            <w:pPr>
              <w:pStyle w:val="12"/>
              <w:jc w:val="center"/>
            </w:pPr>
            <w:r>
              <w:rPr>
                <w:rFonts w:hint="eastAsia" w:ascii="宋体" w:hAnsi="宋体" w:cs="宋体"/>
              </w:rPr>
              <w:t>省人民政府</w:t>
            </w:r>
          </w:p>
        </w:tc>
        <w:tc>
          <w:tcPr>
            <w:tcW w:w="1531" w:type="pct"/>
            <w:vAlign w:val="center"/>
          </w:tcPr>
          <w:p w14:paraId="1E53F4A5">
            <w:pPr>
              <w:pStyle w:val="12"/>
              <w:jc w:val="left"/>
            </w:pPr>
            <w:r>
              <w:rPr>
                <w:rFonts w:hint="eastAsia"/>
              </w:rPr>
              <w:t>优秀教育工作者</w:t>
            </w:r>
          </w:p>
        </w:tc>
      </w:tr>
      <w:tr w14:paraId="0B0F16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385F051E">
            <w:pPr>
              <w:pStyle w:val="12"/>
              <w:jc w:val="center"/>
            </w:pPr>
            <w:r>
              <w:rPr>
                <w:rFonts w:hint="eastAsia"/>
              </w:rPr>
              <w:t>华良行</w:t>
            </w:r>
          </w:p>
        </w:tc>
        <w:tc>
          <w:tcPr>
            <w:tcW w:w="996" w:type="pct"/>
            <w:vAlign w:val="center"/>
          </w:tcPr>
          <w:p w14:paraId="209AB67A">
            <w:pPr>
              <w:pStyle w:val="12"/>
              <w:jc w:val="center"/>
            </w:pPr>
            <w:r>
              <w:rPr>
                <w:rFonts w:hint="eastAsia"/>
              </w:rPr>
              <w:t>县黄烟试验站</w:t>
            </w:r>
          </w:p>
        </w:tc>
        <w:tc>
          <w:tcPr>
            <w:tcW w:w="925" w:type="pct"/>
            <w:vAlign w:val="center"/>
          </w:tcPr>
          <w:p w14:paraId="4F373F76">
            <w:pPr>
              <w:pStyle w:val="12"/>
              <w:jc w:val="center"/>
            </w:pPr>
            <w:r>
              <w:rPr>
                <w:rFonts w:hint="eastAsia"/>
              </w:rPr>
              <w:t>1985年6月</w:t>
            </w:r>
          </w:p>
        </w:tc>
        <w:tc>
          <w:tcPr>
            <w:tcW w:w="925" w:type="pct"/>
            <w:vAlign w:val="center"/>
          </w:tcPr>
          <w:p w14:paraId="4BA6175C">
            <w:pPr>
              <w:pStyle w:val="12"/>
              <w:jc w:val="center"/>
            </w:pPr>
            <w:r>
              <w:rPr>
                <w:rFonts w:hint="eastAsia"/>
              </w:rPr>
              <w:t>省人民政府</w:t>
            </w:r>
          </w:p>
        </w:tc>
        <w:tc>
          <w:tcPr>
            <w:tcW w:w="1531" w:type="pct"/>
            <w:vAlign w:val="center"/>
          </w:tcPr>
          <w:p w14:paraId="7CE344B4">
            <w:pPr>
              <w:pStyle w:val="12"/>
              <w:jc w:val="left"/>
            </w:pPr>
            <w:r>
              <w:rPr>
                <w:rFonts w:hint="eastAsia"/>
              </w:rPr>
              <w:t>全省职工劳动模范</w:t>
            </w:r>
          </w:p>
        </w:tc>
      </w:tr>
      <w:tr w14:paraId="05C2B7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654DC269">
            <w:pPr>
              <w:pStyle w:val="12"/>
              <w:jc w:val="center"/>
            </w:pPr>
            <w:r>
              <w:rPr>
                <w:rFonts w:hint="eastAsia"/>
              </w:rPr>
              <w:t>谢崇金</w:t>
            </w:r>
          </w:p>
        </w:tc>
        <w:tc>
          <w:tcPr>
            <w:tcW w:w="996" w:type="pct"/>
            <w:vAlign w:val="center"/>
          </w:tcPr>
          <w:p w14:paraId="7D0AB266">
            <w:pPr>
              <w:pStyle w:val="12"/>
              <w:jc w:val="center"/>
            </w:pPr>
            <w:r>
              <w:rPr>
                <w:rFonts w:hint="eastAsia"/>
              </w:rPr>
              <w:t>县第一中学</w:t>
            </w:r>
          </w:p>
        </w:tc>
        <w:tc>
          <w:tcPr>
            <w:tcW w:w="925" w:type="pct"/>
            <w:vAlign w:val="center"/>
          </w:tcPr>
          <w:p w14:paraId="2CABED47">
            <w:pPr>
              <w:pStyle w:val="12"/>
              <w:jc w:val="center"/>
            </w:pPr>
            <w:r>
              <w:rPr>
                <w:rFonts w:hint="eastAsia"/>
              </w:rPr>
              <w:t>1985年6月</w:t>
            </w:r>
          </w:p>
        </w:tc>
        <w:tc>
          <w:tcPr>
            <w:tcW w:w="925" w:type="pct"/>
            <w:vAlign w:val="center"/>
          </w:tcPr>
          <w:p w14:paraId="329A67ED">
            <w:pPr>
              <w:pStyle w:val="12"/>
              <w:jc w:val="center"/>
            </w:pPr>
            <w:r>
              <w:rPr>
                <w:rFonts w:hint="eastAsia"/>
              </w:rPr>
              <w:t>省人民政府</w:t>
            </w:r>
          </w:p>
        </w:tc>
        <w:tc>
          <w:tcPr>
            <w:tcW w:w="1531" w:type="pct"/>
            <w:vAlign w:val="center"/>
          </w:tcPr>
          <w:p w14:paraId="77E5092F">
            <w:pPr>
              <w:pStyle w:val="12"/>
              <w:jc w:val="left"/>
            </w:pPr>
            <w:r>
              <w:rPr>
                <w:rFonts w:hint="eastAsia"/>
              </w:rPr>
              <w:t>全省职工劳动模范</w:t>
            </w:r>
          </w:p>
        </w:tc>
      </w:tr>
      <w:tr w14:paraId="31A6E8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153346FE">
            <w:pPr>
              <w:pStyle w:val="12"/>
              <w:jc w:val="center"/>
            </w:pPr>
            <w:r>
              <w:rPr>
                <w:rFonts w:hint="eastAsia"/>
              </w:rPr>
              <w:t>陈继彭</w:t>
            </w:r>
          </w:p>
        </w:tc>
        <w:tc>
          <w:tcPr>
            <w:tcW w:w="996" w:type="pct"/>
            <w:vAlign w:val="center"/>
          </w:tcPr>
          <w:p w14:paraId="12FFB278">
            <w:pPr>
              <w:pStyle w:val="12"/>
              <w:jc w:val="center"/>
            </w:pPr>
            <w:r>
              <w:rPr>
                <w:rFonts w:hint="eastAsia"/>
              </w:rPr>
              <w:t>县工艺美术</w:t>
            </w:r>
            <w:r>
              <w:rPr>
                <w:rFonts w:hint="eastAsia" w:ascii="宋体" w:hAnsi="宋体" w:cs="宋体"/>
              </w:rPr>
              <w:t>研究所</w:t>
            </w:r>
          </w:p>
        </w:tc>
        <w:tc>
          <w:tcPr>
            <w:tcW w:w="925" w:type="pct"/>
            <w:vAlign w:val="center"/>
          </w:tcPr>
          <w:p w14:paraId="06778804">
            <w:pPr>
              <w:pStyle w:val="12"/>
              <w:jc w:val="center"/>
            </w:pPr>
            <w:r>
              <w:rPr>
                <w:rFonts w:hint="eastAsia"/>
              </w:rPr>
              <w:t>1986年1月</w:t>
            </w:r>
          </w:p>
        </w:tc>
        <w:tc>
          <w:tcPr>
            <w:tcW w:w="925" w:type="pct"/>
            <w:vAlign w:val="center"/>
          </w:tcPr>
          <w:p w14:paraId="1A38A61C">
            <w:pPr>
              <w:pStyle w:val="12"/>
              <w:jc w:val="center"/>
            </w:pPr>
            <w:r>
              <w:rPr>
                <w:rFonts w:hint="eastAsia"/>
              </w:rPr>
              <w:t>省人民政府</w:t>
            </w:r>
          </w:p>
        </w:tc>
        <w:tc>
          <w:tcPr>
            <w:tcW w:w="1531" w:type="pct"/>
            <w:vAlign w:val="center"/>
          </w:tcPr>
          <w:p w14:paraId="74AD0C54">
            <w:pPr>
              <w:pStyle w:val="12"/>
              <w:jc w:val="left"/>
            </w:pPr>
            <w:r>
              <w:rPr>
                <w:rFonts w:hint="eastAsia"/>
              </w:rPr>
              <w:t>广东省工艺美术家</w:t>
            </w:r>
          </w:p>
        </w:tc>
      </w:tr>
      <w:tr w14:paraId="5BB4CA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71876054">
            <w:pPr>
              <w:pStyle w:val="12"/>
              <w:jc w:val="center"/>
            </w:pPr>
            <w:r>
              <w:rPr>
                <w:rFonts w:hint="eastAsia"/>
              </w:rPr>
              <w:t>梁杰榉</w:t>
            </w:r>
          </w:p>
        </w:tc>
        <w:tc>
          <w:tcPr>
            <w:tcW w:w="996" w:type="pct"/>
            <w:vAlign w:val="center"/>
          </w:tcPr>
          <w:p w14:paraId="00F22939">
            <w:pPr>
              <w:pStyle w:val="12"/>
              <w:jc w:val="center"/>
            </w:pPr>
            <w:r>
              <w:rPr>
                <w:rFonts w:hint="eastAsia"/>
              </w:rPr>
              <w:t>县牧畜局</w:t>
            </w:r>
          </w:p>
        </w:tc>
        <w:tc>
          <w:tcPr>
            <w:tcW w:w="925" w:type="pct"/>
            <w:vAlign w:val="center"/>
          </w:tcPr>
          <w:p w14:paraId="693C8ACA">
            <w:pPr>
              <w:pStyle w:val="12"/>
              <w:jc w:val="center"/>
            </w:pPr>
            <w:r>
              <w:rPr>
                <w:rFonts w:hint="eastAsia"/>
              </w:rPr>
              <w:t>1986年9月</w:t>
            </w:r>
          </w:p>
        </w:tc>
        <w:tc>
          <w:tcPr>
            <w:tcW w:w="925" w:type="pct"/>
            <w:vAlign w:val="center"/>
          </w:tcPr>
          <w:p w14:paraId="03D30C35">
            <w:pPr>
              <w:pStyle w:val="12"/>
              <w:jc w:val="center"/>
            </w:pPr>
            <w:r>
              <w:rPr>
                <w:rFonts w:hint="eastAsia"/>
              </w:rPr>
              <w:t>省人民政府</w:t>
            </w:r>
          </w:p>
        </w:tc>
        <w:tc>
          <w:tcPr>
            <w:tcW w:w="1531" w:type="pct"/>
            <w:vAlign w:val="center"/>
          </w:tcPr>
          <w:p w14:paraId="093B99BE">
            <w:pPr>
              <w:pStyle w:val="12"/>
              <w:jc w:val="left"/>
            </w:pPr>
            <w:r>
              <w:rPr>
                <w:rFonts w:hint="eastAsia"/>
              </w:rPr>
              <w:t>科技工作先进个人</w:t>
            </w:r>
          </w:p>
        </w:tc>
      </w:tr>
      <w:tr w14:paraId="659FD3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17FC59CD">
            <w:pPr>
              <w:pStyle w:val="12"/>
              <w:jc w:val="center"/>
            </w:pPr>
            <w:r>
              <w:rPr>
                <w:rFonts w:hint="eastAsia"/>
              </w:rPr>
              <w:t>李天平</w:t>
            </w:r>
          </w:p>
        </w:tc>
        <w:tc>
          <w:tcPr>
            <w:tcW w:w="996" w:type="pct"/>
            <w:vAlign w:val="center"/>
          </w:tcPr>
          <w:p w14:paraId="2B9B9709">
            <w:pPr>
              <w:pStyle w:val="12"/>
              <w:jc w:val="center"/>
            </w:pPr>
            <w:r>
              <w:rPr>
                <w:rFonts w:hint="eastAsia"/>
              </w:rPr>
              <w:t>县黄烟试验站</w:t>
            </w:r>
          </w:p>
        </w:tc>
        <w:tc>
          <w:tcPr>
            <w:tcW w:w="925" w:type="pct"/>
            <w:vAlign w:val="center"/>
          </w:tcPr>
          <w:p w14:paraId="5DA3DC15">
            <w:pPr>
              <w:pStyle w:val="12"/>
              <w:jc w:val="center"/>
            </w:pPr>
            <w:r>
              <w:rPr>
                <w:rFonts w:hint="eastAsia"/>
              </w:rPr>
              <w:t>1986年9月</w:t>
            </w:r>
          </w:p>
        </w:tc>
        <w:tc>
          <w:tcPr>
            <w:tcW w:w="925" w:type="pct"/>
            <w:vAlign w:val="center"/>
          </w:tcPr>
          <w:p w14:paraId="3C4ABAC9">
            <w:pPr>
              <w:pStyle w:val="12"/>
              <w:jc w:val="center"/>
            </w:pPr>
            <w:r>
              <w:rPr>
                <w:rFonts w:hint="eastAsia"/>
              </w:rPr>
              <w:t>省人民政府</w:t>
            </w:r>
          </w:p>
        </w:tc>
        <w:tc>
          <w:tcPr>
            <w:tcW w:w="1531" w:type="pct"/>
            <w:vAlign w:val="center"/>
          </w:tcPr>
          <w:p w14:paraId="0A75B1AB">
            <w:pPr>
              <w:pStyle w:val="12"/>
              <w:jc w:val="left"/>
            </w:pPr>
            <w:r>
              <w:rPr>
                <w:rFonts w:hint="eastAsia"/>
              </w:rPr>
              <w:t>全省农村科学技术先进工作者</w:t>
            </w:r>
          </w:p>
        </w:tc>
      </w:tr>
      <w:tr w14:paraId="1B8ACD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16F1EC60">
            <w:pPr>
              <w:pStyle w:val="12"/>
              <w:jc w:val="center"/>
            </w:pPr>
            <w:r>
              <w:rPr>
                <w:rFonts w:hint="eastAsia"/>
              </w:rPr>
              <w:t>罗天佑</w:t>
            </w:r>
          </w:p>
        </w:tc>
        <w:tc>
          <w:tcPr>
            <w:tcW w:w="996" w:type="pct"/>
            <w:vAlign w:val="center"/>
          </w:tcPr>
          <w:p w14:paraId="00FA2920">
            <w:pPr>
              <w:pStyle w:val="12"/>
              <w:jc w:val="center"/>
            </w:pPr>
            <w:r>
              <w:rPr>
                <w:rFonts w:hint="eastAsia"/>
              </w:rPr>
              <w:t>县农业局</w:t>
            </w:r>
          </w:p>
        </w:tc>
        <w:tc>
          <w:tcPr>
            <w:tcW w:w="925" w:type="pct"/>
            <w:vAlign w:val="center"/>
          </w:tcPr>
          <w:p w14:paraId="6217ECAF">
            <w:pPr>
              <w:pStyle w:val="12"/>
              <w:jc w:val="center"/>
            </w:pPr>
            <w:r>
              <w:rPr>
                <w:rFonts w:hint="eastAsia"/>
              </w:rPr>
              <w:t>1986年9月</w:t>
            </w:r>
          </w:p>
        </w:tc>
        <w:tc>
          <w:tcPr>
            <w:tcW w:w="925" w:type="pct"/>
            <w:vAlign w:val="center"/>
          </w:tcPr>
          <w:p w14:paraId="2D6E22E1">
            <w:pPr>
              <w:pStyle w:val="12"/>
              <w:jc w:val="center"/>
            </w:pPr>
            <w:r>
              <w:rPr>
                <w:rFonts w:hint="eastAsia"/>
              </w:rPr>
              <w:t>省人民政府</w:t>
            </w:r>
          </w:p>
        </w:tc>
        <w:tc>
          <w:tcPr>
            <w:tcW w:w="1531" w:type="pct"/>
            <w:vAlign w:val="center"/>
          </w:tcPr>
          <w:p w14:paraId="4B5F83F1">
            <w:pPr>
              <w:pStyle w:val="12"/>
              <w:jc w:val="left"/>
            </w:pPr>
            <w:r>
              <w:rPr>
                <w:rFonts w:hint="eastAsia"/>
              </w:rPr>
              <w:t>全省农村科学技术先进工作者</w:t>
            </w:r>
          </w:p>
        </w:tc>
      </w:tr>
      <w:tr w14:paraId="632352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0ECAD93E">
            <w:pPr>
              <w:pStyle w:val="12"/>
              <w:jc w:val="center"/>
            </w:pPr>
            <w:r>
              <w:rPr>
                <w:rFonts w:hint="eastAsia"/>
              </w:rPr>
              <w:t>王东华</w:t>
            </w:r>
          </w:p>
        </w:tc>
        <w:tc>
          <w:tcPr>
            <w:tcW w:w="996" w:type="pct"/>
            <w:vAlign w:val="center"/>
          </w:tcPr>
          <w:p w14:paraId="5C3213CD">
            <w:pPr>
              <w:pStyle w:val="12"/>
              <w:jc w:val="center"/>
            </w:pPr>
            <w:r>
              <w:rPr>
                <w:rFonts w:hint="eastAsia"/>
              </w:rPr>
              <w:t>县绿化水保办</w:t>
            </w:r>
          </w:p>
        </w:tc>
        <w:tc>
          <w:tcPr>
            <w:tcW w:w="925" w:type="pct"/>
            <w:vAlign w:val="center"/>
          </w:tcPr>
          <w:p w14:paraId="34706FAD">
            <w:pPr>
              <w:pStyle w:val="12"/>
              <w:jc w:val="center"/>
            </w:pPr>
            <w:r>
              <w:rPr>
                <w:rFonts w:hint="eastAsia"/>
              </w:rPr>
              <w:t>1986年9月</w:t>
            </w:r>
          </w:p>
        </w:tc>
        <w:tc>
          <w:tcPr>
            <w:tcW w:w="925" w:type="pct"/>
            <w:vAlign w:val="center"/>
          </w:tcPr>
          <w:p w14:paraId="24850CEE">
            <w:pPr>
              <w:pStyle w:val="12"/>
              <w:jc w:val="center"/>
            </w:pPr>
            <w:r>
              <w:rPr>
                <w:rFonts w:hint="eastAsia"/>
              </w:rPr>
              <w:t>省人民政府</w:t>
            </w:r>
          </w:p>
        </w:tc>
        <w:tc>
          <w:tcPr>
            <w:tcW w:w="1531" w:type="pct"/>
            <w:vAlign w:val="center"/>
          </w:tcPr>
          <w:p w14:paraId="39DF9DDE">
            <w:pPr>
              <w:pStyle w:val="12"/>
              <w:jc w:val="left"/>
            </w:pPr>
            <w:r>
              <w:rPr>
                <w:rFonts w:hint="eastAsia"/>
              </w:rPr>
              <w:t>全省农村科学技术先进工作者</w:t>
            </w:r>
          </w:p>
        </w:tc>
      </w:tr>
      <w:tr w14:paraId="641856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091A6206">
            <w:pPr>
              <w:pStyle w:val="12"/>
              <w:jc w:val="center"/>
            </w:pPr>
            <w:r>
              <w:rPr>
                <w:rFonts w:hint="eastAsia"/>
              </w:rPr>
              <w:t>陈宏华</w:t>
            </w:r>
          </w:p>
        </w:tc>
        <w:tc>
          <w:tcPr>
            <w:tcW w:w="996" w:type="pct"/>
            <w:vAlign w:val="center"/>
          </w:tcPr>
          <w:p w14:paraId="7036C69D">
            <w:pPr>
              <w:pStyle w:val="12"/>
              <w:jc w:val="center"/>
            </w:pPr>
            <w:r>
              <w:rPr>
                <w:rFonts w:hint="eastAsia"/>
              </w:rPr>
              <w:t>供销社果</w:t>
            </w:r>
            <w:r>
              <w:rPr>
                <w:rFonts w:hint="eastAsia" w:ascii="宋体" w:hAnsi="宋体" w:cs="宋体"/>
              </w:rPr>
              <w:t>菜公司</w:t>
            </w:r>
          </w:p>
        </w:tc>
        <w:tc>
          <w:tcPr>
            <w:tcW w:w="925" w:type="pct"/>
            <w:vAlign w:val="center"/>
          </w:tcPr>
          <w:p w14:paraId="2149D37C">
            <w:pPr>
              <w:pStyle w:val="12"/>
              <w:jc w:val="center"/>
            </w:pPr>
            <w:r>
              <w:rPr>
                <w:rFonts w:hint="eastAsia"/>
              </w:rPr>
              <w:t>1983年6月</w:t>
            </w:r>
          </w:p>
        </w:tc>
        <w:tc>
          <w:tcPr>
            <w:tcW w:w="925" w:type="pct"/>
            <w:vAlign w:val="center"/>
          </w:tcPr>
          <w:p w14:paraId="5A2DFA40">
            <w:pPr>
              <w:pStyle w:val="12"/>
              <w:jc w:val="center"/>
            </w:pPr>
            <w:r>
              <w:rPr>
                <w:rFonts w:hint="eastAsia"/>
              </w:rPr>
              <w:t>省人民政府</w:t>
            </w:r>
          </w:p>
        </w:tc>
        <w:tc>
          <w:tcPr>
            <w:tcW w:w="1531" w:type="pct"/>
            <w:vAlign w:val="center"/>
          </w:tcPr>
          <w:p w14:paraId="068AB3BD">
            <w:pPr>
              <w:pStyle w:val="12"/>
              <w:jc w:val="left"/>
            </w:pPr>
            <w:r>
              <w:rPr>
                <w:rFonts w:hint="eastAsia"/>
              </w:rPr>
              <w:t>全省财务会计先进工作者</w:t>
            </w:r>
          </w:p>
        </w:tc>
      </w:tr>
      <w:tr w14:paraId="1967F1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45D79634">
            <w:pPr>
              <w:pStyle w:val="12"/>
              <w:jc w:val="center"/>
            </w:pPr>
            <w:r>
              <w:rPr>
                <w:rFonts w:hint="eastAsia"/>
              </w:rPr>
              <w:t>陈德华</w:t>
            </w:r>
          </w:p>
        </w:tc>
        <w:tc>
          <w:tcPr>
            <w:tcW w:w="996" w:type="pct"/>
            <w:vAlign w:val="center"/>
          </w:tcPr>
          <w:p w14:paraId="7BBC7767">
            <w:pPr>
              <w:pStyle w:val="12"/>
              <w:jc w:val="center"/>
            </w:pPr>
            <w:r>
              <w:rPr>
                <w:rFonts w:hint="eastAsia"/>
              </w:rPr>
              <w:t>南雄中学</w:t>
            </w:r>
          </w:p>
        </w:tc>
        <w:tc>
          <w:tcPr>
            <w:tcW w:w="925" w:type="pct"/>
            <w:vAlign w:val="center"/>
          </w:tcPr>
          <w:p w14:paraId="3F4BDDB7">
            <w:pPr>
              <w:pStyle w:val="12"/>
              <w:jc w:val="center"/>
            </w:pPr>
            <w:r>
              <w:rPr>
                <w:rFonts w:hint="eastAsia"/>
              </w:rPr>
              <w:t>1986年8月</w:t>
            </w:r>
          </w:p>
        </w:tc>
        <w:tc>
          <w:tcPr>
            <w:tcW w:w="925" w:type="pct"/>
            <w:vAlign w:val="center"/>
          </w:tcPr>
          <w:p w14:paraId="142CA12B">
            <w:pPr>
              <w:pStyle w:val="12"/>
              <w:jc w:val="center"/>
            </w:pPr>
            <w:r>
              <w:rPr>
                <w:rFonts w:hint="eastAsia"/>
              </w:rPr>
              <w:t>省人民政府</w:t>
            </w:r>
          </w:p>
        </w:tc>
        <w:tc>
          <w:tcPr>
            <w:tcW w:w="1531" w:type="pct"/>
            <w:vAlign w:val="center"/>
          </w:tcPr>
          <w:p w14:paraId="0E146028">
            <w:pPr>
              <w:pStyle w:val="12"/>
              <w:jc w:val="left"/>
            </w:pPr>
            <w:r>
              <w:rPr>
                <w:rFonts w:hint="eastAsia"/>
              </w:rPr>
              <w:t>中学特级教师</w:t>
            </w:r>
          </w:p>
        </w:tc>
      </w:tr>
      <w:tr w14:paraId="148A43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41A8A9CE">
            <w:pPr>
              <w:pStyle w:val="12"/>
              <w:jc w:val="center"/>
            </w:pPr>
            <w:r>
              <w:rPr>
                <w:rFonts w:hint="eastAsia"/>
              </w:rPr>
              <w:t>郭淑华</w:t>
            </w:r>
          </w:p>
        </w:tc>
        <w:tc>
          <w:tcPr>
            <w:tcW w:w="996" w:type="pct"/>
            <w:vAlign w:val="center"/>
          </w:tcPr>
          <w:p w14:paraId="57793D47">
            <w:pPr>
              <w:pStyle w:val="12"/>
              <w:jc w:val="center"/>
            </w:pPr>
            <w:r>
              <w:rPr>
                <w:rFonts w:hint="eastAsia"/>
              </w:rPr>
              <w:t>县教育局</w:t>
            </w:r>
          </w:p>
        </w:tc>
        <w:tc>
          <w:tcPr>
            <w:tcW w:w="925" w:type="pct"/>
            <w:vAlign w:val="center"/>
          </w:tcPr>
          <w:p w14:paraId="14D52C56">
            <w:pPr>
              <w:pStyle w:val="12"/>
              <w:jc w:val="center"/>
            </w:pPr>
            <w:r>
              <w:rPr>
                <w:rFonts w:hint="eastAsia"/>
              </w:rPr>
              <w:t>1987年</w:t>
            </w:r>
          </w:p>
        </w:tc>
        <w:tc>
          <w:tcPr>
            <w:tcW w:w="925" w:type="pct"/>
            <w:vAlign w:val="center"/>
          </w:tcPr>
          <w:p w14:paraId="2EBA5376">
            <w:pPr>
              <w:pStyle w:val="12"/>
              <w:jc w:val="center"/>
            </w:pPr>
            <w:r>
              <w:rPr>
                <w:rFonts w:hint="eastAsia"/>
              </w:rPr>
              <w:t>省人民政府</w:t>
            </w:r>
          </w:p>
        </w:tc>
        <w:tc>
          <w:tcPr>
            <w:tcW w:w="1531" w:type="pct"/>
            <w:vAlign w:val="center"/>
          </w:tcPr>
          <w:p w14:paraId="4184735E">
            <w:pPr>
              <w:pStyle w:val="12"/>
              <w:jc w:val="left"/>
            </w:pPr>
            <w:r>
              <w:rPr>
                <w:rFonts w:hint="eastAsia"/>
              </w:rPr>
              <w:t>全省校舍建设先进个人</w:t>
            </w:r>
          </w:p>
        </w:tc>
      </w:tr>
      <w:tr w14:paraId="36201A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2F39972A">
            <w:pPr>
              <w:pStyle w:val="12"/>
              <w:jc w:val="center"/>
            </w:pPr>
            <w:r>
              <w:rPr>
                <w:rFonts w:hint="eastAsia"/>
              </w:rPr>
              <w:t>黄来发</w:t>
            </w:r>
          </w:p>
        </w:tc>
        <w:tc>
          <w:tcPr>
            <w:tcW w:w="996" w:type="pct"/>
            <w:vAlign w:val="center"/>
          </w:tcPr>
          <w:p w14:paraId="2582A288">
            <w:pPr>
              <w:pStyle w:val="12"/>
              <w:jc w:val="center"/>
            </w:pPr>
            <w:r>
              <w:rPr>
                <w:rFonts w:hint="eastAsia"/>
              </w:rPr>
              <w:t>县林业局</w:t>
            </w:r>
          </w:p>
        </w:tc>
        <w:tc>
          <w:tcPr>
            <w:tcW w:w="925" w:type="pct"/>
            <w:vAlign w:val="center"/>
          </w:tcPr>
          <w:p w14:paraId="2654B875">
            <w:pPr>
              <w:pStyle w:val="12"/>
              <w:jc w:val="center"/>
            </w:pPr>
            <w:r>
              <w:rPr>
                <w:rFonts w:hint="eastAsia"/>
              </w:rPr>
              <w:t>1986年9月</w:t>
            </w:r>
          </w:p>
        </w:tc>
        <w:tc>
          <w:tcPr>
            <w:tcW w:w="925" w:type="pct"/>
            <w:vAlign w:val="center"/>
          </w:tcPr>
          <w:p w14:paraId="5282AF5E">
            <w:pPr>
              <w:pStyle w:val="12"/>
              <w:jc w:val="center"/>
            </w:pPr>
            <w:r>
              <w:rPr>
                <w:rFonts w:hint="eastAsia"/>
              </w:rPr>
              <w:t>省人民政府</w:t>
            </w:r>
          </w:p>
        </w:tc>
        <w:tc>
          <w:tcPr>
            <w:tcW w:w="1531" w:type="pct"/>
            <w:vAlign w:val="center"/>
          </w:tcPr>
          <w:p w14:paraId="7BC130A5">
            <w:pPr>
              <w:pStyle w:val="12"/>
              <w:jc w:val="left"/>
            </w:pPr>
            <w:r>
              <w:rPr>
                <w:rFonts w:hint="eastAsia"/>
              </w:rPr>
              <w:t>科技工作先进个人</w:t>
            </w:r>
          </w:p>
        </w:tc>
      </w:tr>
      <w:tr w14:paraId="3817AC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3A00E591">
            <w:pPr>
              <w:pStyle w:val="12"/>
              <w:jc w:val="center"/>
            </w:pPr>
            <w:r>
              <w:rPr>
                <w:rFonts w:hint="eastAsia"/>
              </w:rPr>
              <w:t>卢隆献</w:t>
            </w:r>
          </w:p>
        </w:tc>
        <w:tc>
          <w:tcPr>
            <w:tcW w:w="996" w:type="pct"/>
            <w:vAlign w:val="center"/>
          </w:tcPr>
          <w:p w14:paraId="3B30AF93">
            <w:pPr>
              <w:pStyle w:val="12"/>
              <w:jc w:val="center"/>
            </w:pPr>
            <w:r>
              <w:rPr>
                <w:rFonts w:hint="eastAsia"/>
              </w:rPr>
              <w:t>县水产局</w:t>
            </w:r>
          </w:p>
        </w:tc>
        <w:tc>
          <w:tcPr>
            <w:tcW w:w="925" w:type="pct"/>
            <w:vAlign w:val="center"/>
          </w:tcPr>
          <w:p w14:paraId="5E309E7E">
            <w:pPr>
              <w:pStyle w:val="12"/>
              <w:jc w:val="center"/>
            </w:pPr>
            <w:r>
              <w:rPr>
                <w:rFonts w:hint="eastAsia"/>
              </w:rPr>
              <w:t>1986年9月</w:t>
            </w:r>
          </w:p>
        </w:tc>
        <w:tc>
          <w:tcPr>
            <w:tcW w:w="925" w:type="pct"/>
            <w:vAlign w:val="center"/>
          </w:tcPr>
          <w:p w14:paraId="52CEB377">
            <w:pPr>
              <w:pStyle w:val="12"/>
              <w:jc w:val="center"/>
            </w:pPr>
            <w:r>
              <w:rPr>
                <w:rFonts w:hint="eastAsia"/>
              </w:rPr>
              <w:t>省人民政府</w:t>
            </w:r>
          </w:p>
        </w:tc>
        <w:tc>
          <w:tcPr>
            <w:tcW w:w="1531" w:type="pct"/>
            <w:vAlign w:val="center"/>
          </w:tcPr>
          <w:p w14:paraId="4A9F3EF9">
            <w:pPr>
              <w:pStyle w:val="12"/>
              <w:jc w:val="left"/>
            </w:pPr>
            <w:r>
              <w:rPr>
                <w:rFonts w:hint="eastAsia"/>
              </w:rPr>
              <w:t>科技工作先进个人</w:t>
            </w:r>
          </w:p>
        </w:tc>
      </w:tr>
      <w:tr w14:paraId="2C70B5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68CC3459">
            <w:pPr>
              <w:pStyle w:val="12"/>
              <w:jc w:val="center"/>
            </w:pPr>
            <w:r>
              <w:rPr>
                <w:rFonts w:hint="eastAsia"/>
              </w:rPr>
              <w:t>温焯武</w:t>
            </w:r>
          </w:p>
        </w:tc>
        <w:tc>
          <w:tcPr>
            <w:tcW w:w="996" w:type="pct"/>
            <w:vAlign w:val="center"/>
          </w:tcPr>
          <w:p w14:paraId="6FD9A94E">
            <w:pPr>
              <w:pStyle w:val="12"/>
              <w:jc w:val="center"/>
            </w:pPr>
            <w:r>
              <w:rPr>
                <w:rFonts w:hint="eastAsia"/>
              </w:rPr>
              <w:t>县水电局</w:t>
            </w:r>
          </w:p>
        </w:tc>
        <w:tc>
          <w:tcPr>
            <w:tcW w:w="925" w:type="pct"/>
            <w:vAlign w:val="center"/>
          </w:tcPr>
          <w:p w14:paraId="471D1AA7">
            <w:pPr>
              <w:pStyle w:val="12"/>
              <w:jc w:val="center"/>
            </w:pPr>
            <w:r>
              <w:rPr>
                <w:rFonts w:hint="eastAsia"/>
              </w:rPr>
              <w:t>1986年9月</w:t>
            </w:r>
          </w:p>
        </w:tc>
        <w:tc>
          <w:tcPr>
            <w:tcW w:w="925" w:type="pct"/>
            <w:vAlign w:val="center"/>
          </w:tcPr>
          <w:p w14:paraId="2DA4F7D3">
            <w:pPr>
              <w:pStyle w:val="12"/>
              <w:jc w:val="center"/>
            </w:pPr>
            <w:r>
              <w:rPr>
                <w:rFonts w:hint="eastAsia"/>
              </w:rPr>
              <w:t>省人民政府</w:t>
            </w:r>
          </w:p>
        </w:tc>
        <w:tc>
          <w:tcPr>
            <w:tcW w:w="1531" w:type="pct"/>
            <w:vAlign w:val="center"/>
          </w:tcPr>
          <w:p w14:paraId="289179B1">
            <w:pPr>
              <w:pStyle w:val="12"/>
              <w:jc w:val="left"/>
            </w:pPr>
            <w:r>
              <w:rPr>
                <w:rFonts w:hint="eastAsia"/>
              </w:rPr>
              <w:t>科技工作先进个人</w:t>
            </w:r>
          </w:p>
        </w:tc>
      </w:tr>
      <w:tr w14:paraId="07D17E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5A7363C0">
            <w:pPr>
              <w:pStyle w:val="12"/>
              <w:jc w:val="center"/>
            </w:pPr>
            <w:r>
              <w:rPr>
                <w:rFonts w:hint="eastAsia"/>
              </w:rPr>
              <w:t>段  军</w:t>
            </w:r>
          </w:p>
        </w:tc>
        <w:tc>
          <w:tcPr>
            <w:tcW w:w="996" w:type="pct"/>
            <w:vAlign w:val="center"/>
          </w:tcPr>
          <w:p w14:paraId="6DBF38B6">
            <w:pPr>
              <w:pStyle w:val="12"/>
              <w:jc w:val="center"/>
            </w:pPr>
            <w:r>
              <w:rPr>
                <w:rFonts w:hint="eastAsia"/>
              </w:rPr>
              <w:t>县气象局</w:t>
            </w:r>
          </w:p>
        </w:tc>
        <w:tc>
          <w:tcPr>
            <w:tcW w:w="925" w:type="pct"/>
            <w:vAlign w:val="center"/>
          </w:tcPr>
          <w:p w14:paraId="3E0D769C">
            <w:pPr>
              <w:pStyle w:val="12"/>
              <w:jc w:val="center"/>
            </w:pPr>
            <w:r>
              <w:rPr>
                <w:rFonts w:hint="eastAsia"/>
              </w:rPr>
              <w:t>1986年9月</w:t>
            </w:r>
          </w:p>
        </w:tc>
        <w:tc>
          <w:tcPr>
            <w:tcW w:w="925" w:type="pct"/>
            <w:vAlign w:val="center"/>
          </w:tcPr>
          <w:p w14:paraId="7F30359B">
            <w:pPr>
              <w:pStyle w:val="12"/>
              <w:jc w:val="center"/>
            </w:pPr>
            <w:r>
              <w:rPr>
                <w:rFonts w:hint="eastAsia"/>
              </w:rPr>
              <w:t>省人民政府</w:t>
            </w:r>
          </w:p>
        </w:tc>
        <w:tc>
          <w:tcPr>
            <w:tcW w:w="1531" w:type="pct"/>
            <w:vAlign w:val="center"/>
          </w:tcPr>
          <w:p w14:paraId="006BEF60">
            <w:pPr>
              <w:pStyle w:val="12"/>
              <w:jc w:val="left"/>
            </w:pPr>
            <w:r>
              <w:rPr>
                <w:rFonts w:hint="eastAsia"/>
              </w:rPr>
              <w:t>科技工作先进个人</w:t>
            </w:r>
          </w:p>
        </w:tc>
      </w:tr>
      <w:tr w14:paraId="15C494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3C19C0E5">
            <w:pPr>
              <w:pStyle w:val="12"/>
              <w:jc w:val="center"/>
            </w:pPr>
            <w:r>
              <w:rPr>
                <w:rFonts w:hint="eastAsia"/>
              </w:rPr>
              <w:t>钟子亮</w:t>
            </w:r>
          </w:p>
        </w:tc>
        <w:tc>
          <w:tcPr>
            <w:tcW w:w="996" w:type="pct"/>
            <w:vAlign w:val="center"/>
          </w:tcPr>
          <w:p w14:paraId="3C7A02D8">
            <w:pPr>
              <w:pStyle w:val="12"/>
              <w:jc w:val="center"/>
            </w:pPr>
            <w:r>
              <w:rPr>
                <w:rFonts w:hint="eastAsia"/>
              </w:rPr>
              <w:t>县经济委员会</w:t>
            </w:r>
          </w:p>
        </w:tc>
        <w:tc>
          <w:tcPr>
            <w:tcW w:w="925" w:type="pct"/>
            <w:vAlign w:val="center"/>
          </w:tcPr>
          <w:p w14:paraId="11B24875">
            <w:pPr>
              <w:pStyle w:val="12"/>
              <w:jc w:val="center"/>
            </w:pPr>
            <w:r>
              <w:rPr>
                <w:rFonts w:hint="eastAsia"/>
              </w:rPr>
              <w:t>1987年1月</w:t>
            </w:r>
          </w:p>
        </w:tc>
        <w:tc>
          <w:tcPr>
            <w:tcW w:w="925" w:type="pct"/>
            <w:vAlign w:val="center"/>
          </w:tcPr>
          <w:p w14:paraId="3D41B66F">
            <w:pPr>
              <w:pStyle w:val="12"/>
              <w:jc w:val="center"/>
            </w:pPr>
            <w:r>
              <w:rPr>
                <w:rFonts w:hint="eastAsia"/>
              </w:rPr>
              <w:t>省人民政府</w:t>
            </w:r>
          </w:p>
        </w:tc>
        <w:tc>
          <w:tcPr>
            <w:tcW w:w="1531" w:type="pct"/>
            <w:vAlign w:val="center"/>
          </w:tcPr>
          <w:p w14:paraId="3059130F">
            <w:pPr>
              <w:pStyle w:val="12"/>
              <w:jc w:val="left"/>
            </w:pPr>
            <w:r>
              <w:rPr>
                <w:rFonts w:hint="eastAsia"/>
              </w:rPr>
              <w:t>先进工作者</w:t>
            </w:r>
          </w:p>
        </w:tc>
      </w:tr>
      <w:tr w14:paraId="68940F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515B9AD8">
            <w:pPr>
              <w:pStyle w:val="12"/>
              <w:jc w:val="center"/>
            </w:pPr>
            <w:r>
              <w:rPr>
                <w:rFonts w:hint="eastAsia"/>
              </w:rPr>
              <w:t>郭衍全</w:t>
            </w:r>
          </w:p>
        </w:tc>
        <w:tc>
          <w:tcPr>
            <w:tcW w:w="996" w:type="pct"/>
            <w:vAlign w:val="center"/>
          </w:tcPr>
          <w:p w14:paraId="6475EB92">
            <w:pPr>
              <w:pStyle w:val="12"/>
              <w:jc w:val="center"/>
            </w:pPr>
            <w:r>
              <w:rPr>
                <w:rFonts w:hint="eastAsia"/>
              </w:rPr>
              <w:t>县人民政府</w:t>
            </w:r>
          </w:p>
        </w:tc>
        <w:tc>
          <w:tcPr>
            <w:tcW w:w="925" w:type="pct"/>
            <w:vAlign w:val="center"/>
          </w:tcPr>
          <w:p w14:paraId="226ED165">
            <w:pPr>
              <w:pStyle w:val="12"/>
              <w:jc w:val="center"/>
            </w:pPr>
            <w:r>
              <w:rPr>
                <w:rFonts w:hint="eastAsia"/>
              </w:rPr>
              <w:t>1988年</w:t>
            </w:r>
          </w:p>
        </w:tc>
        <w:tc>
          <w:tcPr>
            <w:tcW w:w="925" w:type="pct"/>
            <w:vAlign w:val="center"/>
          </w:tcPr>
          <w:p w14:paraId="3CDA5287">
            <w:pPr>
              <w:pStyle w:val="12"/>
              <w:jc w:val="center"/>
            </w:pPr>
            <w:r>
              <w:rPr>
                <w:rFonts w:hint="eastAsia"/>
              </w:rPr>
              <w:t>省人民政府</w:t>
            </w:r>
          </w:p>
        </w:tc>
        <w:tc>
          <w:tcPr>
            <w:tcW w:w="1531" w:type="pct"/>
            <w:vAlign w:val="center"/>
          </w:tcPr>
          <w:p w14:paraId="4CB04906">
            <w:pPr>
              <w:pStyle w:val="12"/>
              <w:jc w:val="left"/>
            </w:pPr>
            <w:r>
              <w:rPr>
                <w:rFonts w:hint="eastAsia"/>
              </w:rPr>
              <w:t>科学技术进步奖</w:t>
            </w:r>
          </w:p>
        </w:tc>
      </w:tr>
      <w:tr w14:paraId="6CDD9D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2DE22ACB">
            <w:pPr>
              <w:pStyle w:val="12"/>
              <w:jc w:val="center"/>
            </w:pPr>
            <w:r>
              <w:rPr>
                <w:rFonts w:hint="eastAsia"/>
              </w:rPr>
              <w:t>曾明山</w:t>
            </w:r>
          </w:p>
        </w:tc>
        <w:tc>
          <w:tcPr>
            <w:tcW w:w="996" w:type="pct"/>
            <w:vAlign w:val="center"/>
          </w:tcPr>
          <w:p w14:paraId="57D60636">
            <w:pPr>
              <w:pStyle w:val="12"/>
              <w:jc w:val="center"/>
            </w:pPr>
            <w:r>
              <w:rPr>
                <w:rFonts w:hint="eastAsia"/>
              </w:rPr>
              <w:t>县五改办公室</w:t>
            </w:r>
          </w:p>
        </w:tc>
        <w:tc>
          <w:tcPr>
            <w:tcW w:w="925" w:type="pct"/>
            <w:vAlign w:val="center"/>
          </w:tcPr>
          <w:p w14:paraId="31B194C3">
            <w:pPr>
              <w:pStyle w:val="12"/>
              <w:jc w:val="center"/>
            </w:pPr>
            <w:r>
              <w:rPr>
                <w:rFonts w:hint="eastAsia"/>
              </w:rPr>
              <w:t>1988年</w:t>
            </w:r>
          </w:p>
        </w:tc>
        <w:tc>
          <w:tcPr>
            <w:tcW w:w="925" w:type="pct"/>
            <w:vAlign w:val="center"/>
          </w:tcPr>
          <w:p w14:paraId="3FF08109">
            <w:pPr>
              <w:pStyle w:val="12"/>
              <w:jc w:val="center"/>
            </w:pPr>
            <w:r>
              <w:rPr>
                <w:rFonts w:hint="eastAsia"/>
              </w:rPr>
              <w:t>省人民政府</w:t>
            </w:r>
          </w:p>
        </w:tc>
        <w:tc>
          <w:tcPr>
            <w:tcW w:w="1531" w:type="pct"/>
            <w:vAlign w:val="center"/>
          </w:tcPr>
          <w:p w14:paraId="4881196B">
            <w:pPr>
              <w:pStyle w:val="12"/>
              <w:jc w:val="left"/>
            </w:pPr>
            <w:r>
              <w:rPr>
                <w:rFonts w:hint="eastAsia"/>
              </w:rPr>
              <w:t>科学技术进步奖</w:t>
            </w:r>
          </w:p>
        </w:tc>
      </w:tr>
      <w:tr w14:paraId="13E74C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72442F33">
            <w:pPr>
              <w:pStyle w:val="12"/>
              <w:jc w:val="center"/>
            </w:pPr>
            <w:r>
              <w:rPr>
                <w:rFonts w:hint="eastAsia"/>
              </w:rPr>
              <w:t>陈万凌</w:t>
            </w:r>
          </w:p>
        </w:tc>
        <w:tc>
          <w:tcPr>
            <w:tcW w:w="996" w:type="pct"/>
            <w:vAlign w:val="center"/>
          </w:tcPr>
          <w:p w14:paraId="6F95DD7E">
            <w:pPr>
              <w:pStyle w:val="12"/>
              <w:jc w:val="center"/>
            </w:pPr>
            <w:r>
              <w:rPr>
                <w:rFonts w:hint="eastAsia"/>
              </w:rPr>
              <w:t>县五改办公室</w:t>
            </w:r>
          </w:p>
        </w:tc>
        <w:tc>
          <w:tcPr>
            <w:tcW w:w="925" w:type="pct"/>
            <w:vAlign w:val="center"/>
          </w:tcPr>
          <w:p w14:paraId="7B1B4444">
            <w:pPr>
              <w:pStyle w:val="12"/>
              <w:jc w:val="center"/>
            </w:pPr>
            <w:r>
              <w:rPr>
                <w:rFonts w:hint="eastAsia"/>
              </w:rPr>
              <w:t>1988年</w:t>
            </w:r>
          </w:p>
        </w:tc>
        <w:tc>
          <w:tcPr>
            <w:tcW w:w="925" w:type="pct"/>
            <w:vAlign w:val="center"/>
          </w:tcPr>
          <w:p w14:paraId="49E783C0">
            <w:pPr>
              <w:pStyle w:val="12"/>
              <w:jc w:val="center"/>
            </w:pPr>
            <w:r>
              <w:rPr>
                <w:rFonts w:hint="eastAsia"/>
              </w:rPr>
              <w:t>省人民政府</w:t>
            </w:r>
          </w:p>
        </w:tc>
        <w:tc>
          <w:tcPr>
            <w:tcW w:w="1531" w:type="pct"/>
            <w:vAlign w:val="center"/>
          </w:tcPr>
          <w:p w14:paraId="256F74C8">
            <w:pPr>
              <w:pStyle w:val="12"/>
              <w:jc w:val="left"/>
            </w:pPr>
            <w:r>
              <w:rPr>
                <w:rFonts w:hint="eastAsia"/>
              </w:rPr>
              <w:t>科学技术进步奖</w:t>
            </w:r>
          </w:p>
        </w:tc>
      </w:tr>
      <w:tr w14:paraId="088E7B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7598B1E0">
            <w:pPr>
              <w:pStyle w:val="12"/>
              <w:jc w:val="center"/>
            </w:pPr>
            <w:r>
              <w:rPr>
                <w:rFonts w:hint="eastAsia"/>
              </w:rPr>
              <w:t>汪忠正</w:t>
            </w:r>
          </w:p>
        </w:tc>
        <w:tc>
          <w:tcPr>
            <w:tcW w:w="996" w:type="pct"/>
            <w:vAlign w:val="center"/>
          </w:tcPr>
          <w:p w14:paraId="120CCA7F">
            <w:pPr>
              <w:pStyle w:val="12"/>
              <w:jc w:val="center"/>
            </w:pPr>
            <w:r>
              <w:rPr>
                <w:rFonts w:hint="eastAsia"/>
              </w:rPr>
              <w:t>县五改办公室</w:t>
            </w:r>
          </w:p>
        </w:tc>
        <w:tc>
          <w:tcPr>
            <w:tcW w:w="925" w:type="pct"/>
            <w:vAlign w:val="center"/>
          </w:tcPr>
          <w:p w14:paraId="4815A2E1">
            <w:pPr>
              <w:pStyle w:val="12"/>
              <w:jc w:val="center"/>
            </w:pPr>
            <w:r>
              <w:rPr>
                <w:rFonts w:hint="eastAsia"/>
              </w:rPr>
              <w:t>1988年</w:t>
            </w:r>
          </w:p>
        </w:tc>
        <w:tc>
          <w:tcPr>
            <w:tcW w:w="925" w:type="pct"/>
            <w:vAlign w:val="center"/>
          </w:tcPr>
          <w:p w14:paraId="485F4D3D">
            <w:pPr>
              <w:pStyle w:val="12"/>
              <w:jc w:val="center"/>
            </w:pPr>
            <w:r>
              <w:rPr>
                <w:rFonts w:hint="eastAsia"/>
              </w:rPr>
              <w:t>省人民政府</w:t>
            </w:r>
          </w:p>
        </w:tc>
        <w:tc>
          <w:tcPr>
            <w:tcW w:w="1531" w:type="pct"/>
            <w:vAlign w:val="center"/>
          </w:tcPr>
          <w:p w14:paraId="4B7C5B2F">
            <w:pPr>
              <w:pStyle w:val="12"/>
              <w:jc w:val="left"/>
            </w:pPr>
            <w:r>
              <w:rPr>
                <w:rFonts w:hint="eastAsia"/>
              </w:rPr>
              <w:t>科学技术进步奖</w:t>
            </w:r>
          </w:p>
        </w:tc>
      </w:tr>
      <w:tr w14:paraId="0AAFA9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73607A27">
            <w:pPr>
              <w:pStyle w:val="12"/>
              <w:jc w:val="center"/>
            </w:pPr>
            <w:r>
              <w:rPr>
                <w:rFonts w:hint="eastAsia"/>
              </w:rPr>
              <w:t>罗  毅</w:t>
            </w:r>
          </w:p>
        </w:tc>
        <w:tc>
          <w:tcPr>
            <w:tcW w:w="996" w:type="pct"/>
            <w:vAlign w:val="center"/>
          </w:tcPr>
          <w:p w14:paraId="795558FB">
            <w:pPr>
              <w:pStyle w:val="12"/>
              <w:jc w:val="center"/>
            </w:pPr>
            <w:r>
              <w:rPr>
                <w:rFonts w:hint="eastAsia"/>
              </w:rPr>
              <w:t>县林业局</w:t>
            </w:r>
          </w:p>
        </w:tc>
        <w:tc>
          <w:tcPr>
            <w:tcW w:w="925" w:type="pct"/>
            <w:vAlign w:val="center"/>
          </w:tcPr>
          <w:p w14:paraId="1091F1FF">
            <w:pPr>
              <w:pStyle w:val="12"/>
              <w:jc w:val="center"/>
            </w:pPr>
            <w:r>
              <w:rPr>
                <w:rFonts w:hint="eastAsia"/>
              </w:rPr>
              <w:t>1988年</w:t>
            </w:r>
          </w:p>
        </w:tc>
        <w:tc>
          <w:tcPr>
            <w:tcW w:w="925" w:type="pct"/>
            <w:vAlign w:val="center"/>
          </w:tcPr>
          <w:p w14:paraId="312FA908">
            <w:pPr>
              <w:pStyle w:val="12"/>
              <w:jc w:val="center"/>
            </w:pPr>
            <w:r>
              <w:rPr>
                <w:rFonts w:hint="eastAsia"/>
              </w:rPr>
              <w:t>省人民政府</w:t>
            </w:r>
          </w:p>
        </w:tc>
        <w:tc>
          <w:tcPr>
            <w:tcW w:w="1531" w:type="pct"/>
            <w:vAlign w:val="center"/>
          </w:tcPr>
          <w:p w14:paraId="0C24D9E8">
            <w:pPr>
              <w:pStyle w:val="12"/>
              <w:jc w:val="left"/>
            </w:pPr>
            <w:r>
              <w:rPr>
                <w:rFonts w:hint="eastAsia"/>
              </w:rPr>
              <w:t>科学技术进步三等奖</w:t>
            </w:r>
          </w:p>
        </w:tc>
      </w:tr>
      <w:tr w14:paraId="067E3A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5D24A999">
            <w:pPr>
              <w:pStyle w:val="12"/>
              <w:jc w:val="center"/>
            </w:pPr>
            <w:r>
              <w:rPr>
                <w:rFonts w:hint="eastAsia"/>
              </w:rPr>
              <w:t>马灿豪</w:t>
            </w:r>
          </w:p>
        </w:tc>
        <w:tc>
          <w:tcPr>
            <w:tcW w:w="996" w:type="pct"/>
            <w:vAlign w:val="center"/>
          </w:tcPr>
          <w:p w14:paraId="267F4BCF">
            <w:pPr>
              <w:pStyle w:val="12"/>
              <w:jc w:val="center"/>
            </w:pPr>
            <w:r>
              <w:rPr>
                <w:rFonts w:hint="eastAsia"/>
              </w:rPr>
              <w:t>县供销社</w:t>
            </w:r>
          </w:p>
        </w:tc>
        <w:tc>
          <w:tcPr>
            <w:tcW w:w="925" w:type="pct"/>
            <w:vAlign w:val="center"/>
          </w:tcPr>
          <w:p w14:paraId="5484E88A">
            <w:pPr>
              <w:pStyle w:val="12"/>
              <w:jc w:val="center"/>
            </w:pPr>
            <w:r>
              <w:rPr>
                <w:rFonts w:hint="eastAsia"/>
              </w:rPr>
              <w:t>1989年3月</w:t>
            </w:r>
          </w:p>
        </w:tc>
        <w:tc>
          <w:tcPr>
            <w:tcW w:w="925" w:type="pct"/>
            <w:vAlign w:val="center"/>
          </w:tcPr>
          <w:p w14:paraId="224AEB96">
            <w:pPr>
              <w:pStyle w:val="12"/>
              <w:jc w:val="center"/>
            </w:pPr>
            <w:r>
              <w:rPr>
                <w:rFonts w:hint="eastAsia"/>
              </w:rPr>
              <w:t>省人民政府</w:t>
            </w:r>
          </w:p>
        </w:tc>
        <w:tc>
          <w:tcPr>
            <w:tcW w:w="1531" w:type="pct"/>
            <w:vAlign w:val="center"/>
          </w:tcPr>
          <w:p w14:paraId="45B9BAA9">
            <w:pPr>
              <w:pStyle w:val="12"/>
              <w:jc w:val="left"/>
            </w:pPr>
            <w:r>
              <w:rPr>
                <w:rFonts w:hint="eastAsia"/>
              </w:rPr>
              <w:t>先进会计工作者</w:t>
            </w:r>
          </w:p>
        </w:tc>
      </w:tr>
      <w:tr w14:paraId="04BFE5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00E56785">
            <w:pPr>
              <w:pStyle w:val="12"/>
              <w:jc w:val="center"/>
            </w:pPr>
            <w:r>
              <w:rPr>
                <w:rFonts w:hint="eastAsia"/>
              </w:rPr>
              <w:t>彭尚权</w:t>
            </w:r>
          </w:p>
        </w:tc>
        <w:tc>
          <w:tcPr>
            <w:tcW w:w="996" w:type="pct"/>
            <w:vAlign w:val="center"/>
          </w:tcPr>
          <w:p w14:paraId="6DACFDA0">
            <w:pPr>
              <w:pStyle w:val="12"/>
              <w:jc w:val="center"/>
            </w:pPr>
            <w:r>
              <w:rPr>
                <w:rFonts w:hint="eastAsia"/>
              </w:rPr>
              <w:t>县农业局</w:t>
            </w:r>
          </w:p>
        </w:tc>
        <w:tc>
          <w:tcPr>
            <w:tcW w:w="925" w:type="pct"/>
            <w:vAlign w:val="center"/>
          </w:tcPr>
          <w:p w14:paraId="45FE16BA">
            <w:pPr>
              <w:pStyle w:val="12"/>
              <w:jc w:val="center"/>
            </w:pPr>
            <w:r>
              <w:rPr>
                <w:rFonts w:hint="eastAsia"/>
              </w:rPr>
              <w:t>1989年8月</w:t>
            </w:r>
          </w:p>
        </w:tc>
        <w:tc>
          <w:tcPr>
            <w:tcW w:w="925" w:type="pct"/>
            <w:vAlign w:val="center"/>
          </w:tcPr>
          <w:p w14:paraId="2AFD7CFC">
            <w:pPr>
              <w:pStyle w:val="12"/>
              <w:jc w:val="center"/>
            </w:pPr>
            <w:r>
              <w:rPr>
                <w:rFonts w:hint="eastAsia"/>
              </w:rPr>
              <w:t>省人民政府</w:t>
            </w:r>
          </w:p>
        </w:tc>
        <w:tc>
          <w:tcPr>
            <w:tcW w:w="1531" w:type="pct"/>
            <w:vAlign w:val="center"/>
          </w:tcPr>
          <w:p w14:paraId="577F3331">
            <w:pPr>
              <w:pStyle w:val="12"/>
              <w:jc w:val="left"/>
            </w:pPr>
            <w:r>
              <w:rPr>
                <w:rFonts w:hint="eastAsia"/>
              </w:rPr>
              <w:t>杂交水稻丰产栽培技术推广三等奖</w:t>
            </w:r>
          </w:p>
        </w:tc>
      </w:tr>
      <w:tr w14:paraId="4537BE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045D6B71">
            <w:pPr>
              <w:pStyle w:val="12"/>
              <w:jc w:val="center"/>
            </w:pPr>
            <w:r>
              <w:rPr>
                <w:rFonts w:hint="eastAsia"/>
              </w:rPr>
              <w:t>王东华</w:t>
            </w:r>
          </w:p>
        </w:tc>
        <w:tc>
          <w:tcPr>
            <w:tcW w:w="996" w:type="pct"/>
            <w:vAlign w:val="center"/>
          </w:tcPr>
          <w:p w14:paraId="1F6017FE">
            <w:pPr>
              <w:pStyle w:val="12"/>
              <w:jc w:val="center"/>
            </w:pPr>
            <w:r>
              <w:rPr>
                <w:rFonts w:hint="eastAsia"/>
              </w:rPr>
              <w:t>县水保办公室</w:t>
            </w:r>
          </w:p>
        </w:tc>
        <w:tc>
          <w:tcPr>
            <w:tcW w:w="925" w:type="pct"/>
            <w:vAlign w:val="center"/>
          </w:tcPr>
          <w:p w14:paraId="799F60DF">
            <w:pPr>
              <w:pStyle w:val="12"/>
              <w:jc w:val="center"/>
            </w:pPr>
            <w:r>
              <w:rPr>
                <w:rFonts w:hint="eastAsia"/>
              </w:rPr>
              <w:t>1990年</w:t>
            </w:r>
          </w:p>
        </w:tc>
        <w:tc>
          <w:tcPr>
            <w:tcW w:w="925" w:type="pct"/>
            <w:vAlign w:val="center"/>
          </w:tcPr>
          <w:p w14:paraId="2D3DEF49">
            <w:pPr>
              <w:pStyle w:val="12"/>
              <w:jc w:val="center"/>
            </w:pPr>
            <w:r>
              <w:rPr>
                <w:rFonts w:hint="eastAsia"/>
              </w:rPr>
              <w:t>省人民政府</w:t>
            </w:r>
          </w:p>
        </w:tc>
        <w:tc>
          <w:tcPr>
            <w:tcW w:w="1531" w:type="pct"/>
            <w:vAlign w:val="center"/>
          </w:tcPr>
          <w:p w14:paraId="6FA56511">
            <w:pPr>
              <w:pStyle w:val="12"/>
              <w:jc w:val="left"/>
            </w:pPr>
            <w:r>
              <w:rPr>
                <w:rFonts w:hint="eastAsia"/>
              </w:rPr>
              <w:t>农业技术推广二等奖</w:t>
            </w:r>
          </w:p>
        </w:tc>
      </w:tr>
      <w:tr w14:paraId="72B031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68203129">
            <w:pPr>
              <w:pStyle w:val="12"/>
              <w:jc w:val="center"/>
            </w:pPr>
            <w:r>
              <w:rPr>
                <w:rFonts w:hint="eastAsia"/>
              </w:rPr>
              <w:t>霍炳衡</w:t>
            </w:r>
          </w:p>
        </w:tc>
        <w:tc>
          <w:tcPr>
            <w:tcW w:w="996" w:type="pct"/>
            <w:vAlign w:val="center"/>
          </w:tcPr>
          <w:p w14:paraId="4F379A8D">
            <w:pPr>
              <w:pStyle w:val="12"/>
              <w:jc w:val="center"/>
            </w:pPr>
            <w:r>
              <w:rPr>
                <w:rFonts w:hint="eastAsia"/>
              </w:rPr>
              <w:t>县水保办公室</w:t>
            </w:r>
          </w:p>
        </w:tc>
        <w:tc>
          <w:tcPr>
            <w:tcW w:w="925" w:type="pct"/>
            <w:vAlign w:val="center"/>
          </w:tcPr>
          <w:p w14:paraId="181C6310">
            <w:pPr>
              <w:pStyle w:val="12"/>
              <w:jc w:val="center"/>
            </w:pPr>
            <w:r>
              <w:rPr>
                <w:rFonts w:hint="eastAsia"/>
              </w:rPr>
              <w:t>1990年</w:t>
            </w:r>
          </w:p>
        </w:tc>
        <w:tc>
          <w:tcPr>
            <w:tcW w:w="925" w:type="pct"/>
            <w:vAlign w:val="center"/>
          </w:tcPr>
          <w:p w14:paraId="777429A1">
            <w:pPr>
              <w:pStyle w:val="12"/>
              <w:jc w:val="center"/>
            </w:pPr>
            <w:r>
              <w:rPr>
                <w:rFonts w:hint="eastAsia"/>
              </w:rPr>
              <w:t>省人民政府</w:t>
            </w:r>
          </w:p>
        </w:tc>
        <w:tc>
          <w:tcPr>
            <w:tcW w:w="1531" w:type="pct"/>
            <w:vAlign w:val="center"/>
          </w:tcPr>
          <w:p w14:paraId="65945A18">
            <w:pPr>
              <w:pStyle w:val="12"/>
              <w:jc w:val="left"/>
            </w:pPr>
            <w:r>
              <w:rPr>
                <w:rFonts w:hint="eastAsia"/>
              </w:rPr>
              <w:t>农业技术推广二等奖</w:t>
            </w:r>
          </w:p>
        </w:tc>
      </w:tr>
      <w:tr w14:paraId="112E88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7ED9C168">
            <w:pPr>
              <w:pStyle w:val="12"/>
              <w:jc w:val="center"/>
            </w:pPr>
            <w:r>
              <w:rPr>
                <w:rFonts w:hint="eastAsia"/>
              </w:rPr>
              <w:t>张振刚</w:t>
            </w:r>
          </w:p>
        </w:tc>
        <w:tc>
          <w:tcPr>
            <w:tcW w:w="996" w:type="pct"/>
            <w:vAlign w:val="center"/>
          </w:tcPr>
          <w:p w14:paraId="3C238716">
            <w:pPr>
              <w:pStyle w:val="12"/>
              <w:jc w:val="center"/>
            </w:pPr>
            <w:r>
              <w:rPr>
                <w:rFonts w:hint="eastAsia"/>
              </w:rPr>
              <w:t>县水保办公室</w:t>
            </w:r>
          </w:p>
        </w:tc>
        <w:tc>
          <w:tcPr>
            <w:tcW w:w="925" w:type="pct"/>
            <w:vAlign w:val="center"/>
          </w:tcPr>
          <w:p w14:paraId="2F4DB31A">
            <w:pPr>
              <w:pStyle w:val="12"/>
              <w:jc w:val="center"/>
            </w:pPr>
            <w:r>
              <w:rPr>
                <w:rFonts w:hint="eastAsia"/>
              </w:rPr>
              <w:t>1990年</w:t>
            </w:r>
          </w:p>
        </w:tc>
        <w:tc>
          <w:tcPr>
            <w:tcW w:w="925" w:type="pct"/>
            <w:vAlign w:val="center"/>
          </w:tcPr>
          <w:p w14:paraId="11EC08C2">
            <w:pPr>
              <w:pStyle w:val="12"/>
              <w:jc w:val="center"/>
            </w:pPr>
            <w:r>
              <w:rPr>
                <w:rFonts w:hint="eastAsia"/>
              </w:rPr>
              <w:t>省人民政府</w:t>
            </w:r>
          </w:p>
        </w:tc>
        <w:tc>
          <w:tcPr>
            <w:tcW w:w="1531" w:type="pct"/>
            <w:vAlign w:val="center"/>
          </w:tcPr>
          <w:p w14:paraId="6D08FEED">
            <w:pPr>
              <w:pStyle w:val="12"/>
              <w:jc w:val="left"/>
            </w:pPr>
            <w:r>
              <w:rPr>
                <w:rFonts w:hint="eastAsia"/>
              </w:rPr>
              <w:t>农业技术推广二等奖</w:t>
            </w:r>
          </w:p>
        </w:tc>
      </w:tr>
      <w:tr w14:paraId="42AD94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0B9BB8FC">
            <w:pPr>
              <w:pStyle w:val="12"/>
              <w:jc w:val="center"/>
            </w:pPr>
            <w:r>
              <w:rPr>
                <w:rFonts w:hint="eastAsia"/>
              </w:rPr>
              <w:t>刘建新</w:t>
            </w:r>
          </w:p>
        </w:tc>
        <w:tc>
          <w:tcPr>
            <w:tcW w:w="996" w:type="pct"/>
            <w:vAlign w:val="center"/>
          </w:tcPr>
          <w:p w14:paraId="22662C6B">
            <w:pPr>
              <w:pStyle w:val="12"/>
              <w:jc w:val="center"/>
            </w:pPr>
            <w:r>
              <w:rPr>
                <w:rFonts w:hint="eastAsia"/>
              </w:rPr>
              <w:t>县水保办公室</w:t>
            </w:r>
          </w:p>
        </w:tc>
        <w:tc>
          <w:tcPr>
            <w:tcW w:w="925" w:type="pct"/>
            <w:vAlign w:val="center"/>
          </w:tcPr>
          <w:p w14:paraId="43606D66">
            <w:pPr>
              <w:pStyle w:val="12"/>
              <w:jc w:val="center"/>
            </w:pPr>
            <w:r>
              <w:rPr>
                <w:rFonts w:hint="eastAsia"/>
              </w:rPr>
              <w:t>1990年</w:t>
            </w:r>
          </w:p>
        </w:tc>
        <w:tc>
          <w:tcPr>
            <w:tcW w:w="925" w:type="pct"/>
            <w:vAlign w:val="center"/>
          </w:tcPr>
          <w:p w14:paraId="4C9F0818">
            <w:pPr>
              <w:pStyle w:val="12"/>
              <w:jc w:val="center"/>
            </w:pPr>
            <w:r>
              <w:rPr>
                <w:rFonts w:hint="eastAsia"/>
              </w:rPr>
              <w:t>省人民政府</w:t>
            </w:r>
          </w:p>
        </w:tc>
        <w:tc>
          <w:tcPr>
            <w:tcW w:w="1531" w:type="pct"/>
            <w:vAlign w:val="center"/>
          </w:tcPr>
          <w:p w14:paraId="4EA2E6CE">
            <w:pPr>
              <w:pStyle w:val="12"/>
              <w:jc w:val="left"/>
            </w:pPr>
            <w:r>
              <w:rPr>
                <w:rFonts w:hint="eastAsia"/>
              </w:rPr>
              <w:t>农业技术推广二等奖</w:t>
            </w:r>
          </w:p>
        </w:tc>
      </w:tr>
      <w:tr w14:paraId="41CD52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1DFCAC32">
            <w:pPr>
              <w:pStyle w:val="12"/>
              <w:jc w:val="center"/>
            </w:pPr>
            <w:r>
              <w:rPr>
                <w:rFonts w:hint="eastAsia"/>
              </w:rPr>
              <w:t>罗天佑</w:t>
            </w:r>
          </w:p>
        </w:tc>
        <w:tc>
          <w:tcPr>
            <w:tcW w:w="996" w:type="pct"/>
            <w:vAlign w:val="center"/>
          </w:tcPr>
          <w:p w14:paraId="79341CD4">
            <w:pPr>
              <w:pStyle w:val="12"/>
              <w:jc w:val="center"/>
            </w:pPr>
            <w:r>
              <w:rPr>
                <w:rFonts w:hint="eastAsia"/>
              </w:rPr>
              <w:t>县农业局</w:t>
            </w:r>
          </w:p>
        </w:tc>
        <w:tc>
          <w:tcPr>
            <w:tcW w:w="925" w:type="pct"/>
            <w:vAlign w:val="center"/>
          </w:tcPr>
          <w:p w14:paraId="32FF5DC5">
            <w:pPr>
              <w:pStyle w:val="12"/>
              <w:jc w:val="center"/>
            </w:pPr>
            <w:r>
              <w:rPr>
                <w:rFonts w:hint="eastAsia"/>
              </w:rPr>
              <w:t>1990年</w:t>
            </w:r>
          </w:p>
        </w:tc>
        <w:tc>
          <w:tcPr>
            <w:tcW w:w="925" w:type="pct"/>
            <w:vAlign w:val="center"/>
          </w:tcPr>
          <w:p w14:paraId="2AEC6C81">
            <w:pPr>
              <w:pStyle w:val="12"/>
              <w:jc w:val="center"/>
            </w:pPr>
            <w:r>
              <w:rPr>
                <w:rFonts w:hint="eastAsia"/>
              </w:rPr>
              <w:t>省人民政府</w:t>
            </w:r>
          </w:p>
        </w:tc>
        <w:tc>
          <w:tcPr>
            <w:tcW w:w="1531" w:type="pct"/>
            <w:vAlign w:val="center"/>
          </w:tcPr>
          <w:p w14:paraId="69BA7339">
            <w:pPr>
              <w:pStyle w:val="12"/>
              <w:jc w:val="left"/>
            </w:pPr>
            <w:r>
              <w:rPr>
                <w:rFonts w:hint="eastAsia"/>
              </w:rPr>
              <w:t>粤北水稻病虫综合防治配套技术推广一等奖</w:t>
            </w:r>
          </w:p>
        </w:tc>
      </w:tr>
      <w:tr w14:paraId="01C04E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Merge w:val="restart"/>
            <w:vAlign w:val="center"/>
          </w:tcPr>
          <w:p w14:paraId="25E9079E">
            <w:pPr>
              <w:pStyle w:val="12"/>
              <w:jc w:val="center"/>
            </w:pPr>
            <w:r>
              <w:rPr>
                <w:rFonts w:hint="eastAsia"/>
              </w:rPr>
              <w:t>廖威宗</w:t>
            </w:r>
          </w:p>
        </w:tc>
        <w:tc>
          <w:tcPr>
            <w:tcW w:w="996" w:type="pct"/>
            <w:vAlign w:val="center"/>
          </w:tcPr>
          <w:p w14:paraId="3955595A">
            <w:pPr>
              <w:pStyle w:val="12"/>
              <w:jc w:val="center"/>
            </w:pPr>
            <w:r>
              <w:rPr>
                <w:rFonts w:hint="eastAsia"/>
              </w:rPr>
              <w:t>县林业局</w:t>
            </w:r>
          </w:p>
        </w:tc>
        <w:tc>
          <w:tcPr>
            <w:tcW w:w="925" w:type="pct"/>
            <w:vAlign w:val="center"/>
          </w:tcPr>
          <w:p w14:paraId="7AFC258B">
            <w:pPr>
              <w:pStyle w:val="12"/>
              <w:jc w:val="center"/>
            </w:pPr>
            <w:r>
              <w:rPr>
                <w:rFonts w:hint="eastAsia"/>
              </w:rPr>
              <w:t>1990年6月</w:t>
            </w:r>
          </w:p>
        </w:tc>
        <w:tc>
          <w:tcPr>
            <w:tcW w:w="925" w:type="pct"/>
            <w:vAlign w:val="center"/>
          </w:tcPr>
          <w:p w14:paraId="577D14DD">
            <w:pPr>
              <w:pStyle w:val="12"/>
              <w:jc w:val="center"/>
            </w:pPr>
            <w:r>
              <w:rPr>
                <w:rFonts w:hint="eastAsia"/>
              </w:rPr>
              <w:t>中共广东省委</w:t>
            </w:r>
          </w:p>
        </w:tc>
        <w:tc>
          <w:tcPr>
            <w:tcW w:w="1531" w:type="pct"/>
            <w:vAlign w:val="center"/>
          </w:tcPr>
          <w:p w14:paraId="127FC23E">
            <w:pPr>
              <w:pStyle w:val="12"/>
              <w:jc w:val="left"/>
            </w:pPr>
            <w:r>
              <w:rPr>
                <w:rFonts w:hint="eastAsia"/>
              </w:rPr>
              <w:t>优秀共产党员</w:t>
            </w:r>
          </w:p>
        </w:tc>
      </w:tr>
      <w:tr w14:paraId="5298DC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Merge w:val="continue"/>
            <w:vAlign w:val="center"/>
          </w:tcPr>
          <w:p w14:paraId="233DEE2E">
            <w:pPr>
              <w:pStyle w:val="12"/>
              <w:jc w:val="center"/>
            </w:pPr>
          </w:p>
        </w:tc>
        <w:tc>
          <w:tcPr>
            <w:tcW w:w="996" w:type="pct"/>
            <w:vAlign w:val="center"/>
          </w:tcPr>
          <w:p w14:paraId="2EC5E882">
            <w:pPr>
              <w:pStyle w:val="12"/>
              <w:jc w:val="center"/>
            </w:pPr>
            <w:r>
              <w:rPr>
                <w:rFonts w:hint="eastAsia"/>
              </w:rPr>
              <w:t>县人大常委会</w:t>
            </w:r>
          </w:p>
        </w:tc>
        <w:tc>
          <w:tcPr>
            <w:tcW w:w="925" w:type="pct"/>
            <w:vAlign w:val="center"/>
          </w:tcPr>
          <w:p w14:paraId="65C76C78">
            <w:pPr>
              <w:pStyle w:val="12"/>
              <w:jc w:val="center"/>
            </w:pPr>
            <w:r>
              <w:rPr>
                <w:rFonts w:hint="eastAsia"/>
              </w:rPr>
              <w:t>1994年3月</w:t>
            </w:r>
          </w:p>
        </w:tc>
        <w:tc>
          <w:tcPr>
            <w:tcW w:w="925" w:type="pct"/>
            <w:vAlign w:val="center"/>
          </w:tcPr>
          <w:p w14:paraId="2C61151C">
            <w:pPr>
              <w:pStyle w:val="12"/>
              <w:jc w:val="center"/>
              <w:rPr>
                <w:rFonts w:ascii="宋体" w:hAnsi="宋体" w:cs="宋体"/>
              </w:rPr>
            </w:pPr>
            <w:r>
              <w:rPr>
                <w:rFonts w:hint="eastAsia"/>
              </w:rPr>
              <w:t>中共广东省委</w:t>
            </w:r>
          </w:p>
          <w:p w14:paraId="2D175276">
            <w:pPr>
              <w:pStyle w:val="12"/>
              <w:jc w:val="center"/>
            </w:pPr>
            <w:r>
              <w:rPr>
                <w:rFonts w:hint="eastAsia" w:ascii="宋体" w:hAnsi="宋体" w:cs="宋体"/>
              </w:rPr>
              <w:t>省人民政府</w:t>
            </w:r>
          </w:p>
        </w:tc>
        <w:tc>
          <w:tcPr>
            <w:tcW w:w="1531" w:type="pct"/>
            <w:vAlign w:val="center"/>
          </w:tcPr>
          <w:p w14:paraId="235F5B7B">
            <w:pPr>
              <w:pStyle w:val="12"/>
              <w:jc w:val="left"/>
            </w:pPr>
            <w:r>
              <w:rPr>
                <w:rFonts w:hint="eastAsia"/>
              </w:rPr>
              <w:t>绿化广东先进工作者</w:t>
            </w:r>
          </w:p>
        </w:tc>
      </w:tr>
      <w:tr w14:paraId="7A9422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2ADC4051">
            <w:pPr>
              <w:pStyle w:val="12"/>
              <w:jc w:val="center"/>
            </w:pPr>
            <w:r>
              <w:rPr>
                <w:rFonts w:hint="eastAsia"/>
              </w:rPr>
              <w:t>黄启钊</w:t>
            </w:r>
          </w:p>
        </w:tc>
        <w:tc>
          <w:tcPr>
            <w:tcW w:w="996" w:type="pct"/>
            <w:vAlign w:val="center"/>
          </w:tcPr>
          <w:p w14:paraId="13330913">
            <w:pPr>
              <w:pStyle w:val="12"/>
              <w:jc w:val="center"/>
            </w:pPr>
            <w:r>
              <w:rPr>
                <w:rFonts w:hint="eastAsia"/>
              </w:rPr>
              <w:t>中共南雄县委</w:t>
            </w:r>
          </w:p>
        </w:tc>
        <w:tc>
          <w:tcPr>
            <w:tcW w:w="925" w:type="pct"/>
            <w:vAlign w:val="center"/>
          </w:tcPr>
          <w:p w14:paraId="3D286CDA">
            <w:pPr>
              <w:pStyle w:val="12"/>
              <w:jc w:val="center"/>
            </w:pPr>
            <w:r>
              <w:rPr>
                <w:rFonts w:hint="eastAsia"/>
              </w:rPr>
              <w:t>1993年2月</w:t>
            </w:r>
          </w:p>
        </w:tc>
        <w:tc>
          <w:tcPr>
            <w:tcW w:w="925" w:type="pct"/>
            <w:vAlign w:val="center"/>
          </w:tcPr>
          <w:p w14:paraId="5BB9AAE9">
            <w:pPr>
              <w:pStyle w:val="12"/>
              <w:jc w:val="center"/>
            </w:pPr>
            <w:r>
              <w:rPr>
                <w:rFonts w:hint="eastAsia"/>
              </w:rPr>
              <w:t>中共广东省委</w:t>
            </w:r>
          </w:p>
        </w:tc>
        <w:tc>
          <w:tcPr>
            <w:tcW w:w="1531" w:type="pct"/>
            <w:vAlign w:val="center"/>
          </w:tcPr>
          <w:p w14:paraId="481D61B9">
            <w:pPr>
              <w:pStyle w:val="12"/>
              <w:jc w:val="left"/>
            </w:pPr>
            <w:r>
              <w:rPr>
                <w:rFonts w:hint="eastAsia"/>
              </w:rPr>
              <w:t>广东省重视老人工作领导者金质功勋章</w:t>
            </w:r>
          </w:p>
        </w:tc>
      </w:tr>
      <w:tr w14:paraId="78369C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17983FC6">
            <w:pPr>
              <w:pStyle w:val="12"/>
              <w:jc w:val="center"/>
            </w:pPr>
            <w:r>
              <w:rPr>
                <w:rFonts w:hint="eastAsia"/>
              </w:rPr>
              <w:t>黄国真</w:t>
            </w:r>
          </w:p>
        </w:tc>
        <w:tc>
          <w:tcPr>
            <w:tcW w:w="996" w:type="pct"/>
            <w:vAlign w:val="center"/>
          </w:tcPr>
          <w:p w14:paraId="619134D6">
            <w:pPr>
              <w:pStyle w:val="12"/>
              <w:jc w:val="center"/>
            </w:pPr>
            <w:r>
              <w:rPr>
                <w:rFonts w:hint="eastAsia"/>
              </w:rPr>
              <w:t>县水电局</w:t>
            </w:r>
          </w:p>
        </w:tc>
        <w:tc>
          <w:tcPr>
            <w:tcW w:w="925" w:type="pct"/>
            <w:vAlign w:val="center"/>
          </w:tcPr>
          <w:p w14:paraId="1DF8833F">
            <w:pPr>
              <w:pStyle w:val="12"/>
              <w:jc w:val="center"/>
            </w:pPr>
            <w:r>
              <w:rPr>
                <w:rFonts w:hint="eastAsia"/>
              </w:rPr>
              <w:t>1993年2月</w:t>
            </w:r>
          </w:p>
        </w:tc>
        <w:tc>
          <w:tcPr>
            <w:tcW w:w="925" w:type="pct"/>
            <w:vAlign w:val="center"/>
          </w:tcPr>
          <w:p w14:paraId="51027585">
            <w:pPr>
              <w:pStyle w:val="12"/>
              <w:jc w:val="center"/>
            </w:pPr>
            <w:r>
              <w:rPr>
                <w:rFonts w:hint="eastAsia"/>
              </w:rPr>
              <w:t>省人民政府</w:t>
            </w:r>
          </w:p>
        </w:tc>
        <w:tc>
          <w:tcPr>
            <w:tcW w:w="1531" w:type="pct"/>
            <w:vAlign w:val="center"/>
          </w:tcPr>
          <w:p w14:paraId="56EC4B74">
            <w:pPr>
              <w:pStyle w:val="12"/>
              <w:jc w:val="left"/>
            </w:pPr>
            <w:r>
              <w:rPr>
                <w:rFonts w:hint="eastAsia"/>
              </w:rPr>
              <w:t>山区建设优秀人才</w:t>
            </w:r>
          </w:p>
        </w:tc>
      </w:tr>
      <w:tr w14:paraId="47A367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2EFE6C7A">
            <w:pPr>
              <w:pStyle w:val="12"/>
              <w:jc w:val="center"/>
            </w:pPr>
            <w:r>
              <w:rPr>
                <w:rFonts w:hint="eastAsia"/>
              </w:rPr>
              <w:t>李天平</w:t>
            </w:r>
          </w:p>
        </w:tc>
        <w:tc>
          <w:tcPr>
            <w:tcW w:w="996" w:type="pct"/>
            <w:vAlign w:val="center"/>
          </w:tcPr>
          <w:p w14:paraId="6DFE9BDA">
            <w:pPr>
              <w:pStyle w:val="12"/>
              <w:jc w:val="center"/>
            </w:pPr>
            <w:r>
              <w:rPr>
                <w:rFonts w:hint="eastAsia"/>
              </w:rPr>
              <w:t>县烟草研究所</w:t>
            </w:r>
          </w:p>
        </w:tc>
        <w:tc>
          <w:tcPr>
            <w:tcW w:w="925" w:type="pct"/>
            <w:vAlign w:val="center"/>
          </w:tcPr>
          <w:p w14:paraId="574A44A2">
            <w:pPr>
              <w:pStyle w:val="12"/>
              <w:jc w:val="center"/>
            </w:pPr>
            <w:r>
              <w:rPr>
                <w:rFonts w:hint="eastAsia"/>
              </w:rPr>
              <w:t>1993年2月</w:t>
            </w:r>
          </w:p>
        </w:tc>
        <w:tc>
          <w:tcPr>
            <w:tcW w:w="925" w:type="pct"/>
            <w:vAlign w:val="center"/>
          </w:tcPr>
          <w:p w14:paraId="30DCC2A1">
            <w:pPr>
              <w:pStyle w:val="12"/>
              <w:jc w:val="center"/>
            </w:pPr>
            <w:r>
              <w:rPr>
                <w:rFonts w:hint="eastAsia"/>
              </w:rPr>
              <w:t>省人民政府</w:t>
            </w:r>
          </w:p>
        </w:tc>
        <w:tc>
          <w:tcPr>
            <w:tcW w:w="1531" w:type="pct"/>
            <w:vAlign w:val="center"/>
          </w:tcPr>
          <w:p w14:paraId="608E048C">
            <w:pPr>
              <w:pStyle w:val="12"/>
              <w:jc w:val="left"/>
            </w:pPr>
            <w:r>
              <w:rPr>
                <w:rFonts w:hint="eastAsia"/>
              </w:rPr>
              <w:t>山区建设优秀人才</w:t>
            </w:r>
          </w:p>
        </w:tc>
      </w:tr>
      <w:tr w14:paraId="2A1741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2E027307">
            <w:pPr>
              <w:pStyle w:val="12"/>
              <w:jc w:val="center"/>
            </w:pPr>
            <w:r>
              <w:rPr>
                <w:rFonts w:hint="eastAsia"/>
              </w:rPr>
              <w:t>李集富</w:t>
            </w:r>
          </w:p>
        </w:tc>
        <w:tc>
          <w:tcPr>
            <w:tcW w:w="996" w:type="pct"/>
            <w:vAlign w:val="center"/>
          </w:tcPr>
          <w:p w14:paraId="2271802C">
            <w:pPr>
              <w:pStyle w:val="12"/>
              <w:jc w:val="center"/>
            </w:pPr>
            <w:r>
              <w:rPr>
                <w:rFonts w:hint="eastAsia"/>
              </w:rPr>
              <w:t>县科学技</w:t>
            </w:r>
            <w:r>
              <w:rPr>
                <w:rFonts w:hint="eastAsia" w:ascii="宋体" w:hAnsi="宋体" w:cs="宋体"/>
              </w:rPr>
              <w:t>术委员会</w:t>
            </w:r>
          </w:p>
        </w:tc>
        <w:tc>
          <w:tcPr>
            <w:tcW w:w="925" w:type="pct"/>
            <w:vAlign w:val="center"/>
          </w:tcPr>
          <w:p w14:paraId="01139853">
            <w:pPr>
              <w:pStyle w:val="12"/>
              <w:jc w:val="center"/>
            </w:pPr>
            <w:r>
              <w:rPr>
                <w:rFonts w:hint="eastAsia"/>
              </w:rPr>
              <w:t>1994年3月</w:t>
            </w:r>
          </w:p>
        </w:tc>
        <w:tc>
          <w:tcPr>
            <w:tcW w:w="925" w:type="pct"/>
            <w:vAlign w:val="center"/>
          </w:tcPr>
          <w:p w14:paraId="283C84ED">
            <w:pPr>
              <w:pStyle w:val="12"/>
              <w:jc w:val="center"/>
              <w:rPr>
                <w:rFonts w:ascii="宋体" w:hAnsi="宋体" w:cs="宋体"/>
              </w:rPr>
            </w:pPr>
            <w:r>
              <w:rPr>
                <w:rFonts w:hint="eastAsia"/>
              </w:rPr>
              <w:t>中共广东省委</w:t>
            </w:r>
          </w:p>
          <w:p w14:paraId="742A0B61">
            <w:pPr>
              <w:pStyle w:val="12"/>
              <w:jc w:val="center"/>
            </w:pPr>
            <w:r>
              <w:rPr>
                <w:rFonts w:hint="eastAsia" w:ascii="宋体" w:hAnsi="宋体" w:cs="宋体"/>
              </w:rPr>
              <w:t>省人民政府</w:t>
            </w:r>
          </w:p>
        </w:tc>
        <w:tc>
          <w:tcPr>
            <w:tcW w:w="1531" w:type="pct"/>
            <w:vAlign w:val="center"/>
          </w:tcPr>
          <w:p w14:paraId="60A38BBA">
            <w:pPr>
              <w:pStyle w:val="12"/>
              <w:jc w:val="left"/>
            </w:pPr>
            <w:r>
              <w:rPr>
                <w:rFonts w:hint="eastAsia"/>
              </w:rPr>
              <w:t>绿化广东先进工作者</w:t>
            </w:r>
          </w:p>
        </w:tc>
      </w:tr>
      <w:tr w14:paraId="24E64A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7CE010C3">
            <w:pPr>
              <w:pStyle w:val="12"/>
              <w:jc w:val="center"/>
            </w:pPr>
            <w:r>
              <w:rPr>
                <w:rFonts w:hint="eastAsia"/>
              </w:rPr>
              <w:t>赖应明</w:t>
            </w:r>
          </w:p>
        </w:tc>
        <w:tc>
          <w:tcPr>
            <w:tcW w:w="996" w:type="pct"/>
            <w:vAlign w:val="center"/>
          </w:tcPr>
          <w:p w14:paraId="6F09B309">
            <w:pPr>
              <w:pStyle w:val="12"/>
              <w:jc w:val="center"/>
            </w:pPr>
            <w:r>
              <w:rPr>
                <w:rFonts w:hint="eastAsia"/>
              </w:rPr>
              <w:t>县林业局</w:t>
            </w:r>
          </w:p>
        </w:tc>
        <w:tc>
          <w:tcPr>
            <w:tcW w:w="925" w:type="pct"/>
            <w:vAlign w:val="center"/>
          </w:tcPr>
          <w:p w14:paraId="63F1519F">
            <w:pPr>
              <w:pStyle w:val="12"/>
              <w:jc w:val="center"/>
            </w:pPr>
            <w:r>
              <w:rPr>
                <w:rFonts w:hint="eastAsia"/>
              </w:rPr>
              <w:t>1994年3月</w:t>
            </w:r>
          </w:p>
        </w:tc>
        <w:tc>
          <w:tcPr>
            <w:tcW w:w="925" w:type="pct"/>
            <w:vAlign w:val="center"/>
          </w:tcPr>
          <w:p w14:paraId="7964E110">
            <w:pPr>
              <w:pStyle w:val="12"/>
              <w:jc w:val="center"/>
              <w:rPr>
                <w:rFonts w:ascii="宋体" w:hAnsi="宋体" w:cs="宋体"/>
              </w:rPr>
            </w:pPr>
            <w:r>
              <w:rPr>
                <w:rFonts w:hint="eastAsia"/>
              </w:rPr>
              <w:t>中共广东省委</w:t>
            </w:r>
          </w:p>
          <w:p w14:paraId="3344C869">
            <w:pPr>
              <w:pStyle w:val="12"/>
              <w:jc w:val="center"/>
            </w:pPr>
            <w:r>
              <w:rPr>
                <w:rFonts w:hint="eastAsia" w:ascii="宋体" w:hAnsi="宋体" w:cs="宋体"/>
              </w:rPr>
              <w:t>省人民政府</w:t>
            </w:r>
          </w:p>
        </w:tc>
        <w:tc>
          <w:tcPr>
            <w:tcW w:w="1531" w:type="pct"/>
            <w:vAlign w:val="center"/>
          </w:tcPr>
          <w:p w14:paraId="4F35F9BF">
            <w:pPr>
              <w:pStyle w:val="12"/>
              <w:jc w:val="left"/>
            </w:pPr>
            <w:r>
              <w:rPr>
                <w:rFonts w:hint="eastAsia"/>
              </w:rPr>
              <w:t>绿化广东先进工作者</w:t>
            </w:r>
          </w:p>
        </w:tc>
      </w:tr>
      <w:tr w14:paraId="412DAB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1D2FB9DC">
            <w:pPr>
              <w:pStyle w:val="12"/>
              <w:jc w:val="center"/>
            </w:pPr>
            <w:r>
              <w:rPr>
                <w:rFonts w:hint="eastAsia"/>
              </w:rPr>
              <w:t>刘运钊</w:t>
            </w:r>
          </w:p>
        </w:tc>
        <w:tc>
          <w:tcPr>
            <w:tcW w:w="996" w:type="pct"/>
            <w:vAlign w:val="center"/>
          </w:tcPr>
          <w:p w14:paraId="774368BA">
            <w:pPr>
              <w:pStyle w:val="12"/>
              <w:jc w:val="center"/>
            </w:pPr>
            <w:r>
              <w:rPr>
                <w:rFonts w:hint="eastAsia"/>
              </w:rPr>
              <w:t>县林业局</w:t>
            </w:r>
          </w:p>
        </w:tc>
        <w:tc>
          <w:tcPr>
            <w:tcW w:w="925" w:type="pct"/>
            <w:vAlign w:val="center"/>
          </w:tcPr>
          <w:p w14:paraId="3AF75420">
            <w:pPr>
              <w:pStyle w:val="12"/>
              <w:jc w:val="center"/>
            </w:pPr>
            <w:r>
              <w:rPr>
                <w:rFonts w:hint="eastAsia"/>
              </w:rPr>
              <w:t>1994年3月</w:t>
            </w:r>
          </w:p>
        </w:tc>
        <w:tc>
          <w:tcPr>
            <w:tcW w:w="925" w:type="pct"/>
            <w:vAlign w:val="center"/>
          </w:tcPr>
          <w:p w14:paraId="04F55DEC">
            <w:pPr>
              <w:pStyle w:val="12"/>
              <w:jc w:val="center"/>
              <w:rPr>
                <w:rFonts w:ascii="宋体" w:hAnsi="宋体" w:cs="宋体"/>
              </w:rPr>
            </w:pPr>
            <w:r>
              <w:rPr>
                <w:rFonts w:hint="eastAsia"/>
              </w:rPr>
              <w:t>中共广东省委</w:t>
            </w:r>
          </w:p>
          <w:p w14:paraId="07F591DA">
            <w:pPr>
              <w:pStyle w:val="12"/>
              <w:jc w:val="center"/>
            </w:pPr>
            <w:r>
              <w:rPr>
                <w:rFonts w:hint="eastAsia" w:ascii="宋体" w:hAnsi="宋体" w:cs="宋体"/>
              </w:rPr>
              <w:t>省人民政府</w:t>
            </w:r>
          </w:p>
        </w:tc>
        <w:tc>
          <w:tcPr>
            <w:tcW w:w="1531" w:type="pct"/>
            <w:vAlign w:val="center"/>
          </w:tcPr>
          <w:p w14:paraId="06390B3D">
            <w:pPr>
              <w:pStyle w:val="12"/>
              <w:jc w:val="left"/>
            </w:pPr>
            <w:r>
              <w:rPr>
                <w:rFonts w:hint="eastAsia"/>
              </w:rPr>
              <w:t>绿化广东先进工作者</w:t>
            </w:r>
          </w:p>
        </w:tc>
      </w:tr>
      <w:tr w14:paraId="030327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Merge w:val="restart"/>
            <w:vAlign w:val="center"/>
          </w:tcPr>
          <w:p w14:paraId="17D3A9A9">
            <w:pPr>
              <w:pStyle w:val="12"/>
              <w:jc w:val="center"/>
            </w:pPr>
            <w:r>
              <w:rPr>
                <w:rFonts w:hint="eastAsia"/>
              </w:rPr>
              <w:t>黄履星</w:t>
            </w:r>
          </w:p>
        </w:tc>
        <w:tc>
          <w:tcPr>
            <w:tcW w:w="996" w:type="pct"/>
            <w:vMerge w:val="restart"/>
            <w:vAlign w:val="center"/>
          </w:tcPr>
          <w:p w14:paraId="0CF5AB35">
            <w:pPr>
              <w:pStyle w:val="12"/>
              <w:jc w:val="center"/>
            </w:pPr>
            <w:r>
              <w:rPr>
                <w:rFonts w:hint="eastAsia"/>
              </w:rPr>
              <w:t>广东省翠</w:t>
            </w:r>
            <w:r>
              <w:rPr>
                <w:rFonts w:hint="eastAsia" w:ascii="宋体" w:hAnsi="宋体" w:cs="宋体"/>
              </w:rPr>
              <w:t>屏股份有限公司</w:t>
            </w:r>
          </w:p>
        </w:tc>
        <w:tc>
          <w:tcPr>
            <w:tcW w:w="925" w:type="pct"/>
            <w:vAlign w:val="center"/>
          </w:tcPr>
          <w:p w14:paraId="2B05BAD6">
            <w:pPr>
              <w:pStyle w:val="12"/>
              <w:jc w:val="center"/>
            </w:pPr>
            <w:r>
              <w:rPr>
                <w:rFonts w:hint="eastAsia"/>
              </w:rPr>
              <w:t>1994年5月</w:t>
            </w:r>
          </w:p>
        </w:tc>
        <w:tc>
          <w:tcPr>
            <w:tcW w:w="925" w:type="pct"/>
            <w:vAlign w:val="center"/>
          </w:tcPr>
          <w:p w14:paraId="2A7700ED">
            <w:pPr>
              <w:pStyle w:val="12"/>
              <w:jc w:val="center"/>
              <w:rPr>
                <w:rFonts w:ascii="宋体" w:hAnsi="宋体" w:cs="宋体"/>
              </w:rPr>
            </w:pPr>
            <w:r>
              <w:rPr>
                <w:rFonts w:hint="eastAsia"/>
              </w:rPr>
              <w:t>中共广东省委</w:t>
            </w:r>
          </w:p>
          <w:p w14:paraId="2323248E">
            <w:pPr>
              <w:pStyle w:val="12"/>
              <w:jc w:val="center"/>
            </w:pPr>
            <w:r>
              <w:rPr>
                <w:rFonts w:hint="eastAsia" w:ascii="宋体" w:hAnsi="宋体" w:cs="宋体"/>
              </w:rPr>
              <w:t>省人民政府</w:t>
            </w:r>
          </w:p>
        </w:tc>
        <w:tc>
          <w:tcPr>
            <w:tcW w:w="1531" w:type="pct"/>
            <w:vAlign w:val="center"/>
          </w:tcPr>
          <w:p w14:paraId="6A350972">
            <w:pPr>
              <w:pStyle w:val="12"/>
              <w:jc w:val="left"/>
            </w:pPr>
            <w:r>
              <w:rPr>
                <w:rFonts w:hint="eastAsia"/>
              </w:rPr>
              <w:t>先进工作者</w:t>
            </w:r>
          </w:p>
        </w:tc>
      </w:tr>
      <w:tr w14:paraId="28EFD3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Merge w:val="continue"/>
            <w:vAlign w:val="center"/>
          </w:tcPr>
          <w:p w14:paraId="47BCF5BB">
            <w:pPr>
              <w:pStyle w:val="12"/>
              <w:jc w:val="center"/>
            </w:pPr>
          </w:p>
        </w:tc>
        <w:tc>
          <w:tcPr>
            <w:tcW w:w="996" w:type="pct"/>
            <w:vMerge w:val="continue"/>
            <w:vAlign w:val="center"/>
          </w:tcPr>
          <w:p w14:paraId="47B4F84A">
            <w:pPr>
              <w:pStyle w:val="12"/>
              <w:jc w:val="center"/>
            </w:pPr>
          </w:p>
        </w:tc>
        <w:tc>
          <w:tcPr>
            <w:tcW w:w="925" w:type="pct"/>
            <w:vAlign w:val="center"/>
          </w:tcPr>
          <w:p w14:paraId="72A23B8C">
            <w:pPr>
              <w:pStyle w:val="12"/>
              <w:jc w:val="center"/>
            </w:pPr>
            <w:r>
              <w:rPr>
                <w:rFonts w:hint="eastAsia"/>
              </w:rPr>
              <w:t>1994年6月</w:t>
            </w:r>
          </w:p>
        </w:tc>
        <w:tc>
          <w:tcPr>
            <w:tcW w:w="925" w:type="pct"/>
            <w:vAlign w:val="center"/>
          </w:tcPr>
          <w:p w14:paraId="6BFB2CB4">
            <w:pPr>
              <w:pStyle w:val="12"/>
              <w:jc w:val="center"/>
            </w:pPr>
            <w:r>
              <w:rPr>
                <w:rFonts w:hint="eastAsia"/>
              </w:rPr>
              <w:t>中共广东省委</w:t>
            </w:r>
          </w:p>
        </w:tc>
        <w:tc>
          <w:tcPr>
            <w:tcW w:w="1531" w:type="pct"/>
            <w:vAlign w:val="center"/>
          </w:tcPr>
          <w:p w14:paraId="5606CF8B">
            <w:pPr>
              <w:pStyle w:val="12"/>
              <w:jc w:val="left"/>
            </w:pPr>
            <w:r>
              <w:rPr>
                <w:rFonts w:hint="eastAsia"/>
              </w:rPr>
              <w:t>广东省第一线有突出贡献的优秀共产党员</w:t>
            </w:r>
          </w:p>
        </w:tc>
      </w:tr>
      <w:tr w14:paraId="4DABAF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Merge w:val="continue"/>
            <w:vAlign w:val="center"/>
          </w:tcPr>
          <w:p w14:paraId="1DD8CD4C">
            <w:pPr>
              <w:pStyle w:val="12"/>
              <w:jc w:val="center"/>
            </w:pPr>
          </w:p>
        </w:tc>
        <w:tc>
          <w:tcPr>
            <w:tcW w:w="996" w:type="pct"/>
            <w:vMerge w:val="continue"/>
            <w:vAlign w:val="center"/>
          </w:tcPr>
          <w:p w14:paraId="5651C983">
            <w:pPr>
              <w:pStyle w:val="12"/>
              <w:jc w:val="center"/>
            </w:pPr>
          </w:p>
        </w:tc>
        <w:tc>
          <w:tcPr>
            <w:tcW w:w="925" w:type="pct"/>
            <w:vAlign w:val="center"/>
          </w:tcPr>
          <w:p w14:paraId="7A9BAC78">
            <w:pPr>
              <w:pStyle w:val="12"/>
              <w:jc w:val="center"/>
            </w:pPr>
            <w:r>
              <w:rPr>
                <w:rFonts w:hint="eastAsia"/>
              </w:rPr>
              <w:t>1994年8月</w:t>
            </w:r>
          </w:p>
        </w:tc>
        <w:tc>
          <w:tcPr>
            <w:tcW w:w="925" w:type="pct"/>
            <w:vAlign w:val="center"/>
          </w:tcPr>
          <w:p w14:paraId="60B64EF1">
            <w:pPr>
              <w:pStyle w:val="12"/>
              <w:jc w:val="center"/>
            </w:pPr>
            <w:r>
              <w:rPr>
                <w:rFonts w:hint="eastAsia"/>
              </w:rPr>
              <w:t>省人民政府</w:t>
            </w:r>
          </w:p>
        </w:tc>
        <w:tc>
          <w:tcPr>
            <w:tcW w:w="1531" w:type="pct"/>
            <w:vAlign w:val="center"/>
          </w:tcPr>
          <w:p w14:paraId="06577CF3">
            <w:pPr>
              <w:pStyle w:val="12"/>
              <w:jc w:val="left"/>
            </w:pPr>
            <w:r>
              <w:rPr>
                <w:rFonts w:hint="eastAsia"/>
              </w:rPr>
              <w:t>山区建设优秀人才</w:t>
            </w:r>
          </w:p>
        </w:tc>
      </w:tr>
      <w:tr w14:paraId="043DB1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07C9D37C">
            <w:pPr>
              <w:pStyle w:val="12"/>
              <w:jc w:val="center"/>
            </w:pPr>
            <w:r>
              <w:rPr>
                <w:rFonts w:hint="eastAsia"/>
              </w:rPr>
              <w:t>王青南</w:t>
            </w:r>
          </w:p>
        </w:tc>
        <w:tc>
          <w:tcPr>
            <w:tcW w:w="996" w:type="pct"/>
            <w:vAlign w:val="center"/>
          </w:tcPr>
          <w:p w14:paraId="6356272F">
            <w:pPr>
              <w:pStyle w:val="12"/>
              <w:jc w:val="center"/>
            </w:pPr>
            <w:r>
              <w:rPr>
                <w:rFonts w:hint="eastAsia"/>
              </w:rPr>
              <w:t>县水泥厂</w:t>
            </w:r>
          </w:p>
        </w:tc>
        <w:tc>
          <w:tcPr>
            <w:tcW w:w="925" w:type="pct"/>
            <w:vAlign w:val="center"/>
          </w:tcPr>
          <w:p w14:paraId="18E318B4">
            <w:pPr>
              <w:pStyle w:val="12"/>
              <w:jc w:val="center"/>
            </w:pPr>
            <w:r>
              <w:rPr>
                <w:rFonts w:hint="eastAsia"/>
              </w:rPr>
              <w:t>1994年8月</w:t>
            </w:r>
          </w:p>
        </w:tc>
        <w:tc>
          <w:tcPr>
            <w:tcW w:w="925" w:type="pct"/>
            <w:vAlign w:val="center"/>
          </w:tcPr>
          <w:p w14:paraId="4178168A">
            <w:pPr>
              <w:pStyle w:val="12"/>
              <w:jc w:val="center"/>
            </w:pPr>
            <w:r>
              <w:rPr>
                <w:rFonts w:hint="eastAsia"/>
              </w:rPr>
              <w:t>省人民政府</w:t>
            </w:r>
          </w:p>
        </w:tc>
        <w:tc>
          <w:tcPr>
            <w:tcW w:w="1531" w:type="pct"/>
            <w:vAlign w:val="center"/>
          </w:tcPr>
          <w:p w14:paraId="0570955C">
            <w:pPr>
              <w:pStyle w:val="12"/>
              <w:jc w:val="left"/>
            </w:pPr>
            <w:r>
              <w:rPr>
                <w:rFonts w:hint="eastAsia"/>
              </w:rPr>
              <w:t>山区建设优秀人才</w:t>
            </w:r>
          </w:p>
        </w:tc>
      </w:tr>
      <w:tr w14:paraId="5C1EE2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377ADAAA">
            <w:pPr>
              <w:pStyle w:val="12"/>
              <w:jc w:val="center"/>
            </w:pPr>
            <w:r>
              <w:rPr>
                <w:rFonts w:hint="eastAsia"/>
              </w:rPr>
              <w:t>黄耀平</w:t>
            </w:r>
          </w:p>
        </w:tc>
        <w:tc>
          <w:tcPr>
            <w:tcW w:w="996" w:type="pct"/>
            <w:vAlign w:val="center"/>
          </w:tcPr>
          <w:p w14:paraId="7C0A70F7">
            <w:pPr>
              <w:pStyle w:val="12"/>
              <w:jc w:val="center"/>
            </w:pPr>
            <w:r>
              <w:rPr>
                <w:rFonts w:hint="eastAsia"/>
              </w:rPr>
              <w:t>县糖烟酒公司</w:t>
            </w:r>
          </w:p>
        </w:tc>
        <w:tc>
          <w:tcPr>
            <w:tcW w:w="925" w:type="pct"/>
            <w:vAlign w:val="center"/>
          </w:tcPr>
          <w:p w14:paraId="44348533">
            <w:pPr>
              <w:pStyle w:val="12"/>
              <w:jc w:val="center"/>
            </w:pPr>
            <w:r>
              <w:rPr>
                <w:rFonts w:hint="eastAsia"/>
              </w:rPr>
              <w:t>1994年6月</w:t>
            </w:r>
          </w:p>
        </w:tc>
        <w:tc>
          <w:tcPr>
            <w:tcW w:w="925" w:type="pct"/>
            <w:vAlign w:val="center"/>
          </w:tcPr>
          <w:p w14:paraId="022BD327">
            <w:pPr>
              <w:pStyle w:val="12"/>
              <w:jc w:val="center"/>
            </w:pPr>
            <w:r>
              <w:rPr>
                <w:rFonts w:hint="eastAsia"/>
              </w:rPr>
              <w:t>省委、省政府</w:t>
            </w:r>
          </w:p>
        </w:tc>
        <w:tc>
          <w:tcPr>
            <w:tcW w:w="1531" w:type="pct"/>
            <w:vAlign w:val="center"/>
          </w:tcPr>
          <w:p w14:paraId="64E69A4D">
            <w:pPr>
              <w:pStyle w:val="12"/>
              <w:jc w:val="left"/>
            </w:pPr>
            <w:r>
              <w:rPr>
                <w:rFonts w:hint="eastAsia"/>
              </w:rPr>
              <w:t>省文明建设先进工作者</w:t>
            </w:r>
          </w:p>
        </w:tc>
      </w:tr>
      <w:tr w14:paraId="692C75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28C139DB">
            <w:pPr>
              <w:pStyle w:val="12"/>
              <w:jc w:val="center"/>
            </w:pPr>
            <w:r>
              <w:rPr>
                <w:rFonts w:hint="eastAsia"/>
              </w:rPr>
              <w:t>孔令德</w:t>
            </w:r>
          </w:p>
        </w:tc>
        <w:tc>
          <w:tcPr>
            <w:tcW w:w="996" w:type="pct"/>
            <w:vAlign w:val="center"/>
          </w:tcPr>
          <w:p w14:paraId="33678CC6">
            <w:pPr>
              <w:pStyle w:val="12"/>
              <w:jc w:val="center"/>
            </w:pPr>
            <w:r>
              <w:rPr>
                <w:rFonts w:hint="eastAsia"/>
              </w:rPr>
              <w:t>县计划委员会</w:t>
            </w:r>
          </w:p>
        </w:tc>
        <w:tc>
          <w:tcPr>
            <w:tcW w:w="925" w:type="pct"/>
            <w:vAlign w:val="center"/>
          </w:tcPr>
          <w:p w14:paraId="39D52D51">
            <w:pPr>
              <w:pStyle w:val="12"/>
              <w:jc w:val="center"/>
            </w:pPr>
            <w:r>
              <w:rPr>
                <w:rFonts w:hint="eastAsia"/>
              </w:rPr>
              <w:t>1994年3月</w:t>
            </w:r>
          </w:p>
        </w:tc>
        <w:tc>
          <w:tcPr>
            <w:tcW w:w="925" w:type="pct"/>
            <w:vAlign w:val="center"/>
          </w:tcPr>
          <w:p w14:paraId="661FE9B9">
            <w:pPr>
              <w:pStyle w:val="12"/>
              <w:jc w:val="center"/>
              <w:rPr>
                <w:rFonts w:ascii="宋体" w:hAnsi="宋体" w:cs="宋体"/>
              </w:rPr>
            </w:pPr>
            <w:r>
              <w:rPr>
                <w:rFonts w:hint="eastAsia"/>
              </w:rPr>
              <w:t>广东省第三产业</w:t>
            </w:r>
          </w:p>
          <w:p w14:paraId="319947F0">
            <w:pPr>
              <w:pStyle w:val="12"/>
              <w:jc w:val="center"/>
            </w:pPr>
            <w:r>
              <w:rPr>
                <w:rFonts w:hint="eastAsia" w:ascii="宋体" w:hAnsi="宋体" w:cs="宋体"/>
              </w:rPr>
              <w:t>普查协调小组</w:t>
            </w:r>
          </w:p>
        </w:tc>
        <w:tc>
          <w:tcPr>
            <w:tcW w:w="1531" w:type="pct"/>
            <w:vAlign w:val="center"/>
          </w:tcPr>
          <w:p w14:paraId="098BDEC9">
            <w:pPr>
              <w:pStyle w:val="12"/>
              <w:jc w:val="left"/>
            </w:pPr>
            <w:r>
              <w:rPr>
                <w:rFonts w:hint="eastAsia"/>
              </w:rPr>
              <w:t>省第三产业普查先进工作者</w:t>
            </w:r>
          </w:p>
        </w:tc>
      </w:tr>
      <w:tr w14:paraId="13CE99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0DF2FE23">
            <w:pPr>
              <w:pStyle w:val="12"/>
              <w:jc w:val="center"/>
            </w:pPr>
            <w:r>
              <w:rPr>
                <w:rFonts w:hint="eastAsia"/>
              </w:rPr>
              <w:t>陈继煊</w:t>
            </w:r>
          </w:p>
        </w:tc>
        <w:tc>
          <w:tcPr>
            <w:tcW w:w="996" w:type="pct"/>
            <w:vAlign w:val="center"/>
          </w:tcPr>
          <w:p w14:paraId="26BEC892">
            <w:pPr>
              <w:pStyle w:val="12"/>
              <w:jc w:val="center"/>
            </w:pPr>
            <w:r>
              <w:rPr>
                <w:rFonts w:hint="eastAsia"/>
              </w:rPr>
              <w:t>南雄中学</w:t>
            </w:r>
          </w:p>
        </w:tc>
        <w:tc>
          <w:tcPr>
            <w:tcW w:w="925" w:type="pct"/>
            <w:vAlign w:val="center"/>
          </w:tcPr>
          <w:p w14:paraId="5994BEE7">
            <w:pPr>
              <w:pStyle w:val="12"/>
              <w:jc w:val="center"/>
            </w:pPr>
            <w:r>
              <w:rPr>
                <w:rFonts w:hint="eastAsia"/>
              </w:rPr>
              <w:t>1994年7月</w:t>
            </w:r>
          </w:p>
        </w:tc>
        <w:tc>
          <w:tcPr>
            <w:tcW w:w="925" w:type="pct"/>
            <w:vAlign w:val="center"/>
          </w:tcPr>
          <w:p w14:paraId="375462FA">
            <w:pPr>
              <w:pStyle w:val="12"/>
              <w:jc w:val="center"/>
            </w:pPr>
            <w:r>
              <w:rPr>
                <w:rFonts w:hint="eastAsia"/>
              </w:rPr>
              <w:t>省人民政府</w:t>
            </w:r>
          </w:p>
        </w:tc>
        <w:tc>
          <w:tcPr>
            <w:tcW w:w="1531" w:type="pct"/>
            <w:vAlign w:val="center"/>
          </w:tcPr>
          <w:p w14:paraId="379DE419">
            <w:pPr>
              <w:pStyle w:val="12"/>
              <w:jc w:val="left"/>
            </w:pPr>
            <w:r>
              <w:rPr>
                <w:rFonts w:hint="eastAsia"/>
              </w:rPr>
              <w:t>中学特级教师</w:t>
            </w:r>
          </w:p>
        </w:tc>
      </w:tr>
      <w:tr w14:paraId="21AC24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52830F58">
            <w:pPr>
              <w:pStyle w:val="12"/>
              <w:jc w:val="center"/>
            </w:pPr>
            <w:r>
              <w:rPr>
                <w:rFonts w:hint="eastAsia"/>
              </w:rPr>
              <w:t>廖威宗</w:t>
            </w:r>
          </w:p>
        </w:tc>
        <w:tc>
          <w:tcPr>
            <w:tcW w:w="996" w:type="pct"/>
            <w:vAlign w:val="center"/>
          </w:tcPr>
          <w:p w14:paraId="2FAA5D9F">
            <w:pPr>
              <w:pStyle w:val="12"/>
              <w:jc w:val="center"/>
            </w:pPr>
            <w:r>
              <w:rPr>
                <w:rFonts w:hint="eastAsia"/>
              </w:rPr>
              <w:t>县人大常委会</w:t>
            </w:r>
          </w:p>
        </w:tc>
        <w:tc>
          <w:tcPr>
            <w:tcW w:w="925" w:type="pct"/>
            <w:vAlign w:val="center"/>
          </w:tcPr>
          <w:p w14:paraId="2F4279C1">
            <w:pPr>
              <w:pStyle w:val="12"/>
              <w:jc w:val="center"/>
            </w:pPr>
            <w:r>
              <w:rPr>
                <w:rFonts w:hint="eastAsia"/>
              </w:rPr>
              <w:t>1995年10月</w:t>
            </w:r>
          </w:p>
        </w:tc>
        <w:tc>
          <w:tcPr>
            <w:tcW w:w="925" w:type="pct"/>
            <w:vAlign w:val="center"/>
          </w:tcPr>
          <w:p w14:paraId="63C18F8F">
            <w:pPr>
              <w:pStyle w:val="12"/>
              <w:jc w:val="center"/>
            </w:pPr>
            <w:r>
              <w:rPr>
                <w:rFonts w:hint="eastAsia"/>
              </w:rPr>
              <w:t>省人民政府</w:t>
            </w:r>
          </w:p>
        </w:tc>
        <w:tc>
          <w:tcPr>
            <w:tcW w:w="1531" w:type="pct"/>
            <w:vAlign w:val="center"/>
          </w:tcPr>
          <w:p w14:paraId="0CAC2F0C">
            <w:pPr>
              <w:pStyle w:val="12"/>
              <w:jc w:val="left"/>
            </w:pPr>
            <w:r>
              <w:rPr>
                <w:rFonts w:hint="eastAsia"/>
              </w:rPr>
              <w:t>全省水保先进个人一等奖</w:t>
            </w:r>
          </w:p>
        </w:tc>
      </w:tr>
      <w:tr w14:paraId="654E35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2E324935">
            <w:pPr>
              <w:pStyle w:val="12"/>
              <w:jc w:val="center"/>
            </w:pPr>
            <w:r>
              <w:rPr>
                <w:rFonts w:hint="eastAsia"/>
              </w:rPr>
              <w:t>何明生</w:t>
            </w:r>
          </w:p>
        </w:tc>
        <w:tc>
          <w:tcPr>
            <w:tcW w:w="996" w:type="pct"/>
            <w:vAlign w:val="center"/>
          </w:tcPr>
          <w:p w14:paraId="5E55EC1E">
            <w:pPr>
              <w:pStyle w:val="12"/>
              <w:jc w:val="center"/>
            </w:pPr>
            <w:r>
              <w:rPr>
                <w:rFonts w:hint="eastAsia"/>
              </w:rPr>
              <w:t>县人民政府</w:t>
            </w:r>
          </w:p>
        </w:tc>
        <w:tc>
          <w:tcPr>
            <w:tcW w:w="925" w:type="pct"/>
            <w:vAlign w:val="center"/>
          </w:tcPr>
          <w:p w14:paraId="3ED503CF">
            <w:pPr>
              <w:pStyle w:val="12"/>
              <w:jc w:val="center"/>
            </w:pPr>
            <w:r>
              <w:rPr>
                <w:rFonts w:hint="eastAsia"/>
              </w:rPr>
              <w:t>1995年12月</w:t>
            </w:r>
          </w:p>
        </w:tc>
        <w:tc>
          <w:tcPr>
            <w:tcW w:w="925" w:type="pct"/>
            <w:vAlign w:val="center"/>
          </w:tcPr>
          <w:p w14:paraId="590AFCD7">
            <w:pPr>
              <w:pStyle w:val="12"/>
              <w:jc w:val="center"/>
            </w:pPr>
            <w:r>
              <w:rPr>
                <w:rFonts w:hint="eastAsia"/>
              </w:rPr>
              <w:t>省人民政府</w:t>
            </w:r>
          </w:p>
        </w:tc>
        <w:tc>
          <w:tcPr>
            <w:tcW w:w="1531" w:type="pct"/>
            <w:vAlign w:val="center"/>
          </w:tcPr>
          <w:p w14:paraId="2899B6F7">
            <w:pPr>
              <w:pStyle w:val="12"/>
              <w:jc w:val="left"/>
            </w:pPr>
            <w:r>
              <w:rPr>
                <w:rFonts w:hint="eastAsia"/>
              </w:rPr>
              <w:t>省水土保持工作先进个人</w:t>
            </w:r>
          </w:p>
        </w:tc>
      </w:tr>
      <w:tr w14:paraId="1F97AB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0DB2A5A1">
            <w:pPr>
              <w:pStyle w:val="12"/>
              <w:jc w:val="center"/>
            </w:pPr>
            <w:r>
              <w:rPr>
                <w:rFonts w:hint="eastAsia"/>
              </w:rPr>
              <w:t>王东华</w:t>
            </w:r>
          </w:p>
        </w:tc>
        <w:tc>
          <w:tcPr>
            <w:tcW w:w="996" w:type="pct"/>
            <w:vAlign w:val="center"/>
          </w:tcPr>
          <w:p w14:paraId="404371B2">
            <w:pPr>
              <w:pStyle w:val="12"/>
              <w:jc w:val="center"/>
            </w:pPr>
            <w:r>
              <w:rPr>
                <w:rFonts w:hint="eastAsia"/>
              </w:rPr>
              <w:t>县水保办</w:t>
            </w:r>
          </w:p>
        </w:tc>
        <w:tc>
          <w:tcPr>
            <w:tcW w:w="925" w:type="pct"/>
            <w:vAlign w:val="center"/>
          </w:tcPr>
          <w:p w14:paraId="01408245">
            <w:pPr>
              <w:pStyle w:val="12"/>
              <w:jc w:val="center"/>
            </w:pPr>
            <w:r>
              <w:rPr>
                <w:rFonts w:hint="eastAsia"/>
              </w:rPr>
              <w:t>1995年12月</w:t>
            </w:r>
          </w:p>
        </w:tc>
        <w:tc>
          <w:tcPr>
            <w:tcW w:w="925" w:type="pct"/>
            <w:vAlign w:val="center"/>
          </w:tcPr>
          <w:p w14:paraId="5754E426">
            <w:pPr>
              <w:pStyle w:val="12"/>
              <w:jc w:val="center"/>
            </w:pPr>
            <w:r>
              <w:rPr>
                <w:rFonts w:hint="eastAsia"/>
              </w:rPr>
              <w:t>省人民政府</w:t>
            </w:r>
          </w:p>
        </w:tc>
        <w:tc>
          <w:tcPr>
            <w:tcW w:w="1531" w:type="pct"/>
            <w:vAlign w:val="center"/>
          </w:tcPr>
          <w:p w14:paraId="3C8443A1">
            <w:pPr>
              <w:pStyle w:val="12"/>
              <w:jc w:val="left"/>
            </w:pPr>
            <w:r>
              <w:rPr>
                <w:rFonts w:hint="eastAsia"/>
              </w:rPr>
              <w:t>省水土保持工作先进个人</w:t>
            </w:r>
          </w:p>
        </w:tc>
      </w:tr>
      <w:tr w14:paraId="279BA8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32D01FE2">
            <w:pPr>
              <w:pStyle w:val="12"/>
              <w:jc w:val="center"/>
            </w:pPr>
            <w:r>
              <w:rPr>
                <w:rFonts w:hint="eastAsia"/>
              </w:rPr>
              <w:t>刘建新</w:t>
            </w:r>
          </w:p>
        </w:tc>
        <w:tc>
          <w:tcPr>
            <w:tcW w:w="996" w:type="pct"/>
            <w:vAlign w:val="center"/>
          </w:tcPr>
          <w:p w14:paraId="6D5503AF">
            <w:pPr>
              <w:pStyle w:val="12"/>
              <w:jc w:val="center"/>
            </w:pPr>
            <w:r>
              <w:rPr>
                <w:rFonts w:hint="eastAsia"/>
              </w:rPr>
              <w:t>县巾子岭</w:t>
            </w:r>
            <w:r>
              <w:rPr>
                <w:rFonts w:hint="eastAsia" w:ascii="宋体" w:hAnsi="宋体" w:cs="宋体"/>
              </w:rPr>
              <w:t>水保站</w:t>
            </w:r>
          </w:p>
        </w:tc>
        <w:tc>
          <w:tcPr>
            <w:tcW w:w="925" w:type="pct"/>
            <w:vAlign w:val="center"/>
          </w:tcPr>
          <w:p w14:paraId="68410909">
            <w:pPr>
              <w:pStyle w:val="12"/>
              <w:jc w:val="center"/>
            </w:pPr>
            <w:r>
              <w:rPr>
                <w:rFonts w:hint="eastAsia"/>
              </w:rPr>
              <w:t>1995年12月</w:t>
            </w:r>
          </w:p>
        </w:tc>
        <w:tc>
          <w:tcPr>
            <w:tcW w:w="925" w:type="pct"/>
            <w:vAlign w:val="center"/>
          </w:tcPr>
          <w:p w14:paraId="69254BBB">
            <w:pPr>
              <w:pStyle w:val="12"/>
              <w:jc w:val="center"/>
            </w:pPr>
            <w:r>
              <w:rPr>
                <w:rFonts w:hint="eastAsia"/>
              </w:rPr>
              <w:t>省人民政府</w:t>
            </w:r>
          </w:p>
        </w:tc>
        <w:tc>
          <w:tcPr>
            <w:tcW w:w="1531" w:type="pct"/>
            <w:vAlign w:val="center"/>
          </w:tcPr>
          <w:p w14:paraId="7694A366">
            <w:pPr>
              <w:pStyle w:val="12"/>
              <w:jc w:val="left"/>
            </w:pPr>
            <w:r>
              <w:rPr>
                <w:rFonts w:hint="eastAsia"/>
              </w:rPr>
              <w:t>省水土保持工作先进个人</w:t>
            </w:r>
          </w:p>
        </w:tc>
      </w:tr>
      <w:tr w14:paraId="12F678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28B4B2C5">
            <w:pPr>
              <w:pStyle w:val="12"/>
              <w:jc w:val="center"/>
            </w:pPr>
            <w:r>
              <w:rPr>
                <w:rFonts w:hint="eastAsia"/>
              </w:rPr>
              <w:t>王荣光</w:t>
            </w:r>
          </w:p>
        </w:tc>
        <w:tc>
          <w:tcPr>
            <w:tcW w:w="996" w:type="pct"/>
            <w:vAlign w:val="center"/>
          </w:tcPr>
          <w:p w14:paraId="26E72708">
            <w:pPr>
              <w:pStyle w:val="12"/>
              <w:jc w:val="center"/>
            </w:pPr>
            <w:r>
              <w:rPr>
                <w:rFonts w:hint="eastAsia"/>
              </w:rPr>
              <w:t>县财政局</w:t>
            </w:r>
          </w:p>
        </w:tc>
        <w:tc>
          <w:tcPr>
            <w:tcW w:w="925" w:type="pct"/>
            <w:vAlign w:val="center"/>
          </w:tcPr>
          <w:p w14:paraId="1A3B1555">
            <w:pPr>
              <w:pStyle w:val="12"/>
              <w:jc w:val="center"/>
            </w:pPr>
            <w:r>
              <w:rPr>
                <w:rFonts w:hint="eastAsia"/>
              </w:rPr>
              <w:t>1995年12月</w:t>
            </w:r>
          </w:p>
        </w:tc>
        <w:tc>
          <w:tcPr>
            <w:tcW w:w="925" w:type="pct"/>
            <w:vAlign w:val="center"/>
          </w:tcPr>
          <w:p w14:paraId="3BFFC361">
            <w:pPr>
              <w:pStyle w:val="12"/>
              <w:jc w:val="center"/>
            </w:pPr>
            <w:r>
              <w:rPr>
                <w:rFonts w:hint="eastAsia"/>
              </w:rPr>
              <w:t>省人民政府</w:t>
            </w:r>
          </w:p>
        </w:tc>
        <w:tc>
          <w:tcPr>
            <w:tcW w:w="1531" w:type="pct"/>
            <w:vAlign w:val="center"/>
          </w:tcPr>
          <w:p w14:paraId="1B482D43">
            <w:pPr>
              <w:pStyle w:val="12"/>
              <w:jc w:val="left"/>
            </w:pPr>
            <w:r>
              <w:rPr>
                <w:rFonts w:hint="eastAsia"/>
              </w:rPr>
              <w:t>省水土保持工作先进个人</w:t>
            </w:r>
          </w:p>
        </w:tc>
      </w:tr>
      <w:tr w14:paraId="16FAFAE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599D03DB">
            <w:pPr>
              <w:pStyle w:val="12"/>
              <w:jc w:val="center"/>
            </w:pPr>
            <w:r>
              <w:rPr>
                <w:rFonts w:hint="eastAsia"/>
              </w:rPr>
              <w:t>叶隆荣</w:t>
            </w:r>
          </w:p>
        </w:tc>
        <w:tc>
          <w:tcPr>
            <w:tcW w:w="996" w:type="pct"/>
            <w:vAlign w:val="center"/>
          </w:tcPr>
          <w:p w14:paraId="1BEF5043">
            <w:pPr>
              <w:pStyle w:val="12"/>
              <w:jc w:val="center"/>
            </w:pPr>
            <w:r>
              <w:rPr>
                <w:rFonts w:hint="eastAsia"/>
              </w:rPr>
              <w:t>县农业局</w:t>
            </w:r>
          </w:p>
        </w:tc>
        <w:tc>
          <w:tcPr>
            <w:tcW w:w="925" w:type="pct"/>
            <w:vAlign w:val="center"/>
          </w:tcPr>
          <w:p w14:paraId="3C2A121F">
            <w:pPr>
              <w:pStyle w:val="12"/>
              <w:jc w:val="center"/>
            </w:pPr>
            <w:r>
              <w:rPr>
                <w:rFonts w:hint="eastAsia"/>
              </w:rPr>
              <w:t>1995年12月</w:t>
            </w:r>
          </w:p>
        </w:tc>
        <w:tc>
          <w:tcPr>
            <w:tcW w:w="925" w:type="pct"/>
            <w:vAlign w:val="center"/>
          </w:tcPr>
          <w:p w14:paraId="3A209CE1">
            <w:pPr>
              <w:pStyle w:val="12"/>
              <w:jc w:val="center"/>
            </w:pPr>
            <w:r>
              <w:rPr>
                <w:rFonts w:hint="eastAsia"/>
              </w:rPr>
              <w:t>省人民政府</w:t>
            </w:r>
          </w:p>
        </w:tc>
        <w:tc>
          <w:tcPr>
            <w:tcW w:w="1531" w:type="pct"/>
            <w:vAlign w:val="center"/>
          </w:tcPr>
          <w:p w14:paraId="76195933">
            <w:pPr>
              <w:pStyle w:val="12"/>
              <w:jc w:val="left"/>
            </w:pPr>
            <w:r>
              <w:rPr>
                <w:rFonts w:hint="eastAsia"/>
              </w:rPr>
              <w:t>省水土保持工作先进个人</w:t>
            </w:r>
          </w:p>
        </w:tc>
      </w:tr>
      <w:tr w14:paraId="2121AC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645C9246">
            <w:pPr>
              <w:pStyle w:val="12"/>
              <w:jc w:val="center"/>
            </w:pPr>
            <w:r>
              <w:rPr>
                <w:rFonts w:hint="eastAsia"/>
              </w:rPr>
              <w:t>林发煌</w:t>
            </w:r>
          </w:p>
        </w:tc>
        <w:tc>
          <w:tcPr>
            <w:tcW w:w="996" w:type="pct"/>
            <w:vAlign w:val="center"/>
          </w:tcPr>
          <w:p w14:paraId="28BD6DB2">
            <w:pPr>
              <w:pStyle w:val="12"/>
              <w:jc w:val="center"/>
            </w:pPr>
            <w:r>
              <w:rPr>
                <w:rFonts w:hint="eastAsia"/>
              </w:rPr>
              <w:t>古市镇政府</w:t>
            </w:r>
          </w:p>
        </w:tc>
        <w:tc>
          <w:tcPr>
            <w:tcW w:w="925" w:type="pct"/>
            <w:vAlign w:val="center"/>
          </w:tcPr>
          <w:p w14:paraId="05B18C73">
            <w:pPr>
              <w:pStyle w:val="12"/>
              <w:jc w:val="center"/>
            </w:pPr>
            <w:r>
              <w:rPr>
                <w:rFonts w:hint="eastAsia"/>
              </w:rPr>
              <w:t>1995年12月</w:t>
            </w:r>
          </w:p>
        </w:tc>
        <w:tc>
          <w:tcPr>
            <w:tcW w:w="925" w:type="pct"/>
            <w:vAlign w:val="center"/>
          </w:tcPr>
          <w:p w14:paraId="2497666C">
            <w:pPr>
              <w:pStyle w:val="12"/>
              <w:jc w:val="center"/>
            </w:pPr>
            <w:r>
              <w:rPr>
                <w:rFonts w:hint="eastAsia"/>
              </w:rPr>
              <w:t>省人民政府</w:t>
            </w:r>
          </w:p>
        </w:tc>
        <w:tc>
          <w:tcPr>
            <w:tcW w:w="1531" w:type="pct"/>
            <w:vAlign w:val="center"/>
          </w:tcPr>
          <w:p w14:paraId="0D8256F0">
            <w:pPr>
              <w:pStyle w:val="12"/>
              <w:jc w:val="left"/>
            </w:pPr>
            <w:r>
              <w:rPr>
                <w:rFonts w:hint="eastAsia"/>
              </w:rPr>
              <w:t>省水土保持工作先进个人</w:t>
            </w:r>
          </w:p>
        </w:tc>
      </w:tr>
      <w:tr w14:paraId="1AD1DB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789CD7D4">
            <w:pPr>
              <w:pStyle w:val="12"/>
              <w:jc w:val="center"/>
            </w:pPr>
            <w:r>
              <w:rPr>
                <w:rFonts w:hint="eastAsia"/>
              </w:rPr>
              <w:t>周群善</w:t>
            </w:r>
          </w:p>
        </w:tc>
        <w:tc>
          <w:tcPr>
            <w:tcW w:w="996" w:type="pct"/>
            <w:vAlign w:val="center"/>
          </w:tcPr>
          <w:p w14:paraId="1DE07627">
            <w:pPr>
              <w:pStyle w:val="12"/>
              <w:jc w:val="center"/>
            </w:pPr>
            <w:r>
              <w:rPr>
                <w:rFonts w:hint="eastAsia"/>
              </w:rPr>
              <w:t>黄坑镇政府</w:t>
            </w:r>
          </w:p>
        </w:tc>
        <w:tc>
          <w:tcPr>
            <w:tcW w:w="925" w:type="pct"/>
            <w:vAlign w:val="center"/>
          </w:tcPr>
          <w:p w14:paraId="28F7A2EF">
            <w:pPr>
              <w:pStyle w:val="12"/>
              <w:jc w:val="center"/>
            </w:pPr>
            <w:r>
              <w:rPr>
                <w:rFonts w:hint="eastAsia"/>
              </w:rPr>
              <w:t>1995年12月</w:t>
            </w:r>
          </w:p>
        </w:tc>
        <w:tc>
          <w:tcPr>
            <w:tcW w:w="925" w:type="pct"/>
            <w:vAlign w:val="center"/>
          </w:tcPr>
          <w:p w14:paraId="336A7C47">
            <w:pPr>
              <w:pStyle w:val="12"/>
              <w:jc w:val="center"/>
            </w:pPr>
            <w:r>
              <w:rPr>
                <w:rFonts w:hint="eastAsia"/>
              </w:rPr>
              <w:t>省人民政府</w:t>
            </w:r>
          </w:p>
        </w:tc>
        <w:tc>
          <w:tcPr>
            <w:tcW w:w="1531" w:type="pct"/>
            <w:vAlign w:val="center"/>
          </w:tcPr>
          <w:p w14:paraId="09EB7AC5">
            <w:pPr>
              <w:pStyle w:val="12"/>
              <w:jc w:val="left"/>
            </w:pPr>
            <w:r>
              <w:rPr>
                <w:rFonts w:hint="eastAsia"/>
              </w:rPr>
              <w:t>省水土保持工作先进个人</w:t>
            </w:r>
          </w:p>
        </w:tc>
      </w:tr>
      <w:tr w14:paraId="4F6F2B0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35561FAE">
            <w:pPr>
              <w:pStyle w:val="12"/>
              <w:jc w:val="center"/>
            </w:pPr>
            <w:r>
              <w:rPr>
                <w:rFonts w:hint="eastAsia"/>
              </w:rPr>
              <w:t>黄振荣</w:t>
            </w:r>
          </w:p>
        </w:tc>
        <w:tc>
          <w:tcPr>
            <w:tcW w:w="996" w:type="pct"/>
            <w:vAlign w:val="center"/>
          </w:tcPr>
          <w:p w14:paraId="7FD20FEA">
            <w:pPr>
              <w:pStyle w:val="12"/>
              <w:jc w:val="center"/>
            </w:pPr>
            <w:r>
              <w:rPr>
                <w:rFonts w:hint="eastAsia"/>
              </w:rPr>
              <w:t>乌迳镇政府</w:t>
            </w:r>
          </w:p>
        </w:tc>
        <w:tc>
          <w:tcPr>
            <w:tcW w:w="925" w:type="pct"/>
            <w:vAlign w:val="center"/>
          </w:tcPr>
          <w:p w14:paraId="25DE07B9">
            <w:pPr>
              <w:pStyle w:val="12"/>
              <w:jc w:val="center"/>
            </w:pPr>
            <w:r>
              <w:rPr>
                <w:rFonts w:hint="eastAsia"/>
              </w:rPr>
              <w:t>1995年12月</w:t>
            </w:r>
          </w:p>
        </w:tc>
        <w:tc>
          <w:tcPr>
            <w:tcW w:w="925" w:type="pct"/>
            <w:vAlign w:val="center"/>
          </w:tcPr>
          <w:p w14:paraId="54B77D22">
            <w:pPr>
              <w:pStyle w:val="12"/>
              <w:jc w:val="center"/>
            </w:pPr>
            <w:r>
              <w:rPr>
                <w:rFonts w:hint="eastAsia"/>
              </w:rPr>
              <w:t>省人民政府</w:t>
            </w:r>
          </w:p>
        </w:tc>
        <w:tc>
          <w:tcPr>
            <w:tcW w:w="1531" w:type="pct"/>
            <w:vAlign w:val="center"/>
          </w:tcPr>
          <w:p w14:paraId="53C8F31F">
            <w:pPr>
              <w:pStyle w:val="12"/>
              <w:jc w:val="left"/>
            </w:pPr>
            <w:r>
              <w:rPr>
                <w:rFonts w:hint="eastAsia"/>
              </w:rPr>
              <w:t>省水土保持工作先进个人</w:t>
            </w:r>
          </w:p>
        </w:tc>
      </w:tr>
      <w:tr w14:paraId="5DF500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0C1AE24A">
            <w:pPr>
              <w:pStyle w:val="12"/>
              <w:jc w:val="center"/>
            </w:pPr>
            <w:r>
              <w:rPr>
                <w:rFonts w:hint="eastAsia"/>
              </w:rPr>
              <w:t>谢云芳</w:t>
            </w:r>
          </w:p>
        </w:tc>
        <w:tc>
          <w:tcPr>
            <w:tcW w:w="996" w:type="pct"/>
            <w:vAlign w:val="center"/>
          </w:tcPr>
          <w:p w14:paraId="21188DB9">
            <w:pPr>
              <w:pStyle w:val="12"/>
              <w:jc w:val="center"/>
            </w:pPr>
            <w:r>
              <w:rPr>
                <w:rFonts w:hint="eastAsia"/>
              </w:rPr>
              <w:t>县水保办</w:t>
            </w:r>
          </w:p>
        </w:tc>
        <w:tc>
          <w:tcPr>
            <w:tcW w:w="925" w:type="pct"/>
            <w:vAlign w:val="center"/>
          </w:tcPr>
          <w:p w14:paraId="75CA016D">
            <w:pPr>
              <w:pStyle w:val="12"/>
              <w:jc w:val="center"/>
            </w:pPr>
            <w:r>
              <w:rPr>
                <w:rFonts w:hint="eastAsia"/>
              </w:rPr>
              <w:t>1995年12月</w:t>
            </w:r>
          </w:p>
        </w:tc>
        <w:tc>
          <w:tcPr>
            <w:tcW w:w="925" w:type="pct"/>
            <w:vAlign w:val="center"/>
          </w:tcPr>
          <w:p w14:paraId="3238B80E">
            <w:pPr>
              <w:pStyle w:val="12"/>
              <w:jc w:val="center"/>
            </w:pPr>
            <w:r>
              <w:rPr>
                <w:rFonts w:hint="eastAsia"/>
              </w:rPr>
              <w:t>省人民政府</w:t>
            </w:r>
          </w:p>
        </w:tc>
        <w:tc>
          <w:tcPr>
            <w:tcW w:w="1531" w:type="pct"/>
            <w:vAlign w:val="center"/>
          </w:tcPr>
          <w:p w14:paraId="3C6A945E">
            <w:pPr>
              <w:pStyle w:val="12"/>
              <w:jc w:val="left"/>
            </w:pPr>
            <w:r>
              <w:rPr>
                <w:rFonts w:hint="eastAsia"/>
              </w:rPr>
              <w:t>省水土保持工作先进个人</w:t>
            </w:r>
          </w:p>
        </w:tc>
      </w:tr>
      <w:tr w14:paraId="63DD06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5DC134DF">
            <w:pPr>
              <w:pStyle w:val="12"/>
              <w:jc w:val="center"/>
            </w:pPr>
            <w:r>
              <w:rPr>
                <w:rFonts w:hint="eastAsia"/>
              </w:rPr>
              <w:t>王青西</w:t>
            </w:r>
          </w:p>
        </w:tc>
        <w:tc>
          <w:tcPr>
            <w:tcW w:w="996" w:type="pct"/>
            <w:vAlign w:val="center"/>
          </w:tcPr>
          <w:p w14:paraId="7B62EC45">
            <w:pPr>
              <w:pStyle w:val="12"/>
              <w:jc w:val="center"/>
            </w:pPr>
            <w:r>
              <w:rPr>
                <w:rFonts w:hint="eastAsia"/>
              </w:rPr>
              <w:t>县农委</w:t>
            </w:r>
          </w:p>
        </w:tc>
        <w:tc>
          <w:tcPr>
            <w:tcW w:w="925" w:type="pct"/>
            <w:vAlign w:val="center"/>
          </w:tcPr>
          <w:p w14:paraId="437AEDBB">
            <w:pPr>
              <w:pStyle w:val="12"/>
              <w:jc w:val="center"/>
            </w:pPr>
            <w:r>
              <w:rPr>
                <w:rFonts w:hint="eastAsia"/>
              </w:rPr>
              <w:t>1995年12月</w:t>
            </w:r>
          </w:p>
        </w:tc>
        <w:tc>
          <w:tcPr>
            <w:tcW w:w="925" w:type="pct"/>
            <w:vAlign w:val="center"/>
          </w:tcPr>
          <w:p w14:paraId="18B89BFC">
            <w:pPr>
              <w:pStyle w:val="12"/>
              <w:jc w:val="center"/>
            </w:pPr>
            <w:r>
              <w:rPr>
                <w:rFonts w:hint="eastAsia"/>
              </w:rPr>
              <w:t>省人民政府</w:t>
            </w:r>
          </w:p>
        </w:tc>
        <w:tc>
          <w:tcPr>
            <w:tcW w:w="1531" w:type="pct"/>
            <w:vAlign w:val="center"/>
          </w:tcPr>
          <w:p w14:paraId="2486D5F2">
            <w:pPr>
              <w:pStyle w:val="12"/>
              <w:jc w:val="left"/>
            </w:pPr>
            <w:r>
              <w:rPr>
                <w:rFonts w:hint="eastAsia"/>
              </w:rPr>
              <w:t>省水土保持工作先进个人</w:t>
            </w:r>
          </w:p>
        </w:tc>
      </w:tr>
      <w:tr w14:paraId="00EA09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4C7A498A">
            <w:pPr>
              <w:pStyle w:val="12"/>
              <w:jc w:val="center"/>
            </w:pPr>
            <w:r>
              <w:rPr>
                <w:rFonts w:hint="eastAsia"/>
              </w:rPr>
              <w:t>刘伟炘</w:t>
            </w:r>
          </w:p>
        </w:tc>
        <w:tc>
          <w:tcPr>
            <w:tcW w:w="996" w:type="pct"/>
            <w:vAlign w:val="center"/>
          </w:tcPr>
          <w:p w14:paraId="6F564B60">
            <w:pPr>
              <w:pStyle w:val="12"/>
              <w:jc w:val="center"/>
            </w:pPr>
            <w:r>
              <w:rPr>
                <w:rFonts w:hint="eastAsia"/>
              </w:rPr>
              <w:t>县水电局</w:t>
            </w:r>
          </w:p>
        </w:tc>
        <w:tc>
          <w:tcPr>
            <w:tcW w:w="925" w:type="pct"/>
            <w:vAlign w:val="center"/>
          </w:tcPr>
          <w:p w14:paraId="23573EF1">
            <w:pPr>
              <w:pStyle w:val="12"/>
              <w:jc w:val="center"/>
            </w:pPr>
            <w:r>
              <w:rPr>
                <w:rFonts w:hint="eastAsia"/>
              </w:rPr>
              <w:t>1995年12月</w:t>
            </w:r>
          </w:p>
        </w:tc>
        <w:tc>
          <w:tcPr>
            <w:tcW w:w="925" w:type="pct"/>
            <w:vAlign w:val="center"/>
          </w:tcPr>
          <w:p w14:paraId="2EEC7779">
            <w:pPr>
              <w:pStyle w:val="12"/>
              <w:jc w:val="center"/>
            </w:pPr>
            <w:r>
              <w:rPr>
                <w:rFonts w:hint="eastAsia"/>
              </w:rPr>
              <w:t>省人民政府</w:t>
            </w:r>
          </w:p>
        </w:tc>
        <w:tc>
          <w:tcPr>
            <w:tcW w:w="1531" w:type="pct"/>
            <w:vAlign w:val="center"/>
          </w:tcPr>
          <w:p w14:paraId="160250F4">
            <w:pPr>
              <w:pStyle w:val="12"/>
              <w:jc w:val="left"/>
            </w:pPr>
            <w:r>
              <w:rPr>
                <w:rFonts w:hint="eastAsia"/>
              </w:rPr>
              <w:t>省水土保持工作先进个人</w:t>
            </w:r>
          </w:p>
        </w:tc>
      </w:tr>
      <w:tr w14:paraId="5D9145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460809AB">
            <w:pPr>
              <w:pStyle w:val="12"/>
              <w:jc w:val="center"/>
            </w:pPr>
            <w:r>
              <w:rPr>
                <w:rFonts w:hint="eastAsia"/>
              </w:rPr>
              <w:t>尹德雄</w:t>
            </w:r>
          </w:p>
        </w:tc>
        <w:tc>
          <w:tcPr>
            <w:tcW w:w="996" w:type="pct"/>
            <w:vAlign w:val="center"/>
          </w:tcPr>
          <w:p w14:paraId="10B35C60">
            <w:pPr>
              <w:pStyle w:val="12"/>
              <w:jc w:val="center"/>
            </w:pPr>
            <w:r>
              <w:rPr>
                <w:rFonts w:hint="eastAsia"/>
              </w:rPr>
              <w:t>县黄坑水保站</w:t>
            </w:r>
          </w:p>
        </w:tc>
        <w:tc>
          <w:tcPr>
            <w:tcW w:w="925" w:type="pct"/>
            <w:vAlign w:val="center"/>
          </w:tcPr>
          <w:p w14:paraId="22F4FF23">
            <w:pPr>
              <w:pStyle w:val="12"/>
              <w:jc w:val="center"/>
            </w:pPr>
            <w:r>
              <w:rPr>
                <w:rFonts w:hint="eastAsia"/>
              </w:rPr>
              <w:t>1995年12月</w:t>
            </w:r>
          </w:p>
        </w:tc>
        <w:tc>
          <w:tcPr>
            <w:tcW w:w="925" w:type="pct"/>
            <w:vAlign w:val="center"/>
          </w:tcPr>
          <w:p w14:paraId="37485967">
            <w:pPr>
              <w:pStyle w:val="12"/>
              <w:jc w:val="center"/>
            </w:pPr>
            <w:r>
              <w:rPr>
                <w:rFonts w:hint="eastAsia"/>
              </w:rPr>
              <w:t>省人民政府</w:t>
            </w:r>
          </w:p>
        </w:tc>
        <w:tc>
          <w:tcPr>
            <w:tcW w:w="1531" w:type="pct"/>
            <w:vAlign w:val="center"/>
          </w:tcPr>
          <w:p w14:paraId="18586E65">
            <w:pPr>
              <w:pStyle w:val="12"/>
              <w:jc w:val="left"/>
            </w:pPr>
            <w:r>
              <w:rPr>
                <w:rFonts w:hint="eastAsia"/>
              </w:rPr>
              <w:t>省水土保持工作先进个人</w:t>
            </w:r>
          </w:p>
        </w:tc>
      </w:tr>
      <w:tr w14:paraId="72D443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54DA5D01">
            <w:pPr>
              <w:pStyle w:val="12"/>
              <w:jc w:val="center"/>
            </w:pPr>
            <w:r>
              <w:rPr>
                <w:rFonts w:hint="eastAsia"/>
              </w:rPr>
              <w:t>霍炳衡</w:t>
            </w:r>
          </w:p>
        </w:tc>
        <w:tc>
          <w:tcPr>
            <w:tcW w:w="996" w:type="pct"/>
            <w:vAlign w:val="center"/>
          </w:tcPr>
          <w:p w14:paraId="7BBF3CDA">
            <w:pPr>
              <w:pStyle w:val="12"/>
              <w:jc w:val="center"/>
            </w:pPr>
            <w:r>
              <w:rPr>
                <w:rFonts w:hint="eastAsia"/>
              </w:rPr>
              <w:t>县太和水保站</w:t>
            </w:r>
          </w:p>
        </w:tc>
        <w:tc>
          <w:tcPr>
            <w:tcW w:w="925" w:type="pct"/>
            <w:vAlign w:val="center"/>
          </w:tcPr>
          <w:p w14:paraId="6FD69822">
            <w:pPr>
              <w:pStyle w:val="12"/>
              <w:jc w:val="center"/>
            </w:pPr>
            <w:r>
              <w:rPr>
                <w:rFonts w:hint="eastAsia"/>
              </w:rPr>
              <w:t>1995年12月</w:t>
            </w:r>
          </w:p>
        </w:tc>
        <w:tc>
          <w:tcPr>
            <w:tcW w:w="925" w:type="pct"/>
            <w:vAlign w:val="center"/>
          </w:tcPr>
          <w:p w14:paraId="3D897C63">
            <w:pPr>
              <w:pStyle w:val="12"/>
              <w:jc w:val="center"/>
            </w:pPr>
            <w:r>
              <w:rPr>
                <w:rFonts w:hint="eastAsia"/>
              </w:rPr>
              <w:t>省人民政府</w:t>
            </w:r>
          </w:p>
        </w:tc>
        <w:tc>
          <w:tcPr>
            <w:tcW w:w="1531" w:type="pct"/>
            <w:vAlign w:val="center"/>
          </w:tcPr>
          <w:p w14:paraId="60FBEBF9">
            <w:pPr>
              <w:pStyle w:val="12"/>
              <w:jc w:val="left"/>
            </w:pPr>
            <w:r>
              <w:rPr>
                <w:rFonts w:hint="eastAsia"/>
              </w:rPr>
              <w:t>省水土保持工作先进个人</w:t>
            </w:r>
          </w:p>
        </w:tc>
      </w:tr>
      <w:tr w14:paraId="07188B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7BE64043">
            <w:pPr>
              <w:pStyle w:val="12"/>
              <w:jc w:val="center"/>
            </w:pPr>
            <w:r>
              <w:rPr>
                <w:rFonts w:hint="eastAsia"/>
              </w:rPr>
              <w:t>何腾荣</w:t>
            </w:r>
          </w:p>
        </w:tc>
        <w:tc>
          <w:tcPr>
            <w:tcW w:w="996" w:type="pct"/>
            <w:vAlign w:val="center"/>
          </w:tcPr>
          <w:p w14:paraId="472A3A5F">
            <w:pPr>
              <w:pStyle w:val="12"/>
              <w:jc w:val="center"/>
            </w:pPr>
            <w:r>
              <w:rPr>
                <w:rFonts w:hint="eastAsia"/>
              </w:rPr>
              <w:t>珠玑镇政府</w:t>
            </w:r>
          </w:p>
        </w:tc>
        <w:tc>
          <w:tcPr>
            <w:tcW w:w="925" w:type="pct"/>
            <w:vAlign w:val="center"/>
          </w:tcPr>
          <w:p w14:paraId="58B064CA">
            <w:pPr>
              <w:pStyle w:val="12"/>
              <w:jc w:val="center"/>
            </w:pPr>
            <w:r>
              <w:rPr>
                <w:rFonts w:hint="eastAsia"/>
              </w:rPr>
              <w:t>1995年12月</w:t>
            </w:r>
          </w:p>
        </w:tc>
        <w:tc>
          <w:tcPr>
            <w:tcW w:w="925" w:type="pct"/>
            <w:vAlign w:val="center"/>
          </w:tcPr>
          <w:p w14:paraId="152D8183">
            <w:pPr>
              <w:pStyle w:val="12"/>
              <w:jc w:val="center"/>
            </w:pPr>
            <w:r>
              <w:rPr>
                <w:rFonts w:hint="eastAsia"/>
              </w:rPr>
              <w:t>省人民政府</w:t>
            </w:r>
          </w:p>
        </w:tc>
        <w:tc>
          <w:tcPr>
            <w:tcW w:w="1531" w:type="pct"/>
            <w:vAlign w:val="center"/>
          </w:tcPr>
          <w:p w14:paraId="60E4CEF0">
            <w:pPr>
              <w:pStyle w:val="12"/>
              <w:jc w:val="left"/>
            </w:pPr>
            <w:r>
              <w:rPr>
                <w:rFonts w:hint="eastAsia"/>
              </w:rPr>
              <w:t>省水土保持工作先进个人</w:t>
            </w:r>
          </w:p>
        </w:tc>
      </w:tr>
      <w:tr w14:paraId="4A6758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1E354A37">
            <w:pPr>
              <w:pStyle w:val="12"/>
              <w:jc w:val="center"/>
            </w:pPr>
            <w:r>
              <w:rPr>
                <w:rFonts w:hint="eastAsia"/>
              </w:rPr>
              <w:t>肖梅山</w:t>
            </w:r>
          </w:p>
        </w:tc>
        <w:tc>
          <w:tcPr>
            <w:tcW w:w="996" w:type="pct"/>
            <w:vAlign w:val="center"/>
          </w:tcPr>
          <w:p w14:paraId="1DE7472C">
            <w:pPr>
              <w:pStyle w:val="12"/>
              <w:jc w:val="center"/>
            </w:pPr>
            <w:r>
              <w:rPr>
                <w:rFonts w:hint="eastAsia"/>
              </w:rPr>
              <w:t>黎口镇政府</w:t>
            </w:r>
          </w:p>
        </w:tc>
        <w:tc>
          <w:tcPr>
            <w:tcW w:w="925" w:type="pct"/>
            <w:vAlign w:val="center"/>
          </w:tcPr>
          <w:p w14:paraId="63149FCC">
            <w:pPr>
              <w:pStyle w:val="12"/>
              <w:jc w:val="center"/>
            </w:pPr>
            <w:r>
              <w:rPr>
                <w:rFonts w:hint="eastAsia"/>
              </w:rPr>
              <w:t>1995年12月</w:t>
            </w:r>
          </w:p>
        </w:tc>
        <w:tc>
          <w:tcPr>
            <w:tcW w:w="925" w:type="pct"/>
            <w:vAlign w:val="center"/>
          </w:tcPr>
          <w:p w14:paraId="5868CC6B">
            <w:pPr>
              <w:pStyle w:val="12"/>
              <w:jc w:val="center"/>
            </w:pPr>
            <w:r>
              <w:rPr>
                <w:rFonts w:hint="eastAsia"/>
              </w:rPr>
              <w:t>省人民政府</w:t>
            </w:r>
          </w:p>
        </w:tc>
        <w:tc>
          <w:tcPr>
            <w:tcW w:w="1531" w:type="pct"/>
            <w:vAlign w:val="center"/>
          </w:tcPr>
          <w:p w14:paraId="1C857434">
            <w:pPr>
              <w:pStyle w:val="12"/>
              <w:jc w:val="left"/>
            </w:pPr>
            <w:r>
              <w:rPr>
                <w:rFonts w:hint="eastAsia"/>
              </w:rPr>
              <w:t>省水土保持工作先进个人</w:t>
            </w:r>
          </w:p>
        </w:tc>
      </w:tr>
      <w:tr w14:paraId="444ABF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2708C9D3">
            <w:pPr>
              <w:pStyle w:val="12"/>
              <w:jc w:val="center"/>
            </w:pPr>
            <w:r>
              <w:rPr>
                <w:rFonts w:hint="eastAsia"/>
              </w:rPr>
              <w:t>刘文福</w:t>
            </w:r>
          </w:p>
        </w:tc>
        <w:tc>
          <w:tcPr>
            <w:tcW w:w="996" w:type="pct"/>
            <w:vAlign w:val="center"/>
          </w:tcPr>
          <w:p w14:paraId="2D07355F">
            <w:pPr>
              <w:pStyle w:val="12"/>
              <w:jc w:val="center"/>
            </w:pPr>
            <w:r>
              <w:rPr>
                <w:rFonts w:hint="eastAsia"/>
              </w:rPr>
              <w:t>主田镇政府</w:t>
            </w:r>
          </w:p>
        </w:tc>
        <w:tc>
          <w:tcPr>
            <w:tcW w:w="925" w:type="pct"/>
            <w:vAlign w:val="center"/>
          </w:tcPr>
          <w:p w14:paraId="45DC1B5C">
            <w:pPr>
              <w:pStyle w:val="12"/>
              <w:jc w:val="center"/>
            </w:pPr>
            <w:r>
              <w:rPr>
                <w:rFonts w:hint="eastAsia"/>
              </w:rPr>
              <w:t>1995年12月</w:t>
            </w:r>
          </w:p>
        </w:tc>
        <w:tc>
          <w:tcPr>
            <w:tcW w:w="925" w:type="pct"/>
            <w:vAlign w:val="center"/>
          </w:tcPr>
          <w:p w14:paraId="678575AF">
            <w:pPr>
              <w:pStyle w:val="12"/>
              <w:jc w:val="center"/>
            </w:pPr>
            <w:r>
              <w:rPr>
                <w:rFonts w:hint="eastAsia"/>
              </w:rPr>
              <w:t>省人民政府</w:t>
            </w:r>
          </w:p>
        </w:tc>
        <w:tc>
          <w:tcPr>
            <w:tcW w:w="1531" w:type="pct"/>
            <w:vAlign w:val="center"/>
          </w:tcPr>
          <w:p w14:paraId="70B74CE1">
            <w:pPr>
              <w:pStyle w:val="12"/>
              <w:jc w:val="left"/>
            </w:pPr>
            <w:r>
              <w:rPr>
                <w:rFonts w:hint="eastAsia"/>
              </w:rPr>
              <w:t>省水土保持工作先进个人</w:t>
            </w:r>
          </w:p>
        </w:tc>
      </w:tr>
      <w:tr w14:paraId="7B4E2A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642BE947">
            <w:pPr>
              <w:pStyle w:val="12"/>
              <w:jc w:val="center"/>
            </w:pPr>
            <w:r>
              <w:rPr>
                <w:rFonts w:hint="eastAsia"/>
              </w:rPr>
              <w:t>李祥顺</w:t>
            </w:r>
          </w:p>
        </w:tc>
        <w:tc>
          <w:tcPr>
            <w:tcW w:w="996" w:type="pct"/>
            <w:vAlign w:val="center"/>
          </w:tcPr>
          <w:p w14:paraId="53413F0F">
            <w:pPr>
              <w:pStyle w:val="12"/>
              <w:jc w:val="center"/>
            </w:pPr>
            <w:r>
              <w:rPr>
                <w:rFonts w:hint="eastAsia"/>
              </w:rPr>
              <w:t>主田镇</w:t>
            </w:r>
          </w:p>
        </w:tc>
        <w:tc>
          <w:tcPr>
            <w:tcW w:w="925" w:type="pct"/>
            <w:vAlign w:val="center"/>
          </w:tcPr>
          <w:p w14:paraId="49AB36F4">
            <w:pPr>
              <w:pStyle w:val="12"/>
              <w:jc w:val="center"/>
            </w:pPr>
            <w:r>
              <w:rPr>
                <w:rFonts w:hint="eastAsia"/>
              </w:rPr>
              <w:t>1993年</w:t>
            </w:r>
          </w:p>
        </w:tc>
        <w:tc>
          <w:tcPr>
            <w:tcW w:w="925" w:type="pct"/>
            <w:vAlign w:val="center"/>
          </w:tcPr>
          <w:p w14:paraId="14A61277">
            <w:pPr>
              <w:pStyle w:val="12"/>
              <w:jc w:val="center"/>
              <w:rPr>
                <w:rFonts w:ascii="宋体" w:hAnsi="宋体" w:cs="宋体"/>
              </w:rPr>
            </w:pPr>
            <w:r>
              <w:rPr>
                <w:rFonts w:hint="eastAsia"/>
              </w:rPr>
              <w:t>中共广东省委</w:t>
            </w:r>
          </w:p>
          <w:p w14:paraId="17AA590C">
            <w:pPr>
              <w:pStyle w:val="12"/>
              <w:jc w:val="center"/>
            </w:pPr>
            <w:r>
              <w:rPr>
                <w:rFonts w:hint="eastAsia" w:ascii="宋体" w:hAnsi="宋体" w:cs="宋体"/>
              </w:rPr>
              <w:t>广东省人民政府</w:t>
            </w:r>
          </w:p>
        </w:tc>
        <w:tc>
          <w:tcPr>
            <w:tcW w:w="1531" w:type="pct"/>
            <w:vAlign w:val="center"/>
          </w:tcPr>
          <w:p w14:paraId="647D1638">
            <w:pPr>
              <w:pStyle w:val="12"/>
              <w:jc w:val="left"/>
            </w:pPr>
            <w:r>
              <w:rPr>
                <w:rFonts w:hint="eastAsia"/>
              </w:rPr>
              <w:t>文明标兵户</w:t>
            </w:r>
          </w:p>
        </w:tc>
      </w:tr>
      <w:tr w14:paraId="5B2B76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1CE06525">
            <w:pPr>
              <w:pStyle w:val="12"/>
              <w:jc w:val="center"/>
            </w:pPr>
            <w:r>
              <w:rPr>
                <w:rFonts w:hint="eastAsia"/>
              </w:rPr>
              <w:t>谭章明</w:t>
            </w:r>
          </w:p>
        </w:tc>
        <w:tc>
          <w:tcPr>
            <w:tcW w:w="996" w:type="pct"/>
            <w:vAlign w:val="center"/>
          </w:tcPr>
          <w:p w14:paraId="4AE2D5D6">
            <w:pPr>
              <w:pStyle w:val="12"/>
              <w:jc w:val="center"/>
            </w:pPr>
            <w:r>
              <w:rPr>
                <w:rFonts w:hint="eastAsia"/>
              </w:rPr>
              <w:t>雄州镇政府</w:t>
            </w:r>
          </w:p>
        </w:tc>
        <w:tc>
          <w:tcPr>
            <w:tcW w:w="925" w:type="pct"/>
            <w:vAlign w:val="center"/>
          </w:tcPr>
          <w:p w14:paraId="67C42DFE">
            <w:pPr>
              <w:pStyle w:val="12"/>
              <w:jc w:val="center"/>
            </w:pPr>
            <w:r>
              <w:rPr>
                <w:rFonts w:hint="eastAsia"/>
              </w:rPr>
              <w:t>1995年</w:t>
            </w:r>
          </w:p>
        </w:tc>
        <w:tc>
          <w:tcPr>
            <w:tcW w:w="925" w:type="pct"/>
            <w:vAlign w:val="center"/>
          </w:tcPr>
          <w:p w14:paraId="0E991422">
            <w:pPr>
              <w:pStyle w:val="12"/>
              <w:jc w:val="center"/>
              <w:rPr>
                <w:rFonts w:ascii="宋体" w:hAnsi="宋体" w:cs="宋体"/>
              </w:rPr>
            </w:pPr>
            <w:r>
              <w:rPr>
                <w:rFonts w:hint="eastAsia"/>
              </w:rPr>
              <w:t>中共广东省委</w:t>
            </w:r>
          </w:p>
          <w:p w14:paraId="6F4E455C">
            <w:pPr>
              <w:pStyle w:val="12"/>
              <w:jc w:val="center"/>
            </w:pPr>
            <w:r>
              <w:rPr>
                <w:rFonts w:hint="eastAsia" w:ascii="宋体" w:hAnsi="宋体" w:cs="宋体"/>
              </w:rPr>
              <w:t>广东省人民政府</w:t>
            </w:r>
          </w:p>
        </w:tc>
        <w:tc>
          <w:tcPr>
            <w:tcW w:w="1531" w:type="pct"/>
            <w:vAlign w:val="center"/>
          </w:tcPr>
          <w:p w14:paraId="29AC5A47">
            <w:pPr>
              <w:pStyle w:val="12"/>
              <w:jc w:val="left"/>
            </w:pPr>
            <w:r>
              <w:rPr>
                <w:rFonts w:hint="eastAsia"/>
              </w:rPr>
              <w:t>创建文明单位积极分子</w:t>
            </w:r>
          </w:p>
        </w:tc>
      </w:tr>
      <w:tr w14:paraId="1801A6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48D50BA3">
            <w:pPr>
              <w:pStyle w:val="12"/>
              <w:jc w:val="center"/>
            </w:pPr>
            <w:r>
              <w:rPr>
                <w:rFonts w:hint="eastAsia"/>
              </w:rPr>
              <w:t>何腾荣</w:t>
            </w:r>
          </w:p>
        </w:tc>
        <w:tc>
          <w:tcPr>
            <w:tcW w:w="996" w:type="pct"/>
            <w:vAlign w:val="center"/>
          </w:tcPr>
          <w:p w14:paraId="288D1703">
            <w:pPr>
              <w:pStyle w:val="12"/>
              <w:jc w:val="center"/>
            </w:pPr>
            <w:r>
              <w:rPr>
                <w:rFonts w:hint="eastAsia"/>
              </w:rPr>
              <w:t>珠玑镇政府</w:t>
            </w:r>
          </w:p>
        </w:tc>
        <w:tc>
          <w:tcPr>
            <w:tcW w:w="925" w:type="pct"/>
            <w:vAlign w:val="center"/>
          </w:tcPr>
          <w:p w14:paraId="02E1D70A">
            <w:pPr>
              <w:pStyle w:val="12"/>
              <w:jc w:val="center"/>
            </w:pPr>
            <w:r>
              <w:rPr>
                <w:rFonts w:hint="eastAsia"/>
              </w:rPr>
              <w:t>1997年</w:t>
            </w:r>
          </w:p>
        </w:tc>
        <w:tc>
          <w:tcPr>
            <w:tcW w:w="925" w:type="pct"/>
            <w:vAlign w:val="center"/>
          </w:tcPr>
          <w:p w14:paraId="02C2BAA8">
            <w:pPr>
              <w:pStyle w:val="12"/>
              <w:jc w:val="center"/>
              <w:rPr>
                <w:rFonts w:ascii="宋体" w:hAnsi="宋体" w:cs="宋体"/>
              </w:rPr>
            </w:pPr>
            <w:r>
              <w:rPr>
                <w:rFonts w:hint="eastAsia"/>
              </w:rPr>
              <w:t>中共广东省委</w:t>
            </w:r>
          </w:p>
          <w:p w14:paraId="637F52E3">
            <w:pPr>
              <w:pStyle w:val="12"/>
              <w:jc w:val="center"/>
            </w:pPr>
            <w:r>
              <w:rPr>
                <w:rFonts w:hint="eastAsia" w:ascii="宋体" w:hAnsi="宋体" w:cs="宋体"/>
              </w:rPr>
              <w:t>广东省人民政府</w:t>
            </w:r>
          </w:p>
        </w:tc>
        <w:tc>
          <w:tcPr>
            <w:tcW w:w="1531" w:type="pct"/>
            <w:vAlign w:val="center"/>
          </w:tcPr>
          <w:p w14:paraId="1B94102E">
            <w:pPr>
              <w:pStyle w:val="12"/>
              <w:jc w:val="left"/>
            </w:pPr>
            <w:r>
              <w:rPr>
                <w:rFonts w:hint="eastAsia"/>
              </w:rPr>
              <w:t>创建文明单位积极分子</w:t>
            </w:r>
          </w:p>
        </w:tc>
      </w:tr>
      <w:tr w14:paraId="7D75E7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7451F5A8">
            <w:pPr>
              <w:pStyle w:val="12"/>
              <w:jc w:val="center"/>
            </w:pPr>
            <w:r>
              <w:rPr>
                <w:rFonts w:hint="eastAsia"/>
              </w:rPr>
              <w:t>杨会英</w:t>
            </w:r>
          </w:p>
        </w:tc>
        <w:tc>
          <w:tcPr>
            <w:tcW w:w="996" w:type="pct"/>
            <w:vAlign w:val="center"/>
          </w:tcPr>
          <w:p w14:paraId="61BFB9BD">
            <w:pPr>
              <w:pStyle w:val="12"/>
              <w:jc w:val="center"/>
            </w:pPr>
            <w:r>
              <w:rPr>
                <w:rFonts w:hint="eastAsia"/>
              </w:rPr>
              <w:t>梅岭镇政府</w:t>
            </w:r>
          </w:p>
        </w:tc>
        <w:tc>
          <w:tcPr>
            <w:tcW w:w="925" w:type="pct"/>
            <w:vAlign w:val="center"/>
          </w:tcPr>
          <w:p w14:paraId="4DD59C6E">
            <w:pPr>
              <w:pStyle w:val="12"/>
              <w:jc w:val="center"/>
            </w:pPr>
            <w:r>
              <w:rPr>
                <w:rFonts w:hint="eastAsia"/>
              </w:rPr>
              <w:t>1997年</w:t>
            </w:r>
          </w:p>
        </w:tc>
        <w:tc>
          <w:tcPr>
            <w:tcW w:w="925" w:type="pct"/>
            <w:vAlign w:val="center"/>
          </w:tcPr>
          <w:p w14:paraId="4BFD5E98">
            <w:pPr>
              <w:pStyle w:val="12"/>
              <w:jc w:val="center"/>
            </w:pPr>
            <w:r>
              <w:rPr>
                <w:rFonts w:hint="eastAsia"/>
              </w:rPr>
              <w:t>广东省人民政府</w:t>
            </w:r>
          </w:p>
        </w:tc>
        <w:tc>
          <w:tcPr>
            <w:tcW w:w="1531" w:type="pct"/>
            <w:vAlign w:val="center"/>
          </w:tcPr>
          <w:p w14:paraId="2662C126">
            <w:pPr>
              <w:pStyle w:val="12"/>
              <w:jc w:val="left"/>
            </w:pPr>
            <w:r>
              <w:rPr>
                <w:rFonts w:hint="eastAsia"/>
              </w:rPr>
              <w:t>“两基”工作先进工作者</w:t>
            </w:r>
          </w:p>
        </w:tc>
      </w:tr>
      <w:tr w14:paraId="5110274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70C77205">
            <w:pPr>
              <w:pStyle w:val="12"/>
              <w:jc w:val="center"/>
            </w:pPr>
            <w:r>
              <w:rPr>
                <w:rFonts w:hint="eastAsia"/>
              </w:rPr>
              <w:t>康登生</w:t>
            </w:r>
          </w:p>
        </w:tc>
        <w:tc>
          <w:tcPr>
            <w:tcW w:w="996" w:type="pct"/>
            <w:vAlign w:val="center"/>
          </w:tcPr>
          <w:p w14:paraId="2073E26A">
            <w:pPr>
              <w:pStyle w:val="12"/>
              <w:jc w:val="center"/>
            </w:pPr>
            <w:r>
              <w:rPr>
                <w:rFonts w:hint="eastAsia"/>
              </w:rPr>
              <w:t>南雄中学</w:t>
            </w:r>
          </w:p>
        </w:tc>
        <w:tc>
          <w:tcPr>
            <w:tcW w:w="925" w:type="pct"/>
            <w:vAlign w:val="center"/>
          </w:tcPr>
          <w:p w14:paraId="21687F0B">
            <w:pPr>
              <w:pStyle w:val="12"/>
              <w:jc w:val="center"/>
            </w:pPr>
            <w:r>
              <w:rPr>
                <w:rFonts w:hint="eastAsia"/>
              </w:rPr>
              <w:t>1998年4月</w:t>
            </w:r>
          </w:p>
        </w:tc>
        <w:tc>
          <w:tcPr>
            <w:tcW w:w="925" w:type="pct"/>
            <w:vAlign w:val="center"/>
          </w:tcPr>
          <w:p w14:paraId="6E238194">
            <w:pPr>
              <w:pStyle w:val="12"/>
              <w:jc w:val="center"/>
            </w:pPr>
            <w:r>
              <w:rPr>
                <w:rFonts w:hint="eastAsia"/>
              </w:rPr>
              <w:t>广东省人民政府</w:t>
            </w:r>
          </w:p>
        </w:tc>
        <w:tc>
          <w:tcPr>
            <w:tcW w:w="1531" w:type="pct"/>
            <w:vAlign w:val="center"/>
          </w:tcPr>
          <w:p w14:paraId="172DECE9">
            <w:pPr>
              <w:pStyle w:val="12"/>
              <w:jc w:val="left"/>
            </w:pPr>
            <w:r>
              <w:rPr>
                <w:rFonts w:hint="eastAsia"/>
              </w:rPr>
              <w:t>中学特级教师</w:t>
            </w:r>
          </w:p>
        </w:tc>
      </w:tr>
      <w:tr w14:paraId="4165DCE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5F3EFCFD">
            <w:pPr>
              <w:pStyle w:val="12"/>
              <w:jc w:val="center"/>
            </w:pPr>
            <w:r>
              <w:rPr>
                <w:rFonts w:hint="eastAsia"/>
              </w:rPr>
              <w:t>刘善清</w:t>
            </w:r>
          </w:p>
        </w:tc>
        <w:tc>
          <w:tcPr>
            <w:tcW w:w="996" w:type="pct"/>
            <w:vAlign w:val="center"/>
          </w:tcPr>
          <w:p w14:paraId="6A6FA71C">
            <w:pPr>
              <w:pStyle w:val="12"/>
              <w:jc w:val="center"/>
            </w:pPr>
            <w:r>
              <w:rPr>
                <w:rFonts w:hint="eastAsia"/>
              </w:rPr>
              <w:t>市交通局</w:t>
            </w:r>
          </w:p>
        </w:tc>
        <w:tc>
          <w:tcPr>
            <w:tcW w:w="925" w:type="pct"/>
            <w:vAlign w:val="center"/>
          </w:tcPr>
          <w:p w14:paraId="4DBA9C6F">
            <w:pPr>
              <w:pStyle w:val="12"/>
              <w:jc w:val="center"/>
            </w:pPr>
            <w:r>
              <w:rPr>
                <w:rFonts w:hint="eastAsia"/>
              </w:rPr>
              <w:t>2000年</w:t>
            </w:r>
          </w:p>
        </w:tc>
        <w:tc>
          <w:tcPr>
            <w:tcW w:w="925" w:type="pct"/>
            <w:vAlign w:val="center"/>
          </w:tcPr>
          <w:p w14:paraId="307E4AD4">
            <w:pPr>
              <w:pStyle w:val="12"/>
              <w:jc w:val="center"/>
              <w:rPr>
                <w:rFonts w:ascii="宋体" w:hAnsi="宋体" w:cs="宋体"/>
              </w:rPr>
            </w:pPr>
            <w:r>
              <w:rPr>
                <w:rFonts w:hint="eastAsia"/>
              </w:rPr>
              <w:t>中共广东省委</w:t>
            </w:r>
          </w:p>
          <w:p w14:paraId="2EEFC1C6">
            <w:pPr>
              <w:pStyle w:val="12"/>
              <w:jc w:val="center"/>
            </w:pPr>
            <w:r>
              <w:rPr>
                <w:rFonts w:hint="eastAsia" w:ascii="宋体" w:hAnsi="宋体" w:cs="宋体"/>
              </w:rPr>
              <w:t>广东省人民政府</w:t>
            </w:r>
          </w:p>
        </w:tc>
        <w:tc>
          <w:tcPr>
            <w:tcW w:w="1531" w:type="pct"/>
            <w:vAlign w:val="center"/>
          </w:tcPr>
          <w:p w14:paraId="42AF0838">
            <w:pPr>
              <w:pStyle w:val="12"/>
              <w:jc w:val="left"/>
            </w:pPr>
            <w:r>
              <w:rPr>
                <w:rFonts w:hint="eastAsia"/>
              </w:rPr>
              <w:t>广东省先进工作者</w:t>
            </w:r>
          </w:p>
        </w:tc>
      </w:tr>
      <w:tr w14:paraId="0AFC03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vAlign w:val="center"/>
          </w:tcPr>
          <w:p w14:paraId="20629E5A">
            <w:pPr>
              <w:pStyle w:val="12"/>
              <w:jc w:val="center"/>
            </w:pPr>
            <w:r>
              <w:rPr>
                <w:rFonts w:hint="eastAsia"/>
              </w:rPr>
              <w:t>纪是安</w:t>
            </w:r>
          </w:p>
        </w:tc>
        <w:tc>
          <w:tcPr>
            <w:tcW w:w="996" w:type="pct"/>
            <w:vAlign w:val="center"/>
          </w:tcPr>
          <w:p w14:paraId="4FB0646D">
            <w:pPr>
              <w:pStyle w:val="12"/>
              <w:jc w:val="center"/>
            </w:pPr>
            <w:r>
              <w:rPr>
                <w:rFonts w:hint="eastAsia"/>
              </w:rPr>
              <w:t>澜河镇</w:t>
            </w:r>
          </w:p>
        </w:tc>
        <w:tc>
          <w:tcPr>
            <w:tcW w:w="925" w:type="pct"/>
            <w:vAlign w:val="center"/>
          </w:tcPr>
          <w:p w14:paraId="7608C640">
            <w:pPr>
              <w:pStyle w:val="12"/>
              <w:jc w:val="center"/>
            </w:pPr>
            <w:r>
              <w:rPr>
                <w:rFonts w:hint="eastAsia"/>
              </w:rPr>
              <w:t>2001年</w:t>
            </w:r>
          </w:p>
        </w:tc>
        <w:tc>
          <w:tcPr>
            <w:tcW w:w="925" w:type="pct"/>
            <w:vAlign w:val="center"/>
          </w:tcPr>
          <w:p w14:paraId="2DF82C9A">
            <w:pPr>
              <w:pStyle w:val="12"/>
              <w:jc w:val="center"/>
              <w:rPr>
                <w:rFonts w:ascii="宋体" w:hAnsi="宋体" w:cs="宋体"/>
              </w:rPr>
            </w:pPr>
            <w:r>
              <w:rPr>
                <w:rFonts w:hint="eastAsia"/>
              </w:rPr>
              <w:t>广东省第九届</w:t>
            </w:r>
          </w:p>
          <w:p w14:paraId="556BC632">
            <w:pPr>
              <w:pStyle w:val="12"/>
              <w:jc w:val="center"/>
            </w:pPr>
            <w:r>
              <w:rPr>
                <w:rFonts w:hint="eastAsia" w:ascii="宋体" w:hAnsi="宋体" w:cs="宋体"/>
              </w:rPr>
              <w:t>人民代表大会</w:t>
            </w:r>
          </w:p>
        </w:tc>
        <w:tc>
          <w:tcPr>
            <w:tcW w:w="1531" w:type="pct"/>
            <w:vAlign w:val="center"/>
          </w:tcPr>
          <w:p w14:paraId="28DB47EF">
            <w:pPr>
              <w:pStyle w:val="12"/>
              <w:jc w:val="left"/>
            </w:pPr>
            <w:r>
              <w:rPr>
                <w:rFonts w:hint="eastAsia"/>
              </w:rPr>
              <w:t>人大代表积极分子</w:t>
            </w:r>
          </w:p>
        </w:tc>
      </w:tr>
    </w:tbl>
    <w:p w14:paraId="14124CC6">
      <w:pPr>
        <w:pStyle w:val="4"/>
        <w:rPr>
          <w:rFonts w:ascii="宋体" w:hAnsi="宋体" w:cs="宋体"/>
        </w:rPr>
      </w:pPr>
      <w:r>
        <w:rPr>
          <w:rFonts w:hint="eastAsia" w:ascii="宋体" w:hAnsi="宋体" w:cs="宋体"/>
        </w:rPr>
        <w:t>第五节  高级科技人员名录</w:t>
      </w:r>
    </w:p>
    <w:p w14:paraId="17E10B8E">
      <w:pPr>
        <w:pStyle w:val="5"/>
        <w:rPr>
          <w:rFonts w:ascii="宋体" w:hAnsi="宋体" w:cs="宋体"/>
        </w:rPr>
      </w:pPr>
      <w:r>
        <w:rPr>
          <w:rFonts w:hint="eastAsia" w:ascii="宋体" w:hAnsi="宋体" w:cs="宋体"/>
        </w:rPr>
        <w:t>一、1991年6月版《南雄县志》录入69名：</w:t>
      </w:r>
    </w:p>
    <w:p w14:paraId="253098D9">
      <w:pPr>
        <w:ind w:firstLine="422"/>
        <w:rPr>
          <w:rFonts w:ascii="宋体" w:hAnsi="宋体" w:cs="宋体"/>
          <w:b/>
          <w:bCs/>
          <w:szCs w:val="21"/>
        </w:rPr>
      </w:pPr>
      <w:r>
        <w:rPr>
          <w:rFonts w:hint="eastAsia" w:ascii="宋体" w:hAnsi="宋体" w:cs="宋体"/>
          <w:b/>
          <w:bCs/>
          <w:szCs w:val="21"/>
        </w:rPr>
        <w:t>教育系统中学高级教师45名：</w:t>
      </w:r>
    </w:p>
    <w:p w14:paraId="1F54EA22">
      <w:pPr>
        <w:ind w:firstLine="422"/>
        <w:rPr>
          <w:rFonts w:ascii="宋体" w:hAnsi="宋体" w:cs="宋体"/>
          <w:szCs w:val="21"/>
        </w:rPr>
      </w:pPr>
      <w:r>
        <w:rPr>
          <w:rFonts w:hint="eastAsia" w:ascii="宋体" w:hAnsi="宋体" w:cs="宋体"/>
          <w:b/>
          <w:bCs/>
          <w:szCs w:val="21"/>
        </w:rPr>
        <w:t>南雄中学</w:t>
      </w:r>
      <w:r>
        <w:rPr>
          <w:rFonts w:hint="eastAsia" w:ascii="宋体" w:hAnsi="宋体" w:cs="宋体"/>
          <w:szCs w:val="21"/>
        </w:rPr>
        <w:t xml:space="preserve">  李仕仁  陈应彩  陈德华  李云新  曾灵飞  张文渝  吴家麟  郑志枢  张模汉  向重贤</w:t>
      </w:r>
    </w:p>
    <w:p w14:paraId="0F46A22E">
      <w:pPr>
        <w:ind w:firstLine="1470" w:firstLineChars="700"/>
        <w:rPr>
          <w:rFonts w:ascii="宋体" w:hAnsi="宋体" w:cs="宋体"/>
          <w:szCs w:val="21"/>
        </w:rPr>
      </w:pPr>
      <w:r>
        <w:rPr>
          <w:rFonts w:hint="eastAsia" w:ascii="宋体" w:hAnsi="宋体" w:cs="宋体"/>
          <w:szCs w:val="21"/>
        </w:rPr>
        <w:t>晏致礼  邱世棠  莫名高  邓国忠  莫植希  王希佐  吴美玲  江耀庭  邬汉青  许福荣</w:t>
      </w:r>
    </w:p>
    <w:p w14:paraId="440A08AB">
      <w:pPr>
        <w:ind w:firstLine="422"/>
        <w:rPr>
          <w:rFonts w:ascii="宋体" w:hAnsi="宋体" w:cs="宋体"/>
          <w:szCs w:val="21"/>
        </w:rPr>
      </w:pPr>
      <w:r>
        <w:rPr>
          <w:rFonts w:hint="eastAsia" w:ascii="宋体" w:hAnsi="宋体" w:cs="宋体"/>
          <w:b/>
          <w:bCs/>
          <w:szCs w:val="21"/>
        </w:rPr>
        <w:t>县第一中学</w:t>
      </w:r>
      <w:r>
        <w:rPr>
          <w:rFonts w:hint="eastAsia" w:ascii="宋体" w:hAnsi="宋体" w:cs="宋体"/>
          <w:szCs w:val="21"/>
        </w:rPr>
        <w:t xml:space="preserve">  黄裕忠  田荣祥  谢英才  肖昌源  袁文初  吴鸿剑  梁国荣  吴福权  黄凤初</w:t>
      </w:r>
    </w:p>
    <w:p w14:paraId="554AEBFF">
      <w:pPr>
        <w:ind w:firstLine="422"/>
        <w:rPr>
          <w:rFonts w:ascii="宋体" w:hAnsi="宋体" w:cs="宋体"/>
        </w:rPr>
      </w:pPr>
      <w:r>
        <w:rPr>
          <w:rFonts w:hint="eastAsia" w:ascii="宋体" w:hAnsi="宋体" w:cs="宋体"/>
          <w:b/>
          <w:bCs/>
          <w:szCs w:val="21"/>
        </w:rPr>
        <w:t>城镇二中</w:t>
      </w:r>
      <w:r>
        <w:rPr>
          <w:rFonts w:hint="eastAsia" w:ascii="宋体" w:hAnsi="宋体" w:cs="宋体"/>
          <w:szCs w:val="21"/>
        </w:rPr>
        <w:t xml:space="preserve">  邱德高  刁玩</w:t>
      </w:r>
      <w:r>
        <w:rPr>
          <w:rFonts w:hint="eastAsia" w:ascii="宋体" w:hAnsi="宋体" w:cs="宋体"/>
        </w:rPr>
        <w:t>波  杨坤双  阎春祥  宋映玲</w:t>
      </w:r>
    </w:p>
    <w:p w14:paraId="2D39097D">
      <w:pPr>
        <w:ind w:firstLine="422"/>
        <w:rPr>
          <w:rFonts w:ascii="宋体" w:hAnsi="宋体" w:cs="宋体"/>
        </w:rPr>
      </w:pPr>
      <w:r>
        <w:rPr>
          <w:rFonts w:hint="eastAsia" w:ascii="宋体" w:hAnsi="宋体" w:cs="宋体"/>
          <w:b/>
          <w:bCs/>
        </w:rPr>
        <w:t xml:space="preserve">县教师进修学校  </w:t>
      </w:r>
      <w:r>
        <w:rPr>
          <w:rFonts w:hint="eastAsia" w:ascii="宋体" w:hAnsi="宋体" w:cs="宋体"/>
        </w:rPr>
        <w:t>李堂楷（高级讲师）</w:t>
      </w:r>
    </w:p>
    <w:p w14:paraId="0F941CD9">
      <w:pPr>
        <w:ind w:firstLine="422"/>
        <w:rPr>
          <w:rFonts w:ascii="宋体" w:hAnsi="宋体" w:cs="宋体"/>
        </w:rPr>
      </w:pPr>
      <w:r>
        <w:rPr>
          <w:rFonts w:hint="eastAsia" w:ascii="宋体" w:hAnsi="宋体" w:cs="宋体"/>
          <w:b/>
          <w:bCs/>
        </w:rPr>
        <w:t>县教育局教研室</w:t>
      </w:r>
      <w:r>
        <w:rPr>
          <w:rFonts w:hint="eastAsia" w:ascii="宋体" w:hAnsi="宋体" w:cs="宋体"/>
        </w:rPr>
        <w:t xml:space="preserve">  胡志生  查胤嗣</w:t>
      </w:r>
    </w:p>
    <w:p w14:paraId="1A48F548">
      <w:pPr>
        <w:ind w:firstLine="422"/>
        <w:rPr>
          <w:rFonts w:ascii="宋体" w:hAnsi="宋体" w:cs="宋体"/>
        </w:rPr>
      </w:pPr>
      <w:r>
        <w:rPr>
          <w:rFonts w:hint="eastAsia" w:ascii="宋体" w:hAnsi="宋体" w:cs="宋体"/>
          <w:b/>
          <w:bCs/>
        </w:rPr>
        <w:t xml:space="preserve">邓坊中学  </w:t>
      </w:r>
      <w:r>
        <w:rPr>
          <w:rFonts w:hint="eastAsia" w:ascii="宋体" w:hAnsi="宋体" w:cs="宋体"/>
        </w:rPr>
        <w:t>江端金</w:t>
      </w:r>
    </w:p>
    <w:p w14:paraId="0C8EF491">
      <w:pPr>
        <w:ind w:firstLine="422"/>
        <w:rPr>
          <w:rFonts w:ascii="宋体" w:hAnsi="宋体" w:cs="宋体"/>
        </w:rPr>
      </w:pPr>
      <w:r>
        <w:rPr>
          <w:rFonts w:hint="eastAsia" w:ascii="宋体" w:hAnsi="宋体" w:cs="宋体"/>
          <w:b/>
          <w:bCs/>
        </w:rPr>
        <w:t>主田中学</w:t>
      </w:r>
      <w:r>
        <w:rPr>
          <w:rFonts w:hint="eastAsia" w:ascii="宋体" w:hAnsi="宋体" w:cs="宋体"/>
        </w:rPr>
        <w:t xml:space="preserve">  杨鉴堂</w:t>
      </w:r>
    </w:p>
    <w:p w14:paraId="7AEE5BB1">
      <w:pPr>
        <w:ind w:firstLine="422"/>
        <w:rPr>
          <w:rFonts w:ascii="宋体" w:hAnsi="宋体" w:cs="宋体"/>
        </w:rPr>
      </w:pPr>
      <w:r>
        <w:rPr>
          <w:rFonts w:hint="eastAsia" w:ascii="宋体" w:hAnsi="宋体" w:cs="宋体"/>
          <w:b/>
          <w:bCs/>
        </w:rPr>
        <w:t>黄坑中学</w:t>
      </w:r>
      <w:r>
        <w:rPr>
          <w:rFonts w:hint="eastAsia" w:ascii="宋体" w:hAnsi="宋体" w:cs="宋体"/>
        </w:rPr>
        <w:t xml:space="preserve">  谢崇英  刁宏  王集门  黄履英</w:t>
      </w:r>
    </w:p>
    <w:p w14:paraId="7BEC8BC0">
      <w:pPr>
        <w:ind w:firstLine="422"/>
        <w:rPr>
          <w:rFonts w:ascii="宋体" w:hAnsi="宋体" w:cs="宋体"/>
        </w:rPr>
      </w:pPr>
      <w:r>
        <w:rPr>
          <w:rFonts w:hint="eastAsia" w:ascii="宋体" w:hAnsi="宋体" w:cs="宋体"/>
          <w:b/>
          <w:bCs/>
        </w:rPr>
        <w:t>全安中学</w:t>
      </w:r>
      <w:r>
        <w:rPr>
          <w:rFonts w:hint="eastAsia" w:ascii="宋体" w:hAnsi="宋体" w:cs="宋体"/>
        </w:rPr>
        <w:t xml:space="preserve">  陈尚亨  邓文光</w:t>
      </w:r>
    </w:p>
    <w:p w14:paraId="7C090BF1">
      <w:pPr>
        <w:ind w:firstLine="422"/>
        <w:rPr>
          <w:rFonts w:ascii="宋体" w:hAnsi="宋体" w:cs="宋体"/>
          <w:b/>
          <w:bCs/>
        </w:rPr>
      </w:pPr>
      <w:r>
        <w:rPr>
          <w:rFonts w:hint="eastAsia" w:ascii="宋体" w:hAnsi="宋体" w:cs="宋体"/>
          <w:b/>
          <w:bCs/>
        </w:rPr>
        <w:t>卫生系统副主任医师12名：</w:t>
      </w:r>
    </w:p>
    <w:p w14:paraId="248CCA6A">
      <w:pPr>
        <w:ind w:firstLine="422"/>
        <w:rPr>
          <w:rFonts w:ascii="宋体" w:hAnsi="宋体" w:cs="宋体"/>
        </w:rPr>
      </w:pPr>
      <w:r>
        <w:rPr>
          <w:rFonts w:hint="eastAsia" w:ascii="宋体" w:hAnsi="宋体" w:cs="宋体"/>
          <w:b/>
          <w:bCs/>
        </w:rPr>
        <w:t>县人民医院</w:t>
      </w:r>
      <w:r>
        <w:rPr>
          <w:rFonts w:hint="eastAsia" w:ascii="宋体" w:hAnsi="宋体" w:cs="宋体"/>
        </w:rPr>
        <w:t xml:space="preserve">  施清才  黄德焯  王举行  顾宝騄  罗细先  何家瑞</w:t>
      </w:r>
    </w:p>
    <w:p w14:paraId="1B68DA98">
      <w:pPr>
        <w:ind w:firstLine="422"/>
        <w:rPr>
          <w:rFonts w:ascii="宋体" w:hAnsi="宋体" w:cs="宋体"/>
        </w:rPr>
      </w:pPr>
      <w:r>
        <w:rPr>
          <w:rFonts w:hint="eastAsia" w:ascii="宋体" w:hAnsi="宋体" w:cs="宋体"/>
          <w:b/>
          <w:bCs/>
        </w:rPr>
        <w:t xml:space="preserve">县中医院 </w:t>
      </w:r>
      <w:r>
        <w:rPr>
          <w:rFonts w:hint="eastAsia" w:ascii="宋体" w:hAnsi="宋体" w:cs="宋体"/>
        </w:rPr>
        <w:t xml:space="preserve"> 江荣发  蔡定洲  何藻生</w:t>
      </w:r>
    </w:p>
    <w:p w14:paraId="37707FAC">
      <w:pPr>
        <w:ind w:firstLine="422"/>
        <w:rPr>
          <w:rFonts w:ascii="宋体" w:hAnsi="宋体" w:cs="宋体"/>
        </w:rPr>
      </w:pPr>
      <w:r>
        <w:rPr>
          <w:rFonts w:hint="eastAsia" w:ascii="宋体" w:hAnsi="宋体" w:cs="宋体"/>
          <w:b/>
          <w:bCs/>
        </w:rPr>
        <w:t xml:space="preserve">雄州医院 </w:t>
      </w:r>
      <w:r>
        <w:rPr>
          <w:rFonts w:hint="eastAsia" w:ascii="宋体" w:hAnsi="宋体" w:cs="宋体"/>
        </w:rPr>
        <w:t xml:space="preserve"> 吴金霖  余淮春</w:t>
      </w:r>
    </w:p>
    <w:p w14:paraId="7B1C86B2">
      <w:pPr>
        <w:ind w:firstLine="422"/>
        <w:rPr>
          <w:rFonts w:ascii="宋体" w:hAnsi="宋体" w:cs="宋体"/>
        </w:rPr>
      </w:pPr>
      <w:r>
        <w:rPr>
          <w:rFonts w:hint="eastAsia" w:ascii="宋体" w:hAnsi="宋体" w:cs="宋体"/>
          <w:b/>
          <w:bCs/>
        </w:rPr>
        <w:t xml:space="preserve">县防疫站 </w:t>
      </w:r>
      <w:r>
        <w:rPr>
          <w:rFonts w:hint="eastAsia" w:ascii="宋体" w:hAnsi="宋体" w:cs="宋体"/>
        </w:rPr>
        <w:t xml:space="preserve"> 罗紫霞</w:t>
      </w:r>
    </w:p>
    <w:p w14:paraId="2D07189B">
      <w:pPr>
        <w:ind w:firstLine="422"/>
        <w:rPr>
          <w:rFonts w:ascii="宋体" w:hAnsi="宋体" w:cs="宋体"/>
          <w:b/>
          <w:bCs/>
        </w:rPr>
      </w:pPr>
      <w:r>
        <w:rPr>
          <w:rFonts w:hint="eastAsia" w:ascii="宋体" w:hAnsi="宋体" w:cs="宋体"/>
          <w:b/>
          <w:bCs/>
        </w:rPr>
        <w:t>其他部门12名：</w:t>
      </w:r>
    </w:p>
    <w:p w14:paraId="0EF9EF5C">
      <w:pPr>
        <w:ind w:firstLine="422"/>
        <w:rPr>
          <w:rFonts w:ascii="宋体" w:hAnsi="宋体" w:cs="宋体"/>
        </w:rPr>
      </w:pPr>
      <w:r>
        <w:rPr>
          <w:rFonts w:hint="eastAsia" w:ascii="宋体" w:hAnsi="宋体" w:cs="宋体"/>
          <w:b/>
          <w:bCs/>
        </w:rPr>
        <w:t>县烟草研究所高级农艺师</w:t>
      </w:r>
      <w:r>
        <w:rPr>
          <w:rFonts w:hint="eastAsia" w:ascii="宋体" w:hAnsi="宋体" w:cs="宋体"/>
        </w:rPr>
        <w:t xml:space="preserve">  李天平  罗敬忠</w:t>
      </w:r>
    </w:p>
    <w:p w14:paraId="02CBF65F">
      <w:pPr>
        <w:ind w:firstLine="422"/>
        <w:rPr>
          <w:rFonts w:ascii="宋体" w:hAnsi="宋体" w:cs="宋体"/>
        </w:rPr>
      </w:pPr>
      <w:r>
        <w:rPr>
          <w:rFonts w:hint="eastAsia" w:ascii="宋体" w:hAnsi="宋体" w:cs="宋体"/>
          <w:b/>
          <w:bCs/>
        </w:rPr>
        <w:t>县水电局设计室高级工程师</w:t>
      </w:r>
      <w:r>
        <w:rPr>
          <w:rFonts w:hint="eastAsia" w:ascii="宋体" w:hAnsi="宋体" w:cs="宋体"/>
        </w:rPr>
        <w:t xml:space="preserve">  黄国真  莫朝杰</w:t>
      </w:r>
    </w:p>
    <w:p w14:paraId="381CB15D">
      <w:pPr>
        <w:ind w:firstLine="422"/>
        <w:rPr>
          <w:rFonts w:ascii="宋体" w:hAnsi="宋体" w:cs="宋体"/>
        </w:rPr>
      </w:pPr>
      <w:r>
        <w:rPr>
          <w:rFonts w:hint="eastAsia" w:ascii="宋体" w:hAnsi="宋体" w:cs="宋体"/>
          <w:b/>
          <w:bCs/>
        </w:rPr>
        <w:t>县建筑设计室高级工程师</w:t>
      </w:r>
      <w:r>
        <w:rPr>
          <w:rFonts w:hint="eastAsia" w:ascii="宋体" w:hAnsi="宋体" w:cs="宋体"/>
        </w:rPr>
        <w:t xml:space="preserve">  杨仲儿</w:t>
      </w:r>
    </w:p>
    <w:p w14:paraId="6AFF0A0D">
      <w:pPr>
        <w:ind w:firstLine="422"/>
        <w:rPr>
          <w:rFonts w:ascii="宋体" w:hAnsi="宋体" w:cs="宋体"/>
        </w:rPr>
      </w:pPr>
      <w:r>
        <w:rPr>
          <w:rFonts w:hint="eastAsia" w:ascii="宋体" w:hAnsi="宋体" w:cs="宋体"/>
          <w:b/>
          <w:bCs/>
        </w:rPr>
        <w:t>县水利综合服务公司高级工程师</w:t>
      </w:r>
      <w:r>
        <w:rPr>
          <w:rFonts w:hint="eastAsia" w:ascii="宋体" w:hAnsi="宋体" w:cs="宋体"/>
        </w:rPr>
        <w:t xml:space="preserve">  曾焕福</w:t>
      </w:r>
    </w:p>
    <w:p w14:paraId="1E1C4170">
      <w:pPr>
        <w:ind w:firstLine="422"/>
        <w:rPr>
          <w:rFonts w:ascii="宋体" w:hAnsi="宋体" w:cs="宋体"/>
        </w:rPr>
      </w:pPr>
      <w:r>
        <w:rPr>
          <w:rFonts w:hint="eastAsia" w:ascii="宋体" w:hAnsi="宋体" w:cs="宋体"/>
          <w:b/>
          <w:bCs/>
        </w:rPr>
        <w:t xml:space="preserve">县氮肥厂高级工程师 </w:t>
      </w:r>
      <w:r>
        <w:rPr>
          <w:rFonts w:hint="eastAsia" w:ascii="宋体" w:hAnsi="宋体" w:cs="宋体"/>
        </w:rPr>
        <w:t xml:space="preserve"> 李志彬  马光裕</w:t>
      </w:r>
    </w:p>
    <w:p w14:paraId="0E6796FE">
      <w:pPr>
        <w:ind w:firstLine="422"/>
        <w:rPr>
          <w:rFonts w:ascii="宋体" w:hAnsi="宋体" w:cs="宋体"/>
        </w:rPr>
      </w:pPr>
      <w:r>
        <w:rPr>
          <w:rFonts w:hint="eastAsia" w:ascii="宋体" w:hAnsi="宋体" w:cs="宋体"/>
          <w:b/>
          <w:bCs/>
        </w:rPr>
        <w:t xml:space="preserve">县稀土冶炼厂高级工程师 </w:t>
      </w:r>
      <w:r>
        <w:rPr>
          <w:rFonts w:hint="eastAsia" w:ascii="宋体" w:hAnsi="宋体" w:cs="宋体"/>
        </w:rPr>
        <w:t xml:space="preserve"> 刘思美  郑坎均</w:t>
      </w:r>
    </w:p>
    <w:p w14:paraId="443BB0F1">
      <w:pPr>
        <w:ind w:firstLine="422"/>
        <w:rPr>
          <w:rFonts w:ascii="宋体" w:hAnsi="宋体" w:cs="宋体"/>
        </w:rPr>
      </w:pPr>
      <w:r>
        <w:rPr>
          <w:rFonts w:hint="eastAsia" w:ascii="宋体" w:hAnsi="宋体" w:cs="宋体"/>
          <w:b/>
          <w:bCs/>
        </w:rPr>
        <w:t xml:space="preserve">县卷烟厂高级工程师 </w:t>
      </w:r>
      <w:r>
        <w:rPr>
          <w:rFonts w:hint="eastAsia" w:ascii="宋体" w:hAnsi="宋体" w:cs="宋体"/>
        </w:rPr>
        <w:t xml:space="preserve"> 董明发</w:t>
      </w:r>
    </w:p>
    <w:p w14:paraId="64EA2965">
      <w:pPr>
        <w:ind w:firstLine="422"/>
        <w:rPr>
          <w:rFonts w:ascii="宋体" w:hAnsi="宋体" w:cs="宋体"/>
        </w:rPr>
      </w:pPr>
      <w:r>
        <w:rPr>
          <w:rFonts w:hint="eastAsia" w:ascii="宋体" w:hAnsi="宋体" w:cs="宋体"/>
          <w:b/>
          <w:bCs/>
        </w:rPr>
        <w:t xml:space="preserve">县委党校高级讲师 </w:t>
      </w:r>
      <w:r>
        <w:rPr>
          <w:rFonts w:hint="eastAsia" w:ascii="宋体" w:hAnsi="宋体" w:cs="宋体"/>
        </w:rPr>
        <w:t xml:space="preserve"> 张良文</w:t>
      </w:r>
    </w:p>
    <w:p w14:paraId="586CA8A7">
      <w:pPr>
        <w:pStyle w:val="5"/>
        <w:rPr>
          <w:rFonts w:ascii="宋体" w:hAnsi="宋体" w:cs="宋体"/>
        </w:rPr>
      </w:pPr>
      <w:r>
        <w:rPr>
          <w:rFonts w:hint="eastAsia" w:ascii="宋体" w:hAnsi="宋体" w:cs="宋体"/>
        </w:rPr>
        <w:t>二、1996年2月再版《南雄县志》增补155名</w:t>
      </w:r>
    </w:p>
    <w:p w14:paraId="55E0DE0A">
      <w:pPr>
        <w:ind w:firstLine="422"/>
        <w:rPr>
          <w:rFonts w:ascii="宋体" w:hAnsi="宋体" w:cs="宋体"/>
        </w:rPr>
      </w:pPr>
      <w:r>
        <w:rPr>
          <w:rFonts w:hint="eastAsia" w:ascii="宋体" w:hAnsi="宋体" w:cs="宋体"/>
          <w:b/>
        </w:rPr>
        <w:t>按部门分：</w:t>
      </w:r>
      <w:r>
        <w:rPr>
          <w:rFonts w:hint="eastAsia" w:ascii="宋体" w:hAnsi="宋体" w:cs="宋体"/>
        </w:rPr>
        <w:t>教育系统94名，卫生系统8名，农、林、水系统29名，工交系统11名，其他部门14名。</w:t>
      </w:r>
    </w:p>
    <w:p w14:paraId="7C83D254">
      <w:pPr>
        <w:ind w:firstLine="422"/>
        <w:rPr>
          <w:rFonts w:ascii="宋体" w:hAnsi="宋体" w:cs="宋体"/>
        </w:rPr>
      </w:pPr>
      <w:r>
        <w:rPr>
          <w:rFonts w:hint="eastAsia" w:ascii="宋体" w:hAnsi="宋体" w:cs="宋体"/>
          <w:b/>
        </w:rPr>
        <w:t>按类型分：</w:t>
      </w:r>
      <w:r>
        <w:rPr>
          <w:rFonts w:hint="eastAsia" w:ascii="宋体" w:hAnsi="宋体" w:cs="宋体"/>
        </w:rPr>
        <w:t>中学高级教（讲）师97名，副主任医（护）师8名，高级工程师16名，高级农艺师21名，高级兽医（畜牧）师5名，高级美术工艺师1名，高级经济师3名；高级会计师1名，高级政工师2名，副研究员2名。详见表7-13：</w:t>
      </w:r>
    </w:p>
    <w:p w14:paraId="73BF5273">
      <w:pPr>
        <w:ind w:firstLine="422"/>
        <w:jc w:val="center"/>
        <w:rPr>
          <w:rFonts w:ascii="宋体" w:hAnsi="宋体" w:cs="宋体"/>
          <w:b/>
          <w:bCs/>
        </w:rPr>
      </w:pPr>
      <w:r>
        <w:rPr>
          <w:rFonts w:hint="eastAsia" w:ascii="宋体" w:hAnsi="宋体" w:cs="宋体"/>
          <w:b/>
          <w:bCs/>
        </w:rPr>
        <w:t>高级科技人员名录</w:t>
      </w:r>
    </w:p>
    <w:p w14:paraId="4A22D43B">
      <w:pPr>
        <w:ind w:firstLine="0" w:firstLineChars="0"/>
        <w:rPr>
          <w:rFonts w:ascii="宋体" w:hAnsi="宋体" w:cs="宋体"/>
          <w:b/>
          <w:bCs/>
        </w:rPr>
      </w:pPr>
      <w:r>
        <w:rPr>
          <w:rFonts w:hint="eastAsia" w:ascii="宋体" w:hAnsi="宋体" w:cs="宋体"/>
          <w:b/>
          <w:bCs/>
        </w:rPr>
        <w:t>表7-13</w:t>
      </w:r>
    </w:p>
    <w:tbl>
      <w:tblPr>
        <w:tblStyle w:val="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59"/>
        <w:gridCol w:w="139"/>
        <w:gridCol w:w="1520"/>
        <w:gridCol w:w="1666"/>
        <w:gridCol w:w="1660"/>
        <w:gridCol w:w="128"/>
        <w:gridCol w:w="1532"/>
        <w:gridCol w:w="1658"/>
      </w:tblGrid>
      <w:tr w14:paraId="157A8B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833" w:type="pct"/>
            <w:vAlign w:val="center"/>
          </w:tcPr>
          <w:p w14:paraId="015E4ADE">
            <w:pPr>
              <w:pStyle w:val="12"/>
              <w:jc w:val="center"/>
              <w:rPr>
                <w:b/>
              </w:rPr>
            </w:pPr>
            <w:r>
              <w:rPr>
                <w:rFonts w:hint="eastAsia"/>
                <w:b/>
              </w:rPr>
              <w:t>单位</w:t>
            </w:r>
          </w:p>
        </w:tc>
        <w:tc>
          <w:tcPr>
            <w:tcW w:w="833" w:type="pct"/>
            <w:gridSpan w:val="2"/>
            <w:vAlign w:val="center"/>
          </w:tcPr>
          <w:p w14:paraId="39B31F86">
            <w:pPr>
              <w:pStyle w:val="12"/>
              <w:jc w:val="center"/>
              <w:rPr>
                <w:b/>
              </w:rPr>
            </w:pPr>
            <w:r>
              <w:rPr>
                <w:rFonts w:hint="eastAsia"/>
                <w:b/>
              </w:rPr>
              <w:t>姓名</w:t>
            </w:r>
          </w:p>
        </w:tc>
        <w:tc>
          <w:tcPr>
            <w:tcW w:w="836" w:type="pct"/>
            <w:vAlign w:val="center"/>
          </w:tcPr>
          <w:p w14:paraId="2F158283">
            <w:pPr>
              <w:pStyle w:val="12"/>
              <w:jc w:val="center"/>
              <w:rPr>
                <w:b/>
              </w:rPr>
            </w:pPr>
            <w:r>
              <w:rPr>
                <w:rFonts w:hint="eastAsia"/>
                <w:b/>
              </w:rPr>
              <w:t>批准机关</w:t>
            </w:r>
          </w:p>
        </w:tc>
        <w:tc>
          <w:tcPr>
            <w:tcW w:w="897" w:type="pct"/>
            <w:gridSpan w:val="2"/>
            <w:vAlign w:val="center"/>
          </w:tcPr>
          <w:p w14:paraId="477108CB">
            <w:pPr>
              <w:pStyle w:val="12"/>
              <w:jc w:val="center"/>
              <w:rPr>
                <w:b/>
              </w:rPr>
            </w:pPr>
            <w:r>
              <w:rPr>
                <w:rFonts w:hint="eastAsia"/>
                <w:b/>
              </w:rPr>
              <w:t>单位</w:t>
            </w:r>
          </w:p>
        </w:tc>
        <w:tc>
          <w:tcPr>
            <w:tcW w:w="769" w:type="pct"/>
            <w:vAlign w:val="center"/>
          </w:tcPr>
          <w:p w14:paraId="35CB9C55">
            <w:pPr>
              <w:pStyle w:val="12"/>
              <w:jc w:val="center"/>
              <w:rPr>
                <w:b/>
              </w:rPr>
            </w:pPr>
            <w:r>
              <w:rPr>
                <w:rFonts w:hint="eastAsia"/>
                <w:b/>
              </w:rPr>
              <w:t>姓名</w:t>
            </w:r>
          </w:p>
        </w:tc>
        <w:tc>
          <w:tcPr>
            <w:tcW w:w="832" w:type="pct"/>
            <w:vAlign w:val="center"/>
          </w:tcPr>
          <w:p w14:paraId="54D8B2DC">
            <w:pPr>
              <w:pStyle w:val="12"/>
              <w:jc w:val="center"/>
              <w:rPr>
                <w:b/>
              </w:rPr>
            </w:pPr>
            <w:r>
              <w:rPr>
                <w:rFonts w:hint="eastAsia"/>
                <w:b/>
              </w:rPr>
              <w:t>批准机关</w:t>
            </w:r>
          </w:p>
        </w:tc>
      </w:tr>
      <w:tr w14:paraId="002BDB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2502" w:type="pct"/>
            <w:gridSpan w:val="4"/>
            <w:vAlign w:val="center"/>
          </w:tcPr>
          <w:p w14:paraId="10BC07CD">
            <w:pPr>
              <w:pStyle w:val="12"/>
              <w:jc w:val="center"/>
              <w:rPr>
                <w:b/>
              </w:rPr>
            </w:pPr>
            <w:r>
              <w:rPr>
                <w:rFonts w:hint="eastAsia"/>
                <w:b/>
              </w:rPr>
              <w:t>中学高级教师</w:t>
            </w:r>
          </w:p>
        </w:tc>
        <w:tc>
          <w:tcPr>
            <w:tcW w:w="897" w:type="pct"/>
            <w:gridSpan w:val="2"/>
            <w:vMerge w:val="restart"/>
            <w:textDirection w:val="tbRlV"/>
            <w:vAlign w:val="center"/>
          </w:tcPr>
          <w:p w14:paraId="66A00573">
            <w:pPr>
              <w:pStyle w:val="12"/>
              <w:ind w:left="113" w:right="113"/>
              <w:jc w:val="center"/>
            </w:pPr>
            <w:r>
              <w:rPr>
                <w:rFonts w:hint="eastAsia"/>
              </w:rPr>
              <w:t>南雄县第一中学</w:t>
            </w:r>
          </w:p>
        </w:tc>
        <w:tc>
          <w:tcPr>
            <w:tcW w:w="769" w:type="pct"/>
            <w:vMerge w:val="restart"/>
            <w:vAlign w:val="center"/>
          </w:tcPr>
          <w:p w14:paraId="6C48BAF7">
            <w:pPr>
              <w:pStyle w:val="12"/>
              <w:jc w:val="center"/>
            </w:pPr>
            <w:r>
              <w:rPr>
                <w:rFonts w:hint="eastAsia"/>
              </w:rPr>
              <w:t>胡声森</w:t>
            </w:r>
          </w:p>
          <w:p w14:paraId="21FDD86F">
            <w:pPr>
              <w:pStyle w:val="12"/>
              <w:jc w:val="center"/>
            </w:pPr>
            <w:r>
              <w:rPr>
                <w:rFonts w:hint="eastAsia"/>
              </w:rPr>
              <w:t>徐道斌</w:t>
            </w:r>
          </w:p>
          <w:p w14:paraId="606A395F">
            <w:pPr>
              <w:pStyle w:val="12"/>
              <w:jc w:val="center"/>
            </w:pPr>
            <w:r>
              <w:rPr>
                <w:rFonts w:hint="eastAsia"/>
              </w:rPr>
              <w:t>谢崇庆</w:t>
            </w:r>
          </w:p>
          <w:p w14:paraId="14AB8B30">
            <w:pPr>
              <w:pStyle w:val="12"/>
              <w:jc w:val="center"/>
            </w:pPr>
            <w:r>
              <w:rPr>
                <w:rFonts w:hint="eastAsia"/>
              </w:rPr>
              <w:t>李各民</w:t>
            </w:r>
          </w:p>
          <w:p w14:paraId="09B6CABE">
            <w:pPr>
              <w:pStyle w:val="12"/>
              <w:jc w:val="center"/>
            </w:pPr>
            <w:r>
              <w:rPr>
                <w:rFonts w:hint="eastAsia"/>
              </w:rPr>
              <w:t>何光德</w:t>
            </w:r>
          </w:p>
          <w:p w14:paraId="2F60AE0A">
            <w:pPr>
              <w:pStyle w:val="12"/>
              <w:jc w:val="center"/>
            </w:pPr>
            <w:r>
              <w:rPr>
                <w:rFonts w:hint="eastAsia"/>
              </w:rPr>
              <w:t>阳定泉</w:t>
            </w:r>
          </w:p>
          <w:p w14:paraId="5B30051E">
            <w:pPr>
              <w:pStyle w:val="12"/>
              <w:jc w:val="center"/>
            </w:pPr>
            <w:r>
              <w:rPr>
                <w:rFonts w:hint="eastAsia"/>
              </w:rPr>
              <w:t>黄过房</w:t>
            </w:r>
          </w:p>
          <w:p w14:paraId="156AEE22">
            <w:pPr>
              <w:pStyle w:val="12"/>
              <w:jc w:val="center"/>
            </w:pPr>
            <w:r>
              <w:rPr>
                <w:rFonts w:hint="eastAsia"/>
              </w:rPr>
              <w:t>陈逢吉</w:t>
            </w:r>
          </w:p>
          <w:p w14:paraId="09EFB2EB">
            <w:pPr>
              <w:pStyle w:val="12"/>
              <w:jc w:val="center"/>
            </w:pPr>
            <w:r>
              <w:rPr>
                <w:rFonts w:hint="eastAsia"/>
              </w:rPr>
              <w:t>姚德有</w:t>
            </w:r>
          </w:p>
          <w:p w14:paraId="18AFEBAA">
            <w:pPr>
              <w:pStyle w:val="12"/>
              <w:jc w:val="center"/>
            </w:pPr>
            <w:r>
              <w:rPr>
                <w:rFonts w:hint="eastAsia"/>
              </w:rPr>
              <w:t>李光洋</w:t>
            </w:r>
          </w:p>
          <w:p w14:paraId="603B3B64">
            <w:pPr>
              <w:pStyle w:val="12"/>
              <w:jc w:val="center"/>
            </w:pPr>
            <w:r>
              <w:rPr>
                <w:rFonts w:hint="eastAsia"/>
              </w:rPr>
              <w:t>张金星</w:t>
            </w:r>
          </w:p>
          <w:p w14:paraId="090CA3ED">
            <w:pPr>
              <w:pStyle w:val="12"/>
              <w:jc w:val="center"/>
            </w:pPr>
            <w:r>
              <w:rPr>
                <w:rFonts w:hint="eastAsia"/>
              </w:rPr>
              <w:t>周才华</w:t>
            </w:r>
          </w:p>
        </w:tc>
        <w:tc>
          <w:tcPr>
            <w:tcW w:w="832" w:type="pct"/>
            <w:vMerge w:val="restart"/>
            <w:textDirection w:val="tbRlV"/>
            <w:vAlign w:val="center"/>
          </w:tcPr>
          <w:p w14:paraId="5297CBE0">
            <w:pPr>
              <w:pStyle w:val="12"/>
              <w:ind w:left="113" w:right="113"/>
              <w:jc w:val="center"/>
            </w:pPr>
            <w:r>
              <w:rPr>
                <w:rFonts w:hint="eastAsia"/>
              </w:rPr>
              <w:t>省科技干部局</w:t>
            </w:r>
          </w:p>
        </w:tc>
      </w:tr>
      <w:tr w14:paraId="23A00B9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40" w:hRule="atLeast"/>
        </w:trPr>
        <w:tc>
          <w:tcPr>
            <w:tcW w:w="833" w:type="pct"/>
            <w:vMerge w:val="restart"/>
            <w:textDirection w:val="tbRlV"/>
            <w:vAlign w:val="center"/>
          </w:tcPr>
          <w:p w14:paraId="7F8760D8">
            <w:pPr>
              <w:pStyle w:val="12"/>
              <w:ind w:left="113" w:right="113"/>
              <w:jc w:val="center"/>
            </w:pPr>
            <w:r>
              <w:rPr>
                <w:rFonts w:hint="eastAsia"/>
              </w:rPr>
              <w:t>南雄中学</w:t>
            </w:r>
          </w:p>
        </w:tc>
        <w:tc>
          <w:tcPr>
            <w:tcW w:w="833" w:type="pct"/>
            <w:gridSpan w:val="2"/>
            <w:vMerge w:val="restart"/>
            <w:vAlign w:val="center"/>
          </w:tcPr>
          <w:p w14:paraId="66FF59D4">
            <w:pPr>
              <w:pStyle w:val="12"/>
              <w:jc w:val="center"/>
            </w:pPr>
            <w:r>
              <w:rPr>
                <w:rFonts w:hint="eastAsia"/>
              </w:rPr>
              <w:t>阳昌太</w:t>
            </w:r>
          </w:p>
          <w:p w14:paraId="2A24089C">
            <w:pPr>
              <w:pStyle w:val="12"/>
              <w:jc w:val="center"/>
            </w:pPr>
            <w:r>
              <w:rPr>
                <w:rFonts w:hint="eastAsia"/>
              </w:rPr>
              <w:t>林国华</w:t>
            </w:r>
          </w:p>
          <w:p w14:paraId="3DBBD78C">
            <w:pPr>
              <w:pStyle w:val="12"/>
              <w:jc w:val="center"/>
            </w:pPr>
            <w:r>
              <w:rPr>
                <w:rFonts w:hint="eastAsia"/>
              </w:rPr>
              <w:t>陈继煊</w:t>
            </w:r>
          </w:p>
          <w:p w14:paraId="78CD4F1C">
            <w:pPr>
              <w:pStyle w:val="12"/>
              <w:jc w:val="center"/>
            </w:pPr>
            <w:r>
              <w:rPr>
                <w:rFonts w:hint="eastAsia"/>
              </w:rPr>
              <w:t>刘志平</w:t>
            </w:r>
          </w:p>
          <w:p w14:paraId="088B7BD7">
            <w:pPr>
              <w:pStyle w:val="12"/>
              <w:jc w:val="center"/>
            </w:pPr>
            <w:r>
              <w:rPr>
                <w:rFonts w:hint="eastAsia"/>
              </w:rPr>
              <w:t>李堂威</w:t>
            </w:r>
          </w:p>
          <w:p w14:paraId="5CA89019">
            <w:pPr>
              <w:pStyle w:val="12"/>
              <w:jc w:val="center"/>
            </w:pPr>
            <w:r>
              <w:rPr>
                <w:rFonts w:hint="eastAsia"/>
              </w:rPr>
              <w:t>郑本森</w:t>
            </w:r>
          </w:p>
          <w:p w14:paraId="7BC5770B">
            <w:pPr>
              <w:pStyle w:val="12"/>
              <w:jc w:val="center"/>
            </w:pPr>
            <w:r>
              <w:rPr>
                <w:rFonts w:hint="eastAsia"/>
              </w:rPr>
              <w:t>李若先</w:t>
            </w:r>
          </w:p>
          <w:p w14:paraId="49DA5869">
            <w:pPr>
              <w:pStyle w:val="12"/>
              <w:jc w:val="center"/>
            </w:pPr>
            <w:r>
              <w:rPr>
                <w:rFonts w:hint="eastAsia"/>
              </w:rPr>
              <w:t>黄清明</w:t>
            </w:r>
          </w:p>
          <w:p w14:paraId="6D9E264B">
            <w:pPr>
              <w:pStyle w:val="12"/>
              <w:jc w:val="center"/>
            </w:pPr>
            <w:r>
              <w:rPr>
                <w:rFonts w:hint="eastAsia"/>
              </w:rPr>
              <w:t>夏葵英</w:t>
            </w:r>
          </w:p>
          <w:p w14:paraId="5D39A310">
            <w:pPr>
              <w:pStyle w:val="12"/>
              <w:jc w:val="center"/>
            </w:pPr>
            <w:r>
              <w:rPr>
                <w:rFonts w:hint="eastAsia"/>
              </w:rPr>
              <w:t>张美新</w:t>
            </w:r>
          </w:p>
          <w:p w14:paraId="71CB8BD4">
            <w:pPr>
              <w:pStyle w:val="12"/>
              <w:jc w:val="center"/>
            </w:pPr>
            <w:r>
              <w:rPr>
                <w:rFonts w:hint="eastAsia"/>
              </w:rPr>
              <w:t>康登生</w:t>
            </w:r>
          </w:p>
          <w:p w14:paraId="5ED66698">
            <w:pPr>
              <w:pStyle w:val="12"/>
              <w:jc w:val="center"/>
            </w:pPr>
            <w:r>
              <w:rPr>
                <w:rFonts w:hint="eastAsia"/>
              </w:rPr>
              <w:t>谢章淦</w:t>
            </w:r>
          </w:p>
          <w:p w14:paraId="51849B56">
            <w:pPr>
              <w:pStyle w:val="12"/>
              <w:jc w:val="center"/>
            </w:pPr>
            <w:r>
              <w:rPr>
                <w:rFonts w:hint="eastAsia"/>
              </w:rPr>
              <w:t>张祥民</w:t>
            </w:r>
          </w:p>
          <w:p w14:paraId="099963C7">
            <w:pPr>
              <w:pStyle w:val="12"/>
              <w:jc w:val="center"/>
            </w:pPr>
            <w:r>
              <w:rPr>
                <w:rFonts w:hint="eastAsia"/>
              </w:rPr>
              <w:t>吴维鲁</w:t>
            </w:r>
          </w:p>
          <w:p w14:paraId="71ED0E58">
            <w:pPr>
              <w:pStyle w:val="12"/>
              <w:jc w:val="center"/>
            </w:pPr>
            <w:r>
              <w:rPr>
                <w:rFonts w:hint="eastAsia"/>
              </w:rPr>
              <w:t>何腾发</w:t>
            </w:r>
          </w:p>
          <w:p w14:paraId="0EC1E4F4">
            <w:pPr>
              <w:pStyle w:val="12"/>
              <w:jc w:val="center"/>
            </w:pPr>
            <w:r>
              <w:rPr>
                <w:rFonts w:hint="eastAsia"/>
              </w:rPr>
              <w:t>林树英</w:t>
            </w:r>
          </w:p>
          <w:p w14:paraId="4AC13E6A">
            <w:pPr>
              <w:pStyle w:val="12"/>
              <w:jc w:val="center"/>
            </w:pPr>
            <w:r>
              <w:rPr>
                <w:rFonts w:hint="eastAsia"/>
              </w:rPr>
              <w:t>何纪英</w:t>
            </w:r>
          </w:p>
          <w:p w14:paraId="6ED1F2EC">
            <w:pPr>
              <w:pStyle w:val="12"/>
              <w:jc w:val="center"/>
            </w:pPr>
            <w:r>
              <w:rPr>
                <w:rFonts w:hint="eastAsia"/>
              </w:rPr>
              <w:t>卢成志</w:t>
            </w:r>
          </w:p>
        </w:tc>
        <w:tc>
          <w:tcPr>
            <w:tcW w:w="836" w:type="pct"/>
            <w:vMerge w:val="restart"/>
            <w:textDirection w:val="tbRlV"/>
            <w:vAlign w:val="center"/>
          </w:tcPr>
          <w:p w14:paraId="6DD22AFD">
            <w:pPr>
              <w:pStyle w:val="12"/>
              <w:ind w:left="113" w:right="113"/>
              <w:jc w:val="center"/>
            </w:pPr>
            <w:r>
              <w:rPr>
                <w:rFonts w:hint="eastAsia"/>
              </w:rPr>
              <w:t>省科技干部局</w:t>
            </w:r>
          </w:p>
        </w:tc>
        <w:tc>
          <w:tcPr>
            <w:tcW w:w="897" w:type="pct"/>
            <w:gridSpan w:val="2"/>
            <w:vMerge w:val="continue"/>
            <w:vAlign w:val="center"/>
          </w:tcPr>
          <w:p w14:paraId="10AB727A">
            <w:pPr>
              <w:pStyle w:val="12"/>
              <w:jc w:val="center"/>
            </w:pPr>
          </w:p>
        </w:tc>
        <w:tc>
          <w:tcPr>
            <w:tcW w:w="769" w:type="pct"/>
            <w:vMerge w:val="continue"/>
            <w:vAlign w:val="center"/>
          </w:tcPr>
          <w:p w14:paraId="63765D42">
            <w:pPr>
              <w:pStyle w:val="12"/>
              <w:jc w:val="center"/>
            </w:pPr>
          </w:p>
        </w:tc>
        <w:tc>
          <w:tcPr>
            <w:tcW w:w="832" w:type="pct"/>
            <w:vMerge w:val="continue"/>
            <w:vAlign w:val="center"/>
          </w:tcPr>
          <w:p w14:paraId="57575056">
            <w:pPr>
              <w:pStyle w:val="12"/>
              <w:jc w:val="center"/>
            </w:pPr>
          </w:p>
        </w:tc>
      </w:tr>
      <w:tr w14:paraId="64F42B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5" w:hRule="atLeast"/>
        </w:trPr>
        <w:tc>
          <w:tcPr>
            <w:tcW w:w="833" w:type="pct"/>
            <w:vMerge w:val="continue"/>
            <w:vAlign w:val="center"/>
          </w:tcPr>
          <w:p w14:paraId="5625E8BF">
            <w:pPr>
              <w:pStyle w:val="12"/>
              <w:jc w:val="center"/>
            </w:pPr>
          </w:p>
        </w:tc>
        <w:tc>
          <w:tcPr>
            <w:tcW w:w="833" w:type="pct"/>
            <w:gridSpan w:val="2"/>
            <w:vMerge w:val="continue"/>
            <w:vAlign w:val="center"/>
          </w:tcPr>
          <w:p w14:paraId="542C8DD9">
            <w:pPr>
              <w:pStyle w:val="12"/>
              <w:jc w:val="center"/>
            </w:pPr>
          </w:p>
        </w:tc>
        <w:tc>
          <w:tcPr>
            <w:tcW w:w="836" w:type="pct"/>
            <w:vMerge w:val="continue"/>
            <w:vAlign w:val="center"/>
          </w:tcPr>
          <w:p w14:paraId="7BC9499E">
            <w:pPr>
              <w:pStyle w:val="12"/>
              <w:jc w:val="center"/>
            </w:pPr>
          </w:p>
        </w:tc>
        <w:tc>
          <w:tcPr>
            <w:tcW w:w="897" w:type="pct"/>
            <w:gridSpan w:val="2"/>
            <w:vMerge w:val="restart"/>
            <w:vAlign w:val="center"/>
          </w:tcPr>
          <w:p w14:paraId="7162F162">
            <w:pPr>
              <w:pStyle w:val="12"/>
              <w:jc w:val="center"/>
            </w:pPr>
            <w:r>
              <w:rPr>
                <w:rFonts w:hint="eastAsia"/>
              </w:rPr>
              <w:t>雄州中学</w:t>
            </w:r>
          </w:p>
        </w:tc>
        <w:tc>
          <w:tcPr>
            <w:tcW w:w="769" w:type="pct"/>
            <w:vAlign w:val="center"/>
          </w:tcPr>
          <w:p w14:paraId="4E8E0355">
            <w:pPr>
              <w:pStyle w:val="12"/>
              <w:jc w:val="center"/>
            </w:pPr>
            <w:r>
              <w:rPr>
                <w:rFonts w:hint="eastAsia"/>
              </w:rPr>
              <w:t>张文蔚</w:t>
            </w:r>
          </w:p>
          <w:p w14:paraId="137E1F01">
            <w:pPr>
              <w:pStyle w:val="12"/>
              <w:jc w:val="center"/>
            </w:pPr>
            <w:r>
              <w:rPr>
                <w:rFonts w:hint="eastAsia"/>
              </w:rPr>
              <w:t>朱庭舜</w:t>
            </w:r>
          </w:p>
          <w:p w14:paraId="70DBB652">
            <w:pPr>
              <w:pStyle w:val="12"/>
              <w:jc w:val="center"/>
            </w:pPr>
            <w:r>
              <w:rPr>
                <w:rFonts w:hint="eastAsia"/>
              </w:rPr>
              <w:t>杨青海</w:t>
            </w:r>
          </w:p>
        </w:tc>
        <w:tc>
          <w:tcPr>
            <w:tcW w:w="832" w:type="pct"/>
            <w:vAlign w:val="center"/>
          </w:tcPr>
          <w:p w14:paraId="4AF3A27D">
            <w:pPr>
              <w:pStyle w:val="12"/>
              <w:jc w:val="center"/>
            </w:pPr>
            <w:r>
              <w:rPr>
                <w:rFonts w:hint="eastAsia"/>
              </w:rPr>
              <w:t>省科技</w:t>
            </w:r>
          </w:p>
          <w:p w14:paraId="5FC524FC">
            <w:pPr>
              <w:pStyle w:val="12"/>
              <w:jc w:val="center"/>
            </w:pPr>
            <w:r>
              <w:rPr>
                <w:rFonts w:hint="eastAsia"/>
              </w:rPr>
              <w:t>干部局</w:t>
            </w:r>
          </w:p>
        </w:tc>
      </w:tr>
      <w:tr w14:paraId="3D45CA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833" w:type="pct"/>
            <w:vMerge w:val="continue"/>
            <w:vAlign w:val="center"/>
          </w:tcPr>
          <w:p w14:paraId="66999B94">
            <w:pPr>
              <w:pStyle w:val="12"/>
              <w:jc w:val="center"/>
            </w:pPr>
          </w:p>
        </w:tc>
        <w:tc>
          <w:tcPr>
            <w:tcW w:w="833" w:type="pct"/>
            <w:gridSpan w:val="2"/>
            <w:vMerge w:val="continue"/>
            <w:vAlign w:val="center"/>
          </w:tcPr>
          <w:p w14:paraId="2800DC93">
            <w:pPr>
              <w:pStyle w:val="12"/>
              <w:jc w:val="center"/>
            </w:pPr>
          </w:p>
        </w:tc>
        <w:tc>
          <w:tcPr>
            <w:tcW w:w="836" w:type="pct"/>
            <w:vMerge w:val="continue"/>
            <w:vAlign w:val="center"/>
          </w:tcPr>
          <w:p w14:paraId="19CFC8BF">
            <w:pPr>
              <w:pStyle w:val="12"/>
              <w:jc w:val="center"/>
            </w:pPr>
          </w:p>
        </w:tc>
        <w:tc>
          <w:tcPr>
            <w:tcW w:w="897" w:type="pct"/>
            <w:gridSpan w:val="2"/>
            <w:vMerge w:val="continue"/>
            <w:vAlign w:val="center"/>
          </w:tcPr>
          <w:p w14:paraId="4C0615B6">
            <w:pPr>
              <w:pStyle w:val="12"/>
              <w:jc w:val="center"/>
            </w:pPr>
          </w:p>
        </w:tc>
        <w:tc>
          <w:tcPr>
            <w:tcW w:w="769" w:type="pct"/>
            <w:vAlign w:val="center"/>
          </w:tcPr>
          <w:p w14:paraId="7AAD4E55">
            <w:pPr>
              <w:pStyle w:val="12"/>
              <w:jc w:val="center"/>
            </w:pPr>
            <w:r>
              <w:rPr>
                <w:rFonts w:hint="eastAsia"/>
              </w:rPr>
              <w:t>方辉泉</w:t>
            </w:r>
          </w:p>
        </w:tc>
        <w:tc>
          <w:tcPr>
            <w:tcW w:w="832" w:type="pct"/>
            <w:vAlign w:val="center"/>
          </w:tcPr>
          <w:p w14:paraId="108AE466">
            <w:pPr>
              <w:pStyle w:val="12"/>
              <w:jc w:val="center"/>
            </w:pPr>
            <w:r>
              <w:rPr>
                <w:rFonts w:hint="eastAsia"/>
              </w:rPr>
              <w:t>省人事厅</w:t>
            </w:r>
          </w:p>
        </w:tc>
      </w:tr>
      <w:tr w14:paraId="7452C8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833" w:type="pct"/>
            <w:vMerge w:val="continue"/>
            <w:vAlign w:val="center"/>
          </w:tcPr>
          <w:p w14:paraId="1CB3015B">
            <w:pPr>
              <w:pStyle w:val="12"/>
              <w:jc w:val="center"/>
            </w:pPr>
          </w:p>
        </w:tc>
        <w:tc>
          <w:tcPr>
            <w:tcW w:w="833" w:type="pct"/>
            <w:gridSpan w:val="2"/>
            <w:vMerge w:val="continue"/>
            <w:vAlign w:val="center"/>
          </w:tcPr>
          <w:p w14:paraId="177B2A3D">
            <w:pPr>
              <w:pStyle w:val="12"/>
              <w:jc w:val="center"/>
            </w:pPr>
          </w:p>
        </w:tc>
        <w:tc>
          <w:tcPr>
            <w:tcW w:w="836" w:type="pct"/>
            <w:vMerge w:val="continue"/>
            <w:vAlign w:val="center"/>
          </w:tcPr>
          <w:p w14:paraId="440E0503">
            <w:pPr>
              <w:pStyle w:val="12"/>
              <w:jc w:val="center"/>
            </w:pPr>
          </w:p>
        </w:tc>
        <w:tc>
          <w:tcPr>
            <w:tcW w:w="897" w:type="pct"/>
            <w:gridSpan w:val="2"/>
            <w:vMerge w:val="restart"/>
            <w:vAlign w:val="center"/>
          </w:tcPr>
          <w:p w14:paraId="2A10C1A9">
            <w:pPr>
              <w:pStyle w:val="12"/>
              <w:jc w:val="center"/>
            </w:pPr>
            <w:r>
              <w:rPr>
                <w:rFonts w:hint="eastAsia"/>
              </w:rPr>
              <w:t>新城中学</w:t>
            </w:r>
          </w:p>
        </w:tc>
        <w:tc>
          <w:tcPr>
            <w:tcW w:w="769" w:type="pct"/>
            <w:vMerge w:val="restart"/>
            <w:vAlign w:val="center"/>
          </w:tcPr>
          <w:p w14:paraId="6C29C133">
            <w:pPr>
              <w:pStyle w:val="12"/>
              <w:jc w:val="center"/>
            </w:pPr>
            <w:r>
              <w:rPr>
                <w:rFonts w:hint="eastAsia"/>
              </w:rPr>
              <w:t>何世发</w:t>
            </w:r>
          </w:p>
          <w:p w14:paraId="62CAB268">
            <w:pPr>
              <w:pStyle w:val="12"/>
              <w:jc w:val="center"/>
            </w:pPr>
            <w:r>
              <w:rPr>
                <w:rFonts w:hint="eastAsia"/>
              </w:rPr>
              <w:t>刘景山</w:t>
            </w:r>
          </w:p>
          <w:p w14:paraId="5D4AE9C8">
            <w:pPr>
              <w:pStyle w:val="12"/>
              <w:jc w:val="center"/>
            </w:pPr>
            <w:r>
              <w:rPr>
                <w:rFonts w:hint="eastAsia"/>
              </w:rPr>
              <w:t>欧阳可兴</w:t>
            </w:r>
          </w:p>
          <w:p w14:paraId="5B2767E7">
            <w:pPr>
              <w:pStyle w:val="12"/>
              <w:jc w:val="center"/>
            </w:pPr>
            <w:r>
              <w:rPr>
                <w:rFonts w:hint="eastAsia"/>
              </w:rPr>
              <w:t>赖桂林</w:t>
            </w:r>
          </w:p>
          <w:p w14:paraId="531B0E3B">
            <w:pPr>
              <w:pStyle w:val="12"/>
              <w:jc w:val="center"/>
            </w:pPr>
            <w:r>
              <w:rPr>
                <w:rFonts w:hint="eastAsia"/>
              </w:rPr>
              <w:t>邓光茂</w:t>
            </w:r>
          </w:p>
          <w:p w14:paraId="2642A252">
            <w:pPr>
              <w:pStyle w:val="12"/>
              <w:jc w:val="center"/>
            </w:pPr>
            <w:r>
              <w:rPr>
                <w:rFonts w:hint="eastAsia"/>
              </w:rPr>
              <w:t>叶惠玲</w:t>
            </w:r>
          </w:p>
          <w:p w14:paraId="41517EE0">
            <w:pPr>
              <w:pStyle w:val="12"/>
              <w:jc w:val="center"/>
            </w:pPr>
            <w:r>
              <w:rPr>
                <w:rFonts w:hint="eastAsia"/>
              </w:rPr>
              <w:t>叶才库</w:t>
            </w:r>
          </w:p>
        </w:tc>
        <w:tc>
          <w:tcPr>
            <w:tcW w:w="832" w:type="pct"/>
            <w:vMerge w:val="restart"/>
            <w:vAlign w:val="center"/>
          </w:tcPr>
          <w:p w14:paraId="76E37C79">
            <w:pPr>
              <w:pStyle w:val="12"/>
              <w:jc w:val="center"/>
            </w:pPr>
            <w:r>
              <w:rPr>
                <w:rFonts w:hint="eastAsia"/>
              </w:rPr>
              <w:t>省科技干部局</w:t>
            </w:r>
          </w:p>
        </w:tc>
      </w:tr>
      <w:tr w14:paraId="60A9D3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45" w:hRule="atLeast"/>
        </w:trPr>
        <w:tc>
          <w:tcPr>
            <w:tcW w:w="833" w:type="pct"/>
            <w:vMerge w:val="continue"/>
            <w:vAlign w:val="center"/>
          </w:tcPr>
          <w:p w14:paraId="499191EA">
            <w:pPr>
              <w:pStyle w:val="12"/>
              <w:jc w:val="center"/>
            </w:pPr>
          </w:p>
        </w:tc>
        <w:tc>
          <w:tcPr>
            <w:tcW w:w="833" w:type="pct"/>
            <w:gridSpan w:val="2"/>
            <w:vMerge w:val="restart"/>
            <w:vAlign w:val="center"/>
          </w:tcPr>
          <w:p w14:paraId="44FA208C">
            <w:pPr>
              <w:pStyle w:val="12"/>
              <w:jc w:val="center"/>
            </w:pPr>
            <w:r>
              <w:rPr>
                <w:rFonts w:hint="eastAsia"/>
              </w:rPr>
              <w:t>于海东</w:t>
            </w:r>
          </w:p>
          <w:p w14:paraId="373FADAC">
            <w:pPr>
              <w:pStyle w:val="12"/>
              <w:jc w:val="center"/>
            </w:pPr>
            <w:r>
              <w:rPr>
                <w:rFonts w:hint="eastAsia"/>
              </w:rPr>
              <w:t>曾昭清</w:t>
            </w:r>
          </w:p>
          <w:p w14:paraId="62F39FD7">
            <w:pPr>
              <w:pStyle w:val="12"/>
              <w:jc w:val="center"/>
            </w:pPr>
            <w:r>
              <w:rPr>
                <w:rFonts w:hint="eastAsia"/>
              </w:rPr>
              <w:t>魏学煌</w:t>
            </w:r>
          </w:p>
          <w:p w14:paraId="0697BD71">
            <w:pPr>
              <w:pStyle w:val="12"/>
              <w:jc w:val="center"/>
            </w:pPr>
            <w:r>
              <w:rPr>
                <w:rFonts w:hint="eastAsia"/>
              </w:rPr>
              <w:t>朱群英</w:t>
            </w:r>
          </w:p>
          <w:p w14:paraId="006E359F">
            <w:pPr>
              <w:pStyle w:val="12"/>
              <w:jc w:val="center"/>
            </w:pPr>
            <w:r>
              <w:rPr>
                <w:rFonts w:hint="eastAsia"/>
              </w:rPr>
              <w:t>梁文彪</w:t>
            </w:r>
          </w:p>
          <w:p w14:paraId="58633EA5">
            <w:pPr>
              <w:pStyle w:val="12"/>
              <w:jc w:val="center"/>
            </w:pPr>
            <w:r>
              <w:rPr>
                <w:rFonts w:hint="eastAsia"/>
              </w:rPr>
              <w:t>陈日旭</w:t>
            </w:r>
          </w:p>
          <w:p w14:paraId="24D9E97C">
            <w:pPr>
              <w:pStyle w:val="12"/>
              <w:jc w:val="center"/>
            </w:pPr>
            <w:r>
              <w:rPr>
                <w:rFonts w:hint="eastAsia"/>
              </w:rPr>
              <w:t>陈彝美</w:t>
            </w:r>
          </w:p>
          <w:p w14:paraId="47824DF2">
            <w:pPr>
              <w:pStyle w:val="12"/>
              <w:jc w:val="center"/>
            </w:pPr>
            <w:r>
              <w:rPr>
                <w:rFonts w:hint="eastAsia"/>
              </w:rPr>
              <w:t>刘运全</w:t>
            </w:r>
          </w:p>
          <w:p w14:paraId="7A3D20AB">
            <w:pPr>
              <w:pStyle w:val="12"/>
              <w:jc w:val="center"/>
            </w:pPr>
            <w:r>
              <w:rPr>
                <w:rFonts w:hint="eastAsia"/>
              </w:rPr>
              <w:t>梁明英</w:t>
            </w:r>
          </w:p>
          <w:p w14:paraId="2587C901">
            <w:pPr>
              <w:pStyle w:val="12"/>
              <w:jc w:val="center"/>
            </w:pPr>
            <w:r>
              <w:rPr>
                <w:rFonts w:hint="eastAsia"/>
              </w:rPr>
              <w:t>何燕翠</w:t>
            </w:r>
          </w:p>
        </w:tc>
        <w:tc>
          <w:tcPr>
            <w:tcW w:w="836" w:type="pct"/>
            <w:vMerge w:val="restart"/>
            <w:textDirection w:val="tbRlV"/>
            <w:vAlign w:val="center"/>
          </w:tcPr>
          <w:p w14:paraId="2094DBA6">
            <w:pPr>
              <w:pStyle w:val="12"/>
              <w:ind w:left="113" w:right="113"/>
              <w:jc w:val="center"/>
            </w:pPr>
            <w:r>
              <w:rPr>
                <w:rFonts w:hint="eastAsia"/>
              </w:rPr>
              <w:t>省人事厅</w:t>
            </w:r>
          </w:p>
        </w:tc>
        <w:tc>
          <w:tcPr>
            <w:tcW w:w="897" w:type="pct"/>
            <w:gridSpan w:val="2"/>
            <w:vMerge w:val="continue"/>
            <w:vAlign w:val="center"/>
          </w:tcPr>
          <w:p w14:paraId="0DDB4225">
            <w:pPr>
              <w:pStyle w:val="12"/>
              <w:jc w:val="center"/>
            </w:pPr>
          </w:p>
        </w:tc>
        <w:tc>
          <w:tcPr>
            <w:tcW w:w="769" w:type="pct"/>
            <w:vMerge w:val="continue"/>
            <w:vAlign w:val="center"/>
          </w:tcPr>
          <w:p w14:paraId="1263904C">
            <w:pPr>
              <w:pStyle w:val="12"/>
              <w:jc w:val="center"/>
            </w:pPr>
          </w:p>
        </w:tc>
        <w:tc>
          <w:tcPr>
            <w:tcW w:w="832" w:type="pct"/>
            <w:vMerge w:val="continue"/>
            <w:vAlign w:val="center"/>
          </w:tcPr>
          <w:p w14:paraId="3EB123A9">
            <w:pPr>
              <w:pStyle w:val="12"/>
              <w:jc w:val="center"/>
            </w:pPr>
          </w:p>
        </w:tc>
      </w:tr>
      <w:tr w14:paraId="3BF89D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5" w:hRule="atLeast"/>
        </w:trPr>
        <w:tc>
          <w:tcPr>
            <w:tcW w:w="833" w:type="pct"/>
            <w:vMerge w:val="continue"/>
            <w:vAlign w:val="center"/>
          </w:tcPr>
          <w:p w14:paraId="1BD166F2">
            <w:pPr>
              <w:pStyle w:val="12"/>
              <w:jc w:val="center"/>
            </w:pPr>
          </w:p>
        </w:tc>
        <w:tc>
          <w:tcPr>
            <w:tcW w:w="833" w:type="pct"/>
            <w:gridSpan w:val="2"/>
            <w:vMerge w:val="continue"/>
            <w:vAlign w:val="center"/>
          </w:tcPr>
          <w:p w14:paraId="075D948A">
            <w:pPr>
              <w:pStyle w:val="12"/>
              <w:jc w:val="center"/>
            </w:pPr>
          </w:p>
        </w:tc>
        <w:tc>
          <w:tcPr>
            <w:tcW w:w="836" w:type="pct"/>
            <w:vMerge w:val="continue"/>
            <w:vAlign w:val="center"/>
          </w:tcPr>
          <w:p w14:paraId="02475D34">
            <w:pPr>
              <w:pStyle w:val="12"/>
              <w:jc w:val="center"/>
            </w:pPr>
          </w:p>
        </w:tc>
        <w:tc>
          <w:tcPr>
            <w:tcW w:w="897" w:type="pct"/>
            <w:gridSpan w:val="2"/>
            <w:vMerge w:val="restart"/>
            <w:vAlign w:val="center"/>
          </w:tcPr>
          <w:p w14:paraId="2531C99F">
            <w:pPr>
              <w:pStyle w:val="12"/>
              <w:jc w:val="center"/>
            </w:pPr>
            <w:r>
              <w:rPr>
                <w:rFonts w:hint="eastAsia"/>
              </w:rPr>
              <w:t>县职中</w:t>
            </w:r>
          </w:p>
        </w:tc>
        <w:tc>
          <w:tcPr>
            <w:tcW w:w="769" w:type="pct"/>
            <w:vAlign w:val="center"/>
          </w:tcPr>
          <w:p w14:paraId="2EBBCEDB">
            <w:pPr>
              <w:pStyle w:val="12"/>
              <w:jc w:val="center"/>
            </w:pPr>
            <w:r>
              <w:rPr>
                <w:rFonts w:hint="eastAsia"/>
              </w:rPr>
              <w:t>黄中岳</w:t>
            </w:r>
          </w:p>
          <w:p w14:paraId="330AFBF3">
            <w:pPr>
              <w:pStyle w:val="12"/>
              <w:jc w:val="center"/>
            </w:pPr>
            <w:r>
              <w:rPr>
                <w:rFonts w:hint="eastAsia"/>
              </w:rPr>
              <w:t>陈郁芳</w:t>
            </w:r>
          </w:p>
          <w:p w14:paraId="0431DACB">
            <w:pPr>
              <w:pStyle w:val="12"/>
              <w:jc w:val="center"/>
            </w:pPr>
            <w:r>
              <w:rPr>
                <w:rFonts w:hint="eastAsia"/>
              </w:rPr>
              <w:t>邓鸿义</w:t>
            </w:r>
          </w:p>
          <w:p w14:paraId="5774BA96">
            <w:pPr>
              <w:pStyle w:val="12"/>
              <w:jc w:val="center"/>
            </w:pPr>
            <w:r>
              <w:rPr>
                <w:rFonts w:hint="eastAsia"/>
              </w:rPr>
              <w:t>张欧春</w:t>
            </w:r>
          </w:p>
        </w:tc>
        <w:tc>
          <w:tcPr>
            <w:tcW w:w="832" w:type="pct"/>
            <w:vAlign w:val="center"/>
          </w:tcPr>
          <w:p w14:paraId="6BA1D920">
            <w:pPr>
              <w:pStyle w:val="12"/>
              <w:jc w:val="center"/>
            </w:pPr>
            <w:r>
              <w:rPr>
                <w:rFonts w:hint="eastAsia"/>
              </w:rPr>
              <w:t>省科技干部局</w:t>
            </w:r>
          </w:p>
        </w:tc>
      </w:tr>
      <w:tr w14:paraId="2F8CA2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833" w:type="pct"/>
            <w:vMerge w:val="continue"/>
            <w:vAlign w:val="center"/>
          </w:tcPr>
          <w:p w14:paraId="5E178B88">
            <w:pPr>
              <w:pStyle w:val="12"/>
              <w:jc w:val="center"/>
            </w:pPr>
          </w:p>
        </w:tc>
        <w:tc>
          <w:tcPr>
            <w:tcW w:w="833" w:type="pct"/>
            <w:gridSpan w:val="2"/>
            <w:vMerge w:val="continue"/>
            <w:vAlign w:val="center"/>
          </w:tcPr>
          <w:p w14:paraId="400115A0">
            <w:pPr>
              <w:pStyle w:val="12"/>
              <w:jc w:val="center"/>
            </w:pPr>
          </w:p>
        </w:tc>
        <w:tc>
          <w:tcPr>
            <w:tcW w:w="836" w:type="pct"/>
            <w:vMerge w:val="continue"/>
            <w:vAlign w:val="center"/>
          </w:tcPr>
          <w:p w14:paraId="56335E4B">
            <w:pPr>
              <w:pStyle w:val="12"/>
              <w:jc w:val="center"/>
            </w:pPr>
          </w:p>
        </w:tc>
        <w:tc>
          <w:tcPr>
            <w:tcW w:w="897" w:type="pct"/>
            <w:gridSpan w:val="2"/>
            <w:vMerge w:val="continue"/>
            <w:vAlign w:val="center"/>
          </w:tcPr>
          <w:p w14:paraId="1FC01FD7">
            <w:pPr>
              <w:pStyle w:val="12"/>
              <w:jc w:val="center"/>
            </w:pPr>
          </w:p>
        </w:tc>
        <w:tc>
          <w:tcPr>
            <w:tcW w:w="769" w:type="pct"/>
            <w:vAlign w:val="center"/>
          </w:tcPr>
          <w:p w14:paraId="62E15853">
            <w:pPr>
              <w:pStyle w:val="12"/>
              <w:jc w:val="center"/>
            </w:pPr>
            <w:r>
              <w:rPr>
                <w:rFonts w:hint="eastAsia"/>
              </w:rPr>
              <w:t>刘绪安</w:t>
            </w:r>
          </w:p>
        </w:tc>
        <w:tc>
          <w:tcPr>
            <w:tcW w:w="832" w:type="pct"/>
            <w:vAlign w:val="center"/>
          </w:tcPr>
          <w:p w14:paraId="6CD0CB0F">
            <w:pPr>
              <w:pStyle w:val="12"/>
              <w:jc w:val="center"/>
            </w:pPr>
            <w:r>
              <w:rPr>
                <w:rFonts w:hint="eastAsia"/>
              </w:rPr>
              <w:t>省人事厅</w:t>
            </w:r>
          </w:p>
        </w:tc>
      </w:tr>
      <w:tr w14:paraId="03393C0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833" w:type="pct"/>
            <w:vMerge w:val="continue"/>
            <w:vAlign w:val="center"/>
          </w:tcPr>
          <w:p w14:paraId="4563B197">
            <w:pPr>
              <w:pStyle w:val="12"/>
              <w:jc w:val="center"/>
            </w:pPr>
          </w:p>
        </w:tc>
        <w:tc>
          <w:tcPr>
            <w:tcW w:w="833" w:type="pct"/>
            <w:gridSpan w:val="2"/>
            <w:vMerge w:val="continue"/>
            <w:vAlign w:val="center"/>
          </w:tcPr>
          <w:p w14:paraId="552EF2A6">
            <w:pPr>
              <w:pStyle w:val="12"/>
              <w:jc w:val="center"/>
            </w:pPr>
          </w:p>
        </w:tc>
        <w:tc>
          <w:tcPr>
            <w:tcW w:w="836" w:type="pct"/>
            <w:vMerge w:val="continue"/>
            <w:vAlign w:val="center"/>
          </w:tcPr>
          <w:p w14:paraId="0AE15817">
            <w:pPr>
              <w:pStyle w:val="12"/>
              <w:jc w:val="center"/>
            </w:pPr>
          </w:p>
        </w:tc>
        <w:tc>
          <w:tcPr>
            <w:tcW w:w="897" w:type="pct"/>
            <w:gridSpan w:val="2"/>
            <w:vMerge w:val="restart"/>
            <w:vAlign w:val="center"/>
          </w:tcPr>
          <w:p w14:paraId="0150DBEA">
            <w:pPr>
              <w:pStyle w:val="12"/>
              <w:jc w:val="center"/>
            </w:pPr>
            <w:r>
              <w:rPr>
                <w:rFonts w:hint="eastAsia"/>
              </w:rPr>
              <w:t>县教育局</w:t>
            </w:r>
          </w:p>
        </w:tc>
        <w:tc>
          <w:tcPr>
            <w:tcW w:w="769" w:type="pct"/>
            <w:vMerge w:val="restart"/>
            <w:vAlign w:val="center"/>
          </w:tcPr>
          <w:p w14:paraId="11FF6110">
            <w:pPr>
              <w:pStyle w:val="12"/>
              <w:jc w:val="center"/>
            </w:pPr>
            <w:r>
              <w:rPr>
                <w:rFonts w:hint="eastAsia"/>
              </w:rPr>
              <w:t>林志华</w:t>
            </w:r>
          </w:p>
          <w:p w14:paraId="7401851A">
            <w:pPr>
              <w:pStyle w:val="12"/>
              <w:jc w:val="center"/>
            </w:pPr>
            <w:r>
              <w:rPr>
                <w:rFonts w:hint="eastAsia"/>
              </w:rPr>
              <w:t>曾宪强</w:t>
            </w:r>
          </w:p>
          <w:p w14:paraId="65A13CD3">
            <w:pPr>
              <w:pStyle w:val="12"/>
              <w:jc w:val="center"/>
            </w:pPr>
            <w:r>
              <w:rPr>
                <w:rFonts w:hint="eastAsia"/>
              </w:rPr>
              <w:t>陈彝清</w:t>
            </w:r>
          </w:p>
          <w:p w14:paraId="4E97F94C">
            <w:pPr>
              <w:pStyle w:val="12"/>
              <w:jc w:val="center"/>
            </w:pPr>
            <w:r>
              <w:rPr>
                <w:rFonts w:hint="eastAsia"/>
              </w:rPr>
              <w:t>陈吉安</w:t>
            </w:r>
          </w:p>
          <w:p w14:paraId="2D271208">
            <w:pPr>
              <w:pStyle w:val="12"/>
              <w:jc w:val="center"/>
            </w:pPr>
            <w:r>
              <w:rPr>
                <w:rFonts w:hint="eastAsia"/>
              </w:rPr>
              <w:t>何腾修</w:t>
            </w:r>
          </w:p>
        </w:tc>
        <w:tc>
          <w:tcPr>
            <w:tcW w:w="832" w:type="pct"/>
            <w:vMerge w:val="restart"/>
            <w:vAlign w:val="center"/>
          </w:tcPr>
          <w:p w14:paraId="4D08A8BC">
            <w:pPr>
              <w:pStyle w:val="12"/>
              <w:jc w:val="center"/>
            </w:pPr>
            <w:r>
              <w:rPr>
                <w:rFonts w:hint="eastAsia"/>
              </w:rPr>
              <w:t>韶关市职称改</w:t>
            </w:r>
          </w:p>
          <w:p w14:paraId="3C5EEE0D">
            <w:pPr>
              <w:pStyle w:val="12"/>
              <w:jc w:val="center"/>
            </w:pPr>
            <w:r>
              <w:rPr>
                <w:rFonts w:hint="eastAsia"/>
              </w:rPr>
              <w:t>革领导小组</w:t>
            </w:r>
          </w:p>
        </w:tc>
      </w:tr>
      <w:tr w14:paraId="7A95AB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170" w:hRule="atLeast"/>
        </w:trPr>
        <w:tc>
          <w:tcPr>
            <w:tcW w:w="833" w:type="pct"/>
            <w:textDirection w:val="tbRlV"/>
            <w:vAlign w:val="center"/>
          </w:tcPr>
          <w:p w14:paraId="5DA6D56F">
            <w:pPr>
              <w:pStyle w:val="12"/>
              <w:ind w:left="113" w:right="113"/>
              <w:jc w:val="center"/>
            </w:pPr>
            <w:r>
              <w:rPr>
                <w:rFonts w:hint="eastAsia"/>
              </w:rPr>
              <w:t>南雄县第一中学</w:t>
            </w:r>
          </w:p>
        </w:tc>
        <w:tc>
          <w:tcPr>
            <w:tcW w:w="833" w:type="pct"/>
            <w:gridSpan w:val="2"/>
            <w:vAlign w:val="center"/>
          </w:tcPr>
          <w:p w14:paraId="403053C9">
            <w:pPr>
              <w:pStyle w:val="12"/>
              <w:jc w:val="center"/>
            </w:pPr>
            <w:r>
              <w:rPr>
                <w:rFonts w:hint="eastAsia"/>
              </w:rPr>
              <w:t>蔡高些</w:t>
            </w:r>
          </w:p>
          <w:p w14:paraId="0C79C5F7">
            <w:pPr>
              <w:pStyle w:val="12"/>
              <w:jc w:val="center"/>
            </w:pPr>
            <w:r>
              <w:rPr>
                <w:rFonts w:hint="eastAsia"/>
              </w:rPr>
              <w:t>李满祥</w:t>
            </w:r>
          </w:p>
          <w:p w14:paraId="6AE009D0">
            <w:pPr>
              <w:pStyle w:val="12"/>
              <w:jc w:val="center"/>
            </w:pPr>
            <w:r>
              <w:rPr>
                <w:rFonts w:hint="eastAsia"/>
              </w:rPr>
              <w:t>陈教贤</w:t>
            </w:r>
          </w:p>
          <w:p w14:paraId="6DD57B85">
            <w:pPr>
              <w:pStyle w:val="12"/>
              <w:jc w:val="center"/>
            </w:pPr>
            <w:r>
              <w:rPr>
                <w:rFonts w:hint="eastAsia"/>
              </w:rPr>
              <w:t>邱德身</w:t>
            </w:r>
          </w:p>
          <w:p w14:paraId="7485B726">
            <w:pPr>
              <w:pStyle w:val="12"/>
              <w:jc w:val="center"/>
            </w:pPr>
            <w:r>
              <w:rPr>
                <w:rFonts w:hint="eastAsia"/>
              </w:rPr>
              <w:t>陈象源</w:t>
            </w:r>
          </w:p>
          <w:p w14:paraId="074FB05C">
            <w:pPr>
              <w:pStyle w:val="12"/>
              <w:jc w:val="center"/>
            </w:pPr>
            <w:r>
              <w:rPr>
                <w:rFonts w:hint="eastAsia"/>
              </w:rPr>
              <w:t>何万源</w:t>
            </w:r>
          </w:p>
        </w:tc>
        <w:tc>
          <w:tcPr>
            <w:tcW w:w="836" w:type="pct"/>
            <w:vAlign w:val="center"/>
          </w:tcPr>
          <w:p w14:paraId="4679C1BF">
            <w:pPr>
              <w:pStyle w:val="12"/>
              <w:jc w:val="center"/>
            </w:pPr>
            <w:r>
              <w:rPr>
                <w:rFonts w:hint="eastAsia"/>
              </w:rPr>
              <w:t>省科技干部局</w:t>
            </w:r>
          </w:p>
        </w:tc>
        <w:tc>
          <w:tcPr>
            <w:tcW w:w="897" w:type="pct"/>
            <w:gridSpan w:val="2"/>
            <w:vMerge w:val="continue"/>
            <w:vAlign w:val="center"/>
          </w:tcPr>
          <w:p w14:paraId="2B8A1678">
            <w:pPr>
              <w:pStyle w:val="12"/>
              <w:jc w:val="center"/>
            </w:pPr>
          </w:p>
        </w:tc>
        <w:tc>
          <w:tcPr>
            <w:tcW w:w="769" w:type="pct"/>
            <w:vMerge w:val="continue"/>
            <w:vAlign w:val="center"/>
          </w:tcPr>
          <w:p w14:paraId="347EEEEB">
            <w:pPr>
              <w:pStyle w:val="12"/>
              <w:jc w:val="center"/>
            </w:pPr>
          </w:p>
        </w:tc>
        <w:tc>
          <w:tcPr>
            <w:tcW w:w="832" w:type="pct"/>
            <w:vMerge w:val="continue"/>
            <w:vAlign w:val="center"/>
          </w:tcPr>
          <w:p w14:paraId="349C0F8B">
            <w:pPr>
              <w:pStyle w:val="12"/>
              <w:jc w:val="center"/>
            </w:pPr>
          </w:p>
        </w:tc>
      </w:tr>
      <w:tr w14:paraId="50638F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2" w:hRule="atLeast"/>
        </w:trPr>
        <w:tc>
          <w:tcPr>
            <w:tcW w:w="833" w:type="pct"/>
            <w:vMerge w:val="restart"/>
            <w:vAlign w:val="center"/>
          </w:tcPr>
          <w:p w14:paraId="1B676318">
            <w:pPr>
              <w:pStyle w:val="12"/>
              <w:jc w:val="center"/>
            </w:pPr>
            <w:r>
              <w:rPr>
                <w:rFonts w:hint="eastAsia"/>
              </w:rPr>
              <w:t>县教育局</w:t>
            </w:r>
          </w:p>
        </w:tc>
        <w:tc>
          <w:tcPr>
            <w:tcW w:w="833" w:type="pct"/>
            <w:gridSpan w:val="2"/>
            <w:vMerge w:val="restart"/>
            <w:vAlign w:val="center"/>
          </w:tcPr>
          <w:p w14:paraId="43C28BD0">
            <w:pPr>
              <w:pStyle w:val="12"/>
              <w:jc w:val="center"/>
            </w:pPr>
            <w:r>
              <w:rPr>
                <w:rFonts w:hint="eastAsia"/>
              </w:rPr>
              <w:t>苏昌金</w:t>
            </w:r>
          </w:p>
          <w:p w14:paraId="7F12C4EE">
            <w:pPr>
              <w:pStyle w:val="12"/>
              <w:jc w:val="center"/>
            </w:pPr>
            <w:r>
              <w:rPr>
                <w:rFonts w:hint="eastAsia"/>
              </w:rPr>
              <w:t>马敬廉</w:t>
            </w:r>
          </w:p>
          <w:p w14:paraId="280C6D6F">
            <w:pPr>
              <w:pStyle w:val="12"/>
              <w:jc w:val="center"/>
            </w:pPr>
            <w:r>
              <w:rPr>
                <w:rFonts w:hint="eastAsia"/>
              </w:rPr>
              <w:t>刘学连</w:t>
            </w:r>
          </w:p>
          <w:p w14:paraId="3C9C4C63">
            <w:pPr>
              <w:pStyle w:val="12"/>
              <w:jc w:val="center"/>
            </w:pPr>
            <w:r>
              <w:rPr>
                <w:rFonts w:hint="eastAsia"/>
              </w:rPr>
              <w:t>卢德明</w:t>
            </w:r>
          </w:p>
          <w:p w14:paraId="6B693C05">
            <w:pPr>
              <w:pStyle w:val="12"/>
              <w:jc w:val="center"/>
            </w:pPr>
            <w:r>
              <w:rPr>
                <w:rFonts w:hint="eastAsia"/>
              </w:rPr>
              <w:t>曾庆福</w:t>
            </w:r>
          </w:p>
          <w:p w14:paraId="0B34FCB3">
            <w:pPr>
              <w:pStyle w:val="12"/>
              <w:jc w:val="center"/>
            </w:pPr>
            <w:r>
              <w:rPr>
                <w:rFonts w:hint="eastAsia"/>
              </w:rPr>
              <w:t>叶南生</w:t>
            </w:r>
          </w:p>
          <w:p w14:paraId="64C34CCB">
            <w:pPr>
              <w:pStyle w:val="12"/>
              <w:jc w:val="center"/>
            </w:pPr>
            <w:r>
              <w:rPr>
                <w:rFonts w:hint="eastAsia"/>
              </w:rPr>
              <w:t>黄奕明</w:t>
            </w:r>
          </w:p>
          <w:p w14:paraId="1528A774">
            <w:pPr>
              <w:pStyle w:val="12"/>
              <w:jc w:val="center"/>
            </w:pPr>
            <w:r>
              <w:rPr>
                <w:rFonts w:hint="eastAsia"/>
              </w:rPr>
              <w:t>李英汉</w:t>
            </w:r>
          </w:p>
          <w:p w14:paraId="10B87418">
            <w:pPr>
              <w:pStyle w:val="12"/>
              <w:jc w:val="center"/>
            </w:pPr>
            <w:r>
              <w:rPr>
                <w:rFonts w:hint="eastAsia"/>
              </w:rPr>
              <w:t>姚德伦</w:t>
            </w:r>
          </w:p>
        </w:tc>
        <w:tc>
          <w:tcPr>
            <w:tcW w:w="836" w:type="pct"/>
            <w:vMerge w:val="restart"/>
            <w:vAlign w:val="center"/>
          </w:tcPr>
          <w:p w14:paraId="6804A112">
            <w:pPr>
              <w:pStyle w:val="12"/>
              <w:jc w:val="center"/>
            </w:pPr>
            <w:r>
              <w:rPr>
                <w:rFonts w:hint="eastAsia"/>
              </w:rPr>
              <w:t>韶关市职称</w:t>
            </w:r>
          </w:p>
          <w:p w14:paraId="23925E0C">
            <w:pPr>
              <w:pStyle w:val="12"/>
              <w:jc w:val="center"/>
            </w:pPr>
            <w:r>
              <w:rPr>
                <w:rFonts w:hint="eastAsia"/>
              </w:rPr>
              <w:t>改革领导小组</w:t>
            </w:r>
          </w:p>
        </w:tc>
        <w:tc>
          <w:tcPr>
            <w:tcW w:w="897" w:type="pct"/>
            <w:gridSpan w:val="2"/>
            <w:vAlign w:val="center"/>
          </w:tcPr>
          <w:p w14:paraId="388D9EF4">
            <w:pPr>
              <w:pStyle w:val="12"/>
              <w:jc w:val="center"/>
            </w:pPr>
            <w:r>
              <w:rPr>
                <w:rFonts w:hint="eastAsia"/>
              </w:rPr>
              <w:t>县成人中专学校</w:t>
            </w:r>
          </w:p>
        </w:tc>
        <w:tc>
          <w:tcPr>
            <w:tcW w:w="769" w:type="pct"/>
            <w:vAlign w:val="center"/>
          </w:tcPr>
          <w:p w14:paraId="4098F10D">
            <w:pPr>
              <w:pStyle w:val="12"/>
              <w:jc w:val="center"/>
            </w:pPr>
            <w:r>
              <w:rPr>
                <w:rFonts w:hint="eastAsia"/>
              </w:rPr>
              <w:t>沈松</w:t>
            </w:r>
          </w:p>
        </w:tc>
        <w:tc>
          <w:tcPr>
            <w:tcW w:w="832" w:type="pct"/>
            <w:vAlign w:val="center"/>
          </w:tcPr>
          <w:p w14:paraId="59B48FA8">
            <w:pPr>
              <w:pStyle w:val="12"/>
              <w:jc w:val="center"/>
            </w:pPr>
          </w:p>
        </w:tc>
      </w:tr>
      <w:tr w14:paraId="543E0F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9" w:hRule="atLeast"/>
        </w:trPr>
        <w:tc>
          <w:tcPr>
            <w:tcW w:w="833" w:type="pct"/>
            <w:vMerge w:val="continue"/>
            <w:vAlign w:val="center"/>
          </w:tcPr>
          <w:p w14:paraId="770AC850">
            <w:pPr>
              <w:pStyle w:val="12"/>
              <w:jc w:val="center"/>
            </w:pPr>
          </w:p>
        </w:tc>
        <w:tc>
          <w:tcPr>
            <w:tcW w:w="833" w:type="pct"/>
            <w:gridSpan w:val="2"/>
            <w:vMerge w:val="continue"/>
            <w:vAlign w:val="center"/>
          </w:tcPr>
          <w:p w14:paraId="5C255B32">
            <w:pPr>
              <w:pStyle w:val="12"/>
              <w:jc w:val="center"/>
            </w:pPr>
          </w:p>
        </w:tc>
        <w:tc>
          <w:tcPr>
            <w:tcW w:w="836" w:type="pct"/>
            <w:vMerge w:val="continue"/>
            <w:vAlign w:val="center"/>
          </w:tcPr>
          <w:p w14:paraId="6846C465">
            <w:pPr>
              <w:pStyle w:val="12"/>
              <w:jc w:val="center"/>
            </w:pPr>
          </w:p>
        </w:tc>
        <w:tc>
          <w:tcPr>
            <w:tcW w:w="897" w:type="pct"/>
            <w:gridSpan w:val="2"/>
            <w:vAlign w:val="center"/>
          </w:tcPr>
          <w:p w14:paraId="60723C0F">
            <w:pPr>
              <w:pStyle w:val="12"/>
              <w:jc w:val="center"/>
            </w:pPr>
            <w:r>
              <w:rPr>
                <w:rFonts w:hint="eastAsia"/>
              </w:rPr>
              <w:t>县委党校</w:t>
            </w:r>
          </w:p>
        </w:tc>
        <w:tc>
          <w:tcPr>
            <w:tcW w:w="769" w:type="pct"/>
            <w:vAlign w:val="center"/>
          </w:tcPr>
          <w:p w14:paraId="253620A2">
            <w:pPr>
              <w:pStyle w:val="12"/>
              <w:jc w:val="center"/>
            </w:pPr>
            <w:r>
              <w:rPr>
                <w:rFonts w:hint="eastAsia"/>
              </w:rPr>
              <w:t>刘运福</w:t>
            </w:r>
          </w:p>
        </w:tc>
        <w:tc>
          <w:tcPr>
            <w:tcW w:w="832" w:type="pct"/>
            <w:vAlign w:val="center"/>
          </w:tcPr>
          <w:p w14:paraId="22808714">
            <w:pPr>
              <w:pStyle w:val="12"/>
              <w:jc w:val="center"/>
            </w:pPr>
            <w:r>
              <w:rPr>
                <w:rFonts w:hint="eastAsia"/>
              </w:rPr>
              <w:t>省科技干部局</w:t>
            </w:r>
          </w:p>
        </w:tc>
      </w:tr>
      <w:tr w14:paraId="417C8C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2" w:hRule="atLeast"/>
        </w:trPr>
        <w:tc>
          <w:tcPr>
            <w:tcW w:w="833" w:type="pct"/>
            <w:vMerge w:val="continue"/>
            <w:vAlign w:val="center"/>
          </w:tcPr>
          <w:p w14:paraId="7A397055">
            <w:pPr>
              <w:pStyle w:val="12"/>
              <w:jc w:val="center"/>
            </w:pPr>
          </w:p>
        </w:tc>
        <w:tc>
          <w:tcPr>
            <w:tcW w:w="833" w:type="pct"/>
            <w:gridSpan w:val="2"/>
            <w:vMerge w:val="continue"/>
            <w:vAlign w:val="center"/>
          </w:tcPr>
          <w:p w14:paraId="21536B50">
            <w:pPr>
              <w:pStyle w:val="12"/>
              <w:jc w:val="center"/>
            </w:pPr>
          </w:p>
        </w:tc>
        <w:tc>
          <w:tcPr>
            <w:tcW w:w="836" w:type="pct"/>
            <w:vMerge w:val="continue"/>
            <w:vAlign w:val="center"/>
          </w:tcPr>
          <w:p w14:paraId="1FA68DD1">
            <w:pPr>
              <w:pStyle w:val="12"/>
              <w:jc w:val="center"/>
            </w:pPr>
          </w:p>
        </w:tc>
        <w:tc>
          <w:tcPr>
            <w:tcW w:w="2498" w:type="pct"/>
            <w:gridSpan w:val="4"/>
            <w:vAlign w:val="center"/>
          </w:tcPr>
          <w:p w14:paraId="62FC3E3A">
            <w:pPr>
              <w:pStyle w:val="12"/>
              <w:jc w:val="center"/>
              <w:rPr>
                <w:b/>
              </w:rPr>
            </w:pPr>
            <w:r>
              <w:rPr>
                <w:rFonts w:hint="eastAsia"/>
                <w:b/>
              </w:rPr>
              <w:t>副主任医（护）师</w:t>
            </w:r>
          </w:p>
        </w:tc>
      </w:tr>
      <w:tr w14:paraId="26A545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5" w:hRule="atLeast"/>
        </w:trPr>
        <w:tc>
          <w:tcPr>
            <w:tcW w:w="833" w:type="pct"/>
            <w:vMerge w:val="continue"/>
            <w:vAlign w:val="center"/>
          </w:tcPr>
          <w:p w14:paraId="446909C9">
            <w:pPr>
              <w:pStyle w:val="12"/>
              <w:jc w:val="center"/>
            </w:pPr>
          </w:p>
        </w:tc>
        <w:tc>
          <w:tcPr>
            <w:tcW w:w="833" w:type="pct"/>
            <w:gridSpan w:val="2"/>
            <w:vMerge w:val="continue"/>
            <w:vAlign w:val="center"/>
          </w:tcPr>
          <w:p w14:paraId="2DB8881C">
            <w:pPr>
              <w:pStyle w:val="12"/>
              <w:jc w:val="center"/>
            </w:pPr>
          </w:p>
        </w:tc>
        <w:tc>
          <w:tcPr>
            <w:tcW w:w="836" w:type="pct"/>
            <w:vMerge w:val="continue"/>
            <w:vAlign w:val="center"/>
          </w:tcPr>
          <w:p w14:paraId="5A6E2A71">
            <w:pPr>
              <w:pStyle w:val="12"/>
              <w:jc w:val="center"/>
            </w:pPr>
          </w:p>
        </w:tc>
        <w:tc>
          <w:tcPr>
            <w:tcW w:w="897" w:type="pct"/>
            <w:gridSpan w:val="2"/>
            <w:vAlign w:val="center"/>
          </w:tcPr>
          <w:p w14:paraId="08FCAEEA">
            <w:pPr>
              <w:pStyle w:val="12"/>
              <w:jc w:val="center"/>
            </w:pPr>
            <w:r>
              <w:rPr>
                <w:rFonts w:hint="eastAsia"/>
              </w:rPr>
              <w:t>卫生局</w:t>
            </w:r>
          </w:p>
        </w:tc>
        <w:tc>
          <w:tcPr>
            <w:tcW w:w="769" w:type="pct"/>
            <w:vAlign w:val="center"/>
          </w:tcPr>
          <w:p w14:paraId="6F04BE82">
            <w:pPr>
              <w:pStyle w:val="12"/>
              <w:jc w:val="center"/>
            </w:pPr>
            <w:r>
              <w:rPr>
                <w:rFonts w:hint="eastAsia"/>
              </w:rPr>
              <w:t>陈如芳</w:t>
            </w:r>
          </w:p>
          <w:p w14:paraId="1A58D4D5">
            <w:pPr>
              <w:pStyle w:val="12"/>
              <w:jc w:val="center"/>
            </w:pPr>
            <w:r>
              <w:rPr>
                <w:rFonts w:hint="eastAsia"/>
              </w:rPr>
              <w:t>向耘</w:t>
            </w:r>
          </w:p>
        </w:tc>
        <w:tc>
          <w:tcPr>
            <w:tcW w:w="832" w:type="pct"/>
            <w:vAlign w:val="center"/>
          </w:tcPr>
          <w:p w14:paraId="56AC1B0F">
            <w:pPr>
              <w:pStyle w:val="12"/>
              <w:jc w:val="center"/>
            </w:pPr>
            <w:r>
              <w:rPr>
                <w:rFonts w:hint="eastAsia"/>
              </w:rPr>
              <w:t>韶关市职改</w:t>
            </w:r>
          </w:p>
          <w:p w14:paraId="55B3262F">
            <w:pPr>
              <w:pStyle w:val="12"/>
              <w:jc w:val="center"/>
            </w:pPr>
            <w:r>
              <w:rPr>
                <w:rFonts w:hint="eastAsia"/>
              </w:rPr>
              <w:t>领导小组</w:t>
            </w:r>
          </w:p>
        </w:tc>
      </w:tr>
      <w:tr w14:paraId="765287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833" w:type="pct"/>
            <w:vAlign w:val="center"/>
          </w:tcPr>
          <w:p w14:paraId="2D72BE43">
            <w:pPr>
              <w:pStyle w:val="12"/>
              <w:jc w:val="center"/>
            </w:pPr>
            <w:r>
              <w:rPr>
                <w:rFonts w:hint="eastAsia"/>
              </w:rPr>
              <w:t>珠玑中学</w:t>
            </w:r>
          </w:p>
        </w:tc>
        <w:tc>
          <w:tcPr>
            <w:tcW w:w="833" w:type="pct"/>
            <w:gridSpan w:val="2"/>
            <w:vAlign w:val="center"/>
          </w:tcPr>
          <w:p w14:paraId="646CAEFF">
            <w:pPr>
              <w:pStyle w:val="12"/>
              <w:jc w:val="center"/>
            </w:pPr>
            <w:r>
              <w:rPr>
                <w:rFonts w:hint="eastAsia"/>
              </w:rPr>
              <w:t>杨模德</w:t>
            </w:r>
          </w:p>
          <w:p w14:paraId="6C68FE42">
            <w:pPr>
              <w:pStyle w:val="12"/>
              <w:jc w:val="center"/>
            </w:pPr>
            <w:r>
              <w:rPr>
                <w:rFonts w:hint="eastAsia"/>
              </w:rPr>
              <w:t>李宏隆</w:t>
            </w:r>
          </w:p>
        </w:tc>
        <w:tc>
          <w:tcPr>
            <w:tcW w:w="836" w:type="pct"/>
            <w:vAlign w:val="center"/>
          </w:tcPr>
          <w:p w14:paraId="0FF132B7">
            <w:pPr>
              <w:pStyle w:val="12"/>
              <w:jc w:val="center"/>
            </w:pPr>
            <w:r>
              <w:rPr>
                <w:rFonts w:hint="eastAsia"/>
              </w:rPr>
              <w:t>省人事厅</w:t>
            </w:r>
          </w:p>
        </w:tc>
        <w:tc>
          <w:tcPr>
            <w:tcW w:w="897" w:type="pct"/>
            <w:gridSpan w:val="2"/>
            <w:vAlign w:val="center"/>
          </w:tcPr>
          <w:p w14:paraId="28B54E3D">
            <w:pPr>
              <w:pStyle w:val="12"/>
              <w:jc w:val="center"/>
            </w:pPr>
            <w:r>
              <w:rPr>
                <w:rFonts w:hint="eastAsia"/>
              </w:rPr>
              <w:t>县人民医院</w:t>
            </w:r>
          </w:p>
        </w:tc>
        <w:tc>
          <w:tcPr>
            <w:tcW w:w="769" w:type="pct"/>
            <w:vAlign w:val="center"/>
          </w:tcPr>
          <w:p w14:paraId="3B54DA08">
            <w:pPr>
              <w:pStyle w:val="12"/>
              <w:jc w:val="center"/>
            </w:pPr>
            <w:r>
              <w:rPr>
                <w:rFonts w:hint="eastAsia"/>
              </w:rPr>
              <w:t>钟洪泉</w:t>
            </w:r>
          </w:p>
          <w:p w14:paraId="560C971E">
            <w:pPr>
              <w:pStyle w:val="12"/>
              <w:jc w:val="center"/>
            </w:pPr>
            <w:r>
              <w:rPr>
                <w:rFonts w:hint="eastAsia"/>
              </w:rPr>
              <w:t>邓纲文</w:t>
            </w:r>
          </w:p>
          <w:p w14:paraId="3F26FFB0">
            <w:pPr>
              <w:pStyle w:val="12"/>
              <w:jc w:val="center"/>
            </w:pPr>
            <w:r>
              <w:rPr>
                <w:rFonts w:hint="eastAsia"/>
              </w:rPr>
              <w:t>姚国良</w:t>
            </w:r>
          </w:p>
          <w:p w14:paraId="32167E13">
            <w:pPr>
              <w:pStyle w:val="12"/>
              <w:jc w:val="center"/>
            </w:pPr>
            <w:r>
              <w:rPr>
                <w:rFonts w:hint="eastAsia"/>
              </w:rPr>
              <w:t>赖树有</w:t>
            </w:r>
          </w:p>
          <w:p w14:paraId="4F3D2D5A">
            <w:pPr>
              <w:pStyle w:val="12"/>
              <w:jc w:val="center"/>
            </w:pPr>
            <w:r>
              <w:rPr>
                <w:rFonts w:hint="eastAsia"/>
              </w:rPr>
              <w:t>龚香清</w:t>
            </w:r>
          </w:p>
        </w:tc>
        <w:tc>
          <w:tcPr>
            <w:tcW w:w="832" w:type="pct"/>
            <w:vAlign w:val="center"/>
          </w:tcPr>
          <w:p w14:paraId="1310C04D">
            <w:pPr>
              <w:pStyle w:val="12"/>
              <w:jc w:val="center"/>
            </w:pPr>
            <w:r>
              <w:rPr>
                <w:rFonts w:hint="eastAsia"/>
              </w:rPr>
              <w:t>省科技干部局</w:t>
            </w:r>
          </w:p>
        </w:tc>
      </w:tr>
      <w:tr w14:paraId="27508A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833" w:type="pct"/>
            <w:vAlign w:val="center"/>
          </w:tcPr>
          <w:p w14:paraId="6EECF96B">
            <w:pPr>
              <w:pStyle w:val="12"/>
              <w:jc w:val="center"/>
            </w:pPr>
            <w:r>
              <w:rPr>
                <w:rFonts w:hint="eastAsia"/>
              </w:rPr>
              <w:t>黎口中学</w:t>
            </w:r>
          </w:p>
        </w:tc>
        <w:tc>
          <w:tcPr>
            <w:tcW w:w="833" w:type="pct"/>
            <w:gridSpan w:val="2"/>
            <w:vAlign w:val="center"/>
          </w:tcPr>
          <w:p w14:paraId="23B2D5DA">
            <w:pPr>
              <w:pStyle w:val="12"/>
              <w:jc w:val="center"/>
            </w:pPr>
            <w:r>
              <w:rPr>
                <w:rFonts w:hint="eastAsia"/>
              </w:rPr>
              <w:t>胡瑞典</w:t>
            </w:r>
          </w:p>
          <w:p w14:paraId="53FDDE6D">
            <w:pPr>
              <w:pStyle w:val="12"/>
              <w:jc w:val="center"/>
            </w:pPr>
            <w:r>
              <w:rPr>
                <w:rFonts w:hint="eastAsia"/>
              </w:rPr>
              <w:t>刘烈云</w:t>
            </w:r>
          </w:p>
        </w:tc>
        <w:tc>
          <w:tcPr>
            <w:tcW w:w="836" w:type="pct"/>
            <w:vMerge w:val="restart"/>
            <w:vAlign w:val="center"/>
          </w:tcPr>
          <w:p w14:paraId="0DA8ED06">
            <w:pPr>
              <w:pStyle w:val="12"/>
              <w:jc w:val="center"/>
            </w:pPr>
            <w:r>
              <w:rPr>
                <w:rFonts w:hint="eastAsia"/>
              </w:rPr>
              <w:t>省人事厅</w:t>
            </w:r>
          </w:p>
        </w:tc>
        <w:tc>
          <w:tcPr>
            <w:tcW w:w="897" w:type="pct"/>
            <w:gridSpan w:val="2"/>
            <w:vAlign w:val="center"/>
          </w:tcPr>
          <w:p w14:paraId="31605A27">
            <w:pPr>
              <w:pStyle w:val="12"/>
              <w:jc w:val="center"/>
            </w:pPr>
            <w:r>
              <w:rPr>
                <w:rFonts w:hint="eastAsia"/>
              </w:rPr>
              <w:t>卫生防疫站</w:t>
            </w:r>
          </w:p>
        </w:tc>
        <w:tc>
          <w:tcPr>
            <w:tcW w:w="769" w:type="pct"/>
            <w:vAlign w:val="center"/>
          </w:tcPr>
          <w:p w14:paraId="5BA8492E">
            <w:pPr>
              <w:pStyle w:val="12"/>
              <w:jc w:val="center"/>
            </w:pPr>
            <w:r>
              <w:rPr>
                <w:rFonts w:hint="eastAsia"/>
              </w:rPr>
              <w:t>谢文源</w:t>
            </w:r>
          </w:p>
        </w:tc>
        <w:tc>
          <w:tcPr>
            <w:tcW w:w="832" w:type="pct"/>
            <w:vAlign w:val="center"/>
          </w:tcPr>
          <w:p w14:paraId="25B4C09F">
            <w:pPr>
              <w:pStyle w:val="12"/>
              <w:jc w:val="center"/>
            </w:pPr>
          </w:p>
        </w:tc>
      </w:tr>
      <w:tr w14:paraId="0EC934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833" w:type="pct"/>
            <w:vAlign w:val="center"/>
          </w:tcPr>
          <w:p w14:paraId="2948BF14">
            <w:pPr>
              <w:pStyle w:val="12"/>
              <w:jc w:val="center"/>
            </w:pPr>
            <w:r>
              <w:rPr>
                <w:rFonts w:hint="eastAsia"/>
              </w:rPr>
              <w:t>古市中学</w:t>
            </w:r>
          </w:p>
        </w:tc>
        <w:tc>
          <w:tcPr>
            <w:tcW w:w="833" w:type="pct"/>
            <w:gridSpan w:val="2"/>
            <w:vAlign w:val="center"/>
          </w:tcPr>
          <w:p w14:paraId="7C63A371">
            <w:pPr>
              <w:pStyle w:val="12"/>
              <w:jc w:val="center"/>
            </w:pPr>
            <w:r>
              <w:rPr>
                <w:rFonts w:hint="eastAsia"/>
              </w:rPr>
              <w:t>李贤弼</w:t>
            </w:r>
          </w:p>
          <w:p w14:paraId="64F6F5F8">
            <w:pPr>
              <w:pStyle w:val="12"/>
              <w:jc w:val="center"/>
            </w:pPr>
            <w:r>
              <w:rPr>
                <w:rFonts w:hint="eastAsia"/>
              </w:rPr>
              <w:t>姚庆明</w:t>
            </w:r>
          </w:p>
        </w:tc>
        <w:tc>
          <w:tcPr>
            <w:tcW w:w="836" w:type="pct"/>
            <w:vMerge w:val="continue"/>
            <w:vAlign w:val="center"/>
          </w:tcPr>
          <w:p w14:paraId="009335A8">
            <w:pPr>
              <w:pStyle w:val="12"/>
              <w:jc w:val="center"/>
            </w:pPr>
          </w:p>
        </w:tc>
        <w:tc>
          <w:tcPr>
            <w:tcW w:w="2498" w:type="pct"/>
            <w:gridSpan w:val="4"/>
            <w:vAlign w:val="center"/>
          </w:tcPr>
          <w:p w14:paraId="18E4A219">
            <w:pPr>
              <w:pStyle w:val="12"/>
              <w:jc w:val="center"/>
              <w:rPr>
                <w:b/>
              </w:rPr>
            </w:pPr>
            <w:r>
              <w:rPr>
                <w:rFonts w:hint="eastAsia"/>
                <w:b/>
              </w:rPr>
              <w:t>高级工程师</w:t>
            </w:r>
          </w:p>
        </w:tc>
      </w:tr>
      <w:tr w14:paraId="40E4E2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833" w:type="pct"/>
            <w:vAlign w:val="center"/>
          </w:tcPr>
          <w:p w14:paraId="64EAD4A9">
            <w:pPr>
              <w:pStyle w:val="12"/>
              <w:jc w:val="center"/>
            </w:pPr>
            <w:r>
              <w:rPr>
                <w:rFonts w:hint="eastAsia"/>
              </w:rPr>
              <w:t>界址中学</w:t>
            </w:r>
          </w:p>
        </w:tc>
        <w:tc>
          <w:tcPr>
            <w:tcW w:w="833" w:type="pct"/>
            <w:gridSpan w:val="2"/>
            <w:vAlign w:val="center"/>
          </w:tcPr>
          <w:p w14:paraId="2B4D0680">
            <w:pPr>
              <w:pStyle w:val="12"/>
              <w:jc w:val="center"/>
            </w:pPr>
            <w:r>
              <w:rPr>
                <w:rFonts w:hint="eastAsia"/>
              </w:rPr>
              <w:t>张龙海</w:t>
            </w:r>
          </w:p>
        </w:tc>
        <w:tc>
          <w:tcPr>
            <w:tcW w:w="836" w:type="pct"/>
            <w:vMerge w:val="continue"/>
            <w:vAlign w:val="center"/>
          </w:tcPr>
          <w:p w14:paraId="4BF245D0">
            <w:pPr>
              <w:pStyle w:val="12"/>
              <w:jc w:val="center"/>
            </w:pPr>
          </w:p>
        </w:tc>
        <w:tc>
          <w:tcPr>
            <w:tcW w:w="833" w:type="pct"/>
            <w:vAlign w:val="center"/>
          </w:tcPr>
          <w:p w14:paraId="32BD6C3D">
            <w:pPr>
              <w:pStyle w:val="12"/>
              <w:jc w:val="center"/>
            </w:pPr>
            <w:r>
              <w:rPr>
                <w:rFonts w:hint="eastAsia"/>
              </w:rPr>
              <w:t>彩釉砖厂</w:t>
            </w:r>
          </w:p>
        </w:tc>
        <w:tc>
          <w:tcPr>
            <w:tcW w:w="833" w:type="pct"/>
            <w:gridSpan w:val="2"/>
            <w:vAlign w:val="center"/>
          </w:tcPr>
          <w:p w14:paraId="450ABF44">
            <w:pPr>
              <w:pStyle w:val="12"/>
              <w:jc w:val="center"/>
            </w:pPr>
            <w:r>
              <w:rPr>
                <w:rFonts w:hint="eastAsia"/>
              </w:rPr>
              <w:t>傅智全</w:t>
            </w:r>
          </w:p>
          <w:p w14:paraId="777B41BA">
            <w:pPr>
              <w:pStyle w:val="12"/>
              <w:jc w:val="center"/>
            </w:pPr>
            <w:r>
              <w:rPr>
                <w:rFonts w:hint="eastAsia"/>
              </w:rPr>
              <w:t>洪鼎泉</w:t>
            </w:r>
          </w:p>
          <w:p w14:paraId="77836CD6">
            <w:pPr>
              <w:pStyle w:val="12"/>
              <w:jc w:val="center"/>
            </w:pPr>
            <w:r>
              <w:rPr>
                <w:rFonts w:hint="eastAsia"/>
              </w:rPr>
              <w:t>宋运华</w:t>
            </w:r>
          </w:p>
        </w:tc>
        <w:tc>
          <w:tcPr>
            <w:tcW w:w="832" w:type="pct"/>
            <w:vAlign w:val="center"/>
          </w:tcPr>
          <w:p w14:paraId="1B1A1C75">
            <w:pPr>
              <w:pStyle w:val="12"/>
              <w:jc w:val="center"/>
            </w:pPr>
            <w:r>
              <w:rPr>
                <w:rFonts w:hint="eastAsia"/>
              </w:rPr>
              <w:t>韶关市职改</w:t>
            </w:r>
          </w:p>
          <w:p w14:paraId="150AEAEA">
            <w:pPr>
              <w:pStyle w:val="12"/>
              <w:jc w:val="center"/>
            </w:pPr>
            <w:r>
              <w:rPr>
                <w:rFonts w:hint="eastAsia"/>
              </w:rPr>
              <w:t>领导小组</w:t>
            </w:r>
          </w:p>
        </w:tc>
      </w:tr>
      <w:tr w14:paraId="6DA3DE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833" w:type="pct"/>
            <w:vAlign w:val="center"/>
          </w:tcPr>
          <w:p w14:paraId="6F63DDF6">
            <w:pPr>
              <w:pStyle w:val="12"/>
              <w:jc w:val="center"/>
            </w:pPr>
            <w:r>
              <w:rPr>
                <w:rFonts w:hint="eastAsia"/>
              </w:rPr>
              <w:t>全安职中</w:t>
            </w:r>
          </w:p>
        </w:tc>
        <w:tc>
          <w:tcPr>
            <w:tcW w:w="833" w:type="pct"/>
            <w:gridSpan w:val="2"/>
            <w:vAlign w:val="center"/>
          </w:tcPr>
          <w:p w14:paraId="32D5C041">
            <w:pPr>
              <w:pStyle w:val="12"/>
              <w:jc w:val="center"/>
            </w:pPr>
            <w:r>
              <w:rPr>
                <w:rFonts w:hint="eastAsia"/>
              </w:rPr>
              <w:t>彭成腾</w:t>
            </w:r>
          </w:p>
          <w:p w14:paraId="79E8D2F5">
            <w:pPr>
              <w:pStyle w:val="12"/>
              <w:jc w:val="center"/>
            </w:pPr>
            <w:r>
              <w:rPr>
                <w:rFonts w:hint="eastAsia"/>
              </w:rPr>
              <w:t>候传义</w:t>
            </w:r>
          </w:p>
        </w:tc>
        <w:tc>
          <w:tcPr>
            <w:tcW w:w="836" w:type="pct"/>
            <w:vMerge w:val="continue"/>
            <w:vAlign w:val="center"/>
          </w:tcPr>
          <w:p w14:paraId="7E767E56">
            <w:pPr>
              <w:pStyle w:val="12"/>
              <w:jc w:val="center"/>
            </w:pPr>
          </w:p>
        </w:tc>
        <w:tc>
          <w:tcPr>
            <w:tcW w:w="833" w:type="pct"/>
            <w:vAlign w:val="center"/>
          </w:tcPr>
          <w:p w14:paraId="15F8C05C">
            <w:pPr>
              <w:pStyle w:val="12"/>
              <w:jc w:val="center"/>
            </w:pPr>
            <w:r>
              <w:rPr>
                <w:rFonts w:hint="eastAsia"/>
              </w:rPr>
              <w:t>经济委员会</w:t>
            </w:r>
          </w:p>
        </w:tc>
        <w:tc>
          <w:tcPr>
            <w:tcW w:w="833" w:type="pct"/>
            <w:gridSpan w:val="2"/>
            <w:vAlign w:val="center"/>
          </w:tcPr>
          <w:p w14:paraId="7C39E263">
            <w:pPr>
              <w:pStyle w:val="12"/>
              <w:jc w:val="center"/>
            </w:pPr>
            <w:r>
              <w:rPr>
                <w:rFonts w:hint="eastAsia"/>
              </w:rPr>
              <w:t>江良华</w:t>
            </w:r>
          </w:p>
          <w:p w14:paraId="0B63AB74">
            <w:pPr>
              <w:pStyle w:val="12"/>
              <w:jc w:val="center"/>
            </w:pPr>
            <w:r>
              <w:rPr>
                <w:rFonts w:hint="eastAsia"/>
              </w:rPr>
              <w:t>李伟邦</w:t>
            </w:r>
          </w:p>
          <w:p w14:paraId="7701078E">
            <w:pPr>
              <w:pStyle w:val="12"/>
              <w:jc w:val="center"/>
            </w:pPr>
            <w:r>
              <w:rPr>
                <w:rFonts w:hint="eastAsia"/>
              </w:rPr>
              <w:t>李振贤</w:t>
            </w:r>
          </w:p>
          <w:p w14:paraId="38EFF3B6">
            <w:pPr>
              <w:pStyle w:val="12"/>
              <w:jc w:val="center"/>
            </w:pPr>
            <w:r>
              <w:rPr>
                <w:rFonts w:hint="eastAsia"/>
              </w:rPr>
              <w:t>许安辉</w:t>
            </w:r>
          </w:p>
        </w:tc>
        <w:tc>
          <w:tcPr>
            <w:tcW w:w="832" w:type="pct"/>
            <w:vAlign w:val="center"/>
          </w:tcPr>
          <w:p w14:paraId="3DDAAA26">
            <w:pPr>
              <w:pStyle w:val="12"/>
              <w:jc w:val="center"/>
            </w:pPr>
            <w:r>
              <w:rPr>
                <w:rFonts w:hint="eastAsia"/>
              </w:rPr>
              <w:t>韶关市职改</w:t>
            </w:r>
          </w:p>
          <w:p w14:paraId="7E65EA36">
            <w:pPr>
              <w:pStyle w:val="12"/>
              <w:jc w:val="center"/>
            </w:pPr>
            <w:r>
              <w:rPr>
                <w:rFonts w:hint="eastAsia"/>
              </w:rPr>
              <w:t>领导小组</w:t>
            </w:r>
          </w:p>
        </w:tc>
      </w:tr>
      <w:tr w14:paraId="56AAD46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833" w:type="pct"/>
            <w:vMerge w:val="restart"/>
            <w:vAlign w:val="center"/>
          </w:tcPr>
          <w:p w14:paraId="31406E38">
            <w:pPr>
              <w:pStyle w:val="12"/>
              <w:jc w:val="center"/>
            </w:pPr>
            <w:r>
              <w:rPr>
                <w:rFonts w:hint="eastAsia"/>
              </w:rPr>
              <w:t>黄坑中学</w:t>
            </w:r>
          </w:p>
        </w:tc>
        <w:tc>
          <w:tcPr>
            <w:tcW w:w="833" w:type="pct"/>
            <w:gridSpan w:val="2"/>
            <w:vAlign w:val="center"/>
          </w:tcPr>
          <w:p w14:paraId="0CA06435">
            <w:pPr>
              <w:pStyle w:val="12"/>
              <w:jc w:val="center"/>
            </w:pPr>
            <w:r>
              <w:rPr>
                <w:rFonts w:hint="eastAsia"/>
              </w:rPr>
              <w:t>何光雄</w:t>
            </w:r>
          </w:p>
        </w:tc>
        <w:tc>
          <w:tcPr>
            <w:tcW w:w="836" w:type="pct"/>
            <w:vAlign w:val="center"/>
          </w:tcPr>
          <w:p w14:paraId="1B80D141">
            <w:pPr>
              <w:pStyle w:val="12"/>
              <w:jc w:val="center"/>
            </w:pPr>
            <w:r>
              <w:rPr>
                <w:rFonts w:hint="eastAsia"/>
              </w:rPr>
              <w:t>省科技干部局</w:t>
            </w:r>
          </w:p>
        </w:tc>
        <w:tc>
          <w:tcPr>
            <w:tcW w:w="833" w:type="pct"/>
            <w:vAlign w:val="center"/>
          </w:tcPr>
          <w:p w14:paraId="3783590F">
            <w:pPr>
              <w:pStyle w:val="12"/>
              <w:jc w:val="center"/>
            </w:pPr>
            <w:r>
              <w:rPr>
                <w:rFonts w:hint="eastAsia"/>
              </w:rPr>
              <w:t>烟草化工公司</w:t>
            </w:r>
          </w:p>
        </w:tc>
        <w:tc>
          <w:tcPr>
            <w:tcW w:w="833" w:type="pct"/>
            <w:gridSpan w:val="2"/>
            <w:vAlign w:val="center"/>
          </w:tcPr>
          <w:p w14:paraId="1CD4B4DA">
            <w:pPr>
              <w:pStyle w:val="12"/>
              <w:jc w:val="center"/>
            </w:pPr>
            <w:r>
              <w:rPr>
                <w:rFonts w:hint="eastAsia"/>
              </w:rPr>
              <w:t>何腾卿</w:t>
            </w:r>
          </w:p>
        </w:tc>
        <w:tc>
          <w:tcPr>
            <w:tcW w:w="832" w:type="pct"/>
            <w:vAlign w:val="center"/>
          </w:tcPr>
          <w:p w14:paraId="288B38CF">
            <w:pPr>
              <w:pStyle w:val="12"/>
              <w:jc w:val="center"/>
            </w:pPr>
            <w:r>
              <w:rPr>
                <w:rFonts w:hint="eastAsia"/>
              </w:rPr>
              <w:t>省科技干部局</w:t>
            </w:r>
          </w:p>
        </w:tc>
      </w:tr>
      <w:tr w14:paraId="31B5E9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833" w:type="pct"/>
            <w:vMerge w:val="continue"/>
            <w:vAlign w:val="center"/>
          </w:tcPr>
          <w:p w14:paraId="7D56CC07">
            <w:pPr>
              <w:pStyle w:val="12"/>
              <w:jc w:val="center"/>
            </w:pPr>
          </w:p>
        </w:tc>
        <w:tc>
          <w:tcPr>
            <w:tcW w:w="833" w:type="pct"/>
            <w:gridSpan w:val="2"/>
            <w:vAlign w:val="center"/>
          </w:tcPr>
          <w:p w14:paraId="1C42D4E9">
            <w:pPr>
              <w:pStyle w:val="12"/>
              <w:jc w:val="center"/>
            </w:pPr>
            <w:r>
              <w:rPr>
                <w:rFonts w:hint="eastAsia"/>
              </w:rPr>
              <w:t>铙裕全</w:t>
            </w:r>
          </w:p>
          <w:p w14:paraId="375F6A6F">
            <w:pPr>
              <w:pStyle w:val="12"/>
              <w:jc w:val="center"/>
            </w:pPr>
            <w:r>
              <w:rPr>
                <w:rFonts w:hint="eastAsia"/>
              </w:rPr>
              <w:t>沈宜芳</w:t>
            </w:r>
          </w:p>
        </w:tc>
        <w:tc>
          <w:tcPr>
            <w:tcW w:w="836" w:type="pct"/>
            <w:vMerge w:val="restart"/>
            <w:vAlign w:val="center"/>
          </w:tcPr>
          <w:p w14:paraId="2A7CFFCA">
            <w:pPr>
              <w:pStyle w:val="12"/>
              <w:jc w:val="center"/>
            </w:pPr>
            <w:r>
              <w:rPr>
                <w:rFonts w:hint="eastAsia"/>
              </w:rPr>
              <w:t>省人事厅</w:t>
            </w:r>
          </w:p>
        </w:tc>
        <w:tc>
          <w:tcPr>
            <w:tcW w:w="833" w:type="pct"/>
            <w:vAlign w:val="center"/>
          </w:tcPr>
          <w:p w14:paraId="1E4AF13B">
            <w:pPr>
              <w:pStyle w:val="12"/>
              <w:jc w:val="center"/>
            </w:pPr>
            <w:r>
              <w:rPr>
                <w:rFonts w:hint="eastAsia"/>
              </w:rPr>
              <w:t>县政府</w:t>
            </w:r>
          </w:p>
        </w:tc>
        <w:tc>
          <w:tcPr>
            <w:tcW w:w="833" w:type="pct"/>
            <w:gridSpan w:val="2"/>
            <w:vAlign w:val="center"/>
          </w:tcPr>
          <w:p w14:paraId="69F900CA">
            <w:pPr>
              <w:pStyle w:val="12"/>
              <w:jc w:val="center"/>
            </w:pPr>
            <w:r>
              <w:rPr>
                <w:rFonts w:hint="eastAsia"/>
              </w:rPr>
              <w:t>黄浩烈</w:t>
            </w:r>
          </w:p>
        </w:tc>
        <w:tc>
          <w:tcPr>
            <w:tcW w:w="832" w:type="pct"/>
            <w:vMerge w:val="restart"/>
            <w:vAlign w:val="center"/>
          </w:tcPr>
          <w:p w14:paraId="2B9A2517">
            <w:pPr>
              <w:pStyle w:val="12"/>
              <w:jc w:val="center"/>
            </w:pPr>
            <w:r>
              <w:rPr>
                <w:rFonts w:hint="eastAsia"/>
              </w:rPr>
              <w:t>韶关市职改</w:t>
            </w:r>
          </w:p>
          <w:p w14:paraId="17C0AE90">
            <w:pPr>
              <w:pStyle w:val="12"/>
              <w:jc w:val="center"/>
            </w:pPr>
            <w:r>
              <w:rPr>
                <w:rFonts w:hint="eastAsia"/>
              </w:rPr>
              <w:t>领导小组</w:t>
            </w:r>
          </w:p>
        </w:tc>
      </w:tr>
      <w:tr w14:paraId="70FBD1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833" w:type="pct"/>
            <w:vAlign w:val="center"/>
          </w:tcPr>
          <w:p w14:paraId="72236DAF">
            <w:pPr>
              <w:pStyle w:val="12"/>
              <w:jc w:val="center"/>
            </w:pPr>
            <w:r>
              <w:rPr>
                <w:rFonts w:hint="eastAsia"/>
              </w:rPr>
              <w:t>乌迳中学</w:t>
            </w:r>
          </w:p>
        </w:tc>
        <w:tc>
          <w:tcPr>
            <w:tcW w:w="833" w:type="pct"/>
            <w:gridSpan w:val="2"/>
            <w:vAlign w:val="center"/>
          </w:tcPr>
          <w:p w14:paraId="080BA7B3">
            <w:pPr>
              <w:pStyle w:val="12"/>
              <w:jc w:val="center"/>
            </w:pPr>
            <w:r>
              <w:rPr>
                <w:rFonts w:hint="eastAsia"/>
              </w:rPr>
              <w:t>沈世川</w:t>
            </w:r>
          </w:p>
          <w:p w14:paraId="11FBDFCA">
            <w:pPr>
              <w:pStyle w:val="12"/>
              <w:jc w:val="center"/>
            </w:pPr>
            <w:r>
              <w:rPr>
                <w:rFonts w:hint="eastAsia"/>
              </w:rPr>
              <w:t>严超腾</w:t>
            </w:r>
          </w:p>
          <w:p w14:paraId="53317531">
            <w:pPr>
              <w:pStyle w:val="12"/>
              <w:jc w:val="center"/>
            </w:pPr>
            <w:r>
              <w:rPr>
                <w:rFonts w:hint="eastAsia"/>
              </w:rPr>
              <w:t>沈荣金</w:t>
            </w:r>
          </w:p>
        </w:tc>
        <w:tc>
          <w:tcPr>
            <w:tcW w:w="836" w:type="pct"/>
            <w:vMerge w:val="continue"/>
            <w:vAlign w:val="center"/>
          </w:tcPr>
          <w:p w14:paraId="4557FF11">
            <w:pPr>
              <w:pStyle w:val="12"/>
              <w:jc w:val="center"/>
            </w:pPr>
          </w:p>
        </w:tc>
        <w:tc>
          <w:tcPr>
            <w:tcW w:w="833" w:type="pct"/>
            <w:vAlign w:val="center"/>
          </w:tcPr>
          <w:p w14:paraId="00107C96">
            <w:pPr>
              <w:pStyle w:val="12"/>
              <w:jc w:val="center"/>
            </w:pPr>
            <w:r>
              <w:rPr>
                <w:rFonts w:hint="eastAsia"/>
              </w:rPr>
              <w:t>科委</w:t>
            </w:r>
          </w:p>
        </w:tc>
        <w:tc>
          <w:tcPr>
            <w:tcW w:w="833" w:type="pct"/>
            <w:gridSpan w:val="2"/>
            <w:vAlign w:val="center"/>
          </w:tcPr>
          <w:p w14:paraId="1E46FE5E">
            <w:pPr>
              <w:pStyle w:val="12"/>
              <w:jc w:val="center"/>
            </w:pPr>
            <w:r>
              <w:rPr>
                <w:rFonts w:hint="eastAsia"/>
              </w:rPr>
              <w:t>陈尚平</w:t>
            </w:r>
          </w:p>
          <w:p w14:paraId="5CBF2BE0">
            <w:pPr>
              <w:pStyle w:val="12"/>
              <w:jc w:val="center"/>
            </w:pPr>
            <w:r>
              <w:rPr>
                <w:rFonts w:hint="eastAsia"/>
              </w:rPr>
              <w:t>陈以华</w:t>
            </w:r>
          </w:p>
        </w:tc>
        <w:tc>
          <w:tcPr>
            <w:tcW w:w="832" w:type="pct"/>
            <w:vMerge w:val="continue"/>
            <w:vAlign w:val="center"/>
          </w:tcPr>
          <w:p w14:paraId="40303124">
            <w:pPr>
              <w:pStyle w:val="12"/>
              <w:jc w:val="center"/>
            </w:pPr>
          </w:p>
        </w:tc>
      </w:tr>
      <w:tr w14:paraId="247478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2502" w:type="pct"/>
            <w:gridSpan w:val="4"/>
            <w:vAlign w:val="center"/>
          </w:tcPr>
          <w:p w14:paraId="03928E43">
            <w:pPr>
              <w:pStyle w:val="12"/>
              <w:jc w:val="center"/>
              <w:rPr>
                <w:b/>
              </w:rPr>
            </w:pPr>
            <w:r>
              <w:rPr>
                <w:rFonts w:hint="eastAsia"/>
                <w:b/>
              </w:rPr>
              <w:t>高级讲师</w:t>
            </w:r>
          </w:p>
        </w:tc>
        <w:tc>
          <w:tcPr>
            <w:tcW w:w="833" w:type="pct"/>
            <w:vAlign w:val="center"/>
          </w:tcPr>
          <w:p w14:paraId="778C7185">
            <w:pPr>
              <w:pStyle w:val="12"/>
              <w:jc w:val="center"/>
            </w:pPr>
            <w:r>
              <w:rPr>
                <w:rFonts w:hint="eastAsia"/>
              </w:rPr>
              <w:t>县农机局</w:t>
            </w:r>
          </w:p>
        </w:tc>
        <w:tc>
          <w:tcPr>
            <w:tcW w:w="833" w:type="pct"/>
            <w:gridSpan w:val="2"/>
            <w:vAlign w:val="center"/>
          </w:tcPr>
          <w:p w14:paraId="06077FA6">
            <w:pPr>
              <w:pStyle w:val="12"/>
              <w:jc w:val="center"/>
            </w:pPr>
            <w:r>
              <w:rPr>
                <w:rFonts w:hint="eastAsia"/>
              </w:rPr>
              <w:t>聂齐楷</w:t>
            </w:r>
          </w:p>
        </w:tc>
        <w:tc>
          <w:tcPr>
            <w:tcW w:w="832" w:type="pct"/>
            <w:vMerge w:val="continue"/>
            <w:vAlign w:val="center"/>
          </w:tcPr>
          <w:p w14:paraId="42034C13">
            <w:pPr>
              <w:pStyle w:val="12"/>
              <w:jc w:val="center"/>
            </w:pPr>
          </w:p>
        </w:tc>
      </w:tr>
      <w:tr w14:paraId="20F077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902" w:type="pct"/>
            <w:gridSpan w:val="2"/>
            <w:vAlign w:val="center"/>
          </w:tcPr>
          <w:p w14:paraId="3D7101AE">
            <w:pPr>
              <w:pStyle w:val="12"/>
              <w:jc w:val="center"/>
            </w:pPr>
            <w:r>
              <w:rPr>
                <w:rFonts w:hint="eastAsia"/>
              </w:rPr>
              <w:t>县教师进修学校</w:t>
            </w:r>
          </w:p>
        </w:tc>
        <w:tc>
          <w:tcPr>
            <w:tcW w:w="763" w:type="pct"/>
            <w:vAlign w:val="center"/>
          </w:tcPr>
          <w:p w14:paraId="20BF489D">
            <w:pPr>
              <w:pStyle w:val="12"/>
              <w:jc w:val="center"/>
            </w:pPr>
            <w:r>
              <w:rPr>
                <w:rFonts w:hint="eastAsia"/>
              </w:rPr>
              <w:t>魏家琪</w:t>
            </w:r>
          </w:p>
          <w:p w14:paraId="51A68399">
            <w:pPr>
              <w:pStyle w:val="12"/>
              <w:jc w:val="center"/>
            </w:pPr>
            <w:r>
              <w:rPr>
                <w:rFonts w:hint="eastAsia"/>
              </w:rPr>
              <w:t>胡志红</w:t>
            </w:r>
          </w:p>
        </w:tc>
        <w:tc>
          <w:tcPr>
            <w:tcW w:w="836" w:type="pct"/>
            <w:vMerge w:val="restart"/>
            <w:vAlign w:val="center"/>
          </w:tcPr>
          <w:p w14:paraId="3D4ADAC7">
            <w:pPr>
              <w:pStyle w:val="12"/>
              <w:jc w:val="center"/>
            </w:pPr>
            <w:r>
              <w:rPr>
                <w:rFonts w:hint="eastAsia"/>
              </w:rPr>
              <w:t>省科技干部局</w:t>
            </w:r>
          </w:p>
        </w:tc>
        <w:tc>
          <w:tcPr>
            <w:tcW w:w="833" w:type="pct"/>
            <w:vAlign w:val="center"/>
          </w:tcPr>
          <w:p w14:paraId="2CB8473D">
            <w:pPr>
              <w:pStyle w:val="12"/>
              <w:jc w:val="center"/>
            </w:pPr>
            <w:r>
              <w:rPr>
                <w:rFonts w:hint="eastAsia"/>
              </w:rPr>
              <w:t>县水电局</w:t>
            </w:r>
          </w:p>
        </w:tc>
        <w:tc>
          <w:tcPr>
            <w:tcW w:w="833" w:type="pct"/>
            <w:gridSpan w:val="2"/>
            <w:vAlign w:val="center"/>
          </w:tcPr>
          <w:p w14:paraId="6B3D5E24">
            <w:pPr>
              <w:pStyle w:val="12"/>
              <w:jc w:val="center"/>
            </w:pPr>
            <w:r>
              <w:rPr>
                <w:rFonts w:hint="eastAsia"/>
              </w:rPr>
              <w:t>黄明炉</w:t>
            </w:r>
          </w:p>
        </w:tc>
        <w:tc>
          <w:tcPr>
            <w:tcW w:w="832" w:type="pct"/>
            <w:vMerge w:val="restart"/>
            <w:vAlign w:val="center"/>
          </w:tcPr>
          <w:p w14:paraId="194500B8">
            <w:pPr>
              <w:pStyle w:val="12"/>
              <w:jc w:val="center"/>
            </w:pPr>
            <w:r>
              <w:rPr>
                <w:rFonts w:hint="eastAsia"/>
              </w:rPr>
              <w:t>省科技干部局</w:t>
            </w:r>
          </w:p>
        </w:tc>
      </w:tr>
      <w:tr w14:paraId="2549DA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903" w:type="pct"/>
            <w:gridSpan w:val="2"/>
            <w:vAlign w:val="center"/>
          </w:tcPr>
          <w:p w14:paraId="68612949">
            <w:pPr>
              <w:pStyle w:val="12"/>
              <w:jc w:val="center"/>
            </w:pPr>
            <w:r>
              <w:rPr>
                <w:rFonts w:hint="eastAsia"/>
              </w:rPr>
              <w:t>县成人中专学校</w:t>
            </w:r>
          </w:p>
        </w:tc>
        <w:tc>
          <w:tcPr>
            <w:tcW w:w="762" w:type="pct"/>
            <w:vAlign w:val="center"/>
          </w:tcPr>
          <w:p w14:paraId="48604EAF">
            <w:pPr>
              <w:pStyle w:val="12"/>
              <w:jc w:val="center"/>
            </w:pPr>
            <w:r>
              <w:rPr>
                <w:rFonts w:hint="eastAsia"/>
              </w:rPr>
              <w:t>刘洪健</w:t>
            </w:r>
          </w:p>
        </w:tc>
        <w:tc>
          <w:tcPr>
            <w:tcW w:w="836" w:type="pct"/>
            <w:vMerge w:val="continue"/>
            <w:vAlign w:val="center"/>
          </w:tcPr>
          <w:p w14:paraId="3DE978D4">
            <w:pPr>
              <w:pStyle w:val="12"/>
              <w:jc w:val="center"/>
            </w:pPr>
          </w:p>
        </w:tc>
        <w:tc>
          <w:tcPr>
            <w:tcW w:w="833" w:type="pct"/>
            <w:vAlign w:val="center"/>
          </w:tcPr>
          <w:p w14:paraId="27A9FABE">
            <w:pPr>
              <w:pStyle w:val="12"/>
              <w:jc w:val="center"/>
            </w:pPr>
            <w:r>
              <w:rPr>
                <w:rFonts w:hint="eastAsia"/>
              </w:rPr>
              <w:t>县水保办</w:t>
            </w:r>
          </w:p>
        </w:tc>
        <w:tc>
          <w:tcPr>
            <w:tcW w:w="833" w:type="pct"/>
            <w:gridSpan w:val="2"/>
            <w:vAlign w:val="center"/>
          </w:tcPr>
          <w:p w14:paraId="3FB0D12E">
            <w:pPr>
              <w:pStyle w:val="12"/>
              <w:jc w:val="center"/>
            </w:pPr>
            <w:r>
              <w:rPr>
                <w:rFonts w:hint="eastAsia"/>
              </w:rPr>
              <w:t>王东华</w:t>
            </w:r>
          </w:p>
        </w:tc>
        <w:tc>
          <w:tcPr>
            <w:tcW w:w="832" w:type="pct"/>
            <w:vMerge w:val="continue"/>
            <w:vAlign w:val="center"/>
          </w:tcPr>
          <w:p w14:paraId="653EDD5B">
            <w:pPr>
              <w:pStyle w:val="12"/>
              <w:jc w:val="center"/>
            </w:pPr>
          </w:p>
        </w:tc>
      </w:tr>
      <w:tr w14:paraId="17EDF8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903" w:type="pct"/>
            <w:gridSpan w:val="2"/>
            <w:vAlign w:val="center"/>
          </w:tcPr>
          <w:p w14:paraId="6B21AB24">
            <w:pPr>
              <w:pStyle w:val="12"/>
              <w:jc w:val="center"/>
            </w:pPr>
            <w:r>
              <w:rPr>
                <w:rFonts w:hint="eastAsia"/>
              </w:rPr>
              <w:t>林业局</w:t>
            </w:r>
          </w:p>
        </w:tc>
        <w:tc>
          <w:tcPr>
            <w:tcW w:w="762" w:type="pct"/>
            <w:vAlign w:val="center"/>
          </w:tcPr>
          <w:p w14:paraId="466CE8A5">
            <w:pPr>
              <w:pStyle w:val="12"/>
              <w:jc w:val="center"/>
            </w:pPr>
            <w:r>
              <w:rPr>
                <w:rFonts w:hint="eastAsia"/>
              </w:rPr>
              <w:t>叶伟芳</w:t>
            </w:r>
          </w:p>
          <w:p w14:paraId="3CAE53F5">
            <w:pPr>
              <w:pStyle w:val="12"/>
              <w:jc w:val="center"/>
            </w:pPr>
            <w:r>
              <w:rPr>
                <w:rFonts w:hint="eastAsia"/>
              </w:rPr>
              <w:t>胡启煊</w:t>
            </w:r>
          </w:p>
        </w:tc>
        <w:tc>
          <w:tcPr>
            <w:tcW w:w="836" w:type="pct"/>
            <w:vAlign w:val="center"/>
          </w:tcPr>
          <w:p w14:paraId="290B24EF">
            <w:pPr>
              <w:pStyle w:val="12"/>
              <w:jc w:val="center"/>
            </w:pPr>
            <w:r>
              <w:rPr>
                <w:rFonts w:hint="eastAsia"/>
              </w:rPr>
              <w:t>韶关市职改</w:t>
            </w:r>
          </w:p>
          <w:p w14:paraId="07E2E539">
            <w:pPr>
              <w:pStyle w:val="12"/>
              <w:jc w:val="center"/>
            </w:pPr>
            <w:r>
              <w:rPr>
                <w:rFonts w:hint="eastAsia"/>
              </w:rPr>
              <w:t>领导小组</w:t>
            </w:r>
          </w:p>
        </w:tc>
        <w:tc>
          <w:tcPr>
            <w:tcW w:w="833" w:type="pct"/>
            <w:vAlign w:val="center"/>
          </w:tcPr>
          <w:p w14:paraId="75623D41">
            <w:pPr>
              <w:pStyle w:val="12"/>
              <w:jc w:val="center"/>
            </w:pPr>
            <w:r>
              <w:rPr>
                <w:rFonts w:hint="eastAsia"/>
              </w:rPr>
              <w:t>县烟草公司</w:t>
            </w:r>
          </w:p>
        </w:tc>
        <w:tc>
          <w:tcPr>
            <w:tcW w:w="833" w:type="pct"/>
            <w:gridSpan w:val="2"/>
            <w:vAlign w:val="center"/>
          </w:tcPr>
          <w:p w14:paraId="5C93A9A8">
            <w:pPr>
              <w:pStyle w:val="12"/>
              <w:jc w:val="center"/>
            </w:pPr>
            <w:r>
              <w:rPr>
                <w:rFonts w:hint="eastAsia"/>
              </w:rPr>
              <w:t>吴述永</w:t>
            </w:r>
          </w:p>
        </w:tc>
        <w:tc>
          <w:tcPr>
            <w:tcW w:w="832" w:type="pct"/>
            <w:vAlign w:val="center"/>
          </w:tcPr>
          <w:p w14:paraId="6706E769">
            <w:pPr>
              <w:pStyle w:val="12"/>
              <w:jc w:val="center"/>
            </w:pPr>
            <w:r>
              <w:rPr>
                <w:rFonts w:hint="eastAsia"/>
              </w:rPr>
              <w:t>省科技干部局</w:t>
            </w:r>
          </w:p>
        </w:tc>
      </w:tr>
      <w:tr w14:paraId="22E7A8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2502" w:type="pct"/>
            <w:gridSpan w:val="4"/>
            <w:vAlign w:val="center"/>
          </w:tcPr>
          <w:p w14:paraId="1A70E220">
            <w:pPr>
              <w:pStyle w:val="12"/>
              <w:jc w:val="center"/>
              <w:rPr>
                <w:b/>
              </w:rPr>
            </w:pPr>
            <w:r>
              <w:rPr>
                <w:rFonts w:hint="eastAsia"/>
                <w:b/>
              </w:rPr>
              <w:t>高级美术工艺师</w:t>
            </w:r>
          </w:p>
        </w:tc>
        <w:tc>
          <w:tcPr>
            <w:tcW w:w="2498" w:type="pct"/>
            <w:gridSpan w:val="4"/>
            <w:vAlign w:val="center"/>
          </w:tcPr>
          <w:p w14:paraId="6FE2AFA4">
            <w:pPr>
              <w:pStyle w:val="12"/>
              <w:jc w:val="center"/>
              <w:rPr>
                <w:b/>
              </w:rPr>
            </w:pPr>
            <w:r>
              <w:rPr>
                <w:rFonts w:hint="eastAsia"/>
                <w:b/>
              </w:rPr>
              <w:t>高级兽医（畜牧）师</w:t>
            </w:r>
          </w:p>
        </w:tc>
      </w:tr>
      <w:tr w14:paraId="2B05BB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903" w:type="pct"/>
            <w:gridSpan w:val="2"/>
            <w:vAlign w:val="center"/>
          </w:tcPr>
          <w:p w14:paraId="64EAEA80">
            <w:pPr>
              <w:pStyle w:val="12"/>
              <w:jc w:val="center"/>
            </w:pPr>
            <w:r>
              <w:rPr>
                <w:rFonts w:hint="eastAsia"/>
              </w:rPr>
              <w:t>县工艺美</w:t>
            </w:r>
          </w:p>
          <w:p w14:paraId="37694D7B">
            <w:pPr>
              <w:pStyle w:val="12"/>
              <w:jc w:val="center"/>
            </w:pPr>
            <w:r>
              <w:rPr>
                <w:rFonts w:hint="eastAsia"/>
              </w:rPr>
              <w:t>术研究所</w:t>
            </w:r>
          </w:p>
        </w:tc>
        <w:tc>
          <w:tcPr>
            <w:tcW w:w="762" w:type="pct"/>
            <w:vAlign w:val="center"/>
          </w:tcPr>
          <w:p w14:paraId="0A02E682">
            <w:pPr>
              <w:pStyle w:val="12"/>
              <w:jc w:val="center"/>
            </w:pPr>
            <w:r>
              <w:rPr>
                <w:rFonts w:hint="eastAsia"/>
              </w:rPr>
              <w:t>陈继彭</w:t>
            </w:r>
          </w:p>
        </w:tc>
        <w:tc>
          <w:tcPr>
            <w:tcW w:w="836" w:type="pct"/>
            <w:vAlign w:val="center"/>
          </w:tcPr>
          <w:p w14:paraId="15D9EC92">
            <w:pPr>
              <w:pStyle w:val="12"/>
              <w:jc w:val="center"/>
            </w:pPr>
            <w:r>
              <w:rPr>
                <w:rFonts w:hint="eastAsia"/>
              </w:rPr>
              <w:t>省科技干部局</w:t>
            </w:r>
          </w:p>
        </w:tc>
        <w:tc>
          <w:tcPr>
            <w:tcW w:w="833" w:type="pct"/>
            <w:vAlign w:val="center"/>
          </w:tcPr>
          <w:p w14:paraId="1A8AAA88">
            <w:pPr>
              <w:pStyle w:val="12"/>
              <w:jc w:val="center"/>
            </w:pPr>
            <w:r>
              <w:rPr>
                <w:rFonts w:hint="eastAsia"/>
              </w:rPr>
              <w:t>畜牧局</w:t>
            </w:r>
          </w:p>
        </w:tc>
        <w:tc>
          <w:tcPr>
            <w:tcW w:w="833" w:type="pct"/>
            <w:gridSpan w:val="2"/>
            <w:vAlign w:val="center"/>
          </w:tcPr>
          <w:p w14:paraId="2BBB2E77">
            <w:pPr>
              <w:pStyle w:val="12"/>
              <w:jc w:val="center"/>
            </w:pPr>
            <w:r>
              <w:rPr>
                <w:rFonts w:hint="eastAsia"/>
              </w:rPr>
              <w:t>沈迪翠</w:t>
            </w:r>
          </w:p>
          <w:p w14:paraId="1C476919">
            <w:pPr>
              <w:pStyle w:val="12"/>
              <w:jc w:val="center"/>
            </w:pPr>
            <w:r>
              <w:rPr>
                <w:rFonts w:hint="eastAsia"/>
              </w:rPr>
              <w:t>梁杰榉</w:t>
            </w:r>
          </w:p>
          <w:p w14:paraId="46A2166A">
            <w:pPr>
              <w:pStyle w:val="12"/>
              <w:jc w:val="center"/>
            </w:pPr>
            <w:r>
              <w:rPr>
                <w:rFonts w:hint="eastAsia"/>
              </w:rPr>
              <w:t>赵春信</w:t>
            </w:r>
          </w:p>
          <w:p w14:paraId="05F5DA93">
            <w:pPr>
              <w:pStyle w:val="12"/>
              <w:jc w:val="center"/>
            </w:pPr>
            <w:r>
              <w:rPr>
                <w:rFonts w:hint="eastAsia"/>
              </w:rPr>
              <w:t>黄先梅</w:t>
            </w:r>
          </w:p>
        </w:tc>
        <w:tc>
          <w:tcPr>
            <w:tcW w:w="832" w:type="pct"/>
            <w:vMerge w:val="restart"/>
            <w:vAlign w:val="center"/>
          </w:tcPr>
          <w:p w14:paraId="524C2573">
            <w:pPr>
              <w:pStyle w:val="12"/>
              <w:jc w:val="center"/>
            </w:pPr>
            <w:r>
              <w:rPr>
                <w:rFonts w:hint="eastAsia"/>
              </w:rPr>
              <w:t>韶关市职改</w:t>
            </w:r>
          </w:p>
          <w:p w14:paraId="0997CAB3">
            <w:pPr>
              <w:pStyle w:val="12"/>
              <w:jc w:val="center"/>
            </w:pPr>
            <w:r>
              <w:rPr>
                <w:rFonts w:hint="eastAsia"/>
              </w:rPr>
              <w:t>领导小组</w:t>
            </w:r>
          </w:p>
        </w:tc>
      </w:tr>
      <w:tr w14:paraId="3FE24E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2502" w:type="pct"/>
            <w:gridSpan w:val="4"/>
            <w:vAlign w:val="center"/>
          </w:tcPr>
          <w:p w14:paraId="5E700395">
            <w:pPr>
              <w:pStyle w:val="12"/>
              <w:jc w:val="center"/>
              <w:rPr>
                <w:b/>
              </w:rPr>
            </w:pPr>
            <w:r>
              <w:rPr>
                <w:rFonts w:hint="eastAsia"/>
                <w:b/>
              </w:rPr>
              <w:t>高级农艺师</w:t>
            </w:r>
          </w:p>
        </w:tc>
        <w:tc>
          <w:tcPr>
            <w:tcW w:w="833" w:type="pct"/>
            <w:vAlign w:val="center"/>
          </w:tcPr>
          <w:p w14:paraId="7C37BA1C">
            <w:pPr>
              <w:pStyle w:val="12"/>
              <w:jc w:val="center"/>
            </w:pPr>
            <w:r>
              <w:rPr>
                <w:rFonts w:hint="eastAsia"/>
              </w:rPr>
              <w:t>科委</w:t>
            </w:r>
          </w:p>
        </w:tc>
        <w:tc>
          <w:tcPr>
            <w:tcW w:w="833" w:type="pct"/>
            <w:gridSpan w:val="2"/>
            <w:vAlign w:val="center"/>
          </w:tcPr>
          <w:p w14:paraId="7F3B9A15">
            <w:pPr>
              <w:pStyle w:val="12"/>
              <w:jc w:val="center"/>
            </w:pPr>
            <w:r>
              <w:rPr>
                <w:rFonts w:hint="eastAsia"/>
              </w:rPr>
              <w:t>吴庆中</w:t>
            </w:r>
          </w:p>
        </w:tc>
        <w:tc>
          <w:tcPr>
            <w:tcW w:w="832" w:type="pct"/>
            <w:vMerge w:val="continue"/>
            <w:vAlign w:val="center"/>
          </w:tcPr>
          <w:p w14:paraId="7BA04F3E">
            <w:pPr>
              <w:pStyle w:val="12"/>
              <w:jc w:val="center"/>
            </w:pPr>
          </w:p>
        </w:tc>
      </w:tr>
      <w:tr w14:paraId="38DCAE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 w:hRule="atLeast"/>
        </w:trPr>
        <w:tc>
          <w:tcPr>
            <w:tcW w:w="903" w:type="pct"/>
            <w:gridSpan w:val="2"/>
            <w:vMerge w:val="restart"/>
            <w:vAlign w:val="center"/>
          </w:tcPr>
          <w:p w14:paraId="093510DE">
            <w:pPr>
              <w:pStyle w:val="12"/>
              <w:jc w:val="center"/>
            </w:pPr>
            <w:r>
              <w:rPr>
                <w:rFonts w:hint="eastAsia"/>
              </w:rPr>
              <w:t>县农业局</w:t>
            </w:r>
          </w:p>
        </w:tc>
        <w:tc>
          <w:tcPr>
            <w:tcW w:w="762" w:type="pct"/>
            <w:vMerge w:val="restart"/>
            <w:vAlign w:val="center"/>
          </w:tcPr>
          <w:p w14:paraId="6B14B904">
            <w:pPr>
              <w:pStyle w:val="12"/>
              <w:jc w:val="center"/>
            </w:pPr>
            <w:r>
              <w:rPr>
                <w:rFonts w:hint="eastAsia"/>
              </w:rPr>
              <w:t>黄以安</w:t>
            </w:r>
          </w:p>
          <w:p w14:paraId="3C1F6478">
            <w:pPr>
              <w:pStyle w:val="12"/>
              <w:jc w:val="center"/>
            </w:pPr>
            <w:r>
              <w:rPr>
                <w:rFonts w:hint="eastAsia"/>
              </w:rPr>
              <w:t>王焕松</w:t>
            </w:r>
          </w:p>
          <w:p w14:paraId="0BB8CB60">
            <w:pPr>
              <w:pStyle w:val="12"/>
              <w:jc w:val="center"/>
            </w:pPr>
            <w:r>
              <w:rPr>
                <w:rFonts w:hint="eastAsia"/>
              </w:rPr>
              <w:t>侯灌兴</w:t>
            </w:r>
          </w:p>
          <w:p w14:paraId="26B9C567">
            <w:pPr>
              <w:pStyle w:val="12"/>
              <w:jc w:val="center"/>
            </w:pPr>
            <w:r>
              <w:rPr>
                <w:rFonts w:hint="eastAsia"/>
              </w:rPr>
              <w:t>彭尚权</w:t>
            </w:r>
          </w:p>
          <w:p w14:paraId="6FDA6D6F">
            <w:pPr>
              <w:pStyle w:val="12"/>
              <w:jc w:val="center"/>
            </w:pPr>
            <w:r>
              <w:rPr>
                <w:rFonts w:hint="eastAsia"/>
              </w:rPr>
              <w:t>李水云</w:t>
            </w:r>
          </w:p>
          <w:p w14:paraId="023A6D0F">
            <w:pPr>
              <w:pStyle w:val="12"/>
              <w:jc w:val="center"/>
            </w:pPr>
            <w:r>
              <w:rPr>
                <w:rFonts w:hint="eastAsia"/>
              </w:rPr>
              <w:t>李祥新</w:t>
            </w:r>
          </w:p>
          <w:p w14:paraId="41CA6C45">
            <w:pPr>
              <w:pStyle w:val="12"/>
              <w:jc w:val="center"/>
            </w:pPr>
            <w:r>
              <w:rPr>
                <w:rFonts w:hint="eastAsia"/>
              </w:rPr>
              <w:t>叶文炎</w:t>
            </w:r>
          </w:p>
          <w:p w14:paraId="20B47779">
            <w:pPr>
              <w:pStyle w:val="12"/>
              <w:jc w:val="center"/>
            </w:pPr>
            <w:r>
              <w:rPr>
                <w:rFonts w:hint="eastAsia"/>
              </w:rPr>
              <w:t>邬金如</w:t>
            </w:r>
          </w:p>
          <w:p w14:paraId="4781BA66">
            <w:pPr>
              <w:pStyle w:val="12"/>
              <w:jc w:val="center"/>
            </w:pPr>
            <w:r>
              <w:rPr>
                <w:rFonts w:hint="eastAsia"/>
              </w:rPr>
              <w:t>罗德仁</w:t>
            </w:r>
          </w:p>
          <w:p w14:paraId="084F76E3">
            <w:pPr>
              <w:pStyle w:val="12"/>
              <w:jc w:val="center"/>
            </w:pPr>
            <w:r>
              <w:rPr>
                <w:rFonts w:hint="eastAsia"/>
              </w:rPr>
              <w:t>罗木泉</w:t>
            </w:r>
          </w:p>
          <w:p w14:paraId="6816E495">
            <w:pPr>
              <w:pStyle w:val="12"/>
              <w:jc w:val="center"/>
            </w:pPr>
            <w:r>
              <w:rPr>
                <w:rFonts w:hint="eastAsia"/>
              </w:rPr>
              <w:t>朱镜华</w:t>
            </w:r>
          </w:p>
          <w:p w14:paraId="0A1B9849">
            <w:pPr>
              <w:pStyle w:val="12"/>
              <w:jc w:val="center"/>
            </w:pPr>
            <w:r>
              <w:rPr>
                <w:rFonts w:hint="eastAsia"/>
              </w:rPr>
              <w:t>胡家昌</w:t>
            </w:r>
          </w:p>
          <w:p w14:paraId="6D76F0F5">
            <w:pPr>
              <w:pStyle w:val="12"/>
              <w:jc w:val="center"/>
            </w:pPr>
            <w:r>
              <w:rPr>
                <w:rFonts w:hint="eastAsia"/>
              </w:rPr>
              <w:t>何森桂</w:t>
            </w:r>
          </w:p>
          <w:p w14:paraId="18254B2E">
            <w:pPr>
              <w:pStyle w:val="12"/>
              <w:jc w:val="center"/>
            </w:pPr>
            <w:r>
              <w:rPr>
                <w:rFonts w:hint="eastAsia"/>
              </w:rPr>
              <w:t>冯双胜</w:t>
            </w:r>
          </w:p>
          <w:p w14:paraId="2EE76D0E">
            <w:pPr>
              <w:pStyle w:val="12"/>
              <w:jc w:val="center"/>
            </w:pPr>
            <w:r>
              <w:rPr>
                <w:rFonts w:hint="eastAsia"/>
              </w:rPr>
              <w:t>马召米</w:t>
            </w:r>
          </w:p>
          <w:p w14:paraId="7D8B1845">
            <w:pPr>
              <w:pStyle w:val="12"/>
              <w:jc w:val="center"/>
            </w:pPr>
            <w:r>
              <w:rPr>
                <w:rFonts w:hint="eastAsia"/>
              </w:rPr>
              <w:t>郑惠彰</w:t>
            </w:r>
          </w:p>
          <w:p w14:paraId="061FEB01">
            <w:pPr>
              <w:pStyle w:val="12"/>
              <w:jc w:val="center"/>
            </w:pPr>
            <w:r>
              <w:rPr>
                <w:rFonts w:hint="eastAsia"/>
              </w:rPr>
              <w:t>钟祥富</w:t>
            </w:r>
          </w:p>
          <w:p w14:paraId="7EB1593B">
            <w:pPr>
              <w:pStyle w:val="12"/>
              <w:jc w:val="center"/>
            </w:pPr>
            <w:r>
              <w:rPr>
                <w:rFonts w:hint="eastAsia"/>
              </w:rPr>
              <w:t>卢德国</w:t>
            </w:r>
          </w:p>
        </w:tc>
        <w:tc>
          <w:tcPr>
            <w:tcW w:w="836" w:type="pct"/>
            <w:vMerge w:val="restart"/>
            <w:vAlign w:val="center"/>
          </w:tcPr>
          <w:p w14:paraId="19C613C4">
            <w:pPr>
              <w:pStyle w:val="12"/>
              <w:jc w:val="center"/>
            </w:pPr>
            <w:r>
              <w:rPr>
                <w:rFonts w:hint="eastAsia"/>
              </w:rPr>
              <w:t>韶关市职改</w:t>
            </w:r>
          </w:p>
          <w:p w14:paraId="59E52103">
            <w:pPr>
              <w:pStyle w:val="12"/>
              <w:jc w:val="center"/>
            </w:pPr>
            <w:r>
              <w:rPr>
                <w:rFonts w:hint="eastAsia"/>
              </w:rPr>
              <w:t>领导小组</w:t>
            </w:r>
          </w:p>
        </w:tc>
        <w:tc>
          <w:tcPr>
            <w:tcW w:w="2498" w:type="pct"/>
            <w:gridSpan w:val="4"/>
            <w:vAlign w:val="center"/>
          </w:tcPr>
          <w:p w14:paraId="64AD7FA2">
            <w:pPr>
              <w:pStyle w:val="12"/>
              <w:jc w:val="center"/>
              <w:rPr>
                <w:b/>
              </w:rPr>
            </w:pPr>
            <w:r>
              <w:rPr>
                <w:rFonts w:hint="eastAsia"/>
                <w:b/>
              </w:rPr>
              <w:t>高级会计师</w:t>
            </w:r>
          </w:p>
        </w:tc>
      </w:tr>
      <w:tr w14:paraId="5F9498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0" w:hRule="atLeast"/>
        </w:trPr>
        <w:tc>
          <w:tcPr>
            <w:tcW w:w="903" w:type="pct"/>
            <w:gridSpan w:val="2"/>
            <w:vMerge w:val="continue"/>
            <w:vAlign w:val="center"/>
          </w:tcPr>
          <w:p w14:paraId="663FFD28">
            <w:pPr>
              <w:pStyle w:val="12"/>
              <w:jc w:val="center"/>
            </w:pPr>
          </w:p>
        </w:tc>
        <w:tc>
          <w:tcPr>
            <w:tcW w:w="762" w:type="pct"/>
            <w:vMerge w:val="continue"/>
            <w:vAlign w:val="center"/>
          </w:tcPr>
          <w:p w14:paraId="74874983">
            <w:pPr>
              <w:pStyle w:val="12"/>
              <w:jc w:val="center"/>
            </w:pPr>
          </w:p>
        </w:tc>
        <w:tc>
          <w:tcPr>
            <w:tcW w:w="836" w:type="pct"/>
            <w:vMerge w:val="continue"/>
            <w:vAlign w:val="center"/>
          </w:tcPr>
          <w:p w14:paraId="309CEFB3">
            <w:pPr>
              <w:pStyle w:val="12"/>
              <w:jc w:val="center"/>
            </w:pPr>
          </w:p>
        </w:tc>
        <w:tc>
          <w:tcPr>
            <w:tcW w:w="833" w:type="pct"/>
            <w:vAlign w:val="center"/>
          </w:tcPr>
          <w:p w14:paraId="382355A0">
            <w:pPr>
              <w:pStyle w:val="12"/>
              <w:jc w:val="center"/>
            </w:pPr>
            <w:r>
              <w:rPr>
                <w:rFonts w:hint="eastAsia"/>
              </w:rPr>
              <w:t>财政局</w:t>
            </w:r>
          </w:p>
        </w:tc>
        <w:tc>
          <w:tcPr>
            <w:tcW w:w="833" w:type="pct"/>
            <w:gridSpan w:val="2"/>
            <w:vAlign w:val="center"/>
          </w:tcPr>
          <w:p w14:paraId="5686AE04">
            <w:pPr>
              <w:pStyle w:val="12"/>
              <w:jc w:val="center"/>
            </w:pPr>
            <w:r>
              <w:rPr>
                <w:rFonts w:hint="eastAsia"/>
              </w:rPr>
              <w:t>钟文生</w:t>
            </w:r>
          </w:p>
        </w:tc>
        <w:tc>
          <w:tcPr>
            <w:tcW w:w="832" w:type="pct"/>
            <w:vAlign w:val="center"/>
          </w:tcPr>
          <w:p w14:paraId="408C7CE1">
            <w:pPr>
              <w:pStyle w:val="12"/>
              <w:jc w:val="center"/>
            </w:pPr>
            <w:r>
              <w:rPr>
                <w:rFonts w:hint="eastAsia"/>
              </w:rPr>
              <w:t>韶关市职改领导小组</w:t>
            </w:r>
          </w:p>
        </w:tc>
      </w:tr>
      <w:tr w14:paraId="2AFEA4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4" w:hRule="atLeast"/>
        </w:trPr>
        <w:tc>
          <w:tcPr>
            <w:tcW w:w="903" w:type="pct"/>
            <w:gridSpan w:val="2"/>
            <w:vMerge w:val="continue"/>
            <w:vAlign w:val="center"/>
          </w:tcPr>
          <w:p w14:paraId="04110733">
            <w:pPr>
              <w:pStyle w:val="12"/>
              <w:jc w:val="center"/>
            </w:pPr>
          </w:p>
        </w:tc>
        <w:tc>
          <w:tcPr>
            <w:tcW w:w="762" w:type="pct"/>
            <w:vMerge w:val="continue"/>
            <w:vAlign w:val="center"/>
          </w:tcPr>
          <w:p w14:paraId="1F4CA73E">
            <w:pPr>
              <w:pStyle w:val="12"/>
              <w:jc w:val="center"/>
            </w:pPr>
          </w:p>
        </w:tc>
        <w:tc>
          <w:tcPr>
            <w:tcW w:w="836" w:type="pct"/>
            <w:vMerge w:val="continue"/>
            <w:vAlign w:val="center"/>
          </w:tcPr>
          <w:p w14:paraId="716AC571">
            <w:pPr>
              <w:pStyle w:val="12"/>
              <w:jc w:val="center"/>
            </w:pPr>
          </w:p>
        </w:tc>
        <w:tc>
          <w:tcPr>
            <w:tcW w:w="2498" w:type="pct"/>
            <w:gridSpan w:val="4"/>
            <w:vAlign w:val="center"/>
          </w:tcPr>
          <w:p w14:paraId="55CABB2E">
            <w:pPr>
              <w:pStyle w:val="12"/>
              <w:jc w:val="center"/>
              <w:rPr>
                <w:b/>
              </w:rPr>
            </w:pPr>
            <w:r>
              <w:rPr>
                <w:rFonts w:hint="eastAsia"/>
                <w:b/>
              </w:rPr>
              <w:t>高级经济师</w:t>
            </w:r>
          </w:p>
        </w:tc>
      </w:tr>
      <w:tr w14:paraId="651CE5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903" w:type="pct"/>
            <w:gridSpan w:val="2"/>
            <w:vMerge w:val="continue"/>
            <w:vAlign w:val="center"/>
          </w:tcPr>
          <w:p w14:paraId="2201C276">
            <w:pPr>
              <w:pStyle w:val="12"/>
              <w:jc w:val="center"/>
            </w:pPr>
          </w:p>
        </w:tc>
        <w:tc>
          <w:tcPr>
            <w:tcW w:w="762" w:type="pct"/>
            <w:vMerge w:val="continue"/>
            <w:vAlign w:val="center"/>
          </w:tcPr>
          <w:p w14:paraId="755FF361">
            <w:pPr>
              <w:pStyle w:val="12"/>
              <w:jc w:val="center"/>
            </w:pPr>
          </w:p>
        </w:tc>
        <w:tc>
          <w:tcPr>
            <w:tcW w:w="836" w:type="pct"/>
            <w:vMerge w:val="continue"/>
            <w:vAlign w:val="center"/>
          </w:tcPr>
          <w:p w14:paraId="4B6C5C12">
            <w:pPr>
              <w:pStyle w:val="12"/>
              <w:jc w:val="center"/>
            </w:pPr>
          </w:p>
        </w:tc>
        <w:tc>
          <w:tcPr>
            <w:tcW w:w="833" w:type="pct"/>
            <w:vAlign w:val="center"/>
          </w:tcPr>
          <w:p w14:paraId="008EF475">
            <w:pPr>
              <w:pStyle w:val="12"/>
              <w:jc w:val="center"/>
            </w:pPr>
            <w:r>
              <w:rPr>
                <w:rFonts w:hint="eastAsia"/>
              </w:rPr>
              <w:t>体改委</w:t>
            </w:r>
          </w:p>
        </w:tc>
        <w:tc>
          <w:tcPr>
            <w:tcW w:w="833" w:type="pct"/>
            <w:gridSpan w:val="2"/>
            <w:vAlign w:val="center"/>
          </w:tcPr>
          <w:p w14:paraId="333E9260">
            <w:pPr>
              <w:pStyle w:val="12"/>
              <w:jc w:val="center"/>
            </w:pPr>
            <w:r>
              <w:rPr>
                <w:rFonts w:hint="eastAsia"/>
              </w:rPr>
              <w:t>张寿康</w:t>
            </w:r>
          </w:p>
          <w:p w14:paraId="77F91776">
            <w:pPr>
              <w:pStyle w:val="12"/>
              <w:jc w:val="center"/>
            </w:pPr>
            <w:r>
              <w:rPr>
                <w:rFonts w:hint="eastAsia"/>
              </w:rPr>
              <w:t>张漳爱</w:t>
            </w:r>
          </w:p>
        </w:tc>
        <w:tc>
          <w:tcPr>
            <w:tcW w:w="832" w:type="pct"/>
            <w:vAlign w:val="center"/>
          </w:tcPr>
          <w:p w14:paraId="73F4E149">
            <w:pPr>
              <w:pStyle w:val="12"/>
              <w:jc w:val="center"/>
            </w:pPr>
            <w:r>
              <w:rPr>
                <w:rFonts w:hint="eastAsia"/>
              </w:rPr>
              <w:t>韶关市职改领导小组</w:t>
            </w:r>
          </w:p>
        </w:tc>
      </w:tr>
      <w:tr w14:paraId="40F1D5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903" w:type="pct"/>
            <w:gridSpan w:val="2"/>
            <w:vMerge w:val="continue"/>
            <w:vAlign w:val="center"/>
          </w:tcPr>
          <w:p w14:paraId="60E534A5">
            <w:pPr>
              <w:pStyle w:val="12"/>
              <w:jc w:val="center"/>
            </w:pPr>
          </w:p>
        </w:tc>
        <w:tc>
          <w:tcPr>
            <w:tcW w:w="762" w:type="pct"/>
            <w:vMerge w:val="continue"/>
            <w:vAlign w:val="center"/>
          </w:tcPr>
          <w:p w14:paraId="5549B591">
            <w:pPr>
              <w:pStyle w:val="12"/>
              <w:jc w:val="center"/>
            </w:pPr>
          </w:p>
        </w:tc>
        <w:tc>
          <w:tcPr>
            <w:tcW w:w="836" w:type="pct"/>
            <w:vMerge w:val="continue"/>
            <w:vAlign w:val="center"/>
          </w:tcPr>
          <w:p w14:paraId="20B2804F">
            <w:pPr>
              <w:pStyle w:val="12"/>
              <w:jc w:val="center"/>
            </w:pPr>
          </w:p>
        </w:tc>
        <w:tc>
          <w:tcPr>
            <w:tcW w:w="833" w:type="pct"/>
            <w:vAlign w:val="center"/>
          </w:tcPr>
          <w:p w14:paraId="79178518">
            <w:pPr>
              <w:pStyle w:val="12"/>
              <w:jc w:val="center"/>
            </w:pPr>
            <w:r>
              <w:rPr>
                <w:rFonts w:hint="eastAsia"/>
              </w:rPr>
              <w:t>农业银行</w:t>
            </w:r>
          </w:p>
        </w:tc>
        <w:tc>
          <w:tcPr>
            <w:tcW w:w="833" w:type="pct"/>
            <w:gridSpan w:val="2"/>
            <w:vAlign w:val="center"/>
          </w:tcPr>
          <w:p w14:paraId="1E165E98">
            <w:pPr>
              <w:pStyle w:val="12"/>
              <w:jc w:val="center"/>
            </w:pPr>
            <w:r>
              <w:rPr>
                <w:rFonts w:hint="eastAsia"/>
              </w:rPr>
              <w:t>肖芬尧</w:t>
            </w:r>
          </w:p>
        </w:tc>
        <w:tc>
          <w:tcPr>
            <w:tcW w:w="832" w:type="pct"/>
            <w:vAlign w:val="center"/>
          </w:tcPr>
          <w:p w14:paraId="44950E10">
            <w:pPr>
              <w:pStyle w:val="12"/>
              <w:jc w:val="center"/>
            </w:pPr>
            <w:r>
              <w:rPr>
                <w:rFonts w:hint="eastAsia"/>
              </w:rPr>
              <w:t>中国农业银行高评委</w:t>
            </w:r>
          </w:p>
        </w:tc>
      </w:tr>
      <w:tr w14:paraId="52ECE3E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7" w:hRule="atLeast"/>
        </w:trPr>
        <w:tc>
          <w:tcPr>
            <w:tcW w:w="903" w:type="pct"/>
            <w:gridSpan w:val="2"/>
            <w:vMerge w:val="continue"/>
            <w:vAlign w:val="center"/>
          </w:tcPr>
          <w:p w14:paraId="077C8456">
            <w:pPr>
              <w:pStyle w:val="12"/>
              <w:jc w:val="center"/>
            </w:pPr>
          </w:p>
        </w:tc>
        <w:tc>
          <w:tcPr>
            <w:tcW w:w="762" w:type="pct"/>
            <w:vMerge w:val="continue"/>
            <w:vAlign w:val="center"/>
          </w:tcPr>
          <w:p w14:paraId="52C8B7CC">
            <w:pPr>
              <w:pStyle w:val="12"/>
              <w:jc w:val="center"/>
            </w:pPr>
          </w:p>
        </w:tc>
        <w:tc>
          <w:tcPr>
            <w:tcW w:w="836" w:type="pct"/>
            <w:vMerge w:val="continue"/>
            <w:vAlign w:val="center"/>
          </w:tcPr>
          <w:p w14:paraId="01261709">
            <w:pPr>
              <w:pStyle w:val="12"/>
              <w:jc w:val="center"/>
            </w:pPr>
          </w:p>
        </w:tc>
        <w:tc>
          <w:tcPr>
            <w:tcW w:w="2498" w:type="pct"/>
            <w:gridSpan w:val="4"/>
            <w:vAlign w:val="center"/>
          </w:tcPr>
          <w:p w14:paraId="0EE8FDAC">
            <w:pPr>
              <w:pStyle w:val="12"/>
              <w:jc w:val="center"/>
              <w:rPr>
                <w:b/>
              </w:rPr>
            </w:pPr>
            <w:r>
              <w:rPr>
                <w:rFonts w:hint="eastAsia"/>
                <w:b/>
              </w:rPr>
              <w:t>副研究员</w:t>
            </w:r>
          </w:p>
        </w:tc>
      </w:tr>
      <w:tr w14:paraId="6B2F87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5" w:hRule="atLeast"/>
        </w:trPr>
        <w:tc>
          <w:tcPr>
            <w:tcW w:w="903" w:type="pct"/>
            <w:gridSpan w:val="2"/>
            <w:vMerge w:val="continue"/>
            <w:vAlign w:val="center"/>
          </w:tcPr>
          <w:p w14:paraId="6A5777CB">
            <w:pPr>
              <w:pStyle w:val="12"/>
              <w:jc w:val="center"/>
            </w:pPr>
          </w:p>
        </w:tc>
        <w:tc>
          <w:tcPr>
            <w:tcW w:w="762" w:type="pct"/>
            <w:vMerge w:val="continue"/>
            <w:vAlign w:val="center"/>
          </w:tcPr>
          <w:p w14:paraId="35AC288F">
            <w:pPr>
              <w:pStyle w:val="12"/>
              <w:jc w:val="center"/>
            </w:pPr>
          </w:p>
        </w:tc>
        <w:tc>
          <w:tcPr>
            <w:tcW w:w="836" w:type="pct"/>
            <w:vMerge w:val="continue"/>
            <w:vAlign w:val="center"/>
          </w:tcPr>
          <w:p w14:paraId="70BADC40">
            <w:pPr>
              <w:pStyle w:val="12"/>
              <w:jc w:val="center"/>
            </w:pPr>
          </w:p>
        </w:tc>
        <w:tc>
          <w:tcPr>
            <w:tcW w:w="833" w:type="pct"/>
            <w:vAlign w:val="center"/>
          </w:tcPr>
          <w:p w14:paraId="543F7C7C">
            <w:pPr>
              <w:pStyle w:val="12"/>
              <w:jc w:val="center"/>
            </w:pPr>
            <w:r>
              <w:rPr>
                <w:rFonts w:hint="eastAsia"/>
              </w:rPr>
              <w:t>县志办</w:t>
            </w:r>
          </w:p>
        </w:tc>
        <w:tc>
          <w:tcPr>
            <w:tcW w:w="833" w:type="pct"/>
            <w:gridSpan w:val="2"/>
            <w:vAlign w:val="center"/>
          </w:tcPr>
          <w:p w14:paraId="56631FAB">
            <w:pPr>
              <w:pStyle w:val="12"/>
              <w:jc w:val="center"/>
            </w:pPr>
            <w:r>
              <w:rPr>
                <w:rFonts w:hint="eastAsia"/>
              </w:rPr>
              <w:t>魏家琼</w:t>
            </w:r>
          </w:p>
        </w:tc>
        <w:tc>
          <w:tcPr>
            <w:tcW w:w="832" w:type="pct"/>
            <w:vAlign w:val="center"/>
          </w:tcPr>
          <w:p w14:paraId="46D1A0F2">
            <w:pPr>
              <w:pStyle w:val="12"/>
              <w:jc w:val="center"/>
            </w:pPr>
          </w:p>
        </w:tc>
      </w:tr>
      <w:tr w14:paraId="60C67F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5" w:hRule="atLeast"/>
        </w:trPr>
        <w:tc>
          <w:tcPr>
            <w:tcW w:w="903" w:type="pct"/>
            <w:gridSpan w:val="2"/>
            <w:vMerge w:val="continue"/>
            <w:vAlign w:val="center"/>
          </w:tcPr>
          <w:p w14:paraId="34AEA252">
            <w:pPr>
              <w:pStyle w:val="12"/>
              <w:jc w:val="center"/>
            </w:pPr>
          </w:p>
        </w:tc>
        <w:tc>
          <w:tcPr>
            <w:tcW w:w="762" w:type="pct"/>
            <w:vMerge w:val="continue"/>
            <w:vAlign w:val="center"/>
          </w:tcPr>
          <w:p w14:paraId="17368DE6">
            <w:pPr>
              <w:pStyle w:val="12"/>
              <w:jc w:val="center"/>
            </w:pPr>
          </w:p>
        </w:tc>
        <w:tc>
          <w:tcPr>
            <w:tcW w:w="836" w:type="pct"/>
            <w:vMerge w:val="continue"/>
            <w:vAlign w:val="center"/>
          </w:tcPr>
          <w:p w14:paraId="618C475A">
            <w:pPr>
              <w:pStyle w:val="12"/>
              <w:jc w:val="center"/>
            </w:pPr>
          </w:p>
        </w:tc>
        <w:tc>
          <w:tcPr>
            <w:tcW w:w="833" w:type="pct"/>
            <w:vAlign w:val="center"/>
          </w:tcPr>
          <w:p w14:paraId="15B1D2E1">
            <w:pPr>
              <w:pStyle w:val="12"/>
              <w:jc w:val="center"/>
            </w:pPr>
            <w:r>
              <w:rPr>
                <w:rFonts w:hint="eastAsia"/>
              </w:rPr>
              <w:t>党史办</w:t>
            </w:r>
          </w:p>
        </w:tc>
        <w:tc>
          <w:tcPr>
            <w:tcW w:w="833" w:type="pct"/>
            <w:gridSpan w:val="2"/>
            <w:vAlign w:val="center"/>
          </w:tcPr>
          <w:p w14:paraId="5FCFF6AC">
            <w:pPr>
              <w:pStyle w:val="12"/>
              <w:jc w:val="center"/>
            </w:pPr>
            <w:r>
              <w:rPr>
                <w:rFonts w:hint="eastAsia"/>
              </w:rPr>
              <w:t>钟祥胜</w:t>
            </w:r>
          </w:p>
        </w:tc>
        <w:tc>
          <w:tcPr>
            <w:tcW w:w="832" w:type="pct"/>
            <w:vAlign w:val="center"/>
          </w:tcPr>
          <w:p w14:paraId="71FCE423">
            <w:pPr>
              <w:pStyle w:val="12"/>
              <w:jc w:val="center"/>
            </w:pPr>
            <w:r>
              <w:rPr>
                <w:rFonts w:hint="eastAsia"/>
              </w:rPr>
              <w:t>省科技干部局</w:t>
            </w:r>
          </w:p>
        </w:tc>
      </w:tr>
      <w:tr w14:paraId="713430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903" w:type="pct"/>
            <w:gridSpan w:val="2"/>
            <w:vMerge w:val="continue"/>
            <w:vAlign w:val="center"/>
          </w:tcPr>
          <w:p w14:paraId="13CDA6A7">
            <w:pPr>
              <w:pStyle w:val="12"/>
              <w:jc w:val="center"/>
            </w:pPr>
          </w:p>
        </w:tc>
        <w:tc>
          <w:tcPr>
            <w:tcW w:w="762" w:type="pct"/>
            <w:vMerge w:val="continue"/>
            <w:vAlign w:val="center"/>
          </w:tcPr>
          <w:p w14:paraId="0B8C97E6">
            <w:pPr>
              <w:pStyle w:val="12"/>
              <w:jc w:val="center"/>
            </w:pPr>
          </w:p>
        </w:tc>
        <w:tc>
          <w:tcPr>
            <w:tcW w:w="836" w:type="pct"/>
            <w:vMerge w:val="continue"/>
            <w:vAlign w:val="center"/>
          </w:tcPr>
          <w:p w14:paraId="0487B089">
            <w:pPr>
              <w:pStyle w:val="12"/>
              <w:jc w:val="center"/>
            </w:pPr>
          </w:p>
        </w:tc>
        <w:tc>
          <w:tcPr>
            <w:tcW w:w="2498" w:type="pct"/>
            <w:gridSpan w:val="4"/>
            <w:vAlign w:val="center"/>
          </w:tcPr>
          <w:p w14:paraId="397F66EE">
            <w:pPr>
              <w:pStyle w:val="12"/>
              <w:jc w:val="center"/>
              <w:rPr>
                <w:b/>
              </w:rPr>
            </w:pPr>
            <w:r>
              <w:rPr>
                <w:rFonts w:hint="eastAsia"/>
                <w:b/>
              </w:rPr>
              <w:t>高级政工师</w:t>
            </w:r>
          </w:p>
        </w:tc>
      </w:tr>
      <w:tr w14:paraId="6BA5E0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903" w:type="pct"/>
            <w:gridSpan w:val="2"/>
            <w:vAlign w:val="center"/>
          </w:tcPr>
          <w:p w14:paraId="608DC7EA">
            <w:pPr>
              <w:pStyle w:val="12"/>
              <w:jc w:val="center"/>
            </w:pPr>
            <w:r>
              <w:rPr>
                <w:rFonts w:hint="eastAsia"/>
              </w:rPr>
              <w:t>县科委</w:t>
            </w:r>
          </w:p>
        </w:tc>
        <w:tc>
          <w:tcPr>
            <w:tcW w:w="762" w:type="pct"/>
            <w:vAlign w:val="center"/>
          </w:tcPr>
          <w:p w14:paraId="7393355C">
            <w:pPr>
              <w:pStyle w:val="12"/>
              <w:jc w:val="center"/>
            </w:pPr>
            <w:r>
              <w:rPr>
                <w:rFonts w:hint="eastAsia"/>
              </w:rPr>
              <w:t>汤昌清</w:t>
            </w:r>
          </w:p>
        </w:tc>
        <w:tc>
          <w:tcPr>
            <w:tcW w:w="836" w:type="pct"/>
            <w:vMerge w:val="continue"/>
            <w:vAlign w:val="center"/>
          </w:tcPr>
          <w:p w14:paraId="74B43988">
            <w:pPr>
              <w:pStyle w:val="12"/>
              <w:jc w:val="center"/>
            </w:pPr>
          </w:p>
        </w:tc>
        <w:tc>
          <w:tcPr>
            <w:tcW w:w="833" w:type="pct"/>
            <w:vAlign w:val="center"/>
          </w:tcPr>
          <w:p w14:paraId="5699850D">
            <w:pPr>
              <w:pStyle w:val="12"/>
              <w:jc w:val="center"/>
            </w:pPr>
            <w:r>
              <w:rPr>
                <w:rFonts w:hint="eastAsia"/>
              </w:rPr>
              <w:t>县委宣传部讲师团</w:t>
            </w:r>
          </w:p>
        </w:tc>
        <w:tc>
          <w:tcPr>
            <w:tcW w:w="833" w:type="pct"/>
            <w:gridSpan w:val="2"/>
            <w:vAlign w:val="center"/>
          </w:tcPr>
          <w:p w14:paraId="65119413">
            <w:pPr>
              <w:pStyle w:val="12"/>
              <w:jc w:val="center"/>
            </w:pPr>
            <w:r>
              <w:rPr>
                <w:rFonts w:hint="eastAsia"/>
              </w:rPr>
              <w:t>陈明星</w:t>
            </w:r>
          </w:p>
        </w:tc>
        <w:tc>
          <w:tcPr>
            <w:tcW w:w="832" w:type="pct"/>
            <w:vMerge w:val="restart"/>
            <w:vAlign w:val="center"/>
          </w:tcPr>
          <w:p w14:paraId="66DF4BB8">
            <w:pPr>
              <w:pStyle w:val="12"/>
              <w:jc w:val="center"/>
            </w:pPr>
            <w:r>
              <w:rPr>
                <w:rFonts w:hint="eastAsia"/>
              </w:rPr>
              <w:t>韶关市职改领导小组</w:t>
            </w:r>
          </w:p>
        </w:tc>
      </w:tr>
      <w:tr w14:paraId="20C9C7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902" w:type="pct"/>
            <w:gridSpan w:val="2"/>
            <w:vAlign w:val="center"/>
          </w:tcPr>
          <w:p w14:paraId="4210D7E6">
            <w:pPr>
              <w:pStyle w:val="12"/>
              <w:jc w:val="center"/>
            </w:pPr>
            <w:r>
              <w:rPr>
                <w:rFonts w:hint="eastAsia"/>
              </w:rPr>
              <w:t>技术监督局</w:t>
            </w:r>
          </w:p>
        </w:tc>
        <w:tc>
          <w:tcPr>
            <w:tcW w:w="763" w:type="pct"/>
            <w:vAlign w:val="center"/>
          </w:tcPr>
          <w:p w14:paraId="2E9B2AE3">
            <w:pPr>
              <w:pStyle w:val="12"/>
              <w:jc w:val="center"/>
            </w:pPr>
            <w:r>
              <w:rPr>
                <w:rFonts w:hint="eastAsia"/>
              </w:rPr>
              <w:t>刘烈兰</w:t>
            </w:r>
          </w:p>
        </w:tc>
        <w:tc>
          <w:tcPr>
            <w:tcW w:w="836" w:type="pct"/>
            <w:vMerge w:val="continue"/>
            <w:vAlign w:val="center"/>
          </w:tcPr>
          <w:p w14:paraId="7D8229F4">
            <w:pPr>
              <w:pStyle w:val="12"/>
              <w:jc w:val="center"/>
            </w:pPr>
          </w:p>
        </w:tc>
        <w:tc>
          <w:tcPr>
            <w:tcW w:w="833" w:type="pct"/>
            <w:vAlign w:val="center"/>
          </w:tcPr>
          <w:p w14:paraId="407BD219">
            <w:pPr>
              <w:pStyle w:val="12"/>
              <w:jc w:val="center"/>
            </w:pPr>
            <w:r>
              <w:rPr>
                <w:rFonts w:hint="eastAsia"/>
              </w:rPr>
              <w:t>县总工会</w:t>
            </w:r>
          </w:p>
        </w:tc>
        <w:tc>
          <w:tcPr>
            <w:tcW w:w="833" w:type="pct"/>
            <w:gridSpan w:val="2"/>
            <w:vAlign w:val="center"/>
          </w:tcPr>
          <w:p w14:paraId="4A0E3EAB">
            <w:pPr>
              <w:pStyle w:val="12"/>
              <w:jc w:val="center"/>
            </w:pPr>
            <w:r>
              <w:rPr>
                <w:rFonts w:hint="eastAsia"/>
              </w:rPr>
              <w:t>郭远清</w:t>
            </w:r>
          </w:p>
        </w:tc>
        <w:tc>
          <w:tcPr>
            <w:tcW w:w="832" w:type="pct"/>
            <w:vMerge w:val="continue"/>
            <w:vAlign w:val="center"/>
          </w:tcPr>
          <w:p w14:paraId="45D1683E">
            <w:pPr>
              <w:pStyle w:val="12"/>
              <w:jc w:val="center"/>
            </w:pPr>
          </w:p>
        </w:tc>
      </w:tr>
    </w:tbl>
    <w:p w14:paraId="3156F09A">
      <w:pPr>
        <w:pStyle w:val="5"/>
        <w:rPr>
          <w:rFonts w:ascii="宋体" w:hAnsi="宋体" w:cs="宋体"/>
        </w:rPr>
      </w:pPr>
      <w:r>
        <w:rPr>
          <w:rFonts w:hint="eastAsia" w:ascii="宋体" w:hAnsi="宋体" w:cs="宋体"/>
        </w:rPr>
        <w:t>三、2005年编纂《南雄市志》增补125名</w:t>
      </w:r>
    </w:p>
    <w:p w14:paraId="5FC24272">
      <w:pPr>
        <w:ind w:firstLine="422"/>
        <w:rPr>
          <w:rFonts w:ascii="宋体" w:hAnsi="宋体" w:cs="宋体"/>
          <w:b/>
          <w:bCs/>
        </w:rPr>
      </w:pPr>
      <w:r>
        <w:rPr>
          <w:rFonts w:hint="eastAsia" w:ascii="宋体" w:hAnsi="宋体" w:cs="宋体"/>
          <w:b/>
          <w:bCs/>
        </w:rPr>
        <w:t>中学高级教师</w:t>
      </w:r>
    </w:p>
    <w:p w14:paraId="4D756BA6">
      <w:pPr>
        <w:ind w:firstLine="422"/>
        <w:rPr>
          <w:rFonts w:ascii="宋体" w:hAnsi="宋体" w:cs="宋体"/>
        </w:rPr>
      </w:pPr>
      <w:r>
        <w:rPr>
          <w:rFonts w:hint="eastAsia" w:ascii="宋体" w:hAnsi="宋体" w:cs="宋体"/>
          <w:b/>
          <w:bCs/>
        </w:rPr>
        <w:t>南雄中学</w:t>
      </w:r>
      <w:r>
        <w:rPr>
          <w:rFonts w:hint="eastAsia" w:ascii="宋体" w:hAnsi="宋体" w:cs="宋体"/>
        </w:rPr>
        <w:t xml:space="preserve">  蔡盛华  莫绵润  何瑞英  陈如荣  沈学龙  钟俊煌  吴作云  黄  凌  严超全  罗海英</w:t>
      </w:r>
    </w:p>
    <w:p w14:paraId="2507FA71">
      <w:pPr>
        <w:ind w:firstLine="1470" w:firstLineChars="700"/>
        <w:rPr>
          <w:rFonts w:ascii="宋体" w:hAnsi="宋体" w:cs="宋体"/>
        </w:rPr>
      </w:pPr>
      <w:r>
        <w:rPr>
          <w:rFonts w:hint="eastAsia" w:ascii="宋体" w:hAnsi="宋体" w:cs="宋体"/>
        </w:rPr>
        <w:t>何光明  马敬春  黄履荣  张英林  钟履清  陈宝珍  林志坚  李铭武  郭  军  何贞成</w:t>
      </w:r>
    </w:p>
    <w:p w14:paraId="0FFBEE93">
      <w:pPr>
        <w:ind w:firstLine="1470" w:firstLineChars="700"/>
        <w:rPr>
          <w:rFonts w:ascii="宋体" w:hAnsi="宋体" w:cs="宋体"/>
        </w:rPr>
      </w:pPr>
      <w:r>
        <w:rPr>
          <w:rFonts w:hint="eastAsia" w:ascii="宋体" w:hAnsi="宋体" w:cs="宋体"/>
        </w:rPr>
        <w:t>黎  霞  肖兴任  刘烈东  陈广海  黄晓东  廖韶英  王佑民  周惠珍  林祥祯  李庚标</w:t>
      </w:r>
    </w:p>
    <w:p w14:paraId="4B2C356D">
      <w:pPr>
        <w:ind w:firstLine="1470" w:firstLineChars="700"/>
        <w:rPr>
          <w:rFonts w:ascii="宋体" w:hAnsi="宋体" w:cs="宋体"/>
        </w:rPr>
      </w:pPr>
      <w:r>
        <w:rPr>
          <w:rFonts w:hint="eastAsia" w:ascii="宋体" w:hAnsi="宋体" w:cs="宋体"/>
        </w:rPr>
        <w:t>何社生  陈佳萍  刘小莹  何作龙  陈文斌  胡图山  邹胜英  姚庆养  陈大祥  刘志胜</w:t>
      </w:r>
    </w:p>
    <w:p w14:paraId="703109B3">
      <w:pPr>
        <w:ind w:firstLine="1470" w:firstLineChars="700"/>
        <w:rPr>
          <w:rFonts w:ascii="宋体" w:hAnsi="宋体" w:cs="宋体"/>
        </w:rPr>
      </w:pPr>
      <w:r>
        <w:rPr>
          <w:rFonts w:hint="eastAsia" w:ascii="宋体" w:hAnsi="宋体" w:cs="宋体"/>
        </w:rPr>
        <w:t>李美兰</w:t>
      </w:r>
    </w:p>
    <w:p w14:paraId="0FE21714">
      <w:pPr>
        <w:ind w:firstLine="422"/>
        <w:rPr>
          <w:rFonts w:ascii="宋体" w:hAnsi="宋体" w:cs="宋体"/>
        </w:rPr>
      </w:pPr>
      <w:r>
        <w:rPr>
          <w:rFonts w:hint="eastAsia" w:ascii="宋体" w:hAnsi="宋体" w:cs="宋体"/>
          <w:b/>
          <w:bCs/>
        </w:rPr>
        <w:t xml:space="preserve">第一中学  </w:t>
      </w:r>
      <w:r>
        <w:rPr>
          <w:rFonts w:hint="eastAsia" w:ascii="宋体" w:hAnsi="宋体" w:cs="宋体"/>
        </w:rPr>
        <w:t>叶阅花  刘明凤  游源金  李绍平  陈盛荣  尹德荣  刘少珍  周远保  黄培新  徐道刚</w:t>
      </w:r>
    </w:p>
    <w:p w14:paraId="63631C7B">
      <w:pPr>
        <w:ind w:firstLine="1470" w:firstLineChars="700"/>
        <w:rPr>
          <w:rFonts w:ascii="宋体" w:hAnsi="宋体" w:cs="宋体"/>
        </w:rPr>
      </w:pPr>
      <w:r>
        <w:rPr>
          <w:rFonts w:hint="eastAsia" w:ascii="宋体" w:hAnsi="宋体" w:cs="宋体"/>
        </w:rPr>
        <w:t>李君佳  林  云  严先桃  胡云旗  叶永乐  聂  云  董书君  马敬发  董诗咏  叶见荣</w:t>
      </w:r>
    </w:p>
    <w:p w14:paraId="0D46D05B">
      <w:pPr>
        <w:ind w:firstLine="1470" w:firstLineChars="700"/>
        <w:rPr>
          <w:rFonts w:ascii="宋体" w:hAnsi="宋体" w:cs="宋体"/>
        </w:rPr>
      </w:pPr>
      <w:r>
        <w:rPr>
          <w:rFonts w:hint="eastAsia" w:ascii="宋体" w:hAnsi="宋体" w:cs="宋体"/>
        </w:rPr>
        <w:t>黄学波  刘章山  吴永兰  阎玉琴  欧阳向平        周群昌  陈仁高  吴述宁  吴良南</w:t>
      </w:r>
    </w:p>
    <w:p w14:paraId="2342BF03">
      <w:pPr>
        <w:ind w:firstLine="1470" w:firstLineChars="700"/>
        <w:rPr>
          <w:rFonts w:ascii="宋体" w:hAnsi="宋体" w:cs="宋体"/>
        </w:rPr>
      </w:pPr>
      <w:r>
        <w:rPr>
          <w:rFonts w:hint="eastAsia" w:ascii="宋体" w:hAnsi="宋体" w:cs="宋体"/>
        </w:rPr>
        <w:t>李春明  李贤尧  刘卫民  吴文才  沈世荣  黄得养  卢德华  朱兆财  叶明洲  钟良胜</w:t>
      </w:r>
    </w:p>
    <w:p w14:paraId="54CD2C4C">
      <w:pPr>
        <w:ind w:firstLine="1470" w:firstLineChars="700"/>
        <w:rPr>
          <w:rFonts w:ascii="宋体" w:hAnsi="宋体" w:cs="宋体"/>
        </w:rPr>
      </w:pPr>
      <w:r>
        <w:rPr>
          <w:rFonts w:hint="eastAsia" w:ascii="宋体" w:hAnsi="宋体" w:cs="宋体"/>
        </w:rPr>
        <w:t>沈长春  周远新</w:t>
      </w:r>
    </w:p>
    <w:p w14:paraId="395DD795">
      <w:pPr>
        <w:ind w:firstLine="422"/>
        <w:rPr>
          <w:rFonts w:ascii="宋体" w:hAnsi="宋体" w:cs="宋体"/>
        </w:rPr>
      </w:pPr>
      <w:r>
        <w:rPr>
          <w:rFonts w:hint="eastAsia" w:ascii="宋体" w:hAnsi="宋体" w:cs="宋体"/>
          <w:b/>
          <w:bCs/>
        </w:rPr>
        <w:t>新城中学</w:t>
      </w:r>
      <w:r>
        <w:rPr>
          <w:rFonts w:hint="eastAsia" w:ascii="宋体" w:hAnsi="宋体" w:cs="宋体"/>
        </w:rPr>
        <w:t xml:space="preserve">  沈茂兰  刘烈云  李庚桥  孙宏福  刘烈泉  曾昭东  马丽芬  陈榕树  区月明  李东华</w:t>
      </w:r>
    </w:p>
    <w:p w14:paraId="110089E4">
      <w:pPr>
        <w:ind w:firstLine="1470" w:firstLineChars="700"/>
        <w:rPr>
          <w:rFonts w:ascii="宋体" w:hAnsi="宋体" w:cs="宋体"/>
        </w:rPr>
      </w:pPr>
      <w:r>
        <w:rPr>
          <w:rFonts w:hint="eastAsia" w:ascii="宋体" w:hAnsi="宋体" w:cs="宋体"/>
        </w:rPr>
        <w:t>严绍辉  欧阳汝申        向金友  叶爱群  黄  飞  黄云峰  何漱卿  李美兰</w:t>
      </w:r>
    </w:p>
    <w:p w14:paraId="04BA8923">
      <w:pPr>
        <w:ind w:firstLine="422"/>
        <w:rPr>
          <w:rFonts w:ascii="宋体" w:hAnsi="宋体" w:cs="宋体"/>
        </w:rPr>
      </w:pPr>
      <w:r>
        <w:rPr>
          <w:rFonts w:hint="eastAsia" w:ascii="宋体" w:hAnsi="宋体" w:cs="宋体"/>
          <w:b/>
          <w:bCs/>
        </w:rPr>
        <w:t xml:space="preserve">黄坑中学 </w:t>
      </w:r>
      <w:r>
        <w:rPr>
          <w:rFonts w:hint="eastAsia" w:ascii="宋体" w:hAnsi="宋体" w:cs="宋体"/>
        </w:rPr>
        <w:t xml:space="preserve"> 李盛桂  王凤明  邓华君  李绍武  彭腾辉  何光星  黄时帅</w:t>
      </w:r>
    </w:p>
    <w:p w14:paraId="403701F8">
      <w:pPr>
        <w:ind w:firstLine="422"/>
        <w:rPr>
          <w:rFonts w:ascii="宋体" w:hAnsi="宋体" w:cs="宋体"/>
        </w:rPr>
      </w:pPr>
      <w:r>
        <w:rPr>
          <w:rFonts w:hint="eastAsia" w:ascii="宋体" w:hAnsi="宋体" w:cs="宋体"/>
          <w:b/>
          <w:bCs/>
        </w:rPr>
        <w:t xml:space="preserve">雄州中学  </w:t>
      </w:r>
      <w:r>
        <w:rPr>
          <w:rFonts w:hint="eastAsia" w:ascii="宋体" w:hAnsi="宋体" w:cs="宋体"/>
        </w:rPr>
        <w:t>谢加海  黄朝中  何庆璜  邱永芳  戴冠俦  罗简和  陈如石  江英兰  戴祖凤</w:t>
      </w:r>
    </w:p>
    <w:p w14:paraId="0BB76906">
      <w:pPr>
        <w:ind w:firstLine="422"/>
        <w:rPr>
          <w:rFonts w:ascii="宋体" w:hAnsi="宋体" w:cs="宋体"/>
        </w:rPr>
      </w:pPr>
      <w:r>
        <w:rPr>
          <w:rFonts w:hint="eastAsia" w:ascii="宋体" w:hAnsi="宋体" w:cs="宋体"/>
          <w:b/>
          <w:bCs/>
        </w:rPr>
        <w:t xml:space="preserve">全安中学  </w:t>
      </w:r>
      <w:r>
        <w:rPr>
          <w:rFonts w:hint="eastAsia" w:ascii="宋体" w:hAnsi="宋体" w:cs="宋体"/>
        </w:rPr>
        <w:t>龚香祯  朱光荣  黄祖荣</w:t>
      </w:r>
    </w:p>
    <w:p w14:paraId="151CFA7E">
      <w:pPr>
        <w:ind w:firstLine="422"/>
        <w:rPr>
          <w:rFonts w:ascii="宋体" w:hAnsi="宋体" w:cs="宋体"/>
        </w:rPr>
      </w:pPr>
      <w:r>
        <w:rPr>
          <w:rFonts w:hint="eastAsia" w:ascii="宋体" w:hAnsi="宋体" w:cs="宋体"/>
          <w:b/>
          <w:bCs/>
        </w:rPr>
        <w:t xml:space="preserve">黎口中学  </w:t>
      </w:r>
      <w:r>
        <w:rPr>
          <w:rFonts w:hint="eastAsia" w:ascii="宋体" w:hAnsi="宋体" w:cs="宋体"/>
        </w:rPr>
        <w:t>黄为民  饶昭民</w:t>
      </w:r>
    </w:p>
    <w:p w14:paraId="46DAFFD1">
      <w:pPr>
        <w:ind w:firstLine="422"/>
        <w:rPr>
          <w:rFonts w:ascii="宋体" w:hAnsi="宋体" w:cs="宋体"/>
        </w:rPr>
      </w:pPr>
      <w:r>
        <w:rPr>
          <w:rFonts w:hint="eastAsia" w:ascii="宋体" w:hAnsi="宋体" w:cs="宋体"/>
          <w:b/>
          <w:bCs/>
        </w:rPr>
        <w:t xml:space="preserve">古市中学  </w:t>
      </w:r>
      <w:r>
        <w:rPr>
          <w:rFonts w:hint="eastAsia" w:ascii="宋体" w:hAnsi="宋体" w:cs="宋体"/>
        </w:rPr>
        <w:t>吴世龙</w:t>
      </w:r>
    </w:p>
    <w:p w14:paraId="1F0EAFFC">
      <w:pPr>
        <w:ind w:firstLine="422"/>
        <w:rPr>
          <w:rFonts w:ascii="宋体" w:hAnsi="宋体" w:cs="宋体"/>
        </w:rPr>
      </w:pPr>
      <w:r>
        <w:rPr>
          <w:rFonts w:hint="eastAsia" w:ascii="宋体" w:hAnsi="宋体" w:cs="宋体"/>
          <w:b/>
          <w:bCs/>
        </w:rPr>
        <w:t xml:space="preserve">邓坊中学 </w:t>
      </w:r>
      <w:r>
        <w:rPr>
          <w:rFonts w:hint="eastAsia" w:ascii="宋体" w:hAnsi="宋体" w:cs="宋体"/>
        </w:rPr>
        <w:t xml:space="preserve"> 王向兰</w:t>
      </w:r>
    </w:p>
    <w:p w14:paraId="55CBB606">
      <w:pPr>
        <w:ind w:firstLine="422"/>
        <w:rPr>
          <w:rFonts w:ascii="宋体" w:hAnsi="宋体" w:cs="宋体"/>
        </w:rPr>
      </w:pPr>
      <w:r>
        <w:rPr>
          <w:rFonts w:hint="eastAsia" w:ascii="宋体" w:hAnsi="宋体" w:cs="宋体"/>
          <w:b/>
          <w:bCs/>
        </w:rPr>
        <w:t>教育局教研室</w:t>
      </w:r>
      <w:r>
        <w:rPr>
          <w:rFonts w:hint="eastAsia" w:ascii="宋体" w:hAnsi="宋体" w:cs="宋体"/>
        </w:rPr>
        <w:t xml:space="preserve">  钟宝江  钟祥茂</w:t>
      </w:r>
    </w:p>
    <w:p w14:paraId="1EE0D2D6">
      <w:pPr>
        <w:pStyle w:val="2"/>
        <w:rPr>
          <w:rFonts w:ascii="宋体" w:hAnsi="宋体" w:cs="宋体"/>
        </w:rPr>
      </w:pPr>
      <w:r>
        <w:rPr>
          <w:rFonts w:hint="eastAsia" w:ascii="宋体" w:hAnsi="宋体" w:cs="宋体"/>
        </w:rPr>
        <w:t>第八编  各镇概况</w:t>
      </w:r>
    </w:p>
    <w:p w14:paraId="6E9DDEF4">
      <w:pPr>
        <w:pStyle w:val="3"/>
        <w:rPr>
          <w:rFonts w:ascii="宋体" w:hAnsi="宋体" w:cs="宋体"/>
        </w:rPr>
      </w:pPr>
      <w:r>
        <w:rPr>
          <w:rFonts w:hint="eastAsia" w:ascii="宋体" w:hAnsi="宋体" w:cs="宋体"/>
        </w:rPr>
        <w:t>雄州镇</w:t>
      </w:r>
    </w:p>
    <w:p w14:paraId="090FC092">
      <w:pPr>
        <w:pStyle w:val="4"/>
        <w:rPr>
          <w:rFonts w:ascii="宋体" w:hAnsi="宋体" w:cs="宋体"/>
        </w:rPr>
      </w:pPr>
      <w:r>
        <w:rPr>
          <w:rFonts w:hint="eastAsia" w:ascii="宋体" w:hAnsi="宋体" w:cs="宋体"/>
        </w:rPr>
        <w:t>［历史沿革］</w:t>
      </w:r>
    </w:p>
    <w:p w14:paraId="3FDB2B5B">
      <w:pPr>
        <w:ind w:firstLine="420"/>
        <w:rPr>
          <w:rFonts w:ascii="宋体" w:hAnsi="宋体" w:cs="宋体"/>
        </w:rPr>
      </w:pPr>
      <w:r>
        <w:rPr>
          <w:rFonts w:hint="eastAsia" w:ascii="宋体" w:hAnsi="宋体" w:cs="宋体"/>
        </w:rPr>
        <w:t>唐光宅元年（684年）为浈昌县治。南汉乾亨四年（920年）设雄州，为州治。宋开宝四年（971年）为南雄州治，浈昌县（天圣元年为保昌县）倚郭。元代为南雄路治，保昌县倚郭。明代至清代嘉庆十二年（1807年）为南雄府治，保昌县倚郭。清嘉庆十二年为直隶南雄州治。民国至今为南雄市（县）治。古代雄州镇是大庾岭南北交通枢纽，商业发达，经济繁荣，曾被誉为“小扬州”。其境域明称东厢、北厢、东隅、北隅、南隅5个都。清初增加1个西隅都。民国初年沿清制。民国17年（1928年）改称城关镇。民国29年划分为2个镇：上城称保定镇，下城称太平镇。中华人民共和国成立后，2个镇并为城关区。1958年改称钢铁人民公社。1959年改为城镇人民公社。1977年改为城关镇。1986年改称为雄州镇。2005年1月，黎口镇全境并入雄州镇。2005年8月，雄州镇改称雄州街道。</w:t>
      </w:r>
    </w:p>
    <w:p w14:paraId="7EEAF700">
      <w:pPr>
        <w:pStyle w:val="4"/>
        <w:rPr>
          <w:rFonts w:ascii="宋体" w:hAnsi="宋体" w:cs="宋体"/>
        </w:rPr>
      </w:pPr>
      <w:r>
        <w:rPr>
          <w:rFonts w:hint="eastAsia" w:ascii="宋体" w:hAnsi="宋体" w:cs="宋体"/>
        </w:rPr>
        <w:t>［地理概况］</w:t>
      </w:r>
    </w:p>
    <w:p w14:paraId="4A615B17">
      <w:pPr>
        <w:ind w:firstLine="420"/>
        <w:rPr>
          <w:rFonts w:ascii="宋体" w:hAnsi="宋体" w:cs="宋体"/>
        </w:rPr>
      </w:pPr>
      <w:r>
        <w:rPr>
          <w:rFonts w:hint="eastAsia" w:ascii="宋体" w:hAnsi="宋体" w:cs="宋体"/>
        </w:rPr>
        <w:t>雄州镇位于大庾岭南麓，南雄中部，浈江和凌江的汇合处。北纬24°7’，东经114°88’’。辖境总面积24.6平方公里。自东按顺时针方向分别与湖口、黎口、主田、古市、全安、珠玑等镇相连。镇政府设在雄州大道。公路西至韶关103公里，东至江西信丰县城76公里，北至大余县城41公里、南康县城96公里、赣州市129公里。</w:t>
      </w:r>
    </w:p>
    <w:p w14:paraId="660D1CC0">
      <w:pPr>
        <w:pStyle w:val="4"/>
        <w:rPr>
          <w:rFonts w:ascii="宋体" w:hAnsi="宋体" w:cs="宋体"/>
        </w:rPr>
      </w:pPr>
      <w:r>
        <w:rPr>
          <w:rFonts w:hint="eastAsia" w:ascii="宋体" w:hAnsi="宋体" w:cs="宋体"/>
        </w:rPr>
        <w:t>［自然环境］</w:t>
      </w:r>
    </w:p>
    <w:p w14:paraId="6C2208B6">
      <w:pPr>
        <w:ind w:firstLine="420"/>
        <w:rPr>
          <w:rFonts w:ascii="宋体" w:hAnsi="宋体" w:cs="宋体"/>
        </w:rPr>
      </w:pPr>
      <w:r>
        <w:rPr>
          <w:rFonts w:hint="eastAsia" w:ascii="宋体" w:hAnsi="宋体" w:cs="宋体"/>
        </w:rPr>
        <w:t>雄州镇地处南雄盆地中心地带，东南丘陵起伏，海拔350米以上；西北地势平坦，海拔300米以下。地质属泥质砂岩。自然土壤为红壤和宽谷冲积土。气候属亚热带季风区。年均气温20℃，全年无霜期300天。年降雨量1530毫米。流经境内河流有北江支流浈江和凌江。浈江年均径流深781.8毫米，年均径流量18.33亿立方米。凌江年均径流深800毫米，年均径流量2.92亿立方米。南部农地有瀑布水圳和电灌站灌溉，东北部农地有同凌陂引水灌溉，农业用水较为方便。但森林资源缺乏。2004年林地面积324.3公顷，森林覆盖率13.8%。</w:t>
      </w:r>
    </w:p>
    <w:p w14:paraId="32447A26">
      <w:pPr>
        <w:pStyle w:val="4"/>
        <w:rPr>
          <w:rFonts w:ascii="宋体" w:hAnsi="宋体" w:cs="宋体"/>
        </w:rPr>
      </w:pPr>
      <w:r>
        <w:rPr>
          <w:rFonts w:hint="eastAsia" w:ascii="宋体" w:hAnsi="宋体" w:cs="宋体"/>
        </w:rPr>
        <w:t>［人口民族］</w:t>
      </w:r>
    </w:p>
    <w:p w14:paraId="6A19DA3F">
      <w:pPr>
        <w:ind w:firstLine="420"/>
        <w:rPr>
          <w:rFonts w:ascii="宋体" w:hAnsi="宋体" w:cs="宋体"/>
        </w:rPr>
      </w:pPr>
      <w:r>
        <w:rPr>
          <w:rFonts w:hint="eastAsia" w:ascii="宋体" w:hAnsi="宋体" w:cs="宋体"/>
        </w:rPr>
        <w:t>2004年总人口68557人，其中非农业人口55685人，占总人口80.6%，农业人口12872人，占总人口19.4%，5个村委会，7个街道居委会。在总人口中，汉族68187人，占99.5%，畲族370人，占0.5%。</w:t>
      </w:r>
    </w:p>
    <w:p w14:paraId="00B6AC8A">
      <w:pPr>
        <w:pStyle w:val="4"/>
        <w:rPr>
          <w:rFonts w:ascii="宋体" w:hAnsi="宋体" w:cs="宋体"/>
        </w:rPr>
      </w:pPr>
      <w:r>
        <w:rPr>
          <w:rFonts w:hint="eastAsia" w:ascii="宋体" w:hAnsi="宋体" w:cs="宋体"/>
        </w:rPr>
        <w:t>［经济状况］</w:t>
      </w:r>
    </w:p>
    <w:p w14:paraId="7084204F">
      <w:pPr>
        <w:ind w:firstLine="420"/>
        <w:rPr>
          <w:rFonts w:ascii="宋体" w:hAnsi="宋体" w:cs="宋体"/>
        </w:rPr>
      </w:pPr>
      <w:r>
        <w:rPr>
          <w:rFonts w:hint="eastAsia" w:ascii="宋体" w:hAnsi="宋体" w:cs="宋体"/>
        </w:rPr>
        <w:t>2004年全镇水稻抪种面积360.87公顷，总产2709吨。黄烟总产166吨，收购量113吨。花生总产345吨。塘鱼养殖面积87公顷，水产总产量4210吨。生猪饲养量31662头，存栏量8930头。三鸟出栏量42万只。全镇企业有3110个，（其中工业企业546个）实交税金190万元。财政总收入260万元，总支出220万元。固定电话装机数量27500部，移动电话拥有量4350部。固定资产投资完成36518万元。农村人均纯收入3726元，居民储蓄存款余额1080万元。全镇35个自然村，铺设硬化水泥路18条，共长28公里，实现了村村通汽车。60%以上自然村用上自来水。全镇累计建成奔康房2300套，占农户总数81%，人均红砖住房面积21平方米。每百户农民年末家电拥有量为：彩电86台、电话53部、摩托车36辆、影碟机38台。</w:t>
      </w:r>
    </w:p>
    <w:p w14:paraId="3F409F52">
      <w:pPr>
        <w:pStyle w:val="4"/>
        <w:rPr>
          <w:rFonts w:ascii="宋体" w:hAnsi="宋体" w:cs="宋体"/>
        </w:rPr>
      </w:pPr>
      <w:r>
        <w:rPr>
          <w:rFonts w:hint="eastAsia" w:ascii="宋体" w:hAnsi="宋体" w:cs="宋体"/>
        </w:rPr>
        <w:t>［文化卫生］</w:t>
      </w:r>
    </w:p>
    <w:p w14:paraId="0EC1E69B">
      <w:pPr>
        <w:ind w:firstLine="420"/>
        <w:rPr>
          <w:rFonts w:ascii="宋体" w:hAnsi="宋体" w:cs="宋体"/>
        </w:rPr>
      </w:pPr>
      <w:r>
        <w:rPr>
          <w:rFonts w:hint="eastAsia" w:ascii="宋体" w:hAnsi="宋体" w:cs="宋体"/>
        </w:rPr>
        <w:t>镇原有中学一所，2002年8月划归市教育局直管。2004年有小学8所，教职员工410人，学龄儿童入学率100%。2004年，永康路小学被评为“韶关市一级学校”，另有4所被评为“南雄市一级学校”。农村参加合作医疗人数15955人，筹集合作医疗基金127640元，基本实现人人享有初级卫生保健目标。</w:t>
      </w:r>
    </w:p>
    <w:p w14:paraId="030CBE72">
      <w:pPr>
        <w:pStyle w:val="4"/>
        <w:rPr>
          <w:rFonts w:ascii="宋体" w:hAnsi="宋体" w:cs="宋体"/>
        </w:rPr>
      </w:pPr>
      <w:r>
        <w:rPr>
          <w:rFonts w:hint="eastAsia" w:ascii="宋体" w:hAnsi="宋体" w:cs="宋体"/>
        </w:rPr>
        <w:t>［历史事件］</w:t>
      </w:r>
    </w:p>
    <w:p w14:paraId="488414F8">
      <w:pPr>
        <w:ind w:firstLine="420"/>
        <w:rPr>
          <w:rFonts w:ascii="宋体" w:hAnsi="宋体" w:cs="宋体"/>
        </w:rPr>
      </w:pPr>
      <w:r>
        <w:rPr>
          <w:rFonts w:hint="eastAsia" w:ascii="宋体" w:hAnsi="宋体" w:cs="宋体"/>
        </w:rPr>
        <w:t>清顺治六年（1649年）除夕，清兵屠雄城，民十存二三。</w:t>
      </w:r>
    </w:p>
    <w:p w14:paraId="77FB9ED1">
      <w:pPr>
        <w:ind w:firstLine="420"/>
        <w:rPr>
          <w:rFonts w:ascii="宋体" w:hAnsi="宋体" w:cs="宋体"/>
        </w:rPr>
      </w:pPr>
      <w:r>
        <w:rPr>
          <w:rFonts w:hint="eastAsia" w:ascii="宋体" w:hAnsi="宋体" w:cs="宋体"/>
        </w:rPr>
        <w:t>民国7年（1918年），北兵破雄城，被烧商铺300余间。</w:t>
      </w:r>
    </w:p>
    <w:p w14:paraId="2BFA6177">
      <w:pPr>
        <w:ind w:firstLine="420"/>
        <w:rPr>
          <w:rFonts w:ascii="宋体" w:hAnsi="宋体" w:cs="宋体"/>
        </w:rPr>
      </w:pPr>
      <w:r>
        <w:rPr>
          <w:rFonts w:hint="eastAsia" w:ascii="宋体" w:hAnsi="宋体" w:cs="宋体"/>
        </w:rPr>
        <w:t>孙中山两次北伐以南雄为前哨阵地。数万大军云集南雄。谭延闿总司令部设在南雄中学。雄城工商各界大力支援北伐军。</w:t>
      </w:r>
    </w:p>
    <w:p w14:paraId="397517E3">
      <w:pPr>
        <w:ind w:firstLine="420"/>
        <w:rPr>
          <w:rFonts w:ascii="宋体" w:hAnsi="宋体" w:cs="宋体"/>
        </w:rPr>
      </w:pPr>
      <w:r>
        <w:rPr>
          <w:rFonts w:hint="eastAsia" w:ascii="宋体" w:hAnsi="宋体" w:cs="宋体"/>
        </w:rPr>
        <w:t>红军两进南雄城：1929年6月1日，彭德怀率红五军攻占南雄城，4日退出。1930年4月1日，毛泽东、朱德率领红四军由大余向南雄进发，下午占领南雄城，7日退出。</w:t>
      </w:r>
    </w:p>
    <w:p w14:paraId="14DF912A">
      <w:pPr>
        <w:ind w:firstLine="420"/>
        <w:rPr>
          <w:rFonts w:ascii="宋体" w:hAnsi="宋体" w:cs="宋体"/>
        </w:rPr>
      </w:pPr>
      <w:r>
        <w:rPr>
          <w:rFonts w:hint="eastAsia" w:ascii="宋体" w:hAnsi="宋体" w:cs="宋体"/>
        </w:rPr>
        <w:t>1945年2月3日，日本侵略军侵占南雄城，历时5个多月，7月23日日军南撤，雄城光复。</w:t>
      </w:r>
    </w:p>
    <w:p w14:paraId="6D6E86C8">
      <w:pPr>
        <w:pStyle w:val="4"/>
        <w:rPr>
          <w:rFonts w:ascii="宋体" w:hAnsi="宋体" w:cs="宋体"/>
        </w:rPr>
      </w:pPr>
      <w:r>
        <w:rPr>
          <w:rFonts w:hint="eastAsia" w:ascii="宋体" w:hAnsi="宋体" w:cs="宋体"/>
        </w:rPr>
        <w:t>［文物古迹］</w:t>
      </w:r>
    </w:p>
    <w:p w14:paraId="1B87A557">
      <w:pPr>
        <w:ind w:firstLine="420"/>
        <w:rPr>
          <w:rFonts w:ascii="宋体" w:hAnsi="宋体" w:cs="宋体"/>
        </w:rPr>
      </w:pPr>
      <w:r>
        <w:rPr>
          <w:rFonts w:hint="eastAsia" w:ascii="宋体" w:hAnsi="宋体" w:cs="宋体"/>
        </w:rPr>
        <w:t>三影塔。又名延祥寺塔，建于北宋祥符二年（1009年），全国重点文物保护单位。《三影宝塔》为南雄新十景之一。</w:t>
      </w:r>
    </w:p>
    <w:p w14:paraId="7929BF1C">
      <w:pPr>
        <w:ind w:firstLine="420"/>
        <w:rPr>
          <w:rFonts w:ascii="宋体" w:hAnsi="宋体" w:cs="宋体"/>
        </w:rPr>
      </w:pPr>
      <w:r>
        <w:rPr>
          <w:rFonts w:hint="eastAsia" w:ascii="宋体" w:hAnsi="宋体" w:cs="宋体"/>
        </w:rPr>
        <w:t>古城墙、南门楼。始建于北宋皇祐四年（1052年），今存沿江水城。2004年重修。南门楼保存完好。《古城流韵》为南雄新十景之一。</w:t>
      </w:r>
    </w:p>
    <w:p w14:paraId="2F36F82F">
      <w:pPr>
        <w:ind w:firstLine="420"/>
        <w:rPr>
          <w:rFonts w:ascii="宋体" w:hAnsi="宋体" w:cs="宋体"/>
        </w:rPr>
      </w:pPr>
      <w:r>
        <w:rPr>
          <w:rFonts w:hint="eastAsia" w:ascii="宋体" w:hAnsi="宋体" w:cs="宋体"/>
        </w:rPr>
        <w:t>广州会馆。始建于明代中叶，为迄今唯一保存较为完好的广商在客地建立的会馆。</w:t>
      </w:r>
    </w:p>
    <w:p w14:paraId="6B9D23B1">
      <w:pPr>
        <w:ind w:firstLine="420"/>
        <w:rPr>
          <w:rFonts w:ascii="宋体" w:hAnsi="宋体" w:cs="宋体"/>
        </w:rPr>
      </w:pPr>
      <w:r>
        <w:rPr>
          <w:rFonts w:hint="eastAsia" w:ascii="宋体" w:hAnsi="宋体" w:cs="宋体"/>
        </w:rPr>
        <w:t>烈士陵园。1958年创建于城东五里山。为广东省重点纪念建筑保护单位。内有南雄人民革命烈士纪念碑，陈毅石雕像，工农赤卫队塑像。李乐天烈士墓等。</w:t>
      </w:r>
    </w:p>
    <w:p w14:paraId="41E46A61">
      <w:pPr>
        <w:ind w:firstLine="420"/>
        <w:rPr>
          <w:rFonts w:ascii="宋体" w:hAnsi="宋体" w:cs="宋体"/>
        </w:rPr>
      </w:pPr>
      <w:r>
        <w:rPr>
          <w:rFonts w:hint="eastAsia" w:ascii="宋体" w:hAnsi="宋体" w:cs="宋体"/>
        </w:rPr>
        <w:t>莲开净寺。原名莲社庵，始建于明代，近年重建更今名，为当今岭南尼众学佛修道之所。南雄新十景之一。</w:t>
      </w:r>
    </w:p>
    <w:p w14:paraId="7143C88C">
      <w:pPr>
        <w:ind w:firstLine="420"/>
        <w:rPr>
          <w:rFonts w:ascii="宋体" w:hAnsi="宋体" w:cs="宋体"/>
        </w:rPr>
      </w:pPr>
      <w:r>
        <w:rPr>
          <w:rFonts w:hint="eastAsia" w:ascii="宋体" w:hAnsi="宋体" w:cs="宋体"/>
        </w:rPr>
        <w:t>宋代窑址。位于铺背村侧100米处，1974年发现，挖掘出一批宋代瓷器。</w:t>
      </w:r>
    </w:p>
    <w:p w14:paraId="465A898A">
      <w:pPr>
        <w:pStyle w:val="4"/>
        <w:rPr>
          <w:rFonts w:ascii="宋体" w:hAnsi="宋体" w:cs="宋体"/>
        </w:rPr>
      </w:pPr>
      <w:r>
        <w:rPr>
          <w:rFonts w:hint="eastAsia" w:ascii="宋体" w:hAnsi="宋体" w:cs="宋体"/>
        </w:rPr>
        <w:t>［名人］</w:t>
      </w:r>
    </w:p>
    <w:p w14:paraId="768C6176">
      <w:pPr>
        <w:ind w:firstLine="420"/>
        <w:rPr>
          <w:rFonts w:ascii="宋体" w:hAnsi="宋体" w:cs="宋体"/>
        </w:rPr>
      </w:pPr>
      <w:r>
        <w:rPr>
          <w:rFonts w:hint="eastAsia" w:ascii="宋体" w:hAnsi="宋体" w:cs="宋体"/>
        </w:rPr>
        <w:t>陈德文，一名莹中，字文石，号肃庵，雄城北厢人，明洪武十九年（1382年）举文学，出使西域12年，累官左都御史，卒葬满湖塘。</w:t>
      </w:r>
    </w:p>
    <w:p w14:paraId="415FE66B">
      <w:pPr>
        <w:ind w:firstLine="420"/>
        <w:rPr>
          <w:rFonts w:ascii="宋体" w:hAnsi="宋体" w:cs="宋体"/>
        </w:rPr>
      </w:pPr>
      <w:r>
        <w:rPr>
          <w:rFonts w:hint="eastAsia" w:ascii="宋体" w:hAnsi="宋体" w:cs="宋体"/>
        </w:rPr>
        <w:t>谭大初（1504-1578），字宗元，号次川，祖籍始兴，世居南雄北门。今雄州镇北门街尚书里即其旧居。明嘉靖十七年（1538年）进士，累官南京户部尚书。著作有《次川存稿》8卷、《族谱》5卷、《自序年谱》1卷、《南雄府志》2卷。75岁卒，归葬始兴。</w:t>
      </w:r>
    </w:p>
    <w:p w14:paraId="299BFFC7">
      <w:pPr>
        <w:ind w:firstLine="420"/>
        <w:rPr>
          <w:rFonts w:ascii="宋体" w:hAnsi="宋体" w:cs="宋体"/>
        </w:rPr>
      </w:pPr>
      <w:r>
        <w:rPr>
          <w:rFonts w:hint="eastAsia" w:ascii="宋体" w:hAnsi="宋体" w:cs="宋体"/>
        </w:rPr>
        <w:t>胡定（1709-1787），字敬醇，号静园。清雍正八年（1730年）进士，充任《大清一统志》纂修官，预修《八旗通谱》。累官陕西道监察御史，协理山东道事。著有《双柏庐文集》，编纂《通鉴纲目测义》、《南雄府志》。</w:t>
      </w:r>
    </w:p>
    <w:p w14:paraId="12B6B013">
      <w:pPr>
        <w:pStyle w:val="3"/>
        <w:rPr>
          <w:rFonts w:ascii="宋体" w:hAnsi="宋体" w:cs="宋体"/>
        </w:rPr>
      </w:pPr>
      <w:r>
        <w:rPr>
          <w:rFonts w:hint="eastAsia" w:ascii="宋体" w:hAnsi="宋体" w:cs="宋体"/>
        </w:rPr>
        <w:t>黎口镇</w:t>
      </w:r>
    </w:p>
    <w:p w14:paraId="63214075">
      <w:pPr>
        <w:pStyle w:val="4"/>
        <w:rPr>
          <w:rFonts w:ascii="宋体" w:hAnsi="宋体" w:cs="宋体"/>
        </w:rPr>
      </w:pPr>
      <w:r>
        <w:rPr>
          <w:rFonts w:hint="eastAsia" w:ascii="宋体" w:hAnsi="宋体" w:cs="宋体"/>
        </w:rPr>
        <w:t>［历史沿革］</w:t>
      </w:r>
    </w:p>
    <w:p w14:paraId="3678FB5B">
      <w:pPr>
        <w:ind w:firstLine="420"/>
        <w:rPr>
          <w:rFonts w:ascii="宋体" w:hAnsi="宋体" w:cs="宋体"/>
        </w:rPr>
      </w:pPr>
      <w:r>
        <w:rPr>
          <w:rFonts w:hint="eastAsia" w:ascii="宋体" w:hAnsi="宋体" w:cs="宋体"/>
        </w:rPr>
        <w:t>黎口镇政府驻黎口桥村。辖境明、清代属知劝乡石前都。清咸丰四年（1854年）改都为约。民国属承平乡、庆平乡，后并为承庆乡。中华人民共和国成立后属保卫、和平、里窑乡。1956年属荆岗乡、主田乡。1958年分属湖口、主田、城镇人民公社。1962年建立黎口人民公社。1984年改为区，1986年冬改区为乡，1994年6月改为镇。2005年1月，整体并入雄州镇。</w:t>
      </w:r>
    </w:p>
    <w:p w14:paraId="1B22F9E5">
      <w:pPr>
        <w:pStyle w:val="4"/>
        <w:rPr>
          <w:rFonts w:ascii="宋体" w:hAnsi="宋体" w:cs="宋体"/>
        </w:rPr>
      </w:pPr>
      <w:r>
        <w:rPr>
          <w:rFonts w:hint="eastAsia" w:ascii="宋体" w:hAnsi="宋体" w:cs="宋体"/>
        </w:rPr>
        <w:t>［地理概况］</w:t>
      </w:r>
    </w:p>
    <w:p w14:paraId="7ED1850A">
      <w:pPr>
        <w:ind w:firstLine="420"/>
        <w:rPr>
          <w:rFonts w:ascii="宋体" w:hAnsi="宋体" w:cs="宋体"/>
        </w:rPr>
      </w:pPr>
      <w:r>
        <w:rPr>
          <w:rFonts w:hint="eastAsia" w:ascii="宋体" w:hAnsi="宋体" w:cs="宋体"/>
        </w:rPr>
        <w:t>黎口镇位于南雄市区东南面，自东南按顺时针方向依次与水口、江头、主田、雄州、珠玑、湖口等镇相连。总面积71平方公里。镇政府在南雄市区东北角，位于北纬25°7′50"，东经114°19′37"。国道323线和省道1950线均从镇府驻地经过。浈江河穿境而过，可通小木船。乡村公路有3条，总长68公里，均实现了水泥硬底化。实现环镇骑车半小时生活圈。</w:t>
      </w:r>
    </w:p>
    <w:p w14:paraId="19C1806A">
      <w:pPr>
        <w:pStyle w:val="4"/>
        <w:rPr>
          <w:rFonts w:ascii="宋体" w:hAnsi="宋体" w:cs="宋体"/>
        </w:rPr>
      </w:pPr>
      <w:r>
        <w:rPr>
          <w:rFonts w:hint="eastAsia" w:ascii="宋体" w:hAnsi="宋体" w:cs="宋体"/>
        </w:rPr>
        <w:t>［自然环境］</w:t>
      </w:r>
    </w:p>
    <w:p w14:paraId="01F387D4">
      <w:pPr>
        <w:ind w:firstLine="420"/>
        <w:rPr>
          <w:rFonts w:ascii="宋体" w:hAnsi="宋体" w:cs="宋体"/>
        </w:rPr>
      </w:pPr>
      <w:r>
        <w:rPr>
          <w:rFonts w:hint="eastAsia" w:ascii="宋体" w:hAnsi="宋体" w:cs="宋体"/>
        </w:rPr>
        <w:t>黎口镇地势南高北低、境内丘陵起伏，地处南部的上坪、下坪两个村委会属半山区，最高山峰是青嶂山，海拔917米；其余区域属丘陵区，海拔在350米以下。林业用地面积2379.3公顷，森林覆盖率31.4%。地质多属紫色砂页岩体，土壤为紫色砂页岩风化而成的碱性紫色土、碱性牛肝地等，结构疏松，排水性好pH值7.5以上，富含磷、钾。年均气温20℃，全年无霜期300天左右，年降雨量1500毫米。虽有2条河流穿过，因水低地高，农田灌溉用水85%靠山塘和电灌站解决。</w:t>
      </w:r>
    </w:p>
    <w:p w14:paraId="4B874119">
      <w:pPr>
        <w:pStyle w:val="4"/>
        <w:rPr>
          <w:rFonts w:ascii="宋体" w:hAnsi="宋体" w:cs="宋体"/>
        </w:rPr>
      </w:pPr>
      <w:r>
        <w:rPr>
          <w:rFonts w:hint="eastAsia" w:ascii="宋体" w:hAnsi="宋体" w:cs="宋体"/>
        </w:rPr>
        <w:t>［人口民族］</w:t>
      </w:r>
    </w:p>
    <w:p w14:paraId="27B14A84">
      <w:pPr>
        <w:ind w:firstLine="420"/>
        <w:rPr>
          <w:rFonts w:ascii="宋体" w:hAnsi="宋体" w:cs="宋体"/>
        </w:rPr>
      </w:pPr>
      <w:r>
        <w:rPr>
          <w:rFonts w:hint="eastAsia" w:ascii="宋体" w:hAnsi="宋体" w:cs="宋体"/>
        </w:rPr>
        <w:t>黎口镇辖8个村委会，126个村民小组。2004年全镇有5416户，21146人，其中汉族21075人，占总人口99.7%，畬族71人；农业人口19366人，占总人口91.6%。非农业人口1780人，占总人口8.4%。</w:t>
      </w:r>
    </w:p>
    <w:p w14:paraId="288E3240">
      <w:pPr>
        <w:pStyle w:val="4"/>
        <w:rPr>
          <w:rFonts w:ascii="宋体" w:hAnsi="宋体" w:cs="宋体"/>
        </w:rPr>
      </w:pPr>
      <w:r>
        <w:rPr>
          <w:rFonts w:hint="eastAsia" w:ascii="宋体" w:hAnsi="宋体" w:cs="宋体"/>
        </w:rPr>
        <w:t>［经济状况］</w:t>
      </w:r>
    </w:p>
    <w:p w14:paraId="36C4843E">
      <w:pPr>
        <w:ind w:firstLine="420"/>
        <w:rPr>
          <w:rFonts w:ascii="宋体" w:hAnsi="宋体" w:cs="宋体"/>
        </w:rPr>
      </w:pPr>
      <w:r>
        <w:rPr>
          <w:rFonts w:hint="eastAsia" w:ascii="宋体" w:hAnsi="宋体" w:cs="宋体"/>
        </w:rPr>
        <w:t>全镇耕地1705.6公顷，有林地2271.33公顷，木材储量1万多立方米，建有10个生态公益林区8000公顷，占林地面积35.8%。镇、村均建有白果基地和丛生竹基地。2004年水稻播种面积1820公顷，总产13707吨。黄烟种植面积866.67公顷，总产量1690吨，烟叶收购量1186吨。花生播种面积378.67公顷，总产1049吨。生猪饲养量43673头，出栏量27945头。三鸟出栏量442364只。耕牛存栏量3282头。水产品总产量1237吨。财政总收入206万元，总支出215万元。2004年农民人均纯收入3263元，居民储蓄存款余额4132万元。固定电话装机数量3270部，移动电话拥有量1180部。</w:t>
      </w:r>
    </w:p>
    <w:p w14:paraId="1538636F">
      <w:pPr>
        <w:pStyle w:val="4"/>
        <w:rPr>
          <w:rFonts w:ascii="宋体" w:hAnsi="宋体" w:cs="宋体"/>
        </w:rPr>
      </w:pPr>
      <w:r>
        <w:rPr>
          <w:rFonts w:hint="eastAsia" w:ascii="宋体" w:hAnsi="宋体" w:cs="宋体"/>
        </w:rPr>
        <w:t>［文化卫生］</w:t>
      </w:r>
    </w:p>
    <w:p w14:paraId="3C52782A">
      <w:pPr>
        <w:ind w:firstLine="420"/>
        <w:rPr>
          <w:rFonts w:ascii="宋体" w:hAnsi="宋体" w:cs="宋体"/>
        </w:rPr>
      </w:pPr>
      <w:r>
        <w:rPr>
          <w:rFonts w:hint="eastAsia" w:ascii="宋体" w:hAnsi="宋体" w:cs="宋体"/>
        </w:rPr>
        <w:t>有初级中学1所，完全小学10所，教师282人，普九率和升学率分别为998%、100%。黎口中学连续12年的升高中考试录取率获全市第一名。医疗保健设施方面有镇级医院1所、村级合作医疗站9所，基本医疗保险参保人数11940人，基本养老保险参保人数210人。黎口医院1997年被省卫生厅评为“一等甲级医院”。</w:t>
      </w:r>
    </w:p>
    <w:p w14:paraId="20DB08E1">
      <w:pPr>
        <w:pStyle w:val="3"/>
        <w:rPr>
          <w:rFonts w:ascii="宋体" w:hAnsi="宋体" w:cs="宋体"/>
        </w:rPr>
      </w:pPr>
      <w:r>
        <w:rPr>
          <w:rFonts w:hint="eastAsia" w:ascii="宋体" w:hAnsi="宋体" w:cs="宋体"/>
        </w:rPr>
        <w:t>珠玑镇</w:t>
      </w:r>
    </w:p>
    <w:p w14:paraId="7446547F">
      <w:pPr>
        <w:pStyle w:val="4"/>
        <w:rPr>
          <w:rFonts w:ascii="宋体" w:hAnsi="宋体" w:cs="宋体"/>
        </w:rPr>
      </w:pPr>
      <w:r>
        <w:rPr>
          <w:rFonts w:hint="eastAsia" w:ascii="宋体" w:hAnsi="宋体" w:cs="宋体"/>
        </w:rPr>
        <w:t>［历史沿革］</w:t>
      </w:r>
    </w:p>
    <w:p w14:paraId="0C74CA19">
      <w:pPr>
        <w:ind w:firstLine="420"/>
        <w:rPr>
          <w:rFonts w:ascii="宋体" w:hAnsi="宋体" w:cs="宋体"/>
        </w:rPr>
      </w:pPr>
      <w:r>
        <w:rPr>
          <w:rFonts w:hint="eastAsia" w:ascii="宋体" w:hAnsi="宋体" w:cs="宋体"/>
        </w:rPr>
        <w:t>境域明代属灵潭都、修仁都；清代属灵潭一都、灵潭二都、上北都、修仁三都。民国17年（1928年）属第二区均平乡。民国27年改均平乡为珠玑乡。以当地名胜珠玑巷而得名。1949年后多次分并。1958年属红旗（湖口）人民公社。1962年成立珠玑人民公社。1984年改为区。1986年改为镇。2005年1月，梅岭镇整体并入珠玑镇。</w:t>
      </w:r>
    </w:p>
    <w:p w14:paraId="79401BF6">
      <w:pPr>
        <w:pStyle w:val="4"/>
        <w:rPr>
          <w:rFonts w:ascii="宋体" w:hAnsi="宋体" w:cs="宋体"/>
        </w:rPr>
      </w:pPr>
      <w:r>
        <w:rPr>
          <w:rFonts w:hint="eastAsia" w:ascii="宋体" w:hAnsi="宋体" w:cs="宋体"/>
        </w:rPr>
        <w:t>［地理概况］</w:t>
      </w:r>
    </w:p>
    <w:p w14:paraId="5BBD6AD7">
      <w:pPr>
        <w:ind w:firstLine="420"/>
        <w:rPr>
          <w:rFonts w:ascii="宋体" w:hAnsi="宋体" w:cs="宋体"/>
        </w:rPr>
      </w:pPr>
      <w:r>
        <w:rPr>
          <w:rFonts w:hint="eastAsia" w:ascii="宋体" w:hAnsi="宋体" w:cs="宋体"/>
        </w:rPr>
        <w:t>珠玑镇位于南雄市区北面。镇政府位于北纬25°11′53″，东经114°21'24″。辖区东邻邓坊镇，南邻湖口镇、雄州镇，西邻全安镇、帽子峰镇，北邻梅岭镇和江西省大余县。总面积179.5平方公里。至南雄市区9公里，至韶关市112公里，至赣州市120公里、信丰县城85公里。国道323线穿境而过，规划中的韶赣铁路亦经过该镇。2000年全镇通汽车里程125公里，公路密度69公里／百平方公里，实现了村村通公路。</w:t>
      </w:r>
    </w:p>
    <w:p w14:paraId="56FEB7E6">
      <w:pPr>
        <w:pStyle w:val="4"/>
        <w:rPr>
          <w:rFonts w:ascii="宋体" w:hAnsi="宋体" w:cs="宋体"/>
        </w:rPr>
      </w:pPr>
      <w:r>
        <w:rPr>
          <w:rFonts w:hint="eastAsia" w:ascii="宋体" w:hAnsi="宋体" w:cs="宋体"/>
        </w:rPr>
        <w:t>［自然环境］</w:t>
      </w:r>
    </w:p>
    <w:p w14:paraId="43DF42B9">
      <w:pPr>
        <w:ind w:firstLine="420"/>
        <w:rPr>
          <w:rFonts w:ascii="宋体" w:hAnsi="宋体" w:cs="宋体"/>
        </w:rPr>
      </w:pPr>
      <w:r>
        <w:rPr>
          <w:rFonts w:hint="eastAsia" w:ascii="宋体" w:hAnsi="宋体" w:cs="宋体"/>
        </w:rPr>
        <w:t>珠玑镇除上嵩1个山区村委会外，均属丘陵地带。地质属紫色砂页岩，土壤属紫色土和红壤土类。年均气温19℃，无霜期298天，年降雨量1592毫米。2004年林地面积8984公顷，森林覆盖率62.5%。耕地面积1710.4公顷，其中水田1461.2公顷、旱地249.2公顷。</w:t>
      </w:r>
    </w:p>
    <w:p w14:paraId="5ADF2A03">
      <w:pPr>
        <w:pStyle w:val="4"/>
        <w:rPr>
          <w:rFonts w:ascii="宋体" w:hAnsi="宋体" w:cs="宋体"/>
        </w:rPr>
      </w:pPr>
      <w:r>
        <w:rPr>
          <w:rFonts w:hint="eastAsia" w:ascii="宋体" w:hAnsi="宋体" w:cs="宋体"/>
        </w:rPr>
        <w:t>［圩市建设］</w:t>
      </w:r>
    </w:p>
    <w:p w14:paraId="098B71BD">
      <w:pPr>
        <w:ind w:firstLine="420"/>
        <w:rPr>
          <w:rFonts w:ascii="宋体" w:hAnsi="宋体" w:cs="宋体"/>
        </w:rPr>
      </w:pPr>
      <w:r>
        <w:rPr>
          <w:rFonts w:hint="eastAsia" w:ascii="宋体" w:hAnsi="宋体" w:cs="宋体"/>
        </w:rPr>
        <w:t>唐宋时，在此设沙水镇，置沙水驿站、沙角巡检司。民国时于沙水设均平圩。1964年均平圩迁至龙门圩，即今珠玑圩。现珠玑墟面积0.8平方公里，房屋建筑面积25426平方米，人均住房面积17.5平方米。街道2条，总长1500米。有农贸市场2座，总面积3000平方米。有年供水量360万立方米的自来水厂1座，供水管网总长28公里。该镇列为广东省270个中心镇之一。</w:t>
      </w:r>
    </w:p>
    <w:p w14:paraId="28C35042">
      <w:pPr>
        <w:pStyle w:val="4"/>
        <w:rPr>
          <w:rFonts w:ascii="宋体" w:hAnsi="宋体" w:cs="宋体"/>
        </w:rPr>
      </w:pPr>
      <w:r>
        <w:rPr>
          <w:rFonts w:hint="eastAsia" w:ascii="宋体" w:hAnsi="宋体" w:cs="宋体"/>
        </w:rPr>
        <w:t>［人口民族］</w:t>
      </w:r>
    </w:p>
    <w:p w14:paraId="416E4808">
      <w:pPr>
        <w:ind w:firstLine="420"/>
        <w:rPr>
          <w:rFonts w:ascii="宋体" w:hAnsi="宋体" w:cs="宋体"/>
        </w:rPr>
      </w:pPr>
      <w:r>
        <w:rPr>
          <w:rFonts w:hint="eastAsia" w:ascii="宋体" w:hAnsi="宋体" w:cs="宋体"/>
        </w:rPr>
        <w:t>2004年全镇辖17个村委会、1个居委会，180个村民小组。总户数7644户，总人口34685人，其中汉族33291人、畲族73户363人，占总人口1.1‰，农业人口34685人，占总人口93.8%。</w:t>
      </w:r>
    </w:p>
    <w:p w14:paraId="50DF5BEE">
      <w:pPr>
        <w:pStyle w:val="4"/>
        <w:rPr>
          <w:rFonts w:ascii="宋体" w:hAnsi="宋体" w:cs="宋体"/>
        </w:rPr>
      </w:pPr>
      <w:r>
        <w:rPr>
          <w:rFonts w:hint="eastAsia" w:ascii="宋体" w:hAnsi="宋体" w:cs="宋体"/>
        </w:rPr>
        <w:t>［经济状况］</w:t>
      </w:r>
    </w:p>
    <w:p w14:paraId="2A64A660">
      <w:pPr>
        <w:ind w:firstLine="420"/>
        <w:rPr>
          <w:rFonts w:ascii="宋体" w:hAnsi="宋体" w:cs="宋体"/>
        </w:rPr>
      </w:pPr>
      <w:r>
        <w:rPr>
          <w:rFonts w:hint="eastAsia" w:ascii="宋体" w:hAnsi="宋体" w:cs="宋体"/>
        </w:rPr>
        <w:t>该镇为粮、烟主产区，2004年水稻播种面积1779.33公顷，总产13078吨。花生播种面积483.33公顷，总产1375吨。黄烟种植面积1086.67公顷，总产2135吨，收购量1120吨。耕牛存栏量3195头。生猪饲养量64316头，出栏34747头。家禽出栏量194933只。2004年财政总收入478万元，总支出400万元。农村人均纯收入3251元。居民储蓄存款余额2820万元。固定电话装机数4128部，移动电话拥有数2130部。</w:t>
      </w:r>
    </w:p>
    <w:p w14:paraId="2D300CE1">
      <w:pPr>
        <w:pStyle w:val="4"/>
        <w:rPr>
          <w:rFonts w:ascii="宋体" w:hAnsi="宋体" w:cs="宋体"/>
        </w:rPr>
      </w:pPr>
      <w:r>
        <w:rPr>
          <w:rFonts w:hint="eastAsia" w:ascii="宋体" w:hAnsi="宋体" w:cs="宋体"/>
        </w:rPr>
        <w:t>［文教卫生］</w:t>
      </w:r>
    </w:p>
    <w:p w14:paraId="3C661E6E">
      <w:pPr>
        <w:ind w:firstLine="420"/>
        <w:rPr>
          <w:rFonts w:ascii="宋体" w:hAnsi="宋体" w:cs="宋体"/>
        </w:rPr>
      </w:pPr>
      <w:r>
        <w:rPr>
          <w:rFonts w:hint="eastAsia" w:ascii="宋体" w:hAnsi="宋体" w:cs="宋体"/>
        </w:rPr>
        <w:t>全镇有中学1所，小学17所，适龄儿童入学率100%。有卫生院2间，村卫生站17间。至2004年参加医疗保险人数18030人，基本养老保险参保人数437人。还建有文化站、老干部活动中心等。</w:t>
      </w:r>
    </w:p>
    <w:p w14:paraId="4ADE1886">
      <w:pPr>
        <w:pStyle w:val="4"/>
        <w:rPr>
          <w:rFonts w:ascii="宋体" w:hAnsi="宋体" w:cs="宋体"/>
        </w:rPr>
      </w:pPr>
      <w:r>
        <w:rPr>
          <w:rFonts w:hint="eastAsia" w:ascii="宋体" w:hAnsi="宋体" w:cs="宋体"/>
        </w:rPr>
        <w:t>［文物古迹］</w:t>
      </w:r>
    </w:p>
    <w:p w14:paraId="3D258C2F">
      <w:pPr>
        <w:ind w:firstLine="420"/>
        <w:rPr>
          <w:rFonts w:ascii="宋体" w:hAnsi="宋体" w:cs="宋体"/>
        </w:rPr>
      </w:pPr>
      <w:r>
        <w:rPr>
          <w:rFonts w:hint="eastAsia" w:ascii="宋体" w:hAnsi="宋体" w:cs="宋体"/>
        </w:rPr>
        <w:t>珠玑古巷。位于沙水村，是唐宋时期中原氏族南迁驻足发祥之地，广府民系“根”之所在，岭南文化源头之一。历经维修重建，唐宋风貌犹存，为海内外千万南迁后裔寻根问祖、旅游观光胜地。</w:t>
      </w:r>
    </w:p>
    <w:p w14:paraId="340F0A9C">
      <w:pPr>
        <w:ind w:firstLine="420"/>
        <w:rPr>
          <w:rFonts w:ascii="宋体" w:hAnsi="宋体" w:cs="宋体"/>
        </w:rPr>
      </w:pPr>
      <w:r>
        <w:rPr>
          <w:rFonts w:hint="eastAsia" w:ascii="宋体" w:hAnsi="宋体" w:cs="宋体"/>
        </w:rPr>
        <w:t>南雄市竹博园，2003年落户该镇，已引种135个珍稀品种。</w:t>
      </w:r>
    </w:p>
    <w:p w14:paraId="78601936">
      <w:pPr>
        <w:ind w:firstLine="420"/>
        <w:rPr>
          <w:rFonts w:ascii="宋体" w:hAnsi="宋体" w:cs="宋体"/>
        </w:rPr>
      </w:pPr>
      <w:r>
        <w:rPr>
          <w:rFonts w:hint="eastAsia" w:ascii="宋体" w:hAnsi="宋体" w:cs="宋体"/>
        </w:rPr>
        <w:t>大雄禅寺，原名沙水寺，创建于宋代德祐元年，近年重建更今名。</w:t>
      </w:r>
    </w:p>
    <w:p w14:paraId="0F517C6A">
      <w:pPr>
        <w:pStyle w:val="4"/>
        <w:rPr>
          <w:rFonts w:ascii="宋体" w:hAnsi="宋体" w:cs="宋体"/>
        </w:rPr>
      </w:pPr>
      <w:r>
        <w:rPr>
          <w:rFonts w:hint="eastAsia" w:ascii="宋体" w:hAnsi="宋体" w:cs="宋体"/>
        </w:rPr>
        <w:t>［名人］</w:t>
      </w:r>
    </w:p>
    <w:p w14:paraId="63E2A2EC">
      <w:pPr>
        <w:ind w:firstLine="420"/>
        <w:rPr>
          <w:rFonts w:ascii="宋体" w:hAnsi="宋体" w:cs="宋体"/>
        </w:rPr>
      </w:pPr>
      <w:r>
        <w:rPr>
          <w:rFonts w:hint="eastAsia" w:ascii="宋体" w:hAnsi="宋体" w:cs="宋体"/>
        </w:rPr>
        <w:t>钟蛟蟠（1899-1939），珠玑镇灵潭村人。土地革命时期参加革命的老红军、老八路。1939年任晋察冀军区政治部宣传部副部长，在延安遭日军飞机轰炸而牺牲。</w:t>
      </w:r>
    </w:p>
    <w:p w14:paraId="02CB0D8A">
      <w:pPr>
        <w:pStyle w:val="3"/>
        <w:rPr>
          <w:rFonts w:ascii="宋体" w:hAnsi="宋体" w:cs="宋体"/>
        </w:rPr>
      </w:pPr>
      <w:r>
        <w:rPr>
          <w:rFonts w:hint="eastAsia" w:ascii="宋体" w:hAnsi="宋体" w:cs="宋体"/>
        </w:rPr>
        <w:t>梅岭镇</w:t>
      </w:r>
    </w:p>
    <w:p w14:paraId="13BF0E7E">
      <w:pPr>
        <w:pStyle w:val="4"/>
        <w:rPr>
          <w:rFonts w:ascii="宋体" w:hAnsi="宋体" w:cs="宋体"/>
        </w:rPr>
      </w:pPr>
      <w:r>
        <w:rPr>
          <w:rFonts w:hint="eastAsia" w:ascii="宋体" w:hAnsi="宋体" w:cs="宋体"/>
        </w:rPr>
        <w:t>［历史沿革］</w:t>
      </w:r>
    </w:p>
    <w:p w14:paraId="55BCDDB8">
      <w:pPr>
        <w:ind w:firstLine="420"/>
        <w:rPr>
          <w:rFonts w:ascii="宋体" w:hAnsi="宋体" w:cs="宋体"/>
        </w:rPr>
      </w:pPr>
      <w:r>
        <w:rPr>
          <w:rFonts w:hint="eastAsia" w:ascii="宋体" w:hAnsi="宋体" w:cs="宋体"/>
        </w:rPr>
        <w:t>因梅岭而得名。明代属望梅乡之灵谭都。洪武十六年（1388年），南雄府在梅关下设红梅巡检司。清代属灵潭二都，红梅巡检司迁至中站。咸丰四年（1854年）改都为约。民国初沿清制。民国属第二区长平乡。民国29年（1940年）改属第一区永正乡。1950年设置梅岭乡。1956年并入里东乡。1958年属红旗（湖口）人民公社。1960年从湖口人民公社划出，成立梅岭果木场。1962年撤果木场，成立梅岭人民公社。1984年改为区。1986年冬撤区建镇。2005年1月撤梅岭镇，并入珠玑镇。</w:t>
      </w:r>
    </w:p>
    <w:p w14:paraId="192BC405">
      <w:pPr>
        <w:pStyle w:val="4"/>
        <w:rPr>
          <w:rFonts w:ascii="宋体" w:hAnsi="宋体" w:cs="宋体"/>
        </w:rPr>
      </w:pPr>
      <w:r>
        <w:rPr>
          <w:rFonts w:hint="eastAsia" w:ascii="宋体" w:hAnsi="宋体" w:cs="宋体"/>
        </w:rPr>
        <w:t>［地理概况］</w:t>
      </w:r>
    </w:p>
    <w:p w14:paraId="37674AA6">
      <w:pPr>
        <w:ind w:firstLine="420"/>
        <w:rPr>
          <w:rFonts w:ascii="宋体" w:hAnsi="宋体" w:cs="宋体"/>
        </w:rPr>
      </w:pPr>
      <w:r>
        <w:rPr>
          <w:rFonts w:hint="eastAsia" w:ascii="宋体" w:hAnsi="宋体" w:cs="宋体"/>
        </w:rPr>
        <w:t>梅岭镇地处大庾岭南麓，位于南雄市区北部，北纬25°17'50″，东经114°21' 42"。辖区面积42.75平方公里，东与邓坊镇为邻，西南连接珠玑镇，北与江西大余县吉村、南安镇交界。国道323线贯通全镇，南至南雄市区23公里，至韶关市123公里，北至江西省大余县城18公里，至南康可连接国道105线直达赣州市118公里。东至黄坑镇接省道1950线直达江西省信丰县城连接铁路京九线。57个村庄通机动车辆。</w:t>
      </w:r>
    </w:p>
    <w:p w14:paraId="49E243A3">
      <w:pPr>
        <w:pStyle w:val="4"/>
        <w:rPr>
          <w:rFonts w:ascii="宋体" w:hAnsi="宋体" w:cs="宋体"/>
        </w:rPr>
      </w:pPr>
      <w:r>
        <w:rPr>
          <w:rFonts w:hint="eastAsia" w:ascii="宋体" w:hAnsi="宋体" w:cs="宋体"/>
        </w:rPr>
        <w:t>［自然环境］</w:t>
      </w:r>
    </w:p>
    <w:p w14:paraId="4BF14B32">
      <w:pPr>
        <w:ind w:firstLine="420"/>
        <w:rPr>
          <w:rFonts w:ascii="宋体" w:hAnsi="宋体" w:cs="宋体"/>
        </w:rPr>
      </w:pPr>
      <w:r>
        <w:rPr>
          <w:rFonts w:hint="eastAsia" w:ascii="宋体" w:hAnsi="宋体" w:cs="宋体"/>
        </w:rPr>
        <w:t>梅岭镇地质属石灰岩，土壤属红色石灰土。年降雨量1532毫米，年均气温18.9℃，最高达37.5℃，最低可达—6.6℃，冬季时有霜雪，无霜期275天。辖区林地面积2526.9公顷，森林覆盖率66.7%。耕地面积410.8公顷，其中水田360.8公顷，旱地50公顷。境内群山怀抱，北部大庾岭（又名仙人岭）为最高峰，海拔756米。林木蓄积量10.8万立方米，以松、杉为主。石灰石资源丰富，且为南雄市独有，总储量1.2亿立方米，含钙量大于54.5%，多为天然裸露，易开采。</w:t>
      </w:r>
    </w:p>
    <w:p w14:paraId="45B917F1">
      <w:pPr>
        <w:pStyle w:val="4"/>
        <w:rPr>
          <w:rFonts w:ascii="宋体" w:hAnsi="宋体" w:cs="宋体"/>
        </w:rPr>
      </w:pPr>
      <w:r>
        <w:rPr>
          <w:rFonts w:hint="eastAsia" w:ascii="宋体" w:hAnsi="宋体" w:cs="宋体"/>
        </w:rPr>
        <w:t>［圩市建设］</w:t>
      </w:r>
    </w:p>
    <w:p w14:paraId="5F476FCD">
      <w:pPr>
        <w:ind w:firstLine="420"/>
        <w:rPr>
          <w:rFonts w:ascii="宋体" w:hAnsi="宋体" w:cs="宋体"/>
        </w:rPr>
      </w:pPr>
      <w:r>
        <w:rPr>
          <w:rFonts w:hint="eastAsia" w:ascii="宋体" w:hAnsi="宋体" w:cs="宋体"/>
        </w:rPr>
        <w:t>小岭墟为镇政府所在地，有一条约长1公里的街道，1座农贸市场。房屋建筑面积2.43万平方米。在墟区范围内安装了路灯，兴建了自来水工程，全体居民用上了干净、卫生的山泉水。</w:t>
      </w:r>
    </w:p>
    <w:p w14:paraId="1239B135">
      <w:pPr>
        <w:pStyle w:val="4"/>
        <w:rPr>
          <w:rFonts w:ascii="宋体" w:hAnsi="宋体" w:cs="宋体"/>
        </w:rPr>
      </w:pPr>
      <w:r>
        <w:rPr>
          <w:rFonts w:hint="eastAsia" w:ascii="宋体" w:hAnsi="宋体" w:cs="宋体"/>
        </w:rPr>
        <w:t>［人口民族］</w:t>
      </w:r>
    </w:p>
    <w:p w14:paraId="1D2260E5">
      <w:pPr>
        <w:ind w:firstLine="420"/>
        <w:rPr>
          <w:rFonts w:ascii="宋体" w:hAnsi="宋体" w:cs="宋体"/>
        </w:rPr>
      </w:pPr>
      <w:r>
        <w:rPr>
          <w:rFonts w:hint="eastAsia" w:ascii="宋体" w:hAnsi="宋体" w:cs="宋体"/>
        </w:rPr>
        <w:t>2004年全镇2238户，总人口8860人，其中农业人口7754人，占总人口87.5%，分布在5个村委会，57个村民小组。非农业人口1106人（其中畲族14人），归小岭镇居委会管辖。</w:t>
      </w:r>
    </w:p>
    <w:p w14:paraId="474D494F">
      <w:pPr>
        <w:pStyle w:val="4"/>
        <w:rPr>
          <w:rFonts w:ascii="宋体" w:hAnsi="宋体" w:cs="宋体"/>
        </w:rPr>
      </w:pPr>
      <w:r>
        <w:rPr>
          <w:rFonts w:hint="eastAsia" w:ascii="宋体" w:hAnsi="宋体" w:cs="宋体"/>
        </w:rPr>
        <w:t>［经济状况］</w:t>
      </w:r>
    </w:p>
    <w:p w14:paraId="0BB03B25">
      <w:pPr>
        <w:ind w:firstLine="420"/>
        <w:rPr>
          <w:rFonts w:ascii="宋体" w:hAnsi="宋体" w:cs="宋体"/>
        </w:rPr>
      </w:pPr>
      <w:r>
        <w:rPr>
          <w:rFonts w:hint="eastAsia" w:ascii="宋体" w:hAnsi="宋体" w:cs="宋体"/>
        </w:rPr>
        <w:t>以粮产为主，2004年全镇水稻播种面积628公顷，总产量4370吨，平均亩产464公斤；种花生134公顷，总产量424吨。生猪饲养量13849头，出栏量9459头。耕牛存栏量713头，三鸟出栏量151626只。2004年财政收入120万元、支出110万元。农民人均纯收入2988元，居民储蓄存款余额2200万元。固定电话装机数量1308部，移动电话拥有量510部。</w:t>
      </w:r>
    </w:p>
    <w:p w14:paraId="18A701AE">
      <w:pPr>
        <w:pStyle w:val="4"/>
        <w:rPr>
          <w:rFonts w:ascii="宋体" w:hAnsi="宋体" w:cs="宋体"/>
        </w:rPr>
      </w:pPr>
      <w:r>
        <w:rPr>
          <w:rFonts w:hint="eastAsia" w:ascii="宋体" w:hAnsi="宋体" w:cs="宋体"/>
        </w:rPr>
        <w:t>［文教卫生］</w:t>
      </w:r>
    </w:p>
    <w:p w14:paraId="7E408AE2">
      <w:pPr>
        <w:ind w:firstLine="420"/>
        <w:rPr>
          <w:rFonts w:ascii="宋体" w:hAnsi="宋体" w:cs="宋体"/>
        </w:rPr>
      </w:pPr>
      <w:r>
        <w:rPr>
          <w:rFonts w:hint="eastAsia" w:ascii="宋体" w:hAnsi="宋体" w:cs="宋体"/>
        </w:rPr>
        <w:t>全镇有初级中学1间，学生505人，教职工27人；完全小学5间，学生783人，教职工58人。入学率和巩固率均达100%。有镇级医院1间，职工10人；村级卫生站5所，从业人员6人。基本医疗保险参保人数4189人，基本养老保险参保人数270人。</w:t>
      </w:r>
    </w:p>
    <w:p w14:paraId="4849821A">
      <w:pPr>
        <w:pStyle w:val="4"/>
        <w:rPr>
          <w:rFonts w:ascii="宋体" w:hAnsi="宋体" w:cs="宋体"/>
        </w:rPr>
      </w:pPr>
      <w:r>
        <w:rPr>
          <w:rFonts w:hint="eastAsia" w:ascii="宋体" w:hAnsi="宋体" w:cs="宋体"/>
        </w:rPr>
        <w:t>［历史事件］</w:t>
      </w:r>
    </w:p>
    <w:p w14:paraId="7A91FEBA">
      <w:pPr>
        <w:ind w:firstLine="420"/>
        <w:rPr>
          <w:rFonts w:ascii="宋体" w:hAnsi="宋体" w:cs="宋体"/>
        </w:rPr>
      </w:pPr>
      <w:r>
        <w:rPr>
          <w:rFonts w:hint="eastAsia" w:ascii="宋体" w:hAnsi="宋体" w:cs="宋体"/>
        </w:rPr>
        <w:t>战国末期，梅鋗奉越王至梅岭，筑城中站。</w:t>
      </w:r>
    </w:p>
    <w:p w14:paraId="620F9B33">
      <w:pPr>
        <w:ind w:firstLine="420"/>
        <w:rPr>
          <w:rFonts w:ascii="宋体" w:hAnsi="宋体" w:cs="宋体"/>
        </w:rPr>
      </w:pPr>
      <w:r>
        <w:rPr>
          <w:rFonts w:hint="eastAsia" w:ascii="宋体" w:hAnsi="宋体" w:cs="宋体"/>
        </w:rPr>
        <w:t>唐开元四年（716年），张九龄奉诏开凿大庾岭新路（梅关古道），使之成为五岭南北交通要道，在我国交通史上记下了光辉的一页。</w:t>
      </w:r>
    </w:p>
    <w:p w14:paraId="7CF0D1BE">
      <w:pPr>
        <w:ind w:firstLine="420"/>
        <w:rPr>
          <w:rFonts w:ascii="宋体" w:hAnsi="宋体" w:cs="宋体"/>
        </w:rPr>
      </w:pPr>
      <w:r>
        <w:rPr>
          <w:rFonts w:hint="eastAsia" w:ascii="宋体" w:hAnsi="宋体" w:cs="宋体"/>
        </w:rPr>
        <w:t>1930年至1935年，梅岭是粤、赣边重要游击区，毛泽东、朱德、彭德怀等先后率师经过梅岭。陈毅在油山、梅岭等地坚持了艰苦卓绝的三年游击战，写下了英雄诗篇《梅岭三章》、《偷渡梅关》等。</w:t>
      </w:r>
    </w:p>
    <w:p w14:paraId="53B9BA43">
      <w:pPr>
        <w:ind w:firstLine="420"/>
        <w:rPr>
          <w:rFonts w:ascii="宋体" w:hAnsi="宋体" w:cs="宋体"/>
        </w:rPr>
      </w:pPr>
      <w:r>
        <w:rPr>
          <w:rFonts w:hint="eastAsia" w:ascii="宋体" w:hAnsi="宋体" w:cs="宋体"/>
        </w:rPr>
        <w:t>1949年9月，中国人民解放军第二野战军第四兵团15军45师与粤赣湘边纵队北江第二支队在梅关胜利会师，进军岭南。</w:t>
      </w:r>
    </w:p>
    <w:p w14:paraId="6FEF9516">
      <w:pPr>
        <w:pStyle w:val="4"/>
        <w:rPr>
          <w:rFonts w:ascii="宋体" w:hAnsi="宋体" w:cs="宋体"/>
        </w:rPr>
      </w:pPr>
      <w:r>
        <w:rPr>
          <w:rFonts w:hint="eastAsia" w:ascii="宋体" w:hAnsi="宋体" w:cs="宋体"/>
        </w:rPr>
        <w:t>［文物古迹］</w:t>
      </w:r>
    </w:p>
    <w:p w14:paraId="31EBB96F">
      <w:pPr>
        <w:ind w:firstLine="420"/>
        <w:rPr>
          <w:rFonts w:ascii="宋体" w:hAnsi="宋体" w:cs="宋体"/>
        </w:rPr>
      </w:pPr>
      <w:r>
        <w:rPr>
          <w:rFonts w:hint="eastAsia" w:ascii="宋体" w:hAnsi="宋体" w:cs="宋体"/>
        </w:rPr>
        <w:t>梅关古道。梅关始设于秦，称横浦关，主要用于军事。唐开元四年（716年），张九龄奉诏开凿梅岭，拓展新路，为古代沟通五岭南北交通孔道，连接珠江与长江的纽带。北宋嘉祐八年（1063年），蔡抗、蔡挺兄弟督修岭路并署表梅关。明代立关楼，额刻“南粤雄关”、“岭南第一关”。历代在梅关古道广植松梅。“庾岭寒梅”、“官道虬松”均为明清时的岭南佳景。1989年9月，梅关古道列为广东省重点文物保护单位。《南粤雄关》、《驿道寒梅》列为南雄新十景。</w:t>
      </w:r>
    </w:p>
    <w:p w14:paraId="64BC21AC">
      <w:pPr>
        <w:ind w:firstLine="420"/>
        <w:rPr>
          <w:rFonts w:ascii="宋体" w:hAnsi="宋体" w:cs="宋体"/>
        </w:rPr>
      </w:pPr>
      <w:r>
        <w:rPr>
          <w:rFonts w:hint="eastAsia" w:ascii="宋体" w:hAnsi="宋体" w:cs="宋体"/>
        </w:rPr>
        <w:t>云封古寺。在梅关南侧，俗称挂角寺，建于唐代。“文化大革命”时毁，现在原处重建。寺东有六祖庙，相传禅宗南宗六祖惠能南返脱险于此，有卓锡泉、放钵石遗迹。</w:t>
      </w:r>
    </w:p>
    <w:p w14:paraId="7A1FB0E2">
      <w:pPr>
        <w:ind w:firstLine="420"/>
        <w:rPr>
          <w:rFonts w:ascii="宋体" w:hAnsi="宋体" w:cs="宋体"/>
        </w:rPr>
      </w:pPr>
      <w:r>
        <w:rPr>
          <w:rFonts w:hint="eastAsia" w:ascii="宋体" w:hAnsi="宋体" w:cs="宋体"/>
        </w:rPr>
        <w:t>夫人庙。位于梅关南侧，相传为纪念张九龄夫人戚宜芬而建。</w:t>
      </w:r>
    </w:p>
    <w:p w14:paraId="081C5635">
      <w:pPr>
        <w:ind w:firstLine="420"/>
        <w:rPr>
          <w:rFonts w:ascii="宋体" w:hAnsi="宋体" w:cs="宋体"/>
        </w:rPr>
      </w:pPr>
      <w:r>
        <w:rPr>
          <w:rFonts w:hint="eastAsia" w:ascii="宋体" w:hAnsi="宋体" w:cs="宋体"/>
        </w:rPr>
        <w:t>来雁亭。位于梅关南侧，相传古代北雁南飞过梅岭，多宿于道旁石岩，因名耒雁亭。</w:t>
      </w:r>
    </w:p>
    <w:p w14:paraId="5C1646E1">
      <w:pPr>
        <w:ind w:firstLine="420"/>
        <w:rPr>
          <w:rFonts w:ascii="宋体" w:hAnsi="宋体" w:cs="宋体"/>
        </w:rPr>
      </w:pPr>
      <w:r>
        <w:rPr>
          <w:rFonts w:hint="eastAsia" w:ascii="宋体" w:hAnsi="宋体" w:cs="宋体"/>
        </w:rPr>
        <w:t>钟鼓岩。位于梅岭南麓翠屏山，该山的石灰岩溶洞内有一乳石像座大钟悬吊于洞中，击之有钟声；另一溶洞内有乳石如鼓，击之似鼓鸣。两岩洞相连，因名钟鼓岩。岩上有唐、宋以来摩岩石刻23处。列为省重点文物保护单位。岩内有陈毅元帅于1937年9月与国民党江西省大余县长彭育英第一次谈判联合抗日遗址。《翠屏钟鼓》列为南雄新十景之一。</w:t>
      </w:r>
    </w:p>
    <w:p w14:paraId="63179068">
      <w:pPr>
        <w:ind w:firstLine="420"/>
        <w:rPr>
          <w:rFonts w:ascii="宋体" w:hAnsi="宋体" w:cs="宋体"/>
        </w:rPr>
      </w:pPr>
      <w:r>
        <w:rPr>
          <w:rFonts w:hint="eastAsia" w:ascii="宋体" w:hAnsi="宋体" w:cs="宋体"/>
        </w:rPr>
        <w:t>中站城。原称梅鋗城。相传战国末年，梅鋗从越王筑城于此。因城位于南雄、大庾二城之间，为两地肩挑货物中转之所，故名中站。</w:t>
      </w:r>
    </w:p>
    <w:p w14:paraId="72829266">
      <w:pPr>
        <w:pStyle w:val="3"/>
        <w:rPr>
          <w:rFonts w:ascii="宋体" w:hAnsi="宋体" w:cs="宋体"/>
        </w:rPr>
      </w:pPr>
      <w:r>
        <w:rPr>
          <w:rFonts w:hint="eastAsia" w:ascii="宋体" w:hAnsi="宋体" w:cs="宋体"/>
        </w:rPr>
        <w:t>湖口镇</w:t>
      </w:r>
    </w:p>
    <w:p w14:paraId="76FAE198">
      <w:pPr>
        <w:pStyle w:val="4"/>
        <w:rPr>
          <w:rFonts w:ascii="宋体" w:hAnsi="宋体" w:cs="宋体"/>
        </w:rPr>
      </w:pPr>
      <w:r>
        <w:rPr>
          <w:rFonts w:hint="eastAsia" w:ascii="宋体" w:hAnsi="宋体" w:cs="宋体"/>
        </w:rPr>
        <w:t>［历史沿革］</w:t>
      </w:r>
    </w:p>
    <w:p w14:paraId="2C8FF649">
      <w:pPr>
        <w:ind w:firstLine="420"/>
        <w:rPr>
          <w:rFonts w:ascii="宋体" w:hAnsi="宋体" w:cs="宋体"/>
        </w:rPr>
      </w:pPr>
      <w:r>
        <w:rPr>
          <w:rFonts w:hint="eastAsia" w:ascii="宋体" w:hAnsi="宋体" w:cs="宋体"/>
        </w:rPr>
        <w:t>原为湖泊的出口处，故名湖口。明代属惠杨乡鸟源都。清咸丰四年（1854年）废都建约。民国属南雄第二区长平乡。1951年划分为湖口、里和、长市新湖、承平、太和等小乡。1956年合并为湖口乡。1958年属红旗人民公社。1961年建立湖口人民公社。1984年改为区。1986年改为镇。</w:t>
      </w:r>
    </w:p>
    <w:p w14:paraId="36C6ED1E">
      <w:pPr>
        <w:pStyle w:val="4"/>
        <w:rPr>
          <w:rFonts w:ascii="宋体" w:hAnsi="宋体" w:cs="宋体"/>
        </w:rPr>
      </w:pPr>
      <w:r>
        <w:rPr>
          <w:rFonts w:hint="eastAsia" w:ascii="宋体" w:hAnsi="宋体" w:cs="宋体"/>
        </w:rPr>
        <w:t>［地理概况］</w:t>
      </w:r>
    </w:p>
    <w:p w14:paraId="018DDD1B">
      <w:pPr>
        <w:ind w:firstLine="420"/>
        <w:rPr>
          <w:rFonts w:ascii="宋体" w:hAnsi="宋体" w:cs="宋体"/>
        </w:rPr>
      </w:pPr>
      <w:r>
        <w:rPr>
          <w:rFonts w:hint="eastAsia" w:ascii="宋体" w:hAnsi="宋体" w:cs="宋体"/>
        </w:rPr>
        <w:t>湖口镇政府驻湖口墟，位于北纬25°10′14″，东经114°23′‘59″。镇辖区在南雄市区之东。面积73.7平方公里。东邻黄坑镇，南与水口、黎口镇为界，西与珠玑、市区接壤，北界邓坊镇。湖口墟距南雄市区10公里、韶关113公里，东至江西信丰县城66公里、赣州139公里。</w:t>
      </w:r>
    </w:p>
    <w:p w14:paraId="5230EB74">
      <w:pPr>
        <w:pStyle w:val="4"/>
        <w:rPr>
          <w:rFonts w:ascii="宋体" w:hAnsi="宋体" w:cs="宋体"/>
        </w:rPr>
      </w:pPr>
      <w:r>
        <w:rPr>
          <w:rFonts w:hint="eastAsia" w:ascii="宋体" w:hAnsi="宋体" w:cs="宋体"/>
        </w:rPr>
        <w:t>［自然环境］</w:t>
      </w:r>
    </w:p>
    <w:p w14:paraId="50FA83A9">
      <w:pPr>
        <w:ind w:firstLine="420"/>
        <w:rPr>
          <w:rFonts w:ascii="宋体" w:hAnsi="宋体" w:cs="宋体"/>
        </w:rPr>
      </w:pPr>
      <w:r>
        <w:rPr>
          <w:rFonts w:hint="eastAsia" w:ascii="宋体" w:hAnsi="宋体" w:cs="宋体"/>
        </w:rPr>
        <w:t>湖口全境属丘陵区。地质属紫红色泥质沙岩、紫红色泥质粉砂岩红色砂岩、粉沙质砾岩。自然土壤属第三、四纪红土土壤和紫色土壤。地势北高南低，年均气温19.6℃，冬季有霜雪，全年无霜期296天，年降雨量1530.9毫米。有2条小河：一是南山水（又称北坑水）自梅岭、珠玑流经该镇新湖、长市、三水三个村汇入浈江，年均流量5.2立方米／秒；二是下洞水（古称沙水）由珠玑流经该镇午田村至黎口镇汇入浈江。全镇林地面积1678.1公顷，森林覆盖率16%。</w:t>
      </w:r>
    </w:p>
    <w:p w14:paraId="7D6128BD">
      <w:pPr>
        <w:ind w:firstLine="420"/>
        <w:rPr>
          <w:rFonts w:ascii="宋体" w:hAnsi="宋体" w:cs="宋体"/>
        </w:rPr>
      </w:pPr>
      <w:r>
        <w:rPr>
          <w:rFonts w:hint="eastAsia" w:ascii="宋体" w:hAnsi="宋体" w:cs="宋体"/>
        </w:rPr>
        <w:t>罗佛寨村一带是蕴藏南雄“红层”古生物化石的典型地段，地质学家以罗佛寨群命名，代表南雄盆地中的古新世沉积物，总厚度800米，列为广东省自然保护区。</w:t>
      </w:r>
    </w:p>
    <w:p w14:paraId="7C8E6772">
      <w:pPr>
        <w:pStyle w:val="4"/>
        <w:rPr>
          <w:rFonts w:ascii="宋体" w:hAnsi="宋体" w:cs="宋体"/>
        </w:rPr>
      </w:pPr>
      <w:r>
        <w:rPr>
          <w:rFonts w:hint="eastAsia" w:ascii="宋体" w:hAnsi="宋体" w:cs="宋体"/>
        </w:rPr>
        <w:t>［圩市建设］</w:t>
      </w:r>
    </w:p>
    <w:p w14:paraId="03F77D53">
      <w:pPr>
        <w:ind w:firstLine="420"/>
        <w:rPr>
          <w:rFonts w:ascii="宋体" w:hAnsi="宋体" w:cs="宋体"/>
        </w:rPr>
      </w:pPr>
      <w:r>
        <w:rPr>
          <w:rFonts w:hint="eastAsia" w:ascii="宋体" w:hAnsi="宋体" w:cs="宋体"/>
        </w:rPr>
        <w:t>湖口圩距南雄城10公里。圩市建设用地11万平方米，建筑面积18000平方米，有门店400间，其中耕牛市场是传统专业市场。文化通讯设施完善。</w:t>
      </w:r>
    </w:p>
    <w:p w14:paraId="593F8E3C">
      <w:pPr>
        <w:pStyle w:val="4"/>
        <w:rPr>
          <w:rFonts w:ascii="宋体" w:hAnsi="宋体" w:cs="宋体"/>
        </w:rPr>
      </w:pPr>
      <w:r>
        <w:rPr>
          <w:rFonts w:hint="eastAsia" w:ascii="宋体" w:hAnsi="宋体" w:cs="宋体"/>
        </w:rPr>
        <w:t>［人口民族］</w:t>
      </w:r>
    </w:p>
    <w:p w14:paraId="77634A3C">
      <w:pPr>
        <w:ind w:firstLine="420"/>
        <w:rPr>
          <w:rFonts w:ascii="宋体" w:hAnsi="宋体" w:cs="宋体"/>
        </w:rPr>
      </w:pPr>
      <w:r>
        <w:rPr>
          <w:rFonts w:hint="eastAsia" w:ascii="宋体" w:hAnsi="宋体" w:cs="宋体"/>
        </w:rPr>
        <w:t>2004年，全镇辖12个村民委员会、194个村民小组和1个居民委员会。总户数9035户，总人口33984人，其中农业人口31997人，占94.2%。畲族33户39人，余为汉族。</w:t>
      </w:r>
    </w:p>
    <w:p w14:paraId="5BCD5880">
      <w:pPr>
        <w:pStyle w:val="4"/>
        <w:rPr>
          <w:rFonts w:ascii="宋体" w:hAnsi="宋体" w:cs="宋体"/>
        </w:rPr>
      </w:pPr>
      <w:r>
        <w:rPr>
          <w:rFonts w:hint="eastAsia" w:ascii="宋体" w:hAnsi="宋体" w:cs="宋体"/>
        </w:rPr>
        <w:t>［经济状况］</w:t>
      </w:r>
    </w:p>
    <w:p w14:paraId="48EC87E7">
      <w:pPr>
        <w:ind w:firstLine="420"/>
        <w:rPr>
          <w:rFonts w:ascii="宋体" w:hAnsi="宋体" w:cs="宋体"/>
        </w:rPr>
      </w:pPr>
      <w:r>
        <w:rPr>
          <w:rFonts w:hint="eastAsia" w:ascii="宋体" w:hAnsi="宋体" w:cs="宋体"/>
        </w:rPr>
        <w:t>湖口是南雄黄烟主产区。耕地面积2453.67公顷。2004年水稻播种面积2178.8公顷，稻谷总产16318吨；黄烟面积1506.67公顷，总产2893吨，收购量2511吨；种花生面积583.33公顷，总产1682吨。生猪饲养量34762头，出栏量18782头。耕牛存栏量4150头。三鸟出栏量210771只。2004年财政总收入270万元，总支出270万元。农村人均纯收入3289元。居民储蓄存款余额1080万元。固定电话装机数量2018部，移动电话拥有数量1157部。</w:t>
      </w:r>
    </w:p>
    <w:p w14:paraId="12535080">
      <w:pPr>
        <w:pStyle w:val="4"/>
        <w:rPr>
          <w:rFonts w:ascii="宋体" w:hAnsi="宋体" w:cs="宋体"/>
        </w:rPr>
      </w:pPr>
      <w:r>
        <w:rPr>
          <w:rFonts w:hint="eastAsia" w:ascii="宋体" w:hAnsi="宋体" w:cs="宋体"/>
        </w:rPr>
        <w:t>［文教卫生］</w:t>
      </w:r>
    </w:p>
    <w:p w14:paraId="2E3BB1A0">
      <w:pPr>
        <w:ind w:firstLine="420"/>
        <w:rPr>
          <w:rFonts w:ascii="宋体" w:hAnsi="宋体" w:cs="宋体"/>
        </w:rPr>
      </w:pPr>
      <w:r>
        <w:rPr>
          <w:rFonts w:hint="eastAsia" w:ascii="宋体" w:hAnsi="宋体" w:cs="宋体"/>
        </w:rPr>
        <w:t>2004年全镇有初级中学2间，完全小学12间，教师345人。在校学生6138人，其中小学生3582人。医疗保健设施有卫生院1所、个体医疗站17所。2004年止，基本医疗保险参保人数17583人，基本养老保险参保人数235人。</w:t>
      </w:r>
    </w:p>
    <w:p w14:paraId="539231AE">
      <w:pPr>
        <w:pStyle w:val="4"/>
        <w:rPr>
          <w:rFonts w:ascii="宋体" w:hAnsi="宋体" w:cs="宋体"/>
        </w:rPr>
      </w:pPr>
      <w:r>
        <w:rPr>
          <w:rFonts w:hint="eastAsia" w:ascii="宋体" w:hAnsi="宋体" w:cs="宋体"/>
        </w:rPr>
        <w:t>［文物古迹］</w:t>
      </w:r>
    </w:p>
    <w:p w14:paraId="2A58FA29">
      <w:pPr>
        <w:ind w:firstLine="420"/>
        <w:rPr>
          <w:rFonts w:ascii="宋体" w:hAnsi="宋体" w:cs="宋体"/>
        </w:rPr>
      </w:pPr>
      <w:r>
        <w:rPr>
          <w:rFonts w:hint="eastAsia" w:ascii="宋体" w:hAnsi="宋体" w:cs="宋体"/>
        </w:rPr>
        <w:t>花楼。在镇政府驻地以北600米处，是早期中共南雄县委机关旧址。因楼前楼门用雕花板装饰，故名花楼。</w:t>
      </w:r>
    </w:p>
    <w:p w14:paraId="76DFD597">
      <w:pPr>
        <w:pStyle w:val="4"/>
        <w:rPr>
          <w:rFonts w:ascii="宋体" w:hAnsi="宋体" w:cs="宋体"/>
        </w:rPr>
      </w:pPr>
      <w:r>
        <w:rPr>
          <w:rFonts w:hint="eastAsia" w:ascii="宋体" w:hAnsi="宋体" w:cs="宋体"/>
        </w:rPr>
        <w:t>［名人］</w:t>
      </w:r>
    </w:p>
    <w:p w14:paraId="09C0E466">
      <w:pPr>
        <w:ind w:firstLine="420"/>
        <w:rPr>
          <w:rFonts w:ascii="宋体" w:hAnsi="宋体" w:cs="宋体"/>
        </w:rPr>
      </w:pPr>
      <w:r>
        <w:rPr>
          <w:rFonts w:hint="eastAsia" w:ascii="宋体" w:hAnsi="宋体" w:cs="宋体"/>
        </w:rPr>
        <w:t>曾昭秀（1900-1930），湖口镇老圩人，南雄工农革命运动领导者，历任中共南雄县与中共寻乌县委书记。1928年领导农民武装暴动，建立南雄县苏维埃政府，被选为县苏维埃政府主席。1930年被诬害而死，追认为烈士。</w:t>
      </w:r>
    </w:p>
    <w:p w14:paraId="536C0159">
      <w:pPr>
        <w:ind w:firstLine="420"/>
        <w:rPr>
          <w:rFonts w:ascii="宋体" w:hAnsi="宋体" w:cs="宋体"/>
        </w:rPr>
      </w:pPr>
      <w:r>
        <w:rPr>
          <w:rFonts w:hint="eastAsia" w:ascii="宋体" w:hAnsi="宋体" w:cs="宋体"/>
        </w:rPr>
        <w:t>李乐天（1905-1936），原名清操，字励冰，湖口镇新迳筲箕窝村人。土地革命时期历任中共南雄县委书记、赣粤边区特委书记、赣粤军区司令兼政委，与项英、陈毅并肩战斗。1936年1月底为掩护同志突围，壮烈牺牲。</w:t>
      </w:r>
    </w:p>
    <w:p w14:paraId="3A96D33F">
      <w:pPr>
        <w:pStyle w:val="3"/>
        <w:rPr>
          <w:rFonts w:ascii="宋体" w:hAnsi="宋体" w:cs="宋体"/>
        </w:rPr>
      </w:pPr>
      <w:r>
        <w:rPr>
          <w:rFonts w:hint="eastAsia" w:ascii="宋体" w:hAnsi="宋体" w:cs="宋体"/>
        </w:rPr>
        <w:t>邓坊镇</w:t>
      </w:r>
    </w:p>
    <w:p w14:paraId="520BEAE6">
      <w:pPr>
        <w:pStyle w:val="4"/>
        <w:rPr>
          <w:rFonts w:ascii="宋体" w:hAnsi="宋体" w:cs="宋体"/>
        </w:rPr>
      </w:pPr>
      <w:r>
        <w:rPr>
          <w:rFonts w:hint="eastAsia" w:ascii="宋体" w:hAnsi="宋体" w:cs="宋体"/>
        </w:rPr>
        <w:t>［历史沿革］</w:t>
      </w:r>
    </w:p>
    <w:p w14:paraId="43F7941E">
      <w:pPr>
        <w:ind w:firstLine="420"/>
        <w:rPr>
          <w:rFonts w:ascii="宋体" w:hAnsi="宋体" w:cs="宋体"/>
        </w:rPr>
      </w:pPr>
      <w:r>
        <w:rPr>
          <w:rFonts w:hint="eastAsia" w:ascii="宋体" w:hAnsi="宋体" w:cs="宋体"/>
        </w:rPr>
        <w:t>邓坊镇辖境明代属望梅乡杨律都。清康熙二十年（1681年）属杨律一都。咸丰四年（1854年）废都建约。民国属镇平乡。中华人民共和国成立后，历经数次分并。1957年建立邓坊乡。1958年属火箭（黄坑）人民公社。1962年建立邓坊人民公社。1984年改为区。1986年改区为乡。1994年6月改为镇。2001年12月镇乡调整，油山镇的4个村委会划回邓坊镇管辖。使邓坊镇辖境，恢复到1962年邓坊人民公社所辖范围。</w:t>
      </w:r>
    </w:p>
    <w:p w14:paraId="36E9FF7E">
      <w:pPr>
        <w:pStyle w:val="4"/>
        <w:rPr>
          <w:rFonts w:ascii="宋体" w:hAnsi="宋体" w:cs="宋体"/>
        </w:rPr>
      </w:pPr>
      <w:r>
        <w:rPr>
          <w:rFonts w:hint="eastAsia" w:ascii="宋体" w:hAnsi="宋体" w:cs="宋体"/>
        </w:rPr>
        <w:t>［地理概况］</w:t>
      </w:r>
    </w:p>
    <w:p w14:paraId="21F894C9">
      <w:pPr>
        <w:ind w:firstLine="420"/>
        <w:rPr>
          <w:rFonts w:ascii="宋体" w:hAnsi="宋体" w:cs="宋体"/>
        </w:rPr>
      </w:pPr>
      <w:r>
        <w:rPr>
          <w:rFonts w:hint="eastAsia" w:ascii="宋体" w:hAnsi="宋体" w:cs="宋体"/>
        </w:rPr>
        <w:t>邓坊新墟位于北纬25°16′12″，东经114°26'35″。镇辖区总面积118.944平方公里。东邻油山镇，南邻黄坑、湖口镇，西邻珠玑镇，北与江西省大余县接壤。邓坊新墟至南雄市区26公里、韶关129公里，至江西信丰县城59公里、赣州市148公里。镇内公路有县道3条，共长38公里；镇道10条，共长46公里，已实现水泥硬底化；村道12条（段），共长30公里。</w:t>
      </w:r>
    </w:p>
    <w:p w14:paraId="6F588785">
      <w:pPr>
        <w:pStyle w:val="4"/>
        <w:rPr>
          <w:rFonts w:ascii="宋体" w:hAnsi="宋体" w:cs="宋体"/>
        </w:rPr>
      </w:pPr>
      <w:r>
        <w:rPr>
          <w:rFonts w:hint="eastAsia" w:ascii="宋体" w:hAnsi="宋体" w:cs="宋体"/>
        </w:rPr>
        <w:t>［自然环境］</w:t>
      </w:r>
    </w:p>
    <w:p w14:paraId="4A6D4AA9">
      <w:pPr>
        <w:ind w:firstLine="420"/>
        <w:rPr>
          <w:rFonts w:ascii="宋体" w:hAnsi="宋体" w:cs="宋体"/>
        </w:rPr>
      </w:pPr>
      <w:r>
        <w:rPr>
          <w:rFonts w:hint="eastAsia" w:ascii="宋体" w:hAnsi="宋体" w:cs="宋体"/>
        </w:rPr>
        <w:t>邓坊镇辖境属半山区丘陵地带，最高山峰850米。地质属燕山期花岗岩体及寒武纪、震旦纪变质岩体。土壤属花岗岩红壤、紫红色泥质砂岩，有少数白沙泥田。平均气温17℃，年降雨量1530毫米。境内河流有2条：一是邓坊水，发源于上杨梅村，流经里元、邓坊、许村后汇入浈江。河床平均坡降6.08%，总落差638米，集雨面积80.5平方公里，年径流量0.624亿立方米，上游建有杨梅水库。二是洋西坑水，发源于洋西村旱田，集雨面积15.3平方公里，河长6.91公里，坡降25.7‰。全镇林地面积3704.3公顷，松香基地1666.67公顷，木材蓄积量122368立方米。森林覆盖率78%。</w:t>
      </w:r>
    </w:p>
    <w:p w14:paraId="3645AAA4">
      <w:pPr>
        <w:pStyle w:val="4"/>
        <w:rPr>
          <w:rFonts w:ascii="宋体" w:hAnsi="宋体" w:cs="宋体"/>
        </w:rPr>
      </w:pPr>
      <w:r>
        <w:rPr>
          <w:rFonts w:hint="eastAsia" w:ascii="宋体" w:hAnsi="宋体" w:cs="宋体"/>
        </w:rPr>
        <w:t>［圩市建设］</w:t>
      </w:r>
    </w:p>
    <w:p w14:paraId="7A20F88E">
      <w:pPr>
        <w:ind w:firstLine="420"/>
        <w:rPr>
          <w:rFonts w:ascii="宋体" w:hAnsi="宋体" w:cs="宋体"/>
        </w:rPr>
      </w:pPr>
      <w:r>
        <w:rPr>
          <w:rFonts w:hint="eastAsia" w:ascii="宋体" w:hAnsi="宋体" w:cs="宋体"/>
        </w:rPr>
        <w:t>邓坊镇政府驻邓坊新墟。相传明末清初，有苟石村邓公文在邓坊河边开基经营磨坊业，以后渐成集市，故称邓坊墟。因该墟在河边，规模小，交通不便。1980年前后，在距老圩约500米的山冈上建邓坊新墟。现墟镇面积0.42平方公里，建筑面积5.2万平方米。新街长1200米。有年供水量14.6万立方米的自来水厂，供水管网总长16.2公里。人均住房面积23平方米。</w:t>
      </w:r>
    </w:p>
    <w:p w14:paraId="76C1280A">
      <w:pPr>
        <w:pStyle w:val="4"/>
        <w:rPr>
          <w:rFonts w:ascii="宋体" w:hAnsi="宋体" w:cs="宋体"/>
        </w:rPr>
      </w:pPr>
      <w:r>
        <w:rPr>
          <w:rFonts w:hint="eastAsia" w:ascii="宋体" w:hAnsi="宋体" w:cs="宋体"/>
        </w:rPr>
        <w:t>［人口民族］</w:t>
      </w:r>
    </w:p>
    <w:p w14:paraId="02AC6502">
      <w:pPr>
        <w:ind w:firstLine="420"/>
        <w:rPr>
          <w:rFonts w:ascii="宋体" w:hAnsi="宋体" w:cs="宋体"/>
        </w:rPr>
      </w:pPr>
      <w:r>
        <w:rPr>
          <w:rFonts w:hint="eastAsia" w:ascii="宋体" w:hAnsi="宋体" w:cs="宋体"/>
        </w:rPr>
        <w:t>2004年邓坊镇辖1个居委会，9个村委会，74个自然村，105个村民小组。总户数4142户，总人口15439人，其中农业人口14431人，占总人口93.5%。汉族人口15099人，占总人口97.8%，畲族340人，占总人口2.2%。</w:t>
      </w:r>
    </w:p>
    <w:p w14:paraId="6F3921A8">
      <w:pPr>
        <w:pStyle w:val="4"/>
        <w:rPr>
          <w:rFonts w:ascii="宋体" w:hAnsi="宋体" w:cs="宋体"/>
        </w:rPr>
      </w:pPr>
      <w:r>
        <w:rPr>
          <w:rFonts w:hint="eastAsia" w:ascii="宋体" w:hAnsi="宋体" w:cs="宋体"/>
        </w:rPr>
        <w:t>［经济状况］</w:t>
      </w:r>
    </w:p>
    <w:p w14:paraId="379BADCF">
      <w:pPr>
        <w:ind w:firstLine="420"/>
        <w:rPr>
          <w:rFonts w:ascii="宋体" w:hAnsi="宋体" w:cs="宋体"/>
        </w:rPr>
      </w:pPr>
      <w:r>
        <w:rPr>
          <w:rFonts w:hint="eastAsia" w:ascii="宋体" w:hAnsi="宋体" w:cs="宋体"/>
        </w:rPr>
        <w:t>全镇耕地面积1240.26公顷。2004年，水稻播种面积1263.33公顷，总产9797吨。种植黄烟480公顷，总产979吨，收购量460吨。种植花生266.67公顷，总产893吨。生猪饲养量46750头，出栏量21563头。耕牛存栏量3214头，三鸟出栏量161178只。渔业产量755吨。全镇财政总收入56万元，总支出54万元。农村人均纯收入3109元，居民储蓄存款余额1526万元。固定电话装机数量1486部，移动电话拥有量1025部。</w:t>
      </w:r>
    </w:p>
    <w:p w14:paraId="3920780B">
      <w:pPr>
        <w:pStyle w:val="4"/>
        <w:rPr>
          <w:rFonts w:ascii="宋体" w:hAnsi="宋体" w:cs="宋体"/>
        </w:rPr>
      </w:pPr>
      <w:r>
        <w:rPr>
          <w:rFonts w:hint="eastAsia" w:ascii="宋体" w:hAnsi="宋体" w:cs="宋体"/>
        </w:rPr>
        <w:t>［文化卫生］</w:t>
      </w:r>
    </w:p>
    <w:p w14:paraId="60055C8E">
      <w:pPr>
        <w:ind w:firstLine="420"/>
        <w:rPr>
          <w:rFonts w:ascii="宋体" w:hAnsi="宋体" w:cs="宋体"/>
        </w:rPr>
      </w:pPr>
      <w:r>
        <w:rPr>
          <w:rFonts w:hint="eastAsia" w:ascii="宋体" w:hAnsi="宋体" w:cs="宋体"/>
        </w:rPr>
        <w:t>邓坊镇有中学1所、小学10所，教师165人。适龄儿童入学率99.8%。医疗保健设施有卫生院1所，村级卫生站8个。基本医疗保险参保人数5228人，基本养老保险参保人数301人。</w:t>
      </w:r>
    </w:p>
    <w:p w14:paraId="130EEBBF">
      <w:pPr>
        <w:pStyle w:val="4"/>
        <w:rPr>
          <w:rFonts w:ascii="宋体" w:hAnsi="宋体" w:cs="宋体"/>
        </w:rPr>
      </w:pPr>
      <w:r>
        <w:rPr>
          <w:rFonts w:hint="eastAsia" w:ascii="宋体" w:hAnsi="宋体" w:cs="宋体"/>
        </w:rPr>
        <w:t>［名产］</w:t>
      </w:r>
    </w:p>
    <w:p w14:paraId="1013F436">
      <w:pPr>
        <w:ind w:firstLine="420"/>
        <w:rPr>
          <w:rFonts w:ascii="宋体" w:hAnsi="宋体" w:cs="宋体"/>
        </w:rPr>
      </w:pPr>
      <w:r>
        <w:rPr>
          <w:rFonts w:hint="eastAsia" w:ascii="宋体" w:hAnsi="宋体" w:cs="宋体"/>
        </w:rPr>
        <w:t>金友牌优质香米。邓坊优质米加工厂生产。以本地生产的优质稻谷10多个品种加工配合而成。营养丰富、气味清香、软滑可口。</w:t>
      </w:r>
    </w:p>
    <w:p w14:paraId="4D631EFC">
      <w:pPr>
        <w:ind w:firstLine="420"/>
        <w:rPr>
          <w:rFonts w:ascii="宋体" w:hAnsi="宋体" w:cs="宋体"/>
        </w:rPr>
      </w:pPr>
      <w:r>
        <w:rPr>
          <w:rFonts w:hint="eastAsia" w:ascii="宋体" w:hAnsi="宋体" w:cs="宋体"/>
        </w:rPr>
        <w:t>金友牌甜酸荞头。邓坊腌渍厂生产。采用本地生产的荞头加工制成。特点爽、甜、酸适口，具有健胃作用。</w:t>
      </w:r>
    </w:p>
    <w:p w14:paraId="521D67F3">
      <w:pPr>
        <w:pStyle w:val="3"/>
        <w:rPr>
          <w:rFonts w:ascii="宋体" w:hAnsi="宋体" w:cs="宋体"/>
        </w:rPr>
      </w:pPr>
      <w:r>
        <w:rPr>
          <w:rFonts w:hint="eastAsia" w:ascii="宋体" w:hAnsi="宋体" w:cs="宋体"/>
        </w:rPr>
        <w:t>黄坑镇</w:t>
      </w:r>
    </w:p>
    <w:p w14:paraId="2EEA922E">
      <w:pPr>
        <w:pStyle w:val="4"/>
        <w:rPr>
          <w:rFonts w:ascii="宋体" w:hAnsi="宋体" w:cs="宋体"/>
        </w:rPr>
      </w:pPr>
      <w:r>
        <w:rPr>
          <w:rFonts w:hint="eastAsia" w:ascii="宋体" w:hAnsi="宋体" w:cs="宋体"/>
        </w:rPr>
        <w:t>［历史沿革］</w:t>
      </w:r>
    </w:p>
    <w:p w14:paraId="6AA2D3E7">
      <w:pPr>
        <w:ind w:firstLine="420"/>
        <w:rPr>
          <w:rFonts w:ascii="宋体" w:hAnsi="宋体" w:cs="宋体"/>
        </w:rPr>
      </w:pPr>
      <w:r>
        <w:rPr>
          <w:rFonts w:hint="eastAsia" w:ascii="宋体" w:hAnsi="宋体" w:cs="宋体"/>
        </w:rPr>
        <w:t>黄坑镇政府驻地黄坑墟，因多黄泥土而得名。明代属望梅乡杨律都。清咸丰四年（1854年）废都建约。民国初期沿清制。民国21年（1932年）属第六区黄平乡。民国29年属第二区黄平乡。1951年建立黄坑乡。1958年属火箭（黄坑）人民公社。1962年建立黄坑人民公社。1984年改为区，1986年改为镇。</w:t>
      </w:r>
    </w:p>
    <w:p w14:paraId="4B2B8DF7">
      <w:pPr>
        <w:pStyle w:val="4"/>
        <w:rPr>
          <w:rFonts w:ascii="宋体" w:hAnsi="宋体" w:cs="宋体"/>
        </w:rPr>
      </w:pPr>
      <w:r>
        <w:rPr>
          <w:rFonts w:hint="eastAsia" w:ascii="宋体" w:hAnsi="宋体" w:cs="宋体"/>
        </w:rPr>
        <w:t>［地理概况］</w:t>
      </w:r>
    </w:p>
    <w:p w14:paraId="2E73FB21">
      <w:pPr>
        <w:ind w:firstLine="420"/>
        <w:rPr>
          <w:rFonts w:ascii="宋体" w:hAnsi="宋体" w:cs="宋体"/>
        </w:rPr>
      </w:pPr>
      <w:r>
        <w:rPr>
          <w:rFonts w:hint="eastAsia" w:ascii="宋体" w:hAnsi="宋体" w:cs="宋体"/>
        </w:rPr>
        <w:t>黄坑墟位于北纬25°13′5″，东经114°29′55″。镇辖区位于南雄市区之东面。自东按顺时针方向依次与乌迳、南亩、水口、湖口、邓坊、油山6个镇相连。总面积55.75平方公里。省道342线贯穿全镇，住东至江西信丰县城44公里，与国道105线和京九铁路连接；西至南雄市区21公里，接国道323线至韶关124公里；南经南亩镇可达江西省全南县；北经邓坊、梅岭镇可达江西省大余县、赣州市。镇内乡村公路12条，总长30公里，由镇政府至10个村委会全部有水泥公路。</w:t>
      </w:r>
    </w:p>
    <w:p w14:paraId="7A53CA4B">
      <w:pPr>
        <w:pStyle w:val="4"/>
        <w:rPr>
          <w:rFonts w:ascii="宋体" w:hAnsi="宋体" w:cs="宋体"/>
        </w:rPr>
      </w:pPr>
      <w:r>
        <w:rPr>
          <w:rFonts w:hint="eastAsia" w:ascii="宋体" w:hAnsi="宋体" w:cs="宋体"/>
        </w:rPr>
        <w:t>［自然环境］</w:t>
      </w:r>
    </w:p>
    <w:p w14:paraId="1C4B6206">
      <w:pPr>
        <w:ind w:firstLine="420"/>
        <w:rPr>
          <w:rFonts w:ascii="宋体" w:hAnsi="宋体" w:cs="宋体"/>
        </w:rPr>
      </w:pPr>
      <w:r>
        <w:rPr>
          <w:rFonts w:hint="eastAsia" w:ascii="宋体" w:hAnsi="宋体" w:cs="宋体"/>
        </w:rPr>
        <w:t>黄坑镇地处南雄盆地中心，属丘陵地带，海拔400米以下，大部分山岭属红砂岭。地质属白垩纪紫红色泥质砂岩、砂砾岩和老第三纪紫红色泥质砂岩、紫色砂页岩。自然土壤属第四纪红土红壤。年均气温19.6℃，全年无霜期296天，年降雨量1530毫米。主要河流有黄坑河，年径流深775毫米，年径流量0.394亿立方米。丰水期径流量0.63亿立方米，枯水期0.189亿立方米。有林地面积1357.4公顷，其中松林1263公顷。森林覆盖率19.9%。</w:t>
      </w:r>
    </w:p>
    <w:p w14:paraId="0103A171">
      <w:pPr>
        <w:pStyle w:val="4"/>
        <w:rPr>
          <w:rFonts w:ascii="宋体" w:hAnsi="宋体" w:cs="宋体"/>
        </w:rPr>
      </w:pPr>
      <w:r>
        <w:rPr>
          <w:rFonts w:hint="eastAsia" w:ascii="宋体" w:hAnsi="宋体" w:cs="宋体"/>
        </w:rPr>
        <w:t>［圩市建设］</w:t>
      </w:r>
    </w:p>
    <w:p w14:paraId="32FACA09">
      <w:pPr>
        <w:ind w:firstLine="420"/>
        <w:rPr>
          <w:rFonts w:ascii="宋体" w:hAnsi="宋体" w:cs="宋体"/>
        </w:rPr>
      </w:pPr>
      <w:r>
        <w:rPr>
          <w:rFonts w:hint="eastAsia" w:ascii="宋体" w:hAnsi="宋体" w:cs="宋体"/>
        </w:rPr>
        <w:t>黄坑墟新建1座占地8万平方米的商贸城，全部街道铺了水泥，在市场内建有可容纳300户的商贸一条街。水电设施完善。属广东省273个中心镇之一。</w:t>
      </w:r>
    </w:p>
    <w:p w14:paraId="70368072">
      <w:pPr>
        <w:pStyle w:val="4"/>
        <w:rPr>
          <w:rFonts w:ascii="宋体" w:hAnsi="宋体" w:cs="宋体"/>
        </w:rPr>
      </w:pPr>
      <w:r>
        <w:rPr>
          <w:rFonts w:hint="eastAsia" w:ascii="宋体" w:hAnsi="宋体" w:cs="宋体"/>
        </w:rPr>
        <w:t>［人口民族］</w:t>
      </w:r>
    </w:p>
    <w:p w14:paraId="220C4FD0">
      <w:pPr>
        <w:ind w:firstLine="420"/>
        <w:rPr>
          <w:rFonts w:ascii="宋体" w:hAnsi="宋体" w:cs="宋体"/>
        </w:rPr>
      </w:pPr>
      <w:r>
        <w:rPr>
          <w:rFonts w:hint="eastAsia" w:ascii="宋体" w:hAnsi="宋体" w:cs="宋体"/>
        </w:rPr>
        <w:t>2004年，黄坑镇辖1个居委会、10个村委会，124个村民小组。总户数6008户，总人口24259人。农业人口22136人，占总人口91.3%。畲族424户，1810人，占总人口7.5%，其余为汉族。</w:t>
      </w:r>
    </w:p>
    <w:p w14:paraId="4D26B307">
      <w:pPr>
        <w:pStyle w:val="4"/>
        <w:rPr>
          <w:rFonts w:ascii="宋体" w:hAnsi="宋体" w:cs="宋体"/>
        </w:rPr>
      </w:pPr>
      <w:r>
        <w:rPr>
          <w:rFonts w:hint="eastAsia" w:ascii="宋体" w:hAnsi="宋体" w:cs="宋体"/>
        </w:rPr>
        <w:t>［经济状况］</w:t>
      </w:r>
    </w:p>
    <w:p w14:paraId="397D8004">
      <w:pPr>
        <w:ind w:firstLine="420"/>
        <w:rPr>
          <w:rFonts w:ascii="宋体" w:hAnsi="宋体" w:cs="宋体"/>
        </w:rPr>
      </w:pPr>
      <w:r>
        <w:rPr>
          <w:rFonts w:hint="eastAsia" w:ascii="宋体" w:hAnsi="宋体" w:cs="宋体"/>
        </w:rPr>
        <w:t>全镇有耕地面积2077.47公顷，有林地1353.33公顷。属南雄黄烟主产区。2004年水稻播种面积1690公顷（其中优质稻1133.33公顷），总产量12605吨；花生种植面积473.33公顷，总产1312吨；种植黄烟1100公顷，总产量2180吨，收购量1760吨。种植反季节蔬菜300公顷，红瓜子33.33公顷。饲养生猪41059头，出栏量24624头。耕牛存栏量3572头。三鸟出栏量177986只。水产品总产量518吨。近年开创了“黄坑百草鹅”绿色食品品牌，全年饲养鹅13000只。</w:t>
      </w:r>
    </w:p>
    <w:p w14:paraId="5C51755B">
      <w:pPr>
        <w:ind w:firstLine="420"/>
        <w:rPr>
          <w:rFonts w:ascii="宋体" w:hAnsi="宋体" w:cs="宋体"/>
        </w:rPr>
      </w:pPr>
      <w:r>
        <w:rPr>
          <w:rFonts w:hint="eastAsia" w:ascii="宋体" w:hAnsi="宋体" w:cs="宋体"/>
        </w:rPr>
        <w:t>2004年，全镇财政总收入180万元，总支出170万元，农村人均纯收入3181元，居民储蓄存款余额4500万元，固定电话装机数量3000部，移动电话拥有量1560部。</w:t>
      </w:r>
    </w:p>
    <w:p w14:paraId="7FF86608">
      <w:pPr>
        <w:pStyle w:val="4"/>
        <w:rPr>
          <w:rFonts w:ascii="宋体" w:hAnsi="宋体" w:cs="宋体"/>
        </w:rPr>
      </w:pPr>
      <w:r>
        <w:rPr>
          <w:rFonts w:hint="eastAsia" w:ascii="宋体" w:hAnsi="宋体" w:cs="宋体"/>
        </w:rPr>
        <w:t>［文化卫生］</w:t>
      </w:r>
    </w:p>
    <w:p w14:paraId="63FB8B91">
      <w:pPr>
        <w:ind w:firstLine="420"/>
        <w:rPr>
          <w:rFonts w:ascii="宋体" w:hAnsi="宋体" w:cs="宋体"/>
        </w:rPr>
      </w:pPr>
      <w:r>
        <w:rPr>
          <w:rFonts w:hint="eastAsia" w:ascii="宋体" w:hAnsi="宋体" w:cs="宋体"/>
        </w:rPr>
        <w:t>镇内有市级重点中学1所，镇级中学1所，完全小学13所，教师354人，在校学生5467人，适龄儿童入学率99%。医疗保健设施有1所卫生院，3间门诊所，村级卫生站12个，医务人员共有50多人。2004年，基本医疗保险参保人数12708人，基本养老保险参保人数268人。</w:t>
      </w:r>
    </w:p>
    <w:p w14:paraId="753FC210">
      <w:pPr>
        <w:pStyle w:val="4"/>
        <w:rPr>
          <w:rFonts w:ascii="宋体" w:hAnsi="宋体" w:cs="宋体"/>
        </w:rPr>
      </w:pPr>
      <w:r>
        <w:rPr>
          <w:rFonts w:hint="eastAsia" w:ascii="宋体" w:hAnsi="宋体" w:cs="宋体"/>
        </w:rPr>
        <w:t>［文物古迹］</w:t>
      </w:r>
    </w:p>
    <w:p w14:paraId="358F6649">
      <w:pPr>
        <w:ind w:firstLine="420"/>
        <w:rPr>
          <w:rFonts w:ascii="宋体" w:hAnsi="宋体" w:cs="宋体"/>
        </w:rPr>
      </w:pPr>
      <w:r>
        <w:rPr>
          <w:rFonts w:hint="eastAsia" w:ascii="宋体" w:hAnsi="宋体" w:cs="宋体"/>
        </w:rPr>
        <w:t>许村宋塔。位于许村东南200米处，半圯，是南雄市重点保护文物。</w:t>
      </w:r>
    </w:p>
    <w:p w14:paraId="1D3B09BB">
      <w:pPr>
        <w:pStyle w:val="3"/>
        <w:rPr>
          <w:rFonts w:ascii="宋体" w:hAnsi="宋体" w:cs="宋体"/>
        </w:rPr>
      </w:pPr>
      <w:r>
        <w:rPr>
          <w:rFonts w:hint="eastAsia" w:ascii="宋体" w:hAnsi="宋体" w:cs="宋体"/>
        </w:rPr>
        <w:t>油山镇</w:t>
      </w:r>
    </w:p>
    <w:p w14:paraId="53BB8797">
      <w:pPr>
        <w:pStyle w:val="4"/>
        <w:rPr>
          <w:rFonts w:ascii="宋体" w:hAnsi="宋体" w:cs="宋体"/>
        </w:rPr>
      </w:pPr>
      <w:r>
        <w:rPr>
          <w:rFonts w:hint="eastAsia" w:ascii="宋体" w:hAnsi="宋体" w:cs="宋体"/>
        </w:rPr>
        <w:t>［历史沿革］</w:t>
      </w:r>
    </w:p>
    <w:p w14:paraId="2D2B9C61">
      <w:pPr>
        <w:ind w:firstLine="420"/>
        <w:rPr>
          <w:rFonts w:ascii="宋体" w:hAnsi="宋体" w:cs="宋体"/>
        </w:rPr>
      </w:pPr>
      <w:r>
        <w:rPr>
          <w:rFonts w:hint="eastAsia" w:ascii="宋体" w:hAnsi="宋体" w:cs="宋体"/>
        </w:rPr>
        <w:t>油山镇政府驻地大塘墟，相传因位于山冈上，不近河，只得在后山筑大山塘蓄雨水供日常用水，故名大塘。明代属延福都。清朝乾隆二年（1737年）属延福二都。咸丰四年（1854年）废都建约。光绪三十四年（1908年）废约建乡。民国21年设立大塘乡，属第六区。民国29年属第二区。1958年后，属火箭（黄坑）人民公社。1962年成立油山人民公社。1979年3月，油山人民公社分为大塘和油山两个人民公社。1984年改为区，1986年改为镇。2001年底，两镇又合并为油山镇。其中益田、兰田、上湖、茶头背4个村委会划回邓坊镇。</w:t>
      </w:r>
    </w:p>
    <w:p w14:paraId="6357EF94">
      <w:pPr>
        <w:pStyle w:val="4"/>
        <w:rPr>
          <w:rFonts w:ascii="宋体" w:hAnsi="宋体" w:cs="宋体"/>
        </w:rPr>
      </w:pPr>
      <w:r>
        <w:rPr>
          <w:rFonts w:hint="eastAsia" w:ascii="宋体" w:hAnsi="宋体" w:cs="宋体"/>
        </w:rPr>
        <w:t>［地理概况］</w:t>
      </w:r>
    </w:p>
    <w:p w14:paraId="3A9231F8">
      <w:pPr>
        <w:ind w:firstLine="420"/>
        <w:rPr>
          <w:rFonts w:ascii="宋体" w:hAnsi="宋体" w:cs="宋体"/>
        </w:rPr>
      </w:pPr>
      <w:r>
        <w:rPr>
          <w:rFonts w:hint="eastAsia" w:ascii="宋体" w:hAnsi="宋体" w:cs="宋体"/>
        </w:rPr>
        <w:t>油山镇政府驻地大塘圩位于北纬25°16′53″，东经114°31′20″。圩区面积0.5平方公里。有街道1条，长900米。房屋建筑面积39.6万平方米。人均住房面积15.9平方米。辖区东邻乌迳，南连黄坑，西接邓坊，北与江西省大余、信丰两县交界。总面积179平方公里。大塘圩至南雄市区30公里、韶关133公里、江西信丰县城60公里、赣州市137公里。镇内全部村委会均通汽车。其中12个村委会铺了水泥路面。</w:t>
      </w:r>
    </w:p>
    <w:p w14:paraId="7E6ADC70">
      <w:pPr>
        <w:pStyle w:val="4"/>
        <w:rPr>
          <w:rFonts w:ascii="宋体" w:hAnsi="宋体" w:cs="宋体"/>
        </w:rPr>
      </w:pPr>
      <w:r>
        <w:rPr>
          <w:rFonts w:hint="eastAsia" w:ascii="宋体" w:hAnsi="宋体" w:cs="宋体"/>
        </w:rPr>
        <w:t>［自然环境］</w:t>
      </w:r>
    </w:p>
    <w:p w14:paraId="70931F45">
      <w:pPr>
        <w:ind w:firstLine="420"/>
        <w:rPr>
          <w:rFonts w:ascii="宋体" w:hAnsi="宋体" w:cs="宋体"/>
        </w:rPr>
      </w:pPr>
      <w:r>
        <w:rPr>
          <w:rFonts w:hint="eastAsia" w:ascii="宋体" w:hAnsi="宋体" w:cs="宋体"/>
        </w:rPr>
        <w:t>油山镇北部为山区，海拔平均483米，最高的油山1073米。南部为丘陵，约占1/3面积，平均海拔364米。山区地质属燕山期花岗岩体和寒武纪、震旦纪变质岩体。土壤属花岗岩红壤。丘陵区地质为白垩纪紫色砂页岩体，土壤属红壤及紫色土类。年均气温南部21.8℃，北部山区19.6℃。年均无霜期南部290天，北部260天。年降雨量南部1852毫米，北部1746毫米。境内有溪流18条，池江水支流，向北流经江西大余县汇入赣江，其余向南流入浈江。较大的是大源水，流经境内11.1公里，河床宽4.5米，年均径流深775毫米，年径流总量0.749亿立方米，水能蕴藏量575千瓦，已开发375千瓦。上游筑有大源水库，库容613万立方米。虽有孔江、大源水库灌溉，水田旱涝保收面积仅六成。北部森林资源丰富，有山林面积9333.33公顷，森林覆盖率74.9%，林木蓄积量381183立方米，毛竹蓄积量220万条。矿藏有稀土、花岗石（储量50万立方米以上），还有金、铁和丰富的矿泉水。</w:t>
      </w:r>
    </w:p>
    <w:p w14:paraId="52AA6540">
      <w:pPr>
        <w:pStyle w:val="4"/>
        <w:rPr>
          <w:rFonts w:ascii="宋体" w:hAnsi="宋体" w:cs="宋体"/>
        </w:rPr>
      </w:pPr>
      <w:r>
        <w:rPr>
          <w:rFonts w:hint="eastAsia" w:ascii="宋体" w:hAnsi="宋体" w:cs="宋体"/>
        </w:rPr>
        <w:t>［人口民族］</w:t>
      </w:r>
    </w:p>
    <w:p w14:paraId="43A3C048">
      <w:pPr>
        <w:ind w:firstLine="420"/>
        <w:rPr>
          <w:rFonts w:ascii="宋体" w:hAnsi="宋体" w:cs="宋体"/>
        </w:rPr>
      </w:pPr>
      <w:r>
        <w:rPr>
          <w:rFonts w:hint="eastAsia" w:ascii="宋体" w:hAnsi="宋体" w:cs="宋体"/>
        </w:rPr>
        <w:t>2004年全镇辖1个居委会和17个村委会、194个村民小组。总户数6902户，总人口30681人。其中汉族30462人，畲族303人。农业人口28939人，占总人口94.3%。</w:t>
      </w:r>
    </w:p>
    <w:p w14:paraId="101D40A2">
      <w:pPr>
        <w:pStyle w:val="4"/>
        <w:rPr>
          <w:rFonts w:ascii="宋体" w:hAnsi="宋体" w:cs="宋体"/>
        </w:rPr>
      </w:pPr>
      <w:r>
        <w:rPr>
          <w:rFonts w:hint="eastAsia" w:ascii="宋体" w:hAnsi="宋体" w:cs="宋体"/>
        </w:rPr>
        <w:t>［经济状况］</w:t>
      </w:r>
    </w:p>
    <w:p w14:paraId="7717AB3F">
      <w:pPr>
        <w:ind w:firstLine="420"/>
        <w:rPr>
          <w:rFonts w:ascii="宋体" w:hAnsi="宋体" w:cs="宋体"/>
        </w:rPr>
      </w:pPr>
      <w:r>
        <w:rPr>
          <w:rFonts w:hint="eastAsia" w:ascii="宋体" w:hAnsi="宋体" w:cs="宋体"/>
        </w:rPr>
        <w:t>全镇耕地面积2420.47公顷，2004年水稻播种面积2130公顷，总产量15486吨。种植黄烟783.33公顷，总产1528吨，收购量224吨。种植花生577.33公顷，总产1569吨。蔬菜面积523.33公顷，总产1.3万吨。生猪饲养量32952头，出栏量20014头。三鸟出栏量234614只。耕牛存栏量5677头。水产品总产量525吨。工农业总产值2.32亿元，其中农业总产值16395万元。财政总收入94万元，总支出84万元。农村人均纯收入2945元。居民储蓄存款余额3700万元。固定电话装机数量1810部，移动电话拥有量1180部。</w:t>
      </w:r>
    </w:p>
    <w:p w14:paraId="38FB79D8">
      <w:pPr>
        <w:pStyle w:val="4"/>
        <w:rPr>
          <w:rFonts w:ascii="宋体" w:hAnsi="宋体" w:cs="宋体"/>
        </w:rPr>
      </w:pPr>
      <w:r>
        <w:rPr>
          <w:rFonts w:hint="eastAsia" w:ascii="宋体" w:hAnsi="宋体" w:cs="宋体"/>
        </w:rPr>
        <w:t>［文化卫生］</w:t>
      </w:r>
    </w:p>
    <w:p w14:paraId="1005E0A4">
      <w:pPr>
        <w:ind w:firstLine="420"/>
        <w:rPr>
          <w:rFonts w:ascii="宋体" w:hAnsi="宋体" w:cs="宋体"/>
        </w:rPr>
      </w:pPr>
      <w:r>
        <w:rPr>
          <w:rFonts w:hint="eastAsia" w:ascii="宋体" w:hAnsi="宋体" w:cs="宋体"/>
        </w:rPr>
        <w:t>2004年，全镇有中学1所，小学20所，在校学生7200多人，适龄儿童入学率98%。医疗保健方面，有镇级卫生院1所、村级卫生站20个。基本医疗保险参保人数7456人，基本养老保险参保人数300人。</w:t>
      </w:r>
    </w:p>
    <w:p w14:paraId="4E665ACE">
      <w:pPr>
        <w:pStyle w:val="4"/>
        <w:rPr>
          <w:rFonts w:ascii="宋体" w:hAnsi="宋体" w:cs="宋体"/>
        </w:rPr>
      </w:pPr>
      <w:r>
        <w:rPr>
          <w:rFonts w:hint="eastAsia" w:ascii="宋体" w:hAnsi="宋体" w:cs="宋体"/>
        </w:rPr>
        <w:t>［历史事件］</w:t>
      </w:r>
    </w:p>
    <w:p w14:paraId="1B2BFEB9">
      <w:pPr>
        <w:ind w:firstLine="420"/>
        <w:rPr>
          <w:rFonts w:ascii="宋体" w:hAnsi="宋体" w:cs="宋体"/>
        </w:rPr>
      </w:pPr>
      <w:r>
        <w:rPr>
          <w:rFonts w:hint="eastAsia" w:ascii="宋体" w:hAnsi="宋体" w:cs="宋体"/>
        </w:rPr>
        <w:t>油山地处粤赣边，是著名革命老区。1928年，南雄农民武装暴动后，即在油山建立革命根据地，与中央苏区连成一片。1934年11月，李乐天和杨尚奎率粤赣边特委机关和700多名武装人员上油山开辟游击区。1935年3月，项英、陈毅、陈丕显到达油山与李乐天会合，在油山一带开展艰苦卓绝的游击战。</w:t>
      </w:r>
    </w:p>
    <w:p w14:paraId="4BF81C7D">
      <w:pPr>
        <w:pStyle w:val="4"/>
        <w:rPr>
          <w:rFonts w:ascii="宋体" w:hAnsi="宋体" w:cs="宋体"/>
        </w:rPr>
      </w:pPr>
      <w:r>
        <w:rPr>
          <w:rFonts w:hint="eastAsia" w:ascii="宋体" w:hAnsi="宋体" w:cs="宋体"/>
        </w:rPr>
        <w:t>［名产］</w:t>
      </w:r>
    </w:p>
    <w:p w14:paraId="0467A236">
      <w:pPr>
        <w:ind w:firstLine="420"/>
        <w:rPr>
          <w:rFonts w:ascii="宋体" w:hAnsi="宋体" w:cs="宋体"/>
        </w:rPr>
      </w:pPr>
      <w:r>
        <w:rPr>
          <w:rFonts w:hint="eastAsia" w:ascii="宋体" w:hAnsi="宋体" w:cs="宋体"/>
        </w:rPr>
        <w:t>银杏全镇有百年以上银杏树35株，年产量14吨。其中1株银杏王，树龄1260年，腰围8.8米，树高30多米，树冠覆盖面积1350平方米，年产量500公斤。</w:t>
      </w:r>
    </w:p>
    <w:p w14:paraId="7FBEE32E">
      <w:pPr>
        <w:pStyle w:val="4"/>
        <w:rPr>
          <w:rFonts w:ascii="宋体" w:hAnsi="宋体" w:cs="宋体"/>
        </w:rPr>
      </w:pPr>
      <w:r>
        <w:rPr>
          <w:rFonts w:hint="eastAsia" w:ascii="宋体" w:hAnsi="宋体" w:cs="宋体"/>
        </w:rPr>
        <w:t>［文物古迹］</w:t>
      </w:r>
    </w:p>
    <w:p w14:paraId="53E30B98">
      <w:pPr>
        <w:ind w:firstLine="420"/>
        <w:rPr>
          <w:rFonts w:ascii="宋体" w:hAnsi="宋体" w:cs="宋体"/>
        </w:rPr>
      </w:pPr>
      <w:r>
        <w:rPr>
          <w:rFonts w:hint="eastAsia" w:ascii="宋体" w:hAnsi="宋体" w:cs="宋体"/>
        </w:rPr>
        <w:t>宋代孔闰墓。在大兰村北1公里双坑羊角岭冲天凤形山半腰。</w:t>
      </w:r>
    </w:p>
    <w:p w14:paraId="0B83C6F8">
      <w:pPr>
        <w:ind w:firstLine="420"/>
        <w:rPr>
          <w:rFonts w:ascii="宋体" w:hAnsi="宋体" w:cs="宋体"/>
        </w:rPr>
      </w:pPr>
      <w:r>
        <w:rPr>
          <w:rFonts w:hint="eastAsia" w:ascii="宋体" w:hAnsi="宋体" w:cs="宋体"/>
        </w:rPr>
        <w:t>平林惜字塔。明末砖塔，位于坪林村西0.5公里处，建于河旁台地桥头，被列为南雄市重点文物保护单位。</w:t>
      </w:r>
    </w:p>
    <w:p w14:paraId="32E5E7DF">
      <w:pPr>
        <w:ind w:firstLine="420"/>
        <w:rPr>
          <w:rFonts w:ascii="宋体" w:hAnsi="宋体" w:cs="宋体"/>
        </w:rPr>
      </w:pPr>
      <w:r>
        <w:rPr>
          <w:rFonts w:hint="eastAsia" w:ascii="宋体" w:hAnsi="宋体" w:cs="宋体"/>
        </w:rPr>
        <w:t>樟树窝石洞。在大兰村委李坑龙村左上方的樟树窝山里，容积2立方米。是陈毅在油山坚持游击战时的隐蔽所。已立碑纪念。</w:t>
      </w:r>
    </w:p>
    <w:p w14:paraId="667FAF8B">
      <w:pPr>
        <w:ind w:firstLine="420"/>
        <w:rPr>
          <w:rFonts w:ascii="宋体" w:hAnsi="宋体" w:cs="宋体"/>
        </w:rPr>
      </w:pPr>
      <w:r>
        <w:rPr>
          <w:rFonts w:hint="eastAsia" w:ascii="宋体" w:hAnsi="宋体" w:cs="宋体"/>
        </w:rPr>
        <w:t>大岭下纸棚。在大兰村委会的大岭下村。是陈毅、陈丕显等革命家在油山坚持游击战争时的住所和召开特委、军分区干部会议的地方。已立碑纪念。</w:t>
      </w:r>
    </w:p>
    <w:p w14:paraId="6600772C">
      <w:pPr>
        <w:ind w:firstLine="420"/>
        <w:rPr>
          <w:rFonts w:ascii="宋体" w:hAnsi="宋体" w:cs="宋体"/>
        </w:rPr>
      </w:pPr>
      <w:r>
        <w:rPr>
          <w:rFonts w:hint="eastAsia" w:ascii="宋体" w:hAnsi="宋体" w:cs="宋体"/>
        </w:rPr>
        <w:t>恐龙脚印化石。1983年9月、1984年10月，中国科学院与德国波恩地质古生物学家代表团在下会村委会下官圹村挖掘20个恐龙脚印化石，已珍藏在南雄博物馆。该地段列为广东省自然保护区。</w:t>
      </w:r>
    </w:p>
    <w:p w14:paraId="612190BD">
      <w:pPr>
        <w:ind w:firstLine="420"/>
        <w:rPr>
          <w:rFonts w:ascii="宋体" w:hAnsi="宋体" w:cs="宋体"/>
        </w:rPr>
      </w:pPr>
      <w:r>
        <w:rPr>
          <w:rFonts w:hint="eastAsia" w:ascii="宋体" w:hAnsi="宋体" w:cs="宋体"/>
        </w:rPr>
        <w:t>延村水城。位于延村，建于明嘉靖四十二年（1563年），久圯，现只重修了城门。</w:t>
      </w:r>
    </w:p>
    <w:p w14:paraId="20216373">
      <w:pPr>
        <w:ind w:firstLine="420"/>
        <w:rPr>
          <w:rFonts w:ascii="宋体" w:hAnsi="宋体" w:cs="宋体"/>
        </w:rPr>
      </w:pPr>
      <w:r>
        <w:rPr>
          <w:rFonts w:hint="eastAsia" w:ascii="宋体" w:hAnsi="宋体" w:cs="宋体"/>
        </w:rPr>
        <w:t>伏龙寺。位于上朔村。建于宋代，内有宋嘉祐年间铁铸钟一座。</w:t>
      </w:r>
    </w:p>
    <w:p w14:paraId="5AE42906">
      <w:pPr>
        <w:ind w:firstLine="420"/>
        <w:rPr>
          <w:rFonts w:ascii="宋体" w:hAnsi="宋体" w:cs="宋体"/>
        </w:rPr>
      </w:pPr>
      <w:r>
        <w:rPr>
          <w:rFonts w:hint="eastAsia" w:ascii="宋体" w:hAnsi="宋体" w:cs="宋体"/>
        </w:rPr>
        <w:t>延村尚书第。在该镇延村，建于清代。相传为纪念宋代名宦冯迁而建。1987年重修。</w:t>
      </w:r>
    </w:p>
    <w:p w14:paraId="371CECA0">
      <w:pPr>
        <w:ind w:firstLine="420"/>
        <w:rPr>
          <w:rFonts w:ascii="宋体" w:hAnsi="宋体" w:cs="宋体"/>
        </w:rPr>
      </w:pPr>
      <w:r>
        <w:rPr>
          <w:rFonts w:hint="eastAsia" w:ascii="宋体" w:hAnsi="宋体" w:cs="宋体"/>
        </w:rPr>
        <w:t>上朔塔。清代砖塔，位于上朔村五指山上。塔南向，平面六角形，7层，高26米，保存完好。</w:t>
      </w:r>
    </w:p>
    <w:p w14:paraId="67EE92F2">
      <w:pPr>
        <w:ind w:firstLine="420"/>
        <w:rPr>
          <w:rFonts w:ascii="宋体" w:hAnsi="宋体" w:cs="宋体"/>
        </w:rPr>
      </w:pPr>
      <w:r>
        <w:rPr>
          <w:rFonts w:hint="eastAsia" w:ascii="宋体" w:hAnsi="宋体" w:cs="宋体"/>
        </w:rPr>
        <w:t>真仙岩摩崖石刻。位于该镇古城村北1公里处。石刻有“天峰山”“朝阳岩”两处，均无落款。因年代久远，字迹模糊。相传唐李德裕、宋苏东坡等名人曾到此游览。</w:t>
      </w:r>
    </w:p>
    <w:p w14:paraId="4F19F924">
      <w:pPr>
        <w:pStyle w:val="4"/>
        <w:rPr>
          <w:rFonts w:ascii="宋体" w:hAnsi="宋体" w:cs="宋体"/>
        </w:rPr>
      </w:pPr>
      <w:r>
        <w:rPr>
          <w:rFonts w:hint="eastAsia" w:ascii="宋体" w:hAnsi="宋体" w:cs="宋体"/>
        </w:rPr>
        <w:t>［名人］</w:t>
      </w:r>
    </w:p>
    <w:p w14:paraId="213A89D5">
      <w:pPr>
        <w:ind w:firstLine="420"/>
        <w:rPr>
          <w:rFonts w:ascii="宋体" w:hAnsi="宋体" w:cs="宋体"/>
        </w:rPr>
      </w:pPr>
      <w:r>
        <w:rPr>
          <w:rFonts w:hint="eastAsia" w:ascii="宋体" w:hAnsi="宋体" w:cs="宋体"/>
        </w:rPr>
        <w:t>彭显伦（1895-1958），该镇上朔村人，老红军。1955年5月被授予中国人民解放军少将军衔、二级“八一”勋章、一级独立自由勋章、一级解放勋章。</w:t>
      </w:r>
    </w:p>
    <w:p w14:paraId="645E5728">
      <w:pPr>
        <w:pStyle w:val="3"/>
        <w:rPr>
          <w:rFonts w:ascii="宋体" w:hAnsi="宋体" w:cs="宋体"/>
        </w:rPr>
      </w:pPr>
      <w:r>
        <w:rPr>
          <w:rFonts w:hint="eastAsia" w:ascii="宋体" w:hAnsi="宋体" w:cs="宋体"/>
        </w:rPr>
        <w:t>乌迳镇</w:t>
      </w:r>
    </w:p>
    <w:p w14:paraId="75585DB6">
      <w:pPr>
        <w:pStyle w:val="4"/>
        <w:rPr>
          <w:rFonts w:ascii="宋体" w:hAnsi="宋体" w:cs="宋体"/>
        </w:rPr>
      </w:pPr>
      <w:r>
        <w:rPr>
          <w:rFonts w:hint="eastAsia" w:ascii="宋体" w:hAnsi="宋体" w:cs="宋体"/>
        </w:rPr>
        <w:t>［历史沿革］</w:t>
      </w:r>
    </w:p>
    <w:p w14:paraId="1DB41C6A">
      <w:pPr>
        <w:ind w:firstLine="420"/>
        <w:rPr>
          <w:rFonts w:ascii="宋体" w:hAnsi="宋体" w:cs="宋体"/>
        </w:rPr>
      </w:pPr>
      <w:r>
        <w:rPr>
          <w:rFonts w:hint="eastAsia" w:ascii="宋体" w:hAnsi="宋体" w:cs="宋体"/>
        </w:rPr>
        <w:t>相传古时通往江西信丰县小道名十里迳，迳深林密，乌鸦群集，因名“乌迳”。明代属通仙乡崇仁都。清代沿明制。咸丰四年（1854年）改都为约。民国17年（1928年）建乌迳乡，先后属第六区、第二区、第三区。1958年属跃进人民公社。1962年，跃进人民公社分为乌迳、新龙、界址、孔江4个人民公社。1971年乌迳与孔江合并为乌迳人民公社。1979年又分为乌迳、孔江人民公社。1984年改为区。1986年改为镇。2001年底，孔江并入乌迳镇。辖区面积158平方公里，是广东省273个中心镇之一。</w:t>
      </w:r>
    </w:p>
    <w:p w14:paraId="2FC4D0F9">
      <w:pPr>
        <w:pStyle w:val="4"/>
        <w:rPr>
          <w:rFonts w:ascii="宋体" w:hAnsi="宋体" w:cs="宋体"/>
        </w:rPr>
      </w:pPr>
      <w:r>
        <w:rPr>
          <w:rFonts w:hint="eastAsia" w:ascii="宋体" w:hAnsi="宋体" w:cs="宋体"/>
        </w:rPr>
        <w:t>［地理概况］</w:t>
      </w:r>
    </w:p>
    <w:p w14:paraId="0EC24276">
      <w:pPr>
        <w:ind w:firstLine="420"/>
        <w:rPr>
          <w:rFonts w:ascii="宋体" w:hAnsi="宋体" w:cs="宋体"/>
        </w:rPr>
      </w:pPr>
      <w:r>
        <w:rPr>
          <w:rFonts w:hint="eastAsia" w:ascii="宋体" w:hAnsi="宋体" w:cs="宋体"/>
        </w:rPr>
        <w:t>乌迳镇辖区在南雄市东部，东邻界址、南邻坪田、南亩，西邻黄坑、大圹，北邻油山镇。镇政府驻地乌迳墟位置在北纬25°14'48″，东经114°35′55″。距江西信丰县城30公里，距粤赣高速公路及京九铁路28公里，距南雄市区35公里，韶关138公里。</w:t>
      </w:r>
    </w:p>
    <w:p w14:paraId="2842E9D2">
      <w:pPr>
        <w:pStyle w:val="4"/>
        <w:rPr>
          <w:rFonts w:ascii="宋体" w:hAnsi="宋体" w:cs="宋体"/>
        </w:rPr>
      </w:pPr>
      <w:r>
        <w:rPr>
          <w:rFonts w:hint="eastAsia" w:ascii="宋体" w:hAnsi="宋体" w:cs="宋体"/>
        </w:rPr>
        <w:t>［自然环境］</w:t>
      </w:r>
    </w:p>
    <w:p w14:paraId="09A02B3D">
      <w:pPr>
        <w:ind w:firstLine="420"/>
        <w:rPr>
          <w:rFonts w:ascii="宋体" w:hAnsi="宋体" w:cs="宋体"/>
        </w:rPr>
      </w:pPr>
      <w:r>
        <w:rPr>
          <w:rFonts w:hint="eastAsia" w:ascii="宋体" w:hAnsi="宋体" w:cs="宋体"/>
        </w:rPr>
        <w:t>乌迳镇地势北高南低，3个村委会属山区，18个村委会为丘陵。地质属砂砾岩、紫红色泥质沙岩，自然土壤属侵蚀红壤、花岗岩红壤、砂页岩红壤、黄壤、紫色土等。浈冮自东向西贯流全境，还有白胜河、栏口垠河汇入浈江。林地面积7351.7公顷，森林覆盖率63.3%。年均气温20℃，降雨量1555毫米，无霜期283天。全镇属孔江、中坪两大水库灌区，水源充足，灌溉便利。</w:t>
      </w:r>
    </w:p>
    <w:p w14:paraId="30E442C2">
      <w:pPr>
        <w:pStyle w:val="4"/>
        <w:rPr>
          <w:rFonts w:ascii="宋体" w:hAnsi="宋体" w:cs="宋体"/>
        </w:rPr>
      </w:pPr>
      <w:r>
        <w:rPr>
          <w:rFonts w:hint="eastAsia" w:ascii="宋体" w:hAnsi="宋体" w:cs="宋体"/>
        </w:rPr>
        <w:t>［圩市建设］</w:t>
      </w:r>
    </w:p>
    <w:p w14:paraId="313BA5BD">
      <w:pPr>
        <w:ind w:firstLine="420"/>
        <w:rPr>
          <w:rFonts w:ascii="宋体" w:hAnsi="宋体" w:cs="宋体"/>
        </w:rPr>
      </w:pPr>
      <w:r>
        <w:rPr>
          <w:rFonts w:hint="eastAsia" w:ascii="宋体" w:hAnsi="宋体" w:cs="宋体"/>
        </w:rPr>
        <w:t>乌迳圩是古代南雄边贸重镇，明代称乌迳市，设平田巡检司。商贸繁荣，有“日屯万担米，夜行百只船”之称。圩区规划面积3.8平方公里，现已建成2.6平方公里，4条商业街，已铺了水泥路面4.23公里。新建了自来水厂、商贸城、液化气站等设施。</w:t>
      </w:r>
    </w:p>
    <w:p w14:paraId="348822BD">
      <w:pPr>
        <w:pStyle w:val="4"/>
        <w:rPr>
          <w:rFonts w:ascii="宋体" w:hAnsi="宋体" w:cs="宋体"/>
        </w:rPr>
      </w:pPr>
      <w:r>
        <w:rPr>
          <w:rFonts w:hint="eastAsia" w:ascii="宋体" w:hAnsi="宋体" w:cs="宋体"/>
        </w:rPr>
        <w:t>［人口民族］</w:t>
      </w:r>
    </w:p>
    <w:p w14:paraId="4DB958FD">
      <w:pPr>
        <w:ind w:firstLine="420"/>
        <w:rPr>
          <w:rFonts w:ascii="宋体" w:hAnsi="宋体" w:cs="宋体"/>
        </w:rPr>
      </w:pPr>
      <w:r>
        <w:rPr>
          <w:rFonts w:hint="eastAsia" w:ascii="宋体" w:hAnsi="宋体" w:cs="宋体"/>
        </w:rPr>
        <w:t>乌迳镇下辖1个居委会，21个村委会，216个村民小组。共有10462户，总人口5.5万人，其中农业人口38903人。少数民族有畲族117户，627人。</w:t>
      </w:r>
    </w:p>
    <w:p w14:paraId="3465A909">
      <w:pPr>
        <w:pStyle w:val="4"/>
        <w:rPr>
          <w:rFonts w:ascii="宋体" w:hAnsi="宋体" w:cs="宋体"/>
        </w:rPr>
      </w:pPr>
      <w:r>
        <w:rPr>
          <w:rFonts w:hint="eastAsia" w:ascii="宋体" w:hAnsi="宋体" w:cs="宋体"/>
        </w:rPr>
        <w:t>［经济状况］</w:t>
      </w:r>
    </w:p>
    <w:p w14:paraId="5546017C">
      <w:pPr>
        <w:ind w:firstLine="420"/>
        <w:rPr>
          <w:rFonts w:ascii="宋体" w:hAnsi="宋体" w:cs="宋体"/>
        </w:rPr>
      </w:pPr>
      <w:r>
        <w:rPr>
          <w:rFonts w:hint="eastAsia" w:ascii="宋体" w:hAnsi="宋体" w:cs="宋体"/>
        </w:rPr>
        <w:t>全镇耕地面积3222.33公顷，其中水田2279.67公顷，旱地942.67公顷。2004年种植水稻田3259.73公顷，总产24591吨。种植黄烟1197.67公顷，总产2335吨，收购量337吨。种植花生718公顷，总产量2181吨。种植蔬菜537公顷，总产9556吨。饲养耕牛7350头。生猪饲养量45725头，出栏量28436头。三鸟出栏量266808只。水产养殖面积121.2公顷，总产量2080吨。全镇林木蓄积量29.8万立方米，可伐量8.6万立方米。2004年全镇财政总收入300万元，总支出290万元。农民人均年纯收入3165元，居民储蓄存款余额8763万元。固定电话装机总数3048部，移动电话拥有量2440部。</w:t>
      </w:r>
    </w:p>
    <w:p w14:paraId="7D1DBD29">
      <w:pPr>
        <w:pStyle w:val="4"/>
        <w:rPr>
          <w:rFonts w:ascii="宋体" w:hAnsi="宋体" w:cs="宋体"/>
        </w:rPr>
      </w:pPr>
      <w:r>
        <w:rPr>
          <w:rFonts w:hint="eastAsia" w:ascii="宋体" w:hAnsi="宋体" w:cs="宋体"/>
        </w:rPr>
        <w:t>［文化卫生］</w:t>
      </w:r>
    </w:p>
    <w:p w14:paraId="02BB9AB4">
      <w:pPr>
        <w:ind w:firstLine="420"/>
        <w:rPr>
          <w:rFonts w:ascii="宋体" w:hAnsi="宋体" w:cs="宋体"/>
        </w:rPr>
      </w:pPr>
      <w:r>
        <w:rPr>
          <w:rFonts w:hint="eastAsia" w:ascii="宋体" w:hAnsi="宋体" w:cs="宋体"/>
        </w:rPr>
        <w:t>2004年全镇有初级中学1所，小学20所，教师362人，在校学生7263人。学龄儿童入学率99.6%。医疗保健设施有中心卫生院1所，村级医疗站22所。基本医疗保险参保人数10404人，基本养老保险参保人数640人。</w:t>
      </w:r>
    </w:p>
    <w:p w14:paraId="20CBFB5D">
      <w:pPr>
        <w:pStyle w:val="4"/>
        <w:rPr>
          <w:rFonts w:ascii="宋体" w:hAnsi="宋体" w:cs="宋体"/>
        </w:rPr>
      </w:pPr>
      <w:r>
        <w:rPr>
          <w:rFonts w:hint="eastAsia" w:ascii="宋体" w:hAnsi="宋体" w:cs="宋体"/>
        </w:rPr>
        <w:t>［文物古迹］</w:t>
      </w:r>
    </w:p>
    <w:p w14:paraId="39681C7A">
      <w:pPr>
        <w:ind w:firstLine="420"/>
        <w:rPr>
          <w:rFonts w:ascii="宋体" w:hAnsi="宋体" w:cs="宋体"/>
        </w:rPr>
      </w:pPr>
      <w:r>
        <w:rPr>
          <w:rFonts w:hint="eastAsia" w:ascii="宋体" w:hAnsi="宋体" w:cs="宋体"/>
        </w:rPr>
        <w:t>甘埠山居住遗址。1984年发现，位于该镇新田村甘埠山，属东汉延至西晋的遗物址。</w:t>
      </w:r>
    </w:p>
    <w:p w14:paraId="776D9264">
      <w:pPr>
        <w:ind w:firstLine="420"/>
        <w:rPr>
          <w:rFonts w:ascii="宋体" w:hAnsi="宋体" w:cs="宋体"/>
        </w:rPr>
      </w:pPr>
      <w:r>
        <w:rPr>
          <w:rFonts w:hint="eastAsia" w:ascii="宋体" w:hAnsi="宋体" w:cs="宋体"/>
        </w:rPr>
        <w:t>乌迳水城。位于乌迳墟东南约1公里处。面积约2.25万平方米，建于明嘉靖二十一年（1549年），城额碑刻“七星世镇”。</w:t>
      </w:r>
    </w:p>
    <w:p w14:paraId="399745FC">
      <w:pPr>
        <w:ind w:firstLine="420"/>
        <w:rPr>
          <w:rFonts w:ascii="宋体" w:hAnsi="宋体" w:cs="宋体"/>
        </w:rPr>
      </w:pPr>
      <w:r>
        <w:rPr>
          <w:rFonts w:hint="eastAsia" w:ascii="宋体" w:hAnsi="宋体" w:cs="宋体"/>
        </w:rPr>
        <w:t>乌迳新田汉墓。1982年10月发现，共有3座，均为单室券顶砖墓，分别为东汉前期、晚期和西汉时期墓。</w:t>
      </w:r>
    </w:p>
    <w:p w14:paraId="20CDEEBF">
      <w:pPr>
        <w:ind w:firstLine="420"/>
        <w:rPr>
          <w:rFonts w:ascii="宋体" w:hAnsi="宋体" w:cs="宋体"/>
        </w:rPr>
      </w:pPr>
      <w:r>
        <w:rPr>
          <w:rFonts w:hint="eastAsia" w:ascii="宋体" w:hAnsi="宋体" w:cs="宋体"/>
        </w:rPr>
        <w:t>乌迳西晋墓。位于新田村甘埠山，1984年10月发现，为券顶单室墓。</w:t>
      </w:r>
    </w:p>
    <w:p w14:paraId="144882FF">
      <w:pPr>
        <w:ind w:firstLine="420"/>
        <w:rPr>
          <w:rFonts w:ascii="宋体" w:hAnsi="宋体" w:cs="宋体"/>
        </w:rPr>
      </w:pPr>
      <w:r>
        <w:rPr>
          <w:rFonts w:hint="eastAsia" w:ascii="宋体" w:hAnsi="宋体" w:cs="宋体"/>
        </w:rPr>
        <w:t>乌迳南朝墓。位于今乌迳中学内，单室砖墓，暴露于地面。</w:t>
      </w:r>
    </w:p>
    <w:p w14:paraId="6201802B">
      <w:pPr>
        <w:ind w:firstLine="420"/>
        <w:rPr>
          <w:rFonts w:ascii="宋体" w:hAnsi="宋体" w:cs="宋体"/>
        </w:rPr>
      </w:pPr>
      <w:r>
        <w:rPr>
          <w:rFonts w:hint="eastAsia" w:ascii="宋体" w:hAnsi="宋体" w:cs="宋体"/>
        </w:rPr>
        <w:t>进士牌坊。位于孔圹村赖氏祠堂前，建于清乾隆三十年（1765年）。</w:t>
      </w:r>
    </w:p>
    <w:p w14:paraId="2697D537">
      <w:pPr>
        <w:pStyle w:val="4"/>
        <w:rPr>
          <w:rFonts w:ascii="宋体" w:hAnsi="宋体" w:cs="宋体"/>
        </w:rPr>
      </w:pPr>
      <w:r>
        <w:rPr>
          <w:rFonts w:hint="eastAsia" w:ascii="宋体" w:hAnsi="宋体" w:cs="宋体"/>
        </w:rPr>
        <w:t>［名人］</w:t>
      </w:r>
    </w:p>
    <w:p w14:paraId="29E27B47">
      <w:pPr>
        <w:ind w:firstLine="420"/>
        <w:rPr>
          <w:rFonts w:ascii="宋体" w:hAnsi="宋体" w:cs="宋体"/>
        </w:rPr>
      </w:pPr>
      <w:r>
        <w:rPr>
          <w:rFonts w:hint="eastAsia" w:ascii="宋体" w:hAnsi="宋体" w:cs="宋体"/>
        </w:rPr>
        <w:t>李金马（784-853），新田人，唐宪宗元和三年（808年）举贤良方正，开南雄人文之先，累官户部侍郎，卒赠金紫光禄大夫。</w:t>
      </w:r>
    </w:p>
    <w:p w14:paraId="7B77DAA6">
      <w:pPr>
        <w:ind w:firstLine="420"/>
        <w:rPr>
          <w:rFonts w:ascii="宋体" w:hAnsi="宋体" w:cs="宋体"/>
        </w:rPr>
      </w:pPr>
      <w:r>
        <w:rPr>
          <w:rFonts w:hint="eastAsia" w:ascii="宋体" w:hAnsi="宋体" w:cs="宋体"/>
        </w:rPr>
        <w:t>叶云兴，乌迳七星树下人，南汉时以军功授千夫长，保境安民，战死白石冈，敕封都统，立庙塑像祭祀，迄今不衰。</w:t>
      </w:r>
    </w:p>
    <w:p w14:paraId="0624B53B">
      <w:pPr>
        <w:ind w:firstLine="420"/>
        <w:rPr>
          <w:rFonts w:ascii="宋体" w:hAnsi="宋体" w:cs="宋体"/>
        </w:rPr>
      </w:pPr>
      <w:r>
        <w:rPr>
          <w:rFonts w:hint="eastAsia" w:ascii="宋体" w:hAnsi="宋体" w:cs="宋体"/>
        </w:rPr>
        <w:t>李文华（1914—1987），又名李相锦，乳名金茂生，乌迳镇忠心乾村人。15岁参加革命，身经百战老红军，历任团政委，参加辽沈、平津等战役。新中国成立初任北江专署专员、粤北行署副主任、省农业厅代厅长、党组书记等职。革命一生，战斗不息，能上能下，矢志不渝。</w:t>
      </w:r>
    </w:p>
    <w:p w14:paraId="77E5D48B">
      <w:pPr>
        <w:pStyle w:val="3"/>
      </w:pPr>
      <w:r>
        <w:rPr>
          <w:rFonts w:hint="eastAsia"/>
        </w:rPr>
        <w:t>界址镇</w:t>
      </w:r>
    </w:p>
    <w:p w14:paraId="4651B2B0">
      <w:pPr>
        <w:pStyle w:val="4"/>
        <w:rPr>
          <w:rFonts w:ascii="宋体" w:hAnsi="宋体" w:cs="宋体"/>
        </w:rPr>
      </w:pPr>
      <w:r>
        <w:rPr>
          <w:rFonts w:hint="eastAsia" w:ascii="宋体" w:hAnsi="宋体" w:cs="宋体"/>
        </w:rPr>
        <w:t>［历史沿革］</w:t>
      </w:r>
    </w:p>
    <w:p w14:paraId="059193DA">
      <w:pPr>
        <w:ind w:firstLine="420"/>
        <w:rPr>
          <w:rFonts w:ascii="宋体" w:hAnsi="宋体" w:cs="宋体"/>
        </w:rPr>
      </w:pPr>
      <w:r>
        <w:rPr>
          <w:rFonts w:hint="eastAsia" w:ascii="宋体" w:hAnsi="宋体" w:cs="宋体"/>
        </w:rPr>
        <w:t>界址镇政府驻地界址圩，原名界至，因位于广东省南雄县与江西省信丰县交界而得名。明、清代该镇属通仙乡崇仁都。清咸丰四年（1854年）废都为约。民国17年（1928年）废约建乡，属第六区崇化乡、大坊乡。民国29年属第二区崇大乡。1949年属第三区崇大乡。1950年建立界址乡，属第三区（乌迳）。1958年属乌迳人民公社。1962年设立界址人民公社。1984年改为区。1986年冬改为镇。</w:t>
      </w:r>
    </w:p>
    <w:p w14:paraId="11629F31">
      <w:pPr>
        <w:pStyle w:val="4"/>
        <w:rPr>
          <w:rFonts w:ascii="宋体" w:hAnsi="宋体" w:cs="宋体"/>
        </w:rPr>
      </w:pPr>
      <w:r>
        <w:rPr>
          <w:rFonts w:hint="eastAsia" w:ascii="宋体" w:hAnsi="宋体" w:cs="宋体"/>
        </w:rPr>
        <w:t>［地理概况］</w:t>
      </w:r>
    </w:p>
    <w:p w14:paraId="4FD3F08E">
      <w:pPr>
        <w:ind w:firstLine="420"/>
        <w:rPr>
          <w:rFonts w:ascii="宋体" w:hAnsi="宋体" w:cs="宋体"/>
        </w:rPr>
      </w:pPr>
      <w:r>
        <w:rPr>
          <w:rFonts w:hint="eastAsia" w:ascii="宋体" w:hAnsi="宋体" w:cs="宋体"/>
        </w:rPr>
        <w:t>界址圩位于北纬25°14'59″，东经114°43'15″，在南雄市东部。镇辖区东、北与江西省信丰县九渡、万隆乡交界，南邻坪田镇，西邻乌迳镇。总面积58.3平方公里。汽车交通，西经省道342线至南雄市区54公里，至韶关157公里，东至江西信丰连接105国道和京九铁路。有乡村公路4条，总长16.5公里，8个村委会均可通汽车。</w:t>
      </w:r>
    </w:p>
    <w:p w14:paraId="0A63D7B6">
      <w:pPr>
        <w:pStyle w:val="4"/>
        <w:rPr>
          <w:rFonts w:ascii="宋体" w:hAnsi="宋体" w:cs="宋体"/>
        </w:rPr>
      </w:pPr>
      <w:r>
        <w:rPr>
          <w:rFonts w:hint="eastAsia" w:ascii="宋体" w:hAnsi="宋体" w:cs="宋体"/>
        </w:rPr>
        <w:t>［自然环境］</w:t>
      </w:r>
    </w:p>
    <w:p w14:paraId="5CA2A0DC">
      <w:pPr>
        <w:ind w:firstLine="420"/>
        <w:rPr>
          <w:rFonts w:ascii="宋体" w:hAnsi="宋体" w:cs="宋体"/>
        </w:rPr>
      </w:pPr>
      <w:r>
        <w:rPr>
          <w:rFonts w:hint="eastAsia" w:ascii="宋体" w:hAnsi="宋体" w:cs="宋体"/>
        </w:rPr>
        <w:t>界址镇地处珠江水系和长江水系的分界线上。境内属半山区、半丘陵地，既无高山，也没有宽阔的田洞。地质属燕山期花岗岩体及寒武纪、震旦纪变质岩体。主要土壤类型是花岗岩风化发育而成的黄壤和红壤以及沙壤。年均气温16.5℃，冬季有霜雪。全年无霜期293天。年均降雨量1128毫米。山林面积4115.4公顷，森林覆盖率65.9%。矿藏有锰、铁、铀、金等，均未开采。</w:t>
      </w:r>
    </w:p>
    <w:p w14:paraId="6C2BD649">
      <w:pPr>
        <w:pStyle w:val="4"/>
        <w:rPr>
          <w:rFonts w:ascii="宋体" w:hAnsi="宋体" w:cs="宋体"/>
        </w:rPr>
      </w:pPr>
      <w:r>
        <w:rPr>
          <w:rFonts w:hint="eastAsia" w:ascii="宋体" w:hAnsi="宋体" w:cs="宋体"/>
        </w:rPr>
        <w:t>［圩市建设］</w:t>
      </w:r>
    </w:p>
    <w:p w14:paraId="42FF2E4A">
      <w:pPr>
        <w:ind w:firstLine="420"/>
        <w:rPr>
          <w:rFonts w:ascii="宋体" w:hAnsi="宋体" w:cs="宋体"/>
        </w:rPr>
      </w:pPr>
      <w:r>
        <w:rPr>
          <w:rFonts w:hint="eastAsia" w:ascii="宋体" w:hAnsi="宋体" w:cs="宋体"/>
        </w:rPr>
        <w:t>界址圩面积0.2平方公里，房屋建筑面积1.6万平方米，人均住房面积20平方米。街道长850米，铺设了水泥路面。2003年新建了1座农贸市场。有年供水量1.5万立方米的自来水厂1座。</w:t>
      </w:r>
    </w:p>
    <w:p w14:paraId="002ADC83">
      <w:pPr>
        <w:pStyle w:val="4"/>
        <w:rPr>
          <w:rFonts w:ascii="宋体" w:hAnsi="宋体" w:cs="宋体"/>
        </w:rPr>
      </w:pPr>
      <w:r>
        <w:rPr>
          <w:rFonts w:hint="eastAsia" w:ascii="宋体" w:hAnsi="宋体" w:cs="宋体"/>
        </w:rPr>
        <w:t>［人口民族］</w:t>
      </w:r>
    </w:p>
    <w:p w14:paraId="38139858">
      <w:pPr>
        <w:ind w:firstLine="420"/>
        <w:rPr>
          <w:rFonts w:ascii="宋体" w:hAnsi="宋体" w:cs="宋体"/>
        </w:rPr>
      </w:pPr>
      <w:r>
        <w:rPr>
          <w:rFonts w:hint="eastAsia" w:ascii="宋体" w:hAnsi="宋体" w:cs="宋体"/>
        </w:rPr>
        <w:t>全镇辖8个村委会，1个居委会，67个村民小组。2004年总户数2988户，总人口13891人，其中畲族54户，215人，占总人口1.55%。农业户数2896户，农业人口13036人，占总人口的93.9%。</w:t>
      </w:r>
    </w:p>
    <w:p w14:paraId="41C4D740">
      <w:pPr>
        <w:pStyle w:val="4"/>
        <w:rPr>
          <w:rFonts w:ascii="宋体" w:hAnsi="宋体" w:cs="宋体"/>
        </w:rPr>
      </w:pPr>
      <w:r>
        <w:rPr>
          <w:rFonts w:hint="eastAsia" w:ascii="宋体" w:hAnsi="宋体" w:cs="宋体"/>
        </w:rPr>
        <w:t>［经济状况］</w:t>
      </w:r>
    </w:p>
    <w:p w14:paraId="28CAF7B2">
      <w:pPr>
        <w:ind w:firstLine="420"/>
        <w:rPr>
          <w:rFonts w:ascii="宋体" w:hAnsi="宋体" w:cs="宋体"/>
        </w:rPr>
      </w:pPr>
      <w:r>
        <w:rPr>
          <w:rFonts w:hint="eastAsia" w:ascii="宋体" w:hAnsi="宋体" w:cs="宋体"/>
        </w:rPr>
        <w:t>全镇耕地面积688.13公顷。2004年水稻播种面积986.67公顷，总产6984吨，花生播种面积253.33公顷，总产813吨；蔬菜以荞头和指天椒（俗称“霸王辣”）为主，种植面积达200多公顷，年产荞头400吨，辣椒150吨以上。2004年生猪饲养量12170头，出栏量6770头。耕牛存栏量2230头。三鸟出栏量75834只。水产品总产量604吨。2004年全镇财政总收入139.2万元，总支出138.7万元。农村人均纯收入2950元。居民储蓄存款余额2300万元。固定电话装机数量1030部，移动电话拥有量700部。</w:t>
      </w:r>
    </w:p>
    <w:p w14:paraId="63D227EB">
      <w:pPr>
        <w:pStyle w:val="4"/>
        <w:rPr>
          <w:rFonts w:ascii="宋体" w:hAnsi="宋体" w:cs="宋体"/>
        </w:rPr>
      </w:pPr>
      <w:r>
        <w:rPr>
          <w:rFonts w:hint="eastAsia" w:ascii="宋体" w:hAnsi="宋体" w:cs="宋体"/>
        </w:rPr>
        <w:t>［文化卫生］</w:t>
      </w:r>
    </w:p>
    <w:p w14:paraId="1EACCC66">
      <w:pPr>
        <w:ind w:firstLine="420"/>
        <w:rPr>
          <w:rFonts w:ascii="宋体" w:hAnsi="宋体" w:cs="宋体"/>
        </w:rPr>
      </w:pPr>
      <w:r>
        <w:rPr>
          <w:rFonts w:hint="eastAsia" w:ascii="宋体" w:hAnsi="宋体" w:cs="宋体"/>
        </w:rPr>
        <w:t>全镇有中学1所，完全小学7所，教师110人，在校学生2250人，适龄儿童入学率99.3%。医疗保健设施有卫生院1所、乡村卫生站9所。基本医疗保险参保人数7578人，基本养老保险参保人数480人。</w:t>
      </w:r>
    </w:p>
    <w:p w14:paraId="658CAF44">
      <w:pPr>
        <w:pStyle w:val="3"/>
        <w:rPr>
          <w:rFonts w:ascii="宋体" w:hAnsi="宋体" w:cs="宋体"/>
        </w:rPr>
      </w:pPr>
      <w:r>
        <w:rPr>
          <w:rFonts w:hint="eastAsia" w:ascii="宋体" w:hAnsi="宋体" w:cs="宋体"/>
        </w:rPr>
        <w:t>坪田镇</w:t>
      </w:r>
    </w:p>
    <w:p w14:paraId="7559A7DB">
      <w:pPr>
        <w:pStyle w:val="4"/>
        <w:rPr>
          <w:rFonts w:ascii="宋体" w:hAnsi="宋体" w:cs="宋体"/>
        </w:rPr>
      </w:pPr>
      <w:r>
        <w:rPr>
          <w:rFonts w:hint="eastAsia" w:ascii="宋体" w:hAnsi="宋体" w:cs="宋体"/>
        </w:rPr>
        <w:t>［历史沿革］</w:t>
      </w:r>
    </w:p>
    <w:p w14:paraId="2BA835AE">
      <w:pPr>
        <w:ind w:firstLine="420"/>
        <w:rPr>
          <w:rFonts w:ascii="宋体" w:hAnsi="宋体" w:cs="宋体"/>
        </w:rPr>
      </w:pPr>
      <w:r>
        <w:rPr>
          <w:rFonts w:hint="eastAsia" w:ascii="宋体" w:hAnsi="宋体" w:cs="宋体"/>
        </w:rPr>
        <w:t>明、清代属惠杨乡平田都。相传因该地周围高山环绕，中间一马平川而得名平田，后俗称坪田。民国21年（1932年）设坪田乡，属第五区。民国29年实行新县制，坪田乡并入公田乡。中华人民共和国成立后复置坪田乡，属第四区。1957年并入南亩乡。1958年先后属上游（水口）、跃进（乌迳）、新龙人民公社。1962年从新龙人民公社分出，成立坪田人民公社。1984年改为区，1986年改为乡，1994年6月改为镇。2001年12月新龙镇并入坪田镇。</w:t>
      </w:r>
    </w:p>
    <w:p w14:paraId="6EAF7C6F">
      <w:pPr>
        <w:pStyle w:val="4"/>
        <w:rPr>
          <w:rFonts w:ascii="宋体" w:hAnsi="宋体" w:cs="宋体"/>
        </w:rPr>
      </w:pPr>
      <w:r>
        <w:rPr>
          <w:rFonts w:hint="eastAsia" w:ascii="宋体" w:hAnsi="宋体" w:cs="宋体"/>
        </w:rPr>
        <w:t>［地理概况］</w:t>
      </w:r>
    </w:p>
    <w:p w14:paraId="64BE1D44">
      <w:pPr>
        <w:ind w:firstLine="420"/>
        <w:rPr>
          <w:rFonts w:ascii="宋体" w:hAnsi="宋体" w:cs="宋体"/>
        </w:rPr>
      </w:pPr>
      <w:r>
        <w:rPr>
          <w:rFonts w:hint="eastAsia" w:ascii="宋体" w:hAnsi="宋体" w:cs="宋体"/>
        </w:rPr>
        <w:t>坪田镇地处南雄市东部边陲，总面积142.39平方公里，东与界址镇和江西省信丰县为邻，南与江西省全南县交界，西邻南亩镇，北接乌迳镇。镇政府驻地位于北纬25°11'53"，东经114°37'11"。西至南雄市区43公里、韶关市146公里，东北至江西信丰县城45公里、龙南县城78公里、赣州市124公里。镇内有县道1条，乡村公路15条，村村可通汽车。</w:t>
      </w:r>
    </w:p>
    <w:p w14:paraId="4F16D7B7">
      <w:pPr>
        <w:pStyle w:val="4"/>
        <w:rPr>
          <w:rFonts w:ascii="宋体" w:hAnsi="宋体" w:cs="宋体"/>
        </w:rPr>
      </w:pPr>
      <w:r>
        <w:rPr>
          <w:rFonts w:hint="eastAsia" w:ascii="宋体" w:hAnsi="宋体" w:cs="宋体"/>
        </w:rPr>
        <w:t>［自然环境］</w:t>
      </w:r>
    </w:p>
    <w:p w14:paraId="2F1671C4">
      <w:pPr>
        <w:ind w:firstLine="420"/>
        <w:rPr>
          <w:rFonts w:ascii="宋体" w:hAnsi="宋体" w:cs="宋体"/>
        </w:rPr>
      </w:pPr>
      <w:r>
        <w:rPr>
          <w:rFonts w:hint="eastAsia" w:ascii="宋体" w:hAnsi="宋体" w:cs="宋体"/>
        </w:rPr>
        <w:t>坪田镇2/3属山区，其余为丘陵。地质为二长花岗岩、云母花岗岩、二云母花岗岩和黑云母岩、紫色砂页岩。自然土壤为红壤、黄壤、红色砂页岩红壤及砂页岩红黄泥田等。年均气温：山区16℃、丘陵区19.6℃。全年无霜期290天，全年降雨量1630毫米。河流有新龙水，古称平田水，发源于洪泰山，流经坪田圩、新龙圩、江口圩汇入浈水，河长27公里，河床平均坡降8.2%o，天然落差568米，集雨面积109平方公里，水能储量5500千瓦，上游建有中坪水库，库容2036立方米建有中坪电站和埧后电站，装机容量1780千瓦。山地面积8870.8公顷，有林地8520.4公顷，森林覆盖率65.3%。</w:t>
      </w:r>
    </w:p>
    <w:p w14:paraId="622C3964">
      <w:pPr>
        <w:pStyle w:val="4"/>
        <w:rPr>
          <w:rFonts w:ascii="宋体" w:hAnsi="宋体" w:cs="宋体"/>
        </w:rPr>
      </w:pPr>
      <w:r>
        <w:rPr>
          <w:rFonts w:hint="eastAsia" w:ascii="宋体" w:hAnsi="宋体" w:cs="宋体"/>
        </w:rPr>
        <w:t>［圩市建设］</w:t>
      </w:r>
    </w:p>
    <w:p w14:paraId="0ADCD2EE">
      <w:pPr>
        <w:ind w:firstLine="420"/>
        <w:rPr>
          <w:rFonts w:ascii="宋体" w:hAnsi="宋体" w:cs="宋体"/>
        </w:rPr>
      </w:pPr>
      <w:r>
        <w:rPr>
          <w:rFonts w:hint="eastAsia" w:ascii="宋体" w:hAnsi="宋体" w:cs="宋体"/>
        </w:rPr>
        <w:t>镇机关驻地老龙圩。圩区面积0.5平方公里，建有自来水厂1座，集贸市场1个，沿公路两旁建有门店60多间。该镇集市贸易圩市另有2处：一是新龙墟；二是坪田新墟。</w:t>
      </w:r>
    </w:p>
    <w:p w14:paraId="3DBCDFFF">
      <w:pPr>
        <w:pStyle w:val="4"/>
        <w:rPr>
          <w:rFonts w:ascii="宋体" w:hAnsi="宋体" w:cs="宋体"/>
        </w:rPr>
      </w:pPr>
      <w:r>
        <w:rPr>
          <w:rFonts w:hint="eastAsia" w:ascii="宋体" w:hAnsi="宋体" w:cs="宋体"/>
        </w:rPr>
        <w:t>［人口民族］</w:t>
      </w:r>
    </w:p>
    <w:p w14:paraId="7BC55957">
      <w:pPr>
        <w:ind w:firstLine="420"/>
        <w:rPr>
          <w:rFonts w:ascii="宋体" w:hAnsi="宋体" w:cs="宋体"/>
        </w:rPr>
      </w:pPr>
      <w:r>
        <w:rPr>
          <w:rFonts w:hint="eastAsia" w:ascii="宋体" w:hAnsi="宋体" w:cs="宋体"/>
        </w:rPr>
        <w:t>镇辖1个居委会，14个村委会，179个村民小组，5311户，24282人。其中农业人口23245人，占总95.7%。</w:t>
      </w:r>
    </w:p>
    <w:p w14:paraId="6BA84DAE">
      <w:pPr>
        <w:pStyle w:val="4"/>
        <w:rPr>
          <w:rFonts w:ascii="宋体" w:hAnsi="宋体" w:cs="宋体"/>
        </w:rPr>
      </w:pPr>
      <w:r>
        <w:rPr>
          <w:rFonts w:hint="eastAsia" w:ascii="宋体" w:hAnsi="宋体" w:cs="宋体"/>
        </w:rPr>
        <w:t>［经济状况］</w:t>
      </w:r>
    </w:p>
    <w:p w14:paraId="382CE356">
      <w:pPr>
        <w:ind w:firstLine="420"/>
        <w:rPr>
          <w:rFonts w:ascii="宋体" w:hAnsi="宋体" w:cs="宋体"/>
        </w:rPr>
      </w:pPr>
      <w:r>
        <w:rPr>
          <w:rFonts w:hint="eastAsia" w:ascii="宋体" w:hAnsi="宋体" w:cs="宋体"/>
        </w:rPr>
        <w:t>全镇耕地面积1778.2公顷。2004年水稻播种面积2141.33公顷，总产15755吨；黄烟种植520公顷，总产967吨，收购量329吨；花生种植面积220公顷，总产482吨；耕牛存栏量5289头；生猪饲养量23375头，出栏量16180头；三鸟出栏量325030只。水产养殖面积100.2公顷，总产量396吨。全镇有林地9000公顷，其中生态公益林2094.27公顷，林木蓄积量596850立方米。有白果基地400公顷，松林面积700公顷，年产松脂250吨。已挂果油茶林400公顷，年产茶油150吨。2004年，全镇财政总收入425万元，总支出300万元。农村人均纯收入2987元。居民储蓄存款余额1100万元。固定电话装机数量1523部，移动电话拥有量1100部。</w:t>
      </w:r>
    </w:p>
    <w:p w14:paraId="22EA397D">
      <w:pPr>
        <w:pStyle w:val="4"/>
        <w:rPr>
          <w:rFonts w:ascii="宋体" w:hAnsi="宋体" w:cs="宋体"/>
        </w:rPr>
      </w:pPr>
      <w:r>
        <w:rPr>
          <w:rFonts w:hint="eastAsia" w:ascii="宋体" w:hAnsi="宋体" w:cs="宋体"/>
        </w:rPr>
        <w:t>［文化卫生］</w:t>
      </w:r>
    </w:p>
    <w:p w14:paraId="2F2FB987">
      <w:pPr>
        <w:ind w:firstLine="420"/>
        <w:rPr>
          <w:rFonts w:ascii="宋体" w:hAnsi="宋体" w:cs="宋体"/>
        </w:rPr>
      </w:pPr>
      <w:r>
        <w:rPr>
          <w:rFonts w:hint="eastAsia" w:ascii="宋体" w:hAnsi="宋体" w:cs="宋体"/>
        </w:rPr>
        <w:t>2004年，全镇有初级中学1所，完全小学21所，教师150人，在校学生3226，适龄儿童入学率99%。医疗保健设施有卫生院1所，合作医疗站15个。基本医疗保险参保人数12752人，基本养老保险参保人数410人。</w:t>
      </w:r>
    </w:p>
    <w:p w14:paraId="4F988DDC">
      <w:pPr>
        <w:pStyle w:val="4"/>
        <w:rPr>
          <w:rFonts w:ascii="宋体" w:hAnsi="宋体" w:cs="宋体"/>
        </w:rPr>
      </w:pPr>
      <w:r>
        <w:rPr>
          <w:rFonts w:hint="eastAsia" w:ascii="宋体" w:hAnsi="宋体" w:cs="宋体"/>
        </w:rPr>
        <w:t>［名产］</w:t>
      </w:r>
    </w:p>
    <w:p w14:paraId="20EF49B0">
      <w:pPr>
        <w:ind w:firstLine="420"/>
        <w:rPr>
          <w:rFonts w:ascii="宋体" w:hAnsi="宋体" w:cs="宋体"/>
        </w:rPr>
      </w:pPr>
      <w:r>
        <w:rPr>
          <w:rFonts w:hint="eastAsia" w:ascii="宋体" w:hAnsi="宋体" w:cs="宋体"/>
        </w:rPr>
        <w:t>白果。历史悠久，有1300年的古树。挂果的白果树有4000株，年产量700吨。坪田白果特点是粒大、壳薄、隐胚，肉质柔软，清香无苦味，历来被国内外人士视为白果之上品，远销港澳、日本、新加坡、马来西亚等地。</w:t>
      </w:r>
    </w:p>
    <w:p w14:paraId="43F403D6">
      <w:pPr>
        <w:ind w:firstLine="420"/>
        <w:rPr>
          <w:rFonts w:ascii="宋体" w:hAnsi="宋体" w:cs="宋体"/>
        </w:rPr>
      </w:pPr>
      <w:r>
        <w:rPr>
          <w:rFonts w:hint="eastAsia" w:ascii="宋体" w:hAnsi="宋体" w:cs="宋体"/>
        </w:rPr>
        <w:t>荞头。年栽培面积6.7公顷，年产量1500吨，荞头根茎大、气味芳香、口感好，是各地果品加工厂的优质原料。</w:t>
      </w:r>
    </w:p>
    <w:p w14:paraId="3A26ECA4">
      <w:pPr>
        <w:pStyle w:val="4"/>
        <w:rPr>
          <w:rFonts w:ascii="宋体" w:hAnsi="宋体" w:cs="宋体"/>
        </w:rPr>
      </w:pPr>
      <w:r>
        <w:rPr>
          <w:rFonts w:hint="eastAsia" w:ascii="宋体" w:hAnsi="宋体" w:cs="宋体"/>
        </w:rPr>
        <w:t>［文物古迹］</w:t>
      </w:r>
    </w:p>
    <w:p w14:paraId="26E18887">
      <w:pPr>
        <w:ind w:firstLine="420"/>
        <w:rPr>
          <w:rFonts w:ascii="宋体" w:hAnsi="宋体" w:cs="宋体"/>
        </w:rPr>
      </w:pPr>
      <w:r>
        <w:rPr>
          <w:rFonts w:hint="eastAsia" w:ascii="宋体" w:hAnsi="宋体" w:cs="宋体"/>
        </w:rPr>
        <w:t>龙口宋塔。位于该镇龙口村。塔向北，平面六角形，5层。今塔顶已毁，残高21.4米，基围19.2米，直径5.6米，被列为南雄市文物保护单位。</w:t>
      </w:r>
    </w:p>
    <w:p w14:paraId="7E13EA74">
      <w:pPr>
        <w:pStyle w:val="3"/>
        <w:rPr>
          <w:rFonts w:ascii="宋体" w:hAnsi="宋体" w:cs="宋体"/>
        </w:rPr>
      </w:pPr>
      <w:r>
        <w:rPr>
          <w:rFonts w:hint="eastAsia" w:ascii="宋体" w:hAnsi="宋体" w:cs="宋体"/>
        </w:rPr>
        <w:t>南亩镇</w:t>
      </w:r>
    </w:p>
    <w:p w14:paraId="45B06FA0">
      <w:pPr>
        <w:pStyle w:val="4"/>
        <w:rPr>
          <w:rFonts w:ascii="宋体" w:hAnsi="宋体" w:cs="宋体"/>
        </w:rPr>
      </w:pPr>
      <w:r>
        <w:rPr>
          <w:rFonts w:hint="eastAsia" w:ascii="宋体" w:hAnsi="宋体" w:cs="宋体"/>
        </w:rPr>
        <w:t>［历史沿革］</w:t>
      </w:r>
    </w:p>
    <w:p w14:paraId="691B9924">
      <w:pPr>
        <w:ind w:firstLine="420"/>
        <w:rPr>
          <w:rFonts w:ascii="宋体" w:hAnsi="宋体" w:cs="宋体"/>
        </w:rPr>
      </w:pPr>
      <w:r>
        <w:rPr>
          <w:rFonts w:hint="eastAsia" w:ascii="宋体" w:hAnsi="宋体" w:cs="宋体"/>
        </w:rPr>
        <w:t>南亩镇辖境明代属惠杨乡官田都。清初沿明制。咸丰四年（1854年）废都建约。民国17年（1928年）建立南亩乡，属第五区。民国29年属第二区。1949年后属第四区。1958年属上游（水口）人民公社。1962年成立南亩人民公社。1984年改为区。1986年改区为乡，1994年6月改为镇。</w:t>
      </w:r>
    </w:p>
    <w:p w14:paraId="6CF4CE8C">
      <w:pPr>
        <w:pStyle w:val="4"/>
        <w:rPr>
          <w:rFonts w:ascii="宋体" w:hAnsi="宋体" w:cs="宋体"/>
        </w:rPr>
      </w:pPr>
      <w:r>
        <w:rPr>
          <w:rFonts w:hint="eastAsia" w:ascii="宋体" w:hAnsi="宋体" w:cs="宋体"/>
        </w:rPr>
        <w:t>［地理概况］</w:t>
      </w:r>
    </w:p>
    <w:p w14:paraId="2D4E15B0">
      <w:pPr>
        <w:ind w:firstLine="420"/>
        <w:rPr>
          <w:rFonts w:ascii="宋体" w:hAnsi="宋体" w:cs="宋体"/>
        </w:rPr>
      </w:pPr>
      <w:r>
        <w:rPr>
          <w:rFonts w:hint="eastAsia" w:ascii="宋体" w:hAnsi="宋体" w:cs="宋体"/>
        </w:rPr>
        <w:t>南亩镇政府驻地南亩圩，位于北纬25°10′，东经114°33′。镇辖境面积115.4平方公里。东邻坪田镇，北接乌迳、黄坑镇，西连水口镇，南与江西省全南县交界。南亩圩至南雄市区30公里，至韶关市123公里，至江西全南县城78公里、信丰县城86公里、赣州市159公里。镇村公路11条，总长82公里。其中5条实现了水泥硬底化。九成以上自然村可通拖拉机。建有邮电大楼和移动、联通2座发射基站。</w:t>
      </w:r>
    </w:p>
    <w:p w14:paraId="4426EFAB">
      <w:pPr>
        <w:pStyle w:val="4"/>
        <w:rPr>
          <w:rFonts w:ascii="宋体" w:hAnsi="宋体" w:cs="宋体"/>
        </w:rPr>
      </w:pPr>
      <w:r>
        <w:rPr>
          <w:rFonts w:hint="eastAsia" w:ascii="宋体" w:hAnsi="宋体" w:cs="宋体"/>
        </w:rPr>
        <w:t>［自然环境］</w:t>
      </w:r>
    </w:p>
    <w:p w14:paraId="093197C0">
      <w:pPr>
        <w:ind w:firstLine="420"/>
        <w:rPr>
          <w:rFonts w:ascii="宋体" w:hAnsi="宋体" w:cs="宋体"/>
        </w:rPr>
      </w:pPr>
      <w:r>
        <w:rPr>
          <w:rFonts w:hint="eastAsia" w:ascii="宋体" w:hAnsi="宋体" w:cs="宋体"/>
        </w:rPr>
        <w:t>南亩镇属半山区，海拔高度在100米～ 500米之间。地质为花岗岩体，自然土壤属片岩板岩红泥土及第四纪红壤土和碱性紫色土等。年均气温17℃，年均无霜期280天，年均降雨量1500毫米。全镇林地面积8732.8公顷，木材蓄积量374371立方米。森林覆盖率75.3%。</w:t>
      </w:r>
    </w:p>
    <w:p w14:paraId="24E631F3">
      <w:pPr>
        <w:pStyle w:val="4"/>
        <w:rPr>
          <w:rFonts w:ascii="宋体" w:hAnsi="宋体" w:cs="宋体"/>
        </w:rPr>
      </w:pPr>
      <w:r>
        <w:rPr>
          <w:rFonts w:hint="eastAsia" w:ascii="宋体" w:hAnsi="宋体" w:cs="宋体"/>
        </w:rPr>
        <w:t>［圩市建设］</w:t>
      </w:r>
    </w:p>
    <w:p w14:paraId="775880D4">
      <w:pPr>
        <w:ind w:firstLine="420"/>
        <w:rPr>
          <w:rFonts w:ascii="宋体" w:hAnsi="宋体" w:cs="宋体"/>
        </w:rPr>
      </w:pPr>
      <w:r>
        <w:rPr>
          <w:rFonts w:hint="eastAsia" w:ascii="宋体" w:hAnsi="宋体" w:cs="宋体"/>
        </w:rPr>
        <w:t>镇政府驻地南亩圩，1973年在南亩老圩1公里处新建，面积4.3万平方米。有街道4条，总长1.75公里。房屋建筑面积6000多平方米，人均住房面积18.5平方米。街道铺设了水泥路面，扩建了环圩公路1200米。圩市住户全部用上了自来水。</w:t>
      </w:r>
    </w:p>
    <w:p w14:paraId="270FD5DC">
      <w:pPr>
        <w:pStyle w:val="4"/>
        <w:rPr>
          <w:rFonts w:ascii="宋体" w:hAnsi="宋体" w:cs="宋体"/>
        </w:rPr>
      </w:pPr>
      <w:r>
        <w:rPr>
          <w:rFonts w:hint="eastAsia" w:ascii="宋体" w:hAnsi="宋体" w:cs="宋体"/>
        </w:rPr>
        <w:t>［人口民族］</w:t>
      </w:r>
    </w:p>
    <w:p w14:paraId="5C6730B0">
      <w:pPr>
        <w:ind w:firstLine="420"/>
        <w:rPr>
          <w:rFonts w:ascii="宋体" w:hAnsi="宋体" w:cs="宋体"/>
        </w:rPr>
      </w:pPr>
      <w:r>
        <w:rPr>
          <w:rFonts w:hint="eastAsia" w:ascii="宋体" w:hAnsi="宋体" w:cs="宋体"/>
        </w:rPr>
        <w:t>2004年，南亩镇辖1个居委会，11个村委会，94个村民小组。总人口15207人，其中非农业人口836人，农业人口14371人，占总人口的94.5%。总人口中有畲族55人，其余为汉族。</w:t>
      </w:r>
    </w:p>
    <w:p w14:paraId="5BBBDC27">
      <w:pPr>
        <w:pStyle w:val="4"/>
        <w:rPr>
          <w:rFonts w:ascii="宋体" w:hAnsi="宋体" w:cs="宋体"/>
        </w:rPr>
      </w:pPr>
      <w:r>
        <w:rPr>
          <w:rFonts w:hint="eastAsia" w:ascii="宋体" w:hAnsi="宋体" w:cs="宋体"/>
        </w:rPr>
        <w:t>［经济状况］</w:t>
      </w:r>
    </w:p>
    <w:p w14:paraId="7368859E">
      <w:pPr>
        <w:ind w:firstLine="420"/>
        <w:rPr>
          <w:rFonts w:ascii="宋体" w:hAnsi="宋体" w:cs="宋体"/>
        </w:rPr>
      </w:pPr>
      <w:r>
        <w:rPr>
          <w:rFonts w:hint="eastAsia" w:ascii="宋体" w:hAnsi="宋体" w:cs="宋体"/>
        </w:rPr>
        <w:t>南亩镇耕地面积904.47公顷，杉林面积1524.3公顷，针、阔混交林190.1公顷，阔叶林面积89公顷。木材蓄积量374371万立方米。油茶林面积548公顷，茶油产量占全市1/4。</w:t>
      </w:r>
    </w:p>
    <w:p w14:paraId="100C6CC2">
      <w:pPr>
        <w:ind w:firstLine="420"/>
        <w:rPr>
          <w:rFonts w:ascii="宋体" w:hAnsi="宋体" w:cs="宋体"/>
        </w:rPr>
      </w:pPr>
      <w:r>
        <w:rPr>
          <w:rFonts w:hint="eastAsia" w:ascii="宋体" w:hAnsi="宋体" w:cs="宋体"/>
        </w:rPr>
        <w:t>2004年全镇水稻播种面积1452.06公顷，总产量10756吨。种植黄烟86.67公顷，总产165吨。种花生334公顷，总产1011吨。生猪饲养量25400头，出栏量22720头。三鸟出栏量202550只。耕牛存栏量2032头。水产品总产量353吨。农村人均纯收入3050元。居民储蓄存款余额3300万元。固定电话装机数量1210部，移动电话拥有量620部。</w:t>
      </w:r>
    </w:p>
    <w:p w14:paraId="0CA0605F">
      <w:pPr>
        <w:pStyle w:val="4"/>
        <w:rPr>
          <w:rFonts w:ascii="宋体" w:hAnsi="宋体" w:cs="宋体"/>
        </w:rPr>
      </w:pPr>
      <w:r>
        <w:rPr>
          <w:rFonts w:hint="eastAsia" w:ascii="宋体" w:hAnsi="宋体" w:cs="宋体"/>
        </w:rPr>
        <w:t>［文物古迹］</w:t>
      </w:r>
    </w:p>
    <w:p w14:paraId="53C46765">
      <w:pPr>
        <w:ind w:firstLine="420"/>
        <w:rPr>
          <w:rFonts w:ascii="宋体" w:hAnsi="宋体" w:cs="宋体"/>
        </w:rPr>
      </w:pPr>
      <w:r>
        <w:rPr>
          <w:rFonts w:hint="eastAsia" w:ascii="宋体" w:hAnsi="宋体" w:cs="宋体"/>
        </w:rPr>
        <w:t>花林寺。位于鱼鲜村，建于元代，面积600平方米，现已半毁。</w:t>
      </w:r>
    </w:p>
    <w:p w14:paraId="08E89646">
      <w:pPr>
        <w:pStyle w:val="3"/>
        <w:rPr>
          <w:rFonts w:ascii="宋体" w:hAnsi="宋体" w:cs="宋体"/>
        </w:rPr>
      </w:pPr>
      <w:r>
        <w:rPr>
          <w:rFonts w:hint="eastAsia" w:ascii="宋体" w:hAnsi="宋体" w:cs="宋体"/>
        </w:rPr>
        <w:t>水口镇</w:t>
      </w:r>
    </w:p>
    <w:p w14:paraId="18D1C34E">
      <w:pPr>
        <w:pStyle w:val="4"/>
        <w:rPr>
          <w:rFonts w:ascii="宋体" w:hAnsi="宋体" w:cs="宋体"/>
        </w:rPr>
      </w:pPr>
      <w:r>
        <w:rPr>
          <w:rFonts w:hint="eastAsia" w:ascii="宋体" w:hAnsi="宋体" w:cs="宋体"/>
        </w:rPr>
        <w:t>［历史沿革］</w:t>
      </w:r>
    </w:p>
    <w:p w14:paraId="62598075">
      <w:pPr>
        <w:ind w:firstLine="420"/>
        <w:rPr>
          <w:rFonts w:ascii="宋体" w:hAnsi="宋体" w:cs="宋体"/>
        </w:rPr>
      </w:pPr>
      <w:r>
        <w:rPr>
          <w:rFonts w:hint="eastAsia" w:ascii="宋体" w:hAnsi="宋体" w:cs="宋体"/>
        </w:rPr>
        <w:t>水口镇政府驻水口圩。因地处宝江水汇入浈江处，故取名水口。明洪武元年（1368年）属知劝乡周南都。清咸丰四年（1854年）废都建约。民国21年（1932年）建立水口乡，归第五区管辖。民国29年改为水平乡。1949年仍为水平乡，属第四区。1951年复名水口乡。1958年成立上游人民公社。1959年并入湖口人民公社。1962年从湖口人民公社划出，建立水口人民公社。1984年改为区。1986年冬改为镇。</w:t>
      </w:r>
    </w:p>
    <w:p w14:paraId="707CBEC6">
      <w:pPr>
        <w:pStyle w:val="4"/>
        <w:rPr>
          <w:rFonts w:ascii="宋体" w:hAnsi="宋体" w:cs="宋体"/>
        </w:rPr>
      </w:pPr>
      <w:r>
        <w:rPr>
          <w:rFonts w:hint="eastAsia" w:ascii="宋体" w:hAnsi="宋体" w:cs="宋体"/>
        </w:rPr>
        <w:t>［地理概况］</w:t>
      </w:r>
    </w:p>
    <w:p w14:paraId="25EA5347">
      <w:pPr>
        <w:ind w:firstLine="420"/>
        <w:rPr>
          <w:rFonts w:ascii="宋体" w:hAnsi="宋体" w:cs="宋体"/>
        </w:rPr>
      </w:pPr>
      <w:r>
        <w:rPr>
          <w:rFonts w:hint="eastAsia" w:ascii="宋体" w:hAnsi="宋体" w:cs="宋体"/>
        </w:rPr>
        <w:t>该镇位于南雄市东南方。镇政府驻地水口圩，位于北纬25°9′19″，东经114°28′22″。镇区面积106.95平方公里。东邻南亩镇，东南与江西省全南县陂头镇交界，南与江头镇为邻，西与原黎口镇交界，北与黄坑、湖口镇相连。从水口圩至南雄市区21公里，至韶关市124公里，至江西省赣州市146公里，至江西全南县城55公里，至江西信丰县城78公里。全镇有乡村公路13条，总长34.5公里，13个村委会均通汽车，其中80%为水泥路面。</w:t>
      </w:r>
    </w:p>
    <w:p w14:paraId="51BE9E99">
      <w:pPr>
        <w:pStyle w:val="4"/>
        <w:rPr>
          <w:rFonts w:ascii="宋体" w:hAnsi="宋体" w:cs="宋体"/>
        </w:rPr>
      </w:pPr>
      <w:r>
        <w:rPr>
          <w:rFonts w:hint="eastAsia" w:ascii="宋体" w:hAnsi="宋体" w:cs="宋体"/>
        </w:rPr>
        <w:t>［自然环境］</w:t>
      </w:r>
    </w:p>
    <w:p w14:paraId="2FB46F4A">
      <w:pPr>
        <w:ind w:firstLine="420"/>
        <w:rPr>
          <w:rFonts w:ascii="宋体" w:hAnsi="宋体" w:cs="宋体"/>
        </w:rPr>
      </w:pPr>
      <w:r>
        <w:rPr>
          <w:rFonts w:hint="eastAsia" w:ascii="宋体" w:hAnsi="宋体" w:cs="宋体"/>
        </w:rPr>
        <w:t>水口镇地势东南高西北低。除泷头村属山区外，其余12个村属丘陵地带。全镇林业用地面积5922.2公顷，森林覆盖率55.3%。地质属红色砂砾岩。自然土壤属第四纪红壤和紫色土壤。年均气温19℃，全年无霜期285天，年降雨量1345毫米。矿产资源有稀土。镇内有宝江水库、梅花水库，灌溉水源充足。</w:t>
      </w:r>
    </w:p>
    <w:p w14:paraId="49B6B781">
      <w:pPr>
        <w:pStyle w:val="4"/>
        <w:rPr>
          <w:rFonts w:ascii="宋体" w:hAnsi="宋体" w:cs="宋体"/>
        </w:rPr>
      </w:pPr>
      <w:r>
        <w:rPr>
          <w:rFonts w:hint="eastAsia" w:ascii="宋体" w:hAnsi="宋体" w:cs="宋体"/>
        </w:rPr>
        <w:t>［圩市建设］</w:t>
      </w:r>
    </w:p>
    <w:p w14:paraId="1423A8DB">
      <w:pPr>
        <w:ind w:firstLine="420"/>
        <w:rPr>
          <w:rFonts w:ascii="宋体" w:hAnsi="宋体" w:cs="宋体"/>
        </w:rPr>
      </w:pPr>
      <w:r>
        <w:rPr>
          <w:rFonts w:hint="eastAsia" w:ascii="宋体" w:hAnsi="宋体" w:cs="宋体"/>
        </w:rPr>
        <w:t>水口圩现有十字形街道2条，总长1公里，房屋建筑面积4.405万平方米。人均住房面积18.5平方米。有自来水厂1座。</w:t>
      </w:r>
    </w:p>
    <w:p w14:paraId="3A1490D0">
      <w:pPr>
        <w:pStyle w:val="4"/>
        <w:rPr>
          <w:rFonts w:ascii="宋体" w:hAnsi="宋体" w:cs="宋体"/>
        </w:rPr>
      </w:pPr>
      <w:r>
        <w:rPr>
          <w:rFonts w:hint="eastAsia" w:ascii="宋体" w:hAnsi="宋体" w:cs="宋体"/>
        </w:rPr>
        <w:t>［人口民族］</w:t>
      </w:r>
    </w:p>
    <w:p w14:paraId="0564EF4D">
      <w:pPr>
        <w:ind w:firstLine="420"/>
        <w:rPr>
          <w:rFonts w:ascii="宋体" w:hAnsi="宋体" w:cs="宋体"/>
        </w:rPr>
      </w:pPr>
      <w:r>
        <w:rPr>
          <w:rFonts w:hint="eastAsia" w:ascii="宋体" w:hAnsi="宋体" w:cs="宋体"/>
        </w:rPr>
        <w:t>2004年，全镇辖1个居民委员会和13个村民委员会，186个村民小组，5847户，23303人。其中农业人口21841，占总人口93.7%；少数民族畲族55户216人。</w:t>
      </w:r>
    </w:p>
    <w:p w14:paraId="61201112">
      <w:pPr>
        <w:pStyle w:val="4"/>
        <w:rPr>
          <w:rFonts w:ascii="宋体" w:hAnsi="宋体" w:cs="宋体"/>
        </w:rPr>
      </w:pPr>
      <w:r>
        <w:rPr>
          <w:rFonts w:hint="eastAsia" w:ascii="宋体" w:hAnsi="宋体" w:cs="宋体"/>
        </w:rPr>
        <w:t>［经济状况］</w:t>
      </w:r>
    </w:p>
    <w:p w14:paraId="0E3FBB4C">
      <w:pPr>
        <w:ind w:firstLine="420"/>
        <w:rPr>
          <w:rFonts w:ascii="宋体" w:hAnsi="宋体" w:cs="宋体"/>
        </w:rPr>
      </w:pPr>
      <w:r>
        <w:rPr>
          <w:rFonts w:hint="eastAsia" w:ascii="宋体" w:hAnsi="宋体" w:cs="宋体"/>
        </w:rPr>
        <w:t>全镇耕地面积1794公顷，2004年水稻播种面积1891.53公顷，总产13969吨。黄烟种植面积866.67公顷，总产量2893吨，收购量984吨。花生播种面积461.33公顷，总产量1290吨。水产养殖面积103.67公顷，总产612吨。生猪饲养量17583头，出栏量15783头。三鸟出栏量151786只。全镇有林地面积5333.33公顷，生态公益林面积2733.33公顷，活立木蓄积量260237立方米。财政总收入155万元，总支出140万元。农民人均纯收入3126元，居民存款余额3521万元。固定电话装机数量1950部、移动电话拥有1020部。</w:t>
      </w:r>
    </w:p>
    <w:p w14:paraId="310540FD">
      <w:pPr>
        <w:pStyle w:val="4"/>
        <w:rPr>
          <w:rFonts w:ascii="宋体" w:hAnsi="宋体" w:cs="宋体"/>
        </w:rPr>
      </w:pPr>
      <w:r>
        <w:rPr>
          <w:rFonts w:hint="eastAsia" w:ascii="宋体" w:hAnsi="宋体" w:cs="宋体"/>
        </w:rPr>
        <w:t>［文化卫生］</w:t>
      </w:r>
    </w:p>
    <w:p w14:paraId="61C56C6B">
      <w:pPr>
        <w:ind w:firstLine="420"/>
        <w:rPr>
          <w:rFonts w:ascii="宋体" w:hAnsi="宋体" w:cs="宋体"/>
        </w:rPr>
      </w:pPr>
      <w:r>
        <w:rPr>
          <w:rFonts w:hint="eastAsia" w:ascii="宋体" w:hAnsi="宋体" w:cs="宋体"/>
        </w:rPr>
        <w:t>全镇有中学1间，小学13间，95%学校建了教学大楼，普及九年义务教育成果进一步巩固。镇文化综合大楼可容纳800人就座，有线电视网络覆盖全镇。镇级卫生院1所、村级卫生站13个。2004年，基本医疗保险参保人数12409人，基本养老保险参保人数250人。</w:t>
      </w:r>
    </w:p>
    <w:p w14:paraId="54F22F4D">
      <w:pPr>
        <w:pStyle w:val="4"/>
        <w:rPr>
          <w:rFonts w:ascii="宋体" w:hAnsi="宋体" w:cs="宋体"/>
        </w:rPr>
      </w:pPr>
      <w:r>
        <w:rPr>
          <w:rFonts w:hint="eastAsia" w:ascii="宋体" w:hAnsi="宋体" w:cs="宋体"/>
        </w:rPr>
        <w:t>［历史事件］</w:t>
      </w:r>
    </w:p>
    <w:p w14:paraId="2F65201E">
      <w:pPr>
        <w:ind w:firstLine="420"/>
        <w:rPr>
          <w:rFonts w:ascii="宋体" w:hAnsi="宋体" w:cs="宋体"/>
        </w:rPr>
      </w:pPr>
      <w:r>
        <w:rPr>
          <w:rFonts w:hint="eastAsia" w:ascii="宋体" w:hAnsi="宋体" w:cs="宋体"/>
        </w:rPr>
        <w:t>水口战役。1932年7月，中国工农红军与国民党陈济棠部在水口圩激战，此役是中国革命战争史上有名的战役，也是第二次国内革命战争时期一场罕见的恶仗，双方投入兵力共3万多人。战斗从7月8日下午1时打响，至10日下午结束。历时3天2夜。</w:t>
      </w:r>
    </w:p>
    <w:p w14:paraId="7B6BE338">
      <w:pPr>
        <w:pStyle w:val="3"/>
        <w:rPr>
          <w:rFonts w:ascii="宋体" w:hAnsi="宋体" w:cs="宋体"/>
        </w:rPr>
      </w:pPr>
      <w:r>
        <w:rPr>
          <w:rFonts w:hint="eastAsia" w:ascii="宋体" w:hAnsi="宋体" w:cs="宋体"/>
        </w:rPr>
        <w:t>江头镇</w:t>
      </w:r>
    </w:p>
    <w:p w14:paraId="70C3CC50">
      <w:pPr>
        <w:pStyle w:val="4"/>
        <w:rPr>
          <w:rFonts w:ascii="宋体" w:hAnsi="宋体" w:cs="宋体"/>
        </w:rPr>
      </w:pPr>
      <w:r>
        <w:rPr>
          <w:rFonts w:hint="eastAsia" w:ascii="宋体" w:hAnsi="宋体" w:cs="宋体"/>
        </w:rPr>
        <w:t>［历史沿革］</w:t>
      </w:r>
    </w:p>
    <w:p w14:paraId="18BAC506">
      <w:pPr>
        <w:ind w:firstLine="420"/>
        <w:rPr>
          <w:rFonts w:ascii="宋体" w:hAnsi="宋体" w:cs="宋体"/>
        </w:rPr>
      </w:pPr>
      <w:r>
        <w:rPr>
          <w:rFonts w:hint="eastAsia" w:ascii="宋体" w:hAnsi="宋体" w:cs="宋体"/>
        </w:rPr>
        <w:t>江头镇明代属知劝乡周南都。清代沿明制，仍属知劝乡周南都。咸丰四年（1854年）改都为约。民国时属第五区江头内乡，民国29年（1940年），江头内乡划归第二区宝江乡。1949年后属第四区。1957年并入水口大乡。1958年先后属上游（水口）人民公社、湖口人民公社。1977年从水口人民公社分出，成立江头人民公社。1984年改为区，1986年撤区改乡。1994年6月改为镇。</w:t>
      </w:r>
    </w:p>
    <w:p w14:paraId="23C6A5D5">
      <w:pPr>
        <w:pStyle w:val="4"/>
        <w:rPr>
          <w:rFonts w:ascii="宋体" w:hAnsi="宋体" w:cs="宋体"/>
        </w:rPr>
      </w:pPr>
      <w:r>
        <w:rPr>
          <w:rFonts w:hint="eastAsia" w:ascii="宋体" w:hAnsi="宋体" w:cs="宋体"/>
        </w:rPr>
        <w:t>［地理概况］</w:t>
      </w:r>
    </w:p>
    <w:p w14:paraId="3E6BE010">
      <w:pPr>
        <w:ind w:firstLine="420"/>
        <w:rPr>
          <w:rFonts w:ascii="宋体" w:hAnsi="宋体" w:cs="宋体"/>
        </w:rPr>
      </w:pPr>
      <w:r>
        <w:rPr>
          <w:rFonts w:hint="eastAsia" w:ascii="宋体" w:hAnsi="宋体" w:cs="宋体"/>
        </w:rPr>
        <w:t>江头镇政府驻地江头圩，位于北纬25°4'35″，东经114°26′。镇辖区面积164平方公里，在南雄市区东南面，与主田、黎口、水口3镇及江西省全南县陂头镇接壤。江头圩至南雄市区13公里，至韶关市110公里。乡村公路9条，共长65公里，其中部分水泥公路。</w:t>
      </w:r>
    </w:p>
    <w:p w14:paraId="0418FC96">
      <w:pPr>
        <w:pStyle w:val="4"/>
        <w:rPr>
          <w:rFonts w:ascii="宋体" w:hAnsi="宋体" w:cs="宋体"/>
        </w:rPr>
      </w:pPr>
      <w:r>
        <w:rPr>
          <w:rFonts w:hint="eastAsia" w:ascii="宋体" w:hAnsi="宋体" w:cs="宋体"/>
        </w:rPr>
        <w:t>［自然环境］</w:t>
      </w:r>
    </w:p>
    <w:p w14:paraId="0ECEE3CE">
      <w:pPr>
        <w:ind w:firstLine="420"/>
        <w:rPr>
          <w:rFonts w:ascii="宋体" w:hAnsi="宋体" w:cs="宋体"/>
        </w:rPr>
      </w:pPr>
      <w:r>
        <w:rPr>
          <w:rFonts w:hint="eastAsia" w:ascii="宋体" w:hAnsi="宋体" w:cs="宋体"/>
        </w:rPr>
        <w:t>江头镇地势南高北低，最南端的武岭、大汉、小竹、南甫4个村委会，海拔700米以上，最高山峰青嶂山917米。最北端的坪岗、涌溪、元甫、江头4个村委会的海拔在200米～ 400米之间。地处中部的山坑、鱼仙2个村委会的海拔在400米～ 600米之间。基本上是个山区镇，是优质南山（杉）木的主要产区。山地面积10458公顷，木材蓄积量526240立方米，毛竹蓄积量450万条。森林覆盖率69.9%。自然土壤有黄壤、红壤、红色石灰土、紫色土等4个种类。矿产资源主要有萤矿石、铀、钼、钨。萤矿石储量47万吨，已开采。年平均气温17.5℃，7月至8月最热，平均气温28.5℃；1月至2月最冷，平均气温6.1℃。年均无霜期270天。年均降雨量1400毫米。境内河流为江头水（又称长潭水），全长18公里，集雨面积106平方公里。河床坡降总落差57米。上游建有长尾、长潭两个电站，共装机6台／1800千瓦。下游两岸耕地属宝江水库灌区，农田灌溉水源充裕。</w:t>
      </w:r>
    </w:p>
    <w:p w14:paraId="40F88AFB">
      <w:pPr>
        <w:pStyle w:val="4"/>
        <w:rPr>
          <w:rFonts w:ascii="宋体" w:hAnsi="宋体" w:cs="宋体"/>
        </w:rPr>
      </w:pPr>
      <w:r>
        <w:rPr>
          <w:rFonts w:hint="eastAsia" w:ascii="宋体" w:hAnsi="宋体" w:cs="宋体"/>
        </w:rPr>
        <w:t>［圩市建设］</w:t>
      </w:r>
    </w:p>
    <w:p w14:paraId="568E60B5">
      <w:pPr>
        <w:ind w:firstLine="420"/>
        <w:rPr>
          <w:rFonts w:ascii="宋体" w:hAnsi="宋体" w:cs="宋体"/>
        </w:rPr>
      </w:pPr>
      <w:r>
        <w:rPr>
          <w:rFonts w:hint="eastAsia" w:ascii="宋体" w:hAnsi="宋体" w:cs="宋体"/>
        </w:rPr>
        <w:t>江头圩区面积1.5平方公里，房屋建筑面积10万平方米，人均住房面积30平方米。有街道3条，长1500米。有3.5万伏变电站1座。天然优质山泉水纳入自来水管网，年供水能力500万立方米。建有电信大楼及移动和联通2座通讯基站。</w:t>
      </w:r>
    </w:p>
    <w:p w14:paraId="629243C1">
      <w:pPr>
        <w:pStyle w:val="4"/>
        <w:rPr>
          <w:rFonts w:ascii="宋体" w:hAnsi="宋体" w:cs="宋体"/>
        </w:rPr>
      </w:pPr>
      <w:r>
        <w:rPr>
          <w:rFonts w:hint="eastAsia" w:ascii="宋体" w:hAnsi="宋体" w:cs="宋体"/>
        </w:rPr>
        <w:t>［人口民族］</w:t>
      </w:r>
    </w:p>
    <w:p w14:paraId="7FADD3AB">
      <w:pPr>
        <w:ind w:firstLine="420"/>
        <w:rPr>
          <w:rFonts w:ascii="宋体" w:hAnsi="宋体" w:cs="宋体"/>
        </w:rPr>
      </w:pPr>
      <w:r>
        <w:rPr>
          <w:rFonts w:hint="eastAsia" w:ascii="宋体" w:hAnsi="宋体" w:cs="宋体"/>
        </w:rPr>
        <w:t>2004年江头镇辖1个居委会和9个村委会，97个村民小组。总户数2770户，总人口11643人。其中非农业人口669人，农业人口10974人，占总人口94.3%；少数民族有畲族51人。</w:t>
      </w:r>
    </w:p>
    <w:p w14:paraId="6A4039A3">
      <w:pPr>
        <w:pStyle w:val="4"/>
        <w:rPr>
          <w:rFonts w:ascii="宋体" w:hAnsi="宋体" w:cs="宋体"/>
        </w:rPr>
      </w:pPr>
      <w:r>
        <w:rPr>
          <w:rFonts w:hint="eastAsia" w:ascii="宋体" w:hAnsi="宋体" w:cs="宋体"/>
        </w:rPr>
        <w:t>［经济状况］</w:t>
      </w:r>
    </w:p>
    <w:p w14:paraId="2E0879E8">
      <w:pPr>
        <w:ind w:firstLine="420"/>
        <w:rPr>
          <w:rFonts w:ascii="宋体" w:hAnsi="宋体" w:cs="宋体"/>
        </w:rPr>
      </w:pPr>
      <w:r>
        <w:rPr>
          <w:rFonts w:hint="eastAsia" w:ascii="宋体" w:hAnsi="宋体" w:cs="宋体"/>
        </w:rPr>
        <w:t>全镇有耕地955.6公顷，有林地面积11333.33公顷，其中毛竹林2666.67公顷，松脂基地1333.33公顷。年产毛竹200多万条、冬笋2000多吨。年销售木材2000多立方米。2004年，水稻播种面积981.33公顷，总产7362吨，黄烟种植面积154.67公顷，总产278吨，收购量150吨。花生种植面积210公顷，总产675吨。生猪饲养量18256头，出栏量10136头。黑山羊饲养量5000头，出栏量3000头。三鸟出栏量147385只。耕牛存栏量2400头。水产品总产量311吨。在抓好农林牧渔业的同时，充分利用山水资源优势，招商引资开采莹矿，开发青嶂山旅游风景区，建水电站16座，装机容量6915千瓦。2004年，全镇财政总收入300万元，总支出280万元。农民人均纯收入3064元。居民储蓄存款余额800万元。固定电话装机数量700部，移动电话拥有量400部。</w:t>
      </w:r>
    </w:p>
    <w:p w14:paraId="6705DAD0">
      <w:pPr>
        <w:pStyle w:val="4"/>
        <w:rPr>
          <w:rFonts w:ascii="宋体" w:hAnsi="宋体" w:cs="宋体"/>
        </w:rPr>
      </w:pPr>
      <w:r>
        <w:rPr>
          <w:rFonts w:hint="eastAsia" w:ascii="宋体" w:hAnsi="宋体" w:cs="宋体"/>
        </w:rPr>
        <w:t>［文化卫生］</w:t>
      </w:r>
    </w:p>
    <w:p w14:paraId="44E2B8C1">
      <w:pPr>
        <w:ind w:firstLine="420"/>
        <w:rPr>
          <w:rFonts w:ascii="宋体" w:hAnsi="宋体" w:cs="宋体"/>
        </w:rPr>
      </w:pPr>
      <w:r>
        <w:rPr>
          <w:rFonts w:hint="eastAsia" w:ascii="宋体" w:hAnsi="宋体" w:cs="宋体"/>
        </w:rPr>
        <w:t>全镇有初级中学1所，完全小学7所，教师105人。在校学生1500多人。适龄儿童入学率100%。文化设施有1座文化中心大楼，建筑面积560平方米。有广播电视站1所，有线电视网站10个，电视覆盖率95%以上。医疗保健设施有医院1所，合作医疗站1所。基本医疗保险参保人数6071人，基本养老保险参保人数305。</w:t>
      </w:r>
    </w:p>
    <w:p w14:paraId="2EB806F7">
      <w:pPr>
        <w:pStyle w:val="4"/>
        <w:rPr>
          <w:rFonts w:ascii="宋体" w:hAnsi="宋体" w:cs="宋体"/>
        </w:rPr>
      </w:pPr>
      <w:r>
        <w:rPr>
          <w:rFonts w:hint="eastAsia" w:ascii="宋体" w:hAnsi="宋体" w:cs="宋体"/>
        </w:rPr>
        <w:t>［名产］</w:t>
      </w:r>
    </w:p>
    <w:p w14:paraId="3FC6DCA6">
      <w:pPr>
        <w:ind w:firstLine="420"/>
        <w:rPr>
          <w:rFonts w:ascii="宋体" w:hAnsi="宋体" w:cs="宋体"/>
        </w:rPr>
      </w:pPr>
      <w:r>
        <w:rPr>
          <w:rFonts w:hint="eastAsia" w:ascii="宋体" w:hAnsi="宋体" w:cs="宋体"/>
        </w:rPr>
        <w:t>莹矿石（氟石）。江头莹矿石厂生产。该矿石品位高、质量纯。远销日本、东南亚、西欧等10多个国家。是广东省唯一出口免检的莹矿石。</w:t>
      </w:r>
    </w:p>
    <w:p w14:paraId="65B49FBB">
      <w:pPr>
        <w:pStyle w:val="3"/>
        <w:rPr>
          <w:rFonts w:ascii="宋体" w:hAnsi="宋体" w:cs="宋体"/>
        </w:rPr>
      </w:pPr>
      <w:r>
        <w:rPr>
          <w:rFonts w:hint="eastAsia" w:ascii="宋体" w:hAnsi="宋体" w:cs="宋体"/>
        </w:rPr>
        <w:t>主田镇</w:t>
      </w:r>
    </w:p>
    <w:p w14:paraId="5CD92765">
      <w:pPr>
        <w:pStyle w:val="4"/>
        <w:rPr>
          <w:rFonts w:ascii="宋体" w:hAnsi="宋体" w:cs="宋体"/>
        </w:rPr>
      </w:pPr>
      <w:r>
        <w:rPr>
          <w:rFonts w:hint="eastAsia" w:ascii="宋体" w:hAnsi="宋体" w:cs="宋体"/>
        </w:rPr>
        <w:t>［历史沿革］</w:t>
      </w:r>
    </w:p>
    <w:p w14:paraId="7936C9A2">
      <w:pPr>
        <w:ind w:firstLine="420"/>
        <w:rPr>
          <w:rFonts w:ascii="宋体" w:hAnsi="宋体" w:cs="宋体"/>
        </w:rPr>
      </w:pPr>
      <w:r>
        <w:rPr>
          <w:rFonts w:hint="eastAsia" w:ascii="宋体" w:hAnsi="宋体" w:cs="宋体"/>
        </w:rPr>
        <w:t>主田镇辖地明代属知劝乡修仁都。清代属修仁二都。民国时先后属安平乡、广平乡、泰怀乡。中华人民共和国成立初期属第五区。1957年12月撤区并乡，建立主田乡。乡政府驻大汾村，但以当地主要村庄主田为乡名。1958年先后属先锋人民公社、城郊人民公社。1961年成立主田人民公社。1984年改为区，1986年改为乡，后改为镇。</w:t>
      </w:r>
    </w:p>
    <w:p w14:paraId="1A699452">
      <w:pPr>
        <w:pStyle w:val="4"/>
        <w:rPr>
          <w:rFonts w:ascii="宋体" w:hAnsi="宋体" w:cs="宋体"/>
        </w:rPr>
      </w:pPr>
      <w:r>
        <w:rPr>
          <w:rFonts w:hint="eastAsia" w:ascii="宋体" w:hAnsi="宋体" w:cs="宋体"/>
        </w:rPr>
        <w:t>［地理概况］</w:t>
      </w:r>
    </w:p>
    <w:p w14:paraId="12F3F3A7">
      <w:pPr>
        <w:ind w:firstLine="420"/>
        <w:rPr>
          <w:rFonts w:ascii="宋体" w:hAnsi="宋体" w:cs="宋体"/>
        </w:rPr>
      </w:pPr>
      <w:r>
        <w:rPr>
          <w:rFonts w:hint="eastAsia" w:ascii="宋体" w:hAnsi="宋体" w:cs="宋体"/>
        </w:rPr>
        <w:t>主田镇位于南雄市区南面，东与江头镇接壤，南与始兴县澄江镇和江西省全南县龙源坝镇为邻，西接古市镇，北与原黎口镇和市区为邻。镇政府驻地位于北纬25°3′55″，东经114°13′51"。距南雄市区7公里，至韶关110公里，至江西信丰县城85公里、赣州市138公里。镇内建有水泥公路4条，总长5.2公里。90%自然村可通汽车。中国移动和联通无线通讯网络已覆盖全镇。</w:t>
      </w:r>
    </w:p>
    <w:p w14:paraId="5F38815E">
      <w:pPr>
        <w:pStyle w:val="4"/>
        <w:rPr>
          <w:rFonts w:ascii="宋体" w:hAnsi="宋体" w:cs="宋体"/>
        </w:rPr>
      </w:pPr>
      <w:r>
        <w:rPr>
          <w:rFonts w:hint="eastAsia" w:ascii="宋体" w:hAnsi="宋体" w:cs="宋体"/>
        </w:rPr>
        <w:t>［自然环境］</w:t>
      </w:r>
    </w:p>
    <w:p w14:paraId="3A3B91B7">
      <w:pPr>
        <w:ind w:firstLine="420"/>
        <w:rPr>
          <w:rFonts w:ascii="宋体" w:hAnsi="宋体" w:cs="宋体"/>
        </w:rPr>
      </w:pPr>
      <w:r>
        <w:rPr>
          <w:rFonts w:hint="eastAsia" w:ascii="宋体" w:hAnsi="宋体" w:cs="宋体"/>
        </w:rPr>
        <w:t>主田镇属山区和丘陵，地势是东南高、西北低。总面积187平方公里。有林业用地9312.7公顷，森林覆盖率70.7%。东南山区海拔高度达700米。地质属燕山期花岗岩体及寒武纪、震旦纪变质岩体，遍布硅质板岩、长石英砂岩、混合花岗岩，土壤为黄壤土。西北丘陵地带海拔在300米以下。地质属中生代白垩纪紫色砂岩客体，遍布黑云母花岗岩、紫红色泥质砂岩、红色泥质粉砂岩、红色砂岩，土壤多属紫色土，钾含量高。年均气温19℃，全年无霜期平均280天左右，年均降雨量1600毫米。瀑布水发源于该镇，且筑有瀑布水库，灌溉水源充足，旱涝保收面积占九成。</w:t>
      </w:r>
    </w:p>
    <w:p w14:paraId="3910603F">
      <w:pPr>
        <w:pStyle w:val="4"/>
        <w:rPr>
          <w:rFonts w:ascii="宋体" w:hAnsi="宋体" w:cs="宋体"/>
        </w:rPr>
      </w:pPr>
      <w:r>
        <w:rPr>
          <w:rFonts w:hint="eastAsia" w:ascii="宋体" w:hAnsi="宋体" w:cs="宋体"/>
        </w:rPr>
        <w:t>［人口民族］</w:t>
      </w:r>
    </w:p>
    <w:p w14:paraId="3BBCB78F">
      <w:pPr>
        <w:ind w:firstLine="420"/>
        <w:rPr>
          <w:rFonts w:ascii="宋体" w:hAnsi="宋体" w:cs="宋体"/>
        </w:rPr>
      </w:pPr>
      <w:r>
        <w:rPr>
          <w:rFonts w:hint="eastAsia" w:ascii="宋体" w:hAnsi="宋体" w:cs="宋体"/>
        </w:rPr>
        <w:t>2004年，该镇共有3626户，总人口13119人，其中农业人口11494人。有1个居委会，8个村委会，102个村民小组。在总人口中有畲族597人，占总人口4.55%，其余为汉族。</w:t>
      </w:r>
    </w:p>
    <w:p w14:paraId="3A8D5B69">
      <w:pPr>
        <w:pStyle w:val="4"/>
        <w:rPr>
          <w:rFonts w:ascii="宋体" w:hAnsi="宋体" w:cs="宋体"/>
        </w:rPr>
      </w:pPr>
      <w:r>
        <w:rPr>
          <w:rFonts w:hint="eastAsia" w:ascii="宋体" w:hAnsi="宋体" w:cs="宋体"/>
        </w:rPr>
        <w:t>［经济状况］</w:t>
      </w:r>
    </w:p>
    <w:p w14:paraId="403ACE77">
      <w:pPr>
        <w:ind w:firstLine="420"/>
        <w:rPr>
          <w:rFonts w:ascii="宋体" w:hAnsi="宋体" w:cs="宋体"/>
        </w:rPr>
      </w:pPr>
      <w:r>
        <w:rPr>
          <w:rFonts w:hint="eastAsia" w:ascii="宋体" w:hAnsi="宋体" w:cs="宋体"/>
        </w:rPr>
        <w:t>主田镇有耕地面积1248.27公顷，2004年水稻播种面积1084.67公顷，总产量8291吨；黄烟种植面积700公顷，总产1376吨，收购量1003吨，花生播种面积246.67公顷，总产量861吨。养鱼面积6173公顷，水产品产量645吨。生猪饲养量22305头，出栏量10825头。三鸟出栏量111359只。耕牛存栏量3810头。2004年，全镇财政总收入75万元，总支出76万元。农村人均纯收入3365元，居民储蓄存款余额4120万元。固定电话装机数量1150部，移动电话拥有量530部。每百户农民家庭年末主要家电拥有量为：彩色电视机50台，摩托车25辆，影碟机35台。</w:t>
      </w:r>
    </w:p>
    <w:p w14:paraId="51259924">
      <w:pPr>
        <w:pStyle w:val="4"/>
        <w:rPr>
          <w:rFonts w:ascii="宋体" w:hAnsi="宋体" w:cs="宋体"/>
        </w:rPr>
      </w:pPr>
      <w:r>
        <w:rPr>
          <w:rFonts w:hint="eastAsia" w:ascii="宋体" w:hAnsi="宋体" w:cs="宋体"/>
        </w:rPr>
        <w:t>［文化卫生］</w:t>
      </w:r>
    </w:p>
    <w:p w14:paraId="23FB6B89">
      <w:pPr>
        <w:ind w:firstLine="420"/>
        <w:rPr>
          <w:rFonts w:ascii="宋体" w:hAnsi="宋体" w:cs="宋体"/>
        </w:rPr>
      </w:pPr>
      <w:r>
        <w:rPr>
          <w:rFonts w:hint="eastAsia" w:ascii="宋体" w:hAnsi="宋体" w:cs="宋体"/>
        </w:rPr>
        <w:t>该镇主田中学2001年9月合并新城中学后，现有小学9所，教师90人，学生4230人，学龄儿童入学率100%。莲花小学被评为“韶关市一级学校”。医疗保健设施有卫生院1所、村卫生站8所，基本医疗保险参保人数4103人，基本养老保险参保人数110人。</w:t>
      </w:r>
    </w:p>
    <w:p w14:paraId="50FC8B82">
      <w:pPr>
        <w:pStyle w:val="4"/>
        <w:rPr>
          <w:rFonts w:ascii="宋体" w:hAnsi="宋体" w:cs="宋体"/>
        </w:rPr>
      </w:pPr>
      <w:r>
        <w:rPr>
          <w:rFonts w:hint="eastAsia" w:ascii="宋体" w:hAnsi="宋体" w:cs="宋体"/>
        </w:rPr>
        <w:t>［名产］</w:t>
      </w:r>
    </w:p>
    <w:p w14:paraId="1BFAF4A5">
      <w:pPr>
        <w:ind w:firstLine="420"/>
        <w:rPr>
          <w:rFonts w:ascii="宋体" w:hAnsi="宋体" w:cs="宋体"/>
        </w:rPr>
      </w:pPr>
      <w:r>
        <w:rPr>
          <w:rFonts w:hint="eastAsia" w:ascii="宋体" w:hAnsi="宋体" w:cs="宋体"/>
        </w:rPr>
        <w:t>轻质天面隔热板。主田隔热板厂生产，是获得国家专利的新型预制构件材料。产品采用新型隔热材料经机械加工而成，其特点是隔热效果好，整体重量轻，排水、抗压性能好，施工、安装、维修快速，是理想的天面隔热材料。</w:t>
      </w:r>
    </w:p>
    <w:p w14:paraId="5411A7F9">
      <w:pPr>
        <w:pStyle w:val="3"/>
        <w:rPr>
          <w:rFonts w:ascii="宋体" w:hAnsi="宋体" w:cs="宋体"/>
        </w:rPr>
      </w:pPr>
      <w:r>
        <w:rPr>
          <w:rFonts w:hint="eastAsia" w:ascii="宋体" w:hAnsi="宋体" w:cs="宋体"/>
        </w:rPr>
        <w:t>古市镇</w:t>
      </w:r>
    </w:p>
    <w:p w14:paraId="38A61A42">
      <w:pPr>
        <w:pStyle w:val="4"/>
        <w:rPr>
          <w:rFonts w:ascii="宋体" w:hAnsi="宋体" w:cs="宋体"/>
        </w:rPr>
      </w:pPr>
      <w:r>
        <w:rPr>
          <w:rFonts w:hint="eastAsia" w:ascii="宋体" w:hAnsi="宋体" w:cs="宋体"/>
        </w:rPr>
        <w:t>［历史沿革］</w:t>
      </w:r>
    </w:p>
    <w:p w14:paraId="240B9FB7">
      <w:pPr>
        <w:ind w:firstLine="420"/>
        <w:rPr>
          <w:rFonts w:ascii="宋体" w:hAnsi="宋体" w:cs="宋体"/>
        </w:rPr>
      </w:pPr>
      <w:r>
        <w:rPr>
          <w:rFonts w:hint="eastAsia" w:ascii="宋体" w:hAnsi="宋体" w:cs="宋体"/>
        </w:rPr>
        <w:t>古市镇域明代属知劝乡修仁都。清初，修仁都一分为三，古市镇属修仁二都。咸丰四年（1854年）改都为约。民国17年（1928年）属保吉乡。中华人民共和国成立后属第六区。1958年先后属先锋人民公社、城郊人民公社。1962年建立古市人民公社。1984年改为区。1986年改为镇。</w:t>
      </w:r>
    </w:p>
    <w:p w14:paraId="134F6EAA">
      <w:pPr>
        <w:pStyle w:val="4"/>
        <w:rPr>
          <w:rFonts w:ascii="宋体" w:hAnsi="宋体" w:cs="宋体"/>
        </w:rPr>
      </w:pPr>
      <w:r>
        <w:rPr>
          <w:rFonts w:hint="eastAsia" w:ascii="宋体" w:hAnsi="宋体" w:cs="宋体"/>
        </w:rPr>
        <w:t>［地理概况］</w:t>
      </w:r>
    </w:p>
    <w:p w14:paraId="6B1A0331">
      <w:pPr>
        <w:ind w:firstLine="420"/>
        <w:rPr>
          <w:rFonts w:ascii="宋体" w:hAnsi="宋体" w:cs="宋体"/>
        </w:rPr>
      </w:pPr>
      <w:r>
        <w:rPr>
          <w:rFonts w:hint="eastAsia" w:ascii="宋体" w:hAnsi="宋体" w:cs="宋体"/>
        </w:rPr>
        <w:t>古市镇辖区面积118平方公里。在南雄市区西南方。东与主田镇为邻，北连全安镇，西部、南部均与始兴县马市镇为界。经国道323线往东北方向至南雄市区9公里，至江西赣州市145公里。往西南方向至韶关市94公里。</w:t>
      </w:r>
    </w:p>
    <w:p w14:paraId="799E221A">
      <w:pPr>
        <w:pStyle w:val="4"/>
        <w:rPr>
          <w:rFonts w:ascii="宋体" w:hAnsi="宋体" w:cs="宋体"/>
        </w:rPr>
      </w:pPr>
      <w:r>
        <w:rPr>
          <w:rFonts w:hint="eastAsia" w:ascii="宋体" w:hAnsi="宋体" w:cs="宋体"/>
        </w:rPr>
        <w:t>［自然环境］</w:t>
      </w:r>
    </w:p>
    <w:p w14:paraId="16B687B0">
      <w:pPr>
        <w:ind w:firstLine="420"/>
        <w:rPr>
          <w:rFonts w:ascii="宋体" w:hAnsi="宋体" w:cs="宋体"/>
        </w:rPr>
      </w:pPr>
      <w:r>
        <w:rPr>
          <w:rFonts w:hint="eastAsia" w:ascii="宋体" w:hAnsi="宋体" w:cs="宋体"/>
        </w:rPr>
        <w:t>古市镇地处南雄盆地东南边缘，浈江河两岸，瀑布水（古称修仁水）在该镇修仁村汇入浈江。地势南高北低，地质属燕山期花岗岩体及寒武纪、震旦纪变质岩体。次江河两岸低丘陵区属中生代白垩纪紫色砂页岩体。黑云母花岗岩及紫红色泥质沙岩、紫红色泥质粉沙岩、红色砂岩分布全镇。所辖8个村委会中，2个属山区，6个属丘陵区。有瀑布水库灌区和凌江引水工程灌溉，水源充足。年均气温19.6℃，年降雨量1450毫米，无霜期280天。</w:t>
      </w:r>
    </w:p>
    <w:p w14:paraId="50E92657">
      <w:pPr>
        <w:pStyle w:val="4"/>
        <w:rPr>
          <w:rFonts w:ascii="宋体" w:hAnsi="宋体" w:cs="宋体"/>
        </w:rPr>
      </w:pPr>
      <w:r>
        <w:rPr>
          <w:rFonts w:hint="eastAsia" w:ascii="宋体" w:hAnsi="宋体" w:cs="宋体"/>
        </w:rPr>
        <w:t>［圩市建设］</w:t>
      </w:r>
    </w:p>
    <w:p w14:paraId="51A1EDF4">
      <w:pPr>
        <w:ind w:firstLine="420"/>
        <w:rPr>
          <w:rFonts w:ascii="宋体" w:hAnsi="宋体" w:cs="宋体"/>
        </w:rPr>
      </w:pPr>
      <w:r>
        <w:rPr>
          <w:rFonts w:hint="eastAsia" w:ascii="宋体" w:hAnsi="宋体" w:cs="宋体"/>
        </w:rPr>
        <w:t>古市镇政府驻地古禄圩，位于北纬25°57′，东经114°13′。相传明永乐四年（1406年）开圩仪式时，三声炮响，一只猎蛇的雄鹰在上空飞过时受惊，双爪所抓的蛇脱落，掉在举槌欲擂的大鼓上。仪式主持人认为此象大吉，遂命名为“鼓落圩”。后人谐音称为“古禄圩”。圩市建设用地9.8万平方米，建有2500平方米综合市场，门店1920平方米。水电通信设施齐备。</w:t>
      </w:r>
    </w:p>
    <w:p w14:paraId="22190EC6">
      <w:pPr>
        <w:pStyle w:val="4"/>
        <w:rPr>
          <w:rFonts w:ascii="宋体" w:hAnsi="宋体" w:cs="宋体"/>
        </w:rPr>
      </w:pPr>
      <w:r>
        <w:rPr>
          <w:rFonts w:hint="eastAsia" w:ascii="宋体" w:hAnsi="宋体" w:cs="宋体"/>
        </w:rPr>
        <w:t>［人口民族］</w:t>
      </w:r>
    </w:p>
    <w:p w14:paraId="69BD9B7A">
      <w:pPr>
        <w:ind w:firstLine="420"/>
        <w:rPr>
          <w:rFonts w:ascii="宋体" w:hAnsi="宋体" w:cs="宋体"/>
        </w:rPr>
      </w:pPr>
      <w:r>
        <w:rPr>
          <w:rFonts w:hint="eastAsia" w:ascii="宋体" w:hAnsi="宋体" w:cs="宋体"/>
        </w:rPr>
        <w:t>该镇辖1个居委会、8个村委会，123个村民小组。2004年总户数4382户，总人口19401人，其中农业人口18192人，占93.8%；有畲族31户，126人，其余为汉族。</w:t>
      </w:r>
    </w:p>
    <w:p w14:paraId="47246386">
      <w:pPr>
        <w:pStyle w:val="4"/>
        <w:rPr>
          <w:rFonts w:ascii="宋体" w:hAnsi="宋体" w:cs="宋体"/>
        </w:rPr>
      </w:pPr>
      <w:r>
        <w:rPr>
          <w:rFonts w:hint="eastAsia" w:ascii="宋体" w:hAnsi="宋体" w:cs="宋体"/>
        </w:rPr>
        <w:t>［经济状况］</w:t>
      </w:r>
    </w:p>
    <w:p w14:paraId="313FE338">
      <w:pPr>
        <w:ind w:firstLine="420"/>
        <w:rPr>
          <w:rFonts w:ascii="宋体" w:hAnsi="宋体" w:cs="宋体"/>
        </w:rPr>
      </w:pPr>
      <w:r>
        <w:rPr>
          <w:rFonts w:hint="eastAsia" w:ascii="宋体" w:hAnsi="宋体" w:cs="宋体"/>
        </w:rPr>
        <w:t>该镇有林地面积5166.3公顷，主要树种松、杉、毛竹，森林覆盖率49.2%。耕地面积1695.93公顷。2004年水稻播面积1300公顷，总产10120吨，其中优质稻8204吨；黄烟种植面积1066.67公顷，总产2576吨，收购量1357吨；花生种植面积235.33公顷，亩产294公斤，总产量1038吨。生猪饲养量42586头，出栏量25986头，三鸟出栏量277002只，耕牛存栏量3500头。水产养殖面积89.27公顷，总产708吨。2004年全镇财政总收入116万元，总支出90万元。农村人均纯收入3338元，居民储蓄存款余额3785万元。固定电话装机数量1540部，移动电话拥有量621部。</w:t>
      </w:r>
    </w:p>
    <w:p w14:paraId="44D784A6">
      <w:pPr>
        <w:pStyle w:val="4"/>
        <w:rPr>
          <w:rFonts w:ascii="宋体" w:hAnsi="宋体" w:cs="宋体"/>
        </w:rPr>
      </w:pPr>
      <w:r>
        <w:rPr>
          <w:rFonts w:hint="eastAsia" w:ascii="宋体" w:hAnsi="宋体" w:cs="宋体"/>
        </w:rPr>
        <w:t>［文化卫生］</w:t>
      </w:r>
    </w:p>
    <w:p w14:paraId="46CBE6EE">
      <w:pPr>
        <w:ind w:firstLine="420"/>
        <w:rPr>
          <w:rFonts w:ascii="宋体" w:hAnsi="宋体" w:cs="宋体"/>
        </w:rPr>
      </w:pPr>
      <w:r>
        <w:rPr>
          <w:rFonts w:hint="eastAsia" w:ascii="宋体" w:hAnsi="宋体" w:cs="宋体"/>
        </w:rPr>
        <w:t>2004年，全镇有中学1所，在校学生1100人；完全小学8所，在校学生1910人；教师212人。适龄儿童入学率99.8%。还有青少年中心学校1所，常年开班教学，1991年被国家教委评为“实施燎原计划先进单位”。1990年经省、市验收，核定为少青壮年无盲镇。1993年该镇文化技术学校获联合国教科文中心奖励价值1000美元的20项电化教具。</w:t>
      </w:r>
    </w:p>
    <w:p w14:paraId="7732F746">
      <w:pPr>
        <w:ind w:firstLine="420"/>
        <w:rPr>
          <w:rFonts w:ascii="宋体" w:hAnsi="宋体" w:cs="宋体"/>
        </w:rPr>
      </w:pPr>
      <w:r>
        <w:rPr>
          <w:rFonts w:hint="eastAsia" w:ascii="宋体" w:hAnsi="宋体" w:cs="宋体"/>
        </w:rPr>
        <w:t>医疗保健设施有镇级人民医院和修仁分院，村级卫生站7所，个体门诊6所。基本医疗保险参保人数12135人，基本养老保险参保人数260人。</w:t>
      </w:r>
    </w:p>
    <w:p w14:paraId="0629FFC9">
      <w:pPr>
        <w:pStyle w:val="3"/>
        <w:rPr>
          <w:rFonts w:ascii="宋体" w:hAnsi="宋体" w:cs="宋体"/>
        </w:rPr>
      </w:pPr>
      <w:r>
        <w:rPr>
          <w:rFonts w:hint="eastAsia" w:ascii="宋体" w:hAnsi="宋体" w:cs="宋体"/>
        </w:rPr>
        <w:t>全安镇</w:t>
      </w:r>
    </w:p>
    <w:p w14:paraId="1EA63601">
      <w:pPr>
        <w:pStyle w:val="4"/>
        <w:rPr>
          <w:rFonts w:ascii="宋体" w:hAnsi="宋体" w:cs="宋体"/>
        </w:rPr>
      </w:pPr>
      <w:r>
        <w:rPr>
          <w:rFonts w:hint="eastAsia" w:ascii="宋体" w:hAnsi="宋体" w:cs="宋体"/>
        </w:rPr>
        <w:t>［历史沿革］</w:t>
      </w:r>
    </w:p>
    <w:p w14:paraId="4599F336">
      <w:pPr>
        <w:ind w:firstLine="420"/>
        <w:rPr>
          <w:rFonts w:ascii="宋体" w:hAnsi="宋体" w:cs="宋体"/>
        </w:rPr>
      </w:pPr>
      <w:r>
        <w:rPr>
          <w:rFonts w:hint="eastAsia" w:ascii="宋体" w:hAnsi="宋体" w:cs="宋体"/>
        </w:rPr>
        <w:t>全安镇域明代属九成乡正化都。清初属正上三都。咸丰四年（1854年）改都为约。民国17年（1928年）属八区全安乡。民国29年属第一区。1949年后属第六区全安乡。1958年属卫星人民公社。1960年属城郊人民公社。1962年建立全安人民公社。1984年改为区。1986年改为乡，1994年6月改为镇。</w:t>
      </w:r>
    </w:p>
    <w:p w14:paraId="24F7587A">
      <w:pPr>
        <w:pStyle w:val="4"/>
        <w:rPr>
          <w:rFonts w:ascii="宋体" w:hAnsi="宋体" w:cs="宋体"/>
        </w:rPr>
      </w:pPr>
      <w:r>
        <w:rPr>
          <w:rFonts w:hint="eastAsia" w:ascii="宋体" w:hAnsi="宋体" w:cs="宋体"/>
        </w:rPr>
        <w:t>［地理概况］</w:t>
      </w:r>
    </w:p>
    <w:p w14:paraId="378EAFBF">
      <w:pPr>
        <w:ind w:firstLine="420"/>
        <w:rPr>
          <w:rFonts w:ascii="宋体" w:hAnsi="宋体" w:cs="宋体"/>
        </w:rPr>
      </w:pPr>
      <w:r>
        <w:rPr>
          <w:rFonts w:hint="eastAsia" w:ascii="宋体" w:hAnsi="宋体" w:cs="宋体"/>
        </w:rPr>
        <w:t>镇政府驻地郭公岭北纬25°8′6″，东经114°15′46″。镇辖区总面积176.25平方公里。东与珠玑、雄州为邻、南与古市和始兴县马市镇交界，西连百顺镇、北接澜河镇。郭公岭至南雄市区4.5公里，至韶关108公里、江西赣州市133公里、信丰县城80公里。镇政府至各村委会全部铺设了水泥公路。</w:t>
      </w:r>
    </w:p>
    <w:p w14:paraId="7E1DFE14">
      <w:pPr>
        <w:pStyle w:val="4"/>
        <w:rPr>
          <w:rFonts w:ascii="宋体" w:hAnsi="宋体" w:cs="宋体"/>
        </w:rPr>
      </w:pPr>
      <w:r>
        <w:rPr>
          <w:rFonts w:hint="eastAsia" w:ascii="宋体" w:hAnsi="宋体" w:cs="宋体"/>
        </w:rPr>
        <w:t>［自然环境］</w:t>
      </w:r>
    </w:p>
    <w:p w14:paraId="2863FD73">
      <w:pPr>
        <w:ind w:firstLine="420"/>
        <w:rPr>
          <w:rFonts w:ascii="宋体" w:hAnsi="宋体" w:cs="宋体"/>
        </w:rPr>
      </w:pPr>
      <w:r>
        <w:rPr>
          <w:rFonts w:hint="eastAsia" w:ascii="宋体" w:hAnsi="宋体" w:cs="宋体"/>
        </w:rPr>
        <w:t>全镇近半数村委会属山区，其余属半山区和平原区。地质属燕山期花岗岩体及寒武纪、震旦纪变质岩体和砂砾岩第四纪红土。自然土壤是花岗石风化发育而成的黄壤、红壤，红色砂质土，碱性牛肝地。年均气温19.6℃，无霜期292天，年降雨量1940.5毫米。境内河流7条。浈江河在境内河段2公里，年径流深781.8毫米，年径流量18.3亿立方米。凌江河年均径流深800毫米，年径流量2.92亿立方米。大坪水总长33公里，年均径流量0.8亿立方米。上游建有苍石水库，库容1176万立方米。建有水电站6座，其中镇办3座，市属3座，总装机容量6620千瓦。山地面积7307.4公顷，有林地面积6119.2公顷。森林覆盖率52.2%。</w:t>
      </w:r>
    </w:p>
    <w:p w14:paraId="6E5CB2FE">
      <w:pPr>
        <w:pStyle w:val="4"/>
        <w:rPr>
          <w:rFonts w:ascii="宋体" w:hAnsi="宋体" w:cs="宋体"/>
        </w:rPr>
      </w:pPr>
      <w:r>
        <w:rPr>
          <w:rFonts w:hint="eastAsia" w:ascii="宋体" w:hAnsi="宋体" w:cs="宋体"/>
        </w:rPr>
        <w:t>［圩市建设］</w:t>
      </w:r>
    </w:p>
    <w:p w14:paraId="42A84177">
      <w:pPr>
        <w:ind w:firstLine="420"/>
        <w:rPr>
          <w:rFonts w:ascii="宋体" w:hAnsi="宋体" w:cs="宋体"/>
        </w:rPr>
      </w:pPr>
      <w:r>
        <w:rPr>
          <w:rFonts w:hint="eastAsia" w:ascii="宋体" w:hAnsi="宋体" w:cs="宋体"/>
        </w:rPr>
        <w:t>全安镇政府驻地郭公岭。改革开放后，随着农村经济的发展，乡镇企业兴起，从事工商业的人数日益增多，镇区建设逐步完善。现已有3条街道，长1.5公里，门店100多间。建有1座年供水量24万立方米自来水厂。人均住房25平方米。</w:t>
      </w:r>
    </w:p>
    <w:p w14:paraId="7ED65E1F">
      <w:pPr>
        <w:pStyle w:val="4"/>
        <w:rPr>
          <w:rFonts w:ascii="宋体" w:hAnsi="宋体" w:cs="宋体"/>
        </w:rPr>
      </w:pPr>
      <w:r>
        <w:rPr>
          <w:rFonts w:hint="eastAsia" w:ascii="宋体" w:hAnsi="宋体" w:cs="宋体"/>
        </w:rPr>
        <w:t>［人口民族］</w:t>
      </w:r>
    </w:p>
    <w:p w14:paraId="668A875B">
      <w:pPr>
        <w:ind w:firstLine="420"/>
        <w:rPr>
          <w:rFonts w:ascii="宋体" w:hAnsi="宋体" w:cs="宋体"/>
        </w:rPr>
      </w:pPr>
      <w:r>
        <w:rPr>
          <w:rFonts w:hint="eastAsia" w:ascii="宋体" w:hAnsi="宋体" w:cs="宋体"/>
        </w:rPr>
        <w:t>2004年，镇辖1个居委会，13个村委会，192个村民小组。总户数7416户，总人口25591人。其中汉族人口25140人，占98.2%，畲族有117户451人，占总人口1.8%。农业人口24056人，占总人口94%。</w:t>
      </w:r>
    </w:p>
    <w:p w14:paraId="071054B5">
      <w:pPr>
        <w:pStyle w:val="4"/>
        <w:rPr>
          <w:rFonts w:ascii="宋体" w:hAnsi="宋体" w:cs="宋体"/>
        </w:rPr>
      </w:pPr>
      <w:r>
        <w:rPr>
          <w:rFonts w:hint="eastAsia" w:ascii="宋体" w:hAnsi="宋体" w:cs="宋体"/>
        </w:rPr>
        <w:t>［经济状况］</w:t>
      </w:r>
    </w:p>
    <w:p w14:paraId="6C59EDAD">
      <w:pPr>
        <w:ind w:firstLine="420"/>
        <w:rPr>
          <w:rFonts w:ascii="宋体" w:hAnsi="宋体" w:cs="宋体"/>
        </w:rPr>
      </w:pPr>
      <w:r>
        <w:rPr>
          <w:rFonts w:hint="eastAsia" w:ascii="宋体" w:hAnsi="宋体" w:cs="宋体"/>
        </w:rPr>
        <w:t>全镇耕地面积2015.33公顷。2004年，水稻播种面积2483.33公顷，总产量19121吨，亩均513公斤；种黄烟200公顷，总产369吨，收购量84吨；种花生415.33公顷，总产1214吨；种蔬菜240公顷，总产4200吨；耕牛存栏量4509头；生猪饲养量58560头，出栏量47472头；家禽出栏量786586只；水产养殖面积126公顷，鱼总产1071吨；林木蓄积量607986立方米，可伐量364791立方米。已建成毛竹基地266.67公顷，白果基地40公顷，松香基地672.2公顷。镇村共办有林场4个。2004年，全镇财政总收入210万元，总支出178万元。农民人均纯收入3255元。农（居）民储蓄存款余额1200万元。</w:t>
      </w:r>
    </w:p>
    <w:p w14:paraId="231CE564">
      <w:pPr>
        <w:pStyle w:val="4"/>
        <w:rPr>
          <w:rFonts w:ascii="宋体" w:hAnsi="宋体" w:cs="宋体"/>
        </w:rPr>
      </w:pPr>
      <w:r>
        <w:rPr>
          <w:rFonts w:hint="eastAsia" w:ascii="宋体" w:hAnsi="宋体" w:cs="宋体"/>
        </w:rPr>
        <w:t>［文化卫生］</w:t>
      </w:r>
    </w:p>
    <w:p w14:paraId="3E4C4D10">
      <w:pPr>
        <w:ind w:firstLine="420"/>
        <w:rPr>
          <w:rFonts w:ascii="宋体" w:hAnsi="宋体" w:cs="宋体"/>
        </w:rPr>
      </w:pPr>
      <w:r>
        <w:rPr>
          <w:rFonts w:hint="eastAsia" w:ascii="宋体" w:hAnsi="宋体" w:cs="宋体"/>
        </w:rPr>
        <w:t>2004年，有中、小学校10所，教师233人，在校学生3260人。适龄儿童入学率100%。医疗保健设施有镇级卫生院1所，村级医疗站10个。基本医疗保险参保人数918人，基本养老保险参保人数142人。</w:t>
      </w:r>
    </w:p>
    <w:p w14:paraId="32B61B4C">
      <w:pPr>
        <w:pStyle w:val="4"/>
        <w:rPr>
          <w:rFonts w:ascii="宋体" w:hAnsi="宋体" w:cs="宋体"/>
        </w:rPr>
      </w:pPr>
      <w:r>
        <w:rPr>
          <w:rFonts w:hint="eastAsia" w:ascii="宋体" w:hAnsi="宋体" w:cs="宋体"/>
        </w:rPr>
        <w:t>［历史事件］</w:t>
      </w:r>
    </w:p>
    <w:p w14:paraId="1FF1F3D5">
      <w:pPr>
        <w:ind w:firstLine="420"/>
        <w:rPr>
          <w:rFonts w:ascii="宋体" w:hAnsi="宋体" w:cs="宋体"/>
        </w:rPr>
      </w:pPr>
      <w:r>
        <w:rPr>
          <w:rFonts w:hint="eastAsia" w:ascii="宋体" w:hAnsi="宋体" w:cs="宋体"/>
        </w:rPr>
        <w:t>抗日战争时期的粤北战役南雄战斗。1945年2月2日至3日，中国守军560团第一、三营，在苍石无坑水（地名）216高地与从百顺东犯的日军第四十师团234联队激战，日军伤亡较大，极大地鼓舞广大官兵的卫国斗志。</w:t>
      </w:r>
    </w:p>
    <w:p w14:paraId="186601FF">
      <w:pPr>
        <w:pStyle w:val="4"/>
        <w:rPr>
          <w:rFonts w:ascii="宋体" w:hAnsi="宋体" w:cs="宋体"/>
        </w:rPr>
      </w:pPr>
      <w:r>
        <w:rPr>
          <w:rFonts w:hint="eastAsia" w:ascii="宋体" w:hAnsi="宋体" w:cs="宋体"/>
        </w:rPr>
        <w:t>［文物古迹］</w:t>
      </w:r>
    </w:p>
    <w:p w14:paraId="1F859180">
      <w:pPr>
        <w:ind w:firstLine="420"/>
        <w:rPr>
          <w:rFonts w:ascii="宋体" w:hAnsi="宋体" w:cs="宋体"/>
        </w:rPr>
      </w:pPr>
      <w:r>
        <w:rPr>
          <w:rFonts w:hint="eastAsia" w:ascii="宋体" w:hAnsi="宋体" w:cs="宋体"/>
        </w:rPr>
        <w:t>杨历灵岩。位于杨历坪下水村，距南雄市区9公里。古代六景之。原有衹林寺已毁，瀑布也因引渠灌溉而不存。每逢重阳节，仍有众多游人登山怀古。</w:t>
      </w:r>
    </w:p>
    <w:p w14:paraId="413C250E">
      <w:pPr>
        <w:ind w:firstLine="420"/>
        <w:rPr>
          <w:rFonts w:ascii="宋体" w:hAnsi="宋体" w:cs="宋体"/>
        </w:rPr>
      </w:pPr>
      <w:r>
        <w:rPr>
          <w:rFonts w:hint="eastAsia" w:ascii="宋体" w:hAnsi="宋体" w:cs="宋体"/>
        </w:rPr>
        <w:t>宋代窑址。位于陂头莲塘坳村。离南雄市区5公里，是广东省目前保存较完整的宋代窑址。</w:t>
      </w:r>
    </w:p>
    <w:p w14:paraId="3690D7F8">
      <w:pPr>
        <w:ind w:firstLine="420"/>
        <w:rPr>
          <w:rFonts w:ascii="宋体" w:hAnsi="宋体" w:cs="宋体"/>
        </w:rPr>
      </w:pPr>
      <w:r>
        <w:rPr>
          <w:rFonts w:hint="eastAsia" w:ascii="宋体" w:hAnsi="宋体" w:cs="宋体"/>
        </w:rPr>
        <w:t>明代碗砖结构墓。在河圹村麦家巷岺。1983年发掘。是广东省首次发现的碗砖结构墓葬。</w:t>
      </w:r>
    </w:p>
    <w:p w14:paraId="63566BE1">
      <w:pPr>
        <w:ind w:firstLine="420"/>
        <w:rPr>
          <w:rFonts w:ascii="宋体" w:hAnsi="宋体" w:cs="宋体"/>
        </w:rPr>
      </w:pPr>
      <w:r>
        <w:rPr>
          <w:rFonts w:hint="eastAsia" w:ascii="宋体" w:hAnsi="宋体" w:cs="宋体"/>
        </w:rPr>
        <w:t>苍石奇谷。为南雄新十景之一，有苍石寨、情人谷等景点。</w:t>
      </w:r>
    </w:p>
    <w:p w14:paraId="4640643F">
      <w:pPr>
        <w:pStyle w:val="4"/>
        <w:rPr>
          <w:rFonts w:ascii="宋体" w:hAnsi="宋体" w:cs="宋体"/>
        </w:rPr>
      </w:pPr>
      <w:r>
        <w:rPr>
          <w:rFonts w:hint="eastAsia" w:ascii="宋体" w:hAnsi="宋体" w:cs="宋体"/>
        </w:rPr>
        <w:t>［名人］</w:t>
      </w:r>
    </w:p>
    <w:p w14:paraId="1D09C790">
      <w:pPr>
        <w:ind w:firstLine="420"/>
        <w:rPr>
          <w:rFonts w:ascii="宋体" w:hAnsi="宋体" w:cs="宋体"/>
        </w:rPr>
      </w:pPr>
      <w:r>
        <w:rPr>
          <w:rFonts w:hint="eastAsia" w:ascii="宋体" w:hAnsi="宋体" w:cs="宋体"/>
        </w:rPr>
        <w:t>胡日初（1828-1900），字正元，号旭斋，石岭下村人。咸丰六年（1856年）乙卯科乡试中举。历署福建省分巡兵备道、候选盐运使司，为官清正廉明，不畏强暴，不欺贫弱，被誉为“仁廉刚断，宽猛兼施，兴利除弊，卓著政声”，诰授正二品资政大夫，赠三代封典。</w:t>
      </w:r>
    </w:p>
    <w:p w14:paraId="1DF43436">
      <w:pPr>
        <w:pStyle w:val="3"/>
        <w:rPr>
          <w:rFonts w:ascii="宋体" w:hAnsi="宋体" w:cs="宋体"/>
        </w:rPr>
      </w:pPr>
      <w:r>
        <w:rPr>
          <w:rFonts w:hint="eastAsia" w:ascii="宋体" w:hAnsi="宋体" w:cs="宋体"/>
        </w:rPr>
        <w:t>帽子峰镇</w:t>
      </w:r>
    </w:p>
    <w:p w14:paraId="0CDFF938">
      <w:pPr>
        <w:pStyle w:val="4"/>
        <w:rPr>
          <w:rFonts w:ascii="宋体" w:hAnsi="宋体" w:cs="宋体"/>
        </w:rPr>
      </w:pPr>
      <w:r>
        <w:rPr>
          <w:rFonts w:hint="eastAsia" w:ascii="宋体" w:hAnsi="宋体" w:cs="宋体"/>
        </w:rPr>
        <w:t>［历史沿革］</w:t>
      </w:r>
    </w:p>
    <w:p w14:paraId="497C239E">
      <w:pPr>
        <w:ind w:firstLine="420"/>
        <w:rPr>
          <w:rFonts w:ascii="宋体" w:hAnsi="宋体" w:cs="宋体"/>
        </w:rPr>
      </w:pPr>
      <w:r>
        <w:rPr>
          <w:rFonts w:hint="eastAsia" w:ascii="宋体" w:hAnsi="宋体" w:cs="宋体"/>
        </w:rPr>
        <w:t>因该镇边境最高山峰形状似帽子，故称此山为帽子峰，海拔高度1058米。该镇亦以此为名。镇域明代属九成乡凌源都，清嘉庆十二年（1907年）属归仁都。咸丰四年（1854年）废都建约。民国17年（1928年）属第八区人和正乡、人和分乡、人和衷乡。1940年改属第一区永和乡。1949年属第六区永和乡。1957年撤区并乡，属横水乡、永和乡。1958年后属全安（卫星）人民公社、城郊人民公社。1960年从城郊人民公社分出，设帽子峰林业人民公社，后改称帽子峰人民公社。1984年改称区。1986年冬撤区建镇。</w:t>
      </w:r>
    </w:p>
    <w:p w14:paraId="1510ED63">
      <w:pPr>
        <w:pStyle w:val="4"/>
        <w:rPr>
          <w:rFonts w:ascii="宋体" w:hAnsi="宋体" w:cs="宋体"/>
        </w:rPr>
      </w:pPr>
      <w:r>
        <w:rPr>
          <w:rFonts w:hint="eastAsia" w:ascii="宋体" w:hAnsi="宋体" w:cs="宋体"/>
        </w:rPr>
        <w:t>［地理概况］</w:t>
      </w:r>
    </w:p>
    <w:p w14:paraId="7DF4869F">
      <w:pPr>
        <w:ind w:firstLine="420"/>
        <w:rPr>
          <w:rFonts w:ascii="宋体" w:hAnsi="宋体" w:cs="宋体"/>
        </w:rPr>
      </w:pPr>
      <w:r>
        <w:rPr>
          <w:rFonts w:hint="eastAsia" w:ascii="宋体" w:hAnsi="宋体" w:cs="宋体"/>
        </w:rPr>
        <w:t>帽子峰镇政府驻地富竹圩，位于北纬25°13′，东经114°13′。镇辖区面积101.25平方公里。东与珠玑镇为邻，南接全安镇，西邻澜河镇，北与江西省大余县交界。省道342线穿过该镇。公路总长43公里，其中省道7公里，市道9公里，乡道27公里。实现了村村通汽车、通电力。农村电价稳定在每千瓦时0.6元以内。富竹圩至南雄市区24公里、韶关127公里，至江西大余63公里、赣州市153公里、信丰县100公里。</w:t>
      </w:r>
    </w:p>
    <w:p w14:paraId="65A6779B">
      <w:pPr>
        <w:pStyle w:val="4"/>
        <w:rPr>
          <w:rFonts w:ascii="宋体" w:hAnsi="宋体" w:cs="宋体"/>
        </w:rPr>
      </w:pPr>
      <w:r>
        <w:rPr>
          <w:rFonts w:hint="eastAsia" w:ascii="宋体" w:hAnsi="宋体" w:cs="宋体"/>
        </w:rPr>
        <w:t>［自然环境］</w:t>
      </w:r>
    </w:p>
    <w:p w14:paraId="1AEC3EB7">
      <w:pPr>
        <w:ind w:firstLine="420"/>
        <w:rPr>
          <w:rFonts w:ascii="宋体" w:hAnsi="宋体" w:cs="宋体"/>
        </w:rPr>
      </w:pPr>
      <w:r>
        <w:rPr>
          <w:rFonts w:hint="eastAsia" w:ascii="宋体" w:hAnsi="宋体" w:cs="宋体"/>
        </w:rPr>
        <w:t>该镇地处大庾岭西段山区，地质属燕山期花岗岩体及寒武纪、震旦纪变质岩体。云母花岗岩、二长花岗岩遍布全境。主要土壤类型是花岗岩风化发育而成的黄壤和红壤。土地总面积10224公顷，其中林地8333.5公顷，森林覆盖率74.3%，树种以松、杉、毛竹为主，活立木蓄积量484591立方米。为南雄主要林区。年均气温18℃，无霜期260天，年均降雨量1550毫米。境内主要河流年均流量9.26立方米／秒，水能蕴藏量0.54万千瓦，可开发利用水能0.42万千瓦，已开发0.26万千瓦。矿藏有花岗石、稀土、黄金等。</w:t>
      </w:r>
    </w:p>
    <w:p w14:paraId="29EB897B">
      <w:pPr>
        <w:ind w:firstLine="420"/>
        <w:rPr>
          <w:rFonts w:ascii="宋体" w:hAnsi="宋体" w:cs="宋体"/>
        </w:rPr>
      </w:pPr>
      <w:r>
        <w:rPr>
          <w:rFonts w:hint="eastAsia" w:ascii="宋体" w:hAnsi="宋体" w:cs="宋体"/>
        </w:rPr>
        <w:t>境内有市属帽子峰林场1个，面积3000公顷，年产木材1000立方米，年造林80公顷。</w:t>
      </w:r>
    </w:p>
    <w:p w14:paraId="1E839F06">
      <w:pPr>
        <w:pStyle w:val="4"/>
        <w:rPr>
          <w:rFonts w:ascii="宋体" w:hAnsi="宋体" w:cs="宋体"/>
        </w:rPr>
      </w:pPr>
      <w:r>
        <w:rPr>
          <w:rFonts w:hint="eastAsia" w:ascii="宋体" w:hAnsi="宋体" w:cs="宋体"/>
        </w:rPr>
        <w:t>［人口民族］</w:t>
      </w:r>
    </w:p>
    <w:p w14:paraId="7A6278B1">
      <w:pPr>
        <w:ind w:firstLine="420"/>
        <w:rPr>
          <w:rFonts w:ascii="宋体" w:hAnsi="宋体" w:cs="宋体"/>
        </w:rPr>
      </w:pPr>
      <w:r>
        <w:rPr>
          <w:rFonts w:hint="eastAsia" w:ascii="宋体" w:hAnsi="宋体" w:cs="宋体"/>
        </w:rPr>
        <w:t>2004年该辖1个居委会，5个村委会，56个村民小组。总户数2329户，总人口9204人。其中农业人口8241人，占总人口89.5%；畲族36户，167人占1.8%。</w:t>
      </w:r>
    </w:p>
    <w:p w14:paraId="63C921FB">
      <w:pPr>
        <w:pStyle w:val="4"/>
        <w:rPr>
          <w:rFonts w:ascii="宋体" w:hAnsi="宋体" w:cs="宋体"/>
        </w:rPr>
      </w:pPr>
      <w:r>
        <w:rPr>
          <w:rFonts w:hint="eastAsia" w:ascii="宋体" w:hAnsi="宋体" w:cs="宋体"/>
        </w:rPr>
        <w:t>［经济状况］</w:t>
      </w:r>
    </w:p>
    <w:p w14:paraId="50452725">
      <w:pPr>
        <w:ind w:firstLine="420"/>
        <w:rPr>
          <w:rFonts w:ascii="宋体" w:hAnsi="宋体" w:cs="宋体"/>
        </w:rPr>
      </w:pPr>
      <w:r>
        <w:rPr>
          <w:rFonts w:hint="eastAsia" w:ascii="宋体" w:hAnsi="宋体" w:cs="宋体"/>
        </w:rPr>
        <w:t>该镇耕地809.6公顷。2004年，水稻播种面积1155.33公顷，总产8580吨。黄烟种植面积200公顷，总产354吨，收购量88吨。花生种植面积153.33公顷，总产425吨。生猪饲养量11230头，出栏量7337头。三鸟出栏量121667只。水产品总产量156吨。2004年财政总收入228万元，总支出146万元。农民人均纯收入3186元。居民储蓄存款余额450万元。2004年年末统计，固定电话装机数量1412部，移动电话拥有量720部。</w:t>
      </w:r>
    </w:p>
    <w:p w14:paraId="19C47BC9">
      <w:pPr>
        <w:pStyle w:val="4"/>
        <w:rPr>
          <w:rFonts w:ascii="宋体" w:hAnsi="宋体" w:cs="宋体"/>
        </w:rPr>
      </w:pPr>
      <w:r>
        <w:rPr>
          <w:rFonts w:hint="eastAsia" w:ascii="宋体" w:hAnsi="宋体" w:cs="宋体"/>
        </w:rPr>
        <w:t>［文化卫生］</w:t>
      </w:r>
    </w:p>
    <w:p w14:paraId="04BB61DE">
      <w:pPr>
        <w:ind w:firstLine="420"/>
        <w:rPr>
          <w:rFonts w:ascii="宋体" w:hAnsi="宋体" w:cs="宋体"/>
        </w:rPr>
      </w:pPr>
      <w:r>
        <w:rPr>
          <w:rFonts w:hint="eastAsia" w:ascii="宋体" w:hAnsi="宋体" w:cs="宋体"/>
        </w:rPr>
        <w:t>全镇有中学1所、完全小学5所，教师85人，在校学生1070人，适龄儿童入学率99.8%。全镇实现了教学楼房化。医疗保健设施有中心卫生院1所，村级医疗站5所，医务人员14人。2004年基本医疗保险参保人数4388人，基本养老保险参保人数132人。</w:t>
      </w:r>
    </w:p>
    <w:p w14:paraId="5D585439">
      <w:pPr>
        <w:pStyle w:val="3"/>
        <w:rPr>
          <w:rFonts w:ascii="宋体" w:hAnsi="宋体" w:cs="宋体"/>
        </w:rPr>
      </w:pPr>
      <w:r>
        <w:rPr>
          <w:rFonts w:hint="eastAsia" w:ascii="宋体" w:hAnsi="宋体" w:cs="宋体"/>
        </w:rPr>
        <w:t>澜河镇</w:t>
      </w:r>
    </w:p>
    <w:p w14:paraId="24EA7A60">
      <w:pPr>
        <w:pStyle w:val="4"/>
        <w:rPr>
          <w:rFonts w:ascii="宋体" w:hAnsi="宋体" w:cs="宋体"/>
        </w:rPr>
      </w:pPr>
      <w:r>
        <w:rPr>
          <w:rFonts w:hint="eastAsia" w:ascii="宋体" w:hAnsi="宋体" w:cs="宋体"/>
        </w:rPr>
        <w:t>［历史沿革］</w:t>
      </w:r>
    </w:p>
    <w:p w14:paraId="2B4FE9FA">
      <w:pPr>
        <w:ind w:firstLine="420"/>
        <w:rPr>
          <w:rFonts w:ascii="宋体" w:hAnsi="宋体" w:cs="宋体"/>
        </w:rPr>
      </w:pPr>
      <w:r>
        <w:rPr>
          <w:rFonts w:hint="eastAsia" w:ascii="宋体" w:hAnsi="宋体" w:cs="宋体"/>
        </w:rPr>
        <w:t>相传唐代，在澜河下游2公里处的龙坑有一块过江麻石把这条河拦住，人们取名拦河，后改为澜河。明代属九成乡凌源都。清咸丰四年（1854年）改都为约。民国时属靖平乡、和望乡。1951年属白云乡、澜河乡。1956年并为白云乡。1958年属高峰（百顺）人民公社，1961年成立白云人民公社，1979年改名为澜河人民公社。1984年改为区。1986年12月改为镇。该镇原有白云、澜河2个圩市。近年改造了澜河、白云2条老街，新建了2条新街，实现了道路硬化、路灯亮化、路边绿化、两旁楼房化。</w:t>
      </w:r>
    </w:p>
    <w:p w14:paraId="44F3C7ED">
      <w:pPr>
        <w:pStyle w:val="4"/>
        <w:rPr>
          <w:rFonts w:ascii="宋体" w:hAnsi="宋体" w:cs="宋体"/>
        </w:rPr>
      </w:pPr>
      <w:r>
        <w:rPr>
          <w:rFonts w:hint="eastAsia" w:ascii="宋体" w:hAnsi="宋体" w:cs="宋体"/>
        </w:rPr>
        <w:t>［地理概况］</w:t>
      </w:r>
    </w:p>
    <w:p w14:paraId="5352576F">
      <w:pPr>
        <w:ind w:firstLine="420"/>
        <w:rPr>
          <w:rFonts w:ascii="宋体" w:hAnsi="宋体" w:cs="宋体"/>
        </w:rPr>
      </w:pPr>
      <w:r>
        <w:rPr>
          <w:rFonts w:hint="eastAsia" w:ascii="宋体" w:hAnsi="宋体" w:cs="宋体"/>
        </w:rPr>
        <w:t>澜河镇政府驻地澜河圩，位于北纬25°14′43″，东经114°8′40″。镇辖区总面积171.3平方公里，地处南雄市西北部，东邻帽子峰镇，南邻全安镇，西连百顺镇，北与帽子峰林场和江西省大余县河洞乡接壤。省道342线纵贯镇内，东南至市区35公里，接国道323线。西经百顺镇可至仁化县、韶关市。镇内乡村公路7条，总长29公里，全镇6个村委会、98%自然村通汽车。全镇通车里程达165公里。1996年投资35万元开通了澜河至江西省大余县河洞乡的跨省乡村公路。</w:t>
      </w:r>
    </w:p>
    <w:p w14:paraId="1D1000B2">
      <w:pPr>
        <w:pStyle w:val="4"/>
        <w:rPr>
          <w:rFonts w:ascii="宋体" w:hAnsi="宋体" w:cs="宋体"/>
        </w:rPr>
      </w:pPr>
      <w:r>
        <w:rPr>
          <w:rFonts w:hint="eastAsia" w:ascii="宋体" w:hAnsi="宋体" w:cs="宋体"/>
        </w:rPr>
        <w:t>［自然环境］</w:t>
      </w:r>
    </w:p>
    <w:p w14:paraId="763CF83C">
      <w:pPr>
        <w:ind w:firstLine="420"/>
        <w:rPr>
          <w:rFonts w:ascii="宋体" w:hAnsi="宋体" w:cs="宋体"/>
        </w:rPr>
      </w:pPr>
      <w:r>
        <w:rPr>
          <w:rFonts w:hint="eastAsia" w:ascii="宋体" w:hAnsi="宋体" w:cs="宋体"/>
        </w:rPr>
        <w:t>澜河镇地势东北低，西南高。低山山脉连绵不断，是八山一水一分田的山区镇。海拔高度400米~800米。地质属花岗岩体。自然土壤为花岗岩红壤及麻红泥田土属。年均气温16℃，无霜期260天，年降雨量1700毫米。境内有大小河流33条，可开发利用15条，集雨面积约60平方公里，共有19个流量，已开发的12条。山林面积12490.2公顷，其中毛竹山4000公顷，松、杉、杂木山6866.67公顷。森林覆盖率85.6%。活立木蓄积量495558立方米。建立了省级生态公益林2333.33公顷。矿藏有稀土和铀，已开采。</w:t>
      </w:r>
    </w:p>
    <w:p w14:paraId="70EAFEA4">
      <w:pPr>
        <w:pStyle w:val="4"/>
        <w:rPr>
          <w:rFonts w:ascii="宋体" w:hAnsi="宋体" w:cs="宋体"/>
        </w:rPr>
      </w:pPr>
      <w:r>
        <w:rPr>
          <w:rFonts w:hint="eastAsia" w:ascii="宋体" w:hAnsi="宋体" w:cs="宋体"/>
        </w:rPr>
        <w:t>［人口民族］</w:t>
      </w:r>
    </w:p>
    <w:p w14:paraId="7016D946">
      <w:pPr>
        <w:ind w:firstLine="420"/>
        <w:rPr>
          <w:rFonts w:ascii="宋体" w:hAnsi="宋体" w:cs="宋体"/>
        </w:rPr>
      </w:pPr>
      <w:r>
        <w:rPr>
          <w:rFonts w:hint="eastAsia" w:ascii="宋体" w:hAnsi="宋体" w:cs="宋体"/>
        </w:rPr>
        <w:t>澜河镇辖1个居委会，6个村委会，82个村民小组。2004年总户数2592户，总人口10115人，其中农业人口9275人，占91.7%；畲族有3户16人。</w:t>
      </w:r>
    </w:p>
    <w:p w14:paraId="5428B618">
      <w:pPr>
        <w:pStyle w:val="4"/>
        <w:rPr>
          <w:rFonts w:ascii="宋体" w:hAnsi="宋体" w:cs="宋体"/>
        </w:rPr>
      </w:pPr>
      <w:r>
        <w:rPr>
          <w:rFonts w:hint="eastAsia" w:ascii="宋体" w:hAnsi="宋体" w:cs="宋体"/>
        </w:rPr>
        <w:t>［经济状况］</w:t>
      </w:r>
    </w:p>
    <w:p w14:paraId="0971E901">
      <w:pPr>
        <w:ind w:firstLine="420"/>
        <w:rPr>
          <w:rFonts w:ascii="宋体" w:hAnsi="宋体" w:cs="宋体"/>
        </w:rPr>
      </w:pPr>
      <w:r>
        <w:rPr>
          <w:rFonts w:hint="eastAsia" w:ascii="宋体" w:hAnsi="宋体" w:cs="宋体"/>
        </w:rPr>
        <w:t>澜河镇有耕地558.2公顷，2004年，水稻播种面积566.67公顷，总产量4182吨；花生播种面积53.33公顷，总产量208吨，生猪饲养量25346头，出栏量18826头。三鸟出栏量211980只。耕牛存栏量4105头。全镇有小水电站12座，装机容量4610千瓦，年发电量1700万千瓦时。竹木加工厂6家，石材加工厂2家。有镇办林场4个，联办林场6个，个体林场2个，林业局联办林场1个。林场总面积3866.67公顷。建立了速生丰产林基地1333.33公顷，毛竹基地6208.27公顷，银杏基地397.93公顷，松香基地2756.6公顷。年林业总收入2000万元。2004年镇财政总收入175万元，总支出160万元。农村人均纯收入3195元，居民储蓄存款余额630万元。固定电话装机数量1206部，移动电话拥有量650部。</w:t>
      </w:r>
    </w:p>
    <w:p w14:paraId="670F12BC">
      <w:pPr>
        <w:pStyle w:val="4"/>
        <w:rPr>
          <w:rFonts w:ascii="宋体" w:hAnsi="宋体" w:cs="宋体"/>
        </w:rPr>
      </w:pPr>
      <w:r>
        <w:rPr>
          <w:rFonts w:hint="eastAsia" w:ascii="宋体" w:hAnsi="宋体" w:cs="宋体"/>
        </w:rPr>
        <w:t>［文化卫生］</w:t>
      </w:r>
    </w:p>
    <w:p w14:paraId="0DBC0484">
      <w:pPr>
        <w:ind w:firstLine="420"/>
        <w:rPr>
          <w:rFonts w:ascii="宋体" w:hAnsi="宋体" w:cs="宋体"/>
        </w:rPr>
      </w:pPr>
      <w:r>
        <w:rPr>
          <w:rFonts w:hint="eastAsia" w:ascii="宋体" w:hAnsi="宋体" w:cs="宋体"/>
        </w:rPr>
        <w:t>2004年全镇有中学1所，完全小学3所，4个教学点。教师94人，在校学生1502人，适龄儿童入学率98.5%。医疗保健设施有卫生院1所，村级医疗站6所。基本医疗保险参保人数4969人，基本养老保险参保人数105人。</w:t>
      </w:r>
    </w:p>
    <w:p w14:paraId="19D980C0">
      <w:pPr>
        <w:pStyle w:val="3"/>
        <w:rPr>
          <w:rFonts w:ascii="宋体" w:hAnsi="宋体" w:cs="宋体"/>
        </w:rPr>
      </w:pPr>
      <w:r>
        <w:rPr>
          <w:rFonts w:hint="eastAsia" w:ascii="宋体" w:hAnsi="宋体" w:cs="宋体"/>
        </w:rPr>
        <w:t>百顺镇</w:t>
      </w:r>
    </w:p>
    <w:p w14:paraId="24ACDEE7">
      <w:pPr>
        <w:pStyle w:val="4"/>
        <w:rPr>
          <w:rFonts w:ascii="宋体" w:hAnsi="宋体" w:cs="宋体"/>
        </w:rPr>
      </w:pPr>
      <w:r>
        <w:rPr>
          <w:rFonts w:hint="eastAsia" w:ascii="宋体" w:hAnsi="宋体" w:cs="宋体"/>
        </w:rPr>
        <w:t>［历史沿革］</w:t>
      </w:r>
    </w:p>
    <w:p w14:paraId="3170B535">
      <w:pPr>
        <w:ind w:firstLine="420"/>
        <w:rPr>
          <w:rFonts w:ascii="宋体" w:hAnsi="宋体" w:cs="宋体"/>
        </w:rPr>
      </w:pPr>
      <w:r>
        <w:rPr>
          <w:rFonts w:hint="eastAsia" w:ascii="宋体" w:hAnsi="宋体" w:cs="宋体"/>
        </w:rPr>
        <w:t>镇域明代为九成乡所辖之百顺都。洪武十年（1377年）置百顺巡检司于百顺圩。清咸丰四年（1854年）改都为约。民国18年（1929年），属第九区韶望乡。民国29年实行新县制，改为韶安乡，属第一区。民国31年改为百顺乡。中华人民共和国成立后属第七区。1958年先后属高峰人民公社、白云人民公社。1962年建立百顺人民公社。1984年改为区。1986年撤区建镇。</w:t>
      </w:r>
    </w:p>
    <w:p w14:paraId="4A5EBE99">
      <w:pPr>
        <w:pStyle w:val="4"/>
        <w:rPr>
          <w:rFonts w:ascii="宋体" w:hAnsi="宋体" w:cs="宋体"/>
        </w:rPr>
      </w:pPr>
      <w:r>
        <w:rPr>
          <w:rFonts w:hint="eastAsia" w:ascii="宋体" w:hAnsi="宋体" w:cs="宋体"/>
        </w:rPr>
        <w:t>［地理概况］</w:t>
      </w:r>
    </w:p>
    <w:p w14:paraId="4ED75F27">
      <w:pPr>
        <w:ind w:firstLine="420"/>
        <w:rPr>
          <w:rFonts w:ascii="宋体" w:hAnsi="宋体" w:cs="宋体"/>
        </w:rPr>
      </w:pPr>
      <w:r>
        <w:rPr>
          <w:rFonts w:hint="eastAsia" w:ascii="宋体" w:hAnsi="宋体" w:cs="宋体"/>
        </w:rPr>
        <w:t>百顺镇是南雄市西部边陲古镇，南界始兴县马市镇，西界仁化、曲江县，北连仁化长江镇和江西大余县河洞乡。总面积273.5平方公里。</w:t>
      </w:r>
    </w:p>
    <w:p w14:paraId="3A79B389">
      <w:pPr>
        <w:pStyle w:val="4"/>
        <w:rPr>
          <w:rFonts w:ascii="宋体" w:hAnsi="宋体" w:cs="宋体"/>
        </w:rPr>
      </w:pPr>
      <w:r>
        <w:rPr>
          <w:rFonts w:hint="eastAsia" w:ascii="宋体" w:hAnsi="宋体" w:cs="宋体"/>
        </w:rPr>
        <w:t>［自然环境］</w:t>
      </w:r>
    </w:p>
    <w:p w14:paraId="57A5BDF4">
      <w:pPr>
        <w:ind w:firstLine="420"/>
        <w:rPr>
          <w:rFonts w:ascii="宋体" w:hAnsi="宋体" w:cs="宋体"/>
        </w:rPr>
      </w:pPr>
      <w:r>
        <w:rPr>
          <w:rFonts w:hint="eastAsia" w:ascii="宋体" w:hAnsi="宋体" w:cs="宋体"/>
        </w:rPr>
        <w:t>百顺镇地处大庾岺西段山区，地质属燕山期花岗岩体及寒武纪、震旦纪变质岩体。云母花岗岩、二长花岗岩遍布全镇。主要土壤类型是花岗岩风化发育而成的黄壤和红壤。该镇是南雄市的主要林区。森林覆盖率80.3%。年均气温17.8℃，冬季常有霜雪。全年无霜期252天，年降雨量1621.5毫米。大、小河流5条，年流量5560万立方米，水能储量丰富。地矿资源有花岗岩、稀土、铀等。</w:t>
      </w:r>
    </w:p>
    <w:p w14:paraId="626175BA">
      <w:pPr>
        <w:pStyle w:val="4"/>
        <w:rPr>
          <w:rFonts w:ascii="宋体" w:hAnsi="宋体" w:cs="宋体"/>
        </w:rPr>
      </w:pPr>
      <w:r>
        <w:rPr>
          <w:rFonts w:hint="eastAsia" w:ascii="宋体" w:hAnsi="宋体" w:cs="宋体"/>
        </w:rPr>
        <w:t>［圩市建设］</w:t>
      </w:r>
    </w:p>
    <w:p w14:paraId="1817EDD9">
      <w:pPr>
        <w:ind w:firstLine="420"/>
        <w:rPr>
          <w:rFonts w:ascii="宋体" w:hAnsi="宋体" w:cs="宋体"/>
        </w:rPr>
      </w:pPr>
      <w:r>
        <w:rPr>
          <w:rFonts w:hint="eastAsia" w:ascii="宋体" w:hAnsi="宋体" w:cs="宋体"/>
        </w:rPr>
        <w:t>镇政府驻地百顺圩，位于北纬25°1′，东经114°1′。公路交通：西至韶关129公里，东至南雄市区58公里，北至江西赣州市187公里。乡村公路贯通全镇10个村委会。圩内建有长1000米，宽8米，“丁”字街道，1座占地1520平方米的农贸市场，门店230多间，居民用上自来水。</w:t>
      </w:r>
    </w:p>
    <w:p w14:paraId="642D03A5">
      <w:pPr>
        <w:pStyle w:val="4"/>
        <w:rPr>
          <w:rFonts w:ascii="宋体" w:hAnsi="宋体" w:cs="宋体"/>
        </w:rPr>
      </w:pPr>
      <w:r>
        <w:rPr>
          <w:rFonts w:hint="eastAsia" w:ascii="宋体" w:hAnsi="宋体" w:cs="宋体"/>
        </w:rPr>
        <w:t>［人口民族］</w:t>
      </w:r>
    </w:p>
    <w:p w14:paraId="75828627">
      <w:pPr>
        <w:ind w:firstLine="420"/>
        <w:rPr>
          <w:rFonts w:ascii="宋体" w:hAnsi="宋体" w:cs="宋体"/>
        </w:rPr>
      </w:pPr>
      <w:r>
        <w:rPr>
          <w:rFonts w:hint="eastAsia" w:ascii="宋体" w:hAnsi="宋体" w:cs="宋体"/>
        </w:rPr>
        <w:t>2004年全镇辖1个居民委员会和9个村民委员会，106个村民小组，266户12366人，其中农业人口11578人，占总人口93.6%。境内居民中有雷姓畲族9户38人，其余为汉族。</w:t>
      </w:r>
    </w:p>
    <w:p w14:paraId="3FC39A38">
      <w:pPr>
        <w:pStyle w:val="4"/>
        <w:rPr>
          <w:rFonts w:ascii="宋体" w:hAnsi="宋体" w:cs="宋体"/>
        </w:rPr>
      </w:pPr>
      <w:r>
        <w:rPr>
          <w:rFonts w:hint="eastAsia" w:ascii="宋体" w:hAnsi="宋体" w:cs="宋体"/>
        </w:rPr>
        <w:t>［经济状况］</w:t>
      </w:r>
    </w:p>
    <w:p w14:paraId="1ED4CC0B">
      <w:pPr>
        <w:ind w:firstLine="420"/>
        <w:rPr>
          <w:rFonts w:ascii="宋体" w:hAnsi="宋体" w:cs="宋体"/>
        </w:rPr>
      </w:pPr>
      <w:r>
        <w:rPr>
          <w:rFonts w:hint="eastAsia" w:ascii="宋体" w:hAnsi="宋体" w:cs="宋体"/>
        </w:rPr>
        <w:t>该镇山林面积19333.33公顷（其中毛竹林8666.67公顷），建立了生态公益林保护区4000多公顷，笋、竹两用林基地2666.67公顷，丰产用材林基地6200公顷。年产原竹100万条、冬笋2000多吨、春笋4000多吨。全镇耕地905.2公顷，2004年水稻播种面积905.2公顷，总产量6246吨；种花生86.67公顷，总产252吨。生猪饲养量20473头，出栏量14581头。三鸟出栏量100600只。耕牛存栏量4455头。全镇财政总收入260万元，总支出220万元，农村人均纯收入2989元。农（居）民人均储蓄存款余额3675元。2004年，固定电话装机1360部，移动电话拥有570部。</w:t>
      </w:r>
    </w:p>
    <w:p w14:paraId="318A9E2F">
      <w:pPr>
        <w:pStyle w:val="4"/>
        <w:rPr>
          <w:rFonts w:ascii="宋体" w:hAnsi="宋体" w:cs="宋体"/>
        </w:rPr>
      </w:pPr>
      <w:r>
        <w:rPr>
          <w:rFonts w:hint="eastAsia" w:ascii="宋体" w:hAnsi="宋体" w:cs="宋体"/>
        </w:rPr>
        <w:t>［文教卫生］</w:t>
      </w:r>
    </w:p>
    <w:p w14:paraId="24656E84">
      <w:pPr>
        <w:ind w:firstLine="420"/>
        <w:rPr>
          <w:rFonts w:ascii="宋体" w:hAnsi="宋体" w:cs="宋体"/>
        </w:rPr>
      </w:pPr>
      <w:r>
        <w:rPr>
          <w:rFonts w:hint="eastAsia" w:ascii="宋体" w:hAnsi="宋体" w:cs="宋体"/>
        </w:rPr>
        <w:t>全镇有中学1所、小学10所、幼儿园1所，在校学生1921人，中小学教师147人。适龄儿童入学率99.6%。有卫生院1所，医护人员13人。还有个体诊所2间，乡村医疗站7间，从业人员7人。2004年，基本医疗保险参保人数6571人，基本养老保险参保人数160人。镇政府投资32万元兴建了百顺文化大楼，内设图书室、娱乐室、阅览室、卡拉OK厅。圩市安装了有线电视网，用户500多户，周边各村安装400多户。</w:t>
      </w:r>
    </w:p>
    <w:p w14:paraId="7AED8201">
      <w:pPr>
        <w:pStyle w:val="4"/>
        <w:rPr>
          <w:rFonts w:ascii="宋体" w:hAnsi="宋体" w:cs="宋体"/>
        </w:rPr>
      </w:pPr>
      <w:r>
        <w:rPr>
          <w:rFonts w:hint="eastAsia" w:ascii="宋体" w:hAnsi="宋体" w:cs="宋体"/>
        </w:rPr>
        <w:t>［文物古迹］</w:t>
      </w:r>
    </w:p>
    <w:p w14:paraId="57F1FDB3">
      <w:pPr>
        <w:ind w:firstLine="420"/>
        <w:rPr>
          <w:rFonts w:ascii="宋体" w:hAnsi="宋体" w:cs="宋体"/>
        </w:rPr>
      </w:pPr>
      <w:r>
        <w:rPr>
          <w:rFonts w:hint="eastAsia" w:ascii="宋体" w:hAnsi="宋体" w:cs="宋体"/>
        </w:rPr>
        <w:t>隋麦铁杖墓。坐落于朱安村凤形墙半山。</w:t>
      </w:r>
    </w:p>
    <w:p w14:paraId="08ED6565">
      <w:pPr>
        <w:ind w:firstLine="420"/>
        <w:rPr>
          <w:rFonts w:ascii="宋体" w:hAnsi="宋体" w:cs="宋体"/>
        </w:rPr>
      </w:pPr>
      <w:r>
        <w:rPr>
          <w:rFonts w:hint="eastAsia" w:ascii="宋体" w:hAnsi="宋体" w:cs="宋体"/>
        </w:rPr>
        <w:t>麦铁杖祠。隋大业八年（612年），建于百顺朱安塘村，占地400平方米。祠前两侧有华表、石狮，正厅有麦铁杖塑像一座，联曰：“铁明忠诚归一统，杖朝元老定三分”。</w:t>
      </w:r>
    </w:p>
    <w:p w14:paraId="66B3636F">
      <w:pPr>
        <w:pStyle w:val="4"/>
        <w:rPr>
          <w:rFonts w:ascii="宋体" w:hAnsi="宋体" w:cs="宋体"/>
        </w:rPr>
      </w:pPr>
      <w:r>
        <w:rPr>
          <w:rFonts w:hint="eastAsia" w:ascii="宋体" w:hAnsi="宋体" w:cs="宋体"/>
        </w:rPr>
        <w:t>［名人］</w:t>
      </w:r>
    </w:p>
    <w:p w14:paraId="7E412371">
      <w:pPr>
        <w:ind w:firstLine="420"/>
        <w:rPr>
          <w:rFonts w:ascii="宋体" w:hAnsi="宋体" w:cs="宋体"/>
        </w:rPr>
      </w:pPr>
      <w:r>
        <w:rPr>
          <w:rFonts w:hint="eastAsia" w:ascii="宋体" w:hAnsi="宋体" w:cs="宋体"/>
        </w:rPr>
        <w:t>麦铁杖（538-612），名寿生，字良韬，号铁杖。隋朝名将，有奇勋，累官至右屯卫大将军。隋大业八年（612年）战死辽东，时年74岁。隋炀帝赠光禄大夫、宿国公，谥武烈。</w:t>
      </w:r>
    </w:p>
    <w:p w14:paraId="3CB58E73">
      <w:pPr>
        <w:ind w:firstLine="420"/>
        <w:rPr>
          <w:rFonts w:ascii="宋体" w:hAnsi="宋体" w:cs="宋体"/>
        </w:rPr>
      </w:pPr>
    </w:p>
    <w:p w14:paraId="66532700">
      <w:pPr>
        <w:pStyle w:val="2"/>
        <w:rPr>
          <w:rFonts w:ascii="宋体" w:hAnsi="宋体" w:cs="宋体"/>
        </w:rPr>
      </w:pPr>
      <w:r>
        <w:rPr>
          <w:rFonts w:hint="eastAsia" w:ascii="宋体" w:hAnsi="宋体" w:cs="宋体"/>
        </w:rPr>
        <w:t>附录</w:t>
      </w:r>
    </w:p>
    <w:p w14:paraId="6A2879C8">
      <w:pPr>
        <w:pStyle w:val="3"/>
        <w:rPr>
          <w:rFonts w:ascii="宋体" w:hAnsi="宋体" w:cs="宋体"/>
        </w:rPr>
      </w:pPr>
      <w:r>
        <w:rPr>
          <w:rFonts w:hint="eastAsia" w:ascii="宋体" w:hAnsi="宋体" w:cs="宋体"/>
        </w:rPr>
        <w:t>一、旧志序选</w:t>
      </w:r>
    </w:p>
    <w:p w14:paraId="6BE4FB2A">
      <w:pPr>
        <w:pStyle w:val="4"/>
        <w:rPr>
          <w:rFonts w:ascii="宋体" w:hAnsi="宋体" w:cs="宋体"/>
        </w:rPr>
      </w:pPr>
      <w:r>
        <w:rPr>
          <w:rFonts w:hint="eastAsia" w:ascii="宋体" w:hAnsi="宋体" w:cs="宋体"/>
        </w:rPr>
        <w:t>宋嘉定庚辰志序</w:t>
      </w:r>
    </w:p>
    <w:p w14:paraId="6AF008ED">
      <w:pPr>
        <w:ind w:firstLine="0" w:firstLineChars="0"/>
        <w:jc w:val="right"/>
        <w:rPr>
          <w:rFonts w:ascii="宋体" w:hAnsi="宋体" w:cs="宋体"/>
          <w:b/>
          <w:bCs/>
        </w:rPr>
      </w:pPr>
      <w:r>
        <w:rPr>
          <w:rFonts w:hint="eastAsia" w:ascii="宋体" w:hAnsi="宋体" w:cs="宋体"/>
          <w:b/>
          <w:bCs/>
        </w:rPr>
        <w:t>知州事  孙崈</w:t>
      </w:r>
    </w:p>
    <w:p w14:paraId="4513461A">
      <w:pPr>
        <w:ind w:firstLine="420"/>
        <w:rPr>
          <w:rFonts w:ascii="宋体" w:hAnsi="宋体" w:cs="宋体"/>
        </w:rPr>
      </w:pPr>
      <w:r>
        <w:rPr>
          <w:rFonts w:hint="eastAsia" w:ascii="宋体" w:hAnsi="宋体" w:cs="宋体"/>
        </w:rPr>
        <w:t>南雄斗大州，得文献人物之英，章相典型之旧，州之名遂显。加以岭梅之清胜，池莲之芳腴，望安聚远之豁舒，瑞柏兰田之幽邃，名贤留题，宗工记叙，发越表禄，遂为岭南佳郡。比萃图志，欲刊以传远，束于郡计，力所弗逮，仅成《保昌志》八卷。然记载于刻，可得而复，独前后赋咏，或书扁榜，或题柱壁，馋之坚珉者，不多见也。虑久散漫，因循湮没，搜摭流传在人耳目者，得诗一百二十八篇，词一十首，刊附帙末。其余竣后之牧守以成余志云。</w:t>
      </w:r>
    </w:p>
    <w:p w14:paraId="36F8EDE4">
      <w:pPr>
        <w:pStyle w:val="4"/>
        <w:rPr>
          <w:rFonts w:ascii="宋体" w:hAnsi="宋体" w:cs="宋体"/>
        </w:rPr>
      </w:pPr>
      <w:r>
        <w:rPr>
          <w:rFonts w:hint="eastAsia" w:ascii="宋体" w:hAnsi="宋体" w:cs="宋体"/>
        </w:rPr>
        <w:t>明永乐甲辰志序</w:t>
      </w:r>
    </w:p>
    <w:p w14:paraId="540AE7CD">
      <w:pPr>
        <w:ind w:firstLine="0" w:firstLineChars="0"/>
        <w:jc w:val="right"/>
        <w:rPr>
          <w:rFonts w:ascii="宋体" w:hAnsi="宋体" w:cs="宋体"/>
          <w:b/>
          <w:bCs/>
        </w:rPr>
      </w:pPr>
      <w:r>
        <w:rPr>
          <w:rFonts w:hint="eastAsia" w:ascii="宋体" w:hAnsi="宋体" w:cs="宋体"/>
          <w:b/>
          <w:bCs/>
        </w:rPr>
        <w:t>知府  陈赐</w:t>
      </w:r>
    </w:p>
    <w:p w14:paraId="5229D209">
      <w:pPr>
        <w:ind w:firstLine="420"/>
        <w:rPr>
          <w:rFonts w:ascii="宋体" w:hAnsi="宋体" w:cs="宋体"/>
        </w:rPr>
      </w:pPr>
      <w:r>
        <w:rPr>
          <w:rFonts w:hint="eastAsia" w:ascii="宋体" w:hAnsi="宋体" w:cs="宋体"/>
        </w:rPr>
        <w:t>余尝读虞夏之书，封山奠川，以别州境，东渐于海，西被流沙，溯南暨声教讫于四海。华夷境界虽殊，而熙皞之风自若也。洪惟圣朝，稽古右文，乾坤一春，讴歌万里，舆图之广，风俗之淳，赫然上继唐虞三代，雍熙泰和之盛治也。乃永乐己亥春，特命儒臣纂修郡志，以嘉惠天下。书成汇进，盖亦有年矣。且雄之为郡，阜于江右，人物风土，颉颃中州，孕灵毓秀，不暇枚举。余忝科目，受职乌台，书考蒙恩，擢守兹土，素阅郡志，未及锓而成书。闲尝聚守御将军李公荣、谭公胜、叶公荣，洎文武僚属，捐俸绣梓，以广其传。一郡之书，分为四卷，名日《南雄郡志》。编辑而成书者，郡邑儒学典教彭最、李奎也；校正其乖舛者，浈江儒士彭彝也。既而梓工告成，篇什璀灿，咸征余文，弁于卷端。余闻郡之有志，其来尚矣。文以时异，治以道同。首之以建置沿革，则星野之次舍以明；继之以疆域城池，则历世之形势以定；次列山川厢镇之广袤，土产贡赋之所宜，与夫风俗气候之常，户口钱粮之数，学校之设，军卫之原，廨舍坛场之废兴，寺观桥梁之裁制，古今宦迹、仙释、诗文，纤悉靡遗，品式备具，于以激厉风俗，以洗千古之陋习，俾一郡之文献可征，垂万世无穷之胜迹也。虽然，风化之盛，系乎人才，人才之盛，关乎气运。矧兹名郡，限东广北陬，忠孝科名，联芳步武，士君子生于两间，涉猎历史，历览是编，裨益志趣，展明体适用之学，为致君泽民之道，若群材之出邓林，良金之生丽水，锵然鸣国家之盛，则此书之垂世立教，岂不绰然有余裕哉！校诸隋唐之麦铁杖、张文献公，宋之谭、许、彭、阳，丰功伟绩，必不让专美于前矣。</w:t>
      </w:r>
    </w:p>
    <w:p w14:paraId="608FB504">
      <w:pPr>
        <w:pStyle w:val="4"/>
        <w:rPr>
          <w:rFonts w:ascii="宋体" w:hAnsi="宋体" w:cs="宋体"/>
        </w:rPr>
      </w:pPr>
      <w:r>
        <w:rPr>
          <w:rFonts w:hint="eastAsia" w:ascii="宋体" w:hAnsi="宋体" w:cs="宋体"/>
        </w:rPr>
        <w:t>明正统丁卯志序</w:t>
      </w:r>
    </w:p>
    <w:p w14:paraId="0613FF71">
      <w:pPr>
        <w:ind w:firstLine="0" w:firstLineChars="0"/>
        <w:jc w:val="right"/>
        <w:rPr>
          <w:rFonts w:ascii="宋体" w:hAnsi="宋体" w:cs="宋体"/>
          <w:b/>
          <w:bCs/>
        </w:rPr>
      </w:pPr>
      <w:r>
        <w:rPr>
          <w:rFonts w:hint="eastAsia" w:ascii="宋体" w:hAnsi="宋体" w:cs="宋体"/>
          <w:b/>
          <w:bCs/>
        </w:rPr>
        <w:t>训导  朱晅</w:t>
      </w:r>
    </w:p>
    <w:p w14:paraId="77481AC8">
      <w:pPr>
        <w:ind w:firstLine="420"/>
        <w:rPr>
          <w:rFonts w:ascii="宋体" w:hAnsi="宋体" w:cs="宋体"/>
        </w:rPr>
      </w:pPr>
      <w:r>
        <w:rPr>
          <w:rFonts w:hint="eastAsia" w:ascii="宋体" w:hAnsi="宋体" w:cs="宋体"/>
        </w:rPr>
        <w:t>古者，列国皆有记事之书，如晋《乘》、楚《梼杌》、鲁《春秋》之类，无非寓褒贬意也。后世之郡有志，惟纪其疆域、风土、户口、赋税、学校、人才、词章以及鸟兽草木之名而已，其于褒贬之说，初未尝有。南雄旧有志，顾其所著亦颇详悉，然其间采择欠精，门类无统，兼以简帙散逸，览者惜之。正统壬戌，莆田郑侯述，用藩臬大臣荐，奉命来守是邦。甫至，首兴学校，次及社稷、坛场、廨舍、农桑、水利、桥梁、道路，靡不究心。不数年间，百废具举，而于郡志一书，尤拳拳焉。至是，则命郡庠生谭玄，参考旧编标目，分类而纂集之，复檄保昌邑博章先生孟孚董其事，而晅亦滥校正之列。其所纪载，则疆域以志远迩，风土以志淳漓，户口、赋税则志其丰耗盈肭，学校人才则志其盛衰否泰。他如名贤有祠，节义有扁，而忠孝武勇之庙宇堂室，与夫古今人物文词题咏，有关于雄者，亦皆备录无遗。其事则增新，其文则省旧，诚可便人之观览。则是编也，虽不敢窃褒贬之说，然一郡之政俗关焉，名教系焉，而贤才物产率由是而可稽焉，则亦非细故矣。始工于丙寅冬，越明年夏而书成，乃命晅序其端。晅谓志书郡之一大盛事也，前此任牧守者或视为细故，置而不问，又孰知是书为当务之急，如侯之用心者哉！昔子朱子守南康，始至问及志书，识者谓其知所当务。观侯先拳拳是书，可谓知务而同乎朱子之心也。晅之文不足以尽其详，姑举其事迹一二而笔于简端，以俟观民风者采焉。</w:t>
      </w:r>
    </w:p>
    <w:p w14:paraId="686A5349">
      <w:pPr>
        <w:pStyle w:val="4"/>
        <w:rPr>
          <w:rFonts w:ascii="宋体" w:hAnsi="宋体" w:cs="宋体"/>
        </w:rPr>
      </w:pPr>
      <w:r>
        <w:rPr>
          <w:rFonts w:hint="eastAsia" w:ascii="宋体" w:hAnsi="宋体" w:cs="宋体"/>
        </w:rPr>
        <w:t>明成化甲辰志序</w:t>
      </w:r>
    </w:p>
    <w:p w14:paraId="283D038F">
      <w:pPr>
        <w:ind w:firstLine="0" w:firstLineChars="0"/>
        <w:jc w:val="right"/>
        <w:rPr>
          <w:rFonts w:ascii="宋体" w:hAnsi="宋体" w:cs="宋体"/>
          <w:b/>
          <w:bCs/>
        </w:rPr>
      </w:pPr>
      <w:r>
        <w:rPr>
          <w:rFonts w:hint="eastAsia" w:ascii="宋体" w:hAnsi="宋体" w:cs="宋体"/>
          <w:b/>
          <w:bCs/>
        </w:rPr>
        <w:t>知府  江璞</w:t>
      </w:r>
    </w:p>
    <w:p w14:paraId="22827E0F">
      <w:pPr>
        <w:ind w:firstLine="420"/>
        <w:rPr>
          <w:rFonts w:ascii="宋体" w:hAnsi="宋体" w:cs="宋体"/>
        </w:rPr>
      </w:pPr>
      <w:r>
        <w:rPr>
          <w:rFonts w:hint="eastAsia" w:ascii="宋体" w:hAnsi="宋体" w:cs="宋体"/>
        </w:rPr>
        <w:t>凡郡国皆有志，志岂易为哉。世尝病为志者，率多考据欠详，浮泛少实，好恶不公，予夺失当。豪门官第，虽不可书者亦书之，闾阎旧族，虽当书者亦不及；甚而书无统纪，理或舛讹，冠履倒置，薰莸杂列。好高者纪常而不纪异，不知天地之理无往而不在；自溺者徇异而并弃其常，不知邪正之分截然而不可乱。此世之通病也，间有不冒是病者亦鲜矣。呜乎！此志之所以无足取信于天下后世也。予自成化乙未承乏来守兹郡，迄今首尾盖十阅岁矣。凡百废坠，亦颇修举，至于郡志，则未暇为之，盖亦不敢自冒是病者也。而往来士夫，索是书者咸曰缺典，责望甚重。乃岁甲辰三月，文江邓君本元至，自横浦游于凌江，郡长老复以郡志缺陋为请。于是礼致之，馆于大中书院，以郡志托焉。君日得与郡长老游，参互考订。居数日，君具凡例以请。商订之余，予既以他之通病告之，因谓君曰：“志之为书，关系甚重，田赋、物产、山川、道里，有《禹贡》之遗法；人物臧否，·常异并书，寓《春秋》之大义；上而国家之制度，下而风俗之美恶，具在焉，君其慎。”诸君曰：“诺。”越数月而书成，复质于予，且强予为之序。遂次第所职以冠诸首简，不识以为何如。若夫修志大旨，立言微意，则见诸凡例，散之各类，兹不复赘云。</w:t>
      </w:r>
    </w:p>
    <w:p w14:paraId="40C999D6">
      <w:pPr>
        <w:pStyle w:val="4"/>
        <w:rPr>
          <w:rFonts w:ascii="宋体" w:hAnsi="宋体" w:cs="宋体"/>
        </w:rPr>
      </w:pPr>
      <w:r>
        <w:rPr>
          <w:rFonts w:hint="eastAsia" w:ascii="宋体" w:hAnsi="宋体" w:cs="宋体"/>
        </w:rPr>
        <w:t>明正德丙子志序</w:t>
      </w:r>
    </w:p>
    <w:p w14:paraId="6635E3FC">
      <w:pPr>
        <w:ind w:firstLine="422"/>
        <w:jc w:val="right"/>
        <w:rPr>
          <w:rFonts w:ascii="宋体" w:hAnsi="宋体" w:cs="宋体"/>
          <w:b/>
          <w:bCs/>
        </w:rPr>
      </w:pPr>
      <w:r>
        <w:rPr>
          <w:rFonts w:hint="eastAsia" w:ascii="宋体" w:hAnsi="宋体" w:cs="宋体"/>
          <w:b/>
          <w:bCs/>
        </w:rPr>
        <w:t>知府  李吉</w:t>
      </w:r>
    </w:p>
    <w:p w14:paraId="3C62ADBF">
      <w:pPr>
        <w:ind w:firstLine="420"/>
        <w:rPr>
          <w:rFonts w:ascii="宋体" w:hAnsi="宋体" w:cs="宋体"/>
        </w:rPr>
      </w:pPr>
      <w:r>
        <w:rPr>
          <w:rFonts w:hint="eastAsia" w:ascii="宋体" w:hAnsi="宋体" w:cs="宋体"/>
        </w:rPr>
        <w:t>《南雄志》者，志南雄天地古今之所有也。天地大矣，势也；古今异矣，时也。志独一南雄载所有者，盖分有南雄之所有也。维何南雄之所覆载者，天地也；南雄之所往来者，古今也。理与气运，时与势通，虽殊方异封，凡事物机数之所不能无者，皆所有也。如列方域也，类物宜也，纪时事也，品人才也，别善恶也，叙盛衰也，著生成也，判久远也，用收一方天地古今之所有而志之，故曰邦典也。此而不备且详焉，则南雄之所有者，间为天地古今之所遗弃，无以通天下及后世，则天地之体用，古今之纲维，万物之散殊，无所收亦无所征，抑亦无所可否于天下后世也。胡为乎为圣明朝之一邦，为一统志之一卷，为中国夷狄之通考，为亿万世无穷之盛制哉。此南雄所有所以志也，所以修也，所以博而备、精而详者也。稽之《禹贡》，晋《乘》、楚《梼杌》、鲁《春秋》，盖将无阙略之遗焉。工其采择、深其考订、精其是非、严其去取而为之者也。其始也，旧志不一类，其详所有者不能尽有其所有，而大小始终流衍隆替，抑何</w:t>
      </w:r>
      <w:r>
        <w:rPr>
          <w:rFonts w:hint="eastAsia" w:ascii="宋体" w:hAnsi="宋体" w:cs="宋体"/>
        </w:rPr>
        <w:drawing>
          <wp:inline distT="0" distB="0" distL="0" distR="0">
            <wp:extent cx="184785" cy="184785"/>
            <wp:effectExtent l="0" t="0" r="5715" b="5715"/>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a:xfrm>
                      <a:off x="0" y="0"/>
                      <a:ext cx="184785" cy="184785"/>
                    </a:xfrm>
                    <a:prstGeom prst="rect">
                      <a:avLst/>
                    </a:prstGeom>
                    <a:noFill/>
                    <a:ln>
                      <a:noFill/>
                    </a:ln>
                  </pic:spPr>
                </pic:pic>
              </a:graphicData>
            </a:graphic>
          </wp:inline>
        </w:drawing>
      </w:r>
      <w:r>
        <w:rPr>
          <w:rFonts w:hint="eastAsia" w:ascii="宋体" w:hAnsi="宋体" w:cs="宋体"/>
        </w:rPr>
        <w:t>然而晦，烨然而誉，纷然而驳，又茫然乎无畔岸会而归焉。舛错诬讹，得失半之，谓志为大全，未也。为一统志，采附之抑难矣。正德癸酉秋吉，承乏守此，阅旧志，遂喟然曰：志故典也，典而弗实、弗文，弗正，弗大、弗公、弗中，弗备、弗详焉，弗若南雄弗故矣，弗可也。弗任其责，弗垂其时，弗要其成，则南雄之所有亦如弗有。宁弗有负于此邦哉。遂于政暇中，取诸旧志，历经心目，合万为，以纲统纪，而一清之。适奉大方伯吴公檄至，乃命庠弟子员肖元芳旁博采其遗废，后访国子监生李藻藏草鉴其是非，礼致何郡博世杰文翰以专纂修之业，币将李解元景初识断以成校正之功。司考订者，致政王令文钦之学艺也；承辑饬者，乡贡进士郭繁之才华也。既而集众见取众长而总理之。凡天地古今之所有，察其理气，审其时势，揆其事物机数，如方域列之，物宜类之，时事纪之，人才品之，善恶别之，盛衰叙之，生成著之，久近判之，以大收其所有。天地体用，古今纲维，万物显微，实而有本焉，文而有理焉，正而有定焉，大而有容焉，中而有主焉，公而有义焉，备而有尽焉，详而有精焉，大小始终之妙，咸载而不失其全焉，提调之任又弗可得而辞之者矣。未几，萃其所有而一之。偶郡同知邓公玺、郡判俞公滂、郡推鲍公玘至，参互考订，总其纲，列其目，极其大成而全焉。若干篇进诸二三庠弟子员欧阳忠，李嗣魁、郭允为、罗裔、冯晓、何龙、陈山、郭廷宠、周一鹗、蔡元卿、曹邦爵、王良相辈，精其楷书以锓诸梓，寿诸楮帙而为书曰《南雄志》。此其成也，此其时也，此其邦典也。天高地下，古往今来，事物繁浩，南雄所有者，于此乎至矣、尽矣。于乎千里封疆，囊括无余，一览会通，鉴空可得，是故大大全也。圣朝收之一统志，通之中国，达之外夷，垂之亿万世而可考。天地古今万物，所载者焕然如今，则天下后世究其详备。佥日：善哉。南雄其名邦矣，夫志其盛典矣，夫名邦盛典，其大明之定制矣，夫岂小补云乎哉。</w:t>
      </w:r>
    </w:p>
    <w:p w14:paraId="7C2497F5">
      <w:pPr>
        <w:pStyle w:val="4"/>
        <w:rPr>
          <w:rFonts w:ascii="宋体" w:hAnsi="宋体" w:cs="宋体"/>
        </w:rPr>
      </w:pPr>
      <w:r>
        <w:rPr>
          <w:rFonts w:hint="eastAsia" w:ascii="宋体" w:hAnsi="宋体" w:cs="宋体"/>
        </w:rPr>
        <w:t>明嘉靖壬寅志序</w:t>
      </w:r>
    </w:p>
    <w:p w14:paraId="1AF163A9">
      <w:pPr>
        <w:ind w:firstLine="0" w:firstLineChars="0"/>
        <w:jc w:val="right"/>
        <w:rPr>
          <w:rFonts w:ascii="宋体" w:hAnsi="宋体" w:cs="宋体"/>
          <w:b/>
          <w:bCs/>
        </w:rPr>
      </w:pPr>
      <w:r>
        <w:rPr>
          <w:rFonts w:hint="eastAsia" w:ascii="宋体" w:hAnsi="宋体" w:cs="宋体"/>
          <w:b/>
          <w:bCs/>
        </w:rPr>
        <w:t>吏部右侍郎  欧阳铎</w:t>
      </w:r>
    </w:p>
    <w:p w14:paraId="163486B5">
      <w:pPr>
        <w:ind w:firstLine="420"/>
        <w:rPr>
          <w:rFonts w:ascii="宋体" w:hAnsi="宋体" w:cs="宋体"/>
        </w:rPr>
      </w:pPr>
      <w:r>
        <w:rPr>
          <w:rFonts w:hint="eastAsia" w:ascii="宋体" w:hAnsi="宋体" w:cs="宋体"/>
        </w:rPr>
        <w:t>嘉靖癸未，余领督学广东之命。仲冬之月，遵庾岭而南，道旁松数千章，甚奇古，相传张文献公手植，徘徊久之。抵雄，凌江已月上矣，舟遂夜发。明年孟夏，乃复至雄视学，有间上平政楼，望巾山挹金马，招威风于东岗，占瑞龙之晴雨。壮哉，五岭之首，一大奥区也！尽保昌、始兴地，虽不能百里，然而，襟百粤，带群蛮，内通江汉，外控番夷，屹然南国之纪。考诸前志，秦汉略焉。唐自开元而后，梅关刊木，人文由昭；至于宋元深矣，而其事亦多阙，亦有不可以训者。会议修通志，檄学宫弟子，博取草上之，未竟，余以迁去。后二十年，保昌进士谭子大初考索载籍，刊误剔芜，增益其未备，发凡举例，爰成新志。太守胡君永成，重加校定，录其副，遣朱生端明、蔡生邦俊即会云山庄示予。其言沿革之故，利害之端详矣。大书以叙事，分注以载言，盖用《史记》法，以志亦史也。诗文有通录，有节文，有删句删字，此以志而权笔削贵质也。诸有久废而不宜废者，不以入，故迹后有复焉者可也。山川必高大灵异者，望也；祠宇必有大功德者，思也。望可表也，可祀也，思则不淫矣。名宦以爵叙者，制也；乡贤以世叙者，犹尚齿也；食货详于虚赋者，民最病也；风俗媺恶并书者，民所习也。兹其望乎上者尤厚乎！终之以方外，而寺观附焉，狄异教立民坊也。盖胡君兼治春秋学，与谭子同道，故多用断例，然而不苛、不固、不遗，不杂，斯其善志也已。虽然，亦欲记诸行事，则宁有大于学校、食货者耶。而雄之积弊亦是为甚。夫养士如种木然，株而植之，株而成之乎；民输当如负物，无过其力，过其力则仆矣。余往取士于民间至数十人，窃取博种之义。由今观之何如也？诸君子诚笃教诲，亦以其类相长，有足相承耳。虚赋不可以蠲，则必取诸民。胡君以余田补见户之虚，以虚田虚丁折力役之征，如彼负者少损矣，其有弗任乎。夫学校兴，则选举、贡辟、荫叙、风俗由此其阶也；虚赋平，则户口、料役、物产、秩祀由此其资也。事盖有举其一而诸善从，是故君子惟大之为务。安成前后守雄者三人，若刘公嘉秀特著在传，胡君刚介廉静似之，而谭子妙年青才，厉志秉礼，其将以修曲江之业乎。宦思同绩，乡思同德，斯志载续，当有执简以从者。</w:t>
      </w:r>
    </w:p>
    <w:p w14:paraId="1FBF49E4">
      <w:pPr>
        <w:pStyle w:val="4"/>
        <w:rPr>
          <w:rFonts w:ascii="宋体" w:hAnsi="宋体" w:cs="宋体"/>
        </w:rPr>
      </w:pPr>
      <w:r>
        <w:rPr>
          <w:rFonts w:hint="eastAsia" w:ascii="宋体" w:hAnsi="宋体" w:cs="宋体"/>
        </w:rPr>
        <w:t>明嘉靖壬寅志又序</w:t>
      </w:r>
    </w:p>
    <w:p w14:paraId="030D2AE8">
      <w:pPr>
        <w:ind w:firstLine="0" w:firstLineChars="0"/>
        <w:jc w:val="right"/>
        <w:rPr>
          <w:rFonts w:ascii="宋体" w:hAnsi="宋体" w:cs="宋体"/>
          <w:b/>
          <w:bCs/>
        </w:rPr>
      </w:pPr>
      <w:r>
        <w:rPr>
          <w:rFonts w:hint="eastAsia" w:ascii="宋体" w:hAnsi="宋体" w:cs="宋体"/>
          <w:b/>
          <w:bCs/>
        </w:rPr>
        <w:t>提学副使  林云同</w:t>
      </w:r>
    </w:p>
    <w:p w14:paraId="14744C40">
      <w:pPr>
        <w:ind w:firstLine="420"/>
        <w:rPr>
          <w:rFonts w:ascii="宋体" w:hAnsi="宋体" w:cs="宋体"/>
        </w:rPr>
      </w:pPr>
      <w:r>
        <w:rPr>
          <w:rFonts w:hint="eastAsia" w:ascii="宋体" w:hAnsi="宋体" w:cs="宋体"/>
        </w:rPr>
        <w:t>嘉靖壬寅冬十月，南雄志成，上余请叙，得览观焉。有图有纪，曰：何幅员之小也，其广下郡与然，而间于两省之间矣。毋曰民寡，惟慎厥事，我前闻之也。有职官，官列而贤不肖，古今晰矣。思齐内省，孰无是心。高辅，何人也，然固卑微，以获戾去，犹亟书其绩，为叔屈也。公论在人心，盖兹征之，为善者何惧焉。有选举、学校，则科第间一见耳。夫自元以往，吾无论矣，惟我朝以文章取士，士兢兢濯磨以进，而贤者、能者，讵有出此之外者乎。是何其寥寥然？孟轲云，若夫豪杰之士，虽无文王犹兴，况遇文王，此中林兔置所为，皆千城腹心也。今圣明驭极，缉熙敬止，纵不为豪杰，岂可自让于中林兔置之夫哉。然鼓舞振作，谁仕其职，庸弗惕欤！提封至风俗篇，言士耻奔兢，贾惮远商，工无巧技，喜曰：夫尤先王之遗也。尚质务本，则人罕淫心；然丧以鼓吹，礼无亲迎，不亦陋乎？反正之思容但已哉！营缮之政，有国所不废也，然本以利民，非以虐民，君子慎之。开路六议，其仁人之言乎。邑无全里，里无全甲，甲无全户，吾于食货志伤焉。调摄攻补，如医用药，则良司牧矣。秩祀典也，兵防卫焉，敬以临之，故歆练以教之，故不弃其谁则知之。迨读至诸传，名贤、忠烈、贞孝，简核详慎，可兴可劝，史氏之规也。余则潸然涕出矣。昔我先君司教兹邦，忠信仁义交孚上下，今尤烈烈耿光乎。是识诸人心者也，云同何忍言哉。方外殊品也，可以书，可以无书，备之云尔。夫有天下之动，而文籍生焉，曰经，曰史。经以明道，史以著事，要之匪二也。故读经不读史曰疎，读史不读经曰舛。今六经尚矣，诸史备矣。志，史流也，古列国皆有史，今郡县即古列国，是以各得志焉。君子曰：夫志昭往贻来也，有三才之道焉。故仰稽天文，俯察地理，中周人事，志则具矣。为政者亟修之，然怠者不肯修，愚者不能修，弱者不暇修。余兹歉耳，见斯志，而知胡守之善政也。胡守官未数月，遂锐意纂集，尤不自专，特请督府蔡公、巡院姚公洎二司与余，报可，而后与郡人名进士谭子成之。夫治贵先务志，成而三才具，省验封守，因革损益行焉，其于政也何有，故曰见所志而知胡守之善政也。胡守名永成，谭进士名大初，而保昌尹林烨、学谕王荩臣，咸与有力然，咸贤司儒也，法得俱记云。</w:t>
      </w:r>
    </w:p>
    <w:p w14:paraId="4EE9D3AB">
      <w:pPr>
        <w:pStyle w:val="4"/>
        <w:rPr>
          <w:rFonts w:ascii="宋体" w:hAnsi="宋体" w:cs="宋体"/>
        </w:rPr>
      </w:pPr>
      <w:r>
        <w:rPr>
          <w:rFonts w:hint="eastAsia" w:ascii="宋体" w:hAnsi="宋体" w:cs="宋体"/>
        </w:rPr>
        <w:t>明嘉靖壬寅志又后序</w:t>
      </w:r>
    </w:p>
    <w:p w14:paraId="3E53F2FA">
      <w:pPr>
        <w:ind w:firstLine="0" w:firstLineChars="0"/>
        <w:jc w:val="right"/>
        <w:rPr>
          <w:rFonts w:ascii="宋体" w:hAnsi="宋体" w:cs="宋体"/>
          <w:b/>
        </w:rPr>
      </w:pPr>
      <w:r>
        <w:rPr>
          <w:rFonts w:hint="eastAsia" w:ascii="宋体" w:hAnsi="宋体" w:cs="宋体"/>
          <w:b/>
        </w:rPr>
        <w:t>户部尚书  谭大初</w:t>
      </w:r>
    </w:p>
    <w:p w14:paraId="48603C04">
      <w:pPr>
        <w:ind w:firstLine="420"/>
        <w:rPr>
          <w:rFonts w:ascii="宋体" w:hAnsi="宋体" w:cs="宋体"/>
        </w:rPr>
      </w:pPr>
      <w:r>
        <w:rPr>
          <w:rFonts w:hint="eastAsia" w:ascii="宋体" w:hAnsi="宋体" w:cs="宋体"/>
        </w:rPr>
        <w:t>雄之为州，自伪汉乾和始；州之为南，自宋开宝始。郡故有志，历宋、元而正德，凡六修。嘉靖壬寅冬，安成嵿泉胡侯下车之明年也，政平讼理，民日以苏，考阅图志，慨然怀古，惧文献不足传远也，乃上其事于抚、按、藩臬诸公，既咸报可，则率僚属，具书币，过愚而言曰：古者列国皆有史官，掌记时事。今之郡县，古之列国也。杞宋不足，夏商奈何？况缺而未修，修而未备者，馀三十年以其时可矣，举要删繁，敢厪执事。适遇内艰服除，既不获辞，爰出旧稿，偕庠士周子仕魁、郭子大章、裴子方盛、谭子曾，重加校勘。冗者裁之，鄙者黜之，略者补之，讹者正之，疑者厥之，为图一，纪一，表二，志六，传八，厘为上下二卷。胡侯受而斟酌焉，遂梓以传。夫图以诏地事，古之制也，作郡图。郡之大事，鉴戒昭然，宜特书，作郡纪。职官，选举，郡之望也，作二表。凡志郡邑者，民所止也，故首提封；位署建而后制度彰，故次营缮；衣食足，而后知礼节，故次食货；富必有教，故次秩祀；庠序者，礼所从出，故次学校；有文必有武，故次兵防。凡传名宦、乡贤，崇德也；死事，褒忠也；将略，录功也；流寓，思贤也；孝义、贞烈，崇正也；正崇则邪辟矣，故以方外终焉。所憾才识疏浅，搜辑未详，不足以副贤侯昭往贻来之志。姑叙编摩岁月，以俟后之君子，窃附裨官野史之义云。</w:t>
      </w:r>
    </w:p>
    <w:p w14:paraId="741B658B">
      <w:pPr>
        <w:pStyle w:val="4"/>
        <w:rPr>
          <w:rFonts w:ascii="宋体" w:hAnsi="宋体" w:cs="宋体"/>
        </w:rPr>
      </w:pPr>
      <w:r>
        <w:rPr>
          <w:rFonts w:hint="eastAsia" w:ascii="宋体" w:hAnsi="宋体" w:cs="宋体"/>
        </w:rPr>
        <w:t>明万历乙酉志序</w:t>
      </w:r>
    </w:p>
    <w:p w14:paraId="1B55967A">
      <w:pPr>
        <w:ind w:firstLine="0" w:firstLineChars="0"/>
        <w:jc w:val="right"/>
        <w:rPr>
          <w:rFonts w:ascii="宋体" w:hAnsi="宋体" w:cs="宋体"/>
          <w:b/>
          <w:bCs/>
        </w:rPr>
      </w:pPr>
      <w:r>
        <w:rPr>
          <w:rFonts w:hint="eastAsia" w:ascii="宋体" w:hAnsi="宋体" w:cs="宋体"/>
          <w:b/>
          <w:bCs/>
        </w:rPr>
        <w:t>知府  周保</w:t>
      </w:r>
    </w:p>
    <w:p w14:paraId="2094F5B3">
      <w:pPr>
        <w:ind w:firstLine="420"/>
        <w:rPr>
          <w:rFonts w:ascii="宋体" w:hAnsi="宋体" w:cs="宋体"/>
        </w:rPr>
      </w:pPr>
      <w:r>
        <w:rPr>
          <w:rFonts w:hint="eastAsia" w:ascii="宋体" w:hAnsi="宋体" w:cs="宋体"/>
        </w:rPr>
        <w:t>古者，自王畿至侯国，莫不有史。掌记时事，如星曜分野，保章氏辨之；山川形胜，《禹贡》书之；则壤弼服，职方氏掌之。又有小史、外史，土训、诵训之设。凡为语俗图志之掌，备载《周官》，可考据也。我朝大一统之盛，际郅隆之运，王畿而外，建置郡邑，以分治理。夫今之郡，古之侯国也；今之志，古之史也。爰稽古晋之《乘》，鲁之《春秋》，与周志、郑志之类，凡皆为记事史也。所以掌故实职，登载备考，阅者不昭昭简牒乎！南雄界五岭外，百粤奥区，自汉迄元，缙绅学士，操觚弋艺林者，独无志籍备典故哉？第世逖言湮，楮蠢文残，无足稽征。明兴，历朝循袭，以成一郡之志者，虽数经纂组，率堇堇桷备。嘉靖壬寅，尚书次川谭公，以良史之才，握删润之柄，穩括往迹，综核时事，尝有所指摘，而错节衍语，体裁辞法，勒成一家言。西京而下，作者靡及，其左马二氏之流亚乎。郡事藉是可考镜矣。但自绝笔距今四十余祀，其星野山川疆域之宜，虽罔变易，而财赋之盈缩，土俗之因革，循良之叠莅，贤俊之洊登，坊署之更置，军旅之变通，率未录载。况据《通志》，尤有一二抵牾阙略，又当苴补而厘正也。余政暇，慨旧板遭毁，乃商诸同寅，续修锓梓，檄闻当途，咸示曰可。于是命训导容维翰、陈徽柔，庠士温汝学、裴庶、陶楷、谭衡、裴庚、叶栋，搜罗往牒，反复校雠。星野昉乎甘石二家，山川疆域依之《禹贡》，次田赋而尺籍明，次祠祀而秩典纪，次官师里氏而治忽参稽，次选举科贡而明制不紊，次学校以揆文，次兵防以奋武，次名宦思遗泽也，次乡贤树表式也，次忠节贞烈以为激世之大端，次诰封荫叙以扬国典之大义。他如将略有书，方外有书，怪异正祥有书。凡有关郡治可备省览者，皆发栉缗贯，靡或遗也。月馀辑成，乡先生欲余一言序之。余以左氏传记，</w:t>
      </w:r>
      <w:r>
        <w:rPr>
          <w:rFonts w:hint="eastAsia" w:ascii="宋体" w:hAnsi="宋体" w:cs="宋体"/>
        </w:rPr>
        <w:drawing>
          <wp:inline distT="0" distB="0" distL="0" distR="0">
            <wp:extent cx="184785" cy="194945"/>
            <wp:effectExtent l="0" t="0" r="5715" b="1460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a:xfrm>
                      <a:off x="0" y="0"/>
                      <a:ext cx="184785" cy="194945"/>
                    </a:xfrm>
                    <a:prstGeom prst="rect">
                      <a:avLst/>
                    </a:prstGeom>
                    <a:noFill/>
                    <a:ln>
                      <a:noFill/>
                    </a:ln>
                  </pic:spPr>
                </pic:pic>
              </a:graphicData>
            </a:graphic>
          </wp:inline>
        </w:drawing>
      </w:r>
      <w:r>
        <w:rPr>
          <w:rFonts w:hint="eastAsia" w:ascii="宋体" w:hAnsi="宋体" w:cs="宋体"/>
        </w:rPr>
        <w:t>鞬麟经，太史公抽石室次《史记》，则据《国语》，采《世本》，述《楚汉春秋》，接其后事。余陋识寡闻，敢曰南史董狐若简笔乎，大都因谭公之旧文，续捃采之新事，袭前章总大校，而以愚管增演成帙，俾阖郡事，一发简了然若指掌，林然若贮品药于箧肆，以需异日仓扁按而求耳。彼</w:t>
      </w:r>
      <w:r>
        <w:rPr>
          <w:rFonts w:hint="eastAsia" w:ascii="宋体" w:hAnsi="宋体" w:cs="宋体"/>
        </w:rPr>
        <w:drawing>
          <wp:inline distT="0" distB="0" distL="114300" distR="114300">
            <wp:extent cx="183515" cy="183515"/>
            <wp:effectExtent l="0" t="0" r="6985" b="6985"/>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209" cstate="print"/>
                    <a:srcRect/>
                    <a:stretch>
                      <a:fillRect/>
                    </a:stretch>
                  </pic:blipFill>
                  <pic:spPr>
                    <a:xfrm>
                      <a:off x="0" y="0"/>
                      <a:ext cx="183515" cy="183515"/>
                    </a:xfrm>
                    <a:prstGeom prst="rect">
                      <a:avLst/>
                    </a:prstGeom>
                    <a:noFill/>
                    <a:ln>
                      <a:noFill/>
                    </a:ln>
                  </pic:spPr>
                </pic:pic>
              </a:graphicData>
            </a:graphic>
          </wp:inline>
        </w:drawing>
      </w:r>
      <w:r>
        <w:rPr>
          <w:rFonts w:hint="eastAsia" w:ascii="宋体" w:hAnsi="宋体" w:cs="宋体"/>
        </w:rPr>
        <w:t>星之继朝阳，飞尘之集华岳，果有裨否耶？无亦据事核书，存一印证，以俟后之君子云。</w:t>
      </w:r>
    </w:p>
    <w:p w14:paraId="746CBC54">
      <w:pPr>
        <w:pStyle w:val="4"/>
        <w:rPr>
          <w:rFonts w:ascii="宋体" w:hAnsi="宋体" w:cs="宋体"/>
        </w:rPr>
      </w:pPr>
      <w:r>
        <w:rPr>
          <w:rFonts w:hint="eastAsia" w:ascii="宋体" w:hAnsi="宋体" w:cs="宋体"/>
        </w:rPr>
        <w:t>明万历乙酉志序</w:t>
      </w:r>
    </w:p>
    <w:p w14:paraId="76B1588B">
      <w:pPr>
        <w:ind w:firstLine="0" w:firstLineChars="0"/>
        <w:jc w:val="right"/>
        <w:rPr>
          <w:rFonts w:ascii="宋体" w:hAnsi="宋体" w:cs="宋体"/>
          <w:b/>
          <w:bCs/>
        </w:rPr>
      </w:pPr>
      <w:r>
        <w:rPr>
          <w:rFonts w:hint="eastAsia" w:ascii="宋体" w:hAnsi="宋体" w:cs="宋体"/>
          <w:b/>
          <w:bCs/>
        </w:rPr>
        <w:t>提学佥事  陈性学</w:t>
      </w:r>
    </w:p>
    <w:p w14:paraId="70DB2A35">
      <w:pPr>
        <w:ind w:firstLine="420"/>
        <w:rPr>
          <w:rFonts w:ascii="宋体" w:hAnsi="宋体" w:cs="宋体"/>
        </w:rPr>
      </w:pPr>
      <w:r>
        <w:rPr>
          <w:rFonts w:hint="eastAsia" w:ascii="宋体" w:hAnsi="宋体" w:cs="宋体"/>
        </w:rPr>
        <w:t>古九州之志载在坟典，至周以诵训职方氏掌之，所由来旧矣。雄故扬州南境也，其以雄名郡者何？巾峰、青嶂葱萃屹立，凌昌西注，浈连南汇，控番夷而界江楚，为岭外第一区。而襟带，而岩险，而物华，而人文，褒然烨然，环百馀里市城，笳柝相闻也。按图索纪，自汉平粤之后，华风已开，奚待唐开元为通道始，宋宣和为创郡先乎？昔之方志，永乐间尝诏督修之，漫不可考。余先人尝为是郡佐，遗有邓文江旧本，居常繙省，谓其地庶几颉颃中州也。岁乙酉春，余奉命来董粤臬，度梅关而南，目击山川之胜，考迹而问志，司理施君方视篆，授简而读之，盖郡人谭次川之续编也，岁在肃皇帝壬寅，距今几五十年，所文多残阙，且版籍久而</w:t>
      </w:r>
      <w:r>
        <w:rPr>
          <w:rFonts w:hint="eastAsia" w:ascii="宋体" w:hAnsi="宋体" w:cs="宋体"/>
        </w:rPr>
        <w:drawing>
          <wp:inline distT="0" distB="0" distL="0" distR="0">
            <wp:extent cx="210820" cy="215900"/>
            <wp:effectExtent l="0" t="0" r="17780" b="1270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a:xfrm>
                      <a:off x="0" y="0"/>
                      <a:ext cx="210820" cy="215900"/>
                    </a:xfrm>
                    <a:prstGeom prst="rect">
                      <a:avLst/>
                    </a:prstGeom>
                    <a:noFill/>
                    <a:ln>
                      <a:noFill/>
                    </a:ln>
                  </pic:spPr>
                </pic:pic>
              </a:graphicData>
            </a:graphic>
          </wp:inline>
        </w:drawing>
      </w:r>
      <w:r>
        <w:rPr>
          <w:rFonts w:hint="eastAsia" w:ascii="宋体" w:hAnsi="宋体" w:cs="宋体"/>
        </w:rPr>
        <w:t>圯，已宜重有纪述，以待太史氏。亡何，太守周君，下车独事振厉，于典故尤究心焉。因慨然曰：先正有入界而索经者，况郡志一方之史也，简略若兹，欲执以镜吏治何由哉？遂谋于施君暨诸荐绅文学博士弟子，殚厥元览，悉陈睹记，分曹开局而校雠焉。陋者饬，芜者芟，诞者绌，逸者补，总成八卷，标分胪列，视昔彬彬具焉。余获寓目其成，幸已，何敢涉笔其间乎？尝闻康太史德涵氏志武功，得载笔体，乃崔司成于钟氏志彰德，悉仿之。二氏蜚英关、洛，才均班、马，迹其所纪，大都绪理会要，以垂劝鉴，不龊龊兢斧藻谭，阙后临江诸郡乘宗焉。余观是志也，初虑地理湮芜，作郡图；有大鉴戒宜特书，作郡纪；贤人关治休替，作职官、选举表。为志之例，则提封、营缮、食货、秩祀、学校，而兵防继之。为传之例，则名宦、乡贤、忠节、将略、流寓、孝义、贞烈，而方外附之。至于断珉残碣、遗文坠什，拾于奥</w:t>
      </w:r>
      <w:r>
        <w:rPr>
          <w:rFonts w:hint="eastAsia" w:ascii="宋体" w:hAnsi="宋体" w:cs="宋体"/>
        </w:rPr>
        <w:drawing>
          <wp:inline distT="0" distB="0" distL="0" distR="0">
            <wp:extent cx="179705" cy="241300"/>
            <wp:effectExtent l="0" t="0" r="10795" b="635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a:xfrm>
                      <a:off x="0" y="0"/>
                      <a:ext cx="179705" cy="241300"/>
                    </a:xfrm>
                    <a:prstGeom prst="rect">
                      <a:avLst/>
                    </a:prstGeom>
                    <a:noFill/>
                    <a:ln>
                      <a:noFill/>
                    </a:ln>
                  </pic:spPr>
                </pic:pic>
              </a:graphicData>
            </a:graphic>
          </wp:inline>
        </w:drawing>
      </w:r>
      <w:r>
        <w:rPr>
          <w:rFonts w:hint="eastAsia" w:ascii="宋体" w:hAnsi="宋体" w:cs="宋体"/>
        </w:rPr>
        <w:t>荒甃者，咸备识焉。详而核，简而工，是是而非非，疑疑而信信，宛乎二氏家法也。有如今日修成庙故事，籍之天京，宜将为内史助，讵独以空文传达，如《武功》、《彰德》已哉。虽然，以金鉴者识妍媸，以古鉴者明法戒，即是志匹夫匹妇，以一节著于乡皆得书，或高显通贵而泯沦无闻愧之矣。雄之先硕、彦绳、武率，累累有人，至如隋之麦铁杖，唐之张文献，宋之谭、许，彭、阳诸公，丰勋茂绩，迄今烂然史册，志之更详，足资尚友览者，其孰无疆为善之心也。古所谓稗官野史，意在斯乎！是编也，太守周君保实总裁之，参订则郡佐郑君良佐、施君可大、邑令汪君一右，校阅则学博张子巽、容子维翰、陈子徽柔。若庠士温汝学、裴庶、陶楷，谭衡、裴庚、叶栋，盖先后操管佐成者也，并书之。</w:t>
      </w:r>
    </w:p>
    <w:p w14:paraId="12B305AA">
      <w:pPr>
        <w:pStyle w:val="4"/>
        <w:rPr>
          <w:rFonts w:ascii="宋体" w:hAnsi="宋体" w:cs="宋体"/>
        </w:rPr>
      </w:pPr>
      <w:r>
        <w:rPr>
          <w:rFonts w:hint="eastAsia" w:ascii="宋体" w:hAnsi="宋体" w:cs="宋体"/>
        </w:rPr>
        <w:t>明天启丙寅志序</w:t>
      </w:r>
    </w:p>
    <w:p w14:paraId="5F71FEBE">
      <w:pPr>
        <w:ind w:firstLine="422"/>
        <w:jc w:val="right"/>
        <w:rPr>
          <w:rFonts w:ascii="宋体" w:hAnsi="宋体" w:cs="宋体"/>
          <w:b/>
          <w:bCs/>
        </w:rPr>
      </w:pPr>
      <w:r>
        <w:rPr>
          <w:rFonts w:hint="eastAsia" w:ascii="宋体" w:hAnsi="宋体" w:cs="宋体"/>
          <w:b/>
          <w:bCs/>
        </w:rPr>
        <w:t>知府  江之浃</w:t>
      </w:r>
    </w:p>
    <w:p w14:paraId="53E3B6E5">
      <w:pPr>
        <w:ind w:firstLine="420"/>
        <w:rPr>
          <w:rFonts w:ascii="宋体" w:hAnsi="宋体" w:cs="宋体"/>
        </w:rPr>
      </w:pPr>
      <w:r>
        <w:rPr>
          <w:rFonts w:hint="eastAsia" w:ascii="宋体" w:hAnsi="宋体" w:cs="宋体"/>
        </w:rPr>
        <w:t>南雄志，志雄风也。风之发也蓬蓬而起，徐披拂于林莽之间，众窍和鸣，各极于喁之致诚，气有所感，类有所应也。故倡于上而曰风化，而成于下曰土风，又曰民风。其中德教之渐讫，功烈之薰蒸，与夫节义忠良之鼓鬯，而磅礴精诚所至，自结运会，宁独气机升降，谣俗乃有污隆哉？雄之山川、风物、兵赋、城池，暨圩、庙、亭、台诸胜迹，前志亦綦备矣。间有因革，要不过于旧贯，裒益从事，非有陵谷变迁，沧桑易位者也。惟是宦达、名贤、贞良、节义，雄虽蕞尔，亦自代不乏人。乃万历十三年迄今日，幽芳不录，姓氏无传，将向风者，何以为景行行止地哉！不佞承乏兹土，雅欲补偏救弊，励俗维风，祈接武明兴以来，陈、郑，周、黄诸君子，奈以冲途奔播，半度日于牛马走中，故夙所怀来，十未酬其一二。今岁首稍暇，始进两庠笔墨之精良者，廪生陈祖虞、陈其礼、陈以课、谭沂，钟宇湛、何光祚，日取雄志详而辑之，逸者补，缺者修，阅月之中校雠甫毕，而阳侯浪作，且释舟楫而问菊松矣。夫李广结发从戎，每以不一当匈奴为恨；迨为前将军而又迷失道，岂非天哉？虽然，余行不昧，颠沛何伤？此不佞于纂录将竣之日，亟付梨枣，不遑于骊歌声里更着踟蹰也。后有作者，倘谓百狐萃腋，鉴为裘者之苦心，以论世之思，成不朽之业，是志之成庶几其有风乎？倘曰躬之不阅，遑恤其后，则不佞实无辞置对矣。</w:t>
      </w:r>
    </w:p>
    <w:p w14:paraId="0205BDCA">
      <w:pPr>
        <w:pStyle w:val="4"/>
        <w:rPr>
          <w:rFonts w:ascii="宋体" w:hAnsi="宋体" w:cs="宋体"/>
        </w:rPr>
      </w:pPr>
      <w:r>
        <w:rPr>
          <w:rFonts w:hint="eastAsia" w:ascii="宋体" w:hAnsi="宋体" w:cs="宋体"/>
        </w:rPr>
        <w:t>明天启丙寅志后序</w:t>
      </w:r>
    </w:p>
    <w:p w14:paraId="15FEB14D">
      <w:pPr>
        <w:ind w:firstLine="422"/>
        <w:jc w:val="right"/>
        <w:rPr>
          <w:rFonts w:ascii="宋体" w:hAnsi="宋体" w:cs="宋体"/>
          <w:b/>
          <w:bCs/>
        </w:rPr>
      </w:pPr>
      <w:r>
        <w:rPr>
          <w:rFonts w:hint="eastAsia" w:ascii="宋体" w:hAnsi="宋体" w:cs="宋体"/>
          <w:b/>
          <w:bCs/>
        </w:rPr>
        <w:t>推官  毛丹采</w:t>
      </w:r>
    </w:p>
    <w:p w14:paraId="2B1DB706">
      <w:pPr>
        <w:ind w:firstLine="420"/>
        <w:rPr>
          <w:rFonts w:ascii="宋体" w:hAnsi="宋体" w:cs="宋体"/>
        </w:rPr>
      </w:pPr>
      <w:r>
        <w:rPr>
          <w:rFonts w:hint="eastAsia" w:ascii="宋体" w:hAnsi="宋体" w:cs="宋体"/>
        </w:rPr>
        <w:t>府志以志府事，则宜洪纤具备，事阅时而时殊，事则宜沿革毕陈，俾考究者，历历可指而酌也。雄州田赋有虚粮，军屯有登耗，取志质之，杳无更易本末。当调兵需饷之际，苦心酌剂，限于莫可参互，未尝不掩卷浩叹也。不宁唯是，且并原版失去者四十畸，披览之，前后不相属，令人愤然欲掷。会摄府乃命工剞劂，增所未有，亦仅仅补所本有，为览者差快耳。若屯赋等事，则有待于综核之士，搜家乘，采口传，以订定而垂将来，毋使后之慨今，又如今之慨昔也。余任兹土，自乙丑之中秋，洎乎戊辰中春，厌嚣剧而思避地，遂以释去。知而不及，行者多端，只自菀菀，犹幸初代府庖于郡胶中，殿堂门库，葺饰缮完，载代府庖而缺志为全篇，庶几历雄一番，不成虚度云尔。</w:t>
      </w:r>
    </w:p>
    <w:p w14:paraId="23116CEC">
      <w:pPr>
        <w:pStyle w:val="4"/>
        <w:rPr>
          <w:rFonts w:ascii="宋体" w:hAnsi="宋体" w:cs="宋体"/>
        </w:rPr>
      </w:pPr>
      <w:r>
        <w:rPr>
          <w:rFonts w:hint="eastAsia" w:ascii="宋体" w:hAnsi="宋体" w:cs="宋体"/>
        </w:rPr>
        <w:t>清康熙乙卯志序</w:t>
      </w:r>
    </w:p>
    <w:p w14:paraId="13F10202">
      <w:pPr>
        <w:ind w:firstLine="422"/>
        <w:jc w:val="right"/>
        <w:rPr>
          <w:rFonts w:ascii="宋体" w:hAnsi="宋体" w:cs="宋体"/>
          <w:b/>
          <w:bCs/>
        </w:rPr>
      </w:pPr>
      <w:r>
        <w:rPr>
          <w:rFonts w:hint="eastAsia" w:ascii="宋体" w:hAnsi="宋体" w:cs="宋体"/>
          <w:b/>
          <w:bCs/>
        </w:rPr>
        <w:t>知府  姚昌廷</w:t>
      </w:r>
    </w:p>
    <w:p w14:paraId="0AE550F4">
      <w:pPr>
        <w:ind w:firstLine="420"/>
        <w:rPr>
          <w:rFonts w:ascii="宋体" w:hAnsi="宋体" w:cs="宋体"/>
        </w:rPr>
      </w:pPr>
      <w:r>
        <w:rPr>
          <w:rFonts w:hint="eastAsia" w:ascii="宋体" w:hAnsi="宋体" w:cs="宋体"/>
        </w:rPr>
        <w:t>舆地之有图志，尚矣！古者辅轩之使，博采风谣，陈之太史，献之天子，欲以周知土俗之同异，民情之乐苦，以徵夫治理之盛衰，时代之升降。况乎山川形势之阨塞，田赋户口之盈虚，与凡人物制作之规模，文章事理之条贯，尤不可以不详载而审考之者也。维雄所辖二邑，不满百社，而实居南粤要冲，民之土著者稀，五方之杂处，商贾之往来，十得六七。故尝置关梁于此，盖以讥察出入，杜奸宄之源，匪但管榷之为重也。郡乘自明万历讫修及今，简册残缺，前任陆公网罗旧闻，搜辑佚史，汇全为志，尚遗田赋一卷，未成而去。而雄旧以亩虚缺额，派实见户，孔道烦剧，调应惟艰，一时蒿目民瘼者，行补葺权宜之计，或末减于轻赍，或取藉于桥税。及乎势变事迁，向之所欲竭力以垂永久者，不能无所摇撼，而升科厉民之弊终不可去，往牒论之详矣。此则仁人君子之所当留意而深酌之者也。若夫魁梧长者，代不乏人，其流风善政，山川习俗，可案籍而考也。陆公莅雄最久，民有甘棠之思焉。猥以浅薄继其后，乃为缀辑补述付剞劂，俾成全书。其卷衮次第，悉因其旧，俾经世之君子得要观焉。</w:t>
      </w:r>
    </w:p>
    <w:p w14:paraId="751F202D">
      <w:pPr>
        <w:pStyle w:val="4"/>
        <w:rPr>
          <w:rFonts w:ascii="宋体" w:hAnsi="宋体" w:cs="宋体"/>
        </w:rPr>
      </w:pPr>
      <w:r>
        <w:rPr>
          <w:rFonts w:hint="eastAsia" w:ascii="宋体" w:hAnsi="宋体" w:cs="宋体"/>
        </w:rPr>
        <w:t>清乾隆癸酉志序</w:t>
      </w:r>
    </w:p>
    <w:p w14:paraId="485E153C">
      <w:pPr>
        <w:ind w:firstLine="422"/>
        <w:jc w:val="right"/>
        <w:rPr>
          <w:rFonts w:ascii="宋体" w:hAnsi="宋体" w:cs="宋体"/>
          <w:b/>
          <w:bCs/>
        </w:rPr>
      </w:pPr>
      <w:r>
        <w:rPr>
          <w:rFonts w:hint="eastAsia" w:ascii="宋体" w:hAnsi="宋体" w:cs="宋体"/>
          <w:b/>
          <w:bCs/>
        </w:rPr>
        <w:t>给谏  胡定</w:t>
      </w:r>
    </w:p>
    <w:p w14:paraId="6860666E">
      <w:pPr>
        <w:ind w:firstLine="420"/>
        <w:rPr>
          <w:rFonts w:ascii="宋体" w:hAnsi="宋体" w:cs="宋体"/>
        </w:rPr>
      </w:pPr>
      <w:r>
        <w:rPr>
          <w:rFonts w:hint="eastAsia" w:ascii="宋体" w:hAnsi="宋体" w:cs="宋体"/>
        </w:rPr>
        <w:t>天地之气，始于北而盛于南，故三代而上，声明文物，炳郁于嵩华恒岱之区。时雄境虽隶荆吴，而雉堞未崇，鸿逵未启，山川之精英，固郁结而未舒也。迨秦汉以还，风气日开，由是始析为县，继设为州，寻升为郡。凿山通道而冠盖如云，引水筑渠而禾麻蔽野。桓桓者如熊罴，如虎貔；休休者作盐梅，作麴蘖。鸿俦鹄侣，鹊起蝉联，衣冠之气盛于台关、墨水间矣。夫地冲，则应接不暇；物阜，则调剂多功。凡疆域之广轮，国家之经制，风情俗尚，宦绩乡评，事变纷如，不可无方志以资考镜也。稽南宋嘉定时，州牧孙公，肇修郡志，洎元至正，明永乐、正统、成化、正德，重订屡辑。至嘉靖壬寅，司农谭庄懿公，七略兼融，三长并茂，掩云梦以吞之，湛秋阳以昭之。已而，万历周郡侯，天启汪郡侯，暨我朝郡侯陆公、姚公、党公，吏治饰以儒术，繁弦间发，缛彩相辉，简册中不已昭然得失之林与。岁癸酉，我郡侯梁公以佐命之华胄，为一路之福星，明以烛微，廉以励节，盘错既剞于利器，豚鱼亦格于中孚，更念志乘为典章所系，风化所关，旷六十八年，宜加纂组，斯诚嘉惠之雅意也。定以固陋，谬赞修明，鲁鼎看铭，掏戈考篆，核其所未确，详其所未周，益以当代之洪猷，时贤之芳躅，煮泥续尾，轴以成焉。梁昭明云：椎轮为大辂之始，大辂宁有推轮之质；增水为积水所成，积水微层冰之凛，踵其事而增华，变其本而加厉，纪其文物，发其声明，敢上拟于良史哉。庶窃附于稗官之著述焉尔。</w:t>
      </w:r>
    </w:p>
    <w:p w14:paraId="72589982">
      <w:pPr>
        <w:pStyle w:val="4"/>
        <w:rPr>
          <w:rFonts w:ascii="宋体" w:hAnsi="宋体" w:cs="宋体"/>
        </w:rPr>
      </w:pPr>
      <w:r>
        <w:rPr>
          <w:rFonts w:hint="eastAsia" w:ascii="宋体" w:hAnsi="宋体" w:cs="宋体"/>
        </w:rPr>
        <w:t>清嘉庆己卯重修南雄州志序</w:t>
      </w:r>
    </w:p>
    <w:p w14:paraId="763E1260">
      <w:pPr>
        <w:ind w:firstLine="422"/>
        <w:jc w:val="right"/>
        <w:rPr>
          <w:rFonts w:ascii="宋体" w:hAnsi="宋体" w:cs="宋体"/>
          <w:b/>
          <w:bCs/>
        </w:rPr>
      </w:pPr>
      <w:r>
        <w:rPr>
          <w:rFonts w:hint="eastAsia" w:ascii="宋体" w:hAnsi="宋体" w:cs="宋体"/>
          <w:b/>
          <w:bCs/>
        </w:rPr>
        <w:t>知州  余保纯</w:t>
      </w:r>
    </w:p>
    <w:p w14:paraId="36C7B501">
      <w:pPr>
        <w:ind w:firstLine="420"/>
        <w:rPr>
          <w:rFonts w:ascii="宋体" w:hAnsi="宋体" w:cs="宋体"/>
        </w:rPr>
      </w:pPr>
      <w:r>
        <w:rPr>
          <w:rFonts w:hint="eastAsia" w:ascii="宋体" w:hAnsi="宋体" w:cs="宋体"/>
        </w:rPr>
        <w:t>南雄志肇自宋嘉定，迄有明之世，凡八修矣。惟嘉靖壬寅，谭司徒大初，采而辑之，人称善本。逮我朝顺治庚戌，郡守陆世楷重修，文辞斐亹，而尚缺田赋一书。康熙丙寅郡守党居易，乾隆癸酉给谏胡定，更加补葺，至今又六十六年矣。嘉庆岁戊寅，督宪阮、抚宪李奏修省志，委粮道宪卢提调志局，先命各府州县预辑草志。而南雄适当改府为州之后，案牍散失，文献无徵，颇难措手，乃遵颁发章程，定其义类，约其指归，聘请学正黄君其勤，专司总纂。分纂者州同汪君阜、训导何君逢泰。复延城乡绅士，广为采访，而余亦以公事之余，亲加校核，凡阅一期而告竣。夫志书之作，非特纪事实，尚辞华也，将使后之览者，观事以知政，因时而考治，论世以知人，孰得孰失，孰利孰害，孰贤孰否，莫不条分缕析，法戒昭然，则教民成俗之方，亦于是乎在。夫惟大公无私，考订详确，上质诸鬼神，下徵诸众庶，然后可以信今而传后。则是书之作，盖亦勤矣。惟是司纂者，捃摭数十年之事，耳目或未周，而予亦以簿书鞅掌之身，厘订恐多未确，疏漏之讥诚有不免。采而补之，以俟后之君子。时嘉庆二十四年岁次己卯五月。署南雄直隶州知州，候补同知直隶州昆陵余保纯撰。</w:t>
      </w:r>
    </w:p>
    <w:p w14:paraId="2345B1B5">
      <w:pPr>
        <w:pStyle w:val="4"/>
        <w:rPr>
          <w:rFonts w:ascii="宋体" w:hAnsi="宋体" w:cs="宋体"/>
        </w:rPr>
      </w:pPr>
      <w:r>
        <w:rPr>
          <w:rFonts w:hint="eastAsia" w:ascii="宋体" w:hAnsi="宋体" w:cs="宋体"/>
        </w:rPr>
        <w:t>清道光甲申直隶南雄州志序</w:t>
      </w:r>
    </w:p>
    <w:p w14:paraId="5A516C72">
      <w:pPr>
        <w:ind w:firstLine="422"/>
        <w:jc w:val="right"/>
        <w:rPr>
          <w:rFonts w:ascii="宋体" w:hAnsi="宋体" w:cs="宋体"/>
          <w:b/>
          <w:bCs/>
        </w:rPr>
      </w:pPr>
      <w:r>
        <w:rPr>
          <w:rFonts w:hint="eastAsia" w:ascii="宋体" w:hAnsi="宋体" w:cs="宋体"/>
          <w:b/>
          <w:bCs/>
        </w:rPr>
        <w:t>知州  戴鍚纶</w:t>
      </w:r>
    </w:p>
    <w:p w14:paraId="1C4FC04E">
      <w:pPr>
        <w:ind w:firstLine="420"/>
        <w:rPr>
          <w:rFonts w:ascii="宋体" w:hAnsi="宋体" w:cs="宋体"/>
        </w:rPr>
      </w:pPr>
      <w:r>
        <w:rPr>
          <w:rFonts w:hint="eastAsia" w:ascii="宋体" w:hAnsi="宋体" w:cs="宋体"/>
        </w:rPr>
        <w:t>纶前度莅雄，适改州伊始，窃欲续府县志为州志，以百务待兴，卒未遑而去。道光壬午，承乏重来，继奉调补，知前任余君保纯，署任徐君维清，先后延学博黄君其勤，于嘉庆二十四年，勒有成书待刊。喜得我心，谋代授梓。旋由徐君邮寄读之。其书本府志之旧文，从通志之新例，或仍或改，具费匠心。沿革、清丈、学额、书院、水利、金石，采辑尤为详核。惟不录始兴，未符体制。考之府县旧志，亦有不能慨从删汰者。于是缓剞劂而谋补苴，檄取始邑胡大令勋裕新志稿本，因黄学博成例，依类汇编，旧志应存者补，新事应入者续。属草于癸未七月，逮冬初领到阮芸台制府《广东通志》全函，覆加校核，乃知旧志并有脱漏，而补缀益不容已矣。旧府志修自乾隆癸酉，本十九卷，黄学博约为十三卷，曰《南雄州志》。纶补旧增新，厘为三十四卷，日《直隶南雄州志》。甲申春正稿成，复得权州事宋大令杨光，悉心参订，厘改校雠，历夏及秋而缮刊始竣。日忽经年，稿凡数易，虽曰续修，殆不啻举全书而新之也。黄学博重修时，笔资缮费二百金，皆捐自余君。此次缮写刊刷，则有前升州程月川中丞捐存之百两，州生员叶德全乐助之五百金，不足者纶自捐给。顾卅载从官，夙渐寡陋，重以衰病，续有纂辑，胥</w:t>
      </w:r>
      <w:r>
        <w:rPr>
          <w:rStyle w:val="11"/>
          <w:rFonts w:hint="eastAsia" w:ascii="宋体" w:hAnsi="宋体" w:cs="宋体"/>
        </w:rPr>
        <w:t>本</w:t>
      </w:r>
      <w:r>
        <w:rPr>
          <w:rFonts w:hint="eastAsia" w:ascii="宋体" w:hAnsi="宋体" w:cs="宋体"/>
        </w:rPr>
        <w:t>诸采访人士，旧闻轶事亦多得之。前时查对书籍，校正缮刻，属之大儿泽同。然以七十之老夫，濡毫记载，固素愿倖偿，其何以辞无文之诮哉。况此书本节节而为之，身既引疾，念切还山，其间体裁未及画一，冗蔓尚俟芟除，纶于来哲不能无厚望焉。书成，爰胪始末冠之篇端。</w:t>
      </w:r>
    </w:p>
    <w:p w14:paraId="462C1346">
      <w:pPr>
        <w:ind w:firstLine="420"/>
        <w:rPr>
          <w:rFonts w:ascii="宋体" w:hAnsi="宋体" w:cs="宋体"/>
        </w:rPr>
      </w:pPr>
      <w:r>
        <w:rPr>
          <w:rFonts w:hint="eastAsia" w:ascii="宋体" w:hAnsi="宋体" w:cs="宋体"/>
        </w:rPr>
        <w:t>道光四年秋七月壬戌朔诰授奉政大夫、南雄直隶州知州光山戴锡纶。</w:t>
      </w:r>
    </w:p>
    <w:p w14:paraId="17CD4517">
      <w:pPr>
        <w:pStyle w:val="4"/>
        <w:rPr>
          <w:rFonts w:ascii="宋体" w:hAnsi="宋体" w:cs="宋体"/>
        </w:rPr>
      </w:pPr>
      <w:r>
        <w:rPr>
          <w:rFonts w:hint="eastAsia" w:ascii="宋体" w:hAnsi="宋体" w:cs="宋体"/>
        </w:rPr>
        <w:t>1990年新编南雄县志序一</w:t>
      </w:r>
    </w:p>
    <w:p w14:paraId="74C95694">
      <w:pPr>
        <w:pStyle w:val="5"/>
        <w:rPr>
          <w:rFonts w:ascii="宋体" w:hAnsi="宋体" w:cs="宋体"/>
        </w:rPr>
      </w:pPr>
      <w:r>
        <w:rPr>
          <w:rFonts w:hint="eastAsia" w:ascii="宋体" w:hAnsi="宋体" w:cs="宋体"/>
        </w:rPr>
        <w:t>人民创伟绩  县志立丰碑</w:t>
      </w:r>
    </w:p>
    <w:p w14:paraId="440D23F5">
      <w:pPr>
        <w:ind w:firstLine="422"/>
        <w:jc w:val="right"/>
        <w:rPr>
          <w:rFonts w:ascii="宋体" w:hAnsi="宋体" w:cs="宋体"/>
          <w:b/>
          <w:bCs/>
        </w:rPr>
      </w:pPr>
      <w:r>
        <w:rPr>
          <w:rFonts w:hint="eastAsia" w:ascii="宋体" w:hAnsi="宋体" w:cs="宋体"/>
          <w:b/>
          <w:bCs/>
        </w:rPr>
        <w:t>黄勋拔</w:t>
      </w:r>
    </w:p>
    <w:p w14:paraId="3000C815">
      <w:pPr>
        <w:ind w:firstLine="420"/>
        <w:rPr>
          <w:rFonts w:ascii="宋体" w:hAnsi="宋体" w:cs="宋体"/>
        </w:rPr>
      </w:pPr>
      <w:r>
        <w:rPr>
          <w:rFonts w:hint="eastAsia" w:ascii="宋体" w:hAnsi="宋体" w:cs="宋体"/>
        </w:rPr>
        <w:t>南雄在广东的历史上，具有重要的地位。由于它“枕楚跨粤，为南北咽喉”，是广东较早接受中原文化和中原先进生产技术的地区，是古代广东与北方货物交换的中转集散地，生产技术和商品经济比较发达。宋天禧年间兴建的水利工程凌陂，是广东有史可稽的最早的水利工程之一。唐玄宗开元四年开凿的大庾岭新道，对广东的开发具有重要意义。这正如明邱濬在《张文献公开大庾岭路碑阴记》中所指出的：“兹路既开，然后五岭以南人才出矣，财货通矣，中朝之声教日逮矣，遐陬之风俗日变矣。”唐宋中原动乱时期，大批中原仕族南迁，必先驻足南雄，有部分再由此南迁珠江三角洲。珠江三角洲有仍73姓164族来自南雄珠玑巷，他们至今仍把珠玑巷视为自己“七百年前的桑梓”，视为自己的根。</w:t>
      </w:r>
    </w:p>
    <w:p w14:paraId="2381531F">
      <w:pPr>
        <w:ind w:firstLine="420"/>
        <w:rPr>
          <w:rFonts w:ascii="宋体" w:hAnsi="宋体" w:cs="宋体"/>
        </w:rPr>
      </w:pPr>
      <w:r>
        <w:rPr>
          <w:rFonts w:hint="eastAsia" w:ascii="宋体" w:hAnsi="宋体" w:cs="宋体"/>
        </w:rPr>
        <w:t>民国时期，孙中山两次北伐，都以韶关为大本营，以南雄为前哨。1932年，毛泽东、朱德、王稼祥在水口镇亲自指挥有名的“水口战役”。抗日战争时期，由于沿海港口被封锁，南雄成为广东省抗日后方的交通枢纽。新中国成立后特别是改革开放以来，南雄的经济是广东山区县发展较快的一个县。他们从实际出发，立足山区，充分利用本县的资源优势，开展外引内联，农工商综合经营，找出一条具有南雄特色的发展经济的路子，使南雄出现了新的局面。1987年，省社科联等曾在这里召开了一次“南雄山区经济发展研讨会”，总结南雄的经验。与会的领导和专家学者一致认为：“南雄是粤北地区全面建设新农村有典型意义的山区县。”国务院农村经济发展研究中心主任杜润生在《南雄特色研究》一书题词中说：“南雄经济发展的路子，也是同类型山区将要走的路子。”</w:t>
      </w:r>
    </w:p>
    <w:p w14:paraId="1DEE9B20">
      <w:pPr>
        <w:ind w:firstLine="420"/>
        <w:rPr>
          <w:rFonts w:ascii="宋体" w:hAnsi="宋体" w:cs="宋体"/>
        </w:rPr>
      </w:pPr>
      <w:r>
        <w:rPr>
          <w:rFonts w:hint="eastAsia" w:ascii="宋体" w:hAnsi="宋体" w:cs="宋体"/>
        </w:rPr>
        <w:t>南雄的这种重要的历史地位，使《南雄县志》具有更为重大的意义。人民创造了伟大的业绩，县志为人民立了丰碑。它不仅对南雄县的领导机关了解县情、正确决策、指导工作、教育群众有重大意义，对研究广东乃至全国历史，也有重大意义。</w:t>
      </w:r>
    </w:p>
    <w:p w14:paraId="0DF3A95B">
      <w:pPr>
        <w:ind w:firstLine="420"/>
        <w:rPr>
          <w:rFonts w:ascii="宋体" w:hAnsi="宋体" w:cs="宋体"/>
        </w:rPr>
      </w:pPr>
      <w:r>
        <w:rPr>
          <w:rFonts w:hint="eastAsia" w:ascii="宋体" w:hAnsi="宋体" w:cs="宋体"/>
        </w:rPr>
        <w:t>《南雄县志》是我省解放后第一本正式出版的新县志。中华人民共和国成立后，我省曾经编印内部发行了几部县志，如《惠阳新志》、《斗门县志》、《连县志》等，但作为正式出版物，《南雄县志》还是第一本。这是中共南雄县委、县人民政府重视和全县修志人员努力的结果。南雄县志办公室的同志，为完成修志工作，付出了艰辛的劳动，我对此表示崇高的敬意。</w:t>
      </w:r>
    </w:p>
    <w:p w14:paraId="45988344">
      <w:pPr>
        <w:ind w:firstLine="420"/>
        <w:rPr>
          <w:rFonts w:ascii="宋体" w:hAnsi="宋体" w:cs="宋体"/>
        </w:rPr>
      </w:pPr>
      <w:r>
        <w:rPr>
          <w:rFonts w:hint="eastAsia" w:ascii="宋体" w:hAnsi="宋体" w:cs="宋体"/>
        </w:rPr>
        <w:t>《南雄县志》具有地方综合志书必备的基本要求，主要是内容系统全面，资料丰富翔实，观点正确鲜明，篇目科学合理，文字严谨简朴。除此之外，我认为《南雄县志》还有几个特点：</w:t>
      </w:r>
    </w:p>
    <w:p w14:paraId="47BBF1F4">
      <w:pPr>
        <w:ind w:firstLine="420"/>
        <w:rPr>
          <w:rFonts w:ascii="宋体" w:hAnsi="宋体" w:cs="宋体"/>
        </w:rPr>
      </w:pPr>
      <w:r>
        <w:rPr>
          <w:rFonts w:hint="eastAsia" w:ascii="宋体" w:hAnsi="宋体" w:cs="宋体"/>
        </w:rPr>
        <w:t>一、历史材料比较丰富。尽管由于种种原因，新中国成立前的材料已不可能很完整系统。但比起另一些县志来，新中国成立前的材料还算比较多，约占全书的35%。南雄县各修志部门在收集材料上是下了功夫的；对“详今略古”的理解比较全面，选材也比较得当，对历史材料，并没有因为它是“解放前”的就一概摒弃它。</w:t>
      </w:r>
    </w:p>
    <w:p w14:paraId="6201F661">
      <w:pPr>
        <w:ind w:firstLine="420"/>
        <w:rPr>
          <w:rFonts w:ascii="宋体" w:hAnsi="宋体" w:cs="宋体"/>
        </w:rPr>
      </w:pPr>
      <w:r>
        <w:rPr>
          <w:rFonts w:hint="eastAsia" w:ascii="宋体" w:hAnsi="宋体" w:cs="宋体"/>
        </w:rPr>
        <w:t>二、地方特点比较突出。在篇目的设计上，敢于从实际出发，将黄烟和水土保持与环境保护单独成章，符合南雄实际，显示了南雄的特色。在各章的内容上，也注意体现南雄的特点，如地理编记述了南雄恐龙化石的发现和南雄人口源流，水利章以大量的历史资料反映了南雄近千年的水利建设史，卫生章记述了西医传入南雄的途径，社会编记述了南雄的方言等，都富有地方特色。</w:t>
      </w:r>
    </w:p>
    <w:p w14:paraId="56CECAE6">
      <w:pPr>
        <w:ind w:firstLine="420"/>
        <w:rPr>
          <w:rFonts w:ascii="宋体" w:hAnsi="宋体" w:cs="宋体"/>
        </w:rPr>
      </w:pPr>
      <w:r>
        <w:rPr>
          <w:rFonts w:hint="eastAsia" w:ascii="宋体" w:hAnsi="宋体" w:cs="宋体"/>
        </w:rPr>
        <w:t>三、内容实事求是，不回避失误。比如对“大跃进”、“文化大革命”的失误，能客观记述；对解放后耕地严重减少，能实事求是地分析；对实行“纯竹林”的失误，能寓教训于史实之中。对几十年来的经验教训的记述，有一定深度。</w:t>
      </w:r>
    </w:p>
    <w:p w14:paraId="10C41D0D">
      <w:pPr>
        <w:ind w:firstLine="420"/>
        <w:rPr>
          <w:rFonts w:ascii="宋体" w:hAnsi="宋体" w:cs="宋体"/>
        </w:rPr>
      </w:pPr>
      <w:r>
        <w:rPr>
          <w:rFonts w:hint="eastAsia" w:ascii="宋体" w:hAnsi="宋体" w:cs="宋体"/>
        </w:rPr>
        <w:t>总之，我认为新编《南雄县志》虽还有某些不足，但基本上是成功的。我热烈祝贺《南雄县志》的公开出版。我相信勤劳勇敢的南雄人民，在中国共产党的领导下，一定能够创造更光辉的业绩，为南雄的历史，写出更加灿烂的篇章。</w:t>
      </w:r>
    </w:p>
    <w:p w14:paraId="3094EE08">
      <w:pPr>
        <w:pStyle w:val="4"/>
        <w:rPr>
          <w:rFonts w:ascii="宋体" w:hAnsi="宋体" w:cs="宋体"/>
        </w:rPr>
      </w:pPr>
      <w:r>
        <w:rPr>
          <w:rFonts w:hint="eastAsia" w:ascii="宋体" w:hAnsi="宋体" w:cs="宋体"/>
        </w:rPr>
        <w:t>1990年新编南雄县志序二</w:t>
      </w:r>
    </w:p>
    <w:p w14:paraId="43FEA620">
      <w:pPr>
        <w:pStyle w:val="5"/>
        <w:rPr>
          <w:rFonts w:ascii="宋体" w:hAnsi="宋体" w:cs="宋体"/>
        </w:rPr>
      </w:pPr>
      <w:r>
        <w:rPr>
          <w:rFonts w:hint="eastAsia" w:ascii="宋体" w:hAnsi="宋体" w:cs="宋体"/>
        </w:rPr>
        <w:t>录经纬要事  集古今精华</w:t>
      </w:r>
    </w:p>
    <w:p w14:paraId="026911AB">
      <w:pPr>
        <w:ind w:firstLine="422"/>
        <w:jc w:val="right"/>
        <w:rPr>
          <w:rFonts w:ascii="宋体" w:hAnsi="宋体" w:cs="宋体"/>
          <w:b/>
          <w:bCs/>
        </w:rPr>
      </w:pPr>
      <w:r>
        <w:rPr>
          <w:rFonts w:hint="eastAsia" w:ascii="宋体" w:hAnsi="宋体" w:cs="宋体"/>
          <w:b/>
          <w:bCs/>
        </w:rPr>
        <w:t>黄永东</w:t>
      </w:r>
    </w:p>
    <w:p w14:paraId="4B6D9CAE">
      <w:pPr>
        <w:ind w:firstLine="420"/>
        <w:rPr>
          <w:rFonts w:ascii="宋体" w:hAnsi="宋体" w:cs="宋体"/>
        </w:rPr>
      </w:pPr>
      <w:r>
        <w:rPr>
          <w:rFonts w:hint="eastAsia" w:ascii="宋体" w:hAnsi="宋体" w:cs="宋体"/>
        </w:rPr>
        <w:t>南雄位于大庾岭南麓，史称：“居五岭之首，为江广之冲，控带群蛮，襟会百粤。”雄郡虽系粤北边邑，但自唐相张九龄开凿梅关以后，文明日进，风气大开。名宦贤达，代不乏人，物阜民丰，商业繁盛。清代名人朱彝尊《雄州歌》云：“绿榕万树鹧鸪天，水市山桥阿那边，蜑雨蛮烟空日夜，南来车马北来船。”土地革命战争时期，南雄属中央苏区，无产阶级革命家毛泽东、朱德、彭德怀分别五次率部转战南雄。陈毅在油山坚持三年游击战，写下脍炙人口的《梅岭三章》。新中国成立后，南雄人民在中国共产党领导下，经曲折历程，谱古郡新篇，社会主义物质文明和精神文明建设成绩斐然。《南雄县志》问世，亦为此新篇之一页。</w:t>
      </w:r>
    </w:p>
    <w:p w14:paraId="6FE0700E">
      <w:pPr>
        <w:ind w:firstLine="420"/>
        <w:rPr>
          <w:rFonts w:ascii="宋体" w:hAnsi="宋体" w:cs="宋体"/>
        </w:rPr>
      </w:pPr>
      <w:r>
        <w:rPr>
          <w:rFonts w:hint="eastAsia" w:ascii="宋体" w:hAnsi="宋体" w:cs="宋体"/>
        </w:rPr>
        <w:t>为政之道贵于清。一曰手脚清净，不贪而取信于民；二曰头脑清醒，知情而正确决策。为政者若以其权而谋其私，则不治而乱；不知情而谋其政，其政必败。县志为一方之全史，录经纬要事，集古今精华。欲弘一方之文化，必修一方之志；欲掌一方之政事，必读一方之志。承先启后，盛世修志，为中华文化之优良传统；下车伊始，挑灯读志，为历代名宦之可贵风范。古之宦者尚如此，当代之为政者岂能不更胜一筹？！中国共产党十一届三中全会以来，政修人和，百业俱兴，方志编纂研究工作也相应而勃然兴起，可谓水到渠成，顺理成章。</w:t>
      </w:r>
    </w:p>
    <w:p w14:paraId="14D90A86">
      <w:pPr>
        <w:ind w:firstLine="420"/>
        <w:rPr>
          <w:rFonts w:ascii="宋体" w:hAnsi="宋体" w:cs="宋体"/>
        </w:rPr>
      </w:pPr>
      <w:r>
        <w:rPr>
          <w:rFonts w:hint="eastAsia" w:ascii="宋体" w:hAnsi="宋体" w:cs="宋体"/>
        </w:rPr>
        <w:t>自来雄工作20余年，久视南雄乡土民风，感情甚厚。新编《南雄县志》始，吾则为编委成员，任县委书记后，即兼任县志编纂委员会主任。既负此重任，当不遗余力，为县志之编纂谋划决策，组织人财物力，协调各方，使之顺利进行。然由于前届修志距今160多年，案牍散失，文献无稽，编纂难度颇大。幸赖县人大常委会副主任罗凯燊热心此事，不惮辛劳，主事总纂，修志同仁努力奋斗，上下左右通力协作，并蒙省方志办主任黄勋拔，暨南大学教授唐森、副教授高国抗，韶关市政协副主席沈会峰，以及老干部张英裘等之关怀指导，中国人民大学教授谢自立为本志撰写《方言》。特此表示衷心感谢。新编《南雄县志》从1984年冬开始至1990年冬，历时六载，斐然成章，总纂终成。通览该县志，体例完备，史实详确，条分缕析，文约事丰，是一部取旧志之长，具有新思想、新观点、新方法，信今传世，经世致用之重要文献。县志出版，必有利于南雄社会主义精神文明、物质文明建设持续、稳定发展。</w:t>
      </w:r>
    </w:p>
    <w:p w14:paraId="379F688D">
      <w:pPr>
        <w:ind w:firstLine="420"/>
        <w:rPr>
          <w:rFonts w:ascii="宋体" w:hAnsi="宋体" w:cs="宋体"/>
        </w:rPr>
      </w:pPr>
      <w:r>
        <w:rPr>
          <w:rFonts w:hint="eastAsia" w:ascii="宋体" w:hAnsi="宋体" w:cs="宋体"/>
        </w:rPr>
        <w:t>县志编辑部多次嘱予志序。今谨缀数言，荐举县志于读者。修志事业，未曾经历，经验不足，疏漏之讥，诚有不免，采而补订，踵事增华，企望后之来者。是为序。</w:t>
      </w:r>
    </w:p>
    <w:p w14:paraId="6402BFC6">
      <w:pPr>
        <w:pStyle w:val="3"/>
        <w:rPr>
          <w:rFonts w:ascii="宋体" w:hAnsi="宋体" w:cs="宋体"/>
        </w:rPr>
      </w:pPr>
      <w:r>
        <w:rPr>
          <w:rFonts w:hint="eastAsia" w:ascii="宋体" w:hAnsi="宋体" w:cs="宋体"/>
        </w:rPr>
        <w:t>二、学术文选</w:t>
      </w:r>
    </w:p>
    <w:p w14:paraId="69877F32">
      <w:pPr>
        <w:pStyle w:val="4"/>
        <w:rPr>
          <w:rFonts w:ascii="宋体" w:hAnsi="宋体" w:cs="宋体"/>
        </w:rPr>
      </w:pPr>
      <w:r>
        <w:rPr>
          <w:rFonts w:hint="eastAsia" w:ascii="宋体" w:hAnsi="宋体" w:cs="宋体"/>
        </w:rPr>
        <w:t>对南雄三个文化圈的初步探讨</w:t>
      </w:r>
    </w:p>
    <w:p w14:paraId="3AE2045E">
      <w:pPr>
        <w:ind w:firstLine="422"/>
        <w:jc w:val="right"/>
        <w:rPr>
          <w:rFonts w:ascii="宋体" w:hAnsi="宋体" w:cs="宋体"/>
          <w:b/>
          <w:bCs/>
        </w:rPr>
      </w:pPr>
      <w:r>
        <w:rPr>
          <w:rFonts w:hint="eastAsia" w:ascii="宋体" w:hAnsi="宋体" w:cs="宋体"/>
          <w:b/>
          <w:bCs/>
        </w:rPr>
        <w:t>罗凯燊</w:t>
      </w:r>
    </w:p>
    <w:p w14:paraId="1580CECC">
      <w:pPr>
        <w:ind w:firstLine="420"/>
        <w:rPr>
          <w:rFonts w:ascii="宋体" w:hAnsi="宋体" w:cs="宋体"/>
        </w:rPr>
      </w:pPr>
      <w:r>
        <w:rPr>
          <w:rFonts w:hint="eastAsia" w:ascii="宋体" w:hAnsi="宋体" w:cs="宋体"/>
        </w:rPr>
        <w:t>南雄地处粤北大庾岭南麓，浈江之源头。北面东面与赣南相邻，且与闽西、粤东相近。四周群山环抱，中部丘陵起伏，是著名的南雄红层盆地。南雄因其“居五岭之首，为江广之冲”“枕楚跨粤，南北咽喉”之形胜，曾是古代岭南重要州郡，史有“岭南第一州”之称，在岭南经济文化发展中起到了承北启南的重要作用。</w:t>
      </w:r>
    </w:p>
    <w:p w14:paraId="57502A40">
      <w:pPr>
        <w:ind w:firstLine="420"/>
        <w:rPr>
          <w:rFonts w:ascii="宋体" w:hAnsi="宋体" w:cs="宋体"/>
        </w:rPr>
      </w:pPr>
      <w:r>
        <w:rPr>
          <w:rFonts w:hint="eastAsia" w:ascii="宋体" w:hAnsi="宋体" w:cs="宋体"/>
        </w:rPr>
        <w:t>南雄现有20个镇，45万多人，其祖先多由通称为客家大本营的赣南、闽西辗转迁来，其为客家当然无疑。但是，由于历史的原因，南雄文化又不是纯客家文化，而是多元文化，大体可分为三个颇具差异的文化圈，即以乌迳镇为中心的东北部文化圈，黄坑镇以下的中西部文化圈，南雄城及其城郊的城区文化圈。这三个文化圈是怎样形成的，各有什么特色呢？近几年来对此作了些调查研究。</w:t>
      </w:r>
    </w:p>
    <w:p w14:paraId="3D36B19D">
      <w:pPr>
        <w:ind w:firstLine="420"/>
        <w:rPr>
          <w:rFonts w:ascii="宋体" w:hAnsi="宋体" w:cs="宋体"/>
        </w:rPr>
      </w:pPr>
      <w:r>
        <w:rPr>
          <w:rFonts w:hint="eastAsia" w:ascii="宋体" w:hAnsi="宋体" w:cs="宋体"/>
        </w:rPr>
        <w:t>因为文化不论是物质方面或是精神方面都是人类在社会实践中创造出来的。所以，研究一个地域的文化，必须从研究一个地域的人群入手，就民族、语言、习俗、观念等方面，进行历史的、客观的探讨分析。由于本人对这方面的知识浅薄，不懂民族学、语言学，只凭一股热情和兴趣，探讨是很粗浅的，分析也不一定正确，希望能起到抛砖引玉的作用，有助于人们更好地认识南雄，建设南雄。</w:t>
      </w:r>
    </w:p>
    <w:p w14:paraId="6C58DD70">
      <w:pPr>
        <w:pStyle w:val="5"/>
        <w:rPr>
          <w:rFonts w:ascii="宋体" w:hAnsi="宋体" w:cs="宋体"/>
        </w:rPr>
      </w:pPr>
      <w:r>
        <w:rPr>
          <w:rFonts w:hint="eastAsia" w:ascii="宋体" w:hAnsi="宋体" w:cs="宋体"/>
        </w:rPr>
        <w:t>一、东北部文化圈</w:t>
      </w:r>
    </w:p>
    <w:p w14:paraId="24E348DA">
      <w:pPr>
        <w:ind w:firstLine="420"/>
        <w:rPr>
          <w:rFonts w:ascii="宋体" w:hAnsi="宋体" w:cs="宋体"/>
        </w:rPr>
      </w:pPr>
      <w:r>
        <w:rPr>
          <w:rFonts w:hint="eastAsia" w:ascii="宋体" w:hAnsi="宋体" w:cs="宋体"/>
        </w:rPr>
        <w:t>这一文化圈地域位于南雄东北部，与赣南之大余、信丰、全南等县毗邻，含乌迳、界址、坪田、南亩、油山等镇，面积670.84平方公里，人口12万多人，占全市人口的1/4强。此文化圈形成较早，约在宋代逐步形成。因其处于浈江上游，故俗称为上方。</w:t>
      </w:r>
    </w:p>
    <w:p w14:paraId="50749B32">
      <w:pPr>
        <w:ind w:firstLine="420"/>
        <w:rPr>
          <w:rFonts w:ascii="宋体" w:hAnsi="宋体" w:cs="宋体"/>
        </w:rPr>
      </w:pPr>
      <w:r>
        <w:rPr>
          <w:rFonts w:hint="eastAsia" w:ascii="宋体" w:hAnsi="宋体" w:cs="宋体"/>
        </w:rPr>
        <w:t>在此聚居的主要氏族有叶、李、董、赖、黄、彭、赵、孔等姓，而以叶姓为最多，约占30%。从各族族谱记载来看，迁来最早的是新田李族，始迁祖为西晋太常卿李耿，原居秣陵（今南京）因直谏，贬曲江令；于建兴三年（315年）赴任，过南雄新溪，见山川幽异，乃弃职举家迁来隐居。其次是平林孔族，始迁祖孔温宪（岭南节度使孔戣之第二子）随父宦游岭南，于唐乾符年间，为避朱温乱，举家卜居平林。山下叶族，始迁祖叶浚，崖州都督，原居浙江处州。唐末，任满归里，过南雄，闻黄巢之乱，乃举家卜居山下七星树下。坪田亨邦叶族，始迁祖叶宗文，进士，于南宋末来自南京。水松董族，始迁祖董玮，因荐举任南雄州刑曹参军，举家于北宋元符三年（1100年）自江西乐安县迁来雄城东门居住，南宋初再迁水松开基。界址赵族，始迁祖为宋太祖赵匡胤后裔、镇江知府赵子崧，于南宋绍兴二年（1132年）谪居南雄州，卒于雄城，其子孙乃卜居界址龙头坊。上朔彭族，始迁祖彭南选，五代楚兵部尚书彭承彦之曾孙，于后唐天成间（926年至930年）自吉安永丰沙溪迁来开基。古城李族，先祖李叔通，北宋绍圣进士、广州司马，卒于雄州，子孙乃世居古城。浆田大井坊黄族，始迁祖黄辅魁，原居福建宁化，南宋中进士，任广东安抚使，因不满朝政，辞官隐居于浆田大井坊。又爱敬堂始迁祖黄元轩，原居浙江绍兴，其父黄缜任韶州教授，南宋景炎二年（1277年）任满归里，道卒南雄，元轩扶榇避兵走信丰，路经浆田，得宗亲之助，乃就地葬父卜居。又上浆田始迁祖黄伯麟，南宋绍定举人，随兄伯启（广东转运使）宦游岭南，于景定二年（1254年）卜居上浆田前宅。</w:t>
      </w:r>
    </w:p>
    <w:p w14:paraId="1DBDD1DA">
      <w:pPr>
        <w:ind w:firstLine="420"/>
        <w:rPr>
          <w:rFonts w:ascii="宋体" w:hAnsi="宋体" w:cs="宋体"/>
        </w:rPr>
      </w:pPr>
      <w:r>
        <w:rPr>
          <w:rFonts w:hint="eastAsia" w:ascii="宋体" w:hAnsi="宋体" w:cs="宋体"/>
        </w:rPr>
        <w:t>综上所述，这些氏族的祖先都是仕宦世家，于唐宋时为避乱而举家南迁。那时所谓“举家”，就不是当今一家三五几口，而是一家几十口上百口。这些南迁官宦之家，除亲属外，还有管家、婢仆以及工匠等。他们带来了知识、技术、资金，捷足先登，选择在水源充足，土地肥沃，而又比较安定的地方开基创业。他们在新的定居地是一支新的生产力，又具有一定的氏族优势，繁衍较快，发展成为大村大姓，甚至成为连村巨族。这些氏族在与当地及周边居民交融中，因其氏族优势，保留了一些祖居地的语言习俗，而形成了颇具特色的以乌迳为中心的南雄东北部文化圈。</w:t>
      </w:r>
    </w:p>
    <w:p w14:paraId="4E1CB8DA">
      <w:pPr>
        <w:ind w:firstLine="420"/>
        <w:rPr>
          <w:rFonts w:ascii="宋体" w:hAnsi="宋体" w:cs="宋体"/>
        </w:rPr>
      </w:pPr>
      <w:r>
        <w:rPr>
          <w:rFonts w:hint="eastAsia" w:ascii="宋体" w:hAnsi="宋体" w:cs="宋体"/>
        </w:rPr>
        <w:t>这个文化圈里讲的是乌迳话或近乎乌迳话，俗称上方话。乌迳话的形成与乌迳的地理、经济文化发展相联系。乌迳位于东北部文化圈的中心，交通便利，水路有浈江可达南雄而与北江、珠江接连。陆路有乌迳路，通往赣南、闽西，是仅次于梅关古道的官道。乌迳历来就是南雄东北部商贸中心，粤赣边贸重镇，集市贸易繁荣，每逢圩日，上方各镇及赣南信丰民众云集于此，人们在频繁的交流中，自然磨合形成一种独特的乌迳方言。这种方言，似乎带有江浙口音，可能与乌迳叶族、新田李族、爱敬黄族、孔塘赖族、界址赵族祖居江浙有关。</w:t>
      </w:r>
    </w:p>
    <w:p w14:paraId="42BAA83D">
      <w:pPr>
        <w:ind w:firstLine="420"/>
        <w:rPr>
          <w:rFonts w:ascii="宋体" w:hAnsi="宋体" w:cs="宋体"/>
        </w:rPr>
      </w:pPr>
      <w:r>
        <w:rPr>
          <w:rFonts w:hint="eastAsia" w:ascii="宋体" w:hAnsi="宋体" w:cs="宋体"/>
        </w:rPr>
        <w:t>在这个文化圈聚居的南迁仕宦世家，承传中原文化，耕读传家，人文蔚起，是唐宋时南雄人文荟萃之地。新田李金马，在唐元和间举贤良方正、直言极谏科，官户部侍郎，封金紫光禄大夫，开南雄人文之先肇。平林孔闰，唐景福进士，朝散大夫，袁州刺史，宋初在平林创办岭南第一所书院一孔林书院。五代时，乌迳山下叶雨时（字云兴），仕南汉为千夫长，保境安民，忠烈殉难，敕封都统。上朔彭旴和水松董双保、双生兄弟因军功而敕封将军。古城李族，宋代一门五进士。可见各族科第仕宦代不乏人，光耀一方。</w:t>
      </w:r>
    </w:p>
    <w:p w14:paraId="7902C566">
      <w:pPr>
        <w:ind w:firstLine="420"/>
        <w:rPr>
          <w:rFonts w:ascii="宋体" w:hAnsi="宋体" w:cs="宋体"/>
        </w:rPr>
      </w:pPr>
      <w:r>
        <w:rPr>
          <w:rFonts w:hint="eastAsia" w:ascii="宋体" w:hAnsi="宋体" w:cs="宋体"/>
        </w:rPr>
        <w:t>这个文化圈有较浓的宗族文化。人们继承中原氏族敬祖睦族的优良传统，重视宗祠修建，几乎村村都有祠堂。叶氏宗祠有10余座，其中亨邦崇德堂创建于元初，黄塘叶氏宗祠建于明洪武年间，白胜敦本堂、龙口金玉堂均建于明万历年间，新溪叶氏世敬堂建于明弘治年间。这些祠堂迄今都有四至六百多年的历史。上朔彭族世德堂建于明正德九年（1514年），该族还有小宗祠堂十余座。此外，新田李族、浆田黄族、孔塘赖族、界址赵族、水松董族、古城李族的祠堂都有一定规模，且有悠久历史。这些祠堂积淀了不少宗族历史文化，可惜因年久失修或人为损毁，许多祠堂已破旧不堪，匾联碑刻不存，宗族文化仅依稀可辨。过去，各族祠堂都置有田产，谓之公尝，经历代积累，数额相当可观，其收入除供祭祖之用外，还补助族中子弟入学，奖励科考中试者，以及举办公益慈善事业。新田李族叙伦堂共有租284石，管理章程规定其收入“除祭祀完粮众用以外，所余华利照丁颁胙，遇有子孙游泮帮补，出贡中举登第者必给以花红奖赏，以示鼓励”。</w:t>
      </w:r>
    </w:p>
    <w:p w14:paraId="64059C61">
      <w:pPr>
        <w:ind w:firstLine="420"/>
        <w:rPr>
          <w:rFonts w:ascii="宋体" w:hAnsi="宋体" w:cs="宋体"/>
        </w:rPr>
      </w:pPr>
      <w:r>
        <w:rPr>
          <w:rFonts w:hint="eastAsia" w:ascii="宋体" w:hAnsi="宋体" w:cs="宋体"/>
        </w:rPr>
        <w:t>这个文化圈不兴拜神求仙，却流行过姓氏节的习俗。这是人们敬祖睦族的一种表现形式。相传各族以其祖先的诞生日或对该族具有重大意义的日子为姓氏节的节日。如龙口叶氏为八月十六日（农历，下同），界址赵氏为七月十四日，孔塘赖氏为七月初七日，新田李氏为九月十三日，上朔彭氏为十月初八日。较大的村落，节日活动隆重而热闹，历时3～5天，主要活动是设坛祭祖，抬祖像菩萨出行游村，请戏班唱戏，各家摆酒席宴请亲戚朋友。在姓氏节期间，一族聚会，合家团圆，亲朋相贺，充满亲热、欢乐、友爱、祥和的气氛，增进了亲友情谊，化解了一些社会矛盾，增强了凝聚力。这一习俗至今仍在流行，不过形式比过去简化了，迷信色彩大减，敬祖睦族之风犹存。</w:t>
      </w:r>
    </w:p>
    <w:p w14:paraId="3B7623FA">
      <w:pPr>
        <w:ind w:firstLine="420"/>
        <w:rPr>
          <w:rFonts w:ascii="宋体" w:hAnsi="宋体" w:cs="宋体"/>
        </w:rPr>
      </w:pPr>
      <w:r>
        <w:rPr>
          <w:rFonts w:hint="eastAsia" w:ascii="宋体" w:hAnsi="宋体" w:cs="宋体"/>
        </w:rPr>
        <w:t>这个文化圈民风勤劳悍直，士人又有喜好田园风光的雅兴，对村庄周围环境留心观赏，自得其乐。一村选定八个十个自然景点，冠以雅名，赋以诗词，志于族谱，号称某地八景，某地十景。如乌迳山下叶氏宅居八景，名为七星古树、九曲通衢、一溪活水、半亩方塘、陈抟石障、仙女灵岩、西窗夜读、南亩春耕。明万历举人叶中梅为每个景点各题诗两首。平林八景名为：天马朝南、油山耸翠、左岭石羊、右岭石冠、纱帽古迹、南亩春耕、画楼烟景、横桥襟带。孔子六十七代孙、清雍正庠生孔毓炎为各景点题诗一首。此外，还有溯江八景、白胜八景、龙溪八景、亨邦八景、李坑四景、龟塘八景、黄塘八景、平湖八景、朱溪八景、新溪十景、锦溪八景、朔溪八景等。景点之多，立名之雅，诗韵之清，宛如江浙苏杭之风光，充满客家喜山爱水之情怀。几百年来，星移物换，景点多已湮没。随着现代经济文化的发展，一些古景点必将焕发青春，更多的新景点也将蔚然而现。</w:t>
      </w:r>
    </w:p>
    <w:p w14:paraId="0F9C200B">
      <w:pPr>
        <w:pStyle w:val="5"/>
        <w:numPr>
          <w:ilvl w:val="0"/>
          <w:numId w:val="1"/>
        </w:numPr>
        <w:rPr>
          <w:rFonts w:ascii="宋体" w:hAnsi="宋体" w:cs="宋体"/>
        </w:rPr>
      </w:pPr>
      <w:r>
        <w:rPr>
          <w:rFonts w:hint="eastAsia" w:ascii="宋体" w:hAnsi="宋体" w:cs="宋体"/>
        </w:rPr>
        <w:t>中部文化圈</w:t>
      </w:r>
    </w:p>
    <w:p w14:paraId="3ADB4F93">
      <w:pPr>
        <w:ind w:firstLine="420"/>
        <w:rPr>
          <w:rFonts w:ascii="宋体" w:hAnsi="宋体" w:cs="宋体"/>
        </w:rPr>
      </w:pPr>
      <w:r>
        <w:rPr>
          <w:rFonts w:hint="eastAsia" w:ascii="宋体" w:hAnsi="宋体" w:cs="宋体"/>
        </w:rPr>
        <w:t>这一文化圈的地域为自黄坑以下，除南雄城区及其近郊以外的所有地区，含黄坑、邓坊、水口、江头、湖口、珠玑、百顺、澜河、帽子峰、古市、主田、全安等镇，面积约1600平方公里。人口20余万人，占全市总人口的50%多。这个文化圈大体形成于明代。</w:t>
      </w:r>
    </w:p>
    <w:p w14:paraId="0F4F362D">
      <w:pPr>
        <w:ind w:firstLine="420"/>
        <w:rPr>
          <w:rFonts w:ascii="宋体" w:hAnsi="宋体" w:cs="宋体"/>
        </w:rPr>
      </w:pPr>
      <w:r>
        <w:rPr>
          <w:rFonts w:hint="eastAsia" w:ascii="宋体" w:hAnsi="宋体" w:cs="宋体"/>
        </w:rPr>
        <w:t>聚居于此的氏族较多，主要的是刘、陈、黄、李、张、邓、何、钟、曾、王、吴、谢、郭、沈、朱等姓，而以刘、陈两姓人口最多，约占25%。</w:t>
      </w:r>
    </w:p>
    <w:p w14:paraId="72D6F658">
      <w:pPr>
        <w:ind w:firstLine="420"/>
        <w:rPr>
          <w:rFonts w:ascii="宋体" w:hAnsi="宋体" w:cs="宋体"/>
        </w:rPr>
      </w:pPr>
      <w:r>
        <w:rPr>
          <w:rFonts w:hint="eastAsia" w:ascii="宋体" w:hAnsi="宋体" w:cs="宋体"/>
        </w:rPr>
        <w:t>先从南雄第一大姓刘姓来看，刘氏先祖迁入南雄的先后有60多族。迁入时间除极少数在宋末外，其余多在明代至清初。他们来自客家大本营赣南的信丰、龙南、兴国、南安、上犹、安远以及闽西的武平，约有50%则是先从赣南、闽西迁至始兴而后再迁入南雄。刘族散居于20个镇179个村，而多聚居于盆地中心的湖口、珠玑、全安、黄坑等镇及市郊。湖口镇刘氏占该镇总人口的16%，珠玑镇占一成多。</w:t>
      </w:r>
    </w:p>
    <w:p w14:paraId="32023F87">
      <w:pPr>
        <w:ind w:firstLine="420"/>
        <w:rPr>
          <w:rFonts w:ascii="宋体" w:hAnsi="宋体" w:cs="宋体"/>
        </w:rPr>
      </w:pPr>
      <w:r>
        <w:rPr>
          <w:rFonts w:hint="eastAsia" w:ascii="宋体" w:hAnsi="宋体" w:cs="宋体"/>
        </w:rPr>
        <w:t>再看南雄第三大姓陈姓，其情况与刘姓差不多。早于宋代迁来珠玑巷的7族，均已迁徙珠江三角洲一带，现在居于南雄的10族，其中早在北宋治平年间迁来的一族居于横水，南宋末迁来的一族居于溪塘，其余八族多于明代或清初自始兴迁来，也有自江西泰和、信丰及福建汀州迁来，多散居于盆地丘陵。</w:t>
      </w:r>
    </w:p>
    <w:p w14:paraId="67470B7C">
      <w:pPr>
        <w:ind w:firstLine="420"/>
        <w:rPr>
          <w:rFonts w:ascii="宋体" w:hAnsi="宋体" w:cs="宋体"/>
        </w:rPr>
      </w:pPr>
      <w:r>
        <w:rPr>
          <w:rFonts w:hint="eastAsia" w:ascii="宋体" w:hAnsi="宋体" w:cs="宋体"/>
        </w:rPr>
        <w:t>再看张族，先后迁到南雄的有48族，其中2族于元代迁来，46族于明代清初迁来。来自闽西的2族，来自赣南的7族，来自曲江2族，来自翁源1族，来自始兴的36族。散居于172个村落，九成分布在南雄中西部，居于盆地丘陵者为多。</w:t>
      </w:r>
    </w:p>
    <w:p w14:paraId="33F90453">
      <w:pPr>
        <w:ind w:firstLine="420"/>
        <w:rPr>
          <w:rFonts w:ascii="宋体" w:hAnsi="宋体" w:cs="宋体"/>
        </w:rPr>
      </w:pPr>
      <w:r>
        <w:rPr>
          <w:rFonts w:hint="eastAsia" w:ascii="宋体" w:hAnsi="宋体" w:cs="宋体"/>
        </w:rPr>
        <w:t>这些氏族为何多在明代清初迁到南雄，而且多聚居于盆地中心地带？这与南雄农业经济发展有关。在古代，南迁氏族在南雄进行农业开发大体有二个历史阶段。一是宋代以前（含宋代），南迁来雄的多为仕宦之家，他们是为避乱举家挟资而来，选择在水利、土壤条件较好而又远离战乱的山区或半山区小块盆地中开基创业。如上节所述新田李族、乌迳叶族、平林孔族、上朔彭族、古城李族等，他们就水源而居，以农牧为业，耕读传家，为开发山区、半山区作出了贡献。再一个阶段是宋代以后，南迁入雄的氏族多为赣南、闽西的平民百姓，他们从赣南闽西迁到南雄；或先迁始兴历数代而后迁到南雄，迁徙的原因有因原居地人多地少，不易谋生，或因天灾人祸而寻找新的生活基地。他们迁到南雄时，水源土壤较好的地方已为先来的氏族聚居，就只得在盆地丘陵中择地而居了。盆地丘陵本来水利条件很差，干旱严重，但自宋代以来，兴修水利已有一定成效。宋代兴建凌陂、连、元代兴建罗陂，明代又兴建叶陂、宝陂、虎岸陂、珪塘陂、杨凹陂以及永灌塘、大湖塘、湖口塘、长丰塘、新塘等农田水利工程。这些工程都分布在盆地之中，为盆地的农业发展创造了有利条件。明末，自闽南传人南雄的黄烟，特别适宜于盆地红砂土种植，烟叶质量上乘，经济效益可观，盆地丘陵的经济优势逐渐显露，而成为当时农业开发的热点，吸引了众多的氏族迁来兴家立业。他们立足于干旱的红土地，发扬客家人刻苦勤劳的优良传统，世世代代战天斗地，为开发盆地丘陵付出了艰辛的劳动，氏族也随着盆地经济的发展而昌盛起来。</w:t>
      </w:r>
    </w:p>
    <w:p w14:paraId="51E8F549">
      <w:pPr>
        <w:ind w:firstLine="420"/>
        <w:rPr>
          <w:rFonts w:ascii="宋体" w:hAnsi="宋体" w:cs="宋体"/>
        </w:rPr>
      </w:pPr>
      <w:r>
        <w:rPr>
          <w:rFonts w:hint="eastAsia" w:ascii="宋体" w:hAnsi="宋体" w:cs="宋体"/>
        </w:rPr>
        <w:t>明代，特别是明嘉靖前后，始兴大批氏族迁徙南雄，除上述原因外，还有一个原因就是明嘉靖前后，龙南一带盗寇蜂起，流劫乡村，始兴与龙南毗连，而又比较富裕，首当其冲，许多氏族不堪骚扰而向南雄迁徙。据《直隶南雄州志》载：“弘治六年，强贼李三奴剽掠始兴。”“正德七年，安远寇流劫乡村。”“嘉靖廿四年冬，流贼逼郡城，肆行劫掠。”“（嘉靖）卅五年十一月平明，龙南贼直达小东门，焚掠民家，勢势甚猖獗。”“（嘉靖）卅七年，龙南贼犯始兴石坑等处，知府章接御之，败绩，为贼所伤者数百人。”“隆庆元年夏四月，龙南贼流劫乡村，知府周思文招抚归业”。在当时的情况下，南雄与始兴相对来说，南雄离龙南远些，而且是府治所在地，防御力量也强得多，因此，始兴不少氏族便很自然地到南雄寻找安居乐业之所。这是客家人祖祖辈辈在辗转迁徙中形成的本能。</w:t>
      </w:r>
    </w:p>
    <w:p w14:paraId="5CAAB218">
      <w:pPr>
        <w:ind w:firstLine="420"/>
        <w:rPr>
          <w:rFonts w:ascii="宋体" w:hAnsi="宋体" w:cs="宋体"/>
        </w:rPr>
      </w:pPr>
      <w:r>
        <w:rPr>
          <w:rFonts w:hint="eastAsia" w:ascii="宋体" w:hAnsi="宋体" w:cs="宋体"/>
        </w:rPr>
        <w:t>至于珠玑巷氏族，唐宋时即有不少中原氏族陆续迁此居住，休养生息。由于迁民越来越多，出现人多地少之患，且珠玑巷地处交通要冲，每逢乱世，难于安居。因此，中原南迁驻足于珠玑巷的氏族，在南宋时已陆续南迁珠江三角洲一带。现居珠玑巷氏族多为明清时迁入的客家氏族。</w:t>
      </w:r>
    </w:p>
    <w:p w14:paraId="2F5D56C7">
      <w:pPr>
        <w:ind w:firstLine="420"/>
        <w:rPr>
          <w:rFonts w:ascii="宋体" w:hAnsi="宋体" w:cs="宋体"/>
        </w:rPr>
      </w:pPr>
      <w:r>
        <w:rPr>
          <w:rFonts w:hint="eastAsia" w:ascii="宋体" w:hAnsi="宋体" w:cs="宋体"/>
        </w:rPr>
        <w:t>综上所述，中西部文化圈内聚居的都是来自客家大本营的客家人，实为客家文化圈。讲客话，唱山歌，住的是类似围屋的大屋，一头大门进去十几户或几十户鳞集而居。一屋一姓，也有一屋几姓的。民风淳厚，生活俭朴，吃苦耐劳，团结互助，客家风情，随处可见，无须赘述。</w:t>
      </w:r>
    </w:p>
    <w:p w14:paraId="5AFEB7C3">
      <w:pPr>
        <w:ind w:firstLine="420"/>
        <w:rPr>
          <w:rFonts w:ascii="宋体" w:hAnsi="宋体" w:cs="宋体"/>
        </w:rPr>
      </w:pPr>
      <w:r>
        <w:rPr>
          <w:rFonts w:hint="eastAsia" w:ascii="宋体" w:hAnsi="宋体" w:cs="宋体"/>
        </w:rPr>
        <w:t>这一文化圈最有特色的是黄烟文化。南雄黄烟自闽南传入三百多年来，数万烟农利用盆地独有的紫色土壤，采取精细的栽培技术，生产出名闻海内外的优质晒烟，叶色金黄、易燃灰白、烟味醇香，成了名牌特产。烟农在世世代代的生产实践中，祖传身教，积累了一整套栽培烤晒的经验。家家都有一本种烟经，村村都有几个烤晒烟叶的能手。1955年，湖口烟农谢泰强曾以专家身份出访越南。“长在烟头下，哪有不吸烟”。吸烟成了成年烟农的自然习俗，有的人成了品烟的行家，只要吸上几口烟，就能道出这烟叶的品种，产于哪类土壤，施用什么肥料，烟叶生长部位，烤晒烟技术掌握得如何等等，令人敬佩。吸烟对他们来说，不只是一种嗜好，而且是一种享受，一种交流。他们在吸烟中欣赏自己生产的成果，相互交流生产优质烟叶的高招。在烟区，馈赠亲友以选送自己生产的优质烟叶为贵重，交朋访友以敬烟为第一礼数。黄烟意识渗透于人们的生活之中，家庭以种烟多少论贫富，劳动力以会不会种烟比高下，商品的价格与烟叶对比定贵贱。以黄烟为题材的山歌、诗词、摄影、戏剧、舞蹈、小说等文艺作品，不断创作，丰富多彩。</w:t>
      </w:r>
    </w:p>
    <w:p w14:paraId="3AD5C840">
      <w:pPr>
        <w:ind w:firstLine="420"/>
        <w:rPr>
          <w:rFonts w:ascii="宋体" w:hAnsi="宋体" w:cs="宋体"/>
        </w:rPr>
      </w:pPr>
      <w:r>
        <w:rPr>
          <w:rFonts w:hint="eastAsia" w:ascii="宋体" w:hAnsi="宋体" w:cs="宋体"/>
        </w:rPr>
        <w:t>这一文化圈内客家氏族散居于乡村，祖祖辈辈历经辗转迁徙，养成了一种不断进取的精神，企求向南雄城发展。各姓头面人物不囿于乡村一隅，积极参与南雄城社会活动；都自筹巨资在南雄城建起一座座祠堂。如刘氏宗祠，由十三村倡议集资兴建，原建于洙泗巷，光绪三年改建于河边街。张氏宗祠建于今文明路，邓氏宗祠建于洙泗巷，何氏宗祠建于河边街，陈氏宗祠建于今永康路，朱氏宗祠建于居仁街。宗祠一般都有基金，为宗族活动提供费用。祠堂还设坛讲学，并为在南雄城求学的子弟无偿提供食宿生活设施。在很长的历史时期里，祠堂成了这些氏族城乡联系的一条重要纽带，促进氏族一批俊彦在雄城造就成长，事业有成。解放后，城内祠堂均改作厂房、仓库或民居，又起了另一番的历史作用。</w:t>
      </w:r>
    </w:p>
    <w:p w14:paraId="24AE2D77">
      <w:pPr>
        <w:ind w:firstLine="422"/>
        <w:rPr>
          <w:rFonts w:ascii="宋体" w:hAnsi="宋体" w:cs="宋体"/>
          <w:b/>
          <w:bCs/>
        </w:rPr>
      </w:pPr>
      <w:r>
        <w:rPr>
          <w:rFonts w:hint="eastAsia" w:ascii="宋体" w:hAnsi="宋体" w:cs="宋体"/>
          <w:b/>
          <w:bCs/>
        </w:rPr>
        <w:t>说明：客家大本营指赣南、闽西、梅州三个地区。魏晋以来，中原氏族南迁，多客居于赣南、闽西，与当地氏族融合而成客家民系，而后又南迁至梅州一带，进一步扩大发展成熟，因称赣南、闽西、梅州为客家大本营。</w:t>
      </w:r>
    </w:p>
    <w:p w14:paraId="24CDBCF3">
      <w:pPr>
        <w:pStyle w:val="5"/>
        <w:rPr>
          <w:rFonts w:ascii="宋体" w:hAnsi="宋体" w:cs="宋体"/>
        </w:rPr>
      </w:pPr>
      <w:r>
        <w:rPr>
          <w:rFonts w:hint="eastAsia" w:ascii="宋体" w:hAnsi="宋体" w:cs="宋体"/>
        </w:rPr>
        <w:t>三、城区文化圈</w:t>
      </w:r>
    </w:p>
    <w:p w14:paraId="1C734E86">
      <w:pPr>
        <w:ind w:firstLine="420"/>
        <w:rPr>
          <w:rFonts w:ascii="宋体" w:hAnsi="宋体" w:cs="宋体"/>
        </w:rPr>
      </w:pPr>
      <w:r>
        <w:rPr>
          <w:rFonts w:hint="eastAsia" w:ascii="宋体" w:hAnsi="宋体" w:cs="宋体"/>
        </w:rPr>
        <w:t>这一文化圈地域含城区和近郊村落，如黎口桥、赤水塘、满湖塘、水南、河南、水西、借村、田边水、洋汾水、四头门、塘尾、莲塘等，面积约50平方公里，人口约10万多人，占全市总人口的1/5强。由于城区社会历史的原因，文化圈演化时期较长，成熟较迟，约在清代康乾年间。</w:t>
      </w:r>
    </w:p>
    <w:p w14:paraId="62ABEE7B">
      <w:pPr>
        <w:ind w:firstLine="420"/>
        <w:rPr>
          <w:rFonts w:ascii="宋体" w:hAnsi="宋体" w:cs="宋体"/>
        </w:rPr>
      </w:pPr>
      <w:r>
        <w:rPr>
          <w:rFonts w:hint="eastAsia" w:ascii="宋体" w:hAnsi="宋体" w:cs="宋体"/>
        </w:rPr>
        <w:t>南汉置雄州，州城初设于大宁镇，即今溪塘。北宋皇祐四年（1052年）建斗城，元末扩建顾城，明成化筑水城，这才有了一个比较完整的城池。南雄城地处粤赣要冲，古代历经兵燹，社会动乱，居民不稳定。宋末，元兵逼境，城内居民几乎逃迁一空。明末清初，战火连绵，雄城三变旗帜，明清两军反复争夺，形同拉锯。顺治六年更遭清兵屠城，居民被杀六、七成，雄城几成废圩。现在城内居民，百姓杂居，历史不长。有谱可稽者有邓族，始迁祖邓向于北宋嘉祐三年（1056年）自曲江迁来北门今秋千街）定居，其后裔大部分已分迁聪背、腊树园、浥溪、坪田等地。叶族，曾有叶仁寿、叶仁和兄弟后裔七人于北宋中、元末先后迁来雄城北关，鳞集而居，名曰“叶氏山庄”，其后裔均已分迁白胜、溯水、塘东、姜塘、东坑等地。北门尚书里谭族，始迁祖谭渊于南宋末自始兴迁来，其后裔大部分已分迁珠玑、黎口、水口、百顺、澜河、帽子峰等地。上城汪族，始迁祖汪亨元于元至正年间为经商自江西景德镇迁来雄城。北门街朱族，始迁祖朱培于明初自上杭迁来，子孙多分迁大陂头、水西、借村、岭排等地。世显街罗族，始迁祖罗和于元至正年间自江西庐陵迁珠玑巷，再迁牛田，明成化间分迁雄城。小东门徐族，始迁祖徐缙亮于明崇祯年间由翁源迁来。八街胡族，始迁祖胡子开（胡定之父）于清康熙二十年由江西泰和县迁来。借村黄族于清康熙年间由福建连城迁来。莫族，先祖于明末自始兴迁来。五里山刘族，始迁祖刘弘于清顺治间自闽西建宁县迁来。斜头下陈族于清乾隆年间自溪塘迁入。巨富叶廷荣于清乾隆末由乌迳迁入雄城经商。由此可见，早期于宋代迁到南雄城的氏族，虽历经七八百年，但在社会动乱时后裔多已外迁他处，在城人口不多。元代以后迁来城内的居民来自四面八方，聚散无常。所以说南雄城无大姓巨族，而且多属客家民系。</w:t>
      </w:r>
    </w:p>
    <w:p w14:paraId="2CF4B6CE">
      <w:pPr>
        <w:ind w:firstLine="420"/>
        <w:rPr>
          <w:rFonts w:ascii="宋体" w:hAnsi="宋体" w:cs="宋体"/>
        </w:rPr>
      </w:pPr>
      <w:r>
        <w:rPr>
          <w:rFonts w:hint="eastAsia" w:ascii="宋体" w:hAnsi="宋体" w:cs="宋体"/>
        </w:rPr>
        <w:t>至于城内商户，籍贯多属江西、福建、广州、嘉应州，明清时有三四百家，是谓“市肆贸易，率多广郡江闽之旅。”他们多于明代清初前来雄城开店设厂。特别是清康乾年间正是雄城商贸繁荣时期。乾隆二十二年，清廷闭关自守，封闭了漳州、宁波、连云港三个外贸口岸，只许广州一个口岸对外通商，梅关古道成了唯一对外贸易通道，加上乾隆年间，南雄黄烟、土纸等商品生产的发展，吸引了各地客商逐利而来。因此，各种文化在雄城充分地交融磨合，一个独特的城区及其郊区文化圈历经宋、元、明代长期演化，就在清代康乾年间逐渐趋于成熟了。</w:t>
      </w:r>
    </w:p>
    <w:p w14:paraId="56A7A0E1">
      <w:pPr>
        <w:ind w:firstLine="420"/>
        <w:rPr>
          <w:rFonts w:ascii="宋体" w:hAnsi="宋体" w:cs="宋体"/>
        </w:rPr>
      </w:pPr>
      <w:r>
        <w:rPr>
          <w:rFonts w:hint="eastAsia" w:ascii="宋体" w:hAnsi="宋体" w:cs="宋体"/>
        </w:rPr>
        <w:t>城区讲的南雄话，只在城内和近郊通行，俗称“城壁话”。南雄话大概是在客家话基础上与商场的广府话和官场的官话融合而形成的。城区居民大多数来自客家地区，而城区周围乡村都是客家人，因此客家话成为城区的主导语言是很自然的。而广府到南雄经商的人不少，何况他们资本雄厚，在商界举足轻重；强大的经济实力必然强化其语言的影响。另外，雄城是州府衙署所在地，加上地处要冲，仕宦往来驻足、定居者不少，因此，官话盛行，影响也不小。所谓官话就是旧时通行较广的北方话，有北方官话、西南官话、下江官话之分。雄城居民在与官吏交往中融入官话，那是很自然的。南雄话细听起来，确有一些广府话和官话的成分。解放后，推广普通话；且有几百南下干部在雄城定居。所以，在南雄城区，除通行南雄话外，客家话、广府话、普通话也能通行，可说是个多方言的城市。一家成员能讲多种方言，看什么场合看什么人说什么话。</w:t>
      </w:r>
    </w:p>
    <w:p w14:paraId="5B9FFFF5">
      <w:pPr>
        <w:ind w:firstLine="420"/>
        <w:rPr>
          <w:rFonts w:ascii="宋体" w:hAnsi="宋体" w:cs="宋体"/>
        </w:rPr>
      </w:pPr>
      <w:r>
        <w:rPr>
          <w:rFonts w:hint="eastAsia" w:ascii="宋体" w:hAnsi="宋体" w:cs="宋体"/>
        </w:rPr>
        <w:t>城区文化是个多姿多彩的文化。在城内经商的江西、福建、广州、嘉应州人，各自成立同乡会，建会馆，办学校。城内号称四大会馆：江西会馆、福建会馆（均在永康路）、嘉应会馆（在打石街）、广州会馆（在埠前街）。各会馆建筑精良，风格各异，富有地方特色，以广州会馆最为精美。该馆建于明代中叶，历经修葺，是广东唯保存较完整的广府商人在客地建立的会馆，已列为南雄市历史文物，一经修茸，其风姿将与古塔、古城楼相互辉映。</w:t>
      </w:r>
    </w:p>
    <w:p w14:paraId="69FEB1BA">
      <w:pPr>
        <w:ind w:firstLine="420"/>
        <w:rPr>
          <w:rFonts w:ascii="宋体" w:hAnsi="宋体" w:cs="宋体"/>
        </w:rPr>
      </w:pPr>
      <w:r>
        <w:rPr>
          <w:rFonts w:hint="eastAsia" w:ascii="宋体" w:hAnsi="宋体" w:cs="宋体"/>
        </w:rPr>
        <w:t>民国时期，各同乡会自筹资金在会馆办学校，名为豫德小学（江西）、萃雄小学（福建）、嘉修小学（嘉应州）、广仁小学（广州）。各间小学都办得很出色。广仁小学从广州地区聘请教师，以广州方言教学，设备为各小学之冠，倡文明，尚新潮，引人注目。嘉修小学则倡导客家勤劳俭朴传统，师生赤足，令人惊赞。豫德、萃雄小学承传江西、福建之良好学风，教学质量较高，为世人称道。</w:t>
      </w:r>
    </w:p>
    <w:p w14:paraId="54FB077D">
      <w:pPr>
        <w:ind w:firstLine="420"/>
        <w:rPr>
          <w:rFonts w:ascii="宋体" w:hAnsi="宋体" w:cs="宋体"/>
        </w:rPr>
      </w:pPr>
      <w:r>
        <w:rPr>
          <w:rFonts w:hint="eastAsia" w:ascii="宋体" w:hAnsi="宋体" w:cs="宋体"/>
        </w:rPr>
        <w:t>城区文化圈是个开放式文化圈，宗教信仰，五花八门。过去，城区人拜的菩萨很多，旧志载的有文昌宫、关帝庙、天后宫、三皇宫、城隍庙、龙王庙、太子庙、七姑庙、盘古庙、风神庙、火神庙、药王庙、马王庙等等。各烧各的香，各拜各的神。城区人有尊儒的，有崇道的，有信佛的，也有奉天主教、基督教的，以信仰佛道为多。城区曾是寺庵林立，旧志载的有光孝寺、晓真寺、报本寺、延祥寺、仁和寺、渡山寺、洪山寺、真觉寺、莲社庵、万善庵、甘露庵、接龙庵、兴隆庵、西竺庵、青莲庵、长春庵、观音堂。道教立的有元妙观、祖师堂、玉虚宫等。各登各的殿，各念各的经。这些寺庙宫庵早已废毁，唯延祥寺塔（即三影塔）尚存，已重修，列为全国重点文物保护单位。近郊已重建万善庵、莲开净寺（即原莲社庵）。</w:t>
      </w:r>
    </w:p>
    <w:p w14:paraId="781931AA">
      <w:pPr>
        <w:ind w:firstLine="420"/>
        <w:rPr>
          <w:rFonts w:ascii="宋体" w:hAnsi="宋体" w:cs="宋体"/>
        </w:rPr>
      </w:pPr>
      <w:r>
        <w:rPr>
          <w:rFonts w:hint="eastAsia" w:ascii="宋体" w:hAnsi="宋体" w:cs="宋体"/>
        </w:rPr>
        <w:t>城区风尚祥和文雅。居民不分姓氏，互为邻里；商家不分地域，各谋其业。官而霸、富而霸者史无所载，世亦罕闻。就清代而言，能官能民，退而执教著述或行医济世者有之，如胡定、戴家驹、莫开瑶等。富甲一方而乐善好施者不乏其人，如胡仁辟、叶廷荣、莫百康等。皇华门“万里一清”牌坊耸竖，美好的传说，脍炙人口。尚书里谭族世代书香，“八行家风”名闻遐迩。汪注、汪枚父子为官清正，民颂其德。胡日初、罗世馨守正不阿，称誉福建。五里山刘理尧八世同居，堪称“德义之门”。还有一代师表曹傧、罗赞勤，济世名医朱选青、朱礼儒。商家尤多雅好，喜于店门张贴对联，时届春节，琳琅满目，有谓一城商铺一城联。梨园演出有江西采茶戏，湖南祁戏，广州粤剧，东江汉戏，丰富多彩。清代诗人朱彝尊《雄州歌》诗中有云：“十部梨园歌吹尽，行人虚说小扬州”。</w:t>
      </w:r>
    </w:p>
    <w:p w14:paraId="1B87A139">
      <w:pPr>
        <w:ind w:firstLine="420"/>
        <w:rPr>
          <w:rFonts w:ascii="宋体" w:hAnsi="宋体" w:cs="宋体"/>
        </w:rPr>
      </w:pPr>
      <w:r>
        <w:rPr>
          <w:rFonts w:hint="eastAsia" w:ascii="宋体" w:hAnsi="宋体" w:cs="宋体"/>
        </w:rPr>
        <w:t>城区人崇尚俭朴，勤俭持家，勤俭发家。一般民众布衣蔬食，嗜好唯辣椒、酸笋。风味食品则有酿豆腐、饺俚糍、板鸭、米花糕、炒石螺。均非珍稀之品，但具有自然之风味，地方之特色。酿豆腐可能由东江客家酿豆腐演变而来，名虽同而实质差别很大。南雄城人酿的是油烧豆腐，馅料主要是芋蓉，辅以香菇、虾米、冬笋、萝卜等，质较粗而味浊，但别有风味，历来为节日家宴之常菜。饺俚糍可能是仿效北方饺子而来，形如饺子而制作各异。饺子糍是用白黏米在草木灰中泡浸后磨浆蒸成薄片，用手捏成饺子状，内包些许酸菜辣椒，成本低廉而酸辣爽口开胃。雄城正宗板鸭俗称“曝腌”，因其是采用人工腌制和自然曝晒之法而成。选择在入冬霜风天气制作的为最佳，味香而骨酥。</w:t>
      </w:r>
    </w:p>
    <w:p w14:paraId="30D73AFD">
      <w:pPr>
        <w:ind w:firstLine="420"/>
        <w:rPr>
          <w:rFonts w:ascii="宋体" w:hAnsi="宋体" w:cs="宋体"/>
        </w:rPr>
      </w:pPr>
      <w:r>
        <w:rPr>
          <w:rFonts w:hint="eastAsia" w:ascii="宋体" w:hAnsi="宋体" w:cs="宋体"/>
        </w:rPr>
        <w:t>城区人共同生活在一个独特的文化圈里，很重人情，人们走在一起，不是远亲就是近邻。又有浓厚的爱乡恋乡之情。相传城里人出远门，坐船一过水西白水滩，陆行一下河南岭，看不见巾子岭，看不见三影塔，就有黯然神伤之感，甚至潸然泪下。可见南雄人对家乡情结之深。</w:t>
      </w:r>
    </w:p>
    <w:p w14:paraId="0E5489BB">
      <w:pPr>
        <w:ind w:firstLine="420"/>
        <w:rPr>
          <w:rFonts w:ascii="宋体" w:hAnsi="宋体" w:cs="宋体"/>
        </w:rPr>
      </w:pPr>
      <w:r>
        <w:rPr>
          <w:rFonts w:hint="eastAsia" w:ascii="宋体" w:hAnsi="宋体" w:cs="宋体"/>
        </w:rPr>
        <w:t>南雄城区不论从自然景物还是从人文风尚来看都充满着纯朴调谐气质。一个10多万人口的小城市，历经千年沧桑，积淀形成了一种独特的文化传统，是很可贵的。改革开放以来，南雄城市建设有很大发展，面貌焕然一新。人们在保护好历史文化的同时，加快现代化文化设施建设，正在向现代化文明城市迈进。</w:t>
      </w:r>
    </w:p>
    <w:p w14:paraId="458F6E72">
      <w:pPr>
        <w:pStyle w:val="4"/>
        <w:rPr>
          <w:rFonts w:ascii="宋体" w:hAnsi="宋体" w:cs="宋体"/>
        </w:rPr>
      </w:pPr>
      <w:r>
        <w:rPr>
          <w:rFonts w:hint="eastAsia" w:ascii="宋体" w:hAnsi="宋体" w:cs="宋体"/>
        </w:rPr>
        <w:t>迁雄氏族开基祖录</w:t>
      </w:r>
    </w:p>
    <w:p w14:paraId="1FC71425">
      <w:pPr>
        <w:ind w:firstLine="420"/>
        <w:rPr>
          <w:rFonts w:ascii="宋体" w:hAnsi="宋体" w:cs="宋体"/>
        </w:rPr>
      </w:pPr>
      <w:r>
        <w:rPr>
          <w:rFonts w:hint="eastAsia" w:ascii="宋体" w:hAnsi="宋体" w:cs="宋体"/>
        </w:rPr>
        <w:t>从已出土文物看，距今4000年至10000年的新石器早期，南雄已有人类活动。但从现居氏族族谱记载，南雄氏族都是从中原辗转迁来的移民。最早的于西晋迁入，而于唐宋迁入的约占20%，于明清迁入的约占70%迁入南雄氏族共有141姓，600余族，最多的刘氏有60余族，张氏、陈氏各有40余族，黄氏、李氏各有30余族。今就各氏族谱载其先祖入雄开基情况简录如下，共录入45姓350族。</w:t>
      </w:r>
    </w:p>
    <w:p w14:paraId="79A194E1">
      <w:pPr>
        <w:ind w:firstLine="0" w:firstLineChars="0"/>
        <w:jc w:val="center"/>
        <w:rPr>
          <w:rFonts w:ascii="宋体" w:hAnsi="宋体" w:cs="宋体"/>
          <w:b/>
          <w:bCs/>
        </w:rPr>
      </w:pPr>
      <w:r>
        <w:rPr>
          <w:rFonts w:hint="eastAsia" w:ascii="宋体" w:hAnsi="宋体" w:cs="宋体"/>
          <w:b/>
          <w:bCs/>
        </w:rPr>
        <w:t>刘氏</w:t>
      </w:r>
    </w:p>
    <w:p w14:paraId="3580BED3">
      <w:pPr>
        <w:ind w:firstLine="420"/>
        <w:rPr>
          <w:rFonts w:ascii="宋体" w:hAnsi="宋体" w:cs="宋体"/>
        </w:rPr>
      </w:pPr>
      <w:r>
        <w:rPr>
          <w:rFonts w:hint="eastAsia" w:ascii="宋体" w:hAnsi="宋体" w:cs="宋体"/>
        </w:rPr>
        <w:t>据《南雄刘氏重修联谱》称，南雄刘氏郡望彭城，先祖刘广传原居福建宁化石壁村，宋理宗端平二年（1235年）举进士，任江西瑞金县令，生十四子，其后裔辗转迁徙，先后有60多族迁入南雄。其中有一半从闽西、赣南迁来，一半则从闽西、赣南迁始兴而后再迁南雄，散居于18个镇179个村。其著者如：</w:t>
      </w:r>
    </w:p>
    <w:p w14:paraId="4995C40A">
      <w:pPr>
        <w:ind w:firstLine="422"/>
        <w:rPr>
          <w:rFonts w:ascii="宋体" w:hAnsi="宋体" w:cs="宋体"/>
        </w:rPr>
      </w:pPr>
      <w:r>
        <w:rPr>
          <w:rFonts w:hint="eastAsia" w:ascii="宋体" w:hAnsi="宋体" w:cs="宋体"/>
          <w:b/>
          <w:bCs/>
        </w:rPr>
        <w:t>南亩长洞刘族</w:t>
      </w:r>
      <w:r>
        <w:rPr>
          <w:rFonts w:hint="eastAsia" w:ascii="宋体" w:hAnsi="宋体" w:cs="宋体"/>
        </w:rPr>
        <w:t xml:space="preserve">  先祖刘祖富、祖贵兄弟于南宋末，从江西兴国迁南雄县囗悌街，其后裔转迁坪田之坪岗，再迁南亩之长洞开基。</w:t>
      </w:r>
    </w:p>
    <w:p w14:paraId="26E88A0E">
      <w:pPr>
        <w:ind w:firstLine="422"/>
        <w:rPr>
          <w:rFonts w:ascii="宋体" w:hAnsi="宋体" w:cs="宋体"/>
        </w:rPr>
      </w:pPr>
      <w:r>
        <w:rPr>
          <w:rFonts w:hint="eastAsia" w:ascii="宋体" w:hAnsi="宋体" w:cs="宋体"/>
          <w:b/>
          <w:bCs/>
        </w:rPr>
        <w:t xml:space="preserve">南亩官田刘族 </w:t>
      </w:r>
      <w:r>
        <w:rPr>
          <w:rFonts w:hint="eastAsia" w:ascii="宋体" w:hAnsi="宋体" w:cs="宋体"/>
        </w:rPr>
        <w:t xml:space="preserve"> 先祖刘景贤于明代永乐年间由福建武平迁官田开基。</w:t>
      </w:r>
    </w:p>
    <w:p w14:paraId="7D8C8896">
      <w:pPr>
        <w:ind w:firstLine="422"/>
        <w:rPr>
          <w:rFonts w:ascii="宋体" w:hAnsi="宋体" w:cs="宋体"/>
        </w:rPr>
      </w:pPr>
      <w:r>
        <w:rPr>
          <w:rFonts w:hint="eastAsia" w:ascii="宋体" w:hAnsi="宋体" w:cs="宋体"/>
          <w:b/>
          <w:bCs/>
        </w:rPr>
        <w:t xml:space="preserve">湖口里和刘族  </w:t>
      </w:r>
      <w:r>
        <w:rPr>
          <w:rFonts w:hint="eastAsia" w:ascii="宋体" w:hAnsi="宋体" w:cs="宋体"/>
        </w:rPr>
        <w:t>明代永乐年间，先祖刘延任由始兴迁入野猪窝开基，后裔分迁里和牛岗地、邓公桥。又明代嘉靖年间，先祖刘元信由始兴迁牛古陂开基。又明末，先祖刘彰晃由信丰回戈堡迁公陂坑开基。</w:t>
      </w:r>
    </w:p>
    <w:p w14:paraId="685689B7">
      <w:pPr>
        <w:ind w:firstLine="422"/>
        <w:rPr>
          <w:rFonts w:ascii="宋体" w:hAnsi="宋体" w:cs="宋体"/>
        </w:rPr>
      </w:pPr>
      <w:r>
        <w:rPr>
          <w:rFonts w:hint="eastAsia" w:ascii="宋体" w:hAnsi="宋体" w:cs="宋体"/>
          <w:b/>
          <w:bCs/>
        </w:rPr>
        <w:t xml:space="preserve">湖口岗围刘族  </w:t>
      </w:r>
      <w:r>
        <w:rPr>
          <w:rFonts w:hint="eastAsia" w:ascii="宋体" w:hAnsi="宋体" w:cs="宋体"/>
        </w:rPr>
        <w:t>先祖刘仁于明代永乐年间由江西信丰小河堡迁来开基。</w:t>
      </w:r>
    </w:p>
    <w:p w14:paraId="107C73C1">
      <w:pPr>
        <w:ind w:firstLine="422"/>
        <w:rPr>
          <w:rFonts w:ascii="宋体" w:hAnsi="宋体" w:cs="宋体"/>
        </w:rPr>
      </w:pPr>
      <w:r>
        <w:rPr>
          <w:rFonts w:hint="eastAsia" w:ascii="宋体" w:hAnsi="宋体" w:cs="宋体"/>
          <w:b/>
          <w:bCs/>
        </w:rPr>
        <w:t>湖口坪地刘族</w:t>
      </w:r>
      <w:r>
        <w:rPr>
          <w:rFonts w:hint="eastAsia" w:ascii="宋体" w:hAnsi="宋体" w:cs="宋体"/>
        </w:rPr>
        <w:t xml:space="preserve">  先祖刘学祖、学祥兄弟于明代嘉靖年间由始兴总村迁来开基。</w:t>
      </w:r>
    </w:p>
    <w:p w14:paraId="1909F497">
      <w:pPr>
        <w:ind w:firstLine="422"/>
        <w:rPr>
          <w:rFonts w:ascii="宋体" w:hAnsi="宋体" w:cs="宋体"/>
        </w:rPr>
      </w:pPr>
      <w:r>
        <w:rPr>
          <w:rFonts w:hint="eastAsia" w:ascii="宋体" w:hAnsi="宋体" w:cs="宋体"/>
          <w:b/>
          <w:bCs/>
        </w:rPr>
        <w:t>珠玑古田刘族</w:t>
      </w:r>
      <w:r>
        <w:rPr>
          <w:rFonts w:hint="eastAsia" w:ascii="宋体" w:hAnsi="宋体" w:cs="宋体"/>
        </w:rPr>
        <w:t xml:space="preserve">  先祖刘友灌于明代初由信丰小河堡迁来开基，后裔分迁许村、新村、洋坋等地。</w:t>
      </w:r>
    </w:p>
    <w:p w14:paraId="3C31BE9E">
      <w:pPr>
        <w:ind w:firstLine="422"/>
        <w:rPr>
          <w:rFonts w:ascii="宋体" w:hAnsi="宋体" w:cs="宋体"/>
        </w:rPr>
      </w:pPr>
      <w:r>
        <w:rPr>
          <w:rFonts w:hint="eastAsia" w:ascii="宋体" w:hAnsi="宋体" w:cs="宋体"/>
          <w:b/>
          <w:bCs/>
        </w:rPr>
        <w:t xml:space="preserve">珠玑塘村刘族 </w:t>
      </w:r>
      <w:r>
        <w:rPr>
          <w:rFonts w:hint="eastAsia" w:ascii="宋体" w:hAnsi="宋体" w:cs="宋体"/>
        </w:rPr>
        <w:t xml:space="preserve"> 先祖刘倚聪兄弟于明代嘉靖年间由信丰石背迁来开基，其后裔分迁许村、河村、云田水、下罗田、灵潭等地。</w:t>
      </w:r>
    </w:p>
    <w:p w14:paraId="031775FB">
      <w:pPr>
        <w:ind w:firstLine="422"/>
        <w:rPr>
          <w:rFonts w:ascii="宋体" w:hAnsi="宋体" w:cs="宋体"/>
        </w:rPr>
      </w:pPr>
      <w:r>
        <w:rPr>
          <w:rFonts w:hint="eastAsia" w:ascii="宋体" w:hAnsi="宋体" w:cs="宋体"/>
          <w:b/>
          <w:bCs/>
        </w:rPr>
        <w:t>珠玑长迳三驳桥刘族</w:t>
      </w:r>
      <w:r>
        <w:rPr>
          <w:rFonts w:hint="eastAsia" w:ascii="宋体" w:hAnsi="宋体" w:cs="宋体"/>
        </w:rPr>
        <w:t xml:space="preserve">  先祖刘世宾于明代初由始兴总村迁来开基。</w:t>
      </w:r>
    </w:p>
    <w:p w14:paraId="37F2EB8A">
      <w:pPr>
        <w:ind w:firstLine="422"/>
        <w:rPr>
          <w:rFonts w:ascii="宋体" w:hAnsi="宋体" w:cs="宋体"/>
        </w:rPr>
      </w:pPr>
      <w:r>
        <w:rPr>
          <w:rFonts w:hint="eastAsia" w:ascii="宋体" w:hAnsi="宋体" w:cs="宋体"/>
          <w:b/>
          <w:bCs/>
        </w:rPr>
        <w:t xml:space="preserve">雄州勋口月光坪刘族 </w:t>
      </w:r>
      <w:r>
        <w:rPr>
          <w:rFonts w:hint="eastAsia" w:ascii="宋体" w:hAnsi="宋体" w:cs="宋体"/>
        </w:rPr>
        <w:t xml:space="preserve"> 先祖刘高柏、刘高觉兄弟于明代嘉靖年间由始兴朔源迁来开基。</w:t>
      </w:r>
    </w:p>
    <w:p w14:paraId="760926DC">
      <w:pPr>
        <w:ind w:firstLine="422"/>
        <w:rPr>
          <w:rFonts w:ascii="宋体" w:hAnsi="宋体" w:cs="宋体"/>
        </w:rPr>
      </w:pPr>
      <w:r>
        <w:rPr>
          <w:rFonts w:hint="eastAsia" w:ascii="宋体" w:hAnsi="宋体" w:cs="宋体"/>
          <w:b/>
          <w:bCs/>
        </w:rPr>
        <w:t xml:space="preserve">雄州瑶坑刘族 </w:t>
      </w:r>
      <w:r>
        <w:rPr>
          <w:rFonts w:hint="eastAsia" w:ascii="宋体" w:hAnsi="宋体" w:cs="宋体"/>
        </w:rPr>
        <w:t xml:space="preserve"> 先祖刘虞闻于明代嘉靖年间由始兴朔源迁来开基，其后裔分迁五渡、洋湖、聪背、主田等地。</w:t>
      </w:r>
    </w:p>
    <w:p w14:paraId="76AB069F">
      <w:pPr>
        <w:ind w:firstLine="422"/>
        <w:rPr>
          <w:rFonts w:ascii="宋体" w:hAnsi="宋体" w:cs="宋体"/>
        </w:rPr>
      </w:pPr>
      <w:r>
        <w:rPr>
          <w:rFonts w:hint="eastAsia" w:ascii="宋体" w:hAnsi="宋体" w:cs="宋体"/>
          <w:b/>
          <w:bCs/>
        </w:rPr>
        <w:t xml:space="preserve">黄坑猪头岭刘族 </w:t>
      </w:r>
      <w:r>
        <w:rPr>
          <w:rFonts w:hint="eastAsia" w:ascii="宋体" w:hAnsi="宋体" w:cs="宋体"/>
        </w:rPr>
        <w:t xml:space="preserve"> 先祖刘元峰于明代末自江西上犹迁来开基，其后裔分迁灯笼排、主田大旺洞等地。</w:t>
      </w:r>
    </w:p>
    <w:p w14:paraId="6FAADB66">
      <w:pPr>
        <w:ind w:firstLine="422"/>
        <w:rPr>
          <w:rFonts w:ascii="宋体" w:hAnsi="宋体" w:cs="宋体"/>
        </w:rPr>
      </w:pPr>
      <w:r>
        <w:rPr>
          <w:rFonts w:hint="eastAsia" w:ascii="宋体" w:hAnsi="宋体" w:cs="宋体"/>
          <w:b/>
          <w:bCs/>
        </w:rPr>
        <w:t xml:space="preserve">水口流坑刘族 </w:t>
      </w:r>
      <w:r>
        <w:rPr>
          <w:rFonts w:hint="eastAsia" w:ascii="宋体" w:hAnsi="宋体" w:cs="宋体"/>
        </w:rPr>
        <w:t xml:space="preserve"> 先祖刘巨江于明末由始兴塘角迁来开基，其后裔分迁竹头坪、樟木山等地。</w:t>
      </w:r>
    </w:p>
    <w:p w14:paraId="3C2E0D7E">
      <w:pPr>
        <w:ind w:firstLine="422"/>
        <w:rPr>
          <w:rFonts w:ascii="宋体" w:hAnsi="宋体" w:cs="宋体"/>
        </w:rPr>
      </w:pPr>
      <w:r>
        <w:rPr>
          <w:rFonts w:hint="eastAsia" w:ascii="宋体" w:hAnsi="宋体" w:cs="宋体"/>
          <w:b/>
          <w:bCs/>
        </w:rPr>
        <w:t xml:space="preserve">水口石塘刘族 </w:t>
      </w:r>
      <w:r>
        <w:rPr>
          <w:rFonts w:hint="eastAsia" w:ascii="宋体" w:hAnsi="宋体" w:cs="宋体"/>
        </w:rPr>
        <w:t xml:space="preserve"> 先祖刘友浓于明嘉靖由龙南大龙堡迁入南雄赵东坑，万历年间后裔刘瑞迁石塘开基，后裔分迁长迳桥等地。</w:t>
      </w:r>
    </w:p>
    <w:p w14:paraId="4BD4351C">
      <w:pPr>
        <w:ind w:firstLine="422"/>
        <w:rPr>
          <w:rFonts w:ascii="宋体" w:hAnsi="宋体" w:cs="宋体"/>
        </w:rPr>
      </w:pPr>
      <w:r>
        <w:rPr>
          <w:rFonts w:hint="eastAsia" w:ascii="宋体" w:hAnsi="宋体" w:cs="宋体"/>
          <w:b/>
          <w:bCs/>
        </w:rPr>
        <w:t xml:space="preserve">全安琵琶岭刘族 </w:t>
      </w:r>
      <w:r>
        <w:rPr>
          <w:rFonts w:hint="eastAsia" w:ascii="宋体" w:hAnsi="宋体" w:cs="宋体"/>
        </w:rPr>
        <w:t xml:space="preserve"> 先祖刘昌明于明代天顺八年（1464年），由福建汀州迁江西信丰鸡龙石，居一载，因天旱复迁始兴张源洞。明代成化年间其后裔再迁琵琶岭开基。</w:t>
      </w:r>
    </w:p>
    <w:p w14:paraId="7BD2521C">
      <w:pPr>
        <w:ind w:firstLine="422"/>
        <w:rPr>
          <w:rFonts w:ascii="宋体" w:hAnsi="宋体" w:cs="宋体"/>
        </w:rPr>
      </w:pPr>
      <w:r>
        <w:rPr>
          <w:rFonts w:hint="eastAsia" w:ascii="宋体" w:hAnsi="宋体" w:cs="宋体"/>
          <w:b/>
          <w:bCs/>
        </w:rPr>
        <w:t>雄州铺背围俚刘族</w:t>
      </w:r>
      <w:r>
        <w:rPr>
          <w:rFonts w:hint="eastAsia" w:ascii="宋体" w:hAnsi="宋体" w:cs="宋体"/>
        </w:rPr>
        <w:t xml:space="preserve">  先祖刘国习于明代嘉靖年间由始兴总村迁来开基。</w:t>
      </w:r>
    </w:p>
    <w:p w14:paraId="7F594CC3">
      <w:pPr>
        <w:ind w:firstLine="422"/>
        <w:rPr>
          <w:rFonts w:ascii="宋体" w:hAnsi="宋体" w:cs="宋体"/>
        </w:rPr>
      </w:pPr>
      <w:r>
        <w:rPr>
          <w:rFonts w:hint="eastAsia" w:ascii="宋体" w:hAnsi="宋体" w:cs="宋体"/>
          <w:b/>
          <w:bCs/>
        </w:rPr>
        <w:t xml:space="preserve">油山下惠东坑锡上刘族  </w:t>
      </w:r>
      <w:r>
        <w:rPr>
          <w:rFonts w:hint="eastAsia" w:ascii="宋体" w:hAnsi="宋体" w:cs="宋体"/>
        </w:rPr>
        <w:t>先祖刘良秀于清代初自始兴山口豆迁来东坑开基；刘先秀迁上锡开基。</w:t>
      </w:r>
    </w:p>
    <w:p w14:paraId="0708E892">
      <w:pPr>
        <w:ind w:firstLine="0" w:firstLineChars="0"/>
        <w:jc w:val="center"/>
        <w:rPr>
          <w:rFonts w:ascii="宋体" w:hAnsi="宋体" w:cs="宋体"/>
          <w:b/>
          <w:bCs/>
        </w:rPr>
      </w:pPr>
      <w:r>
        <w:rPr>
          <w:rFonts w:hint="eastAsia" w:ascii="宋体" w:hAnsi="宋体" w:cs="宋体"/>
          <w:b/>
          <w:bCs/>
        </w:rPr>
        <w:t>叶氏</w:t>
      </w:r>
    </w:p>
    <w:p w14:paraId="67D6F350">
      <w:pPr>
        <w:ind w:firstLine="420"/>
        <w:rPr>
          <w:rFonts w:ascii="宋体" w:hAnsi="宋体" w:cs="宋体"/>
        </w:rPr>
      </w:pPr>
      <w:r>
        <w:rPr>
          <w:rFonts w:hint="eastAsia" w:ascii="宋体" w:hAnsi="宋体" w:cs="宋体"/>
        </w:rPr>
        <w:t>据南雄叶氏联谱称，叶氏受姓始祖诸梁一世，周楚大夫，郡望南阳。传七十世乾昱，居浙江松阳，生五子，第二、三、四子后裔先后有八支于唐宋时期因游宦而迁到南雄，聚居于南雄东北诸镇。</w:t>
      </w:r>
    </w:p>
    <w:p w14:paraId="029136E7">
      <w:pPr>
        <w:ind w:firstLine="422"/>
        <w:rPr>
          <w:rFonts w:ascii="宋体" w:hAnsi="宋体" w:cs="宋体"/>
        </w:rPr>
      </w:pPr>
      <w:r>
        <w:rPr>
          <w:rFonts w:hint="eastAsia" w:ascii="宋体" w:hAnsi="宋体" w:cs="宋体"/>
          <w:b/>
          <w:bCs/>
        </w:rPr>
        <w:t>乌迳七星树下叶族</w:t>
      </w:r>
      <w:r>
        <w:rPr>
          <w:rFonts w:hint="eastAsia" w:ascii="宋体" w:hAnsi="宋体" w:cs="宋体"/>
        </w:rPr>
        <w:t xml:space="preserve">  先祖叶崇义名浚，原居浙江处州丽水县，唐代乾符初年授广东崖州都督，年老告归至南雄，闻黄巢寇入长安，道路云扰，乃择地卜居于乌迳七星树下（今山下村）开基创业，生三子：雨物、雨济、雨时。雨物、雨济外迁，雨时字云兴，仍居乌迳，仕南汉为千夫长，保境安民，战死白石岗，敕封都统，子孙繁衍，其后裔分迁坪田等地，为南雄巨族。</w:t>
      </w:r>
    </w:p>
    <w:p w14:paraId="36CC534D">
      <w:pPr>
        <w:ind w:firstLine="422"/>
        <w:rPr>
          <w:rFonts w:ascii="宋体" w:hAnsi="宋体" w:cs="宋体"/>
        </w:rPr>
      </w:pPr>
      <w:r>
        <w:rPr>
          <w:rFonts w:hint="eastAsia" w:ascii="宋体" w:hAnsi="宋体" w:cs="宋体"/>
          <w:b/>
          <w:bCs/>
        </w:rPr>
        <w:t xml:space="preserve">乌迳龙迳叶族  </w:t>
      </w:r>
      <w:r>
        <w:rPr>
          <w:rFonts w:hint="eastAsia" w:ascii="宋体" w:hAnsi="宋体" w:cs="宋体"/>
        </w:rPr>
        <w:t>先祖叶崇礼，唐代咸通初以孝行任常州刺史。其次子瞻鉴，以太常博士出知合州。天复三年（903年）瞻鉴病卒于南雄沙水，其家属遂就地卜居，其后裔迁龙迳开基，又分迁朱溪。</w:t>
      </w:r>
    </w:p>
    <w:p w14:paraId="0D3BB728">
      <w:pPr>
        <w:ind w:firstLine="422"/>
        <w:rPr>
          <w:rFonts w:ascii="宋体" w:hAnsi="宋体" w:cs="宋体"/>
        </w:rPr>
      </w:pPr>
      <w:r>
        <w:rPr>
          <w:rFonts w:hint="eastAsia" w:ascii="宋体" w:hAnsi="宋体" w:cs="宋体"/>
          <w:b/>
          <w:bCs/>
        </w:rPr>
        <w:t xml:space="preserve">乌迳白胜、溯水、珠玑塘东叶族 </w:t>
      </w:r>
      <w:r>
        <w:rPr>
          <w:rFonts w:hint="eastAsia" w:ascii="宋体" w:hAnsi="宋体" w:cs="宋体"/>
        </w:rPr>
        <w:t xml:space="preserve"> 先祖叶希泽，银青光禄大夫、监察御史中丞，生九子。次子裔文德、文宗、文修、文崖兄弟四人于元未自江西信丰桃江迁南雄世显街（今四头门），与早于南宋初卜居于此的叶氏兄弟鳞集而居，名曰“叶氏山庄”。明初，文德后裔叶用谦迁居白胜开基，文宗后裔叶万福迁溯水开基，叶万全迁塘东开基。</w:t>
      </w:r>
    </w:p>
    <w:p w14:paraId="29C84B85">
      <w:pPr>
        <w:ind w:firstLine="422"/>
        <w:rPr>
          <w:rFonts w:ascii="宋体" w:hAnsi="宋体" w:cs="宋体"/>
        </w:rPr>
      </w:pPr>
      <w:r>
        <w:rPr>
          <w:rFonts w:hint="eastAsia" w:ascii="宋体" w:hAnsi="宋体" w:cs="宋体"/>
          <w:b/>
          <w:bCs/>
        </w:rPr>
        <w:t xml:space="preserve">坪田姜塘、东坑、龙头叶族 </w:t>
      </w:r>
      <w:r>
        <w:rPr>
          <w:rFonts w:hint="eastAsia" w:ascii="宋体" w:hAnsi="宋体" w:cs="宋体"/>
        </w:rPr>
        <w:t xml:space="preserve"> 先祖叶希泽第五子仁和，宋神宗熙宁二年（1069年）进士第一，官直学士。其孙叶蓊，龙门县令。南宋初，解组归，闻余寇未靖，遂卜居南雄北关（今四头门）。七传至文逊、文实、文贽兄弟，于元代延祐甲寅（1314年），自北关迁居坪田，文逊、文实卜居姜塘，文贽卜居东坑。其后，又有叶甘霖于南宋绍兴年间，由雄城北关迁坪田龙头开基。</w:t>
      </w:r>
    </w:p>
    <w:p w14:paraId="7D5337F6">
      <w:pPr>
        <w:ind w:firstLine="422"/>
        <w:rPr>
          <w:rFonts w:ascii="宋体" w:hAnsi="宋体" w:cs="宋体"/>
        </w:rPr>
      </w:pPr>
      <w:r>
        <w:rPr>
          <w:rFonts w:hint="eastAsia" w:ascii="宋体" w:hAnsi="宋体" w:cs="宋体"/>
          <w:b/>
          <w:bCs/>
        </w:rPr>
        <w:t xml:space="preserve">坪田龙溪、乌迳竹溪叶族 </w:t>
      </w:r>
      <w:r>
        <w:rPr>
          <w:rFonts w:hint="eastAsia" w:ascii="宋体" w:hAnsi="宋体" w:cs="宋体"/>
        </w:rPr>
        <w:t xml:space="preserve"> 先祖叶仲华，官户部侍郎，南宋绍兴十五年（1145年）随岭南安抚使黄宣来粤，因爱南雄山水，挈家自浙江天台迁居南雄城，生二子，南英、南昌。南英徙居乌迳，其次子叶熙元于孝宗隆兴三年（1165年）迁龙溪开基。南昌之子叶以仁于南宋末迁竹溪（大竹）开基。</w:t>
      </w:r>
    </w:p>
    <w:p w14:paraId="70BDFC41">
      <w:pPr>
        <w:ind w:firstLine="422"/>
        <w:rPr>
          <w:rFonts w:ascii="宋体" w:hAnsi="宋体" w:cs="宋体"/>
        </w:rPr>
      </w:pPr>
      <w:r>
        <w:rPr>
          <w:rFonts w:hint="eastAsia" w:ascii="宋体" w:hAnsi="宋体" w:cs="宋体"/>
          <w:b/>
          <w:bCs/>
        </w:rPr>
        <w:t xml:space="preserve">坪田亨邦叶族  </w:t>
      </w:r>
      <w:r>
        <w:rPr>
          <w:rFonts w:hint="eastAsia" w:ascii="宋体" w:hAnsi="宋体" w:cs="宋体"/>
        </w:rPr>
        <w:t>先祖叶宗文，南宋咸淳乙丑进士，任南雄教授，于德祐乙丑（1275年）与弟宗武挈家自南京迁来亨邦开基。</w:t>
      </w:r>
    </w:p>
    <w:p w14:paraId="1A2F0A05">
      <w:pPr>
        <w:ind w:firstLine="0" w:firstLineChars="0"/>
        <w:jc w:val="center"/>
        <w:rPr>
          <w:rFonts w:ascii="宋体" w:hAnsi="宋体" w:cs="宋体"/>
          <w:b/>
          <w:bCs/>
        </w:rPr>
      </w:pPr>
      <w:r>
        <w:rPr>
          <w:rFonts w:hint="eastAsia" w:ascii="宋体" w:hAnsi="宋体" w:cs="宋体"/>
          <w:b/>
          <w:bCs/>
        </w:rPr>
        <w:t>黄氏</w:t>
      </w:r>
    </w:p>
    <w:p w14:paraId="770EE207">
      <w:pPr>
        <w:ind w:firstLine="420"/>
        <w:rPr>
          <w:rFonts w:ascii="宋体" w:hAnsi="宋体" w:cs="宋体"/>
        </w:rPr>
      </w:pPr>
      <w:r>
        <w:rPr>
          <w:rFonts w:hint="eastAsia" w:ascii="宋体" w:hAnsi="宋体" w:cs="宋体"/>
        </w:rPr>
        <w:t>《南雄黄氏族谱》（1999年）称：南雄黄氏多为黄峭山之后。黄峭山，世居福建邵武，唐末进士，累官尚书令，生二十一子，遣十八子分别徙居各地。其后裔迁到南雄开基者有：</w:t>
      </w:r>
    </w:p>
    <w:p w14:paraId="06A1D08D">
      <w:pPr>
        <w:ind w:firstLine="422"/>
        <w:rPr>
          <w:rFonts w:ascii="宋体" w:hAnsi="宋体" w:cs="宋体"/>
        </w:rPr>
      </w:pPr>
      <w:r>
        <w:rPr>
          <w:rFonts w:hint="eastAsia" w:ascii="宋体" w:hAnsi="宋体" w:cs="宋体"/>
          <w:b/>
          <w:bCs/>
        </w:rPr>
        <w:t>油山浆田大井坊黄族</w:t>
      </w:r>
      <w:r>
        <w:rPr>
          <w:rFonts w:hint="eastAsia" w:ascii="宋体" w:hAnsi="宋体" w:cs="宋体"/>
        </w:rPr>
        <w:t xml:space="preserve">  始迁祖黄辅魁，原居福建宁化。南宋中，赐进士及第，任广东安抚使，因朝政腐败，辞官隐居浆田大井坊，建一本堂，其后裔分迁新龙、邓坊、南亩等地。</w:t>
      </w:r>
    </w:p>
    <w:p w14:paraId="1C6E0115">
      <w:pPr>
        <w:ind w:firstLine="422"/>
        <w:rPr>
          <w:rFonts w:ascii="宋体" w:hAnsi="宋体" w:cs="宋体"/>
        </w:rPr>
      </w:pPr>
      <w:r>
        <w:rPr>
          <w:rFonts w:hint="eastAsia" w:ascii="宋体" w:hAnsi="宋体" w:cs="宋体"/>
          <w:b/>
          <w:bCs/>
        </w:rPr>
        <w:t xml:space="preserve">油山浆田爱敬堂黄族 </w:t>
      </w:r>
      <w:r>
        <w:rPr>
          <w:rFonts w:hint="eastAsia" w:ascii="宋体" w:hAnsi="宋体" w:cs="宋体"/>
        </w:rPr>
        <w:t xml:space="preserve"> 始迁祖黄元轩，原居浙江绍兴。南宋末，元轩之父黄缜任韶州教授，景炎二年（1277年）任满归里，道卒南雄，元轩扶榇避兵走信丰，路经浆田，爱其风土，并得大井坊宗亲之助，就地葬父卜居。元代延祐甲寅（1314年）建爱敬堂。</w:t>
      </w:r>
    </w:p>
    <w:p w14:paraId="35AF84D4">
      <w:pPr>
        <w:ind w:firstLine="422"/>
        <w:rPr>
          <w:rFonts w:ascii="宋体" w:hAnsi="宋体" w:cs="宋体"/>
        </w:rPr>
      </w:pPr>
      <w:r>
        <w:rPr>
          <w:rFonts w:hint="eastAsia" w:ascii="宋体" w:hAnsi="宋体" w:cs="宋体"/>
          <w:b/>
          <w:bCs/>
        </w:rPr>
        <w:t xml:space="preserve">油山上浆田黄族  </w:t>
      </w:r>
      <w:r>
        <w:rPr>
          <w:rFonts w:hint="eastAsia" w:ascii="宋体" w:hAnsi="宋体" w:cs="宋体"/>
        </w:rPr>
        <w:t>始迁祖有二：一为黄伯麟，南宋绍定元年举人，随兄伯启游宦来粤。景定二年（1254年）择地上浆田前宅隐居，子孙繁衍。另一始迁祖黄辅亮于元代元贞丙申（1296年）由江西黄金高楼迁来开基。</w:t>
      </w:r>
    </w:p>
    <w:p w14:paraId="0CE19C1D">
      <w:pPr>
        <w:ind w:firstLine="422"/>
        <w:rPr>
          <w:rFonts w:ascii="宋体" w:hAnsi="宋体" w:cs="宋体"/>
        </w:rPr>
      </w:pPr>
      <w:r>
        <w:rPr>
          <w:rFonts w:hint="eastAsia" w:ascii="宋体" w:hAnsi="宋体" w:cs="宋体"/>
          <w:b/>
          <w:bCs/>
        </w:rPr>
        <w:t>主田乌石黄族</w:t>
      </w:r>
      <w:r>
        <w:rPr>
          <w:rFonts w:hint="eastAsia" w:ascii="宋体" w:hAnsi="宋体" w:cs="宋体"/>
        </w:rPr>
        <w:t xml:space="preserve">  先祖黄青于元代从福建宁化迁南雄城玄妙观前定居，传四代至黄福良，于明代洪武二年（1369年）迁主田乌石开基。</w:t>
      </w:r>
    </w:p>
    <w:p w14:paraId="55A97218">
      <w:pPr>
        <w:ind w:firstLine="422"/>
        <w:rPr>
          <w:rFonts w:ascii="宋体" w:hAnsi="宋体" w:cs="宋体"/>
        </w:rPr>
      </w:pPr>
      <w:r>
        <w:rPr>
          <w:rFonts w:hint="eastAsia" w:ascii="宋体" w:hAnsi="宋体" w:cs="宋体"/>
          <w:b/>
          <w:bCs/>
        </w:rPr>
        <w:t>油山黄地黄族</w:t>
      </w:r>
      <w:r>
        <w:rPr>
          <w:rFonts w:hint="eastAsia" w:ascii="宋体" w:hAnsi="宋体" w:cs="宋体"/>
        </w:rPr>
        <w:t xml:space="preserve">  始迁祖黄树孙，号千一，于元大德年间由江西庐陵迁上朔，其后裔于明永乐二十一年（1423年）再迁黄地开基。</w:t>
      </w:r>
    </w:p>
    <w:p w14:paraId="62AF9483">
      <w:pPr>
        <w:ind w:firstLine="422"/>
        <w:rPr>
          <w:rFonts w:ascii="宋体" w:hAnsi="宋体" w:cs="宋体"/>
        </w:rPr>
      </w:pPr>
      <w:r>
        <w:rPr>
          <w:rFonts w:hint="eastAsia" w:ascii="宋体" w:hAnsi="宋体" w:cs="宋体"/>
          <w:b/>
          <w:bCs/>
        </w:rPr>
        <w:t xml:space="preserve">百顺黄屋城黄族  </w:t>
      </w:r>
      <w:r>
        <w:rPr>
          <w:rFonts w:hint="eastAsia" w:ascii="宋体" w:hAnsi="宋体" w:cs="宋体"/>
        </w:rPr>
        <w:t>先祖黄文山原居程乡（梅县），明代弘治元年（1488年）迁百顺司城开基，创建黄屋城。后裔分迁寨地、新地、孔寨洞等地。</w:t>
      </w:r>
    </w:p>
    <w:p w14:paraId="6AEBC19E">
      <w:pPr>
        <w:ind w:firstLine="422"/>
        <w:rPr>
          <w:rFonts w:ascii="宋体" w:hAnsi="宋体" w:cs="宋体"/>
        </w:rPr>
      </w:pPr>
      <w:r>
        <w:rPr>
          <w:rFonts w:hint="eastAsia" w:ascii="宋体" w:hAnsi="宋体" w:cs="宋体"/>
          <w:b/>
          <w:bCs/>
        </w:rPr>
        <w:t xml:space="preserve">珠玑灵潭黄族 </w:t>
      </w:r>
      <w:r>
        <w:rPr>
          <w:rFonts w:hint="eastAsia" w:ascii="宋体" w:hAnsi="宋体" w:cs="宋体"/>
        </w:rPr>
        <w:t xml:space="preserve"> 先祖黄显福于明代成化壬寅（1482年）由江西龙南象塘堡迁邓坊上杨梅，其子朝亮等兄弟四人于1523年再迁灵潭石坪开基。又一先祖黄耀，于清代康熙年间由始兴周所迁来开基。</w:t>
      </w:r>
    </w:p>
    <w:p w14:paraId="1163FF0E">
      <w:pPr>
        <w:ind w:firstLine="422"/>
        <w:rPr>
          <w:rFonts w:ascii="宋体" w:hAnsi="宋体" w:cs="宋体"/>
        </w:rPr>
      </w:pPr>
      <w:r>
        <w:rPr>
          <w:rFonts w:hint="eastAsia" w:ascii="宋体" w:hAnsi="宋体" w:cs="宋体"/>
          <w:b/>
          <w:bCs/>
        </w:rPr>
        <w:t xml:space="preserve">雄州长岭黄族  </w:t>
      </w:r>
      <w:r>
        <w:rPr>
          <w:rFonts w:hint="eastAsia" w:ascii="宋体" w:hAnsi="宋体" w:cs="宋体"/>
        </w:rPr>
        <w:t>先祖黄元芳于明末由南胜县迁来开基。</w:t>
      </w:r>
    </w:p>
    <w:p w14:paraId="709401FE">
      <w:pPr>
        <w:ind w:firstLine="0" w:firstLineChars="0"/>
        <w:jc w:val="center"/>
        <w:rPr>
          <w:rFonts w:ascii="宋体" w:hAnsi="宋体" w:cs="宋体"/>
          <w:b/>
          <w:bCs/>
        </w:rPr>
      </w:pPr>
      <w:r>
        <w:rPr>
          <w:rFonts w:hint="eastAsia" w:ascii="宋体" w:hAnsi="宋体" w:cs="宋体"/>
          <w:b/>
          <w:bCs/>
        </w:rPr>
        <w:t>陈氏</w:t>
      </w:r>
    </w:p>
    <w:p w14:paraId="6065BF7F">
      <w:pPr>
        <w:ind w:firstLine="420"/>
        <w:rPr>
          <w:rFonts w:ascii="宋体" w:hAnsi="宋体" w:cs="宋体"/>
        </w:rPr>
      </w:pPr>
      <w:r>
        <w:rPr>
          <w:rFonts w:hint="eastAsia" w:ascii="宋体" w:hAnsi="宋体" w:cs="宋体"/>
        </w:rPr>
        <w:t>《南雄陈氏首修联谱》（1998年）称：现居南雄陈氏为南朝陈宣帝顼之孙，叔明之后裔，辗转迁徙于江西、福建，而后迁入南雄。迁雄最早的是北宋治平间横水陈族，其次是南宋末溪塘陈族，其余多于明代从赣南、闽西迁来，或从赣南、闽西迁始兴而后迁入南雄。</w:t>
      </w:r>
    </w:p>
    <w:p w14:paraId="4243499F">
      <w:pPr>
        <w:ind w:firstLine="422"/>
        <w:rPr>
          <w:rFonts w:ascii="宋体" w:hAnsi="宋体" w:cs="宋体"/>
        </w:rPr>
      </w:pPr>
      <w:r>
        <w:rPr>
          <w:rFonts w:hint="eastAsia" w:ascii="宋体" w:hAnsi="宋体" w:cs="宋体"/>
          <w:b/>
          <w:bCs/>
        </w:rPr>
        <w:t>帽子峰横水陈族</w:t>
      </w:r>
      <w:r>
        <w:rPr>
          <w:rFonts w:hint="eastAsia" w:ascii="宋体" w:hAnsi="宋体" w:cs="宋体"/>
        </w:rPr>
        <w:t xml:space="preserve">  先祖陈侁祖居江州。北宋治平年间任南雄知州，卒于任，子孙遂居南雄城。传至第九代陈公佑，于南宋末迁横水开基。承江州义门陈氏之遗风，历12代290多年，和睦共爨，创至和堂。该族后裔分迁洞头之忠坋、河背、大村及澜河寨湾等地。</w:t>
      </w:r>
    </w:p>
    <w:p w14:paraId="445D68AF">
      <w:pPr>
        <w:ind w:firstLine="422"/>
        <w:rPr>
          <w:rFonts w:ascii="宋体" w:hAnsi="宋体" w:cs="宋体"/>
        </w:rPr>
      </w:pPr>
      <w:r>
        <w:rPr>
          <w:rFonts w:hint="eastAsia" w:ascii="宋体" w:hAnsi="宋体" w:cs="宋体"/>
          <w:b/>
          <w:bCs/>
        </w:rPr>
        <w:t xml:space="preserve">黄坑溪塘陈族 </w:t>
      </w:r>
      <w:r>
        <w:rPr>
          <w:rFonts w:hint="eastAsia" w:ascii="宋体" w:hAnsi="宋体" w:cs="宋体"/>
        </w:rPr>
        <w:t xml:space="preserve"> 先祖陈福基，原居福建莆田，南宋理宗时任佥书枢密院事，度宗时任广南东路安抚使，因不满朝政，辞官隐居于南雄珠玑巷。德祐二年（1276年）元师逼境，陈福基父子曾起兵抗元，无成，乃辟居溪塘，子孙昌盛，为一方巨族。其后裔分迁坪岗、里坑、象湖等地。</w:t>
      </w:r>
    </w:p>
    <w:p w14:paraId="0227C907">
      <w:pPr>
        <w:ind w:firstLine="422"/>
        <w:rPr>
          <w:rFonts w:ascii="宋体" w:hAnsi="宋体" w:cs="宋体"/>
        </w:rPr>
      </w:pPr>
      <w:r>
        <w:rPr>
          <w:rFonts w:hint="eastAsia" w:ascii="宋体" w:hAnsi="宋体" w:cs="宋体"/>
          <w:b/>
          <w:bCs/>
        </w:rPr>
        <w:t>古市三角岭陈族</w:t>
      </w:r>
      <w:r>
        <w:rPr>
          <w:rFonts w:hint="eastAsia" w:ascii="宋体" w:hAnsi="宋体" w:cs="宋体"/>
        </w:rPr>
        <w:t xml:space="preserve">  先祖原居福建上杭，后迁广州。后裔陈发洪于明代洪武年间，自广州五仙街迁来开基，后裔分迁窑合、珠玑里东、邓坊马战等地。</w:t>
      </w:r>
    </w:p>
    <w:p w14:paraId="0A957855">
      <w:pPr>
        <w:ind w:firstLine="422"/>
        <w:rPr>
          <w:rFonts w:ascii="宋体" w:hAnsi="宋体" w:cs="宋体"/>
        </w:rPr>
      </w:pPr>
      <w:r>
        <w:rPr>
          <w:rFonts w:hint="eastAsia" w:ascii="宋体" w:hAnsi="宋体" w:cs="宋体"/>
          <w:b/>
          <w:bCs/>
        </w:rPr>
        <w:t xml:space="preserve">新龙莲口陈族  </w:t>
      </w:r>
      <w:r>
        <w:rPr>
          <w:rFonts w:hint="eastAsia" w:ascii="宋体" w:hAnsi="宋体" w:cs="宋体"/>
        </w:rPr>
        <w:t>先祖陈泽通原居福建汀州，于明代洪武年间迁来莲口村开基，后裔分迁水口之龙头及邓坊里元、茶头背等地。</w:t>
      </w:r>
    </w:p>
    <w:p w14:paraId="7501E9DB">
      <w:pPr>
        <w:ind w:firstLine="422"/>
        <w:rPr>
          <w:rFonts w:ascii="宋体" w:hAnsi="宋体" w:cs="宋体"/>
        </w:rPr>
      </w:pPr>
      <w:r>
        <w:rPr>
          <w:rFonts w:hint="eastAsia" w:ascii="宋体" w:hAnsi="宋体" w:cs="宋体"/>
          <w:b/>
          <w:bCs/>
        </w:rPr>
        <w:t xml:space="preserve">由始兴顿岗迁雄陈族 </w:t>
      </w:r>
      <w:r>
        <w:rPr>
          <w:rFonts w:hint="eastAsia" w:ascii="宋体" w:hAnsi="宋体" w:cs="宋体"/>
        </w:rPr>
        <w:t xml:space="preserve"> 先祖陈元五原居福建上杭，于明代景泰年间迁居始兴顿岗，后裔再分迁南雄各地：陈献瑛兄弟三人于明成化间迁南雄修仁苍边开基；陈禤于明正德间迁修仁开基；陈卷于明嘉靖年间迁王步水开基，后裔分迁塘山、水头；陈右于明弘治年间迁湖口长坑开基；陈大顺、大初兄弟于明成化间迁龙眼头开基；陈大理迁石坑开基；陈道能于明嘉靖年间迁石古圳开基，后裔分迁里东冈；陈策于明嘉靖年间迁赤溪湖开基；陈林于明嘉靖年间迁新迳古坑开基；陈敬致于明万历年间迁水口沙头开基；陈大猷于明万历年间迁荆岗大岭口开基，后裔分迁里坑、高基头；陈吾元于明嘉靖年间迁迳口开基，后裔分迁上坪麦园、昆仓洲、南蛇洞、勋口等地；陈左于明弘治年间迁珠玑龙陂塘开基；陈道化于明万历年间迁新村开基；陈大本于明成化年间迁江头园甫西淋水开基，后裔分迁上罗田、梅岭脚下。</w:t>
      </w:r>
    </w:p>
    <w:p w14:paraId="48399D46">
      <w:pPr>
        <w:ind w:firstLine="422"/>
        <w:rPr>
          <w:rFonts w:ascii="宋体" w:hAnsi="宋体" w:cs="宋体"/>
        </w:rPr>
      </w:pPr>
      <w:r>
        <w:rPr>
          <w:rFonts w:hint="eastAsia" w:ascii="宋体" w:hAnsi="宋体" w:cs="宋体"/>
          <w:b/>
          <w:bCs/>
        </w:rPr>
        <w:t xml:space="preserve">由始兴外营迁雄陈族 </w:t>
      </w:r>
      <w:r>
        <w:rPr>
          <w:rFonts w:hint="eastAsia" w:ascii="宋体" w:hAnsi="宋体" w:cs="宋体"/>
        </w:rPr>
        <w:t xml:space="preserve"> 先祖陈文珊于明洪武年间自福建上杭迁始兴顿岗下坊开基，其后裔于嘉靖年间分迁南雄：陈法永迁黄坑小陂头开基；陈东源迁邓坊圩开基；陈一亮迁和睦塘开基；陈一件迁乌迳响石开基；还有分迁于河塘蛇头迳、古市丹铺等地。</w:t>
      </w:r>
    </w:p>
    <w:p w14:paraId="5DA55AB2">
      <w:pPr>
        <w:ind w:firstLine="422"/>
        <w:rPr>
          <w:rFonts w:ascii="宋体" w:hAnsi="宋体" w:cs="宋体"/>
        </w:rPr>
      </w:pPr>
      <w:r>
        <w:rPr>
          <w:rFonts w:hint="eastAsia" w:ascii="宋体" w:hAnsi="宋体" w:cs="宋体"/>
          <w:b/>
          <w:bCs/>
        </w:rPr>
        <w:t xml:space="preserve">始兴净花迁雄陈族 </w:t>
      </w:r>
      <w:r>
        <w:rPr>
          <w:rFonts w:hint="eastAsia" w:ascii="宋体" w:hAnsi="宋体" w:cs="宋体"/>
        </w:rPr>
        <w:t xml:space="preserve"> 先祖陈祖虞，原居福建上杭，明洪武年间卒，妣戴氏携九子迁广州五仙街。其后，长子发强、次子发兴迁始兴净花村开基，其后裔分迁南雄之大塘逆龙坑，珠玑聪背、龙回桥、陈公庙、珠玑巷，雄州三洲、水口桥，全安富村坪、营子下、羊角岭等地。</w:t>
      </w:r>
    </w:p>
    <w:p w14:paraId="35203F4B">
      <w:pPr>
        <w:ind w:firstLine="0" w:firstLineChars="0"/>
        <w:jc w:val="center"/>
        <w:rPr>
          <w:rFonts w:ascii="宋体" w:hAnsi="宋体" w:cs="宋体"/>
          <w:b/>
          <w:bCs/>
        </w:rPr>
      </w:pPr>
      <w:r>
        <w:rPr>
          <w:rFonts w:hint="eastAsia" w:ascii="宋体" w:hAnsi="宋体" w:cs="宋体"/>
          <w:b/>
          <w:bCs/>
        </w:rPr>
        <w:t>张氏</w:t>
      </w:r>
    </w:p>
    <w:p w14:paraId="3301062B">
      <w:pPr>
        <w:ind w:firstLine="420"/>
        <w:rPr>
          <w:rFonts w:ascii="宋体" w:hAnsi="宋体" w:cs="宋体"/>
        </w:rPr>
      </w:pPr>
      <w:r>
        <w:rPr>
          <w:rFonts w:hint="eastAsia" w:ascii="宋体" w:hAnsi="宋体" w:cs="宋体"/>
        </w:rPr>
        <w:t>《南雄张氏六修族谱》（1998年）称：南雄张氏均为张九龄之后裔，于明代自始兴、江西信丰、福建上杭、邵武等地先后迁入48族，散居于172个村，其中由始兴迁来36族，由江西信丰迁来7族。主要支族有：</w:t>
      </w:r>
    </w:p>
    <w:p w14:paraId="4A603EDB">
      <w:pPr>
        <w:ind w:firstLine="422"/>
        <w:rPr>
          <w:rFonts w:ascii="宋体" w:hAnsi="宋体" w:cs="宋体"/>
        </w:rPr>
      </w:pPr>
      <w:r>
        <w:rPr>
          <w:rFonts w:hint="eastAsia" w:ascii="宋体" w:hAnsi="宋体" w:cs="宋体"/>
          <w:b/>
          <w:bCs/>
        </w:rPr>
        <w:t>湖口麻塔石张族</w:t>
      </w:r>
      <w:r>
        <w:rPr>
          <w:rFonts w:hint="eastAsia" w:ascii="宋体" w:hAnsi="宋体" w:cs="宋体"/>
        </w:rPr>
        <w:t xml:space="preserve">  先祖张美玉于明初由始兴迁来开基。</w:t>
      </w:r>
    </w:p>
    <w:p w14:paraId="357A062F">
      <w:pPr>
        <w:ind w:firstLine="422"/>
        <w:rPr>
          <w:rFonts w:ascii="宋体" w:hAnsi="宋体" w:cs="宋体"/>
        </w:rPr>
      </w:pPr>
      <w:r>
        <w:rPr>
          <w:rFonts w:hint="eastAsia" w:ascii="宋体" w:hAnsi="宋体" w:cs="宋体"/>
          <w:b/>
          <w:bCs/>
        </w:rPr>
        <w:t xml:space="preserve">湖口青山张族 </w:t>
      </w:r>
      <w:r>
        <w:rPr>
          <w:rFonts w:hint="eastAsia" w:ascii="宋体" w:hAnsi="宋体" w:cs="宋体"/>
        </w:rPr>
        <w:t xml:space="preserve"> 先祖张成凤于明代中由始兴迁来开基。</w:t>
      </w:r>
    </w:p>
    <w:p w14:paraId="7850A3CE">
      <w:pPr>
        <w:ind w:firstLine="422"/>
        <w:rPr>
          <w:rFonts w:ascii="宋体" w:hAnsi="宋体" w:cs="宋体"/>
        </w:rPr>
      </w:pPr>
      <w:r>
        <w:rPr>
          <w:rFonts w:hint="eastAsia" w:ascii="宋体" w:hAnsi="宋体" w:cs="宋体"/>
          <w:b/>
          <w:bCs/>
        </w:rPr>
        <w:t xml:space="preserve">湖口张族 </w:t>
      </w:r>
      <w:r>
        <w:rPr>
          <w:rFonts w:hint="eastAsia" w:ascii="宋体" w:hAnsi="宋体" w:cs="宋体"/>
        </w:rPr>
        <w:t xml:space="preserve"> 先祖张良胜携子敬兴于明代正德年间由江西信丰铁石堡迁来开基。</w:t>
      </w:r>
    </w:p>
    <w:p w14:paraId="6C9AC65F">
      <w:pPr>
        <w:ind w:firstLine="422"/>
        <w:rPr>
          <w:rFonts w:ascii="宋体" w:hAnsi="宋体" w:cs="宋体"/>
        </w:rPr>
      </w:pPr>
      <w:r>
        <w:rPr>
          <w:rFonts w:hint="eastAsia" w:ascii="宋体" w:hAnsi="宋体" w:cs="宋体"/>
          <w:b/>
          <w:bCs/>
        </w:rPr>
        <w:t xml:space="preserve">黄坑旱楼下张族  </w:t>
      </w:r>
      <w:r>
        <w:rPr>
          <w:rFonts w:hint="eastAsia" w:ascii="宋体" w:hAnsi="宋体" w:cs="宋体"/>
        </w:rPr>
        <w:t>先祖张书龙于明代从始兴迁来开基。</w:t>
      </w:r>
    </w:p>
    <w:p w14:paraId="253E0334">
      <w:pPr>
        <w:ind w:firstLine="422"/>
        <w:rPr>
          <w:rFonts w:ascii="宋体" w:hAnsi="宋体" w:cs="宋体"/>
        </w:rPr>
      </w:pPr>
      <w:r>
        <w:rPr>
          <w:rFonts w:hint="eastAsia" w:ascii="宋体" w:hAnsi="宋体" w:cs="宋体"/>
          <w:b/>
          <w:bCs/>
        </w:rPr>
        <w:t xml:space="preserve">黄坑猪头岭张族  </w:t>
      </w:r>
      <w:r>
        <w:rPr>
          <w:rFonts w:hint="eastAsia" w:ascii="宋体" w:hAnsi="宋体" w:cs="宋体"/>
        </w:rPr>
        <w:t>先祖张道昌于明代正德年间由江西信丰铁石堡迁来开基，后裔分迁片坑。</w:t>
      </w:r>
    </w:p>
    <w:p w14:paraId="4A19642A">
      <w:pPr>
        <w:ind w:firstLine="422"/>
        <w:rPr>
          <w:rFonts w:ascii="宋体" w:hAnsi="宋体" w:cs="宋体"/>
        </w:rPr>
      </w:pPr>
      <w:r>
        <w:rPr>
          <w:rFonts w:hint="eastAsia" w:ascii="宋体" w:hAnsi="宋体" w:cs="宋体"/>
          <w:b/>
          <w:bCs/>
        </w:rPr>
        <w:t>水口张河坝张族</w:t>
      </w:r>
      <w:r>
        <w:rPr>
          <w:rFonts w:hint="eastAsia" w:ascii="宋体" w:hAnsi="宋体" w:cs="宋体"/>
        </w:rPr>
        <w:t xml:space="preserve">  先祖张元统于明代中从始兴迁来开基。</w:t>
      </w:r>
    </w:p>
    <w:p w14:paraId="5401131D">
      <w:pPr>
        <w:ind w:firstLine="422"/>
        <w:rPr>
          <w:rFonts w:ascii="宋体" w:hAnsi="宋体" w:cs="宋体"/>
        </w:rPr>
      </w:pPr>
      <w:r>
        <w:rPr>
          <w:rFonts w:hint="eastAsia" w:ascii="宋体" w:hAnsi="宋体" w:cs="宋体"/>
          <w:b/>
          <w:bCs/>
        </w:rPr>
        <w:t>古市修仁张族</w:t>
      </w:r>
      <w:r>
        <w:rPr>
          <w:rFonts w:hint="eastAsia" w:ascii="宋体" w:hAnsi="宋体" w:cs="宋体"/>
        </w:rPr>
        <w:t xml:space="preserve">  先祖张议由曲江白兔村迁来开基。</w:t>
      </w:r>
    </w:p>
    <w:p w14:paraId="3B8D4B06">
      <w:pPr>
        <w:ind w:firstLine="422"/>
        <w:rPr>
          <w:rFonts w:ascii="宋体" w:hAnsi="宋体" w:cs="宋体"/>
        </w:rPr>
      </w:pPr>
      <w:r>
        <w:rPr>
          <w:rFonts w:hint="eastAsia" w:ascii="宋体" w:hAnsi="宋体" w:cs="宋体"/>
          <w:b/>
          <w:bCs/>
        </w:rPr>
        <w:t xml:space="preserve">界址大坊张族 </w:t>
      </w:r>
      <w:r>
        <w:rPr>
          <w:rFonts w:hint="eastAsia" w:ascii="宋体" w:hAnsi="宋体" w:cs="宋体"/>
        </w:rPr>
        <w:t xml:space="preserve"> 先祖张恩凤、张福聪于明代中从始兴迁来开基。</w:t>
      </w:r>
    </w:p>
    <w:p w14:paraId="68B43559">
      <w:pPr>
        <w:ind w:firstLine="422"/>
        <w:rPr>
          <w:rFonts w:ascii="宋体" w:hAnsi="宋体" w:cs="宋体"/>
        </w:rPr>
      </w:pPr>
      <w:r>
        <w:rPr>
          <w:rFonts w:hint="eastAsia" w:ascii="宋体" w:hAnsi="宋体" w:cs="宋体"/>
          <w:b/>
          <w:bCs/>
        </w:rPr>
        <w:t>百顺张族</w:t>
      </w:r>
      <w:r>
        <w:rPr>
          <w:rFonts w:hint="eastAsia" w:ascii="宋体" w:hAnsi="宋体" w:cs="宋体"/>
        </w:rPr>
        <w:t xml:space="preserve">  先祖张明海于明代中从始兴迁来开基。</w:t>
      </w:r>
    </w:p>
    <w:p w14:paraId="4C71C4AC">
      <w:pPr>
        <w:ind w:firstLine="0" w:firstLineChars="0"/>
        <w:jc w:val="center"/>
        <w:rPr>
          <w:rFonts w:ascii="宋体" w:hAnsi="宋体" w:cs="宋体"/>
          <w:b/>
          <w:bCs/>
        </w:rPr>
      </w:pPr>
      <w:r>
        <w:rPr>
          <w:rFonts w:hint="eastAsia" w:ascii="宋体" w:hAnsi="宋体" w:cs="宋体"/>
          <w:b/>
          <w:bCs/>
        </w:rPr>
        <w:t>李氏</w:t>
      </w:r>
    </w:p>
    <w:p w14:paraId="5084CA64">
      <w:pPr>
        <w:ind w:firstLine="420"/>
        <w:rPr>
          <w:rFonts w:ascii="宋体" w:hAnsi="宋体" w:cs="宋体"/>
        </w:rPr>
      </w:pPr>
      <w:r>
        <w:rPr>
          <w:rFonts w:hint="eastAsia" w:ascii="宋体" w:hAnsi="宋体" w:cs="宋体"/>
        </w:rPr>
        <w:t>南雄李氏族谱载，南雄李氏有三大支派：西晋太常卿李耿支派，唐代西平王李晟支派，宋进士节度使李火德支派。</w:t>
      </w:r>
    </w:p>
    <w:p w14:paraId="51C0909B">
      <w:pPr>
        <w:ind w:firstLine="422"/>
        <w:rPr>
          <w:rFonts w:ascii="宋体" w:hAnsi="宋体" w:cs="宋体"/>
        </w:rPr>
      </w:pPr>
      <w:r>
        <w:rPr>
          <w:rFonts w:hint="eastAsia" w:ascii="宋体" w:hAnsi="宋体" w:cs="宋体"/>
          <w:b/>
          <w:bCs/>
        </w:rPr>
        <w:t>乌迳新田李族</w:t>
      </w:r>
      <w:r>
        <w:rPr>
          <w:rFonts w:hint="eastAsia" w:ascii="宋体" w:hAnsi="宋体" w:cs="宋体"/>
        </w:rPr>
        <w:t xml:space="preserve">  先祖李耿，秣陵（即今南京）后街人，西晋时为愍帝正议大夫、太常卿，因极谏而左迁始兴郡曲江令。建兴三年（315年）秋，李耿挈家之任，由虔入粤，道经新溪，喜见川原幽异，遂弃官隐居于新溪之岸（即今之新田），子孙繁衍，人文蔚起。孙李金马于唐元和间举贤良方正，官户部侍郎，封金紫光禄大夫，开南雄人文之先肇。</w:t>
      </w:r>
    </w:p>
    <w:p w14:paraId="6B40809A">
      <w:pPr>
        <w:ind w:firstLine="422"/>
        <w:rPr>
          <w:rFonts w:ascii="宋体" w:hAnsi="宋体" w:cs="宋体"/>
        </w:rPr>
      </w:pPr>
      <w:r>
        <w:rPr>
          <w:rFonts w:hint="eastAsia" w:ascii="宋体" w:hAnsi="宋体" w:cs="宋体"/>
          <w:b/>
          <w:bCs/>
        </w:rPr>
        <w:t xml:space="preserve">油山古城李族  </w:t>
      </w:r>
      <w:r>
        <w:rPr>
          <w:rFonts w:hint="eastAsia" w:ascii="宋体" w:hAnsi="宋体" w:cs="宋体"/>
        </w:rPr>
        <w:t>先祖李叔通，西平王李晟之后，原居虔州，北宋绍圣四年进士，任广州司马，道卒雄州，举家卜居古城，子孙繁衍、人文蔚起，七代五进士，为宋代南雄之名门望族。后裔分迁里仁上门、溪塘水西、南亩官溪等地。宋神宗已未（1079年）进士李炎迁广州番禺陈村，称望一方。</w:t>
      </w:r>
    </w:p>
    <w:p w14:paraId="55684513">
      <w:pPr>
        <w:ind w:firstLine="422"/>
        <w:rPr>
          <w:rFonts w:ascii="宋体" w:hAnsi="宋体" w:cs="宋体"/>
        </w:rPr>
      </w:pPr>
      <w:r>
        <w:rPr>
          <w:rFonts w:hint="eastAsia" w:ascii="宋体" w:hAnsi="宋体" w:cs="宋体"/>
          <w:b/>
          <w:bCs/>
        </w:rPr>
        <w:t xml:space="preserve">珠玑洋湖、外浆，黄坑坪岗、水西，南亩官溪，水口大部等地李族 </w:t>
      </w:r>
      <w:r>
        <w:rPr>
          <w:rFonts w:hint="eastAsia" w:ascii="宋体" w:hAnsi="宋体" w:cs="宋体"/>
        </w:rPr>
        <w:t xml:space="preserve"> 先祖李开耆为西平王李晟之后裔，于唐代自上杭迁珠玑巷开基，其后裔先后分迁上述各地。</w:t>
      </w:r>
    </w:p>
    <w:p w14:paraId="6B1AB101">
      <w:pPr>
        <w:ind w:firstLine="420"/>
        <w:rPr>
          <w:rFonts w:ascii="宋体" w:hAnsi="宋体" w:cs="宋体"/>
        </w:rPr>
      </w:pPr>
      <w:r>
        <w:rPr>
          <w:rFonts w:hint="eastAsia" w:ascii="宋体" w:hAnsi="宋体" w:cs="宋体"/>
        </w:rPr>
        <w:t>始兴兴贤街李氏八修族谱（2001年）载，该族以迁闽始祖李火德为一世祖。李火德为宋进士，累官河南节度使，封关内侯，世居上杭，其后裔分迁始兴，而后从始兴再分迁南雄。计有：</w:t>
      </w:r>
    </w:p>
    <w:p w14:paraId="05BF54CB">
      <w:pPr>
        <w:ind w:firstLine="422"/>
        <w:rPr>
          <w:rFonts w:ascii="宋体" w:hAnsi="宋体" w:cs="宋体"/>
        </w:rPr>
      </w:pPr>
      <w:r>
        <w:rPr>
          <w:rFonts w:hint="eastAsia" w:ascii="宋体" w:hAnsi="宋体" w:cs="宋体"/>
          <w:b/>
          <w:bCs/>
        </w:rPr>
        <w:t xml:space="preserve">雄州迎江头李族 </w:t>
      </w:r>
      <w:r>
        <w:rPr>
          <w:rFonts w:hint="eastAsia" w:ascii="宋体" w:hAnsi="宋体" w:cs="宋体"/>
        </w:rPr>
        <w:t xml:space="preserve"> 始迁祖李木惠，于元末由始兴迁来开基。</w:t>
      </w:r>
    </w:p>
    <w:p w14:paraId="6A6612B3">
      <w:pPr>
        <w:ind w:firstLine="422"/>
        <w:rPr>
          <w:rFonts w:ascii="宋体" w:hAnsi="宋体" w:cs="宋体"/>
        </w:rPr>
      </w:pPr>
      <w:r>
        <w:rPr>
          <w:rFonts w:hint="eastAsia" w:ascii="宋体" w:hAnsi="宋体" w:cs="宋体"/>
          <w:b/>
          <w:bCs/>
        </w:rPr>
        <w:t xml:space="preserve">五渡李族 </w:t>
      </w:r>
      <w:r>
        <w:rPr>
          <w:rFonts w:hint="eastAsia" w:ascii="宋体" w:hAnsi="宋体" w:cs="宋体"/>
        </w:rPr>
        <w:t xml:space="preserve"> 始迁祖李文我于清康熙四年（1665年）由始兴石下迁来五渡入赘胡家，后裔一脉衍传，为一方望族。</w:t>
      </w:r>
    </w:p>
    <w:p w14:paraId="7FCF1013">
      <w:pPr>
        <w:ind w:firstLine="422"/>
        <w:rPr>
          <w:rFonts w:ascii="宋体" w:hAnsi="宋体" w:cs="宋体"/>
        </w:rPr>
      </w:pPr>
      <w:r>
        <w:rPr>
          <w:rFonts w:hint="eastAsia" w:ascii="宋体" w:hAnsi="宋体" w:cs="宋体"/>
          <w:b/>
          <w:bCs/>
        </w:rPr>
        <w:t xml:space="preserve">古市丰源水李族  </w:t>
      </w:r>
      <w:r>
        <w:rPr>
          <w:rFonts w:hint="eastAsia" w:ascii="宋体" w:hAnsi="宋体" w:cs="宋体"/>
        </w:rPr>
        <w:t>始迁祖李玉财，明代天顺举人，任番禹训导，由始兴凉源迁来开基，后裔分迁黄土仓、灌塘、古录、小水等地。</w:t>
      </w:r>
    </w:p>
    <w:p w14:paraId="3F56E490">
      <w:pPr>
        <w:ind w:firstLine="422"/>
        <w:rPr>
          <w:rFonts w:ascii="宋体" w:hAnsi="宋体" w:cs="宋体"/>
        </w:rPr>
      </w:pPr>
      <w:r>
        <w:rPr>
          <w:rFonts w:hint="eastAsia" w:ascii="宋体" w:hAnsi="宋体" w:cs="宋体"/>
          <w:b/>
          <w:bCs/>
        </w:rPr>
        <w:t xml:space="preserve">江头武岭李族  </w:t>
      </w:r>
      <w:r>
        <w:rPr>
          <w:rFonts w:hint="eastAsia" w:ascii="宋体" w:hAnsi="宋体" w:cs="宋体"/>
        </w:rPr>
        <w:t>始迁祖李千于明代万历年间由始兴清化迁来开基，其后裔分迁园圃、泷头等地。</w:t>
      </w:r>
    </w:p>
    <w:p w14:paraId="06E27E5C">
      <w:pPr>
        <w:ind w:firstLine="422"/>
        <w:rPr>
          <w:rFonts w:ascii="宋体" w:hAnsi="宋体" w:cs="宋体"/>
        </w:rPr>
      </w:pPr>
      <w:r>
        <w:rPr>
          <w:rFonts w:hint="eastAsia" w:ascii="宋体" w:hAnsi="宋体" w:cs="宋体"/>
          <w:b/>
          <w:bCs/>
        </w:rPr>
        <w:t xml:space="preserve">全安兰溪、章禾洞、下河塘李族 </w:t>
      </w:r>
      <w:r>
        <w:rPr>
          <w:rFonts w:hint="eastAsia" w:ascii="宋体" w:hAnsi="宋体" w:cs="宋体"/>
        </w:rPr>
        <w:t xml:space="preserve"> 先祖李道政、道鉴于明万历年间由始兴太平镇东门峰山迁兰溪开基。又先祖李秉一于明嘉靖间由始兴罗坝下塘迁章禾洞开基，李秉颜于明代万历年间由始兴含秀村迁下河塘开基。</w:t>
      </w:r>
    </w:p>
    <w:p w14:paraId="289818A3">
      <w:pPr>
        <w:ind w:firstLine="422"/>
        <w:rPr>
          <w:rFonts w:ascii="宋体" w:hAnsi="宋体" w:cs="宋体"/>
        </w:rPr>
      </w:pPr>
      <w:r>
        <w:rPr>
          <w:rFonts w:hint="eastAsia" w:ascii="宋体" w:hAnsi="宋体" w:cs="宋体"/>
          <w:b/>
          <w:bCs/>
        </w:rPr>
        <w:t xml:space="preserve">湖口矿岭李族 </w:t>
      </w:r>
      <w:r>
        <w:rPr>
          <w:rFonts w:hint="eastAsia" w:ascii="宋体" w:hAnsi="宋体" w:cs="宋体"/>
        </w:rPr>
        <w:t xml:space="preserve"> 始迁祖李秉祥于明代万历年间由始兴柴塘迁来开基。</w:t>
      </w:r>
    </w:p>
    <w:p w14:paraId="15012CE8">
      <w:pPr>
        <w:ind w:firstLine="0" w:firstLineChars="0"/>
        <w:jc w:val="center"/>
        <w:rPr>
          <w:rFonts w:ascii="宋体" w:hAnsi="宋体" w:cs="宋体"/>
          <w:b/>
          <w:bCs/>
        </w:rPr>
      </w:pPr>
      <w:r>
        <w:rPr>
          <w:rFonts w:hint="eastAsia" w:ascii="宋体" w:hAnsi="宋体" w:cs="宋体"/>
          <w:b/>
          <w:bCs/>
        </w:rPr>
        <w:t>何氏</w:t>
      </w:r>
    </w:p>
    <w:p w14:paraId="2178E483">
      <w:pPr>
        <w:ind w:firstLine="420"/>
        <w:rPr>
          <w:rFonts w:ascii="宋体" w:hAnsi="宋体" w:cs="宋体"/>
        </w:rPr>
      </w:pPr>
      <w:r>
        <w:rPr>
          <w:rFonts w:hint="eastAsia" w:ascii="宋体" w:hAnsi="宋体" w:cs="宋体"/>
        </w:rPr>
        <w:t>据南雄何氏族谱载，南雄何氏有三大支派，一为以何昶为始祖的珠玑巷支派，一为以何亶为始祖的由始兴迁雄支派，三为以何大郎为始祖的由信丰迁雄支派。</w:t>
      </w:r>
    </w:p>
    <w:p w14:paraId="21424139">
      <w:pPr>
        <w:ind w:firstLine="422"/>
        <w:rPr>
          <w:rFonts w:ascii="宋体" w:hAnsi="宋体" w:cs="宋体"/>
        </w:rPr>
      </w:pPr>
      <w:r>
        <w:rPr>
          <w:rFonts w:hint="eastAsia" w:ascii="宋体" w:hAnsi="宋体" w:cs="宋体"/>
          <w:b/>
          <w:bCs/>
        </w:rPr>
        <w:t>以何昶为始祖的珠玑巷何族</w:t>
      </w:r>
      <w:r>
        <w:rPr>
          <w:rFonts w:hint="eastAsia" w:ascii="宋体" w:hAnsi="宋体" w:cs="宋体"/>
        </w:rPr>
        <w:t xml:space="preserve">  先祖何昶，原居阳山通儒坊，后周时，拜南海参军，持节谕南汉，南汉主刘晟不纳，乃携家馆于珠玑巷，持节待命。不久，雄、韶、浈、连盗起，刘晟举昶统兵征讨，昶战死，雄人嘉其忠义，厚葬于巾子岭，立庙祭祀。宋代熙和年间，赠清海军节度使、殿中侍御史。其子孙繁衍于珠玑巷。传至何礼生五子，长子何琇守祖居，次子何琛迁番禺，三子何琰迁肇庆，四子何瓒迁新州，五子何琪迁循州。珠玑巷何琇后裔又陆续分迁南雄各地。元代，何仁山迁祗芫开基。明代初，何诚信迁河村河头开基，何文用迁河村下门开基。明代正统年间，何宗本迁河村下宅开基，何旺迁河村上门开基，何宗海迁水口大坑开基，何福琼迁百顺开基。明代嘉靖年间，何朝岗迁河坪田心开基，何龙岗迁湖口白木开基。明代万历年间，何东弼迁大坑开基，后裔迁台湾。</w:t>
      </w:r>
    </w:p>
    <w:p w14:paraId="1021EB25">
      <w:pPr>
        <w:ind w:firstLine="422"/>
        <w:rPr>
          <w:rFonts w:ascii="宋体" w:hAnsi="宋体" w:cs="宋体"/>
        </w:rPr>
      </w:pPr>
      <w:r>
        <w:rPr>
          <w:rFonts w:hint="eastAsia" w:ascii="宋体" w:hAnsi="宋体" w:cs="宋体"/>
          <w:b/>
          <w:bCs/>
        </w:rPr>
        <w:t xml:space="preserve">以何直为始祖由始兴迁雄的何族 </w:t>
      </w:r>
      <w:r>
        <w:rPr>
          <w:rFonts w:hint="eastAsia" w:ascii="宋体" w:hAnsi="宋体" w:cs="宋体"/>
        </w:rPr>
        <w:t xml:space="preserve"> 据族谱载，先祖何亶为五代后梁进士，闽西宁化尹，迁梅州守，其后裔辗转迁徙，由福建入粤，分迁于程乡（今梅县）、海阳（今惠阳）、长乐（今兴宁），而后分迁始兴，再迁南雄。计有七族，均于明清时期从始兴新村或澄江迁来开基：何士雄于明代天启年间，迁湖口下陂山开基；何士标于清雍正年间迁百顺天弓开基；何一明于清康熙年间迁珠玑下坋开基；何一照于清康熙年间迁油山上惠开基；何一珍、何铅于清康熙年间迁全安瓦窑岗开基，后裔分迁政塘、暖水塘；何亨柏于明代迁黄坑象湖开基；何彦盛于明初迁黄坑乌高塘开基。</w:t>
      </w:r>
    </w:p>
    <w:p w14:paraId="7E49CF92">
      <w:pPr>
        <w:ind w:firstLine="422"/>
        <w:rPr>
          <w:rFonts w:ascii="宋体" w:hAnsi="宋体" w:cs="宋体"/>
        </w:rPr>
      </w:pPr>
      <w:r>
        <w:rPr>
          <w:rFonts w:hint="eastAsia" w:ascii="宋体" w:hAnsi="宋体" w:cs="宋体"/>
          <w:b/>
          <w:bCs/>
        </w:rPr>
        <w:t xml:space="preserve">以何大郎为始祖由信丰迁雄的何族  </w:t>
      </w:r>
      <w:r>
        <w:rPr>
          <w:rFonts w:hint="eastAsia" w:ascii="宋体" w:hAnsi="宋体" w:cs="宋体"/>
        </w:rPr>
        <w:t>先祖何大郎，原居福建武平，传五世迁上杭，传十五世迁江西信丰石背，传二十世何澄于明代中由信丰石背分迁南雄黄坑茅坑，后裔分迁春坑、秀塘坑、社官前、下坪岭、黄坑梨山、油山东坑、锡上、小江背、珠玑上罗田中站、邓坊赤石等地，亦有外迁南康、崇义。另一支由信丰耙耳坑迁黄坑黎山，而后迁鲢尾岭，分迁大塘花树下等地。</w:t>
      </w:r>
    </w:p>
    <w:p w14:paraId="30663462">
      <w:pPr>
        <w:ind w:firstLine="0" w:firstLineChars="0"/>
        <w:jc w:val="center"/>
        <w:rPr>
          <w:rFonts w:ascii="宋体" w:hAnsi="宋体" w:cs="宋体"/>
          <w:b/>
          <w:bCs/>
        </w:rPr>
      </w:pPr>
      <w:r>
        <w:rPr>
          <w:rFonts w:hint="eastAsia" w:ascii="宋体" w:hAnsi="宋体" w:cs="宋体"/>
          <w:b/>
          <w:bCs/>
        </w:rPr>
        <w:t>邓氏</w:t>
      </w:r>
    </w:p>
    <w:p w14:paraId="2CFBB495">
      <w:pPr>
        <w:ind w:firstLine="420"/>
        <w:rPr>
          <w:rFonts w:ascii="宋体" w:hAnsi="宋体" w:cs="宋体"/>
        </w:rPr>
      </w:pPr>
      <w:r>
        <w:rPr>
          <w:rFonts w:hint="eastAsia" w:ascii="宋体" w:hAnsi="宋体" w:cs="宋体"/>
        </w:rPr>
        <w:t>《粤赣边邓氏联谱》（1998年）称：南雄邓氏为东汉邓禹之后，祖居南阳新野，辗转南迁，从唐代始，先后有十七族迁到南雄。主要支族有：</w:t>
      </w:r>
    </w:p>
    <w:p w14:paraId="38D32248">
      <w:pPr>
        <w:ind w:firstLine="422"/>
        <w:rPr>
          <w:rFonts w:ascii="宋体" w:hAnsi="宋体" w:cs="宋体"/>
        </w:rPr>
      </w:pPr>
      <w:r>
        <w:rPr>
          <w:rFonts w:hint="eastAsia" w:ascii="宋体" w:hAnsi="宋体" w:cs="宋体"/>
          <w:b/>
          <w:bCs/>
        </w:rPr>
        <w:t>帽子峰乾村邓族</w:t>
      </w:r>
      <w:r>
        <w:rPr>
          <w:rFonts w:hint="eastAsia" w:ascii="宋体" w:hAnsi="宋体" w:cs="宋体"/>
        </w:rPr>
        <w:t xml:space="preserve">  先祖邓少立，唐开元间工部尚书，其子与张九龄家通婚。大庾岭路开通之后，设关卡，邓氏子孙乃居红梅村，负守卡之责。南汉立，卡废，邓氏子孙散居陂头。传至邓固，于北宋乾德年间迁北山横水，以乾德年号立村名为乾村，后裔分迁江西崇义、大余内良等地。</w:t>
      </w:r>
    </w:p>
    <w:p w14:paraId="3E756920">
      <w:pPr>
        <w:ind w:firstLine="422"/>
        <w:rPr>
          <w:rFonts w:ascii="宋体" w:hAnsi="宋体" w:cs="宋体"/>
        </w:rPr>
      </w:pPr>
      <w:r>
        <w:rPr>
          <w:rFonts w:hint="eastAsia" w:ascii="宋体" w:hAnsi="宋体" w:cs="宋体"/>
          <w:b/>
          <w:bCs/>
        </w:rPr>
        <w:t>南雄城秋千街、聪背、涌溪邓族</w:t>
      </w:r>
      <w:r>
        <w:rPr>
          <w:rFonts w:hint="eastAsia" w:ascii="宋体" w:hAnsi="宋体" w:cs="宋体"/>
        </w:rPr>
        <w:t xml:space="preserve">  先祖邓文进，隋代大业初为韶州刺史，世居曲江，其后裔邓向，于嘉祐三年（1058年），为避贼乱，迁居南雄北门秋千街。北宋治平丁未（1067年）举进士，传至邓晞颜，登嘉定甲戌（1214年）进士，生三子曜东、曜邦、曜林。曜东后裔分迁聪背开基。曜邦后裔邓钟鼎于元代至元间迁涌溪开基；曜林后裔分迁坪田开基。</w:t>
      </w:r>
    </w:p>
    <w:p w14:paraId="707401AD">
      <w:pPr>
        <w:ind w:firstLine="422"/>
        <w:rPr>
          <w:rFonts w:ascii="宋体" w:hAnsi="宋体" w:cs="宋体"/>
        </w:rPr>
      </w:pPr>
      <w:r>
        <w:rPr>
          <w:rFonts w:hint="eastAsia" w:ascii="宋体" w:hAnsi="宋体" w:cs="宋体"/>
          <w:b/>
          <w:bCs/>
        </w:rPr>
        <w:t xml:space="preserve">坪田邓族 </w:t>
      </w:r>
      <w:r>
        <w:rPr>
          <w:rFonts w:hint="eastAsia" w:ascii="宋体" w:hAnsi="宋体" w:cs="宋体"/>
        </w:rPr>
        <w:t xml:space="preserve"> 先祖邓升为南雄州佥判，其次子邓玉因婚籍南雄，生子邓鹏飞，举特科，传至邓坤钟，于南宋末避乱迁黄坑象湖，其后又迁坪田开基，与邓曜林之后，繁衍坪田，为一方望族。</w:t>
      </w:r>
    </w:p>
    <w:p w14:paraId="12911902">
      <w:pPr>
        <w:ind w:firstLine="422"/>
        <w:rPr>
          <w:rFonts w:ascii="宋体" w:hAnsi="宋体" w:cs="宋体"/>
        </w:rPr>
      </w:pPr>
      <w:r>
        <w:rPr>
          <w:rFonts w:hint="eastAsia" w:ascii="宋体" w:hAnsi="宋体" w:cs="宋体"/>
          <w:b/>
          <w:bCs/>
        </w:rPr>
        <w:t>珠玑长迳桥、下坋邓族</w:t>
      </w:r>
      <w:r>
        <w:rPr>
          <w:rFonts w:hint="eastAsia" w:ascii="宋体" w:hAnsi="宋体" w:cs="宋体"/>
        </w:rPr>
        <w:t xml:space="preserve">  先祖号横浦公，于元代自大余水城迁南雄梅岭红梅村，后裔于明洪武六年（1373年）分迁下汾、长迳桥开基。</w:t>
      </w:r>
    </w:p>
    <w:p w14:paraId="7378189D">
      <w:pPr>
        <w:ind w:firstLine="422"/>
        <w:rPr>
          <w:rFonts w:ascii="宋体" w:hAnsi="宋体" w:cs="宋体"/>
        </w:rPr>
      </w:pPr>
      <w:r>
        <w:rPr>
          <w:rFonts w:hint="eastAsia" w:ascii="宋体" w:hAnsi="宋体" w:cs="宋体"/>
          <w:b/>
          <w:bCs/>
        </w:rPr>
        <w:t xml:space="preserve">雄州三洲邓族 </w:t>
      </w:r>
      <w:r>
        <w:rPr>
          <w:rFonts w:hint="eastAsia" w:ascii="宋体" w:hAnsi="宋体" w:cs="宋体"/>
        </w:rPr>
        <w:t xml:space="preserve"> 先祖邓祖贤、祖端兄弟于明代洪武年间自福建上杭南迁入粤，祖贤居始兴澄江，祖端居南雄三洲，为三洲邓氏开基祖。</w:t>
      </w:r>
    </w:p>
    <w:p w14:paraId="180ABB7A">
      <w:pPr>
        <w:ind w:firstLine="422"/>
        <w:rPr>
          <w:rFonts w:ascii="宋体" w:hAnsi="宋体" w:cs="宋体"/>
        </w:rPr>
      </w:pPr>
      <w:r>
        <w:rPr>
          <w:rFonts w:hint="eastAsia" w:ascii="宋体" w:hAnsi="宋体" w:cs="宋体"/>
          <w:b/>
          <w:bCs/>
        </w:rPr>
        <w:t xml:space="preserve">全安兴塘、古塘邓族 </w:t>
      </w:r>
      <w:r>
        <w:rPr>
          <w:rFonts w:hint="eastAsia" w:ascii="宋体" w:hAnsi="宋体" w:cs="宋体"/>
        </w:rPr>
        <w:t xml:space="preserve"> 均由福建上杭迁来。兴塘先祖邓元祐于明代洪武三十一年（1398年）迁来开基。古塘先祖邓文广、文质、文贤、文资四兄弟于明代正德十四年（1520年）迁来开基。</w:t>
      </w:r>
    </w:p>
    <w:p w14:paraId="7525B4B4">
      <w:pPr>
        <w:ind w:firstLine="422"/>
        <w:rPr>
          <w:rFonts w:ascii="宋体" w:hAnsi="宋体" w:cs="宋体"/>
        </w:rPr>
      </w:pPr>
      <w:r>
        <w:rPr>
          <w:rFonts w:hint="eastAsia" w:ascii="宋体" w:hAnsi="宋体" w:cs="宋体"/>
          <w:b/>
          <w:bCs/>
        </w:rPr>
        <w:t xml:space="preserve">全安艻迳邓族 </w:t>
      </w:r>
      <w:r>
        <w:rPr>
          <w:rFonts w:hint="eastAsia" w:ascii="宋体" w:hAnsi="宋体" w:cs="宋体"/>
        </w:rPr>
        <w:t xml:space="preserve"> 先祖邓仲连、仲珍兄弟于明代中由信丰迁来开基。</w:t>
      </w:r>
    </w:p>
    <w:p w14:paraId="4B5C66A2">
      <w:pPr>
        <w:ind w:firstLine="0" w:firstLineChars="0"/>
        <w:jc w:val="center"/>
        <w:rPr>
          <w:rFonts w:ascii="宋体" w:hAnsi="宋体" w:cs="宋体"/>
          <w:b/>
          <w:bCs/>
        </w:rPr>
      </w:pPr>
      <w:r>
        <w:rPr>
          <w:rFonts w:hint="eastAsia" w:ascii="宋体" w:hAnsi="宋体" w:cs="宋体"/>
          <w:b/>
          <w:bCs/>
        </w:rPr>
        <w:t>钟氏</w:t>
      </w:r>
    </w:p>
    <w:p w14:paraId="1E3132FF">
      <w:pPr>
        <w:ind w:firstLine="420"/>
        <w:rPr>
          <w:rFonts w:ascii="宋体" w:hAnsi="宋体" w:cs="宋体"/>
        </w:rPr>
      </w:pPr>
      <w:r>
        <w:rPr>
          <w:rFonts w:hint="eastAsia" w:ascii="宋体" w:hAnsi="宋体" w:cs="宋体"/>
        </w:rPr>
        <w:t>南雄钟氏族谱载，钟氏有四大支派，南雄钟氏多为钟接之后，传至钟宠，南朝梁元帝时为临海令，因避侯景乱迁居赣州，其后裔分迁赣南、闽西，而后有多支分迁南雄，或迁始兴而后再分迁南雄，以始兴迁来者占多数。</w:t>
      </w:r>
    </w:p>
    <w:p w14:paraId="61CDA401">
      <w:pPr>
        <w:ind w:firstLine="422"/>
        <w:rPr>
          <w:rFonts w:ascii="宋体" w:hAnsi="宋体" w:cs="宋体"/>
        </w:rPr>
      </w:pPr>
      <w:r>
        <w:rPr>
          <w:rFonts w:hint="eastAsia" w:ascii="宋体" w:hAnsi="宋体" w:cs="宋体"/>
          <w:b/>
          <w:bCs/>
        </w:rPr>
        <w:t>油山廖地钟族</w:t>
      </w:r>
      <w:r>
        <w:rPr>
          <w:rFonts w:hint="eastAsia" w:ascii="宋体" w:hAnsi="宋体" w:cs="宋体"/>
        </w:rPr>
        <w:t xml:space="preserve">  先祖钟仁清（雷州主簿）钟仁绅（进士，肇庆路总管）原籍河南许昌，南宋末致仕北归至南雄，元兵阻归，遂卜居浆溪。其后裔分迁油山廖地、南枫等地。</w:t>
      </w:r>
    </w:p>
    <w:p w14:paraId="6A2AEDD2">
      <w:pPr>
        <w:ind w:firstLine="422"/>
        <w:rPr>
          <w:rFonts w:ascii="宋体" w:hAnsi="宋体" w:cs="宋体"/>
        </w:rPr>
      </w:pPr>
      <w:r>
        <w:rPr>
          <w:rFonts w:hint="eastAsia" w:ascii="宋体" w:hAnsi="宋体" w:cs="宋体"/>
          <w:b/>
          <w:bCs/>
        </w:rPr>
        <w:t>江头武岭钟族</w:t>
      </w:r>
      <w:r>
        <w:rPr>
          <w:rFonts w:hint="eastAsia" w:ascii="宋体" w:hAnsi="宋体" w:cs="宋体"/>
        </w:rPr>
        <w:t xml:space="preserve">  先祖钟文沿，于明代万历三十年（1602年）由江西龙南程龙水阁上秀排西坑围迁来开基。</w:t>
      </w:r>
    </w:p>
    <w:p w14:paraId="71651931">
      <w:pPr>
        <w:ind w:firstLine="422"/>
        <w:rPr>
          <w:rFonts w:ascii="宋体" w:hAnsi="宋体" w:cs="宋体"/>
        </w:rPr>
      </w:pPr>
      <w:r>
        <w:rPr>
          <w:rFonts w:hint="eastAsia" w:ascii="宋体" w:hAnsi="宋体" w:cs="宋体"/>
          <w:b/>
          <w:bCs/>
        </w:rPr>
        <w:t>江头南甫钟族</w:t>
      </w:r>
      <w:r>
        <w:rPr>
          <w:rFonts w:hint="eastAsia" w:ascii="宋体" w:hAnsi="宋体" w:cs="宋体"/>
        </w:rPr>
        <w:t xml:space="preserve">  先祖钟响，祖居福建长汀白虎村，于南宋淳祐年间迁南雄城外五里山开基，历传12代，至明季迁五岭，再迁南甫上塘开基，后裔分迁新塘坑等地。</w:t>
      </w:r>
    </w:p>
    <w:p w14:paraId="56C60808">
      <w:pPr>
        <w:ind w:firstLine="422"/>
        <w:rPr>
          <w:rFonts w:ascii="宋体" w:hAnsi="宋体" w:cs="宋体"/>
        </w:rPr>
      </w:pPr>
      <w:r>
        <w:rPr>
          <w:rFonts w:hint="eastAsia" w:ascii="宋体" w:hAnsi="宋体" w:cs="宋体"/>
          <w:b/>
          <w:bCs/>
        </w:rPr>
        <w:t xml:space="preserve">水口当面岭钟族  </w:t>
      </w:r>
      <w:r>
        <w:rPr>
          <w:rFonts w:hint="eastAsia" w:ascii="宋体" w:hAnsi="宋体" w:cs="宋体"/>
        </w:rPr>
        <w:t>先祖钟万有，于明代弘治年间由龙南象塘迁来开基。</w:t>
      </w:r>
    </w:p>
    <w:p w14:paraId="134C1E66">
      <w:pPr>
        <w:ind w:firstLine="422"/>
        <w:rPr>
          <w:rFonts w:ascii="宋体" w:hAnsi="宋体" w:cs="宋体"/>
        </w:rPr>
      </w:pPr>
      <w:r>
        <w:rPr>
          <w:rFonts w:hint="eastAsia" w:ascii="宋体" w:hAnsi="宋体" w:cs="宋体"/>
          <w:b/>
          <w:bCs/>
        </w:rPr>
        <w:t xml:space="preserve">邓坊钟族 </w:t>
      </w:r>
      <w:r>
        <w:rPr>
          <w:rFonts w:hint="eastAsia" w:ascii="宋体" w:hAnsi="宋体" w:cs="宋体"/>
        </w:rPr>
        <w:t xml:space="preserve"> 先祖钟本能、本财、本高、本立兄弟，于明代由始兴钟镇迁来开基，后裔分迁油山龙头村及梅岭小岭村等地。</w:t>
      </w:r>
    </w:p>
    <w:p w14:paraId="484624FC">
      <w:pPr>
        <w:ind w:firstLine="422"/>
        <w:rPr>
          <w:rFonts w:ascii="宋体" w:hAnsi="宋体" w:cs="宋体"/>
        </w:rPr>
      </w:pPr>
      <w:r>
        <w:rPr>
          <w:rFonts w:hint="eastAsia" w:ascii="宋体" w:hAnsi="宋体" w:cs="宋体"/>
          <w:b/>
          <w:bCs/>
        </w:rPr>
        <w:t xml:space="preserve">邓坊马战钟族  </w:t>
      </w:r>
      <w:r>
        <w:rPr>
          <w:rFonts w:hint="eastAsia" w:ascii="宋体" w:hAnsi="宋体" w:cs="宋体"/>
        </w:rPr>
        <w:t>先祖钟辟于明嘉靖中由龙南象塘浆湖迁来开基。后裔分迁马战鹅公岭等地。</w:t>
      </w:r>
    </w:p>
    <w:p w14:paraId="1AD45ACB">
      <w:pPr>
        <w:ind w:firstLine="422"/>
        <w:rPr>
          <w:rFonts w:ascii="宋体" w:hAnsi="宋体" w:cs="宋体"/>
        </w:rPr>
      </w:pPr>
      <w:r>
        <w:rPr>
          <w:rFonts w:hint="eastAsia" w:ascii="宋体" w:hAnsi="宋体" w:cs="宋体"/>
          <w:b/>
          <w:bCs/>
        </w:rPr>
        <w:t>珠玑里仁钟族</w:t>
      </w:r>
      <w:r>
        <w:rPr>
          <w:rFonts w:hint="eastAsia" w:ascii="宋体" w:hAnsi="宋体" w:cs="宋体"/>
        </w:rPr>
        <w:t xml:space="preserve">  先祖钟懋于明代由始兴钟镇迁来开基。</w:t>
      </w:r>
    </w:p>
    <w:p w14:paraId="13DA375A">
      <w:pPr>
        <w:ind w:firstLine="422"/>
        <w:rPr>
          <w:rFonts w:ascii="宋体" w:hAnsi="宋体" w:cs="宋体"/>
        </w:rPr>
      </w:pPr>
      <w:r>
        <w:rPr>
          <w:rFonts w:hint="eastAsia" w:ascii="宋体" w:hAnsi="宋体" w:cs="宋体"/>
          <w:b/>
          <w:bCs/>
        </w:rPr>
        <w:t xml:space="preserve">珠玑里东周地、江头山坑钟族 </w:t>
      </w:r>
      <w:r>
        <w:rPr>
          <w:rFonts w:hint="eastAsia" w:ascii="宋体" w:hAnsi="宋体" w:cs="宋体"/>
        </w:rPr>
        <w:t xml:space="preserve"> 先祖钟叔敬于明洪武丙寅（1386年）为避乱由江西龙南迁黄坑溪塘，其后裔分迁珠玑周地排及江头山坑等地开基。</w:t>
      </w:r>
    </w:p>
    <w:p w14:paraId="7CBEBD32">
      <w:pPr>
        <w:ind w:firstLine="422"/>
        <w:rPr>
          <w:rFonts w:ascii="宋体" w:hAnsi="宋体" w:cs="宋体"/>
        </w:rPr>
      </w:pPr>
      <w:r>
        <w:rPr>
          <w:rFonts w:hint="eastAsia" w:ascii="宋体" w:hAnsi="宋体" w:cs="宋体"/>
          <w:b/>
          <w:bCs/>
        </w:rPr>
        <w:t xml:space="preserve">全安三枫钟族  </w:t>
      </w:r>
      <w:r>
        <w:rPr>
          <w:rFonts w:hint="eastAsia" w:ascii="宋体" w:hAnsi="宋体" w:cs="宋体"/>
        </w:rPr>
        <w:t>先祖钟名贵、名盛兄弟于明代由始兴上石迁来开基。</w:t>
      </w:r>
    </w:p>
    <w:p w14:paraId="34FC0920">
      <w:pPr>
        <w:ind w:firstLine="422"/>
        <w:rPr>
          <w:rFonts w:ascii="宋体" w:hAnsi="宋体" w:cs="宋体"/>
        </w:rPr>
      </w:pPr>
      <w:r>
        <w:rPr>
          <w:rFonts w:hint="eastAsia" w:ascii="宋体" w:hAnsi="宋体" w:cs="宋体"/>
          <w:b/>
          <w:bCs/>
        </w:rPr>
        <w:t>全安王亭石钟族</w:t>
      </w:r>
      <w:r>
        <w:rPr>
          <w:rFonts w:hint="eastAsia" w:ascii="宋体" w:hAnsi="宋体" w:cs="宋体"/>
        </w:rPr>
        <w:t xml:space="preserve">  先祖钟世凤于明代由始兴蛇鼻头迁来开基。</w:t>
      </w:r>
    </w:p>
    <w:p w14:paraId="6063C5B7">
      <w:pPr>
        <w:ind w:firstLine="422"/>
        <w:rPr>
          <w:rFonts w:ascii="宋体" w:hAnsi="宋体" w:cs="宋体"/>
        </w:rPr>
      </w:pPr>
      <w:r>
        <w:rPr>
          <w:rFonts w:hint="eastAsia" w:ascii="宋体" w:hAnsi="宋体" w:cs="宋体"/>
          <w:b/>
          <w:bCs/>
        </w:rPr>
        <w:t xml:space="preserve">百顺钟族  </w:t>
      </w:r>
      <w:r>
        <w:rPr>
          <w:rFonts w:hint="eastAsia" w:ascii="宋体" w:hAnsi="宋体" w:cs="宋体"/>
        </w:rPr>
        <w:t>先祖钟聚秀于明代由始兴顿岗迁来开基。</w:t>
      </w:r>
    </w:p>
    <w:p w14:paraId="4E837AC3">
      <w:pPr>
        <w:ind w:firstLine="0" w:firstLineChars="0"/>
        <w:jc w:val="center"/>
        <w:rPr>
          <w:rFonts w:ascii="宋体" w:hAnsi="宋体" w:cs="宋体"/>
          <w:b/>
          <w:bCs/>
        </w:rPr>
      </w:pPr>
      <w:r>
        <w:rPr>
          <w:rFonts w:hint="eastAsia" w:ascii="宋体" w:hAnsi="宋体" w:cs="宋体"/>
          <w:b/>
          <w:bCs/>
        </w:rPr>
        <w:t>曾氏</w:t>
      </w:r>
    </w:p>
    <w:p w14:paraId="6A9A2618">
      <w:pPr>
        <w:ind w:firstLine="420"/>
        <w:rPr>
          <w:rFonts w:ascii="宋体" w:hAnsi="宋体" w:cs="宋体"/>
        </w:rPr>
      </w:pPr>
      <w:r>
        <w:rPr>
          <w:rFonts w:hint="eastAsia" w:ascii="宋体" w:hAnsi="宋体" w:cs="宋体"/>
        </w:rPr>
        <w:t>南雄曾氏族谱称：以曾参为一世祖。现居南雄曾氏有两个支派：</w:t>
      </w:r>
    </w:p>
    <w:p w14:paraId="2C4E3D4E">
      <w:pPr>
        <w:ind w:firstLine="420"/>
        <w:rPr>
          <w:rFonts w:ascii="宋体" w:hAnsi="宋体" w:cs="宋体"/>
        </w:rPr>
      </w:pPr>
      <w:r>
        <w:rPr>
          <w:rFonts w:hint="eastAsia" w:ascii="宋体" w:hAnsi="宋体" w:cs="宋体"/>
        </w:rPr>
        <w:t>为曾晟支派，先祖原居福建上杭。曾晟于南宋末由上杭迁始兴罗坝，后裔于明代嘉靖、万历年间分迁南雄各地。</w:t>
      </w:r>
    </w:p>
    <w:p w14:paraId="370E83C3">
      <w:pPr>
        <w:ind w:firstLine="422"/>
        <w:rPr>
          <w:rFonts w:ascii="宋体" w:hAnsi="宋体" w:cs="宋体"/>
        </w:rPr>
      </w:pPr>
      <w:r>
        <w:rPr>
          <w:rFonts w:hint="eastAsia" w:ascii="宋体" w:hAnsi="宋体" w:cs="宋体"/>
          <w:b/>
          <w:bCs/>
        </w:rPr>
        <w:t xml:space="preserve">雄州勋口、贵村曾族 </w:t>
      </w:r>
      <w:r>
        <w:rPr>
          <w:rFonts w:hint="eastAsia" w:ascii="宋体" w:hAnsi="宋体" w:cs="宋体"/>
        </w:rPr>
        <w:t xml:space="preserve"> 始迁祖曾法孔于明代嘉靖年间由始兴斜头碰迁勋口开基。又始迁祖曾春贞于明代万历年间由始兴鸡公坑迁贵村开基。</w:t>
      </w:r>
    </w:p>
    <w:p w14:paraId="7D90DB5A">
      <w:pPr>
        <w:ind w:firstLine="422"/>
        <w:rPr>
          <w:rFonts w:ascii="宋体" w:hAnsi="宋体" w:cs="宋体"/>
        </w:rPr>
      </w:pPr>
      <w:r>
        <w:rPr>
          <w:rFonts w:hint="eastAsia" w:ascii="宋体" w:hAnsi="宋体" w:cs="宋体"/>
          <w:b/>
          <w:bCs/>
        </w:rPr>
        <w:t>珠玑灵潭曾族</w:t>
      </w:r>
      <w:r>
        <w:rPr>
          <w:rFonts w:hint="eastAsia" w:ascii="宋体" w:hAnsi="宋体" w:cs="宋体"/>
        </w:rPr>
        <w:t xml:space="preserve">  始迁祖曾宏忠于明代嘉靖年间由始兴罗坝迁来开基。</w:t>
      </w:r>
    </w:p>
    <w:p w14:paraId="52AC45ED">
      <w:pPr>
        <w:ind w:firstLine="422"/>
        <w:rPr>
          <w:rFonts w:ascii="宋体" w:hAnsi="宋体" w:cs="宋体"/>
        </w:rPr>
      </w:pPr>
      <w:r>
        <w:rPr>
          <w:rFonts w:hint="eastAsia" w:ascii="宋体" w:hAnsi="宋体" w:cs="宋体"/>
          <w:b/>
          <w:bCs/>
        </w:rPr>
        <w:t xml:space="preserve">主田塘田曾族  </w:t>
      </w:r>
      <w:r>
        <w:rPr>
          <w:rFonts w:hint="eastAsia" w:ascii="宋体" w:hAnsi="宋体" w:cs="宋体"/>
        </w:rPr>
        <w:t>始迁祖曾滔于明代嘉靖二十年（1541年）由始兴罗坝迁来开基。</w:t>
      </w:r>
    </w:p>
    <w:p w14:paraId="7F099B57">
      <w:pPr>
        <w:ind w:firstLine="422"/>
        <w:rPr>
          <w:rFonts w:ascii="宋体" w:hAnsi="宋体" w:cs="宋体"/>
        </w:rPr>
      </w:pPr>
      <w:r>
        <w:rPr>
          <w:rFonts w:hint="eastAsia" w:ascii="宋体" w:hAnsi="宋体" w:cs="宋体"/>
          <w:b/>
          <w:bCs/>
        </w:rPr>
        <w:t xml:space="preserve">湖口樟木山、赤溪湖曾族 </w:t>
      </w:r>
      <w:r>
        <w:rPr>
          <w:rFonts w:hint="eastAsia" w:ascii="宋体" w:hAnsi="宋体" w:cs="宋体"/>
        </w:rPr>
        <w:t xml:space="preserve"> 始迁祖曾绿于明嘉靖间由始兴迁樟木山开基。始迁祖曾清润于明万历年间自始兴迁赤溪湖开基。</w:t>
      </w:r>
    </w:p>
    <w:p w14:paraId="21E3D6BC">
      <w:pPr>
        <w:ind w:firstLine="420"/>
        <w:rPr>
          <w:rFonts w:ascii="宋体" w:hAnsi="宋体" w:cs="宋体"/>
        </w:rPr>
      </w:pPr>
      <w:r>
        <w:rPr>
          <w:rFonts w:hint="eastAsia" w:ascii="宋体" w:hAnsi="宋体" w:cs="宋体"/>
        </w:rPr>
        <w:t>一为曾国正支派，原居江西吉水，后裔辗转迁徙至江西信丰、龙南，于明代先后分迁南雄各地。</w:t>
      </w:r>
    </w:p>
    <w:p w14:paraId="43540E58">
      <w:pPr>
        <w:ind w:firstLine="422"/>
        <w:rPr>
          <w:rFonts w:ascii="宋体" w:hAnsi="宋体" w:cs="宋体"/>
        </w:rPr>
      </w:pPr>
      <w:r>
        <w:rPr>
          <w:rFonts w:hint="eastAsia" w:ascii="宋体" w:hAnsi="宋体" w:cs="宋体"/>
          <w:b/>
          <w:bCs/>
        </w:rPr>
        <w:t>珠玑罗田曾族</w:t>
      </w:r>
      <w:r>
        <w:rPr>
          <w:rFonts w:hint="eastAsia" w:ascii="宋体" w:hAnsi="宋体" w:cs="宋体"/>
        </w:rPr>
        <w:t xml:space="preserve">  先祖曾日济于明代永乐年间，由祖居吉安迁罗田开基。其子曾子唯，正统六年举人。后裔分迁湖南。</w:t>
      </w:r>
    </w:p>
    <w:p w14:paraId="768C8CE1">
      <w:pPr>
        <w:ind w:firstLine="422"/>
        <w:rPr>
          <w:rFonts w:ascii="宋体" w:hAnsi="宋体" w:cs="宋体"/>
        </w:rPr>
      </w:pPr>
      <w:r>
        <w:rPr>
          <w:rFonts w:hint="eastAsia" w:ascii="宋体" w:hAnsi="宋体" w:cs="宋体"/>
          <w:b/>
          <w:bCs/>
        </w:rPr>
        <w:t xml:space="preserve">邓坊竹山下曾族  </w:t>
      </w:r>
      <w:r>
        <w:rPr>
          <w:rFonts w:hint="eastAsia" w:ascii="宋体" w:hAnsi="宋体" w:cs="宋体"/>
        </w:rPr>
        <w:t>始迁祖曾允寿于明代嘉靖年间由信丰迁南雄大水洞，再迁竹山下开基，后裔分迁中洞。</w:t>
      </w:r>
    </w:p>
    <w:p w14:paraId="27D69CB6">
      <w:pPr>
        <w:ind w:firstLine="422"/>
        <w:rPr>
          <w:rFonts w:ascii="宋体" w:hAnsi="宋体" w:cs="宋体"/>
        </w:rPr>
      </w:pPr>
      <w:r>
        <w:rPr>
          <w:rFonts w:hint="eastAsia" w:ascii="宋体" w:hAnsi="宋体" w:cs="宋体"/>
          <w:b/>
          <w:bCs/>
        </w:rPr>
        <w:t>湖口石古圳曾族</w:t>
      </w:r>
      <w:r>
        <w:rPr>
          <w:rFonts w:hint="eastAsia" w:ascii="宋体" w:hAnsi="宋体" w:cs="宋体"/>
        </w:rPr>
        <w:t xml:space="preserve">  始迁祖曾孟亮于明代嘉靖年间由江西龙南迁来开基，后裔分迁长甫桥。</w:t>
      </w:r>
    </w:p>
    <w:p w14:paraId="7451AC6A">
      <w:pPr>
        <w:ind w:firstLine="422"/>
        <w:rPr>
          <w:rFonts w:ascii="宋体" w:hAnsi="宋体" w:cs="宋体"/>
        </w:rPr>
      </w:pPr>
      <w:r>
        <w:rPr>
          <w:rFonts w:hint="eastAsia" w:ascii="宋体" w:hAnsi="宋体" w:cs="宋体"/>
          <w:b/>
          <w:bCs/>
        </w:rPr>
        <w:t>湖口石坑曾族</w:t>
      </w:r>
      <w:r>
        <w:rPr>
          <w:rFonts w:hint="eastAsia" w:ascii="宋体" w:hAnsi="宋体" w:cs="宋体"/>
        </w:rPr>
        <w:t xml:space="preserve">  始迁祖曾阡于明代万历年间由龙南迁来开基。</w:t>
      </w:r>
    </w:p>
    <w:p w14:paraId="02F1FC8F">
      <w:pPr>
        <w:ind w:firstLine="422"/>
        <w:rPr>
          <w:rFonts w:ascii="宋体" w:hAnsi="宋体" w:cs="宋体"/>
        </w:rPr>
      </w:pPr>
      <w:r>
        <w:rPr>
          <w:rFonts w:hint="eastAsia" w:ascii="宋体" w:hAnsi="宋体" w:cs="宋体"/>
          <w:b/>
          <w:bCs/>
        </w:rPr>
        <w:t>湖口曾族</w:t>
      </w:r>
      <w:r>
        <w:rPr>
          <w:rFonts w:hint="eastAsia" w:ascii="宋体" w:hAnsi="宋体" w:cs="宋体"/>
        </w:rPr>
        <w:t xml:space="preserve">  始迁祖曾宜于明代万历年间由龙南迁来开基。</w:t>
      </w:r>
    </w:p>
    <w:p w14:paraId="67D51A22">
      <w:pPr>
        <w:ind w:firstLine="422"/>
        <w:rPr>
          <w:rFonts w:ascii="宋体" w:hAnsi="宋体" w:cs="宋体"/>
        </w:rPr>
      </w:pPr>
      <w:r>
        <w:rPr>
          <w:rFonts w:hint="eastAsia" w:ascii="宋体" w:hAnsi="宋体" w:cs="宋体"/>
          <w:b/>
          <w:bCs/>
        </w:rPr>
        <w:t>湖口高田曾族</w:t>
      </w:r>
      <w:r>
        <w:rPr>
          <w:rFonts w:hint="eastAsia" w:ascii="宋体" w:hAnsi="宋体" w:cs="宋体"/>
        </w:rPr>
        <w:t xml:space="preserve">  始迁祖曾诏贻、诏赐、诏锡由龙南迁来开基。</w:t>
      </w:r>
    </w:p>
    <w:p w14:paraId="73DFB0AD">
      <w:pPr>
        <w:ind w:firstLine="422"/>
        <w:rPr>
          <w:rFonts w:ascii="宋体" w:hAnsi="宋体" w:cs="宋体"/>
        </w:rPr>
      </w:pPr>
      <w:r>
        <w:rPr>
          <w:rFonts w:hint="eastAsia" w:ascii="宋体" w:hAnsi="宋体" w:cs="宋体"/>
          <w:b/>
          <w:bCs/>
        </w:rPr>
        <w:t>珠玑罗管坑曾族</w:t>
      </w:r>
      <w:r>
        <w:rPr>
          <w:rFonts w:hint="eastAsia" w:ascii="宋体" w:hAnsi="宋体" w:cs="宋体"/>
        </w:rPr>
        <w:t xml:space="preserve">  始迁祖曾孟七于明代嘉靖年间，由龙南梓竹村迁来开基。后裔分迁灵潭、祇芫、南山背。</w:t>
      </w:r>
    </w:p>
    <w:p w14:paraId="7CF71962">
      <w:pPr>
        <w:ind w:firstLine="422"/>
        <w:rPr>
          <w:rFonts w:ascii="宋体" w:hAnsi="宋体" w:cs="宋体"/>
        </w:rPr>
      </w:pPr>
      <w:r>
        <w:rPr>
          <w:rFonts w:hint="eastAsia" w:ascii="宋体" w:hAnsi="宋体" w:cs="宋体"/>
          <w:b/>
          <w:bCs/>
        </w:rPr>
        <w:t>黄坑田饶背、水口西瓜墩曾族</w:t>
      </w:r>
      <w:r>
        <w:rPr>
          <w:rFonts w:hint="eastAsia" w:ascii="宋体" w:hAnsi="宋体" w:cs="宋体"/>
        </w:rPr>
        <w:t xml:space="preserve">  先祖曾惟祥于明末由信丰草岭迁保昌（南雄）长甫一都马头岭，生四孙。其一孙允庆于清初迁黄坑田饶背开基，后裔分迁长岭、康排窝、虎须排、西瓜墩、水口圩。另一孙曾允京于清初迁水口西瓜墩开基。</w:t>
      </w:r>
    </w:p>
    <w:p w14:paraId="482A8C8F">
      <w:pPr>
        <w:ind w:firstLine="422"/>
        <w:rPr>
          <w:rFonts w:ascii="宋体" w:hAnsi="宋体" w:cs="宋体"/>
        </w:rPr>
      </w:pPr>
      <w:r>
        <w:rPr>
          <w:rFonts w:hint="eastAsia" w:ascii="宋体" w:hAnsi="宋体" w:cs="宋体"/>
          <w:b/>
          <w:bCs/>
        </w:rPr>
        <w:t>水口青水塘石背曾族</w:t>
      </w:r>
      <w:r>
        <w:rPr>
          <w:rFonts w:hint="eastAsia" w:ascii="宋体" w:hAnsi="宋体" w:cs="宋体"/>
        </w:rPr>
        <w:t xml:space="preserve">  始迁祖曾希宣于明代万历年间由信丰垅下堡迁来开基。</w:t>
      </w:r>
    </w:p>
    <w:p w14:paraId="45DE3FB8">
      <w:pPr>
        <w:ind w:firstLine="0" w:firstLineChars="0"/>
        <w:jc w:val="center"/>
        <w:rPr>
          <w:rFonts w:ascii="宋体" w:hAnsi="宋体" w:cs="宋体"/>
          <w:b/>
          <w:bCs/>
        </w:rPr>
      </w:pPr>
      <w:r>
        <w:rPr>
          <w:rFonts w:hint="eastAsia" w:ascii="宋体" w:hAnsi="宋体" w:cs="宋体"/>
          <w:b/>
          <w:bCs/>
        </w:rPr>
        <w:t>王氏</w:t>
      </w:r>
    </w:p>
    <w:p w14:paraId="42D9E125">
      <w:pPr>
        <w:ind w:firstLine="420"/>
        <w:rPr>
          <w:rFonts w:ascii="宋体" w:hAnsi="宋体" w:cs="宋体"/>
        </w:rPr>
      </w:pPr>
      <w:r>
        <w:rPr>
          <w:rFonts w:hint="eastAsia" w:ascii="宋体" w:hAnsi="宋体" w:cs="宋体"/>
        </w:rPr>
        <w:t>据南雄王氏族谱称：南雄王族以太原为郡望。早的于南宋末由闽西上杭、赣南信丰迁到南雄，迟的则于明季由始兴迁来。</w:t>
      </w:r>
    </w:p>
    <w:p w14:paraId="24E4432E">
      <w:pPr>
        <w:ind w:firstLine="422"/>
        <w:rPr>
          <w:rFonts w:ascii="宋体" w:hAnsi="宋体" w:cs="宋体"/>
        </w:rPr>
      </w:pPr>
      <w:r>
        <w:rPr>
          <w:rFonts w:hint="eastAsia" w:ascii="宋体" w:hAnsi="宋体" w:cs="宋体"/>
          <w:b/>
          <w:bCs/>
        </w:rPr>
        <w:t>南亩鱼鲜王族</w:t>
      </w:r>
      <w:r>
        <w:rPr>
          <w:rFonts w:hint="eastAsia" w:ascii="宋体" w:hAnsi="宋体" w:cs="宋体"/>
        </w:rPr>
        <w:t xml:space="preserve">  先祖王源观，卫辉府汲县尹，其子王日遵、王日泰、王日进兄弟三人，世居上杭。宋末，文天祥兴师勤王，日遵等兄弟三人投戎于文天祥麾下，随师至南雄，元师逼境，兵败瓦解，三兄弟见鱼鲜山水宜人，乃卜居立祠，子孙繁衍，后裔分迁赤石、高陂。</w:t>
      </w:r>
    </w:p>
    <w:p w14:paraId="5A9C582B">
      <w:pPr>
        <w:ind w:firstLine="422"/>
        <w:rPr>
          <w:rFonts w:ascii="宋体" w:hAnsi="宋体" w:cs="宋体"/>
        </w:rPr>
      </w:pPr>
      <w:r>
        <w:rPr>
          <w:rFonts w:hint="eastAsia" w:ascii="宋体" w:hAnsi="宋体" w:cs="宋体"/>
          <w:b/>
          <w:bCs/>
        </w:rPr>
        <w:t xml:space="preserve">界址大坊王族  </w:t>
      </w:r>
      <w:r>
        <w:rPr>
          <w:rFonts w:hint="eastAsia" w:ascii="宋体" w:hAnsi="宋体" w:cs="宋体"/>
        </w:rPr>
        <w:t>先祖王顺兴于南宋末由江西信丰桃江石背迁来开基。</w:t>
      </w:r>
    </w:p>
    <w:p w14:paraId="11236560">
      <w:pPr>
        <w:ind w:firstLine="422"/>
        <w:rPr>
          <w:rFonts w:ascii="宋体" w:hAnsi="宋体" w:cs="宋体"/>
        </w:rPr>
      </w:pPr>
      <w:r>
        <w:rPr>
          <w:rFonts w:hint="eastAsia" w:ascii="宋体" w:hAnsi="宋体" w:cs="宋体"/>
          <w:b/>
          <w:bCs/>
        </w:rPr>
        <w:t xml:space="preserve">邓坊茶头背王族 </w:t>
      </w:r>
      <w:r>
        <w:rPr>
          <w:rFonts w:hint="eastAsia" w:ascii="宋体" w:hAnsi="宋体" w:cs="宋体"/>
        </w:rPr>
        <w:t xml:space="preserve"> 先祖王居惠于明代永乐年间由江西万安县白坭里迁来开基。后裔分迁上湖探地、小车坑及江西大余县惜母等地。</w:t>
      </w:r>
    </w:p>
    <w:p w14:paraId="68247AA1">
      <w:pPr>
        <w:ind w:firstLine="422"/>
        <w:rPr>
          <w:rFonts w:ascii="宋体" w:hAnsi="宋体" w:cs="宋体"/>
        </w:rPr>
      </w:pPr>
      <w:r>
        <w:rPr>
          <w:rFonts w:hint="eastAsia" w:ascii="宋体" w:hAnsi="宋体" w:cs="宋体"/>
          <w:b/>
          <w:bCs/>
        </w:rPr>
        <w:t xml:space="preserve">油山黄田王族 </w:t>
      </w:r>
      <w:r>
        <w:rPr>
          <w:rFonts w:hint="eastAsia" w:ascii="宋体" w:hAnsi="宋体" w:cs="宋体"/>
        </w:rPr>
        <w:t xml:space="preserve"> 先祖王祖善于明代由始兴远迳迁来开基，后裔分迁昆仓州。</w:t>
      </w:r>
    </w:p>
    <w:p w14:paraId="6B76E138">
      <w:pPr>
        <w:ind w:firstLine="422"/>
        <w:rPr>
          <w:rFonts w:ascii="宋体" w:hAnsi="宋体" w:cs="宋体"/>
        </w:rPr>
      </w:pPr>
      <w:r>
        <w:rPr>
          <w:rFonts w:hint="eastAsia" w:ascii="宋体" w:hAnsi="宋体" w:cs="宋体"/>
          <w:b/>
          <w:bCs/>
        </w:rPr>
        <w:t>雄州勋口王族</w:t>
      </w:r>
      <w:r>
        <w:rPr>
          <w:rFonts w:hint="eastAsia" w:ascii="宋体" w:hAnsi="宋体" w:cs="宋体"/>
        </w:rPr>
        <w:t xml:space="preserve">  先祖王鹏兴于明代万历年间由始兴湖芳迁来开基。</w:t>
      </w:r>
    </w:p>
    <w:p w14:paraId="5E42995B">
      <w:pPr>
        <w:ind w:firstLine="422"/>
        <w:rPr>
          <w:rFonts w:ascii="宋体" w:hAnsi="宋体" w:cs="宋体"/>
        </w:rPr>
      </w:pPr>
      <w:r>
        <w:rPr>
          <w:rFonts w:hint="eastAsia" w:ascii="宋体" w:hAnsi="宋体" w:cs="宋体"/>
          <w:b/>
          <w:bCs/>
        </w:rPr>
        <w:t xml:space="preserve">珠玑下坋王族 </w:t>
      </w:r>
      <w:r>
        <w:rPr>
          <w:rFonts w:hint="eastAsia" w:ascii="宋体" w:hAnsi="宋体" w:cs="宋体"/>
        </w:rPr>
        <w:t xml:space="preserve"> 先祖王本权、本谋、本珍、本岑等于明代嘉靖万历年间先后由始兴下嵩迁来下坋赤珠塘、老屋开基。后裔分迁赤溪湖、里东茶园等地。又先祖王万珍、万必、万芳、万芬于清代初由始兴下嵩迁来下坋围俚、大豆芫、禾场下开基。</w:t>
      </w:r>
    </w:p>
    <w:p w14:paraId="25A2D6C1">
      <w:pPr>
        <w:ind w:firstLine="0" w:firstLineChars="0"/>
        <w:jc w:val="center"/>
        <w:rPr>
          <w:rFonts w:ascii="宋体" w:hAnsi="宋体" w:cs="宋体"/>
          <w:b/>
          <w:bCs/>
        </w:rPr>
      </w:pPr>
      <w:r>
        <w:rPr>
          <w:rFonts w:hint="eastAsia" w:ascii="宋体" w:hAnsi="宋体" w:cs="宋体"/>
          <w:b/>
          <w:bCs/>
        </w:rPr>
        <w:t>吴氏</w:t>
      </w:r>
    </w:p>
    <w:p w14:paraId="17D57EC4">
      <w:pPr>
        <w:ind w:firstLine="420"/>
        <w:rPr>
          <w:rFonts w:ascii="宋体" w:hAnsi="宋体" w:cs="宋体"/>
        </w:rPr>
      </w:pPr>
      <w:r>
        <w:rPr>
          <w:rFonts w:hint="eastAsia" w:ascii="宋体" w:hAnsi="宋体" w:cs="宋体"/>
        </w:rPr>
        <w:t>《南雄吴氏联谱》（2001年）载：南雄吴氏来自闽西、赣南，共有10支，其中唐末1支，宋代2支，明代5支。</w:t>
      </w:r>
    </w:p>
    <w:p w14:paraId="5FDD4E32">
      <w:pPr>
        <w:ind w:firstLine="422"/>
        <w:rPr>
          <w:rFonts w:ascii="宋体" w:hAnsi="宋体" w:cs="宋体"/>
        </w:rPr>
      </w:pPr>
      <w:r>
        <w:rPr>
          <w:rFonts w:hint="eastAsia" w:ascii="宋体" w:hAnsi="宋体" w:cs="宋体"/>
          <w:b/>
          <w:bCs/>
        </w:rPr>
        <w:t xml:space="preserve">珠玑里东吴族 </w:t>
      </w:r>
      <w:r>
        <w:rPr>
          <w:rFonts w:hint="eastAsia" w:ascii="宋体" w:hAnsi="宋体" w:cs="宋体"/>
        </w:rPr>
        <w:t xml:space="preserve"> 先祖吴本通于唐末由龙岩瓦子街迁来开基，后裔多外迁福建、云南、江西等地。</w:t>
      </w:r>
    </w:p>
    <w:p w14:paraId="433C7B33">
      <w:pPr>
        <w:ind w:firstLine="422"/>
        <w:rPr>
          <w:rFonts w:ascii="宋体" w:hAnsi="宋体" w:cs="宋体"/>
        </w:rPr>
      </w:pPr>
      <w:r>
        <w:rPr>
          <w:rFonts w:hint="eastAsia" w:ascii="宋体" w:hAnsi="宋体" w:cs="宋体"/>
          <w:b/>
          <w:bCs/>
        </w:rPr>
        <w:t>南雄城原悖悌街吴族</w:t>
      </w:r>
      <w:r>
        <w:rPr>
          <w:rFonts w:hint="eastAsia" w:ascii="宋体" w:hAnsi="宋体" w:cs="宋体"/>
        </w:rPr>
        <w:t xml:space="preserve">  先祖吴元美，原居福建永福县，宋高宗时任太常主簿，福建安抚使。淳熙元年（1174年）被秦桧所害，贬居南雄城悖悌街，其后裔分迁南亩爱塘、全安贵村、石角湾等地。</w:t>
      </w:r>
    </w:p>
    <w:p w14:paraId="1BFCF72B">
      <w:pPr>
        <w:ind w:firstLine="422"/>
        <w:rPr>
          <w:rFonts w:ascii="宋体" w:hAnsi="宋体" w:cs="宋体"/>
        </w:rPr>
      </w:pPr>
      <w:r>
        <w:rPr>
          <w:rFonts w:hint="eastAsia" w:ascii="宋体" w:hAnsi="宋体" w:cs="宋体"/>
          <w:b/>
          <w:bCs/>
        </w:rPr>
        <w:t xml:space="preserve">百顺吴地吴族  </w:t>
      </w:r>
      <w:r>
        <w:rPr>
          <w:rFonts w:hint="eastAsia" w:ascii="宋体" w:hAnsi="宋体" w:cs="宋体"/>
        </w:rPr>
        <w:t>先祖吴侃，原居福建上杭瓦子街，宋代宝庆二年（1226年），任南雄别驾，佐理通判，卒于任，葬吴地，其后裔居湖地及帽子峰富俚、全安、古塘、古市、山门等地。</w:t>
      </w:r>
    </w:p>
    <w:p w14:paraId="0D573B50">
      <w:pPr>
        <w:ind w:firstLine="422"/>
        <w:rPr>
          <w:rFonts w:ascii="宋体" w:hAnsi="宋体" w:cs="宋体"/>
        </w:rPr>
      </w:pPr>
      <w:r>
        <w:rPr>
          <w:rFonts w:hint="eastAsia" w:ascii="宋体" w:hAnsi="宋体" w:cs="宋体"/>
          <w:b/>
          <w:bCs/>
        </w:rPr>
        <w:t>江头涌溪吴族</w:t>
      </w:r>
      <w:r>
        <w:rPr>
          <w:rFonts w:hint="eastAsia" w:ascii="宋体" w:hAnsi="宋体" w:cs="宋体"/>
        </w:rPr>
        <w:t xml:space="preserve">  先祖吴师英于明代洪武五年（1372年）由福建上杭迁来开基。</w:t>
      </w:r>
    </w:p>
    <w:p w14:paraId="5C0E2152">
      <w:pPr>
        <w:ind w:firstLine="422"/>
        <w:rPr>
          <w:rFonts w:ascii="宋体" w:hAnsi="宋体" w:cs="宋体"/>
        </w:rPr>
      </w:pPr>
      <w:r>
        <w:rPr>
          <w:rFonts w:hint="eastAsia" w:ascii="宋体" w:hAnsi="宋体" w:cs="宋体"/>
          <w:b/>
          <w:bCs/>
        </w:rPr>
        <w:t xml:space="preserve">湖口三角吴族 </w:t>
      </w:r>
      <w:r>
        <w:rPr>
          <w:rFonts w:hint="eastAsia" w:ascii="宋体" w:hAnsi="宋体" w:cs="宋体"/>
        </w:rPr>
        <w:t xml:space="preserve"> 先祖吴文鉴于明代弘治七年（1494年）由江西信丰草岭堡迁里源岗坳，传至曾孙吴朋辉于明代嘉靖三十年（1551年）迁三角开基。</w:t>
      </w:r>
    </w:p>
    <w:p w14:paraId="782A0437">
      <w:pPr>
        <w:ind w:firstLine="422"/>
        <w:rPr>
          <w:rFonts w:ascii="宋体" w:hAnsi="宋体" w:cs="宋体"/>
        </w:rPr>
      </w:pPr>
      <w:r>
        <w:rPr>
          <w:rFonts w:hint="eastAsia" w:ascii="宋体" w:hAnsi="宋体" w:cs="宋体"/>
          <w:b/>
          <w:bCs/>
        </w:rPr>
        <w:t>珠玑聪背吴族</w:t>
      </w:r>
      <w:r>
        <w:rPr>
          <w:rFonts w:hint="eastAsia" w:ascii="宋体" w:hAnsi="宋体" w:cs="宋体"/>
        </w:rPr>
        <w:t xml:space="preserve">  先祖吴增福于明代嘉靖四年（1525年）由江西信丰黄陂堡迁来开基。</w:t>
      </w:r>
    </w:p>
    <w:p w14:paraId="78D4675D">
      <w:pPr>
        <w:ind w:firstLine="422"/>
        <w:rPr>
          <w:rFonts w:ascii="宋体" w:hAnsi="宋体" w:cs="宋体"/>
        </w:rPr>
      </w:pPr>
      <w:r>
        <w:rPr>
          <w:rFonts w:hint="eastAsia" w:ascii="宋体" w:hAnsi="宋体" w:cs="宋体"/>
          <w:b/>
          <w:bCs/>
        </w:rPr>
        <w:t>水口大岭背吴族</w:t>
      </w:r>
      <w:r>
        <w:rPr>
          <w:rFonts w:hint="eastAsia" w:ascii="宋体" w:hAnsi="宋体" w:cs="宋体"/>
        </w:rPr>
        <w:t xml:space="preserve">  先祖吴仲稀之子吴拱禄，于明代嘉靖年间由信丰竹桥河边迁来开基。拱禄生五子，分迁水口镇石庄卷头、围背、围俚等村以及江头镇吐珠岭及雄州上坪、湖口镇新迳等村。</w:t>
      </w:r>
    </w:p>
    <w:p w14:paraId="4A961942">
      <w:pPr>
        <w:ind w:firstLine="422"/>
        <w:rPr>
          <w:rFonts w:ascii="宋体" w:hAnsi="宋体" w:cs="宋体"/>
        </w:rPr>
      </w:pPr>
      <w:r>
        <w:rPr>
          <w:rFonts w:hint="eastAsia" w:ascii="宋体" w:hAnsi="宋体" w:cs="宋体"/>
          <w:b/>
          <w:bCs/>
        </w:rPr>
        <w:t xml:space="preserve">雄州迳口吴族  </w:t>
      </w:r>
      <w:r>
        <w:rPr>
          <w:rFonts w:hint="eastAsia" w:ascii="宋体" w:hAnsi="宋体" w:cs="宋体"/>
        </w:rPr>
        <w:t>先祖吴贯招，原居江西全南桃川韩洞，农耕之余，放养群鸭，沿浈江而下至迳口，偶拾数金，以为地灵，乃于明代万历二十年（1592年）自韩洞迁迳口开基。其后裔分迁山下、小涌等地。</w:t>
      </w:r>
    </w:p>
    <w:p w14:paraId="780EF888">
      <w:pPr>
        <w:ind w:firstLine="0" w:firstLineChars="0"/>
        <w:jc w:val="center"/>
        <w:rPr>
          <w:rFonts w:ascii="宋体" w:hAnsi="宋体" w:cs="宋体"/>
          <w:b/>
          <w:bCs/>
        </w:rPr>
      </w:pPr>
      <w:r>
        <w:rPr>
          <w:rFonts w:hint="eastAsia" w:ascii="宋体" w:hAnsi="宋体" w:cs="宋体"/>
          <w:b/>
          <w:bCs/>
        </w:rPr>
        <w:t>赖氏</w:t>
      </w:r>
    </w:p>
    <w:p w14:paraId="6C931FE3">
      <w:pPr>
        <w:ind w:firstLine="420"/>
        <w:rPr>
          <w:rFonts w:ascii="宋体" w:hAnsi="宋体" w:cs="宋体"/>
        </w:rPr>
      </w:pPr>
      <w:r>
        <w:rPr>
          <w:rFonts w:hint="eastAsia" w:ascii="宋体" w:hAnsi="宋体" w:cs="宋体"/>
        </w:rPr>
        <w:t>南雄赖氏族谱称：南雄赖氏是东晋中顺大夫、都御史、江东太守赖遇之后，世居浙江松阳，其后子孙分迁福建武平、长汀、上杭、永定、龙岩以及江西信丰、龙南等地，而后又分迁广东始兴、南雄。</w:t>
      </w:r>
    </w:p>
    <w:p w14:paraId="2B9111E2">
      <w:pPr>
        <w:ind w:firstLine="422"/>
        <w:rPr>
          <w:rFonts w:ascii="宋体" w:hAnsi="宋体" w:cs="宋体"/>
        </w:rPr>
      </w:pPr>
      <w:r>
        <w:rPr>
          <w:rFonts w:hint="eastAsia" w:ascii="宋体" w:hAnsi="宋体" w:cs="宋体"/>
          <w:b/>
          <w:bCs/>
        </w:rPr>
        <w:t xml:space="preserve">乌迳孔塘、庙前赖族  </w:t>
      </w:r>
      <w:r>
        <w:rPr>
          <w:rFonts w:hint="eastAsia" w:ascii="宋体" w:hAnsi="宋体" w:cs="宋体"/>
        </w:rPr>
        <w:t>先祖赖永诚，居福建武平，明代宣德年间迁江西会昌，嘉靖年间，再迁江西信丰，其孙赖万苓、万芳兄弟于正德年间迁入南雄，万苓在孔塘开基，万芳在孔溪（即今庙前）开基。子孙繁衍为一方望族，星聚孔塘、庙前，方园五六百户，后裔分迁于乌迳、老龙、背迳、大竹、田心、沧浪、白胜以及界址汶井、下屋，珠玑叟里元、大源、梅关，黄坑许村等地开基。清代乾隆甲戌（1754年）孔塘赖堂会试举进士，授廉州府教授，举家迁于博白大旗堡下甲大坪村。</w:t>
      </w:r>
    </w:p>
    <w:p w14:paraId="32DCAC18">
      <w:pPr>
        <w:ind w:firstLine="422"/>
        <w:rPr>
          <w:rFonts w:ascii="宋体" w:hAnsi="宋体" w:cs="宋体"/>
        </w:rPr>
      </w:pPr>
      <w:r>
        <w:rPr>
          <w:rFonts w:hint="eastAsia" w:ascii="宋体" w:hAnsi="宋体" w:cs="宋体"/>
          <w:b/>
          <w:bCs/>
        </w:rPr>
        <w:t>全安四脑赖族</w:t>
      </w:r>
      <w:r>
        <w:rPr>
          <w:rFonts w:hint="eastAsia" w:ascii="宋体" w:hAnsi="宋体" w:cs="宋体"/>
        </w:rPr>
        <w:t xml:space="preserve">  先祖赖虞观，原居福建上杭，北宋末举进士，授湘虞知县。南宋初致仕，举家迁苍石四脑，建祠立业，子孙昌盛。</w:t>
      </w:r>
    </w:p>
    <w:p w14:paraId="2B127E1F">
      <w:pPr>
        <w:ind w:firstLine="422"/>
        <w:rPr>
          <w:rFonts w:ascii="宋体" w:hAnsi="宋体" w:cs="宋体"/>
        </w:rPr>
      </w:pPr>
      <w:r>
        <w:rPr>
          <w:rFonts w:hint="eastAsia" w:ascii="宋体" w:hAnsi="宋体" w:cs="宋体"/>
          <w:b/>
          <w:bCs/>
        </w:rPr>
        <w:t xml:space="preserve">黎口荆岗赖族  </w:t>
      </w:r>
      <w:r>
        <w:rPr>
          <w:rFonts w:hint="eastAsia" w:ascii="宋体" w:hAnsi="宋体" w:cs="宋体"/>
        </w:rPr>
        <w:t>先祖赖明于明代嘉靖年间由始兴罗围迁来开基。</w:t>
      </w:r>
    </w:p>
    <w:p w14:paraId="67197900">
      <w:pPr>
        <w:ind w:firstLine="422"/>
        <w:rPr>
          <w:rFonts w:ascii="宋体" w:hAnsi="宋体" w:cs="宋体"/>
        </w:rPr>
      </w:pPr>
      <w:r>
        <w:rPr>
          <w:rFonts w:hint="eastAsia" w:ascii="宋体" w:hAnsi="宋体" w:cs="宋体"/>
          <w:b/>
          <w:bCs/>
        </w:rPr>
        <w:t>江头园圃沙坋赖族</w:t>
      </w:r>
      <w:r>
        <w:rPr>
          <w:rFonts w:hint="eastAsia" w:ascii="宋体" w:hAnsi="宋体" w:cs="宋体"/>
        </w:rPr>
        <w:t xml:space="preserve">  先祖赖九郎于明永乐年间任职南雄，因举家由福建宁化石壁村迁南雄水西，其后裔重十郎再迁江头沙坋开基。</w:t>
      </w:r>
    </w:p>
    <w:p w14:paraId="3CAFCF92">
      <w:pPr>
        <w:ind w:firstLine="0" w:firstLineChars="0"/>
        <w:jc w:val="center"/>
        <w:rPr>
          <w:rFonts w:ascii="宋体" w:hAnsi="宋体" w:cs="宋体"/>
          <w:b/>
          <w:bCs/>
        </w:rPr>
      </w:pPr>
      <w:r>
        <w:rPr>
          <w:rFonts w:hint="eastAsia" w:ascii="宋体" w:hAnsi="宋体" w:cs="宋体"/>
          <w:b/>
          <w:bCs/>
        </w:rPr>
        <w:t>谢氏</w:t>
      </w:r>
    </w:p>
    <w:p w14:paraId="0C3FADD6">
      <w:pPr>
        <w:ind w:firstLine="420"/>
        <w:rPr>
          <w:rFonts w:ascii="宋体" w:hAnsi="宋体" w:cs="宋体"/>
        </w:rPr>
      </w:pPr>
      <w:r>
        <w:rPr>
          <w:rFonts w:hint="eastAsia" w:ascii="宋体" w:hAnsi="宋体" w:cs="宋体"/>
        </w:rPr>
        <w:t>南雄《陈留堂谢氏六修谱》（1999年）称：南雄谢氏为申伯之裔，世居陈留，辗转南迁赣、闽，继而入粤，于元、明、清代自江西龙南、全南以及福建迁入南雄，或先迁入始兴而后再迁入南雄。</w:t>
      </w:r>
    </w:p>
    <w:p w14:paraId="24738EEA">
      <w:pPr>
        <w:ind w:firstLine="422"/>
        <w:rPr>
          <w:rFonts w:ascii="宋体" w:hAnsi="宋体" w:cs="宋体"/>
        </w:rPr>
      </w:pPr>
      <w:r>
        <w:rPr>
          <w:rFonts w:hint="eastAsia" w:ascii="宋体" w:hAnsi="宋体" w:cs="宋体"/>
          <w:b/>
          <w:bCs/>
        </w:rPr>
        <w:t>油山上孔溪谢族</w:t>
      </w:r>
      <w:r>
        <w:rPr>
          <w:rFonts w:hint="eastAsia" w:ascii="宋体" w:hAnsi="宋体" w:cs="宋体"/>
        </w:rPr>
        <w:t xml:space="preserve">  先祖谢学敬于南宋德祐二年（1276年）由江西虔化来粤经商，因避乱，卜居沙水。其后裔谢正元、正化于明代洪武戊戌（1388年）迁上孔溪开基。其后裔又分迁官塘、大塘圩等地。</w:t>
      </w:r>
    </w:p>
    <w:p w14:paraId="5C44A026">
      <w:pPr>
        <w:ind w:firstLine="422"/>
        <w:rPr>
          <w:rFonts w:ascii="宋体" w:hAnsi="宋体" w:cs="宋体"/>
        </w:rPr>
      </w:pPr>
      <w:r>
        <w:rPr>
          <w:rFonts w:hint="eastAsia" w:ascii="宋体" w:hAnsi="宋体" w:cs="宋体"/>
          <w:b/>
          <w:bCs/>
        </w:rPr>
        <w:t>油山下孔溪谢族</w:t>
      </w:r>
      <w:r>
        <w:rPr>
          <w:rFonts w:hint="eastAsia" w:ascii="宋体" w:hAnsi="宋体" w:cs="宋体"/>
        </w:rPr>
        <w:t xml:space="preserve">  先祖谢德翔于南宋末知宾西州来宾县，致仕后，举家侨居南雄城，历四代，裔孙谢茂荣于元代延祐年间迁下孔溪开基，其后裔分迁莲山老村及水口等地。</w:t>
      </w:r>
    </w:p>
    <w:p w14:paraId="3B345679">
      <w:pPr>
        <w:ind w:firstLine="422"/>
        <w:rPr>
          <w:rFonts w:ascii="宋体" w:hAnsi="宋体" w:cs="宋体"/>
        </w:rPr>
      </w:pPr>
      <w:r>
        <w:rPr>
          <w:rFonts w:hint="eastAsia" w:ascii="宋体" w:hAnsi="宋体" w:cs="宋体"/>
          <w:b/>
          <w:bCs/>
        </w:rPr>
        <w:t xml:space="preserve">南亩官溪谢族  </w:t>
      </w:r>
      <w:r>
        <w:rPr>
          <w:rFonts w:hint="eastAsia" w:ascii="宋体" w:hAnsi="宋体" w:cs="宋体"/>
        </w:rPr>
        <w:t>先祖谢源泰于明代由龙南迁来开基，后裔分迁水口矮岭、珠玑上嵩等地。</w:t>
      </w:r>
    </w:p>
    <w:p w14:paraId="269649C9">
      <w:pPr>
        <w:ind w:firstLine="422"/>
        <w:rPr>
          <w:rFonts w:ascii="宋体" w:hAnsi="宋体" w:cs="宋体"/>
        </w:rPr>
      </w:pPr>
      <w:r>
        <w:rPr>
          <w:rFonts w:hint="eastAsia" w:ascii="宋体" w:hAnsi="宋体" w:cs="宋体"/>
          <w:b/>
          <w:bCs/>
        </w:rPr>
        <w:t>湖口午田、洋坋谢族</w:t>
      </w:r>
      <w:r>
        <w:rPr>
          <w:rFonts w:hint="eastAsia" w:ascii="宋体" w:hAnsi="宋体" w:cs="宋体"/>
        </w:rPr>
        <w:t xml:space="preserve">  先祖谢廷清、廷渊、廷淋兄弟于明代嘉靖年间自龙南大龙堡迁入南雄。廷清在午田开基，后裔分迁赤沙岭、江背坑、龙眼头、龙川水、大和岭、水大坪等地。廷渊在洋坋开基。廷淋在水口泷头开基。</w:t>
      </w:r>
    </w:p>
    <w:p w14:paraId="23D81FA0">
      <w:pPr>
        <w:ind w:firstLine="422"/>
        <w:rPr>
          <w:rFonts w:ascii="宋体" w:hAnsi="宋体" w:cs="宋体"/>
        </w:rPr>
      </w:pPr>
      <w:r>
        <w:rPr>
          <w:rFonts w:hint="eastAsia" w:ascii="宋体" w:hAnsi="宋体" w:cs="宋体"/>
          <w:b/>
          <w:bCs/>
        </w:rPr>
        <w:t>百顺谢坑、全安政塘谢族</w:t>
      </w:r>
      <w:r>
        <w:rPr>
          <w:rFonts w:hint="eastAsia" w:ascii="宋体" w:hAnsi="宋体" w:cs="宋体"/>
        </w:rPr>
        <w:t xml:space="preserve">  先祖谢友来于明代宣德年间由始兴马江迁谢坑开基，后裔分迁上睦及全安政塘等地。</w:t>
      </w:r>
    </w:p>
    <w:p w14:paraId="4A48CFA3">
      <w:pPr>
        <w:ind w:firstLine="422"/>
        <w:rPr>
          <w:rFonts w:ascii="宋体" w:hAnsi="宋体" w:cs="宋体"/>
        </w:rPr>
      </w:pPr>
      <w:r>
        <w:rPr>
          <w:rFonts w:hint="eastAsia" w:ascii="宋体" w:hAnsi="宋体" w:cs="宋体"/>
          <w:b/>
          <w:bCs/>
        </w:rPr>
        <w:t>雄州莲塘谢族</w:t>
      </w:r>
      <w:r>
        <w:rPr>
          <w:rFonts w:hint="eastAsia" w:ascii="宋体" w:hAnsi="宋体" w:cs="宋体"/>
        </w:rPr>
        <w:t xml:space="preserve">  先祖谢秀亭于清初由始兴围溪迁莲塘开基。后裔分迁窑山坪、洋汾水、贵村等地。又先祖谢秀曲亦于清初由始兴茶便迁溪田寺开基。</w:t>
      </w:r>
    </w:p>
    <w:p w14:paraId="545EEFFC">
      <w:pPr>
        <w:ind w:firstLine="422"/>
        <w:rPr>
          <w:rFonts w:ascii="宋体" w:hAnsi="宋体" w:cs="宋体"/>
        </w:rPr>
      </w:pPr>
      <w:r>
        <w:rPr>
          <w:rFonts w:hint="eastAsia" w:ascii="宋体" w:hAnsi="宋体" w:cs="宋体"/>
          <w:b/>
          <w:bCs/>
        </w:rPr>
        <w:t>珠玑新村石陂头谢族</w:t>
      </w:r>
      <w:r>
        <w:rPr>
          <w:rFonts w:hint="eastAsia" w:ascii="宋体" w:hAnsi="宋体" w:cs="宋体"/>
        </w:rPr>
        <w:t xml:space="preserve">  先祖谢良铨于清初由始兴马江迁来开基。</w:t>
      </w:r>
    </w:p>
    <w:p w14:paraId="152C97EF">
      <w:pPr>
        <w:ind w:firstLine="422"/>
        <w:rPr>
          <w:rFonts w:ascii="宋体" w:hAnsi="宋体" w:cs="宋体"/>
        </w:rPr>
      </w:pPr>
      <w:r>
        <w:rPr>
          <w:rFonts w:hint="eastAsia" w:ascii="宋体" w:hAnsi="宋体" w:cs="宋体"/>
          <w:b/>
          <w:bCs/>
        </w:rPr>
        <w:t>主田西坑谢族</w:t>
      </w:r>
      <w:r>
        <w:rPr>
          <w:rFonts w:hint="eastAsia" w:ascii="宋体" w:hAnsi="宋体" w:cs="宋体"/>
        </w:rPr>
        <w:t xml:space="preserve">  先祖谢体华于清初由始兴澄江迁来开基。</w:t>
      </w:r>
    </w:p>
    <w:p w14:paraId="7DEB9CED">
      <w:pPr>
        <w:ind w:firstLine="422"/>
        <w:rPr>
          <w:rFonts w:ascii="宋体" w:hAnsi="宋体" w:cs="宋体"/>
        </w:rPr>
      </w:pPr>
      <w:r>
        <w:rPr>
          <w:rFonts w:hint="eastAsia" w:ascii="宋体" w:hAnsi="宋体" w:cs="宋体"/>
          <w:b/>
          <w:bCs/>
        </w:rPr>
        <w:t>邓坊前坊谢族</w:t>
      </w:r>
      <w:r>
        <w:rPr>
          <w:rFonts w:hint="eastAsia" w:ascii="宋体" w:hAnsi="宋体" w:cs="宋体"/>
        </w:rPr>
        <w:t xml:space="preserve">  先祖谢福灿于明万历年间由福建建宁迁来开基。</w:t>
      </w:r>
    </w:p>
    <w:p w14:paraId="278816D0">
      <w:pPr>
        <w:ind w:firstLine="0" w:firstLineChars="0"/>
        <w:jc w:val="center"/>
        <w:rPr>
          <w:rFonts w:ascii="宋体" w:hAnsi="宋体" w:cs="宋体"/>
          <w:b/>
          <w:bCs/>
        </w:rPr>
      </w:pPr>
      <w:r>
        <w:rPr>
          <w:rFonts w:hint="eastAsia" w:ascii="宋体" w:hAnsi="宋体" w:cs="宋体"/>
          <w:b/>
          <w:bCs/>
        </w:rPr>
        <w:t>郭氏</w:t>
      </w:r>
    </w:p>
    <w:p w14:paraId="4FA4CD26">
      <w:pPr>
        <w:ind w:firstLine="420"/>
        <w:rPr>
          <w:rFonts w:ascii="宋体" w:hAnsi="宋体" w:cs="宋体"/>
        </w:rPr>
      </w:pPr>
      <w:r>
        <w:rPr>
          <w:rFonts w:hint="eastAsia" w:ascii="宋体" w:hAnsi="宋体" w:cs="宋体"/>
        </w:rPr>
        <w:t>《汾阳浆溪七修族谱》（1998年）称：南雄郭氏为唐代汾阳王郭子仪之后，辗转播迁于赣南、闽西，而后分迁南雄。</w:t>
      </w:r>
    </w:p>
    <w:p w14:paraId="3B8BB5FE">
      <w:pPr>
        <w:ind w:firstLine="422"/>
        <w:rPr>
          <w:rFonts w:ascii="宋体" w:hAnsi="宋体" w:cs="宋体"/>
        </w:rPr>
      </w:pPr>
      <w:r>
        <w:rPr>
          <w:rFonts w:hint="eastAsia" w:ascii="宋体" w:hAnsi="宋体" w:cs="宋体"/>
          <w:b/>
          <w:bCs/>
        </w:rPr>
        <w:t xml:space="preserve">油山浆田郭族 </w:t>
      </w:r>
      <w:r>
        <w:rPr>
          <w:rFonts w:hint="eastAsia" w:ascii="宋体" w:hAnsi="宋体" w:cs="宋体"/>
        </w:rPr>
        <w:t xml:space="preserve"> 先祖郭崇蛟，文林郎，连州剌史。原籍江西吉州。致仕后，雅爱浆田山水，于南宋乾道年间携家迁浆田开基。后裔分迁牛坑、船塘弯、川头山、上会、苦竹坑、乌迳坪地山、水口泷头、梅岭新路口、铁罗坑等地。</w:t>
      </w:r>
    </w:p>
    <w:p w14:paraId="030F94E8">
      <w:pPr>
        <w:ind w:firstLine="422"/>
        <w:rPr>
          <w:rFonts w:ascii="宋体" w:hAnsi="宋体" w:cs="宋体"/>
        </w:rPr>
      </w:pPr>
      <w:r>
        <w:rPr>
          <w:rFonts w:hint="eastAsia" w:ascii="宋体" w:hAnsi="宋体" w:cs="宋体"/>
          <w:b/>
          <w:bCs/>
        </w:rPr>
        <w:t xml:space="preserve">乌迳坪塘郭族 </w:t>
      </w:r>
      <w:r>
        <w:rPr>
          <w:rFonts w:hint="eastAsia" w:ascii="宋体" w:hAnsi="宋体" w:cs="宋体"/>
        </w:rPr>
        <w:t xml:space="preserve"> 先祖郭孟瑞，于明代由信丰黄沙坑迁来开基，后裔分迁南山、勋口。</w:t>
      </w:r>
    </w:p>
    <w:p w14:paraId="3750E6E7">
      <w:pPr>
        <w:ind w:firstLine="422"/>
        <w:rPr>
          <w:rFonts w:ascii="宋体" w:hAnsi="宋体" w:cs="宋体"/>
        </w:rPr>
      </w:pPr>
      <w:r>
        <w:rPr>
          <w:rFonts w:hint="eastAsia" w:ascii="宋体" w:hAnsi="宋体" w:cs="宋体"/>
          <w:b/>
          <w:bCs/>
        </w:rPr>
        <w:t xml:space="preserve">雄州哈乐、观斗坪郭族  </w:t>
      </w:r>
      <w:r>
        <w:rPr>
          <w:rFonts w:hint="eastAsia" w:ascii="宋体" w:hAnsi="宋体" w:cs="宋体"/>
        </w:rPr>
        <w:t>哈乐先祖郭今初，于明代洪武年间由荐溪迁南雄珠玑巷，传六代至郭廷宪于明代嘉靖间迁哈乐开基。又观斗坪郭族，先祖郭德洙于清代乾隆十七年（1752年）由江西信丰万隆布尾岭迁来开基。后裔分迁赤水塘、龙眼头。</w:t>
      </w:r>
    </w:p>
    <w:p w14:paraId="326B2514">
      <w:pPr>
        <w:ind w:firstLine="422"/>
        <w:rPr>
          <w:rFonts w:ascii="宋体" w:hAnsi="宋体" w:cs="宋体"/>
        </w:rPr>
      </w:pPr>
      <w:r>
        <w:rPr>
          <w:rFonts w:hint="eastAsia" w:ascii="宋体" w:hAnsi="宋体" w:cs="宋体"/>
          <w:b/>
          <w:bCs/>
        </w:rPr>
        <w:t xml:space="preserve">珠玑河坑郭族  </w:t>
      </w:r>
      <w:r>
        <w:rPr>
          <w:rFonts w:hint="eastAsia" w:ascii="宋体" w:hAnsi="宋体" w:cs="宋体"/>
        </w:rPr>
        <w:t>先祖郭庆恩于明代嘉靖年间，由始兴澄江小油草迁来开基，后裔分迁角湾及新迳莲塘等地。</w:t>
      </w:r>
    </w:p>
    <w:p w14:paraId="6C5A4C62">
      <w:pPr>
        <w:ind w:firstLine="422"/>
        <w:rPr>
          <w:rFonts w:ascii="宋体" w:hAnsi="宋体" w:cs="宋体"/>
        </w:rPr>
      </w:pPr>
      <w:r>
        <w:rPr>
          <w:rFonts w:hint="eastAsia" w:ascii="宋体" w:hAnsi="宋体" w:cs="宋体"/>
          <w:b/>
          <w:bCs/>
        </w:rPr>
        <w:t>南雄城原八一街郭族</w:t>
      </w:r>
      <w:r>
        <w:rPr>
          <w:rFonts w:hint="eastAsia" w:ascii="宋体" w:hAnsi="宋体" w:cs="宋体"/>
        </w:rPr>
        <w:t xml:space="preserve">  先祖郭士品于明代万历年间由龙岩西山陈陂迁来开基。</w:t>
      </w:r>
    </w:p>
    <w:p w14:paraId="120DECB1">
      <w:pPr>
        <w:ind w:firstLine="422"/>
        <w:rPr>
          <w:rFonts w:ascii="宋体" w:hAnsi="宋体" w:cs="宋体"/>
        </w:rPr>
      </w:pPr>
      <w:r>
        <w:rPr>
          <w:rFonts w:hint="eastAsia" w:ascii="宋体" w:hAnsi="宋体" w:cs="宋体"/>
          <w:b/>
          <w:bCs/>
        </w:rPr>
        <w:t xml:space="preserve">南亩芙蓉郭族  </w:t>
      </w:r>
      <w:r>
        <w:rPr>
          <w:rFonts w:hint="eastAsia" w:ascii="宋体" w:hAnsi="宋体" w:cs="宋体"/>
        </w:rPr>
        <w:t>先祖郭友新于明代嘉靖年间为避乱由信丰崇仙乡九龙村迁来开基。后裔分迁实竹坑、水星等地。</w:t>
      </w:r>
    </w:p>
    <w:p w14:paraId="2876ABF0">
      <w:pPr>
        <w:ind w:firstLine="0" w:firstLineChars="0"/>
        <w:jc w:val="center"/>
        <w:rPr>
          <w:rFonts w:ascii="宋体" w:hAnsi="宋体" w:cs="宋体"/>
          <w:b/>
          <w:bCs/>
        </w:rPr>
      </w:pPr>
      <w:r>
        <w:rPr>
          <w:rFonts w:hint="eastAsia" w:ascii="宋体" w:hAnsi="宋体" w:cs="宋体"/>
          <w:b/>
          <w:bCs/>
        </w:rPr>
        <w:t>沈氏</w:t>
      </w:r>
    </w:p>
    <w:p w14:paraId="34D2EADD">
      <w:pPr>
        <w:ind w:firstLine="420"/>
        <w:rPr>
          <w:rFonts w:ascii="宋体" w:hAnsi="宋体" w:cs="宋体"/>
        </w:rPr>
      </w:pPr>
      <w:r>
        <w:rPr>
          <w:rFonts w:hint="eastAsia" w:ascii="宋体" w:hAnsi="宋体" w:cs="宋体"/>
        </w:rPr>
        <w:t>南雄《吴兴堂沈氏五修族谱》称：先祖沈启函，南宋高宗绍兴二十七年（1157年）进士，任福建汀州府尹，因卜居福建建阳，子孙辗转迁播于闽西、赣南、粤东。明成化七年（1474年）沈元达、元远由福建上杭分别迁居于始兴柴塘、远迳，其后裔于明季、清初迁入南雄，主要聚居于黄坑镇及油山镇下惠村：沈永忠迁来上象开基，后裔分迁田心坳背、公陂坑、龙凤井等地；沈万珍迁来板桥坑开基；沈永祥迁来里和陂开基；沈永浩、永深兄弟迁来下槎开基，后裔分迁邓坊马战雷公畔、坪岗、蔡屋场等地；沈万富迁来罗坑开基；沈万柄迁来里坑开基，后裔分迁上窝、沙窝等地；沈永华迁来油山镇黄田开基；沈木万迁来油山镇江背开基；沈融迁来坪岭开基，后裔分迁官塘及黄坑镇枫坑等地。</w:t>
      </w:r>
    </w:p>
    <w:p w14:paraId="59AC215A">
      <w:pPr>
        <w:ind w:firstLine="0" w:firstLineChars="0"/>
        <w:jc w:val="center"/>
        <w:rPr>
          <w:rFonts w:ascii="宋体" w:hAnsi="宋体" w:cs="宋体"/>
          <w:b/>
          <w:bCs/>
        </w:rPr>
      </w:pPr>
      <w:r>
        <w:rPr>
          <w:rFonts w:hint="eastAsia" w:ascii="宋体" w:hAnsi="宋体" w:cs="宋体"/>
          <w:b/>
          <w:bCs/>
        </w:rPr>
        <w:t>朱氏</w:t>
      </w:r>
    </w:p>
    <w:p w14:paraId="5D1BCB43">
      <w:pPr>
        <w:ind w:firstLine="420"/>
        <w:rPr>
          <w:rFonts w:ascii="宋体" w:hAnsi="宋体" w:cs="宋体"/>
        </w:rPr>
      </w:pPr>
      <w:r>
        <w:rPr>
          <w:rFonts w:hint="eastAsia" w:ascii="宋体" w:hAnsi="宋体" w:cs="宋体"/>
        </w:rPr>
        <w:t>《沛国堂朱氏八修族谱》（1999年始兴、南雄、仁化、大余、信丰联谱）称：南雄朱氏为朱熹之后，有的自福建上杭迁到南雄，多数自上杭迁始兴、信丰、大余而后再迁南雄。</w:t>
      </w:r>
    </w:p>
    <w:p w14:paraId="68E15AAF">
      <w:pPr>
        <w:ind w:firstLine="422"/>
        <w:rPr>
          <w:rFonts w:ascii="宋体" w:hAnsi="宋体" w:cs="宋体"/>
        </w:rPr>
      </w:pPr>
      <w:r>
        <w:rPr>
          <w:rFonts w:hint="eastAsia" w:ascii="宋体" w:hAnsi="宋体" w:cs="宋体"/>
          <w:b/>
          <w:bCs/>
        </w:rPr>
        <w:t>南雄城北门、澜河葛坪、全安陂头朱族</w:t>
      </w:r>
      <w:r>
        <w:rPr>
          <w:rFonts w:hint="eastAsia" w:ascii="宋体" w:hAnsi="宋体" w:cs="宋体"/>
        </w:rPr>
        <w:t xml:space="preserve">  先祖朱培，于明代初由福建上杭迁来雄城北门开基，后裔分迁借村、葛坪、陂头、岭排等地。</w:t>
      </w:r>
    </w:p>
    <w:p w14:paraId="23692A84">
      <w:pPr>
        <w:ind w:firstLine="422"/>
        <w:rPr>
          <w:rFonts w:ascii="宋体" w:hAnsi="宋体" w:cs="宋体"/>
        </w:rPr>
      </w:pPr>
      <w:r>
        <w:rPr>
          <w:rFonts w:hint="eastAsia" w:ascii="宋体" w:hAnsi="宋体" w:cs="宋体"/>
          <w:b/>
          <w:bCs/>
        </w:rPr>
        <w:t xml:space="preserve">雄州水西朱族  </w:t>
      </w:r>
      <w:r>
        <w:rPr>
          <w:rFonts w:hint="eastAsia" w:ascii="宋体" w:hAnsi="宋体" w:cs="宋体"/>
        </w:rPr>
        <w:t>先祖朱士瑛于清代乾隆年间由始兴总铺迁来开基。另一支朱明玉于光绪年间由始兴迁来开基。</w:t>
      </w:r>
    </w:p>
    <w:p w14:paraId="397A24A6">
      <w:pPr>
        <w:ind w:firstLine="422"/>
        <w:rPr>
          <w:rFonts w:ascii="宋体" w:hAnsi="宋体" w:cs="宋体"/>
        </w:rPr>
      </w:pPr>
      <w:r>
        <w:rPr>
          <w:rFonts w:hint="eastAsia" w:ascii="宋体" w:hAnsi="宋体" w:cs="宋体"/>
          <w:b/>
          <w:bCs/>
        </w:rPr>
        <w:t xml:space="preserve">百顺大沙洲朱族  </w:t>
      </w:r>
      <w:r>
        <w:rPr>
          <w:rFonts w:hint="eastAsia" w:ascii="宋体" w:hAnsi="宋体" w:cs="宋体"/>
        </w:rPr>
        <w:t>先祖朱鼐于明代嘉靖年间由仁化牙石滩迁来新地开基。另有朱文光迁罗坑开基。清代乾隆年间又有朱尚祯由始兴总铺迁来开基。</w:t>
      </w:r>
    </w:p>
    <w:p w14:paraId="5059E20F">
      <w:pPr>
        <w:ind w:firstLine="422"/>
        <w:rPr>
          <w:rFonts w:ascii="宋体" w:hAnsi="宋体" w:cs="宋体"/>
        </w:rPr>
      </w:pPr>
      <w:r>
        <w:rPr>
          <w:rFonts w:hint="eastAsia" w:ascii="宋体" w:hAnsi="宋体" w:cs="宋体"/>
          <w:b/>
          <w:bCs/>
        </w:rPr>
        <w:t xml:space="preserve">全安大坪朱族  </w:t>
      </w:r>
      <w:r>
        <w:rPr>
          <w:rFonts w:hint="eastAsia" w:ascii="宋体" w:hAnsi="宋体" w:cs="宋体"/>
        </w:rPr>
        <w:t>先祖朱舜书于清代初年自始兴迁来开基。</w:t>
      </w:r>
    </w:p>
    <w:p w14:paraId="71E65358">
      <w:pPr>
        <w:ind w:firstLine="422"/>
        <w:rPr>
          <w:rFonts w:ascii="宋体" w:hAnsi="宋体" w:cs="宋体"/>
        </w:rPr>
      </w:pPr>
      <w:r>
        <w:rPr>
          <w:rFonts w:hint="eastAsia" w:ascii="宋体" w:hAnsi="宋体" w:cs="宋体"/>
          <w:b/>
          <w:bCs/>
        </w:rPr>
        <w:t xml:space="preserve">珠玑石塘朱族  </w:t>
      </w:r>
      <w:r>
        <w:rPr>
          <w:rFonts w:hint="eastAsia" w:ascii="宋体" w:hAnsi="宋体" w:cs="宋体"/>
        </w:rPr>
        <w:t>先祖朱奇茂于明代中由江西信丰杨溪堡迁龙陂塘开基，后裔分迁石塘、石岩下、青山口、里东岗等地。</w:t>
      </w:r>
    </w:p>
    <w:p w14:paraId="64B0B81A">
      <w:pPr>
        <w:ind w:firstLine="422"/>
        <w:rPr>
          <w:rFonts w:ascii="宋体" w:hAnsi="宋体" w:cs="宋体"/>
        </w:rPr>
      </w:pPr>
      <w:r>
        <w:rPr>
          <w:rFonts w:hint="eastAsia" w:ascii="宋体" w:hAnsi="宋体" w:cs="宋体"/>
          <w:b/>
          <w:bCs/>
        </w:rPr>
        <w:t xml:space="preserve">雄州下坪朱族  </w:t>
      </w:r>
      <w:r>
        <w:rPr>
          <w:rFonts w:hint="eastAsia" w:ascii="宋体" w:hAnsi="宋体" w:cs="宋体"/>
        </w:rPr>
        <w:t>较早迁来的先祖朱舜针于明代嘉靖年间由江西信丰杨溪堡迁来开基。又清代初，朱舜梅由始兴大树坪迁来开基，朱尚明由江西信丰迁来开基。</w:t>
      </w:r>
    </w:p>
    <w:p w14:paraId="4D8BB36F">
      <w:pPr>
        <w:ind w:firstLine="422"/>
        <w:rPr>
          <w:rFonts w:ascii="宋体" w:hAnsi="宋体" w:cs="宋体"/>
        </w:rPr>
      </w:pPr>
      <w:r>
        <w:rPr>
          <w:rFonts w:hint="eastAsia" w:ascii="宋体" w:hAnsi="宋体" w:cs="宋体"/>
          <w:b/>
          <w:bCs/>
        </w:rPr>
        <w:t>湖口沙道丘、拱桥、坪地朱族</w:t>
      </w:r>
      <w:r>
        <w:rPr>
          <w:rFonts w:hint="eastAsia" w:ascii="宋体" w:hAnsi="宋体" w:cs="宋体"/>
        </w:rPr>
        <w:t xml:space="preserve">  均于清初由始兴迁来：朱舜寰迁沙道丘开基，后裔分迁水西岭、小坪等地；朱士旺迁拱桥开基；朱舜正迁坪地开基，后裔分迁赤沙排、石庄等地。</w:t>
      </w:r>
    </w:p>
    <w:p w14:paraId="5025D6F2">
      <w:pPr>
        <w:ind w:firstLine="422"/>
        <w:rPr>
          <w:rFonts w:ascii="宋体" w:hAnsi="宋体" w:cs="宋体"/>
        </w:rPr>
      </w:pPr>
      <w:r>
        <w:rPr>
          <w:rFonts w:hint="eastAsia" w:ascii="宋体" w:hAnsi="宋体" w:cs="宋体"/>
          <w:b/>
          <w:bCs/>
        </w:rPr>
        <w:t xml:space="preserve">主田西洞朱族  </w:t>
      </w:r>
      <w:r>
        <w:rPr>
          <w:rFonts w:hint="eastAsia" w:ascii="宋体" w:hAnsi="宋体" w:cs="宋体"/>
        </w:rPr>
        <w:t>先祖朱奇英于明末由始兴澄江迁来开基，后裔分迁城门等地。</w:t>
      </w:r>
    </w:p>
    <w:p w14:paraId="4D21F16E">
      <w:pPr>
        <w:ind w:firstLine="0" w:firstLineChars="0"/>
        <w:jc w:val="center"/>
        <w:rPr>
          <w:rFonts w:ascii="宋体" w:hAnsi="宋体" w:cs="宋体"/>
          <w:b/>
          <w:bCs/>
        </w:rPr>
      </w:pPr>
      <w:r>
        <w:rPr>
          <w:rFonts w:hint="eastAsia" w:ascii="宋体" w:hAnsi="宋体" w:cs="宋体"/>
          <w:b/>
          <w:bCs/>
        </w:rPr>
        <w:t>林氏</w:t>
      </w:r>
    </w:p>
    <w:p w14:paraId="728BE742">
      <w:pPr>
        <w:ind w:firstLine="420"/>
        <w:rPr>
          <w:rFonts w:ascii="宋体" w:hAnsi="宋体" w:cs="宋体"/>
        </w:rPr>
      </w:pPr>
      <w:r>
        <w:rPr>
          <w:rFonts w:hint="eastAsia" w:ascii="宋体" w:hAnsi="宋体" w:cs="宋体"/>
        </w:rPr>
        <w:t>南雄《林氏重修族谱》（2000年）称：先祖林禄于东晋太宁三年（325年）任晋安郡守，举家定居晋安，为入闽始祖，后裔迁播于闽、赣、粤各地。明代永乐、景泰年间迁入始兴，而后迁入南雄，主要聚居于16个村落：林元椅迁来澜河白云下门楼开基，后裔分迁洞底、小官田、黄岸、降子头等地；林仲仪迁来葛坪樟坑开基；林玉衎迁来百顺东坑开基；林元清迁来黄坑四方坑开基，后裔分迁赤溪湖；林东忠迁来雄州勋口开基；林玉琛迁来蓝桥开基；林玉瑞迁来江头山下开基；林万泰迁来江头沙地背开基；林允安迁来坪田小塘开基，后裔分迁山坑、龙头、龙江坑、孔江坑；林清迁来全安大塘坑开基，后裔分迁仕坑；林其养迁来全安坪坑开基；林元余迁来全安张婆洞开基；林元宝迁来水口上湖洞开基，后裔分迁暖水塘、水大坪、赤溪湖；林池迁来梅岭营脚下开基；林先爵迁来湖口邓甫塘开基；林枢迁来湖口汉塘开基，后裔分迁矮岭。</w:t>
      </w:r>
    </w:p>
    <w:p w14:paraId="75BF8641">
      <w:pPr>
        <w:ind w:firstLine="0" w:firstLineChars="0"/>
        <w:jc w:val="center"/>
        <w:rPr>
          <w:rFonts w:ascii="宋体" w:hAnsi="宋体" w:cs="宋体"/>
          <w:b/>
          <w:bCs/>
        </w:rPr>
      </w:pPr>
      <w:r>
        <w:rPr>
          <w:rFonts w:hint="eastAsia" w:ascii="宋体" w:hAnsi="宋体" w:cs="宋体"/>
          <w:b/>
          <w:bCs/>
        </w:rPr>
        <w:t>卢氏</w:t>
      </w:r>
    </w:p>
    <w:p w14:paraId="5B9F6665">
      <w:pPr>
        <w:ind w:firstLine="420"/>
        <w:rPr>
          <w:rFonts w:ascii="宋体" w:hAnsi="宋体" w:cs="宋体"/>
        </w:rPr>
      </w:pPr>
      <w:r>
        <w:rPr>
          <w:rFonts w:hint="eastAsia" w:ascii="宋体" w:hAnsi="宋体" w:cs="宋体"/>
        </w:rPr>
        <w:t>南雄《范阳卢氏六修族谱》（1996年）称，南雄卢氏先祖为后梁开国侯、虔州卢光稠。其后裔辗转迁徙，于明代永乐年间由福建宁化分迁始兴都安水，而后再分迁南雄各地：卢崇安于明代嘉靖年间迁来古市柴岭开基，卢日伦迁来小水开基，卢若情、卢启俊迁来溪口开基；卢友厚于明代嘉靖年间迁来南亩里溪开基；卢为玑于明代嘉靖年间迁来黄坑官塘坑开基；卢显清于明代万历年间迁来片坑开基；卢显仕迁来上坑开基；卢维端于清代初迁来四方坑开基，后裔分迁白龙坑、云田水、上象新村；卢日橘于明代嘉靖年间迁来珠玑里东开基；卢寿湖于明代万历年间迁来洋湖开基；卢朝广迁来牛皮桥开基；卢中应于清代康熙年间迁来叟里元开基；卢环、卢佩兄弟于明代嘉靖年间迁来全安长园开基，后离分迁富俚、密下水；卢中昌于清代康熙年间迁来瑶山坪开基；卢元胜于清顺治十七年（1660年）迁来网岭下开基，康熙三十年（1691年）再迁天光脑开基；卢日生于明代嘉靖年间迁来迳口开基；卢中亮于清代康熙年间迁来头渡小水开基；后裔分迁灵潭、槐花、中站等地；卢寿迪于明代嘉靖年间迁来湖口鱼王石开基；卢朝凤于明代末迁来彭坑开基；卢中立于清代康熙年间迁来邓坊和睦塘开基；卢富仁、卢富义迁苍石文坑、百顺溪头开基；卢文周于清代康熙年间由连平县迁来雄城中山街开基，后裔分迁水口圩、塘下洞。</w:t>
      </w:r>
    </w:p>
    <w:p w14:paraId="3A085666">
      <w:pPr>
        <w:ind w:firstLine="0" w:firstLineChars="0"/>
        <w:jc w:val="center"/>
        <w:rPr>
          <w:rFonts w:ascii="宋体" w:hAnsi="宋体" w:cs="宋体"/>
          <w:b/>
          <w:bCs/>
        </w:rPr>
      </w:pPr>
      <w:r>
        <w:rPr>
          <w:rFonts w:hint="eastAsia" w:ascii="宋体" w:hAnsi="宋体" w:cs="宋体"/>
          <w:b/>
          <w:bCs/>
        </w:rPr>
        <w:t>邱氏</w:t>
      </w:r>
    </w:p>
    <w:p w14:paraId="2AC6D4B6">
      <w:pPr>
        <w:ind w:firstLine="420"/>
        <w:rPr>
          <w:rFonts w:ascii="宋体" w:hAnsi="宋体" w:cs="宋体"/>
        </w:rPr>
      </w:pPr>
      <w:r>
        <w:rPr>
          <w:rFonts w:hint="eastAsia" w:ascii="宋体" w:hAnsi="宋体" w:cs="宋体"/>
        </w:rPr>
        <w:t>南雄邱氏族谱称：邱氏为炎帝裔，姜尚之后。先祖邱法言于北宋中迁福建宁化，后裔乃分迁闽西、赣南，而后分迁南雄。</w:t>
      </w:r>
    </w:p>
    <w:p w14:paraId="53D5185B">
      <w:pPr>
        <w:ind w:firstLine="422"/>
        <w:rPr>
          <w:rFonts w:ascii="宋体" w:hAnsi="宋体" w:cs="宋体"/>
        </w:rPr>
      </w:pPr>
      <w:r>
        <w:rPr>
          <w:rFonts w:hint="eastAsia" w:ascii="宋体" w:hAnsi="宋体" w:cs="宋体"/>
          <w:b/>
          <w:bCs/>
        </w:rPr>
        <w:t xml:space="preserve">南雄城邱族 </w:t>
      </w:r>
      <w:r>
        <w:rPr>
          <w:rFonts w:hint="eastAsia" w:ascii="宋体" w:hAnsi="宋体" w:cs="宋体"/>
        </w:rPr>
        <w:t xml:space="preserve"> 先祖邱君与，原居福建宁化，由乡荐任南雄州学正，随任居家于南雄城。孙丘必明，南宋咸淳辛未（1271年）进士，累官韶州佥判。德祐二年（1276年）元师陷城，必明不屈死难，后裔乃世居南雄城。</w:t>
      </w:r>
    </w:p>
    <w:p w14:paraId="6A7F0222">
      <w:pPr>
        <w:ind w:firstLine="422"/>
        <w:rPr>
          <w:rFonts w:ascii="宋体" w:hAnsi="宋体" w:cs="宋体"/>
        </w:rPr>
      </w:pPr>
      <w:r>
        <w:rPr>
          <w:rFonts w:hint="eastAsia" w:ascii="宋体" w:hAnsi="宋体" w:cs="宋体"/>
          <w:b/>
          <w:bCs/>
        </w:rPr>
        <w:t>百顺石溪水邱族</w:t>
      </w:r>
      <w:r>
        <w:rPr>
          <w:rFonts w:hint="eastAsia" w:ascii="宋体" w:hAnsi="宋体" w:cs="宋体"/>
        </w:rPr>
        <w:t xml:space="preserve">  先祖邱成二于明代初到南雄城定居，后裔邱复初为明代永乐年间举人，邱文翰为明代成化年间进士。传至丘传友于清代康熙年间迁石溪水开基。</w:t>
      </w:r>
    </w:p>
    <w:p w14:paraId="4C98CE83">
      <w:pPr>
        <w:ind w:firstLine="422"/>
        <w:rPr>
          <w:rFonts w:ascii="宋体" w:hAnsi="宋体" w:cs="宋体"/>
        </w:rPr>
      </w:pPr>
      <w:r>
        <w:rPr>
          <w:rFonts w:hint="eastAsia" w:ascii="宋体" w:hAnsi="宋体" w:cs="宋体"/>
          <w:b/>
          <w:bCs/>
        </w:rPr>
        <w:t>水口石背邱族</w:t>
      </w:r>
      <w:r>
        <w:rPr>
          <w:rFonts w:hint="eastAsia" w:ascii="宋体" w:hAnsi="宋体" w:cs="宋体"/>
        </w:rPr>
        <w:t xml:space="preserve">  先祖邱以隆、以海兄弟于明代天顺年间由福建长汀迁来开基，后裔繁衍，分迁正山、柴寮下、田心、上门、井水坑、大沙洲、塘下洞、大坑及江头旱禾地、蚊坑、官仁村和湖口李木坑等地。</w:t>
      </w:r>
    </w:p>
    <w:p w14:paraId="4F9F3801">
      <w:pPr>
        <w:ind w:firstLine="422"/>
        <w:rPr>
          <w:rFonts w:ascii="宋体" w:hAnsi="宋体" w:cs="宋体"/>
        </w:rPr>
      </w:pPr>
      <w:r>
        <w:rPr>
          <w:rFonts w:hint="eastAsia" w:ascii="宋体" w:hAnsi="宋体" w:cs="宋体"/>
          <w:b/>
          <w:bCs/>
        </w:rPr>
        <w:t xml:space="preserve">全安廓公岭邱族  </w:t>
      </w:r>
      <w:r>
        <w:rPr>
          <w:rFonts w:hint="eastAsia" w:ascii="宋体" w:hAnsi="宋体" w:cs="宋体"/>
        </w:rPr>
        <w:t>先祖丘崇富于明代万历年间由始兴锅洞迁来开基（原名厥公岭，清咸丰年间改为廓公岭）</w:t>
      </w:r>
    </w:p>
    <w:p w14:paraId="5A06F291">
      <w:pPr>
        <w:ind w:firstLine="422"/>
        <w:rPr>
          <w:rFonts w:ascii="宋体" w:hAnsi="宋体" w:cs="宋体"/>
        </w:rPr>
      </w:pPr>
      <w:r>
        <w:rPr>
          <w:rFonts w:hint="eastAsia" w:ascii="宋体" w:hAnsi="宋体" w:cs="宋体"/>
          <w:b/>
          <w:bCs/>
        </w:rPr>
        <w:t xml:space="preserve">全安里冈岭邱族  </w:t>
      </w:r>
      <w:r>
        <w:rPr>
          <w:rFonts w:hint="eastAsia" w:ascii="宋体" w:hAnsi="宋体" w:cs="宋体"/>
        </w:rPr>
        <w:t>先祖丘嶅于明成化间由始兴柴塘迁来开基。</w:t>
      </w:r>
    </w:p>
    <w:p w14:paraId="60FBE753">
      <w:pPr>
        <w:ind w:firstLine="422"/>
        <w:rPr>
          <w:rFonts w:ascii="宋体" w:hAnsi="宋体" w:cs="宋体"/>
        </w:rPr>
      </w:pPr>
      <w:r>
        <w:rPr>
          <w:rFonts w:hint="eastAsia" w:ascii="宋体" w:hAnsi="宋体" w:cs="宋体"/>
          <w:b/>
          <w:bCs/>
        </w:rPr>
        <w:t xml:space="preserve">南亩蕉坑、忠心坑邱族  </w:t>
      </w:r>
      <w:r>
        <w:rPr>
          <w:rFonts w:hint="eastAsia" w:ascii="宋体" w:hAnsi="宋体" w:cs="宋体"/>
        </w:rPr>
        <w:t>先祖丘守隆、守标于明季由信丰龙下堡迁入南亩，守隆在蕉坑开基，守标在忠心坑开基，后裔分迁上坳。</w:t>
      </w:r>
    </w:p>
    <w:p w14:paraId="0BA0E742">
      <w:pPr>
        <w:ind w:firstLine="422"/>
        <w:rPr>
          <w:rFonts w:ascii="宋体" w:hAnsi="宋体" w:cs="宋体"/>
        </w:rPr>
      </w:pPr>
      <w:r>
        <w:rPr>
          <w:rFonts w:hint="eastAsia" w:ascii="宋体" w:hAnsi="宋体" w:cs="宋体"/>
          <w:b/>
          <w:bCs/>
        </w:rPr>
        <w:t>坪田棠梨树下邱族</w:t>
      </w:r>
      <w:r>
        <w:rPr>
          <w:rFonts w:hint="eastAsia" w:ascii="宋体" w:hAnsi="宋体" w:cs="宋体"/>
        </w:rPr>
        <w:t xml:space="preserve">  先祖邱守叔于明季由信丰龙下堡迁来开基。</w:t>
      </w:r>
    </w:p>
    <w:p w14:paraId="0557B3F4">
      <w:pPr>
        <w:ind w:firstLine="422"/>
        <w:rPr>
          <w:rFonts w:ascii="宋体" w:hAnsi="宋体" w:cs="宋体"/>
        </w:rPr>
      </w:pPr>
      <w:r>
        <w:rPr>
          <w:rFonts w:hint="eastAsia" w:ascii="宋体" w:hAnsi="宋体" w:cs="宋体"/>
          <w:b/>
          <w:bCs/>
        </w:rPr>
        <w:t>珠玑里东茶园邱族</w:t>
      </w:r>
      <w:r>
        <w:rPr>
          <w:rFonts w:hint="eastAsia" w:ascii="宋体" w:hAnsi="宋体" w:cs="宋体"/>
        </w:rPr>
        <w:t xml:space="preserve">  先祖邱文忆、丘万顺于明末清初迁来开基。</w:t>
      </w:r>
    </w:p>
    <w:p w14:paraId="5B5CD361">
      <w:pPr>
        <w:ind w:firstLine="422"/>
        <w:rPr>
          <w:rFonts w:ascii="宋体" w:hAnsi="宋体" w:cs="宋体"/>
        </w:rPr>
      </w:pPr>
      <w:r>
        <w:rPr>
          <w:rFonts w:hint="eastAsia" w:ascii="宋体" w:hAnsi="宋体" w:cs="宋体"/>
          <w:b/>
          <w:bCs/>
        </w:rPr>
        <w:t xml:space="preserve">湖口长坑邱族 </w:t>
      </w:r>
      <w:r>
        <w:rPr>
          <w:rFonts w:hint="eastAsia" w:ascii="宋体" w:hAnsi="宋体" w:cs="宋体"/>
        </w:rPr>
        <w:t xml:space="preserve"> 先祖邱朝武于明季由始兴顿岗禾花塘迁来开基。</w:t>
      </w:r>
    </w:p>
    <w:p w14:paraId="79F80A5B">
      <w:pPr>
        <w:ind w:firstLine="0" w:firstLineChars="0"/>
        <w:jc w:val="center"/>
        <w:rPr>
          <w:rFonts w:ascii="宋体" w:hAnsi="宋体" w:cs="宋体"/>
          <w:b/>
          <w:bCs/>
        </w:rPr>
      </w:pPr>
      <w:r>
        <w:rPr>
          <w:rFonts w:hint="eastAsia" w:ascii="宋体" w:hAnsi="宋体" w:cs="宋体"/>
          <w:b/>
          <w:bCs/>
        </w:rPr>
        <w:t>杨氏</w:t>
      </w:r>
    </w:p>
    <w:p w14:paraId="1ABC6F32">
      <w:pPr>
        <w:ind w:firstLine="420"/>
        <w:rPr>
          <w:rFonts w:ascii="宋体" w:hAnsi="宋体" w:cs="宋体"/>
        </w:rPr>
      </w:pPr>
      <w:r>
        <w:rPr>
          <w:rFonts w:hint="eastAsia" w:ascii="宋体" w:hAnsi="宋体" w:cs="宋体"/>
        </w:rPr>
        <w:t>1997年修纂的南雄杨氏族谱称，南雄杨氏堂号弘农，来自江西、福建。</w:t>
      </w:r>
    </w:p>
    <w:p w14:paraId="3EA62537">
      <w:pPr>
        <w:ind w:firstLine="422"/>
        <w:rPr>
          <w:rFonts w:ascii="宋体" w:hAnsi="宋体" w:cs="宋体"/>
        </w:rPr>
      </w:pPr>
      <w:r>
        <w:rPr>
          <w:rFonts w:hint="eastAsia" w:ascii="宋体" w:hAnsi="宋体" w:cs="宋体"/>
          <w:b/>
          <w:bCs/>
        </w:rPr>
        <w:t>珠玑祇芫、江头圩杨族</w:t>
      </w:r>
      <w:r>
        <w:rPr>
          <w:rFonts w:hint="eastAsia" w:ascii="宋体" w:hAnsi="宋体" w:cs="宋体"/>
        </w:rPr>
        <w:t xml:space="preserve">  先祖杨之宜，进士，任刑部主事，明代正统五年（1440年）自江西泰和迁南雄城塔前街居住，后裔分迁珠玑祗芫、江头圩等地。</w:t>
      </w:r>
    </w:p>
    <w:p w14:paraId="536AB7E2">
      <w:pPr>
        <w:ind w:firstLine="422"/>
        <w:rPr>
          <w:rFonts w:ascii="宋体" w:hAnsi="宋体" w:cs="宋体"/>
        </w:rPr>
      </w:pPr>
      <w:r>
        <w:rPr>
          <w:rFonts w:hint="eastAsia" w:ascii="宋体" w:hAnsi="宋体" w:cs="宋体"/>
          <w:b/>
          <w:bCs/>
        </w:rPr>
        <w:t>黄坑霞村岭杨族</w:t>
      </w:r>
      <w:r>
        <w:rPr>
          <w:rFonts w:hint="eastAsia" w:ascii="宋体" w:hAnsi="宋体" w:cs="宋体"/>
        </w:rPr>
        <w:t xml:space="preserve">  先祖杨魁嵩，于明代正统元年（1436年）由袁州迁南雄城塔前街居住，其子杨日光再迁黄坑霞村岭开基。</w:t>
      </w:r>
    </w:p>
    <w:p w14:paraId="6EF22F3E">
      <w:pPr>
        <w:ind w:firstLine="422"/>
        <w:rPr>
          <w:rFonts w:ascii="宋体" w:hAnsi="宋体" w:cs="宋体"/>
        </w:rPr>
      </w:pPr>
      <w:r>
        <w:rPr>
          <w:rFonts w:hint="eastAsia" w:ascii="宋体" w:hAnsi="宋体" w:cs="宋体"/>
          <w:b/>
          <w:bCs/>
        </w:rPr>
        <w:t>湖口老园杨族</w:t>
      </w:r>
      <w:r>
        <w:rPr>
          <w:rFonts w:hint="eastAsia" w:ascii="宋体" w:hAnsi="宋体" w:cs="宋体"/>
        </w:rPr>
        <w:t xml:space="preserve">  先祖杨元仁，原居江西信丰赤土堡紫坳村（今正平乡），喜游猎。一日游到湖口老园，猎狗忽然不知去向，经寻找发现猎狗在一草丛中做窝生了5只小狗。杨元仁以为吉兆，乃于正德三年（1508年）六月初二日由信丰迁来开基。果然财丁兴旺，连生5个儿子。其后裔分迁江背、社官下、田心等地。</w:t>
      </w:r>
    </w:p>
    <w:p w14:paraId="49A99B5B">
      <w:pPr>
        <w:ind w:firstLine="422"/>
        <w:rPr>
          <w:rFonts w:ascii="宋体" w:hAnsi="宋体" w:cs="宋体"/>
        </w:rPr>
      </w:pPr>
      <w:r>
        <w:rPr>
          <w:rFonts w:hint="eastAsia" w:ascii="宋体" w:hAnsi="宋体" w:cs="宋体"/>
          <w:b/>
          <w:bCs/>
        </w:rPr>
        <w:t>百顺溪口杨族</w:t>
      </w:r>
      <w:r>
        <w:rPr>
          <w:rFonts w:hint="eastAsia" w:ascii="宋体" w:hAnsi="宋体" w:cs="宋体"/>
        </w:rPr>
        <w:t xml:space="preserve">  先祖杨玉琼，于明代万历年间，自始兴杨陂迳迁来开基。</w:t>
      </w:r>
    </w:p>
    <w:p w14:paraId="28C7647F">
      <w:pPr>
        <w:ind w:firstLine="422"/>
        <w:rPr>
          <w:rFonts w:ascii="宋体" w:hAnsi="宋体" w:cs="宋体"/>
        </w:rPr>
      </w:pPr>
      <w:r>
        <w:rPr>
          <w:rFonts w:hint="eastAsia" w:ascii="宋体" w:hAnsi="宋体" w:cs="宋体"/>
          <w:b/>
          <w:bCs/>
        </w:rPr>
        <w:t xml:space="preserve">雄州黎口桥杨族  </w:t>
      </w:r>
      <w:r>
        <w:rPr>
          <w:rFonts w:hint="eastAsia" w:ascii="宋体" w:hAnsi="宋体" w:cs="宋体"/>
        </w:rPr>
        <w:t>先祖杨元龙于清代乾隆年间为避帮会之祸，自福建瓦子街迁来开基。</w:t>
      </w:r>
    </w:p>
    <w:p w14:paraId="5CB3FA34">
      <w:pPr>
        <w:ind w:firstLine="422"/>
        <w:rPr>
          <w:rFonts w:ascii="宋体" w:hAnsi="宋体" w:cs="宋体"/>
        </w:rPr>
      </w:pPr>
      <w:r>
        <w:rPr>
          <w:rFonts w:hint="eastAsia" w:ascii="宋体" w:hAnsi="宋体" w:cs="宋体"/>
          <w:b/>
          <w:bCs/>
        </w:rPr>
        <w:t xml:space="preserve">雄城秋千街杨族  </w:t>
      </w:r>
      <w:r>
        <w:rPr>
          <w:rFonts w:hint="eastAsia" w:ascii="宋体" w:hAnsi="宋体" w:cs="宋体"/>
        </w:rPr>
        <w:t>其先祖原居江西泰和，于明正统年间因官迁始兴县城，又于清乾隆年间，迁古市丹铺葫芦坵，杨贤西樽再由葫芦坵迁雄城秋千街开墓，已历传九代。</w:t>
      </w:r>
    </w:p>
    <w:p w14:paraId="0D213FFE">
      <w:pPr>
        <w:ind w:firstLine="0" w:firstLineChars="0"/>
        <w:jc w:val="center"/>
        <w:rPr>
          <w:rFonts w:ascii="宋体" w:hAnsi="宋体" w:cs="宋体"/>
          <w:b/>
          <w:bCs/>
        </w:rPr>
      </w:pPr>
      <w:r>
        <w:rPr>
          <w:rFonts w:hint="eastAsia" w:ascii="宋体" w:hAnsi="宋体" w:cs="宋体"/>
          <w:b/>
          <w:bCs/>
        </w:rPr>
        <w:t>徐氏</w:t>
      </w:r>
    </w:p>
    <w:p w14:paraId="5B10A574">
      <w:pPr>
        <w:ind w:firstLine="420"/>
        <w:rPr>
          <w:rFonts w:ascii="宋体" w:hAnsi="宋体" w:cs="宋体"/>
        </w:rPr>
      </w:pPr>
      <w:r>
        <w:rPr>
          <w:rFonts w:hint="eastAsia" w:ascii="宋体" w:hAnsi="宋体" w:cs="宋体"/>
        </w:rPr>
        <w:t>《南雄徐氏二联修谱》（1998年）称，现居南雄徐氏为东汉南州（南昌）高士徐稚之后裔，辗转迁徙，由闽入粤，多于明代或清初由始兴迁到南雄。</w:t>
      </w:r>
    </w:p>
    <w:p w14:paraId="595294C6">
      <w:pPr>
        <w:ind w:firstLine="422"/>
        <w:rPr>
          <w:rFonts w:ascii="宋体" w:hAnsi="宋体" w:cs="宋体"/>
        </w:rPr>
      </w:pPr>
      <w:r>
        <w:rPr>
          <w:rFonts w:hint="eastAsia" w:ascii="宋体" w:hAnsi="宋体" w:cs="宋体"/>
          <w:b/>
          <w:bCs/>
        </w:rPr>
        <w:t>油山上朔徐族</w:t>
      </w:r>
      <w:r>
        <w:rPr>
          <w:rFonts w:hint="eastAsia" w:ascii="宋体" w:hAnsi="宋体" w:cs="宋体"/>
        </w:rPr>
        <w:t xml:space="preserve">  先祖徐拱，原居浙江台州，南宋嘉熙三年（1234年）以通判升任南雄知州。南宋末，应文天祥号召，破家勤王，兵败，卒于赣州。长子徐芹于元代至元间，投奔南雄义友汪居至，而后择地上朔开基创业。</w:t>
      </w:r>
    </w:p>
    <w:p w14:paraId="0420298F">
      <w:pPr>
        <w:ind w:firstLine="422"/>
        <w:rPr>
          <w:rFonts w:ascii="宋体" w:hAnsi="宋体" w:cs="宋体"/>
        </w:rPr>
      </w:pPr>
      <w:r>
        <w:rPr>
          <w:rFonts w:hint="eastAsia" w:ascii="宋体" w:hAnsi="宋体" w:cs="宋体"/>
          <w:b/>
          <w:bCs/>
        </w:rPr>
        <w:t xml:space="preserve">珠玑徐族  </w:t>
      </w:r>
      <w:r>
        <w:rPr>
          <w:rFonts w:hint="eastAsia" w:ascii="宋体" w:hAnsi="宋体" w:cs="宋体"/>
        </w:rPr>
        <w:t>自元代至清初多由始兴迁来：元代至正年间，先祖徐湖由始兴迁叟里元开基，后裔分迁塘东屋背、新村；又明代嘉靖年间，先祖徐孔顺由江西龙南迁叟里元开基；明代嘉靖年间，徐贵锋由始兴迁虎岗头开基，后裔分迁琵琶岭、丰源水；又明代万历初年，先祖徐秀通由始兴迁虎岗头上门开基，后裔分迁里东迳口；明代万历初年，先祖徐佑由始兴迁塘东开基，后裔分迁莲塘；明代万历年间，先祖徐永盛、徐昌淇先后由始兴迁中站开基，后裔分迁拱桥；又先祖徐承意由始兴迁石灰窑开基；清代康熙初年，先祖徐日经由始兴迁洋湖开基。</w:t>
      </w:r>
    </w:p>
    <w:p w14:paraId="6CF8EBDB">
      <w:pPr>
        <w:ind w:firstLine="422"/>
        <w:rPr>
          <w:rFonts w:ascii="宋体" w:hAnsi="宋体" w:cs="宋体"/>
        </w:rPr>
      </w:pPr>
      <w:r>
        <w:rPr>
          <w:rFonts w:hint="eastAsia" w:ascii="宋体" w:hAnsi="宋体" w:cs="宋体"/>
          <w:b/>
          <w:bCs/>
        </w:rPr>
        <w:t>湖口矿岭、长坑徐族</w:t>
      </w:r>
      <w:r>
        <w:rPr>
          <w:rFonts w:hint="eastAsia" w:ascii="宋体" w:hAnsi="宋体" w:cs="宋体"/>
        </w:rPr>
        <w:t xml:space="preserve">  明代嘉靖年间，先祖徐顺铭由始兴迁矿岭开基。万历年间，先祖徐秀效由始兴迁长坑开基，后裔分迁上洋坋。</w:t>
      </w:r>
    </w:p>
    <w:p w14:paraId="1C8BE444">
      <w:pPr>
        <w:ind w:firstLine="422"/>
        <w:rPr>
          <w:rFonts w:ascii="宋体" w:hAnsi="宋体" w:cs="宋体"/>
        </w:rPr>
      </w:pPr>
      <w:r>
        <w:rPr>
          <w:rFonts w:hint="eastAsia" w:ascii="宋体" w:hAnsi="宋体" w:cs="宋体"/>
          <w:b/>
          <w:bCs/>
        </w:rPr>
        <w:t>邓坊、赤石、马战徐族</w:t>
      </w:r>
      <w:r>
        <w:rPr>
          <w:rFonts w:hint="eastAsia" w:ascii="宋体" w:hAnsi="宋体" w:cs="宋体"/>
        </w:rPr>
        <w:t xml:space="preserve">  明代万历年间，先祖徐承通由始兴迁马战开基，徐庆宝由始兴迁赤石开基。清代康熙年间，先祖徐时亨因经商由福建建宁迁邓坊开基。</w:t>
      </w:r>
    </w:p>
    <w:p w14:paraId="527DB4C4">
      <w:pPr>
        <w:ind w:firstLine="422"/>
        <w:rPr>
          <w:rFonts w:ascii="宋体" w:hAnsi="宋体" w:cs="宋体"/>
        </w:rPr>
      </w:pPr>
      <w:r>
        <w:rPr>
          <w:rFonts w:hint="eastAsia" w:ascii="宋体" w:hAnsi="宋体" w:cs="宋体"/>
          <w:b/>
          <w:bCs/>
        </w:rPr>
        <w:t xml:space="preserve">雄州坪湖、楠木徐族  </w:t>
      </w:r>
      <w:r>
        <w:rPr>
          <w:rFonts w:hint="eastAsia" w:ascii="宋体" w:hAnsi="宋体" w:cs="宋体"/>
        </w:rPr>
        <w:t>明代万历年间，先祖徐广由始兴迁坪湖开基。先祖徐日纶于清代顺治年间由始兴迁楠木开基。</w:t>
      </w:r>
    </w:p>
    <w:p w14:paraId="77CA5889">
      <w:pPr>
        <w:ind w:firstLine="422"/>
        <w:rPr>
          <w:rFonts w:ascii="宋体" w:hAnsi="宋体" w:cs="宋体"/>
        </w:rPr>
      </w:pPr>
      <w:r>
        <w:rPr>
          <w:rFonts w:hint="eastAsia" w:ascii="宋体" w:hAnsi="宋体" w:cs="宋体"/>
          <w:b/>
          <w:bCs/>
        </w:rPr>
        <w:t xml:space="preserve">水口大坑徐族 </w:t>
      </w:r>
      <w:r>
        <w:rPr>
          <w:rFonts w:hint="eastAsia" w:ascii="宋体" w:hAnsi="宋体" w:cs="宋体"/>
        </w:rPr>
        <w:t xml:space="preserve"> 先祖徐昌于明代嘉靖年间由始兴迁来开基。</w:t>
      </w:r>
    </w:p>
    <w:p w14:paraId="3C63E31C">
      <w:pPr>
        <w:ind w:firstLine="0" w:firstLineChars="0"/>
        <w:jc w:val="center"/>
        <w:rPr>
          <w:rFonts w:ascii="宋体" w:hAnsi="宋体" w:cs="宋体"/>
          <w:b/>
          <w:bCs/>
        </w:rPr>
      </w:pPr>
      <w:r>
        <w:rPr>
          <w:rFonts w:hint="eastAsia" w:ascii="宋体" w:hAnsi="宋体" w:cs="宋体"/>
          <w:b/>
          <w:bCs/>
        </w:rPr>
        <w:t>罗氏</w:t>
      </w:r>
    </w:p>
    <w:p w14:paraId="414EABB4">
      <w:pPr>
        <w:ind w:firstLine="420"/>
        <w:rPr>
          <w:rFonts w:ascii="宋体" w:hAnsi="宋体" w:cs="宋体"/>
        </w:rPr>
      </w:pPr>
      <w:r>
        <w:rPr>
          <w:rFonts w:hint="eastAsia" w:ascii="宋体" w:hAnsi="宋体" w:cs="宋体"/>
        </w:rPr>
        <w:t>南雄罗氏族谱称：现居南雄罗氏均为豫章堂罗珠之后，从闽西、赣南迁到南雄。</w:t>
      </w:r>
    </w:p>
    <w:p w14:paraId="4AC7FDCB">
      <w:pPr>
        <w:ind w:firstLine="422"/>
        <w:rPr>
          <w:rFonts w:ascii="宋体" w:hAnsi="宋体" w:cs="宋体"/>
        </w:rPr>
      </w:pPr>
      <w:r>
        <w:rPr>
          <w:rFonts w:hint="eastAsia" w:ascii="宋体" w:hAnsi="宋体" w:cs="宋体"/>
          <w:b/>
          <w:bCs/>
        </w:rPr>
        <w:t xml:space="preserve">雄州贵村罗族 </w:t>
      </w:r>
      <w:r>
        <w:rPr>
          <w:rFonts w:hint="eastAsia" w:ascii="宋体" w:hAnsi="宋体" w:cs="宋体"/>
        </w:rPr>
        <w:t xml:space="preserve"> 先祖罗开国，原居福建上杭，南宋末为龙图阁大学士，因直谏贬远州，乃隐居南雄城北门，后裔迁贵村开基。</w:t>
      </w:r>
    </w:p>
    <w:p w14:paraId="266A0C3A">
      <w:pPr>
        <w:ind w:firstLine="422"/>
        <w:rPr>
          <w:rFonts w:ascii="宋体" w:hAnsi="宋体" w:cs="宋体"/>
        </w:rPr>
      </w:pPr>
      <w:r>
        <w:rPr>
          <w:rFonts w:hint="eastAsia" w:ascii="宋体" w:hAnsi="宋体" w:cs="宋体"/>
          <w:b/>
          <w:bCs/>
        </w:rPr>
        <w:t xml:space="preserve">全安富村坪罗族 </w:t>
      </w:r>
      <w:r>
        <w:rPr>
          <w:rFonts w:hint="eastAsia" w:ascii="宋体" w:hAnsi="宋体" w:cs="宋体"/>
        </w:rPr>
        <w:t xml:space="preserve"> 先祖罗居全于明代正德年间由始兴涝洲水迁来开基。</w:t>
      </w:r>
    </w:p>
    <w:p w14:paraId="2660F673">
      <w:pPr>
        <w:ind w:firstLine="422"/>
        <w:rPr>
          <w:rFonts w:ascii="宋体" w:hAnsi="宋体" w:cs="宋体"/>
        </w:rPr>
      </w:pPr>
      <w:r>
        <w:rPr>
          <w:rFonts w:hint="eastAsia" w:ascii="宋体" w:hAnsi="宋体" w:cs="宋体"/>
          <w:b/>
          <w:bCs/>
        </w:rPr>
        <w:t>珠玑外浆罗族</w:t>
      </w:r>
      <w:r>
        <w:rPr>
          <w:rFonts w:hint="eastAsia" w:ascii="宋体" w:hAnsi="宋体" w:cs="宋体"/>
        </w:rPr>
        <w:t xml:space="preserve">  先祖罗诗材，原居江西信丰南门头，元代至正年间进士，任新兴知县。元末致仕归里，路经南雄，卜居于前坊。其孙罗书唐于明初迁茹村开基，书唐孙又于明代成化年间迁珠玑外浆开基，后裔分迁角湾。</w:t>
      </w:r>
    </w:p>
    <w:p w14:paraId="423B16A0">
      <w:pPr>
        <w:ind w:firstLine="422"/>
        <w:rPr>
          <w:rFonts w:ascii="宋体" w:hAnsi="宋体" w:cs="宋体"/>
        </w:rPr>
      </w:pPr>
      <w:r>
        <w:rPr>
          <w:rFonts w:hint="eastAsia" w:ascii="宋体" w:hAnsi="宋体" w:cs="宋体"/>
          <w:b/>
          <w:bCs/>
        </w:rPr>
        <w:t>珠玑牛田罗族</w:t>
      </w:r>
      <w:r>
        <w:rPr>
          <w:rFonts w:hint="eastAsia" w:ascii="宋体" w:hAnsi="宋体" w:cs="宋体"/>
        </w:rPr>
        <w:t xml:space="preserve">  先祖罗和，原居江西庐陵，元代至正年间，迁南雄珠玑巷，旋迁牛田开基，历五代而后有三房分迁南雄北厢世显街，为清末民初南雄世家。另外，明代嘉靖年间罗才明从始兴小溪迁来牛田开基。</w:t>
      </w:r>
    </w:p>
    <w:p w14:paraId="0BD96066">
      <w:pPr>
        <w:ind w:firstLine="422"/>
        <w:rPr>
          <w:rFonts w:ascii="宋体" w:hAnsi="宋体" w:cs="宋体"/>
        </w:rPr>
      </w:pPr>
      <w:r>
        <w:rPr>
          <w:rFonts w:hint="eastAsia" w:ascii="宋体" w:hAnsi="宋体" w:cs="宋体"/>
          <w:b/>
          <w:bCs/>
        </w:rPr>
        <w:t xml:space="preserve">珠玑聪背罗族  </w:t>
      </w:r>
      <w:r>
        <w:rPr>
          <w:rFonts w:hint="eastAsia" w:ascii="宋体" w:hAnsi="宋体" w:cs="宋体"/>
        </w:rPr>
        <w:t>先祖罗盛汰于明末由始兴高水坪迁来开基。</w:t>
      </w:r>
    </w:p>
    <w:p w14:paraId="4F8B733E">
      <w:pPr>
        <w:ind w:firstLine="422"/>
        <w:rPr>
          <w:rFonts w:ascii="宋体" w:hAnsi="宋体" w:cs="宋体"/>
        </w:rPr>
      </w:pPr>
      <w:r>
        <w:rPr>
          <w:rFonts w:hint="eastAsia" w:ascii="宋体" w:hAnsi="宋体" w:cs="宋体"/>
          <w:b/>
          <w:bCs/>
        </w:rPr>
        <w:t>湖口矿岭、九塘、罗佛寨罗族</w:t>
      </w:r>
      <w:r>
        <w:rPr>
          <w:rFonts w:hint="eastAsia" w:ascii="宋体" w:hAnsi="宋体" w:cs="宋体"/>
        </w:rPr>
        <w:t xml:space="preserve">  均从始兴迁来。明代天顺年间罗居镜由始兴凉源迁来矿岭开基；明代正德年间罗居松由始兴涝洲水迁来九塘开基；明代嘉靖年间罗才栋由始兴小溪迁来罗佛寨开基。</w:t>
      </w:r>
    </w:p>
    <w:p w14:paraId="0B175BE5">
      <w:pPr>
        <w:ind w:firstLine="422"/>
        <w:rPr>
          <w:rFonts w:ascii="宋体" w:hAnsi="宋体" w:cs="宋体"/>
        </w:rPr>
      </w:pPr>
      <w:r>
        <w:rPr>
          <w:rFonts w:hint="eastAsia" w:ascii="宋体" w:hAnsi="宋体" w:cs="宋体"/>
          <w:b/>
          <w:bCs/>
        </w:rPr>
        <w:t>全安杨历罗族</w:t>
      </w:r>
      <w:r>
        <w:rPr>
          <w:rFonts w:hint="eastAsia" w:ascii="宋体" w:hAnsi="宋体" w:cs="宋体"/>
        </w:rPr>
        <w:t xml:space="preserve">  开基祖有三支，均于明代嘉靖年间由始兴凉源迁来。一为罗昆琚携子贤兴迁来杨历莲蓬水开基，后裔昌盛，分迁杨历中村、小水、吊基岭、莲塘坳、上河塘、社岭、水西、洋汾水、城古岭等地；二为罗玉程迁杨历上村开基，后裔分迁周地；三为罗文仕迁杨历下村开基，后裔分迁营堡前、雄城西门街。</w:t>
      </w:r>
    </w:p>
    <w:p w14:paraId="7560AE0F">
      <w:pPr>
        <w:ind w:firstLine="0" w:firstLineChars="0"/>
        <w:jc w:val="center"/>
        <w:rPr>
          <w:rFonts w:ascii="宋体" w:hAnsi="宋体" w:cs="宋体"/>
          <w:b/>
          <w:bCs/>
        </w:rPr>
      </w:pPr>
      <w:r>
        <w:rPr>
          <w:rFonts w:hint="eastAsia" w:ascii="宋体" w:hAnsi="宋体" w:cs="宋体"/>
          <w:b/>
          <w:bCs/>
        </w:rPr>
        <w:t>肖氏</w:t>
      </w:r>
    </w:p>
    <w:p w14:paraId="2640F393">
      <w:pPr>
        <w:ind w:firstLine="420"/>
        <w:rPr>
          <w:rFonts w:ascii="宋体" w:hAnsi="宋体" w:cs="宋体"/>
        </w:rPr>
      </w:pPr>
      <w:r>
        <w:rPr>
          <w:rFonts w:hint="eastAsia" w:ascii="宋体" w:hAnsi="宋体" w:cs="宋体"/>
        </w:rPr>
        <w:t>据《南雄肖氏七修族谱》载，肖氏汉代望出兰陵，五代时迁长沙。因内乱，出走江西泰和，传至肖宗智于元代延祐二年（1315年）迁吉水，生六子，分迁始兴，而后再分迁南雄。</w:t>
      </w:r>
    </w:p>
    <w:p w14:paraId="4F89BF85">
      <w:pPr>
        <w:ind w:firstLine="422"/>
        <w:rPr>
          <w:rFonts w:ascii="宋体" w:hAnsi="宋体" w:cs="宋体"/>
        </w:rPr>
      </w:pPr>
      <w:r>
        <w:rPr>
          <w:rFonts w:hint="eastAsia" w:ascii="宋体" w:hAnsi="宋体" w:cs="宋体"/>
          <w:b/>
          <w:bCs/>
        </w:rPr>
        <w:t xml:space="preserve">湖口新迳莲塘肖族  </w:t>
      </w:r>
      <w:r>
        <w:rPr>
          <w:rFonts w:hint="eastAsia" w:ascii="宋体" w:hAnsi="宋体" w:cs="宋体"/>
        </w:rPr>
        <w:t>先祖肖钦淇从始兴迁南雄三驳桥，其曾孙肖学茂于明代万历三十二年（1604年）由三驳桥迁新迳莲塘开基，后裔分迁筲箕窝、樟树下、赤溪湖等地。</w:t>
      </w:r>
    </w:p>
    <w:p w14:paraId="30E8E3B8">
      <w:pPr>
        <w:ind w:firstLine="422"/>
        <w:rPr>
          <w:rFonts w:ascii="宋体" w:hAnsi="宋体" w:cs="宋体"/>
        </w:rPr>
      </w:pPr>
      <w:r>
        <w:rPr>
          <w:rFonts w:hint="eastAsia" w:ascii="宋体" w:hAnsi="宋体" w:cs="宋体"/>
          <w:b/>
          <w:bCs/>
        </w:rPr>
        <w:t xml:space="preserve">雄州佛子前肖族 </w:t>
      </w:r>
      <w:r>
        <w:rPr>
          <w:rFonts w:hint="eastAsia" w:ascii="宋体" w:hAnsi="宋体" w:cs="宋体"/>
        </w:rPr>
        <w:t xml:space="preserve">  先祖肖钦瑄于明代万历间由始兴斜潭迁来佛子前开基，其曾孙肖学由佛子前分迁黄坑象湖，学英迁黄坑竹春坑开基。</w:t>
      </w:r>
    </w:p>
    <w:p w14:paraId="5C8C2EB2">
      <w:pPr>
        <w:ind w:firstLine="422"/>
        <w:rPr>
          <w:rFonts w:ascii="宋体" w:hAnsi="宋体" w:cs="宋体"/>
        </w:rPr>
      </w:pPr>
      <w:r>
        <w:rPr>
          <w:rFonts w:hint="eastAsia" w:ascii="宋体" w:hAnsi="宋体" w:cs="宋体"/>
          <w:b/>
          <w:bCs/>
        </w:rPr>
        <w:t>雄州楠木肖族</w:t>
      </w:r>
      <w:r>
        <w:rPr>
          <w:rFonts w:hint="eastAsia" w:ascii="宋体" w:hAnsi="宋体" w:cs="宋体"/>
        </w:rPr>
        <w:t xml:space="preserve">  先祖肖应明于明代万历年间由始兴斜潭迁来开基，后裔分迁岭排。</w:t>
      </w:r>
    </w:p>
    <w:p w14:paraId="7F26DDEC">
      <w:pPr>
        <w:ind w:firstLine="422"/>
        <w:rPr>
          <w:rFonts w:ascii="宋体" w:hAnsi="宋体" w:cs="宋体"/>
        </w:rPr>
      </w:pPr>
      <w:r>
        <w:rPr>
          <w:rFonts w:hint="eastAsia" w:ascii="宋体" w:hAnsi="宋体" w:cs="宋体"/>
          <w:b/>
          <w:bCs/>
        </w:rPr>
        <w:t xml:space="preserve">水口赤岭龙头山肖族  </w:t>
      </w:r>
      <w:r>
        <w:rPr>
          <w:rFonts w:hint="eastAsia" w:ascii="宋体" w:hAnsi="宋体" w:cs="宋体"/>
        </w:rPr>
        <w:t>先祖肖应川于明代嘉靖五年（1526年）携二子由始兴罗所迁来开基，后裔分迁大村。</w:t>
      </w:r>
    </w:p>
    <w:p w14:paraId="7FD05AC8">
      <w:pPr>
        <w:ind w:firstLine="422"/>
        <w:rPr>
          <w:rFonts w:ascii="宋体" w:hAnsi="宋体" w:cs="宋体"/>
        </w:rPr>
      </w:pPr>
      <w:r>
        <w:rPr>
          <w:rFonts w:hint="eastAsia" w:ascii="宋体" w:hAnsi="宋体" w:cs="宋体"/>
          <w:b/>
          <w:bCs/>
        </w:rPr>
        <w:t xml:space="preserve">乌迳腊树园肖族 </w:t>
      </w:r>
      <w:r>
        <w:rPr>
          <w:rFonts w:hint="eastAsia" w:ascii="宋体" w:hAnsi="宋体" w:cs="宋体"/>
        </w:rPr>
        <w:t xml:space="preserve"> 先祖肖文辅，原居江西赣县，因经商道经乌迳，见“乡里之仁，土地之美”乃于明代嘉靖年间弃商就农，卜居腊树园。后裔分迁坪田之高发。</w:t>
      </w:r>
    </w:p>
    <w:p w14:paraId="375B493A">
      <w:pPr>
        <w:ind w:firstLine="0" w:firstLineChars="0"/>
        <w:jc w:val="center"/>
        <w:rPr>
          <w:rFonts w:ascii="宋体" w:hAnsi="宋体" w:cs="宋体"/>
          <w:b/>
          <w:bCs/>
        </w:rPr>
      </w:pPr>
      <w:r>
        <w:rPr>
          <w:rFonts w:hint="eastAsia" w:ascii="宋体" w:hAnsi="宋体" w:cs="宋体"/>
          <w:b/>
          <w:bCs/>
        </w:rPr>
        <w:t>温氏</w:t>
      </w:r>
    </w:p>
    <w:p w14:paraId="3EBC299A">
      <w:pPr>
        <w:ind w:firstLine="420"/>
        <w:rPr>
          <w:rFonts w:ascii="宋体" w:hAnsi="宋体" w:cs="宋体"/>
        </w:rPr>
      </w:pPr>
      <w:r>
        <w:rPr>
          <w:rFonts w:hint="eastAsia" w:ascii="宋体" w:hAnsi="宋体" w:cs="宋体"/>
        </w:rPr>
        <w:t>南雄《温氏太原堂八修族谱》（1996年）称：温氏黄帝裔，周武王之后，望出太原。传至温宝，举进士，任福建武平令，随任居上杭，而后迁江西信丰，其后裔分迁南雄。早的有温业源于南宋末迁来湖口罗田开基。明代初有温德仁由江西信丰铁石堡迁水口下楼开基。明代永乐年间，有温良政自铁石堡迁主田窑合老村开基，后裔分迁江头、潭尾、里峰山。明代弘治年间，有温经达自铁石堡迁黄坑水西开基，后裔分迁大塘茹村、鱼鲜罗里坑。温经远自铁石堡迁坪田长坑开基。明代嘉靖年间，有温庭华自铁石堡迁乌迳竹园开基。</w:t>
      </w:r>
    </w:p>
    <w:p w14:paraId="4EEAEBD7">
      <w:pPr>
        <w:ind w:firstLine="0" w:firstLineChars="0"/>
        <w:jc w:val="center"/>
        <w:rPr>
          <w:rFonts w:ascii="宋体" w:hAnsi="宋体" w:cs="宋体"/>
          <w:b/>
          <w:bCs/>
        </w:rPr>
      </w:pPr>
      <w:r>
        <w:rPr>
          <w:rFonts w:hint="eastAsia" w:ascii="宋体" w:hAnsi="宋体" w:cs="宋体"/>
          <w:b/>
          <w:bCs/>
        </w:rPr>
        <w:t>谭氏</w:t>
      </w:r>
    </w:p>
    <w:p w14:paraId="1B079616">
      <w:pPr>
        <w:ind w:firstLine="420"/>
        <w:rPr>
          <w:rFonts w:ascii="宋体" w:hAnsi="宋体" w:cs="宋体"/>
        </w:rPr>
      </w:pPr>
      <w:r>
        <w:rPr>
          <w:rFonts w:hint="eastAsia" w:ascii="宋体" w:hAnsi="宋体" w:cs="宋体"/>
        </w:rPr>
        <w:t>南雄《谭氏九修族谱》称；现居南雄谭氏均为谭缜之后。南朝梁时，谭缜由金陵南迁，先居始兴，后迁丰园水（今南雄丰源水）。陈时，因平叛有功，封云旗将军，擢始兴郡太守。其后裔分迁南雄各地。</w:t>
      </w:r>
    </w:p>
    <w:p w14:paraId="0722ED01">
      <w:pPr>
        <w:ind w:firstLine="422"/>
        <w:rPr>
          <w:rFonts w:ascii="宋体" w:hAnsi="宋体" w:cs="宋体"/>
        </w:rPr>
      </w:pPr>
      <w:r>
        <w:rPr>
          <w:rFonts w:hint="eastAsia" w:ascii="宋体" w:hAnsi="宋体" w:cs="宋体"/>
          <w:b/>
          <w:bCs/>
        </w:rPr>
        <w:t>主田谭族</w:t>
      </w:r>
      <w:r>
        <w:rPr>
          <w:rFonts w:hint="eastAsia" w:ascii="宋体" w:hAnsi="宋体" w:cs="宋体"/>
        </w:rPr>
        <w:t xml:space="preserve">  始迁祖为谭缜20代孙谭茂，北宋徽宗时庠生，赐七品荣身，由丰园水迁南雄城悖悌街，封官不仕，择地主田隐居。其后裔世居900余年，有的分迁始兴、曲江。</w:t>
      </w:r>
    </w:p>
    <w:p w14:paraId="5147780E">
      <w:pPr>
        <w:ind w:firstLine="422"/>
        <w:rPr>
          <w:rFonts w:ascii="宋体" w:hAnsi="宋体" w:cs="宋体"/>
        </w:rPr>
      </w:pPr>
      <w:r>
        <w:rPr>
          <w:rFonts w:hint="eastAsia" w:ascii="宋体" w:hAnsi="宋体" w:cs="宋体"/>
          <w:b/>
          <w:bCs/>
        </w:rPr>
        <w:t>雄城北门谭族</w:t>
      </w:r>
      <w:r>
        <w:rPr>
          <w:rFonts w:hint="eastAsia" w:ascii="宋体" w:hAnsi="宋体" w:cs="宋体"/>
        </w:rPr>
        <w:t xml:space="preserve">  谭缜之22代孙谭继宗生六子，南宋末由丰园水迁南雄北门开基。后裔繁衍，人文蔚起。三十世孙谭大初官至南京户部尚书。其后裔分迁古市丰源、珠玑虎岗头、雄州五洲、江头官仁村、澜河白云及百顺杨梅、邓洞，帽子峰梨树、富竹等地。</w:t>
      </w:r>
    </w:p>
    <w:p w14:paraId="73EF5511">
      <w:pPr>
        <w:ind w:firstLine="420"/>
        <w:rPr>
          <w:rFonts w:ascii="宋体" w:hAnsi="宋体" w:cs="宋体"/>
        </w:rPr>
      </w:pPr>
      <w:r>
        <w:rPr>
          <w:rFonts w:hint="eastAsia" w:ascii="宋体" w:hAnsi="宋体" w:cs="宋体"/>
        </w:rPr>
        <w:t>此外，于明清时从始兴迁来开基的有全安里溪水谭族，帽子峰洞头谭族，雄州下坪窑下谭族。</w:t>
      </w:r>
    </w:p>
    <w:p w14:paraId="4BCB4F91">
      <w:pPr>
        <w:ind w:firstLine="0" w:firstLineChars="0"/>
        <w:jc w:val="center"/>
        <w:rPr>
          <w:rFonts w:ascii="宋体" w:hAnsi="宋体" w:cs="宋体"/>
          <w:b/>
          <w:bCs/>
        </w:rPr>
      </w:pPr>
      <w:r>
        <w:rPr>
          <w:rFonts w:hint="eastAsia" w:ascii="宋体" w:hAnsi="宋体" w:cs="宋体"/>
          <w:b/>
          <w:bCs/>
        </w:rPr>
        <w:t>胡氏</w:t>
      </w:r>
    </w:p>
    <w:p w14:paraId="0818CF14">
      <w:pPr>
        <w:ind w:firstLine="420"/>
        <w:rPr>
          <w:rFonts w:ascii="宋体" w:hAnsi="宋体" w:cs="宋体"/>
        </w:rPr>
      </w:pPr>
      <w:r>
        <w:rPr>
          <w:rFonts w:hint="eastAsia" w:ascii="宋体" w:hAnsi="宋体" w:cs="宋体"/>
        </w:rPr>
        <w:t>南雄胡氏部分家谱记载：迁雄胡氏多数来自始兴，亦有来自江西者。</w:t>
      </w:r>
    </w:p>
    <w:p w14:paraId="1F5A948D">
      <w:pPr>
        <w:ind w:firstLine="420"/>
        <w:rPr>
          <w:rFonts w:ascii="宋体" w:hAnsi="宋体" w:cs="宋体"/>
        </w:rPr>
      </w:pPr>
      <w:r>
        <w:rPr>
          <w:rFonts w:hint="eastAsia" w:ascii="宋体" w:hAnsi="宋体" w:cs="宋体"/>
        </w:rPr>
        <w:t>来自始兴的胡族，以胡忠杰为一世祖，原居福建上杭瓦子街，明代初曾寓居南雄珠玑巷，旋迁始兴马眼开基。其后裔有六支分迁南雄：一为第三世胡法广，约于明代正统年间由马眼迁南雄帽子峰老虎寨开基；二为第六世胡高，于明代嘉靖年间由马眼迁湖口窝塘开基；三为第七世胡招，于明代万历九年（1581年），母子四人自马眼迁来全安艻迳网岭下村开基，子孙繁衍分迁神背、桂花坪、石岭下、王亭石等地；四为八世胡有善、有元兄弟，于明万历年间由始兴东坑迁来雄州五渡村开基，东坑后裔又分迁苍石东水山、大坪等地；五为第八世胡万栋于明万历年间由始兴马眼迁雄州小水村开基；六为胡德松由始兴岭头迁水口圩开基。</w:t>
      </w:r>
    </w:p>
    <w:p w14:paraId="046E2BAF">
      <w:pPr>
        <w:ind w:firstLine="420"/>
        <w:rPr>
          <w:rFonts w:ascii="宋体" w:hAnsi="宋体" w:cs="宋体"/>
        </w:rPr>
      </w:pPr>
      <w:r>
        <w:rPr>
          <w:rFonts w:hint="eastAsia" w:ascii="宋体" w:hAnsi="宋体" w:cs="宋体"/>
        </w:rPr>
        <w:t>来自江西四支：一为南雄城八一街胡族，始迁祖胡子开，于清康熙二十年（1681年）由江西泰和县迁来，以缝纫为业。其子胡定登进士第，官监察御史；二为南雄城罗汉井胡族，始迁祖胡凤海于清初由江西庐陵迁来开基；三为珠玑叟里园牛栏岗胡族，始迁祖胡友祥于明代隆庆年间由江西信丰来珠玑巷经商，而后迁牛栏岗开基；四为珠玑蕉坑胡族，始迁祖胡定惠，于明崇祯年间，因经商迁里东秧桤心，而后迁蕉坑开基。</w:t>
      </w:r>
    </w:p>
    <w:p w14:paraId="22C3A8A7">
      <w:pPr>
        <w:ind w:firstLine="0" w:firstLineChars="0"/>
        <w:jc w:val="center"/>
        <w:rPr>
          <w:rFonts w:ascii="宋体" w:hAnsi="宋体" w:cs="宋体"/>
          <w:b/>
          <w:bCs/>
        </w:rPr>
      </w:pPr>
      <w:r>
        <w:rPr>
          <w:rFonts w:hint="eastAsia" w:ascii="宋体" w:hAnsi="宋体" w:cs="宋体"/>
          <w:b/>
          <w:bCs/>
        </w:rPr>
        <w:t>廖氏</w:t>
      </w:r>
    </w:p>
    <w:p w14:paraId="77CF2271">
      <w:pPr>
        <w:ind w:firstLine="420"/>
        <w:rPr>
          <w:rFonts w:ascii="宋体" w:hAnsi="宋体" w:cs="宋体"/>
        </w:rPr>
      </w:pPr>
      <w:r>
        <w:rPr>
          <w:rFonts w:hint="eastAsia" w:ascii="宋体" w:hAnsi="宋体" w:cs="宋体"/>
        </w:rPr>
        <w:t>南雄《廖氏族谱》（1998年）称：现居南雄廖氏多从江西信丰、全南、龙南迁来，或由江西迁始兴、翁源而后分迁南雄。</w:t>
      </w:r>
    </w:p>
    <w:p w14:paraId="6EACCCD4">
      <w:pPr>
        <w:ind w:firstLine="422"/>
        <w:rPr>
          <w:rFonts w:ascii="宋体" w:hAnsi="宋体" w:cs="宋体"/>
        </w:rPr>
      </w:pPr>
      <w:r>
        <w:rPr>
          <w:rFonts w:hint="eastAsia" w:ascii="宋体" w:hAnsi="宋体" w:cs="宋体"/>
          <w:b/>
          <w:bCs/>
        </w:rPr>
        <w:t xml:space="preserve">南雄城廖族 </w:t>
      </w:r>
      <w:r>
        <w:rPr>
          <w:rFonts w:hint="eastAsia" w:ascii="宋体" w:hAnsi="宋体" w:cs="宋体"/>
        </w:rPr>
        <w:t xml:space="preserve"> 一为西门街廖族，其先祖为明代征南将军廖永忠三子廖志广，生于洪武二年，原隐居袛芫村，传十一世至廖攀龙，登进士第，乃迁雄城西门街定居；一为上龙勾巷廖族，其先祖廖简行，原居江西吉水东村，元末其父任职岭南，卒于官，简行扶榇回乡，阻于兵，遂卜居雄城。</w:t>
      </w:r>
    </w:p>
    <w:p w14:paraId="0841AEB5">
      <w:pPr>
        <w:ind w:firstLine="422"/>
        <w:rPr>
          <w:rFonts w:ascii="宋体" w:hAnsi="宋体" w:cs="宋体"/>
        </w:rPr>
      </w:pPr>
      <w:r>
        <w:rPr>
          <w:rFonts w:hint="eastAsia" w:ascii="宋体" w:hAnsi="宋体" w:cs="宋体"/>
          <w:b/>
          <w:bCs/>
        </w:rPr>
        <w:t>黄坑水西、黄龙岗廖族</w:t>
      </w:r>
      <w:r>
        <w:rPr>
          <w:rFonts w:hint="eastAsia" w:ascii="宋体" w:hAnsi="宋体" w:cs="宋体"/>
        </w:rPr>
        <w:t xml:space="preserve">  先祖廖友富、友升于明代成化年间，由信丰马鞍山迁来水西开基。又先祖廖祥禄于明代万历年间由始兴顿岗下禾场迁来黄龙岗开基。</w:t>
      </w:r>
    </w:p>
    <w:p w14:paraId="31B29A49">
      <w:pPr>
        <w:ind w:firstLine="422"/>
        <w:rPr>
          <w:rFonts w:ascii="宋体" w:hAnsi="宋体" w:cs="宋体"/>
        </w:rPr>
      </w:pPr>
      <w:r>
        <w:rPr>
          <w:rFonts w:hint="eastAsia" w:ascii="宋体" w:hAnsi="宋体" w:cs="宋体"/>
          <w:b/>
          <w:bCs/>
        </w:rPr>
        <w:t xml:space="preserve">江头南甫、山坑廖族 </w:t>
      </w:r>
      <w:r>
        <w:rPr>
          <w:rFonts w:hint="eastAsia" w:ascii="宋体" w:hAnsi="宋体" w:cs="宋体"/>
        </w:rPr>
        <w:t xml:space="preserve"> 先祖廖思达于明代嘉靖年间由信丰下迳迁来南甫开基。先祖廖永寿由信丰杨溪堡迁来山坑老井开基，后裔迁乌迳鹅公头、坪塘小口塘开基。</w:t>
      </w:r>
    </w:p>
    <w:p w14:paraId="5501E12C">
      <w:pPr>
        <w:ind w:firstLine="422"/>
        <w:rPr>
          <w:rFonts w:ascii="宋体" w:hAnsi="宋体" w:cs="宋体"/>
        </w:rPr>
      </w:pPr>
      <w:r>
        <w:rPr>
          <w:rFonts w:hint="eastAsia" w:ascii="宋体" w:hAnsi="宋体" w:cs="宋体"/>
          <w:b/>
          <w:bCs/>
        </w:rPr>
        <w:t xml:space="preserve">邓坊里源廖族 </w:t>
      </w:r>
      <w:r>
        <w:rPr>
          <w:rFonts w:hint="eastAsia" w:ascii="宋体" w:hAnsi="宋体" w:cs="宋体"/>
        </w:rPr>
        <w:t xml:space="preserve"> 一为先祖廖尚宰于明代嘉靖年间由龙南新兴堡东桃营迁来开基，后裔分迁上兰田；二为先祖廖福生于明代嘉靖年间由信丰乌泥岭迁来开基，后裔迁邓坊圩、黄坑春坑水。</w:t>
      </w:r>
    </w:p>
    <w:p w14:paraId="0A02078F">
      <w:pPr>
        <w:ind w:firstLine="422"/>
        <w:rPr>
          <w:rFonts w:ascii="宋体" w:hAnsi="宋体" w:cs="宋体"/>
        </w:rPr>
      </w:pPr>
      <w:r>
        <w:rPr>
          <w:rFonts w:hint="eastAsia" w:ascii="宋体" w:hAnsi="宋体" w:cs="宋体"/>
          <w:b/>
          <w:bCs/>
        </w:rPr>
        <w:t xml:space="preserve">帽子峰下黄姜廖族  </w:t>
      </w:r>
      <w:r>
        <w:rPr>
          <w:rFonts w:hint="eastAsia" w:ascii="宋体" w:hAnsi="宋体" w:cs="宋体"/>
        </w:rPr>
        <w:t>先祖廖兴书于明末由信丰迁来开基。</w:t>
      </w:r>
    </w:p>
    <w:p w14:paraId="1C5C781B">
      <w:pPr>
        <w:ind w:firstLine="422"/>
        <w:rPr>
          <w:rFonts w:ascii="宋体" w:hAnsi="宋体" w:cs="宋体"/>
        </w:rPr>
      </w:pPr>
      <w:r>
        <w:rPr>
          <w:rFonts w:hint="eastAsia" w:ascii="宋体" w:hAnsi="宋体" w:cs="宋体"/>
          <w:b/>
          <w:bCs/>
        </w:rPr>
        <w:t>珠玑洋湖、湖口下罗田廖族</w:t>
      </w:r>
      <w:r>
        <w:rPr>
          <w:rFonts w:hint="eastAsia" w:ascii="宋体" w:hAnsi="宋体" w:cs="宋体"/>
        </w:rPr>
        <w:t xml:space="preserve">  先祖均于明代嘉靖年间由江西信丰乌泥岭迁来，廖福琛在洋湖开基，廖志龚在下罗田开基。</w:t>
      </w:r>
    </w:p>
    <w:p w14:paraId="18E3DB8C">
      <w:pPr>
        <w:ind w:firstLine="422"/>
        <w:rPr>
          <w:rFonts w:ascii="宋体" w:hAnsi="宋体" w:cs="宋体"/>
        </w:rPr>
      </w:pPr>
      <w:r>
        <w:rPr>
          <w:rFonts w:hint="eastAsia" w:ascii="宋体" w:hAnsi="宋体" w:cs="宋体"/>
          <w:b/>
          <w:bCs/>
        </w:rPr>
        <w:t xml:space="preserve">全安密下水、上黄岭廖族  </w:t>
      </w:r>
      <w:r>
        <w:rPr>
          <w:rFonts w:hint="eastAsia" w:ascii="宋体" w:hAnsi="宋体" w:cs="宋体"/>
        </w:rPr>
        <w:t>明代嘉靖年间，先祖廖金聪由翁源迁南雄朱村，再迁密下水开基，后裔分迁柴岭叶塘、高松山等地。又清初，先祖廖仁德由江西全南县江坪迁来上黄岭开基。</w:t>
      </w:r>
    </w:p>
    <w:p w14:paraId="5FF07C1D">
      <w:pPr>
        <w:ind w:firstLine="422"/>
        <w:rPr>
          <w:rFonts w:ascii="宋体" w:hAnsi="宋体" w:cs="宋体"/>
        </w:rPr>
      </w:pPr>
      <w:r>
        <w:rPr>
          <w:rFonts w:hint="eastAsia" w:ascii="宋体" w:hAnsi="宋体" w:cs="宋体"/>
          <w:b/>
          <w:bCs/>
        </w:rPr>
        <w:t xml:space="preserve">水口武台岗、横坋、上坑及珠玑中站廖族  </w:t>
      </w:r>
      <w:r>
        <w:rPr>
          <w:rFonts w:hint="eastAsia" w:ascii="宋体" w:hAnsi="宋体" w:cs="宋体"/>
        </w:rPr>
        <w:t>先祖均于明末自始兴顿岗迁来，廖春广于武台岗开基；廖瑞苓于横坋开基；廖祥福于上坑开基；廖祥云于中站开基。</w:t>
      </w:r>
    </w:p>
    <w:p w14:paraId="35390854">
      <w:pPr>
        <w:ind w:firstLine="0" w:firstLineChars="0"/>
        <w:jc w:val="center"/>
        <w:rPr>
          <w:rFonts w:ascii="宋体" w:hAnsi="宋体" w:cs="宋体"/>
          <w:b/>
          <w:bCs/>
        </w:rPr>
      </w:pPr>
      <w:r>
        <w:rPr>
          <w:rFonts w:hint="eastAsia" w:ascii="宋体" w:hAnsi="宋体" w:cs="宋体"/>
          <w:b/>
          <w:bCs/>
        </w:rPr>
        <w:t>聂氏</w:t>
      </w:r>
    </w:p>
    <w:p w14:paraId="2A6FE093">
      <w:pPr>
        <w:ind w:firstLine="420"/>
        <w:rPr>
          <w:rFonts w:ascii="宋体" w:hAnsi="宋体" w:cs="宋体"/>
        </w:rPr>
      </w:pPr>
      <w:r>
        <w:rPr>
          <w:rFonts w:hint="eastAsia" w:ascii="宋体" w:hAnsi="宋体" w:cs="宋体"/>
        </w:rPr>
        <w:t>南雄《河东堂聂氏五修族谱》（1998年）称：其先祖在元代时因避乱居福建武平，明代初分迁始兴良源秤钩弯新村、胆源神堂坑等地，而后于明嘉靖至清乾隆年间分迁南雄，主要聚居地开基祖为：全安上河塘开基祖聂始桂，后裔分迁长园；密下水开基祖聂长华；艻迳开基祖聂长相，后裔分迁城古岭、长园；帽子峰镇横水开基祖聂祖鐀，后裔分迁洞头、坪山、上龙等地；珠玑镇里东开基祖聂资；雄州荆岗司马窝开基祖聂祖贡；勋口开基祖聂长松，后裔分迁长迳二塘；湖口镇姜子塘开基祖聂长完；罗佛寨开基祖聂长清；水口镇大坪开基祖聂长定；古市倚逢开基祖聂世邵。</w:t>
      </w:r>
    </w:p>
    <w:p w14:paraId="3EC4A37F">
      <w:pPr>
        <w:ind w:firstLine="0" w:firstLineChars="0"/>
        <w:jc w:val="center"/>
        <w:rPr>
          <w:rFonts w:ascii="宋体" w:hAnsi="宋体" w:cs="宋体"/>
          <w:b/>
          <w:bCs/>
        </w:rPr>
      </w:pPr>
      <w:r>
        <w:rPr>
          <w:rFonts w:hint="eastAsia" w:ascii="宋体" w:hAnsi="宋体" w:cs="宋体"/>
          <w:b/>
          <w:bCs/>
        </w:rPr>
        <w:t>龚氏</w:t>
      </w:r>
    </w:p>
    <w:p w14:paraId="204627CE">
      <w:pPr>
        <w:ind w:firstLine="420"/>
        <w:rPr>
          <w:rFonts w:ascii="宋体" w:hAnsi="宋体" w:cs="宋体"/>
        </w:rPr>
      </w:pPr>
      <w:r>
        <w:rPr>
          <w:rFonts w:hint="eastAsia" w:ascii="宋体" w:hAnsi="宋体" w:cs="宋体"/>
        </w:rPr>
        <w:t>南雄《武陵堂龚氏族谱》称：南雄龚氏均来自福建上杭，有三支：其一为龚夔之后。夔字龙飞，宋代绍兴年间进士，历官礼部员外郎，原居福建上杭梅州村，为奔父丧，困于南雄州，乃于淳熙七年（1180年）卜居南雄城居仁街。明代洪武年间，龚福海、福江、福滨、福湛兄弟由居仁街迁水口大坑开基，子孙繁衍。永乐年间，龚政瑛分迁水口下楼，龚政治分迁湖口积塔。嘉靖年间，龚万裕分迁湖口长甫桥三子下，龚万仪分迁大塘坪地山，龚万琼分迁下坪，龚志和分迁新龙野猪石。万历年间，龚万青分迁叟里园。</w:t>
      </w:r>
    </w:p>
    <w:p w14:paraId="6E1E594E">
      <w:pPr>
        <w:ind w:firstLine="420"/>
        <w:rPr>
          <w:rFonts w:ascii="宋体" w:hAnsi="宋体" w:cs="宋体"/>
        </w:rPr>
      </w:pPr>
      <w:r>
        <w:rPr>
          <w:rFonts w:hint="eastAsia" w:ascii="宋体" w:hAnsi="宋体" w:cs="宋体"/>
        </w:rPr>
        <w:t>其二为龚祖述之后。祖述原居福建上杭瓦子街。宋末，任职南雄，终于官署。其后裔辗转迁徙于始兴、南雄。明代嘉靖年间，龚盛元由始兴坳头迁南雄羊角岭开基，龚盛贵分迁山角岭开基。万历年间，龚其泰由坳头分迁南雄小水开基。</w:t>
      </w:r>
    </w:p>
    <w:p w14:paraId="64C0ACAA">
      <w:pPr>
        <w:ind w:firstLine="420"/>
        <w:rPr>
          <w:rFonts w:ascii="宋体" w:hAnsi="宋体" w:cs="宋体"/>
        </w:rPr>
      </w:pPr>
      <w:r>
        <w:rPr>
          <w:rFonts w:hint="eastAsia" w:ascii="宋体" w:hAnsi="宋体" w:cs="宋体"/>
        </w:rPr>
        <w:t>其三为龚伯六郎之后。伯六郎世居福建上杭龙龟寨，后裔分迁江西安远、全南、信丰等地，而后再分迁南雄。明代弘治正德年间，龚永敦、龚仕环先后由全南东埠迁南雄长潭水开基，后裔分迁谢地、莲塘、大坪、窑头、菖蒲塘、小水面、大坪山等地开基。嘉靖年间，龚承违由信丰门洞迁南雄坪田杨梅坑开基。</w:t>
      </w:r>
    </w:p>
    <w:p w14:paraId="0A5ABED0">
      <w:pPr>
        <w:ind w:firstLine="0" w:firstLineChars="0"/>
        <w:jc w:val="center"/>
        <w:rPr>
          <w:rFonts w:ascii="宋体" w:hAnsi="宋体" w:cs="宋体"/>
          <w:b/>
          <w:bCs/>
        </w:rPr>
      </w:pPr>
      <w:r>
        <w:rPr>
          <w:rFonts w:hint="eastAsia" w:ascii="宋体" w:hAnsi="宋体" w:cs="宋体"/>
          <w:b/>
          <w:bCs/>
        </w:rPr>
        <w:t>周氏</w:t>
      </w:r>
    </w:p>
    <w:p w14:paraId="3F6C6ACD">
      <w:pPr>
        <w:ind w:firstLine="420"/>
        <w:rPr>
          <w:rFonts w:ascii="宋体" w:hAnsi="宋体" w:cs="宋体"/>
        </w:rPr>
      </w:pPr>
      <w:r>
        <w:rPr>
          <w:rFonts w:hint="eastAsia" w:ascii="宋体" w:hAnsi="宋体" w:cs="宋体"/>
        </w:rPr>
        <w:t>《南雄周氏二修族谱》（1999年）称：南雄周氏以庐江郡周矩为始祖。周矩仕唐为监察御史，因避乱由金陵迁江西吉州，传至十二世，周彦美于南宋时由吉州迁福建上杭，后裔于明清时分迁南雄、始兴。</w:t>
      </w:r>
    </w:p>
    <w:p w14:paraId="6FC74436">
      <w:pPr>
        <w:ind w:firstLine="420"/>
        <w:rPr>
          <w:rFonts w:ascii="宋体" w:hAnsi="宋体" w:cs="宋体"/>
        </w:rPr>
      </w:pPr>
      <w:r>
        <w:rPr>
          <w:rFonts w:hint="eastAsia" w:ascii="宋体" w:hAnsi="宋体" w:cs="宋体"/>
        </w:rPr>
        <w:t>明季由福建上杭迁来的周族有三：周日庠迁来帽子峰水南坝开基；周熙迁来富竹坑开基；周昌裘迁来珠玑洋湖开基。</w:t>
      </w:r>
    </w:p>
    <w:p w14:paraId="6D52E0DD">
      <w:pPr>
        <w:ind w:firstLine="420"/>
        <w:rPr>
          <w:rFonts w:ascii="宋体" w:hAnsi="宋体" w:cs="宋体"/>
        </w:rPr>
      </w:pPr>
      <w:r>
        <w:rPr>
          <w:rFonts w:hint="eastAsia" w:ascii="宋体" w:hAnsi="宋体" w:cs="宋体"/>
        </w:rPr>
        <w:t>明季、清初由江西泰和县迁来的周族有五：周福崇迁来里东古井开基；周北峰迁来里东岗开基；周廷标、廷亨、廷清兄弟迁沙水开基；周廷毓迁莲塘开基；周文庠迁梅岭田心开基。</w:t>
      </w:r>
    </w:p>
    <w:p w14:paraId="33778C9A">
      <w:pPr>
        <w:ind w:firstLine="420"/>
        <w:rPr>
          <w:rFonts w:ascii="宋体" w:hAnsi="宋体" w:cs="宋体"/>
        </w:rPr>
      </w:pPr>
      <w:r>
        <w:rPr>
          <w:rFonts w:hint="eastAsia" w:ascii="宋体" w:hAnsi="宋体" w:cs="宋体"/>
        </w:rPr>
        <w:t>由始兴迁来的周族有四：明万历间，周雍由始兴狮茅坝迁南雄杨历，其后裔周云兴于康熙六十年由杨历迁澜河鱼地开基；明代，周维泉先祖由始兴狮茅坝迁黄坑乌高塘，至清康熙年间，周维泉由乌高塘迁黄坑上坑开基；清代康熙年间，周永绪由始兴狮茅坝迁黄坑园岭开基，后裔分迁南亩、雄城水上新村；周宜由始兴良源迁全安小水岭开基。</w:t>
      </w:r>
    </w:p>
    <w:p w14:paraId="4A89D640">
      <w:pPr>
        <w:ind w:firstLine="0" w:firstLineChars="0"/>
        <w:jc w:val="center"/>
        <w:rPr>
          <w:rFonts w:ascii="宋体" w:hAnsi="宋体" w:cs="宋体"/>
          <w:b/>
          <w:bCs/>
        </w:rPr>
      </w:pPr>
      <w:r>
        <w:rPr>
          <w:rFonts w:hint="eastAsia" w:ascii="宋体" w:hAnsi="宋体" w:cs="宋体"/>
          <w:b/>
          <w:bCs/>
        </w:rPr>
        <w:t>蓝氏（畲族）</w:t>
      </w:r>
    </w:p>
    <w:p w14:paraId="19393F41">
      <w:pPr>
        <w:ind w:firstLine="420"/>
        <w:rPr>
          <w:rFonts w:ascii="宋体" w:hAnsi="宋体" w:cs="宋体"/>
        </w:rPr>
      </w:pPr>
      <w:r>
        <w:rPr>
          <w:rFonts w:hint="eastAsia" w:ascii="宋体" w:hAnsi="宋体" w:cs="宋体"/>
        </w:rPr>
        <w:t>《南雄蓝氏族谱》（1997年）称：南雄蓝氏畲族均为蓝传泰、传崇、传恒之后，于明代清代由江西信丰迁来，分别居于13个镇33个自然村。主要聚居在界址天心坝、乌泥坑，黄坑许村、下坝，油山毛狗弯，乌迳鹁鸪洞、大口塘、大园里，水口正山、泷下，邓坊洋西新杨梅坑，全安西岸，珠玑聪背等地。</w:t>
      </w:r>
    </w:p>
    <w:p w14:paraId="2B0BC56C">
      <w:pPr>
        <w:ind w:firstLine="0" w:firstLineChars="0"/>
        <w:jc w:val="center"/>
        <w:rPr>
          <w:rFonts w:ascii="宋体" w:hAnsi="宋体" w:cs="宋体"/>
          <w:b/>
          <w:bCs/>
        </w:rPr>
      </w:pPr>
      <w:r>
        <w:rPr>
          <w:rFonts w:hint="eastAsia" w:ascii="宋体" w:hAnsi="宋体" w:cs="宋体"/>
          <w:b/>
          <w:bCs/>
        </w:rPr>
        <w:t>雷氏（畲族）</w:t>
      </w:r>
    </w:p>
    <w:p w14:paraId="149C2129">
      <w:pPr>
        <w:ind w:firstLine="420"/>
        <w:rPr>
          <w:rFonts w:ascii="宋体" w:hAnsi="宋体" w:cs="宋体"/>
        </w:rPr>
      </w:pPr>
      <w:r>
        <w:rPr>
          <w:rFonts w:hint="eastAsia" w:ascii="宋体" w:hAnsi="宋体" w:cs="宋体"/>
        </w:rPr>
        <w:t>1999年修《雷氏肇春公房六修谱》称：南雄雷氏为江西龙南大龙堡雷肇春之后，明代宣德九年（1434年）迁居始兴顿岗乌泥塘，后裔于明代中分迁南雄。主要聚居地有主田青峰山、观音排，全安三枫、黄塘坑、黄岭、暖水塘，邓坊前坊、赤石，油山锦陂井湾、廖塘，黄坑杨梅坑、小陂头，古市坪坑，百顺杨梅洞，雄州里坑，帽子峰富竹、西石，珠玑凿岭、里东等地。</w:t>
      </w:r>
    </w:p>
    <w:p w14:paraId="57BAFEE0">
      <w:pPr>
        <w:ind w:firstLine="0" w:firstLineChars="0"/>
        <w:jc w:val="center"/>
        <w:rPr>
          <w:rFonts w:ascii="宋体" w:hAnsi="宋体" w:cs="宋体"/>
          <w:b/>
          <w:bCs/>
        </w:rPr>
      </w:pPr>
      <w:r>
        <w:rPr>
          <w:rFonts w:hint="eastAsia" w:ascii="宋体" w:hAnsi="宋体" w:cs="宋体"/>
          <w:b/>
          <w:bCs/>
        </w:rPr>
        <w:t>江氏</w:t>
      </w:r>
    </w:p>
    <w:p w14:paraId="42672462">
      <w:pPr>
        <w:ind w:firstLine="420"/>
        <w:rPr>
          <w:rFonts w:ascii="宋体" w:hAnsi="宋体" w:cs="宋体"/>
        </w:rPr>
      </w:pPr>
      <w:r>
        <w:rPr>
          <w:rFonts w:hint="eastAsia" w:ascii="宋体" w:hAnsi="宋体" w:cs="宋体"/>
        </w:rPr>
        <w:t>据南雄江氏五修族谱称：其祖先本赢姓、伯益之后，封于江国，因以江为姓。后裔辗转南迁，散播于赣、闽、粤各地。迁入南雄有三支：一为唐季江一龙携三子：置、同、禄由江西吉安迁到南雄珠玑巷。景福元年（892年）迁广州，寓于光孝街，旋迁城北四十里长河之岸，立名江村。一为明永乐年间，江深源、江泼深、江万辉兄弟自福建清流县迁到南雄，分别于邓坊、矿岭、水口坪山开基。后裔分迁山田、叟里元。三为明万历年间，江凤鸾、凤鸣兄弟自江西信丰崇仙堡迁到南雄，兄江凤鸾卜居邓玩村，弟江凤鸣卜居北山洞下水，后裔分迁田心坝、坪山、南宋等地。南雄江氏有300多户，约2000人。</w:t>
      </w:r>
    </w:p>
    <w:p w14:paraId="55F7C539">
      <w:pPr>
        <w:ind w:firstLine="0" w:firstLineChars="0"/>
        <w:jc w:val="center"/>
        <w:rPr>
          <w:rFonts w:ascii="宋体" w:hAnsi="宋体" w:cs="宋体"/>
          <w:b/>
          <w:bCs/>
        </w:rPr>
      </w:pPr>
      <w:r>
        <w:rPr>
          <w:rFonts w:hint="eastAsia" w:ascii="宋体" w:hAnsi="宋体" w:cs="宋体"/>
          <w:b/>
          <w:bCs/>
        </w:rPr>
        <w:t>百顺麦族</w:t>
      </w:r>
    </w:p>
    <w:p w14:paraId="413031CE">
      <w:pPr>
        <w:ind w:firstLine="420"/>
        <w:rPr>
          <w:rFonts w:ascii="宋体" w:hAnsi="宋体" w:cs="宋体"/>
        </w:rPr>
      </w:pPr>
      <w:r>
        <w:rPr>
          <w:rFonts w:hint="eastAsia" w:ascii="宋体" w:hAnsi="宋体" w:cs="宋体"/>
        </w:rPr>
        <w:t>南雄麦氏族谱（2001年）称：始祖麦铁杖，生于南朝梁，居百顺麦营，有武略，仕于隋，累立战功，封右屯位大将军，赠光禄大夫、宿国公。卒后归葬百顺，立铁杖祠，南雄城建铁杖楼。后裔兴旺，传13世分迁珠玑巷，后裔再分迁珠江三角洲及海内外。</w:t>
      </w:r>
    </w:p>
    <w:p w14:paraId="7816E05F">
      <w:pPr>
        <w:ind w:firstLine="0" w:firstLineChars="0"/>
        <w:jc w:val="center"/>
        <w:rPr>
          <w:rFonts w:ascii="宋体" w:hAnsi="宋体" w:cs="宋体"/>
          <w:b/>
          <w:bCs/>
        </w:rPr>
      </w:pPr>
      <w:r>
        <w:rPr>
          <w:rFonts w:hint="eastAsia" w:ascii="宋体" w:hAnsi="宋体" w:cs="宋体"/>
          <w:b/>
          <w:bCs/>
        </w:rPr>
        <w:t>古市倚逢马族</w:t>
      </w:r>
    </w:p>
    <w:p w14:paraId="2C0C26A6">
      <w:pPr>
        <w:ind w:firstLine="420"/>
        <w:rPr>
          <w:rFonts w:ascii="宋体" w:hAnsi="宋体" w:cs="宋体"/>
        </w:rPr>
      </w:pPr>
      <w:r>
        <w:rPr>
          <w:rFonts w:hint="eastAsia" w:ascii="宋体" w:hAnsi="宋体" w:cs="宋体"/>
        </w:rPr>
        <w:t>2001年南雄马氏首次联修族谱称：倚逢马族从福建汀州府迁来，先后三支：</w:t>
      </w:r>
    </w:p>
    <w:p w14:paraId="526D0E29">
      <w:pPr>
        <w:ind w:firstLine="420"/>
        <w:rPr>
          <w:rFonts w:ascii="宋体" w:hAnsi="宋体" w:cs="宋体"/>
        </w:rPr>
      </w:pPr>
      <w:r>
        <w:rPr>
          <w:rFonts w:hint="eastAsia" w:ascii="宋体" w:hAnsi="宋体" w:cs="宋体"/>
        </w:rPr>
        <w:t>其一为始迁祖马一魁，于元代至元初由汀州迁倚逢朝阳坊大马屋开基。养鸭发家，人称“鸭麻祖公”，后裔分迁黄坑之塘源坑，雄州之贵村。</w:t>
      </w:r>
    </w:p>
    <w:p w14:paraId="431EC9B7">
      <w:pPr>
        <w:ind w:firstLine="420"/>
        <w:rPr>
          <w:rFonts w:ascii="宋体" w:hAnsi="宋体" w:cs="宋体"/>
        </w:rPr>
      </w:pPr>
      <w:r>
        <w:rPr>
          <w:rFonts w:hint="eastAsia" w:ascii="宋体" w:hAnsi="宋体" w:cs="宋体"/>
        </w:rPr>
        <w:t>其二为始祖马亘隆，任潮州知府，以韩愈为师，政绩卓著。致仕后，于明代成化年间挈家迁来倚逢老村下开基。万历年间，裔孙马一初由倚逢迁溪口开基，为一方望族。后裔分迁修仁、丰源及雄州之河南、铺背等地。</w:t>
      </w:r>
    </w:p>
    <w:p w14:paraId="752E242A">
      <w:pPr>
        <w:ind w:firstLine="420"/>
        <w:rPr>
          <w:rFonts w:ascii="宋体" w:hAnsi="宋体" w:cs="宋体"/>
        </w:rPr>
      </w:pPr>
      <w:r>
        <w:rPr>
          <w:rFonts w:hint="eastAsia" w:ascii="宋体" w:hAnsi="宋体" w:cs="宋体"/>
        </w:rPr>
        <w:t>其三为始祖马满子（长华）于明代正德年间由福建清流县横溪苍仁里迁南雄鱼鲜，而后迁坪田山茶坑开基，其后裔分迁珠玑小岭圩、乌迳傍江下。</w:t>
      </w:r>
    </w:p>
    <w:p w14:paraId="0783269F">
      <w:pPr>
        <w:ind w:firstLine="0" w:firstLineChars="0"/>
        <w:jc w:val="center"/>
        <w:rPr>
          <w:rFonts w:ascii="宋体" w:hAnsi="宋体" w:cs="宋体"/>
          <w:b/>
          <w:bCs/>
        </w:rPr>
      </w:pPr>
      <w:r>
        <w:rPr>
          <w:rFonts w:hint="eastAsia" w:ascii="宋体" w:hAnsi="宋体" w:cs="宋体"/>
          <w:b/>
          <w:bCs/>
        </w:rPr>
        <w:t>油山延溪冯族</w:t>
      </w:r>
    </w:p>
    <w:p w14:paraId="6C2D775B">
      <w:pPr>
        <w:ind w:firstLine="420"/>
        <w:rPr>
          <w:rFonts w:ascii="宋体" w:hAnsi="宋体" w:cs="宋体"/>
        </w:rPr>
      </w:pPr>
      <w:r>
        <w:rPr>
          <w:rFonts w:hint="eastAsia" w:ascii="宋体" w:hAnsi="宋体" w:cs="宋体"/>
        </w:rPr>
        <w:t>《冯氏联修族谱》（1999年七修）载：南雄冯氏为东汉夏阳侯征西大将军冯异之后，有二支于北宋时先后迁来延溪大井坊、嘉兴坊开基。</w:t>
      </w:r>
    </w:p>
    <w:p w14:paraId="5C8E2019">
      <w:pPr>
        <w:ind w:firstLine="420"/>
        <w:rPr>
          <w:rFonts w:ascii="宋体" w:hAnsi="宋体" w:cs="宋体"/>
        </w:rPr>
      </w:pPr>
      <w:r>
        <w:rPr>
          <w:rFonts w:hint="eastAsia" w:ascii="宋体" w:hAnsi="宋体" w:cs="宋体"/>
        </w:rPr>
        <w:t>大井坊始迁祖冯朝信，原居河南汴梁，北宋咸平举人，授文林郎，任惠州博罗县令。咸平三年（1000年）秩满北归，道经延溪，见山水秀丽，田畴开拓，遂举家卜居于大井坊。</w:t>
      </w:r>
    </w:p>
    <w:p w14:paraId="1E10FB90">
      <w:pPr>
        <w:ind w:firstLine="420"/>
        <w:rPr>
          <w:rFonts w:ascii="宋体" w:hAnsi="宋体" w:cs="宋体"/>
        </w:rPr>
      </w:pPr>
      <w:r>
        <w:rPr>
          <w:rFonts w:hint="eastAsia" w:ascii="宋体" w:hAnsi="宋体" w:cs="宋体"/>
        </w:rPr>
        <w:t>嘉兴坊始迁祖冯朝仁，原祖居南海，辟举为邓州参军。宋景祐元年，曾叔祖冯元（户部尚书）卒，朝仁与曾祖、祖父、父同扶榇南归，到南雄，适遇侬智高乱，乃暂居沙水，不幸曾祖、祖父、父先后逝世，得大井坊宗亲之助，于景祐四年（1037年）安葬先祖于延溪马鞍山，乃卜居嘉兴坊。</w:t>
      </w:r>
    </w:p>
    <w:p w14:paraId="749DFEA5">
      <w:pPr>
        <w:ind w:firstLine="0" w:firstLineChars="0"/>
        <w:jc w:val="center"/>
        <w:rPr>
          <w:rFonts w:ascii="宋体" w:hAnsi="宋体" w:cs="宋体"/>
          <w:b/>
          <w:bCs/>
        </w:rPr>
      </w:pPr>
      <w:r>
        <w:rPr>
          <w:rFonts w:hint="eastAsia" w:ascii="宋体" w:hAnsi="宋体" w:cs="宋体"/>
          <w:b/>
          <w:bCs/>
        </w:rPr>
        <w:t>乌迳水松董族</w:t>
      </w:r>
    </w:p>
    <w:p w14:paraId="534AEF27">
      <w:pPr>
        <w:ind w:firstLine="420"/>
        <w:rPr>
          <w:rFonts w:ascii="宋体" w:hAnsi="宋体" w:cs="宋体"/>
        </w:rPr>
      </w:pPr>
      <w:r>
        <w:rPr>
          <w:rFonts w:hint="eastAsia" w:ascii="宋体" w:hAnsi="宋体" w:cs="宋体"/>
        </w:rPr>
        <w:t>南雄董氏族谱及《直隶南雄州志·流寓》载：水松董族始迁祖董玮，是耒阳知县董俦第六子。北宋元符三年（1100年）荐举南雄州刑曹参军。遂举家从江西乐安县迁来南雄城东门。曾孙董政聪任都司千兵，生二子：双保、双生，勇略过人，有战功，封武略将军。南宋初，第五世孙董宗成迁乌迳水松立祠开基。子孙繁衍，分迁于乌迳、界址、坪田等镇。</w:t>
      </w:r>
    </w:p>
    <w:p w14:paraId="170D6FDB">
      <w:pPr>
        <w:ind w:firstLine="0" w:firstLineChars="0"/>
        <w:jc w:val="center"/>
        <w:rPr>
          <w:rFonts w:ascii="宋体" w:hAnsi="宋体" w:cs="宋体"/>
          <w:b/>
          <w:bCs/>
        </w:rPr>
      </w:pPr>
      <w:r>
        <w:rPr>
          <w:rFonts w:hint="eastAsia" w:ascii="宋体" w:hAnsi="宋体" w:cs="宋体"/>
          <w:b/>
          <w:bCs/>
        </w:rPr>
        <w:t>界址龙头坊赵族</w:t>
      </w:r>
    </w:p>
    <w:p w14:paraId="1639C988">
      <w:pPr>
        <w:ind w:firstLine="420"/>
        <w:rPr>
          <w:rFonts w:ascii="宋体" w:hAnsi="宋体" w:cs="宋体"/>
        </w:rPr>
      </w:pPr>
      <w:r>
        <w:rPr>
          <w:rFonts w:hint="eastAsia" w:ascii="宋体" w:hAnsi="宋体" w:cs="宋体"/>
        </w:rPr>
        <w:t>1996年修南雄赵氏族谱称：南雄赵氏为宋太祖赵匡胤之后。南宋建炎二年（1128年），太祖六世孙、镇江知府赵子崧谪居南雄州城。绍兴二年（1132年）死于贬所，其子孙先卜居于今宾阳门地，后迁牛田坊洋坋村，再迁界址龙头坊（今赵屋村）。后裔散居于界址、乌迳、坪田、油山、南亩及雄州铺背、梅关等地30多个村庄，1000多户。</w:t>
      </w:r>
    </w:p>
    <w:p w14:paraId="2B7D9FD6">
      <w:pPr>
        <w:ind w:firstLine="0" w:firstLineChars="0"/>
        <w:jc w:val="center"/>
        <w:rPr>
          <w:rFonts w:ascii="宋体" w:hAnsi="宋体" w:cs="宋体"/>
          <w:b/>
          <w:bCs/>
        </w:rPr>
      </w:pPr>
      <w:r>
        <w:rPr>
          <w:rFonts w:hint="eastAsia" w:ascii="宋体" w:hAnsi="宋体" w:cs="宋体"/>
          <w:b/>
          <w:bCs/>
        </w:rPr>
        <w:t>水口篛过欧阳族</w:t>
      </w:r>
    </w:p>
    <w:p w14:paraId="075887AD">
      <w:pPr>
        <w:ind w:firstLine="420"/>
        <w:rPr>
          <w:rFonts w:ascii="宋体" w:hAnsi="宋体" w:cs="宋体"/>
        </w:rPr>
      </w:pPr>
      <w:r>
        <w:rPr>
          <w:rFonts w:hint="eastAsia" w:ascii="宋体" w:hAnsi="宋体" w:cs="宋体"/>
        </w:rPr>
        <w:t>1997年修《篛过欧阳氏族谱》称：南雄欧阳氏始迁祖欧阳叔权，原居江西泰和蜀口。南宋皇祐元年（1253年）元兵南侵，江右扰攘，欧阳叔权为求安居之所，乃举家南迁篛溪开基。迄今700多年，历传30代。明清时期，篛过私塾大兴，读书风气甚盛，“篛过书房”雅誉名闻遐迩。第二次国内革命战争时期，篛过是人民革命老区，欧阳一族有160多人参加武装斗争，革命烈士32人。</w:t>
      </w:r>
    </w:p>
    <w:p w14:paraId="5F54B01F">
      <w:pPr>
        <w:ind w:firstLine="0" w:firstLineChars="0"/>
        <w:jc w:val="center"/>
        <w:rPr>
          <w:rFonts w:ascii="宋体" w:hAnsi="宋体" w:cs="宋体"/>
          <w:b/>
          <w:bCs/>
        </w:rPr>
      </w:pPr>
      <w:r>
        <w:rPr>
          <w:rFonts w:hint="eastAsia" w:ascii="宋体" w:hAnsi="宋体" w:cs="宋体"/>
          <w:b/>
          <w:bCs/>
        </w:rPr>
        <w:t>油山上朔彭族</w:t>
      </w:r>
    </w:p>
    <w:p w14:paraId="53C2D2A0">
      <w:pPr>
        <w:ind w:firstLine="420"/>
        <w:rPr>
          <w:rFonts w:ascii="宋体" w:hAnsi="宋体" w:cs="宋体"/>
        </w:rPr>
      </w:pPr>
      <w:r>
        <w:rPr>
          <w:rFonts w:hint="eastAsia" w:ascii="宋体" w:hAnsi="宋体" w:cs="宋体"/>
        </w:rPr>
        <w:t>《朔溪彭氏六修族谱》（民国26年）称：上朔彭族始迁祖彭南选，是楚国辰州刺史、兵部尚书彭彦承之曾孙，后唐天成间（926年至930年），彭南选游学岭南，择地朔溪城头卜居。子孙繁衍，派分十四房，为一方望族，后裔分迁油山镇各村及南雄各地。上朔在第二次国内革命战争时期，是南雄县苏维埃政府所在地，彭族为革命牺牲的烈士有60多人。</w:t>
      </w:r>
    </w:p>
    <w:p w14:paraId="3C2F5631">
      <w:pPr>
        <w:ind w:firstLine="0" w:firstLineChars="0"/>
        <w:jc w:val="center"/>
        <w:rPr>
          <w:rFonts w:ascii="宋体" w:hAnsi="宋体" w:cs="宋体"/>
          <w:b/>
          <w:bCs/>
        </w:rPr>
      </w:pPr>
      <w:r>
        <w:rPr>
          <w:rFonts w:hint="eastAsia" w:ascii="宋体" w:hAnsi="宋体" w:cs="宋体"/>
          <w:b/>
          <w:bCs/>
        </w:rPr>
        <w:t>油山平林孔族</w:t>
      </w:r>
    </w:p>
    <w:p w14:paraId="27DB8C95">
      <w:pPr>
        <w:ind w:firstLine="420"/>
        <w:rPr>
          <w:rFonts w:ascii="宋体" w:hAnsi="宋体" w:cs="宋体"/>
        </w:rPr>
      </w:pPr>
      <w:r>
        <w:rPr>
          <w:rFonts w:hint="eastAsia" w:ascii="宋体" w:hAnsi="宋体" w:cs="宋体"/>
        </w:rPr>
        <w:t>《保昌平林孔氏家谱》（清乾隆四年）称：始迁祖孔温宪是唐代元和时任岭南节度使孔戣之第三子，孔子三十九世裔孙。长庆四年（824年），孔戣逝世，温宪北归，闻朱温乱，乃择地平林隐居，营创田宅，子孙繁衍。温宪之孙孔闰，唐昭宗景福二年进士，为南雄举进士第一人，后周时官至朝散大夫、袁州刺史。宋建隆三年，在平林创办孔林书院，为岭南第一所书院。平林孔氏后裔分迁岭南各地，平林为岭南孔氏祖居。</w:t>
      </w:r>
    </w:p>
    <w:p w14:paraId="4A5451EA">
      <w:pPr>
        <w:ind w:firstLine="0" w:firstLineChars="0"/>
        <w:jc w:val="center"/>
        <w:rPr>
          <w:rFonts w:ascii="宋体" w:hAnsi="宋体" w:cs="宋体"/>
          <w:b/>
          <w:bCs/>
        </w:rPr>
      </w:pPr>
      <w:r>
        <w:rPr>
          <w:rFonts w:hint="eastAsia" w:ascii="宋体" w:hAnsi="宋体" w:cs="宋体"/>
          <w:b/>
          <w:bCs/>
        </w:rPr>
        <w:t>珠玑巷苏族</w:t>
      </w:r>
    </w:p>
    <w:p w14:paraId="738CBDDF">
      <w:pPr>
        <w:ind w:firstLine="420"/>
        <w:rPr>
          <w:rFonts w:ascii="宋体" w:hAnsi="宋体" w:cs="宋体"/>
        </w:rPr>
      </w:pPr>
      <w:r>
        <w:rPr>
          <w:rFonts w:hint="eastAsia" w:ascii="宋体" w:hAnsi="宋体" w:cs="宋体"/>
        </w:rPr>
        <w:t>据《雄余始苏氏族谱》（1997年）称：现居南雄苏氏始迁祖九三郎，于元末由福建永定县古竹乡迁南雄珠玑巷定居，以道艺为业，历6代，后裔分迁南雄主田窑合、大水头村、黄坑象湖村、苍石大坪村、梅岭北坑坳高坑村，以及始兴之澄江、顿岗等地。</w:t>
      </w:r>
    </w:p>
    <w:p w14:paraId="29BB9CCE">
      <w:pPr>
        <w:ind w:firstLine="0" w:firstLineChars="0"/>
        <w:jc w:val="center"/>
        <w:rPr>
          <w:rFonts w:ascii="宋体" w:hAnsi="宋体" w:cs="宋体"/>
          <w:b/>
          <w:bCs/>
        </w:rPr>
      </w:pPr>
      <w:r>
        <w:rPr>
          <w:rFonts w:hint="eastAsia" w:ascii="宋体" w:hAnsi="宋体" w:cs="宋体"/>
          <w:b/>
          <w:bCs/>
        </w:rPr>
        <w:t>界址隍溪严族</w:t>
      </w:r>
    </w:p>
    <w:p w14:paraId="1CD2DE1F">
      <w:pPr>
        <w:ind w:firstLine="420"/>
        <w:rPr>
          <w:rFonts w:ascii="宋体" w:hAnsi="宋体" w:cs="宋体"/>
        </w:rPr>
      </w:pPr>
      <w:r>
        <w:rPr>
          <w:rFonts w:hint="eastAsia" w:ascii="宋体" w:hAnsi="宋体" w:cs="宋体"/>
        </w:rPr>
        <w:t>《富春堂严氏福修族谱》（1999年）称；南雄严氏始迁祖严君瑞，于元初自江西泰和迁居南雄崇化隍溪（今界址镇崇化村）。迄今已传27代，后裔多聚居于界址境内，分迁坪田老龙、湖口白木、全安大坪及百顺等地。</w:t>
      </w:r>
    </w:p>
    <w:p w14:paraId="02384F0F">
      <w:pPr>
        <w:ind w:firstLine="0" w:firstLineChars="0"/>
        <w:jc w:val="center"/>
        <w:rPr>
          <w:rFonts w:ascii="宋体" w:hAnsi="宋体" w:cs="宋体"/>
          <w:b/>
          <w:bCs/>
        </w:rPr>
      </w:pPr>
      <w:r>
        <w:rPr>
          <w:rFonts w:hint="eastAsia" w:ascii="宋体" w:hAnsi="宋体" w:cs="宋体"/>
          <w:b/>
          <w:bCs/>
        </w:rPr>
        <w:t>江头小竹侯族</w:t>
      </w:r>
    </w:p>
    <w:p w14:paraId="78C0CCF0">
      <w:pPr>
        <w:ind w:firstLine="420"/>
        <w:rPr>
          <w:rFonts w:ascii="宋体" w:hAnsi="宋体" w:cs="宋体"/>
        </w:rPr>
      </w:pPr>
      <w:r>
        <w:rPr>
          <w:rFonts w:hint="eastAsia" w:ascii="宋体" w:hAnsi="宋体" w:cs="宋体"/>
        </w:rPr>
        <w:t>南雄《上谷堂侯氏四修族谱》称：始迁祖宗正公名秀文，原居江宁府卢竹坝（今南京市江宁区）。元代，为避乱南迁，曾到罗浮、虎门暂住。明代洪武庚戌（1370年）入南雄，定居小竹村。子孙繁衍于江头黄茅坪、柒木岭，百顺大坪、邓洞，南雄城郊满湖塘等地。</w:t>
      </w:r>
    </w:p>
    <w:p w14:paraId="357A6821">
      <w:pPr>
        <w:ind w:firstLine="0" w:firstLineChars="0"/>
        <w:jc w:val="center"/>
        <w:rPr>
          <w:rFonts w:ascii="宋体" w:hAnsi="宋体" w:cs="宋体"/>
          <w:b/>
          <w:bCs/>
        </w:rPr>
      </w:pPr>
      <w:r>
        <w:rPr>
          <w:rFonts w:hint="eastAsia" w:ascii="宋体" w:hAnsi="宋体" w:cs="宋体"/>
          <w:b/>
          <w:bCs/>
        </w:rPr>
        <w:t>水口塘背蒲族</w:t>
      </w:r>
    </w:p>
    <w:p w14:paraId="349518AF">
      <w:pPr>
        <w:ind w:firstLine="420"/>
        <w:rPr>
          <w:rFonts w:ascii="宋体" w:hAnsi="宋体" w:cs="宋体"/>
        </w:rPr>
      </w:pPr>
      <w:r>
        <w:rPr>
          <w:rFonts w:hint="eastAsia" w:ascii="宋体" w:hAnsi="宋体" w:cs="宋体"/>
        </w:rPr>
        <w:t>其先祖原居试水处广东省潮安塘湖乡，明英宋年间（1436年至1449年），分迁大埔县三河坝四寨村。十八世祖莆蒲万科于明世宗二十五年（1546年）由三河旧寨分迁始兴北门河背大井头村。传至二十一世祖蒲国俊兄弟四人于清顺治十八年（1659年）正月，由始兴大井头分迁南雄大坑塘背村，历300多年，传14代，人口200多人。</w:t>
      </w:r>
    </w:p>
    <w:p w14:paraId="11261904">
      <w:pPr>
        <w:ind w:firstLine="0" w:firstLineChars="0"/>
        <w:jc w:val="center"/>
        <w:rPr>
          <w:rFonts w:ascii="宋体" w:hAnsi="宋体" w:cs="宋体"/>
          <w:b/>
          <w:bCs/>
        </w:rPr>
      </w:pPr>
      <w:r>
        <w:rPr>
          <w:rFonts w:hint="eastAsia" w:ascii="宋体" w:hAnsi="宋体" w:cs="宋体"/>
          <w:b/>
          <w:bCs/>
        </w:rPr>
        <w:t>雄城汪族</w:t>
      </w:r>
    </w:p>
    <w:p w14:paraId="2582BE1F">
      <w:pPr>
        <w:ind w:firstLine="420"/>
        <w:rPr>
          <w:rFonts w:ascii="宋体" w:hAnsi="宋体" w:cs="宋体"/>
        </w:rPr>
      </w:pPr>
      <w:r>
        <w:rPr>
          <w:rFonts w:hint="eastAsia" w:ascii="宋体" w:hAnsi="宋体" w:cs="宋体"/>
        </w:rPr>
        <w:t>先祖汪亨元，原籍江西景德镇，赠河南道御史。元代至元年间来雄城经商，卜居顾城之东，家巨富，有诚信，尊儒重道，清官名宦代不乏人。明清两朝，一门登进士1人，中举5人，入贡32人，州志列传者5人。</w:t>
      </w:r>
    </w:p>
    <w:p w14:paraId="01DC314C">
      <w:pPr>
        <w:ind w:firstLine="0" w:firstLineChars="0"/>
        <w:jc w:val="center"/>
        <w:rPr>
          <w:rFonts w:ascii="宋体" w:hAnsi="宋体" w:cs="宋体"/>
          <w:b/>
          <w:bCs/>
        </w:rPr>
      </w:pPr>
      <w:r>
        <w:rPr>
          <w:rFonts w:hint="eastAsia" w:ascii="宋体" w:hAnsi="宋体" w:cs="宋体"/>
          <w:b/>
          <w:bCs/>
        </w:rPr>
        <w:t>雄城莫族</w:t>
      </w:r>
    </w:p>
    <w:p w14:paraId="2CFF5103">
      <w:pPr>
        <w:ind w:firstLine="420"/>
        <w:rPr>
          <w:rFonts w:ascii="宋体" w:hAnsi="宋体" w:cs="宋体"/>
        </w:rPr>
      </w:pPr>
      <w:r>
        <w:rPr>
          <w:rFonts w:hint="eastAsia" w:ascii="宋体" w:hAnsi="宋体" w:cs="宋体"/>
        </w:rPr>
        <w:t>先祖世居福建上杭，后迁始兴黄沙坑。明末，流寇蜂起，黄沙坑累遭蹂躏。是时，莫振玉年仅数岁，孑然一身，避乱逃生，在雄城孤苦安身，终于创业成家。四传至莫锡五，夜读昼商，发家致富，年入巨万，急公好义，名闻里巷。后裔莫开琼、开瑶兄弟，为清末民初雄城之名绅。</w:t>
      </w:r>
    </w:p>
    <w:p w14:paraId="397FD28C">
      <w:pPr>
        <w:pStyle w:val="3"/>
        <w:rPr>
          <w:rFonts w:ascii="宋体" w:hAnsi="宋体" w:cs="宋体"/>
        </w:rPr>
      </w:pPr>
      <w:r>
        <w:rPr>
          <w:rFonts w:hint="eastAsia" w:ascii="宋体" w:hAnsi="宋体" w:cs="宋体"/>
        </w:rPr>
        <w:t>三、文献辑存</w:t>
      </w:r>
    </w:p>
    <w:p w14:paraId="10B06000">
      <w:pPr>
        <w:pStyle w:val="4"/>
        <w:rPr>
          <w:rFonts w:ascii="宋体" w:hAnsi="宋体"/>
        </w:rPr>
      </w:pPr>
      <w:r>
        <w:rPr>
          <w:rFonts w:hint="eastAsia" w:ascii="宋体" w:hAnsi="宋体"/>
        </w:rPr>
        <w:t>（一）行政区域调整文件</w:t>
      </w:r>
    </w:p>
    <w:p w14:paraId="4DF5D0EB">
      <w:pPr>
        <w:ind w:firstLine="420"/>
        <w:rPr>
          <w:rFonts w:ascii="宋体" w:hAnsi="宋体" w:cs="宋体"/>
        </w:rPr>
      </w:pPr>
      <w:r>
        <w:rPr>
          <w:rFonts w:hint="eastAsia" w:ascii="宋体" w:hAnsi="宋体" w:cs="宋体"/>
        </w:rPr>
        <w:t>1957年底，经韶关专员公署批准，将南雄县原辖的闻韶，凌溪两乡划给仁化县管辖，武岗、候陂两乡划给始兴县管辖。双方协议文书如下：</w:t>
      </w:r>
    </w:p>
    <w:p w14:paraId="2D904627">
      <w:pPr>
        <w:ind w:firstLine="422"/>
        <w:jc w:val="center"/>
        <w:rPr>
          <w:rFonts w:ascii="宋体" w:hAnsi="宋体" w:cs="宋体"/>
          <w:b/>
          <w:bCs/>
        </w:rPr>
      </w:pPr>
      <w:r>
        <w:rPr>
          <w:rFonts w:hint="eastAsia" w:ascii="宋体" w:hAnsi="宋体" w:cs="宋体"/>
          <w:b/>
          <w:bCs/>
        </w:rPr>
        <w:t>南雄县人民委员会  仁化县人民委员会</w:t>
      </w:r>
    </w:p>
    <w:p w14:paraId="0CCAD521">
      <w:pPr>
        <w:ind w:firstLine="422"/>
        <w:jc w:val="center"/>
        <w:rPr>
          <w:rFonts w:ascii="宋体" w:hAnsi="宋体" w:cs="宋体"/>
          <w:b/>
          <w:bCs/>
        </w:rPr>
      </w:pPr>
      <w:r>
        <w:rPr>
          <w:rFonts w:hint="eastAsia" w:ascii="宋体" w:hAnsi="宋体" w:cs="宋体"/>
          <w:b/>
          <w:bCs/>
        </w:rPr>
        <w:t>关于南雄县所属百顺区闻韶、凌溪两小乡</w:t>
      </w:r>
    </w:p>
    <w:p w14:paraId="0289814C">
      <w:pPr>
        <w:ind w:firstLine="422"/>
        <w:jc w:val="center"/>
        <w:rPr>
          <w:rFonts w:ascii="宋体" w:hAnsi="宋体" w:cs="宋体"/>
          <w:b/>
          <w:bCs/>
        </w:rPr>
      </w:pPr>
      <w:r>
        <w:rPr>
          <w:rFonts w:hint="eastAsia" w:ascii="宋体" w:hAnsi="宋体" w:cs="宋体"/>
          <w:b/>
          <w:bCs/>
        </w:rPr>
        <w:t>共8个农业社划归仁化县管辖的联合报告</w:t>
      </w:r>
    </w:p>
    <w:p w14:paraId="067C65A9">
      <w:pPr>
        <w:ind w:firstLine="420"/>
        <w:rPr>
          <w:rFonts w:ascii="宋体" w:hAnsi="宋体" w:cs="宋体"/>
        </w:rPr>
      </w:pPr>
      <w:r>
        <w:rPr>
          <w:rFonts w:hint="eastAsia" w:ascii="宋体" w:hAnsi="宋体" w:cs="宋体"/>
        </w:rPr>
        <w:t>根据闻韶等乡群众几年来的意见，要求将该乡划归仁化县管理，从而更有利该地生产，更有利发展该地山区经济，也更有利于党的领导。因为从自然条件方面来看，闻韶乡距离南雄县城180里之远，而距离仁化县不过60华里，从交通运输方面到仁化县也比较便利。仁化县长江新开的公路是经过闻韶乡萍塘村，从生产资料供应方面来看，闻韶乡每年做纸一万担，再加上田肥所需要的石灰共80多万斤，都由仁化县供应。从历史习惯方面来看，闻韶、凌溪乡虽然一贯都属南雄管辖，但是群众有买有卖，大多数都到仁化县及扶溪、长江等圩镇，解放后每年的公粮，余粮都交仁化县扶溪粮站。</w:t>
      </w:r>
    </w:p>
    <w:p w14:paraId="061F4AA2">
      <w:pPr>
        <w:ind w:firstLine="420"/>
        <w:rPr>
          <w:rFonts w:ascii="宋体" w:hAnsi="宋体" w:cs="宋体"/>
        </w:rPr>
      </w:pPr>
      <w:r>
        <w:rPr>
          <w:rFonts w:hint="eastAsia" w:ascii="宋体" w:hAnsi="宋体" w:cs="宋体"/>
        </w:rPr>
        <w:t>根据以上的情况，南雄县委经过讨论认为该乡社干部和群众的要求是正确的，因此同意将闻韶小乡凌溪小乡共8个农业社划归仁化县管辖。</w:t>
      </w:r>
    </w:p>
    <w:p w14:paraId="6A30675D">
      <w:pPr>
        <w:ind w:firstLine="420"/>
        <w:rPr>
          <w:rFonts w:ascii="宋体" w:hAnsi="宋体" w:cs="宋体"/>
        </w:rPr>
      </w:pPr>
      <w:r>
        <w:rPr>
          <w:rFonts w:hint="eastAsia" w:ascii="宋体" w:hAnsi="宋体" w:cs="宋体"/>
        </w:rPr>
        <w:t>仁化县委根据南雄县委的意见和群众的要求也曾经两次派人到该地了解，确认划给仁化县管理，对该地生产和对党的领导更为有利，同时完全出于群众的自愿。因此，仁化县委也同意接管闻韶、凌溪等乡8个农业社，并且两县双方取得了如下协议：</w:t>
      </w:r>
    </w:p>
    <w:p w14:paraId="2D56F89A">
      <w:pPr>
        <w:ind w:firstLine="420"/>
        <w:rPr>
          <w:rFonts w:ascii="宋体" w:hAnsi="宋体" w:cs="宋体"/>
        </w:rPr>
      </w:pPr>
      <w:r>
        <w:rPr>
          <w:rFonts w:hint="eastAsia" w:ascii="宋体" w:hAnsi="宋体" w:cs="宋体"/>
        </w:rPr>
        <w:t>（1）两县同意将原属南雄管辖的百顺区闻韶小乡5个社即集星社、白竹社、塘坑社、亮星社、左龙社和凌溪小乡3个社即刘星社、曾洞社、竹坪社合计8个农业社1030户、3978人划归仁化县管理。</w:t>
      </w:r>
    </w:p>
    <w:p w14:paraId="2F9FD053">
      <w:pPr>
        <w:ind w:firstLine="420"/>
        <w:rPr>
          <w:rFonts w:ascii="宋体" w:hAnsi="宋体" w:cs="宋体"/>
        </w:rPr>
      </w:pPr>
      <w:r>
        <w:rPr>
          <w:rFonts w:hint="eastAsia" w:ascii="宋体" w:hAnsi="宋体" w:cs="宋体"/>
        </w:rPr>
        <w:t>（2）由于行政管理上的变动，随着三个供销社其中四个脱产干部，一个粮站其中二个脱产干部，一个信用社其中二个脱产干部，6间小学12个教师，一个工友共计21名脱产干部和财物由南雄县全部移交给仁化县管理，但这20个干部和一个工友的工资，从1958年1月份起由仁化县供给，另外各种贷款、预购款及税收等债务，由双方财政部门协同办理移交清楚。</w:t>
      </w:r>
    </w:p>
    <w:p w14:paraId="1602BE36">
      <w:pPr>
        <w:ind w:firstLine="420"/>
        <w:rPr>
          <w:rFonts w:ascii="宋体" w:hAnsi="宋体" w:cs="宋体"/>
        </w:rPr>
      </w:pPr>
      <w:r>
        <w:rPr>
          <w:rFonts w:hint="eastAsia" w:ascii="宋体" w:hAnsi="宋体" w:cs="宋体"/>
        </w:rPr>
        <w:t>（3）由于集星等8个农业社行政管理上由南雄划归仁化县管理，因此其1958年以后的粮油猪三包的任务，即公粮4925担，余粮1958年6867担，1959年7017担，1960年7107担；统销粮1958年90担，1959年60担，1960年30担；生猪派购1958年102头；食油按人口全部统销。各种生产指标，田土总面积共12184亩单改双3155亩，晚造播种面积10797.5亩；土纸1958年9050担，以上各项任务请地委、专署减去南雄县的任务，相对的增加仁化县的任务。</w:t>
      </w:r>
    </w:p>
    <w:p w14:paraId="2BED7D39">
      <w:pPr>
        <w:ind w:firstLine="420"/>
        <w:rPr>
          <w:rFonts w:ascii="宋体" w:hAnsi="宋体" w:cs="宋体"/>
        </w:rPr>
      </w:pPr>
      <w:r>
        <w:rPr>
          <w:rFonts w:hint="eastAsia" w:ascii="宋体" w:hAnsi="宋体" w:cs="宋体"/>
        </w:rPr>
        <w:t>（4）由南雄县配备12个脱产干部（即12个编制）由58年1月份给仁化县（其中要有一个区委以便利党对该地工作的领导）。</w:t>
      </w:r>
    </w:p>
    <w:p w14:paraId="76EE7668">
      <w:pPr>
        <w:ind w:firstLine="420"/>
        <w:rPr>
          <w:rFonts w:ascii="宋体" w:hAnsi="宋体" w:cs="宋体"/>
        </w:rPr>
      </w:pPr>
      <w:r>
        <w:rPr>
          <w:rFonts w:hint="eastAsia" w:ascii="宋体" w:hAnsi="宋体" w:cs="宋体"/>
        </w:rPr>
        <w:t>（5）由南雄县负责从闻韶到扶溪这条路的电话线的费用，估计需要14条电线5百斤，值人民币400元，这笔款由南雄地方财政项下支付，木杆、民工由该乡农业社解决，架设电线由仁化县邮电局负责。</w:t>
      </w:r>
    </w:p>
    <w:p w14:paraId="05ADA48A">
      <w:pPr>
        <w:ind w:firstLine="420"/>
        <w:rPr>
          <w:rFonts w:ascii="宋体" w:hAnsi="宋体" w:cs="宋体"/>
        </w:rPr>
      </w:pPr>
      <w:r>
        <w:rPr>
          <w:rFonts w:hint="eastAsia" w:ascii="宋体" w:hAnsi="宋体" w:cs="宋体"/>
        </w:rPr>
        <w:t>（6）闻韶乡等8个农业社的劳动力，从现在起南雄不抽调去筑雄百公路，由仁化县抽调去仁化筑新开的公路。</w:t>
      </w:r>
    </w:p>
    <w:p w14:paraId="6ADB8578">
      <w:pPr>
        <w:ind w:firstLine="420"/>
        <w:rPr>
          <w:rFonts w:ascii="宋体" w:hAnsi="宋体" w:cs="宋体"/>
        </w:rPr>
      </w:pPr>
      <w:r>
        <w:rPr>
          <w:rFonts w:hint="eastAsia" w:ascii="宋体" w:hAnsi="宋体" w:cs="宋体"/>
        </w:rPr>
        <w:t>（7）闻韶粮站库存稻谷5746担，交仁化县接管，但是应该算南雄县外调的稻谷任务。</w:t>
      </w:r>
    </w:p>
    <w:p w14:paraId="3BE2DF5F">
      <w:pPr>
        <w:ind w:firstLine="420"/>
        <w:rPr>
          <w:rFonts w:ascii="宋体" w:hAnsi="宋体" w:cs="宋体"/>
        </w:rPr>
      </w:pPr>
      <w:r>
        <w:rPr>
          <w:rFonts w:hint="eastAsia" w:ascii="宋体" w:hAnsi="宋体" w:cs="宋体"/>
        </w:rPr>
        <w:t>（8）原闻韶乡5部电话机，乡府和民兵步枪29条，子弹162发及一切有关历史材料，在57年12月底全部移交完毕。</w:t>
      </w:r>
    </w:p>
    <w:p w14:paraId="48D883F0">
      <w:pPr>
        <w:ind w:firstLine="420"/>
        <w:rPr>
          <w:rFonts w:ascii="宋体" w:hAnsi="宋体" w:cs="宋体"/>
        </w:rPr>
      </w:pPr>
      <w:r>
        <w:rPr>
          <w:rFonts w:hint="eastAsia" w:ascii="宋体" w:hAnsi="宋体" w:cs="宋体"/>
        </w:rPr>
        <w:t>（9）双方协议了具体接管的日期，即1958年1月1日由仁化县开始接管以上8个农业社，因此，在1957年12月底一切要移交的全部要移交完毕。</w:t>
      </w:r>
    </w:p>
    <w:p w14:paraId="4A4F8800">
      <w:pPr>
        <w:ind w:firstLine="420"/>
        <w:rPr>
          <w:rFonts w:ascii="宋体" w:hAnsi="宋体" w:cs="宋体"/>
        </w:rPr>
      </w:pPr>
      <w:r>
        <w:rPr>
          <w:rFonts w:hint="eastAsia" w:ascii="宋体" w:hAnsi="宋体" w:cs="宋体"/>
        </w:rPr>
        <w:t>以上的协议曾经过南雄、仁化两县委反复讨论，最后取得了一致的意见，目前两县正在进行撤区并乡的准备阶段，为了这一工作的顺利进行，特此联合报告呈请火速批示。</w:t>
      </w:r>
    </w:p>
    <w:p w14:paraId="1F5E9925">
      <w:pPr>
        <w:ind w:firstLine="0" w:firstLineChars="0"/>
        <w:jc w:val="center"/>
        <w:rPr>
          <w:rFonts w:ascii="宋体" w:hAnsi="宋体" w:cs="宋体"/>
        </w:rPr>
      </w:pPr>
      <w:r>
        <w:rPr>
          <w:rFonts w:hint="eastAsia" w:ascii="宋体" w:hAnsi="宋体" w:cs="宋体"/>
        </w:rPr>
        <w:t>礼致</w:t>
      </w:r>
    </w:p>
    <w:p w14:paraId="592CE714">
      <w:pPr>
        <w:ind w:firstLine="420"/>
        <w:rPr>
          <w:rFonts w:ascii="宋体" w:hAnsi="宋体" w:cs="宋体"/>
        </w:rPr>
      </w:pPr>
      <w:r>
        <w:rPr>
          <w:rFonts w:hint="eastAsia" w:ascii="宋体" w:hAnsi="宋体" w:cs="宋体"/>
        </w:rPr>
        <w:t>韶关地委、专署</w:t>
      </w:r>
    </w:p>
    <w:p w14:paraId="2E6472D2">
      <w:pPr>
        <w:ind w:firstLine="420"/>
        <w:jc w:val="right"/>
        <w:rPr>
          <w:rFonts w:ascii="宋体" w:hAnsi="宋体" w:cs="宋体"/>
        </w:rPr>
      </w:pPr>
      <w:r>
        <w:rPr>
          <w:rFonts w:hint="eastAsia" w:ascii="宋体" w:hAnsi="宋体" w:cs="宋体"/>
        </w:rPr>
        <w:t>1957年11月</w:t>
      </w:r>
    </w:p>
    <w:p w14:paraId="04DD5DF6">
      <w:pPr>
        <w:ind w:firstLine="422"/>
        <w:jc w:val="center"/>
        <w:rPr>
          <w:rFonts w:ascii="宋体" w:hAnsi="宋体" w:cs="宋体"/>
          <w:b/>
          <w:bCs/>
        </w:rPr>
      </w:pPr>
      <w:r>
        <w:rPr>
          <w:rFonts w:hint="eastAsia" w:ascii="宋体" w:hAnsi="宋体" w:cs="宋体"/>
          <w:b/>
          <w:bCs/>
        </w:rPr>
        <w:t>南雄县人民委员会  始兴县人民委员会</w:t>
      </w:r>
    </w:p>
    <w:p w14:paraId="55E40E93">
      <w:pPr>
        <w:ind w:firstLine="422"/>
        <w:jc w:val="center"/>
        <w:rPr>
          <w:rFonts w:ascii="宋体" w:hAnsi="宋体" w:cs="宋体"/>
          <w:b/>
          <w:bCs/>
        </w:rPr>
      </w:pPr>
      <w:r>
        <w:rPr>
          <w:rFonts w:hint="eastAsia" w:ascii="宋体" w:hAnsi="宋体" w:cs="宋体"/>
          <w:b/>
          <w:bCs/>
        </w:rPr>
        <w:t>关于南雄县将所属武岗小乡</w:t>
      </w:r>
    </w:p>
    <w:p w14:paraId="5669FA4B">
      <w:pPr>
        <w:ind w:firstLine="422"/>
        <w:jc w:val="center"/>
        <w:rPr>
          <w:rFonts w:ascii="宋体" w:hAnsi="宋体" w:cs="宋体"/>
          <w:b/>
          <w:bCs/>
        </w:rPr>
      </w:pPr>
      <w:r>
        <w:rPr>
          <w:rFonts w:hint="eastAsia" w:ascii="宋体" w:hAnsi="宋体" w:cs="宋体"/>
          <w:b/>
          <w:bCs/>
        </w:rPr>
        <w:t>共3个农业社划归始兴县管辖的联合报告</w:t>
      </w:r>
    </w:p>
    <w:p w14:paraId="2EF698C2">
      <w:pPr>
        <w:ind w:firstLine="420"/>
        <w:rPr>
          <w:rFonts w:ascii="宋体" w:hAnsi="宋体" w:cs="宋体"/>
        </w:rPr>
      </w:pPr>
      <w:r>
        <w:rPr>
          <w:rFonts w:hint="eastAsia" w:ascii="宋体" w:hAnsi="宋体" w:cs="宋体"/>
        </w:rPr>
        <w:t>韶关专署：</w:t>
      </w:r>
    </w:p>
    <w:p w14:paraId="4286A221">
      <w:pPr>
        <w:ind w:firstLine="420"/>
        <w:rPr>
          <w:rFonts w:ascii="宋体" w:hAnsi="宋体" w:cs="宋体"/>
        </w:rPr>
      </w:pPr>
      <w:r>
        <w:rPr>
          <w:rFonts w:hint="eastAsia" w:ascii="宋体" w:hAnsi="宋体" w:cs="宋体"/>
        </w:rPr>
        <w:t>根据武岗乡群众多次迫切要求，将该乡3个农业社由南雄县划归始兴县管辖，从而有利于该地生产，有利于党政的领导。因为从自然条件方面来看，武岗小乡3个农业社距离南雄180里，距离始兴仅50多里，而该小乡3个农业社生产较大量的是土纸，每年所需石灰，如去南雄购买，路远180里，如到始兴购买仅40里，可以大量减少运输费用，减轻生产成本，增加社和社员收入。同时武岗小乡虽属南雄县管辖，但买卖往来一向都是到始兴地方。</w:t>
      </w:r>
    </w:p>
    <w:p w14:paraId="5D2C7588">
      <w:pPr>
        <w:ind w:firstLine="420"/>
        <w:rPr>
          <w:rFonts w:ascii="宋体" w:hAnsi="宋体" w:cs="宋体"/>
        </w:rPr>
      </w:pPr>
      <w:r>
        <w:rPr>
          <w:rFonts w:hint="eastAsia" w:ascii="宋体" w:hAnsi="宋体" w:cs="宋体"/>
        </w:rPr>
        <w:t>根据以上情况，南雄县人民委员会认为该乡群众要求是正确的，因此同意将武岗小乡3个农业社划归始兴县管辖。</w:t>
      </w:r>
    </w:p>
    <w:p w14:paraId="4DCC1376">
      <w:pPr>
        <w:ind w:firstLine="420"/>
        <w:rPr>
          <w:rFonts w:ascii="宋体" w:hAnsi="宋体" w:cs="宋体"/>
        </w:rPr>
      </w:pPr>
      <w:r>
        <w:rPr>
          <w:rFonts w:hint="eastAsia" w:ascii="宋体" w:hAnsi="宋体" w:cs="宋体"/>
        </w:rPr>
        <w:t>始兴县人委会根据南雄县人委会意见和群众要求，曾经派干部到该地了解，认为划妇始兴县接管，对该地生产、对党政领导都更为有利。同时，这完全是出于群众自愿。因此，始兴县人委会也同意接管武岗小乡3个农业社，并且两县双方取得如下协定：</w:t>
      </w:r>
    </w:p>
    <w:p w14:paraId="28C2190F">
      <w:pPr>
        <w:ind w:firstLine="420"/>
        <w:rPr>
          <w:rFonts w:ascii="宋体" w:hAnsi="宋体" w:cs="宋体"/>
        </w:rPr>
      </w:pPr>
      <w:r>
        <w:rPr>
          <w:rFonts w:hint="eastAsia" w:ascii="宋体" w:hAnsi="宋体" w:cs="宋体"/>
        </w:rPr>
        <w:t>一、两县同意将原南雄县管辖的武岗小乡奇心、阳光、大坑3个农业社，共199户、736人，划归始兴县管辖。</w:t>
      </w:r>
    </w:p>
    <w:p w14:paraId="375222A2">
      <w:pPr>
        <w:ind w:firstLine="420"/>
        <w:rPr>
          <w:rFonts w:ascii="宋体" w:hAnsi="宋体" w:cs="宋体"/>
        </w:rPr>
      </w:pPr>
      <w:r>
        <w:rPr>
          <w:rFonts w:hint="eastAsia" w:ascii="宋体" w:hAnsi="宋体" w:cs="宋体"/>
        </w:rPr>
        <w:t>二、由于行政管理上的变动，随着3个农业社所在地的收购站及其干部，小学校及其教师，和有关财物枪枝子弹等均由南雄县全部移交给始兴县管理，并在1957年底全部移交完毕。对于各种贷款、预购款、税收等具体业务手续，均由有关业务部门双方办理移交和接收清楚。</w:t>
      </w:r>
    </w:p>
    <w:p w14:paraId="2C55DC54">
      <w:pPr>
        <w:ind w:firstLine="420"/>
        <w:rPr>
          <w:rFonts w:ascii="宋体" w:hAnsi="宋体" w:cs="宋体"/>
        </w:rPr>
      </w:pPr>
      <w:r>
        <w:rPr>
          <w:rFonts w:hint="eastAsia" w:ascii="宋体" w:hAnsi="宋体" w:cs="宋体"/>
        </w:rPr>
        <w:t>三、由于该小乡3个农业社行政管理上由南雄县划归始兴县接管，因此1957年的公粮、贷金任务稻谷5443市斤，1958年到1960年的粮食包干任务，其中1958年粮食统销稻谷160968市斤，1959年粮食统销稻谷81638市斤，1960年粮食统销稻谷79300市斤，1958年食油统销按人口定量供应，1958年生猪收购包干任务18头，1958年各种生产指标，田土面积82.47公顷，土纸6000担，以上各项任务由专署减去南雄县任务，相对增加始兴县任务。</w:t>
      </w:r>
    </w:p>
    <w:p w14:paraId="3645A62E">
      <w:pPr>
        <w:ind w:firstLine="420"/>
        <w:rPr>
          <w:rFonts w:ascii="宋体" w:hAnsi="宋体" w:cs="宋体"/>
        </w:rPr>
      </w:pPr>
      <w:r>
        <w:rPr>
          <w:rFonts w:hint="eastAsia" w:ascii="宋体" w:hAnsi="宋体" w:cs="宋体"/>
        </w:rPr>
        <w:t>四，由南雄县配备该小乡区干部1人、乡干部3人共4人，编制和人员按数量并保证质量，由1958年元月份起划归始兴县接收。</w:t>
      </w:r>
    </w:p>
    <w:p w14:paraId="2CE9AFF4">
      <w:pPr>
        <w:ind w:firstLine="420"/>
        <w:rPr>
          <w:rFonts w:ascii="宋体" w:hAnsi="宋体" w:cs="宋体"/>
        </w:rPr>
      </w:pPr>
      <w:r>
        <w:rPr>
          <w:rFonts w:hint="eastAsia" w:ascii="宋体" w:hAnsi="宋体" w:cs="宋体"/>
        </w:rPr>
        <w:t>五、双方协定该小乡3个农业社及有关业务单位的正式接管日期是1958年元月1日。因此，在1957年底以前一切要移交和接收的，双方要全部移交和接收完毕。</w:t>
      </w:r>
    </w:p>
    <w:p w14:paraId="77915B88">
      <w:pPr>
        <w:ind w:firstLine="420"/>
        <w:rPr>
          <w:rFonts w:ascii="宋体" w:hAnsi="宋体" w:cs="宋体"/>
        </w:rPr>
      </w:pPr>
      <w:r>
        <w:rPr>
          <w:rFonts w:hint="eastAsia" w:ascii="宋体" w:hAnsi="宋体" w:cs="宋体"/>
        </w:rPr>
        <w:t>以上协定是我们南雄、始兴两县经多次协商和讨论后的一致意见，是否有当，特此联合报告，请速批示。</w:t>
      </w:r>
    </w:p>
    <w:p w14:paraId="256690CA">
      <w:pPr>
        <w:ind w:firstLine="420"/>
        <w:rPr>
          <w:rFonts w:ascii="宋体" w:hAnsi="宋体" w:cs="宋体"/>
        </w:rPr>
      </w:pPr>
      <w:r>
        <w:rPr>
          <w:rFonts w:hint="eastAsia" w:ascii="宋体" w:hAnsi="宋体" w:cs="宋体"/>
        </w:rPr>
        <w:t>至于候陂乡的交接问题，目前尚在调查了解，未作最后决定，待后另行报告。</w:t>
      </w:r>
    </w:p>
    <w:p w14:paraId="0F4C4817">
      <w:pPr>
        <w:ind w:firstLine="420"/>
        <w:jc w:val="right"/>
        <w:rPr>
          <w:rFonts w:ascii="宋体" w:hAnsi="宋体" w:cs="宋体"/>
        </w:rPr>
      </w:pPr>
      <w:r>
        <w:rPr>
          <w:rFonts w:hint="eastAsia" w:ascii="宋体" w:hAnsi="宋体" w:cs="宋体"/>
        </w:rPr>
        <w:t>1957年11月25日</w:t>
      </w:r>
    </w:p>
    <w:p w14:paraId="025F5EDA">
      <w:pPr>
        <w:ind w:firstLine="422"/>
        <w:jc w:val="center"/>
        <w:rPr>
          <w:rFonts w:ascii="宋体" w:hAnsi="宋体" w:cs="宋体"/>
          <w:b/>
          <w:bCs/>
        </w:rPr>
      </w:pPr>
      <w:r>
        <w:rPr>
          <w:rFonts w:hint="eastAsia" w:ascii="宋体" w:hAnsi="宋体" w:cs="宋体"/>
          <w:b/>
          <w:bCs/>
        </w:rPr>
        <w:t>南雄县人民委员会  始兴县人民委员会</w:t>
      </w:r>
    </w:p>
    <w:p w14:paraId="5C4016DC">
      <w:pPr>
        <w:ind w:firstLine="422"/>
        <w:jc w:val="center"/>
        <w:rPr>
          <w:rFonts w:ascii="宋体" w:hAnsi="宋体" w:cs="宋体"/>
          <w:b/>
          <w:bCs/>
        </w:rPr>
      </w:pPr>
      <w:r>
        <w:rPr>
          <w:rFonts w:hint="eastAsia" w:ascii="宋体" w:hAnsi="宋体" w:cs="宋体"/>
          <w:b/>
          <w:bCs/>
        </w:rPr>
        <w:t>关于南雄县将所属候陂乡</w:t>
      </w:r>
    </w:p>
    <w:p w14:paraId="5D379524">
      <w:pPr>
        <w:ind w:firstLine="422"/>
        <w:jc w:val="center"/>
        <w:rPr>
          <w:rFonts w:ascii="宋体" w:hAnsi="宋体" w:cs="宋体"/>
          <w:b/>
          <w:bCs/>
        </w:rPr>
      </w:pPr>
      <w:r>
        <w:rPr>
          <w:rFonts w:hint="eastAsia" w:ascii="宋体" w:hAnsi="宋体" w:cs="宋体"/>
          <w:b/>
          <w:bCs/>
        </w:rPr>
        <w:t>共7个农业社划归始兴县管辖的联合报告</w:t>
      </w:r>
    </w:p>
    <w:p w14:paraId="2B4A2E79">
      <w:pPr>
        <w:ind w:firstLine="420"/>
        <w:rPr>
          <w:rFonts w:ascii="宋体" w:hAnsi="宋体" w:cs="宋体"/>
        </w:rPr>
      </w:pPr>
      <w:r>
        <w:rPr>
          <w:rFonts w:hint="eastAsia" w:ascii="宋体" w:hAnsi="宋体" w:cs="宋体"/>
        </w:rPr>
        <w:t>韶关专署：</w:t>
      </w:r>
    </w:p>
    <w:p w14:paraId="0185A816">
      <w:pPr>
        <w:ind w:firstLine="420"/>
        <w:rPr>
          <w:rFonts w:ascii="宋体" w:hAnsi="宋体" w:cs="宋体"/>
        </w:rPr>
      </w:pPr>
      <w:r>
        <w:rPr>
          <w:rFonts w:hint="eastAsia" w:ascii="宋体" w:hAnsi="宋体" w:cs="宋体"/>
        </w:rPr>
        <w:t>关于南雄县候陂乡群众要求将该乡7个农业社由南雄县划归始兴县管辖，是否属于群众的一致意见的问题，最近期间，经由我们两县先后派人深入了解之后，查明确属该乡最大多数群众的一致意见与要求，虽然仍有少数群众对于这一要求，表现不够积极拥护，但也并没有积极提出反对的意见，这是由于该乡的自然条件和人民生活风俗习惯，都接近始兴之故。该乡7个农业社距离南雄县城近的60多里，远的达80里，而距离始兴县城仅40多里，该乡交公粮、卖余粮向来都送到始兴县所属的马市圩，同时买卖来往一向都是在马市，该乡距离马市远的仅三、四十里，近的只有七，八里，且其气候、语言、风俗习惯都与始兴县相同。至于少数群众对于划归始兴县略有意见而不热烈拥护的主要原因是怕始兴县对于技术改革抓得紧些，以及过去两县邻接地区之间曾存在过一些宗派矛盾等等而已。</w:t>
      </w:r>
    </w:p>
    <w:p w14:paraId="27627AF5">
      <w:pPr>
        <w:ind w:firstLine="420"/>
        <w:rPr>
          <w:rFonts w:ascii="宋体" w:hAnsi="宋体" w:cs="宋体"/>
        </w:rPr>
      </w:pPr>
      <w:r>
        <w:rPr>
          <w:rFonts w:hint="eastAsia" w:ascii="宋体" w:hAnsi="宋体" w:cs="宋体"/>
        </w:rPr>
        <w:t>根据以上情况，南雄、始兴两县人委会认为该乡群众的要求是完全正确的，而且将该乡划归始兴县管辖，对该地的生产、对于党政领导都更为有利。因此，同意将候陂乡由南雄县划归始兴县管辖，并且两县双方取得了如下的协定：</w:t>
      </w:r>
    </w:p>
    <w:p w14:paraId="6ED45894">
      <w:pPr>
        <w:ind w:firstLine="420"/>
        <w:rPr>
          <w:rFonts w:ascii="宋体" w:hAnsi="宋体" w:cs="宋体"/>
        </w:rPr>
      </w:pPr>
      <w:r>
        <w:rPr>
          <w:rFonts w:hint="eastAsia" w:ascii="宋体" w:hAnsi="宋体" w:cs="宋体"/>
        </w:rPr>
        <w:t>一、两县同意将原南雄县所管辖的候陂乡坜坪、田心、文路、群立、岭头、大源、候陂7个农业社共746户、3073人划归始兴县管辖。</w:t>
      </w:r>
    </w:p>
    <w:p w14:paraId="31F7060E">
      <w:pPr>
        <w:ind w:firstLine="420"/>
        <w:rPr>
          <w:rFonts w:ascii="宋体" w:hAnsi="宋体" w:cs="宋体"/>
        </w:rPr>
      </w:pPr>
      <w:r>
        <w:rPr>
          <w:rFonts w:hint="eastAsia" w:ascii="宋体" w:hAnsi="宋体" w:cs="宋体"/>
        </w:rPr>
        <w:t>二、由于行政管理上的变动，随着该乡7个农业社所在地的收购站及其干部，供销合作社及其干部，小学校及其教师和有关的财物枪枝子弹等均由南雄县全部移交给始兴县管理，并在1957年底前全部移交完毕，对于各种贷款、预购款、税收等具体业务上的移交，均由各有关的业务单位双方办理移交和接收清楚。</w:t>
      </w:r>
    </w:p>
    <w:p w14:paraId="17B2B576">
      <w:pPr>
        <w:ind w:firstLine="420"/>
        <w:rPr>
          <w:rFonts w:ascii="宋体" w:hAnsi="宋体" w:cs="宋体"/>
        </w:rPr>
      </w:pPr>
      <w:r>
        <w:rPr>
          <w:rFonts w:hint="eastAsia" w:ascii="宋体" w:hAnsi="宋体" w:cs="宋体"/>
        </w:rPr>
        <w:t>三、由于该乡7个农业社行政管理上由南雄县划归始兴县接管，因此，该乡1958年至1960年的粮食包干任务，其中公粮包干实物2806担（不包括代金在内），购粮包干任务5256担，1958年的食油包干任务93担，生猪包干任务200头，土纸任务5000担以及各种生产指标，田土面积573.67公顷。上述各项任务，由专署减去南雄县任务，相对增加始兴县的任务。</w:t>
      </w:r>
    </w:p>
    <w:p w14:paraId="70C44FE1">
      <w:pPr>
        <w:ind w:firstLine="420"/>
        <w:rPr>
          <w:rFonts w:ascii="宋体" w:hAnsi="宋体" w:cs="宋体"/>
        </w:rPr>
      </w:pPr>
      <w:r>
        <w:rPr>
          <w:rFonts w:hint="eastAsia" w:ascii="宋体" w:hAnsi="宋体" w:cs="宋体"/>
        </w:rPr>
        <w:t>四、由南雄县配备区干部2人，乡干部7人，编制和人员按数量和保证质量，除行政关系在最近期间分别移交接管外，其供给关系，从1958年元月1日起划归始兴县接收管理。</w:t>
      </w:r>
    </w:p>
    <w:p w14:paraId="0884086E">
      <w:pPr>
        <w:ind w:firstLine="420"/>
        <w:rPr>
          <w:rFonts w:ascii="宋体" w:hAnsi="宋体" w:cs="宋体"/>
        </w:rPr>
      </w:pPr>
      <w:r>
        <w:rPr>
          <w:rFonts w:hint="eastAsia" w:ascii="宋体" w:hAnsi="宋体" w:cs="宋体"/>
        </w:rPr>
        <w:t>五、双方协定接管该乡7个农业社及有关业务单位的正式接管日期是1958年元月1日，因此，在1957年底以前一切要移交的接收的，双方要全部移交和接收完毕。以上协定是我们南雄、始兴两县经多次协商和讨论后的一致意见。特此联合报告，请速批示。</w:t>
      </w:r>
    </w:p>
    <w:p w14:paraId="407AA9A6">
      <w:pPr>
        <w:ind w:firstLine="420"/>
        <w:jc w:val="right"/>
        <w:rPr>
          <w:rFonts w:ascii="宋体" w:hAnsi="宋体" w:cs="宋体"/>
        </w:rPr>
      </w:pPr>
      <w:r>
        <w:rPr>
          <w:rFonts w:hint="eastAsia" w:ascii="宋体" w:hAnsi="宋体" w:cs="宋体"/>
        </w:rPr>
        <w:t>1957年12月22日</w:t>
      </w:r>
    </w:p>
    <w:p w14:paraId="5C7D3AA8">
      <w:pPr>
        <w:pStyle w:val="4"/>
        <w:rPr>
          <w:rFonts w:ascii="宋体" w:hAnsi="宋体" w:cs="宋体"/>
        </w:rPr>
      </w:pPr>
      <w:r>
        <w:rPr>
          <w:rFonts w:hint="eastAsia" w:ascii="宋体" w:hAnsi="宋体" w:cs="宋体"/>
        </w:rPr>
        <w:t>（二）南雄县撤县设市文件</w:t>
      </w:r>
    </w:p>
    <w:p w14:paraId="750C5DB1">
      <w:pPr>
        <w:ind w:firstLine="422"/>
        <w:jc w:val="center"/>
        <w:rPr>
          <w:rFonts w:ascii="宋体" w:hAnsi="宋体" w:cs="宋体"/>
          <w:b/>
          <w:bCs/>
        </w:rPr>
      </w:pPr>
      <w:r>
        <w:rPr>
          <w:rFonts w:hint="eastAsia" w:ascii="宋体" w:hAnsi="宋体" w:cs="宋体"/>
          <w:b/>
          <w:bCs/>
        </w:rPr>
        <w:t>中华人民共和国民政部</w:t>
      </w:r>
    </w:p>
    <w:p w14:paraId="15FAD73E">
      <w:pPr>
        <w:ind w:firstLine="422"/>
        <w:jc w:val="center"/>
        <w:rPr>
          <w:rFonts w:ascii="宋体" w:hAnsi="宋体" w:cs="宋体"/>
          <w:b/>
          <w:bCs/>
        </w:rPr>
      </w:pPr>
      <w:r>
        <w:rPr>
          <w:rFonts w:hint="eastAsia" w:ascii="宋体" w:hAnsi="宋体" w:cs="宋体"/>
          <w:b/>
          <w:bCs/>
        </w:rPr>
        <w:t>关于广东省撤销南雄县设立南雄市的批复</w:t>
      </w:r>
    </w:p>
    <w:p w14:paraId="1B6539B8">
      <w:pPr>
        <w:ind w:firstLine="420"/>
        <w:rPr>
          <w:rFonts w:ascii="宋体" w:hAnsi="宋体" w:cs="宋体"/>
        </w:rPr>
      </w:pPr>
      <w:r>
        <w:rPr>
          <w:rFonts w:hint="eastAsia" w:ascii="宋体" w:hAnsi="宋体" w:cs="宋体"/>
        </w:rPr>
        <w:t>广东省人民政府：</w:t>
      </w:r>
    </w:p>
    <w:p w14:paraId="271D78FF">
      <w:pPr>
        <w:ind w:firstLine="420"/>
        <w:rPr>
          <w:rFonts w:ascii="宋体" w:hAnsi="宋体" w:cs="宋体"/>
        </w:rPr>
      </w:pPr>
      <w:r>
        <w:rPr>
          <w:rFonts w:hint="eastAsia" w:ascii="宋体" w:hAnsi="宋体" w:cs="宋体"/>
        </w:rPr>
        <w:t>你省《关于南雄县撤县设市的请示》（粤府［1994］85号）收悉。经国务院批准，同意撤销南雄县，设立南雄市（县级），以原南雄县的行政区域为南雄市的行政区域。</w:t>
      </w:r>
    </w:p>
    <w:p w14:paraId="367740F2">
      <w:pPr>
        <w:ind w:firstLine="420"/>
        <w:jc w:val="right"/>
        <w:rPr>
          <w:rFonts w:ascii="宋体" w:hAnsi="宋体" w:cs="宋体"/>
        </w:rPr>
      </w:pPr>
      <w:r>
        <w:rPr>
          <w:rFonts w:hint="eastAsia" w:ascii="宋体" w:hAnsi="宋体" w:cs="宋体"/>
        </w:rPr>
        <w:t>一九九六年六月十七日</w:t>
      </w:r>
    </w:p>
    <w:p w14:paraId="46E60BF5">
      <w:pPr>
        <w:ind w:firstLine="422"/>
        <w:jc w:val="center"/>
        <w:rPr>
          <w:rFonts w:ascii="宋体" w:hAnsi="宋体" w:cs="宋体"/>
          <w:b/>
          <w:bCs/>
        </w:rPr>
      </w:pPr>
      <w:r>
        <w:rPr>
          <w:rFonts w:hint="eastAsia" w:ascii="宋体" w:hAnsi="宋体" w:cs="宋体"/>
          <w:b/>
          <w:bCs/>
        </w:rPr>
        <w:t>广东省民政厅</w:t>
      </w:r>
    </w:p>
    <w:p w14:paraId="13BF7198">
      <w:pPr>
        <w:ind w:firstLine="422"/>
        <w:jc w:val="center"/>
        <w:rPr>
          <w:rFonts w:ascii="宋体" w:hAnsi="宋体" w:cs="宋体"/>
          <w:b/>
          <w:bCs/>
        </w:rPr>
      </w:pPr>
      <w:r>
        <w:rPr>
          <w:rFonts w:hint="eastAsia" w:ascii="宋体" w:hAnsi="宋体" w:cs="宋体"/>
          <w:b/>
          <w:bCs/>
        </w:rPr>
        <w:t>关于撤销南雄县设立南雄市的批复</w:t>
      </w:r>
    </w:p>
    <w:p w14:paraId="746F55EF">
      <w:pPr>
        <w:ind w:firstLine="420"/>
        <w:rPr>
          <w:rFonts w:ascii="宋体" w:hAnsi="宋体" w:cs="宋体"/>
        </w:rPr>
      </w:pPr>
      <w:r>
        <w:rPr>
          <w:rFonts w:hint="eastAsia" w:ascii="宋体" w:hAnsi="宋体" w:cs="宋体"/>
        </w:rPr>
        <w:t>韶关市人民政府：</w:t>
      </w:r>
    </w:p>
    <w:p w14:paraId="22B5A6CB">
      <w:pPr>
        <w:ind w:firstLine="420"/>
        <w:rPr>
          <w:rFonts w:ascii="宋体" w:hAnsi="宋体" w:cs="宋体"/>
        </w:rPr>
      </w:pPr>
      <w:r>
        <w:rPr>
          <w:rFonts w:hint="eastAsia" w:ascii="宋体" w:hAnsi="宋体" w:cs="宋体"/>
        </w:rPr>
        <w:t>你市《关于南雄县设市撤县的请示》（韶府发［1994］16号）收悉。经省人民政府报请国务院批准（民政部1996年6月17日民行批［1996］46号批复），撤销南雄县，设立南雄市（县级），以原南雄县的行政区域为南雄市的行政区域。省人民政府决定，将南雄市委托你市代管。</w:t>
      </w:r>
    </w:p>
    <w:p w14:paraId="42775D2A">
      <w:pPr>
        <w:ind w:firstLine="420"/>
        <w:jc w:val="right"/>
        <w:rPr>
          <w:rFonts w:ascii="宋体" w:hAnsi="宋体" w:cs="宋体"/>
        </w:rPr>
      </w:pPr>
      <w:r>
        <w:rPr>
          <w:rFonts w:hint="eastAsia" w:ascii="宋体" w:hAnsi="宋体" w:cs="宋体"/>
        </w:rPr>
        <w:t>一九九六年六月二十五日</w:t>
      </w:r>
    </w:p>
    <w:p w14:paraId="13336715">
      <w:pPr>
        <w:pStyle w:val="4"/>
        <w:rPr>
          <w:rFonts w:ascii="宋体" w:hAnsi="宋体" w:cs="宋体"/>
        </w:rPr>
      </w:pPr>
      <w:r>
        <w:rPr>
          <w:rFonts w:hint="eastAsia" w:ascii="宋体" w:hAnsi="宋体" w:cs="宋体"/>
        </w:rPr>
        <w:t>（三）恢复畲族民族成分文件</w:t>
      </w:r>
    </w:p>
    <w:p w14:paraId="043E2FE9">
      <w:pPr>
        <w:ind w:firstLine="422"/>
        <w:jc w:val="center"/>
        <w:rPr>
          <w:rFonts w:ascii="宋体" w:hAnsi="宋体" w:cs="宋体"/>
          <w:b/>
          <w:bCs/>
        </w:rPr>
      </w:pPr>
      <w:r>
        <w:rPr>
          <w:rFonts w:hint="eastAsia" w:ascii="宋体" w:hAnsi="宋体" w:cs="宋体"/>
          <w:b/>
          <w:bCs/>
        </w:rPr>
        <w:t>广东省韶关市民族事务委员会</w:t>
      </w:r>
    </w:p>
    <w:p w14:paraId="190C3FBC">
      <w:pPr>
        <w:ind w:firstLine="422"/>
        <w:jc w:val="center"/>
        <w:rPr>
          <w:rFonts w:ascii="宋体" w:hAnsi="宋体" w:cs="宋体"/>
        </w:rPr>
      </w:pPr>
      <w:r>
        <w:rPr>
          <w:rFonts w:hint="eastAsia" w:ascii="宋体" w:hAnsi="宋体" w:cs="宋体"/>
          <w:b/>
          <w:bCs/>
        </w:rPr>
        <w:t>关于南雄蓝氏群众要求恢复畲族民族成分的批复</w:t>
      </w:r>
    </w:p>
    <w:p w14:paraId="1E09F96D">
      <w:pPr>
        <w:ind w:firstLine="420"/>
        <w:rPr>
          <w:rFonts w:ascii="宋体" w:hAnsi="宋体" w:cs="宋体"/>
        </w:rPr>
      </w:pPr>
      <w:r>
        <w:rPr>
          <w:rFonts w:hint="eastAsia" w:ascii="宋体" w:hAnsi="宋体" w:cs="宋体"/>
        </w:rPr>
        <w:t>南雄县人民政府：</w:t>
      </w:r>
    </w:p>
    <w:p w14:paraId="4B55FC88">
      <w:pPr>
        <w:ind w:firstLine="420"/>
        <w:rPr>
          <w:rFonts w:ascii="宋体" w:hAnsi="宋体" w:cs="宋体"/>
        </w:rPr>
      </w:pPr>
      <w:r>
        <w:rPr>
          <w:rFonts w:hint="eastAsia" w:ascii="宋体" w:hAnsi="宋体" w:cs="宋体"/>
        </w:rPr>
        <w:t>你县雄府函［1987］22号文收悉。我委同意你县蓝氏群众恢复为畲族。</w:t>
      </w:r>
    </w:p>
    <w:p w14:paraId="2B3D5EC2">
      <w:pPr>
        <w:ind w:firstLine="420"/>
        <w:rPr>
          <w:rFonts w:ascii="宋体" w:hAnsi="宋体" w:cs="宋体"/>
        </w:rPr>
      </w:pPr>
      <w:r>
        <w:rPr>
          <w:rFonts w:hint="eastAsia" w:ascii="宋体" w:hAnsi="宋体" w:cs="宋体"/>
        </w:rPr>
        <w:t>你县蓝氏群众族源与畲族相同，具有相对聚居的地域，保留有一定的民族特点和民族文化，以及独特的风俗习惯。因此，为更好地落实党的民族政策，保障少数民族享有民族平等权利，根据国家民族事务委员会［86］民政字第37号文的精神，和蓝氏群众的民族意愿，请你县设置民族工作机构，配备二至三名干部（编制在县内自行调整），协助有关部门，具体办理蓝氏群众更改民族成分的手续，和管理民族事务工作。此复。</w:t>
      </w:r>
    </w:p>
    <w:p w14:paraId="3ADC64A3">
      <w:pPr>
        <w:ind w:firstLine="420"/>
        <w:jc w:val="right"/>
        <w:rPr>
          <w:rFonts w:ascii="宋体" w:hAnsi="宋体" w:cs="宋体"/>
        </w:rPr>
      </w:pPr>
      <w:r>
        <w:rPr>
          <w:rFonts w:hint="eastAsia" w:ascii="宋体" w:hAnsi="宋体" w:cs="宋体"/>
        </w:rPr>
        <w:t>韶关市民族事务委员会</w:t>
      </w:r>
    </w:p>
    <w:p w14:paraId="25FA8A11">
      <w:pPr>
        <w:ind w:firstLine="420"/>
        <w:jc w:val="right"/>
        <w:rPr>
          <w:rFonts w:ascii="宋体" w:hAnsi="宋体" w:cs="宋体"/>
        </w:rPr>
      </w:pPr>
      <w:r>
        <w:rPr>
          <w:rFonts w:hint="eastAsia" w:ascii="宋体" w:hAnsi="宋体" w:cs="宋体"/>
        </w:rPr>
        <w:t>1987年8月6日</w:t>
      </w:r>
    </w:p>
    <w:p w14:paraId="64AEE8CB">
      <w:pPr>
        <w:ind w:firstLine="422"/>
        <w:jc w:val="center"/>
        <w:rPr>
          <w:rFonts w:ascii="宋体" w:hAnsi="宋体" w:cs="宋体"/>
          <w:b/>
          <w:bCs/>
        </w:rPr>
      </w:pPr>
      <w:r>
        <w:rPr>
          <w:rFonts w:hint="eastAsia" w:ascii="宋体" w:hAnsi="宋体" w:cs="宋体"/>
          <w:b/>
          <w:bCs/>
        </w:rPr>
        <w:t>南雄县人民政府</w:t>
      </w:r>
    </w:p>
    <w:p w14:paraId="3C5E1FEB">
      <w:pPr>
        <w:ind w:firstLine="422"/>
        <w:jc w:val="center"/>
        <w:rPr>
          <w:rFonts w:ascii="宋体" w:hAnsi="宋体" w:cs="宋体"/>
        </w:rPr>
      </w:pPr>
      <w:r>
        <w:rPr>
          <w:rFonts w:hint="eastAsia" w:ascii="宋体" w:hAnsi="宋体" w:cs="宋体"/>
          <w:b/>
          <w:bCs/>
        </w:rPr>
        <w:t>关于要求恢复我县部分蓝姓群众为畲族的请示</w:t>
      </w:r>
    </w:p>
    <w:p w14:paraId="648F056A">
      <w:pPr>
        <w:ind w:firstLine="420"/>
        <w:rPr>
          <w:rFonts w:ascii="宋体" w:hAnsi="宋体" w:cs="宋体"/>
        </w:rPr>
      </w:pPr>
      <w:r>
        <w:rPr>
          <w:rFonts w:hint="eastAsia" w:ascii="宋体" w:hAnsi="宋体" w:cs="宋体"/>
        </w:rPr>
        <w:t>韶关市人民政府：</w:t>
      </w:r>
    </w:p>
    <w:p w14:paraId="0A8AD256">
      <w:pPr>
        <w:ind w:firstLine="420"/>
        <w:rPr>
          <w:rFonts w:ascii="宋体" w:hAnsi="宋体" w:cs="宋体"/>
        </w:rPr>
      </w:pPr>
      <w:r>
        <w:rPr>
          <w:rFonts w:hint="eastAsia" w:ascii="宋体" w:hAnsi="宋体" w:cs="宋体"/>
        </w:rPr>
        <w:t>近年来，我县蓝姓群众多次要求恢复为畬族，为此县政府决定由县政府办公室组织县统战部、县政协办公室，县民政局、县信访办公室组成调查组，从今年四月起开展工作，经过一个多月的调查，已证实我县蓝姓部分群众与福建长汀、上杭，以及江西信丰畬族蓝姓属同一宗族，一脉相承，都是昌奇嗣裔。经讨论同意认定我县蓝姓部分群众为畬族。专此请示，请审批。</w:t>
      </w:r>
    </w:p>
    <w:p w14:paraId="229BE73C">
      <w:pPr>
        <w:ind w:firstLine="420"/>
        <w:rPr>
          <w:rFonts w:ascii="宋体" w:hAnsi="宋体" w:cs="宋体"/>
        </w:rPr>
      </w:pPr>
      <w:r>
        <w:rPr>
          <w:rFonts w:hint="eastAsia" w:ascii="宋体" w:hAnsi="宋体" w:cs="宋体"/>
        </w:rPr>
        <w:t>附：关于我县蓝姓部分群众要求恢复畲族的调查报告</w:t>
      </w:r>
    </w:p>
    <w:p w14:paraId="0EBA970E">
      <w:pPr>
        <w:ind w:firstLine="420"/>
        <w:jc w:val="right"/>
        <w:rPr>
          <w:rFonts w:ascii="宋体" w:hAnsi="宋体" w:cs="宋体"/>
        </w:rPr>
      </w:pPr>
      <w:r>
        <w:rPr>
          <w:rFonts w:hint="eastAsia" w:ascii="宋体" w:hAnsi="宋体" w:cs="宋体"/>
        </w:rPr>
        <w:t>1987年7月16日</w:t>
      </w:r>
    </w:p>
    <w:p w14:paraId="55F90F61">
      <w:pPr>
        <w:ind w:firstLine="422"/>
        <w:jc w:val="center"/>
        <w:rPr>
          <w:rFonts w:ascii="宋体" w:hAnsi="宋体" w:cs="宋体"/>
          <w:b/>
          <w:bCs/>
        </w:rPr>
      </w:pPr>
      <w:r>
        <w:rPr>
          <w:rFonts w:hint="eastAsia" w:ascii="宋体" w:hAnsi="宋体" w:cs="宋体"/>
          <w:b/>
          <w:bCs/>
        </w:rPr>
        <w:t>关于我县蓝姓部分群众要求恢复畲族的调查报告</w:t>
      </w:r>
    </w:p>
    <w:p w14:paraId="62E4B04B">
      <w:pPr>
        <w:ind w:firstLine="420"/>
        <w:rPr>
          <w:rFonts w:ascii="宋体" w:hAnsi="宋体" w:cs="宋体"/>
        </w:rPr>
      </w:pPr>
      <w:r>
        <w:rPr>
          <w:rFonts w:hint="eastAsia" w:ascii="宋体" w:hAnsi="宋体" w:cs="宋体"/>
        </w:rPr>
        <w:t>我县各乡蓝姓群众多次要求恢复为畲族。根据群众要求，1987年4月16日，县长办公会议决定，组织由政府办、统战部、县政协、民政局、信访办参加的联合调查组，具体落实这项工作。调查组前往江西省安远县、信丰县、福建省长汀县、上杭县芦丰乡湖洋村、罗源县松山乡上土港畲族村等畲族集居地及我县各蓝姓乡村进行了为期两个月的调查，通过查阅有关资料，召开座谈会，基本上弄清了我县蓝姓的历史，现将调查情况报告如下：</w:t>
      </w:r>
    </w:p>
    <w:p w14:paraId="720DA9CD">
      <w:pPr>
        <w:ind w:firstLine="422"/>
        <w:rPr>
          <w:rFonts w:ascii="宋体" w:hAnsi="宋体" w:cs="宋体"/>
          <w:b/>
          <w:bCs/>
        </w:rPr>
      </w:pPr>
      <w:r>
        <w:rPr>
          <w:rFonts w:hint="eastAsia" w:ascii="宋体" w:hAnsi="宋体" w:cs="宋体"/>
          <w:b/>
          <w:bCs/>
        </w:rPr>
        <w:t>一、历史源流与名称</w:t>
      </w:r>
    </w:p>
    <w:p w14:paraId="4074023E">
      <w:pPr>
        <w:ind w:firstLine="420"/>
        <w:rPr>
          <w:rFonts w:ascii="宋体" w:hAnsi="宋体" w:cs="宋体"/>
        </w:rPr>
      </w:pPr>
      <w:r>
        <w:rPr>
          <w:rFonts w:hint="eastAsia" w:ascii="宋体" w:hAnsi="宋体" w:cs="宋体"/>
        </w:rPr>
        <w:t>我县蓝姓在民间都有盘瓠传说和族称。我县蓝姓群众传说一个神话故事，这个故事只有老一辈的人对下一代讲述，从不对外传。相传高辛帝有三个公主，生得非常美丽。高辛帝为了寻求中国之粮种，许诺：“谁能从异国取回粮种，即把女许配为妻。”当时朝中无人敢办此事，其家养之神犬（狗），大声叫吠，表示它能取回种子。高辛帝亦点头为之惊喜。此后，狗即去异国有半年之久，把粮种带回。高辛帝认为狗能带回谷种有功，必须庆贺。但是原来又说过将女儿许配，不可失言。神犬要经过天地神仙七天七夜的造化才能变成人。不料至七天六夜，三公主怕它饿死，偷偷地看他，结果头来不及变，成了狗头人身像。后择吉日与三公主成亲，婚后平分天地，划给一块地叫汝南郡，因此我蓝姓堂名叫“汝南堂”，繁衍九州，分布天下，凡属蓝姓皆公遗裔。三公主婚后生下三男一女，驸王带子见帝，帝大喜，长子托盘装就姓盘，次子蓝装就姓蓝，三子放神炮与雷鸣般响就姓雷，一女招得女婿姓钟。相传盘、蓝，雷、钟姓由此而来。我们调查了有关盘瓠的传说与福建罗源畬族群众尚保存的祖图比较，从画面上的内容看与我县蓝姓流传的说法基本内容相同。</w:t>
      </w:r>
    </w:p>
    <w:p w14:paraId="62FB13B4">
      <w:pPr>
        <w:ind w:firstLine="422"/>
        <w:rPr>
          <w:rFonts w:ascii="宋体" w:hAnsi="宋体" w:cs="宋体"/>
          <w:b/>
          <w:bCs/>
        </w:rPr>
      </w:pPr>
      <w:r>
        <w:rPr>
          <w:rFonts w:hint="eastAsia" w:ascii="宋体" w:hAnsi="宋体" w:cs="宋体"/>
          <w:b/>
          <w:bCs/>
        </w:rPr>
        <w:t>二、堂名相同</w:t>
      </w:r>
    </w:p>
    <w:p w14:paraId="45F5845F">
      <w:pPr>
        <w:ind w:firstLine="420"/>
        <w:rPr>
          <w:rFonts w:ascii="宋体" w:hAnsi="宋体" w:cs="宋体"/>
        </w:rPr>
      </w:pPr>
      <w:r>
        <w:rPr>
          <w:rFonts w:hint="eastAsia" w:ascii="宋体" w:hAnsi="宋体" w:cs="宋体"/>
        </w:rPr>
        <w:t>我县蓝姓堂名“汝南堂”这与福建长汀，上杭、罗源及江西寻乌、安远，信丰蓝姓堂名一脉相承。我们调查了信丰正平乡球狮畲族村，在民间尚保存一只香炉写着“蓝氏宗祠”，民国四年（高40公分，直径40公分）。福建罗源县松山乡上土港畬族村神堂上祖牌写着“汝南堂”。江西安远县统战部陈初安同志说：现居住在该县高云山乡的黄坑、秀坑村的蓝姓畬族村在神堂上还放着刻有“畲”字的神祖牌，祖牌上还刻有“汝南堂”三个字，在神堂上放着六个香炉，都有“畲”字的标志。香炉四边有四个人头像的标志，代表“畬”族四姓（盘、蓝、雷、钟）。我县全安乡杨沥西岸村蓝姓尚保存着一只绸罗，有200多年的历史，正面刻着“汝南堂”三个字，背面刻有蓝华山三个字（绸罗长92公分，高95公分，上宽26公分，底宽58公分）。各地蓝姓族谱均有“汝南堂”记载。从这些实物证明蓝姓是“畲”族的主要姓氏之一。</w:t>
      </w:r>
    </w:p>
    <w:p w14:paraId="6024FDBC">
      <w:pPr>
        <w:ind w:firstLine="422"/>
        <w:rPr>
          <w:rFonts w:ascii="宋体" w:hAnsi="宋体" w:cs="宋体"/>
          <w:b/>
          <w:bCs/>
        </w:rPr>
      </w:pPr>
      <w:r>
        <w:rPr>
          <w:rFonts w:hint="eastAsia" w:ascii="宋体" w:hAnsi="宋体" w:cs="宋体"/>
          <w:b/>
          <w:bCs/>
        </w:rPr>
        <w:t>三、字辈排列相同</w:t>
      </w:r>
    </w:p>
    <w:p w14:paraId="49045190">
      <w:pPr>
        <w:ind w:firstLine="420"/>
        <w:rPr>
          <w:rFonts w:ascii="宋体" w:hAnsi="宋体" w:cs="宋体"/>
        </w:rPr>
      </w:pPr>
      <w:r>
        <w:rPr>
          <w:rFonts w:hint="eastAsia" w:ascii="宋体" w:hAnsi="宋体" w:cs="宋体"/>
        </w:rPr>
        <w:t>从查阅《浙江建德志》卷三。《土礼》记载……相传雷姓分大、小、百、千、万为行次，周而复始。蓝姓则分大、小、百、千、万、念为行次，较雷姓多一“念”字。从蓝姓一百二十七世前，均依照大、小、百、千、万、念行次排辈取名，但自闽迁徙江西信丰后，因受汉族的影响，已另择世派字辈。奉念五郎（克昌）为信丰始祖，以七言诗体形式派行辈而取名。我县蓝姓排辈与信丰及赣南各地都是一致的。调查福建长汀百丈村蓝姓是念五郎，杨坊村是念六郎，上杭县芦丰乡湖洋村蓝姓是念七郎，与我县蓝姓念五郎都是同祖共宗。</w:t>
      </w:r>
    </w:p>
    <w:p w14:paraId="4572D2D9">
      <w:pPr>
        <w:ind w:firstLine="422"/>
        <w:rPr>
          <w:rFonts w:ascii="宋体" w:hAnsi="宋体" w:cs="宋体"/>
          <w:b/>
          <w:bCs/>
        </w:rPr>
      </w:pPr>
      <w:r>
        <w:rPr>
          <w:rFonts w:hint="eastAsia" w:ascii="宋体" w:hAnsi="宋体" w:cs="宋体"/>
          <w:b/>
          <w:bCs/>
        </w:rPr>
        <w:t>四、生活风俗习惯</w:t>
      </w:r>
    </w:p>
    <w:p w14:paraId="7AC3F341">
      <w:pPr>
        <w:ind w:firstLine="420"/>
        <w:rPr>
          <w:rFonts w:ascii="宋体" w:hAnsi="宋体" w:cs="宋体"/>
        </w:rPr>
      </w:pPr>
      <w:r>
        <w:rPr>
          <w:rFonts w:hint="eastAsia" w:ascii="宋体" w:hAnsi="宋体" w:cs="宋体"/>
        </w:rPr>
        <w:t>我县蓝姓祖辈的生活习惯不吃狗肉，信仰狗，有“狗头太公像”的传说。相传其祖盘瓠喜吃荤，每当祀祖节日都挂祖图（狗头人身像）。我县蓝氏族谱中有“狗罗”和“春狗”的记载，闽汀畲客县志中有“盘瓠帝喾之畜狗”的记载。他们都信奉“打猎祖师”之说，相传我县蓝姓祖辈也有这样记述。</w:t>
      </w:r>
    </w:p>
    <w:p w14:paraId="41378E99">
      <w:pPr>
        <w:ind w:firstLine="420"/>
        <w:rPr>
          <w:rFonts w:ascii="宋体" w:hAnsi="宋体" w:cs="宋体"/>
        </w:rPr>
      </w:pPr>
      <w:r>
        <w:rPr>
          <w:rFonts w:hint="eastAsia" w:ascii="宋体" w:hAnsi="宋体" w:cs="宋体"/>
        </w:rPr>
        <w:t>此外，还有大年三十晚都要挂祖图，放在神堂上进行祭祖拜神活动，大年初一后放回神柜保存等习惯。</w:t>
      </w:r>
    </w:p>
    <w:p w14:paraId="228503C9">
      <w:pPr>
        <w:ind w:firstLine="420"/>
        <w:rPr>
          <w:rFonts w:ascii="宋体" w:hAnsi="宋体" w:cs="宋体"/>
        </w:rPr>
      </w:pPr>
      <w:r>
        <w:rPr>
          <w:rFonts w:hint="eastAsia" w:ascii="宋体" w:hAnsi="宋体" w:cs="宋体"/>
        </w:rPr>
        <w:t>信奉节庆日是：二月二日关爷节。</w:t>
      </w:r>
    </w:p>
    <w:p w14:paraId="67D01E6F">
      <w:pPr>
        <w:ind w:firstLine="420"/>
        <w:rPr>
          <w:rFonts w:ascii="宋体" w:hAnsi="宋体" w:cs="宋体"/>
        </w:rPr>
      </w:pPr>
      <w:r>
        <w:rPr>
          <w:rFonts w:hint="eastAsia" w:ascii="宋体" w:hAnsi="宋体" w:cs="宋体"/>
        </w:rPr>
        <w:t>三月三日祭扫祖坟，全村男丁一齐去（女不去）。</w:t>
      </w:r>
    </w:p>
    <w:p w14:paraId="60746E43">
      <w:pPr>
        <w:ind w:firstLine="420"/>
        <w:rPr>
          <w:rFonts w:ascii="宋体" w:hAnsi="宋体" w:cs="宋体"/>
        </w:rPr>
      </w:pPr>
      <w:r>
        <w:rPr>
          <w:rFonts w:hint="eastAsia" w:ascii="宋体" w:hAnsi="宋体" w:cs="宋体"/>
        </w:rPr>
        <w:t>五月初五端午节。</w:t>
      </w:r>
    </w:p>
    <w:p w14:paraId="6CE5082D">
      <w:pPr>
        <w:ind w:firstLine="420"/>
        <w:rPr>
          <w:rFonts w:ascii="宋体" w:hAnsi="宋体" w:cs="宋体"/>
        </w:rPr>
      </w:pPr>
      <w:r>
        <w:rPr>
          <w:rFonts w:hint="eastAsia" w:ascii="宋体" w:hAnsi="宋体" w:cs="宋体"/>
        </w:rPr>
        <w:t>六月六日土地伯节，晒族谱。</w:t>
      </w:r>
    </w:p>
    <w:p w14:paraId="6E936A04">
      <w:pPr>
        <w:ind w:firstLine="420"/>
        <w:rPr>
          <w:rFonts w:ascii="宋体" w:hAnsi="宋体" w:cs="宋体"/>
        </w:rPr>
      </w:pPr>
      <w:r>
        <w:rPr>
          <w:rFonts w:hint="eastAsia" w:ascii="宋体" w:hAnsi="宋体" w:cs="宋体"/>
        </w:rPr>
        <w:t>七月十五中元节。</w:t>
      </w:r>
    </w:p>
    <w:p w14:paraId="38BE8156">
      <w:pPr>
        <w:ind w:firstLine="420"/>
        <w:rPr>
          <w:rFonts w:ascii="宋体" w:hAnsi="宋体" w:cs="宋体"/>
        </w:rPr>
      </w:pPr>
      <w:r>
        <w:rPr>
          <w:rFonts w:hint="eastAsia" w:ascii="宋体" w:hAnsi="宋体" w:cs="宋体"/>
        </w:rPr>
        <w:t>八月十六中秋节。</w:t>
      </w:r>
    </w:p>
    <w:p w14:paraId="37981C7C">
      <w:pPr>
        <w:ind w:firstLine="420"/>
        <w:rPr>
          <w:rFonts w:ascii="宋体" w:hAnsi="宋体" w:cs="宋体"/>
        </w:rPr>
      </w:pPr>
      <w:r>
        <w:rPr>
          <w:rFonts w:hint="eastAsia" w:ascii="宋体" w:hAnsi="宋体" w:cs="宋体"/>
        </w:rPr>
        <w:t>九月九重阳节。</w:t>
      </w:r>
    </w:p>
    <w:p w14:paraId="75B3C829">
      <w:pPr>
        <w:ind w:firstLine="420"/>
        <w:rPr>
          <w:rFonts w:ascii="宋体" w:hAnsi="宋体" w:cs="宋体"/>
        </w:rPr>
      </w:pPr>
      <w:r>
        <w:rPr>
          <w:rFonts w:hint="eastAsia" w:ascii="宋体" w:hAnsi="宋体" w:cs="宋体"/>
        </w:rPr>
        <w:t>九月十九观音节。</w:t>
      </w:r>
    </w:p>
    <w:p w14:paraId="5771E573">
      <w:pPr>
        <w:ind w:firstLine="420"/>
        <w:rPr>
          <w:rFonts w:ascii="宋体" w:hAnsi="宋体" w:cs="宋体"/>
        </w:rPr>
      </w:pPr>
      <w:r>
        <w:rPr>
          <w:rFonts w:hint="eastAsia" w:ascii="宋体" w:hAnsi="宋体" w:cs="宋体"/>
        </w:rPr>
        <w:t>十月十三拜老爷节。</w:t>
      </w:r>
    </w:p>
    <w:p w14:paraId="01E5914C">
      <w:pPr>
        <w:ind w:firstLine="420"/>
        <w:rPr>
          <w:rFonts w:ascii="宋体" w:hAnsi="宋体" w:cs="宋体"/>
        </w:rPr>
      </w:pPr>
      <w:r>
        <w:rPr>
          <w:rFonts w:hint="eastAsia" w:ascii="宋体" w:hAnsi="宋体" w:cs="宋体"/>
        </w:rPr>
        <w:t>十一月冬至节。</w:t>
      </w:r>
    </w:p>
    <w:p w14:paraId="2CB16A91">
      <w:pPr>
        <w:ind w:firstLine="420"/>
        <w:rPr>
          <w:rFonts w:ascii="宋体" w:hAnsi="宋体" w:cs="宋体"/>
        </w:rPr>
      </w:pPr>
      <w:r>
        <w:rPr>
          <w:rFonts w:hint="eastAsia" w:ascii="宋体" w:hAnsi="宋体" w:cs="宋体"/>
        </w:rPr>
        <w:t>我县蓝姓的祖先过去头上扎红巾，身缠红腰带，在神堂上还挂有一条龙头拐杖。这条拐杖只能老一辈或族长才能使用，其他人不能动。如有违反族规，族长拿龙头拐杖来打人，父母及其他人不敢出声。</w:t>
      </w:r>
    </w:p>
    <w:p w14:paraId="1C39933D">
      <w:pPr>
        <w:ind w:firstLine="422"/>
        <w:rPr>
          <w:rFonts w:ascii="宋体" w:hAnsi="宋体" w:cs="宋体"/>
          <w:b/>
          <w:bCs/>
        </w:rPr>
      </w:pPr>
      <w:r>
        <w:rPr>
          <w:rFonts w:hint="eastAsia" w:ascii="宋体" w:hAnsi="宋体" w:cs="宋体"/>
          <w:b/>
          <w:bCs/>
        </w:rPr>
        <w:t>五、我县蓝姓的概况</w:t>
      </w:r>
    </w:p>
    <w:p w14:paraId="4B44156C">
      <w:pPr>
        <w:ind w:firstLine="420"/>
        <w:rPr>
          <w:rFonts w:ascii="宋体" w:hAnsi="宋体" w:cs="宋体"/>
        </w:rPr>
      </w:pPr>
      <w:r>
        <w:rPr>
          <w:rFonts w:hint="eastAsia" w:ascii="宋体" w:hAnsi="宋体" w:cs="宋体"/>
        </w:rPr>
        <w:t>经调查证实我县蓝姓始祖由洪武元年（公元1368年）从福建上杭迁入至今有610多年。念五郎（克昌）生七子，长子传泰，三子传嵩、五子传恒，六子传清，四兄弟由闽远途迁徙江西赣南各地。长子传泰迁入信丰县赤土（正平），三子迁入龙下（龙南），五子迁入安息，六子迁入杨坊（古陂），二、四、七子仍居闽。克昌长子传泰下传先灏蓝永斌，永斌生四子有程规、程矩、程方、程员，徙居保昌（南雄）分别移居信丰球狮，南雄黄坑的下坝、许村，界址的天心坝，乌迳的黄泥塘、鹁鸪洞、大口塘，大塘的毛狗湾，邓坊的交椅山（杨梅）、邓坊村等地。克昌的三子传嵩生先显，先显生四子（永瑶、永琚、永玖、永琅），永瑶是信丰徙居保昌（南雄）泷下。这些记载查阅信丰、安远《蓝氏族谱》和我县《蓝氏族谱》都是一致的，历代源流相同。</w:t>
      </w:r>
    </w:p>
    <w:p w14:paraId="3BC10174">
      <w:pPr>
        <w:ind w:firstLine="420"/>
        <w:rPr>
          <w:rFonts w:ascii="宋体" w:hAnsi="宋体" w:cs="宋体"/>
        </w:rPr>
      </w:pPr>
      <w:r>
        <w:rPr>
          <w:rFonts w:hint="eastAsia" w:ascii="宋体" w:hAnsi="宋体" w:cs="宋体"/>
        </w:rPr>
        <w:t>由于蓝姓始祖从信丰迁徙南雄至今已有400多年的历史，全县分布13个乡镇，33个自然村，有484户，2770多人（县城机关未统计）。随着历史流逝，我县蓝姓无论是生活习惯，婚丧嫁娶，还是服装穿戴或语言，在历史漫长岁月中已与汉族人民长期杂居在一起，其原来畬族的风俗习惯特点，都逐渐消失或改变，与汉族人民融合一体，毫无异端。</w:t>
      </w:r>
    </w:p>
    <w:p w14:paraId="09ED5443">
      <w:pPr>
        <w:ind w:firstLine="420"/>
        <w:rPr>
          <w:rFonts w:ascii="宋体" w:hAnsi="宋体" w:cs="宋体"/>
        </w:rPr>
      </w:pPr>
      <w:r>
        <w:rPr>
          <w:rFonts w:hint="eastAsia" w:ascii="宋体" w:hAnsi="宋体" w:cs="宋体"/>
        </w:rPr>
        <w:t>综上所述，我们认为，我县蓝姓与福建上杭、长汀、罗源及江西寻邬、安远、信丰蓝姓属同一族宗，一脉相承，都是昌奇的嗣裔，《蓝氏族谱》均有记载，其蓝姓堂名派辈又相同，这就证明我县蓝姓属畲族是毫无疑义的。我县蓝姓部分群众要求恢复畲族的理由是充分的。遵照党的民族政策和实事求是的原则，根据上级有关恢复或改正民族成分的通知精神，请县政府讨论决定，报呈上级民委审批，这对于加强各族人民的大团结，调动一切积极因素，振兴南雄，加速四化建设是有利的。</w:t>
      </w:r>
    </w:p>
    <w:p w14:paraId="3124DDE3">
      <w:pPr>
        <w:ind w:firstLine="420"/>
        <w:rPr>
          <w:rFonts w:ascii="宋体" w:hAnsi="宋体" w:cs="宋体"/>
        </w:rPr>
      </w:pPr>
      <w:r>
        <w:rPr>
          <w:rFonts w:hint="eastAsia" w:ascii="宋体" w:hAnsi="宋体" w:cs="宋体"/>
        </w:rPr>
        <w:t>以上报告当否，请批示。</w:t>
      </w:r>
    </w:p>
    <w:p w14:paraId="7B638A83">
      <w:pPr>
        <w:ind w:firstLine="420"/>
        <w:jc w:val="right"/>
        <w:rPr>
          <w:rFonts w:ascii="宋体" w:hAnsi="宋体" w:cs="宋体"/>
        </w:rPr>
      </w:pPr>
      <w:r>
        <w:rPr>
          <w:rFonts w:hint="eastAsia" w:ascii="宋体" w:hAnsi="宋体" w:cs="宋体"/>
        </w:rPr>
        <w:t>联合调查组</w:t>
      </w:r>
    </w:p>
    <w:p w14:paraId="42827B3B">
      <w:pPr>
        <w:ind w:firstLine="420"/>
        <w:jc w:val="right"/>
        <w:rPr>
          <w:rFonts w:ascii="宋体" w:hAnsi="宋体" w:cs="宋体"/>
        </w:rPr>
      </w:pPr>
      <w:r>
        <w:rPr>
          <w:rFonts w:hint="eastAsia" w:ascii="宋体" w:hAnsi="宋体" w:cs="宋体"/>
        </w:rPr>
        <w:t>1987年7月6日</w:t>
      </w:r>
    </w:p>
    <w:p w14:paraId="390AB870">
      <w:pPr>
        <w:ind w:firstLine="422"/>
        <w:jc w:val="center"/>
        <w:rPr>
          <w:rFonts w:ascii="宋体" w:hAnsi="宋体" w:cs="宋体"/>
          <w:b/>
          <w:bCs/>
        </w:rPr>
      </w:pPr>
      <w:r>
        <w:rPr>
          <w:rFonts w:hint="eastAsia" w:ascii="宋体" w:hAnsi="宋体" w:cs="宋体"/>
          <w:b/>
          <w:bCs/>
        </w:rPr>
        <w:t>广东省韶关市民族事务委员会</w:t>
      </w:r>
    </w:p>
    <w:p w14:paraId="783B0D69">
      <w:pPr>
        <w:ind w:firstLine="422"/>
        <w:jc w:val="center"/>
        <w:rPr>
          <w:rFonts w:ascii="宋体" w:hAnsi="宋体" w:cs="宋体"/>
          <w:b/>
          <w:bCs/>
        </w:rPr>
      </w:pPr>
      <w:r>
        <w:rPr>
          <w:rFonts w:hint="eastAsia" w:ascii="宋体" w:hAnsi="宋体" w:cs="宋体"/>
          <w:b/>
          <w:bCs/>
        </w:rPr>
        <w:t>关于恢复雷姓群众为畲族的批复</w:t>
      </w:r>
    </w:p>
    <w:p w14:paraId="015A0283">
      <w:pPr>
        <w:ind w:firstLine="420"/>
        <w:rPr>
          <w:rFonts w:ascii="宋体" w:hAnsi="宋体" w:cs="宋体"/>
        </w:rPr>
      </w:pPr>
      <w:r>
        <w:rPr>
          <w:rFonts w:hint="eastAsia" w:ascii="宋体" w:hAnsi="宋体" w:cs="宋体"/>
        </w:rPr>
        <w:t>南雄县人民政府：</w:t>
      </w:r>
    </w:p>
    <w:p w14:paraId="45C9BD59">
      <w:pPr>
        <w:ind w:firstLine="420"/>
        <w:rPr>
          <w:rFonts w:ascii="宋体" w:hAnsi="宋体" w:cs="宋体"/>
        </w:rPr>
      </w:pPr>
      <w:r>
        <w:rPr>
          <w:rFonts w:hint="eastAsia" w:ascii="宋体" w:hAnsi="宋体" w:cs="宋体"/>
        </w:rPr>
        <w:t>你县雄府（1987）158号《关于恢复我县部分雷姓群众为畲族的请示》及雷姓的调查报告收悉。</w:t>
      </w:r>
    </w:p>
    <w:p w14:paraId="57BCA28B">
      <w:pPr>
        <w:ind w:firstLine="420"/>
        <w:rPr>
          <w:rFonts w:ascii="宋体" w:hAnsi="宋体" w:cs="宋体"/>
        </w:rPr>
      </w:pPr>
      <w:r>
        <w:rPr>
          <w:rFonts w:hint="eastAsia" w:ascii="宋体" w:hAnsi="宋体" w:cs="宋体"/>
        </w:rPr>
        <w:t>经我委调查核实，认为你县提出恢复雷姓群众为畲族的依据，比较充分，证据确凿，同意认定你县雷姓部分群众为畲族，请你们组织人力，认真做好更改工作。</w:t>
      </w:r>
    </w:p>
    <w:p w14:paraId="486AF237">
      <w:pPr>
        <w:ind w:firstLine="420"/>
        <w:rPr>
          <w:rFonts w:ascii="宋体" w:hAnsi="宋体" w:cs="宋体"/>
        </w:rPr>
      </w:pPr>
      <w:r>
        <w:rPr>
          <w:rFonts w:hint="eastAsia" w:ascii="宋体" w:hAnsi="宋体" w:cs="宋体"/>
        </w:rPr>
        <w:t>此复</w:t>
      </w:r>
    </w:p>
    <w:p w14:paraId="67AC323D">
      <w:pPr>
        <w:ind w:firstLine="420"/>
        <w:jc w:val="right"/>
        <w:rPr>
          <w:rFonts w:ascii="宋体" w:hAnsi="宋体" w:cs="宋体"/>
        </w:rPr>
      </w:pPr>
      <w:r>
        <w:rPr>
          <w:rFonts w:hint="eastAsia" w:ascii="宋体" w:hAnsi="宋体" w:cs="宋体"/>
        </w:rPr>
        <w:t>韶关市民族事务委员会</w:t>
      </w:r>
    </w:p>
    <w:p w14:paraId="5F06C41E">
      <w:pPr>
        <w:ind w:firstLine="420"/>
        <w:jc w:val="right"/>
        <w:rPr>
          <w:rFonts w:ascii="宋体" w:hAnsi="宋体" w:cs="宋体"/>
        </w:rPr>
      </w:pPr>
      <w:r>
        <w:rPr>
          <w:rFonts w:hint="eastAsia" w:ascii="宋体" w:hAnsi="宋体" w:cs="宋体"/>
        </w:rPr>
        <w:t>1988年2月4日</w:t>
      </w:r>
    </w:p>
    <w:p w14:paraId="76D20306">
      <w:pPr>
        <w:ind w:firstLine="422"/>
        <w:jc w:val="center"/>
        <w:rPr>
          <w:rFonts w:ascii="宋体" w:hAnsi="宋体" w:cs="宋体"/>
          <w:b/>
          <w:bCs/>
        </w:rPr>
      </w:pPr>
      <w:r>
        <w:rPr>
          <w:rFonts w:hint="eastAsia" w:ascii="宋体" w:hAnsi="宋体" w:cs="宋体"/>
          <w:b/>
          <w:bCs/>
        </w:rPr>
        <w:t>南雄县人民政府</w:t>
      </w:r>
    </w:p>
    <w:p w14:paraId="1271C3D7">
      <w:pPr>
        <w:ind w:firstLine="422"/>
        <w:jc w:val="center"/>
        <w:rPr>
          <w:rFonts w:ascii="宋体" w:hAnsi="宋体" w:cs="宋体"/>
          <w:b/>
          <w:bCs/>
        </w:rPr>
      </w:pPr>
      <w:r>
        <w:rPr>
          <w:rFonts w:hint="eastAsia" w:ascii="宋体" w:hAnsi="宋体" w:cs="宋体"/>
          <w:b/>
          <w:bCs/>
        </w:rPr>
        <w:t>关于要求恢复我县部分雷姓群众为畲族的请示</w:t>
      </w:r>
    </w:p>
    <w:p w14:paraId="214EC54E">
      <w:pPr>
        <w:ind w:firstLine="420"/>
        <w:rPr>
          <w:rFonts w:ascii="宋体" w:hAnsi="宋体" w:cs="宋体"/>
        </w:rPr>
      </w:pPr>
      <w:r>
        <w:rPr>
          <w:rFonts w:hint="eastAsia" w:ascii="宋体" w:hAnsi="宋体" w:cs="宋体"/>
        </w:rPr>
        <w:t>韶关市民族事务委员会：</w:t>
      </w:r>
    </w:p>
    <w:p w14:paraId="5B8CBC65">
      <w:pPr>
        <w:ind w:firstLine="420"/>
        <w:rPr>
          <w:rFonts w:ascii="宋体" w:hAnsi="宋体" w:cs="宋体"/>
        </w:rPr>
      </w:pPr>
      <w:r>
        <w:rPr>
          <w:rFonts w:hint="eastAsia" w:ascii="宋体" w:hAnsi="宋体" w:cs="宋体"/>
        </w:rPr>
        <w:t>最近，我县雷姓群众多次要求恢复为畲族，为此，县政府决定由县政府办公室、统战部、政协办组成联合调查组，从11月开展工作，经过一个月的调查，已证实我县雷姓部分群众与江西兴国、大余、崇义、信丰、龙南、福建罗源畲族雷姓属同一宗族，一脉相承，都是雷焕公嗣裔。经讨论同意认定我县雷姓部分群众为畲族。专此请示，请审批。</w:t>
      </w:r>
    </w:p>
    <w:p w14:paraId="433AFAA1">
      <w:pPr>
        <w:ind w:firstLine="420"/>
        <w:rPr>
          <w:rFonts w:ascii="宋体" w:hAnsi="宋体" w:cs="宋体"/>
        </w:rPr>
      </w:pPr>
      <w:r>
        <w:rPr>
          <w:rFonts w:hint="eastAsia" w:ascii="宋体" w:hAnsi="宋体" w:cs="宋体"/>
        </w:rPr>
        <w:t>附：关于我县雷姓部分群众要求恢复畲族的调查报告。</w:t>
      </w:r>
    </w:p>
    <w:p w14:paraId="43478399">
      <w:pPr>
        <w:ind w:firstLine="420"/>
        <w:jc w:val="right"/>
        <w:rPr>
          <w:rFonts w:ascii="宋体" w:hAnsi="宋体" w:cs="宋体"/>
        </w:rPr>
      </w:pPr>
      <w:r>
        <w:rPr>
          <w:rFonts w:hint="eastAsia" w:ascii="宋体" w:hAnsi="宋体" w:cs="宋体"/>
        </w:rPr>
        <w:t>1987年12月21日</w:t>
      </w:r>
    </w:p>
    <w:p w14:paraId="7C27B36A">
      <w:pPr>
        <w:ind w:firstLine="422"/>
        <w:jc w:val="center"/>
        <w:rPr>
          <w:rFonts w:ascii="宋体" w:hAnsi="宋体" w:cs="宋体"/>
          <w:b/>
          <w:bCs/>
        </w:rPr>
      </w:pPr>
      <w:r>
        <w:rPr>
          <w:rFonts w:hint="eastAsia" w:ascii="宋体" w:hAnsi="宋体" w:cs="宋体"/>
          <w:b/>
          <w:bCs/>
        </w:rPr>
        <w:t>关于我县雷姓部分群众要求恢复畲族的调查报告</w:t>
      </w:r>
    </w:p>
    <w:p w14:paraId="19433B52">
      <w:pPr>
        <w:ind w:firstLine="420"/>
        <w:rPr>
          <w:rFonts w:ascii="宋体" w:hAnsi="宋体" w:cs="宋体"/>
        </w:rPr>
      </w:pPr>
      <w:r>
        <w:rPr>
          <w:rFonts w:hint="eastAsia" w:ascii="宋体" w:hAnsi="宋体" w:cs="宋体"/>
        </w:rPr>
        <w:t>我县各乡（镇）雷姓群众多次要求恢复为畬族。根据群众要求，由政府办、统战部，政协办组成联合调查组，前往江西兴国县、福建罗源及潮州市、始兴等县进行为期一个月的调查，通过查阅有关资料，以及召开座谈会，基本上弄清了我县雷姓的历史，现将调查报告如下：</w:t>
      </w:r>
    </w:p>
    <w:p w14:paraId="2D6B166F">
      <w:pPr>
        <w:numPr>
          <w:ilvl w:val="0"/>
          <w:numId w:val="2"/>
        </w:numPr>
        <w:ind w:firstLine="422"/>
        <w:rPr>
          <w:rFonts w:ascii="宋体" w:hAnsi="宋体" w:cs="宋体"/>
          <w:b/>
          <w:bCs/>
        </w:rPr>
      </w:pPr>
      <w:r>
        <w:rPr>
          <w:rFonts w:hint="eastAsia" w:ascii="宋体" w:hAnsi="宋体" w:cs="宋体"/>
          <w:b/>
          <w:bCs/>
        </w:rPr>
        <w:t>历史源流</w:t>
      </w:r>
    </w:p>
    <w:p w14:paraId="55E72F08">
      <w:pPr>
        <w:ind w:firstLine="420"/>
        <w:rPr>
          <w:rFonts w:ascii="宋体" w:hAnsi="宋体" w:cs="宋体"/>
        </w:rPr>
      </w:pPr>
      <w:r>
        <w:rPr>
          <w:rFonts w:hint="eastAsia" w:ascii="宋体" w:hAnsi="宋体" w:cs="宋体"/>
        </w:rPr>
        <w:t>我县雷姓在民间都有盘瓠传说和族称。据我县雷姓群众传说，盘、蓝、雷都是同胞兄弟。传说以前有一个皇帝叫高辛帝，夫人耳痛三年取出一物，后来变成龙狗在皇宫收养。那时番兵入侵，高辛帝为了对付番兵入侵，发出榜词说：“谁斩掉番王头回来，就将三公主嫁给谁”。后来龙狗揭榜，表示去杀番王头。龙狗一去有半个月，果将番王头拿回来。高辛帝大喜，说龙狗有功，表示庆贺。高辛帝问龙狗：“你可以变成人？”龙狗说：“只要七天七夜可变成人。”龙狗化身过了七天六夜，三公主怕龙狗饿死，偷偷地看他，结果狗头不能变了，成了狗头人身像。遂择吉日成亲。婚后，高辛帝划给一块地叫冯翊郡。因此我雷姓堂名叫“冯翊堂”。三公主生下三男一女，长子盘装着，即授予盘姓，次子提蓝即授予蓝姓，三子遇雷鸣，即授予雷姓，女儿取钟姓为丈夫即授予钟姓。此即畲族四姓来由。我们调查有关盘瓠的传说，与江西兴国县均村乡高溪村和长岗乡仁塘畲族村，尚保存祖图，和宁熙宁十年（公元1077年）《雷氏族谱》记载盘蓝雷姓氏出生源流传，记载有盘瓠的传说。从祖图画面上的内容来看，与我县雷姓流传的说法基本内容相同。</w:t>
      </w:r>
    </w:p>
    <w:p w14:paraId="00285510">
      <w:pPr>
        <w:ind w:firstLine="422"/>
        <w:rPr>
          <w:rFonts w:ascii="宋体" w:hAnsi="宋体" w:cs="宋体"/>
          <w:b/>
          <w:bCs/>
        </w:rPr>
      </w:pPr>
      <w:r>
        <w:rPr>
          <w:rFonts w:hint="eastAsia" w:ascii="宋体" w:hAnsi="宋体" w:cs="宋体"/>
          <w:b/>
          <w:bCs/>
        </w:rPr>
        <w:t>二、堂名相同</w:t>
      </w:r>
    </w:p>
    <w:p w14:paraId="669F3D43">
      <w:pPr>
        <w:ind w:firstLine="420"/>
        <w:rPr>
          <w:rFonts w:ascii="宋体" w:hAnsi="宋体" w:cs="宋体"/>
        </w:rPr>
      </w:pPr>
      <w:r>
        <w:rPr>
          <w:rFonts w:hint="eastAsia" w:ascii="宋体" w:hAnsi="宋体" w:cs="宋体"/>
        </w:rPr>
        <w:t>我县雷姓堂名“冯翊堂”，与江西兴国、福建罗源、潮州市、始兴县雷姓堂名一脉相承。我们调查江西兴国均村乡高溪畲族村均为“冯翊堂”。福建罗源松山八井畬族村均为“冯翊堂”。我县邓坊乡赤石村雷姓大厅神堂上，神祖牌上方刻有“冯翊堂”三个字。族谱箱刻有“冯翊堂”三个字。始兴顿岗镇乌泥塘村雷氏祠堂有一只鉎铸香炉，四只脚都有四个人头像的标志，代表畲族四姓（盘、蓝、雷、钟），从这些实物证明雷姓是畲族的主要姓氏之一。</w:t>
      </w:r>
    </w:p>
    <w:p w14:paraId="083D5091">
      <w:pPr>
        <w:ind w:firstLine="422"/>
        <w:rPr>
          <w:rFonts w:ascii="宋体" w:hAnsi="宋体" w:cs="宋体"/>
          <w:b/>
          <w:bCs/>
        </w:rPr>
      </w:pPr>
      <w:r>
        <w:rPr>
          <w:rFonts w:hint="eastAsia" w:ascii="宋体" w:hAnsi="宋体" w:cs="宋体"/>
          <w:b/>
          <w:bCs/>
        </w:rPr>
        <w:t>三、字辈排列相同</w:t>
      </w:r>
    </w:p>
    <w:p w14:paraId="67416AF6">
      <w:pPr>
        <w:ind w:firstLine="420"/>
        <w:rPr>
          <w:rFonts w:ascii="宋体" w:hAnsi="宋体" w:cs="宋体"/>
        </w:rPr>
      </w:pPr>
      <w:r>
        <w:rPr>
          <w:rFonts w:hint="eastAsia" w:ascii="宋体" w:hAnsi="宋体" w:cs="宋体"/>
        </w:rPr>
        <w:t>从查阅《浙江建德志》卷三，《土记》记载……相传雷姓分大、小、百、千、万为行次，周而复始，蓝姓则分大、小、百、千、万、念为行次，较雷姓多一“念”字。从雷焕公为鼻祖为一世祖，至开宪为二十世，又下传至三十世均依照大、小、百、千、万为行次排辈取名。但自从闽迁徙江西龙南后，因受汉族影响，已另择世派字排辈。奉念肇春为我县雷姓始祖，以五言及七言诗体形式派行排辈而取名。我县雷氏排辈与江西兴国、大余、崇义县以及始兴县都是一致的，同一版本。福建罗源松山乡八井畬族村雷姓都是雷焕公的嗣裔，与我县雷姓同宗共祖。</w:t>
      </w:r>
    </w:p>
    <w:p w14:paraId="69F28E6B">
      <w:pPr>
        <w:ind w:firstLine="422"/>
        <w:rPr>
          <w:rFonts w:ascii="宋体" w:hAnsi="宋体" w:cs="宋体"/>
          <w:b/>
          <w:bCs/>
        </w:rPr>
      </w:pPr>
      <w:r>
        <w:rPr>
          <w:rFonts w:hint="eastAsia" w:ascii="宋体" w:hAnsi="宋体" w:cs="宋体"/>
          <w:b/>
          <w:bCs/>
        </w:rPr>
        <w:t>四、风俗习惯</w:t>
      </w:r>
    </w:p>
    <w:p w14:paraId="0444DC4A">
      <w:pPr>
        <w:ind w:firstLine="420"/>
        <w:rPr>
          <w:rFonts w:ascii="宋体" w:hAnsi="宋体" w:cs="宋体"/>
        </w:rPr>
      </w:pPr>
      <w:r>
        <w:rPr>
          <w:rFonts w:hint="eastAsia" w:ascii="宋体" w:hAnsi="宋体" w:cs="宋体"/>
        </w:rPr>
        <w:t>雷姓从祖辈就禁止吃狗肉，因祖先是狗头王，有禁止吃狗肉的族规，不准骂狗，如有违反会受到家族严处，狗死了还要送葬，为纪念祖先。</w:t>
      </w:r>
    </w:p>
    <w:p w14:paraId="32D5F07E">
      <w:pPr>
        <w:ind w:firstLine="420"/>
        <w:rPr>
          <w:rFonts w:ascii="宋体" w:hAnsi="宋体" w:cs="宋体"/>
        </w:rPr>
      </w:pPr>
      <w:r>
        <w:rPr>
          <w:rFonts w:hint="eastAsia" w:ascii="宋体" w:hAnsi="宋体" w:cs="宋体"/>
        </w:rPr>
        <w:t>民国17年以前老一辈的人头上扎红巾，身穿大襟衫，扎脚绑。民国18年（公元1929年）在锦陂村成立苏维埃政府，成为苏区活动中心，以后曾几次遭到国民党反动派破坏，杀人放火，烧掉不少民房，从此以后民族服装就失传了。</w:t>
      </w:r>
    </w:p>
    <w:p w14:paraId="553725C1">
      <w:pPr>
        <w:ind w:firstLine="420"/>
        <w:rPr>
          <w:rFonts w:ascii="宋体" w:hAnsi="宋体" w:cs="宋体"/>
        </w:rPr>
      </w:pPr>
      <w:r>
        <w:rPr>
          <w:rFonts w:hint="eastAsia" w:ascii="宋体" w:hAnsi="宋体" w:cs="宋体"/>
        </w:rPr>
        <w:t>语言方面，老一辈的人过去都说民族语言，有些青年人学当地话会受到长辈的批评，现还保留有一些畲族方言。</w:t>
      </w:r>
    </w:p>
    <w:p w14:paraId="04F28BD8">
      <w:pPr>
        <w:ind w:firstLine="420"/>
        <w:rPr>
          <w:rFonts w:ascii="宋体" w:hAnsi="宋体" w:cs="宋体"/>
        </w:rPr>
      </w:pPr>
      <w:r>
        <w:rPr>
          <w:rFonts w:hint="eastAsia" w:ascii="宋体" w:hAnsi="宋体" w:cs="宋体"/>
        </w:rPr>
        <w:t>十二月三十日祭祖。</w:t>
      </w:r>
    </w:p>
    <w:p w14:paraId="1AD94122">
      <w:pPr>
        <w:ind w:firstLine="420"/>
        <w:rPr>
          <w:rFonts w:ascii="宋体" w:hAnsi="宋体" w:cs="宋体"/>
        </w:rPr>
      </w:pPr>
      <w:r>
        <w:rPr>
          <w:rFonts w:hint="eastAsia" w:ascii="宋体" w:hAnsi="宋体" w:cs="宋体"/>
        </w:rPr>
        <w:t>三月三日对歌日。</w:t>
      </w:r>
    </w:p>
    <w:p w14:paraId="7B5452E2">
      <w:pPr>
        <w:ind w:firstLine="420"/>
        <w:rPr>
          <w:rFonts w:ascii="宋体" w:hAnsi="宋体" w:cs="宋体"/>
        </w:rPr>
      </w:pPr>
      <w:r>
        <w:rPr>
          <w:rFonts w:hint="eastAsia" w:ascii="宋体" w:hAnsi="宋体" w:cs="宋体"/>
        </w:rPr>
        <w:t>六月二十三日关爷节。</w:t>
      </w:r>
    </w:p>
    <w:p w14:paraId="0B1D51CB">
      <w:pPr>
        <w:ind w:firstLine="420"/>
        <w:rPr>
          <w:rFonts w:ascii="宋体" w:hAnsi="宋体" w:cs="宋体"/>
        </w:rPr>
      </w:pPr>
      <w:r>
        <w:rPr>
          <w:rFonts w:hint="eastAsia" w:ascii="宋体" w:hAnsi="宋体" w:cs="宋体"/>
        </w:rPr>
        <w:t>其他节日与汉族大致相同。</w:t>
      </w:r>
    </w:p>
    <w:p w14:paraId="0467359A">
      <w:pPr>
        <w:ind w:firstLine="422"/>
        <w:rPr>
          <w:rFonts w:ascii="宋体" w:hAnsi="宋体" w:cs="宋体"/>
          <w:b/>
          <w:bCs/>
        </w:rPr>
      </w:pPr>
      <w:r>
        <w:rPr>
          <w:rFonts w:hint="eastAsia" w:ascii="宋体" w:hAnsi="宋体" w:cs="宋体"/>
          <w:b/>
          <w:bCs/>
        </w:rPr>
        <w:t>五、雷氏源流迁系及我县雷姓概况：</w:t>
      </w:r>
    </w:p>
    <w:p w14:paraId="7AB79BB8">
      <w:pPr>
        <w:ind w:firstLine="420"/>
        <w:rPr>
          <w:rFonts w:ascii="宋体" w:hAnsi="宋体" w:cs="宋体"/>
        </w:rPr>
      </w:pPr>
      <w:r>
        <w:rPr>
          <w:rFonts w:hint="eastAsia" w:ascii="宋体" w:hAnsi="宋体" w:cs="宋体"/>
        </w:rPr>
        <w:t>鼻祖雷焕公，开宪，在元至正元年（公元1641年）祖居广东潮州府海阳县（今潮州市）凤凰山，因地狭人稠，于明洪武年间徙居漳州府漳平县永福里青溪头立业，生八子，繁衍又徙居漳州宁化。</w:t>
      </w:r>
    </w:p>
    <w:p w14:paraId="7E135B6F">
      <w:pPr>
        <w:ind w:firstLine="420"/>
        <w:rPr>
          <w:rFonts w:ascii="宋体" w:hAnsi="宋体" w:cs="宋体"/>
        </w:rPr>
      </w:pPr>
      <w:r>
        <w:rPr>
          <w:rFonts w:hint="eastAsia" w:ascii="宋体" w:hAnsi="宋体" w:cs="宋体"/>
        </w:rPr>
        <w:t>长子逃达，法名大郎，后裔分居连城、砹头，浙江遂昌、游龙，四川璧山。</w:t>
      </w:r>
    </w:p>
    <w:p w14:paraId="6B175394">
      <w:pPr>
        <w:ind w:firstLine="420"/>
        <w:rPr>
          <w:rFonts w:ascii="宋体" w:hAnsi="宋体" w:cs="宋体"/>
        </w:rPr>
      </w:pPr>
      <w:r>
        <w:rPr>
          <w:rFonts w:hint="eastAsia" w:ascii="宋体" w:hAnsi="宋体" w:cs="宋体"/>
        </w:rPr>
        <w:t>次子逃适，法名大二郎，生二子：肇春、肇基。</w:t>
      </w:r>
    </w:p>
    <w:p w14:paraId="506B88DD">
      <w:pPr>
        <w:ind w:firstLine="420"/>
        <w:rPr>
          <w:rFonts w:ascii="宋体" w:hAnsi="宋体" w:cs="宋体"/>
        </w:rPr>
      </w:pPr>
      <w:r>
        <w:rPr>
          <w:rFonts w:hint="eastAsia" w:ascii="宋体" w:hAnsi="宋体" w:cs="宋体"/>
        </w:rPr>
        <w:t>三子逃突，名大三郎，后裔分别徒居苏家陂、武平、长汀、平原山、福宁州，浙江龙游、兰溪、开化，四川璧山。</w:t>
      </w:r>
    </w:p>
    <w:p w14:paraId="414AB14E">
      <w:pPr>
        <w:ind w:firstLine="420"/>
        <w:rPr>
          <w:rFonts w:ascii="宋体" w:hAnsi="宋体" w:cs="宋体"/>
        </w:rPr>
      </w:pPr>
      <w:r>
        <w:rPr>
          <w:rFonts w:hint="eastAsia" w:ascii="宋体" w:hAnsi="宋体" w:cs="宋体"/>
        </w:rPr>
        <w:t>四子逃忽，名大四郎，居崇下柯树背，后裔徒居郭奢大坪岩、福宁州、江西于都、赣县、万安、上犹、龙泉、石城、会昌、宁都，浙江平洋、大顺、遂昌、黄岩、温州，湖广奕阳、衡山。</w:t>
      </w:r>
    </w:p>
    <w:p w14:paraId="3858C900">
      <w:pPr>
        <w:ind w:firstLine="420"/>
        <w:rPr>
          <w:rFonts w:ascii="宋体" w:hAnsi="宋体" w:cs="宋体"/>
        </w:rPr>
      </w:pPr>
      <w:r>
        <w:rPr>
          <w:rFonts w:hint="eastAsia" w:ascii="宋体" w:hAnsi="宋体" w:cs="宋体"/>
        </w:rPr>
        <w:t>五子逃夜，名大五郎，移居广东。</w:t>
      </w:r>
    </w:p>
    <w:p w14:paraId="62BB107C">
      <w:pPr>
        <w:ind w:firstLine="420"/>
        <w:rPr>
          <w:rFonts w:ascii="宋体" w:hAnsi="宋体" w:cs="宋体"/>
        </w:rPr>
      </w:pPr>
      <w:r>
        <w:rPr>
          <w:rFonts w:hint="eastAsia" w:ascii="宋体" w:hAnsi="宋体" w:cs="宋体"/>
        </w:rPr>
        <w:t>六子逃夏，名大六郎，居平安图、上杭、才溪，分居江西万安、安远、瑞金、浙江遂昌。</w:t>
      </w:r>
    </w:p>
    <w:p w14:paraId="0664FE24">
      <w:pPr>
        <w:ind w:firstLine="420"/>
        <w:rPr>
          <w:rFonts w:ascii="宋体" w:hAnsi="宋体" w:cs="宋体"/>
        </w:rPr>
      </w:pPr>
      <w:r>
        <w:rPr>
          <w:rFonts w:hint="eastAsia" w:ascii="宋体" w:hAnsi="宋体" w:cs="宋体"/>
        </w:rPr>
        <w:t>七子逃随，名大七郎，徙居广东。</w:t>
      </w:r>
    </w:p>
    <w:p w14:paraId="07C4B047">
      <w:pPr>
        <w:ind w:firstLine="420"/>
        <w:rPr>
          <w:rFonts w:ascii="宋体" w:hAnsi="宋体" w:cs="宋体"/>
        </w:rPr>
      </w:pPr>
      <w:r>
        <w:rPr>
          <w:rFonts w:hint="eastAsia" w:ascii="宋体" w:hAnsi="宋体" w:cs="宋体"/>
        </w:rPr>
        <w:t>八子逃騧，名大八郎，徙居广东。</w:t>
      </w:r>
    </w:p>
    <w:p w14:paraId="49357CDC">
      <w:pPr>
        <w:ind w:firstLine="420"/>
        <w:rPr>
          <w:rFonts w:ascii="宋体" w:hAnsi="宋体" w:cs="宋体"/>
        </w:rPr>
      </w:pPr>
      <w:r>
        <w:rPr>
          <w:rFonts w:hint="eastAsia" w:ascii="宋体" w:hAnsi="宋体" w:cs="宋体"/>
        </w:rPr>
        <w:t>肇春系逃适之子，为我县雷氏始祖，自福建上杭瓦子街迁居江西龙南滂坑立业，生八子：长子德隆，次子德安，三子德原，四子德龚，五子德忠，六子德贞，七子德川，八子德财，兄弟分别迁居。长子德隆居龙南滂坑，二子德安迁居南雄邓坊赤石、廖塘、大树坪，三子德原迁居黄坑、塘坑、大塘春头山、江西大余江古窝，四子德龚迁居珍珠村、锅洞村、晓村、甘堂，五子德忠迁居信丰石海村，六子德贞迁居乐昌、始兴深渡水、长尾村，七子德川迁居南雄黄坑小陂头、杨梅坑、暖水塘、新地坑、邓坊前坊、全安三枫、狮石、江虎眼山、乌鸦龙，八子德财迁居江西崇义塔子坝等地。这些记载查阅《雷氏族谱》与江西大余、崇义和始兴《雷氏族谱》记载都是一致的，同一版本，历代源流相同。</w:t>
      </w:r>
    </w:p>
    <w:p w14:paraId="3B392633">
      <w:pPr>
        <w:ind w:firstLine="420"/>
        <w:rPr>
          <w:rFonts w:ascii="宋体" w:hAnsi="宋体" w:cs="宋体"/>
        </w:rPr>
      </w:pPr>
      <w:r>
        <w:rPr>
          <w:rFonts w:hint="eastAsia" w:ascii="宋体" w:hAnsi="宋体" w:cs="宋体"/>
        </w:rPr>
        <w:t>由于雷氏始祖，从龙南迁徙南雄至今有400多年，分布10个乡（镇）27个自然村，有463户2004人。随着历史流逝，我县雷姓无论在生活习惯、婚丧嫁娶，还是服装穿戴或语言，在历史漫长岁月中已与汉族人民同化，其原来畬族的风俗习惯特点都逐渐消失或改变，与汉族人民融为一体，毫无差异。</w:t>
      </w:r>
    </w:p>
    <w:p w14:paraId="43C0B025">
      <w:pPr>
        <w:ind w:firstLine="420"/>
        <w:rPr>
          <w:rFonts w:ascii="宋体" w:hAnsi="宋体" w:cs="宋体"/>
        </w:rPr>
      </w:pPr>
      <w:r>
        <w:rPr>
          <w:rFonts w:hint="eastAsia" w:ascii="宋体" w:hAnsi="宋体" w:cs="宋体"/>
        </w:rPr>
        <w:t>综上所述，我们认为，我县雷姓与江西兴国、大余、崇义、信丰，福建罗源，始兴雷姓属同一族宗，一脉相承，都是雷焕公的嗣裔，《雷氏族谱》均有记载，还保留有木刻图腾，其雷姓堂名派辈又相同，这就证明我县雷姓属畲族是毫无疑义的。我县雷姓部分群众要求恢复畲族的理由是充分的。遵照党的民族政策和实事求是的原则，根据上级有关恢复或改正民族成份的通知精神，为加强各民族人民的大团结，调动一切积极因素，振兴南雄，加速四化建设，请县政府讨论决定，呈报上级民委审批。</w:t>
      </w:r>
    </w:p>
    <w:p w14:paraId="0EC49220">
      <w:pPr>
        <w:ind w:firstLine="420"/>
        <w:jc w:val="right"/>
        <w:rPr>
          <w:rFonts w:ascii="宋体" w:hAnsi="宋体" w:cs="宋体"/>
        </w:rPr>
      </w:pPr>
      <w:r>
        <w:rPr>
          <w:rFonts w:hint="eastAsia" w:ascii="宋体" w:hAnsi="宋体" w:cs="宋体"/>
        </w:rPr>
        <w:t>联合调查组</w:t>
      </w:r>
    </w:p>
    <w:p w14:paraId="3738632F">
      <w:pPr>
        <w:ind w:firstLine="420"/>
        <w:jc w:val="right"/>
        <w:rPr>
          <w:rFonts w:ascii="宋体" w:hAnsi="宋体" w:cs="宋体"/>
        </w:rPr>
      </w:pPr>
      <w:r>
        <w:rPr>
          <w:rFonts w:hint="eastAsia" w:ascii="宋体" w:hAnsi="宋体" w:cs="宋体"/>
        </w:rPr>
        <w:t>1987年12月14日</w:t>
      </w:r>
    </w:p>
    <w:p w14:paraId="38B04712">
      <w:pPr>
        <w:pStyle w:val="4"/>
        <w:rPr>
          <w:rFonts w:ascii="宋体" w:hAnsi="宋体" w:cs="宋体"/>
        </w:rPr>
      </w:pPr>
      <w:r>
        <w:rPr>
          <w:rFonts w:hint="eastAsia" w:ascii="宋体" w:hAnsi="宋体" w:cs="宋体"/>
        </w:rPr>
        <w:t>（四）珠玑巷后裔联谊会有关文件</w:t>
      </w:r>
    </w:p>
    <w:p w14:paraId="166D1E1A">
      <w:pPr>
        <w:ind w:firstLine="422"/>
        <w:jc w:val="center"/>
        <w:rPr>
          <w:rFonts w:ascii="宋体" w:hAnsi="宋体" w:cs="宋体"/>
          <w:b/>
          <w:bCs/>
        </w:rPr>
      </w:pPr>
      <w:r>
        <w:rPr>
          <w:rFonts w:hint="eastAsia" w:ascii="宋体" w:hAnsi="宋体" w:cs="宋体"/>
          <w:b/>
          <w:bCs/>
        </w:rPr>
        <w:t>广东南雄珠玑巷后裔联谊会章程</w:t>
      </w:r>
    </w:p>
    <w:p w14:paraId="0B8EDA5C">
      <w:pPr>
        <w:ind w:firstLine="422"/>
        <w:rPr>
          <w:rFonts w:ascii="宋体" w:hAnsi="宋体" w:cs="宋体"/>
          <w:b/>
          <w:bCs/>
        </w:rPr>
      </w:pPr>
      <w:r>
        <w:rPr>
          <w:rFonts w:hint="eastAsia" w:ascii="宋体" w:hAnsi="宋体" w:cs="宋体"/>
          <w:b/>
          <w:bCs/>
        </w:rPr>
        <w:t>第一章  定名</w:t>
      </w:r>
    </w:p>
    <w:p w14:paraId="18BEB1E5">
      <w:pPr>
        <w:ind w:firstLine="420"/>
        <w:rPr>
          <w:rFonts w:ascii="宋体" w:hAnsi="宋体" w:cs="宋体"/>
        </w:rPr>
      </w:pPr>
      <w:r>
        <w:rPr>
          <w:rFonts w:hint="eastAsia" w:ascii="宋体" w:hAnsi="宋体" w:cs="宋体"/>
        </w:rPr>
        <w:t>本会定名为“广东南雄珠玑巷后裔联谊会”。</w:t>
      </w:r>
    </w:p>
    <w:p w14:paraId="24F84520">
      <w:pPr>
        <w:ind w:firstLine="422"/>
        <w:rPr>
          <w:rFonts w:ascii="宋体" w:hAnsi="宋体" w:cs="宋体"/>
          <w:b/>
          <w:bCs/>
        </w:rPr>
      </w:pPr>
      <w:r>
        <w:rPr>
          <w:rFonts w:hint="eastAsia" w:ascii="宋体" w:hAnsi="宋体" w:cs="宋体"/>
          <w:b/>
          <w:bCs/>
        </w:rPr>
        <w:t>第二章  性质</w:t>
      </w:r>
    </w:p>
    <w:p w14:paraId="35264397">
      <w:pPr>
        <w:ind w:firstLine="420"/>
        <w:rPr>
          <w:rFonts w:ascii="宋体" w:hAnsi="宋体" w:cs="宋体"/>
        </w:rPr>
      </w:pPr>
      <w:r>
        <w:rPr>
          <w:rFonts w:hint="eastAsia" w:ascii="宋体" w:hAnsi="宋体" w:cs="宋体"/>
        </w:rPr>
        <w:t>本会是由广东南雄珠玑巷后裔组成的具有法人资格的民间团体。</w:t>
      </w:r>
    </w:p>
    <w:p w14:paraId="42497FB8">
      <w:pPr>
        <w:ind w:firstLine="422"/>
        <w:rPr>
          <w:rFonts w:ascii="宋体" w:hAnsi="宋体" w:cs="宋体"/>
          <w:b/>
          <w:bCs/>
        </w:rPr>
      </w:pPr>
      <w:r>
        <w:rPr>
          <w:rFonts w:hint="eastAsia" w:ascii="宋体" w:hAnsi="宋体" w:cs="宋体"/>
          <w:b/>
          <w:bCs/>
        </w:rPr>
        <w:t>第三章  宗旨</w:t>
      </w:r>
    </w:p>
    <w:p w14:paraId="7318E45A">
      <w:pPr>
        <w:ind w:firstLine="420"/>
        <w:rPr>
          <w:rFonts w:ascii="宋体" w:hAnsi="宋体" w:cs="宋体"/>
        </w:rPr>
      </w:pPr>
      <w:r>
        <w:rPr>
          <w:rFonts w:hint="eastAsia" w:ascii="宋体" w:hAnsi="宋体" w:cs="宋体"/>
        </w:rPr>
        <w:t>本会的宗旨是：弘扬祖德，维系桑梓，增进情谊，发展经济，振兴中华，造福社会。</w:t>
      </w:r>
    </w:p>
    <w:p w14:paraId="2D734200">
      <w:pPr>
        <w:ind w:firstLine="422"/>
        <w:rPr>
          <w:rFonts w:ascii="宋体" w:hAnsi="宋体" w:cs="宋体"/>
          <w:b/>
          <w:bCs/>
        </w:rPr>
      </w:pPr>
      <w:r>
        <w:rPr>
          <w:rFonts w:hint="eastAsia" w:ascii="宋体" w:hAnsi="宋体" w:cs="宋体"/>
          <w:b/>
          <w:bCs/>
        </w:rPr>
        <w:t>第四章  任务</w:t>
      </w:r>
    </w:p>
    <w:p w14:paraId="11AF5A88">
      <w:pPr>
        <w:ind w:firstLine="420"/>
        <w:rPr>
          <w:rFonts w:ascii="宋体" w:hAnsi="宋体" w:cs="宋体"/>
        </w:rPr>
      </w:pPr>
      <w:r>
        <w:rPr>
          <w:rFonts w:hint="eastAsia" w:ascii="宋体" w:hAnsi="宋体" w:cs="宋体"/>
        </w:rPr>
        <w:t>1.广泛团结海内外珠玑巷后裔，积极开展联谊活动，进一步激发后裔爱国爱乡热情，增强中华民族凝聚力。</w:t>
      </w:r>
    </w:p>
    <w:p w14:paraId="63737A81">
      <w:pPr>
        <w:ind w:firstLine="420"/>
        <w:rPr>
          <w:rFonts w:ascii="宋体" w:hAnsi="宋体" w:cs="宋体"/>
        </w:rPr>
      </w:pPr>
      <w:r>
        <w:rPr>
          <w:rFonts w:hint="eastAsia" w:ascii="宋体" w:hAnsi="宋体" w:cs="宋体"/>
        </w:rPr>
        <w:t>2.通过各种形式的联谊活动，进一步挖掘和弘扬“异姓一家，同舟共济，勤劳勇敢，开拓创新”的珠玑巷人精神，共商故乡建设良策，促进祖国繁荣昌盛，振兴中华，造福社会。</w:t>
      </w:r>
    </w:p>
    <w:p w14:paraId="7AE16E89">
      <w:pPr>
        <w:ind w:firstLine="420"/>
        <w:rPr>
          <w:rFonts w:ascii="宋体" w:hAnsi="宋体" w:cs="宋体"/>
        </w:rPr>
      </w:pPr>
      <w:r>
        <w:rPr>
          <w:rFonts w:hint="eastAsia" w:ascii="宋体" w:hAnsi="宋体" w:cs="宋体"/>
        </w:rPr>
        <w:t>3.加强海内外珠玑巷后裔的联系，为后裔回乡寻根问祖、探亲访友、观光旅游和投资置业提供各种服务。</w:t>
      </w:r>
    </w:p>
    <w:p w14:paraId="45764778">
      <w:pPr>
        <w:ind w:firstLine="420"/>
        <w:rPr>
          <w:rFonts w:ascii="宋体" w:hAnsi="宋体" w:cs="宋体"/>
        </w:rPr>
      </w:pPr>
      <w:r>
        <w:rPr>
          <w:rFonts w:hint="eastAsia" w:ascii="宋体" w:hAnsi="宋体" w:cs="宋体"/>
        </w:rPr>
        <w:t>4.广泛征集和整理珠玑巷的历史资料，编辑出版《南雄珠玑巷丛书》，开展学术交流和信息交流，弘扬中华文化，为促进中华文化与世界各国文化交流作出贡献。</w:t>
      </w:r>
    </w:p>
    <w:p w14:paraId="0975E566">
      <w:pPr>
        <w:ind w:firstLine="420"/>
        <w:rPr>
          <w:rFonts w:ascii="宋体" w:hAnsi="宋体" w:cs="宋体"/>
        </w:rPr>
      </w:pPr>
      <w:r>
        <w:rPr>
          <w:rFonts w:hint="eastAsia" w:ascii="宋体" w:hAnsi="宋体" w:cs="宋体"/>
        </w:rPr>
        <w:t>5.筹集修复珠玑古巷资金，修复珠玑古巷，使之容光焕发，成为集寻根、怀旧、思乡、敬祖、观光、经贸为一体的世界性旅游胜地，繁荣经济，富裕人民，再创珠玑辉煌。</w:t>
      </w:r>
    </w:p>
    <w:p w14:paraId="690B1292">
      <w:pPr>
        <w:ind w:firstLine="422"/>
        <w:rPr>
          <w:rFonts w:ascii="宋体" w:hAnsi="宋体" w:cs="宋体"/>
          <w:b/>
          <w:bCs/>
        </w:rPr>
      </w:pPr>
      <w:r>
        <w:rPr>
          <w:rFonts w:hint="eastAsia" w:ascii="宋体" w:hAnsi="宋体" w:cs="宋体"/>
          <w:b/>
          <w:bCs/>
        </w:rPr>
        <w:t>第五章  会员</w:t>
      </w:r>
    </w:p>
    <w:p w14:paraId="46207CBB">
      <w:pPr>
        <w:ind w:firstLine="420"/>
        <w:rPr>
          <w:rFonts w:ascii="宋体" w:hAnsi="宋体" w:cs="宋体"/>
        </w:rPr>
      </w:pPr>
      <w:r>
        <w:rPr>
          <w:rFonts w:hint="eastAsia" w:ascii="宋体" w:hAnsi="宋体" w:cs="宋体"/>
        </w:rPr>
        <w:t>1.凡珠玑巷后裔，承认本会章程，即可成为本会成员。</w:t>
      </w:r>
    </w:p>
    <w:p w14:paraId="583D73CA">
      <w:pPr>
        <w:ind w:firstLine="420"/>
        <w:rPr>
          <w:rFonts w:ascii="宋体" w:hAnsi="宋体" w:cs="宋体"/>
        </w:rPr>
      </w:pPr>
      <w:r>
        <w:rPr>
          <w:rFonts w:hint="eastAsia" w:ascii="宋体" w:hAnsi="宋体" w:cs="宋体"/>
        </w:rPr>
        <w:t>2.港澳台及每个以珠玑巷后裔为主体的各种同乡会、宗亲会以及其他团体，承认本会章程，可列为本会的团体会员。</w:t>
      </w:r>
    </w:p>
    <w:p w14:paraId="76513AFE">
      <w:pPr>
        <w:ind w:firstLine="420"/>
        <w:rPr>
          <w:rFonts w:ascii="宋体" w:hAnsi="宋体" w:cs="宋体"/>
        </w:rPr>
      </w:pPr>
      <w:r>
        <w:rPr>
          <w:rFonts w:hint="eastAsia" w:ascii="宋体" w:hAnsi="宋体" w:cs="宋体"/>
        </w:rPr>
        <w:t>3.会员有遵守本会章程、执行本会决议，积极开展工作的义务。</w:t>
      </w:r>
    </w:p>
    <w:p w14:paraId="6FF15C93">
      <w:pPr>
        <w:ind w:firstLine="420"/>
        <w:rPr>
          <w:rFonts w:ascii="宋体" w:hAnsi="宋体" w:cs="宋体"/>
        </w:rPr>
      </w:pPr>
      <w:r>
        <w:rPr>
          <w:rFonts w:hint="eastAsia" w:ascii="宋体" w:hAnsi="宋体" w:cs="宋体"/>
        </w:rPr>
        <w:t>4.会员有选举权、被选举权，可优先获得本会出版的书刊资料。</w:t>
      </w:r>
    </w:p>
    <w:p w14:paraId="42A79CAD">
      <w:pPr>
        <w:ind w:firstLine="422"/>
        <w:rPr>
          <w:rFonts w:ascii="宋体" w:hAnsi="宋体" w:cs="宋体"/>
          <w:b/>
          <w:bCs/>
        </w:rPr>
      </w:pPr>
      <w:r>
        <w:rPr>
          <w:rFonts w:hint="eastAsia" w:ascii="宋体" w:hAnsi="宋体" w:cs="宋体"/>
          <w:b/>
          <w:bCs/>
        </w:rPr>
        <w:t>第六章  组织机构</w:t>
      </w:r>
    </w:p>
    <w:p w14:paraId="1A65D847">
      <w:pPr>
        <w:ind w:firstLine="420"/>
        <w:rPr>
          <w:rFonts w:ascii="宋体" w:hAnsi="宋体" w:cs="宋体"/>
        </w:rPr>
      </w:pPr>
      <w:r>
        <w:rPr>
          <w:rFonts w:hint="eastAsia" w:ascii="宋体" w:hAnsi="宋体" w:cs="宋体"/>
        </w:rPr>
        <w:t>1.本会最高组织机构为理事会。由珠玑巷后裔聚居的行政地域（以区或国别为单位）的有关方面推举若干理事组成，理事会议每两年举行一次，由常务理事会召集。理事会议闭会期间由会长领导下的常务理事会负责会务工作。</w:t>
      </w:r>
    </w:p>
    <w:p w14:paraId="31E7DB29">
      <w:pPr>
        <w:ind w:firstLine="420"/>
        <w:rPr>
          <w:rFonts w:ascii="宋体" w:hAnsi="宋体" w:cs="宋体"/>
        </w:rPr>
      </w:pPr>
      <w:r>
        <w:rPr>
          <w:rFonts w:hint="eastAsia" w:ascii="宋体" w:hAnsi="宋体" w:cs="宋体"/>
        </w:rPr>
        <w:t>2.本会设会长一人、副会长若干人、常务理事若干人，组成常务理事会。会长、副会长、常务理事由理事会议协商推举产生。</w:t>
      </w:r>
    </w:p>
    <w:p w14:paraId="46908010">
      <w:pPr>
        <w:ind w:firstLine="420"/>
        <w:rPr>
          <w:rFonts w:ascii="宋体" w:hAnsi="宋体" w:cs="宋体"/>
        </w:rPr>
      </w:pPr>
      <w:r>
        <w:rPr>
          <w:rFonts w:hint="eastAsia" w:ascii="宋体" w:hAnsi="宋体" w:cs="宋体"/>
        </w:rPr>
        <w:t>3.本会实行常务理事会领导下的理事长负责制，由常务理事会推举理事长一人、副理事长若干人、秘书长一人、副秘书长若干人。</w:t>
      </w:r>
    </w:p>
    <w:p w14:paraId="72C58FD1">
      <w:pPr>
        <w:ind w:firstLine="420"/>
        <w:rPr>
          <w:rFonts w:ascii="宋体" w:hAnsi="宋体" w:cs="宋体"/>
        </w:rPr>
      </w:pPr>
      <w:r>
        <w:rPr>
          <w:rFonts w:hint="eastAsia" w:ascii="宋体" w:hAnsi="宋体" w:cs="宋体"/>
        </w:rPr>
        <w:t>4.理事会的职权是：制定和修改本会章程，听取和审议常务理事会的工作报告和财务收支情况报告；选举本会会长、副会长、常务理事等人员，讨论决定本会的工作计划和任务。</w:t>
      </w:r>
    </w:p>
    <w:p w14:paraId="5BB02086">
      <w:pPr>
        <w:ind w:firstLine="420"/>
        <w:rPr>
          <w:rFonts w:ascii="宋体" w:hAnsi="宋体" w:cs="宋体"/>
        </w:rPr>
      </w:pPr>
      <w:r>
        <w:rPr>
          <w:rFonts w:hint="eastAsia" w:ascii="宋体" w:hAnsi="宋体" w:cs="宋体"/>
        </w:rPr>
        <w:t>5.会长、副会长及常务理事会成员任期五年，也可连任。常务理事会每年举行一次。</w:t>
      </w:r>
    </w:p>
    <w:p w14:paraId="53BC42C2">
      <w:pPr>
        <w:ind w:firstLine="420"/>
        <w:rPr>
          <w:rFonts w:ascii="宋体" w:hAnsi="宋体" w:cs="宋体"/>
        </w:rPr>
      </w:pPr>
      <w:r>
        <w:rPr>
          <w:rFonts w:hint="eastAsia" w:ascii="宋体" w:hAnsi="宋体" w:cs="宋体"/>
        </w:rPr>
        <w:t>6.常务理事会的职责是：在理事会议闭会期间，组织实施本会的工作计划和任务；聘请名誉会长和顾问；商定理事长、副理事长、秘书长等工作人员；听取和审议理事长的工作报告及本会年度财务预算实施情况报告；督促理事长组织若干工作机构和工作人员处理日常工作；完成本会理事会议、常务理事会和章程赋予的各项具体工作任务。</w:t>
      </w:r>
    </w:p>
    <w:p w14:paraId="6E05491D">
      <w:pPr>
        <w:ind w:firstLine="420"/>
        <w:rPr>
          <w:rFonts w:ascii="宋体" w:hAnsi="宋体" w:cs="宋体"/>
        </w:rPr>
      </w:pPr>
      <w:r>
        <w:rPr>
          <w:rFonts w:hint="eastAsia" w:ascii="宋体" w:hAnsi="宋体" w:cs="宋体"/>
        </w:rPr>
        <w:t>7.本会设名誉会长、顾问若干人，由常务理事会聘请海内外社会贤达、知名人士担任。名誉会长、顾问出席常务理事会议和理事会议，为本会提供决策咨询。</w:t>
      </w:r>
    </w:p>
    <w:p w14:paraId="5F989BF0">
      <w:pPr>
        <w:ind w:firstLine="420"/>
        <w:rPr>
          <w:rFonts w:ascii="宋体" w:hAnsi="宋体" w:cs="宋体"/>
        </w:rPr>
      </w:pPr>
      <w:r>
        <w:rPr>
          <w:rFonts w:hint="eastAsia" w:ascii="宋体" w:hAnsi="宋体" w:cs="宋体"/>
        </w:rPr>
        <w:t>8.本会会址设在中国广东南雄珠玑巷。</w:t>
      </w:r>
    </w:p>
    <w:p w14:paraId="0CB3D43D">
      <w:pPr>
        <w:ind w:firstLine="420"/>
        <w:rPr>
          <w:rFonts w:ascii="宋体" w:hAnsi="宋体" w:cs="宋体"/>
        </w:rPr>
      </w:pPr>
      <w:r>
        <w:rPr>
          <w:rFonts w:hint="eastAsia" w:ascii="宋体" w:hAnsi="宋体" w:cs="宋体"/>
        </w:rPr>
        <w:t>9.本会成立后，海内外珠玑巷后裔可在聚居地域（国家和地区）设立“广东南雄珠玑巷后裔×××联谊分会”，作为本会交流、联系之机构。其宗旨、机构设置、任务等可参照本章程，会长可由本会该地域之理事担任，亦可另外推举。</w:t>
      </w:r>
    </w:p>
    <w:p w14:paraId="3DF93A8C">
      <w:pPr>
        <w:ind w:firstLine="422"/>
        <w:rPr>
          <w:rFonts w:ascii="宋体" w:hAnsi="宋体" w:cs="宋体"/>
          <w:b/>
          <w:bCs/>
        </w:rPr>
      </w:pPr>
      <w:r>
        <w:rPr>
          <w:rFonts w:hint="eastAsia" w:ascii="宋体" w:hAnsi="宋体" w:cs="宋体"/>
          <w:b/>
          <w:bCs/>
        </w:rPr>
        <w:t>第七章  经费来源</w:t>
      </w:r>
    </w:p>
    <w:p w14:paraId="24F989A6">
      <w:pPr>
        <w:ind w:firstLine="420"/>
        <w:rPr>
          <w:rFonts w:ascii="宋体" w:hAnsi="宋体" w:cs="宋体"/>
        </w:rPr>
      </w:pPr>
      <w:r>
        <w:rPr>
          <w:rFonts w:hint="eastAsia" w:ascii="宋体" w:hAnsi="宋体" w:cs="宋体"/>
        </w:rPr>
        <w:t>1.本会举办的各项活动收入。</w:t>
      </w:r>
    </w:p>
    <w:p w14:paraId="402ED5CA">
      <w:pPr>
        <w:ind w:firstLine="420"/>
        <w:rPr>
          <w:rFonts w:ascii="宋体" w:hAnsi="宋体" w:cs="宋体"/>
        </w:rPr>
      </w:pPr>
      <w:r>
        <w:rPr>
          <w:rFonts w:hint="eastAsia" w:ascii="宋体" w:hAnsi="宋体" w:cs="宋体"/>
        </w:rPr>
        <w:t>2.珠玑巷后裔之海内外同胞赞助。</w:t>
      </w:r>
    </w:p>
    <w:p w14:paraId="10A366F5">
      <w:pPr>
        <w:ind w:firstLine="420"/>
        <w:rPr>
          <w:rFonts w:ascii="宋体" w:hAnsi="宋体" w:cs="宋体"/>
        </w:rPr>
      </w:pPr>
      <w:r>
        <w:rPr>
          <w:rFonts w:hint="eastAsia" w:ascii="宋体" w:hAnsi="宋体" w:cs="宋体"/>
        </w:rPr>
        <w:t>3.其他各种补助、赞助等。</w:t>
      </w:r>
    </w:p>
    <w:p w14:paraId="2C3770B1">
      <w:pPr>
        <w:ind w:firstLine="422"/>
        <w:rPr>
          <w:rFonts w:ascii="宋体" w:hAnsi="宋体" w:cs="宋体"/>
          <w:b/>
          <w:bCs/>
        </w:rPr>
      </w:pPr>
      <w:r>
        <w:rPr>
          <w:rFonts w:hint="eastAsia" w:ascii="宋体" w:hAnsi="宋体" w:cs="宋体"/>
          <w:b/>
          <w:bCs/>
        </w:rPr>
        <w:t>第八章  附则</w:t>
      </w:r>
    </w:p>
    <w:p w14:paraId="532658F8">
      <w:pPr>
        <w:ind w:firstLine="420"/>
        <w:rPr>
          <w:rFonts w:ascii="宋体" w:hAnsi="宋体" w:cs="宋体"/>
        </w:rPr>
      </w:pPr>
      <w:r>
        <w:rPr>
          <w:rFonts w:hint="eastAsia" w:ascii="宋体" w:hAnsi="宋体" w:cs="宋体"/>
        </w:rPr>
        <w:t>1.本章程的解释修改权属常务理事会。</w:t>
      </w:r>
    </w:p>
    <w:p w14:paraId="61E2AAC8">
      <w:pPr>
        <w:ind w:firstLine="420"/>
        <w:rPr>
          <w:rFonts w:ascii="宋体" w:hAnsi="宋体" w:cs="宋体"/>
        </w:rPr>
      </w:pPr>
      <w:r>
        <w:rPr>
          <w:rFonts w:hint="eastAsia" w:ascii="宋体" w:hAnsi="宋体" w:cs="宋体"/>
        </w:rPr>
        <w:t>2.本章程自通过之日起生效。</w:t>
      </w:r>
    </w:p>
    <w:p w14:paraId="6AF34250">
      <w:pPr>
        <w:ind w:firstLine="420"/>
        <w:jc w:val="right"/>
        <w:rPr>
          <w:rFonts w:ascii="宋体" w:hAnsi="宋体" w:cs="宋体"/>
        </w:rPr>
      </w:pPr>
      <w:r>
        <w:rPr>
          <w:rFonts w:hint="eastAsia" w:ascii="宋体" w:hAnsi="宋体" w:cs="宋体"/>
        </w:rPr>
        <w:t>广东南雄珠玑巷后裔联谊会</w:t>
      </w:r>
    </w:p>
    <w:p w14:paraId="467BE0D4">
      <w:pPr>
        <w:ind w:firstLine="420"/>
        <w:jc w:val="right"/>
        <w:rPr>
          <w:rFonts w:ascii="宋体" w:hAnsi="宋体" w:cs="宋体"/>
        </w:rPr>
      </w:pPr>
      <w:r>
        <w:rPr>
          <w:rFonts w:hint="eastAsia" w:ascii="宋体" w:hAnsi="宋体" w:cs="宋体"/>
        </w:rPr>
        <w:t>一九九五年十一月二十八日</w:t>
      </w:r>
    </w:p>
    <w:p w14:paraId="43766DA4">
      <w:pPr>
        <w:ind w:firstLine="422"/>
        <w:jc w:val="center"/>
        <w:rPr>
          <w:rFonts w:ascii="宋体" w:hAnsi="宋体" w:cs="宋体"/>
          <w:b/>
          <w:bCs/>
        </w:rPr>
      </w:pPr>
      <w:r>
        <w:rPr>
          <w:rFonts w:hint="eastAsia" w:ascii="宋体" w:hAnsi="宋体" w:cs="宋体"/>
          <w:b/>
          <w:bCs/>
        </w:rPr>
        <w:t>广东南雄珠玑巷后裔联谊会</w:t>
      </w:r>
    </w:p>
    <w:p w14:paraId="629C64F8">
      <w:pPr>
        <w:ind w:firstLine="422"/>
        <w:jc w:val="center"/>
        <w:rPr>
          <w:rFonts w:ascii="宋体" w:hAnsi="宋体" w:cs="宋体"/>
          <w:b/>
          <w:bCs/>
        </w:rPr>
      </w:pPr>
      <w:r>
        <w:rPr>
          <w:rFonts w:hint="eastAsia" w:ascii="宋体" w:hAnsi="宋体" w:cs="宋体"/>
          <w:b/>
          <w:bCs/>
        </w:rPr>
        <w:t>修复珠玑古巷基金会章程</w:t>
      </w:r>
    </w:p>
    <w:p w14:paraId="3263C59C">
      <w:pPr>
        <w:ind w:firstLine="422"/>
        <w:rPr>
          <w:rFonts w:ascii="宋体" w:hAnsi="宋体" w:cs="宋体"/>
          <w:b/>
          <w:bCs/>
        </w:rPr>
      </w:pPr>
      <w:r>
        <w:rPr>
          <w:rFonts w:hint="eastAsia" w:ascii="宋体" w:hAnsi="宋体" w:cs="宋体"/>
          <w:b/>
          <w:bCs/>
        </w:rPr>
        <w:t>第一章  总则</w:t>
      </w:r>
    </w:p>
    <w:p w14:paraId="43C53622">
      <w:pPr>
        <w:ind w:firstLine="420"/>
        <w:rPr>
          <w:rFonts w:ascii="宋体" w:hAnsi="宋体" w:cs="宋体"/>
        </w:rPr>
      </w:pPr>
      <w:r>
        <w:rPr>
          <w:rFonts w:hint="eastAsia" w:ascii="宋体" w:hAnsi="宋体" w:cs="宋体"/>
        </w:rPr>
        <w:t>第一条本会定名为：广东南雄珠玑巷基金会。</w:t>
      </w:r>
    </w:p>
    <w:p w14:paraId="1550CE79">
      <w:pPr>
        <w:ind w:firstLine="420"/>
        <w:rPr>
          <w:rFonts w:ascii="宋体" w:hAnsi="宋体" w:cs="宋体"/>
        </w:rPr>
      </w:pPr>
      <w:r>
        <w:rPr>
          <w:rFonts w:hint="eastAsia" w:ascii="宋体" w:hAnsi="宋体" w:cs="宋体"/>
        </w:rPr>
        <w:t>第二条本会是广东南雄珠玑巷后裔联谊会领导下设立的筹集修复珠玑古巷基金的民间机构。</w:t>
      </w:r>
    </w:p>
    <w:p w14:paraId="713EA391">
      <w:pPr>
        <w:ind w:firstLine="420"/>
        <w:rPr>
          <w:rFonts w:ascii="宋体" w:hAnsi="宋体" w:cs="宋体"/>
        </w:rPr>
      </w:pPr>
      <w:r>
        <w:rPr>
          <w:rFonts w:hint="eastAsia" w:ascii="宋体" w:hAnsi="宋体" w:cs="宋体"/>
        </w:rPr>
        <w:t>第三条本会所筹的资金主要用于修复珠玑古巷，以重现当年繁盛风采，方便海内外珠玑巷后裔寻根问祖、旅游观光。</w:t>
      </w:r>
    </w:p>
    <w:p w14:paraId="048F3822">
      <w:pPr>
        <w:ind w:firstLine="422"/>
        <w:rPr>
          <w:rFonts w:ascii="宋体" w:hAnsi="宋体" w:cs="宋体"/>
          <w:b/>
          <w:bCs/>
        </w:rPr>
      </w:pPr>
      <w:r>
        <w:rPr>
          <w:rFonts w:hint="eastAsia" w:ascii="宋体" w:hAnsi="宋体" w:cs="宋体"/>
          <w:b/>
          <w:bCs/>
        </w:rPr>
        <w:t>第二章  资金来源</w:t>
      </w:r>
    </w:p>
    <w:p w14:paraId="1A08990B">
      <w:pPr>
        <w:ind w:firstLine="420"/>
        <w:rPr>
          <w:rFonts w:ascii="宋体" w:hAnsi="宋体" w:cs="宋体"/>
        </w:rPr>
      </w:pPr>
      <w:r>
        <w:rPr>
          <w:rFonts w:hint="eastAsia" w:ascii="宋体" w:hAnsi="宋体" w:cs="宋体"/>
        </w:rPr>
        <w:t>第四条接受海内外珠玑巷后裔及港澳台同胞、社会各界人士自愿捐赠。</w:t>
      </w:r>
    </w:p>
    <w:p w14:paraId="786085D0">
      <w:pPr>
        <w:ind w:firstLine="420"/>
        <w:rPr>
          <w:rFonts w:ascii="宋体" w:hAnsi="宋体" w:cs="宋体"/>
        </w:rPr>
      </w:pPr>
      <w:r>
        <w:rPr>
          <w:rFonts w:hint="eastAsia" w:ascii="宋体" w:hAnsi="宋体" w:cs="宋体"/>
        </w:rPr>
        <w:t>第五条接受有关政府拨款补助。</w:t>
      </w:r>
    </w:p>
    <w:p w14:paraId="6F879945">
      <w:pPr>
        <w:ind w:firstLine="420"/>
        <w:rPr>
          <w:rFonts w:ascii="宋体" w:hAnsi="宋体" w:cs="宋体"/>
        </w:rPr>
      </w:pPr>
      <w:r>
        <w:rPr>
          <w:rFonts w:hint="eastAsia" w:ascii="宋体" w:hAnsi="宋体" w:cs="宋体"/>
        </w:rPr>
        <w:t>第六条接受有关机构、企事业单位赞助。</w:t>
      </w:r>
    </w:p>
    <w:p w14:paraId="0EF6DB54">
      <w:pPr>
        <w:ind w:firstLine="422"/>
        <w:rPr>
          <w:rFonts w:ascii="宋体" w:hAnsi="宋体" w:cs="宋体"/>
        </w:rPr>
      </w:pPr>
      <w:r>
        <w:rPr>
          <w:rFonts w:hint="eastAsia" w:ascii="宋体" w:hAnsi="宋体" w:cs="宋体"/>
          <w:b/>
          <w:bCs/>
        </w:rPr>
        <w:t>第三章  基金用途</w:t>
      </w:r>
    </w:p>
    <w:p w14:paraId="2D3458E3">
      <w:pPr>
        <w:ind w:firstLine="420"/>
        <w:rPr>
          <w:rFonts w:ascii="宋体" w:hAnsi="宋体" w:cs="宋体"/>
        </w:rPr>
      </w:pPr>
      <w:r>
        <w:rPr>
          <w:rFonts w:hint="eastAsia" w:ascii="宋体" w:hAnsi="宋体" w:cs="宋体"/>
        </w:rPr>
        <w:t>第七条修复珠玑古巷各项建设之费用。</w:t>
      </w:r>
    </w:p>
    <w:p w14:paraId="084E21BD">
      <w:pPr>
        <w:ind w:firstLine="420"/>
        <w:rPr>
          <w:rFonts w:ascii="宋体" w:hAnsi="宋体" w:cs="宋体"/>
        </w:rPr>
      </w:pPr>
      <w:r>
        <w:rPr>
          <w:rFonts w:hint="eastAsia" w:ascii="宋体" w:hAnsi="宋体" w:cs="宋体"/>
        </w:rPr>
        <w:t>第八条编辑出版珠玑巷丛书和有关刊物之费用。</w:t>
      </w:r>
    </w:p>
    <w:p w14:paraId="2FDAF528">
      <w:pPr>
        <w:ind w:firstLine="420"/>
        <w:rPr>
          <w:rFonts w:ascii="宋体" w:hAnsi="宋体" w:cs="宋体"/>
        </w:rPr>
      </w:pPr>
      <w:r>
        <w:rPr>
          <w:rFonts w:hint="eastAsia" w:ascii="宋体" w:hAnsi="宋体" w:cs="宋体"/>
        </w:rPr>
        <w:t>第九条开展有关珠玑巷历史学术性研究及信息交流之费用。</w:t>
      </w:r>
    </w:p>
    <w:p w14:paraId="314381AC">
      <w:pPr>
        <w:ind w:firstLine="422"/>
        <w:rPr>
          <w:rFonts w:ascii="宋体" w:hAnsi="宋体" w:cs="宋体"/>
          <w:b/>
          <w:bCs/>
        </w:rPr>
      </w:pPr>
      <w:r>
        <w:rPr>
          <w:rFonts w:hint="eastAsia" w:ascii="宋体" w:hAnsi="宋体" w:cs="宋体"/>
          <w:b/>
          <w:bCs/>
        </w:rPr>
        <w:t>第四章  组织机构</w:t>
      </w:r>
    </w:p>
    <w:p w14:paraId="1CD11B2C">
      <w:pPr>
        <w:ind w:firstLine="420"/>
        <w:rPr>
          <w:rFonts w:ascii="宋体" w:hAnsi="宋体" w:cs="宋体"/>
        </w:rPr>
      </w:pPr>
      <w:r>
        <w:rPr>
          <w:rFonts w:hint="eastAsia" w:ascii="宋体" w:hAnsi="宋体" w:cs="宋体"/>
        </w:rPr>
        <w:t>第十条常务理事会从联谊会副会长中推举一人负责领导基金会工作，商定理事长一人负责基金的筹集和管理，并向常务理事会报告。</w:t>
      </w:r>
    </w:p>
    <w:p w14:paraId="131DE861">
      <w:pPr>
        <w:ind w:firstLine="420"/>
        <w:rPr>
          <w:rFonts w:ascii="宋体" w:hAnsi="宋体" w:cs="宋体"/>
        </w:rPr>
      </w:pPr>
      <w:r>
        <w:rPr>
          <w:rFonts w:hint="eastAsia" w:ascii="宋体" w:hAnsi="宋体" w:cs="宋体"/>
        </w:rPr>
        <w:t>第十一条由联谊会常务理事会商定监事长一人，负责对基金的开支使用的监督和财务</w:t>
      </w:r>
      <w:r>
        <w:rPr>
          <w:rFonts w:hint="eastAsia" w:ascii="宋体" w:hAnsi="宋体" w:cs="宋体"/>
          <w:lang w:val="en-US" w:eastAsia="zh-CN"/>
        </w:rPr>
        <w:t>账</w:t>
      </w:r>
      <w:r>
        <w:rPr>
          <w:rFonts w:hint="eastAsia" w:ascii="宋体" w:hAnsi="宋体" w:cs="宋体"/>
        </w:rPr>
        <w:t>目的审计，并向常务理事会报告。</w:t>
      </w:r>
    </w:p>
    <w:p w14:paraId="048BD14E">
      <w:pPr>
        <w:ind w:firstLine="420"/>
        <w:rPr>
          <w:rFonts w:ascii="宋体" w:hAnsi="宋体" w:cs="宋体"/>
        </w:rPr>
      </w:pPr>
      <w:r>
        <w:rPr>
          <w:rFonts w:hint="eastAsia" w:ascii="宋体" w:hAnsi="宋体" w:cs="宋体"/>
        </w:rPr>
        <w:t>第十二条本会设立财务机构，负责具体的财务收支和物资管理。</w:t>
      </w:r>
    </w:p>
    <w:p w14:paraId="0F856B0C">
      <w:pPr>
        <w:ind w:firstLine="422"/>
        <w:rPr>
          <w:rFonts w:ascii="宋体" w:hAnsi="宋体" w:cs="宋体"/>
          <w:b/>
          <w:bCs/>
        </w:rPr>
      </w:pPr>
      <w:r>
        <w:rPr>
          <w:rFonts w:hint="eastAsia" w:ascii="宋体" w:hAnsi="宋体" w:cs="宋体"/>
          <w:b/>
          <w:bCs/>
        </w:rPr>
        <w:t>第五章  基金管理</w:t>
      </w:r>
    </w:p>
    <w:p w14:paraId="525ACF70">
      <w:pPr>
        <w:ind w:firstLine="420"/>
        <w:rPr>
          <w:rFonts w:ascii="宋体" w:hAnsi="宋体" w:cs="宋体"/>
        </w:rPr>
      </w:pPr>
      <w:r>
        <w:rPr>
          <w:rFonts w:hint="eastAsia" w:ascii="宋体" w:hAnsi="宋体" w:cs="宋体"/>
        </w:rPr>
        <w:t>第十三条所有捐赠的款项全部存入银行（包括利息），均不得转移或挪用。</w:t>
      </w:r>
    </w:p>
    <w:p w14:paraId="1D5C0E30">
      <w:pPr>
        <w:ind w:firstLine="420"/>
        <w:rPr>
          <w:rFonts w:ascii="宋体" w:hAnsi="宋体" w:cs="宋体"/>
        </w:rPr>
      </w:pPr>
      <w:r>
        <w:rPr>
          <w:rFonts w:hint="eastAsia" w:ascii="宋体" w:hAnsi="宋体" w:cs="宋体"/>
        </w:rPr>
        <w:t>第十四条所有捐赠的物资，列入固定资产造册登记备存。</w:t>
      </w:r>
    </w:p>
    <w:p w14:paraId="2EC3109E">
      <w:pPr>
        <w:ind w:firstLine="420"/>
        <w:rPr>
          <w:rFonts w:ascii="宋体" w:hAnsi="宋体" w:cs="宋体"/>
        </w:rPr>
      </w:pPr>
      <w:r>
        <w:rPr>
          <w:rFonts w:hint="eastAsia" w:ascii="宋体" w:hAnsi="宋体" w:cs="宋体"/>
        </w:rPr>
        <w:t>第十五条基金会须制定各项财务制度，每年预算、决算一次，向理事会报告财务收支情况，并接受检查监督。</w:t>
      </w:r>
    </w:p>
    <w:p w14:paraId="67C9E2A7">
      <w:pPr>
        <w:ind w:firstLine="420"/>
        <w:rPr>
          <w:rFonts w:ascii="宋体" w:hAnsi="宋体" w:cs="宋体"/>
        </w:rPr>
      </w:pPr>
      <w:r>
        <w:rPr>
          <w:rFonts w:hint="eastAsia" w:ascii="宋体" w:hAnsi="宋体" w:cs="宋体"/>
        </w:rPr>
        <w:t>第十六条根据捐赠数量多少，分个人、单位列册报理事会。采用赠送纪念品、颁发荣誉证书、立碑刻石或以建筑命名等方式予以表彰。</w:t>
      </w:r>
    </w:p>
    <w:p w14:paraId="26B96D6B">
      <w:pPr>
        <w:ind w:firstLine="422"/>
        <w:rPr>
          <w:rFonts w:ascii="宋体" w:hAnsi="宋体" w:cs="宋体"/>
          <w:b/>
          <w:bCs/>
        </w:rPr>
      </w:pPr>
      <w:r>
        <w:rPr>
          <w:rFonts w:hint="eastAsia" w:ascii="宋体" w:hAnsi="宋体" w:cs="宋体"/>
          <w:b/>
          <w:bCs/>
        </w:rPr>
        <w:t>第六章  附则</w:t>
      </w:r>
    </w:p>
    <w:p w14:paraId="300F57CD">
      <w:pPr>
        <w:ind w:firstLine="420"/>
        <w:rPr>
          <w:rFonts w:ascii="宋体" w:hAnsi="宋体" w:cs="宋体"/>
        </w:rPr>
      </w:pPr>
      <w:r>
        <w:rPr>
          <w:rFonts w:hint="eastAsia" w:ascii="宋体" w:hAnsi="宋体" w:cs="宋体"/>
        </w:rPr>
        <w:t>第十七条本章程解释修改权属常务理事会。</w:t>
      </w:r>
    </w:p>
    <w:p w14:paraId="68222102">
      <w:pPr>
        <w:ind w:firstLine="420"/>
        <w:jc w:val="right"/>
        <w:rPr>
          <w:rFonts w:ascii="宋体" w:hAnsi="宋体" w:cs="宋体"/>
        </w:rPr>
      </w:pPr>
      <w:r>
        <w:rPr>
          <w:rFonts w:hint="eastAsia" w:ascii="宋体" w:hAnsi="宋体" w:cs="宋体"/>
        </w:rPr>
        <w:t>广东南雄珠玑巷后裔联谊会</w:t>
      </w:r>
    </w:p>
    <w:p w14:paraId="121B2D84">
      <w:pPr>
        <w:ind w:firstLine="420"/>
        <w:jc w:val="right"/>
        <w:rPr>
          <w:rFonts w:ascii="宋体" w:hAnsi="宋体" w:cs="宋体"/>
        </w:rPr>
      </w:pPr>
      <w:r>
        <w:rPr>
          <w:rFonts w:hint="eastAsia" w:ascii="宋体" w:hAnsi="宋体" w:cs="宋体"/>
        </w:rPr>
        <w:t>一九九五年十一月二十八日</w:t>
      </w:r>
    </w:p>
    <w:p w14:paraId="586265E5">
      <w:pPr>
        <w:pStyle w:val="4"/>
        <w:rPr>
          <w:rFonts w:ascii="宋体" w:hAnsi="宋体" w:cs="宋体"/>
        </w:rPr>
      </w:pPr>
      <w:r>
        <w:rPr>
          <w:rFonts w:hint="eastAsia" w:ascii="宋体" w:hAnsi="宋体" w:cs="宋体"/>
        </w:rPr>
        <w:t>（五）奏稿</w:t>
      </w:r>
    </w:p>
    <w:p w14:paraId="4199AB94">
      <w:pPr>
        <w:ind w:firstLine="422"/>
        <w:rPr>
          <w:rFonts w:ascii="宋体" w:hAnsi="宋体" w:cs="宋体"/>
          <w:b/>
          <w:bCs/>
        </w:rPr>
      </w:pPr>
      <w:r>
        <w:rPr>
          <w:rFonts w:hint="eastAsia" w:ascii="宋体" w:hAnsi="宋体" w:cs="宋体"/>
          <w:b/>
          <w:bCs/>
        </w:rPr>
        <w:t>南雄解围并会攻南安情形由</w:t>
      </w:r>
    </w:p>
    <w:p w14:paraId="561BB8F5">
      <w:pPr>
        <w:ind w:firstLine="420"/>
        <w:jc w:val="right"/>
        <w:rPr>
          <w:rFonts w:ascii="宋体" w:hAnsi="宋体" w:cs="宋体"/>
        </w:rPr>
      </w:pPr>
      <w:r>
        <w:rPr>
          <w:rFonts w:hint="eastAsia" w:ascii="宋体" w:hAnsi="宋体" w:cs="宋体"/>
        </w:rPr>
        <w:t>两广总督广东巡抚劳崇光</w:t>
      </w:r>
    </w:p>
    <w:p w14:paraId="5FC1DC07">
      <w:pPr>
        <w:ind w:firstLine="420"/>
        <w:rPr>
          <w:rFonts w:ascii="宋体" w:hAnsi="宋体" w:cs="宋体"/>
        </w:rPr>
      </w:pPr>
      <w:r>
        <w:rPr>
          <w:rFonts w:hint="eastAsia" w:ascii="宋体" w:hAnsi="宋体" w:cs="宋体"/>
        </w:rPr>
        <w:t>兼署两广总督广东巡抚臣劳崇光跪奏：为查明广东兵勇在南雄剿退江西逆匪，保全州城，并越境会剿，克复江西南安府城各情形恭折奏祈圣鉴事。窃臣卷查咸丰八年十二月初一日，前督臣黄宗汉任内接据署南雄直隶州知州三多禀报：“十一月十九日，江西南安逆匪窜入南雄交界之崇化地方，经乡团击退。二十日该匪大队前来，守备汤彪、把总李廷弼带勇堵御，在官门楼接仗失利退回。该匪即窜聚乌迳地方，距州城八十里等情。”前督臣黄宗汉以南雄为省北咽喉，倘被窜入蔓延，则北路无险可守，于全局攸关匪细。当即飞饬署南韶连镇总兵勒福，亲率镇标兵八百余名，并统带原赴阳山剿办另股匪徒之游击何鸣霄、都司黄仲和、从九品孙际清等所带各勇二千余名，就近前赴应援。又派署守备梁肇伦带勇一千名，把总黄得胜带勇五百四十名，由惠州驰赴接应，均归勒福统带。又派新会营参将尹达章选拔扒船水勇前往韶州河西堵截。该匪窜踞乌迳，大军未到之先，三多率领在城兵勇于十一月二十七及三十日两次进剿，未能得手。匪势逐渐进逼，分踞中站邓坊各乡，与城日近。</w:t>
      </w:r>
    </w:p>
    <w:p w14:paraId="44C149AB">
      <w:pPr>
        <w:ind w:firstLine="420"/>
        <w:rPr>
          <w:rFonts w:ascii="宋体" w:hAnsi="宋体" w:cs="宋体"/>
        </w:rPr>
      </w:pPr>
      <w:r>
        <w:rPr>
          <w:rFonts w:hint="eastAsia" w:ascii="宋体" w:hAnsi="宋体" w:cs="宋体"/>
        </w:rPr>
        <w:t>勒福在阳山开拔，尚未接黄宗汉札饬，即于十二月初一日先带领标兵驰抵南雄，查明里东一带为总路要口，当即分兵驻守，一面会同三多修垛开壕，预备城守事宜。</w:t>
      </w:r>
    </w:p>
    <w:p w14:paraId="746F6CCA">
      <w:pPr>
        <w:ind w:firstLine="420"/>
        <w:rPr>
          <w:rFonts w:ascii="宋体" w:hAnsi="宋体" w:cs="宋体"/>
        </w:rPr>
      </w:pPr>
      <w:r>
        <w:rPr>
          <w:rFonts w:hint="eastAsia" w:ascii="宋体" w:hAnsi="宋体" w:cs="宋体"/>
        </w:rPr>
        <w:t>初三日，该匪千余人来扑里东营盘，当经兵勇击退。</w:t>
      </w:r>
    </w:p>
    <w:p w14:paraId="17D482C3">
      <w:pPr>
        <w:ind w:firstLine="420"/>
        <w:rPr>
          <w:rFonts w:ascii="宋体" w:hAnsi="宋体" w:cs="宋体"/>
        </w:rPr>
      </w:pPr>
      <w:r>
        <w:rPr>
          <w:rFonts w:hint="eastAsia" w:ascii="宋体" w:hAnsi="宋体" w:cs="宋体"/>
        </w:rPr>
        <w:t>初四日五鼓，中站、邓坊各匪合扑里东我军，众寡不敌，退回州城，里东即被匪占踞。勒福闻里东不守，知该匪要直达州城，当将各路兵连夜调回守城。</w:t>
      </w:r>
    </w:p>
    <w:p w14:paraId="06C2AB4A">
      <w:pPr>
        <w:ind w:firstLine="420"/>
        <w:rPr>
          <w:rFonts w:ascii="宋体" w:hAnsi="宋体" w:cs="宋体"/>
        </w:rPr>
      </w:pPr>
      <w:r>
        <w:rPr>
          <w:rFonts w:hint="eastAsia" w:ascii="宋体" w:hAnsi="宋体" w:cs="宋体"/>
        </w:rPr>
        <w:t>初六日，该匪七、八千人果直抵城下，勒福见贼甚锐，传令各军分段严守，不许出队。</w:t>
      </w:r>
    </w:p>
    <w:p w14:paraId="0A46BE47">
      <w:pPr>
        <w:ind w:firstLine="420"/>
        <w:rPr>
          <w:rFonts w:ascii="宋体" w:hAnsi="宋体" w:cs="宋体"/>
        </w:rPr>
      </w:pPr>
      <w:r>
        <w:rPr>
          <w:rFonts w:hint="eastAsia" w:ascii="宋体" w:hAnsi="宋体" w:cs="宋体"/>
        </w:rPr>
        <w:t>初七日，分拨兵勇数百人，突出奋击，歼匪五、六十名，旋即收队。</w:t>
      </w:r>
    </w:p>
    <w:p w14:paraId="6CC39122">
      <w:pPr>
        <w:ind w:firstLine="420"/>
        <w:rPr>
          <w:rFonts w:ascii="宋体" w:hAnsi="宋体" w:cs="宋体"/>
        </w:rPr>
      </w:pPr>
      <w:r>
        <w:rPr>
          <w:rFonts w:hint="eastAsia" w:ascii="宋体" w:hAnsi="宋体" w:cs="宋体"/>
        </w:rPr>
        <w:t>初八日，勒福与署南雄协哈芬布统带大军由文明门出队。该匪见我军出城，即摇棒拥至。勒福亲督前敌劲冲入贼队，左右翼兵勇一齐抄出，枪炮齐施，轰倒该匪马队数十匹，伤毙步贼七八十人。该匪败逃，勒福督兵进剿二十余里。沿途杀贼二、三百名，生擒五名，夺获贼马三匹，枪械一百余件。该匪回里东驻扎。</w:t>
      </w:r>
    </w:p>
    <w:p w14:paraId="3CA83E95">
      <w:pPr>
        <w:ind w:firstLine="420"/>
        <w:rPr>
          <w:rFonts w:ascii="宋体" w:hAnsi="宋体" w:cs="宋体"/>
        </w:rPr>
      </w:pPr>
      <w:r>
        <w:rPr>
          <w:rFonts w:hint="eastAsia" w:ascii="宋体" w:hAnsi="宋体" w:cs="宋体"/>
        </w:rPr>
        <w:t>初九日，该匪仍来攻城。我军分南北两门出队，并分派壮勇五百名，绕岭后抄袭。枪炮火箭前后夹攻，击毙贼百余名，夺获贼马六匹，刀械九十余件，追至沙水而回。是夜，署游击额勒·登额由韶州带兵三百名赶到，勒福勒令一同防守。</w:t>
      </w:r>
    </w:p>
    <w:p w14:paraId="23CB9D5C">
      <w:pPr>
        <w:ind w:firstLine="420"/>
        <w:rPr>
          <w:rFonts w:ascii="宋体" w:hAnsi="宋体" w:cs="宋体"/>
        </w:rPr>
      </w:pPr>
      <w:r>
        <w:rPr>
          <w:rFonts w:hint="eastAsia" w:ascii="宋体" w:hAnsi="宋体" w:cs="宋体"/>
        </w:rPr>
        <w:t>初一日（按当为初十日之误）五鼓，该匪大队攻扑西城，另外一股携带竹梯凫水过河至东南角扒城。城上兵勇奋力堵击，抢获竹梯数十架，毙贼百数十名；西门之贼，亦被城上炮石击毙八九十名，该匪败走。勒福与哈芬布、额勒·登勒各带兵勇开门进剿。该匪不敢抗敌，各军追至沙水，将该处贼巢焚毁后追杀十余里沿途毙匪三四百名，生擒二十五名，获马十三匹，枪械三百余件。匪仍败回里东。自此大创以后，该匪连日不动，潜往南安一带，添纠伙匪数千人前来助势，合计不下一万五六千人。以中站、里东为大营，以石塘、里东、湖口、长甫桥、黄泥塘等处为散巢，距州城均不过三四十里，计图死斗。勒福令各军分扎城外要隘，且堵且剿。自十四日至十六日连日接仗，互有杀伤。</w:t>
      </w:r>
    </w:p>
    <w:p w14:paraId="71C71E0A">
      <w:pPr>
        <w:ind w:firstLine="420"/>
        <w:rPr>
          <w:rFonts w:ascii="宋体" w:hAnsi="宋体" w:cs="宋体"/>
        </w:rPr>
      </w:pPr>
      <w:r>
        <w:rPr>
          <w:rFonts w:hint="eastAsia" w:ascii="宋体" w:hAnsi="宋体" w:cs="宋体"/>
        </w:rPr>
        <w:t>十九日，该匪分股诱战，我军追至二塘，忽左右伏贼抄出，四面密围。勒福、哈芬市督兵血战，突围而出。兵勇伤亡十余名，新拔三江协左营把总黄超伦奋勇转战，手刃数贼，力竭被虏，骂贼遇害。</w:t>
      </w:r>
    </w:p>
    <w:p w14:paraId="22C7C461">
      <w:pPr>
        <w:ind w:firstLine="420"/>
        <w:rPr>
          <w:rFonts w:ascii="宋体" w:hAnsi="宋体" w:cs="宋体"/>
        </w:rPr>
      </w:pPr>
      <w:r>
        <w:rPr>
          <w:rFonts w:hint="eastAsia" w:ascii="宋体" w:hAnsi="宋体" w:cs="宋体"/>
        </w:rPr>
        <w:t>二十日以后，该匪屡来攻扑，均经随时击退，皆有斩获，惟二十五日杀贼一百余名，为较多。</w:t>
      </w:r>
    </w:p>
    <w:p w14:paraId="2BBD4B10">
      <w:pPr>
        <w:ind w:firstLine="420"/>
        <w:rPr>
          <w:rFonts w:ascii="宋体" w:hAnsi="宋体" w:cs="宋体"/>
        </w:rPr>
      </w:pPr>
      <w:r>
        <w:rPr>
          <w:rFonts w:hint="eastAsia" w:ascii="宋体" w:hAnsi="宋体" w:cs="宋体"/>
        </w:rPr>
        <w:t>二十七日早，该匪八、九千人分路来攻，勒福传谕各军避其锐锋，击其惰气，令各饱飧，严阵以待。时将交午，勒福见该匪疲乏，麾令各军奋勇冲击。枪炮齐施，当时毙贼四五百名，生擒十二名，该匪败走。适游击何鸣霄前队勇六百名由阳山赶到。勒福随同大军追击，该匪亡命奔逃。我军追至连塘、塘尾一带，焚毁贼巢数十座，毙匪无数。余匪向五里山、长甫桥而逃。是日各营缴到首级八十二颗、马八匹、枪械三百余件。该匪屡受挫折，不敢结队来攻，惟分夥赴四乡劫掠。勒福派勇四路援救，并约各乡团练合力夹攻。随于二十八、九日，据派出各路弁勇先后回缴首级二百余颗、旗械二百余件。北山各村团练毙贼二百余名，南乡各村团练孥获伪元帅朱亚四一名，毙贼百余名。从此，该匪胆落，不敢窥伺城池，弃石塘、长甫桥一带贼巢归并里东、中站据守。</w:t>
      </w:r>
    </w:p>
    <w:p w14:paraId="6294B5E6">
      <w:pPr>
        <w:ind w:firstLine="420"/>
        <w:rPr>
          <w:rFonts w:ascii="宋体" w:hAnsi="宋体" w:cs="宋体"/>
        </w:rPr>
      </w:pPr>
      <w:r>
        <w:rPr>
          <w:rFonts w:hint="eastAsia" w:ascii="宋体" w:hAnsi="宋体" w:cs="宋体"/>
        </w:rPr>
        <w:t>九年正月初三日，勒福令兵勇移扎二塘，派军功陈天汉等各起壮勇为一路；游击何鸣霄壮勇统合镇标兵为二路，署都司福禄堪带南雄、始兴营官兵及李廷弼壮勇为三路，分三营，联络接应。</w:t>
      </w:r>
    </w:p>
    <w:p w14:paraId="79419858">
      <w:pPr>
        <w:ind w:firstLine="420"/>
        <w:rPr>
          <w:rFonts w:ascii="宋体" w:hAnsi="宋体" w:cs="宋体"/>
        </w:rPr>
      </w:pPr>
      <w:r>
        <w:rPr>
          <w:rFonts w:hint="eastAsia" w:ascii="宋体" w:hAnsi="宋体" w:cs="宋体"/>
        </w:rPr>
        <w:t>初四日午刻，里东、中站之匪约六、七千人来扑二塘营盘。各军奋力齐出，毙匪二、三百名，内有穿黄马褂贼首二名，生擒二十七名。</w:t>
      </w:r>
    </w:p>
    <w:p w14:paraId="3227CA02">
      <w:pPr>
        <w:ind w:firstLine="420"/>
        <w:rPr>
          <w:rFonts w:ascii="宋体" w:hAnsi="宋体" w:cs="宋体"/>
        </w:rPr>
      </w:pPr>
      <w:r>
        <w:rPr>
          <w:rFonts w:hint="eastAsia" w:ascii="宋体" w:hAnsi="宋体" w:cs="宋体"/>
        </w:rPr>
        <w:t>初五日，探知该匪欲分窜仁化、始兴两路，勒福派弁分带兵勇，一往北山堵截仁化之路，一往南山堵截始兴之路。是日，梁肇伦、黄得胜、孙际清各带勇一齐赶到，勒福派令同往沙水扎营。</w:t>
      </w:r>
    </w:p>
    <w:p w14:paraId="1D7D74BB">
      <w:pPr>
        <w:ind w:firstLine="420"/>
        <w:rPr>
          <w:rFonts w:ascii="宋体" w:hAnsi="宋体" w:cs="宋体"/>
        </w:rPr>
      </w:pPr>
      <w:r>
        <w:rPr>
          <w:rFonts w:hint="eastAsia" w:ascii="宋体" w:hAnsi="宋体" w:cs="宋体"/>
        </w:rPr>
        <w:t>初七日，探知中站贼匪因闻大兵陆续前来，拟向江西游仙、梅关一带逃窜。三多即带勇于五鼓起程，由小路驰往北乡，截其赴游仙之路；福禄堪带兵勇由大路往游仙追剿，一面知会沙水各营拔营上前堵截。</w:t>
      </w:r>
    </w:p>
    <w:p w14:paraId="2D029604">
      <w:pPr>
        <w:ind w:firstLine="420"/>
        <w:rPr>
          <w:rFonts w:ascii="宋体" w:hAnsi="宋体" w:cs="宋体"/>
        </w:rPr>
      </w:pPr>
      <w:r>
        <w:rPr>
          <w:rFonts w:hint="eastAsia" w:ascii="宋体" w:hAnsi="宋体" w:cs="宋体"/>
        </w:rPr>
        <w:t>初八日早，三多行抵北乡，听闻枪炮不绝，知大路追兵已到，即督勇赶出北乡隘口。该匪见我军前后夹击，抛弃旗械，纷纷窜逃。我军追杀十余里，毙匪无数。割取首级六十三颗，左耳四十三只，生擒七名，夺获贼马五匹，旗械、伪印、伪照、簿据等件不计其数。余匪由江西游仙窜至梅关据守。</w:t>
      </w:r>
    </w:p>
    <w:p w14:paraId="5E193E06">
      <w:pPr>
        <w:ind w:firstLine="420"/>
        <w:rPr>
          <w:rFonts w:ascii="宋体" w:hAnsi="宋体" w:cs="宋体"/>
        </w:rPr>
      </w:pPr>
      <w:r>
        <w:rPr>
          <w:rFonts w:hint="eastAsia" w:ascii="宋体" w:hAnsi="宋体" w:cs="宋体"/>
        </w:rPr>
        <w:t>十二日，勒福分拨兵进扎中站。</w:t>
      </w:r>
    </w:p>
    <w:p w14:paraId="7C8CF05B">
      <w:pPr>
        <w:ind w:firstLine="420"/>
        <w:rPr>
          <w:rFonts w:ascii="宋体" w:hAnsi="宋体" w:cs="宋体"/>
        </w:rPr>
      </w:pPr>
      <w:r>
        <w:rPr>
          <w:rFonts w:hint="eastAsia" w:ascii="宋体" w:hAnsi="宋体" w:cs="宋体"/>
        </w:rPr>
        <w:t>十五日黎明，进攻梅关。行不四、五里，该匪即分路来迎。我军枪炮齐施，击倒前队贼匪数百人。该匪复用马队分三路冲来，我军抬枪火箭齐发，贼势不支，纷纷败窜。我军追至梅关半岭，沿途复毙贼匪二百余名。该匪逃回山顶，将吊桥抽去，我军不能前进，仍折回中站营盘。</w:t>
      </w:r>
    </w:p>
    <w:p w14:paraId="6B352827">
      <w:pPr>
        <w:ind w:firstLine="420"/>
        <w:rPr>
          <w:rFonts w:ascii="宋体" w:hAnsi="宋体" w:cs="宋体"/>
        </w:rPr>
      </w:pPr>
      <w:r>
        <w:rPr>
          <w:rFonts w:hint="eastAsia" w:ascii="宋体" w:hAnsi="宋体" w:cs="宋体"/>
        </w:rPr>
        <w:t>十六日至二十八日，我军连日出队，该匪死守梅关，据险负隅。因该处居庾岭之巅，山路逼窄。该匪居高临下，我军仰攻难以得手。勒福会商各营，以梅关乃江粤要隘，此处不破，则粤省防堵终无了期。乃分派各军于二十九、三十及二月初一日轮番攻击，昼夜不停，各匪连日抵御，疲乏难堪。</w:t>
      </w:r>
    </w:p>
    <w:p w14:paraId="1830B8D3">
      <w:pPr>
        <w:ind w:firstLine="420"/>
        <w:rPr>
          <w:rFonts w:ascii="宋体" w:hAnsi="宋体" w:cs="宋体"/>
        </w:rPr>
      </w:pPr>
      <w:r>
        <w:rPr>
          <w:rFonts w:hint="eastAsia" w:ascii="宋体" w:hAnsi="宋体" w:cs="宋体"/>
        </w:rPr>
        <w:t>初二日丑刻，福禄堪密雇山民数十人作向导，亲率南雄、始兴各营官兵偃旗息鼓，黑夜潜行，密约大队兵勇尾随继进。福禄堪与向导勇先抢上岭巅，砍栅直入，该匪猝不及防，登时，支援南雄、始兴兵丁齐声喊杀，各军陆续齐上，抛掷火罐焚毁贼营七座。各匪自相践踏，踏毙、歼毙不可胜计。生擒五名，夺获旗帜、帐房、器械等件不计其数。即于是日辰刻将梅关攻破。勒福探知江西大兵正在急攻南安，定计越境会剿。随与三多、哈芬布等督带兵勇局绅，前任福建督粮道叶永元等督带团练，于初二夜四鼓起行，全军直趋南安。黎明驰抵南岸水城。适江楚大军正在围攻老城，我军即先攻水城，四面合剿，枪炮火箭迅发如雨。对河老城之贼不能接应，该匪大败而逃。兵勇追杀数百名，过河淹毙者无数。惟时江楚兵勇攻打老城正急，老城之贼见水城被我军克复，亦即亡命奔逃。我军即赶过对河会合江楚官军，将老城克复。是日，毙敌约数千人。各营割取长发首级一百五十五个、耳记一百九十六副，生擒匪党三十二名，夺获枪炮四百余件，救出被难妇女幼孩一千余口。南安府仓厫尚存谷一千二百余石，当交江西委员周庆榕点收，取有领字。时该匪分路远窜，江西大兵云集，足敷追剿；且闻该匪有分股窜扰广东仁化、乐昌之信，我军即于初六、七等日分起凯撤回粤。</w:t>
      </w:r>
    </w:p>
    <w:p w14:paraId="57206C59">
      <w:pPr>
        <w:ind w:firstLine="420"/>
        <w:rPr>
          <w:rFonts w:ascii="宋体" w:hAnsi="宋体" w:cs="宋体"/>
        </w:rPr>
      </w:pPr>
      <w:r>
        <w:rPr>
          <w:rFonts w:hint="eastAsia" w:ascii="宋体" w:hAnsi="宋体" w:cs="宋体"/>
        </w:rPr>
        <w:t>据勒福、三多暨带兵勇各官先后禀报，经前督及黄宗汉移交核奏前事，臣查此股贼匪自上年夏间窜入福建，连陷郡县，旋以一股占据连城，余党仍回江西，屡图窜扰粤境。其在龙南、定南、信丰各处者已屡次闯入平远、和平边界，均经官兵团练击退。乃后拥大队万余人突犯南雄，攻扑城池。在事文武大小三十余战，立解城围，将匪剿退，攻破梅关老巢后越境穷追，会同江楚各军合剿，将南安府水城老城同时光复，尚属著有微劳，可否查明择优请奖，俾资鼓励，恭候谕旨遵行。至新拔三江协左营把总黄超伦打仗被掳，骂贼遇害，忠愤可悯，应请勅部照例议恤；伤亡兵勇，查明咨部核办。</w:t>
      </w:r>
    </w:p>
    <w:p w14:paraId="1F06CB12">
      <w:pPr>
        <w:ind w:firstLine="420"/>
        <w:rPr>
          <w:rFonts w:ascii="宋体" w:hAnsi="宋体" w:cs="宋体"/>
        </w:rPr>
      </w:pPr>
      <w:r>
        <w:rPr>
          <w:rFonts w:hint="eastAsia" w:ascii="宋体" w:hAnsi="宋体" w:cs="宋体"/>
        </w:rPr>
        <w:t>谨恭折由驿具奏，伏乞皇上圣鉴训示。再，广东巡抚系臣本任，</w:t>
      </w:r>
    </w:p>
    <w:p w14:paraId="7116D549">
      <w:pPr>
        <w:ind w:firstLine="420"/>
        <w:rPr>
          <w:rFonts w:ascii="宋体" w:hAnsi="宋体" w:cs="宋体"/>
        </w:rPr>
      </w:pPr>
      <w:r>
        <w:rPr>
          <w:rFonts w:hint="eastAsia" w:ascii="宋体" w:hAnsi="宋体" w:cs="宋体"/>
        </w:rPr>
        <w:t>毋庸会衔。</w:t>
      </w:r>
    </w:p>
    <w:p w14:paraId="5666A713">
      <w:pPr>
        <w:ind w:firstLine="0" w:firstLineChars="0"/>
        <w:rPr>
          <w:rFonts w:ascii="宋体" w:hAnsi="宋体" w:cs="宋体"/>
        </w:rPr>
      </w:pPr>
      <w:r>
        <w:rPr>
          <w:rFonts w:hint="eastAsia" w:ascii="宋体" w:hAnsi="宋体" w:cs="宋体"/>
        </w:rPr>
        <w:t>谨奏                                                                              十月初七日</w:t>
      </w:r>
    </w:p>
    <w:p w14:paraId="798099BB">
      <w:pPr>
        <w:ind w:firstLine="420"/>
        <w:jc w:val="right"/>
        <w:rPr>
          <w:rFonts w:ascii="宋体" w:hAnsi="宋体" w:cs="宋体"/>
        </w:rPr>
      </w:pPr>
      <w:r>
        <w:rPr>
          <w:rFonts w:hint="eastAsia" w:ascii="宋体" w:hAnsi="宋体" w:cs="宋体"/>
        </w:rPr>
        <w:t>咸丰九年十月二十七日奉硃批  钦此</w:t>
      </w:r>
    </w:p>
    <w:p w14:paraId="70D0BDD1">
      <w:pPr>
        <w:ind w:firstLine="420"/>
        <w:jc w:val="right"/>
        <w:rPr>
          <w:rFonts w:ascii="宋体" w:hAnsi="宋体" w:cs="宋体"/>
        </w:rPr>
      </w:pPr>
      <w:r>
        <w:rPr>
          <w:rFonts w:hint="eastAsia" w:ascii="宋体" w:hAnsi="宋体" w:cs="宋体"/>
        </w:rPr>
        <w:t>（本文系两广总督劳崇光的奏稿，原件藏北京故宫博物院，点校魏家琼）</w:t>
      </w:r>
    </w:p>
    <w:p w14:paraId="391924EC">
      <w:pPr>
        <w:pStyle w:val="2"/>
        <w:rPr>
          <w:rFonts w:ascii="宋体" w:hAnsi="宋体" w:cs="宋体"/>
        </w:rPr>
      </w:pPr>
      <w:r>
        <w:rPr>
          <w:rFonts w:hint="eastAsia" w:ascii="宋体" w:hAnsi="宋体" w:cs="宋体"/>
        </w:rPr>
        <w:t>编后记</w:t>
      </w:r>
    </w:p>
    <w:p w14:paraId="5EE7A080">
      <w:pPr>
        <w:ind w:firstLine="420"/>
        <w:rPr>
          <w:rFonts w:ascii="宋体" w:hAnsi="宋体" w:cs="宋体"/>
        </w:rPr>
      </w:pPr>
      <w:r>
        <w:rPr>
          <w:rFonts w:hint="eastAsia" w:ascii="宋体" w:hAnsi="宋体" w:cs="宋体"/>
        </w:rPr>
        <w:t>《南雄市志》的出版是全市方志工作者共同努力的结果。自2002年以来，我市130多个单位积极贯彻执行市委、市政府的指示，认真搜集各专业史料，为《南雄市志》总纂打下了坚实的基础。在此，对各部门单位参与此项工作的100多名修志工作人员表示衷心的感谢。</w:t>
      </w:r>
    </w:p>
    <w:p w14:paraId="2BF4333C">
      <w:pPr>
        <w:ind w:firstLine="420"/>
        <w:rPr>
          <w:rFonts w:ascii="宋体" w:hAnsi="宋体" w:cs="宋体"/>
        </w:rPr>
      </w:pPr>
      <w:r>
        <w:rPr>
          <w:rFonts w:hint="eastAsia" w:ascii="宋体" w:hAnsi="宋体" w:cs="宋体"/>
        </w:rPr>
        <w:t>全国第二届修志工作启动之后，南雄市委、市政府于2002年8月作出修志的决定。市史志办公室随即组织各部门单位各自撰写志稿，并对第二届修志体例作了认真研究，认为已于1991年出版、1996年再版的《南雄县志》是在省方志办具体指导下编写完成，在全省率先出版的新编第一部县志，又被中国地方志领导小组评为全国新编地方志优秀成果一等奖。因此，第二届修志应当十分珍惜第一届修志成果，在《南雄县志》原有的体例和特色的基础上续修，以进一步完善之，充实之。同时，也考虑到南雄已于1996年6月撤县设市，第二届修志实为编写第一部南雄市志，无疑它应当修成一部历史完整的市志。续修体例已定，乃由市志编委办曾冠雄撰写《南雄市志》总纂篇目，经三次讨论修改定稿，报《南雄市志》编委会审定，而后又报韶关市史志办、省方志办审议认可，前后历时一年多，而后付诸实施。</w:t>
      </w:r>
    </w:p>
    <w:p w14:paraId="09F697D8">
      <w:pPr>
        <w:ind w:firstLine="420"/>
        <w:rPr>
          <w:rFonts w:ascii="宋体" w:hAnsi="宋体" w:cs="宋体"/>
        </w:rPr>
      </w:pPr>
      <w:r>
        <w:rPr>
          <w:rFonts w:hint="eastAsia" w:ascii="宋体" w:hAnsi="宋体" w:cs="宋体"/>
        </w:rPr>
        <w:t>2004年3月，市地方志编纂委员会组成了《南雄市志》总纂编辑部，编辑人员随即投入紧张的编纂工作，现将各编辑执笔编章分列于后：罗凯燊执笔《总述》、《地理编》一至四章、《人物编》一至二章、《经济编》的《经济体制改革》章；陈景泰执笔《大事记》；黄朝定执笔《政治编》一至九章，《社会编》一、二、三、五章，《经济编》的《金融、保险》章和《财政、税收》章；黄寿滔执笔《经济编》的《农业》章、《黄烟》章、《水利》章、《林业》章、《农机》章和《各镇概况编》；李君祥执笔《经济编》的《劳动和社会保险》章、《物价》章；陈如永执笔《经济编》的《工业》章、《基础设施篇》；邱才桂执笔《经济编》的《交通》章、《国内贸易》章、《粮油购销》章、《乡镇企业》章、《旅游业》章；钟祥灵执笔《文化编》的《教育》章、《科学技术》章；庄子圣执笔《文化编》的《文化艺术》章、《文物名胜》章、《卫生》章；钟义海执笔《文化编》的《体育》章；肖锋、谢平、刘球凤、董家余参与有关编章的协编工作。照片由周宏忠、欧阳克兴、沈玉明、李子亮、欧阳辉及有关单位提供，图表由建设局、国土局、水利局、供电局、旅游局等有关单位提供。2007年5月完成总纂初稿，反复修改，逐级送审，2010年10月市志编辑部根据韶关市志书审查委员会终审意见，对志书稿进行较大变动修改，2011年9月至11月，陈景泰、谢平根据方志出版社审稿意见，对志书稿再次作了全面系统的修正。</w:t>
      </w:r>
    </w:p>
    <w:p w14:paraId="65354E35">
      <w:pPr>
        <w:ind w:firstLine="420"/>
        <w:rPr>
          <w:rFonts w:ascii="宋体" w:hAnsi="宋体" w:cs="宋体"/>
        </w:rPr>
      </w:pPr>
      <w:r>
        <w:rPr>
          <w:rFonts w:hint="eastAsia" w:ascii="宋体" w:hAnsi="宋体" w:cs="宋体"/>
        </w:rPr>
        <w:t>《南雄市志》的编写历经九载，汇集群智，众手成书。从始至终得到省和韶关市业务部门的具体指导，市档案局、统计局以及其他有关单位部门的通力协作，还得到了许多老干部、老前辈的关心和帮助，在此一一表示感谢。因编者水平有限，错漏之处难免，敬请读者指正。</w:t>
      </w:r>
    </w:p>
    <w:p w14:paraId="7F7911D5">
      <w:pPr>
        <w:ind w:firstLine="420"/>
        <w:jc w:val="right"/>
        <w:rPr>
          <w:rFonts w:ascii="宋体" w:hAnsi="宋体" w:cs="宋体"/>
        </w:rPr>
      </w:pPr>
      <w:r>
        <w:rPr>
          <w:rFonts w:hint="eastAsia" w:ascii="宋体" w:hAnsi="宋体" w:cs="宋体"/>
        </w:rPr>
        <w:t>《南雄市志》编委会</w:t>
      </w:r>
    </w:p>
    <w:p w14:paraId="4EA5472D">
      <w:pPr>
        <w:ind w:firstLine="420"/>
        <w:jc w:val="right"/>
        <w:rPr>
          <w:rFonts w:ascii="宋体" w:hAnsi="宋体" w:cs="宋体"/>
        </w:rPr>
      </w:pPr>
      <w:r>
        <w:rPr>
          <w:rFonts w:hint="eastAsia" w:ascii="宋体" w:hAnsi="宋体" w:cs="宋体"/>
        </w:rPr>
        <w:t>2011年11月</w:t>
      </w:r>
    </w:p>
    <w:tbl>
      <w:tblPr>
        <w:tblStyle w:val="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7C2B2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6BE295C">
            <w:pPr>
              <w:ind w:firstLine="0" w:firstLineChars="0"/>
              <w:jc w:val="center"/>
              <w:rPr>
                <w:rFonts w:ascii="宋体" w:hAnsi="宋体" w:cs="宋体"/>
              </w:rPr>
            </w:pPr>
            <w:r>
              <w:rPr>
                <w:rFonts w:ascii="宋体" w:hAnsi="宋体" w:cs="宋体"/>
              </w:rPr>
              <w:drawing>
                <wp:inline distT="0" distB="0" distL="114300" distR="114300">
                  <wp:extent cx="5910580" cy="8485505"/>
                  <wp:effectExtent l="0" t="0" r="13970" b="10795"/>
                  <wp:docPr id="61" name="图片 175" descr="南雄市志 封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75" descr="南雄市志 封底"/>
                          <pic:cNvPicPr>
                            <a:picLocks noChangeAspect="1"/>
                          </pic:cNvPicPr>
                        </pic:nvPicPr>
                        <pic:blipFill>
                          <a:blip r:embed="rId212"/>
                          <a:stretch>
                            <a:fillRect/>
                          </a:stretch>
                        </pic:blipFill>
                        <pic:spPr>
                          <a:xfrm>
                            <a:off x="0" y="0"/>
                            <a:ext cx="5910580" cy="8485505"/>
                          </a:xfrm>
                          <a:prstGeom prst="rect">
                            <a:avLst/>
                          </a:prstGeom>
                          <a:noFill/>
                          <a:ln>
                            <a:noFill/>
                          </a:ln>
                        </pic:spPr>
                      </pic:pic>
                    </a:graphicData>
                  </a:graphic>
                </wp:inline>
              </w:drawing>
            </w:r>
          </w:p>
        </w:tc>
      </w:tr>
    </w:tbl>
    <w:p w14:paraId="59A45516">
      <w:pPr>
        <w:ind w:left="0" w:leftChars="0" w:firstLine="0" w:firstLineChars="0"/>
      </w:pPr>
    </w:p>
    <w:sectPr>
      <w:headerReference r:id="rId7" w:type="first"/>
      <w:footerReference r:id="rId10" w:type="first"/>
      <w:headerReference r:id="rId5" w:type="default"/>
      <w:footerReference r:id="rId8" w:type="default"/>
      <w:headerReference r:id="rId6" w:type="even"/>
      <w:footerReference r:id="rId9" w:type="even"/>
      <w:pgSz w:w="11906" w:h="16838"/>
      <w:pgMar w:top="1440" w:right="1080" w:bottom="1440" w:left="108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auto"/>
    <w:pitch w:val="default"/>
    <w:sig w:usb0="E4002EFF" w:usb1="C000247B" w:usb2="00000009" w:usb3="00000000" w:csb0="200001FF" w:csb1="00000000"/>
  </w:font>
  <w:font w:name="SimSun-ExtB">
    <w:panose1 w:val="02010609060101010101"/>
    <w:charset w:val="86"/>
    <w:family w:val="modern"/>
    <w:pitch w:val="default"/>
    <w:sig w:usb0="00000001" w:usb1="02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808950">
    <w:pPr>
      <w:pStyle w:val="6"/>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17792B">
    <w:pPr>
      <w:pStyle w:val="6"/>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76C630">
    <w:pPr>
      <w:pStyle w:val="6"/>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66D1D8">
    <w:pPr>
      <w:pStyle w:val="7"/>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1CB5D1">
    <w:pPr>
      <w:pStyle w:val="7"/>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DE07E1">
    <w:pPr>
      <w:pStyle w:val="7"/>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4147BF"/>
    <w:multiLevelType w:val="singleLevel"/>
    <w:tmpl w:val="894147BF"/>
    <w:lvl w:ilvl="0" w:tentative="0">
      <w:start w:val="1"/>
      <w:numFmt w:val="chineseCounting"/>
      <w:suff w:val="nothing"/>
      <w:lvlText w:val="%1、"/>
      <w:lvlJc w:val="left"/>
      <w:rPr>
        <w:rFonts w:hint="eastAsia"/>
      </w:rPr>
    </w:lvl>
  </w:abstractNum>
  <w:abstractNum w:abstractNumId="1">
    <w:nsid w:val="7EAF5040"/>
    <w:multiLevelType w:val="singleLevel"/>
    <w:tmpl w:val="7EAF5040"/>
    <w:lvl w:ilvl="0" w:tentative="0">
      <w:start w:val="2"/>
      <w:numFmt w:val="chineseCounting"/>
      <w:suff w:val="nothing"/>
      <w:lvlText w:val="%1、"/>
      <w:lvlJc w:val="left"/>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kwNjc2OWNjMmQ3ZDNiMmE4OTE5ZmNmMzZkZWE4ZDkifQ=="/>
  </w:docVars>
  <w:rsids>
    <w:rsidRoot w:val="6D224A10"/>
    <w:rsid w:val="119D53C4"/>
    <w:rsid w:val="19AE54B4"/>
    <w:rsid w:val="1B124409"/>
    <w:rsid w:val="1C1F7B92"/>
    <w:rsid w:val="1DB27336"/>
    <w:rsid w:val="31D202DE"/>
    <w:rsid w:val="369B31B3"/>
    <w:rsid w:val="5AC76493"/>
    <w:rsid w:val="6B1747F7"/>
    <w:rsid w:val="6D224A10"/>
    <w:rsid w:val="6FFD4F62"/>
    <w:rsid w:val="70AD6B66"/>
    <w:rsid w:val="726E2B2C"/>
    <w:rsid w:val="7377225C"/>
    <w:rsid w:val="74B84955"/>
    <w:rsid w:val="75910B77"/>
    <w:rsid w:val="7616367D"/>
    <w:rsid w:val="7CED716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iPriority="0" w:semiHidden="0" w:name="header"/>
    <w:lsdException w:qFormat="1"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iPriority="99"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eastAsia="宋体" w:asciiTheme="minorHAnsi" w:hAnsiTheme="minorHAnsi" w:cstheme="minorBidi"/>
      <w:kern w:val="2"/>
      <w:sz w:val="21"/>
      <w:szCs w:val="22"/>
      <w:lang w:val="en-US" w:eastAsia="zh-CN" w:bidi="ar-SA"/>
    </w:rPr>
  </w:style>
  <w:style w:type="paragraph" w:styleId="2">
    <w:name w:val="heading 1"/>
    <w:next w:val="1"/>
    <w:qFormat/>
    <w:uiPriority w:val="0"/>
    <w:pPr>
      <w:keepNext/>
      <w:keepLines/>
      <w:spacing w:before="340" w:after="330" w:line="578" w:lineRule="auto"/>
      <w:jc w:val="center"/>
      <w:outlineLvl w:val="0"/>
    </w:pPr>
    <w:rPr>
      <w:rFonts w:eastAsia="宋体" w:asciiTheme="minorHAnsi" w:hAnsiTheme="minorHAnsi" w:cstheme="minorBidi"/>
      <w:b/>
      <w:bCs/>
      <w:kern w:val="44"/>
      <w:sz w:val="44"/>
      <w:szCs w:val="44"/>
      <w:lang w:val="en-US" w:eastAsia="zh-CN" w:bidi="ar-SA"/>
    </w:rPr>
  </w:style>
  <w:style w:type="paragraph" w:styleId="3">
    <w:name w:val="heading 2"/>
    <w:next w:val="1"/>
    <w:unhideWhenUsed/>
    <w:qFormat/>
    <w:uiPriority w:val="0"/>
    <w:pPr>
      <w:keepNext/>
      <w:keepLines/>
      <w:spacing w:before="260" w:after="260" w:line="416" w:lineRule="auto"/>
      <w:jc w:val="center"/>
      <w:outlineLvl w:val="1"/>
    </w:pPr>
    <w:rPr>
      <w:rFonts w:eastAsia="宋体" w:asciiTheme="majorHAnsi" w:hAnsiTheme="majorHAnsi" w:cstheme="majorBidi"/>
      <w:b/>
      <w:bCs/>
      <w:kern w:val="2"/>
      <w:sz w:val="36"/>
      <w:szCs w:val="32"/>
      <w:lang w:val="en-US" w:eastAsia="zh-CN" w:bidi="ar-SA"/>
    </w:rPr>
  </w:style>
  <w:style w:type="paragraph" w:styleId="4">
    <w:name w:val="heading 3"/>
    <w:next w:val="1"/>
    <w:unhideWhenUsed/>
    <w:qFormat/>
    <w:uiPriority w:val="0"/>
    <w:pPr>
      <w:keepNext/>
      <w:keepLines/>
      <w:spacing w:before="260" w:after="260" w:line="416" w:lineRule="auto"/>
      <w:jc w:val="center"/>
      <w:outlineLvl w:val="2"/>
    </w:pPr>
    <w:rPr>
      <w:rFonts w:eastAsia="宋体" w:asciiTheme="minorHAnsi" w:hAnsiTheme="minorHAnsi" w:cstheme="minorBidi"/>
      <w:b/>
      <w:bCs/>
      <w:kern w:val="2"/>
      <w:sz w:val="32"/>
      <w:szCs w:val="32"/>
      <w:lang w:val="en-US" w:eastAsia="zh-CN" w:bidi="ar-SA"/>
    </w:rPr>
  </w:style>
  <w:style w:type="paragraph" w:styleId="5">
    <w:name w:val="heading 4"/>
    <w:next w:val="1"/>
    <w:unhideWhenUsed/>
    <w:qFormat/>
    <w:uiPriority w:val="9"/>
    <w:pPr>
      <w:keepNext/>
      <w:keepLines/>
      <w:spacing w:line="360" w:lineRule="auto"/>
      <w:jc w:val="center"/>
      <w:outlineLvl w:val="3"/>
    </w:pPr>
    <w:rPr>
      <w:rFonts w:eastAsia="宋体" w:asciiTheme="majorHAnsi" w:hAnsiTheme="majorHAnsi" w:cstheme="majorBidi"/>
      <w:b/>
      <w:bCs/>
      <w:kern w:val="2"/>
      <w:sz w:val="30"/>
      <w:szCs w:val="28"/>
      <w:lang w:val="en-US" w:eastAsia="zh-CN" w:bidi="ar-SA"/>
    </w:rPr>
  </w:style>
  <w:style w:type="character" w:default="1" w:styleId="10">
    <w:name w:val="Default Paragraph Font"/>
    <w:semiHidden/>
    <w:qFormat/>
    <w:uiPriority w:val="0"/>
  </w:style>
  <w:style w:type="table" w:default="1" w:styleId="8">
    <w:name w:val="Normal Table"/>
    <w:semiHidden/>
    <w:qFormat/>
    <w:uiPriority w:val="0"/>
    <w:tblPr>
      <w:tblCellMar>
        <w:top w:w="0" w:type="dxa"/>
        <w:left w:w="108" w:type="dxa"/>
        <w:bottom w:w="0" w:type="dxa"/>
        <w:right w:w="108" w:type="dxa"/>
      </w:tblCellMar>
    </w:tblPr>
  </w:style>
  <w:style w:type="paragraph" w:styleId="6">
    <w:name w:val="footer"/>
    <w:basedOn w:val="1"/>
    <w:unhideWhenUsed/>
    <w:qFormat/>
    <w:uiPriority w:val="0"/>
    <w:pPr>
      <w:tabs>
        <w:tab w:val="center" w:pos="4153"/>
        <w:tab w:val="right" w:pos="8306"/>
      </w:tabs>
      <w:snapToGrid w:val="0"/>
      <w:spacing w:line="240" w:lineRule="auto"/>
      <w:jc w:val="left"/>
    </w:pPr>
    <w:rPr>
      <w:sz w:val="18"/>
      <w:szCs w:val="18"/>
    </w:rPr>
  </w:style>
  <w:style w:type="paragraph" w:styleId="7">
    <w:name w:val="header"/>
    <w:basedOn w:val="1"/>
    <w:unhideWhenUsed/>
    <w:qFormat/>
    <w:uiPriority w:val="0"/>
    <w:pPr>
      <w:pBdr>
        <w:bottom w:val="single" w:color="auto" w:sz="6" w:space="1"/>
      </w:pBdr>
      <w:tabs>
        <w:tab w:val="center" w:pos="4153"/>
        <w:tab w:val="right" w:pos="8306"/>
      </w:tabs>
      <w:snapToGrid w:val="0"/>
      <w:spacing w:line="240" w:lineRule="auto"/>
      <w:jc w:val="center"/>
    </w:pPr>
    <w:rPr>
      <w:sz w:val="18"/>
      <w:szCs w:val="18"/>
    </w:rPr>
  </w:style>
  <w:style w:type="table" w:styleId="9">
    <w:name w:val="Table Grid"/>
    <w:basedOn w:val="8"/>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1">
    <w:name w:val="annotation reference"/>
    <w:basedOn w:val="10"/>
    <w:semiHidden/>
    <w:unhideWhenUsed/>
    <w:qFormat/>
    <w:uiPriority w:val="99"/>
    <w:rPr>
      <w:sz w:val="21"/>
      <w:szCs w:val="21"/>
    </w:rPr>
  </w:style>
  <w:style w:type="paragraph" w:styleId="12">
    <w:name w:val="No Spacing"/>
    <w:qFormat/>
    <w:uiPriority w:val="1"/>
    <w:pPr>
      <w:widowControl w:val="0"/>
      <w:spacing w:line="360" w:lineRule="auto"/>
      <w:jc w:val="both"/>
    </w:pPr>
    <w:rPr>
      <w:rFonts w:eastAsia="宋体" w:asciiTheme="minorHAnsi" w:hAnsiTheme="minorHAnsi" w:cstheme="minorBidi"/>
      <w:kern w:val="2"/>
      <w:sz w:val="21"/>
      <w:szCs w:val="22"/>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88.jpeg"/><Relationship Id="rId98" Type="http://schemas.openxmlformats.org/officeDocument/2006/relationships/image" Target="media/image87.jpeg"/><Relationship Id="rId97" Type="http://schemas.openxmlformats.org/officeDocument/2006/relationships/image" Target="media/image86.jpeg"/><Relationship Id="rId96" Type="http://schemas.openxmlformats.org/officeDocument/2006/relationships/image" Target="media/image85.jpeg"/><Relationship Id="rId95" Type="http://schemas.openxmlformats.org/officeDocument/2006/relationships/image" Target="media/image84.jpeg"/><Relationship Id="rId94" Type="http://schemas.openxmlformats.org/officeDocument/2006/relationships/image" Target="media/image83.jpeg"/><Relationship Id="rId93" Type="http://schemas.openxmlformats.org/officeDocument/2006/relationships/image" Target="media/image82.jpeg"/><Relationship Id="rId92" Type="http://schemas.openxmlformats.org/officeDocument/2006/relationships/image" Target="media/image81.jpeg"/><Relationship Id="rId91" Type="http://schemas.openxmlformats.org/officeDocument/2006/relationships/image" Target="media/image80.jpeg"/><Relationship Id="rId90" Type="http://schemas.openxmlformats.org/officeDocument/2006/relationships/image" Target="media/image79.jpeg"/><Relationship Id="rId9" Type="http://schemas.openxmlformats.org/officeDocument/2006/relationships/footer" Target="footer2.xml"/><Relationship Id="rId89" Type="http://schemas.openxmlformats.org/officeDocument/2006/relationships/image" Target="media/image78.jpeg"/><Relationship Id="rId88" Type="http://schemas.openxmlformats.org/officeDocument/2006/relationships/image" Target="media/image77.jpeg"/><Relationship Id="rId87" Type="http://schemas.openxmlformats.org/officeDocument/2006/relationships/image" Target="media/image76.jpeg"/><Relationship Id="rId86" Type="http://schemas.openxmlformats.org/officeDocument/2006/relationships/image" Target="media/image75.jpeg"/><Relationship Id="rId85" Type="http://schemas.openxmlformats.org/officeDocument/2006/relationships/image" Target="media/image74.jpeg"/><Relationship Id="rId84" Type="http://schemas.openxmlformats.org/officeDocument/2006/relationships/image" Target="media/image73.jpeg"/><Relationship Id="rId83" Type="http://schemas.openxmlformats.org/officeDocument/2006/relationships/image" Target="media/image72.jpeg"/><Relationship Id="rId82" Type="http://schemas.openxmlformats.org/officeDocument/2006/relationships/image" Target="media/image71.jpeg"/><Relationship Id="rId81" Type="http://schemas.openxmlformats.org/officeDocument/2006/relationships/image" Target="media/image70.jpeg"/><Relationship Id="rId80" Type="http://schemas.openxmlformats.org/officeDocument/2006/relationships/image" Target="media/image69.jpeg"/><Relationship Id="rId8" Type="http://schemas.openxmlformats.org/officeDocument/2006/relationships/footer" Target="footer1.xml"/><Relationship Id="rId79" Type="http://schemas.openxmlformats.org/officeDocument/2006/relationships/image" Target="media/image68.jpeg"/><Relationship Id="rId78" Type="http://schemas.openxmlformats.org/officeDocument/2006/relationships/image" Target="media/image67.jpeg"/><Relationship Id="rId77" Type="http://schemas.openxmlformats.org/officeDocument/2006/relationships/image" Target="media/image66.jpeg"/><Relationship Id="rId76" Type="http://schemas.openxmlformats.org/officeDocument/2006/relationships/image" Target="media/image65.jpeg"/><Relationship Id="rId75" Type="http://schemas.openxmlformats.org/officeDocument/2006/relationships/image" Target="media/image64.jpeg"/><Relationship Id="rId74" Type="http://schemas.openxmlformats.org/officeDocument/2006/relationships/image" Target="media/image63.jpeg"/><Relationship Id="rId73" Type="http://schemas.openxmlformats.org/officeDocument/2006/relationships/image" Target="media/image62.jpeg"/><Relationship Id="rId72" Type="http://schemas.openxmlformats.org/officeDocument/2006/relationships/image" Target="media/image61.jpeg"/><Relationship Id="rId71" Type="http://schemas.openxmlformats.org/officeDocument/2006/relationships/image" Target="media/image60.jpeg"/><Relationship Id="rId70" Type="http://schemas.openxmlformats.org/officeDocument/2006/relationships/image" Target="media/image59.jpeg"/><Relationship Id="rId7" Type="http://schemas.openxmlformats.org/officeDocument/2006/relationships/header" Target="header3.xml"/><Relationship Id="rId69" Type="http://schemas.openxmlformats.org/officeDocument/2006/relationships/image" Target="media/image58.jpeg"/><Relationship Id="rId68" Type="http://schemas.openxmlformats.org/officeDocument/2006/relationships/image" Target="media/image57.jpeg"/><Relationship Id="rId67" Type="http://schemas.openxmlformats.org/officeDocument/2006/relationships/image" Target="media/image56.jpeg"/><Relationship Id="rId66" Type="http://schemas.openxmlformats.org/officeDocument/2006/relationships/image" Target="media/image55.jpeg"/><Relationship Id="rId65" Type="http://schemas.openxmlformats.org/officeDocument/2006/relationships/image" Target="media/image54.jpeg"/><Relationship Id="rId64" Type="http://schemas.openxmlformats.org/officeDocument/2006/relationships/image" Target="media/image53.jpeg"/><Relationship Id="rId63" Type="http://schemas.openxmlformats.org/officeDocument/2006/relationships/image" Target="media/image52.jpeg"/><Relationship Id="rId62" Type="http://schemas.openxmlformats.org/officeDocument/2006/relationships/image" Target="media/image51.jpeg"/><Relationship Id="rId61" Type="http://schemas.openxmlformats.org/officeDocument/2006/relationships/image" Target="media/image50.jpeg"/><Relationship Id="rId60" Type="http://schemas.openxmlformats.org/officeDocument/2006/relationships/image" Target="media/image49.jpeg"/><Relationship Id="rId6" Type="http://schemas.openxmlformats.org/officeDocument/2006/relationships/header" Target="header2.xml"/><Relationship Id="rId59" Type="http://schemas.openxmlformats.org/officeDocument/2006/relationships/image" Target="media/image48.jpeg"/><Relationship Id="rId58" Type="http://schemas.openxmlformats.org/officeDocument/2006/relationships/image" Target="media/image47.jpeg"/><Relationship Id="rId57" Type="http://schemas.openxmlformats.org/officeDocument/2006/relationships/image" Target="media/image46.jpeg"/><Relationship Id="rId56" Type="http://schemas.openxmlformats.org/officeDocument/2006/relationships/image" Target="media/image45.jpeg"/><Relationship Id="rId55" Type="http://schemas.openxmlformats.org/officeDocument/2006/relationships/image" Target="media/image44.jpeg"/><Relationship Id="rId54" Type="http://schemas.openxmlformats.org/officeDocument/2006/relationships/image" Target="media/image43.jpeg"/><Relationship Id="rId53" Type="http://schemas.openxmlformats.org/officeDocument/2006/relationships/image" Target="media/image42.jpeg"/><Relationship Id="rId52" Type="http://schemas.openxmlformats.org/officeDocument/2006/relationships/image" Target="media/image41.jpeg"/><Relationship Id="rId51" Type="http://schemas.openxmlformats.org/officeDocument/2006/relationships/image" Target="media/image40.jpeg"/><Relationship Id="rId50" Type="http://schemas.openxmlformats.org/officeDocument/2006/relationships/image" Target="media/image39.jpeg"/><Relationship Id="rId5" Type="http://schemas.openxmlformats.org/officeDocument/2006/relationships/header" Target="header1.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endnotes" Target="endnotes.xml"/><Relationship Id="rId39" Type="http://schemas.openxmlformats.org/officeDocument/2006/relationships/image" Target="media/image28.jpeg"/><Relationship Id="rId38" Type="http://schemas.openxmlformats.org/officeDocument/2006/relationships/image" Target="media/image27.jpeg"/><Relationship Id="rId37" Type="http://schemas.openxmlformats.org/officeDocument/2006/relationships/image" Target="media/image26.jpe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jpeg"/><Relationship Id="rId30" Type="http://schemas.openxmlformats.org/officeDocument/2006/relationships/image" Target="media/image19.jpeg"/><Relationship Id="rId3" Type="http://schemas.openxmlformats.org/officeDocument/2006/relationships/footnotes" Target="footnotes.xml"/><Relationship Id="rId29" Type="http://schemas.openxmlformats.org/officeDocument/2006/relationships/image" Target="media/image18.jpeg"/><Relationship Id="rId28" Type="http://schemas.openxmlformats.org/officeDocument/2006/relationships/image" Target="media/image17.jpeg"/><Relationship Id="rId27" Type="http://schemas.openxmlformats.org/officeDocument/2006/relationships/image" Target="media/image16.jpeg"/><Relationship Id="rId26" Type="http://schemas.openxmlformats.org/officeDocument/2006/relationships/image" Target="media/image15.jpeg"/><Relationship Id="rId25" Type="http://schemas.openxmlformats.org/officeDocument/2006/relationships/image" Target="media/image14.jpeg"/><Relationship Id="rId24" Type="http://schemas.openxmlformats.org/officeDocument/2006/relationships/image" Target="media/image13.jpeg"/><Relationship Id="rId23" Type="http://schemas.openxmlformats.org/officeDocument/2006/relationships/image" Target="media/image12.jpeg"/><Relationship Id="rId22" Type="http://schemas.openxmlformats.org/officeDocument/2006/relationships/image" Target="media/image11.jpeg"/><Relationship Id="rId214" Type="http://schemas.openxmlformats.org/officeDocument/2006/relationships/fontTable" Target="fontTable.xml"/><Relationship Id="rId213" Type="http://schemas.openxmlformats.org/officeDocument/2006/relationships/numbering" Target="numbering.xml"/><Relationship Id="rId212" Type="http://schemas.openxmlformats.org/officeDocument/2006/relationships/image" Target="media/image201.jpeg"/><Relationship Id="rId211" Type="http://schemas.openxmlformats.org/officeDocument/2006/relationships/image" Target="media/image200.png"/><Relationship Id="rId210" Type="http://schemas.openxmlformats.org/officeDocument/2006/relationships/image" Target="media/image199.png"/><Relationship Id="rId21" Type="http://schemas.openxmlformats.org/officeDocument/2006/relationships/image" Target="media/image10.jpeg"/><Relationship Id="rId209" Type="http://schemas.openxmlformats.org/officeDocument/2006/relationships/image" Target="media/image198.png"/><Relationship Id="rId208" Type="http://schemas.openxmlformats.org/officeDocument/2006/relationships/image" Target="media/image197.png"/><Relationship Id="rId207" Type="http://schemas.openxmlformats.org/officeDocument/2006/relationships/image" Target="media/image196.png"/><Relationship Id="rId206" Type="http://schemas.openxmlformats.org/officeDocument/2006/relationships/image" Target="media/image195.png"/><Relationship Id="rId205" Type="http://schemas.openxmlformats.org/officeDocument/2006/relationships/image" Target="media/image194.png"/><Relationship Id="rId204" Type="http://schemas.openxmlformats.org/officeDocument/2006/relationships/image" Target="media/image193.png"/><Relationship Id="rId203" Type="http://schemas.openxmlformats.org/officeDocument/2006/relationships/image" Target="media/image192.png"/><Relationship Id="rId202" Type="http://schemas.openxmlformats.org/officeDocument/2006/relationships/image" Target="media/image191.png"/><Relationship Id="rId201" Type="http://schemas.openxmlformats.org/officeDocument/2006/relationships/image" Target="media/image190.png"/><Relationship Id="rId200" Type="http://schemas.openxmlformats.org/officeDocument/2006/relationships/image" Target="media/image189.png"/><Relationship Id="rId20" Type="http://schemas.openxmlformats.org/officeDocument/2006/relationships/image" Target="media/image9.jpeg"/><Relationship Id="rId2" Type="http://schemas.openxmlformats.org/officeDocument/2006/relationships/settings" Target="settings.xml"/><Relationship Id="rId199" Type="http://schemas.openxmlformats.org/officeDocument/2006/relationships/image" Target="media/image188.png"/><Relationship Id="rId198" Type="http://schemas.openxmlformats.org/officeDocument/2006/relationships/image" Target="media/image187.png"/><Relationship Id="rId197" Type="http://schemas.openxmlformats.org/officeDocument/2006/relationships/image" Target="media/image186.jpeg"/><Relationship Id="rId196" Type="http://schemas.openxmlformats.org/officeDocument/2006/relationships/image" Target="media/image185.jpeg"/><Relationship Id="rId195" Type="http://schemas.openxmlformats.org/officeDocument/2006/relationships/image" Target="media/image184.png"/><Relationship Id="rId194" Type="http://schemas.openxmlformats.org/officeDocument/2006/relationships/image" Target="media/image183.png"/><Relationship Id="rId193" Type="http://schemas.openxmlformats.org/officeDocument/2006/relationships/image" Target="media/image182.png"/><Relationship Id="rId192" Type="http://schemas.openxmlformats.org/officeDocument/2006/relationships/image" Target="media/image181.png"/><Relationship Id="rId191" Type="http://schemas.openxmlformats.org/officeDocument/2006/relationships/image" Target="media/image180.png"/><Relationship Id="rId190" Type="http://schemas.openxmlformats.org/officeDocument/2006/relationships/image" Target="media/image179.png"/><Relationship Id="rId19" Type="http://schemas.openxmlformats.org/officeDocument/2006/relationships/image" Target="media/image8.jpeg"/><Relationship Id="rId189" Type="http://schemas.openxmlformats.org/officeDocument/2006/relationships/image" Target="media/image178.png"/><Relationship Id="rId188" Type="http://schemas.openxmlformats.org/officeDocument/2006/relationships/image" Target="media/image177.png"/><Relationship Id="rId187" Type="http://schemas.openxmlformats.org/officeDocument/2006/relationships/image" Target="media/image176.png"/><Relationship Id="rId186" Type="http://schemas.openxmlformats.org/officeDocument/2006/relationships/image" Target="media/image175.png"/><Relationship Id="rId185" Type="http://schemas.openxmlformats.org/officeDocument/2006/relationships/image" Target="media/image174.png"/><Relationship Id="rId184" Type="http://schemas.openxmlformats.org/officeDocument/2006/relationships/image" Target="media/image173.png"/><Relationship Id="rId183" Type="http://schemas.openxmlformats.org/officeDocument/2006/relationships/image" Target="media/image172.jpeg"/><Relationship Id="rId182" Type="http://schemas.openxmlformats.org/officeDocument/2006/relationships/image" Target="media/image171.jpeg"/><Relationship Id="rId181" Type="http://schemas.openxmlformats.org/officeDocument/2006/relationships/image" Target="media/image170.jpeg"/><Relationship Id="rId180" Type="http://schemas.openxmlformats.org/officeDocument/2006/relationships/image" Target="media/image169.jpeg"/><Relationship Id="rId18" Type="http://schemas.openxmlformats.org/officeDocument/2006/relationships/image" Target="media/image7.jpeg"/><Relationship Id="rId179" Type="http://schemas.openxmlformats.org/officeDocument/2006/relationships/image" Target="media/image168.jpeg"/><Relationship Id="rId178" Type="http://schemas.openxmlformats.org/officeDocument/2006/relationships/image" Target="media/image167.jpeg"/><Relationship Id="rId177" Type="http://schemas.openxmlformats.org/officeDocument/2006/relationships/image" Target="media/image166.jpeg"/><Relationship Id="rId176" Type="http://schemas.openxmlformats.org/officeDocument/2006/relationships/image" Target="media/image165.jpeg"/><Relationship Id="rId175" Type="http://schemas.openxmlformats.org/officeDocument/2006/relationships/image" Target="media/image164.jpeg"/><Relationship Id="rId174" Type="http://schemas.openxmlformats.org/officeDocument/2006/relationships/image" Target="media/image163.jpeg"/><Relationship Id="rId173" Type="http://schemas.openxmlformats.org/officeDocument/2006/relationships/image" Target="media/image162.jpeg"/><Relationship Id="rId172" Type="http://schemas.openxmlformats.org/officeDocument/2006/relationships/image" Target="media/image161.jpeg"/><Relationship Id="rId171" Type="http://schemas.openxmlformats.org/officeDocument/2006/relationships/image" Target="media/image160.jpeg"/><Relationship Id="rId170" Type="http://schemas.openxmlformats.org/officeDocument/2006/relationships/image" Target="media/image159.jpeg"/><Relationship Id="rId17" Type="http://schemas.openxmlformats.org/officeDocument/2006/relationships/image" Target="media/image6.jpeg"/><Relationship Id="rId169" Type="http://schemas.openxmlformats.org/officeDocument/2006/relationships/image" Target="media/image158.jpeg"/><Relationship Id="rId168" Type="http://schemas.openxmlformats.org/officeDocument/2006/relationships/image" Target="media/image157.jpeg"/><Relationship Id="rId167" Type="http://schemas.openxmlformats.org/officeDocument/2006/relationships/image" Target="media/image156.jpeg"/><Relationship Id="rId166" Type="http://schemas.openxmlformats.org/officeDocument/2006/relationships/image" Target="media/image155.jpeg"/><Relationship Id="rId165" Type="http://schemas.openxmlformats.org/officeDocument/2006/relationships/image" Target="media/image154.jpeg"/><Relationship Id="rId164" Type="http://schemas.openxmlformats.org/officeDocument/2006/relationships/image" Target="media/image153.jpeg"/><Relationship Id="rId163" Type="http://schemas.openxmlformats.org/officeDocument/2006/relationships/image" Target="media/image152.jpeg"/><Relationship Id="rId162" Type="http://schemas.openxmlformats.org/officeDocument/2006/relationships/image" Target="media/image151.jpeg"/><Relationship Id="rId161" Type="http://schemas.openxmlformats.org/officeDocument/2006/relationships/image" Target="media/image150.jpeg"/><Relationship Id="rId160" Type="http://schemas.openxmlformats.org/officeDocument/2006/relationships/image" Target="media/image149.jpeg"/><Relationship Id="rId16" Type="http://schemas.openxmlformats.org/officeDocument/2006/relationships/image" Target="media/image5.jpeg"/><Relationship Id="rId159" Type="http://schemas.openxmlformats.org/officeDocument/2006/relationships/image" Target="media/image148.jpeg"/><Relationship Id="rId158" Type="http://schemas.openxmlformats.org/officeDocument/2006/relationships/image" Target="media/image147.jpeg"/><Relationship Id="rId157" Type="http://schemas.openxmlformats.org/officeDocument/2006/relationships/image" Target="media/image146.jpeg"/><Relationship Id="rId156" Type="http://schemas.openxmlformats.org/officeDocument/2006/relationships/image" Target="media/image145.jpeg"/><Relationship Id="rId155" Type="http://schemas.openxmlformats.org/officeDocument/2006/relationships/image" Target="media/image144.jpeg"/><Relationship Id="rId154" Type="http://schemas.openxmlformats.org/officeDocument/2006/relationships/image" Target="media/image143.jpeg"/><Relationship Id="rId153" Type="http://schemas.openxmlformats.org/officeDocument/2006/relationships/image" Target="media/image142.jpeg"/><Relationship Id="rId152" Type="http://schemas.openxmlformats.org/officeDocument/2006/relationships/image" Target="media/image141.jpeg"/><Relationship Id="rId151" Type="http://schemas.openxmlformats.org/officeDocument/2006/relationships/image" Target="media/image140.jpeg"/><Relationship Id="rId150" Type="http://schemas.openxmlformats.org/officeDocument/2006/relationships/image" Target="media/image139.jpeg"/><Relationship Id="rId15" Type="http://schemas.openxmlformats.org/officeDocument/2006/relationships/image" Target="media/image4.jpeg"/><Relationship Id="rId149" Type="http://schemas.openxmlformats.org/officeDocument/2006/relationships/image" Target="media/image138.jpeg"/><Relationship Id="rId148" Type="http://schemas.openxmlformats.org/officeDocument/2006/relationships/image" Target="media/image137.jpeg"/><Relationship Id="rId147" Type="http://schemas.openxmlformats.org/officeDocument/2006/relationships/image" Target="media/image136.jpeg"/><Relationship Id="rId146" Type="http://schemas.openxmlformats.org/officeDocument/2006/relationships/image" Target="media/image135.jpeg"/><Relationship Id="rId145" Type="http://schemas.openxmlformats.org/officeDocument/2006/relationships/image" Target="media/image134.jpeg"/><Relationship Id="rId144" Type="http://schemas.openxmlformats.org/officeDocument/2006/relationships/image" Target="media/image133.jpeg"/><Relationship Id="rId143" Type="http://schemas.openxmlformats.org/officeDocument/2006/relationships/image" Target="media/image132.jpeg"/><Relationship Id="rId142" Type="http://schemas.openxmlformats.org/officeDocument/2006/relationships/image" Target="media/image131.jpeg"/><Relationship Id="rId141" Type="http://schemas.openxmlformats.org/officeDocument/2006/relationships/image" Target="media/image130.jpeg"/><Relationship Id="rId140" Type="http://schemas.openxmlformats.org/officeDocument/2006/relationships/image" Target="media/image129.jpeg"/><Relationship Id="rId14" Type="http://schemas.openxmlformats.org/officeDocument/2006/relationships/image" Target="media/image3.jpeg"/><Relationship Id="rId139" Type="http://schemas.openxmlformats.org/officeDocument/2006/relationships/image" Target="media/image128.jpeg"/><Relationship Id="rId138" Type="http://schemas.openxmlformats.org/officeDocument/2006/relationships/image" Target="media/image127.jpeg"/><Relationship Id="rId137" Type="http://schemas.openxmlformats.org/officeDocument/2006/relationships/image" Target="media/image126.jpeg"/><Relationship Id="rId136" Type="http://schemas.openxmlformats.org/officeDocument/2006/relationships/image" Target="media/image125.jpeg"/><Relationship Id="rId135" Type="http://schemas.openxmlformats.org/officeDocument/2006/relationships/image" Target="media/image124.jpeg"/><Relationship Id="rId134" Type="http://schemas.openxmlformats.org/officeDocument/2006/relationships/image" Target="media/image123.jpeg"/><Relationship Id="rId133" Type="http://schemas.openxmlformats.org/officeDocument/2006/relationships/image" Target="media/image122.jpeg"/><Relationship Id="rId132" Type="http://schemas.openxmlformats.org/officeDocument/2006/relationships/image" Target="media/image121.jpeg"/><Relationship Id="rId131" Type="http://schemas.openxmlformats.org/officeDocument/2006/relationships/image" Target="media/image120.jpeg"/><Relationship Id="rId130" Type="http://schemas.openxmlformats.org/officeDocument/2006/relationships/image" Target="media/image119.jpeg"/><Relationship Id="rId13" Type="http://schemas.openxmlformats.org/officeDocument/2006/relationships/image" Target="media/image2.jpeg"/><Relationship Id="rId129" Type="http://schemas.openxmlformats.org/officeDocument/2006/relationships/image" Target="media/image118.jpeg"/><Relationship Id="rId128" Type="http://schemas.openxmlformats.org/officeDocument/2006/relationships/image" Target="media/image117.jpeg"/><Relationship Id="rId127" Type="http://schemas.openxmlformats.org/officeDocument/2006/relationships/image" Target="media/image116.jpeg"/><Relationship Id="rId126" Type="http://schemas.openxmlformats.org/officeDocument/2006/relationships/image" Target="media/image115.jpeg"/><Relationship Id="rId125" Type="http://schemas.openxmlformats.org/officeDocument/2006/relationships/image" Target="media/image114.jpeg"/><Relationship Id="rId124" Type="http://schemas.openxmlformats.org/officeDocument/2006/relationships/image" Target="media/image113.jpeg"/><Relationship Id="rId123" Type="http://schemas.openxmlformats.org/officeDocument/2006/relationships/image" Target="media/image112.jpeg"/><Relationship Id="rId122" Type="http://schemas.openxmlformats.org/officeDocument/2006/relationships/image" Target="media/image111.jpeg"/><Relationship Id="rId121" Type="http://schemas.openxmlformats.org/officeDocument/2006/relationships/image" Target="media/image110.jpeg"/><Relationship Id="rId120" Type="http://schemas.openxmlformats.org/officeDocument/2006/relationships/image" Target="media/image109.jpeg"/><Relationship Id="rId12" Type="http://schemas.openxmlformats.org/officeDocument/2006/relationships/image" Target="media/image1.jpeg"/><Relationship Id="rId119" Type="http://schemas.openxmlformats.org/officeDocument/2006/relationships/image" Target="media/image108.jpeg"/><Relationship Id="rId118" Type="http://schemas.openxmlformats.org/officeDocument/2006/relationships/image" Target="media/image107.jpeg"/><Relationship Id="rId117" Type="http://schemas.openxmlformats.org/officeDocument/2006/relationships/image" Target="media/image106.jpeg"/><Relationship Id="rId116" Type="http://schemas.openxmlformats.org/officeDocument/2006/relationships/image" Target="media/image105.jpeg"/><Relationship Id="rId115" Type="http://schemas.openxmlformats.org/officeDocument/2006/relationships/image" Target="media/image104.jpeg"/><Relationship Id="rId114" Type="http://schemas.openxmlformats.org/officeDocument/2006/relationships/image" Target="media/image103.jpeg"/><Relationship Id="rId113" Type="http://schemas.openxmlformats.org/officeDocument/2006/relationships/image" Target="media/image102.jpeg"/><Relationship Id="rId112" Type="http://schemas.openxmlformats.org/officeDocument/2006/relationships/image" Target="media/image101.jpeg"/><Relationship Id="rId111" Type="http://schemas.openxmlformats.org/officeDocument/2006/relationships/image" Target="media/image100.jpeg"/><Relationship Id="rId110" Type="http://schemas.openxmlformats.org/officeDocument/2006/relationships/image" Target="media/image99.jpeg"/><Relationship Id="rId11" Type="http://schemas.openxmlformats.org/officeDocument/2006/relationships/theme" Target="theme/theme1.xml"/><Relationship Id="rId109" Type="http://schemas.openxmlformats.org/officeDocument/2006/relationships/image" Target="media/image98.jpeg"/><Relationship Id="rId108" Type="http://schemas.openxmlformats.org/officeDocument/2006/relationships/image" Target="media/image97.jpeg"/><Relationship Id="rId107" Type="http://schemas.openxmlformats.org/officeDocument/2006/relationships/image" Target="media/image96.jpeg"/><Relationship Id="rId106" Type="http://schemas.openxmlformats.org/officeDocument/2006/relationships/image" Target="media/image95.jpeg"/><Relationship Id="rId105" Type="http://schemas.openxmlformats.org/officeDocument/2006/relationships/image" Target="media/image94.jpeg"/><Relationship Id="rId104" Type="http://schemas.openxmlformats.org/officeDocument/2006/relationships/image" Target="media/image93.jpeg"/><Relationship Id="rId103" Type="http://schemas.openxmlformats.org/officeDocument/2006/relationships/image" Target="media/image92.jpeg"/><Relationship Id="rId102" Type="http://schemas.openxmlformats.org/officeDocument/2006/relationships/image" Target="media/image91.jpeg"/><Relationship Id="rId101" Type="http://schemas.openxmlformats.org/officeDocument/2006/relationships/image" Target="media/image90.jpeg"/><Relationship Id="rId100" Type="http://schemas.openxmlformats.org/officeDocument/2006/relationships/image" Target="media/image89.jpe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875</Pages>
  <Words>886</Words>
  <Characters>894</Characters>
  <Lines>0</Lines>
  <Paragraphs>0</Paragraphs>
  <TotalTime>7</TotalTime>
  <ScaleCrop>false</ScaleCrop>
  <LinksUpToDate>false</LinksUpToDate>
  <CharactersWithSpaces>894</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2020-12-10T08:59:00Z</dcterms:created>
  <dc:creator>administrator1</dc:creator>
  <cp:lastModifiedBy>叶子</cp:lastModifiedBy>
  <dcterms:modified xsi:type="dcterms:W3CDTF">2025-04-23T08:08:38Z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EB28E62A0E934D92A6E9C6DF5DE5BC7E</vt:lpwstr>
  </property>
  <property fmtid="{D5CDD505-2E9C-101B-9397-08002B2CF9AE}" pid="4" name="KSOTemplateDocerSaveRecord">
    <vt:lpwstr>eyJoZGlkIjoiMDkwNjc2OWNjMmQ3ZDNiMmE4OTE5ZmNmMzZkZWE4ZDkiLCJ1c2VySWQiOiIzNzk0ODUwMTYifQ==</vt:lpwstr>
  </property>
</Properties>
</file>